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AEA91" w14:textId="3E1D56DB" w:rsidR="001D1059" w:rsidRPr="004068F6" w:rsidRDefault="001D1059" w:rsidP="00E643E2">
      <w:pPr>
        <w:ind w:left="709" w:hanging="709"/>
        <w:jc w:val="center"/>
        <w:rPr>
          <w:rFonts w:cs="Arial"/>
          <w:b/>
          <w:spacing w:val="-3"/>
        </w:rPr>
      </w:pPr>
    </w:p>
    <w:p w14:paraId="06D5B264" w14:textId="77777777" w:rsidR="001D1059" w:rsidRPr="004068F6" w:rsidRDefault="001D1059" w:rsidP="001D1059">
      <w:pPr>
        <w:jc w:val="center"/>
        <w:rPr>
          <w:rFonts w:cs="Arial"/>
          <w:b/>
          <w:spacing w:val="-3"/>
        </w:rPr>
      </w:pPr>
    </w:p>
    <w:p w14:paraId="4F296784" w14:textId="77777777" w:rsidR="001D1059" w:rsidRPr="004068F6" w:rsidRDefault="001D1059" w:rsidP="001D1059">
      <w:pPr>
        <w:jc w:val="center"/>
        <w:rPr>
          <w:rFonts w:cs="Arial"/>
          <w:b/>
          <w:spacing w:val="-3"/>
        </w:rPr>
      </w:pPr>
    </w:p>
    <w:p w14:paraId="02750DD8" w14:textId="77777777" w:rsidR="001D1059" w:rsidRPr="004068F6" w:rsidRDefault="001D1059" w:rsidP="001D1059">
      <w:pPr>
        <w:jc w:val="center"/>
        <w:rPr>
          <w:rFonts w:cs="Arial"/>
          <w:b/>
          <w:spacing w:val="-3"/>
        </w:rPr>
      </w:pPr>
    </w:p>
    <w:p w14:paraId="5FA0D79B" w14:textId="77777777" w:rsidR="001D1059" w:rsidRPr="004068F6" w:rsidRDefault="001D1059" w:rsidP="001D1059">
      <w:pPr>
        <w:jc w:val="center"/>
        <w:rPr>
          <w:rFonts w:cs="Arial"/>
          <w:b/>
          <w:spacing w:val="-3"/>
        </w:rPr>
      </w:pPr>
    </w:p>
    <w:p w14:paraId="387C41BC" w14:textId="77777777" w:rsidR="001D1059" w:rsidRPr="004068F6" w:rsidRDefault="001D1059" w:rsidP="001D1059">
      <w:pPr>
        <w:jc w:val="center"/>
        <w:rPr>
          <w:rFonts w:cs="Arial"/>
          <w:b/>
          <w:spacing w:val="-3"/>
        </w:rPr>
      </w:pPr>
    </w:p>
    <w:p w14:paraId="11F28D69" w14:textId="77777777" w:rsidR="001D1059" w:rsidRPr="004068F6" w:rsidRDefault="001D1059" w:rsidP="001D1059">
      <w:pPr>
        <w:jc w:val="center"/>
        <w:rPr>
          <w:rFonts w:cs="Arial"/>
          <w:b/>
          <w:spacing w:val="-3"/>
        </w:rPr>
      </w:pPr>
      <w:r w:rsidRPr="004068F6">
        <w:rPr>
          <w:rFonts w:cs="Arial"/>
          <w:b/>
          <w:spacing w:val="-3"/>
        </w:rPr>
        <w:t>MINISTERIO DE AMBIENTE Y DESARROLLO SOSTENIBLE</w:t>
      </w:r>
    </w:p>
    <w:p w14:paraId="2127ACE5" w14:textId="77777777" w:rsidR="001D1059" w:rsidRPr="004068F6" w:rsidRDefault="001D1059" w:rsidP="001D1059">
      <w:pPr>
        <w:jc w:val="center"/>
        <w:rPr>
          <w:rFonts w:cs="Arial"/>
          <w:b/>
          <w:spacing w:val="-3"/>
        </w:rPr>
      </w:pPr>
    </w:p>
    <w:p w14:paraId="0A208611" w14:textId="77777777" w:rsidR="001D1059" w:rsidRPr="004068F6" w:rsidRDefault="001D1059" w:rsidP="001D1059">
      <w:pPr>
        <w:jc w:val="center"/>
        <w:rPr>
          <w:rFonts w:cs="Arial"/>
          <w:b/>
          <w:spacing w:val="-3"/>
        </w:rPr>
      </w:pPr>
      <w:r w:rsidRPr="004068F6">
        <w:rPr>
          <w:rFonts w:cs="Arial"/>
          <w:b/>
          <w:spacing w:val="-3"/>
        </w:rPr>
        <w:t>AUTORIDAD NACIONAL DE LICENCIAS AMBIENTALES</w:t>
      </w:r>
    </w:p>
    <w:p w14:paraId="1CC3E87C" w14:textId="77777777" w:rsidR="001D1059" w:rsidRPr="004068F6" w:rsidRDefault="001D1059" w:rsidP="001D1059">
      <w:pPr>
        <w:jc w:val="center"/>
        <w:rPr>
          <w:rFonts w:cs="Arial"/>
          <w:b/>
          <w:spacing w:val="-3"/>
        </w:rPr>
      </w:pPr>
    </w:p>
    <w:p w14:paraId="22BA9A44" w14:textId="77777777" w:rsidR="001D1059" w:rsidRPr="004068F6" w:rsidRDefault="001D1059" w:rsidP="001D1059">
      <w:pPr>
        <w:jc w:val="center"/>
        <w:rPr>
          <w:rFonts w:cs="Arial"/>
          <w:b/>
          <w:spacing w:val="-3"/>
        </w:rPr>
      </w:pPr>
    </w:p>
    <w:p w14:paraId="6BBCE589" w14:textId="77777777" w:rsidR="001D1059" w:rsidRPr="004068F6" w:rsidRDefault="001D1059" w:rsidP="001D1059">
      <w:pPr>
        <w:jc w:val="center"/>
        <w:rPr>
          <w:rFonts w:cs="Arial"/>
          <w:b/>
          <w:spacing w:val="-3"/>
        </w:rPr>
      </w:pPr>
    </w:p>
    <w:p w14:paraId="48BEB9DF" w14:textId="77777777" w:rsidR="001D1059" w:rsidRPr="004068F6" w:rsidRDefault="001D1059" w:rsidP="001D1059">
      <w:pPr>
        <w:jc w:val="center"/>
        <w:rPr>
          <w:rFonts w:cs="Arial"/>
          <w:b/>
          <w:spacing w:val="-3"/>
        </w:rPr>
      </w:pPr>
    </w:p>
    <w:p w14:paraId="57ED78A7" w14:textId="77777777" w:rsidR="001D1059" w:rsidRPr="004068F6" w:rsidRDefault="001D1059" w:rsidP="001D1059">
      <w:pPr>
        <w:jc w:val="center"/>
        <w:rPr>
          <w:rFonts w:cs="Arial"/>
          <w:b/>
          <w:spacing w:val="-3"/>
        </w:rPr>
      </w:pPr>
    </w:p>
    <w:p w14:paraId="4C3A73F0" w14:textId="77777777" w:rsidR="001D1059" w:rsidRPr="004068F6" w:rsidRDefault="001D1059" w:rsidP="001D1059">
      <w:pPr>
        <w:jc w:val="center"/>
        <w:rPr>
          <w:rFonts w:cs="Arial"/>
          <w:b/>
          <w:spacing w:val="-3"/>
        </w:rPr>
      </w:pPr>
    </w:p>
    <w:p w14:paraId="797E8CC9" w14:textId="77777777" w:rsidR="001D1059" w:rsidRPr="004068F6" w:rsidRDefault="001D1059" w:rsidP="001D1059">
      <w:pPr>
        <w:jc w:val="center"/>
        <w:rPr>
          <w:rFonts w:cs="Arial"/>
          <w:b/>
          <w:spacing w:val="-3"/>
        </w:rPr>
      </w:pPr>
    </w:p>
    <w:p w14:paraId="06EBE99E" w14:textId="77777777" w:rsidR="001D1059" w:rsidRPr="004068F6" w:rsidRDefault="001D1059" w:rsidP="001D1059">
      <w:pPr>
        <w:jc w:val="center"/>
        <w:rPr>
          <w:rFonts w:cs="Arial"/>
          <w:b/>
          <w:spacing w:val="-3"/>
        </w:rPr>
      </w:pPr>
    </w:p>
    <w:p w14:paraId="236E09C6" w14:textId="77777777" w:rsidR="001D1059" w:rsidRPr="004068F6" w:rsidRDefault="001D1059" w:rsidP="001D1059">
      <w:pPr>
        <w:jc w:val="center"/>
        <w:rPr>
          <w:rFonts w:cs="Arial"/>
          <w:b/>
          <w:spacing w:val="-3"/>
        </w:rPr>
      </w:pPr>
    </w:p>
    <w:p w14:paraId="4F79AD52" w14:textId="77777777" w:rsidR="001D1059" w:rsidRPr="004068F6" w:rsidRDefault="001D1059" w:rsidP="001D1059">
      <w:pPr>
        <w:jc w:val="center"/>
        <w:rPr>
          <w:rFonts w:cs="Arial"/>
          <w:b/>
          <w:spacing w:val="-3"/>
        </w:rPr>
      </w:pPr>
    </w:p>
    <w:p w14:paraId="09FB0C11" w14:textId="77777777" w:rsidR="001D1059" w:rsidRPr="004068F6" w:rsidRDefault="001D1059" w:rsidP="001D1059">
      <w:pPr>
        <w:jc w:val="center"/>
        <w:rPr>
          <w:rFonts w:cs="Arial"/>
          <w:b/>
          <w:spacing w:val="-3"/>
        </w:rPr>
      </w:pPr>
    </w:p>
    <w:p w14:paraId="7F0AA384" w14:textId="77777777" w:rsidR="001D1059" w:rsidRPr="004068F6" w:rsidRDefault="001D1059" w:rsidP="001D1059">
      <w:pPr>
        <w:jc w:val="center"/>
        <w:rPr>
          <w:rFonts w:cs="Arial"/>
          <w:b/>
          <w:spacing w:val="-3"/>
        </w:rPr>
      </w:pPr>
    </w:p>
    <w:p w14:paraId="562FF9C2" w14:textId="77777777" w:rsidR="001D1059" w:rsidRPr="004068F6" w:rsidRDefault="001D1059" w:rsidP="001D1059">
      <w:pPr>
        <w:jc w:val="center"/>
        <w:rPr>
          <w:rFonts w:cs="Arial"/>
          <w:b/>
          <w:spacing w:val="-3"/>
        </w:rPr>
      </w:pPr>
    </w:p>
    <w:p w14:paraId="098D7C98" w14:textId="77777777" w:rsidR="001D1059" w:rsidRPr="004068F6" w:rsidRDefault="001D1059" w:rsidP="001D1059">
      <w:pPr>
        <w:jc w:val="center"/>
        <w:rPr>
          <w:rFonts w:cs="Arial"/>
          <w:b/>
          <w:spacing w:val="-3"/>
        </w:rPr>
      </w:pPr>
      <w:r w:rsidRPr="004068F6">
        <w:rPr>
          <w:rFonts w:cs="Arial"/>
          <w:b/>
          <w:spacing w:val="-3"/>
        </w:rPr>
        <w:t>METODOLOGÍA GENERAL PARA LA ELABORACIÓN Y PRESENTACIÓN DE ESTUDIOS AMBIENTALES</w:t>
      </w:r>
    </w:p>
    <w:p w14:paraId="13F18307" w14:textId="77777777" w:rsidR="001D1059" w:rsidRPr="004068F6" w:rsidRDefault="001D1059" w:rsidP="001D1059">
      <w:pPr>
        <w:jc w:val="center"/>
        <w:rPr>
          <w:rFonts w:cs="Arial"/>
          <w:b/>
          <w:spacing w:val="-3"/>
        </w:rPr>
      </w:pPr>
    </w:p>
    <w:p w14:paraId="333C52AD" w14:textId="77777777" w:rsidR="001D1059" w:rsidRPr="004068F6" w:rsidRDefault="001D1059" w:rsidP="001D1059">
      <w:pPr>
        <w:jc w:val="center"/>
        <w:rPr>
          <w:rFonts w:cs="Arial"/>
          <w:b/>
          <w:spacing w:val="-3"/>
        </w:rPr>
      </w:pPr>
    </w:p>
    <w:p w14:paraId="2C3C73FE" w14:textId="77777777" w:rsidR="001D1059" w:rsidRPr="004068F6" w:rsidRDefault="001D1059" w:rsidP="001D1059">
      <w:pPr>
        <w:jc w:val="center"/>
        <w:rPr>
          <w:rFonts w:cs="Arial"/>
          <w:b/>
          <w:spacing w:val="-3"/>
        </w:rPr>
      </w:pPr>
    </w:p>
    <w:p w14:paraId="263A9325" w14:textId="2BC36B19" w:rsidR="001D1059" w:rsidRPr="004068F6" w:rsidRDefault="001D1059" w:rsidP="001D1059">
      <w:pPr>
        <w:jc w:val="center"/>
        <w:rPr>
          <w:rFonts w:cs="Arial"/>
          <w:b/>
          <w:spacing w:val="-3"/>
        </w:rPr>
      </w:pPr>
    </w:p>
    <w:p w14:paraId="302BAAF0" w14:textId="77777777" w:rsidR="001D1059" w:rsidRPr="004068F6" w:rsidRDefault="001D1059" w:rsidP="001D1059">
      <w:pPr>
        <w:jc w:val="center"/>
        <w:rPr>
          <w:rFonts w:cs="Arial"/>
          <w:b/>
          <w:spacing w:val="-3"/>
        </w:rPr>
      </w:pPr>
    </w:p>
    <w:p w14:paraId="16499162" w14:textId="77777777" w:rsidR="001D1059" w:rsidRPr="004068F6" w:rsidRDefault="001D1059" w:rsidP="001D1059">
      <w:pPr>
        <w:jc w:val="center"/>
        <w:rPr>
          <w:rFonts w:cs="Arial"/>
          <w:b/>
          <w:spacing w:val="-3"/>
        </w:rPr>
      </w:pPr>
    </w:p>
    <w:p w14:paraId="1F5B0810" w14:textId="77777777" w:rsidR="001D1059" w:rsidRPr="004068F6" w:rsidRDefault="001D1059" w:rsidP="001D1059">
      <w:pPr>
        <w:jc w:val="center"/>
        <w:rPr>
          <w:rFonts w:cs="Arial"/>
          <w:b/>
          <w:spacing w:val="-3"/>
        </w:rPr>
      </w:pPr>
    </w:p>
    <w:p w14:paraId="02510EC8" w14:textId="77777777" w:rsidR="001D1059" w:rsidRPr="004068F6" w:rsidRDefault="001D1059" w:rsidP="001D1059">
      <w:pPr>
        <w:jc w:val="center"/>
        <w:rPr>
          <w:rFonts w:cs="Arial"/>
          <w:b/>
          <w:spacing w:val="-3"/>
        </w:rPr>
      </w:pPr>
    </w:p>
    <w:p w14:paraId="7AB0AE46" w14:textId="77777777" w:rsidR="001D1059" w:rsidRPr="004068F6" w:rsidRDefault="001D1059" w:rsidP="001D1059">
      <w:pPr>
        <w:jc w:val="center"/>
        <w:rPr>
          <w:rFonts w:cs="Arial"/>
          <w:b/>
          <w:spacing w:val="-3"/>
        </w:rPr>
      </w:pPr>
    </w:p>
    <w:p w14:paraId="671AA64C" w14:textId="77777777" w:rsidR="001D1059" w:rsidRPr="004068F6" w:rsidRDefault="001D1059" w:rsidP="001D1059">
      <w:pPr>
        <w:jc w:val="center"/>
        <w:rPr>
          <w:rFonts w:cs="Arial"/>
          <w:b/>
          <w:spacing w:val="-3"/>
        </w:rPr>
      </w:pPr>
    </w:p>
    <w:p w14:paraId="046A8D8D" w14:textId="6970AC48" w:rsidR="001D1059" w:rsidRPr="004068F6" w:rsidRDefault="001D1059" w:rsidP="001D1059">
      <w:pPr>
        <w:jc w:val="center"/>
        <w:rPr>
          <w:rFonts w:cs="Arial"/>
          <w:b/>
          <w:spacing w:val="-3"/>
        </w:rPr>
      </w:pPr>
      <w:r w:rsidRPr="004068F6">
        <w:rPr>
          <w:rFonts w:cs="Arial"/>
          <w:b/>
          <w:spacing w:val="-3"/>
        </w:rPr>
        <w:t>BOGOTÁ D.</w:t>
      </w:r>
      <w:r w:rsidR="004D56CE" w:rsidRPr="004068F6">
        <w:rPr>
          <w:rFonts w:cs="Arial"/>
          <w:b/>
          <w:spacing w:val="-3"/>
        </w:rPr>
        <w:t xml:space="preserve"> </w:t>
      </w:r>
      <w:r w:rsidRPr="004068F6">
        <w:rPr>
          <w:rFonts w:cs="Arial"/>
          <w:b/>
          <w:spacing w:val="-3"/>
        </w:rPr>
        <w:t>C.</w:t>
      </w:r>
    </w:p>
    <w:p w14:paraId="06C508D5" w14:textId="18E81D33" w:rsidR="001D1059" w:rsidRPr="004068F6" w:rsidRDefault="001D1059" w:rsidP="001D1059">
      <w:pPr>
        <w:jc w:val="center"/>
        <w:rPr>
          <w:rFonts w:cs="Arial"/>
          <w:b/>
          <w:spacing w:val="-3"/>
        </w:rPr>
      </w:pPr>
      <w:r w:rsidRPr="004068F6">
        <w:rPr>
          <w:rFonts w:cs="Arial"/>
          <w:b/>
          <w:spacing w:val="-3"/>
        </w:rPr>
        <w:t>202</w:t>
      </w:r>
      <w:r w:rsidR="00DD120C">
        <w:rPr>
          <w:rFonts w:cs="Arial"/>
          <w:b/>
          <w:spacing w:val="-3"/>
        </w:rPr>
        <w:t>6</w:t>
      </w:r>
    </w:p>
    <w:p w14:paraId="4FF0861B" w14:textId="77777777" w:rsidR="001D1059" w:rsidRPr="004068F6" w:rsidRDefault="001D1059" w:rsidP="001D1059">
      <w:pPr>
        <w:jc w:val="center"/>
        <w:rPr>
          <w:rFonts w:cs="Arial"/>
          <w:b/>
          <w:spacing w:val="-3"/>
        </w:rPr>
      </w:pPr>
    </w:p>
    <w:p w14:paraId="59559286" w14:textId="77777777" w:rsidR="001D1059" w:rsidRPr="004068F6" w:rsidRDefault="001D1059" w:rsidP="001D1059">
      <w:pPr>
        <w:jc w:val="center"/>
        <w:rPr>
          <w:rFonts w:cs="Arial"/>
          <w:b/>
          <w:spacing w:val="-3"/>
        </w:rPr>
      </w:pPr>
    </w:p>
    <w:p w14:paraId="42E2FAEB" w14:textId="77777777" w:rsidR="001D1059" w:rsidRPr="004068F6" w:rsidRDefault="001D1059" w:rsidP="001D1059">
      <w:pPr>
        <w:jc w:val="center"/>
        <w:rPr>
          <w:rFonts w:cs="Arial"/>
          <w:b/>
          <w:spacing w:val="-3"/>
        </w:rPr>
      </w:pPr>
    </w:p>
    <w:p w14:paraId="18C0D3DA" w14:textId="77777777" w:rsidR="001D1059" w:rsidRPr="004068F6" w:rsidRDefault="001D1059" w:rsidP="001D1059">
      <w:pPr>
        <w:jc w:val="center"/>
        <w:rPr>
          <w:rFonts w:cs="Arial"/>
          <w:b/>
          <w:spacing w:val="-3"/>
        </w:rPr>
      </w:pPr>
    </w:p>
    <w:p w14:paraId="388C1ACD" w14:textId="77777777" w:rsidR="001D1059" w:rsidRPr="004068F6" w:rsidRDefault="001D1059" w:rsidP="001D1059">
      <w:pPr>
        <w:jc w:val="center"/>
        <w:rPr>
          <w:rFonts w:cs="Arial"/>
          <w:b/>
          <w:spacing w:val="-3"/>
        </w:rPr>
      </w:pPr>
    </w:p>
    <w:p w14:paraId="71ED04AF" w14:textId="77777777" w:rsidR="001D1059" w:rsidRPr="004068F6" w:rsidRDefault="001D1059" w:rsidP="001D1059">
      <w:pPr>
        <w:jc w:val="center"/>
        <w:rPr>
          <w:rFonts w:cs="Arial"/>
          <w:b/>
          <w:spacing w:val="-3"/>
        </w:rPr>
      </w:pPr>
    </w:p>
    <w:p w14:paraId="2CD9A217" w14:textId="77777777" w:rsidR="001D1059" w:rsidRPr="004068F6" w:rsidRDefault="001D1059" w:rsidP="001D1059">
      <w:pPr>
        <w:jc w:val="center"/>
        <w:rPr>
          <w:rFonts w:cs="Arial"/>
          <w:b/>
          <w:spacing w:val="-3"/>
        </w:rPr>
      </w:pPr>
    </w:p>
    <w:p w14:paraId="342C1137" w14:textId="77777777" w:rsidR="001D1059" w:rsidRPr="004068F6" w:rsidRDefault="001D1059" w:rsidP="001D1059">
      <w:pPr>
        <w:jc w:val="center"/>
        <w:rPr>
          <w:rFonts w:cs="Arial"/>
          <w:b/>
          <w:spacing w:val="-3"/>
        </w:rPr>
        <w:sectPr w:rsidR="001D1059" w:rsidRPr="004068F6" w:rsidSect="00544833">
          <w:headerReference w:type="even" r:id="rId11"/>
          <w:headerReference w:type="default" r:id="rId12"/>
          <w:footerReference w:type="even" r:id="rId13"/>
          <w:footerReference w:type="default" r:id="rId14"/>
          <w:headerReference w:type="first" r:id="rId15"/>
          <w:endnotePr>
            <w:numFmt w:val="decimal"/>
          </w:endnotePr>
          <w:type w:val="continuous"/>
          <w:pgSz w:w="12242" w:h="15842" w:code="1"/>
          <w:pgMar w:top="2268" w:right="1701" w:bottom="1701" w:left="1701" w:header="1134" w:footer="851" w:gutter="0"/>
          <w:pgNumType w:start="1"/>
          <w:cols w:space="720"/>
          <w:titlePg/>
        </w:sectPr>
      </w:pPr>
    </w:p>
    <w:p w14:paraId="09E24E4D" w14:textId="76E959E4" w:rsidR="008035F2" w:rsidRPr="004068F6" w:rsidRDefault="008035F2" w:rsidP="008035F2">
      <w:pPr>
        <w:jc w:val="center"/>
        <w:rPr>
          <w:b/>
          <w:spacing w:val="-3"/>
        </w:rPr>
      </w:pPr>
      <w:bookmarkStart w:id="0" w:name="_Toc391040015"/>
      <w:r w:rsidRPr="004068F6">
        <w:rPr>
          <w:b/>
          <w:spacing w:val="-3"/>
        </w:rPr>
        <w:lastRenderedPageBreak/>
        <w:t>TABLA DE CONTENIDO</w:t>
      </w:r>
      <w:bookmarkEnd w:id="0"/>
    </w:p>
    <w:sdt>
      <w:sdtPr>
        <w:rPr>
          <w:rFonts w:cs="Arial"/>
        </w:rPr>
        <w:id w:val="-1039282596"/>
        <w:docPartObj>
          <w:docPartGallery w:val="Table of Contents"/>
          <w:docPartUnique/>
        </w:docPartObj>
      </w:sdtPr>
      <w:sdtEndPr>
        <w:rPr>
          <w:b/>
          <w:bCs/>
        </w:rPr>
      </w:sdtEndPr>
      <w:sdtContent>
        <w:p w14:paraId="1242AB58" w14:textId="77777777" w:rsidR="008035F2" w:rsidRPr="004068F6" w:rsidRDefault="008035F2" w:rsidP="008035F2">
          <w:pPr>
            <w:jc w:val="center"/>
            <w:rPr>
              <w:rFonts w:cs="Arial"/>
              <w:spacing w:val="-3"/>
            </w:rPr>
          </w:pPr>
        </w:p>
        <w:p w14:paraId="4AD160C0" w14:textId="17475487" w:rsidR="00755498" w:rsidRDefault="0068720A">
          <w:pPr>
            <w:pStyle w:val="TDC1"/>
            <w:rPr>
              <w:rFonts w:asciiTheme="minorHAnsi" w:eastAsiaTheme="minorEastAsia" w:hAnsiTheme="minorHAnsi" w:cstheme="minorBidi"/>
              <w:b w:val="0"/>
              <w:bCs w:val="0"/>
              <w:caps w:val="0"/>
              <w:kern w:val="2"/>
              <w:lang w:eastAsia="es-CO"/>
              <w14:ligatures w14:val="standardContextual"/>
            </w:rPr>
          </w:pPr>
          <w:r w:rsidRPr="004068F6">
            <w:rPr>
              <w:noProof w:val="0"/>
            </w:rPr>
            <w:fldChar w:fldCharType="begin"/>
          </w:r>
          <w:r w:rsidRPr="004068F6">
            <w:rPr>
              <w:noProof w:val="0"/>
            </w:rPr>
            <w:instrText xml:space="preserve"> TOC \o "1-3" \h \z \u </w:instrText>
          </w:r>
          <w:r w:rsidRPr="004068F6">
            <w:rPr>
              <w:noProof w:val="0"/>
            </w:rPr>
            <w:fldChar w:fldCharType="separate"/>
          </w:r>
          <w:hyperlink w:anchor="_Toc230879548" w:history="1">
            <w:r w:rsidR="00755498" w:rsidRPr="00531F10">
              <w:rPr>
                <w:rStyle w:val="Hipervnculo"/>
              </w:rPr>
              <w:t>INTRODUCCIÓN</w:t>
            </w:r>
            <w:r w:rsidR="00755498">
              <w:rPr>
                <w:webHidden/>
              </w:rPr>
              <w:tab/>
            </w:r>
            <w:r w:rsidR="00755498">
              <w:rPr>
                <w:webHidden/>
              </w:rPr>
              <w:fldChar w:fldCharType="begin"/>
            </w:r>
            <w:r w:rsidR="00755498">
              <w:rPr>
                <w:webHidden/>
              </w:rPr>
              <w:instrText xml:space="preserve"> PAGEREF _Toc230879548 \h </w:instrText>
            </w:r>
            <w:r w:rsidR="00755498">
              <w:rPr>
                <w:webHidden/>
              </w:rPr>
            </w:r>
            <w:r w:rsidR="00755498">
              <w:rPr>
                <w:webHidden/>
              </w:rPr>
              <w:fldChar w:fldCharType="separate"/>
            </w:r>
            <w:r w:rsidR="00755498">
              <w:rPr>
                <w:webHidden/>
              </w:rPr>
              <w:t>9</w:t>
            </w:r>
            <w:r w:rsidR="00755498">
              <w:rPr>
                <w:webHidden/>
              </w:rPr>
              <w:fldChar w:fldCharType="end"/>
            </w:r>
          </w:hyperlink>
        </w:p>
        <w:p w14:paraId="5D797BEB" w14:textId="74CF313A"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49" w:history="1">
            <w:r w:rsidRPr="00531F10">
              <w:rPr>
                <w:rStyle w:val="Hipervnculo"/>
              </w:rPr>
              <w:t>LISTA DE ACRÓNIMOS Y SIGLAS</w:t>
            </w:r>
            <w:r>
              <w:rPr>
                <w:webHidden/>
              </w:rPr>
              <w:tab/>
            </w:r>
            <w:r>
              <w:rPr>
                <w:webHidden/>
              </w:rPr>
              <w:fldChar w:fldCharType="begin"/>
            </w:r>
            <w:r>
              <w:rPr>
                <w:webHidden/>
              </w:rPr>
              <w:instrText xml:space="preserve"> PAGEREF _Toc230879549 \h </w:instrText>
            </w:r>
            <w:r>
              <w:rPr>
                <w:webHidden/>
              </w:rPr>
            </w:r>
            <w:r>
              <w:rPr>
                <w:webHidden/>
              </w:rPr>
              <w:fldChar w:fldCharType="separate"/>
            </w:r>
            <w:r>
              <w:rPr>
                <w:webHidden/>
              </w:rPr>
              <w:t>18</w:t>
            </w:r>
            <w:r>
              <w:rPr>
                <w:webHidden/>
              </w:rPr>
              <w:fldChar w:fldCharType="end"/>
            </w:r>
          </w:hyperlink>
        </w:p>
        <w:p w14:paraId="1893BBDE" w14:textId="671ED4EA"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50" w:history="1">
            <w:r w:rsidRPr="00531F10">
              <w:rPr>
                <w:rStyle w:val="Hipervnculo"/>
              </w:rPr>
              <w:t>GLOSARIO</w:t>
            </w:r>
            <w:r>
              <w:rPr>
                <w:webHidden/>
              </w:rPr>
              <w:tab/>
            </w:r>
            <w:r>
              <w:rPr>
                <w:webHidden/>
              </w:rPr>
              <w:fldChar w:fldCharType="begin"/>
            </w:r>
            <w:r>
              <w:rPr>
                <w:webHidden/>
              </w:rPr>
              <w:instrText xml:space="preserve"> PAGEREF _Toc230879550 \h </w:instrText>
            </w:r>
            <w:r>
              <w:rPr>
                <w:webHidden/>
              </w:rPr>
            </w:r>
            <w:r>
              <w:rPr>
                <w:webHidden/>
              </w:rPr>
              <w:fldChar w:fldCharType="separate"/>
            </w:r>
            <w:r>
              <w:rPr>
                <w:webHidden/>
              </w:rPr>
              <w:t>23</w:t>
            </w:r>
            <w:r>
              <w:rPr>
                <w:webHidden/>
              </w:rPr>
              <w:fldChar w:fldCharType="end"/>
            </w:r>
          </w:hyperlink>
        </w:p>
        <w:p w14:paraId="769AF0C9" w14:textId="03876D44"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51" w:history="1">
            <w:r w:rsidRPr="00531F10">
              <w:rPr>
                <w:rStyle w:val="Hipervnculo"/>
              </w:rPr>
              <w:t>I.</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CONSIDERACIONES GENERALES PARA LA ELABORACIÓN Y PRESENTACIÓN DE LOS ESTUDIOS AMBIENTALES</w:t>
            </w:r>
            <w:r>
              <w:rPr>
                <w:webHidden/>
              </w:rPr>
              <w:tab/>
            </w:r>
            <w:r>
              <w:rPr>
                <w:webHidden/>
              </w:rPr>
              <w:fldChar w:fldCharType="begin"/>
            </w:r>
            <w:r>
              <w:rPr>
                <w:webHidden/>
              </w:rPr>
              <w:instrText xml:space="preserve"> PAGEREF _Toc230879551 \h </w:instrText>
            </w:r>
            <w:r>
              <w:rPr>
                <w:webHidden/>
              </w:rPr>
            </w:r>
            <w:r>
              <w:rPr>
                <w:webHidden/>
              </w:rPr>
              <w:fldChar w:fldCharType="separate"/>
            </w:r>
            <w:r>
              <w:rPr>
                <w:webHidden/>
              </w:rPr>
              <w:t>44</w:t>
            </w:r>
            <w:r>
              <w:rPr>
                <w:webHidden/>
              </w:rPr>
              <w:fldChar w:fldCharType="end"/>
            </w:r>
          </w:hyperlink>
        </w:p>
        <w:p w14:paraId="3114579D" w14:textId="6EADA0FD"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52" w:history="1">
            <w:r w:rsidRPr="00531F10">
              <w:rPr>
                <w:rStyle w:val="Hipervnculo"/>
              </w:rPr>
              <w:t>1.</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LINEAMIENTOS PARA LA ELABORACIÓN DE LOS ESTUDIOS AMBIENTALES</w:t>
            </w:r>
            <w:r>
              <w:rPr>
                <w:webHidden/>
              </w:rPr>
              <w:tab/>
            </w:r>
            <w:r>
              <w:rPr>
                <w:webHidden/>
              </w:rPr>
              <w:fldChar w:fldCharType="begin"/>
            </w:r>
            <w:r>
              <w:rPr>
                <w:webHidden/>
              </w:rPr>
              <w:instrText xml:space="preserve"> PAGEREF _Toc230879552 \h </w:instrText>
            </w:r>
            <w:r>
              <w:rPr>
                <w:webHidden/>
              </w:rPr>
            </w:r>
            <w:r>
              <w:rPr>
                <w:webHidden/>
              </w:rPr>
              <w:fldChar w:fldCharType="separate"/>
            </w:r>
            <w:r>
              <w:rPr>
                <w:webHidden/>
              </w:rPr>
              <w:t>44</w:t>
            </w:r>
            <w:r>
              <w:rPr>
                <w:webHidden/>
              </w:rPr>
              <w:fldChar w:fldCharType="end"/>
            </w:r>
          </w:hyperlink>
        </w:p>
        <w:p w14:paraId="747200F7" w14:textId="7F491D17"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53" w:history="1">
            <w:r w:rsidRPr="00531F10">
              <w:rPr>
                <w:rStyle w:val="Hipervnculo"/>
              </w:rPr>
              <w:t>2.</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FUENTES DE INFORMACIÓN</w:t>
            </w:r>
            <w:r>
              <w:rPr>
                <w:webHidden/>
              </w:rPr>
              <w:tab/>
            </w:r>
            <w:r>
              <w:rPr>
                <w:webHidden/>
              </w:rPr>
              <w:fldChar w:fldCharType="begin"/>
            </w:r>
            <w:r>
              <w:rPr>
                <w:webHidden/>
              </w:rPr>
              <w:instrText xml:space="preserve"> PAGEREF _Toc230879553 \h </w:instrText>
            </w:r>
            <w:r>
              <w:rPr>
                <w:webHidden/>
              </w:rPr>
            </w:r>
            <w:r>
              <w:rPr>
                <w:webHidden/>
              </w:rPr>
              <w:fldChar w:fldCharType="separate"/>
            </w:r>
            <w:r>
              <w:rPr>
                <w:webHidden/>
              </w:rPr>
              <w:t>59</w:t>
            </w:r>
            <w:r>
              <w:rPr>
                <w:webHidden/>
              </w:rPr>
              <w:fldChar w:fldCharType="end"/>
            </w:r>
          </w:hyperlink>
        </w:p>
        <w:p w14:paraId="549C0940" w14:textId="6F9EC5B2"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54" w:history="1">
            <w:r w:rsidRPr="00531F10">
              <w:rPr>
                <w:rStyle w:val="Hipervnculo"/>
              </w:rPr>
              <w:t>3.</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ESPECIFICACIONES DOCUMENTALES DE LOS ESTUDIOS AMBIENTALES</w:t>
            </w:r>
            <w:r>
              <w:rPr>
                <w:webHidden/>
              </w:rPr>
              <w:tab/>
            </w:r>
            <w:r>
              <w:rPr>
                <w:webHidden/>
              </w:rPr>
              <w:fldChar w:fldCharType="begin"/>
            </w:r>
            <w:r>
              <w:rPr>
                <w:webHidden/>
              </w:rPr>
              <w:instrText xml:space="preserve"> PAGEREF _Toc230879554 \h </w:instrText>
            </w:r>
            <w:r>
              <w:rPr>
                <w:webHidden/>
              </w:rPr>
            </w:r>
            <w:r>
              <w:rPr>
                <w:webHidden/>
              </w:rPr>
              <w:fldChar w:fldCharType="separate"/>
            </w:r>
            <w:r>
              <w:rPr>
                <w:webHidden/>
              </w:rPr>
              <w:t>70</w:t>
            </w:r>
            <w:r>
              <w:rPr>
                <w:webHidden/>
              </w:rPr>
              <w:fldChar w:fldCharType="end"/>
            </w:r>
          </w:hyperlink>
        </w:p>
        <w:p w14:paraId="011BD078" w14:textId="2FC97B89"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55" w:history="1">
            <w:r w:rsidRPr="00531F10">
              <w:rPr>
                <w:rStyle w:val="Hipervnculo"/>
                <w:rFonts w:cs="Arial"/>
                <w:noProof/>
              </w:rPr>
              <w:t>3.1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PRESENTACIÓN DEL DOCUMENTO</w:t>
            </w:r>
            <w:r>
              <w:rPr>
                <w:noProof/>
                <w:webHidden/>
              </w:rPr>
              <w:tab/>
            </w:r>
            <w:r>
              <w:rPr>
                <w:noProof/>
                <w:webHidden/>
              </w:rPr>
              <w:fldChar w:fldCharType="begin"/>
            </w:r>
            <w:r>
              <w:rPr>
                <w:noProof/>
                <w:webHidden/>
              </w:rPr>
              <w:instrText xml:space="preserve"> PAGEREF _Toc230879555 \h </w:instrText>
            </w:r>
            <w:r>
              <w:rPr>
                <w:noProof/>
                <w:webHidden/>
              </w:rPr>
            </w:r>
            <w:r>
              <w:rPr>
                <w:noProof/>
                <w:webHidden/>
              </w:rPr>
              <w:fldChar w:fldCharType="separate"/>
            </w:r>
            <w:r>
              <w:rPr>
                <w:noProof/>
                <w:webHidden/>
              </w:rPr>
              <w:t>70</w:t>
            </w:r>
            <w:r>
              <w:rPr>
                <w:noProof/>
                <w:webHidden/>
              </w:rPr>
              <w:fldChar w:fldCharType="end"/>
            </w:r>
          </w:hyperlink>
        </w:p>
        <w:p w14:paraId="23193482" w14:textId="72B9B8B7"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56" w:history="1">
            <w:r w:rsidRPr="00531F10">
              <w:rPr>
                <w:rStyle w:val="Hipervnculo"/>
                <w:rFonts w:cs="Arial"/>
                <w:noProof/>
              </w:rPr>
              <w:t>3.2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ESPECIFICACIONES PARA LA PRESENTACIÓN DEL ESTUDIO</w:t>
            </w:r>
            <w:r>
              <w:rPr>
                <w:noProof/>
                <w:webHidden/>
              </w:rPr>
              <w:tab/>
            </w:r>
            <w:r>
              <w:rPr>
                <w:noProof/>
                <w:webHidden/>
              </w:rPr>
              <w:fldChar w:fldCharType="begin"/>
            </w:r>
            <w:r>
              <w:rPr>
                <w:noProof/>
                <w:webHidden/>
              </w:rPr>
              <w:instrText xml:space="preserve"> PAGEREF _Toc230879556 \h </w:instrText>
            </w:r>
            <w:r>
              <w:rPr>
                <w:noProof/>
                <w:webHidden/>
              </w:rPr>
            </w:r>
            <w:r>
              <w:rPr>
                <w:noProof/>
                <w:webHidden/>
              </w:rPr>
              <w:fldChar w:fldCharType="separate"/>
            </w:r>
            <w:r>
              <w:rPr>
                <w:noProof/>
                <w:webHidden/>
              </w:rPr>
              <w:t>71</w:t>
            </w:r>
            <w:r>
              <w:rPr>
                <w:noProof/>
                <w:webHidden/>
              </w:rPr>
              <w:fldChar w:fldCharType="end"/>
            </w:r>
          </w:hyperlink>
        </w:p>
        <w:p w14:paraId="19001973" w14:textId="6F123B91"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57" w:history="1">
            <w:r w:rsidRPr="00531F10">
              <w:rPr>
                <w:rStyle w:val="Hipervnculo"/>
                <w:noProof/>
              </w:rPr>
              <w:t>3.2.1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Formatos de archivos</w:t>
            </w:r>
            <w:r>
              <w:rPr>
                <w:noProof/>
                <w:webHidden/>
              </w:rPr>
              <w:tab/>
            </w:r>
            <w:r>
              <w:rPr>
                <w:noProof/>
                <w:webHidden/>
              </w:rPr>
              <w:fldChar w:fldCharType="begin"/>
            </w:r>
            <w:r>
              <w:rPr>
                <w:noProof/>
                <w:webHidden/>
              </w:rPr>
              <w:instrText xml:space="preserve"> PAGEREF _Toc230879557 \h </w:instrText>
            </w:r>
            <w:r>
              <w:rPr>
                <w:noProof/>
                <w:webHidden/>
              </w:rPr>
            </w:r>
            <w:r>
              <w:rPr>
                <w:noProof/>
                <w:webHidden/>
              </w:rPr>
              <w:fldChar w:fldCharType="separate"/>
            </w:r>
            <w:r>
              <w:rPr>
                <w:noProof/>
                <w:webHidden/>
              </w:rPr>
              <w:t>71</w:t>
            </w:r>
            <w:r>
              <w:rPr>
                <w:noProof/>
                <w:webHidden/>
              </w:rPr>
              <w:fldChar w:fldCharType="end"/>
            </w:r>
          </w:hyperlink>
        </w:p>
        <w:p w14:paraId="33DD14ED" w14:textId="4B7BAEC3"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58" w:history="1">
            <w:r w:rsidRPr="00531F10">
              <w:rPr>
                <w:rStyle w:val="Hipervnculo"/>
                <w:noProof/>
              </w:rPr>
              <w:t>3.2.2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Permisos y restricciones en archivos</w:t>
            </w:r>
            <w:r>
              <w:rPr>
                <w:noProof/>
                <w:webHidden/>
              </w:rPr>
              <w:tab/>
            </w:r>
            <w:r>
              <w:rPr>
                <w:noProof/>
                <w:webHidden/>
              </w:rPr>
              <w:fldChar w:fldCharType="begin"/>
            </w:r>
            <w:r>
              <w:rPr>
                <w:noProof/>
                <w:webHidden/>
              </w:rPr>
              <w:instrText xml:space="preserve"> PAGEREF _Toc230879558 \h </w:instrText>
            </w:r>
            <w:r>
              <w:rPr>
                <w:noProof/>
                <w:webHidden/>
              </w:rPr>
            </w:r>
            <w:r>
              <w:rPr>
                <w:noProof/>
                <w:webHidden/>
              </w:rPr>
              <w:fldChar w:fldCharType="separate"/>
            </w:r>
            <w:r>
              <w:rPr>
                <w:noProof/>
                <w:webHidden/>
              </w:rPr>
              <w:t>73</w:t>
            </w:r>
            <w:r>
              <w:rPr>
                <w:noProof/>
                <w:webHidden/>
              </w:rPr>
              <w:fldChar w:fldCharType="end"/>
            </w:r>
          </w:hyperlink>
        </w:p>
        <w:p w14:paraId="43789683" w14:textId="1E3FA64A"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59" w:history="1">
            <w:r w:rsidRPr="00531F10">
              <w:rPr>
                <w:rStyle w:val="Hipervnculo"/>
                <w:noProof/>
              </w:rPr>
              <w:t>3.2.3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Metadatos</w:t>
            </w:r>
            <w:r>
              <w:rPr>
                <w:noProof/>
                <w:webHidden/>
              </w:rPr>
              <w:tab/>
            </w:r>
            <w:r>
              <w:rPr>
                <w:noProof/>
                <w:webHidden/>
              </w:rPr>
              <w:fldChar w:fldCharType="begin"/>
            </w:r>
            <w:r>
              <w:rPr>
                <w:noProof/>
                <w:webHidden/>
              </w:rPr>
              <w:instrText xml:space="preserve"> PAGEREF _Toc230879559 \h </w:instrText>
            </w:r>
            <w:r>
              <w:rPr>
                <w:noProof/>
                <w:webHidden/>
              </w:rPr>
            </w:r>
            <w:r>
              <w:rPr>
                <w:noProof/>
                <w:webHidden/>
              </w:rPr>
              <w:fldChar w:fldCharType="separate"/>
            </w:r>
            <w:r>
              <w:rPr>
                <w:noProof/>
                <w:webHidden/>
              </w:rPr>
              <w:t>73</w:t>
            </w:r>
            <w:r>
              <w:rPr>
                <w:noProof/>
                <w:webHidden/>
              </w:rPr>
              <w:fldChar w:fldCharType="end"/>
            </w:r>
          </w:hyperlink>
        </w:p>
        <w:p w14:paraId="0432E996" w14:textId="1530915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60" w:history="1">
            <w:r w:rsidRPr="00531F10">
              <w:rPr>
                <w:rStyle w:val="Hipervnculo"/>
                <w:noProof/>
              </w:rPr>
              <w:t>3.2.4</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Denominación de archivos</w:t>
            </w:r>
            <w:r>
              <w:rPr>
                <w:noProof/>
                <w:webHidden/>
              </w:rPr>
              <w:tab/>
            </w:r>
            <w:r>
              <w:rPr>
                <w:noProof/>
                <w:webHidden/>
              </w:rPr>
              <w:fldChar w:fldCharType="begin"/>
            </w:r>
            <w:r>
              <w:rPr>
                <w:noProof/>
                <w:webHidden/>
              </w:rPr>
              <w:instrText xml:space="preserve"> PAGEREF _Toc230879560 \h </w:instrText>
            </w:r>
            <w:r>
              <w:rPr>
                <w:noProof/>
                <w:webHidden/>
              </w:rPr>
            </w:r>
            <w:r>
              <w:rPr>
                <w:noProof/>
                <w:webHidden/>
              </w:rPr>
              <w:fldChar w:fldCharType="separate"/>
            </w:r>
            <w:r>
              <w:rPr>
                <w:noProof/>
                <w:webHidden/>
              </w:rPr>
              <w:t>73</w:t>
            </w:r>
            <w:r>
              <w:rPr>
                <w:noProof/>
                <w:webHidden/>
              </w:rPr>
              <w:fldChar w:fldCharType="end"/>
            </w:r>
          </w:hyperlink>
        </w:p>
        <w:p w14:paraId="3037CDF3" w14:textId="781E5A51"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61" w:history="1">
            <w:r w:rsidRPr="00531F10">
              <w:rPr>
                <w:rStyle w:val="Hipervnculo"/>
                <w:noProof/>
              </w:rPr>
              <w:t>3.2.5</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Clasificación o agrupación de información</w:t>
            </w:r>
            <w:r>
              <w:rPr>
                <w:noProof/>
                <w:webHidden/>
              </w:rPr>
              <w:tab/>
            </w:r>
            <w:r>
              <w:rPr>
                <w:noProof/>
                <w:webHidden/>
              </w:rPr>
              <w:fldChar w:fldCharType="begin"/>
            </w:r>
            <w:r>
              <w:rPr>
                <w:noProof/>
                <w:webHidden/>
              </w:rPr>
              <w:instrText xml:space="preserve"> PAGEREF _Toc230879561 \h </w:instrText>
            </w:r>
            <w:r>
              <w:rPr>
                <w:noProof/>
                <w:webHidden/>
              </w:rPr>
            </w:r>
            <w:r>
              <w:rPr>
                <w:noProof/>
                <w:webHidden/>
              </w:rPr>
              <w:fldChar w:fldCharType="separate"/>
            </w:r>
            <w:r>
              <w:rPr>
                <w:noProof/>
                <w:webHidden/>
              </w:rPr>
              <w:t>74</w:t>
            </w:r>
            <w:r>
              <w:rPr>
                <w:noProof/>
                <w:webHidden/>
              </w:rPr>
              <w:fldChar w:fldCharType="end"/>
            </w:r>
          </w:hyperlink>
        </w:p>
        <w:p w14:paraId="67E4AE6E" w14:textId="0ADF5FD7"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62" w:history="1">
            <w:r w:rsidRPr="00531F10">
              <w:rPr>
                <w:rStyle w:val="Hipervnculo"/>
                <w:noProof/>
              </w:rPr>
              <w:t>3.2.6</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Programa de compresión de archivos</w:t>
            </w:r>
            <w:r>
              <w:rPr>
                <w:noProof/>
                <w:webHidden/>
              </w:rPr>
              <w:tab/>
            </w:r>
            <w:r>
              <w:rPr>
                <w:noProof/>
                <w:webHidden/>
              </w:rPr>
              <w:fldChar w:fldCharType="begin"/>
            </w:r>
            <w:r>
              <w:rPr>
                <w:noProof/>
                <w:webHidden/>
              </w:rPr>
              <w:instrText xml:space="preserve"> PAGEREF _Toc230879562 \h </w:instrText>
            </w:r>
            <w:r>
              <w:rPr>
                <w:noProof/>
                <w:webHidden/>
              </w:rPr>
            </w:r>
            <w:r>
              <w:rPr>
                <w:noProof/>
                <w:webHidden/>
              </w:rPr>
              <w:fldChar w:fldCharType="separate"/>
            </w:r>
            <w:r>
              <w:rPr>
                <w:noProof/>
                <w:webHidden/>
              </w:rPr>
              <w:t>75</w:t>
            </w:r>
            <w:r>
              <w:rPr>
                <w:noProof/>
                <w:webHidden/>
              </w:rPr>
              <w:fldChar w:fldCharType="end"/>
            </w:r>
          </w:hyperlink>
        </w:p>
        <w:p w14:paraId="4B0492EB" w14:textId="78204434"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63" w:history="1">
            <w:r w:rsidRPr="00531F10">
              <w:rPr>
                <w:rStyle w:val="Hipervnculo"/>
                <w:noProof/>
              </w:rPr>
              <w:t>3.2.7</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Medio de cargue de archivos y envío de solicitudes</w:t>
            </w:r>
            <w:r>
              <w:rPr>
                <w:noProof/>
                <w:webHidden/>
              </w:rPr>
              <w:tab/>
            </w:r>
            <w:r>
              <w:rPr>
                <w:noProof/>
                <w:webHidden/>
              </w:rPr>
              <w:fldChar w:fldCharType="begin"/>
            </w:r>
            <w:r>
              <w:rPr>
                <w:noProof/>
                <w:webHidden/>
              </w:rPr>
              <w:instrText xml:space="preserve"> PAGEREF _Toc230879563 \h </w:instrText>
            </w:r>
            <w:r>
              <w:rPr>
                <w:noProof/>
                <w:webHidden/>
              </w:rPr>
            </w:r>
            <w:r>
              <w:rPr>
                <w:noProof/>
                <w:webHidden/>
              </w:rPr>
              <w:fldChar w:fldCharType="separate"/>
            </w:r>
            <w:r>
              <w:rPr>
                <w:noProof/>
                <w:webHidden/>
              </w:rPr>
              <w:t>75</w:t>
            </w:r>
            <w:r>
              <w:rPr>
                <w:noProof/>
                <w:webHidden/>
              </w:rPr>
              <w:fldChar w:fldCharType="end"/>
            </w:r>
          </w:hyperlink>
        </w:p>
        <w:p w14:paraId="09851CDD" w14:textId="671E6F54"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64" w:history="1">
            <w:r w:rsidRPr="00531F10">
              <w:rPr>
                <w:rStyle w:val="Hipervnculo"/>
                <w:noProof/>
              </w:rPr>
              <w:t>3.2.8</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Horarios de atención y canal de internet</w:t>
            </w:r>
            <w:r>
              <w:rPr>
                <w:noProof/>
                <w:webHidden/>
              </w:rPr>
              <w:tab/>
            </w:r>
            <w:r>
              <w:rPr>
                <w:noProof/>
                <w:webHidden/>
              </w:rPr>
              <w:fldChar w:fldCharType="begin"/>
            </w:r>
            <w:r>
              <w:rPr>
                <w:noProof/>
                <w:webHidden/>
              </w:rPr>
              <w:instrText xml:space="preserve"> PAGEREF _Toc230879564 \h </w:instrText>
            </w:r>
            <w:r>
              <w:rPr>
                <w:noProof/>
                <w:webHidden/>
              </w:rPr>
            </w:r>
            <w:r>
              <w:rPr>
                <w:noProof/>
                <w:webHidden/>
              </w:rPr>
              <w:fldChar w:fldCharType="separate"/>
            </w:r>
            <w:r>
              <w:rPr>
                <w:noProof/>
                <w:webHidden/>
              </w:rPr>
              <w:t>77</w:t>
            </w:r>
            <w:r>
              <w:rPr>
                <w:noProof/>
                <w:webHidden/>
              </w:rPr>
              <w:fldChar w:fldCharType="end"/>
            </w:r>
          </w:hyperlink>
        </w:p>
        <w:p w14:paraId="52B0F571" w14:textId="7D42C406"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65" w:history="1">
            <w:r w:rsidRPr="00531F10">
              <w:rPr>
                <w:rStyle w:val="Hipervnculo"/>
              </w:rPr>
              <w:t>4.</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ESPECIFICACIONES PARA LA PRESENTACIÓN DE LA INFORMACIÓN GEOGRÁFICA Y CARTOGRÁFICA</w:t>
            </w:r>
            <w:r>
              <w:rPr>
                <w:webHidden/>
              </w:rPr>
              <w:tab/>
            </w:r>
            <w:r>
              <w:rPr>
                <w:webHidden/>
              </w:rPr>
              <w:fldChar w:fldCharType="begin"/>
            </w:r>
            <w:r>
              <w:rPr>
                <w:webHidden/>
              </w:rPr>
              <w:instrText xml:space="preserve"> PAGEREF _Toc230879565 \h </w:instrText>
            </w:r>
            <w:r>
              <w:rPr>
                <w:webHidden/>
              </w:rPr>
            </w:r>
            <w:r>
              <w:rPr>
                <w:webHidden/>
              </w:rPr>
              <w:fldChar w:fldCharType="separate"/>
            </w:r>
            <w:r>
              <w:rPr>
                <w:webHidden/>
              </w:rPr>
              <w:t>77</w:t>
            </w:r>
            <w:r>
              <w:rPr>
                <w:webHidden/>
              </w:rPr>
              <w:fldChar w:fldCharType="end"/>
            </w:r>
          </w:hyperlink>
        </w:p>
        <w:p w14:paraId="69C4E1DD" w14:textId="5F7A52A0"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66" w:history="1">
            <w:r w:rsidRPr="00531F10">
              <w:rPr>
                <w:rStyle w:val="Hipervnculo"/>
                <w:rFonts w:cs="Arial"/>
                <w:noProof/>
              </w:rPr>
              <w:t>4.1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CAPTURA DE INFORMACIÓN</w:t>
            </w:r>
            <w:r>
              <w:rPr>
                <w:noProof/>
                <w:webHidden/>
              </w:rPr>
              <w:tab/>
            </w:r>
            <w:r>
              <w:rPr>
                <w:noProof/>
                <w:webHidden/>
              </w:rPr>
              <w:fldChar w:fldCharType="begin"/>
            </w:r>
            <w:r>
              <w:rPr>
                <w:noProof/>
                <w:webHidden/>
              </w:rPr>
              <w:instrText xml:space="preserve"> PAGEREF _Toc230879566 \h </w:instrText>
            </w:r>
            <w:r>
              <w:rPr>
                <w:noProof/>
                <w:webHidden/>
              </w:rPr>
            </w:r>
            <w:r>
              <w:rPr>
                <w:noProof/>
                <w:webHidden/>
              </w:rPr>
              <w:fldChar w:fldCharType="separate"/>
            </w:r>
            <w:r>
              <w:rPr>
                <w:noProof/>
                <w:webHidden/>
              </w:rPr>
              <w:t>78</w:t>
            </w:r>
            <w:r>
              <w:rPr>
                <w:noProof/>
                <w:webHidden/>
              </w:rPr>
              <w:fldChar w:fldCharType="end"/>
            </w:r>
          </w:hyperlink>
        </w:p>
        <w:p w14:paraId="4119D81E" w14:textId="6510E087"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67" w:history="1">
            <w:r w:rsidRPr="00531F10">
              <w:rPr>
                <w:rStyle w:val="Hipervnculo"/>
                <w:noProof/>
              </w:rPr>
              <w:t>4.1.1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Modelo de Almacenamiento Geográfico (MAG)</w:t>
            </w:r>
            <w:r>
              <w:rPr>
                <w:noProof/>
                <w:webHidden/>
              </w:rPr>
              <w:tab/>
            </w:r>
            <w:r>
              <w:rPr>
                <w:noProof/>
                <w:webHidden/>
              </w:rPr>
              <w:fldChar w:fldCharType="begin"/>
            </w:r>
            <w:r>
              <w:rPr>
                <w:noProof/>
                <w:webHidden/>
              </w:rPr>
              <w:instrText xml:space="preserve"> PAGEREF _Toc230879567 \h </w:instrText>
            </w:r>
            <w:r>
              <w:rPr>
                <w:noProof/>
                <w:webHidden/>
              </w:rPr>
            </w:r>
            <w:r>
              <w:rPr>
                <w:noProof/>
                <w:webHidden/>
              </w:rPr>
              <w:fldChar w:fldCharType="separate"/>
            </w:r>
            <w:r>
              <w:rPr>
                <w:noProof/>
                <w:webHidden/>
              </w:rPr>
              <w:t>79</w:t>
            </w:r>
            <w:r>
              <w:rPr>
                <w:noProof/>
                <w:webHidden/>
              </w:rPr>
              <w:fldChar w:fldCharType="end"/>
            </w:r>
          </w:hyperlink>
        </w:p>
        <w:p w14:paraId="1784C1E8" w14:textId="4FCD8822"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68" w:history="1">
            <w:r w:rsidRPr="00531F10">
              <w:rPr>
                <w:rStyle w:val="Hipervnculo"/>
                <w:noProof/>
              </w:rPr>
              <w:t>4.1.2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Información tipo Ráster</w:t>
            </w:r>
            <w:r>
              <w:rPr>
                <w:noProof/>
                <w:webHidden/>
              </w:rPr>
              <w:tab/>
            </w:r>
            <w:r>
              <w:rPr>
                <w:noProof/>
                <w:webHidden/>
              </w:rPr>
              <w:fldChar w:fldCharType="begin"/>
            </w:r>
            <w:r>
              <w:rPr>
                <w:noProof/>
                <w:webHidden/>
              </w:rPr>
              <w:instrText xml:space="preserve"> PAGEREF _Toc230879568 \h </w:instrText>
            </w:r>
            <w:r>
              <w:rPr>
                <w:noProof/>
                <w:webHidden/>
              </w:rPr>
            </w:r>
            <w:r>
              <w:rPr>
                <w:noProof/>
                <w:webHidden/>
              </w:rPr>
              <w:fldChar w:fldCharType="separate"/>
            </w:r>
            <w:r>
              <w:rPr>
                <w:noProof/>
                <w:webHidden/>
              </w:rPr>
              <w:t>80</w:t>
            </w:r>
            <w:r>
              <w:rPr>
                <w:noProof/>
                <w:webHidden/>
              </w:rPr>
              <w:fldChar w:fldCharType="end"/>
            </w:r>
          </w:hyperlink>
        </w:p>
        <w:p w14:paraId="5B0F8DF0" w14:textId="7A244643"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69" w:history="1">
            <w:r w:rsidRPr="00531F10">
              <w:rPr>
                <w:rStyle w:val="Hipervnculo"/>
                <w:rFonts w:cs="Arial"/>
                <w:noProof/>
              </w:rPr>
              <w:t>4.2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ENTREGA DE INFORMACIÓN GEOGRÁFICA Y CARTOGRÁFICA</w:t>
            </w:r>
            <w:r>
              <w:rPr>
                <w:noProof/>
                <w:webHidden/>
              </w:rPr>
              <w:tab/>
            </w:r>
            <w:r>
              <w:rPr>
                <w:noProof/>
                <w:webHidden/>
              </w:rPr>
              <w:fldChar w:fldCharType="begin"/>
            </w:r>
            <w:r>
              <w:rPr>
                <w:noProof/>
                <w:webHidden/>
              </w:rPr>
              <w:instrText xml:space="preserve"> PAGEREF _Toc230879569 \h </w:instrText>
            </w:r>
            <w:r>
              <w:rPr>
                <w:noProof/>
                <w:webHidden/>
              </w:rPr>
            </w:r>
            <w:r>
              <w:rPr>
                <w:noProof/>
                <w:webHidden/>
              </w:rPr>
              <w:fldChar w:fldCharType="separate"/>
            </w:r>
            <w:r>
              <w:rPr>
                <w:noProof/>
                <w:webHidden/>
              </w:rPr>
              <w:t>80</w:t>
            </w:r>
            <w:r>
              <w:rPr>
                <w:noProof/>
                <w:webHidden/>
              </w:rPr>
              <w:fldChar w:fldCharType="end"/>
            </w:r>
          </w:hyperlink>
        </w:p>
        <w:p w14:paraId="7EC513EA" w14:textId="4287A7E3"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70" w:history="1">
            <w:r w:rsidRPr="00531F10">
              <w:rPr>
                <w:rStyle w:val="Hipervnculo"/>
              </w:rPr>
              <w:t>II.</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ESPECIFICACIONES TÉCNICAS DEL DIAGNÓSTICO AMBIENTAL DE ALTERNATIVAS</w:t>
            </w:r>
            <w:r>
              <w:rPr>
                <w:webHidden/>
              </w:rPr>
              <w:tab/>
            </w:r>
            <w:r>
              <w:rPr>
                <w:webHidden/>
              </w:rPr>
              <w:fldChar w:fldCharType="begin"/>
            </w:r>
            <w:r>
              <w:rPr>
                <w:webHidden/>
              </w:rPr>
              <w:instrText xml:space="preserve"> PAGEREF _Toc230879570 \h </w:instrText>
            </w:r>
            <w:r>
              <w:rPr>
                <w:webHidden/>
              </w:rPr>
            </w:r>
            <w:r>
              <w:rPr>
                <w:webHidden/>
              </w:rPr>
              <w:fldChar w:fldCharType="separate"/>
            </w:r>
            <w:r>
              <w:rPr>
                <w:webHidden/>
              </w:rPr>
              <w:t>83</w:t>
            </w:r>
            <w:r>
              <w:rPr>
                <w:webHidden/>
              </w:rPr>
              <w:fldChar w:fldCharType="end"/>
            </w:r>
          </w:hyperlink>
        </w:p>
        <w:p w14:paraId="6999EF24" w14:textId="6A7EB6EA"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71" w:history="1">
            <w:r w:rsidRPr="00531F10">
              <w:rPr>
                <w:rStyle w:val="Hipervnculo"/>
              </w:rPr>
              <w:t>1.</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DESCRIPCIÓN DEL PROYECTO</w:t>
            </w:r>
            <w:r>
              <w:rPr>
                <w:webHidden/>
              </w:rPr>
              <w:tab/>
            </w:r>
            <w:r>
              <w:rPr>
                <w:webHidden/>
              </w:rPr>
              <w:fldChar w:fldCharType="begin"/>
            </w:r>
            <w:r>
              <w:rPr>
                <w:webHidden/>
              </w:rPr>
              <w:instrText xml:space="preserve"> PAGEREF _Toc230879571 \h </w:instrText>
            </w:r>
            <w:r>
              <w:rPr>
                <w:webHidden/>
              </w:rPr>
            </w:r>
            <w:r>
              <w:rPr>
                <w:webHidden/>
              </w:rPr>
              <w:fldChar w:fldCharType="separate"/>
            </w:r>
            <w:r>
              <w:rPr>
                <w:webHidden/>
              </w:rPr>
              <w:t>85</w:t>
            </w:r>
            <w:r>
              <w:rPr>
                <w:webHidden/>
              </w:rPr>
              <w:fldChar w:fldCharType="end"/>
            </w:r>
          </w:hyperlink>
        </w:p>
        <w:p w14:paraId="51783116" w14:textId="0D545130"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72" w:history="1">
            <w:r w:rsidRPr="00531F10">
              <w:rPr>
                <w:rStyle w:val="Hipervnculo"/>
              </w:rPr>
              <w:t>2.</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ÁREA DE ESTUDIO</w:t>
            </w:r>
            <w:r>
              <w:rPr>
                <w:webHidden/>
              </w:rPr>
              <w:tab/>
            </w:r>
            <w:r>
              <w:rPr>
                <w:webHidden/>
              </w:rPr>
              <w:fldChar w:fldCharType="begin"/>
            </w:r>
            <w:r>
              <w:rPr>
                <w:webHidden/>
              </w:rPr>
              <w:instrText xml:space="preserve"> PAGEREF _Toc230879572 \h </w:instrText>
            </w:r>
            <w:r>
              <w:rPr>
                <w:webHidden/>
              </w:rPr>
            </w:r>
            <w:r>
              <w:rPr>
                <w:webHidden/>
              </w:rPr>
              <w:fldChar w:fldCharType="separate"/>
            </w:r>
            <w:r>
              <w:rPr>
                <w:webHidden/>
              </w:rPr>
              <w:t>86</w:t>
            </w:r>
            <w:r>
              <w:rPr>
                <w:webHidden/>
              </w:rPr>
              <w:fldChar w:fldCharType="end"/>
            </w:r>
          </w:hyperlink>
        </w:p>
        <w:p w14:paraId="0B00003F" w14:textId="0AD234BA"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73" w:history="1">
            <w:r w:rsidRPr="00531F10">
              <w:rPr>
                <w:rStyle w:val="Hipervnculo"/>
              </w:rPr>
              <w:t>3.</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LINEAMIENTOS DE PARTICIPACIÓN CON LOS GRUPOS DE INTERÉS</w:t>
            </w:r>
            <w:r>
              <w:rPr>
                <w:webHidden/>
              </w:rPr>
              <w:tab/>
            </w:r>
            <w:r>
              <w:rPr>
                <w:webHidden/>
              </w:rPr>
              <w:fldChar w:fldCharType="begin"/>
            </w:r>
            <w:r>
              <w:rPr>
                <w:webHidden/>
              </w:rPr>
              <w:instrText xml:space="preserve"> PAGEREF _Toc230879573 \h </w:instrText>
            </w:r>
            <w:r>
              <w:rPr>
                <w:webHidden/>
              </w:rPr>
            </w:r>
            <w:r>
              <w:rPr>
                <w:webHidden/>
              </w:rPr>
              <w:fldChar w:fldCharType="separate"/>
            </w:r>
            <w:r>
              <w:rPr>
                <w:webHidden/>
              </w:rPr>
              <w:t>90</w:t>
            </w:r>
            <w:r>
              <w:rPr>
                <w:webHidden/>
              </w:rPr>
              <w:fldChar w:fldCharType="end"/>
            </w:r>
          </w:hyperlink>
        </w:p>
        <w:p w14:paraId="1A162FE7" w14:textId="7B154D21"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74" w:history="1">
            <w:r w:rsidRPr="00531F10">
              <w:rPr>
                <w:rStyle w:val="Hipervnculo"/>
                <w:rFonts w:cs="Arial"/>
                <w:noProof/>
              </w:rPr>
              <w:t>3.1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CARACTERÍSTICAS Y ALCANCES DE LA PARTICIPACIÓN</w:t>
            </w:r>
            <w:r>
              <w:rPr>
                <w:noProof/>
                <w:webHidden/>
              </w:rPr>
              <w:tab/>
            </w:r>
            <w:r>
              <w:rPr>
                <w:noProof/>
                <w:webHidden/>
              </w:rPr>
              <w:fldChar w:fldCharType="begin"/>
            </w:r>
            <w:r>
              <w:rPr>
                <w:noProof/>
                <w:webHidden/>
              </w:rPr>
              <w:instrText xml:space="preserve"> PAGEREF _Toc230879574 \h </w:instrText>
            </w:r>
            <w:r>
              <w:rPr>
                <w:noProof/>
                <w:webHidden/>
              </w:rPr>
            </w:r>
            <w:r>
              <w:rPr>
                <w:noProof/>
                <w:webHidden/>
              </w:rPr>
              <w:fldChar w:fldCharType="separate"/>
            </w:r>
            <w:r>
              <w:rPr>
                <w:noProof/>
                <w:webHidden/>
              </w:rPr>
              <w:t>92</w:t>
            </w:r>
            <w:r>
              <w:rPr>
                <w:noProof/>
                <w:webHidden/>
              </w:rPr>
              <w:fldChar w:fldCharType="end"/>
            </w:r>
          </w:hyperlink>
        </w:p>
        <w:p w14:paraId="6038818A" w14:textId="6BB2C190"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75" w:history="1">
            <w:r w:rsidRPr="00531F10">
              <w:rPr>
                <w:rStyle w:val="Hipervnculo"/>
                <w:rFonts w:cs="Arial"/>
                <w:bCs/>
                <w:noProof/>
                <w:spacing w:val="-3"/>
              </w:rPr>
              <w:t>3.2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bCs/>
                <w:noProof/>
                <w:spacing w:val="-3"/>
              </w:rPr>
              <w:t>FASES DEL PROCESO DE PARTICIPACIÓN</w:t>
            </w:r>
            <w:r>
              <w:rPr>
                <w:noProof/>
                <w:webHidden/>
              </w:rPr>
              <w:tab/>
            </w:r>
            <w:r>
              <w:rPr>
                <w:noProof/>
                <w:webHidden/>
              </w:rPr>
              <w:fldChar w:fldCharType="begin"/>
            </w:r>
            <w:r>
              <w:rPr>
                <w:noProof/>
                <w:webHidden/>
              </w:rPr>
              <w:instrText xml:space="preserve"> PAGEREF _Toc230879575 \h </w:instrText>
            </w:r>
            <w:r>
              <w:rPr>
                <w:noProof/>
                <w:webHidden/>
              </w:rPr>
            </w:r>
            <w:r>
              <w:rPr>
                <w:noProof/>
                <w:webHidden/>
              </w:rPr>
              <w:fldChar w:fldCharType="separate"/>
            </w:r>
            <w:r>
              <w:rPr>
                <w:noProof/>
                <w:webHidden/>
              </w:rPr>
              <w:t>95</w:t>
            </w:r>
            <w:r>
              <w:rPr>
                <w:noProof/>
                <w:webHidden/>
              </w:rPr>
              <w:fldChar w:fldCharType="end"/>
            </w:r>
          </w:hyperlink>
        </w:p>
        <w:p w14:paraId="72CE760D" w14:textId="1BE1505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76" w:history="1">
            <w:r w:rsidRPr="00531F10">
              <w:rPr>
                <w:rStyle w:val="Hipervnculo"/>
                <w:noProof/>
              </w:rPr>
              <w:t>3.2.1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Planeación</w:t>
            </w:r>
            <w:r>
              <w:rPr>
                <w:noProof/>
                <w:webHidden/>
              </w:rPr>
              <w:tab/>
            </w:r>
            <w:r>
              <w:rPr>
                <w:noProof/>
                <w:webHidden/>
              </w:rPr>
              <w:fldChar w:fldCharType="begin"/>
            </w:r>
            <w:r>
              <w:rPr>
                <w:noProof/>
                <w:webHidden/>
              </w:rPr>
              <w:instrText xml:space="preserve"> PAGEREF _Toc230879576 \h </w:instrText>
            </w:r>
            <w:r>
              <w:rPr>
                <w:noProof/>
                <w:webHidden/>
              </w:rPr>
            </w:r>
            <w:r>
              <w:rPr>
                <w:noProof/>
                <w:webHidden/>
              </w:rPr>
              <w:fldChar w:fldCharType="separate"/>
            </w:r>
            <w:r>
              <w:rPr>
                <w:noProof/>
                <w:webHidden/>
              </w:rPr>
              <w:t>95</w:t>
            </w:r>
            <w:r>
              <w:rPr>
                <w:noProof/>
                <w:webHidden/>
              </w:rPr>
              <w:fldChar w:fldCharType="end"/>
            </w:r>
          </w:hyperlink>
        </w:p>
        <w:p w14:paraId="7593D8A4" w14:textId="3B8D5BC7"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77" w:history="1">
            <w:r w:rsidRPr="00531F10">
              <w:rPr>
                <w:rStyle w:val="Hipervnculo"/>
                <w:noProof/>
              </w:rPr>
              <w:t>3.2.2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Ejecución de los espacios de participación</w:t>
            </w:r>
            <w:r>
              <w:rPr>
                <w:noProof/>
                <w:webHidden/>
              </w:rPr>
              <w:tab/>
            </w:r>
            <w:r>
              <w:rPr>
                <w:noProof/>
                <w:webHidden/>
              </w:rPr>
              <w:fldChar w:fldCharType="begin"/>
            </w:r>
            <w:r>
              <w:rPr>
                <w:noProof/>
                <w:webHidden/>
              </w:rPr>
              <w:instrText xml:space="preserve"> PAGEREF _Toc230879577 \h </w:instrText>
            </w:r>
            <w:r>
              <w:rPr>
                <w:noProof/>
                <w:webHidden/>
              </w:rPr>
            </w:r>
            <w:r>
              <w:rPr>
                <w:noProof/>
                <w:webHidden/>
              </w:rPr>
              <w:fldChar w:fldCharType="separate"/>
            </w:r>
            <w:r>
              <w:rPr>
                <w:noProof/>
                <w:webHidden/>
              </w:rPr>
              <w:t>98</w:t>
            </w:r>
            <w:r>
              <w:rPr>
                <w:noProof/>
                <w:webHidden/>
              </w:rPr>
              <w:fldChar w:fldCharType="end"/>
            </w:r>
          </w:hyperlink>
        </w:p>
        <w:p w14:paraId="43EAF899" w14:textId="536DEBB4"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78" w:history="1">
            <w:r w:rsidRPr="00531F10">
              <w:rPr>
                <w:rStyle w:val="Hipervnculo"/>
                <w:noProof/>
              </w:rPr>
              <w:t>3.2.3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Análisis de resultados</w:t>
            </w:r>
            <w:r>
              <w:rPr>
                <w:noProof/>
                <w:webHidden/>
              </w:rPr>
              <w:tab/>
            </w:r>
            <w:r>
              <w:rPr>
                <w:noProof/>
                <w:webHidden/>
              </w:rPr>
              <w:fldChar w:fldCharType="begin"/>
            </w:r>
            <w:r>
              <w:rPr>
                <w:noProof/>
                <w:webHidden/>
              </w:rPr>
              <w:instrText xml:space="preserve"> PAGEREF _Toc230879578 \h </w:instrText>
            </w:r>
            <w:r>
              <w:rPr>
                <w:noProof/>
                <w:webHidden/>
              </w:rPr>
            </w:r>
            <w:r>
              <w:rPr>
                <w:noProof/>
                <w:webHidden/>
              </w:rPr>
              <w:fldChar w:fldCharType="separate"/>
            </w:r>
            <w:r>
              <w:rPr>
                <w:noProof/>
                <w:webHidden/>
              </w:rPr>
              <w:t>100</w:t>
            </w:r>
            <w:r>
              <w:rPr>
                <w:noProof/>
                <w:webHidden/>
              </w:rPr>
              <w:fldChar w:fldCharType="end"/>
            </w:r>
          </w:hyperlink>
        </w:p>
        <w:p w14:paraId="284FEA83" w14:textId="5E3BB826"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79" w:history="1">
            <w:r w:rsidRPr="00531F10">
              <w:rPr>
                <w:rStyle w:val="Hipervnculo"/>
                <w:rFonts w:cs="Arial"/>
                <w:noProof/>
              </w:rPr>
              <w:t>3.3</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SOPORTES Y EVIDENCIAS DEL PROCESO DE PARTICIPACIÓN</w:t>
            </w:r>
            <w:r>
              <w:rPr>
                <w:noProof/>
                <w:webHidden/>
              </w:rPr>
              <w:tab/>
            </w:r>
            <w:r>
              <w:rPr>
                <w:noProof/>
                <w:webHidden/>
              </w:rPr>
              <w:fldChar w:fldCharType="begin"/>
            </w:r>
            <w:r>
              <w:rPr>
                <w:noProof/>
                <w:webHidden/>
              </w:rPr>
              <w:instrText xml:space="preserve"> PAGEREF _Toc230879579 \h </w:instrText>
            </w:r>
            <w:r>
              <w:rPr>
                <w:noProof/>
                <w:webHidden/>
              </w:rPr>
            </w:r>
            <w:r>
              <w:rPr>
                <w:noProof/>
                <w:webHidden/>
              </w:rPr>
              <w:fldChar w:fldCharType="separate"/>
            </w:r>
            <w:r>
              <w:rPr>
                <w:noProof/>
                <w:webHidden/>
              </w:rPr>
              <w:t>100</w:t>
            </w:r>
            <w:r>
              <w:rPr>
                <w:noProof/>
                <w:webHidden/>
              </w:rPr>
              <w:fldChar w:fldCharType="end"/>
            </w:r>
          </w:hyperlink>
        </w:p>
        <w:p w14:paraId="1CE470C5" w14:textId="0E4516D9"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80" w:history="1">
            <w:r w:rsidRPr="00531F10">
              <w:rPr>
                <w:rStyle w:val="Hipervnculo"/>
                <w:rFonts w:cs="Arial"/>
                <w:bCs/>
                <w:noProof/>
                <w:spacing w:val="-3"/>
              </w:rPr>
              <w:t>3.4</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spacing w:val="-3"/>
              </w:rPr>
              <w:t>MECANISMOS VIRTUALES PARA LA PARTICIPACIÓN</w:t>
            </w:r>
            <w:r>
              <w:rPr>
                <w:noProof/>
                <w:webHidden/>
              </w:rPr>
              <w:tab/>
            </w:r>
            <w:r>
              <w:rPr>
                <w:noProof/>
                <w:webHidden/>
              </w:rPr>
              <w:fldChar w:fldCharType="begin"/>
            </w:r>
            <w:r>
              <w:rPr>
                <w:noProof/>
                <w:webHidden/>
              </w:rPr>
              <w:instrText xml:space="preserve"> PAGEREF _Toc230879580 \h </w:instrText>
            </w:r>
            <w:r>
              <w:rPr>
                <w:noProof/>
                <w:webHidden/>
              </w:rPr>
            </w:r>
            <w:r>
              <w:rPr>
                <w:noProof/>
                <w:webHidden/>
              </w:rPr>
              <w:fldChar w:fldCharType="separate"/>
            </w:r>
            <w:r>
              <w:rPr>
                <w:noProof/>
                <w:webHidden/>
              </w:rPr>
              <w:t>102</w:t>
            </w:r>
            <w:r>
              <w:rPr>
                <w:noProof/>
                <w:webHidden/>
              </w:rPr>
              <w:fldChar w:fldCharType="end"/>
            </w:r>
          </w:hyperlink>
        </w:p>
        <w:p w14:paraId="02C6EC7E" w14:textId="518B9846"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581" w:history="1">
            <w:r w:rsidRPr="00531F10">
              <w:rPr>
                <w:rStyle w:val="Hipervnculo"/>
              </w:rPr>
              <w:t>4.</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CARACTERIZACIÓN DEL ÁREA DE ESTUDIO</w:t>
            </w:r>
            <w:r>
              <w:rPr>
                <w:webHidden/>
              </w:rPr>
              <w:tab/>
            </w:r>
            <w:r>
              <w:rPr>
                <w:webHidden/>
              </w:rPr>
              <w:fldChar w:fldCharType="begin"/>
            </w:r>
            <w:r>
              <w:rPr>
                <w:webHidden/>
              </w:rPr>
              <w:instrText xml:space="preserve"> PAGEREF _Toc230879581 \h </w:instrText>
            </w:r>
            <w:r>
              <w:rPr>
                <w:webHidden/>
              </w:rPr>
            </w:r>
            <w:r>
              <w:rPr>
                <w:webHidden/>
              </w:rPr>
              <w:fldChar w:fldCharType="separate"/>
            </w:r>
            <w:r>
              <w:rPr>
                <w:webHidden/>
              </w:rPr>
              <w:t>103</w:t>
            </w:r>
            <w:r>
              <w:rPr>
                <w:webHidden/>
              </w:rPr>
              <w:fldChar w:fldCharType="end"/>
            </w:r>
          </w:hyperlink>
        </w:p>
        <w:p w14:paraId="246B56B9" w14:textId="68E9293E"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82" w:history="1">
            <w:r w:rsidRPr="00531F10">
              <w:rPr>
                <w:rStyle w:val="Hipervnculo"/>
                <w:rFonts w:cs="Arial"/>
                <w:noProof/>
              </w:rPr>
              <w:t>4.1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MEDIO ABIÓTICO</w:t>
            </w:r>
            <w:r>
              <w:rPr>
                <w:noProof/>
                <w:webHidden/>
              </w:rPr>
              <w:tab/>
            </w:r>
            <w:r>
              <w:rPr>
                <w:noProof/>
                <w:webHidden/>
              </w:rPr>
              <w:fldChar w:fldCharType="begin"/>
            </w:r>
            <w:r>
              <w:rPr>
                <w:noProof/>
                <w:webHidden/>
              </w:rPr>
              <w:instrText xml:space="preserve"> PAGEREF _Toc230879582 \h </w:instrText>
            </w:r>
            <w:r>
              <w:rPr>
                <w:noProof/>
                <w:webHidden/>
              </w:rPr>
            </w:r>
            <w:r>
              <w:rPr>
                <w:noProof/>
                <w:webHidden/>
              </w:rPr>
              <w:fldChar w:fldCharType="separate"/>
            </w:r>
            <w:r>
              <w:rPr>
                <w:noProof/>
                <w:webHidden/>
              </w:rPr>
              <w:t>107</w:t>
            </w:r>
            <w:r>
              <w:rPr>
                <w:noProof/>
                <w:webHidden/>
              </w:rPr>
              <w:fldChar w:fldCharType="end"/>
            </w:r>
          </w:hyperlink>
        </w:p>
        <w:p w14:paraId="44EAAC7C" w14:textId="58719CD0"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83" w:history="1">
            <w:r w:rsidRPr="00531F10">
              <w:rPr>
                <w:rStyle w:val="Hipervnculo"/>
                <w:noProof/>
              </w:rPr>
              <w:t>4.1.1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Geológico</w:t>
            </w:r>
            <w:r>
              <w:rPr>
                <w:noProof/>
                <w:webHidden/>
              </w:rPr>
              <w:tab/>
            </w:r>
            <w:r>
              <w:rPr>
                <w:noProof/>
                <w:webHidden/>
              </w:rPr>
              <w:fldChar w:fldCharType="begin"/>
            </w:r>
            <w:r>
              <w:rPr>
                <w:noProof/>
                <w:webHidden/>
              </w:rPr>
              <w:instrText xml:space="preserve"> PAGEREF _Toc230879583 \h </w:instrText>
            </w:r>
            <w:r>
              <w:rPr>
                <w:noProof/>
                <w:webHidden/>
              </w:rPr>
            </w:r>
            <w:r>
              <w:rPr>
                <w:noProof/>
                <w:webHidden/>
              </w:rPr>
              <w:fldChar w:fldCharType="separate"/>
            </w:r>
            <w:r>
              <w:rPr>
                <w:noProof/>
                <w:webHidden/>
              </w:rPr>
              <w:t>107</w:t>
            </w:r>
            <w:r>
              <w:rPr>
                <w:noProof/>
                <w:webHidden/>
              </w:rPr>
              <w:fldChar w:fldCharType="end"/>
            </w:r>
          </w:hyperlink>
        </w:p>
        <w:p w14:paraId="79E7E124" w14:textId="3A81F3B5"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84" w:history="1">
            <w:r w:rsidRPr="00531F10">
              <w:rPr>
                <w:rStyle w:val="Hipervnculo"/>
                <w:noProof/>
              </w:rPr>
              <w:t>4.1.2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Edafológico y usos de la tierra</w:t>
            </w:r>
            <w:r>
              <w:rPr>
                <w:noProof/>
                <w:webHidden/>
              </w:rPr>
              <w:tab/>
            </w:r>
            <w:r>
              <w:rPr>
                <w:noProof/>
                <w:webHidden/>
              </w:rPr>
              <w:fldChar w:fldCharType="begin"/>
            </w:r>
            <w:r>
              <w:rPr>
                <w:noProof/>
                <w:webHidden/>
              </w:rPr>
              <w:instrText xml:space="preserve"> PAGEREF _Toc230879584 \h </w:instrText>
            </w:r>
            <w:r>
              <w:rPr>
                <w:noProof/>
                <w:webHidden/>
              </w:rPr>
            </w:r>
            <w:r>
              <w:rPr>
                <w:noProof/>
                <w:webHidden/>
              </w:rPr>
              <w:fldChar w:fldCharType="separate"/>
            </w:r>
            <w:r>
              <w:rPr>
                <w:noProof/>
                <w:webHidden/>
              </w:rPr>
              <w:t>109</w:t>
            </w:r>
            <w:r>
              <w:rPr>
                <w:noProof/>
                <w:webHidden/>
              </w:rPr>
              <w:fldChar w:fldCharType="end"/>
            </w:r>
          </w:hyperlink>
        </w:p>
        <w:p w14:paraId="4FB528F3" w14:textId="157B13FB"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85" w:history="1">
            <w:r w:rsidRPr="00531F10">
              <w:rPr>
                <w:rStyle w:val="Hipervnculo"/>
                <w:noProof/>
              </w:rPr>
              <w:t>4.1.3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Hidrológico</w:t>
            </w:r>
            <w:r>
              <w:rPr>
                <w:noProof/>
                <w:webHidden/>
              </w:rPr>
              <w:tab/>
            </w:r>
            <w:r>
              <w:rPr>
                <w:noProof/>
                <w:webHidden/>
              </w:rPr>
              <w:fldChar w:fldCharType="begin"/>
            </w:r>
            <w:r>
              <w:rPr>
                <w:noProof/>
                <w:webHidden/>
              </w:rPr>
              <w:instrText xml:space="preserve"> PAGEREF _Toc230879585 \h </w:instrText>
            </w:r>
            <w:r>
              <w:rPr>
                <w:noProof/>
                <w:webHidden/>
              </w:rPr>
            </w:r>
            <w:r>
              <w:rPr>
                <w:noProof/>
                <w:webHidden/>
              </w:rPr>
              <w:fldChar w:fldCharType="separate"/>
            </w:r>
            <w:r>
              <w:rPr>
                <w:noProof/>
                <w:webHidden/>
              </w:rPr>
              <w:t>111</w:t>
            </w:r>
            <w:r>
              <w:rPr>
                <w:noProof/>
                <w:webHidden/>
              </w:rPr>
              <w:fldChar w:fldCharType="end"/>
            </w:r>
          </w:hyperlink>
        </w:p>
        <w:p w14:paraId="73F0CA51" w14:textId="5B6C2646"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86" w:history="1">
            <w:r w:rsidRPr="00531F10">
              <w:rPr>
                <w:rStyle w:val="Hipervnculo"/>
                <w:noProof/>
              </w:rPr>
              <w:t>4.1.4</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Oceanográfico</w:t>
            </w:r>
            <w:r>
              <w:rPr>
                <w:noProof/>
                <w:webHidden/>
              </w:rPr>
              <w:tab/>
            </w:r>
            <w:r>
              <w:rPr>
                <w:noProof/>
                <w:webHidden/>
              </w:rPr>
              <w:fldChar w:fldCharType="begin"/>
            </w:r>
            <w:r>
              <w:rPr>
                <w:noProof/>
                <w:webHidden/>
              </w:rPr>
              <w:instrText xml:space="preserve"> PAGEREF _Toc230879586 \h </w:instrText>
            </w:r>
            <w:r>
              <w:rPr>
                <w:noProof/>
                <w:webHidden/>
              </w:rPr>
            </w:r>
            <w:r>
              <w:rPr>
                <w:noProof/>
                <w:webHidden/>
              </w:rPr>
              <w:fldChar w:fldCharType="separate"/>
            </w:r>
            <w:r>
              <w:rPr>
                <w:noProof/>
                <w:webHidden/>
              </w:rPr>
              <w:t>115</w:t>
            </w:r>
            <w:r>
              <w:rPr>
                <w:noProof/>
                <w:webHidden/>
              </w:rPr>
              <w:fldChar w:fldCharType="end"/>
            </w:r>
          </w:hyperlink>
        </w:p>
        <w:p w14:paraId="778E6FAC" w14:textId="6448502B"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87" w:history="1">
            <w:r w:rsidRPr="00531F10">
              <w:rPr>
                <w:rStyle w:val="Hipervnculo"/>
                <w:noProof/>
              </w:rPr>
              <w:t>4.1.5</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Hidrogeológico</w:t>
            </w:r>
            <w:r>
              <w:rPr>
                <w:noProof/>
                <w:webHidden/>
              </w:rPr>
              <w:tab/>
            </w:r>
            <w:r>
              <w:rPr>
                <w:noProof/>
                <w:webHidden/>
              </w:rPr>
              <w:fldChar w:fldCharType="begin"/>
            </w:r>
            <w:r>
              <w:rPr>
                <w:noProof/>
                <w:webHidden/>
              </w:rPr>
              <w:instrText xml:space="preserve"> PAGEREF _Toc230879587 \h </w:instrText>
            </w:r>
            <w:r>
              <w:rPr>
                <w:noProof/>
                <w:webHidden/>
              </w:rPr>
            </w:r>
            <w:r>
              <w:rPr>
                <w:noProof/>
                <w:webHidden/>
              </w:rPr>
              <w:fldChar w:fldCharType="separate"/>
            </w:r>
            <w:r>
              <w:rPr>
                <w:noProof/>
                <w:webHidden/>
              </w:rPr>
              <w:t>115</w:t>
            </w:r>
            <w:r>
              <w:rPr>
                <w:noProof/>
                <w:webHidden/>
              </w:rPr>
              <w:fldChar w:fldCharType="end"/>
            </w:r>
          </w:hyperlink>
        </w:p>
        <w:p w14:paraId="2E5F0934" w14:textId="1E530CF4"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88" w:history="1">
            <w:r w:rsidRPr="00531F10">
              <w:rPr>
                <w:rStyle w:val="Hipervnculo"/>
                <w:noProof/>
              </w:rPr>
              <w:t>4.1.6</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Atmosférico</w:t>
            </w:r>
            <w:r>
              <w:rPr>
                <w:noProof/>
                <w:webHidden/>
              </w:rPr>
              <w:tab/>
            </w:r>
            <w:r>
              <w:rPr>
                <w:noProof/>
                <w:webHidden/>
              </w:rPr>
              <w:fldChar w:fldCharType="begin"/>
            </w:r>
            <w:r>
              <w:rPr>
                <w:noProof/>
                <w:webHidden/>
              </w:rPr>
              <w:instrText xml:space="preserve"> PAGEREF _Toc230879588 \h </w:instrText>
            </w:r>
            <w:r>
              <w:rPr>
                <w:noProof/>
                <w:webHidden/>
              </w:rPr>
            </w:r>
            <w:r>
              <w:rPr>
                <w:noProof/>
                <w:webHidden/>
              </w:rPr>
              <w:fldChar w:fldCharType="separate"/>
            </w:r>
            <w:r>
              <w:rPr>
                <w:noProof/>
                <w:webHidden/>
              </w:rPr>
              <w:t>116</w:t>
            </w:r>
            <w:r>
              <w:rPr>
                <w:noProof/>
                <w:webHidden/>
              </w:rPr>
              <w:fldChar w:fldCharType="end"/>
            </w:r>
          </w:hyperlink>
        </w:p>
        <w:p w14:paraId="0EF0E324" w14:textId="63F378F5"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89" w:history="1">
            <w:r w:rsidRPr="00531F10">
              <w:rPr>
                <w:rStyle w:val="Hipervnculo"/>
                <w:rFonts w:cs="Arial"/>
                <w:noProof/>
              </w:rPr>
              <w:t>4.2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MEDIO BIÓTICO</w:t>
            </w:r>
            <w:r>
              <w:rPr>
                <w:noProof/>
                <w:webHidden/>
              </w:rPr>
              <w:tab/>
            </w:r>
            <w:r>
              <w:rPr>
                <w:noProof/>
                <w:webHidden/>
              </w:rPr>
              <w:fldChar w:fldCharType="begin"/>
            </w:r>
            <w:r>
              <w:rPr>
                <w:noProof/>
                <w:webHidden/>
              </w:rPr>
              <w:instrText xml:space="preserve"> PAGEREF _Toc230879589 \h </w:instrText>
            </w:r>
            <w:r>
              <w:rPr>
                <w:noProof/>
                <w:webHidden/>
              </w:rPr>
            </w:r>
            <w:r>
              <w:rPr>
                <w:noProof/>
                <w:webHidden/>
              </w:rPr>
              <w:fldChar w:fldCharType="separate"/>
            </w:r>
            <w:r>
              <w:rPr>
                <w:noProof/>
                <w:webHidden/>
              </w:rPr>
              <w:t>120</w:t>
            </w:r>
            <w:r>
              <w:rPr>
                <w:noProof/>
                <w:webHidden/>
              </w:rPr>
              <w:fldChar w:fldCharType="end"/>
            </w:r>
          </w:hyperlink>
        </w:p>
        <w:p w14:paraId="4A4687FC" w14:textId="1DE48361"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90" w:history="1">
            <w:r w:rsidRPr="00531F10">
              <w:rPr>
                <w:rStyle w:val="Hipervnculo"/>
                <w:noProof/>
              </w:rPr>
              <w:t>4.2.1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Ecosistemas terrestres</w:t>
            </w:r>
            <w:r>
              <w:rPr>
                <w:noProof/>
                <w:webHidden/>
              </w:rPr>
              <w:tab/>
            </w:r>
            <w:r>
              <w:rPr>
                <w:noProof/>
                <w:webHidden/>
              </w:rPr>
              <w:fldChar w:fldCharType="begin"/>
            </w:r>
            <w:r>
              <w:rPr>
                <w:noProof/>
                <w:webHidden/>
              </w:rPr>
              <w:instrText xml:space="preserve"> PAGEREF _Toc230879590 \h </w:instrText>
            </w:r>
            <w:r>
              <w:rPr>
                <w:noProof/>
                <w:webHidden/>
              </w:rPr>
            </w:r>
            <w:r>
              <w:rPr>
                <w:noProof/>
                <w:webHidden/>
              </w:rPr>
              <w:fldChar w:fldCharType="separate"/>
            </w:r>
            <w:r>
              <w:rPr>
                <w:noProof/>
                <w:webHidden/>
              </w:rPr>
              <w:t>122</w:t>
            </w:r>
            <w:r>
              <w:rPr>
                <w:noProof/>
                <w:webHidden/>
              </w:rPr>
              <w:fldChar w:fldCharType="end"/>
            </w:r>
          </w:hyperlink>
        </w:p>
        <w:p w14:paraId="0EDBB953" w14:textId="6A029A8C"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91" w:history="1">
            <w:r w:rsidRPr="00531F10">
              <w:rPr>
                <w:rStyle w:val="Hipervnculo"/>
                <w:noProof/>
              </w:rPr>
              <w:t>4.2.2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Ecosistemas acuáticos</w:t>
            </w:r>
            <w:r>
              <w:rPr>
                <w:noProof/>
                <w:webHidden/>
              </w:rPr>
              <w:tab/>
            </w:r>
            <w:r>
              <w:rPr>
                <w:noProof/>
                <w:webHidden/>
              </w:rPr>
              <w:fldChar w:fldCharType="begin"/>
            </w:r>
            <w:r>
              <w:rPr>
                <w:noProof/>
                <w:webHidden/>
              </w:rPr>
              <w:instrText xml:space="preserve"> PAGEREF _Toc230879591 \h </w:instrText>
            </w:r>
            <w:r>
              <w:rPr>
                <w:noProof/>
                <w:webHidden/>
              </w:rPr>
            </w:r>
            <w:r>
              <w:rPr>
                <w:noProof/>
                <w:webHidden/>
              </w:rPr>
              <w:fldChar w:fldCharType="separate"/>
            </w:r>
            <w:r>
              <w:rPr>
                <w:noProof/>
                <w:webHidden/>
              </w:rPr>
              <w:t>124</w:t>
            </w:r>
            <w:r>
              <w:rPr>
                <w:noProof/>
                <w:webHidden/>
              </w:rPr>
              <w:fldChar w:fldCharType="end"/>
            </w:r>
          </w:hyperlink>
        </w:p>
        <w:p w14:paraId="1E615269" w14:textId="0AAF06CE"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592" w:history="1">
            <w:r w:rsidRPr="00531F10">
              <w:rPr>
                <w:rStyle w:val="Hipervnculo"/>
                <w:rFonts w:cs="Arial"/>
                <w:noProof/>
              </w:rPr>
              <w:t>4.3</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MEDIO SOCIOECONÓMICO</w:t>
            </w:r>
            <w:r>
              <w:rPr>
                <w:noProof/>
                <w:webHidden/>
              </w:rPr>
              <w:tab/>
            </w:r>
            <w:r>
              <w:rPr>
                <w:noProof/>
                <w:webHidden/>
              </w:rPr>
              <w:fldChar w:fldCharType="begin"/>
            </w:r>
            <w:r>
              <w:rPr>
                <w:noProof/>
                <w:webHidden/>
              </w:rPr>
              <w:instrText xml:space="preserve"> PAGEREF _Toc230879592 \h </w:instrText>
            </w:r>
            <w:r>
              <w:rPr>
                <w:noProof/>
                <w:webHidden/>
              </w:rPr>
            </w:r>
            <w:r>
              <w:rPr>
                <w:noProof/>
                <w:webHidden/>
              </w:rPr>
              <w:fldChar w:fldCharType="separate"/>
            </w:r>
            <w:r>
              <w:rPr>
                <w:noProof/>
                <w:webHidden/>
              </w:rPr>
              <w:t>125</w:t>
            </w:r>
            <w:r>
              <w:rPr>
                <w:noProof/>
                <w:webHidden/>
              </w:rPr>
              <w:fldChar w:fldCharType="end"/>
            </w:r>
          </w:hyperlink>
        </w:p>
        <w:p w14:paraId="16A354E6" w14:textId="070DD342"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93" w:history="1">
            <w:r w:rsidRPr="00531F10">
              <w:rPr>
                <w:rStyle w:val="Hipervnculo"/>
                <w:noProof/>
              </w:rPr>
              <w:t>4.3.1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Demográfico</w:t>
            </w:r>
            <w:r>
              <w:rPr>
                <w:noProof/>
                <w:webHidden/>
              </w:rPr>
              <w:tab/>
            </w:r>
            <w:r>
              <w:rPr>
                <w:noProof/>
                <w:webHidden/>
              </w:rPr>
              <w:fldChar w:fldCharType="begin"/>
            </w:r>
            <w:r>
              <w:rPr>
                <w:noProof/>
                <w:webHidden/>
              </w:rPr>
              <w:instrText xml:space="preserve"> PAGEREF _Toc230879593 \h </w:instrText>
            </w:r>
            <w:r>
              <w:rPr>
                <w:noProof/>
                <w:webHidden/>
              </w:rPr>
            </w:r>
            <w:r>
              <w:rPr>
                <w:noProof/>
                <w:webHidden/>
              </w:rPr>
              <w:fldChar w:fldCharType="separate"/>
            </w:r>
            <w:r>
              <w:rPr>
                <w:noProof/>
                <w:webHidden/>
              </w:rPr>
              <w:t>126</w:t>
            </w:r>
            <w:r>
              <w:rPr>
                <w:noProof/>
                <w:webHidden/>
              </w:rPr>
              <w:fldChar w:fldCharType="end"/>
            </w:r>
          </w:hyperlink>
        </w:p>
        <w:p w14:paraId="12FCAB5D" w14:textId="75E65643"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94" w:history="1">
            <w:r w:rsidRPr="00531F10">
              <w:rPr>
                <w:rStyle w:val="Hipervnculo"/>
                <w:noProof/>
              </w:rPr>
              <w:t>4.3.2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Espacial</w:t>
            </w:r>
            <w:r>
              <w:rPr>
                <w:noProof/>
                <w:webHidden/>
              </w:rPr>
              <w:tab/>
            </w:r>
            <w:r>
              <w:rPr>
                <w:noProof/>
                <w:webHidden/>
              </w:rPr>
              <w:fldChar w:fldCharType="begin"/>
            </w:r>
            <w:r>
              <w:rPr>
                <w:noProof/>
                <w:webHidden/>
              </w:rPr>
              <w:instrText xml:space="preserve"> PAGEREF _Toc230879594 \h </w:instrText>
            </w:r>
            <w:r>
              <w:rPr>
                <w:noProof/>
                <w:webHidden/>
              </w:rPr>
            </w:r>
            <w:r>
              <w:rPr>
                <w:noProof/>
                <w:webHidden/>
              </w:rPr>
              <w:fldChar w:fldCharType="separate"/>
            </w:r>
            <w:r>
              <w:rPr>
                <w:noProof/>
                <w:webHidden/>
              </w:rPr>
              <w:t>126</w:t>
            </w:r>
            <w:r>
              <w:rPr>
                <w:noProof/>
                <w:webHidden/>
              </w:rPr>
              <w:fldChar w:fldCharType="end"/>
            </w:r>
          </w:hyperlink>
        </w:p>
        <w:p w14:paraId="0246BDEB" w14:textId="25262756"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95" w:history="1">
            <w:r w:rsidRPr="00531F10">
              <w:rPr>
                <w:rStyle w:val="Hipervnculo"/>
                <w:noProof/>
              </w:rPr>
              <w:t>4.3.3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Económico</w:t>
            </w:r>
            <w:r>
              <w:rPr>
                <w:noProof/>
                <w:webHidden/>
              </w:rPr>
              <w:tab/>
            </w:r>
            <w:r>
              <w:rPr>
                <w:noProof/>
                <w:webHidden/>
              </w:rPr>
              <w:fldChar w:fldCharType="begin"/>
            </w:r>
            <w:r>
              <w:rPr>
                <w:noProof/>
                <w:webHidden/>
              </w:rPr>
              <w:instrText xml:space="preserve"> PAGEREF _Toc230879595 \h </w:instrText>
            </w:r>
            <w:r>
              <w:rPr>
                <w:noProof/>
                <w:webHidden/>
              </w:rPr>
            </w:r>
            <w:r>
              <w:rPr>
                <w:noProof/>
                <w:webHidden/>
              </w:rPr>
              <w:fldChar w:fldCharType="separate"/>
            </w:r>
            <w:r>
              <w:rPr>
                <w:noProof/>
                <w:webHidden/>
              </w:rPr>
              <w:t>127</w:t>
            </w:r>
            <w:r>
              <w:rPr>
                <w:noProof/>
                <w:webHidden/>
              </w:rPr>
              <w:fldChar w:fldCharType="end"/>
            </w:r>
          </w:hyperlink>
        </w:p>
        <w:p w14:paraId="6EF09D83" w14:textId="2E85E0DF"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96" w:history="1">
            <w:r w:rsidRPr="00531F10">
              <w:rPr>
                <w:rStyle w:val="Hipervnculo"/>
                <w:noProof/>
              </w:rPr>
              <w:t>4.3.4</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Cultural</w:t>
            </w:r>
            <w:r>
              <w:rPr>
                <w:noProof/>
                <w:webHidden/>
              </w:rPr>
              <w:tab/>
            </w:r>
            <w:r>
              <w:rPr>
                <w:noProof/>
                <w:webHidden/>
              </w:rPr>
              <w:fldChar w:fldCharType="begin"/>
            </w:r>
            <w:r>
              <w:rPr>
                <w:noProof/>
                <w:webHidden/>
              </w:rPr>
              <w:instrText xml:space="preserve"> PAGEREF _Toc230879596 \h </w:instrText>
            </w:r>
            <w:r>
              <w:rPr>
                <w:noProof/>
                <w:webHidden/>
              </w:rPr>
            </w:r>
            <w:r>
              <w:rPr>
                <w:noProof/>
                <w:webHidden/>
              </w:rPr>
              <w:fldChar w:fldCharType="separate"/>
            </w:r>
            <w:r>
              <w:rPr>
                <w:noProof/>
                <w:webHidden/>
              </w:rPr>
              <w:t>128</w:t>
            </w:r>
            <w:r>
              <w:rPr>
                <w:noProof/>
                <w:webHidden/>
              </w:rPr>
              <w:fldChar w:fldCharType="end"/>
            </w:r>
          </w:hyperlink>
        </w:p>
        <w:p w14:paraId="1FD78CD3" w14:textId="53695535"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97" w:history="1">
            <w:r w:rsidRPr="00531F10">
              <w:rPr>
                <w:rStyle w:val="Hipervnculo"/>
                <w:noProof/>
              </w:rPr>
              <w:t>4.3.5</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Arqueológico y patrimonio cultural</w:t>
            </w:r>
            <w:r>
              <w:rPr>
                <w:noProof/>
                <w:webHidden/>
              </w:rPr>
              <w:tab/>
            </w:r>
            <w:r>
              <w:rPr>
                <w:noProof/>
                <w:webHidden/>
              </w:rPr>
              <w:fldChar w:fldCharType="begin"/>
            </w:r>
            <w:r>
              <w:rPr>
                <w:noProof/>
                <w:webHidden/>
              </w:rPr>
              <w:instrText xml:space="preserve"> PAGEREF _Toc230879597 \h </w:instrText>
            </w:r>
            <w:r>
              <w:rPr>
                <w:noProof/>
                <w:webHidden/>
              </w:rPr>
            </w:r>
            <w:r>
              <w:rPr>
                <w:noProof/>
                <w:webHidden/>
              </w:rPr>
              <w:fldChar w:fldCharType="separate"/>
            </w:r>
            <w:r>
              <w:rPr>
                <w:noProof/>
                <w:webHidden/>
              </w:rPr>
              <w:t>128</w:t>
            </w:r>
            <w:r>
              <w:rPr>
                <w:noProof/>
                <w:webHidden/>
              </w:rPr>
              <w:fldChar w:fldCharType="end"/>
            </w:r>
          </w:hyperlink>
        </w:p>
        <w:p w14:paraId="2B424A27" w14:textId="3534BAE2"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98" w:history="1">
            <w:r w:rsidRPr="00531F10">
              <w:rPr>
                <w:rStyle w:val="Hipervnculo"/>
                <w:noProof/>
              </w:rPr>
              <w:t>4.3.6</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Político-organizativo</w:t>
            </w:r>
            <w:r>
              <w:rPr>
                <w:noProof/>
                <w:webHidden/>
              </w:rPr>
              <w:tab/>
            </w:r>
            <w:r>
              <w:rPr>
                <w:noProof/>
                <w:webHidden/>
              </w:rPr>
              <w:fldChar w:fldCharType="begin"/>
            </w:r>
            <w:r>
              <w:rPr>
                <w:noProof/>
                <w:webHidden/>
              </w:rPr>
              <w:instrText xml:space="preserve"> PAGEREF _Toc230879598 \h </w:instrText>
            </w:r>
            <w:r>
              <w:rPr>
                <w:noProof/>
                <w:webHidden/>
              </w:rPr>
            </w:r>
            <w:r>
              <w:rPr>
                <w:noProof/>
                <w:webHidden/>
              </w:rPr>
              <w:fldChar w:fldCharType="separate"/>
            </w:r>
            <w:r>
              <w:rPr>
                <w:noProof/>
                <w:webHidden/>
              </w:rPr>
              <w:t>129</w:t>
            </w:r>
            <w:r>
              <w:rPr>
                <w:noProof/>
                <w:webHidden/>
              </w:rPr>
              <w:fldChar w:fldCharType="end"/>
            </w:r>
          </w:hyperlink>
        </w:p>
        <w:p w14:paraId="2923894B" w14:textId="60C13A1D"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599" w:history="1">
            <w:r w:rsidRPr="00531F10">
              <w:rPr>
                <w:rStyle w:val="Hipervnculo"/>
                <w:noProof/>
              </w:rPr>
              <w:t>4.3.7</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Tendencias del desarrollo</w:t>
            </w:r>
            <w:r>
              <w:rPr>
                <w:noProof/>
                <w:webHidden/>
              </w:rPr>
              <w:tab/>
            </w:r>
            <w:r>
              <w:rPr>
                <w:noProof/>
                <w:webHidden/>
              </w:rPr>
              <w:fldChar w:fldCharType="begin"/>
            </w:r>
            <w:r>
              <w:rPr>
                <w:noProof/>
                <w:webHidden/>
              </w:rPr>
              <w:instrText xml:space="preserve"> PAGEREF _Toc230879599 \h </w:instrText>
            </w:r>
            <w:r>
              <w:rPr>
                <w:noProof/>
                <w:webHidden/>
              </w:rPr>
            </w:r>
            <w:r>
              <w:rPr>
                <w:noProof/>
                <w:webHidden/>
              </w:rPr>
              <w:fldChar w:fldCharType="separate"/>
            </w:r>
            <w:r>
              <w:rPr>
                <w:noProof/>
                <w:webHidden/>
              </w:rPr>
              <w:t>129</w:t>
            </w:r>
            <w:r>
              <w:rPr>
                <w:noProof/>
                <w:webHidden/>
              </w:rPr>
              <w:fldChar w:fldCharType="end"/>
            </w:r>
          </w:hyperlink>
        </w:p>
        <w:p w14:paraId="5356D4E4" w14:textId="65F829E5"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00" w:history="1">
            <w:r w:rsidRPr="00531F10">
              <w:rPr>
                <w:rStyle w:val="Hipervnculo"/>
                <w:noProof/>
              </w:rPr>
              <w:t>4.3.8</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Conflictividad socioambiental</w:t>
            </w:r>
            <w:r>
              <w:rPr>
                <w:noProof/>
                <w:webHidden/>
              </w:rPr>
              <w:tab/>
            </w:r>
            <w:r>
              <w:rPr>
                <w:noProof/>
                <w:webHidden/>
              </w:rPr>
              <w:fldChar w:fldCharType="begin"/>
            </w:r>
            <w:r>
              <w:rPr>
                <w:noProof/>
                <w:webHidden/>
              </w:rPr>
              <w:instrText xml:space="preserve"> PAGEREF _Toc230879600 \h </w:instrText>
            </w:r>
            <w:r>
              <w:rPr>
                <w:noProof/>
                <w:webHidden/>
              </w:rPr>
            </w:r>
            <w:r>
              <w:rPr>
                <w:noProof/>
                <w:webHidden/>
              </w:rPr>
              <w:fldChar w:fldCharType="separate"/>
            </w:r>
            <w:r>
              <w:rPr>
                <w:noProof/>
                <w:webHidden/>
              </w:rPr>
              <w:t>130</w:t>
            </w:r>
            <w:r>
              <w:rPr>
                <w:noProof/>
                <w:webHidden/>
              </w:rPr>
              <w:fldChar w:fldCharType="end"/>
            </w:r>
          </w:hyperlink>
        </w:p>
        <w:p w14:paraId="45321614" w14:textId="5BBDB166"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01" w:history="1">
            <w:r w:rsidRPr="00531F10">
              <w:rPr>
                <w:rStyle w:val="Hipervnculo"/>
                <w:noProof/>
              </w:rPr>
              <w:t>4.3.9</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Información preliminar sobre reasentamiento involuntario de población</w:t>
            </w:r>
            <w:r>
              <w:rPr>
                <w:noProof/>
                <w:webHidden/>
              </w:rPr>
              <w:tab/>
            </w:r>
            <w:r>
              <w:rPr>
                <w:noProof/>
                <w:webHidden/>
              </w:rPr>
              <w:fldChar w:fldCharType="begin"/>
            </w:r>
            <w:r>
              <w:rPr>
                <w:noProof/>
                <w:webHidden/>
              </w:rPr>
              <w:instrText xml:space="preserve"> PAGEREF _Toc230879601 \h </w:instrText>
            </w:r>
            <w:r>
              <w:rPr>
                <w:noProof/>
                <w:webHidden/>
              </w:rPr>
            </w:r>
            <w:r>
              <w:rPr>
                <w:noProof/>
                <w:webHidden/>
              </w:rPr>
              <w:fldChar w:fldCharType="separate"/>
            </w:r>
            <w:r>
              <w:rPr>
                <w:noProof/>
                <w:webHidden/>
              </w:rPr>
              <w:t>130</w:t>
            </w:r>
            <w:r>
              <w:rPr>
                <w:noProof/>
                <w:webHidden/>
              </w:rPr>
              <w:fldChar w:fldCharType="end"/>
            </w:r>
          </w:hyperlink>
        </w:p>
        <w:p w14:paraId="2D85E2A5" w14:textId="4882C2A6"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02" w:history="1">
            <w:r w:rsidRPr="00531F10">
              <w:rPr>
                <w:rStyle w:val="Hipervnculo"/>
                <w:rFonts w:cs="Arial"/>
                <w:noProof/>
              </w:rPr>
              <w:t>4.4</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ÁREAS DE ESPECIAL INTERÉS AMBIENTAL (AEIA)</w:t>
            </w:r>
            <w:r>
              <w:rPr>
                <w:noProof/>
                <w:webHidden/>
              </w:rPr>
              <w:tab/>
            </w:r>
            <w:r>
              <w:rPr>
                <w:noProof/>
                <w:webHidden/>
              </w:rPr>
              <w:fldChar w:fldCharType="begin"/>
            </w:r>
            <w:r>
              <w:rPr>
                <w:noProof/>
                <w:webHidden/>
              </w:rPr>
              <w:instrText xml:space="preserve"> PAGEREF _Toc230879602 \h </w:instrText>
            </w:r>
            <w:r>
              <w:rPr>
                <w:noProof/>
                <w:webHidden/>
              </w:rPr>
            </w:r>
            <w:r>
              <w:rPr>
                <w:noProof/>
                <w:webHidden/>
              </w:rPr>
              <w:fldChar w:fldCharType="separate"/>
            </w:r>
            <w:r>
              <w:rPr>
                <w:noProof/>
                <w:webHidden/>
              </w:rPr>
              <w:t>131</w:t>
            </w:r>
            <w:r>
              <w:rPr>
                <w:noProof/>
                <w:webHidden/>
              </w:rPr>
              <w:fldChar w:fldCharType="end"/>
            </w:r>
          </w:hyperlink>
        </w:p>
        <w:p w14:paraId="0454A491" w14:textId="49DC635E"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03" w:history="1">
            <w:r w:rsidRPr="00531F10">
              <w:rPr>
                <w:rStyle w:val="Hipervnculo"/>
                <w:rFonts w:cs="Arial"/>
                <w:noProof/>
              </w:rPr>
              <w:t>4.5</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PAISAJE</w:t>
            </w:r>
            <w:r>
              <w:rPr>
                <w:noProof/>
                <w:webHidden/>
              </w:rPr>
              <w:tab/>
            </w:r>
            <w:r>
              <w:rPr>
                <w:noProof/>
                <w:webHidden/>
              </w:rPr>
              <w:fldChar w:fldCharType="begin"/>
            </w:r>
            <w:r>
              <w:rPr>
                <w:noProof/>
                <w:webHidden/>
              </w:rPr>
              <w:instrText xml:space="preserve"> PAGEREF _Toc230879603 \h </w:instrText>
            </w:r>
            <w:r>
              <w:rPr>
                <w:noProof/>
                <w:webHidden/>
              </w:rPr>
            </w:r>
            <w:r>
              <w:rPr>
                <w:noProof/>
                <w:webHidden/>
              </w:rPr>
              <w:fldChar w:fldCharType="separate"/>
            </w:r>
            <w:r>
              <w:rPr>
                <w:noProof/>
                <w:webHidden/>
              </w:rPr>
              <w:t>131</w:t>
            </w:r>
            <w:r>
              <w:rPr>
                <w:noProof/>
                <w:webHidden/>
              </w:rPr>
              <w:fldChar w:fldCharType="end"/>
            </w:r>
          </w:hyperlink>
        </w:p>
        <w:p w14:paraId="3E3A133C" w14:textId="053436F7"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04" w:history="1">
            <w:r w:rsidRPr="00531F10">
              <w:rPr>
                <w:rStyle w:val="Hipervnculo"/>
              </w:rPr>
              <w:t>5.</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ANÁLISIS DE RIESGOS</w:t>
            </w:r>
            <w:r>
              <w:rPr>
                <w:webHidden/>
              </w:rPr>
              <w:tab/>
            </w:r>
            <w:r>
              <w:rPr>
                <w:webHidden/>
              </w:rPr>
              <w:fldChar w:fldCharType="begin"/>
            </w:r>
            <w:r>
              <w:rPr>
                <w:webHidden/>
              </w:rPr>
              <w:instrText xml:space="preserve"> PAGEREF _Toc230879604 \h </w:instrText>
            </w:r>
            <w:r>
              <w:rPr>
                <w:webHidden/>
              </w:rPr>
            </w:r>
            <w:r>
              <w:rPr>
                <w:webHidden/>
              </w:rPr>
              <w:fldChar w:fldCharType="separate"/>
            </w:r>
            <w:r>
              <w:rPr>
                <w:webHidden/>
              </w:rPr>
              <w:t>132</w:t>
            </w:r>
            <w:r>
              <w:rPr>
                <w:webHidden/>
              </w:rPr>
              <w:fldChar w:fldCharType="end"/>
            </w:r>
          </w:hyperlink>
        </w:p>
        <w:p w14:paraId="5500C65A" w14:textId="466783BD"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05" w:history="1">
            <w:r w:rsidRPr="00531F10">
              <w:rPr>
                <w:rStyle w:val="Hipervnculo"/>
              </w:rPr>
              <w:t>6.</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ZONIFICACIÓN AMBIENTAL</w:t>
            </w:r>
            <w:r>
              <w:rPr>
                <w:webHidden/>
              </w:rPr>
              <w:tab/>
            </w:r>
            <w:r>
              <w:rPr>
                <w:webHidden/>
              </w:rPr>
              <w:fldChar w:fldCharType="begin"/>
            </w:r>
            <w:r>
              <w:rPr>
                <w:webHidden/>
              </w:rPr>
              <w:instrText xml:space="preserve"> PAGEREF _Toc230879605 \h </w:instrText>
            </w:r>
            <w:r>
              <w:rPr>
                <w:webHidden/>
              </w:rPr>
            </w:r>
            <w:r>
              <w:rPr>
                <w:webHidden/>
              </w:rPr>
              <w:fldChar w:fldCharType="separate"/>
            </w:r>
            <w:r>
              <w:rPr>
                <w:webHidden/>
              </w:rPr>
              <w:t>134</w:t>
            </w:r>
            <w:r>
              <w:rPr>
                <w:webHidden/>
              </w:rPr>
              <w:fldChar w:fldCharType="end"/>
            </w:r>
          </w:hyperlink>
        </w:p>
        <w:p w14:paraId="19C65792" w14:textId="07FB3BC2"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06" w:history="1">
            <w:r w:rsidRPr="00531F10">
              <w:rPr>
                <w:rStyle w:val="Hipervnculo"/>
              </w:rPr>
              <w:t>7.</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DETERMINACIÓN Y VALORACIÓN DE IMPACTOS</w:t>
            </w:r>
            <w:r>
              <w:rPr>
                <w:webHidden/>
              </w:rPr>
              <w:tab/>
            </w:r>
            <w:r>
              <w:rPr>
                <w:webHidden/>
              </w:rPr>
              <w:fldChar w:fldCharType="begin"/>
            </w:r>
            <w:r>
              <w:rPr>
                <w:webHidden/>
              </w:rPr>
              <w:instrText xml:space="preserve"> PAGEREF _Toc230879606 \h </w:instrText>
            </w:r>
            <w:r>
              <w:rPr>
                <w:webHidden/>
              </w:rPr>
            </w:r>
            <w:r>
              <w:rPr>
                <w:webHidden/>
              </w:rPr>
              <w:fldChar w:fldCharType="separate"/>
            </w:r>
            <w:r>
              <w:rPr>
                <w:webHidden/>
              </w:rPr>
              <w:t>135</w:t>
            </w:r>
            <w:r>
              <w:rPr>
                <w:webHidden/>
              </w:rPr>
              <w:fldChar w:fldCharType="end"/>
            </w:r>
          </w:hyperlink>
        </w:p>
        <w:p w14:paraId="691A2C97" w14:textId="71A87815"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07" w:history="1">
            <w:r w:rsidRPr="00531F10">
              <w:rPr>
                <w:rStyle w:val="Hipervnculo"/>
                <w:rFonts w:cs="Arial"/>
                <w:noProof/>
              </w:rPr>
              <w:t>7.1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ESCENARIOS PROSPECTIVOS</w:t>
            </w:r>
            <w:r>
              <w:rPr>
                <w:noProof/>
                <w:webHidden/>
              </w:rPr>
              <w:tab/>
            </w:r>
            <w:r>
              <w:rPr>
                <w:noProof/>
                <w:webHidden/>
              </w:rPr>
              <w:fldChar w:fldCharType="begin"/>
            </w:r>
            <w:r>
              <w:rPr>
                <w:noProof/>
                <w:webHidden/>
              </w:rPr>
              <w:instrText xml:space="preserve"> PAGEREF _Toc230879607 \h </w:instrText>
            </w:r>
            <w:r>
              <w:rPr>
                <w:noProof/>
                <w:webHidden/>
              </w:rPr>
            </w:r>
            <w:r>
              <w:rPr>
                <w:noProof/>
                <w:webHidden/>
              </w:rPr>
              <w:fldChar w:fldCharType="separate"/>
            </w:r>
            <w:r>
              <w:rPr>
                <w:noProof/>
                <w:webHidden/>
              </w:rPr>
              <w:t>138</w:t>
            </w:r>
            <w:r>
              <w:rPr>
                <w:noProof/>
                <w:webHidden/>
              </w:rPr>
              <w:fldChar w:fldCharType="end"/>
            </w:r>
          </w:hyperlink>
        </w:p>
        <w:p w14:paraId="2C2D91AC" w14:textId="7C635ABE"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08" w:history="1">
            <w:r w:rsidRPr="00531F10">
              <w:rPr>
                <w:rStyle w:val="Hipervnculo"/>
              </w:rPr>
              <w:t>8.</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ANÁLISIS COSTO BENEFICIO AMBIENTAL DE LAS ALTERNATIVAS</w:t>
            </w:r>
            <w:r>
              <w:rPr>
                <w:webHidden/>
              </w:rPr>
              <w:tab/>
            </w:r>
            <w:r>
              <w:rPr>
                <w:webHidden/>
              </w:rPr>
              <w:fldChar w:fldCharType="begin"/>
            </w:r>
            <w:r>
              <w:rPr>
                <w:webHidden/>
              </w:rPr>
              <w:instrText xml:space="preserve"> PAGEREF _Toc230879608 \h </w:instrText>
            </w:r>
            <w:r>
              <w:rPr>
                <w:webHidden/>
              </w:rPr>
            </w:r>
            <w:r>
              <w:rPr>
                <w:webHidden/>
              </w:rPr>
              <w:fldChar w:fldCharType="separate"/>
            </w:r>
            <w:r>
              <w:rPr>
                <w:webHidden/>
              </w:rPr>
              <w:t>139</w:t>
            </w:r>
            <w:r>
              <w:rPr>
                <w:webHidden/>
              </w:rPr>
              <w:fldChar w:fldCharType="end"/>
            </w:r>
          </w:hyperlink>
        </w:p>
        <w:p w14:paraId="6B3A2DC7" w14:textId="48EF54A5"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09" w:history="1">
            <w:r w:rsidRPr="00531F10">
              <w:rPr>
                <w:rStyle w:val="Hipervnculo"/>
              </w:rPr>
              <w:t>9.</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EVALUACIÓN Y COMPARACIÓN DE ALTERNATIVAS</w:t>
            </w:r>
            <w:r>
              <w:rPr>
                <w:webHidden/>
              </w:rPr>
              <w:tab/>
            </w:r>
            <w:r>
              <w:rPr>
                <w:webHidden/>
              </w:rPr>
              <w:fldChar w:fldCharType="begin"/>
            </w:r>
            <w:r>
              <w:rPr>
                <w:webHidden/>
              </w:rPr>
              <w:instrText xml:space="preserve"> PAGEREF _Toc230879609 \h </w:instrText>
            </w:r>
            <w:r>
              <w:rPr>
                <w:webHidden/>
              </w:rPr>
            </w:r>
            <w:r>
              <w:rPr>
                <w:webHidden/>
              </w:rPr>
              <w:fldChar w:fldCharType="separate"/>
            </w:r>
            <w:r>
              <w:rPr>
                <w:webHidden/>
              </w:rPr>
              <w:t>141</w:t>
            </w:r>
            <w:r>
              <w:rPr>
                <w:webHidden/>
              </w:rPr>
              <w:fldChar w:fldCharType="end"/>
            </w:r>
          </w:hyperlink>
        </w:p>
        <w:p w14:paraId="31FB1146" w14:textId="2C25CA1D"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10" w:history="1">
            <w:r w:rsidRPr="00531F10">
              <w:rPr>
                <w:rStyle w:val="Hipervnculo"/>
                <w:rFonts w:cs="Arial"/>
                <w:noProof/>
              </w:rPr>
              <w:t>9.1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GENERALIDADES DE LA EVALUACIÓN MULTICRITERIO</w:t>
            </w:r>
            <w:r>
              <w:rPr>
                <w:noProof/>
                <w:webHidden/>
              </w:rPr>
              <w:tab/>
            </w:r>
            <w:r>
              <w:rPr>
                <w:noProof/>
                <w:webHidden/>
              </w:rPr>
              <w:fldChar w:fldCharType="begin"/>
            </w:r>
            <w:r>
              <w:rPr>
                <w:noProof/>
                <w:webHidden/>
              </w:rPr>
              <w:instrText xml:space="preserve"> PAGEREF _Toc230879610 \h </w:instrText>
            </w:r>
            <w:r>
              <w:rPr>
                <w:noProof/>
                <w:webHidden/>
              </w:rPr>
            </w:r>
            <w:r>
              <w:rPr>
                <w:noProof/>
                <w:webHidden/>
              </w:rPr>
              <w:fldChar w:fldCharType="separate"/>
            </w:r>
            <w:r>
              <w:rPr>
                <w:noProof/>
                <w:webHidden/>
              </w:rPr>
              <w:t>142</w:t>
            </w:r>
            <w:r>
              <w:rPr>
                <w:noProof/>
                <w:webHidden/>
              </w:rPr>
              <w:fldChar w:fldCharType="end"/>
            </w:r>
          </w:hyperlink>
        </w:p>
        <w:p w14:paraId="07D26627" w14:textId="435D5B01"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11" w:history="1">
            <w:r w:rsidRPr="00531F10">
              <w:rPr>
                <w:rStyle w:val="Hipervnculo"/>
                <w:rFonts w:cs="Arial"/>
                <w:noProof/>
              </w:rPr>
              <w:t>9.2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SELECCIÓN DEL MÉTODO DE EVALUACIÓN MULTICRITERIO</w:t>
            </w:r>
            <w:r>
              <w:rPr>
                <w:noProof/>
                <w:webHidden/>
              </w:rPr>
              <w:tab/>
            </w:r>
            <w:r>
              <w:rPr>
                <w:noProof/>
                <w:webHidden/>
              </w:rPr>
              <w:fldChar w:fldCharType="begin"/>
            </w:r>
            <w:r>
              <w:rPr>
                <w:noProof/>
                <w:webHidden/>
              </w:rPr>
              <w:instrText xml:space="preserve"> PAGEREF _Toc230879611 \h </w:instrText>
            </w:r>
            <w:r>
              <w:rPr>
                <w:noProof/>
                <w:webHidden/>
              </w:rPr>
            </w:r>
            <w:r>
              <w:rPr>
                <w:noProof/>
                <w:webHidden/>
              </w:rPr>
              <w:fldChar w:fldCharType="separate"/>
            </w:r>
            <w:r>
              <w:rPr>
                <w:noProof/>
                <w:webHidden/>
              </w:rPr>
              <w:t>144</w:t>
            </w:r>
            <w:r>
              <w:rPr>
                <w:noProof/>
                <w:webHidden/>
              </w:rPr>
              <w:fldChar w:fldCharType="end"/>
            </w:r>
          </w:hyperlink>
        </w:p>
        <w:p w14:paraId="2DA590BB" w14:textId="12742DA0"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12" w:history="1">
            <w:r w:rsidRPr="00531F10">
              <w:rPr>
                <w:rStyle w:val="Hipervnculo"/>
                <w:noProof/>
              </w:rPr>
              <w:t>9.2.1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Principales características técnicas y teóricas de los métodos de EMC</w:t>
            </w:r>
            <w:r>
              <w:rPr>
                <w:noProof/>
                <w:webHidden/>
              </w:rPr>
              <w:tab/>
            </w:r>
            <w:r>
              <w:rPr>
                <w:noProof/>
                <w:webHidden/>
              </w:rPr>
              <w:fldChar w:fldCharType="begin"/>
            </w:r>
            <w:r>
              <w:rPr>
                <w:noProof/>
                <w:webHidden/>
              </w:rPr>
              <w:instrText xml:space="preserve"> PAGEREF _Toc230879612 \h </w:instrText>
            </w:r>
            <w:r>
              <w:rPr>
                <w:noProof/>
                <w:webHidden/>
              </w:rPr>
            </w:r>
            <w:r>
              <w:rPr>
                <w:noProof/>
                <w:webHidden/>
              </w:rPr>
              <w:fldChar w:fldCharType="separate"/>
            </w:r>
            <w:r>
              <w:rPr>
                <w:noProof/>
                <w:webHidden/>
              </w:rPr>
              <w:t>144</w:t>
            </w:r>
            <w:r>
              <w:rPr>
                <w:noProof/>
                <w:webHidden/>
              </w:rPr>
              <w:fldChar w:fldCharType="end"/>
            </w:r>
          </w:hyperlink>
        </w:p>
        <w:p w14:paraId="43AE1001" w14:textId="40C2BA87"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13" w:history="1">
            <w:r w:rsidRPr="00531F10">
              <w:rPr>
                <w:rStyle w:val="Hipervnculo"/>
                <w:noProof/>
              </w:rPr>
              <w:t>9.2.2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Procedimiento para seleccionar el método de evaluación multicriterio más apropiado al DAA</w:t>
            </w:r>
            <w:r>
              <w:rPr>
                <w:noProof/>
                <w:webHidden/>
              </w:rPr>
              <w:tab/>
            </w:r>
            <w:r>
              <w:rPr>
                <w:noProof/>
                <w:webHidden/>
              </w:rPr>
              <w:fldChar w:fldCharType="begin"/>
            </w:r>
            <w:r>
              <w:rPr>
                <w:noProof/>
                <w:webHidden/>
              </w:rPr>
              <w:instrText xml:space="preserve"> PAGEREF _Toc230879613 \h </w:instrText>
            </w:r>
            <w:r>
              <w:rPr>
                <w:noProof/>
                <w:webHidden/>
              </w:rPr>
            </w:r>
            <w:r>
              <w:rPr>
                <w:noProof/>
                <w:webHidden/>
              </w:rPr>
              <w:fldChar w:fldCharType="separate"/>
            </w:r>
            <w:r>
              <w:rPr>
                <w:noProof/>
                <w:webHidden/>
              </w:rPr>
              <w:t>148</w:t>
            </w:r>
            <w:r>
              <w:rPr>
                <w:noProof/>
                <w:webHidden/>
              </w:rPr>
              <w:fldChar w:fldCharType="end"/>
            </w:r>
          </w:hyperlink>
        </w:p>
        <w:p w14:paraId="07A8C771" w14:textId="423B73F2"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14" w:history="1">
            <w:r w:rsidRPr="00531F10">
              <w:rPr>
                <w:rStyle w:val="Hipervnculo"/>
                <w:rFonts w:cs="Arial"/>
                <w:noProof/>
              </w:rPr>
              <w:t>9.3</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LINEAMIENTOS PARA LA IMPLEMENTACIÓN DE LAS EVALUACIONES MULTICRITERIO EN EL MARCO DE LOS DAA</w:t>
            </w:r>
            <w:r>
              <w:rPr>
                <w:noProof/>
                <w:webHidden/>
              </w:rPr>
              <w:tab/>
            </w:r>
            <w:r>
              <w:rPr>
                <w:noProof/>
                <w:webHidden/>
              </w:rPr>
              <w:fldChar w:fldCharType="begin"/>
            </w:r>
            <w:r>
              <w:rPr>
                <w:noProof/>
                <w:webHidden/>
              </w:rPr>
              <w:instrText xml:space="preserve"> PAGEREF _Toc230879614 \h </w:instrText>
            </w:r>
            <w:r>
              <w:rPr>
                <w:noProof/>
                <w:webHidden/>
              </w:rPr>
            </w:r>
            <w:r>
              <w:rPr>
                <w:noProof/>
                <w:webHidden/>
              </w:rPr>
              <w:fldChar w:fldCharType="separate"/>
            </w:r>
            <w:r>
              <w:rPr>
                <w:noProof/>
                <w:webHidden/>
              </w:rPr>
              <w:t>155</w:t>
            </w:r>
            <w:r>
              <w:rPr>
                <w:noProof/>
                <w:webHidden/>
              </w:rPr>
              <w:fldChar w:fldCharType="end"/>
            </w:r>
          </w:hyperlink>
        </w:p>
        <w:p w14:paraId="70F7DBB1" w14:textId="76E0DD6C"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15" w:history="1">
            <w:r w:rsidRPr="00531F10">
              <w:rPr>
                <w:rStyle w:val="Hipervnculo"/>
                <w:noProof/>
              </w:rPr>
              <w:t>9.3.1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Conocer el contexto del licenciamiento ambiental como proceso de toma de decisiones</w:t>
            </w:r>
            <w:r>
              <w:rPr>
                <w:noProof/>
                <w:webHidden/>
              </w:rPr>
              <w:tab/>
            </w:r>
            <w:r>
              <w:rPr>
                <w:noProof/>
                <w:webHidden/>
              </w:rPr>
              <w:fldChar w:fldCharType="begin"/>
            </w:r>
            <w:r>
              <w:rPr>
                <w:noProof/>
                <w:webHidden/>
              </w:rPr>
              <w:instrText xml:space="preserve"> PAGEREF _Toc230879615 \h </w:instrText>
            </w:r>
            <w:r>
              <w:rPr>
                <w:noProof/>
                <w:webHidden/>
              </w:rPr>
            </w:r>
            <w:r>
              <w:rPr>
                <w:noProof/>
                <w:webHidden/>
              </w:rPr>
              <w:fldChar w:fldCharType="separate"/>
            </w:r>
            <w:r>
              <w:rPr>
                <w:noProof/>
                <w:webHidden/>
              </w:rPr>
              <w:t>155</w:t>
            </w:r>
            <w:r>
              <w:rPr>
                <w:noProof/>
                <w:webHidden/>
              </w:rPr>
              <w:fldChar w:fldCharType="end"/>
            </w:r>
          </w:hyperlink>
        </w:p>
        <w:p w14:paraId="6FB4047E" w14:textId="046E4933"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16" w:history="1">
            <w:r w:rsidRPr="00531F10">
              <w:rPr>
                <w:rStyle w:val="Hipervnculo"/>
                <w:noProof/>
              </w:rPr>
              <w:t>9.3.2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Identificar las alternativas</w:t>
            </w:r>
            <w:r>
              <w:rPr>
                <w:noProof/>
                <w:webHidden/>
              </w:rPr>
              <w:tab/>
            </w:r>
            <w:r>
              <w:rPr>
                <w:noProof/>
                <w:webHidden/>
              </w:rPr>
              <w:fldChar w:fldCharType="begin"/>
            </w:r>
            <w:r>
              <w:rPr>
                <w:noProof/>
                <w:webHidden/>
              </w:rPr>
              <w:instrText xml:space="preserve"> PAGEREF _Toc230879616 \h </w:instrText>
            </w:r>
            <w:r>
              <w:rPr>
                <w:noProof/>
                <w:webHidden/>
              </w:rPr>
            </w:r>
            <w:r>
              <w:rPr>
                <w:noProof/>
                <w:webHidden/>
              </w:rPr>
              <w:fldChar w:fldCharType="separate"/>
            </w:r>
            <w:r>
              <w:rPr>
                <w:noProof/>
                <w:webHidden/>
              </w:rPr>
              <w:t>156</w:t>
            </w:r>
            <w:r>
              <w:rPr>
                <w:noProof/>
                <w:webHidden/>
              </w:rPr>
              <w:fldChar w:fldCharType="end"/>
            </w:r>
          </w:hyperlink>
        </w:p>
        <w:p w14:paraId="681D44E4" w14:textId="546D5BFE"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17" w:history="1">
            <w:r w:rsidRPr="00531F10">
              <w:rPr>
                <w:rStyle w:val="Hipervnculo"/>
                <w:noProof/>
              </w:rPr>
              <w:t>9.3.3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Establecer los criterios de evaluación</w:t>
            </w:r>
            <w:r>
              <w:rPr>
                <w:noProof/>
                <w:webHidden/>
              </w:rPr>
              <w:tab/>
            </w:r>
            <w:r>
              <w:rPr>
                <w:noProof/>
                <w:webHidden/>
              </w:rPr>
              <w:fldChar w:fldCharType="begin"/>
            </w:r>
            <w:r>
              <w:rPr>
                <w:noProof/>
                <w:webHidden/>
              </w:rPr>
              <w:instrText xml:space="preserve"> PAGEREF _Toc230879617 \h </w:instrText>
            </w:r>
            <w:r>
              <w:rPr>
                <w:noProof/>
                <w:webHidden/>
              </w:rPr>
            </w:r>
            <w:r>
              <w:rPr>
                <w:noProof/>
                <w:webHidden/>
              </w:rPr>
              <w:fldChar w:fldCharType="separate"/>
            </w:r>
            <w:r>
              <w:rPr>
                <w:noProof/>
                <w:webHidden/>
              </w:rPr>
              <w:t>157</w:t>
            </w:r>
            <w:r>
              <w:rPr>
                <w:noProof/>
                <w:webHidden/>
              </w:rPr>
              <w:fldChar w:fldCharType="end"/>
            </w:r>
          </w:hyperlink>
        </w:p>
        <w:p w14:paraId="45E8C70E" w14:textId="752F8C86"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18" w:history="1">
            <w:r w:rsidRPr="00531F10">
              <w:rPr>
                <w:rStyle w:val="Hipervnculo"/>
                <w:noProof/>
              </w:rPr>
              <w:t>9.3.4</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Ejecutar el procedimiento de EMC del método seleccionado</w:t>
            </w:r>
            <w:r>
              <w:rPr>
                <w:noProof/>
                <w:webHidden/>
              </w:rPr>
              <w:tab/>
            </w:r>
            <w:r>
              <w:rPr>
                <w:noProof/>
                <w:webHidden/>
              </w:rPr>
              <w:fldChar w:fldCharType="begin"/>
            </w:r>
            <w:r>
              <w:rPr>
                <w:noProof/>
                <w:webHidden/>
              </w:rPr>
              <w:instrText xml:space="preserve"> PAGEREF _Toc230879618 \h </w:instrText>
            </w:r>
            <w:r>
              <w:rPr>
                <w:noProof/>
                <w:webHidden/>
              </w:rPr>
            </w:r>
            <w:r>
              <w:rPr>
                <w:noProof/>
                <w:webHidden/>
              </w:rPr>
              <w:fldChar w:fldCharType="separate"/>
            </w:r>
            <w:r>
              <w:rPr>
                <w:noProof/>
                <w:webHidden/>
              </w:rPr>
              <w:t>159</w:t>
            </w:r>
            <w:r>
              <w:rPr>
                <w:noProof/>
                <w:webHidden/>
              </w:rPr>
              <w:fldChar w:fldCharType="end"/>
            </w:r>
          </w:hyperlink>
        </w:p>
        <w:p w14:paraId="0E2930F7" w14:textId="7029935B"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19" w:history="1">
            <w:r w:rsidRPr="00531F10">
              <w:rPr>
                <w:rStyle w:val="Hipervnculo"/>
                <w:noProof/>
              </w:rPr>
              <w:t>9.3.5</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Ejecutar un análisis de sensibilidad</w:t>
            </w:r>
            <w:r>
              <w:rPr>
                <w:noProof/>
                <w:webHidden/>
              </w:rPr>
              <w:tab/>
            </w:r>
            <w:r>
              <w:rPr>
                <w:noProof/>
                <w:webHidden/>
              </w:rPr>
              <w:fldChar w:fldCharType="begin"/>
            </w:r>
            <w:r>
              <w:rPr>
                <w:noProof/>
                <w:webHidden/>
              </w:rPr>
              <w:instrText xml:space="preserve"> PAGEREF _Toc230879619 \h </w:instrText>
            </w:r>
            <w:r>
              <w:rPr>
                <w:noProof/>
                <w:webHidden/>
              </w:rPr>
            </w:r>
            <w:r>
              <w:rPr>
                <w:noProof/>
                <w:webHidden/>
              </w:rPr>
              <w:fldChar w:fldCharType="separate"/>
            </w:r>
            <w:r>
              <w:rPr>
                <w:noProof/>
                <w:webHidden/>
              </w:rPr>
              <w:t>163</w:t>
            </w:r>
            <w:r>
              <w:rPr>
                <w:noProof/>
                <w:webHidden/>
              </w:rPr>
              <w:fldChar w:fldCharType="end"/>
            </w:r>
          </w:hyperlink>
        </w:p>
        <w:p w14:paraId="5D483524" w14:textId="57525BD0"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20" w:history="1">
            <w:r w:rsidRPr="00531F10">
              <w:rPr>
                <w:rStyle w:val="Hipervnculo"/>
                <w:noProof/>
              </w:rPr>
              <w:t>9.3.6</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Formular ajustes a las alternativas</w:t>
            </w:r>
            <w:r>
              <w:rPr>
                <w:noProof/>
                <w:webHidden/>
              </w:rPr>
              <w:tab/>
            </w:r>
            <w:r>
              <w:rPr>
                <w:noProof/>
                <w:webHidden/>
              </w:rPr>
              <w:fldChar w:fldCharType="begin"/>
            </w:r>
            <w:r>
              <w:rPr>
                <w:noProof/>
                <w:webHidden/>
              </w:rPr>
              <w:instrText xml:space="preserve"> PAGEREF _Toc230879620 \h </w:instrText>
            </w:r>
            <w:r>
              <w:rPr>
                <w:noProof/>
                <w:webHidden/>
              </w:rPr>
            </w:r>
            <w:r>
              <w:rPr>
                <w:noProof/>
                <w:webHidden/>
              </w:rPr>
              <w:fldChar w:fldCharType="separate"/>
            </w:r>
            <w:r>
              <w:rPr>
                <w:noProof/>
                <w:webHidden/>
              </w:rPr>
              <w:t>164</w:t>
            </w:r>
            <w:r>
              <w:rPr>
                <w:noProof/>
                <w:webHidden/>
              </w:rPr>
              <w:fldChar w:fldCharType="end"/>
            </w:r>
          </w:hyperlink>
        </w:p>
        <w:p w14:paraId="362B95DF" w14:textId="459F1A5B"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21" w:history="1">
            <w:r w:rsidRPr="00531F10">
              <w:rPr>
                <w:rStyle w:val="Hipervnculo"/>
                <w:noProof/>
              </w:rPr>
              <w:t>9.3.7</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Repetir la EMC hasta obtener una buena evaluación</w:t>
            </w:r>
            <w:r>
              <w:rPr>
                <w:noProof/>
                <w:webHidden/>
              </w:rPr>
              <w:tab/>
            </w:r>
            <w:r>
              <w:rPr>
                <w:noProof/>
                <w:webHidden/>
              </w:rPr>
              <w:fldChar w:fldCharType="begin"/>
            </w:r>
            <w:r>
              <w:rPr>
                <w:noProof/>
                <w:webHidden/>
              </w:rPr>
              <w:instrText xml:space="preserve"> PAGEREF _Toc230879621 \h </w:instrText>
            </w:r>
            <w:r>
              <w:rPr>
                <w:noProof/>
                <w:webHidden/>
              </w:rPr>
            </w:r>
            <w:r>
              <w:rPr>
                <w:noProof/>
                <w:webHidden/>
              </w:rPr>
              <w:fldChar w:fldCharType="separate"/>
            </w:r>
            <w:r>
              <w:rPr>
                <w:noProof/>
                <w:webHidden/>
              </w:rPr>
              <w:t>164</w:t>
            </w:r>
            <w:r>
              <w:rPr>
                <w:noProof/>
                <w:webHidden/>
              </w:rPr>
              <w:fldChar w:fldCharType="end"/>
            </w:r>
          </w:hyperlink>
        </w:p>
        <w:p w14:paraId="41216627" w14:textId="68BE1A70"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22" w:history="1">
            <w:r w:rsidRPr="00531F10">
              <w:rPr>
                <w:rStyle w:val="Hipervnculo"/>
                <w:rFonts w:cs="Arial"/>
                <w:noProof/>
              </w:rPr>
              <w:t>9.4</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CRITERIOS PARA LA COMPARACIÓN DE ALTERNATIVAS</w:t>
            </w:r>
            <w:r>
              <w:rPr>
                <w:noProof/>
                <w:webHidden/>
              </w:rPr>
              <w:tab/>
            </w:r>
            <w:r>
              <w:rPr>
                <w:noProof/>
                <w:webHidden/>
              </w:rPr>
              <w:fldChar w:fldCharType="begin"/>
            </w:r>
            <w:r>
              <w:rPr>
                <w:noProof/>
                <w:webHidden/>
              </w:rPr>
              <w:instrText xml:space="preserve"> PAGEREF _Toc230879622 \h </w:instrText>
            </w:r>
            <w:r>
              <w:rPr>
                <w:noProof/>
                <w:webHidden/>
              </w:rPr>
            </w:r>
            <w:r>
              <w:rPr>
                <w:noProof/>
                <w:webHidden/>
              </w:rPr>
              <w:fldChar w:fldCharType="separate"/>
            </w:r>
            <w:r>
              <w:rPr>
                <w:noProof/>
                <w:webHidden/>
              </w:rPr>
              <w:t>165</w:t>
            </w:r>
            <w:r>
              <w:rPr>
                <w:noProof/>
                <w:webHidden/>
              </w:rPr>
              <w:fldChar w:fldCharType="end"/>
            </w:r>
          </w:hyperlink>
        </w:p>
        <w:p w14:paraId="3958AD5A" w14:textId="5D392D9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23" w:history="1">
            <w:r w:rsidRPr="00531F10">
              <w:rPr>
                <w:rStyle w:val="Hipervnculo"/>
                <w:noProof/>
              </w:rPr>
              <w:t>9.4.1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Criterios relacionados con el medio abiótico</w:t>
            </w:r>
            <w:r>
              <w:rPr>
                <w:noProof/>
                <w:webHidden/>
              </w:rPr>
              <w:tab/>
            </w:r>
            <w:r>
              <w:rPr>
                <w:noProof/>
                <w:webHidden/>
              </w:rPr>
              <w:fldChar w:fldCharType="begin"/>
            </w:r>
            <w:r>
              <w:rPr>
                <w:noProof/>
                <w:webHidden/>
              </w:rPr>
              <w:instrText xml:space="preserve"> PAGEREF _Toc230879623 \h </w:instrText>
            </w:r>
            <w:r>
              <w:rPr>
                <w:noProof/>
                <w:webHidden/>
              </w:rPr>
            </w:r>
            <w:r>
              <w:rPr>
                <w:noProof/>
                <w:webHidden/>
              </w:rPr>
              <w:fldChar w:fldCharType="separate"/>
            </w:r>
            <w:r>
              <w:rPr>
                <w:noProof/>
                <w:webHidden/>
              </w:rPr>
              <w:t>166</w:t>
            </w:r>
            <w:r>
              <w:rPr>
                <w:noProof/>
                <w:webHidden/>
              </w:rPr>
              <w:fldChar w:fldCharType="end"/>
            </w:r>
          </w:hyperlink>
        </w:p>
        <w:p w14:paraId="19FF1E9A" w14:textId="3D5FB379"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24" w:history="1">
            <w:r w:rsidRPr="00531F10">
              <w:rPr>
                <w:rStyle w:val="Hipervnculo"/>
                <w:noProof/>
              </w:rPr>
              <w:t>9.4.2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Criterios relacionados con el medio biótico</w:t>
            </w:r>
            <w:r>
              <w:rPr>
                <w:noProof/>
                <w:webHidden/>
              </w:rPr>
              <w:tab/>
            </w:r>
            <w:r>
              <w:rPr>
                <w:noProof/>
                <w:webHidden/>
              </w:rPr>
              <w:fldChar w:fldCharType="begin"/>
            </w:r>
            <w:r>
              <w:rPr>
                <w:noProof/>
                <w:webHidden/>
              </w:rPr>
              <w:instrText xml:space="preserve"> PAGEREF _Toc230879624 \h </w:instrText>
            </w:r>
            <w:r>
              <w:rPr>
                <w:noProof/>
                <w:webHidden/>
              </w:rPr>
            </w:r>
            <w:r>
              <w:rPr>
                <w:noProof/>
                <w:webHidden/>
              </w:rPr>
              <w:fldChar w:fldCharType="separate"/>
            </w:r>
            <w:r>
              <w:rPr>
                <w:noProof/>
                <w:webHidden/>
              </w:rPr>
              <w:t>167</w:t>
            </w:r>
            <w:r>
              <w:rPr>
                <w:noProof/>
                <w:webHidden/>
              </w:rPr>
              <w:fldChar w:fldCharType="end"/>
            </w:r>
          </w:hyperlink>
        </w:p>
        <w:p w14:paraId="6B45C9AB" w14:textId="72ED9E4C"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25" w:history="1">
            <w:r w:rsidRPr="00531F10">
              <w:rPr>
                <w:rStyle w:val="Hipervnculo"/>
                <w:noProof/>
              </w:rPr>
              <w:t>9.4.3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Criterios relacionados con el medio socioeconómico</w:t>
            </w:r>
            <w:r>
              <w:rPr>
                <w:noProof/>
                <w:webHidden/>
              </w:rPr>
              <w:tab/>
            </w:r>
            <w:r>
              <w:rPr>
                <w:noProof/>
                <w:webHidden/>
              </w:rPr>
              <w:fldChar w:fldCharType="begin"/>
            </w:r>
            <w:r>
              <w:rPr>
                <w:noProof/>
                <w:webHidden/>
              </w:rPr>
              <w:instrText xml:space="preserve"> PAGEREF _Toc230879625 \h </w:instrText>
            </w:r>
            <w:r>
              <w:rPr>
                <w:noProof/>
                <w:webHidden/>
              </w:rPr>
            </w:r>
            <w:r>
              <w:rPr>
                <w:noProof/>
                <w:webHidden/>
              </w:rPr>
              <w:fldChar w:fldCharType="separate"/>
            </w:r>
            <w:r>
              <w:rPr>
                <w:noProof/>
                <w:webHidden/>
              </w:rPr>
              <w:t>168</w:t>
            </w:r>
            <w:r>
              <w:rPr>
                <w:noProof/>
                <w:webHidden/>
              </w:rPr>
              <w:fldChar w:fldCharType="end"/>
            </w:r>
          </w:hyperlink>
        </w:p>
        <w:p w14:paraId="6F568926" w14:textId="1A9868DA"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26" w:history="1">
            <w:r w:rsidRPr="00531F10">
              <w:rPr>
                <w:rStyle w:val="Hipervnculo"/>
                <w:noProof/>
              </w:rPr>
              <w:t>9.4.4</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Criterios de tipo general</w:t>
            </w:r>
            <w:r>
              <w:rPr>
                <w:noProof/>
                <w:webHidden/>
              </w:rPr>
              <w:tab/>
            </w:r>
            <w:r>
              <w:rPr>
                <w:noProof/>
                <w:webHidden/>
              </w:rPr>
              <w:fldChar w:fldCharType="begin"/>
            </w:r>
            <w:r>
              <w:rPr>
                <w:noProof/>
                <w:webHidden/>
              </w:rPr>
              <w:instrText xml:space="preserve"> PAGEREF _Toc230879626 \h </w:instrText>
            </w:r>
            <w:r>
              <w:rPr>
                <w:noProof/>
                <w:webHidden/>
              </w:rPr>
            </w:r>
            <w:r>
              <w:rPr>
                <w:noProof/>
                <w:webHidden/>
              </w:rPr>
              <w:fldChar w:fldCharType="separate"/>
            </w:r>
            <w:r>
              <w:rPr>
                <w:noProof/>
                <w:webHidden/>
              </w:rPr>
              <w:t>170</w:t>
            </w:r>
            <w:r>
              <w:rPr>
                <w:noProof/>
                <w:webHidden/>
              </w:rPr>
              <w:fldChar w:fldCharType="end"/>
            </w:r>
          </w:hyperlink>
        </w:p>
        <w:p w14:paraId="65D86386" w14:textId="3612BA21"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27" w:history="1">
            <w:r w:rsidRPr="00531F10">
              <w:rPr>
                <w:rStyle w:val="Hipervnculo"/>
              </w:rPr>
              <w:t>III.</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ESPECIFICACIONES TÉCNICAS DEL ESTUDIO DE IMPACTO AMBIENTAL</w:t>
            </w:r>
            <w:r>
              <w:rPr>
                <w:webHidden/>
              </w:rPr>
              <w:tab/>
            </w:r>
            <w:r>
              <w:rPr>
                <w:webHidden/>
              </w:rPr>
              <w:fldChar w:fldCharType="begin"/>
            </w:r>
            <w:r>
              <w:rPr>
                <w:webHidden/>
              </w:rPr>
              <w:instrText xml:space="preserve"> PAGEREF _Toc230879627 \h </w:instrText>
            </w:r>
            <w:r>
              <w:rPr>
                <w:webHidden/>
              </w:rPr>
            </w:r>
            <w:r>
              <w:rPr>
                <w:webHidden/>
              </w:rPr>
              <w:fldChar w:fldCharType="separate"/>
            </w:r>
            <w:r>
              <w:rPr>
                <w:webHidden/>
              </w:rPr>
              <w:t>171</w:t>
            </w:r>
            <w:r>
              <w:rPr>
                <w:webHidden/>
              </w:rPr>
              <w:fldChar w:fldCharType="end"/>
            </w:r>
          </w:hyperlink>
        </w:p>
        <w:p w14:paraId="396EFB19" w14:textId="22C87FD2"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28" w:history="1">
            <w:r w:rsidRPr="00531F10">
              <w:rPr>
                <w:rStyle w:val="Hipervnculo"/>
              </w:rPr>
              <w:t>1.</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DESCRIPCIÓN DEL PROYECTO</w:t>
            </w:r>
            <w:r>
              <w:rPr>
                <w:webHidden/>
              </w:rPr>
              <w:tab/>
            </w:r>
            <w:r>
              <w:rPr>
                <w:webHidden/>
              </w:rPr>
              <w:fldChar w:fldCharType="begin"/>
            </w:r>
            <w:r>
              <w:rPr>
                <w:webHidden/>
              </w:rPr>
              <w:instrText xml:space="preserve"> PAGEREF _Toc230879628 \h </w:instrText>
            </w:r>
            <w:r>
              <w:rPr>
                <w:webHidden/>
              </w:rPr>
            </w:r>
            <w:r>
              <w:rPr>
                <w:webHidden/>
              </w:rPr>
              <w:fldChar w:fldCharType="separate"/>
            </w:r>
            <w:r>
              <w:rPr>
                <w:webHidden/>
              </w:rPr>
              <w:t>172</w:t>
            </w:r>
            <w:r>
              <w:rPr>
                <w:webHidden/>
              </w:rPr>
              <w:fldChar w:fldCharType="end"/>
            </w:r>
          </w:hyperlink>
        </w:p>
        <w:p w14:paraId="71A3CBBD" w14:textId="1F53608A"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29" w:history="1">
            <w:r w:rsidRPr="00531F10">
              <w:rPr>
                <w:rStyle w:val="Hipervnculo"/>
              </w:rPr>
              <w:t>2.</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ÁREA DE INFLUENCIA</w:t>
            </w:r>
            <w:r>
              <w:rPr>
                <w:webHidden/>
              </w:rPr>
              <w:tab/>
            </w:r>
            <w:r>
              <w:rPr>
                <w:webHidden/>
              </w:rPr>
              <w:fldChar w:fldCharType="begin"/>
            </w:r>
            <w:r>
              <w:rPr>
                <w:webHidden/>
              </w:rPr>
              <w:instrText xml:space="preserve"> PAGEREF _Toc230879629 \h </w:instrText>
            </w:r>
            <w:r>
              <w:rPr>
                <w:webHidden/>
              </w:rPr>
            </w:r>
            <w:r>
              <w:rPr>
                <w:webHidden/>
              </w:rPr>
              <w:fldChar w:fldCharType="separate"/>
            </w:r>
            <w:r>
              <w:rPr>
                <w:webHidden/>
              </w:rPr>
              <w:t>175</w:t>
            </w:r>
            <w:r>
              <w:rPr>
                <w:webHidden/>
              </w:rPr>
              <w:fldChar w:fldCharType="end"/>
            </w:r>
          </w:hyperlink>
        </w:p>
        <w:p w14:paraId="33CC13D0" w14:textId="352B4ADE"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30" w:history="1">
            <w:r w:rsidRPr="00531F10">
              <w:rPr>
                <w:rStyle w:val="Hipervnculo"/>
                <w:rFonts w:cs="Arial"/>
                <w:noProof/>
              </w:rPr>
              <w:t>2.1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PROCEDIMIENTO GENERAL PARA LA DELIMITACIÓN DEL ÁREA DE INFLUENCIA</w:t>
            </w:r>
            <w:r>
              <w:rPr>
                <w:noProof/>
                <w:webHidden/>
              </w:rPr>
              <w:tab/>
            </w:r>
            <w:r>
              <w:rPr>
                <w:noProof/>
                <w:webHidden/>
              </w:rPr>
              <w:fldChar w:fldCharType="begin"/>
            </w:r>
            <w:r>
              <w:rPr>
                <w:noProof/>
                <w:webHidden/>
              </w:rPr>
              <w:instrText xml:space="preserve"> PAGEREF _Toc230879630 \h </w:instrText>
            </w:r>
            <w:r>
              <w:rPr>
                <w:noProof/>
                <w:webHidden/>
              </w:rPr>
            </w:r>
            <w:r>
              <w:rPr>
                <w:noProof/>
                <w:webHidden/>
              </w:rPr>
              <w:fldChar w:fldCharType="separate"/>
            </w:r>
            <w:r>
              <w:rPr>
                <w:noProof/>
                <w:webHidden/>
              </w:rPr>
              <w:t>181</w:t>
            </w:r>
            <w:r>
              <w:rPr>
                <w:noProof/>
                <w:webHidden/>
              </w:rPr>
              <w:fldChar w:fldCharType="end"/>
            </w:r>
          </w:hyperlink>
        </w:p>
        <w:p w14:paraId="3720D9AC" w14:textId="3B2D8D07"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31" w:history="1">
            <w:r w:rsidRPr="00531F10">
              <w:rPr>
                <w:rStyle w:val="Hipervnculo"/>
                <w:rFonts w:cs="Arial"/>
                <w:noProof/>
              </w:rPr>
              <w:t>2.2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LINEAMIENTOS PARA LA DELIMITACIÓN DEL ÁREA DE INFLUENCIA DEL MEDIO ABIÓTICO</w:t>
            </w:r>
            <w:r>
              <w:rPr>
                <w:noProof/>
                <w:webHidden/>
              </w:rPr>
              <w:tab/>
            </w:r>
            <w:r>
              <w:rPr>
                <w:noProof/>
                <w:webHidden/>
              </w:rPr>
              <w:fldChar w:fldCharType="begin"/>
            </w:r>
            <w:r>
              <w:rPr>
                <w:noProof/>
                <w:webHidden/>
              </w:rPr>
              <w:instrText xml:space="preserve"> PAGEREF _Toc230879631 \h </w:instrText>
            </w:r>
            <w:r>
              <w:rPr>
                <w:noProof/>
                <w:webHidden/>
              </w:rPr>
            </w:r>
            <w:r>
              <w:rPr>
                <w:noProof/>
                <w:webHidden/>
              </w:rPr>
              <w:fldChar w:fldCharType="separate"/>
            </w:r>
            <w:r>
              <w:rPr>
                <w:noProof/>
                <w:webHidden/>
              </w:rPr>
              <w:t>189</w:t>
            </w:r>
            <w:r>
              <w:rPr>
                <w:noProof/>
                <w:webHidden/>
              </w:rPr>
              <w:fldChar w:fldCharType="end"/>
            </w:r>
          </w:hyperlink>
        </w:p>
        <w:p w14:paraId="024B5D6D" w14:textId="476883F5"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32" w:history="1">
            <w:r w:rsidRPr="00531F10">
              <w:rPr>
                <w:rStyle w:val="Hipervnculo"/>
                <w:noProof/>
              </w:rPr>
              <w:t>2.2.1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Hidrológico</w:t>
            </w:r>
            <w:r>
              <w:rPr>
                <w:noProof/>
                <w:webHidden/>
              </w:rPr>
              <w:tab/>
            </w:r>
            <w:r>
              <w:rPr>
                <w:noProof/>
                <w:webHidden/>
              </w:rPr>
              <w:fldChar w:fldCharType="begin"/>
            </w:r>
            <w:r>
              <w:rPr>
                <w:noProof/>
                <w:webHidden/>
              </w:rPr>
              <w:instrText xml:space="preserve"> PAGEREF _Toc230879632 \h </w:instrText>
            </w:r>
            <w:r>
              <w:rPr>
                <w:noProof/>
                <w:webHidden/>
              </w:rPr>
            </w:r>
            <w:r>
              <w:rPr>
                <w:noProof/>
                <w:webHidden/>
              </w:rPr>
              <w:fldChar w:fldCharType="separate"/>
            </w:r>
            <w:r>
              <w:rPr>
                <w:noProof/>
                <w:webHidden/>
              </w:rPr>
              <w:t>190</w:t>
            </w:r>
            <w:r>
              <w:rPr>
                <w:noProof/>
                <w:webHidden/>
              </w:rPr>
              <w:fldChar w:fldCharType="end"/>
            </w:r>
          </w:hyperlink>
        </w:p>
        <w:p w14:paraId="204BCC15" w14:textId="5017A6D6"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33" w:history="1">
            <w:r w:rsidRPr="00531F10">
              <w:rPr>
                <w:rStyle w:val="Hipervnculo"/>
                <w:noProof/>
              </w:rPr>
              <w:t>2.2.2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Atmosférico</w:t>
            </w:r>
            <w:r>
              <w:rPr>
                <w:noProof/>
                <w:webHidden/>
              </w:rPr>
              <w:tab/>
            </w:r>
            <w:r>
              <w:rPr>
                <w:noProof/>
                <w:webHidden/>
              </w:rPr>
              <w:fldChar w:fldCharType="begin"/>
            </w:r>
            <w:r>
              <w:rPr>
                <w:noProof/>
                <w:webHidden/>
              </w:rPr>
              <w:instrText xml:space="preserve"> PAGEREF _Toc230879633 \h </w:instrText>
            </w:r>
            <w:r>
              <w:rPr>
                <w:noProof/>
                <w:webHidden/>
              </w:rPr>
            </w:r>
            <w:r>
              <w:rPr>
                <w:noProof/>
                <w:webHidden/>
              </w:rPr>
              <w:fldChar w:fldCharType="separate"/>
            </w:r>
            <w:r>
              <w:rPr>
                <w:noProof/>
                <w:webHidden/>
              </w:rPr>
              <w:t>191</w:t>
            </w:r>
            <w:r>
              <w:rPr>
                <w:noProof/>
                <w:webHidden/>
              </w:rPr>
              <w:fldChar w:fldCharType="end"/>
            </w:r>
          </w:hyperlink>
        </w:p>
        <w:p w14:paraId="16E0FEED" w14:textId="582AF2A7"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34" w:history="1">
            <w:r w:rsidRPr="00531F10">
              <w:rPr>
                <w:rStyle w:val="Hipervnculo"/>
                <w:rFonts w:cs="Arial"/>
                <w:noProof/>
              </w:rPr>
              <w:t>2.3</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LINEAMIENTOS PARA LA DELIMITACIÓN DEL ÁREA DE INFLUENCIA DEL MEDIO BIÓTICO</w:t>
            </w:r>
            <w:r>
              <w:rPr>
                <w:noProof/>
                <w:webHidden/>
              </w:rPr>
              <w:tab/>
            </w:r>
            <w:r>
              <w:rPr>
                <w:noProof/>
                <w:webHidden/>
              </w:rPr>
              <w:fldChar w:fldCharType="begin"/>
            </w:r>
            <w:r>
              <w:rPr>
                <w:noProof/>
                <w:webHidden/>
              </w:rPr>
              <w:instrText xml:space="preserve"> PAGEREF _Toc230879634 \h </w:instrText>
            </w:r>
            <w:r>
              <w:rPr>
                <w:noProof/>
                <w:webHidden/>
              </w:rPr>
            </w:r>
            <w:r>
              <w:rPr>
                <w:noProof/>
                <w:webHidden/>
              </w:rPr>
              <w:fldChar w:fldCharType="separate"/>
            </w:r>
            <w:r>
              <w:rPr>
                <w:noProof/>
                <w:webHidden/>
              </w:rPr>
              <w:t>193</w:t>
            </w:r>
            <w:r>
              <w:rPr>
                <w:noProof/>
                <w:webHidden/>
              </w:rPr>
              <w:fldChar w:fldCharType="end"/>
            </w:r>
          </w:hyperlink>
        </w:p>
        <w:p w14:paraId="50A0848B" w14:textId="14C9804A"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35" w:history="1">
            <w:r w:rsidRPr="00531F10">
              <w:rPr>
                <w:rStyle w:val="Hipervnculo"/>
                <w:noProof/>
              </w:rPr>
              <w:t>2.3.1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Verificación de la posibilidad de que una unidad de análisis sea impactada</w:t>
            </w:r>
            <w:r>
              <w:rPr>
                <w:noProof/>
                <w:webHidden/>
              </w:rPr>
              <w:tab/>
            </w:r>
            <w:r>
              <w:rPr>
                <w:noProof/>
                <w:webHidden/>
              </w:rPr>
              <w:fldChar w:fldCharType="begin"/>
            </w:r>
            <w:r>
              <w:rPr>
                <w:noProof/>
                <w:webHidden/>
              </w:rPr>
              <w:instrText xml:space="preserve"> PAGEREF _Toc230879635 \h </w:instrText>
            </w:r>
            <w:r>
              <w:rPr>
                <w:noProof/>
                <w:webHidden/>
              </w:rPr>
            </w:r>
            <w:r>
              <w:rPr>
                <w:noProof/>
                <w:webHidden/>
              </w:rPr>
              <w:fldChar w:fldCharType="separate"/>
            </w:r>
            <w:r>
              <w:rPr>
                <w:noProof/>
                <w:webHidden/>
              </w:rPr>
              <w:t>194</w:t>
            </w:r>
            <w:r>
              <w:rPr>
                <w:noProof/>
                <w:webHidden/>
              </w:rPr>
              <w:fldChar w:fldCharType="end"/>
            </w:r>
          </w:hyperlink>
        </w:p>
        <w:p w14:paraId="3909960C" w14:textId="0F933E0F"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36" w:history="1">
            <w:r w:rsidRPr="00531F10">
              <w:rPr>
                <w:rStyle w:val="Hipervnculo"/>
                <w:noProof/>
              </w:rPr>
              <w:t>2.3.2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Determinación del alcance de la manifestación de los impactos</w:t>
            </w:r>
            <w:r>
              <w:rPr>
                <w:noProof/>
                <w:webHidden/>
              </w:rPr>
              <w:tab/>
            </w:r>
            <w:r>
              <w:rPr>
                <w:noProof/>
                <w:webHidden/>
              </w:rPr>
              <w:fldChar w:fldCharType="begin"/>
            </w:r>
            <w:r>
              <w:rPr>
                <w:noProof/>
                <w:webHidden/>
              </w:rPr>
              <w:instrText xml:space="preserve"> PAGEREF _Toc230879636 \h </w:instrText>
            </w:r>
            <w:r>
              <w:rPr>
                <w:noProof/>
                <w:webHidden/>
              </w:rPr>
            </w:r>
            <w:r>
              <w:rPr>
                <w:noProof/>
                <w:webHidden/>
              </w:rPr>
              <w:fldChar w:fldCharType="separate"/>
            </w:r>
            <w:r>
              <w:rPr>
                <w:noProof/>
                <w:webHidden/>
              </w:rPr>
              <w:t>194</w:t>
            </w:r>
            <w:r>
              <w:rPr>
                <w:noProof/>
                <w:webHidden/>
              </w:rPr>
              <w:fldChar w:fldCharType="end"/>
            </w:r>
          </w:hyperlink>
        </w:p>
        <w:p w14:paraId="3FCE2420" w14:textId="590E6C37"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37" w:history="1">
            <w:r w:rsidRPr="00531F10">
              <w:rPr>
                <w:rStyle w:val="Hipervnculo"/>
                <w:noProof/>
              </w:rPr>
              <w:t>2.3.3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Conectividad ecológica</w:t>
            </w:r>
            <w:r>
              <w:rPr>
                <w:noProof/>
                <w:webHidden/>
              </w:rPr>
              <w:tab/>
            </w:r>
            <w:r>
              <w:rPr>
                <w:noProof/>
                <w:webHidden/>
              </w:rPr>
              <w:fldChar w:fldCharType="begin"/>
            </w:r>
            <w:r>
              <w:rPr>
                <w:noProof/>
                <w:webHidden/>
              </w:rPr>
              <w:instrText xml:space="preserve"> PAGEREF _Toc230879637 \h </w:instrText>
            </w:r>
            <w:r>
              <w:rPr>
                <w:noProof/>
                <w:webHidden/>
              </w:rPr>
            </w:r>
            <w:r>
              <w:rPr>
                <w:noProof/>
                <w:webHidden/>
              </w:rPr>
              <w:fldChar w:fldCharType="separate"/>
            </w:r>
            <w:r>
              <w:rPr>
                <w:noProof/>
                <w:webHidden/>
              </w:rPr>
              <w:t>198</w:t>
            </w:r>
            <w:r>
              <w:rPr>
                <w:noProof/>
                <w:webHidden/>
              </w:rPr>
              <w:fldChar w:fldCharType="end"/>
            </w:r>
          </w:hyperlink>
        </w:p>
        <w:p w14:paraId="624CAA54" w14:textId="3D5382AA"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38" w:history="1">
            <w:r w:rsidRPr="00531F10">
              <w:rPr>
                <w:rStyle w:val="Hipervnculo"/>
                <w:rFonts w:cs="Arial"/>
                <w:noProof/>
              </w:rPr>
              <w:t>2.4</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LINEAMIENTOS PARA LA DELIMITACIÓN DEL ÁREA DE INFLUENCIA DEL MEDIO SOCIOECONÓMICO</w:t>
            </w:r>
            <w:r>
              <w:rPr>
                <w:noProof/>
                <w:webHidden/>
              </w:rPr>
              <w:tab/>
            </w:r>
            <w:r>
              <w:rPr>
                <w:noProof/>
                <w:webHidden/>
              </w:rPr>
              <w:fldChar w:fldCharType="begin"/>
            </w:r>
            <w:r>
              <w:rPr>
                <w:noProof/>
                <w:webHidden/>
              </w:rPr>
              <w:instrText xml:space="preserve"> PAGEREF _Toc230879638 \h </w:instrText>
            </w:r>
            <w:r>
              <w:rPr>
                <w:noProof/>
                <w:webHidden/>
              </w:rPr>
            </w:r>
            <w:r>
              <w:rPr>
                <w:noProof/>
                <w:webHidden/>
              </w:rPr>
              <w:fldChar w:fldCharType="separate"/>
            </w:r>
            <w:r>
              <w:rPr>
                <w:noProof/>
                <w:webHidden/>
              </w:rPr>
              <w:t>202</w:t>
            </w:r>
            <w:r>
              <w:rPr>
                <w:noProof/>
                <w:webHidden/>
              </w:rPr>
              <w:fldChar w:fldCharType="end"/>
            </w:r>
          </w:hyperlink>
        </w:p>
        <w:p w14:paraId="322F3607" w14:textId="713B174A"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39" w:history="1">
            <w:r w:rsidRPr="00531F10">
              <w:rPr>
                <w:rStyle w:val="Hipervnculo"/>
                <w:rFonts w:cs="Arial"/>
                <w:noProof/>
              </w:rPr>
              <w:t>2.5</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LINEAMIENTOS PARA LA DELIMITACIÓN DEL ÁREA DE INFLUENCIA REFERIDA AL PAISAJE</w:t>
            </w:r>
            <w:r>
              <w:rPr>
                <w:noProof/>
                <w:webHidden/>
              </w:rPr>
              <w:tab/>
            </w:r>
            <w:r>
              <w:rPr>
                <w:noProof/>
                <w:webHidden/>
              </w:rPr>
              <w:fldChar w:fldCharType="begin"/>
            </w:r>
            <w:r>
              <w:rPr>
                <w:noProof/>
                <w:webHidden/>
              </w:rPr>
              <w:instrText xml:space="preserve"> PAGEREF _Toc230879639 \h </w:instrText>
            </w:r>
            <w:r>
              <w:rPr>
                <w:noProof/>
                <w:webHidden/>
              </w:rPr>
            </w:r>
            <w:r>
              <w:rPr>
                <w:noProof/>
                <w:webHidden/>
              </w:rPr>
              <w:fldChar w:fldCharType="separate"/>
            </w:r>
            <w:r>
              <w:rPr>
                <w:noProof/>
                <w:webHidden/>
              </w:rPr>
              <w:t>205</w:t>
            </w:r>
            <w:r>
              <w:rPr>
                <w:noProof/>
                <w:webHidden/>
              </w:rPr>
              <w:fldChar w:fldCharType="end"/>
            </w:r>
          </w:hyperlink>
        </w:p>
        <w:p w14:paraId="58387864" w14:textId="35475700"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40" w:history="1">
            <w:r w:rsidRPr="00531F10">
              <w:rPr>
                <w:rStyle w:val="Hipervnculo"/>
              </w:rPr>
              <w:t>3.</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LINEAMIENTOS DE PARTICIPACIÓN CON LOS GRUPOS DE INTERÉS</w:t>
            </w:r>
            <w:r>
              <w:rPr>
                <w:webHidden/>
              </w:rPr>
              <w:tab/>
            </w:r>
            <w:r>
              <w:rPr>
                <w:webHidden/>
              </w:rPr>
              <w:fldChar w:fldCharType="begin"/>
            </w:r>
            <w:r>
              <w:rPr>
                <w:webHidden/>
              </w:rPr>
              <w:instrText xml:space="preserve"> PAGEREF _Toc230879640 \h </w:instrText>
            </w:r>
            <w:r>
              <w:rPr>
                <w:webHidden/>
              </w:rPr>
            </w:r>
            <w:r>
              <w:rPr>
                <w:webHidden/>
              </w:rPr>
              <w:fldChar w:fldCharType="separate"/>
            </w:r>
            <w:r>
              <w:rPr>
                <w:webHidden/>
              </w:rPr>
              <w:t>206</w:t>
            </w:r>
            <w:r>
              <w:rPr>
                <w:webHidden/>
              </w:rPr>
              <w:fldChar w:fldCharType="end"/>
            </w:r>
          </w:hyperlink>
        </w:p>
        <w:p w14:paraId="096F89F8" w14:textId="3F692EFF"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41" w:history="1">
            <w:r w:rsidRPr="00531F10">
              <w:rPr>
                <w:rStyle w:val="Hipervnculo"/>
                <w:rFonts w:cs="Arial"/>
                <w:noProof/>
              </w:rPr>
              <w:t>3.1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CARACTERÍSTICAS Y ALCANCES DE LA PARTICIPACIÓN</w:t>
            </w:r>
            <w:r>
              <w:rPr>
                <w:noProof/>
                <w:webHidden/>
              </w:rPr>
              <w:tab/>
            </w:r>
            <w:r>
              <w:rPr>
                <w:noProof/>
                <w:webHidden/>
              </w:rPr>
              <w:fldChar w:fldCharType="begin"/>
            </w:r>
            <w:r>
              <w:rPr>
                <w:noProof/>
                <w:webHidden/>
              </w:rPr>
              <w:instrText xml:space="preserve"> PAGEREF _Toc230879641 \h </w:instrText>
            </w:r>
            <w:r>
              <w:rPr>
                <w:noProof/>
                <w:webHidden/>
              </w:rPr>
            </w:r>
            <w:r>
              <w:rPr>
                <w:noProof/>
                <w:webHidden/>
              </w:rPr>
              <w:fldChar w:fldCharType="separate"/>
            </w:r>
            <w:r>
              <w:rPr>
                <w:noProof/>
                <w:webHidden/>
              </w:rPr>
              <w:t>208</w:t>
            </w:r>
            <w:r>
              <w:rPr>
                <w:noProof/>
                <w:webHidden/>
              </w:rPr>
              <w:fldChar w:fldCharType="end"/>
            </w:r>
          </w:hyperlink>
        </w:p>
        <w:p w14:paraId="170CA951" w14:textId="54F5B837"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42" w:history="1">
            <w:r w:rsidRPr="00531F10">
              <w:rPr>
                <w:rStyle w:val="Hipervnculo"/>
                <w:rFonts w:cs="Arial"/>
                <w:bCs/>
                <w:noProof/>
                <w:spacing w:val="-3"/>
              </w:rPr>
              <w:t>3.2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bCs/>
                <w:noProof/>
                <w:spacing w:val="-3"/>
              </w:rPr>
              <w:t>FASES DEL PROCESO DE PARTICIPACIÓN</w:t>
            </w:r>
            <w:r>
              <w:rPr>
                <w:noProof/>
                <w:webHidden/>
              </w:rPr>
              <w:tab/>
            </w:r>
            <w:r>
              <w:rPr>
                <w:noProof/>
                <w:webHidden/>
              </w:rPr>
              <w:fldChar w:fldCharType="begin"/>
            </w:r>
            <w:r>
              <w:rPr>
                <w:noProof/>
                <w:webHidden/>
              </w:rPr>
              <w:instrText xml:space="preserve"> PAGEREF _Toc230879642 \h </w:instrText>
            </w:r>
            <w:r>
              <w:rPr>
                <w:noProof/>
                <w:webHidden/>
              </w:rPr>
            </w:r>
            <w:r>
              <w:rPr>
                <w:noProof/>
                <w:webHidden/>
              </w:rPr>
              <w:fldChar w:fldCharType="separate"/>
            </w:r>
            <w:r>
              <w:rPr>
                <w:noProof/>
                <w:webHidden/>
              </w:rPr>
              <w:t>214</w:t>
            </w:r>
            <w:r>
              <w:rPr>
                <w:noProof/>
                <w:webHidden/>
              </w:rPr>
              <w:fldChar w:fldCharType="end"/>
            </w:r>
          </w:hyperlink>
        </w:p>
        <w:p w14:paraId="5BC84112" w14:textId="7858A4B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43" w:history="1">
            <w:r w:rsidRPr="00531F10">
              <w:rPr>
                <w:rStyle w:val="Hipervnculo"/>
                <w:noProof/>
              </w:rPr>
              <w:t>3.2.1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Planeación</w:t>
            </w:r>
            <w:r>
              <w:rPr>
                <w:noProof/>
                <w:webHidden/>
              </w:rPr>
              <w:tab/>
            </w:r>
            <w:r>
              <w:rPr>
                <w:noProof/>
                <w:webHidden/>
              </w:rPr>
              <w:fldChar w:fldCharType="begin"/>
            </w:r>
            <w:r>
              <w:rPr>
                <w:noProof/>
                <w:webHidden/>
              </w:rPr>
              <w:instrText xml:space="preserve"> PAGEREF _Toc230879643 \h </w:instrText>
            </w:r>
            <w:r>
              <w:rPr>
                <w:noProof/>
                <w:webHidden/>
              </w:rPr>
            </w:r>
            <w:r>
              <w:rPr>
                <w:noProof/>
                <w:webHidden/>
              </w:rPr>
              <w:fldChar w:fldCharType="separate"/>
            </w:r>
            <w:r>
              <w:rPr>
                <w:noProof/>
                <w:webHidden/>
              </w:rPr>
              <w:t>214</w:t>
            </w:r>
            <w:r>
              <w:rPr>
                <w:noProof/>
                <w:webHidden/>
              </w:rPr>
              <w:fldChar w:fldCharType="end"/>
            </w:r>
          </w:hyperlink>
        </w:p>
        <w:p w14:paraId="2C7535AB" w14:textId="460EEE5A"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44" w:history="1">
            <w:r w:rsidRPr="00531F10">
              <w:rPr>
                <w:rStyle w:val="Hipervnculo"/>
                <w:noProof/>
              </w:rPr>
              <w:t>3.2.2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Ejecución de los espacios de participación</w:t>
            </w:r>
            <w:r>
              <w:rPr>
                <w:noProof/>
                <w:webHidden/>
              </w:rPr>
              <w:tab/>
            </w:r>
            <w:r>
              <w:rPr>
                <w:noProof/>
                <w:webHidden/>
              </w:rPr>
              <w:fldChar w:fldCharType="begin"/>
            </w:r>
            <w:r>
              <w:rPr>
                <w:noProof/>
                <w:webHidden/>
              </w:rPr>
              <w:instrText xml:space="preserve"> PAGEREF _Toc230879644 \h </w:instrText>
            </w:r>
            <w:r>
              <w:rPr>
                <w:noProof/>
                <w:webHidden/>
              </w:rPr>
            </w:r>
            <w:r>
              <w:rPr>
                <w:noProof/>
                <w:webHidden/>
              </w:rPr>
              <w:fldChar w:fldCharType="separate"/>
            </w:r>
            <w:r>
              <w:rPr>
                <w:noProof/>
                <w:webHidden/>
              </w:rPr>
              <w:t>218</w:t>
            </w:r>
            <w:r>
              <w:rPr>
                <w:noProof/>
                <w:webHidden/>
              </w:rPr>
              <w:fldChar w:fldCharType="end"/>
            </w:r>
          </w:hyperlink>
        </w:p>
        <w:p w14:paraId="2798AAB4" w14:textId="76866E32"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45" w:history="1">
            <w:r w:rsidRPr="00531F10">
              <w:rPr>
                <w:rStyle w:val="Hipervnculo"/>
                <w:noProof/>
              </w:rPr>
              <w:t>3.2.3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Análisis y comunicación de resultados</w:t>
            </w:r>
            <w:r>
              <w:rPr>
                <w:noProof/>
                <w:webHidden/>
              </w:rPr>
              <w:tab/>
            </w:r>
            <w:r>
              <w:rPr>
                <w:noProof/>
                <w:webHidden/>
              </w:rPr>
              <w:fldChar w:fldCharType="begin"/>
            </w:r>
            <w:r>
              <w:rPr>
                <w:noProof/>
                <w:webHidden/>
              </w:rPr>
              <w:instrText xml:space="preserve"> PAGEREF _Toc230879645 \h </w:instrText>
            </w:r>
            <w:r>
              <w:rPr>
                <w:noProof/>
                <w:webHidden/>
              </w:rPr>
            </w:r>
            <w:r>
              <w:rPr>
                <w:noProof/>
                <w:webHidden/>
              </w:rPr>
              <w:fldChar w:fldCharType="separate"/>
            </w:r>
            <w:r>
              <w:rPr>
                <w:noProof/>
                <w:webHidden/>
              </w:rPr>
              <w:t>220</w:t>
            </w:r>
            <w:r>
              <w:rPr>
                <w:noProof/>
                <w:webHidden/>
              </w:rPr>
              <w:fldChar w:fldCharType="end"/>
            </w:r>
          </w:hyperlink>
        </w:p>
        <w:p w14:paraId="26D97D1B" w14:textId="5CDACDB4"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46" w:history="1">
            <w:r w:rsidRPr="00531F10">
              <w:rPr>
                <w:rStyle w:val="Hipervnculo"/>
                <w:rFonts w:cs="Arial"/>
                <w:noProof/>
              </w:rPr>
              <w:t>3.3</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SOPORTES Y EVIDENCIAS DEL PROCESO DE PARTICIPACIÓN</w:t>
            </w:r>
            <w:r>
              <w:rPr>
                <w:noProof/>
                <w:webHidden/>
              </w:rPr>
              <w:tab/>
            </w:r>
            <w:r>
              <w:rPr>
                <w:noProof/>
                <w:webHidden/>
              </w:rPr>
              <w:fldChar w:fldCharType="begin"/>
            </w:r>
            <w:r>
              <w:rPr>
                <w:noProof/>
                <w:webHidden/>
              </w:rPr>
              <w:instrText xml:space="preserve"> PAGEREF _Toc230879646 \h </w:instrText>
            </w:r>
            <w:r>
              <w:rPr>
                <w:noProof/>
                <w:webHidden/>
              </w:rPr>
            </w:r>
            <w:r>
              <w:rPr>
                <w:noProof/>
                <w:webHidden/>
              </w:rPr>
              <w:fldChar w:fldCharType="separate"/>
            </w:r>
            <w:r>
              <w:rPr>
                <w:noProof/>
                <w:webHidden/>
              </w:rPr>
              <w:t>222</w:t>
            </w:r>
            <w:r>
              <w:rPr>
                <w:noProof/>
                <w:webHidden/>
              </w:rPr>
              <w:fldChar w:fldCharType="end"/>
            </w:r>
          </w:hyperlink>
        </w:p>
        <w:p w14:paraId="00A133C1" w14:textId="49E2F87D"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47" w:history="1">
            <w:r w:rsidRPr="00531F10">
              <w:rPr>
                <w:rStyle w:val="Hipervnculo"/>
                <w:rFonts w:cs="Arial"/>
                <w:bCs/>
                <w:noProof/>
                <w:spacing w:val="-3"/>
              </w:rPr>
              <w:t>3.4</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spacing w:val="-3"/>
              </w:rPr>
              <w:t>MECANISMOS VIRTUALES PARA LA PARTICIPACIÓN</w:t>
            </w:r>
            <w:r>
              <w:rPr>
                <w:noProof/>
                <w:webHidden/>
              </w:rPr>
              <w:tab/>
            </w:r>
            <w:r>
              <w:rPr>
                <w:noProof/>
                <w:webHidden/>
              </w:rPr>
              <w:fldChar w:fldCharType="begin"/>
            </w:r>
            <w:r>
              <w:rPr>
                <w:noProof/>
                <w:webHidden/>
              </w:rPr>
              <w:instrText xml:space="preserve"> PAGEREF _Toc230879647 \h </w:instrText>
            </w:r>
            <w:r>
              <w:rPr>
                <w:noProof/>
                <w:webHidden/>
              </w:rPr>
            </w:r>
            <w:r>
              <w:rPr>
                <w:noProof/>
                <w:webHidden/>
              </w:rPr>
              <w:fldChar w:fldCharType="separate"/>
            </w:r>
            <w:r>
              <w:rPr>
                <w:noProof/>
                <w:webHidden/>
              </w:rPr>
              <w:t>224</w:t>
            </w:r>
            <w:r>
              <w:rPr>
                <w:noProof/>
                <w:webHidden/>
              </w:rPr>
              <w:fldChar w:fldCharType="end"/>
            </w:r>
          </w:hyperlink>
        </w:p>
        <w:p w14:paraId="434B1668" w14:textId="418FE6B5"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48" w:history="1">
            <w:r w:rsidRPr="00531F10">
              <w:rPr>
                <w:rStyle w:val="Hipervnculo"/>
              </w:rPr>
              <w:t>4.</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CARACTERIZACIÓN DEL ÁREA DE INFLUENCIA</w:t>
            </w:r>
            <w:r>
              <w:rPr>
                <w:webHidden/>
              </w:rPr>
              <w:tab/>
            </w:r>
            <w:r>
              <w:rPr>
                <w:webHidden/>
              </w:rPr>
              <w:fldChar w:fldCharType="begin"/>
            </w:r>
            <w:r>
              <w:rPr>
                <w:webHidden/>
              </w:rPr>
              <w:instrText xml:space="preserve"> PAGEREF _Toc230879648 \h </w:instrText>
            </w:r>
            <w:r>
              <w:rPr>
                <w:webHidden/>
              </w:rPr>
            </w:r>
            <w:r>
              <w:rPr>
                <w:webHidden/>
              </w:rPr>
              <w:fldChar w:fldCharType="separate"/>
            </w:r>
            <w:r>
              <w:rPr>
                <w:webHidden/>
              </w:rPr>
              <w:t>225</w:t>
            </w:r>
            <w:r>
              <w:rPr>
                <w:webHidden/>
              </w:rPr>
              <w:fldChar w:fldCharType="end"/>
            </w:r>
          </w:hyperlink>
        </w:p>
        <w:p w14:paraId="32A75C77" w14:textId="38320659"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49" w:history="1">
            <w:r w:rsidRPr="00531F10">
              <w:rPr>
                <w:rStyle w:val="Hipervnculo"/>
                <w:rFonts w:cs="Arial"/>
                <w:noProof/>
              </w:rPr>
              <w:t>4.1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MEDIO ABIÓTICO</w:t>
            </w:r>
            <w:r>
              <w:rPr>
                <w:noProof/>
                <w:webHidden/>
              </w:rPr>
              <w:tab/>
            </w:r>
            <w:r>
              <w:rPr>
                <w:noProof/>
                <w:webHidden/>
              </w:rPr>
              <w:fldChar w:fldCharType="begin"/>
            </w:r>
            <w:r>
              <w:rPr>
                <w:noProof/>
                <w:webHidden/>
              </w:rPr>
              <w:instrText xml:space="preserve"> PAGEREF _Toc230879649 \h </w:instrText>
            </w:r>
            <w:r>
              <w:rPr>
                <w:noProof/>
                <w:webHidden/>
              </w:rPr>
            </w:r>
            <w:r>
              <w:rPr>
                <w:noProof/>
                <w:webHidden/>
              </w:rPr>
              <w:fldChar w:fldCharType="separate"/>
            </w:r>
            <w:r>
              <w:rPr>
                <w:noProof/>
                <w:webHidden/>
              </w:rPr>
              <w:t>229</w:t>
            </w:r>
            <w:r>
              <w:rPr>
                <w:noProof/>
                <w:webHidden/>
              </w:rPr>
              <w:fldChar w:fldCharType="end"/>
            </w:r>
          </w:hyperlink>
        </w:p>
        <w:p w14:paraId="59930783" w14:textId="5E96ADB7"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50" w:history="1">
            <w:r w:rsidRPr="00531F10">
              <w:rPr>
                <w:rStyle w:val="Hipervnculo"/>
                <w:noProof/>
              </w:rPr>
              <w:t>4.1.1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Geológico</w:t>
            </w:r>
            <w:r>
              <w:rPr>
                <w:noProof/>
                <w:webHidden/>
              </w:rPr>
              <w:tab/>
            </w:r>
            <w:r>
              <w:rPr>
                <w:noProof/>
                <w:webHidden/>
              </w:rPr>
              <w:fldChar w:fldCharType="begin"/>
            </w:r>
            <w:r>
              <w:rPr>
                <w:noProof/>
                <w:webHidden/>
              </w:rPr>
              <w:instrText xml:space="preserve"> PAGEREF _Toc230879650 \h </w:instrText>
            </w:r>
            <w:r>
              <w:rPr>
                <w:noProof/>
                <w:webHidden/>
              </w:rPr>
            </w:r>
            <w:r>
              <w:rPr>
                <w:noProof/>
                <w:webHidden/>
              </w:rPr>
              <w:fldChar w:fldCharType="separate"/>
            </w:r>
            <w:r>
              <w:rPr>
                <w:noProof/>
                <w:webHidden/>
              </w:rPr>
              <w:t>229</w:t>
            </w:r>
            <w:r>
              <w:rPr>
                <w:noProof/>
                <w:webHidden/>
              </w:rPr>
              <w:fldChar w:fldCharType="end"/>
            </w:r>
          </w:hyperlink>
        </w:p>
        <w:p w14:paraId="789414F6" w14:textId="0A530560"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51" w:history="1">
            <w:r w:rsidRPr="00531F10">
              <w:rPr>
                <w:rStyle w:val="Hipervnculo"/>
                <w:noProof/>
              </w:rPr>
              <w:t>4.1.2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Edafológico</w:t>
            </w:r>
            <w:r>
              <w:rPr>
                <w:noProof/>
                <w:webHidden/>
              </w:rPr>
              <w:tab/>
            </w:r>
            <w:r>
              <w:rPr>
                <w:noProof/>
                <w:webHidden/>
              </w:rPr>
              <w:fldChar w:fldCharType="begin"/>
            </w:r>
            <w:r>
              <w:rPr>
                <w:noProof/>
                <w:webHidden/>
              </w:rPr>
              <w:instrText xml:space="preserve"> PAGEREF _Toc230879651 \h </w:instrText>
            </w:r>
            <w:r>
              <w:rPr>
                <w:noProof/>
                <w:webHidden/>
              </w:rPr>
            </w:r>
            <w:r>
              <w:rPr>
                <w:noProof/>
                <w:webHidden/>
              </w:rPr>
              <w:fldChar w:fldCharType="separate"/>
            </w:r>
            <w:r>
              <w:rPr>
                <w:noProof/>
                <w:webHidden/>
              </w:rPr>
              <w:t>237</w:t>
            </w:r>
            <w:r>
              <w:rPr>
                <w:noProof/>
                <w:webHidden/>
              </w:rPr>
              <w:fldChar w:fldCharType="end"/>
            </w:r>
          </w:hyperlink>
        </w:p>
        <w:p w14:paraId="63F5228B" w14:textId="1AEFAF8A"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52" w:history="1">
            <w:r w:rsidRPr="00531F10">
              <w:rPr>
                <w:rStyle w:val="Hipervnculo"/>
                <w:noProof/>
              </w:rPr>
              <w:t>4.1.3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Uso de las tierras</w:t>
            </w:r>
            <w:r>
              <w:rPr>
                <w:noProof/>
                <w:webHidden/>
              </w:rPr>
              <w:tab/>
            </w:r>
            <w:r>
              <w:rPr>
                <w:noProof/>
                <w:webHidden/>
              </w:rPr>
              <w:fldChar w:fldCharType="begin"/>
            </w:r>
            <w:r>
              <w:rPr>
                <w:noProof/>
                <w:webHidden/>
              </w:rPr>
              <w:instrText xml:space="preserve"> PAGEREF _Toc230879652 \h </w:instrText>
            </w:r>
            <w:r>
              <w:rPr>
                <w:noProof/>
                <w:webHidden/>
              </w:rPr>
            </w:r>
            <w:r>
              <w:rPr>
                <w:noProof/>
                <w:webHidden/>
              </w:rPr>
              <w:fldChar w:fldCharType="separate"/>
            </w:r>
            <w:r>
              <w:rPr>
                <w:noProof/>
                <w:webHidden/>
              </w:rPr>
              <w:t>241</w:t>
            </w:r>
            <w:r>
              <w:rPr>
                <w:noProof/>
                <w:webHidden/>
              </w:rPr>
              <w:fldChar w:fldCharType="end"/>
            </w:r>
          </w:hyperlink>
        </w:p>
        <w:p w14:paraId="4E3B0E07" w14:textId="1ACADFC5"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53" w:history="1">
            <w:r w:rsidRPr="00531F10">
              <w:rPr>
                <w:rStyle w:val="Hipervnculo"/>
                <w:noProof/>
              </w:rPr>
              <w:t>4.1.4</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Hidrológico</w:t>
            </w:r>
            <w:r>
              <w:rPr>
                <w:noProof/>
                <w:webHidden/>
              </w:rPr>
              <w:tab/>
            </w:r>
            <w:r>
              <w:rPr>
                <w:noProof/>
                <w:webHidden/>
              </w:rPr>
              <w:fldChar w:fldCharType="begin"/>
            </w:r>
            <w:r>
              <w:rPr>
                <w:noProof/>
                <w:webHidden/>
              </w:rPr>
              <w:instrText xml:space="preserve"> PAGEREF _Toc230879653 \h </w:instrText>
            </w:r>
            <w:r>
              <w:rPr>
                <w:noProof/>
                <w:webHidden/>
              </w:rPr>
            </w:r>
            <w:r>
              <w:rPr>
                <w:noProof/>
                <w:webHidden/>
              </w:rPr>
              <w:fldChar w:fldCharType="separate"/>
            </w:r>
            <w:r>
              <w:rPr>
                <w:noProof/>
                <w:webHidden/>
              </w:rPr>
              <w:t>242</w:t>
            </w:r>
            <w:r>
              <w:rPr>
                <w:noProof/>
                <w:webHidden/>
              </w:rPr>
              <w:fldChar w:fldCharType="end"/>
            </w:r>
          </w:hyperlink>
        </w:p>
        <w:p w14:paraId="4A961316" w14:textId="728D1836"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54" w:history="1">
            <w:r w:rsidRPr="00531F10">
              <w:rPr>
                <w:rStyle w:val="Hipervnculo"/>
                <w:noProof/>
              </w:rPr>
              <w:t>4.1.5</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Hidrogeológico</w:t>
            </w:r>
            <w:r>
              <w:rPr>
                <w:noProof/>
                <w:webHidden/>
              </w:rPr>
              <w:tab/>
            </w:r>
            <w:r>
              <w:rPr>
                <w:noProof/>
                <w:webHidden/>
              </w:rPr>
              <w:fldChar w:fldCharType="begin"/>
            </w:r>
            <w:r>
              <w:rPr>
                <w:noProof/>
                <w:webHidden/>
              </w:rPr>
              <w:instrText xml:space="preserve"> PAGEREF _Toc230879654 \h </w:instrText>
            </w:r>
            <w:r>
              <w:rPr>
                <w:noProof/>
                <w:webHidden/>
              </w:rPr>
            </w:r>
            <w:r>
              <w:rPr>
                <w:noProof/>
                <w:webHidden/>
              </w:rPr>
              <w:fldChar w:fldCharType="separate"/>
            </w:r>
            <w:r>
              <w:rPr>
                <w:noProof/>
                <w:webHidden/>
              </w:rPr>
              <w:t>251</w:t>
            </w:r>
            <w:r>
              <w:rPr>
                <w:noProof/>
                <w:webHidden/>
              </w:rPr>
              <w:fldChar w:fldCharType="end"/>
            </w:r>
          </w:hyperlink>
        </w:p>
        <w:p w14:paraId="7A670616" w14:textId="162A03C3"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55" w:history="1">
            <w:r w:rsidRPr="00531F10">
              <w:rPr>
                <w:rStyle w:val="Hipervnculo"/>
                <w:noProof/>
              </w:rPr>
              <w:t>4.1.6</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Oceanográfico</w:t>
            </w:r>
            <w:r>
              <w:rPr>
                <w:noProof/>
                <w:webHidden/>
              </w:rPr>
              <w:tab/>
            </w:r>
            <w:r>
              <w:rPr>
                <w:noProof/>
                <w:webHidden/>
              </w:rPr>
              <w:fldChar w:fldCharType="begin"/>
            </w:r>
            <w:r>
              <w:rPr>
                <w:noProof/>
                <w:webHidden/>
              </w:rPr>
              <w:instrText xml:space="preserve"> PAGEREF _Toc230879655 \h </w:instrText>
            </w:r>
            <w:r>
              <w:rPr>
                <w:noProof/>
                <w:webHidden/>
              </w:rPr>
            </w:r>
            <w:r>
              <w:rPr>
                <w:noProof/>
                <w:webHidden/>
              </w:rPr>
              <w:fldChar w:fldCharType="separate"/>
            </w:r>
            <w:r>
              <w:rPr>
                <w:noProof/>
                <w:webHidden/>
              </w:rPr>
              <w:t>259</w:t>
            </w:r>
            <w:r>
              <w:rPr>
                <w:noProof/>
                <w:webHidden/>
              </w:rPr>
              <w:fldChar w:fldCharType="end"/>
            </w:r>
          </w:hyperlink>
        </w:p>
        <w:p w14:paraId="5D6164B0" w14:textId="5EE77A0C"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56" w:history="1">
            <w:r w:rsidRPr="00531F10">
              <w:rPr>
                <w:rStyle w:val="Hipervnculo"/>
                <w:noProof/>
              </w:rPr>
              <w:t>4.1.7</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Atmosférico</w:t>
            </w:r>
            <w:r>
              <w:rPr>
                <w:noProof/>
                <w:webHidden/>
              </w:rPr>
              <w:tab/>
            </w:r>
            <w:r>
              <w:rPr>
                <w:noProof/>
                <w:webHidden/>
              </w:rPr>
              <w:fldChar w:fldCharType="begin"/>
            </w:r>
            <w:r>
              <w:rPr>
                <w:noProof/>
                <w:webHidden/>
              </w:rPr>
              <w:instrText xml:space="preserve"> PAGEREF _Toc230879656 \h </w:instrText>
            </w:r>
            <w:r>
              <w:rPr>
                <w:noProof/>
                <w:webHidden/>
              </w:rPr>
            </w:r>
            <w:r>
              <w:rPr>
                <w:noProof/>
                <w:webHidden/>
              </w:rPr>
              <w:fldChar w:fldCharType="separate"/>
            </w:r>
            <w:r>
              <w:rPr>
                <w:noProof/>
                <w:webHidden/>
              </w:rPr>
              <w:t>264</w:t>
            </w:r>
            <w:r>
              <w:rPr>
                <w:noProof/>
                <w:webHidden/>
              </w:rPr>
              <w:fldChar w:fldCharType="end"/>
            </w:r>
          </w:hyperlink>
        </w:p>
        <w:p w14:paraId="7C60A6F3" w14:textId="0D3FD2A8"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57" w:history="1">
            <w:r w:rsidRPr="00531F10">
              <w:rPr>
                <w:rStyle w:val="Hipervnculo"/>
                <w:rFonts w:cs="Arial"/>
                <w:noProof/>
              </w:rPr>
              <w:t>4.2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MEDIO BIÓTICO</w:t>
            </w:r>
            <w:r>
              <w:rPr>
                <w:noProof/>
                <w:webHidden/>
              </w:rPr>
              <w:tab/>
            </w:r>
            <w:r>
              <w:rPr>
                <w:noProof/>
                <w:webHidden/>
              </w:rPr>
              <w:fldChar w:fldCharType="begin"/>
            </w:r>
            <w:r>
              <w:rPr>
                <w:noProof/>
                <w:webHidden/>
              </w:rPr>
              <w:instrText xml:space="preserve"> PAGEREF _Toc230879657 \h </w:instrText>
            </w:r>
            <w:r>
              <w:rPr>
                <w:noProof/>
                <w:webHidden/>
              </w:rPr>
            </w:r>
            <w:r>
              <w:rPr>
                <w:noProof/>
                <w:webHidden/>
              </w:rPr>
              <w:fldChar w:fldCharType="separate"/>
            </w:r>
            <w:r>
              <w:rPr>
                <w:noProof/>
                <w:webHidden/>
              </w:rPr>
              <w:t>270</w:t>
            </w:r>
            <w:r>
              <w:rPr>
                <w:noProof/>
                <w:webHidden/>
              </w:rPr>
              <w:fldChar w:fldCharType="end"/>
            </w:r>
          </w:hyperlink>
        </w:p>
        <w:p w14:paraId="22F1B183" w14:textId="4AE987A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58" w:history="1">
            <w:r w:rsidRPr="00531F10">
              <w:rPr>
                <w:rStyle w:val="Hipervnculo"/>
                <w:noProof/>
              </w:rPr>
              <w:t>4.2.1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Ecosistemas</w:t>
            </w:r>
            <w:r>
              <w:rPr>
                <w:noProof/>
                <w:webHidden/>
              </w:rPr>
              <w:tab/>
            </w:r>
            <w:r>
              <w:rPr>
                <w:noProof/>
                <w:webHidden/>
              </w:rPr>
              <w:fldChar w:fldCharType="begin"/>
            </w:r>
            <w:r>
              <w:rPr>
                <w:noProof/>
                <w:webHidden/>
              </w:rPr>
              <w:instrText xml:space="preserve"> PAGEREF _Toc230879658 \h </w:instrText>
            </w:r>
            <w:r>
              <w:rPr>
                <w:noProof/>
                <w:webHidden/>
              </w:rPr>
            </w:r>
            <w:r>
              <w:rPr>
                <w:noProof/>
                <w:webHidden/>
              </w:rPr>
              <w:fldChar w:fldCharType="separate"/>
            </w:r>
            <w:r>
              <w:rPr>
                <w:noProof/>
                <w:webHidden/>
              </w:rPr>
              <w:t>272</w:t>
            </w:r>
            <w:r>
              <w:rPr>
                <w:noProof/>
                <w:webHidden/>
              </w:rPr>
              <w:fldChar w:fldCharType="end"/>
            </w:r>
          </w:hyperlink>
        </w:p>
        <w:p w14:paraId="2D33C489" w14:textId="0FC02B7F"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59" w:history="1">
            <w:r w:rsidRPr="00531F10">
              <w:rPr>
                <w:rStyle w:val="Hipervnculo"/>
                <w:noProof/>
              </w:rPr>
              <w:t>4.2.2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Ecosistemas terrestres</w:t>
            </w:r>
            <w:r>
              <w:rPr>
                <w:noProof/>
                <w:webHidden/>
              </w:rPr>
              <w:tab/>
            </w:r>
            <w:r>
              <w:rPr>
                <w:noProof/>
                <w:webHidden/>
              </w:rPr>
              <w:fldChar w:fldCharType="begin"/>
            </w:r>
            <w:r>
              <w:rPr>
                <w:noProof/>
                <w:webHidden/>
              </w:rPr>
              <w:instrText xml:space="preserve"> PAGEREF _Toc230879659 \h </w:instrText>
            </w:r>
            <w:r>
              <w:rPr>
                <w:noProof/>
                <w:webHidden/>
              </w:rPr>
            </w:r>
            <w:r>
              <w:rPr>
                <w:noProof/>
                <w:webHidden/>
              </w:rPr>
              <w:fldChar w:fldCharType="separate"/>
            </w:r>
            <w:r>
              <w:rPr>
                <w:noProof/>
                <w:webHidden/>
              </w:rPr>
              <w:t>273</w:t>
            </w:r>
            <w:r>
              <w:rPr>
                <w:noProof/>
                <w:webHidden/>
              </w:rPr>
              <w:fldChar w:fldCharType="end"/>
            </w:r>
          </w:hyperlink>
        </w:p>
        <w:p w14:paraId="36077C5C" w14:textId="00E26A1F"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60" w:history="1">
            <w:r w:rsidRPr="00531F10">
              <w:rPr>
                <w:rStyle w:val="Hipervnculo"/>
                <w:noProof/>
              </w:rPr>
              <w:t>4.2.3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Ecosistemas acuáticos continentales y marino-costeros</w:t>
            </w:r>
            <w:r>
              <w:rPr>
                <w:noProof/>
                <w:webHidden/>
              </w:rPr>
              <w:tab/>
            </w:r>
            <w:r>
              <w:rPr>
                <w:noProof/>
                <w:webHidden/>
              </w:rPr>
              <w:fldChar w:fldCharType="begin"/>
            </w:r>
            <w:r>
              <w:rPr>
                <w:noProof/>
                <w:webHidden/>
              </w:rPr>
              <w:instrText xml:space="preserve"> PAGEREF _Toc230879660 \h </w:instrText>
            </w:r>
            <w:r>
              <w:rPr>
                <w:noProof/>
                <w:webHidden/>
              </w:rPr>
            </w:r>
            <w:r>
              <w:rPr>
                <w:noProof/>
                <w:webHidden/>
              </w:rPr>
              <w:fldChar w:fldCharType="separate"/>
            </w:r>
            <w:r>
              <w:rPr>
                <w:noProof/>
                <w:webHidden/>
              </w:rPr>
              <w:t>307</w:t>
            </w:r>
            <w:r>
              <w:rPr>
                <w:noProof/>
                <w:webHidden/>
              </w:rPr>
              <w:fldChar w:fldCharType="end"/>
            </w:r>
          </w:hyperlink>
        </w:p>
        <w:p w14:paraId="583A9EED" w14:textId="73149BC3"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61" w:history="1">
            <w:r w:rsidRPr="00531F10">
              <w:rPr>
                <w:rStyle w:val="Hipervnculo"/>
                <w:rFonts w:cs="Arial"/>
                <w:noProof/>
              </w:rPr>
              <w:t>4.3</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MEDIO SOCIOECONÓMICO</w:t>
            </w:r>
            <w:r>
              <w:rPr>
                <w:noProof/>
                <w:webHidden/>
              </w:rPr>
              <w:tab/>
            </w:r>
            <w:r>
              <w:rPr>
                <w:noProof/>
                <w:webHidden/>
              </w:rPr>
              <w:fldChar w:fldCharType="begin"/>
            </w:r>
            <w:r>
              <w:rPr>
                <w:noProof/>
                <w:webHidden/>
              </w:rPr>
              <w:instrText xml:space="preserve"> PAGEREF _Toc230879661 \h </w:instrText>
            </w:r>
            <w:r>
              <w:rPr>
                <w:noProof/>
                <w:webHidden/>
              </w:rPr>
            </w:r>
            <w:r>
              <w:rPr>
                <w:noProof/>
                <w:webHidden/>
              </w:rPr>
              <w:fldChar w:fldCharType="separate"/>
            </w:r>
            <w:r>
              <w:rPr>
                <w:noProof/>
                <w:webHidden/>
              </w:rPr>
              <w:t>319</w:t>
            </w:r>
            <w:r>
              <w:rPr>
                <w:noProof/>
                <w:webHidden/>
              </w:rPr>
              <w:fldChar w:fldCharType="end"/>
            </w:r>
          </w:hyperlink>
        </w:p>
        <w:p w14:paraId="5BEFCB34" w14:textId="73513D09"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62" w:history="1">
            <w:r w:rsidRPr="00531F10">
              <w:rPr>
                <w:rStyle w:val="Hipervnculo"/>
                <w:noProof/>
              </w:rPr>
              <w:t>4.3.1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Información de contexto</w:t>
            </w:r>
            <w:r>
              <w:rPr>
                <w:noProof/>
                <w:webHidden/>
              </w:rPr>
              <w:tab/>
            </w:r>
            <w:r>
              <w:rPr>
                <w:noProof/>
                <w:webHidden/>
              </w:rPr>
              <w:fldChar w:fldCharType="begin"/>
            </w:r>
            <w:r>
              <w:rPr>
                <w:noProof/>
                <w:webHidden/>
              </w:rPr>
              <w:instrText xml:space="preserve"> PAGEREF _Toc230879662 \h </w:instrText>
            </w:r>
            <w:r>
              <w:rPr>
                <w:noProof/>
                <w:webHidden/>
              </w:rPr>
            </w:r>
            <w:r>
              <w:rPr>
                <w:noProof/>
                <w:webHidden/>
              </w:rPr>
              <w:fldChar w:fldCharType="separate"/>
            </w:r>
            <w:r>
              <w:rPr>
                <w:noProof/>
                <w:webHidden/>
              </w:rPr>
              <w:t>319</w:t>
            </w:r>
            <w:r>
              <w:rPr>
                <w:noProof/>
                <w:webHidden/>
              </w:rPr>
              <w:fldChar w:fldCharType="end"/>
            </w:r>
          </w:hyperlink>
        </w:p>
        <w:p w14:paraId="19537351" w14:textId="142FDDD1"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63" w:history="1">
            <w:r w:rsidRPr="00531F10">
              <w:rPr>
                <w:rStyle w:val="Hipervnculo"/>
                <w:noProof/>
              </w:rPr>
              <w:t>4.3.2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Caracterización del área de influencia del medio socioeconómico</w:t>
            </w:r>
            <w:r>
              <w:rPr>
                <w:noProof/>
                <w:webHidden/>
              </w:rPr>
              <w:tab/>
            </w:r>
            <w:r>
              <w:rPr>
                <w:noProof/>
                <w:webHidden/>
              </w:rPr>
              <w:fldChar w:fldCharType="begin"/>
            </w:r>
            <w:r>
              <w:rPr>
                <w:noProof/>
                <w:webHidden/>
              </w:rPr>
              <w:instrText xml:space="preserve"> PAGEREF _Toc230879663 \h </w:instrText>
            </w:r>
            <w:r>
              <w:rPr>
                <w:noProof/>
                <w:webHidden/>
              </w:rPr>
            </w:r>
            <w:r>
              <w:rPr>
                <w:noProof/>
                <w:webHidden/>
              </w:rPr>
              <w:fldChar w:fldCharType="separate"/>
            </w:r>
            <w:r>
              <w:rPr>
                <w:noProof/>
                <w:webHidden/>
              </w:rPr>
              <w:t>322</w:t>
            </w:r>
            <w:r>
              <w:rPr>
                <w:noProof/>
                <w:webHidden/>
              </w:rPr>
              <w:fldChar w:fldCharType="end"/>
            </w:r>
          </w:hyperlink>
        </w:p>
        <w:p w14:paraId="317BB3B5" w14:textId="16562E6E"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64" w:history="1">
            <w:r w:rsidRPr="00531F10">
              <w:rPr>
                <w:rStyle w:val="Hipervnculo"/>
                <w:rFonts w:cs="Arial"/>
                <w:noProof/>
              </w:rPr>
              <w:t>4.4</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ÁREAS DE ESPECIAL INTERÉS AMBIENTAL (AEIA)</w:t>
            </w:r>
            <w:r>
              <w:rPr>
                <w:noProof/>
                <w:webHidden/>
              </w:rPr>
              <w:tab/>
            </w:r>
            <w:r>
              <w:rPr>
                <w:noProof/>
                <w:webHidden/>
              </w:rPr>
              <w:fldChar w:fldCharType="begin"/>
            </w:r>
            <w:r>
              <w:rPr>
                <w:noProof/>
                <w:webHidden/>
              </w:rPr>
              <w:instrText xml:space="preserve"> PAGEREF _Toc230879664 \h </w:instrText>
            </w:r>
            <w:r>
              <w:rPr>
                <w:noProof/>
                <w:webHidden/>
              </w:rPr>
            </w:r>
            <w:r>
              <w:rPr>
                <w:noProof/>
                <w:webHidden/>
              </w:rPr>
              <w:fldChar w:fldCharType="separate"/>
            </w:r>
            <w:r>
              <w:rPr>
                <w:noProof/>
                <w:webHidden/>
              </w:rPr>
              <w:t>339</w:t>
            </w:r>
            <w:r>
              <w:rPr>
                <w:noProof/>
                <w:webHidden/>
              </w:rPr>
              <w:fldChar w:fldCharType="end"/>
            </w:r>
          </w:hyperlink>
        </w:p>
        <w:p w14:paraId="71A9F2F4" w14:textId="441E3933"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65" w:history="1">
            <w:r w:rsidRPr="00531F10">
              <w:rPr>
                <w:rStyle w:val="Hipervnculo"/>
                <w:rFonts w:cs="Arial"/>
                <w:noProof/>
              </w:rPr>
              <w:t>4.5</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SERVICIOS ECOSISTÉMICOS</w:t>
            </w:r>
            <w:r>
              <w:rPr>
                <w:noProof/>
                <w:webHidden/>
              </w:rPr>
              <w:tab/>
            </w:r>
            <w:r>
              <w:rPr>
                <w:noProof/>
                <w:webHidden/>
              </w:rPr>
              <w:fldChar w:fldCharType="begin"/>
            </w:r>
            <w:r>
              <w:rPr>
                <w:noProof/>
                <w:webHidden/>
              </w:rPr>
              <w:instrText xml:space="preserve"> PAGEREF _Toc230879665 \h </w:instrText>
            </w:r>
            <w:r>
              <w:rPr>
                <w:noProof/>
                <w:webHidden/>
              </w:rPr>
            </w:r>
            <w:r>
              <w:rPr>
                <w:noProof/>
                <w:webHidden/>
              </w:rPr>
              <w:fldChar w:fldCharType="separate"/>
            </w:r>
            <w:r>
              <w:rPr>
                <w:noProof/>
                <w:webHidden/>
              </w:rPr>
              <w:t>340</w:t>
            </w:r>
            <w:r>
              <w:rPr>
                <w:noProof/>
                <w:webHidden/>
              </w:rPr>
              <w:fldChar w:fldCharType="end"/>
            </w:r>
          </w:hyperlink>
        </w:p>
        <w:p w14:paraId="1FDA706E" w14:textId="4C16C81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66" w:history="1">
            <w:r w:rsidRPr="00531F10">
              <w:rPr>
                <w:rStyle w:val="Hipervnculo"/>
                <w:noProof/>
              </w:rPr>
              <w:t>4.5.1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Procedimiento general para caracterizar los SSEE</w:t>
            </w:r>
            <w:r>
              <w:rPr>
                <w:noProof/>
                <w:webHidden/>
              </w:rPr>
              <w:tab/>
            </w:r>
            <w:r>
              <w:rPr>
                <w:noProof/>
                <w:webHidden/>
              </w:rPr>
              <w:fldChar w:fldCharType="begin"/>
            </w:r>
            <w:r>
              <w:rPr>
                <w:noProof/>
                <w:webHidden/>
              </w:rPr>
              <w:instrText xml:space="preserve"> PAGEREF _Toc230879666 \h </w:instrText>
            </w:r>
            <w:r>
              <w:rPr>
                <w:noProof/>
                <w:webHidden/>
              </w:rPr>
            </w:r>
            <w:r>
              <w:rPr>
                <w:noProof/>
                <w:webHidden/>
              </w:rPr>
              <w:fldChar w:fldCharType="separate"/>
            </w:r>
            <w:r>
              <w:rPr>
                <w:noProof/>
                <w:webHidden/>
              </w:rPr>
              <w:t>342</w:t>
            </w:r>
            <w:r>
              <w:rPr>
                <w:noProof/>
                <w:webHidden/>
              </w:rPr>
              <w:fldChar w:fldCharType="end"/>
            </w:r>
          </w:hyperlink>
        </w:p>
        <w:p w14:paraId="1A17F41F" w14:textId="29D4A323"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67" w:history="1">
            <w:r w:rsidRPr="00531F10">
              <w:rPr>
                <w:rStyle w:val="Hipervnculo"/>
                <w:noProof/>
              </w:rPr>
              <w:t>4.5.2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Lineamientos generales para la caracterización de los SSEE asociados al suelo</w:t>
            </w:r>
            <w:r>
              <w:rPr>
                <w:noProof/>
                <w:webHidden/>
              </w:rPr>
              <w:tab/>
            </w:r>
            <w:r>
              <w:rPr>
                <w:noProof/>
                <w:webHidden/>
              </w:rPr>
              <w:fldChar w:fldCharType="begin"/>
            </w:r>
            <w:r>
              <w:rPr>
                <w:noProof/>
                <w:webHidden/>
              </w:rPr>
              <w:instrText xml:space="preserve"> PAGEREF _Toc230879667 \h </w:instrText>
            </w:r>
            <w:r>
              <w:rPr>
                <w:noProof/>
                <w:webHidden/>
              </w:rPr>
            </w:r>
            <w:r>
              <w:rPr>
                <w:noProof/>
                <w:webHidden/>
              </w:rPr>
              <w:fldChar w:fldCharType="separate"/>
            </w:r>
            <w:r>
              <w:rPr>
                <w:noProof/>
                <w:webHidden/>
              </w:rPr>
              <w:t>346</w:t>
            </w:r>
            <w:r>
              <w:rPr>
                <w:noProof/>
                <w:webHidden/>
              </w:rPr>
              <w:fldChar w:fldCharType="end"/>
            </w:r>
          </w:hyperlink>
        </w:p>
        <w:p w14:paraId="23FCF9AB" w14:textId="11508F1B"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68" w:history="1">
            <w:r w:rsidRPr="00531F10">
              <w:rPr>
                <w:rStyle w:val="Hipervnculo"/>
                <w:noProof/>
              </w:rPr>
              <w:t>4.5.3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Información de los SSEE a presentar</w:t>
            </w:r>
            <w:r>
              <w:rPr>
                <w:noProof/>
                <w:webHidden/>
              </w:rPr>
              <w:tab/>
            </w:r>
            <w:r>
              <w:rPr>
                <w:noProof/>
                <w:webHidden/>
              </w:rPr>
              <w:fldChar w:fldCharType="begin"/>
            </w:r>
            <w:r>
              <w:rPr>
                <w:noProof/>
                <w:webHidden/>
              </w:rPr>
              <w:instrText xml:space="preserve"> PAGEREF _Toc230879668 \h </w:instrText>
            </w:r>
            <w:r>
              <w:rPr>
                <w:noProof/>
                <w:webHidden/>
              </w:rPr>
            </w:r>
            <w:r>
              <w:rPr>
                <w:noProof/>
                <w:webHidden/>
              </w:rPr>
              <w:fldChar w:fldCharType="separate"/>
            </w:r>
            <w:r>
              <w:rPr>
                <w:noProof/>
                <w:webHidden/>
              </w:rPr>
              <w:t>347</w:t>
            </w:r>
            <w:r>
              <w:rPr>
                <w:noProof/>
                <w:webHidden/>
              </w:rPr>
              <w:fldChar w:fldCharType="end"/>
            </w:r>
          </w:hyperlink>
        </w:p>
        <w:p w14:paraId="3B02D5A3" w14:textId="315FD4EA"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69" w:history="1">
            <w:r w:rsidRPr="00531F10">
              <w:rPr>
                <w:rStyle w:val="Hipervnculo"/>
                <w:rFonts w:cs="Arial"/>
                <w:noProof/>
              </w:rPr>
              <w:t>4.6</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PAISAJE</w:t>
            </w:r>
            <w:r>
              <w:rPr>
                <w:noProof/>
                <w:webHidden/>
              </w:rPr>
              <w:tab/>
            </w:r>
            <w:r>
              <w:rPr>
                <w:noProof/>
                <w:webHidden/>
              </w:rPr>
              <w:fldChar w:fldCharType="begin"/>
            </w:r>
            <w:r>
              <w:rPr>
                <w:noProof/>
                <w:webHidden/>
              </w:rPr>
              <w:instrText xml:space="preserve"> PAGEREF _Toc230879669 \h </w:instrText>
            </w:r>
            <w:r>
              <w:rPr>
                <w:noProof/>
                <w:webHidden/>
              </w:rPr>
            </w:r>
            <w:r>
              <w:rPr>
                <w:noProof/>
                <w:webHidden/>
              </w:rPr>
              <w:fldChar w:fldCharType="separate"/>
            </w:r>
            <w:r>
              <w:rPr>
                <w:noProof/>
                <w:webHidden/>
              </w:rPr>
              <w:t>357</w:t>
            </w:r>
            <w:r>
              <w:rPr>
                <w:noProof/>
                <w:webHidden/>
              </w:rPr>
              <w:fldChar w:fldCharType="end"/>
            </w:r>
          </w:hyperlink>
        </w:p>
        <w:p w14:paraId="76CA90C0" w14:textId="46132386"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70" w:history="1">
            <w:r w:rsidRPr="00531F10">
              <w:rPr>
                <w:rStyle w:val="Hipervnculo"/>
              </w:rPr>
              <w:t>5.</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ZONIFICACIÓN AMBIENTAL</w:t>
            </w:r>
            <w:r>
              <w:rPr>
                <w:webHidden/>
              </w:rPr>
              <w:tab/>
            </w:r>
            <w:r>
              <w:rPr>
                <w:webHidden/>
              </w:rPr>
              <w:fldChar w:fldCharType="begin"/>
            </w:r>
            <w:r>
              <w:rPr>
                <w:webHidden/>
              </w:rPr>
              <w:instrText xml:space="preserve"> PAGEREF _Toc230879670 \h </w:instrText>
            </w:r>
            <w:r>
              <w:rPr>
                <w:webHidden/>
              </w:rPr>
            </w:r>
            <w:r>
              <w:rPr>
                <w:webHidden/>
              </w:rPr>
              <w:fldChar w:fldCharType="separate"/>
            </w:r>
            <w:r>
              <w:rPr>
                <w:webHidden/>
              </w:rPr>
              <w:t>360</w:t>
            </w:r>
            <w:r>
              <w:rPr>
                <w:webHidden/>
              </w:rPr>
              <w:fldChar w:fldCharType="end"/>
            </w:r>
          </w:hyperlink>
        </w:p>
        <w:p w14:paraId="541FFAFA" w14:textId="1CE9A9C0"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71" w:history="1">
            <w:r w:rsidRPr="00531F10">
              <w:rPr>
                <w:rStyle w:val="Hipervnculo"/>
              </w:rPr>
              <w:t>6.</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DEMANDA, USO, APROVECHAMIENTO Y AFECTACIÓN DE RECURSOS NATURALES</w:t>
            </w:r>
            <w:r>
              <w:rPr>
                <w:webHidden/>
              </w:rPr>
              <w:tab/>
            </w:r>
            <w:r>
              <w:rPr>
                <w:webHidden/>
              </w:rPr>
              <w:fldChar w:fldCharType="begin"/>
            </w:r>
            <w:r>
              <w:rPr>
                <w:webHidden/>
              </w:rPr>
              <w:instrText xml:space="preserve"> PAGEREF _Toc230879671 \h </w:instrText>
            </w:r>
            <w:r>
              <w:rPr>
                <w:webHidden/>
              </w:rPr>
            </w:r>
            <w:r>
              <w:rPr>
                <w:webHidden/>
              </w:rPr>
              <w:fldChar w:fldCharType="separate"/>
            </w:r>
            <w:r>
              <w:rPr>
                <w:webHidden/>
              </w:rPr>
              <w:t>365</w:t>
            </w:r>
            <w:r>
              <w:rPr>
                <w:webHidden/>
              </w:rPr>
              <w:fldChar w:fldCharType="end"/>
            </w:r>
          </w:hyperlink>
        </w:p>
        <w:p w14:paraId="69EC31F1" w14:textId="6D2EEA8D"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72" w:history="1">
            <w:r w:rsidRPr="00531F10">
              <w:rPr>
                <w:rStyle w:val="Hipervnculo"/>
                <w:rFonts w:cs="Arial"/>
                <w:noProof/>
              </w:rPr>
              <w:t>6.1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CONCESIÓN DE AGUA SUPERFICIAL</w:t>
            </w:r>
            <w:r>
              <w:rPr>
                <w:noProof/>
                <w:webHidden/>
              </w:rPr>
              <w:tab/>
            </w:r>
            <w:r>
              <w:rPr>
                <w:noProof/>
                <w:webHidden/>
              </w:rPr>
              <w:fldChar w:fldCharType="begin"/>
            </w:r>
            <w:r>
              <w:rPr>
                <w:noProof/>
                <w:webHidden/>
              </w:rPr>
              <w:instrText xml:space="preserve"> PAGEREF _Toc230879672 \h </w:instrText>
            </w:r>
            <w:r>
              <w:rPr>
                <w:noProof/>
                <w:webHidden/>
              </w:rPr>
            </w:r>
            <w:r>
              <w:rPr>
                <w:noProof/>
                <w:webHidden/>
              </w:rPr>
              <w:fldChar w:fldCharType="separate"/>
            </w:r>
            <w:r>
              <w:rPr>
                <w:noProof/>
                <w:webHidden/>
              </w:rPr>
              <w:t>366</w:t>
            </w:r>
            <w:r>
              <w:rPr>
                <w:noProof/>
                <w:webHidden/>
              </w:rPr>
              <w:fldChar w:fldCharType="end"/>
            </w:r>
          </w:hyperlink>
        </w:p>
        <w:p w14:paraId="2544E4B0" w14:textId="77157FF7"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73" w:history="1">
            <w:r w:rsidRPr="00531F10">
              <w:rPr>
                <w:rStyle w:val="Hipervnculo"/>
                <w:rFonts w:cs="Arial"/>
                <w:noProof/>
              </w:rPr>
              <w:t>6.2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EXPLORACIÓN DE AGUA SUBTERRÁNEA</w:t>
            </w:r>
            <w:r>
              <w:rPr>
                <w:noProof/>
                <w:webHidden/>
              </w:rPr>
              <w:tab/>
            </w:r>
            <w:r>
              <w:rPr>
                <w:noProof/>
                <w:webHidden/>
              </w:rPr>
              <w:fldChar w:fldCharType="begin"/>
            </w:r>
            <w:r>
              <w:rPr>
                <w:noProof/>
                <w:webHidden/>
              </w:rPr>
              <w:instrText xml:space="preserve"> PAGEREF _Toc230879673 \h </w:instrText>
            </w:r>
            <w:r>
              <w:rPr>
                <w:noProof/>
                <w:webHidden/>
              </w:rPr>
            </w:r>
            <w:r>
              <w:rPr>
                <w:noProof/>
                <w:webHidden/>
              </w:rPr>
              <w:fldChar w:fldCharType="separate"/>
            </w:r>
            <w:r>
              <w:rPr>
                <w:noProof/>
                <w:webHidden/>
              </w:rPr>
              <w:t>367</w:t>
            </w:r>
            <w:r>
              <w:rPr>
                <w:noProof/>
                <w:webHidden/>
              </w:rPr>
              <w:fldChar w:fldCharType="end"/>
            </w:r>
          </w:hyperlink>
        </w:p>
        <w:p w14:paraId="5F05EA42" w14:textId="09040A0E"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74" w:history="1">
            <w:r w:rsidRPr="00531F10">
              <w:rPr>
                <w:rStyle w:val="Hipervnculo"/>
                <w:rFonts w:cs="Arial"/>
                <w:noProof/>
              </w:rPr>
              <w:t>6.3</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CONCESIÓN DE AGUA SUBTERRÁNEA</w:t>
            </w:r>
            <w:r>
              <w:rPr>
                <w:noProof/>
                <w:webHidden/>
              </w:rPr>
              <w:tab/>
            </w:r>
            <w:r>
              <w:rPr>
                <w:noProof/>
                <w:webHidden/>
              </w:rPr>
              <w:fldChar w:fldCharType="begin"/>
            </w:r>
            <w:r>
              <w:rPr>
                <w:noProof/>
                <w:webHidden/>
              </w:rPr>
              <w:instrText xml:space="preserve"> PAGEREF _Toc230879674 \h </w:instrText>
            </w:r>
            <w:r>
              <w:rPr>
                <w:noProof/>
                <w:webHidden/>
              </w:rPr>
            </w:r>
            <w:r>
              <w:rPr>
                <w:noProof/>
                <w:webHidden/>
              </w:rPr>
              <w:fldChar w:fldCharType="separate"/>
            </w:r>
            <w:r>
              <w:rPr>
                <w:noProof/>
                <w:webHidden/>
              </w:rPr>
              <w:t>368</w:t>
            </w:r>
            <w:r>
              <w:rPr>
                <w:noProof/>
                <w:webHidden/>
              </w:rPr>
              <w:fldChar w:fldCharType="end"/>
            </w:r>
          </w:hyperlink>
        </w:p>
        <w:p w14:paraId="00F8DA45" w14:textId="269D8464"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75" w:history="1">
            <w:r w:rsidRPr="00531F10">
              <w:rPr>
                <w:rStyle w:val="Hipervnculo"/>
                <w:rFonts w:cs="Arial"/>
                <w:noProof/>
              </w:rPr>
              <w:t>6.4</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PERMISO DE VERTIMIENTO</w:t>
            </w:r>
            <w:r>
              <w:rPr>
                <w:noProof/>
                <w:webHidden/>
              </w:rPr>
              <w:tab/>
            </w:r>
            <w:r>
              <w:rPr>
                <w:noProof/>
                <w:webHidden/>
              </w:rPr>
              <w:fldChar w:fldCharType="begin"/>
            </w:r>
            <w:r>
              <w:rPr>
                <w:noProof/>
                <w:webHidden/>
              </w:rPr>
              <w:instrText xml:space="preserve"> PAGEREF _Toc230879675 \h </w:instrText>
            </w:r>
            <w:r>
              <w:rPr>
                <w:noProof/>
                <w:webHidden/>
              </w:rPr>
            </w:r>
            <w:r>
              <w:rPr>
                <w:noProof/>
                <w:webHidden/>
              </w:rPr>
              <w:fldChar w:fldCharType="separate"/>
            </w:r>
            <w:r>
              <w:rPr>
                <w:noProof/>
                <w:webHidden/>
              </w:rPr>
              <w:t>371</w:t>
            </w:r>
            <w:r>
              <w:rPr>
                <w:noProof/>
                <w:webHidden/>
              </w:rPr>
              <w:fldChar w:fldCharType="end"/>
            </w:r>
          </w:hyperlink>
        </w:p>
        <w:p w14:paraId="65DA38F2" w14:textId="2DEC671B"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76" w:history="1">
            <w:r w:rsidRPr="00531F10">
              <w:rPr>
                <w:rStyle w:val="Hipervnculo"/>
                <w:rFonts w:cs="Arial"/>
                <w:noProof/>
              </w:rPr>
              <w:t>6.5</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OCUPACIÓN DE CAUCES, PLAYAS Y LECHOS</w:t>
            </w:r>
            <w:r>
              <w:rPr>
                <w:noProof/>
                <w:webHidden/>
              </w:rPr>
              <w:tab/>
            </w:r>
            <w:r>
              <w:rPr>
                <w:noProof/>
                <w:webHidden/>
              </w:rPr>
              <w:fldChar w:fldCharType="begin"/>
            </w:r>
            <w:r>
              <w:rPr>
                <w:noProof/>
                <w:webHidden/>
              </w:rPr>
              <w:instrText xml:space="preserve"> PAGEREF _Toc230879676 \h </w:instrText>
            </w:r>
            <w:r>
              <w:rPr>
                <w:noProof/>
                <w:webHidden/>
              </w:rPr>
            </w:r>
            <w:r>
              <w:rPr>
                <w:noProof/>
                <w:webHidden/>
              </w:rPr>
              <w:fldChar w:fldCharType="separate"/>
            </w:r>
            <w:r>
              <w:rPr>
                <w:noProof/>
                <w:webHidden/>
              </w:rPr>
              <w:t>377</w:t>
            </w:r>
            <w:r>
              <w:rPr>
                <w:noProof/>
                <w:webHidden/>
              </w:rPr>
              <w:fldChar w:fldCharType="end"/>
            </w:r>
          </w:hyperlink>
        </w:p>
        <w:p w14:paraId="7FC77860" w14:textId="5F03639A"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77" w:history="1">
            <w:r w:rsidRPr="00531F10">
              <w:rPr>
                <w:rStyle w:val="Hipervnculo"/>
                <w:rFonts w:cs="Arial"/>
                <w:noProof/>
              </w:rPr>
              <w:t>6.6</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APROVECHAMIENTO FORESTAL</w:t>
            </w:r>
            <w:r>
              <w:rPr>
                <w:noProof/>
                <w:webHidden/>
              </w:rPr>
              <w:tab/>
            </w:r>
            <w:r>
              <w:rPr>
                <w:noProof/>
                <w:webHidden/>
              </w:rPr>
              <w:fldChar w:fldCharType="begin"/>
            </w:r>
            <w:r>
              <w:rPr>
                <w:noProof/>
                <w:webHidden/>
              </w:rPr>
              <w:instrText xml:space="preserve"> PAGEREF _Toc230879677 \h </w:instrText>
            </w:r>
            <w:r>
              <w:rPr>
                <w:noProof/>
                <w:webHidden/>
              </w:rPr>
            </w:r>
            <w:r>
              <w:rPr>
                <w:noProof/>
                <w:webHidden/>
              </w:rPr>
              <w:fldChar w:fldCharType="separate"/>
            </w:r>
            <w:r>
              <w:rPr>
                <w:noProof/>
                <w:webHidden/>
              </w:rPr>
              <w:t>379</w:t>
            </w:r>
            <w:r>
              <w:rPr>
                <w:noProof/>
                <w:webHidden/>
              </w:rPr>
              <w:fldChar w:fldCharType="end"/>
            </w:r>
          </w:hyperlink>
        </w:p>
        <w:p w14:paraId="2261E5BA" w14:textId="42AD0A20"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78" w:history="1">
            <w:r w:rsidRPr="00531F10">
              <w:rPr>
                <w:rStyle w:val="Hipervnculo"/>
                <w:rFonts w:cs="Arial"/>
                <w:noProof/>
              </w:rPr>
              <w:t>6.7</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PERMISO DE EMISIÓN ATMOSFÉRICA</w:t>
            </w:r>
            <w:r>
              <w:rPr>
                <w:noProof/>
                <w:webHidden/>
              </w:rPr>
              <w:tab/>
            </w:r>
            <w:r>
              <w:rPr>
                <w:noProof/>
                <w:webHidden/>
              </w:rPr>
              <w:fldChar w:fldCharType="begin"/>
            </w:r>
            <w:r>
              <w:rPr>
                <w:noProof/>
                <w:webHidden/>
              </w:rPr>
              <w:instrText xml:space="preserve"> PAGEREF _Toc230879678 \h </w:instrText>
            </w:r>
            <w:r>
              <w:rPr>
                <w:noProof/>
                <w:webHidden/>
              </w:rPr>
            </w:r>
            <w:r>
              <w:rPr>
                <w:noProof/>
                <w:webHidden/>
              </w:rPr>
              <w:fldChar w:fldCharType="separate"/>
            </w:r>
            <w:r>
              <w:rPr>
                <w:noProof/>
                <w:webHidden/>
              </w:rPr>
              <w:t>381</w:t>
            </w:r>
            <w:r>
              <w:rPr>
                <w:noProof/>
                <w:webHidden/>
              </w:rPr>
              <w:fldChar w:fldCharType="end"/>
            </w:r>
          </w:hyperlink>
        </w:p>
        <w:p w14:paraId="20B6C4F3" w14:textId="1C649303"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79" w:history="1">
            <w:r w:rsidRPr="00531F10">
              <w:rPr>
                <w:rStyle w:val="Hipervnculo"/>
                <w:noProof/>
              </w:rPr>
              <w:t>6.7.1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Emisión de contaminantes del aire – fuentes de emisión</w:t>
            </w:r>
            <w:r>
              <w:rPr>
                <w:noProof/>
                <w:webHidden/>
              </w:rPr>
              <w:tab/>
            </w:r>
            <w:r>
              <w:rPr>
                <w:noProof/>
                <w:webHidden/>
              </w:rPr>
              <w:fldChar w:fldCharType="begin"/>
            </w:r>
            <w:r>
              <w:rPr>
                <w:noProof/>
                <w:webHidden/>
              </w:rPr>
              <w:instrText xml:space="preserve"> PAGEREF _Toc230879679 \h </w:instrText>
            </w:r>
            <w:r>
              <w:rPr>
                <w:noProof/>
                <w:webHidden/>
              </w:rPr>
            </w:r>
            <w:r>
              <w:rPr>
                <w:noProof/>
                <w:webHidden/>
              </w:rPr>
              <w:fldChar w:fldCharType="separate"/>
            </w:r>
            <w:r>
              <w:rPr>
                <w:noProof/>
                <w:webHidden/>
              </w:rPr>
              <w:t>382</w:t>
            </w:r>
            <w:r>
              <w:rPr>
                <w:noProof/>
                <w:webHidden/>
              </w:rPr>
              <w:fldChar w:fldCharType="end"/>
            </w:r>
          </w:hyperlink>
        </w:p>
        <w:p w14:paraId="1EAE507B" w14:textId="1DDA6505"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80" w:history="1">
            <w:r w:rsidRPr="00531F10">
              <w:rPr>
                <w:rStyle w:val="Hipervnculo"/>
                <w:noProof/>
              </w:rPr>
              <w:t>6.7.2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Modelo de dispersión</w:t>
            </w:r>
            <w:r>
              <w:rPr>
                <w:noProof/>
                <w:webHidden/>
              </w:rPr>
              <w:tab/>
            </w:r>
            <w:r>
              <w:rPr>
                <w:noProof/>
                <w:webHidden/>
              </w:rPr>
              <w:fldChar w:fldCharType="begin"/>
            </w:r>
            <w:r>
              <w:rPr>
                <w:noProof/>
                <w:webHidden/>
              </w:rPr>
              <w:instrText xml:space="preserve"> PAGEREF _Toc230879680 \h </w:instrText>
            </w:r>
            <w:r>
              <w:rPr>
                <w:noProof/>
                <w:webHidden/>
              </w:rPr>
            </w:r>
            <w:r>
              <w:rPr>
                <w:noProof/>
                <w:webHidden/>
              </w:rPr>
              <w:fldChar w:fldCharType="separate"/>
            </w:r>
            <w:r>
              <w:rPr>
                <w:noProof/>
                <w:webHidden/>
              </w:rPr>
              <w:t>383</w:t>
            </w:r>
            <w:r>
              <w:rPr>
                <w:noProof/>
                <w:webHidden/>
              </w:rPr>
              <w:fldChar w:fldCharType="end"/>
            </w:r>
          </w:hyperlink>
        </w:p>
        <w:p w14:paraId="20524CFC" w14:textId="76DA9A1F"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81" w:history="1">
            <w:r w:rsidRPr="00531F10">
              <w:rPr>
                <w:rStyle w:val="Hipervnculo"/>
                <w:rFonts w:cs="Arial"/>
                <w:noProof/>
              </w:rPr>
              <w:t>6.8</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PERMISO DE CAZA DE FOMENTO</w:t>
            </w:r>
            <w:r>
              <w:rPr>
                <w:noProof/>
                <w:webHidden/>
              </w:rPr>
              <w:tab/>
            </w:r>
            <w:r>
              <w:rPr>
                <w:noProof/>
                <w:webHidden/>
              </w:rPr>
              <w:fldChar w:fldCharType="begin"/>
            </w:r>
            <w:r>
              <w:rPr>
                <w:noProof/>
                <w:webHidden/>
              </w:rPr>
              <w:instrText xml:space="preserve"> PAGEREF _Toc230879681 \h </w:instrText>
            </w:r>
            <w:r>
              <w:rPr>
                <w:noProof/>
                <w:webHidden/>
              </w:rPr>
            </w:r>
            <w:r>
              <w:rPr>
                <w:noProof/>
                <w:webHidden/>
              </w:rPr>
              <w:fldChar w:fldCharType="separate"/>
            </w:r>
            <w:r>
              <w:rPr>
                <w:noProof/>
                <w:webHidden/>
              </w:rPr>
              <w:t>391</w:t>
            </w:r>
            <w:r>
              <w:rPr>
                <w:noProof/>
                <w:webHidden/>
              </w:rPr>
              <w:fldChar w:fldCharType="end"/>
            </w:r>
          </w:hyperlink>
        </w:p>
        <w:p w14:paraId="10603245" w14:textId="2888D6EE"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82" w:history="1">
            <w:r w:rsidRPr="00531F10">
              <w:rPr>
                <w:rStyle w:val="Hipervnculo"/>
                <w:noProof/>
              </w:rPr>
              <w:t>6.8.1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Caracterización del área donde se pretende llevar a cabo la caza de fomento</w:t>
            </w:r>
            <w:r>
              <w:rPr>
                <w:noProof/>
                <w:webHidden/>
              </w:rPr>
              <w:tab/>
            </w:r>
            <w:r>
              <w:rPr>
                <w:noProof/>
                <w:webHidden/>
              </w:rPr>
              <w:fldChar w:fldCharType="begin"/>
            </w:r>
            <w:r>
              <w:rPr>
                <w:noProof/>
                <w:webHidden/>
              </w:rPr>
              <w:instrText xml:space="preserve"> PAGEREF _Toc230879682 \h </w:instrText>
            </w:r>
            <w:r>
              <w:rPr>
                <w:noProof/>
                <w:webHidden/>
              </w:rPr>
            </w:r>
            <w:r>
              <w:rPr>
                <w:noProof/>
                <w:webHidden/>
              </w:rPr>
              <w:fldChar w:fldCharType="separate"/>
            </w:r>
            <w:r>
              <w:rPr>
                <w:noProof/>
                <w:webHidden/>
              </w:rPr>
              <w:t>392</w:t>
            </w:r>
            <w:r>
              <w:rPr>
                <w:noProof/>
                <w:webHidden/>
              </w:rPr>
              <w:fldChar w:fldCharType="end"/>
            </w:r>
          </w:hyperlink>
        </w:p>
        <w:p w14:paraId="557548EC" w14:textId="3048D1F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83" w:history="1">
            <w:r w:rsidRPr="00531F10">
              <w:rPr>
                <w:rStyle w:val="Hipervnculo"/>
                <w:noProof/>
              </w:rPr>
              <w:t>6.8.2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Recopilación de información actual sobre las poblaciones naturales en el país</w:t>
            </w:r>
            <w:r>
              <w:rPr>
                <w:noProof/>
                <w:webHidden/>
              </w:rPr>
              <w:tab/>
            </w:r>
            <w:r>
              <w:rPr>
                <w:noProof/>
                <w:webHidden/>
              </w:rPr>
              <w:fldChar w:fldCharType="begin"/>
            </w:r>
            <w:r>
              <w:rPr>
                <w:noProof/>
                <w:webHidden/>
              </w:rPr>
              <w:instrText xml:space="preserve"> PAGEREF _Toc230879683 \h </w:instrText>
            </w:r>
            <w:r>
              <w:rPr>
                <w:noProof/>
                <w:webHidden/>
              </w:rPr>
            </w:r>
            <w:r>
              <w:rPr>
                <w:noProof/>
                <w:webHidden/>
              </w:rPr>
              <w:fldChar w:fldCharType="separate"/>
            </w:r>
            <w:r>
              <w:rPr>
                <w:noProof/>
                <w:webHidden/>
              </w:rPr>
              <w:t>392</w:t>
            </w:r>
            <w:r>
              <w:rPr>
                <w:noProof/>
                <w:webHidden/>
              </w:rPr>
              <w:fldChar w:fldCharType="end"/>
            </w:r>
          </w:hyperlink>
        </w:p>
        <w:p w14:paraId="0F7B66FF" w14:textId="007B12B4"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84" w:history="1">
            <w:r w:rsidRPr="00531F10">
              <w:rPr>
                <w:rStyle w:val="Hipervnculo"/>
                <w:noProof/>
              </w:rPr>
              <w:t>6.8.3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Elaboración del estudio para determinar la viabilidad biológica de la caza de fomento</w:t>
            </w:r>
            <w:r>
              <w:rPr>
                <w:noProof/>
                <w:webHidden/>
              </w:rPr>
              <w:tab/>
            </w:r>
            <w:r>
              <w:rPr>
                <w:noProof/>
                <w:webHidden/>
              </w:rPr>
              <w:fldChar w:fldCharType="begin"/>
            </w:r>
            <w:r>
              <w:rPr>
                <w:noProof/>
                <w:webHidden/>
              </w:rPr>
              <w:instrText xml:space="preserve"> PAGEREF _Toc230879684 \h </w:instrText>
            </w:r>
            <w:r>
              <w:rPr>
                <w:noProof/>
                <w:webHidden/>
              </w:rPr>
            </w:r>
            <w:r>
              <w:rPr>
                <w:noProof/>
                <w:webHidden/>
              </w:rPr>
              <w:fldChar w:fldCharType="separate"/>
            </w:r>
            <w:r>
              <w:rPr>
                <w:noProof/>
                <w:webHidden/>
              </w:rPr>
              <w:t>392</w:t>
            </w:r>
            <w:r>
              <w:rPr>
                <w:noProof/>
                <w:webHidden/>
              </w:rPr>
              <w:fldChar w:fldCharType="end"/>
            </w:r>
          </w:hyperlink>
        </w:p>
        <w:p w14:paraId="0C2AEF46" w14:textId="058985A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85" w:history="1">
            <w:r w:rsidRPr="00531F10">
              <w:rPr>
                <w:rStyle w:val="Hipervnculo"/>
                <w:noProof/>
              </w:rPr>
              <w:t>6.8.4</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Determinación de las especies y cantidad de especímenes que compondrán la población parental</w:t>
            </w:r>
            <w:r>
              <w:rPr>
                <w:noProof/>
                <w:webHidden/>
              </w:rPr>
              <w:tab/>
            </w:r>
            <w:r>
              <w:rPr>
                <w:noProof/>
                <w:webHidden/>
              </w:rPr>
              <w:fldChar w:fldCharType="begin"/>
            </w:r>
            <w:r>
              <w:rPr>
                <w:noProof/>
                <w:webHidden/>
              </w:rPr>
              <w:instrText xml:space="preserve"> PAGEREF _Toc230879685 \h </w:instrText>
            </w:r>
            <w:r>
              <w:rPr>
                <w:noProof/>
                <w:webHidden/>
              </w:rPr>
            </w:r>
            <w:r>
              <w:rPr>
                <w:noProof/>
                <w:webHidden/>
              </w:rPr>
              <w:fldChar w:fldCharType="separate"/>
            </w:r>
            <w:r>
              <w:rPr>
                <w:noProof/>
                <w:webHidden/>
              </w:rPr>
              <w:t>396</w:t>
            </w:r>
            <w:r>
              <w:rPr>
                <w:noProof/>
                <w:webHidden/>
              </w:rPr>
              <w:fldChar w:fldCharType="end"/>
            </w:r>
          </w:hyperlink>
        </w:p>
        <w:p w14:paraId="662A1177" w14:textId="3079FEEA"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86" w:history="1">
            <w:r w:rsidRPr="00531F10">
              <w:rPr>
                <w:rStyle w:val="Hipervnculo"/>
                <w:noProof/>
              </w:rPr>
              <w:t>6.8.5</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Descripción de los sistemas de selección de especímenes, de caza y de captura a emplear, señalando la época de ejecución de estas labores</w:t>
            </w:r>
            <w:r>
              <w:rPr>
                <w:noProof/>
                <w:webHidden/>
              </w:rPr>
              <w:tab/>
            </w:r>
            <w:r>
              <w:rPr>
                <w:noProof/>
                <w:webHidden/>
              </w:rPr>
              <w:fldChar w:fldCharType="begin"/>
            </w:r>
            <w:r>
              <w:rPr>
                <w:noProof/>
                <w:webHidden/>
              </w:rPr>
              <w:instrText xml:space="preserve"> PAGEREF _Toc230879686 \h </w:instrText>
            </w:r>
            <w:r>
              <w:rPr>
                <w:noProof/>
                <w:webHidden/>
              </w:rPr>
            </w:r>
            <w:r>
              <w:rPr>
                <w:noProof/>
                <w:webHidden/>
              </w:rPr>
              <w:fldChar w:fldCharType="separate"/>
            </w:r>
            <w:r>
              <w:rPr>
                <w:noProof/>
                <w:webHidden/>
              </w:rPr>
              <w:t>397</w:t>
            </w:r>
            <w:r>
              <w:rPr>
                <w:noProof/>
                <w:webHidden/>
              </w:rPr>
              <w:fldChar w:fldCharType="end"/>
            </w:r>
          </w:hyperlink>
        </w:p>
        <w:p w14:paraId="76ECF58B" w14:textId="3A4DDA31"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87" w:history="1">
            <w:r w:rsidRPr="00531F10">
              <w:rPr>
                <w:rStyle w:val="Hipervnculo"/>
                <w:noProof/>
              </w:rPr>
              <w:t>6.8.6</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Delimitación de los lugares en los que se propone capturar los especímenes para los cuales se solicita el permiso</w:t>
            </w:r>
            <w:r>
              <w:rPr>
                <w:noProof/>
                <w:webHidden/>
              </w:rPr>
              <w:tab/>
            </w:r>
            <w:r>
              <w:rPr>
                <w:noProof/>
                <w:webHidden/>
              </w:rPr>
              <w:fldChar w:fldCharType="begin"/>
            </w:r>
            <w:r>
              <w:rPr>
                <w:noProof/>
                <w:webHidden/>
              </w:rPr>
              <w:instrText xml:space="preserve"> PAGEREF _Toc230879687 \h </w:instrText>
            </w:r>
            <w:r>
              <w:rPr>
                <w:noProof/>
                <w:webHidden/>
              </w:rPr>
            </w:r>
            <w:r>
              <w:rPr>
                <w:noProof/>
                <w:webHidden/>
              </w:rPr>
              <w:fldChar w:fldCharType="separate"/>
            </w:r>
            <w:r>
              <w:rPr>
                <w:noProof/>
                <w:webHidden/>
              </w:rPr>
              <w:t>397</w:t>
            </w:r>
            <w:r>
              <w:rPr>
                <w:noProof/>
                <w:webHidden/>
              </w:rPr>
              <w:fldChar w:fldCharType="end"/>
            </w:r>
          </w:hyperlink>
        </w:p>
        <w:p w14:paraId="7B94C43D" w14:textId="553B5A20"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688" w:history="1">
            <w:r w:rsidRPr="00531F10">
              <w:rPr>
                <w:rStyle w:val="Hipervnculo"/>
              </w:rPr>
              <w:t>7.</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EVALUACIÓN AMBIENTAL</w:t>
            </w:r>
            <w:r>
              <w:rPr>
                <w:webHidden/>
              </w:rPr>
              <w:tab/>
            </w:r>
            <w:r>
              <w:rPr>
                <w:webHidden/>
              </w:rPr>
              <w:fldChar w:fldCharType="begin"/>
            </w:r>
            <w:r>
              <w:rPr>
                <w:webHidden/>
              </w:rPr>
              <w:instrText xml:space="preserve"> PAGEREF _Toc230879688 \h </w:instrText>
            </w:r>
            <w:r>
              <w:rPr>
                <w:webHidden/>
              </w:rPr>
            </w:r>
            <w:r>
              <w:rPr>
                <w:webHidden/>
              </w:rPr>
              <w:fldChar w:fldCharType="separate"/>
            </w:r>
            <w:r>
              <w:rPr>
                <w:webHidden/>
              </w:rPr>
              <w:t>398</w:t>
            </w:r>
            <w:r>
              <w:rPr>
                <w:webHidden/>
              </w:rPr>
              <w:fldChar w:fldCharType="end"/>
            </w:r>
          </w:hyperlink>
        </w:p>
        <w:p w14:paraId="153943FC" w14:textId="70EEEEF6"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89" w:history="1">
            <w:r w:rsidRPr="00531F10">
              <w:rPr>
                <w:rStyle w:val="Hipervnculo"/>
                <w:rFonts w:cs="Arial"/>
                <w:noProof/>
              </w:rPr>
              <w:t>7.1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PROCEDIMIENTO GENERAL PARA LA EVALUACIÓN AMBIENTAL</w:t>
            </w:r>
            <w:r>
              <w:rPr>
                <w:noProof/>
                <w:webHidden/>
              </w:rPr>
              <w:tab/>
            </w:r>
            <w:r>
              <w:rPr>
                <w:noProof/>
                <w:webHidden/>
              </w:rPr>
              <w:fldChar w:fldCharType="begin"/>
            </w:r>
            <w:r>
              <w:rPr>
                <w:noProof/>
                <w:webHidden/>
              </w:rPr>
              <w:instrText xml:space="preserve"> PAGEREF _Toc230879689 \h </w:instrText>
            </w:r>
            <w:r>
              <w:rPr>
                <w:noProof/>
                <w:webHidden/>
              </w:rPr>
            </w:r>
            <w:r>
              <w:rPr>
                <w:noProof/>
                <w:webHidden/>
              </w:rPr>
              <w:fldChar w:fldCharType="separate"/>
            </w:r>
            <w:r>
              <w:rPr>
                <w:noProof/>
                <w:webHidden/>
              </w:rPr>
              <w:t>399</w:t>
            </w:r>
            <w:r>
              <w:rPr>
                <w:noProof/>
                <w:webHidden/>
              </w:rPr>
              <w:fldChar w:fldCharType="end"/>
            </w:r>
          </w:hyperlink>
        </w:p>
        <w:p w14:paraId="50F1DCB5" w14:textId="056E4473"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90" w:history="1">
            <w:r w:rsidRPr="00531F10">
              <w:rPr>
                <w:rStyle w:val="Hipervnculo"/>
                <w:noProof/>
              </w:rPr>
              <w:t>7.1.1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Determinación y valoración de los impactos ambientales para el escenario sin proyecto.</w:t>
            </w:r>
            <w:r>
              <w:rPr>
                <w:noProof/>
                <w:webHidden/>
              </w:rPr>
              <w:tab/>
            </w:r>
            <w:r>
              <w:rPr>
                <w:noProof/>
                <w:webHidden/>
              </w:rPr>
              <w:fldChar w:fldCharType="begin"/>
            </w:r>
            <w:r>
              <w:rPr>
                <w:noProof/>
                <w:webHidden/>
              </w:rPr>
              <w:instrText xml:space="preserve"> PAGEREF _Toc230879690 \h </w:instrText>
            </w:r>
            <w:r>
              <w:rPr>
                <w:noProof/>
                <w:webHidden/>
              </w:rPr>
            </w:r>
            <w:r>
              <w:rPr>
                <w:noProof/>
                <w:webHidden/>
              </w:rPr>
              <w:fldChar w:fldCharType="separate"/>
            </w:r>
            <w:r>
              <w:rPr>
                <w:noProof/>
                <w:webHidden/>
              </w:rPr>
              <w:t>401</w:t>
            </w:r>
            <w:r>
              <w:rPr>
                <w:noProof/>
                <w:webHidden/>
              </w:rPr>
              <w:fldChar w:fldCharType="end"/>
            </w:r>
          </w:hyperlink>
        </w:p>
        <w:p w14:paraId="69ACF480" w14:textId="4DAAEC9F"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91" w:history="1">
            <w:r w:rsidRPr="00531F10">
              <w:rPr>
                <w:rStyle w:val="Hipervnculo"/>
                <w:noProof/>
              </w:rPr>
              <w:t>7.1.2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Determinación y valoración de los impactos ambientales para el escenario con proyecto.</w:t>
            </w:r>
            <w:r>
              <w:rPr>
                <w:noProof/>
                <w:webHidden/>
              </w:rPr>
              <w:tab/>
            </w:r>
            <w:r>
              <w:rPr>
                <w:noProof/>
                <w:webHidden/>
              </w:rPr>
              <w:fldChar w:fldCharType="begin"/>
            </w:r>
            <w:r>
              <w:rPr>
                <w:noProof/>
                <w:webHidden/>
              </w:rPr>
              <w:instrText xml:space="preserve"> PAGEREF _Toc230879691 \h </w:instrText>
            </w:r>
            <w:r>
              <w:rPr>
                <w:noProof/>
                <w:webHidden/>
              </w:rPr>
            </w:r>
            <w:r>
              <w:rPr>
                <w:noProof/>
                <w:webHidden/>
              </w:rPr>
              <w:fldChar w:fldCharType="separate"/>
            </w:r>
            <w:r>
              <w:rPr>
                <w:noProof/>
                <w:webHidden/>
              </w:rPr>
              <w:t>401</w:t>
            </w:r>
            <w:r>
              <w:rPr>
                <w:noProof/>
                <w:webHidden/>
              </w:rPr>
              <w:fldChar w:fldCharType="end"/>
            </w:r>
          </w:hyperlink>
        </w:p>
        <w:p w14:paraId="2B2CD028" w14:textId="2A09B9CE"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92" w:history="1">
            <w:r w:rsidRPr="00531F10">
              <w:rPr>
                <w:rStyle w:val="Hipervnculo"/>
                <w:rFonts w:cs="Arial"/>
                <w:noProof/>
              </w:rPr>
              <w:t>7.2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LINEAMIENTOS GENERALES PARA LA EVALUACIÓN AMBIENTAL</w:t>
            </w:r>
            <w:r>
              <w:rPr>
                <w:noProof/>
                <w:webHidden/>
              </w:rPr>
              <w:tab/>
            </w:r>
            <w:r>
              <w:rPr>
                <w:noProof/>
                <w:webHidden/>
              </w:rPr>
              <w:fldChar w:fldCharType="begin"/>
            </w:r>
            <w:r>
              <w:rPr>
                <w:noProof/>
                <w:webHidden/>
              </w:rPr>
              <w:instrText xml:space="preserve"> PAGEREF _Toc230879692 \h </w:instrText>
            </w:r>
            <w:r>
              <w:rPr>
                <w:noProof/>
                <w:webHidden/>
              </w:rPr>
            </w:r>
            <w:r>
              <w:rPr>
                <w:noProof/>
                <w:webHidden/>
              </w:rPr>
              <w:fldChar w:fldCharType="separate"/>
            </w:r>
            <w:r>
              <w:rPr>
                <w:noProof/>
                <w:webHidden/>
              </w:rPr>
              <w:t>403</w:t>
            </w:r>
            <w:r>
              <w:rPr>
                <w:noProof/>
                <w:webHidden/>
              </w:rPr>
              <w:fldChar w:fldCharType="end"/>
            </w:r>
          </w:hyperlink>
        </w:p>
        <w:p w14:paraId="713A5975" w14:textId="2DB255F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93" w:history="1">
            <w:r w:rsidRPr="00531F10">
              <w:rPr>
                <w:rStyle w:val="Hipervnculo"/>
                <w:noProof/>
              </w:rPr>
              <w:t>7.2.1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Determinación de impactos ambientales</w:t>
            </w:r>
            <w:r>
              <w:rPr>
                <w:noProof/>
                <w:webHidden/>
              </w:rPr>
              <w:tab/>
            </w:r>
            <w:r>
              <w:rPr>
                <w:noProof/>
                <w:webHidden/>
              </w:rPr>
              <w:fldChar w:fldCharType="begin"/>
            </w:r>
            <w:r>
              <w:rPr>
                <w:noProof/>
                <w:webHidden/>
              </w:rPr>
              <w:instrText xml:space="preserve"> PAGEREF _Toc230879693 \h </w:instrText>
            </w:r>
            <w:r>
              <w:rPr>
                <w:noProof/>
                <w:webHidden/>
              </w:rPr>
            </w:r>
            <w:r>
              <w:rPr>
                <w:noProof/>
                <w:webHidden/>
              </w:rPr>
              <w:fldChar w:fldCharType="separate"/>
            </w:r>
            <w:r>
              <w:rPr>
                <w:noProof/>
                <w:webHidden/>
              </w:rPr>
              <w:t>404</w:t>
            </w:r>
            <w:r>
              <w:rPr>
                <w:noProof/>
                <w:webHidden/>
              </w:rPr>
              <w:fldChar w:fldCharType="end"/>
            </w:r>
          </w:hyperlink>
        </w:p>
        <w:p w14:paraId="6686CFEB" w14:textId="5BD8CA69"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94" w:history="1">
            <w:r w:rsidRPr="00531F10">
              <w:rPr>
                <w:rStyle w:val="Hipervnculo"/>
                <w:noProof/>
              </w:rPr>
              <w:t>7.2.2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Valoración de impactos ambientales</w:t>
            </w:r>
            <w:r>
              <w:rPr>
                <w:noProof/>
                <w:webHidden/>
              </w:rPr>
              <w:tab/>
            </w:r>
            <w:r>
              <w:rPr>
                <w:noProof/>
                <w:webHidden/>
              </w:rPr>
              <w:fldChar w:fldCharType="begin"/>
            </w:r>
            <w:r>
              <w:rPr>
                <w:noProof/>
                <w:webHidden/>
              </w:rPr>
              <w:instrText xml:space="preserve"> PAGEREF _Toc230879694 \h </w:instrText>
            </w:r>
            <w:r>
              <w:rPr>
                <w:noProof/>
                <w:webHidden/>
              </w:rPr>
            </w:r>
            <w:r>
              <w:rPr>
                <w:noProof/>
                <w:webHidden/>
              </w:rPr>
              <w:fldChar w:fldCharType="separate"/>
            </w:r>
            <w:r>
              <w:rPr>
                <w:noProof/>
                <w:webHidden/>
              </w:rPr>
              <w:t>408</w:t>
            </w:r>
            <w:r>
              <w:rPr>
                <w:noProof/>
                <w:webHidden/>
              </w:rPr>
              <w:fldChar w:fldCharType="end"/>
            </w:r>
          </w:hyperlink>
        </w:p>
        <w:p w14:paraId="5CE3524C" w14:textId="16192D0C"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95" w:history="1">
            <w:r w:rsidRPr="00531F10">
              <w:rPr>
                <w:rStyle w:val="Hipervnculo"/>
                <w:rFonts w:cs="Arial"/>
                <w:noProof/>
              </w:rPr>
              <w:t>7.3</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LINEAMIENTOS PARA LA DETERMINACIÓN Y VALORACIÓN DE IMPACTOS PARA EL ESCENARIO SIN PROYECTO</w:t>
            </w:r>
            <w:r>
              <w:rPr>
                <w:noProof/>
                <w:webHidden/>
              </w:rPr>
              <w:tab/>
            </w:r>
            <w:r>
              <w:rPr>
                <w:noProof/>
                <w:webHidden/>
              </w:rPr>
              <w:fldChar w:fldCharType="begin"/>
            </w:r>
            <w:r>
              <w:rPr>
                <w:noProof/>
                <w:webHidden/>
              </w:rPr>
              <w:instrText xml:space="preserve"> PAGEREF _Toc230879695 \h </w:instrText>
            </w:r>
            <w:r>
              <w:rPr>
                <w:noProof/>
                <w:webHidden/>
              </w:rPr>
            </w:r>
            <w:r>
              <w:rPr>
                <w:noProof/>
                <w:webHidden/>
              </w:rPr>
              <w:fldChar w:fldCharType="separate"/>
            </w:r>
            <w:r>
              <w:rPr>
                <w:noProof/>
                <w:webHidden/>
              </w:rPr>
              <w:t>411</w:t>
            </w:r>
            <w:r>
              <w:rPr>
                <w:noProof/>
                <w:webHidden/>
              </w:rPr>
              <w:fldChar w:fldCharType="end"/>
            </w:r>
          </w:hyperlink>
        </w:p>
        <w:p w14:paraId="17D904FB" w14:textId="17F52AAD"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696" w:history="1">
            <w:r w:rsidRPr="00531F10">
              <w:rPr>
                <w:rStyle w:val="Hipervnculo"/>
                <w:rFonts w:cs="Arial"/>
                <w:noProof/>
              </w:rPr>
              <w:t>7.4</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LINEAMIENTOS PARA LA DETERMINACIÓN Y VALORACIÓN DE IMPACTOS PARA EL ESCENARIO CON PROYECTO</w:t>
            </w:r>
            <w:r>
              <w:rPr>
                <w:noProof/>
                <w:webHidden/>
              </w:rPr>
              <w:tab/>
            </w:r>
            <w:r>
              <w:rPr>
                <w:noProof/>
                <w:webHidden/>
              </w:rPr>
              <w:fldChar w:fldCharType="begin"/>
            </w:r>
            <w:r>
              <w:rPr>
                <w:noProof/>
                <w:webHidden/>
              </w:rPr>
              <w:instrText xml:space="preserve"> PAGEREF _Toc230879696 \h </w:instrText>
            </w:r>
            <w:r>
              <w:rPr>
                <w:noProof/>
                <w:webHidden/>
              </w:rPr>
            </w:r>
            <w:r>
              <w:rPr>
                <w:noProof/>
                <w:webHidden/>
              </w:rPr>
              <w:fldChar w:fldCharType="separate"/>
            </w:r>
            <w:r>
              <w:rPr>
                <w:noProof/>
                <w:webHidden/>
              </w:rPr>
              <w:t>411</w:t>
            </w:r>
            <w:r>
              <w:rPr>
                <w:noProof/>
                <w:webHidden/>
              </w:rPr>
              <w:fldChar w:fldCharType="end"/>
            </w:r>
          </w:hyperlink>
        </w:p>
        <w:p w14:paraId="7BA0BCB7" w14:textId="5D32AFDA"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97" w:history="1">
            <w:r w:rsidRPr="00531F10">
              <w:rPr>
                <w:rStyle w:val="Hipervnculo"/>
                <w:noProof/>
              </w:rPr>
              <w:t>7.4.1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Determinación en el escenario con proyecto</w:t>
            </w:r>
            <w:r>
              <w:rPr>
                <w:noProof/>
                <w:webHidden/>
              </w:rPr>
              <w:tab/>
            </w:r>
            <w:r>
              <w:rPr>
                <w:noProof/>
                <w:webHidden/>
              </w:rPr>
              <w:fldChar w:fldCharType="begin"/>
            </w:r>
            <w:r>
              <w:rPr>
                <w:noProof/>
                <w:webHidden/>
              </w:rPr>
              <w:instrText xml:space="preserve"> PAGEREF _Toc230879697 \h </w:instrText>
            </w:r>
            <w:r>
              <w:rPr>
                <w:noProof/>
                <w:webHidden/>
              </w:rPr>
            </w:r>
            <w:r>
              <w:rPr>
                <w:noProof/>
                <w:webHidden/>
              </w:rPr>
              <w:fldChar w:fldCharType="separate"/>
            </w:r>
            <w:r>
              <w:rPr>
                <w:noProof/>
                <w:webHidden/>
              </w:rPr>
              <w:t>412</w:t>
            </w:r>
            <w:r>
              <w:rPr>
                <w:noProof/>
                <w:webHidden/>
              </w:rPr>
              <w:fldChar w:fldCharType="end"/>
            </w:r>
          </w:hyperlink>
        </w:p>
        <w:p w14:paraId="6074A6C6" w14:textId="68000429"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98" w:history="1">
            <w:r w:rsidRPr="00531F10">
              <w:rPr>
                <w:rStyle w:val="Hipervnculo"/>
                <w:noProof/>
              </w:rPr>
              <w:t>7.4.2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Valoración en el escenario con proyecto</w:t>
            </w:r>
            <w:r>
              <w:rPr>
                <w:noProof/>
                <w:webHidden/>
              </w:rPr>
              <w:tab/>
            </w:r>
            <w:r>
              <w:rPr>
                <w:noProof/>
                <w:webHidden/>
              </w:rPr>
              <w:fldChar w:fldCharType="begin"/>
            </w:r>
            <w:r>
              <w:rPr>
                <w:noProof/>
                <w:webHidden/>
              </w:rPr>
              <w:instrText xml:space="preserve"> PAGEREF _Toc230879698 \h </w:instrText>
            </w:r>
            <w:r>
              <w:rPr>
                <w:noProof/>
                <w:webHidden/>
              </w:rPr>
            </w:r>
            <w:r>
              <w:rPr>
                <w:noProof/>
                <w:webHidden/>
              </w:rPr>
              <w:fldChar w:fldCharType="separate"/>
            </w:r>
            <w:r>
              <w:rPr>
                <w:noProof/>
                <w:webHidden/>
              </w:rPr>
              <w:t>413</w:t>
            </w:r>
            <w:r>
              <w:rPr>
                <w:noProof/>
                <w:webHidden/>
              </w:rPr>
              <w:fldChar w:fldCharType="end"/>
            </w:r>
          </w:hyperlink>
        </w:p>
        <w:p w14:paraId="762EE227" w14:textId="6C274C08"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699" w:history="1">
            <w:r w:rsidRPr="00531F10">
              <w:rPr>
                <w:rStyle w:val="Hipervnculo"/>
                <w:noProof/>
              </w:rPr>
              <w:t>7.4.3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Determinación de impactos ambientales significativos negativos</w:t>
            </w:r>
            <w:r>
              <w:rPr>
                <w:noProof/>
                <w:webHidden/>
              </w:rPr>
              <w:tab/>
            </w:r>
            <w:r>
              <w:rPr>
                <w:noProof/>
                <w:webHidden/>
              </w:rPr>
              <w:fldChar w:fldCharType="begin"/>
            </w:r>
            <w:r>
              <w:rPr>
                <w:noProof/>
                <w:webHidden/>
              </w:rPr>
              <w:instrText xml:space="preserve"> PAGEREF _Toc230879699 \h </w:instrText>
            </w:r>
            <w:r>
              <w:rPr>
                <w:noProof/>
                <w:webHidden/>
              </w:rPr>
            </w:r>
            <w:r>
              <w:rPr>
                <w:noProof/>
                <w:webHidden/>
              </w:rPr>
              <w:fldChar w:fldCharType="separate"/>
            </w:r>
            <w:r>
              <w:rPr>
                <w:noProof/>
                <w:webHidden/>
              </w:rPr>
              <w:t>419</w:t>
            </w:r>
            <w:r>
              <w:rPr>
                <w:noProof/>
                <w:webHidden/>
              </w:rPr>
              <w:fldChar w:fldCharType="end"/>
            </w:r>
          </w:hyperlink>
        </w:p>
        <w:p w14:paraId="7FA6E567" w14:textId="2B860525"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700" w:history="1">
            <w:r w:rsidRPr="00531F10">
              <w:rPr>
                <w:rStyle w:val="Hipervnculo"/>
                <w:noProof/>
              </w:rPr>
              <w:t>7.4.4</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Evaluación de los impactos ambientales residuales acumulativos y sinérgicos</w:t>
            </w:r>
            <w:r>
              <w:rPr>
                <w:noProof/>
                <w:webHidden/>
              </w:rPr>
              <w:tab/>
            </w:r>
            <w:r>
              <w:rPr>
                <w:noProof/>
                <w:webHidden/>
              </w:rPr>
              <w:fldChar w:fldCharType="begin"/>
            </w:r>
            <w:r>
              <w:rPr>
                <w:noProof/>
                <w:webHidden/>
              </w:rPr>
              <w:instrText xml:space="preserve"> PAGEREF _Toc230879700 \h </w:instrText>
            </w:r>
            <w:r>
              <w:rPr>
                <w:noProof/>
                <w:webHidden/>
              </w:rPr>
            </w:r>
            <w:r>
              <w:rPr>
                <w:noProof/>
                <w:webHidden/>
              </w:rPr>
              <w:fldChar w:fldCharType="separate"/>
            </w:r>
            <w:r>
              <w:rPr>
                <w:noProof/>
                <w:webHidden/>
              </w:rPr>
              <w:t>422</w:t>
            </w:r>
            <w:r>
              <w:rPr>
                <w:noProof/>
                <w:webHidden/>
              </w:rPr>
              <w:fldChar w:fldCharType="end"/>
            </w:r>
          </w:hyperlink>
        </w:p>
        <w:p w14:paraId="40BBAEB5" w14:textId="049B1ABD"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701" w:history="1">
            <w:r w:rsidRPr="00531F10">
              <w:rPr>
                <w:rStyle w:val="Hipervnculo"/>
                <w:rFonts w:cs="Arial"/>
                <w:noProof/>
              </w:rPr>
              <w:t>7.5</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ESCENARIOS PROSPECTIVOS</w:t>
            </w:r>
            <w:r>
              <w:rPr>
                <w:noProof/>
                <w:webHidden/>
              </w:rPr>
              <w:tab/>
            </w:r>
            <w:r>
              <w:rPr>
                <w:noProof/>
                <w:webHidden/>
              </w:rPr>
              <w:fldChar w:fldCharType="begin"/>
            </w:r>
            <w:r>
              <w:rPr>
                <w:noProof/>
                <w:webHidden/>
              </w:rPr>
              <w:instrText xml:space="preserve"> PAGEREF _Toc230879701 \h </w:instrText>
            </w:r>
            <w:r>
              <w:rPr>
                <w:noProof/>
                <w:webHidden/>
              </w:rPr>
            </w:r>
            <w:r>
              <w:rPr>
                <w:noProof/>
                <w:webHidden/>
              </w:rPr>
              <w:fldChar w:fldCharType="separate"/>
            </w:r>
            <w:r>
              <w:rPr>
                <w:noProof/>
                <w:webHidden/>
              </w:rPr>
              <w:t>425</w:t>
            </w:r>
            <w:r>
              <w:rPr>
                <w:noProof/>
                <w:webHidden/>
              </w:rPr>
              <w:fldChar w:fldCharType="end"/>
            </w:r>
          </w:hyperlink>
        </w:p>
        <w:p w14:paraId="7B2A2D31" w14:textId="14585997"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702" w:history="1">
            <w:r w:rsidRPr="00531F10">
              <w:rPr>
                <w:rStyle w:val="Hipervnculo"/>
                <w:noProof/>
              </w:rPr>
              <w:t>7.5.1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Ruido</w:t>
            </w:r>
            <w:r>
              <w:rPr>
                <w:noProof/>
                <w:webHidden/>
              </w:rPr>
              <w:tab/>
            </w:r>
            <w:r>
              <w:rPr>
                <w:noProof/>
                <w:webHidden/>
              </w:rPr>
              <w:fldChar w:fldCharType="begin"/>
            </w:r>
            <w:r>
              <w:rPr>
                <w:noProof/>
                <w:webHidden/>
              </w:rPr>
              <w:instrText xml:space="preserve"> PAGEREF _Toc230879702 \h </w:instrText>
            </w:r>
            <w:r>
              <w:rPr>
                <w:noProof/>
                <w:webHidden/>
              </w:rPr>
            </w:r>
            <w:r>
              <w:rPr>
                <w:noProof/>
                <w:webHidden/>
              </w:rPr>
              <w:fldChar w:fldCharType="separate"/>
            </w:r>
            <w:r>
              <w:rPr>
                <w:noProof/>
                <w:webHidden/>
              </w:rPr>
              <w:t>425</w:t>
            </w:r>
            <w:r>
              <w:rPr>
                <w:noProof/>
                <w:webHidden/>
              </w:rPr>
              <w:fldChar w:fldCharType="end"/>
            </w:r>
          </w:hyperlink>
        </w:p>
        <w:p w14:paraId="1C14B008" w14:textId="510F4151"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703" w:history="1">
            <w:r w:rsidRPr="00531F10">
              <w:rPr>
                <w:rStyle w:val="Hipervnculo"/>
                <w:noProof/>
              </w:rPr>
              <w:t>7.5.2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Paisaje</w:t>
            </w:r>
            <w:r>
              <w:rPr>
                <w:noProof/>
                <w:webHidden/>
              </w:rPr>
              <w:tab/>
            </w:r>
            <w:r>
              <w:rPr>
                <w:noProof/>
                <w:webHidden/>
              </w:rPr>
              <w:fldChar w:fldCharType="begin"/>
            </w:r>
            <w:r>
              <w:rPr>
                <w:noProof/>
                <w:webHidden/>
              </w:rPr>
              <w:instrText xml:space="preserve"> PAGEREF _Toc230879703 \h </w:instrText>
            </w:r>
            <w:r>
              <w:rPr>
                <w:noProof/>
                <w:webHidden/>
              </w:rPr>
            </w:r>
            <w:r>
              <w:rPr>
                <w:noProof/>
                <w:webHidden/>
              </w:rPr>
              <w:fldChar w:fldCharType="separate"/>
            </w:r>
            <w:r>
              <w:rPr>
                <w:noProof/>
                <w:webHidden/>
              </w:rPr>
              <w:t>430</w:t>
            </w:r>
            <w:r>
              <w:rPr>
                <w:noProof/>
                <w:webHidden/>
              </w:rPr>
              <w:fldChar w:fldCharType="end"/>
            </w:r>
          </w:hyperlink>
        </w:p>
        <w:p w14:paraId="60B1E6DD" w14:textId="0EC71EDB"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704" w:history="1">
            <w:r w:rsidRPr="00531F10">
              <w:rPr>
                <w:rStyle w:val="Hipervnculo"/>
                <w:noProof/>
              </w:rPr>
              <w:t>7.5.3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Oceanografía</w:t>
            </w:r>
            <w:r>
              <w:rPr>
                <w:noProof/>
                <w:webHidden/>
              </w:rPr>
              <w:tab/>
            </w:r>
            <w:r>
              <w:rPr>
                <w:noProof/>
                <w:webHidden/>
              </w:rPr>
              <w:fldChar w:fldCharType="begin"/>
            </w:r>
            <w:r>
              <w:rPr>
                <w:noProof/>
                <w:webHidden/>
              </w:rPr>
              <w:instrText xml:space="preserve"> PAGEREF _Toc230879704 \h </w:instrText>
            </w:r>
            <w:r>
              <w:rPr>
                <w:noProof/>
                <w:webHidden/>
              </w:rPr>
            </w:r>
            <w:r>
              <w:rPr>
                <w:noProof/>
                <w:webHidden/>
              </w:rPr>
              <w:fldChar w:fldCharType="separate"/>
            </w:r>
            <w:r>
              <w:rPr>
                <w:noProof/>
                <w:webHidden/>
              </w:rPr>
              <w:t>431</w:t>
            </w:r>
            <w:r>
              <w:rPr>
                <w:noProof/>
                <w:webHidden/>
              </w:rPr>
              <w:fldChar w:fldCharType="end"/>
            </w:r>
          </w:hyperlink>
        </w:p>
        <w:p w14:paraId="23F2A2D3" w14:textId="3808FE81"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705" w:history="1">
            <w:r w:rsidRPr="00531F10">
              <w:rPr>
                <w:rStyle w:val="Hipervnculo"/>
              </w:rPr>
              <w:t>8.</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EVALUACIÓN ECONÓMICA AMBIENTAL</w:t>
            </w:r>
            <w:r>
              <w:rPr>
                <w:webHidden/>
              </w:rPr>
              <w:tab/>
            </w:r>
            <w:r>
              <w:rPr>
                <w:webHidden/>
              </w:rPr>
              <w:fldChar w:fldCharType="begin"/>
            </w:r>
            <w:r>
              <w:rPr>
                <w:webHidden/>
              </w:rPr>
              <w:instrText xml:space="preserve"> PAGEREF _Toc230879705 \h </w:instrText>
            </w:r>
            <w:r>
              <w:rPr>
                <w:webHidden/>
              </w:rPr>
            </w:r>
            <w:r>
              <w:rPr>
                <w:webHidden/>
              </w:rPr>
              <w:fldChar w:fldCharType="separate"/>
            </w:r>
            <w:r>
              <w:rPr>
                <w:webHidden/>
              </w:rPr>
              <w:t>431</w:t>
            </w:r>
            <w:r>
              <w:rPr>
                <w:webHidden/>
              </w:rPr>
              <w:fldChar w:fldCharType="end"/>
            </w:r>
          </w:hyperlink>
        </w:p>
        <w:p w14:paraId="2E5D39C4" w14:textId="61A68A89"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706" w:history="1">
            <w:r w:rsidRPr="00531F10">
              <w:rPr>
                <w:rStyle w:val="Hipervnculo"/>
                <w:noProof/>
              </w:rPr>
              <w:t>8.1.1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Etapas de la evaluación económica ambiental en el proceso de elaboración del EIA</w:t>
            </w:r>
            <w:r>
              <w:rPr>
                <w:noProof/>
                <w:webHidden/>
              </w:rPr>
              <w:tab/>
            </w:r>
            <w:r>
              <w:rPr>
                <w:noProof/>
                <w:webHidden/>
              </w:rPr>
              <w:fldChar w:fldCharType="begin"/>
            </w:r>
            <w:r>
              <w:rPr>
                <w:noProof/>
                <w:webHidden/>
              </w:rPr>
              <w:instrText xml:space="preserve"> PAGEREF _Toc230879706 \h </w:instrText>
            </w:r>
            <w:r>
              <w:rPr>
                <w:noProof/>
                <w:webHidden/>
              </w:rPr>
            </w:r>
            <w:r>
              <w:rPr>
                <w:noProof/>
                <w:webHidden/>
              </w:rPr>
              <w:fldChar w:fldCharType="separate"/>
            </w:r>
            <w:r>
              <w:rPr>
                <w:noProof/>
                <w:webHidden/>
              </w:rPr>
              <w:t>432</w:t>
            </w:r>
            <w:r>
              <w:rPr>
                <w:noProof/>
                <w:webHidden/>
              </w:rPr>
              <w:fldChar w:fldCharType="end"/>
            </w:r>
          </w:hyperlink>
        </w:p>
        <w:p w14:paraId="497DE81F" w14:textId="019F1A37" w:rsidR="00755498" w:rsidRDefault="00755498">
          <w:pPr>
            <w:pStyle w:val="TDC3"/>
            <w:rPr>
              <w:rFonts w:asciiTheme="minorHAnsi" w:eastAsiaTheme="minorEastAsia" w:hAnsiTheme="minorHAnsi" w:cstheme="minorBidi"/>
              <w:iCs w:val="0"/>
              <w:caps w:val="0"/>
              <w:noProof/>
              <w:kern w:val="2"/>
              <w:szCs w:val="24"/>
              <w:lang w:eastAsia="es-CO"/>
              <w14:ligatures w14:val="standardContextual"/>
            </w:rPr>
          </w:pPr>
          <w:hyperlink w:anchor="_Toc230879707" w:history="1">
            <w:r w:rsidRPr="00531F10">
              <w:rPr>
                <w:rStyle w:val="Hipervnculo"/>
                <w:noProof/>
              </w:rPr>
              <w:t>8.1.2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Etapas de la evaluación económica ambiental en el proceso de modificación de licencia ambiental</w:t>
            </w:r>
            <w:r>
              <w:rPr>
                <w:noProof/>
                <w:webHidden/>
              </w:rPr>
              <w:tab/>
            </w:r>
            <w:r>
              <w:rPr>
                <w:noProof/>
                <w:webHidden/>
              </w:rPr>
              <w:fldChar w:fldCharType="begin"/>
            </w:r>
            <w:r>
              <w:rPr>
                <w:noProof/>
                <w:webHidden/>
              </w:rPr>
              <w:instrText xml:space="preserve"> PAGEREF _Toc230879707 \h </w:instrText>
            </w:r>
            <w:r>
              <w:rPr>
                <w:noProof/>
                <w:webHidden/>
              </w:rPr>
            </w:r>
            <w:r>
              <w:rPr>
                <w:noProof/>
                <w:webHidden/>
              </w:rPr>
              <w:fldChar w:fldCharType="separate"/>
            </w:r>
            <w:r>
              <w:rPr>
                <w:noProof/>
                <w:webHidden/>
              </w:rPr>
              <w:t>437</w:t>
            </w:r>
            <w:r>
              <w:rPr>
                <w:noProof/>
                <w:webHidden/>
              </w:rPr>
              <w:fldChar w:fldCharType="end"/>
            </w:r>
          </w:hyperlink>
        </w:p>
        <w:p w14:paraId="7E3ED7E2" w14:textId="3207555F"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708" w:history="1">
            <w:r w:rsidRPr="00531F10">
              <w:rPr>
                <w:rStyle w:val="Hipervnculo"/>
              </w:rPr>
              <w:t>9.</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ZONIFICACIÓN DE MANEJO AMBIENTAL</w:t>
            </w:r>
            <w:r>
              <w:rPr>
                <w:webHidden/>
              </w:rPr>
              <w:tab/>
            </w:r>
            <w:r>
              <w:rPr>
                <w:webHidden/>
              </w:rPr>
              <w:fldChar w:fldCharType="begin"/>
            </w:r>
            <w:r>
              <w:rPr>
                <w:webHidden/>
              </w:rPr>
              <w:instrText xml:space="preserve"> PAGEREF _Toc230879708 \h </w:instrText>
            </w:r>
            <w:r>
              <w:rPr>
                <w:webHidden/>
              </w:rPr>
            </w:r>
            <w:r>
              <w:rPr>
                <w:webHidden/>
              </w:rPr>
              <w:fldChar w:fldCharType="separate"/>
            </w:r>
            <w:r>
              <w:rPr>
                <w:webHidden/>
              </w:rPr>
              <w:t>439</w:t>
            </w:r>
            <w:r>
              <w:rPr>
                <w:webHidden/>
              </w:rPr>
              <w:fldChar w:fldCharType="end"/>
            </w:r>
          </w:hyperlink>
        </w:p>
        <w:p w14:paraId="4BECE526" w14:textId="16D1BCB2"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709" w:history="1">
            <w:r w:rsidRPr="00531F10">
              <w:rPr>
                <w:rStyle w:val="Hipervnculo"/>
              </w:rPr>
              <w:t>10.</w:t>
            </w:r>
            <w:r>
              <w:rPr>
                <w:rFonts w:asciiTheme="minorHAnsi" w:eastAsiaTheme="minorEastAsia" w:hAnsiTheme="minorHAnsi" w:cstheme="minorBidi"/>
                <w:b w:val="0"/>
                <w:bCs w:val="0"/>
                <w:caps w:val="0"/>
                <w:kern w:val="2"/>
                <w:lang w:eastAsia="es-CO"/>
                <w14:ligatures w14:val="standardContextual"/>
              </w:rPr>
              <w:tab/>
            </w:r>
            <w:r w:rsidRPr="00531F10">
              <w:rPr>
                <w:rStyle w:val="Hipervnculo"/>
              </w:rPr>
              <w:t>PLANES Y PROGRAMAS</w:t>
            </w:r>
            <w:r>
              <w:rPr>
                <w:webHidden/>
              </w:rPr>
              <w:tab/>
            </w:r>
            <w:r>
              <w:rPr>
                <w:webHidden/>
              </w:rPr>
              <w:fldChar w:fldCharType="begin"/>
            </w:r>
            <w:r>
              <w:rPr>
                <w:webHidden/>
              </w:rPr>
              <w:instrText xml:space="preserve"> PAGEREF _Toc230879709 \h </w:instrText>
            </w:r>
            <w:r>
              <w:rPr>
                <w:webHidden/>
              </w:rPr>
            </w:r>
            <w:r>
              <w:rPr>
                <w:webHidden/>
              </w:rPr>
              <w:fldChar w:fldCharType="separate"/>
            </w:r>
            <w:r>
              <w:rPr>
                <w:webHidden/>
              </w:rPr>
              <w:t>447</w:t>
            </w:r>
            <w:r>
              <w:rPr>
                <w:webHidden/>
              </w:rPr>
              <w:fldChar w:fldCharType="end"/>
            </w:r>
          </w:hyperlink>
        </w:p>
        <w:p w14:paraId="5A1FB9F2" w14:textId="59BF143A"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710" w:history="1">
            <w:r w:rsidRPr="00531F10">
              <w:rPr>
                <w:rStyle w:val="Hipervnculo"/>
                <w:rFonts w:cs="Arial"/>
                <w:noProof/>
              </w:rPr>
              <w:t>10.1</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PLAN DE MANEJO AMBIENTAL</w:t>
            </w:r>
            <w:r>
              <w:rPr>
                <w:noProof/>
                <w:webHidden/>
              </w:rPr>
              <w:tab/>
            </w:r>
            <w:r>
              <w:rPr>
                <w:noProof/>
                <w:webHidden/>
              </w:rPr>
              <w:fldChar w:fldCharType="begin"/>
            </w:r>
            <w:r>
              <w:rPr>
                <w:noProof/>
                <w:webHidden/>
              </w:rPr>
              <w:instrText xml:space="preserve"> PAGEREF _Toc230879710 \h </w:instrText>
            </w:r>
            <w:r>
              <w:rPr>
                <w:noProof/>
                <w:webHidden/>
              </w:rPr>
            </w:r>
            <w:r>
              <w:rPr>
                <w:noProof/>
                <w:webHidden/>
              </w:rPr>
              <w:fldChar w:fldCharType="separate"/>
            </w:r>
            <w:r>
              <w:rPr>
                <w:noProof/>
                <w:webHidden/>
              </w:rPr>
              <w:t>449</w:t>
            </w:r>
            <w:r>
              <w:rPr>
                <w:noProof/>
                <w:webHidden/>
              </w:rPr>
              <w:fldChar w:fldCharType="end"/>
            </w:r>
          </w:hyperlink>
        </w:p>
        <w:p w14:paraId="0E2D5C46" w14:textId="1CF2A829" w:rsidR="00755498" w:rsidRDefault="00755498">
          <w:pPr>
            <w:pStyle w:val="TDC3"/>
            <w:tabs>
              <w:tab w:val="left" w:pos="1200"/>
            </w:tabs>
            <w:rPr>
              <w:rFonts w:asciiTheme="minorHAnsi" w:eastAsiaTheme="minorEastAsia" w:hAnsiTheme="minorHAnsi" w:cstheme="minorBidi"/>
              <w:iCs w:val="0"/>
              <w:caps w:val="0"/>
              <w:noProof/>
              <w:kern w:val="2"/>
              <w:szCs w:val="24"/>
              <w:lang w:eastAsia="es-CO"/>
              <w14:ligatures w14:val="standardContextual"/>
            </w:rPr>
          </w:pPr>
          <w:hyperlink w:anchor="_Toc230879711" w:history="1">
            <w:r w:rsidRPr="00531F10">
              <w:rPr>
                <w:rStyle w:val="Hipervnculo"/>
                <w:noProof/>
              </w:rPr>
              <w:t>10.1.1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Consideraciones específicas para la formulación de medidas</w:t>
            </w:r>
            <w:r>
              <w:rPr>
                <w:noProof/>
                <w:webHidden/>
              </w:rPr>
              <w:tab/>
            </w:r>
            <w:r>
              <w:rPr>
                <w:noProof/>
                <w:webHidden/>
              </w:rPr>
              <w:fldChar w:fldCharType="begin"/>
            </w:r>
            <w:r>
              <w:rPr>
                <w:noProof/>
                <w:webHidden/>
              </w:rPr>
              <w:instrText xml:space="preserve"> PAGEREF _Toc230879711 \h </w:instrText>
            </w:r>
            <w:r>
              <w:rPr>
                <w:noProof/>
                <w:webHidden/>
              </w:rPr>
            </w:r>
            <w:r>
              <w:rPr>
                <w:noProof/>
                <w:webHidden/>
              </w:rPr>
              <w:fldChar w:fldCharType="separate"/>
            </w:r>
            <w:r>
              <w:rPr>
                <w:noProof/>
                <w:webHidden/>
              </w:rPr>
              <w:t>455</w:t>
            </w:r>
            <w:r>
              <w:rPr>
                <w:noProof/>
                <w:webHidden/>
              </w:rPr>
              <w:fldChar w:fldCharType="end"/>
            </w:r>
          </w:hyperlink>
        </w:p>
        <w:p w14:paraId="7D39975B" w14:textId="75637040" w:rsidR="00755498" w:rsidRDefault="00755498">
          <w:pPr>
            <w:pStyle w:val="TDC3"/>
            <w:tabs>
              <w:tab w:val="left" w:pos="1200"/>
            </w:tabs>
            <w:rPr>
              <w:rFonts w:asciiTheme="minorHAnsi" w:eastAsiaTheme="minorEastAsia" w:hAnsiTheme="minorHAnsi" w:cstheme="minorBidi"/>
              <w:iCs w:val="0"/>
              <w:caps w:val="0"/>
              <w:noProof/>
              <w:kern w:val="2"/>
              <w:szCs w:val="24"/>
              <w:lang w:eastAsia="es-CO"/>
              <w14:ligatures w14:val="standardContextual"/>
            </w:rPr>
          </w:pPr>
          <w:hyperlink w:anchor="_Toc230879712" w:history="1">
            <w:r w:rsidRPr="00531F10">
              <w:rPr>
                <w:rStyle w:val="Hipervnculo"/>
                <w:noProof/>
              </w:rPr>
              <w:t>10.1.2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Programa de reasentamiento involuntario de población</w:t>
            </w:r>
            <w:r>
              <w:rPr>
                <w:noProof/>
                <w:webHidden/>
              </w:rPr>
              <w:tab/>
            </w:r>
            <w:r>
              <w:rPr>
                <w:noProof/>
                <w:webHidden/>
              </w:rPr>
              <w:fldChar w:fldCharType="begin"/>
            </w:r>
            <w:r>
              <w:rPr>
                <w:noProof/>
                <w:webHidden/>
              </w:rPr>
              <w:instrText xml:space="preserve"> PAGEREF _Toc230879712 \h </w:instrText>
            </w:r>
            <w:r>
              <w:rPr>
                <w:noProof/>
                <w:webHidden/>
              </w:rPr>
            </w:r>
            <w:r>
              <w:rPr>
                <w:noProof/>
                <w:webHidden/>
              </w:rPr>
              <w:fldChar w:fldCharType="separate"/>
            </w:r>
            <w:r>
              <w:rPr>
                <w:noProof/>
                <w:webHidden/>
              </w:rPr>
              <w:t>458</w:t>
            </w:r>
            <w:r>
              <w:rPr>
                <w:noProof/>
                <w:webHidden/>
              </w:rPr>
              <w:fldChar w:fldCharType="end"/>
            </w:r>
          </w:hyperlink>
        </w:p>
        <w:p w14:paraId="25708B86" w14:textId="6FD0D249"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713" w:history="1">
            <w:r w:rsidRPr="00531F10">
              <w:rPr>
                <w:rStyle w:val="Hipervnculo"/>
                <w:rFonts w:cs="Arial"/>
                <w:noProof/>
              </w:rPr>
              <w:t>10.2</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PLAN DE SEGUIMIENTO Y MONITOREO</w:t>
            </w:r>
            <w:r>
              <w:rPr>
                <w:noProof/>
                <w:webHidden/>
              </w:rPr>
              <w:tab/>
            </w:r>
            <w:r>
              <w:rPr>
                <w:noProof/>
                <w:webHidden/>
              </w:rPr>
              <w:fldChar w:fldCharType="begin"/>
            </w:r>
            <w:r>
              <w:rPr>
                <w:noProof/>
                <w:webHidden/>
              </w:rPr>
              <w:instrText xml:space="preserve"> PAGEREF _Toc230879713 \h </w:instrText>
            </w:r>
            <w:r>
              <w:rPr>
                <w:noProof/>
                <w:webHidden/>
              </w:rPr>
            </w:r>
            <w:r>
              <w:rPr>
                <w:noProof/>
                <w:webHidden/>
              </w:rPr>
              <w:fldChar w:fldCharType="separate"/>
            </w:r>
            <w:r>
              <w:rPr>
                <w:noProof/>
                <w:webHidden/>
              </w:rPr>
              <w:t>461</w:t>
            </w:r>
            <w:r>
              <w:rPr>
                <w:noProof/>
                <w:webHidden/>
              </w:rPr>
              <w:fldChar w:fldCharType="end"/>
            </w:r>
          </w:hyperlink>
        </w:p>
        <w:p w14:paraId="69A56B1E" w14:textId="205AC36C"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714" w:history="1">
            <w:r w:rsidRPr="00531F10">
              <w:rPr>
                <w:rStyle w:val="Hipervnculo"/>
                <w:rFonts w:cs="Arial"/>
                <w:noProof/>
              </w:rPr>
              <w:t>10.3</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DIMENSIÓN AMBIENTAL DEL PLAN DE GESTIÓN DEL RIESGO</w:t>
            </w:r>
            <w:r>
              <w:rPr>
                <w:noProof/>
                <w:webHidden/>
              </w:rPr>
              <w:tab/>
            </w:r>
            <w:r>
              <w:rPr>
                <w:noProof/>
                <w:webHidden/>
              </w:rPr>
              <w:fldChar w:fldCharType="begin"/>
            </w:r>
            <w:r>
              <w:rPr>
                <w:noProof/>
                <w:webHidden/>
              </w:rPr>
              <w:instrText xml:space="preserve"> PAGEREF _Toc230879714 \h </w:instrText>
            </w:r>
            <w:r>
              <w:rPr>
                <w:noProof/>
                <w:webHidden/>
              </w:rPr>
            </w:r>
            <w:r>
              <w:rPr>
                <w:noProof/>
                <w:webHidden/>
              </w:rPr>
              <w:fldChar w:fldCharType="separate"/>
            </w:r>
            <w:r>
              <w:rPr>
                <w:noProof/>
                <w:webHidden/>
              </w:rPr>
              <w:t>465</w:t>
            </w:r>
            <w:r>
              <w:rPr>
                <w:noProof/>
                <w:webHidden/>
              </w:rPr>
              <w:fldChar w:fldCharType="end"/>
            </w:r>
          </w:hyperlink>
        </w:p>
        <w:p w14:paraId="0A0B5D21" w14:textId="267A5520" w:rsidR="00755498" w:rsidRDefault="00755498">
          <w:pPr>
            <w:pStyle w:val="TDC3"/>
            <w:tabs>
              <w:tab w:val="left" w:pos="1200"/>
            </w:tabs>
            <w:rPr>
              <w:rFonts w:asciiTheme="minorHAnsi" w:eastAsiaTheme="minorEastAsia" w:hAnsiTheme="minorHAnsi" w:cstheme="minorBidi"/>
              <w:iCs w:val="0"/>
              <w:caps w:val="0"/>
              <w:noProof/>
              <w:kern w:val="2"/>
              <w:szCs w:val="24"/>
              <w:lang w:eastAsia="es-CO"/>
              <w14:ligatures w14:val="standardContextual"/>
            </w:rPr>
          </w:pPr>
          <w:hyperlink w:anchor="_Toc230879715" w:history="1">
            <w:r w:rsidRPr="00531F10">
              <w:rPr>
                <w:rStyle w:val="Hipervnculo"/>
                <w:noProof/>
              </w:rPr>
              <w:t>10.3.1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Conocimiento del riesgo</w:t>
            </w:r>
            <w:r>
              <w:rPr>
                <w:noProof/>
                <w:webHidden/>
              </w:rPr>
              <w:tab/>
            </w:r>
            <w:r>
              <w:rPr>
                <w:noProof/>
                <w:webHidden/>
              </w:rPr>
              <w:fldChar w:fldCharType="begin"/>
            </w:r>
            <w:r>
              <w:rPr>
                <w:noProof/>
                <w:webHidden/>
              </w:rPr>
              <w:instrText xml:space="preserve"> PAGEREF _Toc230879715 \h </w:instrText>
            </w:r>
            <w:r>
              <w:rPr>
                <w:noProof/>
                <w:webHidden/>
              </w:rPr>
            </w:r>
            <w:r>
              <w:rPr>
                <w:noProof/>
                <w:webHidden/>
              </w:rPr>
              <w:fldChar w:fldCharType="separate"/>
            </w:r>
            <w:r>
              <w:rPr>
                <w:noProof/>
                <w:webHidden/>
              </w:rPr>
              <w:t>465</w:t>
            </w:r>
            <w:r>
              <w:rPr>
                <w:noProof/>
                <w:webHidden/>
              </w:rPr>
              <w:fldChar w:fldCharType="end"/>
            </w:r>
          </w:hyperlink>
        </w:p>
        <w:p w14:paraId="71007ECC" w14:textId="7CF96142" w:rsidR="00755498" w:rsidRDefault="00755498">
          <w:pPr>
            <w:pStyle w:val="TDC3"/>
            <w:tabs>
              <w:tab w:val="left" w:pos="1200"/>
            </w:tabs>
            <w:rPr>
              <w:rFonts w:asciiTheme="minorHAnsi" w:eastAsiaTheme="minorEastAsia" w:hAnsiTheme="minorHAnsi" w:cstheme="minorBidi"/>
              <w:iCs w:val="0"/>
              <w:caps w:val="0"/>
              <w:noProof/>
              <w:kern w:val="2"/>
              <w:szCs w:val="24"/>
              <w:lang w:eastAsia="es-CO"/>
              <w14:ligatures w14:val="standardContextual"/>
            </w:rPr>
          </w:pPr>
          <w:hyperlink w:anchor="_Toc230879716" w:history="1">
            <w:r w:rsidRPr="00531F10">
              <w:rPr>
                <w:rStyle w:val="Hipervnculo"/>
                <w:noProof/>
              </w:rPr>
              <w:t>10.3.2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Reducción del riesgo</w:t>
            </w:r>
            <w:r>
              <w:rPr>
                <w:noProof/>
                <w:webHidden/>
              </w:rPr>
              <w:tab/>
            </w:r>
            <w:r>
              <w:rPr>
                <w:noProof/>
                <w:webHidden/>
              </w:rPr>
              <w:fldChar w:fldCharType="begin"/>
            </w:r>
            <w:r>
              <w:rPr>
                <w:noProof/>
                <w:webHidden/>
              </w:rPr>
              <w:instrText xml:space="preserve"> PAGEREF _Toc230879716 \h </w:instrText>
            </w:r>
            <w:r>
              <w:rPr>
                <w:noProof/>
                <w:webHidden/>
              </w:rPr>
            </w:r>
            <w:r>
              <w:rPr>
                <w:noProof/>
                <w:webHidden/>
              </w:rPr>
              <w:fldChar w:fldCharType="separate"/>
            </w:r>
            <w:r>
              <w:rPr>
                <w:noProof/>
                <w:webHidden/>
              </w:rPr>
              <w:t>470</w:t>
            </w:r>
            <w:r>
              <w:rPr>
                <w:noProof/>
                <w:webHidden/>
              </w:rPr>
              <w:fldChar w:fldCharType="end"/>
            </w:r>
          </w:hyperlink>
        </w:p>
        <w:p w14:paraId="3B0D40B6" w14:textId="72B25E86" w:rsidR="00755498" w:rsidRDefault="00755498">
          <w:pPr>
            <w:pStyle w:val="TDC3"/>
            <w:tabs>
              <w:tab w:val="left" w:pos="1200"/>
            </w:tabs>
            <w:rPr>
              <w:rFonts w:asciiTheme="minorHAnsi" w:eastAsiaTheme="minorEastAsia" w:hAnsiTheme="minorHAnsi" w:cstheme="minorBidi"/>
              <w:iCs w:val="0"/>
              <w:caps w:val="0"/>
              <w:noProof/>
              <w:kern w:val="2"/>
              <w:szCs w:val="24"/>
              <w:lang w:eastAsia="es-CO"/>
              <w14:ligatures w14:val="standardContextual"/>
            </w:rPr>
          </w:pPr>
          <w:hyperlink w:anchor="_Toc230879717" w:history="1">
            <w:r w:rsidRPr="00531F10">
              <w:rPr>
                <w:rStyle w:val="Hipervnculo"/>
                <w:noProof/>
              </w:rPr>
              <w:t>10.3.3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Manejo de la contingencia</w:t>
            </w:r>
            <w:r>
              <w:rPr>
                <w:noProof/>
                <w:webHidden/>
              </w:rPr>
              <w:tab/>
            </w:r>
            <w:r>
              <w:rPr>
                <w:noProof/>
                <w:webHidden/>
              </w:rPr>
              <w:fldChar w:fldCharType="begin"/>
            </w:r>
            <w:r>
              <w:rPr>
                <w:noProof/>
                <w:webHidden/>
              </w:rPr>
              <w:instrText xml:space="preserve"> PAGEREF _Toc230879717 \h </w:instrText>
            </w:r>
            <w:r>
              <w:rPr>
                <w:noProof/>
                <w:webHidden/>
              </w:rPr>
            </w:r>
            <w:r>
              <w:rPr>
                <w:noProof/>
                <w:webHidden/>
              </w:rPr>
              <w:fldChar w:fldCharType="separate"/>
            </w:r>
            <w:r>
              <w:rPr>
                <w:noProof/>
                <w:webHidden/>
              </w:rPr>
              <w:t>471</w:t>
            </w:r>
            <w:r>
              <w:rPr>
                <w:noProof/>
                <w:webHidden/>
              </w:rPr>
              <w:fldChar w:fldCharType="end"/>
            </w:r>
          </w:hyperlink>
        </w:p>
        <w:p w14:paraId="06784F7A" w14:textId="3BA30432"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718" w:history="1">
            <w:r w:rsidRPr="00531F10">
              <w:rPr>
                <w:rStyle w:val="Hipervnculo"/>
                <w:rFonts w:cs="Arial"/>
                <w:noProof/>
              </w:rPr>
              <w:t>10.4</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PLAN DE DESMANTELAMIENTO Y CIERRE AMBIENTAL</w:t>
            </w:r>
            <w:r>
              <w:rPr>
                <w:noProof/>
                <w:webHidden/>
              </w:rPr>
              <w:tab/>
            </w:r>
            <w:r>
              <w:rPr>
                <w:noProof/>
                <w:webHidden/>
              </w:rPr>
              <w:fldChar w:fldCharType="begin"/>
            </w:r>
            <w:r>
              <w:rPr>
                <w:noProof/>
                <w:webHidden/>
              </w:rPr>
              <w:instrText xml:space="preserve"> PAGEREF _Toc230879718 \h </w:instrText>
            </w:r>
            <w:r>
              <w:rPr>
                <w:noProof/>
                <w:webHidden/>
              </w:rPr>
            </w:r>
            <w:r>
              <w:rPr>
                <w:noProof/>
                <w:webHidden/>
              </w:rPr>
              <w:fldChar w:fldCharType="separate"/>
            </w:r>
            <w:r>
              <w:rPr>
                <w:noProof/>
                <w:webHidden/>
              </w:rPr>
              <w:t>473</w:t>
            </w:r>
            <w:r>
              <w:rPr>
                <w:noProof/>
                <w:webHidden/>
              </w:rPr>
              <w:fldChar w:fldCharType="end"/>
            </w:r>
          </w:hyperlink>
        </w:p>
        <w:p w14:paraId="508DA820" w14:textId="1E67C011"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719" w:history="1">
            <w:r w:rsidRPr="00531F10">
              <w:rPr>
                <w:rStyle w:val="Hipervnculo"/>
                <w:rFonts w:cs="Arial"/>
                <w:noProof/>
              </w:rPr>
              <w:t>10.5</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PLAN DE INVERSIÓN DE NO MENOS DEL 1%</w:t>
            </w:r>
            <w:r>
              <w:rPr>
                <w:noProof/>
                <w:webHidden/>
              </w:rPr>
              <w:tab/>
            </w:r>
            <w:r>
              <w:rPr>
                <w:noProof/>
                <w:webHidden/>
              </w:rPr>
              <w:fldChar w:fldCharType="begin"/>
            </w:r>
            <w:r>
              <w:rPr>
                <w:noProof/>
                <w:webHidden/>
              </w:rPr>
              <w:instrText xml:space="preserve"> PAGEREF _Toc230879719 \h </w:instrText>
            </w:r>
            <w:r>
              <w:rPr>
                <w:noProof/>
                <w:webHidden/>
              </w:rPr>
            </w:r>
            <w:r>
              <w:rPr>
                <w:noProof/>
                <w:webHidden/>
              </w:rPr>
              <w:fldChar w:fldCharType="separate"/>
            </w:r>
            <w:r>
              <w:rPr>
                <w:noProof/>
                <w:webHidden/>
              </w:rPr>
              <w:t>476</w:t>
            </w:r>
            <w:r>
              <w:rPr>
                <w:noProof/>
                <w:webHidden/>
              </w:rPr>
              <w:fldChar w:fldCharType="end"/>
            </w:r>
          </w:hyperlink>
        </w:p>
        <w:p w14:paraId="6577C54A" w14:textId="6B22BCA1"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720" w:history="1">
            <w:r w:rsidRPr="00531F10">
              <w:rPr>
                <w:rStyle w:val="Hipervnculo"/>
                <w:rFonts w:cs="Arial"/>
                <w:noProof/>
              </w:rPr>
              <w:t>10.6</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PLAN DE COMPENSACIONES DEL MEDIO BIÓTICO EN EL MARCO DEL LICENCIAMIENTO AMBIENTAL</w:t>
            </w:r>
            <w:r>
              <w:rPr>
                <w:noProof/>
                <w:webHidden/>
              </w:rPr>
              <w:tab/>
            </w:r>
            <w:r>
              <w:rPr>
                <w:noProof/>
                <w:webHidden/>
              </w:rPr>
              <w:fldChar w:fldCharType="begin"/>
            </w:r>
            <w:r>
              <w:rPr>
                <w:noProof/>
                <w:webHidden/>
              </w:rPr>
              <w:instrText xml:space="preserve"> PAGEREF _Toc230879720 \h </w:instrText>
            </w:r>
            <w:r>
              <w:rPr>
                <w:noProof/>
                <w:webHidden/>
              </w:rPr>
            </w:r>
            <w:r>
              <w:rPr>
                <w:noProof/>
                <w:webHidden/>
              </w:rPr>
              <w:fldChar w:fldCharType="separate"/>
            </w:r>
            <w:r>
              <w:rPr>
                <w:noProof/>
                <w:webHidden/>
              </w:rPr>
              <w:t>476</w:t>
            </w:r>
            <w:r>
              <w:rPr>
                <w:noProof/>
                <w:webHidden/>
              </w:rPr>
              <w:fldChar w:fldCharType="end"/>
            </w:r>
          </w:hyperlink>
        </w:p>
        <w:p w14:paraId="3ED896C7" w14:textId="01D18FEA" w:rsidR="00755498" w:rsidRDefault="00755498">
          <w:pPr>
            <w:pStyle w:val="TDC2"/>
            <w:rPr>
              <w:rFonts w:asciiTheme="minorHAnsi" w:eastAsiaTheme="minorEastAsia" w:hAnsiTheme="minorHAnsi" w:cstheme="minorBidi"/>
              <w:b w:val="0"/>
              <w:caps w:val="0"/>
              <w:noProof/>
              <w:kern w:val="2"/>
              <w:szCs w:val="24"/>
              <w:lang w:eastAsia="es-CO"/>
              <w14:ligatures w14:val="standardContextual"/>
            </w:rPr>
          </w:pPr>
          <w:hyperlink w:anchor="_Toc230879721" w:history="1">
            <w:r w:rsidRPr="00531F10">
              <w:rPr>
                <w:rStyle w:val="Hipervnculo"/>
                <w:rFonts w:cs="Arial"/>
                <w:noProof/>
              </w:rPr>
              <w:t>10.7</w:t>
            </w:r>
            <w:r>
              <w:rPr>
                <w:rFonts w:asciiTheme="minorHAnsi" w:eastAsiaTheme="minorEastAsia" w:hAnsiTheme="minorHAnsi" w:cstheme="minorBidi"/>
                <w:b w:val="0"/>
                <w:caps w:val="0"/>
                <w:noProof/>
                <w:kern w:val="2"/>
                <w:szCs w:val="24"/>
                <w:lang w:eastAsia="es-CO"/>
                <w14:ligatures w14:val="standardContextual"/>
              </w:rPr>
              <w:tab/>
            </w:r>
            <w:r w:rsidRPr="00531F10">
              <w:rPr>
                <w:rStyle w:val="Hipervnculo"/>
                <w:noProof/>
              </w:rPr>
              <w:t>PLAN DE GESTIÓN DE CAMBIO CLIMÁTICO</w:t>
            </w:r>
            <w:r>
              <w:rPr>
                <w:noProof/>
                <w:webHidden/>
              </w:rPr>
              <w:tab/>
            </w:r>
            <w:r>
              <w:rPr>
                <w:noProof/>
                <w:webHidden/>
              </w:rPr>
              <w:fldChar w:fldCharType="begin"/>
            </w:r>
            <w:r>
              <w:rPr>
                <w:noProof/>
                <w:webHidden/>
              </w:rPr>
              <w:instrText xml:space="preserve"> PAGEREF _Toc230879721 \h </w:instrText>
            </w:r>
            <w:r>
              <w:rPr>
                <w:noProof/>
                <w:webHidden/>
              </w:rPr>
            </w:r>
            <w:r>
              <w:rPr>
                <w:noProof/>
                <w:webHidden/>
              </w:rPr>
              <w:fldChar w:fldCharType="separate"/>
            </w:r>
            <w:r>
              <w:rPr>
                <w:noProof/>
                <w:webHidden/>
              </w:rPr>
              <w:t>476</w:t>
            </w:r>
            <w:r>
              <w:rPr>
                <w:noProof/>
                <w:webHidden/>
              </w:rPr>
              <w:fldChar w:fldCharType="end"/>
            </w:r>
          </w:hyperlink>
        </w:p>
        <w:p w14:paraId="161D238B" w14:textId="66241370" w:rsidR="00755498" w:rsidRDefault="00755498">
          <w:pPr>
            <w:pStyle w:val="TDC3"/>
            <w:tabs>
              <w:tab w:val="left" w:pos="1200"/>
            </w:tabs>
            <w:rPr>
              <w:rFonts w:asciiTheme="minorHAnsi" w:eastAsiaTheme="minorEastAsia" w:hAnsiTheme="minorHAnsi" w:cstheme="minorBidi"/>
              <w:iCs w:val="0"/>
              <w:caps w:val="0"/>
              <w:noProof/>
              <w:kern w:val="2"/>
              <w:szCs w:val="24"/>
              <w:lang w:eastAsia="es-CO"/>
              <w14:ligatures w14:val="standardContextual"/>
            </w:rPr>
          </w:pPr>
          <w:hyperlink w:anchor="_Toc230879722" w:history="1">
            <w:r w:rsidRPr="00531F10">
              <w:rPr>
                <w:rStyle w:val="Hipervnculo"/>
                <w:noProof/>
              </w:rPr>
              <w:t>10.7.1</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Inventario de emisiones de gases de efecto invernadero</w:t>
            </w:r>
            <w:r>
              <w:rPr>
                <w:noProof/>
                <w:webHidden/>
              </w:rPr>
              <w:tab/>
            </w:r>
            <w:r>
              <w:rPr>
                <w:noProof/>
                <w:webHidden/>
              </w:rPr>
              <w:fldChar w:fldCharType="begin"/>
            </w:r>
            <w:r>
              <w:rPr>
                <w:noProof/>
                <w:webHidden/>
              </w:rPr>
              <w:instrText xml:space="preserve"> PAGEREF _Toc230879722 \h </w:instrText>
            </w:r>
            <w:r>
              <w:rPr>
                <w:noProof/>
                <w:webHidden/>
              </w:rPr>
            </w:r>
            <w:r>
              <w:rPr>
                <w:noProof/>
                <w:webHidden/>
              </w:rPr>
              <w:fldChar w:fldCharType="separate"/>
            </w:r>
            <w:r>
              <w:rPr>
                <w:noProof/>
                <w:webHidden/>
              </w:rPr>
              <w:t>478</w:t>
            </w:r>
            <w:r>
              <w:rPr>
                <w:noProof/>
                <w:webHidden/>
              </w:rPr>
              <w:fldChar w:fldCharType="end"/>
            </w:r>
          </w:hyperlink>
        </w:p>
        <w:p w14:paraId="76E93767" w14:textId="5E0B3D8A" w:rsidR="00755498" w:rsidRDefault="00755498">
          <w:pPr>
            <w:pStyle w:val="TDC3"/>
            <w:tabs>
              <w:tab w:val="left" w:pos="1200"/>
            </w:tabs>
            <w:rPr>
              <w:rFonts w:asciiTheme="minorHAnsi" w:eastAsiaTheme="minorEastAsia" w:hAnsiTheme="minorHAnsi" w:cstheme="minorBidi"/>
              <w:iCs w:val="0"/>
              <w:caps w:val="0"/>
              <w:noProof/>
              <w:kern w:val="2"/>
              <w:szCs w:val="24"/>
              <w:lang w:eastAsia="es-CO"/>
              <w14:ligatures w14:val="standardContextual"/>
            </w:rPr>
          </w:pPr>
          <w:hyperlink w:anchor="_Toc230879723" w:history="1">
            <w:r w:rsidRPr="00531F10">
              <w:rPr>
                <w:rStyle w:val="Hipervnculo"/>
                <w:noProof/>
              </w:rPr>
              <w:t>10.7.2</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Consideraciones para la mitigación de GEI</w:t>
            </w:r>
            <w:r>
              <w:rPr>
                <w:noProof/>
                <w:webHidden/>
              </w:rPr>
              <w:tab/>
            </w:r>
            <w:r>
              <w:rPr>
                <w:noProof/>
                <w:webHidden/>
              </w:rPr>
              <w:fldChar w:fldCharType="begin"/>
            </w:r>
            <w:r>
              <w:rPr>
                <w:noProof/>
                <w:webHidden/>
              </w:rPr>
              <w:instrText xml:space="preserve"> PAGEREF _Toc230879723 \h </w:instrText>
            </w:r>
            <w:r>
              <w:rPr>
                <w:noProof/>
                <w:webHidden/>
              </w:rPr>
            </w:r>
            <w:r>
              <w:rPr>
                <w:noProof/>
                <w:webHidden/>
              </w:rPr>
              <w:fldChar w:fldCharType="separate"/>
            </w:r>
            <w:r>
              <w:rPr>
                <w:noProof/>
                <w:webHidden/>
              </w:rPr>
              <w:t>480</w:t>
            </w:r>
            <w:r>
              <w:rPr>
                <w:noProof/>
                <w:webHidden/>
              </w:rPr>
              <w:fldChar w:fldCharType="end"/>
            </w:r>
          </w:hyperlink>
        </w:p>
        <w:p w14:paraId="6BFF5530" w14:textId="179942DF" w:rsidR="00755498" w:rsidRDefault="00755498">
          <w:pPr>
            <w:pStyle w:val="TDC3"/>
            <w:tabs>
              <w:tab w:val="left" w:pos="1200"/>
            </w:tabs>
            <w:rPr>
              <w:rFonts w:asciiTheme="minorHAnsi" w:eastAsiaTheme="minorEastAsia" w:hAnsiTheme="minorHAnsi" w:cstheme="minorBidi"/>
              <w:iCs w:val="0"/>
              <w:caps w:val="0"/>
              <w:noProof/>
              <w:kern w:val="2"/>
              <w:szCs w:val="24"/>
              <w:lang w:eastAsia="es-CO"/>
              <w14:ligatures w14:val="standardContextual"/>
            </w:rPr>
          </w:pPr>
          <w:hyperlink w:anchor="_Toc230879724" w:history="1">
            <w:r w:rsidRPr="00531F10">
              <w:rPr>
                <w:rStyle w:val="Hipervnculo"/>
                <w:noProof/>
              </w:rPr>
              <w:t>10.7.3</w:t>
            </w:r>
            <w:r>
              <w:rPr>
                <w:rFonts w:asciiTheme="minorHAnsi" w:eastAsiaTheme="minorEastAsia" w:hAnsiTheme="minorHAnsi" w:cstheme="minorBidi"/>
                <w:iCs w:val="0"/>
                <w:caps w:val="0"/>
                <w:noProof/>
                <w:kern w:val="2"/>
                <w:szCs w:val="24"/>
                <w:lang w:eastAsia="es-CO"/>
                <w14:ligatures w14:val="standardContextual"/>
              </w:rPr>
              <w:tab/>
            </w:r>
            <w:r w:rsidRPr="00531F10">
              <w:rPr>
                <w:rStyle w:val="Hipervnculo"/>
                <w:noProof/>
              </w:rPr>
              <w:t>Consideraciones para la adaptación al cambio climático</w:t>
            </w:r>
            <w:r>
              <w:rPr>
                <w:noProof/>
                <w:webHidden/>
              </w:rPr>
              <w:tab/>
            </w:r>
            <w:r>
              <w:rPr>
                <w:noProof/>
                <w:webHidden/>
              </w:rPr>
              <w:fldChar w:fldCharType="begin"/>
            </w:r>
            <w:r>
              <w:rPr>
                <w:noProof/>
                <w:webHidden/>
              </w:rPr>
              <w:instrText xml:space="preserve"> PAGEREF _Toc230879724 \h </w:instrText>
            </w:r>
            <w:r>
              <w:rPr>
                <w:noProof/>
                <w:webHidden/>
              </w:rPr>
            </w:r>
            <w:r>
              <w:rPr>
                <w:noProof/>
                <w:webHidden/>
              </w:rPr>
              <w:fldChar w:fldCharType="separate"/>
            </w:r>
            <w:r>
              <w:rPr>
                <w:noProof/>
                <w:webHidden/>
              </w:rPr>
              <w:t>483</w:t>
            </w:r>
            <w:r>
              <w:rPr>
                <w:noProof/>
                <w:webHidden/>
              </w:rPr>
              <w:fldChar w:fldCharType="end"/>
            </w:r>
          </w:hyperlink>
        </w:p>
        <w:p w14:paraId="3D740C7F" w14:textId="402F3064"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725" w:history="1">
            <w:r w:rsidRPr="00531F10">
              <w:rPr>
                <w:rStyle w:val="Hipervnculo"/>
              </w:rPr>
              <w:t>BIBLIOGRAFÍA</w:t>
            </w:r>
            <w:r>
              <w:rPr>
                <w:webHidden/>
              </w:rPr>
              <w:tab/>
            </w:r>
            <w:r>
              <w:rPr>
                <w:webHidden/>
              </w:rPr>
              <w:fldChar w:fldCharType="begin"/>
            </w:r>
            <w:r>
              <w:rPr>
                <w:webHidden/>
              </w:rPr>
              <w:instrText xml:space="preserve"> PAGEREF _Toc230879725 \h </w:instrText>
            </w:r>
            <w:r>
              <w:rPr>
                <w:webHidden/>
              </w:rPr>
            </w:r>
            <w:r>
              <w:rPr>
                <w:webHidden/>
              </w:rPr>
              <w:fldChar w:fldCharType="separate"/>
            </w:r>
            <w:r>
              <w:rPr>
                <w:webHidden/>
              </w:rPr>
              <w:t>492</w:t>
            </w:r>
            <w:r>
              <w:rPr>
                <w:webHidden/>
              </w:rPr>
              <w:fldChar w:fldCharType="end"/>
            </w:r>
          </w:hyperlink>
        </w:p>
        <w:p w14:paraId="281039EE" w14:textId="20513E3A"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726" w:history="1">
            <w:r w:rsidRPr="00531F10">
              <w:rPr>
                <w:rStyle w:val="Hipervnculo"/>
              </w:rPr>
              <w:t>REFERENCIAS DE MÉTODOS DE EVALUACIÓN MULTICRITERIO</w:t>
            </w:r>
            <w:r>
              <w:rPr>
                <w:webHidden/>
              </w:rPr>
              <w:tab/>
            </w:r>
            <w:r>
              <w:rPr>
                <w:webHidden/>
              </w:rPr>
              <w:fldChar w:fldCharType="begin"/>
            </w:r>
            <w:r>
              <w:rPr>
                <w:webHidden/>
              </w:rPr>
              <w:instrText xml:space="preserve"> PAGEREF _Toc230879726 \h </w:instrText>
            </w:r>
            <w:r>
              <w:rPr>
                <w:webHidden/>
              </w:rPr>
            </w:r>
            <w:r>
              <w:rPr>
                <w:webHidden/>
              </w:rPr>
              <w:fldChar w:fldCharType="separate"/>
            </w:r>
            <w:r>
              <w:rPr>
                <w:webHidden/>
              </w:rPr>
              <w:t>511</w:t>
            </w:r>
            <w:r>
              <w:rPr>
                <w:webHidden/>
              </w:rPr>
              <w:fldChar w:fldCharType="end"/>
            </w:r>
          </w:hyperlink>
        </w:p>
        <w:p w14:paraId="118B387B" w14:textId="3F879DE8" w:rsidR="00755498" w:rsidRDefault="00755498">
          <w:pPr>
            <w:pStyle w:val="TDC1"/>
            <w:rPr>
              <w:rFonts w:asciiTheme="minorHAnsi" w:eastAsiaTheme="minorEastAsia" w:hAnsiTheme="minorHAnsi" w:cstheme="minorBidi"/>
              <w:b w:val="0"/>
              <w:bCs w:val="0"/>
              <w:caps w:val="0"/>
              <w:kern w:val="2"/>
              <w:lang w:eastAsia="es-CO"/>
              <w14:ligatures w14:val="standardContextual"/>
            </w:rPr>
          </w:pPr>
          <w:hyperlink w:anchor="_Toc230879727" w:history="1">
            <w:r w:rsidRPr="00531F10">
              <w:rPr>
                <w:rStyle w:val="Hipervnculo"/>
              </w:rPr>
              <w:t>BIBLIOGRAFÍA GLOSARIO</w:t>
            </w:r>
            <w:r>
              <w:rPr>
                <w:webHidden/>
              </w:rPr>
              <w:tab/>
            </w:r>
            <w:r>
              <w:rPr>
                <w:webHidden/>
              </w:rPr>
              <w:fldChar w:fldCharType="begin"/>
            </w:r>
            <w:r>
              <w:rPr>
                <w:webHidden/>
              </w:rPr>
              <w:instrText xml:space="preserve"> PAGEREF _Toc230879727 \h </w:instrText>
            </w:r>
            <w:r>
              <w:rPr>
                <w:webHidden/>
              </w:rPr>
            </w:r>
            <w:r>
              <w:rPr>
                <w:webHidden/>
              </w:rPr>
              <w:fldChar w:fldCharType="separate"/>
            </w:r>
            <w:r>
              <w:rPr>
                <w:webHidden/>
              </w:rPr>
              <w:t>513</w:t>
            </w:r>
            <w:r>
              <w:rPr>
                <w:webHidden/>
              </w:rPr>
              <w:fldChar w:fldCharType="end"/>
            </w:r>
          </w:hyperlink>
        </w:p>
        <w:p w14:paraId="3212CD68" w14:textId="25027212" w:rsidR="0068720A" w:rsidRPr="004068F6" w:rsidRDefault="0068720A" w:rsidP="0068720A">
          <w:pPr>
            <w:rPr>
              <w:b/>
              <w:bCs/>
            </w:rPr>
          </w:pPr>
          <w:r w:rsidRPr="004068F6">
            <w:rPr>
              <w:rFonts w:cs="Arial"/>
              <w:b/>
              <w:bCs/>
              <w:caps/>
            </w:rPr>
            <w:fldChar w:fldCharType="end"/>
          </w:r>
        </w:p>
      </w:sdtContent>
    </w:sdt>
    <w:bookmarkStart w:id="1" w:name="_Toc274067173" w:displacedByCustomXml="prev"/>
    <w:p w14:paraId="5BB52499" w14:textId="6FAF45B9" w:rsidR="008035F2" w:rsidRPr="00127BD4" w:rsidRDefault="008035F2" w:rsidP="007B3017">
      <w:pPr>
        <w:pStyle w:val="TDC1"/>
        <w:rPr>
          <w:noProof w:val="0"/>
        </w:rPr>
      </w:pPr>
      <w:r w:rsidRPr="00127BD4">
        <w:rPr>
          <w:noProof w:val="0"/>
        </w:rPr>
        <w:br w:type="page"/>
      </w:r>
      <w:bookmarkStart w:id="2" w:name="_Toc380569325"/>
      <w:bookmarkStart w:id="3" w:name="_Toc387312706"/>
      <w:bookmarkStart w:id="4" w:name="_Toc391040016"/>
    </w:p>
    <w:bookmarkEnd w:id="1"/>
    <w:bookmarkEnd w:id="2"/>
    <w:bookmarkEnd w:id="3"/>
    <w:bookmarkEnd w:id="4"/>
    <w:p w14:paraId="43FAD2B9" w14:textId="0E1E80C5" w:rsidR="00150824" w:rsidRPr="004068F6" w:rsidRDefault="00150824" w:rsidP="00C86DA5"/>
    <w:p w14:paraId="2A216F4A" w14:textId="468DCCC8" w:rsidR="00150824" w:rsidRPr="004068F6" w:rsidRDefault="00150824" w:rsidP="00150824">
      <w:pPr>
        <w:pStyle w:val="Captulosinnumero"/>
        <w:rPr>
          <w:lang w:val="es-CO"/>
        </w:rPr>
      </w:pPr>
      <w:bookmarkStart w:id="5" w:name="_Toc230879548"/>
      <w:r w:rsidRPr="004068F6">
        <w:rPr>
          <w:lang w:val="es-CO"/>
        </w:rPr>
        <w:t>INTRODUCCIÓN</w:t>
      </w:r>
      <w:bookmarkEnd w:id="5"/>
    </w:p>
    <w:p w14:paraId="0F2EFF30" w14:textId="53538121" w:rsidR="00150824" w:rsidRPr="004068F6" w:rsidRDefault="00150824" w:rsidP="00C86DA5"/>
    <w:p w14:paraId="753E8D56" w14:textId="7AC00BCC" w:rsidR="00317B09" w:rsidRPr="004068F6" w:rsidRDefault="00317B09" w:rsidP="00317B09">
      <w:pPr>
        <w:numPr>
          <w:ilvl w:val="12"/>
          <w:numId w:val="0"/>
        </w:numPr>
        <w:tabs>
          <w:tab w:val="left" w:pos="-2268"/>
        </w:tabs>
        <w:suppressAutoHyphens/>
        <w:rPr>
          <w:rFonts w:cs="Arial"/>
        </w:rPr>
      </w:pPr>
      <w:r w:rsidRPr="004068F6">
        <w:rPr>
          <w:rFonts w:cs="Arial"/>
        </w:rPr>
        <w:t>Según preceptos constitucionales es deber del Estado planificar el manejo y aprovechamiento de los recursos naturales para garantizar su desarrollo sostenible, conservación, restauración o sustitución, así como para prevenir y controlar los aspectos que generan deterioro ambiental, imponer las sanciones legales y exigir la reparación de los daños causados. Es igualmente su deber, proteger la diversidad e integridad ambiental y conservar las áreas de especial importancia ecológica.</w:t>
      </w:r>
    </w:p>
    <w:p w14:paraId="47CDE094" w14:textId="77777777" w:rsidR="002B74F4" w:rsidRPr="004068F6" w:rsidRDefault="002B74F4" w:rsidP="00317B09">
      <w:pPr>
        <w:numPr>
          <w:ilvl w:val="12"/>
          <w:numId w:val="0"/>
        </w:numPr>
        <w:tabs>
          <w:tab w:val="left" w:pos="-2268"/>
        </w:tabs>
        <w:suppressAutoHyphens/>
        <w:rPr>
          <w:rFonts w:cs="Arial"/>
        </w:rPr>
      </w:pPr>
    </w:p>
    <w:p w14:paraId="3717597F" w14:textId="3D8FF85E" w:rsidR="00317B09" w:rsidRPr="004068F6" w:rsidRDefault="00317B09" w:rsidP="00317B09">
      <w:pPr>
        <w:numPr>
          <w:ilvl w:val="12"/>
          <w:numId w:val="0"/>
        </w:numPr>
        <w:tabs>
          <w:tab w:val="left" w:pos="-2268"/>
        </w:tabs>
        <w:suppressAutoHyphens/>
        <w:rPr>
          <w:rFonts w:cs="Arial"/>
        </w:rPr>
      </w:pPr>
      <w:r w:rsidRPr="004068F6">
        <w:rPr>
          <w:rFonts w:cs="Arial"/>
        </w:rPr>
        <w:t xml:space="preserve">Asimismo, la Constitución Política resalta que el ejercicio de los derechos y libertades reconocidos en ella a los ciudadanos implica responsabilidades, entre las cuales está la de proteger los recursos culturales y naturales del país y velar por la conservación de un ambiente sano, el cual constituye un derecho de todas las personas. Esta responsabilidad cobra especial relevancia y exige el compromiso de quienes adelantan proyectos, obras o actividades que puedan </w:t>
      </w:r>
      <w:r w:rsidR="00C34711" w:rsidRPr="004068F6">
        <w:rPr>
          <w:rFonts w:cs="Arial"/>
        </w:rPr>
        <w:t xml:space="preserve">generar </w:t>
      </w:r>
      <w:r w:rsidRPr="004068F6">
        <w:rPr>
          <w:rFonts w:cs="Arial"/>
        </w:rPr>
        <w:t>deterioro grave al</w:t>
      </w:r>
      <w:r w:rsidR="00C34711" w:rsidRPr="004068F6">
        <w:rPr>
          <w:rFonts w:cs="Arial"/>
        </w:rPr>
        <w:t xml:space="preserve"> ambiente, a l</w:t>
      </w:r>
      <w:r w:rsidRPr="004068F6">
        <w:rPr>
          <w:rFonts w:cs="Arial"/>
        </w:rPr>
        <w:t>os recursos naturales renovables o al paisaje.</w:t>
      </w:r>
    </w:p>
    <w:p w14:paraId="15D132EF" w14:textId="77777777" w:rsidR="00317B09" w:rsidRPr="004068F6" w:rsidRDefault="00317B09" w:rsidP="00317B09">
      <w:pPr>
        <w:numPr>
          <w:ilvl w:val="12"/>
          <w:numId w:val="0"/>
        </w:numPr>
        <w:tabs>
          <w:tab w:val="left" w:pos="-2268"/>
        </w:tabs>
        <w:suppressAutoHyphens/>
        <w:rPr>
          <w:rFonts w:cs="Arial"/>
        </w:rPr>
      </w:pPr>
    </w:p>
    <w:p w14:paraId="159BAD7B" w14:textId="25E37341" w:rsidR="00317B09" w:rsidRPr="004068F6" w:rsidRDefault="00317B09" w:rsidP="00317B09">
      <w:pPr>
        <w:numPr>
          <w:ilvl w:val="12"/>
          <w:numId w:val="0"/>
        </w:numPr>
        <w:tabs>
          <w:tab w:val="left" w:pos="-2268"/>
        </w:tabs>
        <w:suppressAutoHyphens/>
        <w:rPr>
          <w:rFonts w:cs="Arial"/>
        </w:rPr>
      </w:pPr>
      <w:r w:rsidRPr="004068F6">
        <w:rPr>
          <w:rFonts w:cs="Arial"/>
        </w:rPr>
        <w:t>En atención a la Declaración de Río de Janeiro sobre Medio Ambiente y Desarrollo establecida en 1992, Colombia orienta su proceso de desarrollo económico y social de acuerdo con los principios del desarrollo sostenible promulgados en la misma. En la ley ambiental colombiana se establecen éstos y otros principios como fundamento para la formulación de las políticas ambientales, siendo los siguientes</w:t>
      </w:r>
      <w:r w:rsidR="0001330A" w:rsidRPr="004068F6">
        <w:rPr>
          <w:rFonts w:cs="Arial"/>
        </w:rPr>
        <w:t>,</w:t>
      </w:r>
      <w:r w:rsidRPr="004068F6">
        <w:rPr>
          <w:rFonts w:cs="Arial"/>
        </w:rPr>
        <w:t xml:space="preserve"> de especial relevancia en el marco del licenciamiento ambiental:</w:t>
      </w:r>
    </w:p>
    <w:p w14:paraId="105AF312" w14:textId="77777777" w:rsidR="00317B09" w:rsidRPr="004068F6" w:rsidRDefault="00317B09" w:rsidP="00317B09">
      <w:pPr>
        <w:numPr>
          <w:ilvl w:val="12"/>
          <w:numId w:val="0"/>
        </w:numPr>
        <w:tabs>
          <w:tab w:val="left" w:pos="-2268"/>
        </w:tabs>
        <w:suppressAutoHyphens/>
        <w:rPr>
          <w:rFonts w:cs="Arial"/>
        </w:rPr>
      </w:pPr>
    </w:p>
    <w:p w14:paraId="0C2BB389" w14:textId="77777777" w:rsidR="00317B09" w:rsidRPr="004068F6" w:rsidRDefault="00317B09" w:rsidP="00317B09">
      <w:pPr>
        <w:numPr>
          <w:ilvl w:val="0"/>
          <w:numId w:val="235"/>
        </w:numPr>
        <w:suppressAutoHyphens/>
        <w:ind w:left="567" w:hanging="567"/>
        <w:rPr>
          <w:rFonts w:cs="Arial"/>
        </w:rPr>
      </w:pPr>
      <w:r w:rsidRPr="004068F6">
        <w:rPr>
          <w:rFonts w:cs="Arial"/>
        </w:rPr>
        <w:t>La biodiversidad, por ser patrimonio nacional y de interés de la humanidad, debe ser protegida prioritariamente y aprovechada en forma sostenible.</w:t>
      </w:r>
    </w:p>
    <w:p w14:paraId="039358E1" w14:textId="77777777" w:rsidR="00317B09" w:rsidRPr="004068F6" w:rsidRDefault="00317B09" w:rsidP="00317B09">
      <w:pPr>
        <w:suppressAutoHyphens/>
        <w:rPr>
          <w:rFonts w:cs="Arial"/>
        </w:rPr>
      </w:pPr>
    </w:p>
    <w:p w14:paraId="46C55581" w14:textId="3E754B50" w:rsidR="00317B09" w:rsidRPr="004068F6" w:rsidRDefault="00317B09" w:rsidP="00317B09">
      <w:pPr>
        <w:numPr>
          <w:ilvl w:val="0"/>
          <w:numId w:val="235"/>
        </w:numPr>
        <w:suppressAutoHyphens/>
        <w:ind w:left="567" w:hanging="567"/>
        <w:rPr>
          <w:rFonts w:cs="Arial"/>
        </w:rPr>
      </w:pPr>
      <w:r w:rsidRPr="004068F6">
        <w:rPr>
          <w:rFonts w:cs="Arial"/>
        </w:rPr>
        <w:t>Cuando exista peligro de daño grave e irreversible, la falta de certeza científica absoluta no deberá utilizarse como razón para postergar la adopción de medidas eficaces para impedir la degradación del ambiente (principio de precaución).</w:t>
      </w:r>
    </w:p>
    <w:p w14:paraId="1B6DFE52" w14:textId="77777777" w:rsidR="00317B09" w:rsidRPr="004068F6" w:rsidRDefault="00317B09" w:rsidP="00317B09">
      <w:pPr>
        <w:suppressAutoHyphens/>
        <w:rPr>
          <w:rFonts w:cs="Arial"/>
        </w:rPr>
      </w:pPr>
    </w:p>
    <w:p w14:paraId="0016C5CC" w14:textId="3B279D88" w:rsidR="00646D8F" w:rsidRPr="004068F6" w:rsidRDefault="00317B09" w:rsidP="002C5EDB">
      <w:pPr>
        <w:numPr>
          <w:ilvl w:val="0"/>
          <w:numId w:val="235"/>
        </w:numPr>
        <w:suppressAutoHyphens/>
        <w:ind w:left="567" w:hanging="567"/>
        <w:rPr>
          <w:rFonts w:cs="Arial"/>
        </w:rPr>
      </w:pPr>
      <w:r w:rsidRPr="004068F6">
        <w:rPr>
          <w:rFonts w:cs="Arial"/>
        </w:rPr>
        <w:t>Con el propósito de prevenir, corregir y restaurar el deterioro ambiental, y conservar los recursos naturales renovables, se debe fomentar la incorporación de los costos ambientales y el uso de instrumentos económicos.</w:t>
      </w:r>
    </w:p>
    <w:p w14:paraId="6C52CE91" w14:textId="77777777" w:rsidR="00317B09" w:rsidRPr="004068F6" w:rsidRDefault="00317B09" w:rsidP="00317B09">
      <w:pPr>
        <w:suppressAutoHyphens/>
        <w:rPr>
          <w:rFonts w:cs="Arial"/>
        </w:rPr>
      </w:pPr>
    </w:p>
    <w:p w14:paraId="78A07724" w14:textId="77777777" w:rsidR="008D4DB2" w:rsidRPr="004068F6" w:rsidRDefault="00317B09" w:rsidP="00317B09">
      <w:pPr>
        <w:numPr>
          <w:ilvl w:val="0"/>
          <w:numId w:val="235"/>
        </w:numPr>
        <w:suppressAutoHyphens/>
        <w:ind w:left="567" w:hanging="567"/>
        <w:rPr>
          <w:rFonts w:cs="Arial"/>
        </w:rPr>
      </w:pPr>
      <w:r w:rsidRPr="004068F6">
        <w:rPr>
          <w:rFonts w:cs="Arial"/>
        </w:rPr>
        <w:t>El paisaje por ser patrimonio común deberá ser protegido</w:t>
      </w:r>
      <w:r w:rsidR="008D4DB2" w:rsidRPr="004068F6">
        <w:rPr>
          <w:rFonts w:cs="Arial"/>
        </w:rPr>
        <w:t>.</w:t>
      </w:r>
    </w:p>
    <w:p w14:paraId="3F079E7C" w14:textId="77777777" w:rsidR="008D4DB2" w:rsidRPr="003C7DC7" w:rsidRDefault="008D4DB2" w:rsidP="003C7DC7">
      <w:pPr>
        <w:rPr>
          <w:rFonts w:cs="Arial"/>
        </w:rPr>
      </w:pPr>
    </w:p>
    <w:p w14:paraId="3FCB7B13" w14:textId="37B59E3E" w:rsidR="00317B09" w:rsidRPr="004068F6" w:rsidRDefault="008D4DB2" w:rsidP="00317B09">
      <w:pPr>
        <w:numPr>
          <w:ilvl w:val="0"/>
          <w:numId w:val="235"/>
        </w:numPr>
        <w:suppressAutoHyphens/>
        <w:ind w:left="567" w:hanging="567"/>
        <w:rPr>
          <w:rFonts w:cs="Arial"/>
        </w:rPr>
      </w:pPr>
      <w:r w:rsidRPr="004068F6">
        <w:rPr>
          <w:rFonts w:cs="Arial"/>
        </w:rPr>
        <w:t>La acción para la protección y recuperación ambientales del país es una tarea conjunta y coordinada entre el Estado, la comunidad, las organizaciones no gubernamentales y el sector privado</w:t>
      </w:r>
      <w:r w:rsidR="00317B09" w:rsidRPr="004068F6">
        <w:rPr>
          <w:rFonts w:cs="Arial"/>
        </w:rPr>
        <w:t xml:space="preserve"> y</w:t>
      </w:r>
      <w:r w:rsidR="00013BC7" w:rsidRPr="004068F6">
        <w:rPr>
          <w:rFonts w:cs="Arial"/>
        </w:rPr>
        <w:t>,</w:t>
      </w:r>
    </w:p>
    <w:p w14:paraId="7C3D5F0A" w14:textId="77777777" w:rsidR="00317B09" w:rsidRPr="004068F6" w:rsidRDefault="00317B09" w:rsidP="00317B09">
      <w:pPr>
        <w:suppressAutoHyphens/>
        <w:rPr>
          <w:rFonts w:cs="Arial"/>
        </w:rPr>
      </w:pPr>
    </w:p>
    <w:p w14:paraId="59740C5A" w14:textId="34D72124" w:rsidR="00317B09" w:rsidRPr="004068F6" w:rsidRDefault="00317B09" w:rsidP="00317B09">
      <w:pPr>
        <w:numPr>
          <w:ilvl w:val="0"/>
          <w:numId w:val="235"/>
        </w:numPr>
        <w:suppressAutoHyphens/>
        <w:ind w:left="567" w:hanging="567"/>
        <w:rPr>
          <w:rFonts w:cs="Arial"/>
        </w:rPr>
      </w:pPr>
      <w:r w:rsidRPr="004068F6">
        <w:rPr>
          <w:rFonts w:cs="Arial"/>
        </w:rPr>
        <w:t>Como instrumento básico para la toma de decisiones respecto a la construcción de obras y actividades que afecten significativamente el ambiente natural o artificial, se emplearán los estudios de impacto ambiental.</w:t>
      </w:r>
    </w:p>
    <w:p w14:paraId="540AACFD" w14:textId="77777777" w:rsidR="00317B09" w:rsidRDefault="00317B09" w:rsidP="00317B09">
      <w:pPr>
        <w:numPr>
          <w:ilvl w:val="12"/>
          <w:numId w:val="0"/>
        </w:numPr>
        <w:tabs>
          <w:tab w:val="left" w:pos="-2268"/>
        </w:tabs>
        <w:suppressAutoHyphens/>
        <w:rPr>
          <w:rFonts w:cs="Arial"/>
        </w:rPr>
      </w:pPr>
    </w:p>
    <w:p w14:paraId="4330A535" w14:textId="43C9A751" w:rsidR="003929C0" w:rsidRDefault="001B44E3" w:rsidP="00317B09">
      <w:pPr>
        <w:numPr>
          <w:ilvl w:val="12"/>
          <w:numId w:val="0"/>
        </w:numPr>
        <w:tabs>
          <w:tab w:val="left" w:pos="-2268"/>
        </w:tabs>
        <w:suppressAutoHyphens/>
        <w:rPr>
          <w:rFonts w:cs="Arial"/>
        </w:rPr>
      </w:pPr>
      <w:r>
        <w:rPr>
          <w:rFonts w:cs="Arial"/>
        </w:rPr>
        <w:t>Complementariamente</w:t>
      </w:r>
      <w:r w:rsidR="003929C0" w:rsidRPr="004068F6">
        <w:rPr>
          <w:rFonts w:cs="Arial"/>
        </w:rPr>
        <w:t xml:space="preserve">, </w:t>
      </w:r>
      <w:r w:rsidR="005C30D7">
        <w:rPr>
          <w:rFonts w:cs="Arial"/>
        </w:rPr>
        <w:t xml:space="preserve">en razón a la </w:t>
      </w:r>
      <w:r w:rsidR="003929C0" w:rsidRPr="004068F6">
        <w:rPr>
          <w:rFonts w:cs="Arial"/>
        </w:rPr>
        <w:t>ratifica</w:t>
      </w:r>
      <w:r w:rsidR="005C30D7">
        <w:rPr>
          <w:rFonts w:cs="Arial"/>
        </w:rPr>
        <w:t xml:space="preserve">ción </w:t>
      </w:r>
      <w:r w:rsidR="00692B8D">
        <w:rPr>
          <w:rFonts w:cs="Arial"/>
        </w:rPr>
        <w:t xml:space="preserve">del </w:t>
      </w:r>
      <w:r w:rsidR="005C30D7" w:rsidRPr="004068F6">
        <w:rPr>
          <w:rFonts w:cs="Arial"/>
        </w:rPr>
        <w:t>Acuerdo de Escazú (2018)</w:t>
      </w:r>
      <w:r w:rsidR="00692B8D">
        <w:rPr>
          <w:rFonts w:cs="Arial"/>
        </w:rPr>
        <w:t xml:space="preserve"> por parte de Colombia</w:t>
      </w:r>
      <w:r w:rsidR="005C30D7" w:rsidRPr="004068F6">
        <w:rPr>
          <w:rFonts w:cs="Arial"/>
        </w:rPr>
        <w:t>,</w:t>
      </w:r>
      <w:r w:rsidR="003929C0" w:rsidRPr="004068F6">
        <w:rPr>
          <w:rFonts w:cs="Arial"/>
        </w:rPr>
        <w:t xml:space="preserve"> </w:t>
      </w:r>
      <w:r w:rsidR="00692B8D">
        <w:rPr>
          <w:rFonts w:cs="Arial"/>
        </w:rPr>
        <w:t xml:space="preserve">el marco legal del país </w:t>
      </w:r>
      <w:r w:rsidR="00170F4D">
        <w:rPr>
          <w:rFonts w:cs="Arial"/>
        </w:rPr>
        <w:t xml:space="preserve">en asuntos ambientales </w:t>
      </w:r>
      <w:r w:rsidR="003929C0" w:rsidRPr="004068F6">
        <w:rPr>
          <w:rFonts w:cs="Arial"/>
        </w:rPr>
        <w:t>fortalece los derechos de acceso a la información, participación pública y justicia ambiental, así como la protección de los defensores ambientales, consolidando un enfoque participativo y transparente en la gestión ambiental</w:t>
      </w:r>
      <w:r w:rsidR="00FF214D">
        <w:rPr>
          <w:rFonts w:cs="Arial"/>
        </w:rPr>
        <w:t>.</w:t>
      </w:r>
      <w:r w:rsidR="00D14EDF">
        <w:rPr>
          <w:rFonts w:cs="Arial"/>
        </w:rPr>
        <w:t xml:space="preserve"> </w:t>
      </w:r>
      <w:r w:rsidR="00FF214D">
        <w:rPr>
          <w:rFonts w:cs="Arial"/>
        </w:rPr>
        <w:t xml:space="preserve">Esta estructura </w:t>
      </w:r>
      <w:r w:rsidR="0036205C">
        <w:rPr>
          <w:rFonts w:cs="Arial"/>
        </w:rPr>
        <w:t xml:space="preserve">hace parte del </w:t>
      </w:r>
      <w:r w:rsidR="004A3FE9">
        <w:rPr>
          <w:rFonts w:cs="Arial"/>
        </w:rPr>
        <w:t xml:space="preserve">enfoque </w:t>
      </w:r>
      <w:r w:rsidR="00944786">
        <w:rPr>
          <w:rFonts w:cs="Arial"/>
        </w:rPr>
        <w:t xml:space="preserve">en </w:t>
      </w:r>
      <w:r w:rsidR="004A3FE9">
        <w:rPr>
          <w:rFonts w:cs="Arial"/>
        </w:rPr>
        <w:t>derechos humanos que</w:t>
      </w:r>
      <w:r w:rsidR="003A4377">
        <w:rPr>
          <w:rFonts w:cs="Arial"/>
        </w:rPr>
        <w:t>, en el ámbito ambiental colombiano</w:t>
      </w:r>
      <w:r w:rsidR="00944786">
        <w:rPr>
          <w:rFonts w:cs="Arial"/>
        </w:rPr>
        <w:t xml:space="preserve"> en general y </w:t>
      </w:r>
      <w:r w:rsidR="00D371B9">
        <w:rPr>
          <w:rFonts w:cs="Arial"/>
        </w:rPr>
        <w:t xml:space="preserve">en el </w:t>
      </w:r>
      <w:r w:rsidR="00944786">
        <w:rPr>
          <w:rFonts w:cs="Arial"/>
        </w:rPr>
        <w:t>del licenciamiento ambiental en particular</w:t>
      </w:r>
      <w:r w:rsidR="003A4377">
        <w:rPr>
          <w:rFonts w:cs="Arial"/>
        </w:rPr>
        <w:t>,</w:t>
      </w:r>
      <w:r w:rsidR="004A3FE9">
        <w:rPr>
          <w:rFonts w:cs="Arial"/>
        </w:rPr>
        <w:t xml:space="preserve"> se desprende del </w:t>
      </w:r>
      <w:r w:rsidR="009148F1">
        <w:rPr>
          <w:rFonts w:cs="Arial"/>
        </w:rPr>
        <w:t xml:space="preserve">derecho de las personas a gozar de un ambiente sano </w:t>
      </w:r>
      <w:r w:rsidR="00D37C2B">
        <w:rPr>
          <w:rFonts w:cs="Arial"/>
        </w:rPr>
        <w:t xml:space="preserve">y </w:t>
      </w:r>
      <w:r w:rsidR="00944786">
        <w:rPr>
          <w:rFonts w:cs="Arial"/>
        </w:rPr>
        <w:t xml:space="preserve">que se </w:t>
      </w:r>
      <w:r w:rsidR="009B10EB">
        <w:rPr>
          <w:rFonts w:cs="Arial"/>
        </w:rPr>
        <w:t xml:space="preserve">materializa a través </w:t>
      </w:r>
      <w:r w:rsidR="00D37C2B">
        <w:rPr>
          <w:rFonts w:cs="Arial"/>
        </w:rPr>
        <w:t xml:space="preserve">los deberes y las responsabilidades </w:t>
      </w:r>
      <w:r w:rsidR="006C4DCB">
        <w:rPr>
          <w:rFonts w:cs="Arial"/>
        </w:rPr>
        <w:t xml:space="preserve">de los actores que </w:t>
      </w:r>
      <w:r w:rsidR="009B10EB">
        <w:rPr>
          <w:rFonts w:cs="Arial"/>
        </w:rPr>
        <w:t>intervienen en el proceso</w:t>
      </w:r>
      <w:r w:rsidR="006C4DCB">
        <w:rPr>
          <w:rFonts w:cs="Arial"/>
        </w:rPr>
        <w:t>.</w:t>
      </w:r>
    </w:p>
    <w:p w14:paraId="361E4926" w14:textId="77777777" w:rsidR="003929C0" w:rsidRPr="004068F6" w:rsidRDefault="003929C0" w:rsidP="00317B09">
      <w:pPr>
        <w:numPr>
          <w:ilvl w:val="12"/>
          <w:numId w:val="0"/>
        </w:numPr>
        <w:tabs>
          <w:tab w:val="left" w:pos="-2268"/>
        </w:tabs>
        <w:suppressAutoHyphens/>
        <w:rPr>
          <w:rFonts w:cs="Arial"/>
        </w:rPr>
      </w:pPr>
    </w:p>
    <w:p w14:paraId="389B4D03" w14:textId="157B55D9" w:rsidR="00317B09" w:rsidRPr="004068F6" w:rsidRDefault="00317B09" w:rsidP="00317B09">
      <w:pPr>
        <w:numPr>
          <w:ilvl w:val="12"/>
          <w:numId w:val="0"/>
        </w:numPr>
        <w:tabs>
          <w:tab w:val="left" w:pos="-2268"/>
        </w:tabs>
        <w:suppressAutoHyphens/>
        <w:rPr>
          <w:rFonts w:cs="Arial"/>
        </w:rPr>
      </w:pPr>
      <w:r w:rsidRPr="004068F6">
        <w:rPr>
          <w:rFonts w:cs="Arial"/>
        </w:rPr>
        <w:t xml:space="preserve">Al Ministerio de Ambiente y Desarrollo Sostenible, como ente rector de la gestión del ambiente y de los recursos naturales renovables, se le ha encargado la labor de impulsar una relación de respeto y armonía del hombre con los ecosistemas y definir las políticas y regulaciones a las que se deben someter la recuperación, conservación, protección, ordenamiento, manejo, uso y aprovechamiento de los recursos naturales renovables y </w:t>
      </w:r>
      <w:r w:rsidR="00C34711" w:rsidRPr="004068F6">
        <w:rPr>
          <w:rFonts w:cs="Arial"/>
        </w:rPr>
        <w:t>d</w:t>
      </w:r>
      <w:r w:rsidRPr="004068F6">
        <w:rPr>
          <w:rFonts w:cs="Arial"/>
        </w:rPr>
        <w:t>el ambiente de la Nación, a fin de asegurar su desarrollo sostenible.</w:t>
      </w:r>
    </w:p>
    <w:p w14:paraId="38E64388" w14:textId="77777777" w:rsidR="00317B09" w:rsidRPr="004068F6" w:rsidRDefault="00317B09" w:rsidP="00317B09">
      <w:pPr>
        <w:numPr>
          <w:ilvl w:val="12"/>
          <w:numId w:val="0"/>
        </w:numPr>
        <w:tabs>
          <w:tab w:val="left" w:pos="-2268"/>
        </w:tabs>
        <w:suppressAutoHyphens/>
        <w:rPr>
          <w:rFonts w:cs="Arial"/>
        </w:rPr>
      </w:pPr>
    </w:p>
    <w:p w14:paraId="74B99145" w14:textId="57652932" w:rsidR="00317B09" w:rsidRPr="004068F6" w:rsidRDefault="00317B09" w:rsidP="00317B09">
      <w:pPr>
        <w:numPr>
          <w:ilvl w:val="12"/>
          <w:numId w:val="0"/>
        </w:numPr>
        <w:tabs>
          <w:tab w:val="left" w:pos="-2268"/>
        </w:tabs>
        <w:suppressAutoHyphens/>
        <w:rPr>
          <w:rFonts w:cs="Arial"/>
        </w:rPr>
      </w:pPr>
      <w:r w:rsidRPr="004068F6">
        <w:rPr>
          <w:rFonts w:cs="Arial"/>
        </w:rPr>
        <w:t>En este sentido, el artículo 49 de la Ley 99 de 1993</w:t>
      </w:r>
      <w:r w:rsidR="0017199D" w:rsidRPr="004068F6">
        <w:rPr>
          <w:rFonts w:cs="Arial"/>
        </w:rPr>
        <w:t>,</w:t>
      </w:r>
      <w:r w:rsidRPr="004068F6">
        <w:rPr>
          <w:rFonts w:cs="Arial"/>
        </w:rPr>
        <w:t xml:space="preserve"> establece que l</w:t>
      </w:r>
      <w:r w:rsidR="0017199D" w:rsidRPr="004068F6">
        <w:rPr>
          <w:rFonts w:cs="Arial"/>
        </w:rPr>
        <w:t xml:space="preserve">os </w:t>
      </w:r>
      <w:r w:rsidRPr="004068F6">
        <w:rPr>
          <w:rFonts w:cs="Arial"/>
        </w:rPr>
        <w:t>proyectos, obras o actividades que pueda</w:t>
      </w:r>
      <w:r w:rsidR="0017199D" w:rsidRPr="004068F6">
        <w:rPr>
          <w:rFonts w:cs="Arial"/>
        </w:rPr>
        <w:t>n</w:t>
      </w:r>
      <w:r w:rsidRPr="004068F6">
        <w:rPr>
          <w:rFonts w:cs="Arial"/>
        </w:rPr>
        <w:t xml:space="preserve"> </w:t>
      </w:r>
      <w:r w:rsidR="0017199D" w:rsidRPr="004068F6">
        <w:rPr>
          <w:rFonts w:cs="Arial"/>
        </w:rPr>
        <w:t xml:space="preserve">generar </w:t>
      </w:r>
      <w:r w:rsidRPr="004068F6">
        <w:rPr>
          <w:rFonts w:cs="Arial"/>
        </w:rPr>
        <w:t>deterioro grave al</w:t>
      </w:r>
      <w:r w:rsidR="0017199D" w:rsidRPr="004068F6">
        <w:rPr>
          <w:rFonts w:cs="Arial"/>
        </w:rPr>
        <w:t xml:space="preserve"> ambiente, a l</w:t>
      </w:r>
      <w:r w:rsidRPr="004068F6">
        <w:rPr>
          <w:rFonts w:cs="Arial"/>
        </w:rPr>
        <w:t>os recursos naturales renovables o al paisaje, requiere</w:t>
      </w:r>
      <w:r w:rsidR="0017199D" w:rsidRPr="004068F6">
        <w:rPr>
          <w:rFonts w:cs="Arial"/>
        </w:rPr>
        <w:t>n</w:t>
      </w:r>
      <w:r w:rsidRPr="004068F6">
        <w:rPr>
          <w:rFonts w:cs="Arial"/>
        </w:rPr>
        <w:t xml:space="preserve"> licencia ambiental</w:t>
      </w:r>
      <w:r w:rsidR="0017199D" w:rsidRPr="004068F6">
        <w:rPr>
          <w:rFonts w:cs="Arial"/>
        </w:rPr>
        <w:t xml:space="preserve"> para su ejecución</w:t>
      </w:r>
      <w:r w:rsidRPr="004068F6">
        <w:rPr>
          <w:rFonts w:cs="Arial"/>
        </w:rPr>
        <w:t>.</w:t>
      </w:r>
    </w:p>
    <w:p w14:paraId="0E06EE3E" w14:textId="77777777" w:rsidR="00317B09" w:rsidRPr="004068F6" w:rsidRDefault="00317B09" w:rsidP="00317B09">
      <w:pPr>
        <w:numPr>
          <w:ilvl w:val="12"/>
          <w:numId w:val="0"/>
        </w:numPr>
        <w:tabs>
          <w:tab w:val="left" w:pos="-2268"/>
        </w:tabs>
        <w:suppressAutoHyphens/>
        <w:rPr>
          <w:rFonts w:cs="Arial"/>
        </w:rPr>
      </w:pPr>
    </w:p>
    <w:p w14:paraId="688489E7" w14:textId="008C1D77" w:rsidR="0001330A" w:rsidRPr="004068F6" w:rsidRDefault="00317B09" w:rsidP="00317B09">
      <w:pPr>
        <w:numPr>
          <w:ilvl w:val="12"/>
          <w:numId w:val="0"/>
        </w:numPr>
        <w:tabs>
          <w:tab w:val="left" w:pos="-2268"/>
        </w:tabs>
        <w:suppressAutoHyphens/>
        <w:rPr>
          <w:rFonts w:cs="Arial"/>
        </w:rPr>
      </w:pPr>
      <w:r w:rsidRPr="004068F6">
        <w:rPr>
          <w:rFonts w:cs="Arial"/>
        </w:rPr>
        <w:t xml:space="preserve">El licenciamiento ambiental no se reduce únicamente al otorgamiento de </w:t>
      </w:r>
      <w:r w:rsidR="008A522A" w:rsidRPr="004068F6">
        <w:rPr>
          <w:rFonts w:cs="Arial"/>
        </w:rPr>
        <w:t>una autorización</w:t>
      </w:r>
      <w:r w:rsidRPr="004068F6">
        <w:rPr>
          <w:rFonts w:cs="Arial"/>
        </w:rPr>
        <w:t xml:space="preserve">, es un proceso integral que está dirigido a prevenir daños irreversibles, asegurar que los propósitos que se buscan con la ejecución de un proyecto, obra o actividad se alcancen empleando alternativas de bajo impacto ambiental, optimizar la toma de decisiones y garantizar, de acuerdo con la Constitución Política, la participación de </w:t>
      </w:r>
      <w:r w:rsidR="006B365E" w:rsidRPr="004068F6">
        <w:rPr>
          <w:rFonts w:cs="Arial"/>
        </w:rPr>
        <w:t xml:space="preserve">los grupos de interés </w:t>
      </w:r>
      <w:r w:rsidRPr="004068F6">
        <w:rPr>
          <w:rFonts w:cs="Arial"/>
        </w:rPr>
        <w:t>que puedan ser afectad</w:t>
      </w:r>
      <w:r w:rsidR="006B365E" w:rsidRPr="004068F6">
        <w:rPr>
          <w:rFonts w:cs="Arial"/>
        </w:rPr>
        <w:t>o</w:t>
      </w:r>
      <w:r w:rsidRPr="004068F6">
        <w:rPr>
          <w:rFonts w:cs="Arial"/>
        </w:rPr>
        <w:t>s por la toma de decisiones que tengan implicaciones ambientales</w:t>
      </w:r>
      <w:r w:rsidR="0001330A" w:rsidRPr="004068F6">
        <w:rPr>
          <w:rFonts w:cs="Arial"/>
        </w:rPr>
        <w:t xml:space="preserve"> que afecten su derecho a gozar de un ambiente sano</w:t>
      </w:r>
      <w:r w:rsidRPr="004068F6">
        <w:rPr>
          <w:rFonts w:cs="Arial"/>
        </w:rPr>
        <w:t>.</w:t>
      </w:r>
    </w:p>
    <w:p w14:paraId="2AB64894" w14:textId="77777777" w:rsidR="0001330A" w:rsidRPr="004068F6" w:rsidRDefault="0001330A" w:rsidP="00317B09">
      <w:pPr>
        <w:numPr>
          <w:ilvl w:val="12"/>
          <w:numId w:val="0"/>
        </w:numPr>
        <w:tabs>
          <w:tab w:val="left" w:pos="-2268"/>
        </w:tabs>
        <w:suppressAutoHyphens/>
        <w:rPr>
          <w:rFonts w:cs="Arial"/>
        </w:rPr>
      </w:pPr>
    </w:p>
    <w:p w14:paraId="3AEE82D6" w14:textId="05B77F02" w:rsidR="00317B09" w:rsidRPr="004068F6" w:rsidRDefault="00317B09" w:rsidP="00317B09">
      <w:pPr>
        <w:numPr>
          <w:ilvl w:val="12"/>
          <w:numId w:val="0"/>
        </w:numPr>
        <w:tabs>
          <w:tab w:val="left" w:pos="-2268"/>
        </w:tabs>
        <w:suppressAutoHyphens/>
        <w:rPr>
          <w:rFonts w:cs="Arial"/>
        </w:rPr>
      </w:pPr>
      <w:r w:rsidRPr="004068F6">
        <w:rPr>
          <w:rFonts w:cs="Arial"/>
        </w:rPr>
        <w:t xml:space="preserve">Asimismo, el proceso de licenciamiento ambiental determina que los proyectos, obras o actividades que por su naturaleza </w:t>
      </w:r>
      <w:r w:rsidR="00083D6C" w:rsidRPr="004068F6">
        <w:rPr>
          <w:rFonts w:cs="Arial"/>
        </w:rPr>
        <w:t xml:space="preserve">puedan </w:t>
      </w:r>
      <w:r w:rsidRPr="004068F6">
        <w:rPr>
          <w:rFonts w:cs="Arial"/>
        </w:rPr>
        <w:t>generan impactos significativos</w:t>
      </w:r>
      <w:r w:rsidR="00CB1C7F" w:rsidRPr="004068F6">
        <w:rPr>
          <w:rFonts w:cs="Arial"/>
        </w:rPr>
        <w:t xml:space="preserve"> negativos</w:t>
      </w:r>
      <w:r w:rsidRPr="004068F6">
        <w:rPr>
          <w:rFonts w:cs="Arial"/>
        </w:rPr>
        <w:t>, s</w:t>
      </w:r>
      <w:r w:rsidR="007E6C00" w:rsidRPr="004068F6">
        <w:rPr>
          <w:rFonts w:cs="Arial"/>
        </w:rPr>
        <w:t>o</w:t>
      </w:r>
      <w:r w:rsidRPr="004068F6">
        <w:rPr>
          <w:rFonts w:cs="Arial"/>
        </w:rPr>
        <w:t>n objeto de evaluación</w:t>
      </w:r>
      <w:r w:rsidR="0001330A" w:rsidRPr="004068F6">
        <w:rPr>
          <w:rFonts w:cs="Arial"/>
        </w:rPr>
        <w:t xml:space="preserve"> por parte de las autoridades ambientales</w:t>
      </w:r>
      <w:r w:rsidR="007E6C00" w:rsidRPr="004068F6">
        <w:rPr>
          <w:rFonts w:cs="Arial"/>
        </w:rPr>
        <w:t xml:space="preserve"> competentes</w:t>
      </w:r>
      <w:r w:rsidRPr="004068F6">
        <w:rPr>
          <w:rFonts w:cs="Arial"/>
        </w:rPr>
        <w:t xml:space="preserve">, y establece que aquellos proyectos que se califiquen como ambientalmente viables, se planifiquen, ejecuten, operen y desmantelen (en caso de requerirse) aplicando medidas que, en estricto orden, estén dirigidas a prevenir, </w:t>
      </w:r>
      <w:r w:rsidRPr="004068F6">
        <w:rPr>
          <w:rFonts w:cs="Arial"/>
        </w:rPr>
        <w:lastRenderedPageBreak/>
        <w:t xml:space="preserve">mitigar, corregir y solo en última instancia, compensar, los impactos ambientales </w:t>
      </w:r>
      <w:r w:rsidR="00F90283" w:rsidRPr="004068F6">
        <w:rPr>
          <w:rFonts w:cs="Arial"/>
        </w:rPr>
        <w:t xml:space="preserve">negativos </w:t>
      </w:r>
      <w:r w:rsidRPr="004068F6">
        <w:rPr>
          <w:rFonts w:cs="Arial"/>
        </w:rPr>
        <w:t>que puedan ocasionar.</w:t>
      </w:r>
    </w:p>
    <w:p w14:paraId="6B1E1C10" w14:textId="77777777" w:rsidR="00317B09" w:rsidRPr="004068F6" w:rsidRDefault="00317B09" w:rsidP="00317B09">
      <w:pPr>
        <w:numPr>
          <w:ilvl w:val="12"/>
          <w:numId w:val="0"/>
        </w:numPr>
        <w:tabs>
          <w:tab w:val="left" w:pos="-2268"/>
        </w:tabs>
        <w:suppressAutoHyphens/>
        <w:rPr>
          <w:rFonts w:cs="Arial"/>
        </w:rPr>
      </w:pPr>
    </w:p>
    <w:p w14:paraId="7D278739" w14:textId="4D860815" w:rsidR="00317B09" w:rsidRPr="004068F6" w:rsidRDefault="00317B09" w:rsidP="00317B09">
      <w:pPr>
        <w:numPr>
          <w:ilvl w:val="12"/>
          <w:numId w:val="0"/>
        </w:numPr>
        <w:tabs>
          <w:tab w:val="left" w:pos="-2268"/>
        </w:tabs>
        <w:suppressAutoHyphens/>
        <w:rPr>
          <w:rFonts w:cs="Arial"/>
        </w:rPr>
      </w:pPr>
      <w:r w:rsidRPr="004068F6">
        <w:rPr>
          <w:rFonts w:cs="Arial"/>
        </w:rPr>
        <w:t xml:space="preserve">Es fundamental señalar que el proceso de licenciamiento ambiental no concluye con la </w:t>
      </w:r>
      <w:r w:rsidR="00EC1AC1" w:rsidRPr="004068F6">
        <w:rPr>
          <w:rFonts w:cs="Arial"/>
        </w:rPr>
        <w:t xml:space="preserve">decisión </w:t>
      </w:r>
      <w:r w:rsidR="00E27993" w:rsidRPr="004068F6">
        <w:rPr>
          <w:rFonts w:cs="Arial"/>
        </w:rPr>
        <w:t xml:space="preserve">de otorgar o negar </w:t>
      </w:r>
      <w:r w:rsidR="00C46682" w:rsidRPr="004068F6">
        <w:rPr>
          <w:rFonts w:cs="Arial"/>
        </w:rPr>
        <w:t xml:space="preserve">una </w:t>
      </w:r>
      <w:r w:rsidRPr="004068F6">
        <w:rPr>
          <w:rFonts w:cs="Arial"/>
        </w:rPr>
        <w:t>licencia</w:t>
      </w:r>
      <w:r w:rsidR="00E27993" w:rsidRPr="004068F6">
        <w:rPr>
          <w:rFonts w:cs="Arial"/>
        </w:rPr>
        <w:t>,</w:t>
      </w:r>
      <w:r w:rsidR="00CA57F7" w:rsidRPr="004068F6">
        <w:rPr>
          <w:rFonts w:cs="Arial"/>
        </w:rPr>
        <w:t xml:space="preserve"> </w:t>
      </w:r>
      <w:r w:rsidR="008062EE" w:rsidRPr="004068F6">
        <w:rPr>
          <w:rFonts w:cs="Arial"/>
        </w:rPr>
        <w:t xml:space="preserve">comprende </w:t>
      </w:r>
      <w:r w:rsidR="001C3943" w:rsidRPr="004068F6">
        <w:rPr>
          <w:rFonts w:cs="Arial"/>
        </w:rPr>
        <w:t>también</w:t>
      </w:r>
      <w:r w:rsidR="006D3D06" w:rsidRPr="004068F6">
        <w:rPr>
          <w:rFonts w:cs="Arial"/>
        </w:rPr>
        <w:t>,</w:t>
      </w:r>
      <w:r w:rsidR="001C3943" w:rsidRPr="004068F6">
        <w:rPr>
          <w:rFonts w:cs="Arial"/>
        </w:rPr>
        <w:t xml:space="preserve"> el proceso de toma de decisión durante </w:t>
      </w:r>
      <w:r w:rsidR="00C107A4" w:rsidRPr="004068F6">
        <w:rPr>
          <w:rFonts w:cs="Arial"/>
        </w:rPr>
        <w:t>el seguimiento y control ambiental</w:t>
      </w:r>
      <w:r w:rsidR="00835F3A" w:rsidRPr="004068F6">
        <w:rPr>
          <w:rFonts w:cs="Arial"/>
        </w:rPr>
        <w:t xml:space="preserve"> de los proyectos que han sido autorizados</w:t>
      </w:r>
      <w:r w:rsidR="006B365E" w:rsidRPr="004068F6">
        <w:rPr>
          <w:rFonts w:cs="Arial"/>
        </w:rPr>
        <w:t>.</w:t>
      </w:r>
      <w:r w:rsidRPr="004068F6">
        <w:rPr>
          <w:rFonts w:cs="Arial"/>
        </w:rPr>
        <w:t xml:space="preserve"> </w:t>
      </w:r>
      <w:r w:rsidR="0060275A" w:rsidRPr="004068F6">
        <w:rPr>
          <w:rFonts w:cs="Arial"/>
        </w:rPr>
        <w:t>Así, d</w:t>
      </w:r>
      <w:r w:rsidRPr="004068F6">
        <w:rPr>
          <w:rFonts w:cs="Arial"/>
        </w:rPr>
        <w:t>urante la ejecución y operación de un proyecto</w:t>
      </w:r>
      <w:r w:rsidR="002D0006" w:rsidRPr="004068F6">
        <w:rPr>
          <w:rFonts w:cs="Arial"/>
        </w:rPr>
        <w:t>, obra o actividad</w:t>
      </w:r>
      <w:r w:rsidRPr="004068F6">
        <w:rPr>
          <w:rFonts w:cs="Arial"/>
        </w:rPr>
        <w:t xml:space="preserve"> se hace seguimiento tanto a los planes ambientales aprobados en la licencia como a las dinámicas ambientales que se desencadenan con motivo del desarrollo del proyecto, con el propósito </w:t>
      </w:r>
      <w:r w:rsidR="000E5B6B" w:rsidRPr="004068F6">
        <w:rPr>
          <w:rFonts w:cs="Arial"/>
        </w:rPr>
        <w:t>deci</w:t>
      </w:r>
      <w:r w:rsidR="00E125E1" w:rsidRPr="004068F6">
        <w:rPr>
          <w:rFonts w:cs="Arial"/>
        </w:rPr>
        <w:t xml:space="preserve">dir </w:t>
      </w:r>
      <w:r w:rsidR="00F5287D" w:rsidRPr="004068F6">
        <w:rPr>
          <w:rFonts w:cs="Arial"/>
        </w:rPr>
        <w:t xml:space="preserve">oportunamente </w:t>
      </w:r>
      <w:r w:rsidR="0092202D" w:rsidRPr="004068F6">
        <w:rPr>
          <w:rFonts w:cs="Arial"/>
        </w:rPr>
        <w:t xml:space="preserve">sobre la necesidad de </w:t>
      </w:r>
      <w:r w:rsidR="00F35E9B" w:rsidRPr="004068F6">
        <w:rPr>
          <w:rFonts w:cs="Arial"/>
        </w:rPr>
        <w:t xml:space="preserve">emprender </w:t>
      </w:r>
      <w:r w:rsidRPr="004068F6">
        <w:rPr>
          <w:rFonts w:cs="Arial"/>
        </w:rPr>
        <w:t xml:space="preserve">acciones </w:t>
      </w:r>
      <w:r w:rsidR="00F35E9B" w:rsidRPr="004068F6">
        <w:rPr>
          <w:rFonts w:cs="Arial"/>
        </w:rPr>
        <w:t xml:space="preserve">adicionales </w:t>
      </w:r>
      <w:r w:rsidRPr="004068F6">
        <w:rPr>
          <w:rFonts w:cs="Arial"/>
        </w:rPr>
        <w:t xml:space="preserve">para gestionar </w:t>
      </w:r>
      <w:r w:rsidR="0058796C" w:rsidRPr="004068F6">
        <w:rPr>
          <w:rFonts w:cs="Arial"/>
        </w:rPr>
        <w:t xml:space="preserve">todos </w:t>
      </w:r>
      <w:r w:rsidRPr="004068F6">
        <w:rPr>
          <w:rFonts w:cs="Arial"/>
        </w:rPr>
        <w:t>los impactos ambientales</w:t>
      </w:r>
      <w:r w:rsidR="0058796C" w:rsidRPr="004068F6">
        <w:rPr>
          <w:rFonts w:cs="Arial"/>
        </w:rPr>
        <w:t xml:space="preserve"> </w:t>
      </w:r>
      <w:r w:rsidR="00B97EB5" w:rsidRPr="004068F6">
        <w:rPr>
          <w:rFonts w:cs="Arial"/>
        </w:rPr>
        <w:t xml:space="preserve">negativos </w:t>
      </w:r>
      <w:r w:rsidR="0058796C" w:rsidRPr="004068F6">
        <w:rPr>
          <w:rFonts w:cs="Arial"/>
        </w:rPr>
        <w:t>generados por la ejecución del proyecto, obra o actividad, incluyendo aquellos</w:t>
      </w:r>
      <w:r w:rsidRPr="004068F6">
        <w:rPr>
          <w:rFonts w:cs="Arial"/>
        </w:rPr>
        <w:t xml:space="preserve"> que no hayan sido previstos.</w:t>
      </w:r>
    </w:p>
    <w:p w14:paraId="707B87D2" w14:textId="77777777" w:rsidR="00317B09" w:rsidRPr="004068F6" w:rsidRDefault="00317B09" w:rsidP="00317B09">
      <w:pPr>
        <w:numPr>
          <w:ilvl w:val="12"/>
          <w:numId w:val="0"/>
        </w:numPr>
        <w:tabs>
          <w:tab w:val="left" w:pos="-2268"/>
        </w:tabs>
        <w:suppressAutoHyphens/>
        <w:rPr>
          <w:rFonts w:cs="Arial"/>
        </w:rPr>
      </w:pPr>
    </w:p>
    <w:p w14:paraId="4E1675B4" w14:textId="37E09ADE" w:rsidR="00317B09" w:rsidRPr="004068F6" w:rsidRDefault="00317B09" w:rsidP="00317B09">
      <w:pPr>
        <w:numPr>
          <w:ilvl w:val="12"/>
          <w:numId w:val="0"/>
        </w:numPr>
        <w:tabs>
          <w:tab w:val="left" w:pos="-2268"/>
        </w:tabs>
        <w:suppressAutoHyphens/>
        <w:rPr>
          <w:rFonts w:cs="Arial"/>
        </w:rPr>
      </w:pPr>
      <w:r w:rsidRPr="004068F6">
        <w:rPr>
          <w:rFonts w:cs="Arial"/>
        </w:rPr>
        <w:t xml:space="preserve">Resulta importante resaltar dos aspectos del licenciamiento ambiental y de la metodología que orienta la elaboración de los estudios en los que se apoya: primero, que responden a un proceso que busca evitar </w:t>
      </w:r>
      <w:r w:rsidR="0058796C" w:rsidRPr="004068F6">
        <w:rPr>
          <w:rFonts w:cs="Arial"/>
        </w:rPr>
        <w:t xml:space="preserve">el desarrollo de proyectos, obras o actividades que generen impactos ambientales </w:t>
      </w:r>
      <w:r w:rsidR="00ED5862" w:rsidRPr="004068F6">
        <w:rPr>
          <w:rFonts w:cs="Arial"/>
        </w:rPr>
        <w:t xml:space="preserve">negativos </w:t>
      </w:r>
      <w:r w:rsidR="004B110C" w:rsidRPr="004068F6">
        <w:rPr>
          <w:rFonts w:cs="Arial"/>
        </w:rPr>
        <w:t xml:space="preserve">significativos </w:t>
      </w:r>
      <w:r w:rsidR="0058796C" w:rsidRPr="004068F6">
        <w:rPr>
          <w:rFonts w:cs="Arial"/>
        </w:rPr>
        <w:t>sin la supervisión y planificación del Estado</w:t>
      </w:r>
      <w:r w:rsidRPr="004068F6">
        <w:rPr>
          <w:rFonts w:cs="Arial"/>
        </w:rPr>
        <w:t xml:space="preserve"> y segundo, que persiguiendo este fin no retrasan o constituyen óbice del desarrollo económico, y que por el contrario, abordados de manera completa, oportuna e integrada a la planeación de los proyectos, representan ahorros de tiempo y recursos económicos en la medida que optimizan el uso de información, contribuyen a hacer más eficientes los procesos, evitan multas y sanciones, y previenen impactos </w:t>
      </w:r>
      <w:r w:rsidR="0058796C" w:rsidRPr="004068F6">
        <w:rPr>
          <w:rFonts w:cs="Arial"/>
        </w:rPr>
        <w:t xml:space="preserve">ambientales </w:t>
      </w:r>
      <w:r w:rsidR="00314254" w:rsidRPr="004068F6">
        <w:rPr>
          <w:rFonts w:cs="Arial"/>
        </w:rPr>
        <w:t xml:space="preserve">negativos </w:t>
      </w:r>
      <w:r w:rsidRPr="004068F6">
        <w:rPr>
          <w:rFonts w:cs="Arial"/>
        </w:rPr>
        <w:t>significativos que pueden conllevar costos para la sociedad en su conjunto.</w:t>
      </w:r>
    </w:p>
    <w:p w14:paraId="3E634D5C" w14:textId="77777777" w:rsidR="00AE36BE" w:rsidRPr="004068F6" w:rsidRDefault="00AE36BE" w:rsidP="00317B09">
      <w:pPr>
        <w:numPr>
          <w:ilvl w:val="12"/>
          <w:numId w:val="0"/>
        </w:numPr>
        <w:tabs>
          <w:tab w:val="left" w:pos="-2268"/>
        </w:tabs>
        <w:suppressAutoHyphens/>
        <w:rPr>
          <w:rFonts w:cs="Arial"/>
        </w:rPr>
      </w:pPr>
    </w:p>
    <w:p w14:paraId="193B546F" w14:textId="1EC68B9D" w:rsidR="00AE36BE" w:rsidRPr="004068F6" w:rsidRDefault="00AE36BE" w:rsidP="00317B09">
      <w:pPr>
        <w:numPr>
          <w:ilvl w:val="12"/>
          <w:numId w:val="0"/>
        </w:numPr>
        <w:tabs>
          <w:tab w:val="left" w:pos="-2268"/>
        </w:tabs>
        <w:suppressAutoHyphens/>
        <w:rPr>
          <w:rFonts w:cs="Arial"/>
        </w:rPr>
      </w:pPr>
      <w:r w:rsidRPr="004068F6">
        <w:rPr>
          <w:rFonts w:cs="Arial"/>
        </w:rPr>
        <w:t>Con el fin de materializar todos estos propósitos</w:t>
      </w:r>
      <w:r w:rsidR="00F47D1C" w:rsidRPr="004068F6">
        <w:rPr>
          <w:rFonts w:cs="Arial"/>
        </w:rPr>
        <w:t>,</w:t>
      </w:r>
      <w:r w:rsidRPr="004068F6">
        <w:rPr>
          <w:rFonts w:cs="Arial"/>
        </w:rPr>
        <w:t xml:space="preserve"> </w:t>
      </w:r>
      <w:r w:rsidR="00F47D1C" w:rsidRPr="004068F6">
        <w:rPr>
          <w:rFonts w:cs="Arial"/>
        </w:rPr>
        <w:t xml:space="preserve">el licenciamiento ambiental </w:t>
      </w:r>
      <w:r w:rsidRPr="004068F6">
        <w:rPr>
          <w:rFonts w:cs="Arial"/>
        </w:rPr>
        <w:t xml:space="preserve">se ha consolidado </w:t>
      </w:r>
      <w:r w:rsidR="00F47D1C" w:rsidRPr="004068F6">
        <w:rPr>
          <w:rFonts w:cs="Arial"/>
        </w:rPr>
        <w:t xml:space="preserve">como un </w:t>
      </w:r>
      <w:r w:rsidRPr="004068F6">
        <w:rPr>
          <w:rFonts w:cs="Arial"/>
        </w:rPr>
        <w:t xml:space="preserve">proceso </w:t>
      </w:r>
      <w:r w:rsidR="00F47D1C" w:rsidRPr="004068F6">
        <w:rPr>
          <w:rFonts w:cs="Arial"/>
        </w:rPr>
        <w:t xml:space="preserve">de toma de decisión de varias etapas que se soporta en </w:t>
      </w:r>
      <w:r w:rsidRPr="004068F6">
        <w:rPr>
          <w:rFonts w:cs="Arial"/>
        </w:rPr>
        <w:t xml:space="preserve">un conjunto ordenado y articulado de </w:t>
      </w:r>
      <w:r w:rsidR="00F47D1C" w:rsidRPr="004068F6">
        <w:rPr>
          <w:rFonts w:cs="Arial"/>
        </w:rPr>
        <w:t xml:space="preserve">regulaciones, </w:t>
      </w:r>
      <w:r w:rsidRPr="004068F6">
        <w:rPr>
          <w:rFonts w:cs="Arial"/>
        </w:rPr>
        <w:t xml:space="preserve">procedimientos y herramientas técnicas y tecnológicas expedidas o aprobadas por Minambiente. Dentro de </w:t>
      </w:r>
      <w:r w:rsidR="00C94FD4" w:rsidRPr="004068F6">
        <w:rPr>
          <w:rFonts w:cs="Arial"/>
        </w:rPr>
        <w:t xml:space="preserve">este </w:t>
      </w:r>
      <w:r w:rsidR="008F13BE" w:rsidRPr="004068F6">
        <w:rPr>
          <w:rFonts w:cs="Arial"/>
        </w:rPr>
        <w:t>proceso</w:t>
      </w:r>
      <w:r w:rsidRPr="004068F6">
        <w:rPr>
          <w:rFonts w:cs="Arial"/>
        </w:rPr>
        <w:t xml:space="preserve">, la Metodología General para la Elaboración y Presentación de Estudios Ambientales, en adelante MGEPEA, </w:t>
      </w:r>
      <w:r w:rsidR="008F13BE" w:rsidRPr="004068F6">
        <w:rPr>
          <w:rFonts w:cs="Arial"/>
        </w:rPr>
        <w:t xml:space="preserve">constituye </w:t>
      </w:r>
      <w:r w:rsidRPr="004068F6">
        <w:rPr>
          <w:rFonts w:cs="Arial"/>
        </w:rPr>
        <w:t xml:space="preserve">la herramienta </w:t>
      </w:r>
      <w:r w:rsidR="00F47D1C" w:rsidRPr="004068F6">
        <w:rPr>
          <w:rFonts w:cs="Arial"/>
        </w:rPr>
        <w:t xml:space="preserve">que soporta </w:t>
      </w:r>
      <w:r w:rsidRPr="004068F6">
        <w:rPr>
          <w:rFonts w:cs="Arial"/>
        </w:rPr>
        <w:t>la etapa de formulación de los estudios ambientales</w:t>
      </w:r>
      <w:r w:rsidR="008F13BE" w:rsidRPr="004068F6">
        <w:rPr>
          <w:rFonts w:cs="Arial"/>
        </w:rPr>
        <w:t>.</w:t>
      </w:r>
    </w:p>
    <w:p w14:paraId="171EA9C1" w14:textId="77777777" w:rsidR="00AE36BE" w:rsidRPr="004068F6" w:rsidRDefault="00AE36BE" w:rsidP="00317B09">
      <w:pPr>
        <w:numPr>
          <w:ilvl w:val="12"/>
          <w:numId w:val="0"/>
        </w:numPr>
        <w:tabs>
          <w:tab w:val="left" w:pos="-2268"/>
        </w:tabs>
        <w:suppressAutoHyphens/>
        <w:rPr>
          <w:rFonts w:cs="Arial"/>
        </w:rPr>
      </w:pPr>
    </w:p>
    <w:p w14:paraId="12FE94CC" w14:textId="17D61053" w:rsidR="00317B09" w:rsidRPr="004068F6" w:rsidRDefault="00F47D1C" w:rsidP="00317B09">
      <w:pPr>
        <w:numPr>
          <w:ilvl w:val="12"/>
          <w:numId w:val="0"/>
        </w:numPr>
        <w:tabs>
          <w:tab w:val="left" w:pos="-2268"/>
        </w:tabs>
        <w:suppressAutoHyphens/>
        <w:rPr>
          <w:rFonts w:cs="Arial"/>
        </w:rPr>
      </w:pPr>
      <w:r w:rsidRPr="004068F6">
        <w:rPr>
          <w:rFonts w:cs="Arial"/>
        </w:rPr>
        <w:t xml:space="preserve">En este sentido la </w:t>
      </w:r>
      <w:r w:rsidR="00346935" w:rsidRPr="004068F6">
        <w:rPr>
          <w:rFonts w:cs="Arial"/>
        </w:rPr>
        <w:t>MGEPEA</w:t>
      </w:r>
      <w:r w:rsidR="00317B09" w:rsidRPr="004068F6">
        <w:rPr>
          <w:rFonts w:cs="Arial"/>
        </w:rPr>
        <w:t xml:space="preserve"> </w:t>
      </w:r>
      <w:r w:rsidR="009C04B0" w:rsidRPr="004068F6">
        <w:rPr>
          <w:rFonts w:cs="Arial"/>
        </w:rPr>
        <w:t xml:space="preserve">establece el </w:t>
      </w:r>
      <w:r w:rsidR="00317B09" w:rsidRPr="004068F6">
        <w:rPr>
          <w:rFonts w:cs="Arial"/>
        </w:rPr>
        <w:t xml:space="preserve">conjunto de </w:t>
      </w:r>
      <w:r w:rsidR="00947626" w:rsidRPr="004068F6">
        <w:rPr>
          <w:rFonts w:cs="Arial"/>
        </w:rPr>
        <w:t xml:space="preserve">orientaciones metodológicas </w:t>
      </w:r>
      <w:r w:rsidR="00317B09" w:rsidRPr="004068F6">
        <w:rPr>
          <w:rFonts w:cs="Arial"/>
        </w:rPr>
        <w:t xml:space="preserve">ordenadas y jerarquizadas que facilitan a quien está interesado en desarrollar un proyecto, obra o actividad sujeto de licenciamiento ambiental, el proceso </w:t>
      </w:r>
      <w:r w:rsidR="00947626" w:rsidRPr="004068F6">
        <w:rPr>
          <w:rFonts w:cs="Arial"/>
        </w:rPr>
        <w:t xml:space="preserve">de </w:t>
      </w:r>
      <w:r w:rsidR="00317B09" w:rsidRPr="004068F6">
        <w:rPr>
          <w:rFonts w:cs="Arial"/>
        </w:rPr>
        <w:t xml:space="preserve">elaboración y presentación de los estudios ambientales que exige la normativa colombiana; estas </w:t>
      </w:r>
      <w:r w:rsidR="00947626" w:rsidRPr="004068F6">
        <w:rPr>
          <w:rFonts w:cs="Arial"/>
        </w:rPr>
        <w:t>orientaciones</w:t>
      </w:r>
      <w:r w:rsidR="00317B09" w:rsidRPr="004068F6">
        <w:rPr>
          <w:rFonts w:cs="Arial"/>
        </w:rPr>
        <w:t xml:space="preserve">, </w:t>
      </w:r>
      <w:r w:rsidR="00947626" w:rsidRPr="004068F6">
        <w:rPr>
          <w:rFonts w:cs="Arial"/>
        </w:rPr>
        <w:t xml:space="preserve">aplicadas </w:t>
      </w:r>
      <w:r w:rsidR="00467CE5" w:rsidRPr="004068F6">
        <w:rPr>
          <w:rFonts w:cs="Arial"/>
        </w:rPr>
        <w:t>de acuerdo con</w:t>
      </w:r>
      <w:r w:rsidR="00947626" w:rsidRPr="004068F6">
        <w:rPr>
          <w:rFonts w:cs="Arial"/>
        </w:rPr>
        <w:t xml:space="preserve"> las particularidades de cada proyecto obra o actividad,</w:t>
      </w:r>
      <w:r w:rsidR="00317B09" w:rsidRPr="004068F6">
        <w:rPr>
          <w:rFonts w:cs="Arial"/>
        </w:rPr>
        <w:t xml:space="preserve"> se complementan con </w:t>
      </w:r>
      <w:r w:rsidR="002A3DA4" w:rsidRPr="004068F6">
        <w:rPr>
          <w:rFonts w:cs="Arial"/>
        </w:rPr>
        <w:t xml:space="preserve">lo establecido </w:t>
      </w:r>
      <w:r w:rsidR="00317B09" w:rsidRPr="004068F6">
        <w:rPr>
          <w:rFonts w:cs="Arial"/>
        </w:rPr>
        <w:t xml:space="preserve">en los términos </w:t>
      </w:r>
      <w:r w:rsidR="00317B09" w:rsidRPr="004068F6">
        <w:rPr>
          <w:rFonts w:cs="Arial"/>
        </w:rPr>
        <w:lastRenderedPageBreak/>
        <w:t>de referencia</w:t>
      </w:r>
      <w:r w:rsidR="00317B09" w:rsidRPr="004068F6">
        <w:rPr>
          <w:rFonts w:cs="Arial"/>
          <w:vertAlign w:val="superscript"/>
        </w:rPr>
        <w:footnoteReference w:id="2"/>
      </w:r>
      <w:r w:rsidR="00317B09" w:rsidRPr="004068F6">
        <w:rPr>
          <w:rFonts w:cs="Arial"/>
        </w:rPr>
        <w:t xml:space="preserve"> </w:t>
      </w:r>
      <w:r w:rsidR="00947626" w:rsidRPr="004068F6">
        <w:rPr>
          <w:rFonts w:cs="Arial"/>
        </w:rPr>
        <w:t xml:space="preserve">para </w:t>
      </w:r>
      <w:r w:rsidR="00317B09" w:rsidRPr="004068F6">
        <w:rPr>
          <w:rFonts w:cs="Arial"/>
        </w:rPr>
        <w:t>asegura</w:t>
      </w:r>
      <w:r w:rsidR="00947626" w:rsidRPr="004068F6">
        <w:rPr>
          <w:rFonts w:cs="Arial"/>
        </w:rPr>
        <w:t>r</w:t>
      </w:r>
      <w:r w:rsidR="00317B09" w:rsidRPr="004068F6">
        <w:rPr>
          <w:rFonts w:cs="Arial"/>
        </w:rPr>
        <w:t xml:space="preserve"> que los estudios ambientales contengan la información suficiente y necesaria que las autoridades ambientales </w:t>
      </w:r>
      <w:r w:rsidR="00947626" w:rsidRPr="004068F6">
        <w:rPr>
          <w:rFonts w:cs="Arial"/>
        </w:rPr>
        <w:t xml:space="preserve">requieren para tomar </w:t>
      </w:r>
      <w:r w:rsidR="00317B09" w:rsidRPr="004068F6">
        <w:rPr>
          <w:rFonts w:cs="Arial"/>
        </w:rPr>
        <w:t>decisiones frente al desarrollo de los proyectos</w:t>
      </w:r>
      <w:r w:rsidR="00947626" w:rsidRPr="004068F6">
        <w:rPr>
          <w:rFonts w:cs="Arial"/>
        </w:rPr>
        <w:t>, basadas en evidencia y</w:t>
      </w:r>
      <w:r w:rsidR="00317B09" w:rsidRPr="004068F6">
        <w:rPr>
          <w:rFonts w:cs="Arial"/>
        </w:rPr>
        <w:t xml:space="preserve"> con total transparencia, eficiencia y objetividad.</w:t>
      </w:r>
    </w:p>
    <w:p w14:paraId="59C0964C" w14:textId="77777777" w:rsidR="00C015B6" w:rsidRPr="004068F6" w:rsidRDefault="00C015B6" w:rsidP="00317B09">
      <w:pPr>
        <w:numPr>
          <w:ilvl w:val="12"/>
          <w:numId w:val="0"/>
        </w:numPr>
        <w:tabs>
          <w:tab w:val="left" w:pos="-2268"/>
        </w:tabs>
        <w:suppressAutoHyphens/>
        <w:rPr>
          <w:rFonts w:cs="Arial"/>
        </w:rPr>
      </w:pPr>
    </w:p>
    <w:p w14:paraId="0A189D74" w14:textId="7FBA5DB5" w:rsidR="00C015B6" w:rsidRPr="004068F6" w:rsidRDefault="00E71AEB" w:rsidP="00317B09">
      <w:pPr>
        <w:numPr>
          <w:ilvl w:val="12"/>
          <w:numId w:val="0"/>
        </w:numPr>
        <w:tabs>
          <w:tab w:val="left" w:pos="-2268"/>
        </w:tabs>
        <w:suppressAutoHyphens/>
        <w:rPr>
          <w:rFonts w:cs="Arial"/>
        </w:rPr>
      </w:pPr>
      <w:r w:rsidRPr="00127BD4">
        <w:rPr>
          <w:rFonts w:cs="Arial"/>
        </w:rPr>
        <w:t>Así</w:t>
      </w:r>
      <w:r w:rsidR="00E5731E" w:rsidRPr="00127BD4">
        <w:rPr>
          <w:rFonts w:cs="Arial"/>
        </w:rPr>
        <w:t>,</w:t>
      </w:r>
      <w:r w:rsidR="00284A08" w:rsidRPr="004068F6">
        <w:rPr>
          <w:rFonts w:cs="Arial"/>
        </w:rPr>
        <w:t xml:space="preserve"> </w:t>
      </w:r>
      <w:r w:rsidR="008F7124" w:rsidRPr="004068F6">
        <w:rPr>
          <w:rFonts w:cs="Arial"/>
        </w:rPr>
        <w:t xml:space="preserve">se ha previsto que </w:t>
      </w:r>
      <w:r w:rsidR="00284A08" w:rsidRPr="004068F6">
        <w:rPr>
          <w:rFonts w:cs="Arial"/>
        </w:rPr>
        <w:t xml:space="preserve">en los </w:t>
      </w:r>
      <w:r w:rsidR="008F7124" w:rsidRPr="004068F6">
        <w:rPr>
          <w:rFonts w:cs="Arial"/>
        </w:rPr>
        <w:t xml:space="preserve">términos de referencia </w:t>
      </w:r>
      <w:r w:rsidR="00284A08" w:rsidRPr="004068F6">
        <w:rPr>
          <w:rFonts w:cs="Arial"/>
        </w:rPr>
        <w:t>se estable</w:t>
      </w:r>
      <w:r w:rsidR="008F7124" w:rsidRPr="004068F6">
        <w:rPr>
          <w:rFonts w:cs="Arial"/>
        </w:rPr>
        <w:t xml:space="preserve">zca qué información requiere la autoridad ambiental para tomar decisiones sobre determinado tipo de proyecto, obra o actividad </w:t>
      </w:r>
      <w:r w:rsidR="00A77EDA" w:rsidRPr="00127BD4">
        <w:rPr>
          <w:rFonts w:cs="Arial"/>
        </w:rPr>
        <w:t xml:space="preserve">o sus alternativas </w:t>
      </w:r>
      <w:r w:rsidR="00284A08" w:rsidRPr="004068F6">
        <w:rPr>
          <w:rFonts w:cs="Arial"/>
        </w:rPr>
        <w:t xml:space="preserve">y </w:t>
      </w:r>
      <w:r w:rsidR="00E5731E" w:rsidRPr="00127BD4">
        <w:rPr>
          <w:rFonts w:cs="Arial"/>
        </w:rPr>
        <w:t xml:space="preserve">que </w:t>
      </w:r>
      <w:r w:rsidR="00284A08" w:rsidRPr="004068F6">
        <w:rPr>
          <w:rFonts w:cs="Arial"/>
        </w:rPr>
        <w:t xml:space="preserve">en la MGEPEA </w:t>
      </w:r>
      <w:r w:rsidR="00CF16F9" w:rsidRPr="004068F6">
        <w:rPr>
          <w:rFonts w:cs="Arial"/>
        </w:rPr>
        <w:t xml:space="preserve">se defina </w:t>
      </w:r>
      <w:r w:rsidR="00284A08" w:rsidRPr="004068F6">
        <w:rPr>
          <w:rFonts w:cs="Arial"/>
        </w:rPr>
        <w:t>cómo</w:t>
      </w:r>
      <w:r w:rsidR="00CF16F9" w:rsidRPr="004068F6">
        <w:rPr>
          <w:rFonts w:cs="Arial"/>
        </w:rPr>
        <w:t xml:space="preserve"> obtener dicha información</w:t>
      </w:r>
      <w:r w:rsidR="00284A08" w:rsidRPr="004068F6">
        <w:rPr>
          <w:rFonts w:cs="Arial"/>
        </w:rPr>
        <w:t>.</w:t>
      </w:r>
      <w:r w:rsidR="005633F8" w:rsidRPr="00127BD4">
        <w:rPr>
          <w:rFonts w:cs="Arial"/>
        </w:rPr>
        <w:t xml:space="preserve"> </w:t>
      </w:r>
      <w:r w:rsidR="00701C53" w:rsidRPr="00127BD4">
        <w:rPr>
          <w:rFonts w:cs="Arial"/>
        </w:rPr>
        <w:t xml:space="preserve">Es importante </w:t>
      </w:r>
      <w:r w:rsidR="00E27073" w:rsidRPr="00127BD4">
        <w:rPr>
          <w:rFonts w:cs="Arial"/>
        </w:rPr>
        <w:t xml:space="preserve">tener presente que </w:t>
      </w:r>
      <w:r w:rsidR="00A92995" w:rsidRPr="004068F6">
        <w:rPr>
          <w:rFonts w:cs="Arial"/>
        </w:rPr>
        <w:t xml:space="preserve">sólo </w:t>
      </w:r>
      <w:r w:rsidR="00E81EB4" w:rsidRPr="00127BD4">
        <w:rPr>
          <w:rFonts w:cs="Arial"/>
        </w:rPr>
        <w:t xml:space="preserve">se deben </w:t>
      </w:r>
      <w:r w:rsidR="005E13A0" w:rsidRPr="00127BD4">
        <w:rPr>
          <w:rFonts w:cs="Arial"/>
        </w:rPr>
        <w:t xml:space="preserve">desarrollar </w:t>
      </w:r>
      <w:r w:rsidR="00E81EB4" w:rsidRPr="00127BD4">
        <w:rPr>
          <w:rFonts w:cs="Arial"/>
        </w:rPr>
        <w:t>las orient</w:t>
      </w:r>
      <w:r w:rsidR="00AE7918" w:rsidRPr="00127BD4">
        <w:rPr>
          <w:rFonts w:cs="Arial"/>
        </w:rPr>
        <w:t>a</w:t>
      </w:r>
      <w:r w:rsidR="00E81EB4" w:rsidRPr="00127BD4">
        <w:rPr>
          <w:rFonts w:cs="Arial"/>
        </w:rPr>
        <w:t xml:space="preserve">ciones </w:t>
      </w:r>
      <w:r w:rsidR="00AE7918" w:rsidRPr="00127BD4">
        <w:rPr>
          <w:rFonts w:cs="Arial"/>
        </w:rPr>
        <w:t xml:space="preserve">metodológicas </w:t>
      </w:r>
      <w:r w:rsidR="005E13A0" w:rsidRPr="00127BD4">
        <w:rPr>
          <w:rFonts w:cs="Arial"/>
        </w:rPr>
        <w:t xml:space="preserve">de la MGEPEA </w:t>
      </w:r>
      <w:r w:rsidR="00A92995" w:rsidRPr="004068F6">
        <w:rPr>
          <w:rFonts w:cs="Arial"/>
        </w:rPr>
        <w:t>que apliquen</w:t>
      </w:r>
      <w:r w:rsidR="00D73747" w:rsidRPr="00127BD4">
        <w:rPr>
          <w:rFonts w:cs="Arial"/>
        </w:rPr>
        <w:t>,</w:t>
      </w:r>
      <w:r w:rsidR="00AE7918" w:rsidRPr="00127BD4">
        <w:rPr>
          <w:rFonts w:cs="Arial"/>
        </w:rPr>
        <w:t xml:space="preserve"> es decir, </w:t>
      </w:r>
      <w:r w:rsidR="00B32257" w:rsidRPr="004068F6">
        <w:rPr>
          <w:rFonts w:cs="Arial"/>
        </w:rPr>
        <w:t xml:space="preserve">sólo se deben abordar </w:t>
      </w:r>
      <w:r w:rsidR="00BE4EDB" w:rsidRPr="00127BD4">
        <w:rPr>
          <w:rFonts w:cs="Arial"/>
        </w:rPr>
        <w:t xml:space="preserve">aquellos </w:t>
      </w:r>
      <w:r w:rsidR="000E45ED" w:rsidRPr="00127BD4">
        <w:rPr>
          <w:rFonts w:cs="Arial"/>
        </w:rPr>
        <w:t xml:space="preserve">lineamientos </w:t>
      </w:r>
      <w:r w:rsidR="00C504B1" w:rsidRPr="004068F6">
        <w:rPr>
          <w:rFonts w:cs="Arial"/>
        </w:rPr>
        <w:t xml:space="preserve">que permitan determinar diferencias entre alternativas y </w:t>
      </w:r>
      <w:r w:rsidR="0067524F" w:rsidRPr="00127BD4">
        <w:rPr>
          <w:rFonts w:cs="Arial"/>
        </w:rPr>
        <w:t>hacer una selección de éstas</w:t>
      </w:r>
      <w:r w:rsidR="00D12992" w:rsidRPr="004068F6">
        <w:rPr>
          <w:rFonts w:cs="Arial"/>
        </w:rPr>
        <w:t xml:space="preserve"> o bien, </w:t>
      </w:r>
      <w:r w:rsidR="0067524F" w:rsidRPr="00127BD4">
        <w:rPr>
          <w:rFonts w:cs="Arial"/>
        </w:rPr>
        <w:t xml:space="preserve">determinar </w:t>
      </w:r>
      <w:r w:rsidR="001C4453" w:rsidRPr="00127BD4">
        <w:rPr>
          <w:rFonts w:cs="Arial"/>
        </w:rPr>
        <w:t xml:space="preserve">la </w:t>
      </w:r>
      <w:r w:rsidR="00C504B1" w:rsidRPr="004068F6">
        <w:rPr>
          <w:rFonts w:cs="Arial"/>
        </w:rPr>
        <w:t xml:space="preserve">viabilidad ambiental de </w:t>
      </w:r>
      <w:r w:rsidR="0067524F" w:rsidRPr="00127BD4">
        <w:rPr>
          <w:rFonts w:cs="Arial"/>
        </w:rPr>
        <w:t xml:space="preserve">los </w:t>
      </w:r>
      <w:r w:rsidR="00C504B1" w:rsidRPr="004068F6">
        <w:rPr>
          <w:rFonts w:cs="Arial"/>
        </w:rPr>
        <w:t>proyectos</w:t>
      </w:r>
      <w:r w:rsidR="00423B8F" w:rsidRPr="00127BD4">
        <w:rPr>
          <w:rFonts w:cs="Arial"/>
        </w:rPr>
        <w:t>, obras o actividades a partir de los impactos que se generarían con su ejecución</w:t>
      </w:r>
      <w:r w:rsidR="00421BF9" w:rsidRPr="004068F6">
        <w:rPr>
          <w:rFonts w:cs="Arial"/>
        </w:rPr>
        <w:t>.</w:t>
      </w:r>
    </w:p>
    <w:p w14:paraId="4B9F01A4" w14:textId="77777777" w:rsidR="00317B09" w:rsidRPr="004068F6" w:rsidRDefault="00317B09" w:rsidP="00317B09">
      <w:pPr>
        <w:numPr>
          <w:ilvl w:val="12"/>
          <w:numId w:val="0"/>
        </w:numPr>
        <w:tabs>
          <w:tab w:val="left" w:pos="-2268"/>
        </w:tabs>
        <w:suppressAutoHyphens/>
        <w:rPr>
          <w:rFonts w:cs="Arial"/>
        </w:rPr>
      </w:pPr>
    </w:p>
    <w:p w14:paraId="4A6D4C61" w14:textId="27B05089" w:rsidR="00C34711" w:rsidRPr="004068F6" w:rsidRDefault="00C34711" w:rsidP="00317B09">
      <w:pPr>
        <w:numPr>
          <w:ilvl w:val="12"/>
          <w:numId w:val="0"/>
        </w:numPr>
        <w:tabs>
          <w:tab w:val="left" w:pos="-2268"/>
        </w:tabs>
        <w:suppressAutoHyphens/>
        <w:rPr>
          <w:rFonts w:cs="Arial"/>
        </w:rPr>
      </w:pPr>
      <w:r w:rsidRPr="004068F6">
        <w:rPr>
          <w:rFonts w:cs="Arial"/>
        </w:rPr>
        <w:t xml:space="preserve">De acuerdo con el artículo 2.2.2.3.3.2. del Decreto 1076 de 2015, los estudios ambientales deben ser presentados de conformidad con la MGEPEA, la cual </w:t>
      </w:r>
      <w:r w:rsidR="00AB705B" w:rsidRPr="004068F6">
        <w:rPr>
          <w:rFonts w:cs="Arial"/>
        </w:rPr>
        <w:t xml:space="preserve">constituye una herramienta </w:t>
      </w:r>
      <w:r w:rsidRPr="004068F6">
        <w:rPr>
          <w:rFonts w:cs="Arial"/>
        </w:rPr>
        <w:t>de obligatorio cumplimiento, tanto para aquellos estudios ambientales que soportan solicitudes de licencia de competencia de la Autoridad Nacional de Licencias Ambientales (ANLA), como para aquellos que soportan solicitudes de competencia de las demás autoridades ambientales. Cada autoridad ambiental debe tener pleno conocimiento del contenido de la MGEPEA en la medida que ésta establece una parte importante de las directrices que se imparten a los usuarios (complementarias de las definidas en los términos de referencia), para la elaboración de los estudios ambientales que ellas deben evaluar.</w:t>
      </w:r>
    </w:p>
    <w:p w14:paraId="5C8432B3" w14:textId="77777777" w:rsidR="00C34711" w:rsidRPr="004068F6" w:rsidRDefault="00C34711" w:rsidP="00317B09">
      <w:pPr>
        <w:numPr>
          <w:ilvl w:val="12"/>
          <w:numId w:val="0"/>
        </w:numPr>
        <w:tabs>
          <w:tab w:val="left" w:pos="-2268"/>
        </w:tabs>
        <w:suppressAutoHyphens/>
        <w:rPr>
          <w:rFonts w:cs="Arial"/>
        </w:rPr>
      </w:pPr>
    </w:p>
    <w:p w14:paraId="2E0EDEE0" w14:textId="62909241" w:rsidR="00317B09" w:rsidRPr="004068F6" w:rsidRDefault="00317B09" w:rsidP="00317B09">
      <w:pPr>
        <w:numPr>
          <w:ilvl w:val="12"/>
          <w:numId w:val="0"/>
        </w:numPr>
        <w:tabs>
          <w:tab w:val="left" w:pos="-2268"/>
        </w:tabs>
        <w:suppressAutoHyphens/>
        <w:rPr>
          <w:rFonts w:cs="Arial"/>
        </w:rPr>
      </w:pPr>
      <w:r w:rsidRPr="004068F6">
        <w:rPr>
          <w:rFonts w:cs="Arial"/>
        </w:rPr>
        <w:t>La forma en que se presentan los estudios ambientales no corresponde necesariamente al orden en el que se genera la información ni a la secuencia con la que se toman las decisiones, corresponde a un orden establecido para facilitar y agilizar las labores de evaluación; así, por ejemplo, puede que las características definitivas de</w:t>
      </w:r>
      <w:r w:rsidR="002D0006" w:rsidRPr="004068F6">
        <w:rPr>
          <w:rFonts w:cs="Arial"/>
        </w:rPr>
        <w:t xml:space="preserve"> un</w:t>
      </w:r>
      <w:r w:rsidRPr="004068F6">
        <w:rPr>
          <w:rFonts w:cs="Arial"/>
        </w:rPr>
        <w:t xml:space="preserve"> proyecto sólo se establezcan al concluir la evaluación de los impactos ambientales que generan las múltiples alternativas mediante las cuales es factible ejecutar</w:t>
      </w:r>
      <w:r w:rsidR="002D0006" w:rsidRPr="004068F6">
        <w:rPr>
          <w:rFonts w:cs="Arial"/>
        </w:rPr>
        <w:t>lo</w:t>
      </w:r>
      <w:r w:rsidRPr="004068F6">
        <w:rPr>
          <w:rFonts w:cs="Arial"/>
        </w:rPr>
        <w:t>, aunque los estudios ambientales soliciten describir el proyecto al comienzo de los documentos.</w:t>
      </w:r>
    </w:p>
    <w:p w14:paraId="0B88F93E" w14:textId="77777777" w:rsidR="00317B09" w:rsidRPr="004068F6" w:rsidRDefault="00317B09" w:rsidP="00317B09">
      <w:pPr>
        <w:numPr>
          <w:ilvl w:val="12"/>
          <w:numId w:val="0"/>
        </w:numPr>
        <w:tabs>
          <w:tab w:val="left" w:pos="-2268"/>
        </w:tabs>
        <w:suppressAutoHyphens/>
        <w:rPr>
          <w:rFonts w:cs="Arial"/>
        </w:rPr>
      </w:pPr>
    </w:p>
    <w:p w14:paraId="20CE660A" w14:textId="0A3CF26F" w:rsidR="00317B09" w:rsidRPr="004068F6" w:rsidRDefault="00317B09" w:rsidP="4A0B09C6">
      <w:pPr>
        <w:suppressAutoHyphens/>
        <w:rPr>
          <w:rFonts w:cs="Arial"/>
        </w:rPr>
      </w:pPr>
      <w:r w:rsidRPr="004068F6">
        <w:rPr>
          <w:rFonts w:cs="Arial"/>
        </w:rPr>
        <w:t xml:space="preserve">La información juega un papel fundamental en el proceso de licenciamiento ambiental </w:t>
      </w:r>
      <w:r w:rsidR="00C34711" w:rsidRPr="004068F6">
        <w:rPr>
          <w:rFonts w:cs="Arial"/>
        </w:rPr>
        <w:t xml:space="preserve">en la medida que </w:t>
      </w:r>
      <w:r w:rsidRPr="004068F6">
        <w:rPr>
          <w:rFonts w:cs="Arial"/>
        </w:rPr>
        <w:t xml:space="preserve">soporta la toma de decisiones, por lo tanto, constituye uno de los elementos centrales que se abordan en los estudios ambientales a los que se refiere </w:t>
      </w:r>
      <w:r w:rsidR="00C34711" w:rsidRPr="004068F6">
        <w:rPr>
          <w:rFonts w:cs="Arial"/>
        </w:rPr>
        <w:t>la MGEPEA</w:t>
      </w:r>
      <w:r w:rsidRPr="004068F6">
        <w:rPr>
          <w:rFonts w:cs="Arial"/>
        </w:rPr>
        <w:t xml:space="preserve">. Durante la elaboración de los estudios ambientales se debe generar, obtener, procesar, tabular, analizar y presentar la mejor información disponible, de tal forma que se tenga la mayor certeza posible respecto </w:t>
      </w:r>
      <w:r w:rsidR="00EA4DDB" w:rsidRPr="004068F6">
        <w:rPr>
          <w:rFonts w:cs="Arial"/>
        </w:rPr>
        <w:t>de</w:t>
      </w:r>
      <w:r w:rsidRPr="004068F6">
        <w:rPr>
          <w:rFonts w:cs="Arial"/>
        </w:rPr>
        <w:t xml:space="preserve"> </w:t>
      </w:r>
      <w:r w:rsidR="00CB5942" w:rsidRPr="004068F6">
        <w:rPr>
          <w:rFonts w:cs="Arial"/>
        </w:rPr>
        <w:t xml:space="preserve">las diferencias entre las implicaciones ambientales de las alternativas, de </w:t>
      </w:r>
      <w:r w:rsidRPr="004068F6">
        <w:rPr>
          <w:rFonts w:cs="Arial"/>
        </w:rPr>
        <w:t>los impactos ambientales que la ejecución del proyecto</w:t>
      </w:r>
      <w:r w:rsidR="00F32AC0" w:rsidRPr="004068F6">
        <w:rPr>
          <w:rFonts w:cs="Arial"/>
        </w:rPr>
        <w:t>, obra o actividad</w:t>
      </w:r>
      <w:r w:rsidRPr="004068F6">
        <w:rPr>
          <w:rFonts w:cs="Arial"/>
        </w:rPr>
        <w:t xml:space="preserve"> puede generar, así como de </w:t>
      </w:r>
      <w:r w:rsidR="00CB5942" w:rsidRPr="004068F6">
        <w:rPr>
          <w:rFonts w:cs="Arial"/>
        </w:rPr>
        <w:t xml:space="preserve">rigurosidad de </w:t>
      </w:r>
      <w:r w:rsidR="4A0B09C6" w:rsidRPr="004068F6">
        <w:rPr>
          <w:rFonts w:cs="Arial"/>
        </w:rPr>
        <w:t>las</w:t>
      </w:r>
      <w:r w:rsidRPr="004068F6">
        <w:rPr>
          <w:rFonts w:cs="Arial"/>
        </w:rPr>
        <w:t xml:space="preserve"> medidas de manejo que se </w:t>
      </w:r>
      <w:r w:rsidR="00CB5942" w:rsidRPr="004068F6">
        <w:rPr>
          <w:rFonts w:cs="Arial"/>
        </w:rPr>
        <w:t xml:space="preserve">plantean </w:t>
      </w:r>
      <w:r w:rsidRPr="004068F6">
        <w:rPr>
          <w:rFonts w:cs="Arial"/>
        </w:rPr>
        <w:t xml:space="preserve">para su gestión, de tal forma que la autoridad ambiental competente minimice la posibilidad de otorgar licencia a un proyecto cuyos impactos </w:t>
      </w:r>
      <w:r w:rsidR="0009071D" w:rsidRPr="004068F6">
        <w:rPr>
          <w:rFonts w:cs="Arial"/>
        </w:rPr>
        <w:t>generen</w:t>
      </w:r>
      <w:r w:rsidRPr="004068F6">
        <w:rPr>
          <w:rFonts w:cs="Arial"/>
        </w:rPr>
        <w:t xml:space="preserve"> </w:t>
      </w:r>
      <w:r w:rsidR="0009071D" w:rsidRPr="004068F6">
        <w:rPr>
          <w:rFonts w:cs="Arial"/>
        </w:rPr>
        <w:t xml:space="preserve">dinámicas ambientales </w:t>
      </w:r>
      <w:r w:rsidRPr="004068F6">
        <w:rPr>
          <w:rFonts w:cs="Arial"/>
        </w:rPr>
        <w:t>insostenible</w:t>
      </w:r>
      <w:r w:rsidR="0009071D" w:rsidRPr="004068F6">
        <w:rPr>
          <w:rFonts w:cs="Arial"/>
        </w:rPr>
        <w:t>s</w:t>
      </w:r>
      <w:r w:rsidRPr="004068F6">
        <w:rPr>
          <w:rFonts w:cs="Arial"/>
        </w:rPr>
        <w:t xml:space="preserve"> o de negarla, a un proyecto </w:t>
      </w:r>
      <w:r w:rsidR="0009071D" w:rsidRPr="004068F6">
        <w:rPr>
          <w:rFonts w:cs="Arial"/>
        </w:rPr>
        <w:t xml:space="preserve">viable desde el punto de vista ambiental </w:t>
      </w:r>
      <w:r w:rsidRPr="004068F6">
        <w:rPr>
          <w:rFonts w:cs="Arial"/>
        </w:rPr>
        <w:t xml:space="preserve">cuyos impactos puedan ser </w:t>
      </w:r>
      <w:r w:rsidR="00E3573B" w:rsidRPr="004068F6">
        <w:rPr>
          <w:rFonts w:cs="Arial"/>
        </w:rPr>
        <w:t>prevenidos</w:t>
      </w:r>
      <w:r w:rsidRPr="004068F6">
        <w:rPr>
          <w:rFonts w:cs="Arial"/>
        </w:rPr>
        <w:t>, mitigados, corregidos y compensados de manera adecuada.</w:t>
      </w:r>
    </w:p>
    <w:p w14:paraId="292D4F0C" w14:textId="77777777" w:rsidR="00317B09" w:rsidRPr="004068F6" w:rsidRDefault="00317B09" w:rsidP="00317B09">
      <w:pPr>
        <w:numPr>
          <w:ilvl w:val="12"/>
          <w:numId w:val="0"/>
        </w:numPr>
        <w:tabs>
          <w:tab w:val="left" w:pos="-2268"/>
        </w:tabs>
        <w:suppressAutoHyphens/>
        <w:rPr>
          <w:rFonts w:cs="Arial"/>
        </w:rPr>
      </w:pPr>
    </w:p>
    <w:p w14:paraId="4A3E48CA" w14:textId="028C02E7" w:rsidR="00317B09" w:rsidRPr="004068F6" w:rsidRDefault="00317B09" w:rsidP="00317B09">
      <w:pPr>
        <w:numPr>
          <w:ilvl w:val="12"/>
          <w:numId w:val="0"/>
        </w:numPr>
        <w:tabs>
          <w:tab w:val="left" w:pos="-2268"/>
        </w:tabs>
        <w:suppressAutoHyphens/>
        <w:rPr>
          <w:rFonts w:cs="Arial"/>
        </w:rPr>
      </w:pPr>
      <w:r w:rsidRPr="004068F6">
        <w:rPr>
          <w:rFonts w:cs="Arial"/>
        </w:rPr>
        <w:t>El flujo oportuno de información en todas las etapas del proyecto y entre las diferentes instancias de toma de decisión permite, por una parte, alerta</w:t>
      </w:r>
      <w:r w:rsidR="0046760E" w:rsidRPr="004068F6">
        <w:rPr>
          <w:rFonts w:cs="Arial"/>
        </w:rPr>
        <w:t>r</w:t>
      </w:r>
      <w:r w:rsidRPr="004068F6">
        <w:rPr>
          <w:rFonts w:cs="Arial"/>
        </w:rPr>
        <w:t>, tomar decisiones oportunas</w:t>
      </w:r>
      <w:r w:rsidR="0046760E" w:rsidRPr="004068F6">
        <w:rPr>
          <w:rFonts w:cs="Arial"/>
        </w:rPr>
        <w:t xml:space="preserve"> </w:t>
      </w:r>
      <w:r w:rsidRPr="004068F6">
        <w:rPr>
          <w:rFonts w:cs="Arial"/>
        </w:rPr>
        <w:t xml:space="preserve">y mantener la gestión de los impactos ambientales </w:t>
      </w:r>
      <w:r w:rsidR="0098517F" w:rsidRPr="004068F6">
        <w:rPr>
          <w:rFonts w:cs="Arial"/>
        </w:rPr>
        <w:t xml:space="preserve">negativos </w:t>
      </w:r>
      <w:r w:rsidRPr="004068F6">
        <w:rPr>
          <w:rFonts w:cs="Arial"/>
        </w:rPr>
        <w:t xml:space="preserve">dentro del marco previsto en la licencia ambiental, previniendo la </w:t>
      </w:r>
      <w:r w:rsidR="00A106ED" w:rsidRPr="004068F6">
        <w:rPr>
          <w:rFonts w:cs="Arial"/>
        </w:rPr>
        <w:t xml:space="preserve">manifestación </w:t>
      </w:r>
      <w:r w:rsidRPr="004068F6">
        <w:rPr>
          <w:rFonts w:cs="Arial"/>
        </w:rPr>
        <w:t xml:space="preserve">de impactos </w:t>
      </w:r>
      <w:r w:rsidR="007533FD" w:rsidRPr="004068F6">
        <w:rPr>
          <w:rFonts w:cs="Arial"/>
        </w:rPr>
        <w:t xml:space="preserve">negativos </w:t>
      </w:r>
      <w:r w:rsidRPr="004068F6">
        <w:rPr>
          <w:rFonts w:cs="Arial"/>
        </w:rPr>
        <w:t xml:space="preserve">significativos adicionales a los inherentes a los proyectos, y por otra, evitar multas, suspensiones o la revocatoria de la licencia, propiciando que la ejecución del proyecto se realice de </w:t>
      </w:r>
      <w:r w:rsidR="00C34711" w:rsidRPr="004068F6">
        <w:rPr>
          <w:rFonts w:cs="Arial"/>
        </w:rPr>
        <w:t xml:space="preserve">forma </w:t>
      </w:r>
      <w:r w:rsidRPr="004068F6">
        <w:rPr>
          <w:rFonts w:cs="Arial"/>
        </w:rPr>
        <w:t>normal.</w:t>
      </w:r>
    </w:p>
    <w:p w14:paraId="527B4785" w14:textId="77777777" w:rsidR="00317B09" w:rsidRPr="004068F6" w:rsidRDefault="00317B09" w:rsidP="00317B09">
      <w:pPr>
        <w:numPr>
          <w:ilvl w:val="12"/>
          <w:numId w:val="0"/>
        </w:numPr>
        <w:tabs>
          <w:tab w:val="left" w:pos="-2268"/>
        </w:tabs>
        <w:suppressAutoHyphens/>
        <w:rPr>
          <w:rFonts w:cs="Arial"/>
        </w:rPr>
      </w:pPr>
    </w:p>
    <w:p w14:paraId="5E73A6DC" w14:textId="5F2D3B3A" w:rsidR="00317B09" w:rsidRPr="004068F6" w:rsidRDefault="00317B09" w:rsidP="00317B09">
      <w:pPr>
        <w:numPr>
          <w:ilvl w:val="12"/>
          <w:numId w:val="0"/>
        </w:numPr>
        <w:tabs>
          <w:tab w:val="left" w:pos="-2268"/>
        </w:tabs>
        <w:suppressAutoHyphens/>
        <w:rPr>
          <w:rFonts w:cs="Arial"/>
        </w:rPr>
      </w:pPr>
      <w:r w:rsidRPr="004068F6">
        <w:rPr>
          <w:rFonts w:cs="Arial"/>
        </w:rPr>
        <w:t xml:space="preserve">La disponibilidad y uso de información pertinente, de calidad y oportuna, son esenciales en todas las etapas de la planificación, ejecución, evaluación </w:t>
      </w:r>
      <w:r w:rsidR="0058796C" w:rsidRPr="004068F6">
        <w:rPr>
          <w:rFonts w:cs="Arial"/>
        </w:rPr>
        <w:t xml:space="preserve">y seguimiento </w:t>
      </w:r>
      <w:r w:rsidRPr="004068F6">
        <w:rPr>
          <w:rFonts w:cs="Arial"/>
        </w:rPr>
        <w:t xml:space="preserve">de proyectos, inclusive desde las instancias más tempranas de concepción y estructuración, viabilizando en tal momento la incorporación de consideraciones ambientales y de desarrollo sostenible para </w:t>
      </w:r>
      <w:r w:rsidR="00E644A1" w:rsidRPr="004068F6">
        <w:rPr>
          <w:rFonts w:cs="Arial"/>
        </w:rPr>
        <w:t>establecer</w:t>
      </w:r>
      <w:r w:rsidRPr="004068F6">
        <w:rPr>
          <w:rFonts w:cs="Arial"/>
        </w:rPr>
        <w:t xml:space="preserve"> y </w:t>
      </w:r>
      <w:r w:rsidR="00E644A1" w:rsidRPr="004068F6">
        <w:rPr>
          <w:rFonts w:cs="Arial"/>
        </w:rPr>
        <w:t xml:space="preserve">evaluar </w:t>
      </w:r>
      <w:r w:rsidRPr="004068F6">
        <w:rPr>
          <w:rFonts w:cs="Arial"/>
        </w:rPr>
        <w:t>alternativas de ubicación, trazado, ingeniería, tecnología</w:t>
      </w:r>
      <w:r w:rsidR="00AB705B" w:rsidRPr="004068F6">
        <w:rPr>
          <w:rFonts w:cs="Arial"/>
        </w:rPr>
        <w:t xml:space="preserve"> y</w:t>
      </w:r>
      <w:r w:rsidRPr="004068F6">
        <w:rPr>
          <w:rFonts w:cs="Arial"/>
        </w:rPr>
        <w:t xml:space="preserve"> diseño que orienten la decisión de seleccionar aquella alternativa o conjunto de alternativas que ofrezcan el mejor balance ambiental neto. Prescindir en instancias tempranas de proyectos o alternativas que no son ambientalmente responsables, contribuye a minimizar la pérdida de tiempo y de recursos económicos que se invierten en la estructuración de este tipo de proyectos. Por lo tanto, el proceso de licenciamiento ambiental, fundamentado en la mejor información disponible, </w:t>
      </w:r>
      <w:r w:rsidR="00A80D0D" w:rsidRPr="004068F6">
        <w:rPr>
          <w:rFonts w:cs="Arial"/>
        </w:rPr>
        <w:t xml:space="preserve">no sólo </w:t>
      </w:r>
      <w:r w:rsidR="00B07478" w:rsidRPr="004068F6">
        <w:rPr>
          <w:rFonts w:cs="Arial"/>
        </w:rPr>
        <w:t xml:space="preserve">permite </w:t>
      </w:r>
      <w:r w:rsidR="00375276" w:rsidRPr="004068F6">
        <w:rPr>
          <w:rFonts w:cs="Arial"/>
        </w:rPr>
        <w:t xml:space="preserve">ejecutar </w:t>
      </w:r>
      <w:r w:rsidR="00FB1C3A" w:rsidRPr="004068F6">
        <w:rPr>
          <w:rFonts w:cs="Arial"/>
        </w:rPr>
        <w:t xml:space="preserve">proyectos </w:t>
      </w:r>
      <w:r w:rsidR="00375276" w:rsidRPr="004068F6">
        <w:rPr>
          <w:rFonts w:cs="Arial"/>
        </w:rPr>
        <w:t xml:space="preserve">ambientalmente responsables e implementar </w:t>
      </w:r>
      <w:r w:rsidR="00A80D0D" w:rsidRPr="004068F6">
        <w:rPr>
          <w:rFonts w:cs="Arial"/>
        </w:rPr>
        <w:t>buenas y mejores prácticas ambientales</w:t>
      </w:r>
      <w:r w:rsidR="00E171E8" w:rsidRPr="004068F6">
        <w:rPr>
          <w:rFonts w:cs="Arial"/>
        </w:rPr>
        <w:t xml:space="preserve">, sino también, constituye </w:t>
      </w:r>
      <w:r w:rsidRPr="004068F6">
        <w:rPr>
          <w:rFonts w:cs="Arial"/>
        </w:rPr>
        <w:t xml:space="preserve">una herramienta para asegurar buenas inversiones y la productividad de </w:t>
      </w:r>
      <w:r w:rsidR="008740E1" w:rsidRPr="004068F6">
        <w:rPr>
          <w:rFonts w:cs="Arial"/>
        </w:rPr>
        <w:t>éstas</w:t>
      </w:r>
      <w:r w:rsidRPr="004068F6">
        <w:rPr>
          <w:rFonts w:cs="Arial"/>
        </w:rPr>
        <w:t>.</w:t>
      </w:r>
    </w:p>
    <w:p w14:paraId="15D53531" w14:textId="77777777" w:rsidR="00317B09" w:rsidRPr="004068F6" w:rsidRDefault="00317B09" w:rsidP="00317B09">
      <w:pPr>
        <w:numPr>
          <w:ilvl w:val="12"/>
          <w:numId w:val="0"/>
        </w:numPr>
        <w:tabs>
          <w:tab w:val="left" w:pos="-2268"/>
        </w:tabs>
        <w:suppressAutoHyphens/>
        <w:rPr>
          <w:rFonts w:cs="Arial"/>
        </w:rPr>
      </w:pPr>
    </w:p>
    <w:p w14:paraId="2F666887" w14:textId="39C2CE2A" w:rsidR="00317B09" w:rsidRPr="004068F6" w:rsidRDefault="00317B09" w:rsidP="00317B09">
      <w:pPr>
        <w:numPr>
          <w:ilvl w:val="12"/>
          <w:numId w:val="0"/>
        </w:numPr>
        <w:tabs>
          <w:tab w:val="left" w:pos="-2268"/>
        </w:tabs>
        <w:suppressAutoHyphens/>
        <w:rPr>
          <w:rFonts w:cs="Arial"/>
        </w:rPr>
      </w:pPr>
      <w:r w:rsidRPr="004068F6">
        <w:rPr>
          <w:rFonts w:cs="Arial"/>
        </w:rPr>
        <w:t xml:space="preserve">De acuerdo </w:t>
      </w:r>
      <w:r w:rsidR="0058796C" w:rsidRPr="004068F6">
        <w:rPr>
          <w:rFonts w:cs="Arial"/>
        </w:rPr>
        <w:t>con</w:t>
      </w:r>
      <w:r w:rsidRPr="004068F6">
        <w:rPr>
          <w:rFonts w:cs="Arial"/>
        </w:rPr>
        <w:t xml:space="preserve"> lo previsto en la </w:t>
      </w:r>
      <w:r w:rsidR="00610318">
        <w:rPr>
          <w:rFonts w:cs="Arial"/>
        </w:rPr>
        <w:t>L</w:t>
      </w:r>
      <w:r w:rsidRPr="004068F6">
        <w:rPr>
          <w:rFonts w:cs="Arial"/>
        </w:rPr>
        <w:t>ey</w:t>
      </w:r>
      <w:r w:rsidR="001E5B48" w:rsidRPr="004068F6">
        <w:rPr>
          <w:rFonts w:cs="Arial"/>
        </w:rPr>
        <w:t xml:space="preserve"> </w:t>
      </w:r>
      <w:r w:rsidR="00610318">
        <w:rPr>
          <w:rFonts w:cs="Arial"/>
        </w:rPr>
        <w:t xml:space="preserve">ambiental </w:t>
      </w:r>
      <w:r w:rsidR="001E5B48" w:rsidRPr="004068F6">
        <w:rPr>
          <w:rFonts w:cs="Arial"/>
        </w:rPr>
        <w:t>y sus reglamentos</w:t>
      </w:r>
      <w:r w:rsidRPr="004068F6">
        <w:rPr>
          <w:rFonts w:cs="Arial"/>
        </w:rPr>
        <w:t xml:space="preserve">, las competencias para evaluar los estudios ambientales y </w:t>
      </w:r>
      <w:r w:rsidR="0058796C" w:rsidRPr="004068F6">
        <w:rPr>
          <w:rFonts w:cs="Arial"/>
        </w:rPr>
        <w:t xml:space="preserve">para </w:t>
      </w:r>
      <w:r w:rsidR="008A522A" w:rsidRPr="004068F6">
        <w:rPr>
          <w:rFonts w:cs="Arial"/>
        </w:rPr>
        <w:t>otorgar</w:t>
      </w:r>
      <w:r w:rsidR="0058796C" w:rsidRPr="004068F6">
        <w:rPr>
          <w:rFonts w:cs="Arial"/>
        </w:rPr>
        <w:t>,</w:t>
      </w:r>
      <w:r w:rsidRPr="004068F6">
        <w:rPr>
          <w:rFonts w:cs="Arial"/>
        </w:rPr>
        <w:t xml:space="preserve"> negar</w:t>
      </w:r>
      <w:r w:rsidR="00645126" w:rsidRPr="004068F6">
        <w:rPr>
          <w:rFonts w:cs="Arial"/>
        </w:rPr>
        <w:t xml:space="preserve"> y </w:t>
      </w:r>
      <w:r w:rsidR="0058796C" w:rsidRPr="004068F6">
        <w:rPr>
          <w:rFonts w:cs="Arial"/>
        </w:rPr>
        <w:t xml:space="preserve">realizar todas las </w:t>
      </w:r>
      <w:r w:rsidR="0058796C" w:rsidRPr="004068F6">
        <w:rPr>
          <w:rFonts w:cs="Arial"/>
        </w:rPr>
        <w:lastRenderedPageBreak/>
        <w:t xml:space="preserve">actuaciones administrativas en el proceso de </w:t>
      </w:r>
      <w:r w:rsidRPr="004068F6">
        <w:rPr>
          <w:rFonts w:cs="Arial"/>
        </w:rPr>
        <w:t>licencia</w:t>
      </w:r>
      <w:r w:rsidR="0058796C" w:rsidRPr="004068F6">
        <w:rPr>
          <w:rFonts w:cs="Arial"/>
        </w:rPr>
        <w:t>miento</w:t>
      </w:r>
      <w:r w:rsidRPr="004068F6">
        <w:rPr>
          <w:rFonts w:cs="Arial"/>
        </w:rPr>
        <w:t xml:space="preserve"> ambiental, están </w:t>
      </w:r>
      <w:r w:rsidR="00645126" w:rsidRPr="004068F6">
        <w:rPr>
          <w:rFonts w:cs="Arial"/>
        </w:rPr>
        <w:t xml:space="preserve">definidas de conformidad con las características de cada proyecto, obra o actividad y asignadas a </w:t>
      </w:r>
      <w:r w:rsidR="0017199D" w:rsidRPr="004068F6">
        <w:rPr>
          <w:rFonts w:cs="Arial"/>
        </w:rPr>
        <w:t>la A</w:t>
      </w:r>
      <w:r w:rsidR="00C34711" w:rsidRPr="004068F6">
        <w:rPr>
          <w:rFonts w:cs="Arial"/>
        </w:rPr>
        <w:t>NLA</w:t>
      </w:r>
      <w:r w:rsidR="0017199D" w:rsidRPr="004068F6">
        <w:rPr>
          <w:rFonts w:cs="Arial"/>
        </w:rPr>
        <w:t xml:space="preserve">, </w:t>
      </w:r>
      <w:r w:rsidRPr="004068F6">
        <w:rPr>
          <w:rFonts w:cs="Arial"/>
        </w:rPr>
        <w:t xml:space="preserve">las </w:t>
      </w:r>
      <w:r w:rsidR="00C002D8" w:rsidRPr="004068F6">
        <w:rPr>
          <w:rFonts w:cs="Arial"/>
        </w:rPr>
        <w:t>c</w:t>
      </w:r>
      <w:r w:rsidRPr="004068F6">
        <w:rPr>
          <w:rFonts w:cs="Arial"/>
        </w:rPr>
        <w:t xml:space="preserve">orporaciones </w:t>
      </w:r>
      <w:r w:rsidR="00C002D8" w:rsidRPr="004068F6">
        <w:rPr>
          <w:rFonts w:cs="Arial"/>
        </w:rPr>
        <w:t>a</w:t>
      </w:r>
      <w:r w:rsidRPr="004068F6">
        <w:rPr>
          <w:rFonts w:cs="Arial"/>
        </w:rPr>
        <w:t xml:space="preserve">utónomas </w:t>
      </w:r>
      <w:r w:rsidR="00C002D8" w:rsidRPr="004068F6">
        <w:rPr>
          <w:rFonts w:cs="Arial"/>
        </w:rPr>
        <w:t>r</w:t>
      </w:r>
      <w:r w:rsidRPr="004068F6">
        <w:rPr>
          <w:rFonts w:cs="Arial"/>
        </w:rPr>
        <w:t xml:space="preserve">egionales y las de </w:t>
      </w:r>
      <w:r w:rsidR="00C002D8" w:rsidRPr="004068F6">
        <w:rPr>
          <w:rFonts w:cs="Arial"/>
        </w:rPr>
        <w:t>d</w:t>
      </w:r>
      <w:r w:rsidRPr="004068F6">
        <w:rPr>
          <w:rFonts w:cs="Arial"/>
        </w:rPr>
        <w:t xml:space="preserve">esarrollo </w:t>
      </w:r>
      <w:r w:rsidR="00C002D8" w:rsidRPr="004068F6">
        <w:rPr>
          <w:rFonts w:cs="Arial"/>
        </w:rPr>
        <w:t>s</w:t>
      </w:r>
      <w:r w:rsidRPr="004068F6">
        <w:rPr>
          <w:rFonts w:cs="Arial"/>
        </w:rPr>
        <w:t>ostenible, los municipios, distritos y áreas metropolitanas cuya población sea superior a un millón de habitantes</w:t>
      </w:r>
      <w:r w:rsidR="00083D6C" w:rsidRPr="004068F6">
        <w:rPr>
          <w:rFonts w:cs="Arial"/>
        </w:rPr>
        <w:t xml:space="preserve"> dentro de su perímetro urbano y las autoridades ambientales creadas mediante</w:t>
      </w:r>
      <w:r w:rsidR="008A522A" w:rsidRPr="004068F6">
        <w:rPr>
          <w:rFonts w:cs="Arial"/>
        </w:rPr>
        <w:t xml:space="preserve"> la Ley 768 de 2002</w:t>
      </w:r>
      <w:r w:rsidR="00645126" w:rsidRPr="004068F6">
        <w:rPr>
          <w:rFonts w:cs="Arial"/>
        </w:rPr>
        <w:t>, según corresponda</w:t>
      </w:r>
      <w:r w:rsidRPr="004068F6">
        <w:rPr>
          <w:rFonts w:cs="Arial"/>
        </w:rPr>
        <w:t>.</w:t>
      </w:r>
    </w:p>
    <w:p w14:paraId="06C4C0B6" w14:textId="77777777" w:rsidR="00317B09" w:rsidRPr="004068F6" w:rsidRDefault="00317B09" w:rsidP="00317B09">
      <w:pPr>
        <w:numPr>
          <w:ilvl w:val="12"/>
          <w:numId w:val="0"/>
        </w:numPr>
        <w:tabs>
          <w:tab w:val="left" w:pos="-2268"/>
        </w:tabs>
        <w:suppressAutoHyphens/>
        <w:rPr>
          <w:rFonts w:cs="Arial"/>
        </w:rPr>
      </w:pPr>
    </w:p>
    <w:p w14:paraId="4521CC66" w14:textId="65461508" w:rsidR="00317B09" w:rsidRPr="004068F6" w:rsidRDefault="00317B09" w:rsidP="00317B09">
      <w:pPr>
        <w:numPr>
          <w:ilvl w:val="12"/>
          <w:numId w:val="0"/>
        </w:numPr>
        <w:tabs>
          <w:tab w:val="left" w:pos="-2268"/>
        </w:tabs>
        <w:suppressAutoHyphens/>
        <w:rPr>
          <w:rFonts w:cs="Arial"/>
        </w:rPr>
      </w:pPr>
      <w:r w:rsidRPr="004068F6">
        <w:rPr>
          <w:rFonts w:cs="Arial"/>
        </w:rPr>
        <w:t xml:space="preserve">Otro aspecto de suma relevancia asociado al proceso de licenciamiento ambiental y resaltado en la </w:t>
      </w:r>
      <w:r w:rsidR="00C002D8" w:rsidRPr="004068F6">
        <w:rPr>
          <w:rFonts w:cs="Arial"/>
        </w:rPr>
        <w:t>MGEPEA</w:t>
      </w:r>
      <w:r w:rsidRPr="004068F6">
        <w:rPr>
          <w:rFonts w:cs="Arial"/>
        </w:rPr>
        <w:t xml:space="preserve"> como lineamiento para la elaboración de los estudios ambientales, es la necesidad de emprender</w:t>
      </w:r>
      <w:r w:rsidR="00083CD2">
        <w:rPr>
          <w:rFonts w:cs="Arial"/>
        </w:rPr>
        <w:t xml:space="preserve"> acciones</w:t>
      </w:r>
      <w:r w:rsidRPr="004068F6">
        <w:rPr>
          <w:rFonts w:cs="Arial"/>
        </w:rPr>
        <w:t xml:space="preserve">, durante las diferentes etapas de dicha elaboración, que garanticen </w:t>
      </w:r>
      <w:r w:rsidR="00270881" w:rsidRPr="004068F6">
        <w:rPr>
          <w:rFonts w:cs="Arial"/>
        </w:rPr>
        <w:t xml:space="preserve">una convocatoria amplia y suficiente y </w:t>
      </w:r>
      <w:r w:rsidR="00CE0492" w:rsidRPr="004068F6">
        <w:rPr>
          <w:rFonts w:cs="Arial"/>
        </w:rPr>
        <w:t xml:space="preserve">que </w:t>
      </w:r>
      <w:r w:rsidR="00270881" w:rsidRPr="004068F6">
        <w:rPr>
          <w:rFonts w:cs="Arial"/>
        </w:rPr>
        <w:t>motive</w:t>
      </w:r>
      <w:r w:rsidR="00F82620" w:rsidRPr="004068F6">
        <w:rPr>
          <w:rFonts w:cs="Arial"/>
        </w:rPr>
        <w:t>n</w:t>
      </w:r>
      <w:r w:rsidR="00270881" w:rsidRPr="004068F6">
        <w:rPr>
          <w:rFonts w:cs="Arial"/>
        </w:rPr>
        <w:t xml:space="preserve"> </w:t>
      </w:r>
      <w:r w:rsidRPr="004068F6">
        <w:rPr>
          <w:rFonts w:cs="Arial"/>
        </w:rPr>
        <w:t>la participación de las comunidades que se puedan ver afectadas por la ejecución de un proyecto, obra o actividad</w:t>
      </w:r>
      <w:r w:rsidR="001F6EC0" w:rsidRPr="004068F6">
        <w:rPr>
          <w:rFonts w:cs="Arial"/>
        </w:rPr>
        <w:t xml:space="preserve">. </w:t>
      </w:r>
      <w:r w:rsidR="005C7EFB" w:rsidRPr="004068F6">
        <w:rPr>
          <w:rFonts w:cs="Arial"/>
        </w:rPr>
        <w:t>Esta</w:t>
      </w:r>
      <w:r w:rsidRPr="004068F6">
        <w:rPr>
          <w:rFonts w:cs="Arial"/>
        </w:rPr>
        <w:t xml:space="preserve"> </w:t>
      </w:r>
      <w:r w:rsidR="007243DF" w:rsidRPr="004068F6">
        <w:rPr>
          <w:rFonts w:cs="Arial"/>
        </w:rPr>
        <w:t xml:space="preserve">orientación </w:t>
      </w:r>
      <w:r w:rsidR="005C7EFB" w:rsidRPr="004068F6">
        <w:rPr>
          <w:rFonts w:cs="Arial"/>
        </w:rPr>
        <w:t xml:space="preserve">busca el desarrollo de los mandatos de la Constitución </w:t>
      </w:r>
      <w:r w:rsidR="00C21ACA" w:rsidRPr="004068F6">
        <w:rPr>
          <w:rFonts w:cs="Arial"/>
        </w:rPr>
        <w:t>P</w:t>
      </w:r>
      <w:r w:rsidR="005C7EFB" w:rsidRPr="004068F6">
        <w:rPr>
          <w:rFonts w:cs="Arial"/>
        </w:rPr>
        <w:t>olítica, así como cumplir con el principio 10 de la Declaración de Río y lo establecido en otros tratados internacionales</w:t>
      </w:r>
      <w:r w:rsidR="005C7EFB" w:rsidRPr="004068F6">
        <w:rPr>
          <w:rStyle w:val="Refdenotaalpie"/>
          <w:rFonts w:cs="Arial"/>
          <w:lang w:val="es-CO"/>
        </w:rPr>
        <w:footnoteReference w:id="3"/>
      </w:r>
      <w:r w:rsidR="005C7EFB" w:rsidRPr="004068F6">
        <w:rPr>
          <w:rFonts w:cs="Arial"/>
        </w:rPr>
        <w:t xml:space="preserve"> e </w:t>
      </w:r>
      <w:r w:rsidRPr="004068F6">
        <w:rPr>
          <w:rFonts w:cs="Arial"/>
        </w:rPr>
        <w:t xml:space="preserve">implica </w:t>
      </w:r>
      <w:r w:rsidR="007243DF" w:rsidRPr="004068F6">
        <w:rPr>
          <w:rFonts w:cs="Arial"/>
        </w:rPr>
        <w:t>adoptar un enfoque diferencial que capte las particularidades de los grupos de interés</w:t>
      </w:r>
      <w:r w:rsidR="00567C3F" w:rsidRPr="004068F6">
        <w:rPr>
          <w:rFonts w:cs="Arial"/>
        </w:rPr>
        <w:t xml:space="preserve"> </w:t>
      </w:r>
      <w:r w:rsidR="007243DF" w:rsidRPr="004068F6">
        <w:rPr>
          <w:rFonts w:cs="Arial"/>
        </w:rPr>
        <w:t xml:space="preserve">y de acuerdo con ello, </w:t>
      </w:r>
      <w:r w:rsidRPr="004068F6">
        <w:rPr>
          <w:rFonts w:cs="Arial"/>
        </w:rPr>
        <w:t>pon</w:t>
      </w:r>
      <w:r w:rsidR="007243DF" w:rsidRPr="004068F6">
        <w:rPr>
          <w:rFonts w:cs="Arial"/>
        </w:rPr>
        <w:t xml:space="preserve">ga </w:t>
      </w:r>
      <w:r w:rsidRPr="004068F6">
        <w:rPr>
          <w:rFonts w:cs="Arial"/>
        </w:rPr>
        <w:t>a su disposición información pertinente, clara</w:t>
      </w:r>
      <w:r w:rsidR="001F6EC0" w:rsidRPr="004068F6">
        <w:rPr>
          <w:rFonts w:cs="Arial"/>
        </w:rPr>
        <w:t>,</w:t>
      </w:r>
      <w:r w:rsidRPr="004068F6">
        <w:rPr>
          <w:rFonts w:cs="Arial"/>
        </w:rPr>
        <w:t xml:space="preserve"> oportuna </w:t>
      </w:r>
      <w:r w:rsidR="001F6EC0" w:rsidRPr="004068F6">
        <w:rPr>
          <w:rFonts w:cs="Arial"/>
        </w:rPr>
        <w:t xml:space="preserve">y comprensible </w:t>
      </w:r>
      <w:r w:rsidRPr="004068F6">
        <w:rPr>
          <w:rFonts w:cs="Arial"/>
        </w:rPr>
        <w:t xml:space="preserve">sobre </w:t>
      </w:r>
      <w:r w:rsidR="005C7EFB" w:rsidRPr="004068F6">
        <w:rPr>
          <w:rFonts w:cs="Arial"/>
        </w:rPr>
        <w:t xml:space="preserve">las </w:t>
      </w:r>
      <w:r w:rsidRPr="004068F6">
        <w:rPr>
          <w:rFonts w:cs="Arial"/>
        </w:rPr>
        <w:t>características</w:t>
      </w:r>
      <w:r w:rsidR="005C7EFB" w:rsidRPr="004068F6">
        <w:rPr>
          <w:rFonts w:cs="Arial"/>
        </w:rPr>
        <w:t>,</w:t>
      </w:r>
      <w:r w:rsidRPr="004068F6">
        <w:rPr>
          <w:rFonts w:cs="Arial"/>
        </w:rPr>
        <w:t xml:space="preserve"> los beneficios </w:t>
      </w:r>
      <w:r w:rsidR="005C7EFB" w:rsidRPr="004068F6">
        <w:rPr>
          <w:rFonts w:cs="Arial"/>
        </w:rPr>
        <w:t>y los</w:t>
      </w:r>
      <w:r w:rsidRPr="004068F6">
        <w:rPr>
          <w:rFonts w:cs="Arial"/>
        </w:rPr>
        <w:t xml:space="preserve"> impactos que pueda generar </w:t>
      </w:r>
      <w:r w:rsidR="005C7EFB" w:rsidRPr="004068F6">
        <w:rPr>
          <w:rFonts w:cs="Arial"/>
        </w:rPr>
        <w:t>e</w:t>
      </w:r>
      <w:r w:rsidRPr="004068F6">
        <w:rPr>
          <w:rFonts w:cs="Arial"/>
        </w:rPr>
        <w:t xml:space="preserve">l proyecto, obra o actividad, </w:t>
      </w:r>
      <w:r w:rsidR="005C7EFB" w:rsidRPr="004068F6">
        <w:rPr>
          <w:rFonts w:cs="Arial"/>
        </w:rPr>
        <w:t xml:space="preserve">para </w:t>
      </w:r>
      <w:r w:rsidRPr="004068F6">
        <w:rPr>
          <w:rFonts w:cs="Arial"/>
        </w:rPr>
        <w:t xml:space="preserve">que </w:t>
      </w:r>
      <w:r w:rsidR="005C7EFB" w:rsidRPr="004068F6">
        <w:rPr>
          <w:rFonts w:cs="Arial"/>
        </w:rPr>
        <w:t xml:space="preserve">en efecto, </w:t>
      </w:r>
      <w:r w:rsidR="0093074D" w:rsidRPr="004068F6">
        <w:rPr>
          <w:rFonts w:cs="Arial"/>
        </w:rPr>
        <w:t xml:space="preserve">basados en la comprensión de esta información, </w:t>
      </w:r>
      <w:r w:rsidR="00AC61EA" w:rsidRPr="004068F6">
        <w:rPr>
          <w:rFonts w:cs="Arial"/>
        </w:rPr>
        <w:t xml:space="preserve">se </w:t>
      </w:r>
      <w:r w:rsidRPr="004068F6">
        <w:rPr>
          <w:rFonts w:cs="Arial"/>
        </w:rPr>
        <w:t>les permita contribuir a la toma de decisiones.</w:t>
      </w:r>
    </w:p>
    <w:p w14:paraId="3CAB4D6E" w14:textId="77777777" w:rsidR="00317B09" w:rsidRPr="004068F6" w:rsidRDefault="00317B09" w:rsidP="00317B09">
      <w:pPr>
        <w:numPr>
          <w:ilvl w:val="12"/>
          <w:numId w:val="0"/>
        </w:numPr>
        <w:tabs>
          <w:tab w:val="left" w:pos="-2268"/>
        </w:tabs>
        <w:suppressAutoHyphens/>
        <w:rPr>
          <w:rFonts w:cs="Arial"/>
        </w:rPr>
      </w:pPr>
    </w:p>
    <w:p w14:paraId="5B662F33" w14:textId="77777777" w:rsidR="00006DB8" w:rsidRDefault="000E7DC2" w:rsidP="00F27355">
      <w:pPr>
        <w:numPr>
          <w:ilvl w:val="12"/>
          <w:numId w:val="0"/>
        </w:numPr>
        <w:tabs>
          <w:tab w:val="left" w:pos="-2268"/>
        </w:tabs>
        <w:suppressAutoHyphens/>
        <w:rPr>
          <w:rFonts w:cs="Arial"/>
        </w:rPr>
      </w:pPr>
      <w:r w:rsidRPr="00127BD4">
        <w:rPr>
          <w:rFonts w:cs="Arial"/>
        </w:rPr>
        <w:t xml:space="preserve">En este mismo sentido, la </w:t>
      </w:r>
      <w:r w:rsidR="009E17F8" w:rsidRPr="00127BD4">
        <w:rPr>
          <w:rFonts w:cs="Arial"/>
        </w:rPr>
        <w:t xml:space="preserve">MGEPEA busca que durante la </w:t>
      </w:r>
      <w:r w:rsidRPr="00127BD4">
        <w:rPr>
          <w:rFonts w:cs="Arial"/>
        </w:rPr>
        <w:t xml:space="preserve">elaboración de los estudios ambientales </w:t>
      </w:r>
      <w:r w:rsidR="009E17F8" w:rsidRPr="00127BD4">
        <w:rPr>
          <w:rFonts w:cs="Arial"/>
        </w:rPr>
        <w:t xml:space="preserve">se </w:t>
      </w:r>
      <w:r w:rsidRPr="00127BD4">
        <w:rPr>
          <w:rFonts w:cs="Arial"/>
        </w:rPr>
        <w:t>recono</w:t>
      </w:r>
      <w:r w:rsidR="009E17F8" w:rsidRPr="00127BD4">
        <w:rPr>
          <w:rFonts w:cs="Arial"/>
        </w:rPr>
        <w:t>zca</w:t>
      </w:r>
      <w:r w:rsidRPr="00127BD4">
        <w:rPr>
          <w:rFonts w:cs="Arial"/>
        </w:rPr>
        <w:t xml:space="preserve"> que los impactos ambientales de los proyectos, obras o actividades pueden gener</w:t>
      </w:r>
      <w:r w:rsidR="000E5596" w:rsidRPr="00127BD4">
        <w:rPr>
          <w:rFonts w:cs="Arial"/>
        </w:rPr>
        <w:t>a</w:t>
      </w:r>
      <w:r w:rsidR="00C966F1" w:rsidRPr="00127BD4">
        <w:rPr>
          <w:rFonts w:cs="Arial"/>
        </w:rPr>
        <w:t>r</w:t>
      </w:r>
      <w:r w:rsidRPr="00127BD4">
        <w:rPr>
          <w:rFonts w:cs="Arial"/>
        </w:rPr>
        <w:t xml:space="preserve"> o exacerb</w:t>
      </w:r>
      <w:r w:rsidR="000E5596" w:rsidRPr="00127BD4">
        <w:rPr>
          <w:rFonts w:cs="Arial"/>
        </w:rPr>
        <w:t>a</w:t>
      </w:r>
      <w:r w:rsidR="00C966F1" w:rsidRPr="00127BD4">
        <w:rPr>
          <w:rFonts w:cs="Arial"/>
        </w:rPr>
        <w:t>r</w:t>
      </w:r>
      <w:r w:rsidRPr="00127BD4">
        <w:rPr>
          <w:rFonts w:cs="Arial"/>
        </w:rPr>
        <w:t xml:space="preserve"> conflictos socioambientales, intensifi</w:t>
      </w:r>
      <w:r w:rsidR="000E5596" w:rsidRPr="00127BD4">
        <w:rPr>
          <w:rFonts w:cs="Arial"/>
        </w:rPr>
        <w:t>ca</w:t>
      </w:r>
      <w:r w:rsidR="00C966F1" w:rsidRPr="00127BD4">
        <w:rPr>
          <w:rFonts w:cs="Arial"/>
        </w:rPr>
        <w:t>r</w:t>
      </w:r>
      <w:r w:rsidR="000E5596" w:rsidRPr="00127BD4">
        <w:rPr>
          <w:rFonts w:cs="Arial"/>
        </w:rPr>
        <w:t xml:space="preserve"> </w:t>
      </w:r>
      <w:r w:rsidRPr="00127BD4">
        <w:rPr>
          <w:rFonts w:cs="Arial"/>
        </w:rPr>
        <w:t>situaciones de injusticia ambiental</w:t>
      </w:r>
      <w:r w:rsidR="00E1320B">
        <w:rPr>
          <w:rStyle w:val="Refdenotaalpie"/>
          <w:rFonts w:cs="Arial"/>
        </w:rPr>
        <w:footnoteReference w:id="4"/>
      </w:r>
      <w:r w:rsidRPr="00127BD4">
        <w:rPr>
          <w:rFonts w:cs="Arial"/>
        </w:rPr>
        <w:t xml:space="preserve"> o propici</w:t>
      </w:r>
      <w:r w:rsidR="000E5596" w:rsidRPr="00127BD4">
        <w:rPr>
          <w:rFonts w:cs="Arial"/>
        </w:rPr>
        <w:t>a</w:t>
      </w:r>
      <w:r w:rsidR="00C966F1" w:rsidRPr="00127BD4">
        <w:rPr>
          <w:rFonts w:cs="Arial"/>
        </w:rPr>
        <w:t>r</w:t>
      </w:r>
      <w:r w:rsidRPr="00127BD4">
        <w:rPr>
          <w:rFonts w:cs="Arial"/>
        </w:rPr>
        <w:t xml:space="preserve"> escenarios de </w:t>
      </w:r>
      <w:r w:rsidR="00E9316D" w:rsidRPr="00127BD4">
        <w:rPr>
          <w:rFonts w:cs="Arial"/>
        </w:rPr>
        <w:t xml:space="preserve">riesgo o </w:t>
      </w:r>
      <w:r w:rsidRPr="00127BD4">
        <w:rPr>
          <w:rFonts w:cs="Arial"/>
        </w:rPr>
        <w:t>vulneración de derechos humanos</w:t>
      </w:r>
      <w:r w:rsidR="00F06B49">
        <w:rPr>
          <w:rFonts w:cs="Arial"/>
        </w:rPr>
        <w:t>.</w:t>
      </w:r>
    </w:p>
    <w:p w14:paraId="67712323" w14:textId="77777777" w:rsidR="00006DB8" w:rsidRDefault="00006DB8" w:rsidP="00F27355">
      <w:pPr>
        <w:numPr>
          <w:ilvl w:val="12"/>
          <w:numId w:val="0"/>
        </w:numPr>
        <w:tabs>
          <w:tab w:val="left" w:pos="-2268"/>
        </w:tabs>
        <w:suppressAutoHyphens/>
        <w:rPr>
          <w:rFonts w:cs="Arial"/>
        </w:rPr>
      </w:pPr>
    </w:p>
    <w:p w14:paraId="531199C8" w14:textId="73F4854C" w:rsidR="00D24125" w:rsidRPr="00127BD4" w:rsidRDefault="00F06B49" w:rsidP="00F27355">
      <w:pPr>
        <w:numPr>
          <w:ilvl w:val="12"/>
          <w:numId w:val="0"/>
        </w:numPr>
        <w:tabs>
          <w:tab w:val="left" w:pos="-2268"/>
        </w:tabs>
        <w:suppressAutoHyphens/>
        <w:rPr>
          <w:rFonts w:cs="Arial"/>
        </w:rPr>
      </w:pPr>
      <w:r>
        <w:rPr>
          <w:rFonts w:cs="Arial"/>
        </w:rPr>
        <w:t>P</w:t>
      </w:r>
      <w:r w:rsidR="00F27355" w:rsidRPr="00127BD4">
        <w:rPr>
          <w:rFonts w:cs="Arial"/>
        </w:rPr>
        <w:t xml:space="preserve">or este motivo, </w:t>
      </w:r>
      <w:r w:rsidR="00D142A4" w:rsidRPr="00127BD4">
        <w:rPr>
          <w:rFonts w:cs="Arial"/>
        </w:rPr>
        <w:t xml:space="preserve">es necesario que los estudios ambientales </w:t>
      </w:r>
      <w:r w:rsidR="006462DB" w:rsidRPr="00127BD4">
        <w:rPr>
          <w:rFonts w:cs="Arial"/>
        </w:rPr>
        <w:t xml:space="preserve">se formulen aplicando </w:t>
      </w:r>
      <w:bookmarkStart w:id="6" w:name="_Hlk160782203"/>
      <w:r w:rsidR="00C70883">
        <w:rPr>
          <w:rFonts w:cs="Arial"/>
        </w:rPr>
        <w:t xml:space="preserve">tanto </w:t>
      </w:r>
      <w:r w:rsidR="006462DB" w:rsidRPr="00127BD4">
        <w:rPr>
          <w:rFonts w:cs="Arial"/>
        </w:rPr>
        <w:t>el principio de debida diligencia en materia de derechos humanos</w:t>
      </w:r>
      <w:r w:rsidR="00C70883">
        <w:rPr>
          <w:rFonts w:cs="Arial"/>
        </w:rPr>
        <w:t xml:space="preserve">, como </w:t>
      </w:r>
      <w:r w:rsidR="00EA66FB">
        <w:rPr>
          <w:rFonts w:cs="Arial"/>
        </w:rPr>
        <w:t>e</w:t>
      </w:r>
      <w:r w:rsidR="002B56E9">
        <w:rPr>
          <w:rFonts w:cs="Arial"/>
        </w:rPr>
        <w:t xml:space="preserve">l deber </w:t>
      </w:r>
      <w:r w:rsidR="002B56E9" w:rsidRPr="00DF4B69">
        <w:rPr>
          <w:rFonts w:cs="Arial"/>
        </w:rPr>
        <w:t xml:space="preserve">de respeto a los derechos humanos </w:t>
      </w:r>
      <w:r w:rsidR="00C23ECA" w:rsidRPr="00DF4B69">
        <w:rPr>
          <w:rFonts w:cs="Arial"/>
        </w:rPr>
        <w:t>que le corresponde a</w:t>
      </w:r>
      <w:r w:rsidR="007C64A5" w:rsidRPr="00DF4B69">
        <w:rPr>
          <w:rFonts w:cs="Arial"/>
        </w:rPr>
        <w:t xml:space="preserve"> sus </w:t>
      </w:r>
      <w:r w:rsidR="00987609" w:rsidRPr="00DF4B69">
        <w:rPr>
          <w:rFonts w:cs="Arial"/>
        </w:rPr>
        <w:t>desarrolladores</w:t>
      </w:r>
      <w:r w:rsidR="00C23ECA" w:rsidRPr="00DF4B69">
        <w:rPr>
          <w:rFonts w:cs="Arial"/>
        </w:rPr>
        <w:t xml:space="preserve">; </w:t>
      </w:r>
      <w:r w:rsidR="005C3DA2" w:rsidRPr="00DF4B69">
        <w:rPr>
          <w:rFonts w:cs="Arial"/>
        </w:rPr>
        <w:t>en este sentido</w:t>
      </w:r>
      <w:r w:rsidR="008D6A33" w:rsidRPr="00DF4B69">
        <w:rPr>
          <w:rFonts w:cs="Arial"/>
        </w:rPr>
        <w:t>, estos documentos debe</w:t>
      </w:r>
      <w:r w:rsidR="004766E7" w:rsidRPr="00DF4B69">
        <w:rPr>
          <w:rFonts w:cs="Arial"/>
        </w:rPr>
        <w:t>n</w:t>
      </w:r>
      <w:r w:rsidR="008D6A33" w:rsidRPr="00DF4B69">
        <w:rPr>
          <w:rFonts w:cs="Arial"/>
        </w:rPr>
        <w:t xml:space="preserve"> </w:t>
      </w:r>
      <w:r w:rsidR="004766E7" w:rsidRPr="00DF4B69">
        <w:rPr>
          <w:rFonts w:cs="Arial"/>
        </w:rPr>
        <w:t xml:space="preserve">señalar </w:t>
      </w:r>
      <w:r w:rsidR="00A67796" w:rsidRPr="00DF4B69">
        <w:rPr>
          <w:rFonts w:cs="Arial"/>
        </w:rPr>
        <w:t xml:space="preserve">qué </w:t>
      </w:r>
      <w:r w:rsidR="00987609" w:rsidRPr="00DF4B69">
        <w:rPr>
          <w:rFonts w:cs="Arial"/>
        </w:rPr>
        <w:t xml:space="preserve">riesgos e </w:t>
      </w:r>
      <w:r w:rsidR="006462DB" w:rsidRPr="00127BD4">
        <w:rPr>
          <w:rFonts w:cs="Arial"/>
        </w:rPr>
        <w:t xml:space="preserve">impactos </w:t>
      </w:r>
      <w:r w:rsidR="00987609" w:rsidRPr="00DF4B69">
        <w:rPr>
          <w:rFonts w:cs="Arial"/>
        </w:rPr>
        <w:t xml:space="preserve">negativos </w:t>
      </w:r>
      <w:r w:rsidR="00936C40" w:rsidRPr="00127BD4">
        <w:rPr>
          <w:rFonts w:cs="Arial"/>
        </w:rPr>
        <w:t>a</w:t>
      </w:r>
      <w:r w:rsidR="007965AE" w:rsidRPr="00127BD4">
        <w:rPr>
          <w:rFonts w:cs="Arial"/>
        </w:rPr>
        <w:t xml:space="preserve"> </w:t>
      </w:r>
      <w:r w:rsidR="006462DB" w:rsidRPr="00127BD4">
        <w:rPr>
          <w:rFonts w:cs="Arial"/>
        </w:rPr>
        <w:t>los derechos humanos</w:t>
      </w:r>
      <w:bookmarkEnd w:id="6"/>
      <w:r w:rsidR="00CB1EC3" w:rsidRPr="00127BD4">
        <w:rPr>
          <w:rFonts w:cs="Arial"/>
        </w:rPr>
        <w:t xml:space="preserve"> </w:t>
      </w:r>
      <w:r w:rsidR="00A67796" w:rsidRPr="00DF4B69">
        <w:rPr>
          <w:rFonts w:cs="Arial"/>
        </w:rPr>
        <w:t xml:space="preserve">se pueden </w:t>
      </w:r>
      <w:r w:rsidR="00FD0D0B" w:rsidRPr="00DF4B69">
        <w:rPr>
          <w:rFonts w:cs="Arial"/>
        </w:rPr>
        <w:t>deriva</w:t>
      </w:r>
      <w:r w:rsidR="00A67796" w:rsidRPr="00DF4B69">
        <w:rPr>
          <w:rFonts w:cs="Arial"/>
        </w:rPr>
        <w:t xml:space="preserve">r </w:t>
      </w:r>
      <w:r w:rsidR="00FD0D0B" w:rsidRPr="00DF4B69">
        <w:rPr>
          <w:rFonts w:cs="Arial"/>
        </w:rPr>
        <w:t xml:space="preserve">de </w:t>
      </w:r>
      <w:r w:rsidR="00CB1EC3" w:rsidRPr="00127BD4">
        <w:rPr>
          <w:rFonts w:cs="Arial"/>
        </w:rPr>
        <w:t>los impactos ambientales del proyecto</w:t>
      </w:r>
      <w:r w:rsidR="004610C4" w:rsidRPr="00DF4B69">
        <w:rPr>
          <w:rFonts w:cs="Arial"/>
        </w:rPr>
        <w:t xml:space="preserve"> y argumenta</w:t>
      </w:r>
      <w:r w:rsidR="00675ACF" w:rsidRPr="00DF4B69">
        <w:rPr>
          <w:rFonts w:cs="Arial"/>
        </w:rPr>
        <w:t xml:space="preserve">r </w:t>
      </w:r>
      <w:r w:rsidR="004610C4" w:rsidRPr="00DF4B69">
        <w:rPr>
          <w:rFonts w:cs="Arial"/>
        </w:rPr>
        <w:t xml:space="preserve">cómo las medidas de manejo contribuyen </w:t>
      </w:r>
      <w:r w:rsidR="00373145" w:rsidRPr="00DF4B69">
        <w:rPr>
          <w:rFonts w:cs="Arial"/>
        </w:rPr>
        <w:lastRenderedPageBreak/>
        <w:t xml:space="preserve">en </w:t>
      </w:r>
      <w:r w:rsidR="00006DB8" w:rsidRPr="00DF4B69">
        <w:rPr>
          <w:rFonts w:cs="Arial"/>
        </w:rPr>
        <w:t xml:space="preserve">la prevención </w:t>
      </w:r>
      <w:r w:rsidR="00373145" w:rsidRPr="00DF4B69">
        <w:rPr>
          <w:rFonts w:cs="Arial"/>
        </w:rPr>
        <w:t xml:space="preserve">y mitigación de tales </w:t>
      </w:r>
      <w:r w:rsidR="00C70883" w:rsidRPr="00DF4B69">
        <w:rPr>
          <w:rFonts w:cs="Arial"/>
        </w:rPr>
        <w:t>riesgo</w:t>
      </w:r>
      <w:r w:rsidR="000E39BF">
        <w:rPr>
          <w:rFonts w:cs="Arial"/>
        </w:rPr>
        <w:t>s</w:t>
      </w:r>
      <w:r w:rsidR="00C70883" w:rsidRPr="00DF4B69">
        <w:rPr>
          <w:rFonts w:cs="Arial"/>
        </w:rPr>
        <w:t xml:space="preserve"> </w:t>
      </w:r>
      <w:r w:rsidR="00373145" w:rsidRPr="00DF4B69">
        <w:rPr>
          <w:rFonts w:cs="Arial"/>
        </w:rPr>
        <w:t xml:space="preserve">e </w:t>
      </w:r>
      <w:r w:rsidR="00C70883" w:rsidRPr="00DF4B69">
        <w:rPr>
          <w:rFonts w:cs="Arial"/>
        </w:rPr>
        <w:t>impactos</w:t>
      </w:r>
      <w:r w:rsidR="00DF4B69" w:rsidRPr="00127BD4">
        <w:rPr>
          <w:rStyle w:val="Refdenotaalpie"/>
          <w:rFonts w:cs="Arial"/>
          <w:lang w:val="es-CO"/>
        </w:rPr>
        <w:footnoteReference w:id="5"/>
      </w:r>
      <w:r w:rsidR="0060099E" w:rsidRPr="00DF4B69">
        <w:rPr>
          <w:rFonts w:cs="Arial"/>
        </w:rPr>
        <w:t xml:space="preserve">. </w:t>
      </w:r>
      <w:r w:rsidR="004766E7" w:rsidRPr="00DF4B69">
        <w:rPr>
          <w:rFonts w:cs="Arial"/>
        </w:rPr>
        <w:t>Con este propósito</w:t>
      </w:r>
      <w:r w:rsidR="00DF4B69" w:rsidRPr="00DF4B69">
        <w:rPr>
          <w:rFonts w:cs="Arial"/>
        </w:rPr>
        <w:t>,</w:t>
      </w:r>
      <w:r w:rsidR="004766E7" w:rsidRPr="00DF4B69">
        <w:rPr>
          <w:rFonts w:cs="Arial"/>
        </w:rPr>
        <w:t xml:space="preserve"> t</w:t>
      </w:r>
      <w:r w:rsidR="0060099E" w:rsidRPr="00DF4B69">
        <w:rPr>
          <w:rFonts w:cs="Arial"/>
        </w:rPr>
        <w:t>ambién resulta importante</w:t>
      </w:r>
      <w:r w:rsidR="004766E7" w:rsidRPr="00DF4B69">
        <w:rPr>
          <w:rFonts w:cs="Arial"/>
        </w:rPr>
        <w:t xml:space="preserve"> </w:t>
      </w:r>
      <w:r w:rsidR="00DA62A4" w:rsidRPr="00DF4B69">
        <w:rPr>
          <w:rFonts w:cs="Arial"/>
        </w:rPr>
        <w:t>considerar</w:t>
      </w:r>
      <w:r w:rsidR="004766E7" w:rsidRPr="00DF4B69">
        <w:rPr>
          <w:rFonts w:cs="Arial"/>
        </w:rPr>
        <w:t xml:space="preserve"> </w:t>
      </w:r>
      <w:r w:rsidR="00C966F1" w:rsidRPr="00127BD4">
        <w:rPr>
          <w:rFonts w:cs="Arial"/>
        </w:rPr>
        <w:t>la</w:t>
      </w:r>
      <w:r w:rsidR="007243DF" w:rsidRPr="00127BD4">
        <w:rPr>
          <w:rFonts w:cs="Arial"/>
        </w:rPr>
        <w:t>s</w:t>
      </w:r>
      <w:r w:rsidR="00C966F1" w:rsidRPr="00127BD4">
        <w:rPr>
          <w:rFonts w:cs="Arial"/>
        </w:rPr>
        <w:t xml:space="preserve"> </w:t>
      </w:r>
      <w:r w:rsidR="007243DF" w:rsidRPr="00127BD4">
        <w:rPr>
          <w:rFonts w:cs="Arial"/>
        </w:rPr>
        <w:t xml:space="preserve">realidades y el contexto del conflicto armado interno, </w:t>
      </w:r>
      <w:r w:rsidR="00150795" w:rsidRPr="00127BD4">
        <w:rPr>
          <w:rFonts w:cs="Arial"/>
        </w:rPr>
        <w:t>los diferentes tipos de</w:t>
      </w:r>
      <w:r w:rsidR="007243DF" w:rsidRPr="00127BD4">
        <w:rPr>
          <w:rFonts w:cs="Arial"/>
        </w:rPr>
        <w:t xml:space="preserve"> violencia, la inequidad económica y el conflicto social</w:t>
      </w:r>
      <w:r w:rsidR="00D24125" w:rsidRPr="00127BD4">
        <w:rPr>
          <w:rFonts w:cs="Arial"/>
        </w:rPr>
        <w:t>.</w:t>
      </w:r>
    </w:p>
    <w:p w14:paraId="67E5021B" w14:textId="77777777" w:rsidR="00FF20D4" w:rsidRPr="00127BD4" w:rsidRDefault="00FF20D4" w:rsidP="000E7DC2">
      <w:pPr>
        <w:numPr>
          <w:ilvl w:val="12"/>
          <w:numId w:val="0"/>
        </w:numPr>
        <w:tabs>
          <w:tab w:val="left" w:pos="-2268"/>
        </w:tabs>
        <w:suppressAutoHyphens/>
        <w:rPr>
          <w:rFonts w:cs="Arial"/>
        </w:rPr>
      </w:pPr>
    </w:p>
    <w:p w14:paraId="0ADA16DC" w14:textId="547D7955" w:rsidR="000E7DC2" w:rsidRPr="00127BD4" w:rsidRDefault="00966303" w:rsidP="000E7DC2">
      <w:pPr>
        <w:numPr>
          <w:ilvl w:val="12"/>
          <w:numId w:val="0"/>
        </w:numPr>
        <w:tabs>
          <w:tab w:val="left" w:pos="-2268"/>
        </w:tabs>
        <w:suppressAutoHyphens/>
        <w:rPr>
          <w:rFonts w:cs="Arial"/>
        </w:rPr>
      </w:pPr>
      <w:r w:rsidRPr="00127BD4">
        <w:rPr>
          <w:rFonts w:cs="Arial"/>
        </w:rPr>
        <w:t xml:space="preserve">La </w:t>
      </w:r>
      <w:r w:rsidR="00F10928" w:rsidRPr="00127BD4">
        <w:rPr>
          <w:rFonts w:cs="Arial"/>
        </w:rPr>
        <w:t xml:space="preserve">gestión </w:t>
      </w:r>
      <w:r w:rsidRPr="00127BD4">
        <w:rPr>
          <w:rFonts w:cs="Arial"/>
        </w:rPr>
        <w:t xml:space="preserve">eficaz de </w:t>
      </w:r>
      <w:r w:rsidR="00E05EEF" w:rsidRPr="00127BD4">
        <w:rPr>
          <w:rFonts w:cs="Arial"/>
        </w:rPr>
        <w:t xml:space="preserve">dicha </w:t>
      </w:r>
      <w:r w:rsidRPr="00127BD4">
        <w:rPr>
          <w:rFonts w:cs="Arial"/>
        </w:rPr>
        <w:t xml:space="preserve">información </w:t>
      </w:r>
      <w:r w:rsidR="000E7DC2" w:rsidRPr="00127BD4">
        <w:rPr>
          <w:rFonts w:cs="Arial"/>
        </w:rPr>
        <w:t>permit</w:t>
      </w:r>
      <w:r w:rsidRPr="00127BD4">
        <w:rPr>
          <w:rFonts w:cs="Arial"/>
        </w:rPr>
        <w:t xml:space="preserve">e por un lado, que </w:t>
      </w:r>
      <w:r w:rsidR="000E7DC2" w:rsidRPr="00127BD4">
        <w:rPr>
          <w:rFonts w:cs="Arial"/>
        </w:rPr>
        <w:t>las entidades responsables emprend</w:t>
      </w:r>
      <w:r w:rsidRPr="00127BD4">
        <w:rPr>
          <w:rFonts w:cs="Arial"/>
        </w:rPr>
        <w:t>an</w:t>
      </w:r>
      <w:r w:rsidR="000E7DC2" w:rsidRPr="00127BD4">
        <w:rPr>
          <w:rFonts w:cs="Arial"/>
        </w:rPr>
        <w:t xml:space="preserve"> acciones integrales para prevenir y manejar las posibles situaciones de</w:t>
      </w:r>
      <w:r w:rsidR="00140249" w:rsidRPr="00127BD4">
        <w:rPr>
          <w:rFonts w:cs="Arial"/>
        </w:rPr>
        <w:t xml:space="preserve"> riesgo o</w:t>
      </w:r>
      <w:r w:rsidR="000E7DC2" w:rsidRPr="00127BD4">
        <w:rPr>
          <w:rFonts w:cs="Arial"/>
        </w:rPr>
        <w:t xml:space="preserve"> vulneración de derechos humanos, </w:t>
      </w:r>
      <w:r w:rsidRPr="00127BD4">
        <w:rPr>
          <w:rFonts w:cs="Arial"/>
        </w:rPr>
        <w:t xml:space="preserve">y por el otro, que </w:t>
      </w:r>
      <w:r w:rsidR="005D07B0" w:rsidRPr="00127BD4">
        <w:rPr>
          <w:rFonts w:cs="Arial"/>
        </w:rPr>
        <w:t xml:space="preserve">en </w:t>
      </w:r>
      <w:r w:rsidRPr="00127BD4">
        <w:rPr>
          <w:rFonts w:cs="Arial"/>
        </w:rPr>
        <w:t>los estudios</w:t>
      </w:r>
      <w:r w:rsidR="0035455F" w:rsidRPr="00127BD4">
        <w:rPr>
          <w:rFonts w:cs="Arial"/>
        </w:rPr>
        <w:t xml:space="preserve"> ambientales</w:t>
      </w:r>
      <w:r w:rsidRPr="00127BD4">
        <w:rPr>
          <w:rFonts w:cs="Arial"/>
        </w:rPr>
        <w:t xml:space="preserve"> </w:t>
      </w:r>
      <w:r w:rsidR="005D07B0" w:rsidRPr="00127BD4">
        <w:rPr>
          <w:rFonts w:cs="Arial"/>
        </w:rPr>
        <w:t xml:space="preserve">se </w:t>
      </w:r>
      <w:r w:rsidR="00F10928" w:rsidRPr="00127BD4">
        <w:rPr>
          <w:rFonts w:cs="Arial"/>
        </w:rPr>
        <w:t>incorporen</w:t>
      </w:r>
      <w:r w:rsidRPr="00127BD4">
        <w:rPr>
          <w:rFonts w:cs="Arial"/>
        </w:rPr>
        <w:t xml:space="preserve"> </w:t>
      </w:r>
      <w:r w:rsidR="000E7DC2" w:rsidRPr="00127BD4">
        <w:rPr>
          <w:rFonts w:cs="Arial"/>
        </w:rPr>
        <w:t xml:space="preserve">medidas de manejo </w:t>
      </w:r>
      <w:r w:rsidRPr="00127BD4">
        <w:rPr>
          <w:rFonts w:cs="Arial"/>
        </w:rPr>
        <w:t xml:space="preserve">capaces de </w:t>
      </w:r>
      <w:r w:rsidR="000E7DC2" w:rsidRPr="00127BD4">
        <w:rPr>
          <w:rFonts w:cs="Arial"/>
        </w:rPr>
        <w:t xml:space="preserve">prevenir, mitigar, corregir o compensar </w:t>
      </w:r>
      <w:r w:rsidR="005D07B0" w:rsidRPr="00127BD4">
        <w:rPr>
          <w:rFonts w:cs="Arial"/>
        </w:rPr>
        <w:t xml:space="preserve">los </w:t>
      </w:r>
      <w:r w:rsidR="000E7DC2" w:rsidRPr="00127BD4">
        <w:rPr>
          <w:rFonts w:cs="Arial"/>
        </w:rPr>
        <w:t xml:space="preserve">impactos </w:t>
      </w:r>
      <w:r w:rsidR="000E7D2B">
        <w:rPr>
          <w:rFonts w:cs="Arial"/>
        </w:rPr>
        <w:t xml:space="preserve">ambientales </w:t>
      </w:r>
      <w:r w:rsidR="005D07B0" w:rsidRPr="00127BD4">
        <w:rPr>
          <w:rFonts w:cs="Arial"/>
        </w:rPr>
        <w:t xml:space="preserve">que </w:t>
      </w:r>
      <w:r w:rsidR="00F10928" w:rsidRPr="00127BD4">
        <w:rPr>
          <w:rFonts w:cs="Arial"/>
        </w:rPr>
        <w:t xml:space="preserve">subyacen </w:t>
      </w:r>
      <w:r w:rsidR="005D07B0" w:rsidRPr="00127BD4">
        <w:rPr>
          <w:rFonts w:cs="Arial"/>
        </w:rPr>
        <w:t xml:space="preserve">estas dinámicas </w:t>
      </w:r>
      <w:r w:rsidRPr="00127BD4">
        <w:rPr>
          <w:rFonts w:cs="Arial"/>
        </w:rPr>
        <w:t xml:space="preserve">y </w:t>
      </w:r>
      <w:r w:rsidR="00F10928" w:rsidRPr="00127BD4">
        <w:rPr>
          <w:rFonts w:cs="Arial"/>
        </w:rPr>
        <w:t xml:space="preserve">que </w:t>
      </w:r>
      <w:r w:rsidRPr="00127BD4">
        <w:rPr>
          <w:rFonts w:cs="Arial"/>
        </w:rPr>
        <w:t>contribuyan</w:t>
      </w:r>
      <w:r w:rsidR="000E7DC2" w:rsidRPr="00127BD4">
        <w:rPr>
          <w:rFonts w:cs="Arial"/>
        </w:rPr>
        <w:t xml:space="preserve">, en el marco de las responsabilidades del solicitante de la licencia ambiental, </w:t>
      </w:r>
      <w:r w:rsidRPr="00127BD4">
        <w:rPr>
          <w:rFonts w:cs="Arial"/>
        </w:rPr>
        <w:t>a</w:t>
      </w:r>
      <w:r w:rsidR="00A17B0C" w:rsidRPr="00127BD4">
        <w:rPr>
          <w:rFonts w:cs="Arial"/>
        </w:rPr>
        <w:t xml:space="preserve">l respeto </w:t>
      </w:r>
      <w:r w:rsidR="000E7DC2" w:rsidRPr="00127BD4">
        <w:rPr>
          <w:rFonts w:cs="Arial"/>
        </w:rPr>
        <w:t>de los derechos humanos.</w:t>
      </w:r>
    </w:p>
    <w:p w14:paraId="6BABACC4" w14:textId="77777777" w:rsidR="000E7DC2" w:rsidRPr="00127BD4" w:rsidRDefault="000E7DC2" w:rsidP="000E7DC2">
      <w:pPr>
        <w:numPr>
          <w:ilvl w:val="12"/>
          <w:numId w:val="0"/>
        </w:numPr>
        <w:tabs>
          <w:tab w:val="left" w:pos="-2268"/>
        </w:tabs>
        <w:suppressAutoHyphens/>
      </w:pPr>
    </w:p>
    <w:p w14:paraId="40E81049" w14:textId="192BED1D" w:rsidR="007243DF" w:rsidRPr="00127BD4" w:rsidRDefault="005D07B0" w:rsidP="007243DF">
      <w:pPr>
        <w:numPr>
          <w:ilvl w:val="12"/>
          <w:numId w:val="0"/>
        </w:numPr>
        <w:tabs>
          <w:tab w:val="left" w:pos="-2268"/>
        </w:tabs>
        <w:suppressAutoHyphens/>
        <w:rPr>
          <w:rFonts w:cs="Arial"/>
        </w:rPr>
      </w:pPr>
      <w:r w:rsidRPr="00127BD4">
        <w:rPr>
          <w:rFonts w:cs="Arial"/>
        </w:rPr>
        <w:t>E</w:t>
      </w:r>
      <w:r w:rsidR="00C81DCB" w:rsidRPr="00127BD4">
        <w:rPr>
          <w:rFonts w:cs="Arial"/>
        </w:rPr>
        <w:t>s decir</w:t>
      </w:r>
      <w:r w:rsidRPr="00127BD4">
        <w:rPr>
          <w:rFonts w:cs="Arial"/>
        </w:rPr>
        <w:t xml:space="preserve">, </w:t>
      </w:r>
      <w:r w:rsidR="00D7226F" w:rsidRPr="00127BD4">
        <w:rPr>
          <w:rFonts w:cs="Arial"/>
        </w:rPr>
        <w:t xml:space="preserve">la MGEPEA procura que </w:t>
      </w:r>
      <w:r w:rsidR="0053413B" w:rsidRPr="00127BD4">
        <w:rPr>
          <w:rFonts w:cs="Arial"/>
        </w:rPr>
        <w:t xml:space="preserve">en </w:t>
      </w:r>
      <w:r w:rsidRPr="00127BD4">
        <w:rPr>
          <w:rFonts w:cs="Arial"/>
        </w:rPr>
        <w:t xml:space="preserve">la elaboración de los estudios ambientales </w:t>
      </w:r>
      <w:r w:rsidR="00D7226F" w:rsidRPr="00127BD4">
        <w:rPr>
          <w:rFonts w:cs="Arial"/>
        </w:rPr>
        <w:t xml:space="preserve">se </w:t>
      </w:r>
      <w:r w:rsidR="003C2A54" w:rsidRPr="00127BD4">
        <w:rPr>
          <w:rFonts w:cs="Arial"/>
        </w:rPr>
        <w:t>implementen</w:t>
      </w:r>
      <w:r w:rsidR="00044CF3" w:rsidRPr="00127BD4">
        <w:rPr>
          <w:rFonts w:cs="Arial"/>
        </w:rPr>
        <w:t xml:space="preserve"> </w:t>
      </w:r>
      <w:r w:rsidRPr="00127BD4">
        <w:rPr>
          <w:rFonts w:cs="Arial"/>
        </w:rPr>
        <w:t xml:space="preserve">los valores y principios de los derechos humanos para </w:t>
      </w:r>
      <w:r w:rsidR="00AA2869" w:rsidRPr="00127BD4">
        <w:rPr>
          <w:rFonts w:cs="Arial"/>
        </w:rPr>
        <w:t xml:space="preserve">lograr un conocimiento holístico de los grupos de interés, </w:t>
      </w:r>
      <w:r w:rsidR="00AB4893" w:rsidRPr="00127BD4">
        <w:rPr>
          <w:rFonts w:cs="Arial"/>
        </w:rPr>
        <w:t xml:space="preserve">se </w:t>
      </w:r>
      <w:r w:rsidR="00AA2869" w:rsidRPr="00127BD4">
        <w:rPr>
          <w:rFonts w:cs="Arial"/>
        </w:rPr>
        <w:t>incorpor</w:t>
      </w:r>
      <w:r w:rsidR="00AB4893" w:rsidRPr="00127BD4">
        <w:rPr>
          <w:rFonts w:cs="Arial"/>
        </w:rPr>
        <w:t>en</w:t>
      </w:r>
      <w:r w:rsidR="00AA2869" w:rsidRPr="00127BD4">
        <w:rPr>
          <w:rFonts w:cs="Arial"/>
        </w:rPr>
        <w:t xml:space="preserve"> sus aportes </w:t>
      </w:r>
      <w:r w:rsidRPr="00127BD4">
        <w:rPr>
          <w:rFonts w:cs="Arial"/>
        </w:rPr>
        <w:t>a</w:t>
      </w:r>
      <w:r w:rsidR="007B7463" w:rsidRPr="00127BD4">
        <w:rPr>
          <w:rFonts w:cs="Arial"/>
        </w:rPr>
        <w:t xml:space="preserve"> los estudios</w:t>
      </w:r>
      <w:r w:rsidR="00002C70">
        <w:rPr>
          <w:rFonts w:cs="Arial"/>
        </w:rPr>
        <w:t xml:space="preserve"> y</w:t>
      </w:r>
      <w:r w:rsidR="007243DF" w:rsidRPr="00127BD4">
        <w:rPr>
          <w:rFonts w:cs="Arial"/>
        </w:rPr>
        <w:t xml:space="preserve"> </w:t>
      </w:r>
      <w:r w:rsidR="001F5A42" w:rsidRPr="00127BD4">
        <w:rPr>
          <w:rFonts w:cs="Arial"/>
        </w:rPr>
        <w:t xml:space="preserve">se </w:t>
      </w:r>
      <w:r w:rsidR="007243DF" w:rsidRPr="00127BD4">
        <w:rPr>
          <w:rFonts w:cs="Arial"/>
        </w:rPr>
        <w:t>plante</w:t>
      </w:r>
      <w:r w:rsidR="001F5A42" w:rsidRPr="00127BD4">
        <w:rPr>
          <w:rFonts w:cs="Arial"/>
        </w:rPr>
        <w:t>en</w:t>
      </w:r>
      <w:r w:rsidRPr="00127BD4">
        <w:rPr>
          <w:rFonts w:cs="Arial"/>
        </w:rPr>
        <w:t xml:space="preserve"> </w:t>
      </w:r>
      <w:r w:rsidR="007243DF" w:rsidRPr="00127BD4">
        <w:rPr>
          <w:rFonts w:cs="Arial"/>
        </w:rPr>
        <w:t>medidas de manejo que</w:t>
      </w:r>
      <w:r w:rsidR="00F56E81">
        <w:rPr>
          <w:rFonts w:cs="Arial"/>
        </w:rPr>
        <w:t>,</w:t>
      </w:r>
      <w:r w:rsidR="007243DF" w:rsidRPr="00127BD4">
        <w:rPr>
          <w:rFonts w:cs="Arial"/>
        </w:rPr>
        <w:t xml:space="preserve"> </w:t>
      </w:r>
      <w:r w:rsidR="00C81DCB" w:rsidRPr="00127BD4">
        <w:rPr>
          <w:rFonts w:cs="Arial"/>
        </w:rPr>
        <w:t xml:space="preserve">además de </w:t>
      </w:r>
      <w:r w:rsidR="00047905" w:rsidRPr="00155C7C">
        <w:rPr>
          <w:rFonts w:cs="Arial"/>
        </w:rPr>
        <w:t xml:space="preserve">procurar la integridad ambiental del territorio y </w:t>
      </w:r>
      <w:r w:rsidR="00E54311" w:rsidRPr="00155C7C">
        <w:rPr>
          <w:rFonts w:cs="Arial"/>
        </w:rPr>
        <w:t xml:space="preserve">el derecho a gozar de un ambiente sano, </w:t>
      </w:r>
      <w:r w:rsidR="00C81DCB" w:rsidRPr="00127BD4">
        <w:rPr>
          <w:rFonts w:cs="Arial"/>
        </w:rPr>
        <w:t>contr</w:t>
      </w:r>
      <w:r w:rsidR="00E54311" w:rsidRPr="00155C7C">
        <w:rPr>
          <w:rFonts w:cs="Arial"/>
        </w:rPr>
        <w:t xml:space="preserve">ibuyan </w:t>
      </w:r>
      <w:r w:rsidR="009E79A1" w:rsidRPr="00155C7C">
        <w:rPr>
          <w:rFonts w:cs="Arial"/>
        </w:rPr>
        <w:t xml:space="preserve">a </w:t>
      </w:r>
      <w:r w:rsidR="001258FE" w:rsidRPr="00127BD4">
        <w:rPr>
          <w:rFonts w:cs="Arial"/>
        </w:rPr>
        <w:t>la provención de conflictos</w:t>
      </w:r>
      <w:r w:rsidR="00F14520" w:rsidRPr="00155C7C">
        <w:rPr>
          <w:rFonts w:cs="Arial"/>
        </w:rPr>
        <w:t>,</w:t>
      </w:r>
      <w:r w:rsidR="001258FE" w:rsidRPr="00127BD4">
        <w:rPr>
          <w:rFonts w:cs="Arial"/>
        </w:rPr>
        <w:t xml:space="preserve"> </w:t>
      </w:r>
      <w:r w:rsidR="009E79A1" w:rsidRPr="00155C7C">
        <w:rPr>
          <w:rFonts w:cs="Arial"/>
        </w:rPr>
        <w:t xml:space="preserve">a </w:t>
      </w:r>
      <w:r w:rsidR="00E54311" w:rsidRPr="00155C7C">
        <w:rPr>
          <w:rFonts w:cs="Arial"/>
        </w:rPr>
        <w:t xml:space="preserve">la prevención </w:t>
      </w:r>
      <w:r w:rsidR="00C81DCB" w:rsidRPr="00127BD4">
        <w:rPr>
          <w:rFonts w:cs="Arial"/>
        </w:rPr>
        <w:t xml:space="preserve">de </w:t>
      </w:r>
      <w:r w:rsidR="00E54311" w:rsidRPr="00155C7C">
        <w:rPr>
          <w:rFonts w:cs="Arial"/>
        </w:rPr>
        <w:t xml:space="preserve">los </w:t>
      </w:r>
      <w:r w:rsidR="001F5A42" w:rsidRPr="00127BD4">
        <w:rPr>
          <w:rFonts w:cs="Arial"/>
        </w:rPr>
        <w:t>riesgo</w:t>
      </w:r>
      <w:r w:rsidR="00E54311" w:rsidRPr="00155C7C">
        <w:rPr>
          <w:rFonts w:cs="Arial"/>
        </w:rPr>
        <w:t>s</w:t>
      </w:r>
      <w:r w:rsidR="001F5A42" w:rsidRPr="00127BD4">
        <w:rPr>
          <w:rFonts w:cs="Arial"/>
        </w:rPr>
        <w:t xml:space="preserve"> </w:t>
      </w:r>
      <w:r w:rsidR="00E54311" w:rsidRPr="00155C7C">
        <w:rPr>
          <w:rFonts w:cs="Arial"/>
        </w:rPr>
        <w:t xml:space="preserve">e impactos negativos a los </w:t>
      </w:r>
      <w:r w:rsidR="00C81DCB" w:rsidRPr="00127BD4">
        <w:rPr>
          <w:rFonts w:cs="Arial"/>
        </w:rPr>
        <w:t xml:space="preserve">derechos humanos </w:t>
      </w:r>
      <w:r w:rsidR="00AA2869" w:rsidRPr="00127BD4">
        <w:rPr>
          <w:rFonts w:cs="Arial"/>
        </w:rPr>
        <w:t xml:space="preserve">y </w:t>
      </w:r>
      <w:r w:rsidR="00F14520" w:rsidRPr="00155C7C">
        <w:rPr>
          <w:rFonts w:cs="Arial"/>
        </w:rPr>
        <w:t xml:space="preserve">a </w:t>
      </w:r>
      <w:r w:rsidR="00AA2869" w:rsidRPr="00127BD4">
        <w:rPr>
          <w:rFonts w:cs="Arial"/>
        </w:rPr>
        <w:t>la labor de las entidades encargadas de velar por su protección</w:t>
      </w:r>
      <w:r w:rsidR="007243DF" w:rsidRPr="00127BD4">
        <w:rPr>
          <w:rFonts w:cs="Arial"/>
        </w:rPr>
        <w:t>.</w:t>
      </w:r>
    </w:p>
    <w:p w14:paraId="64356FA5" w14:textId="77777777" w:rsidR="000E7DC2" w:rsidRPr="004068F6" w:rsidRDefault="000E7DC2" w:rsidP="00317B09">
      <w:pPr>
        <w:numPr>
          <w:ilvl w:val="12"/>
          <w:numId w:val="0"/>
        </w:numPr>
        <w:tabs>
          <w:tab w:val="left" w:pos="-2268"/>
        </w:tabs>
        <w:suppressAutoHyphens/>
        <w:rPr>
          <w:rFonts w:cs="Arial"/>
        </w:rPr>
      </w:pPr>
    </w:p>
    <w:p w14:paraId="12C64FC7" w14:textId="7C9EC37D" w:rsidR="00317B09" w:rsidRPr="004068F6" w:rsidRDefault="00317B09" w:rsidP="00317B09">
      <w:pPr>
        <w:numPr>
          <w:ilvl w:val="12"/>
          <w:numId w:val="0"/>
        </w:numPr>
        <w:tabs>
          <w:tab w:val="left" w:pos="-2268"/>
        </w:tabs>
        <w:suppressAutoHyphens/>
        <w:rPr>
          <w:rFonts w:cs="Arial"/>
        </w:rPr>
      </w:pPr>
      <w:r w:rsidRPr="004068F6">
        <w:rPr>
          <w:rFonts w:cs="Arial"/>
        </w:rPr>
        <w:t xml:space="preserve">Los estudios ambientales a los cuales va dirigida </w:t>
      </w:r>
      <w:r w:rsidR="000D1650" w:rsidRPr="004068F6">
        <w:rPr>
          <w:rFonts w:cs="Arial"/>
        </w:rPr>
        <w:t xml:space="preserve">la MGEPEA </w:t>
      </w:r>
      <w:r w:rsidRPr="004068F6">
        <w:rPr>
          <w:rFonts w:cs="Arial"/>
        </w:rPr>
        <w:t>son el Diagnóstico Ambiental de Alternativas (DAA)</w:t>
      </w:r>
      <w:r w:rsidR="00523D26" w:rsidRPr="004068F6">
        <w:rPr>
          <w:rFonts w:cs="Arial"/>
        </w:rPr>
        <w:t xml:space="preserve"> y</w:t>
      </w:r>
      <w:r w:rsidRPr="004068F6">
        <w:rPr>
          <w:rFonts w:cs="Arial"/>
        </w:rPr>
        <w:t xml:space="preserve"> el Estudio de Impacto Ambiental (EIA). Aunque estos estudios ambientales tienen diferentes propósitos y alcances, </w:t>
      </w:r>
      <w:r w:rsidR="00567ADE" w:rsidRPr="004068F6">
        <w:rPr>
          <w:rFonts w:cs="Arial"/>
        </w:rPr>
        <w:t xml:space="preserve">en términos generales </w:t>
      </w:r>
      <w:r w:rsidRPr="004068F6">
        <w:rPr>
          <w:rFonts w:cs="Arial"/>
        </w:rPr>
        <w:t>buscan conjugar el conocimiento de las características ambientales de la zona en la cual se pretende desarrollar un proyecto, obra o actividad sujet</w:t>
      </w:r>
      <w:r w:rsidR="000D1650" w:rsidRPr="004068F6">
        <w:rPr>
          <w:rFonts w:cs="Arial"/>
        </w:rPr>
        <w:t>o</w:t>
      </w:r>
      <w:r w:rsidRPr="004068F6">
        <w:rPr>
          <w:rFonts w:cs="Arial"/>
        </w:rPr>
        <w:t xml:space="preserve"> a licenciamiento ambiental, con el de las características propias de dicho proyecto, obra o actividad o sus alternativas de ejecución, con el fin de prever los impactos ambientales que puedan ocasionar, y obrar en consecuencia a fin de </w:t>
      </w:r>
      <w:r w:rsidR="000D1650" w:rsidRPr="004068F6">
        <w:rPr>
          <w:rFonts w:cs="Arial"/>
        </w:rPr>
        <w:t xml:space="preserve">prevenirlos, </w:t>
      </w:r>
      <w:r w:rsidRPr="004068F6">
        <w:rPr>
          <w:rFonts w:cs="Arial"/>
        </w:rPr>
        <w:t>mitigarlos, corregirlos y compensarlos.</w:t>
      </w:r>
    </w:p>
    <w:p w14:paraId="5CEF3E76" w14:textId="77777777" w:rsidR="00317B09" w:rsidRPr="004068F6" w:rsidRDefault="00317B09" w:rsidP="00317B09">
      <w:pPr>
        <w:numPr>
          <w:ilvl w:val="12"/>
          <w:numId w:val="0"/>
        </w:numPr>
        <w:tabs>
          <w:tab w:val="left" w:pos="-2268"/>
        </w:tabs>
        <w:suppressAutoHyphens/>
        <w:rPr>
          <w:rFonts w:cs="Arial"/>
        </w:rPr>
      </w:pPr>
    </w:p>
    <w:p w14:paraId="613C2568" w14:textId="5A229F58" w:rsidR="00317B09" w:rsidRPr="004068F6" w:rsidRDefault="00317B09" w:rsidP="00317B09">
      <w:pPr>
        <w:numPr>
          <w:ilvl w:val="12"/>
          <w:numId w:val="0"/>
        </w:numPr>
        <w:tabs>
          <w:tab w:val="left" w:pos="-2268"/>
        </w:tabs>
        <w:suppressAutoHyphens/>
        <w:rPr>
          <w:rFonts w:cs="Arial"/>
        </w:rPr>
      </w:pPr>
      <w:r w:rsidRPr="004068F6">
        <w:rPr>
          <w:rFonts w:cs="Arial"/>
        </w:rPr>
        <w:t xml:space="preserve">El DAA es un estudio ambiental que busca aportar la información necesaria y suficiente para evaluar, comparar y seleccionar la alternativa o conjunto de alternativas de ejecución de un proyecto, obra o actividad que permitan la </w:t>
      </w:r>
      <w:r w:rsidRPr="004068F6">
        <w:rPr>
          <w:rFonts w:cs="Arial"/>
        </w:rPr>
        <w:lastRenderedPageBreak/>
        <w:t xml:space="preserve">optimización y racionalización en el uso de los recursos y eviten o minimicen los impactos </w:t>
      </w:r>
      <w:r w:rsidR="00645126" w:rsidRPr="004068F6">
        <w:rPr>
          <w:rFonts w:cs="Arial"/>
        </w:rPr>
        <w:t xml:space="preserve">ambientales </w:t>
      </w:r>
      <w:r w:rsidRPr="004068F6">
        <w:rPr>
          <w:rFonts w:cs="Arial"/>
        </w:rPr>
        <w:t>significativos que puedan generarse.</w:t>
      </w:r>
    </w:p>
    <w:p w14:paraId="5B74003D" w14:textId="77777777" w:rsidR="00317B09" w:rsidRPr="004068F6" w:rsidRDefault="00317B09" w:rsidP="00317B09">
      <w:pPr>
        <w:numPr>
          <w:ilvl w:val="12"/>
          <w:numId w:val="0"/>
        </w:numPr>
        <w:tabs>
          <w:tab w:val="left" w:pos="-2268"/>
        </w:tabs>
        <w:suppressAutoHyphens/>
        <w:rPr>
          <w:rFonts w:cs="Arial"/>
        </w:rPr>
      </w:pPr>
    </w:p>
    <w:p w14:paraId="0C3A0EDD" w14:textId="031F52FD" w:rsidR="00317B09" w:rsidRPr="004068F6" w:rsidRDefault="00317B09" w:rsidP="00317B09">
      <w:pPr>
        <w:numPr>
          <w:ilvl w:val="12"/>
          <w:numId w:val="0"/>
        </w:numPr>
        <w:tabs>
          <w:tab w:val="left" w:pos="-2268"/>
        </w:tabs>
        <w:suppressAutoHyphens/>
        <w:rPr>
          <w:rFonts w:cs="Arial"/>
        </w:rPr>
      </w:pPr>
      <w:r w:rsidRPr="004068F6">
        <w:rPr>
          <w:rFonts w:cs="Arial"/>
        </w:rPr>
        <w:t xml:space="preserve">Además de un análisis ambiental comparativo de las diferentes opciones, este estudio ambiental debe contemplar los </w:t>
      </w:r>
      <w:r w:rsidR="00645126" w:rsidRPr="004068F6">
        <w:rPr>
          <w:rFonts w:cs="Arial"/>
        </w:rPr>
        <w:t xml:space="preserve">impactos ambientales </w:t>
      </w:r>
      <w:r w:rsidRPr="004068F6">
        <w:rPr>
          <w:rFonts w:cs="Arial"/>
        </w:rPr>
        <w:t xml:space="preserve">y riesgos que se puedan suscitar, así como las </w:t>
      </w:r>
      <w:r w:rsidRPr="004068F6">
        <w:rPr>
          <w:rFonts w:cs="Arial"/>
          <w:i/>
        </w:rPr>
        <w:t>posibles</w:t>
      </w:r>
      <w:r w:rsidRPr="004068F6">
        <w:rPr>
          <w:rFonts w:cs="Arial"/>
        </w:rPr>
        <w:t xml:space="preserve"> soluciones y medidas de control y de mitigación que se deban implementar </w:t>
      </w:r>
      <w:r w:rsidR="00A2651B" w:rsidRPr="004068F6">
        <w:rPr>
          <w:rFonts w:cs="Arial"/>
        </w:rPr>
        <w:t xml:space="preserve">para </w:t>
      </w:r>
      <w:r w:rsidRPr="004068F6">
        <w:rPr>
          <w:rFonts w:cs="Arial"/>
        </w:rPr>
        <w:t>cada alternativa. Con el propósito de que la autoridad ambiental seleccione la mejor alternativa o alternativas dentro de un conjunto de opciones responsables desde el punto de vista ambiental, las alternativas planteadas no deben restringirse a opciones de trazado o de emplazamiento, tienen que contemplar adicionalmente consideraciones tecnológicas (constructivas, de ingeniería, de maquinaria, de materiales e insumos, entre otras)</w:t>
      </w:r>
      <w:r w:rsidR="00567ADE" w:rsidRPr="004068F6">
        <w:rPr>
          <w:rFonts w:cs="Arial"/>
        </w:rPr>
        <w:t xml:space="preserve"> y de diseño</w:t>
      </w:r>
      <w:r w:rsidRPr="004068F6">
        <w:rPr>
          <w:rFonts w:cs="Arial"/>
        </w:rPr>
        <w:t>, pues un proyecto</w:t>
      </w:r>
      <w:r w:rsidR="00F32AC0" w:rsidRPr="004068F6">
        <w:rPr>
          <w:rFonts w:cs="Arial"/>
        </w:rPr>
        <w:t>, obra o actividad</w:t>
      </w:r>
      <w:r w:rsidRPr="004068F6">
        <w:rPr>
          <w:rFonts w:cs="Arial"/>
        </w:rPr>
        <w:t xml:space="preserve"> que resulte ambientalmente inviable aplicando una determinada tecnología, puede resultar viable haciendo uso de otras.</w:t>
      </w:r>
    </w:p>
    <w:p w14:paraId="2A58DA93" w14:textId="77777777" w:rsidR="00317B09" w:rsidRPr="004068F6" w:rsidRDefault="00317B09" w:rsidP="00317B09">
      <w:pPr>
        <w:numPr>
          <w:ilvl w:val="12"/>
          <w:numId w:val="0"/>
        </w:numPr>
        <w:tabs>
          <w:tab w:val="left" w:pos="-2268"/>
        </w:tabs>
        <w:suppressAutoHyphens/>
        <w:rPr>
          <w:rFonts w:cs="Arial"/>
        </w:rPr>
      </w:pPr>
    </w:p>
    <w:p w14:paraId="2DC60C46" w14:textId="41BA2975" w:rsidR="00317B09" w:rsidRPr="004068F6" w:rsidRDefault="00317B09" w:rsidP="4A0B09C6">
      <w:pPr>
        <w:suppressAutoHyphens/>
        <w:rPr>
          <w:rFonts w:cs="Arial"/>
        </w:rPr>
      </w:pPr>
      <w:r w:rsidRPr="004068F6">
        <w:rPr>
          <w:rFonts w:cs="Arial"/>
        </w:rPr>
        <w:t xml:space="preserve">El EIA </w:t>
      </w:r>
      <w:r w:rsidR="00617C12" w:rsidRPr="004068F6">
        <w:rPr>
          <w:rFonts w:cs="Arial"/>
        </w:rPr>
        <w:t>es e</w:t>
      </w:r>
      <w:r w:rsidRPr="004068F6">
        <w:rPr>
          <w:rFonts w:cs="Arial"/>
        </w:rPr>
        <w:t xml:space="preserve">l estudio ambiental que constituye el instrumento básico mediante el cual las autoridades ambientales deciden si desde el punto de vista ambiental es viable un proyecto, obra o actividad sujeto a licenciamiento ambiental. </w:t>
      </w:r>
      <w:r w:rsidR="00645126" w:rsidRPr="004068F6">
        <w:rPr>
          <w:rFonts w:cs="Arial"/>
        </w:rPr>
        <w:t>Entre s</w:t>
      </w:r>
      <w:r w:rsidRPr="004068F6">
        <w:rPr>
          <w:rFonts w:cs="Arial"/>
        </w:rPr>
        <w:t xml:space="preserve">us objetivos fundamentales </w:t>
      </w:r>
      <w:r w:rsidR="4A0B09C6" w:rsidRPr="004068F6">
        <w:rPr>
          <w:rFonts w:cs="Arial"/>
        </w:rPr>
        <w:t>están</w:t>
      </w:r>
      <w:r w:rsidR="00645126" w:rsidRPr="004068F6">
        <w:rPr>
          <w:rFonts w:cs="Arial"/>
        </w:rPr>
        <w:t xml:space="preserve"> el</w:t>
      </w:r>
      <w:r w:rsidRPr="004068F6">
        <w:rPr>
          <w:rFonts w:cs="Arial"/>
        </w:rPr>
        <w:t xml:space="preserve"> describir el área de influencia, </w:t>
      </w:r>
      <w:r w:rsidR="002A7B84" w:rsidRPr="004068F6">
        <w:rPr>
          <w:rFonts w:cs="Arial"/>
        </w:rPr>
        <w:t xml:space="preserve">determinar </w:t>
      </w:r>
      <w:r w:rsidRPr="004068F6">
        <w:rPr>
          <w:rFonts w:cs="Arial"/>
        </w:rPr>
        <w:t xml:space="preserve">y valorar los impactos ambientales que puede generar el proyecto, obra o actividad, </w:t>
      </w:r>
      <w:r w:rsidR="000D1650" w:rsidRPr="004068F6">
        <w:rPr>
          <w:rFonts w:cs="Arial"/>
        </w:rPr>
        <w:t xml:space="preserve">y </w:t>
      </w:r>
      <w:r w:rsidRPr="004068F6">
        <w:rPr>
          <w:rFonts w:cs="Arial"/>
        </w:rPr>
        <w:t xml:space="preserve">formular las medidas de manejo de acuerdo con la naturaleza de </w:t>
      </w:r>
      <w:r w:rsidR="005D2BD5" w:rsidRPr="004068F6">
        <w:rPr>
          <w:rFonts w:cs="Arial"/>
        </w:rPr>
        <w:t xml:space="preserve">los </w:t>
      </w:r>
      <w:r w:rsidRPr="004068F6">
        <w:rPr>
          <w:rFonts w:cs="Arial"/>
        </w:rPr>
        <w:t>impactos</w:t>
      </w:r>
      <w:r w:rsidR="005D2BD5" w:rsidRPr="004068F6">
        <w:rPr>
          <w:rFonts w:cs="Arial"/>
        </w:rPr>
        <w:t xml:space="preserve"> negativos</w:t>
      </w:r>
      <w:r w:rsidRPr="004068F6">
        <w:rPr>
          <w:rFonts w:cs="Arial"/>
        </w:rPr>
        <w:t xml:space="preserve">, especificando cómo prevenirlos, mitigarlos, corregirlos </w:t>
      </w:r>
      <w:r w:rsidR="00C44F59">
        <w:rPr>
          <w:rFonts w:cs="Arial"/>
        </w:rPr>
        <w:t>o</w:t>
      </w:r>
      <w:r w:rsidRPr="004068F6">
        <w:rPr>
          <w:rFonts w:cs="Arial"/>
        </w:rPr>
        <w:t xml:space="preserve"> compensarlos.</w:t>
      </w:r>
    </w:p>
    <w:p w14:paraId="21D1AF3A" w14:textId="77777777" w:rsidR="00317B09" w:rsidRPr="004068F6" w:rsidRDefault="00317B09" w:rsidP="00317B09">
      <w:pPr>
        <w:numPr>
          <w:ilvl w:val="12"/>
          <w:numId w:val="0"/>
        </w:numPr>
        <w:tabs>
          <w:tab w:val="left" w:pos="-2268"/>
        </w:tabs>
        <w:suppressAutoHyphens/>
        <w:rPr>
          <w:rFonts w:cs="Arial"/>
        </w:rPr>
      </w:pPr>
    </w:p>
    <w:p w14:paraId="0B74E8F5" w14:textId="1DD545D9" w:rsidR="00317B09" w:rsidRPr="004068F6" w:rsidRDefault="00317B09" w:rsidP="00317B09">
      <w:pPr>
        <w:numPr>
          <w:ilvl w:val="12"/>
          <w:numId w:val="0"/>
        </w:numPr>
        <w:tabs>
          <w:tab w:val="left" w:pos="-2268"/>
        </w:tabs>
        <w:suppressAutoHyphens/>
        <w:rPr>
          <w:rFonts w:cs="Arial"/>
        </w:rPr>
      </w:pPr>
      <w:r w:rsidRPr="004068F6">
        <w:rPr>
          <w:rFonts w:cs="Arial"/>
        </w:rPr>
        <w:t xml:space="preserve">La </w:t>
      </w:r>
      <w:r w:rsidR="00EF4209" w:rsidRPr="004068F6">
        <w:rPr>
          <w:rFonts w:cs="Arial"/>
        </w:rPr>
        <w:t>M</w:t>
      </w:r>
      <w:r w:rsidR="00C962D9" w:rsidRPr="004068F6">
        <w:rPr>
          <w:rFonts w:cs="Arial"/>
        </w:rPr>
        <w:t>GE</w:t>
      </w:r>
      <w:r w:rsidR="00EF4209" w:rsidRPr="004068F6">
        <w:rPr>
          <w:rFonts w:cs="Arial"/>
        </w:rPr>
        <w:t>P</w:t>
      </w:r>
      <w:r w:rsidR="00C962D9" w:rsidRPr="004068F6">
        <w:rPr>
          <w:rFonts w:cs="Arial"/>
        </w:rPr>
        <w:t>E</w:t>
      </w:r>
      <w:r w:rsidR="00EF4209" w:rsidRPr="004068F6">
        <w:rPr>
          <w:rFonts w:cs="Arial"/>
        </w:rPr>
        <w:t>A</w:t>
      </w:r>
      <w:r w:rsidRPr="004068F6">
        <w:rPr>
          <w:rFonts w:cs="Arial"/>
        </w:rPr>
        <w:t xml:space="preserve">, como parte del </w:t>
      </w:r>
      <w:r w:rsidR="008B010C" w:rsidRPr="004068F6">
        <w:rPr>
          <w:rFonts w:cs="Arial"/>
        </w:rPr>
        <w:t>proceso de</w:t>
      </w:r>
      <w:r w:rsidRPr="004068F6">
        <w:rPr>
          <w:rFonts w:cs="Arial"/>
        </w:rPr>
        <w:t xml:space="preserve"> licenciamiento ambiental, contribuye a facilitar y optimizar el proceso de elaboración </w:t>
      </w:r>
      <w:r w:rsidR="000D1650" w:rsidRPr="004068F6">
        <w:rPr>
          <w:rFonts w:cs="Arial"/>
        </w:rPr>
        <w:t xml:space="preserve">y presentación </w:t>
      </w:r>
      <w:r w:rsidRPr="004068F6">
        <w:rPr>
          <w:rFonts w:cs="Arial"/>
        </w:rPr>
        <w:t xml:space="preserve">de estudios ambientales, su posterior evaluación, y finalmente, la toma de decisiones asociada; con estos propósitos se constituye en un complemento </w:t>
      </w:r>
      <w:r w:rsidR="0074012D" w:rsidRPr="004068F6">
        <w:rPr>
          <w:rFonts w:cs="Arial"/>
        </w:rPr>
        <w:t xml:space="preserve">armónico </w:t>
      </w:r>
      <w:r w:rsidRPr="004068F6">
        <w:rPr>
          <w:rFonts w:cs="Arial"/>
        </w:rPr>
        <w:t xml:space="preserve">de los términos de referencia, estos últimos dirigidos a señalar los requerimientos de información, en tanto la </w:t>
      </w:r>
      <w:r w:rsidR="000D1650" w:rsidRPr="004068F6">
        <w:rPr>
          <w:rFonts w:cs="Arial"/>
        </w:rPr>
        <w:t xml:space="preserve">MGEPEA </w:t>
      </w:r>
      <w:r w:rsidRPr="004068F6">
        <w:rPr>
          <w:rFonts w:cs="Arial"/>
        </w:rPr>
        <w:t xml:space="preserve">establece </w:t>
      </w:r>
      <w:r w:rsidR="000D1650" w:rsidRPr="004068F6">
        <w:rPr>
          <w:rFonts w:cs="Arial"/>
        </w:rPr>
        <w:t xml:space="preserve">orientaciones generales </w:t>
      </w:r>
      <w:r w:rsidRPr="004068F6">
        <w:rPr>
          <w:rFonts w:cs="Arial"/>
        </w:rPr>
        <w:t>para el levantamiento, procesamiento</w:t>
      </w:r>
      <w:r w:rsidR="00567ADE" w:rsidRPr="004068F6">
        <w:rPr>
          <w:rFonts w:cs="Arial"/>
        </w:rPr>
        <w:t>,</w:t>
      </w:r>
      <w:r w:rsidRPr="004068F6">
        <w:rPr>
          <w:rFonts w:cs="Arial"/>
        </w:rPr>
        <w:t xml:space="preserve"> análisis </w:t>
      </w:r>
      <w:r w:rsidR="00567ADE" w:rsidRPr="004068F6">
        <w:rPr>
          <w:rFonts w:cs="Arial"/>
        </w:rPr>
        <w:t xml:space="preserve">y generación </w:t>
      </w:r>
      <w:r w:rsidRPr="004068F6">
        <w:rPr>
          <w:rFonts w:cs="Arial"/>
        </w:rPr>
        <w:t>de la información de cada tipo de estudio ambiental, siendo cuidadosa de señalar los principales conceptos involucrados en el proceso de elaboración y presentación de estudios ambientales.</w:t>
      </w:r>
      <w:r w:rsidR="000D1650" w:rsidRPr="004068F6">
        <w:rPr>
          <w:rFonts w:cs="Arial"/>
        </w:rPr>
        <w:t xml:space="preserve"> Los lineamientos metodológicos considerados en la MGEPEA deben ser aplicados de acuerdo con las particularidades de</w:t>
      </w:r>
      <w:r w:rsidR="004A7D6E" w:rsidRPr="004068F6">
        <w:rPr>
          <w:rFonts w:cs="Arial"/>
        </w:rPr>
        <w:t xml:space="preserve"> cada</w:t>
      </w:r>
      <w:r w:rsidR="000D1650" w:rsidRPr="004068F6">
        <w:rPr>
          <w:rFonts w:cs="Arial"/>
        </w:rPr>
        <w:t xml:space="preserve"> proyecto, obra o actividad.</w:t>
      </w:r>
    </w:p>
    <w:p w14:paraId="1F19B900" w14:textId="3FA4B96E" w:rsidR="00317B09" w:rsidRPr="004068F6" w:rsidRDefault="00317B09" w:rsidP="00317B09">
      <w:pPr>
        <w:numPr>
          <w:ilvl w:val="12"/>
          <w:numId w:val="0"/>
        </w:numPr>
        <w:tabs>
          <w:tab w:val="left" w:pos="-2268"/>
        </w:tabs>
        <w:suppressAutoHyphens/>
        <w:rPr>
          <w:rFonts w:cs="Arial"/>
        </w:rPr>
      </w:pPr>
    </w:p>
    <w:p w14:paraId="284DB3B2" w14:textId="353C5CED" w:rsidR="00317B09" w:rsidRPr="004068F6" w:rsidRDefault="00317B09" w:rsidP="00317B09">
      <w:pPr>
        <w:numPr>
          <w:ilvl w:val="12"/>
          <w:numId w:val="0"/>
        </w:numPr>
        <w:tabs>
          <w:tab w:val="left" w:pos="-2268"/>
        </w:tabs>
        <w:suppressAutoHyphens/>
        <w:rPr>
          <w:rFonts w:cs="Arial"/>
        </w:rPr>
      </w:pPr>
      <w:r w:rsidRPr="004068F6">
        <w:rPr>
          <w:rFonts w:cs="Arial"/>
        </w:rPr>
        <w:t xml:space="preserve">La </w:t>
      </w:r>
      <w:r w:rsidR="000D1650" w:rsidRPr="004068F6">
        <w:rPr>
          <w:rFonts w:cs="Arial"/>
        </w:rPr>
        <w:t xml:space="preserve">MGEPEA </w:t>
      </w:r>
      <w:r w:rsidRPr="004068F6">
        <w:rPr>
          <w:rFonts w:cs="Arial"/>
        </w:rPr>
        <w:t>se encuentra organizada en tres capítulos: el primero (I) de ellos es general, aplica a todos los estudios ambientales y señala los lineamientos generales para su elaboración, relaciona las fuentes de información a emplear y establece las especificaciones documentales y de presentación de información geográfica y cartográfica que se han de seguir para la presentación de los estudios ambientales</w:t>
      </w:r>
      <w:r w:rsidR="003C6C77" w:rsidRPr="004068F6">
        <w:rPr>
          <w:rFonts w:cs="Arial"/>
        </w:rPr>
        <w:t xml:space="preserve"> </w:t>
      </w:r>
      <w:r w:rsidR="007C4AF9" w:rsidRPr="004068F6">
        <w:rPr>
          <w:rFonts w:cs="Arial"/>
        </w:rPr>
        <w:t>a fin de</w:t>
      </w:r>
      <w:r w:rsidR="003C6C77" w:rsidRPr="004068F6">
        <w:rPr>
          <w:rFonts w:cs="Arial"/>
        </w:rPr>
        <w:t xml:space="preserve"> asegurar su compatibilidad con el Modelo de Almacenamiento Geográfico </w:t>
      </w:r>
      <w:r w:rsidR="003C6C77" w:rsidRPr="004068F6">
        <w:rPr>
          <w:rFonts w:cs="Arial"/>
        </w:rPr>
        <w:lastRenderedPageBreak/>
        <w:t>(MAG)</w:t>
      </w:r>
      <w:r w:rsidRPr="004068F6">
        <w:rPr>
          <w:rFonts w:cs="Arial"/>
        </w:rPr>
        <w:t>; el segundo (II) determina las especificaciones técnicas que se deben tener en consideración para elaborar el Diagnóstico Ambiental de Alternativas y; el tercero (III) dispone las especificaciones técnicas necesarias para elaborar el Estudio de Impacto Ambiental.</w:t>
      </w:r>
    </w:p>
    <w:p w14:paraId="47F38ACE" w14:textId="77777777" w:rsidR="00317B09" w:rsidRPr="004068F6" w:rsidRDefault="00317B09" w:rsidP="00317B09">
      <w:pPr>
        <w:numPr>
          <w:ilvl w:val="12"/>
          <w:numId w:val="0"/>
        </w:numPr>
        <w:tabs>
          <w:tab w:val="left" w:pos="-2268"/>
        </w:tabs>
        <w:suppressAutoHyphens/>
        <w:rPr>
          <w:rFonts w:cs="Arial"/>
        </w:rPr>
      </w:pPr>
    </w:p>
    <w:p w14:paraId="604E0613" w14:textId="34804850" w:rsidR="008035F2" w:rsidRPr="004068F6" w:rsidRDefault="00317B09">
      <w:pPr>
        <w:numPr>
          <w:ilvl w:val="12"/>
          <w:numId w:val="0"/>
        </w:numPr>
        <w:tabs>
          <w:tab w:val="left" w:pos="-2268"/>
        </w:tabs>
        <w:suppressAutoHyphens/>
        <w:rPr>
          <w:rFonts w:cs="Arial"/>
        </w:rPr>
      </w:pPr>
      <w:r w:rsidRPr="004068F6">
        <w:rPr>
          <w:rFonts w:cs="Arial"/>
        </w:rPr>
        <w:t xml:space="preserve">Se recomienda abordar la lectura de este documento siguiendo en orden sus capítulos; sin embargo y según las necesidades puntuales del estudio ambiental que se desee elaborar, es posible abordar los capítulos de manera independiente cuidando de atender las consideraciones </w:t>
      </w:r>
      <w:r w:rsidR="000D1650" w:rsidRPr="004068F6">
        <w:rPr>
          <w:rFonts w:cs="Arial"/>
        </w:rPr>
        <w:t xml:space="preserve">generales </w:t>
      </w:r>
      <w:r w:rsidRPr="004068F6">
        <w:rPr>
          <w:rFonts w:cs="Arial"/>
        </w:rPr>
        <w:t>planteadas en el primer capítulo.</w:t>
      </w:r>
    </w:p>
    <w:p w14:paraId="2C4C005D" w14:textId="76B55415" w:rsidR="00FA60FE" w:rsidRPr="004068F6" w:rsidRDefault="00FA60FE">
      <w:pPr>
        <w:numPr>
          <w:ilvl w:val="12"/>
          <w:numId w:val="0"/>
        </w:numPr>
        <w:tabs>
          <w:tab w:val="left" w:pos="-2268"/>
        </w:tabs>
        <w:suppressAutoHyphens/>
      </w:pPr>
      <w:r w:rsidRPr="004068F6">
        <w:br w:type="page"/>
      </w:r>
    </w:p>
    <w:p w14:paraId="7AB6B41E" w14:textId="143092F0" w:rsidR="008035F2" w:rsidRPr="004068F6" w:rsidRDefault="008035F2" w:rsidP="008035F2">
      <w:pPr>
        <w:pStyle w:val="Captulosinnumero"/>
        <w:rPr>
          <w:lang w:val="es-CO"/>
        </w:rPr>
      </w:pPr>
      <w:bookmarkStart w:id="7" w:name="_Toc437935971"/>
      <w:bookmarkStart w:id="8" w:name="_Toc230879549"/>
      <w:r w:rsidRPr="004068F6">
        <w:rPr>
          <w:lang w:val="es-CO"/>
        </w:rPr>
        <w:lastRenderedPageBreak/>
        <w:t>LISTA DE ACRÓNIMOS Y SIGLAS</w:t>
      </w:r>
      <w:bookmarkEnd w:id="7"/>
      <w:bookmarkEnd w:id="8"/>
    </w:p>
    <w:p w14:paraId="52A92D48" w14:textId="77777777" w:rsidR="0056031B" w:rsidRPr="004068F6" w:rsidRDefault="0056031B">
      <w:pPr>
        <w:numPr>
          <w:ilvl w:val="12"/>
          <w:numId w:val="0"/>
        </w:numPr>
        <w:tabs>
          <w:tab w:val="left" w:pos="-2268"/>
        </w:tabs>
        <w:suppressAutoHyphens/>
      </w:pPr>
    </w:p>
    <w:p w14:paraId="3EEAEB31" w14:textId="537AF98E" w:rsidR="008B582F" w:rsidRDefault="008B582F">
      <w:pPr>
        <w:numPr>
          <w:ilvl w:val="12"/>
          <w:numId w:val="0"/>
        </w:numPr>
        <w:tabs>
          <w:tab w:val="left" w:pos="-2268"/>
        </w:tabs>
        <w:suppressAutoHyphens/>
        <w:rPr>
          <w:bCs/>
        </w:rPr>
      </w:pPr>
      <w:r w:rsidRPr="008B582F">
        <w:rPr>
          <w:b/>
        </w:rPr>
        <w:t>APPA</w:t>
      </w:r>
      <w:r w:rsidRPr="00E64F04">
        <w:rPr>
          <w:bCs/>
        </w:rPr>
        <w:t>: Área de Protección de la Producción de Alimentos</w:t>
      </w:r>
    </w:p>
    <w:p w14:paraId="2B19CAC9" w14:textId="77777777" w:rsidR="008B582F" w:rsidRPr="00E64F04" w:rsidRDefault="008B582F">
      <w:pPr>
        <w:numPr>
          <w:ilvl w:val="12"/>
          <w:numId w:val="0"/>
        </w:numPr>
        <w:tabs>
          <w:tab w:val="left" w:pos="-2268"/>
        </w:tabs>
        <w:suppressAutoHyphens/>
        <w:rPr>
          <w:bCs/>
        </w:rPr>
      </w:pPr>
    </w:p>
    <w:p w14:paraId="64BD2B21" w14:textId="728A4E4E" w:rsidR="0056031B" w:rsidRPr="004068F6" w:rsidRDefault="0056031B">
      <w:pPr>
        <w:numPr>
          <w:ilvl w:val="12"/>
          <w:numId w:val="0"/>
        </w:numPr>
        <w:tabs>
          <w:tab w:val="left" w:pos="-2268"/>
        </w:tabs>
        <w:suppressAutoHyphens/>
      </w:pPr>
      <w:r w:rsidRPr="004068F6">
        <w:rPr>
          <w:b/>
        </w:rPr>
        <w:t>ACB</w:t>
      </w:r>
      <w:r w:rsidRPr="004068F6">
        <w:t>: Análisis Costo Beneficio</w:t>
      </w:r>
    </w:p>
    <w:p w14:paraId="793ABEB8" w14:textId="77777777" w:rsidR="0056031B" w:rsidRPr="004068F6" w:rsidRDefault="0056031B">
      <w:pPr>
        <w:numPr>
          <w:ilvl w:val="12"/>
          <w:numId w:val="0"/>
        </w:numPr>
        <w:tabs>
          <w:tab w:val="left" w:pos="-2268"/>
        </w:tabs>
        <w:suppressAutoHyphens/>
      </w:pPr>
    </w:p>
    <w:p w14:paraId="482C8B6C" w14:textId="77777777" w:rsidR="0056031B" w:rsidRPr="004068F6" w:rsidRDefault="0056031B">
      <w:pPr>
        <w:numPr>
          <w:ilvl w:val="12"/>
          <w:numId w:val="0"/>
        </w:numPr>
        <w:tabs>
          <w:tab w:val="left" w:pos="-2268"/>
        </w:tabs>
        <w:suppressAutoHyphens/>
      </w:pPr>
      <w:r w:rsidRPr="004068F6">
        <w:rPr>
          <w:b/>
        </w:rPr>
        <w:t>ADR</w:t>
      </w:r>
      <w:r w:rsidRPr="004068F6">
        <w:t>: Agencia de Desarrollo Rural</w:t>
      </w:r>
    </w:p>
    <w:p w14:paraId="6C404997" w14:textId="77777777" w:rsidR="0056031B" w:rsidRPr="004068F6" w:rsidRDefault="0056031B">
      <w:pPr>
        <w:numPr>
          <w:ilvl w:val="12"/>
          <w:numId w:val="0"/>
        </w:numPr>
        <w:tabs>
          <w:tab w:val="left" w:pos="-2268"/>
        </w:tabs>
        <w:suppressAutoHyphens/>
      </w:pPr>
    </w:p>
    <w:p w14:paraId="0223FF0E" w14:textId="2F604437" w:rsidR="00D61BFE" w:rsidRPr="004068F6" w:rsidRDefault="00D61BFE" w:rsidP="00121B89">
      <w:pPr>
        <w:numPr>
          <w:ilvl w:val="12"/>
          <w:numId w:val="0"/>
        </w:numPr>
        <w:tabs>
          <w:tab w:val="left" w:pos="-2268"/>
        </w:tabs>
        <w:suppressAutoHyphens/>
        <w:rPr>
          <w:rFonts w:cs="Arial"/>
          <w:b/>
        </w:rPr>
      </w:pPr>
      <w:r w:rsidRPr="004068F6">
        <w:rPr>
          <w:rFonts w:cs="Arial"/>
          <w:b/>
        </w:rPr>
        <w:t>AEIA</w:t>
      </w:r>
      <w:r w:rsidRPr="00127BD4">
        <w:rPr>
          <w:rFonts w:cs="Arial"/>
          <w:bCs/>
        </w:rPr>
        <w:t>:</w:t>
      </w:r>
      <w:r w:rsidRPr="004068F6">
        <w:rPr>
          <w:rFonts w:cs="Arial"/>
          <w:bCs/>
        </w:rPr>
        <w:t xml:space="preserve"> Área de Especial Interés Ambiental</w:t>
      </w:r>
    </w:p>
    <w:p w14:paraId="577ED409" w14:textId="77777777" w:rsidR="00D61BFE" w:rsidRPr="004068F6" w:rsidRDefault="00D61BFE" w:rsidP="00121B89">
      <w:pPr>
        <w:numPr>
          <w:ilvl w:val="12"/>
          <w:numId w:val="0"/>
        </w:numPr>
        <w:tabs>
          <w:tab w:val="left" w:pos="-2268"/>
        </w:tabs>
        <w:suppressAutoHyphens/>
        <w:rPr>
          <w:rFonts w:cs="Arial"/>
          <w:b/>
        </w:rPr>
      </w:pPr>
    </w:p>
    <w:p w14:paraId="0564DFC5" w14:textId="1F9DC1E4" w:rsidR="0056031B" w:rsidRPr="004068F6" w:rsidRDefault="0056031B" w:rsidP="00121B89">
      <w:pPr>
        <w:numPr>
          <w:ilvl w:val="12"/>
          <w:numId w:val="0"/>
        </w:numPr>
        <w:tabs>
          <w:tab w:val="left" w:pos="-2268"/>
        </w:tabs>
        <w:suppressAutoHyphens/>
        <w:rPr>
          <w:rFonts w:cs="Arial"/>
        </w:rPr>
      </w:pPr>
      <w:r w:rsidRPr="004068F6">
        <w:rPr>
          <w:rFonts w:cs="Arial"/>
          <w:b/>
        </w:rPr>
        <w:t>Agrosavia</w:t>
      </w:r>
      <w:r w:rsidRPr="004068F6">
        <w:rPr>
          <w:rFonts w:cs="Arial"/>
        </w:rPr>
        <w:t>: Corporación colombiana de investigación agropecuaria</w:t>
      </w:r>
    </w:p>
    <w:p w14:paraId="0EABD18C" w14:textId="77777777" w:rsidR="0056031B" w:rsidRPr="004068F6" w:rsidRDefault="0056031B" w:rsidP="00121B89">
      <w:pPr>
        <w:numPr>
          <w:ilvl w:val="12"/>
          <w:numId w:val="0"/>
        </w:numPr>
        <w:tabs>
          <w:tab w:val="left" w:pos="-2268"/>
        </w:tabs>
        <w:suppressAutoHyphens/>
        <w:rPr>
          <w:rFonts w:cs="Arial"/>
        </w:rPr>
      </w:pPr>
    </w:p>
    <w:p w14:paraId="09E939F3" w14:textId="77777777" w:rsidR="0056031B" w:rsidRPr="004068F6" w:rsidRDefault="0056031B">
      <w:pPr>
        <w:numPr>
          <w:ilvl w:val="12"/>
          <w:numId w:val="0"/>
        </w:numPr>
        <w:tabs>
          <w:tab w:val="left" w:pos="-2268"/>
        </w:tabs>
        <w:suppressAutoHyphens/>
      </w:pPr>
      <w:r w:rsidRPr="004068F6">
        <w:rPr>
          <w:b/>
        </w:rPr>
        <w:t>AICA</w:t>
      </w:r>
      <w:r w:rsidRPr="004068F6">
        <w:t>: Área Importante para la Conservación de las Aves</w:t>
      </w:r>
    </w:p>
    <w:p w14:paraId="084C5943" w14:textId="77777777" w:rsidR="0056031B" w:rsidRPr="004068F6" w:rsidRDefault="0056031B">
      <w:pPr>
        <w:numPr>
          <w:ilvl w:val="12"/>
          <w:numId w:val="0"/>
        </w:numPr>
        <w:tabs>
          <w:tab w:val="left" w:pos="-2268"/>
        </w:tabs>
        <w:suppressAutoHyphens/>
      </w:pPr>
    </w:p>
    <w:p w14:paraId="5360C74A" w14:textId="77777777" w:rsidR="0056031B" w:rsidRPr="004068F6" w:rsidRDefault="0056031B">
      <w:pPr>
        <w:numPr>
          <w:ilvl w:val="12"/>
          <w:numId w:val="0"/>
        </w:numPr>
        <w:tabs>
          <w:tab w:val="left" w:pos="-2268"/>
        </w:tabs>
        <w:suppressAutoHyphens/>
      </w:pPr>
      <w:r w:rsidRPr="004068F6">
        <w:rPr>
          <w:b/>
        </w:rPr>
        <w:t>ANH</w:t>
      </w:r>
      <w:r w:rsidRPr="004068F6">
        <w:t>: Agencia Nacional de Hidrocarburos</w:t>
      </w:r>
    </w:p>
    <w:p w14:paraId="0F02234F" w14:textId="77777777" w:rsidR="0056031B" w:rsidRPr="004068F6" w:rsidRDefault="0056031B">
      <w:pPr>
        <w:numPr>
          <w:ilvl w:val="12"/>
          <w:numId w:val="0"/>
        </w:numPr>
        <w:tabs>
          <w:tab w:val="left" w:pos="-2268"/>
        </w:tabs>
        <w:suppressAutoHyphens/>
      </w:pPr>
    </w:p>
    <w:p w14:paraId="42CA3B92" w14:textId="77777777" w:rsidR="0056031B" w:rsidRPr="004068F6" w:rsidRDefault="0056031B">
      <w:pPr>
        <w:numPr>
          <w:ilvl w:val="12"/>
          <w:numId w:val="0"/>
        </w:numPr>
        <w:tabs>
          <w:tab w:val="left" w:pos="-2268"/>
        </w:tabs>
        <w:suppressAutoHyphens/>
      </w:pPr>
      <w:r w:rsidRPr="004068F6">
        <w:rPr>
          <w:b/>
        </w:rPr>
        <w:t>ANLA</w:t>
      </w:r>
      <w:r w:rsidRPr="004068F6">
        <w:t>: Autoridad Nacional de Licencias Ambientales</w:t>
      </w:r>
    </w:p>
    <w:p w14:paraId="48C63DC1" w14:textId="77777777" w:rsidR="0056031B" w:rsidRPr="004068F6" w:rsidRDefault="0056031B">
      <w:pPr>
        <w:numPr>
          <w:ilvl w:val="12"/>
          <w:numId w:val="0"/>
        </w:numPr>
        <w:tabs>
          <w:tab w:val="left" w:pos="-2268"/>
        </w:tabs>
        <w:suppressAutoHyphens/>
      </w:pPr>
    </w:p>
    <w:p w14:paraId="635C3A23" w14:textId="77777777" w:rsidR="0056031B" w:rsidRPr="004068F6" w:rsidRDefault="0056031B">
      <w:pPr>
        <w:numPr>
          <w:ilvl w:val="12"/>
          <w:numId w:val="0"/>
        </w:numPr>
        <w:tabs>
          <w:tab w:val="left" w:pos="-2268"/>
        </w:tabs>
        <w:suppressAutoHyphens/>
      </w:pPr>
      <w:r w:rsidRPr="004068F6">
        <w:rPr>
          <w:b/>
        </w:rPr>
        <w:t>ANM</w:t>
      </w:r>
      <w:r w:rsidRPr="004068F6">
        <w:t>: Agencia Nacional de Minería</w:t>
      </w:r>
    </w:p>
    <w:p w14:paraId="4A89189C" w14:textId="77777777" w:rsidR="0056031B" w:rsidRPr="004068F6" w:rsidRDefault="0056031B">
      <w:pPr>
        <w:numPr>
          <w:ilvl w:val="12"/>
          <w:numId w:val="0"/>
        </w:numPr>
        <w:tabs>
          <w:tab w:val="left" w:pos="-2268"/>
        </w:tabs>
        <w:suppressAutoHyphens/>
      </w:pPr>
    </w:p>
    <w:p w14:paraId="642F3258" w14:textId="77777777" w:rsidR="0056031B" w:rsidRPr="004068F6" w:rsidRDefault="0056031B" w:rsidP="00121B89">
      <w:pPr>
        <w:numPr>
          <w:ilvl w:val="12"/>
          <w:numId w:val="0"/>
        </w:numPr>
        <w:tabs>
          <w:tab w:val="left" w:pos="-2268"/>
        </w:tabs>
        <w:suppressAutoHyphens/>
        <w:rPr>
          <w:rFonts w:cs="Arial"/>
        </w:rPr>
      </w:pPr>
      <w:r w:rsidRPr="004068F6">
        <w:rPr>
          <w:rFonts w:cs="Arial"/>
          <w:b/>
        </w:rPr>
        <w:t>ANSPE</w:t>
      </w:r>
      <w:r w:rsidRPr="004068F6">
        <w:rPr>
          <w:rFonts w:cs="Arial"/>
        </w:rPr>
        <w:t>: Agencia Nacional para la Superación de la Pobreza Extrema</w:t>
      </w:r>
    </w:p>
    <w:p w14:paraId="79594FBC" w14:textId="77777777" w:rsidR="0056031B" w:rsidRPr="004068F6" w:rsidRDefault="0056031B" w:rsidP="00121B89">
      <w:pPr>
        <w:numPr>
          <w:ilvl w:val="12"/>
          <w:numId w:val="0"/>
        </w:numPr>
        <w:tabs>
          <w:tab w:val="left" w:pos="-2268"/>
        </w:tabs>
        <w:suppressAutoHyphens/>
        <w:rPr>
          <w:rFonts w:cs="Arial"/>
        </w:rPr>
      </w:pPr>
    </w:p>
    <w:p w14:paraId="01AB4DD0" w14:textId="77777777" w:rsidR="0056031B" w:rsidRPr="004068F6" w:rsidRDefault="0056031B">
      <w:pPr>
        <w:numPr>
          <w:ilvl w:val="12"/>
          <w:numId w:val="0"/>
        </w:numPr>
        <w:tabs>
          <w:tab w:val="left" w:pos="-2268"/>
        </w:tabs>
        <w:suppressAutoHyphens/>
      </w:pPr>
      <w:r w:rsidRPr="004068F6">
        <w:rPr>
          <w:b/>
        </w:rPr>
        <w:t>ANT</w:t>
      </w:r>
      <w:r w:rsidRPr="004068F6">
        <w:t>: Agencia Nacional de Tierras</w:t>
      </w:r>
    </w:p>
    <w:p w14:paraId="7087DEAE" w14:textId="77777777" w:rsidR="0056031B" w:rsidRPr="004068F6" w:rsidRDefault="0056031B">
      <w:pPr>
        <w:numPr>
          <w:ilvl w:val="12"/>
          <w:numId w:val="0"/>
        </w:numPr>
        <w:tabs>
          <w:tab w:val="left" w:pos="-2268"/>
        </w:tabs>
        <w:suppressAutoHyphens/>
      </w:pPr>
    </w:p>
    <w:p w14:paraId="23D4D0FF" w14:textId="429B71F5" w:rsidR="0056031B" w:rsidRPr="004068F6" w:rsidRDefault="0056031B">
      <w:pPr>
        <w:numPr>
          <w:ilvl w:val="12"/>
          <w:numId w:val="0"/>
        </w:numPr>
        <w:tabs>
          <w:tab w:val="left" w:pos="-2268"/>
        </w:tabs>
        <w:suppressAutoHyphens/>
      </w:pPr>
      <w:r w:rsidRPr="004068F6">
        <w:rPr>
          <w:b/>
        </w:rPr>
        <w:t>Aunap</w:t>
      </w:r>
      <w:r w:rsidRPr="004068F6">
        <w:t xml:space="preserve">: Autoridad </w:t>
      </w:r>
      <w:r w:rsidR="001E204A" w:rsidRPr="004068F6">
        <w:t>n</w:t>
      </w:r>
      <w:r w:rsidRPr="004068F6">
        <w:t xml:space="preserve">acional de </w:t>
      </w:r>
      <w:r w:rsidR="001E204A" w:rsidRPr="004068F6">
        <w:t>a</w:t>
      </w:r>
      <w:r w:rsidRPr="004068F6">
        <w:t xml:space="preserve">cuicultura y </w:t>
      </w:r>
      <w:r w:rsidR="001E204A" w:rsidRPr="004068F6">
        <w:t>p</w:t>
      </w:r>
      <w:r w:rsidRPr="004068F6">
        <w:t>esca</w:t>
      </w:r>
    </w:p>
    <w:p w14:paraId="02BDBD8A" w14:textId="77777777" w:rsidR="0056031B" w:rsidRPr="004068F6" w:rsidRDefault="0056031B">
      <w:pPr>
        <w:numPr>
          <w:ilvl w:val="12"/>
          <w:numId w:val="0"/>
        </w:numPr>
        <w:tabs>
          <w:tab w:val="left" w:pos="-2268"/>
        </w:tabs>
        <w:suppressAutoHyphens/>
      </w:pPr>
    </w:p>
    <w:p w14:paraId="36629577" w14:textId="10858188" w:rsidR="0056031B" w:rsidRPr="004068F6" w:rsidRDefault="0056031B">
      <w:pPr>
        <w:numPr>
          <w:ilvl w:val="12"/>
          <w:numId w:val="0"/>
        </w:numPr>
        <w:tabs>
          <w:tab w:val="left" w:pos="-2268"/>
        </w:tabs>
        <w:suppressAutoHyphens/>
      </w:pPr>
      <w:r w:rsidRPr="004068F6">
        <w:rPr>
          <w:b/>
        </w:rPr>
        <w:t>CCCP</w:t>
      </w:r>
      <w:r w:rsidRPr="004068F6">
        <w:t>: Centro de Investigaciones Oceanográficas e Hidrográficas del Pacífico</w:t>
      </w:r>
    </w:p>
    <w:p w14:paraId="703C5E8E" w14:textId="77777777" w:rsidR="0056031B" w:rsidRPr="004068F6" w:rsidRDefault="0056031B">
      <w:pPr>
        <w:numPr>
          <w:ilvl w:val="12"/>
          <w:numId w:val="0"/>
        </w:numPr>
        <w:tabs>
          <w:tab w:val="left" w:pos="-2268"/>
        </w:tabs>
        <w:suppressAutoHyphens/>
      </w:pPr>
    </w:p>
    <w:p w14:paraId="7F0CC401" w14:textId="77777777" w:rsidR="0056031B" w:rsidRPr="004068F6" w:rsidRDefault="0056031B">
      <w:pPr>
        <w:numPr>
          <w:ilvl w:val="12"/>
          <w:numId w:val="0"/>
        </w:numPr>
        <w:tabs>
          <w:tab w:val="left" w:pos="-2268"/>
        </w:tabs>
        <w:suppressAutoHyphens/>
      </w:pPr>
      <w:r w:rsidRPr="004068F6">
        <w:rPr>
          <w:b/>
        </w:rPr>
        <w:t>CCO</w:t>
      </w:r>
      <w:r w:rsidRPr="004068F6">
        <w:t>: Comisión Colombiana del Océano</w:t>
      </w:r>
    </w:p>
    <w:p w14:paraId="02806E9D" w14:textId="77777777" w:rsidR="0056031B" w:rsidRPr="00C75D45" w:rsidRDefault="0056031B">
      <w:pPr>
        <w:numPr>
          <w:ilvl w:val="12"/>
          <w:numId w:val="0"/>
        </w:numPr>
        <w:tabs>
          <w:tab w:val="left" w:pos="-2268"/>
        </w:tabs>
        <w:suppressAutoHyphens/>
      </w:pPr>
    </w:p>
    <w:p w14:paraId="27C84909" w14:textId="6EC47E86" w:rsidR="0056031B" w:rsidRPr="004068F6" w:rsidRDefault="0056031B">
      <w:pPr>
        <w:numPr>
          <w:ilvl w:val="12"/>
          <w:numId w:val="0"/>
        </w:numPr>
        <w:tabs>
          <w:tab w:val="left" w:pos="-2268"/>
        </w:tabs>
        <w:suppressAutoHyphens/>
      </w:pPr>
      <w:r w:rsidRPr="00C75D45">
        <w:rPr>
          <w:b/>
        </w:rPr>
        <w:t>CFRS</w:t>
      </w:r>
      <w:r w:rsidRPr="00C75D45">
        <w:t xml:space="preserve">: </w:t>
      </w:r>
      <w:r w:rsidRPr="00C75D45">
        <w:rPr>
          <w:iCs/>
        </w:rPr>
        <w:t>Climate Forecast System Reanalysis</w:t>
      </w:r>
      <w:r w:rsidRPr="004068F6">
        <w:t xml:space="preserve"> (Sistema de Reanálisis de Pronóstico del Clima)</w:t>
      </w:r>
    </w:p>
    <w:p w14:paraId="2F83C663" w14:textId="77777777" w:rsidR="0056031B" w:rsidRPr="004068F6" w:rsidRDefault="0056031B">
      <w:pPr>
        <w:numPr>
          <w:ilvl w:val="12"/>
          <w:numId w:val="0"/>
        </w:numPr>
        <w:tabs>
          <w:tab w:val="left" w:pos="-2268"/>
        </w:tabs>
        <w:suppressAutoHyphens/>
      </w:pPr>
    </w:p>
    <w:p w14:paraId="49A69CAF" w14:textId="77777777" w:rsidR="0056031B" w:rsidRPr="004068F6" w:rsidRDefault="0056031B">
      <w:pPr>
        <w:numPr>
          <w:ilvl w:val="12"/>
          <w:numId w:val="0"/>
        </w:numPr>
        <w:tabs>
          <w:tab w:val="left" w:pos="-2268"/>
        </w:tabs>
        <w:suppressAutoHyphens/>
      </w:pPr>
      <w:r w:rsidRPr="004068F6">
        <w:rPr>
          <w:b/>
        </w:rPr>
        <w:t>CIOH</w:t>
      </w:r>
      <w:r w:rsidRPr="004068F6">
        <w:t>: Centro de Investigaciones Oceanográficas e Hidrográficas del Caribe</w:t>
      </w:r>
    </w:p>
    <w:p w14:paraId="2A0EF7B6" w14:textId="77777777" w:rsidR="0056031B" w:rsidRPr="004068F6" w:rsidRDefault="0056031B">
      <w:pPr>
        <w:numPr>
          <w:ilvl w:val="12"/>
          <w:numId w:val="0"/>
        </w:numPr>
        <w:tabs>
          <w:tab w:val="left" w:pos="-2268"/>
        </w:tabs>
        <w:suppressAutoHyphens/>
      </w:pPr>
    </w:p>
    <w:p w14:paraId="17D5CB2E" w14:textId="31020BE1" w:rsidR="0056031B" w:rsidRPr="004068F6" w:rsidRDefault="0056031B">
      <w:pPr>
        <w:numPr>
          <w:ilvl w:val="12"/>
          <w:numId w:val="0"/>
        </w:numPr>
        <w:tabs>
          <w:tab w:val="left" w:pos="-2268"/>
        </w:tabs>
        <w:suppressAutoHyphens/>
      </w:pPr>
      <w:r w:rsidRPr="004068F6">
        <w:rPr>
          <w:b/>
        </w:rPr>
        <w:t>Cites</w:t>
      </w:r>
      <w:r w:rsidRPr="004068F6">
        <w:t xml:space="preserve">: Convención sobre el </w:t>
      </w:r>
      <w:r w:rsidR="001E204A" w:rsidRPr="004068F6">
        <w:t>c</w:t>
      </w:r>
      <w:r w:rsidRPr="004068F6">
        <w:t xml:space="preserve">omercio </w:t>
      </w:r>
      <w:r w:rsidR="001E204A" w:rsidRPr="004068F6">
        <w:t>i</w:t>
      </w:r>
      <w:r w:rsidRPr="004068F6">
        <w:t xml:space="preserve">nternacional de </w:t>
      </w:r>
      <w:r w:rsidR="001E204A" w:rsidRPr="004068F6">
        <w:t>e</w:t>
      </w:r>
      <w:r w:rsidRPr="004068F6">
        <w:t xml:space="preserve">species </w:t>
      </w:r>
      <w:r w:rsidR="001E204A" w:rsidRPr="004068F6">
        <w:t>a</w:t>
      </w:r>
      <w:r w:rsidRPr="004068F6">
        <w:t xml:space="preserve">menazadas de </w:t>
      </w:r>
      <w:r w:rsidR="001E204A" w:rsidRPr="004068F6">
        <w:t>f</w:t>
      </w:r>
      <w:r w:rsidRPr="004068F6">
        <w:t xml:space="preserve">auna y </w:t>
      </w:r>
      <w:r w:rsidR="001E204A" w:rsidRPr="004068F6">
        <w:t>f</w:t>
      </w:r>
      <w:r w:rsidRPr="004068F6">
        <w:t xml:space="preserve">lora </w:t>
      </w:r>
      <w:r w:rsidR="001E204A" w:rsidRPr="004068F6">
        <w:t>s</w:t>
      </w:r>
      <w:r w:rsidRPr="004068F6">
        <w:t>ilvestres</w:t>
      </w:r>
    </w:p>
    <w:p w14:paraId="20FF842B" w14:textId="77777777" w:rsidR="0056031B" w:rsidRPr="004068F6" w:rsidRDefault="0056031B">
      <w:pPr>
        <w:numPr>
          <w:ilvl w:val="12"/>
          <w:numId w:val="0"/>
        </w:numPr>
        <w:tabs>
          <w:tab w:val="left" w:pos="-2268"/>
        </w:tabs>
        <w:suppressAutoHyphens/>
      </w:pPr>
    </w:p>
    <w:p w14:paraId="62E364C4" w14:textId="226B943E" w:rsidR="008B1F1A" w:rsidRPr="004068F6" w:rsidRDefault="008B1F1A">
      <w:pPr>
        <w:numPr>
          <w:ilvl w:val="12"/>
          <w:numId w:val="0"/>
        </w:numPr>
        <w:tabs>
          <w:tab w:val="left" w:pos="-2268"/>
        </w:tabs>
        <w:suppressAutoHyphens/>
      </w:pPr>
      <w:r w:rsidRPr="004068F6">
        <w:rPr>
          <w:b/>
          <w:bCs/>
        </w:rPr>
        <w:t xml:space="preserve">COI: </w:t>
      </w:r>
      <w:r w:rsidRPr="004068F6">
        <w:t>Comisión Oceanográfica Intergubernamental</w:t>
      </w:r>
    </w:p>
    <w:p w14:paraId="41C7B6B7" w14:textId="77777777" w:rsidR="008B1F1A" w:rsidRPr="004068F6" w:rsidRDefault="008B1F1A">
      <w:pPr>
        <w:numPr>
          <w:ilvl w:val="12"/>
          <w:numId w:val="0"/>
        </w:numPr>
        <w:tabs>
          <w:tab w:val="left" w:pos="-2268"/>
        </w:tabs>
        <w:suppressAutoHyphens/>
      </w:pPr>
    </w:p>
    <w:p w14:paraId="4E6B8EE7" w14:textId="77777777" w:rsidR="00702021" w:rsidRPr="004068F6" w:rsidRDefault="00702021" w:rsidP="00121B89">
      <w:pPr>
        <w:numPr>
          <w:ilvl w:val="12"/>
          <w:numId w:val="0"/>
        </w:numPr>
        <w:tabs>
          <w:tab w:val="left" w:pos="-2268"/>
        </w:tabs>
        <w:suppressAutoHyphens/>
        <w:rPr>
          <w:rFonts w:cs="Arial"/>
          <w:b/>
        </w:rPr>
      </w:pPr>
      <w:r w:rsidRPr="004068F6">
        <w:rPr>
          <w:b/>
          <w:bCs/>
        </w:rPr>
        <w:t xml:space="preserve">CMNUCC: </w:t>
      </w:r>
      <w:r w:rsidRPr="004068F6">
        <w:t>Convención Marco de las Naciones Unidas sobre el Cambio Climático</w:t>
      </w:r>
      <w:r w:rsidRPr="004068F6">
        <w:rPr>
          <w:rFonts w:cs="Arial"/>
          <w:b/>
        </w:rPr>
        <w:t xml:space="preserve"> </w:t>
      </w:r>
    </w:p>
    <w:p w14:paraId="08BAF361" w14:textId="77777777" w:rsidR="00702021" w:rsidRPr="004068F6" w:rsidRDefault="00702021" w:rsidP="00121B89">
      <w:pPr>
        <w:numPr>
          <w:ilvl w:val="12"/>
          <w:numId w:val="0"/>
        </w:numPr>
        <w:tabs>
          <w:tab w:val="left" w:pos="-2268"/>
        </w:tabs>
        <w:suppressAutoHyphens/>
        <w:rPr>
          <w:rFonts w:cs="Arial"/>
          <w:b/>
        </w:rPr>
      </w:pPr>
    </w:p>
    <w:p w14:paraId="7FE062DF" w14:textId="70410071" w:rsidR="0056031B" w:rsidRPr="004068F6" w:rsidRDefault="0056031B" w:rsidP="00121B89">
      <w:pPr>
        <w:numPr>
          <w:ilvl w:val="12"/>
          <w:numId w:val="0"/>
        </w:numPr>
        <w:tabs>
          <w:tab w:val="left" w:pos="-2268"/>
        </w:tabs>
        <w:suppressAutoHyphens/>
        <w:rPr>
          <w:rFonts w:cs="Arial"/>
        </w:rPr>
      </w:pPr>
      <w:r w:rsidRPr="004068F6">
        <w:rPr>
          <w:rFonts w:cs="Arial"/>
          <w:b/>
        </w:rPr>
        <w:lastRenderedPageBreak/>
        <w:t>Cormagdalena</w:t>
      </w:r>
      <w:r w:rsidRPr="004068F6">
        <w:rPr>
          <w:rFonts w:cs="Arial"/>
        </w:rPr>
        <w:t>: Corporación Autónoma Regional del Río Grande de la Magdalena</w:t>
      </w:r>
    </w:p>
    <w:p w14:paraId="05F3AC5F" w14:textId="77777777" w:rsidR="0056031B" w:rsidRPr="004068F6" w:rsidRDefault="0056031B" w:rsidP="00121B89">
      <w:pPr>
        <w:numPr>
          <w:ilvl w:val="12"/>
          <w:numId w:val="0"/>
        </w:numPr>
        <w:tabs>
          <w:tab w:val="left" w:pos="-2268"/>
        </w:tabs>
        <w:suppressAutoHyphens/>
        <w:rPr>
          <w:rFonts w:cs="Arial"/>
        </w:rPr>
      </w:pPr>
    </w:p>
    <w:p w14:paraId="5E3E09EF" w14:textId="77777777" w:rsidR="0056031B" w:rsidRPr="004068F6" w:rsidRDefault="0056031B">
      <w:pPr>
        <w:numPr>
          <w:ilvl w:val="12"/>
          <w:numId w:val="0"/>
        </w:numPr>
        <w:tabs>
          <w:tab w:val="left" w:pos="-2268"/>
        </w:tabs>
        <w:suppressAutoHyphens/>
      </w:pPr>
      <w:r w:rsidRPr="004068F6">
        <w:rPr>
          <w:b/>
        </w:rPr>
        <w:t>DAA</w:t>
      </w:r>
      <w:r w:rsidRPr="004068F6">
        <w:t>: Diagnóstico Ambiental de Alternativas</w:t>
      </w:r>
    </w:p>
    <w:p w14:paraId="22516FF0" w14:textId="77777777" w:rsidR="0056031B" w:rsidRPr="004068F6" w:rsidRDefault="0056031B">
      <w:pPr>
        <w:numPr>
          <w:ilvl w:val="12"/>
          <w:numId w:val="0"/>
        </w:numPr>
        <w:tabs>
          <w:tab w:val="left" w:pos="-2268"/>
        </w:tabs>
        <w:suppressAutoHyphens/>
      </w:pPr>
    </w:p>
    <w:p w14:paraId="3FAF73CC" w14:textId="77777777" w:rsidR="007C5BB4" w:rsidRPr="004068F6" w:rsidRDefault="007C5BB4" w:rsidP="007C5BB4">
      <w:pPr>
        <w:numPr>
          <w:ilvl w:val="12"/>
          <w:numId w:val="0"/>
        </w:numPr>
        <w:tabs>
          <w:tab w:val="left" w:pos="-2268"/>
        </w:tabs>
        <w:suppressAutoHyphens/>
      </w:pPr>
      <w:r w:rsidRPr="004068F6">
        <w:rPr>
          <w:b/>
          <w:bCs/>
        </w:rPr>
        <w:t>DANCP</w:t>
      </w:r>
      <w:r w:rsidRPr="00127BD4">
        <w:t>:</w:t>
      </w:r>
      <w:r w:rsidRPr="004068F6">
        <w:t xml:space="preserve"> Dirección de la Autoridad Nacional de Consulta Previa</w:t>
      </w:r>
    </w:p>
    <w:p w14:paraId="22590712" w14:textId="77777777" w:rsidR="007C5BB4" w:rsidRPr="004068F6" w:rsidRDefault="007C5BB4">
      <w:pPr>
        <w:numPr>
          <w:ilvl w:val="12"/>
          <w:numId w:val="0"/>
        </w:numPr>
        <w:tabs>
          <w:tab w:val="left" w:pos="-2268"/>
        </w:tabs>
        <w:suppressAutoHyphens/>
      </w:pPr>
    </w:p>
    <w:p w14:paraId="0D0FF882" w14:textId="77777777" w:rsidR="0056031B" w:rsidRPr="004068F6" w:rsidRDefault="0056031B">
      <w:pPr>
        <w:numPr>
          <w:ilvl w:val="12"/>
          <w:numId w:val="0"/>
        </w:numPr>
        <w:tabs>
          <w:tab w:val="left" w:pos="-2268"/>
        </w:tabs>
        <w:suppressAutoHyphens/>
      </w:pPr>
      <w:r w:rsidRPr="004068F6">
        <w:rPr>
          <w:b/>
        </w:rPr>
        <w:t>DANE</w:t>
      </w:r>
      <w:r w:rsidRPr="004068F6">
        <w:t>: Departamento Administrativo Nacional de Estadística</w:t>
      </w:r>
    </w:p>
    <w:p w14:paraId="74458A03" w14:textId="77777777" w:rsidR="0056031B" w:rsidRPr="004068F6" w:rsidRDefault="0056031B">
      <w:pPr>
        <w:numPr>
          <w:ilvl w:val="12"/>
          <w:numId w:val="0"/>
        </w:numPr>
        <w:tabs>
          <w:tab w:val="left" w:pos="-2268"/>
        </w:tabs>
        <w:suppressAutoHyphens/>
      </w:pPr>
    </w:p>
    <w:p w14:paraId="38BD4F2C" w14:textId="77777777" w:rsidR="0056031B" w:rsidRPr="004068F6" w:rsidRDefault="0056031B">
      <w:pPr>
        <w:numPr>
          <w:ilvl w:val="12"/>
          <w:numId w:val="0"/>
        </w:numPr>
        <w:tabs>
          <w:tab w:val="left" w:pos="-2268"/>
        </w:tabs>
        <w:suppressAutoHyphens/>
      </w:pPr>
      <w:r w:rsidRPr="004068F6">
        <w:rPr>
          <w:b/>
        </w:rPr>
        <w:t>DAP</w:t>
      </w:r>
      <w:r w:rsidRPr="004068F6">
        <w:t>: Diámetro a la Altura del Pecho</w:t>
      </w:r>
    </w:p>
    <w:p w14:paraId="4B0334CF" w14:textId="77777777" w:rsidR="0056031B" w:rsidRPr="004068F6" w:rsidRDefault="0056031B">
      <w:pPr>
        <w:numPr>
          <w:ilvl w:val="12"/>
          <w:numId w:val="0"/>
        </w:numPr>
        <w:tabs>
          <w:tab w:val="left" w:pos="-2268"/>
        </w:tabs>
        <w:suppressAutoHyphens/>
      </w:pPr>
    </w:p>
    <w:p w14:paraId="51930A73" w14:textId="1727C59D" w:rsidR="0056031B" w:rsidRPr="004068F6" w:rsidRDefault="0056031B">
      <w:pPr>
        <w:numPr>
          <w:ilvl w:val="12"/>
          <w:numId w:val="0"/>
        </w:numPr>
        <w:tabs>
          <w:tab w:val="left" w:pos="-2268"/>
        </w:tabs>
        <w:suppressAutoHyphens/>
      </w:pPr>
      <w:r w:rsidRPr="004068F6">
        <w:rPr>
          <w:b/>
        </w:rPr>
        <w:t>Dimar</w:t>
      </w:r>
      <w:r w:rsidRPr="004068F6">
        <w:t xml:space="preserve">: Dirección </w:t>
      </w:r>
      <w:r w:rsidR="001E204A" w:rsidRPr="004068F6">
        <w:t>g</w:t>
      </w:r>
      <w:r w:rsidRPr="004068F6">
        <w:t xml:space="preserve">eneral </w:t>
      </w:r>
      <w:r w:rsidR="001E204A" w:rsidRPr="004068F6">
        <w:t>m</w:t>
      </w:r>
      <w:r w:rsidRPr="004068F6">
        <w:t>arítima</w:t>
      </w:r>
    </w:p>
    <w:p w14:paraId="390D99F7" w14:textId="77777777" w:rsidR="0056031B" w:rsidRPr="004068F6" w:rsidRDefault="0056031B">
      <w:pPr>
        <w:numPr>
          <w:ilvl w:val="12"/>
          <w:numId w:val="0"/>
        </w:numPr>
        <w:tabs>
          <w:tab w:val="left" w:pos="-2268"/>
        </w:tabs>
        <w:suppressAutoHyphens/>
      </w:pPr>
    </w:p>
    <w:p w14:paraId="1104B1DA" w14:textId="77777777" w:rsidR="0056031B" w:rsidRPr="004068F6" w:rsidRDefault="0056031B">
      <w:pPr>
        <w:numPr>
          <w:ilvl w:val="12"/>
          <w:numId w:val="0"/>
        </w:numPr>
        <w:tabs>
          <w:tab w:val="left" w:pos="-2268"/>
        </w:tabs>
        <w:suppressAutoHyphens/>
      </w:pPr>
      <w:r w:rsidRPr="004068F6">
        <w:rPr>
          <w:b/>
        </w:rPr>
        <w:t>DNP</w:t>
      </w:r>
      <w:r w:rsidRPr="004068F6">
        <w:t>: Departamento Nacional de Planeación</w:t>
      </w:r>
    </w:p>
    <w:p w14:paraId="77636051" w14:textId="77777777" w:rsidR="0056031B" w:rsidRPr="004068F6" w:rsidRDefault="0056031B">
      <w:pPr>
        <w:numPr>
          <w:ilvl w:val="12"/>
          <w:numId w:val="0"/>
        </w:numPr>
        <w:tabs>
          <w:tab w:val="left" w:pos="-2268"/>
        </w:tabs>
        <w:suppressAutoHyphens/>
      </w:pPr>
    </w:p>
    <w:p w14:paraId="5670DC3C" w14:textId="77777777" w:rsidR="004D7B0E" w:rsidRPr="004068F6" w:rsidRDefault="004D7B0E" w:rsidP="004D7B0E">
      <w:pPr>
        <w:numPr>
          <w:ilvl w:val="12"/>
          <w:numId w:val="0"/>
        </w:numPr>
        <w:tabs>
          <w:tab w:val="left" w:pos="-2268"/>
        </w:tabs>
        <w:suppressAutoHyphens/>
      </w:pPr>
      <w:r w:rsidRPr="004068F6">
        <w:rPr>
          <w:b/>
          <w:bCs/>
        </w:rPr>
        <w:t>EAV</w:t>
      </w:r>
      <w:r w:rsidRPr="004068F6">
        <w:t>: Elemento Ambiental Valorado</w:t>
      </w:r>
    </w:p>
    <w:p w14:paraId="02F5C111" w14:textId="77777777" w:rsidR="004D7B0E" w:rsidRPr="004068F6" w:rsidRDefault="004D7B0E">
      <w:pPr>
        <w:numPr>
          <w:ilvl w:val="12"/>
          <w:numId w:val="0"/>
        </w:numPr>
        <w:tabs>
          <w:tab w:val="left" w:pos="-2268"/>
        </w:tabs>
        <w:suppressAutoHyphens/>
        <w:rPr>
          <w:b/>
        </w:rPr>
      </w:pPr>
    </w:p>
    <w:p w14:paraId="7C27A406" w14:textId="22FA9A14" w:rsidR="0056031B" w:rsidRPr="004068F6" w:rsidRDefault="0056031B">
      <w:pPr>
        <w:numPr>
          <w:ilvl w:val="12"/>
          <w:numId w:val="0"/>
        </w:numPr>
        <w:tabs>
          <w:tab w:val="left" w:pos="-2268"/>
        </w:tabs>
        <w:suppressAutoHyphens/>
      </w:pPr>
      <w:r w:rsidRPr="004068F6">
        <w:rPr>
          <w:b/>
        </w:rPr>
        <w:t>EEA</w:t>
      </w:r>
      <w:r w:rsidRPr="004068F6">
        <w:t>: Evaluación Económica Ambiental</w:t>
      </w:r>
    </w:p>
    <w:p w14:paraId="3E5E7855" w14:textId="77777777" w:rsidR="0056031B" w:rsidRPr="004068F6" w:rsidRDefault="0056031B">
      <w:pPr>
        <w:numPr>
          <w:ilvl w:val="12"/>
          <w:numId w:val="0"/>
        </w:numPr>
        <w:tabs>
          <w:tab w:val="left" w:pos="-2268"/>
        </w:tabs>
        <w:suppressAutoHyphens/>
      </w:pPr>
    </w:p>
    <w:p w14:paraId="17CC845A" w14:textId="77777777" w:rsidR="0056031B" w:rsidRPr="004068F6" w:rsidRDefault="0056031B">
      <w:pPr>
        <w:numPr>
          <w:ilvl w:val="12"/>
          <w:numId w:val="0"/>
        </w:numPr>
        <w:tabs>
          <w:tab w:val="left" w:pos="-2268"/>
        </w:tabs>
        <w:suppressAutoHyphens/>
      </w:pPr>
      <w:r w:rsidRPr="004068F6">
        <w:rPr>
          <w:b/>
        </w:rPr>
        <w:t>EIA</w:t>
      </w:r>
      <w:r w:rsidRPr="004068F6">
        <w:t>: Estudio de Impacto Ambiental</w:t>
      </w:r>
    </w:p>
    <w:p w14:paraId="257420C5" w14:textId="77777777" w:rsidR="0056031B" w:rsidRPr="004068F6" w:rsidRDefault="0056031B">
      <w:pPr>
        <w:numPr>
          <w:ilvl w:val="12"/>
          <w:numId w:val="0"/>
        </w:numPr>
        <w:tabs>
          <w:tab w:val="left" w:pos="-2268"/>
        </w:tabs>
        <w:suppressAutoHyphens/>
      </w:pPr>
    </w:p>
    <w:p w14:paraId="1BFE2213" w14:textId="77777777" w:rsidR="0056031B" w:rsidRPr="004068F6" w:rsidRDefault="0056031B">
      <w:pPr>
        <w:numPr>
          <w:ilvl w:val="12"/>
          <w:numId w:val="0"/>
        </w:numPr>
        <w:tabs>
          <w:tab w:val="left" w:pos="-2268"/>
        </w:tabs>
        <w:suppressAutoHyphens/>
      </w:pPr>
      <w:r w:rsidRPr="004068F6">
        <w:rPr>
          <w:b/>
        </w:rPr>
        <w:t>EMC</w:t>
      </w:r>
      <w:r w:rsidRPr="004068F6">
        <w:t>: Evaluación Multicriterio</w:t>
      </w:r>
    </w:p>
    <w:p w14:paraId="11CC8E2D" w14:textId="77777777" w:rsidR="0056031B" w:rsidRPr="004068F6" w:rsidRDefault="0056031B">
      <w:pPr>
        <w:numPr>
          <w:ilvl w:val="12"/>
          <w:numId w:val="0"/>
        </w:numPr>
        <w:tabs>
          <w:tab w:val="left" w:pos="-2268"/>
        </w:tabs>
        <w:suppressAutoHyphens/>
      </w:pPr>
    </w:p>
    <w:p w14:paraId="7F6E0146" w14:textId="77777777" w:rsidR="0056031B" w:rsidRPr="004068F6" w:rsidRDefault="0056031B">
      <w:pPr>
        <w:numPr>
          <w:ilvl w:val="12"/>
          <w:numId w:val="0"/>
        </w:numPr>
        <w:tabs>
          <w:tab w:val="left" w:pos="-2268"/>
        </w:tabs>
        <w:suppressAutoHyphens/>
      </w:pPr>
      <w:r w:rsidRPr="004068F6">
        <w:rPr>
          <w:b/>
        </w:rPr>
        <w:t>EOT</w:t>
      </w:r>
      <w:r w:rsidRPr="004068F6">
        <w:t>: Esquema de Ordenamiento Territorial</w:t>
      </w:r>
    </w:p>
    <w:p w14:paraId="66DF85BE" w14:textId="77777777" w:rsidR="0056031B" w:rsidRPr="004068F6" w:rsidRDefault="0056031B">
      <w:pPr>
        <w:numPr>
          <w:ilvl w:val="12"/>
          <w:numId w:val="0"/>
        </w:numPr>
        <w:tabs>
          <w:tab w:val="left" w:pos="-2268"/>
        </w:tabs>
        <w:suppressAutoHyphens/>
      </w:pPr>
    </w:p>
    <w:p w14:paraId="3A33DA7C" w14:textId="77777777" w:rsidR="0056031B" w:rsidRPr="004068F6" w:rsidRDefault="0056031B">
      <w:pPr>
        <w:numPr>
          <w:ilvl w:val="12"/>
          <w:numId w:val="0"/>
        </w:numPr>
        <w:tabs>
          <w:tab w:val="left" w:pos="-2268"/>
        </w:tabs>
        <w:suppressAutoHyphens/>
      </w:pPr>
      <w:r w:rsidRPr="004068F6">
        <w:rPr>
          <w:b/>
        </w:rPr>
        <w:t>ERA</w:t>
      </w:r>
      <w:r w:rsidRPr="004068F6">
        <w:t>: Evaluación Regional del Agua</w:t>
      </w:r>
    </w:p>
    <w:p w14:paraId="6FF3565A" w14:textId="77777777" w:rsidR="0056031B" w:rsidRPr="004068F6" w:rsidRDefault="0056031B">
      <w:pPr>
        <w:numPr>
          <w:ilvl w:val="12"/>
          <w:numId w:val="0"/>
        </w:numPr>
        <w:tabs>
          <w:tab w:val="left" w:pos="-2268"/>
        </w:tabs>
        <w:suppressAutoHyphens/>
      </w:pPr>
    </w:p>
    <w:p w14:paraId="72518ADB" w14:textId="6C44726F" w:rsidR="0056031B" w:rsidRPr="004068F6" w:rsidRDefault="0056031B">
      <w:pPr>
        <w:numPr>
          <w:ilvl w:val="12"/>
          <w:numId w:val="0"/>
        </w:numPr>
        <w:tabs>
          <w:tab w:val="left" w:pos="-2268"/>
        </w:tabs>
        <w:suppressAutoHyphens/>
      </w:pPr>
      <w:r w:rsidRPr="004068F6">
        <w:rPr>
          <w:b/>
        </w:rPr>
        <w:t>Funias</w:t>
      </w:r>
      <w:r w:rsidRPr="004068F6">
        <w:t xml:space="preserve">: Formulario </w:t>
      </w:r>
      <w:r w:rsidR="0068186F" w:rsidRPr="004068F6">
        <w:t>ú</w:t>
      </w:r>
      <w:r w:rsidRPr="004068F6">
        <w:t xml:space="preserve">nico </w:t>
      </w:r>
      <w:r w:rsidR="0068186F" w:rsidRPr="004068F6">
        <w:t>n</w:t>
      </w:r>
      <w:r w:rsidRPr="004068F6">
        <w:t xml:space="preserve">acional para </w:t>
      </w:r>
      <w:r w:rsidR="0068186F" w:rsidRPr="004068F6">
        <w:t>i</w:t>
      </w:r>
      <w:r w:rsidRPr="004068F6">
        <w:t xml:space="preserve">nventario de puntos de </w:t>
      </w:r>
      <w:r w:rsidR="0068186F" w:rsidRPr="004068F6">
        <w:t>a</w:t>
      </w:r>
      <w:r w:rsidRPr="004068F6">
        <w:t xml:space="preserve">gua </w:t>
      </w:r>
      <w:r w:rsidR="0068186F" w:rsidRPr="004068F6">
        <w:t>s</w:t>
      </w:r>
      <w:r w:rsidRPr="004068F6">
        <w:t>ubterránea</w:t>
      </w:r>
    </w:p>
    <w:p w14:paraId="714B0BCE" w14:textId="77777777" w:rsidR="0056031B" w:rsidRPr="004068F6" w:rsidRDefault="0056031B">
      <w:pPr>
        <w:numPr>
          <w:ilvl w:val="12"/>
          <w:numId w:val="0"/>
        </w:numPr>
        <w:tabs>
          <w:tab w:val="left" w:pos="-2268"/>
        </w:tabs>
        <w:suppressAutoHyphens/>
      </w:pPr>
    </w:p>
    <w:p w14:paraId="3D48DC29" w14:textId="77777777" w:rsidR="0056031B" w:rsidRPr="004068F6" w:rsidRDefault="0056031B">
      <w:pPr>
        <w:numPr>
          <w:ilvl w:val="12"/>
          <w:numId w:val="0"/>
        </w:numPr>
        <w:tabs>
          <w:tab w:val="left" w:pos="-2268"/>
        </w:tabs>
        <w:suppressAutoHyphens/>
      </w:pPr>
      <w:r w:rsidRPr="004068F6">
        <w:rPr>
          <w:b/>
        </w:rPr>
        <w:t>GEI</w:t>
      </w:r>
      <w:r w:rsidRPr="004068F6">
        <w:t>: Gas de Efecto Invernadero</w:t>
      </w:r>
    </w:p>
    <w:p w14:paraId="3CF17C65" w14:textId="77777777" w:rsidR="0056031B" w:rsidRPr="004068F6" w:rsidRDefault="0056031B">
      <w:pPr>
        <w:numPr>
          <w:ilvl w:val="12"/>
          <w:numId w:val="0"/>
        </w:numPr>
        <w:tabs>
          <w:tab w:val="left" w:pos="-2268"/>
        </w:tabs>
        <w:suppressAutoHyphens/>
      </w:pPr>
    </w:p>
    <w:p w14:paraId="2F32DA40" w14:textId="77777777" w:rsidR="0056031B" w:rsidRPr="004068F6" w:rsidRDefault="0056031B">
      <w:pPr>
        <w:numPr>
          <w:ilvl w:val="12"/>
          <w:numId w:val="0"/>
        </w:numPr>
        <w:tabs>
          <w:tab w:val="left" w:pos="-2268"/>
        </w:tabs>
        <w:suppressAutoHyphens/>
      </w:pPr>
      <w:r w:rsidRPr="004068F6">
        <w:rPr>
          <w:b/>
        </w:rPr>
        <w:t>ICANH</w:t>
      </w:r>
      <w:r w:rsidRPr="004068F6">
        <w:t>: Instituto Colombiano de Antropología e Historia</w:t>
      </w:r>
    </w:p>
    <w:p w14:paraId="601E09E3" w14:textId="77777777" w:rsidR="0056031B" w:rsidRPr="004068F6" w:rsidRDefault="0056031B">
      <w:pPr>
        <w:numPr>
          <w:ilvl w:val="12"/>
          <w:numId w:val="0"/>
        </w:numPr>
        <w:tabs>
          <w:tab w:val="left" w:pos="-2268"/>
        </w:tabs>
        <w:suppressAutoHyphens/>
      </w:pPr>
    </w:p>
    <w:p w14:paraId="4CEB9C6C" w14:textId="77777777" w:rsidR="0056031B" w:rsidRPr="004068F6" w:rsidRDefault="0056031B">
      <w:pPr>
        <w:numPr>
          <w:ilvl w:val="12"/>
          <w:numId w:val="0"/>
        </w:numPr>
        <w:tabs>
          <w:tab w:val="left" w:pos="-2268"/>
        </w:tabs>
        <w:suppressAutoHyphens/>
      </w:pPr>
      <w:r w:rsidRPr="004068F6">
        <w:rPr>
          <w:b/>
        </w:rPr>
        <w:t>ICN</w:t>
      </w:r>
      <w:r w:rsidRPr="004068F6">
        <w:t>: Instituto de Ciencias Naturales de la Universidad Nacional de Colombia</w:t>
      </w:r>
    </w:p>
    <w:p w14:paraId="21337E15" w14:textId="77777777" w:rsidR="0056031B" w:rsidRPr="004068F6" w:rsidRDefault="0056031B">
      <w:pPr>
        <w:numPr>
          <w:ilvl w:val="12"/>
          <w:numId w:val="0"/>
        </w:numPr>
        <w:tabs>
          <w:tab w:val="left" w:pos="-2268"/>
        </w:tabs>
        <w:suppressAutoHyphens/>
      </w:pPr>
    </w:p>
    <w:p w14:paraId="05DCA68B" w14:textId="57778001" w:rsidR="0056031B" w:rsidRPr="004068F6" w:rsidRDefault="0056031B">
      <w:pPr>
        <w:numPr>
          <w:ilvl w:val="12"/>
          <w:numId w:val="0"/>
        </w:numPr>
        <w:tabs>
          <w:tab w:val="left" w:pos="-2268"/>
        </w:tabs>
        <w:suppressAutoHyphens/>
      </w:pPr>
      <w:r w:rsidRPr="004068F6">
        <w:rPr>
          <w:b/>
        </w:rPr>
        <w:t>Ideam</w:t>
      </w:r>
      <w:r w:rsidRPr="004068F6">
        <w:t xml:space="preserve">: Instituto de </w:t>
      </w:r>
      <w:r w:rsidR="0068186F" w:rsidRPr="004068F6">
        <w:t>h</w:t>
      </w:r>
      <w:r w:rsidRPr="004068F6">
        <w:t xml:space="preserve">idrología, </w:t>
      </w:r>
      <w:r w:rsidR="0068186F" w:rsidRPr="004068F6">
        <w:t>m</w:t>
      </w:r>
      <w:r w:rsidRPr="004068F6">
        <w:t xml:space="preserve">eteorología y </w:t>
      </w:r>
      <w:r w:rsidR="0068186F" w:rsidRPr="004068F6">
        <w:t>e</w:t>
      </w:r>
      <w:r w:rsidRPr="004068F6">
        <w:t xml:space="preserve">studios </w:t>
      </w:r>
      <w:r w:rsidR="0068186F" w:rsidRPr="004068F6">
        <w:t>a</w:t>
      </w:r>
      <w:r w:rsidRPr="004068F6">
        <w:t>mbientales</w:t>
      </w:r>
    </w:p>
    <w:p w14:paraId="3DCD0FA7" w14:textId="77777777" w:rsidR="0056031B" w:rsidRPr="004068F6" w:rsidRDefault="0056031B">
      <w:pPr>
        <w:numPr>
          <w:ilvl w:val="12"/>
          <w:numId w:val="0"/>
        </w:numPr>
        <w:tabs>
          <w:tab w:val="left" w:pos="-2268"/>
        </w:tabs>
        <w:suppressAutoHyphens/>
      </w:pPr>
    </w:p>
    <w:p w14:paraId="7CEDC4A9" w14:textId="77777777" w:rsidR="0056031B" w:rsidRPr="004068F6" w:rsidRDefault="0056031B">
      <w:pPr>
        <w:numPr>
          <w:ilvl w:val="12"/>
          <w:numId w:val="0"/>
        </w:numPr>
        <w:tabs>
          <w:tab w:val="left" w:pos="-2268"/>
        </w:tabs>
        <w:suppressAutoHyphens/>
      </w:pPr>
      <w:r w:rsidRPr="004068F6">
        <w:rPr>
          <w:b/>
        </w:rPr>
        <w:t>IGAC</w:t>
      </w:r>
      <w:r w:rsidRPr="004068F6">
        <w:t>: Instituto Geográfico Agustín Codazzi</w:t>
      </w:r>
    </w:p>
    <w:p w14:paraId="65263BD1" w14:textId="77777777" w:rsidR="0056031B" w:rsidRPr="004068F6" w:rsidRDefault="0056031B">
      <w:pPr>
        <w:numPr>
          <w:ilvl w:val="12"/>
          <w:numId w:val="0"/>
        </w:numPr>
        <w:tabs>
          <w:tab w:val="left" w:pos="-2268"/>
        </w:tabs>
        <w:suppressAutoHyphens/>
      </w:pPr>
    </w:p>
    <w:p w14:paraId="489E8101" w14:textId="0940E18F" w:rsidR="0056031B" w:rsidRPr="004068F6" w:rsidRDefault="0056031B">
      <w:pPr>
        <w:numPr>
          <w:ilvl w:val="12"/>
          <w:numId w:val="0"/>
        </w:numPr>
        <w:tabs>
          <w:tab w:val="left" w:pos="-2268"/>
        </w:tabs>
        <w:suppressAutoHyphens/>
      </w:pPr>
      <w:r w:rsidRPr="004068F6">
        <w:rPr>
          <w:b/>
        </w:rPr>
        <w:t>IIAP</w:t>
      </w:r>
      <w:r w:rsidRPr="004068F6">
        <w:t xml:space="preserve">: Instituto de Investigaciones Ambientales del Pacífico John </w:t>
      </w:r>
      <w:r w:rsidR="00186781">
        <w:t>v</w:t>
      </w:r>
      <w:r w:rsidRPr="004068F6">
        <w:t>on Neumann</w:t>
      </w:r>
    </w:p>
    <w:p w14:paraId="7E76D896" w14:textId="77777777" w:rsidR="0056031B" w:rsidRPr="004068F6" w:rsidRDefault="0056031B">
      <w:pPr>
        <w:numPr>
          <w:ilvl w:val="12"/>
          <w:numId w:val="0"/>
        </w:numPr>
        <w:tabs>
          <w:tab w:val="left" w:pos="-2268"/>
        </w:tabs>
        <w:suppressAutoHyphens/>
      </w:pPr>
    </w:p>
    <w:p w14:paraId="4D5E93C1" w14:textId="20CFAFBB" w:rsidR="0056031B" w:rsidRPr="004068F6" w:rsidRDefault="0056031B">
      <w:pPr>
        <w:numPr>
          <w:ilvl w:val="12"/>
          <w:numId w:val="0"/>
        </w:numPr>
        <w:tabs>
          <w:tab w:val="left" w:pos="-2268"/>
        </w:tabs>
        <w:suppressAutoHyphens/>
      </w:pPr>
      <w:r w:rsidRPr="004068F6">
        <w:rPr>
          <w:b/>
        </w:rPr>
        <w:t>Instituto Humboldt</w:t>
      </w:r>
      <w:r w:rsidRPr="004068F6">
        <w:t xml:space="preserve">: Instituto de </w:t>
      </w:r>
      <w:r w:rsidR="0068186F" w:rsidRPr="004068F6">
        <w:t>i</w:t>
      </w:r>
      <w:r w:rsidRPr="004068F6">
        <w:t xml:space="preserve">nvestigación de </w:t>
      </w:r>
      <w:r w:rsidR="0068186F" w:rsidRPr="004068F6">
        <w:t>r</w:t>
      </w:r>
      <w:r w:rsidRPr="004068F6">
        <w:t xml:space="preserve">ecursos </w:t>
      </w:r>
      <w:r w:rsidR="0068186F" w:rsidRPr="004068F6">
        <w:t>b</w:t>
      </w:r>
      <w:r w:rsidRPr="004068F6">
        <w:t>iológicos Alexander von Humboldt</w:t>
      </w:r>
    </w:p>
    <w:p w14:paraId="03C7D5B7" w14:textId="67FF7E4C" w:rsidR="0056031B" w:rsidRPr="004068F6" w:rsidRDefault="0056031B">
      <w:pPr>
        <w:numPr>
          <w:ilvl w:val="12"/>
          <w:numId w:val="0"/>
        </w:numPr>
        <w:tabs>
          <w:tab w:val="left" w:pos="-2268"/>
        </w:tabs>
        <w:suppressAutoHyphens/>
      </w:pPr>
    </w:p>
    <w:p w14:paraId="245E727F" w14:textId="79FAD15C" w:rsidR="0056031B" w:rsidRPr="004068F6" w:rsidRDefault="0056031B" w:rsidP="006E2E3F">
      <w:pPr>
        <w:numPr>
          <w:ilvl w:val="12"/>
          <w:numId w:val="0"/>
        </w:numPr>
        <w:tabs>
          <w:tab w:val="left" w:pos="-2268"/>
        </w:tabs>
        <w:suppressAutoHyphens/>
      </w:pPr>
      <w:r w:rsidRPr="004068F6">
        <w:rPr>
          <w:b/>
        </w:rPr>
        <w:t>Instituto Sinchi</w:t>
      </w:r>
      <w:r w:rsidRPr="004068F6">
        <w:t xml:space="preserve">: Instituto </w:t>
      </w:r>
      <w:r w:rsidR="0068186F" w:rsidRPr="004068F6">
        <w:t>a</w:t>
      </w:r>
      <w:r w:rsidRPr="004068F6">
        <w:t xml:space="preserve">mazónico de </w:t>
      </w:r>
      <w:r w:rsidR="0068186F" w:rsidRPr="004068F6">
        <w:t>i</w:t>
      </w:r>
      <w:r w:rsidRPr="004068F6">
        <w:t xml:space="preserve">nvestigaciones </w:t>
      </w:r>
      <w:r w:rsidR="0068186F" w:rsidRPr="004068F6">
        <w:t>c</w:t>
      </w:r>
      <w:r w:rsidRPr="004068F6">
        <w:t>ientíficas Sinchi</w:t>
      </w:r>
    </w:p>
    <w:p w14:paraId="2745DCE3" w14:textId="77777777" w:rsidR="0056031B" w:rsidRPr="004068F6" w:rsidRDefault="0056031B" w:rsidP="006E2E3F">
      <w:pPr>
        <w:numPr>
          <w:ilvl w:val="12"/>
          <w:numId w:val="0"/>
        </w:numPr>
        <w:tabs>
          <w:tab w:val="left" w:pos="-2268"/>
        </w:tabs>
        <w:suppressAutoHyphens/>
      </w:pPr>
    </w:p>
    <w:p w14:paraId="565B41A2" w14:textId="4034989D" w:rsidR="0056031B" w:rsidRPr="004068F6" w:rsidRDefault="0056031B">
      <w:pPr>
        <w:numPr>
          <w:ilvl w:val="12"/>
          <w:numId w:val="0"/>
        </w:numPr>
        <w:tabs>
          <w:tab w:val="left" w:pos="-2268"/>
        </w:tabs>
        <w:suppressAutoHyphens/>
      </w:pPr>
      <w:r w:rsidRPr="004068F6">
        <w:rPr>
          <w:b/>
        </w:rPr>
        <w:t>Invemar</w:t>
      </w:r>
      <w:r w:rsidRPr="004068F6">
        <w:t xml:space="preserve">: Instituto de </w:t>
      </w:r>
      <w:r w:rsidR="0068186F" w:rsidRPr="004068F6">
        <w:t>i</w:t>
      </w:r>
      <w:r w:rsidRPr="004068F6">
        <w:t xml:space="preserve">nvestigaciones </w:t>
      </w:r>
      <w:r w:rsidR="0068186F" w:rsidRPr="004068F6">
        <w:t>m</w:t>
      </w:r>
      <w:r w:rsidRPr="004068F6">
        <w:t xml:space="preserve">arinas y </w:t>
      </w:r>
      <w:r w:rsidR="0068186F" w:rsidRPr="004068F6">
        <w:t>c</w:t>
      </w:r>
      <w:r w:rsidRPr="004068F6">
        <w:t>osteras “José Benito Vives de Andréis”</w:t>
      </w:r>
    </w:p>
    <w:p w14:paraId="14878AAE" w14:textId="77777777" w:rsidR="0056031B" w:rsidRPr="004068F6" w:rsidRDefault="0056031B">
      <w:pPr>
        <w:numPr>
          <w:ilvl w:val="12"/>
          <w:numId w:val="0"/>
        </w:numPr>
        <w:tabs>
          <w:tab w:val="left" w:pos="-2268"/>
        </w:tabs>
        <w:suppressAutoHyphens/>
      </w:pPr>
    </w:p>
    <w:p w14:paraId="05F1D958" w14:textId="77777777" w:rsidR="0056031B" w:rsidRPr="004068F6" w:rsidRDefault="0056031B">
      <w:pPr>
        <w:numPr>
          <w:ilvl w:val="12"/>
          <w:numId w:val="0"/>
        </w:numPr>
        <w:tabs>
          <w:tab w:val="left" w:pos="-2268"/>
        </w:tabs>
        <w:suppressAutoHyphens/>
      </w:pPr>
      <w:r w:rsidRPr="004068F6">
        <w:rPr>
          <w:b/>
        </w:rPr>
        <w:t>IRH</w:t>
      </w:r>
      <w:r w:rsidRPr="004068F6">
        <w:t>: Índice de Retención y Regulación Hídrica</w:t>
      </w:r>
    </w:p>
    <w:p w14:paraId="65B8ED0F" w14:textId="77777777" w:rsidR="0056031B" w:rsidRPr="004068F6" w:rsidRDefault="0056031B">
      <w:pPr>
        <w:numPr>
          <w:ilvl w:val="12"/>
          <w:numId w:val="0"/>
        </w:numPr>
        <w:tabs>
          <w:tab w:val="left" w:pos="-2268"/>
        </w:tabs>
        <w:suppressAutoHyphens/>
      </w:pPr>
    </w:p>
    <w:p w14:paraId="2A2BB141" w14:textId="02CC9F30" w:rsidR="0056031B" w:rsidRPr="004068F6" w:rsidRDefault="0056031B" w:rsidP="00FA60FE">
      <w:pPr>
        <w:numPr>
          <w:ilvl w:val="12"/>
          <w:numId w:val="0"/>
        </w:numPr>
        <w:tabs>
          <w:tab w:val="left" w:pos="-2268"/>
        </w:tabs>
        <w:suppressAutoHyphens/>
        <w:rPr>
          <w:rFonts w:cs="Arial"/>
          <w:bCs/>
        </w:rPr>
      </w:pPr>
      <w:r w:rsidRPr="004068F6">
        <w:rPr>
          <w:rFonts w:cs="Arial"/>
          <w:b/>
        </w:rPr>
        <w:t>MAG</w:t>
      </w:r>
      <w:r w:rsidRPr="004068F6">
        <w:rPr>
          <w:rFonts w:cs="Arial"/>
        </w:rPr>
        <w:t xml:space="preserve">: </w:t>
      </w:r>
      <w:r w:rsidRPr="004068F6">
        <w:rPr>
          <w:rFonts w:cs="Arial"/>
          <w:bCs/>
        </w:rPr>
        <w:t>Modelo de Almacenamiento Geográfico</w:t>
      </w:r>
    </w:p>
    <w:p w14:paraId="701CE42A" w14:textId="77777777" w:rsidR="0056031B" w:rsidRPr="004068F6" w:rsidRDefault="0056031B" w:rsidP="00FA60FE">
      <w:pPr>
        <w:numPr>
          <w:ilvl w:val="12"/>
          <w:numId w:val="0"/>
        </w:numPr>
        <w:tabs>
          <w:tab w:val="left" w:pos="-2268"/>
        </w:tabs>
        <w:suppressAutoHyphens/>
        <w:rPr>
          <w:rFonts w:cs="Arial"/>
          <w:bCs/>
        </w:rPr>
      </w:pPr>
    </w:p>
    <w:p w14:paraId="693BCB80" w14:textId="77777777" w:rsidR="0056031B" w:rsidRPr="004068F6" w:rsidRDefault="0056031B">
      <w:pPr>
        <w:numPr>
          <w:ilvl w:val="12"/>
          <w:numId w:val="0"/>
        </w:numPr>
        <w:tabs>
          <w:tab w:val="left" w:pos="-2268"/>
        </w:tabs>
        <w:suppressAutoHyphens/>
      </w:pPr>
      <w:r w:rsidRPr="004068F6">
        <w:rPr>
          <w:b/>
        </w:rPr>
        <w:t>MAVDT</w:t>
      </w:r>
      <w:r w:rsidRPr="004068F6">
        <w:t>: Ministerio de Ambiente, Vivienda y Desarrollo Territorial</w:t>
      </w:r>
    </w:p>
    <w:p w14:paraId="089CF7A3" w14:textId="77777777" w:rsidR="0056031B" w:rsidRPr="004068F6" w:rsidRDefault="0056031B">
      <w:pPr>
        <w:numPr>
          <w:ilvl w:val="12"/>
          <w:numId w:val="0"/>
        </w:numPr>
        <w:tabs>
          <w:tab w:val="left" w:pos="-2268"/>
        </w:tabs>
        <w:suppressAutoHyphens/>
      </w:pPr>
    </w:p>
    <w:p w14:paraId="35FAD2E1" w14:textId="5CB837CC" w:rsidR="0056031B" w:rsidRPr="004068F6" w:rsidRDefault="0056031B">
      <w:pPr>
        <w:numPr>
          <w:ilvl w:val="12"/>
          <w:numId w:val="0"/>
        </w:numPr>
        <w:tabs>
          <w:tab w:val="left" w:pos="-2268"/>
        </w:tabs>
        <w:suppressAutoHyphens/>
      </w:pPr>
      <w:r w:rsidRPr="004068F6">
        <w:rPr>
          <w:b/>
        </w:rPr>
        <w:t>MEC</w:t>
      </w:r>
      <w:r w:rsidRPr="004068F6">
        <w:t xml:space="preserve">: Mapa de </w:t>
      </w:r>
      <w:r w:rsidR="0068186F" w:rsidRPr="004068F6">
        <w:t>e</w:t>
      </w:r>
      <w:r w:rsidRPr="004068F6">
        <w:t xml:space="preserve">cosistemas </w:t>
      </w:r>
      <w:r w:rsidR="0068186F" w:rsidRPr="004068F6">
        <w:t>c</w:t>
      </w:r>
      <w:r w:rsidRPr="004068F6">
        <w:t xml:space="preserve">ontinentales, </w:t>
      </w:r>
      <w:r w:rsidR="0068186F" w:rsidRPr="004068F6">
        <w:t>c</w:t>
      </w:r>
      <w:r w:rsidRPr="004068F6">
        <w:t xml:space="preserve">osteros y </w:t>
      </w:r>
      <w:r w:rsidR="0068186F" w:rsidRPr="004068F6">
        <w:t>m</w:t>
      </w:r>
      <w:r w:rsidRPr="004068F6">
        <w:t>arinos de Colombia</w:t>
      </w:r>
    </w:p>
    <w:p w14:paraId="61DCF88D" w14:textId="77777777" w:rsidR="0056031B" w:rsidRPr="004068F6" w:rsidRDefault="0056031B">
      <w:pPr>
        <w:numPr>
          <w:ilvl w:val="12"/>
          <w:numId w:val="0"/>
        </w:numPr>
        <w:tabs>
          <w:tab w:val="left" w:pos="-2268"/>
        </w:tabs>
        <w:suppressAutoHyphens/>
      </w:pPr>
    </w:p>
    <w:p w14:paraId="2B7932C4" w14:textId="53760EF0" w:rsidR="0043025C" w:rsidRPr="004068F6" w:rsidRDefault="0043025C">
      <w:pPr>
        <w:numPr>
          <w:ilvl w:val="12"/>
          <w:numId w:val="0"/>
        </w:numPr>
        <w:tabs>
          <w:tab w:val="left" w:pos="-2268"/>
        </w:tabs>
        <w:suppressAutoHyphens/>
      </w:pPr>
      <w:r w:rsidRPr="004068F6">
        <w:rPr>
          <w:b/>
          <w:bCs/>
        </w:rPr>
        <w:t>MGEPEA</w:t>
      </w:r>
      <w:r w:rsidRPr="004068F6">
        <w:t>: Metodología General para la Elaboración y Presentación de Estudios Ambientales</w:t>
      </w:r>
    </w:p>
    <w:p w14:paraId="27CDD018" w14:textId="77777777" w:rsidR="0043025C" w:rsidRPr="004068F6" w:rsidRDefault="0043025C">
      <w:pPr>
        <w:numPr>
          <w:ilvl w:val="12"/>
          <w:numId w:val="0"/>
        </w:numPr>
        <w:tabs>
          <w:tab w:val="left" w:pos="-2268"/>
        </w:tabs>
        <w:suppressAutoHyphens/>
      </w:pPr>
    </w:p>
    <w:p w14:paraId="7278D25C" w14:textId="77777777" w:rsidR="0056031B" w:rsidRPr="004068F6" w:rsidRDefault="0056031B">
      <w:pPr>
        <w:numPr>
          <w:ilvl w:val="12"/>
          <w:numId w:val="0"/>
        </w:numPr>
        <w:tabs>
          <w:tab w:val="left" w:pos="-2268"/>
        </w:tabs>
        <w:suppressAutoHyphens/>
      </w:pPr>
      <w:r w:rsidRPr="004068F6">
        <w:rPr>
          <w:b/>
        </w:rPr>
        <w:t>Minambiente</w:t>
      </w:r>
      <w:r w:rsidRPr="004068F6">
        <w:t>: Ministerio de Ambiente y Desarrollo Sostenible</w:t>
      </w:r>
    </w:p>
    <w:p w14:paraId="0475DBE8" w14:textId="77777777" w:rsidR="0056031B" w:rsidRPr="004068F6" w:rsidRDefault="0056031B">
      <w:pPr>
        <w:numPr>
          <w:ilvl w:val="12"/>
          <w:numId w:val="0"/>
        </w:numPr>
        <w:tabs>
          <w:tab w:val="left" w:pos="-2268"/>
        </w:tabs>
        <w:suppressAutoHyphens/>
      </w:pPr>
    </w:p>
    <w:p w14:paraId="202AFE59" w14:textId="224183B9" w:rsidR="0056031B" w:rsidRPr="004068F6" w:rsidRDefault="0056031B">
      <w:pPr>
        <w:numPr>
          <w:ilvl w:val="12"/>
          <w:numId w:val="0"/>
        </w:numPr>
        <w:tabs>
          <w:tab w:val="left" w:pos="-2268"/>
        </w:tabs>
        <w:suppressAutoHyphens/>
      </w:pPr>
      <w:r w:rsidRPr="004068F6">
        <w:rPr>
          <w:b/>
        </w:rPr>
        <w:t>NASA</w:t>
      </w:r>
      <w:r w:rsidRPr="004068F6">
        <w:t>: Administración Nacional de Aeronáutica y el Espacio (por su sigla en inglés)</w:t>
      </w:r>
    </w:p>
    <w:p w14:paraId="62F4C58F" w14:textId="77777777" w:rsidR="0056031B" w:rsidRPr="004068F6" w:rsidRDefault="0056031B">
      <w:pPr>
        <w:numPr>
          <w:ilvl w:val="12"/>
          <w:numId w:val="0"/>
        </w:numPr>
        <w:tabs>
          <w:tab w:val="left" w:pos="-2268"/>
        </w:tabs>
        <w:suppressAutoHyphens/>
      </w:pPr>
    </w:p>
    <w:p w14:paraId="2C6C579A" w14:textId="4667184A" w:rsidR="0056031B" w:rsidRPr="004068F6" w:rsidRDefault="0056031B">
      <w:pPr>
        <w:numPr>
          <w:ilvl w:val="12"/>
          <w:numId w:val="0"/>
        </w:numPr>
        <w:tabs>
          <w:tab w:val="left" w:pos="-2268"/>
        </w:tabs>
        <w:suppressAutoHyphens/>
      </w:pPr>
      <w:r w:rsidRPr="004068F6">
        <w:rPr>
          <w:b/>
        </w:rPr>
        <w:t>NOAA</w:t>
      </w:r>
      <w:r w:rsidRPr="004068F6">
        <w:t>: Oficina Nacional de Administración Oceánica y Atmosférica (por su sigla en inglés)</w:t>
      </w:r>
    </w:p>
    <w:p w14:paraId="5565E380" w14:textId="77777777" w:rsidR="0056031B" w:rsidRPr="004068F6" w:rsidRDefault="0056031B">
      <w:pPr>
        <w:numPr>
          <w:ilvl w:val="12"/>
          <w:numId w:val="0"/>
        </w:numPr>
        <w:tabs>
          <w:tab w:val="left" w:pos="-2268"/>
        </w:tabs>
        <w:suppressAutoHyphens/>
      </w:pPr>
    </w:p>
    <w:p w14:paraId="53697C6C" w14:textId="77777777" w:rsidR="0056031B" w:rsidRPr="004068F6" w:rsidRDefault="0056031B">
      <w:pPr>
        <w:numPr>
          <w:ilvl w:val="12"/>
          <w:numId w:val="0"/>
        </w:numPr>
        <w:tabs>
          <w:tab w:val="left" w:pos="-2268"/>
        </w:tabs>
        <w:suppressAutoHyphens/>
        <w:rPr>
          <w:rFonts w:cs="Arial"/>
        </w:rPr>
      </w:pPr>
      <w:r w:rsidRPr="004068F6">
        <w:rPr>
          <w:b/>
        </w:rPr>
        <w:t>OCDE</w:t>
      </w:r>
      <w:r w:rsidRPr="004068F6">
        <w:t xml:space="preserve">: Organización para la Cooperación y el Desarrollo </w:t>
      </w:r>
      <w:r w:rsidRPr="004068F6">
        <w:rPr>
          <w:rFonts w:cs="Arial"/>
        </w:rPr>
        <w:t>Económicos</w:t>
      </w:r>
    </w:p>
    <w:p w14:paraId="1A915ACB" w14:textId="77777777" w:rsidR="0056031B" w:rsidRPr="004068F6" w:rsidRDefault="0056031B">
      <w:pPr>
        <w:numPr>
          <w:ilvl w:val="12"/>
          <w:numId w:val="0"/>
        </w:numPr>
        <w:tabs>
          <w:tab w:val="left" w:pos="-2268"/>
        </w:tabs>
        <w:suppressAutoHyphens/>
      </w:pPr>
    </w:p>
    <w:p w14:paraId="10D70E09" w14:textId="77777777" w:rsidR="0056031B" w:rsidRPr="004068F6" w:rsidRDefault="0056031B">
      <w:pPr>
        <w:numPr>
          <w:ilvl w:val="12"/>
          <w:numId w:val="0"/>
        </w:numPr>
        <w:tabs>
          <w:tab w:val="left" w:pos="-2268"/>
        </w:tabs>
        <w:suppressAutoHyphens/>
        <w:rPr>
          <w:rFonts w:cs="Arial"/>
        </w:rPr>
      </w:pPr>
      <w:r w:rsidRPr="004068F6">
        <w:rPr>
          <w:b/>
        </w:rPr>
        <w:t>ONG</w:t>
      </w:r>
      <w:r w:rsidRPr="004068F6">
        <w:t xml:space="preserve">: Organización </w:t>
      </w:r>
      <w:r w:rsidRPr="004068F6">
        <w:rPr>
          <w:rFonts w:cs="Arial"/>
        </w:rPr>
        <w:t>No Gubernamental</w:t>
      </w:r>
    </w:p>
    <w:p w14:paraId="505DC80C" w14:textId="77777777" w:rsidR="0056031B" w:rsidRPr="004068F6" w:rsidRDefault="0056031B">
      <w:pPr>
        <w:numPr>
          <w:ilvl w:val="12"/>
          <w:numId w:val="0"/>
        </w:numPr>
        <w:tabs>
          <w:tab w:val="left" w:pos="-2268"/>
        </w:tabs>
        <w:suppressAutoHyphens/>
      </w:pPr>
    </w:p>
    <w:p w14:paraId="5CC76C79" w14:textId="77777777" w:rsidR="00D776AC" w:rsidRPr="004068F6" w:rsidRDefault="00D776AC" w:rsidP="00D776AC">
      <w:pPr>
        <w:numPr>
          <w:ilvl w:val="12"/>
          <w:numId w:val="0"/>
        </w:numPr>
        <w:tabs>
          <w:tab w:val="left" w:pos="-2268"/>
        </w:tabs>
        <w:suppressAutoHyphens/>
      </w:pPr>
      <w:r w:rsidRPr="004068F6">
        <w:rPr>
          <w:b/>
          <w:bCs/>
        </w:rPr>
        <w:t>OSIGD</w:t>
      </w:r>
      <w:r w:rsidRPr="00127BD4">
        <w:t xml:space="preserve">: </w:t>
      </w:r>
      <w:r w:rsidRPr="004068F6">
        <w:t>Personas con orientación sexual e identidad de género diversas</w:t>
      </w:r>
    </w:p>
    <w:p w14:paraId="3432EB28" w14:textId="77777777" w:rsidR="00D776AC" w:rsidRPr="004068F6" w:rsidRDefault="00D776AC">
      <w:pPr>
        <w:numPr>
          <w:ilvl w:val="12"/>
          <w:numId w:val="0"/>
        </w:numPr>
        <w:tabs>
          <w:tab w:val="left" w:pos="-2268"/>
        </w:tabs>
        <w:suppressAutoHyphens/>
      </w:pPr>
    </w:p>
    <w:p w14:paraId="254217BC" w14:textId="77777777" w:rsidR="0056031B" w:rsidRPr="004068F6" w:rsidRDefault="0056031B">
      <w:pPr>
        <w:numPr>
          <w:ilvl w:val="12"/>
          <w:numId w:val="0"/>
        </w:numPr>
        <w:tabs>
          <w:tab w:val="left" w:pos="-2268"/>
        </w:tabs>
        <w:suppressAutoHyphens/>
      </w:pPr>
      <w:r w:rsidRPr="004068F6">
        <w:rPr>
          <w:b/>
        </w:rPr>
        <w:t>PBOT</w:t>
      </w:r>
      <w:r w:rsidRPr="004068F6">
        <w:t>: Plan Básico de Ordenamiento Territorial</w:t>
      </w:r>
    </w:p>
    <w:p w14:paraId="3229A56B" w14:textId="77777777" w:rsidR="0056031B" w:rsidRPr="004068F6" w:rsidRDefault="0056031B">
      <w:pPr>
        <w:numPr>
          <w:ilvl w:val="12"/>
          <w:numId w:val="0"/>
        </w:numPr>
        <w:tabs>
          <w:tab w:val="left" w:pos="-2268"/>
        </w:tabs>
        <w:suppressAutoHyphens/>
      </w:pPr>
    </w:p>
    <w:p w14:paraId="73953E11" w14:textId="77777777" w:rsidR="0056031B" w:rsidRPr="004068F6" w:rsidRDefault="0056031B">
      <w:pPr>
        <w:numPr>
          <w:ilvl w:val="12"/>
          <w:numId w:val="0"/>
        </w:numPr>
        <w:tabs>
          <w:tab w:val="left" w:pos="-2268"/>
        </w:tabs>
        <w:suppressAutoHyphens/>
        <w:rPr>
          <w:rFonts w:cs="Arial"/>
          <w:spacing w:val="-3"/>
        </w:rPr>
      </w:pPr>
      <w:r w:rsidRPr="004068F6">
        <w:rPr>
          <w:rFonts w:cs="Arial"/>
          <w:b/>
          <w:spacing w:val="-3"/>
        </w:rPr>
        <w:t>PDET</w:t>
      </w:r>
      <w:r w:rsidRPr="004068F6">
        <w:rPr>
          <w:rFonts w:cs="Arial"/>
          <w:spacing w:val="-3"/>
        </w:rPr>
        <w:t>: Programas de Desarrollo con Enfoque Territorial</w:t>
      </w:r>
    </w:p>
    <w:p w14:paraId="330F1ADC" w14:textId="77777777" w:rsidR="0056031B" w:rsidRPr="004068F6" w:rsidRDefault="0056031B">
      <w:pPr>
        <w:numPr>
          <w:ilvl w:val="12"/>
          <w:numId w:val="0"/>
        </w:numPr>
        <w:tabs>
          <w:tab w:val="left" w:pos="-2268"/>
        </w:tabs>
        <w:suppressAutoHyphens/>
        <w:rPr>
          <w:b/>
        </w:rPr>
      </w:pPr>
    </w:p>
    <w:p w14:paraId="3F7B09E9" w14:textId="77777777" w:rsidR="0056031B" w:rsidRPr="004068F6" w:rsidRDefault="0056031B">
      <w:pPr>
        <w:numPr>
          <w:ilvl w:val="12"/>
          <w:numId w:val="0"/>
        </w:numPr>
        <w:tabs>
          <w:tab w:val="left" w:pos="-2268"/>
        </w:tabs>
        <w:suppressAutoHyphens/>
      </w:pPr>
      <w:r w:rsidRPr="004068F6">
        <w:rPr>
          <w:b/>
        </w:rPr>
        <w:t>PMA</w:t>
      </w:r>
      <w:r w:rsidRPr="004068F6">
        <w:t>: Plan de Manejo Ambiental</w:t>
      </w:r>
    </w:p>
    <w:p w14:paraId="3869DC29" w14:textId="77777777" w:rsidR="0038254E" w:rsidRPr="004068F6" w:rsidRDefault="0038254E">
      <w:pPr>
        <w:numPr>
          <w:ilvl w:val="12"/>
          <w:numId w:val="0"/>
        </w:numPr>
        <w:tabs>
          <w:tab w:val="left" w:pos="-2268"/>
        </w:tabs>
        <w:suppressAutoHyphens/>
      </w:pPr>
    </w:p>
    <w:p w14:paraId="6E381385" w14:textId="77777777" w:rsidR="0056031B" w:rsidRPr="004068F6" w:rsidRDefault="0056031B">
      <w:pPr>
        <w:numPr>
          <w:ilvl w:val="12"/>
          <w:numId w:val="0"/>
        </w:numPr>
        <w:tabs>
          <w:tab w:val="left" w:pos="-2268"/>
        </w:tabs>
        <w:suppressAutoHyphens/>
      </w:pPr>
      <w:r w:rsidRPr="004068F6">
        <w:rPr>
          <w:b/>
        </w:rPr>
        <w:t>PNN</w:t>
      </w:r>
      <w:r w:rsidRPr="004068F6">
        <w:t>: Parques Nacionales Naturales</w:t>
      </w:r>
    </w:p>
    <w:p w14:paraId="496FCB4C" w14:textId="77777777" w:rsidR="0056031B" w:rsidRPr="004068F6" w:rsidRDefault="0056031B">
      <w:pPr>
        <w:numPr>
          <w:ilvl w:val="12"/>
          <w:numId w:val="0"/>
        </w:numPr>
        <w:tabs>
          <w:tab w:val="left" w:pos="-2268"/>
        </w:tabs>
        <w:suppressAutoHyphens/>
      </w:pPr>
    </w:p>
    <w:p w14:paraId="7851DA63" w14:textId="6111140B" w:rsidR="0056031B" w:rsidRPr="004068F6" w:rsidRDefault="0056031B">
      <w:pPr>
        <w:numPr>
          <w:ilvl w:val="12"/>
          <w:numId w:val="0"/>
        </w:numPr>
        <w:tabs>
          <w:tab w:val="left" w:pos="-2268"/>
        </w:tabs>
        <w:suppressAutoHyphens/>
      </w:pPr>
      <w:r w:rsidRPr="004068F6">
        <w:rPr>
          <w:b/>
        </w:rPr>
        <w:t>Pomca</w:t>
      </w:r>
      <w:r w:rsidRPr="004068F6">
        <w:t xml:space="preserve">: Plan de </w:t>
      </w:r>
      <w:r w:rsidR="0068186F" w:rsidRPr="004068F6">
        <w:t>o</w:t>
      </w:r>
      <w:r w:rsidRPr="004068F6">
        <w:t xml:space="preserve">rdenación y </w:t>
      </w:r>
      <w:r w:rsidR="0068186F" w:rsidRPr="004068F6">
        <w:t>m</w:t>
      </w:r>
      <w:r w:rsidRPr="004068F6">
        <w:t xml:space="preserve">anejo de </w:t>
      </w:r>
      <w:r w:rsidR="0068186F" w:rsidRPr="004068F6">
        <w:t>c</w:t>
      </w:r>
      <w:r w:rsidRPr="004068F6">
        <w:t xml:space="preserve">uencas </w:t>
      </w:r>
      <w:r w:rsidR="0068186F" w:rsidRPr="004068F6">
        <w:t>h</w:t>
      </w:r>
      <w:r w:rsidRPr="004068F6">
        <w:t>idrográficas</w:t>
      </w:r>
    </w:p>
    <w:p w14:paraId="1B23C686" w14:textId="77777777" w:rsidR="0056031B" w:rsidRPr="004068F6" w:rsidRDefault="0056031B">
      <w:pPr>
        <w:numPr>
          <w:ilvl w:val="12"/>
          <w:numId w:val="0"/>
        </w:numPr>
        <w:tabs>
          <w:tab w:val="left" w:pos="-2268"/>
        </w:tabs>
        <w:suppressAutoHyphens/>
      </w:pPr>
    </w:p>
    <w:p w14:paraId="7733F894" w14:textId="6A73874D" w:rsidR="0056031B" w:rsidRPr="004068F6" w:rsidRDefault="0056031B">
      <w:pPr>
        <w:numPr>
          <w:ilvl w:val="12"/>
          <w:numId w:val="0"/>
        </w:numPr>
        <w:tabs>
          <w:tab w:val="left" w:pos="-2268"/>
        </w:tabs>
        <w:suppressAutoHyphens/>
      </w:pPr>
      <w:r w:rsidRPr="004068F6">
        <w:rPr>
          <w:b/>
        </w:rPr>
        <w:t>Pomiuac</w:t>
      </w:r>
      <w:r w:rsidRPr="004068F6">
        <w:t xml:space="preserve">: Plan de </w:t>
      </w:r>
      <w:r w:rsidR="0068186F" w:rsidRPr="004068F6">
        <w:t>o</w:t>
      </w:r>
      <w:r w:rsidRPr="004068F6">
        <w:t xml:space="preserve">rdenación y </w:t>
      </w:r>
      <w:r w:rsidR="0068186F" w:rsidRPr="004068F6">
        <w:t>m</w:t>
      </w:r>
      <w:r w:rsidRPr="004068F6">
        <w:t xml:space="preserve">anejo </w:t>
      </w:r>
      <w:r w:rsidR="0068186F" w:rsidRPr="004068F6">
        <w:t>i</w:t>
      </w:r>
      <w:r w:rsidRPr="004068F6">
        <w:t xml:space="preserve">ntegrado de la </w:t>
      </w:r>
      <w:r w:rsidR="0068186F" w:rsidRPr="004068F6">
        <w:t>u</w:t>
      </w:r>
      <w:r w:rsidRPr="004068F6">
        <w:t xml:space="preserve">nidad </w:t>
      </w:r>
      <w:r w:rsidR="0068186F" w:rsidRPr="004068F6">
        <w:t>a</w:t>
      </w:r>
      <w:r w:rsidRPr="004068F6">
        <w:t xml:space="preserve">mbiental </w:t>
      </w:r>
      <w:r w:rsidR="0068186F" w:rsidRPr="004068F6">
        <w:t>c</w:t>
      </w:r>
      <w:r w:rsidRPr="004068F6">
        <w:t>ostera</w:t>
      </w:r>
    </w:p>
    <w:p w14:paraId="48701BAB" w14:textId="77777777" w:rsidR="0056031B" w:rsidRPr="004068F6" w:rsidRDefault="0056031B">
      <w:pPr>
        <w:numPr>
          <w:ilvl w:val="12"/>
          <w:numId w:val="0"/>
        </w:numPr>
        <w:tabs>
          <w:tab w:val="left" w:pos="-2268"/>
        </w:tabs>
        <w:suppressAutoHyphens/>
      </w:pPr>
    </w:p>
    <w:p w14:paraId="241D8625" w14:textId="67563DB4" w:rsidR="004437E7" w:rsidRPr="004068F6" w:rsidRDefault="004437E7" w:rsidP="004437E7">
      <w:pPr>
        <w:numPr>
          <w:ilvl w:val="12"/>
          <w:numId w:val="0"/>
        </w:numPr>
        <w:tabs>
          <w:tab w:val="left" w:pos="-2268"/>
        </w:tabs>
        <w:suppressAutoHyphens/>
        <w:rPr>
          <w:rFonts w:cs="Arial"/>
          <w:spacing w:val="-3"/>
        </w:rPr>
      </w:pPr>
      <w:r w:rsidRPr="004068F6">
        <w:rPr>
          <w:rFonts w:cs="Arial"/>
          <w:b/>
          <w:bCs/>
          <w:spacing w:val="-3"/>
        </w:rPr>
        <w:lastRenderedPageBreak/>
        <w:t>POAI</w:t>
      </w:r>
      <w:r w:rsidRPr="00127BD4">
        <w:rPr>
          <w:rFonts w:cs="Arial"/>
          <w:spacing w:val="-3"/>
        </w:rPr>
        <w:t>:</w:t>
      </w:r>
      <w:r w:rsidRPr="004068F6">
        <w:rPr>
          <w:rFonts w:cs="Arial"/>
          <w:spacing w:val="-3"/>
        </w:rPr>
        <w:t xml:space="preserve"> Plan de Ordenamiento Ambiental Indígena</w:t>
      </w:r>
    </w:p>
    <w:p w14:paraId="788AE5F9" w14:textId="77777777" w:rsidR="004437E7" w:rsidRPr="004068F6" w:rsidRDefault="004437E7">
      <w:pPr>
        <w:numPr>
          <w:ilvl w:val="12"/>
          <w:numId w:val="0"/>
        </w:numPr>
        <w:tabs>
          <w:tab w:val="left" w:pos="-2268"/>
        </w:tabs>
        <w:suppressAutoHyphens/>
      </w:pPr>
    </w:p>
    <w:p w14:paraId="1FD44645" w14:textId="77777777" w:rsidR="0056031B" w:rsidRPr="004068F6" w:rsidRDefault="0056031B">
      <w:pPr>
        <w:numPr>
          <w:ilvl w:val="12"/>
          <w:numId w:val="0"/>
        </w:numPr>
        <w:tabs>
          <w:tab w:val="left" w:pos="-2268"/>
        </w:tabs>
        <w:suppressAutoHyphens/>
      </w:pPr>
      <w:r w:rsidRPr="004068F6">
        <w:rPr>
          <w:b/>
        </w:rPr>
        <w:t>PORH</w:t>
      </w:r>
      <w:r w:rsidRPr="004068F6">
        <w:t>: Plan de Ordenamiento del Recurso Hídrico</w:t>
      </w:r>
    </w:p>
    <w:p w14:paraId="371F8594" w14:textId="77777777" w:rsidR="0056031B" w:rsidRPr="004068F6" w:rsidRDefault="0056031B">
      <w:pPr>
        <w:numPr>
          <w:ilvl w:val="12"/>
          <w:numId w:val="0"/>
        </w:numPr>
        <w:tabs>
          <w:tab w:val="left" w:pos="-2268"/>
        </w:tabs>
        <w:suppressAutoHyphens/>
      </w:pPr>
    </w:p>
    <w:p w14:paraId="2D988C53" w14:textId="77777777" w:rsidR="0056031B" w:rsidRPr="004068F6" w:rsidRDefault="0056031B">
      <w:pPr>
        <w:numPr>
          <w:ilvl w:val="12"/>
          <w:numId w:val="0"/>
        </w:numPr>
        <w:tabs>
          <w:tab w:val="left" w:pos="-2268"/>
        </w:tabs>
        <w:suppressAutoHyphens/>
      </w:pPr>
      <w:r w:rsidRPr="004068F6">
        <w:rPr>
          <w:b/>
        </w:rPr>
        <w:t>POT</w:t>
      </w:r>
      <w:r w:rsidRPr="004068F6">
        <w:t>: Plan de Ordenamiento Territorial</w:t>
      </w:r>
    </w:p>
    <w:p w14:paraId="624703A9" w14:textId="77777777" w:rsidR="0056031B" w:rsidRPr="004068F6" w:rsidRDefault="0056031B">
      <w:pPr>
        <w:numPr>
          <w:ilvl w:val="12"/>
          <w:numId w:val="0"/>
        </w:numPr>
        <w:tabs>
          <w:tab w:val="left" w:pos="-2268"/>
        </w:tabs>
        <w:suppressAutoHyphens/>
      </w:pPr>
    </w:p>
    <w:p w14:paraId="504C1C06" w14:textId="77777777" w:rsidR="0056031B" w:rsidRPr="004068F6" w:rsidRDefault="0056031B" w:rsidP="00FA60FE">
      <w:pPr>
        <w:numPr>
          <w:ilvl w:val="12"/>
          <w:numId w:val="0"/>
        </w:numPr>
        <w:tabs>
          <w:tab w:val="left" w:pos="-2268"/>
        </w:tabs>
        <w:suppressAutoHyphens/>
        <w:rPr>
          <w:rFonts w:cs="Arial"/>
        </w:rPr>
      </w:pPr>
      <w:r w:rsidRPr="004068F6">
        <w:rPr>
          <w:rFonts w:cs="Arial"/>
          <w:b/>
        </w:rPr>
        <w:t>PTAR</w:t>
      </w:r>
      <w:r w:rsidRPr="004068F6">
        <w:rPr>
          <w:rFonts w:cs="Arial"/>
        </w:rPr>
        <w:t>: Planta de Tratamiento de Aguas Residuales</w:t>
      </w:r>
    </w:p>
    <w:p w14:paraId="72D3D9FF" w14:textId="77777777" w:rsidR="0056031B" w:rsidRPr="004068F6" w:rsidRDefault="0056031B" w:rsidP="00FA60FE">
      <w:pPr>
        <w:numPr>
          <w:ilvl w:val="12"/>
          <w:numId w:val="0"/>
        </w:numPr>
        <w:tabs>
          <w:tab w:val="left" w:pos="-2268"/>
        </w:tabs>
        <w:suppressAutoHyphens/>
        <w:rPr>
          <w:rFonts w:cs="Arial"/>
        </w:rPr>
      </w:pPr>
    </w:p>
    <w:p w14:paraId="12DC0426" w14:textId="4F9D223F" w:rsidR="0056031B" w:rsidRPr="004068F6" w:rsidRDefault="0056031B" w:rsidP="00FA60FE">
      <w:pPr>
        <w:numPr>
          <w:ilvl w:val="12"/>
          <w:numId w:val="0"/>
        </w:numPr>
        <w:tabs>
          <w:tab w:val="left" w:pos="-2268"/>
        </w:tabs>
        <w:suppressAutoHyphens/>
        <w:rPr>
          <w:rFonts w:cs="Arial"/>
        </w:rPr>
      </w:pPr>
      <w:r w:rsidRPr="004068F6">
        <w:rPr>
          <w:rFonts w:cs="Arial"/>
          <w:b/>
        </w:rPr>
        <w:t>RBC</w:t>
      </w:r>
      <w:r w:rsidRPr="004068F6">
        <w:rPr>
          <w:rFonts w:cs="Arial"/>
        </w:rPr>
        <w:t>: Relación Beneficio Costo</w:t>
      </w:r>
    </w:p>
    <w:p w14:paraId="34BC854A" w14:textId="6E8D7FBF" w:rsidR="0056031B" w:rsidRPr="004068F6" w:rsidRDefault="0056031B" w:rsidP="00FA60FE">
      <w:pPr>
        <w:numPr>
          <w:ilvl w:val="12"/>
          <w:numId w:val="0"/>
        </w:numPr>
        <w:tabs>
          <w:tab w:val="left" w:pos="-2268"/>
        </w:tabs>
        <w:suppressAutoHyphens/>
        <w:rPr>
          <w:rFonts w:cs="Arial"/>
        </w:rPr>
      </w:pPr>
    </w:p>
    <w:p w14:paraId="456AB866" w14:textId="2D8A3CF8" w:rsidR="009B0769" w:rsidRPr="004068F6" w:rsidRDefault="009B0769" w:rsidP="00FA60FE">
      <w:pPr>
        <w:numPr>
          <w:ilvl w:val="12"/>
          <w:numId w:val="0"/>
        </w:numPr>
        <w:tabs>
          <w:tab w:val="left" w:pos="-2268"/>
        </w:tabs>
        <w:suppressAutoHyphens/>
        <w:rPr>
          <w:rFonts w:cs="Arial"/>
        </w:rPr>
      </w:pPr>
      <w:r w:rsidRPr="004068F6">
        <w:rPr>
          <w:rFonts w:eastAsia="Arial" w:cs="Arial"/>
          <w:b/>
          <w:color w:val="000000" w:themeColor="text1"/>
        </w:rPr>
        <w:t>RCD</w:t>
      </w:r>
      <w:r w:rsidRPr="004068F6">
        <w:rPr>
          <w:rFonts w:eastAsia="Arial" w:cs="Arial"/>
          <w:bCs/>
          <w:color w:val="000000" w:themeColor="text1"/>
        </w:rPr>
        <w:t>: Residuo de Construcción y Demolición</w:t>
      </w:r>
    </w:p>
    <w:p w14:paraId="34946F2D" w14:textId="77777777" w:rsidR="009B0769" w:rsidRPr="004068F6" w:rsidRDefault="009B0769" w:rsidP="00FA60FE">
      <w:pPr>
        <w:numPr>
          <w:ilvl w:val="12"/>
          <w:numId w:val="0"/>
        </w:numPr>
        <w:tabs>
          <w:tab w:val="left" w:pos="-2268"/>
        </w:tabs>
        <w:suppressAutoHyphens/>
        <w:rPr>
          <w:rFonts w:cs="Arial"/>
        </w:rPr>
      </w:pPr>
    </w:p>
    <w:p w14:paraId="1D97E3D9" w14:textId="77777777" w:rsidR="0056031B" w:rsidRPr="004068F6" w:rsidRDefault="0056031B">
      <w:pPr>
        <w:numPr>
          <w:ilvl w:val="12"/>
          <w:numId w:val="0"/>
        </w:numPr>
        <w:tabs>
          <w:tab w:val="left" w:pos="-2268"/>
        </w:tabs>
        <w:suppressAutoHyphens/>
      </w:pPr>
      <w:r w:rsidRPr="004068F6">
        <w:rPr>
          <w:b/>
        </w:rPr>
        <w:t>REAA</w:t>
      </w:r>
      <w:r w:rsidRPr="004068F6">
        <w:t xml:space="preserve">: Registro </w:t>
      </w:r>
      <w:r w:rsidRPr="004068F6">
        <w:rPr>
          <w:rFonts w:cs="Arial"/>
        </w:rPr>
        <w:t>Único</w:t>
      </w:r>
      <w:r w:rsidRPr="004068F6">
        <w:t xml:space="preserve"> de Ecosistemas y Áreas Ambientales</w:t>
      </w:r>
    </w:p>
    <w:p w14:paraId="64C11F61" w14:textId="77777777" w:rsidR="0056031B" w:rsidRPr="004068F6" w:rsidRDefault="0056031B">
      <w:pPr>
        <w:numPr>
          <w:ilvl w:val="12"/>
          <w:numId w:val="0"/>
        </w:numPr>
        <w:tabs>
          <w:tab w:val="left" w:pos="-2268"/>
        </w:tabs>
        <w:suppressAutoHyphens/>
      </w:pPr>
    </w:p>
    <w:p w14:paraId="6EF8A0FC" w14:textId="2F40AE15" w:rsidR="0056031B" w:rsidRPr="004068F6" w:rsidRDefault="0056031B">
      <w:pPr>
        <w:numPr>
          <w:ilvl w:val="12"/>
          <w:numId w:val="0"/>
        </w:numPr>
        <w:tabs>
          <w:tab w:val="left" w:pos="-2268"/>
        </w:tabs>
        <w:suppressAutoHyphens/>
      </w:pPr>
      <w:r w:rsidRPr="004068F6">
        <w:rPr>
          <w:b/>
        </w:rPr>
        <w:t>Runap</w:t>
      </w:r>
      <w:r w:rsidRPr="004068F6">
        <w:t xml:space="preserve">: Registro </w:t>
      </w:r>
      <w:r w:rsidR="0068186F" w:rsidRPr="004068F6">
        <w:t>ú</w:t>
      </w:r>
      <w:r w:rsidRPr="004068F6">
        <w:t xml:space="preserve">nico </w:t>
      </w:r>
      <w:r w:rsidR="0068186F" w:rsidRPr="004068F6">
        <w:t>n</w:t>
      </w:r>
      <w:r w:rsidRPr="004068F6">
        <w:t xml:space="preserve">acional de </w:t>
      </w:r>
      <w:r w:rsidR="0068186F" w:rsidRPr="004068F6">
        <w:t>á</w:t>
      </w:r>
      <w:r w:rsidRPr="004068F6">
        <w:t xml:space="preserve">reas </w:t>
      </w:r>
      <w:r w:rsidR="0068186F" w:rsidRPr="004068F6">
        <w:t>p</w:t>
      </w:r>
      <w:r w:rsidRPr="004068F6">
        <w:t>rotegidas</w:t>
      </w:r>
    </w:p>
    <w:p w14:paraId="325A4A7C" w14:textId="77777777" w:rsidR="0056031B" w:rsidRPr="004068F6" w:rsidRDefault="0056031B">
      <w:pPr>
        <w:numPr>
          <w:ilvl w:val="12"/>
          <w:numId w:val="0"/>
        </w:numPr>
        <w:tabs>
          <w:tab w:val="left" w:pos="-2268"/>
        </w:tabs>
        <w:suppressAutoHyphens/>
      </w:pPr>
    </w:p>
    <w:p w14:paraId="5344E698" w14:textId="34306F41" w:rsidR="0056031B" w:rsidRPr="004068F6" w:rsidRDefault="0056031B" w:rsidP="006E2E3F">
      <w:pPr>
        <w:numPr>
          <w:ilvl w:val="12"/>
          <w:numId w:val="0"/>
        </w:numPr>
        <w:tabs>
          <w:tab w:val="left" w:pos="-2268"/>
        </w:tabs>
        <w:suppressAutoHyphens/>
        <w:rPr>
          <w:rFonts w:cs="Arial"/>
        </w:rPr>
      </w:pPr>
      <w:r w:rsidRPr="004068F6">
        <w:rPr>
          <w:b/>
        </w:rPr>
        <w:t>S</w:t>
      </w:r>
      <w:r w:rsidR="001028CE">
        <w:rPr>
          <w:b/>
        </w:rPr>
        <w:t>S</w:t>
      </w:r>
      <w:r w:rsidRPr="004068F6">
        <w:rPr>
          <w:b/>
        </w:rPr>
        <w:t>E</w:t>
      </w:r>
      <w:r w:rsidR="001028CE">
        <w:rPr>
          <w:b/>
        </w:rPr>
        <w:t>E</w:t>
      </w:r>
      <w:r w:rsidRPr="004068F6">
        <w:t>: Servicio</w:t>
      </w:r>
      <w:r w:rsidR="001028CE">
        <w:t>s</w:t>
      </w:r>
      <w:r w:rsidRPr="004068F6">
        <w:t xml:space="preserve"> </w:t>
      </w:r>
      <w:r w:rsidRPr="004068F6">
        <w:rPr>
          <w:rFonts w:cs="Arial"/>
        </w:rPr>
        <w:t>Ecosistémico</w:t>
      </w:r>
      <w:r w:rsidR="001028CE">
        <w:rPr>
          <w:rFonts w:cs="Arial"/>
        </w:rPr>
        <w:t>s</w:t>
      </w:r>
    </w:p>
    <w:p w14:paraId="5FD23FFC" w14:textId="77777777" w:rsidR="0056031B" w:rsidRPr="004068F6" w:rsidRDefault="0056031B" w:rsidP="006E2E3F">
      <w:pPr>
        <w:numPr>
          <w:ilvl w:val="12"/>
          <w:numId w:val="0"/>
        </w:numPr>
        <w:tabs>
          <w:tab w:val="left" w:pos="-2268"/>
        </w:tabs>
        <w:suppressAutoHyphens/>
      </w:pPr>
    </w:p>
    <w:p w14:paraId="154F4996" w14:textId="77777777" w:rsidR="0056031B" w:rsidRPr="004068F6" w:rsidRDefault="0056031B">
      <w:pPr>
        <w:numPr>
          <w:ilvl w:val="12"/>
          <w:numId w:val="0"/>
        </w:numPr>
        <w:tabs>
          <w:tab w:val="left" w:pos="-2268"/>
        </w:tabs>
        <w:suppressAutoHyphens/>
      </w:pPr>
      <w:r w:rsidRPr="004068F6">
        <w:rPr>
          <w:b/>
        </w:rPr>
        <w:t>SGC</w:t>
      </w:r>
      <w:r w:rsidRPr="004068F6">
        <w:t>: Servicio Geológico Colombiano</w:t>
      </w:r>
    </w:p>
    <w:p w14:paraId="484F0846" w14:textId="77777777" w:rsidR="0056031B" w:rsidRPr="004068F6" w:rsidRDefault="0056031B">
      <w:pPr>
        <w:numPr>
          <w:ilvl w:val="12"/>
          <w:numId w:val="0"/>
        </w:numPr>
        <w:tabs>
          <w:tab w:val="left" w:pos="-2268"/>
        </w:tabs>
        <w:suppressAutoHyphens/>
      </w:pPr>
    </w:p>
    <w:p w14:paraId="1DC6B658" w14:textId="77777777" w:rsidR="0056031B" w:rsidRPr="004068F6" w:rsidRDefault="0056031B">
      <w:pPr>
        <w:numPr>
          <w:ilvl w:val="12"/>
          <w:numId w:val="0"/>
        </w:numPr>
        <w:tabs>
          <w:tab w:val="left" w:pos="-2268"/>
        </w:tabs>
        <w:suppressAutoHyphens/>
      </w:pPr>
      <w:r w:rsidRPr="004068F6">
        <w:rPr>
          <w:b/>
        </w:rPr>
        <w:t>SIAC</w:t>
      </w:r>
      <w:r w:rsidRPr="004068F6">
        <w:t>: Sistema de Información Ambiental de Colombia</w:t>
      </w:r>
    </w:p>
    <w:p w14:paraId="44E5EB98" w14:textId="77777777" w:rsidR="0056031B" w:rsidRPr="004068F6" w:rsidRDefault="0056031B">
      <w:pPr>
        <w:numPr>
          <w:ilvl w:val="12"/>
          <w:numId w:val="0"/>
        </w:numPr>
        <w:tabs>
          <w:tab w:val="left" w:pos="-2268"/>
        </w:tabs>
        <w:suppressAutoHyphens/>
      </w:pPr>
    </w:p>
    <w:p w14:paraId="6B4DFFF2" w14:textId="5F632AD2" w:rsidR="0056031B" w:rsidRPr="004068F6" w:rsidRDefault="0056031B">
      <w:pPr>
        <w:numPr>
          <w:ilvl w:val="12"/>
          <w:numId w:val="0"/>
        </w:numPr>
        <w:tabs>
          <w:tab w:val="left" w:pos="-2268"/>
        </w:tabs>
        <w:suppressAutoHyphens/>
      </w:pPr>
      <w:r w:rsidRPr="004068F6">
        <w:rPr>
          <w:b/>
        </w:rPr>
        <w:t>SiB Colombia</w:t>
      </w:r>
      <w:r w:rsidRPr="004068F6">
        <w:t xml:space="preserve">: Sistema de información sobre </w:t>
      </w:r>
      <w:r w:rsidR="0068186F" w:rsidRPr="004068F6">
        <w:t>b</w:t>
      </w:r>
      <w:r w:rsidRPr="004068F6">
        <w:t>iodiversidad de Colombia</w:t>
      </w:r>
    </w:p>
    <w:p w14:paraId="0CC0629D" w14:textId="77777777" w:rsidR="0056031B" w:rsidRPr="004068F6" w:rsidRDefault="0056031B">
      <w:pPr>
        <w:numPr>
          <w:ilvl w:val="12"/>
          <w:numId w:val="0"/>
        </w:numPr>
        <w:tabs>
          <w:tab w:val="left" w:pos="-2268"/>
        </w:tabs>
        <w:suppressAutoHyphens/>
      </w:pPr>
    </w:p>
    <w:p w14:paraId="2A60C6AD" w14:textId="77777777" w:rsidR="0056031B" w:rsidRPr="004068F6" w:rsidRDefault="0056031B">
      <w:pPr>
        <w:numPr>
          <w:ilvl w:val="12"/>
          <w:numId w:val="0"/>
        </w:numPr>
        <w:tabs>
          <w:tab w:val="left" w:pos="-2268"/>
        </w:tabs>
        <w:suppressAutoHyphens/>
      </w:pPr>
      <w:r w:rsidRPr="004068F6">
        <w:rPr>
          <w:b/>
        </w:rPr>
        <w:t>SiBM</w:t>
      </w:r>
      <w:r w:rsidRPr="004068F6">
        <w:t>: Sistema de Información sobre Biodiversidad Marina</w:t>
      </w:r>
    </w:p>
    <w:p w14:paraId="00F723A4" w14:textId="77777777" w:rsidR="0056031B" w:rsidRPr="004068F6" w:rsidRDefault="0056031B">
      <w:pPr>
        <w:numPr>
          <w:ilvl w:val="12"/>
          <w:numId w:val="0"/>
        </w:numPr>
        <w:tabs>
          <w:tab w:val="left" w:pos="-2268"/>
        </w:tabs>
        <w:suppressAutoHyphens/>
      </w:pPr>
    </w:p>
    <w:p w14:paraId="5DB29391" w14:textId="36D155B6" w:rsidR="0056031B" w:rsidRPr="004068F6" w:rsidRDefault="0056031B" w:rsidP="00121B89">
      <w:pPr>
        <w:numPr>
          <w:ilvl w:val="12"/>
          <w:numId w:val="0"/>
        </w:numPr>
        <w:tabs>
          <w:tab w:val="left" w:pos="-2268"/>
        </w:tabs>
        <w:suppressAutoHyphens/>
        <w:rPr>
          <w:rFonts w:cs="Arial"/>
        </w:rPr>
      </w:pPr>
      <w:r w:rsidRPr="004068F6">
        <w:rPr>
          <w:rFonts w:cs="Arial"/>
          <w:b/>
        </w:rPr>
        <w:t>Sigot</w:t>
      </w:r>
      <w:r w:rsidRPr="004068F6">
        <w:rPr>
          <w:rFonts w:cs="Arial"/>
        </w:rPr>
        <w:t xml:space="preserve">: Sistema de </w:t>
      </w:r>
      <w:r w:rsidR="0068186F" w:rsidRPr="004068F6">
        <w:rPr>
          <w:rFonts w:cs="Arial"/>
        </w:rPr>
        <w:t>i</w:t>
      </w:r>
      <w:r w:rsidRPr="004068F6">
        <w:rPr>
          <w:rFonts w:cs="Arial"/>
        </w:rPr>
        <w:t xml:space="preserve">nformación </w:t>
      </w:r>
      <w:r w:rsidR="0068186F" w:rsidRPr="004068F6">
        <w:rPr>
          <w:rFonts w:cs="Arial"/>
        </w:rPr>
        <w:t>g</w:t>
      </w:r>
      <w:r w:rsidRPr="004068F6">
        <w:rPr>
          <w:rFonts w:cs="Arial"/>
        </w:rPr>
        <w:t xml:space="preserve">eográfica para la </w:t>
      </w:r>
      <w:r w:rsidR="0068186F" w:rsidRPr="004068F6">
        <w:rPr>
          <w:rFonts w:cs="Arial"/>
        </w:rPr>
        <w:t>p</w:t>
      </w:r>
      <w:r w:rsidRPr="004068F6">
        <w:rPr>
          <w:rFonts w:cs="Arial"/>
        </w:rPr>
        <w:t xml:space="preserve">laneación y </w:t>
      </w:r>
      <w:r w:rsidR="0068186F" w:rsidRPr="004068F6">
        <w:rPr>
          <w:rFonts w:cs="Arial"/>
        </w:rPr>
        <w:t>o</w:t>
      </w:r>
      <w:r w:rsidRPr="004068F6">
        <w:rPr>
          <w:rFonts w:cs="Arial"/>
        </w:rPr>
        <w:t xml:space="preserve">rdenamiento </w:t>
      </w:r>
      <w:r w:rsidR="0068186F" w:rsidRPr="004068F6">
        <w:rPr>
          <w:rFonts w:cs="Arial"/>
        </w:rPr>
        <w:t>t</w:t>
      </w:r>
      <w:r w:rsidRPr="004068F6">
        <w:rPr>
          <w:rFonts w:cs="Arial"/>
        </w:rPr>
        <w:t>erritorial</w:t>
      </w:r>
    </w:p>
    <w:p w14:paraId="6E526D04" w14:textId="77777777" w:rsidR="0056031B" w:rsidRPr="004068F6" w:rsidRDefault="0056031B" w:rsidP="00121B89">
      <w:pPr>
        <w:numPr>
          <w:ilvl w:val="12"/>
          <w:numId w:val="0"/>
        </w:numPr>
        <w:tabs>
          <w:tab w:val="left" w:pos="-2268"/>
        </w:tabs>
        <w:suppressAutoHyphens/>
        <w:rPr>
          <w:rFonts w:cs="Arial"/>
        </w:rPr>
      </w:pPr>
    </w:p>
    <w:p w14:paraId="26D40EC6" w14:textId="6AD11B9C" w:rsidR="0056031B" w:rsidRPr="00127BD4" w:rsidRDefault="0056031B">
      <w:pPr>
        <w:numPr>
          <w:ilvl w:val="12"/>
          <w:numId w:val="0"/>
        </w:numPr>
        <w:tabs>
          <w:tab w:val="left" w:pos="-2268"/>
        </w:tabs>
        <w:suppressAutoHyphens/>
      </w:pPr>
      <w:r w:rsidRPr="00127BD4">
        <w:rPr>
          <w:b/>
        </w:rPr>
        <w:t>Sinap</w:t>
      </w:r>
      <w:r w:rsidRPr="00127BD4">
        <w:t xml:space="preserve">: Sistema </w:t>
      </w:r>
      <w:r w:rsidR="0068186F" w:rsidRPr="00127BD4">
        <w:t>n</w:t>
      </w:r>
      <w:r w:rsidRPr="00127BD4">
        <w:t xml:space="preserve">acional de </w:t>
      </w:r>
      <w:r w:rsidR="0068186F" w:rsidRPr="00127BD4">
        <w:t>á</w:t>
      </w:r>
      <w:r w:rsidRPr="00127BD4">
        <w:t xml:space="preserve">reas </w:t>
      </w:r>
      <w:r w:rsidR="0068186F" w:rsidRPr="00127BD4">
        <w:t>p</w:t>
      </w:r>
      <w:r w:rsidRPr="00127BD4">
        <w:t>rotegidas</w:t>
      </w:r>
    </w:p>
    <w:p w14:paraId="3CF5F0C4" w14:textId="77777777" w:rsidR="0056031B" w:rsidRPr="00127BD4" w:rsidRDefault="0056031B">
      <w:pPr>
        <w:numPr>
          <w:ilvl w:val="12"/>
          <w:numId w:val="0"/>
        </w:numPr>
        <w:tabs>
          <w:tab w:val="left" w:pos="-2268"/>
        </w:tabs>
        <w:suppressAutoHyphens/>
      </w:pPr>
    </w:p>
    <w:p w14:paraId="30478764" w14:textId="77777777" w:rsidR="0056031B" w:rsidRPr="004068F6" w:rsidRDefault="0056031B">
      <w:pPr>
        <w:numPr>
          <w:ilvl w:val="12"/>
          <w:numId w:val="0"/>
        </w:numPr>
        <w:tabs>
          <w:tab w:val="left" w:pos="-2268"/>
        </w:tabs>
        <w:suppressAutoHyphens/>
      </w:pPr>
      <w:r w:rsidRPr="004068F6">
        <w:rPr>
          <w:b/>
        </w:rPr>
        <w:t>SIRH</w:t>
      </w:r>
      <w:r w:rsidRPr="004068F6">
        <w:t>: Sistema de Información del Recurso Hídrico</w:t>
      </w:r>
    </w:p>
    <w:p w14:paraId="53AB98C8" w14:textId="77777777" w:rsidR="0056031B" w:rsidRPr="004068F6" w:rsidRDefault="0056031B">
      <w:pPr>
        <w:numPr>
          <w:ilvl w:val="12"/>
          <w:numId w:val="0"/>
        </w:numPr>
        <w:tabs>
          <w:tab w:val="left" w:pos="-2268"/>
        </w:tabs>
        <w:suppressAutoHyphens/>
      </w:pPr>
    </w:p>
    <w:p w14:paraId="4321C96A" w14:textId="36E0536A" w:rsidR="0056031B" w:rsidRPr="004068F6" w:rsidRDefault="0056031B">
      <w:pPr>
        <w:numPr>
          <w:ilvl w:val="12"/>
          <w:numId w:val="0"/>
        </w:numPr>
        <w:tabs>
          <w:tab w:val="left" w:pos="-2268"/>
        </w:tabs>
        <w:suppressAutoHyphens/>
      </w:pPr>
      <w:r w:rsidRPr="004068F6">
        <w:rPr>
          <w:b/>
        </w:rPr>
        <w:t>Sisaire</w:t>
      </w:r>
      <w:r w:rsidRPr="004068F6">
        <w:t xml:space="preserve">: Sistema de </w:t>
      </w:r>
      <w:r w:rsidR="0068186F" w:rsidRPr="004068F6">
        <w:t>i</w:t>
      </w:r>
      <w:r w:rsidRPr="004068F6">
        <w:t xml:space="preserve">nformación sobre </w:t>
      </w:r>
      <w:r w:rsidR="0068186F" w:rsidRPr="004068F6">
        <w:t>c</w:t>
      </w:r>
      <w:r w:rsidRPr="004068F6">
        <w:t xml:space="preserve">alidad del </w:t>
      </w:r>
      <w:r w:rsidR="0068186F" w:rsidRPr="004068F6">
        <w:t>a</w:t>
      </w:r>
      <w:r w:rsidRPr="004068F6">
        <w:t>ire</w:t>
      </w:r>
    </w:p>
    <w:p w14:paraId="3B149DF0" w14:textId="77777777" w:rsidR="0056031B" w:rsidRPr="004068F6" w:rsidRDefault="0056031B">
      <w:pPr>
        <w:numPr>
          <w:ilvl w:val="12"/>
          <w:numId w:val="0"/>
        </w:numPr>
        <w:tabs>
          <w:tab w:val="left" w:pos="-2268"/>
        </w:tabs>
        <w:suppressAutoHyphens/>
      </w:pPr>
    </w:p>
    <w:p w14:paraId="0238C94B" w14:textId="60A78A3C" w:rsidR="0056031B" w:rsidRPr="004068F6" w:rsidRDefault="0056031B" w:rsidP="00121B89">
      <w:pPr>
        <w:numPr>
          <w:ilvl w:val="12"/>
          <w:numId w:val="0"/>
        </w:numPr>
        <w:tabs>
          <w:tab w:val="left" w:pos="-2268"/>
        </w:tabs>
        <w:suppressAutoHyphens/>
        <w:rPr>
          <w:rFonts w:cs="Arial"/>
        </w:rPr>
      </w:pPr>
      <w:r w:rsidRPr="004068F6">
        <w:rPr>
          <w:rFonts w:cs="Arial"/>
          <w:b/>
        </w:rPr>
        <w:t>Sisbén</w:t>
      </w:r>
      <w:r w:rsidRPr="004068F6">
        <w:rPr>
          <w:rFonts w:cs="Arial"/>
        </w:rPr>
        <w:t>: Sistema de identificación de potenciales beneficiarios de programas sociales</w:t>
      </w:r>
    </w:p>
    <w:p w14:paraId="230EC54D" w14:textId="77777777" w:rsidR="0056031B" w:rsidRPr="004068F6" w:rsidRDefault="0056031B" w:rsidP="00121B89">
      <w:pPr>
        <w:numPr>
          <w:ilvl w:val="12"/>
          <w:numId w:val="0"/>
        </w:numPr>
        <w:tabs>
          <w:tab w:val="left" w:pos="-2268"/>
        </w:tabs>
        <w:suppressAutoHyphens/>
        <w:rPr>
          <w:rFonts w:cs="Arial"/>
        </w:rPr>
      </w:pPr>
    </w:p>
    <w:p w14:paraId="578EF74B" w14:textId="77777777" w:rsidR="0056031B" w:rsidRPr="004068F6" w:rsidRDefault="0056031B" w:rsidP="00DF3A0D">
      <w:pPr>
        <w:numPr>
          <w:ilvl w:val="12"/>
          <w:numId w:val="0"/>
        </w:numPr>
        <w:tabs>
          <w:tab w:val="left" w:pos="-2268"/>
        </w:tabs>
        <w:suppressAutoHyphens/>
        <w:rPr>
          <w:rFonts w:cs="Arial"/>
        </w:rPr>
      </w:pPr>
      <w:r w:rsidRPr="004068F6">
        <w:rPr>
          <w:rFonts w:cs="Arial"/>
          <w:b/>
        </w:rPr>
        <w:t>SNGRD</w:t>
      </w:r>
      <w:r w:rsidRPr="004068F6">
        <w:rPr>
          <w:rFonts w:cs="Arial"/>
        </w:rPr>
        <w:t>: Sistema Nacional de Gestión del Riesgo de Desastres</w:t>
      </w:r>
    </w:p>
    <w:p w14:paraId="5928EF91" w14:textId="77777777" w:rsidR="0056031B" w:rsidRPr="004068F6" w:rsidRDefault="0056031B" w:rsidP="00DF3A0D">
      <w:pPr>
        <w:numPr>
          <w:ilvl w:val="12"/>
          <w:numId w:val="0"/>
        </w:numPr>
        <w:tabs>
          <w:tab w:val="left" w:pos="-2268"/>
        </w:tabs>
        <w:suppressAutoHyphens/>
        <w:rPr>
          <w:rFonts w:cs="Arial"/>
        </w:rPr>
      </w:pPr>
    </w:p>
    <w:p w14:paraId="22B1E92B" w14:textId="77777777" w:rsidR="0056031B" w:rsidRPr="004068F6" w:rsidRDefault="0056031B">
      <w:pPr>
        <w:numPr>
          <w:ilvl w:val="12"/>
          <w:numId w:val="0"/>
        </w:numPr>
        <w:tabs>
          <w:tab w:val="left" w:pos="-2268"/>
        </w:tabs>
        <w:suppressAutoHyphens/>
      </w:pPr>
      <w:r w:rsidRPr="004068F6">
        <w:rPr>
          <w:b/>
        </w:rPr>
        <w:t>UAEGRTD</w:t>
      </w:r>
      <w:r w:rsidRPr="004068F6">
        <w:t>: Unidad Administrativa Especial de Gestión de Restitución de Tierras Despojadas</w:t>
      </w:r>
    </w:p>
    <w:p w14:paraId="71E43763" w14:textId="77777777" w:rsidR="0056031B" w:rsidRPr="004068F6" w:rsidRDefault="0056031B">
      <w:pPr>
        <w:numPr>
          <w:ilvl w:val="12"/>
          <w:numId w:val="0"/>
        </w:numPr>
        <w:tabs>
          <w:tab w:val="left" w:pos="-2268"/>
        </w:tabs>
        <w:suppressAutoHyphens/>
      </w:pPr>
    </w:p>
    <w:p w14:paraId="1E4AD6D6" w14:textId="77777777" w:rsidR="0056031B" w:rsidRPr="004068F6" w:rsidRDefault="0056031B">
      <w:pPr>
        <w:numPr>
          <w:ilvl w:val="12"/>
          <w:numId w:val="0"/>
        </w:numPr>
        <w:tabs>
          <w:tab w:val="left" w:pos="-2268"/>
        </w:tabs>
        <w:suppressAutoHyphens/>
      </w:pPr>
      <w:r w:rsidRPr="004068F6">
        <w:rPr>
          <w:b/>
        </w:rPr>
        <w:t>UAF</w:t>
      </w:r>
      <w:r w:rsidRPr="004068F6">
        <w:t>: Unidad Agrícola Familiar</w:t>
      </w:r>
    </w:p>
    <w:p w14:paraId="4C46160C" w14:textId="77777777" w:rsidR="0056031B" w:rsidRPr="004068F6" w:rsidRDefault="0056031B">
      <w:pPr>
        <w:numPr>
          <w:ilvl w:val="12"/>
          <w:numId w:val="0"/>
        </w:numPr>
        <w:tabs>
          <w:tab w:val="left" w:pos="-2268"/>
        </w:tabs>
        <w:suppressAutoHyphens/>
      </w:pPr>
    </w:p>
    <w:p w14:paraId="38209CC5" w14:textId="77777777" w:rsidR="0056031B" w:rsidRPr="004068F6" w:rsidRDefault="0056031B">
      <w:pPr>
        <w:numPr>
          <w:ilvl w:val="12"/>
          <w:numId w:val="0"/>
        </w:numPr>
        <w:tabs>
          <w:tab w:val="left" w:pos="-2268"/>
        </w:tabs>
        <w:suppressAutoHyphens/>
      </w:pPr>
      <w:r w:rsidRPr="004068F6">
        <w:rPr>
          <w:b/>
        </w:rPr>
        <w:t>UICN</w:t>
      </w:r>
      <w:r w:rsidRPr="004068F6">
        <w:t>: Unión Internacional para la Conservación de la Naturaleza</w:t>
      </w:r>
    </w:p>
    <w:p w14:paraId="1A47495D" w14:textId="77777777" w:rsidR="0056031B" w:rsidRPr="004068F6" w:rsidRDefault="0056031B">
      <w:pPr>
        <w:numPr>
          <w:ilvl w:val="12"/>
          <w:numId w:val="0"/>
        </w:numPr>
        <w:tabs>
          <w:tab w:val="left" w:pos="-2268"/>
        </w:tabs>
        <w:suppressAutoHyphens/>
      </w:pPr>
    </w:p>
    <w:p w14:paraId="562B00EA" w14:textId="76384A24" w:rsidR="0056031B" w:rsidRPr="004068F6" w:rsidRDefault="0056031B">
      <w:pPr>
        <w:numPr>
          <w:ilvl w:val="12"/>
          <w:numId w:val="0"/>
        </w:numPr>
        <w:tabs>
          <w:tab w:val="left" w:pos="-2268"/>
        </w:tabs>
        <w:suppressAutoHyphens/>
      </w:pPr>
      <w:r w:rsidRPr="004068F6">
        <w:rPr>
          <w:b/>
        </w:rPr>
        <w:t>Vital</w:t>
      </w:r>
      <w:r w:rsidRPr="004068F6">
        <w:t xml:space="preserve">: Ventanilla </w:t>
      </w:r>
      <w:r w:rsidR="00A85175" w:rsidRPr="004068F6">
        <w:t>i</w:t>
      </w:r>
      <w:r w:rsidRPr="004068F6">
        <w:t xml:space="preserve">ntegral de </w:t>
      </w:r>
      <w:r w:rsidR="00A85175" w:rsidRPr="004068F6">
        <w:t>t</w:t>
      </w:r>
      <w:r w:rsidRPr="004068F6">
        <w:t xml:space="preserve">rámites </w:t>
      </w:r>
      <w:r w:rsidR="00A85175" w:rsidRPr="004068F6">
        <w:t>a</w:t>
      </w:r>
      <w:r w:rsidRPr="004068F6">
        <w:t xml:space="preserve">mbientales en </w:t>
      </w:r>
      <w:r w:rsidR="00A85175" w:rsidRPr="004068F6">
        <w:t>l</w:t>
      </w:r>
      <w:r w:rsidRPr="004068F6">
        <w:t>ínea</w:t>
      </w:r>
    </w:p>
    <w:p w14:paraId="37E59D07" w14:textId="77777777" w:rsidR="0056031B" w:rsidRPr="004068F6" w:rsidRDefault="0056031B">
      <w:pPr>
        <w:numPr>
          <w:ilvl w:val="12"/>
          <w:numId w:val="0"/>
        </w:numPr>
        <w:tabs>
          <w:tab w:val="left" w:pos="-2268"/>
        </w:tabs>
        <w:suppressAutoHyphens/>
      </w:pPr>
    </w:p>
    <w:p w14:paraId="4ACEF88F" w14:textId="77777777" w:rsidR="0056031B" w:rsidRPr="004068F6" w:rsidRDefault="0056031B" w:rsidP="00FA60FE">
      <w:pPr>
        <w:numPr>
          <w:ilvl w:val="12"/>
          <w:numId w:val="0"/>
        </w:numPr>
        <w:tabs>
          <w:tab w:val="left" w:pos="-2268"/>
        </w:tabs>
        <w:suppressAutoHyphens/>
        <w:rPr>
          <w:rFonts w:cs="Arial"/>
        </w:rPr>
      </w:pPr>
      <w:r w:rsidRPr="004068F6">
        <w:rPr>
          <w:rFonts w:cs="Arial"/>
          <w:b/>
          <w:bCs/>
        </w:rPr>
        <w:t>VPN</w:t>
      </w:r>
      <w:r w:rsidRPr="004068F6">
        <w:rPr>
          <w:rFonts w:cs="Arial"/>
          <w:bCs/>
        </w:rPr>
        <w:t xml:space="preserve">: </w:t>
      </w:r>
      <w:r w:rsidRPr="004068F6">
        <w:rPr>
          <w:rFonts w:cs="Arial"/>
        </w:rPr>
        <w:t>Valor Presente Neto</w:t>
      </w:r>
    </w:p>
    <w:p w14:paraId="5D813B60" w14:textId="77777777" w:rsidR="0056031B" w:rsidRPr="004068F6" w:rsidRDefault="0056031B" w:rsidP="00FA60FE">
      <w:pPr>
        <w:numPr>
          <w:ilvl w:val="12"/>
          <w:numId w:val="0"/>
        </w:numPr>
        <w:tabs>
          <w:tab w:val="left" w:pos="-2268"/>
        </w:tabs>
        <w:suppressAutoHyphens/>
        <w:rPr>
          <w:rFonts w:cs="Arial"/>
        </w:rPr>
      </w:pPr>
    </w:p>
    <w:p w14:paraId="012260D7" w14:textId="79A4376B" w:rsidR="0056031B" w:rsidRPr="004068F6" w:rsidRDefault="0056031B">
      <w:pPr>
        <w:numPr>
          <w:ilvl w:val="12"/>
          <w:numId w:val="0"/>
        </w:numPr>
        <w:tabs>
          <w:tab w:val="left" w:pos="-2268"/>
        </w:tabs>
        <w:suppressAutoHyphens/>
      </w:pPr>
      <w:r w:rsidRPr="004068F6">
        <w:rPr>
          <w:b/>
        </w:rPr>
        <w:t>Zidres</w:t>
      </w:r>
      <w:r w:rsidRPr="004068F6">
        <w:t xml:space="preserve">: Zona de </w:t>
      </w:r>
      <w:r w:rsidR="00A85175" w:rsidRPr="004068F6">
        <w:t>i</w:t>
      </w:r>
      <w:r w:rsidRPr="004068F6">
        <w:t xml:space="preserve">nterés de </w:t>
      </w:r>
      <w:r w:rsidR="00A85175" w:rsidRPr="004068F6">
        <w:t>d</w:t>
      </w:r>
      <w:r w:rsidRPr="004068F6">
        <w:t xml:space="preserve">esarrollo </w:t>
      </w:r>
      <w:r w:rsidR="00A85175" w:rsidRPr="004068F6">
        <w:t>r</w:t>
      </w:r>
      <w:r w:rsidRPr="004068F6">
        <w:t xml:space="preserve">ural, </w:t>
      </w:r>
      <w:r w:rsidR="00A85175" w:rsidRPr="004068F6">
        <w:t>e</w:t>
      </w:r>
      <w:r w:rsidRPr="004068F6">
        <w:t xml:space="preserve">conómico y </w:t>
      </w:r>
      <w:r w:rsidR="00A85175" w:rsidRPr="004068F6">
        <w:t>s</w:t>
      </w:r>
      <w:r w:rsidRPr="004068F6">
        <w:t>ocial</w:t>
      </w:r>
    </w:p>
    <w:p w14:paraId="0FA344F5" w14:textId="0635D9DC" w:rsidR="008035F2" w:rsidRPr="004068F6" w:rsidRDefault="008035F2" w:rsidP="00C86DA5">
      <w:pPr>
        <w:numPr>
          <w:ilvl w:val="12"/>
          <w:numId w:val="0"/>
        </w:numPr>
        <w:tabs>
          <w:tab w:val="left" w:pos="-2268"/>
        </w:tabs>
        <w:suppressAutoHyphens/>
      </w:pPr>
      <w:r w:rsidRPr="004068F6">
        <w:br w:type="page"/>
      </w:r>
    </w:p>
    <w:p w14:paraId="0D1816D6" w14:textId="637875D4" w:rsidR="00B06F49" w:rsidRPr="004068F6" w:rsidRDefault="00B06F49" w:rsidP="00121B89">
      <w:pPr>
        <w:pStyle w:val="Captulosinnumero"/>
        <w:rPr>
          <w:lang w:val="es-CO"/>
        </w:rPr>
      </w:pPr>
      <w:bookmarkStart w:id="9" w:name="_Toc437935972"/>
      <w:bookmarkStart w:id="10" w:name="_Toc286250692"/>
      <w:bookmarkStart w:id="11" w:name="_Toc286250832"/>
      <w:bookmarkStart w:id="12" w:name="_Toc324339066"/>
      <w:bookmarkStart w:id="13" w:name="_Toc342071341"/>
      <w:bookmarkStart w:id="14" w:name="_Toc378923251"/>
      <w:bookmarkStart w:id="15" w:name="_Toc387312707"/>
      <w:bookmarkStart w:id="16" w:name="_Toc391040018"/>
      <w:bookmarkStart w:id="17" w:name="_Toc230879550"/>
      <w:r w:rsidRPr="004068F6">
        <w:rPr>
          <w:lang w:val="es-CO"/>
        </w:rPr>
        <w:lastRenderedPageBreak/>
        <w:t>GLOSARIO</w:t>
      </w:r>
      <w:bookmarkEnd w:id="9"/>
      <w:bookmarkEnd w:id="17"/>
    </w:p>
    <w:p w14:paraId="7030C6BD" w14:textId="6AA7222F" w:rsidR="00B06F49" w:rsidRPr="004068F6" w:rsidRDefault="00B06F49">
      <w:pPr>
        <w:numPr>
          <w:ilvl w:val="12"/>
          <w:numId w:val="0"/>
        </w:numPr>
        <w:tabs>
          <w:tab w:val="left" w:pos="-2268"/>
        </w:tabs>
        <w:suppressAutoHyphens/>
      </w:pPr>
    </w:p>
    <w:p w14:paraId="4E1D151C" w14:textId="271D9FEE" w:rsidR="00E15A48" w:rsidRPr="004068F6" w:rsidRDefault="00FB5FD2">
      <w:pPr>
        <w:numPr>
          <w:ilvl w:val="12"/>
          <w:numId w:val="0"/>
        </w:numPr>
        <w:tabs>
          <w:tab w:val="left" w:pos="-2268"/>
        </w:tabs>
        <w:suppressAutoHyphens/>
      </w:pPr>
      <w:r w:rsidRPr="004068F6">
        <w:t>Para</w:t>
      </w:r>
      <w:r w:rsidR="00E15A48" w:rsidRPr="004068F6">
        <w:t xml:space="preserve"> la elaboración </w:t>
      </w:r>
      <w:r w:rsidR="00E15A48" w:rsidRPr="004068F6">
        <w:rPr>
          <w:rFonts w:cs="Arial"/>
        </w:rPr>
        <w:t xml:space="preserve">y presentación </w:t>
      </w:r>
      <w:r w:rsidR="00E15A48" w:rsidRPr="004068F6">
        <w:t>de los estudios ambientales</w:t>
      </w:r>
      <w:r w:rsidR="00B06F49" w:rsidRPr="004068F6">
        <w:t xml:space="preserve"> se </w:t>
      </w:r>
      <w:r w:rsidR="00B66A4A" w:rsidRPr="004068F6">
        <w:t xml:space="preserve">debe </w:t>
      </w:r>
      <w:r w:rsidR="00B06F49" w:rsidRPr="004068F6">
        <w:t>ten</w:t>
      </w:r>
      <w:r w:rsidR="00B66A4A" w:rsidRPr="004068F6">
        <w:t xml:space="preserve">er </w:t>
      </w:r>
      <w:r w:rsidR="00B06F49" w:rsidRPr="004068F6">
        <w:t>en cuenta el siguiente glosario general</w:t>
      </w:r>
      <w:r w:rsidR="00E15A48" w:rsidRPr="004068F6">
        <w:rPr>
          <w:vertAlign w:val="superscript"/>
        </w:rPr>
        <w:footnoteReference w:id="6"/>
      </w:r>
      <w:r w:rsidR="00E15A48" w:rsidRPr="004068F6">
        <w:t>:</w:t>
      </w:r>
    </w:p>
    <w:p w14:paraId="1DC44542" w14:textId="77777777" w:rsidR="000E6BC1" w:rsidRPr="004068F6" w:rsidRDefault="000E6BC1" w:rsidP="000E6BC1">
      <w:pPr>
        <w:numPr>
          <w:ilvl w:val="12"/>
          <w:numId w:val="0"/>
        </w:numPr>
        <w:tabs>
          <w:tab w:val="left" w:pos="-2268"/>
        </w:tabs>
        <w:suppressAutoHyphens/>
      </w:pPr>
    </w:p>
    <w:p w14:paraId="1CA5D02C" w14:textId="73F4BBE5" w:rsidR="00E15A48" w:rsidRPr="004068F6" w:rsidRDefault="00E15A48" w:rsidP="00456AB1">
      <w:pPr>
        <w:numPr>
          <w:ilvl w:val="0"/>
          <w:numId w:val="19"/>
        </w:numPr>
        <w:suppressAutoHyphens/>
        <w:ind w:left="567" w:hanging="567"/>
        <w:rPr>
          <w:rFonts w:cs="Arial"/>
        </w:rPr>
      </w:pPr>
      <w:r w:rsidRPr="004068F6">
        <w:rPr>
          <w:rFonts w:cs="Arial"/>
          <w:b/>
        </w:rPr>
        <w:t>Acuífero</w:t>
      </w:r>
      <w:r w:rsidR="00FB5FD2" w:rsidRPr="004068F6">
        <w:rPr>
          <w:rFonts w:cs="Arial"/>
        </w:rPr>
        <w:t>:</w:t>
      </w:r>
      <w:r w:rsidR="00645B6A" w:rsidRPr="004068F6">
        <w:rPr>
          <w:rFonts w:cs="Arial"/>
        </w:rPr>
        <w:t xml:space="preserve"> </w:t>
      </w:r>
      <w:r w:rsidR="006A6CC6" w:rsidRPr="004068F6">
        <w:rPr>
          <w:rFonts w:cs="Arial"/>
        </w:rPr>
        <w:t>unidad de roca o sedimento, capaz de almacenar y transmitir agua, entendida como el sistema que involucra las zonas de recarga, tránsito y de descarga, así como sus interacciones con otras unidades similares, las aguas superficiales y marinas</w:t>
      </w:r>
      <w:r w:rsidR="00761FEE" w:rsidRPr="004068F6">
        <w:rPr>
          <w:rFonts w:cs="Arial"/>
        </w:rPr>
        <w:t>.</w:t>
      </w:r>
      <w:r w:rsidR="00CF2BB6" w:rsidRPr="004068F6">
        <w:rPr>
          <w:rFonts w:cs="Arial"/>
        </w:rPr>
        <w:t xml:space="preserve"> </w:t>
      </w:r>
      <w:r w:rsidR="00CF2BB6" w:rsidRPr="004068F6">
        <w:rPr>
          <w:rFonts w:cs="Arial"/>
          <w:vertAlign w:val="superscript"/>
        </w:rPr>
        <w:t>[</w:t>
      </w:r>
      <w:bookmarkStart w:id="18" w:name="_Ref44839840"/>
      <w:r w:rsidR="00796770" w:rsidRPr="004068F6">
        <w:rPr>
          <w:rStyle w:val="Refdenotaalfinal"/>
          <w:rFonts w:cs="Arial"/>
        </w:rPr>
        <w:endnoteReference w:id="2"/>
      </w:r>
      <w:bookmarkEnd w:id="18"/>
      <w:r w:rsidR="00CF2BB6" w:rsidRPr="004068F6">
        <w:rPr>
          <w:rFonts w:cs="Arial"/>
          <w:vertAlign w:val="superscript"/>
        </w:rPr>
        <w:t>]</w:t>
      </w:r>
    </w:p>
    <w:p w14:paraId="202FE787" w14:textId="1D6EC27A" w:rsidR="00E15A48" w:rsidRPr="004068F6" w:rsidRDefault="00E15A48" w:rsidP="00E51862">
      <w:pPr>
        <w:suppressAutoHyphens/>
        <w:rPr>
          <w:rFonts w:cs="Arial"/>
        </w:rPr>
      </w:pPr>
    </w:p>
    <w:p w14:paraId="68D1DAB7" w14:textId="562A1A6D" w:rsidR="00E15A48" w:rsidRPr="004068F6" w:rsidRDefault="00E15A48" w:rsidP="009420F5">
      <w:pPr>
        <w:numPr>
          <w:ilvl w:val="0"/>
          <w:numId w:val="19"/>
        </w:numPr>
        <w:spacing w:line="259" w:lineRule="auto"/>
        <w:ind w:left="567" w:hanging="567"/>
        <w:rPr>
          <w:rFonts w:cs="Arial"/>
          <w:b/>
        </w:rPr>
      </w:pPr>
      <w:r w:rsidRPr="004068F6">
        <w:rPr>
          <w:rFonts w:cs="Arial"/>
          <w:b/>
        </w:rPr>
        <w:t>Adaptación al cambio climático</w:t>
      </w:r>
      <w:r w:rsidRPr="004068F6">
        <w:rPr>
          <w:rFonts w:cs="Arial"/>
        </w:rPr>
        <w:t xml:space="preserve">: </w:t>
      </w:r>
      <w:r w:rsidR="00F45EA1" w:rsidRPr="004068F6">
        <w:rPr>
          <w:rFonts w:cs="Arial"/>
        </w:rPr>
        <w:t>proceso de ajuste a los efectos presentes y esperados del cambio climático. En ámbitos sociales de decisión corresponde al proceso de ajuste que busca atenuar los efectos perjudiciales y/o aprovechar las oportunidades beneficiosas presentes o esperadas del clima y sus efectos. En los socioecosistemas, el proceso de ajuste de la biodiversidad al clima actual y sus efectos puede ser intervenido por la sociedad con el propósito de facilitar el ajuste al clima esperado</w:t>
      </w:r>
      <w:r w:rsidR="00761FEE" w:rsidRPr="004068F6">
        <w:rPr>
          <w:rFonts w:cs="Arial"/>
        </w:rPr>
        <w:t>.</w:t>
      </w:r>
      <w:r w:rsidR="00CF2BB6" w:rsidRPr="004068F6">
        <w:rPr>
          <w:rFonts w:cs="Arial"/>
        </w:rPr>
        <w:t xml:space="preserve"> </w:t>
      </w:r>
      <w:r w:rsidR="00CF2BB6" w:rsidRPr="004068F6">
        <w:rPr>
          <w:rFonts w:cs="Arial"/>
          <w:vertAlign w:val="superscript"/>
        </w:rPr>
        <w:t>[</w:t>
      </w:r>
      <w:bookmarkStart w:id="19" w:name="_Ref44840425"/>
      <w:r w:rsidR="00212358" w:rsidRPr="004068F6">
        <w:rPr>
          <w:rStyle w:val="Refdenotaalfinal"/>
          <w:rFonts w:cs="Arial"/>
        </w:rPr>
        <w:endnoteReference w:id="3"/>
      </w:r>
      <w:bookmarkEnd w:id="19"/>
      <w:r w:rsidR="00CF2BB6" w:rsidRPr="004068F6">
        <w:rPr>
          <w:rFonts w:cs="Arial"/>
          <w:vertAlign w:val="superscript"/>
        </w:rPr>
        <w:t>]</w:t>
      </w:r>
    </w:p>
    <w:p w14:paraId="57A227D1" w14:textId="77777777" w:rsidR="00D46DE1" w:rsidRPr="004068F6" w:rsidRDefault="00D46DE1" w:rsidP="000D6E21">
      <w:pPr>
        <w:spacing w:line="259" w:lineRule="auto"/>
        <w:rPr>
          <w:rFonts w:cs="Arial"/>
          <w:b/>
        </w:rPr>
      </w:pPr>
    </w:p>
    <w:p w14:paraId="37A89D9E" w14:textId="77777777" w:rsidR="009D3D93" w:rsidRPr="004068F6" w:rsidRDefault="009D3D93" w:rsidP="009D3D93">
      <w:pPr>
        <w:numPr>
          <w:ilvl w:val="0"/>
          <w:numId w:val="19"/>
        </w:numPr>
        <w:spacing w:line="259" w:lineRule="auto"/>
        <w:ind w:left="567" w:hanging="567"/>
        <w:rPr>
          <w:rFonts w:cs="Arial"/>
          <w:bCs/>
        </w:rPr>
      </w:pPr>
      <w:r w:rsidRPr="004068F6">
        <w:rPr>
          <w:rFonts w:cs="Arial"/>
          <w:b/>
        </w:rPr>
        <w:t>Adaptación a través de obras de infraestructura</w:t>
      </w:r>
      <w:r w:rsidRPr="004068F6">
        <w:rPr>
          <w:rFonts w:cs="Arial"/>
          <w:bCs/>
        </w:rPr>
        <w:t xml:space="preserve">: abordaje que busca aumentar la capacidad de adaptación de las obras de infraestructura que juegan un papel determinante en el desarrollo económico. Consiste en modificar el proceso de diseño de las estructuras teniendo en cuenta periodos de retorno más amplios y los escenarios de riesgo que se deriven de éstos. </w:t>
      </w:r>
      <w:r w:rsidRPr="004068F6">
        <w:rPr>
          <w:rFonts w:cs="Arial"/>
          <w:vertAlign w:val="superscript"/>
        </w:rPr>
        <w:t>[</w:t>
      </w:r>
      <w:r w:rsidRPr="004068F6">
        <w:rPr>
          <w:rStyle w:val="Refdenotaalfinal"/>
          <w:rFonts w:cs="Arial"/>
        </w:rPr>
        <w:endnoteReference w:id="4"/>
      </w:r>
      <w:r w:rsidRPr="004068F6">
        <w:rPr>
          <w:rFonts w:cs="Arial"/>
          <w:vertAlign w:val="superscript"/>
        </w:rPr>
        <w:t>]</w:t>
      </w:r>
    </w:p>
    <w:p w14:paraId="0DBFE312" w14:textId="77777777" w:rsidR="009D3D93" w:rsidRPr="004068F6" w:rsidRDefault="009D3D93" w:rsidP="000D6E21">
      <w:pPr>
        <w:spacing w:line="259" w:lineRule="auto"/>
        <w:rPr>
          <w:rFonts w:cs="Arial"/>
          <w:b/>
        </w:rPr>
      </w:pPr>
    </w:p>
    <w:p w14:paraId="293DE72E" w14:textId="6C9C9101" w:rsidR="00D46DE1" w:rsidRPr="004068F6" w:rsidRDefault="00D46DE1" w:rsidP="00D46DE1">
      <w:pPr>
        <w:numPr>
          <w:ilvl w:val="0"/>
          <w:numId w:val="19"/>
        </w:numPr>
        <w:spacing w:line="259" w:lineRule="auto"/>
        <w:ind w:left="567" w:hanging="567"/>
        <w:rPr>
          <w:rFonts w:cs="Arial"/>
          <w:bCs/>
        </w:rPr>
      </w:pPr>
      <w:r w:rsidRPr="004068F6">
        <w:rPr>
          <w:rFonts w:cs="Arial"/>
          <w:b/>
        </w:rPr>
        <w:t>Adaptación basada en comunidades</w:t>
      </w:r>
      <w:r w:rsidRPr="004068F6">
        <w:rPr>
          <w:rFonts w:cs="Arial"/>
          <w:bCs/>
        </w:rPr>
        <w:t xml:space="preserve">: abordaje que busca aumentar la capacidad de adaptación de las comunidades más vulnerables a los impactos del </w:t>
      </w:r>
      <w:r w:rsidR="0090072D">
        <w:rPr>
          <w:rFonts w:cs="Arial"/>
          <w:bCs/>
        </w:rPr>
        <w:t>c</w:t>
      </w:r>
      <w:r w:rsidRPr="004068F6">
        <w:rPr>
          <w:rFonts w:cs="Arial"/>
          <w:bCs/>
        </w:rPr>
        <w:t xml:space="preserve">ambio </w:t>
      </w:r>
      <w:r w:rsidR="0090072D">
        <w:rPr>
          <w:rFonts w:cs="Arial"/>
          <w:bCs/>
        </w:rPr>
        <w:t>c</w:t>
      </w:r>
      <w:r w:rsidRPr="004068F6">
        <w:rPr>
          <w:rFonts w:cs="Arial"/>
          <w:bCs/>
        </w:rPr>
        <w:t xml:space="preserve">limático. Las comunidades más vulnerables son aquellas que son afectadas más fuertemente por los impactos del clima dada su ubicación espacial y su condición propia de incapacidad de adelantar acciones preventivas y adaptarse y recuperarse en corto tiempo a los embates de la variabilidad climática y de los eventos extremos sobre sus medios de subsistencia y las condiciones de su entorno para preservar sus vidas. Es un proceso que se sustenta en las prioridades, necesidades, conocimientos y capacidades locales que busca empoderar a las comunidades para enfrentarse con los impactos del </w:t>
      </w:r>
      <w:r w:rsidR="00451604">
        <w:rPr>
          <w:rFonts w:cs="Arial"/>
          <w:bCs/>
        </w:rPr>
        <w:t>c</w:t>
      </w:r>
      <w:r w:rsidRPr="004068F6">
        <w:rPr>
          <w:rFonts w:cs="Arial"/>
          <w:bCs/>
        </w:rPr>
        <w:t xml:space="preserve">ambio </w:t>
      </w:r>
      <w:r w:rsidR="00451604">
        <w:rPr>
          <w:rFonts w:cs="Arial"/>
          <w:bCs/>
        </w:rPr>
        <w:t>c</w:t>
      </w:r>
      <w:r w:rsidRPr="004068F6">
        <w:rPr>
          <w:rFonts w:cs="Arial"/>
          <w:bCs/>
        </w:rPr>
        <w:t>limático a corto y largo plazo.</w:t>
      </w:r>
      <w:r w:rsidR="00897F46" w:rsidRPr="004068F6">
        <w:rPr>
          <w:rFonts w:cs="Arial"/>
          <w:bCs/>
        </w:rPr>
        <w:t xml:space="preserve"> </w:t>
      </w:r>
      <w:r w:rsidR="00897F46" w:rsidRPr="004068F6">
        <w:rPr>
          <w:rFonts w:cs="Arial"/>
          <w:vertAlign w:val="superscript"/>
        </w:rPr>
        <w:t>[</w:t>
      </w:r>
      <w:r w:rsidR="00897F46" w:rsidRPr="004068F6">
        <w:rPr>
          <w:rStyle w:val="Refdenotaalfinal"/>
          <w:rFonts w:cs="Arial"/>
        </w:rPr>
        <w:endnoteReference w:id="5"/>
      </w:r>
      <w:r w:rsidR="00897F46" w:rsidRPr="004068F6">
        <w:rPr>
          <w:rFonts w:cs="Arial"/>
          <w:vertAlign w:val="superscript"/>
        </w:rPr>
        <w:t>]</w:t>
      </w:r>
    </w:p>
    <w:p w14:paraId="1C2AAD09" w14:textId="77777777" w:rsidR="00D46DE1" w:rsidRPr="004068F6" w:rsidRDefault="00D46DE1" w:rsidP="000D6E21">
      <w:pPr>
        <w:spacing w:line="259" w:lineRule="auto"/>
        <w:rPr>
          <w:rFonts w:cs="Arial"/>
          <w:bCs/>
        </w:rPr>
      </w:pPr>
    </w:p>
    <w:p w14:paraId="46DA89C8" w14:textId="4D73C7A7" w:rsidR="00D46DE1" w:rsidRPr="004068F6" w:rsidRDefault="00D46DE1" w:rsidP="00D46DE1">
      <w:pPr>
        <w:numPr>
          <w:ilvl w:val="0"/>
          <w:numId w:val="19"/>
        </w:numPr>
        <w:spacing w:line="259" w:lineRule="auto"/>
        <w:ind w:left="567" w:hanging="567"/>
        <w:rPr>
          <w:rFonts w:cs="Arial"/>
          <w:bCs/>
        </w:rPr>
      </w:pPr>
      <w:r w:rsidRPr="004068F6">
        <w:rPr>
          <w:rFonts w:cs="Arial"/>
          <w:b/>
        </w:rPr>
        <w:lastRenderedPageBreak/>
        <w:t>Adaptación basada en ecosistemas</w:t>
      </w:r>
      <w:r w:rsidRPr="004068F6">
        <w:rPr>
          <w:rFonts w:cs="Arial"/>
          <w:bCs/>
        </w:rPr>
        <w:t>: utilización de la biodiversidad y los servicios de los ecosistemas como parte de una estrategia más amplia de adaptación para ayudar a las personas con los efectos adversos del cambio climático. Integra el manejo sostenible, la conservación y la restauración de ecosistemas para proveer servicios que permiten a las personas adaptarse a los impactos del cambio climático. Su propósito es mantener y aumentar la capacidad de adaptación y reducir la vulnerabilidad de los ecosistemas y las personas.</w:t>
      </w:r>
      <w:r w:rsidR="002F4B3B" w:rsidRPr="004068F6">
        <w:rPr>
          <w:rFonts w:cs="Arial"/>
          <w:bCs/>
        </w:rPr>
        <w:t xml:space="preserve"> </w:t>
      </w:r>
      <w:r w:rsidR="002F4B3B" w:rsidRPr="004068F6">
        <w:rPr>
          <w:rFonts w:cs="Arial"/>
          <w:vertAlign w:val="superscript"/>
        </w:rPr>
        <w:t>[</w:t>
      </w:r>
      <w:r w:rsidR="002F4B3B" w:rsidRPr="004068F6">
        <w:rPr>
          <w:rStyle w:val="Refdenotaalfinal"/>
          <w:rFonts w:cs="Arial"/>
        </w:rPr>
        <w:endnoteReference w:id="6"/>
      </w:r>
      <w:r w:rsidR="002F4B3B" w:rsidRPr="004068F6">
        <w:rPr>
          <w:rFonts w:cs="Arial"/>
          <w:vertAlign w:val="superscript"/>
        </w:rPr>
        <w:t>]</w:t>
      </w:r>
    </w:p>
    <w:p w14:paraId="436CE4D8" w14:textId="77777777" w:rsidR="00F45EA1" w:rsidRPr="004068F6" w:rsidRDefault="00F45EA1" w:rsidP="00E51862">
      <w:pPr>
        <w:suppressAutoHyphens/>
        <w:rPr>
          <w:rFonts w:cs="Arial"/>
        </w:rPr>
      </w:pPr>
    </w:p>
    <w:p w14:paraId="17B0071A" w14:textId="77C02F74" w:rsidR="00E15A48" w:rsidRPr="004068F6" w:rsidRDefault="00E15A48" w:rsidP="00E51862">
      <w:pPr>
        <w:numPr>
          <w:ilvl w:val="0"/>
          <w:numId w:val="19"/>
        </w:numPr>
        <w:suppressAutoHyphens/>
        <w:ind w:left="567" w:hanging="567"/>
        <w:rPr>
          <w:rFonts w:cs="Arial"/>
        </w:rPr>
      </w:pPr>
      <w:r w:rsidRPr="004068F6">
        <w:rPr>
          <w:rFonts w:cs="Arial"/>
          <w:b/>
        </w:rPr>
        <w:t>Agua subterránea</w:t>
      </w:r>
      <w:r w:rsidRPr="004068F6">
        <w:rPr>
          <w:rFonts w:cs="Arial"/>
        </w:rPr>
        <w:t xml:space="preserve">: </w:t>
      </w:r>
      <w:bookmarkStart w:id="20" w:name="_Hlk26867909"/>
      <w:r w:rsidR="0077032C" w:rsidRPr="004068F6">
        <w:rPr>
          <w:rFonts w:cs="Arial"/>
        </w:rPr>
        <w:t>agua subálvea y la oculta debajo de la superficie del suelo o del fondo marino que brota en forma natural, como las fuentes y manantiales captados en el sitio de afloramiento o la que requiere para su alumbramiento obras como pozos, galerías filtrantes u otras similares</w:t>
      </w:r>
      <w:bookmarkEnd w:id="20"/>
      <w:r w:rsidR="007966EF" w:rsidRPr="004068F6">
        <w:rPr>
          <w:rFonts w:cs="Arial"/>
        </w:rPr>
        <w:t>.</w:t>
      </w:r>
      <w:r w:rsidR="00CF2BB6" w:rsidRPr="004068F6">
        <w:rPr>
          <w:rFonts w:cs="Arial"/>
        </w:rPr>
        <w:t xml:space="preserve"> </w:t>
      </w:r>
      <w:r w:rsidR="00CF2BB6" w:rsidRPr="004068F6">
        <w:rPr>
          <w:rFonts w:cs="Arial"/>
          <w:vertAlign w:val="superscript"/>
        </w:rPr>
        <w:t>[</w:t>
      </w:r>
      <w:r w:rsidR="0077032C" w:rsidRPr="004068F6">
        <w:rPr>
          <w:vertAlign w:val="superscript"/>
        </w:rPr>
        <w:fldChar w:fldCharType="begin"/>
      </w:r>
      <w:r w:rsidR="0077032C" w:rsidRPr="004068F6">
        <w:rPr>
          <w:vertAlign w:val="superscript"/>
        </w:rPr>
        <w:instrText xml:space="preserve"> NOTEREF _Ref44839840 \h </w:instrText>
      </w:r>
      <w:r w:rsidR="006A4128" w:rsidRPr="004068F6">
        <w:rPr>
          <w:vertAlign w:val="superscript"/>
        </w:rPr>
        <w:instrText xml:space="preserve"> \* MERGEFORMAT </w:instrText>
      </w:r>
      <w:r w:rsidR="0077032C" w:rsidRPr="004068F6">
        <w:rPr>
          <w:vertAlign w:val="superscript"/>
        </w:rPr>
      </w:r>
      <w:r w:rsidR="0077032C" w:rsidRPr="004068F6">
        <w:rPr>
          <w:vertAlign w:val="superscript"/>
        </w:rPr>
        <w:fldChar w:fldCharType="separate"/>
      </w:r>
      <w:r w:rsidR="009C4A81">
        <w:rPr>
          <w:vertAlign w:val="superscript"/>
        </w:rPr>
        <w:t>1</w:t>
      </w:r>
      <w:r w:rsidR="0077032C" w:rsidRPr="004068F6">
        <w:rPr>
          <w:vertAlign w:val="superscript"/>
        </w:rPr>
        <w:fldChar w:fldCharType="end"/>
      </w:r>
      <w:r w:rsidR="00CF2BB6" w:rsidRPr="004068F6">
        <w:rPr>
          <w:rFonts w:cs="Arial"/>
          <w:vertAlign w:val="superscript"/>
        </w:rPr>
        <w:t>]</w:t>
      </w:r>
    </w:p>
    <w:p w14:paraId="00D2CF58" w14:textId="48A779F6" w:rsidR="00AA4F93" w:rsidRPr="004068F6" w:rsidRDefault="00AA4F93" w:rsidP="00C23410">
      <w:pPr>
        <w:suppressAutoHyphens/>
      </w:pPr>
    </w:p>
    <w:p w14:paraId="39EDD1C0" w14:textId="6FA67E1F" w:rsidR="00E8461D" w:rsidRPr="004068F6" w:rsidRDefault="00E8461D" w:rsidP="00E8461D">
      <w:pPr>
        <w:numPr>
          <w:ilvl w:val="0"/>
          <w:numId w:val="19"/>
        </w:numPr>
        <w:suppressAutoHyphens/>
        <w:ind w:left="567" w:hanging="567"/>
        <w:rPr>
          <w:rFonts w:cs="Arial"/>
        </w:rPr>
      </w:pPr>
      <w:r w:rsidRPr="004068F6">
        <w:rPr>
          <w:rFonts w:cs="Arial"/>
          <w:b/>
        </w:rPr>
        <w:t>Ambiente</w:t>
      </w:r>
      <w:r w:rsidRPr="004068F6">
        <w:rPr>
          <w:rFonts w:cs="Arial"/>
        </w:rPr>
        <w:t xml:space="preserve">: </w:t>
      </w:r>
      <w:bookmarkStart w:id="21" w:name="_Hlk156921628"/>
      <w:r w:rsidRPr="004068F6">
        <w:rPr>
          <w:rFonts w:cs="Arial"/>
        </w:rPr>
        <w:t>comprende los elementos naturales, tanto físicos como biológicos, los elementos artificiales, sociales y culturales, y las interacciones de éstos entre sí</w:t>
      </w:r>
      <w:bookmarkEnd w:id="21"/>
      <w:r w:rsidRPr="004068F6">
        <w:rPr>
          <w:rFonts w:cs="Arial"/>
        </w:rPr>
        <w:t>.</w:t>
      </w:r>
    </w:p>
    <w:p w14:paraId="7394755C" w14:textId="77777777" w:rsidR="009D30D2" w:rsidRPr="004068F6" w:rsidRDefault="009D30D2" w:rsidP="00121B89">
      <w:pPr>
        <w:rPr>
          <w:rFonts w:cs="Arial"/>
        </w:rPr>
      </w:pPr>
    </w:p>
    <w:p w14:paraId="1A7D5C40" w14:textId="0E9ECA06" w:rsidR="00E51862" w:rsidRPr="004068F6" w:rsidRDefault="00AA4F93" w:rsidP="00C86DA5">
      <w:pPr>
        <w:numPr>
          <w:ilvl w:val="0"/>
          <w:numId w:val="19"/>
        </w:numPr>
        <w:suppressAutoHyphens/>
        <w:ind w:left="567" w:hanging="567"/>
        <w:rPr>
          <w:b/>
        </w:rPr>
      </w:pPr>
      <w:r w:rsidRPr="004068F6">
        <w:rPr>
          <w:b/>
        </w:rPr>
        <w:t>Amenaza</w:t>
      </w:r>
      <w:r w:rsidRPr="004068F6">
        <w:t xml:space="preserve">: </w:t>
      </w:r>
      <w:r w:rsidR="00AC3EDB" w:rsidRPr="004068F6">
        <w:t>peligro</w:t>
      </w:r>
      <w:r w:rsidRPr="004068F6">
        <w:t xml:space="preserve"> </w:t>
      </w:r>
      <w:r w:rsidR="00A2257E" w:rsidRPr="004068F6">
        <w:t>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bookmarkStart w:id="22" w:name="_Ref496867826"/>
      <w:r w:rsidR="006A5D01" w:rsidRPr="004068F6">
        <w:t>.</w:t>
      </w:r>
      <w:r w:rsidR="00CF2BB6" w:rsidRPr="004068F6">
        <w:t xml:space="preserve"> </w:t>
      </w:r>
      <w:r w:rsidR="00CF2BB6" w:rsidRPr="004068F6">
        <w:rPr>
          <w:vertAlign w:val="superscript"/>
        </w:rPr>
        <w:t>[</w:t>
      </w:r>
      <w:bookmarkStart w:id="23" w:name="_Ref44841712"/>
      <w:r w:rsidRPr="004068F6">
        <w:rPr>
          <w:vertAlign w:val="superscript"/>
        </w:rPr>
        <w:endnoteReference w:id="7"/>
      </w:r>
      <w:bookmarkEnd w:id="22"/>
      <w:bookmarkEnd w:id="23"/>
      <w:r w:rsidR="00CF2BB6" w:rsidRPr="004068F6">
        <w:rPr>
          <w:vertAlign w:val="superscript"/>
        </w:rPr>
        <w:t>]</w:t>
      </w:r>
    </w:p>
    <w:p w14:paraId="3F46275B" w14:textId="77777777" w:rsidR="00E51862" w:rsidRPr="004068F6" w:rsidRDefault="00E51862" w:rsidP="00E51862"/>
    <w:p w14:paraId="70FE8546" w14:textId="5D40A7C5" w:rsidR="00040ED9" w:rsidRPr="004068F6" w:rsidRDefault="00040ED9" w:rsidP="00E51862">
      <w:pPr>
        <w:numPr>
          <w:ilvl w:val="0"/>
          <w:numId w:val="19"/>
        </w:numPr>
        <w:suppressAutoHyphens/>
        <w:ind w:left="567" w:hanging="567"/>
        <w:rPr>
          <w:b/>
        </w:rPr>
      </w:pPr>
      <w:r w:rsidRPr="004068F6">
        <w:rPr>
          <w:rFonts w:cs="Arial"/>
          <w:b/>
        </w:rPr>
        <w:t>Análisis de consecuencias</w:t>
      </w:r>
      <w:r w:rsidRPr="004068F6">
        <w:rPr>
          <w:rFonts w:cs="Arial"/>
        </w:rPr>
        <w:t xml:space="preserve">: estimación de las consecuencias de eventos usando modelos matemáticos, retorno de experiencias o resultados experimentales. Implica el cálculo de la energía transferida o masa liberada por el evento. </w:t>
      </w:r>
      <w:r w:rsidRPr="004068F6">
        <w:rPr>
          <w:rFonts w:cs="Arial"/>
          <w:vertAlign w:val="superscript"/>
        </w:rPr>
        <w:t>[</w:t>
      </w:r>
      <w:r w:rsidRPr="004068F6">
        <w:rPr>
          <w:rStyle w:val="Refdenotaalfinal"/>
          <w:rFonts w:cs="Arial"/>
        </w:rPr>
        <w:endnoteReference w:id="8"/>
      </w:r>
      <w:r w:rsidRPr="004068F6">
        <w:rPr>
          <w:rFonts w:cs="Arial"/>
          <w:vertAlign w:val="superscript"/>
        </w:rPr>
        <w:t>]</w:t>
      </w:r>
    </w:p>
    <w:p w14:paraId="3977A808" w14:textId="77777777" w:rsidR="008B0543" w:rsidRPr="004068F6" w:rsidRDefault="008B0543" w:rsidP="000D6E21">
      <w:pPr>
        <w:suppressAutoHyphens/>
        <w:rPr>
          <w:b/>
        </w:rPr>
      </w:pPr>
    </w:p>
    <w:p w14:paraId="038C6653" w14:textId="6D6AAF33" w:rsidR="008B0543" w:rsidRPr="004068F6" w:rsidRDefault="008B0543" w:rsidP="00E51862">
      <w:pPr>
        <w:numPr>
          <w:ilvl w:val="0"/>
          <w:numId w:val="19"/>
        </w:numPr>
        <w:suppressAutoHyphens/>
        <w:ind w:left="567" w:hanging="567"/>
        <w:rPr>
          <w:b/>
        </w:rPr>
      </w:pPr>
      <w:r w:rsidRPr="004068F6">
        <w:rPr>
          <w:b/>
        </w:rPr>
        <w:t>Análisis y evaluación del riesgo</w:t>
      </w:r>
      <w:r w:rsidRPr="004068F6">
        <w:rPr>
          <w:bCs/>
        </w:rPr>
        <w:t xml:space="preserve">: </w:t>
      </w:r>
      <w:r w:rsidR="00E54E71" w:rsidRPr="004068F6">
        <w:rPr>
          <w:bCs/>
        </w:rPr>
        <w:t xml:space="preserve">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 recuperación. </w:t>
      </w:r>
      <w:r w:rsidR="00E54E71" w:rsidRPr="004068F6">
        <w:rPr>
          <w:bCs/>
          <w:vertAlign w:val="superscript"/>
        </w:rPr>
        <w:t>[</w:t>
      </w:r>
      <w:r w:rsidR="00441009" w:rsidRPr="004068F6">
        <w:rPr>
          <w:bCs/>
          <w:vertAlign w:val="superscript"/>
        </w:rPr>
        <w:fldChar w:fldCharType="begin"/>
      </w:r>
      <w:r w:rsidR="00441009" w:rsidRPr="004068F6">
        <w:rPr>
          <w:bCs/>
          <w:vertAlign w:val="superscript"/>
        </w:rPr>
        <w:instrText xml:space="preserve"> NOTEREF _Ref44841712 \h </w:instrText>
      </w:r>
      <w:r w:rsidR="00BD1319" w:rsidRPr="004068F6">
        <w:rPr>
          <w:bCs/>
          <w:vertAlign w:val="superscript"/>
        </w:rPr>
        <w:instrText xml:space="preserve"> \* MERGEFORMAT </w:instrText>
      </w:r>
      <w:r w:rsidR="00441009" w:rsidRPr="004068F6">
        <w:rPr>
          <w:bCs/>
          <w:vertAlign w:val="superscript"/>
        </w:rPr>
      </w:r>
      <w:r w:rsidR="00441009" w:rsidRPr="004068F6">
        <w:rPr>
          <w:bCs/>
          <w:vertAlign w:val="superscript"/>
        </w:rPr>
        <w:fldChar w:fldCharType="separate"/>
      </w:r>
      <w:r w:rsidR="009C4A81">
        <w:rPr>
          <w:bCs/>
          <w:vertAlign w:val="superscript"/>
        </w:rPr>
        <w:t>6</w:t>
      </w:r>
      <w:r w:rsidR="00441009" w:rsidRPr="004068F6">
        <w:rPr>
          <w:bCs/>
          <w:vertAlign w:val="superscript"/>
        </w:rPr>
        <w:fldChar w:fldCharType="end"/>
      </w:r>
      <w:r w:rsidR="00E54E71" w:rsidRPr="004068F6">
        <w:rPr>
          <w:bCs/>
          <w:vertAlign w:val="superscript"/>
        </w:rPr>
        <w:t>]</w:t>
      </w:r>
    </w:p>
    <w:p w14:paraId="1B7C98C1" w14:textId="77777777" w:rsidR="003A1DDA" w:rsidRPr="004068F6" w:rsidRDefault="003A1DDA"/>
    <w:p w14:paraId="4DE796C9" w14:textId="77777777" w:rsidR="00844386" w:rsidRPr="004068F6" w:rsidRDefault="00844386" w:rsidP="00844386">
      <w:pPr>
        <w:numPr>
          <w:ilvl w:val="0"/>
          <w:numId w:val="19"/>
        </w:numPr>
        <w:suppressAutoHyphens/>
        <w:ind w:left="567" w:hanging="567"/>
      </w:pPr>
      <w:r w:rsidRPr="004068F6">
        <w:rPr>
          <w:rFonts w:cs="Arial"/>
          <w:b/>
        </w:rPr>
        <w:lastRenderedPageBreak/>
        <w:t>Área</w:t>
      </w:r>
      <w:r w:rsidRPr="004068F6">
        <w:rPr>
          <w:b/>
        </w:rPr>
        <w:t xml:space="preserve"> de alta consecuencia</w:t>
      </w:r>
      <w:r w:rsidRPr="004068F6">
        <w:t>: zona en la que una pérdida de contención de sustancias orgánicas e inorgánicas puede ocasionar consecuencias adversas al ambiente, personas e infraestructura de transporte (fluvial, férrea y carretera).</w:t>
      </w:r>
      <w:r w:rsidRPr="004068F6">
        <w:rPr>
          <w:rFonts w:cs="Arial"/>
          <w:vertAlign w:val="superscript"/>
        </w:rPr>
        <w:t xml:space="preserve"> [</w:t>
      </w:r>
      <w:bookmarkStart w:id="24" w:name="_Ref78190640"/>
      <w:r w:rsidRPr="004068F6">
        <w:rPr>
          <w:rFonts w:cs="Arial"/>
          <w:vertAlign w:val="superscript"/>
        </w:rPr>
        <w:endnoteReference w:id="9"/>
      </w:r>
      <w:bookmarkEnd w:id="24"/>
      <w:r w:rsidRPr="004068F6">
        <w:rPr>
          <w:rFonts w:cs="Arial"/>
          <w:vertAlign w:val="superscript"/>
        </w:rPr>
        <w:t>]</w:t>
      </w:r>
    </w:p>
    <w:p w14:paraId="0D613A89" w14:textId="77777777" w:rsidR="00646D8F" w:rsidRPr="00EE4414" w:rsidRDefault="00646D8F" w:rsidP="00EE4414"/>
    <w:p w14:paraId="16678DF4" w14:textId="277EC01E" w:rsidR="008D1DE7" w:rsidRPr="004068F6" w:rsidRDefault="00AA4F93" w:rsidP="00E51862">
      <w:pPr>
        <w:numPr>
          <w:ilvl w:val="0"/>
          <w:numId w:val="19"/>
        </w:numPr>
        <w:suppressAutoHyphens/>
        <w:ind w:left="567" w:hanging="567"/>
      </w:pPr>
      <w:r w:rsidRPr="004068F6">
        <w:rPr>
          <w:b/>
        </w:rPr>
        <w:t>Área de estudio</w:t>
      </w:r>
      <w:r w:rsidRPr="004068F6">
        <w:t xml:space="preserve">: </w:t>
      </w:r>
      <w:bookmarkStart w:id="25" w:name="_Hlk89694632"/>
      <w:r w:rsidR="00E51862" w:rsidRPr="004068F6">
        <w:t>superficie continua o discontinua, en la que se manif</w:t>
      </w:r>
      <w:r w:rsidR="004758E3" w:rsidRPr="004068F6">
        <w:t>i</w:t>
      </w:r>
      <w:r w:rsidR="00E51862" w:rsidRPr="004068F6">
        <w:t>estan los impactos ambientales significativos que generaría</w:t>
      </w:r>
      <w:r w:rsidR="0071123E" w:rsidRPr="004068F6">
        <w:t>n</w:t>
      </w:r>
      <w:r w:rsidR="00E51862" w:rsidRPr="004068F6">
        <w:t xml:space="preserve"> la</w:t>
      </w:r>
      <w:r w:rsidR="0071123E" w:rsidRPr="004068F6">
        <w:t>s</w:t>
      </w:r>
      <w:r w:rsidR="00E51862" w:rsidRPr="004068F6">
        <w:t xml:space="preserve"> alternativa</w:t>
      </w:r>
      <w:r w:rsidR="0071123E" w:rsidRPr="004068F6">
        <w:t>s</w:t>
      </w:r>
      <w:r w:rsidR="00E51862" w:rsidRPr="004068F6">
        <w:t xml:space="preserve"> técnica y ambientalmente racional</w:t>
      </w:r>
      <w:r w:rsidR="0071123E" w:rsidRPr="004068F6">
        <w:t>es</w:t>
      </w:r>
      <w:r w:rsidR="00E51862" w:rsidRPr="004068F6">
        <w:t xml:space="preserve"> que se contemple</w:t>
      </w:r>
      <w:r w:rsidR="0071123E" w:rsidRPr="004068F6">
        <w:t>n</w:t>
      </w:r>
      <w:r w:rsidR="00E51862" w:rsidRPr="004068F6">
        <w:t xml:space="preserve"> para la ejecución de un proyecto, obra o actividad en el marco de un Diagnóstico Ambiental de Alternativas</w:t>
      </w:r>
      <w:bookmarkEnd w:id="25"/>
      <w:r w:rsidR="00E51862" w:rsidRPr="004068F6">
        <w:t>.</w:t>
      </w:r>
    </w:p>
    <w:p w14:paraId="3D477597" w14:textId="77777777" w:rsidR="00D47142" w:rsidRPr="004068F6" w:rsidRDefault="00D47142" w:rsidP="00C86DA5">
      <w:pPr>
        <w:suppressAutoHyphens/>
      </w:pPr>
    </w:p>
    <w:p w14:paraId="560BA590" w14:textId="3FABEA9C" w:rsidR="00AA4F93" w:rsidRPr="004068F6" w:rsidRDefault="00AA4F93" w:rsidP="00C86DA5">
      <w:pPr>
        <w:numPr>
          <w:ilvl w:val="0"/>
          <w:numId w:val="19"/>
        </w:numPr>
        <w:suppressAutoHyphens/>
        <w:ind w:left="567" w:hanging="567"/>
        <w:rPr>
          <w:rFonts w:eastAsia="Arial Unicode MS"/>
          <w:shd w:val="clear" w:color="auto" w:fill="FFFFFF"/>
        </w:rPr>
      </w:pPr>
      <w:r w:rsidRPr="003605B5">
        <w:rPr>
          <w:b/>
        </w:rPr>
        <w:t>Área de influencia</w:t>
      </w:r>
      <w:r w:rsidRPr="003605B5">
        <w:t>:</w:t>
      </w:r>
      <w:r w:rsidRPr="004068F6">
        <w:t xml:space="preserve"> </w:t>
      </w:r>
      <w:r w:rsidR="0088212E" w:rsidRPr="004068F6">
        <w:rPr>
          <w:rFonts w:eastAsia="Arial Unicode MS" w:cs="Arial"/>
          <w:shd w:val="clear" w:color="auto" w:fill="FFFFFF"/>
          <w:lang w:eastAsia="en-US"/>
        </w:rPr>
        <w:t>á</w:t>
      </w:r>
      <w:r w:rsidRPr="004068F6">
        <w:rPr>
          <w:rFonts w:eastAsia="Arial Unicode MS" w:cs="Arial"/>
          <w:shd w:val="clear" w:color="auto" w:fill="FFFFFF"/>
          <w:lang w:eastAsia="en-US"/>
        </w:rPr>
        <w:t>rea</w:t>
      </w:r>
      <w:r w:rsidRPr="004068F6">
        <w:rPr>
          <w:rFonts w:eastAsia="Arial Unicode MS"/>
          <w:shd w:val="clear" w:color="auto" w:fill="FFFFFF"/>
        </w:rPr>
        <w:t xml:space="preserve"> en la cual se manifiestan de manera objetiva y en lo posible cuantificable los impactos ambientales significativos </w:t>
      </w:r>
      <w:r w:rsidR="0054002D" w:rsidRPr="00127BD4">
        <w:rPr>
          <w:rFonts w:eastAsia="Arial Unicode MS"/>
          <w:shd w:val="clear" w:color="auto" w:fill="FFFFFF"/>
        </w:rPr>
        <w:t xml:space="preserve">negativos </w:t>
      </w:r>
      <w:r w:rsidRPr="004068F6">
        <w:rPr>
          <w:rFonts w:eastAsia="Arial Unicode MS"/>
          <w:shd w:val="clear" w:color="auto" w:fill="FFFFFF"/>
        </w:rPr>
        <w:t xml:space="preserve">ocasionados por la ejecución de un proyecto, obra o actividad, sobre los medios abiótico, biótico y socioeconómico, en cada uno de los componentes de dichos medios. </w:t>
      </w:r>
      <w:r w:rsidRPr="004068F6">
        <w:rPr>
          <w:rFonts w:eastAsia="Arial Unicode MS" w:cs="Arial"/>
          <w:shd w:val="clear" w:color="auto" w:fill="FFFFFF"/>
          <w:lang w:eastAsia="en-US"/>
        </w:rPr>
        <w:t>Debido a que las áreas de los impactos pueden variar dependiendo del componente que se analice, el área de influencia podrá corresponder a varios polígonos distintos que se entrecrucen entre sí</w:t>
      </w:r>
      <w:r w:rsidR="006A5D01" w:rsidRPr="004068F6">
        <w:rPr>
          <w:rFonts w:eastAsia="Arial Unicode MS" w:cs="Arial"/>
          <w:shd w:val="clear" w:color="auto" w:fill="FFFFFF"/>
          <w:lang w:eastAsia="en-US"/>
        </w:rPr>
        <w:t>.</w:t>
      </w:r>
      <w:r w:rsidRPr="004068F6">
        <w:rPr>
          <w:rFonts w:eastAsia="Arial Unicode MS" w:cs="Arial"/>
          <w:shd w:val="clear" w:color="auto" w:fill="FFFFFF"/>
          <w:lang w:eastAsia="en-US"/>
        </w:rPr>
        <w:t xml:space="preserve"> </w:t>
      </w:r>
      <w:r w:rsidR="00CF2BB6" w:rsidRPr="004068F6">
        <w:rPr>
          <w:rFonts w:eastAsia="Arial Unicode MS" w:cs="Arial"/>
          <w:shd w:val="clear" w:color="auto" w:fill="FFFFFF"/>
          <w:vertAlign w:val="superscript"/>
          <w:lang w:eastAsia="en-US"/>
        </w:rPr>
        <w:t>[</w:t>
      </w:r>
      <w:r w:rsidR="00085B6C" w:rsidRPr="004068F6">
        <w:rPr>
          <w:rFonts w:eastAsia="Arial Unicode MS" w:cs="Arial"/>
          <w:shd w:val="clear" w:color="auto" w:fill="FFFFFF"/>
          <w:vertAlign w:val="superscript"/>
          <w:lang w:eastAsia="en-US"/>
        </w:rPr>
        <w:fldChar w:fldCharType="begin"/>
      </w:r>
      <w:r w:rsidR="00085B6C" w:rsidRPr="004068F6">
        <w:rPr>
          <w:rFonts w:eastAsia="Arial Unicode MS" w:cs="Arial"/>
          <w:shd w:val="clear" w:color="auto" w:fill="FFFFFF"/>
          <w:vertAlign w:val="superscript"/>
          <w:lang w:eastAsia="en-US"/>
        </w:rPr>
        <w:instrText xml:space="preserve"> NOTEREF _Ref44839840 \h </w:instrText>
      </w:r>
      <w:r w:rsidR="006A4128" w:rsidRPr="004068F6">
        <w:rPr>
          <w:rFonts w:eastAsia="Arial Unicode MS" w:cs="Arial"/>
          <w:shd w:val="clear" w:color="auto" w:fill="FFFFFF"/>
          <w:vertAlign w:val="superscript"/>
          <w:lang w:eastAsia="en-US"/>
        </w:rPr>
        <w:instrText xml:space="preserve"> \* MERGEFORMAT </w:instrText>
      </w:r>
      <w:r w:rsidR="00085B6C" w:rsidRPr="004068F6">
        <w:rPr>
          <w:rFonts w:eastAsia="Arial Unicode MS" w:cs="Arial"/>
          <w:shd w:val="clear" w:color="auto" w:fill="FFFFFF"/>
          <w:vertAlign w:val="superscript"/>
          <w:lang w:eastAsia="en-US"/>
        </w:rPr>
      </w:r>
      <w:r w:rsidR="00085B6C" w:rsidRPr="004068F6">
        <w:rPr>
          <w:rFonts w:eastAsia="Arial Unicode MS" w:cs="Arial"/>
          <w:shd w:val="clear" w:color="auto" w:fill="FFFFFF"/>
          <w:vertAlign w:val="superscript"/>
          <w:lang w:eastAsia="en-US"/>
        </w:rPr>
        <w:fldChar w:fldCharType="separate"/>
      </w:r>
      <w:r w:rsidR="009C4A81">
        <w:rPr>
          <w:rFonts w:eastAsia="Arial Unicode MS" w:cs="Arial"/>
          <w:shd w:val="clear" w:color="auto" w:fill="FFFFFF"/>
          <w:vertAlign w:val="superscript"/>
          <w:lang w:eastAsia="en-US"/>
        </w:rPr>
        <w:t>1</w:t>
      </w:r>
      <w:r w:rsidR="00085B6C" w:rsidRPr="004068F6">
        <w:rPr>
          <w:rFonts w:eastAsia="Arial Unicode MS" w:cs="Arial"/>
          <w:shd w:val="clear" w:color="auto" w:fill="FFFFFF"/>
          <w:vertAlign w:val="superscript"/>
          <w:lang w:eastAsia="en-US"/>
        </w:rPr>
        <w:fldChar w:fldCharType="end"/>
      </w:r>
      <w:r w:rsidR="00CF2BB6" w:rsidRPr="004068F6">
        <w:rPr>
          <w:rFonts w:eastAsia="Arial Unicode MS" w:cs="Arial"/>
          <w:shd w:val="clear" w:color="auto" w:fill="FFFFFF"/>
          <w:vertAlign w:val="superscript"/>
          <w:lang w:eastAsia="en-US"/>
        </w:rPr>
        <w:t>]</w:t>
      </w:r>
    </w:p>
    <w:p w14:paraId="34DCF7F2" w14:textId="77777777" w:rsidR="0054002D" w:rsidRPr="004068F6" w:rsidRDefault="0054002D" w:rsidP="00C86DA5">
      <w:pPr>
        <w:suppressAutoHyphens/>
      </w:pPr>
    </w:p>
    <w:p w14:paraId="7D2C26EF" w14:textId="3C945E19" w:rsidR="00AA4F93" w:rsidRPr="004068F6" w:rsidRDefault="00AA4F93" w:rsidP="00456AB1">
      <w:pPr>
        <w:numPr>
          <w:ilvl w:val="0"/>
          <w:numId w:val="19"/>
        </w:numPr>
        <w:suppressAutoHyphens/>
        <w:ind w:left="567" w:hanging="567"/>
        <w:rPr>
          <w:rFonts w:cs="Arial"/>
          <w:bCs/>
        </w:rPr>
      </w:pPr>
      <w:r w:rsidRPr="004068F6">
        <w:rPr>
          <w:rFonts w:cs="Arial"/>
          <w:b/>
          <w:bCs/>
        </w:rPr>
        <w:t>Área ecológicamente equivalente</w:t>
      </w:r>
      <w:r w:rsidRPr="004068F6">
        <w:rPr>
          <w:rFonts w:cs="Arial"/>
          <w:bCs/>
        </w:rPr>
        <w:t xml:space="preserve">: área que mantiene atributos ecológicos similares o mejores </w:t>
      </w:r>
      <w:r w:rsidR="007966EF" w:rsidRPr="004068F6">
        <w:rPr>
          <w:rFonts w:cs="Arial"/>
          <w:bCs/>
        </w:rPr>
        <w:t>que el</w:t>
      </w:r>
      <w:r w:rsidRPr="004068F6">
        <w:rPr>
          <w:rFonts w:cs="Arial"/>
          <w:bCs/>
        </w:rPr>
        <w:t xml:space="preserve"> área impactada </w:t>
      </w:r>
      <w:r w:rsidR="007966EF" w:rsidRPr="004068F6">
        <w:rPr>
          <w:rFonts w:cs="Arial"/>
          <w:bCs/>
        </w:rPr>
        <w:t xml:space="preserve">por un proyecto, obra o actividad, que están </w:t>
      </w:r>
      <w:r w:rsidRPr="004068F6">
        <w:rPr>
          <w:rFonts w:cs="Arial"/>
          <w:bCs/>
        </w:rPr>
        <w:t>relacionados con</w:t>
      </w:r>
      <w:r w:rsidR="00F858F5" w:rsidRPr="004068F6">
        <w:rPr>
          <w:rFonts w:cs="Arial"/>
          <w:bCs/>
        </w:rPr>
        <w:t xml:space="preserve"> los procesos ecológicos de las especies, poblaciones y comunidades, el </w:t>
      </w:r>
      <w:r w:rsidRPr="004068F6">
        <w:rPr>
          <w:rFonts w:cs="Arial"/>
          <w:bCs/>
        </w:rPr>
        <w:t xml:space="preserve">tipo de </w:t>
      </w:r>
      <w:r w:rsidR="00544142" w:rsidRPr="004068F6">
        <w:rPr>
          <w:rFonts w:cs="Arial"/>
          <w:bCs/>
        </w:rPr>
        <w:t>cobertura</w:t>
      </w:r>
      <w:r w:rsidR="00646D62" w:rsidRPr="004068F6">
        <w:rPr>
          <w:rFonts w:cs="Arial"/>
          <w:bCs/>
        </w:rPr>
        <w:t>,</w:t>
      </w:r>
      <w:r w:rsidR="00544142" w:rsidRPr="004068F6">
        <w:rPr>
          <w:rFonts w:cs="Arial"/>
          <w:bCs/>
        </w:rPr>
        <w:t xml:space="preserve"> clima</w:t>
      </w:r>
      <w:r w:rsidR="009B0590" w:rsidRPr="004068F6">
        <w:rPr>
          <w:rFonts w:cs="Arial"/>
          <w:bCs/>
        </w:rPr>
        <w:t>, suelo,</w:t>
      </w:r>
      <w:r w:rsidRPr="004068F6">
        <w:rPr>
          <w:rFonts w:cs="Arial"/>
          <w:bCs/>
        </w:rPr>
        <w:t xml:space="preserve"> tamaño, estructura de la vegetación y del paisaje</w:t>
      </w:r>
      <w:r w:rsidR="006A5D01" w:rsidRPr="004068F6">
        <w:rPr>
          <w:rFonts w:cs="Arial"/>
          <w:bCs/>
        </w:rPr>
        <w:t>.</w:t>
      </w:r>
      <w:r w:rsidR="00CF2BB6" w:rsidRPr="004068F6">
        <w:rPr>
          <w:rFonts w:cs="Arial"/>
          <w:bCs/>
        </w:rPr>
        <w:t xml:space="preserve"> </w:t>
      </w:r>
      <w:r w:rsidR="00CF2BB6" w:rsidRPr="004068F6">
        <w:rPr>
          <w:rFonts w:cs="Arial"/>
          <w:bCs/>
          <w:vertAlign w:val="superscript"/>
        </w:rPr>
        <w:t>[</w:t>
      </w:r>
      <w:bookmarkStart w:id="26" w:name="_Ref44841432"/>
      <w:r w:rsidR="00810791" w:rsidRPr="004068F6">
        <w:rPr>
          <w:rStyle w:val="Refdenotaalfinal"/>
          <w:rFonts w:cs="Arial"/>
          <w:bCs/>
        </w:rPr>
        <w:endnoteReference w:id="10"/>
      </w:r>
      <w:bookmarkEnd w:id="26"/>
      <w:r w:rsidR="00CF2BB6" w:rsidRPr="004068F6">
        <w:rPr>
          <w:rFonts w:cs="Arial"/>
          <w:bCs/>
          <w:vertAlign w:val="superscript"/>
        </w:rPr>
        <w:t>]</w:t>
      </w:r>
    </w:p>
    <w:p w14:paraId="79044029" w14:textId="77777777" w:rsidR="00CA7B29" w:rsidRPr="004068F6" w:rsidRDefault="00CA7B29" w:rsidP="00CA7B29"/>
    <w:p w14:paraId="6252426D" w14:textId="04E9BED4" w:rsidR="004657DE" w:rsidRPr="004068F6" w:rsidRDefault="00CA7B29" w:rsidP="0023793A">
      <w:pPr>
        <w:numPr>
          <w:ilvl w:val="0"/>
          <w:numId w:val="19"/>
        </w:numPr>
        <w:suppressAutoHyphens/>
        <w:ind w:left="567" w:hanging="567"/>
        <w:rPr>
          <w:rFonts w:cs="Arial"/>
        </w:rPr>
      </w:pPr>
      <w:r w:rsidRPr="004068F6">
        <w:rPr>
          <w:rFonts w:cs="Arial"/>
          <w:b/>
        </w:rPr>
        <w:t>Área por intervenir</w:t>
      </w:r>
      <w:r w:rsidRPr="004068F6">
        <w:rPr>
          <w:rFonts w:cs="Arial"/>
        </w:rPr>
        <w:t>: área propuesta para la construcción de la infraestructura y las obras o para la ejecución de las actividades necesarias para el desarrollo de un proyecto, obra o actividad</w:t>
      </w:r>
      <w:r w:rsidR="00B46F3E" w:rsidRPr="004068F6">
        <w:rPr>
          <w:rFonts w:cs="Arial"/>
        </w:rPr>
        <w:t>,</w:t>
      </w:r>
      <w:r w:rsidRPr="004068F6">
        <w:rPr>
          <w:rFonts w:cs="Arial"/>
        </w:rPr>
        <w:t xml:space="preserve"> que es autorizada en la licencia ambiental o instrumento de manejo y control equivalente; incluye las áreas requeridas para el uso, aprovechamiento y afectación de los recursos naturales renovables.</w:t>
      </w:r>
    </w:p>
    <w:p w14:paraId="53706B18" w14:textId="77777777" w:rsidR="00CA7B29" w:rsidRPr="004068F6" w:rsidRDefault="00CA7B29" w:rsidP="000D6E21">
      <w:pPr>
        <w:suppressAutoHyphens/>
        <w:rPr>
          <w:rFonts w:cs="Arial"/>
        </w:rPr>
      </w:pPr>
    </w:p>
    <w:p w14:paraId="0E1DB8DD" w14:textId="2491C35E" w:rsidR="00AA4F93" w:rsidRPr="004068F6" w:rsidRDefault="00AA4F93" w:rsidP="00C86DA5">
      <w:pPr>
        <w:numPr>
          <w:ilvl w:val="0"/>
          <w:numId w:val="19"/>
        </w:numPr>
        <w:suppressAutoHyphens/>
        <w:ind w:left="567" w:hanging="567"/>
      </w:pPr>
      <w:r w:rsidRPr="004068F6">
        <w:rPr>
          <w:b/>
        </w:rPr>
        <w:t>Aspecto ambiental</w:t>
      </w:r>
      <w:r w:rsidRPr="004068F6">
        <w:t xml:space="preserve">: </w:t>
      </w:r>
      <w:r w:rsidR="00840EE5" w:rsidRPr="004068F6">
        <w:t xml:space="preserve">resultado </w:t>
      </w:r>
      <w:r w:rsidRPr="004068F6">
        <w:t>de las actividades, productos o servicios de un proyecto, obra o actividad que interactúa o puede interactuar con el ambiente, pudiendo causar uno o varios impactos ambientales</w:t>
      </w:r>
      <w:r w:rsidR="004758E3" w:rsidRPr="004068F6">
        <w:t>.</w:t>
      </w:r>
      <w:r w:rsidRPr="004068F6">
        <w:rPr>
          <w:rFonts w:cs="Arial"/>
        </w:rPr>
        <w:t xml:space="preserve"> </w:t>
      </w:r>
      <w:r w:rsidR="004758E3" w:rsidRPr="004068F6">
        <w:rPr>
          <w:rFonts w:cs="Arial"/>
        </w:rPr>
        <w:t>E</w:t>
      </w:r>
      <w:r w:rsidRPr="004068F6">
        <w:rPr>
          <w:rFonts w:cs="Arial"/>
        </w:rPr>
        <w:t>jemplos de aspecto ambiental son</w:t>
      </w:r>
      <w:r w:rsidR="004758E3" w:rsidRPr="004068F6">
        <w:rPr>
          <w:rFonts w:cs="Arial"/>
        </w:rPr>
        <w:t>:</w:t>
      </w:r>
      <w:r w:rsidRPr="004068F6">
        <w:rPr>
          <w:rFonts w:cs="Arial"/>
        </w:rPr>
        <w:t xml:space="preserve"> captación de agua, vertimiento</w:t>
      </w:r>
      <w:r w:rsidR="000F356C" w:rsidRPr="004068F6">
        <w:rPr>
          <w:rFonts w:cs="Arial"/>
        </w:rPr>
        <w:t xml:space="preserve"> y</w:t>
      </w:r>
      <w:r w:rsidRPr="004068F6">
        <w:rPr>
          <w:rFonts w:cs="Arial"/>
        </w:rPr>
        <w:t xml:space="preserve"> emisi</w:t>
      </w:r>
      <w:r w:rsidR="000F356C" w:rsidRPr="004068F6">
        <w:rPr>
          <w:rFonts w:cs="Arial"/>
        </w:rPr>
        <w:t>ón de gases</w:t>
      </w:r>
      <w:r w:rsidR="00761FEE" w:rsidRPr="004068F6">
        <w:rPr>
          <w:rFonts w:cs="Arial"/>
        </w:rPr>
        <w:t>.</w:t>
      </w:r>
      <w:r w:rsidR="00CF2BB6" w:rsidRPr="004068F6">
        <w:rPr>
          <w:rFonts w:cs="Arial"/>
        </w:rPr>
        <w:t xml:space="preserve"> </w:t>
      </w:r>
      <w:r w:rsidR="00CF2BB6" w:rsidRPr="004068F6">
        <w:rPr>
          <w:rFonts w:cs="Arial"/>
          <w:vertAlign w:val="superscript"/>
        </w:rPr>
        <w:t>[</w:t>
      </w:r>
      <w:r w:rsidR="00F236C1" w:rsidRPr="004068F6">
        <w:rPr>
          <w:rFonts w:cs="Arial"/>
          <w:vertAlign w:val="superscript"/>
        </w:rPr>
        <w:endnoteReference w:id="11"/>
      </w:r>
      <w:r w:rsidR="00CF2BB6" w:rsidRPr="004068F6">
        <w:rPr>
          <w:rFonts w:cs="Arial"/>
          <w:vertAlign w:val="superscript"/>
        </w:rPr>
        <w:t>]</w:t>
      </w:r>
    </w:p>
    <w:p w14:paraId="2549A0C5" w14:textId="0D70A803" w:rsidR="00AA4F93" w:rsidRPr="004068F6" w:rsidRDefault="00AA4F93"/>
    <w:p w14:paraId="35EA3802" w14:textId="73E6C1C9" w:rsidR="00C32332" w:rsidRPr="004068F6" w:rsidRDefault="00C32332" w:rsidP="009420F5">
      <w:pPr>
        <w:pStyle w:val="Prrafodelista"/>
        <w:numPr>
          <w:ilvl w:val="0"/>
          <w:numId w:val="438"/>
        </w:numPr>
        <w:ind w:left="567" w:hanging="567"/>
        <w:rPr>
          <w:lang w:val="es-CO"/>
        </w:rPr>
      </w:pPr>
      <w:r w:rsidRPr="004068F6">
        <w:rPr>
          <w:b/>
          <w:bCs/>
          <w:lang w:val="es-CO"/>
        </w:rPr>
        <w:t>Ahuyentamiento de fauna</w:t>
      </w:r>
      <w:r w:rsidRPr="004068F6">
        <w:rPr>
          <w:lang w:val="es-CO"/>
        </w:rPr>
        <w:t xml:space="preserve">: </w:t>
      </w:r>
      <w:r w:rsidR="007E69BA" w:rsidRPr="004068F6">
        <w:rPr>
          <w:lang w:val="es-CO"/>
        </w:rPr>
        <w:t>medida</w:t>
      </w:r>
      <w:r w:rsidRPr="004068F6">
        <w:rPr>
          <w:lang w:val="es-CO"/>
        </w:rPr>
        <w:t xml:space="preserve"> de manejo que</w:t>
      </w:r>
      <w:r w:rsidR="009019A7" w:rsidRPr="004068F6">
        <w:rPr>
          <w:lang w:val="es-CO"/>
        </w:rPr>
        <w:t>,</w:t>
      </w:r>
      <w:r w:rsidRPr="004068F6">
        <w:rPr>
          <w:lang w:val="es-CO"/>
        </w:rPr>
        <w:t xml:space="preserve"> mediante una alteración temporal de</w:t>
      </w:r>
      <w:r w:rsidR="004C42DF" w:rsidRPr="004068F6">
        <w:rPr>
          <w:lang w:val="es-CO"/>
        </w:rPr>
        <w:t xml:space="preserve"> </w:t>
      </w:r>
      <w:r w:rsidRPr="004068F6">
        <w:rPr>
          <w:lang w:val="es-CO"/>
        </w:rPr>
        <w:t>l</w:t>
      </w:r>
      <w:r w:rsidR="004C42DF" w:rsidRPr="004068F6">
        <w:rPr>
          <w:lang w:val="es-CO"/>
        </w:rPr>
        <w:t>as condiciones ecológicas</w:t>
      </w:r>
      <w:r w:rsidR="008A2403" w:rsidRPr="004068F6">
        <w:rPr>
          <w:lang w:val="es-CO"/>
        </w:rPr>
        <w:t>,</w:t>
      </w:r>
      <w:r w:rsidRPr="004068F6">
        <w:rPr>
          <w:lang w:val="es-CO"/>
        </w:rPr>
        <w:t xml:space="preserve"> causa </w:t>
      </w:r>
      <w:r w:rsidR="004C42DF" w:rsidRPr="004068F6">
        <w:rPr>
          <w:lang w:val="es-CO"/>
        </w:rPr>
        <w:t xml:space="preserve">estrés ambiental en las </w:t>
      </w:r>
      <w:r w:rsidR="008A2403" w:rsidRPr="004068F6">
        <w:rPr>
          <w:lang w:val="es-CO"/>
        </w:rPr>
        <w:t>poblaciones</w:t>
      </w:r>
      <w:r w:rsidR="004C42DF" w:rsidRPr="004068F6">
        <w:rPr>
          <w:lang w:val="es-CO"/>
        </w:rPr>
        <w:t xml:space="preserve"> de </w:t>
      </w:r>
      <w:r w:rsidR="001F1958" w:rsidRPr="004068F6">
        <w:rPr>
          <w:lang w:val="es-CO"/>
        </w:rPr>
        <w:t>fauna silvestre</w:t>
      </w:r>
      <w:r w:rsidR="008A2403" w:rsidRPr="004068F6">
        <w:rPr>
          <w:lang w:val="es-CO"/>
        </w:rPr>
        <w:t>,</w:t>
      </w:r>
      <w:r w:rsidR="004C42DF" w:rsidRPr="004068F6">
        <w:rPr>
          <w:lang w:val="es-CO"/>
        </w:rPr>
        <w:t xml:space="preserve"> </w:t>
      </w:r>
      <w:r w:rsidR="008A2403" w:rsidRPr="004068F6">
        <w:rPr>
          <w:lang w:val="es-CO"/>
        </w:rPr>
        <w:t xml:space="preserve">a fin de </w:t>
      </w:r>
      <w:r w:rsidR="004C42DF" w:rsidRPr="004068F6">
        <w:rPr>
          <w:lang w:val="es-CO"/>
        </w:rPr>
        <w:t>impulsa</w:t>
      </w:r>
      <w:r w:rsidR="008A2403" w:rsidRPr="004068F6">
        <w:rPr>
          <w:lang w:val="es-CO"/>
        </w:rPr>
        <w:t>r</w:t>
      </w:r>
      <w:r w:rsidR="004C42DF" w:rsidRPr="004068F6">
        <w:rPr>
          <w:lang w:val="es-CO"/>
        </w:rPr>
        <w:t xml:space="preserve"> su </w:t>
      </w:r>
      <w:r w:rsidRPr="004068F6">
        <w:rPr>
          <w:lang w:val="es-CO"/>
        </w:rPr>
        <w:t xml:space="preserve">desplazamiento </w:t>
      </w:r>
      <w:r w:rsidR="00986F87" w:rsidRPr="004068F6">
        <w:rPr>
          <w:lang w:val="es-CO"/>
        </w:rPr>
        <w:t xml:space="preserve">autónomo </w:t>
      </w:r>
      <w:r w:rsidR="004C42DF" w:rsidRPr="004068F6">
        <w:rPr>
          <w:lang w:val="es-CO"/>
        </w:rPr>
        <w:t>hacia otros lugares</w:t>
      </w:r>
      <w:r w:rsidR="008A2403" w:rsidRPr="004068F6">
        <w:rPr>
          <w:lang w:val="es-CO"/>
        </w:rPr>
        <w:t xml:space="preserve"> para </w:t>
      </w:r>
      <w:r w:rsidRPr="004068F6">
        <w:rPr>
          <w:lang w:val="es-CO"/>
        </w:rPr>
        <w:t xml:space="preserve">prevenir o mitigar el impacto que sobre </w:t>
      </w:r>
      <w:r w:rsidR="004C42DF" w:rsidRPr="004068F6">
        <w:rPr>
          <w:lang w:val="es-CO"/>
        </w:rPr>
        <w:t xml:space="preserve">ellas </w:t>
      </w:r>
      <w:r w:rsidRPr="004068F6">
        <w:rPr>
          <w:lang w:val="es-CO"/>
        </w:rPr>
        <w:t>pueda generar la construcción u operación de proyectos, obras o actividades.</w:t>
      </w:r>
    </w:p>
    <w:p w14:paraId="2AC9CE9A" w14:textId="77777777" w:rsidR="007335EE" w:rsidRPr="004068F6" w:rsidRDefault="007335EE"/>
    <w:p w14:paraId="21314C14" w14:textId="22D7CF60" w:rsidR="00AA4F93" w:rsidRPr="004068F6" w:rsidRDefault="00AA4F93" w:rsidP="009420F5">
      <w:pPr>
        <w:numPr>
          <w:ilvl w:val="0"/>
          <w:numId w:val="19"/>
        </w:numPr>
        <w:suppressAutoHyphens/>
        <w:ind w:left="567" w:hanging="567"/>
        <w:rPr>
          <w:rFonts w:eastAsia="Calibri" w:cs="Arial"/>
          <w:lang w:eastAsia="en-US"/>
        </w:rPr>
      </w:pPr>
      <w:r w:rsidRPr="004068F6">
        <w:rPr>
          <w:rFonts w:eastAsia="Calibri" w:cs="Arial"/>
          <w:b/>
          <w:lang w:eastAsia="en-US"/>
        </w:rPr>
        <w:t>Barrio</w:t>
      </w:r>
      <w:r w:rsidRPr="004068F6">
        <w:rPr>
          <w:rFonts w:eastAsia="Calibri" w:cs="Arial"/>
          <w:lang w:eastAsia="en-US"/>
        </w:rPr>
        <w:t>:</w:t>
      </w:r>
      <w:r w:rsidR="0088212E" w:rsidRPr="004068F6">
        <w:rPr>
          <w:rFonts w:eastAsia="Calibri" w:cs="Arial"/>
          <w:lang w:eastAsia="en-US"/>
        </w:rPr>
        <w:t xml:space="preserve"> </w:t>
      </w:r>
      <w:r w:rsidR="00AF76AA" w:rsidRPr="004068F6">
        <w:rPr>
          <w:rFonts w:eastAsia="Calibri" w:cs="Arial"/>
          <w:lang w:eastAsia="en-US"/>
        </w:rPr>
        <w:t>área de suelo urbano que se caracteriza por tener un denominador común, o varios elementos referenciales interrelacionados, que puede ser: arquitectónico, toponímico, social, simbólico o cultural. Su origen puede ser debido a una decisión administrativa, a una iniciativa urbanística, o simplemente a un sentido común de pertenencia de sus habitantes basado en la proximidad, o también por actividades económicas u ocupacionales</w:t>
      </w:r>
      <w:r w:rsidR="00761FEE" w:rsidRPr="004068F6">
        <w:rPr>
          <w:rFonts w:eastAsia="Calibri" w:cs="Arial"/>
          <w:lang w:eastAsia="en-US"/>
        </w:rPr>
        <w:t>.</w:t>
      </w:r>
      <w:r w:rsidR="008F3CBD" w:rsidRPr="004068F6">
        <w:rPr>
          <w:rFonts w:eastAsia="Calibri" w:cs="Arial"/>
          <w:lang w:eastAsia="en-US"/>
        </w:rPr>
        <w:t xml:space="preserve"> </w:t>
      </w:r>
      <w:r w:rsidR="008F3CBD" w:rsidRPr="004068F6">
        <w:rPr>
          <w:rFonts w:eastAsia="Calibri" w:cs="Arial"/>
          <w:vertAlign w:val="superscript"/>
          <w:lang w:eastAsia="en-US"/>
        </w:rPr>
        <w:t>[</w:t>
      </w:r>
      <w:r w:rsidR="00DD14BF" w:rsidRPr="004068F6">
        <w:rPr>
          <w:rStyle w:val="Refdenotaalfinal"/>
          <w:rFonts w:eastAsia="Calibri" w:cs="Arial"/>
          <w:lang w:eastAsia="en-US"/>
        </w:rPr>
        <w:endnoteReference w:id="12"/>
      </w:r>
      <w:r w:rsidR="008F3CBD" w:rsidRPr="004068F6">
        <w:rPr>
          <w:rFonts w:eastAsia="Calibri" w:cs="Arial"/>
          <w:vertAlign w:val="superscript"/>
          <w:lang w:eastAsia="en-US"/>
        </w:rPr>
        <w:t>]</w:t>
      </w:r>
    </w:p>
    <w:p w14:paraId="7B40679D" w14:textId="77777777" w:rsidR="00AA4F93" w:rsidRPr="004068F6" w:rsidRDefault="00AA4F93" w:rsidP="00664A2A">
      <w:pPr>
        <w:rPr>
          <w:rFonts w:eastAsia="Calibri" w:cs="Arial"/>
          <w:lang w:eastAsia="en-US"/>
        </w:rPr>
      </w:pPr>
    </w:p>
    <w:p w14:paraId="70D3F5C2" w14:textId="78E1D58B" w:rsidR="00AA4F93" w:rsidRPr="004068F6" w:rsidRDefault="00AA4F93" w:rsidP="00456AB1">
      <w:pPr>
        <w:numPr>
          <w:ilvl w:val="0"/>
          <w:numId w:val="19"/>
        </w:numPr>
        <w:suppressAutoHyphens/>
        <w:ind w:left="567" w:hanging="567"/>
        <w:rPr>
          <w:rFonts w:cs="Arial"/>
        </w:rPr>
      </w:pPr>
      <w:r w:rsidRPr="004068F6">
        <w:rPr>
          <w:b/>
        </w:rPr>
        <w:t>Biodiversidad</w:t>
      </w:r>
      <w:r w:rsidRPr="004068F6">
        <w:rPr>
          <w:rFonts w:cs="Arial"/>
        </w:rPr>
        <w:t xml:space="preserve">: </w:t>
      </w:r>
      <w:r w:rsidR="003675A8" w:rsidRPr="004068F6">
        <w:rPr>
          <w:rFonts w:cs="Arial"/>
        </w:rPr>
        <w:t>variabilidad de organismos vivos de cualquier fuente, incluidos, entre otras cosas, los ecosistemas terrestres y marinos y otros ecosistemas acuáticos y los complejos ecológicos de los que forman parte; comprende la diversidad dentro de cada especie, entre las especies y de los ecosistemas</w:t>
      </w:r>
      <w:r w:rsidR="006A5D01" w:rsidRPr="004068F6">
        <w:rPr>
          <w:rFonts w:cs="Arial"/>
        </w:rPr>
        <w:t>.</w:t>
      </w:r>
      <w:r w:rsidR="00CF2BB6" w:rsidRPr="004068F6">
        <w:rPr>
          <w:rFonts w:cs="Arial"/>
        </w:rPr>
        <w:t xml:space="preserve"> </w:t>
      </w:r>
      <w:r w:rsidR="00CF2BB6" w:rsidRPr="004068F6">
        <w:rPr>
          <w:rFonts w:cs="Arial"/>
          <w:vertAlign w:val="superscript"/>
        </w:rPr>
        <w:t>[</w:t>
      </w:r>
      <w:bookmarkStart w:id="27" w:name="_Ref44842441"/>
      <w:r w:rsidRPr="004068F6">
        <w:rPr>
          <w:rStyle w:val="Refdenotaalfinal"/>
          <w:rFonts w:cs="Arial"/>
        </w:rPr>
        <w:endnoteReference w:id="13"/>
      </w:r>
      <w:bookmarkEnd w:id="27"/>
      <w:r w:rsidR="00CF2BB6" w:rsidRPr="004068F6">
        <w:rPr>
          <w:rFonts w:cs="Arial"/>
          <w:vertAlign w:val="superscript"/>
        </w:rPr>
        <w:t>]</w:t>
      </w:r>
    </w:p>
    <w:p w14:paraId="0716F451" w14:textId="77777777" w:rsidR="00B5188A" w:rsidRPr="004068F6" w:rsidRDefault="00B5188A" w:rsidP="00127BD4">
      <w:pPr>
        <w:suppressAutoHyphens/>
        <w:rPr>
          <w:rFonts w:cs="Arial"/>
          <w:bCs/>
        </w:rPr>
      </w:pPr>
    </w:p>
    <w:p w14:paraId="4E5A3223" w14:textId="553DFACF" w:rsidR="00AA4F93" w:rsidRPr="004068F6" w:rsidRDefault="00AA4F93" w:rsidP="00C86DA5">
      <w:pPr>
        <w:numPr>
          <w:ilvl w:val="0"/>
          <w:numId w:val="19"/>
        </w:numPr>
        <w:spacing w:line="259" w:lineRule="auto"/>
        <w:ind w:left="567" w:hanging="567"/>
        <w:rPr>
          <w:rFonts w:cs="Arial"/>
        </w:rPr>
      </w:pPr>
      <w:r w:rsidRPr="004068F6">
        <w:rPr>
          <w:rFonts w:cs="Arial"/>
          <w:b/>
        </w:rPr>
        <w:t>Cambio climático</w:t>
      </w:r>
      <w:r w:rsidRPr="004068F6">
        <w:rPr>
          <w:rFonts w:cs="Arial"/>
        </w:rPr>
        <w:t xml:space="preserve">: </w:t>
      </w:r>
      <w:r w:rsidR="0088212E" w:rsidRPr="004068F6">
        <w:rPr>
          <w:rFonts w:cs="Arial"/>
        </w:rPr>
        <w:t>v</w:t>
      </w:r>
      <w:r w:rsidRPr="004068F6">
        <w:rPr>
          <w:rFonts w:cs="Arial"/>
        </w:rPr>
        <w:t xml:space="preserve">ariación </w:t>
      </w:r>
      <w:r w:rsidR="00D920A5" w:rsidRPr="004068F6">
        <w:rPr>
          <w:rFonts w:cs="Arial"/>
        </w:rPr>
        <w:t>del estado del clima, identificable, por ejemplo, mediante pruebas estadísticas, en las variaciones del valor medio o en la variabilidad de sus propiedades, que persiste durante largos períodos de tiempo, generalmente decenios o períodos más largos. El cambio climático puede deberse a procesos internos naturales o a forzamientos externos tales como modulaciones de los ciclos solares, erupciones volcánicas o cambios antropogénicos persistentes de la composición de la atmósfera por el incremento de las concentraciones de gases de efecto invernadero o del uso del suelo. El cambio climático podría modificar las características de los fenómenos meteorológicos e hidroclimáticos extremos en su frecuencia promedio e intensidad, lo cual se expresará paulatinamente en el comportamiento espacial y ciclo anual de estos</w:t>
      </w:r>
      <w:r w:rsidR="006A5D01" w:rsidRPr="004068F6">
        <w:rPr>
          <w:rFonts w:cs="Arial"/>
        </w:rPr>
        <w:t>.</w:t>
      </w:r>
      <w:r w:rsidRPr="004068F6">
        <w:rPr>
          <w:rFonts w:cs="Arial"/>
          <w:vertAlign w:val="superscript"/>
        </w:rPr>
        <w:t xml:space="preserve"> </w:t>
      </w:r>
      <w:r w:rsidR="00CF2BB6" w:rsidRPr="004068F6">
        <w:rPr>
          <w:rFonts w:cs="Arial"/>
          <w:vertAlign w:val="superscript"/>
        </w:rPr>
        <w:t>[</w:t>
      </w:r>
      <w:r w:rsidR="005D5DD1" w:rsidRPr="004068F6">
        <w:rPr>
          <w:rFonts w:cs="Arial"/>
          <w:vertAlign w:val="superscript"/>
        </w:rPr>
        <w:fldChar w:fldCharType="begin"/>
      </w:r>
      <w:r w:rsidR="005D5DD1" w:rsidRPr="004068F6">
        <w:rPr>
          <w:rFonts w:cs="Arial"/>
          <w:vertAlign w:val="superscript"/>
        </w:rPr>
        <w:instrText xml:space="preserve"> NOTEREF _Ref44840425 \h </w:instrText>
      </w:r>
      <w:r w:rsidR="006A4128" w:rsidRPr="004068F6">
        <w:rPr>
          <w:rFonts w:cs="Arial"/>
          <w:vertAlign w:val="superscript"/>
        </w:rPr>
        <w:instrText xml:space="preserve"> \* MERGEFORMAT </w:instrText>
      </w:r>
      <w:r w:rsidR="005D5DD1" w:rsidRPr="004068F6">
        <w:rPr>
          <w:rFonts w:cs="Arial"/>
          <w:vertAlign w:val="superscript"/>
        </w:rPr>
      </w:r>
      <w:r w:rsidR="005D5DD1" w:rsidRPr="004068F6">
        <w:rPr>
          <w:rFonts w:cs="Arial"/>
          <w:vertAlign w:val="superscript"/>
        </w:rPr>
        <w:fldChar w:fldCharType="separate"/>
      </w:r>
      <w:r w:rsidR="009C4A81">
        <w:rPr>
          <w:rFonts w:cs="Arial"/>
          <w:vertAlign w:val="superscript"/>
        </w:rPr>
        <w:t>2</w:t>
      </w:r>
      <w:r w:rsidR="005D5DD1" w:rsidRPr="004068F6">
        <w:rPr>
          <w:rFonts w:cs="Arial"/>
          <w:vertAlign w:val="superscript"/>
        </w:rPr>
        <w:fldChar w:fldCharType="end"/>
      </w:r>
      <w:r w:rsidR="00CF2BB6" w:rsidRPr="004068F6">
        <w:rPr>
          <w:rFonts w:cs="Arial"/>
          <w:vertAlign w:val="superscript"/>
        </w:rPr>
        <w:t>]</w:t>
      </w:r>
    </w:p>
    <w:p w14:paraId="58C5F437" w14:textId="77777777" w:rsidR="004A67EC" w:rsidRPr="004068F6" w:rsidRDefault="004A67EC" w:rsidP="009420F5">
      <w:pPr>
        <w:spacing w:line="259" w:lineRule="auto"/>
        <w:rPr>
          <w:rFonts w:cs="Arial"/>
        </w:rPr>
      </w:pPr>
    </w:p>
    <w:p w14:paraId="58810A90" w14:textId="348DAB30" w:rsidR="004A67EC" w:rsidRPr="004068F6" w:rsidRDefault="004A67EC" w:rsidP="004A67EC">
      <w:pPr>
        <w:numPr>
          <w:ilvl w:val="0"/>
          <w:numId w:val="19"/>
        </w:numPr>
        <w:spacing w:line="259" w:lineRule="auto"/>
        <w:ind w:left="567" w:hanging="567"/>
        <w:rPr>
          <w:rFonts w:cs="Arial"/>
        </w:rPr>
      </w:pPr>
      <w:r w:rsidRPr="004068F6">
        <w:rPr>
          <w:rFonts w:cs="Arial"/>
          <w:b/>
        </w:rPr>
        <w:t>Caserío:</w:t>
      </w:r>
      <w:r w:rsidRPr="004068F6">
        <w:rPr>
          <w:rFonts w:cs="Arial"/>
        </w:rPr>
        <w:t xml:space="preserve"> </w:t>
      </w:r>
      <w:r w:rsidRPr="004068F6">
        <w:t>centro poblado ubicado generalmente al lado de una vía principal y que no tiene autoridad civil</w:t>
      </w:r>
      <w:r w:rsidRPr="004068F6">
        <w:rPr>
          <w:rFonts w:cs="Arial"/>
        </w:rPr>
        <w:t xml:space="preserve">. </w:t>
      </w:r>
      <w:r w:rsidR="00FC302F" w:rsidRPr="004068F6">
        <w:rPr>
          <w:rFonts w:cs="Arial"/>
          <w:color w:val="000000"/>
          <w:vertAlign w:val="superscript"/>
        </w:rPr>
        <w:t>[</w:t>
      </w:r>
      <w:bookmarkStart w:id="28" w:name="_Ref78191010"/>
      <w:r w:rsidR="009019A7" w:rsidRPr="004068F6">
        <w:rPr>
          <w:rStyle w:val="Refdenotaalfinal"/>
          <w:rFonts w:eastAsia="Calibri" w:cs="Arial"/>
          <w:lang w:eastAsia="en-US"/>
        </w:rPr>
        <w:endnoteReference w:id="14"/>
      </w:r>
      <w:bookmarkEnd w:id="28"/>
      <w:r w:rsidR="00FC302F" w:rsidRPr="004068F6">
        <w:rPr>
          <w:rFonts w:cs="Arial"/>
          <w:color w:val="000000"/>
          <w:vertAlign w:val="superscript"/>
        </w:rPr>
        <w:t>]</w:t>
      </w:r>
    </w:p>
    <w:p w14:paraId="675CC942" w14:textId="77777777" w:rsidR="00AA4F93" w:rsidRPr="004068F6" w:rsidRDefault="00AA4F93" w:rsidP="00C86DA5">
      <w:pPr>
        <w:rPr>
          <w:color w:val="000000"/>
        </w:rPr>
      </w:pPr>
    </w:p>
    <w:p w14:paraId="6DA1E44E" w14:textId="319306F8" w:rsidR="00AA4F93" w:rsidRPr="004068F6" w:rsidRDefault="00AA4F93" w:rsidP="00C86DA5">
      <w:pPr>
        <w:numPr>
          <w:ilvl w:val="0"/>
          <w:numId w:val="19"/>
        </w:numPr>
        <w:suppressAutoHyphens/>
        <w:ind w:left="567" w:hanging="567"/>
        <w:rPr>
          <w:color w:val="000000"/>
        </w:rPr>
      </w:pPr>
      <w:r w:rsidRPr="004068F6">
        <w:rPr>
          <w:b/>
          <w:color w:val="000000"/>
        </w:rPr>
        <w:t xml:space="preserve">Caudal </w:t>
      </w:r>
      <w:r w:rsidRPr="004068F6">
        <w:rPr>
          <w:rFonts w:cs="Arial"/>
          <w:b/>
          <w:color w:val="000000"/>
        </w:rPr>
        <w:t>ambiental</w:t>
      </w:r>
      <w:r w:rsidRPr="004068F6">
        <w:rPr>
          <w:rFonts w:cs="Arial"/>
          <w:color w:val="000000"/>
        </w:rPr>
        <w:t xml:space="preserve">: </w:t>
      </w:r>
      <w:r w:rsidR="00F45EA1" w:rsidRPr="004068F6">
        <w:rPr>
          <w:rFonts w:cs="Arial"/>
          <w:color w:val="000000"/>
        </w:rPr>
        <w:t>volumen de agua por unidad de tiempo, en términos de régimen y calidad, requerido para mantener el funcionamiento y resiliencia de los ecosistemas acuáticos y su provisión de servicios ecosistémicos</w:t>
      </w:r>
      <w:r w:rsidR="006A5D01" w:rsidRPr="004068F6">
        <w:rPr>
          <w:rFonts w:cs="Arial"/>
          <w:color w:val="000000"/>
        </w:rPr>
        <w:t>.</w:t>
      </w:r>
      <w:r w:rsidR="00CF2BB6" w:rsidRPr="004068F6">
        <w:rPr>
          <w:rFonts w:cs="Arial"/>
          <w:color w:val="000000"/>
        </w:rPr>
        <w:t xml:space="preserve"> </w:t>
      </w:r>
      <w:r w:rsidR="00CF2BB6" w:rsidRPr="004068F6">
        <w:rPr>
          <w:rFonts w:cs="Arial"/>
          <w:color w:val="000000"/>
          <w:vertAlign w:val="superscript"/>
        </w:rPr>
        <w:t>[</w:t>
      </w:r>
      <w:r w:rsidR="005D5DD1" w:rsidRPr="004068F6">
        <w:rPr>
          <w:rFonts w:cs="Arial"/>
          <w:color w:val="000000"/>
          <w:vertAlign w:val="superscript"/>
        </w:rPr>
        <w:fldChar w:fldCharType="begin"/>
      </w:r>
      <w:r w:rsidR="005D5DD1" w:rsidRPr="004068F6">
        <w:rPr>
          <w:rFonts w:cs="Arial"/>
          <w:color w:val="000000"/>
          <w:vertAlign w:val="superscript"/>
        </w:rPr>
        <w:instrText xml:space="preserve"> NOTEREF _Ref44839840 \h </w:instrText>
      </w:r>
      <w:r w:rsidR="006A4128" w:rsidRPr="004068F6">
        <w:rPr>
          <w:rFonts w:cs="Arial"/>
          <w:color w:val="000000"/>
          <w:vertAlign w:val="superscript"/>
        </w:rPr>
        <w:instrText xml:space="preserve"> \* MERGEFORMAT </w:instrText>
      </w:r>
      <w:r w:rsidR="005D5DD1" w:rsidRPr="004068F6">
        <w:rPr>
          <w:rFonts w:cs="Arial"/>
          <w:color w:val="000000"/>
          <w:vertAlign w:val="superscript"/>
        </w:rPr>
      </w:r>
      <w:r w:rsidR="005D5DD1" w:rsidRPr="004068F6">
        <w:rPr>
          <w:rFonts w:cs="Arial"/>
          <w:color w:val="000000"/>
          <w:vertAlign w:val="superscript"/>
        </w:rPr>
        <w:fldChar w:fldCharType="separate"/>
      </w:r>
      <w:r w:rsidR="009C4A81">
        <w:rPr>
          <w:rFonts w:cs="Arial"/>
          <w:color w:val="000000"/>
          <w:vertAlign w:val="superscript"/>
        </w:rPr>
        <w:t>1</w:t>
      </w:r>
      <w:r w:rsidR="005D5DD1" w:rsidRPr="004068F6">
        <w:rPr>
          <w:rFonts w:cs="Arial"/>
          <w:color w:val="000000"/>
          <w:vertAlign w:val="superscript"/>
        </w:rPr>
        <w:fldChar w:fldCharType="end"/>
      </w:r>
      <w:r w:rsidR="00CF2BB6" w:rsidRPr="004068F6">
        <w:rPr>
          <w:rFonts w:cs="Arial"/>
          <w:color w:val="000000"/>
          <w:vertAlign w:val="superscript"/>
        </w:rPr>
        <w:t>]</w:t>
      </w:r>
    </w:p>
    <w:p w14:paraId="76C083C9" w14:textId="77777777" w:rsidR="00AA4F93" w:rsidRPr="004068F6" w:rsidRDefault="00AA4F93">
      <w:pPr>
        <w:rPr>
          <w:color w:val="000000"/>
        </w:rPr>
      </w:pPr>
    </w:p>
    <w:p w14:paraId="7E5E59C3" w14:textId="3DFFE023" w:rsidR="00AA4F93" w:rsidRPr="004068F6" w:rsidRDefault="00AA4F93" w:rsidP="00C86DA5">
      <w:pPr>
        <w:numPr>
          <w:ilvl w:val="0"/>
          <w:numId w:val="19"/>
        </w:numPr>
        <w:ind w:left="567" w:hanging="567"/>
        <w:rPr>
          <w:color w:val="000000"/>
        </w:rPr>
      </w:pPr>
      <w:r w:rsidRPr="004068F6">
        <w:rPr>
          <w:b/>
          <w:color w:val="000000"/>
        </w:rPr>
        <w:t>Celda litoral</w:t>
      </w:r>
      <w:r w:rsidRPr="004068F6">
        <w:rPr>
          <w:color w:val="000000"/>
        </w:rPr>
        <w:t xml:space="preserve">: </w:t>
      </w:r>
      <w:r w:rsidR="0088212E" w:rsidRPr="004068F6">
        <w:rPr>
          <w:rFonts w:cs="Arial"/>
          <w:color w:val="000000"/>
        </w:rPr>
        <w:t>s</w:t>
      </w:r>
      <w:r w:rsidRPr="004068F6">
        <w:rPr>
          <w:rFonts w:cs="Arial"/>
          <w:color w:val="000000"/>
        </w:rPr>
        <w:t>ección</w:t>
      </w:r>
      <w:r w:rsidRPr="004068F6">
        <w:rPr>
          <w:color w:val="000000"/>
        </w:rPr>
        <w:t xml:space="preserve"> de </w:t>
      </w:r>
      <w:r w:rsidRPr="004068F6">
        <w:rPr>
          <w:rFonts w:cs="Arial"/>
          <w:color w:val="000000"/>
        </w:rPr>
        <w:t>la costa que es independiente en términos</w:t>
      </w:r>
      <w:r w:rsidRPr="004068F6">
        <w:rPr>
          <w:color w:val="000000"/>
        </w:rPr>
        <w:t xml:space="preserve"> de transporte </w:t>
      </w:r>
      <w:r w:rsidRPr="004068F6">
        <w:rPr>
          <w:rFonts w:cs="Arial"/>
          <w:color w:val="000000"/>
        </w:rPr>
        <w:t>sedimentario</w:t>
      </w:r>
      <w:r w:rsidRPr="004068F6">
        <w:rPr>
          <w:color w:val="000000"/>
        </w:rPr>
        <w:t xml:space="preserve"> de las </w:t>
      </w:r>
      <w:r w:rsidRPr="004068F6">
        <w:rPr>
          <w:rFonts w:cs="Arial"/>
          <w:color w:val="000000"/>
        </w:rPr>
        <w:t xml:space="preserve">zonas adyacentes y </w:t>
      </w:r>
      <w:r w:rsidRPr="004068F6">
        <w:rPr>
          <w:color w:val="000000"/>
        </w:rPr>
        <w:t xml:space="preserve">se </w:t>
      </w:r>
      <w:r w:rsidRPr="004068F6">
        <w:rPr>
          <w:rFonts w:cs="Arial"/>
          <w:color w:val="000000"/>
        </w:rPr>
        <w:t>caracteriza</w:t>
      </w:r>
      <w:r w:rsidRPr="004068F6">
        <w:rPr>
          <w:color w:val="000000"/>
        </w:rPr>
        <w:t xml:space="preserve"> por </w:t>
      </w:r>
      <w:r w:rsidRPr="004068F6">
        <w:rPr>
          <w:rFonts w:cs="Arial"/>
          <w:color w:val="000000"/>
        </w:rPr>
        <w:t>tener sus propias fuentes y sumideros de sedimento, así como por estar delimitada por rasgos geomorfológicos específicos, como puntas</w:t>
      </w:r>
      <w:r w:rsidRPr="004068F6">
        <w:rPr>
          <w:color w:val="000000"/>
        </w:rPr>
        <w:t xml:space="preserve"> y </w:t>
      </w:r>
      <w:r w:rsidRPr="004068F6">
        <w:rPr>
          <w:rFonts w:cs="Arial"/>
          <w:color w:val="000000"/>
        </w:rPr>
        <w:t>costas rocosas, bajas arenosas y mixtas</w:t>
      </w:r>
      <w:r w:rsidR="006A5D01" w:rsidRPr="004068F6">
        <w:rPr>
          <w:rFonts w:cs="Arial"/>
          <w:color w:val="000000"/>
        </w:rPr>
        <w:t>.</w:t>
      </w:r>
      <w:r w:rsidR="008F3CBD" w:rsidRPr="004068F6">
        <w:rPr>
          <w:rFonts w:cs="Arial"/>
          <w:color w:val="000000"/>
        </w:rPr>
        <w:t xml:space="preserve"> </w:t>
      </w:r>
      <w:r w:rsidR="008F3CBD" w:rsidRPr="004068F6">
        <w:rPr>
          <w:rFonts w:cs="Arial"/>
          <w:color w:val="000000"/>
          <w:vertAlign w:val="superscript"/>
        </w:rPr>
        <w:t>[</w:t>
      </w:r>
      <w:r w:rsidRPr="004068F6">
        <w:rPr>
          <w:rStyle w:val="Refdenotaalfinal"/>
          <w:rFonts w:cs="Arial"/>
          <w:color w:val="000000"/>
        </w:rPr>
        <w:endnoteReference w:id="15"/>
      </w:r>
      <w:r w:rsidR="008F3CBD" w:rsidRPr="004068F6">
        <w:rPr>
          <w:rFonts w:cs="Arial"/>
          <w:color w:val="000000"/>
          <w:vertAlign w:val="superscript"/>
        </w:rPr>
        <w:t>]</w:t>
      </w:r>
    </w:p>
    <w:p w14:paraId="5F20DEDC" w14:textId="77777777" w:rsidR="00FC302F" w:rsidRPr="004068F6" w:rsidRDefault="00FC302F" w:rsidP="009420F5">
      <w:pPr>
        <w:rPr>
          <w:color w:val="000000"/>
        </w:rPr>
      </w:pPr>
    </w:p>
    <w:p w14:paraId="1366A87E" w14:textId="4D32EA9F" w:rsidR="00FC302F" w:rsidRPr="004068F6" w:rsidRDefault="00FC302F" w:rsidP="009420F5">
      <w:pPr>
        <w:numPr>
          <w:ilvl w:val="0"/>
          <w:numId w:val="19"/>
        </w:numPr>
        <w:ind w:left="567" w:hanging="567"/>
        <w:rPr>
          <w:color w:val="000000"/>
        </w:rPr>
      </w:pPr>
      <w:r w:rsidRPr="004068F6">
        <w:rPr>
          <w:rFonts w:cs="Arial"/>
          <w:b/>
          <w:color w:val="000000"/>
        </w:rPr>
        <w:lastRenderedPageBreak/>
        <w:t>Clima</w:t>
      </w:r>
      <w:r w:rsidRPr="004068F6">
        <w:rPr>
          <w:rFonts w:cs="Arial"/>
          <w:color w:val="000000"/>
        </w:rPr>
        <w:t xml:space="preserve">: </w:t>
      </w:r>
      <w:r w:rsidR="007F24CB" w:rsidRPr="004068F6">
        <w:rPr>
          <w:rFonts w:cs="Arial"/>
          <w:color w:val="000000"/>
        </w:rPr>
        <w:t xml:space="preserve">conjunto fluctuante de las condiciones atmosféricas, caracterizado por los estados y evoluciones del tiempo, en un periodo y región dados, y controlado por factores forzantes y determinantes, y por la interacción entre los diferentes componentes del sistema climático (atmósfera, hidrosfera, litosfera, </w:t>
      </w:r>
      <w:r w:rsidR="00607463" w:rsidRPr="004068F6">
        <w:rPr>
          <w:rFonts w:cs="Arial"/>
          <w:color w:val="000000"/>
        </w:rPr>
        <w:t>criosfera</w:t>
      </w:r>
      <w:r w:rsidR="007F24CB" w:rsidRPr="004068F6">
        <w:rPr>
          <w:rFonts w:cs="Arial"/>
          <w:color w:val="000000"/>
        </w:rPr>
        <w:t xml:space="preserve">, biosfera y </w:t>
      </w:r>
      <w:r w:rsidR="00434EA7" w:rsidRPr="004068F6">
        <w:rPr>
          <w:rFonts w:cs="Arial"/>
          <w:color w:val="000000"/>
        </w:rPr>
        <w:t>antroposfera</w:t>
      </w:r>
      <w:r w:rsidR="007F24CB" w:rsidRPr="004068F6">
        <w:rPr>
          <w:rFonts w:cs="Arial"/>
          <w:color w:val="000000"/>
        </w:rPr>
        <w:t xml:space="preserve">). </w:t>
      </w:r>
      <w:r w:rsidR="00ED30A5" w:rsidRPr="004068F6">
        <w:rPr>
          <w:rFonts w:cs="Arial"/>
          <w:color w:val="000000"/>
          <w:vertAlign w:val="superscript"/>
        </w:rPr>
        <w:t>[</w:t>
      </w:r>
      <w:r w:rsidR="00ED30A5" w:rsidRPr="004068F6">
        <w:rPr>
          <w:rStyle w:val="Refdenotaalfinal"/>
          <w:rFonts w:cs="Arial"/>
          <w:color w:val="000000"/>
        </w:rPr>
        <w:endnoteReference w:id="16"/>
      </w:r>
      <w:r w:rsidR="00ED30A5" w:rsidRPr="004068F6">
        <w:rPr>
          <w:rFonts w:cs="Arial"/>
          <w:color w:val="000000"/>
          <w:vertAlign w:val="superscript"/>
        </w:rPr>
        <w:t>]</w:t>
      </w:r>
    </w:p>
    <w:p w14:paraId="04A68B46" w14:textId="77777777" w:rsidR="00AA4F93" w:rsidRPr="004068F6" w:rsidRDefault="00AA4F93" w:rsidP="00E810B6">
      <w:pPr>
        <w:rPr>
          <w:rFonts w:cs="Arial"/>
        </w:rPr>
      </w:pPr>
    </w:p>
    <w:p w14:paraId="7F90FB4F" w14:textId="22BAD3D2" w:rsidR="00AA4F93" w:rsidRPr="004068F6" w:rsidRDefault="00AA4F93" w:rsidP="00C86DA5">
      <w:pPr>
        <w:numPr>
          <w:ilvl w:val="0"/>
          <w:numId w:val="19"/>
        </w:numPr>
        <w:suppressAutoHyphens/>
        <w:ind w:left="567" w:hanging="567"/>
      </w:pPr>
      <w:r w:rsidRPr="004068F6">
        <w:rPr>
          <w:b/>
        </w:rPr>
        <w:t>Componente</w:t>
      </w:r>
      <w:r w:rsidR="002237E5" w:rsidRPr="004068F6">
        <w:rPr>
          <w:b/>
        </w:rPr>
        <w:t xml:space="preserve"> ambiental</w:t>
      </w:r>
      <w:r w:rsidRPr="004068F6">
        <w:t xml:space="preserve">: </w:t>
      </w:r>
      <w:r w:rsidR="00063780" w:rsidRPr="004068F6">
        <w:t>u</w:t>
      </w:r>
      <w:r w:rsidR="00916D7E" w:rsidRPr="004068F6">
        <w:t>nidad</w:t>
      </w:r>
      <w:r w:rsidRPr="004068F6">
        <w:t xml:space="preserve"> </w:t>
      </w:r>
      <w:r w:rsidR="00E810B6" w:rsidRPr="004068F6">
        <w:t>conceptual</w:t>
      </w:r>
      <w:r w:rsidRPr="004068F6">
        <w:t xml:space="preserve"> que agrupa factores ambientales y que a su vez constituye uno de los elementos que conforman un medio (abiótico, biótico o socioeconómico)</w:t>
      </w:r>
      <w:r w:rsidR="004758E3" w:rsidRPr="004068F6">
        <w:t>.</w:t>
      </w:r>
      <w:r w:rsidRPr="004068F6">
        <w:t xml:space="preserve"> </w:t>
      </w:r>
      <w:r w:rsidR="004758E3" w:rsidRPr="004068F6">
        <w:t>E</w:t>
      </w:r>
      <w:r w:rsidRPr="004068F6">
        <w:t>jemplo</w:t>
      </w:r>
      <w:r w:rsidR="004758E3" w:rsidRPr="004068F6">
        <w:t>s</w:t>
      </w:r>
      <w:r w:rsidRPr="004068F6">
        <w:t xml:space="preserve"> </w:t>
      </w:r>
      <w:r w:rsidR="0080177D" w:rsidRPr="004068F6">
        <w:t xml:space="preserve">de </w:t>
      </w:r>
      <w:r w:rsidRPr="004068F6">
        <w:t>componente</w:t>
      </w:r>
      <w:r w:rsidR="0080177D" w:rsidRPr="004068F6">
        <w:t xml:space="preserve"> ambiental son:</w:t>
      </w:r>
      <w:r w:rsidRPr="004068F6">
        <w:t xml:space="preserve"> </w:t>
      </w:r>
      <w:r w:rsidR="0080177D" w:rsidRPr="004068F6">
        <w:t>g</w:t>
      </w:r>
      <w:r w:rsidRPr="004068F6">
        <w:t xml:space="preserve">eológico, </w:t>
      </w:r>
      <w:r w:rsidR="0080177D" w:rsidRPr="004068F6">
        <w:t>h</w:t>
      </w:r>
      <w:r w:rsidRPr="004068F6">
        <w:t xml:space="preserve">idrológico, </w:t>
      </w:r>
      <w:r w:rsidR="0080177D" w:rsidRPr="004068F6">
        <w:t>h</w:t>
      </w:r>
      <w:r w:rsidRPr="004068F6">
        <w:t xml:space="preserve">idrogeológico, </w:t>
      </w:r>
      <w:r w:rsidR="0080177D" w:rsidRPr="004068F6">
        <w:t>o</w:t>
      </w:r>
      <w:r w:rsidRPr="004068F6">
        <w:t xml:space="preserve">ceanográfico, </w:t>
      </w:r>
      <w:r w:rsidR="0080177D" w:rsidRPr="004068F6">
        <w:t>g</w:t>
      </w:r>
      <w:r w:rsidRPr="004068F6">
        <w:t>eotécnico</w:t>
      </w:r>
      <w:r w:rsidR="0080177D" w:rsidRPr="004068F6">
        <w:t>,</w:t>
      </w:r>
      <w:r w:rsidRPr="004068F6">
        <w:t xml:space="preserve"> </w:t>
      </w:r>
      <w:r w:rsidR="0080177D" w:rsidRPr="004068F6">
        <w:t>a</w:t>
      </w:r>
      <w:r w:rsidRPr="004068F6">
        <w:t xml:space="preserve">tmosférico, </w:t>
      </w:r>
      <w:r w:rsidR="0080177D" w:rsidRPr="004068F6">
        <w:t>ecosistemas</w:t>
      </w:r>
      <w:r w:rsidR="00370A26" w:rsidRPr="004068F6">
        <w:t xml:space="preserve"> terrestres</w:t>
      </w:r>
      <w:r w:rsidR="0080177D" w:rsidRPr="004068F6">
        <w:t>, espacial y económico</w:t>
      </w:r>
      <w:r w:rsidRPr="004068F6">
        <w:t>.</w:t>
      </w:r>
    </w:p>
    <w:p w14:paraId="7805F51D" w14:textId="77777777" w:rsidR="00AA4F93" w:rsidRDefault="00AA4F93" w:rsidP="00C86DA5"/>
    <w:p w14:paraId="26DE21D8" w14:textId="317CC56E" w:rsidR="000E65AB" w:rsidRPr="00C40528" w:rsidRDefault="00C40528" w:rsidP="00E64F04">
      <w:pPr>
        <w:numPr>
          <w:ilvl w:val="0"/>
          <w:numId w:val="19"/>
        </w:numPr>
        <w:suppressAutoHyphens/>
        <w:ind w:left="567" w:hanging="567"/>
        <w:rPr>
          <w:bCs/>
        </w:rPr>
      </w:pPr>
      <w:r w:rsidRPr="00E64F04">
        <w:rPr>
          <w:b/>
        </w:rPr>
        <w:t>Comunidad</w:t>
      </w:r>
      <w:r w:rsidRPr="00C40528">
        <w:rPr>
          <w:bCs/>
        </w:rPr>
        <w:t>: configuración social situada en un espacio relacional dinámico entre personas que, mediante interacciones continuas, construyen y comparten marcos de sentido, valores, normas y prácticas socioculturales que estructuran su vida colectiva más allá de la proximidad territorial; implica la generación de vínculos de pertenencia, identidad y reconocimiento mutuo, así como la articulación de intereses comunes y formas de cooperación que sostienen y transforman el orden social. La comunidad constituye un entramado de relaciones sociales donde convergen dimensiones simbólicas, culturales, políticas y económicas, atravesadas por contextos históricos y relaciones de poder que inciden en su cohesión, organización y capacidad de agencia para proyectar horizontes colectivos compartidos.</w:t>
      </w:r>
      <w:r w:rsidR="00C4347E">
        <w:rPr>
          <w:bCs/>
        </w:rPr>
        <w:t xml:space="preserve"> </w:t>
      </w:r>
      <w:r w:rsidR="00C4347E" w:rsidRPr="004068F6">
        <w:rPr>
          <w:rFonts w:cs="Arial"/>
          <w:color w:val="000000"/>
          <w:vertAlign w:val="superscript"/>
        </w:rPr>
        <w:t>[</w:t>
      </w:r>
      <w:r w:rsidR="00C4347E" w:rsidRPr="004068F6">
        <w:rPr>
          <w:rStyle w:val="Refdenotaalfinal"/>
          <w:rFonts w:cs="Arial"/>
          <w:color w:val="000000"/>
        </w:rPr>
        <w:endnoteReference w:id="17"/>
      </w:r>
      <w:r w:rsidR="00C4347E" w:rsidRPr="004068F6">
        <w:rPr>
          <w:rFonts w:cs="Arial"/>
          <w:color w:val="000000"/>
          <w:vertAlign w:val="superscript"/>
        </w:rPr>
        <w:t>]</w:t>
      </w:r>
    </w:p>
    <w:p w14:paraId="08DFF776" w14:textId="77777777" w:rsidR="00C40528" w:rsidRPr="004068F6" w:rsidRDefault="00C40528" w:rsidP="00C86DA5"/>
    <w:p w14:paraId="68D354D3" w14:textId="355FA569" w:rsidR="00DB1152" w:rsidRPr="004068F6" w:rsidRDefault="00DB1152" w:rsidP="00DB1152">
      <w:pPr>
        <w:numPr>
          <w:ilvl w:val="0"/>
          <w:numId w:val="19"/>
        </w:numPr>
        <w:suppressAutoHyphens/>
        <w:ind w:left="567" w:hanging="567"/>
      </w:pPr>
      <w:r w:rsidRPr="004068F6">
        <w:rPr>
          <w:b/>
        </w:rPr>
        <w:t>Conectividad ecológica</w:t>
      </w:r>
      <w:r w:rsidRPr="004068F6">
        <w:rPr>
          <w:bCs/>
        </w:rPr>
        <w:t>:</w:t>
      </w:r>
      <w:r w:rsidRPr="004068F6">
        <w:t xml:space="preserve"> </w:t>
      </w:r>
      <w:bookmarkStart w:id="29" w:name="_Hlk89696543"/>
      <w:r w:rsidRPr="004068F6">
        <w:t>a</w:t>
      </w:r>
      <w:r w:rsidRPr="004068F6">
        <w:rPr>
          <w:bCs/>
        </w:rPr>
        <w:t xml:space="preserve">tributo del paisaje que se refiere a la configuración espacial de </w:t>
      </w:r>
      <w:r w:rsidR="00D74062" w:rsidRPr="004068F6">
        <w:rPr>
          <w:bCs/>
        </w:rPr>
        <w:t>su</w:t>
      </w:r>
      <w:r w:rsidRPr="004068F6">
        <w:rPr>
          <w:bCs/>
        </w:rPr>
        <w:t>s elementos (parches, hábitats, matriz, corredores, entre otros)</w:t>
      </w:r>
      <w:r w:rsidR="00D74062" w:rsidRPr="004068F6">
        <w:rPr>
          <w:bCs/>
        </w:rPr>
        <w:t>, así como</w:t>
      </w:r>
      <w:r w:rsidRPr="004068F6">
        <w:rPr>
          <w:bCs/>
        </w:rPr>
        <w:t xml:space="preserve"> </w:t>
      </w:r>
      <w:r w:rsidR="000C3696" w:rsidRPr="004068F6">
        <w:rPr>
          <w:bCs/>
        </w:rPr>
        <w:t xml:space="preserve">a </w:t>
      </w:r>
      <w:r w:rsidRPr="004068F6">
        <w:rPr>
          <w:bCs/>
        </w:rPr>
        <w:t>su</w:t>
      </w:r>
      <w:r w:rsidR="000C3696" w:rsidRPr="004068F6">
        <w:rPr>
          <w:bCs/>
        </w:rPr>
        <w:t>s</w:t>
      </w:r>
      <w:r w:rsidRPr="004068F6">
        <w:rPr>
          <w:bCs/>
        </w:rPr>
        <w:t xml:space="preserve"> interacci</w:t>
      </w:r>
      <w:r w:rsidR="000C3696" w:rsidRPr="004068F6">
        <w:rPr>
          <w:bCs/>
        </w:rPr>
        <w:t xml:space="preserve">ones, las cuales permiten </w:t>
      </w:r>
      <w:r w:rsidRPr="004068F6">
        <w:rPr>
          <w:bCs/>
        </w:rPr>
        <w:t xml:space="preserve">el </w:t>
      </w:r>
      <w:r w:rsidR="000C3696" w:rsidRPr="004068F6">
        <w:rPr>
          <w:bCs/>
        </w:rPr>
        <w:t xml:space="preserve">desarrollo </w:t>
      </w:r>
      <w:r w:rsidRPr="004068F6">
        <w:rPr>
          <w:bCs/>
        </w:rPr>
        <w:t>de procesos naturales</w:t>
      </w:r>
      <w:r w:rsidR="000C3696" w:rsidRPr="004068F6">
        <w:rPr>
          <w:bCs/>
        </w:rPr>
        <w:t xml:space="preserve"> y se </w:t>
      </w:r>
      <w:r w:rsidRPr="004068F6">
        <w:rPr>
          <w:bCs/>
        </w:rPr>
        <w:t>representa</w:t>
      </w:r>
      <w:r w:rsidR="000C3696" w:rsidRPr="004068F6">
        <w:rPr>
          <w:bCs/>
        </w:rPr>
        <w:t>n</w:t>
      </w:r>
      <w:r w:rsidRPr="004068F6">
        <w:rPr>
          <w:bCs/>
        </w:rPr>
        <w:t xml:space="preserve"> en la dispersión, movilidad, riqueza y diversidad de las especies existentes un territorio. </w:t>
      </w:r>
      <w:r w:rsidR="4A0B09C6" w:rsidRPr="004068F6">
        <w:t xml:space="preserve">Su </w:t>
      </w:r>
      <w:r w:rsidR="00E644A1" w:rsidRPr="004068F6">
        <w:t xml:space="preserve">determinación </w:t>
      </w:r>
      <w:r w:rsidR="4A0B09C6" w:rsidRPr="004068F6">
        <w:t>incluye entre otras,</w:t>
      </w:r>
      <w:r w:rsidRPr="004068F6">
        <w:rPr>
          <w:bCs/>
        </w:rPr>
        <w:t xml:space="preserve"> la evaluación del tipo de matriz, de los procesos históricos de modificación del paisaje</w:t>
      </w:r>
      <w:r w:rsidR="4A0B09C6" w:rsidRPr="004068F6">
        <w:t>,</w:t>
      </w:r>
      <w:r w:rsidRPr="004068F6">
        <w:rPr>
          <w:bCs/>
        </w:rPr>
        <w:t xml:space="preserve"> de las condiciones ambientales de la región</w:t>
      </w:r>
      <w:r w:rsidR="4A0B09C6" w:rsidRPr="004068F6">
        <w:t xml:space="preserve"> y de </w:t>
      </w:r>
      <w:r w:rsidRPr="004068F6">
        <w:rPr>
          <w:bCs/>
        </w:rPr>
        <w:t xml:space="preserve">la dinámica de ocupación </w:t>
      </w:r>
      <w:r w:rsidR="007028D5">
        <w:rPr>
          <w:bCs/>
        </w:rPr>
        <w:t>y</w:t>
      </w:r>
      <w:r w:rsidR="007028D5" w:rsidRPr="004068F6">
        <w:rPr>
          <w:bCs/>
        </w:rPr>
        <w:t xml:space="preserve"> </w:t>
      </w:r>
      <w:r w:rsidRPr="004068F6">
        <w:rPr>
          <w:bCs/>
        </w:rPr>
        <w:t>uso</w:t>
      </w:r>
      <w:bookmarkEnd w:id="29"/>
      <w:r w:rsidRPr="004068F6">
        <w:rPr>
          <w:rFonts w:eastAsiaTheme="minorEastAsia"/>
          <w:sz w:val="22"/>
          <w:szCs w:val="22"/>
        </w:rPr>
        <w:t>.</w:t>
      </w:r>
    </w:p>
    <w:p w14:paraId="1EFCF1C2" w14:textId="77777777" w:rsidR="00DB1152" w:rsidRPr="004068F6" w:rsidRDefault="00DB1152" w:rsidP="009420F5"/>
    <w:p w14:paraId="17995DA3" w14:textId="217AEB30" w:rsidR="00AA4F93" w:rsidRPr="004068F6" w:rsidRDefault="00AA4F93" w:rsidP="009420F5">
      <w:pPr>
        <w:numPr>
          <w:ilvl w:val="0"/>
          <w:numId w:val="19"/>
        </w:numPr>
        <w:suppressAutoHyphens/>
        <w:ind w:left="567" w:hanging="567"/>
      </w:pPr>
      <w:r w:rsidRPr="004068F6">
        <w:rPr>
          <w:b/>
        </w:rPr>
        <w:t xml:space="preserve">Conflicto </w:t>
      </w:r>
      <w:r w:rsidR="003E7D13" w:rsidRPr="004068F6">
        <w:rPr>
          <w:b/>
        </w:rPr>
        <w:t>socio</w:t>
      </w:r>
      <w:r w:rsidRPr="004068F6">
        <w:rPr>
          <w:b/>
        </w:rPr>
        <w:t>ambiental</w:t>
      </w:r>
      <w:r w:rsidRPr="004068F6">
        <w:t xml:space="preserve">: </w:t>
      </w:r>
      <w:r w:rsidR="003E7D13" w:rsidRPr="004068F6">
        <w:t>tensiones, desacuerdos o confrontaciones respecto del acceso, uso, manejo y protección de la biodiversidad y sus servicios ecosistémicos; la distribución de sus beneficios; la implementación normativa; y el acceso o desconocimiento de información ambiental</w:t>
      </w:r>
      <w:r w:rsidRPr="004068F6">
        <w:t>.</w:t>
      </w:r>
      <w:r w:rsidR="00295FEA" w:rsidRPr="004068F6">
        <w:t xml:space="preserve"> </w:t>
      </w:r>
      <w:r w:rsidR="00295FEA" w:rsidRPr="004068F6">
        <w:rPr>
          <w:rFonts w:cs="Arial"/>
          <w:bCs/>
          <w:vertAlign w:val="superscript"/>
        </w:rPr>
        <w:t>[</w:t>
      </w:r>
      <w:r w:rsidR="00295FEA" w:rsidRPr="004068F6">
        <w:rPr>
          <w:rStyle w:val="Refdenotaalfinal"/>
          <w:rFonts w:cs="Arial"/>
          <w:bCs/>
        </w:rPr>
        <w:endnoteReference w:id="18"/>
      </w:r>
      <w:r w:rsidR="00295FEA" w:rsidRPr="004068F6">
        <w:rPr>
          <w:rFonts w:cs="Arial"/>
          <w:bCs/>
          <w:vertAlign w:val="superscript"/>
        </w:rPr>
        <w:t>]</w:t>
      </w:r>
    </w:p>
    <w:p w14:paraId="71A9F2AE" w14:textId="77777777" w:rsidR="00AA4F93" w:rsidRPr="004068F6" w:rsidRDefault="00AA4F93" w:rsidP="00C86DA5">
      <w:pPr>
        <w:suppressAutoHyphens/>
      </w:pPr>
    </w:p>
    <w:p w14:paraId="1FCFED75" w14:textId="5BBC8335" w:rsidR="00AA4F93" w:rsidRPr="004068F6" w:rsidRDefault="00AA4F93" w:rsidP="00C86DA5">
      <w:pPr>
        <w:numPr>
          <w:ilvl w:val="0"/>
          <w:numId w:val="19"/>
        </w:numPr>
        <w:suppressAutoHyphens/>
        <w:ind w:left="567" w:hanging="567"/>
      </w:pPr>
      <w:r w:rsidRPr="004068F6">
        <w:rPr>
          <w:b/>
        </w:rPr>
        <w:t>Conocimiento del riesgo</w:t>
      </w:r>
      <w:r w:rsidRPr="004068F6">
        <w:t xml:space="preserve">: </w:t>
      </w:r>
      <w:r w:rsidR="004B3840" w:rsidRPr="004068F6">
        <w:t>proceso</w:t>
      </w:r>
      <w:r w:rsidRPr="004068F6">
        <w:t xml:space="preserve"> de la gestión del riesgo compuesto por la identificación de escenarios de riesgo, el análisis y evaluación del riesgo, el monitoreo y seguimiento del riesgo y sus componentes y la comunicación para </w:t>
      </w:r>
      <w:r w:rsidRPr="004068F6">
        <w:lastRenderedPageBreak/>
        <w:t xml:space="preserve">promover una mayor conciencia </w:t>
      </w:r>
      <w:r w:rsidR="006E6527" w:rsidRPr="004068F6">
        <w:rPr>
          <w:rFonts w:cs="Arial"/>
        </w:rPr>
        <w:t>del mismo</w:t>
      </w:r>
      <w:r w:rsidRPr="004068F6">
        <w:t xml:space="preserve"> que alimenta los procesos de reducción del riesgo y de manejo de </w:t>
      </w:r>
      <w:bookmarkStart w:id="30" w:name="_Ref496867866"/>
      <w:r w:rsidRPr="004068F6">
        <w:t>desastre</w:t>
      </w:r>
      <w:r w:rsidR="006A5D01" w:rsidRPr="004068F6">
        <w:t>.</w:t>
      </w:r>
      <w:r w:rsidRPr="004068F6">
        <w:rPr>
          <w:vertAlign w:val="superscript"/>
        </w:rPr>
        <w:t xml:space="preserve"> </w:t>
      </w:r>
      <w:r w:rsidR="00CF2BB6" w:rsidRPr="004068F6">
        <w:rPr>
          <w:vertAlign w:val="superscript"/>
        </w:rPr>
        <w:t>[</w:t>
      </w:r>
      <w:r w:rsidR="00821FC6" w:rsidRPr="004068F6">
        <w:rPr>
          <w:vertAlign w:val="superscript"/>
        </w:rPr>
        <w:fldChar w:fldCharType="begin"/>
      </w:r>
      <w:r w:rsidR="00821FC6" w:rsidRPr="004068F6">
        <w:rPr>
          <w:vertAlign w:val="superscript"/>
        </w:rPr>
        <w:instrText xml:space="preserve"> NOTEREF _Ref44841712 \h </w:instrText>
      </w:r>
      <w:r w:rsidR="006A4128" w:rsidRPr="004068F6">
        <w:rPr>
          <w:vertAlign w:val="superscript"/>
        </w:rPr>
        <w:instrText xml:space="preserve"> \* MERGEFORMAT </w:instrText>
      </w:r>
      <w:r w:rsidR="00821FC6" w:rsidRPr="004068F6">
        <w:rPr>
          <w:vertAlign w:val="superscript"/>
        </w:rPr>
      </w:r>
      <w:r w:rsidR="00821FC6" w:rsidRPr="004068F6">
        <w:rPr>
          <w:vertAlign w:val="superscript"/>
        </w:rPr>
        <w:fldChar w:fldCharType="separate"/>
      </w:r>
      <w:r w:rsidR="009C4A81">
        <w:rPr>
          <w:vertAlign w:val="superscript"/>
        </w:rPr>
        <w:t>6</w:t>
      </w:r>
      <w:r w:rsidR="00821FC6" w:rsidRPr="004068F6">
        <w:rPr>
          <w:vertAlign w:val="superscript"/>
        </w:rPr>
        <w:fldChar w:fldCharType="end"/>
      </w:r>
      <w:bookmarkEnd w:id="30"/>
      <w:r w:rsidR="00CF2BB6" w:rsidRPr="004068F6">
        <w:rPr>
          <w:vertAlign w:val="superscript"/>
        </w:rPr>
        <w:t>]</w:t>
      </w:r>
    </w:p>
    <w:p w14:paraId="1B261E62" w14:textId="77777777" w:rsidR="006E6527" w:rsidRPr="004068F6" w:rsidRDefault="006E6527" w:rsidP="006E6527">
      <w:pPr>
        <w:suppressAutoHyphens/>
        <w:rPr>
          <w:rFonts w:cs="Arial"/>
          <w:bCs/>
        </w:rPr>
      </w:pPr>
    </w:p>
    <w:p w14:paraId="1D1D470C" w14:textId="5317DDA8" w:rsidR="00AA4F93" w:rsidRPr="004068F6" w:rsidRDefault="00AA4F93" w:rsidP="00456AB1">
      <w:pPr>
        <w:numPr>
          <w:ilvl w:val="0"/>
          <w:numId w:val="19"/>
        </w:numPr>
        <w:suppressAutoHyphens/>
        <w:ind w:left="567" w:hanging="567"/>
        <w:rPr>
          <w:rFonts w:cs="Arial"/>
          <w:bCs/>
        </w:rPr>
      </w:pPr>
      <w:r w:rsidRPr="004068F6">
        <w:rPr>
          <w:rFonts w:cs="Arial"/>
          <w:b/>
          <w:bCs/>
        </w:rPr>
        <w:t>Contingencia ambiental</w:t>
      </w:r>
      <w:r w:rsidR="00E810B6" w:rsidRPr="004068F6">
        <w:rPr>
          <w:rFonts w:cs="Arial"/>
          <w:bCs/>
        </w:rPr>
        <w:t>:</w:t>
      </w:r>
      <w:r w:rsidR="0088212E" w:rsidRPr="004068F6">
        <w:rPr>
          <w:rFonts w:cs="Arial"/>
          <w:bCs/>
        </w:rPr>
        <w:t xml:space="preserve"> </w:t>
      </w:r>
      <w:r w:rsidR="0054687B" w:rsidRPr="004068F6">
        <w:rPr>
          <w:rFonts w:cs="Arial"/>
          <w:bCs/>
        </w:rPr>
        <w:t>afectación sobre los medios abiótico, biótico y socioeconómico derivada de la materialización de los escenarios de riesgo endógenos o exógenos.</w:t>
      </w:r>
    </w:p>
    <w:p w14:paraId="073B6BCF" w14:textId="77777777" w:rsidR="00AA4F93" w:rsidRPr="004068F6" w:rsidRDefault="00AA4F93" w:rsidP="00E810B6">
      <w:pPr>
        <w:suppressAutoHyphens/>
        <w:rPr>
          <w:rFonts w:eastAsia="Calibri" w:cs="Arial"/>
          <w:lang w:eastAsia="en-US"/>
        </w:rPr>
      </w:pPr>
    </w:p>
    <w:p w14:paraId="0DA38C84" w14:textId="7CFD9066" w:rsidR="00AA4F93" w:rsidRPr="004068F6" w:rsidRDefault="00AA4F93" w:rsidP="00456AB1">
      <w:pPr>
        <w:numPr>
          <w:ilvl w:val="0"/>
          <w:numId w:val="19"/>
        </w:numPr>
        <w:suppressAutoHyphens/>
        <w:ind w:left="567" w:hanging="567"/>
        <w:rPr>
          <w:rFonts w:eastAsia="Calibri" w:cs="Arial"/>
          <w:lang w:eastAsia="en-US"/>
        </w:rPr>
      </w:pPr>
      <w:r w:rsidRPr="004068F6">
        <w:rPr>
          <w:rFonts w:eastAsia="Calibri" w:cs="Arial"/>
          <w:b/>
          <w:lang w:eastAsia="en-US"/>
        </w:rPr>
        <w:t>Corregimiento</w:t>
      </w:r>
      <w:r w:rsidR="006768F9" w:rsidRPr="004068F6">
        <w:rPr>
          <w:rFonts w:eastAsia="Calibri" w:cs="Arial"/>
          <w:b/>
          <w:lang w:eastAsia="en-US"/>
        </w:rPr>
        <w:t xml:space="preserve"> municipal</w:t>
      </w:r>
      <w:r w:rsidRPr="004068F6">
        <w:rPr>
          <w:rFonts w:eastAsia="Calibri" w:cs="Arial"/>
          <w:b/>
          <w:lang w:eastAsia="en-US"/>
        </w:rPr>
        <w:t>:</w:t>
      </w:r>
      <w:r w:rsidR="0088212E" w:rsidRPr="004068F6">
        <w:rPr>
          <w:rFonts w:eastAsia="Calibri" w:cs="Arial"/>
          <w:lang w:eastAsia="en-US"/>
        </w:rPr>
        <w:t xml:space="preserve"> t</w:t>
      </w:r>
      <w:r w:rsidRPr="004068F6">
        <w:rPr>
          <w:rFonts w:eastAsia="Calibri" w:cs="Arial"/>
          <w:lang w:eastAsia="en-US"/>
        </w:rPr>
        <w:t>ipo de centro poblado, ubicado en el área rural o urbana de un municipio, el cual incluye un núcleo de población y está considerado en los Planes de Ordenamiento Territorial (POT)</w:t>
      </w:r>
      <w:r w:rsidR="00761FEE" w:rsidRPr="004068F6">
        <w:rPr>
          <w:rFonts w:eastAsia="Calibri" w:cs="Arial"/>
          <w:lang w:eastAsia="en-US"/>
        </w:rPr>
        <w:t>.</w:t>
      </w:r>
      <w:r w:rsidR="00CF2BB6" w:rsidRPr="004068F6">
        <w:rPr>
          <w:rFonts w:eastAsia="Calibri" w:cs="Arial"/>
          <w:lang w:eastAsia="en-US"/>
        </w:rPr>
        <w:t xml:space="preserve"> </w:t>
      </w:r>
      <w:r w:rsidR="00CF2BB6" w:rsidRPr="004068F6">
        <w:rPr>
          <w:rFonts w:eastAsia="Calibri" w:cs="Arial"/>
          <w:vertAlign w:val="superscript"/>
          <w:lang w:eastAsia="en-US"/>
        </w:rPr>
        <w:t>[</w:t>
      </w:r>
      <w:r w:rsidR="003E7D13" w:rsidRPr="004068F6">
        <w:rPr>
          <w:rFonts w:eastAsia="Calibri" w:cs="Arial"/>
          <w:vertAlign w:val="superscript"/>
          <w:lang w:eastAsia="en-US"/>
        </w:rPr>
        <w:fldChar w:fldCharType="begin"/>
      </w:r>
      <w:r w:rsidR="003E7D13" w:rsidRPr="004068F6">
        <w:rPr>
          <w:rFonts w:eastAsia="Calibri" w:cs="Arial"/>
          <w:vertAlign w:val="superscript"/>
          <w:lang w:eastAsia="en-US"/>
        </w:rPr>
        <w:instrText xml:space="preserve"> NOTEREF _Ref78191010 \h </w:instrText>
      </w:r>
      <w:r w:rsidR="006A4128" w:rsidRPr="004068F6">
        <w:rPr>
          <w:rFonts w:eastAsia="Calibri" w:cs="Arial"/>
          <w:vertAlign w:val="superscript"/>
          <w:lang w:eastAsia="en-US"/>
        </w:rPr>
        <w:instrText xml:space="preserve"> \* MERGEFORMAT </w:instrText>
      </w:r>
      <w:r w:rsidR="003E7D13" w:rsidRPr="004068F6">
        <w:rPr>
          <w:rFonts w:eastAsia="Calibri" w:cs="Arial"/>
          <w:vertAlign w:val="superscript"/>
          <w:lang w:eastAsia="en-US"/>
        </w:rPr>
      </w:r>
      <w:r w:rsidR="003E7D13" w:rsidRPr="004068F6">
        <w:rPr>
          <w:rFonts w:eastAsia="Calibri" w:cs="Arial"/>
          <w:vertAlign w:val="superscript"/>
          <w:lang w:eastAsia="en-US"/>
        </w:rPr>
        <w:fldChar w:fldCharType="separate"/>
      </w:r>
      <w:r w:rsidR="009C4A81">
        <w:rPr>
          <w:rFonts w:eastAsia="Calibri" w:cs="Arial"/>
          <w:vertAlign w:val="superscript"/>
          <w:lang w:eastAsia="en-US"/>
        </w:rPr>
        <w:t>13</w:t>
      </w:r>
      <w:r w:rsidR="003E7D13" w:rsidRPr="004068F6">
        <w:rPr>
          <w:rFonts w:eastAsia="Calibri" w:cs="Arial"/>
          <w:vertAlign w:val="superscript"/>
          <w:lang w:eastAsia="en-US"/>
        </w:rPr>
        <w:fldChar w:fldCharType="end"/>
      </w:r>
      <w:r w:rsidR="00CF2BB6" w:rsidRPr="004068F6">
        <w:rPr>
          <w:rFonts w:eastAsia="Calibri" w:cs="Arial"/>
          <w:vertAlign w:val="superscript"/>
          <w:lang w:eastAsia="en-US"/>
        </w:rPr>
        <w:t>]</w:t>
      </w:r>
    </w:p>
    <w:p w14:paraId="56524CCA" w14:textId="77777777" w:rsidR="00AA4F93" w:rsidRPr="004068F6" w:rsidRDefault="00AA4F93" w:rsidP="00C86DA5">
      <w:pPr>
        <w:suppressAutoHyphens/>
        <w:rPr>
          <w:rFonts w:eastAsia="Calibri"/>
        </w:rPr>
      </w:pPr>
    </w:p>
    <w:p w14:paraId="2E58BB00" w14:textId="6C79D7A7" w:rsidR="00AA4F93" w:rsidRPr="004068F6" w:rsidRDefault="00AA4F93" w:rsidP="00C86DA5">
      <w:pPr>
        <w:numPr>
          <w:ilvl w:val="0"/>
          <w:numId w:val="19"/>
        </w:numPr>
        <w:suppressAutoHyphens/>
        <w:ind w:left="567" w:hanging="567"/>
      </w:pPr>
      <w:r w:rsidRPr="004068F6">
        <w:rPr>
          <w:b/>
        </w:rPr>
        <w:t>Cuenca hidrográfica</w:t>
      </w:r>
      <w:r w:rsidRPr="004068F6">
        <w:t xml:space="preserve">: </w:t>
      </w:r>
      <w:r w:rsidR="00B06F49" w:rsidRPr="004068F6">
        <w:t>área</w:t>
      </w:r>
      <w:r w:rsidRPr="004068F6">
        <w:t xml:space="preserve">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w:t>
      </w:r>
      <w:r w:rsidR="006A5D01" w:rsidRPr="004068F6">
        <w:t>.</w:t>
      </w:r>
      <w:r w:rsidR="00B06F49" w:rsidRPr="004068F6">
        <w:t xml:space="preserve"> </w:t>
      </w:r>
      <w:bookmarkStart w:id="31" w:name="_Ref496867136"/>
      <w:r w:rsidR="00CF2BB6" w:rsidRPr="004068F6">
        <w:rPr>
          <w:vertAlign w:val="superscript"/>
        </w:rPr>
        <w:t>[</w:t>
      </w:r>
      <w:r w:rsidR="00821FC6" w:rsidRPr="004068F6">
        <w:rPr>
          <w:vertAlign w:val="superscript"/>
        </w:rPr>
        <w:fldChar w:fldCharType="begin"/>
      </w:r>
      <w:r w:rsidR="00821FC6" w:rsidRPr="004068F6">
        <w:rPr>
          <w:vertAlign w:val="superscript"/>
        </w:rPr>
        <w:instrText xml:space="preserve"> NOTEREF _Ref44839840 \h </w:instrText>
      </w:r>
      <w:r w:rsidR="006A4128" w:rsidRPr="004068F6">
        <w:rPr>
          <w:vertAlign w:val="superscript"/>
        </w:rPr>
        <w:instrText xml:space="preserve"> \* MERGEFORMAT </w:instrText>
      </w:r>
      <w:r w:rsidR="00821FC6" w:rsidRPr="004068F6">
        <w:rPr>
          <w:vertAlign w:val="superscript"/>
        </w:rPr>
      </w:r>
      <w:r w:rsidR="00821FC6" w:rsidRPr="004068F6">
        <w:rPr>
          <w:vertAlign w:val="superscript"/>
        </w:rPr>
        <w:fldChar w:fldCharType="separate"/>
      </w:r>
      <w:r w:rsidR="009C4A81">
        <w:rPr>
          <w:vertAlign w:val="superscript"/>
        </w:rPr>
        <w:t>1</w:t>
      </w:r>
      <w:r w:rsidR="00821FC6" w:rsidRPr="004068F6">
        <w:rPr>
          <w:vertAlign w:val="superscript"/>
        </w:rPr>
        <w:fldChar w:fldCharType="end"/>
      </w:r>
      <w:bookmarkEnd w:id="31"/>
      <w:r w:rsidR="00CF2BB6" w:rsidRPr="004068F6">
        <w:rPr>
          <w:vertAlign w:val="superscript"/>
        </w:rPr>
        <w:t>]</w:t>
      </w:r>
    </w:p>
    <w:p w14:paraId="3DA256FF" w14:textId="77777777" w:rsidR="00AA4F93" w:rsidRPr="004068F6" w:rsidRDefault="00AA4F93" w:rsidP="00E810B6">
      <w:pPr>
        <w:rPr>
          <w:rFonts w:cs="Arial"/>
        </w:rPr>
      </w:pPr>
    </w:p>
    <w:p w14:paraId="674D0DED" w14:textId="24C5DFA8" w:rsidR="00AA4F93" w:rsidRPr="004068F6" w:rsidRDefault="0088212E" w:rsidP="00456AB1">
      <w:pPr>
        <w:numPr>
          <w:ilvl w:val="0"/>
          <w:numId w:val="19"/>
        </w:numPr>
        <w:suppressAutoHyphens/>
        <w:ind w:left="567" w:hanging="567"/>
        <w:rPr>
          <w:rFonts w:eastAsia="Calibri" w:cs="Arial"/>
          <w:lang w:eastAsia="en-US"/>
        </w:rPr>
      </w:pPr>
      <w:r w:rsidRPr="004068F6">
        <w:rPr>
          <w:rFonts w:eastAsia="Calibri" w:cs="Arial"/>
          <w:b/>
          <w:lang w:eastAsia="en-US"/>
        </w:rPr>
        <w:t>Cuerpo de agua</w:t>
      </w:r>
      <w:r w:rsidRPr="004068F6">
        <w:rPr>
          <w:rFonts w:eastAsia="Calibri" w:cs="Arial"/>
          <w:lang w:eastAsia="en-US"/>
        </w:rPr>
        <w:t>: s</w:t>
      </w:r>
      <w:r w:rsidR="00AA4F93" w:rsidRPr="004068F6">
        <w:rPr>
          <w:rFonts w:eastAsia="Calibri" w:cs="Arial"/>
          <w:lang w:eastAsia="en-US"/>
        </w:rPr>
        <w:t>istema de origen natural o artificial localizado, sobre la superficie terrestre, conformado por elementos físicos-bióticos y masas o volúmenes de agua, contenidas o en movimiento</w:t>
      </w:r>
      <w:r w:rsidR="006A5D01" w:rsidRPr="004068F6">
        <w:rPr>
          <w:rFonts w:eastAsia="Calibri" w:cs="Arial"/>
          <w:lang w:eastAsia="en-US"/>
        </w:rPr>
        <w:t>.</w:t>
      </w:r>
      <w:r w:rsidR="00CF2BB6" w:rsidRPr="004068F6">
        <w:rPr>
          <w:rFonts w:eastAsia="Calibri" w:cs="Arial"/>
          <w:lang w:eastAsia="en-US"/>
        </w:rPr>
        <w:t xml:space="preserve"> </w:t>
      </w:r>
      <w:r w:rsidR="00CF2BB6" w:rsidRPr="004068F6">
        <w:rPr>
          <w:rFonts w:eastAsia="Calibri" w:cs="Arial"/>
          <w:vertAlign w:val="superscript"/>
          <w:lang w:eastAsia="en-US"/>
        </w:rPr>
        <w:t>[</w:t>
      </w:r>
      <w:r w:rsidR="00821FC6" w:rsidRPr="004068F6">
        <w:rPr>
          <w:rFonts w:eastAsia="Calibri" w:cs="Arial"/>
          <w:vertAlign w:val="superscript"/>
          <w:lang w:eastAsia="en-US"/>
        </w:rPr>
        <w:fldChar w:fldCharType="begin"/>
      </w:r>
      <w:r w:rsidR="00821FC6" w:rsidRPr="004068F6">
        <w:rPr>
          <w:rFonts w:eastAsia="Calibri" w:cs="Arial"/>
          <w:vertAlign w:val="superscript"/>
          <w:lang w:eastAsia="en-US"/>
        </w:rPr>
        <w:instrText xml:space="preserve"> NOTEREF _Ref44839840 \h </w:instrText>
      </w:r>
      <w:r w:rsidR="006A4128" w:rsidRPr="004068F6">
        <w:rPr>
          <w:rFonts w:eastAsia="Calibri" w:cs="Arial"/>
          <w:vertAlign w:val="superscript"/>
          <w:lang w:eastAsia="en-US"/>
        </w:rPr>
        <w:instrText xml:space="preserve"> \* MERGEFORMAT </w:instrText>
      </w:r>
      <w:r w:rsidR="00821FC6" w:rsidRPr="004068F6">
        <w:rPr>
          <w:rFonts w:eastAsia="Calibri" w:cs="Arial"/>
          <w:vertAlign w:val="superscript"/>
          <w:lang w:eastAsia="en-US"/>
        </w:rPr>
      </w:r>
      <w:r w:rsidR="00821FC6" w:rsidRPr="004068F6">
        <w:rPr>
          <w:rFonts w:eastAsia="Calibri" w:cs="Arial"/>
          <w:vertAlign w:val="superscript"/>
          <w:lang w:eastAsia="en-US"/>
        </w:rPr>
        <w:fldChar w:fldCharType="separate"/>
      </w:r>
      <w:r w:rsidR="009C4A81">
        <w:rPr>
          <w:rFonts w:eastAsia="Calibri" w:cs="Arial"/>
          <w:vertAlign w:val="superscript"/>
          <w:lang w:eastAsia="en-US"/>
        </w:rPr>
        <w:t>1</w:t>
      </w:r>
      <w:r w:rsidR="00821FC6" w:rsidRPr="004068F6">
        <w:rPr>
          <w:rFonts w:eastAsia="Calibri" w:cs="Arial"/>
          <w:vertAlign w:val="superscript"/>
          <w:lang w:eastAsia="en-US"/>
        </w:rPr>
        <w:fldChar w:fldCharType="end"/>
      </w:r>
      <w:r w:rsidR="00CF2BB6" w:rsidRPr="004068F6">
        <w:rPr>
          <w:rFonts w:eastAsia="Calibri" w:cs="Arial"/>
          <w:vertAlign w:val="superscript"/>
          <w:lang w:eastAsia="en-US"/>
        </w:rPr>
        <w:t>]</w:t>
      </w:r>
    </w:p>
    <w:p w14:paraId="577957B4" w14:textId="77777777" w:rsidR="00AA4F93" w:rsidRPr="004068F6" w:rsidRDefault="00AA4F93" w:rsidP="00C86DA5">
      <w:pPr>
        <w:suppressAutoHyphens/>
      </w:pPr>
    </w:p>
    <w:p w14:paraId="4A2E0211" w14:textId="1FEB3F09" w:rsidR="00683BC3" w:rsidRPr="004068F6" w:rsidRDefault="00683BC3" w:rsidP="00127BD4">
      <w:pPr>
        <w:numPr>
          <w:ilvl w:val="0"/>
          <w:numId w:val="19"/>
        </w:numPr>
        <w:suppressAutoHyphens/>
        <w:ind w:left="567" w:hanging="567"/>
      </w:pPr>
      <w:r w:rsidRPr="00D03A7F">
        <w:rPr>
          <w:b/>
          <w:bCs/>
        </w:rPr>
        <w:t>Debida diligencia en materia de derechos humanos</w:t>
      </w:r>
      <w:r w:rsidRPr="00D03A7F">
        <w:t xml:space="preserve">: </w:t>
      </w:r>
      <w:r w:rsidR="00AA3540" w:rsidRPr="00D03A7F">
        <w:t>proceso a través del cual</w:t>
      </w:r>
      <w:r w:rsidR="00AA3540">
        <w:t xml:space="preserve"> las</w:t>
      </w:r>
      <w:r w:rsidR="0014776A">
        <w:t xml:space="preserve"> </w:t>
      </w:r>
      <w:r w:rsidR="00AA3540">
        <w:t>empresas pueden identificar, prevenir, mitigar, reparar y rendir cuentas por</w:t>
      </w:r>
      <w:r w:rsidR="0014776A">
        <w:t xml:space="preserve"> </w:t>
      </w:r>
      <w:r w:rsidR="00AA3540">
        <w:t>impactos y/o violaciones a los derechos humanos como parte integral de la</w:t>
      </w:r>
      <w:r w:rsidR="0014776A">
        <w:t xml:space="preserve"> </w:t>
      </w:r>
      <w:r w:rsidR="00AA3540">
        <w:t>toma de decisiones</w:t>
      </w:r>
      <w:r w:rsidR="000B288C" w:rsidRPr="004068F6">
        <w:t>.</w:t>
      </w:r>
    </w:p>
    <w:p w14:paraId="6D6A6563" w14:textId="77777777" w:rsidR="00683BC3" w:rsidRPr="004068F6" w:rsidRDefault="00683BC3" w:rsidP="000D6E21">
      <w:pPr>
        <w:suppressAutoHyphens/>
      </w:pPr>
    </w:p>
    <w:p w14:paraId="652685FB" w14:textId="1A55ECCE" w:rsidR="00AA4F93" w:rsidRPr="004068F6" w:rsidRDefault="00AA4F93" w:rsidP="00C86DA5">
      <w:pPr>
        <w:numPr>
          <w:ilvl w:val="0"/>
          <w:numId w:val="19"/>
        </w:numPr>
        <w:suppressAutoHyphens/>
        <w:ind w:left="567" w:hanging="567"/>
      </w:pPr>
      <w:r w:rsidRPr="004068F6">
        <w:rPr>
          <w:b/>
        </w:rPr>
        <w:t>Desarrollo sostenible</w:t>
      </w:r>
      <w:r w:rsidRPr="004068F6">
        <w:t xml:space="preserve">: </w:t>
      </w:r>
      <w:r w:rsidR="000207D9" w:rsidRPr="004068F6">
        <w:t xml:space="preserve">tipo de desarrollo que </w:t>
      </w:r>
      <w:r w:rsidR="00882189" w:rsidRPr="004068F6">
        <w:rPr>
          <w:rFonts w:cs="Arial"/>
          <w:color w:val="181717"/>
          <w:shd w:val="clear" w:color="auto" w:fill="FFFFFF"/>
        </w:rPr>
        <w:t>condu</w:t>
      </w:r>
      <w:r w:rsidR="00DF76CD" w:rsidRPr="004068F6">
        <w:rPr>
          <w:rFonts w:cs="Arial"/>
          <w:color w:val="181717"/>
          <w:shd w:val="clear" w:color="auto" w:fill="FFFFFF"/>
        </w:rPr>
        <w:t>z</w:t>
      </w:r>
      <w:r w:rsidR="00882189" w:rsidRPr="004068F6">
        <w:rPr>
          <w:rFonts w:cs="Arial"/>
          <w:color w:val="181717"/>
          <w:shd w:val="clear" w:color="auto" w:fill="FFFFFF"/>
        </w:rPr>
        <w:t>c</w:t>
      </w:r>
      <w:r w:rsidR="00DF76CD" w:rsidRPr="004068F6">
        <w:rPr>
          <w:rFonts w:cs="Arial"/>
          <w:color w:val="181717"/>
          <w:shd w:val="clear" w:color="auto" w:fill="FFFFFF"/>
        </w:rPr>
        <w:t>a</w:t>
      </w:r>
      <w:r w:rsidR="00882189" w:rsidRPr="004068F6">
        <w:rPr>
          <w:rFonts w:cs="Arial"/>
          <w:color w:val="181717"/>
          <w:shd w:val="clear" w:color="auto" w:fill="FFFFFF"/>
        </w:rPr>
        <w:t xml:space="preserve"> al</w:t>
      </w:r>
      <w:r w:rsidR="00882189" w:rsidRPr="004068F6">
        <w:rPr>
          <w:color w:val="181717"/>
          <w:shd w:val="clear" w:color="auto" w:fill="FFFFFF"/>
        </w:rPr>
        <w:t xml:space="preserve"> crecimiento económico, </w:t>
      </w:r>
      <w:r w:rsidR="00882189" w:rsidRPr="004068F6">
        <w:rPr>
          <w:rFonts w:cs="Arial"/>
          <w:color w:val="181717"/>
          <w:shd w:val="clear" w:color="auto" w:fill="FFFFFF"/>
        </w:rPr>
        <w:t xml:space="preserve">a la elevación de </w:t>
      </w:r>
      <w:r w:rsidR="00882189" w:rsidRPr="004068F6">
        <w:rPr>
          <w:color w:val="181717"/>
          <w:shd w:val="clear" w:color="auto" w:fill="FFFFFF"/>
        </w:rPr>
        <w:t xml:space="preserve">la </w:t>
      </w:r>
      <w:r w:rsidR="00882189" w:rsidRPr="004068F6">
        <w:rPr>
          <w:rFonts w:cs="Arial"/>
          <w:color w:val="181717"/>
          <w:shd w:val="clear" w:color="auto" w:fill="FFFFFF"/>
        </w:rPr>
        <w:t>calidad de la vida y al bienestar</w:t>
      </w:r>
      <w:r w:rsidR="00882189" w:rsidRPr="004068F6">
        <w:rPr>
          <w:color w:val="181717"/>
          <w:shd w:val="clear" w:color="auto" w:fill="FFFFFF"/>
        </w:rPr>
        <w:t xml:space="preserve"> social, </w:t>
      </w:r>
      <w:r w:rsidR="00882189" w:rsidRPr="004068F6">
        <w:rPr>
          <w:rFonts w:cs="Arial"/>
          <w:color w:val="181717"/>
          <w:shd w:val="clear" w:color="auto" w:fill="FFFFFF"/>
        </w:rPr>
        <w:t>sin agotar</w:t>
      </w:r>
      <w:r w:rsidR="00882189" w:rsidRPr="004068F6">
        <w:rPr>
          <w:color w:val="181717"/>
          <w:shd w:val="clear" w:color="auto" w:fill="FFFFFF"/>
        </w:rPr>
        <w:t xml:space="preserve"> la base de recursos naturales</w:t>
      </w:r>
      <w:r w:rsidR="00882189" w:rsidRPr="004068F6">
        <w:rPr>
          <w:rFonts w:cs="Arial"/>
          <w:color w:val="181717"/>
          <w:shd w:val="clear" w:color="auto" w:fill="FFFFFF"/>
        </w:rPr>
        <w:t xml:space="preserve"> renovables en que se sustenta, ni </w:t>
      </w:r>
      <w:r w:rsidR="00882189" w:rsidRPr="004068F6">
        <w:rPr>
          <w:color w:val="181717"/>
          <w:shd w:val="clear" w:color="auto" w:fill="FFFFFF"/>
        </w:rPr>
        <w:t xml:space="preserve">deteriorar el medio ambiente </w:t>
      </w:r>
      <w:r w:rsidR="00882189" w:rsidRPr="004068F6">
        <w:rPr>
          <w:rFonts w:cs="Arial"/>
          <w:color w:val="181717"/>
          <w:shd w:val="clear" w:color="auto" w:fill="FFFFFF"/>
        </w:rPr>
        <w:t>o</w:t>
      </w:r>
      <w:r w:rsidR="00882189" w:rsidRPr="004068F6">
        <w:rPr>
          <w:color w:val="181717"/>
          <w:shd w:val="clear" w:color="auto" w:fill="FFFFFF"/>
        </w:rPr>
        <w:t xml:space="preserve"> el derecho de las generaciones futuras a utilizarlo para </w:t>
      </w:r>
      <w:r w:rsidR="00882189" w:rsidRPr="004068F6">
        <w:rPr>
          <w:rFonts w:cs="Arial"/>
          <w:color w:val="181717"/>
          <w:shd w:val="clear" w:color="auto" w:fill="FFFFFF"/>
        </w:rPr>
        <w:t xml:space="preserve">la satisfacción de </w:t>
      </w:r>
      <w:r w:rsidR="00882189" w:rsidRPr="004068F6">
        <w:rPr>
          <w:color w:val="181717"/>
          <w:shd w:val="clear" w:color="auto" w:fill="FFFFFF"/>
        </w:rPr>
        <w:t>sus propias necesidades</w:t>
      </w:r>
      <w:bookmarkStart w:id="32" w:name="_Ref501183221"/>
      <w:r w:rsidR="00E8461D" w:rsidRPr="004068F6">
        <w:t xml:space="preserve">. </w:t>
      </w:r>
      <w:r w:rsidR="00CF2BB6" w:rsidRPr="004068F6">
        <w:rPr>
          <w:vertAlign w:val="superscript"/>
        </w:rPr>
        <w:t>[</w:t>
      </w:r>
      <w:r w:rsidRPr="004068F6">
        <w:rPr>
          <w:vertAlign w:val="superscript"/>
        </w:rPr>
        <w:endnoteReference w:id="19"/>
      </w:r>
      <w:bookmarkEnd w:id="32"/>
      <w:r w:rsidR="00CF2BB6" w:rsidRPr="004068F6">
        <w:rPr>
          <w:vertAlign w:val="superscript"/>
        </w:rPr>
        <w:t>]</w:t>
      </w:r>
    </w:p>
    <w:p w14:paraId="5A4CB611" w14:textId="77777777" w:rsidR="007542CC" w:rsidRPr="005B2DC3" w:rsidRDefault="007542CC" w:rsidP="005B2DC3"/>
    <w:p w14:paraId="0CCE1D74" w14:textId="6E32D79C" w:rsidR="007542CC" w:rsidRPr="004068F6" w:rsidRDefault="007542CC" w:rsidP="00C86DA5">
      <w:pPr>
        <w:numPr>
          <w:ilvl w:val="0"/>
          <w:numId w:val="19"/>
        </w:numPr>
        <w:suppressAutoHyphens/>
        <w:ind w:left="567" w:hanging="567"/>
      </w:pPr>
      <w:r w:rsidRPr="004068F6">
        <w:rPr>
          <w:b/>
          <w:bCs/>
        </w:rPr>
        <w:t>Desastre</w:t>
      </w:r>
      <w:r w:rsidRPr="004068F6">
        <w:t>: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 reconstrucción</w:t>
      </w:r>
      <w:r w:rsidR="00C552A4" w:rsidRPr="004068F6">
        <w:t xml:space="preserve">. </w:t>
      </w:r>
      <w:r w:rsidR="00C552A4" w:rsidRPr="004068F6">
        <w:rPr>
          <w:vertAlign w:val="superscript"/>
        </w:rPr>
        <w:t>[</w:t>
      </w:r>
      <w:r w:rsidR="00C552A4" w:rsidRPr="004068F6">
        <w:rPr>
          <w:vertAlign w:val="superscript"/>
        </w:rPr>
        <w:fldChar w:fldCharType="begin"/>
      </w:r>
      <w:r w:rsidR="00C552A4" w:rsidRPr="004068F6">
        <w:rPr>
          <w:vertAlign w:val="superscript"/>
        </w:rPr>
        <w:instrText xml:space="preserve"> NOTEREF _Ref44841712 \h  \* MERGEFORMAT </w:instrText>
      </w:r>
      <w:r w:rsidR="00C552A4" w:rsidRPr="004068F6">
        <w:rPr>
          <w:vertAlign w:val="superscript"/>
        </w:rPr>
      </w:r>
      <w:r w:rsidR="00C552A4" w:rsidRPr="004068F6">
        <w:rPr>
          <w:vertAlign w:val="superscript"/>
        </w:rPr>
        <w:fldChar w:fldCharType="separate"/>
      </w:r>
      <w:r w:rsidR="009C4A81">
        <w:rPr>
          <w:vertAlign w:val="superscript"/>
        </w:rPr>
        <w:t>6</w:t>
      </w:r>
      <w:r w:rsidR="00C552A4" w:rsidRPr="004068F6">
        <w:rPr>
          <w:vertAlign w:val="superscript"/>
        </w:rPr>
        <w:fldChar w:fldCharType="end"/>
      </w:r>
      <w:r w:rsidR="00C552A4" w:rsidRPr="004068F6">
        <w:rPr>
          <w:vertAlign w:val="superscript"/>
        </w:rPr>
        <w:t>]</w:t>
      </w:r>
    </w:p>
    <w:p w14:paraId="7600D00A" w14:textId="77777777" w:rsidR="00360E83" w:rsidRPr="004068F6" w:rsidRDefault="00360E83" w:rsidP="000D6E21">
      <w:pPr>
        <w:suppressAutoHyphens/>
      </w:pPr>
    </w:p>
    <w:p w14:paraId="64A90D19" w14:textId="2D5B4CC2" w:rsidR="003A1DDA" w:rsidRPr="00127BD4" w:rsidRDefault="003A1DDA" w:rsidP="008A4FE9">
      <w:pPr>
        <w:pStyle w:val="Prrafodelista"/>
        <w:numPr>
          <w:ilvl w:val="0"/>
          <w:numId w:val="438"/>
        </w:numPr>
        <w:ind w:left="567" w:hanging="567"/>
        <w:rPr>
          <w:lang w:val="es-CO"/>
        </w:rPr>
      </w:pPr>
      <w:r w:rsidRPr="004068F6">
        <w:rPr>
          <w:b/>
          <w:bCs/>
          <w:lang w:val="es-CO"/>
        </w:rPr>
        <w:t>Dimensión ambiental en el Plan de gestión del riesgo</w:t>
      </w:r>
      <w:r w:rsidRPr="004068F6">
        <w:rPr>
          <w:lang w:val="es-CO"/>
        </w:rPr>
        <w:t xml:space="preserve">: </w:t>
      </w:r>
      <w:r w:rsidR="00807F43" w:rsidRPr="004068F6">
        <w:rPr>
          <w:lang w:val="es-CO"/>
        </w:rPr>
        <w:t>conjunto de procesos y actividades de gestión del riesgo presentados en el Estudio de Impacto Ambiental, orientados a conocer, monitorear y reducir los escenarios de riesgo de origen exógeno y endógeno sobre el ambiente. Incluye los procesos de conocimiento del riesgo, reducción del riesgo y el manejo de los desastres mediante la preparación para la respuesta y la recuperación ambiental ante la ocurrencia de eventos de contingencia que se causen por el desarrollo de un proyecto, obra o actividad</w:t>
      </w:r>
      <w:r w:rsidRPr="004068F6">
        <w:rPr>
          <w:lang w:val="es-CO"/>
        </w:rPr>
        <w:t>.</w:t>
      </w:r>
    </w:p>
    <w:p w14:paraId="11EED61D" w14:textId="7F162D6B" w:rsidR="00AA4F93" w:rsidRPr="004068F6" w:rsidRDefault="00AA4F93" w:rsidP="00064779">
      <w:pPr>
        <w:suppressAutoHyphens/>
        <w:rPr>
          <w:rFonts w:cs="Arial"/>
        </w:rPr>
      </w:pPr>
    </w:p>
    <w:p w14:paraId="76C4FE4D" w14:textId="540C0067" w:rsidR="00AA4F93" w:rsidRPr="004068F6" w:rsidRDefault="00AA4F93" w:rsidP="00456AB1">
      <w:pPr>
        <w:numPr>
          <w:ilvl w:val="0"/>
          <w:numId w:val="19"/>
        </w:numPr>
        <w:suppressAutoHyphens/>
        <w:ind w:left="567" w:hanging="567"/>
        <w:rPr>
          <w:rFonts w:cs="Arial"/>
        </w:rPr>
      </w:pPr>
      <w:r w:rsidRPr="004068F6">
        <w:rPr>
          <w:rFonts w:cs="Arial"/>
          <w:b/>
        </w:rPr>
        <w:t>Ecosistema</w:t>
      </w:r>
      <w:r w:rsidRPr="004068F6">
        <w:rPr>
          <w:rFonts w:cs="Arial"/>
        </w:rPr>
        <w:t>:</w:t>
      </w:r>
      <w:r w:rsidR="007719F0" w:rsidRPr="004068F6">
        <w:rPr>
          <w:rFonts w:cs="Arial"/>
        </w:rPr>
        <w:t xml:space="preserve"> </w:t>
      </w:r>
      <w:r w:rsidR="004340B0" w:rsidRPr="004068F6">
        <w:rPr>
          <w:rFonts w:cs="Arial"/>
        </w:rPr>
        <w:t>c</w:t>
      </w:r>
      <w:r w:rsidR="00CC639B" w:rsidRPr="004068F6">
        <w:rPr>
          <w:rFonts w:cs="Arial"/>
        </w:rPr>
        <w:t xml:space="preserve">omplejo dinámico de comunidades </w:t>
      </w:r>
      <w:r w:rsidR="00D920A5" w:rsidRPr="004068F6">
        <w:rPr>
          <w:rFonts w:cs="Arial"/>
        </w:rPr>
        <w:t>vegetales</w:t>
      </w:r>
      <w:r w:rsidR="00CC639B" w:rsidRPr="004068F6">
        <w:rPr>
          <w:rFonts w:cs="Arial"/>
        </w:rPr>
        <w:t xml:space="preserve">, animales y microorganismos y </w:t>
      </w:r>
      <w:r w:rsidR="00D920A5" w:rsidRPr="004068F6">
        <w:rPr>
          <w:rFonts w:cs="Arial"/>
        </w:rPr>
        <w:t xml:space="preserve">su medio no viviente </w:t>
      </w:r>
      <w:r w:rsidR="00CC639B" w:rsidRPr="004068F6">
        <w:rPr>
          <w:rFonts w:cs="Arial"/>
        </w:rPr>
        <w:t xml:space="preserve">que interactúan </w:t>
      </w:r>
      <w:r w:rsidR="00D920A5" w:rsidRPr="004068F6">
        <w:rPr>
          <w:rFonts w:cs="Arial"/>
        </w:rPr>
        <w:t xml:space="preserve">como </w:t>
      </w:r>
      <w:r w:rsidR="00CC639B" w:rsidRPr="004068F6">
        <w:rPr>
          <w:rFonts w:cs="Arial"/>
        </w:rPr>
        <w:t>una unidad funcional</w:t>
      </w:r>
      <w:r w:rsidR="00B7214D" w:rsidRPr="004068F6">
        <w:rPr>
          <w:rFonts w:cs="Arial"/>
        </w:rPr>
        <w:t>.</w:t>
      </w:r>
      <w:r w:rsidR="00CF2BB6" w:rsidRPr="004068F6">
        <w:rPr>
          <w:rFonts w:cs="Arial"/>
        </w:rPr>
        <w:t xml:space="preserve"> </w:t>
      </w:r>
      <w:r w:rsidR="00CF2BB6" w:rsidRPr="004068F6">
        <w:rPr>
          <w:rFonts w:cs="Arial"/>
          <w:vertAlign w:val="superscript"/>
        </w:rPr>
        <w:t>[</w:t>
      </w:r>
      <w:r w:rsidR="003A081B" w:rsidRPr="004068F6">
        <w:rPr>
          <w:rFonts w:cs="Arial"/>
          <w:vertAlign w:val="superscript"/>
        </w:rPr>
        <w:fldChar w:fldCharType="begin"/>
      </w:r>
      <w:r w:rsidR="003A081B" w:rsidRPr="004068F6">
        <w:rPr>
          <w:rFonts w:cs="Arial"/>
          <w:vertAlign w:val="superscript"/>
        </w:rPr>
        <w:instrText xml:space="preserve"> NOTEREF _Ref44842441 \h </w:instrText>
      </w:r>
      <w:r w:rsidR="006A4128" w:rsidRPr="004068F6">
        <w:rPr>
          <w:rFonts w:cs="Arial"/>
          <w:vertAlign w:val="superscript"/>
        </w:rPr>
        <w:instrText xml:space="preserve"> \* MERGEFORMAT </w:instrText>
      </w:r>
      <w:r w:rsidR="003A081B" w:rsidRPr="004068F6">
        <w:rPr>
          <w:rFonts w:cs="Arial"/>
          <w:vertAlign w:val="superscript"/>
        </w:rPr>
      </w:r>
      <w:r w:rsidR="003A081B" w:rsidRPr="004068F6">
        <w:rPr>
          <w:rFonts w:cs="Arial"/>
          <w:vertAlign w:val="superscript"/>
        </w:rPr>
        <w:fldChar w:fldCharType="separate"/>
      </w:r>
      <w:r w:rsidR="009C4A81">
        <w:rPr>
          <w:rFonts w:cs="Arial"/>
          <w:vertAlign w:val="superscript"/>
        </w:rPr>
        <w:t>12</w:t>
      </w:r>
      <w:r w:rsidR="003A081B" w:rsidRPr="004068F6">
        <w:rPr>
          <w:rFonts w:cs="Arial"/>
          <w:vertAlign w:val="superscript"/>
        </w:rPr>
        <w:fldChar w:fldCharType="end"/>
      </w:r>
      <w:r w:rsidR="00CF2BB6" w:rsidRPr="004068F6">
        <w:rPr>
          <w:rFonts w:cs="Arial"/>
          <w:vertAlign w:val="superscript"/>
        </w:rPr>
        <w:t>]</w:t>
      </w:r>
    </w:p>
    <w:p w14:paraId="17478C4A" w14:textId="77777777" w:rsidR="00DB1152" w:rsidRPr="004068F6" w:rsidRDefault="00DB1152" w:rsidP="009420F5">
      <w:pPr>
        <w:suppressAutoHyphens/>
        <w:rPr>
          <w:rFonts w:cs="Arial"/>
        </w:rPr>
      </w:pPr>
    </w:p>
    <w:p w14:paraId="3A084448" w14:textId="3C2FF173" w:rsidR="00DB1152" w:rsidRPr="004068F6" w:rsidRDefault="00DB1152" w:rsidP="00DB1152">
      <w:pPr>
        <w:numPr>
          <w:ilvl w:val="0"/>
          <w:numId w:val="19"/>
        </w:numPr>
        <w:suppressAutoHyphens/>
        <w:ind w:left="567" w:hanging="567"/>
        <w:rPr>
          <w:rFonts w:cs="Arial"/>
        </w:rPr>
      </w:pPr>
      <w:r w:rsidRPr="004068F6">
        <w:rPr>
          <w:rFonts w:cs="Arial"/>
          <w:b/>
          <w:bCs/>
        </w:rPr>
        <w:t>Ecosistemas acuáticos continentales</w:t>
      </w:r>
      <w:r w:rsidRPr="004068F6">
        <w:rPr>
          <w:rFonts w:cs="Arial"/>
        </w:rPr>
        <w:t>:</w:t>
      </w:r>
      <w:r w:rsidRPr="004068F6">
        <w:t xml:space="preserve"> </w:t>
      </w:r>
      <w:r w:rsidRPr="004068F6">
        <w:rPr>
          <w:rFonts w:cs="Arial"/>
        </w:rPr>
        <w:t xml:space="preserve">variedad de masas de agua naturales (arroyos, ríos, llanuras inundadas, lagos, pantanos, entre otras) y formadas por el hombre (embalses, arrozales, canales de irrigación, </w:t>
      </w:r>
      <w:r w:rsidR="008A6F2A" w:rsidRPr="004068F6">
        <w:rPr>
          <w:rFonts w:cs="Arial"/>
        </w:rPr>
        <w:t>entre otras</w:t>
      </w:r>
      <w:r w:rsidRPr="004068F6">
        <w:rPr>
          <w:rFonts w:cs="Arial"/>
        </w:rPr>
        <w:t>)</w:t>
      </w:r>
      <w:r w:rsidR="008A6F2A" w:rsidRPr="004068F6">
        <w:rPr>
          <w:rFonts w:cs="Arial"/>
        </w:rPr>
        <w:t xml:space="preserve">. </w:t>
      </w:r>
      <w:r w:rsidR="008A6F2A" w:rsidRPr="004068F6">
        <w:rPr>
          <w:rFonts w:cs="Arial"/>
          <w:vertAlign w:val="superscript"/>
        </w:rPr>
        <w:t>[</w:t>
      </w:r>
      <w:r w:rsidRPr="004068F6">
        <w:rPr>
          <w:rStyle w:val="Refdenotaalfinal"/>
          <w:rFonts w:cs="Arial"/>
        </w:rPr>
        <w:endnoteReference w:id="20"/>
      </w:r>
      <w:r w:rsidR="008A6F2A" w:rsidRPr="004068F6">
        <w:rPr>
          <w:rFonts w:cs="Arial"/>
          <w:vertAlign w:val="superscript"/>
        </w:rPr>
        <w:t>]</w:t>
      </w:r>
    </w:p>
    <w:p w14:paraId="6A304843" w14:textId="77777777" w:rsidR="00DB1152" w:rsidRPr="004068F6" w:rsidRDefault="00DB1152" w:rsidP="009420F5">
      <w:pPr>
        <w:rPr>
          <w:rFonts w:cs="Arial"/>
        </w:rPr>
      </w:pPr>
    </w:p>
    <w:p w14:paraId="4AA772A2" w14:textId="15D903EB" w:rsidR="000D2A64" w:rsidRPr="004068F6" w:rsidRDefault="00236F18" w:rsidP="00127BD4">
      <w:pPr>
        <w:numPr>
          <w:ilvl w:val="0"/>
          <w:numId w:val="19"/>
        </w:numPr>
        <w:suppressAutoHyphens/>
        <w:ind w:left="567" w:hanging="567"/>
        <w:rPr>
          <w:rFonts w:cs="Arial"/>
        </w:rPr>
      </w:pPr>
      <w:r w:rsidRPr="00127BD4">
        <w:rPr>
          <w:rFonts w:cs="Arial"/>
          <w:b/>
          <w:bCs/>
        </w:rPr>
        <w:t>Ecosistemas marino-costeros</w:t>
      </w:r>
      <w:r w:rsidRPr="004068F6">
        <w:rPr>
          <w:rFonts w:cs="Arial"/>
        </w:rPr>
        <w:t>: ecosistemas ubicados en la interfase entre el medio terrestre y el marino, caracterizados por una marcada influencia del mar. Comprenden ambientes como estuarios, manglares, marismas, lagunas costeras, playas arenosas, zonas rocosas intermareales, lechos de pastos marinos, arrecifes coralinos y fondos blandos o duros en la zona costera. Su extensión</w:t>
      </w:r>
      <w:r w:rsidR="003C41BA" w:rsidRPr="004068F6">
        <w:rPr>
          <w:rFonts w:cs="Arial"/>
        </w:rPr>
        <w:t xml:space="preserve"> </w:t>
      </w:r>
      <w:r w:rsidRPr="004068F6">
        <w:rPr>
          <w:rFonts w:cs="Arial"/>
        </w:rPr>
        <w:t>abarca desde la subzona terrestre costera hasta la subzona mar</w:t>
      </w:r>
      <w:r w:rsidR="0003455D" w:rsidRPr="004068F6">
        <w:rPr>
          <w:rFonts w:cs="Arial"/>
        </w:rPr>
        <w:t>in</w:t>
      </w:r>
      <w:r w:rsidRPr="004068F6">
        <w:rPr>
          <w:rFonts w:cs="Arial"/>
        </w:rPr>
        <w:t>o-costera, correspondiente al límite de la plataforma continental (aproximadamente 200 m de profundidad o 12 millas náuticas).</w:t>
      </w:r>
    </w:p>
    <w:p w14:paraId="366D34D3" w14:textId="77777777" w:rsidR="000D2A64" w:rsidRPr="004068F6" w:rsidRDefault="000D2A64">
      <w:pPr>
        <w:suppressAutoHyphens/>
        <w:rPr>
          <w:rFonts w:cs="Arial"/>
        </w:rPr>
      </w:pPr>
    </w:p>
    <w:p w14:paraId="49AF0E68" w14:textId="4FE38725" w:rsidR="00C902EB" w:rsidRPr="004068F6" w:rsidRDefault="00C902EB" w:rsidP="00127BD4">
      <w:pPr>
        <w:numPr>
          <w:ilvl w:val="0"/>
          <w:numId w:val="21"/>
        </w:numPr>
        <w:suppressAutoHyphens/>
        <w:ind w:left="567" w:hanging="567"/>
        <w:rPr>
          <w:rFonts w:cs="Arial"/>
        </w:rPr>
      </w:pPr>
      <w:r w:rsidRPr="00127BD4">
        <w:rPr>
          <w:rFonts w:cs="Arial"/>
          <w:b/>
          <w:bCs/>
        </w:rPr>
        <w:t>Ecosistemas oceánicos</w:t>
      </w:r>
      <w:r w:rsidRPr="004068F6">
        <w:rPr>
          <w:rFonts w:cs="Arial"/>
        </w:rPr>
        <w:t>: conjunto de ecosistemas marinos que comprenden las aguas pelágicas y los fondos marinos localizados generalmente a profundidades superiores a 200 metros, fuera de los límites de las Unidades Ambientales Costeras (UAC), e incluyen ambientes como el océano abierto, márgenes continentales, planicies abisales, dorsales oceánicas, fosas, montes submarinos, cañones submarinos, filtraciones de metano y respiraderos hidrotermales.</w:t>
      </w:r>
    </w:p>
    <w:p w14:paraId="3BE4CA9F" w14:textId="77777777" w:rsidR="00C902EB" w:rsidRPr="004068F6" w:rsidRDefault="00C902EB">
      <w:pPr>
        <w:suppressAutoHyphens/>
        <w:rPr>
          <w:rFonts w:cs="Arial"/>
        </w:rPr>
      </w:pPr>
    </w:p>
    <w:p w14:paraId="2BCF20B8" w14:textId="1D83F2B2" w:rsidR="000107FE" w:rsidRPr="004068F6" w:rsidRDefault="000107FE" w:rsidP="000107FE">
      <w:pPr>
        <w:numPr>
          <w:ilvl w:val="0"/>
          <w:numId w:val="19"/>
        </w:numPr>
        <w:suppressAutoHyphens/>
        <w:ind w:left="567" w:hanging="567"/>
        <w:rPr>
          <w:b/>
        </w:rPr>
      </w:pPr>
      <w:r w:rsidRPr="004068F6">
        <w:rPr>
          <w:b/>
        </w:rPr>
        <w:t>Elemento Ambiental Valorado (EAV)</w:t>
      </w:r>
      <w:r w:rsidRPr="004068F6">
        <w:rPr>
          <w:bCs/>
        </w:rPr>
        <w:t xml:space="preserve">: elemento del ambiente que el público o las autoridades ambientales valoran o sobre el cual tienen preocupación, ya sea por razones ecológicas, socioeconómicas, culturales o estéticas. </w:t>
      </w:r>
      <w:r w:rsidR="00E54AE8" w:rsidRPr="004068F6">
        <w:rPr>
          <w:bCs/>
        </w:rPr>
        <w:t>Todo E</w:t>
      </w:r>
      <w:r w:rsidRPr="004068F6">
        <w:rPr>
          <w:bCs/>
        </w:rPr>
        <w:t xml:space="preserve">lemento </w:t>
      </w:r>
      <w:r w:rsidR="00E54AE8" w:rsidRPr="004068F6">
        <w:rPr>
          <w:bCs/>
        </w:rPr>
        <w:t xml:space="preserve">Ambiental Valorado </w:t>
      </w:r>
      <w:r w:rsidRPr="004068F6">
        <w:rPr>
          <w:bCs/>
        </w:rPr>
        <w:t xml:space="preserve">hace parte de los medios abiótico, biótico y socioeconómico, así como de los servicios ecosistémicos y el paisaje; </w:t>
      </w:r>
      <w:r w:rsidR="00E54AE8" w:rsidRPr="004068F6">
        <w:rPr>
          <w:bCs/>
        </w:rPr>
        <w:t>el Elemento Ambiental Valorado es</w:t>
      </w:r>
      <w:r w:rsidRPr="004068F6">
        <w:rPr>
          <w:bCs/>
        </w:rPr>
        <w:t xml:space="preserve"> conocido</w:t>
      </w:r>
      <w:r w:rsidR="00E54AE8" w:rsidRPr="004068F6">
        <w:rPr>
          <w:bCs/>
        </w:rPr>
        <w:t xml:space="preserve"> internacionalmente</w:t>
      </w:r>
      <w:r w:rsidRPr="004068F6">
        <w:rPr>
          <w:bCs/>
        </w:rPr>
        <w:t xml:space="preserve"> como VEC o </w:t>
      </w:r>
      <w:r w:rsidRPr="004068F6">
        <w:rPr>
          <w:bCs/>
        </w:rPr>
        <w:lastRenderedPageBreak/>
        <w:t xml:space="preserve">VC por sus siglas en inglés </w:t>
      </w:r>
      <w:r w:rsidRPr="00567696">
        <w:rPr>
          <w:bCs/>
        </w:rPr>
        <w:t>(</w:t>
      </w:r>
      <w:r w:rsidRPr="00C75D45">
        <w:rPr>
          <w:bCs/>
        </w:rPr>
        <w:t>Valued Ecosystem Component o Valued Component</w:t>
      </w:r>
      <w:r w:rsidRPr="004068F6">
        <w:rPr>
          <w:bCs/>
        </w:rPr>
        <w:t xml:space="preserve">). </w:t>
      </w:r>
      <w:r w:rsidRPr="004068F6">
        <w:rPr>
          <w:rFonts w:cs="Arial"/>
          <w:bCs/>
          <w:vertAlign w:val="superscript"/>
        </w:rPr>
        <w:t>[</w:t>
      </w:r>
      <w:r w:rsidRPr="004068F6">
        <w:rPr>
          <w:rStyle w:val="Refdenotaalfinal"/>
          <w:rFonts w:cs="Arial"/>
          <w:bCs/>
        </w:rPr>
        <w:endnoteReference w:id="21"/>
      </w:r>
      <w:r w:rsidRPr="004068F6">
        <w:rPr>
          <w:rFonts w:cs="Arial"/>
          <w:bCs/>
          <w:vertAlign w:val="superscript"/>
        </w:rPr>
        <w:t>]</w:t>
      </w:r>
    </w:p>
    <w:p w14:paraId="43F419A8" w14:textId="77777777" w:rsidR="000107FE" w:rsidRPr="004068F6" w:rsidRDefault="000107FE">
      <w:pPr>
        <w:suppressAutoHyphens/>
        <w:rPr>
          <w:rFonts w:cs="Arial"/>
        </w:rPr>
      </w:pPr>
    </w:p>
    <w:p w14:paraId="4B597A07" w14:textId="077504AB" w:rsidR="008F1CCC" w:rsidRPr="004068F6" w:rsidRDefault="008F1CCC" w:rsidP="000D6E21">
      <w:pPr>
        <w:numPr>
          <w:ilvl w:val="0"/>
          <w:numId w:val="19"/>
        </w:numPr>
        <w:suppressAutoHyphens/>
        <w:ind w:left="567" w:hanging="567"/>
        <w:rPr>
          <w:rFonts w:cs="Arial"/>
        </w:rPr>
      </w:pPr>
      <w:r w:rsidRPr="004068F6">
        <w:rPr>
          <w:rFonts w:cs="Arial"/>
          <w:b/>
          <w:bCs/>
        </w:rPr>
        <w:t>Escenario climático</w:t>
      </w:r>
      <w:r w:rsidRPr="004068F6">
        <w:rPr>
          <w:rFonts w:cs="Arial"/>
        </w:rPr>
        <w:t xml:space="preserve">: representación plausible y a menudo simplificada del clima futuro, basada en un conjunto internamente coherente de relaciones climatológicas, que se construye para ser utilizada de forma explícita en la investigación de las consecuencias potenciales del </w:t>
      </w:r>
      <w:r w:rsidR="00F90B01" w:rsidRPr="004068F6">
        <w:rPr>
          <w:rFonts w:cs="Arial"/>
        </w:rPr>
        <w:t xml:space="preserve">cambio climático </w:t>
      </w:r>
      <w:r w:rsidRPr="004068F6">
        <w:rPr>
          <w:rFonts w:cs="Arial"/>
        </w:rPr>
        <w:t>antropogénico, y que sirve a menudo de insumo para las simulaciones de los impactos. Las proyecciones climáticas sirven a menudo como materia prima para la construcción de escenarios climáticos, pero los escenarios climáticos requieren información adicional, por ejemplo, acerca del clima observado en un momento determinado. Un “escenario de cambio climático” es la diferencia entre un escenario climático y el clima actual.</w:t>
      </w:r>
      <w:r w:rsidR="00472950" w:rsidRPr="004068F6">
        <w:rPr>
          <w:rFonts w:cs="Arial"/>
        </w:rPr>
        <w:t xml:space="preserve"> </w:t>
      </w:r>
      <w:r w:rsidR="00472950" w:rsidRPr="004068F6">
        <w:rPr>
          <w:rFonts w:cs="Arial"/>
          <w:vertAlign w:val="superscript"/>
        </w:rPr>
        <w:t>[</w:t>
      </w:r>
      <w:r w:rsidR="00472950" w:rsidRPr="004068F6">
        <w:rPr>
          <w:rStyle w:val="Refdenotaalfinal"/>
          <w:rFonts w:cs="Arial"/>
        </w:rPr>
        <w:endnoteReference w:id="22"/>
      </w:r>
      <w:r w:rsidR="00472950" w:rsidRPr="004068F6">
        <w:rPr>
          <w:rFonts w:cs="Arial"/>
          <w:vertAlign w:val="superscript"/>
        </w:rPr>
        <w:t>]</w:t>
      </w:r>
    </w:p>
    <w:p w14:paraId="798FCAFC" w14:textId="77777777" w:rsidR="008F1CCC" w:rsidRPr="004068F6" w:rsidRDefault="008F1CCC" w:rsidP="000D6E21">
      <w:pPr>
        <w:suppressAutoHyphens/>
        <w:rPr>
          <w:rFonts w:cs="Arial"/>
        </w:rPr>
      </w:pPr>
    </w:p>
    <w:p w14:paraId="2C76D7B7" w14:textId="2E87F13D" w:rsidR="005610FB" w:rsidRPr="004068F6" w:rsidRDefault="005610FB" w:rsidP="00DB1152">
      <w:pPr>
        <w:numPr>
          <w:ilvl w:val="0"/>
          <w:numId w:val="19"/>
        </w:numPr>
        <w:suppressAutoHyphens/>
        <w:ind w:left="567" w:hanging="567"/>
        <w:rPr>
          <w:rFonts w:cs="Arial"/>
        </w:rPr>
      </w:pPr>
      <w:r w:rsidRPr="004068F6">
        <w:rPr>
          <w:rFonts w:cs="Arial"/>
          <w:b/>
          <w:bCs/>
        </w:rPr>
        <w:t>Escenario de riesgo de desastres</w:t>
      </w:r>
      <w:r w:rsidRPr="004068F6">
        <w:rPr>
          <w:rFonts w:cs="Arial"/>
        </w:rPr>
        <w:t xml:space="preserve">: </w:t>
      </w:r>
      <w:r w:rsidR="0020448A" w:rsidRPr="004068F6">
        <w:rPr>
          <w:rFonts w:cs="Arial"/>
        </w:rPr>
        <w:t>identificación de los daños o pérdidas potenciales que pueden presentarse debido a eventos físicos peligrosos de origen natural, socio-natural, tecnológico, biosanitario o humano no intencional, asociados a proyectos obras o actividades, los cuales son determinados por la vulnerabilidad de los elementos expuestos, son el resultado de la manifestación de uno o varios eventos que, al encontrar condiciones de vulnerabilidad en personas, bienes, infraestructura o recursos ambientales, generan alteraciones graves intensas y extendidas en el territorio. Facilita la comprensión y priorización de los riesgos, así como la formulación y ejecución de acciones de intervención</w:t>
      </w:r>
      <w:r w:rsidRPr="004068F6">
        <w:rPr>
          <w:rFonts w:cs="Arial"/>
        </w:rPr>
        <w:t>.</w:t>
      </w:r>
    </w:p>
    <w:p w14:paraId="5EB4F181" w14:textId="77777777" w:rsidR="00CC639B" w:rsidRPr="004068F6" w:rsidRDefault="00CC639B" w:rsidP="0088212E">
      <w:pPr>
        <w:suppressAutoHyphens/>
        <w:rPr>
          <w:rFonts w:cs="Arial"/>
        </w:rPr>
      </w:pPr>
    </w:p>
    <w:p w14:paraId="0EF7C79A" w14:textId="7BC178E4" w:rsidR="00AA4F93" w:rsidRPr="004068F6" w:rsidRDefault="00AA4F93" w:rsidP="00456AB1">
      <w:pPr>
        <w:numPr>
          <w:ilvl w:val="0"/>
          <w:numId w:val="19"/>
        </w:numPr>
        <w:suppressAutoHyphens/>
        <w:ind w:left="567" w:hanging="567"/>
        <w:rPr>
          <w:rFonts w:cs="Arial"/>
        </w:rPr>
      </w:pPr>
      <w:r w:rsidRPr="004068F6">
        <w:rPr>
          <w:rFonts w:cs="Arial"/>
          <w:b/>
        </w:rPr>
        <w:t>Espacio privado</w:t>
      </w:r>
      <w:r w:rsidRPr="004068F6">
        <w:rPr>
          <w:rFonts w:cs="Arial"/>
        </w:rPr>
        <w:t>:</w:t>
      </w:r>
      <w:r w:rsidR="0088212E" w:rsidRPr="004068F6">
        <w:rPr>
          <w:rFonts w:cs="Arial"/>
        </w:rPr>
        <w:t xml:space="preserve"> </w:t>
      </w:r>
      <w:r w:rsidR="00D53616" w:rsidRPr="004068F6">
        <w:rPr>
          <w:rFonts w:cs="Arial"/>
        </w:rPr>
        <w:t xml:space="preserve">espacio </w:t>
      </w:r>
      <w:r w:rsidRPr="004068F6">
        <w:rPr>
          <w:rFonts w:cs="Arial"/>
        </w:rPr>
        <w:t xml:space="preserve">sobre el cual ejerce dominio, mediante su propiedad, un grupo o persona determinada, </w:t>
      </w:r>
      <w:r w:rsidR="00D53616" w:rsidRPr="004068F6">
        <w:rPr>
          <w:rFonts w:cs="Arial"/>
        </w:rPr>
        <w:t xml:space="preserve">así </w:t>
      </w:r>
      <w:r w:rsidRPr="004068F6">
        <w:rPr>
          <w:rFonts w:cs="Arial"/>
        </w:rPr>
        <w:t xml:space="preserve">como </w:t>
      </w:r>
      <w:r w:rsidR="00D53616" w:rsidRPr="004068F6">
        <w:rPr>
          <w:rFonts w:cs="Arial"/>
        </w:rPr>
        <w:t xml:space="preserve">la </w:t>
      </w:r>
      <w:r w:rsidRPr="004068F6">
        <w:rPr>
          <w:rFonts w:cs="Arial"/>
        </w:rPr>
        <w:t>espacialidad que tiene características diferentes y que está compuesta en primer lugar del espacio individual, que proporciona la intimidad y cuyo acceso es prohibido (negativo), limitado, como la vivienda como su más estrecha acepción: el techo. Bajo esta nominación se incluyen además todas aquellas espacialidades que tienen un acceso limitado por la propiedad de este como son los lugares de trabajo, oficinas, fábricas y en general todos aquellos espacios sobre los cuales existe un estricto control por parte del interés particular</w:t>
      </w:r>
      <w:r w:rsidR="00761FEE" w:rsidRPr="004068F6">
        <w:rPr>
          <w:rFonts w:cs="Arial"/>
        </w:rPr>
        <w:t>.</w:t>
      </w:r>
      <w:r w:rsidR="00CF2BB6" w:rsidRPr="004068F6">
        <w:rPr>
          <w:rFonts w:cs="Arial"/>
        </w:rPr>
        <w:t xml:space="preserve"> </w:t>
      </w:r>
      <w:r w:rsidR="00CF2BB6" w:rsidRPr="004068F6">
        <w:rPr>
          <w:rFonts w:cs="Arial"/>
          <w:vertAlign w:val="superscript"/>
        </w:rPr>
        <w:t>[</w:t>
      </w:r>
      <w:r w:rsidR="003C49CC" w:rsidRPr="004068F6">
        <w:rPr>
          <w:rStyle w:val="Refdenotaalfinal"/>
          <w:rFonts w:cs="Arial"/>
        </w:rPr>
        <w:endnoteReference w:id="23"/>
      </w:r>
      <w:r w:rsidR="00CF2BB6" w:rsidRPr="004068F6">
        <w:rPr>
          <w:rFonts w:cs="Arial"/>
          <w:vertAlign w:val="superscript"/>
        </w:rPr>
        <w:t>]</w:t>
      </w:r>
    </w:p>
    <w:p w14:paraId="29C1A26A" w14:textId="77777777" w:rsidR="00DF76CD" w:rsidRPr="004068F6" w:rsidRDefault="00DF76CD" w:rsidP="00D53616">
      <w:pPr>
        <w:rPr>
          <w:rFonts w:cs="Arial"/>
        </w:rPr>
      </w:pPr>
    </w:p>
    <w:p w14:paraId="52B11F02" w14:textId="29390086" w:rsidR="00AA4F93" w:rsidRPr="004068F6" w:rsidRDefault="00AA4F93" w:rsidP="000D1F96">
      <w:pPr>
        <w:numPr>
          <w:ilvl w:val="0"/>
          <w:numId w:val="19"/>
        </w:numPr>
        <w:tabs>
          <w:tab w:val="left" w:pos="1418"/>
        </w:tabs>
        <w:suppressAutoHyphens/>
        <w:ind w:left="567" w:hanging="567"/>
        <w:rPr>
          <w:rFonts w:cs="Arial"/>
        </w:rPr>
      </w:pPr>
      <w:r w:rsidRPr="004068F6">
        <w:rPr>
          <w:rFonts w:cs="Arial"/>
          <w:b/>
        </w:rPr>
        <w:t>Espacio público</w:t>
      </w:r>
      <w:r w:rsidRPr="004068F6">
        <w:rPr>
          <w:rFonts w:cs="Arial"/>
        </w:rPr>
        <w:t>:</w:t>
      </w:r>
      <w:r w:rsidR="0088212E" w:rsidRPr="004068F6">
        <w:rPr>
          <w:rFonts w:cs="Arial"/>
        </w:rPr>
        <w:t xml:space="preserve"> </w:t>
      </w:r>
      <w:r w:rsidR="000D1F96" w:rsidRPr="004068F6">
        <w:rPr>
          <w:rFonts w:cs="Arial"/>
        </w:rPr>
        <w:t>conjunto de inmuebles públicos y los elementos arquitectónicos y naturales de los inmuebles privados destinados por naturaleza, usos o afectación a la satisfacción de necesidades urbanas colectivas que transcienden los límites de los intereses individuales de los habitantes</w:t>
      </w:r>
      <w:r w:rsidR="00761FEE" w:rsidRPr="004068F6">
        <w:rPr>
          <w:rFonts w:cs="Arial"/>
        </w:rPr>
        <w:t>.</w:t>
      </w:r>
      <w:r w:rsidR="00CF2BB6" w:rsidRPr="004068F6">
        <w:rPr>
          <w:rFonts w:cs="Arial"/>
        </w:rPr>
        <w:t xml:space="preserve"> </w:t>
      </w:r>
      <w:r w:rsidR="00CF2BB6" w:rsidRPr="004068F6">
        <w:rPr>
          <w:rFonts w:cs="Arial"/>
          <w:vertAlign w:val="superscript"/>
        </w:rPr>
        <w:t>[</w:t>
      </w:r>
      <w:r w:rsidR="00CB0A39" w:rsidRPr="004068F6">
        <w:rPr>
          <w:rStyle w:val="Refdenotaalfinal"/>
          <w:rFonts w:cs="Arial"/>
        </w:rPr>
        <w:endnoteReference w:id="24"/>
      </w:r>
      <w:r w:rsidR="00CF2BB6" w:rsidRPr="004068F6">
        <w:rPr>
          <w:rFonts w:cs="Arial"/>
          <w:vertAlign w:val="superscript"/>
        </w:rPr>
        <w:t>]</w:t>
      </w:r>
    </w:p>
    <w:p w14:paraId="00ED93B1" w14:textId="00F3997C" w:rsidR="00AA4F93" w:rsidRPr="004068F6" w:rsidRDefault="00AA4F93" w:rsidP="00121B89">
      <w:pPr>
        <w:numPr>
          <w:ilvl w:val="12"/>
          <w:numId w:val="0"/>
        </w:numPr>
        <w:tabs>
          <w:tab w:val="left" w:pos="-2268"/>
        </w:tabs>
        <w:suppressAutoHyphens/>
        <w:rPr>
          <w:rFonts w:cs="Arial"/>
        </w:rPr>
      </w:pPr>
    </w:p>
    <w:p w14:paraId="1F9FEC35" w14:textId="3AF2BF26" w:rsidR="006E4BE8" w:rsidRPr="004068F6" w:rsidRDefault="006E4BE8" w:rsidP="006E4BE8">
      <w:pPr>
        <w:numPr>
          <w:ilvl w:val="0"/>
          <w:numId w:val="19"/>
        </w:numPr>
        <w:tabs>
          <w:tab w:val="left" w:pos="1418"/>
        </w:tabs>
        <w:suppressAutoHyphens/>
        <w:ind w:left="567" w:hanging="567"/>
        <w:rPr>
          <w:rFonts w:cs="Arial"/>
        </w:rPr>
      </w:pPr>
      <w:r w:rsidRPr="004068F6">
        <w:rPr>
          <w:rFonts w:cs="Arial"/>
          <w:b/>
          <w:bCs/>
        </w:rPr>
        <w:t>Estructuras de gobierno propio</w:t>
      </w:r>
      <w:r w:rsidRPr="00127BD4">
        <w:rPr>
          <w:rFonts w:cs="Arial"/>
        </w:rPr>
        <w:t>:</w:t>
      </w:r>
      <w:r w:rsidRPr="004068F6">
        <w:rPr>
          <w:rFonts w:cs="Arial"/>
        </w:rPr>
        <w:t xml:space="preserve"> </w:t>
      </w:r>
      <w:r w:rsidR="00B344C1" w:rsidRPr="004068F6">
        <w:rPr>
          <w:rFonts w:cs="Arial"/>
        </w:rPr>
        <w:t>e</w:t>
      </w:r>
      <w:r w:rsidRPr="004068F6">
        <w:rPr>
          <w:rFonts w:cs="Arial"/>
        </w:rPr>
        <w:t xml:space="preserve">jercicio de poder político de las comunidades étnicas, de acuerdo con sus usos, costumbres y normas tradicionales, que les faculta para autogobernarse, administrar sus territorios, ejercer sus facultades jurisdiccionales de conformidad con la pluridiversidad reconocida en la Constitución y la </w:t>
      </w:r>
      <w:r w:rsidRPr="004068F6">
        <w:rPr>
          <w:rFonts w:cs="Arial"/>
          <w:smallCaps/>
        </w:rPr>
        <w:t>L</w:t>
      </w:r>
      <w:r w:rsidRPr="004068F6">
        <w:rPr>
          <w:rFonts w:cs="Arial"/>
        </w:rPr>
        <w:t>ey.</w:t>
      </w:r>
    </w:p>
    <w:p w14:paraId="66FF111B" w14:textId="77777777" w:rsidR="006E4BE8" w:rsidRPr="004068F6" w:rsidRDefault="006E4BE8" w:rsidP="00121B89">
      <w:pPr>
        <w:numPr>
          <w:ilvl w:val="12"/>
          <w:numId w:val="0"/>
        </w:numPr>
        <w:tabs>
          <w:tab w:val="left" w:pos="-2268"/>
        </w:tabs>
        <w:suppressAutoHyphens/>
        <w:rPr>
          <w:rFonts w:cs="Arial"/>
        </w:rPr>
      </w:pPr>
    </w:p>
    <w:p w14:paraId="3AE56230" w14:textId="060792B2" w:rsidR="00AA4F93" w:rsidRPr="004068F6" w:rsidRDefault="00AA4F93" w:rsidP="00C86DA5">
      <w:pPr>
        <w:numPr>
          <w:ilvl w:val="0"/>
          <w:numId w:val="19"/>
        </w:numPr>
        <w:suppressAutoHyphens/>
        <w:ind w:left="567" w:hanging="567"/>
      </w:pPr>
      <w:r w:rsidRPr="004068F6">
        <w:rPr>
          <w:b/>
        </w:rPr>
        <w:t>Estructura del ecosistema</w:t>
      </w:r>
      <w:r w:rsidRPr="004068F6">
        <w:t xml:space="preserve">: </w:t>
      </w:r>
      <w:r w:rsidR="0088212E" w:rsidRPr="004068F6">
        <w:rPr>
          <w:rFonts w:cs="Arial"/>
        </w:rPr>
        <w:t>i</w:t>
      </w:r>
      <w:r w:rsidRPr="004068F6">
        <w:rPr>
          <w:rFonts w:cs="Arial"/>
        </w:rPr>
        <w:t>ntegración</w:t>
      </w:r>
      <w:r w:rsidRPr="004068F6">
        <w:t xml:space="preserve"> del hábitat y la biocenosis. El hábitat se define como un área con condiciones físicas uniformes que permiten que se desarrollen las comunidades biológicas. La biocenosis es la coexistencia de las comunidades biológicas en una misma áre</w:t>
      </w:r>
      <w:r w:rsidR="00B7214D" w:rsidRPr="004068F6">
        <w:t>a.</w:t>
      </w:r>
      <w:r w:rsidRPr="004068F6">
        <w:rPr>
          <w:vertAlign w:val="superscript"/>
        </w:rPr>
        <w:t xml:space="preserve"> </w:t>
      </w:r>
      <w:r w:rsidRPr="004068F6">
        <w:rPr>
          <w:rFonts w:cs="Arial"/>
        </w:rPr>
        <w:t>Por</w:t>
      </w:r>
      <w:r w:rsidRPr="004068F6">
        <w:rPr>
          <w:rFonts w:cs="Arial"/>
          <w:vertAlign w:val="superscript"/>
        </w:rPr>
        <w:t xml:space="preserve"> </w:t>
      </w:r>
      <w:r w:rsidRPr="004068F6">
        <w:rPr>
          <w:rFonts w:cs="Arial"/>
        </w:rPr>
        <w:t xml:space="preserve">tanto, la estructura del ecosistema se compone por la estructura física (tamaño y distribución de las unidades y sus características físicas) y </w:t>
      </w:r>
      <w:r w:rsidR="00D53616" w:rsidRPr="004068F6">
        <w:rPr>
          <w:rFonts w:cs="Arial"/>
        </w:rPr>
        <w:t xml:space="preserve">la </w:t>
      </w:r>
      <w:r w:rsidRPr="004068F6">
        <w:rPr>
          <w:rFonts w:cs="Arial"/>
        </w:rPr>
        <w:t>estructura trófica (niveles de alimentación en las comunidades)</w:t>
      </w:r>
      <w:r w:rsidR="00B7214D" w:rsidRPr="004068F6">
        <w:rPr>
          <w:rFonts w:cs="Arial"/>
        </w:rPr>
        <w:t>.</w:t>
      </w:r>
      <w:r w:rsidR="001877BD" w:rsidRPr="004068F6">
        <w:rPr>
          <w:rFonts w:cs="Arial"/>
          <w:vertAlign w:val="superscript"/>
        </w:rPr>
        <w:t xml:space="preserve"> </w:t>
      </w:r>
      <w:r w:rsidR="00CF2BB6" w:rsidRPr="004068F6">
        <w:rPr>
          <w:rFonts w:cs="Arial"/>
          <w:vertAlign w:val="superscript"/>
        </w:rPr>
        <w:t>[</w:t>
      </w:r>
      <w:r w:rsidR="001877BD" w:rsidRPr="004068F6">
        <w:rPr>
          <w:rFonts w:cs="Arial"/>
          <w:vertAlign w:val="superscript"/>
        </w:rPr>
        <w:endnoteReference w:id="25"/>
      </w:r>
      <w:r w:rsidR="00CF2BB6" w:rsidRPr="004068F6">
        <w:rPr>
          <w:rFonts w:cs="Arial"/>
          <w:vertAlign w:val="superscript"/>
        </w:rPr>
        <w:t>]</w:t>
      </w:r>
    </w:p>
    <w:p w14:paraId="3B5B5D36" w14:textId="77777777" w:rsidR="00AA4F93" w:rsidRPr="004068F6" w:rsidRDefault="00AA4F93" w:rsidP="00C86DA5">
      <w:pPr>
        <w:suppressAutoHyphens/>
      </w:pPr>
    </w:p>
    <w:p w14:paraId="3B13C579" w14:textId="001DE079" w:rsidR="00AA4F93" w:rsidRPr="004068F6" w:rsidRDefault="00AA4F93" w:rsidP="00456AB1">
      <w:pPr>
        <w:numPr>
          <w:ilvl w:val="0"/>
          <w:numId w:val="19"/>
        </w:numPr>
        <w:suppressAutoHyphens/>
        <w:ind w:left="567" w:hanging="567"/>
        <w:rPr>
          <w:rFonts w:cs="Arial"/>
        </w:rPr>
      </w:pPr>
      <w:r w:rsidRPr="004068F6">
        <w:rPr>
          <w:rFonts w:cs="Arial"/>
          <w:b/>
          <w:bCs/>
        </w:rPr>
        <w:t>Exposición (elementos expuestos)</w:t>
      </w:r>
      <w:r w:rsidRPr="004068F6">
        <w:rPr>
          <w:rFonts w:cs="Arial"/>
          <w:bCs/>
        </w:rPr>
        <w:t>:</w:t>
      </w:r>
      <w:r w:rsidR="0088212E" w:rsidRPr="004068F6">
        <w:rPr>
          <w:rFonts w:cs="Arial"/>
        </w:rPr>
        <w:t xml:space="preserve"> </w:t>
      </w:r>
      <w:r w:rsidRPr="004068F6">
        <w:rPr>
          <w:rFonts w:cs="Arial"/>
        </w:rPr>
        <w:t>presencia de personas, medios de subsistencia, servicios</w:t>
      </w:r>
      <w:r w:rsidR="001D6479" w:rsidRPr="004068F6">
        <w:rPr>
          <w:rFonts w:cs="Arial"/>
        </w:rPr>
        <w:t xml:space="preserve"> </w:t>
      </w:r>
      <w:r w:rsidR="005871B3" w:rsidRPr="004068F6">
        <w:rPr>
          <w:rFonts w:cs="Arial"/>
        </w:rPr>
        <w:t xml:space="preserve">ambientales </w:t>
      </w:r>
      <w:r w:rsidRPr="004068F6">
        <w:rPr>
          <w:rFonts w:cs="Arial"/>
        </w:rPr>
        <w:t>y recursos económicos y sociales, bienes culturales e infraestructura que por su localización pueden ser afectados por la manifestación de una amenaza</w:t>
      </w:r>
      <w:r w:rsidR="006A5D01" w:rsidRPr="004068F6">
        <w:rPr>
          <w:rFonts w:cs="Arial"/>
        </w:rPr>
        <w:t>.</w:t>
      </w:r>
      <w:r w:rsidR="00CF2BB6" w:rsidRPr="004068F6">
        <w:rPr>
          <w:rFonts w:cs="Arial"/>
        </w:rPr>
        <w:t xml:space="preserve"> </w:t>
      </w:r>
      <w:r w:rsidR="00CF2BB6" w:rsidRPr="004068F6">
        <w:rPr>
          <w:rFonts w:cs="Arial"/>
          <w:vertAlign w:val="superscript"/>
        </w:rPr>
        <w:t>[</w:t>
      </w:r>
      <w:r w:rsidR="002F33BC" w:rsidRPr="004068F6">
        <w:rPr>
          <w:rFonts w:cs="Arial"/>
          <w:vertAlign w:val="superscript"/>
        </w:rPr>
        <w:fldChar w:fldCharType="begin"/>
      </w:r>
      <w:r w:rsidR="002F33BC" w:rsidRPr="004068F6">
        <w:rPr>
          <w:rFonts w:cs="Arial"/>
          <w:vertAlign w:val="superscript"/>
        </w:rPr>
        <w:instrText xml:space="preserve"> NOTEREF _Ref44841712 \h </w:instrText>
      </w:r>
      <w:r w:rsidR="006A4128" w:rsidRPr="004068F6">
        <w:rPr>
          <w:rFonts w:cs="Arial"/>
          <w:vertAlign w:val="superscript"/>
        </w:rPr>
        <w:instrText xml:space="preserve"> \* MERGEFORMAT </w:instrText>
      </w:r>
      <w:r w:rsidR="002F33BC" w:rsidRPr="004068F6">
        <w:rPr>
          <w:rFonts w:cs="Arial"/>
          <w:vertAlign w:val="superscript"/>
        </w:rPr>
      </w:r>
      <w:r w:rsidR="002F33BC" w:rsidRPr="004068F6">
        <w:rPr>
          <w:rFonts w:cs="Arial"/>
          <w:vertAlign w:val="superscript"/>
        </w:rPr>
        <w:fldChar w:fldCharType="separate"/>
      </w:r>
      <w:r w:rsidR="009C4A81">
        <w:rPr>
          <w:rFonts w:cs="Arial"/>
          <w:vertAlign w:val="superscript"/>
        </w:rPr>
        <w:t>6</w:t>
      </w:r>
      <w:r w:rsidR="002F33BC" w:rsidRPr="004068F6">
        <w:rPr>
          <w:rFonts w:cs="Arial"/>
          <w:vertAlign w:val="superscript"/>
        </w:rPr>
        <w:fldChar w:fldCharType="end"/>
      </w:r>
      <w:r w:rsidR="00CF2BB6" w:rsidRPr="004068F6">
        <w:rPr>
          <w:rFonts w:cs="Arial"/>
          <w:vertAlign w:val="superscript"/>
        </w:rPr>
        <w:t>]</w:t>
      </w:r>
    </w:p>
    <w:p w14:paraId="6F5ECE50" w14:textId="77777777" w:rsidR="005871B3" w:rsidRPr="004068F6" w:rsidRDefault="005871B3" w:rsidP="00D53616">
      <w:pPr>
        <w:rPr>
          <w:rFonts w:cs="Arial"/>
        </w:rPr>
      </w:pPr>
    </w:p>
    <w:p w14:paraId="1AF051F6" w14:textId="72B8D6F0" w:rsidR="00AA4F93" w:rsidRPr="004068F6" w:rsidRDefault="00AA4F93" w:rsidP="00C86DA5">
      <w:pPr>
        <w:numPr>
          <w:ilvl w:val="0"/>
          <w:numId w:val="19"/>
        </w:numPr>
        <w:suppressAutoHyphens/>
        <w:ind w:left="567" w:hanging="567"/>
      </w:pPr>
      <w:r w:rsidRPr="004068F6">
        <w:rPr>
          <w:b/>
        </w:rPr>
        <w:t>Factor ambiental</w:t>
      </w:r>
      <w:r w:rsidRPr="004068F6">
        <w:t xml:space="preserve">: </w:t>
      </w:r>
      <w:r w:rsidR="00FF5C82" w:rsidRPr="004068F6">
        <w:t>atributo</w:t>
      </w:r>
      <w:r w:rsidRPr="004068F6">
        <w:t xml:space="preserve"> de un componente ambiental que puede ser descrito mediante parámetros</w:t>
      </w:r>
      <w:r w:rsidRPr="004068F6">
        <w:rPr>
          <w:rFonts w:cs="Arial"/>
        </w:rPr>
        <w:t xml:space="preserve"> ambientales</w:t>
      </w:r>
      <w:r w:rsidRPr="004068F6">
        <w:t>.</w:t>
      </w:r>
    </w:p>
    <w:p w14:paraId="10850FD4" w14:textId="77777777" w:rsidR="00AA4F93" w:rsidRPr="004068F6" w:rsidRDefault="00AA4F93" w:rsidP="00D53616">
      <w:pPr>
        <w:suppressAutoHyphens/>
        <w:rPr>
          <w:rFonts w:cs="Arial"/>
        </w:rPr>
      </w:pPr>
    </w:p>
    <w:p w14:paraId="5BBCFA1A" w14:textId="39C93783" w:rsidR="00AA4F93" w:rsidRPr="004068F6" w:rsidRDefault="00AA4F93" w:rsidP="00456AB1">
      <w:pPr>
        <w:numPr>
          <w:ilvl w:val="0"/>
          <w:numId w:val="19"/>
        </w:numPr>
        <w:suppressAutoHyphens/>
        <w:ind w:left="567" w:hanging="567"/>
        <w:rPr>
          <w:rFonts w:cs="Arial"/>
        </w:rPr>
      </w:pPr>
      <w:r w:rsidRPr="004068F6">
        <w:rPr>
          <w:rFonts w:cs="Arial"/>
          <w:b/>
        </w:rPr>
        <w:t>Fragmentación de hábitat</w:t>
      </w:r>
      <w:r w:rsidRPr="004068F6">
        <w:rPr>
          <w:rFonts w:cs="Arial"/>
        </w:rPr>
        <w:t xml:space="preserve">: </w:t>
      </w:r>
      <w:r w:rsidR="0088212E" w:rsidRPr="004068F6">
        <w:rPr>
          <w:rFonts w:cs="Arial"/>
        </w:rPr>
        <w:t>d</w:t>
      </w:r>
      <w:r w:rsidRPr="004068F6">
        <w:rPr>
          <w:rFonts w:cs="Arial"/>
        </w:rPr>
        <w:t>isminución progresiva de las condiciones necesarias para el desarrollo de procesos ecológicos y que se asocia con la disminución de la continuidad espacial de ecosistemas naturales presentes en un área. Incluye las fases de perforación, fragmentación y reducción de hábitats y ecosistemas</w:t>
      </w:r>
      <w:r w:rsidR="00B7214D" w:rsidRPr="004068F6">
        <w:rPr>
          <w:rFonts w:cs="Arial"/>
        </w:rPr>
        <w:t>.</w:t>
      </w:r>
      <w:r w:rsidR="00CF2BB6" w:rsidRPr="004068F6">
        <w:rPr>
          <w:rFonts w:cs="Arial"/>
        </w:rPr>
        <w:t xml:space="preserve"> </w:t>
      </w:r>
      <w:r w:rsidR="00CF2BB6" w:rsidRPr="004068F6">
        <w:rPr>
          <w:rFonts w:cs="Arial"/>
          <w:vertAlign w:val="superscript"/>
        </w:rPr>
        <w:t>[</w:t>
      </w:r>
      <w:r w:rsidR="00D6085F" w:rsidRPr="004068F6">
        <w:rPr>
          <w:rStyle w:val="Refdenotaalfinal"/>
          <w:rFonts w:cs="Arial"/>
        </w:rPr>
        <w:endnoteReference w:id="26"/>
      </w:r>
      <w:r w:rsidR="00CF2BB6" w:rsidRPr="004068F6">
        <w:rPr>
          <w:rFonts w:cs="Arial"/>
          <w:vertAlign w:val="superscript"/>
        </w:rPr>
        <w:t>]</w:t>
      </w:r>
    </w:p>
    <w:p w14:paraId="1C53DD73" w14:textId="6E26AD03" w:rsidR="00AA4F93" w:rsidRPr="004068F6" w:rsidRDefault="00AA4F93" w:rsidP="00C86DA5">
      <w:pPr>
        <w:numPr>
          <w:ilvl w:val="12"/>
          <w:numId w:val="0"/>
        </w:numPr>
        <w:tabs>
          <w:tab w:val="left" w:pos="-2268"/>
        </w:tabs>
        <w:suppressAutoHyphens/>
      </w:pPr>
    </w:p>
    <w:p w14:paraId="39F152BD" w14:textId="645CE27C" w:rsidR="00AA4F93" w:rsidRPr="004068F6" w:rsidRDefault="00AA4F93" w:rsidP="009420F5">
      <w:pPr>
        <w:numPr>
          <w:ilvl w:val="0"/>
          <w:numId w:val="19"/>
        </w:numPr>
        <w:suppressAutoHyphens/>
        <w:ind w:left="567" w:hanging="567"/>
      </w:pPr>
      <w:r w:rsidRPr="004068F6">
        <w:rPr>
          <w:b/>
        </w:rPr>
        <w:t>Funci</w:t>
      </w:r>
      <w:r w:rsidR="00FD2209" w:rsidRPr="004068F6">
        <w:rPr>
          <w:b/>
        </w:rPr>
        <w:t xml:space="preserve">ón </w:t>
      </w:r>
      <w:r w:rsidRPr="004068F6">
        <w:rPr>
          <w:b/>
        </w:rPr>
        <w:t>del ecosistema</w:t>
      </w:r>
      <w:r w:rsidRPr="004068F6">
        <w:t xml:space="preserve">: </w:t>
      </w:r>
      <w:r w:rsidR="00FD2209" w:rsidRPr="004068F6">
        <w:t xml:space="preserve">conjunto de </w:t>
      </w:r>
      <w:r w:rsidR="00FD2209" w:rsidRPr="004068F6">
        <w:rPr>
          <w:rFonts w:cs="Arial"/>
          <w:szCs w:val="20"/>
        </w:rPr>
        <w:t>interacciones entre estructuras biofísicas y procesos ecosistémicos que sustentan la capacidad de un ecosistema para proporcionar servicios ecosistémicos</w:t>
      </w:r>
      <w:r w:rsidR="006A5D01" w:rsidRPr="004068F6">
        <w:t>.</w:t>
      </w:r>
      <w:r w:rsidRPr="004068F6">
        <w:rPr>
          <w:vertAlign w:val="superscript"/>
        </w:rPr>
        <w:t xml:space="preserve"> </w:t>
      </w:r>
      <w:r w:rsidR="00CF2BB6" w:rsidRPr="004068F6">
        <w:rPr>
          <w:vertAlign w:val="superscript"/>
        </w:rPr>
        <w:t>[</w:t>
      </w:r>
      <w:r w:rsidRPr="004068F6">
        <w:rPr>
          <w:vertAlign w:val="superscript"/>
        </w:rPr>
        <w:endnoteReference w:id="27"/>
      </w:r>
      <w:r w:rsidR="00CF2BB6" w:rsidRPr="004068F6">
        <w:rPr>
          <w:vertAlign w:val="superscript"/>
        </w:rPr>
        <w:t>]</w:t>
      </w:r>
    </w:p>
    <w:p w14:paraId="0A4051F1" w14:textId="77777777" w:rsidR="00761FEE" w:rsidRPr="004068F6" w:rsidRDefault="00761FEE" w:rsidP="00C86DA5"/>
    <w:p w14:paraId="435C2696" w14:textId="4DC100A3" w:rsidR="00AA4F93" w:rsidRPr="004068F6" w:rsidRDefault="00AA4F93" w:rsidP="007B06DD">
      <w:pPr>
        <w:numPr>
          <w:ilvl w:val="0"/>
          <w:numId w:val="19"/>
        </w:numPr>
        <w:spacing w:line="259" w:lineRule="auto"/>
        <w:ind w:left="567" w:hanging="567"/>
        <w:rPr>
          <w:rFonts w:cs="Arial"/>
        </w:rPr>
      </w:pPr>
      <w:r w:rsidRPr="004068F6">
        <w:rPr>
          <w:rFonts w:cs="Arial"/>
          <w:b/>
        </w:rPr>
        <w:t>Gas</w:t>
      </w:r>
      <w:r w:rsidR="008E0B05" w:rsidRPr="004068F6">
        <w:rPr>
          <w:rFonts w:cs="Arial"/>
          <w:b/>
        </w:rPr>
        <w:t>es</w:t>
      </w:r>
      <w:r w:rsidRPr="004068F6">
        <w:rPr>
          <w:rFonts w:cs="Arial"/>
          <w:b/>
        </w:rPr>
        <w:t xml:space="preserve"> de efecto invernadero</w:t>
      </w:r>
      <w:r w:rsidRPr="004068F6">
        <w:rPr>
          <w:rFonts w:cs="Arial"/>
        </w:rPr>
        <w:t xml:space="preserve">: </w:t>
      </w:r>
      <w:r w:rsidR="00C04893" w:rsidRPr="004068F6">
        <w:rPr>
          <w:rFonts w:cs="Arial"/>
        </w:rPr>
        <w:t xml:space="preserve">componentes gaseosos de la atmósfera, de origen natural o antropogénicos, que absorben y emiten </w:t>
      </w:r>
      <w:r w:rsidR="007B06DD" w:rsidRPr="004068F6">
        <w:rPr>
          <w:rFonts w:cs="Arial"/>
        </w:rPr>
        <w:t>la energía solar reflejada por la superficie de la tierra, la atmósfera y las nubes. Los principales gases de efecto invernadero son el dióxido de carbono (CO</w:t>
      </w:r>
      <w:r w:rsidR="007B06DD" w:rsidRPr="004068F6">
        <w:rPr>
          <w:rFonts w:cs="Arial"/>
          <w:vertAlign w:val="subscript"/>
        </w:rPr>
        <w:t>2</w:t>
      </w:r>
      <w:r w:rsidR="007B06DD" w:rsidRPr="004068F6">
        <w:rPr>
          <w:rFonts w:cs="Arial"/>
        </w:rPr>
        <w:t>), el óxido nitroso (N</w:t>
      </w:r>
      <w:r w:rsidR="007B06DD" w:rsidRPr="004068F6">
        <w:rPr>
          <w:rFonts w:cs="Arial"/>
          <w:vertAlign w:val="subscript"/>
        </w:rPr>
        <w:t>2</w:t>
      </w:r>
      <w:r w:rsidR="007B06DD" w:rsidRPr="004068F6">
        <w:rPr>
          <w:rFonts w:cs="Arial"/>
        </w:rPr>
        <w:t>O), el metano (CH</w:t>
      </w:r>
      <w:r w:rsidR="007B06DD" w:rsidRPr="004068F6">
        <w:rPr>
          <w:rFonts w:cs="Arial"/>
          <w:vertAlign w:val="subscript"/>
        </w:rPr>
        <w:t>4</w:t>
      </w:r>
      <w:r w:rsidR="007B06DD" w:rsidRPr="004068F6">
        <w:rPr>
          <w:rFonts w:cs="Arial"/>
        </w:rPr>
        <w:t>)</w:t>
      </w:r>
      <w:r w:rsidR="00BA4EBC" w:rsidRPr="004068F6">
        <w:rPr>
          <w:rFonts w:cs="Arial"/>
        </w:rPr>
        <w:t>,</w:t>
      </w:r>
      <w:r w:rsidR="007B06DD" w:rsidRPr="004068F6">
        <w:rPr>
          <w:rFonts w:cs="Arial"/>
        </w:rPr>
        <w:t xml:space="preserve"> los hidrofluorocarbonos (HFC), los perfluorocarbonos (PFC) y el </w:t>
      </w:r>
      <w:r w:rsidR="00525917" w:rsidRPr="004068F6">
        <w:rPr>
          <w:rFonts w:cs="Arial"/>
        </w:rPr>
        <w:t>h</w:t>
      </w:r>
      <w:r w:rsidR="007B06DD" w:rsidRPr="004068F6">
        <w:rPr>
          <w:rFonts w:cs="Arial"/>
        </w:rPr>
        <w:t xml:space="preserve">exafluoruro de </w:t>
      </w:r>
      <w:r w:rsidR="00525917" w:rsidRPr="004068F6">
        <w:rPr>
          <w:rFonts w:cs="Arial"/>
        </w:rPr>
        <w:t>a</w:t>
      </w:r>
      <w:r w:rsidR="007B06DD" w:rsidRPr="004068F6">
        <w:rPr>
          <w:rFonts w:cs="Arial"/>
        </w:rPr>
        <w:t>zufre (SF</w:t>
      </w:r>
      <w:r w:rsidR="007B06DD" w:rsidRPr="004068F6">
        <w:rPr>
          <w:rFonts w:cs="Arial"/>
          <w:vertAlign w:val="subscript"/>
        </w:rPr>
        <w:t>6</w:t>
      </w:r>
      <w:r w:rsidR="007B06DD" w:rsidRPr="004068F6">
        <w:rPr>
          <w:rFonts w:cs="Arial"/>
        </w:rPr>
        <w:t>)</w:t>
      </w:r>
      <w:r w:rsidR="006A5D01" w:rsidRPr="004068F6">
        <w:rPr>
          <w:rFonts w:cs="Arial"/>
        </w:rPr>
        <w:t>.</w:t>
      </w:r>
      <w:r w:rsidRPr="004068F6">
        <w:rPr>
          <w:rFonts w:cs="Arial"/>
        </w:rPr>
        <w:t xml:space="preserve"> </w:t>
      </w:r>
      <w:r w:rsidR="00CF2BB6" w:rsidRPr="004068F6">
        <w:rPr>
          <w:rFonts w:cs="Arial"/>
          <w:vertAlign w:val="superscript"/>
        </w:rPr>
        <w:t>[</w:t>
      </w:r>
      <w:r w:rsidR="002F33BC" w:rsidRPr="004068F6">
        <w:rPr>
          <w:rFonts w:cs="Arial"/>
          <w:vertAlign w:val="superscript"/>
        </w:rPr>
        <w:fldChar w:fldCharType="begin"/>
      </w:r>
      <w:r w:rsidR="002F33BC" w:rsidRPr="004068F6">
        <w:rPr>
          <w:rFonts w:cs="Arial"/>
          <w:vertAlign w:val="superscript"/>
        </w:rPr>
        <w:instrText xml:space="preserve"> NOTEREF _Ref44840425 \h </w:instrText>
      </w:r>
      <w:r w:rsidR="006A4128" w:rsidRPr="004068F6">
        <w:rPr>
          <w:rFonts w:cs="Arial"/>
          <w:vertAlign w:val="superscript"/>
        </w:rPr>
        <w:instrText xml:space="preserve"> \* MERGEFORMAT </w:instrText>
      </w:r>
      <w:r w:rsidR="002F33BC" w:rsidRPr="004068F6">
        <w:rPr>
          <w:rFonts w:cs="Arial"/>
          <w:vertAlign w:val="superscript"/>
        </w:rPr>
      </w:r>
      <w:r w:rsidR="002F33BC" w:rsidRPr="004068F6">
        <w:rPr>
          <w:rFonts w:cs="Arial"/>
          <w:vertAlign w:val="superscript"/>
        </w:rPr>
        <w:fldChar w:fldCharType="separate"/>
      </w:r>
      <w:r w:rsidR="009C4A81">
        <w:rPr>
          <w:rFonts w:cs="Arial"/>
          <w:vertAlign w:val="superscript"/>
        </w:rPr>
        <w:t>2</w:t>
      </w:r>
      <w:r w:rsidR="002F33BC" w:rsidRPr="004068F6">
        <w:rPr>
          <w:rFonts w:cs="Arial"/>
          <w:vertAlign w:val="superscript"/>
        </w:rPr>
        <w:fldChar w:fldCharType="end"/>
      </w:r>
      <w:r w:rsidR="00CF2BB6" w:rsidRPr="004068F6">
        <w:rPr>
          <w:rFonts w:cs="Arial"/>
          <w:vertAlign w:val="superscript"/>
        </w:rPr>
        <w:t>]</w:t>
      </w:r>
    </w:p>
    <w:p w14:paraId="4C2E462E" w14:textId="77777777" w:rsidR="005553FD" w:rsidRPr="004068F6" w:rsidRDefault="005553FD" w:rsidP="005553FD">
      <w:pPr>
        <w:spacing w:line="259" w:lineRule="auto"/>
        <w:rPr>
          <w:rFonts w:cs="Arial"/>
          <w:b/>
        </w:rPr>
      </w:pPr>
    </w:p>
    <w:p w14:paraId="79E43ABD" w14:textId="09D9FBBE" w:rsidR="005553FD" w:rsidRPr="004068F6" w:rsidRDefault="005553FD" w:rsidP="005553FD">
      <w:pPr>
        <w:numPr>
          <w:ilvl w:val="0"/>
          <w:numId w:val="19"/>
        </w:numPr>
        <w:spacing w:line="259" w:lineRule="auto"/>
        <w:ind w:left="567" w:hanging="567"/>
        <w:rPr>
          <w:rFonts w:cs="Arial"/>
          <w:bCs/>
        </w:rPr>
      </w:pPr>
      <w:r w:rsidRPr="004068F6">
        <w:rPr>
          <w:rFonts w:cs="Arial"/>
          <w:b/>
        </w:rPr>
        <w:lastRenderedPageBreak/>
        <w:t>Gestión del cambio climático</w:t>
      </w:r>
      <w:r w:rsidRPr="004068F6">
        <w:rPr>
          <w:rFonts w:cs="Arial"/>
          <w:bCs/>
        </w:rPr>
        <w:t>: proceso coordinado de diseño, implementación y evaluación de acciones de mitigación de GEI y adaptación al cambio climático orientado a reducir la vulnerabilidad de la población, infraestructura y ecosistemas a los efectos del cambio climático. También incluye las acciones orientadas a permitir y aprovechar las oportunidades que el cambio climático genera.</w:t>
      </w:r>
      <w:r w:rsidR="003B5E17" w:rsidRPr="004068F6">
        <w:rPr>
          <w:rFonts w:cs="Arial"/>
          <w:bCs/>
        </w:rPr>
        <w:t xml:space="preserve"> </w:t>
      </w:r>
      <w:r w:rsidR="003B5E17" w:rsidRPr="004068F6">
        <w:rPr>
          <w:rFonts w:cs="Arial"/>
          <w:vertAlign w:val="superscript"/>
        </w:rPr>
        <w:t>[</w:t>
      </w:r>
      <w:r w:rsidR="003B5E17" w:rsidRPr="004068F6">
        <w:rPr>
          <w:rFonts w:cs="Arial"/>
          <w:vertAlign w:val="superscript"/>
        </w:rPr>
        <w:fldChar w:fldCharType="begin"/>
      </w:r>
      <w:r w:rsidR="003B5E17" w:rsidRPr="004068F6">
        <w:rPr>
          <w:rFonts w:cs="Arial"/>
          <w:vertAlign w:val="superscript"/>
        </w:rPr>
        <w:instrText xml:space="preserve"> NOTEREF _Ref44840425 \h  \* MERGEFORMAT </w:instrText>
      </w:r>
      <w:r w:rsidR="003B5E17" w:rsidRPr="004068F6">
        <w:rPr>
          <w:rFonts w:cs="Arial"/>
          <w:vertAlign w:val="superscript"/>
        </w:rPr>
      </w:r>
      <w:r w:rsidR="003B5E17" w:rsidRPr="004068F6">
        <w:rPr>
          <w:rFonts w:cs="Arial"/>
          <w:vertAlign w:val="superscript"/>
        </w:rPr>
        <w:fldChar w:fldCharType="separate"/>
      </w:r>
      <w:r w:rsidR="009C4A81">
        <w:rPr>
          <w:rFonts w:cs="Arial"/>
          <w:vertAlign w:val="superscript"/>
        </w:rPr>
        <w:t>2</w:t>
      </w:r>
      <w:r w:rsidR="003B5E17" w:rsidRPr="004068F6">
        <w:rPr>
          <w:rFonts w:cs="Arial"/>
          <w:vertAlign w:val="superscript"/>
        </w:rPr>
        <w:fldChar w:fldCharType="end"/>
      </w:r>
      <w:r w:rsidR="003B5E17" w:rsidRPr="004068F6">
        <w:rPr>
          <w:rFonts w:cs="Arial"/>
          <w:vertAlign w:val="superscript"/>
        </w:rPr>
        <w:t>]</w:t>
      </w:r>
    </w:p>
    <w:p w14:paraId="382760B1" w14:textId="77777777" w:rsidR="00B0171E" w:rsidRPr="004068F6" w:rsidRDefault="00B0171E" w:rsidP="000D6E21"/>
    <w:p w14:paraId="177C0CFF" w14:textId="070926EC" w:rsidR="00B0171E" w:rsidRPr="004068F6" w:rsidRDefault="00B0171E" w:rsidP="000D6E21">
      <w:pPr>
        <w:numPr>
          <w:ilvl w:val="0"/>
          <w:numId w:val="19"/>
        </w:numPr>
        <w:suppressAutoHyphens/>
        <w:ind w:left="567" w:hanging="567"/>
        <w:rPr>
          <w:bCs/>
        </w:rPr>
      </w:pPr>
      <w:r w:rsidRPr="004068F6">
        <w:rPr>
          <w:b/>
        </w:rPr>
        <w:t>Gestión del riesgo</w:t>
      </w:r>
      <w:r w:rsidRPr="004068F6">
        <w:rPr>
          <w:bCs/>
        </w:rPr>
        <w:t>: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r w:rsidR="00A80777" w:rsidRPr="004068F6">
        <w:rPr>
          <w:rFonts w:cs="Arial"/>
          <w:vertAlign w:val="superscript"/>
        </w:rPr>
        <w:t xml:space="preserve"> [</w:t>
      </w:r>
      <w:r w:rsidR="00A80777" w:rsidRPr="004068F6">
        <w:rPr>
          <w:rFonts w:cs="Arial"/>
          <w:vertAlign w:val="superscript"/>
        </w:rPr>
        <w:fldChar w:fldCharType="begin"/>
      </w:r>
      <w:r w:rsidR="00A80777" w:rsidRPr="004068F6">
        <w:rPr>
          <w:rFonts w:cs="Arial"/>
          <w:vertAlign w:val="superscript"/>
        </w:rPr>
        <w:instrText xml:space="preserve"> NOTEREF _Ref44841712 \h  \* MERGEFORMAT </w:instrText>
      </w:r>
      <w:r w:rsidR="00A80777" w:rsidRPr="004068F6">
        <w:rPr>
          <w:rFonts w:cs="Arial"/>
          <w:vertAlign w:val="superscript"/>
        </w:rPr>
      </w:r>
      <w:r w:rsidR="00A80777" w:rsidRPr="004068F6">
        <w:rPr>
          <w:rFonts w:cs="Arial"/>
          <w:vertAlign w:val="superscript"/>
        </w:rPr>
        <w:fldChar w:fldCharType="separate"/>
      </w:r>
      <w:r w:rsidR="009C4A81">
        <w:rPr>
          <w:rFonts w:cs="Arial"/>
          <w:vertAlign w:val="superscript"/>
        </w:rPr>
        <w:t>6</w:t>
      </w:r>
      <w:r w:rsidR="00A80777" w:rsidRPr="004068F6">
        <w:rPr>
          <w:rFonts w:cs="Arial"/>
          <w:vertAlign w:val="superscript"/>
        </w:rPr>
        <w:fldChar w:fldCharType="end"/>
      </w:r>
      <w:r w:rsidR="00A80777" w:rsidRPr="004068F6">
        <w:rPr>
          <w:rFonts w:cs="Arial"/>
          <w:vertAlign w:val="superscript"/>
        </w:rPr>
        <w:t>]</w:t>
      </w:r>
    </w:p>
    <w:p w14:paraId="4CCC1242" w14:textId="77777777" w:rsidR="00761FEE" w:rsidRPr="004068F6" w:rsidRDefault="00761FEE" w:rsidP="00D53616">
      <w:pPr>
        <w:spacing w:line="259" w:lineRule="auto"/>
        <w:rPr>
          <w:rFonts w:cs="Arial"/>
        </w:rPr>
      </w:pPr>
    </w:p>
    <w:p w14:paraId="62229157" w14:textId="4D1863FF" w:rsidR="00C6554D" w:rsidRPr="004068F6" w:rsidRDefault="00C6554D" w:rsidP="00C6554D">
      <w:pPr>
        <w:numPr>
          <w:ilvl w:val="0"/>
          <w:numId w:val="19"/>
        </w:numPr>
        <w:suppressAutoHyphens/>
        <w:ind w:left="567" w:hanging="567"/>
        <w:rPr>
          <w:b/>
        </w:rPr>
      </w:pPr>
      <w:r w:rsidRPr="004068F6">
        <w:rPr>
          <w:b/>
        </w:rPr>
        <w:t>Grupo de interés</w:t>
      </w:r>
      <w:r w:rsidRPr="00127BD4">
        <w:rPr>
          <w:bCs/>
        </w:rPr>
        <w:t xml:space="preserve">: </w:t>
      </w:r>
      <w:r w:rsidRPr="004068F6">
        <w:rPr>
          <w:bCs/>
        </w:rPr>
        <w:t xml:space="preserve">personas naturales (ciudadanos), </w:t>
      </w:r>
      <w:r w:rsidR="00BF6D4E" w:rsidRPr="004068F6">
        <w:rPr>
          <w:bCs/>
        </w:rPr>
        <w:t xml:space="preserve">personas </w:t>
      </w:r>
      <w:r w:rsidRPr="004068F6">
        <w:rPr>
          <w:bCs/>
        </w:rPr>
        <w:t xml:space="preserve">jurídicas (entidades sin ánimo de lucro, organizaciones públicas o privadas), así como actores que integran el </w:t>
      </w:r>
      <w:r w:rsidR="002A0291" w:rsidRPr="004068F6">
        <w:rPr>
          <w:bCs/>
        </w:rPr>
        <w:t>m</w:t>
      </w:r>
      <w:r w:rsidRPr="004068F6">
        <w:rPr>
          <w:bCs/>
        </w:rPr>
        <w:t xml:space="preserve">ovimiento </w:t>
      </w:r>
      <w:r w:rsidR="002A0291" w:rsidRPr="004068F6">
        <w:rPr>
          <w:bCs/>
        </w:rPr>
        <w:t>s</w:t>
      </w:r>
      <w:r w:rsidRPr="004068F6">
        <w:rPr>
          <w:bCs/>
        </w:rPr>
        <w:t xml:space="preserve">ocial </w:t>
      </w:r>
      <w:r w:rsidR="002A0291" w:rsidRPr="004068F6">
        <w:rPr>
          <w:bCs/>
        </w:rPr>
        <w:t>c</w:t>
      </w:r>
      <w:r w:rsidRPr="004068F6">
        <w:rPr>
          <w:bCs/>
        </w:rPr>
        <w:t>olombiano (movimientos sociales, organizaciones comunitarias, veedurías ciudadanas, organizaciones ambientales, defensoras de animales, campesinas, estudiantiles, entre otras)</w:t>
      </w:r>
      <w:r w:rsidR="00407832" w:rsidRPr="004068F6">
        <w:rPr>
          <w:bCs/>
        </w:rPr>
        <w:t xml:space="preserve"> y</w:t>
      </w:r>
      <w:r w:rsidRPr="004068F6">
        <w:rPr>
          <w:bCs/>
        </w:rPr>
        <w:t xml:space="preserve"> comunidades étnicas, que tienen interés o se pueden ve</w:t>
      </w:r>
      <w:r w:rsidR="00742758" w:rsidRPr="004068F6">
        <w:rPr>
          <w:bCs/>
        </w:rPr>
        <w:t>r</w:t>
      </w:r>
      <w:r w:rsidRPr="004068F6">
        <w:rPr>
          <w:bCs/>
        </w:rPr>
        <w:t xml:space="preserve"> afectados por un proyecto, obra o actividad.</w:t>
      </w:r>
    </w:p>
    <w:p w14:paraId="15D9DBA9" w14:textId="77777777" w:rsidR="00C6554D" w:rsidRPr="004068F6" w:rsidRDefault="00C6554D" w:rsidP="00D53616">
      <w:pPr>
        <w:spacing w:line="259" w:lineRule="auto"/>
        <w:rPr>
          <w:rFonts w:cs="Arial"/>
        </w:rPr>
      </w:pPr>
    </w:p>
    <w:p w14:paraId="41413284" w14:textId="1C438FD0" w:rsidR="00AA4F93" w:rsidRPr="004068F6" w:rsidRDefault="00AA4F93" w:rsidP="00456AB1">
      <w:pPr>
        <w:numPr>
          <w:ilvl w:val="0"/>
          <w:numId w:val="19"/>
        </w:numPr>
        <w:suppressAutoHyphens/>
        <w:ind w:left="567" w:hanging="567"/>
        <w:rPr>
          <w:rFonts w:cs="Arial"/>
        </w:rPr>
      </w:pPr>
      <w:r w:rsidRPr="004068F6">
        <w:rPr>
          <w:rFonts w:cs="Arial"/>
          <w:b/>
        </w:rPr>
        <w:t>Humedal</w:t>
      </w:r>
      <w:r w:rsidRPr="004068F6">
        <w:rPr>
          <w:rFonts w:cs="Arial"/>
        </w:rPr>
        <w:t xml:space="preserve">: </w:t>
      </w:r>
      <w:r w:rsidR="0088212E" w:rsidRPr="004068F6">
        <w:rPr>
          <w:rFonts w:cs="Arial"/>
        </w:rPr>
        <w:t>e</w:t>
      </w:r>
      <w:r w:rsidRPr="004068F6">
        <w:rPr>
          <w:rFonts w:cs="Arial"/>
        </w:rPr>
        <w:t>xtensi</w:t>
      </w:r>
      <w:r w:rsidR="00D53616" w:rsidRPr="004068F6">
        <w:rPr>
          <w:rFonts w:cs="Arial"/>
        </w:rPr>
        <w:t xml:space="preserve">ón </w:t>
      </w:r>
      <w:r w:rsidRPr="004068F6">
        <w:rPr>
          <w:rFonts w:cs="Arial"/>
        </w:rPr>
        <w:t>de marismas, pantanos y turberas, o superficies cubiertas de aguas, sean éstas de régimen natural o artificial, permanentes o temporales, estancadas o corrientes, dulces, salobres o saladas, incluidas las extensiones de agua marina cuya profundidad en marea baja no exceda de seis metros</w:t>
      </w:r>
      <w:r w:rsidR="006A5D01" w:rsidRPr="004068F6">
        <w:rPr>
          <w:rFonts w:cs="Arial"/>
        </w:rPr>
        <w:t>.</w:t>
      </w:r>
      <w:r w:rsidRPr="004068F6">
        <w:rPr>
          <w:rFonts w:cs="Arial"/>
        </w:rPr>
        <w:t xml:space="preserve"> </w:t>
      </w:r>
      <w:r w:rsidR="00CF2BB6" w:rsidRPr="004068F6">
        <w:rPr>
          <w:rFonts w:cs="Arial"/>
          <w:vertAlign w:val="superscript"/>
        </w:rPr>
        <w:t>[</w:t>
      </w:r>
      <w:r w:rsidRPr="004068F6">
        <w:rPr>
          <w:rStyle w:val="Refdenotaalfinal"/>
          <w:rFonts w:cs="Arial"/>
        </w:rPr>
        <w:endnoteReference w:id="28"/>
      </w:r>
      <w:r w:rsidR="00CF2BB6" w:rsidRPr="004068F6">
        <w:rPr>
          <w:rFonts w:cs="Arial"/>
          <w:vertAlign w:val="superscript"/>
        </w:rPr>
        <w:t>]</w:t>
      </w:r>
    </w:p>
    <w:p w14:paraId="7D3BCC9D" w14:textId="77777777" w:rsidR="00AA4F93" w:rsidRPr="004068F6" w:rsidRDefault="00AA4F93" w:rsidP="00D53616">
      <w:pPr>
        <w:rPr>
          <w:rFonts w:cs="Arial"/>
        </w:rPr>
      </w:pPr>
    </w:p>
    <w:p w14:paraId="7A259AFE" w14:textId="4D451B62" w:rsidR="00AA4F93" w:rsidRPr="004068F6" w:rsidRDefault="00AA4F93" w:rsidP="00C86DA5">
      <w:pPr>
        <w:numPr>
          <w:ilvl w:val="0"/>
          <w:numId w:val="19"/>
        </w:numPr>
        <w:suppressAutoHyphens/>
        <w:ind w:left="567" w:hanging="567"/>
        <w:rPr>
          <w:rFonts w:cs="Arial"/>
        </w:rPr>
      </w:pPr>
      <w:r w:rsidRPr="00335527">
        <w:rPr>
          <w:rFonts w:cs="Arial"/>
          <w:b/>
        </w:rPr>
        <w:t>Impacto ambiental</w:t>
      </w:r>
      <w:r w:rsidRPr="00335527">
        <w:rPr>
          <w:rFonts w:cs="Arial"/>
        </w:rPr>
        <w:t xml:space="preserve">: </w:t>
      </w:r>
      <w:r w:rsidR="0088212E" w:rsidRPr="00335527">
        <w:rPr>
          <w:rFonts w:cs="Arial"/>
        </w:rPr>
        <w:t>c</w:t>
      </w:r>
      <w:r w:rsidRPr="00335527">
        <w:rPr>
          <w:rFonts w:cs="Arial"/>
        </w:rPr>
        <w:t>ualquier</w:t>
      </w:r>
      <w:r w:rsidRPr="004068F6">
        <w:rPr>
          <w:rFonts w:cs="Arial"/>
        </w:rPr>
        <w:t xml:space="preserve"> </w:t>
      </w:r>
      <w:r w:rsidR="002A76FD" w:rsidRPr="004068F6">
        <w:rPr>
          <w:rFonts w:cs="Arial"/>
        </w:rPr>
        <w:t xml:space="preserve">alteración </w:t>
      </w:r>
      <w:r w:rsidR="0006563A" w:rsidRPr="004068F6">
        <w:rPr>
          <w:rFonts w:cs="Arial"/>
        </w:rPr>
        <w:t xml:space="preserve">del </w:t>
      </w:r>
      <w:r w:rsidR="002A76FD" w:rsidRPr="004068F6">
        <w:rPr>
          <w:rFonts w:cs="Arial"/>
        </w:rPr>
        <w:t>ambient</w:t>
      </w:r>
      <w:r w:rsidR="0006563A" w:rsidRPr="004068F6">
        <w:rPr>
          <w:rFonts w:cs="Arial"/>
        </w:rPr>
        <w:t>e</w:t>
      </w:r>
      <w:r w:rsidR="002A76FD" w:rsidRPr="004068F6">
        <w:rPr>
          <w:rFonts w:cs="Arial"/>
        </w:rPr>
        <w:t xml:space="preserve"> advers</w:t>
      </w:r>
      <w:r w:rsidR="0006563A" w:rsidRPr="004068F6">
        <w:rPr>
          <w:rFonts w:cs="Arial"/>
        </w:rPr>
        <w:t>a</w:t>
      </w:r>
      <w:r w:rsidR="002A76FD" w:rsidRPr="004068F6">
        <w:rPr>
          <w:rFonts w:cs="Arial"/>
        </w:rPr>
        <w:t xml:space="preserve"> o beneficios</w:t>
      </w:r>
      <w:r w:rsidR="0006563A" w:rsidRPr="004068F6">
        <w:rPr>
          <w:rFonts w:cs="Arial"/>
        </w:rPr>
        <w:t>a</w:t>
      </w:r>
      <w:r w:rsidR="002A76FD" w:rsidRPr="004068F6">
        <w:rPr>
          <w:rFonts w:cs="Arial"/>
        </w:rPr>
        <w:t>, total o parcial, atribuid</w:t>
      </w:r>
      <w:r w:rsidR="0006563A" w:rsidRPr="004068F6">
        <w:rPr>
          <w:rFonts w:cs="Arial"/>
        </w:rPr>
        <w:t>a</w:t>
      </w:r>
      <w:r w:rsidR="002A76FD" w:rsidRPr="004068F6">
        <w:rPr>
          <w:rFonts w:cs="Arial"/>
        </w:rPr>
        <w:t xml:space="preserve"> a</w:t>
      </w:r>
      <w:r w:rsidR="0006563A" w:rsidRPr="004068F6">
        <w:rPr>
          <w:rFonts w:cs="Arial"/>
        </w:rPr>
        <w:t xml:space="preserve"> </w:t>
      </w:r>
      <w:r w:rsidR="002A76FD" w:rsidRPr="004068F6">
        <w:rPr>
          <w:rFonts w:cs="Arial"/>
        </w:rPr>
        <w:t>l</w:t>
      </w:r>
      <w:r w:rsidR="0006563A" w:rsidRPr="004068F6">
        <w:rPr>
          <w:rFonts w:cs="Arial"/>
        </w:rPr>
        <w:t>a</w:t>
      </w:r>
      <w:r w:rsidR="002A76FD" w:rsidRPr="004068F6">
        <w:rPr>
          <w:rFonts w:cs="Arial"/>
        </w:rPr>
        <w:t xml:space="preserve"> </w:t>
      </w:r>
      <w:r w:rsidR="0006563A" w:rsidRPr="004068F6">
        <w:rPr>
          <w:rFonts w:cs="Arial"/>
        </w:rPr>
        <w:t xml:space="preserve">ejecución de </w:t>
      </w:r>
      <w:r w:rsidR="002A76FD" w:rsidRPr="004068F6">
        <w:rPr>
          <w:rFonts w:cs="Arial"/>
        </w:rPr>
        <w:t>un proyecto, obra o actividad</w:t>
      </w:r>
      <w:r w:rsidR="0006563A" w:rsidRPr="004068F6">
        <w:rPr>
          <w:rFonts w:cs="Arial"/>
        </w:rPr>
        <w:t xml:space="preserve"> y descrita mediante cambios en un parámetro ambiental cuantitativo o cualitativo</w:t>
      </w:r>
      <w:r w:rsidR="006A5D01" w:rsidRPr="004068F6">
        <w:rPr>
          <w:rFonts w:cs="Arial"/>
        </w:rPr>
        <w:t>.</w:t>
      </w:r>
    </w:p>
    <w:p w14:paraId="7B76C29B" w14:textId="77777777" w:rsidR="00356022" w:rsidRPr="004068F6" w:rsidRDefault="00356022" w:rsidP="00D53616">
      <w:pPr>
        <w:rPr>
          <w:rFonts w:cs="Arial"/>
        </w:rPr>
      </w:pPr>
    </w:p>
    <w:p w14:paraId="202A20BE" w14:textId="29072E50" w:rsidR="00AA4F93" w:rsidRPr="004068F6" w:rsidRDefault="00AA4F93" w:rsidP="00C86DA5">
      <w:pPr>
        <w:numPr>
          <w:ilvl w:val="0"/>
          <w:numId w:val="21"/>
        </w:numPr>
        <w:suppressAutoHyphens/>
        <w:ind w:left="567" w:hanging="567"/>
      </w:pPr>
      <w:r w:rsidRPr="004068F6">
        <w:rPr>
          <w:rFonts w:cs="Arial"/>
          <w:b/>
          <w:bCs/>
        </w:rPr>
        <w:t>Impacto ambiental</w:t>
      </w:r>
      <w:r w:rsidRPr="004068F6">
        <w:rPr>
          <w:b/>
        </w:rPr>
        <w:t xml:space="preserve"> acumulativo</w:t>
      </w:r>
      <w:r w:rsidRPr="004068F6">
        <w:t xml:space="preserve">: </w:t>
      </w:r>
      <w:r w:rsidR="0088212E" w:rsidRPr="004068F6">
        <w:t>i</w:t>
      </w:r>
      <w:r w:rsidRPr="004068F6">
        <w:t xml:space="preserve">mpacto ambiental </w:t>
      </w:r>
      <w:r w:rsidR="00DD2A74" w:rsidRPr="004068F6">
        <w:rPr>
          <w:rFonts w:cs="Arial"/>
          <w:spacing w:val="-3"/>
        </w:rPr>
        <w:t>cuya significancia se incrementa</w:t>
      </w:r>
      <w:r w:rsidR="00525917" w:rsidRPr="004068F6">
        <w:rPr>
          <w:rFonts w:cs="Arial"/>
          <w:spacing w:val="-3"/>
        </w:rPr>
        <w:t>,</w:t>
      </w:r>
      <w:r w:rsidR="00DD2A74" w:rsidRPr="004068F6">
        <w:rPr>
          <w:rFonts w:cs="Arial"/>
          <w:spacing w:val="-3"/>
        </w:rPr>
        <w:t xml:space="preserve"> no necesariamente de forma lineal</w:t>
      </w:r>
      <w:r w:rsidR="00525917" w:rsidRPr="004068F6">
        <w:rPr>
          <w:rFonts w:cs="Arial"/>
          <w:spacing w:val="-3"/>
        </w:rPr>
        <w:t>,</w:t>
      </w:r>
      <w:r w:rsidR="00DD2A74" w:rsidRPr="004068F6">
        <w:rPr>
          <w:rFonts w:cs="Arial"/>
          <w:spacing w:val="-3"/>
        </w:rPr>
        <w:t xml:space="preserve"> </w:t>
      </w:r>
      <w:r w:rsidR="0055673D" w:rsidRPr="004068F6">
        <w:rPr>
          <w:rFonts w:cs="Arial"/>
          <w:spacing w:val="-3"/>
        </w:rPr>
        <w:t>con</w:t>
      </w:r>
      <w:r w:rsidR="00511CE1" w:rsidRPr="004068F6">
        <w:rPr>
          <w:rFonts w:cs="Arial"/>
          <w:spacing w:val="-3"/>
        </w:rPr>
        <w:t xml:space="preserve"> </w:t>
      </w:r>
      <w:r w:rsidR="00DD2A74" w:rsidRPr="004068F6">
        <w:rPr>
          <w:rFonts w:cs="Arial"/>
          <w:spacing w:val="-3"/>
        </w:rPr>
        <w:t>el tiempo</w:t>
      </w:r>
      <w:r w:rsidR="006A5D01" w:rsidRPr="004068F6">
        <w:rPr>
          <w:rFonts w:cs="Arial"/>
        </w:rPr>
        <w:t>.</w:t>
      </w:r>
    </w:p>
    <w:p w14:paraId="69B2BD77" w14:textId="77777777" w:rsidR="006B55BF" w:rsidRPr="004068F6" w:rsidRDefault="006B55BF" w:rsidP="00C86DA5">
      <w:pPr>
        <w:suppressAutoHyphens/>
      </w:pPr>
    </w:p>
    <w:p w14:paraId="0FEACCAA" w14:textId="7D8E4AA4" w:rsidR="00D7652E" w:rsidRPr="004068F6" w:rsidRDefault="00D7652E" w:rsidP="009420F5">
      <w:pPr>
        <w:numPr>
          <w:ilvl w:val="0"/>
          <w:numId w:val="19"/>
        </w:numPr>
        <w:suppressAutoHyphens/>
        <w:ind w:left="567" w:hanging="567"/>
        <w:rPr>
          <w:rFonts w:cs="Arial"/>
        </w:rPr>
      </w:pPr>
      <w:r w:rsidRPr="004068F6">
        <w:rPr>
          <w:rFonts w:cs="Arial"/>
          <w:b/>
        </w:rPr>
        <w:t>Impacto ambiental directo</w:t>
      </w:r>
      <w:r w:rsidRPr="004068F6">
        <w:rPr>
          <w:rFonts w:cs="Arial"/>
        </w:rPr>
        <w:t xml:space="preserve">: </w:t>
      </w:r>
      <w:r w:rsidR="008F749C" w:rsidRPr="004068F6">
        <w:rPr>
          <w:rFonts w:cs="Arial"/>
        </w:rPr>
        <w:t xml:space="preserve">impacto ambiental que ocurre como consecuencia directa de una actividad humana, de manera simultánea y </w:t>
      </w:r>
      <w:r w:rsidR="008F749C" w:rsidRPr="004068F6">
        <w:rPr>
          <w:rFonts w:cs="Arial"/>
        </w:rPr>
        <w:lastRenderedPageBreak/>
        <w:t>usualmente en el mismo lugar en el que ésta se ejecuta. También puede ser denominado “impacto ambiental primario”.</w:t>
      </w:r>
    </w:p>
    <w:p w14:paraId="54C8786F" w14:textId="77777777" w:rsidR="00D7652E" w:rsidRPr="004068F6" w:rsidRDefault="00D7652E" w:rsidP="009420F5">
      <w:pPr>
        <w:suppressAutoHyphens/>
        <w:rPr>
          <w:rFonts w:cs="Arial"/>
        </w:rPr>
      </w:pPr>
    </w:p>
    <w:p w14:paraId="7C208FFA" w14:textId="051BEDD6" w:rsidR="00D7652E" w:rsidRPr="004068F6" w:rsidRDefault="00D7652E" w:rsidP="009420F5">
      <w:pPr>
        <w:pStyle w:val="Prrafodelista"/>
        <w:numPr>
          <w:ilvl w:val="0"/>
          <w:numId w:val="21"/>
        </w:numPr>
        <w:suppressAutoHyphens/>
        <w:ind w:left="567" w:hanging="567"/>
        <w:rPr>
          <w:lang w:val="es-CO"/>
        </w:rPr>
      </w:pPr>
      <w:r w:rsidRPr="004068F6">
        <w:rPr>
          <w:b/>
          <w:lang w:val="es-CO"/>
        </w:rPr>
        <w:t>Impacto ambiental indirecto</w:t>
      </w:r>
      <w:r w:rsidRPr="004068F6">
        <w:rPr>
          <w:lang w:val="es-CO"/>
        </w:rPr>
        <w:t xml:space="preserve">: impacto </w:t>
      </w:r>
      <w:r w:rsidR="007C2C26" w:rsidRPr="004068F6">
        <w:rPr>
          <w:lang w:val="es-CO"/>
        </w:rPr>
        <w:t xml:space="preserve">ambiental que ocurre como consecuencia de un impacto ambiental directo o </w:t>
      </w:r>
      <w:r w:rsidR="00525917" w:rsidRPr="004068F6">
        <w:rPr>
          <w:lang w:val="es-CO"/>
        </w:rPr>
        <w:t xml:space="preserve">de un impacto ambiental </w:t>
      </w:r>
      <w:r w:rsidR="007C2C26" w:rsidRPr="004068F6">
        <w:rPr>
          <w:lang w:val="es-CO"/>
        </w:rPr>
        <w:t>indirecto</w:t>
      </w:r>
      <w:r w:rsidR="00525917" w:rsidRPr="004068F6">
        <w:rPr>
          <w:lang w:val="es-CO"/>
        </w:rPr>
        <w:t>,</w:t>
      </w:r>
      <w:r w:rsidR="007C2C26" w:rsidRPr="004068F6">
        <w:rPr>
          <w:lang w:val="es-CO"/>
        </w:rPr>
        <w:t xml:space="preserve"> </w:t>
      </w:r>
      <w:r w:rsidR="00525917" w:rsidRPr="004068F6">
        <w:rPr>
          <w:lang w:val="es-CO"/>
        </w:rPr>
        <w:t xml:space="preserve">que es </w:t>
      </w:r>
      <w:r w:rsidR="007C2C26" w:rsidRPr="004068F6">
        <w:rPr>
          <w:lang w:val="es-CO"/>
        </w:rPr>
        <w:t>generado por la ejecución de una actividad humana</w:t>
      </w:r>
      <w:r w:rsidR="00525917" w:rsidRPr="004068F6">
        <w:rPr>
          <w:lang w:val="es-CO"/>
        </w:rPr>
        <w:t xml:space="preserve"> y que </w:t>
      </w:r>
      <w:r w:rsidR="007C2C26" w:rsidRPr="004068F6">
        <w:rPr>
          <w:lang w:val="es-CO"/>
        </w:rPr>
        <w:t xml:space="preserve">se manifiesta de manera posterior en el tiempo o alejado en el espacio de la actividad que inició la cadena causal que lo originó. También puede ser denominado como “impacto secundario”, “impacto terciario”, o impacto de cualquier otro orden, de acuerdo </w:t>
      </w:r>
      <w:r w:rsidR="00645126" w:rsidRPr="004068F6">
        <w:rPr>
          <w:lang w:val="es-CO"/>
        </w:rPr>
        <w:t xml:space="preserve">con el </w:t>
      </w:r>
      <w:r w:rsidR="007C2C26" w:rsidRPr="004068F6">
        <w:rPr>
          <w:lang w:val="es-CO"/>
        </w:rPr>
        <w:t>lugar de la cadena causal de impactos en el que se encuentre</w:t>
      </w:r>
      <w:r w:rsidRPr="004068F6">
        <w:rPr>
          <w:lang w:val="es-CO"/>
        </w:rPr>
        <w:t>.</w:t>
      </w:r>
    </w:p>
    <w:p w14:paraId="25D1BEC7" w14:textId="77777777" w:rsidR="00D7652E" w:rsidRPr="004068F6" w:rsidRDefault="00D7652E" w:rsidP="00C86DA5">
      <w:pPr>
        <w:suppressAutoHyphens/>
      </w:pPr>
    </w:p>
    <w:p w14:paraId="0B36E741" w14:textId="1B7FD142" w:rsidR="00AA4F93" w:rsidRPr="004068F6" w:rsidRDefault="006B55BF" w:rsidP="009420F5">
      <w:pPr>
        <w:pStyle w:val="Prrafodelista"/>
        <w:numPr>
          <w:ilvl w:val="0"/>
          <w:numId w:val="21"/>
        </w:numPr>
        <w:suppressAutoHyphens/>
        <w:ind w:left="567" w:hanging="567"/>
        <w:rPr>
          <w:lang w:val="es-CO"/>
        </w:rPr>
      </w:pPr>
      <w:r w:rsidRPr="004068F6">
        <w:rPr>
          <w:b/>
          <w:lang w:val="es-CO"/>
        </w:rPr>
        <w:t>Impacto ambiental potencial</w:t>
      </w:r>
      <w:r w:rsidRPr="004068F6">
        <w:rPr>
          <w:lang w:val="es-CO"/>
        </w:rPr>
        <w:t xml:space="preserve">: impacto ambiental que estima la capacidad que tiene un proyecto, obra o actividad, de generar impactos ambientales sobre los medios </w:t>
      </w:r>
      <w:r w:rsidR="00645126" w:rsidRPr="004068F6">
        <w:rPr>
          <w:lang w:val="es-CO"/>
        </w:rPr>
        <w:t>abiótico</w:t>
      </w:r>
      <w:r w:rsidRPr="004068F6">
        <w:rPr>
          <w:lang w:val="es-CO"/>
        </w:rPr>
        <w:t>, biótico y socioeconómico, debido a sus características intrínsecas, siendo posible evaluarlo con base en actividades previas o que se encuentran en operación.</w:t>
      </w:r>
    </w:p>
    <w:p w14:paraId="57155D8D" w14:textId="77777777" w:rsidR="006B55BF" w:rsidRPr="004068F6" w:rsidRDefault="006B55BF" w:rsidP="00C86DA5">
      <w:pPr>
        <w:suppressAutoHyphens/>
      </w:pPr>
    </w:p>
    <w:p w14:paraId="6CDE9D92" w14:textId="1ABA3651" w:rsidR="001C2289" w:rsidRDefault="00AA4F93" w:rsidP="00C86DA5">
      <w:pPr>
        <w:numPr>
          <w:ilvl w:val="0"/>
          <w:numId w:val="19"/>
        </w:numPr>
        <w:suppressAutoHyphens/>
        <w:ind w:left="567" w:hanging="567"/>
      </w:pPr>
      <w:r w:rsidRPr="004068F6">
        <w:rPr>
          <w:b/>
        </w:rPr>
        <w:t>Impacto ambiental residual</w:t>
      </w:r>
      <w:r w:rsidRPr="004068F6">
        <w:t xml:space="preserve">: </w:t>
      </w:r>
      <w:r w:rsidR="00851CBF" w:rsidRPr="00851CBF">
        <w:t>impacto ambiental que no pudo ser prevenido ni corregido totalmente y que, a pesar de la implementación de medidas de mitigación, persiste en el ambiente</w:t>
      </w:r>
      <w:r w:rsidRPr="004068F6">
        <w:rPr>
          <w:rFonts w:cs="Arial"/>
        </w:rPr>
        <w:t>.</w:t>
      </w:r>
    </w:p>
    <w:p w14:paraId="74874856" w14:textId="77777777" w:rsidR="00AA4F93" w:rsidRPr="004068F6" w:rsidRDefault="00AA4F93" w:rsidP="00D53616">
      <w:pPr>
        <w:rPr>
          <w:rFonts w:cs="Arial"/>
        </w:rPr>
      </w:pPr>
    </w:p>
    <w:p w14:paraId="04EF127E" w14:textId="3D57D327" w:rsidR="00AA4F93" w:rsidRPr="004068F6" w:rsidRDefault="00AA4F93" w:rsidP="00456AB1">
      <w:pPr>
        <w:numPr>
          <w:ilvl w:val="0"/>
          <w:numId w:val="19"/>
        </w:numPr>
        <w:suppressAutoHyphens/>
        <w:ind w:left="567" w:hanging="567"/>
        <w:rPr>
          <w:rFonts w:cs="Arial"/>
        </w:rPr>
      </w:pPr>
      <w:r w:rsidRPr="004068F6">
        <w:rPr>
          <w:rFonts w:cs="Arial"/>
          <w:b/>
        </w:rPr>
        <w:t>Impacto ambiental significativo</w:t>
      </w:r>
      <w:r w:rsidR="007F4556" w:rsidRPr="004068F6">
        <w:rPr>
          <w:rFonts w:cs="Arial"/>
          <w:b/>
        </w:rPr>
        <w:t xml:space="preserve"> negativo</w:t>
      </w:r>
      <w:r w:rsidRPr="004068F6">
        <w:rPr>
          <w:rFonts w:cs="Arial"/>
        </w:rPr>
        <w:t>:</w:t>
      </w:r>
      <w:r w:rsidR="001F2399" w:rsidRPr="004068F6">
        <w:rPr>
          <w:rFonts w:cs="Arial"/>
        </w:rPr>
        <w:t xml:space="preserve"> </w:t>
      </w:r>
      <w:r w:rsidR="001F3DAB" w:rsidRPr="004068F6">
        <w:rPr>
          <w:rFonts w:cs="Arial"/>
        </w:rPr>
        <w:t xml:space="preserve">impacto que dada la sensibilidad ambiental del área en la que se manifiesta, genera una alteración de las condiciones ambientales que </w:t>
      </w:r>
      <w:r w:rsidR="004E125C" w:rsidRPr="004068F6">
        <w:rPr>
          <w:rFonts w:cs="Arial"/>
        </w:rPr>
        <w:t xml:space="preserve">afecta su </w:t>
      </w:r>
      <w:r w:rsidR="001F3DAB" w:rsidRPr="004068F6">
        <w:rPr>
          <w:rFonts w:cs="Arial"/>
        </w:rPr>
        <w:t xml:space="preserve">integridad y </w:t>
      </w:r>
      <w:r w:rsidR="00D763BB">
        <w:rPr>
          <w:rFonts w:cs="Arial"/>
        </w:rPr>
        <w:t xml:space="preserve">limita </w:t>
      </w:r>
      <w:r w:rsidR="006A628F">
        <w:rPr>
          <w:rFonts w:cs="Arial"/>
        </w:rPr>
        <w:t>su</w:t>
      </w:r>
      <w:r w:rsidR="00AE66DC">
        <w:rPr>
          <w:rFonts w:cs="Arial"/>
        </w:rPr>
        <w:t xml:space="preserve"> </w:t>
      </w:r>
      <w:r w:rsidR="005B438C" w:rsidRPr="004068F6">
        <w:rPr>
          <w:rFonts w:cs="Arial"/>
        </w:rPr>
        <w:t xml:space="preserve">capacidad </w:t>
      </w:r>
      <w:r w:rsidR="006A628F">
        <w:rPr>
          <w:rFonts w:cs="Arial"/>
        </w:rPr>
        <w:t xml:space="preserve">para </w:t>
      </w:r>
      <w:r w:rsidR="005B438C" w:rsidRPr="004068F6">
        <w:rPr>
          <w:rFonts w:cs="Arial"/>
        </w:rPr>
        <w:t xml:space="preserve">mantener </w:t>
      </w:r>
      <w:r w:rsidR="006A628F">
        <w:rPr>
          <w:rFonts w:cs="Arial"/>
        </w:rPr>
        <w:t xml:space="preserve">la </w:t>
      </w:r>
      <w:r w:rsidR="001F3DAB" w:rsidRPr="004068F6">
        <w:rPr>
          <w:rFonts w:cs="Arial"/>
        </w:rPr>
        <w:t>sostenibilidad ambiental.</w:t>
      </w:r>
      <w:r w:rsidR="00F90D51" w:rsidRPr="004068F6">
        <w:t xml:space="preserve"> </w:t>
      </w:r>
      <w:r w:rsidR="00772C8D" w:rsidRPr="004068F6">
        <w:t>S</w:t>
      </w:r>
      <w:r w:rsidR="00772C8D" w:rsidRPr="004068F6">
        <w:rPr>
          <w:rFonts w:cs="Arial"/>
        </w:rPr>
        <w:t>e considera</w:t>
      </w:r>
      <w:r w:rsidR="00FE7917" w:rsidRPr="004068F6">
        <w:rPr>
          <w:rFonts w:cs="Arial"/>
        </w:rPr>
        <w:t xml:space="preserve"> como </w:t>
      </w:r>
      <w:r w:rsidR="00772C8D" w:rsidRPr="004068F6">
        <w:rPr>
          <w:rFonts w:cs="Arial"/>
        </w:rPr>
        <w:t>impact</w:t>
      </w:r>
      <w:r w:rsidR="00FE7917" w:rsidRPr="004068F6">
        <w:rPr>
          <w:rFonts w:cs="Arial"/>
        </w:rPr>
        <w:t>o</w:t>
      </w:r>
      <w:r w:rsidR="00772C8D" w:rsidRPr="004068F6">
        <w:rPr>
          <w:rFonts w:cs="Arial"/>
        </w:rPr>
        <w:t xml:space="preserve"> ambiental significativo negativo, </w:t>
      </w:r>
      <w:r w:rsidR="00FE7917" w:rsidRPr="004068F6">
        <w:rPr>
          <w:rFonts w:cs="Arial"/>
        </w:rPr>
        <w:t xml:space="preserve">a todo </w:t>
      </w:r>
      <w:r w:rsidR="00461080" w:rsidRPr="004068F6">
        <w:rPr>
          <w:rFonts w:cs="Arial"/>
        </w:rPr>
        <w:t xml:space="preserve">impacto </w:t>
      </w:r>
      <w:r w:rsidR="00A86B60" w:rsidRPr="004068F6">
        <w:rPr>
          <w:rFonts w:cs="Arial"/>
        </w:rPr>
        <w:t xml:space="preserve">negativo </w:t>
      </w:r>
      <w:r w:rsidR="00F90D51" w:rsidRPr="004068F6">
        <w:rPr>
          <w:rFonts w:cs="Arial"/>
        </w:rPr>
        <w:t>clasificado en l</w:t>
      </w:r>
      <w:r w:rsidR="00461080" w:rsidRPr="004068F6">
        <w:rPr>
          <w:rFonts w:cs="Arial"/>
        </w:rPr>
        <w:t>a</w:t>
      </w:r>
      <w:r w:rsidR="00F90D51" w:rsidRPr="004068F6">
        <w:rPr>
          <w:rFonts w:cs="Arial"/>
        </w:rPr>
        <w:t xml:space="preserve">s tres (3) </w:t>
      </w:r>
      <w:r w:rsidR="00461080" w:rsidRPr="004068F6">
        <w:rPr>
          <w:rFonts w:cs="Arial"/>
        </w:rPr>
        <w:t xml:space="preserve">categorías </w:t>
      </w:r>
      <w:r w:rsidR="00505775" w:rsidRPr="004068F6">
        <w:rPr>
          <w:rFonts w:cs="Arial"/>
        </w:rPr>
        <w:t xml:space="preserve">más altas </w:t>
      </w:r>
      <w:r w:rsidR="00A7135A" w:rsidRPr="004068F6">
        <w:rPr>
          <w:rFonts w:cs="Arial"/>
        </w:rPr>
        <w:t xml:space="preserve">de </w:t>
      </w:r>
      <w:r w:rsidR="005A35CE" w:rsidRPr="004068F6">
        <w:rPr>
          <w:rFonts w:cs="Arial"/>
        </w:rPr>
        <w:t>Potencial normalizado de modificación de las condiciones ambientales</w:t>
      </w:r>
      <w:r w:rsidR="00F90D51" w:rsidRPr="004068F6">
        <w:rPr>
          <w:rFonts w:cs="Arial"/>
        </w:rPr>
        <w:t>.</w:t>
      </w:r>
    </w:p>
    <w:p w14:paraId="66874AE3" w14:textId="77777777" w:rsidR="004E125C" w:rsidRPr="004068F6" w:rsidRDefault="004E125C" w:rsidP="00C86DA5">
      <w:pPr>
        <w:numPr>
          <w:ilvl w:val="12"/>
          <w:numId w:val="0"/>
        </w:numPr>
        <w:tabs>
          <w:tab w:val="left" w:pos="-2268"/>
        </w:tabs>
        <w:suppressAutoHyphens/>
      </w:pPr>
    </w:p>
    <w:p w14:paraId="1B8A1431" w14:textId="42D045C0" w:rsidR="00B92612" w:rsidRPr="004068F6" w:rsidRDefault="00B92612" w:rsidP="00127BD4">
      <w:pPr>
        <w:numPr>
          <w:ilvl w:val="0"/>
          <w:numId w:val="19"/>
        </w:numPr>
        <w:suppressAutoHyphens/>
        <w:ind w:left="567" w:hanging="567"/>
        <w:rPr>
          <w:rFonts w:cs="Arial"/>
          <w:bCs/>
        </w:rPr>
      </w:pPr>
      <w:r w:rsidRPr="00127BD4">
        <w:rPr>
          <w:rFonts w:cs="Arial"/>
          <w:b/>
        </w:rPr>
        <w:t>Impacto ambiental significativo positivo</w:t>
      </w:r>
      <w:r w:rsidRPr="004068F6">
        <w:rPr>
          <w:rFonts w:cs="Arial"/>
          <w:bCs/>
        </w:rPr>
        <w:t xml:space="preserve">: impacto que genera beneficios o mejora las condiciones ambientales del área en la que se manifiesta. </w:t>
      </w:r>
      <w:r w:rsidR="00772C8D" w:rsidRPr="004068F6">
        <w:rPr>
          <w:rFonts w:cs="Arial"/>
          <w:bCs/>
        </w:rPr>
        <w:t>S</w:t>
      </w:r>
      <w:r w:rsidR="00772C8D" w:rsidRPr="004068F6">
        <w:rPr>
          <w:rFonts w:cs="Arial"/>
        </w:rPr>
        <w:t>e consideran como impactos ambientales significativos positivos, l</w:t>
      </w:r>
      <w:r w:rsidR="00450A50" w:rsidRPr="004068F6">
        <w:rPr>
          <w:rFonts w:cs="Arial"/>
        </w:rPr>
        <w:t xml:space="preserve">os impactos </w:t>
      </w:r>
      <w:r w:rsidR="00A86B60" w:rsidRPr="004068F6">
        <w:rPr>
          <w:rFonts w:cs="Arial"/>
        </w:rPr>
        <w:t xml:space="preserve">positivos </w:t>
      </w:r>
      <w:r w:rsidR="00450A50" w:rsidRPr="004068F6">
        <w:rPr>
          <w:rFonts w:cs="Arial"/>
        </w:rPr>
        <w:t>clasificados en las tres (3) categorías más altas de Potencial normalizado de modificación de las condiciones ambientales</w:t>
      </w:r>
      <w:r w:rsidRPr="004068F6">
        <w:rPr>
          <w:rFonts w:cs="Arial"/>
          <w:bCs/>
        </w:rPr>
        <w:t>.</w:t>
      </w:r>
    </w:p>
    <w:p w14:paraId="7456AC2C" w14:textId="77777777" w:rsidR="00B92612" w:rsidRPr="004068F6" w:rsidRDefault="00B92612" w:rsidP="00C86DA5">
      <w:pPr>
        <w:numPr>
          <w:ilvl w:val="12"/>
          <w:numId w:val="0"/>
        </w:numPr>
        <w:tabs>
          <w:tab w:val="left" w:pos="-2268"/>
        </w:tabs>
        <w:suppressAutoHyphens/>
      </w:pPr>
    </w:p>
    <w:p w14:paraId="3AA7CDEF" w14:textId="60079583" w:rsidR="00AA4F93" w:rsidRPr="004068F6" w:rsidRDefault="00AA4F93" w:rsidP="00C86DA5">
      <w:pPr>
        <w:numPr>
          <w:ilvl w:val="0"/>
          <w:numId w:val="21"/>
        </w:numPr>
        <w:suppressAutoHyphens/>
        <w:ind w:left="567" w:hanging="567"/>
      </w:pPr>
      <w:r w:rsidRPr="004068F6">
        <w:rPr>
          <w:b/>
        </w:rPr>
        <w:t>Impacto</w:t>
      </w:r>
      <w:r w:rsidRPr="004068F6">
        <w:rPr>
          <w:rFonts w:cs="Arial"/>
          <w:b/>
        </w:rPr>
        <w:t xml:space="preserve"> ambiental</w:t>
      </w:r>
      <w:r w:rsidRPr="004068F6">
        <w:rPr>
          <w:b/>
        </w:rPr>
        <w:t xml:space="preserve"> sinérgico</w:t>
      </w:r>
      <w:r w:rsidRPr="004068F6">
        <w:t xml:space="preserve">: </w:t>
      </w:r>
      <w:r w:rsidR="006F7FAB" w:rsidRPr="004068F6">
        <w:rPr>
          <w:rFonts w:cs="Arial"/>
          <w:bCs/>
        </w:rPr>
        <w:t>impacto que tiene la capacidad de interactuar con otros y</w:t>
      </w:r>
      <w:r w:rsidR="005D4791" w:rsidRPr="004068F6">
        <w:rPr>
          <w:rFonts w:cs="Arial"/>
          <w:bCs/>
        </w:rPr>
        <w:t>,</w:t>
      </w:r>
      <w:r w:rsidR="006F7FAB" w:rsidRPr="004068F6">
        <w:rPr>
          <w:rFonts w:cs="Arial"/>
          <w:bCs/>
        </w:rPr>
        <w:t xml:space="preserve"> a partir de ello, de generar impactos ambientales adicionales o de modificar su significancia o la de cualquiera de los impactos con los que interactúa</w:t>
      </w:r>
      <w:r w:rsidR="000A44CD" w:rsidRPr="004068F6">
        <w:t>.</w:t>
      </w:r>
      <w:r w:rsidR="00CF2BB6" w:rsidRPr="004068F6">
        <w:t xml:space="preserve"> </w:t>
      </w:r>
      <w:r w:rsidR="00CF2BB6" w:rsidRPr="004068F6">
        <w:rPr>
          <w:vertAlign w:val="superscript"/>
        </w:rPr>
        <w:t>[</w:t>
      </w:r>
      <w:r w:rsidRPr="004068F6">
        <w:rPr>
          <w:vertAlign w:val="superscript"/>
        </w:rPr>
        <w:endnoteReference w:id="29"/>
      </w:r>
      <w:r w:rsidR="00CF2BB6" w:rsidRPr="004068F6">
        <w:rPr>
          <w:vertAlign w:val="superscript"/>
        </w:rPr>
        <w:t>]</w:t>
      </w:r>
    </w:p>
    <w:p w14:paraId="52941BA5" w14:textId="77777777" w:rsidR="00AA4F93" w:rsidRPr="004068F6" w:rsidRDefault="00AA4F93" w:rsidP="009420F5">
      <w:pPr>
        <w:suppressAutoHyphens/>
      </w:pPr>
    </w:p>
    <w:p w14:paraId="491BD9DB" w14:textId="50F81C06" w:rsidR="00F22D60" w:rsidRPr="00127BD4" w:rsidRDefault="00F22D60">
      <w:pPr>
        <w:numPr>
          <w:ilvl w:val="0"/>
          <w:numId w:val="21"/>
        </w:numPr>
        <w:suppressAutoHyphens/>
        <w:ind w:left="567" w:hanging="567"/>
      </w:pPr>
      <w:r w:rsidRPr="00127BD4">
        <w:rPr>
          <w:b/>
        </w:rPr>
        <w:lastRenderedPageBreak/>
        <w:t>Intervisibilidad del paisaje</w:t>
      </w:r>
      <w:r w:rsidRPr="00127BD4">
        <w:t>: condición característica de las áreas que presentan una visibilidad recíproca, es decir, de zonas donde el alcance visual, tanto de los observadores establecidos como de la infraestructura y obras del proyecto, se superponen.</w:t>
      </w:r>
    </w:p>
    <w:p w14:paraId="1EFF5C8A" w14:textId="77777777" w:rsidR="00F22D60" w:rsidRPr="004068F6" w:rsidRDefault="00F22D60" w:rsidP="009420F5">
      <w:pPr>
        <w:suppressAutoHyphens/>
      </w:pPr>
    </w:p>
    <w:p w14:paraId="6FEEA8E1" w14:textId="5957F203" w:rsidR="000017C0" w:rsidRPr="004068F6" w:rsidRDefault="000017C0" w:rsidP="00127BD4">
      <w:pPr>
        <w:numPr>
          <w:ilvl w:val="0"/>
          <w:numId w:val="19"/>
        </w:numPr>
        <w:suppressAutoHyphens/>
        <w:ind w:left="567" w:hanging="567"/>
        <w:rPr>
          <w:bCs/>
        </w:rPr>
      </w:pPr>
      <w:r w:rsidRPr="004068F6">
        <w:rPr>
          <w:b/>
        </w:rPr>
        <w:t xml:space="preserve">Medida de adaptación: </w:t>
      </w:r>
      <w:r w:rsidRPr="004068F6">
        <w:t>acción concreta y deliberada que reduce la exposición, disminuye la sensibilidad o incrementa la capacidad adaptativa de sistemas humanos o naturales frente a amenazas climáticas.</w:t>
      </w:r>
    </w:p>
    <w:p w14:paraId="364CB1EC" w14:textId="77777777" w:rsidR="000017C0" w:rsidRPr="004068F6" w:rsidRDefault="000017C0" w:rsidP="009420F5">
      <w:pPr>
        <w:suppressAutoHyphens/>
      </w:pPr>
    </w:p>
    <w:p w14:paraId="1A9037D1" w14:textId="14B943D3" w:rsidR="00AA4F93" w:rsidRPr="004068F6" w:rsidRDefault="00AA4F93" w:rsidP="00C86DA5">
      <w:pPr>
        <w:numPr>
          <w:ilvl w:val="0"/>
          <w:numId w:val="19"/>
        </w:numPr>
        <w:suppressAutoHyphens/>
        <w:ind w:left="567" w:hanging="567"/>
      </w:pPr>
      <w:r w:rsidRPr="00C9112E">
        <w:rPr>
          <w:b/>
        </w:rPr>
        <w:t>Medida de compensación</w:t>
      </w:r>
      <w:r w:rsidRPr="00C9112E">
        <w:t xml:space="preserve">: </w:t>
      </w:r>
      <w:r w:rsidR="00620972" w:rsidRPr="00C9112E">
        <w:t>acci</w:t>
      </w:r>
      <w:r w:rsidR="0080177D" w:rsidRPr="00C9112E">
        <w:t>ón</w:t>
      </w:r>
      <w:r w:rsidRPr="004068F6">
        <w:t xml:space="preserve"> dirigida a </w:t>
      </w:r>
      <w:r w:rsidR="00BA4EBC" w:rsidRPr="004068F6">
        <w:t xml:space="preserve">resarcir y retribuir a las comunidades, las regiones, localidades y al entorno natural por los impactos negativos generados por un proyecto, obra o actividad, que no puedan ser </w:t>
      </w:r>
      <w:r w:rsidR="002F5611">
        <w:t>prevenidos</w:t>
      </w:r>
      <w:r w:rsidR="00BA4EBC" w:rsidRPr="004068F6">
        <w:t>, mitigados</w:t>
      </w:r>
      <w:r w:rsidR="002F5611">
        <w:t xml:space="preserve"> o </w:t>
      </w:r>
      <w:r w:rsidR="002F5611" w:rsidRPr="004068F6">
        <w:t>corregidos</w:t>
      </w:r>
      <w:r w:rsidRPr="004068F6">
        <w:t>.</w:t>
      </w:r>
    </w:p>
    <w:p w14:paraId="29BA15E8" w14:textId="7D12DD3A" w:rsidR="00AA4F93" w:rsidRPr="004068F6" w:rsidRDefault="00AA4F93" w:rsidP="00BA4EBC"/>
    <w:p w14:paraId="62E73BF9" w14:textId="16326FF2" w:rsidR="00AA4F93" w:rsidRPr="004068F6" w:rsidRDefault="00AA4F93" w:rsidP="00C86DA5">
      <w:pPr>
        <w:numPr>
          <w:ilvl w:val="0"/>
          <w:numId w:val="19"/>
        </w:numPr>
        <w:suppressAutoHyphens/>
        <w:ind w:left="567" w:hanging="567"/>
      </w:pPr>
      <w:r w:rsidRPr="00437916">
        <w:rPr>
          <w:b/>
        </w:rPr>
        <w:t>Medida de corrección</w:t>
      </w:r>
      <w:r w:rsidRPr="00437916">
        <w:t xml:space="preserve">: </w:t>
      </w:r>
      <w:r w:rsidR="00620972" w:rsidRPr="00437916">
        <w:t>acci</w:t>
      </w:r>
      <w:r w:rsidR="0080177D" w:rsidRPr="00437916">
        <w:t>ó</w:t>
      </w:r>
      <w:r w:rsidR="00620972" w:rsidRPr="00437916">
        <w:t>n</w:t>
      </w:r>
      <w:r w:rsidRPr="00437916">
        <w:t xml:space="preserve"> dirigida a recuperar, restaurar o reparar las condiciones del ambiente </w:t>
      </w:r>
      <w:r w:rsidR="0085063E" w:rsidRPr="00437916">
        <w:t>impactad</w:t>
      </w:r>
      <w:r w:rsidR="00ED42DC" w:rsidRPr="00437916">
        <w:t>as</w:t>
      </w:r>
      <w:r w:rsidR="00864D9E">
        <w:t xml:space="preserve"> negativamente</w:t>
      </w:r>
      <w:r w:rsidRPr="004068F6">
        <w:t xml:space="preserve"> por </w:t>
      </w:r>
      <w:r w:rsidR="00C27D9F">
        <w:t xml:space="preserve">un </w:t>
      </w:r>
      <w:r w:rsidRPr="004068F6">
        <w:t>proyecto, obra o actividad.</w:t>
      </w:r>
    </w:p>
    <w:p w14:paraId="5BF49F5D" w14:textId="013FFD17" w:rsidR="00AA4F93" w:rsidRPr="004068F6" w:rsidRDefault="00AA4F93" w:rsidP="00D9438B"/>
    <w:p w14:paraId="52929FCE" w14:textId="4A70D6A6" w:rsidR="00AA4F93" w:rsidRPr="004068F6" w:rsidRDefault="00AA4F93" w:rsidP="00C807D5">
      <w:pPr>
        <w:numPr>
          <w:ilvl w:val="0"/>
          <w:numId w:val="19"/>
        </w:numPr>
        <w:suppressAutoHyphens/>
        <w:ind w:left="567" w:hanging="567"/>
      </w:pPr>
      <w:r w:rsidRPr="00332492">
        <w:rPr>
          <w:b/>
        </w:rPr>
        <w:t>Medida de mitigación</w:t>
      </w:r>
      <w:r w:rsidRPr="00332492">
        <w:t xml:space="preserve">: </w:t>
      </w:r>
      <w:r w:rsidR="00620972" w:rsidRPr="00332492">
        <w:t>acci</w:t>
      </w:r>
      <w:r w:rsidR="0080177D" w:rsidRPr="00332492">
        <w:t>ó</w:t>
      </w:r>
      <w:r w:rsidR="00620972" w:rsidRPr="00332492">
        <w:t>n</w:t>
      </w:r>
      <w:r w:rsidRPr="00332492">
        <w:t xml:space="preserve"> dirigida </w:t>
      </w:r>
      <w:r w:rsidR="00C807D5" w:rsidRPr="00332492">
        <w:t>a minimizar los impactos negativos de un proyecto, obra o actividad</w:t>
      </w:r>
      <w:r w:rsidR="00C807D5" w:rsidRPr="004068F6">
        <w:t xml:space="preserve"> sobre el ambiente</w:t>
      </w:r>
      <w:r w:rsidRPr="004068F6">
        <w:t>.</w:t>
      </w:r>
    </w:p>
    <w:p w14:paraId="23DA7ADC" w14:textId="77777777" w:rsidR="001A4259" w:rsidRPr="004068F6" w:rsidRDefault="001A4259" w:rsidP="000D6E21"/>
    <w:p w14:paraId="3B5D7BF8" w14:textId="1DE8A753" w:rsidR="001A4259" w:rsidRPr="004068F6" w:rsidRDefault="001A4259" w:rsidP="000D6E21">
      <w:pPr>
        <w:numPr>
          <w:ilvl w:val="0"/>
          <w:numId w:val="19"/>
        </w:numPr>
        <w:suppressAutoHyphens/>
        <w:ind w:left="567" w:hanging="567"/>
        <w:rPr>
          <w:bCs/>
        </w:rPr>
      </w:pPr>
      <w:r w:rsidRPr="004068F6">
        <w:rPr>
          <w:b/>
        </w:rPr>
        <w:t>Medida de mitigación de gases de efecto invernadero</w:t>
      </w:r>
      <w:r w:rsidRPr="004068F6">
        <w:rPr>
          <w:bCs/>
        </w:rPr>
        <w:t xml:space="preserve">: tecnología, proceso o práctica que contribuye a la mitigación de gases de efecto invernadero, por ejemplo, </w:t>
      </w:r>
      <w:r w:rsidR="00BB719A" w:rsidRPr="004068F6">
        <w:rPr>
          <w:bCs/>
        </w:rPr>
        <w:t xml:space="preserve">la </w:t>
      </w:r>
      <w:r w:rsidRPr="004068F6">
        <w:rPr>
          <w:bCs/>
        </w:rPr>
        <w:t xml:space="preserve">tecnología de energía renovable, </w:t>
      </w:r>
      <w:r w:rsidR="00BB719A" w:rsidRPr="004068F6">
        <w:rPr>
          <w:bCs/>
        </w:rPr>
        <w:t xml:space="preserve">el </w:t>
      </w:r>
      <w:r w:rsidRPr="004068F6">
        <w:rPr>
          <w:bCs/>
        </w:rPr>
        <w:t xml:space="preserve">proceso de minimización de desechos y </w:t>
      </w:r>
      <w:r w:rsidR="00BB719A" w:rsidRPr="004068F6">
        <w:rPr>
          <w:bCs/>
        </w:rPr>
        <w:t xml:space="preserve">la </w:t>
      </w:r>
      <w:r w:rsidRPr="004068F6">
        <w:rPr>
          <w:bCs/>
        </w:rPr>
        <w:t xml:space="preserve">práctica </w:t>
      </w:r>
      <w:r w:rsidR="00BB719A" w:rsidRPr="004068F6">
        <w:rPr>
          <w:bCs/>
        </w:rPr>
        <w:t xml:space="preserve">de </w:t>
      </w:r>
      <w:r w:rsidRPr="004068F6">
        <w:rPr>
          <w:bCs/>
        </w:rPr>
        <w:t>prom</w:t>
      </w:r>
      <w:r w:rsidR="00BB719A" w:rsidRPr="004068F6">
        <w:rPr>
          <w:bCs/>
        </w:rPr>
        <w:t>oción d</w:t>
      </w:r>
      <w:r w:rsidRPr="004068F6">
        <w:rPr>
          <w:bCs/>
        </w:rPr>
        <w:t xml:space="preserve">el uso del transporte público. </w:t>
      </w:r>
      <w:r w:rsidRPr="004068F6">
        <w:rPr>
          <w:vertAlign w:val="superscript"/>
        </w:rPr>
        <w:t>[</w:t>
      </w:r>
      <w:r w:rsidRPr="004068F6">
        <w:rPr>
          <w:vertAlign w:val="superscript"/>
        </w:rPr>
        <w:endnoteReference w:id="30"/>
      </w:r>
      <w:r w:rsidRPr="004068F6">
        <w:rPr>
          <w:vertAlign w:val="superscript"/>
        </w:rPr>
        <w:t>]</w:t>
      </w:r>
    </w:p>
    <w:p w14:paraId="7C28E182" w14:textId="77777777" w:rsidR="00C807D5" w:rsidRPr="004068F6" w:rsidRDefault="00C807D5" w:rsidP="00C807D5">
      <w:pPr>
        <w:suppressAutoHyphens/>
      </w:pPr>
    </w:p>
    <w:p w14:paraId="2E80FA83" w14:textId="09B547E4" w:rsidR="00AA4F93" w:rsidRPr="004068F6" w:rsidRDefault="00AA4F93" w:rsidP="00F67F83">
      <w:pPr>
        <w:numPr>
          <w:ilvl w:val="0"/>
          <w:numId w:val="19"/>
        </w:numPr>
        <w:suppressAutoHyphens/>
        <w:ind w:left="567" w:hanging="567"/>
      </w:pPr>
      <w:r w:rsidRPr="00332492">
        <w:rPr>
          <w:b/>
        </w:rPr>
        <w:t>Medida de prevención</w:t>
      </w:r>
      <w:r w:rsidRPr="00332492">
        <w:t xml:space="preserve">: </w:t>
      </w:r>
      <w:r w:rsidR="0090320E" w:rsidRPr="0090320E">
        <w:t>acción encaminada a impedir los impactos negativos que puede generar la ejecución de un proyecto, obra o actividad sobre el ambiente</w:t>
      </w:r>
      <w:r w:rsidRPr="004068F6">
        <w:t>.</w:t>
      </w:r>
    </w:p>
    <w:p w14:paraId="25172EA3" w14:textId="2003DC51" w:rsidR="00AA4F93" w:rsidRPr="004068F6" w:rsidRDefault="00AA4F93" w:rsidP="009420F5"/>
    <w:p w14:paraId="4AC6CDDD" w14:textId="03C4A915" w:rsidR="00AA4F93" w:rsidRPr="004068F6" w:rsidRDefault="00AA4F93" w:rsidP="00C86DA5">
      <w:pPr>
        <w:numPr>
          <w:ilvl w:val="0"/>
          <w:numId w:val="19"/>
        </w:numPr>
        <w:suppressAutoHyphens/>
        <w:ind w:left="567" w:hanging="567"/>
      </w:pPr>
      <w:r w:rsidRPr="004068F6">
        <w:rPr>
          <w:b/>
        </w:rPr>
        <w:t>Medio</w:t>
      </w:r>
      <w:r w:rsidRPr="004068F6">
        <w:t xml:space="preserve">: </w:t>
      </w:r>
      <w:r w:rsidR="00396B0B" w:rsidRPr="004068F6">
        <w:t>d</w:t>
      </w:r>
      <w:r w:rsidR="00B06F49" w:rsidRPr="004068F6">
        <w:t>ivisión</w:t>
      </w:r>
      <w:r w:rsidRPr="004068F6">
        <w:t xml:space="preserve"> general que se realiza del ambiente para </w:t>
      </w:r>
      <w:r w:rsidR="00396B0B" w:rsidRPr="004068F6">
        <w:rPr>
          <w:rFonts w:cs="Arial"/>
        </w:rPr>
        <w:t>facilitar</w:t>
      </w:r>
      <w:r w:rsidRPr="004068F6">
        <w:t xml:space="preserve"> </w:t>
      </w:r>
      <w:r w:rsidR="008740E1" w:rsidRPr="004068F6">
        <w:t>su</w:t>
      </w:r>
      <w:r w:rsidRPr="004068F6">
        <w:t xml:space="preserve"> análisis y entendimiento. En el contexto de los estudios ambientales corresponde al abiótico, biótico </w:t>
      </w:r>
      <w:r w:rsidR="006C3432" w:rsidRPr="004068F6">
        <w:t>o</w:t>
      </w:r>
      <w:r w:rsidRPr="004068F6">
        <w:t xml:space="preserve"> socioeconómico.</w:t>
      </w:r>
    </w:p>
    <w:p w14:paraId="1D92379B" w14:textId="77777777" w:rsidR="00D9389C" w:rsidRPr="004068F6" w:rsidRDefault="00D9389C" w:rsidP="00D9389C"/>
    <w:p w14:paraId="6EB46D31" w14:textId="3D63765B" w:rsidR="00D9389C" w:rsidRPr="004068F6" w:rsidRDefault="00D9389C" w:rsidP="000D6E21">
      <w:pPr>
        <w:numPr>
          <w:ilvl w:val="0"/>
          <w:numId w:val="19"/>
        </w:numPr>
        <w:suppressAutoHyphens/>
        <w:ind w:left="567" w:hanging="567"/>
        <w:rPr>
          <w:bCs/>
        </w:rPr>
      </w:pPr>
      <w:r w:rsidRPr="004068F6">
        <w:rPr>
          <w:b/>
        </w:rPr>
        <w:t>Medio de implementación</w:t>
      </w:r>
      <w:r w:rsidRPr="004068F6">
        <w:rPr>
          <w:bCs/>
        </w:rPr>
        <w:t xml:space="preserve">: </w:t>
      </w:r>
      <w:r w:rsidR="001A1DAB" w:rsidRPr="004068F6">
        <w:rPr>
          <w:bCs/>
        </w:rPr>
        <w:t>e</w:t>
      </w:r>
      <w:r w:rsidRPr="004068F6">
        <w:rPr>
          <w:bCs/>
        </w:rPr>
        <w:t>n términos de la Convención Marco de las Naciones Unidas sobre el Cambio Climático, CMNUCC, los medios de implementación son las herramientas que permitirán la puesta en funcionamiento de acciones de mitigación y adaptación al cambio climático, tales como el financiamiento, la transferencia de tecnología y la construcción de capacidades, entre otros.</w:t>
      </w:r>
      <w:r w:rsidR="000B0F18" w:rsidRPr="004068F6">
        <w:rPr>
          <w:bCs/>
        </w:rPr>
        <w:t xml:space="preserve"> </w:t>
      </w:r>
      <w:r w:rsidR="000B0F18" w:rsidRPr="004068F6">
        <w:rPr>
          <w:rFonts w:cs="Arial"/>
          <w:vertAlign w:val="superscript"/>
        </w:rPr>
        <w:t>[</w:t>
      </w:r>
      <w:r w:rsidR="000B0F18" w:rsidRPr="004068F6">
        <w:rPr>
          <w:rFonts w:cs="Arial"/>
          <w:vertAlign w:val="superscript"/>
        </w:rPr>
        <w:fldChar w:fldCharType="begin"/>
      </w:r>
      <w:r w:rsidR="000B0F18" w:rsidRPr="004068F6">
        <w:rPr>
          <w:rFonts w:cs="Arial"/>
          <w:vertAlign w:val="superscript"/>
        </w:rPr>
        <w:instrText xml:space="preserve"> NOTEREF _Ref44840425 \h  \* MERGEFORMAT </w:instrText>
      </w:r>
      <w:r w:rsidR="000B0F18" w:rsidRPr="004068F6">
        <w:rPr>
          <w:rFonts w:cs="Arial"/>
          <w:vertAlign w:val="superscript"/>
        </w:rPr>
      </w:r>
      <w:r w:rsidR="000B0F18" w:rsidRPr="004068F6">
        <w:rPr>
          <w:rFonts w:cs="Arial"/>
          <w:vertAlign w:val="superscript"/>
        </w:rPr>
        <w:fldChar w:fldCharType="separate"/>
      </w:r>
      <w:r w:rsidR="009C4A81">
        <w:rPr>
          <w:rFonts w:cs="Arial"/>
          <w:vertAlign w:val="superscript"/>
        </w:rPr>
        <w:t>2</w:t>
      </w:r>
      <w:r w:rsidR="000B0F18" w:rsidRPr="004068F6">
        <w:rPr>
          <w:rFonts w:cs="Arial"/>
          <w:vertAlign w:val="superscript"/>
        </w:rPr>
        <w:fldChar w:fldCharType="end"/>
      </w:r>
      <w:r w:rsidR="000B0F18" w:rsidRPr="004068F6">
        <w:rPr>
          <w:rFonts w:cs="Arial"/>
          <w:vertAlign w:val="superscript"/>
        </w:rPr>
        <w:t>]</w:t>
      </w:r>
    </w:p>
    <w:p w14:paraId="47D47D7D" w14:textId="77777777" w:rsidR="00AA4F93" w:rsidRPr="004068F6" w:rsidRDefault="00AA4F93" w:rsidP="009420F5"/>
    <w:p w14:paraId="3DDEF4F5" w14:textId="548342DB" w:rsidR="00AA4F93" w:rsidRPr="004068F6" w:rsidRDefault="00AA4F93" w:rsidP="00456AB1">
      <w:pPr>
        <w:numPr>
          <w:ilvl w:val="0"/>
          <w:numId w:val="19"/>
        </w:numPr>
        <w:suppressAutoHyphens/>
        <w:ind w:left="567" w:hanging="567"/>
        <w:rPr>
          <w:rFonts w:cs="Arial"/>
        </w:rPr>
      </w:pPr>
      <w:r w:rsidRPr="004068F6">
        <w:rPr>
          <w:rFonts w:cs="Arial"/>
          <w:b/>
        </w:rPr>
        <w:lastRenderedPageBreak/>
        <w:t>Metadato</w:t>
      </w:r>
      <w:r w:rsidRPr="004068F6">
        <w:rPr>
          <w:rFonts w:cs="Arial"/>
        </w:rPr>
        <w:t xml:space="preserve">: </w:t>
      </w:r>
      <w:r w:rsidR="0080177D" w:rsidRPr="004068F6">
        <w:rPr>
          <w:rFonts w:cs="Arial"/>
        </w:rPr>
        <w:t>datos acerca del contenido, calidad, condición u otras características de los datos</w:t>
      </w:r>
      <w:r w:rsidR="006A5D01" w:rsidRPr="004068F6">
        <w:rPr>
          <w:rFonts w:cs="Arial"/>
        </w:rPr>
        <w:t>.</w:t>
      </w:r>
      <w:r w:rsidR="00CF2BB6" w:rsidRPr="004068F6">
        <w:rPr>
          <w:rFonts w:cs="Arial"/>
        </w:rPr>
        <w:t xml:space="preserve"> </w:t>
      </w:r>
      <w:r w:rsidR="00CF2BB6" w:rsidRPr="004068F6">
        <w:rPr>
          <w:rFonts w:cs="Arial"/>
          <w:vertAlign w:val="superscript"/>
        </w:rPr>
        <w:t>[</w:t>
      </w:r>
      <w:r w:rsidRPr="004068F6">
        <w:rPr>
          <w:rStyle w:val="Refdenotaalfinal"/>
          <w:rFonts w:cs="Arial"/>
        </w:rPr>
        <w:endnoteReference w:id="31"/>
      </w:r>
      <w:r w:rsidR="00CF2BB6" w:rsidRPr="004068F6">
        <w:rPr>
          <w:rFonts w:cs="Arial"/>
          <w:vertAlign w:val="superscript"/>
        </w:rPr>
        <w:t>]</w:t>
      </w:r>
    </w:p>
    <w:p w14:paraId="2D683EF6" w14:textId="77777777" w:rsidR="00AA4F93" w:rsidRPr="004068F6" w:rsidRDefault="00AA4F93" w:rsidP="009420F5">
      <w:pPr>
        <w:suppressAutoHyphens/>
        <w:rPr>
          <w:rFonts w:cs="Arial"/>
        </w:rPr>
      </w:pPr>
    </w:p>
    <w:p w14:paraId="134422AF" w14:textId="0D16D312" w:rsidR="00AA4F93" w:rsidRPr="004068F6" w:rsidRDefault="00AA4F93" w:rsidP="00C86DA5">
      <w:pPr>
        <w:pStyle w:val="Prrafodelista"/>
        <w:numPr>
          <w:ilvl w:val="0"/>
          <w:numId w:val="19"/>
        </w:numPr>
        <w:suppressAutoHyphens/>
        <w:spacing w:line="259" w:lineRule="auto"/>
        <w:ind w:left="567" w:hanging="567"/>
        <w:rPr>
          <w:rFonts w:cs="Arial"/>
          <w:lang w:val="es-CO"/>
        </w:rPr>
      </w:pPr>
      <w:r w:rsidRPr="004068F6">
        <w:rPr>
          <w:rFonts w:cs="Arial"/>
          <w:b/>
          <w:lang w:val="es-CO"/>
        </w:rPr>
        <w:t>Mitigación de gases de efecto invernadero</w:t>
      </w:r>
      <w:r w:rsidRPr="004068F6">
        <w:rPr>
          <w:rFonts w:cs="Arial"/>
          <w:lang w:val="es-CO"/>
        </w:rPr>
        <w:t xml:space="preserve">: </w:t>
      </w:r>
      <w:r w:rsidR="002A76FD" w:rsidRPr="004068F6">
        <w:rPr>
          <w:rFonts w:cs="Arial"/>
          <w:lang w:val="es-CO"/>
        </w:rPr>
        <w:t xml:space="preserve">gestión que busca reducir los niveles de emisiones de gases de efecto invernadero en la atmósfera a través de la limitación o disminución de las fuentes de emisiones de gases de efecto invernadero y el aumento o mejora de los sumideros y reservas de gases de efecto invernadero. </w:t>
      </w:r>
      <w:r w:rsidR="00CF2BB6" w:rsidRPr="004068F6">
        <w:rPr>
          <w:rFonts w:cs="Arial"/>
          <w:vertAlign w:val="superscript"/>
          <w:lang w:val="es-CO"/>
        </w:rPr>
        <w:t>[</w:t>
      </w:r>
      <w:r w:rsidR="00FB1D69" w:rsidRPr="004068F6">
        <w:rPr>
          <w:rFonts w:cs="Arial"/>
          <w:vertAlign w:val="superscript"/>
          <w:lang w:val="es-CO"/>
        </w:rPr>
        <w:fldChar w:fldCharType="begin"/>
      </w:r>
      <w:r w:rsidR="00FB1D69" w:rsidRPr="004068F6">
        <w:rPr>
          <w:rFonts w:cs="Arial"/>
          <w:vertAlign w:val="superscript"/>
          <w:lang w:val="es-CO"/>
        </w:rPr>
        <w:instrText xml:space="preserve"> NOTEREF _Ref44840425 \h </w:instrText>
      </w:r>
      <w:r w:rsidR="006A4128" w:rsidRPr="004068F6">
        <w:rPr>
          <w:rFonts w:cs="Arial"/>
          <w:vertAlign w:val="superscript"/>
          <w:lang w:val="es-CO"/>
        </w:rPr>
        <w:instrText xml:space="preserve"> \* MERGEFORMAT </w:instrText>
      </w:r>
      <w:r w:rsidR="00FB1D69" w:rsidRPr="004068F6">
        <w:rPr>
          <w:rFonts w:cs="Arial"/>
          <w:vertAlign w:val="superscript"/>
          <w:lang w:val="es-CO"/>
        </w:rPr>
      </w:r>
      <w:r w:rsidR="00FB1D69" w:rsidRPr="004068F6">
        <w:rPr>
          <w:rFonts w:cs="Arial"/>
          <w:vertAlign w:val="superscript"/>
          <w:lang w:val="es-CO"/>
        </w:rPr>
        <w:fldChar w:fldCharType="separate"/>
      </w:r>
      <w:r w:rsidR="009C4A81">
        <w:rPr>
          <w:rFonts w:cs="Arial"/>
          <w:vertAlign w:val="superscript"/>
          <w:lang w:val="es-CO"/>
        </w:rPr>
        <w:t>2</w:t>
      </w:r>
      <w:r w:rsidR="00FB1D69" w:rsidRPr="004068F6">
        <w:rPr>
          <w:rFonts w:cs="Arial"/>
          <w:vertAlign w:val="superscript"/>
          <w:lang w:val="es-CO"/>
        </w:rPr>
        <w:fldChar w:fldCharType="end"/>
      </w:r>
      <w:r w:rsidR="00CF2BB6" w:rsidRPr="004068F6">
        <w:rPr>
          <w:rFonts w:cs="Arial"/>
          <w:vertAlign w:val="superscript"/>
          <w:lang w:val="es-CO"/>
        </w:rPr>
        <w:t>]</w:t>
      </w:r>
    </w:p>
    <w:p w14:paraId="37F359B5" w14:textId="77777777" w:rsidR="00AA4F93" w:rsidRPr="004068F6" w:rsidRDefault="00AA4F93" w:rsidP="009420F5">
      <w:pPr>
        <w:rPr>
          <w:rFonts w:cs="Arial"/>
        </w:rPr>
      </w:pPr>
    </w:p>
    <w:p w14:paraId="0DC54F32" w14:textId="4798B752" w:rsidR="00AA4F93" w:rsidRPr="004068F6" w:rsidRDefault="00AA4F93" w:rsidP="00C86DA5">
      <w:pPr>
        <w:numPr>
          <w:ilvl w:val="0"/>
          <w:numId w:val="19"/>
        </w:numPr>
        <w:suppressAutoHyphens/>
        <w:ind w:left="567" w:hanging="567"/>
      </w:pPr>
      <w:r w:rsidRPr="004068F6">
        <w:rPr>
          <w:b/>
        </w:rPr>
        <w:t>Mitigación del riesgo</w:t>
      </w:r>
      <w:r w:rsidRPr="004068F6">
        <w:t xml:space="preserve">: </w:t>
      </w:r>
      <w:r w:rsidR="00FC0554" w:rsidRPr="004068F6">
        <w:t>conjunto</w:t>
      </w:r>
      <w:r w:rsidRPr="004068F6">
        <w:t xml:space="preserve"> de medidas de</w:t>
      </w:r>
      <w:r w:rsidR="00040EA8" w:rsidRPr="004068F6">
        <w:t xml:space="preserve"> </w:t>
      </w:r>
      <w:r w:rsidRPr="004068F6">
        <w:t>intervención pr</w:t>
      </w:r>
      <w:r w:rsidR="003705E9" w:rsidRPr="004068F6">
        <w:t>o</w:t>
      </w:r>
      <w:r w:rsidRPr="004068F6">
        <w:t>s</w:t>
      </w:r>
      <w:r w:rsidR="003705E9" w:rsidRPr="004068F6">
        <w:t>pectivas</w:t>
      </w:r>
      <w:r w:rsidRPr="004068F6">
        <w:t xml:space="preserve"> o correctiva</w:t>
      </w:r>
      <w:r w:rsidR="003705E9" w:rsidRPr="004068F6">
        <w:t>s</w:t>
      </w:r>
      <w:r w:rsidRPr="004068F6">
        <w:t xml:space="preserve"> dirigidas a reducir o disminuir los daños y pérdidas que se puedan presentar a través de reglamentos de seguridad y proyectos de inversión pública o privada cuyo objetivo es reducir las condiciones de amenaza, cuando sea posible, y la vulnerabilidad existente</w:t>
      </w:r>
      <w:r w:rsidR="00761FEE" w:rsidRPr="004068F6">
        <w:t>.</w:t>
      </w:r>
      <w:r w:rsidR="007C2A47" w:rsidRPr="004068F6">
        <w:t xml:space="preserve"> </w:t>
      </w:r>
      <w:r w:rsidR="00CF2BB6" w:rsidRPr="004068F6">
        <w:rPr>
          <w:vertAlign w:val="superscript"/>
        </w:rPr>
        <w:t>[</w:t>
      </w:r>
      <w:r w:rsidR="00FB1D69" w:rsidRPr="004068F6">
        <w:rPr>
          <w:vertAlign w:val="superscript"/>
        </w:rPr>
        <w:fldChar w:fldCharType="begin"/>
      </w:r>
      <w:r w:rsidR="00FB1D69" w:rsidRPr="004068F6">
        <w:rPr>
          <w:vertAlign w:val="superscript"/>
        </w:rPr>
        <w:instrText xml:space="preserve"> NOTEREF _Ref44841712 \h </w:instrText>
      </w:r>
      <w:r w:rsidR="006A4128" w:rsidRPr="004068F6">
        <w:rPr>
          <w:vertAlign w:val="superscript"/>
        </w:rPr>
        <w:instrText xml:space="preserve"> \* MERGEFORMAT </w:instrText>
      </w:r>
      <w:r w:rsidR="00FB1D69" w:rsidRPr="004068F6">
        <w:rPr>
          <w:vertAlign w:val="superscript"/>
        </w:rPr>
      </w:r>
      <w:r w:rsidR="00FB1D69" w:rsidRPr="004068F6">
        <w:rPr>
          <w:vertAlign w:val="superscript"/>
        </w:rPr>
        <w:fldChar w:fldCharType="separate"/>
      </w:r>
      <w:r w:rsidR="009C4A81">
        <w:rPr>
          <w:vertAlign w:val="superscript"/>
        </w:rPr>
        <w:t>6</w:t>
      </w:r>
      <w:r w:rsidR="00FB1D69" w:rsidRPr="004068F6">
        <w:rPr>
          <w:vertAlign w:val="superscript"/>
        </w:rPr>
        <w:fldChar w:fldCharType="end"/>
      </w:r>
      <w:r w:rsidR="00CF2BB6" w:rsidRPr="004068F6">
        <w:rPr>
          <w:vertAlign w:val="superscript"/>
        </w:rPr>
        <w:t>]</w:t>
      </w:r>
    </w:p>
    <w:p w14:paraId="657BEDDB" w14:textId="77777777" w:rsidR="00AA4F93" w:rsidRPr="004068F6" w:rsidRDefault="00AA4F93" w:rsidP="009420F5">
      <w:pPr>
        <w:suppressAutoHyphens/>
        <w:rPr>
          <w:rFonts w:cs="Arial"/>
        </w:rPr>
      </w:pPr>
    </w:p>
    <w:p w14:paraId="5E60C957" w14:textId="09C56590" w:rsidR="00AA4F93" w:rsidRPr="004068F6" w:rsidRDefault="00AA4F93" w:rsidP="00456AB1">
      <w:pPr>
        <w:numPr>
          <w:ilvl w:val="0"/>
          <w:numId w:val="19"/>
        </w:numPr>
        <w:suppressAutoHyphens/>
        <w:ind w:left="567" w:hanging="567"/>
        <w:rPr>
          <w:rFonts w:cs="Arial"/>
        </w:rPr>
      </w:pPr>
      <w:r w:rsidRPr="004068F6">
        <w:rPr>
          <w:rFonts w:cs="Arial"/>
          <w:b/>
        </w:rPr>
        <w:t>Modelo de almacenamiento geográfico</w:t>
      </w:r>
      <w:r w:rsidRPr="004068F6">
        <w:rPr>
          <w:rFonts w:cs="Arial"/>
        </w:rPr>
        <w:t xml:space="preserve">: descripción conceptual de las entidades geográficas del mundo real con sus características; </w:t>
      </w:r>
      <w:r w:rsidR="00554813" w:rsidRPr="004068F6">
        <w:rPr>
          <w:rFonts w:cs="Arial"/>
        </w:rPr>
        <w:t>s</w:t>
      </w:r>
      <w:r w:rsidR="00E515F8" w:rsidRPr="004068F6">
        <w:rPr>
          <w:rFonts w:cs="Arial"/>
        </w:rPr>
        <w:t xml:space="preserve">eñala </w:t>
      </w:r>
      <w:r w:rsidRPr="004068F6">
        <w:rPr>
          <w:rFonts w:cs="Arial"/>
        </w:rPr>
        <w:t xml:space="preserve">la forma en que deben </w:t>
      </w:r>
      <w:r w:rsidR="00920A8F" w:rsidRPr="004068F6">
        <w:rPr>
          <w:rFonts w:cs="Arial"/>
        </w:rPr>
        <w:t>presentarse</w:t>
      </w:r>
      <w:r w:rsidRPr="004068F6">
        <w:rPr>
          <w:rFonts w:cs="Arial"/>
        </w:rPr>
        <w:t xml:space="preserve">, </w:t>
      </w:r>
      <w:r w:rsidR="4A0B09C6" w:rsidRPr="004068F6">
        <w:rPr>
          <w:rFonts w:cs="Arial"/>
        </w:rPr>
        <w:t xml:space="preserve">así como </w:t>
      </w:r>
      <w:r w:rsidRPr="004068F6">
        <w:rPr>
          <w:rFonts w:cs="Arial"/>
        </w:rPr>
        <w:t xml:space="preserve">el modo y posibles relaciones entre </w:t>
      </w:r>
      <w:r w:rsidR="00CF476B" w:rsidRPr="004068F6">
        <w:rPr>
          <w:rFonts w:cs="Arial"/>
        </w:rPr>
        <w:t>ellas,</w:t>
      </w:r>
      <w:r w:rsidRPr="004068F6">
        <w:rPr>
          <w:rFonts w:cs="Arial"/>
        </w:rPr>
        <w:t xml:space="preserve"> optimi</w:t>
      </w:r>
      <w:r w:rsidR="00CF476B" w:rsidRPr="004068F6">
        <w:rPr>
          <w:rFonts w:cs="Arial"/>
        </w:rPr>
        <w:t>zando</w:t>
      </w:r>
      <w:r w:rsidRPr="004068F6">
        <w:rPr>
          <w:rFonts w:cs="Arial"/>
        </w:rPr>
        <w:t xml:space="preserve"> su almacenamiento y utilización. </w:t>
      </w:r>
      <w:r w:rsidR="001F2399" w:rsidRPr="004068F6">
        <w:rPr>
          <w:rFonts w:cs="Arial"/>
        </w:rPr>
        <w:t>C</w:t>
      </w:r>
      <w:r w:rsidRPr="004068F6">
        <w:rPr>
          <w:rFonts w:cs="Arial"/>
        </w:rPr>
        <w:t>ontempla la información geográfica (objetos geográficos) y alfanumérica (atributos) en varios tipos de datos.</w:t>
      </w:r>
    </w:p>
    <w:p w14:paraId="42190631" w14:textId="77777777" w:rsidR="00AA4F93" w:rsidRPr="004068F6" w:rsidRDefault="00AA4F93" w:rsidP="009420F5">
      <w:pPr>
        <w:rPr>
          <w:rFonts w:cs="Arial"/>
        </w:rPr>
      </w:pPr>
    </w:p>
    <w:p w14:paraId="550F5BBE" w14:textId="37499C36" w:rsidR="00AA4F93" w:rsidRPr="004068F6" w:rsidRDefault="00AA4F93" w:rsidP="009420F5">
      <w:pPr>
        <w:numPr>
          <w:ilvl w:val="0"/>
          <w:numId w:val="19"/>
        </w:numPr>
        <w:suppressAutoHyphens/>
        <w:ind w:left="567" w:hanging="567"/>
        <w:rPr>
          <w:rFonts w:cs="Arial"/>
          <w:color w:val="000000"/>
        </w:rPr>
      </w:pPr>
      <w:r w:rsidRPr="004068F6">
        <w:rPr>
          <w:rFonts w:cs="Arial"/>
          <w:b/>
        </w:rPr>
        <w:t>Municipio</w:t>
      </w:r>
      <w:r w:rsidRPr="004068F6">
        <w:rPr>
          <w:rFonts w:cs="Arial"/>
        </w:rPr>
        <w:t>:</w:t>
      </w:r>
      <w:r w:rsidRPr="004068F6">
        <w:rPr>
          <w:rFonts w:cs="Arial"/>
          <w:color w:val="000000"/>
        </w:rPr>
        <w:t xml:space="preserve"> </w:t>
      </w:r>
      <w:r w:rsidR="005160E6" w:rsidRPr="004068F6">
        <w:rPr>
          <w:rFonts w:cs="Arial"/>
          <w:color w:val="000000"/>
        </w:rPr>
        <w:t>entidad fundamental de la división político-administrativa del Estado que le corresponde prestar los servicios públicos que determine la Ley, construir las obras que demande el progreso local, ordenar el desarrollo de su territorio, promover la participación comunitaria, el mejoramiento social y cultural de sus habitantes y cumplir las demás funciones que le asignen la Constitución y las Leyes</w:t>
      </w:r>
      <w:r w:rsidR="00761FEE" w:rsidRPr="004068F6">
        <w:rPr>
          <w:rFonts w:cs="Arial"/>
          <w:color w:val="000000"/>
        </w:rPr>
        <w:t xml:space="preserve">. </w:t>
      </w:r>
      <w:r w:rsidR="00CF2BB6" w:rsidRPr="004068F6">
        <w:rPr>
          <w:rFonts w:cs="Arial"/>
          <w:color w:val="000000"/>
          <w:vertAlign w:val="superscript"/>
        </w:rPr>
        <w:t>[</w:t>
      </w:r>
      <w:bookmarkStart w:id="33" w:name="_Ref44846120"/>
      <w:r w:rsidR="00AA2699" w:rsidRPr="004068F6">
        <w:rPr>
          <w:rStyle w:val="Refdenotaalfinal"/>
          <w:rFonts w:cs="Arial"/>
          <w:color w:val="000000"/>
        </w:rPr>
        <w:endnoteReference w:id="32"/>
      </w:r>
      <w:bookmarkEnd w:id="33"/>
      <w:r w:rsidR="00CF2BB6" w:rsidRPr="004068F6">
        <w:rPr>
          <w:rFonts w:cs="Arial"/>
          <w:color w:val="000000"/>
          <w:vertAlign w:val="superscript"/>
        </w:rPr>
        <w:t>]</w:t>
      </w:r>
    </w:p>
    <w:p w14:paraId="493F6EFA" w14:textId="77777777" w:rsidR="00AA4F93" w:rsidRPr="004068F6" w:rsidRDefault="00AA4F93" w:rsidP="009420F5">
      <w:pPr>
        <w:rPr>
          <w:color w:val="000000"/>
        </w:rPr>
      </w:pPr>
    </w:p>
    <w:p w14:paraId="21913654" w14:textId="24384B6E" w:rsidR="00AA4F93" w:rsidRPr="004068F6" w:rsidRDefault="00AA4F93" w:rsidP="00C86DA5">
      <w:pPr>
        <w:numPr>
          <w:ilvl w:val="0"/>
          <w:numId w:val="19"/>
        </w:numPr>
        <w:suppressAutoHyphens/>
        <w:ind w:left="567" w:hanging="567"/>
      </w:pPr>
      <w:r w:rsidRPr="004068F6">
        <w:rPr>
          <w:b/>
        </w:rPr>
        <w:t>Nivel de riesgo</w:t>
      </w:r>
      <w:r w:rsidRPr="004068F6">
        <w:t xml:space="preserve">: </w:t>
      </w:r>
      <w:r w:rsidR="00F132A6" w:rsidRPr="004068F6">
        <w:t>magnitud</w:t>
      </w:r>
      <w:r w:rsidRPr="004068F6">
        <w:t xml:space="preserve"> de un riesgo o de una combinación de riesgos, expresada en términos de la combinación de las consecuencias y su probabilidad</w:t>
      </w:r>
      <w:r w:rsidR="006A5D01" w:rsidRPr="004068F6">
        <w:t>.</w:t>
      </w:r>
      <w:r w:rsidR="00CF2BB6" w:rsidRPr="004068F6">
        <w:t xml:space="preserve"> </w:t>
      </w:r>
      <w:r w:rsidR="00CF2BB6" w:rsidRPr="004068F6">
        <w:rPr>
          <w:vertAlign w:val="superscript"/>
        </w:rPr>
        <w:t>[</w:t>
      </w:r>
      <w:r w:rsidRPr="004068F6">
        <w:rPr>
          <w:color w:val="000000" w:themeColor="text1"/>
          <w:vertAlign w:val="superscript"/>
        </w:rPr>
        <w:endnoteReference w:id="33"/>
      </w:r>
      <w:r w:rsidR="00CF2BB6" w:rsidRPr="004068F6">
        <w:rPr>
          <w:vertAlign w:val="superscript"/>
        </w:rPr>
        <w:t>]</w:t>
      </w:r>
    </w:p>
    <w:p w14:paraId="1C709598" w14:textId="57306780" w:rsidR="00AA4F93" w:rsidRPr="004068F6" w:rsidRDefault="00AA4F93" w:rsidP="009420F5">
      <w:pPr>
        <w:tabs>
          <w:tab w:val="left" w:pos="-3828"/>
        </w:tabs>
        <w:suppressAutoHyphens/>
        <w:rPr>
          <w:spacing w:val="-2"/>
        </w:rPr>
      </w:pPr>
    </w:p>
    <w:p w14:paraId="26279B19" w14:textId="6F5DAF02" w:rsidR="00AA4F93" w:rsidRPr="004068F6" w:rsidRDefault="00AA4F93" w:rsidP="00456AB1">
      <w:pPr>
        <w:numPr>
          <w:ilvl w:val="0"/>
          <w:numId w:val="19"/>
        </w:numPr>
        <w:suppressAutoHyphens/>
        <w:ind w:left="567" w:hanging="567"/>
        <w:rPr>
          <w:rFonts w:cs="Arial"/>
        </w:rPr>
      </w:pPr>
      <w:r w:rsidRPr="004068F6">
        <w:rPr>
          <w:rFonts w:cs="Arial"/>
          <w:b/>
        </w:rPr>
        <w:t>Paisaje</w:t>
      </w:r>
      <w:r w:rsidRPr="004068F6">
        <w:rPr>
          <w:rFonts w:cs="Arial"/>
        </w:rPr>
        <w:t xml:space="preserve">: </w:t>
      </w:r>
      <w:r w:rsidR="0088212E" w:rsidRPr="004068F6">
        <w:rPr>
          <w:rFonts w:cs="Arial"/>
        </w:rPr>
        <w:t>á</w:t>
      </w:r>
      <w:r w:rsidRPr="004068F6">
        <w:rPr>
          <w:rFonts w:cs="Arial"/>
        </w:rPr>
        <w:t xml:space="preserve">rea de tierra </w:t>
      </w:r>
      <w:r w:rsidR="00B92028" w:rsidRPr="004068F6">
        <w:rPr>
          <w:rFonts w:cs="Arial"/>
        </w:rPr>
        <w:t xml:space="preserve">que visualmente refleja la interacción de distintos factores (abióticos, bióticos, antrópicos), expresados a través de un conjunto de unidades homogéneas que interactúan entre sí, que son reconocibles y diferenciables de acuerdo con la escala de análisis </w:t>
      </w:r>
      <w:r w:rsidR="008B4E79" w:rsidRPr="004068F6">
        <w:rPr>
          <w:rFonts w:cs="Arial"/>
        </w:rPr>
        <w:t>espaciotemporal</w:t>
      </w:r>
      <w:r w:rsidR="00B92028" w:rsidRPr="004068F6">
        <w:rPr>
          <w:rFonts w:cs="Arial"/>
        </w:rPr>
        <w:t>.</w:t>
      </w:r>
      <w:r w:rsidR="00CF2BB6" w:rsidRPr="004068F6">
        <w:rPr>
          <w:rFonts w:cs="Arial"/>
        </w:rPr>
        <w:t xml:space="preserve"> </w:t>
      </w:r>
      <w:r w:rsidR="00CF2BB6" w:rsidRPr="004068F6">
        <w:rPr>
          <w:rFonts w:cs="Arial"/>
          <w:vertAlign w:val="superscript"/>
        </w:rPr>
        <w:t>[</w:t>
      </w:r>
      <w:r w:rsidR="00B92028" w:rsidRPr="004068F6">
        <w:rPr>
          <w:rStyle w:val="Refdenotaalfinal"/>
          <w:rFonts w:cs="Arial"/>
        </w:rPr>
        <w:endnoteReference w:id="34"/>
      </w:r>
      <w:r w:rsidR="00CF2BB6" w:rsidRPr="004068F6">
        <w:rPr>
          <w:rFonts w:cs="Arial"/>
          <w:vertAlign w:val="superscript"/>
        </w:rPr>
        <w:t>]</w:t>
      </w:r>
    </w:p>
    <w:p w14:paraId="5875CE5F" w14:textId="77777777" w:rsidR="00AA4F93" w:rsidRPr="004068F6" w:rsidRDefault="00AA4F93" w:rsidP="009420F5">
      <w:pPr>
        <w:suppressAutoHyphens/>
        <w:rPr>
          <w:rFonts w:cs="Arial"/>
        </w:rPr>
      </w:pPr>
    </w:p>
    <w:p w14:paraId="3A7AE682" w14:textId="70C9E8B4" w:rsidR="00AA4F93" w:rsidRPr="004068F6" w:rsidRDefault="00AA4F93" w:rsidP="00C86DA5">
      <w:pPr>
        <w:numPr>
          <w:ilvl w:val="0"/>
          <w:numId w:val="19"/>
        </w:numPr>
        <w:suppressAutoHyphens/>
        <w:ind w:left="567" w:hanging="567"/>
      </w:pPr>
      <w:r w:rsidRPr="004068F6">
        <w:rPr>
          <w:b/>
        </w:rPr>
        <w:t>Parámetro ambiental</w:t>
      </w:r>
      <w:r w:rsidRPr="004068F6">
        <w:t xml:space="preserve">: </w:t>
      </w:r>
      <w:r w:rsidR="00F1741D" w:rsidRPr="004068F6">
        <w:t>valor</w:t>
      </w:r>
      <w:r w:rsidRPr="004068F6">
        <w:t xml:space="preserve"> que </w:t>
      </w:r>
      <w:r w:rsidR="000866E4" w:rsidRPr="004068F6">
        <w:t xml:space="preserve">permite describir alguna característica o propiedad </w:t>
      </w:r>
      <w:r w:rsidRPr="004068F6">
        <w:t xml:space="preserve">de un </w:t>
      </w:r>
      <w:r w:rsidR="000866E4" w:rsidRPr="004068F6">
        <w:t xml:space="preserve">recurso natural, </w:t>
      </w:r>
      <w:r w:rsidRPr="004068F6">
        <w:t>proceso o fenómeno que ocurre en el ambiente</w:t>
      </w:r>
      <w:r w:rsidR="00554813" w:rsidRPr="004068F6">
        <w:t>,</w:t>
      </w:r>
      <w:r w:rsidRPr="004068F6">
        <w:rPr>
          <w:rFonts w:cs="Arial"/>
        </w:rPr>
        <w:t xml:space="preserve"> </w:t>
      </w:r>
      <w:r w:rsidR="000866E4" w:rsidRPr="004068F6">
        <w:t>en un momento y lugar determinado,</w:t>
      </w:r>
      <w:r w:rsidR="000866E4" w:rsidRPr="004068F6">
        <w:rPr>
          <w:rFonts w:cs="Arial"/>
        </w:rPr>
        <w:t xml:space="preserve"> </w:t>
      </w:r>
      <w:r w:rsidRPr="004068F6">
        <w:rPr>
          <w:rFonts w:cs="Arial"/>
        </w:rPr>
        <w:t>por ejemplo</w:t>
      </w:r>
      <w:r w:rsidR="00554813" w:rsidRPr="004068F6">
        <w:rPr>
          <w:rFonts w:cs="Arial"/>
        </w:rPr>
        <w:t>,</w:t>
      </w:r>
      <w:r w:rsidRPr="004068F6">
        <w:rPr>
          <w:rFonts w:cs="Arial"/>
        </w:rPr>
        <w:t xml:space="preserve"> </w:t>
      </w:r>
      <w:r w:rsidR="00FD4E96" w:rsidRPr="004068F6">
        <w:rPr>
          <w:rFonts w:cs="Arial"/>
        </w:rPr>
        <w:t>p</w:t>
      </w:r>
      <w:r w:rsidRPr="004068F6">
        <w:rPr>
          <w:rFonts w:cs="Arial"/>
        </w:rPr>
        <w:t xml:space="preserve">H, </w:t>
      </w:r>
      <w:r w:rsidR="00FD4E96" w:rsidRPr="004068F6">
        <w:rPr>
          <w:rFonts w:cs="Arial"/>
        </w:rPr>
        <w:t>c</w:t>
      </w:r>
      <w:r w:rsidRPr="004068F6">
        <w:rPr>
          <w:rFonts w:cs="Arial"/>
        </w:rPr>
        <w:t>onductividad</w:t>
      </w:r>
      <w:r w:rsidR="00FD4E96" w:rsidRPr="004068F6">
        <w:rPr>
          <w:rFonts w:cs="Arial"/>
        </w:rPr>
        <w:t xml:space="preserve"> </w:t>
      </w:r>
      <w:r w:rsidR="00FD4E96" w:rsidRPr="004068F6">
        <w:rPr>
          <w:rFonts w:cs="Arial"/>
        </w:rPr>
        <w:lastRenderedPageBreak/>
        <w:t>eléctrica</w:t>
      </w:r>
      <w:r w:rsidRPr="004068F6">
        <w:rPr>
          <w:rFonts w:cs="Arial"/>
        </w:rPr>
        <w:t xml:space="preserve">, </w:t>
      </w:r>
      <w:r w:rsidR="00FD4E96" w:rsidRPr="004068F6">
        <w:rPr>
          <w:rFonts w:cs="Arial"/>
        </w:rPr>
        <w:t>t</w:t>
      </w:r>
      <w:r w:rsidR="00554813" w:rsidRPr="004068F6">
        <w:rPr>
          <w:rFonts w:cs="Arial"/>
        </w:rPr>
        <w:t>emperatura</w:t>
      </w:r>
      <w:r w:rsidR="00CF476B" w:rsidRPr="004068F6">
        <w:rPr>
          <w:rFonts w:cs="Arial"/>
        </w:rPr>
        <w:t>, densidad poblacional</w:t>
      </w:r>
      <w:r w:rsidR="004A617C" w:rsidRPr="004068F6">
        <w:rPr>
          <w:rFonts w:cs="Arial"/>
        </w:rPr>
        <w:t>, grado de escolaridad, nivel socioeconómico</w:t>
      </w:r>
      <w:r w:rsidR="00554813" w:rsidRPr="004068F6">
        <w:rPr>
          <w:rFonts w:cs="Arial"/>
        </w:rPr>
        <w:t xml:space="preserve">. </w:t>
      </w:r>
      <w:r w:rsidR="00CF2BB6" w:rsidRPr="004068F6">
        <w:rPr>
          <w:rFonts w:cs="Arial"/>
          <w:vertAlign w:val="superscript"/>
        </w:rPr>
        <w:t>[</w:t>
      </w:r>
      <w:r w:rsidR="00554813" w:rsidRPr="004068F6">
        <w:rPr>
          <w:rFonts w:cs="Arial"/>
          <w:vertAlign w:val="superscript"/>
        </w:rPr>
        <w:endnoteReference w:id="35"/>
      </w:r>
      <w:r w:rsidR="00CF2BB6" w:rsidRPr="004068F6">
        <w:rPr>
          <w:rFonts w:cs="Arial"/>
          <w:vertAlign w:val="superscript"/>
        </w:rPr>
        <w:t>]</w:t>
      </w:r>
    </w:p>
    <w:p w14:paraId="3F1D8A64" w14:textId="77777777" w:rsidR="00DF7982" w:rsidRPr="004068F6" w:rsidRDefault="00DF7982" w:rsidP="000D6E21">
      <w:pPr>
        <w:suppressAutoHyphens/>
      </w:pPr>
    </w:p>
    <w:p w14:paraId="67967871" w14:textId="6D7D45C8" w:rsidR="003A2F57" w:rsidRPr="00127BD4" w:rsidRDefault="003A2F57" w:rsidP="00127BD4">
      <w:pPr>
        <w:numPr>
          <w:ilvl w:val="0"/>
          <w:numId w:val="19"/>
        </w:numPr>
        <w:suppressAutoHyphens/>
        <w:ind w:left="567" w:hanging="567"/>
        <w:rPr>
          <w:rFonts w:eastAsia="Arial" w:cs="Arial"/>
        </w:rPr>
      </w:pPr>
      <w:r w:rsidRPr="004068F6">
        <w:rPr>
          <w:b/>
          <w:bCs/>
        </w:rPr>
        <w:t>Participación</w:t>
      </w:r>
      <w:r w:rsidRPr="00127BD4">
        <w:t xml:space="preserve">: </w:t>
      </w:r>
      <w:r w:rsidRPr="004068F6">
        <w:rPr>
          <w:rFonts w:eastAsia="Arial" w:cs="Arial"/>
        </w:rPr>
        <w:t xml:space="preserve">derecho humano y fundamental que se materializa a través de mecanismos y acciones que garantizan que sea efectiva e incluyente por y para los grupos de </w:t>
      </w:r>
      <w:r w:rsidR="00D919EA" w:rsidRPr="004068F6">
        <w:rPr>
          <w:rFonts w:eastAsia="Arial" w:cs="Arial"/>
        </w:rPr>
        <w:t>interés</w:t>
      </w:r>
      <w:r w:rsidRPr="004068F6">
        <w:rPr>
          <w:rFonts w:eastAsia="Arial" w:cs="Arial"/>
        </w:rPr>
        <w:t xml:space="preserve">. Por incluyente se </w:t>
      </w:r>
      <w:r w:rsidR="00D919EA" w:rsidRPr="004068F6">
        <w:rPr>
          <w:rFonts w:eastAsia="Arial" w:cs="Arial"/>
        </w:rPr>
        <w:t xml:space="preserve">entiende </w:t>
      </w:r>
      <w:r w:rsidR="00590F88" w:rsidRPr="004068F6">
        <w:rPr>
          <w:rFonts w:eastAsia="Arial" w:cs="Arial"/>
        </w:rPr>
        <w:t xml:space="preserve">la capacidad de </w:t>
      </w:r>
      <w:r w:rsidRPr="004068F6">
        <w:rPr>
          <w:rFonts w:eastAsia="Arial" w:cs="Arial"/>
        </w:rPr>
        <w:t>superación de las diferentes barreras que pued</w:t>
      </w:r>
      <w:r w:rsidR="00590F88" w:rsidRPr="004068F6">
        <w:rPr>
          <w:rFonts w:eastAsia="Arial" w:cs="Arial"/>
        </w:rPr>
        <w:t>e</w:t>
      </w:r>
      <w:r w:rsidRPr="004068F6">
        <w:rPr>
          <w:rFonts w:eastAsia="Arial" w:cs="Arial"/>
        </w:rPr>
        <w:t>n impedir a las personas y comunidades ser partes activas del proceso de toma de decisión. Por efectiva</w:t>
      </w:r>
      <w:r w:rsidR="009C57D8" w:rsidRPr="004068F6">
        <w:rPr>
          <w:rFonts w:eastAsia="Arial" w:cs="Arial"/>
        </w:rPr>
        <w:t xml:space="preserve"> se entiende </w:t>
      </w:r>
      <w:r w:rsidRPr="004068F6">
        <w:rPr>
          <w:rFonts w:eastAsia="Arial" w:cs="Arial"/>
        </w:rPr>
        <w:t xml:space="preserve">la forma </w:t>
      </w:r>
      <w:r w:rsidR="00D05F70" w:rsidRPr="004068F6">
        <w:rPr>
          <w:rFonts w:eastAsia="Arial" w:cs="Arial"/>
        </w:rPr>
        <w:t xml:space="preserve">en </w:t>
      </w:r>
      <w:r w:rsidRPr="004068F6">
        <w:rPr>
          <w:rFonts w:eastAsia="Arial" w:cs="Arial"/>
        </w:rPr>
        <w:t>como son valoradas las inquietudes, sugerencias, conocimientos, argumentos y saberes diversos aportados mediante los diferentes mecanismos de participación, en la toma de decisiones por parte de la administración y, en particular, en los asuntos ambientales de competencia de la</w:t>
      </w:r>
      <w:r w:rsidR="00E125E2" w:rsidRPr="004068F6">
        <w:rPr>
          <w:rFonts w:eastAsia="Arial" w:cs="Arial"/>
        </w:rPr>
        <w:t>s</w:t>
      </w:r>
      <w:r w:rsidRPr="004068F6">
        <w:rPr>
          <w:rFonts w:eastAsia="Arial" w:cs="Arial"/>
        </w:rPr>
        <w:t xml:space="preserve"> </w:t>
      </w:r>
      <w:r w:rsidR="00E125E2" w:rsidRPr="004068F6">
        <w:rPr>
          <w:rFonts w:eastAsia="Arial" w:cs="Arial"/>
        </w:rPr>
        <w:t>a</w:t>
      </w:r>
      <w:r w:rsidRPr="004068F6">
        <w:rPr>
          <w:rFonts w:eastAsia="Arial" w:cs="Arial"/>
        </w:rPr>
        <w:t>utoridad</w:t>
      </w:r>
      <w:r w:rsidR="00E125E2" w:rsidRPr="004068F6">
        <w:rPr>
          <w:rFonts w:eastAsia="Arial" w:cs="Arial"/>
        </w:rPr>
        <w:t>es</w:t>
      </w:r>
      <w:r w:rsidRPr="004068F6">
        <w:rPr>
          <w:rFonts w:eastAsia="Arial" w:cs="Arial"/>
        </w:rPr>
        <w:t xml:space="preserve"> </w:t>
      </w:r>
      <w:r w:rsidR="00E125E2" w:rsidRPr="004068F6">
        <w:rPr>
          <w:rFonts w:eastAsia="Arial" w:cs="Arial"/>
        </w:rPr>
        <w:t>a</w:t>
      </w:r>
      <w:r w:rsidRPr="004068F6">
        <w:rPr>
          <w:rFonts w:eastAsia="Arial" w:cs="Arial"/>
        </w:rPr>
        <w:t>mbiental</w:t>
      </w:r>
      <w:r w:rsidR="00E125E2" w:rsidRPr="004068F6">
        <w:rPr>
          <w:rFonts w:eastAsia="Arial" w:cs="Arial"/>
        </w:rPr>
        <w:t>es</w:t>
      </w:r>
      <w:r w:rsidRPr="004068F6">
        <w:rPr>
          <w:rFonts w:eastAsia="Arial" w:cs="Arial"/>
        </w:rPr>
        <w:t>.</w:t>
      </w:r>
    </w:p>
    <w:p w14:paraId="2384A61E" w14:textId="77777777" w:rsidR="003A2F57" w:rsidRPr="004068F6" w:rsidRDefault="003A2F57" w:rsidP="000D6E21">
      <w:pPr>
        <w:suppressAutoHyphens/>
      </w:pPr>
    </w:p>
    <w:p w14:paraId="3FF3B73B" w14:textId="25CAE220" w:rsidR="00D01B4D" w:rsidRPr="004068F6" w:rsidRDefault="00D01B4D" w:rsidP="00D01B4D">
      <w:pPr>
        <w:numPr>
          <w:ilvl w:val="0"/>
          <w:numId w:val="19"/>
        </w:numPr>
        <w:suppressAutoHyphens/>
        <w:ind w:left="567" w:hanging="567"/>
        <w:rPr>
          <w:rFonts w:eastAsia="Arial" w:cs="Arial"/>
        </w:rPr>
      </w:pPr>
      <w:r w:rsidRPr="004068F6">
        <w:rPr>
          <w:rFonts w:eastAsia="Arial" w:cs="Arial"/>
          <w:b/>
          <w:bCs/>
        </w:rPr>
        <w:t xml:space="preserve">Plan de manejo ambiental de los territorios colectivos adjudicados en trámite u ocupados ancestral </w:t>
      </w:r>
      <w:r w:rsidR="00213D4A" w:rsidRPr="004068F6">
        <w:rPr>
          <w:rFonts w:eastAsia="Arial" w:cs="Arial"/>
          <w:b/>
          <w:bCs/>
        </w:rPr>
        <w:t>y</w:t>
      </w:r>
      <w:r w:rsidRPr="004068F6">
        <w:rPr>
          <w:rFonts w:eastAsia="Arial" w:cs="Arial"/>
          <w:b/>
          <w:bCs/>
        </w:rPr>
        <w:t>/o tradicionalmente</w:t>
      </w:r>
      <w:r w:rsidR="00213D4A" w:rsidRPr="004068F6">
        <w:rPr>
          <w:rFonts w:eastAsia="Arial" w:cs="Arial"/>
        </w:rPr>
        <w:t>:</w:t>
      </w:r>
      <w:r w:rsidRPr="004068F6">
        <w:rPr>
          <w:rFonts w:eastAsia="Arial" w:cs="Arial"/>
        </w:rPr>
        <w:t xml:space="preserve"> mecanismo propio de gobierno y manejo del territorio colectivo, que adopta el Consejo </w:t>
      </w:r>
      <w:r w:rsidR="00CD7107" w:rsidRPr="004068F6">
        <w:rPr>
          <w:rFonts w:eastAsia="Arial" w:cs="Arial"/>
        </w:rPr>
        <w:t>c</w:t>
      </w:r>
      <w:r w:rsidRPr="004068F6">
        <w:rPr>
          <w:rFonts w:eastAsia="Arial" w:cs="Arial"/>
        </w:rPr>
        <w:t>omunitario, como un instrumento de planificación del uso, manejo y administración ambiental del territorio y de los recursos naturales renovables.</w:t>
      </w:r>
      <w:r w:rsidR="00B62DAA" w:rsidRPr="004068F6">
        <w:rPr>
          <w:rFonts w:eastAsia="Arial" w:cs="Arial"/>
        </w:rPr>
        <w:t xml:space="preserve"> </w:t>
      </w:r>
      <w:r w:rsidR="00B62DAA" w:rsidRPr="004068F6">
        <w:rPr>
          <w:rFonts w:cs="Arial"/>
          <w:vertAlign w:val="superscript"/>
        </w:rPr>
        <w:t>[</w:t>
      </w:r>
      <w:r w:rsidR="00B62DAA" w:rsidRPr="004068F6">
        <w:rPr>
          <w:rFonts w:cs="Arial"/>
          <w:vertAlign w:val="superscript"/>
        </w:rPr>
        <w:endnoteReference w:id="36"/>
      </w:r>
      <w:r w:rsidR="00B62DAA" w:rsidRPr="004068F6">
        <w:rPr>
          <w:rFonts w:cs="Arial"/>
          <w:vertAlign w:val="superscript"/>
        </w:rPr>
        <w:t>]</w:t>
      </w:r>
    </w:p>
    <w:p w14:paraId="0B66E63F" w14:textId="77777777" w:rsidR="00934B7B" w:rsidRPr="004068F6" w:rsidRDefault="00934B7B" w:rsidP="00127BD4">
      <w:pPr>
        <w:rPr>
          <w:rFonts w:eastAsia="Arial" w:cs="Arial"/>
        </w:rPr>
      </w:pPr>
    </w:p>
    <w:p w14:paraId="03A2109F" w14:textId="7EE4976B" w:rsidR="00E248C0" w:rsidRPr="00127BD4" w:rsidRDefault="00001DDA" w:rsidP="00C86DA5">
      <w:pPr>
        <w:numPr>
          <w:ilvl w:val="0"/>
          <w:numId w:val="19"/>
        </w:numPr>
        <w:suppressAutoHyphens/>
        <w:ind w:left="567" w:hanging="567"/>
      </w:pPr>
      <w:r w:rsidRPr="00127BD4">
        <w:rPr>
          <w:b/>
          <w:bCs/>
        </w:rPr>
        <w:t>Preconstrucción</w:t>
      </w:r>
      <w:r w:rsidRPr="004068F6">
        <w:t>: identificación y presentación de todas aquellas actividades requeridas por el proyecto, obra o actividad que son previas y necesarias para iniciar la etapa de construcción. Dichas actividades, de ejecutarse, pueden generar cambios o alteraciones en los componentes, elementos y factores de los medios abiótico, biótico y socioeconómico (impactos ambientales) y, por lo tanto, inciden en la evaluación para determinar la viabilidad ambiental de los proyectos, obras o actividades sujetos a licenciamiento ambiental.</w:t>
      </w:r>
    </w:p>
    <w:p w14:paraId="7B644C12" w14:textId="77777777" w:rsidR="00E248C0" w:rsidRPr="005B2DC3" w:rsidRDefault="00E248C0" w:rsidP="005B2DC3">
      <w:pPr>
        <w:rPr>
          <w:b/>
        </w:rPr>
      </w:pPr>
    </w:p>
    <w:p w14:paraId="0326A0DF" w14:textId="2F83A0C1" w:rsidR="00AA4F93" w:rsidRPr="004068F6" w:rsidRDefault="00AA4F93" w:rsidP="00C86DA5">
      <w:pPr>
        <w:numPr>
          <w:ilvl w:val="0"/>
          <w:numId w:val="19"/>
        </w:numPr>
        <w:suppressAutoHyphens/>
        <w:ind w:left="567" w:hanging="567"/>
      </w:pPr>
      <w:r w:rsidRPr="004068F6">
        <w:rPr>
          <w:b/>
        </w:rPr>
        <w:t>Prevención de riesgo</w:t>
      </w:r>
      <w:r w:rsidRPr="004068F6">
        <w:t xml:space="preserve">: </w:t>
      </w:r>
      <w:r w:rsidR="00E65FEC" w:rsidRPr="004068F6">
        <w:t>medidas y acciones de intervención restrictiva o prospectiva dispuestas con 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 sostenible</w:t>
      </w:r>
      <w:r w:rsidR="00761FEE" w:rsidRPr="004068F6">
        <w:t>.</w:t>
      </w:r>
      <w:r w:rsidR="00CF2BB6" w:rsidRPr="004068F6">
        <w:t xml:space="preserve"> </w:t>
      </w:r>
      <w:r w:rsidR="00CF2BB6" w:rsidRPr="004068F6">
        <w:rPr>
          <w:vertAlign w:val="superscript"/>
        </w:rPr>
        <w:t>[</w:t>
      </w:r>
      <w:r w:rsidR="005160E6" w:rsidRPr="004068F6">
        <w:rPr>
          <w:vertAlign w:val="superscript"/>
        </w:rPr>
        <w:fldChar w:fldCharType="begin"/>
      </w:r>
      <w:r w:rsidR="005160E6" w:rsidRPr="004068F6">
        <w:rPr>
          <w:vertAlign w:val="superscript"/>
        </w:rPr>
        <w:instrText xml:space="preserve"> NOTEREF _Ref44841712 \h </w:instrText>
      </w:r>
      <w:r w:rsidR="006A4128" w:rsidRPr="004068F6">
        <w:rPr>
          <w:vertAlign w:val="superscript"/>
        </w:rPr>
        <w:instrText xml:space="preserve"> \* MERGEFORMAT </w:instrText>
      </w:r>
      <w:r w:rsidR="005160E6" w:rsidRPr="004068F6">
        <w:rPr>
          <w:vertAlign w:val="superscript"/>
        </w:rPr>
      </w:r>
      <w:r w:rsidR="005160E6" w:rsidRPr="004068F6">
        <w:rPr>
          <w:vertAlign w:val="superscript"/>
        </w:rPr>
        <w:fldChar w:fldCharType="separate"/>
      </w:r>
      <w:r w:rsidR="009C4A81">
        <w:rPr>
          <w:vertAlign w:val="superscript"/>
        </w:rPr>
        <w:t>6</w:t>
      </w:r>
      <w:r w:rsidR="005160E6" w:rsidRPr="004068F6">
        <w:rPr>
          <w:vertAlign w:val="superscript"/>
        </w:rPr>
        <w:fldChar w:fldCharType="end"/>
      </w:r>
      <w:r w:rsidR="00CF2BB6" w:rsidRPr="004068F6">
        <w:rPr>
          <w:vertAlign w:val="superscript"/>
        </w:rPr>
        <w:t>]</w:t>
      </w:r>
    </w:p>
    <w:p w14:paraId="170775C1" w14:textId="77777777" w:rsidR="003D474D" w:rsidRPr="004068F6" w:rsidRDefault="003D474D" w:rsidP="000D6E21">
      <w:pPr>
        <w:suppressAutoHyphens/>
      </w:pPr>
    </w:p>
    <w:p w14:paraId="1DE62476" w14:textId="77777777" w:rsidR="00FC1EF0" w:rsidRPr="00127BD4" w:rsidRDefault="00FC1EF0" w:rsidP="00AD3626">
      <w:pPr>
        <w:pStyle w:val="Prrafodelista"/>
        <w:numPr>
          <w:ilvl w:val="0"/>
          <w:numId w:val="19"/>
        </w:numPr>
        <w:ind w:left="567" w:hanging="567"/>
        <w:contextualSpacing/>
        <w:rPr>
          <w:lang w:val="es-CO"/>
        </w:rPr>
      </w:pPr>
      <w:r w:rsidRPr="00127BD4">
        <w:rPr>
          <w:b/>
          <w:bCs/>
          <w:lang w:val="es-CO"/>
        </w:rPr>
        <w:t>Provención de conflictos</w:t>
      </w:r>
      <w:r w:rsidRPr="00127BD4">
        <w:rPr>
          <w:lang w:val="es-CO"/>
        </w:rPr>
        <w:t xml:space="preserve">: conjunto de conocimientos y habilidades puestos en práctica para comprender e intervenir en la resolución pacífica y no violenta de los enfrentamientos entre dos o más personas. Lo que implica el desarrollo de las habilidades y actitudes necesarias para gestionar las diferencias en sus </w:t>
      </w:r>
      <w:r w:rsidRPr="00127BD4">
        <w:rPr>
          <w:lang w:val="es-CO"/>
        </w:rPr>
        <w:lastRenderedPageBreak/>
        <w:t xml:space="preserve">primeros estadios. Toda situación conflictiva genera violencia, entendida en sentido amplio. No solo como “el hecho físico de la agresión, sino como todo aquello que impida el desarrollo físico, moral y psíquico de un hombre hacia su autorrealización. </w:t>
      </w:r>
      <w:r w:rsidRPr="00127BD4">
        <w:rPr>
          <w:vertAlign w:val="superscript"/>
          <w:lang w:val="es-CO"/>
        </w:rPr>
        <w:t>[</w:t>
      </w:r>
      <w:r w:rsidRPr="00127BD4">
        <w:rPr>
          <w:vertAlign w:val="superscript"/>
          <w:lang w:val="es-CO"/>
        </w:rPr>
        <w:endnoteReference w:id="37"/>
      </w:r>
      <w:r w:rsidRPr="00127BD4">
        <w:rPr>
          <w:vertAlign w:val="superscript"/>
          <w:lang w:val="es-CO"/>
        </w:rPr>
        <w:t>]</w:t>
      </w:r>
    </w:p>
    <w:p w14:paraId="37FBCEF5" w14:textId="77777777" w:rsidR="004A7A4A" w:rsidRPr="004068F6" w:rsidRDefault="004A7A4A" w:rsidP="00AD3626"/>
    <w:p w14:paraId="68A25DF8" w14:textId="5BEA72B8" w:rsidR="004A7A4A" w:rsidRPr="004068F6" w:rsidRDefault="004A7A4A" w:rsidP="004A7A4A">
      <w:pPr>
        <w:numPr>
          <w:ilvl w:val="0"/>
          <w:numId w:val="19"/>
        </w:numPr>
        <w:suppressAutoHyphens/>
        <w:ind w:left="567" w:hanging="567"/>
      </w:pPr>
      <w:r w:rsidRPr="004068F6">
        <w:rPr>
          <w:b/>
        </w:rPr>
        <w:t>Rango de hogar (home range):</w:t>
      </w:r>
      <w:r w:rsidRPr="004068F6">
        <w:t xml:space="preserve"> área de actividad de un animal, en la cual diariamente realiza actividades como alimentación, apareamiento y cría</w:t>
      </w:r>
      <w:r w:rsidR="009E61B6" w:rsidRPr="004068F6">
        <w:t>,</w:t>
      </w:r>
      <w:r w:rsidRPr="004068F6">
        <w:t xml:space="preserve"> principalmente.</w:t>
      </w:r>
    </w:p>
    <w:p w14:paraId="603ECA22" w14:textId="77777777" w:rsidR="0000007B" w:rsidRPr="004068F6" w:rsidRDefault="0000007B" w:rsidP="009420F5"/>
    <w:p w14:paraId="2DD6F4F8" w14:textId="0576D173" w:rsidR="00AA4F93" w:rsidRPr="004068F6" w:rsidRDefault="00AA4F93" w:rsidP="009420F5">
      <w:pPr>
        <w:numPr>
          <w:ilvl w:val="0"/>
          <w:numId w:val="19"/>
        </w:numPr>
        <w:suppressAutoHyphens/>
        <w:ind w:left="567" w:hanging="567"/>
      </w:pPr>
      <w:r w:rsidRPr="004068F6">
        <w:rPr>
          <w:b/>
        </w:rPr>
        <w:t>Recolección de especímenes</w:t>
      </w:r>
      <w:r w:rsidRPr="004068F6">
        <w:t xml:space="preserve">: </w:t>
      </w:r>
      <w:r w:rsidR="0057792E" w:rsidRPr="004068F6">
        <w:t>p</w:t>
      </w:r>
      <w:r w:rsidR="00B06F49" w:rsidRPr="004068F6">
        <w:t>roceso</w:t>
      </w:r>
      <w:r w:rsidRPr="004068F6">
        <w:t xml:space="preserve"> </w:t>
      </w:r>
      <w:r w:rsidR="003841B6" w:rsidRPr="004068F6">
        <w:t>de captura y/o remoción o extracción temporal o definitiva del medio natural de especímenes de la diversidad biológica, para la realización de inventarios y caracterizaciones que permitan el levantamiento de línea base de los estudios ambientales</w:t>
      </w:r>
      <w:r w:rsidRPr="004068F6">
        <w:rPr>
          <w:rFonts w:cs="Arial"/>
        </w:rPr>
        <w:t>.</w:t>
      </w:r>
      <w:r w:rsidR="007E69BA" w:rsidRPr="004068F6">
        <w:rPr>
          <w:rFonts w:cs="Arial"/>
        </w:rPr>
        <w:t xml:space="preserve"> </w:t>
      </w:r>
      <w:r w:rsidR="007E69BA" w:rsidRPr="004068F6">
        <w:rPr>
          <w:vertAlign w:val="superscript"/>
        </w:rPr>
        <w:t>[</w:t>
      </w:r>
      <w:r w:rsidR="007E69BA" w:rsidRPr="004068F6">
        <w:rPr>
          <w:vertAlign w:val="superscript"/>
        </w:rPr>
        <w:fldChar w:fldCharType="begin"/>
      </w:r>
      <w:r w:rsidR="007E69BA" w:rsidRPr="004068F6">
        <w:rPr>
          <w:vertAlign w:val="superscript"/>
        </w:rPr>
        <w:instrText xml:space="preserve"> NOTEREF _Ref44839840 \h </w:instrText>
      </w:r>
      <w:r w:rsidR="006A4128" w:rsidRPr="004068F6">
        <w:rPr>
          <w:vertAlign w:val="superscript"/>
        </w:rPr>
        <w:instrText xml:space="preserve"> \* MERGEFORMAT </w:instrText>
      </w:r>
      <w:r w:rsidR="007E69BA" w:rsidRPr="004068F6">
        <w:rPr>
          <w:vertAlign w:val="superscript"/>
        </w:rPr>
      </w:r>
      <w:r w:rsidR="007E69BA" w:rsidRPr="004068F6">
        <w:rPr>
          <w:vertAlign w:val="superscript"/>
        </w:rPr>
        <w:fldChar w:fldCharType="separate"/>
      </w:r>
      <w:r w:rsidR="009C4A81">
        <w:rPr>
          <w:vertAlign w:val="superscript"/>
        </w:rPr>
        <w:t>1</w:t>
      </w:r>
      <w:r w:rsidR="007E69BA" w:rsidRPr="004068F6">
        <w:rPr>
          <w:vertAlign w:val="superscript"/>
        </w:rPr>
        <w:fldChar w:fldCharType="end"/>
      </w:r>
      <w:r w:rsidR="007E69BA" w:rsidRPr="004068F6">
        <w:rPr>
          <w:vertAlign w:val="superscript"/>
        </w:rPr>
        <w:t>]</w:t>
      </w:r>
    </w:p>
    <w:p w14:paraId="756C973C" w14:textId="43B9751D" w:rsidR="00AA4F93" w:rsidRPr="004068F6" w:rsidRDefault="00AA4F93" w:rsidP="00C86DA5">
      <w:pPr>
        <w:numPr>
          <w:ilvl w:val="12"/>
          <w:numId w:val="0"/>
        </w:numPr>
        <w:tabs>
          <w:tab w:val="left" w:pos="-2268"/>
        </w:tabs>
        <w:suppressAutoHyphens/>
      </w:pPr>
    </w:p>
    <w:p w14:paraId="755D61AB" w14:textId="1A671DE2" w:rsidR="00AA4F93" w:rsidRPr="004068F6" w:rsidRDefault="00AA4F93" w:rsidP="00C86DA5">
      <w:pPr>
        <w:pStyle w:val="Prrafodelista"/>
        <w:numPr>
          <w:ilvl w:val="0"/>
          <w:numId w:val="23"/>
        </w:numPr>
        <w:suppressAutoHyphens/>
        <w:ind w:left="567" w:hanging="567"/>
        <w:rPr>
          <w:rFonts w:cs="Arial"/>
          <w:lang w:val="es-CO"/>
        </w:rPr>
      </w:pPr>
      <w:r w:rsidRPr="004068F6">
        <w:rPr>
          <w:rFonts w:cs="Arial"/>
          <w:b/>
          <w:color w:val="000000"/>
          <w:lang w:val="es-CO"/>
        </w:rPr>
        <w:t>Recurso pesquero</w:t>
      </w:r>
      <w:r w:rsidRPr="004068F6">
        <w:rPr>
          <w:rFonts w:cs="Arial"/>
          <w:color w:val="000000"/>
          <w:lang w:val="es-CO"/>
        </w:rPr>
        <w:t xml:space="preserve">: </w:t>
      </w:r>
      <w:r w:rsidR="0057792E" w:rsidRPr="004068F6">
        <w:rPr>
          <w:rFonts w:cs="Arial"/>
          <w:color w:val="000000"/>
          <w:lang w:val="es-CO"/>
        </w:rPr>
        <w:t>porción</w:t>
      </w:r>
      <w:r w:rsidRPr="004068F6">
        <w:rPr>
          <w:rFonts w:cs="Arial"/>
          <w:color w:val="000000"/>
          <w:lang w:val="es-CO"/>
        </w:rPr>
        <w:t xml:space="preserve"> de los recursos hidrobiológicos susceptible de ser extraída o efectivamente extraída</w:t>
      </w:r>
      <w:r w:rsidR="00EE37B1" w:rsidRPr="004068F6">
        <w:rPr>
          <w:rFonts w:cs="Arial"/>
          <w:color w:val="000000"/>
          <w:lang w:val="es-CO"/>
        </w:rPr>
        <w:t>,</w:t>
      </w:r>
      <w:r w:rsidRPr="004068F6">
        <w:rPr>
          <w:rFonts w:cs="Arial"/>
          <w:color w:val="000000"/>
          <w:lang w:val="es-CO"/>
        </w:rPr>
        <w:t xml:space="preserve"> sin que se afecte su capacidad de renovación con fines de consumo, procesamiento, estudio u obtención de cualquier otro beneficio</w:t>
      </w:r>
      <w:r w:rsidR="0063313D" w:rsidRPr="004068F6">
        <w:rPr>
          <w:rFonts w:cs="Arial"/>
          <w:color w:val="000000"/>
          <w:lang w:val="es-CO"/>
        </w:rPr>
        <w:t>.</w:t>
      </w:r>
      <w:r w:rsidR="0063313D" w:rsidRPr="004068F6">
        <w:rPr>
          <w:rFonts w:cs="Arial"/>
          <w:color w:val="000000"/>
          <w:vertAlign w:val="superscript"/>
          <w:lang w:val="es-CO"/>
        </w:rPr>
        <w:t xml:space="preserve"> </w:t>
      </w:r>
      <w:r w:rsidR="00CF2BB6" w:rsidRPr="004068F6">
        <w:rPr>
          <w:rFonts w:cs="Arial"/>
          <w:color w:val="000000"/>
          <w:vertAlign w:val="superscript"/>
          <w:lang w:val="es-CO"/>
        </w:rPr>
        <w:t>[</w:t>
      </w:r>
      <w:r w:rsidRPr="004068F6">
        <w:rPr>
          <w:rFonts w:cs="Arial"/>
          <w:vertAlign w:val="superscript"/>
          <w:lang w:val="es-CO"/>
        </w:rPr>
        <w:endnoteReference w:id="38"/>
      </w:r>
      <w:r w:rsidR="00CF2BB6" w:rsidRPr="004068F6">
        <w:rPr>
          <w:rFonts w:cs="Arial"/>
          <w:color w:val="000000"/>
          <w:vertAlign w:val="superscript"/>
          <w:lang w:val="es-CO"/>
        </w:rPr>
        <w:t>]</w:t>
      </w:r>
    </w:p>
    <w:p w14:paraId="67D196BB" w14:textId="77777777" w:rsidR="006A40BE" w:rsidRPr="004068F6" w:rsidRDefault="006A40BE" w:rsidP="00EE37B1">
      <w:pPr>
        <w:suppressAutoHyphens/>
      </w:pPr>
    </w:p>
    <w:p w14:paraId="25ECF7A6" w14:textId="58215A1F" w:rsidR="00AA4F93" w:rsidRPr="004068F6" w:rsidRDefault="00AA4F93" w:rsidP="00C86DA5">
      <w:pPr>
        <w:pStyle w:val="Prrafodelista"/>
        <w:numPr>
          <w:ilvl w:val="0"/>
          <w:numId w:val="23"/>
        </w:numPr>
        <w:suppressAutoHyphens/>
        <w:ind w:left="567" w:hanging="567"/>
        <w:rPr>
          <w:rFonts w:cs="Arial"/>
          <w:color w:val="000000"/>
          <w:lang w:val="es-CO"/>
        </w:rPr>
      </w:pPr>
      <w:r w:rsidRPr="004068F6">
        <w:rPr>
          <w:rFonts w:cs="Arial"/>
          <w:b/>
          <w:bCs/>
          <w:color w:val="000000"/>
          <w:lang w:val="es-CO"/>
        </w:rPr>
        <w:t>Reducción del riesgo</w:t>
      </w:r>
      <w:r w:rsidRPr="004068F6">
        <w:rPr>
          <w:rFonts w:cs="Arial"/>
          <w:color w:val="000000"/>
          <w:lang w:val="es-CO"/>
        </w:rPr>
        <w:t xml:space="preserve">: </w:t>
      </w:r>
      <w:r w:rsidR="00E65FEC" w:rsidRPr="004068F6">
        <w:rPr>
          <w:rFonts w:cs="Arial"/>
          <w:color w:val="000000"/>
          <w:lang w:val="es-CO"/>
        </w:rPr>
        <w:t>proceso de la gestión del riesgo</w:t>
      </w:r>
      <w:r w:rsidR="00EE37B1" w:rsidRPr="004068F6">
        <w:rPr>
          <w:rFonts w:cs="Arial"/>
          <w:color w:val="000000"/>
          <w:lang w:val="es-CO"/>
        </w:rPr>
        <w:t>,</w:t>
      </w:r>
      <w:r w:rsidR="00E65FEC" w:rsidRPr="004068F6">
        <w:rPr>
          <w:rFonts w:cs="Arial"/>
          <w:color w:val="000000"/>
          <w:lang w:val="es-CO"/>
        </w:rPr>
        <w:t xml:space="preserve">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r w:rsidR="00761FEE" w:rsidRPr="004068F6">
        <w:rPr>
          <w:rFonts w:cs="Arial"/>
          <w:color w:val="000000"/>
          <w:lang w:val="es-CO"/>
        </w:rPr>
        <w:t>.</w:t>
      </w:r>
      <w:r w:rsidR="00761FEE" w:rsidRPr="004068F6">
        <w:rPr>
          <w:color w:val="000000"/>
          <w:lang w:val="es-CO"/>
        </w:rPr>
        <w:t xml:space="preserve"> </w:t>
      </w:r>
      <w:r w:rsidR="00CF2BB6" w:rsidRPr="004068F6">
        <w:rPr>
          <w:color w:val="000000"/>
          <w:vertAlign w:val="superscript"/>
          <w:lang w:val="es-CO"/>
        </w:rPr>
        <w:t>[</w:t>
      </w:r>
      <w:r w:rsidR="00E4661B" w:rsidRPr="004068F6">
        <w:rPr>
          <w:color w:val="000000"/>
          <w:vertAlign w:val="superscript"/>
          <w:lang w:val="es-CO"/>
        </w:rPr>
        <w:fldChar w:fldCharType="begin"/>
      </w:r>
      <w:r w:rsidR="00E4661B" w:rsidRPr="004068F6">
        <w:rPr>
          <w:color w:val="000000"/>
          <w:vertAlign w:val="superscript"/>
          <w:lang w:val="es-CO"/>
        </w:rPr>
        <w:instrText xml:space="preserve"> NOTEREF _Ref44841712 \h </w:instrText>
      </w:r>
      <w:r w:rsidR="006A4128" w:rsidRPr="004068F6">
        <w:rPr>
          <w:color w:val="000000"/>
          <w:vertAlign w:val="superscript"/>
          <w:lang w:val="es-CO"/>
        </w:rPr>
        <w:instrText xml:space="preserve"> \* MERGEFORMAT </w:instrText>
      </w:r>
      <w:r w:rsidR="00E4661B" w:rsidRPr="004068F6">
        <w:rPr>
          <w:color w:val="000000"/>
          <w:vertAlign w:val="superscript"/>
          <w:lang w:val="es-CO"/>
        </w:rPr>
      </w:r>
      <w:r w:rsidR="00E4661B" w:rsidRPr="004068F6">
        <w:rPr>
          <w:color w:val="000000"/>
          <w:vertAlign w:val="superscript"/>
          <w:lang w:val="es-CO"/>
        </w:rPr>
        <w:fldChar w:fldCharType="separate"/>
      </w:r>
      <w:r w:rsidR="009C4A81">
        <w:rPr>
          <w:color w:val="000000"/>
          <w:vertAlign w:val="superscript"/>
          <w:lang w:val="es-CO"/>
        </w:rPr>
        <w:t>6</w:t>
      </w:r>
      <w:r w:rsidR="00E4661B" w:rsidRPr="004068F6">
        <w:rPr>
          <w:color w:val="000000"/>
          <w:vertAlign w:val="superscript"/>
          <w:lang w:val="es-CO"/>
        </w:rPr>
        <w:fldChar w:fldCharType="end"/>
      </w:r>
      <w:r w:rsidR="00CF2BB6" w:rsidRPr="004068F6">
        <w:rPr>
          <w:color w:val="000000"/>
          <w:vertAlign w:val="superscript"/>
          <w:lang w:val="es-CO"/>
        </w:rPr>
        <w:t>]</w:t>
      </w:r>
    </w:p>
    <w:p w14:paraId="0EE55BBF" w14:textId="77777777" w:rsidR="00AA4F93" w:rsidRPr="00AD3626" w:rsidRDefault="00AA4F93" w:rsidP="009420F5"/>
    <w:p w14:paraId="62570482" w14:textId="5B94D600" w:rsidR="00EA047C" w:rsidRPr="004068F6" w:rsidRDefault="00EA047C" w:rsidP="009420F5">
      <w:pPr>
        <w:pStyle w:val="Prrafodelista"/>
        <w:numPr>
          <w:ilvl w:val="0"/>
          <w:numId w:val="21"/>
        </w:numPr>
        <w:ind w:left="567" w:hanging="567"/>
        <w:rPr>
          <w:rFonts w:cs="Arial"/>
          <w:color w:val="000000"/>
          <w:lang w:val="es-CO"/>
        </w:rPr>
      </w:pPr>
      <w:bookmarkStart w:id="34" w:name="_Hlk89695185"/>
      <w:r w:rsidRPr="004068F6">
        <w:rPr>
          <w:rFonts w:cs="Arial"/>
          <w:b/>
          <w:color w:val="000000"/>
          <w:lang w:val="es-CO"/>
        </w:rPr>
        <w:t>Rescate y reubicación de organismos biológicos</w:t>
      </w:r>
      <w:bookmarkEnd w:id="34"/>
      <w:r w:rsidRPr="004068F6">
        <w:rPr>
          <w:rFonts w:cs="Arial"/>
          <w:color w:val="000000"/>
          <w:lang w:val="es-CO"/>
        </w:rPr>
        <w:t xml:space="preserve">: actividad que contempla el salvamento de fauna silvestre, </w:t>
      </w:r>
      <w:r w:rsidR="00A33107" w:rsidRPr="004068F6">
        <w:rPr>
          <w:rFonts w:cs="Arial"/>
          <w:color w:val="000000"/>
          <w:lang w:val="es-CO"/>
        </w:rPr>
        <w:t xml:space="preserve">así como la </w:t>
      </w:r>
      <w:r w:rsidRPr="004068F6">
        <w:rPr>
          <w:rFonts w:cs="Arial"/>
          <w:color w:val="000000"/>
          <w:lang w:val="es-CO"/>
        </w:rPr>
        <w:t xml:space="preserve">colecta y </w:t>
      </w:r>
      <w:r w:rsidR="007E69BA" w:rsidRPr="004068F6">
        <w:rPr>
          <w:rFonts w:cs="Arial"/>
          <w:color w:val="000000"/>
          <w:lang w:val="es-CO"/>
        </w:rPr>
        <w:t xml:space="preserve">la </w:t>
      </w:r>
      <w:r w:rsidRPr="004068F6">
        <w:rPr>
          <w:rFonts w:cs="Arial"/>
          <w:color w:val="000000"/>
          <w:lang w:val="es-CO"/>
        </w:rPr>
        <w:t xml:space="preserve">reubicación de especímenes durante la ejecución </w:t>
      </w:r>
      <w:r w:rsidR="00762106" w:rsidRPr="004068F6">
        <w:rPr>
          <w:rFonts w:cs="Arial"/>
          <w:color w:val="000000"/>
          <w:lang w:val="es-CO"/>
        </w:rPr>
        <w:t xml:space="preserve">de las medidas de manejo </w:t>
      </w:r>
      <w:r w:rsidRPr="004068F6">
        <w:rPr>
          <w:rFonts w:cs="Arial"/>
          <w:color w:val="000000"/>
          <w:lang w:val="es-CO"/>
        </w:rPr>
        <w:t>de un proyecto, obra o actividad.</w:t>
      </w:r>
    </w:p>
    <w:p w14:paraId="3F54DB59" w14:textId="77777777" w:rsidR="00EA047C" w:rsidRPr="004068F6" w:rsidRDefault="00EA047C" w:rsidP="009420F5">
      <w:pPr>
        <w:rPr>
          <w:rFonts w:cs="Arial"/>
          <w:color w:val="000000"/>
        </w:rPr>
      </w:pPr>
    </w:p>
    <w:p w14:paraId="0FFD69F5" w14:textId="1A4E83E4" w:rsidR="00AA4F93" w:rsidRPr="004068F6" w:rsidRDefault="00AA4F93" w:rsidP="00456AB1">
      <w:pPr>
        <w:numPr>
          <w:ilvl w:val="0"/>
          <w:numId w:val="19"/>
        </w:numPr>
        <w:suppressAutoHyphens/>
        <w:ind w:left="567" w:hanging="567"/>
        <w:rPr>
          <w:rFonts w:eastAsia="Calibri" w:cs="Arial"/>
          <w:lang w:eastAsia="en-US"/>
        </w:rPr>
      </w:pPr>
      <w:r w:rsidRPr="004068F6">
        <w:rPr>
          <w:rFonts w:eastAsia="Calibri" w:cs="Arial"/>
          <w:b/>
          <w:lang w:eastAsia="en-US"/>
        </w:rPr>
        <w:t>Resguardo indígena</w:t>
      </w:r>
      <w:r w:rsidRPr="004068F6">
        <w:rPr>
          <w:rFonts w:eastAsia="Calibri" w:cs="Arial"/>
          <w:lang w:eastAsia="en-US"/>
        </w:rPr>
        <w:t>:</w:t>
      </w:r>
      <w:r w:rsidR="00707C4E" w:rsidRPr="004068F6">
        <w:rPr>
          <w:rFonts w:eastAsia="Calibri" w:cs="Arial"/>
          <w:lang w:eastAsia="en-US"/>
        </w:rPr>
        <w:t xml:space="preserve"> </w:t>
      </w:r>
      <w:r w:rsidR="00535659" w:rsidRPr="004068F6">
        <w:rPr>
          <w:rFonts w:eastAsia="Calibri" w:cs="Arial"/>
          <w:lang w:eastAsia="en-US"/>
        </w:rPr>
        <w:t xml:space="preserve">institución legal y sociopolítica de carácter especial, conformada por una o más comunidades indígenas, que con un título de propiedad colectiva que goza de las garantías de la propiedad privada, poseen su territorio y se rigen para el manejo de éste y su vida interna por una organización autónoma amparada por el fuero indígena y su sistema normativo </w:t>
      </w:r>
      <w:r w:rsidR="00535659" w:rsidRPr="004068F6">
        <w:rPr>
          <w:rFonts w:eastAsia="Calibri" w:cs="Arial"/>
          <w:lang w:eastAsia="en-US"/>
        </w:rPr>
        <w:lastRenderedPageBreak/>
        <w:t xml:space="preserve">propio. Conforme a los artículos 63 y 329 de la Constitución </w:t>
      </w:r>
      <w:r w:rsidR="00C21ACA" w:rsidRPr="004068F6">
        <w:rPr>
          <w:rFonts w:eastAsia="Calibri" w:cs="Arial"/>
          <w:lang w:eastAsia="en-US"/>
        </w:rPr>
        <w:t>P</w:t>
      </w:r>
      <w:r w:rsidR="00535659" w:rsidRPr="004068F6">
        <w:rPr>
          <w:rFonts w:eastAsia="Calibri" w:cs="Arial"/>
          <w:lang w:eastAsia="en-US"/>
        </w:rPr>
        <w:t>olítica, tiene el carácter de inalienable, imprescriptible e inembargable</w:t>
      </w:r>
      <w:r w:rsidR="00761FEE" w:rsidRPr="004068F6">
        <w:rPr>
          <w:rFonts w:eastAsia="Calibri" w:cs="Arial"/>
          <w:lang w:eastAsia="en-US"/>
        </w:rPr>
        <w:t xml:space="preserve">. </w:t>
      </w:r>
      <w:r w:rsidR="00CF2BB6" w:rsidRPr="004068F6">
        <w:rPr>
          <w:rFonts w:eastAsia="Calibri" w:cs="Arial"/>
          <w:vertAlign w:val="superscript"/>
          <w:lang w:eastAsia="en-US"/>
        </w:rPr>
        <w:t>[</w:t>
      </w:r>
      <w:bookmarkStart w:id="35" w:name="_Ref78180193"/>
      <w:r w:rsidR="00535659" w:rsidRPr="004068F6">
        <w:rPr>
          <w:rFonts w:cs="Arial"/>
          <w:vertAlign w:val="superscript"/>
        </w:rPr>
        <w:endnoteReference w:id="39"/>
      </w:r>
      <w:bookmarkEnd w:id="35"/>
      <w:r w:rsidR="00CF2BB6" w:rsidRPr="004068F6">
        <w:rPr>
          <w:rFonts w:eastAsia="Calibri" w:cs="Arial"/>
          <w:vertAlign w:val="superscript"/>
          <w:lang w:eastAsia="en-US"/>
        </w:rPr>
        <w:t>]</w:t>
      </w:r>
    </w:p>
    <w:p w14:paraId="006682E6" w14:textId="57D50C73" w:rsidR="00707C4E" w:rsidRPr="004068F6" w:rsidRDefault="00707C4E" w:rsidP="00A24137">
      <w:pPr>
        <w:suppressAutoHyphens/>
        <w:rPr>
          <w:rFonts w:eastAsia="Calibri"/>
        </w:rPr>
      </w:pPr>
    </w:p>
    <w:p w14:paraId="234B8566" w14:textId="3363D37C" w:rsidR="00A24137" w:rsidRPr="004068F6" w:rsidRDefault="00A24137" w:rsidP="009420F5">
      <w:pPr>
        <w:pStyle w:val="Prrafodelista"/>
        <w:numPr>
          <w:ilvl w:val="0"/>
          <w:numId w:val="21"/>
        </w:numPr>
        <w:suppressAutoHyphens/>
        <w:ind w:left="567" w:hanging="567"/>
        <w:rPr>
          <w:rFonts w:eastAsia="Calibri"/>
          <w:lang w:val="es-CO"/>
        </w:rPr>
      </w:pPr>
      <w:r w:rsidRPr="004068F6">
        <w:rPr>
          <w:rFonts w:eastAsia="Calibri"/>
          <w:b/>
          <w:bCs/>
          <w:lang w:val="es-CO"/>
        </w:rPr>
        <w:t>Residuos de construcción y demolición</w:t>
      </w:r>
      <w:r w:rsidRPr="004068F6">
        <w:rPr>
          <w:rFonts w:eastAsia="Calibri"/>
          <w:lang w:val="es-CO"/>
        </w:rPr>
        <w:t>: residuos sólidos provenientes de las actividades de excavación, construcción, demolición, reparaciones o mejoras locativas de obras civiles o de otras actividades conexas</w:t>
      </w:r>
      <w:r w:rsidR="0036726A" w:rsidRPr="004068F6">
        <w:rPr>
          <w:rFonts w:eastAsia="Calibri"/>
          <w:lang w:val="es-CO"/>
        </w:rPr>
        <w:t xml:space="preserve">. </w:t>
      </w:r>
      <w:r w:rsidR="0036726A" w:rsidRPr="004068F6">
        <w:rPr>
          <w:rFonts w:cs="Arial"/>
          <w:vertAlign w:val="superscript"/>
          <w:lang w:val="es-CO"/>
        </w:rPr>
        <w:t>[</w:t>
      </w:r>
      <w:bookmarkStart w:id="36" w:name="_Ref78180196"/>
      <w:r w:rsidR="0036726A" w:rsidRPr="004068F6">
        <w:rPr>
          <w:rStyle w:val="Refdenotaalfinal"/>
          <w:rFonts w:cs="Arial"/>
          <w:lang w:val="es-CO"/>
        </w:rPr>
        <w:endnoteReference w:id="40"/>
      </w:r>
      <w:bookmarkEnd w:id="36"/>
      <w:r w:rsidR="0036726A" w:rsidRPr="004068F6">
        <w:rPr>
          <w:rFonts w:cs="Arial"/>
          <w:vertAlign w:val="superscript"/>
          <w:lang w:val="es-CO"/>
        </w:rPr>
        <w:t>]</w:t>
      </w:r>
      <w:r w:rsidR="0036726A" w:rsidRPr="004068F6">
        <w:rPr>
          <w:rFonts w:eastAsia="Calibri"/>
          <w:lang w:val="es-CO"/>
        </w:rPr>
        <w:t>.</w:t>
      </w:r>
      <w:r w:rsidRPr="004068F6">
        <w:rPr>
          <w:rFonts w:eastAsia="Calibri"/>
          <w:lang w:val="es-CO"/>
        </w:rPr>
        <w:t xml:space="preserve"> </w:t>
      </w:r>
      <w:r w:rsidR="0036726A" w:rsidRPr="004068F6">
        <w:rPr>
          <w:rFonts w:eastAsia="Calibri"/>
          <w:lang w:val="es-CO"/>
        </w:rPr>
        <w:t xml:space="preserve">Estos residuos </w:t>
      </w:r>
      <w:r w:rsidRPr="004068F6">
        <w:rPr>
          <w:rFonts w:eastAsia="Calibri"/>
          <w:lang w:val="es-CO"/>
        </w:rPr>
        <w:t>pueden ser o no susceptibles de aprovechamiento.</w:t>
      </w:r>
    </w:p>
    <w:p w14:paraId="5F0FABBA" w14:textId="77777777" w:rsidR="00A24137" w:rsidRPr="004068F6" w:rsidRDefault="00A24137" w:rsidP="009420F5">
      <w:pPr>
        <w:suppressAutoHyphens/>
        <w:rPr>
          <w:rFonts w:eastAsia="Calibri"/>
        </w:rPr>
      </w:pPr>
    </w:p>
    <w:p w14:paraId="39EBE6A9" w14:textId="010722B3" w:rsidR="00F2012D" w:rsidRPr="004068F6" w:rsidRDefault="00F2012D" w:rsidP="008708E1">
      <w:pPr>
        <w:pStyle w:val="Prrafodelista"/>
        <w:numPr>
          <w:ilvl w:val="0"/>
          <w:numId w:val="21"/>
        </w:numPr>
        <w:suppressAutoHyphens/>
        <w:ind w:left="567" w:hanging="567"/>
        <w:rPr>
          <w:rFonts w:eastAsia="Calibri"/>
          <w:lang w:val="es-CO"/>
        </w:rPr>
      </w:pPr>
      <w:r w:rsidRPr="004068F6">
        <w:rPr>
          <w:rFonts w:eastAsia="Calibri"/>
          <w:b/>
          <w:bCs/>
          <w:lang w:val="es-CO"/>
        </w:rPr>
        <w:t>Resiliencia o capacidad de adaptación</w:t>
      </w:r>
      <w:r w:rsidRPr="004068F6">
        <w:rPr>
          <w:rFonts w:eastAsia="Calibri"/>
          <w:lang w:val="es-CO"/>
        </w:rPr>
        <w:t xml:space="preserve">: </w:t>
      </w:r>
      <w:r w:rsidR="002E273B" w:rsidRPr="004068F6">
        <w:rPr>
          <w:rFonts w:eastAsia="Calibri"/>
          <w:lang w:val="es-CO"/>
        </w:rPr>
        <w:t>c</w:t>
      </w:r>
      <w:r w:rsidRPr="004068F6">
        <w:rPr>
          <w:rFonts w:eastAsia="Calibri"/>
          <w:lang w:val="es-CO"/>
        </w:rPr>
        <w:t>apacidad de los sistemas sociales, económicos y ambientales de afrontar un suceso, tendencia o perturbación peligrosa, respondiendo o reorganizándose de modo que mantengan su función esencial, su identidad y su estructura, y conservando al mismo tiempo la capacidad de adaptación, aprendizaje y transformación.</w:t>
      </w:r>
      <w:r w:rsidR="005A3224" w:rsidRPr="004068F6">
        <w:rPr>
          <w:rFonts w:eastAsia="Calibri"/>
          <w:lang w:val="es-CO"/>
        </w:rPr>
        <w:t xml:space="preserve"> </w:t>
      </w:r>
      <w:r w:rsidR="005A3224" w:rsidRPr="00127BD4">
        <w:rPr>
          <w:rFonts w:cs="Arial"/>
          <w:vertAlign w:val="superscript"/>
          <w:lang w:val="es-CO"/>
        </w:rPr>
        <w:t>[</w:t>
      </w:r>
      <w:r w:rsidR="005A3224" w:rsidRPr="00127BD4">
        <w:rPr>
          <w:rFonts w:cs="Arial"/>
          <w:vertAlign w:val="superscript"/>
          <w:lang w:val="es-CO"/>
        </w:rPr>
        <w:fldChar w:fldCharType="begin"/>
      </w:r>
      <w:r w:rsidR="005A3224" w:rsidRPr="00127BD4">
        <w:rPr>
          <w:rFonts w:cs="Arial"/>
          <w:vertAlign w:val="superscript"/>
          <w:lang w:val="es-CO"/>
        </w:rPr>
        <w:instrText xml:space="preserve"> NOTEREF _Ref44840425 \h  \* MERGEFORMAT </w:instrText>
      </w:r>
      <w:r w:rsidR="005A3224" w:rsidRPr="00127BD4">
        <w:rPr>
          <w:rFonts w:cs="Arial"/>
          <w:vertAlign w:val="superscript"/>
          <w:lang w:val="es-CO"/>
        </w:rPr>
      </w:r>
      <w:r w:rsidR="005A3224" w:rsidRPr="00127BD4">
        <w:rPr>
          <w:rFonts w:cs="Arial"/>
          <w:vertAlign w:val="superscript"/>
          <w:lang w:val="es-CO"/>
        </w:rPr>
        <w:fldChar w:fldCharType="separate"/>
      </w:r>
      <w:r w:rsidR="009C4A81">
        <w:rPr>
          <w:rFonts w:cs="Arial"/>
          <w:vertAlign w:val="superscript"/>
          <w:lang w:val="es-CO"/>
        </w:rPr>
        <w:t>2</w:t>
      </w:r>
      <w:r w:rsidR="005A3224" w:rsidRPr="00127BD4">
        <w:rPr>
          <w:rFonts w:cs="Arial"/>
          <w:vertAlign w:val="superscript"/>
          <w:lang w:val="es-CO"/>
        </w:rPr>
        <w:fldChar w:fldCharType="end"/>
      </w:r>
      <w:r w:rsidR="005A3224" w:rsidRPr="00127BD4">
        <w:rPr>
          <w:rFonts w:cs="Arial"/>
          <w:vertAlign w:val="superscript"/>
          <w:lang w:val="es-CO"/>
        </w:rPr>
        <w:t>]</w:t>
      </w:r>
    </w:p>
    <w:p w14:paraId="031F7BB8" w14:textId="77777777" w:rsidR="00E24DD6" w:rsidRPr="004068F6" w:rsidRDefault="00E24DD6" w:rsidP="000D6E21">
      <w:pPr>
        <w:rPr>
          <w:rFonts w:eastAsia="Calibri"/>
        </w:rPr>
      </w:pPr>
    </w:p>
    <w:p w14:paraId="7D961E90" w14:textId="45F6F357" w:rsidR="00E24DD6" w:rsidRPr="00127BD4" w:rsidRDefault="004F728F" w:rsidP="000D6E21">
      <w:pPr>
        <w:pStyle w:val="Prrafodelista"/>
        <w:numPr>
          <w:ilvl w:val="0"/>
          <w:numId w:val="21"/>
        </w:numPr>
        <w:suppressAutoHyphens/>
        <w:ind w:left="567" w:hanging="567"/>
        <w:rPr>
          <w:rFonts w:eastAsia="Calibri"/>
          <w:lang w:val="es-CO"/>
        </w:rPr>
      </w:pPr>
      <w:r w:rsidRPr="004068F6">
        <w:rPr>
          <w:rFonts w:eastAsia="Calibri"/>
          <w:b/>
          <w:bCs/>
          <w:lang w:val="es-CO"/>
        </w:rPr>
        <w:t>Riesgo asociado al cambio climático</w:t>
      </w:r>
      <w:r w:rsidRPr="004068F6">
        <w:rPr>
          <w:rFonts w:eastAsia="Calibri"/>
          <w:lang w:val="es-CO"/>
        </w:rPr>
        <w:t xml:space="preserve">: </w:t>
      </w:r>
      <w:r w:rsidR="002E273B" w:rsidRPr="004068F6">
        <w:rPr>
          <w:rFonts w:eastAsia="Calibri"/>
          <w:lang w:val="es-CO"/>
        </w:rPr>
        <w:t>p</w:t>
      </w:r>
      <w:r w:rsidRPr="004068F6">
        <w:rPr>
          <w:rFonts w:eastAsia="Calibri"/>
          <w:lang w:val="es-CO"/>
        </w:rPr>
        <w:t>otencial de consecuencias en que algo de valor está en peligro con un desenlace incierto, reconociendo la diversidad de valores. Los riesgos resultan de la interacción de la vulnerabilidad, la exposición y la amenaza. El término riesgo se utiliza principalmente en referencia a los riesgos asociados a los impactos del cambio climático.</w:t>
      </w:r>
      <w:r w:rsidR="005D3C6E" w:rsidRPr="004068F6">
        <w:rPr>
          <w:rFonts w:eastAsia="Calibri"/>
          <w:lang w:val="es-CO"/>
        </w:rPr>
        <w:t xml:space="preserve"> </w:t>
      </w:r>
      <w:r w:rsidR="005D3C6E" w:rsidRPr="00127BD4">
        <w:rPr>
          <w:rFonts w:cs="Arial"/>
          <w:vertAlign w:val="superscript"/>
          <w:lang w:val="es-CO"/>
        </w:rPr>
        <w:t>[</w:t>
      </w:r>
      <w:r w:rsidR="005D3C6E" w:rsidRPr="00127BD4">
        <w:rPr>
          <w:rFonts w:cs="Arial"/>
          <w:vertAlign w:val="superscript"/>
          <w:lang w:val="es-CO"/>
        </w:rPr>
        <w:fldChar w:fldCharType="begin"/>
      </w:r>
      <w:r w:rsidR="005D3C6E" w:rsidRPr="00127BD4">
        <w:rPr>
          <w:rFonts w:cs="Arial"/>
          <w:vertAlign w:val="superscript"/>
          <w:lang w:val="es-CO"/>
        </w:rPr>
        <w:instrText xml:space="preserve"> NOTEREF _Ref44840425 \h  \* MERGEFORMAT </w:instrText>
      </w:r>
      <w:r w:rsidR="005D3C6E" w:rsidRPr="00127BD4">
        <w:rPr>
          <w:rFonts w:cs="Arial"/>
          <w:vertAlign w:val="superscript"/>
          <w:lang w:val="es-CO"/>
        </w:rPr>
      </w:r>
      <w:r w:rsidR="005D3C6E" w:rsidRPr="00127BD4">
        <w:rPr>
          <w:rFonts w:cs="Arial"/>
          <w:vertAlign w:val="superscript"/>
          <w:lang w:val="es-CO"/>
        </w:rPr>
        <w:fldChar w:fldCharType="separate"/>
      </w:r>
      <w:r w:rsidR="009C4A81">
        <w:rPr>
          <w:rFonts w:cs="Arial"/>
          <w:vertAlign w:val="superscript"/>
          <w:lang w:val="es-CO"/>
        </w:rPr>
        <w:t>2</w:t>
      </w:r>
      <w:r w:rsidR="005D3C6E" w:rsidRPr="00127BD4">
        <w:rPr>
          <w:rFonts w:cs="Arial"/>
          <w:vertAlign w:val="superscript"/>
          <w:lang w:val="es-CO"/>
        </w:rPr>
        <w:fldChar w:fldCharType="end"/>
      </w:r>
      <w:r w:rsidR="005D3C6E" w:rsidRPr="00127BD4">
        <w:rPr>
          <w:rFonts w:cs="Arial"/>
          <w:vertAlign w:val="superscript"/>
          <w:lang w:val="es-CO"/>
        </w:rPr>
        <w:t>]</w:t>
      </w:r>
    </w:p>
    <w:p w14:paraId="175072E1" w14:textId="77777777" w:rsidR="00F2012D" w:rsidRPr="004068F6" w:rsidRDefault="00F2012D" w:rsidP="002E273B">
      <w:pPr>
        <w:suppressAutoHyphens/>
        <w:rPr>
          <w:rFonts w:eastAsia="Calibri"/>
          <w:b/>
          <w:bCs/>
        </w:rPr>
      </w:pPr>
    </w:p>
    <w:p w14:paraId="4F9E3896" w14:textId="58119E28" w:rsidR="00AA4F93" w:rsidRPr="004068F6" w:rsidRDefault="00AA4F93" w:rsidP="00C86DA5">
      <w:pPr>
        <w:pStyle w:val="Prrafodelista"/>
        <w:numPr>
          <w:ilvl w:val="0"/>
          <w:numId w:val="23"/>
        </w:numPr>
        <w:suppressAutoHyphens/>
        <w:ind w:left="567" w:hanging="567"/>
        <w:rPr>
          <w:rFonts w:cs="Arial"/>
          <w:color w:val="000000"/>
          <w:lang w:val="es-CO"/>
        </w:rPr>
      </w:pPr>
      <w:r w:rsidRPr="004068F6">
        <w:rPr>
          <w:rFonts w:cs="Arial"/>
          <w:b/>
          <w:bCs/>
          <w:color w:val="000000"/>
          <w:lang w:val="es-CO"/>
        </w:rPr>
        <w:t>Riesgo</w:t>
      </w:r>
      <w:r w:rsidR="008735A8" w:rsidRPr="004068F6">
        <w:rPr>
          <w:rFonts w:cs="Arial"/>
          <w:b/>
          <w:bCs/>
          <w:color w:val="000000"/>
          <w:lang w:val="es-CO"/>
        </w:rPr>
        <w:t xml:space="preserve"> de desastre</w:t>
      </w:r>
      <w:r w:rsidR="008735A8" w:rsidRPr="004068F6">
        <w:rPr>
          <w:rFonts w:cs="Arial"/>
          <w:color w:val="000000"/>
          <w:lang w:val="es-CO"/>
        </w:rPr>
        <w:t>: daño o pérdida potencial que puede presentarse debido a los eventos físicos peligrosos de origen natural, socio-natural, tecnológico, biosanit</w:t>
      </w:r>
      <w:r w:rsidR="00C21ACA" w:rsidRPr="004068F6">
        <w:rPr>
          <w:rFonts w:cs="Arial"/>
          <w:color w:val="000000"/>
          <w:lang w:val="es-CO"/>
        </w:rPr>
        <w:t>a</w:t>
      </w:r>
      <w:r w:rsidR="008735A8" w:rsidRPr="004068F6">
        <w:rPr>
          <w:rFonts w:cs="Arial"/>
          <w:color w:val="000000"/>
          <w:lang w:val="es-CO"/>
        </w:rPr>
        <w:t>rio o humano no intencional, en un período de tiempo específico y que es determinado por la vulnerabilidad de los elementos expuestos; por consiguiente, el riesgo de desastre se deriva de la combinación de la amenaza y la vulnerabilidad</w:t>
      </w:r>
      <w:r w:rsidR="006A5D01" w:rsidRPr="004068F6">
        <w:rPr>
          <w:rFonts w:cs="Arial"/>
          <w:color w:val="000000"/>
          <w:lang w:val="es-CO"/>
        </w:rPr>
        <w:t>.</w:t>
      </w:r>
      <w:r w:rsidR="00B0171E" w:rsidRPr="004068F6">
        <w:rPr>
          <w:color w:val="000000"/>
          <w:vertAlign w:val="superscript"/>
          <w:lang w:val="es-CO"/>
        </w:rPr>
        <w:t xml:space="preserve"> [</w:t>
      </w:r>
      <w:r w:rsidR="00B0171E" w:rsidRPr="004068F6">
        <w:rPr>
          <w:color w:val="000000"/>
          <w:vertAlign w:val="superscript"/>
          <w:lang w:val="es-CO"/>
        </w:rPr>
        <w:fldChar w:fldCharType="begin"/>
      </w:r>
      <w:r w:rsidR="00B0171E" w:rsidRPr="004068F6">
        <w:rPr>
          <w:color w:val="000000"/>
          <w:vertAlign w:val="superscript"/>
          <w:lang w:val="es-CO"/>
        </w:rPr>
        <w:instrText xml:space="preserve"> NOTEREF _Ref44841712 \h  \* MERGEFORMAT </w:instrText>
      </w:r>
      <w:r w:rsidR="00B0171E" w:rsidRPr="004068F6">
        <w:rPr>
          <w:color w:val="000000"/>
          <w:vertAlign w:val="superscript"/>
          <w:lang w:val="es-CO"/>
        </w:rPr>
      </w:r>
      <w:r w:rsidR="00B0171E" w:rsidRPr="004068F6">
        <w:rPr>
          <w:color w:val="000000"/>
          <w:vertAlign w:val="superscript"/>
          <w:lang w:val="es-CO"/>
        </w:rPr>
        <w:fldChar w:fldCharType="separate"/>
      </w:r>
      <w:r w:rsidR="009C4A81">
        <w:rPr>
          <w:color w:val="000000"/>
          <w:vertAlign w:val="superscript"/>
          <w:lang w:val="es-CO"/>
        </w:rPr>
        <w:t>6</w:t>
      </w:r>
      <w:r w:rsidR="00B0171E" w:rsidRPr="004068F6">
        <w:rPr>
          <w:color w:val="000000"/>
          <w:vertAlign w:val="superscript"/>
          <w:lang w:val="es-CO"/>
        </w:rPr>
        <w:fldChar w:fldCharType="end"/>
      </w:r>
      <w:r w:rsidR="00B0171E" w:rsidRPr="004068F6">
        <w:rPr>
          <w:color w:val="000000"/>
          <w:vertAlign w:val="superscript"/>
          <w:lang w:val="es-CO"/>
        </w:rPr>
        <w:t>]</w:t>
      </w:r>
    </w:p>
    <w:p w14:paraId="49778993" w14:textId="77777777" w:rsidR="006E0815" w:rsidRPr="004068F6" w:rsidRDefault="006E0815" w:rsidP="000D6E21">
      <w:pPr>
        <w:suppressAutoHyphens/>
        <w:rPr>
          <w:rFonts w:eastAsia="Calibri"/>
        </w:rPr>
      </w:pPr>
    </w:p>
    <w:p w14:paraId="55B6449B" w14:textId="1B5EFEA0" w:rsidR="00AA4F93" w:rsidRPr="004068F6" w:rsidRDefault="00AA4F93" w:rsidP="00456AB1">
      <w:pPr>
        <w:pStyle w:val="Prrafodelista"/>
        <w:numPr>
          <w:ilvl w:val="0"/>
          <w:numId w:val="23"/>
        </w:numPr>
        <w:suppressAutoHyphens/>
        <w:ind w:left="567" w:hanging="567"/>
        <w:rPr>
          <w:rFonts w:eastAsia="Calibri" w:cs="Arial"/>
          <w:lang w:val="es-CO" w:eastAsia="en-US"/>
        </w:rPr>
      </w:pPr>
      <w:r w:rsidRPr="004068F6">
        <w:rPr>
          <w:rFonts w:eastAsia="Calibri" w:cs="Arial"/>
          <w:b/>
          <w:lang w:val="es-CO" w:eastAsia="en-US"/>
        </w:rPr>
        <w:t>Sector de vereda</w:t>
      </w:r>
      <w:r w:rsidRPr="004068F6">
        <w:rPr>
          <w:rFonts w:eastAsia="Calibri" w:cs="Arial"/>
          <w:lang w:val="es-CO" w:eastAsia="en-US"/>
        </w:rPr>
        <w:t>:</w:t>
      </w:r>
      <w:r w:rsidR="00707C4E" w:rsidRPr="004068F6">
        <w:rPr>
          <w:rFonts w:eastAsia="Calibri" w:cs="Arial"/>
          <w:lang w:val="es-CO" w:eastAsia="en-US"/>
        </w:rPr>
        <w:t xml:space="preserve"> </w:t>
      </w:r>
      <w:r w:rsidR="00BC1C5E" w:rsidRPr="004068F6">
        <w:rPr>
          <w:rFonts w:eastAsia="Calibri" w:cs="Arial"/>
          <w:lang w:val="es-CO" w:eastAsia="en-US"/>
        </w:rPr>
        <w:t xml:space="preserve">espacio </w:t>
      </w:r>
      <w:r w:rsidR="008B7580" w:rsidRPr="004068F6">
        <w:rPr>
          <w:rFonts w:eastAsia="Calibri" w:cs="Arial"/>
          <w:lang w:val="es-CO" w:eastAsia="en-US"/>
        </w:rPr>
        <w:t xml:space="preserve">al interior de una vereda </w:t>
      </w:r>
      <w:r w:rsidRPr="004068F6">
        <w:rPr>
          <w:rFonts w:eastAsia="Calibri" w:cs="Arial"/>
          <w:lang w:val="es-CO" w:eastAsia="en-US"/>
        </w:rPr>
        <w:t>conforma</w:t>
      </w:r>
      <w:r w:rsidR="00BC1C5E" w:rsidRPr="004068F6">
        <w:rPr>
          <w:rFonts w:eastAsia="Calibri" w:cs="Arial"/>
          <w:lang w:val="es-CO" w:eastAsia="en-US"/>
        </w:rPr>
        <w:t>do</w:t>
      </w:r>
      <w:r w:rsidRPr="004068F6">
        <w:rPr>
          <w:rFonts w:eastAsia="Calibri" w:cs="Arial"/>
          <w:lang w:val="es-CO" w:eastAsia="en-US"/>
        </w:rPr>
        <w:t xml:space="preserve"> principalmente por la agrupación de predios delimitados por accidentes geográficos o vías principales que permiten el desarrollo de relaciones vecinales </w:t>
      </w:r>
      <w:r w:rsidRPr="004068F6">
        <w:rPr>
          <w:rFonts w:cs="Arial"/>
          <w:lang w:val="es-CO"/>
        </w:rPr>
        <w:t>y</w:t>
      </w:r>
      <w:r w:rsidRPr="004068F6">
        <w:rPr>
          <w:rFonts w:eastAsia="Calibri" w:cs="Arial"/>
          <w:lang w:val="es-CO" w:eastAsia="en-US"/>
        </w:rPr>
        <w:t xml:space="preserve"> formas de organización comunitaria </w:t>
      </w:r>
      <w:r w:rsidR="00E747BE" w:rsidRPr="004068F6">
        <w:rPr>
          <w:rFonts w:eastAsia="Calibri" w:cs="Arial"/>
          <w:lang w:val="es-CO"/>
        </w:rPr>
        <w:t xml:space="preserve">diferentes a los de otras zonas de </w:t>
      </w:r>
      <w:r w:rsidR="00004A29" w:rsidRPr="004068F6">
        <w:rPr>
          <w:rFonts w:eastAsia="Calibri" w:cs="Arial"/>
          <w:lang w:val="es-CO"/>
        </w:rPr>
        <w:t xml:space="preserve">la </w:t>
      </w:r>
      <w:r w:rsidRPr="004068F6">
        <w:rPr>
          <w:rFonts w:eastAsia="Calibri" w:cs="Arial"/>
          <w:lang w:val="es-CO" w:eastAsia="en-US"/>
        </w:rPr>
        <w:t>vereda</w:t>
      </w:r>
      <w:r w:rsidR="00004A29" w:rsidRPr="004068F6">
        <w:rPr>
          <w:rFonts w:eastAsia="Calibri" w:cs="Arial"/>
          <w:lang w:val="es-CO" w:eastAsia="en-US"/>
        </w:rPr>
        <w:t xml:space="preserve"> en la que se encuentra</w:t>
      </w:r>
      <w:r w:rsidRPr="004068F6">
        <w:rPr>
          <w:rFonts w:eastAsia="Calibri" w:cs="Arial"/>
          <w:lang w:val="es-CO" w:eastAsia="en-US"/>
        </w:rPr>
        <w:t>.</w:t>
      </w:r>
    </w:p>
    <w:p w14:paraId="4C72D8EE" w14:textId="77777777" w:rsidR="00AA4F93" w:rsidRPr="004068F6" w:rsidRDefault="00AA4F93" w:rsidP="009420F5">
      <w:pPr>
        <w:suppressAutoHyphens/>
      </w:pPr>
    </w:p>
    <w:p w14:paraId="6CF90E81" w14:textId="28F20DB9" w:rsidR="00AA4F93" w:rsidRPr="004068F6" w:rsidRDefault="00AA4F93" w:rsidP="00C86DA5">
      <w:pPr>
        <w:pStyle w:val="Prrafodelista"/>
        <w:numPr>
          <w:ilvl w:val="0"/>
          <w:numId w:val="23"/>
        </w:numPr>
        <w:suppressAutoHyphens/>
        <w:ind w:left="567" w:hanging="567"/>
        <w:rPr>
          <w:lang w:val="es-CO"/>
        </w:rPr>
      </w:pPr>
      <w:r w:rsidRPr="004068F6">
        <w:rPr>
          <w:rFonts w:eastAsia="Calibri"/>
          <w:b/>
          <w:lang w:val="es-CO"/>
        </w:rPr>
        <w:t>Sensibilidad</w:t>
      </w:r>
      <w:r w:rsidRPr="004068F6">
        <w:rPr>
          <w:b/>
          <w:lang w:val="es-CO"/>
        </w:rPr>
        <w:t xml:space="preserve"> ambiental</w:t>
      </w:r>
      <w:r w:rsidRPr="004068F6">
        <w:rPr>
          <w:lang w:val="es-CO"/>
        </w:rPr>
        <w:t xml:space="preserve">: </w:t>
      </w:r>
      <w:r w:rsidR="00EE14C5" w:rsidRPr="004068F6">
        <w:rPr>
          <w:lang w:val="es-CO"/>
        </w:rPr>
        <w:t>susceptibilidad</w:t>
      </w:r>
      <w:r w:rsidRPr="004068F6">
        <w:rPr>
          <w:lang w:val="es-CO"/>
        </w:rPr>
        <w:t xml:space="preserve"> inherente de los </w:t>
      </w:r>
      <w:r w:rsidR="00E747BE" w:rsidRPr="004068F6">
        <w:rPr>
          <w:lang w:val="es-CO"/>
        </w:rPr>
        <w:t xml:space="preserve">factores </w:t>
      </w:r>
      <w:r w:rsidRPr="004068F6">
        <w:rPr>
          <w:lang w:val="es-CO"/>
        </w:rPr>
        <w:t xml:space="preserve">ambientales y sus </w:t>
      </w:r>
      <w:r w:rsidR="0095525F" w:rsidRPr="004068F6">
        <w:rPr>
          <w:lang w:val="es-CO"/>
        </w:rPr>
        <w:t>procesos</w:t>
      </w:r>
      <w:r w:rsidRPr="004068F6">
        <w:rPr>
          <w:lang w:val="es-CO"/>
        </w:rPr>
        <w:t xml:space="preserve"> físicos, bióticos y socioeconómicos a la transformación o cambio </w:t>
      </w:r>
      <w:r w:rsidR="003F7D68" w:rsidRPr="004068F6">
        <w:rPr>
          <w:lang w:val="es-CO"/>
        </w:rPr>
        <w:t>generado por</w:t>
      </w:r>
      <w:r w:rsidR="00E747BE" w:rsidRPr="004068F6">
        <w:rPr>
          <w:lang w:val="es-CO"/>
        </w:rPr>
        <w:t xml:space="preserve"> </w:t>
      </w:r>
      <w:r w:rsidRPr="004068F6">
        <w:rPr>
          <w:lang w:val="es-CO"/>
        </w:rPr>
        <w:t>actividades antrópicas o</w:t>
      </w:r>
      <w:r w:rsidR="003F7D68" w:rsidRPr="004068F6">
        <w:rPr>
          <w:lang w:val="es-CO"/>
        </w:rPr>
        <w:t xml:space="preserve"> </w:t>
      </w:r>
      <w:r w:rsidRPr="004068F6">
        <w:rPr>
          <w:lang w:val="es-CO"/>
        </w:rPr>
        <w:t>procesos de desestabilización natural</w:t>
      </w:r>
      <w:r w:rsidR="006A5D01" w:rsidRPr="004068F6">
        <w:rPr>
          <w:lang w:val="es-CO"/>
        </w:rPr>
        <w:t>.</w:t>
      </w:r>
      <w:r w:rsidRPr="004068F6">
        <w:rPr>
          <w:vertAlign w:val="superscript"/>
          <w:lang w:val="es-CO"/>
        </w:rPr>
        <w:t xml:space="preserve"> </w:t>
      </w:r>
      <w:r w:rsidR="00CF2BB6" w:rsidRPr="004068F6">
        <w:rPr>
          <w:vertAlign w:val="superscript"/>
          <w:lang w:val="es-CO"/>
        </w:rPr>
        <w:t>[</w:t>
      </w:r>
      <w:r w:rsidRPr="004068F6">
        <w:rPr>
          <w:vertAlign w:val="superscript"/>
          <w:lang w:val="es-CO"/>
        </w:rPr>
        <w:endnoteReference w:id="41"/>
      </w:r>
      <w:r w:rsidR="00CF2BB6" w:rsidRPr="004068F6">
        <w:rPr>
          <w:vertAlign w:val="superscript"/>
          <w:lang w:val="es-CO"/>
        </w:rPr>
        <w:t>]</w:t>
      </w:r>
    </w:p>
    <w:p w14:paraId="10711F75" w14:textId="02211DC8" w:rsidR="00AA4F93" w:rsidRPr="004068F6" w:rsidRDefault="00AA4F93" w:rsidP="00C86DA5">
      <w:pPr>
        <w:numPr>
          <w:ilvl w:val="12"/>
          <w:numId w:val="0"/>
        </w:numPr>
        <w:tabs>
          <w:tab w:val="left" w:pos="-2268"/>
        </w:tabs>
        <w:suppressAutoHyphens/>
      </w:pPr>
    </w:p>
    <w:p w14:paraId="32BBF6AF" w14:textId="1C27D2FF" w:rsidR="00AA4F93" w:rsidRPr="004068F6" w:rsidRDefault="00AA4F93" w:rsidP="00C86DA5">
      <w:pPr>
        <w:pStyle w:val="Prrafodelista"/>
        <w:numPr>
          <w:ilvl w:val="0"/>
          <w:numId w:val="23"/>
        </w:numPr>
        <w:suppressAutoHyphens/>
        <w:ind w:left="567" w:hanging="567"/>
        <w:rPr>
          <w:lang w:val="es-CO"/>
        </w:rPr>
      </w:pPr>
      <w:r w:rsidRPr="004068F6">
        <w:rPr>
          <w:b/>
          <w:lang w:val="es-CO"/>
        </w:rPr>
        <w:t xml:space="preserve">Servicio </w:t>
      </w:r>
      <w:r w:rsidRPr="004068F6">
        <w:rPr>
          <w:rFonts w:eastAsia="Calibri"/>
          <w:b/>
          <w:lang w:val="es-CO"/>
        </w:rPr>
        <w:t>ecosistémico</w:t>
      </w:r>
      <w:r w:rsidRPr="004068F6">
        <w:rPr>
          <w:lang w:val="es-CO"/>
        </w:rPr>
        <w:t xml:space="preserve">: </w:t>
      </w:r>
      <w:r w:rsidR="0057792E" w:rsidRPr="004068F6">
        <w:rPr>
          <w:lang w:val="es-CO"/>
        </w:rPr>
        <w:t>b</w:t>
      </w:r>
      <w:r w:rsidR="00D930EC" w:rsidRPr="004068F6">
        <w:rPr>
          <w:lang w:val="es-CO"/>
        </w:rPr>
        <w:t>eneficio</w:t>
      </w:r>
      <w:r w:rsidRPr="004068F6">
        <w:rPr>
          <w:lang w:val="es-CO"/>
        </w:rPr>
        <w:t xml:space="preserve"> directo </w:t>
      </w:r>
      <w:r w:rsidR="0080177D" w:rsidRPr="004068F6">
        <w:rPr>
          <w:lang w:val="es-CO"/>
        </w:rPr>
        <w:t>o</w:t>
      </w:r>
      <w:r w:rsidRPr="004068F6">
        <w:rPr>
          <w:lang w:val="es-CO"/>
        </w:rPr>
        <w:t xml:space="preserve"> indirecto que la humanidad recibe de la biodiversidad y que </w:t>
      </w:r>
      <w:r w:rsidR="0080177D" w:rsidRPr="004068F6">
        <w:rPr>
          <w:lang w:val="es-CO"/>
        </w:rPr>
        <w:t>e</w:t>
      </w:r>
      <w:r w:rsidRPr="004068F6">
        <w:rPr>
          <w:lang w:val="es-CO"/>
        </w:rPr>
        <w:t xml:space="preserve">s el resultado de la interacción entre los diferentes </w:t>
      </w:r>
      <w:r w:rsidRPr="004068F6">
        <w:rPr>
          <w:lang w:val="es-CO"/>
        </w:rPr>
        <w:lastRenderedPageBreak/>
        <w:t xml:space="preserve">componentes, estructuras y funciones que constituyen la biodiversidad. </w:t>
      </w:r>
      <w:r w:rsidR="008F3CBD" w:rsidRPr="004068F6">
        <w:rPr>
          <w:vertAlign w:val="superscript"/>
          <w:lang w:val="es-CO"/>
        </w:rPr>
        <w:t>[</w:t>
      </w:r>
      <w:bookmarkStart w:id="37" w:name="_Ref78180135"/>
      <w:r w:rsidR="008F3CBD" w:rsidRPr="004068F6">
        <w:rPr>
          <w:vertAlign w:val="superscript"/>
          <w:lang w:val="es-CO"/>
        </w:rPr>
        <w:endnoteReference w:id="42"/>
      </w:r>
      <w:bookmarkEnd w:id="37"/>
      <w:r w:rsidR="008F3CBD" w:rsidRPr="004068F6">
        <w:rPr>
          <w:vertAlign w:val="superscript"/>
          <w:lang w:val="es-CO"/>
        </w:rPr>
        <w:t>]</w:t>
      </w:r>
      <w:r w:rsidR="008F3CBD" w:rsidRPr="004068F6">
        <w:rPr>
          <w:lang w:val="es-CO"/>
        </w:rPr>
        <w:t>.</w:t>
      </w:r>
      <w:r w:rsidR="008F3CBD" w:rsidRPr="004068F6">
        <w:rPr>
          <w:vertAlign w:val="superscript"/>
          <w:lang w:val="es-CO"/>
        </w:rPr>
        <w:t xml:space="preserve"> </w:t>
      </w:r>
      <w:r w:rsidR="0080177D" w:rsidRPr="004068F6">
        <w:rPr>
          <w:lang w:val="es-CO"/>
        </w:rPr>
        <w:t>L</w:t>
      </w:r>
      <w:r w:rsidRPr="004068F6">
        <w:rPr>
          <w:lang w:val="es-CO"/>
        </w:rPr>
        <w:t xml:space="preserve">os servicios ecosistémicos </w:t>
      </w:r>
      <w:r w:rsidR="0080177D" w:rsidRPr="004068F6">
        <w:rPr>
          <w:lang w:val="es-CO"/>
        </w:rPr>
        <w:t xml:space="preserve">pueden ser </w:t>
      </w:r>
      <w:r w:rsidRPr="004068F6">
        <w:rPr>
          <w:lang w:val="es-CO"/>
        </w:rPr>
        <w:t>de:</w:t>
      </w:r>
    </w:p>
    <w:p w14:paraId="6FF363EC" w14:textId="77777777" w:rsidR="00AA4F93" w:rsidRPr="004068F6" w:rsidRDefault="00AA4F93" w:rsidP="009420F5"/>
    <w:p w14:paraId="674D5875" w14:textId="79667445" w:rsidR="00AA4F93" w:rsidRPr="004068F6" w:rsidRDefault="00AA4F93" w:rsidP="00C86DA5">
      <w:pPr>
        <w:numPr>
          <w:ilvl w:val="0"/>
          <w:numId w:val="24"/>
        </w:numPr>
        <w:suppressAutoHyphens/>
        <w:ind w:left="1134" w:hanging="567"/>
      </w:pPr>
      <w:r w:rsidRPr="004068F6">
        <w:rPr>
          <w:b/>
        </w:rPr>
        <w:t>Aprovisionamiento</w:t>
      </w:r>
      <w:r w:rsidRPr="004068F6">
        <w:t xml:space="preserve">: </w:t>
      </w:r>
      <w:r w:rsidR="001D6B92" w:rsidRPr="004068F6">
        <w:t>b</w:t>
      </w:r>
      <w:r w:rsidR="00D930EC" w:rsidRPr="004068F6">
        <w:t>ienes</w:t>
      </w:r>
      <w:r w:rsidRPr="004068F6">
        <w:t xml:space="preserve"> y productos que se obtienen de los ecosistemas, como alimentos, fibras, madera, agua y recursos genéticos.</w:t>
      </w:r>
    </w:p>
    <w:p w14:paraId="1D4766EF" w14:textId="77777777" w:rsidR="00AA4F93" w:rsidRPr="004068F6" w:rsidRDefault="00AA4F93" w:rsidP="009420F5">
      <w:pPr>
        <w:suppressAutoHyphens/>
      </w:pPr>
    </w:p>
    <w:p w14:paraId="57449DEA" w14:textId="772484B6" w:rsidR="00AA4F93" w:rsidRPr="004068F6" w:rsidRDefault="00AA4F93" w:rsidP="00C86DA5">
      <w:pPr>
        <w:numPr>
          <w:ilvl w:val="0"/>
          <w:numId w:val="24"/>
        </w:numPr>
        <w:suppressAutoHyphens/>
        <w:ind w:left="1134" w:hanging="567"/>
      </w:pPr>
      <w:r w:rsidRPr="004068F6">
        <w:rPr>
          <w:b/>
        </w:rPr>
        <w:t>Regulación</w:t>
      </w:r>
      <w:r w:rsidRPr="004068F6">
        <w:t xml:space="preserve">: </w:t>
      </w:r>
      <w:r w:rsidR="001D6B92" w:rsidRPr="004068F6">
        <w:t>b</w:t>
      </w:r>
      <w:r w:rsidR="00D930EC" w:rsidRPr="004068F6">
        <w:t>eneficios</w:t>
      </w:r>
      <w:r w:rsidRPr="004068F6">
        <w:t xml:space="preserve"> resultantes de la regulación de los procesos ecosistémicos, incluyendo el mantenimiento de la calidad del aire, la regulación del clima, el control de la erosión, el control de enfermedades humanas y la purificación del agua.</w:t>
      </w:r>
    </w:p>
    <w:p w14:paraId="7E6AF198" w14:textId="77777777" w:rsidR="00AA4F93" w:rsidRPr="004068F6" w:rsidRDefault="00AA4F93" w:rsidP="009420F5">
      <w:pPr>
        <w:suppressAutoHyphens/>
      </w:pPr>
    </w:p>
    <w:p w14:paraId="67C36162" w14:textId="235B725C" w:rsidR="00AA4F93" w:rsidRPr="004068F6" w:rsidRDefault="00AA4F93" w:rsidP="00C86DA5">
      <w:pPr>
        <w:numPr>
          <w:ilvl w:val="0"/>
          <w:numId w:val="24"/>
        </w:numPr>
        <w:suppressAutoHyphens/>
        <w:ind w:left="1134" w:hanging="567"/>
      </w:pPr>
      <w:r w:rsidRPr="004068F6">
        <w:rPr>
          <w:b/>
        </w:rPr>
        <w:t>Soporte</w:t>
      </w:r>
      <w:r w:rsidRPr="004068F6">
        <w:t xml:space="preserve">: </w:t>
      </w:r>
      <w:r w:rsidR="001D6B92" w:rsidRPr="004068F6">
        <w:t>s</w:t>
      </w:r>
      <w:r w:rsidR="00D930EC" w:rsidRPr="004068F6">
        <w:t>ervicios</w:t>
      </w:r>
      <w:r w:rsidRPr="004068F6">
        <w:t xml:space="preserve"> y procesos ecológicos necesarios para el aprovisionamiento y existencia de los demás servicios ecosistémicos, entre estos se incluyen, la producción primaria, la formación del suelo y el ciclado de nutrientes, entre otros.</w:t>
      </w:r>
    </w:p>
    <w:p w14:paraId="4D7BCE88" w14:textId="77777777" w:rsidR="00AA4F93" w:rsidRPr="004068F6" w:rsidRDefault="00AA4F93" w:rsidP="009420F5">
      <w:pPr>
        <w:suppressAutoHyphens/>
      </w:pPr>
    </w:p>
    <w:p w14:paraId="21AF20C2" w14:textId="3ED62F18" w:rsidR="00AA4F93" w:rsidRPr="004068F6" w:rsidRDefault="00AA4F93" w:rsidP="00C86DA5">
      <w:pPr>
        <w:numPr>
          <w:ilvl w:val="0"/>
          <w:numId w:val="24"/>
        </w:numPr>
        <w:suppressAutoHyphens/>
        <w:ind w:left="1134" w:hanging="567"/>
      </w:pPr>
      <w:r w:rsidRPr="004068F6">
        <w:rPr>
          <w:b/>
        </w:rPr>
        <w:t>Culturales</w:t>
      </w:r>
      <w:r w:rsidRPr="004068F6">
        <w:t xml:space="preserve">: </w:t>
      </w:r>
      <w:r w:rsidR="001D6B92" w:rsidRPr="004068F6">
        <w:t>b</w:t>
      </w:r>
      <w:r w:rsidR="00D930EC" w:rsidRPr="004068F6">
        <w:t>eneficios</w:t>
      </w:r>
      <w:r w:rsidRPr="004068F6">
        <w:t xml:space="preserve"> no materiales obtenidos de los ecosistemas, a través del enriquecimiento espiritual, el desarrollo cognitivo, la reflexión, la recreación y las experiencias estéticas.</w:t>
      </w:r>
    </w:p>
    <w:p w14:paraId="4A9B2059" w14:textId="726B43A1" w:rsidR="00AA4F93" w:rsidRPr="004068F6" w:rsidRDefault="00AA4F93" w:rsidP="00C86DA5">
      <w:pPr>
        <w:rPr>
          <w:rFonts w:cs="Arial"/>
        </w:rPr>
      </w:pPr>
    </w:p>
    <w:p w14:paraId="5D308EF6" w14:textId="7A3FDED6" w:rsidR="00345A62" w:rsidRPr="00127BD4" w:rsidRDefault="00345A62" w:rsidP="00345A62">
      <w:pPr>
        <w:numPr>
          <w:ilvl w:val="0"/>
          <w:numId w:val="21"/>
        </w:numPr>
        <w:ind w:left="567" w:hanging="567"/>
        <w:rPr>
          <w:rFonts w:cs="Arial"/>
          <w:b/>
        </w:rPr>
      </w:pPr>
      <w:r w:rsidRPr="00127BD4">
        <w:rPr>
          <w:rFonts w:cs="Arial"/>
          <w:b/>
        </w:rPr>
        <w:t>Sitio de interés paisajístico</w:t>
      </w:r>
      <w:r w:rsidRPr="00127BD4">
        <w:rPr>
          <w:rFonts w:cs="Arial"/>
          <w:bCs/>
        </w:rPr>
        <w:t>:</w:t>
      </w:r>
      <w:r w:rsidRPr="00127BD4">
        <w:rPr>
          <w:rFonts w:cs="Arial"/>
          <w:b/>
        </w:rPr>
        <w:t xml:space="preserve"> </w:t>
      </w:r>
      <w:r w:rsidRPr="00127BD4">
        <w:rPr>
          <w:rFonts w:cs="Arial"/>
        </w:rPr>
        <w:t>lugar de valor escénico, natural o cultural que posee características estéticas, ecológicas o patrimoniales significativas de acuerdo con la percepción visual de la comunidad y los potenciales observadores.</w:t>
      </w:r>
    </w:p>
    <w:p w14:paraId="55C0742C" w14:textId="77777777" w:rsidR="00345A62" w:rsidRPr="00127BD4" w:rsidRDefault="00345A62" w:rsidP="00C86DA5">
      <w:pPr>
        <w:rPr>
          <w:rFonts w:cs="Arial"/>
        </w:rPr>
      </w:pPr>
    </w:p>
    <w:p w14:paraId="3C34CE73" w14:textId="39D976DF" w:rsidR="00AA4F93" w:rsidRPr="004068F6" w:rsidRDefault="00AA4F93" w:rsidP="00456AB1">
      <w:pPr>
        <w:pStyle w:val="Prrafodelista"/>
        <w:numPr>
          <w:ilvl w:val="0"/>
          <w:numId w:val="23"/>
        </w:numPr>
        <w:suppressAutoHyphens/>
        <w:ind w:left="567" w:hanging="567"/>
        <w:rPr>
          <w:rFonts w:cs="Arial"/>
          <w:lang w:val="es-CO"/>
        </w:rPr>
      </w:pPr>
      <w:r w:rsidRPr="004068F6">
        <w:rPr>
          <w:rFonts w:eastAsia="Calibri" w:cs="Arial"/>
          <w:b/>
          <w:lang w:val="es-CO"/>
        </w:rPr>
        <w:t>Socioecosistema</w:t>
      </w:r>
      <w:r w:rsidRPr="004068F6">
        <w:rPr>
          <w:rFonts w:cs="Arial"/>
          <w:lang w:val="es-CO"/>
        </w:rPr>
        <w:t>: integración de los sistemas ecológicos y sociales, en dónde existe y se reconoce una relación entre la sociedad y la naturaleza en permanente movimiento y evolución, en la que intervienen múltiples redes de actores y relaciones</w:t>
      </w:r>
      <w:r w:rsidR="006A5D01" w:rsidRPr="004068F6">
        <w:rPr>
          <w:rFonts w:cs="Arial"/>
          <w:lang w:val="es-CO"/>
        </w:rPr>
        <w:t>.</w:t>
      </w:r>
      <w:r w:rsidR="00CF2BB6" w:rsidRPr="004068F6">
        <w:rPr>
          <w:rFonts w:cs="Arial"/>
          <w:lang w:val="es-CO"/>
        </w:rPr>
        <w:t xml:space="preserve"> </w:t>
      </w:r>
      <w:r w:rsidR="00CF2BB6" w:rsidRPr="004068F6">
        <w:rPr>
          <w:rFonts w:cs="Arial"/>
          <w:vertAlign w:val="superscript"/>
          <w:lang w:val="es-CO"/>
        </w:rPr>
        <w:t>[</w:t>
      </w:r>
      <w:r w:rsidRPr="004068F6">
        <w:rPr>
          <w:rStyle w:val="Refdenotaalfinal"/>
          <w:rFonts w:cs="Arial"/>
          <w:lang w:val="es-CO"/>
        </w:rPr>
        <w:endnoteReference w:id="43"/>
      </w:r>
      <w:r w:rsidR="00CF2BB6" w:rsidRPr="004068F6">
        <w:rPr>
          <w:rFonts w:cs="Arial"/>
          <w:vertAlign w:val="superscript"/>
          <w:lang w:val="es-CO"/>
        </w:rPr>
        <w:t>]</w:t>
      </w:r>
    </w:p>
    <w:p w14:paraId="50E0DCA1" w14:textId="77777777" w:rsidR="00AA4F93" w:rsidRPr="004068F6" w:rsidRDefault="00AA4F93" w:rsidP="009420F5">
      <w:pPr>
        <w:suppressAutoHyphens/>
        <w:rPr>
          <w:rFonts w:cs="Arial"/>
        </w:rPr>
      </w:pPr>
    </w:p>
    <w:p w14:paraId="5D7CF7EF" w14:textId="74D5E933" w:rsidR="00AA4F93" w:rsidRPr="004068F6" w:rsidRDefault="00AA4F93" w:rsidP="00C86DA5">
      <w:pPr>
        <w:numPr>
          <w:ilvl w:val="0"/>
          <w:numId w:val="19"/>
        </w:numPr>
        <w:suppressAutoHyphens/>
        <w:ind w:left="567" w:hanging="567"/>
      </w:pPr>
      <w:r w:rsidRPr="004068F6">
        <w:rPr>
          <w:b/>
        </w:rPr>
        <w:t>Suelo</w:t>
      </w:r>
      <w:r w:rsidRPr="004068F6">
        <w:t xml:space="preserve">: </w:t>
      </w:r>
      <w:r w:rsidR="00204808" w:rsidRPr="004068F6">
        <w:t>componente fundamental del ambiente, natural y finito, constituido por minerales, aire, agua, materia orgánica, macro, meso y microorganismos que desempeñan procesos permanentes de tipos biótico y abiótico, cumpliendo funciones vitales para la sociedad y el planeta</w:t>
      </w:r>
      <w:r w:rsidR="006A5D01" w:rsidRPr="004068F6">
        <w:rPr>
          <w:rFonts w:cs="Arial"/>
        </w:rPr>
        <w:t>.</w:t>
      </w:r>
      <w:r w:rsidRPr="004068F6">
        <w:rPr>
          <w:rFonts w:cs="Arial"/>
        </w:rPr>
        <w:t xml:space="preserve"> </w:t>
      </w:r>
      <w:r w:rsidR="00CF2BB6" w:rsidRPr="004068F6">
        <w:rPr>
          <w:rFonts w:cs="Arial"/>
          <w:vertAlign w:val="superscript"/>
        </w:rPr>
        <w:t>[</w:t>
      </w:r>
      <w:bookmarkStart w:id="38" w:name="_Ref78180130"/>
      <w:r w:rsidRPr="004068F6">
        <w:rPr>
          <w:vertAlign w:val="superscript"/>
        </w:rPr>
        <w:endnoteReference w:id="44"/>
      </w:r>
      <w:bookmarkEnd w:id="38"/>
      <w:r w:rsidR="00CF2BB6" w:rsidRPr="004068F6">
        <w:rPr>
          <w:rFonts w:cs="Arial"/>
          <w:vertAlign w:val="superscript"/>
        </w:rPr>
        <w:t>]</w:t>
      </w:r>
    </w:p>
    <w:p w14:paraId="1E4077CC" w14:textId="77777777" w:rsidR="00AA4F93" w:rsidRPr="004068F6" w:rsidRDefault="00AA4F93" w:rsidP="009420F5">
      <w:pPr>
        <w:suppressAutoHyphens/>
      </w:pPr>
    </w:p>
    <w:p w14:paraId="2B00FF29" w14:textId="4D87AE3F" w:rsidR="00AF0B45" w:rsidRPr="004068F6" w:rsidRDefault="00AF0B45" w:rsidP="00127BD4">
      <w:pPr>
        <w:numPr>
          <w:ilvl w:val="0"/>
          <w:numId w:val="19"/>
        </w:numPr>
        <w:suppressAutoHyphens/>
        <w:ind w:left="567" w:hanging="567"/>
        <w:rPr>
          <w:bCs/>
        </w:rPr>
      </w:pPr>
      <w:r w:rsidRPr="004068F6">
        <w:rPr>
          <w:b/>
        </w:rPr>
        <w:t xml:space="preserve">Sujeto de </w:t>
      </w:r>
      <w:r w:rsidR="00DC6276" w:rsidRPr="004068F6">
        <w:rPr>
          <w:b/>
        </w:rPr>
        <w:t>e</w:t>
      </w:r>
      <w:r w:rsidRPr="004068F6">
        <w:rPr>
          <w:b/>
        </w:rPr>
        <w:t>special protección constitucional</w:t>
      </w:r>
      <w:r w:rsidRPr="004068F6">
        <w:rPr>
          <w:bCs/>
        </w:rPr>
        <w:t xml:space="preserve">: persona que ve incrementada su vulnerabilidad o </w:t>
      </w:r>
      <w:r w:rsidR="005E2F14">
        <w:rPr>
          <w:bCs/>
        </w:rPr>
        <w:t xml:space="preserve">que </w:t>
      </w:r>
      <w:r w:rsidRPr="004068F6">
        <w:rPr>
          <w:bCs/>
        </w:rPr>
        <w:t xml:space="preserve">tiene dificultad para gozar de sus derechos por condiciones particulares o intrínsecas, relacionadas con su condición étnica, de género, etaria, de opción o diversidad sexual, o por condiciones y/o deficiencias físicas, mentales, intelectuales o sensoriales. </w:t>
      </w:r>
      <w:r w:rsidR="008607DF" w:rsidRPr="004068F6">
        <w:rPr>
          <w:rFonts w:cs="Arial"/>
          <w:vertAlign w:val="superscript"/>
        </w:rPr>
        <w:t>[</w:t>
      </w:r>
      <w:r w:rsidR="008607DF" w:rsidRPr="004068F6">
        <w:rPr>
          <w:vertAlign w:val="superscript"/>
        </w:rPr>
        <w:endnoteReference w:id="45"/>
      </w:r>
      <w:r w:rsidR="008607DF" w:rsidRPr="004068F6">
        <w:rPr>
          <w:rFonts w:cs="Arial"/>
          <w:vertAlign w:val="superscript"/>
        </w:rPr>
        <w:t>]</w:t>
      </w:r>
      <w:r w:rsidR="00FE66FC" w:rsidRPr="004068F6">
        <w:rPr>
          <w:bCs/>
        </w:rPr>
        <w:t xml:space="preserve"> L</w:t>
      </w:r>
      <w:r w:rsidRPr="004068F6">
        <w:rPr>
          <w:bCs/>
        </w:rPr>
        <w:t>as víctimas de conflicto armado interno</w:t>
      </w:r>
      <w:r w:rsidR="00FE66FC" w:rsidRPr="004068F6">
        <w:rPr>
          <w:bCs/>
        </w:rPr>
        <w:t>,</w:t>
      </w:r>
      <w:r w:rsidRPr="004068F6">
        <w:rPr>
          <w:bCs/>
        </w:rPr>
        <w:t xml:space="preserve"> los </w:t>
      </w:r>
      <w:r w:rsidR="00E51B9B" w:rsidRPr="004068F6">
        <w:rPr>
          <w:bCs/>
        </w:rPr>
        <w:t>f</w:t>
      </w:r>
      <w:r w:rsidRPr="004068F6">
        <w:rPr>
          <w:bCs/>
        </w:rPr>
        <w:t xml:space="preserve">irmantes de </w:t>
      </w:r>
      <w:r w:rsidR="00E51B9B" w:rsidRPr="004068F6">
        <w:rPr>
          <w:bCs/>
        </w:rPr>
        <w:t>p</w:t>
      </w:r>
      <w:r w:rsidRPr="004068F6">
        <w:rPr>
          <w:bCs/>
        </w:rPr>
        <w:t>az y el campesinado</w:t>
      </w:r>
      <w:r w:rsidR="00FE66FC" w:rsidRPr="004068F6">
        <w:rPr>
          <w:bCs/>
        </w:rPr>
        <w:t xml:space="preserve"> fueron </w:t>
      </w:r>
      <w:r w:rsidR="00FE66FC" w:rsidRPr="004068F6">
        <w:rPr>
          <w:bCs/>
        </w:rPr>
        <w:lastRenderedPageBreak/>
        <w:t xml:space="preserve">reconocidos como sujetos de especial protección por las SentenciasT-293 /17 y T-29/2019, </w:t>
      </w:r>
      <w:r w:rsidR="006F1B53" w:rsidRPr="004068F6">
        <w:rPr>
          <w:bCs/>
        </w:rPr>
        <w:t xml:space="preserve">la </w:t>
      </w:r>
      <w:r w:rsidR="00FE66FC" w:rsidRPr="004068F6">
        <w:rPr>
          <w:bCs/>
        </w:rPr>
        <w:t xml:space="preserve">Sentencia SU-020 de 2022 y </w:t>
      </w:r>
      <w:r w:rsidR="006F1B53" w:rsidRPr="004068F6">
        <w:rPr>
          <w:bCs/>
        </w:rPr>
        <w:t xml:space="preserve">el </w:t>
      </w:r>
      <w:r w:rsidR="00FE66FC" w:rsidRPr="004068F6">
        <w:rPr>
          <w:bCs/>
        </w:rPr>
        <w:t>Acto legislativo 01 de 2023, respectivamente.</w:t>
      </w:r>
    </w:p>
    <w:p w14:paraId="06D1B92D" w14:textId="77777777" w:rsidR="00AF0B45" w:rsidRPr="004068F6" w:rsidRDefault="00AF0B45" w:rsidP="009420F5">
      <w:pPr>
        <w:suppressAutoHyphens/>
      </w:pPr>
    </w:p>
    <w:p w14:paraId="7948EDA2" w14:textId="428F8C6C" w:rsidR="00F0129E" w:rsidRPr="004068F6" w:rsidRDefault="00F0129E" w:rsidP="000D6E21">
      <w:pPr>
        <w:numPr>
          <w:ilvl w:val="0"/>
          <w:numId w:val="19"/>
        </w:numPr>
        <w:suppressAutoHyphens/>
        <w:ind w:left="567" w:hanging="567"/>
        <w:rPr>
          <w:bCs/>
        </w:rPr>
      </w:pPr>
      <w:r w:rsidRPr="004068F6">
        <w:rPr>
          <w:b/>
        </w:rPr>
        <w:t>Tasa de muestreo acústico</w:t>
      </w:r>
      <w:r w:rsidRPr="004068F6">
        <w:rPr>
          <w:bCs/>
        </w:rPr>
        <w:t xml:space="preserve">: </w:t>
      </w:r>
      <w:r w:rsidR="00457411" w:rsidRPr="004068F6">
        <w:rPr>
          <w:bCs/>
        </w:rPr>
        <w:t>determina la cantidad de bits que debe muestrear un dispositivo por unidad de tiempo. Esta debe ser el doble de la frecuencia máxima que se desea muestrear (Teorema de Nyquist-Shannon), pues solo así se puede lograr una muestra representativa de una señal acústica con muchas oscilaciones por unidad de tiempo (alta frecuencia)</w:t>
      </w:r>
      <w:r w:rsidRPr="004068F6">
        <w:rPr>
          <w:bCs/>
        </w:rPr>
        <w:t>.</w:t>
      </w:r>
      <w:r w:rsidR="004816BC" w:rsidRPr="004068F6">
        <w:rPr>
          <w:bCs/>
        </w:rPr>
        <w:t xml:space="preserve"> </w:t>
      </w:r>
      <w:r w:rsidR="004816BC" w:rsidRPr="004068F6">
        <w:rPr>
          <w:vertAlign w:val="superscript"/>
        </w:rPr>
        <w:t>[</w:t>
      </w:r>
      <w:r w:rsidR="004816BC" w:rsidRPr="004068F6">
        <w:rPr>
          <w:vertAlign w:val="superscript"/>
        </w:rPr>
        <w:endnoteReference w:id="46"/>
      </w:r>
      <w:r w:rsidR="004816BC" w:rsidRPr="004068F6">
        <w:rPr>
          <w:vertAlign w:val="superscript"/>
        </w:rPr>
        <w:t>]</w:t>
      </w:r>
    </w:p>
    <w:p w14:paraId="00F7A51E" w14:textId="77777777" w:rsidR="00F0129E" w:rsidRPr="004068F6" w:rsidRDefault="00F0129E" w:rsidP="009420F5">
      <w:pPr>
        <w:suppressAutoHyphens/>
      </w:pPr>
    </w:p>
    <w:p w14:paraId="2AB56FCA" w14:textId="133C8A3C" w:rsidR="00602085" w:rsidRPr="004068F6" w:rsidRDefault="00602085" w:rsidP="00C86DA5">
      <w:pPr>
        <w:numPr>
          <w:ilvl w:val="0"/>
          <w:numId w:val="19"/>
        </w:numPr>
        <w:suppressAutoHyphens/>
        <w:ind w:left="567" w:hanging="567"/>
      </w:pPr>
      <w:r w:rsidRPr="004068F6">
        <w:rPr>
          <w:b/>
        </w:rPr>
        <w:t>Tecnología ambientalmente racional</w:t>
      </w:r>
      <w:r w:rsidRPr="004068F6">
        <w:t xml:space="preserve">: aquella que </w:t>
      </w:r>
      <w:r w:rsidR="0080177D" w:rsidRPr="004068F6">
        <w:t>e</w:t>
      </w:r>
      <w:r w:rsidRPr="004068F6">
        <w:t>s menos contaminante, utiliza los recursos en forma más sostenible, recicla una mayor porción de sus desechos y productos y trata los desechos residuales en forma más aceptable que otr</w:t>
      </w:r>
      <w:r w:rsidR="0080177D" w:rsidRPr="004068F6">
        <w:t>o tipo de</w:t>
      </w:r>
      <w:r w:rsidRPr="004068F6">
        <w:t xml:space="preserve"> tecnología. </w:t>
      </w:r>
      <w:r w:rsidRPr="004068F6">
        <w:rPr>
          <w:vertAlign w:val="superscript"/>
        </w:rPr>
        <w:t>[</w:t>
      </w:r>
      <w:r w:rsidRPr="004068F6">
        <w:rPr>
          <w:vertAlign w:val="superscript"/>
        </w:rPr>
        <w:endnoteReference w:id="47"/>
      </w:r>
      <w:r w:rsidRPr="004068F6">
        <w:rPr>
          <w:vertAlign w:val="superscript"/>
        </w:rPr>
        <w:t>]</w:t>
      </w:r>
    </w:p>
    <w:p w14:paraId="4BF3E6CF" w14:textId="77777777" w:rsidR="00602085" w:rsidRPr="004068F6" w:rsidRDefault="00602085" w:rsidP="009420F5"/>
    <w:p w14:paraId="2A409D22" w14:textId="62491BC9" w:rsidR="00AA4F93" w:rsidRPr="004068F6" w:rsidRDefault="00AA4F93" w:rsidP="009420F5">
      <w:pPr>
        <w:numPr>
          <w:ilvl w:val="0"/>
          <w:numId w:val="19"/>
        </w:numPr>
        <w:suppressAutoHyphens/>
        <w:ind w:left="567" w:hanging="567"/>
        <w:rPr>
          <w:rFonts w:eastAsia="Calibri" w:cs="Arial"/>
          <w:lang w:eastAsia="en-US"/>
        </w:rPr>
      </w:pPr>
      <w:r w:rsidRPr="004068F6">
        <w:rPr>
          <w:rFonts w:eastAsia="Calibri" w:cs="Arial"/>
          <w:b/>
          <w:lang w:eastAsia="en-US"/>
        </w:rPr>
        <w:t>Territorio colectivo</w:t>
      </w:r>
      <w:r w:rsidR="00DF117B" w:rsidRPr="004068F6">
        <w:rPr>
          <w:rFonts w:eastAsia="Calibri" w:cs="Arial"/>
          <w:b/>
          <w:lang w:eastAsia="en-US"/>
        </w:rPr>
        <w:t xml:space="preserve"> de comunidades negras</w:t>
      </w:r>
      <w:r w:rsidRPr="004068F6">
        <w:rPr>
          <w:rFonts w:eastAsia="Calibri" w:cs="Arial"/>
          <w:lang w:eastAsia="en-US"/>
        </w:rPr>
        <w:t xml:space="preserve">: </w:t>
      </w:r>
      <w:r w:rsidR="000F54E5" w:rsidRPr="004068F6">
        <w:rPr>
          <w:rFonts w:eastAsia="Calibri" w:cs="Arial"/>
          <w:lang w:eastAsia="en-US"/>
        </w:rPr>
        <w:t xml:space="preserve">terreno de ocupación histórica de comunidades negras sobre el cual se ha reconocido el derecho a la propiedad y ha sido adjudicado de manera colectiva mediante resolución del Instituto Colombiano de Reforma Agraria (INCORA) o por el Instituto Colombiano de Desarrollo Rural (INCODER), </w:t>
      </w:r>
      <w:r w:rsidR="00C51B55" w:rsidRPr="004068F6">
        <w:rPr>
          <w:rFonts w:eastAsia="Calibri" w:cs="Arial"/>
          <w:lang w:eastAsia="en-US"/>
        </w:rPr>
        <w:t xml:space="preserve">o por acto administrativo de la autoridad de tierras correspondiente, </w:t>
      </w:r>
      <w:r w:rsidR="000F54E5" w:rsidRPr="004068F6">
        <w:rPr>
          <w:rFonts w:eastAsia="Calibri" w:cs="Arial"/>
          <w:lang w:eastAsia="en-US"/>
        </w:rPr>
        <w:t>en el que habitan o realizan actividades sociales, económicas y culturales las comunidades negras del país</w:t>
      </w:r>
      <w:r w:rsidR="00761FEE" w:rsidRPr="004068F6">
        <w:rPr>
          <w:rFonts w:eastAsia="Calibri" w:cs="Arial"/>
          <w:i/>
          <w:lang w:eastAsia="en-US"/>
        </w:rPr>
        <w:t>.</w:t>
      </w:r>
      <w:r w:rsidR="00761FEE" w:rsidRPr="004068F6">
        <w:rPr>
          <w:rFonts w:eastAsia="Calibri" w:cs="Arial"/>
          <w:lang w:eastAsia="en-US"/>
        </w:rPr>
        <w:t xml:space="preserve"> </w:t>
      </w:r>
      <w:r w:rsidR="00E03D73" w:rsidRPr="004068F6">
        <w:rPr>
          <w:vertAlign w:val="superscript"/>
        </w:rPr>
        <w:t>[</w:t>
      </w:r>
      <w:r w:rsidR="00E03D73" w:rsidRPr="004068F6">
        <w:rPr>
          <w:vertAlign w:val="superscript"/>
        </w:rPr>
        <w:endnoteReference w:id="48"/>
      </w:r>
      <w:r w:rsidR="00E03D73" w:rsidRPr="004068F6">
        <w:rPr>
          <w:vertAlign w:val="superscript"/>
        </w:rPr>
        <w:t>]</w:t>
      </w:r>
    </w:p>
    <w:p w14:paraId="0BD8FAE5" w14:textId="77777777" w:rsidR="00AA4F93" w:rsidRPr="004068F6" w:rsidRDefault="00AA4F93" w:rsidP="009420F5">
      <w:pPr>
        <w:suppressAutoHyphens/>
        <w:rPr>
          <w:rFonts w:cs="Arial"/>
        </w:rPr>
      </w:pPr>
    </w:p>
    <w:p w14:paraId="5DDA2ABF" w14:textId="699FD0FD" w:rsidR="00AA4F93" w:rsidRPr="004068F6" w:rsidRDefault="00A27AE3" w:rsidP="00C86DA5">
      <w:pPr>
        <w:numPr>
          <w:ilvl w:val="0"/>
          <w:numId w:val="19"/>
        </w:numPr>
        <w:suppressAutoHyphens/>
        <w:ind w:left="567" w:hanging="567"/>
      </w:pPr>
      <w:bookmarkStart w:id="39" w:name="_Hlk96501411"/>
      <w:r w:rsidRPr="004068F6">
        <w:rPr>
          <w:b/>
        </w:rPr>
        <w:t>Tramo o sector homogéneo para captación u ocupación de cauce</w:t>
      </w:r>
      <w:r w:rsidRPr="004068F6">
        <w:rPr>
          <w:bCs/>
        </w:rPr>
        <w:t>: segmento (para sistemas lóticos) o área (para sistemas lénticos) de un cuerpo de agua cuyas características fisicoquímicas, hidrobiológicas, hidráulicas, hidrológicas y de estabilidad de márgenes, de cobertura vegetal y de uso del recurso son similares</w:t>
      </w:r>
      <w:r w:rsidR="00761FEE" w:rsidRPr="004068F6">
        <w:rPr>
          <w:bCs/>
        </w:rPr>
        <w:t>.</w:t>
      </w:r>
      <w:r w:rsidRPr="004068F6">
        <w:rPr>
          <w:bCs/>
        </w:rPr>
        <w:t xml:space="preserve"> </w:t>
      </w:r>
      <w:r w:rsidRPr="004068F6">
        <w:rPr>
          <w:color w:val="000000"/>
          <w:vertAlign w:val="superscript"/>
        </w:rPr>
        <w:t>[</w:t>
      </w:r>
      <w:r w:rsidRPr="004068F6">
        <w:rPr>
          <w:rStyle w:val="Refdenotaalfinal"/>
          <w:rFonts w:cs="Arial"/>
          <w:color w:val="000000"/>
        </w:rPr>
        <w:endnoteReference w:id="49"/>
      </w:r>
      <w:r w:rsidRPr="004068F6">
        <w:rPr>
          <w:color w:val="000000"/>
          <w:vertAlign w:val="superscript"/>
        </w:rPr>
        <w:t>]</w:t>
      </w:r>
    </w:p>
    <w:bookmarkEnd w:id="39"/>
    <w:p w14:paraId="4B803AE7" w14:textId="30ED6915" w:rsidR="00AA4F93" w:rsidRPr="004068F6" w:rsidRDefault="00AA4F93" w:rsidP="00C86DA5">
      <w:pPr>
        <w:numPr>
          <w:ilvl w:val="12"/>
          <w:numId w:val="0"/>
        </w:numPr>
        <w:tabs>
          <w:tab w:val="left" w:pos="-2268"/>
        </w:tabs>
        <w:suppressAutoHyphens/>
      </w:pPr>
    </w:p>
    <w:p w14:paraId="5245B043" w14:textId="5B7EEDBC" w:rsidR="00AA4F93" w:rsidRPr="004068F6" w:rsidRDefault="00AA4F93" w:rsidP="00C86DA5">
      <w:pPr>
        <w:numPr>
          <w:ilvl w:val="0"/>
          <w:numId w:val="19"/>
        </w:numPr>
        <w:suppressAutoHyphens/>
        <w:ind w:left="567" w:hanging="567"/>
      </w:pPr>
      <w:r w:rsidRPr="004068F6">
        <w:rPr>
          <w:b/>
          <w:color w:val="000000"/>
        </w:rPr>
        <w:t>Unidad ambiental costera</w:t>
      </w:r>
      <w:r w:rsidRPr="004068F6">
        <w:rPr>
          <w:color w:val="000000"/>
        </w:rPr>
        <w:t>:</w:t>
      </w:r>
      <w:r w:rsidR="0066232C" w:rsidRPr="004068F6">
        <w:rPr>
          <w:color w:val="000000"/>
          <w:sz w:val="20"/>
        </w:rPr>
        <w:t xml:space="preserve"> </w:t>
      </w:r>
      <w:r w:rsidR="0066232C" w:rsidRPr="004068F6">
        <w:rPr>
          <w:color w:val="000000"/>
        </w:rPr>
        <w:t>área de la zona costera definida geográficamente para su ordenación y manejo, que contiene ecosistemas con características propias y distintivas, con condiciones similares y de conectividad en cuanto a sus aspectos estructurales y funcionales.</w:t>
      </w:r>
      <w:r w:rsidR="008F3CBD" w:rsidRPr="004068F6">
        <w:rPr>
          <w:color w:val="000000"/>
        </w:rPr>
        <w:t xml:space="preserve"> </w:t>
      </w:r>
      <w:r w:rsidR="008F3CBD" w:rsidRPr="004068F6">
        <w:rPr>
          <w:color w:val="000000"/>
          <w:vertAlign w:val="superscript"/>
        </w:rPr>
        <w:t>[</w:t>
      </w:r>
      <w:r w:rsidRPr="004068F6">
        <w:rPr>
          <w:rStyle w:val="Refdenotaalfinal"/>
          <w:rFonts w:cs="Arial"/>
          <w:color w:val="000000"/>
        </w:rPr>
        <w:endnoteReference w:id="50"/>
      </w:r>
      <w:r w:rsidR="008F3CBD" w:rsidRPr="004068F6">
        <w:rPr>
          <w:color w:val="000000"/>
          <w:vertAlign w:val="superscript"/>
        </w:rPr>
        <w:t>]</w:t>
      </w:r>
    </w:p>
    <w:p w14:paraId="5687E9AF" w14:textId="77777777" w:rsidR="00AA4F93" w:rsidRPr="004068F6" w:rsidRDefault="00AA4F93" w:rsidP="009420F5">
      <w:pPr>
        <w:suppressAutoHyphens/>
        <w:rPr>
          <w:color w:val="000000"/>
        </w:rPr>
      </w:pPr>
    </w:p>
    <w:p w14:paraId="1C43689A" w14:textId="4AB58DD5" w:rsidR="00170926" w:rsidRPr="004068F6" w:rsidRDefault="00170926" w:rsidP="009420F5">
      <w:pPr>
        <w:pStyle w:val="Prrafodelista"/>
        <w:numPr>
          <w:ilvl w:val="0"/>
          <w:numId w:val="21"/>
        </w:numPr>
        <w:suppressAutoHyphens/>
        <w:ind w:left="567" w:hanging="567"/>
        <w:rPr>
          <w:color w:val="000000"/>
          <w:lang w:val="es-CO"/>
        </w:rPr>
      </w:pPr>
      <w:r w:rsidRPr="004068F6">
        <w:rPr>
          <w:rFonts w:cs="Arial"/>
          <w:b/>
          <w:lang w:val="es-CO"/>
        </w:rPr>
        <w:t>Unidad de análisis</w:t>
      </w:r>
      <w:r w:rsidRPr="004068F6">
        <w:rPr>
          <w:rFonts w:cs="Arial"/>
          <w:lang w:val="es-CO"/>
        </w:rPr>
        <w:t xml:space="preserve">: </w:t>
      </w:r>
      <w:r w:rsidRPr="004068F6">
        <w:rPr>
          <w:rFonts w:cs="Arial"/>
          <w:color w:val="000000"/>
          <w:lang w:val="es-CO"/>
        </w:rPr>
        <w:t xml:space="preserve">área geográfica </w:t>
      </w:r>
      <w:r w:rsidRPr="004068F6">
        <w:rPr>
          <w:color w:val="000000"/>
          <w:lang w:val="es-CO"/>
        </w:rPr>
        <w:t>que a una determinada escala es temáticamente homogénea; presenta dimensiones concretas y es cartografiable.</w:t>
      </w:r>
    </w:p>
    <w:p w14:paraId="7EDA92A6" w14:textId="77777777" w:rsidR="00170926" w:rsidRPr="004068F6" w:rsidRDefault="00170926" w:rsidP="009420F5">
      <w:pPr>
        <w:suppressAutoHyphens/>
        <w:rPr>
          <w:color w:val="000000"/>
        </w:rPr>
      </w:pPr>
    </w:p>
    <w:p w14:paraId="371CB544" w14:textId="29BBE622" w:rsidR="00AA4F93" w:rsidRPr="004068F6" w:rsidRDefault="00AA4F93" w:rsidP="00456AB1">
      <w:pPr>
        <w:numPr>
          <w:ilvl w:val="0"/>
          <w:numId w:val="19"/>
        </w:numPr>
        <w:suppressAutoHyphens/>
        <w:ind w:left="567" w:hanging="567"/>
        <w:rPr>
          <w:rFonts w:cs="Arial"/>
          <w:color w:val="000000"/>
        </w:rPr>
      </w:pPr>
      <w:r w:rsidRPr="004068F6">
        <w:rPr>
          <w:rFonts w:cs="Arial"/>
          <w:b/>
        </w:rPr>
        <w:t>Unidad de análisis territorial</w:t>
      </w:r>
      <w:r w:rsidRPr="004068F6">
        <w:rPr>
          <w:rFonts w:cs="Arial"/>
        </w:rPr>
        <w:t xml:space="preserve">: </w:t>
      </w:r>
      <w:r w:rsidR="000F6A88" w:rsidRPr="004068F6">
        <w:rPr>
          <w:rFonts w:cs="Arial"/>
          <w:color w:val="000000"/>
        </w:rPr>
        <w:t>unidad de análisis propia</w:t>
      </w:r>
      <w:r w:rsidRPr="004068F6">
        <w:rPr>
          <w:rFonts w:cs="Arial"/>
          <w:color w:val="000000"/>
        </w:rPr>
        <w:t xml:space="preserve"> del medio socioeconómico que puede coincidir con </w:t>
      </w:r>
      <w:r w:rsidR="005A3320" w:rsidRPr="004068F6">
        <w:rPr>
          <w:rFonts w:cs="Arial"/>
          <w:color w:val="000000"/>
        </w:rPr>
        <w:t xml:space="preserve">los límites </w:t>
      </w:r>
      <w:r w:rsidRPr="004068F6">
        <w:rPr>
          <w:rFonts w:cs="Arial"/>
          <w:color w:val="000000"/>
        </w:rPr>
        <w:t xml:space="preserve">de </w:t>
      </w:r>
      <w:r w:rsidR="005A3320" w:rsidRPr="004068F6">
        <w:rPr>
          <w:rFonts w:cs="Arial"/>
          <w:color w:val="000000"/>
        </w:rPr>
        <w:t>figuras legales de división territorial como</w:t>
      </w:r>
      <w:r w:rsidRPr="004068F6">
        <w:rPr>
          <w:rFonts w:cs="Arial"/>
          <w:color w:val="000000"/>
        </w:rPr>
        <w:t xml:space="preserve"> municipios, resguardos indígenas, territorios </w:t>
      </w:r>
      <w:r w:rsidRPr="004068F6">
        <w:rPr>
          <w:rFonts w:cs="Arial"/>
          <w:color w:val="000000"/>
        </w:rPr>
        <w:lastRenderedPageBreak/>
        <w:t>colectivos, corregimientos</w:t>
      </w:r>
      <w:r w:rsidR="00315E6E" w:rsidRPr="004068F6">
        <w:rPr>
          <w:rFonts w:cs="Arial"/>
          <w:color w:val="000000"/>
        </w:rPr>
        <w:t xml:space="preserve"> municipales</w:t>
      </w:r>
      <w:r w:rsidRPr="004068F6">
        <w:rPr>
          <w:rFonts w:cs="Arial"/>
          <w:color w:val="000000"/>
        </w:rPr>
        <w:t>, barrios, veredas o sector de vereda</w:t>
      </w:r>
      <w:r w:rsidR="004625FF" w:rsidRPr="004068F6">
        <w:rPr>
          <w:rFonts w:cs="Arial"/>
          <w:color w:val="000000"/>
        </w:rPr>
        <w:t xml:space="preserve"> o rancherías</w:t>
      </w:r>
      <w:r w:rsidR="00761FEE" w:rsidRPr="004068F6">
        <w:rPr>
          <w:rFonts w:cs="Arial"/>
          <w:color w:val="000000"/>
        </w:rPr>
        <w:t>.</w:t>
      </w:r>
    </w:p>
    <w:p w14:paraId="1EE51E2D" w14:textId="38CFC60F" w:rsidR="00AA4F93" w:rsidRPr="004068F6" w:rsidRDefault="00AA4F93" w:rsidP="00F35011">
      <w:pPr>
        <w:numPr>
          <w:ilvl w:val="12"/>
          <w:numId w:val="0"/>
        </w:numPr>
        <w:tabs>
          <w:tab w:val="left" w:pos="-2268"/>
        </w:tabs>
        <w:suppressAutoHyphens/>
        <w:rPr>
          <w:rFonts w:cs="Arial"/>
        </w:rPr>
      </w:pPr>
    </w:p>
    <w:p w14:paraId="6CE5C657" w14:textId="28786059" w:rsidR="00AA4F93" w:rsidRPr="004068F6" w:rsidRDefault="00AA4F93" w:rsidP="00C86DA5">
      <w:pPr>
        <w:numPr>
          <w:ilvl w:val="0"/>
          <w:numId w:val="19"/>
        </w:numPr>
        <w:suppressAutoHyphens/>
        <w:ind w:left="567" w:hanging="567"/>
      </w:pPr>
      <w:r w:rsidRPr="004068F6">
        <w:rPr>
          <w:b/>
        </w:rPr>
        <w:t>Unidad social</w:t>
      </w:r>
      <w:r w:rsidRPr="004068F6">
        <w:t xml:space="preserve">: </w:t>
      </w:r>
      <w:r w:rsidR="0057792E" w:rsidRPr="004068F6">
        <w:t>conjunto</w:t>
      </w:r>
      <w:r w:rsidRPr="004068F6">
        <w:t xml:space="preserve"> de </w:t>
      </w:r>
      <w:r w:rsidRPr="004068F6">
        <w:rPr>
          <w:rFonts w:cs="Arial"/>
        </w:rPr>
        <w:t>personas</w:t>
      </w:r>
      <w:r w:rsidRPr="004068F6">
        <w:t xml:space="preserve"> que guardan una relación de dependencia legal, física</w:t>
      </w:r>
      <w:r w:rsidR="0001759F" w:rsidRPr="004068F6">
        <w:t>,</w:t>
      </w:r>
      <w:r w:rsidRPr="004068F6">
        <w:t xml:space="preserve"> económica</w:t>
      </w:r>
      <w:r w:rsidR="001E7D60" w:rsidRPr="004068F6">
        <w:t>, social o cultural</w:t>
      </w:r>
      <w:r w:rsidRPr="004068F6">
        <w:t xml:space="preserve"> con relación a un inmueble</w:t>
      </w:r>
      <w:r w:rsidR="008F3CBD" w:rsidRPr="004068F6">
        <w:t xml:space="preserve"> </w:t>
      </w:r>
      <w:r w:rsidR="008F3CBD" w:rsidRPr="004068F6">
        <w:rPr>
          <w:vertAlign w:val="superscript"/>
        </w:rPr>
        <w:t>[</w:t>
      </w:r>
      <w:bookmarkStart w:id="40" w:name="_Ref78180121"/>
      <w:r w:rsidRPr="004068F6">
        <w:rPr>
          <w:vertAlign w:val="superscript"/>
        </w:rPr>
        <w:endnoteReference w:id="51"/>
      </w:r>
      <w:bookmarkEnd w:id="40"/>
      <w:r w:rsidR="008F3CBD" w:rsidRPr="004068F6">
        <w:rPr>
          <w:vertAlign w:val="superscript"/>
        </w:rPr>
        <w:t>]</w:t>
      </w:r>
      <w:r w:rsidRPr="004068F6" w:rsidDel="00832AB5">
        <w:rPr>
          <w:rFonts w:cs="Arial"/>
        </w:rPr>
        <w:t>.</w:t>
      </w:r>
      <w:r w:rsidRPr="004068F6">
        <w:t xml:space="preserve"> Las </w:t>
      </w:r>
      <w:r w:rsidR="00DE1333" w:rsidRPr="004068F6">
        <w:rPr>
          <w:rFonts w:cs="Arial"/>
        </w:rPr>
        <w:t>u</w:t>
      </w:r>
      <w:r w:rsidR="004F0F0E" w:rsidRPr="004068F6">
        <w:rPr>
          <w:rFonts w:cs="Arial"/>
        </w:rPr>
        <w:t>nidades</w:t>
      </w:r>
      <w:r w:rsidRPr="004068F6">
        <w:t xml:space="preserve"> sociales pueden ser:</w:t>
      </w:r>
    </w:p>
    <w:p w14:paraId="45F6FC3B" w14:textId="77777777" w:rsidR="00AA4F93" w:rsidRPr="004068F6" w:rsidRDefault="00AA4F93" w:rsidP="00C86DA5">
      <w:pPr>
        <w:tabs>
          <w:tab w:val="left" w:pos="-3828"/>
        </w:tabs>
        <w:suppressAutoHyphens/>
        <w:overflowPunct/>
        <w:autoSpaceDE/>
        <w:autoSpaceDN/>
        <w:adjustRightInd/>
        <w:ind w:firstLine="2"/>
        <w:textAlignment w:val="auto"/>
        <w:rPr>
          <w:spacing w:val="-2"/>
        </w:rPr>
      </w:pPr>
    </w:p>
    <w:p w14:paraId="2F372A64" w14:textId="7CE2F12B" w:rsidR="00AA4F93" w:rsidRPr="004068F6" w:rsidRDefault="00AA4F93" w:rsidP="00C86DA5">
      <w:pPr>
        <w:pStyle w:val="Prrafodelista"/>
        <w:numPr>
          <w:ilvl w:val="0"/>
          <w:numId w:val="38"/>
        </w:numPr>
        <w:tabs>
          <w:tab w:val="left" w:pos="-3828"/>
        </w:tabs>
        <w:suppressAutoHyphens/>
        <w:ind w:left="1134" w:hanging="567"/>
        <w:rPr>
          <w:rFonts w:cs="Arial"/>
          <w:spacing w:val="-2"/>
          <w:szCs w:val="20"/>
          <w:lang w:val="es-CO"/>
        </w:rPr>
      </w:pPr>
      <w:r w:rsidRPr="004068F6">
        <w:rPr>
          <w:rFonts w:cs="Arial"/>
          <w:b/>
          <w:spacing w:val="-2"/>
          <w:szCs w:val="20"/>
          <w:lang w:val="es-CO"/>
        </w:rPr>
        <w:t>Unidad social residente</w:t>
      </w:r>
      <w:r w:rsidRPr="004068F6">
        <w:rPr>
          <w:rFonts w:cs="Arial"/>
          <w:spacing w:val="-2"/>
          <w:szCs w:val="20"/>
          <w:lang w:val="es-CO"/>
        </w:rPr>
        <w:t xml:space="preserve">: </w:t>
      </w:r>
      <w:r w:rsidR="004F0F0E" w:rsidRPr="004068F6">
        <w:rPr>
          <w:rFonts w:cs="Arial"/>
          <w:spacing w:val="-2"/>
          <w:szCs w:val="20"/>
          <w:lang w:val="es-CO"/>
        </w:rPr>
        <w:t>persona</w:t>
      </w:r>
      <w:r w:rsidRPr="004068F6">
        <w:rPr>
          <w:rFonts w:cs="Arial"/>
          <w:spacing w:val="-2"/>
          <w:szCs w:val="20"/>
          <w:lang w:val="es-CO"/>
        </w:rPr>
        <w:t xml:space="preserve"> sola, o aquellas unidas o no por lazos de parentesco, que habitan una vivienda, entendiendo por “habitar una vivienda” la residencia permanente para la satisfacción de necesidades básicas como alojamiento y consumo de al menos una de las comidas.</w:t>
      </w:r>
    </w:p>
    <w:p w14:paraId="726218B0" w14:textId="77777777" w:rsidR="00AA4F93" w:rsidRPr="004068F6" w:rsidRDefault="00AA4F93" w:rsidP="00C86DA5">
      <w:pPr>
        <w:tabs>
          <w:tab w:val="left" w:pos="-3828"/>
        </w:tabs>
        <w:suppressAutoHyphens/>
        <w:overflowPunct/>
        <w:autoSpaceDE/>
        <w:autoSpaceDN/>
        <w:adjustRightInd/>
        <w:ind w:firstLine="2"/>
        <w:textAlignment w:val="auto"/>
        <w:rPr>
          <w:spacing w:val="-2"/>
        </w:rPr>
      </w:pPr>
    </w:p>
    <w:p w14:paraId="385A1A63" w14:textId="6332B6AD" w:rsidR="00AA4F93" w:rsidRPr="004068F6" w:rsidRDefault="00AA4F93" w:rsidP="00C86DA5">
      <w:pPr>
        <w:pStyle w:val="Prrafodelista"/>
        <w:numPr>
          <w:ilvl w:val="0"/>
          <w:numId w:val="38"/>
        </w:numPr>
        <w:tabs>
          <w:tab w:val="left" w:pos="-3828"/>
        </w:tabs>
        <w:suppressAutoHyphens/>
        <w:ind w:left="1134" w:hanging="567"/>
        <w:rPr>
          <w:rFonts w:cs="Arial"/>
          <w:spacing w:val="-2"/>
          <w:szCs w:val="20"/>
          <w:lang w:val="es-CO"/>
        </w:rPr>
      </w:pPr>
      <w:r w:rsidRPr="004068F6">
        <w:rPr>
          <w:rFonts w:cs="Arial"/>
          <w:b/>
          <w:spacing w:val="-2"/>
          <w:szCs w:val="20"/>
          <w:lang w:val="es-CO"/>
        </w:rPr>
        <w:t>Unidad social productiva</w:t>
      </w:r>
      <w:r w:rsidRPr="004068F6">
        <w:rPr>
          <w:rFonts w:cs="Arial"/>
          <w:spacing w:val="-2"/>
          <w:szCs w:val="20"/>
          <w:lang w:val="es-CO"/>
        </w:rPr>
        <w:t xml:space="preserve">: </w:t>
      </w:r>
      <w:r w:rsidR="004F0F0E" w:rsidRPr="004068F6">
        <w:rPr>
          <w:rFonts w:cs="Arial"/>
          <w:spacing w:val="-2"/>
          <w:szCs w:val="20"/>
          <w:lang w:val="es-CO"/>
        </w:rPr>
        <w:t>persona</w:t>
      </w:r>
      <w:r w:rsidRPr="004068F6">
        <w:rPr>
          <w:rFonts w:cs="Arial"/>
          <w:spacing w:val="-2"/>
          <w:szCs w:val="20"/>
          <w:lang w:val="es-CO"/>
        </w:rPr>
        <w:t xml:space="preserve"> natural o jurídica que desarrolla de manera permanente actividades productivas, entendidas como aquellas relacionadas con la producción y/o comercialización de bienes y servicios generadores de ingresos, dentro de un inmueble específico, contando con una infraestructura mínima para su funcionamiento, como equipos o estanterías.</w:t>
      </w:r>
    </w:p>
    <w:p w14:paraId="73B32AF1" w14:textId="77777777" w:rsidR="00AA4F93" w:rsidRPr="004068F6" w:rsidRDefault="00AA4F93" w:rsidP="00C86DA5">
      <w:pPr>
        <w:tabs>
          <w:tab w:val="left" w:pos="-3828"/>
        </w:tabs>
        <w:suppressAutoHyphens/>
        <w:overflowPunct/>
        <w:autoSpaceDE/>
        <w:autoSpaceDN/>
        <w:adjustRightInd/>
        <w:ind w:firstLine="2"/>
        <w:textAlignment w:val="auto"/>
        <w:rPr>
          <w:spacing w:val="-2"/>
        </w:rPr>
      </w:pPr>
    </w:p>
    <w:p w14:paraId="3B835DBB" w14:textId="3FA64260" w:rsidR="00AA4F93" w:rsidRPr="004068F6" w:rsidRDefault="00AA4F93" w:rsidP="00C86DA5">
      <w:pPr>
        <w:numPr>
          <w:ilvl w:val="0"/>
          <w:numId w:val="25"/>
        </w:numPr>
        <w:tabs>
          <w:tab w:val="left" w:pos="-3828"/>
        </w:tabs>
        <w:suppressAutoHyphens/>
        <w:overflowPunct/>
        <w:autoSpaceDE/>
        <w:autoSpaceDN/>
        <w:adjustRightInd/>
        <w:ind w:left="1068"/>
        <w:textAlignment w:val="auto"/>
        <w:rPr>
          <w:b/>
          <w:spacing w:val="-2"/>
        </w:rPr>
      </w:pPr>
      <w:r w:rsidRPr="004068F6">
        <w:rPr>
          <w:b/>
          <w:spacing w:val="-2"/>
        </w:rPr>
        <w:t xml:space="preserve">Unidad </w:t>
      </w:r>
      <w:r w:rsidRPr="004068F6">
        <w:rPr>
          <w:rFonts w:cs="Arial"/>
          <w:b/>
          <w:spacing w:val="-2"/>
          <w:szCs w:val="20"/>
        </w:rPr>
        <w:t>social mixta</w:t>
      </w:r>
      <w:r w:rsidRPr="004068F6">
        <w:rPr>
          <w:rFonts w:cs="Arial"/>
          <w:spacing w:val="-2"/>
          <w:szCs w:val="20"/>
        </w:rPr>
        <w:t>:</w:t>
      </w:r>
      <w:r w:rsidRPr="004068F6">
        <w:rPr>
          <w:spacing w:val="-2"/>
        </w:rPr>
        <w:t xml:space="preserve"> persona que no solo tiene dentro de su inmueble condiciones de habitabilidad o residencia, sino que además dentro de la misma cuenta con una o más actividades productivas.</w:t>
      </w:r>
    </w:p>
    <w:p w14:paraId="39AFA447" w14:textId="77777777" w:rsidR="00AA4F93" w:rsidRPr="004068F6" w:rsidRDefault="00AA4F93" w:rsidP="00C86DA5">
      <w:pPr>
        <w:tabs>
          <w:tab w:val="left" w:pos="-3828"/>
        </w:tabs>
        <w:suppressAutoHyphens/>
        <w:overflowPunct/>
        <w:autoSpaceDE/>
        <w:autoSpaceDN/>
        <w:adjustRightInd/>
        <w:ind w:firstLine="2"/>
        <w:textAlignment w:val="auto"/>
        <w:rPr>
          <w:spacing w:val="-2"/>
        </w:rPr>
      </w:pPr>
    </w:p>
    <w:p w14:paraId="223E0D5D" w14:textId="2AFD6115" w:rsidR="00AA4F93" w:rsidRPr="004068F6" w:rsidRDefault="00AA4F93" w:rsidP="00C86DA5">
      <w:pPr>
        <w:pStyle w:val="Prrafodelista"/>
        <w:numPr>
          <w:ilvl w:val="0"/>
          <w:numId w:val="25"/>
        </w:numPr>
        <w:tabs>
          <w:tab w:val="left" w:pos="-3828"/>
        </w:tabs>
        <w:suppressAutoHyphens/>
        <w:ind w:left="1068"/>
        <w:rPr>
          <w:rFonts w:cs="Arial"/>
          <w:spacing w:val="-2"/>
          <w:szCs w:val="20"/>
          <w:lang w:val="es-CO"/>
        </w:rPr>
      </w:pPr>
      <w:r w:rsidRPr="004068F6">
        <w:rPr>
          <w:rFonts w:cs="Arial"/>
          <w:b/>
          <w:spacing w:val="-2"/>
          <w:szCs w:val="20"/>
          <w:lang w:val="es-CO"/>
        </w:rPr>
        <w:t>Otras unidades sociales</w:t>
      </w:r>
      <w:r w:rsidRPr="004068F6">
        <w:rPr>
          <w:rFonts w:cs="Arial"/>
          <w:spacing w:val="-2"/>
          <w:szCs w:val="20"/>
          <w:lang w:val="es-CO"/>
        </w:rPr>
        <w:t xml:space="preserve">: </w:t>
      </w:r>
      <w:r w:rsidR="004F0F0E" w:rsidRPr="004068F6">
        <w:rPr>
          <w:rFonts w:cs="Arial"/>
          <w:spacing w:val="-2"/>
          <w:szCs w:val="20"/>
          <w:lang w:val="es-CO"/>
        </w:rPr>
        <w:t>propietarios</w:t>
      </w:r>
      <w:r w:rsidRPr="004068F6">
        <w:rPr>
          <w:rFonts w:cs="Arial"/>
          <w:spacing w:val="-2"/>
          <w:szCs w:val="20"/>
          <w:lang w:val="es-CO"/>
        </w:rPr>
        <w:t xml:space="preserve"> y mejoratarios que, siendo o no residentes, obtienen ingresos provenientes del arrendamiento de una parte o la totalidad del inmueble para habitación o desarrollo de actividades productivas.</w:t>
      </w:r>
    </w:p>
    <w:p w14:paraId="15EE051E" w14:textId="1963CA1E" w:rsidR="00AA4F93" w:rsidRPr="004068F6" w:rsidRDefault="00AA4F93" w:rsidP="00C86DA5">
      <w:pPr>
        <w:numPr>
          <w:ilvl w:val="12"/>
          <w:numId w:val="0"/>
        </w:numPr>
        <w:tabs>
          <w:tab w:val="left" w:pos="-2268"/>
        </w:tabs>
        <w:suppressAutoHyphens/>
      </w:pPr>
    </w:p>
    <w:p w14:paraId="731210EC" w14:textId="474D8ADF" w:rsidR="00AA4F93" w:rsidRPr="004068F6" w:rsidRDefault="00AA4F93" w:rsidP="00C86DA5">
      <w:pPr>
        <w:numPr>
          <w:ilvl w:val="0"/>
          <w:numId w:val="19"/>
        </w:numPr>
        <w:suppressAutoHyphens/>
        <w:ind w:left="567" w:hanging="567"/>
        <w:rPr>
          <w:rFonts w:cs="Arial"/>
        </w:rPr>
      </w:pPr>
      <w:r w:rsidRPr="004068F6">
        <w:rPr>
          <w:rFonts w:cs="Arial"/>
          <w:b/>
        </w:rPr>
        <w:t>Variabilidad climática</w:t>
      </w:r>
      <w:r w:rsidRPr="004068F6">
        <w:rPr>
          <w:rFonts w:cs="Arial"/>
        </w:rPr>
        <w:t xml:space="preserve">: </w:t>
      </w:r>
      <w:r w:rsidR="000105F5" w:rsidRPr="004068F6">
        <w:rPr>
          <w:rFonts w:cs="Arial"/>
        </w:rPr>
        <w:t>variaci</w:t>
      </w:r>
      <w:r w:rsidR="008660C4" w:rsidRPr="004068F6">
        <w:rPr>
          <w:rFonts w:cs="Arial"/>
        </w:rPr>
        <w:t>ó</w:t>
      </w:r>
      <w:r w:rsidR="000105F5" w:rsidRPr="004068F6">
        <w:rPr>
          <w:rFonts w:cs="Arial"/>
        </w:rPr>
        <w:t>n en el</w:t>
      </w:r>
      <w:r w:rsidR="000105F5" w:rsidRPr="004068F6">
        <w:t xml:space="preserve"> estado medio y </w:t>
      </w:r>
      <w:r w:rsidR="008660C4" w:rsidRPr="004068F6">
        <w:t xml:space="preserve">en </w:t>
      </w:r>
      <w:r w:rsidR="000105F5" w:rsidRPr="004068F6">
        <w:t>otros datos estadísticos del clima en todas las escalas temporales y espaciales (como las desviaciones típicas, la ocurrencia de fenómenos extremos como El Niño y La Niña, etc.), más allá de fenómenos meteorológicos determinados. La variabilidad se puede deber a procesos internos naturales dentro del sistema climático (variabilidad interna), o a variaciones en los forzamientos externos antropogénicos (variabilidad externa)</w:t>
      </w:r>
      <w:r w:rsidR="00142688" w:rsidRPr="004068F6">
        <w:rPr>
          <w:rFonts w:eastAsia="Calibri" w:cs="Arial"/>
          <w:lang w:eastAsia="en-US"/>
        </w:rPr>
        <w:t>.</w:t>
      </w:r>
      <w:r w:rsidR="002830FF" w:rsidRPr="004068F6">
        <w:rPr>
          <w:rFonts w:eastAsia="Calibri" w:cs="Arial"/>
          <w:lang w:eastAsia="en-US"/>
        </w:rPr>
        <w:t xml:space="preserve"> </w:t>
      </w:r>
      <w:r w:rsidR="008F3CBD" w:rsidRPr="004068F6">
        <w:rPr>
          <w:rFonts w:eastAsia="Calibri" w:cs="Arial"/>
          <w:vertAlign w:val="superscript"/>
          <w:lang w:eastAsia="en-US"/>
        </w:rPr>
        <w:t>[</w:t>
      </w:r>
      <w:r w:rsidR="00696CF8" w:rsidRPr="004068F6">
        <w:rPr>
          <w:rFonts w:eastAsia="Calibri" w:cs="Arial"/>
          <w:vertAlign w:val="superscript"/>
          <w:lang w:eastAsia="en-US"/>
        </w:rPr>
        <w:fldChar w:fldCharType="begin"/>
      </w:r>
      <w:r w:rsidR="00696CF8" w:rsidRPr="004068F6">
        <w:rPr>
          <w:rFonts w:eastAsia="Calibri" w:cs="Arial"/>
          <w:vertAlign w:val="superscript"/>
          <w:lang w:eastAsia="en-US"/>
        </w:rPr>
        <w:instrText xml:space="preserve"> NOTEREF _Ref44840425 \h </w:instrText>
      </w:r>
      <w:r w:rsidR="006A4128" w:rsidRPr="004068F6">
        <w:rPr>
          <w:rFonts w:eastAsia="Calibri" w:cs="Arial"/>
          <w:vertAlign w:val="superscript"/>
          <w:lang w:eastAsia="en-US"/>
        </w:rPr>
        <w:instrText xml:space="preserve"> \* MERGEFORMAT </w:instrText>
      </w:r>
      <w:r w:rsidR="00696CF8" w:rsidRPr="004068F6">
        <w:rPr>
          <w:rFonts w:eastAsia="Calibri" w:cs="Arial"/>
          <w:vertAlign w:val="superscript"/>
          <w:lang w:eastAsia="en-US"/>
        </w:rPr>
      </w:r>
      <w:r w:rsidR="00696CF8" w:rsidRPr="004068F6">
        <w:rPr>
          <w:rFonts w:eastAsia="Calibri" w:cs="Arial"/>
          <w:vertAlign w:val="superscript"/>
          <w:lang w:eastAsia="en-US"/>
        </w:rPr>
        <w:fldChar w:fldCharType="separate"/>
      </w:r>
      <w:r w:rsidR="009C4A81">
        <w:rPr>
          <w:rFonts w:eastAsia="Calibri" w:cs="Arial"/>
          <w:vertAlign w:val="superscript"/>
          <w:lang w:eastAsia="en-US"/>
        </w:rPr>
        <w:t>2</w:t>
      </w:r>
      <w:r w:rsidR="00696CF8" w:rsidRPr="004068F6">
        <w:rPr>
          <w:rFonts w:eastAsia="Calibri" w:cs="Arial"/>
          <w:vertAlign w:val="superscript"/>
          <w:lang w:eastAsia="en-US"/>
        </w:rPr>
        <w:fldChar w:fldCharType="end"/>
      </w:r>
      <w:r w:rsidR="008F3CBD" w:rsidRPr="004068F6">
        <w:rPr>
          <w:rFonts w:eastAsia="Calibri" w:cs="Arial"/>
          <w:vertAlign w:val="superscript"/>
          <w:lang w:eastAsia="en-US"/>
        </w:rPr>
        <w:t>]</w:t>
      </w:r>
    </w:p>
    <w:p w14:paraId="1720131D" w14:textId="77777777" w:rsidR="00AA4F93" w:rsidRPr="004068F6" w:rsidRDefault="00AA4F93" w:rsidP="009420F5">
      <w:pPr>
        <w:suppressAutoHyphens/>
        <w:rPr>
          <w:rFonts w:eastAsia="Calibri" w:cs="Arial"/>
          <w:lang w:eastAsia="en-US"/>
        </w:rPr>
      </w:pPr>
    </w:p>
    <w:p w14:paraId="448A103C" w14:textId="0B4D3A0F" w:rsidR="00AA4F93" w:rsidRPr="004068F6" w:rsidRDefault="00AA4F93" w:rsidP="009420F5">
      <w:pPr>
        <w:numPr>
          <w:ilvl w:val="0"/>
          <w:numId w:val="19"/>
        </w:numPr>
        <w:suppressAutoHyphens/>
        <w:ind w:left="567" w:hanging="567"/>
        <w:rPr>
          <w:rFonts w:eastAsia="Calibri" w:cs="Arial"/>
          <w:lang w:eastAsia="en-US"/>
        </w:rPr>
      </w:pPr>
      <w:r w:rsidRPr="004068F6">
        <w:rPr>
          <w:rFonts w:eastAsia="Calibri" w:cs="Arial"/>
          <w:b/>
          <w:lang w:eastAsia="en-US"/>
        </w:rPr>
        <w:t>Vereda</w:t>
      </w:r>
      <w:r w:rsidRPr="004068F6">
        <w:rPr>
          <w:rFonts w:eastAsia="Calibri" w:cs="Arial"/>
          <w:lang w:eastAsia="en-US"/>
        </w:rPr>
        <w:t>:</w:t>
      </w:r>
      <w:r w:rsidR="00707C4E" w:rsidRPr="004068F6">
        <w:rPr>
          <w:rFonts w:eastAsia="Calibri" w:cs="Arial"/>
          <w:lang w:eastAsia="en-US"/>
        </w:rPr>
        <w:t xml:space="preserve"> d</w:t>
      </w:r>
      <w:r w:rsidRPr="004068F6">
        <w:rPr>
          <w:rFonts w:eastAsia="Calibri" w:cs="Arial"/>
          <w:lang w:eastAsia="en-US"/>
        </w:rPr>
        <w:t xml:space="preserve">ivisión </w:t>
      </w:r>
      <w:r w:rsidR="006768F9" w:rsidRPr="004068F6">
        <w:rPr>
          <w:rFonts w:eastAsia="Calibri" w:cs="Arial"/>
          <w:lang w:eastAsia="en-US"/>
        </w:rPr>
        <w:t xml:space="preserve">territorial de carácter administrativo en el área rural de los municipios, establecida mediante acuerdo municipal. Se concibe como una agrupación comunitaria de base territorial y principal espacio de sociabilidad, caracterizada por la proximidad de residencia de sus miembros, el sentido de pertenencia e identidad común y el predominio de las relaciones vecinales. Se </w:t>
      </w:r>
      <w:r w:rsidR="006768F9" w:rsidRPr="004068F6">
        <w:rPr>
          <w:rFonts w:eastAsia="Calibri" w:cs="Arial"/>
          <w:lang w:eastAsia="en-US"/>
        </w:rPr>
        <w:lastRenderedPageBreak/>
        <w:t>conforma principalmente por la agrupación de predios delimitados por accidentes geográficos y vías principales</w:t>
      </w:r>
      <w:r w:rsidR="00DE1333" w:rsidRPr="004068F6">
        <w:rPr>
          <w:rFonts w:eastAsia="Calibri" w:cs="Arial"/>
          <w:lang w:eastAsia="en-US"/>
        </w:rPr>
        <w:t>.</w:t>
      </w:r>
      <w:r w:rsidR="008F3CBD" w:rsidRPr="004068F6">
        <w:rPr>
          <w:rFonts w:eastAsia="Calibri" w:cs="Arial"/>
          <w:lang w:eastAsia="en-US"/>
        </w:rPr>
        <w:t xml:space="preserve"> </w:t>
      </w:r>
      <w:r w:rsidR="008F3CBD" w:rsidRPr="004068F6">
        <w:rPr>
          <w:rFonts w:eastAsia="Calibri" w:cs="Arial"/>
          <w:vertAlign w:val="superscript"/>
          <w:lang w:eastAsia="en-US"/>
        </w:rPr>
        <w:t>[</w:t>
      </w:r>
      <w:r w:rsidR="00BD264C" w:rsidRPr="004068F6">
        <w:rPr>
          <w:rFonts w:eastAsia="Calibri" w:cs="Arial"/>
          <w:vertAlign w:val="superscript"/>
          <w:lang w:eastAsia="en-US"/>
        </w:rPr>
        <w:fldChar w:fldCharType="begin"/>
      </w:r>
      <w:r w:rsidR="00BD264C" w:rsidRPr="004068F6">
        <w:rPr>
          <w:rFonts w:eastAsia="Calibri" w:cs="Arial"/>
          <w:vertAlign w:val="superscript"/>
          <w:lang w:eastAsia="en-US"/>
        </w:rPr>
        <w:instrText xml:space="preserve"> NOTEREF _Ref78191010 \h </w:instrText>
      </w:r>
      <w:r w:rsidR="006A4128" w:rsidRPr="004068F6">
        <w:rPr>
          <w:rFonts w:eastAsia="Calibri" w:cs="Arial"/>
          <w:vertAlign w:val="superscript"/>
          <w:lang w:eastAsia="en-US"/>
        </w:rPr>
        <w:instrText xml:space="preserve"> \* MERGEFORMAT </w:instrText>
      </w:r>
      <w:r w:rsidR="00BD264C" w:rsidRPr="004068F6">
        <w:rPr>
          <w:rFonts w:eastAsia="Calibri" w:cs="Arial"/>
          <w:vertAlign w:val="superscript"/>
          <w:lang w:eastAsia="en-US"/>
        </w:rPr>
      </w:r>
      <w:r w:rsidR="00BD264C" w:rsidRPr="004068F6">
        <w:rPr>
          <w:rFonts w:eastAsia="Calibri" w:cs="Arial"/>
          <w:vertAlign w:val="superscript"/>
          <w:lang w:eastAsia="en-US"/>
        </w:rPr>
        <w:fldChar w:fldCharType="separate"/>
      </w:r>
      <w:r w:rsidR="009C4A81">
        <w:rPr>
          <w:rFonts w:eastAsia="Calibri" w:cs="Arial"/>
          <w:vertAlign w:val="superscript"/>
          <w:lang w:eastAsia="en-US"/>
        </w:rPr>
        <w:t>13</w:t>
      </w:r>
      <w:r w:rsidR="00BD264C" w:rsidRPr="004068F6">
        <w:rPr>
          <w:rFonts w:eastAsia="Calibri" w:cs="Arial"/>
          <w:vertAlign w:val="superscript"/>
          <w:lang w:eastAsia="en-US"/>
        </w:rPr>
        <w:fldChar w:fldCharType="end"/>
      </w:r>
      <w:r w:rsidR="008F3CBD" w:rsidRPr="004068F6">
        <w:rPr>
          <w:rFonts w:eastAsia="Calibri" w:cs="Arial"/>
          <w:vertAlign w:val="superscript"/>
          <w:lang w:eastAsia="en-US"/>
        </w:rPr>
        <w:t>]</w:t>
      </w:r>
    </w:p>
    <w:p w14:paraId="7F9D9952" w14:textId="77777777" w:rsidR="00AA4F93" w:rsidRPr="004068F6" w:rsidRDefault="00AA4F93" w:rsidP="009420F5">
      <w:pPr>
        <w:suppressAutoHyphens/>
        <w:rPr>
          <w:rFonts w:eastAsia="Calibri" w:cs="Arial"/>
          <w:lang w:eastAsia="en-US"/>
        </w:rPr>
      </w:pPr>
    </w:p>
    <w:p w14:paraId="5C0FE296" w14:textId="51214838" w:rsidR="00AA4F93" w:rsidRPr="004068F6" w:rsidRDefault="00AA4F93" w:rsidP="00456AB1">
      <w:pPr>
        <w:numPr>
          <w:ilvl w:val="0"/>
          <w:numId w:val="19"/>
        </w:numPr>
        <w:suppressAutoHyphens/>
        <w:ind w:left="567" w:hanging="567"/>
        <w:rPr>
          <w:rFonts w:eastAsia="Calibri" w:cs="Arial"/>
          <w:lang w:eastAsia="en-US"/>
        </w:rPr>
      </w:pPr>
      <w:r w:rsidRPr="004068F6">
        <w:rPr>
          <w:rFonts w:eastAsia="Calibri" w:cs="Arial"/>
          <w:b/>
          <w:lang w:eastAsia="en-US"/>
        </w:rPr>
        <w:t>Vertimiento</w:t>
      </w:r>
      <w:r w:rsidRPr="004068F6">
        <w:rPr>
          <w:rFonts w:eastAsia="Calibri" w:cs="Arial"/>
          <w:lang w:eastAsia="en-US"/>
        </w:rPr>
        <w:t xml:space="preserve">: </w:t>
      </w:r>
      <w:r w:rsidR="00DE1333" w:rsidRPr="004068F6">
        <w:rPr>
          <w:rFonts w:eastAsia="Calibri" w:cs="Arial"/>
          <w:lang w:eastAsia="en-US"/>
        </w:rPr>
        <w:t>d</w:t>
      </w:r>
      <w:r w:rsidRPr="004068F6">
        <w:rPr>
          <w:rFonts w:eastAsia="Calibri" w:cs="Arial"/>
          <w:lang w:eastAsia="en-US"/>
        </w:rPr>
        <w:t>escarga final a un cuerpo de agua, a un alcantarillado o al suelo, de elementos, sustancias o compuestos contenidos en un medio líquido</w:t>
      </w:r>
      <w:r w:rsidR="00DE1333" w:rsidRPr="004068F6">
        <w:rPr>
          <w:rFonts w:eastAsia="Calibri" w:cs="Arial"/>
          <w:lang w:eastAsia="en-US"/>
        </w:rPr>
        <w:t>.</w:t>
      </w:r>
      <w:r w:rsidR="008F3CBD" w:rsidRPr="004068F6">
        <w:rPr>
          <w:rFonts w:eastAsia="Calibri" w:cs="Arial"/>
          <w:lang w:eastAsia="en-US"/>
        </w:rPr>
        <w:t xml:space="preserve"> </w:t>
      </w:r>
      <w:r w:rsidR="008F3CBD" w:rsidRPr="004068F6">
        <w:rPr>
          <w:rFonts w:eastAsia="Calibri" w:cs="Arial"/>
          <w:vertAlign w:val="superscript"/>
          <w:lang w:eastAsia="en-US"/>
        </w:rPr>
        <w:t>[</w:t>
      </w:r>
      <w:r w:rsidR="00F22587" w:rsidRPr="004068F6">
        <w:rPr>
          <w:rFonts w:eastAsia="Calibri" w:cs="Arial"/>
          <w:vertAlign w:val="superscript"/>
          <w:lang w:eastAsia="en-US"/>
        </w:rPr>
        <w:fldChar w:fldCharType="begin"/>
      </w:r>
      <w:r w:rsidR="00F22587" w:rsidRPr="004068F6">
        <w:rPr>
          <w:rFonts w:eastAsia="Calibri" w:cs="Arial"/>
          <w:vertAlign w:val="superscript"/>
          <w:lang w:eastAsia="en-US"/>
        </w:rPr>
        <w:instrText xml:space="preserve"> NOTEREF _Ref44839840 \h </w:instrText>
      </w:r>
      <w:r w:rsidR="006A4128" w:rsidRPr="004068F6">
        <w:rPr>
          <w:rFonts w:eastAsia="Calibri" w:cs="Arial"/>
          <w:vertAlign w:val="superscript"/>
          <w:lang w:eastAsia="en-US"/>
        </w:rPr>
        <w:instrText xml:space="preserve"> \* MERGEFORMAT </w:instrText>
      </w:r>
      <w:r w:rsidR="00F22587" w:rsidRPr="004068F6">
        <w:rPr>
          <w:rFonts w:eastAsia="Calibri" w:cs="Arial"/>
          <w:vertAlign w:val="superscript"/>
          <w:lang w:eastAsia="en-US"/>
        </w:rPr>
      </w:r>
      <w:r w:rsidR="00F22587" w:rsidRPr="004068F6">
        <w:rPr>
          <w:rFonts w:eastAsia="Calibri" w:cs="Arial"/>
          <w:vertAlign w:val="superscript"/>
          <w:lang w:eastAsia="en-US"/>
        </w:rPr>
        <w:fldChar w:fldCharType="separate"/>
      </w:r>
      <w:r w:rsidR="009C4A81">
        <w:rPr>
          <w:rFonts w:eastAsia="Calibri" w:cs="Arial"/>
          <w:vertAlign w:val="superscript"/>
          <w:lang w:eastAsia="en-US"/>
        </w:rPr>
        <w:t>1</w:t>
      </w:r>
      <w:r w:rsidR="00F22587" w:rsidRPr="004068F6">
        <w:rPr>
          <w:rFonts w:eastAsia="Calibri" w:cs="Arial"/>
          <w:vertAlign w:val="superscript"/>
          <w:lang w:eastAsia="en-US"/>
        </w:rPr>
        <w:fldChar w:fldCharType="end"/>
      </w:r>
      <w:r w:rsidR="008F3CBD" w:rsidRPr="004068F6">
        <w:rPr>
          <w:rFonts w:eastAsia="Calibri" w:cs="Arial"/>
          <w:vertAlign w:val="superscript"/>
          <w:lang w:eastAsia="en-US"/>
        </w:rPr>
        <w:t>]</w:t>
      </w:r>
    </w:p>
    <w:p w14:paraId="43DA4487" w14:textId="2934F4F9" w:rsidR="004471D7" w:rsidRPr="004068F6" w:rsidRDefault="004471D7" w:rsidP="00F35011">
      <w:pPr>
        <w:numPr>
          <w:ilvl w:val="12"/>
          <w:numId w:val="0"/>
        </w:numPr>
        <w:tabs>
          <w:tab w:val="left" w:pos="-2268"/>
        </w:tabs>
        <w:suppressAutoHyphens/>
        <w:rPr>
          <w:rFonts w:cs="Arial"/>
        </w:rPr>
      </w:pPr>
    </w:p>
    <w:p w14:paraId="0E5D9A02" w14:textId="5B8D7915" w:rsidR="00551861" w:rsidRPr="00127BD4" w:rsidRDefault="00551861" w:rsidP="00551861">
      <w:pPr>
        <w:numPr>
          <w:ilvl w:val="0"/>
          <w:numId w:val="19"/>
        </w:numPr>
        <w:tabs>
          <w:tab w:val="left" w:pos="-2268"/>
        </w:tabs>
        <w:suppressAutoHyphens/>
        <w:ind w:left="567" w:hanging="567"/>
        <w:rPr>
          <w:rFonts w:cs="Arial"/>
          <w:b/>
        </w:rPr>
      </w:pPr>
      <w:r w:rsidRPr="00127BD4">
        <w:rPr>
          <w:rFonts w:cs="Arial"/>
          <w:b/>
        </w:rPr>
        <w:t>Visibilidad del paisaje</w:t>
      </w:r>
      <w:r w:rsidRPr="004068F6">
        <w:rPr>
          <w:rFonts w:cs="Arial"/>
          <w:bCs/>
        </w:rPr>
        <w:t>:</w:t>
      </w:r>
      <w:r w:rsidRPr="00127BD4">
        <w:rPr>
          <w:rFonts w:cs="Arial"/>
          <w:bCs/>
        </w:rPr>
        <w:t xml:space="preserve"> </w:t>
      </w:r>
      <w:r w:rsidRPr="004068F6">
        <w:rPr>
          <w:rFonts w:cs="Arial"/>
          <w:bCs/>
        </w:rPr>
        <w:t>c</w:t>
      </w:r>
      <w:r w:rsidRPr="00127BD4">
        <w:rPr>
          <w:rFonts w:cs="Arial"/>
          <w:bCs/>
        </w:rPr>
        <w:t>ap</w:t>
      </w:r>
      <w:r w:rsidRPr="004068F6">
        <w:rPr>
          <w:rFonts w:cs="Arial"/>
          <w:bCs/>
        </w:rPr>
        <w:t>a</w:t>
      </w:r>
      <w:r w:rsidRPr="00127BD4">
        <w:rPr>
          <w:rFonts w:cs="Arial"/>
          <w:bCs/>
        </w:rPr>
        <w:t>cidad</w:t>
      </w:r>
      <w:r w:rsidRPr="00127BD4">
        <w:rPr>
          <w:rFonts w:cs="Arial"/>
        </w:rPr>
        <w:t xml:space="preserve"> de</w:t>
      </w:r>
      <w:r w:rsidRPr="004068F6">
        <w:rPr>
          <w:rFonts w:cs="Arial"/>
        </w:rPr>
        <w:t>l</w:t>
      </w:r>
      <w:r w:rsidRPr="00127BD4">
        <w:rPr>
          <w:rFonts w:cs="Arial"/>
        </w:rPr>
        <w:t xml:space="preserve"> </w:t>
      </w:r>
      <w:r w:rsidRPr="004068F6">
        <w:rPr>
          <w:rFonts w:cs="Arial"/>
        </w:rPr>
        <w:t xml:space="preserve">observador para </w:t>
      </w:r>
      <w:r w:rsidRPr="00127BD4">
        <w:rPr>
          <w:rFonts w:cs="Arial"/>
        </w:rPr>
        <w:t xml:space="preserve">percibir y apreciar </w:t>
      </w:r>
      <w:r w:rsidRPr="004068F6">
        <w:rPr>
          <w:rFonts w:cs="Arial"/>
        </w:rPr>
        <w:t xml:space="preserve">visualmente </w:t>
      </w:r>
      <w:r w:rsidRPr="00127BD4">
        <w:rPr>
          <w:rFonts w:cs="Arial"/>
        </w:rPr>
        <w:t>un entor</w:t>
      </w:r>
      <w:r w:rsidRPr="004068F6">
        <w:rPr>
          <w:rFonts w:cs="Arial"/>
        </w:rPr>
        <w:t>n</w:t>
      </w:r>
      <w:r w:rsidRPr="00127BD4">
        <w:rPr>
          <w:rFonts w:cs="Arial"/>
        </w:rPr>
        <w:t xml:space="preserve">o natural o urbano desde un punto </w:t>
      </w:r>
      <w:r w:rsidR="00640C03" w:rsidRPr="004068F6">
        <w:rPr>
          <w:rFonts w:cs="Arial"/>
        </w:rPr>
        <w:t xml:space="preserve">geográfico </w:t>
      </w:r>
      <w:r w:rsidRPr="00127BD4">
        <w:rPr>
          <w:rFonts w:cs="Arial"/>
        </w:rPr>
        <w:t>específico</w:t>
      </w:r>
      <w:r w:rsidRPr="004068F6">
        <w:rPr>
          <w:rFonts w:cs="Arial"/>
        </w:rPr>
        <w:t>.</w:t>
      </w:r>
    </w:p>
    <w:p w14:paraId="6C5F6026" w14:textId="77777777" w:rsidR="00551861" w:rsidRPr="004068F6" w:rsidRDefault="00551861" w:rsidP="00F35011">
      <w:pPr>
        <w:numPr>
          <w:ilvl w:val="12"/>
          <w:numId w:val="0"/>
        </w:numPr>
        <w:tabs>
          <w:tab w:val="left" w:pos="-2268"/>
        </w:tabs>
        <w:suppressAutoHyphens/>
        <w:rPr>
          <w:rFonts w:cs="Arial"/>
        </w:rPr>
      </w:pPr>
    </w:p>
    <w:p w14:paraId="522026BA" w14:textId="2A1E64EE" w:rsidR="004471D7" w:rsidRPr="004068F6" w:rsidRDefault="004471D7" w:rsidP="00C86DA5">
      <w:pPr>
        <w:numPr>
          <w:ilvl w:val="0"/>
          <w:numId w:val="19"/>
        </w:numPr>
        <w:suppressAutoHyphens/>
        <w:ind w:left="567" w:hanging="567"/>
      </w:pPr>
      <w:r w:rsidRPr="004068F6">
        <w:rPr>
          <w:b/>
        </w:rPr>
        <w:t>Vulnerabilidad</w:t>
      </w:r>
      <w:r w:rsidRPr="004068F6">
        <w:t>:</w:t>
      </w:r>
      <w:r w:rsidR="008E0CBE" w:rsidRPr="004068F6">
        <w:t xml:space="preserve"> </w:t>
      </w:r>
      <w:r w:rsidR="002830FF" w:rsidRPr="004068F6">
        <w:t>s</w:t>
      </w:r>
      <w:r w:rsidR="000105F5" w:rsidRPr="004068F6">
        <w:t>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r w:rsidR="00D32D46" w:rsidRPr="004068F6">
        <w:rPr>
          <w:rFonts w:cs="Arial"/>
        </w:rPr>
        <w:t>.</w:t>
      </w:r>
      <w:r w:rsidR="00074278" w:rsidRPr="004068F6">
        <w:rPr>
          <w:rFonts w:cs="Arial"/>
        </w:rPr>
        <w:t xml:space="preserve"> </w:t>
      </w:r>
      <w:r w:rsidR="00074278" w:rsidRPr="004068F6">
        <w:rPr>
          <w:vertAlign w:val="superscript"/>
        </w:rPr>
        <w:t>[</w:t>
      </w:r>
      <w:r w:rsidR="00074278" w:rsidRPr="004068F6">
        <w:rPr>
          <w:vertAlign w:val="superscript"/>
        </w:rPr>
        <w:endnoteReference w:id="52"/>
      </w:r>
      <w:r w:rsidR="00074278" w:rsidRPr="004068F6">
        <w:rPr>
          <w:vertAlign w:val="superscript"/>
        </w:rPr>
        <w:t>]</w:t>
      </w:r>
    </w:p>
    <w:p w14:paraId="367A93D9" w14:textId="77777777" w:rsidR="004471D7" w:rsidRPr="004068F6" w:rsidRDefault="004471D7" w:rsidP="009420F5"/>
    <w:p w14:paraId="304EE6D5" w14:textId="148E3EAA" w:rsidR="00BC7999" w:rsidRPr="004068F6" w:rsidRDefault="00BC7999" w:rsidP="009420F5">
      <w:pPr>
        <w:pStyle w:val="Prrafodelista"/>
        <w:numPr>
          <w:ilvl w:val="0"/>
          <w:numId w:val="21"/>
        </w:numPr>
        <w:ind w:left="567" w:hanging="567"/>
        <w:rPr>
          <w:lang w:val="es-CO"/>
        </w:rPr>
      </w:pPr>
      <w:r w:rsidRPr="004068F6">
        <w:rPr>
          <w:rFonts w:cs="Arial"/>
          <w:b/>
          <w:bCs/>
          <w:color w:val="222222"/>
          <w:shd w:val="clear" w:color="auto" w:fill="FFFFFF"/>
          <w:lang w:val="es-CO"/>
        </w:rPr>
        <w:t>Zona amortiguadora del Sistema de Parques Nacionales Naturales</w:t>
      </w:r>
      <w:r w:rsidRPr="004068F6">
        <w:rPr>
          <w:rFonts w:cs="Arial"/>
          <w:bCs/>
          <w:color w:val="222222"/>
          <w:shd w:val="clear" w:color="auto" w:fill="FFFFFF"/>
          <w:lang w:val="es-CO"/>
        </w:rPr>
        <w:t xml:space="preserve">: espacio en el cual se atenúan las perturbaciones causadas por la actividad humana en las zonas circunvecinas a las distintas áreas del Sistema de Parques Nacionales Naturales, con el fin de impedir que lleguen a causar disturbios o alteraciones en la ecología o en la vida silvestre de estas áreas. </w:t>
      </w:r>
      <w:r w:rsidRPr="004068F6">
        <w:rPr>
          <w:rFonts w:cs="Arial"/>
          <w:bCs/>
          <w:color w:val="222222"/>
          <w:shd w:val="clear" w:color="auto" w:fill="FFFFFF"/>
          <w:vertAlign w:val="superscript"/>
          <w:lang w:val="es-CO"/>
        </w:rPr>
        <w:t>[</w:t>
      </w:r>
      <w:r w:rsidRPr="004068F6">
        <w:rPr>
          <w:rFonts w:cs="Arial"/>
          <w:bCs/>
          <w:color w:val="222222"/>
          <w:shd w:val="clear" w:color="auto" w:fill="FFFFFF"/>
          <w:vertAlign w:val="superscript"/>
          <w:lang w:val="es-CO"/>
        </w:rPr>
        <w:fldChar w:fldCharType="begin"/>
      </w:r>
      <w:r w:rsidRPr="004068F6">
        <w:rPr>
          <w:rFonts w:cs="Arial"/>
          <w:bCs/>
          <w:color w:val="222222"/>
          <w:shd w:val="clear" w:color="auto" w:fill="FFFFFF"/>
          <w:vertAlign w:val="superscript"/>
          <w:lang w:val="es-CO"/>
        </w:rPr>
        <w:instrText xml:space="preserve"> NOTEREF _Ref44839840 \h </w:instrText>
      </w:r>
      <w:r w:rsidR="006A4128" w:rsidRPr="004068F6">
        <w:rPr>
          <w:rFonts w:cs="Arial"/>
          <w:bCs/>
          <w:color w:val="222222"/>
          <w:shd w:val="clear" w:color="auto" w:fill="FFFFFF"/>
          <w:vertAlign w:val="superscript"/>
          <w:lang w:val="es-CO"/>
        </w:rPr>
        <w:instrText xml:space="preserve"> \* MERGEFORMAT </w:instrText>
      </w:r>
      <w:r w:rsidRPr="004068F6">
        <w:rPr>
          <w:rFonts w:cs="Arial"/>
          <w:bCs/>
          <w:color w:val="222222"/>
          <w:shd w:val="clear" w:color="auto" w:fill="FFFFFF"/>
          <w:vertAlign w:val="superscript"/>
          <w:lang w:val="es-CO"/>
        </w:rPr>
      </w:r>
      <w:r w:rsidRPr="004068F6">
        <w:rPr>
          <w:rFonts w:cs="Arial"/>
          <w:bCs/>
          <w:color w:val="222222"/>
          <w:shd w:val="clear" w:color="auto" w:fill="FFFFFF"/>
          <w:vertAlign w:val="superscript"/>
          <w:lang w:val="es-CO"/>
        </w:rPr>
        <w:fldChar w:fldCharType="separate"/>
      </w:r>
      <w:r w:rsidR="009C4A81">
        <w:rPr>
          <w:rFonts w:cs="Arial"/>
          <w:bCs/>
          <w:color w:val="222222"/>
          <w:shd w:val="clear" w:color="auto" w:fill="FFFFFF"/>
          <w:vertAlign w:val="superscript"/>
          <w:lang w:val="es-CO"/>
        </w:rPr>
        <w:t>1</w:t>
      </w:r>
      <w:r w:rsidRPr="004068F6">
        <w:rPr>
          <w:rFonts w:cs="Arial"/>
          <w:bCs/>
          <w:color w:val="222222"/>
          <w:shd w:val="clear" w:color="auto" w:fill="FFFFFF"/>
          <w:vertAlign w:val="superscript"/>
          <w:lang w:val="es-CO"/>
        </w:rPr>
        <w:fldChar w:fldCharType="end"/>
      </w:r>
      <w:r w:rsidRPr="004068F6">
        <w:rPr>
          <w:rFonts w:cs="Arial"/>
          <w:bCs/>
          <w:color w:val="222222"/>
          <w:shd w:val="clear" w:color="auto" w:fill="FFFFFF"/>
          <w:vertAlign w:val="superscript"/>
          <w:lang w:val="es-CO"/>
        </w:rPr>
        <w:t>]</w:t>
      </w:r>
    </w:p>
    <w:p w14:paraId="5DFA36AB" w14:textId="77777777" w:rsidR="00BC7999" w:rsidRPr="004068F6" w:rsidRDefault="00BC7999" w:rsidP="009420F5"/>
    <w:p w14:paraId="639E7078" w14:textId="0EF1035C" w:rsidR="00A65A51" w:rsidRPr="004068F6" w:rsidRDefault="00A65A51" w:rsidP="009420F5">
      <w:pPr>
        <w:pStyle w:val="Prrafodelista"/>
        <w:numPr>
          <w:ilvl w:val="0"/>
          <w:numId w:val="21"/>
        </w:numPr>
        <w:ind w:left="567" w:hanging="567"/>
        <w:rPr>
          <w:lang w:val="es-CO"/>
        </w:rPr>
      </w:pPr>
      <w:r w:rsidRPr="004068F6">
        <w:rPr>
          <w:b/>
          <w:lang w:val="es-CO"/>
        </w:rPr>
        <w:t>Zona con función amortiguadora</w:t>
      </w:r>
      <w:r w:rsidRPr="004068F6">
        <w:rPr>
          <w:lang w:val="es-CO"/>
        </w:rPr>
        <w:t>: superficie de territorio circunvecina y colindante a un área protegida</w:t>
      </w:r>
      <w:r w:rsidR="00D93DF1" w:rsidRPr="004068F6">
        <w:rPr>
          <w:lang w:val="es-CO"/>
        </w:rPr>
        <w:t>,</w:t>
      </w:r>
      <w:r w:rsidRPr="004068F6">
        <w:rPr>
          <w:lang w:val="es-CO"/>
        </w:rPr>
        <w:t xml:space="preserve"> </w:t>
      </w:r>
      <w:r w:rsidR="00D93DF1" w:rsidRPr="004068F6">
        <w:rPr>
          <w:lang w:val="es-CO"/>
        </w:rPr>
        <w:t xml:space="preserve">que se establece mediante instrumentos de ordenamiento territorial a fin de que sobre el área protegida se </w:t>
      </w:r>
      <w:r w:rsidR="00BA2E18" w:rsidRPr="004068F6">
        <w:rPr>
          <w:lang w:val="es-CO"/>
        </w:rPr>
        <w:t>preven</w:t>
      </w:r>
      <w:r w:rsidR="00D93DF1" w:rsidRPr="004068F6">
        <w:rPr>
          <w:lang w:val="es-CO"/>
        </w:rPr>
        <w:t xml:space="preserve">gan </w:t>
      </w:r>
      <w:r w:rsidR="00BA2E18" w:rsidRPr="004068F6">
        <w:rPr>
          <w:lang w:val="es-CO"/>
        </w:rPr>
        <w:t>y mitig</w:t>
      </w:r>
      <w:r w:rsidR="00D93DF1" w:rsidRPr="004068F6">
        <w:rPr>
          <w:lang w:val="es-CO"/>
        </w:rPr>
        <w:t xml:space="preserve">uen </w:t>
      </w:r>
      <w:r w:rsidRPr="004068F6">
        <w:rPr>
          <w:lang w:val="es-CO"/>
        </w:rPr>
        <w:t>los impactos negativo</w:t>
      </w:r>
      <w:r w:rsidR="00BA2E18" w:rsidRPr="004068F6">
        <w:rPr>
          <w:lang w:val="es-CO"/>
        </w:rPr>
        <w:t xml:space="preserve">s </w:t>
      </w:r>
      <w:r w:rsidR="001454B8" w:rsidRPr="004068F6">
        <w:rPr>
          <w:lang w:val="es-CO"/>
        </w:rPr>
        <w:t xml:space="preserve">de </w:t>
      </w:r>
      <w:r w:rsidR="00BA2E18" w:rsidRPr="004068F6">
        <w:rPr>
          <w:lang w:val="es-CO"/>
        </w:rPr>
        <w:t xml:space="preserve">las acciones humanas, </w:t>
      </w:r>
      <w:r w:rsidR="00D93DF1" w:rsidRPr="004068F6">
        <w:rPr>
          <w:lang w:val="es-CO"/>
        </w:rPr>
        <w:t xml:space="preserve">se </w:t>
      </w:r>
      <w:r w:rsidRPr="004068F6">
        <w:rPr>
          <w:lang w:val="es-CO"/>
        </w:rPr>
        <w:t>contribu</w:t>
      </w:r>
      <w:r w:rsidR="00BA2E18" w:rsidRPr="004068F6">
        <w:rPr>
          <w:lang w:val="es-CO"/>
        </w:rPr>
        <w:t>y</w:t>
      </w:r>
      <w:r w:rsidR="00D93DF1" w:rsidRPr="004068F6">
        <w:rPr>
          <w:lang w:val="es-CO"/>
        </w:rPr>
        <w:t>a</w:t>
      </w:r>
      <w:r w:rsidR="00BA2E18" w:rsidRPr="004068F6">
        <w:rPr>
          <w:lang w:val="es-CO"/>
        </w:rPr>
        <w:t xml:space="preserve"> a</w:t>
      </w:r>
      <w:r w:rsidRPr="004068F6">
        <w:rPr>
          <w:lang w:val="es-CO"/>
        </w:rPr>
        <w:t xml:space="preserve"> </w:t>
      </w:r>
      <w:r w:rsidR="00BA2E18" w:rsidRPr="004068F6">
        <w:rPr>
          <w:lang w:val="es-CO"/>
        </w:rPr>
        <w:t xml:space="preserve">la restauración de </w:t>
      </w:r>
      <w:r w:rsidR="00D93DF1" w:rsidRPr="004068F6">
        <w:rPr>
          <w:lang w:val="es-CO"/>
        </w:rPr>
        <w:t xml:space="preserve">sus </w:t>
      </w:r>
      <w:r w:rsidR="00BA2E18" w:rsidRPr="004068F6">
        <w:rPr>
          <w:lang w:val="es-CO"/>
        </w:rPr>
        <w:t>disturbios</w:t>
      </w:r>
      <w:r w:rsidRPr="004068F6">
        <w:rPr>
          <w:lang w:val="es-CO"/>
        </w:rPr>
        <w:t xml:space="preserve">, </w:t>
      </w:r>
      <w:r w:rsidR="00D93DF1" w:rsidRPr="004068F6">
        <w:rPr>
          <w:lang w:val="es-CO"/>
        </w:rPr>
        <w:t>se armonice</w:t>
      </w:r>
      <w:r w:rsidRPr="004068F6">
        <w:rPr>
          <w:lang w:val="es-CO"/>
        </w:rPr>
        <w:t xml:space="preserve"> la ocupación y transformación del territorio con </w:t>
      </w:r>
      <w:r w:rsidR="00D93DF1" w:rsidRPr="004068F6">
        <w:rPr>
          <w:lang w:val="es-CO"/>
        </w:rPr>
        <w:t>su</w:t>
      </w:r>
      <w:r w:rsidRPr="004068F6">
        <w:rPr>
          <w:lang w:val="es-CO"/>
        </w:rPr>
        <w:t xml:space="preserve"> objetivos de conservación</w:t>
      </w:r>
      <w:r w:rsidR="00BA2E18" w:rsidRPr="004068F6">
        <w:rPr>
          <w:lang w:val="es-CO"/>
        </w:rPr>
        <w:t xml:space="preserve">, y </w:t>
      </w:r>
      <w:r w:rsidR="00D93DF1" w:rsidRPr="004068F6">
        <w:rPr>
          <w:lang w:val="es-CO"/>
        </w:rPr>
        <w:t>se aporte</w:t>
      </w:r>
      <w:r w:rsidRPr="004068F6">
        <w:rPr>
          <w:lang w:val="es-CO"/>
        </w:rPr>
        <w:t xml:space="preserve"> a la conservación de los elementos biofísicos, los elementos y valores culturales, los servicios </w:t>
      </w:r>
      <w:r w:rsidR="00BA2E18" w:rsidRPr="004068F6">
        <w:rPr>
          <w:lang w:val="es-CO"/>
        </w:rPr>
        <w:t xml:space="preserve">ecosistémicos </w:t>
      </w:r>
      <w:r w:rsidRPr="004068F6">
        <w:rPr>
          <w:lang w:val="es-CO"/>
        </w:rPr>
        <w:t>y los procesos ecológicos relaci</w:t>
      </w:r>
      <w:r w:rsidR="00BA2E18" w:rsidRPr="004068F6">
        <w:rPr>
          <w:lang w:val="es-CO"/>
        </w:rPr>
        <w:t xml:space="preserve">onados con </w:t>
      </w:r>
      <w:r w:rsidR="001454B8" w:rsidRPr="004068F6">
        <w:rPr>
          <w:lang w:val="es-CO"/>
        </w:rPr>
        <w:t xml:space="preserve">el </w:t>
      </w:r>
      <w:r w:rsidR="00BA2E18" w:rsidRPr="004068F6">
        <w:rPr>
          <w:lang w:val="es-CO"/>
        </w:rPr>
        <w:t>área</w:t>
      </w:r>
      <w:r w:rsidR="001454B8" w:rsidRPr="004068F6">
        <w:rPr>
          <w:lang w:val="es-CO"/>
        </w:rPr>
        <w:t xml:space="preserve"> protegida</w:t>
      </w:r>
      <w:r w:rsidRPr="004068F6">
        <w:rPr>
          <w:lang w:val="es-CO"/>
        </w:rPr>
        <w:t>.</w:t>
      </w:r>
      <w:r w:rsidR="00B571DA" w:rsidRPr="004068F6">
        <w:rPr>
          <w:lang w:val="es-CO"/>
        </w:rPr>
        <w:t xml:space="preserve"> </w:t>
      </w:r>
      <w:r w:rsidR="00B571DA" w:rsidRPr="00127BD4">
        <w:rPr>
          <w:vertAlign w:val="superscript"/>
          <w:lang w:val="es-CO"/>
        </w:rPr>
        <w:t>[</w:t>
      </w:r>
      <w:r w:rsidR="00B571DA" w:rsidRPr="00127BD4">
        <w:rPr>
          <w:vertAlign w:val="superscript"/>
          <w:lang w:val="es-CO"/>
        </w:rPr>
        <w:endnoteReference w:id="53"/>
      </w:r>
      <w:r w:rsidR="00B571DA" w:rsidRPr="00127BD4">
        <w:rPr>
          <w:vertAlign w:val="superscript"/>
          <w:lang w:val="es-CO"/>
        </w:rPr>
        <w:t>]</w:t>
      </w:r>
    </w:p>
    <w:p w14:paraId="338EEB56" w14:textId="77777777" w:rsidR="00A65A51" w:rsidRPr="004068F6" w:rsidRDefault="00A65A51" w:rsidP="009420F5"/>
    <w:p w14:paraId="1786C35A" w14:textId="0F24B34C" w:rsidR="004471D7" w:rsidRPr="004068F6" w:rsidRDefault="004471D7" w:rsidP="00C86DA5">
      <w:pPr>
        <w:numPr>
          <w:ilvl w:val="0"/>
          <w:numId w:val="19"/>
        </w:numPr>
        <w:suppressAutoHyphens/>
        <w:ind w:left="567" w:hanging="567"/>
      </w:pPr>
      <w:r w:rsidRPr="004068F6">
        <w:rPr>
          <w:b/>
        </w:rPr>
        <w:t>Zona costera</w:t>
      </w:r>
      <w:r w:rsidRPr="004068F6">
        <w:t xml:space="preserve">: </w:t>
      </w:r>
      <w:r w:rsidR="000F69CD" w:rsidRPr="004068F6">
        <w:rPr>
          <w:color w:val="000000" w:themeColor="text1"/>
        </w:rPr>
        <w:t>espacio del territorio nacional formad</w:t>
      </w:r>
      <w:r w:rsidR="00BC7999" w:rsidRPr="004068F6">
        <w:rPr>
          <w:color w:val="000000" w:themeColor="text1"/>
        </w:rPr>
        <w:t>o</w:t>
      </w:r>
      <w:r w:rsidR="000F69CD" w:rsidRPr="004068F6">
        <w:rPr>
          <w:color w:val="000000" w:themeColor="text1"/>
        </w:rPr>
        <w:t xml:space="preserve"> por una franja de anchura variable de tierra firme y espacio marino en donde se presentan procesos de interacción entre el mar y la tierra</w:t>
      </w:r>
      <w:r w:rsidR="006A5D01" w:rsidRPr="004068F6">
        <w:rPr>
          <w:rFonts w:cs="Arial"/>
        </w:rPr>
        <w:t>.</w:t>
      </w:r>
      <w:r w:rsidR="008F3CBD" w:rsidRPr="004068F6">
        <w:rPr>
          <w:rFonts w:cs="Arial"/>
        </w:rPr>
        <w:t xml:space="preserve"> </w:t>
      </w:r>
      <w:r w:rsidR="008F3CBD" w:rsidRPr="004068F6">
        <w:rPr>
          <w:rFonts w:cs="Arial"/>
          <w:vertAlign w:val="superscript"/>
        </w:rPr>
        <w:t>[</w:t>
      </w:r>
      <w:r w:rsidR="00F22587" w:rsidRPr="004068F6">
        <w:rPr>
          <w:rFonts w:cs="Arial"/>
          <w:vertAlign w:val="superscript"/>
        </w:rPr>
        <w:fldChar w:fldCharType="begin"/>
      </w:r>
      <w:r w:rsidR="00F22587" w:rsidRPr="004068F6">
        <w:rPr>
          <w:rFonts w:cs="Arial"/>
          <w:vertAlign w:val="superscript"/>
        </w:rPr>
        <w:instrText xml:space="preserve"> NOTEREF _Ref44839840 \h </w:instrText>
      </w:r>
      <w:r w:rsidR="006A4128" w:rsidRPr="004068F6">
        <w:rPr>
          <w:rFonts w:cs="Arial"/>
          <w:vertAlign w:val="superscript"/>
        </w:rPr>
        <w:instrText xml:space="preserve"> \* MERGEFORMAT </w:instrText>
      </w:r>
      <w:r w:rsidR="00F22587" w:rsidRPr="004068F6">
        <w:rPr>
          <w:rFonts w:cs="Arial"/>
          <w:vertAlign w:val="superscript"/>
        </w:rPr>
      </w:r>
      <w:r w:rsidR="00F22587" w:rsidRPr="004068F6">
        <w:rPr>
          <w:rFonts w:cs="Arial"/>
          <w:vertAlign w:val="superscript"/>
        </w:rPr>
        <w:fldChar w:fldCharType="separate"/>
      </w:r>
      <w:r w:rsidR="009C4A81">
        <w:rPr>
          <w:rFonts w:cs="Arial"/>
          <w:vertAlign w:val="superscript"/>
        </w:rPr>
        <w:t>1</w:t>
      </w:r>
      <w:r w:rsidR="00F22587" w:rsidRPr="004068F6">
        <w:rPr>
          <w:rFonts w:cs="Arial"/>
          <w:vertAlign w:val="superscript"/>
        </w:rPr>
        <w:fldChar w:fldCharType="end"/>
      </w:r>
      <w:r w:rsidR="008F3CBD" w:rsidRPr="004068F6">
        <w:rPr>
          <w:rFonts w:cs="Arial"/>
          <w:vertAlign w:val="superscript"/>
        </w:rPr>
        <w:t>]</w:t>
      </w:r>
    </w:p>
    <w:p w14:paraId="2CC3C1AD" w14:textId="77777777" w:rsidR="004471D7" w:rsidRPr="004068F6" w:rsidRDefault="004471D7" w:rsidP="009420F5">
      <w:pPr>
        <w:suppressAutoHyphens/>
        <w:rPr>
          <w:bCs/>
        </w:rPr>
      </w:pPr>
    </w:p>
    <w:p w14:paraId="60D12B23" w14:textId="0CAFF6D3" w:rsidR="004471D7" w:rsidRPr="004068F6" w:rsidRDefault="004471D7" w:rsidP="00456AB1">
      <w:pPr>
        <w:numPr>
          <w:ilvl w:val="0"/>
          <w:numId w:val="19"/>
        </w:numPr>
        <w:suppressAutoHyphens/>
        <w:ind w:left="567" w:hanging="567"/>
        <w:rPr>
          <w:rFonts w:cs="Arial"/>
        </w:rPr>
      </w:pPr>
      <w:r w:rsidRPr="004068F6">
        <w:rPr>
          <w:b/>
        </w:rPr>
        <w:t>Zonificación ambiental</w:t>
      </w:r>
      <w:r w:rsidRPr="004068F6">
        <w:t xml:space="preserve">: </w:t>
      </w:r>
      <w:r w:rsidR="00142688" w:rsidRPr="004068F6">
        <w:t>p</w:t>
      </w:r>
      <w:r w:rsidRPr="004068F6">
        <w:t xml:space="preserve">roceso de sectorización de un área </w:t>
      </w:r>
      <w:r w:rsidR="00706775" w:rsidRPr="004068F6">
        <w:rPr>
          <w:rFonts w:cs="Arial"/>
          <w:spacing w:val="-3"/>
        </w:rPr>
        <w:t xml:space="preserve">compleja </w:t>
      </w:r>
      <w:r w:rsidR="00B7214D" w:rsidRPr="004068F6">
        <w:t xml:space="preserve">en </w:t>
      </w:r>
      <w:r w:rsidRPr="004068F6">
        <w:t xml:space="preserve">áreas relativamente homogéneas de acuerdo </w:t>
      </w:r>
      <w:r w:rsidRPr="004068F6">
        <w:rPr>
          <w:rFonts w:cs="Arial"/>
        </w:rPr>
        <w:t>con</w:t>
      </w:r>
      <w:r w:rsidRPr="004068F6">
        <w:t xml:space="preserve"> las características y la sensibilidad ambiental de los </w:t>
      </w:r>
      <w:r w:rsidR="004A6A70" w:rsidRPr="004068F6">
        <w:t xml:space="preserve">factores y </w:t>
      </w:r>
      <w:r w:rsidRPr="004068F6">
        <w:t>componentes de los medios abiótico, biótico y socioeconómico.</w:t>
      </w:r>
    </w:p>
    <w:p w14:paraId="76ECB324" w14:textId="77777777" w:rsidR="004F176A" w:rsidRPr="004068F6" w:rsidRDefault="004F176A" w:rsidP="009420F5">
      <w:pPr>
        <w:rPr>
          <w:rFonts w:cs="Arial"/>
        </w:rPr>
      </w:pPr>
    </w:p>
    <w:p w14:paraId="6FA6CC1F" w14:textId="2352CCCB" w:rsidR="004471D7" w:rsidRPr="004068F6" w:rsidRDefault="004471D7" w:rsidP="00C86DA5">
      <w:pPr>
        <w:numPr>
          <w:ilvl w:val="0"/>
          <w:numId w:val="19"/>
        </w:numPr>
        <w:suppressAutoHyphens/>
        <w:ind w:left="567" w:hanging="567"/>
        <w:rPr>
          <w:rFonts w:cs="Arial"/>
        </w:rPr>
      </w:pPr>
      <w:r w:rsidRPr="004068F6">
        <w:rPr>
          <w:rFonts w:cs="Arial"/>
          <w:b/>
        </w:rPr>
        <w:t>Zonificación de manejo ambiental del proyecto, obra o actividad</w:t>
      </w:r>
      <w:r w:rsidRPr="004068F6">
        <w:rPr>
          <w:rFonts w:cs="Arial"/>
        </w:rPr>
        <w:t xml:space="preserve">: </w:t>
      </w:r>
      <w:r w:rsidR="008C1F67" w:rsidRPr="004068F6">
        <w:rPr>
          <w:rFonts w:cs="Arial"/>
        </w:rPr>
        <w:t>p</w:t>
      </w:r>
      <w:r w:rsidRPr="004068F6">
        <w:rPr>
          <w:rFonts w:cs="Arial"/>
        </w:rPr>
        <w:t xml:space="preserve">roceso </w:t>
      </w:r>
      <w:r w:rsidR="00B02C11" w:rsidRPr="004068F6">
        <w:rPr>
          <w:rFonts w:cs="Arial"/>
        </w:rPr>
        <w:t>mediante el que se establecen</w:t>
      </w:r>
      <w:r w:rsidRPr="004068F6">
        <w:rPr>
          <w:rFonts w:cs="Arial"/>
        </w:rPr>
        <w:t xml:space="preserve"> áreas homogéneas de manejo de acuerdo con el grado de intervención con el cual puede ser ejecutado el </w:t>
      </w:r>
      <w:r w:rsidR="00B02C11" w:rsidRPr="004068F6">
        <w:rPr>
          <w:rFonts w:cs="Arial"/>
        </w:rPr>
        <w:t xml:space="preserve">proyecto, obra o actividad </w:t>
      </w:r>
      <w:r w:rsidRPr="004068F6">
        <w:rPr>
          <w:rFonts w:cs="Arial"/>
        </w:rPr>
        <w:t>y se obtiene, a partir de la integración de la información proveniente de la zonificación ambiental y de la evaluación ambiental.</w:t>
      </w:r>
    </w:p>
    <w:p w14:paraId="021A914B" w14:textId="77777777" w:rsidR="00663CF3" w:rsidRPr="004068F6" w:rsidRDefault="00663CF3" w:rsidP="00C86DA5">
      <w:pPr>
        <w:numPr>
          <w:ilvl w:val="12"/>
          <w:numId w:val="0"/>
        </w:numPr>
        <w:tabs>
          <w:tab w:val="left" w:pos="-2268"/>
        </w:tabs>
        <w:suppressAutoHyphens/>
      </w:pPr>
    </w:p>
    <w:p w14:paraId="1B7509EA" w14:textId="1BAC7C8A" w:rsidR="00663CF3" w:rsidRPr="004068F6" w:rsidRDefault="00663CF3" w:rsidP="00663CF3">
      <w:pPr>
        <w:pStyle w:val="Prrafodelista"/>
        <w:numPr>
          <w:ilvl w:val="0"/>
          <w:numId w:val="478"/>
        </w:numPr>
        <w:tabs>
          <w:tab w:val="left" w:pos="-2268"/>
        </w:tabs>
        <w:suppressAutoHyphens/>
        <w:ind w:left="567" w:hanging="567"/>
        <w:rPr>
          <w:rFonts w:cs="Arial"/>
          <w:lang w:val="es-CO"/>
        </w:rPr>
      </w:pPr>
      <w:r w:rsidRPr="004068F6">
        <w:rPr>
          <w:rFonts w:cs="Arial"/>
          <w:b/>
          <w:lang w:val="es-CO"/>
        </w:rPr>
        <w:t>Zona de reserva campesina</w:t>
      </w:r>
      <w:r w:rsidRPr="004068F6">
        <w:rPr>
          <w:rFonts w:cs="Arial"/>
          <w:bCs/>
          <w:lang w:val="es-CO"/>
        </w:rPr>
        <w:t xml:space="preserve">: </w:t>
      </w:r>
      <w:r w:rsidRPr="004068F6">
        <w:rPr>
          <w:rFonts w:cs="Arial"/>
          <w:lang w:val="es-CO"/>
        </w:rPr>
        <w:t xml:space="preserve">área geográfica seleccionada por </w:t>
      </w:r>
      <w:r w:rsidR="00907988" w:rsidRPr="004068F6">
        <w:rPr>
          <w:rFonts w:cs="Arial"/>
          <w:lang w:val="es-CO"/>
        </w:rPr>
        <w:t>el</w:t>
      </w:r>
      <w:r w:rsidRPr="004068F6">
        <w:rPr>
          <w:rFonts w:cs="Arial"/>
          <w:lang w:val="es-CO"/>
        </w:rPr>
        <w:t xml:space="preserve"> </w:t>
      </w:r>
      <w:r w:rsidR="00907988" w:rsidRPr="004068F6">
        <w:rPr>
          <w:rFonts w:cs="Arial"/>
          <w:lang w:val="es-CO"/>
        </w:rPr>
        <w:t>Consejo Directivo de la Agencia Nacional de Tierras (ANT)</w:t>
      </w:r>
      <w:r w:rsidRPr="004068F6">
        <w:rPr>
          <w:rFonts w:cs="Arial"/>
          <w:lang w:val="es-CO"/>
        </w:rPr>
        <w:t xml:space="preserve">, teniendo en cuenta las características agroecológicas y socioeconómicas regionales. </w:t>
      </w:r>
      <w:r w:rsidRPr="004068F6">
        <w:rPr>
          <w:vertAlign w:val="superscript"/>
          <w:lang w:val="es-CO"/>
        </w:rPr>
        <w:t>[</w:t>
      </w:r>
      <w:r w:rsidRPr="004068F6">
        <w:rPr>
          <w:vertAlign w:val="superscript"/>
          <w:lang w:val="es-CO"/>
        </w:rPr>
        <w:endnoteReference w:id="54"/>
      </w:r>
      <w:r w:rsidRPr="004068F6">
        <w:rPr>
          <w:vertAlign w:val="superscript"/>
          <w:lang w:val="es-CO"/>
        </w:rPr>
        <w:t>]</w:t>
      </w:r>
    </w:p>
    <w:p w14:paraId="44A1179A" w14:textId="77777777" w:rsidR="00663CF3" w:rsidRPr="004068F6" w:rsidRDefault="00663CF3">
      <w:pPr>
        <w:overflowPunct/>
        <w:autoSpaceDE/>
        <w:autoSpaceDN/>
        <w:adjustRightInd/>
        <w:jc w:val="left"/>
        <w:textAlignment w:val="auto"/>
        <w:rPr>
          <w:rFonts w:cs="Arial"/>
        </w:rPr>
      </w:pPr>
      <w:r w:rsidRPr="004068F6">
        <w:rPr>
          <w:rFonts w:cs="Arial"/>
        </w:rPr>
        <w:br w:type="page"/>
      </w:r>
    </w:p>
    <w:p w14:paraId="7370C4D7" w14:textId="77777777" w:rsidR="006F4FD7" w:rsidRPr="004068F6" w:rsidRDefault="006F4FD7">
      <w:pPr>
        <w:overflowPunct/>
        <w:autoSpaceDE/>
        <w:autoSpaceDN/>
        <w:adjustRightInd/>
        <w:jc w:val="left"/>
        <w:textAlignment w:val="auto"/>
        <w:rPr>
          <w:rFonts w:cs="Arial"/>
        </w:rPr>
      </w:pPr>
    </w:p>
    <w:p w14:paraId="14B824CC" w14:textId="778AE2A1" w:rsidR="00B06F49" w:rsidRPr="004068F6" w:rsidRDefault="00F04B5F" w:rsidP="001831AE">
      <w:pPr>
        <w:pStyle w:val="Captulonmero"/>
        <w:rPr>
          <w:lang w:val="es-CO"/>
        </w:rPr>
      </w:pPr>
      <w:bookmarkStart w:id="41" w:name="_Toc437935973"/>
      <w:bookmarkStart w:id="42" w:name="_Toc230879551"/>
      <w:bookmarkEnd w:id="10"/>
      <w:bookmarkEnd w:id="11"/>
      <w:bookmarkEnd w:id="12"/>
      <w:bookmarkEnd w:id="13"/>
      <w:bookmarkEnd w:id="14"/>
      <w:bookmarkEnd w:id="15"/>
      <w:bookmarkEnd w:id="16"/>
      <w:r w:rsidRPr="004068F6">
        <w:rPr>
          <w:lang w:val="es-CO"/>
        </w:rPr>
        <w:t>CONSIDERACIONES GENERALES PARA LA ELABORACIÓN Y PRESENTACIÓN DE LOS ESTUDIOS AMBIENTALES</w:t>
      </w:r>
      <w:bookmarkEnd w:id="41"/>
      <w:bookmarkEnd w:id="42"/>
    </w:p>
    <w:p w14:paraId="78D76DF5" w14:textId="77777777" w:rsidR="00B06F49" w:rsidRDefault="00B06F49">
      <w:pPr>
        <w:numPr>
          <w:ilvl w:val="12"/>
          <w:numId w:val="0"/>
        </w:numPr>
        <w:tabs>
          <w:tab w:val="left" w:pos="-2268"/>
        </w:tabs>
        <w:suppressAutoHyphens/>
        <w:rPr>
          <w:spacing w:val="-3"/>
        </w:rPr>
      </w:pPr>
    </w:p>
    <w:p w14:paraId="22540430" w14:textId="77777777" w:rsidR="00073316" w:rsidRPr="004068F6" w:rsidRDefault="00073316">
      <w:pPr>
        <w:numPr>
          <w:ilvl w:val="12"/>
          <w:numId w:val="0"/>
        </w:numPr>
        <w:tabs>
          <w:tab w:val="left" w:pos="-2268"/>
        </w:tabs>
        <w:suppressAutoHyphens/>
        <w:rPr>
          <w:spacing w:val="-3"/>
        </w:rPr>
      </w:pPr>
    </w:p>
    <w:p w14:paraId="5FA64F77" w14:textId="6922871B" w:rsidR="003E5023" w:rsidRPr="004068F6" w:rsidRDefault="00F04B5F" w:rsidP="00456AB1">
      <w:pPr>
        <w:pStyle w:val="Ttulo1"/>
        <w:numPr>
          <w:ilvl w:val="0"/>
          <w:numId w:val="7"/>
        </w:numPr>
        <w:rPr>
          <w:lang w:val="es-CO"/>
        </w:rPr>
      </w:pPr>
      <w:bookmarkStart w:id="43" w:name="_Toc488329727"/>
      <w:bookmarkStart w:id="44" w:name="_Toc488386581"/>
      <w:bookmarkStart w:id="45" w:name="_Toc488402040"/>
      <w:bookmarkStart w:id="46" w:name="_Toc488402863"/>
      <w:bookmarkStart w:id="47" w:name="_Toc488403692"/>
      <w:bookmarkStart w:id="48" w:name="_Toc488404523"/>
      <w:bookmarkStart w:id="49" w:name="_Toc488405346"/>
      <w:bookmarkStart w:id="50" w:name="_Toc488406175"/>
      <w:bookmarkStart w:id="51" w:name="_Toc491409406"/>
      <w:bookmarkStart w:id="52" w:name="_Toc496017944"/>
      <w:bookmarkStart w:id="53" w:name="_Toc515787142"/>
      <w:bookmarkStart w:id="54" w:name="_Toc515788842"/>
      <w:bookmarkStart w:id="55" w:name="_Toc515789691"/>
      <w:bookmarkStart w:id="56" w:name="_Toc515790540"/>
      <w:bookmarkStart w:id="57" w:name="_Toc515791395"/>
      <w:bookmarkStart w:id="58" w:name="_Toc515792245"/>
      <w:bookmarkStart w:id="59" w:name="_Toc515793088"/>
      <w:bookmarkStart w:id="60" w:name="_Toc515793993"/>
      <w:bookmarkStart w:id="61" w:name="_Toc515795809"/>
      <w:bookmarkStart w:id="62" w:name="_Toc488329728"/>
      <w:bookmarkStart w:id="63" w:name="_Toc488386582"/>
      <w:bookmarkStart w:id="64" w:name="_Toc488402041"/>
      <w:bookmarkStart w:id="65" w:name="_Toc488402864"/>
      <w:bookmarkStart w:id="66" w:name="_Toc488403693"/>
      <w:bookmarkStart w:id="67" w:name="_Toc488404524"/>
      <w:bookmarkStart w:id="68" w:name="_Toc488405347"/>
      <w:bookmarkStart w:id="69" w:name="_Toc488406176"/>
      <w:bookmarkStart w:id="70" w:name="_Toc491409407"/>
      <w:bookmarkStart w:id="71" w:name="_Toc496017945"/>
      <w:bookmarkStart w:id="72" w:name="_Toc515787143"/>
      <w:bookmarkStart w:id="73" w:name="_Toc515788843"/>
      <w:bookmarkStart w:id="74" w:name="_Toc515789692"/>
      <w:bookmarkStart w:id="75" w:name="_Toc515790541"/>
      <w:bookmarkStart w:id="76" w:name="_Toc515791396"/>
      <w:bookmarkStart w:id="77" w:name="_Toc515792246"/>
      <w:bookmarkStart w:id="78" w:name="_Toc515793089"/>
      <w:bookmarkStart w:id="79" w:name="_Toc515793994"/>
      <w:bookmarkStart w:id="80" w:name="_Toc515795810"/>
      <w:bookmarkStart w:id="81" w:name="_Toc488329729"/>
      <w:bookmarkStart w:id="82" w:name="_Toc488386583"/>
      <w:bookmarkStart w:id="83" w:name="_Toc488402042"/>
      <w:bookmarkStart w:id="84" w:name="_Toc488402865"/>
      <w:bookmarkStart w:id="85" w:name="_Toc488403694"/>
      <w:bookmarkStart w:id="86" w:name="_Toc488404525"/>
      <w:bookmarkStart w:id="87" w:name="_Toc488405348"/>
      <w:bookmarkStart w:id="88" w:name="_Toc488406177"/>
      <w:bookmarkStart w:id="89" w:name="_Toc491409408"/>
      <w:bookmarkStart w:id="90" w:name="_Toc496017946"/>
      <w:bookmarkStart w:id="91" w:name="_Toc515787144"/>
      <w:bookmarkStart w:id="92" w:name="_Toc515788844"/>
      <w:bookmarkStart w:id="93" w:name="_Toc515789693"/>
      <w:bookmarkStart w:id="94" w:name="_Toc515790542"/>
      <w:bookmarkStart w:id="95" w:name="_Toc515791397"/>
      <w:bookmarkStart w:id="96" w:name="_Toc515792247"/>
      <w:bookmarkStart w:id="97" w:name="_Toc515793090"/>
      <w:bookmarkStart w:id="98" w:name="_Toc515793995"/>
      <w:bookmarkStart w:id="99" w:name="_Toc515795811"/>
      <w:bookmarkStart w:id="100" w:name="_Toc488329730"/>
      <w:bookmarkStart w:id="101" w:name="_Toc488386584"/>
      <w:bookmarkStart w:id="102" w:name="_Toc488402043"/>
      <w:bookmarkStart w:id="103" w:name="_Toc488402866"/>
      <w:bookmarkStart w:id="104" w:name="_Toc488403695"/>
      <w:bookmarkStart w:id="105" w:name="_Toc488404526"/>
      <w:bookmarkStart w:id="106" w:name="_Toc488405349"/>
      <w:bookmarkStart w:id="107" w:name="_Toc488406178"/>
      <w:bookmarkStart w:id="108" w:name="_Toc491409409"/>
      <w:bookmarkStart w:id="109" w:name="_Toc496017947"/>
      <w:bookmarkStart w:id="110" w:name="_Toc515787145"/>
      <w:bookmarkStart w:id="111" w:name="_Toc515788845"/>
      <w:bookmarkStart w:id="112" w:name="_Toc515789694"/>
      <w:bookmarkStart w:id="113" w:name="_Toc515790543"/>
      <w:bookmarkStart w:id="114" w:name="_Toc515791398"/>
      <w:bookmarkStart w:id="115" w:name="_Toc515792248"/>
      <w:bookmarkStart w:id="116" w:name="_Toc515793091"/>
      <w:bookmarkStart w:id="117" w:name="_Toc515793996"/>
      <w:bookmarkStart w:id="118" w:name="_Toc515795812"/>
      <w:bookmarkStart w:id="119" w:name="_Toc488329747"/>
      <w:bookmarkStart w:id="120" w:name="_Toc488386601"/>
      <w:bookmarkStart w:id="121" w:name="_Toc488402060"/>
      <w:bookmarkStart w:id="122" w:name="_Toc488402883"/>
      <w:bookmarkStart w:id="123" w:name="_Toc488403712"/>
      <w:bookmarkStart w:id="124" w:name="_Toc488404543"/>
      <w:bookmarkStart w:id="125" w:name="_Toc488405366"/>
      <w:bookmarkStart w:id="126" w:name="_Toc488406195"/>
      <w:bookmarkStart w:id="127" w:name="_Toc491409426"/>
      <w:bookmarkStart w:id="128" w:name="_Toc496017964"/>
      <w:bookmarkStart w:id="129" w:name="_Toc515787162"/>
      <w:bookmarkStart w:id="130" w:name="_Toc515788862"/>
      <w:bookmarkStart w:id="131" w:name="_Toc515789711"/>
      <w:bookmarkStart w:id="132" w:name="_Toc515790560"/>
      <w:bookmarkStart w:id="133" w:name="_Toc515791415"/>
      <w:bookmarkStart w:id="134" w:name="_Toc515792265"/>
      <w:bookmarkStart w:id="135" w:name="_Toc515793108"/>
      <w:bookmarkStart w:id="136" w:name="_Toc515794013"/>
      <w:bookmarkStart w:id="137" w:name="_Toc515795829"/>
      <w:bookmarkStart w:id="138" w:name="_Toc488329748"/>
      <w:bookmarkStart w:id="139" w:name="_Toc488386602"/>
      <w:bookmarkStart w:id="140" w:name="_Toc488402061"/>
      <w:bookmarkStart w:id="141" w:name="_Toc488402884"/>
      <w:bookmarkStart w:id="142" w:name="_Toc488403713"/>
      <w:bookmarkStart w:id="143" w:name="_Toc488404544"/>
      <w:bookmarkStart w:id="144" w:name="_Toc488405367"/>
      <w:bookmarkStart w:id="145" w:name="_Toc488406196"/>
      <w:bookmarkStart w:id="146" w:name="_Toc491409427"/>
      <w:bookmarkStart w:id="147" w:name="_Toc496017965"/>
      <w:bookmarkStart w:id="148" w:name="_Toc515787163"/>
      <w:bookmarkStart w:id="149" w:name="_Toc515788863"/>
      <w:bookmarkStart w:id="150" w:name="_Toc515789712"/>
      <w:bookmarkStart w:id="151" w:name="_Toc515790561"/>
      <w:bookmarkStart w:id="152" w:name="_Toc515791416"/>
      <w:bookmarkStart w:id="153" w:name="_Toc515792266"/>
      <w:bookmarkStart w:id="154" w:name="_Toc515793109"/>
      <w:bookmarkStart w:id="155" w:name="_Toc515794014"/>
      <w:bookmarkStart w:id="156" w:name="_Toc515795830"/>
      <w:bookmarkStart w:id="157" w:name="_Toc488329749"/>
      <w:bookmarkStart w:id="158" w:name="_Toc488386603"/>
      <w:bookmarkStart w:id="159" w:name="_Toc488402062"/>
      <w:bookmarkStart w:id="160" w:name="_Toc488402885"/>
      <w:bookmarkStart w:id="161" w:name="_Toc488403714"/>
      <w:bookmarkStart w:id="162" w:name="_Toc488404545"/>
      <w:bookmarkStart w:id="163" w:name="_Toc488405368"/>
      <w:bookmarkStart w:id="164" w:name="_Toc488406197"/>
      <w:bookmarkStart w:id="165" w:name="_Toc491409428"/>
      <w:bookmarkStart w:id="166" w:name="_Toc496017966"/>
      <w:bookmarkStart w:id="167" w:name="_Toc515787164"/>
      <w:bookmarkStart w:id="168" w:name="_Toc515788864"/>
      <w:bookmarkStart w:id="169" w:name="_Toc515789713"/>
      <w:bookmarkStart w:id="170" w:name="_Toc515790562"/>
      <w:bookmarkStart w:id="171" w:name="_Toc515791417"/>
      <w:bookmarkStart w:id="172" w:name="_Toc515792267"/>
      <w:bookmarkStart w:id="173" w:name="_Toc515793110"/>
      <w:bookmarkStart w:id="174" w:name="_Toc515794015"/>
      <w:bookmarkStart w:id="175" w:name="_Toc515795831"/>
      <w:bookmarkStart w:id="176" w:name="_Toc488329750"/>
      <w:bookmarkStart w:id="177" w:name="_Toc488386604"/>
      <w:bookmarkStart w:id="178" w:name="_Toc488402063"/>
      <w:bookmarkStart w:id="179" w:name="_Toc488402886"/>
      <w:bookmarkStart w:id="180" w:name="_Toc488403715"/>
      <w:bookmarkStart w:id="181" w:name="_Toc488404546"/>
      <w:bookmarkStart w:id="182" w:name="_Toc488405369"/>
      <w:bookmarkStart w:id="183" w:name="_Toc488406198"/>
      <w:bookmarkStart w:id="184" w:name="_Toc491409429"/>
      <w:bookmarkStart w:id="185" w:name="_Toc496017967"/>
      <w:bookmarkStart w:id="186" w:name="_Toc515787165"/>
      <w:bookmarkStart w:id="187" w:name="_Toc515788865"/>
      <w:bookmarkStart w:id="188" w:name="_Toc515789714"/>
      <w:bookmarkStart w:id="189" w:name="_Toc515790563"/>
      <w:bookmarkStart w:id="190" w:name="_Toc515791418"/>
      <w:bookmarkStart w:id="191" w:name="_Toc515792268"/>
      <w:bookmarkStart w:id="192" w:name="_Toc515793111"/>
      <w:bookmarkStart w:id="193" w:name="_Toc515794016"/>
      <w:bookmarkStart w:id="194" w:name="_Toc515795832"/>
      <w:bookmarkStart w:id="195" w:name="_Toc488329799"/>
      <w:bookmarkStart w:id="196" w:name="_Toc488386653"/>
      <w:bookmarkStart w:id="197" w:name="_Toc488402112"/>
      <w:bookmarkStart w:id="198" w:name="_Toc488402935"/>
      <w:bookmarkStart w:id="199" w:name="_Toc488403764"/>
      <w:bookmarkStart w:id="200" w:name="_Toc488404595"/>
      <w:bookmarkStart w:id="201" w:name="_Toc488405418"/>
      <w:bookmarkStart w:id="202" w:name="_Toc488406247"/>
      <w:bookmarkStart w:id="203" w:name="_Toc491409478"/>
      <w:bookmarkStart w:id="204" w:name="_Toc496018016"/>
      <w:bookmarkStart w:id="205" w:name="_Toc515787214"/>
      <w:bookmarkStart w:id="206" w:name="_Toc515788914"/>
      <w:bookmarkStart w:id="207" w:name="_Toc515789763"/>
      <w:bookmarkStart w:id="208" w:name="_Toc515790612"/>
      <w:bookmarkStart w:id="209" w:name="_Toc515791467"/>
      <w:bookmarkStart w:id="210" w:name="_Toc515792317"/>
      <w:bookmarkStart w:id="211" w:name="_Toc515793160"/>
      <w:bookmarkStart w:id="212" w:name="_Toc515794065"/>
      <w:bookmarkStart w:id="213" w:name="_Toc515795881"/>
      <w:bookmarkStart w:id="214" w:name="_Toc488329800"/>
      <w:bookmarkStart w:id="215" w:name="_Toc488386654"/>
      <w:bookmarkStart w:id="216" w:name="_Toc488402113"/>
      <w:bookmarkStart w:id="217" w:name="_Toc488402936"/>
      <w:bookmarkStart w:id="218" w:name="_Toc488403765"/>
      <w:bookmarkStart w:id="219" w:name="_Toc488404596"/>
      <w:bookmarkStart w:id="220" w:name="_Toc488405419"/>
      <w:bookmarkStart w:id="221" w:name="_Toc488406248"/>
      <w:bookmarkStart w:id="222" w:name="_Toc491409479"/>
      <w:bookmarkStart w:id="223" w:name="_Toc496018017"/>
      <w:bookmarkStart w:id="224" w:name="_Toc515787215"/>
      <w:bookmarkStart w:id="225" w:name="_Toc515788915"/>
      <w:bookmarkStart w:id="226" w:name="_Toc515789764"/>
      <w:bookmarkStart w:id="227" w:name="_Toc515790613"/>
      <w:bookmarkStart w:id="228" w:name="_Toc515791468"/>
      <w:bookmarkStart w:id="229" w:name="_Toc515792318"/>
      <w:bookmarkStart w:id="230" w:name="_Toc515793161"/>
      <w:bookmarkStart w:id="231" w:name="_Toc515794066"/>
      <w:bookmarkStart w:id="232" w:name="_Toc515795882"/>
      <w:bookmarkStart w:id="233" w:name="_Toc488329821"/>
      <w:bookmarkStart w:id="234" w:name="_Toc488386675"/>
      <w:bookmarkStart w:id="235" w:name="_Toc488402134"/>
      <w:bookmarkStart w:id="236" w:name="_Toc488402957"/>
      <w:bookmarkStart w:id="237" w:name="_Toc488403786"/>
      <w:bookmarkStart w:id="238" w:name="_Toc488404617"/>
      <w:bookmarkStart w:id="239" w:name="_Toc488405440"/>
      <w:bookmarkStart w:id="240" w:name="_Toc488406269"/>
      <w:bookmarkStart w:id="241" w:name="_Toc491409500"/>
      <w:bookmarkStart w:id="242" w:name="_Toc496018038"/>
      <w:bookmarkStart w:id="243" w:name="_Toc515787236"/>
      <w:bookmarkStart w:id="244" w:name="_Toc515788936"/>
      <w:bookmarkStart w:id="245" w:name="_Toc515789785"/>
      <w:bookmarkStart w:id="246" w:name="_Toc515790634"/>
      <w:bookmarkStart w:id="247" w:name="_Toc515791489"/>
      <w:bookmarkStart w:id="248" w:name="_Toc515792339"/>
      <w:bookmarkStart w:id="249" w:name="_Toc515793182"/>
      <w:bookmarkStart w:id="250" w:name="_Toc515794087"/>
      <w:bookmarkStart w:id="251" w:name="_Toc515795903"/>
      <w:bookmarkStart w:id="252" w:name="_Toc488329822"/>
      <w:bookmarkStart w:id="253" w:name="_Toc488386676"/>
      <w:bookmarkStart w:id="254" w:name="_Toc488402135"/>
      <w:bookmarkStart w:id="255" w:name="_Toc488402958"/>
      <w:bookmarkStart w:id="256" w:name="_Toc488403787"/>
      <w:bookmarkStart w:id="257" w:name="_Toc488404618"/>
      <w:bookmarkStart w:id="258" w:name="_Toc488405441"/>
      <w:bookmarkStart w:id="259" w:name="_Toc488406270"/>
      <w:bookmarkStart w:id="260" w:name="_Toc491409501"/>
      <w:bookmarkStart w:id="261" w:name="_Toc496018039"/>
      <w:bookmarkStart w:id="262" w:name="_Toc515787237"/>
      <w:bookmarkStart w:id="263" w:name="_Toc515788937"/>
      <w:bookmarkStart w:id="264" w:name="_Toc515789786"/>
      <w:bookmarkStart w:id="265" w:name="_Toc515790635"/>
      <w:bookmarkStart w:id="266" w:name="_Toc515791490"/>
      <w:bookmarkStart w:id="267" w:name="_Toc515792340"/>
      <w:bookmarkStart w:id="268" w:name="_Toc515793183"/>
      <w:bookmarkStart w:id="269" w:name="_Toc515794088"/>
      <w:bookmarkStart w:id="270" w:name="_Toc515795904"/>
      <w:bookmarkStart w:id="271" w:name="_Toc488329823"/>
      <w:bookmarkStart w:id="272" w:name="_Toc488386677"/>
      <w:bookmarkStart w:id="273" w:name="_Toc488402136"/>
      <w:bookmarkStart w:id="274" w:name="_Toc488402959"/>
      <w:bookmarkStart w:id="275" w:name="_Toc488403788"/>
      <w:bookmarkStart w:id="276" w:name="_Toc488404619"/>
      <w:bookmarkStart w:id="277" w:name="_Toc488405442"/>
      <w:bookmarkStart w:id="278" w:name="_Toc488406271"/>
      <w:bookmarkStart w:id="279" w:name="_Toc491409502"/>
      <w:bookmarkStart w:id="280" w:name="_Toc496018040"/>
      <w:bookmarkStart w:id="281" w:name="_Toc515787238"/>
      <w:bookmarkStart w:id="282" w:name="_Toc515788938"/>
      <w:bookmarkStart w:id="283" w:name="_Toc515789787"/>
      <w:bookmarkStart w:id="284" w:name="_Toc515790636"/>
      <w:bookmarkStart w:id="285" w:name="_Toc515791491"/>
      <w:bookmarkStart w:id="286" w:name="_Toc515792341"/>
      <w:bookmarkStart w:id="287" w:name="_Toc515793184"/>
      <w:bookmarkStart w:id="288" w:name="_Toc515794089"/>
      <w:bookmarkStart w:id="289" w:name="_Toc515795905"/>
      <w:bookmarkStart w:id="290" w:name="_Toc488329860"/>
      <w:bookmarkStart w:id="291" w:name="_Toc488386714"/>
      <w:bookmarkStart w:id="292" w:name="_Toc488402173"/>
      <w:bookmarkStart w:id="293" w:name="_Toc488402996"/>
      <w:bookmarkStart w:id="294" w:name="_Toc488403825"/>
      <w:bookmarkStart w:id="295" w:name="_Toc488404656"/>
      <w:bookmarkStart w:id="296" w:name="_Toc488405479"/>
      <w:bookmarkStart w:id="297" w:name="_Toc488406308"/>
      <w:bookmarkStart w:id="298" w:name="_Toc491409539"/>
      <w:bookmarkStart w:id="299" w:name="_Toc496018077"/>
      <w:bookmarkStart w:id="300" w:name="_Toc515787275"/>
      <w:bookmarkStart w:id="301" w:name="_Toc515788975"/>
      <w:bookmarkStart w:id="302" w:name="_Toc515789824"/>
      <w:bookmarkStart w:id="303" w:name="_Toc515790673"/>
      <w:bookmarkStart w:id="304" w:name="_Toc515791528"/>
      <w:bookmarkStart w:id="305" w:name="_Toc515792378"/>
      <w:bookmarkStart w:id="306" w:name="_Toc515793221"/>
      <w:bookmarkStart w:id="307" w:name="_Toc515794126"/>
      <w:bookmarkStart w:id="308" w:name="_Toc515795942"/>
      <w:bookmarkStart w:id="309" w:name="_Toc488329861"/>
      <w:bookmarkStart w:id="310" w:name="_Toc488386715"/>
      <w:bookmarkStart w:id="311" w:name="_Toc488402174"/>
      <w:bookmarkStart w:id="312" w:name="_Toc488402997"/>
      <w:bookmarkStart w:id="313" w:name="_Toc488403826"/>
      <w:bookmarkStart w:id="314" w:name="_Toc488404657"/>
      <w:bookmarkStart w:id="315" w:name="_Toc488405480"/>
      <w:bookmarkStart w:id="316" w:name="_Toc488406309"/>
      <w:bookmarkStart w:id="317" w:name="_Toc491409540"/>
      <w:bookmarkStart w:id="318" w:name="_Toc496018078"/>
      <w:bookmarkStart w:id="319" w:name="_Toc515787276"/>
      <w:bookmarkStart w:id="320" w:name="_Toc515788976"/>
      <w:bookmarkStart w:id="321" w:name="_Toc515789825"/>
      <w:bookmarkStart w:id="322" w:name="_Toc515790674"/>
      <w:bookmarkStart w:id="323" w:name="_Toc515791529"/>
      <w:bookmarkStart w:id="324" w:name="_Toc515792379"/>
      <w:bookmarkStart w:id="325" w:name="_Toc515793222"/>
      <w:bookmarkStart w:id="326" w:name="_Toc515794127"/>
      <w:bookmarkStart w:id="327" w:name="_Toc515795943"/>
      <w:bookmarkStart w:id="328" w:name="_Toc488329862"/>
      <w:bookmarkStart w:id="329" w:name="_Toc488386716"/>
      <w:bookmarkStart w:id="330" w:name="_Toc488402175"/>
      <w:bookmarkStart w:id="331" w:name="_Toc488402998"/>
      <w:bookmarkStart w:id="332" w:name="_Toc488403827"/>
      <w:bookmarkStart w:id="333" w:name="_Toc488404658"/>
      <w:bookmarkStart w:id="334" w:name="_Toc488405481"/>
      <w:bookmarkStart w:id="335" w:name="_Toc488406310"/>
      <w:bookmarkStart w:id="336" w:name="_Toc491409541"/>
      <w:bookmarkStart w:id="337" w:name="_Toc496018079"/>
      <w:bookmarkStart w:id="338" w:name="_Toc515787277"/>
      <w:bookmarkStart w:id="339" w:name="_Toc515788977"/>
      <w:bookmarkStart w:id="340" w:name="_Toc515789826"/>
      <w:bookmarkStart w:id="341" w:name="_Toc515790675"/>
      <w:bookmarkStart w:id="342" w:name="_Toc515791530"/>
      <w:bookmarkStart w:id="343" w:name="_Toc515792380"/>
      <w:bookmarkStart w:id="344" w:name="_Toc515793223"/>
      <w:bookmarkStart w:id="345" w:name="_Toc515794128"/>
      <w:bookmarkStart w:id="346" w:name="_Toc515795944"/>
      <w:bookmarkStart w:id="347" w:name="_Toc488329863"/>
      <w:bookmarkStart w:id="348" w:name="_Toc488386717"/>
      <w:bookmarkStart w:id="349" w:name="_Toc488402176"/>
      <w:bookmarkStart w:id="350" w:name="_Toc488402999"/>
      <w:bookmarkStart w:id="351" w:name="_Toc488403828"/>
      <w:bookmarkStart w:id="352" w:name="_Toc488404659"/>
      <w:bookmarkStart w:id="353" w:name="_Toc488405482"/>
      <w:bookmarkStart w:id="354" w:name="_Toc488406311"/>
      <w:bookmarkStart w:id="355" w:name="_Toc491409542"/>
      <w:bookmarkStart w:id="356" w:name="_Toc496018080"/>
      <w:bookmarkStart w:id="357" w:name="_Toc515787278"/>
      <w:bookmarkStart w:id="358" w:name="_Toc515788978"/>
      <w:bookmarkStart w:id="359" w:name="_Toc515789827"/>
      <w:bookmarkStart w:id="360" w:name="_Toc515790676"/>
      <w:bookmarkStart w:id="361" w:name="_Toc515791531"/>
      <w:bookmarkStart w:id="362" w:name="_Toc515792381"/>
      <w:bookmarkStart w:id="363" w:name="_Toc515793224"/>
      <w:bookmarkStart w:id="364" w:name="_Toc515794129"/>
      <w:bookmarkStart w:id="365" w:name="_Toc515795945"/>
      <w:bookmarkStart w:id="366" w:name="_Toc488329864"/>
      <w:bookmarkStart w:id="367" w:name="_Toc488386718"/>
      <w:bookmarkStart w:id="368" w:name="_Toc488402177"/>
      <w:bookmarkStart w:id="369" w:name="_Toc488403000"/>
      <w:bookmarkStart w:id="370" w:name="_Toc488403829"/>
      <w:bookmarkStart w:id="371" w:name="_Toc488404660"/>
      <w:bookmarkStart w:id="372" w:name="_Toc488405483"/>
      <w:bookmarkStart w:id="373" w:name="_Toc488406312"/>
      <w:bookmarkStart w:id="374" w:name="_Toc491409543"/>
      <w:bookmarkStart w:id="375" w:name="_Toc496018081"/>
      <w:bookmarkStart w:id="376" w:name="_Toc515787279"/>
      <w:bookmarkStart w:id="377" w:name="_Toc515788979"/>
      <w:bookmarkStart w:id="378" w:name="_Toc515789828"/>
      <w:bookmarkStart w:id="379" w:name="_Toc515790677"/>
      <w:bookmarkStart w:id="380" w:name="_Toc515791532"/>
      <w:bookmarkStart w:id="381" w:name="_Toc515792382"/>
      <w:bookmarkStart w:id="382" w:name="_Toc515793225"/>
      <w:bookmarkStart w:id="383" w:name="_Toc515794130"/>
      <w:bookmarkStart w:id="384" w:name="_Toc515795946"/>
      <w:bookmarkStart w:id="385" w:name="_Toc488329865"/>
      <w:bookmarkStart w:id="386" w:name="_Toc488386719"/>
      <w:bookmarkStart w:id="387" w:name="_Toc488402178"/>
      <w:bookmarkStart w:id="388" w:name="_Toc488403001"/>
      <w:bookmarkStart w:id="389" w:name="_Toc488403830"/>
      <w:bookmarkStart w:id="390" w:name="_Toc488404661"/>
      <w:bookmarkStart w:id="391" w:name="_Toc488405484"/>
      <w:bookmarkStart w:id="392" w:name="_Toc488406313"/>
      <w:bookmarkStart w:id="393" w:name="_Toc491409544"/>
      <w:bookmarkStart w:id="394" w:name="_Toc496018082"/>
      <w:bookmarkStart w:id="395" w:name="_Toc515787280"/>
      <w:bookmarkStart w:id="396" w:name="_Toc515788980"/>
      <w:bookmarkStart w:id="397" w:name="_Toc515789829"/>
      <w:bookmarkStart w:id="398" w:name="_Toc515790678"/>
      <w:bookmarkStart w:id="399" w:name="_Toc515791533"/>
      <w:bookmarkStart w:id="400" w:name="_Toc515792383"/>
      <w:bookmarkStart w:id="401" w:name="_Toc515793226"/>
      <w:bookmarkStart w:id="402" w:name="_Toc515794131"/>
      <w:bookmarkStart w:id="403" w:name="_Toc515795947"/>
      <w:bookmarkStart w:id="404" w:name="_Toc488329866"/>
      <w:bookmarkStart w:id="405" w:name="_Toc488386720"/>
      <w:bookmarkStart w:id="406" w:name="_Toc488402179"/>
      <w:bookmarkStart w:id="407" w:name="_Toc488403002"/>
      <w:bookmarkStart w:id="408" w:name="_Toc488403831"/>
      <w:bookmarkStart w:id="409" w:name="_Toc488404662"/>
      <w:bookmarkStart w:id="410" w:name="_Toc488405485"/>
      <w:bookmarkStart w:id="411" w:name="_Toc488406314"/>
      <w:bookmarkStart w:id="412" w:name="_Toc491409545"/>
      <w:bookmarkStart w:id="413" w:name="_Toc496018083"/>
      <w:bookmarkStart w:id="414" w:name="_Toc515787281"/>
      <w:bookmarkStart w:id="415" w:name="_Toc515788981"/>
      <w:bookmarkStart w:id="416" w:name="_Toc515789830"/>
      <w:bookmarkStart w:id="417" w:name="_Toc515790679"/>
      <w:bookmarkStart w:id="418" w:name="_Toc515791534"/>
      <w:bookmarkStart w:id="419" w:name="_Toc515792384"/>
      <w:bookmarkStart w:id="420" w:name="_Toc515793227"/>
      <w:bookmarkStart w:id="421" w:name="_Toc515794132"/>
      <w:bookmarkStart w:id="422" w:name="_Toc515795948"/>
      <w:bookmarkStart w:id="423" w:name="_Toc488329867"/>
      <w:bookmarkStart w:id="424" w:name="_Toc488386721"/>
      <w:bookmarkStart w:id="425" w:name="_Toc488402180"/>
      <w:bookmarkStart w:id="426" w:name="_Toc488403003"/>
      <w:bookmarkStart w:id="427" w:name="_Toc488403832"/>
      <w:bookmarkStart w:id="428" w:name="_Toc488404663"/>
      <w:bookmarkStart w:id="429" w:name="_Toc488405486"/>
      <w:bookmarkStart w:id="430" w:name="_Toc488406315"/>
      <w:bookmarkStart w:id="431" w:name="_Toc491409546"/>
      <w:bookmarkStart w:id="432" w:name="_Toc496018084"/>
      <w:bookmarkStart w:id="433" w:name="_Toc515787282"/>
      <w:bookmarkStart w:id="434" w:name="_Toc515788982"/>
      <w:bookmarkStart w:id="435" w:name="_Toc515789831"/>
      <w:bookmarkStart w:id="436" w:name="_Toc515790680"/>
      <w:bookmarkStart w:id="437" w:name="_Toc515791535"/>
      <w:bookmarkStart w:id="438" w:name="_Toc515792385"/>
      <w:bookmarkStart w:id="439" w:name="_Toc515793228"/>
      <w:bookmarkStart w:id="440" w:name="_Toc515794133"/>
      <w:bookmarkStart w:id="441" w:name="_Toc515795949"/>
      <w:bookmarkStart w:id="442" w:name="_Toc488329868"/>
      <w:bookmarkStart w:id="443" w:name="_Toc488386722"/>
      <w:bookmarkStart w:id="444" w:name="_Toc488402181"/>
      <w:bookmarkStart w:id="445" w:name="_Toc488403004"/>
      <w:bookmarkStart w:id="446" w:name="_Toc488403833"/>
      <w:bookmarkStart w:id="447" w:name="_Toc488404664"/>
      <w:bookmarkStart w:id="448" w:name="_Toc488405487"/>
      <w:bookmarkStart w:id="449" w:name="_Toc488406316"/>
      <w:bookmarkStart w:id="450" w:name="_Toc491409547"/>
      <w:bookmarkStart w:id="451" w:name="_Toc496018085"/>
      <w:bookmarkStart w:id="452" w:name="_Toc515787283"/>
      <w:bookmarkStart w:id="453" w:name="_Toc515788983"/>
      <w:bookmarkStart w:id="454" w:name="_Toc515789832"/>
      <w:bookmarkStart w:id="455" w:name="_Toc515790681"/>
      <w:bookmarkStart w:id="456" w:name="_Toc515791536"/>
      <w:bookmarkStart w:id="457" w:name="_Toc515792386"/>
      <w:bookmarkStart w:id="458" w:name="_Toc515793229"/>
      <w:bookmarkStart w:id="459" w:name="_Toc515794134"/>
      <w:bookmarkStart w:id="460" w:name="_Toc515795950"/>
      <w:bookmarkStart w:id="461" w:name="_Toc488329869"/>
      <w:bookmarkStart w:id="462" w:name="_Toc488386723"/>
      <w:bookmarkStart w:id="463" w:name="_Toc488402182"/>
      <w:bookmarkStart w:id="464" w:name="_Toc488403005"/>
      <w:bookmarkStart w:id="465" w:name="_Toc488403834"/>
      <w:bookmarkStart w:id="466" w:name="_Toc488404665"/>
      <w:bookmarkStart w:id="467" w:name="_Toc488405488"/>
      <w:bookmarkStart w:id="468" w:name="_Toc488406317"/>
      <w:bookmarkStart w:id="469" w:name="_Toc491409548"/>
      <w:bookmarkStart w:id="470" w:name="_Toc496018086"/>
      <w:bookmarkStart w:id="471" w:name="_Toc515787284"/>
      <w:bookmarkStart w:id="472" w:name="_Toc515788984"/>
      <w:bookmarkStart w:id="473" w:name="_Toc515789833"/>
      <w:bookmarkStart w:id="474" w:name="_Toc515790682"/>
      <w:bookmarkStart w:id="475" w:name="_Toc515791537"/>
      <w:bookmarkStart w:id="476" w:name="_Toc515792387"/>
      <w:bookmarkStart w:id="477" w:name="_Toc515793230"/>
      <w:bookmarkStart w:id="478" w:name="_Toc515794135"/>
      <w:bookmarkStart w:id="479" w:name="_Toc515795951"/>
      <w:bookmarkStart w:id="480" w:name="_Toc488329870"/>
      <w:bookmarkStart w:id="481" w:name="_Toc488386724"/>
      <w:bookmarkStart w:id="482" w:name="_Toc488402183"/>
      <w:bookmarkStart w:id="483" w:name="_Toc488403006"/>
      <w:bookmarkStart w:id="484" w:name="_Toc488403835"/>
      <w:bookmarkStart w:id="485" w:name="_Toc488404666"/>
      <w:bookmarkStart w:id="486" w:name="_Toc488405489"/>
      <w:bookmarkStart w:id="487" w:name="_Toc488406318"/>
      <w:bookmarkStart w:id="488" w:name="_Toc491409549"/>
      <w:bookmarkStart w:id="489" w:name="_Toc496018087"/>
      <w:bookmarkStart w:id="490" w:name="_Toc515787285"/>
      <w:bookmarkStart w:id="491" w:name="_Toc515788985"/>
      <w:bookmarkStart w:id="492" w:name="_Toc515789834"/>
      <w:bookmarkStart w:id="493" w:name="_Toc515790683"/>
      <w:bookmarkStart w:id="494" w:name="_Toc515791538"/>
      <w:bookmarkStart w:id="495" w:name="_Toc515792388"/>
      <w:bookmarkStart w:id="496" w:name="_Toc515793231"/>
      <w:bookmarkStart w:id="497" w:name="_Toc515794136"/>
      <w:bookmarkStart w:id="498" w:name="_Toc515795952"/>
      <w:bookmarkStart w:id="499" w:name="_Toc488329871"/>
      <w:bookmarkStart w:id="500" w:name="_Toc488386725"/>
      <w:bookmarkStart w:id="501" w:name="_Toc488402184"/>
      <w:bookmarkStart w:id="502" w:name="_Toc488403007"/>
      <w:bookmarkStart w:id="503" w:name="_Toc488403836"/>
      <w:bookmarkStart w:id="504" w:name="_Toc488404667"/>
      <w:bookmarkStart w:id="505" w:name="_Toc488405490"/>
      <w:bookmarkStart w:id="506" w:name="_Toc488406319"/>
      <w:bookmarkStart w:id="507" w:name="_Toc491409550"/>
      <w:bookmarkStart w:id="508" w:name="_Toc496018088"/>
      <w:bookmarkStart w:id="509" w:name="_Toc515787286"/>
      <w:bookmarkStart w:id="510" w:name="_Toc515788986"/>
      <w:bookmarkStart w:id="511" w:name="_Toc515789835"/>
      <w:bookmarkStart w:id="512" w:name="_Toc515790684"/>
      <w:bookmarkStart w:id="513" w:name="_Toc515791539"/>
      <w:bookmarkStart w:id="514" w:name="_Toc515792389"/>
      <w:bookmarkStart w:id="515" w:name="_Toc515793232"/>
      <w:bookmarkStart w:id="516" w:name="_Toc515794137"/>
      <w:bookmarkStart w:id="517" w:name="_Toc515795953"/>
      <w:bookmarkStart w:id="518" w:name="_Toc488329872"/>
      <w:bookmarkStart w:id="519" w:name="_Toc488386726"/>
      <w:bookmarkStart w:id="520" w:name="_Toc488402185"/>
      <w:bookmarkStart w:id="521" w:name="_Toc488403008"/>
      <w:bookmarkStart w:id="522" w:name="_Toc488403837"/>
      <w:bookmarkStart w:id="523" w:name="_Toc488404668"/>
      <w:bookmarkStart w:id="524" w:name="_Toc488405491"/>
      <w:bookmarkStart w:id="525" w:name="_Toc488406320"/>
      <w:bookmarkStart w:id="526" w:name="_Toc491409551"/>
      <w:bookmarkStart w:id="527" w:name="_Toc496018089"/>
      <w:bookmarkStart w:id="528" w:name="_Toc515787287"/>
      <w:bookmarkStart w:id="529" w:name="_Toc515788987"/>
      <w:bookmarkStart w:id="530" w:name="_Toc515789836"/>
      <w:bookmarkStart w:id="531" w:name="_Toc515790685"/>
      <w:bookmarkStart w:id="532" w:name="_Toc515791540"/>
      <w:bookmarkStart w:id="533" w:name="_Toc515792390"/>
      <w:bookmarkStart w:id="534" w:name="_Toc515793233"/>
      <w:bookmarkStart w:id="535" w:name="_Toc515794138"/>
      <w:bookmarkStart w:id="536" w:name="_Toc515795954"/>
      <w:bookmarkStart w:id="537" w:name="_Toc488329873"/>
      <w:bookmarkStart w:id="538" w:name="_Toc488386727"/>
      <w:bookmarkStart w:id="539" w:name="_Toc488402186"/>
      <w:bookmarkStart w:id="540" w:name="_Toc488403009"/>
      <w:bookmarkStart w:id="541" w:name="_Toc488403838"/>
      <w:bookmarkStart w:id="542" w:name="_Toc488404669"/>
      <w:bookmarkStart w:id="543" w:name="_Toc488405492"/>
      <w:bookmarkStart w:id="544" w:name="_Toc488406321"/>
      <w:bookmarkStart w:id="545" w:name="_Toc491409552"/>
      <w:bookmarkStart w:id="546" w:name="_Toc496018090"/>
      <w:bookmarkStart w:id="547" w:name="_Toc515787288"/>
      <w:bookmarkStart w:id="548" w:name="_Toc515788988"/>
      <w:bookmarkStart w:id="549" w:name="_Toc515789837"/>
      <w:bookmarkStart w:id="550" w:name="_Toc515790686"/>
      <w:bookmarkStart w:id="551" w:name="_Toc515791541"/>
      <w:bookmarkStart w:id="552" w:name="_Toc515792391"/>
      <w:bookmarkStart w:id="553" w:name="_Toc515793234"/>
      <w:bookmarkStart w:id="554" w:name="_Toc515794139"/>
      <w:bookmarkStart w:id="555" w:name="_Toc515795955"/>
      <w:bookmarkStart w:id="556" w:name="_Toc488329874"/>
      <w:bookmarkStart w:id="557" w:name="_Toc488386728"/>
      <w:bookmarkStart w:id="558" w:name="_Toc488402187"/>
      <w:bookmarkStart w:id="559" w:name="_Toc488403010"/>
      <w:bookmarkStart w:id="560" w:name="_Toc488403839"/>
      <w:bookmarkStart w:id="561" w:name="_Toc488404670"/>
      <w:bookmarkStart w:id="562" w:name="_Toc488405493"/>
      <w:bookmarkStart w:id="563" w:name="_Toc488406322"/>
      <w:bookmarkStart w:id="564" w:name="_Toc491409553"/>
      <w:bookmarkStart w:id="565" w:name="_Toc496018091"/>
      <w:bookmarkStart w:id="566" w:name="_Toc515787289"/>
      <w:bookmarkStart w:id="567" w:name="_Toc515788989"/>
      <w:bookmarkStart w:id="568" w:name="_Toc515789838"/>
      <w:bookmarkStart w:id="569" w:name="_Toc515790687"/>
      <w:bookmarkStart w:id="570" w:name="_Toc515791542"/>
      <w:bookmarkStart w:id="571" w:name="_Toc515792392"/>
      <w:bookmarkStart w:id="572" w:name="_Toc515793235"/>
      <w:bookmarkStart w:id="573" w:name="_Toc515794140"/>
      <w:bookmarkStart w:id="574" w:name="_Toc515795956"/>
      <w:bookmarkStart w:id="575" w:name="_Toc488329875"/>
      <w:bookmarkStart w:id="576" w:name="_Toc488386729"/>
      <w:bookmarkStart w:id="577" w:name="_Toc488402188"/>
      <w:bookmarkStart w:id="578" w:name="_Toc488403011"/>
      <w:bookmarkStart w:id="579" w:name="_Toc488403840"/>
      <w:bookmarkStart w:id="580" w:name="_Toc488404671"/>
      <w:bookmarkStart w:id="581" w:name="_Toc488405494"/>
      <w:bookmarkStart w:id="582" w:name="_Toc488406323"/>
      <w:bookmarkStart w:id="583" w:name="_Toc491409554"/>
      <w:bookmarkStart w:id="584" w:name="_Toc496018092"/>
      <w:bookmarkStart w:id="585" w:name="_Toc515787290"/>
      <w:bookmarkStart w:id="586" w:name="_Toc515788990"/>
      <w:bookmarkStart w:id="587" w:name="_Toc515789839"/>
      <w:bookmarkStart w:id="588" w:name="_Toc515790688"/>
      <w:bookmarkStart w:id="589" w:name="_Toc515791543"/>
      <w:bookmarkStart w:id="590" w:name="_Toc515792393"/>
      <w:bookmarkStart w:id="591" w:name="_Toc515793236"/>
      <w:bookmarkStart w:id="592" w:name="_Toc515794141"/>
      <w:bookmarkStart w:id="593" w:name="_Toc515795957"/>
      <w:bookmarkStart w:id="594" w:name="_Toc488329876"/>
      <w:bookmarkStart w:id="595" w:name="_Toc488386730"/>
      <w:bookmarkStart w:id="596" w:name="_Toc488402189"/>
      <w:bookmarkStart w:id="597" w:name="_Toc488403012"/>
      <w:bookmarkStart w:id="598" w:name="_Toc488403841"/>
      <w:bookmarkStart w:id="599" w:name="_Toc488404672"/>
      <w:bookmarkStart w:id="600" w:name="_Toc488405495"/>
      <w:bookmarkStart w:id="601" w:name="_Toc488406324"/>
      <w:bookmarkStart w:id="602" w:name="_Toc491409555"/>
      <w:bookmarkStart w:id="603" w:name="_Toc496018093"/>
      <w:bookmarkStart w:id="604" w:name="_Toc515787291"/>
      <w:bookmarkStart w:id="605" w:name="_Toc515788991"/>
      <w:bookmarkStart w:id="606" w:name="_Toc515789840"/>
      <w:bookmarkStart w:id="607" w:name="_Toc515790689"/>
      <w:bookmarkStart w:id="608" w:name="_Toc515791544"/>
      <w:bookmarkStart w:id="609" w:name="_Toc515792394"/>
      <w:bookmarkStart w:id="610" w:name="_Toc515793237"/>
      <w:bookmarkStart w:id="611" w:name="_Toc515794142"/>
      <w:bookmarkStart w:id="612" w:name="_Toc515795958"/>
      <w:bookmarkStart w:id="613" w:name="_Toc488329877"/>
      <w:bookmarkStart w:id="614" w:name="_Toc488386731"/>
      <w:bookmarkStart w:id="615" w:name="_Toc488402190"/>
      <w:bookmarkStart w:id="616" w:name="_Toc488403013"/>
      <w:bookmarkStart w:id="617" w:name="_Toc488403842"/>
      <w:bookmarkStart w:id="618" w:name="_Toc488404673"/>
      <w:bookmarkStart w:id="619" w:name="_Toc488405496"/>
      <w:bookmarkStart w:id="620" w:name="_Toc488406325"/>
      <w:bookmarkStart w:id="621" w:name="_Toc491409556"/>
      <w:bookmarkStart w:id="622" w:name="_Toc496018094"/>
      <w:bookmarkStart w:id="623" w:name="_Toc515787292"/>
      <w:bookmarkStart w:id="624" w:name="_Toc515788992"/>
      <w:bookmarkStart w:id="625" w:name="_Toc515789841"/>
      <w:bookmarkStart w:id="626" w:name="_Toc515790690"/>
      <w:bookmarkStart w:id="627" w:name="_Toc515791545"/>
      <w:bookmarkStart w:id="628" w:name="_Toc515792395"/>
      <w:bookmarkStart w:id="629" w:name="_Toc515793238"/>
      <w:bookmarkStart w:id="630" w:name="_Toc515794143"/>
      <w:bookmarkStart w:id="631" w:name="_Toc515795959"/>
      <w:bookmarkStart w:id="632" w:name="_Toc488329878"/>
      <w:bookmarkStart w:id="633" w:name="_Toc488386732"/>
      <w:bookmarkStart w:id="634" w:name="_Toc488402191"/>
      <w:bookmarkStart w:id="635" w:name="_Toc488403014"/>
      <w:bookmarkStart w:id="636" w:name="_Toc488403843"/>
      <w:bookmarkStart w:id="637" w:name="_Toc488404674"/>
      <w:bookmarkStart w:id="638" w:name="_Toc488405497"/>
      <w:bookmarkStart w:id="639" w:name="_Toc488406326"/>
      <w:bookmarkStart w:id="640" w:name="_Toc491409557"/>
      <w:bookmarkStart w:id="641" w:name="_Toc496018095"/>
      <w:bookmarkStart w:id="642" w:name="_Toc515787293"/>
      <w:bookmarkStart w:id="643" w:name="_Toc515788993"/>
      <w:bookmarkStart w:id="644" w:name="_Toc515789842"/>
      <w:bookmarkStart w:id="645" w:name="_Toc515790691"/>
      <w:bookmarkStart w:id="646" w:name="_Toc515791546"/>
      <w:bookmarkStart w:id="647" w:name="_Toc515792396"/>
      <w:bookmarkStart w:id="648" w:name="_Toc515793239"/>
      <w:bookmarkStart w:id="649" w:name="_Toc515794144"/>
      <w:bookmarkStart w:id="650" w:name="_Toc515795960"/>
      <w:bookmarkStart w:id="651" w:name="_Toc488329879"/>
      <w:bookmarkStart w:id="652" w:name="_Toc488386733"/>
      <w:bookmarkStart w:id="653" w:name="_Toc488402192"/>
      <w:bookmarkStart w:id="654" w:name="_Toc488403015"/>
      <w:bookmarkStart w:id="655" w:name="_Toc488403844"/>
      <w:bookmarkStart w:id="656" w:name="_Toc488404675"/>
      <w:bookmarkStart w:id="657" w:name="_Toc488405498"/>
      <w:bookmarkStart w:id="658" w:name="_Toc488406327"/>
      <w:bookmarkStart w:id="659" w:name="_Toc491409558"/>
      <w:bookmarkStart w:id="660" w:name="_Toc496018096"/>
      <w:bookmarkStart w:id="661" w:name="_Toc515787294"/>
      <w:bookmarkStart w:id="662" w:name="_Toc515788994"/>
      <w:bookmarkStart w:id="663" w:name="_Toc515789843"/>
      <w:bookmarkStart w:id="664" w:name="_Toc515790692"/>
      <w:bookmarkStart w:id="665" w:name="_Toc515791547"/>
      <w:bookmarkStart w:id="666" w:name="_Toc515792397"/>
      <w:bookmarkStart w:id="667" w:name="_Toc515793240"/>
      <w:bookmarkStart w:id="668" w:name="_Toc515794145"/>
      <w:bookmarkStart w:id="669" w:name="_Toc515795961"/>
      <w:bookmarkStart w:id="670" w:name="_Toc488329880"/>
      <w:bookmarkStart w:id="671" w:name="_Toc488386734"/>
      <w:bookmarkStart w:id="672" w:name="_Toc488402193"/>
      <w:bookmarkStart w:id="673" w:name="_Toc488403016"/>
      <w:bookmarkStart w:id="674" w:name="_Toc488403845"/>
      <w:bookmarkStart w:id="675" w:name="_Toc488404676"/>
      <w:bookmarkStart w:id="676" w:name="_Toc488405499"/>
      <w:bookmarkStart w:id="677" w:name="_Toc488406328"/>
      <w:bookmarkStart w:id="678" w:name="_Toc491409559"/>
      <w:bookmarkStart w:id="679" w:name="_Toc496018097"/>
      <w:bookmarkStart w:id="680" w:name="_Toc515787295"/>
      <w:bookmarkStart w:id="681" w:name="_Toc515788995"/>
      <w:bookmarkStart w:id="682" w:name="_Toc515789844"/>
      <w:bookmarkStart w:id="683" w:name="_Toc515790693"/>
      <w:bookmarkStart w:id="684" w:name="_Toc515791548"/>
      <w:bookmarkStart w:id="685" w:name="_Toc515792398"/>
      <w:bookmarkStart w:id="686" w:name="_Toc515793241"/>
      <w:bookmarkStart w:id="687" w:name="_Toc515794146"/>
      <w:bookmarkStart w:id="688" w:name="_Toc515795962"/>
      <w:bookmarkStart w:id="689" w:name="_Toc488329881"/>
      <w:bookmarkStart w:id="690" w:name="_Toc488386735"/>
      <w:bookmarkStart w:id="691" w:name="_Toc488402194"/>
      <w:bookmarkStart w:id="692" w:name="_Toc488403017"/>
      <w:bookmarkStart w:id="693" w:name="_Toc488403846"/>
      <w:bookmarkStart w:id="694" w:name="_Toc488404677"/>
      <w:bookmarkStart w:id="695" w:name="_Toc488405500"/>
      <w:bookmarkStart w:id="696" w:name="_Toc488406329"/>
      <w:bookmarkStart w:id="697" w:name="_Toc491409560"/>
      <w:bookmarkStart w:id="698" w:name="_Toc496018098"/>
      <w:bookmarkStart w:id="699" w:name="_Toc515787296"/>
      <w:bookmarkStart w:id="700" w:name="_Toc515788996"/>
      <w:bookmarkStart w:id="701" w:name="_Toc515789845"/>
      <w:bookmarkStart w:id="702" w:name="_Toc515790694"/>
      <w:bookmarkStart w:id="703" w:name="_Toc515791549"/>
      <w:bookmarkStart w:id="704" w:name="_Toc515792399"/>
      <w:bookmarkStart w:id="705" w:name="_Toc515793242"/>
      <w:bookmarkStart w:id="706" w:name="_Toc515794147"/>
      <w:bookmarkStart w:id="707" w:name="_Toc515795963"/>
      <w:bookmarkStart w:id="708" w:name="_Toc488329882"/>
      <w:bookmarkStart w:id="709" w:name="_Toc488386736"/>
      <w:bookmarkStart w:id="710" w:name="_Toc488402195"/>
      <w:bookmarkStart w:id="711" w:name="_Toc488403018"/>
      <w:bookmarkStart w:id="712" w:name="_Toc488403847"/>
      <w:bookmarkStart w:id="713" w:name="_Toc488404678"/>
      <w:bookmarkStart w:id="714" w:name="_Toc488405501"/>
      <w:bookmarkStart w:id="715" w:name="_Toc488406330"/>
      <w:bookmarkStart w:id="716" w:name="_Toc491409561"/>
      <w:bookmarkStart w:id="717" w:name="_Toc496018099"/>
      <w:bookmarkStart w:id="718" w:name="_Toc515787297"/>
      <w:bookmarkStart w:id="719" w:name="_Toc515788997"/>
      <w:bookmarkStart w:id="720" w:name="_Toc515789846"/>
      <w:bookmarkStart w:id="721" w:name="_Toc515790695"/>
      <w:bookmarkStart w:id="722" w:name="_Toc515791550"/>
      <w:bookmarkStart w:id="723" w:name="_Toc515792400"/>
      <w:bookmarkStart w:id="724" w:name="_Toc515793243"/>
      <w:bookmarkStart w:id="725" w:name="_Toc515794148"/>
      <w:bookmarkStart w:id="726" w:name="_Toc515795964"/>
      <w:bookmarkStart w:id="727" w:name="_Toc488329883"/>
      <w:bookmarkStart w:id="728" w:name="_Toc488386737"/>
      <w:bookmarkStart w:id="729" w:name="_Toc488402196"/>
      <w:bookmarkStart w:id="730" w:name="_Toc488403019"/>
      <w:bookmarkStart w:id="731" w:name="_Toc488403848"/>
      <w:bookmarkStart w:id="732" w:name="_Toc488404679"/>
      <w:bookmarkStart w:id="733" w:name="_Toc488405502"/>
      <w:bookmarkStart w:id="734" w:name="_Toc488406331"/>
      <w:bookmarkStart w:id="735" w:name="_Toc491409562"/>
      <w:bookmarkStart w:id="736" w:name="_Toc496018100"/>
      <w:bookmarkStart w:id="737" w:name="_Toc515787298"/>
      <w:bookmarkStart w:id="738" w:name="_Toc515788998"/>
      <w:bookmarkStart w:id="739" w:name="_Toc515789847"/>
      <w:bookmarkStart w:id="740" w:name="_Toc515790696"/>
      <w:bookmarkStart w:id="741" w:name="_Toc515791551"/>
      <w:bookmarkStart w:id="742" w:name="_Toc515792401"/>
      <w:bookmarkStart w:id="743" w:name="_Toc515793244"/>
      <w:bookmarkStart w:id="744" w:name="_Toc515794149"/>
      <w:bookmarkStart w:id="745" w:name="_Toc515795965"/>
      <w:bookmarkStart w:id="746" w:name="_Toc488329884"/>
      <w:bookmarkStart w:id="747" w:name="_Toc488386738"/>
      <w:bookmarkStart w:id="748" w:name="_Toc488402197"/>
      <w:bookmarkStart w:id="749" w:name="_Toc488403020"/>
      <w:bookmarkStart w:id="750" w:name="_Toc488403849"/>
      <w:bookmarkStart w:id="751" w:name="_Toc488404680"/>
      <w:bookmarkStart w:id="752" w:name="_Toc488405503"/>
      <w:bookmarkStart w:id="753" w:name="_Toc488406332"/>
      <w:bookmarkStart w:id="754" w:name="_Toc491409563"/>
      <w:bookmarkStart w:id="755" w:name="_Toc496018101"/>
      <w:bookmarkStart w:id="756" w:name="_Toc515787299"/>
      <w:bookmarkStart w:id="757" w:name="_Toc515788999"/>
      <w:bookmarkStart w:id="758" w:name="_Toc515789848"/>
      <w:bookmarkStart w:id="759" w:name="_Toc515790697"/>
      <w:bookmarkStart w:id="760" w:name="_Toc515791552"/>
      <w:bookmarkStart w:id="761" w:name="_Toc515792402"/>
      <w:bookmarkStart w:id="762" w:name="_Toc515793245"/>
      <w:bookmarkStart w:id="763" w:name="_Toc515794150"/>
      <w:bookmarkStart w:id="764" w:name="_Toc515795966"/>
      <w:bookmarkStart w:id="765" w:name="_Toc488329885"/>
      <w:bookmarkStart w:id="766" w:name="_Toc488386739"/>
      <w:bookmarkStart w:id="767" w:name="_Toc488402198"/>
      <w:bookmarkStart w:id="768" w:name="_Toc488403021"/>
      <w:bookmarkStart w:id="769" w:name="_Toc488403850"/>
      <w:bookmarkStart w:id="770" w:name="_Toc488404681"/>
      <w:bookmarkStart w:id="771" w:name="_Toc488405504"/>
      <w:bookmarkStart w:id="772" w:name="_Toc488406333"/>
      <w:bookmarkStart w:id="773" w:name="_Toc491409564"/>
      <w:bookmarkStart w:id="774" w:name="_Toc496018102"/>
      <w:bookmarkStart w:id="775" w:name="_Toc515787300"/>
      <w:bookmarkStart w:id="776" w:name="_Toc515789000"/>
      <w:bookmarkStart w:id="777" w:name="_Toc515789849"/>
      <w:bookmarkStart w:id="778" w:name="_Toc515790698"/>
      <w:bookmarkStart w:id="779" w:name="_Toc515791553"/>
      <w:bookmarkStart w:id="780" w:name="_Toc515792403"/>
      <w:bookmarkStart w:id="781" w:name="_Toc515793246"/>
      <w:bookmarkStart w:id="782" w:name="_Toc515794151"/>
      <w:bookmarkStart w:id="783" w:name="_Toc515795967"/>
      <w:bookmarkStart w:id="784" w:name="_Toc488329886"/>
      <w:bookmarkStart w:id="785" w:name="_Toc488386740"/>
      <w:bookmarkStart w:id="786" w:name="_Toc488402199"/>
      <w:bookmarkStart w:id="787" w:name="_Toc488403022"/>
      <w:bookmarkStart w:id="788" w:name="_Toc488403851"/>
      <w:bookmarkStart w:id="789" w:name="_Toc488404682"/>
      <w:bookmarkStart w:id="790" w:name="_Toc488405505"/>
      <w:bookmarkStart w:id="791" w:name="_Toc488406334"/>
      <w:bookmarkStart w:id="792" w:name="_Toc491409565"/>
      <w:bookmarkStart w:id="793" w:name="_Toc496018103"/>
      <w:bookmarkStart w:id="794" w:name="_Toc515787301"/>
      <w:bookmarkStart w:id="795" w:name="_Toc515789001"/>
      <w:bookmarkStart w:id="796" w:name="_Toc515789850"/>
      <w:bookmarkStart w:id="797" w:name="_Toc515790699"/>
      <w:bookmarkStart w:id="798" w:name="_Toc515791554"/>
      <w:bookmarkStart w:id="799" w:name="_Toc515792404"/>
      <w:bookmarkStart w:id="800" w:name="_Toc515793247"/>
      <w:bookmarkStart w:id="801" w:name="_Toc515794152"/>
      <w:bookmarkStart w:id="802" w:name="_Toc515795968"/>
      <w:bookmarkStart w:id="803" w:name="_Toc488329887"/>
      <w:bookmarkStart w:id="804" w:name="_Toc488386741"/>
      <w:bookmarkStart w:id="805" w:name="_Toc488402200"/>
      <w:bookmarkStart w:id="806" w:name="_Toc488403023"/>
      <w:bookmarkStart w:id="807" w:name="_Toc488403852"/>
      <w:bookmarkStart w:id="808" w:name="_Toc488404683"/>
      <w:bookmarkStart w:id="809" w:name="_Toc488405506"/>
      <w:bookmarkStart w:id="810" w:name="_Toc488406335"/>
      <w:bookmarkStart w:id="811" w:name="_Toc491409566"/>
      <w:bookmarkStart w:id="812" w:name="_Toc496018104"/>
      <w:bookmarkStart w:id="813" w:name="_Toc515787302"/>
      <w:bookmarkStart w:id="814" w:name="_Toc515789002"/>
      <w:bookmarkStart w:id="815" w:name="_Toc515789851"/>
      <w:bookmarkStart w:id="816" w:name="_Toc515790700"/>
      <w:bookmarkStart w:id="817" w:name="_Toc515791555"/>
      <w:bookmarkStart w:id="818" w:name="_Toc515792405"/>
      <w:bookmarkStart w:id="819" w:name="_Toc515793248"/>
      <w:bookmarkStart w:id="820" w:name="_Toc515794153"/>
      <w:bookmarkStart w:id="821" w:name="_Toc515795969"/>
      <w:bookmarkStart w:id="822" w:name="_Toc488329888"/>
      <w:bookmarkStart w:id="823" w:name="_Toc488386742"/>
      <w:bookmarkStart w:id="824" w:name="_Toc488402201"/>
      <w:bookmarkStart w:id="825" w:name="_Toc488403024"/>
      <w:bookmarkStart w:id="826" w:name="_Toc488403853"/>
      <w:bookmarkStart w:id="827" w:name="_Toc488404684"/>
      <w:bookmarkStart w:id="828" w:name="_Toc488405507"/>
      <w:bookmarkStart w:id="829" w:name="_Toc488406336"/>
      <w:bookmarkStart w:id="830" w:name="_Toc491409567"/>
      <w:bookmarkStart w:id="831" w:name="_Toc496018105"/>
      <w:bookmarkStart w:id="832" w:name="_Toc515787303"/>
      <w:bookmarkStart w:id="833" w:name="_Toc515789003"/>
      <w:bookmarkStart w:id="834" w:name="_Toc515789852"/>
      <w:bookmarkStart w:id="835" w:name="_Toc515790701"/>
      <w:bookmarkStart w:id="836" w:name="_Toc515791556"/>
      <w:bookmarkStart w:id="837" w:name="_Toc515792406"/>
      <w:bookmarkStart w:id="838" w:name="_Toc515793249"/>
      <w:bookmarkStart w:id="839" w:name="_Toc515794154"/>
      <w:bookmarkStart w:id="840" w:name="_Toc515795970"/>
      <w:bookmarkStart w:id="841" w:name="_Toc488329889"/>
      <w:bookmarkStart w:id="842" w:name="_Toc488386743"/>
      <w:bookmarkStart w:id="843" w:name="_Toc488402202"/>
      <w:bookmarkStart w:id="844" w:name="_Toc488403025"/>
      <w:bookmarkStart w:id="845" w:name="_Toc488403854"/>
      <w:bookmarkStart w:id="846" w:name="_Toc488404685"/>
      <w:bookmarkStart w:id="847" w:name="_Toc488405508"/>
      <w:bookmarkStart w:id="848" w:name="_Toc488406337"/>
      <w:bookmarkStart w:id="849" w:name="_Toc491409568"/>
      <w:bookmarkStart w:id="850" w:name="_Toc496018106"/>
      <w:bookmarkStart w:id="851" w:name="_Toc515787304"/>
      <w:bookmarkStart w:id="852" w:name="_Toc515789004"/>
      <w:bookmarkStart w:id="853" w:name="_Toc515789853"/>
      <w:bookmarkStart w:id="854" w:name="_Toc515790702"/>
      <w:bookmarkStart w:id="855" w:name="_Toc515791557"/>
      <w:bookmarkStart w:id="856" w:name="_Toc515792407"/>
      <w:bookmarkStart w:id="857" w:name="_Toc515793250"/>
      <w:bookmarkStart w:id="858" w:name="_Toc515794155"/>
      <w:bookmarkStart w:id="859" w:name="_Toc515795971"/>
      <w:bookmarkStart w:id="860" w:name="_Toc488329890"/>
      <w:bookmarkStart w:id="861" w:name="_Toc488386744"/>
      <w:bookmarkStart w:id="862" w:name="_Toc488402203"/>
      <w:bookmarkStart w:id="863" w:name="_Toc488403026"/>
      <w:bookmarkStart w:id="864" w:name="_Toc488403855"/>
      <w:bookmarkStart w:id="865" w:name="_Toc488404686"/>
      <w:bookmarkStart w:id="866" w:name="_Toc488405509"/>
      <w:bookmarkStart w:id="867" w:name="_Toc488406338"/>
      <w:bookmarkStart w:id="868" w:name="_Toc491409569"/>
      <w:bookmarkStart w:id="869" w:name="_Toc496018107"/>
      <w:bookmarkStart w:id="870" w:name="_Toc515787305"/>
      <w:bookmarkStart w:id="871" w:name="_Toc515789005"/>
      <w:bookmarkStart w:id="872" w:name="_Toc515789854"/>
      <w:bookmarkStart w:id="873" w:name="_Toc515790703"/>
      <w:bookmarkStart w:id="874" w:name="_Toc515791558"/>
      <w:bookmarkStart w:id="875" w:name="_Toc515792408"/>
      <w:bookmarkStart w:id="876" w:name="_Toc515793251"/>
      <w:bookmarkStart w:id="877" w:name="_Toc515794156"/>
      <w:bookmarkStart w:id="878" w:name="_Toc515795972"/>
      <w:bookmarkStart w:id="879" w:name="_Toc488329891"/>
      <w:bookmarkStart w:id="880" w:name="_Toc488386745"/>
      <w:bookmarkStart w:id="881" w:name="_Toc488402204"/>
      <w:bookmarkStart w:id="882" w:name="_Toc488403027"/>
      <w:bookmarkStart w:id="883" w:name="_Toc488403856"/>
      <w:bookmarkStart w:id="884" w:name="_Toc488404687"/>
      <w:bookmarkStart w:id="885" w:name="_Toc488405510"/>
      <w:bookmarkStart w:id="886" w:name="_Toc488406339"/>
      <w:bookmarkStart w:id="887" w:name="_Toc491409570"/>
      <w:bookmarkStart w:id="888" w:name="_Toc496018108"/>
      <w:bookmarkStart w:id="889" w:name="_Toc515787306"/>
      <w:bookmarkStart w:id="890" w:name="_Toc515789006"/>
      <w:bookmarkStart w:id="891" w:name="_Toc515789855"/>
      <w:bookmarkStart w:id="892" w:name="_Toc515790704"/>
      <w:bookmarkStart w:id="893" w:name="_Toc515791559"/>
      <w:bookmarkStart w:id="894" w:name="_Toc515792409"/>
      <w:bookmarkStart w:id="895" w:name="_Toc515793252"/>
      <w:bookmarkStart w:id="896" w:name="_Toc515794157"/>
      <w:bookmarkStart w:id="897" w:name="_Toc515795973"/>
      <w:bookmarkStart w:id="898" w:name="_Toc488329892"/>
      <w:bookmarkStart w:id="899" w:name="_Toc488386746"/>
      <w:bookmarkStart w:id="900" w:name="_Toc488402205"/>
      <w:bookmarkStart w:id="901" w:name="_Toc488403028"/>
      <w:bookmarkStart w:id="902" w:name="_Toc488403857"/>
      <w:bookmarkStart w:id="903" w:name="_Toc488404688"/>
      <w:bookmarkStart w:id="904" w:name="_Toc488405511"/>
      <w:bookmarkStart w:id="905" w:name="_Toc488406340"/>
      <w:bookmarkStart w:id="906" w:name="_Toc491409571"/>
      <w:bookmarkStart w:id="907" w:name="_Toc496018109"/>
      <w:bookmarkStart w:id="908" w:name="_Toc515787307"/>
      <w:bookmarkStart w:id="909" w:name="_Toc515789007"/>
      <w:bookmarkStart w:id="910" w:name="_Toc515789856"/>
      <w:bookmarkStart w:id="911" w:name="_Toc515790705"/>
      <w:bookmarkStart w:id="912" w:name="_Toc515791560"/>
      <w:bookmarkStart w:id="913" w:name="_Toc515792410"/>
      <w:bookmarkStart w:id="914" w:name="_Toc515793253"/>
      <w:bookmarkStart w:id="915" w:name="_Toc515794158"/>
      <w:bookmarkStart w:id="916" w:name="_Toc515795974"/>
      <w:bookmarkStart w:id="917" w:name="_Toc488329893"/>
      <w:bookmarkStart w:id="918" w:name="_Toc488386747"/>
      <w:bookmarkStart w:id="919" w:name="_Toc488402206"/>
      <w:bookmarkStart w:id="920" w:name="_Toc488403029"/>
      <w:bookmarkStart w:id="921" w:name="_Toc488403858"/>
      <w:bookmarkStart w:id="922" w:name="_Toc488404689"/>
      <w:bookmarkStart w:id="923" w:name="_Toc488405512"/>
      <w:bookmarkStart w:id="924" w:name="_Toc488406341"/>
      <w:bookmarkStart w:id="925" w:name="_Toc491409572"/>
      <w:bookmarkStart w:id="926" w:name="_Toc496018110"/>
      <w:bookmarkStart w:id="927" w:name="_Toc515787308"/>
      <w:bookmarkStart w:id="928" w:name="_Toc515789008"/>
      <w:bookmarkStart w:id="929" w:name="_Toc515789857"/>
      <w:bookmarkStart w:id="930" w:name="_Toc515790706"/>
      <w:bookmarkStart w:id="931" w:name="_Toc515791561"/>
      <w:bookmarkStart w:id="932" w:name="_Toc515792411"/>
      <w:bookmarkStart w:id="933" w:name="_Toc515793254"/>
      <w:bookmarkStart w:id="934" w:name="_Toc515794159"/>
      <w:bookmarkStart w:id="935" w:name="_Toc515795975"/>
      <w:bookmarkStart w:id="936" w:name="_Toc488329894"/>
      <w:bookmarkStart w:id="937" w:name="_Toc488386748"/>
      <w:bookmarkStart w:id="938" w:name="_Toc488402207"/>
      <w:bookmarkStart w:id="939" w:name="_Toc488403030"/>
      <w:bookmarkStart w:id="940" w:name="_Toc488403859"/>
      <w:bookmarkStart w:id="941" w:name="_Toc488404690"/>
      <w:bookmarkStart w:id="942" w:name="_Toc488405513"/>
      <w:bookmarkStart w:id="943" w:name="_Toc488406342"/>
      <w:bookmarkStart w:id="944" w:name="_Toc491409573"/>
      <w:bookmarkStart w:id="945" w:name="_Toc496018111"/>
      <w:bookmarkStart w:id="946" w:name="_Toc515787309"/>
      <w:bookmarkStart w:id="947" w:name="_Toc515789009"/>
      <w:bookmarkStart w:id="948" w:name="_Toc515789858"/>
      <w:bookmarkStart w:id="949" w:name="_Toc515790707"/>
      <w:bookmarkStart w:id="950" w:name="_Toc515791562"/>
      <w:bookmarkStart w:id="951" w:name="_Toc515792412"/>
      <w:bookmarkStart w:id="952" w:name="_Toc515793255"/>
      <w:bookmarkStart w:id="953" w:name="_Toc515794160"/>
      <w:bookmarkStart w:id="954" w:name="_Toc515795976"/>
      <w:bookmarkStart w:id="955" w:name="_Toc488329895"/>
      <w:bookmarkStart w:id="956" w:name="_Toc488386749"/>
      <w:bookmarkStart w:id="957" w:name="_Toc488402208"/>
      <w:bookmarkStart w:id="958" w:name="_Toc488403031"/>
      <w:bookmarkStart w:id="959" w:name="_Toc488403860"/>
      <w:bookmarkStart w:id="960" w:name="_Toc488404691"/>
      <w:bookmarkStart w:id="961" w:name="_Toc488405514"/>
      <w:bookmarkStart w:id="962" w:name="_Toc488406343"/>
      <w:bookmarkStart w:id="963" w:name="_Toc491409574"/>
      <w:bookmarkStart w:id="964" w:name="_Toc496018112"/>
      <w:bookmarkStart w:id="965" w:name="_Toc515787310"/>
      <w:bookmarkStart w:id="966" w:name="_Toc515789010"/>
      <w:bookmarkStart w:id="967" w:name="_Toc515789859"/>
      <w:bookmarkStart w:id="968" w:name="_Toc515790708"/>
      <w:bookmarkStart w:id="969" w:name="_Toc515791563"/>
      <w:bookmarkStart w:id="970" w:name="_Toc515792413"/>
      <w:bookmarkStart w:id="971" w:name="_Toc515793256"/>
      <w:bookmarkStart w:id="972" w:name="_Toc515794161"/>
      <w:bookmarkStart w:id="973" w:name="_Toc515795977"/>
      <w:bookmarkStart w:id="974" w:name="_Toc488329896"/>
      <w:bookmarkStart w:id="975" w:name="_Toc488386750"/>
      <w:bookmarkStart w:id="976" w:name="_Toc488402209"/>
      <w:bookmarkStart w:id="977" w:name="_Toc488403032"/>
      <w:bookmarkStart w:id="978" w:name="_Toc488403861"/>
      <w:bookmarkStart w:id="979" w:name="_Toc488404692"/>
      <w:bookmarkStart w:id="980" w:name="_Toc488405515"/>
      <w:bookmarkStart w:id="981" w:name="_Toc488406344"/>
      <w:bookmarkStart w:id="982" w:name="_Toc491409575"/>
      <w:bookmarkStart w:id="983" w:name="_Toc496018113"/>
      <w:bookmarkStart w:id="984" w:name="_Toc515787311"/>
      <w:bookmarkStart w:id="985" w:name="_Toc515789011"/>
      <w:bookmarkStart w:id="986" w:name="_Toc515789860"/>
      <w:bookmarkStart w:id="987" w:name="_Toc515790709"/>
      <w:bookmarkStart w:id="988" w:name="_Toc515791564"/>
      <w:bookmarkStart w:id="989" w:name="_Toc515792414"/>
      <w:bookmarkStart w:id="990" w:name="_Toc515793257"/>
      <w:bookmarkStart w:id="991" w:name="_Toc515794162"/>
      <w:bookmarkStart w:id="992" w:name="_Toc515795978"/>
      <w:bookmarkStart w:id="993" w:name="_Toc488329897"/>
      <w:bookmarkStart w:id="994" w:name="_Toc488386751"/>
      <w:bookmarkStart w:id="995" w:name="_Toc488402210"/>
      <w:bookmarkStart w:id="996" w:name="_Toc488403033"/>
      <w:bookmarkStart w:id="997" w:name="_Toc488403862"/>
      <w:bookmarkStart w:id="998" w:name="_Toc488404693"/>
      <w:bookmarkStart w:id="999" w:name="_Toc488405516"/>
      <w:bookmarkStart w:id="1000" w:name="_Toc488406345"/>
      <w:bookmarkStart w:id="1001" w:name="_Toc491409576"/>
      <w:bookmarkStart w:id="1002" w:name="_Toc496018114"/>
      <w:bookmarkStart w:id="1003" w:name="_Toc515787312"/>
      <w:bookmarkStart w:id="1004" w:name="_Toc515789012"/>
      <w:bookmarkStart w:id="1005" w:name="_Toc515789861"/>
      <w:bookmarkStart w:id="1006" w:name="_Toc515790710"/>
      <w:bookmarkStart w:id="1007" w:name="_Toc515791565"/>
      <w:bookmarkStart w:id="1008" w:name="_Toc515792415"/>
      <w:bookmarkStart w:id="1009" w:name="_Toc515793258"/>
      <w:bookmarkStart w:id="1010" w:name="_Toc515794163"/>
      <w:bookmarkStart w:id="1011" w:name="_Toc515795979"/>
      <w:bookmarkStart w:id="1012" w:name="_Toc488329898"/>
      <w:bookmarkStart w:id="1013" w:name="_Toc488386752"/>
      <w:bookmarkStart w:id="1014" w:name="_Toc488402211"/>
      <w:bookmarkStart w:id="1015" w:name="_Toc488403034"/>
      <w:bookmarkStart w:id="1016" w:name="_Toc488403863"/>
      <w:bookmarkStart w:id="1017" w:name="_Toc488404694"/>
      <w:bookmarkStart w:id="1018" w:name="_Toc488405517"/>
      <w:bookmarkStart w:id="1019" w:name="_Toc488406346"/>
      <w:bookmarkStart w:id="1020" w:name="_Toc491409577"/>
      <w:bookmarkStart w:id="1021" w:name="_Toc496018115"/>
      <w:bookmarkStart w:id="1022" w:name="_Toc515787313"/>
      <w:bookmarkStart w:id="1023" w:name="_Toc515789013"/>
      <w:bookmarkStart w:id="1024" w:name="_Toc515789862"/>
      <w:bookmarkStart w:id="1025" w:name="_Toc515790711"/>
      <w:bookmarkStart w:id="1026" w:name="_Toc515791566"/>
      <w:bookmarkStart w:id="1027" w:name="_Toc515792416"/>
      <w:bookmarkStart w:id="1028" w:name="_Toc515793259"/>
      <w:bookmarkStart w:id="1029" w:name="_Toc515794164"/>
      <w:bookmarkStart w:id="1030" w:name="_Toc515795980"/>
      <w:bookmarkStart w:id="1031" w:name="_Toc488329899"/>
      <w:bookmarkStart w:id="1032" w:name="_Toc488386753"/>
      <w:bookmarkStart w:id="1033" w:name="_Toc488402212"/>
      <w:bookmarkStart w:id="1034" w:name="_Toc488403035"/>
      <w:bookmarkStart w:id="1035" w:name="_Toc488403864"/>
      <w:bookmarkStart w:id="1036" w:name="_Toc488404695"/>
      <w:bookmarkStart w:id="1037" w:name="_Toc488405518"/>
      <w:bookmarkStart w:id="1038" w:name="_Toc488406347"/>
      <w:bookmarkStart w:id="1039" w:name="_Toc491409578"/>
      <w:bookmarkStart w:id="1040" w:name="_Toc496018116"/>
      <w:bookmarkStart w:id="1041" w:name="_Toc515787314"/>
      <w:bookmarkStart w:id="1042" w:name="_Toc515789014"/>
      <w:bookmarkStart w:id="1043" w:name="_Toc515789863"/>
      <w:bookmarkStart w:id="1044" w:name="_Toc515790712"/>
      <w:bookmarkStart w:id="1045" w:name="_Toc515791567"/>
      <w:bookmarkStart w:id="1046" w:name="_Toc515792417"/>
      <w:bookmarkStart w:id="1047" w:name="_Toc515793260"/>
      <w:bookmarkStart w:id="1048" w:name="_Toc515794165"/>
      <w:bookmarkStart w:id="1049" w:name="_Toc515795981"/>
      <w:bookmarkStart w:id="1050" w:name="_Toc488329900"/>
      <w:bookmarkStart w:id="1051" w:name="_Toc488386754"/>
      <w:bookmarkStart w:id="1052" w:name="_Toc488402213"/>
      <w:bookmarkStart w:id="1053" w:name="_Toc488403036"/>
      <w:bookmarkStart w:id="1054" w:name="_Toc488403865"/>
      <w:bookmarkStart w:id="1055" w:name="_Toc488404696"/>
      <w:bookmarkStart w:id="1056" w:name="_Toc488405519"/>
      <w:bookmarkStart w:id="1057" w:name="_Toc488406348"/>
      <w:bookmarkStart w:id="1058" w:name="_Toc491409579"/>
      <w:bookmarkStart w:id="1059" w:name="_Toc496018117"/>
      <w:bookmarkStart w:id="1060" w:name="_Toc515787315"/>
      <w:bookmarkStart w:id="1061" w:name="_Toc515789015"/>
      <w:bookmarkStart w:id="1062" w:name="_Toc515789864"/>
      <w:bookmarkStart w:id="1063" w:name="_Toc515790713"/>
      <w:bookmarkStart w:id="1064" w:name="_Toc515791568"/>
      <w:bookmarkStart w:id="1065" w:name="_Toc515792418"/>
      <w:bookmarkStart w:id="1066" w:name="_Toc515793261"/>
      <w:bookmarkStart w:id="1067" w:name="_Toc515794166"/>
      <w:bookmarkStart w:id="1068" w:name="_Toc515795982"/>
      <w:bookmarkStart w:id="1069" w:name="_Toc488329901"/>
      <w:bookmarkStart w:id="1070" w:name="_Toc488386755"/>
      <w:bookmarkStart w:id="1071" w:name="_Toc488402214"/>
      <w:bookmarkStart w:id="1072" w:name="_Toc488403037"/>
      <w:bookmarkStart w:id="1073" w:name="_Toc488403866"/>
      <w:bookmarkStart w:id="1074" w:name="_Toc488404697"/>
      <w:bookmarkStart w:id="1075" w:name="_Toc488405520"/>
      <w:bookmarkStart w:id="1076" w:name="_Toc488406349"/>
      <w:bookmarkStart w:id="1077" w:name="_Toc491409580"/>
      <w:bookmarkStart w:id="1078" w:name="_Toc496018118"/>
      <w:bookmarkStart w:id="1079" w:name="_Toc515787316"/>
      <w:bookmarkStart w:id="1080" w:name="_Toc515789016"/>
      <w:bookmarkStart w:id="1081" w:name="_Toc515789865"/>
      <w:bookmarkStart w:id="1082" w:name="_Toc515790714"/>
      <w:bookmarkStart w:id="1083" w:name="_Toc515791569"/>
      <w:bookmarkStart w:id="1084" w:name="_Toc515792419"/>
      <w:bookmarkStart w:id="1085" w:name="_Toc515793262"/>
      <w:bookmarkStart w:id="1086" w:name="_Toc515794167"/>
      <w:bookmarkStart w:id="1087" w:name="_Toc515795983"/>
      <w:bookmarkStart w:id="1088" w:name="_Toc488329902"/>
      <w:bookmarkStart w:id="1089" w:name="_Toc488386756"/>
      <w:bookmarkStart w:id="1090" w:name="_Toc488402215"/>
      <w:bookmarkStart w:id="1091" w:name="_Toc488403038"/>
      <w:bookmarkStart w:id="1092" w:name="_Toc488403867"/>
      <w:bookmarkStart w:id="1093" w:name="_Toc488404698"/>
      <w:bookmarkStart w:id="1094" w:name="_Toc488405521"/>
      <w:bookmarkStart w:id="1095" w:name="_Toc488406350"/>
      <w:bookmarkStart w:id="1096" w:name="_Toc491409581"/>
      <w:bookmarkStart w:id="1097" w:name="_Toc496018119"/>
      <w:bookmarkStart w:id="1098" w:name="_Toc515787317"/>
      <w:bookmarkStart w:id="1099" w:name="_Toc515789017"/>
      <w:bookmarkStart w:id="1100" w:name="_Toc515789866"/>
      <w:bookmarkStart w:id="1101" w:name="_Toc515790715"/>
      <w:bookmarkStart w:id="1102" w:name="_Toc515791570"/>
      <w:bookmarkStart w:id="1103" w:name="_Toc515792420"/>
      <w:bookmarkStart w:id="1104" w:name="_Toc515793263"/>
      <w:bookmarkStart w:id="1105" w:name="_Toc515794168"/>
      <w:bookmarkStart w:id="1106" w:name="_Toc515795984"/>
      <w:bookmarkStart w:id="1107" w:name="_Toc488329903"/>
      <w:bookmarkStart w:id="1108" w:name="_Toc488386757"/>
      <w:bookmarkStart w:id="1109" w:name="_Toc488402216"/>
      <w:bookmarkStart w:id="1110" w:name="_Toc488403039"/>
      <w:bookmarkStart w:id="1111" w:name="_Toc488403868"/>
      <w:bookmarkStart w:id="1112" w:name="_Toc488404699"/>
      <w:bookmarkStart w:id="1113" w:name="_Toc488405522"/>
      <w:bookmarkStart w:id="1114" w:name="_Toc488406351"/>
      <w:bookmarkStart w:id="1115" w:name="_Toc491409582"/>
      <w:bookmarkStart w:id="1116" w:name="_Toc496018120"/>
      <w:bookmarkStart w:id="1117" w:name="_Toc515787318"/>
      <w:bookmarkStart w:id="1118" w:name="_Toc515789018"/>
      <w:bookmarkStart w:id="1119" w:name="_Toc515789867"/>
      <w:bookmarkStart w:id="1120" w:name="_Toc515790716"/>
      <w:bookmarkStart w:id="1121" w:name="_Toc515791571"/>
      <w:bookmarkStart w:id="1122" w:name="_Toc515792421"/>
      <w:bookmarkStart w:id="1123" w:name="_Toc515793264"/>
      <w:bookmarkStart w:id="1124" w:name="_Toc515794169"/>
      <w:bookmarkStart w:id="1125" w:name="_Toc515795985"/>
      <w:bookmarkStart w:id="1126" w:name="_Toc488329904"/>
      <w:bookmarkStart w:id="1127" w:name="_Toc488386758"/>
      <w:bookmarkStart w:id="1128" w:name="_Toc488402217"/>
      <w:bookmarkStart w:id="1129" w:name="_Toc488403040"/>
      <w:bookmarkStart w:id="1130" w:name="_Toc488403869"/>
      <w:bookmarkStart w:id="1131" w:name="_Toc488404700"/>
      <w:bookmarkStart w:id="1132" w:name="_Toc488405523"/>
      <w:bookmarkStart w:id="1133" w:name="_Toc488406352"/>
      <w:bookmarkStart w:id="1134" w:name="_Toc491409583"/>
      <w:bookmarkStart w:id="1135" w:name="_Toc496018121"/>
      <w:bookmarkStart w:id="1136" w:name="_Toc515787319"/>
      <w:bookmarkStart w:id="1137" w:name="_Toc515789019"/>
      <w:bookmarkStart w:id="1138" w:name="_Toc515789868"/>
      <w:bookmarkStart w:id="1139" w:name="_Toc515790717"/>
      <w:bookmarkStart w:id="1140" w:name="_Toc515791572"/>
      <w:bookmarkStart w:id="1141" w:name="_Toc515792422"/>
      <w:bookmarkStart w:id="1142" w:name="_Toc515793265"/>
      <w:bookmarkStart w:id="1143" w:name="_Toc515794170"/>
      <w:bookmarkStart w:id="1144" w:name="_Toc515795986"/>
      <w:bookmarkStart w:id="1145" w:name="_Toc488329905"/>
      <w:bookmarkStart w:id="1146" w:name="_Toc488386759"/>
      <w:bookmarkStart w:id="1147" w:name="_Toc488402218"/>
      <w:bookmarkStart w:id="1148" w:name="_Toc488403041"/>
      <w:bookmarkStart w:id="1149" w:name="_Toc488403870"/>
      <w:bookmarkStart w:id="1150" w:name="_Toc488404701"/>
      <w:bookmarkStart w:id="1151" w:name="_Toc488405524"/>
      <w:bookmarkStart w:id="1152" w:name="_Toc488406353"/>
      <w:bookmarkStart w:id="1153" w:name="_Toc491409584"/>
      <w:bookmarkStart w:id="1154" w:name="_Toc496018122"/>
      <w:bookmarkStart w:id="1155" w:name="_Toc515787320"/>
      <w:bookmarkStart w:id="1156" w:name="_Toc515789020"/>
      <w:bookmarkStart w:id="1157" w:name="_Toc515789869"/>
      <w:bookmarkStart w:id="1158" w:name="_Toc515790718"/>
      <w:bookmarkStart w:id="1159" w:name="_Toc515791573"/>
      <w:bookmarkStart w:id="1160" w:name="_Toc515792423"/>
      <w:bookmarkStart w:id="1161" w:name="_Toc515793266"/>
      <w:bookmarkStart w:id="1162" w:name="_Toc515794171"/>
      <w:bookmarkStart w:id="1163" w:name="_Toc515795987"/>
      <w:bookmarkStart w:id="1164" w:name="_Toc488329906"/>
      <w:bookmarkStart w:id="1165" w:name="_Toc488386760"/>
      <w:bookmarkStart w:id="1166" w:name="_Toc488402219"/>
      <w:bookmarkStart w:id="1167" w:name="_Toc488403042"/>
      <w:bookmarkStart w:id="1168" w:name="_Toc488403871"/>
      <w:bookmarkStart w:id="1169" w:name="_Toc488404702"/>
      <w:bookmarkStart w:id="1170" w:name="_Toc488405525"/>
      <w:bookmarkStart w:id="1171" w:name="_Toc488406354"/>
      <w:bookmarkStart w:id="1172" w:name="_Toc491409585"/>
      <w:bookmarkStart w:id="1173" w:name="_Toc496018123"/>
      <w:bookmarkStart w:id="1174" w:name="_Toc515787321"/>
      <w:bookmarkStart w:id="1175" w:name="_Toc515789021"/>
      <w:bookmarkStart w:id="1176" w:name="_Toc515789870"/>
      <w:bookmarkStart w:id="1177" w:name="_Toc515790719"/>
      <w:bookmarkStart w:id="1178" w:name="_Toc515791574"/>
      <w:bookmarkStart w:id="1179" w:name="_Toc515792424"/>
      <w:bookmarkStart w:id="1180" w:name="_Toc515793267"/>
      <w:bookmarkStart w:id="1181" w:name="_Toc515794172"/>
      <w:bookmarkStart w:id="1182" w:name="_Toc515795988"/>
      <w:bookmarkStart w:id="1183" w:name="_Toc488329907"/>
      <w:bookmarkStart w:id="1184" w:name="_Toc488386761"/>
      <w:bookmarkStart w:id="1185" w:name="_Toc488402220"/>
      <w:bookmarkStart w:id="1186" w:name="_Toc488403043"/>
      <w:bookmarkStart w:id="1187" w:name="_Toc488403872"/>
      <w:bookmarkStart w:id="1188" w:name="_Toc488404703"/>
      <w:bookmarkStart w:id="1189" w:name="_Toc488405526"/>
      <w:bookmarkStart w:id="1190" w:name="_Toc488406355"/>
      <w:bookmarkStart w:id="1191" w:name="_Toc491409586"/>
      <w:bookmarkStart w:id="1192" w:name="_Toc496018124"/>
      <w:bookmarkStart w:id="1193" w:name="_Toc515787322"/>
      <w:bookmarkStart w:id="1194" w:name="_Toc515789022"/>
      <w:bookmarkStart w:id="1195" w:name="_Toc515789871"/>
      <w:bookmarkStart w:id="1196" w:name="_Toc515790720"/>
      <w:bookmarkStart w:id="1197" w:name="_Toc515791575"/>
      <w:bookmarkStart w:id="1198" w:name="_Toc515792425"/>
      <w:bookmarkStart w:id="1199" w:name="_Toc515793268"/>
      <w:bookmarkStart w:id="1200" w:name="_Toc515794173"/>
      <w:bookmarkStart w:id="1201" w:name="_Toc515795989"/>
      <w:bookmarkStart w:id="1202" w:name="_Toc488329908"/>
      <w:bookmarkStart w:id="1203" w:name="_Toc488386762"/>
      <w:bookmarkStart w:id="1204" w:name="_Toc488402221"/>
      <w:bookmarkStart w:id="1205" w:name="_Toc488403044"/>
      <w:bookmarkStart w:id="1206" w:name="_Toc488403873"/>
      <w:bookmarkStart w:id="1207" w:name="_Toc488404704"/>
      <w:bookmarkStart w:id="1208" w:name="_Toc488405527"/>
      <w:bookmarkStart w:id="1209" w:name="_Toc488406356"/>
      <w:bookmarkStart w:id="1210" w:name="_Toc491409587"/>
      <w:bookmarkStart w:id="1211" w:name="_Toc496018125"/>
      <w:bookmarkStart w:id="1212" w:name="_Toc515787323"/>
      <w:bookmarkStart w:id="1213" w:name="_Toc515789023"/>
      <w:bookmarkStart w:id="1214" w:name="_Toc515789872"/>
      <w:bookmarkStart w:id="1215" w:name="_Toc515790721"/>
      <w:bookmarkStart w:id="1216" w:name="_Toc515791576"/>
      <w:bookmarkStart w:id="1217" w:name="_Toc515792426"/>
      <w:bookmarkStart w:id="1218" w:name="_Toc515793269"/>
      <w:bookmarkStart w:id="1219" w:name="_Toc515794174"/>
      <w:bookmarkStart w:id="1220" w:name="_Toc515795990"/>
      <w:bookmarkStart w:id="1221" w:name="_Toc488329909"/>
      <w:bookmarkStart w:id="1222" w:name="_Toc488386763"/>
      <w:bookmarkStart w:id="1223" w:name="_Toc488402222"/>
      <w:bookmarkStart w:id="1224" w:name="_Toc488403045"/>
      <w:bookmarkStart w:id="1225" w:name="_Toc488403874"/>
      <w:bookmarkStart w:id="1226" w:name="_Toc488404705"/>
      <w:bookmarkStart w:id="1227" w:name="_Toc488405528"/>
      <w:bookmarkStart w:id="1228" w:name="_Toc488406357"/>
      <w:bookmarkStart w:id="1229" w:name="_Toc491409588"/>
      <w:bookmarkStart w:id="1230" w:name="_Toc496018126"/>
      <w:bookmarkStart w:id="1231" w:name="_Toc515787324"/>
      <w:bookmarkStart w:id="1232" w:name="_Toc515789024"/>
      <w:bookmarkStart w:id="1233" w:name="_Toc515789873"/>
      <w:bookmarkStart w:id="1234" w:name="_Toc515790722"/>
      <w:bookmarkStart w:id="1235" w:name="_Toc515791577"/>
      <w:bookmarkStart w:id="1236" w:name="_Toc515792427"/>
      <w:bookmarkStart w:id="1237" w:name="_Toc515793270"/>
      <w:bookmarkStart w:id="1238" w:name="_Toc515794175"/>
      <w:bookmarkStart w:id="1239" w:name="_Toc515795991"/>
      <w:bookmarkStart w:id="1240" w:name="_Toc488329910"/>
      <w:bookmarkStart w:id="1241" w:name="_Toc488386764"/>
      <w:bookmarkStart w:id="1242" w:name="_Toc488402223"/>
      <w:bookmarkStart w:id="1243" w:name="_Toc488403046"/>
      <w:bookmarkStart w:id="1244" w:name="_Toc488403875"/>
      <w:bookmarkStart w:id="1245" w:name="_Toc488404706"/>
      <w:bookmarkStart w:id="1246" w:name="_Toc488405529"/>
      <w:bookmarkStart w:id="1247" w:name="_Toc488406358"/>
      <w:bookmarkStart w:id="1248" w:name="_Toc491409589"/>
      <w:bookmarkStart w:id="1249" w:name="_Toc496018127"/>
      <w:bookmarkStart w:id="1250" w:name="_Toc515787325"/>
      <w:bookmarkStart w:id="1251" w:name="_Toc515789025"/>
      <w:bookmarkStart w:id="1252" w:name="_Toc515789874"/>
      <w:bookmarkStart w:id="1253" w:name="_Toc515790723"/>
      <w:bookmarkStart w:id="1254" w:name="_Toc515791578"/>
      <w:bookmarkStart w:id="1255" w:name="_Toc515792428"/>
      <w:bookmarkStart w:id="1256" w:name="_Toc515793271"/>
      <w:bookmarkStart w:id="1257" w:name="_Toc515794176"/>
      <w:bookmarkStart w:id="1258" w:name="_Toc515795992"/>
      <w:bookmarkStart w:id="1259" w:name="_Toc488329911"/>
      <w:bookmarkStart w:id="1260" w:name="_Toc488386765"/>
      <w:bookmarkStart w:id="1261" w:name="_Toc488402224"/>
      <w:bookmarkStart w:id="1262" w:name="_Toc488403047"/>
      <w:bookmarkStart w:id="1263" w:name="_Toc488403876"/>
      <w:bookmarkStart w:id="1264" w:name="_Toc488404707"/>
      <w:bookmarkStart w:id="1265" w:name="_Toc488405530"/>
      <w:bookmarkStart w:id="1266" w:name="_Toc488406359"/>
      <w:bookmarkStart w:id="1267" w:name="_Toc491409590"/>
      <w:bookmarkStart w:id="1268" w:name="_Toc496018128"/>
      <w:bookmarkStart w:id="1269" w:name="_Toc515787326"/>
      <w:bookmarkStart w:id="1270" w:name="_Toc515789026"/>
      <w:bookmarkStart w:id="1271" w:name="_Toc515789875"/>
      <w:bookmarkStart w:id="1272" w:name="_Toc515790724"/>
      <w:bookmarkStart w:id="1273" w:name="_Toc515791579"/>
      <w:bookmarkStart w:id="1274" w:name="_Toc515792429"/>
      <w:bookmarkStart w:id="1275" w:name="_Toc515793272"/>
      <w:bookmarkStart w:id="1276" w:name="_Toc515794177"/>
      <w:bookmarkStart w:id="1277" w:name="_Toc515795993"/>
      <w:bookmarkStart w:id="1278" w:name="_Toc488329912"/>
      <w:bookmarkStart w:id="1279" w:name="_Toc488386766"/>
      <w:bookmarkStart w:id="1280" w:name="_Toc488402225"/>
      <w:bookmarkStart w:id="1281" w:name="_Toc488403048"/>
      <w:bookmarkStart w:id="1282" w:name="_Toc488403877"/>
      <w:bookmarkStart w:id="1283" w:name="_Toc488404708"/>
      <w:bookmarkStart w:id="1284" w:name="_Toc488405531"/>
      <w:bookmarkStart w:id="1285" w:name="_Toc488406360"/>
      <w:bookmarkStart w:id="1286" w:name="_Toc491409591"/>
      <w:bookmarkStart w:id="1287" w:name="_Toc496018129"/>
      <w:bookmarkStart w:id="1288" w:name="_Toc515787327"/>
      <w:bookmarkStart w:id="1289" w:name="_Toc515789027"/>
      <w:bookmarkStart w:id="1290" w:name="_Toc515789876"/>
      <w:bookmarkStart w:id="1291" w:name="_Toc515790725"/>
      <w:bookmarkStart w:id="1292" w:name="_Toc515791580"/>
      <w:bookmarkStart w:id="1293" w:name="_Toc515792430"/>
      <w:bookmarkStart w:id="1294" w:name="_Toc515793273"/>
      <w:bookmarkStart w:id="1295" w:name="_Toc515794178"/>
      <w:bookmarkStart w:id="1296" w:name="_Toc515795994"/>
      <w:bookmarkStart w:id="1297" w:name="_Toc488329913"/>
      <w:bookmarkStart w:id="1298" w:name="_Toc488386767"/>
      <w:bookmarkStart w:id="1299" w:name="_Toc488402226"/>
      <w:bookmarkStart w:id="1300" w:name="_Toc488403049"/>
      <w:bookmarkStart w:id="1301" w:name="_Toc488403878"/>
      <w:bookmarkStart w:id="1302" w:name="_Toc488404709"/>
      <w:bookmarkStart w:id="1303" w:name="_Toc488405532"/>
      <w:bookmarkStart w:id="1304" w:name="_Toc488406361"/>
      <w:bookmarkStart w:id="1305" w:name="_Toc491409592"/>
      <w:bookmarkStart w:id="1306" w:name="_Toc496018130"/>
      <w:bookmarkStart w:id="1307" w:name="_Toc515787328"/>
      <w:bookmarkStart w:id="1308" w:name="_Toc515789028"/>
      <w:bookmarkStart w:id="1309" w:name="_Toc515789877"/>
      <w:bookmarkStart w:id="1310" w:name="_Toc515790726"/>
      <w:bookmarkStart w:id="1311" w:name="_Toc515791581"/>
      <w:bookmarkStart w:id="1312" w:name="_Toc515792431"/>
      <w:bookmarkStart w:id="1313" w:name="_Toc515793274"/>
      <w:bookmarkStart w:id="1314" w:name="_Toc515794179"/>
      <w:bookmarkStart w:id="1315" w:name="_Toc515795995"/>
      <w:bookmarkStart w:id="1316" w:name="_Toc488329914"/>
      <w:bookmarkStart w:id="1317" w:name="_Toc488386768"/>
      <w:bookmarkStart w:id="1318" w:name="_Toc488402227"/>
      <w:bookmarkStart w:id="1319" w:name="_Toc488403050"/>
      <w:bookmarkStart w:id="1320" w:name="_Toc488403879"/>
      <w:bookmarkStart w:id="1321" w:name="_Toc488404710"/>
      <w:bookmarkStart w:id="1322" w:name="_Toc488405533"/>
      <w:bookmarkStart w:id="1323" w:name="_Toc488406362"/>
      <w:bookmarkStart w:id="1324" w:name="_Toc491409593"/>
      <w:bookmarkStart w:id="1325" w:name="_Toc496018131"/>
      <w:bookmarkStart w:id="1326" w:name="_Toc515787329"/>
      <w:bookmarkStart w:id="1327" w:name="_Toc515789029"/>
      <w:bookmarkStart w:id="1328" w:name="_Toc515789878"/>
      <w:bookmarkStart w:id="1329" w:name="_Toc515790727"/>
      <w:bookmarkStart w:id="1330" w:name="_Toc515791582"/>
      <w:bookmarkStart w:id="1331" w:name="_Toc515792432"/>
      <w:bookmarkStart w:id="1332" w:name="_Toc515793275"/>
      <w:bookmarkStart w:id="1333" w:name="_Toc515794180"/>
      <w:bookmarkStart w:id="1334" w:name="_Toc515795996"/>
      <w:bookmarkStart w:id="1335" w:name="_Toc488329915"/>
      <w:bookmarkStart w:id="1336" w:name="_Toc488386769"/>
      <w:bookmarkStart w:id="1337" w:name="_Toc488402228"/>
      <w:bookmarkStart w:id="1338" w:name="_Toc488403051"/>
      <w:bookmarkStart w:id="1339" w:name="_Toc488403880"/>
      <w:bookmarkStart w:id="1340" w:name="_Toc488404711"/>
      <w:bookmarkStart w:id="1341" w:name="_Toc488405534"/>
      <w:bookmarkStart w:id="1342" w:name="_Toc488406363"/>
      <w:bookmarkStart w:id="1343" w:name="_Toc491409594"/>
      <w:bookmarkStart w:id="1344" w:name="_Toc496018132"/>
      <w:bookmarkStart w:id="1345" w:name="_Toc515787330"/>
      <w:bookmarkStart w:id="1346" w:name="_Toc515789030"/>
      <w:bookmarkStart w:id="1347" w:name="_Toc515789879"/>
      <w:bookmarkStart w:id="1348" w:name="_Toc515790728"/>
      <w:bookmarkStart w:id="1349" w:name="_Toc515791583"/>
      <w:bookmarkStart w:id="1350" w:name="_Toc515792433"/>
      <w:bookmarkStart w:id="1351" w:name="_Toc515793276"/>
      <w:bookmarkStart w:id="1352" w:name="_Toc515794181"/>
      <w:bookmarkStart w:id="1353" w:name="_Toc515795997"/>
      <w:bookmarkStart w:id="1354" w:name="_Toc488329916"/>
      <w:bookmarkStart w:id="1355" w:name="_Toc488386770"/>
      <w:bookmarkStart w:id="1356" w:name="_Toc488402229"/>
      <w:bookmarkStart w:id="1357" w:name="_Toc488403052"/>
      <w:bookmarkStart w:id="1358" w:name="_Toc488403881"/>
      <w:bookmarkStart w:id="1359" w:name="_Toc488404712"/>
      <w:bookmarkStart w:id="1360" w:name="_Toc488405535"/>
      <w:bookmarkStart w:id="1361" w:name="_Toc488406364"/>
      <w:bookmarkStart w:id="1362" w:name="_Toc491409595"/>
      <w:bookmarkStart w:id="1363" w:name="_Toc496018133"/>
      <w:bookmarkStart w:id="1364" w:name="_Toc515787331"/>
      <w:bookmarkStart w:id="1365" w:name="_Toc515789031"/>
      <w:bookmarkStart w:id="1366" w:name="_Toc515789880"/>
      <w:bookmarkStart w:id="1367" w:name="_Toc515790729"/>
      <w:bookmarkStart w:id="1368" w:name="_Toc515791584"/>
      <w:bookmarkStart w:id="1369" w:name="_Toc515792434"/>
      <w:bookmarkStart w:id="1370" w:name="_Toc515793277"/>
      <w:bookmarkStart w:id="1371" w:name="_Toc515794182"/>
      <w:bookmarkStart w:id="1372" w:name="_Toc515795998"/>
      <w:bookmarkStart w:id="1373" w:name="_Toc488329917"/>
      <w:bookmarkStart w:id="1374" w:name="_Toc488386771"/>
      <w:bookmarkStart w:id="1375" w:name="_Toc488402230"/>
      <w:bookmarkStart w:id="1376" w:name="_Toc488403053"/>
      <w:bookmarkStart w:id="1377" w:name="_Toc488403882"/>
      <w:bookmarkStart w:id="1378" w:name="_Toc488404713"/>
      <w:bookmarkStart w:id="1379" w:name="_Toc488405536"/>
      <w:bookmarkStart w:id="1380" w:name="_Toc488406365"/>
      <w:bookmarkStart w:id="1381" w:name="_Toc491409596"/>
      <w:bookmarkStart w:id="1382" w:name="_Toc496018134"/>
      <w:bookmarkStart w:id="1383" w:name="_Toc515787332"/>
      <w:bookmarkStart w:id="1384" w:name="_Toc515789032"/>
      <w:bookmarkStart w:id="1385" w:name="_Toc515789881"/>
      <w:bookmarkStart w:id="1386" w:name="_Toc515790730"/>
      <w:bookmarkStart w:id="1387" w:name="_Toc515791585"/>
      <w:bookmarkStart w:id="1388" w:name="_Toc515792435"/>
      <w:bookmarkStart w:id="1389" w:name="_Toc515793278"/>
      <w:bookmarkStart w:id="1390" w:name="_Toc515794183"/>
      <w:bookmarkStart w:id="1391" w:name="_Toc515795999"/>
      <w:bookmarkStart w:id="1392" w:name="_Toc488329918"/>
      <w:bookmarkStart w:id="1393" w:name="_Toc488386772"/>
      <w:bookmarkStart w:id="1394" w:name="_Toc488402231"/>
      <w:bookmarkStart w:id="1395" w:name="_Toc488403054"/>
      <w:bookmarkStart w:id="1396" w:name="_Toc488403883"/>
      <w:bookmarkStart w:id="1397" w:name="_Toc488404714"/>
      <w:bookmarkStart w:id="1398" w:name="_Toc488405537"/>
      <w:bookmarkStart w:id="1399" w:name="_Toc488406366"/>
      <w:bookmarkStart w:id="1400" w:name="_Toc491409597"/>
      <w:bookmarkStart w:id="1401" w:name="_Toc496018135"/>
      <w:bookmarkStart w:id="1402" w:name="_Toc515787333"/>
      <w:bookmarkStart w:id="1403" w:name="_Toc515789033"/>
      <w:bookmarkStart w:id="1404" w:name="_Toc515789882"/>
      <w:bookmarkStart w:id="1405" w:name="_Toc515790731"/>
      <w:bookmarkStart w:id="1406" w:name="_Toc515791586"/>
      <w:bookmarkStart w:id="1407" w:name="_Toc515792436"/>
      <w:bookmarkStart w:id="1408" w:name="_Toc515793279"/>
      <w:bookmarkStart w:id="1409" w:name="_Toc515794184"/>
      <w:bookmarkStart w:id="1410" w:name="_Toc515796000"/>
      <w:bookmarkStart w:id="1411" w:name="_Toc488329919"/>
      <w:bookmarkStart w:id="1412" w:name="_Toc488386773"/>
      <w:bookmarkStart w:id="1413" w:name="_Toc488402232"/>
      <w:bookmarkStart w:id="1414" w:name="_Toc488403055"/>
      <w:bookmarkStart w:id="1415" w:name="_Toc488403884"/>
      <w:bookmarkStart w:id="1416" w:name="_Toc488404715"/>
      <w:bookmarkStart w:id="1417" w:name="_Toc488405538"/>
      <w:bookmarkStart w:id="1418" w:name="_Toc488406367"/>
      <w:bookmarkStart w:id="1419" w:name="_Toc491409598"/>
      <w:bookmarkStart w:id="1420" w:name="_Toc496018136"/>
      <w:bookmarkStart w:id="1421" w:name="_Toc515787334"/>
      <w:bookmarkStart w:id="1422" w:name="_Toc515789034"/>
      <w:bookmarkStart w:id="1423" w:name="_Toc515789883"/>
      <w:bookmarkStart w:id="1424" w:name="_Toc515790732"/>
      <w:bookmarkStart w:id="1425" w:name="_Toc515791587"/>
      <w:bookmarkStart w:id="1426" w:name="_Toc515792437"/>
      <w:bookmarkStart w:id="1427" w:name="_Toc515793280"/>
      <w:bookmarkStart w:id="1428" w:name="_Toc515794185"/>
      <w:bookmarkStart w:id="1429" w:name="_Toc515796001"/>
      <w:bookmarkStart w:id="1430" w:name="_Toc488329920"/>
      <w:bookmarkStart w:id="1431" w:name="_Toc488386774"/>
      <w:bookmarkStart w:id="1432" w:name="_Toc488402233"/>
      <w:bookmarkStart w:id="1433" w:name="_Toc488403056"/>
      <w:bookmarkStart w:id="1434" w:name="_Toc488403885"/>
      <w:bookmarkStart w:id="1435" w:name="_Toc488404716"/>
      <w:bookmarkStart w:id="1436" w:name="_Toc488405539"/>
      <w:bookmarkStart w:id="1437" w:name="_Toc488406368"/>
      <w:bookmarkStart w:id="1438" w:name="_Toc491409599"/>
      <w:bookmarkStart w:id="1439" w:name="_Toc496018137"/>
      <w:bookmarkStart w:id="1440" w:name="_Toc515787335"/>
      <w:bookmarkStart w:id="1441" w:name="_Toc515789035"/>
      <w:bookmarkStart w:id="1442" w:name="_Toc515789884"/>
      <w:bookmarkStart w:id="1443" w:name="_Toc515790733"/>
      <w:bookmarkStart w:id="1444" w:name="_Toc515791588"/>
      <w:bookmarkStart w:id="1445" w:name="_Toc515792438"/>
      <w:bookmarkStart w:id="1446" w:name="_Toc515793281"/>
      <w:bookmarkStart w:id="1447" w:name="_Toc515794186"/>
      <w:bookmarkStart w:id="1448" w:name="_Toc515796002"/>
      <w:bookmarkStart w:id="1449" w:name="_Toc488329921"/>
      <w:bookmarkStart w:id="1450" w:name="_Toc488386775"/>
      <w:bookmarkStart w:id="1451" w:name="_Toc488402234"/>
      <w:bookmarkStart w:id="1452" w:name="_Toc488403057"/>
      <w:bookmarkStart w:id="1453" w:name="_Toc488403886"/>
      <w:bookmarkStart w:id="1454" w:name="_Toc488404717"/>
      <w:bookmarkStart w:id="1455" w:name="_Toc488405540"/>
      <w:bookmarkStart w:id="1456" w:name="_Toc488406369"/>
      <w:bookmarkStart w:id="1457" w:name="_Toc491409600"/>
      <w:bookmarkStart w:id="1458" w:name="_Toc496018138"/>
      <w:bookmarkStart w:id="1459" w:name="_Toc515787336"/>
      <w:bookmarkStart w:id="1460" w:name="_Toc515789036"/>
      <w:bookmarkStart w:id="1461" w:name="_Toc515789885"/>
      <w:bookmarkStart w:id="1462" w:name="_Toc515790734"/>
      <w:bookmarkStart w:id="1463" w:name="_Toc515791589"/>
      <w:bookmarkStart w:id="1464" w:name="_Toc515792439"/>
      <w:bookmarkStart w:id="1465" w:name="_Toc515793282"/>
      <w:bookmarkStart w:id="1466" w:name="_Toc515794187"/>
      <w:bookmarkStart w:id="1467" w:name="_Toc515796003"/>
      <w:bookmarkStart w:id="1468" w:name="_Toc488329922"/>
      <w:bookmarkStart w:id="1469" w:name="_Toc488386776"/>
      <w:bookmarkStart w:id="1470" w:name="_Toc488402235"/>
      <w:bookmarkStart w:id="1471" w:name="_Toc488403058"/>
      <w:bookmarkStart w:id="1472" w:name="_Toc488403887"/>
      <w:bookmarkStart w:id="1473" w:name="_Toc488404718"/>
      <w:bookmarkStart w:id="1474" w:name="_Toc488405541"/>
      <w:bookmarkStart w:id="1475" w:name="_Toc488406370"/>
      <w:bookmarkStart w:id="1476" w:name="_Toc491409601"/>
      <w:bookmarkStart w:id="1477" w:name="_Toc496018139"/>
      <w:bookmarkStart w:id="1478" w:name="_Toc515787337"/>
      <w:bookmarkStart w:id="1479" w:name="_Toc515789037"/>
      <w:bookmarkStart w:id="1480" w:name="_Toc515789886"/>
      <w:bookmarkStart w:id="1481" w:name="_Toc515790735"/>
      <w:bookmarkStart w:id="1482" w:name="_Toc515791590"/>
      <w:bookmarkStart w:id="1483" w:name="_Toc515792440"/>
      <w:bookmarkStart w:id="1484" w:name="_Toc515793283"/>
      <w:bookmarkStart w:id="1485" w:name="_Toc515794188"/>
      <w:bookmarkStart w:id="1486" w:name="_Toc515796004"/>
      <w:bookmarkStart w:id="1487" w:name="_Toc488329923"/>
      <w:bookmarkStart w:id="1488" w:name="_Toc488386777"/>
      <w:bookmarkStart w:id="1489" w:name="_Toc488402236"/>
      <w:bookmarkStart w:id="1490" w:name="_Toc488403059"/>
      <w:bookmarkStart w:id="1491" w:name="_Toc488403888"/>
      <w:bookmarkStart w:id="1492" w:name="_Toc488404719"/>
      <w:bookmarkStart w:id="1493" w:name="_Toc488405542"/>
      <w:bookmarkStart w:id="1494" w:name="_Toc488406371"/>
      <w:bookmarkStart w:id="1495" w:name="_Toc491409602"/>
      <w:bookmarkStart w:id="1496" w:name="_Toc496018140"/>
      <w:bookmarkStart w:id="1497" w:name="_Toc515787338"/>
      <w:bookmarkStart w:id="1498" w:name="_Toc515789038"/>
      <w:bookmarkStart w:id="1499" w:name="_Toc515789887"/>
      <w:bookmarkStart w:id="1500" w:name="_Toc515790736"/>
      <w:bookmarkStart w:id="1501" w:name="_Toc515791591"/>
      <w:bookmarkStart w:id="1502" w:name="_Toc515792441"/>
      <w:bookmarkStart w:id="1503" w:name="_Toc515793284"/>
      <w:bookmarkStart w:id="1504" w:name="_Toc515794189"/>
      <w:bookmarkStart w:id="1505" w:name="_Toc515796005"/>
      <w:bookmarkStart w:id="1506" w:name="_Toc488329924"/>
      <w:bookmarkStart w:id="1507" w:name="_Toc488386778"/>
      <w:bookmarkStart w:id="1508" w:name="_Toc488402237"/>
      <w:bookmarkStart w:id="1509" w:name="_Toc488403060"/>
      <w:bookmarkStart w:id="1510" w:name="_Toc488403889"/>
      <w:bookmarkStart w:id="1511" w:name="_Toc488404720"/>
      <w:bookmarkStart w:id="1512" w:name="_Toc488405543"/>
      <w:bookmarkStart w:id="1513" w:name="_Toc488406372"/>
      <w:bookmarkStart w:id="1514" w:name="_Toc491409603"/>
      <w:bookmarkStart w:id="1515" w:name="_Toc496018141"/>
      <w:bookmarkStart w:id="1516" w:name="_Toc515787339"/>
      <w:bookmarkStart w:id="1517" w:name="_Toc515789039"/>
      <w:bookmarkStart w:id="1518" w:name="_Toc515789888"/>
      <w:bookmarkStart w:id="1519" w:name="_Toc515790737"/>
      <w:bookmarkStart w:id="1520" w:name="_Toc515791592"/>
      <w:bookmarkStart w:id="1521" w:name="_Toc515792442"/>
      <w:bookmarkStart w:id="1522" w:name="_Toc515793285"/>
      <w:bookmarkStart w:id="1523" w:name="_Toc515794190"/>
      <w:bookmarkStart w:id="1524" w:name="_Toc515796006"/>
      <w:bookmarkStart w:id="1525" w:name="_Toc488329925"/>
      <w:bookmarkStart w:id="1526" w:name="_Toc488386779"/>
      <w:bookmarkStart w:id="1527" w:name="_Toc488402238"/>
      <w:bookmarkStart w:id="1528" w:name="_Toc488403061"/>
      <w:bookmarkStart w:id="1529" w:name="_Toc488403890"/>
      <w:bookmarkStart w:id="1530" w:name="_Toc488404721"/>
      <w:bookmarkStart w:id="1531" w:name="_Toc488405544"/>
      <w:bookmarkStart w:id="1532" w:name="_Toc488406373"/>
      <w:bookmarkStart w:id="1533" w:name="_Toc491409604"/>
      <w:bookmarkStart w:id="1534" w:name="_Toc496018142"/>
      <w:bookmarkStart w:id="1535" w:name="_Toc515787340"/>
      <w:bookmarkStart w:id="1536" w:name="_Toc515789040"/>
      <w:bookmarkStart w:id="1537" w:name="_Toc515789889"/>
      <w:bookmarkStart w:id="1538" w:name="_Toc515790738"/>
      <w:bookmarkStart w:id="1539" w:name="_Toc515791593"/>
      <w:bookmarkStart w:id="1540" w:name="_Toc515792443"/>
      <w:bookmarkStart w:id="1541" w:name="_Toc515793286"/>
      <w:bookmarkStart w:id="1542" w:name="_Toc515794191"/>
      <w:bookmarkStart w:id="1543" w:name="_Toc515796007"/>
      <w:bookmarkStart w:id="1544" w:name="_Toc488329926"/>
      <w:bookmarkStart w:id="1545" w:name="_Toc488386780"/>
      <w:bookmarkStart w:id="1546" w:name="_Toc488402239"/>
      <w:bookmarkStart w:id="1547" w:name="_Toc488403062"/>
      <w:bookmarkStart w:id="1548" w:name="_Toc488403891"/>
      <w:bookmarkStart w:id="1549" w:name="_Toc488404722"/>
      <w:bookmarkStart w:id="1550" w:name="_Toc488405545"/>
      <w:bookmarkStart w:id="1551" w:name="_Toc488406374"/>
      <w:bookmarkStart w:id="1552" w:name="_Toc491409605"/>
      <w:bookmarkStart w:id="1553" w:name="_Toc496018143"/>
      <w:bookmarkStart w:id="1554" w:name="_Toc515787341"/>
      <w:bookmarkStart w:id="1555" w:name="_Toc515789041"/>
      <w:bookmarkStart w:id="1556" w:name="_Toc515789890"/>
      <w:bookmarkStart w:id="1557" w:name="_Toc515790739"/>
      <w:bookmarkStart w:id="1558" w:name="_Toc515791594"/>
      <w:bookmarkStart w:id="1559" w:name="_Toc515792444"/>
      <w:bookmarkStart w:id="1560" w:name="_Toc515793287"/>
      <w:bookmarkStart w:id="1561" w:name="_Toc515794192"/>
      <w:bookmarkStart w:id="1562" w:name="_Toc515796008"/>
      <w:bookmarkStart w:id="1563" w:name="_Toc488329927"/>
      <w:bookmarkStart w:id="1564" w:name="_Toc488386781"/>
      <w:bookmarkStart w:id="1565" w:name="_Toc488402240"/>
      <w:bookmarkStart w:id="1566" w:name="_Toc488403063"/>
      <w:bookmarkStart w:id="1567" w:name="_Toc488403892"/>
      <w:bookmarkStart w:id="1568" w:name="_Toc488404723"/>
      <w:bookmarkStart w:id="1569" w:name="_Toc488405546"/>
      <w:bookmarkStart w:id="1570" w:name="_Toc488406375"/>
      <w:bookmarkStart w:id="1571" w:name="_Toc491409606"/>
      <w:bookmarkStart w:id="1572" w:name="_Toc496018144"/>
      <w:bookmarkStart w:id="1573" w:name="_Toc515787342"/>
      <w:bookmarkStart w:id="1574" w:name="_Toc515789042"/>
      <w:bookmarkStart w:id="1575" w:name="_Toc515789891"/>
      <w:bookmarkStart w:id="1576" w:name="_Toc515790740"/>
      <w:bookmarkStart w:id="1577" w:name="_Toc515791595"/>
      <w:bookmarkStart w:id="1578" w:name="_Toc515792445"/>
      <w:bookmarkStart w:id="1579" w:name="_Toc515793288"/>
      <w:bookmarkStart w:id="1580" w:name="_Toc515794193"/>
      <w:bookmarkStart w:id="1581" w:name="_Toc515796009"/>
      <w:bookmarkStart w:id="1582" w:name="_Toc488329928"/>
      <w:bookmarkStart w:id="1583" w:name="_Toc488386782"/>
      <w:bookmarkStart w:id="1584" w:name="_Toc488402241"/>
      <w:bookmarkStart w:id="1585" w:name="_Toc488403064"/>
      <w:bookmarkStart w:id="1586" w:name="_Toc488403893"/>
      <w:bookmarkStart w:id="1587" w:name="_Toc488404724"/>
      <w:bookmarkStart w:id="1588" w:name="_Toc488405547"/>
      <w:bookmarkStart w:id="1589" w:name="_Toc488406376"/>
      <w:bookmarkStart w:id="1590" w:name="_Toc491409607"/>
      <w:bookmarkStart w:id="1591" w:name="_Toc496018145"/>
      <w:bookmarkStart w:id="1592" w:name="_Toc515787343"/>
      <w:bookmarkStart w:id="1593" w:name="_Toc515789043"/>
      <w:bookmarkStart w:id="1594" w:name="_Toc515789892"/>
      <w:bookmarkStart w:id="1595" w:name="_Toc515790741"/>
      <w:bookmarkStart w:id="1596" w:name="_Toc515791596"/>
      <w:bookmarkStart w:id="1597" w:name="_Toc515792446"/>
      <w:bookmarkStart w:id="1598" w:name="_Toc515793289"/>
      <w:bookmarkStart w:id="1599" w:name="_Toc515794194"/>
      <w:bookmarkStart w:id="1600" w:name="_Toc515796010"/>
      <w:bookmarkStart w:id="1601" w:name="_Toc488329929"/>
      <w:bookmarkStart w:id="1602" w:name="_Toc488386783"/>
      <w:bookmarkStart w:id="1603" w:name="_Toc488402242"/>
      <w:bookmarkStart w:id="1604" w:name="_Toc488403065"/>
      <w:bookmarkStart w:id="1605" w:name="_Toc488403894"/>
      <w:bookmarkStart w:id="1606" w:name="_Toc488404725"/>
      <w:bookmarkStart w:id="1607" w:name="_Toc488405548"/>
      <w:bookmarkStart w:id="1608" w:name="_Toc488406377"/>
      <w:bookmarkStart w:id="1609" w:name="_Toc491409608"/>
      <w:bookmarkStart w:id="1610" w:name="_Toc496018146"/>
      <w:bookmarkStart w:id="1611" w:name="_Toc515787344"/>
      <w:bookmarkStart w:id="1612" w:name="_Toc515789044"/>
      <w:bookmarkStart w:id="1613" w:name="_Toc515789893"/>
      <w:bookmarkStart w:id="1614" w:name="_Toc515790742"/>
      <w:bookmarkStart w:id="1615" w:name="_Toc515791597"/>
      <w:bookmarkStart w:id="1616" w:name="_Toc515792447"/>
      <w:bookmarkStart w:id="1617" w:name="_Toc515793290"/>
      <w:bookmarkStart w:id="1618" w:name="_Toc515794195"/>
      <w:bookmarkStart w:id="1619" w:name="_Toc515796011"/>
      <w:bookmarkStart w:id="1620" w:name="_Toc488329930"/>
      <w:bookmarkStart w:id="1621" w:name="_Toc488386784"/>
      <w:bookmarkStart w:id="1622" w:name="_Toc488402243"/>
      <w:bookmarkStart w:id="1623" w:name="_Toc488403066"/>
      <w:bookmarkStart w:id="1624" w:name="_Toc488403895"/>
      <w:bookmarkStart w:id="1625" w:name="_Toc488404726"/>
      <w:bookmarkStart w:id="1626" w:name="_Toc488405549"/>
      <w:bookmarkStart w:id="1627" w:name="_Toc488406378"/>
      <w:bookmarkStart w:id="1628" w:name="_Toc491409609"/>
      <w:bookmarkStart w:id="1629" w:name="_Toc496018147"/>
      <w:bookmarkStart w:id="1630" w:name="_Toc515787345"/>
      <w:bookmarkStart w:id="1631" w:name="_Toc515789045"/>
      <w:bookmarkStart w:id="1632" w:name="_Toc515789894"/>
      <w:bookmarkStart w:id="1633" w:name="_Toc515790743"/>
      <w:bookmarkStart w:id="1634" w:name="_Toc515791598"/>
      <w:bookmarkStart w:id="1635" w:name="_Toc515792448"/>
      <w:bookmarkStart w:id="1636" w:name="_Toc515793291"/>
      <w:bookmarkStart w:id="1637" w:name="_Toc515794196"/>
      <w:bookmarkStart w:id="1638" w:name="_Toc515796012"/>
      <w:bookmarkStart w:id="1639" w:name="_Toc488329931"/>
      <w:bookmarkStart w:id="1640" w:name="_Toc488386785"/>
      <w:bookmarkStart w:id="1641" w:name="_Toc488402244"/>
      <w:bookmarkStart w:id="1642" w:name="_Toc488403067"/>
      <w:bookmarkStart w:id="1643" w:name="_Toc488403896"/>
      <w:bookmarkStart w:id="1644" w:name="_Toc488404727"/>
      <w:bookmarkStart w:id="1645" w:name="_Toc488405550"/>
      <w:bookmarkStart w:id="1646" w:name="_Toc488406379"/>
      <w:bookmarkStart w:id="1647" w:name="_Toc491409610"/>
      <w:bookmarkStart w:id="1648" w:name="_Toc496018148"/>
      <w:bookmarkStart w:id="1649" w:name="_Toc515787346"/>
      <w:bookmarkStart w:id="1650" w:name="_Toc515789046"/>
      <w:bookmarkStart w:id="1651" w:name="_Toc515789895"/>
      <w:bookmarkStart w:id="1652" w:name="_Toc515790744"/>
      <w:bookmarkStart w:id="1653" w:name="_Toc515791599"/>
      <w:bookmarkStart w:id="1654" w:name="_Toc515792449"/>
      <w:bookmarkStart w:id="1655" w:name="_Toc515793292"/>
      <w:bookmarkStart w:id="1656" w:name="_Toc515794197"/>
      <w:bookmarkStart w:id="1657" w:name="_Toc515796013"/>
      <w:bookmarkStart w:id="1658" w:name="_Toc488329932"/>
      <w:bookmarkStart w:id="1659" w:name="_Toc488386786"/>
      <w:bookmarkStart w:id="1660" w:name="_Toc488402245"/>
      <w:bookmarkStart w:id="1661" w:name="_Toc488403068"/>
      <w:bookmarkStart w:id="1662" w:name="_Toc488403897"/>
      <w:bookmarkStart w:id="1663" w:name="_Toc488404728"/>
      <w:bookmarkStart w:id="1664" w:name="_Toc488405551"/>
      <w:bookmarkStart w:id="1665" w:name="_Toc488406380"/>
      <w:bookmarkStart w:id="1666" w:name="_Toc491409611"/>
      <w:bookmarkStart w:id="1667" w:name="_Toc496018149"/>
      <w:bookmarkStart w:id="1668" w:name="_Toc515787347"/>
      <w:bookmarkStart w:id="1669" w:name="_Toc515789047"/>
      <w:bookmarkStart w:id="1670" w:name="_Toc515789896"/>
      <w:bookmarkStart w:id="1671" w:name="_Toc515790745"/>
      <w:bookmarkStart w:id="1672" w:name="_Toc515791600"/>
      <w:bookmarkStart w:id="1673" w:name="_Toc515792450"/>
      <w:bookmarkStart w:id="1674" w:name="_Toc515793293"/>
      <w:bookmarkStart w:id="1675" w:name="_Toc515794198"/>
      <w:bookmarkStart w:id="1676" w:name="_Toc515796014"/>
      <w:bookmarkStart w:id="1677" w:name="_Toc488329933"/>
      <w:bookmarkStart w:id="1678" w:name="_Toc488386787"/>
      <w:bookmarkStart w:id="1679" w:name="_Toc488402246"/>
      <w:bookmarkStart w:id="1680" w:name="_Toc488403069"/>
      <w:bookmarkStart w:id="1681" w:name="_Toc488403898"/>
      <w:bookmarkStart w:id="1682" w:name="_Toc488404729"/>
      <w:bookmarkStart w:id="1683" w:name="_Toc488405552"/>
      <w:bookmarkStart w:id="1684" w:name="_Toc488406381"/>
      <w:bookmarkStart w:id="1685" w:name="_Toc491409612"/>
      <w:bookmarkStart w:id="1686" w:name="_Toc496018150"/>
      <w:bookmarkStart w:id="1687" w:name="_Toc515787348"/>
      <w:bookmarkStart w:id="1688" w:name="_Toc515789048"/>
      <w:bookmarkStart w:id="1689" w:name="_Toc515789897"/>
      <w:bookmarkStart w:id="1690" w:name="_Toc515790746"/>
      <w:bookmarkStart w:id="1691" w:name="_Toc515791601"/>
      <w:bookmarkStart w:id="1692" w:name="_Toc515792451"/>
      <w:bookmarkStart w:id="1693" w:name="_Toc515793294"/>
      <w:bookmarkStart w:id="1694" w:name="_Toc515794199"/>
      <w:bookmarkStart w:id="1695" w:name="_Toc515796015"/>
      <w:bookmarkStart w:id="1696" w:name="_Toc488329934"/>
      <w:bookmarkStart w:id="1697" w:name="_Toc488386788"/>
      <w:bookmarkStart w:id="1698" w:name="_Toc488402247"/>
      <w:bookmarkStart w:id="1699" w:name="_Toc488403070"/>
      <w:bookmarkStart w:id="1700" w:name="_Toc488403899"/>
      <w:bookmarkStart w:id="1701" w:name="_Toc488404730"/>
      <w:bookmarkStart w:id="1702" w:name="_Toc488405553"/>
      <w:bookmarkStart w:id="1703" w:name="_Toc488406382"/>
      <w:bookmarkStart w:id="1704" w:name="_Toc491409613"/>
      <w:bookmarkStart w:id="1705" w:name="_Toc496018151"/>
      <w:bookmarkStart w:id="1706" w:name="_Toc515787349"/>
      <w:bookmarkStart w:id="1707" w:name="_Toc515789049"/>
      <w:bookmarkStart w:id="1708" w:name="_Toc515789898"/>
      <w:bookmarkStart w:id="1709" w:name="_Toc515790747"/>
      <w:bookmarkStart w:id="1710" w:name="_Toc515791602"/>
      <w:bookmarkStart w:id="1711" w:name="_Toc515792452"/>
      <w:bookmarkStart w:id="1712" w:name="_Toc515793295"/>
      <w:bookmarkStart w:id="1713" w:name="_Toc515794200"/>
      <w:bookmarkStart w:id="1714" w:name="_Toc515796016"/>
      <w:bookmarkStart w:id="1715" w:name="_Toc488329935"/>
      <w:bookmarkStart w:id="1716" w:name="_Toc488386789"/>
      <w:bookmarkStart w:id="1717" w:name="_Toc488402248"/>
      <w:bookmarkStart w:id="1718" w:name="_Toc488403071"/>
      <w:bookmarkStart w:id="1719" w:name="_Toc488403900"/>
      <w:bookmarkStart w:id="1720" w:name="_Toc488404731"/>
      <w:bookmarkStart w:id="1721" w:name="_Toc488405554"/>
      <w:bookmarkStart w:id="1722" w:name="_Toc488406383"/>
      <w:bookmarkStart w:id="1723" w:name="_Toc491409614"/>
      <w:bookmarkStart w:id="1724" w:name="_Toc496018152"/>
      <w:bookmarkStart w:id="1725" w:name="_Toc515787350"/>
      <w:bookmarkStart w:id="1726" w:name="_Toc515789050"/>
      <w:bookmarkStart w:id="1727" w:name="_Toc515789899"/>
      <w:bookmarkStart w:id="1728" w:name="_Toc515790748"/>
      <w:bookmarkStart w:id="1729" w:name="_Toc515791603"/>
      <w:bookmarkStart w:id="1730" w:name="_Toc515792453"/>
      <w:bookmarkStart w:id="1731" w:name="_Toc515793296"/>
      <w:bookmarkStart w:id="1732" w:name="_Toc515794201"/>
      <w:bookmarkStart w:id="1733" w:name="_Toc515796017"/>
      <w:bookmarkStart w:id="1734" w:name="_Toc488329936"/>
      <w:bookmarkStart w:id="1735" w:name="_Toc488386790"/>
      <w:bookmarkStart w:id="1736" w:name="_Toc488402249"/>
      <w:bookmarkStart w:id="1737" w:name="_Toc488403072"/>
      <w:bookmarkStart w:id="1738" w:name="_Toc488403901"/>
      <w:bookmarkStart w:id="1739" w:name="_Toc488404732"/>
      <w:bookmarkStart w:id="1740" w:name="_Toc488405555"/>
      <w:bookmarkStart w:id="1741" w:name="_Toc488406384"/>
      <w:bookmarkStart w:id="1742" w:name="_Toc491409615"/>
      <w:bookmarkStart w:id="1743" w:name="_Toc496018153"/>
      <w:bookmarkStart w:id="1744" w:name="_Toc515787351"/>
      <w:bookmarkStart w:id="1745" w:name="_Toc515789051"/>
      <w:bookmarkStart w:id="1746" w:name="_Toc515789900"/>
      <w:bookmarkStart w:id="1747" w:name="_Toc515790749"/>
      <w:bookmarkStart w:id="1748" w:name="_Toc515791604"/>
      <w:bookmarkStart w:id="1749" w:name="_Toc515792454"/>
      <w:bookmarkStart w:id="1750" w:name="_Toc515793297"/>
      <w:bookmarkStart w:id="1751" w:name="_Toc515794202"/>
      <w:bookmarkStart w:id="1752" w:name="_Toc515796018"/>
      <w:bookmarkStart w:id="1753" w:name="_Toc488329937"/>
      <w:bookmarkStart w:id="1754" w:name="_Toc488386791"/>
      <w:bookmarkStart w:id="1755" w:name="_Toc488402250"/>
      <w:bookmarkStart w:id="1756" w:name="_Toc488403073"/>
      <w:bookmarkStart w:id="1757" w:name="_Toc488403902"/>
      <w:bookmarkStart w:id="1758" w:name="_Toc488404733"/>
      <w:bookmarkStart w:id="1759" w:name="_Toc488405556"/>
      <w:bookmarkStart w:id="1760" w:name="_Toc488406385"/>
      <w:bookmarkStart w:id="1761" w:name="_Toc491409616"/>
      <w:bookmarkStart w:id="1762" w:name="_Toc496018154"/>
      <w:bookmarkStart w:id="1763" w:name="_Toc515787352"/>
      <w:bookmarkStart w:id="1764" w:name="_Toc515789052"/>
      <w:bookmarkStart w:id="1765" w:name="_Toc515789901"/>
      <w:bookmarkStart w:id="1766" w:name="_Toc515790750"/>
      <w:bookmarkStart w:id="1767" w:name="_Toc515791605"/>
      <w:bookmarkStart w:id="1768" w:name="_Toc515792455"/>
      <w:bookmarkStart w:id="1769" w:name="_Toc515793298"/>
      <w:bookmarkStart w:id="1770" w:name="_Toc515794203"/>
      <w:bookmarkStart w:id="1771" w:name="_Toc515796019"/>
      <w:bookmarkStart w:id="1772" w:name="_Toc488329938"/>
      <w:bookmarkStart w:id="1773" w:name="_Toc488386792"/>
      <w:bookmarkStart w:id="1774" w:name="_Toc488402251"/>
      <w:bookmarkStart w:id="1775" w:name="_Toc488403074"/>
      <w:bookmarkStart w:id="1776" w:name="_Toc488403903"/>
      <w:bookmarkStart w:id="1777" w:name="_Toc488404734"/>
      <w:bookmarkStart w:id="1778" w:name="_Toc488405557"/>
      <w:bookmarkStart w:id="1779" w:name="_Toc488406386"/>
      <w:bookmarkStart w:id="1780" w:name="_Toc491409617"/>
      <w:bookmarkStart w:id="1781" w:name="_Toc496018155"/>
      <w:bookmarkStart w:id="1782" w:name="_Toc515787353"/>
      <w:bookmarkStart w:id="1783" w:name="_Toc515789053"/>
      <w:bookmarkStart w:id="1784" w:name="_Toc515789902"/>
      <w:bookmarkStart w:id="1785" w:name="_Toc515790751"/>
      <w:bookmarkStart w:id="1786" w:name="_Toc515791606"/>
      <w:bookmarkStart w:id="1787" w:name="_Toc515792456"/>
      <w:bookmarkStart w:id="1788" w:name="_Toc515793299"/>
      <w:bookmarkStart w:id="1789" w:name="_Toc515794204"/>
      <w:bookmarkStart w:id="1790" w:name="_Toc515796020"/>
      <w:bookmarkStart w:id="1791" w:name="_Toc488329939"/>
      <w:bookmarkStart w:id="1792" w:name="_Toc488386793"/>
      <w:bookmarkStart w:id="1793" w:name="_Toc488402252"/>
      <w:bookmarkStart w:id="1794" w:name="_Toc488403075"/>
      <w:bookmarkStart w:id="1795" w:name="_Toc488403904"/>
      <w:bookmarkStart w:id="1796" w:name="_Toc488404735"/>
      <w:bookmarkStart w:id="1797" w:name="_Toc488405558"/>
      <w:bookmarkStart w:id="1798" w:name="_Toc488406387"/>
      <w:bookmarkStart w:id="1799" w:name="_Toc491409618"/>
      <w:bookmarkStart w:id="1800" w:name="_Toc496018156"/>
      <w:bookmarkStart w:id="1801" w:name="_Toc515787354"/>
      <w:bookmarkStart w:id="1802" w:name="_Toc515789054"/>
      <w:bookmarkStart w:id="1803" w:name="_Toc515789903"/>
      <w:bookmarkStart w:id="1804" w:name="_Toc515790752"/>
      <w:bookmarkStart w:id="1805" w:name="_Toc515791607"/>
      <w:bookmarkStart w:id="1806" w:name="_Toc515792457"/>
      <w:bookmarkStart w:id="1807" w:name="_Toc515793300"/>
      <w:bookmarkStart w:id="1808" w:name="_Toc515794205"/>
      <w:bookmarkStart w:id="1809" w:name="_Toc515796021"/>
      <w:bookmarkStart w:id="1810" w:name="_Toc488329940"/>
      <w:bookmarkStart w:id="1811" w:name="_Toc488386794"/>
      <w:bookmarkStart w:id="1812" w:name="_Toc488402253"/>
      <w:bookmarkStart w:id="1813" w:name="_Toc488403076"/>
      <w:bookmarkStart w:id="1814" w:name="_Toc488403905"/>
      <w:bookmarkStart w:id="1815" w:name="_Toc488404736"/>
      <w:bookmarkStart w:id="1816" w:name="_Toc488405559"/>
      <w:bookmarkStart w:id="1817" w:name="_Toc488406388"/>
      <w:bookmarkStart w:id="1818" w:name="_Toc491409619"/>
      <w:bookmarkStart w:id="1819" w:name="_Toc496018157"/>
      <w:bookmarkStart w:id="1820" w:name="_Toc515787355"/>
      <w:bookmarkStart w:id="1821" w:name="_Toc515789055"/>
      <w:bookmarkStart w:id="1822" w:name="_Toc515789904"/>
      <w:bookmarkStart w:id="1823" w:name="_Toc515790753"/>
      <w:bookmarkStart w:id="1824" w:name="_Toc515791608"/>
      <w:bookmarkStart w:id="1825" w:name="_Toc515792458"/>
      <w:bookmarkStart w:id="1826" w:name="_Toc515793301"/>
      <w:bookmarkStart w:id="1827" w:name="_Toc515794206"/>
      <w:bookmarkStart w:id="1828" w:name="_Toc515796022"/>
      <w:bookmarkStart w:id="1829" w:name="_Toc488329941"/>
      <w:bookmarkStart w:id="1830" w:name="_Toc488386795"/>
      <w:bookmarkStart w:id="1831" w:name="_Toc488402254"/>
      <w:bookmarkStart w:id="1832" w:name="_Toc488403077"/>
      <w:bookmarkStart w:id="1833" w:name="_Toc488403906"/>
      <w:bookmarkStart w:id="1834" w:name="_Toc488404737"/>
      <w:bookmarkStart w:id="1835" w:name="_Toc488405560"/>
      <w:bookmarkStart w:id="1836" w:name="_Toc488406389"/>
      <w:bookmarkStart w:id="1837" w:name="_Toc491409620"/>
      <w:bookmarkStart w:id="1838" w:name="_Toc496018158"/>
      <w:bookmarkStart w:id="1839" w:name="_Toc515787356"/>
      <w:bookmarkStart w:id="1840" w:name="_Toc515789056"/>
      <w:bookmarkStart w:id="1841" w:name="_Toc515789905"/>
      <w:bookmarkStart w:id="1842" w:name="_Toc515790754"/>
      <w:bookmarkStart w:id="1843" w:name="_Toc515791609"/>
      <w:bookmarkStart w:id="1844" w:name="_Toc515792459"/>
      <w:bookmarkStart w:id="1845" w:name="_Toc515793302"/>
      <w:bookmarkStart w:id="1846" w:name="_Toc515794207"/>
      <w:bookmarkStart w:id="1847" w:name="_Toc515796023"/>
      <w:bookmarkStart w:id="1848" w:name="_Toc488329942"/>
      <w:bookmarkStart w:id="1849" w:name="_Toc488386796"/>
      <w:bookmarkStart w:id="1850" w:name="_Toc488402255"/>
      <w:bookmarkStart w:id="1851" w:name="_Toc488403078"/>
      <w:bookmarkStart w:id="1852" w:name="_Toc488403907"/>
      <w:bookmarkStart w:id="1853" w:name="_Toc488404738"/>
      <w:bookmarkStart w:id="1854" w:name="_Toc488405561"/>
      <w:bookmarkStart w:id="1855" w:name="_Toc488406390"/>
      <w:bookmarkStart w:id="1856" w:name="_Toc491409621"/>
      <w:bookmarkStart w:id="1857" w:name="_Toc496018159"/>
      <w:bookmarkStart w:id="1858" w:name="_Toc515787357"/>
      <w:bookmarkStart w:id="1859" w:name="_Toc515789057"/>
      <w:bookmarkStart w:id="1860" w:name="_Toc515789906"/>
      <w:bookmarkStart w:id="1861" w:name="_Toc515790755"/>
      <w:bookmarkStart w:id="1862" w:name="_Toc515791610"/>
      <w:bookmarkStart w:id="1863" w:name="_Toc515792460"/>
      <w:bookmarkStart w:id="1864" w:name="_Toc515793303"/>
      <w:bookmarkStart w:id="1865" w:name="_Toc515794208"/>
      <w:bookmarkStart w:id="1866" w:name="_Toc515796024"/>
      <w:bookmarkStart w:id="1867" w:name="_Toc488329943"/>
      <w:bookmarkStart w:id="1868" w:name="_Toc488386797"/>
      <w:bookmarkStart w:id="1869" w:name="_Toc488402256"/>
      <w:bookmarkStart w:id="1870" w:name="_Toc488403079"/>
      <w:bookmarkStart w:id="1871" w:name="_Toc488403908"/>
      <w:bookmarkStart w:id="1872" w:name="_Toc488404739"/>
      <w:bookmarkStart w:id="1873" w:name="_Toc488405562"/>
      <w:bookmarkStart w:id="1874" w:name="_Toc488406391"/>
      <w:bookmarkStart w:id="1875" w:name="_Toc491409622"/>
      <w:bookmarkStart w:id="1876" w:name="_Toc496018160"/>
      <w:bookmarkStart w:id="1877" w:name="_Toc515787358"/>
      <w:bookmarkStart w:id="1878" w:name="_Toc515789058"/>
      <w:bookmarkStart w:id="1879" w:name="_Toc515789907"/>
      <w:bookmarkStart w:id="1880" w:name="_Toc515790756"/>
      <w:bookmarkStart w:id="1881" w:name="_Toc515791611"/>
      <w:bookmarkStart w:id="1882" w:name="_Toc515792461"/>
      <w:bookmarkStart w:id="1883" w:name="_Toc515793304"/>
      <w:bookmarkStart w:id="1884" w:name="_Toc515794209"/>
      <w:bookmarkStart w:id="1885" w:name="_Toc515796025"/>
      <w:bookmarkStart w:id="1886" w:name="_Toc488329944"/>
      <w:bookmarkStart w:id="1887" w:name="_Toc488386798"/>
      <w:bookmarkStart w:id="1888" w:name="_Toc488402257"/>
      <w:bookmarkStart w:id="1889" w:name="_Toc488403080"/>
      <w:bookmarkStart w:id="1890" w:name="_Toc488403909"/>
      <w:bookmarkStart w:id="1891" w:name="_Toc488404740"/>
      <w:bookmarkStart w:id="1892" w:name="_Toc488405563"/>
      <w:bookmarkStart w:id="1893" w:name="_Toc488406392"/>
      <w:bookmarkStart w:id="1894" w:name="_Toc491409623"/>
      <w:bookmarkStart w:id="1895" w:name="_Toc496018161"/>
      <w:bookmarkStart w:id="1896" w:name="_Toc515787359"/>
      <w:bookmarkStart w:id="1897" w:name="_Toc515789059"/>
      <w:bookmarkStart w:id="1898" w:name="_Toc515789908"/>
      <w:bookmarkStart w:id="1899" w:name="_Toc515790757"/>
      <w:bookmarkStart w:id="1900" w:name="_Toc515791612"/>
      <w:bookmarkStart w:id="1901" w:name="_Toc515792462"/>
      <w:bookmarkStart w:id="1902" w:name="_Toc515793305"/>
      <w:bookmarkStart w:id="1903" w:name="_Toc515794210"/>
      <w:bookmarkStart w:id="1904" w:name="_Toc515796026"/>
      <w:bookmarkStart w:id="1905" w:name="_Toc437935974"/>
      <w:bookmarkStart w:id="1906" w:name="_Ref487878064"/>
      <w:bookmarkStart w:id="1907" w:name="_Toc23087955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r w:rsidRPr="004068F6">
        <w:rPr>
          <w:lang w:val="es-CO"/>
        </w:rPr>
        <w:t>LINEAMIENTOS PARA LA ELABORACIÓN DE LOS ESTUDIOS AMBIENTALES</w:t>
      </w:r>
      <w:bookmarkEnd w:id="1905"/>
      <w:bookmarkEnd w:id="1906"/>
      <w:bookmarkEnd w:id="1907"/>
    </w:p>
    <w:p w14:paraId="0A436AFD" w14:textId="7C1D956B" w:rsidR="003E5023" w:rsidRPr="004068F6" w:rsidRDefault="003E5023">
      <w:pPr>
        <w:numPr>
          <w:ilvl w:val="12"/>
          <w:numId w:val="0"/>
        </w:numPr>
        <w:tabs>
          <w:tab w:val="left" w:pos="-2268"/>
        </w:tabs>
        <w:suppressAutoHyphens/>
        <w:rPr>
          <w:spacing w:val="-3"/>
        </w:rPr>
      </w:pPr>
    </w:p>
    <w:p w14:paraId="4C1DF0CC" w14:textId="3DAC57DA" w:rsidR="008B5340" w:rsidRDefault="00D277E7" w:rsidP="00D277E7">
      <w:pPr>
        <w:numPr>
          <w:ilvl w:val="12"/>
          <w:numId w:val="0"/>
        </w:numPr>
        <w:tabs>
          <w:tab w:val="left" w:pos="-2268"/>
        </w:tabs>
        <w:suppressAutoHyphens/>
        <w:rPr>
          <w:spacing w:val="-3"/>
        </w:rPr>
      </w:pPr>
      <w:bookmarkStart w:id="1908" w:name="_Toc488329963"/>
      <w:bookmarkStart w:id="1909" w:name="_Toc488386817"/>
      <w:bookmarkStart w:id="1910" w:name="_Toc488402276"/>
      <w:bookmarkStart w:id="1911" w:name="_Toc488403099"/>
      <w:bookmarkStart w:id="1912" w:name="_Toc488403928"/>
      <w:bookmarkStart w:id="1913" w:name="_Toc488404759"/>
      <w:bookmarkStart w:id="1914" w:name="_Toc488405582"/>
      <w:bookmarkStart w:id="1915" w:name="_Toc488406411"/>
      <w:bookmarkStart w:id="1916" w:name="_Toc491409642"/>
      <w:bookmarkStart w:id="1917" w:name="_Toc496018180"/>
      <w:bookmarkStart w:id="1918" w:name="_Toc515787378"/>
      <w:bookmarkStart w:id="1919" w:name="_Toc515789078"/>
      <w:bookmarkStart w:id="1920" w:name="_Toc515789927"/>
      <w:bookmarkStart w:id="1921" w:name="_Toc515790776"/>
      <w:bookmarkStart w:id="1922" w:name="_Toc515791631"/>
      <w:bookmarkStart w:id="1923" w:name="_Toc515792481"/>
      <w:bookmarkStart w:id="1924" w:name="_Toc515793329"/>
      <w:bookmarkStart w:id="1925" w:name="_Toc515794234"/>
      <w:bookmarkStart w:id="1926" w:name="_Toc515796045"/>
      <w:bookmarkStart w:id="1927" w:name="_Toc437935975"/>
      <w:bookmarkStart w:id="1928" w:name="_Ref26471312"/>
      <w:bookmarkStart w:id="1929" w:name="_Ref26471314"/>
      <w:bookmarkStart w:id="1930" w:name="_Ref26471315"/>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r w:rsidRPr="004068F6">
        <w:rPr>
          <w:spacing w:val="-3"/>
        </w:rPr>
        <w:t xml:space="preserve">Los estudios ambientales como instrumentos para la toma de decisiones respecto de proyectos que tienen la </w:t>
      </w:r>
      <w:r w:rsidR="00AF5157" w:rsidRPr="004068F6">
        <w:rPr>
          <w:spacing w:val="-3"/>
        </w:rPr>
        <w:t xml:space="preserve">potencialidad </w:t>
      </w:r>
      <w:r w:rsidRPr="004068F6">
        <w:rPr>
          <w:spacing w:val="-3"/>
        </w:rPr>
        <w:t>de generar impactos ambientales</w:t>
      </w:r>
      <w:r w:rsidR="00A41D81" w:rsidRPr="004068F6">
        <w:rPr>
          <w:spacing w:val="-3"/>
        </w:rPr>
        <w:t xml:space="preserve"> negativos</w:t>
      </w:r>
      <w:r w:rsidRPr="004068F6">
        <w:rPr>
          <w:spacing w:val="-3"/>
        </w:rPr>
        <w:t xml:space="preserve"> significativos y </w:t>
      </w:r>
      <w:r w:rsidR="00B8394B" w:rsidRPr="004068F6">
        <w:rPr>
          <w:spacing w:val="-3"/>
        </w:rPr>
        <w:t xml:space="preserve">producir deterioro grave al ambiente, a los recursos naturales renovables </w:t>
      </w:r>
      <w:r w:rsidR="00EF544E">
        <w:rPr>
          <w:spacing w:val="-3"/>
        </w:rPr>
        <w:t>y</w:t>
      </w:r>
      <w:r w:rsidR="00B8394B" w:rsidRPr="004068F6">
        <w:rPr>
          <w:spacing w:val="-3"/>
        </w:rPr>
        <w:t xml:space="preserve"> al paisaje</w:t>
      </w:r>
      <w:r w:rsidRPr="004068F6">
        <w:rPr>
          <w:spacing w:val="-3"/>
        </w:rPr>
        <w:t>, deben cumplir con una serie de características que les confieran la capacidad de brindar, de la mejor forma posible, la información que le permite a las autoridades ambientales adoptar dichas decisiones.</w:t>
      </w:r>
    </w:p>
    <w:p w14:paraId="6AB2FA7C" w14:textId="68F48D29" w:rsidR="005C5E52" w:rsidRDefault="005C5E52" w:rsidP="00D277E7">
      <w:pPr>
        <w:numPr>
          <w:ilvl w:val="12"/>
          <w:numId w:val="0"/>
        </w:numPr>
        <w:tabs>
          <w:tab w:val="left" w:pos="-2268"/>
        </w:tabs>
        <w:suppressAutoHyphens/>
        <w:rPr>
          <w:rFonts w:cs="Arial"/>
          <w:spacing w:val="-3"/>
        </w:rPr>
      </w:pPr>
    </w:p>
    <w:p w14:paraId="6ACC7D9E" w14:textId="034EB4B2" w:rsidR="005C5E52" w:rsidRPr="004068F6" w:rsidRDefault="007E7B56" w:rsidP="005C5E52">
      <w:pPr>
        <w:numPr>
          <w:ilvl w:val="12"/>
          <w:numId w:val="0"/>
        </w:numPr>
        <w:tabs>
          <w:tab w:val="left" w:pos="-2268"/>
        </w:tabs>
        <w:suppressAutoHyphens/>
        <w:rPr>
          <w:spacing w:val="-3"/>
        </w:rPr>
      </w:pPr>
      <w:r>
        <w:rPr>
          <w:spacing w:val="-3"/>
        </w:rPr>
        <w:t xml:space="preserve">Estas </w:t>
      </w:r>
      <w:r w:rsidR="005C5E52" w:rsidRPr="004068F6">
        <w:rPr>
          <w:spacing w:val="-3"/>
        </w:rPr>
        <w:t xml:space="preserve">características básicas </w:t>
      </w:r>
      <w:r>
        <w:rPr>
          <w:spacing w:val="-3"/>
        </w:rPr>
        <w:t xml:space="preserve">están </w:t>
      </w:r>
      <w:r w:rsidR="005C5E52" w:rsidRPr="004068F6">
        <w:rPr>
          <w:spacing w:val="-3"/>
        </w:rPr>
        <w:t>referidas a la calidad de la información</w:t>
      </w:r>
      <w:r>
        <w:rPr>
          <w:spacing w:val="-3"/>
        </w:rPr>
        <w:t xml:space="preserve"> que contienen</w:t>
      </w:r>
      <w:r w:rsidR="005C5E52">
        <w:rPr>
          <w:spacing w:val="-3"/>
        </w:rPr>
        <w:t xml:space="preserve">, </w:t>
      </w:r>
      <w:r w:rsidR="005C5E52" w:rsidRPr="004068F6">
        <w:rPr>
          <w:spacing w:val="-3"/>
        </w:rPr>
        <w:t>a</w:t>
      </w:r>
      <w:r w:rsidR="0050395F">
        <w:rPr>
          <w:spacing w:val="-3"/>
        </w:rPr>
        <w:t xml:space="preserve"> </w:t>
      </w:r>
      <w:r w:rsidR="005C5E52" w:rsidRPr="004068F6">
        <w:rPr>
          <w:spacing w:val="-3"/>
        </w:rPr>
        <w:t>l</w:t>
      </w:r>
      <w:r w:rsidR="0050395F">
        <w:rPr>
          <w:spacing w:val="-3"/>
        </w:rPr>
        <w:t>a</w:t>
      </w:r>
      <w:r w:rsidR="005C5E52" w:rsidRPr="004068F6">
        <w:rPr>
          <w:spacing w:val="-3"/>
        </w:rPr>
        <w:t xml:space="preserve"> </w:t>
      </w:r>
      <w:r w:rsidR="0050395F">
        <w:rPr>
          <w:spacing w:val="-3"/>
        </w:rPr>
        <w:t xml:space="preserve">forma en que </w:t>
      </w:r>
      <w:r w:rsidR="005C5E52" w:rsidRPr="004068F6">
        <w:rPr>
          <w:spacing w:val="-3"/>
        </w:rPr>
        <w:t>us</w:t>
      </w:r>
      <w:r w:rsidR="0050395F">
        <w:rPr>
          <w:spacing w:val="-3"/>
        </w:rPr>
        <w:t xml:space="preserve">an </w:t>
      </w:r>
      <w:r w:rsidR="005C5E52" w:rsidRPr="004068F6">
        <w:rPr>
          <w:spacing w:val="-3"/>
        </w:rPr>
        <w:t xml:space="preserve">los conceptos y el lenguaje </w:t>
      </w:r>
      <w:r w:rsidR="005C5E52">
        <w:rPr>
          <w:spacing w:val="-3"/>
        </w:rPr>
        <w:t xml:space="preserve">(éstos </w:t>
      </w:r>
      <w:r w:rsidR="005C5E52" w:rsidRPr="004068F6">
        <w:rPr>
          <w:spacing w:val="-3"/>
        </w:rPr>
        <w:t>deben ser claros, precisos y homogéneos</w:t>
      </w:r>
      <w:r w:rsidR="005C5E52">
        <w:rPr>
          <w:spacing w:val="-3"/>
        </w:rPr>
        <w:t xml:space="preserve">), a la aplicación </w:t>
      </w:r>
      <w:r w:rsidR="0050395F">
        <w:rPr>
          <w:spacing w:val="-3"/>
        </w:rPr>
        <w:t xml:space="preserve">consistente </w:t>
      </w:r>
      <w:r w:rsidR="005C5E52">
        <w:rPr>
          <w:spacing w:val="-3"/>
        </w:rPr>
        <w:t>de la jerarquía de las medidas de manejo, a</w:t>
      </w:r>
      <w:r w:rsidR="009A776A">
        <w:rPr>
          <w:spacing w:val="-3"/>
        </w:rPr>
        <w:t>l</w:t>
      </w:r>
      <w:r w:rsidR="005C5E52">
        <w:rPr>
          <w:spacing w:val="-3"/>
        </w:rPr>
        <w:t xml:space="preserve"> </w:t>
      </w:r>
      <w:r w:rsidR="009A776A">
        <w:rPr>
          <w:spacing w:val="-3"/>
        </w:rPr>
        <w:t xml:space="preserve">uso congruente </w:t>
      </w:r>
      <w:r w:rsidR="005C5E52">
        <w:rPr>
          <w:spacing w:val="-3"/>
        </w:rPr>
        <w:t xml:space="preserve">de las orientaciones de la MGEPEA frente </w:t>
      </w:r>
      <w:r w:rsidR="00434395">
        <w:rPr>
          <w:spacing w:val="-3"/>
        </w:rPr>
        <w:t xml:space="preserve">las de </w:t>
      </w:r>
      <w:r w:rsidR="005C5E52">
        <w:rPr>
          <w:spacing w:val="-3"/>
        </w:rPr>
        <w:t>otros instrumentos, a la implementación del enfoque en derechos humanos y</w:t>
      </w:r>
      <w:r w:rsidR="00A31D9B">
        <w:rPr>
          <w:spacing w:val="-3"/>
        </w:rPr>
        <w:t>,</w:t>
      </w:r>
      <w:r w:rsidR="005C5E52">
        <w:rPr>
          <w:spacing w:val="-3"/>
        </w:rPr>
        <w:t xml:space="preserve"> a su integralidad como estudios ambientales</w:t>
      </w:r>
      <w:r w:rsidR="00542767">
        <w:rPr>
          <w:spacing w:val="-3"/>
        </w:rPr>
        <w:t>. Estas características se detallan a continuación</w:t>
      </w:r>
      <w:r w:rsidR="005C5E52">
        <w:rPr>
          <w:spacing w:val="-3"/>
        </w:rPr>
        <w:t>.</w:t>
      </w:r>
    </w:p>
    <w:p w14:paraId="312F5F54" w14:textId="77777777" w:rsidR="00D277E7" w:rsidRPr="004068F6" w:rsidRDefault="00D277E7" w:rsidP="00D277E7">
      <w:pPr>
        <w:numPr>
          <w:ilvl w:val="12"/>
          <w:numId w:val="0"/>
        </w:numPr>
        <w:tabs>
          <w:tab w:val="left" w:pos="-2268"/>
        </w:tabs>
        <w:suppressAutoHyphens/>
        <w:rPr>
          <w:spacing w:val="-3"/>
        </w:rPr>
      </w:pPr>
    </w:p>
    <w:p w14:paraId="0168E413" w14:textId="77777777" w:rsidR="00D277E7" w:rsidRPr="004068F6" w:rsidRDefault="00D277E7" w:rsidP="006052B3">
      <w:pPr>
        <w:numPr>
          <w:ilvl w:val="0"/>
          <w:numId w:val="41"/>
        </w:numPr>
        <w:tabs>
          <w:tab w:val="left" w:pos="-2268"/>
        </w:tabs>
        <w:suppressAutoHyphens/>
        <w:ind w:left="567" w:hanging="567"/>
        <w:rPr>
          <w:b/>
          <w:i/>
          <w:spacing w:val="-3"/>
          <w:u w:val="single"/>
        </w:rPr>
      </w:pPr>
      <w:r w:rsidRPr="004068F6">
        <w:rPr>
          <w:b/>
          <w:i/>
          <w:spacing w:val="-3"/>
          <w:u w:val="single"/>
        </w:rPr>
        <w:t>Sobre la información</w:t>
      </w:r>
    </w:p>
    <w:p w14:paraId="3002561D" w14:textId="77777777" w:rsidR="00D277E7" w:rsidRPr="004068F6" w:rsidRDefault="00D277E7" w:rsidP="00D277E7">
      <w:pPr>
        <w:numPr>
          <w:ilvl w:val="12"/>
          <w:numId w:val="0"/>
        </w:numPr>
        <w:tabs>
          <w:tab w:val="left" w:pos="-2268"/>
        </w:tabs>
        <w:suppressAutoHyphens/>
        <w:rPr>
          <w:spacing w:val="-3"/>
        </w:rPr>
      </w:pPr>
    </w:p>
    <w:p w14:paraId="64AE6CA1" w14:textId="346FBA00" w:rsidR="00D277E7" w:rsidRPr="004068F6" w:rsidRDefault="00D277E7" w:rsidP="4A0B09C6">
      <w:pPr>
        <w:suppressAutoHyphens/>
        <w:rPr>
          <w:spacing w:val="-3"/>
        </w:rPr>
      </w:pPr>
      <w:r w:rsidRPr="004068F6">
        <w:rPr>
          <w:spacing w:val="-3"/>
        </w:rPr>
        <w:t xml:space="preserve">La información constituye uno de los elementos </w:t>
      </w:r>
      <w:r w:rsidR="00645126" w:rsidRPr="004068F6">
        <w:t xml:space="preserve">clave </w:t>
      </w:r>
      <w:r w:rsidRPr="004068F6">
        <w:rPr>
          <w:spacing w:val="-3"/>
        </w:rPr>
        <w:t xml:space="preserve">del proceso de licenciamiento ambiental, pues está presente en todas sus etapas y posibilita la toma de decisiones </w:t>
      </w:r>
      <w:r w:rsidRPr="004068F6">
        <w:rPr>
          <w:rFonts w:cs="Arial"/>
          <w:spacing w:val="-3"/>
        </w:rPr>
        <w:t xml:space="preserve">informadas </w:t>
      </w:r>
      <w:r w:rsidRPr="004068F6">
        <w:rPr>
          <w:spacing w:val="-3"/>
        </w:rPr>
        <w:t>en diferentes ámbitos. Gracias a ella, es posible conocer las características del ambiente, así como las de las alternativas y los proyectos que se formulen</w:t>
      </w:r>
      <w:r w:rsidR="001D7FB0" w:rsidRPr="004068F6">
        <w:rPr>
          <w:spacing w:val="-3"/>
        </w:rPr>
        <w:t>;</w:t>
      </w:r>
      <w:r w:rsidRPr="004068F6">
        <w:rPr>
          <w:spacing w:val="-3"/>
        </w:rPr>
        <w:t xml:space="preserve"> también permite predecir la forma </w:t>
      </w:r>
      <w:r w:rsidR="001D7FB0" w:rsidRPr="004068F6">
        <w:rPr>
          <w:spacing w:val="-3"/>
        </w:rPr>
        <w:t xml:space="preserve">en que </w:t>
      </w:r>
      <w:r w:rsidRPr="004068F6">
        <w:rPr>
          <w:spacing w:val="-3"/>
        </w:rPr>
        <w:t xml:space="preserve">las alternativas y los proyectos afectarán al ambiente y formular las </w:t>
      </w:r>
      <w:r w:rsidR="001D7FB0" w:rsidRPr="004068F6">
        <w:rPr>
          <w:spacing w:val="-3"/>
        </w:rPr>
        <w:t xml:space="preserve">medidas </w:t>
      </w:r>
      <w:r w:rsidRPr="004068F6">
        <w:rPr>
          <w:spacing w:val="-3"/>
        </w:rPr>
        <w:t xml:space="preserve">más eficaces para el </w:t>
      </w:r>
      <w:r w:rsidR="009D3C22" w:rsidRPr="004068F6">
        <w:rPr>
          <w:rFonts w:cs="Arial"/>
          <w:spacing w:val="-3"/>
        </w:rPr>
        <w:t xml:space="preserve">manejo </w:t>
      </w:r>
      <w:r w:rsidRPr="004068F6">
        <w:rPr>
          <w:rFonts w:cs="Arial"/>
          <w:spacing w:val="-3"/>
        </w:rPr>
        <w:t>(prevención, mitigación, corrección y compensación)</w:t>
      </w:r>
      <w:r w:rsidRPr="004068F6">
        <w:rPr>
          <w:spacing w:val="-3"/>
        </w:rPr>
        <w:t xml:space="preserve"> de impactos ambientales; adicionalmente, hace posible que las autoridades ambientales evalúen los estudios ambientales y que, en caso de </w:t>
      </w:r>
      <w:r w:rsidRPr="004068F6">
        <w:rPr>
          <w:rFonts w:cs="Arial"/>
          <w:spacing w:val="-3"/>
        </w:rPr>
        <w:t>autorizar el desarrollo de un proyecto, obra o actividad</w:t>
      </w:r>
      <w:r w:rsidRPr="004068F6">
        <w:rPr>
          <w:spacing w:val="-3"/>
        </w:rPr>
        <w:t>, realicen el respectivo control y seguimiento ambiental.</w:t>
      </w:r>
    </w:p>
    <w:p w14:paraId="128A3685" w14:textId="77777777" w:rsidR="00D277E7" w:rsidRPr="004068F6" w:rsidRDefault="00D277E7" w:rsidP="00D277E7">
      <w:pPr>
        <w:numPr>
          <w:ilvl w:val="12"/>
          <w:numId w:val="0"/>
        </w:numPr>
        <w:tabs>
          <w:tab w:val="left" w:pos="-2268"/>
        </w:tabs>
        <w:suppressAutoHyphens/>
        <w:rPr>
          <w:spacing w:val="-3"/>
        </w:rPr>
      </w:pPr>
    </w:p>
    <w:p w14:paraId="5B5A35E6" w14:textId="443E729B" w:rsidR="00D277E7" w:rsidRPr="004068F6" w:rsidRDefault="00D277E7" w:rsidP="4A0B09C6">
      <w:pPr>
        <w:suppressAutoHyphens/>
      </w:pPr>
      <w:r w:rsidRPr="004068F6">
        <w:rPr>
          <w:spacing w:val="-3"/>
        </w:rPr>
        <w:t xml:space="preserve">En la medida en que la información que se incorpora en los estudios ambientales presente la mejor calidad posible se tiende a optimizar los resultados de las decisiones que con base en ella se adopten, no solo para los </w:t>
      </w:r>
      <w:r w:rsidR="001D7FB0" w:rsidRPr="004068F6">
        <w:rPr>
          <w:spacing w:val="-3"/>
        </w:rPr>
        <w:t xml:space="preserve">grupos de </w:t>
      </w:r>
      <w:r w:rsidR="007C2478" w:rsidRPr="004068F6">
        <w:rPr>
          <w:spacing w:val="-3"/>
        </w:rPr>
        <w:t>valor</w:t>
      </w:r>
      <w:r w:rsidR="001D7FB0" w:rsidRPr="004068F6">
        <w:rPr>
          <w:spacing w:val="-3"/>
        </w:rPr>
        <w:t xml:space="preserve"> </w:t>
      </w:r>
      <w:r w:rsidRPr="004068F6">
        <w:rPr>
          <w:spacing w:val="-3"/>
        </w:rPr>
        <w:t>directamente relacionados con el proceso de licenciamiento específico que se está adelantando, sino para el conjunto de la sociedad.</w:t>
      </w:r>
    </w:p>
    <w:p w14:paraId="2ED2B17E" w14:textId="77777777" w:rsidR="00D277E7" w:rsidRPr="004068F6" w:rsidRDefault="00D277E7" w:rsidP="00D277E7">
      <w:pPr>
        <w:numPr>
          <w:ilvl w:val="12"/>
          <w:numId w:val="0"/>
        </w:numPr>
        <w:tabs>
          <w:tab w:val="left" w:pos="-2268"/>
        </w:tabs>
        <w:suppressAutoHyphens/>
        <w:rPr>
          <w:spacing w:val="-3"/>
        </w:rPr>
      </w:pPr>
    </w:p>
    <w:p w14:paraId="63EFE8B1" w14:textId="77777777" w:rsidR="00D277E7" w:rsidRPr="004068F6" w:rsidRDefault="00D277E7" w:rsidP="00D277E7">
      <w:pPr>
        <w:numPr>
          <w:ilvl w:val="12"/>
          <w:numId w:val="0"/>
        </w:numPr>
        <w:tabs>
          <w:tab w:val="left" w:pos="-2268"/>
        </w:tabs>
        <w:suppressAutoHyphens/>
        <w:rPr>
          <w:spacing w:val="-3"/>
        </w:rPr>
      </w:pPr>
      <w:r w:rsidRPr="004068F6">
        <w:rPr>
          <w:spacing w:val="-3"/>
        </w:rPr>
        <w:lastRenderedPageBreak/>
        <w:t>La calidad de la información es función de múltiples atributos, siendo los más relevantes en el ámbito de los estudios ambientales los siguientes:</w:t>
      </w:r>
    </w:p>
    <w:p w14:paraId="05BEB7CE" w14:textId="77777777" w:rsidR="00D277E7" w:rsidRPr="004068F6" w:rsidRDefault="00D277E7" w:rsidP="00D277E7">
      <w:pPr>
        <w:numPr>
          <w:ilvl w:val="12"/>
          <w:numId w:val="0"/>
        </w:numPr>
        <w:tabs>
          <w:tab w:val="left" w:pos="-2268"/>
        </w:tabs>
        <w:suppressAutoHyphens/>
        <w:rPr>
          <w:spacing w:val="-3"/>
        </w:rPr>
      </w:pPr>
    </w:p>
    <w:p w14:paraId="009E03BA" w14:textId="2ABF83FE" w:rsidR="00D277E7" w:rsidRPr="004068F6" w:rsidRDefault="00D277E7" w:rsidP="00D277E7">
      <w:pPr>
        <w:numPr>
          <w:ilvl w:val="0"/>
          <w:numId w:val="39"/>
        </w:numPr>
        <w:tabs>
          <w:tab w:val="left" w:pos="-2268"/>
        </w:tabs>
        <w:suppressAutoHyphens/>
        <w:ind w:left="567" w:hanging="567"/>
        <w:rPr>
          <w:spacing w:val="-3"/>
        </w:rPr>
      </w:pPr>
      <w:r w:rsidRPr="004068F6">
        <w:rPr>
          <w:b/>
          <w:spacing w:val="-3"/>
        </w:rPr>
        <w:t>Pertinencia y relevancia</w:t>
      </w:r>
      <w:r w:rsidRPr="004068F6">
        <w:rPr>
          <w:spacing w:val="-3"/>
        </w:rPr>
        <w:t xml:space="preserve">: grado con el que la información es útil para describir y conocer las condiciones ambientales y las características de los proyectos o sus alternativas, </w:t>
      </w:r>
      <w:r w:rsidR="002A7B84" w:rsidRPr="004068F6">
        <w:rPr>
          <w:spacing w:val="-3"/>
        </w:rPr>
        <w:t xml:space="preserve">determinar </w:t>
      </w:r>
      <w:r w:rsidRPr="004068F6">
        <w:rPr>
          <w:spacing w:val="-3"/>
        </w:rPr>
        <w:t xml:space="preserve">y valorar los impactos ambientales y el uso de </w:t>
      </w:r>
      <w:r w:rsidR="00645126" w:rsidRPr="004068F6">
        <w:rPr>
          <w:spacing w:val="-3"/>
        </w:rPr>
        <w:t>recursos naturales renovables</w:t>
      </w:r>
      <w:r w:rsidRPr="004068F6">
        <w:rPr>
          <w:spacing w:val="-3"/>
        </w:rPr>
        <w:t>, establecer zonas homogéneas y definir planes y programas de manejo ambiental.</w:t>
      </w:r>
    </w:p>
    <w:p w14:paraId="4901984A" w14:textId="77777777" w:rsidR="00D277E7" w:rsidRPr="004068F6" w:rsidRDefault="00D277E7" w:rsidP="00D277E7">
      <w:pPr>
        <w:tabs>
          <w:tab w:val="left" w:pos="-2268"/>
        </w:tabs>
        <w:suppressAutoHyphens/>
        <w:rPr>
          <w:spacing w:val="-3"/>
        </w:rPr>
      </w:pPr>
    </w:p>
    <w:p w14:paraId="5D3C1EAE" w14:textId="77777777" w:rsidR="00D277E7" w:rsidRPr="004068F6" w:rsidRDefault="00D277E7" w:rsidP="00D277E7">
      <w:pPr>
        <w:numPr>
          <w:ilvl w:val="0"/>
          <w:numId w:val="39"/>
        </w:numPr>
        <w:tabs>
          <w:tab w:val="left" w:pos="-2268"/>
        </w:tabs>
        <w:suppressAutoHyphens/>
        <w:ind w:left="567" w:hanging="567"/>
        <w:rPr>
          <w:spacing w:val="-3"/>
        </w:rPr>
      </w:pPr>
      <w:r w:rsidRPr="004068F6">
        <w:rPr>
          <w:b/>
          <w:spacing w:val="-3"/>
        </w:rPr>
        <w:t>Precisión</w:t>
      </w:r>
      <w:r w:rsidRPr="004068F6">
        <w:rPr>
          <w:spacing w:val="-3"/>
        </w:rPr>
        <w:t>: grado con el que la información estima o describe de forma correcta las cantidades, características o fenómenos objeto de medición.</w:t>
      </w:r>
    </w:p>
    <w:p w14:paraId="6671EFAC" w14:textId="77777777" w:rsidR="00D277E7" w:rsidRPr="004068F6" w:rsidRDefault="00D277E7" w:rsidP="00D277E7">
      <w:pPr>
        <w:tabs>
          <w:tab w:val="left" w:pos="-2268"/>
        </w:tabs>
        <w:suppressAutoHyphens/>
        <w:rPr>
          <w:spacing w:val="-3"/>
        </w:rPr>
      </w:pPr>
    </w:p>
    <w:p w14:paraId="3C0479FE" w14:textId="77777777" w:rsidR="00D277E7" w:rsidRPr="004068F6" w:rsidRDefault="00D277E7" w:rsidP="00D277E7">
      <w:pPr>
        <w:numPr>
          <w:ilvl w:val="0"/>
          <w:numId w:val="39"/>
        </w:numPr>
        <w:tabs>
          <w:tab w:val="left" w:pos="-2268"/>
        </w:tabs>
        <w:suppressAutoHyphens/>
        <w:ind w:left="567" w:hanging="567"/>
        <w:rPr>
          <w:spacing w:val="-3"/>
        </w:rPr>
      </w:pPr>
      <w:r w:rsidRPr="004068F6">
        <w:rPr>
          <w:b/>
          <w:spacing w:val="-3"/>
        </w:rPr>
        <w:t>Oportunidad:</w:t>
      </w:r>
      <w:r w:rsidRPr="004068F6">
        <w:rPr>
          <w:spacing w:val="-3"/>
        </w:rPr>
        <w:t xml:space="preserve"> referida al periodo de tiempo que transcurre entre la ocurrencia del fenómeno y el momento en el que está disponible la información que lo evidencia.</w:t>
      </w:r>
    </w:p>
    <w:p w14:paraId="12C8DD51" w14:textId="77777777" w:rsidR="00D277E7" w:rsidRPr="004068F6" w:rsidRDefault="00D277E7" w:rsidP="00D277E7">
      <w:pPr>
        <w:tabs>
          <w:tab w:val="left" w:pos="-2268"/>
        </w:tabs>
        <w:suppressAutoHyphens/>
        <w:rPr>
          <w:spacing w:val="-3"/>
        </w:rPr>
      </w:pPr>
    </w:p>
    <w:p w14:paraId="3EDF3050" w14:textId="10377F64" w:rsidR="00D277E7" w:rsidRPr="004068F6" w:rsidRDefault="00D277E7" w:rsidP="00D277E7">
      <w:pPr>
        <w:numPr>
          <w:ilvl w:val="0"/>
          <w:numId w:val="39"/>
        </w:numPr>
        <w:tabs>
          <w:tab w:val="left" w:pos="-2268"/>
        </w:tabs>
        <w:suppressAutoHyphens/>
        <w:ind w:left="567" w:hanging="567"/>
        <w:rPr>
          <w:spacing w:val="-3"/>
        </w:rPr>
      </w:pPr>
      <w:r w:rsidRPr="004068F6">
        <w:rPr>
          <w:b/>
          <w:spacing w:val="-3"/>
        </w:rPr>
        <w:t>Interpretabilidad</w:t>
      </w:r>
      <w:r w:rsidRPr="004068F6">
        <w:rPr>
          <w:spacing w:val="-3"/>
        </w:rPr>
        <w:t>: corresponde a la facilidad con la que se puede entender, utilizar y analizar la información. Los cuadros, tablas, gráficos, figuras, ilustraciones, esquemas y mapas, entre otros medios, así como sus respectivas características (</w:t>
      </w:r>
      <w:r w:rsidR="00041844" w:rsidRPr="004068F6">
        <w:rPr>
          <w:spacing w:val="-3"/>
        </w:rPr>
        <w:t>p. ej.</w:t>
      </w:r>
      <w:r w:rsidRPr="004068F6">
        <w:rPr>
          <w:spacing w:val="-3"/>
        </w:rPr>
        <w:t xml:space="preserve"> </w:t>
      </w:r>
      <w:r w:rsidR="00732038" w:rsidRPr="004068F6">
        <w:rPr>
          <w:spacing w:val="-3"/>
        </w:rPr>
        <w:t>t</w:t>
      </w:r>
      <w:r w:rsidRPr="004068F6">
        <w:rPr>
          <w:spacing w:val="-3"/>
        </w:rPr>
        <w:t>amaño, distribución de elementos, colores, escala), constituyen recursos para representar la información de tal forma que permita su adecuada lectura y fácil comprensión.</w:t>
      </w:r>
    </w:p>
    <w:p w14:paraId="134D3645" w14:textId="77777777" w:rsidR="00D277E7" w:rsidRPr="004068F6" w:rsidRDefault="00D277E7" w:rsidP="00D277E7">
      <w:pPr>
        <w:tabs>
          <w:tab w:val="left" w:pos="-2268"/>
        </w:tabs>
        <w:suppressAutoHyphens/>
        <w:rPr>
          <w:spacing w:val="-3"/>
        </w:rPr>
      </w:pPr>
    </w:p>
    <w:p w14:paraId="1427BA4E" w14:textId="77777777" w:rsidR="00D277E7" w:rsidRPr="004068F6" w:rsidRDefault="00D277E7" w:rsidP="00D277E7">
      <w:pPr>
        <w:numPr>
          <w:ilvl w:val="0"/>
          <w:numId w:val="39"/>
        </w:numPr>
        <w:tabs>
          <w:tab w:val="left" w:pos="-2268"/>
        </w:tabs>
        <w:suppressAutoHyphens/>
        <w:ind w:left="567" w:hanging="567"/>
        <w:rPr>
          <w:spacing w:val="-3"/>
        </w:rPr>
      </w:pPr>
      <w:r w:rsidRPr="004068F6">
        <w:rPr>
          <w:b/>
          <w:spacing w:val="-3"/>
        </w:rPr>
        <w:t>Coherencia</w:t>
      </w:r>
      <w:r w:rsidRPr="004068F6">
        <w:rPr>
          <w:spacing w:val="-3"/>
        </w:rPr>
        <w:t xml:space="preserve">: referida a la </w:t>
      </w:r>
      <w:r w:rsidRPr="004068F6">
        <w:rPr>
          <w:rFonts w:cs="Arial"/>
          <w:spacing w:val="-3"/>
        </w:rPr>
        <w:t>inexistencia de contradicciones</w:t>
      </w:r>
      <w:r w:rsidRPr="004068F6">
        <w:rPr>
          <w:spacing w:val="-3"/>
        </w:rPr>
        <w:t xml:space="preserve"> entre conceptos, métodos y la información que se genera con los mismos.</w:t>
      </w:r>
    </w:p>
    <w:p w14:paraId="5322EF84" w14:textId="77777777" w:rsidR="00D277E7" w:rsidRPr="004068F6" w:rsidRDefault="00D277E7" w:rsidP="00D277E7">
      <w:pPr>
        <w:tabs>
          <w:tab w:val="left" w:pos="-2268"/>
        </w:tabs>
        <w:suppressAutoHyphens/>
        <w:rPr>
          <w:spacing w:val="-3"/>
        </w:rPr>
      </w:pPr>
    </w:p>
    <w:p w14:paraId="7E4B8918" w14:textId="77777777" w:rsidR="00D277E7" w:rsidRPr="004068F6" w:rsidRDefault="00D277E7" w:rsidP="00D277E7">
      <w:pPr>
        <w:numPr>
          <w:ilvl w:val="0"/>
          <w:numId w:val="39"/>
        </w:numPr>
        <w:tabs>
          <w:tab w:val="left" w:pos="-2268"/>
        </w:tabs>
        <w:suppressAutoHyphens/>
        <w:ind w:left="567" w:hanging="567"/>
        <w:rPr>
          <w:spacing w:val="-3"/>
        </w:rPr>
      </w:pPr>
      <w:r w:rsidRPr="004068F6">
        <w:rPr>
          <w:b/>
          <w:spacing w:val="-3"/>
        </w:rPr>
        <w:t>Comparabilidad</w:t>
      </w:r>
      <w:r w:rsidRPr="004068F6">
        <w:rPr>
          <w:spacing w:val="-3"/>
        </w:rPr>
        <w:t xml:space="preserve">: señala, de acuerdo </w:t>
      </w:r>
      <w:r w:rsidRPr="004068F6">
        <w:rPr>
          <w:rFonts w:cs="Arial"/>
          <w:spacing w:val="-3"/>
        </w:rPr>
        <w:t>con</w:t>
      </w:r>
      <w:r w:rsidRPr="004068F6">
        <w:rPr>
          <w:spacing w:val="-3"/>
        </w:rPr>
        <w:t xml:space="preserve"> los conceptos aplicados y el uso de clasificaciones, nomenclaturas y métodos estandarizados, qué tan proclive a la comparación resulta la información que se utiliza o se genera, en términos espaciales y temporales.</w:t>
      </w:r>
    </w:p>
    <w:p w14:paraId="32D75E5F" w14:textId="77777777" w:rsidR="00D277E7" w:rsidRPr="004068F6" w:rsidRDefault="00D277E7" w:rsidP="00D277E7">
      <w:pPr>
        <w:tabs>
          <w:tab w:val="left" w:pos="-2268"/>
        </w:tabs>
        <w:suppressAutoHyphens/>
        <w:rPr>
          <w:spacing w:val="-3"/>
        </w:rPr>
      </w:pPr>
    </w:p>
    <w:p w14:paraId="0B4C37B5" w14:textId="0FCA23C4" w:rsidR="00D277E7" w:rsidRPr="004068F6" w:rsidRDefault="00D277E7" w:rsidP="4A0B09C6">
      <w:pPr>
        <w:numPr>
          <w:ilvl w:val="0"/>
          <w:numId w:val="39"/>
        </w:numPr>
        <w:suppressAutoHyphens/>
        <w:ind w:left="567" w:hanging="567"/>
      </w:pPr>
      <w:r w:rsidRPr="004068F6">
        <w:rPr>
          <w:b/>
          <w:spacing w:val="-3"/>
        </w:rPr>
        <w:t>Transparencia y confiabilidad</w:t>
      </w:r>
      <w:r w:rsidRPr="004068F6">
        <w:rPr>
          <w:spacing w:val="-3"/>
        </w:rPr>
        <w:t>: refleja el grado con el que es posible conocer la forma en que fue generada la información y, por tanto, si es confiable. Los metadatos y otros tipos de documentación constituyen un referente para valorar este atributo.</w:t>
      </w:r>
    </w:p>
    <w:p w14:paraId="0601E264" w14:textId="77777777" w:rsidR="00D277E7" w:rsidRPr="004068F6" w:rsidRDefault="00D277E7" w:rsidP="00D277E7">
      <w:pPr>
        <w:numPr>
          <w:ilvl w:val="12"/>
          <w:numId w:val="0"/>
        </w:numPr>
        <w:tabs>
          <w:tab w:val="left" w:pos="-2268"/>
        </w:tabs>
        <w:suppressAutoHyphens/>
        <w:rPr>
          <w:spacing w:val="-3"/>
        </w:rPr>
      </w:pPr>
    </w:p>
    <w:p w14:paraId="1156BC52" w14:textId="483549C5" w:rsidR="00D277E7" w:rsidRPr="004068F6" w:rsidRDefault="00D277E7" w:rsidP="00D277E7">
      <w:pPr>
        <w:numPr>
          <w:ilvl w:val="12"/>
          <w:numId w:val="0"/>
        </w:numPr>
        <w:tabs>
          <w:tab w:val="left" w:pos="-2268"/>
        </w:tabs>
        <w:suppressAutoHyphens/>
        <w:rPr>
          <w:spacing w:val="-3"/>
        </w:rPr>
      </w:pPr>
      <w:r w:rsidRPr="004068F6">
        <w:rPr>
          <w:spacing w:val="-3"/>
        </w:rPr>
        <w:t xml:space="preserve">Quienes elaboren los estudios ambientales deben procurar utilizar información de la mejor calidad posible, es decir, información cuyos atributos permitan su uso para la toma de decisiones que en el futuro puedan modificar </w:t>
      </w:r>
      <w:r w:rsidRPr="004068F6">
        <w:rPr>
          <w:rFonts w:cs="Arial"/>
          <w:spacing w:val="-3"/>
        </w:rPr>
        <w:t xml:space="preserve">drásticamente </w:t>
      </w:r>
      <w:r w:rsidRPr="004068F6">
        <w:rPr>
          <w:spacing w:val="-3"/>
        </w:rPr>
        <w:t xml:space="preserve">las relaciones ambientales de un territorio. En caso de que la información no </w:t>
      </w:r>
      <w:r w:rsidR="00BF6DC6" w:rsidRPr="004068F6">
        <w:rPr>
          <w:spacing w:val="-3"/>
        </w:rPr>
        <w:t xml:space="preserve">sea suficiente </w:t>
      </w:r>
      <w:r w:rsidR="008A5D9A" w:rsidRPr="004068F6">
        <w:rPr>
          <w:spacing w:val="-3"/>
        </w:rPr>
        <w:t xml:space="preserve">y haya una falta </w:t>
      </w:r>
      <w:r w:rsidR="00A64566" w:rsidRPr="004068F6">
        <w:rPr>
          <w:spacing w:val="-3"/>
        </w:rPr>
        <w:t xml:space="preserve">absoluta </w:t>
      </w:r>
      <w:r w:rsidR="008A5D9A" w:rsidRPr="004068F6">
        <w:rPr>
          <w:spacing w:val="-3"/>
        </w:rPr>
        <w:t xml:space="preserve">de certeza </w:t>
      </w:r>
      <w:r w:rsidRPr="004068F6">
        <w:rPr>
          <w:spacing w:val="-3"/>
        </w:rPr>
        <w:t xml:space="preserve">sobre los impactos </w:t>
      </w:r>
      <w:r w:rsidRPr="004068F6">
        <w:rPr>
          <w:rFonts w:cs="Arial"/>
          <w:spacing w:val="-3"/>
        </w:rPr>
        <w:t xml:space="preserve">ambientales </w:t>
      </w:r>
      <w:r w:rsidR="00FE3142" w:rsidRPr="004068F6">
        <w:rPr>
          <w:rFonts w:cs="Arial"/>
          <w:spacing w:val="-3"/>
        </w:rPr>
        <w:t xml:space="preserve">que representen peligro grave </w:t>
      </w:r>
      <w:r w:rsidR="00FE3142" w:rsidRPr="004068F6">
        <w:rPr>
          <w:spacing w:val="-3"/>
        </w:rPr>
        <w:t>e</w:t>
      </w:r>
      <w:r w:rsidRPr="004068F6">
        <w:rPr>
          <w:spacing w:val="-3"/>
        </w:rPr>
        <w:t xml:space="preserve"> irreversible, </w:t>
      </w:r>
      <w:r w:rsidR="001908F1">
        <w:rPr>
          <w:spacing w:val="-3"/>
        </w:rPr>
        <w:t>en aplicación del principio de precaución</w:t>
      </w:r>
      <w:r w:rsidR="00786413">
        <w:rPr>
          <w:spacing w:val="-3"/>
        </w:rPr>
        <w:t>,</w:t>
      </w:r>
      <w:r w:rsidR="00BC286D">
        <w:rPr>
          <w:spacing w:val="-3"/>
        </w:rPr>
        <w:t xml:space="preserve"> los </w:t>
      </w:r>
      <w:r w:rsidRPr="004068F6">
        <w:rPr>
          <w:spacing w:val="-3"/>
        </w:rPr>
        <w:t xml:space="preserve">interesados en </w:t>
      </w:r>
      <w:r w:rsidRPr="004068F6">
        <w:rPr>
          <w:spacing w:val="-3"/>
        </w:rPr>
        <w:lastRenderedPageBreak/>
        <w:t>solicitar una licencia ambiental</w:t>
      </w:r>
      <w:r w:rsidR="00BC286D">
        <w:rPr>
          <w:spacing w:val="-3"/>
        </w:rPr>
        <w:t xml:space="preserve"> deben </w:t>
      </w:r>
      <w:r w:rsidRPr="004068F6">
        <w:rPr>
          <w:spacing w:val="-3"/>
        </w:rPr>
        <w:t xml:space="preserve">evaluar otras alternativas para </w:t>
      </w:r>
      <w:r w:rsidR="009428A3" w:rsidRPr="004068F6">
        <w:rPr>
          <w:spacing w:val="-3"/>
        </w:rPr>
        <w:t xml:space="preserve">la </w:t>
      </w:r>
      <w:r w:rsidRPr="004068F6">
        <w:rPr>
          <w:spacing w:val="-3"/>
        </w:rPr>
        <w:t xml:space="preserve">ejecución </w:t>
      </w:r>
      <w:r w:rsidR="009428A3" w:rsidRPr="004068F6">
        <w:rPr>
          <w:spacing w:val="-3"/>
        </w:rPr>
        <w:t xml:space="preserve">del proyecto </w:t>
      </w:r>
      <w:r w:rsidRPr="004068F6">
        <w:rPr>
          <w:spacing w:val="-3"/>
        </w:rPr>
        <w:t>(no solo de ubicación y trazado, también ingenieriles, tecnológicas y de diseño)</w:t>
      </w:r>
      <w:r w:rsidR="00F81AD1" w:rsidRPr="004068F6">
        <w:rPr>
          <w:spacing w:val="-3"/>
        </w:rPr>
        <w:t xml:space="preserve"> </w:t>
      </w:r>
      <w:r w:rsidRPr="004068F6">
        <w:rPr>
          <w:spacing w:val="-3"/>
        </w:rPr>
        <w:t xml:space="preserve">e incluso, </w:t>
      </w:r>
      <w:r w:rsidR="008F68D9">
        <w:rPr>
          <w:spacing w:val="-3"/>
        </w:rPr>
        <w:t>contemplar</w:t>
      </w:r>
      <w:r w:rsidR="008F68D9" w:rsidRPr="004068F6">
        <w:rPr>
          <w:spacing w:val="-3"/>
        </w:rPr>
        <w:t xml:space="preserve"> </w:t>
      </w:r>
      <w:r w:rsidRPr="004068F6">
        <w:rPr>
          <w:spacing w:val="-3"/>
        </w:rPr>
        <w:t>la posibilidad de no emprender</w:t>
      </w:r>
      <w:r w:rsidR="002573EC" w:rsidRPr="004068F6">
        <w:rPr>
          <w:spacing w:val="-3"/>
        </w:rPr>
        <w:t>lo</w:t>
      </w:r>
      <w:r w:rsidRPr="004068F6">
        <w:rPr>
          <w:spacing w:val="-3"/>
        </w:rPr>
        <w:t>.</w:t>
      </w:r>
    </w:p>
    <w:p w14:paraId="47834CC9" w14:textId="77777777" w:rsidR="00D277E7" w:rsidRPr="004068F6" w:rsidRDefault="00D277E7" w:rsidP="00D277E7">
      <w:pPr>
        <w:numPr>
          <w:ilvl w:val="12"/>
          <w:numId w:val="0"/>
        </w:numPr>
        <w:tabs>
          <w:tab w:val="left" w:pos="-2268"/>
        </w:tabs>
        <w:suppressAutoHyphens/>
        <w:rPr>
          <w:spacing w:val="-3"/>
        </w:rPr>
      </w:pPr>
    </w:p>
    <w:p w14:paraId="1325A14D" w14:textId="6AF3B625" w:rsidR="00D277E7" w:rsidRPr="004068F6" w:rsidRDefault="00D277E7" w:rsidP="00D277E7">
      <w:pPr>
        <w:numPr>
          <w:ilvl w:val="12"/>
          <w:numId w:val="0"/>
        </w:numPr>
        <w:tabs>
          <w:tab w:val="left" w:pos="-2268"/>
        </w:tabs>
        <w:suppressAutoHyphens/>
        <w:rPr>
          <w:spacing w:val="-3"/>
        </w:rPr>
      </w:pPr>
      <w:r w:rsidRPr="004068F6">
        <w:rPr>
          <w:spacing w:val="-3"/>
        </w:rPr>
        <w:t xml:space="preserve">En general, cuando </w:t>
      </w:r>
      <w:r w:rsidR="00AC00B6" w:rsidRPr="004068F6">
        <w:rPr>
          <w:spacing w:val="-3"/>
        </w:rPr>
        <w:t xml:space="preserve">un </w:t>
      </w:r>
      <w:r w:rsidRPr="004068F6">
        <w:rPr>
          <w:spacing w:val="-3"/>
        </w:rPr>
        <w:t>requerimiento de información para soportar una decisión de licenciamiento ambiental respecto a un proyecto</w:t>
      </w:r>
      <w:r w:rsidR="00F32AC0" w:rsidRPr="004068F6">
        <w:rPr>
          <w:spacing w:val="-3"/>
        </w:rPr>
        <w:t>, obra o actividad</w:t>
      </w:r>
      <w:r w:rsidRPr="004068F6">
        <w:rPr>
          <w:spacing w:val="-3"/>
        </w:rPr>
        <w:t xml:space="preserve"> particular está cubierto con información secundaria que tenga las características mencionadas anteriormente y que provenga de fuentes idóneas</w:t>
      </w:r>
      <w:r w:rsidRPr="004068F6">
        <w:rPr>
          <w:spacing w:val="-3"/>
          <w:vertAlign w:val="superscript"/>
        </w:rPr>
        <w:footnoteReference w:id="7"/>
      </w:r>
      <w:r w:rsidRPr="004068F6">
        <w:rPr>
          <w:spacing w:val="-3"/>
        </w:rPr>
        <w:t>, no es necesario generar información primaria; de lo contrario, ésta debe ser obtenida y puesta a disposición de la autoridad ambiental competente por parte del interesado en adelantar el proyecto</w:t>
      </w:r>
      <w:r w:rsidR="00F32AC0" w:rsidRPr="004068F6">
        <w:rPr>
          <w:spacing w:val="-3"/>
        </w:rPr>
        <w:t>, obra o actividad</w:t>
      </w:r>
      <w:r w:rsidRPr="004068F6">
        <w:rPr>
          <w:spacing w:val="-3"/>
        </w:rPr>
        <w:t xml:space="preserve"> de acuerdo </w:t>
      </w:r>
      <w:r w:rsidR="00AB6972" w:rsidRPr="004068F6">
        <w:rPr>
          <w:spacing w:val="-3"/>
        </w:rPr>
        <w:t>con</w:t>
      </w:r>
      <w:r w:rsidRPr="004068F6">
        <w:rPr>
          <w:spacing w:val="-3"/>
        </w:rPr>
        <w:t xml:space="preserve"> lo establecido en la presente metodología y en los términos de referencia.</w:t>
      </w:r>
    </w:p>
    <w:p w14:paraId="25A9B821" w14:textId="77777777" w:rsidR="00D277E7" w:rsidRPr="004068F6" w:rsidRDefault="00D277E7" w:rsidP="00D277E7">
      <w:pPr>
        <w:numPr>
          <w:ilvl w:val="12"/>
          <w:numId w:val="0"/>
        </w:numPr>
        <w:tabs>
          <w:tab w:val="left" w:pos="-2268"/>
        </w:tabs>
        <w:suppressAutoHyphens/>
        <w:rPr>
          <w:spacing w:val="-3"/>
        </w:rPr>
      </w:pPr>
    </w:p>
    <w:p w14:paraId="7B098374" w14:textId="3C1EEA2F" w:rsidR="00D277E7" w:rsidRPr="004068F6" w:rsidRDefault="00D277E7" w:rsidP="00D277E7">
      <w:pPr>
        <w:numPr>
          <w:ilvl w:val="12"/>
          <w:numId w:val="0"/>
        </w:numPr>
        <w:tabs>
          <w:tab w:val="left" w:pos="-2268"/>
        </w:tabs>
        <w:suppressAutoHyphens/>
        <w:rPr>
          <w:spacing w:val="-3"/>
        </w:rPr>
      </w:pPr>
      <w:r w:rsidRPr="004068F6">
        <w:rPr>
          <w:spacing w:val="-3"/>
        </w:rPr>
        <w:t xml:space="preserve">Es importante que los estudios ambientales incorporen </w:t>
      </w:r>
      <w:r w:rsidR="00AB6972" w:rsidRPr="004068F6">
        <w:rPr>
          <w:spacing w:val="-3"/>
        </w:rPr>
        <w:t xml:space="preserve">parámetros, </w:t>
      </w:r>
      <w:r w:rsidRPr="004068F6">
        <w:rPr>
          <w:spacing w:val="-3"/>
        </w:rPr>
        <w:t>indicadores</w:t>
      </w:r>
      <w:r w:rsidR="00AB6972" w:rsidRPr="004068F6">
        <w:rPr>
          <w:spacing w:val="-3"/>
        </w:rPr>
        <w:t xml:space="preserve"> e índices</w:t>
      </w:r>
      <w:r w:rsidRPr="004068F6">
        <w:rPr>
          <w:spacing w:val="-3"/>
        </w:rPr>
        <w:t xml:space="preserve">, pues constituyen un insumo fundamental para </w:t>
      </w:r>
      <w:r w:rsidR="002A7B84" w:rsidRPr="004068F6">
        <w:rPr>
          <w:spacing w:val="-3"/>
        </w:rPr>
        <w:t xml:space="preserve">determinar </w:t>
      </w:r>
      <w:r w:rsidRPr="004068F6">
        <w:rPr>
          <w:spacing w:val="-3"/>
        </w:rPr>
        <w:t xml:space="preserve">y valorar impactos (en tanto un impacto se evidencia por el cambio en un </w:t>
      </w:r>
      <w:r w:rsidR="00BD0F1B" w:rsidRPr="004068F6">
        <w:rPr>
          <w:spacing w:val="-3"/>
        </w:rPr>
        <w:t xml:space="preserve">parámetro </w:t>
      </w:r>
      <w:r w:rsidRPr="004068F6">
        <w:rPr>
          <w:spacing w:val="-3"/>
        </w:rPr>
        <w:t>ambiental</w:t>
      </w:r>
      <w:r w:rsidR="009B24EA" w:rsidRPr="004068F6">
        <w:rPr>
          <w:spacing w:val="-3"/>
        </w:rPr>
        <w:t xml:space="preserve"> que</w:t>
      </w:r>
      <w:r w:rsidR="008F431D" w:rsidRPr="004068F6">
        <w:rPr>
          <w:spacing w:val="-3"/>
        </w:rPr>
        <w:t>,</w:t>
      </w:r>
      <w:r w:rsidR="009B24EA" w:rsidRPr="004068F6">
        <w:rPr>
          <w:spacing w:val="-3"/>
        </w:rPr>
        <w:t xml:space="preserve"> en algunas oportunidades, se estima mediante indicadores o índices</w:t>
      </w:r>
      <w:r w:rsidRPr="004068F6">
        <w:rPr>
          <w:spacing w:val="-3"/>
        </w:rPr>
        <w:t xml:space="preserve">), para formular medidas de manejo dirigidas a </w:t>
      </w:r>
      <w:r w:rsidR="005458DD" w:rsidRPr="004068F6">
        <w:rPr>
          <w:spacing w:val="-3"/>
        </w:rPr>
        <w:t xml:space="preserve">gestionarlos </w:t>
      </w:r>
      <w:r w:rsidRPr="004068F6">
        <w:rPr>
          <w:spacing w:val="-3"/>
        </w:rPr>
        <w:t xml:space="preserve">y para hacer seguimiento y monitoreo ambiental. Los indicadores </w:t>
      </w:r>
      <w:r w:rsidR="00AB6972" w:rsidRPr="004068F6">
        <w:rPr>
          <w:spacing w:val="-3"/>
        </w:rPr>
        <w:t>e índices</w:t>
      </w:r>
      <w:r w:rsidR="009B24EA" w:rsidRPr="004068F6">
        <w:rPr>
          <w:rStyle w:val="Refdenotaalpie"/>
          <w:rFonts w:cs="Arial"/>
          <w:spacing w:val="-3"/>
          <w:lang w:val="es-CO"/>
        </w:rPr>
        <w:footnoteReference w:id="8"/>
      </w:r>
      <w:r w:rsidR="00AB6972" w:rsidRPr="004068F6">
        <w:rPr>
          <w:spacing w:val="-3"/>
        </w:rPr>
        <w:t xml:space="preserve"> </w:t>
      </w:r>
      <w:r w:rsidRPr="004068F6">
        <w:rPr>
          <w:spacing w:val="-3"/>
        </w:rPr>
        <w:t xml:space="preserve">constituyen un tipo de información sintética que brinda señales clave sobre la evolución de fenómenos y situaciones, y permiten estructurar de manera integral el conocimiento sobre el ambiente para la toma de decisiones, tanto de las autoridades ambientales que evalúan los estudios y hacen control y seguimiento </w:t>
      </w:r>
      <w:r w:rsidRPr="004068F6">
        <w:rPr>
          <w:rFonts w:cs="Arial"/>
          <w:spacing w:val="-3"/>
        </w:rPr>
        <w:t>ambiental al desarrollo de los</w:t>
      </w:r>
      <w:r w:rsidRPr="004068F6">
        <w:rPr>
          <w:spacing w:val="-3"/>
        </w:rPr>
        <w:t xml:space="preserve"> proyectos (en caso de haberles concedido licencia ambiental), como de quienes los ejecutan, </w:t>
      </w:r>
      <w:r w:rsidR="006C1776" w:rsidRPr="004068F6">
        <w:rPr>
          <w:spacing w:val="-3"/>
        </w:rPr>
        <w:t xml:space="preserve">pues </w:t>
      </w:r>
      <w:r w:rsidRPr="004068F6">
        <w:rPr>
          <w:spacing w:val="-3"/>
        </w:rPr>
        <w:t>deb</w:t>
      </w:r>
      <w:r w:rsidR="00BD0F1B" w:rsidRPr="004068F6">
        <w:rPr>
          <w:spacing w:val="-3"/>
        </w:rPr>
        <w:t>e</w:t>
      </w:r>
      <w:r w:rsidRPr="004068F6">
        <w:rPr>
          <w:spacing w:val="-3"/>
        </w:rPr>
        <w:t>n asegurar</w:t>
      </w:r>
      <w:r w:rsidR="00BD0F1B" w:rsidRPr="004068F6">
        <w:rPr>
          <w:spacing w:val="-3"/>
        </w:rPr>
        <w:t>se</w:t>
      </w:r>
      <w:r w:rsidRPr="004068F6">
        <w:rPr>
          <w:spacing w:val="-3"/>
        </w:rPr>
        <w:t xml:space="preserve"> de practicar un buen manejo ambiental</w:t>
      </w:r>
      <w:r w:rsidRPr="004068F6">
        <w:rPr>
          <w:rFonts w:cs="Arial"/>
          <w:spacing w:val="-3"/>
        </w:rPr>
        <w:t xml:space="preserve"> y dar cumplimiento a la normativa ambiental vigente</w:t>
      </w:r>
      <w:r w:rsidRPr="004068F6">
        <w:rPr>
          <w:spacing w:val="-3"/>
        </w:rPr>
        <w:t>.</w:t>
      </w:r>
    </w:p>
    <w:p w14:paraId="3705058F" w14:textId="77777777" w:rsidR="00D277E7" w:rsidRPr="004068F6" w:rsidRDefault="00D277E7" w:rsidP="00D277E7">
      <w:pPr>
        <w:numPr>
          <w:ilvl w:val="12"/>
          <w:numId w:val="0"/>
        </w:numPr>
        <w:tabs>
          <w:tab w:val="left" w:pos="-2268"/>
        </w:tabs>
        <w:suppressAutoHyphens/>
        <w:rPr>
          <w:spacing w:val="-3"/>
        </w:rPr>
      </w:pPr>
    </w:p>
    <w:p w14:paraId="56B3018F" w14:textId="7757F7E7" w:rsidR="00D277E7" w:rsidRPr="004068F6" w:rsidRDefault="00A579C7" w:rsidP="439A4240">
      <w:pPr>
        <w:suppressAutoHyphens/>
        <w:rPr>
          <w:spacing w:val="-3"/>
        </w:rPr>
      </w:pPr>
      <w:r w:rsidRPr="004068F6">
        <w:rPr>
          <w:spacing w:val="-3"/>
        </w:rPr>
        <w:t>S</w:t>
      </w:r>
      <w:r w:rsidR="00D277E7" w:rsidRPr="004068F6">
        <w:rPr>
          <w:spacing w:val="-3"/>
        </w:rPr>
        <w:t xml:space="preserve">e debe hacer uso de nuevos recursos tecnológicos </w:t>
      </w:r>
      <w:r w:rsidR="00907F14" w:rsidRPr="004068F6">
        <w:rPr>
          <w:spacing w:val="-3"/>
        </w:rPr>
        <w:t xml:space="preserve">y de gestión de información </w:t>
      </w:r>
      <w:r w:rsidR="00D277E7" w:rsidRPr="004068F6">
        <w:rPr>
          <w:spacing w:val="-3"/>
        </w:rPr>
        <w:t>para incrementar la calidad de la información</w:t>
      </w:r>
      <w:r w:rsidR="00B56C78" w:rsidRPr="004068F6">
        <w:rPr>
          <w:spacing w:val="-3"/>
        </w:rPr>
        <w:t xml:space="preserve"> </w:t>
      </w:r>
      <w:r w:rsidR="00907F14" w:rsidRPr="004068F6">
        <w:rPr>
          <w:spacing w:val="-3"/>
        </w:rPr>
        <w:t>de los estudios ambientales</w:t>
      </w:r>
      <w:r w:rsidR="00B56C78" w:rsidRPr="004068F6">
        <w:rPr>
          <w:spacing w:val="-3"/>
        </w:rPr>
        <w:t xml:space="preserve">, o bien, para mejorar los procesos de </w:t>
      </w:r>
      <w:r w:rsidR="00907F14" w:rsidRPr="004068F6">
        <w:rPr>
          <w:spacing w:val="-3"/>
        </w:rPr>
        <w:t xml:space="preserve">captura </w:t>
      </w:r>
      <w:r w:rsidR="00B56C78" w:rsidRPr="004068F6">
        <w:rPr>
          <w:spacing w:val="-3"/>
        </w:rPr>
        <w:t>de información sin disminuir su calidad</w:t>
      </w:r>
      <w:r w:rsidR="0041279A" w:rsidRPr="004068F6">
        <w:rPr>
          <w:spacing w:val="-3"/>
        </w:rPr>
        <w:t>, verificando que ello esté en consonancia con la</w:t>
      </w:r>
      <w:r w:rsidR="00660029" w:rsidRPr="004068F6">
        <w:rPr>
          <w:spacing w:val="-3"/>
        </w:rPr>
        <w:t>s normas técnicas y la</w:t>
      </w:r>
      <w:r w:rsidR="0041279A" w:rsidRPr="004068F6">
        <w:rPr>
          <w:spacing w:val="-3"/>
        </w:rPr>
        <w:t xml:space="preserve"> normativa vigente </w:t>
      </w:r>
      <w:r w:rsidR="00660029" w:rsidRPr="004068F6">
        <w:rPr>
          <w:spacing w:val="-3"/>
        </w:rPr>
        <w:t>que le aplique</w:t>
      </w:r>
      <w:r w:rsidR="00D277E7" w:rsidRPr="004068F6">
        <w:rPr>
          <w:spacing w:val="-3"/>
        </w:rPr>
        <w:t xml:space="preserve">. Por ejemplo, la implementación de sistemas de monitoreo en línea puede </w:t>
      </w:r>
      <w:r w:rsidR="00D277E7" w:rsidRPr="004068F6">
        <w:rPr>
          <w:spacing w:val="-3"/>
        </w:rPr>
        <w:lastRenderedPageBreak/>
        <w:t xml:space="preserve">repercutir no sólo en el mejoramiento de la oportunidad, comparabilidad, transparencia y confiabilidad de la información, sino también, en la implementación de acciones tempranas que permitan </w:t>
      </w:r>
      <w:r w:rsidR="00605D4E" w:rsidRPr="004068F6">
        <w:rPr>
          <w:rFonts w:cs="Arial"/>
          <w:spacing w:val="-3"/>
        </w:rPr>
        <w:t>prevenir</w:t>
      </w:r>
      <w:r w:rsidR="004E1C05" w:rsidRPr="004068F6">
        <w:rPr>
          <w:rFonts w:cs="Arial"/>
          <w:spacing w:val="-3"/>
        </w:rPr>
        <w:t xml:space="preserve">, </w:t>
      </w:r>
      <w:r w:rsidR="00D277E7" w:rsidRPr="004068F6">
        <w:rPr>
          <w:rFonts w:cs="Arial"/>
          <w:spacing w:val="-3"/>
        </w:rPr>
        <w:t>mitigar</w:t>
      </w:r>
      <w:r w:rsidR="004E1C05" w:rsidRPr="004068F6">
        <w:rPr>
          <w:rFonts w:cs="Arial"/>
          <w:spacing w:val="-3"/>
        </w:rPr>
        <w:t>,</w:t>
      </w:r>
      <w:r w:rsidR="00D277E7" w:rsidRPr="004068F6">
        <w:rPr>
          <w:rFonts w:cs="Arial"/>
          <w:spacing w:val="-3"/>
        </w:rPr>
        <w:t xml:space="preserve"> </w:t>
      </w:r>
      <w:r w:rsidR="00D277E7" w:rsidRPr="004068F6">
        <w:rPr>
          <w:spacing w:val="-3"/>
        </w:rPr>
        <w:t xml:space="preserve">corregir </w:t>
      </w:r>
      <w:r w:rsidR="004E1C05" w:rsidRPr="004068F6">
        <w:rPr>
          <w:spacing w:val="-3"/>
        </w:rPr>
        <w:t xml:space="preserve">y compensar </w:t>
      </w:r>
      <w:r w:rsidR="00D277E7" w:rsidRPr="004068F6">
        <w:rPr>
          <w:spacing w:val="-3"/>
        </w:rPr>
        <w:t>impactos</w:t>
      </w:r>
      <w:r w:rsidR="00D277E7" w:rsidRPr="004068F6">
        <w:rPr>
          <w:rFonts w:cs="Arial"/>
          <w:spacing w:val="-3"/>
        </w:rPr>
        <w:t xml:space="preserve"> ambientales</w:t>
      </w:r>
      <w:r w:rsidR="00D277E7" w:rsidRPr="004068F6">
        <w:rPr>
          <w:spacing w:val="-3"/>
        </w:rPr>
        <w:t xml:space="preserve"> de forma eficiente y económica, en la ejecución en tiempo real de las actividades de control y seguimiento ambiental, y en otras decisiones que propendan por la sostenibilidad del territorio.</w:t>
      </w:r>
    </w:p>
    <w:p w14:paraId="2C4FB726" w14:textId="77777777" w:rsidR="00D277E7" w:rsidRPr="004068F6" w:rsidRDefault="00D277E7" w:rsidP="00D277E7">
      <w:pPr>
        <w:numPr>
          <w:ilvl w:val="12"/>
          <w:numId w:val="0"/>
        </w:numPr>
        <w:tabs>
          <w:tab w:val="left" w:pos="-2268"/>
        </w:tabs>
        <w:suppressAutoHyphens/>
        <w:rPr>
          <w:spacing w:val="-3"/>
        </w:rPr>
      </w:pPr>
    </w:p>
    <w:p w14:paraId="0931EB60" w14:textId="77777777" w:rsidR="00D277E7" w:rsidRPr="004068F6" w:rsidRDefault="00D277E7" w:rsidP="006052B3">
      <w:pPr>
        <w:numPr>
          <w:ilvl w:val="0"/>
          <w:numId w:val="41"/>
        </w:numPr>
        <w:tabs>
          <w:tab w:val="left" w:pos="-2268"/>
        </w:tabs>
        <w:suppressAutoHyphens/>
        <w:ind w:left="567" w:hanging="567"/>
        <w:rPr>
          <w:b/>
          <w:i/>
          <w:spacing w:val="-3"/>
          <w:u w:val="single"/>
        </w:rPr>
      </w:pPr>
      <w:r w:rsidRPr="004068F6">
        <w:rPr>
          <w:b/>
          <w:i/>
          <w:spacing w:val="-3"/>
          <w:u w:val="single"/>
        </w:rPr>
        <w:t>Sobre los conceptos y el lenguaje</w:t>
      </w:r>
    </w:p>
    <w:p w14:paraId="5B1F68B0" w14:textId="77777777" w:rsidR="00D277E7" w:rsidRPr="004068F6" w:rsidRDefault="00D277E7" w:rsidP="00D277E7">
      <w:pPr>
        <w:numPr>
          <w:ilvl w:val="12"/>
          <w:numId w:val="0"/>
        </w:numPr>
        <w:tabs>
          <w:tab w:val="left" w:pos="-2268"/>
        </w:tabs>
        <w:suppressAutoHyphens/>
        <w:rPr>
          <w:spacing w:val="-3"/>
        </w:rPr>
      </w:pPr>
    </w:p>
    <w:p w14:paraId="5F000539" w14:textId="6DA98478" w:rsidR="00D277E7" w:rsidRPr="004068F6" w:rsidRDefault="00D277E7" w:rsidP="00D277E7">
      <w:pPr>
        <w:numPr>
          <w:ilvl w:val="12"/>
          <w:numId w:val="0"/>
        </w:numPr>
        <w:tabs>
          <w:tab w:val="left" w:pos="-2268"/>
        </w:tabs>
        <w:suppressAutoHyphens/>
        <w:rPr>
          <w:spacing w:val="-3"/>
        </w:rPr>
      </w:pPr>
      <w:r w:rsidRPr="004068F6">
        <w:rPr>
          <w:spacing w:val="-3"/>
        </w:rPr>
        <w:t>El desarrollo de estudios ambientales implica el uso de un lenguaje específico a esta temática y de una serie de conceptos que deben ser claros, precisos y homogéneos con el fin de brindar una mejor comprensión y facilitar los procesos de evaluación y de seguimiento y control</w:t>
      </w:r>
      <w:r w:rsidR="007C2478" w:rsidRPr="004068F6">
        <w:rPr>
          <w:spacing w:val="-3"/>
        </w:rPr>
        <w:t>, y de dar transparencia al proceso de toma de decisión</w:t>
      </w:r>
      <w:r w:rsidRPr="004068F6">
        <w:rPr>
          <w:spacing w:val="-3"/>
        </w:rPr>
        <w:t>.</w:t>
      </w:r>
    </w:p>
    <w:p w14:paraId="1ED53B05" w14:textId="77777777" w:rsidR="00D277E7" w:rsidRPr="004068F6" w:rsidRDefault="00D277E7" w:rsidP="00D277E7">
      <w:pPr>
        <w:numPr>
          <w:ilvl w:val="12"/>
          <w:numId w:val="0"/>
        </w:numPr>
        <w:tabs>
          <w:tab w:val="left" w:pos="-2268"/>
        </w:tabs>
        <w:suppressAutoHyphens/>
        <w:rPr>
          <w:spacing w:val="-3"/>
        </w:rPr>
      </w:pPr>
    </w:p>
    <w:p w14:paraId="7545E416" w14:textId="37A3D4DF" w:rsidR="00D277E7" w:rsidRPr="004068F6" w:rsidRDefault="00D277E7" w:rsidP="00D277E7">
      <w:pPr>
        <w:numPr>
          <w:ilvl w:val="12"/>
          <w:numId w:val="0"/>
        </w:numPr>
        <w:tabs>
          <w:tab w:val="left" w:pos="-2268"/>
        </w:tabs>
        <w:suppressAutoHyphens/>
        <w:rPr>
          <w:spacing w:val="-3"/>
        </w:rPr>
      </w:pPr>
      <w:r w:rsidRPr="004068F6">
        <w:rPr>
          <w:spacing w:val="-3"/>
        </w:rPr>
        <w:t>Un grupo de conceptos clave para el licenciamiento ambiental tiene que ver con la concepción del ambiente. En este contexto, el ambiente es definido como</w:t>
      </w:r>
      <w:r w:rsidR="00F76227" w:rsidRPr="004068F6">
        <w:rPr>
          <w:spacing w:val="-3"/>
        </w:rPr>
        <w:t xml:space="preserve"> el conjunto de </w:t>
      </w:r>
      <w:r w:rsidR="00F76227" w:rsidRPr="004068F6">
        <w:rPr>
          <w:rFonts w:cs="Arial"/>
          <w:i/>
        </w:rPr>
        <w:t>elementos naturales, tanto físicos como biológicos, los elementos artificiales, sociales y culturales, y las interacciones de éstos entre sí</w:t>
      </w:r>
      <w:r w:rsidRPr="004068F6">
        <w:rPr>
          <w:spacing w:val="-3"/>
        </w:rPr>
        <w:t xml:space="preserve">, definición que al hacer referencia a dichas interacciones, evidencia la gran complejidad que incorpora el concepto; no obstante, con el propósito de facilitar la elaboración, presentación, análisis y evaluación de los estudios ambientales, resulta necesario efectuar una cierta abstracción </w:t>
      </w:r>
      <w:r w:rsidR="005642C0" w:rsidRPr="004068F6">
        <w:rPr>
          <w:spacing w:val="-3"/>
        </w:rPr>
        <w:t xml:space="preserve">del ambiente a través de </w:t>
      </w:r>
      <w:r w:rsidRPr="004068F6">
        <w:rPr>
          <w:spacing w:val="-3"/>
        </w:rPr>
        <w:t>las siguientes categorías jerárquicas:</w:t>
      </w:r>
    </w:p>
    <w:p w14:paraId="154C25D1" w14:textId="77777777" w:rsidR="00D277E7" w:rsidRPr="004068F6" w:rsidRDefault="00D277E7" w:rsidP="00D277E7">
      <w:pPr>
        <w:numPr>
          <w:ilvl w:val="12"/>
          <w:numId w:val="0"/>
        </w:numPr>
        <w:tabs>
          <w:tab w:val="left" w:pos="-2268"/>
        </w:tabs>
        <w:suppressAutoHyphens/>
        <w:rPr>
          <w:spacing w:val="-3"/>
        </w:rPr>
      </w:pPr>
    </w:p>
    <w:p w14:paraId="25538623" w14:textId="02D08A41" w:rsidR="00D277E7" w:rsidRPr="004068F6" w:rsidRDefault="00D277E7" w:rsidP="00D277E7">
      <w:pPr>
        <w:numPr>
          <w:ilvl w:val="0"/>
          <w:numId w:val="40"/>
        </w:numPr>
        <w:tabs>
          <w:tab w:val="left" w:pos="-2268"/>
        </w:tabs>
        <w:suppressAutoHyphens/>
        <w:ind w:left="567" w:hanging="567"/>
        <w:rPr>
          <w:spacing w:val="-3"/>
        </w:rPr>
      </w:pPr>
      <w:r w:rsidRPr="004068F6">
        <w:rPr>
          <w:i/>
          <w:spacing w:val="-3"/>
        </w:rPr>
        <w:t>Medio</w:t>
      </w:r>
      <w:r w:rsidRPr="004068F6">
        <w:rPr>
          <w:spacing w:val="-3"/>
        </w:rPr>
        <w:t>. Es la categoría de mayor jerarquía; el ambiente está constituido por los medios abiótico, biótico y socioeconómico.</w:t>
      </w:r>
    </w:p>
    <w:p w14:paraId="104DC3EF" w14:textId="77777777" w:rsidR="00D277E7" w:rsidRPr="004068F6" w:rsidRDefault="00D277E7" w:rsidP="00D277E7">
      <w:pPr>
        <w:tabs>
          <w:tab w:val="left" w:pos="-2268"/>
        </w:tabs>
        <w:suppressAutoHyphens/>
        <w:rPr>
          <w:spacing w:val="-3"/>
        </w:rPr>
      </w:pPr>
    </w:p>
    <w:p w14:paraId="12626BCA" w14:textId="66798399" w:rsidR="00D277E7" w:rsidRPr="004068F6" w:rsidRDefault="00D277E7" w:rsidP="00D277E7">
      <w:pPr>
        <w:numPr>
          <w:ilvl w:val="1"/>
          <w:numId w:val="40"/>
        </w:numPr>
        <w:tabs>
          <w:tab w:val="left" w:pos="-2268"/>
        </w:tabs>
        <w:suppressAutoHyphens/>
        <w:ind w:left="1134" w:hanging="567"/>
        <w:rPr>
          <w:spacing w:val="-3"/>
        </w:rPr>
      </w:pPr>
      <w:r w:rsidRPr="004068F6">
        <w:rPr>
          <w:i/>
          <w:spacing w:val="-3"/>
        </w:rPr>
        <w:t>Componente</w:t>
      </w:r>
      <w:r w:rsidRPr="004068F6">
        <w:rPr>
          <w:spacing w:val="-3"/>
        </w:rPr>
        <w:t>. Cada uno de los medios está conformado por un conjunto de componentes. Ejemplos de componentes son: para el medio abiótico el geológico y el hidrológico; para el biótico los ecosistemas terrestres y los ecosistemas acuáticos y; para el socioeconómico, el demográfico y el económico.</w:t>
      </w:r>
    </w:p>
    <w:p w14:paraId="64CDCE31" w14:textId="77777777" w:rsidR="00D277E7" w:rsidRPr="004068F6" w:rsidRDefault="00D277E7" w:rsidP="00D277E7">
      <w:pPr>
        <w:tabs>
          <w:tab w:val="left" w:pos="-2268"/>
        </w:tabs>
        <w:suppressAutoHyphens/>
        <w:rPr>
          <w:spacing w:val="-3"/>
        </w:rPr>
      </w:pPr>
    </w:p>
    <w:p w14:paraId="466C1547" w14:textId="5297EBDC" w:rsidR="00D277E7" w:rsidRPr="004068F6" w:rsidRDefault="00D277E7" w:rsidP="00D277E7">
      <w:pPr>
        <w:numPr>
          <w:ilvl w:val="2"/>
          <w:numId w:val="40"/>
        </w:numPr>
        <w:tabs>
          <w:tab w:val="left" w:pos="-2268"/>
        </w:tabs>
        <w:suppressAutoHyphens/>
        <w:ind w:left="1701" w:hanging="567"/>
        <w:rPr>
          <w:spacing w:val="-3"/>
        </w:rPr>
      </w:pPr>
      <w:r w:rsidRPr="004068F6">
        <w:rPr>
          <w:i/>
          <w:spacing w:val="-3"/>
        </w:rPr>
        <w:t>Factor</w:t>
      </w:r>
      <w:r w:rsidRPr="004068F6">
        <w:rPr>
          <w:spacing w:val="-3"/>
        </w:rPr>
        <w:t xml:space="preserve">. Los componentes tienen una serie de atributos que se denominan factores. Por ejemplo, un factor del componente </w:t>
      </w:r>
      <w:r w:rsidR="00645126" w:rsidRPr="004068F6">
        <w:rPr>
          <w:spacing w:val="-3"/>
        </w:rPr>
        <w:t>atmosférico</w:t>
      </w:r>
      <w:r w:rsidR="00645126" w:rsidRPr="004068F6" w:rsidDel="00645126">
        <w:rPr>
          <w:spacing w:val="-3"/>
        </w:rPr>
        <w:t xml:space="preserve"> </w:t>
      </w:r>
      <w:r w:rsidRPr="004068F6">
        <w:rPr>
          <w:spacing w:val="-3"/>
        </w:rPr>
        <w:t xml:space="preserve">es la calidad del </w:t>
      </w:r>
      <w:r w:rsidR="00645126" w:rsidRPr="004068F6">
        <w:rPr>
          <w:spacing w:val="-3"/>
        </w:rPr>
        <w:t>aire</w:t>
      </w:r>
      <w:r w:rsidRPr="004068F6">
        <w:rPr>
          <w:spacing w:val="-3"/>
        </w:rPr>
        <w:t xml:space="preserve">, otro el </w:t>
      </w:r>
      <w:r w:rsidR="00645126" w:rsidRPr="004068F6">
        <w:rPr>
          <w:spacing w:val="-3"/>
        </w:rPr>
        <w:t>ruido</w:t>
      </w:r>
      <w:r w:rsidRPr="004068F6">
        <w:rPr>
          <w:spacing w:val="-3"/>
        </w:rPr>
        <w:t xml:space="preserve"> y otro más </w:t>
      </w:r>
      <w:r w:rsidR="00BA024B" w:rsidRPr="004068F6">
        <w:rPr>
          <w:spacing w:val="-3"/>
        </w:rPr>
        <w:t>la meteorología</w:t>
      </w:r>
      <w:r w:rsidRPr="004068F6">
        <w:rPr>
          <w:spacing w:val="-3"/>
        </w:rPr>
        <w:t>.</w:t>
      </w:r>
    </w:p>
    <w:p w14:paraId="3B7918B7" w14:textId="77777777" w:rsidR="00D277E7" w:rsidRPr="004068F6" w:rsidRDefault="00D277E7" w:rsidP="00D277E7">
      <w:pPr>
        <w:tabs>
          <w:tab w:val="left" w:pos="-2268"/>
        </w:tabs>
        <w:suppressAutoHyphens/>
        <w:rPr>
          <w:spacing w:val="-3"/>
        </w:rPr>
      </w:pPr>
    </w:p>
    <w:p w14:paraId="2FB5E8BE" w14:textId="6D28D26C" w:rsidR="00D277E7" w:rsidRPr="004068F6" w:rsidRDefault="00D277E7" w:rsidP="00D277E7">
      <w:pPr>
        <w:numPr>
          <w:ilvl w:val="3"/>
          <w:numId w:val="40"/>
        </w:numPr>
        <w:tabs>
          <w:tab w:val="left" w:pos="-2268"/>
        </w:tabs>
        <w:suppressAutoHyphens/>
        <w:ind w:left="2268" w:hanging="567"/>
        <w:rPr>
          <w:spacing w:val="-3"/>
        </w:rPr>
      </w:pPr>
      <w:r w:rsidRPr="004068F6">
        <w:rPr>
          <w:i/>
          <w:spacing w:val="-3"/>
        </w:rPr>
        <w:t>Parámetro</w:t>
      </w:r>
      <w:r w:rsidRPr="004068F6">
        <w:rPr>
          <w:spacing w:val="-3"/>
        </w:rPr>
        <w:t xml:space="preserve">. Por último, </w:t>
      </w:r>
      <w:r w:rsidRPr="004068F6">
        <w:rPr>
          <w:rFonts w:cs="Arial"/>
          <w:spacing w:val="-3"/>
        </w:rPr>
        <w:t xml:space="preserve">los </w:t>
      </w:r>
      <w:r w:rsidRPr="004068F6">
        <w:rPr>
          <w:spacing w:val="-3"/>
        </w:rPr>
        <w:t>factores son medidos haciendo uso de uno o varios parámetros</w:t>
      </w:r>
      <w:r w:rsidRPr="004068F6">
        <w:rPr>
          <w:i/>
          <w:spacing w:val="-3"/>
        </w:rPr>
        <w:t xml:space="preserve"> </w:t>
      </w:r>
      <w:r w:rsidRPr="004068F6">
        <w:rPr>
          <w:spacing w:val="-3"/>
        </w:rPr>
        <w:t>cuantitativos o cualitativos.</w:t>
      </w:r>
      <w:r w:rsidRPr="004068F6">
        <w:rPr>
          <w:rFonts w:cs="Arial"/>
          <w:spacing w:val="-3"/>
        </w:rPr>
        <w:t xml:space="preserve"> Por ejemplo, </w:t>
      </w:r>
      <w:r w:rsidRPr="004068F6">
        <w:t>concentración de material particulado de 10 micras (PM</w:t>
      </w:r>
      <w:r w:rsidRPr="004068F6">
        <w:rPr>
          <w:vertAlign w:val="subscript"/>
        </w:rPr>
        <w:t>10</w:t>
      </w:r>
      <w:r w:rsidRPr="004068F6">
        <w:t>)</w:t>
      </w:r>
      <w:r w:rsidRPr="004068F6">
        <w:rPr>
          <w:rFonts w:cs="Arial"/>
          <w:spacing w:val="-3"/>
        </w:rPr>
        <w:t xml:space="preserve">, pH, </w:t>
      </w:r>
      <w:r w:rsidRPr="004068F6">
        <w:t>oxígeno disuelto, superficie cubierta por bosques</w:t>
      </w:r>
      <w:r w:rsidR="00BA024B" w:rsidRPr="004068F6">
        <w:t>,</w:t>
      </w:r>
      <w:r w:rsidR="00F76227" w:rsidRPr="004068F6">
        <w:t xml:space="preserve"> </w:t>
      </w:r>
      <w:r w:rsidR="00F00FAD" w:rsidRPr="004068F6">
        <w:lastRenderedPageBreak/>
        <w:t xml:space="preserve">ingresos familiares, condiciones de vulnerabilidad social, </w:t>
      </w:r>
      <w:r w:rsidR="00BA024B" w:rsidRPr="004068F6">
        <w:t>género y edad</w:t>
      </w:r>
      <w:r w:rsidRPr="004068F6">
        <w:t>.</w:t>
      </w:r>
    </w:p>
    <w:p w14:paraId="70AE86B4" w14:textId="77777777" w:rsidR="00D277E7" w:rsidRPr="004068F6" w:rsidRDefault="00D277E7" w:rsidP="00D277E7">
      <w:pPr>
        <w:numPr>
          <w:ilvl w:val="12"/>
          <w:numId w:val="0"/>
        </w:numPr>
        <w:tabs>
          <w:tab w:val="left" w:pos="-2268"/>
        </w:tabs>
        <w:suppressAutoHyphens/>
        <w:rPr>
          <w:spacing w:val="-3"/>
        </w:rPr>
      </w:pPr>
    </w:p>
    <w:p w14:paraId="7272A4BE" w14:textId="090AD229" w:rsidR="00D277E7" w:rsidRPr="004068F6" w:rsidRDefault="00D277E7" w:rsidP="00D277E7">
      <w:pPr>
        <w:numPr>
          <w:ilvl w:val="12"/>
          <w:numId w:val="0"/>
        </w:numPr>
        <w:tabs>
          <w:tab w:val="left" w:pos="-2268"/>
        </w:tabs>
        <w:suppressAutoHyphens/>
        <w:rPr>
          <w:spacing w:val="-3"/>
        </w:rPr>
      </w:pPr>
      <w:r w:rsidRPr="004068F6">
        <w:rPr>
          <w:spacing w:val="-3"/>
        </w:rPr>
        <w:t xml:space="preserve">Adicionalmente y con el ánimo de mantener un lenguaje homogéneo y de </w:t>
      </w:r>
      <w:r w:rsidR="002A7B84" w:rsidRPr="004068F6">
        <w:rPr>
          <w:spacing w:val="-3"/>
        </w:rPr>
        <w:t>determinar</w:t>
      </w:r>
      <w:r w:rsidR="002A7B84" w:rsidRPr="004068F6" w:rsidDel="002A7B84">
        <w:rPr>
          <w:spacing w:val="-3"/>
        </w:rPr>
        <w:t xml:space="preserve"> </w:t>
      </w:r>
      <w:r w:rsidRPr="004068F6">
        <w:rPr>
          <w:spacing w:val="-3"/>
        </w:rPr>
        <w:t xml:space="preserve">de manera precisa las alteraciones que ocasionarían las acciones previstas durante la ejecución </w:t>
      </w:r>
      <w:r w:rsidR="00BA024B" w:rsidRPr="004068F6">
        <w:rPr>
          <w:spacing w:val="-3"/>
        </w:rPr>
        <w:t xml:space="preserve">de </w:t>
      </w:r>
      <w:r w:rsidRPr="004068F6">
        <w:rPr>
          <w:spacing w:val="-3"/>
        </w:rPr>
        <w:t>un proyecto, obra o actividad, conviene que todas ellas sean organizadas y desagregadas de la siguiente manera:</w:t>
      </w:r>
    </w:p>
    <w:p w14:paraId="332708E2" w14:textId="77777777" w:rsidR="00D277E7" w:rsidRPr="004068F6" w:rsidRDefault="00D277E7" w:rsidP="00D277E7">
      <w:pPr>
        <w:numPr>
          <w:ilvl w:val="12"/>
          <w:numId w:val="0"/>
        </w:numPr>
        <w:tabs>
          <w:tab w:val="left" w:pos="-2268"/>
        </w:tabs>
        <w:suppressAutoHyphens/>
        <w:rPr>
          <w:spacing w:val="-3"/>
        </w:rPr>
      </w:pPr>
    </w:p>
    <w:p w14:paraId="7B8C8351" w14:textId="19E756D2" w:rsidR="00D277E7" w:rsidRPr="004068F6" w:rsidRDefault="00D277E7" w:rsidP="00D277E7">
      <w:pPr>
        <w:numPr>
          <w:ilvl w:val="0"/>
          <w:numId w:val="40"/>
        </w:numPr>
        <w:tabs>
          <w:tab w:val="left" w:pos="-2268"/>
        </w:tabs>
        <w:suppressAutoHyphens/>
        <w:ind w:left="567" w:hanging="567"/>
        <w:rPr>
          <w:spacing w:val="-3"/>
        </w:rPr>
      </w:pPr>
      <w:r w:rsidRPr="004068F6">
        <w:rPr>
          <w:i/>
          <w:spacing w:val="-3"/>
        </w:rPr>
        <w:t>Actividad</w:t>
      </w:r>
      <w:r w:rsidRPr="004068F6">
        <w:rPr>
          <w:spacing w:val="-3"/>
        </w:rPr>
        <w:t xml:space="preserve">. Para la ejecución de un proyecto, obra o actividad se precisa ejecutar un conjunto de </w:t>
      </w:r>
      <w:r w:rsidR="00BA024B" w:rsidRPr="004068F6">
        <w:rPr>
          <w:spacing w:val="-3"/>
        </w:rPr>
        <w:t xml:space="preserve">acciones </w:t>
      </w:r>
      <w:r w:rsidRPr="004068F6">
        <w:rPr>
          <w:spacing w:val="-3"/>
        </w:rPr>
        <w:t>que se denominan actividades. Un ejemplo de actividad es la operación de una planta generadora de energía accionada con diésel</w:t>
      </w:r>
      <w:r w:rsidR="00BA024B" w:rsidRPr="004068F6">
        <w:rPr>
          <w:spacing w:val="-3"/>
        </w:rPr>
        <w:t xml:space="preserve"> en el marco de un proyecto, obra o actividad</w:t>
      </w:r>
      <w:r w:rsidRPr="004068F6">
        <w:rPr>
          <w:spacing w:val="-3"/>
        </w:rPr>
        <w:t>.</w:t>
      </w:r>
    </w:p>
    <w:p w14:paraId="5896A3A0" w14:textId="77777777" w:rsidR="00D277E7" w:rsidRPr="004068F6" w:rsidRDefault="00D277E7" w:rsidP="00D277E7">
      <w:pPr>
        <w:tabs>
          <w:tab w:val="left" w:pos="-2268"/>
        </w:tabs>
        <w:suppressAutoHyphens/>
        <w:rPr>
          <w:spacing w:val="-3"/>
        </w:rPr>
      </w:pPr>
    </w:p>
    <w:p w14:paraId="26100BDD" w14:textId="577E2A6C" w:rsidR="00D277E7" w:rsidRPr="004068F6" w:rsidRDefault="00D277E7" w:rsidP="00D277E7">
      <w:pPr>
        <w:numPr>
          <w:ilvl w:val="1"/>
          <w:numId w:val="40"/>
        </w:numPr>
        <w:tabs>
          <w:tab w:val="left" w:pos="-2268"/>
        </w:tabs>
        <w:suppressAutoHyphens/>
        <w:ind w:left="1134" w:hanging="567"/>
        <w:rPr>
          <w:i/>
          <w:spacing w:val="-3"/>
        </w:rPr>
      </w:pPr>
      <w:r w:rsidRPr="004068F6">
        <w:rPr>
          <w:i/>
          <w:spacing w:val="-3"/>
        </w:rPr>
        <w:t>Aspecto.</w:t>
      </w:r>
      <w:r w:rsidRPr="004068F6">
        <w:rPr>
          <w:spacing w:val="-3"/>
        </w:rPr>
        <w:t xml:space="preserve"> Las actividades </w:t>
      </w:r>
      <w:r w:rsidR="00BD4398" w:rsidRPr="004068F6">
        <w:rPr>
          <w:spacing w:val="-3"/>
        </w:rPr>
        <w:t xml:space="preserve">generan </w:t>
      </w:r>
      <w:r w:rsidRPr="004068F6">
        <w:rPr>
          <w:spacing w:val="-3"/>
        </w:rPr>
        <w:t>presiones ambientales que se denominan aspectos. Un ejemplo de aspecto relacionado con el caso anterior es la emisión de gases contaminantes.</w:t>
      </w:r>
    </w:p>
    <w:p w14:paraId="50A3F5DA" w14:textId="77777777" w:rsidR="00D277E7" w:rsidRPr="004068F6" w:rsidRDefault="00D277E7" w:rsidP="00D277E7">
      <w:pPr>
        <w:tabs>
          <w:tab w:val="left" w:pos="-2268"/>
        </w:tabs>
        <w:suppressAutoHyphens/>
        <w:rPr>
          <w:i/>
          <w:spacing w:val="-3"/>
        </w:rPr>
      </w:pPr>
    </w:p>
    <w:p w14:paraId="3D1B7A7F" w14:textId="1E2E4708" w:rsidR="00D277E7" w:rsidRPr="004068F6" w:rsidRDefault="00D277E7" w:rsidP="00D277E7">
      <w:pPr>
        <w:numPr>
          <w:ilvl w:val="2"/>
          <w:numId w:val="40"/>
        </w:numPr>
        <w:tabs>
          <w:tab w:val="left" w:pos="-2268"/>
        </w:tabs>
        <w:suppressAutoHyphens/>
        <w:ind w:left="1701" w:hanging="567"/>
        <w:rPr>
          <w:spacing w:val="-3"/>
        </w:rPr>
      </w:pPr>
      <w:r w:rsidRPr="004068F6">
        <w:rPr>
          <w:i/>
          <w:spacing w:val="-3"/>
        </w:rPr>
        <w:t>Efecto.</w:t>
      </w:r>
      <w:r w:rsidRPr="004068F6">
        <w:rPr>
          <w:spacing w:val="-3"/>
        </w:rPr>
        <w:t xml:space="preserve"> Los aspectos generan una serie de </w:t>
      </w:r>
      <w:r w:rsidR="005642C0" w:rsidRPr="004068F6">
        <w:rPr>
          <w:spacing w:val="-3"/>
        </w:rPr>
        <w:t xml:space="preserve">cambios </w:t>
      </w:r>
      <w:r w:rsidRPr="004068F6">
        <w:rPr>
          <w:spacing w:val="-3"/>
        </w:rPr>
        <w:t>sobre los factores ambientales. Un ejemplo de efecto es la contaminación atmosférica.</w:t>
      </w:r>
    </w:p>
    <w:p w14:paraId="62372CDB" w14:textId="77777777" w:rsidR="00D277E7" w:rsidRPr="004068F6" w:rsidRDefault="00D277E7" w:rsidP="00D277E7">
      <w:pPr>
        <w:tabs>
          <w:tab w:val="left" w:pos="-2268"/>
        </w:tabs>
        <w:suppressAutoHyphens/>
        <w:rPr>
          <w:spacing w:val="-3"/>
        </w:rPr>
      </w:pPr>
    </w:p>
    <w:p w14:paraId="79C0BBC6" w14:textId="7067B08E" w:rsidR="00D277E7" w:rsidRPr="004068F6" w:rsidRDefault="00D277E7" w:rsidP="4A0B09C6">
      <w:pPr>
        <w:numPr>
          <w:ilvl w:val="3"/>
          <w:numId w:val="40"/>
        </w:numPr>
        <w:suppressAutoHyphens/>
        <w:ind w:left="2268" w:hanging="567"/>
        <w:rPr>
          <w:i/>
          <w:spacing w:val="-3"/>
        </w:rPr>
      </w:pPr>
      <w:r w:rsidRPr="004068F6">
        <w:rPr>
          <w:i/>
          <w:spacing w:val="-3"/>
        </w:rPr>
        <w:t>Impacto ambiental</w:t>
      </w:r>
      <w:r w:rsidRPr="004068F6">
        <w:rPr>
          <w:spacing w:val="-3"/>
        </w:rPr>
        <w:t>. Los efectos pueden ser descritos mediante uno o varios</w:t>
      </w:r>
      <w:r w:rsidRPr="004068F6">
        <w:rPr>
          <w:i/>
          <w:spacing w:val="-3"/>
        </w:rPr>
        <w:t xml:space="preserve"> </w:t>
      </w:r>
      <w:r w:rsidRPr="004068F6">
        <w:rPr>
          <w:spacing w:val="-3"/>
        </w:rPr>
        <w:t>impactos ambientales</w:t>
      </w:r>
      <w:r w:rsidRPr="004068F6">
        <w:rPr>
          <w:i/>
          <w:spacing w:val="-3"/>
        </w:rPr>
        <w:t>.</w:t>
      </w:r>
      <w:r w:rsidRPr="004068F6">
        <w:rPr>
          <w:spacing w:val="-3"/>
        </w:rPr>
        <w:t xml:space="preserve"> </w:t>
      </w:r>
      <w:r w:rsidR="00127B40" w:rsidRPr="004068F6">
        <w:rPr>
          <w:spacing w:val="-3"/>
        </w:rPr>
        <w:t>E</w:t>
      </w:r>
      <w:r w:rsidRPr="004068F6">
        <w:rPr>
          <w:spacing w:val="-3"/>
        </w:rPr>
        <w:t>l impacto ambiental debe reflejar cambios específicos, de manera que pueda ser monitoreado haciendo mediciones periódicas a un parámetro ambiental. Un ejemplo de impacto relacionado con el efecto anterior es el aumento en la concentración de material particulado.</w:t>
      </w:r>
    </w:p>
    <w:p w14:paraId="71F0A28C" w14:textId="77777777" w:rsidR="00D277E7" w:rsidRPr="004068F6" w:rsidRDefault="00D277E7" w:rsidP="00D277E7">
      <w:pPr>
        <w:numPr>
          <w:ilvl w:val="12"/>
          <w:numId w:val="0"/>
        </w:numPr>
        <w:tabs>
          <w:tab w:val="left" w:pos="-2268"/>
        </w:tabs>
        <w:suppressAutoHyphens/>
        <w:rPr>
          <w:spacing w:val="-3"/>
        </w:rPr>
      </w:pPr>
    </w:p>
    <w:p w14:paraId="3798CC39" w14:textId="7F2D3480" w:rsidR="00D277E7" w:rsidRPr="004068F6" w:rsidRDefault="00D277E7" w:rsidP="00D277E7">
      <w:pPr>
        <w:numPr>
          <w:ilvl w:val="12"/>
          <w:numId w:val="0"/>
        </w:numPr>
        <w:tabs>
          <w:tab w:val="left" w:pos="-2268"/>
        </w:tabs>
        <w:suppressAutoHyphens/>
        <w:rPr>
          <w:spacing w:val="-3"/>
        </w:rPr>
      </w:pPr>
      <w:r w:rsidRPr="004068F6">
        <w:rPr>
          <w:spacing w:val="-3"/>
        </w:rPr>
        <w:t>La calidad de los estudios ambientales y de las decisiones que se toman con ellos (por ejemplo, la definición de una alternativa</w:t>
      </w:r>
      <w:r w:rsidR="00B8394B" w:rsidRPr="004068F6">
        <w:rPr>
          <w:spacing w:val="-3"/>
        </w:rPr>
        <w:t>,</w:t>
      </w:r>
      <w:r w:rsidRPr="004068F6">
        <w:rPr>
          <w:spacing w:val="-3"/>
        </w:rPr>
        <w:t xml:space="preserve"> de las medidas de manejo o de las acciones de seguimiento y control), depende directamente de la </w:t>
      </w:r>
      <w:r w:rsidR="00E644A1" w:rsidRPr="004068F6">
        <w:rPr>
          <w:spacing w:val="-3"/>
        </w:rPr>
        <w:t xml:space="preserve">determinación </w:t>
      </w:r>
      <w:r w:rsidRPr="004068F6">
        <w:rPr>
          <w:spacing w:val="-3"/>
        </w:rPr>
        <w:t xml:space="preserve">de los impactos ambientales, por lo que resulta </w:t>
      </w:r>
      <w:r w:rsidRPr="004068F6">
        <w:rPr>
          <w:rFonts w:cs="Arial"/>
          <w:spacing w:val="-3"/>
        </w:rPr>
        <w:t>de vital importancia</w:t>
      </w:r>
      <w:r w:rsidRPr="004068F6">
        <w:rPr>
          <w:spacing w:val="-3"/>
        </w:rPr>
        <w:t xml:space="preserve"> hacerlo adecuadamente</w:t>
      </w:r>
      <w:r w:rsidRPr="004068F6">
        <w:rPr>
          <w:rFonts w:cs="Arial"/>
          <w:spacing w:val="-3"/>
        </w:rPr>
        <w:t xml:space="preserve"> a partir de las características propias del proyecto, obra o actividad y de la</w:t>
      </w:r>
      <w:r w:rsidR="00C375D8" w:rsidRPr="004068F6">
        <w:rPr>
          <w:rFonts w:cs="Arial"/>
          <w:spacing w:val="-3"/>
        </w:rPr>
        <w:t>s</w:t>
      </w:r>
      <w:r w:rsidRPr="004068F6">
        <w:rPr>
          <w:rFonts w:cs="Arial"/>
          <w:spacing w:val="-3"/>
        </w:rPr>
        <w:t xml:space="preserve"> condiciones ambientales del territorio en el cual se plantea su ejecución</w:t>
      </w:r>
      <w:r w:rsidRPr="004068F6">
        <w:rPr>
          <w:spacing w:val="-3"/>
        </w:rPr>
        <w:t xml:space="preserve">. Un impacto ambiental debe referirse exclusivamente a los cambios que sufre un parámetro ambiental (cualitativo o cuantitativo), con el fin de establecer medidas de manejo </w:t>
      </w:r>
      <w:r w:rsidR="003D3EC7" w:rsidRPr="004068F6">
        <w:rPr>
          <w:spacing w:val="-3"/>
        </w:rPr>
        <w:t>eficaces</w:t>
      </w:r>
      <w:r w:rsidR="00BA024B" w:rsidRPr="004068F6">
        <w:rPr>
          <w:spacing w:val="-3"/>
        </w:rPr>
        <w:t>.</w:t>
      </w:r>
      <w:r w:rsidRPr="004068F6">
        <w:rPr>
          <w:spacing w:val="-3"/>
        </w:rPr>
        <w:t xml:space="preserve"> </w:t>
      </w:r>
      <w:r w:rsidR="00BA024B" w:rsidRPr="004068F6">
        <w:rPr>
          <w:spacing w:val="-3"/>
        </w:rPr>
        <w:t>L</w:t>
      </w:r>
      <w:r w:rsidRPr="004068F6">
        <w:rPr>
          <w:spacing w:val="-3"/>
        </w:rPr>
        <w:t xml:space="preserve">a gestión ambiental puede perder eficiencia cuando </w:t>
      </w:r>
      <w:r w:rsidR="00F76227" w:rsidRPr="004068F6">
        <w:rPr>
          <w:spacing w:val="-3"/>
        </w:rPr>
        <w:t xml:space="preserve">se emplea </w:t>
      </w:r>
      <w:r w:rsidRPr="004068F6">
        <w:rPr>
          <w:spacing w:val="-3"/>
        </w:rPr>
        <w:t xml:space="preserve">a los </w:t>
      </w:r>
      <w:r w:rsidRPr="004068F6">
        <w:rPr>
          <w:rFonts w:cs="Arial"/>
          <w:spacing w:val="-3"/>
        </w:rPr>
        <w:t>efectos</w:t>
      </w:r>
      <w:r w:rsidRPr="004068F6">
        <w:rPr>
          <w:spacing w:val="-3"/>
        </w:rPr>
        <w:t xml:space="preserve"> ambientales de cierta actividad como unidad de </w:t>
      </w:r>
      <w:r w:rsidR="003D3EC7" w:rsidRPr="004068F6">
        <w:rPr>
          <w:spacing w:val="-3"/>
        </w:rPr>
        <w:t xml:space="preserve">referencia </w:t>
      </w:r>
      <w:r w:rsidRPr="004068F6">
        <w:rPr>
          <w:spacing w:val="-3"/>
        </w:rPr>
        <w:t>para la formulación de medidas de manejo.</w:t>
      </w:r>
    </w:p>
    <w:p w14:paraId="7BDF67D1" w14:textId="77777777" w:rsidR="00D277E7" w:rsidRPr="004068F6" w:rsidRDefault="00D277E7" w:rsidP="00D277E7">
      <w:pPr>
        <w:numPr>
          <w:ilvl w:val="12"/>
          <w:numId w:val="0"/>
        </w:numPr>
        <w:tabs>
          <w:tab w:val="left" w:pos="-2268"/>
        </w:tabs>
        <w:suppressAutoHyphens/>
        <w:rPr>
          <w:spacing w:val="-3"/>
        </w:rPr>
      </w:pPr>
    </w:p>
    <w:p w14:paraId="449EB735" w14:textId="04CE5F6B" w:rsidR="00D277E7" w:rsidRPr="004068F6" w:rsidRDefault="00D277E7" w:rsidP="006052B3">
      <w:pPr>
        <w:numPr>
          <w:ilvl w:val="0"/>
          <w:numId w:val="41"/>
        </w:numPr>
        <w:tabs>
          <w:tab w:val="left" w:pos="-2268"/>
        </w:tabs>
        <w:suppressAutoHyphens/>
        <w:ind w:left="567" w:hanging="567"/>
        <w:rPr>
          <w:b/>
          <w:i/>
          <w:spacing w:val="-3"/>
          <w:u w:val="single"/>
        </w:rPr>
      </w:pPr>
      <w:r w:rsidRPr="004068F6">
        <w:rPr>
          <w:b/>
          <w:i/>
          <w:spacing w:val="-3"/>
          <w:u w:val="single"/>
        </w:rPr>
        <w:lastRenderedPageBreak/>
        <w:t xml:space="preserve">Sobre la </w:t>
      </w:r>
      <w:r w:rsidR="00907F14" w:rsidRPr="004068F6">
        <w:rPr>
          <w:b/>
          <w:i/>
          <w:spacing w:val="-3"/>
          <w:u w:val="single"/>
        </w:rPr>
        <w:t>j</w:t>
      </w:r>
      <w:r w:rsidRPr="004068F6">
        <w:rPr>
          <w:b/>
          <w:i/>
          <w:spacing w:val="-3"/>
          <w:u w:val="single"/>
        </w:rPr>
        <w:t>erarquía de las medidas de manejo</w:t>
      </w:r>
      <w:r w:rsidRPr="004068F6">
        <w:rPr>
          <w:vertAlign w:val="superscript"/>
        </w:rPr>
        <w:footnoteReference w:id="9"/>
      </w:r>
    </w:p>
    <w:p w14:paraId="17E756E1" w14:textId="77777777" w:rsidR="00D277E7" w:rsidRPr="004068F6" w:rsidRDefault="00D277E7" w:rsidP="00D277E7">
      <w:pPr>
        <w:numPr>
          <w:ilvl w:val="12"/>
          <w:numId w:val="0"/>
        </w:numPr>
        <w:tabs>
          <w:tab w:val="left" w:pos="-2268"/>
        </w:tabs>
        <w:suppressAutoHyphens/>
        <w:rPr>
          <w:spacing w:val="-3"/>
        </w:rPr>
      </w:pPr>
    </w:p>
    <w:p w14:paraId="4369856A" w14:textId="01DE58C7" w:rsidR="00A02F5A" w:rsidRPr="004068F6" w:rsidRDefault="00D277E7" w:rsidP="00D277E7">
      <w:pPr>
        <w:numPr>
          <w:ilvl w:val="12"/>
          <w:numId w:val="0"/>
        </w:numPr>
        <w:tabs>
          <w:tab w:val="left" w:pos="-2268"/>
        </w:tabs>
        <w:suppressAutoHyphens/>
        <w:rPr>
          <w:spacing w:val="-3"/>
        </w:rPr>
      </w:pPr>
      <w:r w:rsidRPr="004068F6">
        <w:rPr>
          <w:spacing w:val="-3"/>
        </w:rPr>
        <w:t xml:space="preserve">Es </w:t>
      </w:r>
      <w:r w:rsidR="00A02F5A" w:rsidRPr="004068F6">
        <w:rPr>
          <w:spacing w:val="-3"/>
        </w:rPr>
        <w:t xml:space="preserve">importante </w:t>
      </w:r>
      <w:r w:rsidRPr="004068F6">
        <w:rPr>
          <w:spacing w:val="-3"/>
        </w:rPr>
        <w:t xml:space="preserve">que </w:t>
      </w:r>
      <w:r w:rsidR="00A02F5A" w:rsidRPr="004068F6">
        <w:rPr>
          <w:spacing w:val="-3"/>
        </w:rPr>
        <w:t xml:space="preserve">la formulación de los estudios ambientales permita que </w:t>
      </w:r>
      <w:r w:rsidRPr="004068F6">
        <w:rPr>
          <w:spacing w:val="-3"/>
        </w:rPr>
        <w:t xml:space="preserve">la </w:t>
      </w:r>
      <w:r w:rsidR="00DC0C67" w:rsidRPr="004068F6">
        <w:rPr>
          <w:spacing w:val="-3"/>
        </w:rPr>
        <w:t>preconstrucción</w:t>
      </w:r>
      <w:r w:rsidR="007D4EA0" w:rsidRPr="004068F6">
        <w:rPr>
          <w:spacing w:val="-3"/>
        </w:rPr>
        <w:t xml:space="preserve"> (planeación,</w:t>
      </w:r>
      <w:r w:rsidR="00BE5726" w:rsidRPr="004068F6">
        <w:rPr>
          <w:spacing w:val="-3"/>
        </w:rPr>
        <w:t xml:space="preserve"> emplazamiento y adecuación</w:t>
      </w:r>
      <w:r w:rsidR="007D4EA0" w:rsidRPr="004068F6">
        <w:rPr>
          <w:spacing w:val="-3"/>
        </w:rPr>
        <w:t>)</w:t>
      </w:r>
      <w:r w:rsidR="00DC0C67" w:rsidRPr="004068F6">
        <w:rPr>
          <w:spacing w:val="-3"/>
        </w:rPr>
        <w:t xml:space="preserve">, </w:t>
      </w:r>
      <w:r w:rsidRPr="004068F6">
        <w:rPr>
          <w:spacing w:val="-3"/>
        </w:rPr>
        <w:t>construcción, operación</w:t>
      </w:r>
      <w:r w:rsidR="00430072">
        <w:rPr>
          <w:spacing w:val="-3"/>
        </w:rPr>
        <w:t xml:space="preserve"> y</w:t>
      </w:r>
      <w:r w:rsidRPr="004068F6">
        <w:rPr>
          <w:spacing w:val="-3"/>
        </w:rPr>
        <w:t xml:space="preserve"> desmantelamiento</w:t>
      </w:r>
      <w:r w:rsidR="001A34BC" w:rsidRPr="004068F6">
        <w:rPr>
          <w:spacing w:val="-3"/>
        </w:rPr>
        <w:t xml:space="preserve"> y</w:t>
      </w:r>
      <w:r w:rsidR="00DC0C67" w:rsidRPr="004068F6">
        <w:rPr>
          <w:spacing w:val="-3"/>
        </w:rPr>
        <w:t xml:space="preserve"> cierre ambiental </w:t>
      </w:r>
      <w:r w:rsidRPr="004068F6">
        <w:rPr>
          <w:spacing w:val="-3"/>
        </w:rPr>
        <w:t>de los proyectos, obras o actividades se ciña a la jerarquía de las medidas de manejo, es decir, a la implementación jerárquica de una serie de medidas que tiene como objeto primordial disminuir</w:t>
      </w:r>
      <w:r w:rsidR="00B8394B" w:rsidRPr="004068F6">
        <w:rPr>
          <w:spacing w:val="-3"/>
        </w:rPr>
        <w:t>,</w:t>
      </w:r>
      <w:r w:rsidRPr="004068F6">
        <w:rPr>
          <w:spacing w:val="-3"/>
        </w:rPr>
        <w:t xml:space="preserve"> en la mayor magnitud posible</w:t>
      </w:r>
      <w:r w:rsidR="00B8394B" w:rsidRPr="004068F6">
        <w:rPr>
          <w:spacing w:val="-3"/>
        </w:rPr>
        <w:t>,</w:t>
      </w:r>
      <w:r w:rsidRPr="004068F6">
        <w:rPr>
          <w:spacing w:val="-3"/>
        </w:rPr>
        <w:t xml:space="preserve"> los impactos ambientales.</w:t>
      </w:r>
    </w:p>
    <w:p w14:paraId="4868C1E9" w14:textId="77777777" w:rsidR="00A02F5A" w:rsidRPr="004068F6" w:rsidRDefault="00A02F5A" w:rsidP="00D277E7">
      <w:pPr>
        <w:numPr>
          <w:ilvl w:val="12"/>
          <w:numId w:val="0"/>
        </w:numPr>
        <w:tabs>
          <w:tab w:val="left" w:pos="-2268"/>
        </w:tabs>
        <w:suppressAutoHyphens/>
        <w:rPr>
          <w:spacing w:val="-3"/>
        </w:rPr>
      </w:pPr>
    </w:p>
    <w:p w14:paraId="04638D24" w14:textId="2068E271" w:rsidR="0042782D" w:rsidRPr="004068F6" w:rsidRDefault="00D277E7" w:rsidP="00D277E7">
      <w:pPr>
        <w:numPr>
          <w:ilvl w:val="12"/>
          <w:numId w:val="0"/>
        </w:numPr>
        <w:tabs>
          <w:tab w:val="left" w:pos="-2268"/>
        </w:tabs>
        <w:suppressAutoHyphens/>
        <w:rPr>
          <w:spacing w:val="-3"/>
        </w:rPr>
      </w:pPr>
      <w:r w:rsidRPr="004068F6">
        <w:rPr>
          <w:spacing w:val="-3"/>
        </w:rPr>
        <w:t>La jerarquía indica que las medidas que se apliquen</w:t>
      </w:r>
      <w:r w:rsidR="00F63AB5" w:rsidRPr="004068F6">
        <w:rPr>
          <w:spacing w:val="-3"/>
        </w:rPr>
        <w:t xml:space="preserve"> para manejar un impacto</w:t>
      </w:r>
      <w:r w:rsidRPr="004068F6">
        <w:rPr>
          <w:spacing w:val="-3"/>
        </w:rPr>
        <w:t xml:space="preserve">, en primera instancia, deben </w:t>
      </w:r>
      <w:r w:rsidR="002D36B1" w:rsidRPr="004068F6">
        <w:rPr>
          <w:spacing w:val="-3"/>
        </w:rPr>
        <w:t xml:space="preserve">buscar </w:t>
      </w:r>
      <w:r w:rsidRPr="004068F6">
        <w:rPr>
          <w:spacing w:val="-3"/>
        </w:rPr>
        <w:t>prevenirlo; si ello no resulta factible, deben centrar su propósito en mitigarlo; si no es practicable prevenir ni mitigar, las medidas deben enfocarse en corregirlo</w:t>
      </w:r>
      <w:r w:rsidR="002D36B1" w:rsidRPr="004068F6">
        <w:rPr>
          <w:spacing w:val="-3"/>
        </w:rPr>
        <w:t xml:space="preserve"> </w:t>
      </w:r>
      <w:r w:rsidRPr="004068F6">
        <w:rPr>
          <w:spacing w:val="-3"/>
        </w:rPr>
        <w:t xml:space="preserve">y; si no es posible desarrollar ninguna de las medidas mencionadas con anterioridad, entonces y solo entonces, se debe contemplar </w:t>
      </w:r>
      <w:r w:rsidR="009E2308" w:rsidRPr="004068F6">
        <w:rPr>
          <w:spacing w:val="-3"/>
        </w:rPr>
        <w:t xml:space="preserve">la formulación de </w:t>
      </w:r>
      <w:r w:rsidRPr="004068F6">
        <w:rPr>
          <w:spacing w:val="-3"/>
        </w:rPr>
        <w:t xml:space="preserve">medidas encaminadas a compensar </w:t>
      </w:r>
      <w:r w:rsidR="009E2308" w:rsidRPr="004068F6">
        <w:rPr>
          <w:spacing w:val="-3"/>
        </w:rPr>
        <w:t xml:space="preserve">el </w:t>
      </w:r>
      <w:r w:rsidRPr="004068F6">
        <w:rPr>
          <w:spacing w:val="-3"/>
        </w:rPr>
        <w:t>impacto ambiental</w:t>
      </w:r>
      <w:r w:rsidR="0042782D" w:rsidRPr="004068F6">
        <w:rPr>
          <w:spacing w:val="-3"/>
        </w:rPr>
        <w:t>.</w:t>
      </w:r>
    </w:p>
    <w:p w14:paraId="7A5FC6DC" w14:textId="77777777" w:rsidR="0042782D" w:rsidRPr="004068F6" w:rsidRDefault="0042782D" w:rsidP="00D277E7">
      <w:pPr>
        <w:numPr>
          <w:ilvl w:val="12"/>
          <w:numId w:val="0"/>
        </w:numPr>
        <w:tabs>
          <w:tab w:val="left" w:pos="-2268"/>
        </w:tabs>
        <w:suppressAutoHyphens/>
        <w:rPr>
          <w:spacing w:val="-3"/>
        </w:rPr>
      </w:pPr>
    </w:p>
    <w:p w14:paraId="1B01EE4E" w14:textId="06E4F6CC" w:rsidR="00465131" w:rsidRPr="004068F6" w:rsidRDefault="003435FC" w:rsidP="00FE196B">
      <w:pPr>
        <w:numPr>
          <w:ilvl w:val="12"/>
          <w:numId w:val="0"/>
        </w:numPr>
        <w:tabs>
          <w:tab w:val="left" w:pos="-2268"/>
        </w:tabs>
        <w:suppressAutoHyphens/>
        <w:rPr>
          <w:spacing w:val="-3"/>
        </w:rPr>
      </w:pPr>
      <w:r w:rsidRPr="004068F6">
        <w:rPr>
          <w:spacing w:val="-3"/>
        </w:rPr>
        <w:t xml:space="preserve">Adicionalmente, </w:t>
      </w:r>
      <w:r w:rsidR="00223BCE" w:rsidRPr="004068F6">
        <w:rPr>
          <w:spacing w:val="-3"/>
        </w:rPr>
        <w:t xml:space="preserve">la jerarquía </w:t>
      </w:r>
      <w:r w:rsidR="00CE02A1" w:rsidRPr="004068F6">
        <w:rPr>
          <w:spacing w:val="-3"/>
        </w:rPr>
        <w:t xml:space="preserve">establece </w:t>
      </w:r>
      <w:r w:rsidR="00BA6F91" w:rsidRPr="004068F6">
        <w:rPr>
          <w:spacing w:val="-3"/>
        </w:rPr>
        <w:t xml:space="preserve">que las </w:t>
      </w:r>
      <w:r w:rsidR="0038175C" w:rsidRPr="004068F6">
        <w:rPr>
          <w:spacing w:val="-3"/>
        </w:rPr>
        <w:t>m</w:t>
      </w:r>
      <w:r w:rsidR="00AC12D7" w:rsidRPr="004068F6">
        <w:rPr>
          <w:spacing w:val="-3"/>
        </w:rPr>
        <w:t xml:space="preserve">edidas de compensación </w:t>
      </w:r>
      <w:r w:rsidR="0038175C" w:rsidRPr="004068F6">
        <w:rPr>
          <w:spacing w:val="-3"/>
        </w:rPr>
        <w:t xml:space="preserve">deben formularse </w:t>
      </w:r>
      <w:r w:rsidR="00BA6F91" w:rsidRPr="004068F6">
        <w:rPr>
          <w:spacing w:val="-3"/>
        </w:rPr>
        <w:t xml:space="preserve">y aplicarse </w:t>
      </w:r>
      <w:r w:rsidR="00204C0E" w:rsidRPr="004068F6">
        <w:rPr>
          <w:spacing w:val="-3"/>
        </w:rPr>
        <w:t xml:space="preserve">únicamente </w:t>
      </w:r>
      <w:r w:rsidR="00BA6F91" w:rsidRPr="004068F6">
        <w:rPr>
          <w:spacing w:val="-3"/>
        </w:rPr>
        <w:t xml:space="preserve">a </w:t>
      </w:r>
      <w:r w:rsidR="00AC12D7" w:rsidRPr="004068F6">
        <w:rPr>
          <w:spacing w:val="-3"/>
        </w:rPr>
        <w:t xml:space="preserve">los impactos residuales, </w:t>
      </w:r>
      <w:r w:rsidR="00811B1F" w:rsidRPr="004068F6">
        <w:rPr>
          <w:spacing w:val="-3"/>
        </w:rPr>
        <w:t xml:space="preserve">incluidos </w:t>
      </w:r>
      <w:r w:rsidR="00AC12D7" w:rsidRPr="004068F6">
        <w:rPr>
          <w:spacing w:val="-3"/>
        </w:rPr>
        <w:t xml:space="preserve">los que </w:t>
      </w:r>
      <w:r w:rsidR="002443AB" w:rsidRPr="004068F6">
        <w:rPr>
          <w:spacing w:val="-3"/>
        </w:rPr>
        <w:t xml:space="preserve">permanecen </w:t>
      </w:r>
      <w:r w:rsidR="006250F2" w:rsidRPr="004068F6">
        <w:rPr>
          <w:spacing w:val="-3"/>
        </w:rPr>
        <w:t xml:space="preserve">de los impactos mitigados y de los </w:t>
      </w:r>
      <w:r w:rsidR="00901DC9" w:rsidRPr="004068F6">
        <w:rPr>
          <w:spacing w:val="-3"/>
        </w:rPr>
        <w:t xml:space="preserve">impactos </w:t>
      </w:r>
      <w:r w:rsidR="006250F2" w:rsidRPr="004068F6">
        <w:rPr>
          <w:spacing w:val="-3"/>
        </w:rPr>
        <w:t xml:space="preserve">que no pueden ser </w:t>
      </w:r>
      <w:r w:rsidR="00D171AD" w:rsidRPr="004068F6">
        <w:rPr>
          <w:spacing w:val="-3"/>
        </w:rPr>
        <w:t xml:space="preserve">prevenidos o </w:t>
      </w:r>
      <w:r w:rsidR="006250F2" w:rsidRPr="004068F6">
        <w:rPr>
          <w:spacing w:val="-3"/>
        </w:rPr>
        <w:t>corregidos</w:t>
      </w:r>
      <w:r w:rsidR="00A55B7B" w:rsidRPr="004068F6">
        <w:rPr>
          <w:spacing w:val="-3"/>
        </w:rPr>
        <w:t>,</w:t>
      </w:r>
      <w:r w:rsidR="00D277E7" w:rsidRPr="004068F6">
        <w:rPr>
          <w:spacing w:val="-3"/>
        </w:rPr>
        <w:t xml:space="preserve"> es decir, </w:t>
      </w:r>
      <w:r w:rsidR="00477EC9" w:rsidRPr="004068F6">
        <w:rPr>
          <w:spacing w:val="-3"/>
        </w:rPr>
        <w:t xml:space="preserve">estas medidas </w:t>
      </w:r>
      <w:r w:rsidR="00187CFB" w:rsidRPr="004068F6">
        <w:rPr>
          <w:spacing w:val="-3"/>
        </w:rPr>
        <w:t xml:space="preserve">sólo deben </w:t>
      </w:r>
      <w:r w:rsidR="00C1659F" w:rsidRPr="004068F6">
        <w:rPr>
          <w:spacing w:val="-3"/>
        </w:rPr>
        <w:t>prescribirse para</w:t>
      </w:r>
      <w:r w:rsidR="00187CFB" w:rsidRPr="004068F6">
        <w:rPr>
          <w:spacing w:val="-3"/>
        </w:rPr>
        <w:t xml:space="preserve"> </w:t>
      </w:r>
      <w:r w:rsidR="00D277E7" w:rsidRPr="004068F6">
        <w:rPr>
          <w:spacing w:val="-3"/>
        </w:rPr>
        <w:t xml:space="preserve">los </w:t>
      </w:r>
      <w:r w:rsidR="00FE196B" w:rsidRPr="004068F6">
        <w:rPr>
          <w:spacing w:val="-3"/>
        </w:rPr>
        <w:t xml:space="preserve">impactos </w:t>
      </w:r>
      <w:r w:rsidR="00D277E7" w:rsidRPr="004068F6">
        <w:rPr>
          <w:spacing w:val="-3"/>
        </w:rPr>
        <w:t xml:space="preserve">que </w:t>
      </w:r>
      <w:r w:rsidR="002443AB" w:rsidRPr="004068F6">
        <w:rPr>
          <w:spacing w:val="-3"/>
        </w:rPr>
        <w:t>persisten</w:t>
      </w:r>
      <w:r w:rsidR="006A6971" w:rsidRPr="004068F6">
        <w:rPr>
          <w:spacing w:val="-3"/>
        </w:rPr>
        <w:t xml:space="preserve"> </w:t>
      </w:r>
      <w:r w:rsidR="00D277E7" w:rsidRPr="004068F6">
        <w:rPr>
          <w:spacing w:val="-3"/>
        </w:rPr>
        <w:t xml:space="preserve">luego de aplicar </w:t>
      </w:r>
      <w:r w:rsidR="00D16419" w:rsidRPr="004068F6">
        <w:rPr>
          <w:spacing w:val="-3"/>
        </w:rPr>
        <w:t>medidas de prevención, mitigación o corrección</w:t>
      </w:r>
      <w:r w:rsidR="00D277E7" w:rsidRPr="004068F6">
        <w:rPr>
          <w:spacing w:val="-3"/>
        </w:rPr>
        <w:t>.</w:t>
      </w:r>
    </w:p>
    <w:p w14:paraId="7EE6D9A5" w14:textId="77777777" w:rsidR="00465131" w:rsidRPr="004068F6" w:rsidRDefault="00465131" w:rsidP="00FE196B">
      <w:pPr>
        <w:numPr>
          <w:ilvl w:val="12"/>
          <w:numId w:val="0"/>
        </w:numPr>
        <w:tabs>
          <w:tab w:val="left" w:pos="-2268"/>
        </w:tabs>
        <w:suppressAutoHyphens/>
        <w:rPr>
          <w:spacing w:val="-3"/>
        </w:rPr>
      </w:pPr>
    </w:p>
    <w:p w14:paraId="20FCBB6C" w14:textId="6525CC69" w:rsidR="00D277E7" w:rsidRPr="004068F6" w:rsidRDefault="008A79DB" w:rsidP="00FE196B">
      <w:pPr>
        <w:numPr>
          <w:ilvl w:val="12"/>
          <w:numId w:val="0"/>
        </w:numPr>
        <w:tabs>
          <w:tab w:val="left" w:pos="-2268"/>
        </w:tabs>
        <w:suppressAutoHyphens/>
        <w:rPr>
          <w:spacing w:val="-3"/>
        </w:rPr>
      </w:pPr>
      <w:r w:rsidRPr="004068F6">
        <w:rPr>
          <w:spacing w:val="-3"/>
        </w:rPr>
        <w:t>Así</w:t>
      </w:r>
      <w:r w:rsidR="00B830A7" w:rsidRPr="004068F6">
        <w:rPr>
          <w:spacing w:val="-3"/>
        </w:rPr>
        <w:t>, d</w:t>
      </w:r>
      <w:r w:rsidR="00284CC3" w:rsidRPr="004068F6">
        <w:rPr>
          <w:spacing w:val="-3"/>
        </w:rPr>
        <w:t>ado que l</w:t>
      </w:r>
      <w:r w:rsidR="00465131" w:rsidRPr="004068F6">
        <w:rPr>
          <w:spacing w:val="-3"/>
        </w:rPr>
        <w:t xml:space="preserve">as </w:t>
      </w:r>
      <w:r w:rsidR="00D277E7" w:rsidRPr="004068F6">
        <w:rPr>
          <w:spacing w:val="-3"/>
        </w:rPr>
        <w:t xml:space="preserve">medidas de </w:t>
      </w:r>
      <w:r w:rsidR="006478E7" w:rsidRPr="004068F6">
        <w:rPr>
          <w:spacing w:val="-3"/>
        </w:rPr>
        <w:t xml:space="preserve">manejo de los impactos </w:t>
      </w:r>
      <w:r w:rsidR="00284CC3" w:rsidRPr="004068F6">
        <w:rPr>
          <w:spacing w:val="-3"/>
        </w:rPr>
        <w:t>(</w:t>
      </w:r>
      <w:r w:rsidR="00847504" w:rsidRPr="004068F6">
        <w:rPr>
          <w:spacing w:val="-3"/>
        </w:rPr>
        <w:t xml:space="preserve">de </w:t>
      </w:r>
      <w:r w:rsidR="00284CC3" w:rsidRPr="004068F6">
        <w:rPr>
          <w:spacing w:val="-3"/>
        </w:rPr>
        <w:t xml:space="preserve">prevención, mitigación, corrección y compensación) </w:t>
      </w:r>
      <w:r w:rsidR="00D277E7" w:rsidRPr="004068F6">
        <w:rPr>
          <w:spacing w:val="-3"/>
        </w:rPr>
        <w:t>son complementarias entre sí y no sustitutas</w:t>
      </w:r>
      <w:r w:rsidR="00922C18" w:rsidRPr="004068F6">
        <w:rPr>
          <w:spacing w:val="-3"/>
        </w:rPr>
        <w:t>, es necesario formularlas procurando que</w:t>
      </w:r>
      <w:r w:rsidR="00713057" w:rsidRPr="004068F6">
        <w:rPr>
          <w:spacing w:val="-3"/>
        </w:rPr>
        <w:t xml:space="preserve">, </w:t>
      </w:r>
      <w:r w:rsidR="00713057" w:rsidRPr="00127BD4">
        <w:rPr>
          <w:i/>
          <w:iCs/>
          <w:spacing w:val="-3"/>
        </w:rPr>
        <w:t>en la medida en que lo permita el proyecto, obra o actividad</w:t>
      </w:r>
      <w:r w:rsidR="00713057" w:rsidRPr="004068F6">
        <w:rPr>
          <w:spacing w:val="-3"/>
        </w:rPr>
        <w:t>,</w:t>
      </w:r>
      <w:r w:rsidR="00713057" w:rsidRPr="004068F6">
        <w:rPr>
          <w:rFonts w:cs="Arial"/>
          <w:spacing w:val="-3"/>
        </w:rPr>
        <w:t xml:space="preserve"> preven</w:t>
      </w:r>
      <w:r w:rsidR="00922C18" w:rsidRPr="004068F6">
        <w:rPr>
          <w:rFonts w:cs="Arial"/>
          <w:spacing w:val="-3"/>
        </w:rPr>
        <w:t>ga</w:t>
      </w:r>
      <w:r w:rsidR="00DE7180" w:rsidRPr="004068F6">
        <w:rPr>
          <w:rFonts w:cs="Arial"/>
          <w:spacing w:val="-3"/>
        </w:rPr>
        <w:t>n</w:t>
      </w:r>
      <w:r w:rsidR="00922C18" w:rsidRPr="004068F6">
        <w:rPr>
          <w:rFonts w:cs="Arial"/>
          <w:spacing w:val="-3"/>
        </w:rPr>
        <w:t xml:space="preserve"> </w:t>
      </w:r>
      <w:r w:rsidR="00713057" w:rsidRPr="004068F6">
        <w:rPr>
          <w:rFonts w:cs="Arial"/>
          <w:spacing w:val="-3"/>
        </w:rPr>
        <w:t xml:space="preserve">la mayor cantidad de impactos, especialmente los </w:t>
      </w:r>
      <w:r w:rsidR="00713057" w:rsidRPr="004068F6">
        <w:rPr>
          <w:spacing w:val="-3"/>
        </w:rPr>
        <w:t xml:space="preserve">de potencial de alteración negativa </w:t>
      </w:r>
      <w:r w:rsidR="00E0638D" w:rsidRPr="004068F6">
        <w:rPr>
          <w:spacing w:val="-3"/>
        </w:rPr>
        <w:t xml:space="preserve">considerable </w:t>
      </w:r>
      <w:r w:rsidR="00713057" w:rsidRPr="004068F6">
        <w:rPr>
          <w:spacing w:val="-3"/>
        </w:rPr>
        <w:t>y los irreversibles</w:t>
      </w:r>
      <w:r w:rsidR="00CC48E6" w:rsidRPr="004068F6">
        <w:rPr>
          <w:spacing w:val="-3"/>
        </w:rPr>
        <w:t>;</w:t>
      </w:r>
      <w:r w:rsidR="00713057" w:rsidRPr="004068F6">
        <w:rPr>
          <w:spacing w:val="-3"/>
        </w:rPr>
        <w:t xml:space="preserve"> corr</w:t>
      </w:r>
      <w:r w:rsidR="002A2C95" w:rsidRPr="004068F6">
        <w:rPr>
          <w:spacing w:val="-3"/>
        </w:rPr>
        <w:t xml:space="preserve">ijan </w:t>
      </w:r>
      <w:r w:rsidR="00D97EC0" w:rsidRPr="004068F6">
        <w:rPr>
          <w:spacing w:val="-3"/>
        </w:rPr>
        <w:t xml:space="preserve">o mitiguen </w:t>
      </w:r>
      <w:r w:rsidR="00713057" w:rsidRPr="004068F6">
        <w:rPr>
          <w:spacing w:val="-3"/>
        </w:rPr>
        <w:t xml:space="preserve">los impactos </w:t>
      </w:r>
      <w:r w:rsidR="00C86ADB" w:rsidRPr="004068F6">
        <w:rPr>
          <w:spacing w:val="-3"/>
        </w:rPr>
        <w:t>que no pued</w:t>
      </w:r>
      <w:r w:rsidR="002A2C95" w:rsidRPr="004068F6">
        <w:rPr>
          <w:spacing w:val="-3"/>
        </w:rPr>
        <w:t>e</w:t>
      </w:r>
      <w:r w:rsidR="00C86ADB" w:rsidRPr="004068F6">
        <w:rPr>
          <w:spacing w:val="-3"/>
        </w:rPr>
        <w:t>n prevenir</w:t>
      </w:r>
      <w:r w:rsidR="002A2C95" w:rsidRPr="004068F6">
        <w:rPr>
          <w:spacing w:val="-3"/>
        </w:rPr>
        <w:t>se para</w:t>
      </w:r>
      <w:r w:rsidR="00270E9F" w:rsidRPr="004068F6">
        <w:rPr>
          <w:spacing w:val="-3"/>
        </w:rPr>
        <w:t xml:space="preserve"> restaurar las condiciones iniciales o</w:t>
      </w:r>
      <w:r w:rsidR="002A2C95" w:rsidRPr="004068F6">
        <w:rPr>
          <w:spacing w:val="-3"/>
        </w:rPr>
        <w:t xml:space="preserve"> </w:t>
      </w:r>
      <w:r w:rsidR="001E4B52">
        <w:rPr>
          <w:spacing w:val="-3"/>
        </w:rPr>
        <w:t xml:space="preserve">para </w:t>
      </w:r>
      <w:r w:rsidR="002A2C95" w:rsidRPr="004068F6">
        <w:rPr>
          <w:spacing w:val="-3"/>
        </w:rPr>
        <w:t>disminuir sustancialmente su significancia</w:t>
      </w:r>
      <w:r w:rsidR="00270E9F" w:rsidRPr="004068F6">
        <w:rPr>
          <w:spacing w:val="-3"/>
        </w:rPr>
        <w:t>, respectivamente</w:t>
      </w:r>
      <w:r w:rsidR="008D0683" w:rsidRPr="004068F6">
        <w:rPr>
          <w:spacing w:val="-3"/>
        </w:rPr>
        <w:t xml:space="preserve"> y</w:t>
      </w:r>
      <w:r w:rsidR="00DB3C90" w:rsidRPr="004068F6">
        <w:rPr>
          <w:spacing w:val="-3"/>
        </w:rPr>
        <w:t>;</w:t>
      </w:r>
      <w:r w:rsidR="00713057" w:rsidRPr="004068F6">
        <w:rPr>
          <w:spacing w:val="-3"/>
        </w:rPr>
        <w:t xml:space="preserve"> compens</w:t>
      </w:r>
      <w:r w:rsidR="008D0683" w:rsidRPr="004068F6">
        <w:rPr>
          <w:spacing w:val="-3"/>
        </w:rPr>
        <w:t xml:space="preserve">en </w:t>
      </w:r>
      <w:r w:rsidR="00713057" w:rsidRPr="004068F6">
        <w:rPr>
          <w:spacing w:val="-3"/>
        </w:rPr>
        <w:t>los impactos residuales que permanec</w:t>
      </w:r>
      <w:r w:rsidR="00C86ADB" w:rsidRPr="004068F6">
        <w:rPr>
          <w:spacing w:val="-3"/>
        </w:rPr>
        <w:t>e</w:t>
      </w:r>
      <w:r w:rsidR="00713057" w:rsidRPr="004068F6">
        <w:rPr>
          <w:spacing w:val="-3"/>
        </w:rPr>
        <w:t>n en el medio</w:t>
      </w:r>
      <w:r w:rsidR="00D277E7" w:rsidRPr="004068F6">
        <w:rPr>
          <w:spacing w:val="-3"/>
        </w:rPr>
        <w:t xml:space="preserve">. </w:t>
      </w:r>
      <w:r w:rsidR="00D277E7" w:rsidRPr="004068F6">
        <w:rPr>
          <w:rFonts w:cs="Arial"/>
          <w:spacing w:val="-3"/>
        </w:rPr>
        <w:t>La</w:t>
      </w:r>
      <w:r w:rsidR="00611009" w:rsidRPr="004068F6">
        <w:rPr>
          <w:spacing w:val="-3"/>
        </w:rPr>
        <w:t xml:space="preserve"> </w:t>
      </w:r>
      <w:r w:rsidR="00611009" w:rsidRPr="004068F6">
        <w:rPr>
          <w:spacing w:val="-3"/>
        </w:rPr>
        <w:fldChar w:fldCharType="begin"/>
      </w:r>
      <w:r w:rsidR="00611009" w:rsidRPr="004068F6">
        <w:rPr>
          <w:spacing w:val="-3"/>
        </w:rPr>
        <w:instrText xml:space="preserve"> REF _Ref81910178 \h </w:instrText>
      </w:r>
      <w:r w:rsidR="00BD1319" w:rsidRPr="004068F6">
        <w:rPr>
          <w:spacing w:val="-3"/>
        </w:rPr>
        <w:instrText xml:space="preserve"> \* MERGEFORMAT </w:instrText>
      </w:r>
      <w:r w:rsidR="00611009" w:rsidRPr="004068F6">
        <w:rPr>
          <w:spacing w:val="-3"/>
        </w:rPr>
      </w:r>
      <w:r w:rsidR="00611009" w:rsidRPr="004068F6">
        <w:rPr>
          <w:spacing w:val="-3"/>
        </w:rPr>
        <w:fldChar w:fldCharType="separate"/>
      </w:r>
      <w:r w:rsidR="009C4A81" w:rsidRPr="004068F6">
        <w:t xml:space="preserve">Figura </w:t>
      </w:r>
      <w:r w:rsidR="009C4A81">
        <w:t>1</w:t>
      </w:r>
      <w:r w:rsidR="00611009" w:rsidRPr="004068F6">
        <w:rPr>
          <w:spacing w:val="-3"/>
        </w:rPr>
        <w:fldChar w:fldCharType="end"/>
      </w:r>
      <w:r w:rsidR="00611009" w:rsidRPr="004068F6">
        <w:rPr>
          <w:spacing w:val="-3"/>
        </w:rPr>
        <w:t xml:space="preserve"> </w:t>
      </w:r>
      <w:r w:rsidR="00D277E7" w:rsidRPr="004068F6">
        <w:rPr>
          <w:spacing w:val="-3"/>
        </w:rPr>
        <w:t>esquematiza el funcionamiento de esta jerarquía.</w:t>
      </w:r>
    </w:p>
    <w:p w14:paraId="0D14A2F3" w14:textId="77777777" w:rsidR="00D277E7" w:rsidRDefault="00D277E7" w:rsidP="00D277E7">
      <w:pPr>
        <w:numPr>
          <w:ilvl w:val="12"/>
          <w:numId w:val="0"/>
        </w:numPr>
        <w:tabs>
          <w:tab w:val="left" w:pos="-2268"/>
        </w:tabs>
        <w:suppressAutoHyphens/>
        <w:rPr>
          <w:rFonts w:cs="Arial"/>
          <w:spacing w:val="-3"/>
        </w:rPr>
      </w:pPr>
    </w:p>
    <w:p w14:paraId="0C186EDF" w14:textId="77777777" w:rsidR="00B32361" w:rsidRDefault="00B32361" w:rsidP="00D277E7">
      <w:pPr>
        <w:numPr>
          <w:ilvl w:val="12"/>
          <w:numId w:val="0"/>
        </w:numPr>
        <w:tabs>
          <w:tab w:val="left" w:pos="-2268"/>
        </w:tabs>
        <w:suppressAutoHyphens/>
        <w:rPr>
          <w:rFonts w:cs="Arial"/>
          <w:spacing w:val="-3"/>
        </w:rPr>
      </w:pPr>
    </w:p>
    <w:p w14:paraId="70763186" w14:textId="77777777" w:rsidR="00B32361" w:rsidRDefault="00B32361" w:rsidP="00D277E7">
      <w:pPr>
        <w:numPr>
          <w:ilvl w:val="12"/>
          <w:numId w:val="0"/>
        </w:numPr>
        <w:tabs>
          <w:tab w:val="left" w:pos="-2268"/>
        </w:tabs>
        <w:suppressAutoHyphens/>
        <w:rPr>
          <w:rFonts w:cs="Arial"/>
          <w:spacing w:val="-3"/>
        </w:rPr>
      </w:pPr>
    </w:p>
    <w:p w14:paraId="63631358" w14:textId="77777777" w:rsidR="00B32361" w:rsidRDefault="00B32361" w:rsidP="00D277E7">
      <w:pPr>
        <w:numPr>
          <w:ilvl w:val="12"/>
          <w:numId w:val="0"/>
        </w:numPr>
        <w:tabs>
          <w:tab w:val="left" w:pos="-2268"/>
        </w:tabs>
        <w:suppressAutoHyphens/>
        <w:rPr>
          <w:rFonts w:cs="Arial"/>
          <w:spacing w:val="-3"/>
        </w:rPr>
      </w:pPr>
    </w:p>
    <w:p w14:paraId="5060561E" w14:textId="77777777" w:rsidR="00B32361" w:rsidRDefault="00B32361" w:rsidP="00D277E7">
      <w:pPr>
        <w:numPr>
          <w:ilvl w:val="12"/>
          <w:numId w:val="0"/>
        </w:numPr>
        <w:tabs>
          <w:tab w:val="left" w:pos="-2268"/>
        </w:tabs>
        <w:suppressAutoHyphens/>
        <w:rPr>
          <w:rFonts w:cs="Arial"/>
          <w:spacing w:val="-3"/>
        </w:rPr>
      </w:pPr>
    </w:p>
    <w:p w14:paraId="03DB9F6B" w14:textId="77777777" w:rsidR="00B32361" w:rsidRDefault="00B32361" w:rsidP="00D277E7">
      <w:pPr>
        <w:numPr>
          <w:ilvl w:val="12"/>
          <w:numId w:val="0"/>
        </w:numPr>
        <w:tabs>
          <w:tab w:val="left" w:pos="-2268"/>
        </w:tabs>
        <w:suppressAutoHyphens/>
        <w:rPr>
          <w:rFonts w:cs="Arial"/>
          <w:spacing w:val="-3"/>
        </w:rPr>
      </w:pPr>
    </w:p>
    <w:p w14:paraId="27DC4522" w14:textId="77777777" w:rsidR="00B32361" w:rsidRDefault="00B32361" w:rsidP="00D277E7">
      <w:pPr>
        <w:numPr>
          <w:ilvl w:val="12"/>
          <w:numId w:val="0"/>
        </w:numPr>
        <w:tabs>
          <w:tab w:val="left" w:pos="-2268"/>
        </w:tabs>
        <w:suppressAutoHyphens/>
        <w:rPr>
          <w:rFonts w:cs="Arial"/>
          <w:spacing w:val="-3"/>
        </w:rPr>
      </w:pPr>
    </w:p>
    <w:p w14:paraId="65C6D5C1" w14:textId="77777777" w:rsidR="00B32361" w:rsidRPr="004068F6" w:rsidRDefault="00B32361" w:rsidP="00D277E7">
      <w:pPr>
        <w:numPr>
          <w:ilvl w:val="12"/>
          <w:numId w:val="0"/>
        </w:numPr>
        <w:tabs>
          <w:tab w:val="left" w:pos="-2268"/>
        </w:tabs>
        <w:suppressAutoHyphens/>
        <w:rPr>
          <w:rFonts w:cs="Arial"/>
          <w:spacing w:val="-3"/>
        </w:rPr>
      </w:pPr>
    </w:p>
    <w:p w14:paraId="363C0993" w14:textId="3A9F0A1B" w:rsidR="00611009" w:rsidRPr="004068F6" w:rsidRDefault="00E45CEA" w:rsidP="00E45CEA">
      <w:pPr>
        <w:pStyle w:val="Descripcin"/>
        <w:jc w:val="center"/>
        <w:rPr>
          <w:b w:val="0"/>
          <w:bCs w:val="0"/>
        </w:rPr>
      </w:pPr>
      <w:bookmarkStart w:id="1931" w:name="_Ref81910178"/>
      <w:r w:rsidRPr="004068F6">
        <w:lastRenderedPageBreak/>
        <w:t xml:space="preserve">Figura </w:t>
      </w:r>
      <w:fldSimple w:instr=" SEQ Figura \* ARABIC ">
        <w:r w:rsidR="009C4A81">
          <w:rPr>
            <w:noProof/>
          </w:rPr>
          <w:t>1</w:t>
        </w:r>
      </w:fldSimple>
      <w:bookmarkEnd w:id="1931"/>
      <w:r w:rsidR="00611009" w:rsidRPr="004068F6">
        <w:t>.</w:t>
      </w:r>
      <w:r w:rsidR="00611009" w:rsidRPr="004068F6">
        <w:rPr>
          <w:b w:val="0"/>
        </w:rPr>
        <w:t xml:space="preserve"> </w:t>
      </w:r>
      <w:r w:rsidR="00611009" w:rsidRPr="004068F6">
        <w:rPr>
          <w:b w:val="0"/>
          <w:bCs w:val="0"/>
        </w:rPr>
        <w:t>Jerarquía de las medidas de manejo</w:t>
      </w:r>
    </w:p>
    <w:p w14:paraId="2F02DF24" w14:textId="1C5E1014" w:rsidR="00A344EC" w:rsidRPr="004068F6" w:rsidRDefault="00EC0EAC" w:rsidP="00A344EC">
      <w:pPr>
        <w:keepNext/>
        <w:numPr>
          <w:ilvl w:val="12"/>
          <w:numId w:val="0"/>
        </w:numPr>
        <w:tabs>
          <w:tab w:val="left" w:pos="-2268"/>
        </w:tabs>
        <w:suppressAutoHyphens/>
        <w:jc w:val="center"/>
        <w:rPr>
          <w:rFonts w:cs="Arial"/>
        </w:rPr>
      </w:pPr>
      <w:r w:rsidRPr="00AA2094">
        <w:rPr>
          <w:rFonts w:cs="Arial"/>
          <w:noProof/>
          <w:spacing w:val="-3"/>
          <w:lang w:eastAsia="es-CO"/>
        </w:rPr>
        <mc:AlternateContent>
          <mc:Choice Requires="wpg">
            <w:drawing>
              <wp:anchor distT="0" distB="0" distL="114300" distR="114300" simplePos="0" relativeHeight="251658244" behindDoc="0" locked="0" layoutInCell="1" allowOverlap="1" wp14:anchorId="2D8CA44E" wp14:editId="423586A4">
                <wp:simplePos x="0" y="0"/>
                <wp:positionH relativeFrom="column">
                  <wp:posOffset>3108960</wp:posOffset>
                </wp:positionH>
                <wp:positionV relativeFrom="paragraph">
                  <wp:posOffset>150495</wp:posOffset>
                </wp:positionV>
                <wp:extent cx="1981835" cy="499745"/>
                <wp:effectExtent l="0" t="0" r="0" b="52705"/>
                <wp:wrapNone/>
                <wp:docPr id="4" name="23 Grupo"/>
                <wp:cNvGraphicFramePr/>
                <a:graphic xmlns:a="http://schemas.openxmlformats.org/drawingml/2006/main">
                  <a:graphicData uri="http://schemas.microsoft.com/office/word/2010/wordprocessingGroup">
                    <wpg:wgp>
                      <wpg:cNvGrpSpPr/>
                      <wpg:grpSpPr>
                        <a:xfrm>
                          <a:off x="0" y="0"/>
                          <a:ext cx="1981835" cy="499745"/>
                          <a:chOff x="2560733" y="285750"/>
                          <a:chExt cx="1648653" cy="500063"/>
                        </a:xfrm>
                      </wpg:grpSpPr>
                      <wps:wsp>
                        <wps:cNvPr id="19" name="24 CuadroTexto"/>
                        <wps:cNvSpPr txBox="1"/>
                        <wps:spPr>
                          <a:xfrm>
                            <a:off x="2560733" y="285750"/>
                            <a:ext cx="1648653" cy="3085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49A1F39" w14:textId="77777777" w:rsidR="00D55F13" w:rsidRPr="004E4C01" w:rsidRDefault="00D55F13" w:rsidP="00EC0EAC">
                              <w:pPr>
                                <w:pStyle w:val="NormalWeb"/>
                                <w:spacing w:before="0" w:after="0"/>
                                <w:jc w:val="center"/>
                                <w:rPr>
                                  <w:rFonts w:asciiTheme="minorHAnsi" w:hAnsiTheme="minorHAnsi" w:cstheme="minorHAnsi"/>
                                  <w:sz w:val="18"/>
                                  <w:szCs w:val="18"/>
                                </w:rPr>
                              </w:pPr>
                              <w:r w:rsidRPr="004E4C01">
                                <w:rPr>
                                  <w:rFonts w:asciiTheme="minorHAnsi" w:hAnsiTheme="minorHAnsi" w:cstheme="minorHAnsi"/>
                                  <w:color w:val="000000" w:themeColor="dark1"/>
                                  <w:sz w:val="18"/>
                                  <w:szCs w:val="18"/>
                                </w:rPr>
                                <w:t>En otro lugar o categoría ambiental</w:t>
                              </w:r>
                            </w:p>
                          </w:txbxContent>
                        </wps:txbx>
                        <wps:bodyPr wrap="square" lIns="0" tIns="0" rIns="0" bIns="0" rtlCol="0" anchor="ctr" anchorCtr="1"/>
                      </wps:wsp>
                      <wps:wsp>
                        <wps:cNvPr id="21" name="25 Conector recto de flecha"/>
                        <wps:cNvCnPr/>
                        <wps:spPr>
                          <a:xfrm flipH="1">
                            <a:off x="3173011" y="594290"/>
                            <a:ext cx="180810" cy="191523"/>
                          </a:xfrm>
                          <a:prstGeom prst="straightConnector1">
                            <a:avLst/>
                          </a:prstGeom>
                          <a:ln>
                            <a:solidFill>
                              <a:srgbClr val="0070C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D8CA44E" id="23 Grupo" o:spid="_x0000_s1026" style="position:absolute;left:0;text-align:left;margin-left:244.8pt;margin-top:11.85pt;width:156.05pt;height:39.35pt;z-index:251658244;mso-width-relative:margin" coordorigin="25607,2857" coordsize="16486,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">
                <v:shapetype id="_x0000_t202" coordsize="21600,21600" o:spt="202" path="m,l,21600r21600,l21600,xe">
                  <v:stroke joinstyle="miter"/>
                  <v:path gradientshapeok="t" o:connecttype="rect"/>
                </v:shapetype>
                <v:shape id="24 CuadroTexto" o:spid="_x0000_s1027" type="#_x0000_t202" style="position:absolute;left:25607;top:2857;width:16486;height:308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" fillcolor="white [3201]" stroked="f">
                  <v:textbox inset="0,0,0,0">
                    <w:txbxContent>
                      <w:p w14:paraId="549A1F39" w14:textId="77777777" w:rsidR="00D55F13" w:rsidRPr="004E4C01" w:rsidRDefault="00D55F13" w:rsidP="00EC0EAC">
                        <w:pPr>
                          <w:pStyle w:val="NormalWeb"/>
                          <w:spacing w:before="0" w:after="0"/>
                          <w:jc w:val="center"/>
                          <w:rPr>
                            <w:rFonts w:asciiTheme="minorHAnsi" w:hAnsiTheme="minorHAnsi" w:cstheme="minorHAnsi"/>
                            <w:sz w:val="18"/>
                            <w:szCs w:val="18"/>
                          </w:rPr>
                        </w:pPr>
                        <w:r w:rsidRPr="004E4C01">
                          <w:rPr>
                            <w:rFonts w:asciiTheme="minorHAnsi" w:hAnsiTheme="minorHAnsi" w:cstheme="minorHAnsi"/>
                            <w:color w:val="000000" w:themeColor="dark1"/>
                            <w:sz w:val="18"/>
                            <w:szCs w:val="18"/>
                          </w:rPr>
                          <w:t>En otro lugar o categoría ambiental</w:t>
                        </w:r>
                      </w:p>
                    </w:txbxContent>
                  </v:textbox>
                </v:shape>
                <v:shapetype id="_x0000_t32" coordsize="21600,21600" o:spt="32" o:oned="t" path="m,l21600,21600e" filled="f">
                  <v:path arrowok="t" fillok="f" o:connecttype="none"/>
                  <o:lock v:ext="edit" shapetype="t"/>
                </v:shapetype>
                <v:shape id="25 Conector recto de flecha" o:spid="_x0000_s1028" type="#_x0000_t32" style="position:absolute;left:31730;top:5942;width:1808;height:19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" strokecolor="#0070c0">
                  <v:stroke endarrow="block"/>
                </v:shape>
              </v:group>
            </w:pict>
          </mc:Fallback>
        </mc:AlternateContent>
      </w:r>
      <w:r w:rsidR="00A344EC" w:rsidRPr="00AA2094">
        <w:rPr>
          <w:noProof/>
          <w:color w:val="000000"/>
          <w:lang w:eastAsia="es-CO"/>
        </w:rPr>
        <mc:AlternateContent>
          <mc:Choice Requires="wpg">
            <w:drawing>
              <wp:inline distT="0" distB="0" distL="0" distR="0" wp14:anchorId="1F65E127" wp14:editId="4B098C63">
                <wp:extent cx="4914900" cy="2913321"/>
                <wp:effectExtent l="0" t="0" r="19050" b="20955"/>
                <wp:docPr id="1909706198" name="Group 358"/>
                <wp:cNvGraphicFramePr/>
                <a:graphic xmlns:a="http://schemas.openxmlformats.org/drawingml/2006/main">
                  <a:graphicData uri="http://schemas.microsoft.com/office/word/2010/wordprocessingGroup">
                    <wpg:wgp>
                      <wpg:cNvGrpSpPr/>
                      <wpg:grpSpPr>
                        <a:xfrm>
                          <a:off x="0" y="0"/>
                          <a:ext cx="4914900" cy="2913321"/>
                          <a:chOff x="491253" y="0"/>
                          <a:chExt cx="5173178" cy="2831313"/>
                        </a:xfrm>
                      </wpg:grpSpPr>
                      <wps:wsp>
                        <wps:cNvPr id="1909706200" name="Shape 9"/>
                        <wps:cNvSpPr/>
                        <wps:spPr>
                          <a:xfrm>
                            <a:off x="491253" y="0"/>
                            <a:ext cx="5173178" cy="2831313"/>
                          </a:xfrm>
                          <a:custGeom>
                            <a:avLst/>
                            <a:gdLst/>
                            <a:ahLst/>
                            <a:cxnLst/>
                            <a:rect l="0" t="0" r="0" b="0"/>
                            <a:pathLst>
                              <a:path w="6287351" h="2831313">
                                <a:moveTo>
                                  <a:pt x="72034" y="0"/>
                                </a:moveTo>
                                <a:cubicBezTo>
                                  <a:pt x="72034" y="0"/>
                                  <a:pt x="0" y="0"/>
                                  <a:pt x="0" y="71984"/>
                                </a:cubicBezTo>
                                <a:lnTo>
                                  <a:pt x="0" y="2759329"/>
                                </a:lnTo>
                                <a:cubicBezTo>
                                  <a:pt x="0" y="2759329"/>
                                  <a:pt x="0" y="2831313"/>
                                  <a:pt x="72034" y="2831313"/>
                                </a:cubicBezTo>
                                <a:lnTo>
                                  <a:pt x="6215317" y="2831313"/>
                                </a:lnTo>
                                <a:cubicBezTo>
                                  <a:pt x="6215317" y="2831313"/>
                                  <a:pt x="6287351" y="2831313"/>
                                  <a:pt x="6287351" y="2759329"/>
                                </a:cubicBezTo>
                                <a:lnTo>
                                  <a:pt x="6287351" y="71984"/>
                                </a:lnTo>
                                <a:cubicBezTo>
                                  <a:pt x="6287351" y="71984"/>
                                  <a:pt x="6287351" y="0"/>
                                  <a:pt x="6215317" y="0"/>
                                </a:cubicBezTo>
                                <a:close/>
                              </a:path>
                            </a:pathLst>
                          </a:custGeom>
                          <a:ln w="12700" cap="flat">
                            <a:miter lim="100000"/>
                          </a:ln>
                        </wps:spPr>
                        <wps:style>
                          <a:lnRef idx="1">
                            <a:srgbClr val="2B2B2A"/>
                          </a:lnRef>
                          <a:fillRef idx="0">
                            <a:srgbClr val="000000">
                              <a:alpha val="0"/>
                            </a:srgbClr>
                          </a:fillRef>
                          <a:effectRef idx="0">
                            <a:scrgbClr r="0" g="0" b="0"/>
                          </a:effectRef>
                          <a:fontRef idx="none"/>
                        </wps:style>
                        <wps:bodyPr/>
                      </wps:wsp>
                      <wps:wsp>
                        <wps:cNvPr id="714449732" name="Rectangle 51"/>
                        <wps:cNvSpPr/>
                        <wps:spPr>
                          <a:xfrm>
                            <a:off x="4464478" y="1837802"/>
                            <a:ext cx="825494" cy="176960"/>
                          </a:xfrm>
                          <a:prstGeom prst="rect">
                            <a:avLst/>
                          </a:prstGeom>
                          <a:ln>
                            <a:noFill/>
                          </a:ln>
                        </wps:spPr>
                        <wps:txbx>
                          <w:txbxContent>
                            <w:p w14:paraId="2ABB5600"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9"/>
                                  <w:sz w:val="18"/>
                                </w:rPr>
                                <w:t>I.</w:t>
                              </w:r>
                              <w:r w:rsidRPr="004E4C01">
                                <w:rPr>
                                  <w:rFonts w:asciiTheme="minorHAnsi" w:hAnsiTheme="minorHAnsi" w:cstheme="minorHAnsi"/>
                                  <w:spacing w:val="-10"/>
                                  <w:w w:val="109"/>
                                  <w:sz w:val="18"/>
                                </w:rPr>
                                <w:t xml:space="preserve"> </w:t>
                              </w:r>
                              <w:r w:rsidRPr="004E4C01">
                                <w:rPr>
                                  <w:rFonts w:asciiTheme="minorHAnsi" w:hAnsiTheme="minorHAnsi" w:cstheme="minorHAnsi"/>
                                  <w:w w:val="109"/>
                                  <w:sz w:val="18"/>
                                </w:rPr>
                                <w:t>Corregido</w:t>
                              </w:r>
                            </w:p>
                          </w:txbxContent>
                        </wps:txbx>
                        <wps:bodyPr horzOverflow="overflow" vert="horz" lIns="0" tIns="0" rIns="0" bIns="0" rtlCol="0">
                          <a:noAutofit/>
                        </wps:bodyPr>
                      </wps:wsp>
                      <wps:wsp>
                        <wps:cNvPr id="714449730" name="Rectangle 49"/>
                        <wps:cNvSpPr/>
                        <wps:spPr>
                          <a:xfrm>
                            <a:off x="4464478" y="2247289"/>
                            <a:ext cx="657680" cy="176960"/>
                          </a:xfrm>
                          <a:prstGeom prst="rect">
                            <a:avLst/>
                          </a:prstGeom>
                          <a:ln>
                            <a:noFill/>
                          </a:ln>
                        </wps:spPr>
                        <wps:txbx>
                          <w:txbxContent>
                            <w:p w14:paraId="2277DBDA" w14:textId="6A21AFC1"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1"/>
                                  <w:sz w:val="18"/>
                                </w:rPr>
                                <w:t>I.</w:t>
                              </w:r>
                              <w:r w:rsidRPr="004E4C01">
                                <w:rPr>
                                  <w:rFonts w:asciiTheme="minorHAnsi" w:hAnsiTheme="minorHAnsi" w:cstheme="minorHAnsi"/>
                                  <w:spacing w:val="-13"/>
                                  <w:w w:val="111"/>
                                  <w:sz w:val="18"/>
                                </w:rPr>
                                <w:t xml:space="preserve"> </w:t>
                              </w:r>
                              <w:r w:rsidRPr="004E4C01">
                                <w:rPr>
                                  <w:rFonts w:asciiTheme="minorHAnsi" w:hAnsiTheme="minorHAnsi" w:cstheme="minorHAnsi"/>
                                  <w:w w:val="111"/>
                                  <w:sz w:val="18"/>
                                </w:rPr>
                                <w:t>Prevenido</w:t>
                              </w:r>
                            </w:p>
                          </w:txbxContent>
                        </wps:txbx>
                        <wps:bodyPr horzOverflow="overflow" vert="horz" lIns="0" tIns="0" rIns="0" bIns="0" rtlCol="0">
                          <a:noAutofit/>
                        </wps:bodyPr>
                      </wps:wsp>
                      <wps:wsp>
                        <wps:cNvPr id="1909706201" name="Shape 11"/>
                        <wps:cNvSpPr/>
                        <wps:spPr>
                          <a:xfrm>
                            <a:off x="2068970" y="933844"/>
                            <a:ext cx="211226" cy="1451077"/>
                          </a:xfrm>
                          <a:custGeom>
                            <a:avLst/>
                            <a:gdLst/>
                            <a:ahLst/>
                            <a:cxnLst/>
                            <a:rect l="0" t="0" r="0" b="0"/>
                            <a:pathLst>
                              <a:path w="211226" h="1451077">
                                <a:moveTo>
                                  <a:pt x="0" y="0"/>
                                </a:moveTo>
                                <a:lnTo>
                                  <a:pt x="211226" y="0"/>
                                </a:lnTo>
                                <a:lnTo>
                                  <a:pt x="211226" y="1345463"/>
                                </a:lnTo>
                                <a:cubicBezTo>
                                  <a:pt x="211226" y="1403756"/>
                                  <a:pt x="163957" y="1451077"/>
                                  <a:pt x="105613" y="1451077"/>
                                </a:cubicBezTo>
                                <a:cubicBezTo>
                                  <a:pt x="47269" y="1451077"/>
                                  <a:pt x="0" y="1403756"/>
                                  <a:pt x="0" y="134546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9706202" name="Shape 12"/>
                        <wps:cNvSpPr/>
                        <wps:spPr>
                          <a:xfrm>
                            <a:off x="2068970" y="933844"/>
                            <a:ext cx="211226" cy="1451077"/>
                          </a:xfrm>
                          <a:custGeom>
                            <a:avLst/>
                            <a:gdLst/>
                            <a:ahLst/>
                            <a:cxnLst/>
                            <a:rect l="0" t="0" r="0" b="0"/>
                            <a:pathLst>
                              <a:path w="211226" h="1451077">
                                <a:moveTo>
                                  <a:pt x="105613" y="1451077"/>
                                </a:moveTo>
                                <a:cubicBezTo>
                                  <a:pt x="47269" y="1451077"/>
                                  <a:pt x="0" y="1403756"/>
                                  <a:pt x="0" y="1345463"/>
                                </a:cubicBezTo>
                                <a:lnTo>
                                  <a:pt x="0" y="0"/>
                                </a:lnTo>
                                <a:lnTo>
                                  <a:pt x="211226" y="0"/>
                                </a:lnTo>
                                <a:lnTo>
                                  <a:pt x="211226" y="1345463"/>
                                </a:lnTo>
                                <a:cubicBezTo>
                                  <a:pt x="211226" y="1403756"/>
                                  <a:pt x="163957" y="1451077"/>
                                  <a:pt x="105613" y="1451077"/>
                                </a:cubicBezTo>
                                <a:close/>
                              </a:path>
                            </a:pathLst>
                          </a:custGeom>
                          <a:ln w="12700" cap="flat">
                            <a:miter lim="127000"/>
                          </a:ln>
                        </wps:spPr>
                        <wps:style>
                          <a:lnRef idx="1">
                            <a:srgbClr val="85A62A"/>
                          </a:lnRef>
                          <a:fillRef idx="0">
                            <a:srgbClr val="000000">
                              <a:alpha val="0"/>
                            </a:srgbClr>
                          </a:fillRef>
                          <a:effectRef idx="0">
                            <a:scrgbClr r="0" g="0" b="0"/>
                          </a:effectRef>
                          <a:fontRef idx="none"/>
                        </wps:style>
                        <wps:bodyPr/>
                      </wps:wsp>
                      <wps:wsp>
                        <wps:cNvPr id="1909706203" name="Shape 14"/>
                        <wps:cNvSpPr/>
                        <wps:spPr>
                          <a:xfrm>
                            <a:off x="2068970" y="953795"/>
                            <a:ext cx="211226" cy="725488"/>
                          </a:xfrm>
                          <a:custGeom>
                            <a:avLst/>
                            <a:gdLst/>
                            <a:ahLst/>
                            <a:cxnLst/>
                            <a:rect l="0" t="0" r="0" b="0"/>
                            <a:pathLst>
                              <a:path w="211226" h="725488">
                                <a:moveTo>
                                  <a:pt x="0" y="0"/>
                                </a:moveTo>
                                <a:lnTo>
                                  <a:pt x="211226" y="0"/>
                                </a:lnTo>
                                <a:lnTo>
                                  <a:pt x="211226" y="619862"/>
                                </a:lnTo>
                                <a:cubicBezTo>
                                  <a:pt x="211226" y="678206"/>
                                  <a:pt x="163957" y="725488"/>
                                  <a:pt x="105613" y="725488"/>
                                </a:cubicBezTo>
                                <a:cubicBezTo>
                                  <a:pt x="47269" y="725488"/>
                                  <a:pt x="0" y="678206"/>
                                  <a:pt x="0" y="619862"/>
                                </a:cubicBezTo>
                                <a:lnTo>
                                  <a:pt x="0" y="0"/>
                                </a:lnTo>
                                <a:close/>
                              </a:path>
                            </a:pathLst>
                          </a:custGeom>
                          <a:ln w="0" cap="flat">
                            <a:miter lim="127000"/>
                          </a:ln>
                        </wps:spPr>
                        <wps:style>
                          <a:lnRef idx="0">
                            <a:srgbClr val="000000">
                              <a:alpha val="0"/>
                            </a:srgbClr>
                          </a:lnRef>
                          <a:fillRef idx="1">
                            <a:srgbClr val="85A62A"/>
                          </a:fillRef>
                          <a:effectRef idx="0">
                            <a:scrgbClr r="0" g="0" b="0"/>
                          </a:effectRef>
                          <a:fontRef idx="none"/>
                        </wps:style>
                        <wps:bodyPr/>
                      </wps:wsp>
                      <wps:wsp>
                        <wps:cNvPr id="1909706204" name="Shape 15"/>
                        <wps:cNvSpPr/>
                        <wps:spPr>
                          <a:xfrm>
                            <a:off x="2068970" y="933844"/>
                            <a:ext cx="211226" cy="491731"/>
                          </a:xfrm>
                          <a:custGeom>
                            <a:avLst/>
                            <a:gdLst/>
                            <a:ahLst/>
                            <a:cxnLst/>
                            <a:rect l="0" t="0" r="0" b="0"/>
                            <a:pathLst>
                              <a:path w="211226" h="491731">
                                <a:moveTo>
                                  <a:pt x="0" y="0"/>
                                </a:moveTo>
                                <a:lnTo>
                                  <a:pt x="211226" y="0"/>
                                </a:lnTo>
                                <a:lnTo>
                                  <a:pt x="211226" y="386118"/>
                                </a:lnTo>
                                <a:cubicBezTo>
                                  <a:pt x="211226" y="444411"/>
                                  <a:pt x="163957" y="491731"/>
                                  <a:pt x="105613" y="491731"/>
                                </a:cubicBezTo>
                                <a:cubicBezTo>
                                  <a:pt x="47269" y="491731"/>
                                  <a:pt x="0" y="444411"/>
                                  <a:pt x="0" y="386118"/>
                                </a:cubicBezTo>
                                <a:lnTo>
                                  <a:pt x="0" y="0"/>
                                </a:lnTo>
                                <a:close/>
                              </a:path>
                            </a:pathLst>
                          </a:custGeom>
                          <a:ln w="0" cap="flat">
                            <a:miter lim="127000"/>
                          </a:ln>
                        </wps:spPr>
                        <wps:style>
                          <a:lnRef idx="0">
                            <a:srgbClr val="000000">
                              <a:alpha val="0"/>
                            </a:srgbClr>
                          </a:lnRef>
                          <a:fillRef idx="1">
                            <a:srgbClr val="DBB175"/>
                          </a:fillRef>
                          <a:effectRef idx="0">
                            <a:scrgbClr r="0" g="0" b="0"/>
                          </a:effectRef>
                          <a:fontRef idx="none"/>
                        </wps:style>
                        <wps:bodyPr/>
                      </wps:wsp>
                      <wps:wsp>
                        <wps:cNvPr id="1909706205" name="Shape 16"/>
                        <wps:cNvSpPr/>
                        <wps:spPr>
                          <a:xfrm>
                            <a:off x="2068970" y="933844"/>
                            <a:ext cx="211226" cy="491731"/>
                          </a:xfrm>
                          <a:custGeom>
                            <a:avLst/>
                            <a:gdLst/>
                            <a:ahLst/>
                            <a:cxnLst/>
                            <a:rect l="0" t="0" r="0" b="0"/>
                            <a:pathLst>
                              <a:path w="211226" h="491731">
                                <a:moveTo>
                                  <a:pt x="105613" y="491731"/>
                                </a:moveTo>
                                <a:cubicBezTo>
                                  <a:pt x="47269" y="491731"/>
                                  <a:pt x="0" y="444411"/>
                                  <a:pt x="0" y="386118"/>
                                </a:cubicBezTo>
                                <a:lnTo>
                                  <a:pt x="0" y="0"/>
                                </a:lnTo>
                                <a:lnTo>
                                  <a:pt x="211226" y="0"/>
                                </a:lnTo>
                                <a:lnTo>
                                  <a:pt x="211226" y="386118"/>
                                </a:lnTo>
                                <a:cubicBezTo>
                                  <a:pt x="211226" y="444411"/>
                                  <a:pt x="163957" y="491731"/>
                                  <a:pt x="105613" y="491731"/>
                                </a:cubicBezTo>
                                <a:close/>
                              </a:path>
                            </a:pathLst>
                          </a:custGeom>
                          <a:ln w="12700" cap="flat">
                            <a:miter lim="127000"/>
                          </a:ln>
                        </wps:spPr>
                        <wps:style>
                          <a:lnRef idx="1">
                            <a:srgbClr val="CB923F"/>
                          </a:lnRef>
                          <a:fillRef idx="0">
                            <a:srgbClr val="000000">
                              <a:alpha val="0"/>
                            </a:srgbClr>
                          </a:fillRef>
                          <a:effectRef idx="0">
                            <a:scrgbClr r="0" g="0" b="0"/>
                          </a:effectRef>
                          <a:fontRef idx="none"/>
                        </wps:style>
                        <wps:bodyPr/>
                      </wps:wsp>
                      <wps:wsp>
                        <wps:cNvPr id="1909706206" name="Shape 18"/>
                        <wps:cNvSpPr/>
                        <wps:spPr>
                          <a:xfrm>
                            <a:off x="2068970" y="933895"/>
                            <a:ext cx="211226" cy="170713"/>
                          </a:xfrm>
                          <a:custGeom>
                            <a:avLst/>
                            <a:gdLst/>
                            <a:ahLst/>
                            <a:cxnLst/>
                            <a:rect l="0" t="0" r="0" b="0"/>
                            <a:pathLst>
                              <a:path w="211226" h="170713">
                                <a:moveTo>
                                  <a:pt x="0" y="0"/>
                                </a:moveTo>
                                <a:lnTo>
                                  <a:pt x="211226" y="0"/>
                                </a:lnTo>
                                <a:lnTo>
                                  <a:pt x="211226" y="65088"/>
                                </a:lnTo>
                                <a:cubicBezTo>
                                  <a:pt x="211226" y="123431"/>
                                  <a:pt x="163957" y="170713"/>
                                  <a:pt x="105613" y="170713"/>
                                </a:cubicBezTo>
                                <a:cubicBezTo>
                                  <a:pt x="47269" y="170713"/>
                                  <a:pt x="0" y="123431"/>
                                  <a:pt x="0" y="65088"/>
                                </a:cubicBezTo>
                                <a:lnTo>
                                  <a:pt x="0" y="0"/>
                                </a:lnTo>
                                <a:close/>
                              </a:path>
                            </a:pathLst>
                          </a:custGeom>
                          <a:ln w="0" cap="flat">
                            <a:miter lim="127000"/>
                          </a:ln>
                        </wps:spPr>
                        <wps:style>
                          <a:lnRef idx="0">
                            <a:srgbClr val="000000">
                              <a:alpha val="0"/>
                            </a:srgbClr>
                          </a:lnRef>
                          <a:fillRef idx="1">
                            <a:srgbClr val="AABD66"/>
                          </a:fillRef>
                          <a:effectRef idx="0">
                            <a:scrgbClr r="0" g="0" b="0"/>
                          </a:effectRef>
                          <a:fontRef idx="none"/>
                        </wps:style>
                        <wps:bodyPr/>
                      </wps:wsp>
                      <wps:wsp>
                        <wps:cNvPr id="1909706207" name="Shape 19"/>
                        <wps:cNvSpPr/>
                        <wps:spPr>
                          <a:xfrm>
                            <a:off x="2068970" y="933895"/>
                            <a:ext cx="211226" cy="170713"/>
                          </a:xfrm>
                          <a:custGeom>
                            <a:avLst/>
                            <a:gdLst/>
                            <a:ahLst/>
                            <a:cxnLst/>
                            <a:rect l="0" t="0" r="0" b="0"/>
                            <a:pathLst>
                              <a:path w="211226" h="170713">
                                <a:moveTo>
                                  <a:pt x="105613" y="170713"/>
                                </a:moveTo>
                                <a:cubicBezTo>
                                  <a:pt x="47269" y="170713"/>
                                  <a:pt x="0" y="123431"/>
                                  <a:pt x="0" y="65088"/>
                                </a:cubicBezTo>
                                <a:lnTo>
                                  <a:pt x="0" y="0"/>
                                </a:lnTo>
                                <a:lnTo>
                                  <a:pt x="211226" y="0"/>
                                </a:lnTo>
                                <a:lnTo>
                                  <a:pt x="211226" y="65088"/>
                                </a:lnTo>
                                <a:cubicBezTo>
                                  <a:pt x="211226" y="123431"/>
                                  <a:pt x="163957" y="170713"/>
                                  <a:pt x="105613" y="170713"/>
                                </a:cubicBezTo>
                                <a:close/>
                              </a:path>
                            </a:pathLst>
                          </a:custGeom>
                          <a:ln w="12700" cap="flat">
                            <a:miter lim="127000"/>
                          </a:ln>
                        </wps:spPr>
                        <wps:style>
                          <a:lnRef idx="1">
                            <a:srgbClr val="85A62A"/>
                          </a:lnRef>
                          <a:fillRef idx="0">
                            <a:srgbClr val="000000">
                              <a:alpha val="0"/>
                            </a:srgbClr>
                          </a:fillRef>
                          <a:effectRef idx="0">
                            <a:scrgbClr r="0" g="0" b="0"/>
                          </a:effectRef>
                          <a:fontRef idx="none"/>
                        </wps:style>
                        <wps:bodyPr/>
                      </wps:wsp>
                      <wps:wsp>
                        <wps:cNvPr id="38" name="Shape 21"/>
                        <wps:cNvSpPr/>
                        <wps:spPr>
                          <a:xfrm>
                            <a:off x="3698431" y="933895"/>
                            <a:ext cx="211188" cy="170713"/>
                          </a:xfrm>
                          <a:custGeom>
                            <a:avLst/>
                            <a:gdLst/>
                            <a:ahLst/>
                            <a:cxnLst/>
                            <a:rect l="0" t="0" r="0" b="0"/>
                            <a:pathLst>
                              <a:path w="211188" h="170713">
                                <a:moveTo>
                                  <a:pt x="0" y="0"/>
                                </a:moveTo>
                                <a:lnTo>
                                  <a:pt x="211188" y="0"/>
                                </a:lnTo>
                                <a:lnTo>
                                  <a:pt x="211188" y="65088"/>
                                </a:lnTo>
                                <a:cubicBezTo>
                                  <a:pt x="211188" y="123431"/>
                                  <a:pt x="163957" y="170713"/>
                                  <a:pt x="105575" y="170713"/>
                                </a:cubicBezTo>
                                <a:cubicBezTo>
                                  <a:pt x="47231" y="170713"/>
                                  <a:pt x="0" y="123431"/>
                                  <a:pt x="0" y="65088"/>
                                </a:cubicBezTo>
                                <a:lnTo>
                                  <a:pt x="0" y="0"/>
                                </a:lnTo>
                                <a:close/>
                              </a:path>
                            </a:pathLst>
                          </a:custGeom>
                          <a:ln w="0" cap="flat">
                            <a:miter lim="127000"/>
                          </a:ln>
                        </wps:spPr>
                        <wps:style>
                          <a:lnRef idx="0">
                            <a:srgbClr val="000000">
                              <a:alpha val="0"/>
                            </a:srgbClr>
                          </a:lnRef>
                          <a:fillRef idx="1">
                            <a:srgbClr val="CB923F"/>
                          </a:fillRef>
                          <a:effectRef idx="0">
                            <a:scrgbClr r="0" g="0" b="0"/>
                          </a:effectRef>
                          <a:fontRef idx="none"/>
                        </wps:style>
                        <wps:bodyPr/>
                      </wps:wsp>
                      <wps:wsp>
                        <wps:cNvPr id="39" name="Shape 22"/>
                        <wps:cNvSpPr/>
                        <wps:spPr>
                          <a:xfrm>
                            <a:off x="4049027" y="657974"/>
                            <a:ext cx="211239" cy="271564"/>
                          </a:xfrm>
                          <a:custGeom>
                            <a:avLst/>
                            <a:gdLst/>
                            <a:ahLst/>
                            <a:cxnLst/>
                            <a:rect l="0" t="0" r="0" b="0"/>
                            <a:pathLst>
                              <a:path w="211239" h="271564">
                                <a:moveTo>
                                  <a:pt x="105613" y="0"/>
                                </a:moveTo>
                                <a:cubicBezTo>
                                  <a:pt x="163957" y="0"/>
                                  <a:pt x="211239" y="47269"/>
                                  <a:pt x="211239" y="105613"/>
                                </a:cubicBezTo>
                                <a:lnTo>
                                  <a:pt x="211239" y="271564"/>
                                </a:lnTo>
                                <a:lnTo>
                                  <a:pt x="0" y="271564"/>
                                </a:lnTo>
                                <a:lnTo>
                                  <a:pt x="0" y="105613"/>
                                </a:lnTo>
                                <a:cubicBezTo>
                                  <a:pt x="0" y="47269"/>
                                  <a:pt x="47270" y="0"/>
                                  <a:pt x="105613" y="0"/>
                                </a:cubicBezTo>
                                <a:close/>
                              </a:path>
                            </a:pathLst>
                          </a:custGeom>
                          <a:ln w="0" cap="flat">
                            <a:miter lim="127000"/>
                          </a:ln>
                        </wps:spPr>
                        <wps:style>
                          <a:lnRef idx="0">
                            <a:srgbClr val="000000">
                              <a:alpha val="0"/>
                            </a:srgbClr>
                          </a:lnRef>
                          <a:fillRef idx="1">
                            <a:srgbClr val="F5CF80"/>
                          </a:fillRef>
                          <a:effectRef idx="0">
                            <a:scrgbClr r="0" g="0" b="0"/>
                          </a:effectRef>
                          <a:fontRef idx="none"/>
                        </wps:style>
                        <wps:bodyPr/>
                      </wps:wsp>
                      <wps:wsp>
                        <wps:cNvPr id="42" name="Shape 23"/>
                        <wps:cNvSpPr/>
                        <wps:spPr>
                          <a:xfrm>
                            <a:off x="1682902" y="933844"/>
                            <a:ext cx="211239" cy="1451077"/>
                          </a:xfrm>
                          <a:custGeom>
                            <a:avLst/>
                            <a:gdLst/>
                            <a:ahLst/>
                            <a:cxnLst/>
                            <a:rect l="0" t="0" r="0" b="0"/>
                            <a:pathLst>
                              <a:path w="211239" h="1451077">
                                <a:moveTo>
                                  <a:pt x="0" y="0"/>
                                </a:moveTo>
                                <a:lnTo>
                                  <a:pt x="211239" y="0"/>
                                </a:lnTo>
                                <a:lnTo>
                                  <a:pt x="211239" y="1345463"/>
                                </a:lnTo>
                                <a:cubicBezTo>
                                  <a:pt x="211239" y="1403756"/>
                                  <a:pt x="163957" y="1451077"/>
                                  <a:pt x="105626" y="1451077"/>
                                </a:cubicBezTo>
                                <a:cubicBezTo>
                                  <a:pt x="47282" y="1451077"/>
                                  <a:pt x="0" y="1403756"/>
                                  <a:pt x="0" y="134546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24"/>
                        <wps:cNvSpPr/>
                        <wps:spPr>
                          <a:xfrm>
                            <a:off x="1682902" y="933844"/>
                            <a:ext cx="211239" cy="1451077"/>
                          </a:xfrm>
                          <a:custGeom>
                            <a:avLst/>
                            <a:gdLst/>
                            <a:ahLst/>
                            <a:cxnLst/>
                            <a:rect l="0" t="0" r="0" b="0"/>
                            <a:pathLst>
                              <a:path w="211239" h="1451077">
                                <a:moveTo>
                                  <a:pt x="105626" y="1451077"/>
                                </a:moveTo>
                                <a:cubicBezTo>
                                  <a:pt x="47282" y="1451077"/>
                                  <a:pt x="0" y="1403756"/>
                                  <a:pt x="0" y="1345463"/>
                                </a:cubicBezTo>
                                <a:lnTo>
                                  <a:pt x="0" y="0"/>
                                </a:lnTo>
                                <a:lnTo>
                                  <a:pt x="211239" y="0"/>
                                </a:lnTo>
                                <a:lnTo>
                                  <a:pt x="211239" y="1345463"/>
                                </a:lnTo>
                                <a:cubicBezTo>
                                  <a:pt x="211239" y="1403756"/>
                                  <a:pt x="163957" y="1451077"/>
                                  <a:pt x="105626" y="1451077"/>
                                </a:cubicBezTo>
                                <a:close/>
                              </a:path>
                            </a:pathLst>
                          </a:custGeom>
                          <a:ln w="12700" cap="flat">
                            <a:miter lim="127000"/>
                          </a:ln>
                        </wps:spPr>
                        <wps:style>
                          <a:lnRef idx="1">
                            <a:srgbClr val="85A62A"/>
                          </a:lnRef>
                          <a:fillRef idx="0">
                            <a:srgbClr val="000000">
                              <a:alpha val="0"/>
                            </a:srgbClr>
                          </a:fillRef>
                          <a:effectRef idx="0">
                            <a:scrgbClr r="0" g="0" b="0"/>
                          </a:effectRef>
                          <a:fontRef idx="none"/>
                        </wps:style>
                        <wps:bodyPr/>
                      </wps:wsp>
                      <wps:wsp>
                        <wps:cNvPr id="45" name="Shape 26"/>
                        <wps:cNvSpPr/>
                        <wps:spPr>
                          <a:xfrm>
                            <a:off x="1682902" y="953795"/>
                            <a:ext cx="211239" cy="725488"/>
                          </a:xfrm>
                          <a:custGeom>
                            <a:avLst/>
                            <a:gdLst/>
                            <a:ahLst/>
                            <a:cxnLst/>
                            <a:rect l="0" t="0" r="0" b="0"/>
                            <a:pathLst>
                              <a:path w="211239" h="725488">
                                <a:moveTo>
                                  <a:pt x="0" y="0"/>
                                </a:moveTo>
                                <a:lnTo>
                                  <a:pt x="211239" y="0"/>
                                </a:lnTo>
                                <a:lnTo>
                                  <a:pt x="211239" y="619862"/>
                                </a:lnTo>
                                <a:cubicBezTo>
                                  <a:pt x="211239" y="678206"/>
                                  <a:pt x="163957" y="725488"/>
                                  <a:pt x="105626" y="725488"/>
                                </a:cubicBezTo>
                                <a:cubicBezTo>
                                  <a:pt x="47282" y="725488"/>
                                  <a:pt x="0" y="678206"/>
                                  <a:pt x="0" y="619862"/>
                                </a:cubicBezTo>
                                <a:lnTo>
                                  <a:pt x="0" y="0"/>
                                </a:lnTo>
                                <a:close/>
                              </a:path>
                            </a:pathLst>
                          </a:custGeom>
                          <a:ln w="0" cap="flat">
                            <a:miter lim="127000"/>
                          </a:ln>
                        </wps:spPr>
                        <wps:style>
                          <a:lnRef idx="0">
                            <a:srgbClr val="000000">
                              <a:alpha val="0"/>
                            </a:srgbClr>
                          </a:lnRef>
                          <a:fillRef idx="1">
                            <a:srgbClr val="85A62A"/>
                          </a:fillRef>
                          <a:effectRef idx="0">
                            <a:scrgbClr r="0" g="0" b="0"/>
                          </a:effectRef>
                          <a:fontRef idx="none"/>
                        </wps:style>
                        <wps:bodyPr/>
                      </wps:wsp>
                      <wps:wsp>
                        <wps:cNvPr id="46" name="Shape 27"/>
                        <wps:cNvSpPr/>
                        <wps:spPr>
                          <a:xfrm>
                            <a:off x="814438" y="272707"/>
                            <a:ext cx="0" cy="2301774"/>
                          </a:xfrm>
                          <a:custGeom>
                            <a:avLst/>
                            <a:gdLst/>
                            <a:ahLst/>
                            <a:cxnLst/>
                            <a:rect l="0" t="0" r="0" b="0"/>
                            <a:pathLst>
                              <a:path h="2301774">
                                <a:moveTo>
                                  <a:pt x="0" y="0"/>
                                </a:moveTo>
                                <a:lnTo>
                                  <a:pt x="0" y="2301774"/>
                                </a:lnTo>
                              </a:path>
                            </a:pathLst>
                          </a:custGeom>
                          <a:ln w="9525" cap="rnd">
                            <a:miter lim="127000"/>
                          </a:ln>
                        </wps:spPr>
                        <wps:style>
                          <a:lnRef idx="1">
                            <a:srgbClr val="737372"/>
                          </a:lnRef>
                          <a:fillRef idx="0">
                            <a:srgbClr val="000000">
                              <a:alpha val="0"/>
                            </a:srgbClr>
                          </a:fillRef>
                          <a:effectRef idx="0">
                            <a:scrgbClr r="0" g="0" b="0"/>
                          </a:effectRef>
                          <a:fontRef idx="none"/>
                        </wps:style>
                        <wps:bodyPr/>
                      </wps:wsp>
                      <wps:wsp>
                        <wps:cNvPr id="47" name="Shape 28"/>
                        <wps:cNvSpPr/>
                        <wps:spPr>
                          <a:xfrm>
                            <a:off x="798322" y="261836"/>
                            <a:ext cx="32296" cy="29870"/>
                          </a:xfrm>
                          <a:custGeom>
                            <a:avLst/>
                            <a:gdLst/>
                            <a:ahLst/>
                            <a:cxnLst/>
                            <a:rect l="0" t="0" r="0" b="0"/>
                            <a:pathLst>
                              <a:path w="32296" h="29870">
                                <a:moveTo>
                                  <a:pt x="16116" y="0"/>
                                </a:moveTo>
                                <a:lnTo>
                                  <a:pt x="32296" y="16129"/>
                                </a:lnTo>
                                <a:lnTo>
                                  <a:pt x="32296" y="29870"/>
                                </a:lnTo>
                                <a:lnTo>
                                  <a:pt x="16116" y="13691"/>
                                </a:lnTo>
                                <a:lnTo>
                                  <a:pt x="0" y="29870"/>
                                </a:lnTo>
                                <a:lnTo>
                                  <a:pt x="0" y="16129"/>
                                </a:lnTo>
                                <a:lnTo>
                                  <a:pt x="16116" y="0"/>
                                </a:lnTo>
                                <a:close/>
                              </a:path>
                            </a:pathLst>
                          </a:custGeom>
                          <a:ln w="0" cap="rnd">
                            <a:miter lim="127000"/>
                          </a:ln>
                        </wps:spPr>
                        <wps:style>
                          <a:lnRef idx="0">
                            <a:srgbClr val="000000">
                              <a:alpha val="0"/>
                            </a:srgbClr>
                          </a:lnRef>
                          <a:fillRef idx="1">
                            <a:srgbClr val="737372"/>
                          </a:fillRef>
                          <a:effectRef idx="0">
                            <a:scrgbClr r="0" g="0" b="0"/>
                          </a:effectRef>
                          <a:fontRef idx="none"/>
                        </wps:style>
                        <wps:bodyPr/>
                      </wps:wsp>
                      <wps:wsp>
                        <wps:cNvPr id="48" name="Shape 29"/>
                        <wps:cNvSpPr/>
                        <wps:spPr>
                          <a:xfrm>
                            <a:off x="798322" y="2555481"/>
                            <a:ext cx="32296" cy="29858"/>
                          </a:xfrm>
                          <a:custGeom>
                            <a:avLst/>
                            <a:gdLst/>
                            <a:ahLst/>
                            <a:cxnLst/>
                            <a:rect l="0" t="0" r="0" b="0"/>
                            <a:pathLst>
                              <a:path w="32296" h="29858">
                                <a:moveTo>
                                  <a:pt x="0" y="0"/>
                                </a:moveTo>
                                <a:lnTo>
                                  <a:pt x="16116" y="16167"/>
                                </a:lnTo>
                                <a:lnTo>
                                  <a:pt x="32296" y="0"/>
                                </a:lnTo>
                                <a:lnTo>
                                  <a:pt x="32296" y="13741"/>
                                </a:lnTo>
                                <a:lnTo>
                                  <a:pt x="16116" y="29858"/>
                                </a:lnTo>
                                <a:lnTo>
                                  <a:pt x="0" y="13741"/>
                                </a:lnTo>
                                <a:lnTo>
                                  <a:pt x="0" y="0"/>
                                </a:lnTo>
                                <a:close/>
                              </a:path>
                            </a:pathLst>
                          </a:custGeom>
                          <a:ln w="0" cap="rnd">
                            <a:miter lim="127000"/>
                          </a:ln>
                        </wps:spPr>
                        <wps:style>
                          <a:lnRef idx="0">
                            <a:srgbClr val="000000">
                              <a:alpha val="0"/>
                            </a:srgbClr>
                          </a:lnRef>
                          <a:fillRef idx="1">
                            <a:srgbClr val="737372"/>
                          </a:fillRef>
                          <a:effectRef idx="0">
                            <a:scrgbClr r="0" g="0" b="0"/>
                          </a:effectRef>
                          <a:fontRef idx="none"/>
                        </wps:style>
                        <wps:bodyPr/>
                      </wps:wsp>
                      <wps:wsp>
                        <wps:cNvPr id="49" name="Rectangle 30"/>
                        <wps:cNvSpPr/>
                        <wps:spPr>
                          <a:xfrm rot="-5399999">
                            <a:off x="362674" y="1373723"/>
                            <a:ext cx="588792" cy="176960"/>
                          </a:xfrm>
                          <a:prstGeom prst="rect">
                            <a:avLst/>
                          </a:prstGeom>
                          <a:ln>
                            <a:noFill/>
                          </a:ln>
                        </wps:spPr>
                        <wps:txbx>
                          <w:txbxContent>
                            <w:p w14:paraId="4C2429B4"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sz w:val="18"/>
                                </w:rPr>
                                <w:t>Impacto</w:t>
                              </w:r>
                            </w:p>
                          </w:txbxContent>
                        </wps:txbx>
                        <wps:bodyPr horzOverflow="overflow" vert="horz" lIns="0" tIns="0" rIns="0" bIns="0" rtlCol="0">
                          <a:noAutofit/>
                        </wps:bodyPr>
                      </wps:wsp>
                      <wps:wsp>
                        <wps:cNvPr id="50" name="Shape 31"/>
                        <wps:cNvSpPr/>
                        <wps:spPr>
                          <a:xfrm>
                            <a:off x="917029" y="933844"/>
                            <a:ext cx="211290" cy="1451077"/>
                          </a:xfrm>
                          <a:custGeom>
                            <a:avLst/>
                            <a:gdLst/>
                            <a:ahLst/>
                            <a:cxnLst/>
                            <a:rect l="0" t="0" r="0" b="0"/>
                            <a:pathLst>
                              <a:path w="211290" h="1451077">
                                <a:moveTo>
                                  <a:pt x="0" y="0"/>
                                </a:moveTo>
                                <a:lnTo>
                                  <a:pt x="211290" y="0"/>
                                </a:lnTo>
                                <a:lnTo>
                                  <a:pt x="211290" y="1345463"/>
                                </a:lnTo>
                                <a:cubicBezTo>
                                  <a:pt x="211290" y="1403756"/>
                                  <a:pt x="163970" y="1451077"/>
                                  <a:pt x="105677" y="1451077"/>
                                </a:cubicBezTo>
                                <a:cubicBezTo>
                                  <a:pt x="47333" y="1451077"/>
                                  <a:pt x="0" y="1403756"/>
                                  <a:pt x="0" y="1345463"/>
                                </a:cubicBezTo>
                                <a:lnTo>
                                  <a:pt x="0" y="0"/>
                                </a:lnTo>
                                <a:close/>
                              </a:path>
                            </a:pathLst>
                          </a:custGeom>
                          <a:ln w="0" cap="flat">
                            <a:miter lim="127000"/>
                          </a:ln>
                        </wps:spPr>
                        <wps:style>
                          <a:lnRef idx="0">
                            <a:srgbClr val="000000">
                              <a:alpha val="0"/>
                            </a:srgbClr>
                          </a:lnRef>
                          <a:fillRef idx="1">
                            <a:srgbClr val="AABD66"/>
                          </a:fillRef>
                          <a:effectRef idx="0">
                            <a:scrgbClr r="0" g="0" b="0"/>
                          </a:effectRef>
                          <a:fontRef idx="none"/>
                        </wps:style>
                        <wps:bodyPr/>
                      </wps:wsp>
                      <wps:wsp>
                        <wps:cNvPr id="51" name="Shape 32"/>
                        <wps:cNvSpPr/>
                        <wps:spPr>
                          <a:xfrm>
                            <a:off x="917029" y="933844"/>
                            <a:ext cx="211290" cy="1451077"/>
                          </a:xfrm>
                          <a:custGeom>
                            <a:avLst/>
                            <a:gdLst/>
                            <a:ahLst/>
                            <a:cxnLst/>
                            <a:rect l="0" t="0" r="0" b="0"/>
                            <a:pathLst>
                              <a:path w="211290" h="1451077">
                                <a:moveTo>
                                  <a:pt x="105677" y="1451077"/>
                                </a:moveTo>
                                <a:cubicBezTo>
                                  <a:pt x="47333" y="1451077"/>
                                  <a:pt x="0" y="1403756"/>
                                  <a:pt x="0" y="1345463"/>
                                </a:cubicBezTo>
                                <a:lnTo>
                                  <a:pt x="0" y="0"/>
                                </a:lnTo>
                                <a:lnTo>
                                  <a:pt x="211290" y="0"/>
                                </a:lnTo>
                                <a:lnTo>
                                  <a:pt x="211290" y="1345463"/>
                                </a:lnTo>
                                <a:cubicBezTo>
                                  <a:pt x="211290" y="1403756"/>
                                  <a:pt x="163970" y="1451077"/>
                                  <a:pt x="105677" y="1451077"/>
                                </a:cubicBezTo>
                                <a:close/>
                              </a:path>
                            </a:pathLst>
                          </a:custGeom>
                          <a:ln w="12700" cap="flat">
                            <a:miter lim="127000"/>
                          </a:ln>
                        </wps:spPr>
                        <wps:style>
                          <a:lnRef idx="1">
                            <a:srgbClr val="85A62A"/>
                          </a:lnRef>
                          <a:fillRef idx="0">
                            <a:srgbClr val="000000">
                              <a:alpha val="0"/>
                            </a:srgbClr>
                          </a:fillRef>
                          <a:effectRef idx="0">
                            <a:scrgbClr r="0" g="0" b="0"/>
                          </a:effectRef>
                          <a:fontRef idx="none"/>
                        </wps:style>
                        <wps:bodyPr/>
                      </wps:wsp>
                      <wps:wsp>
                        <wps:cNvPr id="52" name="Shape 34"/>
                        <wps:cNvSpPr/>
                        <wps:spPr>
                          <a:xfrm>
                            <a:off x="1295311" y="933844"/>
                            <a:ext cx="211226" cy="1451077"/>
                          </a:xfrm>
                          <a:custGeom>
                            <a:avLst/>
                            <a:gdLst/>
                            <a:ahLst/>
                            <a:cxnLst/>
                            <a:rect l="0" t="0" r="0" b="0"/>
                            <a:pathLst>
                              <a:path w="211226" h="1451077">
                                <a:moveTo>
                                  <a:pt x="0" y="0"/>
                                </a:moveTo>
                                <a:lnTo>
                                  <a:pt x="211226" y="0"/>
                                </a:lnTo>
                                <a:lnTo>
                                  <a:pt x="211226" y="1345463"/>
                                </a:lnTo>
                                <a:cubicBezTo>
                                  <a:pt x="211226" y="1403756"/>
                                  <a:pt x="163957" y="1451077"/>
                                  <a:pt x="105613" y="1451077"/>
                                </a:cubicBezTo>
                                <a:cubicBezTo>
                                  <a:pt x="47269" y="1451077"/>
                                  <a:pt x="0" y="1403756"/>
                                  <a:pt x="0" y="134546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35"/>
                        <wps:cNvSpPr/>
                        <wps:spPr>
                          <a:xfrm>
                            <a:off x="1295311" y="933844"/>
                            <a:ext cx="211226" cy="1451077"/>
                          </a:xfrm>
                          <a:custGeom>
                            <a:avLst/>
                            <a:gdLst/>
                            <a:ahLst/>
                            <a:cxnLst/>
                            <a:rect l="0" t="0" r="0" b="0"/>
                            <a:pathLst>
                              <a:path w="211226" h="1451077">
                                <a:moveTo>
                                  <a:pt x="105613" y="1451077"/>
                                </a:moveTo>
                                <a:cubicBezTo>
                                  <a:pt x="47269" y="1451077"/>
                                  <a:pt x="0" y="1403756"/>
                                  <a:pt x="0" y="1345463"/>
                                </a:cubicBezTo>
                                <a:lnTo>
                                  <a:pt x="0" y="0"/>
                                </a:lnTo>
                                <a:lnTo>
                                  <a:pt x="211226" y="0"/>
                                </a:lnTo>
                                <a:lnTo>
                                  <a:pt x="211226" y="1345463"/>
                                </a:lnTo>
                                <a:cubicBezTo>
                                  <a:pt x="211226" y="1403756"/>
                                  <a:pt x="163957" y="1451077"/>
                                  <a:pt x="105613" y="1451077"/>
                                </a:cubicBezTo>
                                <a:close/>
                              </a:path>
                            </a:pathLst>
                          </a:custGeom>
                          <a:ln w="12700" cap="flat">
                            <a:miter lim="127000"/>
                          </a:ln>
                        </wps:spPr>
                        <wps:style>
                          <a:lnRef idx="1">
                            <a:srgbClr val="85A62A"/>
                          </a:lnRef>
                          <a:fillRef idx="0">
                            <a:srgbClr val="000000">
                              <a:alpha val="0"/>
                            </a:srgbClr>
                          </a:fillRef>
                          <a:effectRef idx="0">
                            <a:scrgbClr r="0" g="0" b="0"/>
                          </a:effectRef>
                          <a:fontRef idx="none"/>
                        </wps:style>
                        <wps:bodyPr/>
                      </wps:wsp>
                      <wps:wsp>
                        <wps:cNvPr id="54" name="Shape 37"/>
                        <wps:cNvSpPr/>
                        <wps:spPr>
                          <a:xfrm>
                            <a:off x="1295311" y="933844"/>
                            <a:ext cx="211226" cy="725538"/>
                          </a:xfrm>
                          <a:custGeom>
                            <a:avLst/>
                            <a:gdLst/>
                            <a:ahLst/>
                            <a:cxnLst/>
                            <a:rect l="0" t="0" r="0" b="0"/>
                            <a:pathLst>
                              <a:path w="211226" h="725538">
                                <a:moveTo>
                                  <a:pt x="0" y="0"/>
                                </a:moveTo>
                                <a:lnTo>
                                  <a:pt x="211226" y="0"/>
                                </a:lnTo>
                                <a:lnTo>
                                  <a:pt x="211226" y="619925"/>
                                </a:lnTo>
                                <a:cubicBezTo>
                                  <a:pt x="211226" y="678269"/>
                                  <a:pt x="163957" y="725538"/>
                                  <a:pt x="105613" y="725538"/>
                                </a:cubicBezTo>
                                <a:cubicBezTo>
                                  <a:pt x="47269" y="725538"/>
                                  <a:pt x="0" y="678269"/>
                                  <a:pt x="0" y="619925"/>
                                </a:cubicBezTo>
                                <a:lnTo>
                                  <a:pt x="0" y="0"/>
                                </a:lnTo>
                                <a:close/>
                              </a:path>
                            </a:pathLst>
                          </a:custGeom>
                          <a:ln w="0" cap="flat">
                            <a:miter lim="127000"/>
                          </a:ln>
                        </wps:spPr>
                        <wps:style>
                          <a:lnRef idx="0">
                            <a:srgbClr val="000000">
                              <a:alpha val="0"/>
                            </a:srgbClr>
                          </a:lnRef>
                          <a:fillRef idx="1">
                            <a:srgbClr val="AABD66"/>
                          </a:fillRef>
                          <a:effectRef idx="0">
                            <a:scrgbClr r="0" g="0" b="0"/>
                          </a:effectRef>
                          <a:fontRef idx="none"/>
                        </wps:style>
                        <wps:bodyPr/>
                      </wps:wsp>
                      <wps:wsp>
                        <wps:cNvPr id="55" name="Shape 38"/>
                        <wps:cNvSpPr/>
                        <wps:spPr>
                          <a:xfrm>
                            <a:off x="1295311" y="933844"/>
                            <a:ext cx="211226" cy="725538"/>
                          </a:xfrm>
                          <a:custGeom>
                            <a:avLst/>
                            <a:gdLst/>
                            <a:ahLst/>
                            <a:cxnLst/>
                            <a:rect l="0" t="0" r="0" b="0"/>
                            <a:pathLst>
                              <a:path w="211226" h="725538">
                                <a:moveTo>
                                  <a:pt x="105613" y="725538"/>
                                </a:moveTo>
                                <a:cubicBezTo>
                                  <a:pt x="47269" y="725538"/>
                                  <a:pt x="0" y="678269"/>
                                  <a:pt x="0" y="619925"/>
                                </a:cubicBezTo>
                                <a:lnTo>
                                  <a:pt x="0" y="0"/>
                                </a:lnTo>
                                <a:lnTo>
                                  <a:pt x="211226" y="0"/>
                                </a:lnTo>
                                <a:lnTo>
                                  <a:pt x="211226" y="619925"/>
                                </a:lnTo>
                                <a:cubicBezTo>
                                  <a:pt x="211226" y="678269"/>
                                  <a:pt x="163957" y="725538"/>
                                  <a:pt x="105613" y="725538"/>
                                </a:cubicBezTo>
                                <a:close/>
                              </a:path>
                            </a:pathLst>
                          </a:custGeom>
                          <a:ln w="12700" cap="flat">
                            <a:miter lim="127000"/>
                          </a:ln>
                        </wps:spPr>
                        <wps:style>
                          <a:lnRef idx="1">
                            <a:srgbClr val="85A62A"/>
                          </a:lnRef>
                          <a:fillRef idx="0">
                            <a:srgbClr val="000000">
                              <a:alpha val="0"/>
                            </a:srgbClr>
                          </a:fillRef>
                          <a:effectRef idx="0">
                            <a:scrgbClr r="0" g="0" b="0"/>
                          </a:effectRef>
                          <a:fontRef idx="none"/>
                        </wps:style>
                        <wps:bodyPr/>
                      </wps:wsp>
                      <wps:wsp>
                        <wps:cNvPr id="56" name="Shape 40"/>
                        <wps:cNvSpPr/>
                        <wps:spPr>
                          <a:xfrm>
                            <a:off x="1682902" y="933844"/>
                            <a:ext cx="211239" cy="465988"/>
                          </a:xfrm>
                          <a:custGeom>
                            <a:avLst/>
                            <a:gdLst/>
                            <a:ahLst/>
                            <a:cxnLst/>
                            <a:rect l="0" t="0" r="0" b="0"/>
                            <a:pathLst>
                              <a:path w="211239" h="465988">
                                <a:moveTo>
                                  <a:pt x="0" y="0"/>
                                </a:moveTo>
                                <a:lnTo>
                                  <a:pt x="211239" y="0"/>
                                </a:lnTo>
                                <a:lnTo>
                                  <a:pt x="211239" y="360363"/>
                                </a:lnTo>
                                <a:cubicBezTo>
                                  <a:pt x="211239" y="418656"/>
                                  <a:pt x="163957" y="465988"/>
                                  <a:pt x="105626" y="465988"/>
                                </a:cubicBezTo>
                                <a:cubicBezTo>
                                  <a:pt x="47282" y="465988"/>
                                  <a:pt x="0" y="418656"/>
                                  <a:pt x="0" y="360363"/>
                                </a:cubicBezTo>
                                <a:lnTo>
                                  <a:pt x="0" y="0"/>
                                </a:lnTo>
                                <a:close/>
                              </a:path>
                            </a:pathLst>
                          </a:custGeom>
                          <a:ln w="0" cap="flat">
                            <a:miter lim="127000"/>
                          </a:ln>
                        </wps:spPr>
                        <wps:style>
                          <a:lnRef idx="0">
                            <a:srgbClr val="000000">
                              <a:alpha val="0"/>
                            </a:srgbClr>
                          </a:lnRef>
                          <a:fillRef idx="1">
                            <a:srgbClr val="AABD66"/>
                          </a:fillRef>
                          <a:effectRef idx="0">
                            <a:scrgbClr r="0" g="0" b="0"/>
                          </a:effectRef>
                          <a:fontRef idx="none"/>
                        </wps:style>
                        <wps:bodyPr/>
                      </wps:wsp>
                      <wps:wsp>
                        <wps:cNvPr id="57" name="Shape 41"/>
                        <wps:cNvSpPr/>
                        <wps:spPr>
                          <a:xfrm>
                            <a:off x="1682902" y="933844"/>
                            <a:ext cx="211239" cy="465988"/>
                          </a:xfrm>
                          <a:custGeom>
                            <a:avLst/>
                            <a:gdLst/>
                            <a:ahLst/>
                            <a:cxnLst/>
                            <a:rect l="0" t="0" r="0" b="0"/>
                            <a:pathLst>
                              <a:path w="211239" h="465988">
                                <a:moveTo>
                                  <a:pt x="105626" y="465988"/>
                                </a:moveTo>
                                <a:cubicBezTo>
                                  <a:pt x="47282" y="465988"/>
                                  <a:pt x="0" y="418656"/>
                                  <a:pt x="0" y="360363"/>
                                </a:cubicBezTo>
                                <a:lnTo>
                                  <a:pt x="0" y="0"/>
                                </a:lnTo>
                                <a:lnTo>
                                  <a:pt x="211239" y="0"/>
                                </a:lnTo>
                                <a:lnTo>
                                  <a:pt x="211239" y="360363"/>
                                </a:lnTo>
                                <a:cubicBezTo>
                                  <a:pt x="211239" y="418656"/>
                                  <a:pt x="163957" y="465988"/>
                                  <a:pt x="105626" y="465988"/>
                                </a:cubicBezTo>
                                <a:close/>
                              </a:path>
                            </a:pathLst>
                          </a:custGeom>
                          <a:ln w="12700" cap="flat">
                            <a:miter lim="127000"/>
                          </a:ln>
                        </wps:spPr>
                        <wps:style>
                          <a:lnRef idx="1">
                            <a:srgbClr val="85A62A"/>
                          </a:lnRef>
                          <a:fillRef idx="0">
                            <a:srgbClr val="000000">
                              <a:alpha val="0"/>
                            </a:srgbClr>
                          </a:fillRef>
                          <a:effectRef idx="0">
                            <a:scrgbClr r="0" g="0" b="0"/>
                          </a:effectRef>
                          <a:fontRef idx="none"/>
                        </wps:style>
                        <wps:bodyPr/>
                      </wps:wsp>
                      <wps:wsp>
                        <wps:cNvPr id="58" name="Rectangle 43"/>
                        <wps:cNvSpPr/>
                        <wps:spPr>
                          <a:xfrm>
                            <a:off x="2517129" y="953150"/>
                            <a:ext cx="1340055" cy="176960"/>
                          </a:xfrm>
                          <a:prstGeom prst="rect">
                            <a:avLst/>
                          </a:prstGeom>
                          <a:ln>
                            <a:noFill/>
                          </a:ln>
                        </wps:spPr>
                        <wps:txbx>
                          <w:txbxContent>
                            <w:p w14:paraId="2260CA97"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9"/>
                                  <w:sz w:val="18"/>
                                </w:rPr>
                                <w:t>I.</w:t>
                              </w:r>
                              <w:r w:rsidRPr="004E4C01">
                                <w:rPr>
                                  <w:rFonts w:asciiTheme="minorHAnsi" w:hAnsiTheme="minorHAnsi" w:cstheme="minorHAnsi"/>
                                  <w:spacing w:val="-13"/>
                                  <w:w w:val="109"/>
                                  <w:sz w:val="18"/>
                                </w:rPr>
                                <w:t xml:space="preserve"> </w:t>
                              </w:r>
                              <w:r w:rsidRPr="004E4C01">
                                <w:rPr>
                                  <w:rFonts w:asciiTheme="minorHAnsi" w:hAnsiTheme="minorHAnsi" w:cstheme="minorHAnsi"/>
                                  <w:w w:val="109"/>
                                  <w:sz w:val="18"/>
                                </w:rPr>
                                <w:t>Residual</w:t>
                              </w:r>
                              <w:r w:rsidRPr="004E4C01">
                                <w:rPr>
                                  <w:rFonts w:asciiTheme="minorHAnsi" w:hAnsiTheme="minorHAnsi" w:cstheme="minorHAnsi"/>
                                  <w:spacing w:val="20"/>
                                  <w:w w:val="109"/>
                                  <w:sz w:val="18"/>
                                </w:rPr>
                                <w:t xml:space="preserve"> </w:t>
                              </w:r>
                              <w:r w:rsidRPr="004E4C01">
                                <w:rPr>
                                  <w:rFonts w:asciiTheme="minorHAnsi" w:hAnsiTheme="minorHAnsi" w:cstheme="minorHAnsi"/>
                                  <w:w w:val="109"/>
                                  <w:sz w:val="18"/>
                                </w:rPr>
                                <w:t>(objeto</w:t>
                              </w:r>
                              <w:r w:rsidRPr="004E4C01">
                                <w:rPr>
                                  <w:rFonts w:asciiTheme="minorHAnsi" w:hAnsiTheme="minorHAnsi" w:cstheme="minorHAnsi"/>
                                  <w:spacing w:val="21"/>
                                  <w:w w:val="109"/>
                                  <w:sz w:val="18"/>
                                </w:rPr>
                                <w:t xml:space="preserve"> </w:t>
                              </w:r>
                            </w:p>
                          </w:txbxContent>
                        </wps:txbx>
                        <wps:bodyPr horzOverflow="overflow" vert="horz" lIns="0" tIns="0" rIns="0" bIns="0" rtlCol="0">
                          <a:noAutofit/>
                        </wps:bodyPr>
                      </wps:wsp>
                      <wps:wsp>
                        <wps:cNvPr id="59" name="Rectangle 44"/>
                        <wps:cNvSpPr/>
                        <wps:spPr>
                          <a:xfrm>
                            <a:off x="2517129" y="1090310"/>
                            <a:ext cx="1318826" cy="176960"/>
                          </a:xfrm>
                          <a:prstGeom prst="rect">
                            <a:avLst/>
                          </a:prstGeom>
                          <a:ln>
                            <a:noFill/>
                          </a:ln>
                        </wps:spPr>
                        <wps:txbx>
                          <w:txbxContent>
                            <w:p w14:paraId="7648C16B"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0"/>
                                  <w:sz w:val="18"/>
                                </w:rPr>
                                <w:t>de</w:t>
                              </w:r>
                              <w:r w:rsidRPr="004E4C01">
                                <w:rPr>
                                  <w:rFonts w:asciiTheme="minorHAnsi" w:hAnsiTheme="minorHAnsi" w:cstheme="minorHAnsi"/>
                                  <w:spacing w:val="-5"/>
                                  <w:w w:val="110"/>
                                  <w:sz w:val="18"/>
                                </w:rPr>
                                <w:t xml:space="preserve"> </w:t>
                              </w:r>
                              <w:r w:rsidRPr="004E4C01">
                                <w:rPr>
                                  <w:rFonts w:asciiTheme="minorHAnsi" w:hAnsiTheme="minorHAnsi" w:cstheme="minorHAnsi"/>
                                  <w:w w:val="110"/>
                                  <w:sz w:val="18"/>
                                </w:rPr>
                                <w:t>compensación)</w:t>
                              </w:r>
                            </w:p>
                          </w:txbxContent>
                        </wps:txbx>
                        <wps:bodyPr horzOverflow="overflow" vert="horz" lIns="0" tIns="0" rIns="0" bIns="0" rtlCol="0">
                          <a:noAutofit/>
                        </wps:bodyPr>
                      </wps:wsp>
                      <wps:wsp>
                        <wps:cNvPr id="60" name="Rectangle 45"/>
                        <wps:cNvSpPr/>
                        <wps:spPr>
                          <a:xfrm>
                            <a:off x="934719" y="218201"/>
                            <a:ext cx="211284" cy="176959"/>
                          </a:xfrm>
                          <a:prstGeom prst="rect">
                            <a:avLst/>
                          </a:prstGeom>
                          <a:ln>
                            <a:noFill/>
                          </a:ln>
                        </wps:spPr>
                        <wps:txbx>
                          <w:txbxContent>
                            <w:p w14:paraId="60311969"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6"/>
                                  <w:sz w:val="18"/>
                                </w:rPr>
                                <w:t>(+)</w:t>
                              </w:r>
                            </w:p>
                          </w:txbxContent>
                        </wps:txbx>
                        <wps:bodyPr horzOverflow="overflow" vert="horz" lIns="0" tIns="0" rIns="0" bIns="0" rtlCol="0">
                          <a:noAutofit/>
                        </wps:bodyPr>
                      </wps:wsp>
                      <wps:wsp>
                        <wps:cNvPr id="61" name="Rectangle 46"/>
                        <wps:cNvSpPr/>
                        <wps:spPr>
                          <a:xfrm>
                            <a:off x="934719" y="2456309"/>
                            <a:ext cx="211284" cy="176960"/>
                          </a:xfrm>
                          <a:prstGeom prst="rect">
                            <a:avLst/>
                          </a:prstGeom>
                          <a:ln>
                            <a:noFill/>
                          </a:ln>
                        </wps:spPr>
                        <wps:txbx>
                          <w:txbxContent>
                            <w:p w14:paraId="56A8AE6E"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3"/>
                                  <w:sz w:val="18"/>
                                </w:rPr>
                                <w:t>(-</w:t>
                              </w:r>
                              <w:r w:rsidRPr="004E4C01">
                                <w:rPr>
                                  <w:rFonts w:asciiTheme="minorHAnsi" w:hAnsiTheme="minorHAnsi" w:cstheme="minorHAnsi"/>
                                  <w:spacing w:val="6"/>
                                  <w:w w:val="113"/>
                                  <w:sz w:val="18"/>
                                </w:rPr>
                                <w:t xml:space="preserve"> </w:t>
                              </w:r>
                              <w:r w:rsidRPr="004E4C01">
                                <w:rPr>
                                  <w:rFonts w:asciiTheme="minorHAnsi" w:hAnsiTheme="minorHAnsi" w:cstheme="minorHAnsi"/>
                                  <w:w w:val="113"/>
                                  <w:sz w:val="18"/>
                                </w:rPr>
                                <w:t>)</w:t>
                              </w:r>
                            </w:p>
                          </w:txbxContent>
                        </wps:txbx>
                        <wps:bodyPr horzOverflow="overflow" vert="horz" lIns="0" tIns="0" rIns="0" bIns="0" rtlCol="0">
                          <a:noAutofit/>
                        </wps:bodyPr>
                      </wps:wsp>
                      <wps:wsp>
                        <wps:cNvPr id="62" name="Rectangle 47"/>
                        <wps:cNvSpPr/>
                        <wps:spPr>
                          <a:xfrm>
                            <a:off x="4464478" y="1404529"/>
                            <a:ext cx="1145015" cy="176960"/>
                          </a:xfrm>
                          <a:prstGeom prst="rect">
                            <a:avLst/>
                          </a:prstGeom>
                          <a:ln>
                            <a:noFill/>
                          </a:ln>
                        </wps:spPr>
                        <wps:txbx>
                          <w:txbxContent>
                            <w:p w14:paraId="20389146"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9"/>
                                  <w:sz w:val="18"/>
                                </w:rPr>
                                <w:t>I.</w:t>
                              </w:r>
                              <w:r w:rsidRPr="004E4C01">
                                <w:rPr>
                                  <w:rFonts w:asciiTheme="minorHAnsi" w:hAnsiTheme="minorHAnsi" w:cstheme="minorHAnsi"/>
                                  <w:spacing w:val="-13"/>
                                  <w:w w:val="109"/>
                                  <w:sz w:val="18"/>
                                </w:rPr>
                                <w:t xml:space="preserve"> </w:t>
                              </w:r>
                              <w:r w:rsidRPr="004E4C01">
                                <w:rPr>
                                  <w:rFonts w:asciiTheme="minorHAnsi" w:hAnsiTheme="minorHAnsi" w:cstheme="minorHAnsi"/>
                                  <w:w w:val="109"/>
                                  <w:sz w:val="18"/>
                                </w:rPr>
                                <w:t>Positivo</w:t>
                              </w:r>
                              <w:r w:rsidRPr="004E4C01">
                                <w:rPr>
                                  <w:rFonts w:asciiTheme="minorHAnsi" w:hAnsiTheme="minorHAnsi" w:cstheme="minorHAnsi"/>
                                  <w:spacing w:val="12"/>
                                  <w:w w:val="109"/>
                                  <w:sz w:val="18"/>
                                </w:rPr>
                                <w:t xml:space="preserve"> </w:t>
                              </w:r>
                              <w:r w:rsidRPr="004E4C01">
                                <w:rPr>
                                  <w:rFonts w:asciiTheme="minorHAnsi" w:hAnsiTheme="minorHAnsi" w:cstheme="minorHAnsi"/>
                                  <w:w w:val="109"/>
                                  <w:sz w:val="18"/>
                                </w:rPr>
                                <w:t>adicional</w:t>
                              </w:r>
                            </w:p>
                          </w:txbxContent>
                        </wps:txbx>
                        <wps:bodyPr horzOverflow="overflow" vert="horz" lIns="0" tIns="0" rIns="0" bIns="0" rtlCol="0">
                          <a:noAutofit/>
                        </wps:bodyPr>
                      </wps:wsp>
                      <wps:wsp>
                        <wps:cNvPr id="63" name="Rectangle 48"/>
                        <wps:cNvSpPr/>
                        <wps:spPr>
                          <a:xfrm>
                            <a:off x="4464478" y="1608310"/>
                            <a:ext cx="1060318" cy="176960"/>
                          </a:xfrm>
                          <a:prstGeom prst="rect">
                            <a:avLst/>
                          </a:prstGeom>
                          <a:ln>
                            <a:noFill/>
                          </a:ln>
                        </wps:spPr>
                        <wps:txbx>
                          <w:txbxContent>
                            <w:p w14:paraId="3529DFB4"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0"/>
                                  <w:sz w:val="18"/>
                                </w:rPr>
                                <w:t>I.</w:t>
                              </w:r>
                              <w:r w:rsidRPr="004E4C01">
                                <w:rPr>
                                  <w:rFonts w:asciiTheme="minorHAnsi" w:hAnsiTheme="minorHAnsi" w:cstheme="minorHAnsi"/>
                                  <w:spacing w:val="-10"/>
                                  <w:w w:val="110"/>
                                  <w:sz w:val="18"/>
                                </w:rPr>
                                <w:t xml:space="preserve"> </w:t>
                              </w:r>
                              <w:r w:rsidRPr="004E4C01">
                                <w:rPr>
                                  <w:rFonts w:asciiTheme="minorHAnsi" w:hAnsiTheme="minorHAnsi" w:cstheme="minorHAnsi"/>
                                  <w:w w:val="110"/>
                                  <w:sz w:val="18"/>
                                </w:rPr>
                                <w:t>Compensado</w:t>
                              </w:r>
                            </w:p>
                          </w:txbxContent>
                        </wps:txbx>
                        <wps:bodyPr horzOverflow="overflow" vert="horz" lIns="0" tIns="0" rIns="0" bIns="0" rtlCol="0">
                          <a:noAutofit/>
                        </wps:bodyPr>
                      </wps:wsp>
                      <wps:wsp>
                        <wps:cNvPr id="714449731" name="Rectangle 50"/>
                        <wps:cNvSpPr/>
                        <wps:spPr>
                          <a:xfrm>
                            <a:off x="4464478" y="2031752"/>
                            <a:ext cx="726423" cy="176960"/>
                          </a:xfrm>
                          <a:prstGeom prst="rect">
                            <a:avLst/>
                          </a:prstGeom>
                          <a:ln>
                            <a:noFill/>
                          </a:ln>
                        </wps:spPr>
                        <wps:txbx>
                          <w:txbxContent>
                            <w:p w14:paraId="6B39FD67"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6"/>
                                  <w:sz w:val="18"/>
                                </w:rPr>
                                <w:t>I.</w:t>
                              </w:r>
                              <w:r w:rsidRPr="004E4C01">
                                <w:rPr>
                                  <w:rFonts w:asciiTheme="minorHAnsi" w:hAnsiTheme="minorHAnsi" w:cstheme="minorHAnsi"/>
                                  <w:spacing w:val="-13"/>
                                  <w:w w:val="106"/>
                                  <w:sz w:val="18"/>
                                </w:rPr>
                                <w:t xml:space="preserve"> </w:t>
                              </w:r>
                              <w:r w:rsidRPr="004E4C01">
                                <w:rPr>
                                  <w:rFonts w:asciiTheme="minorHAnsi" w:hAnsiTheme="minorHAnsi" w:cstheme="minorHAnsi"/>
                                  <w:w w:val="106"/>
                                  <w:sz w:val="18"/>
                                </w:rPr>
                                <w:t>Mitigado</w:t>
                              </w:r>
                            </w:p>
                          </w:txbxContent>
                        </wps:txbx>
                        <wps:bodyPr horzOverflow="overflow" vert="horz" lIns="0" tIns="0" rIns="0" bIns="0" rtlCol="0">
                          <a:noAutofit/>
                        </wps:bodyPr>
                      </wps:wsp>
                      <wps:wsp>
                        <wps:cNvPr id="714449733" name="Rectangle 52"/>
                        <wps:cNvSpPr/>
                        <wps:spPr>
                          <a:xfrm>
                            <a:off x="4459799" y="2456305"/>
                            <a:ext cx="778269" cy="176960"/>
                          </a:xfrm>
                          <a:prstGeom prst="rect">
                            <a:avLst/>
                          </a:prstGeom>
                          <a:ln>
                            <a:noFill/>
                          </a:ln>
                        </wps:spPr>
                        <wps:txbx>
                          <w:txbxContent>
                            <w:p w14:paraId="6FDF01F5"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9"/>
                                  <w:sz w:val="18"/>
                                </w:rPr>
                                <w:t>I.</w:t>
                              </w:r>
                              <w:r w:rsidRPr="004E4C01">
                                <w:rPr>
                                  <w:rFonts w:asciiTheme="minorHAnsi" w:hAnsiTheme="minorHAnsi" w:cstheme="minorHAnsi"/>
                                  <w:spacing w:val="-13"/>
                                  <w:w w:val="109"/>
                                  <w:sz w:val="18"/>
                                </w:rPr>
                                <w:t xml:space="preserve"> </w:t>
                              </w:r>
                              <w:r w:rsidRPr="004E4C01">
                                <w:rPr>
                                  <w:rFonts w:asciiTheme="minorHAnsi" w:hAnsiTheme="minorHAnsi" w:cstheme="minorHAnsi"/>
                                  <w:w w:val="109"/>
                                  <w:sz w:val="18"/>
                                </w:rPr>
                                <w:t>Potencial</w:t>
                              </w:r>
                            </w:p>
                          </w:txbxContent>
                        </wps:txbx>
                        <wps:bodyPr horzOverflow="overflow" vert="horz" lIns="0" tIns="0" rIns="0" bIns="0" rtlCol="0">
                          <a:noAutofit/>
                        </wps:bodyPr>
                      </wps:wsp>
                      <wps:wsp>
                        <wps:cNvPr id="714449734" name="Shape 53"/>
                        <wps:cNvSpPr/>
                        <wps:spPr>
                          <a:xfrm>
                            <a:off x="2316620" y="958901"/>
                            <a:ext cx="82042" cy="120701"/>
                          </a:xfrm>
                          <a:custGeom>
                            <a:avLst/>
                            <a:gdLst/>
                            <a:ahLst/>
                            <a:cxnLst/>
                            <a:rect l="0" t="0" r="0" b="0"/>
                            <a:pathLst>
                              <a:path w="82042" h="120701">
                                <a:moveTo>
                                  <a:pt x="0" y="0"/>
                                </a:moveTo>
                                <a:lnTo>
                                  <a:pt x="82042" y="0"/>
                                </a:lnTo>
                                <a:lnTo>
                                  <a:pt x="82042" y="120701"/>
                                </a:lnTo>
                                <a:lnTo>
                                  <a:pt x="0" y="120701"/>
                                </a:lnTo>
                              </a:path>
                            </a:pathLst>
                          </a:custGeom>
                          <a:ln w="9525" cap="rnd">
                            <a:miter lim="127000"/>
                          </a:ln>
                        </wps:spPr>
                        <wps:style>
                          <a:lnRef idx="1">
                            <a:srgbClr val="737372"/>
                          </a:lnRef>
                          <a:fillRef idx="0">
                            <a:srgbClr val="000000">
                              <a:alpha val="0"/>
                            </a:srgbClr>
                          </a:fillRef>
                          <a:effectRef idx="0">
                            <a:scrgbClr r="0" g="0" b="0"/>
                          </a:effectRef>
                          <a:fontRef idx="none"/>
                        </wps:style>
                        <wps:bodyPr/>
                      </wps:wsp>
                      <wps:wsp>
                        <wps:cNvPr id="714449735" name="Shape 54"/>
                        <wps:cNvSpPr/>
                        <wps:spPr>
                          <a:xfrm>
                            <a:off x="2398662" y="1019226"/>
                            <a:ext cx="57506" cy="0"/>
                          </a:xfrm>
                          <a:custGeom>
                            <a:avLst/>
                            <a:gdLst/>
                            <a:ahLst/>
                            <a:cxnLst/>
                            <a:rect l="0" t="0" r="0" b="0"/>
                            <a:pathLst>
                              <a:path w="57506">
                                <a:moveTo>
                                  <a:pt x="0" y="0"/>
                                </a:moveTo>
                                <a:lnTo>
                                  <a:pt x="57506" y="0"/>
                                </a:lnTo>
                              </a:path>
                            </a:pathLst>
                          </a:custGeom>
                          <a:ln w="9525" cap="rnd">
                            <a:miter lim="127000"/>
                          </a:ln>
                        </wps:spPr>
                        <wps:style>
                          <a:lnRef idx="1">
                            <a:srgbClr val="737372"/>
                          </a:lnRef>
                          <a:fillRef idx="0">
                            <a:srgbClr val="000000">
                              <a:alpha val="0"/>
                            </a:srgbClr>
                          </a:fillRef>
                          <a:effectRef idx="0">
                            <a:scrgbClr r="0" g="0" b="0"/>
                          </a:effectRef>
                          <a:fontRef idx="none"/>
                        </wps:style>
                        <wps:bodyPr/>
                      </wps:wsp>
                      <wps:wsp>
                        <wps:cNvPr id="714449736" name="Shape 55"/>
                        <wps:cNvSpPr/>
                        <wps:spPr>
                          <a:xfrm>
                            <a:off x="4281891" y="1416943"/>
                            <a:ext cx="109886" cy="101549"/>
                          </a:xfrm>
                          <a:custGeom>
                            <a:avLst/>
                            <a:gdLst/>
                            <a:ahLst/>
                            <a:cxnLst/>
                            <a:rect l="0" t="0" r="0" b="0"/>
                            <a:pathLst>
                              <a:path w="101549" h="101549">
                                <a:moveTo>
                                  <a:pt x="50800" y="0"/>
                                </a:moveTo>
                                <a:cubicBezTo>
                                  <a:pt x="78829" y="0"/>
                                  <a:pt x="101549" y="22720"/>
                                  <a:pt x="101549" y="50749"/>
                                </a:cubicBezTo>
                                <a:cubicBezTo>
                                  <a:pt x="101549" y="78829"/>
                                  <a:pt x="78829" y="101549"/>
                                  <a:pt x="50800" y="101549"/>
                                </a:cubicBezTo>
                                <a:cubicBezTo>
                                  <a:pt x="22771" y="101549"/>
                                  <a:pt x="0" y="78829"/>
                                  <a:pt x="0" y="50749"/>
                                </a:cubicBezTo>
                                <a:cubicBezTo>
                                  <a:pt x="0" y="22720"/>
                                  <a:pt x="22771" y="0"/>
                                  <a:pt x="50800" y="0"/>
                                </a:cubicBezTo>
                                <a:close/>
                              </a:path>
                            </a:pathLst>
                          </a:custGeom>
                          <a:ln w="0" cap="rnd">
                            <a:miter lim="127000"/>
                          </a:ln>
                        </wps:spPr>
                        <wps:style>
                          <a:lnRef idx="0">
                            <a:srgbClr val="000000">
                              <a:alpha val="0"/>
                            </a:srgbClr>
                          </a:lnRef>
                          <a:fillRef idx="1">
                            <a:srgbClr val="F5CF80"/>
                          </a:fillRef>
                          <a:effectRef idx="0">
                            <a:scrgbClr r="0" g="0" b="0"/>
                          </a:effectRef>
                          <a:fontRef idx="none"/>
                        </wps:style>
                        <wps:bodyPr/>
                      </wps:wsp>
                      <wps:wsp>
                        <wps:cNvPr id="714449737" name="Shape 56"/>
                        <wps:cNvSpPr/>
                        <wps:spPr>
                          <a:xfrm>
                            <a:off x="4281891" y="1632617"/>
                            <a:ext cx="109886" cy="101562"/>
                          </a:xfrm>
                          <a:custGeom>
                            <a:avLst/>
                            <a:gdLst/>
                            <a:ahLst/>
                            <a:cxnLst/>
                            <a:rect l="0" t="0" r="0" b="0"/>
                            <a:pathLst>
                              <a:path w="101549" h="101562">
                                <a:moveTo>
                                  <a:pt x="50800" y="0"/>
                                </a:moveTo>
                                <a:cubicBezTo>
                                  <a:pt x="78829" y="0"/>
                                  <a:pt x="101549" y="22720"/>
                                  <a:pt x="101549" y="50800"/>
                                </a:cubicBezTo>
                                <a:cubicBezTo>
                                  <a:pt x="101549" y="78829"/>
                                  <a:pt x="78829" y="101562"/>
                                  <a:pt x="50800" y="101562"/>
                                </a:cubicBezTo>
                                <a:cubicBezTo>
                                  <a:pt x="22771" y="101562"/>
                                  <a:pt x="0" y="78829"/>
                                  <a:pt x="0" y="50800"/>
                                </a:cubicBezTo>
                                <a:cubicBezTo>
                                  <a:pt x="0" y="22720"/>
                                  <a:pt x="22771" y="0"/>
                                  <a:pt x="50800" y="0"/>
                                </a:cubicBezTo>
                                <a:close/>
                              </a:path>
                            </a:pathLst>
                          </a:custGeom>
                          <a:ln w="0" cap="rnd">
                            <a:miter lim="127000"/>
                          </a:ln>
                        </wps:spPr>
                        <wps:style>
                          <a:lnRef idx="0">
                            <a:srgbClr val="000000">
                              <a:alpha val="0"/>
                            </a:srgbClr>
                          </a:lnRef>
                          <a:fillRef idx="1">
                            <a:srgbClr val="CB923F"/>
                          </a:fillRef>
                          <a:effectRef idx="0">
                            <a:scrgbClr r="0" g="0" b="0"/>
                          </a:effectRef>
                          <a:fontRef idx="none"/>
                        </wps:style>
                        <wps:bodyPr/>
                      </wps:wsp>
                      <wps:wsp>
                        <wps:cNvPr id="714449738" name="Shape 57"/>
                        <wps:cNvSpPr/>
                        <wps:spPr>
                          <a:xfrm>
                            <a:off x="4280599" y="1830855"/>
                            <a:ext cx="101549" cy="101562"/>
                          </a:xfrm>
                          <a:custGeom>
                            <a:avLst/>
                            <a:gdLst/>
                            <a:ahLst/>
                            <a:cxnLst/>
                            <a:rect l="0" t="0" r="0" b="0"/>
                            <a:pathLst>
                              <a:path w="101549" h="101562">
                                <a:moveTo>
                                  <a:pt x="50800" y="0"/>
                                </a:moveTo>
                                <a:cubicBezTo>
                                  <a:pt x="78829" y="0"/>
                                  <a:pt x="101549" y="22733"/>
                                  <a:pt x="101549" y="50762"/>
                                </a:cubicBezTo>
                                <a:cubicBezTo>
                                  <a:pt x="101549" y="78829"/>
                                  <a:pt x="78829" y="101562"/>
                                  <a:pt x="50800" y="101562"/>
                                </a:cubicBezTo>
                                <a:cubicBezTo>
                                  <a:pt x="22771" y="101562"/>
                                  <a:pt x="0" y="78829"/>
                                  <a:pt x="0" y="50762"/>
                                </a:cubicBezTo>
                                <a:cubicBezTo>
                                  <a:pt x="0" y="22733"/>
                                  <a:pt x="22771" y="0"/>
                                  <a:pt x="50800"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14449739" name="Shape 58"/>
                        <wps:cNvSpPr/>
                        <wps:spPr>
                          <a:xfrm>
                            <a:off x="4281891" y="2263189"/>
                            <a:ext cx="109886" cy="101562"/>
                          </a:xfrm>
                          <a:custGeom>
                            <a:avLst/>
                            <a:gdLst/>
                            <a:ahLst/>
                            <a:cxnLst/>
                            <a:rect l="0" t="0" r="0" b="0"/>
                            <a:pathLst>
                              <a:path w="101549" h="101562">
                                <a:moveTo>
                                  <a:pt x="101549" y="50762"/>
                                </a:moveTo>
                                <a:cubicBezTo>
                                  <a:pt x="101549" y="78829"/>
                                  <a:pt x="78829" y="101562"/>
                                  <a:pt x="50800" y="101562"/>
                                </a:cubicBezTo>
                                <a:cubicBezTo>
                                  <a:pt x="22771" y="101562"/>
                                  <a:pt x="0" y="78829"/>
                                  <a:pt x="0" y="50762"/>
                                </a:cubicBezTo>
                                <a:cubicBezTo>
                                  <a:pt x="0" y="22733"/>
                                  <a:pt x="22771" y="0"/>
                                  <a:pt x="50800" y="0"/>
                                </a:cubicBezTo>
                                <a:cubicBezTo>
                                  <a:pt x="78829" y="0"/>
                                  <a:pt x="101549" y="22733"/>
                                  <a:pt x="101549" y="50762"/>
                                </a:cubicBezTo>
                                <a:close/>
                              </a:path>
                            </a:pathLst>
                          </a:custGeom>
                          <a:ln w="12700" cap="flat">
                            <a:miter lim="127000"/>
                          </a:ln>
                        </wps:spPr>
                        <wps:style>
                          <a:lnRef idx="1">
                            <a:srgbClr val="85A62A"/>
                          </a:lnRef>
                          <a:fillRef idx="0">
                            <a:srgbClr val="000000">
                              <a:alpha val="0"/>
                            </a:srgbClr>
                          </a:fillRef>
                          <a:effectRef idx="0">
                            <a:scrgbClr r="0" g="0" b="0"/>
                          </a:effectRef>
                          <a:fontRef idx="none"/>
                        </wps:style>
                        <wps:bodyPr/>
                      </wps:wsp>
                      <wps:wsp>
                        <wps:cNvPr id="714449740" name="Shape 60"/>
                        <wps:cNvSpPr/>
                        <wps:spPr>
                          <a:xfrm>
                            <a:off x="4281891" y="2057762"/>
                            <a:ext cx="109886" cy="101498"/>
                          </a:xfrm>
                          <a:custGeom>
                            <a:avLst/>
                            <a:gdLst/>
                            <a:ahLst/>
                            <a:cxnLst/>
                            <a:rect l="0" t="0" r="0" b="0"/>
                            <a:pathLst>
                              <a:path w="101549" h="101498">
                                <a:moveTo>
                                  <a:pt x="50800" y="0"/>
                                </a:moveTo>
                                <a:cubicBezTo>
                                  <a:pt x="78829" y="0"/>
                                  <a:pt x="101549" y="22720"/>
                                  <a:pt x="101549" y="50749"/>
                                </a:cubicBezTo>
                                <a:cubicBezTo>
                                  <a:pt x="101549" y="78778"/>
                                  <a:pt x="78829" y="101498"/>
                                  <a:pt x="50800" y="101498"/>
                                </a:cubicBezTo>
                                <a:cubicBezTo>
                                  <a:pt x="22771" y="101498"/>
                                  <a:pt x="0" y="78778"/>
                                  <a:pt x="0" y="50749"/>
                                </a:cubicBezTo>
                                <a:cubicBezTo>
                                  <a:pt x="0" y="22720"/>
                                  <a:pt x="22771" y="0"/>
                                  <a:pt x="50800" y="0"/>
                                </a:cubicBezTo>
                                <a:close/>
                              </a:path>
                            </a:pathLst>
                          </a:custGeom>
                          <a:ln w="0" cap="flat">
                            <a:miter lim="127000"/>
                          </a:ln>
                        </wps:spPr>
                        <wps:style>
                          <a:lnRef idx="0">
                            <a:srgbClr val="000000">
                              <a:alpha val="0"/>
                            </a:srgbClr>
                          </a:lnRef>
                          <a:fillRef idx="1">
                            <a:srgbClr val="85A62A"/>
                          </a:fillRef>
                          <a:effectRef idx="0">
                            <a:scrgbClr r="0" g="0" b="0"/>
                          </a:effectRef>
                          <a:fontRef idx="none"/>
                        </wps:style>
                        <wps:bodyPr/>
                      </wps:wsp>
                      <wps:wsp>
                        <wps:cNvPr id="714449741" name="Shape 61"/>
                        <wps:cNvSpPr/>
                        <wps:spPr>
                          <a:xfrm>
                            <a:off x="4281891" y="1849036"/>
                            <a:ext cx="101549" cy="101549"/>
                          </a:xfrm>
                          <a:custGeom>
                            <a:avLst/>
                            <a:gdLst/>
                            <a:ahLst/>
                            <a:cxnLst/>
                            <a:rect l="0" t="0" r="0" b="0"/>
                            <a:pathLst>
                              <a:path w="101549" h="101549">
                                <a:moveTo>
                                  <a:pt x="50800" y="0"/>
                                </a:moveTo>
                                <a:cubicBezTo>
                                  <a:pt x="78829" y="0"/>
                                  <a:pt x="101549" y="22771"/>
                                  <a:pt x="101549" y="50800"/>
                                </a:cubicBezTo>
                                <a:cubicBezTo>
                                  <a:pt x="101549" y="78829"/>
                                  <a:pt x="78829" y="101549"/>
                                  <a:pt x="50800" y="101549"/>
                                </a:cubicBezTo>
                                <a:cubicBezTo>
                                  <a:pt x="22771" y="101549"/>
                                  <a:pt x="0" y="78829"/>
                                  <a:pt x="0" y="50800"/>
                                </a:cubicBezTo>
                                <a:cubicBezTo>
                                  <a:pt x="0" y="22771"/>
                                  <a:pt x="22771" y="0"/>
                                  <a:pt x="50800" y="0"/>
                                </a:cubicBezTo>
                                <a:close/>
                              </a:path>
                            </a:pathLst>
                          </a:custGeom>
                          <a:ln w="0" cap="flat">
                            <a:miter lim="127000"/>
                          </a:ln>
                        </wps:spPr>
                        <wps:style>
                          <a:lnRef idx="0">
                            <a:srgbClr val="000000">
                              <a:alpha val="0"/>
                            </a:srgbClr>
                          </a:lnRef>
                          <a:fillRef idx="1">
                            <a:srgbClr val="DBB175"/>
                          </a:fillRef>
                          <a:effectRef idx="0">
                            <a:scrgbClr r="0" g="0" b="0"/>
                          </a:effectRef>
                          <a:fontRef idx="none"/>
                        </wps:style>
                        <wps:bodyPr/>
                      </wps:wsp>
                      <wps:wsp>
                        <wps:cNvPr id="714449742" name="Shape 62"/>
                        <wps:cNvSpPr/>
                        <wps:spPr>
                          <a:xfrm>
                            <a:off x="4280598" y="1842105"/>
                            <a:ext cx="101549" cy="101549"/>
                          </a:xfrm>
                          <a:custGeom>
                            <a:avLst/>
                            <a:gdLst/>
                            <a:ahLst/>
                            <a:cxnLst/>
                            <a:rect l="0" t="0" r="0" b="0"/>
                            <a:pathLst>
                              <a:path w="101549" h="101549">
                                <a:moveTo>
                                  <a:pt x="101549" y="50800"/>
                                </a:moveTo>
                                <a:cubicBezTo>
                                  <a:pt x="101549" y="78829"/>
                                  <a:pt x="78829" y="101549"/>
                                  <a:pt x="50800" y="101549"/>
                                </a:cubicBezTo>
                                <a:cubicBezTo>
                                  <a:pt x="22771" y="101549"/>
                                  <a:pt x="0" y="78829"/>
                                  <a:pt x="0" y="50800"/>
                                </a:cubicBezTo>
                                <a:cubicBezTo>
                                  <a:pt x="0" y="22771"/>
                                  <a:pt x="22771" y="0"/>
                                  <a:pt x="50800" y="0"/>
                                </a:cubicBezTo>
                                <a:cubicBezTo>
                                  <a:pt x="78829" y="0"/>
                                  <a:pt x="101549" y="22771"/>
                                  <a:pt x="101549" y="50800"/>
                                </a:cubicBezTo>
                                <a:close/>
                              </a:path>
                            </a:pathLst>
                          </a:custGeom>
                          <a:ln w="12700" cap="flat">
                            <a:miter lim="127000"/>
                          </a:ln>
                        </wps:spPr>
                        <wps:style>
                          <a:lnRef idx="1">
                            <a:srgbClr val="CB923F"/>
                          </a:lnRef>
                          <a:fillRef idx="0">
                            <a:srgbClr val="000000">
                              <a:alpha val="0"/>
                            </a:srgbClr>
                          </a:fillRef>
                          <a:effectRef idx="0">
                            <a:scrgbClr r="0" g="0" b="0"/>
                          </a:effectRef>
                          <a:fontRef idx="none"/>
                        </wps:style>
                        <wps:bodyPr/>
                      </wps:wsp>
                      <wps:wsp>
                        <wps:cNvPr id="714449743" name="Shape 64"/>
                        <wps:cNvSpPr/>
                        <wps:spPr>
                          <a:xfrm>
                            <a:off x="4290228" y="2472927"/>
                            <a:ext cx="101549" cy="101549"/>
                          </a:xfrm>
                          <a:custGeom>
                            <a:avLst/>
                            <a:gdLst/>
                            <a:ahLst/>
                            <a:cxnLst/>
                            <a:rect l="0" t="0" r="0" b="0"/>
                            <a:pathLst>
                              <a:path w="101549" h="101549">
                                <a:moveTo>
                                  <a:pt x="50800" y="0"/>
                                </a:moveTo>
                                <a:cubicBezTo>
                                  <a:pt x="78829" y="0"/>
                                  <a:pt x="101549" y="22720"/>
                                  <a:pt x="101549" y="50749"/>
                                </a:cubicBezTo>
                                <a:cubicBezTo>
                                  <a:pt x="101549" y="78778"/>
                                  <a:pt x="78829" y="101549"/>
                                  <a:pt x="50800" y="101549"/>
                                </a:cubicBezTo>
                                <a:cubicBezTo>
                                  <a:pt x="22771" y="101549"/>
                                  <a:pt x="0" y="78778"/>
                                  <a:pt x="0" y="50749"/>
                                </a:cubicBezTo>
                                <a:cubicBezTo>
                                  <a:pt x="0" y="22720"/>
                                  <a:pt x="22771" y="0"/>
                                  <a:pt x="50800" y="0"/>
                                </a:cubicBezTo>
                                <a:close/>
                              </a:path>
                            </a:pathLst>
                          </a:custGeom>
                          <a:ln w="0" cap="flat">
                            <a:miter lim="127000"/>
                          </a:ln>
                        </wps:spPr>
                        <wps:style>
                          <a:lnRef idx="0">
                            <a:srgbClr val="000000">
                              <a:alpha val="0"/>
                            </a:srgbClr>
                          </a:lnRef>
                          <a:fillRef idx="1">
                            <a:srgbClr val="AABD66"/>
                          </a:fillRef>
                          <a:effectRef idx="0">
                            <a:scrgbClr r="0" g="0" b="0"/>
                          </a:effectRef>
                          <a:fontRef idx="none"/>
                        </wps:style>
                        <wps:bodyPr/>
                      </wps:wsp>
                      <wps:wsp>
                        <wps:cNvPr id="714449744" name="Shape 65"/>
                        <wps:cNvSpPr/>
                        <wps:spPr>
                          <a:xfrm>
                            <a:off x="4289881" y="2472927"/>
                            <a:ext cx="101549" cy="101549"/>
                          </a:xfrm>
                          <a:custGeom>
                            <a:avLst/>
                            <a:gdLst/>
                            <a:ahLst/>
                            <a:cxnLst/>
                            <a:rect l="0" t="0" r="0" b="0"/>
                            <a:pathLst>
                              <a:path w="101549" h="101549">
                                <a:moveTo>
                                  <a:pt x="101549" y="50749"/>
                                </a:moveTo>
                                <a:cubicBezTo>
                                  <a:pt x="101549" y="78778"/>
                                  <a:pt x="78829" y="101549"/>
                                  <a:pt x="50800" y="101549"/>
                                </a:cubicBezTo>
                                <a:cubicBezTo>
                                  <a:pt x="22771" y="101549"/>
                                  <a:pt x="0" y="78778"/>
                                  <a:pt x="0" y="50749"/>
                                </a:cubicBezTo>
                                <a:cubicBezTo>
                                  <a:pt x="0" y="22720"/>
                                  <a:pt x="22771" y="0"/>
                                  <a:pt x="50800" y="0"/>
                                </a:cubicBezTo>
                                <a:cubicBezTo>
                                  <a:pt x="78829" y="0"/>
                                  <a:pt x="101549" y="22720"/>
                                  <a:pt x="101549" y="50749"/>
                                </a:cubicBezTo>
                                <a:close/>
                              </a:path>
                            </a:pathLst>
                          </a:custGeom>
                          <a:ln w="12700" cap="flat">
                            <a:miter lim="127000"/>
                          </a:ln>
                        </wps:spPr>
                        <wps:style>
                          <a:lnRef idx="1">
                            <a:srgbClr val="85A62A"/>
                          </a:lnRef>
                          <a:fillRef idx="0">
                            <a:srgbClr val="000000">
                              <a:alpha val="0"/>
                            </a:srgbClr>
                          </a:fillRef>
                          <a:effectRef idx="0">
                            <a:scrgbClr r="0" g="0" b="0"/>
                          </a:effectRef>
                          <a:fontRef idx="none"/>
                        </wps:style>
                        <wps:bodyPr/>
                      </wps:wsp>
                      <wps:wsp>
                        <wps:cNvPr id="714449745" name="Shape 67"/>
                        <wps:cNvSpPr/>
                        <wps:spPr>
                          <a:xfrm>
                            <a:off x="810476" y="931710"/>
                            <a:ext cx="3571672" cy="0"/>
                          </a:xfrm>
                          <a:custGeom>
                            <a:avLst/>
                            <a:gdLst/>
                            <a:ahLst/>
                            <a:cxnLst/>
                            <a:rect l="0" t="0" r="0" b="0"/>
                            <a:pathLst>
                              <a:path w="3571672">
                                <a:moveTo>
                                  <a:pt x="3571672" y="0"/>
                                </a:moveTo>
                                <a:lnTo>
                                  <a:pt x="0" y="0"/>
                                </a:lnTo>
                              </a:path>
                            </a:pathLst>
                          </a:custGeom>
                          <a:ln w="9525" cap="rnd">
                            <a:miter lim="127000"/>
                          </a:ln>
                        </wps:spPr>
                        <wps:style>
                          <a:lnRef idx="1">
                            <a:srgbClr val="737372"/>
                          </a:lnRef>
                          <a:fillRef idx="0">
                            <a:srgbClr val="000000">
                              <a:alpha val="0"/>
                            </a:srgbClr>
                          </a:fillRef>
                          <a:effectRef idx="0">
                            <a:scrgbClr r="0" g="0" b="0"/>
                          </a:effectRef>
                          <a:fontRef idx="none"/>
                        </wps:style>
                        <wps:bodyPr/>
                      </wps:wsp>
                      <wps:wsp>
                        <wps:cNvPr id="714449746" name="Rectangle 68"/>
                        <wps:cNvSpPr/>
                        <wps:spPr>
                          <a:xfrm>
                            <a:off x="938682" y="2214041"/>
                            <a:ext cx="216675" cy="137635"/>
                          </a:xfrm>
                          <a:prstGeom prst="rect">
                            <a:avLst/>
                          </a:prstGeom>
                          <a:ln>
                            <a:noFill/>
                          </a:ln>
                        </wps:spPr>
                        <wps:txbx>
                          <w:txbxContent>
                            <w:p w14:paraId="595B0A8A"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1"/>
                                  <w:sz w:val="14"/>
                                </w:rPr>
                                <w:t>-</w:t>
                              </w:r>
                              <w:r w:rsidRPr="004E4C01">
                                <w:rPr>
                                  <w:rFonts w:asciiTheme="minorHAnsi" w:hAnsiTheme="minorHAnsi" w:cstheme="minorHAnsi"/>
                                  <w:spacing w:val="5"/>
                                  <w:w w:val="111"/>
                                  <w:sz w:val="14"/>
                                </w:rPr>
                                <w:t xml:space="preserve"> </w:t>
                              </w:r>
                              <w:r w:rsidRPr="004E4C01">
                                <w:rPr>
                                  <w:rFonts w:asciiTheme="minorHAnsi" w:hAnsiTheme="minorHAnsi" w:cstheme="minorHAnsi"/>
                                  <w:w w:val="111"/>
                                  <w:sz w:val="14"/>
                                </w:rPr>
                                <w:t>10</w:t>
                              </w:r>
                            </w:p>
                          </w:txbxContent>
                        </wps:txbx>
                        <wps:bodyPr horzOverflow="overflow" vert="horz" lIns="0" tIns="0" rIns="0" bIns="0" rtlCol="0">
                          <a:noAutofit/>
                        </wps:bodyPr>
                      </wps:wsp>
                      <wps:wsp>
                        <wps:cNvPr id="714449747" name="Rectangle 69"/>
                        <wps:cNvSpPr/>
                        <wps:spPr>
                          <a:xfrm>
                            <a:off x="1341533" y="1491995"/>
                            <a:ext cx="142541" cy="137635"/>
                          </a:xfrm>
                          <a:prstGeom prst="rect">
                            <a:avLst/>
                          </a:prstGeom>
                          <a:ln>
                            <a:noFill/>
                          </a:ln>
                        </wps:spPr>
                        <wps:txbx>
                          <w:txbxContent>
                            <w:p w14:paraId="14B0379D"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spacing w:val="36"/>
                                  <w:w w:val="110"/>
                                  <w:sz w:val="14"/>
                                </w:rPr>
                                <w:t>-5</w:t>
                              </w:r>
                            </w:p>
                          </w:txbxContent>
                        </wps:txbx>
                        <wps:bodyPr horzOverflow="overflow" vert="horz" lIns="0" tIns="0" rIns="0" bIns="0" rtlCol="0">
                          <a:noAutofit/>
                        </wps:bodyPr>
                      </wps:wsp>
                      <wps:wsp>
                        <wps:cNvPr id="714449749" name="Rectangle 70"/>
                        <wps:cNvSpPr/>
                        <wps:spPr>
                          <a:xfrm>
                            <a:off x="1736867" y="1225829"/>
                            <a:ext cx="142541" cy="137635"/>
                          </a:xfrm>
                          <a:prstGeom prst="rect">
                            <a:avLst/>
                          </a:prstGeom>
                          <a:ln>
                            <a:noFill/>
                          </a:ln>
                        </wps:spPr>
                        <wps:txbx>
                          <w:txbxContent>
                            <w:p w14:paraId="47522F97"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spacing w:val="36"/>
                                  <w:w w:val="110"/>
                                  <w:sz w:val="14"/>
                                </w:rPr>
                                <w:t>-3</w:t>
                              </w:r>
                            </w:p>
                          </w:txbxContent>
                        </wps:txbx>
                        <wps:bodyPr horzOverflow="overflow" vert="horz" lIns="0" tIns="0" rIns="0" bIns="0" rtlCol="0">
                          <a:noAutofit/>
                        </wps:bodyPr>
                      </wps:wsp>
                      <wps:wsp>
                        <wps:cNvPr id="714449750" name="Rectangle 71"/>
                        <wps:cNvSpPr/>
                        <wps:spPr>
                          <a:xfrm>
                            <a:off x="2120123" y="951572"/>
                            <a:ext cx="142541" cy="137635"/>
                          </a:xfrm>
                          <a:prstGeom prst="rect">
                            <a:avLst/>
                          </a:prstGeom>
                          <a:ln>
                            <a:noFill/>
                          </a:ln>
                        </wps:spPr>
                        <wps:txbx>
                          <w:txbxContent>
                            <w:p w14:paraId="36F89E7B"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spacing w:val="36"/>
                                  <w:w w:val="110"/>
                                  <w:sz w:val="14"/>
                                </w:rPr>
                                <w:t>-1</w:t>
                              </w:r>
                            </w:p>
                          </w:txbxContent>
                        </wps:txbx>
                        <wps:bodyPr horzOverflow="overflow" vert="horz" lIns="0" tIns="0" rIns="0" bIns="0" rtlCol="0">
                          <a:noAutofit/>
                        </wps:bodyPr>
                      </wps:wsp>
                    </wpg:wgp>
                  </a:graphicData>
                </a:graphic>
              </wp:inline>
            </w:drawing>
          </mc:Choice>
          <mc:Fallback>
            <w:pict>
              <v:group w14:anchorId="1F65E127" id="Group 358" o:spid="_x0000_s1029" style="width:387pt;height:229.4pt;mso-position-horizontal-relative:char;mso-position-vertical-relative:line" coordorigin="4912" coordsize="51731,2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">
                <v:shape id="Shape 9" o:spid="_x0000_s1030" style="position:absolute;left:4912;width:51732;height:28313;visibility:visible;mso-wrap-style:square;v-text-anchor:top" coordsize="6287351,28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" path="m72034,c72034,,,,,71984l,2759329v,,,71984,72034,71984l6215317,2831313v,,72034,,72034,-71984l6287351,71984v,,,-71984,-72034,-71984l72034,xe" filled="f" strokecolor="#2a2a29" strokeweight="1pt">
                  <v:stroke miterlimit="1" joinstyle="miter"/>
                  <v:path arrowok="t" textboxrect="0,0,6287351,2831313"/>
                </v:shape>
                <v:rect id="Rectangle 51" o:spid="_x0000_s1031" style="position:absolute;left:44644;top:18378;width:8255;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" filled="f" stroked="f">
                  <v:textbox inset="0,0,0,0">
                    <w:txbxContent>
                      <w:p w14:paraId="2ABB5600"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9"/>
                            <w:sz w:val="18"/>
                          </w:rPr>
                          <w:t>I.</w:t>
                        </w:r>
                        <w:r w:rsidRPr="004E4C01">
                          <w:rPr>
                            <w:rFonts w:asciiTheme="minorHAnsi" w:hAnsiTheme="minorHAnsi" w:cstheme="minorHAnsi"/>
                            <w:spacing w:val="-10"/>
                            <w:w w:val="109"/>
                            <w:sz w:val="18"/>
                          </w:rPr>
                          <w:t xml:space="preserve"> </w:t>
                        </w:r>
                        <w:r w:rsidRPr="004E4C01">
                          <w:rPr>
                            <w:rFonts w:asciiTheme="minorHAnsi" w:hAnsiTheme="minorHAnsi" w:cstheme="minorHAnsi"/>
                            <w:w w:val="109"/>
                            <w:sz w:val="18"/>
                          </w:rPr>
                          <w:t>Corregido</w:t>
                        </w:r>
                      </w:p>
                    </w:txbxContent>
                  </v:textbox>
                </v:rect>
                <v:rect id="Rectangle 49" o:spid="_x0000_s1032" style="position:absolute;left:44644;top:22472;width:657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" filled="f" stroked="f">
                  <v:textbox inset="0,0,0,0">
                    <w:txbxContent>
                      <w:p w14:paraId="2277DBDA" w14:textId="6A21AFC1"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1"/>
                            <w:sz w:val="18"/>
                          </w:rPr>
                          <w:t>I.</w:t>
                        </w:r>
                        <w:r w:rsidRPr="004E4C01">
                          <w:rPr>
                            <w:rFonts w:asciiTheme="minorHAnsi" w:hAnsiTheme="minorHAnsi" w:cstheme="minorHAnsi"/>
                            <w:spacing w:val="-13"/>
                            <w:w w:val="111"/>
                            <w:sz w:val="18"/>
                          </w:rPr>
                          <w:t xml:space="preserve"> </w:t>
                        </w:r>
                        <w:r w:rsidRPr="004E4C01">
                          <w:rPr>
                            <w:rFonts w:asciiTheme="minorHAnsi" w:hAnsiTheme="minorHAnsi" w:cstheme="minorHAnsi"/>
                            <w:w w:val="111"/>
                            <w:sz w:val="18"/>
                          </w:rPr>
                          <w:t>Prevenido</w:t>
                        </w:r>
                      </w:p>
                    </w:txbxContent>
                  </v:textbox>
                </v:rect>
                <v:shape id="Shape 11" o:spid="_x0000_s1033" style="position:absolute;left:20689;top:9338;width:2112;height:14511;visibility:visible;mso-wrap-style:square;v-text-anchor:top" coordsize="211226,14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" path="m,l211226,r,1345463c211226,1403756,163957,1451077,105613,1451077,47269,1451077,,1403756,,1345463l,xe" stroked="f" strokeweight="0">
                  <v:stroke miterlimit="83231f" joinstyle="miter"/>
                  <v:path arrowok="t" textboxrect="0,0,211226,1451077"/>
                </v:shape>
                <v:shape id="Shape 12" o:spid="_x0000_s1034" style="position:absolute;left:20689;top:9338;width:2112;height:14511;visibility:visible;mso-wrap-style:square;v-text-anchor:top" coordsize="211226,14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" path="m105613,1451077c47269,1451077,,1403756,,1345463l,,211226,r,1345463c211226,1403756,163957,1451077,105613,1451077xe" filled="f" strokecolor="#83a526" strokeweight="1pt">
                  <v:stroke miterlimit="83231f" joinstyle="miter"/>
                  <v:path arrowok="t" textboxrect="0,0,211226,1451077"/>
                </v:shape>
                <v:shape id="Shape 14" o:spid="_x0000_s1035" style="position:absolute;left:20689;top:9537;width:2112;height:7255;visibility:visible;mso-wrap-style:square;v-text-anchor:top" coordsize="211226,72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" path="m,l211226,r,619862c211226,678206,163957,725488,105613,725488,47269,725488,,678206,,619862l,xe" fillcolor="#85a62a" stroked="f" strokeweight="0">
                  <v:stroke miterlimit="83231f" joinstyle="miter"/>
                  <v:path arrowok="t" textboxrect="0,0,211226,725488"/>
                </v:shape>
                <v:shape id="Shape 15" o:spid="_x0000_s1036" style="position:absolute;left:20689;top:9338;width:2112;height:4917;visibility:visible;mso-wrap-style:square;v-text-anchor:top" coordsize="211226,49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" path="m,l211226,r,386118c211226,444411,163957,491731,105613,491731,47269,491731,,444411,,386118l,xe" fillcolor="#dbb175" stroked="f" strokeweight="0">
                  <v:stroke miterlimit="83231f" joinstyle="miter"/>
                  <v:path arrowok="t" textboxrect="0,0,211226,491731"/>
                </v:shape>
                <v:shape id="Shape 16" o:spid="_x0000_s1037" style="position:absolute;left:20689;top:9338;width:2112;height:4917;visibility:visible;mso-wrap-style:square;v-text-anchor:top" coordsize="211226,49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" path="m105613,491731c47269,491731,,444411,,386118l,,211226,r,386118c211226,444411,163957,491731,105613,491731xe" filled="f" strokecolor="#ca8f3a" strokeweight="1pt">
                  <v:stroke miterlimit="83231f" joinstyle="miter"/>
                  <v:path arrowok="t" textboxrect="0,0,211226,491731"/>
                </v:shape>
                <v:shape id="Shape 18" o:spid="_x0000_s1038" style="position:absolute;left:20689;top:9338;width:2112;height:1708;visibility:visible;mso-wrap-style:square;v-text-anchor:top" coordsize="211226,1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" path="m,l211226,r,65088c211226,123431,163957,170713,105613,170713,47269,170713,,123431,,65088l,xe" fillcolor="#aabd66" stroked="f" strokeweight="0">
                  <v:stroke miterlimit="83231f" joinstyle="miter"/>
                  <v:path arrowok="t" textboxrect="0,0,211226,170713"/>
                </v:shape>
                <v:shape id="Shape 19" o:spid="_x0000_s1039" style="position:absolute;left:20689;top:9338;width:2112;height:1708;visibility:visible;mso-wrap-style:square;v-text-anchor:top" coordsize="211226,1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" path="m105613,170713c47269,170713,,123431,,65088l,,211226,r,65088c211226,123431,163957,170713,105613,170713xe" filled="f" strokecolor="#83a526" strokeweight="1pt">
                  <v:stroke miterlimit="83231f" joinstyle="miter"/>
                  <v:path arrowok="t" textboxrect="0,0,211226,170713"/>
                </v:shape>
                <v:shape id="Shape 21" o:spid="_x0000_s1040" style="position:absolute;left:36984;top:9338;width:2112;height:1708;visibility:visible;mso-wrap-style:square;v-text-anchor:top" coordsize="211188,1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" path="m,l211188,r,65088c211188,123431,163957,170713,105575,170713,47231,170713,,123431,,65088l,xe" fillcolor="#cb923f" stroked="f" strokeweight="0">
                  <v:stroke miterlimit="83231f" joinstyle="miter"/>
                  <v:path arrowok="t" textboxrect="0,0,211188,170713"/>
                </v:shape>
                <v:shape id="Shape 22" o:spid="_x0000_s1041" style="position:absolute;left:40490;top:6579;width:2112;height:2716;visibility:visible;mso-wrap-style:square;v-text-anchor:top" coordsize="211239,27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" path="m105613,v58344,,105626,47269,105626,105613l211239,271564,,271564,,105613c,47269,47270,,105613,xe" fillcolor="#f5cf80" stroked="f" strokeweight="0">
                  <v:stroke miterlimit="83231f" joinstyle="miter"/>
                  <v:path arrowok="t" textboxrect="0,0,211239,271564"/>
                </v:shape>
                <v:shape id="Shape 23" o:spid="_x0000_s1042" style="position:absolute;left:16829;top:9338;width:2112;height:14511;visibility:visible;mso-wrap-style:square;v-text-anchor:top" coordsize="211239,14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" path="m,l211239,r,1345463c211239,1403756,163957,1451077,105626,1451077,47282,1451077,,1403756,,1345463l,xe" stroked="f" strokeweight="0">
                  <v:stroke miterlimit="83231f" joinstyle="miter"/>
                  <v:path arrowok="t" textboxrect="0,0,211239,1451077"/>
                </v:shape>
                <v:shape id="Shape 24" o:spid="_x0000_s1043" style="position:absolute;left:16829;top:9338;width:2112;height:14511;visibility:visible;mso-wrap-style:square;v-text-anchor:top" coordsize="211239,14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" path="m105626,1451077c47282,1451077,,1403756,,1345463l,,211239,r,1345463c211239,1403756,163957,1451077,105626,1451077xe" filled="f" strokecolor="#83a526" strokeweight="1pt">
                  <v:stroke miterlimit="83231f" joinstyle="miter"/>
                  <v:path arrowok="t" textboxrect="0,0,211239,1451077"/>
                </v:shape>
                <v:shape id="Shape 26" o:spid="_x0000_s1044" style="position:absolute;left:16829;top:9537;width:2112;height:7255;visibility:visible;mso-wrap-style:square;v-text-anchor:top" coordsize="211239,72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" path="m,l211239,r,619862c211239,678206,163957,725488,105626,725488,47282,725488,,678206,,619862l,xe" fillcolor="#85a62a" stroked="f" strokeweight="0">
                  <v:stroke miterlimit="83231f" joinstyle="miter"/>
                  <v:path arrowok="t" textboxrect="0,0,211239,725488"/>
                </v:shape>
                <v:shape id="Shape 27" o:spid="_x0000_s1045" style="position:absolute;left:8144;top:2727;width:0;height:23017;visibility:visible;mso-wrap-style:square;v-text-anchor:top" coordsize="0,230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" path="m,l,2301774e" filled="f" strokecolor="#70706f">
                  <v:stroke miterlimit="83231f" joinstyle="miter" endcap="round"/>
                  <v:path arrowok="t" textboxrect="0,0,0,2301774"/>
                </v:shape>
                <v:shape id="Shape 28" o:spid="_x0000_s1046" style="position:absolute;left:7983;top:2618;width:323;height:299;visibility:visible;mso-wrap-style:square;v-text-anchor:top" coordsize="32296,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" path="m16116,l32296,16129r,13741l16116,13691,,29870,,16129,16116,xe" fillcolor="#737372" stroked="f" strokeweight="0">
                  <v:stroke miterlimit="83231f" joinstyle="miter" endcap="round"/>
                  <v:path arrowok="t" textboxrect="0,0,32296,29870"/>
                </v:shape>
                <v:shape id="Shape 29" o:spid="_x0000_s1047" style="position:absolute;left:7983;top:25554;width:323;height:299;visibility:visible;mso-wrap-style:square;v-text-anchor:top" coordsize="32296,2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" path="m,l16116,16167,32296,r,13741l16116,29858,,13741,,xe" fillcolor="#737372" stroked="f" strokeweight="0">
                  <v:stroke miterlimit="83231f" joinstyle="miter" endcap="round"/>
                  <v:path arrowok="t" textboxrect="0,0,32296,29858"/>
                </v:shape>
                <v:rect id="Rectangle 30" o:spid="_x0000_s1048" style="position:absolute;left:3626;top:13737;width:5887;height:17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14:paraId="4C2429B4"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sz w:val="18"/>
                          </w:rPr>
                          <w:t>Impacto</w:t>
                        </w:r>
                      </w:p>
                    </w:txbxContent>
                  </v:textbox>
                </v:rect>
                <v:shape id="Shape 31" o:spid="_x0000_s1049" style="position:absolute;left:9170;top:9338;width:2113;height:14511;visibility:visible;mso-wrap-style:square;v-text-anchor:top" coordsize="211290,14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" path="m,l211290,r,1345463c211290,1403756,163970,1451077,105677,1451077,47333,1451077,,1403756,,1345463l,xe" fillcolor="#aabd66" stroked="f" strokeweight="0">
                  <v:stroke miterlimit="83231f" joinstyle="miter"/>
                  <v:path arrowok="t" textboxrect="0,0,211290,1451077"/>
                </v:shape>
                <v:shape id="Shape 32" o:spid="_x0000_s1050" style="position:absolute;left:9170;top:9338;width:2113;height:14511;visibility:visible;mso-wrap-style:square;v-text-anchor:top" coordsize="211290,14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" path="m105677,1451077c47333,1451077,,1403756,,1345463l,,211290,r,1345463c211290,1403756,163970,1451077,105677,1451077xe" filled="f" strokecolor="#83a526" strokeweight="1pt">
                  <v:stroke miterlimit="83231f" joinstyle="miter"/>
                  <v:path arrowok="t" textboxrect="0,0,211290,1451077"/>
                </v:shape>
                <v:shape id="Shape 34" o:spid="_x0000_s1051" style="position:absolute;left:12953;top:9338;width:2112;height:14511;visibility:visible;mso-wrap-style:square;v-text-anchor:top" coordsize="211226,14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" path="m,l211226,r,1345463c211226,1403756,163957,1451077,105613,1451077,47269,1451077,,1403756,,1345463l,xe" stroked="f" strokeweight="0">
                  <v:stroke miterlimit="83231f" joinstyle="miter"/>
                  <v:path arrowok="t" textboxrect="0,0,211226,1451077"/>
                </v:shape>
                <v:shape id="Shape 35" o:spid="_x0000_s1052" style="position:absolute;left:12953;top:9338;width:2112;height:14511;visibility:visible;mso-wrap-style:square;v-text-anchor:top" coordsize="211226,14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" path="m105613,1451077c47269,1451077,,1403756,,1345463l,,211226,r,1345463c211226,1403756,163957,1451077,105613,1451077xe" filled="f" strokecolor="#83a526" strokeweight="1pt">
                  <v:stroke miterlimit="83231f" joinstyle="miter"/>
                  <v:path arrowok="t" textboxrect="0,0,211226,1451077"/>
                </v:shape>
                <v:shape id="Shape 37" o:spid="_x0000_s1053" style="position:absolute;left:12953;top:9338;width:2112;height:7255;visibility:visible;mso-wrap-style:square;v-text-anchor:top" coordsize="211226,72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" path="m,l211226,r,619925c211226,678269,163957,725538,105613,725538,47269,725538,,678269,,619925l,xe" fillcolor="#aabd66" stroked="f" strokeweight="0">
                  <v:stroke miterlimit="83231f" joinstyle="miter"/>
                  <v:path arrowok="t" textboxrect="0,0,211226,725538"/>
                </v:shape>
                <v:shape id="Shape 38" o:spid="_x0000_s1054" style="position:absolute;left:12953;top:9338;width:2112;height:7255;visibility:visible;mso-wrap-style:square;v-text-anchor:top" coordsize="211226,72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" path="m105613,725538c47269,725538,,678269,,619925l,,211226,r,619925c211226,678269,163957,725538,105613,725538xe" filled="f" strokecolor="#83a526" strokeweight="1pt">
                  <v:stroke miterlimit="83231f" joinstyle="miter"/>
                  <v:path arrowok="t" textboxrect="0,0,211226,725538"/>
                </v:shape>
                <v:shape id="Shape 40" o:spid="_x0000_s1055" style="position:absolute;left:16829;top:9338;width:2112;height:4660;visibility:visible;mso-wrap-style:square;v-text-anchor:top" coordsize="211239,46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" path="m,l211239,r,360363c211239,418656,163957,465988,105626,465988,47282,465988,,418656,,360363l,xe" fillcolor="#aabd66" stroked="f" strokeweight="0">
                  <v:stroke miterlimit="83231f" joinstyle="miter"/>
                  <v:path arrowok="t" textboxrect="0,0,211239,465988"/>
                </v:shape>
                <v:shape id="Shape 41" o:spid="_x0000_s1056" style="position:absolute;left:16829;top:9338;width:2112;height:4660;visibility:visible;mso-wrap-style:square;v-text-anchor:top" coordsize="211239,46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" path="m105626,465988c47282,465988,,418656,,360363l,,211239,r,360363c211239,418656,163957,465988,105626,465988xe" filled="f" strokecolor="#83a526" strokeweight="1pt">
                  <v:stroke miterlimit="83231f" joinstyle="miter"/>
                  <v:path arrowok="t" textboxrect="0,0,211239,465988"/>
                </v:shape>
                <v:rect id="Rectangle 43" o:spid="_x0000_s1057" style="position:absolute;left:25171;top:9531;width:1340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260CA97"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9"/>
                            <w:sz w:val="18"/>
                          </w:rPr>
                          <w:t>I.</w:t>
                        </w:r>
                        <w:r w:rsidRPr="004E4C01">
                          <w:rPr>
                            <w:rFonts w:asciiTheme="minorHAnsi" w:hAnsiTheme="minorHAnsi" w:cstheme="minorHAnsi"/>
                            <w:spacing w:val="-13"/>
                            <w:w w:val="109"/>
                            <w:sz w:val="18"/>
                          </w:rPr>
                          <w:t xml:space="preserve"> </w:t>
                        </w:r>
                        <w:r w:rsidRPr="004E4C01">
                          <w:rPr>
                            <w:rFonts w:asciiTheme="minorHAnsi" w:hAnsiTheme="minorHAnsi" w:cstheme="minorHAnsi"/>
                            <w:w w:val="109"/>
                            <w:sz w:val="18"/>
                          </w:rPr>
                          <w:t>Residual</w:t>
                        </w:r>
                        <w:r w:rsidRPr="004E4C01">
                          <w:rPr>
                            <w:rFonts w:asciiTheme="minorHAnsi" w:hAnsiTheme="minorHAnsi" w:cstheme="minorHAnsi"/>
                            <w:spacing w:val="20"/>
                            <w:w w:val="109"/>
                            <w:sz w:val="18"/>
                          </w:rPr>
                          <w:t xml:space="preserve"> </w:t>
                        </w:r>
                        <w:r w:rsidRPr="004E4C01">
                          <w:rPr>
                            <w:rFonts w:asciiTheme="minorHAnsi" w:hAnsiTheme="minorHAnsi" w:cstheme="minorHAnsi"/>
                            <w:w w:val="109"/>
                            <w:sz w:val="18"/>
                          </w:rPr>
                          <w:t>(objeto</w:t>
                        </w:r>
                        <w:r w:rsidRPr="004E4C01">
                          <w:rPr>
                            <w:rFonts w:asciiTheme="minorHAnsi" w:hAnsiTheme="minorHAnsi" w:cstheme="minorHAnsi"/>
                            <w:spacing w:val="21"/>
                            <w:w w:val="109"/>
                            <w:sz w:val="18"/>
                          </w:rPr>
                          <w:t xml:space="preserve"> </w:t>
                        </w:r>
                      </w:p>
                    </w:txbxContent>
                  </v:textbox>
                </v:rect>
                <v:rect id="Rectangle 44" o:spid="_x0000_s1058" style="position:absolute;left:25171;top:10903;width:1318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648C16B"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0"/>
                            <w:sz w:val="18"/>
                          </w:rPr>
                          <w:t>de</w:t>
                        </w:r>
                        <w:r w:rsidRPr="004E4C01">
                          <w:rPr>
                            <w:rFonts w:asciiTheme="minorHAnsi" w:hAnsiTheme="minorHAnsi" w:cstheme="minorHAnsi"/>
                            <w:spacing w:val="-5"/>
                            <w:w w:val="110"/>
                            <w:sz w:val="18"/>
                          </w:rPr>
                          <w:t xml:space="preserve"> </w:t>
                        </w:r>
                        <w:r w:rsidRPr="004E4C01">
                          <w:rPr>
                            <w:rFonts w:asciiTheme="minorHAnsi" w:hAnsiTheme="minorHAnsi" w:cstheme="minorHAnsi"/>
                            <w:w w:val="110"/>
                            <w:sz w:val="18"/>
                          </w:rPr>
                          <w:t>compensación)</w:t>
                        </w:r>
                      </w:p>
                    </w:txbxContent>
                  </v:textbox>
                </v:rect>
                <v:rect id="Rectangle 45" o:spid="_x0000_s1059" style="position:absolute;left:9347;top:2182;width:211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0311969"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6"/>
                            <w:sz w:val="18"/>
                          </w:rPr>
                          <w:t>(+)</w:t>
                        </w:r>
                      </w:p>
                    </w:txbxContent>
                  </v:textbox>
                </v:rect>
                <v:rect id="Rectangle 46" o:spid="_x0000_s1060" style="position:absolute;left:9347;top:24563;width:211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6A8AE6E"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3"/>
                            <w:sz w:val="18"/>
                          </w:rPr>
                          <w:t>(-</w:t>
                        </w:r>
                        <w:r w:rsidRPr="004E4C01">
                          <w:rPr>
                            <w:rFonts w:asciiTheme="minorHAnsi" w:hAnsiTheme="minorHAnsi" w:cstheme="minorHAnsi"/>
                            <w:spacing w:val="6"/>
                            <w:w w:val="113"/>
                            <w:sz w:val="18"/>
                          </w:rPr>
                          <w:t xml:space="preserve"> </w:t>
                        </w:r>
                        <w:r w:rsidRPr="004E4C01">
                          <w:rPr>
                            <w:rFonts w:asciiTheme="minorHAnsi" w:hAnsiTheme="minorHAnsi" w:cstheme="minorHAnsi"/>
                            <w:w w:val="113"/>
                            <w:sz w:val="18"/>
                          </w:rPr>
                          <w:t>)</w:t>
                        </w:r>
                      </w:p>
                    </w:txbxContent>
                  </v:textbox>
                </v:rect>
                <v:rect id="Rectangle 47" o:spid="_x0000_s1061" style="position:absolute;left:44644;top:14045;width:11450;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0389146"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9"/>
                            <w:sz w:val="18"/>
                          </w:rPr>
                          <w:t>I.</w:t>
                        </w:r>
                        <w:r w:rsidRPr="004E4C01">
                          <w:rPr>
                            <w:rFonts w:asciiTheme="minorHAnsi" w:hAnsiTheme="minorHAnsi" w:cstheme="minorHAnsi"/>
                            <w:spacing w:val="-13"/>
                            <w:w w:val="109"/>
                            <w:sz w:val="18"/>
                          </w:rPr>
                          <w:t xml:space="preserve"> </w:t>
                        </w:r>
                        <w:r w:rsidRPr="004E4C01">
                          <w:rPr>
                            <w:rFonts w:asciiTheme="minorHAnsi" w:hAnsiTheme="minorHAnsi" w:cstheme="minorHAnsi"/>
                            <w:w w:val="109"/>
                            <w:sz w:val="18"/>
                          </w:rPr>
                          <w:t>Positivo</w:t>
                        </w:r>
                        <w:r w:rsidRPr="004E4C01">
                          <w:rPr>
                            <w:rFonts w:asciiTheme="minorHAnsi" w:hAnsiTheme="minorHAnsi" w:cstheme="minorHAnsi"/>
                            <w:spacing w:val="12"/>
                            <w:w w:val="109"/>
                            <w:sz w:val="18"/>
                          </w:rPr>
                          <w:t xml:space="preserve"> </w:t>
                        </w:r>
                        <w:r w:rsidRPr="004E4C01">
                          <w:rPr>
                            <w:rFonts w:asciiTheme="minorHAnsi" w:hAnsiTheme="minorHAnsi" w:cstheme="minorHAnsi"/>
                            <w:w w:val="109"/>
                            <w:sz w:val="18"/>
                          </w:rPr>
                          <w:t>adicional</w:t>
                        </w:r>
                      </w:p>
                    </w:txbxContent>
                  </v:textbox>
                </v:rect>
                <v:rect id="Rectangle 48" o:spid="_x0000_s1062" style="position:absolute;left:44644;top:16083;width:1060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529DFB4"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0"/>
                            <w:sz w:val="18"/>
                          </w:rPr>
                          <w:t>I.</w:t>
                        </w:r>
                        <w:r w:rsidRPr="004E4C01">
                          <w:rPr>
                            <w:rFonts w:asciiTheme="minorHAnsi" w:hAnsiTheme="minorHAnsi" w:cstheme="minorHAnsi"/>
                            <w:spacing w:val="-10"/>
                            <w:w w:val="110"/>
                            <w:sz w:val="18"/>
                          </w:rPr>
                          <w:t xml:space="preserve"> </w:t>
                        </w:r>
                        <w:r w:rsidRPr="004E4C01">
                          <w:rPr>
                            <w:rFonts w:asciiTheme="minorHAnsi" w:hAnsiTheme="minorHAnsi" w:cstheme="minorHAnsi"/>
                            <w:w w:val="110"/>
                            <w:sz w:val="18"/>
                          </w:rPr>
                          <w:t>Compensado</w:t>
                        </w:r>
                      </w:p>
                    </w:txbxContent>
                  </v:textbox>
                </v:rect>
                <v:rect id="Rectangle 50" o:spid="_x0000_s1063" style="position:absolute;left:44644;top:20317;width:726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" filled="f" stroked="f">
                  <v:textbox inset="0,0,0,0">
                    <w:txbxContent>
                      <w:p w14:paraId="6B39FD67"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6"/>
                            <w:sz w:val="18"/>
                          </w:rPr>
                          <w:t>I.</w:t>
                        </w:r>
                        <w:r w:rsidRPr="004E4C01">
                          <w:rPr>
                            <w:rFonts w:asciiTheme="minorHAnsi" w:hAnsiTheme="minorHAnsi" w:cstheme="minorHAnsi"/>
                            <w:spacing w:val="-13"/>
                            <w:w w:val="106"/>
                            <w:sz w:val="18"/>
                          </w:rPr>
                          <w:t xml:space="preserve"> </w:t>
                        </w:r>
                        <w:r w:rsidRPr="004E4C01">
                          <w:rPr>
                            <w:rFonts w:asciiTheme="minorHAnsi" w:hAnsiTheme="minorHAnsi" w:cstheme="minorHAnsi"/>
                            <w:w w:val="106"/>
                            <w:sz w:val="18"/>
                          </w:rPr>
                          <w:t>Mitigado</w:t>
                        </w:r>
                      </w:p>
                    </w:txbxContent>
                  </v:textbox>
                </v:rect>
                <v:rect id="Rectangle 52" o:spid="_x0000_s1064" style="position:absolute;left:44597;top:24563;width:778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" filled="f" stroked="f">
                  <v:textbox inset="0,0,0,0">
                    <w:txbxContent>
                      <w:p w14:paraId="6FDF01F5"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09"/>
                            <w:sz w:val="18"/>
                          </w:rPr>
                          <w:t>I.</w:t>
                        </w:r>
                        <w:r w:rsidRPr="004E4C01">
                          <w:rPr>
                            <w:rFonts w:asciiTheme="minorHAnsi" w:hAnsiTheme="minorHAnsi" w:cstheme="minorHAnsi"/>
                            <w:spacing w:val="-13"/>
                            <w:w w:val="109"/>
                            <w:sz w:val="18"/>
                          </w:rPr>
                          <w:t xml:space="preserve"> </w:t>
                        </w:r>
                        <w:r w:rsidRPr="004E4C01">
                          <w:rPr>
                            <w:rFonts w:asciiTheme="minorHAnsi" w:hAnsiTheme="minorHAnsi" w:cstheme="minorHAnsi"/>
                            <w:w w:val="109"/>
                            <w:sz w:val="18"/>
                          </w:rPr>
                          <w:t>Potencial</w:t>
                        </w:r>
                      </w:p>
                    </w:txbxContent>
                  </v:textbox>
                </v:rect>
                <v:shape id="Shape 53" o:spid="_x0000_s1065" style="position:absolute;left:23166;top:9589;width:820;height:1207;visibility:visible;mso-wrap-style:square;v-text-anchor:top" coordsize="82042,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" path="m,l82042,r,120701l,120701e" filled="f" strokecolor="#70706f">
                  <v:stroke miterlimit="83231f" joinstyle="miter" endcap="round"/>
                  <v:path arrowok="t" textboxrect="0,0,82042,120701"/>
                </v:shape>
                <v:shape id="Shape 54" o:spid="_x0000_s1066" style="position:absolute;left:23986;top:10192;width:575;height:0;visibility:visible;mso-wrap-style:square;v-text-anchor:top" coordsize="57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" path="m,l57506,e" filled="f" strokecolor="#70706f">
                  <v:stroke miterlimit="83231f" joinstyle="miter" endcap="round"/>
                  <v:path arrowok="t" textboxrect="0,0,57506,0"/>
                </v:shape>
                <v:shape id="Shape 55" o:spid="_x0000_s1067" style="position:absolute;left:42818;top:14169;width:1099;height:1015;visibility:visible;mso-wrap-style:square;v-text-anchor:top" coordsize="101549,10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" path="m50800,v28029,,50749,22720,50749,50749c101549,78829,78829,101549,50800,101549,22771,101549,,78829,,50749,,22720,22771,,50800,xe" fillcolor="#f5cf80" stroked="f" strokeweight="0">
                  <v:stroke miterlimit="83231f" joinstyle="miter" endcap="round"/>
                  <v:path arrowok="t" textboxrect="0,0,101549,101549"/>
                </v:shape>
                <v:shape id="Shape 56" o:spid="_x0000_s1068" style="position:absolute;left:42818;top:16326;width:1099;height:1015;visibility:visible;mso-wrap-style:square;v-text-anchor:top" coordsize="101549,10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" path="m50800,v28029,,50749,22720,50749,50800c101549,78829,78829,101562,50800,101562,22771,101562,,78829,,50800,,22720,22771,,50800,xe" fillcolor="#cb923f" stroked="f" strokeweight="0">
                  <v:stroke miterlimit="83231f" joinstyle="miter" endcap="round"/>
                  <v:path arrowok="t" textboxrect="0,0,101549,101562"/>
                </v:shape>
                <v:shape id="Shape 57" o:spid="_x0000_s1069" style="position:absolute;left:42805;top:18308;width:1016;height:1016;visibility:visible;mso-wrap-style:square;v-text-anchor:top" coordsize="101549,10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" path="m50800,v28029,,50749,22733,50749,50762c101549,78829,78829,101562,50800,101562,22771,101562,,78829,,50762,,22733,22771,,50800,xe" stroked="f" strokeweight="0">
                  <v:stroke miterlimit="83231f" joinstyle="miter" endcap="round"/>
                  <v:path arrowok="t" textboxrect="0,0,101549,101562"/>
                </v:shape>
                <v:shape id="Shape 58" o:spid="_x0000_s1070" style="position:absolute;left:42818;top:22631;width:1099;height:1016;visibility:visible;mso-wrap-style:square;v-text-anchor:top" coordsize="101549,10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" path="m101549,50762v,28067,-22720,50800,-50749,50800c22771,101562,,78829,,50762,,22733,22771,,50800,v28029,,50749,22733,50749,50762xe" filled="f" strokecolor="#83a526" strokeweight="1pt">
                  <v:stroke miterlimit="83231f" joinstyle="miter"/>
                  <v:path arrowok="t" textboxrect="0,0,101549,101562"/>
                </v:shape>
                <v:shape id="Shape 60" o:spid="_x0000_s1071" style="position:absolute;left:42818;top:20577;width:1099;height:1015;visibility:visible;mso-wrap-style:square;v-text-anchor:top" coordsize="101549,10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" path="m50800,v28029,,50749,22720,50749,50749c101549,78778,78829,101498,50800,101498,22771,101498,,78778,,50749,,22720,22771,,50800,xe" fillcolor="#85a62a" stroked="f" strokeweight="0">
                  <v:stroke miterlimit="83231f" joinstyle="miter"/>
                  <v:path arrowok="t" textboxrect="0,0,101549,101498"/>
                </v:shape>
                <v:shape id="Shape 61" o:spid="_x0000_s1072" style="position:absolute;left:42818;top:18490;width:1016;height:1015;visibility:visible;mso-wrap-style:square;v-text-anchor:top" coordsize="101549,10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" path="m50800,v28029,,50749,22771,50749,50800c101549,78829,78829,101549,50800,101549,22771,101549,,78829,,50800,,22771,22771,,50800,xe" fillcolor="#dbb175" stroked="f" strokeweight="0">
                  <v:stroke miterlimit="83231f" joinstyle="miter"/>
                  <v:path arrowok="t" textboxrect="0,0,101549,101549"/>
                </v:shape>
                <v:shape id="Shape 62" o:spid="_x0000_s1073" style="position:absolute;left:42805;top:18421;width:1016;height:1015;visibility:visible;mso-wrap-style:square;v-text-anchor:top" coordsize="101549,10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" path="m101549,50800v,28029,-22720,50749,-50749,50749c22771,101549,,78829,,50800,,22771,22771,,50800,v28029,,50749,22771,50749,50800xe" filled="f" strokecolor="#ca8f3a" strokeweight="1pt">
                  <v:stroke miterlimit="83231f" joinstyle="miter"/>
                  <v:path arrowok="t" textboxrect="0,0,101549,101549"/>
                </v:shape>
                <v:shape id="Shape 64" o:spid="_x0000_s1074" style="position:absolute;left:42902;top:24729;width:1015;height:1015;visibility:visible;mso-wrap-style:square;v-text-anchor:top" coordsize="101549,10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" path="m50800,v28029,,50749,22720,50749,50749c101549,78778,78829,101549,50800,101549,22771,101549,,78778,,50749,,22720,22771,,50800,xe" fillcolor="#aabd66" stroked="f" strokeweight="0">
                  <v:stroke miterlimit="83231f" joinstyle="miter"/>
                  <v:path arrowok="t" textboxrect="0,0,101549,101549"/>
                </v:shape>
                <v:shape id="Shape 65" o:spid="_x0000_s1075" style="position:absolute;left:42898;top:24729;width:1016;height:1015;visibility:visible;mso-wrap-style:square;v-text-anchor:top" coordsize="101549,10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" path="m101549,50749v,28029,-22720,50800,-50749,50800c22771,101549,,78778,,50749,,22720,22771,,50800,v28029,,50749,22720,50749,50749xe" filled="f" strokecolor="#83a526" strokeweight="1pt">
                  <v:stroke miterlimit="83231f" joinstyle="miter"/>
                  <v:path arrowok="t" textboxrect="0,0,101549,101549"/>
                </v:shape>
                <v:shape id="Shape 67" o:spid="_x0000_s1076" style="position:absolute;left:8104;top:9317;width:35717;height:0;visibility:visible;mso-wrap-style:square;v-text-anchor:top" coordsize="357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" path="m3571672,l,e" filled="f" strokecolor="#70706f">
                  <v:stroke miterlimit="83231f" joinstyle="miter" endcap="round"/>
                  <v:path arrowok="t" textboxrect="0,0,3571672,0"/>
                </v:shape>
                <v:rect id="Rectangle 68" o:spid="_x0000_s1077" style="position:absolute;left:9386;top:22140;width:216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" filled="f" stroked="f">
                  <v:textbox inset="0,0,0,0">
                    <w:txbxContent>
                      <w:p w14:paraId="595B0A8A"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w w:val="111"/>
                            <w:sz w:val="14"/>
                          </w:rPr>
                          <w:t>-</w:t>
                        </w:r>
                        <w:r w:rsidRPr="004E4C01">
                          <w:rPr>
                            <w:rFonts w:asciiTheme="minorHAnsi" w:hAnsiTheme="minorHAnsi" w:cstheme="minorHAnsi"/>
                            <w:spacing w:val="5"/>
                            <w:w w:val="111"/>
                            <w:sz w:val="14"/>
                          </w:rPr>
                          <w:t xml:space="preserve"> </w:t>
                        </w:r>
                        <w:r w:rsidRPr="004E4C01">
                          <w:rPr>
                            <w:rFonts w:asciiTheme="minorHAnsi" w:hAnsiTheme="minorHAnsi" w:cstheme="minorHAnsi"/>
                            <w:w w:val="111"/>
                            <w:sz w:val="14"/>
                          </w:rPr>
                          <w:t>10</w:t>
                        </w:r>
                      </w:p>
                    </w:txbxContent>
                  </v:textbox>
                </v:rect>
                <v:rect id="Rectangle 69" o:spid="_x0000_s1078" style="position:absolute;left:13415;top:14919;width:142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" filled="f" stroked="f">
                  <v:textbox inset="0,0,0,0">
                    <w:txbxContent>
                      <w:p w14:paraId="14B0379D"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spacing w:val="36"/>
                            <w:w w:val="110"/>
                            <w:sz w:val="14"/>
                          </w:rPr>
                          <w:t>-5</w:t>
                        </w:r>
                      </w:p>
                    </w:txbxContent>
                  </v:textbox>
                </v:rect>
                <v:rect id="Rectangle 70" o:spid="_x0000_s1079" style="position:absolute;left:17368;top:12258;width:142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" filled="f" stroked="f">
                  <v:textbox inset="0,0,0,0">
                    <w:txbxContent>
                      <w:p w14:paraId="47522F97"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spacing w:val="36"/>
                            <w:w w:val="110"/>
                            <w:sz w:val="14"/>
                          </w:rPr>
                          <w:t>-3</w:t>
                        </w:r>
                      </w:p>
                    </w:txbxContent>
                  </v:textbox>
                </v:rect>
                <v:rect id="Rectangle 71" o:spid="_x0000_s1080" style="position:absolute;left:21201;top:9515;width:142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" filled="f" stroked="f">
                  <v:textbox inset="0,0,0,0">
                    <w:txbxContent>
                      <w:p w14:paraId="36F89E7B" w14:textId="77777777" w:rsidR="00D55F13" w:rsidRPr="004E4C01" w:rsidRDefault="00D55F13" w:rsidP="00A344EC">
                        <w:pPr>
                          <w:spacing w:after="160"/>
                          <w:rPr>
                            <w:rFonts w:asciiTheme="minorHAnsi" w:hAnsiTheme="minorHAnsi" w:cstheme="minorHAnsi"/>
                          </w:rPr>
                        </w:pPr>
                        <w:r w:rsidRPr="004E4C01">
                          <w:rPr>
                            <w:rFonts w:asciiTheme="minorHAnsi" w:hAnsiTheme="minorHAnsi" w:cstheme="minorHAnsi"/>
                            <w:spacing w:val="36"/>
                            <w:w w:val="110"/>
                            <w:sz w:val="14"/>
                          </w:rPr>
                          <w:t>-1</w:t>
                        </w:r>
                      </w:p>
                    </w:txbxContent>
                  </v:textbox>
                </v:rect>
                <w10:anchorlock/>
              </v:group>
            </w:pict>
          </mc:Fallback>
        </mc:AlternateContent>
      </w:r>
    </w:p>
    <w:p w14:paraId="1C373D93" w14:textId="77777777" w:rsidR="00A344EC" w:rsidRPr="004068F6" w:rsidRDefault="00A344EC" w:rsidP="00A344EC">
      <w:pPr>
        <w:numPr>
          <w:ilvl w:val="12"/>
          <w:numId w:val="0"/>
        </w:numPr>
        <w:tabs>
          <w:tab w:val="left" w:pos="-2268"/>
        </w:tabs>
        <w:suppressAutoHyphens/>
        <w:jc w:val="center"/>
        <w:rPr>
          <w:spacing w:val="-3"/>
          <w:sz w:val="22"/>
        </w:rPr>
      </w:pPr>
      <w:r w:rsidRPr="004068F6">
        <w:rPr>
          <w:b/>
          <w:spacing w:val="-3"/>
          <w:sz w:val="20"/>
        </w:rPr>
        <w:t>Fuente:</w:t>
      </w:r>
      <w:r w:rsidRPr="004068F6">
        <w:rPr>
          <w:spacing w:val="-3"/>
          <w:sz w:val="20"/>
        </w:rPr>
        <w:t xml:space="preserve"> Modificado de OCDE (2016).</w:t>
      </w:r>
    </w:p>
    <w:p w14:paraId="254998F3" w14:textId="77777777" w:rsidR="00A344EC" w:rsidRPr="004068F6" w:rsidRDefault="00A344EC" w:rsidP="00127BD4">
      <w:pPr>
        <w:numPr>
          <w:ilvl w:val="12"/>
          <w:numId w:val="0"/>
        </w:numPr>
        <w:tabs>
          <w:tab w:val="left" w:pos="-2268"/>
        </w:tabs>
        <w:suppressAutoHyphens/>
        <w:ind w:right="902"/>
        <w:rPr>
          <w:rFonts w:cs="Arial"/>
          <w:spacing w:val="-3"/>
        </w:rPr>
      </w:pPr>
    </w:p>
    <w:p w14:paraId="0C987A41" w14:textId="293BDD88" w:rsidR="006960D4" w:rsidRPr="004068F6" w:rsidRDefault="006960D4" w:rsidP="00D277E7">
      <w:pPr>
        <w:numPr>
          <w:ilvl w:val="12"/>
          <w:numId w:val="0"/>
        </w:numPr>
        <w:tabs>
          <w:tab w:val="left" w:pos="-2268"/>
        </w:tabs>
        <w:suppressAutoHyphens/>
        <w:rPr>
          <w:spacing w:val="-3"/>
        </w:rPr>
      </w:pPr>
      <w:r w:rsidRPr="004068F6">
        <w:rPr>
          <w:spacing w:val="-3"/>
        </w:rPr>
        <w:t>E</w:t>
      </w:r>
      <w:r w:rsidR="00D277E7" w:rsidRPr="004068F6">
        <w:rPr>
          <w:spacing w:val="-3"/>
        </w:rPr>
        <w:t xml:space="preserve">s importante que </w:t>
      </w:r>
      <w:r w:rsidRPr="004068F6">
        <w:rPr>
          <w:spacing w:val="-3"/>
        </w:rPr>
        <w:t xml:space="preserve">desde la instancia de DAA, en el marco del proceso de </w:t>
      </w:r>
      <w:r w:rsidR="009E4AF4" w:rsidRPr="004068F6">
        <w:rPr>
          <w:spacing w:val="-3"/>
        </w:rPr>
        <w:t xml:space="preserve">establecimiento </w:t>
      </w:r>
      <w:r w:rsidRPr="004068F6">
        <w:rPr>
          <w:spacing w:val="-3"/>
        </w:rPr>
        <w:t xml:space="preserve">de posibles soluciones y medidas de control y mitigación de cada una de las alternativas, se </w:t>
      </w:r>
      <w:r w:rsidR="00D277E7" w:rsidRPr="004068F6">
        <w:rPr>
          <w:spacing w:val="-3"/>
        </w:rPr>
        <w:t xml:space="preserve">procure el cumplimiento de esta jerarquía, </w:t>
      </w:r>
      <w:r w:rsidRPr="004068F6">
        <w:rPr>
          <w:spacing w:val="-3"/>
        </w:rPr>
        <w:t>de tal forma</w:t>
      </w:r>
      <w:r w:rsidR="00D277E7" w:rsidRPr="004068F6">
        <w:rPr>
          <w:spacing w:val="-3"/>
        </w:rPr>
        <w:t xml:space="preserve"> que </w:t>
      </w:r>
      <w:r w:rsidRPr="004068F6">
        <w:rPr>
          <w:spacing w:val="-3"/>
        </w:rPr>
        <w:t xml:space="preserve">en la estructuración de </w:t>
      </w:r>
      <w:r w:rsidR="00D277E7" w:rsidRPr="004068F6">
        <w:rPr>
          <w:spacing w:val="-3"/>
        </w:rPr>
        <w:t>las diferentes posibilidades de implementar un proyecto</w:t>
      </w:r>
      <w:r w:rsidR="008A674A" w:rsidRPr="004068F6">
        <w:rPr>
          <w:spacing w:val="-3"/>
        </w:rPr>
        <w:t>, obra o actividad</w:t>
      </w:r>
      <w:r w:rsidR="00D277E7" w:rsidRPr="004068F6">
        <w:rPr>
          <w:spacing w:val="-3"/>
        </w:rPr>
        <w:t xml:space="preserve"> (de ubicación, trazado, tecnología, diseño, entre otras), </w:t>
      </w:r>
      <w:r w:rsidRPr="004068F6">
        <w:rPr>
          <w:spacing w:val="-3"/>
        </w:rPr>
        <w:t xml:space="preserve">se </w:t>
      </w:r>
      <w:r w:rsidR="00D277E7" w:rsidRPr="004068F6">
        <w:rPr>
          <w:spacing w:val="-3"/>
        </w:rPr>
        <w:t xml:space="preserve">prevea </w:t>
      </w:r>
      <w:r w:rsidRPr="004068F6">
        <w:rPr>
          <w:spacing w:val="-3"/>
        </w:rPr>
        <w:t xml:space="preserve">la aplicación de aquellas soluciones y medidas de control y mitigación, que eviten, </w:t>
      </w:r>
      <w:r w:rsidR="00D277E7" w:rsidRPr="004068F6">
        <w:rPr>
          <w:spacing w:val="-3"/>
        </w:rPr>
        <w:t>preven</w:t>
      </w:r>
      <w:r w:rsidRPr="004068F6">
        <w:rPr>
          <w:spacing w:val="-3"/>
        </w:rPr>
        <w:t>gan</w:t>
      </w:r>
      <w:r w:rsidR="00D277E7" w:rsidRPr="004068F6">
        <w:rPr>
          <w:spacing w:val="-3"/>
        </w:rPr>
        <w:t>, mitig</w:t>
      </w:r>
      <w:r w:rsidRPr="004068F6">
        <w:rPr>
          <w:spacing w:val="-3"/>
        </w:rPr>
        <w:t>uen</w:t>
      </w:r>
      <w:r w:rsidR="00D277E7" w:rsidRPr="004068F6">
        <w:rPr>
          <w:spacing w:val="-3"/>
        </w:rPr>
        <w:t>, corr</w:t>
      </w:r>
      <w:r w:rsidRPr="004068F6">
        <w:rPr>
          <w:spacing w:val="-3"/>
        </w:rPr>
        <w:t>ijan</w:t>
      </w:r>
      <w:r w:rsidR="00D277E7" w:rsidRPr="004068F6">
        <w:rPr>
          <w:spacing w:val="-3"/>
        </w:rPr>
        <w:t xml:space="preserve"> y compens</w:t>
      </w:r>
      <w:r w:rsidRPr="004068F6">
        <w:rPr>
          <w:spacing w:val="-3"/>
        </w:rPr>
        <w:t>en</w:t>
      </w:r>
      <w:r w:rsidR="00D277E7" w:rsidRPr="004068F6">
        <w:rPr>
          <w:spacing w:val="-3"/>
        </w:rPr>
        <w:t xml:space="preserve"> (en ese orden) los impactos ambientales que </w:t>
      </w:r>
      <w:r w:rsidRPr="004068F6">
        <w:rPr>
          <w:spacing w:val="-3"/>
        </w:rPr>
        <w:t xml:space="preserve">cada una de dichas alternativas </w:t>
      </w:r>
      <w:r w:rsidR="00D277E7" w:rsidRPr="004068F6">
        <w:rPr>
          <w:spacing w:val="-3"/>
        </w:rPr>
        <w:t>pueda generar.</w:t>
      </w:r>
    </w:p>
    <w:p w14:paraId="40D8B146" w14:textId="77777777" w:rsidR="006960D4" w:rsidRPr="004068F6" w:rsidRDefault="006960D4" w:rsidP="00D277E7">
      <w:pPr>
        <w:numPr>
          <w:ilvl w:val="12"/>
          <w:numId w:val="0"/>
        </w:numPr>
        <w:tabs>
          <w:tab w:val="left" w:pos="-2268"/>
        </w:tabs>
        <w:suppressAutoHyphens/>
        <w:rPr>
          <w:spacing w:val="-3"/>
        </w:rPr>
      </w:pPr>
    </w:p>
    <w:p w14:paraId="6BBC0444" w14:textId="772DF9D5" w:rsidR="00D277E7" w:rsidRPr="004068F6" w:rsidRDefault="006960D4" w:rsidP="00D277E7">
      <w:pPr>
        <w:numPr>
          <w:ilvl w:val="12"/>
          <w:numId w:val="0"/>
        </w:numPr>
        <w:tabs>
          <w:tab w:val="left" w:pos="-2268"/>
        </w:tabs>
        <w:suppressAutoHyphens/>
        <w:rPr>
          <w:spacing w:val="-3"/>
        </w:rPr>
      </w:pPr>
      <w:r w:rsidRPr="004068F6">
        <w:rPr>
          <w:spacing w:val="-3"/>
        </w:rPr>
        <w:t xml:space="preserve">Por otra parte, la </w:t>
      </w:r>
      <w:r w:rsidR="00D917D3" w:rsidRPr="004068F6">
        <w:rPr>
          <w:spacing w:val="-3"/>
        </w:rPr>
        <w:t>formulación</w:t>
      </w:r>
      <w:r w:rsidR="00953715">
        <w:rPr>
          <w:spacing w:val="-3"/>
        </w:rPr>
        <w:t xml:space="preserve"> del plan de manejo atendiendo a</w:t>
      </w:r>
      <w:r w:rsidRPr="004068F6">
        <w:rPr>
          <w:spacing w:val="-3"/>
        </w:rPr>
        <w:t xml:space="preserve"> la</w:t>
      </w:r>
      <w:r w:rsidR="00D277E7" w:rsidRPr="004068F6">
        <w:rPr>
          <w:spacing w:val="-3"/>
        </w:rPr>
        <w:t xml:space="preserve"> jerarquía </w:t>
      </w:r>
      <w:r w:rsidR="00F87784" w:rsidRPr="004068F6">
        <w:rPr>
          <w:spacing w:val="-3"/>
        </w:rPr>
        <w:t>debe</w:t>
      </w:r>
      <w:r w:rsidR="00917D57" w:rsidRPr="004068F6">
        <w:rPr>
          <w:spacing w:val="-3"/>
        </w:rPr>
        <w:t xml:space="preserve"> </w:t>
      </w:r>
      <w:r w:rsidR="00F95041" w:rsidRPr="004068F6">
        <w:rPr>
          <w:spacing w:val="-3"/>
        </w:rPr>
        <w:t xml:space="preserve">buscar, además de </w:t>
      </w:r>
      <w:r w:rsidR="00650F04" w:rsidRPr="004068F6">
        <w:rPr>
          <w:spacing w:val="-3"/>
        </w:rPr>
        <w:t xml:space="preserve">manejar </w:t>
      </w:r>
      <w:r w:rsidR="00917D57" w:rsidRPr="004068F6">
        <w:rPr>
          <w:spacing w:val="-3"/>
        </w:rPr>
        <w:t xml:space="preserve">los impactos que ocurrirían con la ejecución del proyecto, obra o actividad, </w:t>
      </w:r>
      <w:r w:rsidR="00E94FD6" w:rsidRPr="004068F6">
        <w:rPr>
          <w:spacing w:val="-3"/>
        </w:rPr>
        <w:t xml:space="preserve">que </w:t>
      </w:r>
      <w:r w:rsidR="00AB3138" w:rsidRPr="004068F6">
        <w:rPr>
          <w:spacing w:val="-3"/>
        </w:rPr>
        <w:t xml:space="preserve">la </w:t>
      </w:r>
      <w:r w:rsidR="00023D6C" w:rsidRPr="004068F6">
        <w:rPr>
          <w:spacing w:val="-3"/>
        </w:rPr>
        <w:t>aplicación</w:t>
      </w:r>
      <w:r w:rsidR="00917D57" w:rsidRPr="004068F6">
        <w:rPr>
          <w:spacing w:val="-3"/>
        </w:rPr>
        <w:t xml:space="preserve"> </w:t>
      </w:r>
      <w:r w:rsidR="00AB3138" w:rsidRPr="004068F6">
        <w:rPr>
          <w:spacing w:val="-3"/>
        </w:rPr>
        <w:t xml:space="preserve">de sus medidas </w:t>
      </w:r>
      <w:r w:rsidR="004E38B9" w:rsidRPr="004068F6">
        <w:rPr>
          <w:spacing w:val="-3"/>
        </w:rPr>
        <w:t xml:space="preserve">no </w:t>
      </w:r>
      <w:r w:rsidR="005B56DF" w:rsidRPr="004068F6">
        <w:rPr>
          <w:spacing w:val="-3"/>
        </w:rPr>
        <w:t xml:space="preserve">genere </w:t>
      </w:r>
      <w:r w:rsidR="00650F04" w:rsidRPr="004068F6">
        <w:rPr>
          <w:spacing w:val="-3"/>
        </w:rPr>
        <w:t xml:space="preserve">impactos </w:t>
      </w:r>
      <w:r w:rsidR="00D75533" w:rsidRPr="004068F6">
        <w:rPr>
          <w:spacing w:val="-3"/>
        </w:rPr>
        <w:t xml:space="preserve">ambientales </w:t>
      </w:r>
      <w:r w:rsidR="004E38B9" w:rsidRPr="004068F6">
        <w:rPr>
          <w:spacing w:val="-3"/>
        </w:rPr>
        <w:t xml:space="preserve">o que </w:t>
      </w:r>
      <w:r w:rsidR="00557F8D">
        <w:rPr>
          <w:spacing w:val="-3"/>
        </w:rPr>
        <w:t xml:space="preserve">genere impactos </w:t>
      </w:r>
      <w:r w:rsidR="000C6BF9" w:rsidRPr="004068F6">
        <w:rPr>
          <w:spacing w:val="-3"/>
        </w:rPr>
        <w:t>mínimos</w:t>
      </w:r>
      <w:r w:rsidR="00D277E7" w:rsidRPr="004068F6">
        <w:rPr>
          <w:spacing w:val="-3"/>
        </w:rPr>
        <w:t>.</w:t>
      </w:r>
      <w:r w:rsidR="00655021" w:rsidRPr="004068F6">
        <w:rPr>
          <w:spacing w:val="-3"/>
        </w:rPr>
        <w:t xml:space="preserve"> Por ejemplo, si se plantean medidas de </w:t>
      </w:r>
      <w:r w:rsidR="00E359AB" w:rsidRPr="004068F6">
        <w:rPr>
          <w:spacing w:val="-3"/>
        </w:rPr>
        <w:t>mitigaci</w:t>
      </w:r>
      <w:r w:rsidR="00655021" w:rsidRPr="004068F6">
        <w:rPr>
          <w:spacing w:val="-3"/>
        </w:rPr>
        <w:t xml:space="preserve">ón para un impacto </w:t>
      </w:r>
      <w:r w:rsidR="00715F84" w:rsidRPr="004068F6">
        <w:rPr>
          <w:spacing w:val="-3"/>
        </w:rPr>
        <w:t>que alter</w:t>
      </w:r>
      <w:r w:rsidR="000C6BF9" w:rsidRPr="004068F6">
        <w:rPr>
          <w:spacing w:val="-3"/>
        </w:rPr>
        <w:t>a</w:t>
      </w:r>
      <w:r w:rsidR="00715F84" w:rsidRPr="004068F6">
        <w:rPr>
          <w:spacing w:val="-3"/>
        </w:rPr>
        <w:t xml:space="preserve"> las condiciones atmosféricas</w:t>
      </w:r>
      <w:r w:rsidR="0069198F" w:rsidRPr="004068F6">
        <w:rPr>
          <w:spacing w:val="-3"/>
        </w:rPr>
        <w:t xml:space="preserve">, la ejecución de </w:t>
      </w:r>
      <w:r w:rsidR="00BF1EB4" w:rsidRPr="004068F6">
        <w:rPr>
          <w:spacing w:val="-3"/>
        </w:rPr>
        <w:t xml:space="preserve">tales </w:t>
      </w:r>
      <w:r w:rsidR="0069198F" w:rsidRPr="004068F6">
        <w:rPr>
          <w:spacing w:val="-3"/>
        </w:rPr>
        <w:t xml:space="preserve">medidas </w:t>
      </w:r>
      <w:r w:rsidR="003354AA" w:rsidRPr="004068F6">
        <w:rPr>
          <w:spacing w:val="-3"/>
        </w:rPr>
        <w:t xml:space="preserve">no </w:t>
      </w:r>
      <w:r w:rsidR="0069198F" w:rsidRPr="004068F6">
        <w:rPr>
          <w:spacing w:val="-3"/>
        </w:rPr>
        <w:t xml:space="preserve">debería generar impactos </w:t>
      </w:r>
      <w:r w:rsidR="003354AA" w:rsidRPr="004068F6">
        <w:rPr>
          <w:spacing w:val="-3"/>
        </w:rPr>
        <w:t xml:space="preserve">(o debería generar impactos ambientales </w:t>
      </w:r>
      <w:r w:rsidR="00AE4D70" w:rsidRPr="004068F6">
        <w:rPr>
          <w:spacing w:val="-3"/>
        </w:rPr>
        <w:t>ínfimos</w:t>
      </w:r>
      <w:r w:rsidR="003354AA" w:rsidRPr="004068F6">
        <w:rPr>
          <w:spacing w:val="-3"/>
        </w:rPr>
        <w:t xml:space="preserve">) </w:t>
      </w:r>
      <w:r w:rsidR="0069198F" w:rsidRPr="004068F6">
        <w:rPr>
          <w:spacing w:val="-3"/>
        </w:rPr>
        <w:t xml:space="preserve">a la atmósfera o </w:t>
      </w:r>
      <w:r w:rsidR="00715F84" w:rsidRPr="004068F6">
        <w:rPr>
          <w:spacing w:val="-3"/>
        </w:rPr>
        <w:t xml:space="preserve">a </w:t>
      </w:r>
      <w:r w:rsidR="00556355" w:rsidRPr="004068F6">
        <w:rPr>
          <w:spacing w:val="-3"/>
        </w:rPr>
        <w:t xml:space="preserve">otros elementos del ambiente como los suelos, los ecosistemas o </w:t>
      </w:r>
      <w:r w:rsidR="00715F84" w:rsidRPr="004068F6">
        <w:rPr>
          <w:spacing w:val="-3"/>
        </w:rPr>
        <w:t xml:space="preserve">los </w:t>
      </w:r>
      <w:r w:rsidR="00556355" w:rsidRPr="004068F6">
        <w:rPr>
          <w:spacing w:val="-3"/>
        </w:rPr>
        <w:t>componentes del medio socioeconómico.</w:t>
      </w:r>
    </w:p>
    <w:p w14:paraId="3EEA3B42" w14:textId="77777777" w:rsidR="00D277E7" w:rsidRPr="004068F6" w:rsidRDefault="00D277E7" w:rsidP="00D277E7">
      <w:pPr>
        <w:numPr>
          <w:ilvl w:val="12"/>
          <w:numId w:val="0"/>
        </w:numPr>
        <w:tabs>
          <w:tab w:val="left" w:pos="-2268"/>
        </w:tabs>
        <w:suppressAutoHyphens/>
        <w:rPr>
          <w:spacing w:val="-3"/>
        </w:rPr>
      </w:pPr>
    </w:p>
    <w:p w14:paraId="3AF0204E" w14:textId="77777777" w:rsidR="00D277E7" w:rsidRPr="004068F6" w:rsidRDefault="00D277E7" w:rsidP="006052B3">
      <w:pPr>
        <w:numPr>
          <w:ilvl w:val="0"/>
          <w:numId w:val="41"/>
        </w:numPr>
        <w:tabs>
          <w:tab w:val="left" w:pos="-2268"/>
        </w:tabs>
        <w:suppressAutoHyphens/>
        <w:ind w:left="567" w:hanging="567"/>
        <w:rPr>
          <w:b/>
          <w:i/>
          <w:spacing w:val="-3"/>
          <w:u w:val="single"/>
        </w:rPr>
      </w:pPr>
      <w:r w:rsidRPr="004068F6">
        <w:rPr>
          <w:b/>
          <w:i/>
          <w:spacing w:val="-3"/>
          <w:u w:val="single"/>
        </w:rPr>
        <w:t>Sobre la aplicación de la Metodología</w:t>
      </w:r>
    </w:p>
    <w:p w14:paraId="29141532" w14:textId="77777777" w:rsidR="00D277E7" w:rsidRPr="004068F6" w:rsidRDefault="00D277E7" w:rsidP="00D277E7">
      <w:pPr>
        <w:numPr>
          <w:ilvl w:val="12"/>
          <w:numId w:val="0"/>
        </w:numPr>
        <w:tabs>
          <w:tab w:val="left" w:pos="-2268"/>
        </w:tabs>
        <w:suppressAutoHyphens/>
        <w:rPr>
          <w:spacing w:val="-3"/>
        </w:rPr>
      </w:pPr>
    </w:p>
    <w:p w14:paraId="027DF63C" w14:textId="07C577B4" w:rsidR="00D277E7" w:rsidRPr="004068F6" w:rsidRDefault="00D277E7" w:rsidP="00D277E7">
      <w:pPr>
        <w:numPr>
          <w:ilvl w:val="12"/>
          <w:numId w:val="0"/>
        </w:numPr>
        <w:tabs>
          <w:tab w:val="left" w:pos="-2268"/>
        </w:tabs>
        <w:suppressAutoHyphens/>
        <w:rPr>
          <w:spacing w:val="-3"/>
        </w:rPr>
      </w:pPr>
      <w:r w:rsidRPr="004068F6">
        <w:rPr>
          <w:spacing w:val="-3"/>
        </w:rPr>
        <w:t xml:space="preserve">La </w:t>
      </w:r>
      <w:r w:rsidR="00346935" w:rsidRPr="004068F6">
        <w:rPr>
          <w:spacing w:val="-3"/>
        </w:rPr>
        <w:t>MGEPEA</w:t>
      </w:r>
      <w:r w:rsidRPr="004068F6">
        <w:rPr>
          <w:spacing w:val="-3"/>
        </w:rPr>
        <w:t xml:space="preserve"> es de carácter general</w:t>
      </w:r>
      <w:r w:rsidR="00441BCF" w:rsidRPr="004068F6">
        <w:rPr>
          <w:spacing w:val="-3"/>
        </w:rPr>
        <w:t xml:space="preserve"> y</w:t>
      </w:r>
      <w:r w:rsidRPr="004068F6">
        <w:rPr>
          <w:spacing w:val="-3"/>
        </w:rPr>
        <w:t xml:space="preserve"> su aplicación cubre </w:t>
      </w:r>
      <w:r w:rsidR="00BC12D0" w:rsidRPr="00127BD4">
        <w:rPr>
          <w:spacing w:val="-3"/>
        </w:rPr>
        <w:t xml:space="preserve">la mayor parte </w:t>
      </w:r>
      <w:r w:rsidRPr="004068F6">
        <w:rPr>
          <w:spacing w:val="-3"/>
        </w:rPr>
        <w:t xml:space="preserve">de proyectos, obras o actividades cuyo desarrollo está sujeto al proceso de licenciamiento ambiental; </w:t>
      </w:r>
      <w:r w:rsidRPr="004068F6">
        <w:rPr>
          <w:spacing w:val="-3"/>
        </w:rPr>
        <w:lastRenderedPageBreak/>
        <w:t xml:space="preserve">cada proyecto, obra o actividad en razón de sus particularidades </w:t>
      </w:r>
      <w:r w:rsidRPr="004068F6">
        <w:rPr>
          <w:i/>
          <w:spacing w:val="-3"/>
        </w:rPr>
        <w:t>debe atender los lineamientos metodológicos que le apliquen</w:t>
      </w:r>
      <w:r w:rsidRPr="004068F6">
        <w:rPr>
          <w:spacing w:val="-3"/>
        </w:rPr>
        <w:t xml:space="preserve"> de acuerdo </w:t>
      </w:r>
      <w:r w:rsidRPr="004068F6">
        <w:rPr>
          <w:rFonts w:cs="Arial"/>
          <w:spacing w:val="-3"/>
        </w:rPr>
        <w:t>con</w:t>
      </w:r>
      <w:r w:rsidRPr="004068F6">
        <w:rPr>
          <w:spacing w:val="-3"/>
        </w:rPr>
        <w:t xml:space="preserve"> su tipo, extensión, localización y demás características, así como aquellos que estén referidos a los </w:t>
      </w:r>
      <w:r w:rsidR="005A0F59" w:rsidRPr="004068F6">
        <w:rPr>
          <w:spacing w:val="-3"/>
        </w:rPr>
        <w:t xml:space="preserve">parámetros, </w:t>
      </w:r>
      <w:r w:rsidR="00FF350A" w:rsidRPr="004068F6">
        <w:rPr>
          <w:spacing w:val="-3"/>
        </w:rPr>
        <w:t xml:space="preserve">factores o </w:t>
      </w:r>
      <w:r w:rsidRPr="004068F6">
        <w:rPr>
          <w:spacing w:val="-3"/>
        </w:rPr>
        <w:t xml:space="preserve">componentes </w:t>
      </w:r>
      <w:r w:rsidR="000D18EE" w:rsidRPr="004068F6">
        <w:rPr>
          <w:spacing w:val="-3"/>
        </w:rPr>
        <w:t xml:space="preserve">ambientales </w:t>
      </w:r>
      <w:r w:rsidRPr="004068F6">
        <w:rPr>
          <w:spacing w:val="-3"/>
        </w:rPr>
        <w:t xml:space="preserve">que pueda </w:t>
      </w:r>
      <w:r w:rsidR="002A03AD" w:rsidRPr="004068F6">
        <w:rPr>
          <w:spacing w:val="-3"/>
        </w:rPr>
        <w:t>impactar</w:t>
      </w:r>
      <w:r w:rsidR="00523C0C" w:rsidRPr="004068F6">
        <w:rPr>
          <w:spacing w:val="-3"/>
        </w:rPr>
        <w:t xml:space="preserve"> y</w:t>
      </w:r>
      <w:r w:rsidRPr="004068F6">
        <w:rPr>
          <w:spacing w:val="-3"/>
        </w:rPr>
        <w:t>, desestima</w:t>
      </w:r>
      <w:r w:rsidR="00523C0C" w:rsidRPr="004068F6">
        <w:rPr>
          <w:spacing w:val="-3"/>
        </w:rPr>
        <w:t xml:space="preserve">r </w:t>
      </w:r>
      <w:r w:rsidRPr="004068F6">
        <w:rPr>
          <w:spacing w:val="-3"/>
        </w:rPr>
        <w:t xml:space="preserve">aquellos </w:t>
      </w:r>
      <w:r w:rsidR="0025658E" w:rsidRPr="004068F6">
        <w:rPr>
          <w:spacing w:val="-3"/>
        </w:rPr>
        <w:t xml:space="preserve">lineamientos </w:t>
      </w:r>
      <w:r w:rsidRPr="004068F6">
        <w:rPr>
          <w:spacing w:val="-3"/>
        </w:rPr>
        <w:t xml:space="preserve">que le resulten ajenos. Por ejemplo, una obra que se planee al interior del continente no tiene porqué </w:t>
      </w:r>
      <w:r w:rsidR="00FF350A" w:rsidRPr="004068F6">
        <w:rPr>
          <w:spacing w:val="-3"/>
        </w:rPr>
        <w:t>aplicar</w:t>
      </w:r>
      <w:r w:rsidR="0025658E" w:rsidRPr="004068F6">
        <w:rPr>
          <w:spacing w:val="-3"/>
        </w:rPr>
        <w:t xml:space="preserve"> </w:t>
      </w:r>
      <w:r w:rsidRPr="004068F6">
        <w:rPr>
          <w:spacing w:val="-3"/>
        </w:rPr>
        <w:t xml:space="preserve">los </w:t>
      </w:r>
      <w:r w:rsidR="0025658E" w:rsidRPr="004068F6">
        <w:rPr>
          <w:spacing w:val="-3"/>
        </w:rPr>
        <w:t xml:space="preserve">lineamientos metodológicos </w:t>
      </w:r>
      <w:r w:rsidRPr="004068F6">
        <w:rPr>
          <w:spacing w:val="-3"/>
        </w:rPr>
        <w:t>que sobre oceanografía establece este documento</w:t>
      </w:r>
      <w:r w:rsidRPr="004068F6">
        <w:rPr>
          <w:rFonts w:cs="Arial"/>
          <w:spacing w:val="-3"/>
        </w:rPr>
        <w:t>.</w:t>
      </w:r>
      <w:r w:rsidRPr="004068F6">
        <w:rPr>
          <w:spacing w:val="-3"/>
        </w:rPr>
        <w:t xml:space="preserve"> En todo caso, los términos de referencia </w:t>
      </w:r>
      <w:r w:rsidR="00033FD4" w:rsidRPr="004068F6">
        <w:rPr>
          <w:spacing w:val="-3"/>
        </w:rPr>
        <w:t xml:space="preserve">especifican los requerimientos de </w:t>
      </w:r>
      <w:r w:rsidRPr="004068F6">
        <w:rPr>
          <w:spacing w:val="-3"/>
        </w:rPr>
        <w:t xml:space="preserve">información </w:t>
      </w:r>
      <w:r w:rsidR="00033FD4" w:rsidRPr="004068F6">
        <w:rPr>
          <w:spacing w:val="-3"/>
        </w:rPr>
        <w:t xml:space="preserve">de acuerdo </w:t>
      </w:r>
      <w:r w:rsidR="00647C56" w:rsidRPr="004068F6">
        <w:rPr>
          <w:spacing w:val="-3"/>
        </w:rPr>
        <w:t>con</w:t>
      </w:r>
      <w:r w:rsidR="00033FD4" w:rsidRPr="004068F6">
        <w:rPr>
          <w:spacing w:val="-3"/>
        </w:rPr>
        <w:t xml:space="preserve"> las particularidades de cada sector o </w:t>
      </w:r>
      <w:r w:rsidRPr="004068F6">
        <w:rPr>
          <w:spacing w:val="-3"/>
        </w:rPr>
        <w:t>tipo de proyecto, obra o actividad.</w:t>
      </w:r>
    </w:p>
    <w:p w14:paraId="3DDC72F0" w14:textId="77777777" w:rsidR="005A0F59" w:rsidRPr="004068F6" w:rsidRDefault="005A0F59" w:rsidP="00D277E7">
      <w:pPr>
        <w:numPr>
          <w:ilvl w:val="12"/>
          <w:numId w:val="0"/>
        </w:numPr>
        <w:tabs>
          <w:tab w:val="left" w:pos="-2268"/>
        </w:tabs>
        <w:suppressAutoHyphens/>
        <w:rPr>
          <w:spacing w:val="-3"/>
        </w:rPr>
      </w:pPr>
    </w:p>
    <w:p w14:paraId="28247DB5" w14:textId="09F36B14" w:rsidR="00D277E7" w:rsidRPr="004068F6" w:rsidRDefault="00D277E7" w:rsidP="00D277E7">
      <w:pPr>
        <w:numPr>
          <w:ilvl w:val="12"/>
          <w:numId w:val="0"/>
        </w:numPr>
        <w:tabs>
          <w:tab w:val="left" w:pos="-2268"/>
        </w:tabs>
        <w:suppressAutoHyphens/>
        <w:rPr>
          <w:spacing w:val="-3"/>
        </w:rPr>
      </w:pPr>
      <w:r w:rsidRPr="004068F6">
        <w:rPr>
          <w:spacing w:val="-3"/>
        </w:rPr>
        <w:t xml:space="preserve">De esta forma, la elaboración de los estudios ambientales debe </w:t>
      </w:r>
      <w:r w:rsidR="00B8394B" w:rsidRPr="004068F6">
        <w:rPr>
          <w:spacing w:val="-3"/>
        </w:rPr>
        <w:t>emprenderse</w:t>
      </w:r>
      <w:r w:rsidRPr="004068F6">
        <w:rPr>
          <w:spacing w:val="-3"/>
        </w:rPr>
        <w:t xml:space="preserve"> armónicamente a partir de las </w:t>
      </w:r>
      <w:r w:rsidR="00B8394B" w:rsidRPr="004068F6">
        <w:rPr>
          <w:spacing w:val="-3"/>
        </w:rPr>
        <w:t xml:space="preserve">orientaciones </w:t>
      </w:r>
      <w:r w:rsidRPr="004068F6">
        <w:rPr>
          <w:spacing w:val="-3"/>
        </w:rPr>
        <w:t xml:space="preserve">metodológicas establecidas en este documento y de los requerimientos de información que para un determinado tipo de proyecto, obra o actividad se han precisado en los términos de referencia. La singularidad de cada proyecto suscita la necesidad de realizar una particular lectura y aplicación de los lineamientos metodológicos y la adición de todas las consideraciones que se </w:t>
      </w:r>
      <w:r w:rsidR="00B8394B" w:rsidRPr="004068F6">
        <w:rPr>
          <w:spacing w:val="-3"/>
        </w:rPr>
        <w:t xml:space="preserve">califiquen como </w:t>
      </w:r>
      <w:r w:rsidRPr="004068F6">
        <w:rPr>
          <w:spacing w:val="-3"/>
        </w:rPr>
        <w:t xml:space="preserve">claves para ilustrar </w:t>
      </w:r>
      <w:r w:rsidR="00684103">
        <w:rPr>
          <w:spacing w:val="-3"/>
        </w:rPr>
        <w:t>i</w:t>
      </w:r>
      <w:r w:rsidRPr="004068F6">
        <w:rPr>
          <w:spacing w:val="-3"/>
        </w:rPr>
        <w:t>ntegra</w:t>
      </w:r>
      <w:r w:rsidR="00684103">
        <w:rPr>
          <w:spacing w:val="-3"/>
        </w:rPr>
        <w:t>lmente</w:t>
      </w:r>
      <w:r w:rsidRPr="004068F6">
        <w:rPr>
          <w:spacing w:val="-3"/>
        </w:rPr>
        <w:t xml:space="preserve"> el panorama ambiental que envuelve su posible desarrollo.</w:t>
      </w:r>
    </w:p>
    <w:p w14:paraId="7C0779A8" w14:textId="77777777" w:rsidR="004834BF" w:rsidRPr="004068F6" w:rsidRDefault="004834BF" w:rsidP="00D277E7">
      <w:pPr>
        <w:numPr>
          <w:ilvl w:val="12"/>
          <w:numId w:val="0"/>
        </w:numPr>
        <w:tabs>
          <w:tab w:val="left" w:pos="-2268"/>
        </w:tabs>
        <w:suppressAutoHyphens/>
        <w:rPr>
          <w:spacing w:val="-3"/>
        </w:rPr>
      </w:pPr>
    </w:p>
    <w:p w14:paraId="3871FBF8" w14:textId="74DF8318" w:rsidR="000A4D0A" w:rsidRPr="004068F6" w:rsidRDefault="001D1179" w:rsidP="000A4D0A">
      <w:pPr>
        <w:numPr>
          <w:ilvl w:val="12"/>
          <w:numId w:val="0"/>
        </w:numPr>
        <w:tabs>
          <w:tab w:val="left" w:pos="-2268"/>
        </w:tabs>
        <w:suppressAutoHyphens/>
        <w:rPr>
          <w:spacing w:val="-3"/>
        </w:rPr>
      </w:pPr>
      <w:r w:rsidRPr="004068F6">
        <w:rPr>
          <w:spacing w:val="-3"/>
        </w:rPr>
        <w:t>E</w:t>
      </w:r>
      <w:r w:rsidR="000A4D0A" w:rsidRPr="004068F6">
        <w:rPr>
          <w:spacing w:val="-3"/>
        </w:rPr>
        <w:t xml:space="preserve">n caso de que se presenten divergencias </w:t>
      </w:r>
      <w:r w:rsidR="001F7987" w:rsidRPr="004068F6">
        <w:rPr>
          <w:spacing w:val="-3"/>
        </w:rPr>
        <w:t xml:space="preserve">entre </w:t>
      </w:r>
      <w:r w:rsidRPr="004068F6">
        <w:rPr>
          <w:spacing w:val="-3"/>
        </w:rPr>
        <w:t xml:space="preserve">las orientaciones metodológicas de </w:t>
      </w:r>
      <w:r w:rsidR="001F7987" w:rsidRPr="004068F6">
        <w:rPr>
          <w:spacing w:val="-3"/>
        </w:rPr>
        <w:t>este documento y los requerimientos de información de los términos de referencia</w:t>
      </w:r>
      <w:r w:rsidR="000A4D0A" w:rsidRPr="004068F6">
        <w:rPr>
          <w:spacing w:val="-3"/>
        </w:rPr>
        <w:t xml:space="preserve">, </w:t>
      </w:r>
      <w:r w:rsidR="00EA3408" w:rsidRPr="004068F6">
        <w:rPr>
          <w:spacing w:val="-3"/>
        </w:rPr>
        <w:t xml:space="preserve">con el fin de decidir qué información </w:t>
      </w:r>
      <w:r w:rsidR="009047F5" w:rsidRPr="004068F6">
        <w:rPr>
          <w:spacing w:val="-3"/>
        </w:rPr>
        <w:t xml:space="preserve">incluir en </w:t>
      </w:r>
      <w:r w:rsidR="00CB4FD8" w:rsidRPr="004068F6">
        <w:rPr>
          <w:spacing w:val="-3"/>
        </w:rPr>
        <w:t>los</w:t>
      </w:r>
      <w:r w:rsidR="009047F5" w:rsidRPr="004068F6">
        <w:rPr>
          <w:spacing w:val="-3"/>
        </w:rPr>
        <w:t xml:space="preserve"> estudio</w:t>
      </w:r>
      <w:r w:rsidR="00CB4FD8" w:rsidRPr="004068F6">
        <w:rPr>
          <w:spacing w:val="-3"/>
        </w:rPr>
        <w:t>s</w:t>
      </w:r>
      <w:r w:rsidR="009047F5" w:rsidRPr="004068F6">
        <w:rPr>
          <w:spacing w:val="-3"/>
        </w:rPr>
        <w:t xml:space="preserve"> ambiental</w:t>
      </w:r>
      <w:r w:rsidR="00CB4FD8" w:rsidRPr="004068F6">
        <w:rPr>
          <w:spacing w:val="-3"/>
        </w:rPr>
        <w:t>es</w:t>
      </w:r>
      <w:r w:rsidR="009047F5" w:rsidRPr="004068F6">
        <w:rPr>
          <w:spacing w:val="-3"/>
        </w:rPr>
        <w:t xml:space="preserve">, </w:t>
      </w:r>
      <w:r w:rsidR="00EA3408" w:rsidRPr="004068F6">
        <w:rPr>
          <w:spacing w:val="-3"/>
        </w:rPr>
        <w:t xml:space="preserve">es necesario </w:t>
      </w:r>
      <w:r w:rsidR="000A4D0A" w:rsidRPr="004068F6">
        <w:rPr>
          <w:spacing w:val="-3"/>
        </w:rPr>
        <w:t xml:space="preserve">evaluar </w:t>
      </w:r>
      <w:r w:rsidR="007A0422" w:rsidRPr="004068F6">
        <w:rPr>
          <w:spacing w:val="-3"/>
        </w:rPr>
        <w:t xml:space="preserve">qué </w:t>
      </w:r>
      <w:r w:rsidR="008B37D9" w:rsidRPr="004068F6">
        <w:rPr>
          <w:spacing w:val="-3"/>
        </w:rPr>
        <w:t xml:space="preserve">directrices dadas por estas </w:t>
      </w:r>
      <w:r w:rsidR="000A4D0A" w:rsidRPr="004068F6">
        <w:rPr>
          <w:spacing w:val="-3"/>
        </w:rPr>
        <w:t>herramientas permit</w:t>
      </w:r>
      <w:r w:rsidR="008B37D9" w:rsidRPr="004068F6">
        <w:rPr>
          <w:spacing w:val="-3"/>
        </w:rPr>
        <w:t>e</w:t>
      </w:r>
      <w:r w:rsidR="000A4D0A" w:rsidRPr="004068F6">
        <w:rPr>
          <w:spacing w:val="-3"/>
        </w:rPr>
        <w:t xml:space="preserve">n cumplir con el propósito de los estudios ambientales de forma más efectiva, esto es, suministrar información para que las autoridades ambientales </w:t>
      </w:r>
      <w:r w:rsidR="00F911A8" w:rsidRPr="004068F6">
        <w:rPr>
          <w:spacing w:val="-3"/>
        </w:rPr>
        <w:t xml:space="preserve">se pronuncien sobre las alternativas o </w:t>
      </w:r>
      <w:r w:rsidR="000A4D0A" w:rsidRPr="004068F6">
        <w:rPr>
          <w:spacing w:val="-3"/>
        </w:rPr>
        <w:t xml:space="preserve">sobre la viabilidad ambiental de los proyectos. </w:t>
      </w:r>
      <w:r w:rsidR="00290725" w:rsidRPr="004068F6">
        <w:rPr>
          <w:spacing w:val="-3"/>
        </w:rPr>
        <w:t>L</w:t>
      </w:r>
      <w:r w:rsidR="00E72944" w:rsidRPr="004068F6">
        <w:rPr>
          <w:spacing w:val="-3"/>
        </w:rPr>
        <w:t xml:space="preserve">a decisión sobre qué lineamiento metodológico o </w:t>
      </w:r>
      <w:r w:rsidR="000A4D0A" w:rsidRPr="004068F6">
        <w:rPr>
          <w:spacing w:val="-3"/>
        </w:rPr>
        <w:t xml:space="preserve">requerimiento </w:t>
      </w:r>
      <w:r w:rsidR="00E72944" w:rsidRPr="004068F6">
        <w:rPr>
          <w:spacing w:val="-3"/>
        </w:rPr>
        <w:t xml:space="preserve">de información se sigue </w:t>
      </w:r>
      <w:r w:rsidR="00290725" w:rsidRPr="004068F6">
        <w:rPr>
          <w:spacing w:val="-3"/>
        </w:rPr>
        <w:t xml:space="preserve">en los estudios ambientales, </w:t>
      </w:r>
      <w:r w:rsidR="00E72944" w:rsidRPr="004068F6">
        <w:rPr>
          <w:spacing w:val="-3"/>
        </w:rPr>
        <w:t xml:space="preserve">debe </w:t>
      </w:r>
      <w:r w:rsidR="003B03DF" w:rsidRPr="004068F6">
        <w:rPr>
          <w:spacing w:val="-3"/>
        </w:rPr>
        <w:t xml:space="preserve">procurar el mayor </w:t>
      </w:r>
      <w:r w:rsidR="000A4D0A" w:rsidRPr="004068F6">
        <w:rPr>
          <w:spacing w:val="-3"/>
        </w:rPr>
        <w:t xml:space="preserve">beneficio </w:t>
      </w:r>
      <w:r w:rsidR="003B03DF" w:rsidRPr="004068F6">
        <w:rPr>
          <w:spacing w:val="-3"/>
        </w:rPr>
        <w:t xml:space="preserve">en </w:t>
      </w:r>
      <w:r w:rsidR="000A4D0A" w:rsidRPr="004068F6">
        <w:rPr>
          <w:spacing w:val="-3"/>
        </w:rPr>
        <w:t>la obtención de información oportuna y de calidad para los propósitos del licenciamiento ambiental.</w:t>
      </w:r>
    </w:p>
    <w:p w14:paraId="22E04BED" w14:textId="77777777" w:rsidR="000A4D0A" w:rsidRPr="004068F6" w:rsidRDefault="000A4D0A" w:rsidP="00D277E7">
      <w:pPr>
        <w:numPr>
          <w:ilvl w:val="12"/>
          <w:numId w:val="0"/>
        </w:numPr>
        <w:tabs>
          <w:tab w:val="left" w:pos="-2268"/>
        </w:tabs>
        <w:suppressAutoHyphens/>
        <w:rPr>
          <w:spacing w:val="-3"/>
        </w:rPr>
      </w:pPr>
    </w:p>
    <w:p w14:paraId="16CAE750" w14:textId="2B9B9970" w:rsidR="00357856" w:rsidRPr="004068F6" w:rsidRDefault="002875CC" w:rsidP="002875CC">
      <w:pPr>
        <w:numPr>
          <w:ilvl w:val="12"/>
          <w:numId w:val="0"/>
        </w:numPr>
        <w:tabs>
          <w:tab w:val="left" w:pos="-2268"/>
        </w:tabs>
        <w:suppressAutoHyphens/>
        <w:rPr>
          <w:spacing w:val="-3"/>
        </w:rPr>
      </w:pPr>
      <w:r w:rsidRPr="004068F6">
        <w:rPr>
          <w:spacing w:val="-3"/>
        </w:rPr>
        <w:t>Es importante que cuando un lineamiento metodológico de este documento o un requerimiento específico de los términos de referencia no aplique al estudio ambiental objeto de elaboración, se justifique de manera concisa la decisión de no incorporarlo señalando los argumentos científicos, técnicos o jurídicos que sustentan tal determinación. De igual forma, es necesario señalar las razones científicas, técnicas o jurídicas que soportan la incorporación de métodos o procedimientos no establecidos en este documento o en los términos de referencia.</w:t>
      </w:r>
    </w:p>
    <w:p w14:paraId="480BB86B" w14:textId="77777777" w:rsidR="00357856" w:rsidRPr="004068F6" w:rsidRDefault="00357856" w:rsidP="002875CC">
      <w:pPr>
        <w:numPr>
          <w:ilvl w:val="12"/>
          <w:numId w:val="0"/>
        </w:numPr>
        <w:tabs>
          <w:tab w:val="left" w:pos="-2268"/>
        </w:tabs>
        <w:suppressAutoHyphens/>
        <w:rPr>
          <w:spacing w:val="-3"/>
        </w:rPr>
      </w:pPr>
    </w:p>
    <w:p w14:paraId="21222657" w14:textId="1E8A8361" w:rsidR="002875CC" w:rsidRPr="004068F6" w:rsidRDefault="00357856" w:rsidP="00D277E7">
      <w:pPr>
        <w:numPr>
          <w:ilvl w:val="12"/>
          <w:numId w:val="0"/>
        </w:numPr>
        <w:tabs>
          <w:tab w:val="left" w:pos="-2268"/>
        </w:tabs>
        <w:suppressAutoHyphens/>
        <w:rPr>
          <w:spacing w:val="-3"/>
        </w:rPr>
      </w:pPr>
      <w:r w:rsidRPr="00127BD4">
        <w:rPr>
          <w:spacing w:val="-3"/>
        </w:rPr>
        <w:t xml:space="preserve">Para </w:t>
      </w:r>
      <w:r w:rsidR="006F0003" w:rsidRPr="00127BD4">
        <w:rPr>
          <w:spacing w:val="-3"/>
        </w:rPr>
        <w:t xml:space="preserve">la elaboración de estudios ambientales de </w:t>
      </w:r>
      <w:r w:rsidRPr="00127BD4">
        <w:rPr>
          <w:spacing w:val="-3"/>
        </w:rPr>
        <w:t>proyectos</w:t>
      </w:r>
      <w:r w:rsidR="009D72DF" w:rsidRPr="00127BD4">
        <w:rPr>
          <w:spacing w:val="-3"/>
        </w:rPr>
        <w:t>, obras o actividades</w:t>
      </w:r>
      <w:r w:rsidRPr="00127BD4">
        <w:rPr>
          <w:spacing w:val="-3"/>
        </w:rPr>
        <w:t xml:space="preserve"> </w:t>
      </w:r>
      <w:r w:rsidR="006A60C5" w:rsidRPr="00127BD4">
        <w:rPr>
          <w:spacing w:val="-3"/>
        </w:rPr>
        <w:t xml:space="preserve">localizados </w:t>
      </w:r>
      <w:r w:rsidRPr="00127BD4">
        <w:rPr>
          <w:spacing w:val="-3"/>
        </w:rPr>
        <w:t xml:space="preserve">en sistemas marino-costeros y oceánicos donde los lineamientos de la MGEPEA puedan requerir mayor especificidad, </w:t>
      </w:r>
      <w:r w:rsidR="00CB31C7" w:rsidRPr="00127BD4">
        <w:rPr>
          <w:spacing w:val="-3"/>
        </w:rPr>
        <w:t xml:space="preserve">es necesario </w:t>
      </w:r>
      <w:r w:rsidRPr="00127BD4">
        <w:rPr>
          <w:spacing w:val="-3"/>
        </w:rPr>
        <w:t>complementar</w:t>
      </w:r>
      <w:r w:rsidR="00CB31C7" w:rsidRPr="00127BD4">
        <w:rPr>
          <w:spacing w:val="-3"/>
        </w:rPr>
        <w:t xml:space="preserve"> tales </w:t>
      </w:r>
      <w:r w:rsidR="00CB31C7" w:rsidRPr="00127BD4">
        <w:rPr>
          <w:spacing w:val="-3"/>
        </w:rPr>
        <w:lastRenderedPageBreak/>
        <w:t xml:space="preserve">orientaciones </w:t>
      </w:r>
      <w:r w:rsidRPr="00127BD4">
        <w:rPr>
          <w:spacing w:val="-3"/>
        </w:rPr>
        <w:t xml:space="preserve">con los requerimientos y métodos contenidos en los términos de referencia o en los documentos </w:t>
      </w:r>
      <w:r w:rsidR="00AA7CAB" w:rsidRPr="00127BD4">
        <w:rPr>
          <w:spacing w:val="-3"/>
        </w:rPr>
        <w:t xml:space="preserve">que </w:t>
      </w:r>
      <w:r w:rsidRPr="00127BD4">
        <w:rPr>
          <w:spacing w:val="-3"/>
        </w:rPr>
        <w:t>sobre estos sistemas adopte Minambiente.</w:t>
      </w:r>
    </w:p>
    <w:p w14:paraId="5A3B6BF4" w14:textId="77777777" w:rsidR="002875CC" w:rsidRPr="004068F6" w:rsidRDefault="002875CC" w:rsidP="00D277E7">
      <w:pPr>
        <w:numPr>
          <w:ilvl w:val="12"/>
          <w:numId w:val="0"/>
        </w:numPr>
        <w:tabs>
          <w:tab w:val="left" w:pos="-2268"/>
        </w:tabs>
        <w:suppressAutoHyphens/>
        <w:rPr>
          <w:spacing w:val="-3"/>
        </w:rPr>
      </w:pPr>
    </w:p>
    <w:p w14:paraId="1F2F5729" w14:textId="229EA4BC" w:rsidR="00D277E7" w:rsidRPr="004068F6" w:rsidRDefault="00D277E7" w:rsidP="00D277E7">
      <w:pPr>
        <w:numPr>
          <w:ilvl w:val="12"/>
          <w:numId w:val="0"/>
        </w:numPr>
        <w:tabs>
          <w:tab w:val="left" w:pos="-2268"/>
        </w:tabs>
        <w:suppressAutoHyphens/>
        <w:rPr>
          <w:spacing w:val="-3"/>
        </w:rPr>
      </w:pPr>
      <w:r w:rsidRPr="004068F6">
        <w:rPr>
          <w:spacing w:val="-3"/>
        </w:rPr>
        <w:t xml:space="preserve">Otro </w:t>
      </w:r>
      <w:r w:rsidR="00450907" w:rsidRPr="004068F6">
        <w:rPr>
          <w:spacing w:val="-3"/>
        </w:rPr>
        <w:t xml:space="preserve">asunto </w:t>
      </w:r>
      <w:r w:rsidRPr="004068F6">
        <w:rPr>
          <w:spacing w:val="-3"/>
        </w:rPr>
        <w:t xml:space="preserve">que resulta importante </w:t>
      </w:r>
      <w:r w:rsidR="00B8394B" w:rsidRPr="004068F6">
        <w:rPr>
          <w:spacing w:val="-3"/>
        </w:rPr>
        <w:t xml:space="preserve">señalar </w:t>
      </w:r>
      <w:r w:rsidRPr="004068F6">
        <w:rPr>
          <w:spacing w:val="-3"/>
        </w:rPr>
        <w:t xml:space="preserve">es que la </w:t>
      </w:r>
      <w:r w:rsidR="00346935" w:rsidRPr="004068F6">
        <w:rPr>
          <w:spacing w:val="-3"/>
        </w:rPr>
        <w:t>MGEPEA</w:t>
      </w:r>
      <w:r w:rsidRPr="004068F6">
        <w:rPr>
          <w:spacing w:val="-3"/>
        </w:rPr>
        <w:t xml:space="preserve"> </w:t>
      </w:r>
      <w:r w:rsidR="00450907" w:rsidRPr="004068F6">
        <w:rPr>
          <w:spacing w:val="-3"/>
        </w:rPr>
        <w:t xml:space="preserve">es una herramienta complementaria que </w:t>
      </w:r>
      <w:r w:rsidRPr="004068F6">
        <w:rPr>
          <w:spacing w:val="-3"/>
        </w:rPr>
        <w:t xml:space="preserve">no </w:t>
      </w:r>
      <w:r w:rsidR="005A0F59" w:rsidRPr="004068F6">
        <w:rPr>
          <w:spacing w:val="-3"/>
        </w:rPr>
        <w:t xml:space="preserve">sustituye </w:t>
      </w:r>
      <w:r w:rsidRPr="004068F6">
        <w:rPr>
          <w:spacing w:val="-3"/>
        </w:rPr>
        <w:t xml:space="preserve">los métodos y mecanismos específicos existentes, disponibles o recomendados para generar la información que se </w:t>
      </w:r>
      <w:r w:rsidR="00450907" w:rsidRPr="004068F6">
        <w:rPr>
          <w:spacing w:val="-3"/>
        </w:rPr>
        <w:t xml:space="preserve">debe </w:t>
      </w:r>
      <w:r w:rsidRPr="004068F6">
        <w:rPr>
          <w:spacing w:val="-3"/>
        </w:rPr>
        <w:t xml:space="preserve">presentar a las autoridades ambientales </w:t>
      </w:r>
      <w:r w:rsidR="00450907" w:rsidRPr="004068F6">
        <w:rPr>
          <w:spacing w:val="-3"/>
        </w:rPr>
        <w:t xml:space="preserve">mediante </w:t>
      </w:r>
      <w:r w:rsidRPr="004068F6">
        <w:rPr>
          <w:spacing w:val="-3"/>
        </w:rPr>
        <w:t>un estudio ambiental</w:t>
      </w:r>
      <w:r w:rsidR="00450907" w:rsidRPr="004068F6">
        <w:rPr>
          <w:spacing w:val="-3"/>
        </w:rPr>
        <w:t>.</w:t>
      </w:r>
      <w:r w:rsidRPr="004068F6">
        <w:rPr>
          <w:spacing w:val="-3"/>
        </w:rPr>
        <w:t xml:space="preserve"> </w:t>
      </w:r>
      <w:r w:rsidR="00450907" w:rsidRPr="004068F6">
        <w:rPr>
          <w:spacing w:val="-3"/>
        </w:rPr>
        <w:t>L</w:t>
      </w:r>
      <w:r w:rsidR="0043211F" w:rsidRPr="004068F6">
        <w:rPr>
          <w:spacing w:val="-3"/>
        </w:rPr>
        <w:t xml:space="preserve">a descripción de </w:t>
      </w:r>
      <w:r w:rsidRPr="004068F6">
        <w:rPr>
          <w:spacing w:val="-3"/>
        </w:rPr>
        <w:t xml:space="preserve">tales métodos y mecanismos </w:t>
      </w:r>
      <w:r w:rsidR="0043211F" w:rsidRPr="004068F6">
        <w:rPr>
          <w:spacing w:val="-3"/>
        </w:rPr>
        <w:t>se encuentra</w:t>
      </w:r>
      <w:r w:rsidR="00A5538D" w:rsidRPr="004068F6">
        <w:rPr>
          <w:spacing w:val="-3"/>
        </w:rPr>
        <w:t>, entre otras fuentes,</w:t>
      </w:r>
      <w:r w:rsidR="0043211F" w:rsidRPr="004068F6">
        <w:rPr>
          <w:spacing w:val="-3"/>
        </w:rPr>
        <w:t xml:space="preserve"> en </w:t>
      </w:r>
      <w:r w:rsidRPr="004068F6">
        <w:rPr>
          <w:spacing w:val="-3"/>
        </w:rPr>
        <w:t>procedimientos</w:t>
      </w:r>
      <w:r w:rsidR="00A5538D" w:rsidRPr="004068F6">
        <w:rPr>
          <w:spacing w:val="-3"/>
        </w:rPr>
        <w:t xml:space="preserve"> disciplinares</w:t>
      </w:r>
      <w:r w:rsidRPr="004068F6">
        <w:rPr>
          <w:spacing w:val="-3"/>
        </w:rPr>
        <w:t>, normativa</w:t>
      </w:r>
      <w:r w:rsidR="0043211F" w:rsidRPr="004068F6">
        <w:rPr>
          <w:spacing w:val="-3"/>
        </w:rPr>
        <w:t>s</w:t>
      </w:r>
      <w:r w:rsidRPr="004068F6">
        <w:rPr>
          <w:spacing w:val="-3"/>
        </w:rPr>
        <w:t>, estándares, guías</w:t>
      </w:r>
      <w:r w:rsidR="00A5538D" w:rsidRPr="004068F6">
        <w:rPr>
          <w:spacing w:val="-3"/>
        </w:rPr>
        <w:t xml:space="preserve"> y</w:t>
      </w:r>
      <w:r w:rsidRPr="004068F6">
        <w:rPr>
          <w:spacing w:val="-3"/>
        </w:rPr>
        <w:t xml:space="preserve"> protocolos, </w:t>
      </w:r>
      <w:r w:rsidR="0008519C" w:rsidRPr="004068F6">
        <w:rPr>
          <w:spacing w:val="-3"/>
        </w:rPr>
        <w:t>de manera que su</w:t>
      </w:r>
      <w:r w:rsidRPr="004068F6">
        <w:rPr>
          <w:spacing w:val="-3"/>
        </w:rPr>
        <w:t xml:space="preserve"> selección y aplicación es responsabilidad del equipo que elabora el estudio.</w:t>
      </w:r>
    </w:p>
    <w:p w14:paraId="762F87D3" w14:textId="77777777" w:rsidR="00D277E7" w:rsidRPr="004068F6" w:rsidRDefault="00D277E7" w:rsidP="00D277E7">
      <w:pPr>
        <w:numPr>
          <w:ilvl w:val="12"/>
          <w:numId w:val="0"/>
        </w:numPr>
        <w:tabs>
          <w:tab w:val="left" w:pos="-2268"/>
        </w:tabs>
        <w:suppressAutoHyphens/>
        <w:rPr>
          <w:spacing w:val="-3"/>
        </w:rPr>
      </w:pPr>
    </w:p>
    <w:p w14:paraId="31DF2AC3" w14:textId="555F6477" w:rsidR="00700E97" w:rsidRPr="004068F6" w:rsidRDefault="00D277E7" w:rsidP="00D277E7">
      <w:pPr>
        <w:numPr>
          <w:ilvl w:val="12"/>
          <w:numId w:val="0"/>
        </w:numPr>
        <w:tabs>
          <w:tab w:val="left" w:pos="-2268"/>
        </w:tabs>
        <w:suppressAutoHyphens/>
        <w:rPr>
          <w:spacing w:val="-3"/>
        </w:rPr>
      </w:pPr>
      <w:r w:rsidRPr="004068F6">
        <w:rPr>
          <w:spacing w:val="-3"/>
        </w:rPr>
        <w:t xml:space="preserve">Por otra parte, este documento no establece las escalas </w:t>
      </w:r>
      <w:r w:rsidR="0038229D" w:rsidRPr="004068F6">
        <w:rPr>
          <w:spacing w:val="-3"/>
        </w:rPr>
        <w:t xml:space="preserve">con las cuales </w:t>
      </w:r>
      <w:r w:rsidRPr="004068F6">
        <w:rPr>
          <w:spacing w:val="-3"/>
        </w:rPr>
        <w:t xml:space="preserve">debe ser </w:t>
      </w:r>
      <w:r w:rsidR="00323321" w:rsidRPr="004068F6">
        <w:rPr>
          <w:spacing w:val="-3"/>
        </w:rPr>
        <w:t xml:space="preserve">elaborada y </w:t>
      </w:r>
      <w:r w:rsidRPr="004068F6">
        <w:rPr>
          <w:spacing w:val="-3"/>
        </w:rPr>
        <w:t>presentada la información geográfica del estudio ambiental</w:t>
      </w:r>
      <w:r w:rsidR="0038229D" w:rsidRPr="004068F6">
        <w:rPr>
          <w:spacing w:val="-3"/>
        </w:rPr>
        <w:t>;</w:t>
      </w:r>
      <w:r w:rsidRPr="004068F6">
        <w:rPr>
          <w:spacing w:val="-3"/>
        </w:rPr>
        <w:t xml:space="preserve"> no obstante, como regla general, </w:t>
      </w:r>
      <w:r w:rsidR="00700E97" w:rsidRPr="004068F6">
        <w:rPr>
          <w:spacing w:val="-3"/>
        </w:rPr>
        <w:t>se debe</w:t>
      </w:r>
      <w:r w:rsidR="00E24F1A" w:rsidRPr="004068F6">
        <w:rPr>
          <w:spacing w:val="-3"/>
        </w:rPr>
        <w:t>n</w:t>
      </w:r>
      <w:r w:rsidR="00700E97" w:rsidRPr="004068F6">
        <w:rPr>
          <w:spacing w:val="-3"/>
        </w:rPr>
        <w:t xml:space="preserve"> </w:t>
      </w:r>
      <w:r w:rsidR="0038229D" w:rsidRPr="004068F6">
        <w:rPr>
          <w:spacing w:val="-3"/>
        </w:rPr>
        <w:t xml:space="preserve">emplear </w:t>
      </w:r>
      <w:r w:rsidRPr="004068F6">
        <w:rPr>
          <w:spacing w:val="-3"/>
        </w:rPr>
        <w:t xml:space="preserve">escalas que </w:t>
      </w:r>
      <w:r w:rsidR="00323321" w:rsidRPr="004068F6">
        <w:rPr>
          <w:spacing w:val="-3"/>
        </w:rPr>
        <w:t xml:space="preserve">permitan </w:t>
      </w:r>
      <w:r w:rsidR="0038229D" w:rsidRPr="004068F6">
        <w:rPr>
          <w:spacing w:val="-3"/>
        </w:rPr>
        <w:t xml:space="preserve">el procesamiento </w:t>
      </w:r>
      <w:r w:rsidR="00270241" w:rsidRPr="004068F6">
        <w:rPr>
          <w:spacing w:val="-3"/>
        </w:rPr>
        <w:t xml:space="preserve">y análisis </w:t>
      </w:r>
      <w:r w:rsidR="0038229D" w:rsidRPr="004068F6">
        <w:rPr>
          <w:spacing w:val="-3"/>
        </w:rPr>
        <w:t xml:space="preserve">de información </w:t>
      </w:r>
      <w:r w:rsidR="00270241" w:rsidRPr="004068F6">
        <w:rPr>
          <w:spacing w:val="-3"/>
        </w:rPr>
        <w:t xml:space="preserve">de acuerdo con </w:t>
      </w:r>
      <w:r w:rsidRPr="004068F6">
        <w:rPr>
          <w:spacing w:val="-3"/>
        </w:rPr>
        <w:t xml:space="preserve">las particularidades del proyecto, obra o actividad que se pretende ejecutar, </w:t>
      </w:r>
      <w:r w:rsidR="00323321" w:rsidRPr="004068F6">
        <w:rPr>
          <w:spacing w:val="-3"/>
        </w:rPr>
        <w:t xml:space="preserve">de </w:t>
      </w:r>
      <w:r w:rsidRPr="004068F6">
        <w:rPr>
          <w:spacing w:val="-3"/>
        </w:rPr>
        <w:t xml:space="preserve">los impactos ambientales que dicha ejecución genera, </w:t>
      </w:r>
      <w:r w:rsidR="00323321" w:rsidRPr="004068F6">
        <w:rPr>
          <w:spacing w:val="-3"/>
        </w:rPr>
        <w:t xml:space="preserve">de </w:t>
      </w:r>
      <w:r w:rsidRPr="004068F6">
        <w:rPr>
          <w:spacing w:val="-3"/>
        </w:rPr>
        <w:t xml:space="preserve">la efectividad de las medidas de manejo que se planea implementar y </w:t>
      </w:r>
      <w:r w:rsidR="00323321" w:rsidRPr="004068F6">
        <w:rPr>
          <w:spacing w:val="-3"/>
        </w:rPr>
        <w:t xml:space="preserve">de </w:t>
      </w:r>
      <w:r w:rsidRPr="004068F6">
        <w:rPr>
          <w:spacing w:val="-3"/>
        </w:rPr>
        <w:t>la viabilidad ambiental de desarrollar una alternativa o un proyecto</w:t>
      </w:r>
      <w:r w:rsidR="00323321" w:rsidRPr="004068F6">
        <w:rPr>
          <w:spacing w:val="-3"/>
        </w:rPr>
        <w:t>.</w:t>
      </w:r>
    </w:p>
    <w:p w14:paraId="7694FD0E" w14:textId="77777777" w:rsidR="00700E97" w:rsidRPr="004068F6" w:rsidRDefault="00700E97" w:rsidP="00D277E7">
      <w:pPr>
        <w:numPr>
          <w:ilvl w:val="12"/>
          <w:numId w:val="0"/>
        </w:numPr>
        <w:tabs>
          <w:tab w:val="left" w:pos="-2268"/>
        </w:tabs>
        <w:suppressAutoHyphens/>
        <w:rPr>
          <w:spacing w:val="-3"/>
        </w:rPr>
      </w:pPr>
    </w:p>
    <w:p w14:paraId="187A91E1" w14:textId="7D5AF7E3" w:rsidR="00D277E7" w:rsidRPr="004068F6" w:rsidRDefault="00700E97" w:rsidP="00D277E7">
      <w:pPr>
        <w:numPr>
          <w:ilvl w:val="12"/>
          <w:numId w:val="0"/>
        </w:numPr>
        <w:tabs>
          <w:tab w:val="left" w:pos="-2268"/>
        </w:tabs>
        <w:suppressAutoHyphens/>
        <w:rPr>
          <w:spacing w:val="-3"/>
        </w:rPr>
      </w:pPr>
      <w:r w:rsidRPr="004068F6">
        <w:rPr>
          <w:spacing w:val="-3"/>
        </w:rPr>
        <w:t xml:space="preserve">La </w:t>
      </w:r>
      <w:r w:rsidR="00D277E7" w:rsidRPr="004068F6">
        <w:rPr>
          <w:spacing w:val="-3"/>
        </w:rPr>
        <w:t xml:space="preserve">escala varía dependiendo de la dimensión del proyecto, de la extensión del área en donde se manifiestan sus impactos ambientales significativos y del fenómeno o característica a la cual se refiera el </w:t>
      </w:r>
      <w:r w:rsidR="00F5347B" w:rsidRPr="004068F6">
        <w:rPr>
          <w:spacing w:val="-3"/>
        </w:rPr>
        <w:t xml:space="preserve">factor o </w:t>
      </w:r>
      <w:r w:rsidR="00D277E7" w:rsidRPr="004068F6">
        <w:rPr>
          <w:rFonts w:cs="Arial"/>
          <w:spacing w:val="-3"/>
        </w:rPr>
        <w:t>componente particular que es objeto de análisis</w:t>
      </w:r>
      <w:r w:rsidR="00D277E7" w:rsidRPr="004068F6">
        <w:rPr>
          <w:spacing w:val="-3"/>
        </w:rPr>
        <w:t xml:space="preserve">. La selección de la escala </w:t>
      </w:r>
      <w:r w:rsidR="008E5219" w:rsidRPr="004068F6">
        <w:rPr>
          <w:spacing w:val="-3"/>
        </w:rPr>
        <w:t xml:space="preserve">de </w:t>
      </w:r>
      <w:r w:rsidR="00D277E7" w:rsidRPr="004068F6">
        <w:rPr>
          <w:spacing w:val="-3"/>
        </w:rPr>
        <w:t xml:space="preserve">la información </w:t>
      </w:r>
      <w:r w:rsidR="008E5219" w:rsidRPr="004068F6">
        <w:rPr>
          <w:spacing w:val="-3"/>
        </w:rPr>
        <w:t xml:space="preserve">geográfica </w:t>
      </w:r>
      <w:r w:rsidR="00D277E7" w:rsidRPr="004068F6">
        <w:rPr>
          <w:spacing w:val="-3"/>
        </w:rPr>
        <w:t xml:space="preserve">es igualmente responsabilidad del equipo profesional que elabora el estudio, </w:t>
      </w:r>
      <w:r w:rsidR="00270241" w:rsidRPr="004068F6">
        <w:rPr>
          <w:spacing w:val="-3"/>
        </w:rPr>
        <w:t xml:space="preserve">y </w:t>
      </w:r>
      <w:r w:rsidR="00D277E7" w:rsidRPr="004068F6">
        <w:rPr>
          <w:spacing w:val="-3"/>
        </w:rPr>
        <w:t xml:space="preserve">no debe ser más general que la mínima establecida en los términos de referencia. </w:t>
      </w:r>
      <w:r w:rsidR="00270241" w:rsidRPr="004068F6">
        <w:rPr>
          <w:spacing w:val="-3"/>
        </w:rPr>
        <w:t xml:space="preserve">Es una buena práctica </w:t>
      </w:r>
      <w:r w:rsidR="008C33E8" w:rsidRPr="004068F6">
        <w:rPr>
          <w:spacing w:val="-3"/>
        </w:rPr>
        <w:t xml:space="preserve">procurar el </w:t>
      </w:r>
      <w:r w:rsidR="00D277E7" w:rsidRPr="004068F6">
        <w:rPr>
          <w:spacing w:val="-3"/>
        </w:rPr>
        <w:t>mejora</w:t>
      </w:r>
      <w:r w:rsidR="008C33E8" w:rsidRPr="004068F6">
        <w:rPr>
          <w:spacing w:val="-3"/>
        </w:rPr>
        <w:t>miento</w:t>
      </w:r>
      <w:r w:rsidR="00D277E7" w:rsidRPr="004068F6">
        <w:rPr>
          <w:spacing w:val="-3"/>
        </w:rPr>
        <w:t xml:space="preserve"> </w:t>
      </w:r>
      <w:r w:rsidR="008C33E8" w:rsidRPr="004068F6">
        <w:rPr>
          <w:spacing w:val="-3"/>
        </w:rPr>
        <w:t>d</w:t>
      </w:r>
      <w:r w:rsidR="00D277E7" w:rsidRPr="004068F6">
        <w:rPr>
          <w:spacing w:val="-3"/>
        </w:rPr>
        <w:t>el detalle cuando la información esté disponible o la evaluación de las alternativas o el proyecto lo ameriten.</w:t>
      </w:r>
    </w:p>
    <w:p w14:paraId="313B31B1" w14:textId="77777777" w:rsidR="00D277E7" w:rsidRPr="004068F6" w:rsidRDefault="00D277E7" w:rsidP="00D277E7">
      <w:pPr>
        <w:numPr>
          <w:ilvl w:val="12"/>
          <w:numId w:val="0"/>
        </w:numPr>
        <w:tabs>
          <w:tab w:val="left" w:pos="-2268"/>
        </w:tabs>
        <w:suppressAutoHyphens/>
        <w:rPr>
          <w:spacing w:val="-3"/>
        </w:rPr>
      </w:pPr>
    </w:p>
    <w:p w14:paraId="6AB3EA8B" w14:textId="30FFCFC8" w:rsidR="008E5219" w:rsidRPr="004068F6" w:rsidRDefault="00D277E7" w:rsidP="00D277E7">
      <w:pPr>
        <w:numPr>
          <w:ilvl w:val="12"/>
          <w:numId w:val="0"/>
        </w:numPr>
        <w:tabs>
          <w:tab w:val="left" w:pos="-2268"/>
        </w:tabs>
        <w:suppressAutoHyphens/>
        <w:rPr>
          <w:spacing w:val="-3"/>
        </w:rPr>
      </w:pPr>
      <w:r w:rsidRPr="004068F6">
        <w:rPr>
          <w:spacing w:val="-3"/>
        </w:rPr>
        <w:t>Un lineamiento metodológico de carácter general que es fundamental tener en consideración al momento de emprender la elaboración de estudios ambientales, e inclusive de forma previa, en las instancias más tempranas de la concepción de un proyecto, obra o actividad sujet</w:t>
      </w:r>
      <w:r w:rsidR="00270241" w:rsidRPr="004068F6">
        <w:rPr>
          <w:spacing w:val="-3"/>
        </w:rPr>
        <w:t>o</w:t>
      </w:r>
      <w:r w:rsidRPr="004068F6">
        <w:rPr>
          <w:spacing w:val="-3"/>
        </w:rPr>
        <w:t xml:space="preserve"> a licenciamiento ambiental, es la identificación de las </w:t>
      </w:r>
      <w:r w:rsidRPr="005D74D8">
        <w:rPr>
          <w:spacing w:val="-3"/>
        </w:rPr>
        <w:t>determinantes</w:t>
      </w:r>
      <w:r w:rsidR="00633F90" w:rsidRPr="004068F6">
        <w:rPr>
          <w:rStyle w:val="Refdenotaalpie"/>
          <w:spacing w:val="-3"/>
          <w:lang w:val="es-CO"/>
        </w:rPr>
        <w:footnoteReference w:id="10"/>
      </w:r>
      <w:r w:rsidR="00943C3A" w:rsidRPr="004068F6">
        <w:rPr>
          <w:spacing w:val="-3"/>
        </w:rPr>
        <w:t xml:space="preserve"> </w:t>
      </w:r>
      <w:r w:rsidR="00BB45DA" w:rsidRPr="004068F6">
        <w:rPr>
          <w:spacing w:val="-3"/>
        </w:rPr>
        <w:t>y otras figuras incorporadas en</w:t>
      </w:r>
      <w:r w:rsidR="00943C3A" w:rsidRPr="004068F6">
        <w:rPr>
          <w:spacing w:val="-3"/>
        </w:rPr>
        <w:t xml:space="preserve"> los </w:t>
      </w:r>
      <w:r w:rsidR="00EE4DE9" w:rsidRPr="004068F6">
        <w:rPr>
          <w:spacing w:val="-3"/>
        </w:rPr>
        <w:t xml:space="preserve">instrumentos </w:t>
      </w:r>
      <w:r w:rsidR="00943C3A" w:rsidRPr="004068F6">
        <w:rPr>
          <w:spacing w:val="-3"/>
        </w:rPr>
        <w:t>de ordenamiento territorial</w:t>
      </w:r>
      <w:r w:rsidRPr="004068F6">
        <w:rPr>
          <w:spacing w:val="-3"/>
        </w:rPr>
        <w:t xml:space="preserve">, dado que </w:t>
      </w:r>
      <w:r w:rsidR="00270241" w:rsidRPr="004068F6">
        <w:rPr>
          <w:spacing w:val="-3"/>
        </w:rPr>
        <w:t xml:space="preserve">estos instrumentos </w:t>
      </w:r>
      <w:r w:rsidRPr="004068F6">
        <w:rPr>
          <w:spacing w:val="-3"/>
        </w:rPr>
        <w:t xml:space="preserve">al mismo tiempo que señalan los usos óptimos </w:t>
      </w:r>
      <w:r w:rsidRPr="004068F6">
        <w:rPr>
          <w:spacing w:val="-3"/>
        </w:rPr>
        <w:lastRenderedPageBreak/>
        <w:t>y factibles del suelo, concertados en el ámbito de la planificación territorial, fi</w:t>
      </w:r>
      <w:r w:rsidR="008E5219" w:rsidRPr="004068F6">
        <w:rPr>
          <w:spacing w:val="-3"/>
        </w:rPr>
        <w:t>j</w:t>
      </w:r>
      <w:r w:rsidRPr="004068F6">
        <w:rPr>
          <w:spacing w:val="-3"/>
        </w:rPr>
        <w:t>an restricciones para el desarrollo de ciertas actividades. El proceso de licenciamiento ambiental debe acata</w:t>
      </w:r>
      <w:r w:rsidR="007A5E7F" w:rsidRPr="004068F6">
        <w:rPr>
          <w:spacing w:val="-3"/>
        </w:rPr>
        <w:t xml:space="preserve">r </w:t>
      </w:r>
      <w:r w:rsidRPr="004068F6">
        <w:rPr>
          <w:spacing w:val="-3"/>
        </w:rPr>
        <w:t xml:space="preserve">lo establecido en los instrumentos de ordenamiento </w:t>
      </w:r>
      <w:r w:rsidR="008E5219" w:rsidRPr="004068F6">
        <w:rPr>
          <w:spacing w:val="-3"/>
        </w:rPr>
        <w:t xml:space="preserve">ambiental y </w:t>
      </w:r>
      <w:r w:rsidRPr="004068F6">
        <w:rPr>
          <w:spacing w:val="-3"/>
        </w:rPr>
        <w:t>territorial</w:t>
      </w:r>
      <w:r w:rsidR="004F333C" w:rsidRPr="004068F6">
        <w:rPr>
          <w:rStyle w:val="Refdenotaalpie"/>
          <w:rFonts w:cs="Arial"/>
          <w:spacing w:val="-3"/>
          <w:lang w:val="es-CO"/>
        </w:rPr>
        <w:footnoteReference w:id="11"/>
      </w:r>
      <w:r w:rsidR="00445254" w:rsidRPr="004068F6">
        <w:rPr>
          <w:spacing w:val="-3"/>
        </w:rPr>
        <w:t xml:space="preserve"> </w:t>
      </w:r>
      <w:r w:rsidRPr="004068F6">
        <w:rPr>
          <w:spacing w:val="-3"/>
        </w:rPr>
        <w:t>y contribu</w:t>
      </w:r>
      <w:r w:rsidR="00EE4DE9" w:rsidRPr="004068F6">
        <w:rPr>
          <w:spacing w:val="-3"/>
        </w:rPr>
        <w:t xml:space="preserve">ir </w:t>
      </w:r>
      <w:r w:rsidRPr="004068F6">
        <w:rPr>
          <w:spacing w:val="-3"/>
        </w:rPr>
        <w:t>positiva</w:t>
      </w:r>
      <w:r w:rsidR="00EE4DE9" w:rsidRPr="004068F6">
        <w:rPr>
          <w:spacing w:val="-3"/>
        </w:rPr>
        <w:t>mente</w:t>
      </w:r>
      <w:r w:rsidRPr="004068F6">
        <w:rPr>
          <w:spacing w:val="-3"/>
        </w:rPr>
        <w:t xml:space="preserve"> al cumplimiento de los objetivos que se han propuesto alcanzar.</w:t>
      </w:r>
    </w:p>
    <w:p w14:paraId="28599777" w14:textId="77777777" w:rsidR="008E5219" w:rsidRPr="004068F6" w:rsidRDefault="008E5219" w:rsidP="00D277E7">
      <w:pPr>
        <w:numPr>
          <w:ilvl w:val="12"/>
          <w:numId w:val="0"/>
        </w:numPr>
        <w:tabs>
          <w:tab w:val="left" w:pos="-2268"/>
        </w:tabs>
        <w:suppressAutoHyphens/>
        <w:rPr>
          <w:spacing w:val="-3"/>
        </w:rPr>
      </w:pPr>
    </w:p>
    <w:p w14:paraId="46EE1BAE" w14:textId="07D9C63D" w:rsidR="00D277E7" w:rsidRPr="004068F6" w:rsidRDefault="00D277E7" w:rsidP="00D277E7">
      <w:pPr>
        <w:numPr>
          <w:ilvl w:val="12"/>
          <w:numId w:val="0"/>
        </w:numPr>
        <w:tabs>
          <w:tab w:val="left" w:pos="-2268"/>
        </w:tabs>
        <w:suppressAutoHyphens/>
        <w:rPr>
          <w:spacing w:val="-3"/>
        </w:rPr>
      </w:pPr>
      <w:r w:rsidRPr="004068F6">
        <w:rPr>
          <w:spacing w:val="-3"/>
        </w:rPr>
        <w:t>Los Esquemas de Ordenamiento Territorial (EOT), los Planes Básicos de Ordenamiento Territorial (PBOT)</w:t>
      </w:r>
      <w:r w:rsidR="00EE4DE9" w:rsidRPr="004068F6">
        <w:rPr>
          <w:spacing w:val="-3"/>
        </w:rPr>
        <w:t>,</w:t>
      </w:r>
      <w:r w:rsidRPr="004068F6">
        <w:rPr>
          <w:spacing w:val="-3"/>
        </w:rPr>
        <w:t xml:space="preserve"> los Planes de Ordenamiento Territorial (POT)</w:t>
      </w:r>
      <w:r w:rsidR="008C1DFF" w:rsidRPr="004068F6">
        <w:rPr>
          <w:spacing w:val="-3"/>
        </w:rPr>
        <w:t xml:space="preserve">, los </w:t>
      </w:r>
      <w:r w:rsidR="002A4AD2" w:rsidRPr="004068F6">
        <w:rPr>
          <w:spacing w:val="-3"/>
        </w:rPr>
        <w:t>P</w:t>
      </w:r>
      <w:r w:rsidR="008C1DFF" w:rsidRPr="004068F6">
        <w:rPr>
          <w:spacing w:val="-3"/>
        </w:rPr>
        <w:t xml:space="preserve">lanes de </w:t>
      </w:r>
      <w:r w:rsidR="002A4AD2" w:rsidRPr="004068F6">
        <w:rPr>
          <w:spacing w:val="-3"/>
        </w:rPr>
        <w:t>O</w:t>
      </w:r>
      <w:r w:rsidR="008C1DFF" w:rsidRPr="004068F6">
        <w:rPr>
          <w:spacing w:val="-3"/>
        </w:rPr>
        <w:t xml:space="preserve">rdenamiento </w:t>
      </w:r>
      <w:r w:rsidR="002A4AD2" w:rsidRPr="004068F6">
        <w:rPr>
          <w:spacing w:val="-3"/>
        </w:rPr>
        <w:t>A</w:t>
      </w:r>
      <w:r w:rsidR="008C1DFF" w:rsidRPr="004068F6">
        <w:rPr>
          <w:spacing w:val="-3"/>
        </w:rPr>
        <w:t xml:space="preserve">mbiental </w:t>
      </w:r>
      <w:r w:rsidR="0095164F" w:rsidRPr="004068F6">
        <w:rPr>
          <w:spacing w:val="-3"/>
        </w:rPr>
        <w:t>I</w:t>
      </w:r>
      <w:r w:rsidR="008C1DFF" w:rsidRPr="004068F6">
        <w:rPr>
          <w:spacing w:val="-3"/>
        </w:rPr>
        <w:t>ndígena</w:t>
      </w:r>
      <w:r w:rsidR="00EE4DE9" w:rsidRPr="004068F6">
        <w:rPr>
          <w:spacing w:val="-3"/>
        </w:rPr>
        <w:t xml:space="preserve"> </w:t>
      </w:r>
      <w:r w:rsidR="0095164F" w:rsidRPr="004068F6">
        <w:rPr>
          <w:spacing w:val="-3"/>
        </w:rPr>
        <w:t xml:space="preserve">(POAI) </w:t>
      </w:r>
      <w:r w:rsidR="00EE4DE9" w:rsidRPr="004068F6">
        <w:rPr>
          <w:spacing w:val="-3"/>
        </w:rPr>
        <w:t>y</w:t>
      </w:r>
      <w:r w:rsidR="000E0134" w:rsidRPr="004068F6">
        <w:t xml:space="preserve"> </w:t>
      </w:r>
      <w:r w:rsidR="000E0134" w:rsidRPr="004068F6">
        <w:rPr>
          <w:spacing w:val="-3"/>
        </w:rPr>
        <w:t>los componentes en materia ambiental de</w:t>
      </w:r>
      <w:r w:rsidR="00EE4DE9" w:rsidRPr="004068F6">
        <w:rPr>
          <w:spacing w:val="-3"/>
        </w:rPr>
        <w:t xml:space="preserve"> los planes de vida y los planes de etnodesarrollo</w:t>
      </w:r>
      <w:r w:rsidR="00EE4DE9" w:rsidRPr="00127BD4">
        <w:rPr>
          <w:rStyle w:val="Refdenotaalpie"/>
          <w:spacing w:val="-3"/>
          <w:lang w:val="es-CO"/>
        </w:rPr>
        <w:footnoteReference w:id="12"/>
      </w:r>
      <w:r w:rsidR="00EE4DE9" w:rsidRPr="004068F6">
        <w:rPr>
          <w:spacing w:val="-3"/>
        </w:rPr>
        <w:t>,</w:t>
      </w:r>
      <w:r w:rsidRPr="004068F6">
        <w:rPr>
          <w:spacing w:val="-3"/>
        </w:rPr>
        <w:t xml:space="preserve"> </w:t>
      </w:r>
      <w:r w:rsidR="00B05663" w:rsidRPr="004068F6">
        <w:t>los reglamentos indígenas dirigidos a administrar, preservar, conservar, proteger, restaurar, y fortalecer o rescatar, las estrategias de organización socio ambiental del territorio,</w:t>
      </w:r>
      <w:r w:rsidR="00B05663" w:rsidRPr="004068F6">
        <w:rPr>
          <w:spacing w:val="-3"/>
        </w:rPr>
        <w:t xml:space="preserve"> </w:t>
      </w:r>
      <w:r w:rsidRPr="004068F6">
        <w:rPr>
          <w:spacing w:val="-3"/>
        </w:rPr>
        <w:t xml:space="preserve">así como </w:t>
      </w:r>
      <w:r w:rsidR="00714D5A" w:rsidRPr="004068F6">
        <w:rPr>
          <w:spacing w:val="-3"/>
        </w:rPr>
        <w:t xml:space="preserve">las </w:t>
      </w:r>
      <w:r w:rsidRPr="004068F6">
        <w:rPr>
          <w:spacing w:val="-3"/>
        </w:rPr>
        <w:t xml:space="preserve">herramientas de ordenamiento y gestión ambiental como los Planes de </w:t>
      </w:r>
      <w:r w:rsidR="006510F1" w:rsidRPr="004068F6">
        <w:rPr>
          <w:spacing w:val="-3"/>
        </w:rPr>
        <w:t>o</w:t>
      </w:r>
      <w:r w:rsidRPr="004068F6">
        <w:rPr>
          <w:spacing w:val="-3"/>
        </w:rPr>
        <w:t xml:space="preserve">rdenación y </w:t>
      </w:r>
      <w:r w:rsidR="006510F1" w:rsidRPr="004068F6">
        <w:rPr>
          <w:spacing w:val="-3"/>
        </w:rPr>
        <w:t>m</w:t>
      </w:r>
      <w:r w:rsidRPr="004068F6">
        <w:rPr>
          <w:spacing w:val="-3"/>
        </w:rPr>
        <w:t xml:space="preserve">anejo de </w:t>
      </w:r>
      <w:r w:rsidR="006510F1" w:rsidRPr="004068F6">
        <w:rPr>
          <w:spacing w:val="-3"/>
        </w:rPr>
        <w:t>c</w:t>
      </w:r>
      <w:r w:rsidRPr="004068F6">
        <w:rPr>
          <w:spacing w:val="-3"/>
        </w:rPr>
        <w:t>uencas (</w:t>
      </w:r>
      <w:r w:rsidR="003C70CD" w:rsidRPr="004068F6">
        <w:rPr>
          <w:spacing w:val="-3"/>
        </w:rPr>
        <w:t>Pomca</w:t>
      </w:r>
      <w:r w:rsidRPr="004068F6">
        <w:rPr>
          <w:spacing w:val="-3"/>
        </w:rPr>
        <w:t xml:space="preserve">), los Planes de </w:t>
      </w:r>
      <w:r w:rsidR="006510F1" w:rsidRPr="004068F6">
        <w:rPr>
          <w:spacing w:val="-3"/>
        </w:rPr>
        <w:t>o</w:t>
      </w:r>
      <w:r w:rsidRPr="004068F6">
        <w:rPr>
          <w:spacing w:val="-3"/>
        </w:rPr>
        <w:t xml:space="preserve">rdenación y </w:t>
      </w:r>
      <w:r w:rsidR="006510F1" w:rsidRPr="004068F6">
        <w:rPr>
          <w:spacing w:val="-3"/>
        </w:rPr>
        <w:t>m</w:t>
      </w:r>
      <w:r w:rsidRPr="004068F6">
        <w:rPr>
          <w:spacing w:val="-3"/>
        </w:rPr>
        <w:t xml:space="preserve">anejo </w:t>
      </w:r>
      <w:r w:rsidR="006510F1" w:rsidRPr="004068F6">
        <w:rPr>
          <w:spacing w:val="-3"/>
        </w:rPr>
        <w:t>i</w:t>
      </w:r>
      <w:r w:rsidRPr="004068F6">
        <w:rPr>
          <w:spacing w:val="-3"/>
        </w:rPr>
        <w:t xml:space="preserve">ntegrado de las </w:t>
      </w:r>
      <w:r w:rsidR="006510F1" w:rsidRPr="004068F6">
        <w:rPr>
          <w:spacing w:val="-3"/>
        </w:rPr>
        <w:t>u</w:t>
      </w:r>
      <w:r w:rsidRPr="004068F6">
        <w:rPr>
          <w:spacing w:val="-3"/>
        </w:rPr>
        <w:t xml:space="preserve">nidades </w:t>
      </w:r>
      <w:r w:rsidR="006510F1" w:rsidRPr="004068F6">
        <w:rPr>
          <w:spacing w:val="-3"/>
        </w:rPr>
        <w:t>a</w:t>
      </w:r>
      <w:r w:rsidRPr="004068F6">
        <w:rPr>
          <w:spacing w:val="-3"/>
        </w:rPr>
        <w:t xml:space="preserve">mbientales </w:t>
      </w:r>
      <w:r w:rsidR="006510F1" w:rsidRPr="004068F6">
        <w:rPr>
          <w:spacing w:val="-3"/>
        </w:rPr>
        <w:t>c</w:t>
      </w:r>
      <w:r w:rsidRPr="004068F6">
        <w:rPr>
          <w:spacing w:val="-3"/>
        </w:rPr>
        <w:t>osteras (</w:t>
      </w:r>
      <w:r w:rsidR="000A43B6" w:rsidRPr="004068F6">
        <w:rPr>
          <w:spacing w:val="-3"/>
        </w:rPr>
        <w:t>Pomiuac</w:t>
      </w:r>
      <w:r w:rsidRPr="004068F6">
        <w:rPr>
          <w:spacing w:val="-3"/>
        </w:rPr>
        <w:t xml:space="preserve">), los Planes de </w:t>
      </w:r>
      <w:r w:rsidR="006510F1" w:rsidRPr="004068F6">
        <w:rPr>
          <w:spacing w:val="-3"/>
        </w:rPr>
        <w:t>m</w:t>
      </w:r>
      <w:r w:rsidRPr="004068F6">
        <w:rPr>
          <w:spacing w:val="-3"/>
        </w:rPr>
        <w:t xml:space="preserve">anejo de </w:t>
      </w:r>
      <w:r w:rsidR="006510F1" w:rsidRPr="004068F6">
        <w:rPr>
          <w:spacing w:val="-3"/>
        </w:rPr>
        <w:t>á</w:t>
      </w:r>
      <w:r w:rsidRPr="004068F6">
        <w:rPr>
          <w:spacing w:val="-3"/>
        </w:rPr>
        <w:t xml:space="preserve">reas </w:t>
      </w:r>
      <w:r w:rsidR="006510F1" w:rsidRPr="004068F6">
        <w:rPr>
          <w:spacing w:val="-3"/>
        </w:rPr>
        <w:t>p</w:t>
      </w:r>
      <w:r w:rsidRPr="004068F6">
        <w:rPr>
          <w:spacing w:val="-3"/>
        </w:rPr>
        <w:t xml:space="preserve">rotegidas del Sistema </w:t>
      </w:r>
      <w:r w:rsidR="006510F1" w:rsidRPr="004068F6">
        <w:rPr>
          <w:spacing w:val="-3"/>
        </w:rPr>
        <w:t>n</w:t>
      </w:r>
      <w:r w:rsidRPr="004068F6">
        <w:rPr>
          <w:spacing w:val="-3"/>
        </w:rPr>
        <w:t xml:space="preserve">acional de </w:t>
      </w:r>
      <w:r w:rsidR="006510F1" w:rsidRPr="004068F6">
        <w:rPr>
          <w:spacing w:val="-3"/>
        </w:rPr>
        <w:t>á</w:t>
      </w:r>
      <w:r w:rsidRPr="004068F6">
        <w:rPr>
          <w:spacing w:val="-3"/>
        </w:rPr>
        <w:t xml:space="preserve">reas </w:t>
      </w:r>
      <w:r w:rsidR="006510F1" w:rsidRPr="004068F6">
        <w:rPr>
          <w:spacing w:val="-3"/>
        </w:rPr>
        <w:t>p</w:t>
      </w:r>
      <w:r w:rsidRPr="004068F6">
        <w:rPr>
          <w:spacing w:val="-3"/>
        </w:rPr>
        <w:t>rotegidas (</w:t>
      </w:r>
      <w:r w:rsidR="006510F1" w:rsidRPr="004068F6">
        <w:rPr>
          <w:spacing w:val="-3"/>
        </w:rPr>
        <w:t>Sinap</w:t>
      </w:r>
      <w:r w:rsidRPr="004068F6">
        <w:rPr>
          <w:spacing w:val="-3"/>
        </w:rPr>
        <w:t>), los planes de manejo de ecosistemas estratégicos, entre otr</w:t>
      </w:r>
      <w:r w:rsidR="006510F1" w:rsidRPr="004068F6">
        <w:rPr>
          <w:spacing w:val="-3"/>
        </w:rPr>
        <w:t>a</w:t>
      </w:r>
      <w:r w:rsidRPr="004068F6">
        <w:rPr>
          <w:spacing w:val="-3"/>
        </w:rPr>
        <w:t xml:space="preserve">s, son de consulta y referencia obligatoria, en la medida que establecen la planeación y gestión </w:t>
      </w:r>
      <w:r w:rsidR="008066DC" w:rsidRPr="004068F6">
        <w:rPr>
          <w:spacing w:val="-3"/>
        </w:rPr>
        <w:t xml:space="preserve">ambiental y </w:t>
      </w:r>
      <w:r w:rsidRPr="004068F6">
        <w:rPr>
          <w:spacing w:val="-3"/>
        </w:rPr>
        <w:t>territorial de largo plazo, las pautas para administrar y orientar el desarrollo de municipios</w:t>
      </w:r>
      <w:r w:rsidR="00FC0399" w:rsidRPr="004068F6">
        <w:rPr>
          <w:spacing w:val="-3"/>
        </w:rPr>
        <w:t>, territorios</w:t>
      </w:r>
      <w:r w:rsidRPr="004068F6">
        <w:rPr>
          <w:spacing w:val="-3"/>
        </w:rPr>
        <w:t xml:space="preserve"> y regiones, </w:t>
      </w:r>
      <w:r w:rsidR="00C5105E" w:rsidRPr="004068F6">
        <w:rPr>
          <w:spacing w:val="-3"/>
        </w:rPr>
        <w:t xml:space="preserve">los lineamientos </w:t>
      </w:r>
      <w:r w:rsidR="008066DC" w:rsidRPr="004068F6">
        <w:rPr>
          <w:spacing w:val="-3"/>
        </w:rPr>
        <w:t>de</w:t>
      </w:r>
      <w:r w:rsidRPr="004068F6">
        <w:rPr>
          <w:spacing w:val="-3"/>
        </w:rPr>
        <w:t xml:space="preserve"> utilización, ocupación y transformación del suelo, y el cumplimiento de objetivos de conservación.</w:t>
      </w:r>
    </w:p>
    <w:p w14:paraId="37A8CDE2" w14:textId="77777777" w:rsidR="00D277E7" w:rsidRPr="004068F6" w:rsidRDefault="00D277E7" w:rsidP="00D277E7">
      <w:pPr>
        <w:numPr>
          <w:ilvl w:val="12"/>
          <w:numId w:val="0"/>
        </w:numPr>
        <w:tabs>
          <w:tab w:val="left" w:pos="-2268"/>
        </w:tabs>
        <w:suppressAutoHyphens/>
        <w:rPr>
          <w:spacing w:val="-3"/>
        </w:rPr>
      </w:pPr>
    </w:p>
    <w:p w14:paraId="61EF319D" w14:textId="60D2E7E6" w:rsidR="00D277E7" w:rsidRPr="004068F6" w:rsidRDefault="00D277E7" w:rsidP="00D277E7">
      <w:pPr>
        <w:numPr>
          <w:ilvl w:val="12"/>
          <w:numId w:val="0"/>
        </w:numPr>
        <w:tabs>
          <w:tab w:val="left" w:pos="-2268"/>
        </w:tabs>
        <w:suppressAutoHyphens/>
        <w:rPr>
          <w:spacing w:val="-3"/>
        </w:rPr>
      </w:pPr>
      <w:r w:rsidRPr="004068F6">
        <w:rPr>
          <w:spacing w:val="-3"/>
        </w:rPr>
        <w:t xml:space="preserve">Estos mecanismos de planeación territorial incorporan las determinantes al modelo de ocupación territorial para asegurar que las actividades socioeconómicas no deterioren los valores ambientales y la funcionalidad del territorio; tenerlos en cuenta desde etapas tempranas de planeación, brinda elementos para armonizar los proyectos, obras o actividades con </w:t>
      </w:r>
      <w:r w:rsidRPr="004068F6">
        <w:rPr>
          <w:rFonts w:cs="Arial"/>
          <w:spacing w:val="-3"/>
        </w:rPr>
        <w:t>el</w:t>
      </w:r>
      <w:r w:rsidRPr="004068F6">
        <w:rPr>
          <w:spacing w:val="-3"/>
        </w:rPr>
        <w:t xml:space="preserve"> territorio y también, asegura que los estudios ambientales tengan un sólido contexto territorial y permitan a las autoridades ambientales tomar las decisiones que garanticen la reducción de los impactos </w:t>
      </w:r>
      <w:r w:rsidRPr="004068F6">
        <w:rPr>
          <w:rFonts w:cs="Arial"/>
          <w:spacing w:val="-3"/>
        </w:rPr>
        <w:t xml:space="preserve">ambientales </w:t>
      </w:r>
      <w:r w:rsidRPr="004068F6">
        <w:rPr>
          <w:spacing w:val="-3"/>
        </w:rPr>
        <w:t xml:space="preserve">negativos y el aumento de los positivos en cada una de </w:t>
      </w:r>
      <w:r w:rsidR="00270241" w:rsidRPr="004068F6">
        <w:rPr>
          <w:spacing w:val="-3"/>
        </w:rPr>
        <w:t xml:space="preserve">sus </w:t>
      </w:r>
      <w:r w:rsidR="00977DC1">
        <w:rPr>
          <w:spacing w:val="-3"/>
        </w:rPr>
        <w:t xml:space="preserve">etapas </w:t>
      </w:r>
      <w:r w:rsidR="00270241" w:rsidRPr="004068F6">
        <w:rPr>
          <w:spacing w:val="-3"/>
        </w:rPr>
        <w:t>de ejecución</w:t>
      </w:r>
      <w:r w:rsidR="00E74278" w:rsidRPr="004068F6">
        <w:rPr>
          <w:spacing w:val="-3"/>
        </w:rPr>
        <w:t xml:space="preserve">, por </w:t>
      </w:r>
      <w:r w:rsidR="001B5220" w:rsidRPr="004068F6">
        <w:rPr>
          <w:spacing w:val="-3"/>
        </w:rPr>
        <w:t>el</w:t>
      </w:r>
      <w:r w:rsidR="00E74278" w:rsidRPr="004068F6">
        <w:rPr>
          <w:spacing w:val="-3"/>
        </w:rPr>
        <w:t>lo</w:t>
      </w:r>
      <w:r w:rsidR="001B5220" w:rsidRPr="004068F6">
        <w:rPr>
          <w:spacing w:val="-3"/>
        </w:rPr>
        <w:t>,</w:t>
      </w:r>
      <w:r w:rsidR="00E74278" w:rsidRPr="004068F6">
        <w:rPr>
          <w:spacing w:val="-3"/>
        </w:rPr>
        <w:t xml:space="preserve"> resulta fundamental el acercamiento oportuno y contacto permanente con las autoridades </w:t>
      </w:r>
      <w:r w:rsidR="00F85219" w:rsidRPr="004068F6">
        <w:rPr>
          <w:spacing w:val="-3"/>
        </w:rPr>
        <w:t xml:space="preserve">ambientales y territoriales </w:t>
      </w:r>
      <w:r w:rsidR="00E74278" w:rsidRPr="004068F6">
        <w:rPr>
          <w:spacing w:val="-3"/>
        </w:rPr>
        <w:t>con jurisdicción en el área de referencia</w:t>
      </w:r>
      <w:r w:rsidRPr="004068F6">
        <w:rPr>
          <w:spacing w:val="-3"/>
        </w:rPr>
        <w:t>.</w:t>
      </w:r>
    </w:p>
    <w:p w14:paraId="304F3E0F" w14:textId="77777777" w:rsidR="00D277E7" w:rsidRPr="004068F6" w:rsidRDefault="00D277E7" w:rsidP="00D277E7">
      <w:pPr>
        <w:numPr>
          <w:ilvl w:val="12"/>
          <w:numId w:val="0"/>
        </w:numPr>
        <w:tabs>
          <w:tab w:val="left" w:pos="-2268"/>
        </w:tabs>
        <w:suppressAutoHyphens/>
        <w:rPr>
          <w:spacing w:val="-3"/>
        </w:rPr>
      </w:pPr>
    </w:p>
    <w:p w14:paraId="7EB5F72F" w14:textId="0382C406" w:rsidR="00303147" w:rsidRDefault="00D277E7" w:rsidP="00D277E7">
      <w:pPr>
        <w:numPr>
          <w:ilvl w:val="12"/>
          <w:numId w:val="0"/>
        </w:numPr>
        <w:tabs>
          <w:tab w:val="left" w:pos="-2268"/>
        </w:tabs>
        <w:suppressAutoHyphens/>
        <w:rPr>
          <w:spacing w:val="-3"/>
        </w:rPr>
      </w:pPr>
      <w:r w:rsidRPr="004068F6">
        <w:rPr>
          <w:spacing w:val="-3"/>
        </w:rPr>
        <w:t xml:space="preserve">En la medida en que la información contenida en los estudios ambientales sea clara, </w:t>
      </w:r>
      <w:r w:rsidRPr="004068F6">
        <w:rPr>
          <w:rFonts w:cs="Arial"/>
          <w:spacing w:val="-3"/>
        </w:rPr>
        <w:t xml:space="preserve">precisa, </w:t>
      </w:r>
      <w:r w:rsidRPr="004068F6">
        <w:rPr>
          <w:spacing w:val="-3"/>
        </w:rPr>
        <w:t xml:space="preserve">transparente y señale de manera oportuna los </w:t>
      </w:r>
      <w:r w:rsidR="00E64448" w:rsidRPr="004068F6">
        <w:rPr>
          <w:spacing w:val="-3"/>
        </w:rPr>
        <w:t xml:space="preserve">impactos ambientales </w:t>
      </w:r>
      <w:r w:rsidR="00E64448" w:rsidRPr="004068F6">
        <w:rPr>
          <w:spacing w:val="-3"/>
        </w:rPr>
        <w:lastRenderedPageBreak/>
        <w:t xml:space="preserve">negativos </w:t>
      </w:r>
      <w:r w:rsidRPr="004068F6">
        <w:rPr>
          <w:spacing w:val="-3"/>
        </w:rPr>
        <w:t xml:space="preserve">y </w:t>
      </w:r>
      <w:r w:rsidR="00C37AFC" w:rsidRPr="004068F6">
        <w:rPr>
          <w:spacing w:val="-3"/>
        </w:rPr>
        <w:t xml:space="preserve">positivos </w:t>
      </w:r>
      <w:r w:rsidRPr="004068F6">
        <w:rPr>
          <w:spacing w:val="-3"/>
        </w:rPr>
        <w:t>que puede conllevar la ejecución de un proyecto, obra o actividad</w:t>
      </w:r>
      <w:r w:rsidR="00D142A4" w:rsidRPr="004068F6">
        <w:rPr>
          <w:spacing w:val="-3"/>
        </w:rPr>
        <w:t>, se enmarque en la práctica de la debida diligencia en derechos humanos</w:t>
      </w:r>
      <w:r w:rsidRPr="004068F6">
        <w:rPr>
          <w:spacing w:val="-3"/>
        </w:rPr>
        <w:t xml:space="preserve"> y tenga las características que se han calificado </w:t>
      </w:r>
      <w:r w:rsidR="008066DC" w:rsidRPr="004068F6">
        <w:rPr>
          <w:spacing w:val="-3"/>
        </w:rPr>
        <w:t xml:space="preserve">como </w:t>
      </w:r>
      <w:r w:rsidRPr="004068F6">
        <w:rPr>
          <w:spacing w:val="-3"/>
        </w:rPr>
        <w:t xml:space="preserve">esenciales, el proceso de licenciamiento ambiental se convierte en un instrumento que contribuye a optimizar las inversiones en un </w:t>
      </w:r>
      <w:r w:rsidR="00D142A4" w:rsidRPr="004068F6">
        <w:rPr>
          <w:spacing w:val="-3"/>
        </w:rPr>
        <w:t xml:space="preserve">contexto </w:t>
      </w:r>
      <w:r w:rsidRPr="004068F6">
        <w:rPr>
          <w:spacing w:val="-3"/>
        </w:rPr>
        <w:t>de participación</w:t>
      </w:r>
      <w:r w:rsidR="00B872A4" w:rsidRPr="004068F6">
        <w:rPr>
          <w:spacing w:val="-3"/>
        </w:rPr>
        <w:t xml:space="preserve"> ciudadana</w:t>
      </w:r>
      <w:r w:rsidR="00112A7A" w:rsidRPr="004068F6">
        <w:rPr>
          <w:spacing w:val="-3"/>
        </w:rPr>
        <w:t xml:space="preserve"> y</w:t>
      </w:r>
      <w:r w:rsidRPr="004068F6">
        <w:rPr>
          <w:spacing w:val="-3"/>
        </w:rPr>
        <w:t xml:space="preserve"> propicia el cumplimiento de los mandatos de la Constitución </w:t>
      </w:r>
      <w:r w:rsidR="00C21ACA" w:rsidRPr="004068F6">
        <w:rPr>
          <w:spacing w:val="-3"/>
        </w:rPr>
        <w:t>P</w:t>
      </w:r>
      <w:r w:rsidRPr="004068F6">
        <w:rPr>
          <w:spacing w:val="-3"/>
        </w:rPr>
        <w:t xml:space="preserve">olítica </w:t>
      </w:r>
      <w:r w:rsidR="00B872A4" w:rsidRPr="004068F6">
        <w:rPr>
          <w:spacing w:val="-3"/>
        </w:rPr>
        <w:t xml:space="preserve">y de los tratados internacionales incorporados en el ordenamiento jurídico colombiano </w:t>
      </w:r>
      <w:r w:rsidRPr="004068F6">
        <w:rPr>
          <w:spacing w:val="-3"/>
        </w:rPr>
        <w:t xml:space="preserve">respecto de la participación </w:t>
      </w:r>
      <w:r w:rsidR="00D142A4" w:rsidRPr="004068F6">
        <w:rPr>
          <w:spacing w:val="-3"/>
        </w:rPr>
        <w:t>pública</w:t>
      </w:r>
      <w:r w:rsidRPr="004068F6">
        <w:rPr>
          <w:spacing w:val="-3"/>
        </w:rPr>
        <w:t xml:space="preserve"> en las decisiones que pued</w:t>
      </w:r>
      <w:r w:rsidR="00D142A4" w:rsidRPr="004068F6">
        <w:rPr>
          <w:spacing w:val="-3"/>
        </w:rPr>
        <w:t>e</w:t>
      </w:r>
      <w:r w:rsidRPr="004068F6">
        <w:rPr>
          <w:spacing w:val="-3"/>
        </w:rPr>
        <w:t xml:space="preserve">n afectar </w:t>
      </w:r>
      <w:r w:rsidR="000A28C5" w:rsidRPr="004068F6">
        <w:rPr>
          <w:spacing w:val="-3"/>
        </w:rPr>
        <w:t xml:space="preserve">el </w:t>
      </w:r>
      <w:r w:rsidRPr="004068F6">
        <w:rPr>
          <w:spacing w:val="-3"/>
        </w:rPr>
        <w:t>derecho a gozar de un ambiente sano.</w:t>
      </w:r>
    </w:p>
    <w:p w14:paraId="01E3A805" w14:textId="77777777" w:rsidR="00145C59" w:rsidRDefault="00145C59" w:rsidP="00D277E7">
      <w:pPr>
        <w:numPr>
          <w:ilvl w:val="12"/>
          <w:numId w:val="0"/>
        </w:numPr>
        <w:tabs>
          <w:tab w:val="left" w:pos="-2268"/>
        </w:tabs>
        <w:suppressAutoHyphens/>
        <w:rPr>
          <w:spacing w:val="-3"/>
        </w:rPr>
      </w:pPr>
    </w:p>
    <w:p w14:paraId="7FDB48C6" w14:textId="00E6E4EA" w:rsidR="000525F7" w:rsidRDefault="000525F7" w:rsidP="00D277E7">
      <w:pPr>
        <w:numPr>
          <w:ilvl w:val="12"/>
          <w:numId w:val="0"/>
        </w:numPr>
        <w:tabs>
          <w:tab w:val="left" w:pos="-2268"/>
        </w:tabs>
        <w:suppressAutoHyphens/>
        <w:rPr>
          <w:spacing w:val="-3"/>
        </w:rPr>
      </w:pPr>
      <w:r>
        <w:rPr>
          <w:spacing w:val="-3"/>
        </w:rPr>
        <w:t>Finalmente</w:t>
      </w:r>
      <w:r w:rsidR="00453B18">
        <w:rPr>
          <w:spacing w:val="-3"/>
        </w:rPr>
        <w:t xml:space="preserve">, </w:t>
      </w:r>
      <w:r w:rsidR="00CD4722">
        <w:rPr>
          <w:spacing w:val="-3"/>
        </w:rPr>
        <w:t xml:space="preserve">es necesario </w:t>
      </w:r>
      <w:r w:rsidRPr="000525F7">
        <w:rPr>
          <w:spacing w:val="-3"/>
        </w:rPr>
        <w:t xml:space="preserve">desarrollar </w:t>
      </w:r>
      <w:r w:rsidR="006E1462">
        <w:rPr>
          <w:spacing w:val="-3"/>
        </w:rPr>
        <w:t xml:space="preserve">las </w:t>
      </w:r>
      <w:r w:rsidRPr="000525F7">
        <w:rPr>
          <w:spacing w:val="-3"/>
        </w:rPr>
        <w:t>orientaciones</w:t>
      </w:r>
      <w:r w:rsidR="00805450">
        <w:rPr>
          <w:spacing w:val="-3"/>
        </w:rPr>
        <w:t xml:space="preserve"> y </w:t>
      </w:r>
      <w:r w:rsidRPr="000525F7">
        <w:rPr>
          <w:spacing w:val="-3"/>
        </w:rPr>
        <w:t xml:space="preserve">especificaciones </w:t>
      </w:r>
      <w:r w:rsidR="006E1462">
        <w:rPr>
          <w:spacing w:val="-3"/>
        </w:rPr>
        <w:t xml:space="preserve">de la MGEPEA </w:t>
      </w:r>
      <w:r w:rsidR="00805450">
        <w:rPr>
          <w:spacing w:val="-3"/>
        </w:rPr>
        <w:t xml:space="preserve">según se establezca </w:t>
      </w:r>
      <w:r w:rsidRPr="000525F7">
        <w:rPr>
          <w:spacing w:val="-3"/>
        </w:rPr>
        <w:t xml:space="preserve">en los documentos </w:t>
      </w:r>
      <w:r w:rsidR="00805450">
        <w:rPr>
          <w:spacing w:val="-3"/>
        </w:rPr>
        <w:t xml:space="preserve">o </w:t>
      </w:r>
      <w:r w:rsidR="00805450" w:rsidRPr="000525F7">
        <w:rPr>
          <w:spacing w:val="-3"/>
        </w:rPr>
        <w:t xml:space="preserve">protocolos </w:t>
      </w:r>
      <w:r w:rsidR="00536780">
        <w:rPr>
          <w:spacing w:val="-3"/>
        </w:rPr>
        <w:t xml:space="preserve">elaborados </w:t>
      </w:r>
      <w:r w:rsidRPr="000525F7">
        <w:rPr>
          <w:spacing w:val="-3"/>
        </w:rPr>
        <w:t>con motivo de órdenes judiciales</w:t>
      </w:r>
      <w:r w:rsidR="003771FA">
        <w:rPr>
          <w:spacing w:val="-3"/>
        </w:rPr>
        <w:t>,</w:t>
      </w:r>
      <w:r w:rsidR="003771FA" w:rsidRPr="003771FA">
        <w:rPr>
          <w:spacing w:val="-3"/>
        </w:rPr>
        <w:t xml:space="preserve"> </w:t>
      </w:r>
      <w:r w:rsidR="003771FA" w:rsidRPr="000525F7">
        <w:rPr>
          <w:spacing w:val="-3"/>
        </w:rPr>
        <w:t>en caso de apli</w:t>
      </w:r>
      <w:r w:rsidR="003771FA">
        <w:rPr>
          <w:spacing w:val="-3"/>
        </w:rPr>
        <w:t>car</w:t>
      </w:r>
      <w:r w:rsidR="000E4B32">
        <w:rPr>
          <w:spacing w:val="-3"/>
        </w:rPr>
        <w:t>.</w:t>
      </w:r>
      <w:r w:rsidR="00987DE8">
        <w:rPr>
          <w:spacing w:val="-3"/>
        </w:rPr>
        <w:t xml:space="preserve"> </w:t>
      </w:r>
      <w:r w:rsidR="000E4B32">
        <w:rPr>
          <w:spacing w:val="-3"/>
        </w:rPr>
        <w:t>P</w:t>
      </w:r>
      <w:r w:rsidR="00987DE8">
        <w:rPr>
          <w:spacing w:val="-3"/>
        </w:rPr>
        <w:t xml:space="preserve">or ejemplo, el </w:t>
      </w:r>
      <w:r w:rsidR="008D381C">
        <w:rPr>
          <w:spacing w:val="-3"/>
        </w:rPr>
        <w:t xml:space="preserve">documento </w:t>
      </w:r>
      <w:r w:rsidR="008D381C" w:rsidRPr="00127BD4">
        <w:rPr>
          <w:i/>
          <w:iCs/>
          <w:spacing w:val="-3"/>
        </w:rPr>
        <w:t>Lineamientos para la elaboración de protocolos para la salvaguarda y protección de cuerpos de presuntas víctimas del conflicto armado colombiano en proyectos de infraestructura de transporte</w:t>
      </w:r>
      <w:r w:rsidR="008D381C">
        <w:rPr>
          <w:spacing w:val="-3"/>
        </w:rPr>
        <w:t xml:space="preserve">, </w:t>
      </w:r>
      <w:r w:rsidR="007123EF">
        <w:rPr>
          <w:spacing w:val="-3"/>
        </w:rPr>
        <w:t xml:space="preserve">desarrollado </w:t>
      </w:r>
      <w:r w:rsidR="008D381C" w:rsidRPr="008D381C">
        <w:rPr>
          <w:spacing w:val="-3"/>
        </w:rPr>
        <w:t>en cumplimiento de la orden cuarta del Auto AI 070 de 2022 de la Jurisdicción Especial para la Paz</w:t>
      </w:r>
      <w:r w:rsidR="00AC091D">
        <w:rPr>
          <w:spacing w:val="-3"/>
        </w:rPr>
        <w:t xml:space="preserve">, </w:t>
      </w:r>
      <w:r w:rsidR="000E4B32">
        <w:rPr>
          <w:spacing w:val="-3"/>
        </w:rPr>
        <w:t xml:space="preserve">dicta </w:t>
      </w:r>
      <w:r w:rsidR="00AC091D">
        <w:rPr>
          <w:spacing w:val="-3"/>
        </w:rPr>
        <w:t>orientaciones específicas para los proyectos, obras o actividades del sector de infraestructura de transporte</w:t>
      </w:r>
      <w:r w:rsidRPr="000525F7">
        <w:rPr>
          <w:spacing w:val="-3"/>
        </w:rPr>
        <w:t>.</w:t>
      </w:r>
    </w:p>
    <w:p w14:paraId="1F9C0BD9" w14:textId="77777777" w:rsidR="00773099" w:rsidRDefault="00773099" w:rsidP="00D277E7">
      <w:pPr>
        <w:numPr>
          <w:ilvl w:val="12"/>
          <w:numId w:val="0"/>
        </w:numPr>
        <w:tabs>
          <w:tab w:val="left" w:pos="-2268"/>
        </w:tabs>
        <w:suppressAutoHyphens/>
        <w:rPr>
          <w:spacing w:val="-3"/>
        </w:rPr>
      </w:pPr>
    </w:p>
    <w:p w14:paraId="220CF568" w14:textId="77777777" w:rsidR="00D32173" w:rsidRPr="004068F6" w:rsidRDefault="00D32173" w:rsidP="00D32173">
      <w:pPr>
        <w:numPr>
          <w:ilvl w:val="0"/>
          <w:numId w:val="41"/>
        </w:numPr>
        <w:tabs>
          <w:tab w:val="left" w:pos="-2268"/>
        </w:tabs>
        <w:suppressAutoHyphens/>
        <w:ind w:left="567" w:hanging="567"/>
        <w:rPr>
          <w:b/>
          <w:i/>
          <w:spacing w:val="-3"/>
          <w:u w:val="single"/>
        </w:rPr>
      </w:pPr>
      <w:r w:rsidRPr="004068F6">
        <w:rPr>
          <w:b/>
          <w:i/>
          <w:spacing w:val="-3"/>
          <w:u w:val="single"/>
        </w:rPr>
        <w:t xml:space="preserve">Sobre </w:t>
      </w:r>
      <w:r>
        <w:rPr>
          <w:b/>
          <w:i/>
          <w:spacing w:val="-3"/>
          <w:u w:val="single"/>
        </w:rPr>
        <w:t xml:space="preserve">el enfoque de derechos humanos en la elaboración de </w:t>
      </w:r>
      <w:r w:rsidRPr="004068F6">
        <w:rPr>
          <w:b/>
          <w:i/>
          <w:spacing w:val="-3"/>
          <w:u w:val="single"/>
        </w:rPr>
        <w:t>estudios ambientales</w:t>
      </w:r>
    </w:p>
    <w:p w14:paraId="662F6C6C" w14:textId="77777777" w:rsidR="00D32173" w:rsidRDefault="00D32173" w:rsidP="00D32173">
      <w:pPr>
        <w:numPr>
          <w:ilvl w:val="12"/>
          <w:numId w:val="0"/>
        </w:numPr>
        <w:tabs>
          <w:tab w:val="left" w:pos="-2268"/>
        </w:tabs>
        <w:suppressAutoHyphens/>
        <w:rPr>
          <w:spacing w:val="-3"/>
        </w:rPr>
      </w:pPr>
    </w:p>
    <w:p w14:paraId="24322993" w14:textId="2F52BEB6" w:rsidR="00525E59" w:rsidRDefault="00525E59" w:rsidP="00525E59">
      <w:pPr>
        <w:numPr>
          <w:ilvl w:val="12"/>
          <w:numId w:val="0"/>
        </w:numPr>
        <w:tabs>
          <w:tab w:val="left" w:pos="-2268"/>
        </w:tabs>
        <w:suppressAutoHyphens/>
        <w:rPr>
          <w:spacing w:val="-3"/>
        </w:rPr>
      </w:pPr>
      <w:r w:rsidRPr="00B82426">
        <w:rPr>
          <w:spacing w:val="-3"/>
        </w:rPr>
        <w:t xml:space="preserve">La Corte Constitucional ha reiterado que la protección del ambiente constituye un presupuesto para la garantía efectiva de los derechos humanos (Sentencias T-411 de 1992, T-299 de 2008 y T-622 de 2016), lo que </w:t>
      </w:r>
      <w:r w:rsidR="00EB5D13">
        <w:rPr>
          <w:spacing w:val="-3"/>
        </w:rPr>
        <w:t>supone para</w:t>
      </w:r>
      <w:r w:rsidRPr="00B82426">
        <w:rPr>
          <w:spacing w:val="-3"/>
        </w:rPr>
        <w:t xml:space="preserve"> autoridades </w:t>
      </w:r>
      <w:r w:rsidR="009147F2">
        <w:rPr>
          <w:spacing w:val="-3"/>
        </w:rPr>
        <w:t xml:space="preserve">ambientales </w:t>
      </w:r>
      <w:r w:rsidRPr="00B82426">
        <w:rPr>
          <w:spacing w:val="-3"/>
        </w:rPr>
        <w:t xml:space="preserve">y particulares la adopción de medidas preventivas frente a los impactos ambientales y su posible incidencia sobre </w:t>
      </w:r>
      <w:r>
        <w:rPr>
          <w:spacing w:val="-3"/>
        </w:rPr>
        <w:t xml:space="preserve">tales </w:t>
      </w:r>
      <w:r w:rsidRPr="00B82426">
        <w:rPr>
          <w:spacing w:val="-3"/>
        </w:rPr>
        <w:t>derechos.</w:t>
      </w:r>
    </w:p>
    <w:p w14:paraId="09F657BC" w14:textId="77777777" w:rsidR="00525E59" w:rsidRDefault="00525E59" w:rsidP="00C75646">
      <w:pPr>
        <w:numPr>
          <w:ilvl w:val="12"/>
          <w:numId w:val="0"/>
        </w:numPr>
        <w:tabs>
          <w:tab w:val="left" w:pos="-2268"/>
        </w:tabs>
        <w:suppressAutoHyphens/>
        <w:rPr>
          <w:spacing w:val="-3"/>
        </w:rPr>
      </w:pPr>
    </w:p>
    <w:p w14:paraId="4F20DBFF" w14:textId="1D2FF1AE" w:rsidR="00A02777" w:rsidRDefault="00EB25EB" w:rsidP="0035525D">
      <w:pPr>
        <w:numPr>
          <w:ilvl w:val="12"/>
          <w:numId w:val="0"/>
        </w:numPr>
        <w:tabs>
          <w:tab w:val="left" w:pos="-2268"/>
        </w:tabs>
        <w:suppressAutoHyphens/>
        <w:rPr>
          <w:spacing w:val="-3"/>
        </w:rPr>
      </w:pPr>
      <w:r>
        <w:rPr>
          <w:spacing w:val="-3"/>
        </w:rPr>
        <w:t>En este sentido</w:t>
      </w:r>
      <w:r w:rsidR="009147F2">
        <w:rPr>
          <w:spacing w:val="-3"/>
        </w:rPr>
        <w:t>, e</w:t>
      </w:r>
      <w:r w:rsidR="00C75646" w:rsidRPr="00127BD4">
        <w:rPr>
          <w:spacing w:val="-3"/>
        </w:rPr>
        <w:t xml:space="preserve">l enfoque en derechos humanos </w:t>
      </w:r>
      <w:r w:rsidR="00A666E5">
        <w:rPr>
          <w:spacing w:val="-3"/>
        </w:rPr>
        <w:t xml:space="preserve">en el marco del licenciamiento </w:t>
      </w:r>
      <w:r w:rsidR="00C75646" w:rsidRPr="00127BD4">
        <w:rPr>
          <w:spacing w:val="-3"/>
        </w:rPr>
        <w:t xml:space="preserve">ambiental se basa en la relación de interdependencia e indivisibilidad que existe entre el derecho a gozar de un ambiente sano y los demás derechos </w:t>
      </w:r>
      <w:r w:rsidR="006A5CBE">
        <w:rPr>
          <w:spacing w:val="-3"/>
        </w:rPr>
        <w:t>humanos</w:t>
      </w:r>
      <w:r w:rsidR="00E16C0E">
        <w:rPr>
          <w:spacing w:val="-3"/>
        </w:rPr>
        <w:t>.</w:t>
      </w:r>
      <w:r w:rsidR="0035525D">
        <w:rPr>
          <w:spacing w:val="-3"/>
        </w:rPr>
        <w:t xml:space="preserve"> </w:t>
      </w:r>
      <w:r w:rsidR="00E16C0E">
        <w:rPr>
          <w:spacing w:val="-3"/>
        </w:rPr>
        <w:t xml:space="preserve">El enfoque </w:t>
      </w:r>
      <w:r w:rsidR="0035525D">
        <w:rPr>
          <w:spacing w:val="-3"/>
        </w:rPr>
        <w:t xml:space="preserve">busca </w:t>
      </w:r>
      <w:r w:rsidR="00A02777">
        <w:rPr>
          <w:spacing w:val="-3"/>
        </w:rPr>
        <w:t xml:space="preserve">que los actores que intervienen en el </w:t>
      </w:r>
      <w:r w:rsidR="00E16C0E">
        <w:rPr>
          <w:spacing w:val="-3"/>
        </w:rPr>
        <w:t xml:space="preserve">licenciamiento </w:t>
      </w:r>
      <w:r w:rsidR="00A02777">
        <w:rPr>
          <w:spacing w:val="-3"/>
        </w:rPr>
        <w:t xml:space="preserve">sean conscientes </w:t>
      </w:r>
      <w:r w:rsidR="003869D1">
        <w:rPr>
          <w:spacing w:val="-3"/>
        </w:rPr>
        <w:t xml:space="preserve">de </w:t>
      </w:r>
      <w:r w:rsidR="005F343B">
        <w:rPr>
          <w:spacing w:val="-3"/>
        </w:rPr>
        <w:t xml:space="preserve">que </w:t>
      </w:r>
      <w:r w:rsidR="00056688">
        <w:rPr>
          <w:spacing w:val="-3"/>
        </w:rPr>
        <w:t xml:space="preserve">la </w:t>
      </w:r>
      <w:r w:rsidR="005F343B">
        <w:rPr>
          <w:spacing w:val="-3"/>
        </w:rPr>
        <w:t xml:space="preserve">disminución </w:t>
      </w:r>
      <w:r w:rsidR="00893C4A">
        <w:rPr>
          <w:spacing w:val="-3"/>
        </w:rPr>
        <w:t xml:space="preserve">de </w:t>
      </w:r>
      <w:r w:rsidR="00A02777">
        <w:rPr>
          <w:spacing w:val="-3"/>
        </w:rPr>
        <w:t>la integridad ambiental (ambiente sano)</w:t>
      </w:r>
      <w:r w:rsidR="00D41D9F">
        <w:rPr>
          <w:spacing w:val="-3"/>
        </w:rPr>
        <w:t xml:space="preserve">, traducida en </w:t>
      </w:r>
      <w:r w:rsidR="006C689B">
        <w:rPr>
          <w:spacing w:val="-3"/>
        </w:rPr>
        <w:t xml:space="preserve">términos de </w:t>
      </w:r>
      <w:r w:rsidR="00BB177F">
        <w:rPr>
          <w:spacing w:val="-3"/>
        </w:rPr>
        <w:t xml:space="preserve">impactos a los </w:t>
      </w:r>
      <w:r w:rsidR="006C689B">
        <w:rPr>
          <w:spacing w:val="-3"/>
        </w:rPr>
        <w:t>servicios ecosistémicos,</w:t>
      </w:r>
      <w:r w:rsidR="00A02777">
        <w:rPr>
          <w:spacing w:val="-3"/>
        </w:rPr>
        <w:t xml:space="preserve"> </w:t>
      </w:r>
      <w:r w:rsidR="002C380A">
        <w:rPr>
          <w:spacing w:val="-3"/>
        </w:rPr>
        <w:t xml:space="preserve">afecta negativamente </w:t>
      </w:r>
      <w:r w:rsidR="00A02777">
        <w:rPr>
          <w:spacing w:val="-3"/>
        </w:rPr>
        <w:t>los derechos conexos</w:t>
      </w:r>
      <w:r w:rsidR="00BB6C4F">
        <w:rPr>
          <w:spacing w:val="-3"/>
        </w:rPr>
        <w:t xml:space="preserve"> e </w:t>
      </w:r>
      <w:r w:rsidR="00BB6C4F" w:rsidRPr="00A10E60">
        <w:rPr>
          <w:spacing w:val="-3"/>
        </w:rPr>
        <w:t>incid</w:t>
      </w:r>
      <w:r w:rsidR="00BB6C4F">
        <w:rPr>
          <w:spacing w:val="-3"/>
        </w:rPr>
        <w:t>e</w:t>
      </w:r>
      <w:r w:rsidR="00BB6C4F" w:rsidRPr="00A10E60">
        <w:rPr>
          <w:spacing w:val="-3"/>
        </w:rPr>
        <w:t xml:space="preserve"> en el goce efectivo de </w:t>
      </w:r>
      <w:r w:rsidR="00BB6C4F">
        <w:rPr>
          <w:spacing w:val="-3"/>
        </w:rPr>
        <w:t>éstos</w:t>
      </w:r>
      <w:r w:rsidR="00A02777">
        <w:rPr>
          <w:spacing w:val="-3"/>
        </w:rPr>
        <w:t>.</w:t>
      </w:r>
    </w:p>
    <w:p w14:paraId="3217D384" w14:textId="77777777" w:rsidR="00A02777" w:rsidRDefault="00A02777" w:rsidP="00C75646">
      <w:pPr>
        <w:numPr>
          <w:ilvl w:val="12"/>
          <w:numId w:val="0"/>
        </w:numPr>
        <w:tabs>
          <w:tab w:val="left" w:pos="-2268"/>
        </w:tabs>
        <w:suppressAutoHyphens/>
        <w:rPr>
          <w:spacing w:val="-3"/>
        </w:rPr>
      </w:pPr>
    </w:p>
    <w:p w14:paraId="44714920" w14:textId="2453311F" w:rsidR="00C75646" w:rsidRDefault="00687F48" w:rsidP="00C75646">
      <w:pPr>
        <w:numPr>
          <w:ilvl w:val="12"/>
          <w:numId w:val="0"/>
        </w:numPr>
        <w:tabs>
          <w:tab w:val="left" w:pos="-2268"/>
        </w:tabs>
        <w:suppressAutoHyphens/>
        <w:rPr>
          <w:spacing w:val="-3"/>
        </w:rPr>
      </w:pPr>
      <w:r>
        <w:rPr>
          <w:spacing w:val="-3"/>
        </w:rPr>
        <w:t>Es por ello que</w:t>
      </w:r>
      <w:r w:rsidR="002A7C73" w:rsidRPr="002A7C73">
        <w:rPr>
          <w:spacing w:val="-3"/>
        </w:rPr>
        <w:t xml:space="preserve"> </w:t>
      </w:r>
      <w:r w:rsidR="00AD6566">
        <w:rPr>
          <w:spacing w:val="-3"/>
        </w:rPr>
        <w:t xml:space="preserve">la formulación consciente </w:t>
      </w:r>
      <w:r w:rsidR="00757F00">
        <w:rPr>
          <w:spacing w:val="-3"/>
        </w:rPr>
        <w:t xml:space="preserve">de proyectos y </w:t>
      </w:r>
      <w:r w:rsidR="00A55673">
        <w:rPr>
          <w:spacing w:val="-3"/>
        </w:rPr>
        <w:t xml:space="preserve">el </w:t>
      </w:r>
      <w:r w:rsidR="002A7C73" w:rsidRPr="002A7C73">
        <w:rPr>
          <w:spacing w:val="-3"/>
        </w:rPr>
        <w:t>correct</w:t>
      </w:r>
      <w:r w:rsidR="00A55673">
        <w:rPr>
          <w:spacing w:val="-3"/>
        </w:rPr>
        <w:t xml:space="preserve">o </w:t>
      </w:r>
      <w:r w:rsidR="008D74AD">
        <w:rPr>
          <w:spacing w:val="-3"/>
        </w:rPr>
        <w:t xml:space="preserve">planteamiento </w:t>
      </w:r>
      <w:r w:rsidR="002A7C73" w:rsidRPr="002A7C73">
        <w:rPr>
          <w:spacing w:val="-3"/>
        </w:rPr>
        <w:t xml:space="preserve">y aplicación de medidas de </w:t>
      </w:r>
      <w:r w:rsidR="006F7317">
        <w:rPr>
          <w:spacing w:val="-3"/>
        </w:rPr>
        <w:t xml:space="preserve">prevención, </w:t>
      </w:r>
      <w:r w:rsidR="002A7C73" w:rsidRPr="002A7C73">
        <w:rPr>
          <w:spacing w:val="-3"/>
        </w:rPr>
        <w:t>mitigación</w:t>
      </w:r>
      <w:r w:rsidR="006F7317">
        <w:rPr>
          <w:spacing w:val="-3"/>
        </w:rPr>
        <w:t xml:space="preserve"> y corrección</w:t>
      </w:r>
      <w:r w:rsidR="00C33C92">
        <w:rPr>
          <w:spacing w:val="-3"/>
        </w:rPr>
        <w:t>,</w:t>
      </w:r>
      <w:r w:rsidR="006F7317">
        <w:rPr>
          <w:spacing w:val="-3"/>
        </w:rPr>
        <w:t xml:space="preserve"> </w:t>
      </w:r>
      <w:r w:rsidR="002A7C73" w:rsidRPr="002A7C73">
        <w:rPr>
          <w:spacing w:val="-3"/>
        </w:rPr>
        <w:t xml:space="preserve">constituye </w:t>
      </w:r>
      <w:r w:rsidR="00F90C41">
        <w:rPr>
          <w:spacing w:val="-3"/>
        </w:rPr>
        <w:t xml:space="preserve">el </w:t>
      </w:r>
      <w:r w:rsidR="002A7C73" w:rsidRPr="002A7C73">
        <w:rPr>
          <w:spacing w:val="-3"/>
        </w:rPr>
        <w:t xml:space="preserve">principal mecanismo para </w:t>
      </w:r>
      <w:r w:rsidR="008B3841">
        <w:rPr>
          <w:spacing w:val="-3"/>
        </w:rPr>
        <w:t xml:space="preserve">manejar </w:t>
      </w:r>
      <w:r w:rsidR="002A7C73" w:rsidRPr="002A7C73">
        <w:rPr>
          <w:spacing w:val="-3"/>
        </w:rPr>
        <w:t>impactos ambientales que, de materializarse</w:t>
      </w:r>
      <w:r w:rsidR="008B3841">
        <w:rPr>
          <w:spacing w:val="-3"/>
        </w:rPr>
        <w:t xml:space="preserve"> </w:t>
      </w:r>
      <w:r w:rsidR="00C310F5">
        <w:rPr>
          <w:spacing w:val="-3"/>
        </w:rPr>
        <w:t xml:space="preserve">sin ningún </w:t>
      </w:r>
      <w:r w:rsidR="00FA2207">
        <w:rPr>
          <w:spacing w:val="-3"/>
        </w:rPr>
        <w:t>control</w:t>
      </w:r>
      <w:r w:rsidR="002A7C73" w:rsidRPr="002A7C73">
        <w:rPr>
          <w:spacing w:val="-3"/>
        </w:rPr>
        <w:t xml:space="preserve">, podrían incidir </w:t>
      </w:r>
      <w:r w:rsidR="00FA2207">
        <w:rPr>
          <w:spacing w:val="-3"/>
        </w:rPr>
        <w:t xml:space="preserve">negativamente </w:t>
      </w:r>
      <w:r w:rsidR="002A7C73" w:rsidRPr="002A7C73">
        <w:rPr>
          <w:spacing w:val="-3"/>
        </w:rPr>
        <w:t>sobre derechos como la salud, la integridad personal, el territorio y la vida</w:t>
      </w:r>
      <w:r w:rsidR="007A1513">
        <w:rPr>
          <w:spacing w:val="-3"/>
        </w:rPr>
        <w:t xml:space="preserve"> digna</w:t>
      </w:r>
      <w:r w:rsidR="00C75646" w:rsidRPr="0022610A">
        <w:rPr>
          <w:spacing w:val="-3"/>
        </w:rPr>
        <w:t>.</w:t>
      </w:r>
    </w:p>
    <w:p w14:paraId="1AD99FED" w14:textId="77777777" w:rsidR="00C75646" w:rsidRDefault="00C75646" w:rsidP="00D32173">
      <w:pPr>
        <w:numPr>
          <w:ilvl w:val="12"/>
          <w:numId w:val="0"/>
        </w:numPr>
        <w:tabs>
          <w:tab w:val="left" w:pos="-2268"/>
        </w:tabs>
        <w:suppressAutoHyphens/>
        <w:rPr>
          <w:spacing w:val="-3"/>
        </w:rPr>
      </w:pPr>
    </w:p>
    <w:p w14:paraId="622248FC" w14:textId="7436B871" w:rsidR="00363761" w:rsidRDefault="00FA263B" w:rsidP="00D32173">
      <w:pPr>
        <w:numPr>
          <w:ilvl w:val="12"/>
          <w:numId w:val="0"/>
        </w:numPr>
        <w:tabs>
          <w:tab w:val="left" w:pos="-2268"/>
        </w:tabs>
        <w:suppressAutoHyphens/>
        <w:rPr>
          <w:spacing w:val="-3"/>
        </w:rPr>
      </w:pPr>
      <w:r>
        <w:rPr>
          <w:spacing w:val="-3"/>
        </w:rPr>
        <w:lastRenderedPageBreak/>
        <w:t xml:space="preserve">El desarrollo del </w:t>
      </w:r>
      <w:r w:rsidR="00EC1015" w:rsidRPr="00127BD4">
        <w:rPr>
          <w:spacing w:val="-3"/>
        </w:rPr>
        <w:t xml:space="preserve">enfoque </w:t>
      </w:r>
      <w:r w:rsidR="00A9537B" w:rsidRPr="00127BD4">
        <w:rPr>
          <w:spacing w:val="-3"/>
        </w:rPr>
        <w:t>en la fase de elaboración de l</w:t>
      </w:r>
      <w:r w:rsidR="00F9060F" w:rsidRPr="00127BD4">
        <w:rPr>
          <w:spacing w:val="-3"/>
        </w:rPr>
        <w:t xml:space="preserve">os </w:t>
      </w:r>
      <w:r w:rsidR="007E2DF9" w:rsidRPr="00127BD4">
        <w:rPr>
          <w:spacing w:val="-3"/>
        </w:rPr>
        <w:t>estudios ambientales</w:t>
      </w:r>
      <w:r w:rsidR="00334787">
        <w:rPr>
          <w:spacing w:val="-3"/>
        </w:rPr>
        <w:t xml:space="preserve"> resalta la relación entre </w:t>
      </w:r>
      <w:r w:rsidR="006968B1">
        <w:rPr>
          <w:spacing w:val="-3"/>
        </w:rPr>
        <w:t>el derecho al ambiente y sano y otros derechos humanos</w:t>
      </w:r>
      <w:r w:rsidR="009E0F35">
        <w:rPr>
          <w:spacing w:val="-3"/>
        </w:rPr>
        <w:t xml:space="preserve"> y</w:t>
      </w:r>
      <w:r w:rsidR="006968B1">
        <w:rPr>
          <w:spacing w:val="-3"/>
        </w:rPr>
        <w:t xml:space="preserve"> </w:t>
      </w:r>
      <w:r w:rsidR="009D5DF3" w:rsidRPr="00127BD4">
        <w:rPr>
          <w:spacing w:val="-3"/>
        </w:rPr>
        <w:t xml:space="preserve">apela a la </w:t>
      </w:r>
      <w:r w:rsidR="00F31827" w:rsidRPr="00127BD4">
        <w:rPr>
          <w:spacing w:val="-3"/>
        </w:rPr>
        <w:t>aplica</w:t>
      </w:r>
      <w:r w:rsidR="009D5DF3" w:rsidRPr="00127BD4">
        <w:rPr>
          <w:spacing w:val="-3"/>
        </w:rPr>
        <w:t xml:space="preserve">ción de </w:t>
      </w:r>
      <w:r w:rsidR="00F31827" w:rsidRPr="00127BD4">
        <w:rPr>
          <w:spacing w:val="-3"/>
        </w:rPr>
        <w:t xml:space="preserve">la debida diligencia en materia de derechos humanos y </w:t>
      </w:r>
      <w:r w:rsidR="009D5DF3" w:rsidRPr="00127BD4">
        <w:rPr>
          <w:spacing w:val="-3"/>
        </w:rPr>
        <w:t xml:space="preserve">al </w:t>
      </w:r>
      <w:r w:rsidR="00F9060F" w:rsidRPr="00127BD4">
        <w:rPr>
          <w:spacing w:val="-3"/>
        </w:rPr>
        <w:t>cumpli</w:t>
      </w:r>
      <w:r w:rsidR="009962FA">
        <w:rPr>
          <w:spacing w:val="-3"/>
        </w:rPr>
        <w:t xml:space="preserve">miento </w:t>
      </w:r>
      <w:r w:rsidR="009D5DF3" w:rsidRPr="00127BD4">
        <w:rPr>
          <w:spacing w:val="-3"/>
        </w:rPr>
        <w:t>d</w:t>
      </w:r>
      <w:r w:rsidR="00F9060F" w:rsidRPr="00127BD4">
        <w:rPr>
          <w:spacing w:val="-3"/>
        </w:rPr>
        <w:t xml:space="preserve">el </w:t>
      </w:r>
      <w:r w:rsidR="00E557FB" w:rsidRPr="00127BD4">
        <w:rPr>
          <w:spacing w:val="-3"/>
        </w:rPr>
        <w:t>deber de respeto a los derechos humanos</w:t>
      </w:r>
      <w:r w:rsidR="00F9060F" w:rsidRPr="00127BD4">
        <w:rPr>
          <w:spacing w:val="-3"/>
        </w:rPr>
        <w:t xml:space="preserve"> que le asiste a </w:t>
      </w:r>
      <w:r w:rsidR="001545AE" w:rsidRPr="00127BD4">
        <w:rPr>
          <w:spacing w:val="-3"/>
        </w:rPr>
        <w:t xml:space="preserve">los </w:t>
      </w:r>
      <w:r w:rsidR="00F9060F" w:rsidRPr="00127BD4">
        <w:rPr>
          <w:spacing w:val="-3"/>
        </w:rPr>
        <w:t>formuladores</w:t>
      </w:r>
      <w:r w:rsidR="001545AE" w:rsidRPr="00127BD4">
        <w:rPr>
          <w:spacing w:val="-3"/>
        </w:rPr>
        <w:t xml:space="preserve"> de estos estudios</w:t>
      </w:r>
      <w:r w:rsidR="00F9060F" w:rsidRPr="00127BD4">
        <w:rPr>
          <w:spacing w:val="-3"/>
        </w:rPr>
        <w:t>.</w:t>
      </w:r>
    </w:p>
    <w:p w14:paraId="18D5BF7A" w14:textId="77777777" w:rsidR="00363761" w:rsidRDefault="00363761" w:rsidP="00D32173">
      <w:pPr>
        <w:numPr>
          <w:ilvl w:val="12"/>
          <w:numId w:val="0"/>
        </w:numPr>
        <w:tabs>
          <w:tab w:val="left" w:pos="-2268"/>
        </w:tabs>
        <w:suppressAutoHyphens/>
        <w:rPr>
          <w:spacing w:val="-3"/>
        </w:rPr>
      </w:pPr>
    </w:p>
    <w:p w14:paraId="306E7145" w14:textId="4EEF0C05" w:rsidR="00F31827" w:rsidRPr="00127BD4" w:rsidRDefault="002C533B" w:rsidP="00D32173">
      <w:pPr>
        <w:numPr>
          <w:ilvl w:val="12"/>
          <w:numId w:val="0"/>
        </w:numPr>
        <w:tabs>
          <w:tab w:val="left" w:pos="-2268"/>
        </w:tabs>
        <w:suppressAutoHyphens/>
        <w:rPr>
          <w:spacing w:val="-3"/>
        </w:rPr>
      </w:pPr>
      <w:r w:rsidRPr="00127BD4">
        <w:rPr>
          <w:spacing w:val="-3"/>
        </w:rPr>
        <w:t xml:space="preserve">En este sentido, la MGEPEA establece una serie de orientaciones que </w:t>
      </w:r>
      <w:r w:rsidR="000966F8" w:rsidRPr="00127BD4">
        <w:rPr>
          <w:spacing w:val="-3"/>
        </w:rPr>
        <w:t>permite</w:t>
      </w:r>
      <w:r w:rsidR="00081712" w:rsidRPr="00E146F7">
        <w:rPr>
          <w:spacing w:val="-3"/>
        </w:rPr>
        <w:t>n</w:t>
      </w:r>
      <w:r w:rsidR="000966F8" w:rsidRPr="00127BD4">
        <w:rPr>
          <w:spacing w:val="-3"/>
        </w:rPr>
        <w:t xml:space="preserve"> que </w:t>
      </w:r>
      <w:r w:rsidR="00466B06" w:rsidRPr="00127BD4">
        <w:rPr>
          <w:spacing w:val="-3"/>
        </w:rPr>
        <w:t xml:space="preserve">los formuladores de los estudios ambientales </w:t>
      </w:r>
      <w:r w:rsidR="009D2B4A" w:rsidRPr="00127BD4">
        <w:rPr>
          <w:spacing w:val="-3"/>
        </w:rPr>
        <w:t xml:space="preserve">reconozcan </w:t>
      </w:r>
      <w:r w:rsidR="003B33AC" w:rsidRPr="00127BD4">
        <w:rPr>
          <w:spacing w:val="-3"/>
        </w:rPr>
        <w:t>las relaciones de interdependencia ambiente-derechos humanos</w:t>
      </w:r>
      <w:r w:rsidR="00844E37" w:rsidRPr="00E146F7">
        <w:rPr>
          <w:spacing w:val="-3"/>
        </w:rPr>
        <w:t xml:space="preserve"> y</w:t>
      </w:r>
      <w:r w:rsidR="009A6736" w:rsidRPr="00127BD4">
        <w:rPr>
          <w:spacing w:val="-3"/>
        </w:rPr>
        <w:t xml:space="preserve"> </w:t>
      </w:r>
      <w:r w:rsidR="00325F1E" w:rsidRPr="00E146F7">
        <w:rPr>
          <w:spacing w:val="-3"/>
        </w:rPr>
        <w:t>que</w:t>
      </w:r>
      <w:r w:rsidR="003B33AC" w:rsidRPr="00127BD4">
        <w:rPr>
          <w:spacing w:val="-3"/>
        </w:rPr>
        <w:t xml:space="preserve"> </w:t>
      </w:r>
      <w:r w:rsidR="00B072A8" w:rsidRPr="00127BD4">
        <w:rPr>
          <w:spacing w:val="-3"/>
        </w:rPr>
        <w:t>apli</w:t>
      </w:r>
      <w:r w:rsidR="003B33AC" w:rsidRPr="00127BD4">
        <w:rPr>
          <w:spacing w:val="-3"/>
        </w:rPr>
        <w:t xml:space="preserve">quen </w:t>
      </w:r>
      <w:r w:rsidR="005E31B6" w:rsidRPr="00127BD4">
        <w:rPr>
          <w:spacing w:val="-3"/>
        </w:rPr>
        <w:t xml:space="preserve">estándares mínimos </w:t>
      </w:r>
      <w:r w:rsidR="003B33AC" w:rsidRPr="00127BD4">
        <w:rPr>
          <w:spacing w:val="-3"/>
        </w:rPr>
        <w:t>de comportamiento</w:t>
      </w:r>
      <w:r w:rsidR="00844E37" w:rsidRPr="00E146F7">
        <w:rPr>
          <w:spacing w:val="-3"/>
        </w:rPr>
        <w:t xml:space="preserve">, lo cual </w:t>
      </w:r>
      <w:r w:rsidR="00257704" w:rsidRPr="00127BD4">
        <w:rPr>
          <w:spacing w:val="-3"/>
        </w:rPr>
        <w:t xml:space="preserve">facilita </w:t>
      </w:r>
      <w:r w:rsidR="00165897" w:rsidRPr="00E146F7">
        <w:rPr>
          <w:spacing w:val="-3"/>
        </w:rPr>
        <w:t xml:space="preserve">el </w:t>
      </w:r>
      <w:r w:rsidR="002A106B" w:rsidRPr="00E146F7">
        <w:rPr>
          <w:spacing w:val="-3"/>
        </w:rPr>
        <w:t xml:space="preserve">cumplimiento de su deber </w:t>
      </w:r>
      <w:r w:rsidR="00257704" w:rsidRPr="00127BD4">
        <w:rPr>
          <w:spacing w:val="-3"/>
        </w:rPr>
        <w:t>de respeto</w:t>
      </w:r>
      <w:r w:rsidR="00165897" w:rsidRPr="00E146F7">
        <w:rPr>
          <w:spacing w:val="-3"/>
        </w:rPr>
        <w:t xml:space="preserve"> de los </w:t>
      </w:r>
      <w:r w:rsidR="002A106B" w:rsidRPr="00E146F7">
        <w:rPr>
          <w:spacing w:val="-3"/>
        </w:rPr>
        <w:t>derechos humanos</w:t>
      </w:r>
      <w:r w:rsidR="00E146F7" w:rsidRPr="00E146F7">
        <w:rPr>
          <w:spacing w:val="-3"/>
        </w:rPr>
        <w:t xml:space="preserve"> y</w:t>
      </w:r>
      <w:r w:rsidR="006F5526">
        <w:rPr>
          <w:spacing w:val="-3"/>
        </w:rPr>
        <w:t>,</w:t>
      </w:r>
      <w:r w:rsidR="00E146F7" w:rsidRPr="00E146F7">
        <w:rPr>
          <w:spacing w:val="-3"/>
        </w:rPr>
        <w:t xml:space="preserve"> en general</w:t>
      </w:r>
      <w:r w:rsidR="006F5526">
        <w:rPr>
          <w:spacing w:val="-3"/>
        </w:rPr>
        <w:t>,</w:t>
      </w:r>
      <w:r w:rsidR="00E146F7" w:rsidRPr="00E146F7">
        <w:rPr>
          <w:spacing w:val="-3"/>
        </w:rPr>
        <w:t xml:space="preserve"> evitar </w:t>
      </w:r>
      <w:r w:rsidR="006F5526">
        <w:rPr>
          <w:spacing w:val="-3"/>
        </w:rPr>
        <w:t xml:space="preserve">el desarrollo de </w:t>
      </w:r>
      <w:r w:rsidR="00E146F7" w:rsidRPr="00127BD4">
        <w:rPr>
          <w:spacing w:val="-3"/>
        </w:rPr>
        <w:t xml:space="preserve">acciones que </w:t>
      </w:r>
      <w:r w:rsidR="0096212D">
        <w:rPr>
          <w:spacing w:val="-3"/>
        </w:rPr>
        <w:t>incidan negativamente en ellos</w:t>
      </w:r>
      <w:r w:rsidR="00DD5ADE" w:rsidRPr="00127BD4">
        <w:rPr>
          <w:spacing w:val="-3"/>
        </w:rPr>
        <w:t>.</w:t>
      </w:r>
    </w:p>
    <w:p w14:paraId="62790933" w14:textId="77777777" w:rsidR="00122BEF" w:rsidRDefault="00122BEF" w:rsidP="0008705D">
      <w:pPr>
        <w:numPr>
          <w:ilvl w:val="12"/>
          <w:numId w:val="0"/>
        </w:numPr>
        <w:tabs>
          <w:tab w:val="left" w:pos="-2268"/>
        </w:tabs>
        <w:suppressAutoHyphens/>
        <w:rPr>
          <w:spacing w:val="-3"/>
        </w:rPr>
      </w:pPr>
    </w:p>
    <w:p w14:paraId="1EABB4A9" w14:textId="3C5316C5" w:rsidR="004E2393" w:rsidRDefault="00854ABF" w:rsidP="004E2393">
      <w:pPr>
        <w:numPr>
          <w:ilvl w:val="12"/>
          <w:numId w:val="0"/>
        </w:numPr>
        <w:tabs>
          <w:tab w:val="left" w:pos="-2268"/>
        </w:tabs>
        <w:suppressAutoHyphens/>
        <w:rPr>
          <w:spacing w:val="-3"/>
        </w:rPr>
      </w:pPr>
      <w:r w:rsidRPr="00127BD4">
        <w:rPr>
          <w:spacing w:val="-3"/>
        </w:rPr>
        <w:t xml:space="preserve">Las orientaciones de la MGEPEA no son contrarias </w:t>
      </w:r>
      <w:r w:rsidR="00020A29" w:rsidRPr="00127BD4">
        <w:rPr>
          <w:spacing w:val="-3"/>
        </w:rPr>
        <w:t xml:space="preserve">a buenas prácticas, recomendaciones y guías para </w:t>
      </w:r>
      <w:r w:rsidR="003A50D1" w:rsidRPr="00127BD4">
        <w:rPr>
          <w:spacing w:val="-3"/>
        </w:rPr>
        <w:t xml:space="preserve">la </w:t>
      </w:r>
      <w:r w:rsidR="002364C9" w:rsidRPr="00127BD4">
        <w:rPr>
          <w:spacing w:val="-3"/>
        </w:rPr>
        <w:t>incorpora</w:t>
      </w:r>
      <w:r w:rsidR="003A50D1" w:rsidRPr="00127BD4">
        <w:rPr>
          <w:spacing w:val="-3"/>
        </w:rPr>
        <w:t xml:space="preserve">ción de </w:t>
      </w:r>
      <w:r w:rsidR="002364C9" w:rsidRPr="00127BD4">
        <w:rPr>
          <w:spacing w:val="-3"/>
        </w:rPr>
        <w:t>los derechos humanos en la</w:t>
      </w:r>
      <w:r w:rsidR="00167310" w:rsidRPr="00127BD4">
        <w:rPr>
          <w:spacing w:val="-3"/>
        </w:rPr>
        <w:t xml:space="preserve"> evaluación de impacto ambiental o</w:t>
      </w:r>
      <w:r w:rsidR="00D738EB" w:rsidRPr="00127BD4">
        <w:rPr>
          <w:spacing w:val="-3"/>
        </w:rPr>
        <w:t>,</w:t>
      </w:r>
      <w:r w:rsidR="00167310" w:rsidRPr="00127BD4">
        <w:rPr>
          <w:spacing w:val="-3"/>
        </w:rPr>
        <w:t xml:space="preserve"> en </w:t>
      </w:r>
      <w:r w:rsidR="00D738EB" w:rsidRPr="00127BD4">
        <w:rPr>
          <w:spacing w:val="-3"/>
        </w:rPr>
        <w:t xml:space="preserve">general, en la formulación e implementación de proyectos de desarrollo. </w:t>
      </w:r>
      <w:r w:rsidR="007C6631" w:rsidRPr="00127BD4">
        <w:rPr>
          <w:spacing w:val="-3"/>
        </w:rPr>
        <w:t xml:space="preserve">De hecho, se alienta a los formuladores de estudios ambientales </w:t>
      </w:r>
      <w:r w:rsidR="00D06BA2" w:rsidRPr="00127BD4">
        <w:rPr>
          <w:spacing w:val="-3"/>
        </w:rPr>
        <w:t>a recurrir a documentos como l</w:t>
      </w:r>
      <w:r w:rsidR="004E2393" w:rsidRPr="00127BD4">
        <w:rPr>
          <w:spacing w:val="-3"/>
        </w:rPr>
        <w:t xml:space="preserve">os </w:t>
      </w:r>
      <w:r w:rsidR="00BA190C" w:rsidRPr="00127BD4">
        <w:rPr>
          <w:spacing w:val="-3"/>
        </w:rPr>
        <w:t>Principios rectores sobre las empresas y los derechos hu</w:t>
      </w:r>
      <w:r w:rsidR="00BA190C" w:rsidRPr="00D2173D">
        <w:rPr>
          <w:spacing w:val="-3"/>
        </w:rPr>
        <w:t>manos de Naciones Unidas</w:t>
      </w:r>
      <w:r w:rsidR="00E736E4" w:rsidRPr="00D2173D">
        <w:rPr>
          <w:spacing w:val="-3"/>
        </w:rPr>
        <w:t xml:space="preserve"> para </w:t>
      </w:r>
      <w:r w:rsidR="00AC3533" w:rsidRPr="00D2173D">
        <w:rPr>
          <w:spacing w:val="-3"/>
        </w:rPr>
        <w:t xml:space="preserve">el desarrollo de las actividades </w:t>
      </w:r>
      <w:r w:rsidR="00D2173D" w:rsidRPr="00D2173D">
        <w:rPr>
          <w:spacing w:val="-3"/>
        </w:rPr>
        <w:t>requeridas en la formulación de estudios ambientales.</w:t>
      </w:r>
    </w:p>
    <w:p w14:paraId="553BA9B2" w14:textId="77777777" w:rsidR="00D2173D" w:rsidRDefault="00D2173D" w:rsidP="004E2393">
      <w:pPr>
        <w:numPr>
          <w:ilvl w:val="12"/>
          <w:numId w:val="0"/>
        </w:numPr>
        <w:tabs>
          <w:tab w:val="left" w:pos="-2268"/>
        </w:tabs>
        <w:suppressAutoHyphens/>
        <w:rPr>
          <w:spacing w:val="-3"/>
          <w:highlight w:val="yellow"/>
        </w:rPr>
      </w:pPr>
    </w:p>
    <w:p w14:paraId="78BA5358" w14:textId="67A7A34B" w:rsidR="00292199" w:rsidRDefault="00814975" w:rsidP="00BD57C6">
      <w:pPr>
        <w:numPr>
          <w:ilvl w:val="12"/>
          <w:numId w:val="0"/>
        </w:numPr>
        <w:tabs>
          <w:tab w:val="left" w:pos="-2268"/>
        </w:tabs>
        <w:suppressAutoHyphens/>
        <w:rPr>
          <w:spacing w:val="-3"/>
        </w:rPr>
      </w:pPr>
      <w:r>
        <w:rPr>
          <w:spacing w:val="-3"/>
        </w:rPr>
        <w:t xml:space="preserve">De otra parte, </w:t>
      </w:r>
      <w:r w:rsidR="00771B76">
        <w:rPr>
          <w:spacing w:val="-3"/>
        </w:rPr>
        <w:t xml:space="preserve">dado </w:t>
      </w:r>
      <w:r w:rsidR="00D110C2">
        <w:rPr>
          <w:spacing w:val="-3"/>
        </w:rPr>
        <w:t xml:space="preserve">que </w:t>
      </w:r>
      <w:r w:rsidR="00810EF6">
        <w:rPr>
          <w:spacing w:val="-3"/>
        </w:rPr>
        <w:t xml:space="preserve">la información </w:t>
      </w:r>
      <w:r w:rsidR="003358C4">
        <w:rPr>
          <w:spacing w:val="-3"/>
        </w:rPr>
        <w:t xml:space="preserve">que se </w:t>
      </w:r>
      <w:r w:rsidR="008B51BC">
        <w:rPr>
          <w:spacing w:val="-3"/>
        </w:rPr>
        <w:t>presenta ante las autoridades ambientales</w:t>
      </w:r>
      <w:r w:rsidR="00D110C2">
        <w:rPr>
          <w:spacing w:val="-3"/>
        </w:rPr>
        <w:t xml:space="preserve"> </w:t>
      </w:r>
      <w:r w:rsidR="009706B1">
        <w:rPr>
          <w:spacing w:val="-3"/>
        </w:rPr>
        <w:t xml:space="preserve">es de </w:t>
      </w:r>
      <w:r w:rsidR="00D110C2">
        <w:rPr>
          <w:spacing w:val="-3"/>
        </w:rPr>
        <w:t>acceso público</w:t>
      </w:r>
      <w:r w:rsidR="00E24A8E">
        <w:rPr>
          <w:spacing w:val="-3"/>
        </w:rPr>
        <w:t>,</w:t>
      </w:r>
      <w:r w:rsidR="00C4722E">
        <w:rPr>
          <w:spacing w:val="-3"/>
        </w:rPr>
        <w:t xml:space="preserve"> </w:t>
      </w:r>
      <w:r w:rsidR="00AF0568">
        <w:rPr>
          <w:spacing w:val="-3"/>
        </w:rPr>
        <w:t xml:space="preserve">los </w:t>
      </w:r>
      <w:r w:rsidR="00FB5F99">
        <w:rPr>
          <w:spacing w:val="-3"/>
        </w:rPr>
        <w:t xml:space="preserve">DAA y EIA </w:t>
      </w:r>
      <w:r w:rsidR="00AF0568">
        <w:rPr>
          <w:spacing w:val="-3"/>
        </w:rPr>
        <w:t>formul</w:t>
      </w:r>
      <w:r w:rsidR="001C1066">
        <w:rPr>
          <w:spacing w:val="-3"/>
        </w:rPr>
        <w:t xml:space="preserve">ados </w:t>
      </w:r>
      <w:r w:rsidR="007F4614">
        <w:rPr>
          <w:spacing w:val="-3"/>
        </w:rPr>
        <w:t>aplica</w:t>
      </w:r>
      <w:r w:rsidR="00864225">
        <w:rPr>
          <w:spacing w:val="-3"/>
        </w:rPr>
        <w:t xml:space="preserve">ndo </w:t>
      </w:r>
      <w:r w:rsidR="007F4614">
        <w:rPr>
          <w:spacing w:val="-3"/>
        </w:rPr>
        <w:t>el enfoque en derechos humanos</w:t>
      </w:r>
      <w:r w:rsidR="00864225">
        <w:rPr>
          <w:spacing w:val="-3"/>
        </w:rPr>
        <w:t xml:space="preserve"> </w:t>
      </w:r>
      <w:r w:rsidR="001D5514">
        <w:rPr>
          <w:spacing w:val="-3"/>
        </w:rPr>
        <w:t>se conviert</w:t>
      </w:r>
      <w:r w:rsidR="001C1066">
        <w:rPr>
          <w:spacing w:val="-3"/>
        </w:rPr>
        <w:t>e</w:t>
      </w:r>
      <w:r w:rsidR="001D5514">
        <w:rPr>
          <w:spacing w:val="-3"/>
        </w:rPr>
        <w:t xml:space="preserve">n en </w:t>
      </w:r>
      <w:r w:rsidR="00187B52">
        <w:rPr>
          <w:spacing w:val="-3"/>
        </w:rPr>
        <w:t>instrumento</w:t>
      </w:r>
      <w:r w:rsidR="00555DE9">
        <w:rPr>
          <w:spacing w:val="-3"/>
        </w:rPr>
        <w:t>s</w:t>
      </w:r>
      <w:r w:rsidR="00187B52">
        <w:rPr>
          <w:spacing w:val="-3"/>
        </w:rPr>
        <w:t xml:space="preserve"> </w:t>
      </w:r>
      <w:r w:rsidR="00CF094A">
        <w:rPr>
          <w:spacing w:val="-3"/>
        </w:rPr>
        <w:t xml:space="preserve">que permiten </w:t>
      </w:r>
      <w:r w:rsidR="00A263ED">
        <w:rPr>
          <w:spacing w:val="-3"/>
        </w:rPr>
        <w:t>implementa</w:t>
      </w:r>
      <w:r w:rsidR="00CF094A">
        <w:rPr>
          <w:spacing w:val="-3"/>
        </w:rPr>
        <w:t xml:space="preserve">r </w:t>
      </w:r>
      <w:r w:rsidR="007D084B">
        <w:rPr>
          <w:spacing w:val="-3"/>
        </w:rPr>
        <w:t>el Acuerdo de Escazú</w:t>
      </w:r>
      <w:r w:rsidR="009706B1">
        <w:rPr>
          <w:spacing w:val="-3"/>
        </w:rPr>
        <w:t xml:space="preserve">. Lo anterior, </w:t>
      </w:r>
      <w:r w:rsidR="00251961">
        <w:rPr>
          <w:spacing w:val="-3"/>
        </w:rPr>
        <w:t xml:space="preserve">en razón a que </w:t>
      </w:r>
      <w:r w:rsidR="00BD57C6">
        <w:rPr>
          <w:spacing w:val="-3"/>
        </w:rPr>
        <w:t>facilita</w:t>
      </w:r>
      <w:r w:rsidR="009706B1">
        <w:rPr>
          <w:spacing w:val="-3"/>
        </w:rPr>
        <w:t>n</w:t>
      </w:r>
      <w:r w:rsidR="005B60CC">
        <w:rPr>
          <w:spacing w:val="-3"/>
        </w:rPr>
        <w:t xml:space="preserve"> </w:t>
      </w:r>
      <w:r w:rsidR="00BD57C6" w:rsidRPr="00292199">
        <w:rPr>
          <w:spacing w:val="-3"/>
        </w:rPr>
        <w:t xml:space="preserve">el acceso oportuno y efectivo </w:t>
      </w:r>
      <w:r w:rsidR="00BD57C6">
        <w:rPr>
          <w:spacing w:val="-3"/>
        </w:rPr>
        <w:t xml:space="preserve">a </w:t>
      </w:r>
      <w:r w:rsidR="00864225">
        <w:rPr>
          <w:spacing w:val="-3"/>
        </w:rPr>
        <w:t xml:space="preserve">información </w:t>
      </w:r>
      <w:r w:rsidR="00C46939">
        <w:rPr>
          <w:spacing w:val="-3"/>
        </w:rPr>
        <w:t xml:space="preserve">relevante para las </w:t>
      </w:r>
      <w:r w:rsidR="00440849">
        <w:rPr>
          <w:spacing w:val="-3"/>
        </w:rPr>
        <w:t>persona</w:t>
      </w:r>
      <w:r w:rsidR="00C46939">
        <w:rPr>
          <w:spacing w:val="-3"/>
        </w:rPr>
        <w:t>s</w:t>
      </w:r>
      <w:r w:rsidR="00440849">
        <w:rPr>
          <w:spacing w:val="-3"/>
        </w:rPr>
        <w:t xml:space="preserve"> o entidad</w:t>
      </w:r>
      <w:r w:rsidR="00C46939">
        <w:rPr>
          <w:spacing w:val="-3"/>
        </w:rPr>
        <w:t>es</w:t>
      </w:r>
      <w:r w:rsidR="00440849">
        <w:rPr>
          <w:spacing w:val="-3"/>
        </w:rPr>
        <w:t xml:space="preserve"> interesada</w:t>
      </w:r>
      <w:r w:rsidR="00852416">
        <w:rPr>
          <w:spacing w:val="-3"/>
        </w:rPr>
        <w:t>s</w:t>
      </w:r>
      <w:r w:rsidR="00440849">
        <w:rPr>
          <w:spacing w:val="-3"/>
        </w:rPr>
        <w:t xml:space="preserve"> </w:t>
      </w:r>
      <w:r w:rsidR="0010040D">
        <w:rPr>
          <w:spacing w:val="-3"/>
        </w:rPr>
        <w:t xml:space="preserve">en </w:t>
      </w:r>
      <w:r w:rsidR="00654C03">
        <w:rPr>
          <w:spacing w:val="-3"/>
        </w:rPr>
        <w:t>temas ambientales y</w:t>
      </w:r>
      <w:r w:rsidR="008C68AA">
        <w:rPr>
          <w:spacing w:val="-3"/>
        </w:rPr>
        <w:t xml:space="preserve"> en</w:t>
      </w:r>
      <w:r w:rsidR="00654C03">
        <w:rPr>
          <w:spacing w:val="-3"/>
        </w:rPr>
        <w:t xml:space="preserve"> </w:t>
      </w:r>
      <w:r w:rsidR="0010040D">
        <w:rPr>
          <w:spacing w:val="-3"/>
        </w:rPr>
        <w:t>la salvaguarda de los derechos humanos</w:t>
      </w:r>
      <w:r w:rsidR="00FA482B">
        <w:rPr>
          <w:spacing w:val="-3"/>
        </w:rPr>
        <w:t xml:space="preserve"> (como </w:t>
      </w:r>
      <w:r w:rsidR="0010040D">
        <w:rPr>
          <w:spacing w:val="-3"/>
        </w:rPr>
        <w:t xml:space="preserve">organizaciones sociales o entidades </w:t>
      </w:r>
      <w:r w:rsidR="00E21BF6">
        <w:rPr>
          <w:spacing w:val="-3"/>
        </w:rPr>
        <w:t>con competencia en la protección de derechos</w:t>
      </w:r>
      <w:r w:rsidR="00FA482B">
        <w:rPr>
          <w:spacing w:val="-3"/>
        </w:rPr>
        <w:t>)</w:t>
      </w:r>
      <w:r w:rsidR="00DB3269">
        <w:rPr>
          <w:spacing w:val="-3"/>
        </w:rPr>
        <w:t xml:space="preserve"> </w:t>
      </w:r>
      <w:r w:rsidR="00EB7F9A">
        <w:rPr>
          <w:spacing w:val="-3"/>
        </w:rPr>
        <w:t>y</w:t>
      </w:r>
      <w:r w:rsidR="002E3ACD">
        <w:rPr>
          <w:spacing w:val="-3"/>
        </w:rPr>
        <w:t>,</w:t>
      </w:r>
      <w:r w:rsidR="00292199" w:rsidRPr="00292199">
        <w:rPr>
          <w:spacing w:val="-3"/>
        </w:rPr>
        <w:t xml:space="preserve"> </w:t>
      </w:r>
      <w:r w:rsidR="00251961">
        <w:rPr>
          <w:spacing w:val="-3"/>
        </w:rPr>
        <w:t xml:space="preserve">a </w:t>
      </w:r>
      <w:r w:rsidR="002E3ACD">
        <w:rPr>
          <w:spacing w:val="-3"/>
        </w:rPr>
        <w:t xml:space="preserve">que </w:t>
      </w:r>
      <w:r w:rsidR="00292199" w:rsidRPr="00292199">
        <w:rPr>
          <w:spacing w:val="-3"/>
        </w:rPr>
        <w:t>prom</w:t>
      </w:r>
      <w:r w:rsidR="002E3ACD">
        <w:rPr>
          <w:spacing w:val="-3"/>
        </w:rPr>
        <w:t xml:space="preserve">ueven </w:t>
      </w:r>
      <w:r w:rsidR="00292199" w:rsidRPr="00292199">
        <w:rPr>
          <w:spacing w:val="-3"/>
        </w:rPr>
        <w:t xml:space="preserve">condiciones </w:t>
      </w:r>
      <w:r w:rsidR="00565810">
        <w:rPr>
          <w:spacing w:val="-3"/>
        </w:rPr>
        <w:t xml:space="preserve">propicias para </w:t>
      </w:r>
      <w:r w:rsidR="00292199" w:rsidRPr="00292199">
        <w:rPr>
          <w:spacing w:val="-3"/>
        </w:rPr>
        <w:t xml:space="preserve">la garantía </w:t>
      </w:r>
      <w:r w:rsidR="00A1202C">
        <w:rPr>
          <w:spacing w:val="-3"/>
        </w:rPr>
        <w:t>d</w:t>
      </w:r>
      <w:r w:rsidR="00292199" w:rsidRPr="00292199">
        <w:rPr>
          <w:spacing w:val="-3"/>
        </w:rPr>
        <w:t>el derecho fundamental a la participación.</w:t>
      </w:r>
    </w:p>
    <w:p w14:paraId="331C011D" w14:textId="77777777" w:rsidR="00292199" w:rsidRDefault="00292199" w:rsidP="0008705D">
      <w:pPr>
        <w:numPr>
          <w:ilvl w:val="12"/>
          <w:numId w:val="0"/>
        </w:numPr>
        <w:tabs>
          <w:tab w:val="left" w:pos="-2268"/>
        </w:tabs>
        <w:suppressAutoHyphens/>
        <w:rPr>
          <w:spacing w:val="-3"/>
        </w:rPr>
      </w:pPr>
    </w:p>
    <w:p w14:paraId="6A7E8EC2" w14:textId="4ECDB300" w:rsidR="00DD5ADE" w:rsidRPr="00127BD4" w:rsidRDefault="00C96795" w:rsidP="00D32173">
      <w:pPr>
        <w:numPr>
          <w:ilvl w:val="12"/>
          <w:numId w:val="0"/>
        </w:numPr>
        <w:tabs>
          <w:tab w:val="left" w:pos="-2268"/>
        </w:tabs>
        <w:suppressAutoHyphens/>
        <w:rPr>
          <w:spacing w:val="-3"/>
        </w:rPr>
      </w:pPr>
      <w:r w:rsidRPr="00127BD4">
        <w:rPr>
          <w:spacing w:val="-3"/>
        </w:rPr>
        <w:t xml:space="preserve">El enfoque en derechos humanos </w:t>
      </w:r>
      <w:r w:rsidR="000C18BA" w:rsidRPr="00127BD4">
        <w:rPr>
          <w:spacing w:val="-3"/>
        </w:rPr>
        <w:t xml:space="preserve">debe aplicarse </w:t>
      </w:r>
      <w:r w:rsidR="00AB0DDC" w:rsidRPr="00127BD4">
        <w:rPr>
          <w:spacing w:val="-3"/>
        </w:rPr>
        <w:t xml:space="preserve">durante </w:t>
      </w:r>
      <w:r w:rsidR="000C18BA" w:rsidRPr="00127BD4">
        <w:rPr>
          <w:spacing w:val="-3"/>
        </w:rPr>
        <w:t xml:space="preserve">todo </w:t>
      </w:r>
      <w:r w:rsidR="00AB0DDC" w:rsidRPr="00127BD4">
        <w:rPr>
          <w:spacing w:val="-3"/>
        </w:rPr>
        <w:t xml:space="preserve">el proceso de </w:t>
      </w:r>
      <w:r w:rsidR="00417CDE" w:rsidRPr="00127BD4">
        <w:rPr>
          <w:spacing w:val="-3"/>
        </w:rPr>
        <w:t>formulación de estudios ambientales</w:t>
      </w:r>
      <w:r w:rsidR="00DE3FBF">
        <w:rPr>
          <w:spacing w:val="-3"/>
        </w:rPr>
        <w:t>.</w:t>
      </w:r>
      <w:r w:rsidR="000C18BA" w:rsidRPr="00127BD4">
        <w:rPr>
          <w:spacing w:val="-3"/>
        </w:rPr>
        <w:t xml:space="preserve"> </w:t>
      </w:r>
      <w:r w:rsidR="00DE3FBF">
        <w:rPr>
          <w:spacing w:val="-3"/>
        </w:rPr>
        <w:t>N</w:t>
      </w:r>
      <w:r w:rsidR="00AB0DDC" w:rsidRPr="00127BD4">
        <w:rPr>
          <w:spacing w:val="-3"/>
        </w:rPr>
        <w:t xml:space="preserve">o obstante, </w:t>
      </w:r>
      <w:r w:rsidR="00DE3FBF">
        <w:rPr>
          <w:spacing w:val="-3"/>
        </w:rPr>
        <w:t xml:space="preserve">el enfoque </w:t>
      </w:r>
      <w:r w:rsidR="000C18BA" w:rsidRPr="00127BD4">
        <w:rPr>
          <w:spacing w:val="-3"/>
        </w:rPr>
        <w:t xml:space="preserve">tiene </w:t>
      </w:r>
      <w:r w:rsidR="00417CDE" w:rsidRPr="00127BD4">
        <w:rPr>
          <w:spacing w:val="-3"/>
        </w:rPr>
        <w:t xml:space="preserve">especial relevancia </w:t>
      </w:r>
      <w:r w:rsidR="00AB0DDC" w:rsidRPr="00127BD4">
        <w:rPr>
          <w:spacing w:val="-3"/>
        </w:rPr>
        <w:t xml:space="preserve">y protagonismo </w:t>
      </w:r>
      <w:r w:rsidR="00417CDE" w:rsidRPr="00127BD4">
        <w:rPr>
          <w:spacing w:val="-3"/>
        </w:rPr>
        <w:t xml:space="preserve">en el desarrollo de actividades como </w:t>
      </w:r>
      <w:r w:rsidR="007E6463" w:rsidRPr="00127BD4">
        <w:rPr>
          <w:spacing w:val="-3"/>
        </w:rPr>
        <w:t xml:space="preserve">la </w:t>
      </w:r>
      <w:r w:rsidR="003175C1">
        <w:rPr>
          <w:spacing w:val="-3"/>
        </w:rPr>
        <w:t>planeación</w:t>
      </w:r>
      <w:r w:rsidR="007E6463" w:rsidRPr="00127BD4">
        <w:rPr>
          <w:spacing w:val="-3"/>
        </w:rPr>
        <w:t xml:space="preserve"> y ejecución de los espacios de participación pública, </w:t>
      </w:r>
      <w:r w:rsidR="00B66C58" w:rsidRPr="00127BD4">
        <w:rPr>
          <w:spacing w:val="-3"/>
        </w:rPr>
        <w:t xml:space="preserve">la caracterización </w:t>
      </w:r>
      <w:r w:rsidR="00402D66">
        <w:rPr>
          <w:spacing w:val="-3"/>
        </w:rPr>
        <w:t>ambiental</w:t>
      </w:r>
      <w:r w:rsidR="001F328F" w:rsidRPr="00127BD4">
        <w:rPr>
          <w:spacing w:val="-3"/>
        </w:rPr>
        <w:t xml:space="preserve">, </w:t>
      </w:r>
      <w:r w:rsidR="000B6FA3" w:rsidRPr="00127BD4">
        <w:rPr>
          <w:spacing w:val="-3"/>
        </w:rPr>
        <w:t xml:space="preserve">la </w:t>
      </w:r>
      <w:r w:rsidR="007C57DB" w:rsidRPr="00127BD4">
        <w:rPr>
          <w:spacing w:val="-3"/>
        </w:rPr>
        <w:t xml:space="preserve">descripción </w:t>
      </w:r>
      <w:r w:rsidR="009C1E90" w:rsidRPr="00127BD4">
        <w:rPr>
          <w:spacing w:val="-3"/>
        </w:rPr>
        <w:t>del proyecto, la evaluación ambiental</w:t>
      </w:r>
      <w:r w:rsidR="002D40FE">
        <w:rPr>
          <w:spacing w:val="-3"/>
        </w:rPr>
        <w:t xml:space="preserve"> y</w:t>
      </w:r>
      <w:r w:rsidR="009C1E90" w:rsidRPr="00127BD4">
        <w:rPr>
          <w:spacing w:val="-3"/>
        </w:rPr>
        <w:t xml:space="preserve"> e</w:t>
      </w:r>
      <w:r w:rsidR="007834EB" w:rsidRPr="00127BD4">
        <w:rPr>
          <w:spacing w:val="-3"/>
        </w:rPr>
        <w:t xml:space="preserve">l </w:t>
      </w:r>
      <w:r w:rsidR="001226C8">
        <w:rPr>
          <w:spacing w:val="-3"/>
        </w:rPr>
        <w:t>p</w:t>
      </w:r>
      <w:r w:rsidR="007834EB" w:rsidRPr="00127BD4">
        <w:rPr>
          <w:spacing w:val="-3"/>
        </w:rPr>
        <w:t>lan de manejo ambiental</w:t>
      </w:r>
      <w:r w:rsidR="00A870CE" w:rsidRPr="00127BD4">
        <w:rPr>
          <w:spacing w:val="-3"/>
        </w:rPr>
        <w:t>.</w:t>
      </w:r>
    </w:p>
    <w:p w14:paraId="0A2DAD45" w14:textId="77777777" w:rsidR="00D15879" w:rsidRDefault="00D15879" w:rsidP="00D32173">
      <w:pPr>
        <w:numPr>
          <w:ilvl w:val="12"/>
          <w:numId w:val="0"/>
        </w:numPr>
        <w:tabs>
          <w:tab w:val="left" w:pos="-2268"/>
        </w:tabs>
        <w:suppressAutoHyphens/>
        <w:rPr>
          <w:spacing w:val="-3"/>
          <w:highlight w:val="yellow"/>
        </w:rPr>
      </w:pPr>
    </w:p>
    <w:p w14:paraId="7CE82EDC" w14:textId="0975FBE1" w:rsidR="00242F78" w:rsidRDefault="0018627D" w:rsidP="00242F78">
      <w:pPr>
        <w:numPr>
          <w:ilvl w:val="12"/>
          <w:numId w:val="0"/>
        </w:numPr>
        <w:tabs>
          <w:tab w:val="left" w:pos="-2268"/>
        </w:tabs>
        <w:suppressAutoHyphens/>
        <w:rPr>
          <w:rFonts w:cs="Arial"/>
          <w:color w:val="000000" w:themeColor="text1"/>
        </w:rPr>
      </w:pPr>
      <w:r>
        <w:rPr>
          <w:spacing w:val="-3"/>
        </w:rPr>
        <w:t>La</w:t>
      </w:r>
      <w:r w:rsidR="002F44B5">
        <w:rPr>
          <w:spacing w:val="-3"/>
        </w:rPr>
        <w:t xml:space="preserve"> </w:t>
      </w:r>
      <w:r w:rsidR="003175C1">
        <w:rPr>
          <w:spacing w:val="-3"/>
        </w:rPr>
        <w:t xml:space="preserve">planeación </w:t>
      </w:r>
      <w:r w:rsidR="00D54261">
        <w:rPr>
          <w:spacing w:val="-3"/>
        </w:rPr>
        <w:t xml:space="preserve">y </w:t>
      </w:r>
      <w:r w:rsidR="00BB03C6" w:rsidRPr="00D54261">
        <w:rPr>
          <w:spacing w:val="-3"/>
        </w:rPr>
        <w:t>ejecución de</w:t>
      </w:r>
      <w:r w:rsidR="00BB03C6" w:rsidRPr="00127BD4">
        <w:rPr>
          <w:b/>
          <w:bCs/>
          <w:i/>
          <w:iCs/>
          <w:spacing w:val="-3"/>
        </w:rPr>
        <w:t xml:space="preserve"> los espacios de participación pública</w:t>
      </w:r>
      <w:r w:rsidR="00BB03C6" w:rsidRPr="00BB03C6" w:rsidDel="00BB03C6">
        <w:rPr>
          <w:spacing w:val="-3"/>
        </w:rPr>
        <w:t xml:space="preserve"> </w:t>
      </w:r>
      <w:r w:rsidR="005E3CEB">
        <w:rPr>
          <w:spacing w:val="-3"/>
        </w:rPr>
        <w:t>e</w:t>
      </w:r>
      <w:r w:rsidR="00C716CA">
        <w:rPr>
          <w:spacing w:val="-3"/>
        </w:rPr>
        <w:t>s</w:t>
      </w:r>
      <w:r w:rsidR="005E3CEB">
        <w:rPr>
          <w:spacing w:val="-3"/>
        </w:rPr>
        <w:t xml:space="preserve"> una </w:t>
      </w:r>
      <w:r w:rsidR="00172001">
        <w:rPr>
          <w:spacing w:val="-3"/>
        </w:rPr>
        <w:t xml:space="preserve">actividad clave </w:t>
      </w:r>
      <w:r w:rsidR="00563D5B">
        <w:rPr>
          <w:spacing w:val="-3"/>
        </w:rPr>
        <w:t>para la aplicación del enfoque en derechos humanos</w:t>
      </w:r>
      <w:r w:rsidR="00172001">
        <w:rPr>
          <w:spacing w:val="-3"/>
        </w:rPr>
        <w:t xml:space="preserve"> en la elaboración de estudios ambientales</w:t>
      </w:r>
      <w:r w:rsidR="004715BD">
        <w:rPr>
          <w:spacing w:val="-3"/>
        </w:rPr>
        <w:t xml:space="preserve">. </w:t>
      </w:r>
      <w:r w:rsidR="002A7DD9">
        <w:rPr>
          <w:spacing w:val="-3"/>
        </w:rPr>
        <w:t>A</w:t>
      </w:r>
      <w:r w:rsidR="00AD3254">
        <w:rPr>
          <w:spacing w:val="-3"/>
        </w:rPr>
        <w:t xml:space="preserve">bordar </w:t>
      </w:r>
      <w:r w:rsidR="006D430D">
        <w:rPr>
          <w:spacing w:val="-3"/>
        </w:rPr>
        <w:t>esta actividad</w:t>
      </w:r>
      <w:r w:rsidR="009141D7">
        <w:rPr>
          <w:spacing w:val="-3"/>
        </w:rPr>
        <w:t xml:space="preserve"> </w:t>
      </w:r>
      <w:r w:rsidR="006E323D">
        <w:rPr>
          <w:spacing w:val="-3"/>
        </w:rPr>
        <w:t xml:space="preserve">formulando y </w:t>
      </w:r>
      <w:r w:rsidR="009141D7">
        <w:rPr>
          <w:spacing w:val="-3"/>
        </w:rPr>
        <w:t xml:space="preserve">adoptando </w:t>
      </w:r>
      <w:r w:rsidR="009141D7" w:rsidRPr="009141D7">
        <w:rPr>
          <w:spacing w:val="-3"/>
        </w:rPr>
        <w:t>medidas para la atención de la conflictividad</w:t>
      </w:r>
      <w:r w:rsidR="00767D33">
        <w:rPr>
          <w:spacing w:val="-3"/>
        </w:rPr>
        <w:t xml:space="preserve">, </w:t>
      </w:r>
      <w:r w:rsidR="000309E9">
        <w:rPr>
          <w:spacing w:val="-3"/>
        </w:rPr>
        <w:t xml:space="preserve">considerando </w:t>
      </w:r>
      <w:r w:rsidR="0023286E">
        <w:rPr>
          <w:spacing w:val="-3"/>
        </w:rPr>
        <w:t>las particularidades de los grupos de interés</w:t>
      </w:r>
      <w:r w:rsidR="00373B1B">
        <w:rPr>
          <w:spacing w:val="-3"/>
        </w:rPr>
        <w:t xml:space="preserve"> </w:t>
      </w:r>
      <w:r w:rsidR="00280D55">
        <w:rPr>
          <w:spacing w:val="-3"/>
        </w:rPr>
        <w:t>y</w:t>
      </w:r>
      <w:r w:rsidR="00780A49">
        <w:rPr>
          <w:spacing w:val="-3"/>
        </w:rPr>
        <w:t xml:space="preserve"> </w:t>
      </w:r>
      <w:r w:rsidR="0080558A">
        <w:rPr>
          <w:spacing w:val="-3"/>
        </w:rPr>
        <w:t xml:space="preserve">posibilitando </w:t>
      </w:r>
      <w:r w:rsidR="00780A49">
        <w:rPr>
          <w:spacing w:val="-3"/>
        </w:rPr>
        <w:t xml:space="preserve">la </w:t>
      </w:r>
      <w:r w:rsidR="0080558A">
        <w:rPr>
          <w:spacing w:val="-3"/>
        </w:rPr>
        <w:t xml:space="preserve">comunicación permanente y de doble vía para recibir, estudiar </w:t>
      </w:r>
      <w:r w:rsidR="0080558A">
        <w:rPr>
          <w:spacing w:val="-3"/>
        </w:rPr>
        <w:lastRenderedPageBreak/>
        <w:t xml:space="preserve">y </w:t>
      </w:r>
      <w:r w:rsidR="0080558A" w:rsidRPr="009B7BEF">
        <w:rPr>
          <w:rFonts w:cs="Arial"/>
          <w:color w:val="000000" w:themeColor="text1"/>
        </w:rPr>
        <w:t>considera</w:t>
      </w:r>
      <w:r w:rsidR="0080558A">
        <w:rPr>
          <w:rFonts w:cs="Arial"/>
          <w:color w:val="000000" w:themeColor="text1"/>
        </w:rPr>
        <w:t xml:space="preserve">r los </w:t>
      </w:r>
      <w:r w:rsidR="0080558A" w:rsidRPr="009B7BEF">
        <w:rPr>
          <w:rFonts w:cs="Arial"/>
          <w:color w:val="000000" w:themeColor="text1"/>
        </w:rPr>
        <w:t>aport</w:t>
      </w:r>
      <w:r w:rsidR="0080558A">
        <w:rPr>
          <w:rFonts w:cs="Arial"/>
          <w:color w:val="000000" w:themeColor="text1"/>
        </w:rPr>
        <w:t xml:space="preserve">es de </w:t>
      </w:r>
      <w:r w:rsidR="0080558A" w:rsidRPr="009B7BEF">
        <w:rPr>
          <w:rFonts w:cs="Arial"/>
          <w:color w:val="000000" w:themeColor="text1"/>
        </w:rPr>
        <w:t>los grupos de interés</w:t>
      </w:r>
      <w:r w:rsidR="00780A49">
        <w:rPr>
          <w:rFonts w:cs="Arial"/>
          <w:color w:val="000000" w:themeColor="text1"/>
        </w:rPr>
        <w:t>,</w:t>
      </w:r>
      <w:r w:rsidR="0080558A">
        <w:rPr>
          <w:spacing w:val="-3"/>
        </w:rPr>
        <w:t xml:space="preserve"> </w:t>
      </w:r>
      <w:r w:rsidR="005013AA">
        <w:rPr>
          <w:spacing w:val="-3"/>
        </w:rPr>
        <w:t xml:space="preserve">constituye </w:t>
      </w:r>
      <w:r w:rsidR="00FC5AAC">
        <w:rPr>
          <w:spacing w:val="-3"/>
        </w:rPr>
        <w:t xml:space="preserve">un </w:t>
      </w:r>
      <w:r w:rsidR="005013AA">
        <w:rPr>
          <w:spacing w:val="-3"/>
        </w:rPr>
        <w:t xml:space="preserve">mecanismo </w:t>
      </w:r>
      <w:r w:rsidR="00FC5AAC">
        <w:rPr>
          <w:spacing w:val="-3"/>
        </w:rPr>
        <w:t xml:space="preserve">importante </w:t>
      </w:r>
      <w:r w:rsidR="00A267A1">
        <w:rPr>
          <w:spacing w:val="-3"/>
        </w:rPr>
        <w:t xml:space="preserve">para </w:t>
      </w:r>
      <w:r w:rsidR="005013AA">
        <w:rPr>
          <w:spacing w:val="-3"/>
        </w:rPr>
        <w:t>materializa</w:t>
      </w:r>
      <w:r w:rsidR="00A267A1">
        <w:rPr>
          <w:spacing w:val="-3"/>
        </w:rPr>
        <w:t>r</w:t>
      </w:r>
      <w:r w:rsidR="005013AA">
        <w:rPr>
          <w:spacing w:val="-3"/>
        </w:rPr>
        <w:t xml:space="preserve"> </w:t>
      </w:r>
      <w:r w:rsidR="002929E2">
        <w:rPr>
          <w:spacing w:val="-3"/>
        </w:rPr>
        <w:t xml:space="preserve">los derechos de </w:t>
      </w:r>
      <w:r w:rsidR="005013AA">
        <w:rPr>
          <w:spacing w:val="-3"/>
        </w:rPr>
        <w:t>acceso a la información y a la participación pública</w:t>
      </w:r>
      <w:r w:rsidR="00C4345A">
        <w:rPr>
          <w:spacing w:val="-3"/>
        </w:rPr>
        <w:t xml:space="preserve">, así como </w:t>
      </w:r>
      <w:r w:rsidR="00FE40FE">
        <w:rPr>
          <w:spacing w:val="-3"/>
        </w:rPr>
        <w:t>para</w:t>
      </w:r>
      <w:r w:rsidR="00946A04">
        <w:rPr>
          <w:spacing w:val="-3"/>
        </w:rPr>
        <w:t xml:space="preserve"> aplicar la debida diligencia en materia de derechos humanos</w:t>
      </w:r>
      <w:r w:rsidR="00F91224">
        <w:rPr>
          <w:rFonts w:cs="Arial"/>
          <w:color w:val="000000" w:themeColor="text1"/>
        </w:rPr>
        <w:t>.</w:t>
      </w:r>
    </w:p>
    <w:p w14:paraId="766B4C36" w14:textId="77777777" w:rsidR="008C663B" w:rsidRDefault="008C663B" w:rsidP="00D32173">
      <w:pPr>
        <w:numPr>
          <w:ilvl w:val="12"/>
          <w:numId w:val="0"/>
        </w:numPr>
        <w:tabs>
          <w:tab w:val="left" w:pos="-2268"/>
        </w:tabs>
        <w:suppressAutoHyphens/>
        <w:rPr>
          <w:spacing w:val="-3"/>
        </w:rPr>
      </w:pPr>
    </w:p>
    <w:p w14:paraId="5158B5D8" w14:textId="0E4CA6A8" w:rsidR="005A0496" w:rsidRDefault="009D4222" w:rsidP="00D32173">
      <w:pPr>
        <w:numPr>
          <w:ilvl w:val="12"/>
          <w:numId w:val="0"/>
        </w:numPr>
        <w:tabs>
          <w:tab w:val="left" w:pos="-2268"/>
        </w:tabs>
        <w:suppressAutoHyphens/>
        <w:rPr>
          <w:spacing w:val="-3"/>
        </w:rPr>
      </w:pPr>
      <w:r>
        <w:rPr>
          <w:spacing w:val="-3"/>
        </w:rPr>
        <w:t xml:space="preserve">Asimismo, </w:t>
      </w:r>
      <w:r w:rsidR="007E6A66">
        <w:rPr>
          <w:spacing w:val="-3"/>
        </w:rPr>
        <w:t xml:space="preserve">al </w:t>
      </w:r>
      <w:r w:rsidR="002E057A">
        <w:rPr>
          <w:spacing w:val="-3"/>
        </w:rPr>
        <w:t xml:space="preserve">desarrollar </w:t>
      </w:r>
      <w:r>
        <w:rPr>
          <w:spacing w:val="-3"/>
        </w:rPr>
        <w:t xml:space="preserve">las actividades de </w:t>
      </w:r>
      <w:r w:rsidRPr="00127BD4">
        <w:rPr>
          <w:b/>
          <w:bCs/>
          <w:i/>
          <w:iCs/>
          <w:spacing w:val="-3"/>
        </w:rPr>
        <w:t>c</w:t>
      </w:r>
      <w:r w:rsidR="00BB221C" w:rsidRPr="00127BD4">
        <w:rPr>
          <w:b/>
          <w:bCs/>
          <w:i/>
          <w:iCs/>
          <w:spacing w:val="-3"/>
        </w:rPr>
        <w:t xml:space="preserve">aracterización </w:t>
      </w:r>
      <w:r w:rsidRPr="00127BD4">
        <w:rPr>
          <w:b/>
          <w:bCs/>
          <w:i/>
          <w:iCs/>
          <w:spacing w:val="-3"/>
        </w:rPr>
        <w:t>ambiental</w:t>
      </w:r>
      <w:r w:rsidR="007E6A66">
        <w:rPr>
          <w:b/>
          <w:bCs/>
          <w:i/>
          <w:iCs/>
          <w:spacing w:val="-3"/>
        </w:rPr>
        <w:t xml:space="preserve"> </w:t>
      </w:r>
      <w:r w:rsidR="002E057A">
        <w:rPr>
          <w:spacing w:val="-3"/>
        </w:rPr>
        <w:t xml:space="preserve">implementando </w:t>
      </w:r>
      <w:r w:rsidR="00252856">
        <w:rPr>
          <w:spacing w:val="-3"/>
        </w:rPr>
        <w:t xml:space="preserve">las </w:t>
      </w:r>
      <w:r w:rsidR="00252856" w:rsidRPr="00B93370">
        <w:rPr>
          <w:rFonts w:cs="Arial"/>
          <w:spacing w:val="-3"/>
        </w:rPr>
        <w:t xml:space="preserve">medidas </w:t>
      </w:r>
      <w:r w:rsidR="00881593">
        <w:rPr>
          <w:rFonts w:cs="Arial"/>
          <w:spacing w:val="-3"/>
        </w:rPr>
        <w:t xml:space="preserve">de </w:t>
      </w:r>
      <w:r w:rsidR="00252856" w:rsidRPr="004068F6">
        <w:rPr>
          <w:rFonts w:cs="Arial"/>
          <w:spacing w:val="-3"/>
        </w:rPr>
        <w:t>atención de la conflictividad</w:t>
      </w:r>
      <w:r w:rsidR="00252856">
        <w:rPr>
          <w:rFonts w:cs="Arial"/>
          <w:spacing w:val="-3"/>
        </w:rPr>
        <w:t xml:space="preserve"> </w:t>
      </w:r>
      <w:r w:rsidR="00A553DF">
        <w:rPr>
          <w:rFonts w:cs="Arial"/>
          <w:spacing w:val="-3"/>
        </w:rPr>
        <w:t xml:space="preserve">formuladas </w:t>
      </w:r>
      <w:r w:rsidR="00881593">
        <w:rPr>
          <w:rFonts w:cs="Arial"/>
          <w:spacing w:val="-3"/>
        </w:rPr>
        <w:t xml:space="preserve">en </w:t>
      </w:r>
      <w:r w:rsidR="00252856">
        <w:rPr>
          <w:rFonts w:cs="Arial"/>
          <w:spacing w:val="-3"/>
        </w:rPr>
        <w:t xml:space="preserve">el </w:t>
      </w:r>
      <w:r w:rsidR="00881593">
        <w:rPr>
          <w:rFonts w:cs="Arial"/>
          <w:spacing w:val="-3"/>
        </w:rPr>
        <w:t xml:space="preserve">marco del </w:t>
      </w:r>
      <w:r w:rsidR="00252856">
        <w:rPr>
          <w:rFonts w:cs="Arial"/>
          <w:spacing w:val="-3"/>
        </w:rPr>
        <w:t>proceso de participació</w:t>
      </w:r>
      <w:r w:rsidR="00211111">
        <w:rPr>
          <w:rFonts w:cs="Arial"/>
          <w:spacing w:val="-3"/>
        </w:rPr>
        <w:t>n</w:t>
      </w:r>
      <w:r w:rsidR="002E057A">
        <w:rPr>
          <w:rFonts w:cs="Arial"/>
          <w:spacing w:val="-3"/>
        </w:rPr>
        <w:t>, es posible</w:t>
      </w:r>
      <w:r w:rsidR="000F192C">
        <w:rPr>
          <w:spacing w:val="-3"/>
        </w:rPr>
        <w:t xml:space="preserve"> </w:t>
      </w:r>
      <w:r w:rsidR="00B45403">
        <w:rPr>
          <w:spacing w:val="-3"/>
        </w:rPr>
        <w:t xml:space="preserve">prevenir </w:t>
      </w:r>
      <w:r w:rsidR="003121C8">
        <w:rPr>
          <w:spacing w:val="-3"/>
        </w:rPr>
        <w:t xml:space="preserve">conflictos socioambientales </w:t>
      </w:r>
      <w:r w:rsidR="00875A64">
        <w:rPr>
          <w:spacing w:val="-3"/>
        </w:rPr>
        <w:t xml:space="preserve">y recabar </w:t>
      </w:r>
      <w:r w:rsidR="00211111">
        <w:rPr>
          <w:spacing w:val="-3"/>
        </w:rPr>
        <w:t xml:space="preserve">entre otra </w:t>
      </w:r>
      <w:r w:rsidR="00B12FB0">
        <w:rPr>
          <w:spacing w:val="-3"/>
        </w:rPr>
        <w:t>información</w:t>
      </w:r>
      <w:r w:rsidR="00211111">
        <w:rPr>
          <w:spacing w:val="-3"/>
        </w:rPr>
        <w:t>,</w:t>
      </w:r>
      <w:r w:rsidR="00B12FB0">
        <w:rPr>
          <w:spacing w:val="-3"/>
        </w:rPr>
        <w:t xml:space="preserve"> </w:t>
      </w:r>
      <w:r w:rsidR="00211111">
        <w:rPr>
          <w:spacing w:val="-3"/>
        </w:rPr>
        <w:t xml:space="preserve">aquella referida a </w:t>
      </w:r>
      <w:r w:rsidR="00B12FB0">
        <w:rPr>
          <w:spacing w:val="-3"/>
        </w:rPr>
        <w:t xml:space="preserve">los </w:t>
      </w:r>
      <w:r w:rsidR="0033738F" w:rsidRPr="00984F7B">
        <w:rPr>
          <w:spacing w:val="-3"/>
        </w:rPr>
        <w:t>contextos de riesgo para la participación en asuntos ambientales</w:t>
      </w:r>
      <w:r w:rsidR="00C706D1">
        <w:rPr>
          <w:spacing w:val="-3"/>
        </w:rPr>
        <w:t xml:space="preserve"> (a partir de información oficial)</w:t>
      </w:r>
      <w:r w:rsidR="00875314">
        <w:rPr>
          <w:spacing w:val="-3"/>
        </w:rPr>
        <w:t xml:space="preserve">, </w:t>
      </w:r>
      <w:r w:rsidR="0099110B">
        <w:rPr>
          <w:spacing w:val="-3"/>
        </w:rPr>
        <w:t xml:space="preserve">a </w:t>
      </w:r>
      <w:r w:rsidR="008C42A6" w:rsidRPr="004068F6">
        <w:rPr>
          <w:spacing w:val="-3"/>
        </w:rPr>
        <w:t>los titulares de derechos que podrían verse en riesgo y/o vulneración por los impactos ambientes del proyecto</w:t>
      </w:r>
      <w:r w:rsidR="00981D89">
        <w:rPr>
          <w:spacing w:val="-3"/>
        </w:rPr>
        <w:t xml:space="preserve">, a </w:t>
      </w:r>
      <w:r w:rsidR="003D4443">
        <w:rPr>
          <w:spacing w:val="-3"/>
        </w:rPr>
        <w:t xml:space="preserve">las </w:t>
      </w:r>
      <w:r w:rsidR="00B528D2">
        <w:rPr>
          <w:spacing w:val="-3"/>
        </w:rPr>
        <w:t xml:space="preserve">situaciones y dinámicas territoriales </w:t>
      </w:r>
      <w:r w:rsidR="00981D89" w:rsidRPr="00981D89">
        <w:rPr>
          <w:spacing w:val="-3"/>
        </w:rPr>
        <w:t>que pueden incidir en los derechos humanos</w:t>
      </w:r>
      <w:r w:rsidR="0099110B">
        <w:rPr>
          <w:spacing w:val="-3"/>
        </w:rPr>
        <w:t xml:space="preserve"> y</w:t>
      </w:r>
      <w:r w:rsidR="007B4AAC">
        <w:rPr>
          <w:spacing w:val="-3"/>
        </w:rPr>
        <w:t xml:space="preserve">, </w:t>
      </w:r>
      <w:r w:rsidR="0099110B">
        <w:rPr>
          <w:spacing w:val="-3"/>
        </w:rPr>
        <w:t xml:space="preserve">a </w:t>
      </w:r>
      <w:r w:rsidR="004A1336">
        <w:rPr>
          <w:spacing w:val="-3"/>
        </w:rPr>
        <w:t xml:space="preserve">las </w:t>
      </w:r>
      <w:r w:rsidR="007B4AAC">
        <w:rPr>
          <w:spacing w:val="-3"/>
        </w:rPr>
        <w:t>o</w:t>
      </w:r>
      <w:r w:rsidR="007B4AAC" w:rsidRPr="004068F6">
        <w:rPr>
          <w:spacing w:val="-3"/>
        </w:rPr>
        <w:t xml:space="preserve">rganizaciones </w:t>
      </w:r>
      <w:r w:rsidR="007B4AAC" w:rsidRPr="004068F6">
        <w:t>de derechos humanos</w:t>
      </w:r>
      <w:r w:rsidR="007B4AAC" w:rsidRPr="004068F6">
        <w:rPr>
          <w:spacing w:val="-3"/>
        </w:rPr>
        <w:t xml:space="preserve"> y </w:t>
      </w:r>
      <w:r w:rsidR="007B4AAC" w:rsidRPr="00127BD4">
        <w:t>comunitarias</w:t>
      </w:r>
      <w:r w:rsidR="004A1336" w:rsidRPr="00127BD4">
        <w:t>.</w:t>
      </w:r>
      <w:r w:rsidR="00802F9E">
        <w:t xml:space="preserve"> </w:t>
      </w:r>
      <w:r w:rsidR="00375CA7">
        <w:t>Adicionalmente, l</w:t>
      </w:r>
      <w:r w:rsidR="00495BE1">
        <w:t xml:space="preserve">a caracterización </w:t>
      </w:r>
      <w:r w:rsidR="00D77D20">
        <w:t>ambiental</w:t>
      </w:r>
      <w:r w:rsidR="00495BE1">
        <w:t xml:space="preserve"> permite </w:t>
      </w:r>
      <w:r w:rsidR="00E07BFB">
        <w:t xml:space="preserve">hacer evidente </w:t>
      </w:r>
      <w:r w:rsidR="00E54822">
        <w:t>para el área objeto de estudio</w:t>
      </w:r>
      <w:r w:rsidR="001C61B4">
        <w:t>,</w:t>
      </w:r>
      <w:r w:rsidR="00E54822">
        <w:t xml:space="preserve"> </w:t>
      </w:r>
      <w:r w:rsidR="0088689B">
        <w:t xml:space="preserve">cuáles son las </w:t>
      </w:r>
      <w:r w:rsidR="00E07BFB">
        <w:t>relaci</w:t>
      </w:r>
      <w:r w:rsidR="0088689B">
        <w:t xml:space="preserve">ones específicas </w:t>
      </w:r>
      <w:r w:rsidR="00E07BFB">
        <w:t xml:space="preserve">entre </w:t>
      </w:r>
      <w:r w:rsidR="00D02CCA">
        <w:t xml:space="preserve">las condiciones </w:t>
      </w:r>
      <w:r w:rsidR="00773888">
        <w:t xml:space="preserve">ambientales </w:t>
      </w:r>
      <w:r w:rsidR="00D02CCA">
        <w:t xml:space="preserve">y los derechos conexos </w:t>
      </w:r>
      <w:r w:rsidR="00434498">
        <w:t xml:space="preserve">al </w:t>
      </w:r>
      <w:r w:rsidR="00434498" w:rsidRPr="00434498">
        <w:t>derecho a un ambiente limpio, saludable y sostenible</w:t>
      </w:r>
      <w:r w:rsidR="00A010A5">
        <w:t xml:space="preserve"> </w:t>
      </w:r>
      <w:r w:rsidR="00D47D7C">
        <w:t>a través de</w:t>
      </w:r>
      <w:r w:rsidR="00E54822">
        <w:t xml:space="preserve"> la evaluación de</w:t>
      </w:r>
      <w:r w:rsidR="00D47D7C">
        <w:t xml:space="preserve"> los servicios ecosistémicos</w:t>
      </w:r>
      <w:r w:rsidR="00090906">
        <w:t>.</w:t>
      </w:r>
    </w:p>
    <w:p w14:paraId="0AA5B7C5" w14:textId="77777777" w:rsidR="00666C0B" w:rsidRDefault="00666C0B" w:rsidP="00D32173">
      <w:pPr>
        <w:numPr>
          <w:ilvl w:val="12"/>
          <w:numId w:val="0"/>
        </w:numPr>
        <w:tabs>
          <w:tab w:val="left" w:pos="-2268"/>
        </w:tabs>
        <w:suppressAutoHyphens/>
        <w:rPr>
          <w:spacing w:val="-3"/>
        </w:rPr>
      </w:pPr>
    </w:p>
    <w:p w14:paraId="304CF2DA" w14:textId="5245FD0A" w:rsidR="00D32173" w:rsidRDefault="00C02294" w:rsidP="00D32173">
      <w:pPr>
        <w:numPr>
          <w:ilvl w:val="12"/>
          <w:numId w:val="0"/>
        </w:numPr>
        <w:tabs>
          <w:tab w:val="left" w:pos="-2268"/>
        </w:tabs>
        <w:suppressAutoHyphens/>
        <w:rPr>
          <w:spacing w:val="-3"/>
          <w:lang w:val="es-ES_tradnl"/>
        </w:rPr>
      </w:pPr>
      <w:r>
        <w:rPr>
          <w:spacing w:val="-3"/>
        </w:rPr>
        <w:t xml:space="preserve">En la </w:t>
      </w:r>
      <w:r w:rsidRPr="00127BD4">
        <w:rPr>
          <w:b/>
          <w:bCs/>
          <w:i/>
          <w:iCs/>
          <w:spacing w:val="-3"/>
        </w:rPr>
        <w:t>d</w:t>
      </w:r>
      <w:r w:rsidR="00666C0B" w:rsidRPr="00127BD4">
        <w:rPr>
          <w:b/>
          <w:bCs/>
          <w:i/>
          <w:iCs/>
          <w:spacing w:val="-3"/>
        </w:rPr>
        <w:t>escripción del proyecto</w:t>
      </w:r>
      <w:r w:rsidR="00666C0B">
        <w:rPr>
          <w:spacing w:val="-3"/>
        </w:rPr>
        <w:t xml:space="preserve"> </w:t>
      </w:r>
      <w:r>
        <w:rPr>
          <w:spacing w:val="-3"/>
        </w:rPr>
        <w:t xml:space="preserve">de los </w:t>
      </w:r>
      <w:r w:rsidR="00666C0B">
        <w:rPr>
          <w:spacing w:val="-3"/>
        </w:rPr>
        <w:t>EIA</w:t>
      </w:r>
      <w:r>
        <w:rPr>
          <w:spacing w:val="-3"/>
        </w:rPr>
        <w:t>,</w:t>
      </w:r>
      <w:r w:rsidR="00666C0B">
        <w:rPr>
          <w:spacing w:val="-3"/>
        </w:rPr>
        <w:t xml:space="preserve"> </w:t>
      </w:r>
      <w:r w:rsidR="00603286">
        <w:rPr>
          <w:spacing w:val="-3"/>
        </w:rPr>
        <w:t xml:space="preserve">el enfoque de derechos humanos </w:t>
      </w:r>
      <w:r w:rsidR="00576131">
        <w:rPr>
          <w:spacing w:val="-3"/>
        </w:rPr>
        <w:t xml:space="preserve">se implementa </w:t>
      </w:r>
      <w:r w:rsidR="002D4A32">
        <w:rPr>
          <w:spacing w:val="-3"/>
        </w:rPr>
        <w:t xml:space="preserve">señalando cómo las características </w:t>
      </w:r>
      <w:r w:rsidR="00FC4C8D">
        <w:rPr>
          <w:spacing w:val="-3"/>
        </w:rPr>
        <w:t xml:space="preserve">de diseño, tecnología y localización </w:t>
      </w:r>
      <w:r w:rsidR="002D4A32">
        <w:rPr>
          <w:spacing w:val="-3"/>
        </w:rPr>
        <w:t>del proyecto</w:t>
      </w:r>
      <w:r w:rsidR="00242093">
        <w:rPr>
          <w:spacing w:val="-3"/>
        </w:rPr>
        <w:t>, a la vez que permiten su objetivo económico y productivo,</w:t>
      </w:r>
      <w:r w:rsidR="002D4A32">
        <w:rPr>
          <w:spacing w:val="-3"/>
        </w:rPr>
        <w:t xml:space="preserve"> </w:t>
      </w:r>
      <w:r w:rsidR="005E77EE">
        <w:rPr>
          <w:spacing w:val="-3"/>
        </w:rPr>
        <w:t>consider</w:t>
      </w:r>
      <w:r w:rsidR="009C7FCE">
        <w:rPr>
          <w:spacing w:val="-3"/>
        </w:rPr>
        <w:t xml:space="preserve">aron </w:t>
      </w:r>
      <w:r w:rsidR="00497ACD">
        <w:rPr>
          <w:spacing w:val="-3"/>
        </w:rPr>
        <w:t>opciones</w:t>
      </w:r>
      <w:r w:rsidR="00FC4C8D">
        <w:rPr>
          <w:spacing w:val="-3"/>
        </w:rPr>
        <w:t xml:space="preserve"> que </w:t>
      </w:r>
      <w:r w:rsidR="005B32CF" w:rsidRPr="005B32CF">
        <w:rPr>
          <w:spacing w:val="-3"/>
          <w:lang w:val="es-ES_tradnl"/>
        </w:rPr>
        <w:t>previene</w:t>
      </w:r>
      <w:r w:rsidR="002C3DC8">
        <w:rPr>
          <w:spacing w:val="-3"/>
          <w:lang w:val="es-ES_tradnl"/>
        </w:rPr>
        <w:t>n</w:t>
      </w:r>
      <w:r w:rsidR="005B32CF" w:rsidRPr="005B32CF">
        <w:rPr>
          <w:spacing w:val="-3"/>
          <w:lang w:val="es-ES_tradnl"/>
        </w:rPr>
        <w:t xml:space="preserve"> </w:t>
      </w:r>
      <w:r w:rsidR="00E041E4">
        <w:rPr>
          <w:spacing w:val="-3"/>
          <w:lang w:val="es-ES_tradnl"/>
        </w:rPr>
        <w:t xml:space="preserve">que los </w:t>
      </w:r>
      <w:r w:rsidR="00E041E4" w:rsidRPr="005B32CF">
        <w:rPr>
          <w:spacing w:val="-3"/>
          <w:lang w:val="es-ES_tradnl"/>
        </w:rPr>
        <w:t xml:space="preserve">impactos </w:t>
      </w:r>
      <w:r w:rsidR="00EF0788">
        <w:rPr>
          <w:spacing w:val="-3"/>
          <w:lang w:val="es-ES_tradnl"/>
        </w:rPr>
        <w:t xml:space="preserve">a los </w:t>
      </w:r>
      <w:r w:rsidR="00E041E4">
        <w:rPr>
          <w:spacing w:val="-3"/>
          <w:lang w:val="es-ES_tradnl"/>
        </w:rPr>
        <w:t xml:space="preserve">servicios ecosistémicos </w:t>
      </w:r>
      <w:r w:rsidR="00F315E3">
        <w:rPr>
          <w:spacing w:val="-3"/>
          <w:lang w:val="es-ES_tradnl"/>
        </w:rPr>
        <w:t>incid</w:t>
      </w:r>
      <w:r w:rsidR="00A035FA">
        <w:rPr>
          <w:spacing w:val="-3"/>
          <w:lang w:val="es-ES_tradnl"/>
        </w:rPr>
        <w:t>a</w:t>
      </w:r>
      <w:r w:rsidR="00F315E3">
        <w:rPr>
          <w:spacing w:val="-3"/>
          <w:lang w:val="es-ES_tradnl"/>
        </w:rPr>
        <w:t xml:space="preserve">n </w:t>
      </w:r>
      <w:r w:rsidR="007751BE">
        <w:rPr>
          <w:spacing w:val="-3"/>
          <w:lang w:val="es-ES_tradnl"/>
        </w:rPr>
        <w:t xml:space="preserve">negativamente </w:t>
      </w:r>
      <w:r w:rsidR="00550FC6">
        <w:rPr>
          <w:spacing w:val="-3"/>
          <w:lang w:val="es-ES_tradnl"/>
        </w:rPr>
        <w:t xml:space="preserve">en </w:t>
      </w:r>
      <w:r w:rsidR="005B32CF" w:rsidRPr="005B32CF">
        <w:rPr>
          <w:spacing w:val="-3"/>
          <w:lang w:val="es-ES_tradnl"/>
        </w:rPr>
        <w:t>los derechos humanos.</w:t>
      </w:r>
    </w:p>
    <w:p w14:paraId="18CC991C" w14:textId="77777777" w:rsidR="005B32CF" w:rsidRPr="00127BD4" w:rsidRDefault="005B32CF" w:rsidP="00D32173">
      <w:pPr>
        <w:numPr>
          <w:ilvl w:val="12"/>
          <w:numId w:val="0"/>
        </w:numPr>
        <w:tabs>
          <w:tab w:val="left" w:pos="-2268"/>
        </w:tabs>
        <w:suppressAutoHyphens/>
        <w:rPr>
          <w:spacing w:val="-3"/>
          <w:lang w:val="es-ES_tradnl"/>
        </w:rPr>
      </w:pPr>
    </w:p>
    <w:p w14:paraId="652617D0" w14:textId="60CBBCB6" w:rsidR="00990FF9" w:rsidRDefault="00820A1E">
      <w:pPr>
        <w:numPr>
          <w:ilvl w:val="12"/>
          <w:numId w:val="0"/>
        </w:numPr>
        <w:tabs>
          <w:tab w:val="left" w:pos="-2268"/>
        </w:tabs>
        <w:suppressAutoHyphens/>
        <w:rPr>
          <w:spacing w:val="-3"/>
        </w:rPr>
      </w:pPr>
      <w:r>
        <w:rPr>
          <w:spacing w:val="-3"/>
        </w:rPr>
        <w:t>Por otra parte, l</w:t>
      </w:r>
      <w:r w:rsidR="001A327A">
        <w:rPr>
          <w:spacing w:val="-3"/>
        </w:rPr>
        <w:t xml:space="preserve">a relación de </w:t>
      </w:r>
      <w:r w:rsidR="0086135B">
        <w:rPr>
          <w:spacing w:val="-3"/>
        </w:rPr>
        <w:t xml:space="preserve">causalidad entre impactos ambientales </w:t>
      </w:r>
      <w:r w:rsidR="00301912">
        <w:rPr>
          <w:spacing w:val="-3"/>
        </w:rPr>
        <w:t xml:space="preserve">e incidencia </w:t>
      </w:r>
      <w:r w:rsidR="00402B6E">
        <w:rPr>
          <w:spacing w:val="-3"/>
        </w:rPr>
        <w:t xml:space="preserve">en </w:t>
      </w:r>
      <w:r w:rsidR="0086135B">
        <w:rPr>
          <w:spacing w:val="-3"/>
        </w:rPr>
        <w:t xml:space="preserve">derechos humanos se </w:t>
      </w:r>
      <w:r w:rsidR="008C59A2">
        <w:rPr>
          <w:spacing w:val="-3"/>
        </w:rPr>
        <w:t xml:space="preserve">emplea </w:t>
      </w:r>
      <w:r w:rsidR="00541CA3">
        <w:rPr>
          <w:spacing w:val="-3"/>
        </w:rPr>
        <w:t xml:space="preserve">para </w:t>
      </w:r>
      <w:r w:rsidR="003162AC">
        <w:rPr>
          <w:spacing w:val="-3"/>
        </w:rPr>
        <w:t>desarrollar</w:t>
      </w:r>
      <w:r w:rsidR="00541CA3">
        <w:rPr>
          <w:spacing w:val="-3"/>
        </w:rPr>
        <w:t xml:space="preserve"> </w:t>
      </w:r>
      <w:r w:rsidR="002F0A02">
        <w:rPr>
          <w:spacing w:val="-3"/>
        </w:rPr>
        <w:t xml:space="preserve">la </w:t>
      </w:r>
      <w:r w:rsidR="002F0A02" w:rsidRPr="00127BD4">
        <w:rPr>
          <w:b/>
          <w:bCs/>
          <w:i/>
          <w:iCs/>
          <w:spacing w:val="-3"/>
        </w:rPr>
        <w:t>e</w:t>
      </w:r>
      <w:r w:rsidR="00A970B1" w:rsidRPr="00127BD4">
        <w:rPr>
          <w:b/>
          <w:bCs/>
          <w:i/>
          <w:iCs/>
          <w:spacing w:val="-3"/>
        </w:rPr>
        <w:t>valuación ambiental</w:t>
      </w:r>
      <w:r w:rsidR="00554957">
        <w:rPr>
          <w:spacing w:val="-3"/>
        </w:rPr>
        <w:t>.</w:t>
      </w:r>
      <w:r w:rsidR="00A970B1">
        <w:rPr>
          <w:spacing w:val="-3"/>
        </w:rPr>
        <w:t xml:space="preserve"> </w:t>
      </w:r>
      <w:r w:rsidR="003C08F1">
        <w:rPr>
          <w:spacing w:val="-3"/>
        </w:rPr>
        <w:t xml:space="preserve">Así, </w:t>
      </w:r>
      <w:r w:rsidR="00E66FA9">
        <w:rPr>
          <w:spacing w:val="-3"/>
        </w:rPr>
        <w:t>con el fin de evaluar los impactos</w:t>
      </w:r>
      <w:r w:rsidR="00BE010A">
        <w:rPr>
          <w:spacing w:val="-3"/>
        </w:rPr>
        <w:t xml:space="preserve"> que generaría la ejecución del proyecto</w:t>
      </w:r>
      <w:r w:rsidR="00E66FA9">
        <w:rPr>
          <w:spacing w:val="-3"/>
        </w:rPr>
        <w:t xml:space="preserve">, </w:t>
      </w:r>
      <w:r w:rsidR="002F0A02">
        <w:rPr>
          <w:spacing w:val="-3"/>
        </w:rPr>
        <w:t xml:space="preserve">es necesario </w:t>
      </w:r>
      <w:r w:rsidR="0040576B">
        <w:rPr>
          <w:spacing w:val="-3"/>
        </w:rPr>
        <w:t xml:space="preserve">prever </w:t>
      </w:r>
      <w:r w:rsidR="00AA1D28">
        <w:rPr>
          <w:spacing w:val="-3"/>
        </w:rPr>
        <w:t xml:space="preserve">cómo estas alteraciones ambientales </w:t>
      </w:r>
      <w:r w:rsidR="0040576B">
        <w:rPr>
          <w:spacing w:val="-3"/>
        </w:rPr>
        <w:t xml:space="preserve">inciden </w:t>
      </w:r>
      <w:r w:rsidR="003162AC">
        <w:rPr>
          <w:spacing w:val="-3"/>
        </w:rPr>
        <w:t xml:space="preserve">sobre los </w:t>
      </w:r>
      <w:r w:rsidR="006F1B72">
        <w:rPr>
          <w:spacing w:val="-3"/>
        </w:rPr>
        <w:t xml:space="preserve">derechos humanos conexos al derecho </w:t>
      </w:r>
      <w:r w:rsidR="00EC0D45" w:rsidRPr="00434498">
        <w:t>a un ambiente limpio, saludable y sostenible</w:t>
      </w:r>
      <w:r w:rsidR="00A32BCB">
        <w:rPr>
          <w:spacing w:val="-3"/>
        </w:rPr>
        <w:t>, considerando entre otros insumos</w:t>
      </w:r>
      <w:r w:rsidR="006F5968">
        <w:rPr>
          <w:spacing w:val="-3"/>
        </w:rPr>
        <w:t>,</w:t>
      </w:r>
      <w:r w:rsidR="00A32BCB">
        <w:rPr>
          <w:spacing w:val="-3"/>
        </w:rPr>
        <w:t xml:space="preserve"> </w:t>
      </w:r>
      <w:r w:rsidR="00A32BCB">
        <w:rPr>
          <w:rFonts w:cs="Arial"/>
          <w:color w:val="000000" w:themeColor="text1"/>
        </w:rPr>
        <w:t>la</w:t>
      </w:r>
      <w:r w:rsidR="00B93FC7">
        <w:rPr>
          <w:rFonts w:cs="Arial"/>
          <w:color w:val="000000" w:themeColor="text1"/>
        </w:rPr>
        <w:t>s</w:t>
      </w:r>
      <w:r w:rsidR="00A32BCB">
        <w:rPr>
          <w:rFonts w:cs="Arial"/>
          <w:color w:val="000000" w:themeColor="text1"/>
        </w:rPr>
        <w:t xml:space="preserve"> </w:t>
      </w:r>
      <w:r w:rsidR="00990FF9">
        <w:t>r</w:t>
      </w:r>
      <w:r w:rsidR="00990FF9">
        <w:rPr>
          <w:spacing w:val="-3"/>
        </w:rPr>
        <w:t>elaci</w:t>
      </w:r>
      <w:r w:rsidR="00B93FC7">
        <w:rPr>
          <w:spacing w:val="-3"/>
        </w:rPr>
        <w:t xml:space="preserve">ones de </w:t>
      </w:r>
      <w:r w:rsidR="00A32BCB">
        <w:rPr>
          <w:spacing w:val="-3"/>
        </w:rPr>
        <w:t xml:space="preserve">dependencia </w:t>
      </w:r>
      <w:r w:rsidR="000203E9">
        <w:rPr>
          <w:spacing w:val="-3"/>
        </w:rPr>
        <w:t xml:space="preserve">de personas y comunidades </w:t>
      </w:r>
      <w:r w:rsidR="00A32BCB">
        <w:rPr>
          <w:spacing w:val="-3"/>
        </w:rPr>
        <w:t xml:space="preserve">a </w:t>
      </w:r>
      <w:r w:rsidR="00990FF9">
        <w:rPr>
          <w:spacing w:val="-3"/>
        </w:rPr>
        <w:t>los servicios ecosistémicos</w:t>
      </w:r>
      <w:r w:rsidR="00BE6B0C">
        <w:rPr>
          <w:spacing w:val="-3"/>
        </w:rPr>
        <w:t>.</w:t>
      </w:r>
    </w:p>
    <w:p w14:paraId="71938206" w14:textId="77777777" w:rsidR="00A970B1" w:rsidRDefault="00A970B1" w:rsidP="00D32173">
      <w:pPr>
        <w:numPr>
          <w:ilvl w:val="12"/>
          <w:numId w:val="0"/>
        </w:numPr>
        <w:tabs>
          <w:tab w:val="left" w:pos="-2268"/>
        </w:tabs>
        <w:suppressAutoHyphens/>
        <w:rPr>
          <w:spacing w:val="-3"/>
        </w:rPr>
      </w:pPr>
    </w:p>
    <w:p w14:paraId="5AF0150E" w14:textId="55502CF1" w:rsidR="00F40B20" w:rsidRDefault="00EC7C6C" w:rsidP="00F40B20">
      <w:pPr>
        <w:numPr>
          <w:ilvl w:val="12"/>
          <w:numId w:val="0"/>
        </w:numPr>
        <w:tabs>
          <w:tab w:val="left" w:pos="-2268"/>
        </w:tabs>
        <w:suppressAutoHyphens/>
        <w:rPr>
          <w:spacing w:val="-3"/>
        </w:rPr>
      </w:pPr>
      <w:r>
        <w:rPr>
          <w:spacing w:val="-3"/>
        </w:rPr>
        <w:t>L</w:t>
      </w:r>
      <w:r w:rsidR="00FB4DBF">
        <w:rPr>
          <w:spacing w:val="-3"/>
        </w:rPr>
        <w:t xml:space="preserve">a formulación del </w:t>
      </w:r>
      <w:r w:rsidR="00FB4DBF" w:rsidRPr="00127BD4">
        <w:rPr>
          <w:b/>
          <w:bCs/>
          <w:i/>
          <w:iCs/>
          <w:spacing w:val="-3"/>
        </w:rPr>
        <w:t>Plan de manejo ambiental</w:t>
      </w:r>
      <w:r w:rsidR="00FB4DBF">
        <w:rPr>
          <w:spacing w:val="-3"/>
        </w:rPr>
        <w:t xml:space="preserve"> </w:t>
      </w:r>
      <w:r w:rsidR="00F40B20">
        <w:rPr>
          <w:spacing w:val="-3"/>
        </w:rPr>
        <w:t>contribu</w:t>
      </w:r>
      <w:r w:rsidR="001A399A">
        <w:rPr>
          <w:spacing w:val="-3"/>
        </w:rPr>
        <w:t xml:space="preserve">ye </w:t>
      </w:r>
      <w:r w:rsidR="00F40B20">
        <w:rPr>
          <w:spacing w:val="-3"/>
        </w:rPr>
        <w:t xml:space="preserve">y </w:t>
      </w:r>
      <w:r w:rsidR="006157F9">
        <w:rPr>
          <w:spacing w:val="-3"/>
        </w:rPr>
        <w:t>ref</w:t>
      </w:r>
      <w:r w:rsidR="001A399A">
        <w:rPr>
          <w:spacing w:val="-3"/>
        </w:rPr>
        <w:t>uerza</w:t>
      </w:r>
      <w:r w:rsidR="00F40B20">
        <w:rPr>
          <w:spacing w:val="-3"/>
        </w:rPr>
        <w:t xml:space="preserve">, </w:t>
      </w:r>
      <w:r w:rsidR="006157F9">
        <w:rPr>
          <w:spacing w:val="-3"/>
        </w:rPr>
        <w:t xml:space="preserve">desde la responsabilidad de los </w:t>
      </w:r>
      <w:r w:rsidR="00C019FF">
        <w:rPr>
          <w:spacing w:val="-3"/>
        </w:rPr>
        <w:t xml:space="preserve">titulares de las licencias ambientales (en caso de que </w:t>
      </w:r>
      <w:r w:rsidR="009D6B98">
        <w:rPr>
          <w:spacing w:val="-3"/>
        </w:rPr>
        <w:t>obtengan esta autorización</w:t>
      </w:r>
      <w:r w:rsidR="00C019FF">
        <w:rPr>
          <w:spacing w:val="-3"/>
        </w:rPr>
        <w:t>)</w:t>
      </w:r>
      <w:r w:rsidR="00197BA9">
        <w:rPr>
          <w:spacing w:val="-3"/>
        </w:rPr>
        <w:t xml:space="preserve">, </w:t>
      </w:r>
      <w:r w:rsidR="00C019FF">
        <w:rPr>
          <w:spacing w:val="-3"/>
        </w:rPr>
        <w:t xml:space="preserve">la </w:t>
      </w:r>
      <w:r w:rsidR="003E03D1">
        <w:rPr>
          <w:spacing w:val="-3"/>
        </w:rPr>
        <w:t>protección</w:t>
      </w:r>
      <w:r w:rsidR="00C01C59">
        <w:rPr>
          <w:spacing w:val="-3"/>
        </w:rPr>
        <w:t xml:space="preserve"> </w:t>
      </w:r>
      <w:r w:rsidR="00BE6C61">
        <w:rPr>
          <w:spacing w:val="-3"/>
        </w:rPr>
        <w:t xml:space="preserve">que </w:t>
      </w:r>
      <w:r w:rsidR="00D47722">
        <w:rPr>
          <w:spacing w:val="-3"/>
        </w:rPr>
        <w:t xml:space="preserve">el Estado </w:t>
      </w:r>
      <w:r w:rsidR="00BE6C61">
        <w:rPr>
          <w:spacing w:val="-3"/>
        </w:rPr>
        <w:t xml:space="preserve">ejerce sobre </w:t>
      </w:r>
      <w:r w:rsidR="00C01C59">
        <w:rPr>
          <w:spacing w:val="-3"/>
        </w:rPr>
        <w:t xml:space="preserve">los derechos humanos conexos al derecho humano </w:t>
      </w:r>
      <w:r w:rsidR="005373E4" w:rsidRPr="00434498">
        <w:t>a un ambiente limpio, saludable y sostenible</w:t>
      </w:r>
      <w:r w:rsidR="00C01C59">
        <w:rPr>
          <w:spacing w:val="-3"/>
        </w:rPr>
        <w:t>.</w:t>
      </w:r>
      <w:r w:rsidR="00D515DB">
        <w:rPr>
          <w:spacing w:val="-3"/>
        </w:rPr>
        <w:t xml:space="preserve"> </w:t>
      </w:r>
      <w:r w:rsidR="00206FA7">
        <w:rPr>
          <w:spacing w:val="-3"/>
        </w:rPr>
        <w:t>Así</w:t>
      </w:r>
      <w:r w:rsidR="003E40AF">
        <w:rPr>
          <w:spacing w:val="-3"/>
        </w:rPr>
        <w:t xml:space="preserve">, </w:t>
      </w:r>
      <w:r w:rsidR="00206FA7">
        <w:rPr>
          <w:spacing w:val="-3"/>
        </w:rPr>
        <w:t xml:space="preserve">en </w:t>
      </w:r>
      <w:r w:rsidR="00BB5398">
        <w:rPr>
          <w:spacing w:val="-3"/>
        </w:rPr>
        <w:t xml:space="preserve">la formulación </w:t>
      </w:r>
      <w:r w:rsidR="00081D7B">
        <w:rPr>
          <w:spacing w:val="-3"/>
        </w:rPr>
        <w:t xml:space="preserve">de </w:t>
      </w:r>
      <w:r w:rsidR="00D11F3D">
        <w:rPr>
          <w:spacing w:val="-3"/>
        </w:rPr>
        <w:t xml:space="preserve">las </w:t>
      </w:r>
      <w:r w:rsidR="00081D7B">
        <w:rPr>
          <w:spacing w:val="-3"/>
        </w:rPr>
        <w:t>medidas</w:t>
      </w:r>
      <w:r w:rsidR="00D11F3D">
        <w:rPr>
          <w:spacing w:val="-3"/>
        </w:rPr>
        <w:t xml:space="preserve"> para </w:t>
      </w:r>
      <w:r w:rsidR="009F7693">
        <w:rPr>
          <w:spacing w:val="-3"/>
        </w:rPr>
        <w:t>prevenir, mitigar, corregir o com</w:t>
      </w:r>
      <w:r w:rsidR="00B94885">
        <w:rPr>
          <w:spacing w:val="-3"/>
        </w:rPr>
        <w:t>p</w:t>
      </w:r>
      <w:r w:rsidR="009F7693">
        <w:rPr>
          <w:spacing w:val="-3"/>
        </w:rPr>
        <w:t>en</w:t>
      </w:r>
      <w:r w:rsidR="00B94885">
        <w:rPr>
          <w:spacing w:val="-3"/>
        </w:rPr>
        <w:t>s</w:t>
      </w:r>
      <w:r w:rsidR="009F7693">
        <w:rPr>
          <w:spacing w:val="-3"/>
        </w:rPr>
        <w:t xml:space="preserve">ar los impactos ambientales </w:t>
      </w:r>
      <w:r w:rsidR="00206FA7">
        <w:rPr>
          <w:spacing w:val="-3"/>
        </w:rPr>
        <w:t xml:space="preserve">se </w:t>
      </w:r>
      <w:r w:rsidR="007D08AF">
        <w:rPr>
          <w:spacing w:val="-3"/>
        </w:rPr>
        <w:t xml:space="preserve">debe </w:t>
      </w:r>
      <w:r w:rsidR="00D44888">
        <w:rPr>
          <w:spacing w:val="-3"/>
        </w:rPr>
        <w:t>argumentar</w:t>
      </w:r>
      <w:r w:rsidR="00AD1756">
        <w:rPr>
          <w:spacing w:val="-3"/>
        </w:rPr>
        <w:t>,</w:t>
      </w:r>
      <w:r w:rsidR="00134A9A">
        <w:rPr>
          <w:spacing w:val="-3"/>
        </w:rPr>
        <w:t xml:space="preserve"> </w:t>
      </w:r>
      <w:r w:rsidR="00F20F0C">
        <w:rPr>
          <w:spacing w:val="-3"/>
        </w:rPr>
        <w:t>dada la conexidad señalada previamente</w:t>
      </w:r>
      <w:r w:rsidR="00134A9A">
        <w:rPr>
          <w:spacing w:val="-3"/>
        </w:rPr>
        <w:t xml:space="preserve">, </w:t>
      </w:r>
      <w:r w:rsidR="009E4C3A">
        <w:rPr>
          <w:spacing w:val="-3"/>
        </w:rPr>
        <w:t xml:space="preserve">cómo </w:t>
      </w:r>
      <w:r w:rsidR="00694420" w:rsidRPr="00694420">
        <w:rPr>
          <w:spacing w:val="-3"/>
        </w:rPr>
        <w:t>prev</w:t>
      </w:r>
      <w:r w:rsidR="009E4C3A">
        <w:rPr>
          <w:spacing w:val="-3"/>
        </w:rPr>
        <w:t>iene</w:t>
      </w:r>
      <w:r w:rsidR="00A4696E">
        <w:rPr>
          <w:spacing w:val="-3"/>
        </w:rPr>
        <w:t>n</w:t>
      </w:r>
      <w:r w:rsidR="009E4C3A">
        <w:rPr>
          <w:spacing w:val="-3"/>
        </w:rPr>
        <w:t xml:space="preserve"> </w:t>
      </w:r>
      <w:r w:rsidR="0044234E">
        <w:rPr>
          <w:spacing w:val="-3"/>
        </w:rPr>
        <w:t xml:space="preserve">la </w:t>
      </w:r>
      <w:r w:rsidR="00384F85">
        <w:rPr>
          <w:spacing w:val="-3"/>
        </w:rPr>
        <w:t xml:space="preserve">incidencia </w:t>
      </w:r>
      <w:r w:rsidR="0044234E">
        <w:rPr>
          <w:spacing w:val="-3"/>
        </w:rPr>
        <w:t xml:space="preserve">de los impactos </w:t>
      </w:r>
      <w:r w:rsidR="00334C1F">
        <w:rPr>
          <w:spacing w:val="-3"/>
        </w:rPr>
        <w:t xml:space="preserve">sobre </w:t>
      </w:r>
      <w:r w:rsidR="001B6965">
        <w:rPr>
          <w:spacing w:val="-3"/>
        </w:rPr>
        <w:t xml:space="preserve">los </w:t>
      </w:r>
      <w:r w:rsidR="00694420" w:rsidRPr="00694420">
        <w:rPr>
          <w:spacing w:val="-3"/>
        </w:rPr>
        <w:t>derechos</w:t>
      </w:r>
      <w:r w:rsidR="001B6965">
        <w:rPr>
          <w:spacing w:val="-3"/>
        </w:rPr>
        <w:t xml:space="preserve"> humanos</w:t>
      </w:r>
      <w:r w:rsidR="005621F1">
        <w:rPr>
          <w:spacing w:val="-3"/>
        </w:rPr>
        <w:t>.</w:t>
      </w:r>
    </w:p>
    <w:p w14:paraId="3EC9E834" w14:textId="77777777" w:rsidR="008B3247" w:rsidRDefault="008B3247" w:rsidP="00D277E7">
      <w:pPr>
        <w:numPr>
          <w:ilvl w:val="12"/>
          <w:numId w:val="0"/>
        </w:numPr>
        <w:tabs>
          <w:tab w:val="left" w:pos="-2268"/>
        </w:tabs>
        <w:suppressAutoHyphens/>
        <w:rPr>
          <w:spacing w:val="-3"/>
        </w:rPr>
      </w:pPr>
    </w:p>
    <w:p w14:paraId="73D96F9D" w14:textId="3CC9D734" w:rsidR="008B3247" w:rsidRPr="004068F6" w:rsidRDefault="00647F00" w:rsidP="008B3247">
      <w:pPr>
        <w:numPr>
          <w:ilvl w:val="12"/>
          <w:numId w:val="0"/>
        </w:numPr>
        <w:tabs>
          <w:tab w:val="left" w:pos="-2268"/>
        </w:tabs>
        <w:suppressAutoHyphens/>
        <w:rPr>
          <w:spacing w:val="-3"/>
        </w:rPr>
      </w:pPr>
      <w:r w:rsidRPr="00127BD4">
        <w:rPr>
          <w:spacing w:val="-3"/>
        </w:rPr>
        <w:t xml:space="preserve">Al igual que sucede con los lineamentos metodológicos </w:t>
      </w:r>
      <w:r w:rsidR="005F781A" w:rsidRPr="00127BD4">
        <w:rPr>
          <w:spacing w:val="-3"/>
        </w:rPr>
        <w:t xml:space="preserve">sobre </w:t>
      </w:r>
      <w:r w:rsidR="00311B71">
        <w:rPr>
          <w:spacing w:val="-3"/>
        </w:rPr>
        <w:t xml:space="preserve">otras </w:t>
      </w:r>
      <w:r w:rsidR="005F781A" w:rsidRPr="00127BD4">
        <w:rPr>
          <w:spacing w:val="-3"/>
        </w:rPr>
        <w:t xml:space="preserve">cuestiones </w:t>
      </w:r>
      <w:r w:rsidR="00311B71">
        <w:rPr>
          <w:spacing w:val="-3"/>
        </w:rPr>
        <w:t xml:space="preserve">en </w:t>
      </w:r>
      <w:r w:rsidRPr="00127BD4">
        <w:rPr>
          <w:spacing w:val="-3"/>
        </w:rPr>
        <w:t xml:space="preserve">la MGEPEA, las orientaciones sobre derechos humanos deben </w:t>
      </w:r>
      <w:r w:rsidR="001D40F1" w:rsidRPr="00127BD4">
        <w:rPr>
          <w:spacing w:val="-3"/>
        </w:rPr>
        <w:t xml:space="preserve">adaptarse a las </w:t>
      </w:r>
      <w:r w:rsidR="001D40F1" w:rsidRPr="00127BD4">
        <w:rPr>
          <w:spacing w:val="-3"/>
        </w:rPr>
        <w:lastRenderedPageBreak/>
        <w:t xml:space="preserve">particularidades de cada caso concreto; así, </w:t>
      </w:r>
      <w:r w:rsidRPr="00127BD4">
        <w:rPr>
          <w:spacing w:val="-3"/>
        </w:rPr>
        <w:t>l</w:t>
      </w:r>
      <w:r w:rsidR="008B3247" w:rsidRPr="00127BD4">
        <w:rPr>
          <w:spacing w:val="-3"/>
        </w:rPr>
        <w:t xml:space="preserve">as características del proyecto y </w:t>
      </w:r>
      <w:r w:rsidR="00D642E5" w:rsidRPr="00127BD4">
        <w:rPr>
          <w:spacing w:val="-3"/>
        </w:rPr>
        <w:t xml:space="preserve">las condiciones ambientales del área objeto de estudio </w:t>
      </w:r>
      <w:r w:rsidR="008B3247" w:rsidRPr="00127BD4">
        <w:rPr>
          <w:spacing w:val="-3"/>
        </w:rPr>
        <w:t>(</w:t>
      </w:r>
      <w:r w:rsidR="00D642E5" w:rsidRPr="00127BD4">
        <w:rPr>
          <w:spacing w:val="-3"/>
        </w:rPr>
        <w:t xml:space="preserve">p. ej. </w:t>
      </w:r>
      <w:r w:rsidR="008B3247" w:rsidRPr="00127BD4">
        <w:rPr>
          <w:spacing w:val="-3"/>
        </w:rPr>
        <w:t>conflictos</w:t>
      </w:r>
      <w:r w:rsidR="00D642E5" w:rsidRPr="00127BD4">
        <w:rPr>
          <w:spacing w:val="-3"/>
        </w:rPr>
        <w:t xml:space="preserve"> socioambientales</w:t>
      </w:r>
      <w:r w:rsidR="008B3247" w:rsidRPr="00127BD4">
        <w:rPr>
          <w:spacing w:val="-3"/>
        </w:rPr>
        <w:t xml:space="preserve">, </w:t>
      </w:r>
      <w:r w:rsidR="00D642E5" w:rsidRPr="00127BD4">
        <w:rPr>
          <w:spacing w:val="-3"/>
        </w:rPr>
        <w:t xml:space="preserve">servicios ecosistémicos, </w:t>
      </w:r>
      <w:r w:rsidR="00DA1BCE">
        <w:rPr>
          <w:spacing w:val="-3"/>
        </w:rPr>
        <w:t xml:space="preserve">estado </w:t>
      </w:r>
      <w:r w:rsidR="00B87F04">
        <w:rPr>
          <w:spacing w:val="-3"/>
        </w:rPr>
        <w:t xml:space="preserve">en la </w:t>
      </w:r>
      <w:r w:rsidR="00D642E5" w:rsidRPr="00127BD4">
        <w:rPr>
          <w:spacing w:val="-3"/>
        </w:rPr>
        <w:t xml:space="preserve">calidad del agua, del </w:t>
      </w:r>
      <w:r w:rsidR="002B4FEA" w:rsidRPr="00127BD4">
        <w:rPr>
          <w:spacing w:val="-3"/>
        </w:rPr>
        <w:t>aire o del suelo</w:t>
      </w:r>
      <w:r w:rsidR="008B3247" w:rsidRPr="00127BD4">
        <w:rPr>
          <w:spacing w:val="-3"/>
        </w:rPr>
        <w:t xml:space="preserve">) determinan </w:t>
      </w:r>
      <w:r w:rsidR="00282ED8">
        <w:rPr>
          <w:spacing w:val="-3"/>
        </w:rPr>
        <w:t xml:space="preserve">cómo </w:t>
      </w:r>
      <w:r w:rsidR="00714C97">
        <w:rPr>
          <w:spacing w:val="-3"/>
        </w:rPr>
        <w:t>desarrollar</w:t>
      </w:r>
      <w:r w:rsidR="00282ED8">
        <w:rPr>
          <w:spacing w:val="-3"/>
        </w:rPr>
        <w:t xml:space="preserve"> </w:t>
      </w:r>
      <w:r w:rsidR="002B4FEA" w:rsidRPr="00127BD4">
        <w:rPr>
          <w:spacing w:val="-3"/>
        </w:rPr>
        <w:t xml:space="preserve">las orientaciones sobre </w:t>
      </w:r>
      <w:r w:rsidR="008B3247" w:rsidRPr="00127BD4">
        <w:rPr>
          <w:spacing w:val="-3"/>
        </w:rPr>
        <w:t>derechos humanos.</w:t>
      </w:r>
    </w:p>
    <w:p w14:paraId="42AAFAF1" w14:textId="77777777" w:rsidR="001E1BF2" w:rsidRDefault="001E1BF2" w:rsidP="00D277E7">
      <w:pPr>
        <w:numPr>
          <w:ilvl w:val="12"/>
          <w:numId w:val="0"/>
        </w:numPr>
        <w:tabs>
          <w:tab w:val="left" w:pos="-2268"/>
        </w:tabs>
        <w:suppressAutoHyphens/>
        <w:rPr>
          <w:spacing w:val="-3"/>
        </w:rPr>
      </w:pPr>
    </w:p>
    <w:p w14:paraId="0750FB09" w14:textId="22F039CD" w:rsidR="00F22048" w:rsidRDefault="00B87F04" w:rsidP="00D277E7">
      <w:pPr>
        <w:numPr>
          <w:ilvl w:val="12"/>
          <w:numId w:val="0"/>
        </w:numPr>
        <w:tabs>
          <w:tab w:val="left" w:pos="-2268"/>
        </w:tabs>
        <w:suppressAutoHyphens/>
        <w:rPr>
          <w:spacing w:val="-3"/>
        </w:rPr>
      </w:pPr>
      <w:r>
        <w:rPr>
          <w:spacing w:val="-3"/>
        </w:rPr>
        <w:t>C</w:t>
      </w:r>
      <w:r w:rsidR="00F22048">
        <w:rPr>
          <w:spacing w:val="-3"/>
        </w:rPr>
        <w:t xml:space="preserve">on </w:t>
      </w:r>
      <w:r w:rsidR="00144C44">
        <w:rPr>
          <w:spacing w:val="-3"/>
        </w:rPr>
        <w:t xml:space="preserve">la </w:t>
      </w:r>
      <w:r w:rsidR="00FA3148">
        <w:rPr>
          <w:spacing w:val="-3"/>
        </w:rPr>
        <w:t xml:space="preserve">aplicación </w:t>
      </w:r>
      <w:r w:rsidR="001745D5">
        <w:rPr>
          <w:spacing w:val="-3"/>
        </w:rPr>
        <w:t xml:space="preserve">de las orientaciones metodológicas contenidas en la MGEPEA, </w:t>
      </w:r>
      <w:r w:rsidR="00E3467A">
        <w:rPr>
          <w:spacing w:val="-3"/>
        </w:rPr>
        <w:t>d</w:t>
      </w:r>
      <w:r w:rsidR="00144C44">
        <w:rPr>
          <w:spacing w:val="-3"/>
        </w:rPr>
        <w:t>el deber de respeto por los derechos humanos</w:t>
      </w:r>
      <w:r w:rsidR="00FA3148">
        <w:rPr>
          <w:spacing w:val="-3"/>
        </w:rPr>
        <w:t xml:space="preserve"> y </w:t>
      </w:r>
      <w:r w:rsidR="00E3467A">
        <w:rPr>
          <w:spacing w:val="-3"/>
        </w:rPr>
        <w:t xml:space="preserve">de </w:t>
      </w:r>
      <w:r w:rsidR="00DA0648">
        <w:rPr>
          <w:spacing w:val="-3"/>
        </w:rPr>
        <w:t xml:space="preserve">la debida diligencia </w:t>
      </w:r>
      <w:r w:rsidR="00B46976">
        <w:rPr>
          <w:spacing w:val="-3"/>
        </w:rPr>
        <w:t xml:space="preserve">en materia </w:t>
      </w:r>
      <w:r w:rsidR="00B46976" w:rsidRPr="00DB4B55">
        <w:rPr>
          <w:spacing w:val="-3"/>
        </w:rPr>
        <w:t xml:space="preserve">de derechos humanos </w:t>
      </w:r>
      <w:r w:rsidR="00FA3148" w:rsidRPr="00DB4B55">
        <w:rPr>
          <w:spacing w:val="-3"/>
        </w:rPr>
        <w:t xml:space="preserve">durante la elaboración de </w:t>
      </w:r>
      <w:r w:rsidR="001C6A89" w:rsidRPr="00DB4B55">
        <w:rPr>
          <w:spacing w:val="-3"/>
        </w:rPr>
        <w:t>estudios ambientales</w:t>
      </w:r>
      <w:r w:rsidR="0049435B" w:rsidRPr="00DB4B55">
        <w:rPr>
          <w:spacing w:val="-3"/>
        </w:rPr>
        <w:t xml:space="preserve">, </w:t>
      </w:r>
      <w:r w:rsidR="00174E9D" w:rsidRPr="00DB4B55">
        <w:rPr>
          <w:spacing w:val="-3"/>
        </w:rPr>
        <w:t xml:space="preserve">se </w:t>
      </w:r>
      <w:r w:rsidR="00551518">
        <w:rPr>
          <w:spacing w:val="-3"/>
        </w:rPr>
        <w:t>actúa de manera armónica</w:t>
      </w:r>
      <w:r w:rsidR="00C776F5" w:rsidRPr="00127BD4">
        <w:rPr>
          <w:spacing w:val="-3"/>
        </w:rPr>
        <w:t xml:space="preserve"> </w:t>
      </w:r>
      <w:r w:rsidR="002B6603" w:rsidRPr="00127BD4">
        <w:rPr>
          <w:spacing w:val="-3"/>
        </w:rPr>
        <w:t xml:space="preserve">con la normativa </w:t>
      </w:r>
      <w:r w:rsidR="000B65EA" w:rsidRPr="00127BD4">
        <w:rPr>
          <w:spacing w:val="-3"/>
        </w:rPr>
        <w:t xml:space="preserve">y política </w:t>
      </w:r>
      <w:r w:rsidR="002B6603" w:rsidRPr="00127BD4">
        <w:rPr>
          <w:spacing w:val="-3"/>
        </w:rPr>
        <w:t>ambiental</w:t>
      </w:r>
      <w:r w:rsidR="000B65EA" w:rsidRPr="00127BD4">
        <w:rPr>
          <w:spacing w:val="-3"/>
        </w:rPr>
        <w:t>es,</w:t>
      </w:r>
      <w:r w:rsidR="002B6603" w:rsidRPr="00127BD4">
        <w:rPr>
          <w:spacing w:val="-3"/>
        </w:rPr>
        <w:t xml:space="preserve"> </w:t>
      </w:r>
      <w:r w:rsidR="000B65EA" w:rsidRPr="00127BD4">
        <w:rPr>
          <w:spacing w:val="-3"/>
        </w:rPr>
        <w:t xml:space="preserve">con </w:t>
      </w:r>
      <w:r w:rsidR="002B6603" w:rsidRPr="00127BD4">
        <w:rPr>
          <w:spacing w:val="-3"/>
        </w:rPr>
        <w:t>los principios fijados en la Ley 99 de 1993</w:t>
      </w:r>
      <w:r w:rsidR="005E2825" w:rsidRPr="00DB4B55">
        <w:rPr>
          <w:spacing w:val="-3"/>
        </w:rPr>
        <w:t xml:space="preserve"> </w:t>
      </w:r>
      <w:r w:rsidR="003E4E88">
        <w:rPr>
          <w:spacing w:val="-3"/>
        </w:rPr>
        <w:t xml:space="preserve">y se </w:t>
      </w:r>
      <w:r w:rsidR="00F81933" w:rsidRPr="00DB4B55">
        <w:rPr>
          <w:spacing w:val="-3"/>
        </w:rPr>
        <w:t>contribu</w:t>
      </w:r>
      <w:r w:rsidR="00DB4B55" w:rsidRPr="00DB4B55">
        <w:rPr>
          <w:spacing w:val="-3"/>
        </w:rPr>
        <w:t>ye</w:t>
      </w:r>
      <w:r w:rsidR="00BA13E6">
        <w:rPr>
          <w:spacing w:val="-3"/>
        </w:rPr>
        <w:t xml:space="preserve"> </w:t>
      </w:r>
      <w:r w:rsidR="00F81933" w:rsidRPr="00DB4B55">
        <w:rPr>
          <w:spacing w:val="-3"/>
        </w:rPr>
        <w:t xml:space="preserve">a la </w:t>
      </w:r>
      <w:r w:rsidR="00C51F93" w:rsidRPr="00DB4B55">
        <w:rPr>
          <w:spacing w:val="-3"/>
        </w:rPr>
        <w:t xml:space="preserve">promoción de la </w:t>
      </w:r>
      <w:r w:rsidR="00F81933" w:rsidRPr="00DB4B55">
        <w:rPr>
          <w:spacing w:val="-3"/>
        </w:rPr>
        <w:t>justicia ambiental</w:t>
      </w:r>
      <w:r w:rsidR="00C51F93" w:rsidRPr="00DB4B55">
        <w:rPr>
          <w:spacing w:val="-3"/>
        </w:rPr>
        <w:t xml:space="preserve"> en el licenciamiento ambiental.</w:t>
      </w:r>
    </w:p>
    <w:p w14:paraId="5E674A21" w14:textId="77777777" w:rsidR="00D277E7" w:rsidRPr="004068F6" w:rsidRDefault="00D277E7" w:rsidP="00D277E7">
      <w:pPr>
        <w:numPr>
          <w:ilvl w:val="12"/>
          <w:numId w:val="0"/>
        </w:numPr>
        <w:tabs>
          <w:tab w:val="left" w:pos="-2268"/>
        </w:tabs>
        <w:suppressAutoHyphens/>
        <w:rPr>
          <w:spacing w:val="-3"/>
        </w:rPr>
      </w:pPr>
    </w:p>
    <w:p w14:paraId="3B93CCD9" w14:textId="77777777" w:rsidR="00D277E7" w:rsidRPr="004068F6" w:rsidRDefault="00D277E7" w:rsidP="006052B3">
      <w:pPr>
        <w:numPr>
          <w:ilvl w:val="0"/>
          <w:numId w:val="41"/>
        </w:numPr>
        <w:tabs>
          <w:tab w:val="left" w:pos="-2268"/>
        </w:tabs>
        <w:suppressAutoHyphens/>
        <w:ind w:left="567" w:hanging="567"/>
        <w:rPr>
          <w:b/>
          <w:i/>
          <w:spacing w:val="-3"/>
          <w:u w:val="single"/>
        </w:rPr>
      </w:pPr>
      <w:r w:rsidRPr="004068F6">
        <w:rPr>
          <w:b/>
          <w:i/>
          <w:spacing w:val="-3"/>
          <w:u w:val="single"/>
        </w:rPr>
        <w:t>Sobre la integralidad de los estudios ambientales</w:t>
      </w:r>
    </w:p>
    <w:p w14:paraId="30267A26" w14:textId="77777777" w:rsidR="00D277E7" w:rsidRPr="004068F6" w:rsidRDefault="00D277E7" w:rsidP="00D277E7">
      <w:pPr>
        <w:numPr>
          <w:ilvl w:val="12"/>
          <w:numId w:val="0"/>
        </w:numPr>
        <w:tabs>
          <w:tab w:val="left" w:pos="-2268"/>
        </w:tabs>
        <w:suppressAutoHyphens/>
        <w:rPr>
          <w:spacing w:val="-3"/>
        </w:rPr>
      </w:pPr>
    </w:p>
    <w:p w14:paraId="2140D328" w14:textId="78AA2581" w:rsidR="00FB2191" w:rsidRPr="004068F6" w:rsidRDefault="00D277E7" w:rsidP="00D277E7">
      <w:pPr>
        <w:numPr>
          <w:ilvl w:val="12"/>
          <w:numId w:val="0"/>
        </w:numPr>
        <w:tabs>
          <w:tab w:val="left" w:pos="-2268"/>
        </w:tabs>
        <w:suppressAutoHyphens/>
        <w:rPr>
          <w:spacing w:val="-3"/>
        </w:rPr>
      </w:pPr>
      <w:r w:rsidRPr="004068F6">
        <w:rPr>
          <w:spacing w:val="-3"/>
        </w:rPr>
        <w:t xml:space="preserve">En consonancia con la realidad sistémica propia de cualquier territorio, la elaboración de los estudios </w:t>
      </w:r>
      <w:r w:rsidR="00287697">
        <w:rPr>
          <w:spacing w:val="-3"/>
        </w:rPr>
        <w:t xml:space="preserve">ambientales </w:t>
      </w:r>
      <w:r w:rsidRPr="004068F6">
        <w:rPr>
          <w:spacing w:val="-3"/>
        </w:rPr>
        <w:t xml:space="preserve">debe </w:t>
      </w:r>
      <w:r w:rsidR="00294FF5">
        <w:rPr>
          <w:spacing w:val="-3"/>
        </w:rPr>
        <w:t xml:space="preserve">basarse en </w:t>
      </w:r>
      <w:r w:rsidRPr="004068F6">
        <w:rPr>
          <w:spacing w:val="-3"/>
        </w:rPr>
        <w:t xml:space="preserve">las múltiples y complejas relaciones que se presentan en el área de </w:t>
      </w:r>
      <w:r w:rsidR="008066DC" w:rsidRPr="004068F6">
        <w:rPr>
          <w:spacing w:val="-3"/>
        </w:rPr>
        <w:t xml:space="preserve">referencia (área de estudio para el DAA y área de </w:t>
      </w:r>
      <w:r w:rsidRPr="004068F6">
        <w:rPr>
          <w:spacing w:val="-3"/>
        </w:rPr>
        <w:t xml:space="preserve">influencia </w:t>
      </w:r>
      <w:r w:rsidR="008066DC" w:rsidRPr="004068F6">
        <w:rPr>
          <w:spacing w:val="-3"/>
        </w:rPr>
        <w:t>para el EIA)</w:t>
      </w:r>
      <w:r w:rsidRPr="004068F6">
        <w:rPr>
          <w:spacing w:val="-3"/>
        </w:rPr>
        <w:t xml:space="preserve">, </w:t>
      </w:r>
      <w:r w:rsidR="007926E9">
        <w:rPr>
          <w:spacing w:val="-3"/>
        </w:rPr>
        <w:t xml:space="preserve">procurando que las </w:t>
      </w:r>
      <w:r w:rsidR="00FB2191" w:rsidRPr="004068F6">
        <w:rPr>
          <w:spacing w:val="-3"/>
        </w:rPr>
        <w:t>alternativas</w:t>
      </w:r>
      <w:r w:rsidR="00DF0D07">
        <w:rPr>
          <w:spacing w:val="-3"/>
        </w:rPr>
        <w:t xml:space="preserve"> y </w:t>
      </w:r>
      <w:r w:rsidR="000444AD">
        <w:rPr>
          <w:spacing w:val="-3"/>
        </w:rPr>
        <w:t>proyecto</w:t>
      </w:r>
      <w:r w:rsidR="00610ED3">
        <w:rPr>
          <w:spacing w:val="-3"/>
        </w:rPr>
        <w:t>s</w:t>
      </w:r>
      <w:r w:rsidR="000444AD">
        <w:rPr>
          <w:spacing w:val="-3"/>
        </w:rPr>
        <w:t>, obra</w:t>
      </w:r>
      <w:r w:rsidR="00610ED3">
        <w:rPr>
          <w:spacing w:val="-3"/>
        </w:rPr>
        <w:t>s</w:t>
      </w:r>
      <w:r w:rsidR="000444AD">
        <w:rPr>
          <w:spacing w:val="-3"/>
        </w:rPr>
        <w:t xml:space="preserve"> o actividad</w:t>
      </w:r>
      <w:r w:rsidR="00610ED3">
        <w:rPr>
          <w:spacing w:val="-3"/>
        </w:rPr>
        <w:t>es</w:t>
      </w:r>
      <w:r w:rsidR="000444AD">
        <w:rPr>
          <w:spacing w:val="-3"/>
        </w:rPr>
        <w:t xml:space="preserve"> </w:t>
      </w:r>
      <w:r w:rsidR="00ED0A00">
        <w:rPr>
          <w:spacing w:val="-3"/>
        </w:rPr>
        <w:t>para los cuales se elaboran</w:t>
      </w:r>
      <w:r w:rsidR="00EE0C3A">
        <w:rPr>
          <w:spacing w:val="-3"/>
        </w:rPr>
        <w:t>,</w:t>
      </w:r>
      <w:r w:rsidR="00ED0A00">
        <w:rPr>
          <w:spacing w:val="-3"/>
        </w:rPr>
        <w:t xml:space="preserve"> </w:t>
      </w:r>
      <w:r w:rsidR="007926E9">
        <w:rPr>
          <w:spacing w:val="-3"/>
        </w:rPr>
        <w:t>se</w:t>
      </w:r>
      <w:r w:rsidR="00EE0C3A">
        <w:rPr>
          <w:spacing w:val="-3"/>
        </w:rPr>
        <w:t>an</w:t>
      </w:r>
      <w:r w:rsidR="007926E9">
        <w:rPr>
          <w:spacing w:val="-3"/>
        </w:rPr>
        <w:t xml:space="preserve"> estructur</w:t>
      </w:r>
      <w:r w:rsidR="00EE0C3A">
        <w:rPr>
          <w:spacing w:val="-3"/>
        </w:rPr>
        <w:t xml:space="preserve">ados </w:t>
      </w:r>
      <w:r w:rsidR="003F11C9">
        <w:rPr>
          <w:spacing w:val="-3"/>
        </w:rPr>
        <w:t xml:space="preserve">bajo </w:t>
      </w:r>
      <w:r w:rsidR="0018203C">
        <w:rPr>
          <w:spacing w:val="-3"/>
        </w:rPr>
        <w:t xml:space="preserve">una racionalidad ambiental </w:t>
      </w:r>
      <w:r w:rsidR="00F7169A">
        <w:rPr>
          <w:spacing w:val="-3"/>
        </w:rPr>
        <w:t xml:space="preserve">que permita su </w:t>
      </w:r>
      <w:r w:rsidRPr="004068F6">
        <w:rPr>
          <w:spacing w:val="-3"/>
        </w:rPr>
        <w:t>inser</w:t>
      </w:r>
      <w:r w:rsidR="00F7169A">
        <w:rPr>
          <w:spacing w:val="-3"/>
        </w:rPr>
        <w:t xml:space="preserve">ción </w:t>
      </w:r>
      <w:r w:rsidRPr="004068F6">
        <w:rPr>
          <w:spacing w:val="-3"/>
        </w:rPr>
        <w:t>en el territorio sin conllevar deterioro ambiental.</w:t>
      </w:r>
    </w:p>
    <w:p w14:paraId="1D29C54E" w14:textId="77777777" w:rsidR="00FB2191" w:rsidRPr="004068F6" w:rsidRDefault="00FB2191" w:rsidP="00D277E7">
      <w:pPr>
        <w:numPr>
          <w:ilvl w:val="12"/>
          <w:numId w:val="0"/>
        </w:numPr>
        <w:tabs>
          <w:tab w:val="left" w:pos="-2268"/>
        </w:tabs>
        <w:suppressAutoHyphens/>
        <w:rPr>
          <w:spacing w:val="-3"/>
        </w:rPr>
      </w:pPr>
    </w:p>
    <w:p w14:paraId="4F28CB10" w14:textId="202FC808" w:rsidR="00D277E7" w:rsidRPr="004068F6" w:rsidRDefault="00D277E7" w:rsidP="00D277E7">
      <w:pPr>
        <w:numPr>
          <w:ilvl w:val="12"/>
          <w:numId w:val="0"/>
        </w:numPr>
        <w:tabs>
          <w:tab w:val="left" w:pos="-2268"/>
        </w:tabs>
        <w:suppressAutoHyphens/>
        <w:rPr>
          <w:spacing w:val="-3"/>
        </w:rPr>
      </w:pPr>
      <w:r w:rsidRPr="004068F6">
        <w:rPr>
          <w:spacing w:val="-3"/>
        </w:rPr>
        <w:t xml:space="preserve">La información </w:t>
      </w:r>
      <w:r w:rsidR="002D006D" w:rsidRPr="004068F6">
        <w:rPr>
          <w:spacing w:val="-3"/>
        </w:rPr>
        <w:t xml:space="preserve">de </w:t>
      </w:r>
      <w:r w:rsidRPr="004068F6">
        <w:rPr>
          <w:spacing w:val="-3"/>
        </w:rPr>
        <w:t xml:space="preserve">los capítulos de descripción del proyecto y caracterización </w:t>
      </w:r>
      <w:r w:rsidR="002D006D" w:rsidRPr="004068F6">
        <w:rPr>
          <w:spacing w:val="-3"/>
        </w:rPr>
        <w:t xml:space="preserve">ambiental (que </w:t>
      </w:r>
      <w:r w:rsidRPr="004068F6">
        <w:rPr>
          <w:spacing w:val="-3"/>
        </w:rPr>
        <w:t xml:space="preserve">se presenta clasificada por </w:t>
      </w:r>
      <w:r w:rsidR="0048619C" w:rsidRPr="004068F6">
        <w:rPr>
          <w:spacing w:val="-3"/>
        </w:rPr>
        <w:t xml:space="preserve">factores, </w:t>
      </w:r>
      <w:r w:rsidRPr="004068F6">
        <w:rPr>
          <w:spacing w:val="-3"/>
        </w:rPr>
        <w:t>componentes</w:t>
      </w:r>
      <w:r w:rsidR="00FB2191" w:rsidRPr="004068F6">
        <w:rPr>
          <w:spacing w:val="-3"/>
        </w:rPr>
        <w:t xml:space="preserve"> </w:t>
      </w:r>
      <w:r w:rsidRPr="004068F6">
        <w:rPr>
          <w:spacing w:val="-3"/>
        </w:rPr>
        <w:t>y medios</w:t>
      </w:r>
      <w:r w:rsidR="002D006D" w:rsidRPr="004068F6">
        <w:rPr>
          <w:spacing w:val="-3"/>
        </w:rPr>
        <w:t>)</w:t>
      </w:r>
      <w:r w:rsidRPr="004068F6">
        <w:rPr>
          <w:spacing w:val="-3"/>
        </w:rPr>
        <w:t xml:space="preserve"> debe </w:t>
      </w:r>
      <w:r w:rsidR="00B071F7">
        <w:rPr>
          <w:spacing w:val="-3"/>
        </w:rPr>
        <w:t>conjugarse</w:t>
      </w:r>
      <w:r w:rsidRPr="004068F6">
        <w:rPr>
          <w:spacing w:val="-3"/>
        </w:rPr>
        <w:t>, a fin de clarificar las implicaciones ambientales del proyecto</w:t>
      </w:r>
      <w:r w:rsidR="00FB2191" w:rsidRPr="004068F6">
        <w:rPr>
          <w:spacing w:val="-3"/>
        </w:rPr>
        <w:t>, obra o actividad</w:t>
      </w:r>
      <w:r w:rsidRPr="004068F6">
        <w:rPr>
          <w:spacing w:val="-3"/>
        </w:rPr>
        <w:t>. La ocupación del territorio, la transformación social, económica</w:t>
      </w:r>
      <w:r w:rsidR="00C93545" w:rsidRPr="004068F6">
        <w:rPr>
          <w:spacing w:val="-3"/>
        </w:rPr>
        <w:t>, cultural</w:t>
      </w:r>
      <w:r w:rsidRPr="004068F6">
        <w:rPr>
          <w:spacing w:val="-3"/>
        </w:rPr>
        <w:t xml:space="preserve"> y ambiental, </w:t>
      </w:r>
      <w:r w:rsidR="00F2029E">
        <w:rPr>
          <w:spacing w:val="-3"/>
        </w:rPr>
        <w:t xml:space="preserve">el cambio en </w:t>
      </w:r>
      <w:r w:rsidRPr="004068F6">
        <w:rPr>
          <w:spacing w:val="-3"/>
        </w:rPr>
        <w:t>el uso de recursos naturales, la producción, emisión y vertimiento de contaminantes y las modificaciones directas o indirectas que se causan a los ecosistemas</w:t>
      </w:r>
      <w:r w:rsidR="0062081B" w:rsidRPr="004068F6">
        <w:rPr>
          <w:spacing w:val="-3"/>
        </w:rPr>
        <w:t>, a sus servicios, a los paisajes</w:t>
      </w:r>
      <w:r w:rsidRPr="004068F6">
        <w:rPr>
          <w:spacing w:val="-3"/>
        </w:rPr>
        <w:t xml:space="preserve"> y a las sociedades que conviven en ellos, constituyen transformaciones que deben ser tratadas de forma integral a fin de determinar la</w:t>
      </w:r>
      <w:r w:rsidR="002D006D" w:rsidRPr="004068F6">
        <w:rPr>
          <w:spacing w:val="-3"/>
        </w:rPr>
        <w:t>s</w:t>
      </w:r>
      <w:r w:rsidRPr="004068F6">
        <w:rPr>
          <w:spacing w:val="-3"/>
        </w:rPr>
        <w:t xml:space="preserve"> </w:t>
      </w:r>
      <w:r w:rsidR="002D006D" w:rsidRPr="004068F6">
        <w:rPr>
          <w:spacing w:val="-3"/>
        </w:rPr>
        <w:t xml:space="preserve">mejores alternativas y la </w:t>
      </w:r>
      <w:r w:rsidRPr="004068F6">
        <w:rPr>
          <w:spacing w:val="-3"/>
        </w:rPr>
        <w:t>pertinencia de ejecutar el proyecto, obra o actividad.</w:t>
      </w:r>
    </w:p>
    <w:p w14:paraId="6B02F4AF" w14:textId="77777777" w:rsidR="00D277E7" w:rsidRPr="004068F6" w:rsidRDefault="00D277E7" w:rsidP="00D277E7">
      <w:pPr>
        <w:numPr>
          <w:ilvl w:val="12"/>
          <w:numId w:val="0"/>
        </w:numPr>
        <w:tabs>
          <w:tab w:val="left" w:pos="-2268"/>
        </w:tabs>
        <w:suppressAutoHyphens/>
        <w:rPr>
          <w:spacing w:val="-3"/>
        </w:rPr>
      </w:pPr>
    </w:p>
    <w:p w14:paraId="6B71CF8A" w14:textId="4AE232AE" w:rsidR="00D277E7" w:rsidRPr="004068F6" w:rsidRDefault="00D277E7" w:rsidP="00D277E7">
      <w:pPr>
        <w:numPr>
          <w:ilvl w:val="12"/>
          <w:numId w:val="0"/>
        </w:numPr>
        <w:tabs>
          <w:tab w:val="left" w:pos="-2268"/>
        </w:tabs>
        <w:suppressAutoHyphens/>
        <w:rPr>
          <w:spacing w:val="-3"/>
        </w:rPr>
      </w:pPr>
      <w:r w:rsidRPr="004068F6">
        <w:rPr>
          <w:spacing w:val="-3"/>
        </w:rPr>
        <w:t>Esta necesaria integralidad de los estudios ambientales conlleva</w:t>
      </w:r>
      <w:r w:rsidR="00C93545" w:rsidRPr="004068F6">
        <w:rPr>
          <w:spacing w:val="-3"/>
        </w:rPr>
        <w:t>,</w:t>
      </w:r>
      <w:r w:rsidRPr="004068F6">
        <w:rPr>
          <w:spacing w:val="-3"/>
        </w:rPr>
        <w:t xml:space="preserve"> entre otras cuestiones, a </w:t>
      </w:r>
      <w:r w:rsidR="002A7B84" w:rsidRPr="004068F6">
        <w:rPr>
          <w:spacing w:val="-3"/>
        </w:rPr>
        <w:t>determinar</w:t>
      </w:r>
      <w:r w:rsidRPr="004068F6">
        <w:rPr>
          <w:spacing w:val="-3"/>
        </w:rPr>
        <w:t xml:space="preserve"> y </w:t>
      </w:r>
      <w:r w:rsidR="002D006D" w:rsidRPr="004068F6">
        <w:rPr>
          <w:spacing w:val="-3"/>
        </w:rPr>
        <w:t xml:space="preserve">evaluar </w:t>
      </w:r>
      <w:r w:rsidR="002A7B84" w:rsidRPr="004068F6">
        <w:rPr>
          <w:spacing w:val="-3"/>
        </w:rPr>
        <w:t xml:space="preserve">los </w:t>
      </w:r>
      <w:r w:rsidRPr="004068F6">
        <w:rPr>
          <w:spacing w:val="-3"/>
        </w:rPr>
        <w:t xml:space="preserve">impactos sinérgicos </w:t>
      </w:r>
      <w:r w:rsidR="00706EC4" w:rsidRPr="004068F6">
        <w:rPr>
          <w:spacing w:val="-3"/>
        </w:rPr>
        <w:t xml:space="preserve">que </w:t>
      </w:r>
      <w:r w:rsidR="002D006D" w:rsidRPr="004068F6">
        <w:rPr>
          <w:spacing w:val="-3"/>
        </w:rPr>
        <w:t xml:space="preserve">dadas </w:t>
      </w:r>
      <w:r w:rsidR="00706EC4" w:rsidRPr="004068F6">
        <w:rPr>
          <w:spacing w:val="-3"/>
        </w:rPr>
        <w:t xml:space="preserve">las </w:t>
      </w:r>
      <w:r w:rsidR="00EB4707" w:rsidRPr="004068F6">
        <w:rPr>
          <w:spacing w:val="-3"/>
        </w:rPr>
        <w:t>condiciones ambientales (abióticas, bióticas y socioeconómicas)</w:t>
      </w:r>
      <w:r w:rsidR="002D006D" w:rsidRPr="004068F6">
        <w:rPr>
          <w:spacing w:val="-3"/>
        </w:rPr>
        <w:t xml:space="preserve"> </w:t>
      </w:r>
      <w:r w:rsidR="005C5121" w:rsidRPr="004068F6">
        <w:rPr>
          <w:spacing w:val="-3"/>
        </w:rPr>
        <w:t>y</w:t>
      </w:r>
      <w:r w:rsidRPr="004068F6">
        <w:rPr>
          <w:spacing w:val="-3"/>
        </w:rPr>
        <w:t xml:space="preserve"> </w:t>
      </w:r>
      <w:r w:rsidR="005C5121" w:rsidRPr="004068F6">
        <w:rPr>
          <w:spacing w:val="-3"/>
        </w:rPr>
        <w:t xml:space="preserve">las </w:t>
      </w:r>
      <w:r w:rsidR="00EB4707" w:rsidRPr="004068F6">
        <w:rPr>
          <w:spacing w:val="-3"/>
        </w:rPr>
        <w:t>actividades y proyectos</w:t>
      </w:r>
      <w:r w:rsidR="00706EC4" w:rsidRPr="004068F6">
        <w:rPr>
          <w:spacing w:val="-3"/>
        </w:rPr>
        <w:t xml:space="preserve"> presentes en el área de referencia,</w:t>
      </w:r>
      <w:r w:rsidR="00EB4707" w:rsidRPr="004068F6">
        <w:rPr>
          <w:spacing w:val="-3"/>
        </w:rPr>
        <w:t xml:space="preserve"> </w:t>
      </w:r>
      <w:r w:rsidRPr="004068F6">
        <w:rPr>
          <w:spacing w:val="-3"/>
        </w:rPr>
        <w:t>pued</w:t>
      </w:r>
      <w:r w:rsidR="005C5121" w:rsidRPr="004068F6">
        <w:rPr>
          <w:spacing w:val="-3"/>
        </w:rPr>
        <w:t>a</w:t>
      </w:r>
      <w:r w:rsidRPr="004068F6">
        <w:rPr>
          <w:spacing w:val="-3"/>
        </w:rPr>
        <w:t xml:space="preserve">n sobrevenir como consecuencia de la ejecución del proyecto, obra o actividad objeto de </w:t>
      </w:r>
      <w:r w:rsidR="005C5121" w:rsidRPr="004068F6">
        <w:rPr>
          <w:spacing w:val="-3"/>
        </w:rPr>
        <w:t>formulación</w:t>
      </w:r>
      <w:r w:rsidR="00C93545" w:rsidRPr="004068F6">
        <w:rPr>
          <w:spacing w:val="-3"/>
        </w:rPr>
        <w:t xml:space="preserve">. La </w:t>
      </w:r>
      <w:r w:rsidR="002A7B84" w:rsidRPr="004068F6">
        <w:rPr>
          <w:spacing w:val="-3"/>
        </w:rPr>
        <w:t xml:space="preserve">determinación </w:t>
      </w:r>
      <w:r w:rsidR="00706EC4" w:rsidRPr="004068F6">
        <w:rPr>
          <w:spacing w:val="-3"/>
        </w:rPr>
        <w:t xml:space="preserve">y evaluación debe extenderse a </w:t>
      </w:r>
      <w:r w:rsidR="005C5121" w:rsidRPr="004068F6">
        <w:rPr>
          <w:spacing w:val="-3"/>
        </w:rPr>
        <w:t>los</w:t>
      </w:r>
      <w:r w:rsidRPr="004068F6">
        <w:rPr>
          <w:spacing w:val="-3"/>
        </w:rPr>
        <w:t xml:space="preserve"> impactos acumulativos que se suma</w:t>
      </w:r>
      <w:r w:rsidR="00EB4707" w:rsidRPr="004068F6">
        <w:rPr>
          <w:spacing w:val="-3"/>
        </w:rPr>
        <w:t>ría</w:t>
      </w:r>
      <w:r w:rsidRPr="004068F6">
        <w:rPr>
          <w:spacing w:val="-3"/>
        </w:rPr>
        <w:t xml:space="preserve">n en el tiempo y el espacio </w:t>
      </w:r>
      <w:r w:rsidR="005C5121" w:rsidRPr="004068F6">
        <w:rPr>
          <w:spacing w:val="-3"/>
        </w:rPr>
        <w:t>a los ya existentes en el área de referencia</w:t>
      </w:r>
      <w:r w:rsidRPr="004068F6">
        <w:rPr>
          <w:spacing w:val="-3"/>
        </w:rPr>
        <w:t xml:space="preserve">. </w:t>
      </w:r>
      <w:r w:rsidR="00706EC4" w:rsidRPr="004068F6">
        <w:rPr>
          <w:spacing w:val="-3"/>
        </w:rPr>
        <w:t>Asimismo, es i</w:t>
      </w:r>
      <w:r w:rsidRPr="004068F6">
        <w:rPr>
          <w:spacing w:val="-3"/>
        </w:rPr>
        <w:t xml:space="preserve">mportante </w:t>
      </w:r>
      <w:r w:rsidR="005C5121" w:rsidRPr="004068F6">
        <w:rPr>
          <w:spacing w:val="-3"/>
        </w:rPr>
        <w:t>estudi</w:t>
      </w:r>
      <w:r w:rsidR="00706EC4" w:rsidRPr="004068F6">
        <w:rPr>
          <w:spacing w:val="-3"/>
        </w:rPr>
        <w:t>ar</w:t>
      </w:r>
      <w:r w:rsidR="005C5121" w:rsidRPr="004068F6">
        <w:rPr>
          <w:spacing w:val="-3"/>
        </w:rPr>
        <w:t xml:space="preserve"> </w:t>
      </w:r>
      <w:r w:rsidR="00706EC4" w:rsidRPr="004068F6">
        <w:rPr>
          <w:spacing w:val="-3"/>
        </w:rPr>
        <w:t xml:space="preserve">las </w:t>
      </w:r>
      <w:r w:rsidRPr="004068F6">
        <w:rPr>
          <w:spacing w:val="-3"/>
        </w:rPr>
        <w:t xml:space="preserve">actividades y relaciones que causan múltiples impactos o que potencian otros, </w:t>
      </w:r>
      <w:r w:rsidR="00706EC4" w:rsidRPr="004068F6">
        <w:rPr>
          <w:spacing w:val="-3"/>
        </w:rPr>
        <w:t>con el propósito</w:t>
      </w:r>
      <w:r w:rsidR="00800E3D" w:rsidRPr="004068F6">
        <w:rPr>
          <w:spacing w:val="-3"/>
        </w:rPr>
        <w:t xml:space="preserve"> de</w:t>
      </w:r>
      <w:r w:rsidRPr="004068F6">
        <w:rPr>
          <w:spacing w:val="-3"/>
        </w:rPr>
        <w:t xml:space="preserve"> </w:t>
      </w:r>
      <w:r w:rsidR="005C5121" w:rsidRPr="004068F6">
        <w:rPr>
          <w:spacing w:val="-3"/>
        </w:rPr>
        <w:t>plante</w:t>
      </w:r>
      <w:r w:rsidR="00800E3D" w:rsidRPr="004068F6">
        <w:rPr>
          <w:spacing w:val="-3"/>
        </w:rPr>
        <w:t>ar</w:t>
      </w:r>
      <w:r w:rsidR="005C5121" w:rsidRPr="004068F6">
        <w:rPr>
          <w:spacing w:val="-3"/>
        </w:rPr>
        <w:t xml:space="preserve"> alternativas y formul</w:t>
      </w:r>
      <w:r w:rsidR="00800E3D" w:rsidRPr="004068F6">
        <w:rPr>
          <w:spacing w:val="-3"/>
        </w:rPr>
        <w:t>ar</w:t>
      </w:r>
      <w:r w:rsidR="005C5121" w:rsidRPr="004068F6">
        <w:rPr>
          <w:spacing w:val="-3"/>
        </w:rPr>
        <w:t xml:space="preserve"> </w:t>
      </w:r>
      <w:r w:rsidRPr="004068F6">
        <w:rPr>
          <w:spacing w:val="-3"/>
        </w:rPr>
        <w:t xml:space="preserve">medidas de manejo que permitan </w:t>
      </w:r>
      <w:r w:rsidR="005458DD" w:rsidRPr="004068F6">
        <w:rPr>
          <w:spacing w:val="-3"/>
        </w:rPr>
        <w:t>gestionar</w:t>
      </w:r>
      <w:r w:rsidRPr="004068F6">
        <w:rPr>
          <w:spacing w:val="-3"/>
        </w:rPr>
        <w:t xml:space="preserve"> varios impactos a la vez.</w:t>
      </w:r>
    </w:p>
    <w:p w14:paraId="0833C59E" w14:textId="77777777" w:rsidR="00D277E7" w:rsidRDefault="00D277E7" w:rsidP="00D277E7">
      <w:pPr>
        <w:numPr>
          <w:ilvl w:val="12"/>
          <w:numId w:val="0"/>
        </w:numPr>
        <w:tabs>
          <w:tab w:val="left" w:pos="-2268"/>
        </w:tabs>
        <w:suppressAutoHyphens/>
        <w:rPr>
          <w:spacing w:val="-3"/>
        </w:rPr>
      </w:pPr>
    </w:p>
    <w:p w14:paraId="32353C02" w14:textId="24AA080A" w:rsidR="0097659F" w:rsidRDefault="006D4A98" w:rsidP="00CD03D4">
      <w:pPr>
        <w:numPr>
          <w:ilvl w:val="12"/>
          <w:numId w:val="0"/>
        </w:numPr>
        <w:tabs>
          <w:tab w:val="left" w:pos="-2268"/>
        </w:tabs>
        <w:suppressAutoHyphens/>
        <w:rPr>
          <w:spacing w:val="-3"/>
        </w:rPr>
      </w:pPr>
      <w:r>
        <w:rPr>
          <w:rFonts w:cs="Arial"/>
          <w:spacing w:val="-3"/>
        </w:rPr>
        <w:t xml:space="preserve">La integralidad de los estudios ambientales es especialmente </w:t>
      </w:r>
      <w:r w:rsidR="00EF7568">
        <w:rPr>
          <w:rFonts w:cs="Arial"/>
          <w:spacing w:val="-3"/>
        </w:rPr>
        <w:t xml:space="preserve">notoria en temas como </w:t>
      </w:r>
      <w:r w:rsidR="003B443F">
        <w:rPr>
          <w:rFonts w:cs="Arial"/>
          <w:spacing w:val="-3"/>
        </w:rPr>
        <w:t>el cambio climático</w:t>
      </w:r>
      <w:r w:rsidR="00EF7568">
        <w:rPr>
          <w:rFonts w:cs="Arial"/>
          <w:spacing w:val="-3"/>
        </w:rPr>
        <w:t xml:space="preserve"> que</w:t>
      </w:r>
      <w:r w:rsidR="003B443F">
        <w:rPr>
          <w:rFonts w:cs="Arial"/>
          <w:spacing w:val="-3"/>
        </w:rPr>
        <w:t xml:space="preserve">, a pesar de </w:t>
      </w:r>
      <w:r w:rsidR="00EF7568">
        <w:rPr>
          <w:rFonts w:cs="Arial"/>
          <w:spacing w:val="-3"/>
        </w:rPr>
        <w:t>desarrolla</w:t>
      </w:r>
      <w:r w:rsidR="001973BB">
        <w:rPr>
          <w:rFonts w:cs="Arial"/>
          <w:spacing w:val="-3"/>
        </w:rPr>
        <w:t xml:space="preserve">rse </w:t>
      </w:r>
      <w:r w:rsidR="003B443F">
        <w:rPr>
          <w:rFonts w:cs="Arial"/>
          <w:spacing w:val="-3"/>
        </w:rPr>
        <w:t xml:space="preserve">en un numeral específico, </w:t>
      </w:r>
      <w:r w:rsidR="001973BB">
        <w:rPr>
          <w:rFonts w:cs="Arial"/>
          <w:spacing w:val="-3"/>
        </w:rPr>
        <w:t xml:space="preserve">está presente </w:t>
      </w:r>
      <w:r w:rsidR="007365B1">
        <w:rPr>
          <w:rFonts w:cs="Arial"/>
          <w:spacing w:val="-3"/>
        </w:rPr>
        <w:t xml:space="preserve">de forma estructural </w:t>
      </w:r>
      <w:r w:rsidR="001973BB">
        <w:rPr>
          <w:rFonts w:cs="Arial"/>
          <w:spacing w:val="-3"/>
        </w:rPr>
        <w:t xml:space="preserve">en el </w:t>
      </w:r>
      <w:r w:rsidR="00D93143">
        <w:rPr>
          <w:rFonts w:cs="Arial"/>
          <w:spacing w:val="-3"/>
        </w:rPr>
        <w:t>contenid</w:t>
      </w:r>
      <w:r w:rsidR="00D37CC2">
        <w:rPr>
          <w:rFonts w:cs="Arial"/>
          <w:spacing w:val="-3"/>
        </w:rPr>
        <w:t>o</w:t>
      </w:r>
      <w:r w:rsidR="00D93143">
        <w:rPr>
          <w:rFonts w:cs="Arial"/>
          <w:spacing w:val="-3"/>
        </w:rPr>
        <w:t xml:space="preserve"> en otros apartados</w:t>
      </w:r>
      <w:r w:rsidR="006413D9">
        <w:rPr>
          <w:rFonts w:cs="Arial"/>
          <w:spacing w:val="-3"/>
        </w:rPr>
        <w:t xml:space="preserve">. </w:t>
      </w:r>
      <w:r w:rsidR="0097659F">
        <w:rPr>
          <w:rFonts w:cs="Arial"/>
          <w:spacing w:val="-3"/>
        </w:rPr>
        <w:t xml:space="preserve">En este sentido, numerales como </w:t>
      </w:r>
      <w:r w:rsidR="00691376" w:rsidRPr="004E4C01">
        <w:rPr>
          <w:rFonts w:cs="Arial"/>
          <w:spacing w:val="-3"/>
        </w:rPr>
        <w:t>Descripción del proyecto, Caracterización ambiental, Evaluación ambiental, Plan de manejo ambiental y Dimensión ambiental del plan de gestión del riesgo</w:t>
      </w:r>
      <w:r w:rsidR="007365B1">
        <w:rPr>
          <w:rFonts w:cs="Arial"/>
          <w:spacing w:val="-3"/>
        </w:rPr>
        <w:t xml:space="preserve"> </w:t>
      </w:r>
      <w:r w:rsidR="00DB52F5">
        <w:rPr>
          <w:rFonts w:cs="Arial"/>
          <w:spacing w:val="-3"/>
        </w:rPr>
        <w:t xml:space="preserve">deben </w:t>
      </w:r>
      <w:r w:rsidR="0097659F" w:rsidRPr="004E4C01">
        <w:rPr>
          <w:rFonts w:cs="Arial"/>
          <w:spacing w:val="-3"/>
        </w:rPr>
        <w:t>incorporar</w:t>
      </w:r>
      <w:r w:rsidR="00C127BD">
        <w:rPr>
          <w:rFonts w:cs="Arial"/>
          <w:spacing w:val="-3"/>
        </w:rPr>
        <w:t xml:space="preserve"> </w:t>
      </w:r>
      <w:r w:rsidR="0097659F" w:rsidRPr="004E4C01">
        <w:rPr>
          <w:rFonts w:cs="Arial"/>
          <w:spacing w:val="-3"/>
        </w:rPr>
        <w:t xml:space="preserve">de forma armónica </w:t>
      </w:r>
      <w:r w:rsidR="00C127BD">
        <w:rPr>
          <w:rFonts w:cs="Arial"/>
          <w:spacing w:val="-3"/>
        </w:rPr>
        <w:t xml:space="preserve">consideraciones sobre </w:t>
      </w:r>
      <w:r w:rsidR="0097659F" w:rsidRPr="004E4C01">
        <w:rPr>
          <w:rFonts w:cs="Arial"/>
          <w:spacing w:val="-3"/>
        </w:rPr>
        <w:t xml:space="preserve">cambio climático para que, en efecto, </w:t>
      </w:r>
      <w:r w:rsidR="00D37CC2">
        <w:rPr>
          <w:rFonts w:cs="Arial"/>
          <w:spacing w:val="-3"/>
        </w:rPr>
        <w:t xml:space="preserve">los </w:t>
      </w:r>
      <w:r w:rsidR="0097659F" w:rsidRPr="004E4C01">
        <w:rPr>
          <w:rFonts w:cs="Arial"/>
          <w:spacing w:val="-3"/>
        </w:rPr>
        <w:t>proyecto</w:t>
      </w:r>
      <w:r w:rsidR="00D37CC2">
        <w:rPr>
          <w:rFonts w:cs="Arial"/>
          <w:spacing w:val="-3"/>
        </w:rPr>
        <w:t>s</w:t>
      </w:r>
      <w:r w:rsidR="0097659F" w:rsidRPr="004E4C01">
        <w:rPr>
          <w:rFonts w:cs="Arial"/>
          <w:spacing w:val="-3"/>
        </w:rPr>
        <w:t>, obra</w:t>
      </w:r>
      <w:r w:rsidR="00D37CC2">
        <w:rPr>
          <w:rFonts w:cs="Arial"/>
          <w:spacing w:val="-3"/>
        </w:rPr>
        <w:t>s</w:t>
      </w:r>
      <w:r w:rsidR="0097659F" w:rsidRPr="004E4C01">
        <w:rPr>
          <w:rFonts w:cs="Arial"/>
          <w:spacing w:val="-3"/>
        </w:rPr>
        <w:t xml:space="preserve"> o actividad</w:t>
      </w:r>
      <w:r w:rsidR="00D37CC2">
        <w:rPr>
          <w:rFonts w:cs="Arial"/>
          <w:spacing w:val="-3"/>
        </w:rPr>
        <w:t>es</w:t>
      </w:r>
      <w:r w:rsidR="0097659F" w:rsidRPr="004E4C01">
        <w:rPr>
          <w:rFonts w:cs="Arial"/>
          <w:spacing w:val="-3"/>
        </w:rPr>
        <w:t xml:space="preserve"> mitig</w:t>
      </w:r>
      <w:r w:rsidR="00435E03">
        <w:rPr>
          <w:rFonts w:cs="Arial"/>
          <w:spacing w:val="-3"/>
        </w:rPr>
        <w:t xml:space="preserve">uen </w:t>
      </w:r>
      <w:r w:rsidR="0097659F" w:rsidRPr="004E4C01">
        <w:rPr>
          <w:rFonts w:cs="Arial"/>
          <w:spacing w:val="-3"/>
        </w:rPr>
        <w:t xml:space="preserve">GEI y </w:t>
      </w:r>
      <w:r w:rsidR="00435E03">
        <w:rPr>
          <w:rFonts w:cs="Arial"/>
          <w:spacing w:val="-3"/>
        </w:rPr>
        <w:t xml:space="preserve">se </w:t>
      </w:r>
      <w:r w:rsidR="0097659F" w:rsidRPr="004E4C01">
        <w:rPr>
          <w:rFonts w:cs="Arial"/>
          <w:spacing w:val="-3"/>
        </w:rPr>
        <w:t>adap</w:t>
      </w:r>
      <w:r w:rsidR="00435E03">
        <w:rPr>
          <w:rFonts w:cs="Arial"/>
          <w:spacing w:val="-3"/>
        </w:rPr>
        <w:t xml:space="preserve">ten </w:t>
      </w:r>
      <w:r w:rsidR="0097659F" w:rsidRPr="004E4C01">
        <w:rPr>
          <w:rFonts w:cs="Arial"/>
          <w:spacing w:val="-3"/>
        </w:rPr>
        <w:t>al cambio climático</w:t>
      </w:r>
      <w:r w:rsidR="00435E03">
        <w:rPr>
          <w:rFonts w:cs="Arial"/>
          <w:spacing w:val="-3"/>
        </w:rPr>
        <w:t xml:space="preserve"> de forma eficaz</w:t>
      </w:r>
      <w:r w:rsidR="0097659F" w:rsidRPr="004E4C01">
        <w:rPr>
          <w:rFonts w:cs="Arial"/>
          <w:spacing w:val="-3"/>
        </w:rPr>
        <w:t>.</w:t>
      </w:r>
    </w:p>
    <w:p w14:paraId="72288F54" w14:textId="77777777" w:rsidR="00691376" w:rsidRPr="004068F6" w:rsidRDefault="00691376" w:rsidP="00D277E7">
      <w:pPr>
        <w:numPr>
          <w:ilvl w:val="12"/>
          <w:numId w:val="0"/>
        </w:numPr>
        <w:tabs>
          <w:tab w:val="left" w:pos="-2268"/>
        </w:tabs>
        <w:suppressAutoHyphens/>
        <w:rPr>
          <w:spacing w:val="-3"/>
        </w:rPr>
      </w:pPr>
    </w:p>
    <w:p w14:paraId="4530E1D7" w14:textId="0EEB425C" w:rsidR="00D277E7" w:rsidRPr="004068F6" w:rsidRDefault="00D277E7" w:rsidP="00D277E7">
      <w:pPr>
        <w:numPr>
          <w:ilvl w:val="12"/>
          <w:numId w:val="0"/>
        </w:numPr>
        <w:tabs>
          <w:tab w:val="left" w:pos="-2268"/>
        </w:tabs>
        <w:suppressAutoHyphens/>
        <w:rPr>
          <w:spacing w:val="-3"/>
        </w:rPr>
      </w:pPr>
      <w:r w:rsidRPr="004068F6">
        <w:rPr>
          <w:spacing w:val="-3"/>
        </w:rPr>
        <w:t xml:space="preserve">La elaboración y presentación de los estudios ambientales debe asegurar un hilo conductor entre los diferentes capítulos, no solo para los propósitos de la evaluación competencia de la autoridad ambiental sino </w:t>
      </w:r>
      <w:r w:rsidR="0092249F">
        <w:rPr>
          <w:spacing w:val="-3"/>
        </w:rPr>
        <w:t xml:space="preserve">también, </w:t>
      </w:r>
      <w:r w:rsidRPr="004068F6">
        <w:rPr>
          <w:spacing w:val="-3"/>
        </w:rPr>
        <w:t>para</w:t>
      </w:r>
      <w:r w:rsidR="00EB4707" w:rsidRPr="004068F6">
        <w:rPr>
          <w:spacing w:val="-3"/>
        </w:rPr>
        <w:t xml:space="preserve"> </w:t>
      </w:r>
      <w:r w:rsidR="00F6774D">
        <w:rPr>
          <w:spacing w:val="-3"/>
        </w:rPr>
        <w:t>facilitar la to</w:t>
      </w:r>
      <w:r w:rsidR="0092249F">
        <w:rPr>
          <w:spacing w:val="-3"/>
        </w:rPr>
        <w:t>ma de decisiones de</w:t>
      </w:r>
      <w:r w:rsidRPr="004068F6">
        <w:rPr>
          <w:spacing w:val="-3"/>
        </w:rPr>
        <w:t>l equipo estructura</w:t>
      </w:r>
      <w:r w:rsidR="00C93545" w:rsidRPr="004068F6">
        <w:rPr>
          <w:spacing w:val="-3"/>
        </w:rPr>
        <w:t>dor</w:t>
      </w:r>
      <w:r w:rsidR="00EB4707" w:rsidRPr="004068F6">
        <w:rPr>
          <w:spacing w:val="-3"/>
        </w:rPr>
        <w:t xml:space="preserve"> </w:t>
      </w:r>
      <w:r w:rsidRPr="004068F6">
        <w:rPr>
          <w:spacing w:val="-3"/>
        </w:rPr>
        <w:t>en relación con la ubicación, el trazado, las tecnologías aplicadas, los recursos ingenieriles a emplear, los recursos económicos que se requiere disponer para su ejecución y l</w:t>
      </w:r>
      <w:r w:rsidR="00AA2E24">
        <w:rPr>
          <w:spacing w:val="-3"/>
        </w:rPr>
        <w:t>as características de l</w:t>
      </w:r>
      <w:r w:rsidRPr="004068F6">
        <w:rPr>
          <w:spacing w:val="-3"/>
        </w:rPr>
        <w:t xml:space="preserve">os planes de manejo </w:t>
      </w:r>
      <w:r w:rsidRPr="004068F6">
        <w:rPr>
          <w:rFonts w:cs="Arial"/>
          <w:spacing w:val="-3"/>
        </w:rPr>
        <w:t xml:space="preserve">ambiental </w:t>
      </w:r>
      <w:r w:rsidR="003318F3">
        <w:rPr>
          <w:spacing w:val="-3"/>
        </w:rPr>
        <w:t xml:space="preserve">para </w:t>
      </w:r>
      <w:r w:rsidRPr="004068F6">
        <w:rPr>
          <w:rFonts w:cs="Arial"/>
          <w:spacing w:val="-3"/>
        </w:rPr>
        <w:t>prevenir, mitigar, corregir y compensar</w:t>
      </w:r>
      <w:r w:rsidRPr="004068F6">
        <w:rPr>
          <w:spacing w:val="-3"/>
        </w:rPr>
        <w:t xml:space="preserve"> los impactos ambientales que produce</w:t>
      </w:r>
      <w:r w:rsidR="00892816" w:rsidRPr="004068F6">
        <w:rPr>
          <w:spacing w:val="-3"/>
        </w:rPr>
        <w:t>n las alternativas o</w:t>
      </w:r>
      <w:r w:rsidRPr="004068F6">
        <w:rPr>
          <w:spacing w:val="-3"/>
        </w:rPr>
        <w:t xml:space="preserve"> un determinado proyecto</w:t>
      </w:r>
      <w:r w:rsidR="00F32AC0" w:rsidRPr="004068F6">
        <w:rPr>
          <w:spacing w:val="-3"/>
        </w:rPr>
        <w:t>, obra o actividad</w:t>
      </w:r>
      <w:r w:rsidRPr="004068F6">
        <w:rPr>
          <w:spacing w:val="-3"/>
        </w:rPr>
        <w:t xml:space="preserve"> en un territorio específico.</w:t>
      </w:r>
    </w:p>
    <w:p w14:paraId="7F54CBB8" w14:textId="77777777" w:rsidR="00D277E7" w:rsidRPr="004068F6" w:rsidRDefault="00D277E7" w:rsidP="00D277E7">
      <w:pPr>
        <w:numPr>
          <w:ilvl w:val="12"/>
          <w:numId w:val="0"/>
        </w:numPr>
        <w:tabs>
          <w:tab w:val="left" w:pos="-2268"/>
        </w:tabs>
        <w:suppressAutoHyphens/>
        <w:rPr>
          <w:spacing w:val="-3"/>
        </w:rPr>
      </w:pPr>
    </w:p>
    <w:p w14:paraId="740261B4" w14:textId="07B27B34" w:rsidR="001917DB" w:rsidRPr="004068F6" w:rsidRDefault="00D277E7">
      <w:pPr>
        <w:numPr>
          <w:ilvl w:val="12"/>
          <w:numId w:val="0"/>
        </w:numPr>
        <w:tabs>
          <w:tab w:val="left" w:pos="-2268"/>
        </w:tabs>
        <w:suppressAutoHyphens/>
        <w:rPr>
          <w:spacing w:val="-3"/>
        </w:rPr>
      </w:pPr>
      <w:r w:rsidRPr="004068F6">
        <w:rPr>
          <w:spacing w:val="-3"/>
        </w:rPr>
        <w:t>En aras de la transparencia</w:t>
      </w:r>
      <w:r w:rsidRPr="004068F6">
        <w:rPr>
          <w:rFonts w:cs="Arial"/>
          <w:spacing w:val="-3"/>
        </w:rPr>
        <w:t xml:space="preserve"> y rigor técnico</w:t>
      </w:r>
      <w:r w:rsidRPr="004068F6">
        <w:rPr>
          <w:spacing w:val="-3"/>
        </w:rPr>
        <w:t xml:space="preserve"> de los estudios, éstos deben presentar de forma completa y detallada las metodologías que se utilizaron para su elaboración, incluyendo los procedimientos de recolección, procesamiento y análisis de la información, grado de incertidumbre, memorias de cálculo, fechas o períodos a los que corresponde el levantamiento de </w:t>
      </w:r>
      <w:r w:rsidR="005A0F59" w:rsidRPr="004068F6">
        <w:rPr>
          <w:rFonts w:cs="Arial"/>
          <w:spacing w:val="-3"/>
        </w:rPr>
        <w:t>ésta</w:t>
      </w:r>
      <w:r w:rsidR="000D17D8" w:rsidRPr="004068F6">
        <w:rPr>
          <w:rFonts w:cs="Arial"/>
          <w:spacing w:val="-3"/>
        </w:rPr>
        <w:t xml:space="preserve">, </w:t>
      </w:r>
      <w:r w:rsidR="000D17D8" w:rsidRPr="004068F6">
        <w:rPr>
          <w:spacing w:val="-3"/>
        </w:rPr>
        <w:t xml:space="preserve">así como los mecanismos de convocatoria a los procesos de participación, las acciones adelantadas para garantizar la participación de </w:t>
      </w:r>
      <w:r w:rsidR="00D264DF" w:rsidRPr="004068F6">
        <w:rPr>
          <w:rFonts w:cs="Arial"/>
        </w:rPr>
        <w:t>personas o grupos con mayores dificultades para acceder a la información</w:t>
      </w:r>
      <w:r w:rsidR="00D264DF" w:rsidRPr="00127BD4">
        <w:rPr>
          <w:rStyle w:val="Refdenotaalpie"/>
          <w:rFonts w:cs="Arial"/>
          <w:lang w:val="es-CO"/>
        </w:rPr>
        <w:footnoteReference w:id="13"/>
      </w:r>
      <w:r w:rsidR="000D17D8" w:rsidRPr="004068F6">
        <w:rPr>
          <w:spacing w:val="-3"/>
        </w:rPr>
        <w:t xml:space="preserve">, la trazabilidad técnica de los instrumentos de consulta y recolección de los aportes </w:t>
      </w:r>
      <w:r w:rsidR="00B8779A" w:rsidRPr="004068F6">
        <w:rPr>
          <w:spacing w:val="-3"/>
        </w:rPr>
        <w:t>de los grupos de interés</w:t>
      </w:r>
      <w:r w:rsidR="000D17D8" w:rsidRPr="004068F6">
        <w:rPr>
          <w:spacing w:val="-3"/>
        </w:rPr>
        <w:t>, entre otras</w:t>
      </w:r>
      <w:r w:rsidRPr="004068F6">
        <w:rPr>
          <w:spacing w:val="-3"/>
        </w:rPr>
        <w:t>.</w:t>
      </w:r>
    </w:p>
    <w:p w14:paraId="1D9BBCA9" w14:textId="77777777" w:rsidR="001917DB" w:rsidRPr="004068F6" w:rsidRDefault="001917DB">
      <w:pPr>
        <w:numPr>
          <w:ilvl w:val="12"/>
          <w:numId w:val="0"/>
        </w:numPr>
        <w:tabs>
          <w:tab w:val="left" w:pos="-2268"/>
        </w:tabs>
        <w:suppressAutoHyphens/>
        <w:rPr>
          <w:spacing w:val="-3"/>
        </w:rPr>
      </w:pPr>
    </w:p>
    <w:p w14:paraId="62373484" w14:textId="652D2D5D" w:rsidR="00A101A4" w:rsidRPr="004068F6" w:rsidRDefault="00FD27FF">
      <w:pPr>
        <w:numPr>
          <w:ilvl w:val="12"/>
          <w:numId w:val="0"/>
        </w:numPr>
        <w:tabs>
          <w:tab w:val="left" w:pos="-2268"/>
        </w:tabs>
        <w:suppressAutoHyphens/>
        <w:rPr>
          <w:spacing w:val="-3"/>
        </w:rPr>
      </w:pPr>
      <w:r w:rsidRPr="004068F6">
        <w:rPr>
          <w:spacing w:val="-3"/>
        </w:rPr>
        <w:t>Igualmente</w:t>
      </w:r>
      <w:r w:rsidR="00D277E7" w:rsidRPr="004068F6">
        <w:rPr>
          <w:spacing w:val="-3"/>
        </w:rPr>
        <w:t xml:space="preserve">, </w:t>
      </w:r>
      <w:r w:rsidR="001917DB" w:rsidRPr="004068F6">
        <w:rPr>
          <w:spacing w:val="-3"/>
        </w:rPr>
        <w:t xml:space="preserve">la elaboración de estudios ambientales </w:t>
      </w:r>
      <w:r w:rsidR="005F7189" w:rsidRPr="004068F6">
        <w:rPr>
          <w:spacing w:val="-3"/>
        </w:rPr>
        <w:t xml:space="preserve">debe </w:t>
      </w:r>
      <w:r w:rsidR="00097EF9" w:rsidRPr="004068F6">
        <w:rPr>
          <w:spacing w:val="-3"/>
        </w:rPr>
        <w:t>est</w:t>
      </w:r>
      <w:r w:rsidR="005F7189" w:rsidRPr="004068F6">
        <w:rPr>
          <w:spacing w:val="-3"/>
        </w:rPr>
        <w:t>ar</w:t>
      </w:r>
      <w:r w:rsidR="00097EF9" w:rsidRPr="004068F6">
        <w:rPr>
          <w:spacing w:val="-3"/>
        </w:rPr>
        <w:t xml:space="preserve"> a cargo de un conjunto de profesionales de diferentes áreas del saber que, de forma </w:t>
      </w:r>
      <w:r w:rsidR="002D7929" w:rsidRPr="004068F6">
        <w:rPr>
          <w:spacing w:val="-3"/>
        </w:rPr>
        <w:t>interdisciplinar</w:t>
      </w:r>
      <w:r w:rsidR="0059012E" w:rsidRPr="004068F6">
        <w:rPr>
          <w:spacing w:val="-3"/>
        </w:rPr>
        <w:t>,</w:t>
      </w:r>
      <w:r w:rsidR="002D7929" w:rsidRPr="004068F6">
        <w:rPr>
          <w:spacing w:val="-3"/>
        </w:rPr>
        <w:t xml:space="preserve"> integren </w:t>
      </w:r>
      <w:r w:rsidR="00D852FE" w:rsidRPr="004068F6">
        <w:rPr>
          <w:spacing w:val="-3"/>
        </w:rPr>
        <w:t xml:space="preserve">las </w:t>
      </w:r>
      <w:r w:rsidR="00307455" w:rsidRPr="004068F6">
        <w:rPr>
          <w:spacing w:val="-3"/>
        </w:rPr>
        <w:t xml:space="preserve">visiones </w:t>
      </w:r>
      <w:r w:rsidR="00CC6960" w:rsidRPr="004068F6">
        <w:rPr>
          <w:spacing w:val="-3"/>
        </w:rPr>
        <w:t xml:space="preserve">y conocimientos </w:t>
      </w:r>
      <w:r w:rsidR="00D852FE" w:rsidRPr="004068F6">
        <w:rPr>
          <w:spacing w:val="-3"/>
        </w:rPr>
        <w:t xml:space="preserve">de </w:t>
      </w:r>
      <w:r w:rsidR="0095124B" w:rsidRPr="004068F6">
        <w:rPr>
          <w:spacing w:val="-3"/>
        </w:rPr>
        <w:t>sus especialidades (</w:t>
      </w:r>
      <w:r w:rsidR="00D852FE" w:rsidRPr="004068F6">
        <w:rPr>
          <w:spacing w:val="-3"/>
        </w:rPr>
        <w:t>naturales y sociales</w:t>
      </w:r>
      <w:r w:rsidR="0095124B" w:rsidRPr="004068F6">
        <w:rPr>
          <w:spacing w:val="-3"/>
        </w:rPr>
        <w:t>)</w:t>
      </w:r>
      <w:r w:rsidR="00D852FE" w:rsidRPr="004068F6">
        <w:rPr>
          <w:spacing w:val="-3"/>
        </w:rPr>
        <w:t xml:space="preserve"> </w:t>
      </w:r>
      <w:r w:rsidR="001459EE" w:rsidRPr="004068F6">
        <w:rPr>
          <w:spacing w:val="-3"/>
        </w:rPr>
        <w:t xml:space="preserve">y así </w:t>
      </w:r>
      <w:r w:rsidR="00DE73A3" w:rsidRPr="004068F6">
        <w:rPr>
          <w:spacing w:val="-3"/>
        </w:rPr>
        <w:t>constru</w:t>
      </w:r>
      <w:r w:rsidR="001459EE" w:rsidRPr="004068F6">
        <w:rPr>
          <w:spacing w:val="-3"/>
        </w:rPr>
        <w:t xml:space="preserve">yan documentos </w:t>
      </w:r>
      <w:r w:rsidR="00A908AC" w:rsidRPr="004068F6">
        <w:rPr>
          <w:spacing w:val="-3"/>
        </w:rPr>
        <w:t xml:space="preserve">que reflejen </w:t>
      </w:r>
      <w:r w:rsidR="002010B6" w:rsidRPr="004068F6">
        <w:rPr>
          <w:spacing w:val="-3"/>
        </w:rPr>
        <w:t xml:space="preserve">coherentemente </w:t>
      </w:r>
      <w:r w:rsidR="00A908AC" w:rsidRPr="004068F6">
        <w:rPr>
          <w:spacing w:val="-3"/>
        </w:rPr>
        <w:t>la complejidad ambiental</w:t>
      </w:r>
      <w:r w:rsidR="002D7929" w:rsidRPr="004068F6">
        <w:rPr>
          <w:spacing w:val="-3"/>
        </w:rPr>
        <w:t xml:space="preserve">. </w:t>
      </w:r>
      <w:r w:rsidR="00CE3ABA" w:rsidRPr="004068F6">
        <w:rPr>
          <w:spacing w:val="-3"/>
        </w:rPr>
        <w:t xml:space="preserve">Es necesario </w:t>
      </w:r>
      <w:r w:rsidR="00D277E7" w:rsidRPr="004068F6">
        <w:rPr>
          <w:spacing w:val="-3"/>
        </w:rPr>
        <w:t>señalar qué profesionales hicieron parte del equipo que participó en la elaboración del estudio, especificando sus disciplinas y tiempo de experiencia en temas relacionados.</w:t>
      </w:r>
    </w:p>
    <w:p w14:paraId="7AE69B5E" w14:textId="38C49FCC" w:rsidR="00A101A4" w:rsidRPr="004068F6" w:rsidRDefault="00A101A4" w:rsidP="00275628">
      <w:pPr>
        <w:overflowPunct/>
        <w:autoSpaceDE/>
        <w:autoSpaceDN/>
        <w:adjustRightInd/>
        <w:jc w:val="left"/>
        <w:textAlignment w:val="auto"/>
      </w:pPr>
      <w:bookmarkStart w:id="1932" w:name="_Ref495933424"/>
    </w:p>
    <w:p w14:paraId="6A333850" w14:textId="77777777" w:rsidR="00A344EC" w:rsidRPr="004068F6" w:rsidRDefault="00A344EC" w:rsidP="00275628">
      <w:pPr>
        <w:overflowPunct/>
        <w:autoSpaceDE/>
        <w:autoSpaceDN/>
        <w:adjustRightInd/>
        <w:jc w:val="left"/>
        <w:textAlignment w:val="auto"/>
      </w:pPr>
    </w:p>
    <w:p w14:paraId="7BE3692B" w14:textId="2AB06321" w:rsidR="00A101A4" w:rsidRPr="004068F6" w:rsidRDefault="00A101A4" w:rsidP="00456AB1">
      <w:pPr>
        <w:pStyle w:val="Ttulo1"/>
        <w:numPr>
          <w:ilvl w:val="0"/>
          <w:numId w:val="7"/>
        </w:numPr>
        <w:rPr>
          <w:lang w:val="es-CO"/>
        </w:rPr>
      </w:pPr>
      <w:bookmarkStart w:id="1933" w:name="_Toc42353706"/>
      <w:bookmarkStart w:id="1934" w:name="_Ref45085611"/>
      <w:bookmarkStart w:id="1935" w:name="_Ref144211971"/>
      <w:bookmarkStart w:id="1936" w:name="_Toc230879553"/>
      <w:r w:rsidRPr="004068F6">
        <w:rPr>
          <w:lang w:val="es-CO"/>
        </w:rPr>
        <w:t>FUENTES DE INFORMACIÓN</w:t>
      </w:r>
      <w:bookmarkEnd w:id="1932"/>
      <w:bookmarkEnd w:id="1933"/>
      <w:bookmarkEnd w:id="1934"/>
      <w:bookmarkEnd w:id="1935"/>
      <w:bookmarkEnd w:id="1936"/>
    </w:p>
    <w:p w14:paraId="5E4698EB" w14:textId="77777777" w:rsidR="00A101A4" w:rsidRPr="004068F6" w:rsidRDefault="00A101A4">
      <w:pPr>
        <w:numPr>
          <w:ilvl w:val="12"/>
          <w:numId w:val="0"/>
        </w:numPr>
        <w:tabs>
          <w:tab w:val="left" w:pos="-2268"/>
        </w:tabs>
        <w:suppressAutoHyphens/>
        <w:rPr>
          <w:spacing w:val="-3"/>
        </w:rPr>
      </w:pPr>
    </w:p>
    <w:p w14:paraId="55656AC7" w14:textId="0E746B63" w:rsidR="00A101A4" w:rsidRPr="004068F6" w:rsidRDefault="00F04B5F">
      <w:pPr>
        <w:numPr>
          <w:ilvl w:val="12"/>
          <w:numId w:val="0"/>
        </w:numPr>
        <w:tabs>
          <w:tab w:val="left" w:pos="-2268"/>
        </w:tabs>
        <w:suppressAutoHyphens/>
        <w:rPr>
          <w:spacing w:val="-3"/>
        </w:rPr>
      </w:pPr>
      <w:r w:rsidRPr="004068F6">
        <w:rPr>
          <w:rFonts w:cs="Arial"/>
          <w:spacing w:val="-3"/>
        </w:rPr>
        <w:t xml:space="preserve">Las </w:t>
      </w:r>
      <w:r w:rsidR="002548DD" w:rsidRPr="004068F6">
        <w:rPr>
          <w:rFonts w:cs="Arial"/>
          <w:spacing w:val="-3"/>
        </w:rPr>
        <w:t>T</w:t>
      </w:r>
      <w:r w:rsidRPr="004068F6">
        <w:rPr>
          <w:rFonts w:cs="Arial"/>
          <w:spacing w:val="-3"/>
        </w:rPr>
        <w:t xml:space="preserve">ablas 1 a </w:t>
      </w:r>
      <w:r w:rsidR="00647B27" w:rsidRPr="004068F6">
        <w:rPr>
          <w:rFonts w:cs="Arial"/>
          <w:spacing w:val="-3"/>
        </w:rPr>
        <w:t>4</w:t>
      </w:r>
      <w:r w:rsidR="00A26D08" w:rsidRPr="004068F6">
        <w:rPr>
          <w:spacing w:val="-3"/>
        </w:rPr>
        <w:t xml:space="preserve"> </w:t>
      </w:r>
      <w:r w:rsidR="00A101A4" w:rsidRPr="004068F6">
        <w:rPr>
          <w:spacing w:val="-3"/>
        </w:rPr>
        <w:t xml:space="preserve">muestran las fuentes de información </w:t>
      </w:r>
      <w:r w:rsidR="00A944EF" w:rsidRPr="004068F6">
        <w:rPr>
          <w:spacing w:val="-3"/>
        </w:rPr>
        <w:t xml:space="preserve">secundaria </w:t>
      </w:r>
      <w:r w:rsidR="00A101A4" w:rsidRPr="004068F6">
        <w:rPr>
          <w:spacing w:val="-3"/>
        </w:rPr>
        <w:t xml:space="preserve">que </w:t>
      </w:r>
      <w:r w:rsidR="00FD27FF" w:rsidRPr="004068F6">
        <w:rPr>
          <w:spacing w:val="-3"/>
        </w:rPr>
        <w:t xml:space="preserve">es posible emplear </w:t>
      </w:r>
      <w:r w:rsidR="00A101A4" w:rsidRPr="004068F6">
        <w:rPr>
          <w:spacing w:val="-3"/>
        </w:rPr>
        <w:t>para el cumplimiento de las especificaciones técnicas de caracterización de los medios abiótico, biótico y socioeconómico</w:t>
      </w:r>
      <w:r w:rsidR="00A101A4" w:rsidRPr="004068F6" w:rsidDel="0073605B">
        <w:rPr>
          <w:spacing w:val="-3"/>
        </w:rPr>
        <w:t xml:space="preserve"> </w:t>
      </w:r>
      <w:r w:rsidR="00FD27FF" w:rsidRPr="004068F6">
        <w:rPr>
          <w:spacing w:val="-3"/>
        </w:rPr>
        <w:t xml:space="preserve">a desarrollar como parte de </w:t>
      </w:r>
      <w:r w:rsidR="00A101A4" w:rsidRPr="004068F6">
        <w:rPr>
          <w:spacing w:val="-3"/>
        </w:rPr>
        <w:t>la elaboración de los estudios ambientales.</w:t>
      </w:r>
      <w:r w:rsidR="00FE6AED" w:rsidRPr="004068F6">
        <w:rPr>
          <w:spacing w:val="-3"/>
        </w:rPr>
        <w:t xml:space="preserve"> </w:t>
      </w:r>
      <w:r w:rsidR="001C5111" w:rsidRPr="004068F6">
        <w:rPr>
          <w:spacing w:val="-3"/>
        </w:rPr>
        <w:t>Es i</w:t>
      </w:r>
      <w:r w:rsidR="00892816" w:rsidRPr="004068F6">
        <w:rPr>
          <w:spacing w:val="-3"/>
        </w:rPr>
        <w:t>mportante tener en cuenta que e</w:t>
      </w:r>
      <w:r w:rsidR="00FE6AED" w:rsidRPr="004068F6">
        <w:rPr>
          <w:spacing w:val="-3"/>
        </w:rPr>
        <w:t xml:space="preserve">s posible </w:t>
      </w:r>
      <w:r w:rsidR="001C5111" w:rsidRPr="004068F6">
        <w:rPr>
          <w:spacing w:val="-3"/>
        </w:rPr>
        <w:t xml:space="preserve">emplear </w:t>
      </w:r>
      <w:r w:rsidR="00FE6AED" w:rsidRPr="004068F6">
        <w:rPr>
          <w:spacing w:val="-3"/>
        </w:rPr>
        <w:t xml:space="preserve">información </w:t>
      </w:r>
      <w:r w:rsidR="009B73B1" w:rsidRPr="004068F6">
        <w:rPr>
          <w:spacing w:val="-3"/>
        </w:rPr>
        <w:t xml:space="preserve">de </w:t>
      </w:r>
      <w:r w:rsidR="008B4E79" w:rsidRPr="004068F6">
        <w:rPr>
          <w:spacing w:val="-3"/>
        </w:rPr>
        <w:t>estas</w:t>
      </w:r>
      <w:r w:rsidR="009B73B1" w:rsidRPr="004068F6">
        <w:rPr>
          <w:spacing w:val="-3"/>
        </w:rPr>
        <w:t xml:space="preserve"> u otras fuentes, sean de entidades del Estado o no</w:t>
      </w:r>
      <w:r w:rsidR="00FE6AED" w:rsidRPr="004068F6">
        <w:rPr>
          <w:spacing w:val="-3"/>
        </w:rPr>
        <w:t xml:space="preserve">, </w:t>
      </w:r>
      <w:r w:rsidR="002D0006" w:rsidRPr="004068F6">
        <w:rPr>
          <w:spacing w:val="-3"/>
        </w:rPr>
        <w:t xml:space="preserve">siempre y cuando </w:t>
      </w:r>
      <w:r w:rsidR="002D4D59" w:rsidRPr="004068F6">
        <w:rPr>
          <w:spacing w:val="-3"/>
        </w:rPr>
        <w:t xml:space="preserve">provean información que </w:t>
      </w:r>
      <w:r w:rsidR="002D0006" w:rsidRPr="004068F6">
        <w:rPr>
          <w:spacing w:val="-3"/>
        </w:rPr>
        <w:t xml:space="preserve">cumpla con las características de calidad requeridas y su escala espacial </w:t>
      </w:r>
      <w:r w:rsidR="007D59A7" w:rsidRPr="004068F6">
        <w:rPr>
          <w:spacing w:val="-3"/>
        </w:rPr>
        <w:t xml:space="preserve">y temporal </w:t>
      </w:r>
      <w:r w:rsidR="002D0006" w:rsidRPr="004068F6">
        <w:rPr>
          <w:spacing w:val="-3"/>
        </w:rPr>
        <w:t>tenga por lo menos el mismo grado de detalle solicitado en los términos de referencia</w:t>
      </w:r>
      <w:r w:rsidR="00DD0D07" w:rsidRPr="004068F6">
        <w:rPr>
          <w:rStyle w:val="Refdenotaalpie"/>
          <w:spacing w:val="-3"/>
          <w:lang w:val="es-CO"/>
        </w:rPr>
        <w:footnoteReference w:id="14"/>
      </w:r>
      <w:r w:rsidR="00FE6AED" w:rsidRPr="004068F6">
        <w:rPr>
          <w:spacing w:val="-3"/>
        </w:rPr>
        <w:t>.</w:t>
      </w:r>
    </w:p>
    <w:p w14:paraId="7D863D87" w14:textId="77777777" w:rsidR="006D50CA" w:rsidRPr="004068F6" w:rsidRDefault="006D50CA">
      <w:pPr>
        <w:numPr>
          <w:ilvl w:val="12"/>
          <w:numId w:val="0"/>
        </w:numPr>
        <w:tabs>
          <w:tab w:val="left" w:pos="-2268"/>
        </w:tabs>
        <w:suppressAutoHyphens/>
        <w:rPr>
          <w:spacing w:val="-3"/>
        </w:rPr>
      </w:pPr>
    </w:p>
    <w:p w14:paraId="51EB354A" w14:textId="60F72B3C" w:rsidR="00A101A4" w:rsidRPr="004068F6" w:rsidRDefault="00A101A4" w:rsidP="00C86DA5">
      <w:pPr>
        <w:pStyle w:val="Descripcin"/>
        <w:jc w:val="center"/>
        <w:rPr>
          <w:b w:val="0"/>
          <w:spacing w:val="-3"/>
        </w:rPr>
      </w:pPr>
      <w:bookmarkStart w:id="1937" w:name="_Ref42345471"/>
      <w:r w:rsidRPr="004068F6">
        <w:t xml:space="preserve">Tabla </w:t>
      </w:r>
      <w:fldSimple w:instr=" SEQ Tabla \* ARABIC ">
        <w:r w:rsidR="009C4A81">
          <w:rPr>
            <w:noProof/>
          </w:rPr>
          <w:t>1</w:t>
        </w:r>
      </w:fldSimple>
      <w:bookmarkEnd w:id="1937"/>
      <w:r w:rsidRPr="004068F6">
        <w:t>.</w:t>
      </w:r>
      <w:r w:rsidRPr="004068F6">
        <w:rPr>
          <w:b w:val="0"/>
        </w:rPr>
        <w:t xml:space="preserve"> </w:t>
      </w:r>
      <w:r w:rsidRPr="004068F6">
        <w:rPr>
          <w:b w:val="0"/>
          <w:spacing w:val="-3"/>
        </w:rPr>
        <w:t>Listado de fuentes de información cartográfica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2239"/>
        <w:gridCol w:w="5217"/>
      </w:tblGrid>
      <w:tr w:rsidR="00A101A4" w:rsidRPr="004068F6" w14:paraId="439153B7" w14:textId="77777777" w:rsidTr="0091507E">
        <w:trPr>
          <w:trHeight w:hRule="exact" w:val="567"/>
          <w:tblHeader/>
          <w:jc w:val="center"/>
        </w:trPr>
        <w:tc>
          <w:tcPr>
            <w:tcW w:w="778" w:type="pct"/>
            <w:tcMar>
              <w:top w:w="28" w:type="dxa"/>
              <w:left w:w="113" w:type="dxa"/>
              <w:bottom w:w="28" w:type="dxa"/>
              <w:right w:w="113" w:type="dxa"/>
            </w:tcMar>
            <w:vAlign w:val="center"/>
          </w:tcPr>
          <w:p w14:paraId="4768347E" w14:textId="6EC52F65" w:rsidR="00A101A4" w:rsidRPr="004068F6" w:rsidRDefault="00F04B5F" w:rsidP="00BA45DD">
            <w:pPr>
              <w:numPr>
                <w:ilvl w:val="12"/>
                <w:numId w:val="0"/>
              </w:numPr>
              <w:tabs>
                <w:tab w:val="left" w:pos="-2268"/>
              </w:tabs>
              <w:suppressAutoHyphens/>
              <w:jc w:val="center"/>
              <w:rPr>
                <w:b/>
                <w:spacing w:val="-3"/>
                <w:sz w:val="22"/>
              </w:rPr>
            </w:pPr>
            <w:r w:rsidRPr="004068F6">
              <w:rPr>
                <w:rFonts w:cs="Arial"/>
                <w:b/>
                <w:spacing w:val="-3"/>
                <w:sz w:val="22"/>
              </w:rPr>
              <w:t>Tipo</w:t>
            </w:r>
          </w:p>
        </w:tc>
        <w:tc>
          <w:tcPr>
            <w:tcW w:w="1268" w:type="pct"/>
            <w:tcMar>
              <w:top w:w="28" w:type="dxa"/>
              <w:left w:w="113" w:type="dxa"/>
              <w:bottom w:w="28" w:type="dxa"/>
              <w:right w:w="113" w:type="dxa"/>
            </w:tcMar>
            <w:vAlign w:val="center"/>
          </w:tcPr>
          <w:p w14:paraId="03B2B319" w14:textId="1DB81FCB" w:rsidR="00A101A4" w:rsidRPr="004068F6" w:rsidRDefault="00F04B5F" w:rsidP="00BA45DD">
            <w:pPr>
              <w:numPr>
                <w:ilvl w:val="12"/>
                <w:numId w:val="0"/>
              </w:numPr>
              <w:tabs>
                <w:tab w:val="left" w:pos="-2268"/>
              </w:tabs>
              <w:suppressAutoHyphens/>
              <w:jc w:val="center"/>
              <w:rPr>
                <w:b/>
                <w:spacing w:val="-3"/>
                <w:sz w:val="22"/>
              </w:rPr>
            </w:pPr>
            <w:r w:rsidRPr="004068F6">
              <w:rPr>
                <w:rFonts w:cs="Arial"/>
                <w:b/>
                <w:spacing w:val="-3"/>
                <w:sz w:val="22"/>
              </w:rPr>
              <w:t xml:space="preserve">Fuente </w:t>
            </w:r>
            <w:r w:rsidR="00EC4852" w:rsidRPr="004068F6">
              <w:rPr>
                <w:rFonts w:cs="Arial"/>
                <w:b/>
                <w:spacing w:val="-3"/>
                <w:sz w:val="22"/>
              </w:rPr>
              <w:t>p</w:t>
            </w:r>
            <w:r w:rsidRPr="004068F6">
              <w:rPr>
                <w:rFonts w:cs="Arial"/>
                <w:b/>
                <w:spacing w:val="-3"/>
                <w:sz w:val="22"/>
              </w:rPr>
              <w:t>rincipal</w:t>
            </w:r>
          </w:p>
        </w:tc>
        <w:tc>
          <w:tcPr>
            <w:tcW w:w="2954" w:type="pct"/>
            <w:tcMar>
              <w:top w:w="28" w:type="dxa"/>
              <w:left w:w="113" w:type="dxa"/>
              <w:bottom w:w="28" w:type="dxa"/>
              <w:right w:w="113" w:type="dxa"/>
            </w:tcMar>
            <w:vAlign w:val="center"/>
          </w:tcPr>
          <w:p w14:paraId="798D7A14" w14:textId="3BA86A04" w:rsidR="00A101A4" w:rsidRPr="004068F6" w:rsidRDefault="00F04B5F" w:rsidP="00BA45DD">
            <w:pPr>
              <w:numPr>
                <w:ilvl w:val="12"/>
                <w:numId w:val="0"/>
              </w:numPr>
              <w:tabs>
                <w:tab w:val="left" w:pos="-2268"/>
              </w:tabs>
              <w:suppressAutoHyphens/>
              <w:jc w:val="center"/>
              <w:rPr>
                <w:b/>
                <w:spacing w:val="-3"/>
                <w:sz w:val="22"/>
              </w:rPr>
            </w:pPr>
            <w:r w:rsidRPr="004068F6">
              <w:rPr>
                <w:rFonts w:cs="Arial"/>
                <w:b/>
                <w:spacing w:val="-3"/>
                <w:sz w:val="22"/>
              </w:rPr>
              <w:t>Observaciones</w:t>
            </w:r>
          </w:p>
        </w:tc>
      </w:tr>
      <w:tr w:rsidR="00A101A4" w:rsidRPr="004068F6" w14:paraId="7F624480" w14:textId="77777777" w:rsidTr="009420F5">
        <w:trPr>
          <w:jc w:val="center"/>
        </w:trPr>
        <w:tc>
          <w:tcPr>
            <w:tcW w:w="778" w:type="pct"/>
            <w:tcMar>
              <w:top w:w="28" w:type="dxa"/>
              <w:left w:w="113" w:type="dxa"/>
              <w:bottom w:w="28" w:type="dxa"/>
              <w:right w:w="113" w:type="dxa"/>
            </w:tcMar>
            <w:vAlign w:val="center"/>
          </w:tcPr>
          <w:p w14:paraId="39457676" w14:textId="77777777" w:rsidR="00A101A4" w:rsidRPr="004068F6" w:rsidRDefault="00A101A4">
            <w:pPr>
              <w:numPr>
                <w:ilvl w:val="12"/>
                <w:numId w:val="0"/>
              </w:numPr>
              <w:tabs>
                <w:tab w:val="left" w:pos="-2268"/>
              </w:tabs>
              <w:suppressAutoHyphens/>
              <w:rPr>
                <w:b/>
                <w:spacing w:val="-3"/>
                <w:sz w:val="20"/>
                <w:szCs w:val="22"/>
              </w:rPr>
            </w:pPr>
            <w:r w:rsidRPr="004068F6">
              <w:rPr>
                <w:b/>
                <w:spacing w:val="-3"/>
                <w:sz w:val="20"/>
                <w:szCs w:val="22"/>
              </w:rPr>
              <w:t>Cartografía básica</w:t>
            </w:r>
          </w:p>
        </w:tc>
        <w:tc>
          <w:tcPr>
            <w:tcW w:w="1268" w:type="pct"/>
            <w:tcMar>
              <w:top w:w="28" w:type="dxa"/>
              <w:left w:w="113" w:type="dxa"/>
              <w:bottom w:w="28" w:type="dxa"/>
              <w:right w:w="113" w:type="dxa"/>
            </w:tcMar>
            <w:vAlign w:val="center"/>
          </w:tcPr>
          <w:p w14:paraId="38DE64AF" w14:textId="5A7F8745"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 xml:space="preserve">IGAC, </w:t>
            </w:r>
            <w:r w:rsidR="000F6349" w:rsidRPr="004068F6">
              <w:rPr>
                <w:spacing w:val="-3"/>
                <w:sz w:val="20"/>
                <w:szCs w:val="22"/>
              </w:rPr>
              <w:t>Dimar</w:t>
            </w:r>
            <w:r w:rsidR="00DD4D5E" w:rsidRPr="004068F6">
              <w:rPr>
                <w:spacing w:val="-3"/>
                <w:sz w:val="20"/>
                <w:szCs w:val="22"/>
              </w:rPr>
              <w:t>, CIOH, Invemar</w:t>
            </w:r>
            <w:r w:rsidRPr="004068F6">
              <w:rPr>
                <w:spacing w:val="-3"/>
                <w:sz w:val="20"/>
                <w:szCs w:val="22"/>
              </w:rPr>
              <w:t>.</w:t>
            </w:r>
          </w:p>
        </w:tc>
        <w:tc>
          <w:tcPr>
            <w:tcW w:w="2954" w:type="pct"/>
            <w:tcMar>
              <w:top w:w="28" w:type="dxa"/>
              <w:left w:w="113" w:type="dxa"/>
              <w:bottom w:w="28" w:type="dxa"/>
              <w:right w:w="113" w:type="dxa"/>
            </w:tcMar>
          </w:tcPr>
          <w:p w14:paraId="46C962EB" w14:textId="2DCDF35C"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Se puede actualiza</w:t>
            </w:r>
            <w:r w:rsidR="00FD27FF" w:rsidRPr="004068F6">
              <w:rPr>
                <w:spacing w:val="-3"/>
                <w:sz w:val="20"/>
                <w:szCs w:val="22"/>
              </w:rPr>
              <w:t xml:space="preserve">r </w:t>
            </w:r>
            <w:r w:rsidRPr="004068F6">
              <w:rPr>
                <w:spacing w:val="-3"/>
                <w:sz w:val="20"/>
                <w:szCs w:val="22"/>
              </w:rPr>
              <w:t>o ajust</w:t>
            </w:r>
            <w:r w:rsidR="00FD27FF" w:rsidRPr="004068F6">
              <w:rPr>
                <w:spacing w:val="-3"/>
                <w:sz w:val="20"/>
                <w:szCs w:val="22"/>
              </w:rPr>
              <w:t>ar</w:t>
            </w:r>
            <w:r w:rsidRPr="004068F6">
              <w:rPr>
                <w:spacing w:val="-3"/>
                <w:sz w:val="20"/>
                <w:szCs w:val="22"/>
              </w:rPr>
              <w:t xml:space="preserve"> </w:t>
            </w:r>
            <w:r w:rsidR="00FD27FF" w:rsidRPr="004068F6">
              <w:rPr>
                <w:spacing w:val="-3"/>
                <w:sz w:val="20"/>
                <w:szCs w:val="22"/>
              </w:rPr>
              <w:t xml:space="preserve">la </w:t>
            </w:r>
            <w:r w:rsidRPr="004068F6">
              <w:rPr>
                <w:spacing w:val="-3"/>
                <w:sz w:val="20"/>
                <w:szCs w:val="22"/>
              </w:rPr>
              <w:t xml:space="preserve">cartografía a partir de información primaria y secundaria, siguiendo los estándares de generación de cartografía del IGAC; asimismo, dicha actualización puede tomar como insumo las imágenes de sensores remotos (imágenes de satélite, ortofotografías, imágenes radar y lidar, entre otras) </w:t>
            </w:r>
            <w:r w:rsidR="009B73B1" w:rsidRPr="004068F6">
              <w:rPr>
                <w:spacing w:val="-3"/>
                <w:sz w:val="20"/>
                <w:szCs w:val="22"/>
              </w:rPr>
              <w:t>disponibles</w:t>
            </w:r>
            <w:r w:rsidRPr="004068F6">
              <w:rPr>
                <w:spacing w:val="-3"/>
                <w:sz w:val="20"/>
                <w:szCs w:val="22"/>
              </w:rPr>
              <w:t xml:space="preserve"> </w:t>
            </w:r>
            <w:r w:rsidR="009B73B1" w:rsidRPr="004068F6">
              <w:rPr>
                <w:spacing w:val="-3"/>
                <w:sz w:val="20"/>
                <w:szCs w:val="22"/>
              </w:rPr>
              <w:t>en</w:t>
            </w:r>
            <w:r w:rsidRPr="004068F6">
              <w:rPr>
                <w:spacing w:val="-3"/>
                <w:sz w:val="20"/>
                <w:szCs w:val="22"/>
              </w:rPr>
              <w:t xml:space="preserve"> di</w:t>
            </w:r>
            <w:r w:rsidR="009B73B1" w:rsidRPr="004068F6">
              <w:rPr>
                <w:spacing w:val="-3"/>
                <w:sz w:val="20"/>
                <w:szCs w:val="22"/>
              </w:rPr>
              <w:t>ferentes</w:t>
            </w:r>
            <w:r w:rsidRPr="004068F6">
              <w:rPr>
                <w:spacing w:val="-3"/>
                <w:sz w:val="20"/>
                <w:szCs w:val="22"/>
              </w:rPr>
              <w:t xml:space="preserve"> fuentes.</w:t>
            </w:r>
          </w:p>
          <w:p w14:paraId="36E4A6F1" w14:textId="77777777" w:rsidR="00A101A4" w:rsidRPr="004068F6" w:rsidRDefault="00A101A4">
            <w:pPr>
              <w:numPr>
                <w:ilvl w:val="12"/>
                <w:numId w:val="0"/>
              </w:numPr>
              <w:tabs>
                <w:tab w:val="left" w:pos="-2268"/>
              </w:tabs>
              <w:suppressAutoHyphens/>
              <w:rPr>
                <w:spacing w:val="-3"/>
                <w:sz w:val="20"/>
                <w:szCs w:val="22"/>
              </w:rPr>
            </w:pPr>
          </w:p>
          <w:p w14:paraId="7F2E9537" w14:textId="77777777"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 xml:space="preserve">Para la elaboración de cartografía básica se debe tener en cuenta las especificaciones del IGAC, ente rector en </w:t>
            </w:r>
            <w:r w:rsidR="009B73B1" w:rsidRPr="004068F6">
              <w:rPr>
                <w:spacing w:val="-3"/>
                <w:sz w:val="20"/>
                <w:szCs w:val="22"/>
              </w:rPr>
              <w:t xml:space="preserve">la </w:t>
            </w:r>
            <w:r w:rsidRPr="004068F6">
              <w:rPr>
                <w:spacing w:val="-3"/>
                <w:sz w:val="20"/>
                <w:szCs w:val="22"/>
              </w:rPr>
              <w:t>producción de información geográfica y cartográfica en el país.</w:t>
            </w:r>
          </w:p>
          <w:p w14:paraId="2BC41A6F" w14:textId="77777777" w:rsidR="00265FCB" w:rsidRPr="004068F6" w:rsidRDefault="00265FCB">
            <w:pPr>
              <w:numPr>
                <w:ilvl w:val="12"/>
                <w:numId w:val="0"/>
              </w:numPr>
              <w:tabs>
                <w:tab w:val="left" w:pos="-2268"/>
              </w:tabs>
              <w:suppressAutoHyphens/>
              <w:rPr>
                <w:spacing w:val="-3"/>
                <w:sz w:val="20"/>
                <w:szCs w:val="22"/>
              </w:rPr>
            </w:pPr>
          </w:p>
          <w:p w14:paraId="7CE52FA8" w14:textId="691EE547" w:rsidR="00265FCB" w:rsidRPr="004068F6" w:rsidRDefault="00265FCB" w:rsidP="00713FA8">
            <w:pPr>
              <w:numPr>
                <w:ilvl w:val="12"/>
                <w:numId w:val="0"/>
              </w:numPr>
              <w:tabs>
                <w:tab w:val="left" w:pos="-2268"/>
              </w:tabs>
              <w:suppressAutoHyphens/>
              <w:rPr>
                <w:spacing w:val="-3"/>
                <w:sz w:val="20"/>
                <w:szCs w:val="22"/>
              </w:rPr>
            </w:pPr>
            <w:r w:rsidRPr="004068F6">
              <w:rPr>
                <w:spacing w:val="-3"/>
                <w:sz w:val="20"/>
                <w:szCs w:val="22"/>
              </w:rPr>
              <w:t xml:space="preserve">Para la batimetría se deben tener en cuenta las especificaciones del Servicio Hidrográfico Nacional de CIOH a cargo de la </w:t>
            </w:r>
            <w:r w:rsidR="001A5E20" w:rsidRPr="004068F6">
              <w:rPr>
                <w:spacing w:val="-3"/>
                <w:sz w:val="20"/>
                <w:szCs w:val="22"/>
              </w:rPr>
              <w:t>Dimar</w:t>
            </w:r>
            <w:r w:rsidRPr="004068F6">
              <w:rPr>
                <w:spacing w:val="-3"/>
                <w:sz w:val="20"/>
                <w:szCs w:val="22"/>
              </w:rPr>
              <w:t>, ente rector en la producción de información geográfica y cartográfica en las zonas costeras y marinas del país (cuencas Pacífico y Caribe), puertos, aguas interiores marítimas, mar territorial, principales ríos ubicados en la zona de frontera, desembocadura del río Magdalena, canales intercostales y tráfico marítimo y fluvial.</w:t>
            </w:r>
            <w:r w:rsidR="00713FA8" w:rsidRPr="004068F6">
              <w:rPr>
                <w:spacing w:val="-3"/>
                <w:sz w:val="20"/>
                <w:szCs w:val="22"/>
              </w:rPr>
              <w:t xml:space="preserve"> También es posible consultar </w:t>
            </w:r>
            <w:r w:rsidR="002D7CFB" w:rsidRPr="004068F6">
              <w:rPr>
                <w:spacing w:val="-3"/>
                <w:sz w:val="20"/>
                <w:szCs w:val="22"/>
              </w:rPr>
              <w:t xml:space="preserve">en </w:t>
            </w:r>
            <w:r w:rsidR="00713FA8" w:rsidRPr="004068F6">
              <w:rPr>
                <w:spacing w:val="-3"/>
                <w:sz w:val="20"/>
                <w:szCs w:val="22"/>
              </w:rPr>
              <w:t xml:space="preserve">el </w:t>
            </w:r>
            <w:r w:rsidRPr="004068F6">
              <w:rPr>
                <w:spacing w:val="-3"/>
                <w:sz w:val="20"/>
                <w:szCs w:val="22"/>
              </w:rPr>
              <w:t xml:space="preserve">Geovisor de </w:t>
            </w:r>
            <w:r w:rsidR="001A5E20" w:rsidRPr="004068F6">
              <w:rPr>
                <w:spacing w:val="-3"/>
                <w:sz w:val="20"/>
                <w:szCs w:val="22"/>
              </w:rPr>
              <w:t>Invemar</w:t>
            </w:r>
            <w:r w:rsidRPr="004068F6">
              <w:rPr>
                <w:spacing w:val="-3"/>
                <w:sz w:val="20"/>
                <w:szCs w:val="22"/>
              </w:rPr>
              <w:t xml:space="preserve">, </w:t>
            </w:r>
            <w:r w:rsidR="008236F8" w:rsidRPr="004068F6">
              <w:rPr>
                <w:spacing w:val="-3"/>
                <w:sz w:val="20"/>
                <w:szCs w:val="22"/>
              </w:rPr>
              <w:t>e</w:t>
            </w:r>
            <w:r w:rsidRPr="004068F6">
              <w:rPr>
                <w:spacing w:val="-3"/>
                <w:sz w:val="20"/>
                <w:szCs w:val="22"/>
              </w:rPr>
              <w:t>l régimen común de Jamaica y el Sistema para el soporte a la toma de decisiones de las Áreas Marinas Protegidas de Colombia (SSD – SAMP).</w:t>
            </w:r>
            <w:r w:rsidR="00713FA8" w:rsidRPr="004068F6">
              <w:rPr>
                <w:spacing w:val="-3"/>
                <w:sz w:val="20"/>
                <w:szCs w:val="22"/>
              </w:rPr>
              <w:t xml:space="preserve"> </w:t>
            </w:r>
            <w:r w:rsidR="00EF3166" w:rsidRPr="004068F6">
              <w:rPr>
                <w:spacing w:val="-3"/>
                <w:sz w:val="20"/>
                <w:szCs w:val="22"/>
              </w:rPr>
              <w:t>Asimismo, existen b</w:t>
            </w:r>
            <w:r w:rsidRPr="004068F6">
              <w:rPr>
                <w:spacing w:val="-3"/>
                <w:sz w:val="20"/>
                <w:szCs w:val="22"/>
              </w:rPr>
              <w:t xml:space="preserve">ases de datos internacionales de </w:t>
            </w:r>
            <w:r w:rsidRPr="004068F6">
              <w:rPr>
                <w:spacing w:val="-3"/>
                <w:sz w:val="20"/>
                <w:szCs w:val="22"/>
              </w:rPr>
              <w:lastRenderedPageBreak/>
              <w:t>batimetrías</w:t>
            </w:r>
            <w:r w:rsidR="00EF3166" w:rsidRPr="004068F6">
              <w:rPr>
                <w:spacing w:val="-3"/>
                <w:sz w:val="20"/>
                <w:szCs w:val="22"/>
              </w:rPr>
              <w:t xml:space="preserve"> como</w:t>
            </w:r>
            <w:r w:rsidRPr="004068F6">
              <w:rPr>
                <w:spacing w:val="-3"/>
                <w:sz w:val="20"/>
                <w:szCs w:val="22"/>
              </w:rPr>
              <w:t xml:space="preserve"> https://www.ncei.noaa.gov/products/etopo-global-relief-model y www.gebco.net</w:t>
            </w:r>
          </w:p>
        </w:tc>
      </w:tr>
      <w:tr w:rsidR="00A101A4" w:rsidRPr="004068F6" w14:paraId="1153FE7C" w14:textId="77777777" w:rsidTr="009420F5">
        <w:trPr>
          <w:jc w:val="center"/>
        </w:trPr>
        <w:tc>
          <w:tcPr>
            <w:tcW w:w="778" w:type="pct"/>
            <w:tcMar>
              <w:top w:w="28" w:type="dxa"/>
              <w:left w:w="113" w:type="dxa"/>
              <w:bottom w:w="28" w:type="dxa"/>
              <w:right w:w="113" w:type="dxa"/>
            </w:tcMar>
            <w:vAlign w:val="center"/>
          </w:tcPr>
          <w:p w14:paraId="77EAE818" w14:textId="77777777" w:rsidR="00A101A4" w:rsidRPr="004068F6" w:rsidRDefault="00A101A4">
            <w:pPr>
              <w:numPr>
                <w:ilvl w:val="12"/>
                <w:numId w:val="0"/>
              </w:numPr>
              <w:tabs>
                <w:tab w:val="left" w:pos="-2268"/>
              </w:tabs>
              <w:suppressAutoHyphens/>
              <w:rPr>
                <w:b/>
                <w:spacing w:val="-3"/>
                <w:sz w:val="20"/>
                <w:szCs w:val="22"/>
              </w:rPr>
            </w:pPr>
            <w:r w:rsidRPr="004068F6">
              <w:rPr>
                <w:b/>
                <w:spacing w:val="-3"/>
                <w:sz w:val="20"/>
                <w:szCs w:val="22"/>
              </w:rPr>
              <w:t>Cartografía temática</w:t>
            </w:r>
          </w:p>
        </w:tc>
        <w:tc>
          <w:tcPr>
            <w:tcW w:w="1268" w:type="pct"/>
            <w:tcMar>
              <w:top w:w="28" w:type="dxa"/>
              <w:left w:w="113" w:type="dxa"/>
              <w:bottom w:w="28" w:type="dxa"/>
              <w:right w:w="113" w:type="dxa"/>
            </w:tcMar>
            <w:vAlign w:val="center"/>
          </w:tcPr>
          <w:p w14:paraId="09D6DBD4" w14:textId="0391A123"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 xml:space="preserve">IGAC, </w:t>
            </w:r>
            <w:r w:rsidR="000F6349" w:rsidRPr="004068F6">
              <w:rPr>
                <w:spacing w:val="-3"/>
                <w:sz w:val="20"/>
                <w:szCs w:val="22"/>
              </w:rPr>
              <w:t>Dimar</w:t>
            </w:r>
            <w:r w:rsidRPr="004068F6">
              <w:rPr>
                <w:spacing w:val="-3"/>
                <w:sz w:val="20"/>
                <w:szCs w:val="22"/>
              </w:rPr>
              <w:t xml:space="preserve">, SGC, </w:t>
            </w:r>
            <w:r w:rsidR="00BB2DE4" w:rsidRPr="004068F6">
              <w:rPr>
                <w:spacing w:val="-3"/>
                <w:sz w:val="20"/>
                <w:szCs w:val="22"/>
              </w:rPr>
              <w:t>a</w:t>
            </w:r>
            <w:r w:rsidRPr="004068F6">
              <w:rPr>
                <w:rFonts w:cs="Arial"/>
                <w:spacing w:val="-3"/>
                <w:sz w:val="20"/>
                <w:szCs w:val="22"/>
              </w:rPr>
              <w:t xml:space="preserve">utoridades </w:t>
            </w:r>
            <w:r w:rsidR="00BB2DE4" w:rsidRPr="004068F6">
              <w:rPr>
                <w:rFonts w:cs="Arial"/>
                <w:spacing w:val="-3"/>
                <w:sz w:val="20"/>
                <w:szCs w:val="22"/>
              </w:rPr>
              <w:t>a</w:t>
            </w:r>
            <w:r w:rsidRPr="004068F6">
              <w:rPr>
                <w:rFonts w:cs="Arial"/>
                <w:spacing w:val="-3"/>
                <w:sz w:val="20"/>
                <w:szCs w:val="22"/>
              </w:rPr>
              <w:t>mbientales</w:t>
            </w:r>
            <w:r w:rsidRPr="004068F6">
              <w:rPr>
                <w:spacing w:val="-3"/>
                <w:sz w:val="20"/>
                <w:szCs w:val="22"/>
              </w:rPr>
              <w:t xml:space="preserve">, </w:t>
            </w:r>
            <w:r w:rsidR="00A92356" w:rsidRPr="004068F6">
              <w:rPr>
                <w:spacing w:val="-3"/>
                <w:sz w:val="20"/>
                <w:szCs w:val="22"/>
              </w:rPr>
              <w:t>Ideam</w:t>
            </w:r>
            <w:r w:rsidRPr="004068F6">
              <w:rPr>
                <w:spacing w:val="-3"/>
                <w:sz w:val="20"/>
                <w:szCs w:val="22"/>
              </w:rPr>
              <w:t>, DANE</w:t>
            </w:r>
            <w:r w:rsidR="00BB065D" w:rsidRPr="004068F6">
              <w:rPr>
                <w:spacing w:val="-3"/>
                <w:sz w:val="20"/>
                <w:szCs w:val="22"/>
              </w:rPr>
              <w:t>, POT, PBOT, EOT, entes territoriales</w:t>
            </w:r>
            <w:r w:rsidRPr="004068F6">
              <w:rPr>
                <w:spacing w:val="-3"/>
                <w:sz w:val="20"/>
                <w:szCs w:val="22"/>
              </w:rPr>
              <w:t>.</w:t>
            </w:r>
          </w:p>
        </w:tc>
        <w:tc>
          <w:tcPr>
            <w:tcW w:w="2954" w:type="pct"/>
            <w:tcMar>
              <w:top w:w="28" w:type="dxa"/>
              <w:left w:w="113" w:type="dxa"/>
              <w:bottom w:w="28" w:type="dxa"/>
              <w:right w:w="113" w:type="dxa"/>
            </w:tcMar>
          </w:tcPr>
          <w:p w14:paraId="12BC1847" w14:textId="76328A08"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Se puede ajust</w:t>
            </w:r>
            <w:r w:rsidR="000465FD" w:rsidRPr="004068F6">
              <w:rPr>
                <w:spacing w:val="-3"/>
                <w:sz w:val="20"/>
                <w:szCs w:val="22"/>
              </w:rPr>
              <w:t>ar</w:t>
            </w:r>
            <w:r w:rsidRPr="004068F6">
              <w:rPr>
                <w:spacing w:val="-3"/>
                <w:sz w:val="20"/>
                <w:szCs w:val="22"/>
              </w:rPr>
              <w:t xml:space="preserve"> </w:t>
            </w:r>
            <w:r w:rsidR="000465FD" w:rsidRPr="004068F6">
              <w:rPr>
                <w:spacing w:val="-3"/>
                <w:sz w:val="20"/>
                <w:szCs w:val="22"/>
              </w:rPr>
              <w:t xml:space="preserve">la </w:t>
            </w:r>
            <w:r w:rsidRPr="004068F6">
              <w:rPr>
                <w:spacing w:val="-3"/>
                <w:sz w:val="20"/>
                <w:szCs w:val="22"/>
              </w:rPr>
              <w:t xml:space="preserve">cartografía a partir de información primaria </w:t>
            </w:r>
            <w:r w:rsidR="009B73B1" w:rsidRPr="004068F6">
              <w:rPr>
                <w:spacing w:val="-3"/>
                <w:sz w:val="20"/>
                <w:szCs w:val="22"/>
              </w:rPr>
              <w:t>o</w:t>
            </w:r>
            <w:r w:rsidRPr="004068F6">
              <w:rPr>
                <w:spacing w:val="-3"/>
                <w:sz w:val="20"/>
                <w:szCs w:val="22"/>
              </w:rPr>
              <w:t xml:space="preserve"> secundaria, siguiendo los estándares en generación de cartografía del IGAC; asimismo, dicha actualización puede tomar como insumo las imágenes de sensores remotos (imágenes de satélite, ortofotografías, imágenes radar y lidar, entre otras) </w:t>
            </w:r>
            <w:r w:rsidR="009B73B1" w:rsidRPr="004068F6">
              <w:rPr>
                <w:spacing w:val="-3"/>
                <w:sz w:val="20"/>
                <w:szCs w:val="22"/>
              </w:rPr>
              <w:t>disponibles en diferentes</w:t>
            </w:r>
            <w:r w:rsidRPr="004068F6">
              <w:rPr>
                <w:spacing w:val="-3"/>
                <w:sz w:val="20"/>
                <w:szCs w:val="22"/>
              </w:rPr>
              <w:t xml:space="preserve"> fuentes.</w:t>
            </w:r>
          </w:p>
          <w:p w14:paraId="54FC217A" w14:textId="77777777" w:rsidR="00A101A4" w:rsidRPr="004068F6" w:rsidRDefault="00A101A4">
            <w:pPr>
              <w:numPr>
                <w:ilvl w:val="12"/>
                <w:numId w:val="0"/>
              </w:numPr>
              <w:tabs>
                <w:tab w:val="left" w:pos="-2268"/>
              </w:tabs>
              <w:suppressAutoHyphens/>
              <w:rPr>
                <w:spacing w:val="-3"/>
                <w:sz w:val="20"/>
                <w:szCs w:val="22"/>
              </w:rPr>
            </w:pPr>
          </w:p>
          <w:p w14:paraId="679D1C4F" w14:textId="3D43BBEE"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Para la construcción o elaboración de cartografía temática se debe</w:t>
            </w:r>
            <w:r w:rsidR="001C5111" w:rsidRPr="004068F6">
              <w:rPr>
                <w:spacing w:val="-3"/>
                <w:sz w:val="20"/>
                <w:szCs w:val="22"/>
              </w:rPr>
              <w:t>n</w:t>
            </w:r>
            <w:r w:rsidRPr="004068F6">
              <w:rPr>
                <w:spacing w:val="-3"/>
                <w:sz w:val="20"/>
                <w:szCs w:val="22"/>
              </w:rPr>
              <w:t xml:space="preserve"> tener en cuenta las especificaciones del IGAC, </w:t>
            </w:r>
            <w:r w:rsidR="009B73B1" w:rsidRPr="004068F6">
              <w:rPr>
                <w:spacing w:val="-3"/>
                <w:sz w:val="20"/>
                <w:szCs w:val="22"/>
              </w:rPr>
              <w:t xml:space="preserve">así como </w:t>
            </w:r>
            <w:r w:rsidRPr="004068F6">
              <w:rPr>
                <w:spacing w:val="-3"/>
                <w:sz w:val="20"/>
                <w:szCs w:val="22"/>
              </w:rPr>
              <w:t xml:space="preserve">los estándares emitidos por las entidades oficiales, </w:t>
            </w:r>
            <w:r w:rsidR="009B73B1" w:rsidRPr="004068F6">
              <w:rPr>
                <w:spacing w:val="-3"/>
                <w:sz w:val="20"/>
                <w:szCs w:val="22"/>
              </w:rPr>
              <w:t xml:space="preserve">y </w:t>
            </w:r>
            <w:r w:rsidRPr="004068F6">
              <w:rPr>
                <w:spacing w:val="-3"/>
                <w:sz w:val="20"/>
                <w:szCs w:val="22"/>
              </w:rPr>
              <w:t>lo solicitado en los términos de referencia.</w:t>
            </w:r>
          </w:p>
        </w:tc>
      </w:tr>
    </w:tbl>
    <w:p w14:paraId="53F05821" w14:textId="77777777" w:rsidR="0099660C" w:rsidRPr="004068F6" w:rsidRDefault="0099660C">
      <w:pPr>
        <w:numPr>
          <w:ilvl w:val="12"/>
          <w:numId w:val="0"/>
        </w:numPr>
        <w:tabs>
          <w:tab w:val="left" w:pos="-2268"/>
        </w:tabs>
        <w:suppressAutoHyphens/>
        <w:rPr>
          <w:spacing w:val="-3"/>
        </w:rPr>
      </w:pPr>
    </w:p>
    <w:p w14:paraId="589CD8E4" w14:textId="0F39784A" w:rsidR="00A101A4" w:rsidRPr="004068F6" w:rsidRDefault="00A101A4" w:rsidP="00C86DA5">
      <w:pPr>
        <w:pStyle w:val="Descripcin"/>
        <w:jc w:val="center"/>
        <w:rPr>
          <w:b w:val="0"/>
        </w:rPr>
      </w:pPr>
      <w:r w:rsidRPr="004068F6">
        <w:t xml:space="preserve">Tabla </w:t>
      </w:r>
      <w:fldSimple w:instr=" SEQ Tabla \* ARABIC ">
        <w:r w:rsidR="009C4A81">
          <w:rPr>
            <w:noProof/>
          </w:rPr>
          <w:t>2</w:t>
        </w:r>
      </w:fldSimple>
      <w:r w:rsidRPr="004068F6">
        <w:t>.</w:t>
      </w:r>
      <w:r w:rsidRPr="004068F6">
        <w:rPr>
          <w:b w:val="0"/>
        </w:rPr>
        <w:t xml:space="preserve"> Fuentes de información del medio abiótico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3066"/>
        <w:gridCol w:w="3536"/>
      </w:tblGrid>
      <w:tr w:rsidR="00A101A4" w:rsidRPr="004068F6" w14:paraId="2435762C" w14:textId="77777777" w:rsidTr="0099660C">
        <w:trPr>
          <w:trHeight w:hRule="exact" w:val="567"/>
          <w:tblHeader/>
          <w:jc w:val="center"/>
        </w:trPr>
        <w:tc>
          <w:tcPr>
            <w:tcW w:w="1262" w:type="pct"/>
            <w:vAlign w:val="center"/>
          </w:tcPr>
          <w:p w14:paraId="143989A2" w14:textId="70EE1E8C" w:rsidR="00A101A4" w:rsidRPr="004068F6" w:rsidRDefault="00F04B5F" w:rsidP="00BA45DD">
            <w:pPr>
              <w:numPr>
                <w:ilvl w:val="12"/>
                <w:numId w:val="0"/>
              </w:numPr>
              <w:tabs>
                <w:tab w:val="left" w:pos="-2268"/>
              </w:tabs>
              <w:suppressAutoHyphens/>
              <w:jc w:val="center"/>
              <w:rPr>
                <w:rFonts w:cs="Arial"/>
                <w:b/>
                <w:spacing w:val="-3"/>
                <w:sz w:val="22"/>
              </w:rPr>
            </w:pPr>
            <w:r w:rsidRPr="004068F6">
              <w:rPr>
                <w:rFonts w:cs="Arial"/>
                <w:b/>
                <w:spacing w:val="-3"/>
                <w:sz w:val="22"/>
              </w:rPr>
              <w:t>Componente</w:t>
            </w:r>
          </w:p>
        </w:tc>
        <w:tc>
          <w:tcPr>
            <w:tcW w:w="1736" w:type="pct"/>
            <w:vAlign w:val="center"/>
          </w:tcPr>
          <w:p w14:paraId="7E61C76B" w14:textId="7A16C975" w:rsidR="00A101A4" w:rsidRPr="004068F6" w:rsidRDefault="00F04B5F" w:rsidP="00BA45DD">
            <w:pPr>
              <w:numPr>
                <w:ilvl w:val="12"/>
                <w:numId w:val="0"/>
              </w:numPr>
              <w:tabs>
                <w:tab w:val="left" w:pos="-2268"/>
              </w:tabs>
              <w:suppressAutoHyphens/>
              <w:jc w:val="center"/>
              <w:rPr>
                <w:rFonts w:cs="Arial"/>
                <w:b/>
                <w:spacing w:val="-3"/>
                <w:sz w:val="22"/>
              </w:rPr>
            </w:pPr>
            <w:r w:rsidRPr="004068F6">
              <w:rPr>
                <w:rFonts w:cs="Arial"/>
                <w:b/>
                <w:spacing w:val="-3"/>
                <w:sz w:val="22"/>
              </w:rPr>
              <w:t>Fuente principal</w:t>
            </w:r>
          </w:p>
        </w:tc>
        <w:tc>
          <w:tcPr>
            <w:tcW w:w="2002" w:type="pct"/>
            <w:vAlign w:val="center"/>
          </w:tcPr>
          <w:p w14:paraId="082C3D39" w14:textId="573B7D39" w:rsidR="00A101A4" w:rsidRPr="004068F6" w:rsidRDefault="00F04B5F" w:rsidP="00BA45DD">
            <w:pPr>
              <w:numPr>
                <w:ilvl w:val="12"/>
                <w:numId w:val="0"/>
              </w:numPr>
              <w:tabs>
                <w:tab w:val="left" w:pos="-2268"/>
              </w:tabs>
              <w:suppressAutoHyphens/>
              <w:jc w:val="center"/>
              <w:rPr>
                <w:rFonts w:cs="Arial"/>
                <w:b/>
                <w:spacing w:val="-3"/>
                <w:sz w:val="22"/>
              </w:rPr>
            </w:pPr>
            <w:r w:rsidRPr="004068F6">
              <w:rPr>
                <w:rFonts w:cs="Arial"/>
                <w:b/>
                <w:spacing w:val="-3"/>
                <w:sz w:val="22"/>
              </w:rPr>
              <w:t>Otras fuentes</w:t>
            </w:r>
          </w:p>
        </w:tc>
      </w:tr>
      <w:tr w:rsidR="00A101A4" w:rsidRPr="004068F6" w14:paraId="3F79B6DE" w14:textId="77777777" w:rsidTr="00C86DA5">
        <w:trPr>
          <w:jc w:val="center"/>
        </w:trPr>
        <w:tc>
          <w:tcPr>
            <w:tcW w:w="1262" w:type="pct"/>
            <w:vAlign w:val="center"/>
          </w:tcPr>
          <w:p w14:paraId="32032DE2" w14:textId="77777777" w:rsidR="00A101A4" w:rsidRPr="004068F6" w:rsidRDefault="00A101A4">
            <w:pPr>
              <w:numPr>
                <w:ilvl w:val="12"/>
                <w:numId w:val="0"/>
              </w:numPr>
              <w:tabs>
                <w:tab w:val="left" w:pos="-2268"/>
              </w:tabs>
              <w:suppressAutoHyphens/>
              <w:rPr>
                <w:b/>
                <w:spacing w:val="-3"/>
                <w:sz w:val="20"/>
                <w:szCs w:val="22"/>
              </w:rPr>
            </w:pPr>
            <w:r w:rsidRPr="004068F6">
              <w:rPr>
                <w:b/>
                <w:spacing w:val="-3"/>
                <w:sz w:val="20"/>
                <w:szCs w:val="22"/>
              </w:rPr>
              <w:t>Geológico</w:t>
            </w:r>
          </w:p>
        </w:tc>
        <w:tc>
          <w:tcPr>
            <w:tcW w:w="1736" w:type="pct"/>
            <w:vAlign w:val="center"/>
          </w:tcPr>
          <w:p w14:paraId="3F03FDE9" w14:textId="12372A71" w:rsidR="00A101A4" w:rsidRPr="004068F6" w:rsidRDefault="00A101A4" w:rsidP="000465FD">
            <w:pPr>
              <w:numPr>
                <w:ilvl w:val="12"/>
                <w:numId w:val="0"/>
              </w:numPr>
              <w:tabs>
                <w:tab w:val="left" w:pos="-2268"/>
              </w:tabs>
              <w:suppressAutoHyphens/>
              <w:rPr>
                <w:spacing w:val="-3"/>
                <w:sz w:val="20"/>
                <w:szCs w:val="22"/>
              </w:rPr>
            </w:pPr>
            <w:r w:rsidRPr="004068F6">
              <w:rPr>
                <w:spacing w:val="-3"/>
                <w:sz w:val="20"/>
                <w:szCs w:val="22"/>
              </w:rPr>
              <w:t>SGC.</w:t>
            </w:r>
          </w:p>
        </w:tc>
        <w:tc>
          <w:tcPr>
            <w:tcW w:w="2002" w:type="pct"/>
          </w:tcPr>
          <w:p w14:paraId="1730A013" w14:textId="6963FD07"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 xml:space="preserve">IGAC, </w:t>
            </w:r>
            <w:r w:rsidR="00A92356" w:rsidRPr="004068F6">
              <w:rPr>
                <w:spacing w:val="-3"/>
                <w:sz w:val="20"/>
                <w:szCs w:val="22"/>
              </w:rPr>
              <w:t>Ideam</w:t>
            </w:r>
            <w:r w:rsidRPr="004068F6">
              <w:rPr>
                <w:spacing w:val="-3"/>
                <w:sz w:val="20"/>
                <w:szCs w:val="22"/>
              </w:rPr>
              <w:t xml:space="preserve">, ANH, </w:t>
            </w:r>
            <w:r w:rsidR="004E2DE2" w:rsidRPr="004068F6">
              <w:rPr>
                <w:spacing w:val="-3"/>
                <w:sz w:val="20"/>
                <w:szCs w:val="22"/>
              </w:rPr>
              <w:t xml:space="preserve">ANM, </w:t>
            </w:r>
            <w:r w:rsidRPr="004068F6">
              <w:rPr>
                <w:spacing w:val="-3"/>
                <w:sz w:val="20"/>
                <w:szCs w:val="22"/>
              </w:rPr>
              <w:t>autoridades ambientales</w:t>
            </w:r>
            <w:r w:rsidR="00B14207" w:rsidRPr="004068F6">
              <w:rPr>
                <w:spacing w:val="-3"/>
                <w:sz w:val="20"/>
                <w:szCs w:val="22"/>
              </w:rPr>
              <w:t>,</w:t>
            </w:r>
            <w:r w:rsidRPr="004068F6">
              <w:rPr>
                <w:spacing w:val="-3"/>
                <w:sz w:val="20"/>
                <w:szCs w:val="22"/>
              </w:rPr>
              <w:t xml:space="preserve"> </w:t>
            </w:r>
            <w:r w:rsidRPr="004068F6">
              <w:rPr>
                <w:rFonts w:cs="Arial"/>
                <w:spacing w:val="-3"/>
                <w:sz w:val="20"/>
                <w:szCs w:val="22"/>
              </w:rPr>
              <w:t>entidades territoriales</w:t>
            </w:r>
            <w:r w:rsidR="00372D5B" w:rsidRPr="004068F6">
              <w:rPr>
                <w:rFonts w:cs="Arial"/>
                <w:spacing w:val="-3"/>
                <w:sz w:val="20"/>
                <w:szCs w:val="22"/>
              </w:rPr>
              <w:t>,</w:t>
            </w:r>
            <w:r w:rsidR="00B14207" w:rsidRPr="004068F6">
              <w:rPr>
                <w:rFonts w:cs="Arial"/>
                <w:spacing w:val="-3"/>
                <w:sz w:val="20"/>
                <w:szCs w:val="22"/>
              </w:rPr>
              <w:t xml:space="preserve"> estudios ambientales</w:t>
            </w:r>
            <w:r w:rsidR="004158F1" w:rsidRPr="004068F6">
              <w:rPr>
                <w:rFonts w:cs="Arial"/>
                <w:spacing w:val="-3"/>
                <w:sz w:val="20"/>
                <w:szCs w:val="22"/>
              </w:rPr>
              <w:t>, universidades</w:t>
            </w:r>
            <w:r w:rsidR="00CC28F4" w:rsidRPr="004068F6">
              <w:rPr>
                <w:rFonts w:cs="Arial"/>
                <w:spacing w:val="-3"/>
                <w:sz w:val="20"/>
                <w:szCs w:val="22"/>
              </w:rPr>
              <w:t>,</w:t>
            </w:r>
            <w:r w:rsidR="004158F1" w:rsidRPr="004068F6">
              <w:rPr>
                <w:rFonts w:cs="Arial"/>
                <w:spacing w:val="-3"/>
                <w:sz w:val="20"/>
                <w:szCs w:val="22"/>
              </w:rPr>
              <w:t xml:space="preserve"> estudios científicos</w:t>
            </w:r>
            <w:r w:rsidR="00CC28F4" w:rsidRPr="004068F6">
              <w:rPr>
                <w:rFonts w:cs="Arial"/>
                <w:spacing w:val="-3"/>
                <w:sz w:val="20"/>
                <w:szCs w:val="22"/>
              </w:rPr>
              <w:t xml:space="preserve"> y gremios</w:t>
            </w:r>
            <w:r w:rsidRPr="004068F6">
              <w:rPr>
                <w:rFonts w:cs="Arial"/>
                <w:spacing w:val="-3"/>
                <w:sz w:val="20"/>
                <w:szCs w:val="22"/>
              </w:rPr>
              <w:t>.</w:t>
            </w:r>
          </w:p>
        </w:tc>
      </w:tr>
      <w:tr w:rsidR="00A101A4" w:rsidRPr="004068F6" w14:paraId="5B9AD88C" w14:textId="77777777" w:rsidTr="00C86DA5">
        <w:trPr>
          <w:trHeight w:val="400"/>
          <w:jc w:val="center"/>
        </w:trPr>
        <w:tc>
          <w:tcPr>
            <w:tcW w:w="1262" w:type="pct"/>
            <w:vAlign w:val="center"/>
          </w:tcPr>
          <w:p w14:paraId="3B6944CE" w14:textId="49A679D9" w:rsidR="00A101A4" w:rsidRPr="004068F6" w:rsidRDefault="00A101A4" w:rsidP="009420F5">
            <w:pPr>
              <w:numPr>
                <w:ilvl w:val="12"/>
                <w:numId w:val="0"/>
              </w:numPr>
              <w:tabs>
                <w:tab w:val="left" w:pos="-2268"/>
              </w:tabs>
              <w:suppressAutoHyphens/>
              <w:ind w:left="284"/>
              <w:rPr>
                <w:bCs/>
                <w:spacing w:val="-3"/>
                <w:sz w:val="20"/>
                <w:szCs w:val="22"/>
              </w:rPr>
            </w:pPr>
            <w:r w:rsidRPr="004068F6">
              <w:rPr>
                <w:bCs/>
                <w:spacing w:val="-3"/>
                <w:sz w:val="20"/>
                <w:szCs w:val="22"/>
              </w:rPr>
              <w:t>Geomorfol</w:t>
            </w:r>
            <w:r w:rsidR="00B9774B" w:rsidRPr="004068F6">
              <w:rPr>
                <w:bCs/>
                <w:spacing w:val="-3"/>
                <w:sz w:val="20"/>
                <w:szCs w:val="22"/>
              </w:rPr>
              <w:t>ogía</w:t>
            </w:r>
          </w:p>
        </w:tc>
        <w:tc>
          <w:tcPr>
            <w:tcW w:w="1736" w:type="pct"/>
            <w:vAlign w:val="center"/>
          </w:tcPr>
          <w:p w14:paraId="50816ABA" w14:textId="5E160D25"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IGAC y SGC</w:t>
            </w:r>
            <w:r w:rsidR="00A944EF" w:rsidRPr="004068F6">
              <w:rPr>
                <w:spacing w:val="-3"/>
                <w:sz w:val="20"/>
                <w:szCs w:val="22"/>
              </w:rPr>
              <w:t>.</w:t>
            </w:r>
          </w:p>
        </w:tc>
        <w:tc>
          <w:tcPr>
            <w:tcW w:w="2002" w:type="pct"/>
          </w:tcPr>
          <w:p w14:paraId="0FE83DE3" w14:textId="54A4E81E" w:rsidR="00A101A4" w:rsidRPr="004068F6" w:rsidRDefault="00BD3BAD">
            <w:pPr>
              <w:numPr>
                <w:ilvl w:val="12"/>
                <w:numId w:val="0"/>
              </w:numPr>
              <w:tabs>
                <w:tab w:val="left" w:pos="-2268"/>
              </w:tabs>
              <w:suppressAutoHyphens/>
              <w:rPr>
                <w:spacing w:val="-3"/>
                <w:sz w:val="20"/>
                <w:szCs w:val="22"/>
              </w:rPr>
            </w:pPr>
            <w:r w:rsidRPr="004068F6">
              <w:rPr>
                <w:rFonts w:cs="Arial"/>
                <w:spacing w:val="-3"/>
                <w:sz w:val="20"/>
                <w:szCs w:val="22"/>
              </w:rPr>
              <w:t>A</w:t>
            </w:r>
            <w:r w:rsidR="00A101A4" w:rsidRPr="004068F6">
              <w:rPr>
                <w:rFonts w:cs="Arial"/>
                <w:spacing w:val="-3"/>
                <w:sz w:val="20"/>
                <w:szCs w:val="22"/>
              </w:rPr>
              <w:t>utoridades ambientales</w:t>
            </w:r>
            <w:r w:rsidR="00B14207" w:rsidRPr="004068F6">
              <w:rPr>
                <w:rFonts w:cs="Arial"/>
                <w:spacing w:val="-3"/>
                <w:sz w:val="20"/>
                <w:szCs w:val="22"/>
              </w:rPr>
              <w:t>,</w:t>
            </w:r>
            <w:r w:rsidR="00A101A4" w:rsidRPr="004068F6">
              <w:rPr>
                <w:rFonts w:cs="Arial"/>
                <w:spacing w:val="-3"/>
                <w:sz w:val="20"/>
                <w:szCs w:val="22"/>
              </w:rPr>
              <w:t xml:space="preserve"> entidades territoriales</w:t>
            </w:r>
            <w:r w:rsidR="000A6F4E" w:rsidRPr="004068F6">
              <w:rPr>
                <w:rFonts w:cs="Arial"/>
                <w:spacing w:val="-3"/>
                <w:sz w:val="20"/>
                <w:szCs w:val="22"/>
              </w:rPr>
              <w:t>,</w:t>
            </w:r>
            <w:r w:rsidR="00A944EF" w:rsidRPr="004068F6">
              <w:rPr>
                <w:rFonts w:cs="Arial"/>
                <w:spacing w:val="-3"/>
                <w:sz w:val="20"/>
                <w:szCs w:val="22"/>
              </w:rPr>
              <w:t xml:space="preserve"> </w:t>
            </w:r>
            <w:r w:rsidR="00B14207" w:rsidRPr="004068F6">
              <w:rPr>
                <w:rFonts w:cs="Arial"/>
                <w:spacing w:val="-3"/>
                <w:sz w:val="20"/>
                <w:szCs w:val="22"/>
              </w:rPr>
              <w:t>estudios ambientales</w:t>
            </w:r>
            <w:r w:rsidR="000A6F4E" w:rsidRPr="004068F6">
              <w:rPr>
                <w:rFonts w:cs="Arial"/>
                <w:spacing w:val="-3"/>
                <w:sz w:val="20"/>
                <w:szCs w:val="22"/>
              </w:rPr>
              <w:t xml:space="preserve">, </w:t>
            </w:r>
            <w:r w:rsidR="004C3A44" w:rsidRPr="004068F6">
              <w:rPr>
                <w:rFonts w:cs="Arial"/>
                <w:spacing w:val="-3"/>
                <w:sz w:val="20"/>
                <w:szCs w:val="22"/>
              </w:rPr>
              <w:t>universidades y estudios científicos</w:t>
            </w:r>
            <w:r w:rsidR="00A101A4" w:rsidRPr="004068F6">
              <w:rPr>
                <w:rFonts w:cs="Arial"/>
                <w:spacing w:val="-3"/>
                <w:sz w:val="20"/>
                <w:szCs w:val="22"/>
              </w:rPr>
              <w:t>.</w:t>
            </w:r>
          </w:p>
        </w:tc>
      </w:tr>
      <w:tr w:rsidR="00A101A4" w:rsidRPr="004068F6" w14:paraId="0288B121" w14:textId="77777777" w:rsidTr="00C86DA5">
        <w:trPr>
          <w:jc w:val="center"/>
        </w:trPr>
        <w:tc>
          <w:tcPr>
            <w:tcW w:w="1262" w:type="pct"/>
            <w:vAlign w:val="center"/>
          </w:tcPr>
          <w:p w14:paraId="5E725DB5" w14:textId="0AB62F45" w:rsidR="00A101A4" w:rsidRPr="004068F6" w:rsidRDefault="00A101A4" w:rsidP="009420F5">
            <w:pPr>
              <w:numPr>
                <w:ilvl w:val="12"/>
                <w:numId w:val="0"/>
              </w:numPr>
              <w:tabs>
                <w:tab w:val="left" w:pos="-2268"/>
              </w:tabs>
              <w:suppressAutoHyphens/>
              <w:ind w:left="284"/>
              <w:rPr>
                <w:bCs/>
                <w:spacing w:val="-3"/>
                <w:sz w:val="20"/>
                <w:szCs w:val="22"/>
              </w:rPr>
            </w:pPr>
            <w:r w:rsidRPr="004068F6">
              <w:rPr>
                <w:bCs/>
                <w:spacing w:val="-3"/>
                <w:sz w:val="20"/>
                <w:szCs w:val="22"/>
              </w:rPr>
              <w:t>Geot</w:t>
            </w:r>
            <w:r w:rsidR="00B9774B" w:rsidRPr="004068F6">
              <w:rPr>
                <w:bCs/>
                <w:spacing w:val="-3"/>
                <w:sz w:val="20"/>
                <w:szCs w:val="22"/>
              </w:rPr>
              <w:t>e</w:t>
            </w:r>
            <w:r w:rsidRPr="004068F6">
              <w:rPr>
                <w:bCs/>
                <w:spacing w:val="-3"/>
                <w:sz w:val="20"/>
                <w:szCs w:val="22"/>
              </w:rPr>
              <w:t>cni</w:t>
            </w:r>
            <w:r w:rsidR="00B9774B" w:rsidRPr="004068F6">
              <w:rPr>
                <w:bCs/>
                <w:spacing w:val="-3"/>
                <w:sz w:val="20"/>
                <w:szCs w:val="22"/>
              </w:rPr>
              <w:t>a</w:t>
            </w:r>
          </w:p>
        </w:tc>
        <w:tc>
          <w:tcPr>
            <w:tcW w:w="1736" w:type="pct"/>
          </w:tcPr>
          <w:p w14:paraId="6481C357" w14:textId="55F36735"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SGC</w:t>
            </w:r>
            <w:r w:rsidR="00A944EF" w:rsidRPr="004068F6">
              <w:rPr>
                <w:spacing w:val="-3"/>
                <w:sz w:val="20"/>
                <w:szCs w:val="22"/>
              </w:rPr>
              <w:t>,</w:t>
            </w:r>
            <w:r w:rsidRPr="004068F6">
              <w:rPr>
                <w:spacing w:val="-3"/>
                <w:sz w:val="20"/>
                <w:szCs w:val="22"/>
              </w:rPr>
              <w:t xml:space="preserve"> autoridades ambientales</w:t>
            </w:r>
            <w:r w:rsidR="00A944EF" w:rsidRPr="004068F6">
              <w:rPr>
                <w:spacing w:val="-3"/>
                <w:sz w:val="20"/>
                <w:szCs w:val="22"/>
              </w:rPr>
              <w:t>, entidades territoriales y</w:t>
            </w:r>
            <w:r w:rsidRPr="004068F6">
              <w:rPr>
                <w:spacing w:val="-3"/>
                <w:sz w:val="20"/>
                <w:szCs w:val="22"/>
              </w:rPr>
              <w:t xml:space="preserve"> </w:t>
            </w:r>
            <w:r w:rsidR="00DF3A0D" w:rsidRPr="004068F6">
              <w:rPr>
                <w:spacing w:val="-3"/>
                <w:sz w:val="20"/>
                <w:szCs w:val="22"/>
              </w:rPr>
              <w:t>SNGRD</w:t>
            </w:r>
            <w:r w:rsidRPr="004068F6">
              <w:rPr>
                <w:spacing w:val="-3"/>
                <w:sz w:val="20"/>
                <w:szCs w:val="22"/>
              </w:rPr>
              <w:t>.</w:t>
            </w:r>
          </w:p>
        </w:tc>
        <w:tc>
          <w:tcPr>
            <w:tcW w:w="2002" w:type="pct"/>
          </w:tcPr>
          <w:p w14:paraId="612FD198" w14:textId="55699C8A" w:rsidR="00A101A4" w:rsidRPr="004068F6" w:rsidRDefault="00BD3BAD">
            <w:pPr>
              <w:numPr>
                <w:ilvl w:val="12"/>
                <w:numId w:val="0"/>
              </w:numPr>
              <w:tabs>
                <w:tab w:val="left" w:pos="-2268"/>
              </w:tabs>
              <w:suppressAutoHyphens/>
              <w:rPr>
                <w:spacing w:val="-3"/>
                <w:sz w:val="20"/>
                <w:szCs w:val="22"/>
              </w:rPr>
            </w:pPr>
            <w:r w:rsidRPr="004068F6">
              <w:rPr>
                <w:rFonts w:cs="Arial"/>
                <w:spacing w:val="-3"/>
                <w:sz w:val="20"/>
                <w:szCs w:val="22"/>
              </w:rPr>
              <w:t>Autoridades ambientales</w:t>
            </w:r>
            <w:r w:rsidR="00B14207" w:rsidRPr="004068F6">
              <w:rPr>
                <w:rFonts w:cs="Arial"/>
                <w:spacing w:val="-3"/>
                <w:sz w:val="20"/>
                <w:szCs w:val="22"/>
              </w:rPr>
              <w:t>,</w:t>
            </w:r>
            <w:r w:rsidRPr="004068F6">
              <w:rPr>
                <w:rFonts w:cs="Arial"/>
                <w:spacing w:val="-3"/>
                <w:sz w:val="20"/>
                <w:szCs w:val="22"/>
              </w:rPr>
              <w:t xml:space="preserve"> entidades territoriales</w:t>
            </w:r>
            <w:r w:rsidR="004C3A44" w:rsidRPr="004068F6">
              <w:rPr>
                <w:rFonts w:cs="Arial"/>
                <w:spacing w:val="-3"/>
                <w:sz w:val="20"/>
                <w:szCs w:val="22"/>
              </w:rPr>
              <w:t>,</w:t>
            </w:r>
            <w:r w:rsidR="00B14207" w:rsidRPr="004068F6">
              <w:rPr>
                <w:rFonts w:cs="Arial"/>
                <w:spacing w:val="-3"/>
                <w:sz w:val="20"/>
                <w:szCs w:val="22"/>
              </w:rPr>
              <w:t xml:space="preserve"> estudios ambientales</w:t>
            </w:r>
            <w:r w:rsidR="004C3A44" w:rsidRPr="004068F6">
              <w:rPr>
                <w:rFonts w:cs="Arial"/>
                <w:spacing w:val="-3"/>
                <w:sz w:val="20"/>
                <w:szCs w:val="22"/>
              </w:rPr>
              <w:t>, universidades y estudios científicos</w:t>
            </w:r>
            <w:r w:rsidRPr="004068F6">
              <w:rPr>
                <w:rFonts w:cs="Arial"/>
                <w:spacing w:val="-3"/>
                <w:sz w:val="20"/>
                <w:szCs w:val="22"/>
              </w:rPr>
              <w:t>.</w:t>
            </w:r>
          </w:p>
        </w:tc>
      </w:tr>
      <w:tr w:rsidR="00A101A4" w:rsidRPr="004068F6" w14:paraId="75D482EE" w14:textId="77777777" w:rsidTr="00C86DA5">
        <w:trPr>
          <w:jc w:val="center"/>
        </w:trPr>
        <w:tc>
          <w:tcPr>
            <w:tcW w:w="1262" w:type="pct"/>
            <w:vAlign w:val="center"/>
          </w:tcPr>
          <w:p w14:paraId="50FFEA99" w14:textId="5D0F56E8" w:rsidR="00A101A4" w:rsidRPr="004068F6" w:rsidRDefault="00A101A4">
            <w:pPr>
              <w:numPr>
                <w:ilvl w:val="12"/>
                <w:numId w:val="0"/>
              </w:numPr>
              <w:tabs>
                <w:tab w:val="left" w:pos="-2268"/>
              </w:tabs>
              <w:suppressAutoHyphens/>
              <w:rPr>
                <w:b/>
                <w:spacing w:val="-3"/>
                <w:sz w:val="20"/>
                <w:szCs w:val="22"/>
              </w:rPr>
            </w:pPr>
            <w:r w:rsidRPr="004068F6">
              <w:rPr>
                <w:b/>
                <w:spacing w:val="-3"/>
                <w:sz w:val="20"/>
                <w:szCs w:val="22"/>
              </w:rPr>
              <w:t>Edafológico</w:t>
            </w:r>
          </w:p>
        </w:tc>
        <w:tc>
          <w:tcPr>
            <w:tcW w:w="1736" w:type="pct"/>
            <w:vAlign w:val="center"/>
          </w:tcPr>
          <w:p w14:paraId="04D7BE7D" w14:textId="656291C4"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 xml:space="preserve">IGAC, </w:t>
            </w:r>
            <w:r w:rsidR="00BC3B27" w:rsidRPr="004068F6">
              <w:rPr>
                <w:spacing w:val="-3"/>
                <w:sz w:val="20"/>
                <w:szCs w:val="22"/>
              </w:rPr>
              <w:t>Agrosavia</w:t>
            </w:r>
            <w:r w:rsidR="00A944EF" w:rsidRPr="004068F6">
              <w:rPr>
                <w:spacing w:val="-3"/>
                <w:sz w:val="20"/>
                <w:szCs w:val="22"/>
              </w:rPr>
              <w:t xml:space="preserve"> e</w:t>
            </w:r>
            <w:r w:rsidRPr="004068F6">
              <w:rPr>
                <w:spacing w:val="-3"/>
                <w:sz w:val="20"/>
                <w:szCs w:val="22"/>
              </w:rPr>
              <w:t xml:space="preserve"> </w:t>
            </w:r>
            <w:r w:rsidR="00A92356" w:rsidRPr="004068F6">
              <w:rPr>
                <w:spacing w:val="-3"/>
                <w:sz w:val="20"/>
                <w:szCs w:val="22"/>
              </w:rPr>
              <w:t>Ideam</w:t>
            </w:r>
            <w:r w:rsidRPr="004068F6">
              <w:rPr>
                <w:spacing w:val="-3"/>
                <w:sz w:val="20"/>
                <w:szCs w:val="22"/>
              </w:rPr>
              <w:t>.</w:t>
            </w:r>
          </w:p>
        </w:tc>
        <w:tc>
          <w:tcPr>
            <w:tcW w:w="2002" w:type="pct"/>
          </w:tcPr>
          <w:p w14:paraId="63B36FCA" w14:textId="117F09DC" w:rsidR="00A101A4" w:rsidRPr="004068F6" w:rsidRDefault="00A101A4" w:rsidP="0016F5AC">
            <w:pPr>
              <w:suppressAutoHyphens/>
              <w:rPr>
                <w:spacing w:val="-3"/>
                <w:sz w:val="20"/>
                <w:szCs w:val="22"/>
              </w:rPr>
            </w:pPr>
            <w:r w:rsidRPr="004068F6">
              <w:rPr>
                <w:spacing w:val="-3"/>
                <w:sz w:val="20"/>
                <w:szCs w:val="22"/>
              </w:rPr>
              <w:t>Autoridades ambientales, entidades territoriales, Sinchi, IIAP, centros de investigación</w:t>
            </w:r>
            <w:r w:rsidR="00B14207" w:rsidRPr="004068F6">
              <w:rPr>
                <w:spacing w:val="-3"/>
                <w:sz w:val="20"/>
                <w:szCs w:val="22"/>
              </w:rPr>
              <w:t xml:space="preserve"> y </w:t>
            </w:r>
            <w:r w:rsidR="00B14207" w:rsidRPr="004068F6">
              <w:rPr>
                <w:rFonts w:cs="Arial"/>
                <w:spacing w:val="-3"/>
                <w:sz w:val="20"/>
                <w:szCs w:val="22"/>
              </w:rPr>
              <w:t>estudios ambientales.</w:t>
            </w:r>
          </w:p>
        </w:tc>
      </w:tr>
      <w:tr w:rsidR="00A101A4" w:rsidRPr="004068F6" w14:paraId="3CBF6348" w14:textId="77777777" w:rsidTr="009420F5">
        <w:trPr>
          <w:jc w:val="center"/>
        </w:trPr>
        <w:tc>
          <w:tcPr>
            <w:tcW w:w="1262" w:type="pct"/>
            <w:vAlign w:val="center"/>
          </w:tcPr>
          <w:p w14:paraId="74AFC989" w14:textId="77777777" w:rsidR="00A101A4" w:rsidRPr="004068F6" w:rsidRDefault="00A101A4">
            <w:pPr>
              <w:numPr>
                <w:ilvl w:val="12"/>
                <w:numId w:val="0"/>
              </w:numPr>
              <w:tabs>
                <w:tab w:val="left" w:pos="-2268"/>
              </w:tabs>
              <w:suppressAutoHyphens/>
              <w:rPr>
                <w:b/>
                <w:spacing w:val="-3"/>
                <w:sz w:val="20"/>
                <w:szCs w:val="22"/>
              </w:rPr>
            </w:pPr>
            <w:r w:rsidRPr="004068F6">
              <w:rPr>
                <w:b/>
                <w:spacing w:val="-3"/>
                <w:sz w:val="20"/>
                <w:szCs w:val="22"/>
              </w:rPr>
              <w:t>Oceanográfico</w:t>
            </w:r>
          </w:p>
        </w:tc>
        <w:tc>
          <w:tcPr>
            <w:tcW w:w="1736" w:type="pct"/>
            <w:vAlign w:val="center"/>
          </w:tcPr>
          <w:p w14:paraId="16D38E53" w14:textId="51AA07D9" w:rsidR="00A101A4" w:rsidRPr="004068F6" w:rsidRDefault="000F6349">
            <w:pPr>
              <w:numPr>
                <w:ilvl w:val="12"/>
                <w:numId w:val="0"/>
              </w:numPr>
              <w:tabs>
                <w:tab w:val="left" w:pos="-2268"/>
              </w:tabs>
              <w:suppressAutoHyphens/>
              <w:rPr>
                <w:spacing w:val="-3"/>
                <w:sz w:val="20"/>
                <w:szCs w:val="22"/>
              </w:rPr>
            </w:pPr>
            <w:r w:rsidRPr="004068F6">
              <w:rPr>
                <w:spacing w:val="-3"/>
                <w:sz w:val="20"/>
                <w:szCs w:val="22"/>
              </w:rPr>
              <w:t>Dimar</w:t>
            </w:r>
            <w:r w:rsidR="00A101A4" w:rsidRPr="004068F6">
              <w:rPr>
                <w:spacing w:val="-3"/>
                <w:sz w:val="20"/>
                <w:szCs w:val="22"/>
              </w:rPr>
              <w:t>, CIOH</w:t>
            </w:r>
            <w:r w:rsidR="00A944EF" w:rsidRPr="004068F6">
              <w:rPr>
                <w:spacing w:val="-3"/>
                <w:sz w:val="20"/>
                <w:szCs w:val="22"/>
              </w:rPr>
              <w:t xml:space="preserve"> y</w:t>
            </w:r>
            <w:r w:rsidR="00A101A4" w:rsidRPr="004068F6">
              <w:rPr>
                <w:spacing w:val="-3"/>
                <w:sz w:val="20"/>
                <w:szCs w:val="22"/>
              </w:rPr>
              <w:t xml:space="preserve"> CCCP.</w:t>
            </w:r>
          </w:p>
        </w:tc>
        <w:tc>
          <w:tcPr>
            <w:tcW w:w="2002" w:type="pct"/>
          </w:tcPr>
          <w:p w14:paraId="4D07BBE0" w14:textId="1B138767"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 xml:space="preserve">Fuentes de </w:t>
            </w:r>
            <w:r w:rsidR="00A944EF" w:rsidRPr="004068F6">
              <w:rPr>
                <w:spacing w:val="-3"/>
                <w:sz w:val="20"/>
                <w:szCs w:val="22"/>
              </w:rPr>
              <w:t>i</w:t>
            </w:r>
            <w:r w:rsidRPr="004068F6">
              <w:rPr>
                <w:spacing w:val="-3"/>
                <w:sz w:val="20"/>
                <w:szCs w:val="22"/>
              </w:rPr>
              <w:t>nternet</w:t>
            </w:r>
            <w:r w:rsidR="00A944EF" w:rsidRPr="004068F6">
              <w:rPr>
                <w:spacing w:val="-3"/>
                <w:sz w:val="20"/>
                <w:szCs w:val="22"/>
              </w:rPr>
              <w:t xml:space="preserve">, </w:t>
            </w:r>
            <w:r w:rsidR="00A944EF" w:rsidRPr="004068F6">
              <w:rPr>
                <w:rFonts w:cs="Arial"/>
                <w:spacing w:val="-3"/>
                <w:sz w:val="20"/>
                <w:szCs w:val="22"/>
              </w:rPr>
              <w:t>estudios ambientales y</w:t>
            </w:r>
            <w:r w:rsidRPr="004068F6">
              <w:rPr>
                <w:spacing w:val="-3"/>
                <w:sz w:val="20"/>
                <w:szCs w:val="22"/>
              </w:rPr>
              <w:t xml:space="preserve"> CCO </w:t>
            </w:r>
            <w:r w:rsidR="00A944EF" w:rsidRPr="004068F6">
              <w:rPr>
                <w:spacing w:val="-3"/>
                <w:sz w:val="20"/>
                <w:szCs w:val="22"/>
              </w:rPr>
              <w:t>(</w:t>
            </w:r>
            <w:r w:rsidRPr="004068F6">
              <w:rPr>
                <w:spacing w:val="-3"/>
                <w:sz w:val="20"/>
                <w:szCs w:val="22"/>
              </w:rPr>
              <w:t>en cuanto a políticas y desarrollo sostenible del océano</w:t>
            </w:r>
            <w:r w:rsidR="00A944EF" w:rsidRPr="004068F6">
              <w:rPr>
                <w:spacing w:val="-3"/>
                <w:sz w:val="20"/>
                <w:szCs w:val="22"/>
              </w:rPr>
              <w:t>).</w:t>
            </w:r>
          </w:p>
        </w:tc>
      </w:tr>
      <w:tr w:rsidR="00A101A4" w:rsidRPr="004068F6" w14:paraId="623EE23F" w14:textId="77777777" w:rsidTr="009420F5">
        <w:trPr>
          <w:jc w:val="center"/>
        </w:trPr>
        <w:tc>
          <w:tcPr>
            <w:tcW w:w="1262" w:type="pct"/>
            <w:vAlign w:val="center"/>
          </w:tcPr>
          <w:p w14:paraId="15509202" w14:textId="77777777" w:rsidR="00A101A4" w:rsidRPr="004068F6" w:rsidRDefault="00A101A4">
            <w:pPr>
              <w:numPr>
                <w:ilvl w:val="12"/>
                <w:numId w:val="0"/>
              </w:numPr>
              <w:tabs>
                <w:tab w:val="left" w:pos="-2268"/>
              </w:tabs>
              <w:suppressAutoHyphens/>
              <w:rPr>
                <w:b/>
                <w:spacing w:val="-3"/>
                <w:sz w:val="20"/>
                <w:szCs w:val="22"/>
              </w:rPr>
            </w:pPr>
            <w:r w:rsidRPr="004068F6">
              <w:rPr>
                <w:b/>
                <w:spacing w:val="-3"/>
                <w:sz w:val="20"/>
                <w:szCs w:val="22"/>
              </w:rPr>
              <w:t>Hidrológico</w:t>
            </w:r>
          </w:p>
        </w:tc>
        <w:tc>
          <w:tcPr>
            <w:tcW w:w="1736" w:type="pct"/>
          </w:tcPr>
          <w:p w14:paraId="4EFE09D4" w14:textId="02FC0240" w:rsidR="00A101A4" w:rsidRPr="004068F6" w:rsidRDefault="00A92356">
            <w:pPr>
              <w:numPr>
                <w:ilvl w:val="12"/>
                <w:numId w:val="0"/>
              </w:numPr>
              <w:tabs>
                <w:tab w:val="left" w:pos="-2268"/>
              </w:tabs>
              <w:suppressAutoHyphens/>
              <w:rPr>
                <w:spacing w:val="-3"/>
                <w:sz w:val="20"/>
                <w:szCs w:val="22"/>
              </w:rPr>
            </w:pPr>
            <w:r w:rsidRPr="004068F6">
              <w:rPr>
                <w:spacing w:val="-3"/>
                <w:sz w:val="20"/>
                <w:szCs w:val="22"/>
              </w:rPr>
              <w:t>Ideam</w:t>
            </w:r>
            <w:r w:rsidR="00A101A4" w:rsidRPr="004068F6">
              <w:rPr>
                <w:spacing w:val="-3"/>
                <w:sz w:val="20"/>
                <w:szCs w:val="22"/>
              </w:rPr>
              <w:t>, autoridades ambientales</w:t>
            </w:r>
            <w:r w:rsidR="00A944EF" w:rsidRPr="004068F6">
              <w:rPr>
                <w:spacing w:val="-3"/>
                <w:sz w:val="20"/>
                <w:szCs w:val="22"/>
              </w:rPr>
              <w:t>, entidades territoriales</w:t>
            </w:r>
            <w:r w:rsidR="00A101A4" w:rsidRPr="004068F6">
              <w:rPr>
                <w:spacing w:val="-3"/>
                <w:sz w:val="20"/>
                <w:szCs w:val="22"/>
              </w:rPr>
              <w:t>, ADR, ANT</w:t>
            </w:r>
            <w:r w:rsidR="00A944EF" w:rsidRPr="004068F6">
              <w:rPr>
                <w:spacing w:val="-3"/>
                <w:sz w:val="20"/>
                <w:szCs w:val="22"/>
              </w:rPr>
              <w:t xml:space="preserve"> y</w:t>
            </w:r>
            <w:r w:rsidR="00A101A4" w:rsidRPr="004068F6">
              <w:rPr>
                <w:spacing w:val="-3"/>
                <w:sz w:val="20"/>
                <w:szCs w:val="22"/>
              </w:rPr>
              <w:t xml:space="preserve"> SIRH.</w:t>
            </w:r>
          </w:p>
        </w:tc>
        <w:tc>
          <w:tcPr>
            <w:tcW w:w="2002" w:type="pct"/>
          </w:tcPr>
          <w:p w14:paraId="02CBDF37" w14:textId="68ED2D3D" w:rsidR="00A101A4" w:rsidRPr="004068F6" w:rsidRDefault="00A101A4" w:rsidP="001E4ED9">
            <w:pPr>
              <w:numPr>
                <w:ilvl w:val="12"/>
                <w:numId w:val="0"/>
              </w:numPr>
              <w:tabs>
                <w:tab w:val="left" w:pos="-2268"/>
              </w:tabs>
              <w:suppressAutoHyphens/>
              <w:rPr>
                <w:spacing w:val="-3"/>
                <w:sz w:val="20"/>
                <w:szCs w:val="22"/>
              </w:rPr>
            </w:pPr>
            <w:r w:rsidRPr="004068F6">
              <w:rPr>
                <w:spacing w:val="-3"/>
                <w:sz w:val="20"/>
                <w:szCs w:val="22"/>
              </w:rPr>
              <w:t>Aut</w:t>
            </w:r>
            <w:r w:rsidR="00A944EF" w:rsidRPr="004068F6">
              <w:rPr>
                <w:spacing w:val="-3"/>
                <w:sz w:val="20"/>
                <w:szCs w:val="22"/>
              </w:rPr>
              <w:t>oridades ambientales</w:t>
            </w:r>
            <w:r w:rsidR="00B14207" w:rsidRPr="004068F6">
              <w:rPr>
                <w:spacing w:val="-3"/>
                <w:sz w:val="20"/>
                <w:szCs w:val="22"/>
              </w:rPr>
              <w:t>,</w:t>
            </w:r>
            <w:r w:rsidRPr="004068F6">
              <w:rPr>
                <w:spacing w:val="-3"/>
                <w:sz w:val="20"/>
                <w:szCs w:val="22"/>
              </w:rPr>
              <w:t xml:space="preserve"> </w:t>
            </w:r>
            <w:r w:rsidR="00A944EF" w:rsidRPr="004068F6">
              <w:rPr>
                <w:spacing w:val="-3"/>
                <w:sz w:val="20"/>
                <w:szCs w:val="22"/>
              </w:rPr>
              <w:t>institutos</w:t>
            </w:r>
            <w:r w:rsidRPr="004068F6">
              <w:rPr>
                <w:spacing w:val="-3"/>
                <w:sz w:val="20"/>
                <w:szCs w:val="22"/>
              </w:rPr>
              <w:t xml:space="preserve"> de investigación (</w:t>
            </w:r>
            <w:r w:rsidR="00A944EF" w:rsidRPr="004068F6">
              <w:rPr>
                <w:spacing w:val="-3"/>
                <w:sz w:val="20"/>
                <w:szCs w:val="22"/>
              </w:rPr>
              <w:t xml:space="preserve">de </w:t>
            </w:r>
            <w:r w:rsidRPr="004068F6">
              <w:rPr>
                <w:spacing w:val="-3"/>
                <w:sz w:val="20"/>
                <w:szCs w:val="22"/>
              </w:rPr>
              <w:t>universidades</w:t>
            </w:r>
            <w:r w:rsidR="00A944EF" w:rsidRPr="004068F6">
              <w:rPr>
                <w:spacing w:val="-3"/>
                <w:sz w:val="20"/>
                <w:szCs w:val="22"/>
              </w:rPr>
              <w:t xml:space="preserve"> u otras entidades</w:t>
            </w:r>
            <w:r w:rsidRPr="004068F6">
              <w:rPr>
                <w:spacing w:val="-3"/>
                <w:sz w:val="20"/>
                <w:szCs w:val="22"/>
              </w:rPr>
              <w:t>)</w:t>
            </w:r>
            <w:r w:rsidR="00AB4955" w:rsidRPr="004068F6">
              <w:rPr>
                <w:spacing w:val="-3"/>
                <w:sz w:val="20"/>
                <w:szCs w:val="22"/>
              </w:rPr>
              <w:t>,</w:t>
            </w:r>
            <w:r w:rsidR="00B14207" w:rsidRPr="004068F6">
              <w:rPr>
                <w:spacing w:val="-3"/>
                <w:sz w:val="20"/>
                <w:szCs w:val="22"/>
              </w:rPr>
              <w:t xml:space="preserve"> </w:t>
            </w:r>
            <w:r w:rsidR="005E3B6D" w:rsidRPr="004068F6">
              <w:rPr>
                <w:spacing w:val="-3"/>
                <w:sz w:val="20"/>
                <w:szCs w:val="22"/>
              </w:rPr>
              <w:t xml:space="preserve">UNGRD, </w:t>
            </w:r>
            <w:r w:rsidR="00B14207" w:rsidRPr="004068F6">
              <w:rPr>
                <w:rFonts w:cs="Arial"/>
                <w:spacing w:val="-3"/>
                <w:sz w:val="20"/>
                <w:szCs w:val="22"/>
              </w:rPr>
              <w:t>estudios ambientales</w:t>
            </w:r>
            <w:r w:rsidR="00AB4955" w:rsidRPr="004068F6">
              <w:rPr>
                <w:rFonts w:cs="Arial"/>
                <w:spacing w:val="-3"/>
                <w:sz w:val="20"/>
                <w:szCs w:val="22"/>
              </w:rPr>
              <w:t xml:space="preserve"> y PORH</w:t>
            </w:r>
            <w:r w:rsidRPr="004068F6">
              <w:rPr>
                <w:spacing w:val="-3"/>
                <w:sz w:val="20"/>
                <w:szCs w:val="22"/>
              </w:rPr>
              <w:t xml:space="preserve">. </w:t>
            </w:r>
          </w:p>
        </w:tc>
      </w:tr>
      <w:tr w:rsidR="00A101A4" w:rsidRPr="004068F6" w14:paraId="5EF982FC" w14:textId="77777777" w:rsidTr="009420F5">
        <w:trPr>
          <w:jc w:val="center"/>
        </w:trPr>
        <w:tc>
          <w:tcPr>
            <w:tcW w:w="1262" w:type="pct"/>
            <w:vAlign w:val="center"/>
          </w:tcPr>
          <w:p w14:paraId="217A7D9B" w14:textId="77777777" w:rsidR="00A101A4" w:rsidRPr="004068F6" w:rsidRDefault="00A101A4" w:rsidP="00C86DA5">
            <w:pPr>
              <w:numPr>
                <w:ilvl w:val="12"/>
                <w:numId w:val="0"/>
              </w:numPr>
              <w:tabs>
                <w:tab w:val="left" w:pos="-2268"/>
              </w:tabs>
              <w:suppressAutoHyphens/>
              <w:ind w:left="248"/>
              <w:rPr>
                <w:bCs/>
                <w:spacing w:val="-3"/>
                <w:sz w:val="20"/>
                <w:szCs w:val="22"/>
              </w:rPr>
            </w:pPr>
            <w:r w:rsidRPr="004068F6">
              <w:rPr>
                <w:bCs/>
                <w:spacing w:val="-3"/>
                <w:sz w:val="20"/>
                <w:szCs w:val="22"/>
              </w:rPr>
              <w:t>Calidad del agua</w:t>
            </w:r>
          </w:p>
        </w:tc>
        <w:tc>
          <w:tcPr>
            <w:tcW w:w="1736" w:type="pct"/>
          </w:tcPr>
          <w:p w14:paraId="7331714E" w14:textId="26AEAD10" w:rsidR="00A101A4" w:rsidRPr="004068F6" w:rsidRDefault="00A92356">
            <w:pPr>
              <w:numPr>
                <w:ilvl w:val="12"/>
                <w:numId w:val="0"/>
              </w:numPr>
              <w:tabs>
                <w:tab w:val="left" w:pos="-2268"/>
              </w:tabs>
              <w:suppressAutoHyphens/>
              <w:rPr>
                <w:spacing w:val="-3"/>
                <w:sz w:val="20"/>
                <w:szCs w:val="22"/>
              </w:rPr>
            </w:pPr>
            <w:r w:rsidRPr="004068F6">
              <w:rPr>
                <w:spacing w:val="-3"/>
                <w:sz w:val="20"/>
                <w:szCs w:val="22"/>
              </w:rPr>
              <w:t>Ideam</w:t>
            </w:r>
            <w:r w:rsidR="00A101A4" w:rsidRPr="004068F6">
              <w:rPr>
                <w:spacing w:val="-3"/>
                <w:sz w:val="20"/>
                <w:szCs w:val="22"/>
              </w:rPr>
              <w:t xml:space="preserve">, </w:t>
            </w:r>
            <w:r w:rsidRPr="004068F6">
              <w:rPr>
                <w:spacing w:val="-3"/>
                <w:sz w:val="20"/>
                <w:szCs w:val="22"/>
              </w:rPr>
              <w:t>Invemar</w:t>
            </w:r>
            <w:r w:rsidR="00A101A4" w:rsidRPr="004068F6">
              <w:rPr>
                <w:spacing w:val="-3"/>
                <w:sz w:val="20"/>
                <w:szCs w:val="22"/>
              </w:rPr>
              <w:t xml:space="preserve">, SIRH, autoridades ambientales </w:t>
            </w:r>
            <w:r w:rsidR="0066689A" w:rsidRPr="004068F6">
              <w:rPr>
                <w:spacing w:val="-3"/>
                <w:sz w:val="20"/>
                <w:szCs w:val="22"/>
              </w:rPr>
              <w:t xml:space="preserve">(en especial </w:t>
            </w:r>
            <w:r w:rsidR="0066689A" w:rsidRPr="004068F6">
              <w:rPr>
                <w:rFonts w:cs="Arial"/>
                <w:spacing w:val="-3"/>
                <w:sz w:val="20"/>
                <w:szCs w:val="22"/>
              </w:rPr>
              <w:t xml:space="preserve">Cormagdalena) </w:t>
            </w:r>
            <w:r w:rsidR="00A944EF" w:rsidRPr="004068F6">
              <w:rPr>
                <w:spacing w:val="-3"/>
                <w:sz w:val="20"/>
                <w:szCs w:val="22"/>
              </w:rPr>
              <w:t>y entidades territoriales</w:t>
            </w:r>
            <w:r w:rsidR="00A101A4" w:rsidRPr="004068F6">
              <w:rPr>
                <w:spacing w:val="-3"/>
                <w:sz w:val="20"/>
                <w:szCs w:val="22"/>
              </w:rPr>
              <w:t>.</w:t>
            </w:r>
          </w:p>
        </w:tc>
        <w:tc>
          <w:tcPr>
            <w:tcW w:w="2002" w:type="pct"/>
          </w:tcPr>
          <w:p w14:paraId="4AD4C0E9" w14:textId="717C5CA9" w:rsidR="00A101A4" w:rsidRPr="004068F6" w:rsidRDefault="0066689A">
            <w:pPr>
              <w:numPr>
                <w:ilvl w:val="12"/>
                <w:numId w:val="0"/>
              </w:numPr>
              <w:tabs>
                <w:tab w:val="left" w:pos="-2268"/>
              </w:tabs>
              <w:suppressAutoHyphens/>
              <w:rPr>
                <w:spacing w:val="-3"/>
                <w:sz w:val="20"/>
                <w:szCs w:val="22"/>
              </w:rPr>
            </w:pPr>
            <w:r w:rsidRPr="004068F6">
              <w:rPr>
                <w:spacing w:val="-3"/>
                <w:sz w:val="20"/>
                <w:szCs w:val="22"/>
              </w:rPr>
              <w:t>I</w:t>
            </w:r>
            <w:r w:rsidR="00A944EF" w:rsidRPr="004068F6">
              <w:rPr>
                <w:spacing w:val="-3"/>
                <w:sz w:val="20"/>
                <w:szCs w:val="22"/>
              </w:rPr>
              <w:t xml:space="preserve">nstitutos </w:t>
            </w:r>
            <w:r w:rsidR="00A101A4" w:rsidRPr="004068F6">
              <w:rPr>
                <w:spacing w:val="-3"/>
                <w:sz w:val="20"/>
                <w:szCs w:val="22"/>
              </w:rPr>
              <w:t>de investigación</w:t>
            </w:r>
            <w:r w:rsidR="00B14207" w:rsidRPr="004068F6">
              <w:rPr>
                <w:spacing w:val="-3"/>
                <w:sz w:val="20"/>
                <w:szCs w:val="22"/>
              </w:rPr>
              <w:t>,</w:t>
            </w:r>
            <w:r w:rsidR="00A101A4" w:rsidRPr="004068F6">
              <w:rPr>
                <w:spacing w:val="-3"/>
                <w:sz w:val="20"/>
                <w:szCs w:val="22"/>
              </w:rPr>
              <w:t xml:space="preserve"> fuentes de Internet documentadas</w:t>
            </w:r>
            <w:r w:rsidR="00AB4955" w:rsidRPr="004068F6">
              <w:rPr>
                <w:spacing w:val="-3"/>
                <w:sz w:val="20"/>
                <w:szCs w:val="22"/>
              </w:rPr>
              <w:t>,</w:t>
            </w:r>
            <w:r w:rsidR="00B14207" w:rsidRPr="004068F6">
              <w:rPr>
                <w:spacing w:val="-3"/>
                <w:sz w:val="20"/>
                <w:szCs w:val="22"/>
              </w:rPr>
              <w:t xml:space="preserve"> </w:t>
            </w:r>
            <w:r w:rsidR="00B14207" w:rsidRPr="004068F6">
              <w:rPr>
                <w:rFonts w:cs="Arial"/>
                <w:spacing w:val="-3"/>
                <w:sz w:val="20"/>
                <w:szCs w:val="22"/>
              </w:rPr>
              <w:t>estudios ambientales</w:t>
            </w:r>
            <w:r w:rsidR="00AB4955" w:rsidRPr="004068F6">
              <w:rPr>
                <w:rFonts w:cs="Arial"/>
                <w:spacing w:val="-3"/>
                <w:sz w:val="20"/>
                <w:szCs w:val="22"/>
              </w:rPr>
              <w:t xml:space="preserve"> y PORH</w:t>
            </w:r>
            <w:r w:rsidR="00A101A4" w:rsidRPr="004068F6">
              <w:rPr>
                <w:spacing w:val="-3"/>
                <w:sz w:val="20"/>
                <w:szCs w:val="22"/>
              </w:rPr>
              <w:t>.</w:t>
            </w:r>
          </w:p>
        </w:tc>
      </w:tr>
      <w:tr w:rsidR="00A101A4" w:rsidRPr="004068F6" w14:paraId="7746888D" w14:textId="77777777" w:rsidTr="009420F5">
        <w:trPr>
          <w:jc w:val="center"/>
        </w:trPr>
        <w:tc>
          <w:tcPr>
            <w:tcW w:w="1262" w:type="pct"/>
            <w:vAlign w:val="center"/>
          </w:tcPr>
          <w:p w14:paraId="2522DD4F" w14:textId="77777777" w:rsidR="00A101A4" w:rsidRPr="004068F6" w:rsidRDefault="00A101A4" w:rsidP="00C86DA5">
            <w:pPr>
              <w:numPr>
                <w:ilvl w:val="12"/>
                <w:numId w:val="0"/>
              </w:numPr>
              <w:tabs>
                <w:tab w:val="left" w:pos="-2268"/>
              </w:tabs>
              <w:suppressAutoHyphens/>
              <w:ind w:left="248"/>
              <w:rPr>
                <w:bCs/>
                <w:spacing w:val="-3"/>
                <w:sz w:val="20"/>
                <w:szCs w:val="22"/>
              </w:rPr>
            </w:pPr>
            <w:r w:rsidRPr="004068F6">
              <w:rPr>
                <w:bCs/>
                <w:spacing w:val="-3"/>
                <w:sz w:val="20"/>
                <w:szCs w:val="22"/>
              </w:rPr>
              <w:t>Uso del agua</w:t>
            </w:r>
          </w:p>
        </w:tc>
        <w:tc>
          <w:tcPr>
            <w:tcW w:w="1736" w:type="pct"/>
          </w:tcPr>
          <w:p w14:paraId="4590D86C" w14:textId="2C3C9224" w:rsidR="00A101A4" w:rsidRPr="004068F6" w:rsidRDefault="0066689A">
            <w:pPr>
              <w:numPr>
                <w:ilvl w:val="12"/>
                <w:numId w:val="0"/>
              </w:numPr>
              <w:tabs>
                <w:tab w:val="left" w:pos="-2268"/>
              </w:tabs>
              <w:suppressAutoHyphens/>
              <w:rPr>
                <w:spacing w:val="-3"/>
                <w:sz w:val="20"/>
                <w:szCs w:val="22"/>
              </w:rPr>
            </w:pPr>
            <w:r w:rsidRPr="004068F6">
              <w:rPr>
                <w:spacing w:val="-3"/>
                <w:sz w:val="20"/>
                <w:szCs w:val="22"/>
              </w:rPr>
              <w:t>A</w:t>
            </w:r>
            <w:r w:rsidR="00A101A4" w:rsidRPr="004068F6">
              <w:rPr>
                <w:spacing w:val="-3"/>
                <w:sz w:val="20"/>
                <w:szCs w:val="22"/>
              </w:rPr>
              <w:t>utoridades ambientales</w:t>
            </w:r>
            <w:r w:rsidRPr="004068F6">
              <w:rPr>
                <w:spacing w:val="-3"/>
                <w:sz w:val="20"/>
                <w:szCs w:val="22"/>
              </w:rPr>
              <w:t xml:space="preserve"> y entidades territoriales</w:t>
            </w:r>
            <w:r w:rsidR="00A101A4" w:rsidRPr="004068F6">
              <w:rPr>
                <w:spacing w:val="-3"/>
                <w:sz w:val="20"/>
                <w:szCs w:val="22"/>
              </w:rPr>
              <w:t>.</w:t>
            </w:r>
          </w:p>
        </w:tc>
        <w:tc>
          <w:tcPr>
            <w:tcW w:w="2002" w:type="pct"/>
          </w:tcPr>
          <w:p w14:paraId="60CB6DF7" w14:textId="1808B173" w:rsidR="00A101A4" w:rsidRPr="004068F6" w:rsidRDefault="00A92356">
            <w:pPr>
              <w:numPr>
                <w:ilvl w:val="12"/>
                <w:numId w:val="0"/>
              </w:numPr>
              <w:tabs>
                <w:tab w:val="left" w:pos="-2268"/>
              </w:tabs>
              <w:suppressAutoHyphens/>
              <w:rPr>
                <w:spacing w:val="-3"/>
                <w:sz w:val="20"/>
                <w:szCs w:val="22"/>
              </w:rPr>
            </w:pPr>
            <w:r w:rsidRPr="004068F6">
              <w:rPr>
                <w:spacing w:val="-3"/>
                <w:sz w:val="20"/>
                <w:szCs w:val="22"/>
              </w:rPr>
              <w:t>Ideam</w:t>
            </w:r>
            <w:r w:rsidR="00A101A4" w:rsidRPr="004068F6">
              <w:rPr>
                <w:spacing w:val="-3"/>
                <w:sz w:val="20"/>
                <w:szCs w:val="22"/>
              </w:rPr>
              <w:t xml:space="preserve">, </w:t>
            </w:r>
            <w:r w:rsidRPr="004068F6">
              <w:rPr>
                <w:spacing w:val="-3"/>
                <w:sz w:val="20"/>
                <w:szCs w:val="22"/>
              </w:rPr>
              <w:t>Invemar</w:t>
            </w:r>
            <w:r w:rsidR="00A101A4" w:rsidRPr="004068F6">
              <w:rPr>
                <w:spacing w:val="-3"/>
                <w:sz w:val="20"/>
                <w:szCs w:val="22"/>
              </w:rPr>
              <w:t>, SIAC</w:t>
            </w:r>
            <w:r w:rsidR="00AB4955" w:rsidRPr="004068F6">
              <w:rPr>
                <w:spacing w:val="-3"/>
                <w:sz w:val="20"/>
                <w:szCs w:val="22"/>
              </w:rPr>
              <w:t>,</w:t>
            </w:r>
            <w:r w:rsidR="00B14207" w:rsidRPr="004068F6">
              <w:rPr>
                <w:spacing w:val="-3"/>
                <w:sz w:val="20"/>
                <w:szCs w:val="22"/>
              </w:rPr>
              <w:t xml:space="preserve"> </w:t>
            </w:r>
            <w:r w:rsidR="00B14207" w:rsidRPr="004068F6">
              <w:rPr>
                <w:rFonts w:cs="Arial"/>
                <w:spacing w:val="-3"/>
                <w:sz w:val="20"/>
                <w:szCs w:val="22"/>
              </w:rPr>
              <w:t>estudios ambientales</w:t>
            </w:r>
            <w:r w:rsidR="00AB4955" w:rsidRPr="004068F6">
              <w:rPr>
                <w:rFonts w:cs="Arial"/>
                <w:spacing w:val="-3"/>
                <w:sz w:val="20"/>
                <w:szCs w:val="22"/>
              </w:rPr>
              <w:t xml:space="preserve"> y PORH</w:t>
            </w:r>
            <w:r w:rsidR="00A101A4" w:rsidRPr="004068F6">
              <w:rPr>
                <w:spacing w:val="-3"/>
                <w:sz w:val="20"/>
                <w:szCs w:val="22"/>
              </w:rPr>
              <w:t>.</w:t>
            </w:r>
          </w:p>
        </w:tc>
      </w:tr>
      <w:tr w:rsidR="00A101A4" w:rsidRPr="004068F6" w14:paraId="3926963C" w14:textId="77777777" w:rsidTr="00C86DA5">
        <w:trPr>
          <w:jc w:val="center"/>
        </w:trPr>
        <w:tc>
          <w:tcPr>
            <w:tcW w:w="1262" w:type="pct"/>
            <w:vAlign w:val="center"/>
          </w:tcPr>
          <w:p w14:paraId="67F171AC" w14:textId="77777777" w:rsidR="00A101A4" w:rsidRPr="004068F6" w:rsidRDefault="00A101A4">
            <w:pPr>
              <w:numPr>
                <w:ilvl w:val="12"/>
                <w:numId w:val="0"/>
              </w:numPr>
              <w:tabs>
                <w:tab w:val="left" w:pos="-2268"/>
              </w:tabs>
              <w:suppressAutoHyphens/>
              <w:rPr>
                <w:b/>
                <w:spacing w:val="-3"/>
                <w:sz w:val="20"/>
                <w:szCs w:val="22"/>
              </w:rPr>
            </w:pPr>
            <w:r w:rsidRPr="004068F6">
              <w:rPr>
                <w:b/>
                <w:spacing w:val="-3"/>
                <w:sz w:val="20"/>
                <w:szCs w:val="22"/>
              </w:rPr>
              <w:lastRenderedPageBreak/>
              <w:t>Hidrogeológico</w:t>
            </w:r>
          </w:p>
        </w:tc>
        <w:tc>
          <w:tcPr>
            <w:tcW w:w="1736" w:type="pct"/>
          </w:tcPr>
          <w:p w14:paraId="34A2B56B" w14:textId="4FA74B93"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Minambiente, SGC, SIRH,</w:t>
            </w:r>
            <w:r w:rsidR="0049473F" w:rsidRPr="004068F6">
              <w:rPr>
                <w:spacing w:val="-3"/>
                <w:sz w:val="20"/>
                <w:szCs w:val="22"/>
              </w:rPr>
              <w:t xml:space="preserve"> IDEAM, </w:t>
            </w:r>
            <w:r w:rsidRPr="004068F6">
              <w:rPr>
                <w:spacing w:val="-3"/>
                <w:sz w:val="20"/>
                <w:szCs w:val="22"/>
              </w:rPr>
              <w:t>autoridades ambientales</w:t>
            </w:r>
            <w:r w:rsidR="0066689A" w:rsidRPr="004068F6">
              <w:rPr>
                <w:spacing w:val="-3"/>
                <w:sz w:val="20"/>
                <w:szCs w:val="22"/>
              </w:rPr>
              <w:t xml:space="preserve"> y entidades territoriales</w:t>
            </w:r>
            <w:r w:rsidRPr="004068F6">
              <w:rPr>
                <w:spacing w:val="-3"/>
                <w:sz w:val="20"/>
                <w:szCs w:val="22"/>
              </w:rPr>
              <w:t>.</w:t>
            </w:r>
          </w:p>
        </w:tc>
        <w:tc>
          <w:tcPr>
            <w:tcW w:w="2002" w:type="pct"/>
          </w:tcPr>
          <w:p w14:paraId="61168CDB" w14:textId="7E798E6B" w:rsidR="00A101A4" w:rsidRPr="004068F6" w:rsidRDefault="00F57EBB">
            <w:pPr>
              <w:numPr>
                <w:ilvl w:val="12"/>
                <w:numId w:val="0"/>
              </w:numPr>
              <w:tabs>
                <w:tab w:val="left" w:pos="-2268"/>
              </w:tabs>
              <w:suppressAutoHyphens/>
              <w:rPr>
                <w:spacing w:val="-3"/>
                <w:sz w:val="20"/>
                <w:szCs w:val="22"/>
              </w:rPr>
            </w:pPr>
            <w:r w:rsidRPr="004068F6">
              <w:rPr>
                <w:rFonts w:cs="Arial"/>
                <w:spacing w:val="-3"/>
                <w:sz w:val="20"/>
                <w:szCs w:val="22"/>
              </w:rPr>
              <w:t xml:space="preserve">ANM, </w:t>
            </w:r>
            <w:r w:rsidR="0066689A" w:rsidRPr="004068F6">
              <w:rPr>
                <w:rFonts w:cs="Arial"/>
                <w:spacing w:val="-3"/>
                <w:sz w:val="20"/>
                <w:szCs w:val="22"/>
              </w:rPr>
              <w:t>E</w:t>
            </w:r>
            <w:r w:rsidR="00B14207" w:rsidRPr="004068F6">
              <w:rPr>
                <w:rFonts w:cs="Arial"/>
                <w:spacing w:val="-3"/>
                <w:sz w:val="20"/>
                <w:szCs w:val="22"/>
              </w:rPr>
              <w:t>studios ambientales</w:t>
            </w:r>
            <w:r w:rsidR="00B14207" w:rsidRPr="004068F6">
              <w:rPr>
                <w:spacing w:val="-3"/>
                <w:sz w:val="20"/>
                <w:szCs w:val="22"/>
              </w:rPr>
              <w:t xml:space="preserve"> e investigaciones</w:t>
            </w:r>
            <w:r w:rsidR="002A09AF" w:rsidRPr="004068F6">
              <w:rPr>
                <w:spacing w:val="-3"/>
                <w:sz w:val="20"/>
                <w:szCs w:val="22"/>
              </w:rPr>
              <w:t>, universidades</w:t>
            </w:r>
            <w:r w:rsidR="00B14207" w:rsidRPr="004068F6">
              <w:rPr>
                <w:spacing w:val="-3"/>
                <w:sz w:val="20"/>
                <w:szCs w:val="22"/>
              </w:rPr>
              <w:t xml:space="preserve"> y e</w:t>
            </w:r>
            <w:r w:rsidR="00A101A4" w:rsidRPr="004068F6">
              <w:rPr>
                <w:spacing w:val="-3"/>
                <w:sz w:val="20"/>
                <w:szCs w:val="22"/>
              </w:rPr>
              <w:t>studios</w:t>
            </w:r>
            <w:r w:rsidR="00A944EF" w:rsidRPr="004068F6">
              <w:rPr>
                <w:spacing w:val="-3"/>
                <w:sz w:val="20"/>
                <w:szCs w:val="22"/>
              </w:rPr>
              <w:t xml:space="preserve"> hidrogeológicos</w:t>
            </w:r>
            <w:r w:rsidR="00A101A4" w:rsidRPr="004068F6">
              <w:rPr>
                <w:spacing w:val="-3"/>
                <w:sz w:val="20"/>
                <w:szCs w:val="22"/>
              </w:rPr>
              <w:t>.</w:t>
            </w:r>
          </w:p>
        </w:tc>
      </w:tr>
      <w:tr w:rsidR="00A101A4" w:rsidRPr="004068F6" w14:paraId="1969762F" w14:textId="77777777" w:rsidTr="00C86DA5">
        <w:trPr>
          <w:jc w:val="center"/>
        </w:trPr>
        <w:tc>
          <w:tcPr>
            <w:tcW w:w="1262" w:type="pct"/>
            <w:vAlign w:val="center"/>
          </w:tcPr>
          <w:p w14:paraId="185E4C1F" w14:textId="77777777" w:rsidR="00A101A4" w:rsidRPr="004068F6" w:rsidRDefault="00A101A4">
            <w:pPr>
              <w:numPr>
                <w:ilvl w:val="12"/>
                <w:numId w:val="0"/>
              </w:numPr>
              <w:tabs>
                <w:tab w:val="left" w:pos="-2268"/>
              </w:tabs>
              <w:suppressAutoHyphens/>
              <w:rPr>
                <w:b/>
                <w:spacing w:val="-3"/>
                <w:sz w:val="20"/>
                <w:szCs w:val="22"/>
              </w:rPr>
            </w:pPr>
            <w:r w:rsidRPr="004068F6">
              <w:rPr>
                <w:b/>
                <w:spacing w:val="-3"/>
                <w:sz w:val="20"/>
                <w:szCs w:val="22"/>
              </w:rPr>
              <w:t>Atmosférico</w:t>
            </w:r>
          </w:p>
        </w:tc>
        <w:tc>
          <w:tcPr>
            <w:tcW w:w="1736" w:type="pct"/>
          </w:tcPr>
          <w:p w14:paraId="749B104F" w14:textId="41BEFAF4" w:rsidR="00323321" w:rsidRPr="004068F6" w:rsidRDefault="00A92356" w:rsidP="001E4ED9">
            <w:pPr>
              <w:numPr>
                <w:ilvl w:val="12"/>
                <w:numId w:val="0"/>
              </w:numPr>
              <w:tabs>
                <w:tab w:val="left" w:pos="-2268"/>
              </w:tabs>
              <w:suppressAutoHyphens/>
              <w:rPr>
                <w:spacing w:val="-3"/>
                <w:sz w:val="20"/>
                <w:szCs w:val="22"/>
              </w:rPr>
            </w:pPr>
            <w:r w:rsidRPr="004068F6">
              <w:rPr>
                <w:spacing w:val="-3"/>
                <w:sz w:val="20"/>
                <w:szCs w:val="22"/>
              </w:rPr>
              <w:t>Ideam</w:t>
            </w:r>
            <w:r w:rsidR="00A101A4" w:rsidRPr="004068F6">
              <w:rPr>
                <w:spacing w:val="-3"/>
                <w:sz w:val="20"/>
                <w:szCs w:val="22"/>
              </w:rPr>
              <w:t>, Sisaire, autoridades ambientales</w:t>
            </w:r>
            <w:r w:rsidR="00323321" w:rsidRPr="004068F6">
              <w:rPr>
                <w:spacing w:val="-3"/>
                <w:sz w:val="20"/>
                <w:szCs w:val="22"/>
              </w:rPr>
              <w:t>,</w:t>
            </w:r>
            <w:r w:rsidR="00A101A4" w:rsidRPr="004068F6">
              <w:rPr>
                <w:spacing w:val="-3"/>
                <w:sz w:val="20"/>
                <w:szCs w:val="22"/>
              </w:rPr>
              <w:t xml:space="preserve"> </w:t>
            </w:r>
            <w:r w:rsidR="000F6349" w:rsidRPr="004068F6">
              <w:rPr>
                <w:spacing w:val="-3"/>
                <w:sz w:val="20"/>
                <w:szCs w:val="22"/>
              </w:rPr>
              <w:t>Dimar</w:t>
            </w:r>
            <w:r w:rsidR="00323321" w:rsidRPr="004068F6">
              <w:rPr>
                <w:spacing w:val="-3"/>
                <w:sz w:val="20"/>
                <w:szCs w:val="22"/>
              </w:rPr>
              <w:t xml:space="preserve"> y Aerocivil.</w:t>
            </w:r>
          </w:p>
        </w:tc>
        <w:tc>
          <w:tcPr>
            <w:tcW w:w="2002" w:type="pct"/>
          </w:tcPr>
          <w:p w14:paraId="7BCD98BD" w14:textId="573385D6" w:rsidR="00A101A4" w:rsidRPr="004068F6" w:rsidRDefault="00A101A4">
            <w:pPr>
              <w:numPr>
                <w:ilvl w:val="12"/>
                <w:numId w:val="0"/>
              </w:numPr>
              <w:tabs>
                <w:tab w:val="left" w:pos="-2268"/>
              </w:tabs>
              <w:suppressAutoHyphens/>
              <w:rPr>
                <w:spacing w:val="-3"/>
                <w:sz w:val="20"/>
                <w:szCs w:val="22"/>
              </w:rPr>
            </w:pPr>
            <w:r w:rsidRPr="004068F6">
              <w:rPr>
                <w:spacing w:val="-3"/>
                <w:sz w:val="20"/>
                <w:szCs w:val="22"/>
              </w:rPr>
              <w:t>Universidades</w:t>
            </w:r>
            <w:r w:rsidR="00B14207" w:rsidRPr="004068F6">
              <w:rPr>
                <w:spacing w:val="-3"/>
                <w:sz w:val="20"/>
                <w:szCs w:val="22"/>
              </w:rPr>
              <w:t>,</w:t>
            </w:r>
            <w:r w:rsidRPr="004068F6">
              <w:rPr>
                <w:spacing w:val="-3"/>
                <w:sz w:val="20"/>
                <w:szCs w:val="22"/>
              </w:rPr>
              <w:t xml:space="preserve"> </w:t>
            </w:r>
            <w:r w:rsidR="00B14207" w:rsidRPr="004068F6">
              <w:rPr>
                <w:rFonts w:cs="Arial"/>
                <w:spacing w:val="-3"/>
                <w:sz w:val="20"/>
                <w:szCs w:val="22"/>
              </w:rPr>
              <w:t>estudios ambientales</w:t>
            </w:r>
            <w:r w:rsidRPr="004068F6">
              <w:rPr>
                <w:spacing w:val="-3"/>
                <w:sz w:val="20"/>
                <w:szCs w:val="22"/>
              </w:rPr>
              <w:t>, estaciones climáticas privadas y entidades territoriales.</w:t>
            </w:r>
          </w:p>
        </w:tc>
      </w:tr>
      <w:tr w:rsidR="00A101A4" w:rsidRPr="004068F6" w14:paraId="3667763A" w14:textId="77777777" w:rsidTr="00C86DA5">
        <w:trPr>
          <w:jc w:val="center"/>
        </w:trPr>
        <w:tc>
          <w:tcPr>
            <w:tcW w:w="1262" w:type="pct"/>
            <w:vAlign w:val="center"/>
          </w:tcPr>
          <w:p w14:paraId="7DE7B5B9" w14:textId="77777777" w:rsidR="00A101A4" w:rsidRPr="004068F6" w:rsidRDefault="00A101A4">
            <w:pPr>
              <w:numPr>
                <w:ilvl w:val="12"/>
                <w:numId w:val="0"/>
              </w:numPr>
              <w:tabs>
                <w:tab w:val="left" w:pos="-2268"/>
              </w:tabs>
              <w:suppressAutoHyphens/>
              <w:rPr>
                <w:b/>
                <w:spacing w:val="-3"/>
                <w:sz w:val="20"/>
                <w:szCs w:val="22"/>
              </w:rPr>
            </w:pPr>
            <w:r w:rsidRPr="004068F6">
              <w:rPr>
                <w:b/>
                <w:spacing w:val="-3"/>
                <w:sz w:val="20"/>
                <w:szCs w:val="22"/>
              </w:rPr>
              <w:t>Paisaje</w:t>
            </w:r>
          </w:p>
        </w:tc>
        <w:tc>
          <w:tcPr>
            <w:tcW w:w="1736" w:type="pct"/>
          </w:tcPr>
          <w:p w14:paraId="3D337371" w14:textId="44F7A377" w:rsidR="00A101A4" w:rsidRPr="004068F6" w:rsidRDefault="00A101A4" w:rsidP="00EA024C">
            <w:pPr>
              <w:numPr>
                <w:ilvl w:val="12"/>
                <w:numId w:val="0"/>
              </w:numPr>
              <w:tabs>
                <w:tab w:val="left" w:pos="-2268"/>
              </w:tabs>
              <w:suppressAutoHyphens/>
              <w:rPr>
                <w:spacing w:val="-3"/>
                <w:sz w:val="20"/>
                <w:szCs w:val="22"/>
              </w:rPr>
            </w:pPr>
            <w:r w:rsidRPr="004068F6">
              <w:rPr>
                <w:spacing w:val="-3"/>
                <w:sz w:val="20"/>
                <w:szCs w:val="22"/>
              </w:rPr>
              <w:t xml:space="preserve">IGAC, </w:t>
            </w:r>
            <w:r w:rsidR="00323321" w:rsidRPr="004068F6">
              <w:rPr>
                <w:spacing w:val="-3"/>
                <w:sz w:val="20"/>
                <w:szCs w:val="22"/>
              </w:rPr>
              <w:t>Institutos de Investigación</w:t>
            </w:r>
            <w:r w:rsidRPr="004068F6">
              <w:rPr>
                <w:spacing w:val="-3"/>
                <w:sz w:val="20"/>
                <w:szCs w:val="22"/>
              </w:rPr>
              <w:t>, ANH</w:t>
            </w:r>
            <w:r w:rsidR="0066689A" w:rsidRPr="004068F6">
              <w:rPr>
                <w:spacing w:val="-3"/>
                <w:sz w:val="20"/>
                <w:szCs w:val="22"/>
              </w:rPr>
              <w:t>,</w:t>
            </w:r>
            <w:r w:rsidRPr="004068F6">
              <w:rPr>
                <w:spacing w:val="-3"/>
                <w:sz w:val="20"/>
                <w:szCs w:val="22"/>
              </w:rPr>
              <w:t xml:space="preserve"> autoridades ambientales</w:t>
            </w:r>
            <w:r w:rsidR="0066689A" w:rsidRPr="004068F6">
              <w:rPr>
                <w:spacing w:val="-3"/>
                <w:sz w:val="20"/>
                <w:szCs w:val="22"/>
              </w:rPr>
              <w:t xml:space="preserve"> y entidades territoriales</w:t>
            </w:r>
            <w:r w:rsidRPr="004068F6">
              <w:rPr>
                <w:spacing w:val="-3"/>
                <w:sz w:val="20"/>
                <w:szCs w:val="22"/>
              </w:rPr>
              <w:t>.</w:t>
            </w:r>
          </w:p>
        </w:tc>
        <w:tc>
          <w:tcPr>
            <w:tcW w:w="2002" w:type="pct"/>
          </w:tcPr>
          <w:p w14:paraId="79E08BFE" w14:textId="75CD64FF" w:rsidR="00A101A4" w:rsidRPr="004068F6" w:rsidRDefault="0066689A">
            <w:pPr>
              <w:numPr>
                <w:ilvl w:val="12"/>
                <w:numId w:val="0"/>
              </w:numPr>
              <w:tabs>
                <w:tab w:val="left" w:pos="-2268"/>
              </w:tabs>
              <w:suppressAutoHyphens/>
              <w:rPr>
                <w:spacing w:val="-3"/>
                <w:sz w:val="20"/>
                <w:szCs w:val="22"/>
              </w:rPr>
            </w:pPr>
            <w:r w:rsidRPr="004068F6">
              <w:rPr>
                <w:spacing w:val="-3"/>
                <w:sz w:val="20"/>
                <w:szCs w:val="22"/>
              </w:rPr>
              <w:t>Institutos de investigación</w:t>
            </w:r>
            <w:r w:rsidR="00A101A4" w:rsidRPr="004068F6">
              <w:rPr>
                <w:spacing w:val="-3"/>
                <w:sz w:val="20"/>
                <w:szCs w:val="22"/>
              </w:rPr>
              <w:t xml:space="preserve">, universidades y </w:t>
            </w:r>
            <w:r w:rsidR="00B14207" w:rsidRPr="004068F6">
              <w:rPr>
                <w:rFonts w:cs="Arial"/>
                <w:spacing w:val="-3"/>
                <w:sz w:val="20"/>
                <w:szCs w:val="22"/>
              </w:rPr>
              <w:t>estudios ambientales</w:t>
            </w:r>
            <w:r w:rsidR="00A101A4" w:rsidRPr="004068F6">
              <w:rPr>
                <w:spacing w:val="-3"/>
                <w:sz w:val="20"/>
                <w:szCs w:val="22"/>
              </w:rPr>
              <w:t>.</w:t>
            </w:r>
          </w:p>
        </w:tc>
      </w:tr>
    </w:tbl>
    <w:p w14:paraId="2ED29B1C" w14:textId="77777777" w:rsidR="0099660C" w:rsidRPr="004068F6" w:rsidRDefault="0099660C" w:rsidP="00F04B5F">
      <w:pPr>
        <w:numPr>
          <w:ilvl w:val="12"/>
          <w:numId w:val="0"/>
        </w:numPr>
        <w:tabs>
          <w:tab w:val="left" w:pos="-2268"/>
        </w:tabs>
        <w:suppressAutoHyphens/>
        <w:rPr>
          <w:rFonts w:cs="Arial"/>
          <w:spacing w:val="-3"/>
        </w:rPr>
      </w:pPr>
    </w:p>
    <w:p w14:paraId="4CEF986E" w14:textId="310DC83F" w:rsidR="00A101A4" w:rsidRPr="004068F6" w:rsidRDefault="00A101A4" w:rsidP="00C86DA5">
      <w:pPr>
        <w:pStyle w:val="Descripcin"/>
        <w:jc w:val="center"/>
        <w:rPr>
          <w:b w:val="0"/>
        </w:rPr>
      </w:pPr>
      <w:r w:rsidRPr="004068F6">
        <w:t xml:space="preserve">Tabla </w:t>
      </w:r>
      <w:fldSimple w:instr=" SEQ Tabla \* ARABIC ">
        <w:r w:rsidR="009C4A81">
          <w:rPr>
            <w:noProof/>
          </w:rPr>
          <w:t>3</w:t>
        </w:r>
      </w:fldSimple>
      <w:r w:rsidRPr="004068F6">
        <w:rPr>
          <w:b w:val="0"/>
        </w:rPr>
        <w:t>. Fuentes de información del medio biótico</w:t>
      </w:r>
    </w:p>
    <w:tbl>
      <w:tblPr>
        <w:tblW w:w="5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140"/>
        <w:gridCol w:w="4468"/>
        <w:gridCol w:w="2204"/>
      </w:tblGrid>
      <w:tr w:rsidR="0003027D" w:rsidRPr="004068F6" w14:paraId="333C75A3" w14:textId="77777777" w:rsidTr="00C0064B">
        <w:trPr>
          <w:trHeight w:hRule="exact" w:val="567"/>
          <w:jc w:val="center"/>
        </w:trPr>
        <w:tc>
          <w:tcPr>
            <w:tcW w:w="1434" w:type="pct"/>
            <w:gridSpan w:val="2"/>
            <w:tcMar>
              <w:left w:w="0" w:type="dxa"/>
              <w:right w:w="0" w:type="dxa"/>
            </w:tcMar>
            <w:vAlign w:val="center"/>
          </w:tcPr>
          <w:p w14:paraId="4E8901C6" w14:textId="3FBB801C" w:rsidR="0003027D" w:rsidRPr="004068F6" w:rsidRDefault="0003027D" w:rsidP="009420F5">
            <w:pPr>
              <w:numPr>
                <w:ilvl w:val="12"/>
                <w:numId w:val="0"/>
              </w:numPr>
              <w:tabs>
                <w:tab w:val="left" w:pos="-2268"/>
              </w:tabs>
              <w:suppressAutoHyphens/>
              <w:ind w:left="-57" w:right="-57"/>
              <w:jc w:val="center"/>
              <w:rPr>
                <w:rFonts w:cs="Arial"/>
                <w:b/>
                <w:bCs/>
                <w:spacing w:val="-3"/>
                <w:sz w:val="22"/>
              </w:rPr>
            </w:pPr>
            <w:r w:rsidRPr="004068F6">
              <w:rPr>
                <w:rFonts w:cs="Arial"/>
                <w:b/>
                <w:bCs/>
                <w:spacing w:val="-3"/>
                <w:sz w:val="22"/>
              </w:rPr>
              <w:t>Componente</w:t>
            </w:r>
          </w:p>
        </w:tc>
        <w:tc>
          <w:tcPr>
            <w:tcW w:w="2388" w:type="pct"/>
            <w:vAlign w:val="center"/>
          </w:tcPr>
          <w:p w14:paraId="0628FC39" w14:textId="0CCA78CD" w:rsidR="0003027D" w:rsidRPr="004068F6" w:rsidRDefault="0003027D" w:rsidP="00BA45DD">
            <w:pPr>
              <w:numPr>
                <w:ilvl w:val="12"/>
                <w:numId w:val="0"/>
              </w:numPr>
              <w:tabs>
                <w:tab w:val="left" w:pos="-2268"/>
              </w:tabs>
              <w:suppressAutoHyphens/>
              <w:jc w:val="center"/>
              <w:rPr>
                <w:b/>
                <w:spacing w:val="-3"/>
                <w:sz w:val="22"/>
              </w:rPr>
            </w:pPr>
            <w:r w:rsidRPr="004068F6">
              <w:rPr>
                <w:rFonts w:cs="Arial"/>
                <w:b/>
                <w:bCs/>
                <w:spacing w:val="-3"/>
                <w:sz w:val="22"/>
              </w:rPr>
              <w:t>Fuente principal</w:t>
            </w:r>
          </w:p>
        </w:tc>
        <w:tc>
          <w:tcPr>
            <w:tcW w:w="1178" w:type="pct"/>
            <w:vAlign w:val="center"/>
          </w:tcPr>
          <w:p w14:paraId="6D60BCEB" w14:textId="6613AA30" w:rsidR="0003027D" w:rsidRPr="004068F6" w:rsidRDefault="0003027D" w:rsidP="00BA45DD">
            <w:pPr>
              <w:numPr>
                <w:ilvl w:val="12"/>
                <w:numId w:val="0"/>
              </w:numPr>
              <w:tabs>
                <w:tab w:val="left" w:pos="-2268"/>
              </w:tabs>
              <w:suppressAutoHyphens/>
              <w:jc w:val="center"/>
              <w:rPr>
                <w:b/>
                <w:spacing w:val="-3"/>
                <w:sz w:val="22"/>
              </w:rPr>
            </w:pPr>
            <w:r w:rsidRPr="004068F6">
              <w:rPr>
                <w:rFonts w:cs="Arial"/>
                <w:b/>
                <w:bCs/>
                <w:spacing w:val="-3"/>
                <w:sz w:val="22"/>
              </w:rPr>
              <w:t>Otras fuentes</w:t>
            </w:r>
          </w:p>
        </w:tc>
      </w:tr>
      <w:tr w:rsidR="0003027D" w:rsidRPr="004068F6" w14:paraId="03FBB448" w14:textId="77777777" w:rsidTr="009420F5">
        <w:trPr>
          <w:jc w:val="center"/>
        </w:trPr>
        <w:tc>
          <w:tcPr>
            <w:tcW w:w="825" w:type="pct"/>
            <w:vMerge w:val="restart"/>
            <w:vAlign w:val="center"/>
          </w:tcPr>
          <w:p w14:paraId="3179C834" w14:textId="52D21810" w:rsidR="0003027D" w:rsidRPr="004068F6" w:rsidRDefault="0003027D" w:rsidP="00896B13">
            <w:pPr>
              <w:numPr>
                <w:ilvl w:val="12"/>
                <w:numId w:val="0"/>
              </w:numPr>
              <w:tabs>
                <w:tab w:val="left" w:pos="-2268"/>
              </w:tabs>
              <w:suppressAutoHyphens/>
              <w:rPr>
                <w:b/>
                <w:spacing w:val="-3"/>
                <w:sz w:val="20"/>
                <w:szCs w:val="20"/>
              </w:rPr>
            </w:pPr>
            <w:r w:rsidRPr="004068F6">
              <w:rPr>
                <w:b/>
                <w:spacing w:val="-3"/>
                <w:sz w:val="20"/>
                <w:szCs w:val="20"/>
              </w:rPr>
              <w:t>Ecosistemas terrestres</w:t>
            </w:r>
          </w:p>
        </w:tc>
        <w:tc>
          <w:tcPr>
            <w:tcW w:w="609" w:type="pct"/>
            <w:vAlign w:val="center"/>
          </w:tcPr>
          <w:p w14:paraId="5AA60ED6" w14:textId="1CB0EE45" w:rsidR="0003027D" w:rsidRPr="004068F6" w:rsidRDefault="0003027D" w:rsidP="009420F5">
            <w:pPr>
              <w:numPr>
                <w:ilvl w:val="12"/>
                <w:numId w:val="0"/>
              </w:numPr>
              <w:tabs>
                <w:tab w:val="left" w:pos="-2268"/>
              </w:tabs>
              <w:suppressAutoHyphens/>
              <w:ind w:left="-57" w:right="-57"/>
              <w:jc w:val="center"/>
              <w:rPr>
                <w:rFonts w:cs="Arial"/>
                <w:b/>
                <w:bCs/>
                <w:spacing w:val="-3"/>
                <w:sz w:val="20"/>
                <w:szCs w:val="20"/>
              </w:rPr>
            </w:pPr>
            <w:r w:rsidRPr="004068F6">
              <w:rPr>
                <w:b/>
                <w:spacing w:val="-3"/>
                <w:sz w:val="20"/>
                <w:szCs w:val="20"/>
              </w:rPr>
              <w:t>Flora</w:t>
            </w:r>
          </w:p>
        </w:tc>
        <w:tc>
          <w:tcPr>
            <w:tcW w:w="2388" w:type="pct"/>
          </w:tcPr>
          <w:p w14:paraId="28025280" w14:textId="600B2064" w:rsidR="0003027D" w:rsidRPr="004068F6" w:rsidRDefault="0003027D" w:rsidP="0016F5AC">
            <w:pPr>
              <w:suppressAutoHyphens/>
              <w:rPr>
                <w:spacing w:val="-3"/>
                <w:sz w:val="20"/>
                <w:szCs w:val="20"/>
              </w:rPr>
            </w:pPr>
            <w:r w:rsidRPr="004068F6">
              <w:rPr>
                <w:spacing w:val="-3"/>
                <w:sz w:val="20"/>
                <w:szCs w:val="20"/>
              </w:rPr>
              <w:t xml:space="preserve">IGAC, </w:t>
            </w:r>
            <w:r w:rsidR="00297885" w:rsidRPr="004068F6">
              <w:rPr>
                <w:spacing w:val="-3"/>
                <w:sz w:val="20"/>
                <w:szCs w:val="20"/>
              </w:rPr>
              <w:t xml:space="preserve">institutos </w:t>
            </w:r>
            <w:r w:rsidRPr="004068F6">
              <w:rPr>
                <w:spacing w:val="-3"/>
                <w:sz w:val="20"/>
                <w:szCs w:val="20"/>
              </w:rPr>
              <w:t xml:space="preserve">de investigación (ICN, universidades, entre otros), </w:t>
            </w:r>
            <w:r w:rsidR="00A92356" w:rsidRPr="004068F6">
              <w:rPr>
                <w:sz w:val="20"/>
                <w:szCs w:val="20"/>
              </w:rPr>
              <w:t>Ideam</w:t>
            </w:r>
            <w:r w:rsidRPr="004068F6">
              <w:rPr>
                <w:spacing w:val="-3"/>
                <w:sz w:val="20"/>
                <w:szCs w:val="20"/>
              </w:rPr>
              <w:t xml:space="preserve">, PNN, RESNATUR, </w:t>
            </w:r>
            <w:r w:rsidR="00831CC8" w:rsidRPr="004068F6">
              <w:rPr>
                <w:spacing w:val="-3"/>
                <w:sz w:val="20"/>
                <w:szCs w:val="20"/>
              </w:rPr>
              <w:t>Instituto Humboldt</w:t>
            </w:r>
            <w:r w:rsidRPr="004068F6">
              <w:rPr>
                <w:spacing w:val="-3"/>
                <w:sz w:val="20"/>
                <w:szCs w:val="20"/>
              </w:rPr>
              <w:t>, IIAP, Sinchi, SiB</w:t>
            </w:r>
            <w:r w:rsidR="003C6411" w:rsidRPr="004068F6">
              <w:rPr>
                <w:spacing w:val="-3"/>
                <w:sz w:val="20"/>
                <w:szCs w:val="20"/>
              </w:rPr>
              <w:t xml:space="preserve"> Colombia</w:t>
            </w:r>
            <w:r w:rsidRPr="004068F6">
              <w:rPr>
                <w:spacing w:val="-3"/>
                <w:sz w:val="20"/>
                <w:szCs w:val="20"/>
              </w:rPr>
              <w:t xml:space="preserve">, SiBM, SIAC, </w:t>
            </w:r>
            <w:r w:rsidR="00D175F6" w:rsidRPr="004068F6">
              <w:rPr>
                <w:spacing w:val="-3"/>
                <w:sz w:val="20"/>
                <w:szCs w:val="20"/>
              </w:rPr>
              <w:t xml:space="preserve">herbarios que se encuentren en el </w:t>
            </w:r>
            <w:r w:rsidR="00FE2F82" w:rsidRPr="004068F6">
              <w:rPr>
                <w:spacing w:val="-3"/>
                <w:sz w:val="20"/>
                <w:szCs w:val="20"/>
              </w:rPr>
              <w:t>Registro Único Nacional de Colecciones Biológicas (RNC)</w:t>
            </w:r>
            <w:r w:rsidRPr="004068F6">
              <w:rPr>
                <w:spacing w:val="-3"/>
                <w:sz w:val="20"/>
                <w:szCs w:val="20"/>
              </w:rPr>
              <w:t xml:space="preserve">, jardines botánicos, autoridades ambientales, </w:t>
            </w:r>
            <w:r w:rsidR="00297885" w:rsidRPr="004068F6">
              <w:rPr>
                <w:spacing w:val="-3"/>
                <w:sz w:val="20"/>
                <w:szCs w:val="20"/>
              </w:rPr>
              <w:t>l</w:t>
            </w:r>
            <w:r w:rsidRPr="004068F6">
              <w:rPr>
                <w:spacing w:val="-3"/>
                <w:sz w:val="20"/>
                <w:szCs w:val="20"/>
              </w:rPr>
              <w:t>ibros rojos, guías generales de flora, publicaciones científicas (</w:t>
            </w:r>
            <w:r w:rsidR="00041844" w:rsidRPr="004068F6">
              <w:rPr>
                <w:spacing w:val="-3"/>
                <w:sz w:val="20"/>
                <w:szCs w:val="20"/>
              </w:rPr>
              <w:t>p. ej.</w:t>
            </w:r>
            <w:r w:rsidRPr="004068F6">
              <w:rPr>
                <w:spacing w:val="-3"/>
                <w:sz w:val="20"/>
                <w:szCs w:val="20"/>
              </w:rPr>
              <w:t xml:space="preserve"> artículos científicos, libros, capítulos de libros)</w:t>
            </w:r>
            <w:r w:rsidR="005D1D75" w:rsidRPr="004068F6">
              <w:rPr>
                <w:spacing w:val="-3"/>
                <w:sz w:val="20"/>
                <w:szCs w:val="20"/>
              </w:rPr>
              <w:t xml:space="preserve"> y</w:t>
            </w:r>
            <w:r w:rsidRPr="004068F6">
              <w:rPr>
                <w:spacing w:val="-3"/>
                <w:sz w:val="20"/>
                <w:szCs w:val="20"/>
              </w:rPr>
              <w:t xml:space="preserve"> </w:t>
            </w:r>
            <w:r w:rsidR="00297885" w:rsidRPr="004068F6">
              <w:rPr>
                <w:spacing w:val="-3"/>
                <w:sz w:val="20"/>
                <w:szCs w:val="20"/>
              </w:rPr>
              <w:t>p</w:t>
            </w:r>
            <w:r w:rsidRPr="004068F6">
              <w:rPr>
                <w:spacing w:val="-3"/>
                <w:sz w:val="20"/>
                <w:szCs w:val="20"/>
              </w:rPr>
              <w:t>lanes de manejo de áreas protegidas.</w:t>
            </w:r>
          </w:p>
        </w:tc>
        <w:tc>
          <w:tcPr>
            <w:tcW w:w="1178" w:type="pct"/>
          </w:tcPr>
          <w:p w14:paraId="7C23C9A5" w14:textId="58C1F903" w:rsidR="0003027D" w:rsidRPr="004068F6" w:rsidRDefault="0003027D" w:rsidP="0032671C">
            <w:pPr>
              <w:numPr>
                <w:ilvl w:val="12"/>
                <w:numId w:val="0"/>
              </w:numPr>
              <w:tabs>
                <w:tab w:val="left" w:pos="-2268"/>
              </w:tabs>
              <w:suppressAutoHyphens/>
              <w:rPr>
                <w:spacing w:val="-3"/>
                <w:sz w:val="20"/>
                <w:szCs w:val="20"/>
              </w:rPr>
            </w:pPr>
            <w:r w:rsidRPr="004068F6">
              <w:rPr>
                <w:spacing w:val="-3"/>
                <w:sz w:val="20"/>
                <w:szCs w:val="20"/>
              </w:rPr>
              <w:t xml:space="preserve">Estudios </w:t>
            </w:r>
            <w:r w:rsidR="0019434D" w:rsidRPr="004068F6">
              <w:rPr>
                <w:spacing w:val="-3"/>
                <w:sz w:val="20"/>
                <w:szCs w:val="20"/>
              </w:rPr>
              <w:t>ambientales</w:t>
            </w:r>
            <w:r w:rsidR="00B14207" w:rsidRPr="004068F6">
              <w:rPr>
                <w:spacing w:val="-3"/>
                <w:sz w:val="20"/>
                <w:szCs w:val="20"/>
              </w:rPr>
              <w:t>, estudios flor</w:t>
            </w:r>
            <w:r w:rsidR="00040B09" w:rsidRPr="004068F6">
              <w:rPr>
                <w:spacing w:val="-3"/>
                <w:sz w:val="20"/>
                <w:szCs w:val="20"/>
              </w:rPr>
              <w:t>ísticos</w:t>
            </w:r>
            <w:r w:rsidRPr="004068F6">
              <w:rPr>
                <w:rFonts w:cs="Arial"/>
                <w:spacing w:val="-3"/>
                <w:sz w:val="20"/>
                <w:szCs w:val="20"/>
              </w:rPr>
              <w:t>, POT, PBOT, EOT</w:t>
            </w:r>
            <w:r w:rsidRPr="004068F6">
              <w:rPr>
                <w:spacing w:val="-3"/>
                <w:sz w:val="20"/>
                <w:szCs w:val="20"/>
              </w:rPr>
              <w:t xml:space="preserve">, </w:t>
            </w:r>
            <w:r w:rsidR="003C70CD" w:rsidRPr="004068F6">
              <w:rPr>
                <w:spacing w:val="-3"/>
                <w:sz w:val="20"/>
                <w:szCs w:val="20"/>
              </w:rPr>
              <w:t>Pomca</w:t>
            </w:r>
            <w:r w:rsidRPr="004068F6">
              <w:rPr>
                <w:spacing w:val="-3"/>
                <w:sz w:val="20"/>
                <w:szCs w:val="20"/>
              </w:rPr>
              <w:t>, ONG</w:t>
            </w:r>
            <w:r w:rsidR="005D1D75" w:rsidRPr="004068F6">
              <w:rPr>
                <w:spacing w:val="-3"/>
                <w:sz w:val="20"/>
                <w:szCs w:val="20"/>
              </w:rPr>
              <w:t xml:space="preserve"> y</w:t>
            </w:r>
            <w:r w:rsidRPr="004068F6">
              <w:rPr>
                <w:spacing w:val="-3"/>
                <w:sz w:val="20"/>
                <w:szCs w:val="20"/>
              </w:rPr>
              <w:t xml:space="preserve"> asociaciones especializadas.</w:t>
            </w:r>
          </w:p>
        </w:tc>
      </w:tr>
      <w:tr w:rsidR="0003027D" w:rsidRPr="004068F6" w14:paraId="5F61E2CE" w14:textId="77777777" w:rsidTr="009420F5">
        <w:trPr>
          <w:jc w:val="center"/>
        </w:trPr>
        <w:tc>
          <w:tcPr>
            <w:tcW w:w="825" w:type="pct"/>
            <w:vMerge/>
            <w:vAlign w:val="center"/>
          </w:tcPr>
          <w:p w14:paraId="6A3FF303" w14:textId="6E142C6E" w:rsidR="0003027D" w:rsidRPr="004068F6" w:rsidRDefault="0003027D">
            <w:pPr>
              <w:numPr>
                <w:ilvl w:val="12"/>
                <w:numId w:val="0"/>
              </w:numPr>
              <w:tabs>
                <w:tab w:val="left" w:pos="-2268"/>
              </w:tabs>
              <w:suppressAutoHyphens/>
              <w:rPr>
                <w:b/>
                <w:spacing w:val="-3"/>
                <w:sz w:val="20"/>
                <w:szCs w:val="20"/>
              </w:rPr>
            </w:pPr>
          </w:p>
        </w:tc>
        <w:tc>
          <w:tcPr>
            <w:tcW w:w="609" w:type="pct"/>
            <w:vAlign w:val="center"/>
          </w:tcPr>
          <w:p w14:paraId="5E6EE762" w14:textId="4AB19346" w:rsidR="0003027D" w:rsidRPr="004068F6" w:rsidRDefault="0003027D" w:rsidP="009420F5">
            <w:pPr>
              <w:numPr>
                <w:ilvl w:val="12"/>
                <w:numId w:val="0"/>
              </w:numPr>
              <w:tabs>
                <w:tab w:val="left" w:pos="-2268"/>
              </w:tabs>
              <w:suppressAutoHyphens/>
              <w:ind w:left="-57" w:right="-57"/>
              <w:jc w:val="center"/>
              <w:rPr>
                <w:rFonts w:cs="Arial"/>
                <w:b/>
                <w:bCs/>
                <w:spacing w:val="-3"/>
                <w:sz w:val="20"/>
                <w:szCs w:val="20"/>
              </w:rPr>
            </w:pPr>
            <w:r w:rsidRPr="004068F6">
              <w:rPr>
                <w:b/>
                <w:spacing w:val="-3"/>
                <w:sz w:val="20"/>
                <w:szCs w:val="20"/>
              </w:rPr>
              <w:t>Fauna</w:t>
            </w:r>
          </w:p>
        </w:tc>
        <w:tc>
          <w:tcPr>
            <w:tcW w:w="2388" w:type="pct"/>
          </w:tcPr>
          <w:p w14:paraId="325AB785" w14:textId="0A86F1FD" w:rsidR="0003027D" w:rsidRPr="004068F6" w:rsidRDefault="00831CC8" w:rsidP="0016F5AC">
            <w:pPr>
              <w:suppressAutoHyphens/>
              <w:rPr>
                <w:spacing w:val="-3"/>
                <w:sz w:val="20"/>
                <w:szCs w:val="20"/>
              </w:rPr>
            </w:pPr>
            <w:r w:rsidRPr="004068F6">
              <w:rPr>
                <w:spacing w:val="-3"/>
                <w:sz w:val="20"/>
                <w:szCs w:val="20"/>
              </w:rPr>
              <w:t>Instituto Humboldt</w:t>
            </w:r>
            <w:r w:rsidR="0003027D" w:rsidRPr="004068F6">
              <w:rPr>
                <w:spacing w:val="-3"/>
                <w:sz w:val="20"/>
                <w:szCs w:val="20"/>
              </w:rPr>
              <w:t xml:space="preserve">, IIAP, Sinchi, </w:t>
            </w:r>
            <w:r w:rsidR="00A92356" w:rsidRPr="004068F6">
              <w:rPr>
                <w:sz w:val="20"/>
                <w:szCs w:val="20"/>
              </w:rPr>
              <w:t>Ideam</w:t>
            </w:r>
            <w:r w:rsidR="0003027D" w:rsidRPr="004068F6">
              <w:rPr>
                <w:spacing w:val="-3"/>
                <w:sz w:val="20"/>
                <w:szCs w:val="20"/>
              </w:rPr>
              <w:t xml:space="preserve">, ADR, ANT, </w:t>
            </w:r>
            <w:r w:rsidR="005D1D75" w:rsidRPr="004068F6">
              <w:rPr>
                <w:spacing w:val="-3"/>
                <w:sz w:val="20"/>
                <w:szCs w:val="20"/>
              </w:rPr>
              <w:t xml:space="preserve">institutos </w:t>
            </w:r>
            <w:r w:rsidR="0003027D" w:rsidRPr="004068F6">
              <w:rPr>
                <w:spacing w:val="-3"/>
                <w:sz w:val="20"/>
                <w:szCs w:val="20"/>
              </w:rPr>
              <w:t>de investigación, SiB</w:t>
            </w:r>
            <w:r w:rsidR="003C6411" w:rsidRPr="004068F6">
              <w:rPr>
                <w:spacing w:val="-3"/>
                <w:sz w:val="20"/>
                <w:szCs w:val="20"/>
              </w:rPr>
              <w:t xml:space="preserve"> Colombia</w:t>
            </w:r>
            <w:r w:rsidR="0003027D" w:rsidRPr="004068F6">
              <w:rPr>
                <w:spacing w:val="-3"/>
                <w:sz w:val="20"/>
                <w:szCs w:val="20"/>
              </w:rPr>
              <w:t xml:space="preserve">, SiBM, SIAC, </w:t>
            </w:r>
            <w:r w:rsidR="003100FB" w:rsidRPr="004068F6">
              <w:rPr>
                <w:spacing w:val="-3"/>
                <w:sz w:val="20"/>
                <w:szCs w:val="20"/>
              </w:rPr>
              <w:t>AICA</w:t>
            </w:r>
            <w:r w:rsidR="0003027D" w:rsidRPr="004068F6">
              <w:rPr>
                <w:spacing w:val="-3"/>
                <w:sz w:val="20"/>
                <w:szCs w:val="20"/>
              </w:rPr>
              <w:t xml:space="preserve">, </w:t>
            </w:r>
            <w:r w:rsidR="00323321" w:rsidRPr="004068F6">
              <w:rPr>
                <w:spacing w:val="-3"/>
                <w:sz w:val="20"/>
                <w:szCs w:val="20"/>
              </w:rPr>
              <w:t xml:space="preserve">colecciones científicas del Instituto de Ciencias Naturales (ICN) de la Universidad Nacional de Colombia, </w:t>
            </w:r>
            <w:r w:rsidR="00D175F6" w:rsidRPr="004068F6">
              <w:rPr>
                <w:spacing w:val="-3"/>
                <w:sz w:val="20"/>
                <w:szCs w:val="20"/>
              </w:rPr>
              <w:t xml:space="preserve">colecciones biológicas, </w:t>
            </w:r>
            <w:r w:rsidR="0003027D" w:rsidRPr="004068F6">
              <w:rPr>
                <w:spacing w:val="-3"/>
                <w:sz w:val="20"/>
                <w:szCs w:val="20"/>
              </w:rPr>
              <w:t xml:space="preserve">centros de documentación de autoridades ambientales, </w:t>
            </w:r>
            <w:r w:rsidR="005D1D75" w:rsidRPr="004068F6">
              <w:rPr>
                <w:spacing w:val="-3"/>
                <w:sz w:val="20"/>
                <w:szCs w:val="20"/>
              </w:rPr>
              <w:t>l</w:t>
            </w:r>
            <w:r w:rsidR="0003027D" w:rsidRPr="004068F6">
              <w:rPr>
                <w:spacing w:val="-3"/>
                <w:sz w:val="20"/>
                <w:szCs w:val="20"/>
              </w:rPr>
              <w:t xml:space="preserve">ibros </w:t>
            </w:r>
            <w:r w:rsidR="005D1D75" w:rsidRPr="004068F6">
              <w:rPr>
                <w:spacing w:val="-3"/>
                <w:sz w:val="20"/>
                <w:szCs w:val="20"/>
              </w:rPr>
              <w:t>r</w:t>
            </w:r>
            <w:r w:rsidR="0003027D" w:rsidRPr="004068F6">
              <w:rPr>
                <w:spacing w:val="-3"/>
                <w:sz w:val="20"/>
                <w:szCs w:val="20"/>
              </w:rPr>
              <w:t>ojos, guías generales de fauna, publicaciones científicas (</w:t>
            </w:r>
            <w:r w:rsidR="00041844" w:rsidRPr="004068F6">
              <w:rPr>
                <w:spacing w:val="-3"/>
                <w:sz w:val="20"/>
                <w:szCs w:val="20"/>
              </w:rPr>
              <w:t>p. ej.</w:t>
            </w:r>
            <w:r w:rsidR="0003027D" w:rsidRPr="004068F6">
              <w:rPr>
                <w:spacing w:val="-3"/>
                <w:sz w:val="20"/>
                <w:szCs w:val="20"/>
              </w:rPr>
              <w:t xml:space="preserve"> artículos científicos, libros, capítulos de libros)</w:t>
            </w:r>
            <w:r w:rsidR="005D1D75" w:rsidRPr="004068F6">
              <w:rPr>
                <w:spacing w:val="-3"/>
                <w:sz w:val="20"/>
                <w:szCs w:val="20"/>
              </w:rPr>
              <w:t xml:space="preserve"> y</w:t>
            </w:r>
            <w:r w:rsidR="0003027D" w:rsidRPr="004068F6">
              <w:rPr>
                <w:spacing w:val="-3"/>
                <w:sz w:val="20"/>
                <w:szCs w:val="20"/>
              </w:rPr>
              <w:t xml:space="preserve"> </w:t>
            </w:r>
            <w:r w:rsidR="005D1D75" w:rsidRPr="004068F6">
              <w:rPr>
                <w:spacing w:val="-3"/>
                <w:sz w:val="20"/>
                <w:szCs w:val="20"/>
              </w:rPr>
              <w:t>p</w:t>
            </w:r>
            <w:r w:rsidR="0003027D" w:rsidRPr="004068F6">
              <w:rPr>
                <w:spacing w:val="-3"/>
                <w:sz w:val="20"/>
                <w:szCs w:val="20"/>
              </w:rPr>
              <w:t>lanes de manejo de áreas protegidas</w:t>
            </w:r>
            <w:r w:rsidR="0003027D" w:rsidRPr="004068F6">
              <w:rPr>
                <w:rFonts w:cs="Arial"/>
                <w:spacing w:val="-3"/>
                <w:sz w:val="20"/>
                <w:szCs w:val="20"/>
              </w:rPr>
              <w:t>.</w:t>
            </w:r>
          </w:p>
        </w:tc>
        <w:tc>
          <w:tcPr>
            <w:tcW w:w="1178" w:type="pct"/>
          </w:tcPr>
          <w:p w14:paraId="5D3F45B4" w14:textId="58B13AF6" w:rsidR="0003027D" w:rsidRPr="004068F6" w:rsidRDefault="0003027D">
            <w:pPr>
              <w:numPr>
                <w:ilvl w:val="12"/>
                <w:numId w:val="0"/>
              </w:numPr>
              <w:tabs>
                <w:tab w:val="left" w:pos="-2268"/>
              </w:tabs>
              <w:suppressAutoHyphens/>
              <w:rPr>
                <w:spacing w:val="-3"/>
                <w:sz w:val="20"/>
                <w:szCs w:val="20"/>
              </w:rPr>
            </w:pPr>
            <w:r w:rsidRPr="004068F6">
              <w:rPr>
                <w:spacing w:val="-3"/>
                <w:sz w:val="20"/>
                <w:szCs w:val="20"/>
              </w:rPr>
              <w:t xml:space="preserve">Estudios </w:t>
            </w:r>
            <w:r w:rsidR="00B14207" w:rsidRPr="004068F6">
              <w:rPr>
                <w:spacing w:val="-3"/>
                <w:sz w:val="20"/>
                <w:szCs w:val="20"/>
              </w:rPr>
              <w:t>ambientales, estudios faunísticos</w:t>
            </w:r>
            <w:r w:rsidR="00BE032F" w:rsidRPr="004068F6">
              <w:rPr>
                <w:spacing w:val="-3"/>
                <w:sz w:val="20"/>
                <w:szCs w:val="20"/>
              </w:rPr>
              <w:t xml:space="preserve">, </w:t>
            </w:r>
            <w:r w:rsidR="003C70CD" w:rsidRPr="004068F6">
              <w:rPr>
                <w:spacing w:val="-3"/>
                <w:sz w:val="20"/>
                <w:szCs w:val="20"/>
              </w:rPr>
              <w:t>Pomca</w:t>
            </w:r>
            <w:r w:rsidR="005D1D75" w:rsidRPr="004068F6">
              <w:rPr>
                <w:spacing w:val="-3"/>
                <w:sz w:val="20"/>
                <w:szCs w:val="20"/>
              </w:rPr>
              <w:t xml:space="preserve"> y </w:t>
            </w:r>
            <w:r w:rsidRPr="004068F6">
              <w:rPr>
                <w:spacing w:val="-3"/>
                <w:sz w:val="20"/>
                <w:szCs w:val="20"/>
              </w:rPr>
              <w:t>asociaciones especializadas.</w:t>
            </w:r>
          </w:p>
        </w:tc>
      </w:tr>
      <w:tr w:rsidR="0003027D" w:rsidRPr="004068F6" w14:paraId="110363DC" w14:textId="77777777" w:rsidTr="009420F5">
        <w:trPr>
          <w:jc w:val="center"/>
        </w:trPr>
        <w:tc>
          <w:tcPr>
            <w:tcW w:w="825" w:type="pct"/>
            <w:vMerge w:val="restart"/>
            <w:tcMar>
              <w:left w:w="57" w:type="dxa"/>
              <w:right w:w="57" w:type="dxa"/>
            </w:tcMar>
            <w:vAlign w:val="center"/>
          </w:tcPr>
          <w:p w14:paraId="4946DF90" w14:textId="7DA5D1F8" w:rsidR="0003027D" w:rsidRPr="004068F6" w:rsidRDefault="0003027D" w:rsidP="00640F0B">
            <w:pPr>
              <w:numPr>
                <w:ilvl w:val="12"/>
                <w:numId w:val="0"/>
              </w:numPr>
              <w:tabs>
                <w:tab w:val="left" w:pos="-2268"/>
              </w:tabs>
              <w:suppressAutoHyphens/>
              <w:rPr>
                <w:b/>
                <w:spacing w:val="-3"/>
                <w:sz w:val="20"/>
                <w:szCs w:val="20"/>
              </w:rPr>
            </w:pPr>
            <w:r w:rsidRPr="004068F6">
              <w:rPr>
                <w:b/>
                <w:spacing w:val="-3"/>
                <w:sz w:val="20"/>
                <w:szCs w:val="20"/>
              </w:rPr>
              <w:t>Ecosistemas acuáticos</w:t>
            </w:r>
          </w:p>
        </w:tc>
        <w:tc>
          <w:tcPr>
            <w:tcW w:w="609" w:type="pct"/>
            <w:vAlign w:val="center"/>
          </w:tcPr>
          <w:p w14:paraId="6A4F167F" w14:textId="4EEF0086" w:rsidR="0003027D" w:rsidRPr="004068F6" w:rsidRDefault="00CE7F01" w:rsidP="009420F5">
            <w:pPr>
              <w:numPr>
                <w:ilvl w:val="12"/>
                <w:numId w:val="0"/>
              </w:numPr>
              <w:tabs>
                <w:tab w:val="left" w:pos="-2268"/>
              </w:tabs>
              <w:suppressAutoHyphens/>
              <w:ind w:left="-57" w:right="-57"/>
              <w:jc w:val="center"/>
              <w:rPr>
                <w:rFonts w:cs="Arial"/>
                <w:b/>
                <w:bCs/>
                <w:spacing w:val="-3"/>
                <w:sz w:val="20"/>
                <w:szCs w:val="20"/>
              </w:rPr>
            </w:pPr>
            <w:r w:rsidRPr="004068F6">
              <w:rPr>
                <w:b/>
                <w:spacing w:val="-3"/>
                <w:sz w:val="20"/>
                <w:szCs w:val="20"/>
              </w:rPr>
              <w:t>De agua dulce</w:t>
            </w:r>
          </w:p>
        </w:tc>
        <w:tc>
          <w:tcPr>
            <w:tcW w:w="2388" w:type="pct"/>
          </w:tcPr>
          <w:p w14:paraId="3EFB7247" w14:textId="75FE3AA4" w:rsidR="0003027D" w:rsidRPr="004068F6" w:rsidRDefault="00A92356" w:rsidP="0016F5AC">
            <w:pPr>
              <w:suppressAutoHyphens/>
              <w:rPr>
                <w:spacing w:val="-3"/>
                <w:sz w:val="20"/>
                <w:szCs w:val="20"/>
              </w:rPr>
            </w:pPr>
            <w:r w:rsidRPr="004068F6">
              <w:rPr>
                <w:sz w:val="20"/>
                <w:szCs w:val="20"/>
              </w:rPr>
              <w:t>Ideam</w:t>
            </w:r>
            <w:r w:rsidR="0003027D" w:rsidRPr="004068F6">
              <w:rPr>
                <w:spacing w:val="-3"/>
                <w:sz w:val="20"/>
                <w:szCs w:val="20"/>
              </w:rPr>
              <w:t xml:space="preserve">, </w:t>
            </w:r>
            <w:r w:rsidR="00831CC8" w:rsidRPr="004068F6">
              <w:rPr>
                <w:spacing w:val="-3"/>
                <w:sz w:val="20"/>
                <w:szCs w:val="20"/>
              </w:rPr>
              <w:t>Instituto Humboldt</w:t>
            </w:r>
            <w:r w:rsidR="0003027D" w:rsidRPr="004068F6">
              <w:rPr>
                <w:spacing w:val="-3"/>
                <w:sz w:val="20"/>
                <w:szCs w:val="20"/>
              </w:rPr>
              <w:t xml:space="preserve">, Sinchi, </w:t>
            </w:r>
            <w:r w:rsidR="00CE7F01" w:rsidRPr="004068F6">
              <w:rPr>
                <w:spacing w:val="-3"/>
                <w:sz w:val="20"/>
                <w:szCs w:val="20"/>
              </w:rPr>
              <w:t xml:space="preserve">IIAP, </w:t>
            </w:r>
            <w:r w:rsidR="0003027D" w:rsidRPr="004068F6">
              <w:rPr>
                <w:spacing w:val="-3"/>
                <w:sz w:val="20"/>
                <w:szCs w:val="20"/>
              </w:rPr>
              <w:t>Minambiente, SiB</w:t>
            </w:r>
            <w:r w:rsidR="003C6411" w:rsidRPr="004068F6">
              <w:rPr>
                <w:spacing w:val="-3"/>
                <w:sz w:val="20"/>
                <w:szCs w:val="20"/>
              </w:rPr>
              <w:t xml:space="preserve"> Colombia</w:t>
            </w:r>
            <w:r w:rsidR="0003027D" w:rsidRPr="004068F6">
              <w:rPr>
                <w:spacing w:val="-3"/>
                <w:sz w:val="20"/>
                <w:szCs w:val="20"/>
              </w:rPr>
              <w:t xml:space="preserve">, </w:t>
            </w:r>
            <w:r w:rsidR="00BF790D" w:rsidRPr="004068F6">
              <w:rPr>
                <w:rFonts w:cs="Arial"/>
                <w:sz w:val="20"/>
                <w:szCs w:val="20"/>
              </w:rPr>
              <w:t>Aunap</w:t>
            </w:r>
            <w:r w:rsidR="0003027D" w:rsidRPr="004068F6">
              <w:rPr>
                <w:spacing w:val="-3"/>
                <w:sz w:val="20"/>
                <w:szCs w:val="20"/>
              </w:rPr>
              <w:t xml:space="preserve">, autoridades ambientales, </w:t>
            </w:r>
            <w:r w:rsidR="005D1D75" w:rsidRPr="004068F6">
              <w:rPr>
                <w:spacing w:val="-3"/>
                <w:sz w:val="20"/>
                <w:szCs w:val="20"/>
              </w:rPr>
              <w:t>l</w:t>
            </w:r>
            <w:r w:rsidR="0003027D" w:rsidRPr="004068F6">
              <w:rPr>
                <w:spacing w:val="-3"/>
                <w:sz w:val="20"/>
                <w:szCs w:val="20"/>
              </w:rPr>
              <w:t xml:space="preserve">ibros </w:t>
            </w:r>
            <w:r w:rsidR="005D1D75" w:rsidRPr="004068F6">
              <w:rPr>
                <w:spacing w:val="-3"/>
                <w:sz w:val="20"/>
                <w:szCs w:val="20"/>
              </w:rPr>
              <w:t>r</w:t>
            </w:r>
            <w:r w:rsidR="0003027D" w:rsidRPr="004068F6">
              <w:rPr>
                <w:spacing w:val="-3"/>
                <w:sz w:val="20"/>
                <w:szCs w:val="20"/>
              </w:rPr>
              <w:t>ojos, guías generales de peces, publicaciones científicas (</w:t>
            </w:r>
            <w:r w:rsidR="00041844" w:rsidRPr="004068F6">
              <w:rPr>
                <w:spacing w:val="-3"/>
                <w:sz w:val="20"/>
                <w:szCs w:val="20"/>
              </w:rPr>
              <w:t>p. ej.</w:t>
            </w:r>
            <w:r w:rsidR="0003027D" w:rsidRPr="004068F6">
              <w:rPr>
                <w:spacing w:val="-3"/>
                <w:sz w:val="20"/>
                <w:szCs w:val="20"/>
              </w:rPr>
              <w:t xml:space="preserve"> artículos científicos, libros, capítulos de libros)</w:t>
            </w:r>
            <w:r w:rsidR="00130DBC" w:rsidRPr="004068F6">
              <w:rPr>
                <w:spacing w:val="-3"/>
                <w:sz w:val="20"/>
                <w:szCs w:val="20"/>
              </w:rPr>
              <w:t xml:space="preserve"> y</w:t>
            </w:r>
            <w:r w:rsidR="0003027D" w:rsidRPr="004068F6">
              <w:rPr>
                <w:spacing w:val="-3"/>
                <w:sz w:val="20"/>
                <w:szCs w:val="20"/>
              </w:rPr>
              <w:t xml:space="preserve"> </w:t>
            </w:r>
            <w:r w:rsidR="00130DBC" w:rsidRPr="004068F6">
              <w:rPr>
                <w:spacing w:val="-3"/>
                <w:sz w:val="20"/>
                <w:szCs w:val="20"/>
              </w:rPr>
              <w:t>p</w:t>
            </w:r>
            <w:r w:rsidR="0003027D" w:rsidRPr="004068F6">
              <w:rPr>
                <w:spacing w:val="-3"/>
                <w:sz w:val="20"/>
                <w:szCs w:val="20"/>
              </w:rPr>
              <w:t xml:space="preserve">lanes de </w:t>
            </w:r>
            <w:r w:rsidR="00130DBC" w:rsidRPr="004068F6">
              <w:rPr>
                <w:spacing w:val="-3"/>
                <w:sz w:val="20"/>
                <w:szCs w:val="20"/>
              </w:rPr>
              <w:t>m</w:t>
            </w:r>
            <w:r w:rsidR="0003027D" w:rsidRPr="004068F6">
              <w:rPr>
                <w:spacing w:val="-3"/>
                <w:sz w:val="20"/>
                <w:szCs w:val="20"/>
              </w:rPr>
              <w:t xml:space="preserve">anejo de </w:t>
            </w:r>
            <w:r w:rsidR="00130DBC" w:rsidRPr="004068F6">
              <w:rPr>
                <w:spacing w:val="-3"/>
                <w:sz w:val="20"/>
                <w:szCs w:val="20"/>
              </w:rPr>
              <w:t>á</w:t>
            </w:r>
            <w:r w:rsidR="0003027D" w:rsidRPr="004068F6">
              <w:rPr>
                <w:spacing w:val="-3"/>
                <w:sz w:val="20"/>
                <w:szCs w:val="20"/>
              </w:rPr>
              <w:t xml:space="preserve">reas </w:t>
            </w:r>
            <w:r w:rsidR="00130DBC" w:rsidRPr="004068F6">
              <w:rPr>
                <w:spacing w:val="-3"/>
                <w:sz w:val="20"/>
                <w:szCs w:val="20"/>
              </w:rPr>
              <w:t>p</w:t>
            </w:r>
            <w:r w:rsidR="0003027D" w:rsidRPr="004068F6">
              <w:rPr>
                <w:spacing w:val="-3"/>
                <w:sz w:val="20"/>
                <w:szCs w:val="20"/>
              </w:rPr>
              <w:t>rotegidas.</w:t>
            </w:r>
          </w:p>
        </w:tc>
        <w:tc>
          <w:tcPr>
            <w:tcW w:w="1178" w:type="pct"/>
          </w:tcPr>
          <w:p w14:paraId="4F5BD4E6" w14:textId="641C8180" w:rsidR="0003027D" w:rsidRPr="004068F6" w:rsidRDefault="0003027D">
            <w:pPr>
              <w:numPr>
                <w:ilvl w:val="12"/>
                <w:numId w:val="0"/>
              </w:numPr>
              <w:tabs>
                <w:tab w:val="left" w:pos="-2268"/>
              </w:tabs>
              <w:suppressAutoHyphens/>
              <w:rPr>
                <w:spacing w:val="-3"/>
                <w:sz w:val="20"/>
                <w:szCs w:val="20"/>
              </w:rPr>
            </w:pPr>
            <w:r w:rsidRPr="004068F6">
              <w:rPr>
                <w:spacing w:val="-3"/>
                <w:sz w:val="20"/>
                <w:szCs w:val="20"/>
              </w:rPr>
              <w:t xml:space="preserve">Estudios </w:t>
            </w:r>
            <w:r w:rsidR="00B14207" w:rsidRPr="004068F6">
              <w:rPr>
                <w:spacing w:val="-3"/>
                <w:sz w:val="20"/>
                <w:szCs w:val="20"/>
              </w:rPr>
              <w:t xml:space="preserve">ambientales, investigaciones y estudios elaborados por </w:t>
            </w:r>
            <w:r w:rsidR="00130DBC" w:rsidRPr="004068F6">
              <w:rPr>
                <w:spacing w:val="-3"/>
                <w:sz w:val="20"/>
                <w:szCs w:val="20"/>
              </w:rPr>
              <w:t>u</w:t>
            </w:r>
            <w:r w:rsidRPr="004068F6">
              <w:rPr>
                <w:spacing w:val="-3"/>
                <w:sz w:val="20"/>
                <w:szCs w:val="20"/>
              </w:rPr>
              <w:t>niversidades</w:t>
            </w:r>
            <w:r w:rsidR="00130DBC" w:rsidRPr="004068F6">
              <w:rPr>
                <w:spacing w:val="-3"/>
                <w:sz w:val="20"/>
                <w:szCs w:val="20"/>
              </w:rPr>
              <w:t xml:space="preserve"> o institutos de investigación</w:t>
            </w:r>
            <w:r w:rsidR="005473CD" w:rsidRPr="004068F6">
              <w:rPr>
                <w:spacing w:val="-3"/>
                <w:sz w:val="20"/>
                <w:szCs w:val="20"/>
              </w:rPr>
              <w:t xml:space="preserve">, </w:t>
            </w:r>
            <w:r w:rsidR="003C70CD" w:rsidRPr="004068F6">
              <w:rPr>
                <w:spacing w:val="-3"/>
                <w:sz w:val="20"/>
                <w:szCs w:val="20"/>
              </w:rPr>
              <w:t>Pomca</w:t>
            </w:r>
            <w:r w:rsidR="00130DBC" w:rsidRPr="004068F6">
              <w:rPr>
                <w:spacing w:val="-3"/>
                <w:sz w:val="20"/>
                <w:szCs w:val="20"/>
              </w:rPr>
              <w:t xml:space="preserve"> y</w:t>
            </w:r>
            <w:r w:rsidRPr="004068F6">
              <w:rPr>
                <w:spacing w:val="-3"/>
                <w:sz w:val="20"/>
                <w:szCs w:val="20"/>
              </w:rPr>
              <w:t xml:space="preserve"> PORH.</w:t>
            </w:r>
          </w:p>
        </w:tc>
      </w:tr>
      <w:tr w:rsidR="0003027D" w:rsidRPr="004068F6" w14:paraId="31CB0772" w14:textId="77777777" w:rsidTr="009420F5">
        <w:trPr>
          <w:jc w:val="center"/>
        </w:trPr>
        <w:tc>
          <w:tcPr>
            <w:tcW w:w="825" w:type="pct"/>
            <w:vMerge/>
            <w:tcMar>
              <w:left w:w="57" w:type="dxa"/>
              <w:right w:w="57" w:type="dxa"/>
            </w:tcMar>
            <w:vAlign w:val="center"/>
          </w:tcPr>
          <w:p w14:paraId="4A1A9C67" w14:textId="1BE55A45" w:rsidR="0003027D" w:rsidRPr="004068F6" w:rsidRDefault="0003027D">
            <w:pPr>
              <w:numPr>
                <w:ilvl w:val="12"/>
                <w:numId w:val="0"/>
              </w:numPr>
              <w:tabs>
                <w:tab w:val="left" w:pos="-2268"/>
              </w:tabs>
              <w:suppressAutoHyphens/>
              <w:rPr>
                <w:spacing w:val="-3"/>
                <w:sz w:val="20"/>
                <w:szCs w:val="20"/>
              </w:rPr>
            </w:pPr>
          </w:p>
        </w:tc>
        <w:tc>
          <w:tcPr>
            <w:tcW w:w="609" w:type="pct"/>
            <w:vAlign w:val="center"/>
          </w:tcPr>
          <w:p w14:paraId="7780401C" w14:textId="764B6D35" w:rsidR="0003027D" w:rsidRPr="004068F6" w:rsidRDefault="0003027D" w:rsidP="009420F5">
            <w:pPr>
              <w:numPr>
                <w:ilvl w:val="12"/>
                <w:numId w:val="0"/>
              </w:numPr>
              <w:tabs>
                <w:tab w:val="left" w:pos="-2268"/>
              </w:tabs>
              <w:suppressAutoHyphens/>
              <w:ind w:left="-57" w:right="-57"/>
              <w:jc w:val="center"/>
              <w:rPr>
                <w:rFonts w:cs="Arial"/>
                <w:b/>
                <w:bCs/>
                <w:spacing w:val="-3"/>
                <w:sz w:val="20"/>
                <w:szCs w:val="20"/>
              </w:rPr>
            </w:pPr>
            <w:r w:rsidRPr="004068F6">
              <w:rPr>
                <w:b/>
                <w:spacing w:val="-3"/>
                <w:sz w:val="20"/>
                <w:szCs w:val="20"/>
              </w:rPr>
              <w:t>Marinos</w:t>
            </w:r>
          </w:p>
        </w:tc>
        <w:tc>
          <w:tcPr>
            <w:tcW w:w="2388" w:type="pct"/>
          </w:tcPr>
          <w:p w14:paraId="79EEFF12" w14:textId="1BB06A99" w:rsidR="0003027D" w:rsidRPr="004068F6" w:rsidRDefault="00A92356">
            <w:pPr>
              <w:numPr>
                <w:ilvl w:val="12"/>
                <w:numId w:val="0"/>
              </w:numPr>
              <w:tabs>
                <w:tab w:val="left" w:pos="-2268"/>
              </w:tabs>
              <w:suppressAutoHyphens/>
              <w:rPr>
                <w:spacing w:val="-3"/>
                <w:sz w:val="20"/>
                <w:szCs w:val="20"/>
              </w:rPr>
            </w:pPr>
            <w:r w:rsidRPr="004068F6">
              <w:rPr>
                <w:spacing w:val="-3"/>
                <w:sz w:val="20"/>
                <w:szCs w:val="20"/>
              </w:rPr>
              <w:t>Invemar</w:t>
            </w:r>
            <w:r w:rsidR="0003027D" w:rsidRPr="004068F6">
              <w:rPr>
                <w:spacing w:val="-3"/>
                <w:sz w:val="20"/>
                <w:szCs w:val="20"/>
              </w:rPr>
              <w:t>, SiB</w:t>
            </w:r>
            <w:r w:rsidR="003C6411" w:rsidRPr="004068F6">
              <w:rPr>
                <w:spacing w:val="-3"/>
                <w:sz w:val="20"/>
                <w:szCs w:val="20"/>
              </w:rPr>
              <w:t xml:space="preserve"> Colombia</w:t>
            </w:r>
            <w:r w:rsidR="0003027D" w:rsidRPr="004068F6">
              <w:rPr>
                <w:spacing w:val="-3"/>
                <w:sz w:val="20"/>
                <w:szCs w:val="20"/>
              </w:rPr>
              <w:t xml:space="preserve">, </w:t>
            </w:r>
            <w:r w:rsidR="00D175F6" w:rsidRPr="004068F6">
              <w:rPr>
                <w:spacing w:val="-3"/>
                <w:sz w:val="20"/>
                <w:szCs w:val="20"/>
              </w:rPr>
              <w:t xml:space="preserve">Sistema de Información Ambiental Marina (SIAM), </w:t>
            </w:r>
            <w:r w:rsidR="00BF790D" w:rsidRPr="004068F6">
              <w:rPr>
                <w:rFonts w:cs="Arial"/>
                <w:sz w:val="20"/>
                <w:szCs w:val="20"/>
              </w:rPr>
              <w:t>Aunap</w:t>
            </w:r>
            <w:r w:rsidR="00130DBC" w:rsidRPr="004068F6">
              <w:rPr>
                <w:spacing w:val="-3"/>
                <w:sz w:val="20"/>
                <w:szCs w:val="20"/>
              </w:rPr>
              <w:t>,</w:t>
            </w:r>
            <w:r w:rsidR="0003027D" w:rsidRPr="004068F6">
              <w:rPr>
                <w:spacing w:val="-3"/>
                <w:sz w:val="20"/>
                <w:szCs w:val="20"/>
              </w:rPr>
              <w:t xml:space="preserve"> autoridades ambientales, centros de investigación (ICN, CCCP, CIOH, entre otros), </w:t>
            </w:r>
            <w:r w:rsidR="00130DBC" w:rsidRPr="004068F6">
              <w:rPr>
                <w:spacing w:val="-3"/>
                <w:sz w:val="20"/>
                <w:szCs w:val="20"/>
              </w:rPr>
              <w:t>l</w:t>
            </w:r>
            <w:r w:rsidR="0003027D" w:rsidRPr="004068F6">
              <w:rPr>
                <w:spacing w:val="-3"/>
                <w:sz w:val="20"/>
                <w:szCs w:val="20"/>
              </w:rPr>
              <w:t xml:space="preserve">ibros </w:t>
            </w:r>
            <w:r w:rsidR="00130DBC" w:rsidRPr="004068F6">
              <w:rPr>
                <w:spacing w:val="-3"/>
                <w:sz w:val="20"/>
                <w:szCs w:val="20"/>
              </w:rPr>
              <w:t>r</w:t>
            </w:r>
            <w:r w:rsidR="0003027D" w:rsidRPr="004068F6">
              <w:rPr>
                <w:spacing w:val="-3"/>
                <w:sz w:val="20"/>
                <w:szCs w:val="20"/>
              </w:rPr>
              <w:t>ojos</w:t>
            </w:r>
            <w:r w:rsidR="00130DBC" w:rsidRPr="004068F6">
              <w:rPr>
                <w:spacing w:val="-3"/>
                <w:sz w:val="20"/>
                <w:szCs w:val="20"/>
              </w:rPr>
              <w:t xml:space="preserve"> y</w:t>
            </w:r>
            <w:r w:rsidR="0003027D" w:rsidRPr="004068F6">
              <w:rPr>
                <w:spacing w:val="-3"/>
                <w:sz w:val="20"/>
                <w:szCs w:val="20"/>
              </w:rPr>
              <w:t xml:space="preserve"> </w:t>
            </w:r>
            <w:r w:rsidR="00130DBC" w:rsidRPr="004068F6">
              <w:rPr>
                <w:spacing w:val="-3"/>
                <w:sz w:val="20"/>
                <w:szCs w:val="20"/>
              </w:rPr>
              <w:t>p</w:t>
            </w:r>
            <w:r w:rsidR="0003027D" w:rsidRPr="004068F6">
              <w:rPr>
                <w:spacing w:val="-3"/>
                <w:sz w:val="20"/>
                <w:szCs w:val="20"/>
              </w:rPr>
              <w:t xml:space="preserve">lanes de </w:t>
            </w:r>
            <w:r w:rsidR="00130DBC" w:rsidRPr="004068F6">
              <w:rPr>
                <w:spacing w:val="-3"/>
                <w:sz w:val="20"/>
                <w:szCs w:val="20"/>
              </w:rPr>
              <w:t>m</w:t>
            </w:r>
            <w:r w:rsidR="0003027D" w:rsidRPr="004068F6">
              <w:rPr>
                <w:spacing w:val="-3"/>
                <w:sz w:val="20"/>
                <w:szCs w:val="20"/>
              </w:rPr>
              <w:t xml:space="preserve">anejo de </w:t>
            </w:r>
            <w:r w:rsidR="00130DBC" w:rsidRPr="004068F6">
              <w:rPr>
                <w:spacing w:val="-3"/>
                <w:sz w:val="20"/>
                <w:szCs w:val="20"/>
              </w:rPr>
              <w:t>á</w:t>
            </w:r>
            <w:r w:rsidR="0003027D" w:rsidRPr="004068F6">
              <w:rPr>
                <w:spacing w:val="-3"/>
                <w:sz w:val="20"/>
                <w:szCs w:val="20"/>
              </w:rPr>
              <w:t xml:space="preserve">reas </w:t>
            </w:r>
            <w:r w:rsidR="00130DBC" w:rsidRPr="004068F6">
              <w:rPr>
                <w:spacing w:val="-3"/>
                <w:sz w:val="20"/>
                <w:szCs w:val="20"/>
              </w:rPr>
              <w:t>p</w:t>
            </w:r>
            <w:r w:rsidR="0003027D" w:rsidRPr="004068F6">
              <w:rPr>
                <w:spacing w:val="-3"/>
                <w:sz w:val="20"/>
                <w:szCs w:val="20"/>
              </w:rPr>
              <w:t>rotegidas.</w:t>
            </w:r>
          </w:p>
        </w:tc>
        <w:tc>
          <w:tcPr>
            <w:tcW w:w="1178" w:type="pct"/>
          </w:tcPr>
          <w:p w14:paraId="60BC45B4" w14:textId="44732405" w:rsidR="0003027D" w:rsidRPr="004068F6" w:rsidRDefault="0003027D">
            <w:pPr>
              <w:numPr>
                <w:ilvl w:val="12"/>
                <w:numId w:val="0"/>
              </w:numPr>
              <w:tabs>
                <w:tab w:val="left" w:pos="-2268"/>
              </w:tabs>
              <w:suppressAutoHyphens/>
              <w:rPr>
                <w:spacing w:val="-3"/>
                <w:sz w:val="20"/>
                <w:szCs w:val="20"/>
              </w:rPr>
            </w:pPr>
            <w:r w:rsidRPr="004068F6">
              <w:rPr>
                <w:spacing w:val="-3"/>
                <w:sz w:val="20"/>
                <w:szCs w:val="20"/>
              </w:rPr>
              <w:t xml:space="preserve">Estudios </w:t>
            </w:r>
            <w:r w:rsidR="00B14207" w:rsidRPr="004068F6">
              <w:rPr>
                <w:spacing w:val="-3"/>
                <w:sz w:val="20"/>
                <w:szCs w:val="20"/>
              </w:rPr>
              <w:t>ambientales</w:t>
            </w:r>
            <w:r w:rsidRPr="004068F6">
              <w:rPr>
                <w:rFonts w:cs="Arial"/>
                <w:spacing w:val="-3"/>
                <w:sz w:val="20"/>
                <w:szCs w:val="20"/>
              </w:rPr>
              <w:t>,</w:t>
            </w:r>
            <w:r w:rsidRPr="004068F6">
              <w:rPr>
                <w:spacing w:val="-3"/>
                <w:sz w:val="20"/>
                <w:szCs w:val="20"/>
              </w:rPr>
              <w:t xml:space="preserve"> </w:t>
            </w:r>
            <w:r w:rsidR="00B14207" w:rsidRPr="004068F6">
              <w:rPr>
                <w:spacing w:val="-3"/>
                <w:sz w:val="20"/>
                <w:szCs w:val="20"/>
              </w:rPr>
              <w:t>investigaciones y estudios elaborados por universidades o institutos</w:t>
            </w:r>
            <w:r w:rsidR="00130DBC" w:rsidRPr="004068F6">
              <w:rPr>
                <w:spacing w:val="-3"/>
                <w:sz w:val="20"/>
                <w:szCs w:val="20"/>
              </w:rPr>
              <w:t xml:space="preserve">, </w:t>
            </w:r>
            <w:r w:rsidRPr="004068F6">
              <w:rPr>
                <w:spacing w:val="-3"/>
                <w:sz w:val="20"/>
                <w:szCs w:val="20"/>
              </w:rPr>
              <w:t xml:space="preserve">asociaciones </w:t>
            </w:r>
            <w:r w:rsidRPr="004068F6">
              <w:rPr>
                <w:spacing w:val="-3"/>
                <w:sz w:val="20"/>
                <w:szCs w:val="20"/>
              </w:rPr>
              <w:lastRenderedPageBreak/>
              <w:t>especializadas</w:t>
            </w:r>
            <w:r w:rsidR="00AB4955" w:rsidRPr="004068F6">
              <w:rPr>
                <w:spacing w:val="-3"/>
                <w:sz w:val="20"/>
                <w:szCs w:val="20"/>
              </w:rPr>
              <w:t xml:space="preserve"> y </w:t>
            </w:r>
            <w:r w:rsidR="000A43B6" w:rsidRPr="004068F6">
              <w:rPr>
                <w:spacing w:val="-3"/>
                <w:sz w:val="20"/>
                <w:szCs w:val="20"/>
              </w:rPr>
              <w:t>Pomiuac</w:t>
            </w:r>
            <w:r w:rsidRPr="004068F6">
              <w:rPr>
                <w:spacing w:val="-3"/>
                <w:sz w:val="20"/>
                <w:szCs w:val="20"/>
              </w:rPr>
              <w:t>.</w:t>
            </w:r>
          </w:p>
        </w:tc>
      </w:tr>
    </w:tbl>
    <w:p w14:paraId="75F58CB6" w14:textId="77777777" w:rsidR="00A101A4" w:rsidRPr="004068F6" w:rsidRDefault="00A101A4">
      <w:pPr>
        <w:numPr>
          <w:ilvl w:val="12"/>
          <w:numId w:val="0"/>
        </w:numPr>
        <w:tabs>
          <w:tab w:val="left" w:pos="-2268"/>
        </w:tabs>
        <w:suppressAutoHyphens/>
        <w:rPr>
          <w:spacing w:val="-3"/>
        </w:rPr>
      </w:pPr>
    </w:p>
    <w:p w14:paraId="40F7C74B" w14:textId="1CA6107F" w:rsidR="00A101A4" w:rsidRPr="004068F6" w:rsidRDefault="00A101A4" w:rsidP="00C86DA5">
      <w:pPr>
        <w:pStyle w:val="Descripcin"/>
        <w:jc w:val="center"/>
        <w:rPr>
          <w:b w:val="0"/>
        </w:rPr>
      </w:pPr>
      <w:bookmarkStart w:id="1938" w:name="_Ref42345587"/>
      <w:bookmarkStart w:id="1939" w:name="_Ref42353700"/>
      <w:r w:rsidRPr="004068F6">
        <w:t xml:space="preserve">Tabla </w:t>
      </w:r>
      <w:fldSimple w:instr=" SEQ Tabla \* ARABIC ">
        <w:r w:rsidR="009C4A81">
          <w:rPr>
            <w:noProof/>
          </w:rPr>
          <w:t>4</w:t>
        </w:r>
      </w:fldSimple>
      <w:bookmarkEnd w:id="1938"/>
      <w:bookmarkEnd w:id="1939"/>
      <w:r w:rsidRPr="004068F6">
        <w:t>.</w:t>
      </w:r>
      <w:r w:rsidRPr="004068F6">
        <w:rPr>
          <w:b w:val="0"/>
        </w:rPr>
        <w:t xml:space="preserve"> Fuentes de información del medio socioeconómico</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678"/>
        <w:gridCol w:w="2454"/>
      </w:tblGrid>
      <w:tr w:rsidR="00A07753" w:rsidRPr="004068F6" w14:paraId="2749DA75" w14:textId="77777777" w:rsidTr="00870DB4">
        <w:trPr>
          <w:trHeight w:hRule="exact" w:val="567"/>
          <w:tblHeader/>
          <w:jc w:val="center"/>
        </w:trPr>
        <w:tc>
          <w:tcPr>
            <w:tcW w:w="2263" w:type="dxa"/>
            <w:vAlign w:val="center"/>
          </w:tcPr>
          <w:p w14:paraId="7CA569A6" w14:textId="225FD755" w:rsidR="00A101A4" w:rsidRPr="004068F6" w:rsidRDefault="00F04B5F" w:rsidP="00BA45DD">
            <w:pPr>
              <w:numPr>
                <w:ilvl w:val="12"/>
                <w:numId w:val="0"/>
              </w:numPr>
              <w:tabs>
                <w:tab w:val="left" w:pos="-2268"/>
              </w:tabs>
              <w:suppressAutoHyphens/>
              <w:jc w:val="center"/>
              <w:rPr>
                <w:b/>
                <w:spacing w:val="-3"/>
                <w:sz w:val="22"/>
                <w:szCs w:val="22"/>
              </w:rPr>
            </w:pPr>
            <w:r w:rsidRPr="004068F6">
              <w:rPr>
                <w:rFonts w:cs="Arial"/>
                <w:b/>
                <w:bCs/>
                <w:spacing w:val="-3"/>
                <w:sz w:val="22"/>
                <w:szCs w:val="22"/>
              </w:rPr>
              <w:t>Componente</w:t>
            </w:r>
          </w:p>
        </w:tc>
        <w:tc>
          <w:tcPr>
            <w:tcW w:w="4678" w:type="dxa"/>
            <w:vAlign w:val="center"/>
          </w:tcPr>
          <w:p w14:paraId="70D30A99" w14:textId="51D4A6ED" w:rsidR="00A101A4" w:rsidRPr="004068F6" w:rsidRDefault="00F04B5F" w:rsidP="00BA45DD">
            <w:pPr>
              <w:numPr>
                <w:ilvl w:val="12"/>
                <w:numId w:val="0"/>
              </w:numPr>
              <w:tabs>
                <w:tab w:val="left" w:pos="-2268"/>
              </w:tabs>
              <w:suppressAutoHyphens/>
              <w:jc w:val="center"/>
              <w:rPr>
                <w:b/>
                <w:spacing w:val="-3"/>
                <w:sz w:val="22"/>
                <w:szCs w:val="22"/>
              </w:rPr>
            </w:pPr>
            <w:r w:rsidRPr="004068F6">
              <w:rPr>
                <w:rFonts w:cs="Arial"/>
                <w:b/>
                <w:bCs/>
                <w:spacing w:val="-3"/>
                <w:sz w:val="22"/>
                <w:szCs w:val="22"/>
              </w:rPr>
              <w:t>Fuente principal</w:t>
            </w:r>
          </w:p>
        </w:tc>
        <w:tc>
          <w:tcPr>
            <w:tcW w:w="2454" w:type="dxa"/>
            <w:vAlign w:val="center"/>
          </w:tcPr>
          <w:p w14:paraId="6B4A952D" w14:textId="6614C423" w:rsidR="00A101A4" w:rsidRPr="004068F6" w:rsidRDefault="00F04B5F" w:rsidP="00BA45DD">
            <w:pPr>
              <w:numPr>
                <w:ilvl w:val="12"/>
                <w:numId w:val="0"/>
              </w:numPr>
              <w:tabs>
                <w:tab w:val="left" w:pos="-2268"/>
              </w:tabs>
              <w:suppressAutoHyphens/>
              <w:jc w:val="center"/>
              <w:rPr>
                <w:b/>
                <w:spacing w:val="-3"/>
                <w:sz w:val="22"/>
                <w:szCs w:val="22"/>
              </w:rPr>
            </w:pPr>
            <w:r w:rsidRPr="004068F6">
              <w:rPr>
                <w:rFonts w:cs="Arial"/>
                <w:b/>
                <w:bCs/>
                <w:spacing w:val="-3"/>
                <w:sz w:val="22"/>
                <w:szCs w:val="22"/>
              </w:rPr>
              <w:t>Otras fuentes</w:t>
            </w:r>
          </w:p>
        </w:tc>
      </w:tr>
      <w:tr w:rsidR="00A07753" w:rsidRPr="004068F6" w14:paraId="1D48A700" w14:textId="77777777" w:rsidTr="000D6E21">
        <w:trPr>
          <w:trHeight w:val="514"/>
          <w:jc w:val="center"/>
        </w:trPr>
        <w:tc>
          <w:tcPr>
            <w:tcW w:w="2263" w:type="dxa"/>
            <w:vAlign w:val="center"/>
          </w:tcPr>
          <w:p w14:paraId="574E7EC3" w14:textId="77777777" w:rsidR="00A101A4" w:rsidRPr="004068F6" w:rsidRDefault="00A101A4">
            <w:pPr>
              <w:numPr>
                <w:ilvl w:val="12"/>
                <w:numId w:val="0"/>
              </w:numPr>
              <w:tabs>
                <w:tab w:val="left" w:pos="-2268"/>
              </w:tabs>
              <w:suppressAutoHyphens/>
              <w:rPr>
                <w:b/>
                <w:spacing w:val="-3"/>
                <w:sz w:val="20"/>
                <w:szCs w:val="20"/>
              </w:rPr>
            </w:pPr>
            <w:r w:rsidRPr="004068F6">
              <w:rPr>
                <w:b/>
                <w:spacing w:val="-3"/>
                <w:sz w:val="20"/>
                <w:szCs w:val="20"/>
              </w:rPr>
              <w:t>Demográfico</w:t>
            </w:r>
          </w:p>
        </w:tc>
        <w:tc>
          <w:tcPr>
            <w:tcW w:w="4678" w:type="dxa"/>
            <w:vMerge w:val="restart"/>
          </w:tcPr>
          <w:p w14:paraId="37FB36C5" w14:textId="25E67BF0" w:rsidR="00FB72EE" w:rsidRPr="004068F6" w:rsidRDefault="00A101A4" w:rsidP="00FB72EE">
            <w:pPr>
              <w:numPr>
                <w:ilvl w:val="12"/>
                <w:numId w:val="0"/>
              </w:numPr>
              <w:tabs>
                <w:tab w:val="left" w:pos="-2268"/>
              </w:tabs>
              <w:suppressAutoHyphens/>
              <w:rPr>
                <w:spacing w:val="-3"/>
                <w:sz w:val="20"/>
                <w:szCs w:val="20"/>
              </w:rPr>
            </w:pPr>
            <w:r w:rsidRPr="004068F6">
              <w:rPr>
                <w:spacing w:val="-3"/>
                <w:sz w:val="20"/>
                <w:szCs w:val="20"/>
              </w:rPr>
              <w:t xml:space="preserve">DANE, </w:t>
            </w:r>
            <w:r w:rsidR="00FE43B0" w:rsidRPr="004068F6">
              <w:rPr>
                <w:spacing w:val="-3"/>
                <w:sz w:val="20"/>
                <w:szCs w:val="20"/>
              </w:rPr>
              <w:t>Sisbén</w:t>
            </w:r>
            <w:r w:rsidRPr="004068F6">
              <w:rPr>
                <w:spacing w:val="-3"/>
                <w:sz w:val="20"/>
                <w:szCs w:val="20"/>
              </w:rPr>
              <w:t>, Ministerio de Agricultura</w:t>
            </w:r>
            <w:r w:rsidR="001C5111" w:rsidRPr="004068F6">
              <w:rPr>
                <w:spacing w:val="-3"/>
                <w:sz w:val="20"/>
                <w:szCs w:val="20"/>
              </w:rPr>
              <w:t xml:space="preserve"> y Desarrollo Rural</w:t>
            </w:r>
            <w:r w:rsidRPr="004068F6">
              <w:rPr>
                <w:spacing w:val="-3"/>
                <w:sz w:val="20"/>
                <w:szCs w:val="20"/>
              </w:rPr>
              <w:t xml:space="preserve">, Ministerio del Interior, </w:t>
            </w:r>
            <w:r w:rsidR="00FB72EE" w:rsidRPr="004068F6">
              <w:rPr>
                <w:spacing w:val="-3"/>
                <w:sz w:val="20"/>
                <w:szCs w:val="20"/>
              </w:rPr>
              <w:t xml:space="preserve">Ministerio de Industria, Comercio y Turismo, Ministerio de Ambiente y Desarrollo Sostenible, Ministerio de Hacienda y Crédito Público, Ministerio de Salud y Protección Social, Ministerio de Vivienda, Ciudad y Territorio, Ministerio de Tecnologías de la Información y las Comunicaciones, Ministerio de Transporte, </w:t>
            </w:r>
            <w:r w:rsidR="00437305" w:rsidRPr="004068F6">
              <w:rPr>
                <w:spacing w:val="-3"/>
                <w:sz w:val="20"/>
                <w:szCs w:val="20"/>
              </w:rPr>
              <w:t xml:space="preserve">agendas de competitividad del DNP, Agencia Nacional para la Superación de la Pobreza Extrema (ANSPE), Departamento Administrativo para la Prosperidad Social (DPS), </w:t>
            </w:r>
            <w:r w:rsidR="00FB72EE" w:rsidRPr="004068F6">
              <w:rPr>
                <w:spacing w:val="-3"/>
                <w:sz w:val="20"/>
                <w:szCs w:val="20"/>
              </w:rPr>
              <w:t xml:space="preserve">Agencia Nacional de Tierras, </w:t>
            </w:r>
            <w:r w:rsidR="00437305" w:rsidRPr="004068F6">
              <w:rPr>
                <w:spacing w:val="-3"/>
                <w:sz w:val="20"/>
                <w:szCs w:val="20"/>
              </w:rPr>
              <w:t>Unidad Administrativa Especial de Gestión de Restitución de Tierras Despojadas</w:t>
            </w:r>
            <w:r w:rsidR="00FB72EE" w:rsidRPr="004068F6">
              <w:rPr>
                <w:spacing w:val="-3"/>
                <w:sz w:val="20"/>
                <w:szCs w:val="20"/>
              </w:rPr>
              <w:t xml:space="preserve">, Unidad para la Atención y Reparación Integral a las Víctimas, Unidad de Planificación Rural Agropecuaria, </w:t>
            </w:r>
            <w:r w:rsidR="00437305" w:rsidRPr="004068F6">
              <w:rPr>
                <w:spacing w:val="-3"/>
                <w:sz w:val="20"/>
                <w:szCs w:val="20"/>
              </w:rPr>
              <w:t xml:space="preserve">Comisión de Regulación de Agua Potable y Saneamiento Básico </w:t>
            </w:r>
            <w:r w:rsidR="009D7EEB" w:rsidRPr="004068F6">
              <w:rPr>
                <w:spacing w:val="-3"/>
                <w:sz w:val="20"/>
                <w:szCs w:val="20"/>
              </w:rPr>
              <w:t>(</w:t>
            </w:r>
            <w:r w:rsidR="00FB72EE" w:rsidRPr="004068F6">
              <w:rPr>
                <w:spacing w:val="-3"/>
                <w:sz w:val="20"/>
                <w:szCs w:val="20"/>
              </w:rPr>
              <w:t>CRA</w:t>
            </w:r>
            <w:r w:rsidR="009D7EEB" w:rsidRPr="004068F6">
              <w:rPr>
                <w:spacing w:val="-3"/>
                <w:sz w:val="20"/>
                <w:szCs w:val="20"/>
              </w:rPr>
              <w:t>)</w:t>
            </w:r>
            <w:r w:rsidR="00FB72EE" w:rsidRPr="004068F6">
              <w:rPr>
                <w:spacing w:val="-3"/>
                <w:sz w:val="20"/>
                <w:szCs w:val="20"/>
              </w:rPr>
              <w:t xml:space="preserve">, </w:t>
            </w:r>
            <w:r w:rsidR="00437305" w:rsidRPr="004068F6">
              <w:rPr>
                <w:spacing w:val="-3"/>
                <w:sz w:val="20"/>
                <w:szCs w:val="20"/>
              </w:rPr>
              <w:t xml:space="preserve">Comisión de Regulación de Comunicaciones </w:t>
            </w:r>
            <w:r w:rsidR="009D7EEB" w:rsidRPr="004068F6">
              <w:rPr>
                <w:spacing w:val="-3"/>
                <w:sz w:val="20"/>
                <w:szCs w:val="20"/>
              </w:rPr>
              <w:t>(</w:t>
            </w:r>
            <w:r w:rsidR="00FB72EE" w:rsidRPr="004068F6">
              <w:rPr>
                <w:spacing w:val="-3"/>
                <w:sz w:val="20"/>
                <w:szCs w:val="20"/>
              </w:rPr>
              <w:t>CRC</w:t>
            </w:r>
            <w:r w:rsidR="009D7EEB" w:rsidRPr="004068F6">
              <w:rPr>
                <w:spacing w:val="-3"/>
                <w:sz w:val="20"/>
                <w:szCs w:val="20"/>
              </w:rPr>
              <w:t>)</w:t>
            </w:r>
            <w:r w:rsidR="00FB72EE" w:rsidRPr="004068F6">
              <w:rPr>
                <w:spacing w:val="-3"/>
                <w:sz w:val="20"/>
                <w:szCs w:val="20"/>
              </w:rPr>
              <w:t xml:space="preserve">, </w:t>
            </w:r>
            <w:r w:rsidR="00437305" w:rsidRPr="004068F6">
              <w:rPr>
                <w:spacing w:val="-3"/>
                <w:sz w:val="20"/>
                <w:szCs w:val="20"/>
              </w:rPr>
              <w:t xml:space="preserve">Sociedad de Activos Especiales </w:t>
            </w:r>
            <w:r w:rsidR="009D7EEB" w:rsidRPr="004068F6">
              <w:rPr>
                <w:spacing w:val="-3"/>
                <w:sz w:val="20"/>
                <w:szCs w:val="20"/>
              </w:rPr>
              <w:t>(</w:t>
            </w:r>
            <w:r w:rsidR="00FB72EE" w:rsidRPr="004068F6">
              <w:rPr>
                <w:spacing w:val="-3"/>
                <w:sz w:val="20"/>
                <w:szCs w:val="20"/>
              </w:rPr>
              <w:t>SAE</w:t>
            </w:r>
            <w:r w:rsidR="009D7EEB" w:rsidRPr="004068F6">
              <w:rPr>
                <w:spacing w:val="-3"/>
                <w:sz w:val="20"/>
                <w:szCs w:val="20"/>
              </w:rPr>
              <w:t>)</w:t>
            </w:r>
            <w:r w:rsidR="00FB72EE" w:rsidRPr="004068F6">
              <w:rPr>
                <w:spacing w:val="-3"/>
                <w:sz w:val="20"/>
                <w:szCs w:val="20"/>
              </w:rPr>
              <w:t xml:space="preserve">, </w:t>
            </w:r>
            <w:r w:rsidR="00A63699" w:rsidRPr="004068F6">
              <w:rPr>
                <w:spacing w:val="-3"/>
                <w:sz w:val="20"/>
                <w:szCs w:val="20"/>
              </w:rPr>
              <w:t xml:space="preserve">Alcaldías municipales, Gobernaciones, </w:t>
            </w:r>
            <w:r w:rsidR="00437305" w:rsidRPr="004068F6">
              <w:rPr>
                <w:spacing w:val="-3"/>
                <w:sz w:val="20"/>
                <w:szCs w:val="20"/>
              </w:rPr>
              <w:t>Radio Televisión Nacional de Colombia</w:t>
            </w:r>
            <w:r w:rsidR="00FB72EE" w:rsidRPr="004068F6">
              <w:rPr>
                <w:spacing w:val="-3"/>
                <w:sz w:val="20"/>
                <w:szCs w:val="20"/>
              </w:rPr>
              <w:t>,</w:t>
            </w:r>
            <w:r w:rsidR="003F46E8" w:rsidRPr="004068F6">
              <w:rPr>
                <w:spacing w:val="-3"/>
                <w:sz w:val="20"/>
                <w:szCs w:val="20"/>
              </w:rPr>
              <w:t xml:space="preserve"> Unidad Administrativa Especial de Organizaciones de Economía Solidaria (UAEOS),</w:t>
            </w:r>
            <w:r w:rsidR="00FB72EE" w:rsidRPr="004068F6">
              <w:rPr>
                <w:spacing w:val="-3"/>
                <w:sz w:val="20"/>
                <w:szCs w:val="20"/>
              </w:rPr>
              <w:t xml:space="preserve"> </w:t>
            </w:r>
            <w:r w:rsidR="00437305" w:rsidRPr="004068F6">
              <w:rPr>
                <w:spacing w:val="-3"/>
                <w:sz w:val="20"/>
                <w:szCs w:val="20"/>
              </w:rPr>
              <w:t xml:space="preserve">SIGOT, IGAC, </w:t>
            </w:r>
            <w:r w:rsidR="00FB72EE" w:rsidRPr="004068F6">
              <w:rPr>
                <w:spacing w:val="-3"/>
                <w:sz w:val="20"/>
                <w:szCs w:val="20"/>
              </w:rPr>
              <w:t>SIAC y entidades territoriales.</w:t>
            </w:r>
          </w:p>
          <w:p w14:paraId="71FBC41F" w14:textId="034FE781" w:rsidR="00FB72EE" w:rsidRPr="004068F6" w:rsidRDefault="00FB72EE" w:rsidP="00FB72EE">
            <w:pPr>
              <w:numPr>
                <w:ilvl w:val="12"/>
                <w:numId w:val="0"/>
              </w:numPr>
              <w:tabs>
                <w:tab w:val="left" w:pos="-2268"/>
              </w:tabs>
              <w:suppressAutoHyphens/>
              <w:rPr>
                <w:spacing w:val="-3"/>
                <w:sz w:val="20"/>
                <w:szCs w:val="20"/>
              </w:rPr>
            </w:pPr>
          </w:p>
          <w:p w14:paraId="7961EAE2" w14:textId="2B1BB97E" w:rsidR="00FB72EE" w:rsidRPr="004068F6" w:rsidRDefault="00FB72EE" w:rsidP="00FB72EE">
            <w:pPr>
              <w:numPr>
                <w:ilvl w:val="12"/>
                <w:numId w:val="0"/>
              </w:numPr>
              <w:tabs>
                <w:tab w:val="left" w:pos="-2268"/>
              </w:tabs>
              <w:suppressAutoHyphens/>
              <w:rPr>
                <w:spacing w:val="-3"/>
                <w:sz w:val="20"/>
                <w:szCs w:val="20"/>
              </w:rPr>
            </w:pPr>
            <w:r w:rsidRPr="004068F6">
              <w:rPr>
                <w:spacing w:val="-3"/>
                <w:sz w:val="20"/>
                <w:szCs w:val="20"/>
              </w:rPr>
              <w:t xml:space="preserve">Organizaciones internacionales como </w:t>
            </w:r>
            <w:r w:rsidR="00FA7C29" w:rsidRPr="004068F6">
              <w:rPr>
                <w:spacing w:val="-3"/>
                <w:sz w:val="20"/>
                <w:szCs w:val="20"/>
              </w:rPr>
              <w:t>Organización Internacional del Trabajo (</w:t>
            </w:r>
            <w:r w:rsidRPr="004068F6">
              <w:rPr>
                <w:spacing w:val="-3"/>
                <w:sz w:val="20"/>
                <w:szCs w:val="20"/>
              </w:rPr>
              <w:t>OIT</w:t>
            </w:r>
            <w:r w:rsidR="00FA7C29" w:rsidRPr="004068F6">
              <w:rPr>
                <w:spacing w:val="-3"/>
                <w:sz w:val="20"/>
                <w:szCs w:val="20"/>
              </w:rPr>
              <w:t>)</w:t>
            </w:r>
            <w:r w:rsidRPr="004068F6">
              <w:rPr>
                <w:spacing w:val="-3"/>
                <w:sz w:val="20"/>
                <w:szCs w:val="20"/>
              </w:rPr>
              <w:t xml:space="preserve">, </w:t>
            </w:r>
            <w:r w:rsidR="00FA7C29" w:rsidRPr="004068F6">
              <w:rPr>
                <w:spacing w:val="-3"/>
                <w:sz w:val="20"/>
                <w:szCs w:val="20"/>
              </w:rPr>
              <w:t>Organización para la Cooperación y el Desarrollo Económicos (</w:t>
            </w:r>
            <w:r w:rsidRPr="004068F6">
              <w:rPr>
                <w:spacing w:val="-3"/>
                <w:sz w:val="20"/>
                <w:szCs w:val="20"/>
              </w:rPr>
              <w:t>OCDE</w:t>
            </w:r>
            <w:r w:rsidR="00FA7C29" w:rsidRPr="004068F6">
              <w:rPr>
                <w:spacing w:val="-3"/>
                <w:sz w:val="20"/>
                <w:szCs w:val="20"/>
              </w:rPr>
              <w:t>)</w:t>
            </w:r>
            <w:r w:rsidRPr="004068F6">
              <w:rPr>
                <w:spacing w:val="-3"/>
                <w:sz w:val="20"/>
                <w:szCs w:val="20"/>
              </w:rPr>
              <w:t xml:space="preserve">, </w:t>
            </w:r>
            <w:r w:rsidR="00FA7C29" w:rsidRPr="004068F6">
              <w:rPr>
                <w:spacing w:val="-3"/>
                <w:sz w:val="20"/>
                <w:szCs w:val="20"/>
              </w:rPr>
              <w:t>Comisión Económica para América Latina y el Caribe (</w:t>
            </w:r>
            <w:r w:rsidRPr="004068F6">
              <w:rPr>
                <w:spacing w:val="-3"/>
                <w:sz w:val="20"/>
                <w:szCs w:val="20"/>
              </w:rPr>
              <w:t>CEPAL</w:t>
            </w:r>
            <w:r w:rsidR="00FA7C29" w:rsidRPr="004068F6">
              <w:rPr>
                <w:spacing w:val="-3"/>
                <w:sz w:val="20"/>
                <w:szCs w:val="20"/>
              </w:rPr>
              <w:t>)</w:t>
            </w:r>
            <w:r w:rsidRPr="004068F6">
              <w:rPr>
                <w:spacing w:val="-3"/>
                <w:sz w:val="20"/>
                <w:szCs w:val="20"/>
              </w:rPr>
              <w:t xml:space="preserve">, </w:t>
            </w:r>
            <w:r w:rsidR="00FA7C29" w:rsidRPr="004068F6">
              <w:rPr>
                <w:spacing w:val="-3"/>
                <w:sz w:val="20"/>
                <w:szCs w:val="20"/>
              </w:rPr>
              <w:t>Organización de las Naciones Unidas (</w:t>
            </w:r>
            <w:r w:rsidRPr="004068F6">
              <w:rPr>
                <w:spacing w:val="-3"/>
                <w:sz w:val="20"/>
                <w:szCs w:val="20"/>
              </w:rPr>
              <w:t>ONU</w:t>
            </w:r>
            <w:r w:rsidR="00FA7C29" w:rsidRPr="004068F6">
              <w:rPr>
                <w:spacing w:val="-3"/>
                <w:sz w:val="20"/>
                <w:szCs w:val="20"/>
              </w:rPr>
              <w:t>).</w:t>
            </w:r>
          </w:p>
        </w:tc>
        <w:tc>
          <w:tcPr>
            <w:tcW w:w="2454" w:type="dxa"/>
            <w:vMerge w:val="restart"/>
          </w:tcPr>
          <w:p w14:paraId="3C7CDD75" w14:textId="6F3D2295" w:rsidR="00A101A4" w:rsidRPr="004068F6" w:rsidRDefault="00A101A4">
            <w:pPr>
              <w:numPr>
                <w:ilvl w:val="12"/>
                <w:numId w:val="0"/>
              </w:numPr>
              <w:tabs>
                <w:tab w:val="left" w:pos="-2268"/>
              </w:tabs>
              <w:suppressAutoHyphens/>
              <w:rPr>
                <w:spacing w:val="-3"/>
                <w:sz w:val="20"/>
                <w:szCs w:val="20"/>
              </w:rPr>
            </w:pPr>
            <w:r w:rsidRPr="004068F6">
              <w:rPr>
                <w:spacing w:val="-3"/>
                <w:sz w:val="20"/>
                <w:szCs w:val="20"/>
              </w:rPr>
              <w:t xml:space="preserve">Estudios </w:t>
            </w:r>
            <w:r w:rsidR="004C6443" w:rsidRPr="004068F6">
              <w:rPr>
                <w:spacing w:val="-3"/>
                <w:sz w:val="20"/>
                <w:szCs w:val="20"/>
              </w:rPr>
              <w:t>demográficos, espaciales o económicos</w:t>
            </w:r>
            <w:r w:rsidRPr="004068F6">
              <w:rPr>
                <w:rFonts w:cs="Arial"/>
                <w:spacing w:val="-3"/>
                <w:sz w:val="20"/>
                <w:szCs w:val="20"/>
              </w:rPr>
              <w:t>, asociaciones especializadas</w:t>
            </w:r>
            <w:r w:rsidR="004C6443" w:rsidRPr="004068F6">
              <w:rPr>
                <w:rFonts w:cs="Arial"/>
                <w:spacing w:val="-3"/>
                <w:sz w:val="20"/>
                <w:szCs w:val="20"/>
              </w:rPr>
              <w:t xml:space="preserve"> y estudios ambientales</w:t>
            </w:r>
            <w:r w:rsidRPr="004068F6">
              <w:rPr>
                <w:rFonts w:cs="Arial"/>
                <w:spacing w:val="-3"/>
                <w:sz w:val="20"/>
                <w:szCs w:val="20"/>
              </w:rPr>
              <w:t>.</w:t>
            </w:r>
          </w:p>
        </w:tc>
      </w:tr>
      <w:tr w:rsidR="00A07753" w:rsidRPr="004068F6" w14:paraId="1C27CE24" w14:textId="77777777" w:rsidTr="000D6E21">
        <w:trPr>
          <w:trHeight w:val="515"/>
          <w:jc w:val="center"/>
        </w:trPr>
        <w:tc>
          <w:tcPr>
            <w:tcW w:w="2263" w:type="dxa"/>
            <w:vAlign w:val="center"/>
          </w:tcPr>
          <w:p w14:paraId="073B6825" w14:textId="77777777" w:rsidR="00A101A4" w:rsidRPr="004068F6" w:rsidRDefault="00A101A4">
            <w:pPr>
              <w:numPr>
                <w:ilvl w:val="12"/>
                <w:numId w:val="0"/>
              </w:numPr>
              <w:tabs>
                <w:tab w:val="left" w:pos="-2268"/>
              </w:tabs>
              <w:suppressAutoHyphens/>
              <w:rPr>
                <w:b/>
                <w:spacing w:val="-3"/>
                <w:sz w:val="20"/>
                <w:szCs w:val="20"/>
              </w:rPr>
            </w:pPr>
            <w:r w:rsidRPr="004068F6">
              <w:rPr>
                <w:b/>
                <w:spacing w:val="-3"/>
                <w:sz w:val="20"/>
                <w:szCs w:val="20"/>
              </w:rPr>
              <w:t>Espacial</w:t>
            </w:r>
          </w:p>
        </w:tc>
        <w:tc>
          <w:tcPr>
            <w:tcW w:w="4678" w:type="dxa"/>
            <w:vMerge/>
          </w:tcPr>
          <w:p w14:paraId="0D170F50" w14:textId="77777777" w:rsidR="00A101A4" w:rsidRPr="004068F6" w:rsidRDefault="00A101A4">
            <w:pPr>
              <w:numPr>
                <w:ilvl w:val="12"/>
                <w:numId w:val="0"/>
              </w:numPr>
              <w:tabs>
                <w:tab w:val="left" w:pos="-2268"/>
              </w:tabs>
              <w:suppressAutoHyphens/>
              <w:rPr>
                <w:spacing w:val="-3"/>
                <w:sz w:val="20"/>
                <w:szCs w:val="20"/>
              </w:rPr>
            </w:pPr>
          </w:p>
        </w:tc>
        <w:tc>
          <w:tcPr>
            <w:tcW w:w="2454" w:type="dxa"/>
            <w:vMerge/>
          </w:tcPr>
          <w:p w14:paraId="48B3288F" w14:textId="77777777" w:rsidR="00A101A4" w:rsidRPr="004068F6" w:rsidRDefault="00A101A4">
            <w:pPr>
              <w:numPr>
                <w:ilvl w:val="12"/>
                <w:numId w:val="0"/>
              </w:numPr>
              <w:tabs>
                <w:tab w:val="left" w:pos="-2268"/>
              </w:tabs>
              <w:suppressAutoHyphens/>
              <w:rPr>
                <w:spacing w:val="-3"/>
                <w:sz w:val="20"/>
                <w:szCs w:val="20"/>
              </w:rPr>
            </w:pPr>
          </w:p>
        </w:tc>
      </w:tr>
      <w:tr w:rsidR="00A07753" w:rsidRPr="004068F6" w14:paraId="5DDCB67E" w14:textId="77777777" w:rsidTr="000D6E21">
        <w:trPr>
          <w:trHeight w:val="515"/>
          <w:jc w:val="center"/>
        </w:trPr>
        <w:tc>
          <w:tcPr>
            <w:tcW w:w="2263" w:type="dxa"/>
            <w:vAlign w:val="center"/>
          </w:tcPr>
          <w:p w14:paraId="3E1C0CE6" w14:textId="77777777" w:rsidR="00A101A4" w:rsidRPr="004068F6" w:rsidRDefault="00A101A4">
            <w:pPr>
              <w:numPr>
                <w:ilvl w:val="12"/>
                <w:numId w:val="0"/>
              </w:numPr>
              <w:tabs>
                <w:tab w:val="left" w:pos="-2268"/>
              </w:tabs>
              <w:suppressAutoHyphens/>
              <w:rPr>
                <w:b/>
                <w:spacing w:val="-3"/>
                <w:sz w:val="20"/>
                <w:szCs w:val="20"/>
              </w:rPr>
            </w:pPr>
            <w:r w:rsidRPr="004068F6">
              <w:rPr>
                <w:b/>
                <w:spacing w:val="-3"/>
                <w:sz w:val="20"/>
                <w:szCs w:val="20"/>
              </w:rPr>
              <w:t>Económico</w:t>
            </w:r>
          </w:p>
        </w:tc>
        <w:tc>
          <w:tcPr>
            <w:tcW w:w="4678" w:type="dxa"/>
            <w:vMerge/>
          </w:tcPr>
          <w:p w14:paraId="5527BAE1" w14:textId="77777777" w:rsidR="00A101A4" w:rsidRPr="004068F6" w:rsidRDefault="00A101A4">
            <w:pPr>
              <w:numPr>
                <w:ilvl w:val="12"/>
                <w:numId w:val="0"/>
              </w:numPr>
              <w:tabs>
                <w:tab w:val="left" w:pos="-2268"/>
              </w:tabs>
              <w:suppressAutoHyphens/>
              <w:rPr>
                <w:spacing w:val="-3"/>
                <w:sz w:val="20"/>
                <w:szCs w:val="20"/>
              </w:rPr>
            </w:pPr>
          </w:p>
        </w:tc>
        <w:tc>
          <w:tcPr>
            <w:tcW w:w="2454" w:type="dxa"/>
            <w:vMerge/>
          </w:tcPr>
          <w:p w14:paraId="70393615" w14:textId="77777777" w:rsidR="00A101A4" w:rsidRPr="004068F6" w:rsidRDefault="00A101A4">
            <w:pPr>
              <w:numPr>
                <w:ilvl w:val="12"/>
                <w:numId w:val="0"/>
              </w:numPr>
              <w:tabs>
                <w:tab w:val="left" w:pos="-2268"/>
              </w:tabs>
              <w:suppressAutoHyphens/>
              <w:rPr>
                <w:spacing w:val="-3"/>
                <w:sz w:val="20"/>
                <w:szCs w:val="20"/>
              </w:rPr>
            </w:pPr>
          </w:p>
        </w:tc>
      </w:tr>
      <w:tr w:rsidR="00A07753" w:rsidRPr="004068F6" w14:paraId="58F1731D" w14:textId="77777777" w:rsidTr="000D6E21">
        <w:trPr>
          <w:jc w:val="center"/>
        </w:trPr>
        <w:tc>
          <w:tcPr>
            <w:tcW w:w="2263" w:type="dxa"/>
            <w:vAlign w:val="center"/>
          </w:tcPr>
          <w:p w14:paraId="7751EB25" w14:textId="77777777" w:rsidR="00A101A4" w:rsidRPr="004068F6" w:rsidRDefault="00A101A4">
            <w:pPr>
              <w:numPr>
                <w:ilvl w:val="12"/>
                <w:numId w:val="0"/>
              </w:numPr>
              <w:tabs>
                <w:tab w:val="left" w:pos="-2268"/>
              </w:tabs>
              <w:suppressAutoHyphens/>
              <w:rPr>
                <w:b/>
                <w:spacing w:val="-3"/>
                <w:sz w:val="20"/>
                <w:szCs w:val="20"/>
              </w:rPr>
            </w:pPr>
            <w:r w:rsidRPr="004068F6">
              <w:rPr>
                <w:b/>
                <w:spacing w:val="-3"/>
                <w:sz w:val="20"/>
                <w:szCs w:val="20"/>
              </w:rPr>
              <w:t>Cultural</w:t>
            </w:r>
          </w:p>
        </w:tc>
        <w:tc>
          <w:tcPr>
            <w:tcW w:w="4678" w:type="dxa"/>
          </w:tcPr>
          <w:p w14:paraId="1CB6CF72" w14:textId="48A0C71D" w:rsidR="00961242" w:rsidRPr="004068F6" w:rsidRDefault="00A101A4" w:rsidP="00961242">
            <w:pPr>
              <w:numPr>
                <w:ilvl w:val="12"/>
                <w:numId w:val="0"/>
              </w:numPr>
              <w:tabs>
                <w:tab w:val="left" w:pos="-2268"/>
              </w:tabs>
              <w:suppressAutoHyphens/>
              <w:rPr>
                <w:spacing w:val="-3"/>
                <w:sz w:val="20"/>
                <w:szCs w:val="20"/>
              </w:rPr>
            </w:pPr>
            <w:r w:rsidRPr="004068F6">
              <w:rPr>
                <w:spacing w:val="-3"/>
                <w:sz w:val="20"/>
                <w:szCs w:val="20"/>
              </w:rPr>
              <w:t xml:space="preserve">ICANH, ADR, ANT, </w:t>
            </w:r>
            <w:r w:rsidR="00961242" w:rsidRPr="004068F6">
              <w:rPr>
                <w:spacing w:val="-3"/>
                <w:sz w:val="20"/>
                <w:szCs w:val="20"/>
              </w:rPr>
              <w:t xml:space="preserve">DANE, DNP, PNN, </w:t>
            </w:r>
            <w:r w:rsidRPr="004068F6">
              <w:rPr>
                <w:spacing w:val="-3"/>
                <w:sz w:val="20"/>
                <w:szCs w:val="20"/>
              </w:rPr>
              <w:t>Ministerio de Cultura</w:t>
            </w:r>
            <w:r w:rsidRPr="004068F6">
              <w:rPr>
                <w:rFonts w:cs="Arial"/>
                <w:spacing w:val="-3"/>
                <w:sz w:val="20"/>
                <w:szCs w:val="20"/>
              </w:rPr>
              <w:t>,</w:t>
            </w:r>
            <w:r w:rsidRPr="004068F6">
              <w:rPr>
                <w:spacing w:val="-3"/>
                <w:sz w:val="20"/>
                <w:szCs w:val="20"/>
              </w:rPr>
              <w:t xml:space="preserve"> Ministerio del Interior</w:t>
            </w:r>
            <w:r w:rsidR="00961242" w:rsidRPr="004068F6">
              <w:rPr>
                <w:spacing w:val="-3"/>
                <w:sz w:val="20"/>
                <w:szCs w:val="20"/>
              </w:rPr>
              <w:t xml:space="preserve">, Ministerio de Ciencia, Tecnología e Innovación, </w:t>
            </w:r>
            <w:r w:rsidRPr="004068F6">
              <w:rPr>
                <w:rFonts w:cs="Arial"/>
                <w:spacing w:val="-3"/>
                <w:sz w:val="20"/>
                <w:szCs w:val="20"/>
              </w:rPr>
              <w:t>Autoridad Nacional de Consulta Previa</w:t>
            </w:r>
            <w:r w:rsidR="00961242" w:rsidRPr="004068F6">
              <w:rPr>
                <w:rFonts w:cs="Arial"/>
                <w:spacing w:val="-3"/>
                <w:sz w:val="20"/>
                <w:szCs w:val="20"/>
              </w:rPr>
              <w:t xml:space="preserve">, </w:t>
            </w:r>
            <w:r w:rsidR="00961242" w:rsidRPr="004068F6">
              <w:rPr>
                <w:spacing w:val="-3"/>
                <w:sz w:val="20"/>
                <w:szCs w:val="20"/>
              </w:rPr>
              <w:t>Consejería Presidencial para la Equidad de la Mujer, Consejería Presidencial para los Derechos Humanos y Derecho Internacional Humanitario y Centro Nacional de Memoria Histórica (CNMH)</w:t>
            </w:r>
            <w:r w:rsidR="001D361B" w:rsidRPr="004068F6">
              <w:rPr>
                <w:spacing w:val="-3"/>
                <w:sz w:val="20"/>
                <w:szCs w:val="20"/>
              </w:rPr>
              <w:t>, Comisión Nacional de Territorios Indígenas</w:t>
            </w:r>
            <w:r w:rsidR="00961242" w:rsidRPr="004068F6">
              <w:rPr>
                <w:spacing w:val="-3"/>
                <w:sz w:val="20"/>
                <w:szCs w:val="20"/>
              </w:rPr>
              <w:t>.</w:t>
            </w:r>
          </w:p>
        </w:tc>
        <w:tc>
          <w:tcPr>
            <w:tcW w:w="2454" w:type="dxa"/>
          </w:tcPr>
          <w:p w14:paraId="2C411C8F" w14:textId="2C46DC38" w:rsidR="00A101A4" w:rsidRPr="004068F6" w:rsidRDefault="00A101A4">
            <w:pPr>
              <w:numPr>
                <w:ilvl w:val="12"/>
                <w:numId w:val="0"/>
              </w:numPr>
              <w:tabs>
                <w:tab w:val="left" w:pos="-2268"/>
              </w:tabs>
              <w:suppressAutoHyphens/>
              <w:rPr>
                <w:spacing w:val="-3"/>
                <w:sz w:val="20"/>
                <w:szCs w:val="20"/>
              </w:rPr>
            </w:pPr>
            <w:r w:rsidRPr="004068F6">
              <w:rPr>
                <w:spacing w:val="-3"/>
                <w:sz w:val="20"/>
                <w:szCs w:val="20"/>
              </w:rPr>
              <w:t xml:space="preserve">Estudios </w:t>
            </w:r>
            <w:r w:rsidR="004C6443" w:rsidRPr="004068F6">
              <w:rPr>
                <w:spacing w:val="-3"/>
                <w:sz w:val="20"/>
                <w:szCs w:val="20"/>
              </w:rPr>
              <w:t>culturales</w:t>
            </w:r>
            <w:r w:rsidRPr="004068F6">
              <w:rPr>
                <w:spacing w:val="-3"/>
                <w:sz w:val="20"/>
                <w:szCs w:val="20"/>
              </w:rPr>
              <w:t xml:space="preserve">, </w:t>
            </w:r>
            <w:r w:rsidR="00917842" w:rsidRPr="004068F6">
              <w:rPr>
                <w:sz w:val="20"/>
                <w:szCs w:val="20"/>
              </w:rPr>
              <w:t>estudios étnicos, estudios ambientales,</w:t>
            </w:r>
            <w:r w:rsidR="00917842" w:rsidRPr="004068F6">
              <w:rPr>
                <w:spacing w:val="-3"/>
                <w:sz w:val="20"/>
                <w:szCs w:val="20"/>
              </w:rPr>
              <w:t xml:space="preserve"> ciencia tradicional, </w:t>
            </w:r>
            <w:r w:rsidR="004C6443" w:rsidRPr="004068F6">
              <w:rPr>
                <w:spacing w:val="-3"/>
                <w:sz w:val="20"/>
                <w:szCs w:val="20"/>
              </w:rPr>
              <w:t>institutos de</w:t>
            </w:r>
            <w:r w:rsidRPr="004068F6">
              <w:rPr>
                <w:spacing w:val="-3"/>
                <w:sz w:val="20"/>
                <w:szCs w:val="20"/>
              </w:rPr>
              <w:t xml:space="preserve"> investigación (</w:t>
            </w:r>
            <w:r w:rsidR="004C6443" w:rsidRPr="004068F6">
              <w:rPr>
                <w:spacing w:val="-3"/>
                <w:sz w:val="20"/>
                <w:szCs w:val="20"/>
              </w:rPr>
              <w:t xml:space="preserve">de </w:t>
            </w:r>
            <w:r w:rsidRPr="004068F6">
              <w:rPr>
                <w:spacing w:val="-3"/>
                <w:sz w:val="20"/>
                <w:szCs w:val="20"/>
              </w:rPr>
              <w:t>universidades</w:t>
            </w:r>
            <w:r w:rsidR="004C6443" w:rsidRPr="004068F6">
              <w:rPr>
                <w:spacing w:val="-3"/>
                <w:sz w:val="20"/>
                <w:szCs w:val="20"/>
              </w:rPr>
              <w:t xml:space="preserve"> u otras organizaciones</w:t>
            </w:r>
            <w:r w:rsidRPr="004068F6">
              <w:rPr>
                <w:spacing w:val="-3"/>
                <w:sz w:val="20"/>
                <w:szCs w:val="20"/>
              </w:rPr>
              <w:t>), ONG</w:t>
            </w:r>
            <w:r w:rsidR="006978C4" w:rsidRPr="004068F6">
              <w:rPr>
                <w:spacing w:val="-3"/>
                <w:sz w:val="20"/>
                <w:szCs w:val="20"/>
              </w:rPr>
              <w:t xml:space="preserve"> y</w:t>
            </w:r>
            <w:r w:rsidRPr="004068F6">
              <w:rPr>
                <w:spacing w:val="-3"/>
                <w:sz w:val="20"/>
                <w:szCs w:val="20"/>
              </w:rPr>
              <w:t xml:space="preserve"> </w:t>
            </w:r>
            <w:r w:rsidR="002D7745" w:rsidRPr="004068F6">
              <w:rPr>
                <w:spacing w:val="-3"/>
                <w:sz w:val="20"/>
                <w:szCs w:val="20"/>
              </w:rPr>
              <w:t xml:space="preserve">organizaciones </w:t>
            </w:r>
            <w:r w:rsidR="004C6443" w:rsidRPr="004068F6">
              <w:rPr>
                <w:spacing w:val="-3"/>
                <w:sz w:val="20"/>
                <w:szCs w:val="20"/>
              </w:rPr>
              <w:t>i</w:t>
            </w:r>
            <w:r w:rsidRPr="004068F6">
              <w:rPr>
                <w:spacing w:val="-3"/>
                <w:sz w:val="20"/>
                <w:szCs w:val="20"/>
              </w:rPr>
              <w:t xml:space="preserve">ndígenas y </w:t>
            </w:r>
            <w:r w:rsidR="004C6443" w:rsidRPr="004068F6">
              <w:rPr>
                <w:spacing w:val="-3"/>
                <w:sz w:val="20"/>
                <w:szCs w:val="20"/>
              </w:rPr>
              <w:t>a</w:t>
            </w:r>
            <w:r w:rsidRPr="004068F6">
              <w:rPr>
                <w:spacing w:val="-3"/>
                <w:sz w:val="20"/>
                <w:szCs w:val="20"/>
              </w:rPr>
              <w:t>frocolombianas.</w:t>
            </w:r>
          </w:p>
        </w:tc>
      </w:tr>
      <w:tr w:rsidR="00A07753" w:rsidRPr="004068F6" w14:paraId="686EDC73" w14:textId="77777777" w:rsidTr="000D6E21">
        <w:trPr>
          <w:trHeight w:val="1518"/>
          <w:jc w:val="center"/>
        </w:trPr>
        <w:tc>
          <w:tcPr>
            <w:tcW w:w="2263" w:type="dxa"/>
            <w:vAlign w:val="center"/>
          </w:tcPr>
          <w:p w14:paraId="77A02500" w14:textId="44C4A0BD" w:rsidR="007B51E7" w:rsidRPr="004068F6" w:rsidRDefault="007B51E7" w:rsidP="00896B13">
            <w:pPr>
              <w:numPr>
                <w:ilvl w:val="12"/>
                <w:numId w:val="0"/>
              </w:numPr>
              <w:tabs>
                <w:tab w:val="left" w:pos="-2268"/>
              </w:tabs>
              <w:suppressAutoHyphens/>
              <w:rPr>
                <w:b/>
                <w:spacing w:val="-3"/>
                <w:sz w:val="20"/>
                <w:szCs w:val="20"/>
              </w:rPr>
            </w:pPr>
            <w:r w:rsidRPr="004068F6">
              <w:rPr>
                <w:b/>
                <w:spacing w:val="-3"/>
                <w:sz w:val="20"/>
                <w:szCs w:val="20"/>
              </w:rPr>
              <w:lastRenderedPageBreak/>
              <w:t>Político organizativo</w:t>
            </w:r>
          </w:p>
        </w:tc>
        <w:tc>
          <w:tcPr>
            <w:tcW w:w="4678" w:type="dxa"/>
          </w:tcPr>
          <w:p w14:paraId="55B87566" w14:textId="49B72EA7" w:rsidR="007B51E7" w:rsidRPr="004068F6" w:rsidRDefault="00AC2AB8">
            <w:pPr>
              <w:numPr>
                <w:ilvl w:val="12"/>
                <w:numId w:val="0"/>
              </w:numPr>
              <w:tabs>
                <w:tab w:val="left" w:pos="-2268"/>
              </w:tabs>
              <w:suppressAutoHyphens/>
              <w:rPr>
                <w:spacing w:val="-3"/>
                <w:sz w:val="20"/>
                <w:szCs w:val="20"/>
              </w:rPr>
            </w:pPr>
            <w:r w:rsidRPr="004068F6">
              <w:rPr>
                <w:spacing w:val="-3"/>
                <w:sz w:val="20"/>
                <w:szCs w:val="20"/>
              </w:rPr>
              <w:t>Departamento Administrativo de la Presidencia de la República (</w:t>
            </w:r>
            <w:r w:rsidR="002B4E7C" w:rsidRPr="004068F6">
              <w:rPr>
                <w:spacing w:val="-3"/>
                <w:sz w:val="20"/>
                <w:szCs w:val="20"/>
              </w:rPr>
              <w:t>DAPRE</w:t>
            </w:r>
            <w:r w:rsidRPr="004068F6">
              <w:rPr>
                <w:spacing w:val="-3"/>
                <w:sz w:val="20"/>
                <w:szCs w:val="20"/>
              </w:rPr>
              <w:t>)</w:t>
            </w:r>
            <w:r w:rsidR="002B4E7C" w:rsidRPr="004068F6">
              <w:rPr>
                <w:spacing w:val="-3"/>
                <w:sz w:val="20"/>
                <w:szCs w:val="20"/>
              </w:rPr>
              <w:t xml:space="preserve">, Consejería Presidencial para los Derechos Humanos y Derecho Internacional Humanitario, </w:t>
            </w:r>
            <w:r w:rsidR="00F057A0" w:rsidRPr="004068F6">
              <w:rPr>
                <w:spacing w:val="-3"/>
                <w:sz w:val="20"/>
                <w:szCs w:val="20"/>
              </w:rPr>
              <w:t xml:space="preserve">Defensoría del Pueblo, </w:t>
            </w:r>
            <w:r w:rsidR="002B4E7C" w:rsidRPr="004068F6">
              <w:rPr>
                <w:spacing w:val="-3"/>
                <w:sz w:val="20"/>
                <w:szCs w:val="20"/>
              </w:rPr>
              <w:t>Ministerio de</w:t>
            </w:r>
            <w:r w:rsidRPr="004068F6">
              <w:rPr>
                <w:spacing w:val="-3"/>
                <w:sz w:val="20"/>
                <w:szCs w:val="20"/>
              </w:rPr>
              <w:t>l</w:t>
            </w:r>
            <w:r w:rsidR="002B4E7C" w:rsidRPr="004068F6">
              <w:rPr>
                <w:spacing w:val="-3"/>
                <w:sz w:val="20"/>
                <w:szCs w:val="20"/>
              </w:rPr>
              <w:t xml:space="preserve"> Trabajo, Ministerio del Interior, </w:t>
            </w:r>
            <w:r w:rsidR="007B51E7" w:rsidRPr="004068F6">
              <w:rPr>
                <w:spacing w:val="-3"/>
                <w:sz w:val="20"/>
                <w:szCs w:val="20"/>
              </w:rPr>
              <w:t xml:space="preserve">Entidades territoriales, DANE, </w:t>
            </w:r>
            <w:r w:rsidR="004C6443" w:rsidRPr="004068F6">
              <w:rPr>
                <w:spacing w:val="-3"/>
                <w:sz w:val="20"/>
                <w:szCs w:val="20"/>
              </w:rPr>
              <w:t>a</w:t>
            </w:r>
            <w:r w:rsidR="007B51E7" w:rsidRPr="004068F6">
              <w:rPr>
                <w:spacing w:val="-3"/>
                <w:sz w:val="20"/>
                <w:szCs w:val="20"/>
              </w:rPr>
              <w:t>gendas de competitividad del DNP, IGAC, UAEGRTD, SIAC</w:t>
            </w:r>
            <w:r w:rsidR="004C6443" w:rsidRPr="004068F6">
              <w:rPr>
                <w:spacing w:val="-3"/>
                <w:sz w:val="20"/>
                <w:szCs w:val="20"/>
              </w:rPr>
              <w:t xml:space="preserve"> y</w:t>
            </w:r>
            <w:r w:rsidR="007B51E7" w:rsidRPr="004068F6">
              <w:rPr>
                <w:spacing w:val="-3"/>
                <w:sz w:val="20"/>
                <w:szCs w:val="20"/>
              </w:rPr>
              <w:t xml:space="preserve"> </w:t>
            </w:r>
            <w:r w:rsidR="004C6443" w:rsidRPr="004068F6">
              <w:rPr>
                <w:spacing w:val="-3"/>
                <w:sz w:val="20"/>
                <w:szCs w:val="20"/>
              </w:rPr>
              <w:t>o</w:t>
            </w:r>
            <w:r w:rsidR="007B51E7" w:rsidRPr="004068F6">
              <w:rPr>
                <w:spacing w:val="-3"/>
                <w:sz w:val="20"/>
                <w:szCs w:val="20"/>
              </w:rPr>
              <w:t>bservatorios de paz regionales.</w:t>
            </w:r>
          </w:p>
        </w:tc>
        <w:tc>
          <w:tcPr>
            <w:tcW w:w="2454" w:type="dxa"/>
          </w:tcPr>
          <w:p w14:paraId="207CA266" w14:textId="28807B86" w:rsidR="007B51E7" w:rsidRPr="004068F6" w:rsidRDefault="007B51E7" w:rsidP="0016F5AC">
            <w:pPr>
              <w:suppressAutoHyphens/>
              <w:rPr>
                <w:spacing w:val="-3"/>
                <w:sz w:val="20"/>
                <w:szCs w:val="20"/>
              </w:rPr>
            </w:pPr>
            <w:r w:rsidRPr="004068F6">
              <w:rPr>
                <w:spacing w:val="-3"/>
                <w:sz w:val="20"/>
                <w:szCs w:val="20"/>
              </w:rPr>
              <w:t xml:space="preserve">Estudios </w:t>
            </w:r>
            <w:r w:rsidR="004C6443" w:rsidRPr="004068F6">
              <w:rPr>
                <w:spacing w:val="-3"/>
                <w:sz w:val="20"/>
                <w:szCs w:val="20"/>
              </w:rPr>
              <w:t>político-organizativos</w:t>
            </w:r>
            <w:r w:rsidRPr="004068F6">
              <w:rPr>
                <w:spacing w:val="-3"/>
                <w:sz w:val="20"/>
                <w:szCs w:val="20"/>
              </w:rPr>
              <w:t xml:space="preserve">, </w:t>
            </w:r>
            <w:r w:rsidR="004C6443" w:rsidRPr="004068F6">
              <w:rPr>
                <w:spacing w:val="-3"/>
                <w:sz w:val="20"/>
                <w:szCs w:val="20"/>
              </w:rPr>
              <w:t>institutos de investigación (de universidades u otras organizaciones), estudios ambientales</w:t>
            </w:r>
            <w:r w:rsidR="00203EE2" w:rsidRPr="004068F6">
              <w:rPr>
                <w:sz w:val="20"/>
                <w:szCs w:val="20"/>
              </w:rPr>
              <w:t>,</w:t>
            </w:r>
            <w:r w:rsidRPr="004068F6">
              <w:rPr>
                <w:spacing w:val="-3"/>
                <w:sz w:val="20"/>
                <w:szCs w:val="20"/>
              </w:rPr>
              <w:t xml:space="preserve"> </w:t>
            </w:r>
            <w:r w:rsidR="004C6443" w:rsidRPr="004068F6">
              <w:rPr>
                <w:spacing w:val="-3"/>
                <w:sz w:val="20"/>
                <w:szCs w:val="20"/>
              </w:rPr>
              <w:t>POT</w:t>
            </w:r>
            <w:r w:rsidR="00203EE2" w:rsidRPr="004068F6">
              <w:rPr>
                <w:sz w:val="20"/>
                <w:szCs w:val="20"/>
              </w:rPr>
              <w:t>,</w:t>
            </w:r>
            <w:r w:rsidR="00203EE2" w:rsidRPr="004068F6">
              <w:rPr>
                <w:rFonts w:cs="Arial"/>
                <w:sz w:val="20"/>
                <w:szCs w:val="20"/>
              </w:rPr>
              <w:t xml:space="preserve"> PBOT y EOT</w:t>
            </w:r>
            <w:r w:rsidRPr="004068F6">
              <w:rPr>
                <w:rFonts w:cs="Arial"/>
                <w:spacing w:val="-3"/>
                <w:sz w:val="20"/>
                <w:szCs w:val="20"/>
              </w:rPr>
              <w:t>.</w:t>
            </w:r>
          </w:p>
        </w:tc>
      </w:tr>
      <w:tr w:rsidR="00A07753" w:rsidRPr="004068F6" w14:paraId="78E04C48" w14:textId="77777777" w:rsidTr="000D6E21">
        <w:trPr>
          <w:jc w:val="center"/>
        </w:trPr>
        <w:tc>
          <w:tcPr>
            <w:tcW w:w="2263" w:type="dxa"/>
            <w:vAlign w:val="center"/>
          </w:tcPr>
          <w:p w14:paraId="63393C3B" w14:textId="77777777" w:rsidR="00A07753" w:rsidRPr="004068F6" w:rsidRDefault="00A07753">
            <w:pPr>
              <w:numPr>
                <w:ilvl w:val="12"/>
                <w:numId w:val="0"/>
              </w:numPr>
              <w:tabs>
                <w:tab w:val="left" w:pos="-2268"/>
              </w:tabs>
              <w:suppressAutoHyphens/>
              <w:jc w:val="left"/>
              <w:rPr>
                <w:b/>
                <w:spacing w:val="-3"/>
                <w:sz w:val="20"/>
                <w:szCs w:val="20"/>
              </w:rPr>
            </w:pPr>
            <w:r w:rsidRPr="004068F6">
              <w:rPr>
                <w:b/>
                <w:sz w:val="20"/>
                <w:szCs w:val="20"/>
              </w:rPr>
              <w:t>Tendencias del desarrollo</w:t>
            </w:r>
          </w:p>
        </w:tc>
        <w:tc>
          <w:tcPr>
            <w:tcW w:w="4678" w:type="dxa"/>
          </w:tcPr>
          <w:p w14:paraId="25C894F4" w14:textId="58AE3404" w:rsidR="00A07753" w:rsidRPr="004068F6" w:rsidRDefault="00A07753">
            <w:pPr>
              <w:numPr>
                <w:ilvl w:val="12"/>
                <w:numId w:val="0"/>
              </w:numPr>
              <w:tabs>
                <w:tab w:val="left" w:pos="-2268"/>
              </w:tabs>
              <w:suppressAutoHyphens/>
              <w:rPr>
                <w:spacing w:val="-3"/>
                <w:sz w:val="20"/>
                <w:szCs w:val="20"/>
              </w:rPr>
            </w:pPr>
            <w:r w:rsidRPr="004068F6">
              <w:rPr>
                <w:sz w:val="20"/>
                <w:szCs w:val="20"/>
              </w:rPr>
              <w:t xml:space="preserve">Planes de las entidades territoriales (Plan de desarrollo departamental, </w:t>
            </w:r>
            <w:r w:rsidRPr="004068F6">
              <w:rPr>
                <w:rFonts w:cs="Arial"/>
                <w:spacing w:val="-3"/>
                <w:sz w:val="20"/>
                <w:szCs w:val="20"/>
              </w:rPr>
              <w:t>POT, PBOT, EOT)</w:t>
            </w:r>
            <w:r w:rsidRPr="004068F6">
              <w:rPr>
                <w:spacing w:val="-3"/>
                <w:sz w:val="20"/>
                <w:szCs w:val="20"/>
              </w:rPr>
              <w:t>,</w:t>
            </w:r>
            <w:r w:rsidRPr="004068F6">
              <w:rPr>
                <w:sz w:val="20"/>
                <w:szCs w:val="20"/>
              </w:rPr>
              <w:t xml:space="preserve"> Programas de Desarrollo con Enfoque Territorial (PDET), Pomca, PORH, DNP, DANE, Ministerio de Cultura, Consejería Presidencial para los Derechos Humanos y Derecho Internacional Humanitario, Sociedad de Activos Especiales (SAE), Agencia de Desarrollo Rural (ADR), Agencia de Renovación del Territorio (ART), Unidad Administrativa Especial de Organizaciones </w:t>
            </w:r>
            <w:r w:rsidRPr="004068F6">
              <w:rPr>
                <w:spacing w:val="-3"/>
                <w:sz w:val="20"/>
                <w:szCs w:val="20"/>
              </w:rPr>
              <w:t xml:space="preserve">de Economía </w:t>
            </w:r>
            <w:r w:rsidRPr="004068F6">
              <w:rPr>
                <w:sz w:val="20"/>
                <w:szCs w:val="20"/>
              </w:rPr>
              <w:t xml:space="preserve">Solidaria (UAEOS), Instituto de Planificación y Promoción de Soluciones Energéticas (IPSE), </w:t>
            </w:r>
            <w:r w:rsidRPr="004068F6">
              <w:rPr>
                <w:spacing w:val="-3"/>
                <w:sz w:val="20"/>
                <w:szCs w:val="20"/>
              </w:rPr>
              <w:t>Departamento Administrativo de la Presidencia de la República (DAPRE)</w:t>
            </w:r>
            <w:r w:rsidRPr="004068F6">
              <w:rPr>
                <w:sz w:val="20"/>
                <w:szCs w:val="20"/>
              </w:rPr>
              <w:t>, Servicio Nacional de Aprendizaje (SENA), Unidad de Planeación Minero Energética (UPME) y Comisión de Regulación de Energía y Gas (CREG)</w:t>
            </w:r>
            <w:r w:rsidR="005E2710" w:rsidRPr="004068F6">
              <w:rPr>
                <w:sz w:val="20"/>
                <w:szCs w:val="20"/>
              </w:rPr>
              <w:t xml:space="preserve">, Planes de </w:t>
            </w:r>
            <w:r w:rsidR="00D243C0" w:rsidRPr="004068F6">
              <w:rPr>
                <w:sz w:val="20"/>
                <w:szCs w:val="20"/>
              </w:rPr>
              <w:t>v</w:t>
            </w:r>
            <w:r w:rsidR="005E2710" w:rsidRPr="004068F6">
              <w:rPr>
                <w:sz w:val="20"/>
                <w:szCs w:val="20"/>
              </w:rPr>
              <w:t xml:space="preserve">ida de comunidades étnicas, los planes de ordenamiento ambiental étnico y Planes de </w:t>
            </w:r>
            <w:r w:rsidR="00D243C0" w:rsidRPr="004068F6">
              <w:rPr>
                <w:sz w:val="20"/>
                <w:szCs w:val="20"/>
              </w:rPr>
              <w:t>desarrollo sostenible de las zonas de reserva campesina</w:t>
            </w:r>
            <w:r w:rsidR="005E2710" w:rsidRPr="004068F6">
              <w:rPr>
                <w:sz w:val="20"/>
                <w:szCs w:val="20"/>
              </w:rPr>
              <w:t>, Planes de</w:t>
            </w:r>
            <w:r w:rsidR="00D243C0" w:rsidRPr="004068F6">
              <w:rPr>
                <w:sz w:val="20"/>
                <w:szCs w:val="20"/>
              </w:rPr>
              <w:t xml:space="preserve"> vida digna de </w:t>
            </w:r>
            <w:r w:rsidR="005E2710" w:rsidRPr="004068F6">
              <w:rPr>
                <w:sz w:val="20"/>
                <w:szCs w:val="20"/>
              </w:rPr>
              <w:t>los territorios agroalimentarios</w:t>
            </w:r>
            <w:r w:rsidRPr="004068F6">
              <w:rPr>
                <w:sz w:val="20"/>
                <w:szCs w:val="20"/>
              </w:rPr>
              <w:t>.</w:t>
            </w:r>
          </w:p>
        </w:tc>
        <w:tc>
          <w:tcPr>
            <w:tcW w:w="2454" w:type="dxa"/>
          </w:tcPr>
          <w:p w14:paraId="1B070F3D" w14:textId="77777777" w:rsidR="00A07753" w:rsidRPr="004068F6" w:rsidRDefault="00A07753">
            <w:pPr>
              <w:numPr>
                <w:ilvl w:val="12"/>
                <w:numId w:val="0"/>
              </w:numPr>
              <w:tabs>
                <w:tab w:val="left" w:pos="-2268"/>
              </w:tabs>
              <w:suppressAutoHyphens/>
              <w:rPr>
                <w:spacing w:val="-3"/>
                <w:sz w:val="20"/>
                <w:szCs w:val="20"/>
              </w:rPr>
            </w:pPr>
            <w:r w:rsidRPr="004068F6">
              <w:rPr>
                <w:sz w:val="20"/>
                <w:szCs w:val="20"/>
              </w:rPr>
              <w:t xml:space="preserve">Estudios regionales, </w:t>
            </w:r>
            <w:r w:rsidRPr="004068F6">
              <w:rPr>
                <w:spacing w:val="-3"/>
                <w:sz w:val="20"/>
                <w:szCs w:val="20"/>
              </w:rPr>
              <w:t>institutos de investigación (de universidades u otras organizaciones)</w:t>
            </w:r>
            <w:r w:rsidRPr="004068F6">
              <w:rPr>
                <w:sz w:val="20"/>
                <w:szCs w:val="20"/>
              </w:rPr>
              <w:t>.</w:t>
            </w:r>
          </w:p>
        </w:tc>
      </w:tr>
      <w:tr w:rsidR="00A07753" w:rsidRPr="004068F6" w14:paraId="3240B4F4" w14:textId="77777777" w:rsidTr="000D6E21">
        <w:trPr>
          <w:jc w:val="center"/>
        </w:trPr>
        <w:tc>
          <w:tcPr>
            <w:tcW w:w="2263" w:type="dxa"/>
            <w:vAlign w:val="center"/>
          </w:tcPr>
          <w:p w14:paraId="5B804137" w14:textId="25FA1827" w:rsidR="007E65E5" w:rsidRPr="004068F6" w:rsidRDefault="00A07753" w:rsidP="009420F5">
            <w:pPr>
              <w:numPr>
                <w:ilvl w:val="12"/>
                <w:numId w:val="0"/>
              </w:numPr>
              <w:tabs>
                <w:tab w:val="left" w:pos="-2268"/>
              </w:tabs>
              <w:suppressAutoHyphens/>
              <w:jc w:val="left"/>
              <w:rPr>
                <w:b/>
                <w:spacing w:val="-3"/>
                <w:sz w:val="20"/>
                <w:szCs w:val="20"/>
              </w:rPr>
            </w:pPr>
            <w:r w:rsidRPr="004068F6">
              <w:rPr>
                <w:b/>
                <w:sz w:val="20"/>
                <w:szCs w:val="20"/>
              </w:rPr>
              <w:t>Conflictividad socioambiental</w:t>
            </w:r>
          </w:p>
        </w:tc>
        <w:tc>
          <w:tcPr>
            <w:tcW w:w="4678" w:type="dxa"/>
          </w:tcPr>
          <w:p w14:paraId="6252C1B5" w14:textId="068649CD" w:rsidR="007E65E5" w:rsidRPr="00127BD4" w:rsidRDefault="00A07753" w:rsidP="00A07753">
            <w:pPr>
              <w:numPr>
                <w:ilvl w:val="12"/>
                <w:numId w:val="0"/>
              </w:numPr>
              <w:tabs>
                <w:tab w:val="left" w:pos="-2268"/>
              </w:tabs>
              <w:suppressAutoHyphens/>
              <w:rPr>
                <w:spacing w:val="-3"/>
                <w:sz w:val="20"/>
                <w:szCs w:val="20"/>
              </w:rPr>
            </w:pPr>
            <w:r w:rsidRPr="004068F6">
              <w:rPr>
                <w:sz w:val="20"/>
                <w:szCs w:val="20"/>
              </w:rPr>
              <w:t xml:space="preserve">DAPRE, DNP, DANE, Ministerio del Interior, Ministerio de Ambiente y Desarrollo Sostenible, Ministerio de Educación Nacional, Ministerio de Transporte, Ministerio de Cultura, Ministerio de Relaciones Exteriores, Ministerio de Justicia y del Derecho, Ministerio de Defensa Nacional, Ministerio de Agricultura y Desarrollo Rural, Ministerio de Salud y Protección Social, Ministerio de Industria, Comercio y Turismo, Ministerio de Vivienda, Ciudad y Territorio, Ministerio de Tecnologías de la Información y las Comunicaciones, Ministerio de Minas y Energía, Ministerio del Trabajo, Ministerio de Ciencia, Tecnología e Innovación, Ministerio del Deporte, Ministerio de Igualdad y Equidad, </w:t>
            </w:r>
            <w:r w:rsidR="001064E6" w:rsidRPr="004068F6">
              <w:rPr>
                <w:sz w:val="20"/>
                <w:szCs w:val="20"/>
              </w:rPr>
              <w:t xml:space="preserve">AUNAP, </w:t>
            </w:r>
            <w:r w:rsidRPr="004068F6">
              <w:rPr>
                <w:sz w:val="20"/>
                <w:szCs w:val="20"/>
              </w:rPr>
              <w:t xml:space="preserve">PNN, </w:t>
            </w:r>
            <w:r w:rsidRPr="004068F6">
              <w:rPr>
                <w:spacing w:val="-3"/>
                <w:sz w:val="20"/>
                <w:szCs w:val="20"/>
              </w:rPr>
              <w:t xml:space="preserve">CNMH, </w:t>
            </w:r>
            <w:r w:rsidR="00035CB4" w:rsidRPr="004068F6">
              <w:rPr>
                <w:spacing w:val="-3"/>
                <w:sz w:val="20"/>
                <w:szCs w:val="20"/>
              </w:rPr>
              <w:t>Instituto Colombiano Agropecuario (ICA</w:t>
            </w:r>
            <w:r w:rsidR="00035CB4" w:rsidRPr="004068F6">
              <w:rPr>
                <w:sz w:val="20"/>
                <w:szCs w:val="20"/>
              </w:rPr>
              <w:t>)</w:t>
            </w:r>
            <w:r w:rsidRPr="004068F6">
              <w:rPr>
                <w:sz w:val="20"/>
                <w:szCs w:val="20"/>
              </w:rPr>
              <w:t xml:space="preserve">, INVIMA, IDEAM, ICANH, IGAC, UNP, </w:t>
            </w:r>
            <w:r w:rsidR="00307C64" w:rsidRPr="004068F6">
              <w:rPr>
                <w:sz w:val="20"/>
                <w:szCs w:val="20"/>
              </w:rPr>
              <w:t xml:space="preserve">Agencia </w:t>
            </w:r>
            <w:r w:rsidR="00307C64" w:rsidRPr="004068F6">
              <w:rPr>
                <w:sz w:val="20"/>
                <w:szCs w:val="20"/>
              </w:rPr>
              <w:lastRenderedPageBreak/>
              <w:t>Nacional de Defensa Jurídica del Estado (</w:t>
            </w:r>
            <w:r w:rsidRPr="004068F6">
              <w:rPr>
                <w:sz w:val="20"/>
                <w:szCs w:val="20"/>
              </w:rPr>
              <w:t>ANDJE</w:t>
            </w:r>
            <w:r w:rsidR="00307C64" w:rsidRPr="004068F6">
              <w:rPr>
                <w:sz w:val="20"/>
                <w:szCs w:val="20"/>
              </w:rPr>
              <w:t>)</w:t>
            </w:r>
            <w:r w:rsidRPr="004068F6">
              <w:rPr>
                <w:sz w:val="20"/>
                <w:szCs w:val="20"/>
              </w:rPr>
              <w:t xml:space="preserve">, </w:t>
            </w:r>
            <w:r w:rsidR="00307C64" w:rsidRPr="004068F6">
              <w:rPr>
                <w:sz w:val="20"/>
                <w:szCs w:val="20"/>
              </w:rPr>
              <w:t>Unidad de Restitución de Tierras (URT)</w:t>
            </w:r>
            <w:r w:rsidRPr="004068F6">
              <w:rPr>
                <w:sz w:val="20"/>
                <w:szCs w:val="20"/>
              </w:rPr>
              <w:t xml:space="preserve">, </w:t>
            </w:r>
            <w:r w:rsidR="00307C64" w:rsidRPr="004068F6">
              <w:rPr>
                <w:sz w:val="20"/>
                <w:szCs w:val="20"/>
              </w:rPr>
              <w:t xml:space="preserve">Unidad Administrativa Especial para la Atención y Reparación Integral a las Víctimas (UAEARIV), </w:t>
            </w:r>
            <w:r w:rsidRPr="004068F6">
              <w:rPr>
                <w:sz w:val="20"/>
                <w:szCs w:val="20"/>
              </w:rPr>
              <w:t xml:space="preserve">UAEOS, </w:t>
            </w:r>
            <w:r w:rsidR="00307C64" w:rsidRPr="004068F6">
              <w:rPr>
                <w:sz w:val="20"/>
                <w:szCs w:val="20"/>
              </w:rPr>
              <w:t>Agencia para la Reincorporación y Normalización (ARN)</w:t>
            </w:r>
            <w:r w:rsidRPr="004068F6">
              <w:rPr>
                <w:sz w:val="20"/>
                <w:szCs w:val="20"/>
              </w:rPr>
              <w:t xml:space="preserve">, </w:t>
            </w:r>
            <w:r w:rsidR="00A81193" w:rsidRPr="004068F6">
              <w:rPr>
                <w:sz w:val="20"/>
                <w:szCs w:val="20"/>
              </w:rPr>
              <w:t>observatorio de conflictos ambientales de la Universidad Nacional</w:t>
            </w:r>
            <w:r w:rsidR="006D73E8" w:rsidRPr="004068F6">
              <w:rPr>
                <w:sz w:val="20"/>
                <w:szCs w:val="20"/>
              </w:rPr>
              <w:t xml:space="preserve">, </w:t>
            </w:r>
            <w:r w:rsidR="009646DB" w:rsidRPr="004068F6">
              <w:rPr>
                <w:sz w:val="20"/>
                <w:szCs w:val="20"/>
              </w:rPr>
              <w:t>investigaciones y publicaciones de la Universidad Externado de Colombia, alertas tempranas de la defensoría del pueblo,</w:t>
            </w:r>
            <w:r w:rsidR="00A81193" w:rsidRPr="004068F6">
              <w:rPr>
                <w:sz w:val="20"/>
                <w:szCs w:val="20"/>
              </w:rPr>
              <w:t xml:space="preserve"> </w:t>
            </w:r>
            <w:r w:rsidR="003F50AA" w:rsidRPr="004068F6">
              <w:rPr>
                <w:sz w:val="20"/>
                <w:szCs w:val="20"/>
              </w:rPr>
              <w:t xml:space="preserve">relatorías de la </w:t>
            </w:r>
            <w:r w:rsidR="00F95234" w:rsidRPr="004068F6">
              <w:rPr>
                <w:sz w:val="20"/>
                <w:szCs w:val="20"/>
              </w:rPr>
              <w:t>Corte Interamericana de Derechos Humanos,</w:t>
            </w:r>
            <w:r w:rsidR="003F50AA" w:rsidRPr="004068F6">
              <w:rPr>
                <w:sz w:val="20"/>
                <w:szCs w:val="20"/>
              </w:rPr>
              <w:t xml:space="preserve"> </w:t>
            </w:r>
            <w:r w:rsidR="00307C64" w:rsidRPr="004068F6">
              <w:rPr>
                <w:sz w:val="20"/>
                <w:szCs w:val="20"/>
              </w:rPr>
              <w:t>Unidad Nacional para la Gestión del Riesgo de Desastres (</w:t>
            </w:r>
            <w:r w:rsidRPr="004068F6">
              <w:rPr>
                <w:sz w:val="20"/>
                <w:szCs w:val="20"/>
              </w:rPr>
              <w:t>UNGRD</w:t>
            </w:r>
            <w:r w:rsidR="00307C64" w:rsidRPr="004068F6">
              <w:rPr>
                <w:sz w:val="20"/>
                <w:szCs w:val="20"/>
              </w:rPr>
              <w:t>)</w:t>
            </w:r>
            <w:r w:rsidRPr="004068F6">
              <w:rPr>
                <w:sz w:val="20"/>
                <w:szCs w:val="20"/>
              </w:rPr>
              <w:t>, ART, ADR, ANH</w:t>
            </w:r>
            <w:r w:rsidR="00307C64" w:rsidRPr="004068F6">
              <w:rPr>
                <w:sz w:val="20"/>
                <w:szCs w:val="20"/>
              </w:rPr>
              <w:t>,</w:t>
            </w:r>
            <w:r w:rsidRPr="004068F6">
              <w:rPr>
                <w:sz w:val="20"/>
                <w:szCs w:val="20"/>
              </w:rPr>
              <w:t xml:space="preserve"> </w:t>
            </w:r>
            <w:r w:rsidRPr="00127BD4">
              <w:rPr>
                <w:sz w:val="20"/>
                <w:szCs w:val="20"/>
              </w:rPr>
              <w:t xml:space="preserve">ANM, </w:t>
            </w:r>
            <w:r w:rsidR="00307C64" w:rsidRPr="00127BD4">
              <w:rPr>
                <w:sz w:val="20"/>
                <w:szCs w:val="20"/>
              </w:rPr>
              <w:t>Agencia Nacional de Infraestructura (</w:t>
            </w:r>
            <w:r w:rsidRPr="00127BD4">
              <w:rPr>
                <w:sz w:val="20"/>
                <w:szCs w:val="20"/>
              </w:rPr>
              <w:t>ANI</w:t>
            </w:r>
            <w:r w:rsidR="00307C64" w:rsidRPr="00127BD4">
              <w:rPr>
                <w:sz w:val="20"/>
                <w:szCs w:val="20"/>
              </w:rPr>
              <w:t>)</w:t>
            </w:r>
            <w:r w:rsidRPr="00127BD4">
              <w:rPr>
                <w:sz w:val="20"/>
                <w:szCs w:val="20"/>
              </w:rPr>
              <w:t xml:space="preserve">, </w:t>
            </w:r>
            <w:r w:rsidR="006348AB" w:rsidRPr="00127BD4">
              <w:rPr>
                <w:sz w:val="20"/>
                <w:szCs w:val="20"/>
              </w:rPr>
              <w:t xml:space="preserve">Agencia Nacional de Tierras (ANT), </w:t>
            </w:r>
            <w:r w:rsidR="00307C64" w:rsidRPr="00127BD4">
              <w:rPr>
                <w:sz w:val="20"/>
                <w:szCs w:val="20"/>
              </w:rPr>
              <w:t>Instituto Nacional de Salud (</w:t>
            </w:r>
            <w:r w:rsidRPr="00127BD4">
              <w:rPr>
                <w:sz w:val="20"/>
                <w:szCs w:val="20"/>
              </w:rPr>
              <w:t>INS</w:t>
            </w:r>
            <w:r w:rsidR="00307C64" w:rsidRPr="00127BD4">
              <w:rPr>
                <w:sz w:val="20"/>
                <w:szCs w:val="20"/>
              </w:rPr>
              <w:t>)</w:t>
            </w:r>
            <w:r w:rsidRPr="00127BD4">
              <w:rPr>
                <w:sz w:val="20"/>
                <w:szCs w:val="20"/>
              </w:rPr>
              <w:t xml:space="preserve">, SGC, SAE, </w:t>
            </w:r>
            <w:r w:rsidR="00307C64" w:rsidRPr="00127BD4">
              <w:rPr>
                <w:sz w:val="20"/>
                <w:szCs w:val="20"/>
              </w:rPr>
              <w:t>Sinchi</w:t>
            </w:r>
            <w:r w:rsidRPr="00127BD4">
              <w:rPr>
                <w:sz w:val="20"/>
                <w:szCs w:val="20"/>
              </w:rPr>
              <w:t xml:space="preserve">, IIAP, </w:t>
            </w:r>
            <w:r w:rsidR="00307C64" w:rsidRPr="00127BD4">
              <w:rPr>
                <w:sz w:val="20"/>
                <w:szCs w:val="20"/>
              </w:rPr>
              <w:t>Invemar</w:t>
            </w:r>
            <w:r w:rsidRPr="00127BD4">
              <w:rPr>
                <w:sz w:val="20"/>
                <w:szCs w:val="20"/>
              </w:rPr>
              <w:t xml:space="preserve">, </w:t>
            </w:r>
            <w:r w:rsidR="00307C64" w:rsidRPr="004068F6">
              <w:rPr>
                <w:spacing w:val="-3"/>
                <w:sz w:val="20"/>
                <w:szCs w:val="20"/>
              </w:rPr>
              <w:t>Instituto Humboldt.</w:t>
            </w:r>
          </w:p>
        </w:tc>
        <w:tc>
          <w:tcPr>
            <w:tcW w:w="2454" w:type="dxa"/>
          </w:tcPr>
          <w:p w14:paraId="1BDE17B8" w14:textId="2B9DB0F3" w:rsidR="007E65E5" w:rsidRPr="004068F6" w:rsidRDefault="00A07753">
            <w:pPr>
              <w:numPr>
                <w:ilvl w:val="12"/>
                <w:numId w:val="0"/>
              </w:numPr>
              <w:tabs>
                <w:tab w:val="left" w:pos="-2268"/>
              </w:tabs>
              <w:suppressAutoHyphens/>
              <w:rPr>
                <w:spacing w:val="-3"/>
                <w:sz w:val="20"/>
                <w:szCs w:val="20"/>
              </w:rPr>
            </w:pPr>
            <w:r w:rsidRPr="004068F6">
              <w:rPr>
                <w:sz w:val="20"/>
                <w:szCs w:val="20"/>
              </w:rPr>
              <w:lastRenderedPageBreak/>
              <w:t>Estudios político-organizativos, institutos de investigación de universidades u otras organizaciones, relatorías e informes del Sistema Universal de Derechos Humanos y del Sistema Interamericano de Derechos Humanos</w:t>
            </w:r>
          </w:p>
        </w:tc>
      </w:tr>
    </w:tbl>
    <w:p w14:paraId="26800C65" w14:textId="7BDC26AA" w:rsidR="006D50CA" w:rsidRDefault="006D50CA">
      <w:pPr>
        <w:overflowPunct/>
        <w:autoSpaceDE/>
        <w:autoSpaceDN/>
        <w:adjustRightInd/>
        <w:jc w:val="left"/>
        <w:textAlignment w:val="auto"/>
        <w:rPr>
          <w:spacing w:val="-3"/>
        </w:rPr>
      </w:pPr>
    </w:p>
    <w:p w14:paraId="47C43B72" w14:textId="77777777" w:rsidR="006D50CA" w:rsidRDefault="006D50CA">
      <w:pPr>
        <w:overflowPunct/>
        <w:autoSpaceDE/>
        <w:autoSpaceDN/>
        <w:adjustRightInd/>
        <w:jc w:val="left"/>
        <w:textAlignment w:val="auto"/>
        <w:rPr>
          <w:spacing w:val="-3"/>
        </w:rPr>
      </w:pPr>
      <w:r>
        <w:rPr>
          <w:spacing w:val="-3"/>
        </w:rPr>
        <w:br w:type="page"/>
      </w:r>
    </w:p>
    <w:p w14:paraId="1A157438" w14:textId="59E03438" w:rsidR="00A101A4" w:rsidRPr="004068F6" w:rsidRDefault="00A101A4">
      <w:pPr>
        <w:numPr>
          <w:ilvl w:val="12"/>
          <w:numId w:val="0"/>
        </w:numPr>
        <w:tabs>
          <w:tab w:val="left" w:pos="-2268"/>
        </w:tabs>
        <w:suppressAutoHyphens/>
        <w:rPr>
          <w:spacing w:val="-3"/>
        </w:rPr>
      </w:pPr>
      <w:r w:rsidRPr="004068F6">
        <w:rPr>
          <w:spacing w:val="-3"/>
        </w:rPr>
        <w:lastRenderedPageBreak/>
        <w:t>Adicionalmente</w:t>
      </w:r>
      <w:r w:rsidR="00403665" w:rsidRPr="004068F6">
        <w:rPr>
          <w:spacing w:val="-3"/>
        </w:rPr>
        <w:t xml:space="preserve">, en la </w:t>
      </w:r>
      <w:r w:rsidR="00403665" w:rsidRPr="004068F6">
        <w:rPr>
          <w:spacing w:val="-3"/>
        </w:rPr>
        <w:fldChar w:fldCharType="begin"/>
      </w:r>
      <w:r w:rsidR="00403665" w:rsidRPr="004068F6">
        <w:rPr>
          <w:spacing w:val="-3"/>
        </w:rPr>
        <w:instrText xml:space="preserve"> REF _Ref79439748 \h </w:instrText>
      </w:r>
      <w:r w:rsidR="006A4128" w:rsidRPr="004068F6">
        <w:rPr>
          <w:spacing w:val="-3"/>
        </w:rPr>
        <w:instrText xml:space="preserve"> \* MERGEFORMAT </w:instrText>
      </w:r>
      <w:r w:rsidR="00403665" w:rsidRPr="004068F6">
        <w:rPr>
          <w:spacing w:val="-3"/>
        </w:rPr>
      </w:r>
      <w:r w:rsidR="00403665" w:rsidRPr="004068F6">
        <w:rPr>
          <w:spacing w:val="-3"/>
        </w:rPr>
        <w:fldChar w:fldCharType="separate"/>
      </w:r>
      <w:r w:rsidR="009C4A81" w:rsidRPr="004068F6">
        <w:t xml:space="preserve">Tabla </w:t>
      </w:r>
      <w:r w:rsidR="009C4A81">
        <w:t>5</w:t>
      </w:r>
      <w:r w:rsidR="00403665" w:rsidRPr="004068F6">
        <w:rPr>
          <w:spacing w:val="-3"/>
        </w:rPr>
        <w:fldChar w:fldCharType="end"/>
      </w:r>
      <w:r w:rsidR="00403665" w:rsidRPr="004068F6">
        <w:rPr>
          <w:spacing w:val="-3"/>
        </w:rPr>
        <w:t>,</w:t>
      </w:r>
      <w:r w:rsidRPr="004068F6">
        <w:rPr>
          <w:spacing w:val="-3"/>
        </w:rPr>
        <w:t xml:space="preserve"> se listan algunas fuentes de Internet que pueden ser útiles durante la elaboración de los estudios:</w:t>
      </w:r>
    </w:p>
    <w:p w14:paraId="4418353A" w14:textId="77777777" w:rsidR="00A101A4" w:rsidRPr="004068F6" w:rsidRDefault="00A101A4">
      <w:pPr>
        <w:numPr>
          <w:ilvl w:val="12"/>
          <w:numId w:val="0"/>
        </w:numPr>
        <w:tabs>
          <w:tab w:val="left" w:pos="-2268"/>
        </w:tabs>
        <w:suppressAutoHyphens/>
        <w:rPr>
          <w:spacing w:val="-3"/>
        </w:rPr>
      </w:pPr>
    </w:p>
    <w:p w14:paraId="48B98F6C" w14:textId="5E5EB473" w:rsidR="00403665" w:rsidRPr="004068F6" w:rsidRDefault="00403665" w:rsidP="00403665">
      <w:pPr>
        <w:pStyle w:val="Descripcin"/>
        <w:jc w:val="center"/>
        <w:rPr>
          <w:b w:val="0"/>
        </w:rPr>
      </w:pPr>
      <w:bookmarkStart w:id="1940" w:name="_Ref79439748"/>
      <w:r w:rsidRPr="004068F6">
        <w:t xml:space="preserve">Tabla </w:t>
      </w:r>
      <w:fldSimple w:instr=" SEQ Tabla \* ARABIC ">
        <w:r w:rsidR="009C4A81">
          <w:rPr>
            <w:noProof/>
          </w:rPr>
          <w:t>5</w:t>
        </w:r>
      </w:fldSimple>
      <w:bookmarkEnd w:id="1940"/>
      <w:r w:rsidRPr="004068F6">
        <w:t>.</w:t>
      </w:r>
      <w:r w:rsidRPr="004068F6">
        <w:rPr>
          <w:b w:val="0"/>
        </w:rPr>
        <w:t xml:space="preserve"> Entidades, sistemas y herramientas de utilidad para elaborar estudios ambientales</w:t>
      </w:r>
    </w:p>
    <w:tbl>
      <w:tblPr>
        <w:tblStyle w:val="Tablaconcuadrcula"/>
        <w:tblW w:w="9623" w:type="dxa"/>
        <w:tblLayout w:type="fixed"/>
        <w:tblLook w:val="04A0" w:firstRow="1" w:lastRow="0" w:firstColumn="1" w:lastColumn="0" w:noHBand="0" w:noVBand="1"/>
      </w:tblPr>
      <w:tblGrid>
        <w:gridCol w:w="4361"/>
        <w:gridCol w:w="5262"/>
      </w:tblGrid>
      <w:tr w:rsidR="00C17EC2" w:rsidRPr="004068F6" w14:paraId="5C62A11E" w14:textId="77777777" w:rsidTr="00C17EC2">
        <w:trPr>
          <w:trHeight w:hRule="exact" w:val="567"/>
          <w:tblHeader/>
        </w:trPr>
        <w:tc>
          <w:tcPr>
            <w:tcW w:w="4361" w:type="dxa"/>
            <w:vAlign w:val="center"/>
            <w:hideMark/>
          </w:tcPr>
          <w:p w14:paraId="30C6ED5B" w14:textId="77777777" w:rsidR="00C17EC2" w:rsidRPr="004068F6" w:rsidRDefault="00C17EC2">
            <w:pPr>
              <w:numPr>
                <w:ilvl w:val="12"/>
                <w:numId w:val="0"/>
              </w:numPr>
              <w:tabs>
                <w:tab w:val="left" w:pos="-2268"/>
              </w:tabs>
              <w:suppressAutoHyphens/>
              <w:jc w:val="center"/>
              <w:rPr>
                <w:rFonts w:cs="Arial"/>
                <w:b/>
                <w:bCs/>
                <w:spacing w:val="-3"/>
                <w:sz w:val="22"/>
                <w:szCs w:val="22"/>
              </w:rPr>
            </w:pPr>
            <w:r w:rsidRPr="004068F6">
              <w:rPr>
                <w:rFonts w:cs="Arial"/>
                <w:b/>
                <w:bCs/>
                <w:spacing w:val="-3"/>
                <w:sz w:val="22"/>
                <w:szCs w:val="22"/>
              </w:rPr>
              <w:t>Entidad</w:t>
            </w:r>
          </w:p>
        </w:tc>
        <w:tc>
          <w:tcPr>
            <w:tcW w:w="5262" w:type="dxa"/>
            <w:vAlign w:val="center"/>
            <w:hideMark/>
          </w:tcPr>
          <w:p w14:paraId="5A8C88A2" w14:textId="77777777" w:rsidR="00C17EC2" w:rsidRPr="004068F6" w:rsidRDefault="00C17EC2">
            <w:pPr>
              <w:numPr>
                <w:ilvl w:val="12"/>
                <w:numId w:val="0"/>
              </w:numPr>
              <w:tabs>
                <w:tab w:val="left" w:pos="-2268"/>
              </w:tabs>
              <w:suppressAutoHyphens/>
              <w:jc w:val="center"/>
              <w:rPr>
                <w:rFonts w:cs="Arial"/>
                <w:b/>
                <w:bCs/>
                <w:spacing w:val="-3"/>
                <w:sz w:val="20"/>
                <w:szCs w:val="20"/>
              </w:rPr>
            </w:pPr>
            <w:r w:rsidRPr="004068F6">
              <w:rPr>
                <w:rFonts w:cs="Arial"/>
                <w:b/>
                <w:bCs/>
                <w:spacing w:val="-3"/>
                <w:sz w:val="22"/>
                <w:szCs w:val="22"/>
              </w:rPr>
              <w:t>Vínculo</w:t>
            </w:r>
          </w:p>
        </w:tc>
      </w:tr>
      <w:tr w:rsidR="00C17EC2" w:rsidRPr="004068F6" w14:paraId="47F55129" w14:textId="77777777" w:rsidTr="00C17EC2">
        <w:trPr>
          <w:trHeight w:hRule="exact" w:val="567"/>
        </w:trPr>
        <w:tc>
          <w:tcPr>
            <w:tcW w:w="4361" w:type="dxa"/>
            <w:vAlign w:val="center"/>
            <w:hideMark/>
          </w:tcPr>
          <w:p w14:paraId="4ECBD5D0"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Agencia de Protección Ambiental de Estados Unidos de Norteamérica</w:t>
            </w:r>
          </w:p>
        </w:tc>
        <w:tc>
          <w:tcPr>
            <w:tcW w:w="5262" w:type="dxa"/>
            <w:vAlign w:val="center"/>
            <w:hideMark/>
          </w:tcPr>
          <w:p w14:paraId="7CD66533"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https://espanol.epa.gov/</w:t>
            </w:r>
          </w:p>
        </w:tc>
      </w:tr>
      <w:tr w:rsidR="00C17EC2" w:rsidRPr="004068F6" w14:paraId="6970B7AA" w14:textId="77777777" w:rsidTr="00C17EC2">
        <w:trPr>
          <w:trHeight w:hRule="exact" w:val="567"/>
        </w:trPr>
        <w:tc>
          <w:tcPr>
            <w:tcW w:w="4361" w:type="dxa"/>
            <w:vAlign w:val="center"/>
            <w:hideMark/>
          </w:tcPr>
          <w:p w14:paraId="293760A5"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Agencia Nacional de Hidrocarburos</w:t>
            </w:r>
          </w:p>
        </w:tc>
        <w:tc>
          <w:tcPr>
            <w:tcW w:w="5262" w:type="dxa"/>
            <w:vAlign w:val="center"/>
            <w:hideMark/>
          </w:tcPr>
          <w:p w14:paraId="4C83701C"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https://www.anh.gov.co/</w:t>
            </w:r>
          </w:p>
        </w:tc>
      </w:tr>
      <w:tr w:rsidR="00C17EC2" w:rsidRPr="004068F6" w14:paraId="537213E6" w14:textId="77777777" w:rsidTr="00C17EC2">
        <w:trPr>
          <w:trHeight w:hRule="exact" w:val="567"/>
        </w:trPr>
        <w:tc>
          <w:tcPr>
            <w:tcW w:w="4361" w:type="dxa"/>
            <w:vAlign w:val="center"/>
            <w:hideMark/>
          </w:tcPr>
          <w:p w14:paraId="2442D844"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Agencia Nacional de Minería</w:t>
            </w:r>
          </w:p>
        </w:tc>
        <w:tc>
          <w:tcPr>
            <w:tcW w:w="5262" w:type="dxa"/>
            <w:vAlign w:val="center"/>
            <w:hideMark/>
          </w:tcPr>
          <w:p w14:paraId="336F6492"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http://www.anm.gov.co/</w:t>
            </w:r>
          </w:p>
        </w:tc>
      </w:tr>
      <w:tr w:rsidR="00C17EC2" w:rsidRPr="004068F6" w14:paraId="3F734B95" w14:textId="77777777" w:rsidTr="00C17EC2">
        <w:trPr>
          <w:trHeight w:hRule="exact" w:val="567"/>
        </w:trPr>
        <w:tc>
          <w:tcPr>
            <w:tcW w:w="4361" w:type="dxa"/>
            <w:vAlign w:val="center"/>
            <w:hideMark/>
          </w:tcPr>
          <w:p w14:paraId="5A7236BE"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American museum of natural history</w:t>
            </w:r>
          </w:p>
        </w:tc>
        <w:tc>
          <w:tcPr>
            <w:tcW w:w="5262" w:type="dxa"/>
            <w:vAlign w:val="center"/>
            <w:hideMark/>
          </w:tcPr>
          <w:p w14:paraId="6AAB0F35"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https://amphibiansoftheworld.amnh.org/</w:t>
            </w:r>
          </w:p>
        </w:tc>
      </w:tr>
      <w:tr w:rsidR="00C17EC2" w:rsidRPr="004068F6" w14:paraId="3B609691" w14:textId="77777777" w:rsidTr="00C17EC2">
        <w:trPr>
          <w:trHeight w:hRule="exact" w:val="567"/>
        </w:trPr>
        <w:tc>
          <w:tcPr>
            <w:tcW w:w="4361" w:type="dxa"/>
            <w:vAlign w:val="center"/>
            <w:hideMark/>
          </w:tcPr>
          <w:p w14:paraId="4527591D"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American society for microbiology</w:t>
            </w:r>
          </w:p>
        </w:tc>
        <w:tc>
          <w:tcPr>
            <w:tcW w:w="5262" w:type="dxa"/>
            <w:vAlign w:val="center"/>
            <w:hideMark/>
          </w:tcPr>
          <w:p w14:paraId="11927A0A"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https://asm.org/</w:t>
            </w:r>
          </w:p>
        </w:tc>
      </w:tr>
      <w:tr w:rsidR="00C17EC2" w:rsidRPr="004068F6" w14:paraId="6D96B464" w14:textId="77777777" w:rsidTr="00C17EC2">
        <w:trPr>
          <w:trHeight w:hRule="exact" w:val="567"/>
        </w:trPr>
        <w:tc>
          <w:tcPr>
            <w:tcW w:w="4361" w:type="dxa"/>
          </w:tcPr>
          <w:p w14:paraId="037D16B7"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ANLA. Análisis geográfico de información en el licenciamiento ambiental de ANLA (SIGWEB)</w:t>
            </w:r>
          </w:p>
        </w:tc>
        <w:tc>
          <w:tcPr>
            <w:tcW w:w="5262" w:type="dxa"/>
            <w:vAlign w:val="center"/>
          </w:tcPr>
          <w:p w14:paraId="70DD1C61" w14:textId="7D88C9F0" w:rsidR="00C17EC2" w:rsidRPr="004068F6" w:rsidRDefault="00C17EC2">
            <w:pPr>
              <w:numPr>
                <w:ilvl w:val="12"/>
                <w:numId w:val="0"/>
              </w:numPr>
              <w:tabs>
                <w:tab w:val="left" w:pos="-2268"/>
              </w:tabs>
              <w:suppressAutoHyphens/>
              <w:rPr>
                <w:rFonts w:cs="Arial"/>
                <w:spacing w:val="-3"/>
                <w:sz w:val="20"/>
                <w:szCs w:val="20"/>
              </w:rPr>
            </w:pPr>
            <w:hyperlink r:id="rId16" w:history="1">
              <w:r w:rsidRPr="004068F6">
                <w:rPr>
                  <w:rFonts w:cs="Arial"/>
                  <w:spacing w:val="-3"/>
                  <w:sz w:val="20"/>
                  <w:szCs w:val="20"/>
                </w:rPr>
                <w:t>https://sig.anla.gov.co/seleccion.aspx</w:t>
              </w:r>
            </w:hyperlink>
          </w:p>
        </w:tc>
      </w:tr>
      <w:tr w:rsidR="00C17EC2" w:rsidRPr="004068F6" w14:paraId="501EF5BB" w14:textId="77777777" w:rsidTr="00C17EC2">
        <w:trPr>
          <w:trHeight w:hRule="exact" w:val="567"/>
        </w:trPr>
        <w:tc>
          <w:tcPr>
            <w:tcW w:w="4361" w:type="dxa"/>
            <w:vAlign w:val="center"/>
          </w:tcPr>
          <w:p w14:paraId="4993439C"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ANLA. Apuestas por la biodiversidad</w:t>
            </w:r>
          </w:p>
        </w:tc>
        <w:tc>
          <w:tcPr>
            <w:tcW w:w="5262" w:type="dxa"/>
            <w:vAlign w:val="center"/>
          </w:tcPr>
          <w:p w14:paraId="31958513" w14:textId="4662A298" w:rsidR="00C17EC2" w:rsidRPr="004068F6" w:rsidRDefault="00C17EC2">
            <w:pPr>
              <w:numPr>
                <w:ilvl w:val="12"/>
                <w:numId w:val="0"/>
              </w:numPr>
              <w:tabs>
                <w:tab w:val="left" w:pos="-2268"/>
              </w:tabs>
              <w:suppressAutoHyphens/>
              <w:rPr>
                <w:rFonts w:cs="Arial"/>
                <w:spacing w:val="-3"/>
                <w:sz w:val="20"/>
                <w:szCs w:val="20"/>
              </w:rPr>
            </w:pPr>
            <w:hyperlink r:id="rId17" w:history="1">
              <w:r w:rsidRPr="004068F6">
                <w:rPr>
                  <w:rFonts w:cs="Arial"/>
                  <w:spacing w:val="-3"/>
                  <w:sz w:val="20"/>
                  <w:szCs w:val="20"/>
                </w:rPr>
                <w:t>https://www.anla.gov.co/01_anla/proyectos/apuestas-por-la-biodiversidad/cual-es-la-apuesta</w:t>
              </w:r>
            </w:hyperlink>
          </w:p>
        </w:tc>
      </w:tr>
      <w:tr w:rsidR="00C17EC2" w:rsidRPr="004068F6" w14:paraId="237268EB" w14:textId="77777777" w:rsidTr="00C17EC2">
        <w:trPr>
          <w:trHeight w:hRule="exact" w:val="567"/>
        </w:trPr>
        <w:tc>
          <w:tcPr>
            <w:tcW w:w="4361" w:type="dxa"/>
            <w:vAlign w:val="center"/>
          </w:tcPr>
          <w:p w14:paraId="536A7CD0"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ANLA. Centro de Monitoreo</w:t>
            </w:r>
          </w:p>
        </w:tc>
        <w:tc>
          <w:tcPr>
            <w:tcW w:w="5262" w:type="dxa"/>
            <w:vAlign w:val="center"/>
          </w:tcPr>
          <w:p w14:paraId="37431466" w14:textId="3153FE41" w:rsidR="00C17EC2" w:rsidRPr="004068F6" w:rsidRDefault="00C17EC2">
            <w:pPr>
              <w:numPr>
                <w:ilvl w:val="12"/>
                <w:numId w:val="0"/>
              </w:numPr>
              <w:tabs>
                <w:tab w:val="left" w:pos="-2268"/>
              </w:tabs>
              <w:suppressAutoHyphens/>
              <w:rPr>
                <w:rFonts w:cs="Arial"/>
                <w:spacing w:val="-3"/>
                <w:sz w:val="20"/>
                <w:szCs w:val="20"/>
              </w:rPr>
            </w:pPr>
            <w:hyperlink r:id="rId18" w:history="1">
              <w:r w:rsidRPr="004068F6">
                <w:rPr>
                  <w:rFonts w:cs="Arial"/>
                  <w:spacing w:val="-3"/>
                  <w:sz w:val="20"/>
                  <w:szCs w:val="20"/>
                </w:rPr>
                <w:t>https://www.anla.gov.co/proyectos-anla/centro-de-monitoreo/</w:t>
              </w:r>
            </w:hyperlink>
          </w:p>
        </w:tc>
      </w:tr>
      <w:tr w:rsidR="00C17EC2" w:rsidRPr="004068F6" w14:paraId="4B979B8C" w14:textId="77777777" w:rsidTr="00C17EC2">
        <w:trPr>
          <w:trHeight w:hRule="exact" w:val="567"/>
        </w:trPr>
        <w:tc>
          <w:tcPr>
            <w:tcW w:w="4361" w:type="dxa"/>
            <w:vAlign w:val="center"/>
          </w:tcPr>
          <w:p w14:paraId="772FCD5E"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ANLA. Eureka</w:t>
            </w:r>
          </w:p>
        </w:tc>
        <w:tc>
          <w:tcPr>
            <w:tcW w:w="5262" w:type="dxa"/>
            <w:vAlign w:val="center"/>
          </w:tcPr>
          <w:p w14:paraId="7FE692B8" w14:textId="0C4F5BA7" w:rsidR="00C17EC2" w:rsidRPr="004068F6" w:rsidRDefault="00C17EC2">
            <w:pPr>
              <w:numPr>
                <w:ilvl w:val="12"/>
                <w:numId w:val="0"/>
              </w:numPr>
              <w:tabs>
                <w:tab w:val="left" w:pos="-2268"/>
              </w:tabs>
              <w:suppressAutoHyphens/>
              <w:rPr>
                <w:rFonts w:cs="Arial"/>
                <w:spacing w:val="-3"/>
                <w:sz w:val="20"/>
                <w:szCs w:val="20"/>
              </w:rPr>
            </w:pPr>
            <w:hyperlink r:id="rId19" w:history="1">
              <w:r w:rsidRPr="004068F6">
                <w:rPr>
                  <w:rFonts w:cs="Arial"/>
                  <w:spacing w:val="-3"/>
                  <w:sz w:val="20"/>
                  <w:szCs w:val="20"/>
                </w:rPr>
                <w:t>https://www.anla.gov.co/eureka/</w:t>
              </w:r>
            </w:hyperlink>
          </w:p>
        </w:tc>
      </w:tr>
      <w:tr w:rsidR="00C17EC2" w:rsidRPr="004068F6" w14:paraId="7008D2AB" w14:textId="77777777" w:rsidTr="00C17EC2">
        <w:trPr>
          <w:trHeight w:hRule="exact" w:val="567"/>
        </w:trPr>
        <w:tc>
          <w:tcPr>
            <w:tcW w:w="4361" w:type="dxa"/>
            <w:vAlign w:val="center"/>
          </w:tcPr>
          <w:p w14:paraId="123729B2"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ANLA. Subdirección de Instrumentos, Permisos y Trámites Ambientales</w:t>
            </w:r>
          </w:p>
        </w:tc>
        <w:tc>
          <w:tcPr>
            <w:tcW w:w="5262" w:type="dxa"/>
            <w:vAlign w:val="center"/>
          </w:tcPr>
          <w:p w14:paraId="6947515A" w14:textId="3702E090" w:rsidR="00C17EC2" w:rsidRPr="004068F6" w:rsidRDefault="00C17EC2">
            <w:pPr>
              <w:numPr>
                <w:ilvl w:val="12"/>
                <w:numId w:val="0"/>
              </w:numPr>
              <w:tabs>
                <w:tab w:val="left" w:pos="-2268"/>
              </w:tabs>
              <w:suppressAutoHyphens/>
              <w:rPr>
                <w:rFonts w:cs="Arial"/>
                <w:spacing w:val="-3"/>
                <w:sz w:val="20"/>
                <w:szCs w:val="20"/>
              </w:rPr>
            </w:pPr>
            <w:hyperlink r:id="rId20" w:history="1">
              <w:r w:rsidRPr="004068F6">
                <w:rPr>
                  <w:rFonts w:cs="Arial"/>
                  <w:spacing w:val="-3"/>
                  <w:sz w:val="20"/>
                  <w:szCs w:val="20"/>
                </w:rPr>
                <w:t>https://www.anla.gov.co/01_anla/proyectos/nuevo-licenciamiento-ambiental/en-que-consiste</w:t>
              </w:r>
            </w:hyperlink>
          </w:p>
        </w:tc>
      </w:tr>
      <w:tr w:rsidR="00C17EC2" w:rsidRPr="004068F6" w14:paraId="0F3E5E3D" w14:textId="77777777" w:rsidTr="00C17EC2">
        <w:trPr>
          <w:trHeight w:hRule="exact" w:val="567"/>
        </w:trPr>
        <w:tc>
          <w:tcPr>
            <w:tcW w:w="4361" w:type="dxa"/>
            <w:vAlign w:val="center"/>
            <w:hideMark/>
          </w:tcPr>
          <w:p w14:paraId="1D86D652"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Asociación colombiana de ictiólogos (ACICTIOS)</w:t>
            </w:r>
          </w:p>
        </w:tc>
        <w:tc>
          <w:tcPr>
            <w:tcW w:w="5262" w:type="dxa"/>
            <w:vAlign w:val="center"/>
            <w:hideMark/>
          </w:tcPr>
          <w:p w14:paraId="58D8C65A" w14:textId="01CFD3C3" w:rsidR="00C17EC2" w:rsidRPr="004068F6" w:rsidRDefault="00C17EC2">
            <w:pPr>
              <w:numPr>
                <w:ilvl w:val="12"/>
                <w:numId w:val="0"/>
              </w:numPr>
              <w:tabs>
                <w:tab w:val="left" w:pos="-2268"/>
              </w:tabs>
              <w:suppressAutoHyphens/>
              <w:rPr>
                <w:rFonts w:cs="Arial"/>
                <w:spacing w:val="-3"/>
                <w:sz w:val="20"/>
                <w:szCs w:val="20"/>
              </w:rPr>
            </w:pPr>
            <w:hyperlink r:id="rId21" w:history="1">
              <w:r w:rsidRPr="004068F6">
                <w:rPr>
                  <w:rFonts w:cs="Arial"/>
                  <w:sz w:val="20"/>
                  <w:szCs w:val="20"/>
                </w:rPr>
                <w:t>https://acictios.org/listado-de-peces-de-agua-dulce-de-colombia/</w:t>
              </w:r>
            </w:hyperlink>
          </w:p>
        </w:tc>
      </w:tr>
      <w:tr w:rsidR="00C17EC2" w:rsidRPr="004068F6" w14:paraId="1C1A0FD4" w14:textId="77777777" w:rsidTr="00C17EC2">
        <w:trPr>
          <w:trHeight w:hRule="exact" w:val="567"/>
        </w:trPr>
        <w:tc>
          <w:tcPr>
            <w:tcW w:w="4361" w:type="dxa"/>
            <w:vAlign w:val="center"/>
            <w:hideMark/>
          </w:tcPr>
          <w:p w14:paraId="66B20115"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Asociación red colombiana de reservas naturales de la sociedad civil (RESNATUR)</w:t>
            </w:r>
          </w:p>
        </w:tc>
        <w:tc>
          <w:tcPr>
            <w:tcW w:w="5262" w:type="dxa"/>
            <w:vAlign w:val="center"/>
            <w:hideMark/>
          </w:tcPr>
          <w:p w14:paraId="55E061F0"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https://www.resnatur.org.co/</w:t>
            </w:r>
          </w:p>
        </w:tc>
      </w:tr>
      <w:tr w:rsidR="00C17EC2" w:rsidRPr="004068F6" w14:paraId="70917E9A" w14:textId="77777777" w:rsidTr="00C17EC2">
        <w:trPr>
          <w:trHeight w:hRule="exact" w:val="802"/>
        </w:trPr>
        <w:tc>
          <w:tcPr>
            <w:tcW w:w="4361" w:type="dxa"/>
            <w:vAlign w:val="center"/>
          </w:tcPr>
          <w:p w14:paraId="2EDDF11D" w14:textId="77777777" w:rsidR="00C17EC2" w:rsidRPr="00127BD4" w:rsidRDefault="00C17EC2">
            <w:pPr>
              <w:numPr>
                <w:ilvl w:val="12"/>
                <w:numId w:val="0"/>
              </w:numPr>
              <w:tabs>
                <w:tab w:val="left" w:pos="-2268"/>
              </w:tabs>
              <w:suppressAutoHyphens/>
              <w:rPr>
                <w:rFonts w:cs="Arial"/>
                <w:spacing w:val="-3"/>
                <w:sz w:val="20"/>
                <w:szCs w:val="20"/>
              </w:rPr>
            </w:pPr>
            <w:r w:rsidRPr="00127BD4">
              <w:rPr>
                <w:rFonts w:cs="Arial"/>
                <w:spacing w:val="-3"/>
                <w:sz w:val="20"/>
                <w:szCs w:val="20"/>
              </w:rPr>
              <w:t>Base de datos de Estadísticas Laborales de la Organización Internacional del Trabajo (ILOSTAT)</w:t>
            </w:r>
          </w:p>
        </w:tc>
        <w:tc>
          <w:tcPr>
            <w:tcW w:w="5262" w:type="dxa"/>
            <w:vAlign w:val="center"/>
          </w:tcPr>
          <w:p w14:paraId="1377A8C0" w14:textId="77777777" w:rsidR="00C17EC2" w:rsidRPr="00127BD4" w:rsidRDefault="00C17EC2">
            <w:pPr>
              <w:numPr>
                <w:ilvl w:val="12"/>
                <w:numId w:val="0"/>
              </w:numPr>
              <w:tabs>
                <w:tab w:val="left" w:pos="-2268"/>
              </w:tabs>
              <w:suppressAutoHyphens/>
            </w:pPr>
            <w:r w:rsidRPr="00127BD4">
              <w:rPr>
                <w:rFonts w:cs="Arial"/>
                <w:spacing w:val="-3"/>
                <w:sz w:val="20"/>
                <w:szCs w:val="20"/>
              </w:rPr>
              <w:t>https://ilostat.ilo.org/es/</w:t>
            </w:r>
          </w:p>
        </w:tc>
      </w:tr>
      <w:tr w:rsidR="00C17EC2" w:rsidRPr="00755498" w14:paraId="7D5BFA81" w14:textId="77777777" w:rsidTr="00C17EC2">
        <w:trPr>
          <w:trHeight w:hRule="exact" w:val="567"/>
        </w:trPr>
        <w:tc>
          <w:tcPr>
            <w:tcW w:w="4361" w:type="dxa"/>
            <w:vAlign w:val="center"/>
            <w:hideMark/>
          </w:tcPr>
          <w:p w14:paraId="18B2C445"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Bucknell Univesity - Mammal Species of the World</w:t>
            </w:r>
          </w:p>
        </w:tc>
        <w:tc>
          <w:tcPr>
            <w:tcW w:w="5262" w:type="dxa"/>
            <w:vAlign w:val="center"/>
            <w:hideMark/>
          </w:tcPr>
          <w:p w14:paraId="1D205B51" w14:textId="77777777" w:rsidR="00C17EC2" w:rsidRPr="006C00FC" w:rsidRDefault="00C17EC2">
            <w:pPr>
              <w:numPr>
                <w:ilvl w:val="12"/>
                <w:numId w:val="0"/>
              </w:numPr>
              <w:tabs>
                <w:tab w:val="left" w:pos="-2268"/>
              </w:tabs>
              <w:suppressAutoHyphens/>
              <w:rPr>
                <w:rFonts w:cs="Arial"/>
                <w:spacing w:val="-3"/>
                <w:sz w:val="20"/>
                <w:szCs w:val="20"/>
                <w:u w:val="single"/>
                <w:lang w:val="en-US"/>
              </w:rPr>
            </w:pPr>
            <w:r w:rsidRPr="006C00FC">
              <w:rPr>
                <w:rFonts w:cs="Arial"/>
                <w:sz w:val="20"/>
                <w:szCs w:val="20"/>
                <w:lang w:val="en-US"/>
              </w:rPr>
              <w:t>http://www.departments.bucknell.edu/biology/resources/msw3/browse.asp</w:t>
            </w:r>
          </w:p>
        </w:tc>
      </w:tr>
      <w:tr w:rsidR="00C17EC2" w:rsidRPr="00755498" w14:paraId="70F738BE" w14:textId="77777777" w:rsidTr="00C17EC2">
        <w:trPr>
          <w:trHeight w:hRule="exact" w:val="567"/>
        </w:trPr>
        <w:tc>
          <w:tcPr>
            <w:tcW w:w="4361" w:type="dxa"/>
            <w:vAlign w:val="center"/>
            <w:hideMark/>
          </w:tcPr>
          <w:p w14:paraId="4CA61D06"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California Academy of Sciences - Eschmeyer's Catalog of Fishes</w:t>
            </w:r>
          </w:p>
        </w:tc>
        <w:tc>
          <w:tcPr>
            <w:tcW w:w="5262" w:type="dxa"/>
            <w:vAlign w:val="center"/>
            <w:hideMark/>
          </w:tcPr>
          <w:p w14:paraId="1BB45A41" w14:textId="77777777" w:rsidR="00C17EC2" w:rsidRPr="006C00FC" w:rsidRDefault="00C17EC2">
            <w:pPr>
              <w:numPr>
                <w:ilvl w:val="12"/>
                <w:numId w:val="0"/>
              </w:numPr>
              <w:tabs>
                <w:tab w:val="left" w:pos="-2268"/>
              </w:tabs>
              <w:suppressAutoHyphens/>
              <w:rPr>
                <w:rFonts w:cs="Arial"/>
                <w:spacing w:val="-3"/>
                <w:sz w:val="20"/>
                <w:szCs w:val="20"/>
                <w:u w:val="single"/>
                <w:lang w:val="en-US"/>
              </w:rPr>
            </w:pPr>
            <w:r w:rsidRPr="006C00FC">
              <w:rPr>
                <w:rFonts w:cs="Arial"/>
                <w:sz w:val="20"/>
                <w:szCs w:val="20"/>
                <w:lang w:val="en-US"/>
              </w:rPr>
              <w:t>https://researcharchive.calacademy.org/research/ichthyology/catalog/fishcatmain.asp</w:t>
            </w:r>
          </w:p>
        </w:tc>
      </w:tr>
      <w:tr w:rsidR="00C17EC2" w:rsidRPr="004068F6" w14:paraId="57894D85" w14:textId="77777777" w:rsidTr="00C17EC2">
        <w:trPr>
          <w:trHeight w:hRule="exact" w:val="567"/>
        </w:trPr>
        <w:tc>
          <w:tcPr>
            <w:tcW w:w="4361" w:type="dxa"/>
            <w:vAlign w:val="center"/>
            <w:hideMark/>
          </w:tcPr>
          <w:p w14:paraId="5748B5A7"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Centro de Investigación Oceánica IFM-GEOMAR Helmholtz</w:t>
            </w:r>
          </w:p>
        </w:tc>
        <w:tc>
          <w:tcPr>
            <w:tcW w:w="5262" w:type="dxa"/>
            <w:vAlign w:val="center"/>
            <w:hideMark/>
          </w:tcPr>
          <w:p w14:paraId="1B6D9F69"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http://www.ifm-geomar.de/ifm-geomar/</w:t>
            </w:r>
          </w:p>
        </w:tc>
      </w:tr>
      <w:tr w:rsidR="00C17EC2" w:rsidRPr="004068F6" w14:paraId="0878E981" w14:textId="77777777" w:rsidTr="00C17EC2">
        <w:trPr>
          <w:trHeight w:hRule="exact" w:val="567"/>
        </w:trPr>
        <w:tc>
          <w:tcPr>
            <w:tcW w:w="4361" w:type="dxa"/>
            <w:vAlign w:val="center"/>
          </w:tcPr>
          <w:p w14:paraId="496FC101"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lastRenderedPageBreak/>
              <w:t>Centro de Investigación y Educación Popular (CINEP)</w:t>
            </w:r>
          </w:p>
        </w:tc>
        <w:tc>
          <w:tcPr>
            <w:tcW w:w="5262" w:type="dxa"/>
            <w:vAlign w:val="center"/>
          </w:tcPr>
          <w:p w14:paraId="5F4C2D76" w14:textId="77777777" w:rsidR="00C17EC2" w:rsidRPr="004068F6" w:rsidDel="00A33D9C" w:rsidRDefault="00C17EC2">
            <w:pPr>
              <w:numPr>
                <w:ilvl w:val="12"/>
                <w:numId w:val="0"/>
              </w:numPr>
              <w:tabs>
                <w:tab w:val="left" w:pos="-2268"/>
              </w:tabs>
              <w:suppressAutoHyphens/>
              <w:rPr>
                <w:rFonts w:cs="Arial"/>
                <w:sz w:val="20"/>
                <w:szCs w:val="20"/>
              </w:rPr>
            </w:pPr>
            <w:r w:rsidRPr="004068F6">
              <w:rPr>
                <w:rFonts w:cs="Arial"/>
                <w:sz w:val="20"/>
                <w:szCs w:val="20"/>
              </w:rPr>
              <w:t>https://cinep.org.co/</w:t>
            </w:r>
          </w:p>
        </w:tc>
      </w:tr>
      <w:tr w:rsidR="00C17EC2" w:rsidRPr="004068F6" w14:paraId="4C0EA139" w14:textId="77777777" w:rsidTr="00C17EC2">
        <w:trPr>
          <w:trHeight w:hRule="exact" w:val="567"/>
        </w:trPr>
        <w:tc>
          <w:tcPr>
            <w:tcW w:w="4361" w:type="dxa"/>
            <w:vAlign w:val="center"/>
            <w:hideMark/>
          </w:tcPr>
          <w:p w14:paraId="21A2A0FA"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Centro de investigaciones oceanográficas e hidrográficas del Caribe (CIOH)</w:t>
            </w:r>
          </w:p>
        </w:tc>
        <w:tc>
          <w:tcPr>
            <w:tcW w:w="5262" w:type="dxa"/>
            <w:vAlign w:val="center"/>
            <w:hideMark/>
          </w:tcPr>
          <w:p w14:paraId="7706699D"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https://www.cioh.org.co/</w:t>
            </w:r>
          </w:p>
        </w:tc>
      </w:tr>
      <w:tr w:rsidR="00C17EC2" w:rsidRPr="004068F6" w14:paraId="367B32FC" w14:textId="77777777" w:rsidTr="00C17EC2">
        <w:trPr>
          <w:trHeight w:hRule="exact" w:val="567"/>
        </w:trPr>
        <w:tc>
          <w:tcPr>
            <w:tcW w:w="4361" w:type="dxa"/>
            <w:vAlign w:val="center"/>
            <w:hideMark/>
          </w:tcPr>
          <w:p w14:paraId="684BE4D7"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Centro de investigaciones oceanográficas e hidrográficas del Pacífico (CCCP)</w:t>
            </w:r>
          </w:p>
        </w:tc>
        <w:tc>
          <w:tcPr>
            <w:tcW w:w="5262" w:type="dxa"/>
            <w:vAlign w:val="center"/>
            <w:hideMark/>
          </w:tcPr>
          <w:p w14:paraId="429703D7"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https://www.cccp.org.co/</w:t>
            </w:r>
          </w:p>
        </w:tc>
      </w:tr>
      <w:tr w:rsidR="00C17EC2" w:rsidRPr="004068F6" w14:paraId="6FFA137F" w14:textId="77777777" w:rsidTr="00C17EC2">
        <w:trPr>
          <w:trHeight w:hRule="exact" w:val="567"/>
        </w:trPr>
        <w:tc>
          <w:tcPr>
            <w:tcW w:w="4361" w:type="dxa"/>
            <w:vAlign w:val="center"/>
          </w:tcPr>
          <w:p w14:paraId="2F5FCC42"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Centro Interdisciplinario de Estudios sobre el Desarrollo (CIDER)</w:t>
            </w:r>
          </w:p>
        </w:tc>
        <w:tc>
          <w:tcPr>
            <w:tcW w:w="5262" w:type="dxa"/>
            <w:vAlign w:val="center"/>
          </w:tcPr>
          <w:p w14:paraId="092BCA3C" w14:textId="77777777" w:rsidR="00C17EC2" w:rsidRPr="004068F6" w:rsidDel="00A33D9C" w:rsidRDefault="00C17EC2">
            <w:pPr>
              <w:numPr>
                <w:ilvl w:val="12"/>
                <w:numId w:val="0"/>
              </w:numPr>
              <w:tabs>
                <w:tab w:val="left" w:pos="-2268"/>
              </w:tabs>
              <w:suppressAutoHyphens/>
              <w:rPr>
                <w:rFonts w:cs="Arial"/>
                <w:sz w:val="20"/>
                <w:szCs w:val="20"/>
              </w:rPr>
            </w:pPr>
            <w:r w:rsidRPr="004068F6">
              <w:rPr>
                <w:rFonts w:cs="Arial"/>
                <w:sz w:val="20"/>
                <w:szCs w:val="20"/>
              </w:rPr>
              <w:t>https://cider.uniandes.edu.co/</w:t>
            </w:r>
          </w:p>
        </w:tc>
      </w:tr>
      <w:tr w:rsidR="00C17EC2" w:rsidRPr="004068F6" w14:paraId="19B81C73" w14:textId="77777777" w:rsidTr="00C17EC2">
        <w:trPr>
          <w:trHeight w:hRule="exact" w:val="567"/>
        </w:trPr>
        <w:tc>
          <w:tcPr>
            <w:tcW w:w="4361" w:type="dxa"/>
            <w:vAlign w:val="center"/>
          </w:tcPr>
          <w:p w14:paraId="67CAD5B6" w14:textId="77777777" w:rsidR="00C17EC2" w:rsidRPr="004068F6" w:rsidRDefault="00C17EC2">
            <w:pPr>
              <w:numPr>
                <w:ilvl w:val="12"/>
                <w:numId w:val="0"/>
              </w:numPr>
              <w:tabs>
                <w:tab w:val="left" w:pos="-2268"/>
              </w:tabs>
              <w:suppressAutoHyphens/>
              <w:jc w:val="left"/>
              <w:rPr>
                <w:rFonts w:cs="Arial"/>
                <w:spacing w:val="-3"/>
                <w:sz w:val="20"/>
                <w:szCs w:val="20"/>
              </w:rPr>
            </w:pPr>
            <w:r w:rsidRPr="004068F6">
              <w:rPr>
                <w:rFonts w:cs="Arial"/>
                <w:spacing w:val="-3"/>
                <w:sz w:val="20"/>
                <w:szCs w:val="20"/>
              </w:rPr>
              <w:t>CITES. Apéndices I, II y III</w:t>
            </w:r>
          </w:p>
        </w:tc>
        <w:tc>
          <w:tcPr>
            <w:tcW w:w="5262" w:type="dxa"/>
            <w:vAlign w:val="center"/>
          </w:tcPr>
          <w:p w14:paraId="6B759A94" w14:textId="779D7B23" w:rsidR="00C17EC2" w:rsidRPr="004068F6" w:rsidDel="00A33D9C" w:rsidRDefault="00C17EC2">
            <w:pPr>
              <w:numPr>
                <w:ilvl w:val="12"/>
                <w:numId w:val="0"/>
              </w:numPr>
              <w:tabs>
                <w:tab w:val="left" w:pos="-2268"/>
              </w:tabs>
              <w:suppressAutoHyphens/>
              <w:jc w:val="left"/>
              <w:rPr>
                <w:rFonts w:cs="Arial"/>
                <w:spacing w:val="-3"/>
                <w:sz w:val="20"/>
                <w:szCs w:val="20"/>
              </w:rPr>
            </w:pPr>
            <w:hyperlink r:id="rId22" w:history="1">
              <w:r w:rsidRPr="004068F6">
                <w:rPr>
                  <w:rFonts w:cs="Arial"/>
                  <w:spacing w:val="-3"/>
                  <w:sz w:val="20"/>
                  <w:szCs w:val="20"/>
                </w:rPr>
                <w:t>https://cites.org/esp/app/appendices.php</w:t>
              </w:r>
            </w:hyperlink>
          </w:p>
        </w:tc>
      </w:tr>
      <w:tr w:rsidR="00C17EC2" w:rsidRPr="004068F6" w14:paraId="0E24E1EB" w14:textId="77777777" w:rsidTr="00C17EC2">
        <w:trPr>
          <w:trHeight w:hRule="exact" w:val="567"/>
        </w:trPr>
        <w:tc>
          <w:tcPr>
            <w:tcW w:w="4361" w:type="dxa"/>
            <w:vAlign w:val="center"/>
          </w:tcPr>
          <w:p w14:paraId="472824D8" w14:textId="77777777" w:rsidR="00C17EC2" w:rsidRPr="004068F6" w:rsidRDefault="00C17EC2">
            <w:pPr>
              <w:rPr>
                <w:rFonts w:cs="Arial"/>
                <w:spacing w:val="-3"/>
                <w:sz w:val="20"/>
                <w:szCs w:val="20"/>
              </w:rPr>
            </w:pPr>
            <w:r w:rsidRPr="004068F6">
              <w:rPr>
                <w:rFonts w:cs="Arial"/>
                <w:spacing w:val="-3"/>
                <w:sz w:val="20"/>
                <w:szCs w:val="20"/>
              </w:rPr>
              <w:t>Clínica Jurídica de Medio Ambiente y Salud Pública de la Universidad de los Andes</w:t>
            </w:r>
          </w:p>
        </w:tc>
        <w:tc>
          <w:tcPr>
            <w:tcW w:w="5262" w:type="dxa"/>
            <w:vAlign w:val="center"/>
          </w:tcPr>
          <w:p w14:paraId="6A1A4DBB" w14:textId="77777777" w:rsidR="00C17EC2" w:rsidRPr="004068F6" w:rsidRDefault="00C17EC2">
            <w:pPr>
              <w:rPr>
                <w:rFonts w:cs="Arial"/>
                <w:spacing w:val="-3"/>
                <w:sz w:val="20"/>
                <w:szCs w:val="20"/>
              </w:rPr>
            </w:pPr>
            <w:r w:rsidRPr="004068F6">
              <w:rPr>
                <w:rFonts w:cs="Arial"/>
                <w:spacing w:val="-3"/>
                <w:sz w:val="20"/>
                <w:szCs w:val="20"/>
              </w:rPr>
              <w:t>https://clinicamasp.uniandes.edu.co/</w:t>
            </w:r>
          </w:p>
        </w:tc>
      </w:tr>
      <w:tr w:rsidR="00C17EC2" w:rsidRPr="004068F6" w14:paraId="6BD06034" w14:textId="77777777" w:rsidTr="00C17EC2">
        <w:trPr>
          <w:trHeight w:hRule="exact" w:val="567"/>
        </w:trPr>
        <w:tc>
          <w:tcPr>
            <w:tcW w:w="4361" w:type="dxa"/>
            <w:vAlign w:val="center"/>
          </w:tcPr>
          <w:p w14:paraId="37FBA5D3" w14:textId="77777777" w:rsidR="00C17EC2" w:rsidRPr="004068F6" w:rsidRDefault="00C17EC2">
            <w:pPr>
              <w:numPr>
                <w:ilvl w:val="12"/>
                <w:numId w:val="0"/>
              </w:numPr>
              <w:tabs>
                <w:tab w:val="left" w:pos="-2268"/>
              </w:tabs>
              <w:suppressAutoHyphens/>
              <w:jc w:val="left"/>
              <w:rPr>
                <w:rFonts w:cs="Arial"/>
                <w:spacing w:val="-3"/>
                <w:sz w:val="20"/>
                <w:szCs w:val="20"/>
              </w:rPr>
            </w:pPr>
            <w:r w:rsidRPr="004068F6">
              <w:rPr>
                <w:rFonts w:cs="Arial"/>
                <w:spacing w:val="-3"/>
                <w:sz w:val="20"/>
                <w:szCs w:val="20"/>
              </w:rPr>
              <w:t>ColFungi</w:t>
            </w:r>
          </w:p>
        </w:tc>
        <w:tc>
          <w:tcPr>
            <w:tcW w:w="5262" w:type="dxa"/>
            <w:vAlign w:val="center"/>
          </w:tcPr>
          <w:p w14:paraId="4C1564FF" w14:textId="15D8ABD1" w:rsidR="00C17EC2" w:rsidRPr="004068F6" w:rsidRDefault="00C17EC2">
            <w:pPr>
              <w:numPr>
                <w:ilvl w:val="12"/>
                <w:numId w:val="0"/>
              </w:numPr>
              <w:tabs>
                <w:tab w:val="left" w:pos="-2268"/>
              </w:tabs>
              <w:suppressAutoHyphens/>
              <w:jc w:val="left"/>
              <w:rPr>
                <w:rFonts w:cs="Arial"/>
                <w:spacing w:val="-3"/>
                <w:sz w:val="20"/>
                <w:szCs w:val="20"/>
              </w:rPr>
            </w:pPr>
            <w:hyperlink r:id="rId23" w:history="1">
              <w:r w:rsidRPr="004068F6">
                <w:rPr>
                  <w:rFonts w:cs="Arial"/>
                  <w:spacing w:val="-3"/>
                  <w:sz w:val="20"/>
                  <w:szCs w:val="20"/>
                </w:rPr>
                <w:t>https://colfungi.org/</w:t>
              </w:r>
            </w:hyperlink>
          </w:p>
        </w:tc>
      </w:tr>
      <w:tr w:rsidR="00C17EC2" w:rsidRPr="004068F6" w14:paraId="0C51864D" w14:textId="77777777" w:rsidTr="00C17EC2">
        <w:trPr>
          <w:trHeight w:hRule="exact" w:val="567"/>
        </w:trPr>
        <w:tc>
          <w:tcPr>
            <w:tcW w:w="4361" w:type="dxa"/>
            <w:vAlign w:val="center"/>
            <w:hideMark/>
          </w:tcPr>
          <w:p w14:paraId="3407955D"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Comisión Colombiana del Océano</w:t>
            </w:r>
          </w:p>
        </w:tc>
        <w:tc>
          <w:tcPr>
            <w:tcW w:w="5262" w:type="dxa"/>
            <w:vAlign w:val="center"/>
            <w:hideMark/>
          </w:tcPr>
          <w:p w14:paraId="21F9EEF9"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http://www.cco.gov.co/</w:t>
            </w:r>
          </w:p>
        </w:tc>
      </w:tr>
      <w:tr w:rsidR="00C17EC2" w:rsidRPr="004068F6" w14:paraId="0F3406BA" w14:textId="77777777" w:rsidTr="00C17EC2">
        <w:trPr>
          <w:trHeight w:hRule="exact" w:val="567"/>
        </w:trPr>
        <w:tc>
          <w:tcPr>
            <w:tcW w:w="4361" w:type="dxa"/>
            <w:vAlign w:val="center"/>
          </w:tcPr>
          <w:p w14:paraId="2E99E229" w14:textId="77777777" w:rsidR="00C17EC2" w:rsidRPr="004068F6" w:rsidRDefault="00C17EC2">
            <w:pPr>
              <w:rPr>
                <w:rFonts w:cs="Arial"/>
                <w:spacing w:val="-3"/>
                <w:sz w:val="20"/>
                <w:szCs w:val="20"/>
              </w:rPr>
            </w:pPr>
            <w:r w:rsidRPr="004068F6">
              <w:rPr>
                <w:rFonts w:cs="Arial"/>
                <w:spacing w:val="-3"/>
                <w:sz w:val="20"/>
                <w:szCs w:val="20"/>
              </w:rPr>
              <w:t>Comisión de la Verdad</w:t>
            </w:r>
          </w:p>
        </w:tc>
        <w:tc>
          <w:tcPr>
            <w:tcW w:w="5262" w:type="dxa"/>
            <w:vAlign w:val="center"/>
          </w:tcPr>
          <w:p w14:paraId="6085FC7C" w14:textId="77777777" w:rsidR="00C17EC2" w:rsidRPr="004068F6" w:rsidDel="00A33D9C" w:rsidRDefault="00C17EC2">
            <w:pPr>
              <w:numPr>
                <w:ilvl w:val="12"/>
                <w:numId w:val="0"/>
              </w:numPr>
              <w:tabs>
                <w:tab w:val="left" w:pos="-2268"/>
              </w:tabs>
              <w:suppressAutoHyphens/>
              <w:rPr>
                <w:rFonts w:cs="Arial"/>
                <w:sz w:val="20"/>
                <w:szCs w:val="20"/>
              </w:rPr>
            </w:pPr>
            <w:r w:rsidRPr="004068F6">
              <w:rPr>
                <w:rFonts w:cs="Arial"/>
                <w:spacing w:val="-3"/>
                <w:sz w:val="20"/>
                <w:szCs w:val="20"/>
              </w:rPr>
              <w:t>https://comisiondelaverdad.co/</w:t>
            </w:r>
          </w:p>
        </w:tc>
      </w:tr>
      <w:tr w:rsidR="00C17EC2" w:rsidRPr="004068F6" w14:paraId="3464FA12" w14:textId="77777777" w:rsidTr="00C17EC2">
        <w:trPr>
          <w:trHeight w:hRule="exact" w:val="567"/>
        </w:trPr>
        <w:tc>
          <w:tcPr>
            <w:tcW w:w="4361" w:type="dxa"/>
            <w:vAlign w:val="center"/>
          </w:tcPr>
          <w:p w14:paraId="59F2D3B4" w14:textId="77777777" w:rsidR="00C17EC2" w:rsidRPr="004068F6" w:rsidRDefault="00C17EC2">
            <w:pPr>
              <w:rPr>
                <w:rFonts w:cs="Arial"/>
                <w:spacing w:val="-3"/>
                <w:sz w:val="20"/>
                <w:szCs w:val="20"/>
              </w:rPr>
            </w:pPr>
            <w:r w:rsidRPr="004068F6">
              <w:rPr>
                <w:rFonts w:cs="Arial"/>
                <w:spacing w:val="-3"/>
                <w:sz w:val="20"/>
                <w:szCs w:val="20"/>
              </w:rPr>
              <w:t>Comisión Interamericana de Derechos Humanos</w:t>
            </w:r>
          </w:p>
        </w:tc>
        <w:tc>
          <w:tcPr>
            <w:tcW w:w="5262" w:type="dxa"/>
            <w:vAlign w:val="center"/>
          </w:tcPr>
          <w:p w14:paraId="53B07AD4"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https://www.oas.org/es/cidh/</w:t>
            </w:r>
          </w:p>
        </w:tc>
      </w:tr>
      <w:tr w:rsidR="00C17EC2" w:rsidRPr="004068F6" w14:paraId="167C90D2" w14:textId="77777777" w:rsidTr="00C17EC2">
        <w:trPr>
          <w:trHeight w:hRule="exact" w:val="567"/>
        </w:trPr>
        <w:tc>
          <w:tcPr>
            <w:tcW w:w="4361" w:type="dxa"/>
            <w:vAlign w:val="center"/>
          </w:tcPr>
          <w:p w14:paraId="20DA6353" w14:textId="77777777" w:rsidR="00C17EC2" w:rsidRPr="004068F6" w:rsidRDefault="00C17EC2">
            <w:pPr>
              <w:rPr>
                <w:rFonts w:cs="Arial"/>
                <w:spacing w:val="-3"/>
                <w:sz w:val="20"/>
                <w:szCs w:val="20"/>
              </w:rPr>
            </w:pPr>
            <w:r w:rsidRPr="004068F6">
              <w:rPr>
                <w:rFonts w:cs="Arial"/>
                <w:spacing w:val="-3"/>
                <w:sz w:val="20"/>
                <w:szCs w:val="20"/>
              </w:rPr>
              <w:t>Comisión Intereclesial de Justicia y Paz CIJP</w:t>
            </w:r>
          </w:p>
        </w:tc>
        <w:tc>
          <w:tcPr>
            <w:tcW w:w="5262" w:type="dxa"/>
            <w:vAlign w:val="center"/>
          </w:tcPr>
          <w:p w14:paraId="7521385F"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https://www.justiciaypazcolombia.com/</w:t>
            </w:r>
          </w:p>
        </w:tc>
      </w:tr>
      <w:tr w:rsidR="00C17EC2" w:rsidRPr="004068F6" w14:paraId="04663A86" w14:textId="77777777" w:rsidTr="00C17EC2">
        <w:trPr>
          <w:trHeight w:hRule="exact" w:val="567"/>
        </w:trPr>
        <w:tc>
          <w:tcPr>
            <w:tcW w:w="4361" w:type="dxa"/>
            <w:vAlign w:val="center"/>
          </w:tcPr>
          <w:p w14:paraId="43CC88F4" w14:textId="77777777" w:rsidR="00C17EC2" w:rsidRPr="004068F6" w:rsidRDefault="00C17EC2">
            <w:pPr>
              <w:rPr>
                <w:rFonts w:cs="Arial"/>
                <w:spacing w:val="-3"/>
                <w:sz w:val="20"/>
                <w:szCs w:val="20"/>
              </w:rPr>
            </w:pPr>
            <w:r w:rsidRPr="004068F6">
              <w:rPr>
                <w:rFonts w:cs="Arial"/>
                <w:spacing w:val="-3"/>
                <w:sz w:val="20"/>
                <w:szCs w:val="20"/>
              </w:rPr>
              <w:t>Consejo de Derechos Humanos de la Organización de las Naciones Unidas</w:t>
            </w:r>
          </w:p>
        </w:tc>
        <w:tc>
          <w:tcPr>
            <w:tcW w:w="5262" w:type="dxa"/>
            <w:vAlign w:val="center"/>
          </w:tcPr>
          <w:p w14:paraId="18AEC91E" w14:textId="77777777" w:rsidR="00C17EC2" w:rsidRPr="004068F6" w:rsidRDefault="00C17EC2">
            <w:pPr>
              <w:rPr>
                <w:rFonts w:cs="Arial"/>
                <w:spacing w:val="-3"/>
                <w:sz w:val="20"/>
                <w:szCs w:val="20"/>
              </w:rPr>
            </w:pPr>
            <w:r w:rsidRPr="004068F6">
              <w:rPr>
                <w:rFonts w:cs="Arial"/>
                <w:spacing w:val="-3"/>
                <w:sz w:val="20"/>
                <w:szCs w:val="20"/>
              </w:rPr>
              <w:t>https://www.ohchr.org/es/hrbodies/hrc/home</w:t>
            </w:r>
          </w:p>
        </w:tc>
      </w:tr>
      <w:tr w:rsidR="00C17EC2" w:rsidRPr="00755498" w14:paraId="761478FD" w14:textId="77777777" w:rsidTr="00C17EC2">
        <w:trPr>
          <w:trHeight w:hRule="exact" w:val="567"/>
        </w:trPr>
        <w:tc>
          <w:tcPr>
            <w:tcW w:w="4361" w:type="dxa"/>
            <w:vAlign w:val="center"/>
          </w:tcPr>
          <w:p w14:paraId="60DFEA1D"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Consortium of North American Lichen Herbaria (CNALH)</w:t>
            </w:r>
          </w:p>
        </w:tc>
        <w:tc>
          <w:tcPr>
            <w:tcW w:w="5262" w:type="dxa"/>
            <w:vAlign w:val="center"/>
          </w:tcPr>
          <w:p w14:paraId="092546A9" w14:textId="39292791" w:rsidR="00C17EC2" w:rsidRPr="006C00FC" w:rsidDel="00A33D9C" w:rsidRDefault="00C17EC2">
            <w:pPr>
              <w:numPr>
                <w:ilvl w:val="12"/>
                <w:numId w:val="0"/>
              </w:numPr>
              <w:tabs>
                <w:tab w:val="left" w:pos="-2268"/>
                <w:tab w:val="center" w:pos="4419"/>
                <w:tab w:val="right" w:pos="8838"/>
              </w:tabs>
              <w:suppressAutoHyphens/>
              <w:rPr>
                <w:rFonts w:cs="Arial"/>
                <w:spacing w:val="-3"/>
                <w:sz w:val="20"/>
                <w:szCs w:val="20"/>
                <w:lang w:val="en-US"/>
              </w:rPr>
            </w:pPr>
            <w:hyperlink r:id="rId24" w:history="1">
              <w:r w:rsidRPr="006C00FC">
                <w:rPr>
                  <w:rFonts w:cs="Arial"/>
                  <w:spacing w:val="-3"/>
                  <w:sz w:val="20"/>
                  <w:szCs w:val="20"/>
                  <w:lang w:val="en-US"/>
                </w:rPr>
                <w:t>https://lichenportal.org/portal/index.php</w:t>
              </w:r>
            </w:hyperlink>
          </w:p>
        </w:tc>
      </w:tr>
      <w:tr w:rsidR="00C17EC2" w:rsidRPr="004068F6" w14:paraId="1D16D6FB" w14:textId="77777777" w:rsidTr="00C17EC2">
        <w:trPr>
          <w:trHeight w:hRule="exact" w:val="567"/>
        </w:trPr>
        <w:tc>
          <w:tcPr>
            <w:tcW w:w="4361" w:type="dxa"/>
            <w:vAlign w:val="center"/>
          </w:tcPr>
          <w:p w14:paraId="0A727993" w14:textId="77777777" w:rsidR="00C17EC2" w:rsidRPr="004068F6" w:rsidRDefault="00C17EC2">
            <w:pPr>
              <w:rPr>
                <w:rFonts w:cs="Arial"/>
                <w:spacing w:val="-3"/>
                <w:sz w:val="20"/>
                <w:szCs w:val="20"/>
              </w:rPr>
            </w:pPr>
            <w:r w:rsidRPr="004068F6">
              <w:rPr>
                <w:rFonts w:cs="Arial"/>
                <w:spacing w:val="-3"/>
                <w:sz w:val="20"/>
                <w:szCs w:val="20"/>
              </w:rPr>
              <w:t>Corte Interamericana de Derechos Humanos</w:t>
            </w:r>
          </w:p>
        </w:tc>
        <w:tc>
          <w:tcPr>
            <w:tcW w:w="5262" w:type="dxa"/>
            <w:vAlign w:val="center"/>
          </w:tcPr>
          <w:p w14:paraId="64AEB306" w14:textId="77777777" w:rsidR="00C17EC2" w:rsidRPr="004068F6" w:rsidRDefault="00C17EC2">
            <w:pPr>
              <w:numPr>
                <w:ilvl w:val="12"/>
                <w:numId w:val="0"/>
              </w:numPr>
              <w:tabs>
                <w:tab w:val="left" w:pos="-2268"/>
                <w:tab w:val="center" w:pos="4419"/>
                <w:tab w:val="right" w:pos="8838"/>
              </w:tabs>
              <w:suppressAutoHyphens/>
              <w:rPr>
                <w:rFonts w:cs="Arial"/>
                <w:spacing w:val="-3"/>
                <w:sz w:val="20"/>
                <w:szCs w:val="20"/>
              </w:rPr>
            </w:pPr>
            <w:r w:rsidRPr="004068F6">
              <w:rPr>
                <w:rFonts w:cs="Arial"/>
                <w:spacing w:val="-3"/>
                <w:sz w:val="20"/>
                <w:szCs w:val="20"/>
              </w:rPr>
              <w:t>https://www.corteidh.or.cr/</w:t>
            </w:r>
          </w:p>
        </w:tc>
      </w:tr>
      <w:tr w:rsidR="00C17EC2" w:rsidRPr="004068F6" w14:paraId="36B8C1E3" w14:textId="77777777" w:rsidTr="00C17EC2">
        <w:trPr>
          <w:trHeight w:hRule="exact" w:val="567"/>
        </w:trPr>
        <w:tc>
          <w:tcPr>
            <w:tcW w:w="4361" w:type="dxa"/>
            <w:vAlign w:val="center"/>
            <w:hideMark/>
          </w:tcPr>
          <w:p w14:paraId="104220F2"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Departamento Administrativo Nacional de Estadística (DANE)</w:t>
            </w:r>
          </w:p>
        </w:tc>
        <w:tc>
          <w:tcPr>
            <w:tcW w:w="5262" w:type="dxa"/>
            <w:vAlign w:val="center"/>
            <w:hideMark/>
          </w:tcPr>
          <w:p w14:paraId="53F69B83"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https://www.dane.gov.co/</w:t>
            </w:r>
          </w:p>
        </w:tc>
      </w:tr>
      <w:tr w:rsidR="00C17EC2" w:rsidRPr="004068F6" w14:paraId="4E9D68A2" w14:textId="77777777" w:rsidTr="00C17EC2">
        <w:trPr>
          <w:trHeight w:hRule="exact" w:val="567"/>
        </w:trPr>
        <w:tc>
          <w:tcPr>
            <w:tcW w:w="4361" w:type="dxa"/>
            <w:vAlign w:val="center"/>
            <w:hideMark/>
          </w:tcPr>
          <w:p w14:paraId="68F2FE60"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Departamento Nacional de Planeación (DNP)</w:t>
            </w:r>
          </w:p>
        </w:tc>
        <w:tc>
          <w:tcPr>
            <w:tcW w:w="5262" w:type="dxa"/>
            <w:vAlign w:val="center"/>
            <w:hideMark/>
          </w:tcPr>
          <w:p w14:paraId="4D158BB4"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https://www.dnp.gov.co/</w:t>
            </w:r>
          </w:p>
        </w:tc>
      </w:tr>
      <w:tr w:rsidR="00C17EC2" w:rsidRPr="004068F6" w14:paraId="2C409B62" w14:textId="77777777" w:rsidTr="00C17EC2">
        <w:trPr>
          <w:trHeight w:hRule="exact" w:val="567"/>
        </w:trPr>
        <w:tc>
          <w:tcPr>
            <w:tcW w:w="4361" w:type="dxa"/>
            <w:vAlign w:val="center"/>
            <w:hideMark/>
          </w:tcPr>
          <w:p w14:paraId="07C3EC71"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Dirección General Marítima</w:t>
            </w:r>
          </w:p>
        </w:tc>
        <w:tc>
          <w:tcPr>
            <w:tcW w:w="5262" w:type="dxa"/>
            <w:vAlign w:val="center"/>
            <w:hideMark/>
          </w:tcPr>
          <w:p w14:paraId="02525983"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https://www.dimar.mil.co/</w:t>
            </w:r>
          </w:p>
        </w:tc>
      </w:tr>
      <w:tr w:rsidR="00C17EC2" w:rsidRPr="004068F6" w14:paraId="2D55E67D" w14:textId="77777777" w:rsidTr="00C17EC2">
        <w:trPr>
          <w:trHeight w:hRule="exact" w:val="567"/>
        </w:trPr>
        <w:tc>
          <w:tcPr>
            <w:tcW w:w="4361" w:type="dxa"/>
            <w:vAlign w:val="center"/>
          </w:tcPr>
          <w:p w14:paraId="4595B933" w14:textId="77777777" w:rsidR="00C17EC2" w:rsidRPr="004068F6" w:rsidRDefault="00C17EC2">
            <w:pPr>
              <w:rPr>
                <w:rFonts w:cs="Arial"/>
                <w:spacing w:val="-3"/>
                <w:sz w:val="20"/>
                <w:szCs w:val="20"/>
              </w:rPr>
            </w:pPr>
            <w:r w:rsidRPr="004068F6">
              <w:rPr>
                <w:rFonts w:cs="Arial"/>
                <w:spacing w:val="-3"/>
                <w:sz w:val="20"/>
                <w:szCs w:val="20"/>
              </w:rPr>
              <w:t>Facultad Latinoamericana de Ciencias Sociales (FLACSO)</w:t>
            </w:r>
          </w:p>
        </w:tc>
        <w:tc>
          <w:tcPr>
            <w:tcW w:w="5262" w:type="dxa"/>
            <w:vAlign w:val="center"/>
          </w:tcPr>
          <w:p w14:paraId="1BEEA5A8" w14:textId="77777777" w:rsidR="00C17EC2" w:rsidRPr="004068F6" w:rsidDel="00A33D9C" w:rsidRDefault="00C17EC2">
            <w:pPr>
              <w:numPr>
                <w:ilvl w:val="12"/>
                <w:numId w:val="0"/>
              </w:numPr>
              <w:tabs>
                <w:tab w:val="left" w:pos="-2268"/>
              </w:tabs>
              <w:suppressAutoHyphens/>
              <w:rPr>
                <w:rFonts w:cs="Arial"/>
                <w:sz w:val="20"/>
                <w:szCs w:val="20"/>
              </w:rPr>
            </w:pPr>
            <w:r w:rsidRPr="004068F6">
              <w:rPr>
                <w:rFonts w:cs="Arial"/>
                <w:spacing w:val="-3"/>
                <w:sz w:val="20"/>
                <w:szCs w:val="20"/>
              </w:rPr>
              <w:t>http://www.flacso.org/</w:t>
            </w:r>
          </w:p>
        </w:tc>
      </w:tr>
      <w:tr w:rsidR="00C17EC2" w:rsidRPr="004068F6" w14:paraId="26259BEA" w14:textId="77777777" w:rsidTr="00C17EC2">
        <w:trPr>
          <w:trHeight w:hRule="exact" w:val="567"/>
        </w:trPr>
        <w:tc>
          <w:tcPr>
            <w:tcW w:w="4361" w:type="dxa"/>
            <w:vAlign w:val="center"/>
            <w:hideMark/>
          </w:tcPr>
          <w:p w14:paraId="537815B0"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Fish Base</w:t>
            </w:r>
          </w:p>
        </w:tc>
        <w:tc>
          <w:tcPr>
            <w:tcW w:w="5262" w:type="dxa"/>
            <w:vAlign w:val="center"/>
            <w:hideMark/>
          </w:tcPr>
          <w:p w14:paraId="40E4D755"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https://www.fishbase.de/home.htm</w:t>
            </w:r>
          </w:p>
        </w:tc>
      </w:tr>
      <w:tr w:rsidR="00C17EC2" w:rsidRPr="004068F6" w14:paraId="62AA4930" w14:textId="77777777" w:rsidTr="00C17EC2">
        <w:trPr>
          <w:trHeight w:hRule="exact" w:val="567"/>
        </w:trPr>
        <w:tc>
          <w:tcPr>
            <w:tcW w:w="4361" w:type="dxa"/>
            <w:vAlign w:val="center"/>
            <w:hideMark/>
          </w:tcPr>
          <w:p w14:paraId="0BDB3727"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lastRenderedPageBreak/>
              <w:t>Global Biodiversity Information Facility</w:t>
            </w:r>
          </w:p>
        </w:tc>
        <w:tc>
          <w:tcPr>
            <w:tcW w:w="5262" w:type="dxa"/>
            <w:vAlign w:val="center"/>
            <w:hideMark/>
          </w:tcPr>
          <w:p w14:paraId="73DF9028"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https://www.gbif.org/</w:t>
            </w:r>
          </w:p>
        </w:tc>
      </w:tr>
      <w:tr w:rsidR="00C17EC2" w:rsidRPr="004068F6" w14:paraId="002EE02A" w14:textId="77777777" w:rsidTr="00C17EC2">
        <w:trPr>
          <w:trHeight w:hRule="exact" w:val="567"/>
        </w:trPr>
        <w:tc>
          <w:tcPr>
            <w:tcW w:w="4361" w:type="dxa"/>
            <w:vAlign w:val="center"/>
            <w:hideMark/>
          </w:tcPr>
          <w:p w14:paraId="39C69D9D"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iNaturalist</w:t>
            </w:r>
          </w:p>
        </w:tc>
        <w:tc>
          <w:tcPr>
            <w:tcW w:w="5262" w:type="dxa"/>
            <w:vAlign w:val="center"/>
            <w:hideMark/>
          </w:tcPr>
          <w:p w14:paraId="13996E73"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https://colombia.inaturalist.org/</w:t>
            </w:r>
          </w:p>
        </w:tc>
      </w:tr>
      <w:tr w:rsidR="00C17EC2" w:rsidRPr="004068F6" w14:paraId="1A803E78" w14:textId="77777777" w:rsidTr="00C17EC2">
        <w:trPr>
          <w:trHeight w:hRule="exact" w:val="567"/>
        </w:trPr>
        <w:tc>
          <w:tcPr>
            <w:tcW w:w="4361" w:type="dxa"/>
            <w:vAlign w:val="center"/>
            <w:hideMark/>
          </w:tcPr>
          <w:p w14:paraId="215A4915"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Instituto amazónico de investigaciones científicas Sinchi</w:t>
            </w:r>
          </w:p>
        </w:tc>
        <w:tc>
          <w:tcPr>
            <w:tcW w:w="5262" w:type="dxa"/>
            <w:vAlign w:val="center"/>
            <w:hideMark/>
          </w:tcPr>
          <w:p w14:paraId="1FB26959"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https://www.sinchi.org.co/</w:t>
            </w:r>
          </w:p>
        </w:tc>
      </w:tr>
      <w:tr w:rsidR="00C17EC2" w:rsidRPr="004068F6" w14:paraId="792A5805" w14:textId="77777777" w:rsidTr="00C17EC2">
        <w:trPr>
          <w:trHeight w:hRule="exact" w:val="567"/>
        </w:trPr>
        <w:tc>
          <w:tcPr>
            <w:tcW w:w="4361" w:type="dxa"/>
            <w:vAlign w:val="center"/>
            <w:hideMark/>
          </w:tcPr>
          <w:p w14:paraId="44E951D8"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Instituto de Ciencias Naturales (ICN) de la Universidad Nacional de Colombia</w:t>
            </w:r>
          </w:p>
        </w:tc>
        <w:tc>
          <w:tcPr>
            <w:tcW w:w="5262" w:type="dxa"/>
            <w:vAlign w:val="center"/>
            <w:hideMark/>
          </w:tcPr>
          <w:p w14:paraId="45F5938D"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http://www.biovirtual.unal.edu.co/es/</w:t>
            </w:r>
          </w:p>
        </w:tc>
      </w:tr>
      <w:tr w:rsidR="00C17EC2" w:rsidRPr="004068F6" w14:paraId="29DBAABE" w14:textId="77777777" w:rsidTr="00C17EC2">
        <w:trPr>
          <w:trHeight w:hRule="exact" w:val="567"/>
        </w:trPr>
        <w:tc>
          <w:tcPr>
            <w:tcW w:w="4361" w:type="dxa"/>
            <w:vAlign w:val="center"/>
            <w:hideMark/>
          </w:tcPr>
          <w:p w14:paraId="687FA2D0"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Instituto de Hidrología, Meteorología y Estudios Ambientales (Ideam)</w:t>
            </w:r>
          </w:p>
        </w:tc>
        <w:tc>
          <w:tcPr>
            <w:tcW w:w="5262" w:type="dxa"/>
            <w:vAlign w:val="center"/>
            <w:hideMark/>
          </w:tcPr>
          <w:p w14:paraId="0395EE17"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http://www.ideam.gov.co/</w:t>
            </w:r>
          </w:p>
        </w:tc>
      </w:tr>
      <w:tr w:rsidR="00C17EC2" w:rsidRPr="004068F6" w14:paraId="2B628773" w14:textId="77777777" w:rsidTr="000D6E21">
        <w:trPr>
          <w:trHeight w:hRule="exact" w:val="1228"/>
        </w:trPr>
        <w:tc>
          <w:tcPr>
            <w:tcW w:w="4361" w:type="dxa"/>
            <w:vAlign w:val="center"/>
            <w:hideMark/>
          </w:tcPr>
          <w:p w14:paraId="6B321250"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Instituto de investigación de recursos biológicos Alexander von Humboldt</w:t>
            </w:r>
          </w:p>
        </w:tc>
        <w:tc>
          <w:tcPr>
            <w:tcW w:w="5262" w:type="dxa"/>
            <w:vAlign w:val="center"/>
            <w:hideMark/>
          </w:tcPr>
          <w:p w14:paraId="2C78A519" w14:textId="33BDA8CC" w:rsidR="00C17EC2" w:rsidRPr="004068F6" w:rsidRDefault="00C17EC2" w:rsidP="00B55390">
            <w:pPr>
              <w:numPr>
                <w:ilvl w:val="12"/>
                <w:numId w:val="0"/>
              </w:numPr>
              <w:tabs>
                <w:tab w:val="left" w:pos="-2268"/>
              </w:tabs>
              <w:suppressAutoHyphens/>
              <w:rPr>
                <w:rFonts w:cs="Arial"/>
                <w:spacing w:val="-3"/>
                <w:sz w:val="20"/>
                <w:szCs w:val="20"/>
                <w:u w:val="single"/>
              </w:rPr>
            </w:pPr>
            <w:r w:rsidRPr="004068F6">
              <w:rPr>
                <w:rFonts w:cs="Arial"/>
                <w:sz w:val="20"/>
                <w:szCs w:val="20"/>
              </w:rPr>
              <w:t>http://www.humboldt.org.co/es/</w:t>
            </w:r>
            <w:r w:rsidRPr="004068F6">
              <w:rPr>
                <w:rFonts w:cs="Arial"/>
                <w:spacing w:val="-3"/>
                <w:sz w:val="20"/>
                <w:szCs w:val="20"/>
              </w:rPr>
              <w:t xml:space="preserve">; </w:t>
            </w:r>
            <w:r w:rsidRPr="004068F6">
              <w:rPr>
                <w:rFonts w:cs="Arial"/>
                <w:sz w:val="20"/>
                <w:szCs w:val="20"/>
              </w:rPr>
              <w:t>http://biomodelos.humboldt.org.co/</w:t>
            </w:r>
            <w:r w:rsidRPr="004068F6">
              <w:rPr>
                <w:rFonts w:cs="Arial"/>
                <w:spacing w:val="-3"/>
                <w:sz w:val="20"/>
                <w:szCs w:val="20"/>
              </w:rPr>
              <w:t>; http://www.humboldt.org.co/es/bibliotecaypublicaciones/publicaciones?searchword=rojos&amp;amp;st=all&amp;amp;category_id=2</w:t>
            </w:r>
          </w:p>
        </w:tc>
      </w:tr>
      <w:tr w:rsidR="00C17EC2" w:rsidRPr="004068F6" w14:paraId="7B87F684" w14:textId="77777777" w:rsidTr="00C17EC2">
        <w:trPr>
          <w:trHeight w:hRule="exact" w:val="567"/>
        </w:trPr>
        <w:tc>
          <w:tcPr>
            <w:tcW w:w="4361" w:type="dxa"/>
            <w:vAlign w:val="center"/>
            <w:hideMark/>
          </w:tcPr>
          <w:p w14:paraId="7DF318AC"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Instituto de investigaciones ambientales del Pacífico</w:t>
            </w:r>
          </w:p>
        </w:tc>
        <w:tc>
          <w:tcPr>
            <w:tcW w:w="5262" w:type="dxa"/>
            <w:vAlign w:val="center"/>
            <w:hideMark/>
          </w:tcPr>
          <w:p w14:paraId="72066CC7"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https://iiap.org.co/</w:t>
            </w:r>
          </w:p>
        </w:tc>
      </w:tr>
      <w:tr w:rsidR="00C17EC2" w:rsidRPr="004068F6" w14:paraId="40BAC4F5" w14:textId="77777777" w:rsidTr="00C17EC2">
        <w:trPr>
          <w:trHeight w:hRule="exact" w:val="567"/>
        </w:trPr>
        <w:tc>
          <w:tcPr>
            <w:tcW w:w="4361" w:type="dxa"/>
            <w:vAlign w:val="center"/>
            <w:hideMark/>
          </w:tcPr>
          <w:p w14:paraId="2A091945"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Instituto de investigaciones marinas y costeras José Benito Vives de Andréis (Invemar)</w:t>
            </w:r>
          </w:p>
        </w:tc>
        <w:tc>
          <w:tcPr>
            <w:tcW w:w="5262" w:type="dxa"/>
            <w:vAlign w:val="center"/>
            <w:hideMark/>
          </w:tcPr>
          <w:p w14:paraId="3A1B3486"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http://www.invemar.org.co/</w:t>
            </w:r>
          </w:p>
        </w:tc>
      </w:tr>
      <w:tr w:rsidR="00C17EC2" w:rsidRPr="004068F6" w14:paraId="78F58B7E" w14:textId="77777777" w:rsidTr="00C17EC2">
        <w:trPr>
          <w:trHeight w:hRule="exact" w:val="567"/>
        </w:trPr>
        <w:tc>
          <w:tcPr>
            <w:tcW w:w="4361" w:type="dxa"/>
            <w:vAlign w:val="center"/>
            <w:hideMark/>
          </w:tcPr>
          <w:p w14:paraId="5822C165"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Instituto Geográfico Agustín Codazzi (IGAC)</w:t>
            </w:r>
          </w:p>
        </w:tc>
        <w:tc>
          <w:tcPr>
            <w:tcW w:w="5262" w:type="dxa"/>
            <w:vAlign w:val="center"/>
            <w:hideMark/>
          </w:tcPr>
          <w:p w14:paraId="48622A17"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https://www.igac.gov.co/</w:t>
            </w:r>
          </w:p>
        </w:tc>
      </w:tr>
      <w:tr w:rsidR="00C17EC2" w:rsidRPr="004068F6" w14:paraId="1E908B19" w14:textId="77777777" w:rsidTr="00C17EC2">
        <w:trPr>
          <w:trHeight w:hRule="exact" w:val="567"/>
        </w:trPr>
        <w:tc>
          <w:tcPr>
            <w:tcW w:w="4361" w:type="dxa"/>
            <w:vAlign w:val="center"/>
          </w:tcPr>
          <w:p w14:paraId="7EF56A7D" w14:textId="08B96812" w:rsidR="00C17EC2" w:rsidRPr="004068F6" w:rsidRDefault="00C17EC2">
            <w:pPr>
              <w:rPr>
                <w:rFonts w:cs="Arial"/>
                <w:spacing w:val="-3"/>
                <w:sz w:val="20"/>
                <w:szCs w:val="20"/>
              </w:rPr>
            </w:pPr>
            <w:r w:rsidRPr="004068F6">
              <w:rPr>
                <w:rFonts w:cs="Arial"/>
                <w:spacing w:val="-3"/>
                <w:sz w:val="20"/>
                <w:szCs w:val="20"/>
              </w:rPr>
              <w:t>Instituto Nacional de Vías (</w:t>
            </w:r>
            <w:r w:rsidR="00C34EA4" w:rsidRPr="004068F6">
              <w:rPr>
                <w:rFonts w:cs="Arial"/>
                <w:spacing w:val="-3"/>
                <w:sz w:val="20"/>
                <w:szCs w:val="20"/>
              </w:rPr>
              <w:t>Invias</w:t>
            </w:r>
            <w:r w:rsidRPr="004068F6">
              <w:rPr>
                <w:rFonts w:cs="Arial"/>
                <w:spacing w:val="-3"/>
                <w:sz w:val="20"/>
                <w:szCs w:val="20"/>
              </w:rPr>
              <w:t>)</w:t>
            </w:r>
          </w:p>
        </w:tc>
        <w:tc>
          <w:tcPr>
            <w:tcW w:w="5262" w:type="dxa"/>
            <w:vAlign w:val="center"/>
          </w:tcPr>
          <w:p w14:paraId="28033838" w14:textId="77777777" w:rsidR="00C17EC2" w:rsidRPr="004068F6" w:rsidDel="00A33D9C" w:rsidRDefault="00C17EC2">
            <w:pPr>
              <w:numPr>
                <w:ilvl w:val="12"/>
                <w:numId w:val="0"/>
              </w:numPr>
              <w:tabs>
                <w:tab w:val="left" w:pos="-2268"/>
              </w:tabs>
              <w:suppressAutoHyphens/>
              <w:rPr>
                <w:rFonts w:cs="Arial"/>
                <w:sz w:val="20"/>
                <w:szCs w:val="20"/>
              </w:rPr>
            </w:pPr>
            <w:r w:rsidRPr="004068F6">
              <w:rPr>
                <w:rFonts w:cs="Arial"/>
                <w:spacing w:val="-3"/>
                <w:sz w:val="20"/>
                <w:szCs w:val="20"/>
              </w:rPr>
              <w:t>https://www.invias.gov.co/</w:t>
            </w:r>
          </w:p>
        </w:tc>
      </w:tr>
      <w:tr w:rsidR="00C17EC2" w:rsidRPr="004068F6" w14:paraId="78F38481" w14:textId="77777777" w:rsidTr="00C17EC2">
        <w:trPr>
          <w:trHeight w:hRule="exact" w:val="567"/>
        </w:trPr>
        <w:tc>
          <w:tcPr>
            <w:tcW w:w="4361" w:type="dxa"/>
            <w:vAlign w:val="center"/>
            <w:hideMark/>
          </w:tcPr>
          <w:p w14:paraId="2A34EDE3"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Intergovernmental Oceanographic Commission</w:t>
            </w:r>
          </w:p>
        </w:tc>
        <w:tc>
          <w:tcPr>
            <w:tcW w:w="5262" w:type="dxa"/>
            <w:vAlign w:val="center"/>
            <w:hideMark/>
          </w:tcPr>
          <w:p w14:paraId="4B96F2F5"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https://ioc.unesco.org/</w:t>
            </w:r>
          </w:p>
        </w:tc>
      </w:tr>
      <w:tr w:rsidR="00C17EC2" w:rsidRPr="004068F6" w14:paraId="2A46E649" w14:textId="77777777" w:rsidTr="00C17EC2">
        <w:trPr>
          <w:trHeight w:hRule="exact" w:val="567"/>
        </w:trPr>
        <w:tc>
          <w:tcPr>
            <w:tcW w:w="4361" w:type="dxa"/>
            <w:vAlign w:val="center"/>
          </w:tcPr>
          <w:p w14:paraId="21DB71AF" w14:textId="77777777" w:rsidR="00C17EC2" w:rsidRPr="004068F6" w:rsidRDefault="00C17EC2">
            <w:pPr>
              <w:rPr>
                <w:rFonts w:cs="Arial"/>
                <w:spacing w:val="-3"/>
                <w:sz w:val="20"/>
                <w:szCs w:val="20"/>
              </w:rPr>
            </w:pPr>
            <w:r w:rsidRPr="004068F6">
              <w:rPr>
                <w:rFonts w:cs="Arial"/>
                <w:spacing w:val="-3"/>
                <w:sz w:val="20"/>
                <w:szCs w:val="20"/>
              </w:rPr>
              <w:t>Jurisdicción Especial para la Paz</w:t>
            </w:r>
          </w:p>
        </w:tc>
        <w:tc>
          <w:tcPr>
            <w:tcW w:w="5262" w:type="dxa"/>
            <w:vAlign w:val="center"/>
          </w:tcPr>
          <w:p w14:paraId="7AA515EC" w14:textId="77777777" w:rsidR="00C17EC2" w:rsidRPr="004068F6" w:rsidDel="00A33D9C" w:rsidRDefault="00C17EC2">
            <w:pPr>
              <w:rPr>
                <w:rFonts w:cs="Arial"/>
                <w:spacing w:val="-3"/>
                <w:sz w:val="20"/>
                <w:szCs w:val="20"/>
              </w:rPr>
            </w:pPr>
            <w:r w:rsidRPr="004068F6">
              <w:rPr>
                <w:rFonts w:cs="Arial"/>
                <w:spacing w:val="-3"/>
                <w:sz w:val="20"/>
                <w:szCs w:val="20"/>
              </w:rPr>
              <w:t>https://www.jep.gov.co/JEP/Paginas/Jurisdiccion-Especial-para-la-Paz.aspx</w:t>
            </w:r>
          </w:p>
        </w:tc>
      </w:tr>
      <w:tr w:rsidR="00C17EC2" w:rsidRPr="004068F6" w14:paraId="20057783" w14:textId="77777777" w:rsidTr="00C17EC2">
        <w:trPr>
          <w:trHeight w:hRule="exact" w:val="567"/>
        </w:trPr>
        <w:tc>
          <w:tcPr>
            <w:tcW w:w="4361" w:type="dxa"/>
            <w:vAlign w:val="center"/>
            <w:hideMark/>
          </w:tcPr>
          <w:p w14:paraId="7CFD598E"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Laboratorio de ornitología de Cornell</w:t>
            </w:r>
          </w:p>
        </w:tc>
        <w:tc>
          <w:tcPr>
            <w:tcW w:w="5262" w:type="dxa"/>
            <w:vAlign w:val="center"/>
            <w:hideMark/>
          </w:tcPr>
          <w:p w14:paraId="1E619107"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https://ebird.org/home</w:t>
            </w:r>
          </w:p>
        </w:tc>
      </w:tr>
      <w:tr w:rsidR="00C17EC2" w:rsidRPr="004068F6" w14:paraId="184F2116" w14:textId="77777777" w:rsidTr="00C17EC2">
        <w:trPr>
          <w:trHeight w:hRule="exact" w:val="567"/>
        </w:trPr>
        <w:tc>
          <w:tcPr>
            <w:tcW w:w="4361" w:type="dxa"/>
            <w:vAlign w:val="center"/>
            <w:hideMark/>
          </w:tcPr>
          <w:p w14:paraId="0CC69863"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Lista y mapas de distribución de los anfibios de Colombia</w:t>
            </w:r>
          </w:p>
        </w:tc>
        <w:tc>
          <w:tcPr>
            <w:tcW w:w="5262" w:type="dxa"/>
            <w:vAlign w:val="center"/>
            <w:hideMark/>
          </w:tcPr>
          <w:p w14:paraId="39D0BF7E"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https://www.batrachia.com/</w:t>
            </w:r>
          </w:p>
        </w:tc>
      </w:tr>
      <w:tr w:rsidR="00C17EC2" w:rsidRPr="00755498" w14:paraId="23E0D35C" w14:textId="77777777" w:rsidTr="00C17EC2">
        <w:trPr>
          <w:trHeight w:hRule="exact" w:val="567"/>
        </w:trPr>
        <w:tc>
          <w:tcPr>
            <w:tcW w:w="4361" w:type="dxa"/>
            <w:vAlign w:val="center"/>
            <w:hideMark/>
          </w:tcPr>
          <w:p w14:paraId="2EB51A71"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Louisiana museum of natural history</w:t>
            </w:r>
          </w:p>
        </w:tc>
        <w:tc>
          <w:tcPr>
            <w:tcW w:w="5262" w:type="dxa"/>
            <w:vAlign w:val="center"/>
            <w:hideMark/>
          </w:tcPr>
          <w:p w14:paraId="74C42588" w14:textId="77777777" w:rsidR="00C17EC2" w:rsidRPr="006C00FC" w:rsidRDefault="00C17EC2">
            <w:pPr>
              <w:numPr>
                <w:ilvl w:val="12"/>
                <w:numId w:val="0"/>
              </w:numPr>
              <w:tabs>
                <w:tab w:val="left" w:pos="-2268"/>
              </w:tabs>
              <w:suppressAutoHyphens/>
              <w:rPr>
                <w:rFonts w:cs="Arial"/>
                <w:spacing w:val="-3"/>
                <w:sz w:val="20"/>
                <w:szCs w:val="20"/>
                <w:u w:val="single"/>
                <w:lang w:val="en-US"/>
              </w:rPr>
            </w:pPr>
            <w:r w:rsidRPr="006C00FC">
              <w:rPr>
                <w:rFonts w:cs="Arial"/>
                <w:sz w:val="20"/>
                <w:szCs w:val="20"/>
                <w:lang w:val="en-US"/>
              </w:rPr>
              <w:t>https://www.lsu.edu/mns/index.php</w:t>
            </w:r>
          </w:p>
        </w:tc>
      </w:tr>
      <w:tr w:rsidR="00C17EC2" w:rsidRPr="004068F6" w14:paraId="23F0C492" w14:textId="77777777" w:rsidTr="00C17EC2">
        <w:trPr>
          <w:trHeight w:hRule="exact" w:val="567"/>
        </w:trPr>
        <w:tc>
          <w:tcPr>
            <w:tcW w:w="4361" w:type="dxa"/>
            <w:vAlign w:val="center"/>
            <w:hideMark/>
          </w:tcPr>
          <w:p w14:paraId="03193B21"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Ministerio de Cultura</w:t>
            </w:r>
          </w:p>
        </w:tc>
        <w:tc>
          <w:tcPr>
            <w:tcW w:w="5262" w:type="dxa"/>
            <w:vAlign w:val="center"/>
            <w:hideMark/>
          </w:tcPr>
          <w:p w14:paraId="79FE1822"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https://mincultura.gov.co/</w:t>
            </w:r>
          </w:p>
        </w:tc>
      </w:tr>
      <w:tr w:rsidR="00C17EC2" w:rsidRPr="004068F6" w14:paraId="68991A5D" w14:textId="77777777" w:rsidTr="00C17EC2">
        <w:trPr>
          <w:trHeight w:hRule="exact" w:val="567"/>
        </w:trPr>
        <w:tc>
          <w:tcPr>
            <w:tcW w:w="4361" w:type="dxa"/>
            <w:vAlign w:val="center"/>
            <w:hideMark/>
          </w:tcPr>
          <w:p w14:paraId="66B1D4F3"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Ministerio de Justicia y del Derecho</w:t>
            </w:r>
          </w:p>
        </w:tc>
        <w:tc>
          <w:tcPr>
            <w:tcW w:w="5262" w:type="dxa"/>
            <w:vAlign w:val="center"/>
            <w:hideMark/>
          </w:tcPr>
          <w:p w14:paraId="4F436C28"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https://www.minjusticia.gov.co/</w:t>
            </w:r>
          </w:p>
        </w:tc>
      </w:tr>
      <w:tr w:rsidR="00C17EC2" w:rsidRPr="004068F6" w14:paraId="3F3AE9AD" w14:textId="77777777" w:rsidTr="00C17EC2">
        <w:trPr>
          <w:trHeight w:hRule="exact" w:val="567"/>
        </w:trPr>
        <w:tc>
          <w:tcPr>
            <w:tcW w:w="4361" w:type="dxa"/>
            <w:vAlign w:val="center"/>
            <w:hideMark/>
          </w:tcPr>
          <w:p w14:paraId="549547D6"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Ministerio de Minas y Energía</w:t>
            </w:r>
          </w:p>
        </w:tc>
        <w:tc>
          <w:tcPr>
            <w:tcW w:w="5262" w:type="dxa"/>
            <w:vAlign w:val="center"/>
            <w:hideMark/>
          </w:tcPr>
          <w:p w14:paraId="7DF1C5B7"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https://www.minenergia.gov.co/</w:t>
            </w:r>
          </w:p>
        </w:tc>
      </w:tr>
      <w:tr w:rsidR="00C17EC2" w:rsidRPr="004068F6" w14:paraId="032A41E2" w14:textId="77777777" w:rsidTr="00C17EC2">
        <w:trPr>
          <w:trHeight w:hRule="exact" w:val="567"/>
        </w:trPr>
        <w:tc>
          <w:tcPr>
            <w:tcW w:w="4361" w:type="dxa"/>
            <w:vAlign w:val="center"/>
            <w:hideMark/>
          </w:tcPr>
          <w:p w14:paraId="522376C6"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lastRenderedPageBreak/>
              <w:t>Ministerio de Transporte</w:t>
            </w:r>
          </w:p>
        </w:tc>
        <w:tc>
          <w:tcPr>
            <w:tcW w:w="5262" w:type="dxa"/>
            <w:vAlign w:val="center"/>
            <w:hideMark/>
          </w:tcPr>
          <w:p w14:paraId="35907D78"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https://www.mintransporte.gov.co/</w:t>
            </w:r>
          </w:p>
        </w:tc>
      </w:tr>
      <w:tr w:rsidR="00C17EC2" w:rsidRPr="004068F6" w14:paraId="27FAAC17" w14:textId="77777777" w:rsidTr="00C17EC2">
        <w:trPr>
          <w:trHeight w:hRule="exact" w:val="567"/>
        </w:trPr>
        <w:tc>
          <w:tcPr>
            <w:tcW w:w="4361" w:type="dxa"/>
            <w:vAlign w:val="center"/>
          </w:tcPr>
          <w:p w14:paraId="072E340D"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Missouri Botanical Garden. Tropicos.org</w:t>
            </w:r>
          </w:p>
        </w:tc>
        <w:tc>
          <w:tcPr>
            <w:tcW w:w="5262" w:type="dxa"/>
            <w:vAlign w:val="center"/>
          </w:tcPr>
          <w:p w14:paraId="128F8C01" w14:textId="77777777" w:rsidR="00C17EC2" w:rsidRPr="004068F6" w:rsidDel="00A33D9C" w:rsidRDefault="00C17EC2">
            <w:pPr>
              <w:numPr>
                <w:ilvl w:val="12"/>
                <w:numId w:val="0"/>
              </w:numPr>
              <w:tabs>
                <w:tab w:val="left" w:pos="-2268"/>
              </w:tabs>
              <w:suppressAutoHyphens/>
              <w:rPr>
                <w:rFonts w:cs="Arial"/>
                <w:sz w:val="20"/>
                <w:szCs w:val="20"/>
              </w:rPr>
            </w:pPr>
            <w:r w:rsidRPr="004068F6">
              <w:rPr>
                <w:rFonts w:cs="Arial"/>
                <w:spacing w:val="-3"/>
                <w:sz w:val="20"/>
                <w:szCs w:val="20"/>
              </w:rPr>
              <w:t>https://www.tropicos.org/home</w:t>
            </w:r>
            <w:r w:rsidRPr="004068F6">
              <w:rPr>
                <w:rFonts w:cs="Arial"/>
                <w:sz w:val="20"/>
                <w:szCs w:val="20"/>
              </w:rPr>
              <w:tab/>
            </w:r>
          </w:p>
        </w:tc>
      </w:tr>
      <w:tr w:rsidR="00C17EC2" w:rsidRPr="004068F6" w14:paraId="00F6499E" w14:textId="77777777" w:rsidTr="00C17EC2">
        <w:trPr>
          <w:trHeight w:hRule="exact" w:val="567"/>
        </w:trPr>
        <w:tc>
          <w:tcPr>
            <w:tcW w:w="4361" w:type="dxa"/>
            <w:vAlign w:val="center"/>
            <w:hideMark/>
          </w:tcPr>
          <w:p w14:paraId="56A8BF9D"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National centers for coastal ocean science</w:t>
            </w:r>
          </w:p>
        </w:tc>
        <w:tc>
          <w:tcPr>
            <w:tcW w:w="5262" w:type="dxa"/>
            <w:vAlign w:val="center"/>
            <w:hideMark/>
          </w:tcPr>
          <w:p w14:paraId="22CBD6A5"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https://coastalscience.noaa.gov/</w:t>
            </w:r>
          </w:p>
        </w:tc>
      </w:tr>
      <w:tr w:rsidR="00C17EC2" w:rsidRPr="00755498" w14:paraId="2B3AF9E7" w14:textId="77777777" w:rsidTr="00C17EC2">
        <w:trPr>
          <w:trHeight w:hRule="exact" w:val="567"/>
        </w:trPr>
        <w:tc>
          <w:tcPr>
            <w:tcW w:w="4361" w:type="dxa"/>
            <w:vAlign w:val="center"/>
            <w:hideMark/>
          </w:tcPr>
          <w:p w14:paraId="0372E56E"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National Oceanic and Atmospheric Administration (NOAA)</w:t>
            </w:r>
          </w:p>
        </w:tc>
        <w:tc>
          <w:tcPr>
            <w:tcW w:w="5262" w:type="dxa"/>
            <w:vAlign w:val="center"/>
            <w:hideMark/>
          </w:tcPr>
          <w:p w14:paraId="69D854D2" w14:textId="77777777" w:rsidR="00C17EC2" w:rsidRPr="006C00FC" w:rsidRDefault="00C17EC2">
            <w:pPr>
              <w:numPr>
                <w:ilvl w:val="12"/>
                <w:numId w:val="0"/>
              </w:numPr>
              <w:tabs>
                <w:tab w:val="left" w:pos="-2268"/>
              </w:tabs>
              <w:suppressAutoHyphens/>
              <w:rPr>
                <w:rFonts w:cs="Arial"/>
                <w:spacing w:val="-3"/>
                <w:sz w:val="20"/>
                <w:szCs w:val="20"/>
                <w:u w:val="single"/>
                <w:lang w:val="en-US"/>
              </w:rPr>
            </w:pPr>
            <w:r w:rsidRPr="006C00FC">
              <w:rPr>
                <w:rFonts w:cs="Arial"/>
                <w:sz w:val="20"/>
                <w:szCs w:val="20"/>
                <w:lang w:val="en-US"/>
              </w:rPr>
              <w:t>https://oceanservice.noaa.gov/</w:t>
            </w:r>
            <w:r w:rsidRPr="006C00FC">
              <w:rPr>
                <w:rFonts w:cs="Arial"/>
                <w:spacing w:val="-3"/>
                <w:sz w:val="20"/>
                <w:szCs w:val="20"/>
                <w:lang w:val="en-US"/>
              </w:rPr>
              <w:t xml:space="preserve">; </w:t>
            </w:r>
            <w:r w:rsidRPr="006C00FC">
              <w:rPr>
                <w:rFonts w:cs="Arial"/>
                <w:sz w:val="20"/>
                <w:szCs w:val="20"/>
                <w:lang w:val="en-US"/>
              </w:rPr>
              <w:t>https://coast.noaa.gov/nerrs/</w:t>
            </w:r>
          </w:p>
        </w:tc>
      </w:tr>
      <w:tr w:rsidR="00C17EC2" w:rsidRPr="004068F6" w14:paraId="4FE90725" w14:textId="77777777" w:rsidTr="00C17EC2">
        <w:trPr>
          <w:trHeight w:hRule="exact" w:val="567"/>
        </w:trPr>
        <w:tc>
          <w:tcPr>
            <w:tcW w:w="4361" w:type="dxa"/>
            <w:vAlign w:val="center"/>
          </w:tcPr>
          <w:p w14:paraId="1091E5F1"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Observatorio colombiano de las mujeres</w:t>
            </w:r>
          </w:p>
        </w:tc>
        <w:tc>
          <w:tcPr>
            <w:tcW w:w="5262" w:type="dxa"/>
            <w:vAlign w:val="center"/>
          </w:tcPr>
          <w:p w14:paraId="482F0BEB" w14:textId="77777777" w:rsidR="00C17EC2" w:rsidRPr="004068F6" w:rsidDel="00A33D9C" w:rsidRDefault="00C17EC2">
            <w:pPr>
              <w:numPr>
                <w:ilvl w:val="12"/>
                <w:numId w:val="0"/>
              </w:numPr>
              <w:tabs>
                <w:tab w:val="left" w:pos="-2268"/>
              </w:tabs>
              <w:suppressAutoHyphens/>
              <w:rPr>
                <w:rFonts w:cs="Arial"/>
                <w:sz w:val="20"/>
                <w:szCs w:val="20"/>
              </w:rPr>
            </w:pPr>
            <w:r w:rsidRPr="00127BD4">
              <w:rPr>
                <w:rFonts w:cs="Arial"/>
                <w:spacing w:val="-3"/>
                <w:sz w:val="20"/>
                <w:szCs w:val="20"/>
              </w:rPr>
              <w:t>https://observatoriomujeres.gov.co/</w:t>
            </w:r>
          </w:p>
        </w:tc>
      </w:tr>
      <w:tr w:rsidR="00C17EC2" w:rsidRPr="004068F6" w14:paraId="4FD4D41F" w14:textId="77777777" w:rsidTr="00C17EC2">
        <w:trPr>
          <w:trHeight w:hRule="exact" w:val="567"/>
        </w:trPr>
        <w:tc>
          <w:tcPr>
            <w:tcW w:w="4361" w:type="dxa"/>
            <w:vAlign w:val="center"/>
          </w:tcPr>
          <w:p w14:paraId="39C3E8F0"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Observatorio de Conflictos Ambientales de la Universidad Nacional de Colombia</w:t>
            </w:r>
          </w:p>
        </w:tc>
        <w:tc>
          <w:tcPr>
            <w:tcW w:w="5262" w:type="dxa"/>
            <w:vAlign w:val="center"/>
          </w:tcPr>
          <w:p w14:paraId="2BCC1881" w14:textId="75C5B0FC" w:rsidR="00C17EC2" w:rsidRPr="004068F6" w:rsidDel="00A33D9C" w:rsidRDefault="00C17EC2">
            <w:pPr>
              <w:numPr>
                <w:ilvl w:val="12"/>
                <w:numId w:val="0"/>
              </w:numPr>
              <w:tabs>
                <w:tab w:val="left" w:pos="-2268"/>
              </w:tabs>
              <w:suppressAutoHyphens/>
              <w:rPr>
                <w:rFonts w:cs="Arial"/>
                <w:spacing w:val="-3"/>
                <w:sz w:val="20"/>
                <w:szCs w:val="20"/>
              </w:rPr>
            </w:pPr>
            <w:hyperlink r:id="rId25">
              <w:r w:rsidRPr="004068F6">
                <w:rPr>
                  <w:rFonts w:cs="Arial"/>
                  <w:spacing w:val="-3"/>
                  <w:sz w:val="20"/>
                  <w:szCs w:val="20"/>
                </w:rPr>
                <w:t>http://oca.unal.edu.co/</w:t>
              </w:r>
            </w:hyperlink>
          </w:p>
        </w:tc>
      </w:tr>
      <w:tr w:rsidR="00C17EC2" w:rsidRPr="004068F6" w14:paraId="1E00AAD5" w14:textId="77777777" w:rsidTr="00C17EC2">
        <w:trPr>
          <w:trHeight w:hRule="exact" w:val="567"/>
        </w:trPr>
        <w:tc>
          <w:tcPr>
            <w:tcW w:w="4361" w:type="dxa"/>
            <w:vAlign w:val="center"/>
          </w:tcPr>
          <w:p w14:paraId="32DA7923"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Observatorio Javeriano de Juventud</w:t>
            </w:r>
          </w:p>
        </w:tc>
        <w:tc>
          <w:tcPr>
            <w:tcW w:w="5262" w:type="dxa"/>
            <w:vAlign w:val="center"/>
          </w:tcPr>
          <w:p w14:paraId="0265FF52"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https://observatoriojuventud.javeriana.edu.co/</w:t>
            </w:r>
          </w:p>
        </w:tc>
      </w:tr>
      <w:tr w:rsidR="00C17EC2" w:rsidRPr="004068F6" w14:paraId="05EC21D2" w14:textId="77777777" w:rsidTr="00C17EC2">
        <w:trPr>
          <w:trHeight w:hRule="exact" w:val="567"/>
        </w:trPr>
        <w:tc>
          <w:tcPr>
            <w:tcW w:w="4361" w:type="dxa"/>
            <w:vAlign w:val="center"/>
            <w:hideMark/>
          </w:tcPr>
          <w:p w14:paraId="1AA67025"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Ocean biodiversity information system</w:t>
            </w:r>
          </w:p>
        </w:tc>
        <w:tc>
          <w:tcPr>
            <w:tcW w:w="5262" w:type="dxa"/>
            <w:vAlign w:val="center"/>
            <w:hideMark/>
          </w:tcPr>
          <w:p w14:paraId="7E28FFD9"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https://obis.org/</w:t>
            </w:r>
          </w:p>
        </w:tc>
      </w:tr>
      <w:tr w:rsidR="00C17EC2" w:rsidRPr="004068F6" w14:paraId="4CBE0AF2" w14:textId="77777777" w:rsidTr="00C17EC2">
        <w:trPr>
          <w:trHeight w:hRule="exact" w:val="567"/>
        </w:trPr>
        <w:tc>
          <w:tcPr>
            <w:tcW w:w="4361" w:type="dxa"/>
            <w:vAlign w:val="center"/>
            <w:hideMark/>
          </w:tcPr>
          <w:p w14:paraId="4EDA1DAD"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Organización de las Naciones Unidas para la Alimentación y la Agricultura (FAO)</w:t>
            </w:r>
          </w:p>
        </w:tc>
        <w:tc>
          <w:tcPr>
            <w:tcW w:w="5262" w:type="dxa"/>
            <w:vAlign w:val="center"/>
            <w:hideMark/>
          </w:tcPr>
          <w:p w14:paraId="20B14C04"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http://www.fao.org/home/en/</w:t>
            </w:r>
          </w:p>
        </w:tc>
      </w:tr>
      <w:tr w:rsidR="00C17EC2" w:rsidRPr="004068F6" w14:paraId="315CF44E" w14:textId="77777777" w:rsidTr="00C17EC2">
        <w:trPr>
          <w:trHeight w:hRule="exact" w:val="567"/>
        </w:trPr>
        <w:tc>
          <w:tcPr>
            <w:tcW w:w="4361" w:type="dxa"/>
            <w:vAlign w:val="center"/>
            <w:hideMark/>
          </w:tcPr>
          <w:p w14:paraId="31B6C96C" w14:textId="2380961D"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Organización de las Naciones Unidas para la Educación, la Ciencia y la Cultura (</w:t>
            </w:r>
            <w:r w:rsidR="00C34EA4" w:rsidRPr="004068F6">
              <w:rPr>
                <w:rFonts w:cs="Arial"/>
                <w:spacing w:val="-3"/>
                <w:sz w:val="20"/>
                <w:szCs w:val="20"/>
              </w:rPr>
              <w:t>Unesco</w:t>
            </w:r>
            <w:r w:rsidRPr="004068F6">
              <w:rPr>
                <w:rFonts w:cs="Arial"/>
                <w:spacing w:val="-3"/>
                <w:sz w:val="20"/>
                <w:szCs w:val="20"/>
              </w:rPr>
              <w:t>)</w:t>
            </w:r>
          </w:p>
        </w:tc>
        <w:tc>
          <w:tcPr>
            <w:tcW w:w="5262" w:type="dxa"/>
            <w:vAlign w:val="center"/>
            <w:hideMark/>
          </w:tcPr>
          <w:p w14:paraId="4C59F01A"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https://es.unesco.org/</w:t>
            </w:r>
          </w:p>
        </w:tc>
      </w:tr>
      <w:tr w:rsidR="00C17EC2" w:rsidRPr="004068F6" w14:paraId="6A12ED9C" w14:textId="77777777" w:rsidTr="00C17EC2">
        <w:trPr>
          <w:trHeight w:hRule="exact" w:val="567"/>
        </w:trPr>
        <w:tc>
          <w:tcPr>
            <w:tcW w:w="4361" w:type="dxa"/>
            <w:vAlign w:val="center"/>
          </w:tcPr>
          <w:p w14:paraId="56152C87"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Organización Internacional del Trabajo (OIT)</w:t>
            </w:r>
          </w:p>
        </w:tc>
        <w:tc>
          <w:tcPr>
            <w:tcW w:w="5262" w:type="dxa"/>
            <w:vAlign w:val="center"/>
          </w:tcPr>
          <w:p w14:paraId="055A08DE" w14:textId="77777777" w:rsidR="00C17EC2" w:rsidRPr="004068F6" w:rsidRDefault="00C17EC2">
            <w:pPr>
              <w:numPr>
                <w:ilvl w:val="12"/>
                <w:numId w:val="0"/>
              </w:numPr>
              <w:tabs>
                <w:tab w:val="left" w:pos="-2268"/>
              </w:tabs>
              <w:suppressAutoHyphens/>
              <w:rPr>
                <w:rStyle w:val="Hipervnculo"/>
                <w:rFonts w:cs="Arial"/>
                <w:spacing w:val="-3"/>
                <w:sz w:val="20"/>
                <w:szCs w:val="20"/>
              </w:rPr>
            </w:pPr>
            <w:r w:rsidRPr="004068F6">
              <w:rPr>
                <w:rFonts w:cs="Arial"/>
                <w:sz w:val="20"/>
                <w:szCs w:val="20"/>
              </w:rPr>
              <w:t>https://www.ilo.org/global/lang--es/index.htm</w:t>
            </w:r>
          </w:p>
        </w:tc>
      </w:tr>
      <w:tr w:rsidR="00C17EC2" w:rsidRPr="004068F6" w14:paraId="33AD00CD" w14:textId="77777777" w:rsidTr="00C17EC2">
        <w:trPr>
          <w:trHeight w:hRule="exact" w:val="567"/>
        </w:trPr>
        <w:tc>
          <w:tcPr>
            <w:tcW w:w="4361" w:type="dxa"/>
            <w:vAlign w:val="center"/>
            <w:hideMark/>
          </w:tcPr>
          <w:p w14:paraId="73326604"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Parques Nacionales Naturales de Colombia (PNN)</w:t>
            </w:r>
          </w:p>
        </w:tc>
        <w:tc>
          <w:tcPr>
            <w:tcW w:w="5262" w:type="dxa"/>
            <w:vAlign w:val="center"/>
            <w:hideMark/>
          </w:tcPr>
          <w:p w14:paraId="6F809A51"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https://www.parquesnacionales.gov.co/portal/es/</w:t>
            </w:r>
          </w:p>
        </w:tc>
      </w:tr>
      <w:tr w:rsidR="00C17EC2" w:rsidRPr="00755498" w14:paraId="4A8EC144" w14:textId="77777777" w:rsidTr="00C17EC2">
        <w:trPr>
          <w:trHeight w:hRule="exact" w:val="798"/>
        </w:trPr>
        <w:tc>
          <w:tcPr>
            <w:tcW w:w="4361" w:type="dxa"/>
            <w:vAlign w:val="center"/>
            <w:hideMark/>
          </w:tcPr>
          <w:p w14:paraId="0F047731"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Rapid bioassessment protocols for use in streams and wadeable rivers: periphyton, benthic macroinvertebrates, and fish</w:t>
            </w:r>
          </w:p>
        </w:tc>
        <w:tc>
          <w:tcPr>
            <w:tcW w:w="5262" w:type="dxa"/>
            <w:vAlign w:val="center"/>
            <w:hideMark/>
          </w:tcPr>
          <w:p w14:paraId="395D478D" w14:textId="77777777" w:rsidR="00C17EC2" w:rsidRPr="006C00FC" w:rsidRDefault="00C17EC2">
            <w:pPr>
              <w:numPr>
                <w:ilvl w:val="12"/>
                <w:numId w:val="0"/>
              </w:numPr>
              <w:tabs>
                <w:tab w:val="left" w:pos="-2268"/>
              </w:tabs>
              <w:suppressAutoHyphens/>
              <w:rPr>
                <w:rFonts w:cs="Arial"/>
                <w:spacing w:val="-3"/>
                <w:sz w:val="20"/>
                <w:szCs w:val="20"/>
                <w:u w:val="single"/>
                <w:lang w:val="en-US"/>
              </w:rPr>
            </w:pPr>
            <w:r w:rsidRPr="006C00FC">
              <w:rPr>
                <w:rFonts w:cs="Arial"/>
                <w:sz w:val="20"/>
                <w:szCs w:val="20"/>
                <w:lang w:val="en-US"/>
              </w:rPr>
              <w:t>https://www.epa.gov/wqc/rapid-bioassessment-protocols-use-streams-and-wadeable-rivers-periphyton-benthic</w:t>
            </w:r>
          </w:p>
        </w:tc>
      </w:tr>
      <w:tr w:rsidR="00C17EC2" w:rsidRPr="004068F6" w14:paraId="01CF8CF1" w14:textId="77777777" w:rsidTr="00C17EC2">
        <w:trPr>
          <w:trHeight w:hRule="exact" w:val="567"/>
        </w:trPr>
        <w:tc>
          <w:tcPr>
            <w:tcW w:w="4361" w:type="dxa"/>
            <w:vAlign w:val="center"/>
            <w:hideMark/>
          </w:tcPr>
          <w:p w14:paraId="61992DC2"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Red de datos e información oceanográfica</w:t>
            </w:r>
          </w:p>
        </w:tc>
        <w:tc>
          <w:tcPr>
            <w:tcW w:w="5262" w:type="dxa"/>
            <w:vAlign w:val="center"/>
            <w:hideMark/>
          </w:tcPr>
          <w:p w14:paraId="4C7D666F"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http://odincarsa.iode.org/</w:t>
            </w:r>
          </w:p>
        </w:tc>
      </w:tr>
      <w:tr w:rsidR="00C17EC2" w:rsidRPr="004068F6" w14:paraId="55D16CED" w14:textId="77777777" w:rsidTr="00C17EC2">
        <w:trPr>
          <w:trHeight w:hRule="exact" w:val="567"/>
        </w:trPr>
        <w:tc>
          <w:tcPr>
            <w:tcW w:w="4361" w:type="dxa"/>
            <w:vAlign w:val="center"/>
            <w:hideMark/>
          </w:tcPr>
          <w:p w14:paraId="125E9A26"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Servicio Geológico Colombiano (SGC)</w:t>
            </w:r>
          </w:p>
        </w:tc>
        <w:tc>
          <w:tcPr>
            <w:tcW w:w="5262" w:type="dxa"/>
            <w:vAlign w:val="center"/>
            <w:hideMark/>
          </w:tcPr>
          <w:p w14:paraId="524C57CE"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https://www.sgc.gov.co/</w:t>
            </w:r>
          </w:p>
        </w:tc>
      </w:tr>
      <w:tr w:rsidR="00C17EC2" w:rsidRPr="004068F6" w14:paraId="77AF9A4F" w14:textId="77777777" w:rsidTr="00C17EC2">
        <w:trPr>
          <w:trHeight w:hRule="exact" w:val="567"/>
        </w:trPr>
        <w:tc>
          <w:tcPr>
            <w:tcW w:w="4361" w:type="dxa"/>
            <w:vAlign w:val="center"/>
            <w:hideMark/>
          </w:tcPr>
          <w:p w14:paraId="5E4C99EF"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Sistema de información ambiental marina</w:t>
            </w:r>
          </w:p>
        </w:tc>
        <w:tc>
          <w:tcPr>
            <w:tcW w:w="5262" w:type="dxa"/>
            <w:vAlign w:val="center"/>
            <w:hideMark/>
          </w:tcPr>
          <w:p w14:paraId="3BBA5DDC"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https://siam.invemar.org.co/</w:t>
            </w:r>
          </w:p>
        </w:tc>
      </w:tr>
      <w:tr w:rsidR="00C17EC2" w:rsidRPr="004068F6" w14:paraId="7C72B830" w14:textId="77777777" w:rsidTr="00C17EC2">
        <w:trPr>
          <w:trHeight w:hRule="exact" w:val="567"/>
        </w:trPr>
        <w:tc>
          <w:tcPr>
            <w:tcW w:w="4361" w:type="dxa"/>
            <w:vAlign w:val="center"/>
            <w:hideMark/>
          </w:tcPr>
          <w:p w14:paraId="26BFBD4A"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Sistema de Información Ambiental para Colombia (SIAC)</w:t>
            </w:r>
          </w:p>
        </w:tc>
        <w:tc>
          <w:tcPr>
            <w:tcW w:w="5262" w:type="dxa"/>
            <w:vAlign w:val="center"/>
            <w:hideMark/>
          </w:tcPr>
          <w:p w14:paraId="24CD8BA3"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http://www.siac.gov.co/</w:t>
            </w:r>
          </w:p>
        </w:tc>
      </w:tr>
      <w:tr w:rsidR="00C17EC2" w:rsidRPr="004068F6" w14:paraId="728CF43B" w14:textId="77777777" w:rsidTr="00C17EC2">
        <w:trPr>
          <w:trHeight w:hRule="exact" w:val="567"/>
        </w:trPr>
        <w:tc>
          <w:tcPr>
            <w:tcW w:w="4361" w:type="dxa"/>
            <w:vAlign w:val="center"/>
            <w:hideMark/>
          </w:tcPr>
          <w:p w14:paraId="581110AF"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Sistema de información de alertas tempranas</w:t>
            </w:r>
          </w:p>
        </w:tc>
        <w:tc>
          <w:tcPr>
            <w:tcW w:w="5262" w:type="dxa"/>
            <w:vAlign w:val="center"/>
            <w:hideMark/>
          </w:tcPr>
          <w:p w14:paraId="21B9DE2C"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http://www.tremarctoscolombia.org/</w:t>
            </w:r>
          </w:p>
        </w:tc>
      </w:tr>
      <w:tr w:rsidR="00C17EC2" w:rsidRPr="004068F6" w14:paraId="35DE9A47" w14:textId="77777777" w:rsidTr="00C17EC2">
        <w:trPr>
          <w:trHeight w:hRule="exact" w:val="567"/>
        </w:trPr>
        <w:tc>
          <w:tcPr>
            <w:tcW w:w="4361" w:type="dxa"/>
            <w:vAlign w:val="center"/>
            <w:hideMark/>
          </w:tcPr>
          <w:p w14:paraId="248268C2" w14:textId="14F6F8D9"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Sistema de Información Geográfica para el Ordenamiento Territorial Nacional (</w:t>
            </w:r>
            <w:r w:rsidR="00C34EA4" w:rsidRPr="004068F6">
              <w:rPr>
                <w:rFonts w:cs="Arial"/>
                <w:spacing w:val="-3"/>
                <w:sz w:val="20"/>
                <w:szCs w:val="20"/>
              </w:rPr>
              <w:t>Sigot</w:t>
            </w:r>
            <w:r w:rsidRPr="004068F6">
              <w:rPr>
                <w:rFonts w:cs="Arial"/>
                <w:spacing w:val="-3"/>
                <w:sz w:val="20"/>
                <w:szCs w:val="20"/>
              </w:rPr>
              <w:t>)</w:t>
            </w:r>
          </w:p>
        </w:tc>
        <w:tc>
          <w:tcPr>
            <w:tcW w:w="5262" w:type="dxa"/>
            <w:vAlign w:val="center"/>
            <w:hideMark/>
          </w:tcPr>
          <w:p w14:paraId="39F98E8D"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https://sigot.igac.gov.co/</w:t>
            </w:r>
          </w:p>
        </w:tc>
      </w:tr>
      <w:tr w:rsidR="00C17EC2" w:rsidRPr="004068F6" w14:paraId="2AB519DB" w14:textId="77777777" w:rsidTr="00C17EC2">
        <w:trPr>
          <w:trHeight w:hRule="exact" w:val="567"/>
        </w:trPr>
        <w:tc>
          <w:tcPr>
            <w:tcW w:w="4361" w:type="dxa"/>
            <w:vAlign w:val="center"/>
            <w:hideMark/>
          </w:tcPr>
          <w:p w14:paraId="37D17494"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lastRenderedPageBreak/>
              <w:t>Sistema de información sobre Biodiversidad de Colombia (SiB Colombia)</w:t>
            </w:r>
          </w:p>
        </w:tc>
        <w:tc>
          <w:tcPr>
            <w:tcW w:w="5262" w:type="dxa"/>
            <w:vAlign w:val="center"/>
            <w:hideMark/>
          </w:tcPr>
          <w:p w14:paraId="797222FC" w14:textId="51E49E62" w:rsidR="00C17EC2" w:rsidRPr="004068F6" w:rsidRDefault="00967B2E">
            <w:pPr>
              <w:numPr>
                <w:ilvl w:val="12"/>
                <w:numId w:val="0"/>
              </w:numPr>
              <w:tabs>
                <w:tab w:val="left" w:pos="-2268"/>
              </w:tabs>
              <w:suppressAutoHyphens/>
              <w:rPr>
                <w:rFonts w:cs="Arial"/>
                <w:spacing w:val="-3"/>
                <w:sz w:val="20"/>
                <w:szCs w:val="20"/>
                <w:u w:val="single"/>
              </w:rPr>
            </w:pPr>
            <w:r w:rsidRPr="004068F6">
              <w:rPr>
                <w:rFonts w:cs="Arial"/>
                <w:sz w:val="20"/>
                <w:szCs w:val="20"/>
              </w:rPr>
              <w:t>https://biodiversidad.co/</w:t>
            </w:r>
          </w:p>
        </w:tc>
      </w:tr>
      <w:tr w:rsidR="00C17EC2" w:rsidRPr="004068F6" w14:paraId="72FAEFB2" w14:textId="77777777" w:rsidTr="00C17EC2">
        <w:trPr>
          <w:trHeight w:hRule="exact" w:val="567"/>
        </w:trPr>
        <w:tc>
          <w:tcPr>
            <w:tcW w:w="4361" w:type="dxa"/>
            <w:vAlign w:val="center"/>
            <w:hideMark/>
          </w:tcPr>
          <w:p w14:paraId="00ADA73A"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Sistema Nacional de Información para la Gestión del Riesgo de Desastres</w:t>
            </w:r>
          </w:p>
        </w:tc>
        <w:tc>
          <w:tcPr>
            <w:tcW w:w="5262" w:type="dxa"/>
            <w:vAlign w:val="center"/>
            <w:hideMark/>
          </w:tcPr>
          <w:p w14:paraId="20F5062F"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http://www.gestiondelriesgo.gov.co/index.aspx</w:t>
            </w:r>
          </w:p>
        </w:tc>
      </w:tr>
      <w:tr w:rsidR="00C17EC2" w:rsidRPr="004068F6" w14:paraId="5BD81905" w14:textId="77777777" w:rsidTr="00C17EC2">
        <w:trPr>
          <w:trHeight w:hRule="exact" w:val="567"/>
        </w:trPr>
        <w:tc>
          <w:tcPr>
            <w:tcW w:w="4361" w:type="dxa"/>
            <w:vAlign w:val="center"/>
            <w:hideMark/>
          </w:tcPr>
          <w:p w14:paraId="1FCA74F7"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Sistema para el análisis geográfico de información en el licenciamiento ambiental</w:t>
            </w:r>
          </w:p>
        </w:tc>
        <w:tc>
          <w:tcPr>
            <w:tcW w:w="5262" w:type="dxa"/>
            <w:vAlign w:val="center"/>
            <w:hideMark/>
          </w:tcPr>
          <w:p w14:paraId="34F5FC2D"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http://sig.anla.gov.co/index.aspx</w:t>
            </w:r>
          </w:p>
        </w:tc>
      </w:tr>
      <w:tr w:rsidR="00C17EC2" w:rsidRPr="004068F6" w14:paraId="25D0C254" w14:textId="77777777" w:rsidTr="00C17EC2">
        <w:trPr>
          <w:trHeight w:hRule="exact" w:val="567"/>
        </w:trPr>
        <w:tc>
          <w:tcPr>
            <w:tcW w:w="4361" w:type="dxa"/>
            <w:vAlign w:val="center"/>
            <w:hideMark/>
          </w:tcPr>
          <w:p w14:paraId="0C44CA62" w14:textId="1887122C" w:rsidR="00C17EC2" w:rsidRPr="00C34EA4" w:rsidRDefault="00C17EC2">
            <w:pPr>
              <w:numPr>
                <w:ilvl w:val="12"/>
                <w:numId w:val="0"/>
              </w:numPr>
              <w:tabs>
                <w:tab w:val="left" w:pos="-2268"/>
              </w:tabs>
              <w:suppressAutoHyphens/>
              <w:rPr>
                <w:rFonts w:cs="Arial"/>
                <w:spacing w:val="-3"/>
                <w:sz w:val="20"/>
                <w:szCs w:val="20"/>
                <w:lang w:val="en-US"/>
              </w:rPr>
            </w:pPr>
            <w:r w:rsidRPr="00C34EA4">
              <w:rPr>
                <w:rFonts w:cs="Arial"/>
                <w:spacing w:val="-3"/>
                <w:sz w:val="20"/>
                <w:szCs w:val="20"/>
                <w:lang w:val="en-US"/>
              </w:rPr>
              <w:t>Society of Environmental Toxicology and Chemistry (</w:t>
            </w:r>
            <w:r w:rsidR="00C34EA4" w:rsidRPr="00127BD4">
              <w:rPr>
                <w:rFonts w:cs="Arial"/>
                <w:spacing w:val="-3"/>
                <w:sz w:val="20"/>
                <w:szCs w:val="20"/>
                <w:lang w:val="en-US"/>
              </w:rPr>
              <w:t>Setac</w:t>
            </w:r>
            <w:r w:rsidRPr="00C34EA4">
              <w:rPr>
                <w:rFonts w:cs="Arial"/>
                <w:spacing w:val="-3"/>
                <w:sz w:val="20"/>
                <w:szCs w:val="20"/>
                <w:lang w:val="en-US"/>
              </w:rPr>
              <w:t>)</w:t>
            </w:r>
          </w:p>
        </w:tc>
        <w:tc>
          <w:tcPr>
            <w:tcW w:w="5262" w:type="dxa"/>
            <w:vAlign w:val="center"/>
            <w:hideMark/>
          </w:tcPr>
          <w:p w14:paraId="4614C4DA"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https://www.setac.org/</w:t>
            </w:r>
          </w:p>
        </w:tc>
      </w:tr>
      <w:tr w:rsidR="00C17EC2" w:rsidRPr="004068F6" w14:paraId="2B31B9EC" w14:textId="77777777" w:rsidTr="00C17EC2">
        <w:trPr>
          <w:trHeight w:hRule="exact" w:val="567"/>
        </w:trPr>
        <w:tc>
          <w:tcPr>
            <w:tcW w:w="4361" w:type="dxa"/>
            <w:vAlign w:val="center"/>
            <w:hideMark/>
          </w:tcPr>
          <w:p w14:paraId="54BBCFE7" w14:textId="360789BD"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Subsistema de Información Sobre Calidad del Aire (</w:t>
            </w:r>
            <w:r w:rsidR="00C34EA4" w:rsidRPr="004068F6">
              <w:rPr>
                <w:rFonts w:cs="Arial"/>
                <w:spacing w:val="-3"/>
                <w:sz w:val="20"/>
                <w:szCs w:val="20"/>
              </w:rPr>
              <w:t>Sisaire</w:t>
            </w:r>
            <w:r w:rsidRPr="004068F6">
              <w:rPr>
                <w:rFonts w:cs="Arial"/>
                <w:spacing w:val="-3"/>
                <w:sz w:val="20"/>
                <w:szCs w:val="20"/>
              </w:rPr>
              <w:t>)</w:t>
            </w:r>
          </w:p>
        </w:tc>
        <w:tc>
          <w:tcPr>
            <w:tcW w:w="5262" w:type="dxa"/>
            <w:vAlign w:val="center"/>
            <w:hideMark/>
          </w:tcPr>
          <w:p w14:paraId="4423C462"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http://sisaire.ideam.gov.co/ideam-sisaire-web/</w:t>
            </w:r>
          </w:p>
        </w:tc>
      </w:tr>
      <w:tr w:rsidR="00C17EC2" w:rsidRPr="004068F6" w14:paraId="5F467D47" w14:textId="77777777" w:rsidTr="00C17EC2">
        <w:trPr>
          <w:trHeight w:hRule="exact" w:val="567"/>
        </w:trPr>
        <w:tc>
          <w:tcPr>
            <w:tcW w:w="4361" w:type="dxa"/>
            <w:vAlign w:val="center"/>
            <w:hideMark/>
          </w:tcPr>
          <w:p w14:paraId="2DB64FCD"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Superintendencia de transporte</w:t>
            </w:r>
          </w:p>
        </w:tc>
        <w:tc>
          <w:tcPr>
            <w:tcW w:w="5262" w:type="dxa"/>
            <w:vAlign w:val="center"/>
            <w:hideMark/>
          </w:tcPr>
          <w:p w14:paraId="462046BC"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https://www.supertransporte.gov.co/</w:t>
            </w:r>
          </w:p>
        </w:tc>
      </w:tr>
      <w:tr w:rsidR="00C17EC2" w:rsidRPr="004068F6" w14:paraId="2C801106" w14:textId="77777777" w:rsidTr="00C17EC2">
        <w:trPr>
          <w:trHeight w:hRule="exact" w:val="567"/>
        </w:trPr>
        <w:tc>
          <w:tcPr>
            <w:tcW w:w="4361" w:type="dxa"/>
            <w:vAlign w:val="center"/>
            <w:hideMark/>
          </w:tcPr>
          <w:p w14:paraId="2E40E49C"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The extension toxicology network</w:t>
            </w:r>
          </w:p>
        </w:tc>
        <w:tc>
          <w:tcPr>
            <w:tcW w:w="5262" w:type="dxa"/>
            <w:vAlign w:val="center"/>
            <w:hideMark/>
          </w:tcPr>
          <w:p w14:paraId="0A8F0A05"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http://extoxnet.orst.edu/</w:t>
            </w:r>
          </w:p>
        </w:tc>
      </w:tr>
      <w:tr w:rsidR="00C17EC2" w:rsidRPr="004068F6" w14:paraId="1A236283" w14:textId="77777777" w:rsidTr="00C17EC2">
        <w:trPr>
          <w:trHeight w:hRule="exact" w:val="567"/>
        </w:trPr>
        <w:tc>
          <w:tcPr>
            <w:tcW w:w="4361" w:type="dxa"/>
            <w:vAlign w:val="center"/>
            <w:hideMark/>
          </w:tcPr>
          <w:p w14:paraId="4819D74A"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The international union for conservation of nature’s red list of threatened species</w:t>
            </w:r>
          </w:p>
        </w:tc>
        <w:tc>
          <w:tcPr>
            <w:tcW w:w="5262" w:type="dxa"/>
            <w:vAlign w:val="center"/>
            <w:hideMark/>
          </w:tcPr>
          <w:p w14:paraId="22650FFF"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https://www.iucnredlist.org/</w:t>
            </w:r>
          </w:p>
        </w:tc>
      </w:tr>
      <w:tr w:rsidR="00C17EC2" w:rsidRPr="004068F6" w14:paraId="01FA43C5" w14:textId="77777777" w:rsidTr="00C17EC2">
        <w:trPr>
          <w:trHeight w:hRule="exact" w:val="567"/>
        </w:trPr>
        <w:tc>
          <w:tcPr>
            <w:tcW w:w="4361" w:type="dxa"/>
            <w:vAlign w:val="center"/>
          </w:tcPr>
          <w:p w14:paraId="5A86E9E5"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The IUCN Red List of threaetened species</w:t>
            </w:r>
          </w:p>
        </w:tc>
        <w:tc>
          <w:tcPr>
            <w:tcW w:w="5262" w:type="dxa"/>
            <w:vAlign w:val="center"/>
          </w:tcPr>
          <w:p w14:paraId="04C7D9C6" w14:textId="3CCB4B81" w:rsidR="00C17EC2" w:rsidRPr="00127BD4" w:rsidDel="00A33D9C" w:rsidRDefault="00C17EC2">
            <w:pPr>
              <w:numPr>
                <w:ilvl w:val="12"/>
                <w:numId w:val="0"/>
              </w:numPr>
              <w:tabs>
                <w:tab w:val="left" w:pos="-2268"/>
                <w:tab w:val="center" w:pos="4419"/>
                <w:tab w:val="right" w:pos="8838"/>
              </w:tabs>
              <w:suppressAutoHyphens/>
              <w:rPr>
                <w:rFonts w:cs="Arial"/>
                <w:spacing w:val="-3"/>
                <w:sz w:val="20"/>
                <w:szCs w:val="20"/>
              </w:rPr>
            </w:pPr>
            <w:hyperlink r:id="rId26" w:history="1">
              <w:r w:rsidRPr="00127BD4">
                <w:rPr>
                  <w:rFonts w:cs="Arial"/>
                  <w:spacing w:val="-3"/>
                  <w:sz w:val="20"/>
                  <w:szCs w:val="20"/>
                </w:rPr>
                <w:t>https://www.iucnredlist.org/</w:t>
              </w:r>
            </w:hyperlink>
          </w:p>
        </w:tc>
      </w:tr>
      <w:tr w:rsidR="00C17EC2" w:rsidRPr="004068F6" w14:paraId="0ED5D248" w14:textId="77777777" w:rsidTr="00C17EC2">
        <w:trPr>
          <w:trHeight w:hRule="exact" w:val="567"/>
        </w:trPr>
        <w:tc>
          <w:tcPr>
            <w:tcW w:w="4361" w:type="dxa"/>
            <w:vAlign w:val="center"/>
          </w:tcPr>
          <w:p w14:paraId="790690F0"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The Plant List. A working list of all plant species</w:t>
            </w:r>
          </w:p>
        </w:tc>
        <w:tc>
          <w:tcPr>
            <w:tcW w:w="5262" w:type="dxa"/>
            <w:vAlign w:val="center"/>
          </w:tcPr>
          <w:p w14:paraId="0BF3461F" w14:textId="011721AF" w:rsidR="00C17EC2" w:rsidRPr="00127BD4" w:rsidDel="00A33D9C" w:rsidRDefault="00C17EC2">
            <w:pPr>
              <w:numPr>
                <w:ilvl w:val="12"/>
                <w:numId w:val="0"/>
              </w:numPr>
              <w:tabs>
                <w:tab w:val="left" w:pos="-2268"/>
              </w:tabs>
              <w:suppressAutoHyphens/>
              <w:rPr>
                <w:rFonts w:cs="Arial"/>
                <w:spacing w:val="-3"/>
                <w:sz w:val="20"/>
                <w:szCs w:val="20"/>
              </w:rPr>
            </w:pPr>
            <w:hyperlink r:id="rId27" w:history="1">
              <w:r w:rsidRPr="00127BD4">
                <w:rPr>
                  <w:rFonts w:cs="Arial"/>
                  <w:spacing w:val="-3"/>
                  <w:sz w:val="20"/>
                  <w:szCs w:val="20"/>
                </w:rPr>
                <w:t>http://www.theplantlist.org/</w:t>
              </w:r>
            </w:hyperlink>
          </w:p>
        </w:tc>
      </w:tr>
      <w:tr w:rsidR="00C17EC2" w:rsidRPr="004068F6" w14:paraId="494D0484" w14:textId="77777777" w:rsidTr="00C17EC2">
        <w:trPr>
          <w:trHeight w:hRule="exact" w:val="567"/>
        </w:trPr>
        <w:tc>
          <w:tcPr>
            <w:tcW w:w="4361" w:type="dxa"/>
            <w:vAlign w:val="center"/>
            <w:hideMark/>
          </w:tcPr>
          <w:p w14:paraId="3BF0BE6B"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The reptile database</w:t>
            </w:r>
          </w:p>
        </w:tc>
        <w:tc>
          <w:tcPr>
            <w:tcW w:w="5262" w:type="dxa"/>
            <w:vAlign w:val="center"/>
            <w:hideMark/>
          </w:tcPr>
          <w:p w14:paraId="1DC5D36F"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http://www.reptile-database.org/</w:t>
            </w:r>
          </w:p>
        </w:tc>
      </w:tr>
      <w:tr w:rsidR="00C17EC2" w:rsidRPr="004068F6" w14:paraId="36D9987D" w14:textId="77777777" w:rsidTr="00C17EC2">
        <w:trPr>
          <w:trHeight w:hRule="exact" w:val="567"/>
        </w:trPr>
        <w:tc>
          <w:tcPr>
            <w:tcW w:w="4361" w:type="dxa"/>
            <w:vAlign w:val="center"/>
            <w:hideMark/>
          </w:tcPr>
          <w:p w14:paraId="2AB328D3"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The Smithsonian institution</w:t>
            </w:r>
          </w:p>
        </w:tc>
        <w:tc>
          <w:tcPr>
            <w:tcW w:w="5262" w:type="dxa"/>
            <w:vAlign w:val="center"/>
            <w:hideMark/>
          </w:tcPr>
          <w:p w14:paraId="3631FD92"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https://www.si.edu/</w:t>
            </w:r>
          </w:p>
        </w:tc>
      </w:tr>
      <w:tr w:rsidR="00C17EC2" w:rsidRPr="004068F6" w14:paraId="1998982D" w14:textId="77777777" w:rsidTr="00C17EC2">
        <w:trPr>
          <w:trHeight w:hRule="exact" w:val="567"/>
        </w:trPr>
        <w:tc>
          <w:tcPr>
            <w:tcW w:w="4361" w:type="dxa"/>
            <w:vAlign w:val="center"/>
          </w:tcPr>
          <w:p w14:paraId="54BBD411" w14:textId="77777777" w:rsidR="00C17EC2" w:rsidRPr="004068F6" w:rsidRDefault="00C17EC2">
            <w:pPr>
              <w:rPr>
                <w:rFonts w:cs="Arial"/>
                <w:spacing w:val="-3"/>
                <w:sz w:val="20"/>
                <w:szCs w:val="20"/>
              </w:rPr>
            </w:pPr>
            <w:r w:rsidRPr="004068F6">
              <w:rPr>
                <w:rFonts w:cs="Arial"/>
                <w:spacing w:val="-3"/>
                <w:sz w:val="20"/>
                <w:szCs w:val="20"/>
              </w:rPr>
              <w:t>Unidad de Planeación de Infraestructura de Transporte (UPIT)</w:t>
            </w:r>
          </w:p>
        </w:tc>
        <w:tc>
          <w:tcPr>
            <w:tcW w:w="5262" w:type="dxa"/>
            <w:vAlign w:val="center"/>
          </w:tcPr>
          <w:p w14:paraId="44C37627" w14:textId="77777777" w:rsidR="00C17EC2" w:rsidRPr="004068F6" w:rsidRDefault="00C17EC2">
            <w:pPr>
              <w:rPr>
                <w:rFonts w:cs="Arial"/>
                <w:spacing w:val="-3"/>
                <w:sz w:val="20"/>
                <w:szCs w:val="20"/>
              </w:rPr>
            </w:pPr>
            <w:r w:rsidRPr="004068F6">
              <w:rPr>
                <w:rFonts w:cs="Arial"/>
                <w:spacing w:val="-3"/>
                <w:sz w:val="20"/>
                <w:szCs w:val="20"/>
              </w:rPr>
              <w:t>https://mintransporte.gov.co/publicaciones/10786/unidad-de-planeacion-de-infraestructura-de-transporte/</w:t>
            </w:r>
          </w:p>
        </w:tc>
      </w:tr>
      <w:tr w:rsidR="00C17EC2" w:rsidRPr="004068F6" w14:paraId="37CDC1BE" w14:textId="77777777" w:rsidTr="00C17EC2">
        <w:trPr>
          <w:trHeight w:hRule="exact" w:val="567"/>
        </w:trPr>
        <w:tc>
          <w:tcPr>
            <w:tcW w:w="4361" w:type="dxa"/>
            <w:vAlign w:val="center"/>
            <w:hideMark/>
          </w:tcPr>
          <w:p w14:paraId="0E12C04E"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Unidad de Planeación Minero Energética (UPME)</w:t>
            </w:r>
          </w:p>
        </w:tc>
        <w:tc>
          <w:tcPr>
            <w:tcW w:w="5262" w:type="dxa"/>
            <w:vAlign w:val="center"/>
            <w:hideMark/>
          </w:tcPr>
          <w:p w14:paraId="00682E88"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https://www1.upme.gov.co/</w:t>
            </w:r>
          </w:p>
        </w:tc>
      </w:tr>
      <w:tr w:rsidR="00C17EC2" w:rsidRPr="004068F6" w14:paraId="73C27085" w14:textId="77777777" w:rsidTr="00C17EC2">
        <w:trPr>
          <w:trHeight w:hRule="exact" w:val="567"/>
        </w:trPr>
        <w:tc>
          <w:tcPr>
            <w:tcW w:w="4361" w:type="dxa"/>
            <w:vAlign w:val="center"/>
          </w:tcPr>
          <w:p w14:paraId="6B8E618D" w14:textId="77777777" w:rsidR="00C17EC2" w:rsidRPr="004068F6" w:rsidRDefault="00C17EC2">
            <w:pPr>
              <w:rPr>
                <w:rFonts w:cs="Arial"/>
                <w:spacing w:val="-3"/>
                <w:sz w:val="20"/>
                <w:szCs w:val="20"/>
              </w:rPr>
            </w:pPr>
            <w:r w:rsidRPr="004068F6">
              <w:rPr>
                <w:rFonts w:cs="Arial"/>
                <w:spacing w:val="-3"/>
                <w:sz w:val="20"/>
                <w:szCs w:val="20"/>
              </w:rPr>
              <w:t>Unidad Nacional para la Gestión del Riesgo de Desastres</w:t>
            </w:r>
          </w:p>
        </w:tc>
        <w:tc>
          <w:tcPr>
            <w:tcW w:w="5262" w:type="dxa"/>
            <w:vAlign w:val="center"/>
          </w:tcPr>
          <w:p w14:paraId="50414A0B" w14:textId="77777777" w:rsidR="00C17EC2" w:rsidRPr="004068F6" w:rsidDel="00A33D9C" w:rsidRDefault="00C17EC2">
            <w:pPr>
              <w:rPr>
                <w:rFonts w:cs="Arial"/>
                <w:spacing w:val="-3"/>
                <w:sz w:val="20"/>
                <w:szCs w:val="20"/>
              </w:rPr>
            </w:pPr>
            <w:r w:rsidRPr="004068F6">
              <w:rPr>
                <w:rFonts w:cs="Arial"/>
                <w:spacing w:val="-3"/>
                <w:sz w:val="20"/>
                <w:szCs w:val="20"/>
              </w:rPr>
              <w:t>https://portal.gestiondelriesgo.gov.co/</w:t>
            </w:r>
          </w:p>
        </w:tc>
      </w:tr>
      <w:tr w:rsidR="00C17EC2" w:rsidRPr="004068F6" w14:paraId="273D7C44" w14:textId="77777777" w:rsidTr="00C17EC2">
        <w:trPr>
          <w:trHeight w:hRule="exact" w:val="567"/>
        </w:trPr>
        <w:tc>
          <w:tcPr>
            <w:tcW w:w="4361" w:type="dxa"/>
            <w:vAlign w:val="center"/>
            <w:hideMark/>
          </w:tcPr>
          <w:p w14:paraId="05638712" w14:textId="77777777" w:rsidR="00C17EC2" w:rsidRPr="006C00FC" w:rsidRDefault="00C17EC2">
            <w:pPr>
              <w:numPr>
                <w:ilvl w:val="12"/>
                <w:numId w:val="0"/>
              </w:numPr>
              <w:tabs>
                <w:tab w:val="left" w:pos="-2268"/>
              </w:tabs>
              <w:suppressAutoHyphens/>
              <w:rPr>
                <w:rFonts w:cs="Arial"/>
                <w:spacing w:val="-3"/>
                <w:sz w:val="20"/>
                <w:szCs w:val="20"/>
                <w:lang w:val="en-US"/>
              </w:rPr>
            </w:pPr>
            <w:r w:rsidRPr="006C00FC">
              <w:rPr>
                <w:rFonts w:cs="Arial"/>
                <w:spacing w:val="-3"/>
                <w:sz w:val="20"/>
                <w:szCs w:val="20"/>
                <w:lang w:val="en-US"/>
              </w:rPr>
              <w:t>United States Environmental Protection Agency (EPA)</w:t>
            </w:r>
          </w:p>
        </w:tc>
        <w:tc>
          <w:tcPr>
            <w:tcW w:w="5262" w:type="dxa"/>
            <w:vAlign w:val="center"/>
            <w:hideMark/>
          </w:tcPr>
          <w:p w14:paraId="56416E9E"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https://www.epa.gov/</w:t>
            </w:r>
          </w:p>
        </w:tc>
      </w:tr>
      <w:tr w:rsidR="00C17EC2" w:rsidRPr="004068F6" w14:paraId="0E9F4329" w14:textId="77777777" w:rsidTr="00C17EC2">
        <w:trPr>
          <w:trHeight w:hRule="exact" w:val="567"/>
        </w:trPr>
        <w:tc>
          <w:tcPr>
            <w:tcW w:w="4361" w:type="dxa"/>
            <w:vAlign w:val="center"/>
            <w:hideMark/>
          </w:tcPr>
          <w:p w14:paraId="7CD50083" w14:textId="77777777"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United States Geological Survey</w:t>
            </w:r>
          </w:p>
        </w:tc>
        <w:tc>
          <w:tcPr>
            <w:tcW w:w="5262" w:type="dxa"/>
            <w:vAlign w:val="center"/>
            <w:hideMark/>
          </w:tcPr>
          <w:p w14:paraId="12818A31"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https://pubs.er.usgs.gov/</w:t>
            </w:r>
            <w:r w:rsidRPr="004068F6">
              <w:rPr>
                <w:rFonts w:cs="Arial"/>
                <w:spacing w:val="-3"/>
                <w:sz w:val="20"/>
                <w:szCs w:val="20"/>
              </w:rPr>
              <w:t xml:space="preserve">; </w:t>
            </w:r>
            <w:r w:rsidRPr="004068F6">
              <w:rPr>
                <w:rFonts w:cs="Arial"/>
                <w:sz w:val="20"/>
                <w:szCs w:val="20"/>
              </w:rPr>
              <w:t>https://search.usgs.gov/</w:t>
            </w:r>
            <w:r w:rsidRPr="004068F6">
              <w:rPr>
                <w:rFonts w:cs="Arial"/>
                <w:spacing w:val="-3"/>
                <w:sz w:val="20"/>
                <w:szCs w:val="20"/>
              </w:rPr>
              <w:t xml:space="preserve">; </w:t>
            </w:r>
            <w:r w:rsidRPr="004068F6">
              <w:rPr>
                <w:rFonts w:cs="Arial"/>
                <w:sz w:val="20"/>
                <w:szCs w:val="20"/>
              </w:rPr>
              <w:t>https://www.usgs.gov/mission-areas/water-resources</w:t>
            </w:r>
          </w:p>
        </w:tc>
      </w:tr>
      <w:tr w:rsidR="00C17EC2" w:rsidRPr="004068F6" w14:paraId="63391131" w14:textId="77777777" w:rsidTr="00C17EC2">
        <w:trPr>
          <w:trHeight w:hRule="exact" w:val="567"/>
        </w:trPr>
        <w:tc>
          <w:tcPr>
            <w:tcW w:w="4361" w:type="dxa"/>
            <w:vAlign w:val="center"/>
            <w:hideMark/>
          </w:tcPr>
          <w:p w14:paraId="0EE028B4" w14:textId="701ECD05" w:rsidR="00C17EC2" w:rsidRPr="004068F6" w:rsidRDefault="00C17EC2">
            <w:pPr>
              <w:numPr>
                <w:ilvl w:val="12"/>
                <w:numId w:val="0"/>
              </w:numPr>
              <w:tabs>
                <w:tab w:val="left" w:pos="-2268"/>
              </w:tabs>
              <w:suppressAutoHyphens/>
              <w:rPr>
                <w:rFonts w:cs="Arial"/>
                <w:spacing w:val="-3"/>
                <w:sz w:val="20"/>
                <w:szCs w:val="20"/>
              </w:rPr>
            </w:pPr>
            <w:r w:rsidRPr="004068F6">
              <w:rPr>
                <w:rFonts w:cs="Arial"/>
                <w:spacing w:val="-3"/>
                <w:sz w:val="20"/>
                <w:szCs w:val="20"/>
              </w:rPr>
              <w:t>Ventanilla Integral de Trámites Ambientales en Línea (</w:t>
            </w:r>
            <w:r w:rsidR="00C34EA4" w:rsidRPr="004068F6">
              <w:rPr>
                <w:rFonts w:cs="Arial"/>
                <w:spacing w:val="-3"/>
                <w:sz w:val="20"/>
                <w:szCs w:val="20"/>
              </w:rPr>
              <w:t>Vital</w:t>
            </w:r>
            <w:r w:rsidRPr="004068F6">
              <w:rPr>
                <w:rFonts w:cs="Arial"/>
                <w:spacing w:val="-3"/>
                <w:sz w:val="20"/>
                <w:szCs w:val="20"/>
              </w:rPr>
              <w:t>)</w:t>
            </w:r>
          </w:p>
        </w:tc>
        <w:tc>
          <w:tcPr>
            <w:tcW w:w="5262" w:type="dxa"/>
            <w:vAlign w:val="center"/>
            <w:hideMark/>
          </w:tcPr>
          <w:p w14:paraId="48864CB2" w14:textId="77777777" w:rsidR="00C17EC2" w:rsidRPr="004068F6" w:rsidRDefault="00C17EC2">
            <w:pPr>
              <w:numPr>
                <w:ilvl w:val="12"/>
                <w:numId w:val="0"/>
              </w:numPr>
              <w:tabs>
                <w:tab w:val="left" w:pos="-2268"/>
              </w:tabs>
              <w:suppressAutoHyphens/>
              <w:rPr>
                <w:rFonts w:cs="Arial"/>
                <w:spacing w:val="-3"/>
                <w:sz w:val="20"/>
                <w:szCs w:val="20"/>
                <w:u w:val="single"/>
              </w:rPr>
            </w:pPr>
            <w:r w:rsidRPr="004068F6">
              <w:rPr>
                <w:rFonts w:cs="Arial"/>
                <w:sz w:val="20"/>
                <w:szCs w:val="20"/>
              </w:rPr>
              <w:t>http://vital.minambiente.gov.co/SILPA/TestSilpa/security/login.aspx</w:t>
            </w:r>
          </w:p>
        </w:tc>
      </w:tr>
    </w:tbl>
    <w:p w14:paraId="4FAEE984" w14:textId="77777777" w:rsidR="00BB0A67" w:rsidRPr="004068F6" w:rsidRDefault="00BB0A67">
      <w:pPr>
        <w:overflowPunct/>
        <w:autoSpaceDE/>
        <w:autoSpaceDN/>
        <w:adjustRightInd/>
        <w:jc w:val="left"/>
        <w:textAlignment w:val="auto"/>
        <w:rPr>
          <w:spacing w:val="-3"/>
        </w:rPr>
      </w:pPr>
    </w:p>
    <w:p w14:paraId="66A91529" w14:textId="49334A1C" w:rsidR="00BB0A67" w:rsidRPr="004068F6" w:rsidRDefault="00BB0A67">
      <w:pPr>
        <w:overflowPunct/>
        <w:autoSpaceDE/>
        <w:autoSpaceDN/>
        <w:adjustRightInd/>
        <w:jc w:val="left"/>
        <w:textAlignment w:val="auto"/>
        <w:rPr>
          <w:spacing w:val="-3"/>
        </w:rPr>
      </w:pPr>
      <w:r w:rsidRPr="004068F6">
        <w:rPr>
          <w:spacing w:val="-3"/>
        </w:rPr>
        <w:br w:type="page"/>
      </w:r>
    </w:p>
    <w:p w14:paraId="34EF36D8" w14:textId="77777777" w:rsidR="00A101A4" w:rsidRPr="004068F6" w:rsidRDefault="00A101A4" w:rsidP="00456AB1">
      <w:pPr>
        <w:pStyle w:val="Ttulo1"/>
        <w:numPr>
          <w:ilvl w:val="0"/>
          <w:numId w:val="7"/>
        </w:numPr>
        <w:rPr>
          <w:lang w:val="es-CO"/>
        </w:rPr>
      </w:pPr>
      <w:bookmarkStart w:id="1941" w:name="_Toc42353707"/>
      <w:bookmarkStart w:id="1942" w:name="_Toc230879554"/>
      <w:r w:rsidRPr="004068F6">
        <w:rPr>
          <w:lang w:val="es-CO"/>
        </w:rPr>
        <w:lastRenderedPageBreak/>
        <w:t>ESPECIFICACIONES DOCUMENTALES DE LOS ESTUDIOS AMBIENTALES</w:t>
      </w:r>
      <w:bookmarkEnd w:id="1941"/>
      <w:bookmarkEnd w:id="1942"/>
    </w:p>
    <w:p w14:paraId="25CD4324" w14:textId="77777777" w:rsidR="00A101A4" w:rsidRPr="004068F6" w:rsidRDefault="00A101A4">
      <w:pPr>
        <w:tabs>
          <w:tab w:val="left" w:pos="-2268"/>
        </w:tabs>
        <w:suppressAutoHyphens/>
        <w:rPr>
          <w:spacing w:val="-3"/>
        </w:rPr>
      </w:pPr>
    </w:p>
    <w:p w14:paraId="6EE01A8E" w14:textId="6F6013B6" w:rsidR="00CB4557" w:rsidRPr="004068F6" w:rsidRDefault="00CB4557" w:rsidP="0068149C">
      <w:pPr>
        <w:pStyle w:val="Ttulo2"/>
        <w:numPr>
          <w:ilvl w:val="1"/>
          <w:numId w:val="7"/>
        </w:numPr>
        <w:rPr>
          <w:lang w:val="es-CO"/>
        </w:rPr>
      </w:pPr>
      <w:bookmarkStart w:id="1943" w:name="_Toc230879555"/>
      <w:r w:rsidRPr="004068F6">
        <w:rPr>
          <w:lang w:val="es-CO"/>
        </w:rPr>
        <w:t>PRESENTACIÓN DEL DOCUMENTO</w:t>
      </w:r>
      <w:bookmarkEnd w:id="1943"/>
    </w:p>
    <w:p w14:paraId="57A2F836" w14:textId="77777777" w:rsidR="00A101A4" w:rsidRPr="004068F6" w:rsidRDefault="00A101A4">
      <w:pPr>
        <w:numPr>
          <w:ilvl w:val="12"/>
          <w:numId w:val="0"/>
        </w:numPr>
        <w:tabs>
          <w:tab w:val="left" w:pos="-2268"/>
        </w:tabs>
        <w:suppressAutoHyphens/>
        <w:rPr>
          <w:spacing w:val="-3"/>
        </w:rPr>
      </w:pPr>
    </w:p>
    <w:p w14:paraId="7458E9D2" w14:textId="4A9CE6C0" w:rsidR="00A101A4" w:rsidRPr="004068F6" w:rsidRDefault="00A101A4" w:rsidP="009420F5">
      <w:pPr>
        <w:tabs>
          <w:tab w:val="left" w:pos="-2268"/>
        </w:tabs>
        <w:suppressAutoHyphens/>
        <w:rPr>
          <w:spacing w:val="-3"/>
        </w:rPr>
      </w:pPr>
      <w:r w:rsidRPr="004068F6">
        <w:rPr>
          <w:spacing w:val="-3"/>
        </w:rPr>
        <w:t>La presentación del documento del estudio ambiental o de documentos con información complementaria debe tener en cuenta las normas técnicas colombianas expedidas por el ICONTEC</w:t>
      </w:r>
      <w:r w:rsidR="00DD0D07" w:rsidRPr="004068F6">
        <w:rPr>
          <w:spacing w:val="-3"/>
        </w:rPr>
        <w:t>, específicamente la</w:t>
      </w:r>
      <w:r w:rsidR="00705CB7" w:rsidRPr="004068F6">
        <w:rPr>
          <w:spacing w:val="-3"/>
        </w:rPr>
        <w:t xml:space="preserve"> </w:t>
      </w:r>
      <w:r w:rsidR="00DD249F" w:rsidRPr="004068F6">
        <w:t xml:space="preserve">NTC 3575 </w:t>
      </w:r>
      <w:r w:rsidR="00BE1280" w:rsidRPr="004068F6">
        <w:t>“</w:t>
      </w:r>
      <w:r w:rsidR="00DD249F" w:rsidRPr="004068F6">
        <w:t xml:space="preserve">Documentación. Presentación de informes científicos y técnicos”, </w:t>
      </w:r>
      <w:r w:rsidR="00DD0D07" w:rsidRPr="004068F6">
        <w:rPr>
          <w:spacing w:val="-3"/>
        </w:rPr>
        <w:t xml:space="preserve">la </w:t>
      </w:r>
      <w:r w:rsidRPr="004068F6">
        <w:rPr>
          <w:spacing w:val="-3"/>
        </w:rPr>
        <w:t xml:space="preserve">NTC 1075 </w:t>
      </w:r>
      <w:r w:rsidR="000D63E1" w:rsidRPr="004068F6">
        <w:rPr>
          <w:spacing w:val="-3"/>
        </w:rPr>
        <w:t>“Documentación. G</w:t>
      </w:r>
      <w:r w:rsidRPr="004068F6">
        <w:rPr>
          <w:spacing w:val="-3"/>
        </w:rPr>
        <w:t>uía para numeración de divisiones y subdivisiones en documentos escritos</w:t>
      </w:r>
      <w:r w:rsidR="000D63E1" w:rsidRPr="004068F6">
        <w:rPr>
          <w:spacing w:val="-3"/>
        </w:rPr>
        <w:t>”</w:t>
      </w:r>
      <w:r w:rsidR="00705CB7" w:rsidRPr="004068F6">
        <w:rPr>
          <w:spacing w:val="-3"/>
        </w:rPr>
        <w:t xml:space="preserve"> y NTC 6166 “Referencias bibliográficas. Contenido, forma y estructura”</w:t>
      </w:r>
      <w:r w:rsidR="00B51EF9" w:rsidRPr="004068F6">
        <w:rPr>
          <w:spacing w:val="-3"/>
        </w:rPr>
        <w:t xml:space="preserve"> o aquellas que las actualicen</w:t>
      </w:r>
      <w:r w:rsidR="0024221F" w:rsidRPr="004068F6">
        <w:rPr>
          <w:spacing w:val="-3"/>
        </w:rPr>
        <w:t xml:space="preserve"> o complementen</w:t>
      </w:r>
      <w:r w:rsidR="00DD249F" w:rsidRPr="004068F6">
        <w:rPr>
          <w:spacing w:val="-3"/>
        </w:rPr>
        <w:t>; alternativamente, es posible emplear el estilo APA</w:t>
      </w:r>
      <w:r w:rsidR="00F76811" w:rsidRPr="004068F6">
        <w:rPr>
          <w:spacing w:val="-3"/>
        </w:rPr>
        <w:t xml:space="preserve"> para la presentación de los estudios ambientales</w:t>
      </w:r>
      <w:r w:rsidRPr="004068F6">
        <w:rPr>
          <w:spacing w:val="-3"/>
        </w:rPr>
        <w:t>.</w:t>
      </w:r>
    </w:p>
    <w:p w14:paraId="120F05F8" w14:textId="77777777" w:rsidR="00A101A4" w:rsidRPr="004068F6" w:rsidRDefault="00A101A4">
      <w:pPr>
        <w:tabs>
          <w:tab w:val="left" w:pos="-2268"/>
        </w:tabs>
        <w:suppressAutoHyphens/>
        <w:rPr>
          <w:spacing w:val="-3"/>
        </w:rPr>
      </w:pPr>
    </w:p>
    <w:p w14:paraId="3E108BD1" w14:textId="2E1B021C" w:rsidR="00A101A4" w:rsidRPr="004068F6" w:rsidRDefault="00A101A4">
      <w:pPr>
        <w:numPr>
          <w:ilvl w:val="12"/>
          <w:numId w:val="0"/>
        </w:numPr>
        <w:tabs>
          <w:tab w:val="left" w:pos="-2268"/>
        </w:tabs>
        <w:suppressAutoHyphens/>
        <w:rPr>
          <w:spacing w:val="-3"/>
        </w:rPr>
      </w:pPr>
      <w:r w:rsidRPr="004068F6">
        <w:rPr>
          <w:spacing w:val="-3"/>
        </w:rPr>
        <w:t>Adicional</w:t>
      </w:r>
      <w:r w:rsidR="00DD0D07" w:rsidRPr="004068F6">
        <w:rPr>
          <w:spacing w:val="-3"/>
        </w:rPr>
        <w:t>mente,</w:t>
      </w:r>
      <w:r w:rsidRPr="004068F6">
        <w:rPr>
          <w:spacing w:val="-3"/>
        </w:rPr>
        <w:t xml:space="preserve"> se debe tener en cuenta la </w:t>
      </w:r>
      <w:r w:rsidRPr="004068F6">
        <w:rPr>
          <w:rFonts w:cs="Arial"/>
          <w:spacing w:val="-3"/>
        </w:rPr>
        <w:t xml:space="preserve">normativa </w:t>
      </w:r>
      <w:r w:rsidR="00EF4209" w:rsidRPr="004068F6">
        <w:rPr>
          <w:rFonts w:cs="Arial"/>
          <w:spacing w:val="-3"/>
        </w:rPr>
        <w:t xml:space="preserve">en </w:t>
      </w:r>
      <w:r w:rsidR="00487867" w:rsidRPr="004068F6">
        <w:rPr>
          <w:rFonts w:cs="Arial"/>
          <w:color w:val="222222"/>
          <w:shd w:val="clear" w:color="auto" w:fill="FFFFFF"/>
        </w:rPr>
        <w:t>materia de gestión d</w:t>
      </w:r>
      <w:r w:rsidR="00EF4209" w:rsidRPr="004068F6">
        <w:rPr>
          <w:rFonts w:cs="Arial"/>
          <w:color w:val="222222"/>
          <w:shd w:val="clear" w:color="auto" w:fill="FFFFFF"/>
        </w:rPr>
        <w:t>ocumental</w:t>
      </w:r>
      <w:r w:rsidRPr="004068F6">
        <w:rPr>
          <w:rFonts w:cs="Arial"/>
          <w:spacing w:val="-3"/>
        </w:rPr>
        <w:t xml:space="preserve"> vigente</w:t>
      </w:r>
      <w:r w:rsidRPr="004068F6">
        <w:rPr>
          <w:spacing w:val="-3"/>
        </w:rPr>
        <w:t xml:space="preserve">, en particular el </w:t>
      </w:r>
      <w:r w:rsidR="004A04D5" w:rsidRPr="004068F6">
        <w:rPr>
          <w:spacing w:val="-3"/>
        </w:rPr>
        <w:t>artículo</w:t>
      </w:r>
      <w:r w:rsidR="0003027D" w:rsidRPr="004068F6">
        <w:rPr>
          <w:spacing w:val="-3"/>
        </w:rPr>
        <w:t xml:space="preserve"> 30 del </w:t>
      </w:r>
      <w:r w:rsidRPr="004068F6">
        <w:rPr>
          <w:spacing w:val="-3"/>
        </w:rPr>
        <w:t>Decreto 2609 de 2012</w:t>
      </w:r>
      <w:r w:rsidR="0024221F" w:rsidRPr="004068F6">
        <w:rPr>
          <w:spacing w:val="-3"/>
        </w:rPr>
        <w:t xml:space="preserve"> (compilado en el Decreto 1080 de 2015)</w:t>
      </w:r>
      <w:r w:rsidRPr="004068F6">
        <w:rPr>
          <w:spacing w:val="-3"/>
        </w:rPr>
        <w:t xml:space="preserve">, </w:t>
      </w:r>
      <w:r w:rsidRPr="004068F6">
        <w:rPr>
          <w:rFonts w:cs="Arial"/>
          <w:spacing w:val="-3"/>
        </w:rPr>
        <w:t xml:space="preserve">o </w:t>
      </w:r>
      <w:r w:rsidR="00DD0D07" w:rsidRPr="004068F6">
        <w:rPr>
          <w:rFonts w:cs="Arial"/>
          <w:spacing w:val="-3"/>
        </w:rPr>
        <w:t xml:space="preserve">de </w:t>
      </w:r>
      <w:r w:rsidRPr="004068F6">
        <w:rPr>
          <w:rFonts w:cs="Arial"/>
          <w:spacing w:val="-3"/>
        </w:rPr>
        <w:t>aquel que lo modifique o sustituya</w:t>
      </w:r>
      <w:r w:rsidRPr="004068F6">
        <w:rPr>
          <w:spacing w:val="-3"/>
        </w:rPr>
        <w:t>.</w:t>
      </w:r>
    </w:p>
    <w:p w14:paraId="1BD0A85F" w14:textId="77777777" w:rsidR="00A101A4" w:rsidRPr="004068F6" w:rsidRDefault="00A101A4">
      <w:pPr>
        <w:numPr>
          <w:ilvl w:val="12"/>
          <w:numId w:val="0"/>
        </w:numPr>
        <w:tabs>
          <w:tab w:val="left" w:pos="-2268"/>
        </w:tabs>
        <w:suppressAutoHyphens/>
        <w:rPr>
          <w:spacing w:val="-3"/>
        </w:rPr>
      </w:pPr>
    </w:p>
    <w:p w14:paraId="2ED7F704" w14:textId="004D22BB" w:rsidR="00A101A4" w:rsidRPr="004068F6" w:rsidRDefault="00A101A4">
      <w:pPr>
        <w:numPr>
          <w:ilvl w:val="12"/>
          <w:numId w:val="0"/>
        </w:numPr>
        <w:tabs>
          <w:tab w:val="left" w:pos="-2268"/>
        </w:tabs>
        <w:suppressAutoHyphens/>
        <w:rPr>
          <w:spacing w:val="-3"/>
        </w:rPr>
      </w:pPr>
      <w:r w:rsidRPr="004068F6">
        <w:rPr>
          <w:spacing w:val="-3"/>
        </w:rPr>
        <w:t xml:space="preserve">La edición del </w:t>
      </w:r>
      <w:r w:rsidR="00DB47B5" w:rsidRPr="004068F6">
        <w:rPr>
          <w:spacing w:val="-3"/>
        </w:rPr>
        <w:t xml:space="preserve">documento </w:t>
      </w:r>
      <w:r w:rsidRPr="004068F6">
        <w:rPr>
          <w:spacing w:val="-3"/>
        </w:rPr>
        <w:t>debe mantener una subdivisión de los capítulos por temas, procurando una presentación que permita facilidad y claridad durante la lectura</w:t>
      </w:r>
      <w:r w:rsidR="00795285" w:rsidRPr="004068F6">
        <w:rPr>
          <w:spacing w:val="-3"/>
        </w:rPr>
        <w:t xml:space="preserve">; asimismo, los </w:t>
      </w:r>
      <w:r w:rsidRPr="004068F6">
        <w:rPr>
          <w:spacing w:val="-3"/>
        </w:rPr>
        <w:t>términos técnicos que no tengan un uso común deben explicarse.</w:t>
      </w:r>
      <w:r w:rsidR="00C70CE5" w:rsidRPr="004068F6">
        <w:rPr>
          <w:spacing w:val="-3"/>
        </w:rPr>
        <w:t xml:space="preserve"> </w:t>
      </w:r>
      <w:r w:rsidR="0017325A" w:rsidRPr="004068F6">
        <w:rPr>
          <w:spacing w:val="-3"/>
        </w:rPr>
        <w:t xml:space="preserve">Con el fin de asegurar que </w:t>
      </w:r>
      <w:r w:rsidR="00C70CE5" w:rsidRPr="004068F6">
        <w:rPr>
          <w:spacing w:val="-3"/>
        </w:rPr>
        <w:t>la estructura</w:t>
      </w:r>
      <w:r w:rsidR="005E0C8D" w:rsidRPr="004068F6">
        <w:rPr>
          <w:spacing w:val="-3"/>
        </w:rPr>
        <w:t>,</w:t>
      </w:r>
      <w:r w:rsidR="00C70CE5" w:rsidRPr="004068F6">
        <w:rPr>
          <w:spacing w:val="-3"/>
        </w:rPr>
        <w:t xml:space="preserve"> contenidos, textos y conceptos </w:t>
      </w:r>
      <w:r w:rsidR="00D86477" w:rsidRPr="004068F6">
        <w:rPr>
          <w:spacing w:val="-3"/>
        </w:rPr>
        <w:t xml:space="preserve">desarrollados en </w:t>
      </w:r>
      <w:r w:rsidR="0017325A" w:rsidRPr="004068F6">
        <w:rPr>
          <w:spacing w:val="-3"/>
        </w:rPr>
        <w:t xml:space="preserve">los estudios </w:t>
      </w:r>
      <w:r w:rsidR="00D86477" w:rsidRPr="004068F6">
        <w:rPr>
          <w:spacing w:val="-3"/>
        </w:rPr>
        <w:t xml:space="preserve">ambientales </w:t>
      </w:r>
      <w:r w:rsidR="0017325A" w:rsidRPr="004068F6">
        <w:rPr>
          <w:spacing w:val="-3"/>
        </w:rPr>
        <w:t xml:space="preserve">sean de </w:t>
      </w:r>
      <w:r w:rsidR="00C70CE5" w:rsidRPr="004068F6">
        <w:rPr>
          <w:spacing w:val="-3"/>
        </w:rPr>
        <w:t>fácil</w:t>
      </w:r>
      <w:r w:rsidR="0017325A" w:rsidRPr="004068F6">
        <w:rPr>
          <w:spacing w:val="-3"/>
        </w:rPr>
        <w:t xml:space="preserve"> </w:t>
      </w:r>
      <w:r w:rsidR="00C70CE5" w:rsidRPr="004068F6">
        <w:rPr>
          <w:spacing w:val="-3"/>
        </w:rPr>
        <w:t>comprensi</w:t>
      </w:r>
      <w:r w:rsidR="0017325A" w:rsidRPr="004068F6">
        <w:rPr>
          <w:spacing w:val="-3"/>
        </w:rPr>
        <w:t>ón</w:t>
      </w:r>
      <w:r w:rsidR="00C70CE5" w:rsidRPr="004068F6">
        <w:rPr>
          <w:spacing w:val="-3"/>
        </w:rPr>
        <w:t xml:space="preserve">, </w:t>
      </w:r>
      <w:r w:rsidR="00795285" w:rsidRPr="004068F6">
        <w:rPr>
          <w:spacing w:val="-3"/>
        </w:rPr>
        <w:t xml:space="preserve">es posible </w:t>
      </w:r>
      <w:r w:rsidR="00C900CF" w:rsidRPr="004068F6">
        <w:rPr>
          <w:spacing w:val="-3"/>
        </w:rPr>
        <w:t xml:space="preserve">emplear </w:t>
      </w:r>
      <w:r w:rsidR="00C70CE5" w:rsidRPr="004068F6">
        <w:rPr>
          <w:spacing w:val="-3"/>
        </w:rPr>
        <w:t xml:space="preserve">las </w:t>
      </w:r>
      <w:r w:rsidR="00795285" w:rsidRPr="004068F6">
        <w:rPr>
          <w:spacing w:val="-3"/>
        </w:rPr>
        <w:t>g</w:t>
      </w:r>
      <w:r w:rsidR="00C70CE5" w:rsidRPr="004068F6">
        <w:rPr>
          <w:spacing w:val="-3"/>
        </w:rPr>
        <w:t xml:space="preserve">uías de </w:t>
      </w:r>
      <w:r w:rsidR="00795285" w:rsidRPr="004068F6">
        <w:rPr>
          <w:spacing w:val="-3"/>
        </w:rPr>
        <w:t xml:space="preserve">lenguaje claro </w:t>
      </w:r>
      <w:r w:rsidR="00C70CE5" w:rsidRPr="004068F6">
        <w:rPr>
          <w:spacing w:val="-3"/>
        </w:rPr>
        <w:t>de diversas entidades del Estado.</w:t>
      </w:r>
    </w:p>
    <w:p w14:paraId="2E2C1844" w14:textId="77777777" w:rsidR="00A101A4" w:rsidRPr="004068F6" w:rsidRDefault="00A101A4">
      <w:pPr>
        <w:numPr>
          <w:ilvl w:val="12"/>
          <w:numId w:val="0"/>
        </w:numPr>
        <w:tabs>
          <w:tab w:val="left" w:pos="-2268"/>
        </w:tabs>
        <w:suppressAutoHyphens/>
        <w:rPr>
          <w:spacing w:val="-3"/>
        </w:rPr>
      </w:pPr>
    </w:p>
    <w:p w14:paraId="23619F87" w14:textId="42E10359" w:rsidR="00A101A4" w:rsidRPr="004068F6" w:rsidRDefault="00A101A4">
      <w:pPr>
        <w:numPr>
          <w:ilvl w:val="12"/>
          <w:numId w:val="0"/>
        </w:numPr>
        <w:tabs>
          <w:tab w:val="left" w:pos="-2268"/>
        </w:tabs>
        <w:suppressAutoHyphens/>
        <w:rPr>
          <w:spacing w:val="-3"/>
        </w:rPr>
      </w:pPr>
      <w:r w:rsidRPr="004068F6">
        <w:rPr>
          <w:spacing w:val="-3"/>
        </w:rPr>
        <w:t xml:space="preserve">Los procedimientos de recolección de datos técnicos deben estar de acuerdo con lo establecido por las entidades o institutos encargados del manejo de </w:t>
      </w:r>
      <w:r w:rsidR="00456981" w:rsidRPr="004068F6">
        <w:rPr>
          <w:spacing w:val="-3"/>
        </w:rPr>
        <w:t>éstos</w:t>
      </w:r>
      <w:r w:rsidRPr="004068F6">
        <w:rPr>
          <w:spacing w:val="-3"/>
        </w:rPr>
        <w:t>.</w:t>
      </w:r>
      <w:r w:rsidR="007C66B0">
        <w:rPr>
          <w:spacing w:val="-3"/>
        </w:rPr>
        <w:t xml:space="preserve"> </w:t>
      </w:r>
      <w:r w:rsidRPr="004068F6">
        <w:rPr>
          <w:spacing w:val="-3"/>
        </w:rPr>
        <w:t>En el caso de utilizar datos no oficiales es imprescindible explicar las razones para su empleo y la importancia para ser considerados dentro del estudio.</w:t>
      </w:r>
    </w:p>
    <w:p w14:paraId="7331D050" w14:textId="77777777" w:rsidR="00A101A4" w:rsidRPr="004068F6" w:rsidRDefault="00A101A4">
      <w:pPr>
        <w:numPr>
          <w:ilvl w:val="12"/>
          <w:numId w:val="0"/>
        </w:numPr>
        <w:tabs>
          <w:tab w:val="left" w:pos="-2268"/>
        </w:tabs>
        <w:suppressAutoHyphens/>
        <w:rPr>
          <w:spacing w:val="-3"/>
        </w:rPr>
      </w:pPr>
    </w:p>
    <w:p w14:paraId="591177D6" w14:textId="313A8802" w:rsidR="00A101A4" w:rsidRPr="004068F6" w:rsidRDefault="00A101A4">
      <w:pPr>
        <w:numPr>
          <w:ilvl w:val="12"/>
          <w:numId w:val="0"/>
        </w:numPr>
        <w:tabs>
          <w:tab w:val="left" w:pos="-2268"/>
        </w:tabs>
        <w:suppressAutoHyphens/>
        <w:rPr>
          <w:spacing w:val="-3"/>
        </w:rPr>
      </w:pPr>
      <w:r w:rsidRPr="004068F6">
        <w:rPr>
          <w:spacing w:val="-3"/>
        </w:rPr>
        <w:t xml:space="preserve">Se debe mantener uniformidad en las unidades de medida de acuerdo con la NTC 1000 </w:t>
      </w:r>
      <w:r w:rsidR="008F4EA9" w:rsidRPr="004068F6">
        <w:rPr>
          <w:spacing w:val="-3"/>
        </w:rPr>
        <w:t>“M</w:t>
      </w:r>
      <w:r w:rsidRPr="004068F6">
        <w:rPr>
          <w:spacing w:val="-3"/>
        </w:rPr>
        <w:t>etrología.</w:t>
      </w:r>
      <w:r w:rsidR="008F4EA9" w:rsidRPr="004068F6">
        <w:rPr>
          <w:spacing w:val="-3"/>
        </w:rPr>
        <w:t xml:space="preserve"> Sistema internacional de unidades”</w:t>
      </w:r>
      <w:r w:rsidR="00B51EF9" w:rsidRPr="004068F6">
        <w:rPr>
          <w:spacing w:val="-3"/>
        </w:rPr>
        <w:t xml:space="preserve"> o aquella que la </w:t>
      </w:r>
      <w:r w:rsidR="0024221F" w:rsidRPr="004068F6">
        <w:rPr>
          <w:spacing w:val="-3"/>
        </w:rPr>
        <w:t>actualice o complemente</w:t>
      </w:r>
      <w:r w:rsidR="008F4EA9" w:rsidRPr="004068F6">
        <w:rPr>
          <w:spacing w:val="-3"/>
        </w:rPr>
        <w:t>.</w:t>
      </w:r>
    </w:p>
    <w:p w14:paraId="0E2F2071" w14:textId="77777777" w:rsidR="00A101A4" w:rsidRPr="004068F6" w:rsidRDefault="00A101A4">
      <w:pPr>
        <w:numPr>
          <w:ilvl w:val="12"/>
          <w:numId w:val="0"/>
        </w:numPr>
        <w:tabs>
          <w:tab w:val="left" w:pos="-2268"/>
        </w:tabs>
        <w:suppressAutoHyphens/>
        <w:rPr>
          <w:spacing w:val="-3"/>
        </w:rPr>
      </w:pPr>
    </w:p>
    <w:p w14:paraId="40FC3E68" w14:textId="0C4E1487" w:rsidR="00A101A4" w:rsidRPr="004068F6" w:rsidRDefault="00A101A4">
      <w:pPr>
        <w:numPr>
          <w:ilvl w:val="12"/>
          <w:numId w:val="0"/>
        </w:numPr>
        <w:tabs>
          <w:tab w:val="left" w:pos="-2268"/>
        </w:tabs>
        <w:suppressAutoHyphens/>
        <w:rPr>
          <w:spacing w:val="-3"/>
        </w:rPr>
      </w:pPr>
      <w:r w:rsidRPr="004068F6">
        <w:rPr>
          <w:spacing w:val="-3"/>
        </w:rPr>
        <w:t>Las magnitudes físicas que se registren en los estudios ambientales deben estar expresadas en las unidades previstas en la NTC 1000, empleando los símbolos y prefijos asociados a ellas; lo anterior aplica tanto para las unidades del Sistema Internacional de Unidades (SI) como para otras que son aceptadas por el Comité Internacional de Pesas y Medidas (CIPM).</w:t>
      </w:r>
    </w:p>
    <w:p w14:paraId="44F11EBD" w14:textId="77777777" w:rsidR="00F04B5F" w:rsidRDefault="00F04B5F" w:rsidP="00F04B5F">
      <w:pPr>
        <w:numPr>
          <w:ilvl w:val="12"/>
          <w:numId w:val="0"/>
        </w:numPr>
        <w:tabs>
          <w:tab w:val="left" w:pos="-2268"/>
        </w:tabs>
        <w:suppressAutoHyphens/>
        <w:rPr>
          <w:rFonts w:cs="Arial"/>
          <w:spacing w:val="-3"/>
        </w:rPr>
      </w:pPr>
      <w:bookmarkStart w:id="1944" w:name="_Toc42353709"/>
    </w:p>
    <w:p w14:paraId="1D552EB3" w14:textId="77777777" w:rsidR="009A35A1" w:rsidRDefault="009A35A1" w:rsidP="00F04B5F">
      <w:pPr>
        <w:numPr>
          <w:ilvl w:val="12"/>
          <w:numId w:val="0"/>
        </w:numPr>
        <w:tabs>
          <w:tab w:val="left" w:pos="-2268"/>
        </w:tabs>
        <w:suppressAutoHyphens/>
        <w:rPr>
          <w:rFonts w:cs="Arial"/>
          <w:spacing w:val="-3"/>
        </w:rPr>
      </w:pPr>
    </w:p>
    <w:p w14:paraId="04E19F6C" w14:textId="77777777" w:rsidR="009A35A1" w:rsidRPr="004068F6" w:rsidRDefault="009A35A1" w:rsidP="00F04B5F">
      <w:pPr>
        <w:numPr>
          <w:ilvl w:val="12"/>
          <w:numId w:val="0"/>
        </w:numPr>
        <w:tabs>
          <w:tab w:val="left" w:pos="-2268"/>
        </w:tabs>
        <w:suppressAutoHyphens/>
        <w:rPr>
          <w:rFonts w:cs="Arial"/>
          <w:spacing w:val="-3"/>
        </w:rPr>
      </w:pPr>
    </w:p>
    <w:p w14:paraId="22F3C516" w14:textId="77777777" w:rsidR="00A101A4" w:rsidRPr="004068F6" w:rsidRDefault="00A101A4" w:rsidP="009420F5">
      <w:pPr>
        <w:pStyle w:val="Ttulo2"/>
        <w:rPr>
          <w:lang w:val="es-CO"/>
        </w:rPr>
      </w:pPr>
      <w:bookmarkStart w:id="1945" w:name="_Toc230879556"/>
      <w:r w:rsidRPr="004068F6">
        <w:rPr>
          <w:lang w:val="es-CO"/>
        </w:rPr>
        <w:lastRenderedPageBreak/>
        <w:t>ESPECIFICACIONES PARA LA PRESENTACIÓN DEL ESTUDIO</w:t>
      </w:r>
      <w:bookmarkEnd w:id="1944"/>
      <w:bookmarkEnd w:id="1945"/>
    </w:p>
    <w:p w14:paraId="7CDCAA9D" w14:textId="77777777" w:rsidR="00A101A4" w:rsidRPr="004068F6" w:rsidRDefault="00A101A4" w:rsidP="00C86DA5"/>
    <w:p w14:paraId="388A5022" w14:textId="76005A55" w:rsidR="00A101A4" w:rsidRPr="004068F6" w:rsidRDefault="00A101A4">
      <w:pPr>
        <w:pStyle w:val="Textosinformato"/>
        <w:rPr>
          <w:rFonts w:ascii="Arial" w:hAnsi="Arial"/>
          <w:spacing w:val="-3"/>
          <w:sz w:val="24"/>
        </w:rPr>
      </w:pPr>
      <w:r w:rsidRPr="004068F6">
        <w:rPr>
          <w:rFonts w:ascii="Arial" w:hAnsi="Arial" w:cs="Arial"/>
          <w:spacing w:val="-3"/>
          <w:sz w:val="24"/>
          <w:szCs w:val="24"/>
        </w:rPr>
        <w:t xml:space="preserve">La información que se presente en el estudio ambiental debe ser legible a fin de que las autoridades ambientales puedan evaluarlo de forma eficiente. </w:t>
      </w:r>
      <w:r w:rsidRPr="004068F6">
        <w:rPr>
          <w:rFonts w:ascii="Arial" w:hAnsi="Arial"/>
          <w:spacing w:val="-3"/>
          <w:sz w:val="24"/>
        </w:rPr>
        <w:t xml:space="preserve">Teniendo en cuenta las especificaciones técnicas descritas anteriormente, la presentación del estudio ambiental </w:t>
      </w:r>
      <w:r w:rsidR="00203EE2" w:rsidRPr="004068F6">
        <w:rPr>
          <w:rFonts w:ascii="Arial" w:hAnsi="Arial"/>
          <w:spacing w:val="-3"/>
          <w:sz w:val="24"/>
        </w:rPr>
        <w:t>y</w:t>
      </w:r>
      <w:r w:rsidRPr="004068F6">
        <w:rPr>
          <w:rFonts w:ascii="Arial" w:hAnsi="Arial"/>
          <w:spacing w:val="-3"/>
          <w:sz w:val="24"/>
        </w:rPr>
        <w:t xml:space="preserve"> sus respectivos anexos</w:t>
      </w:r>
      <w:r w:rsidR="0003027D" w:rsidRPr="004068F6">
        <w:rPr>
          <w:rFonts w:ascii="Arial" w:hAnsi="Arial"/>
          <w:spacing w:val="-3"/>
          <w:sz w:val="24"/>
        </w:rPr>
        <w:t>,</w:t>
      </w:r>
      <w:r w:rsidRPr="004068F6">
        <w:rPr>
          <w:rFonts w:ascii="Arial" w:hAnsi="Arial"/>
          <w:spacing w:val="-3"/>
          <w:sz w:val="24"/>
        </w:rPr>
        <w:t xml:space="preserve"> debe seguir las siguientes indicaciones con respecto a los formatos, estructura, nomenclatura, entre otros</w:t>
      </w:r>
      <w:r w:rsidR="008F4EA9" w:rsidRPr="004068F6">
        <w:rPr>
          <w:rFonts w:ascii="Arial" w:hAnsi="Arial"/>
          <w:spacing w:val="-3"/>
          <w:sz w:val="24"/>
        </w:rPr>
        <w:t>.</w:t>
      </w:r>
    </w:p>
    <w:p w14:paraId="2D30EF03" w14:textId="77777777" w:rsidR="00A101A4" w:rsidRPr="004068F6" w:rsidRDefault="00A101A4" w:rsidP="00C86DA5">
      <w:pPr>
        <w:pStyle w:val="Textosinformato"/>
        <w:rPr>
          <w:rFonts w:ascii="Arial" w:hAnsi="Arial" w:cs="Arial"/>
          <w:spacing w:val="-3"/>
          <w:sz w:val="24"/>
          <w:szCs w:val="24"/>
        </w:rPr>
      </w:pPr>
    </w:p>
    <w:p w14:paraId="2D42CE70" w14:textId="0696759B" w:rsidR="005D6435" w:rsidRPr="004068F6" w:rsidRDefault="005D6435" w:rsidP="00C86DA5">
      <w:pPr>
        <w:pStyle w:val="Textosinformato"/>
        <w:rPr>
          <w:rFonts w:ascii="Arial" w:hAnsi="Arial" w:cs="Arial"/>
          <w:spacing w:val="-3"/>
          <w:sz w:val="24"/>
          <w:szCs w:val="24"/>
        </w:rPr>
      </w:pPr>
      <w:r w:rsidRPr="004068F6">
        <w:rPr>
          <w:rFonts w:ascii="Arial" w:hAnsi="Arial" w:cs="Arial"/>
          <w:spacing w:val="-3"/>
          <w:sz w:val="24"/>
          <w:szCs w:val="24"/>
        </w:rPr>
        <w:t xml:space="preserve">Asimismo, los valores numéricos correspondientes a coordenadas proyectadas, áreas, perímetros y longitudes, deben ser presentados con al menos dos decimales en los numerales de los estudios ambientales </w:t>
      </w:r>
      <w:r w:rsidR="00203EE2" w:rsidRPr="004068F6">
        <w:rPr>
          <w:rFonts w:ascii="Arial" w:hAnsi="Arial" w:cs="Arial"/>
          <w:spacing w:val="-3"/>
          <w:sz w:val="24"/>
          <w:szCs w:val="24"/>
        </w:rPr>
        <w:t xml:space="preserve">y </w:t>
      </w:r>
      <w:r w:rsidRPr="004068F6">
        <w:rPr>
          <w:rFonts w:ascii="Arial" w:hAnsi="Arial" w:cs="Arial"/>
          <w:spacing w:val="-3"/>
          <w:sz w:val="24"/>
          <w:szCs w:val="24"/>
        </w:rPr>
        <w:t>anexos en los que se incluyan.</w:t>
      </w:r>
    </w:p>
    <w:p w14:paraId="0FF24106" w14:textId="77777777" w:rsidR="005D6435" w:rsidRPr="004068F6" w:rsidRDefault="005D6435" w:rsidP="00C86DA5">
      <w:pPr>
        <w:pStyle w:val="Textosinformato"/>
        <w:rPr>
          <w:rFonts w:ascii="Arial" w:hAnsi="Arial" w:cs="Arial"/>
          <w:spacing w:val="-3"/>
          <w:sz w:val="24"/>
          <w:szCs w:val="24"/>
        </w:rPr>
      </w:pPr>
    </w:p>
    <w:p w14:paraId="494E0494" w14:textId="4C424508" w:rsidR="00A101A4" w:rsidRPr="00FF73C7" w:rsidRDefault="00A101A4" w:rsidP="000A1E20">
      <w:pPr>
        <w:pStyle w:val="Ttulo3"/>
      </w:pPr>
      <w:bookmarkStart w:id="1946" w:name="_Toc42353710"/>
      <w:bookmarkStart w:id="1947" w:name="_Toc230879557"/>
      <w:r w:rsidRPr="00FF73C7">
        <w:t>Formatos de archivos</w:t>
      </w:r>
      <w:bookmarkEnd w:id="1946"/>
      <w:bookmarkEnd w:id="1947"/>
    </w:p>
    <w:p w14:paraId="51128E56" w14:textId="77777777" w:rsidR="00A101A4" w:rsidRPr="004068F6" w:rsidRDefault="00A101A4">
      <w:pPr>
        <w:numPr>
          <w:ilvl w:val="12"/>
          <w:numId w:val="0"/>
        </w:numPr>
        <w:tabs>
          <w:tab w:val="left" w:pos="-2268"/>
        </w:tabs>
        <w:suppressAutoHyphens/>
        <w:rPr>
          <w:spacing w:val="-3"/>
        </w:rPr>
      </w:pPr>
    </w:p>
    <w:p w14:paraId="4FEB5AA6" w14:textId="40ABA9A8" w:rsidR="00A101A4" w:rsidRPr="004068F6" w:rsidRDefault="00A101A4">
      <w:pPr>
        <w:numPr>
          <w:ilvl w:val="12"/>
          <w:numId w:val="0"/>
        </w:numPr>
        <w:tabs>
          <w:tab w:val="left" w:pos="-2268"/>
        </w:tabs>
        <w:suppressAutoHyphens/>
        <w:rPr>
          <w:spacing w:val="-3"/>
        </w:rPr>
      </w:pPr>
      <w:r w:rsidRPr="004068F6">
        <w:rPr>
          <w:spacing w:val="-3"/>
        </w:rPr>
        <w:t xml:space="preserve">La elaboración del estudio ambiental requiere el levantamiento, análisis y procesamiento de información de diversas fuentes, de las cuales se pueden obtener evidencias o soportes almacenados en archivos </w:t>
      </w:r>
      <w:r w:rsidR="008F4EA9" w:rsidRPr="004068F6">
        <w:rPr>
          <w:spacing w:val="-3"/>
        </w:rPr>
        <w:t xml:space="preserve">digitales de </w:t>
      </w:r>
      <w:r w:rsidRPr="004068F6">
        <w:rPr>
          <w:spacing w:val="-3"/>
        </w:rPr>
        <w:t>texto, im</w:t>
      </w:r>
      <w:r w:rsidR="008F4EA9" w:rsidRPr="004068F6">
        <w:rPr>
          <w:spacing w:val="-3"/>
        </w:rPr>
        <w:t>a</w:t>
      </w:r>
      <w:r w:rsidRPr="004068F6">
        <w:rPr>
          <w:spacing w:val="-3"/>
        </w:rPr>
        <w:t>gen, audio, video, entre otros. Para la presentación de esta información, ya sea en el documento del estudio o dentro de los anexos, se deben utilizar los siguientes formatos, pues permiten visualizar y utilizar la información a la vez que optimizan el tamaño de los archivos:</w:t>
      </w:r>
    </w:p>
    <w:p w14:paraId="1301713E" w14:textId="77777777" w:rsidR="00A101A4" w:rsidRPr="004068F6" w:rsidRDefault="00A101A4">
      <w:pPr>
        <w:numPr>
          <w:ilvl w:val="12"/>
          <w:numId w:val="0"/>
        </w:numPr>
        <w:tabs>
          <w:tab w:val="left" w:pos="-2268"/>
        </w:tabs>
        <w:suppressAutoHyphens/>
        <w:rPr>
          <w:spacing w:val="-3"/>
        </w:rPr>
      </w:pPr>
    </w:p>
    <w:p w14:paraId="39621052" w14:textId="60D96706" w:rsidR="00A101A4" w:rsidRPr="004068F6" w:rsidRDefault="00A101A4" w:rsidP="00C86DA5">
      <w:pPr>
        <w:pStyle w:val="Descripcin"/>
        <w:jc w:val="center"/>
        <w:rPr>
          <w:b w:val="0"/>
          <w:spacing w:val="-3"/>
        </w:rPr>
      </w:pPr>
      <w:r w:rsidRPr="004068F6">
        <w:t xml:space="preserve">Tabla </w:t>
      </w:r>
      <w:fldSimple w:instr=" SEQ Tabla \* ARABIC ">
        <w:r w:rsidR="009C4A81">
          <w:rPr>
            <w:noProof/>
          </w:rPr>
          <w:t>6</w:t>
        </w:r>
      </w:fldSimple>
      <w:r w:rsidRPr="004068F6">
        <w:rPr>
          <w:spacing w:val="-3"/>
        </w:rPr>
        <w:t>.</w:t>
      </w:r>
      <w:r w:rsidRPr="004068F6">
        <w:rPr>
          <w:b w:val="0"/>
          <w:spacing w:val="-3"/>
        </w:rPr>
        <w:t xml:space="preserve"> Formatos de archivos</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gridCol w:w="4592"/>
      </w:tblGrid>
      <w:tr w:rsidR="00A101A4" w:rsidRPr="004068F6" w14:paraId="08D9B101" w14:textId="77777777" w:rsidTr="00FA022E">
        <w:trPr>
          <w:trHeight w:val="567"/>
          <w:tblHeader/>
          <w:jc w:val="center"/>
        </w:trPr>
        <w:tc>
          <w:tcPr>
            <w:tcW w:w="4516" w:type="dxa"/>
            <w:vAlign w:val="center"/>
          </w:tcPr>
          <w:p w14:paraId="0218E77E" w14:textId="2D1E609A" w:rsidR="00A101A4" w:rsidRPr="004068F6" w:rsidRDefault="00F04B5F" w:rsidP="00BA45DD">
            <w:pPr>
              <w:numPr>
                <w:ilvl w:val="12"/>
                <w:numId w:val="0"/>
              </w:numPr>
              <w:tabs>
                <w:tab w:val="left" w:pos="-2268"/>
              </w:tabs>
              <w:suppressAutoHyphens/>
              <w:jc w:val="center"/>
              <w:rPr>
                <w:i/>
                <w:spacing w:val="-3"/>
                <w:sz w:val="22"/>
              </w:rPr>
            </w:pPr>
            <w:r w:rsidRPr="004068F6">
              <w:rPr>
                <w:rFonts w:cs="Arial"/>
                <w:b/>
                <w:bCs/>
                <w:spacing w:val="-3"/>
                <w:sz w:val="22"/>
              </w:rPr>
              <w:t>Tipo de archivos</w:t>
            </w:r>
          </w:p>
        </w:tc>
        <w:tc>
          <w:tcPr>
            <w:tcW w:w="4592" w:type="dxa"/>
            <w:vAlign w:val="center"/>
          </w:tcPr>
          <w:p w14:paraId="10758E1D" w14:textId="016CBA28" w:rsidR="00A101A4" w:rsidRPr="004068F6" w:rsidRDefault="00F04B5F" w:rsidP="00BA45DD">
            <w:pPr>
              <w:numPr>
                <w:ilvl w:val="12"/>
                <w:numId w:val="0"/>
              </w:numPr>
              <w:tabs>
                <w:tab w:val="left" w:pos="-2268"/>
              </w:tabs>
              <w:suppressAutoHyphens/>
              <w:jc w:val="center"/>
              <w:rPr>
                <w:i/>
                <w:spacing w:val="-3"/>
                <w:sz w:val="22"/>
              </w:rPr>
            </w:pPr>
            <w:r w:rsidRPr="004068F6">
              <w:rPr>
                <w:rFonts w:cs="Arial"/>
                <w:b/>
                <w:bCs/>
                <w:spacing w:val="-3"/>
                <w:sz w:val="22"/>
              </w:rPr>
              <w:t>Formatos recomendados</w:t>
            </w:r>
          </w:p>
        </w:tc>
      </w:tr>
      <w:tr w:rsidR="00A101A4" w:rsidRPr="00755498" w14:paraId="078862A6" w14:textId="77777777" w:rsidTr="009420F5">
        <w:trPr>
          <w:trHeight w:val="567"/>
          <w:jc w:val="center"/>
        </w:trPr>
        <w:tc>
          <w:tcPr>
            <w:tcW w:w="4516" w:type="dxa"/>
            <w:vAlign w:val="center"/>
          </w:tcPr>
          <w:p w14:paraId="22681BE7" w14:textId="77777777" w:rsidR="00A101A4" w:rsidRPr="004068F6" w:rsidRDefault="00A101A4">
            <w:pPr>
              <w:numPr>
                <w:ilvl w:val="12"/>
                <w:numId w:val="0"/>
              </w:numPr>
              <w:tabs>
                <w:tab w:val="left" w:pos="-2268"/>
              </w:tabs>
              <w:suppressAutoHyphens/>
              <w:rPr>
                <w:i/>
                <w:spacing w:val="-3"/>
                <w:sz w:val="22"/>
              </w:rPr>
            </w:pPr>
            <w:r w:rsidRPr="004068F6">
              <w:rPr>
                <w:spacing w:val="-3"/>
                <w:sz w:val="22"/>
              </w:rPr>
              <w:t>Texto</w:t>
            </w:r>
          </w:p>
        </w:tc>
        <w:tc>
          <w:tcPr>
            <w:tcW w:w="4592" w:type="dxa"/>
            <w:vAlign w:val="center"/>
          </w:tcPr>
          <w:p w14:paraId="0F032AAA" w14:textId="2BB51C46" w:rsidR="00A101A4" w:rsidRPr="006C00FC" w:rsidRDefault="00A101A4" w:rsidP="009420F5">
            <w:pPr>
              <w:tabs>
                <w:tab w:val="left" w:pos="-2268"/>
              </w:tabs>
              <w:suppressAutoHyphens/>
              <w:ind w:left="-9"/>
              <w:rPr>
                <w:spacing w:val="-3"/>
                <w:sz w:val="22"/>
                <w:lang w:val="en-US"/>
              </w:rPr>
            </w:pPr>
            <w:r w:rsidRPr="006C00FC">
              <w:rPr>
                <w:spacing w:val="-3"/>
                <w:sz w:val="22"/>
                <w:lang w:val="en-US"/>
              </w:rPr>
              <w:t>pdf, A full text</w:t>
            </w:r>
            <w:r w:rsidRPr="006C00FC">
              <w:rPr>
                <w:rFonts w:cs="Arial"/>
                <w:spacing w:val="-3"/>
                <w:sz w:val="22"/>
                <w:lang w:val="en-US"/>
              </w:rPr>
              <w:t>, doc</w:t>
            </w:r>
            <w:r w:rsidR="00BD2BE8" w:rsidRPr="006C00FC">
              <w:rPr>
                <w:rFonts w:cs="Arial"/>
                <w:spacing w:val="-3"/>
                <w:sz w:val="22"/>
                <w:lang w:val="en-US"/>
              </w:rPr>
              <w:t>x.</w:t>
            </w:r>
          </w:p>
        </w:tc>
      </w:tr>
      <w:tr w:rsidR="00A101A4" w:rsidRPr="004068F6" w14:paraId="671DA5B5" w14:textId="77777777" w:rsidTr="009420F5">
        <w:trPr>
          <w:trHeight w:val="567"/>
          <w:jc w:val="center"/>
        </w:trPr>
        <w:tc>
          <w:tcPr>
            <w:tcW w:w="4516" w:type="dxa"/>
            <w:vAlign w:val="center"/>
          </w:tcPr>
          <w:p w14:paraId="163D3833" w14:textId="77777777" w:rsidR="00A101A4" w:rsidRPr="004068F6" w:rsidRDefault="00A101A4">
            <w:pPr>
              <w:numPr>
                <w:ilvl w:val="12"/>
                <w:numId w:val="0"/>
              </w:numPr>
              <w:tabs>
                <w:tab w:val="left" w:pos="-2268"/>
              </w:tabs>
              <w:suppressAutoHyphens/>
              <w:rPr>
                <w:i/>
                <w:spacing w:val="-3"/>
                <w:sz w:val="22"/>
              </w:rPr>
            </w:pPr>
            <w:r w:rsidRPr="004068F6">
              <w:rPr>
                <w:spacing w:val="-3"/>
                <w:sz w:val="22"/>
              </w:rPr>
              <w:t>Imágenes o fotografías</w:t>
            </w:r>
          </w:p>
        </w:tc>
        <w:tc>
          <w:tcPr>
            <w:tcW w:w="4592" w:type="dxa"/>
            <w:vAlign w:val="center"/>
          </w:tcPr>
          <w:p w14:paraId="45A1B15A" w14:textId="513BA3B1" w:rsidR="00A101A4" w:rsidRPr="004068F6" w:rsidRDefault="00A101A4" w:rsidP="009420F5">
            <w:pPr>
              <w:numPr>
                <w:ilvl w:val="12"/>
                <w:numId w:val="0"/>
              </w:numPr>
              <w:tabs>
                <w:tab w:val="left" w:pos="-2268"/>
              </w:tabs>
              <w:suppressAutoHyphens/>
              <w:ind w:left="-9"/>
              <w:rPr>
                <w:spacing w:val="-3"/>
                <w:sz w:val="22"/>
              </w:rPr>
            </w:pPr>
            <w:r w:rsidRPr="004068F6">
              <w:rPr>
                <w:spacing w:val="-3"/>
                <w:sz w:val="22"/>
              </w:rPr>
              <w:t>jpg, png, bmp</w:t>
            </w:r>
            <w:r w:rsidR="00BD2BE8" w:rsidRPr="004068F6">
              <w:rPr>
                <w:spacing w:val="-3"/>
                <w:sz w:val="22"/>
              </w:rPr>
              <w:t>.</w:t>
            </w:r>
          </w:p>
        </w:tc>
      </w:tr>
      <w:tr w:rsidR="00A101A4" w:rsidRPr="004068F6" w14:paraId="17148B4F" w14:textId="77777777" w:rsidTr="009420F5">
        <w:trPr>
          <w:trHeight w:val="567"/>
          <w:jc w:val="center"/>
        </w:trPr>
        <w:tc>
          <w:tcPr>
            <w:tcW w:w="4516" w:type="dxa"/>
            <w:vAlign w:val="center"/>
          </w:tcPr>
          <w:p w14:paraId="776AECB0" w14:textId="77777777" w:rsidR="00A101A4" w:rsidRPr="004068F6" w:rsidRDefault="00A101A4">
            <w:pPr>
              <w:numPr>
                <w:ilvl w:val="12"/>
                <w:numId w:val="0"/>
              </w:numPr>
              <w:tabs>
                <w:tab w:val="left" w:pos="-2268"/>
              </w:tabs>
              <w:suppressAutoHyphens/>
              <w:rPr>
                <w:i/>
                <w:spacing w:val="-3"/>
                <w:sz w:val="22"/>
              </w:rPr>
            </w:pPr>
            <w:r w:rsidRPr="004068F6">
              <w:rPr>
                <w:spacing w:val="-3"/>
                <w:sz w:val="22"/>
              </w:rPr>
              <w:t>Fílmicos o videos</w:t>
            </w:r>
          </w:p>
        </w:tc>
        <w:tc>
          <w:tcPr>
            <w:tcW w:w="4592" w:type="dxa"/>
            <w:vAlign w:val="center"/>
          </w:tcPr>
          <w:p w14:paraId="5C071745" w14:textId="3BEF9B94" w:rsidR="00A101A4" w:rsidRPr="004068F6" w:rsidRDefault="00A101A4" w:rsidP="009420F5">
            <w:pPr>
              <w:tabs>
                <w:tab w:val="left" w:pos="-2268"/>
              </w:tabs>
              <w:suppressAutoHyphens/>
              <w:ind w:left="-9"/>
              <w:rPr>
                <w:spacing w:val="-3"/>
                <w:sz w:val="22"/>
              </w:rPr>
            </w:pPr>
            <w:r w:rsidRPr="004068F6">
              <w:rPr>
                <w:spacing w:val="-3"/>
                <w:sz w:val="22"/>
              </w:rPr>
              <w:t>Mpeg, Mp4</w:t>
            </w:r>
            <w:r w:rsidR="00BD2BE8" w:rsidRPr="004068F6">
              <w:rPr>
                <w:rFonts w:cs="Arial"/>
                <w:spacing w:val="-3"/>
                <w:sz w:val="22"/>
              </w:rPr>
              <w:t>.</w:t>
            </w:r>
          </w:p>
        </w:tc>
      </w:tr>
      <w:tr w:rsidR="00A101A4" w:rsidRPr="004068F6" w14:paraId="6CB6B582" w14:textId="77777777" w:rsidTr="009420F5">
        <w:trPr>
          <w:trHeight w:val="567"/>
          <w:jc w:val="center"/>
        </w:trPr>
        <w:tc>
          <w:tcPr>
            <w:tcW w:w="4516" w:type="dxa"/>
            <w:vAlign w:val="center"/>
          </w:tcPr>
          <w:p w14:paraId="0A3115FE" w14:textId="77777777" w:rsidR="00A101A4" w:rsidRPr="004068F6" w:rsidRDefault="00A101A4">
            <w:pPr>
              <w:numPr>
                <w:ilvl w:val="12"/>
                <w:numId w:val="0"/>
              </w:numPr>
              <w:tabs>
                <w:tab w:val="left" w:pos="-2268"/>
              </w:tabs>
              <w:suppressAutoHyphens/>
              <w:rPr>
                <w:i/>
                <w:spacing w:val="-3"/>
                <w:sz w:val="22"/>
              </w:rPr>
            </w:pPr>
            <w:r w:rsidRPr="004068F6">
              <w:rPr>
                <w:spacing w:val="-3"/>
                <w:sz w:val="22"/>
              </w:rPr>
              <w:t>Audio</w:t>
            </w:r>
          </w:p>
        </w:tc>
        <w:tc>
          <w:tcPr>
            <w:tcW w:w="4592" w:type="dxa"/>
            <w:vAlign w:val="center"/>
          </w:tcPr>
          <w:p w14:paraId="18255EE8" w14:textId="7E69F16B" w:rsidR="00A101A4" w:rsidRPr="004068F6" w:rsidRDefault="00A101A4" w:rsidP="009420F5">
            <w:pPr>
              <w:numPr>
                <w:ilvl w:val="12"/>
                <w:numId w:val="0"/>
              </w:numPr>
              <w:tabs>
                <w:tab w:val="left" w:pos="-2268"/>
              </w:tabs>
              <w:suppressAutoHyphens/>
              <w:ind w:left="-9"/>
              <w:rPr>
                <w:spacing w:val="-3"/>
                <w:sz w:val="22"/>
              </w:rPr>
            </w:pPr>
            <w:r w:rsidRPr="004068F6">
              <w:rPr>
                <w:spacing w:val="-3"/>
                <w:sz w:val="22"/>
              </w:rPr>
              <w:t>Mp3</w:t>
            </w:r>
            <w:r w:rsidR="00203EE2" w:rsidRPr="004068F6">
              <w:rPr>
                <w:spacing w:val="-3"/>
                <w:sz w:val="22"/>
              </w:rPr>
              <w:t>, AAC, Flac</w:t>
            </w:r>
            <w:r w:rsidR="00BD2BE8" w:rsidRPr="004068F6">
              <w:rPr>
                <w:rFonts w:cs="Arial"/>
                <w:spacing w:val="-3"/>
                <w:sz w:val="22"/>
              </w:rPr>
              <w:t>.</w:t>
            </w:r>
          </w:p>
        </w:tc>
      </w:tr>
      <w:tr w:rsidR="00A101A4" w:rsidRPr="004068F6" w14:paraId="55661089" w14:textId="77777777" w:rsidTr="009420F5">
        <w:trPr>
          <w:trHeight w:val="567"/>
          <w:jc w:val="center"/>
        </w:trPr>
        <w:tc>
          <w:tcPr>
            <w:tcW w:w="4516" w:type="dxa"/>
            <w:vAlign w:val="center"/>
          </w:tcPr>
          <w:p w14:paraId="385E2427" w14:textId="77777777" w:rsidR="00A101A4" w:rsidRPr="004068F6" w:rsidRDefault="00A101A4">
            <w:pPr>
              <w:numPr>
                <w:ilvl w:val="12"/>
                <w:numId w:val="0"/>
              </w:numPr>
              <w:tabs>
                <w:tab w:val="left" w:pos="-2268"/>
              </w:tabs>
              <w:suppressAutoHyphens/>
              <w:rPr>
                <w:i/>
                <w:spacing w:val="-3"/>
                <w:sz w:val="22"/>
              </w:rPr>
            </w:pPr>
            <w:r w:rsidRPr="004068F6">
              <w:rPr>
                <w:spacing w:val="-3"/>
                <w:sz w:val="22"/>
              </w:rPr>
              <w:t>Tablas, formatos o matrices</w:t>
            </w:r>
          </w:p>
        </w:tc>
        <w:tc>
          <w:tcPr>
            <w:tcW w:w="4592" w:type="dxa"/>
            <w:vAlign w:val="center"/>
          </w:tcPr>
          <w:p w14:paraId="0E9DC39D" w14:textId="14987A42" w:rsidR="00A101A4" w:rsidRPr="004068F6" w:rsidRDefault="00E24F1A" w:rsidP="009420F5">
            <w:pPr>
              <w:numPr>
                <w:ilvl w:val="12"/>
                <w:numId w:val="0"/>
              </w:numPr>
              <w:tabs>
                <w:tab w:val="left" w:pos="-2268"/>
              </w:tabs>
              <w:suppressAutoHyphens/>
              <w:ind w:left="-9"/>
              <w:rPr>
                <w:spacing w:val="-3"/>
                <w:sz w:val="22"/>
              </w:rPr>
            </w:pPr>
            <w:r w:rsidRPr="004068F6">
              <w:rPr>
                <w:rFonts w:cs="Arial"/>
                <w:spacing w:val="-3"/>
                <w:sz w:val="22"/>
              </w:rPr>
              <w:t>x</w:t>
            </w:r>
            <w:r w:rsidR="003018AE" w:rsidRPr="004068F6">
              <w:rPr>
                <w:rFonts w:cs="Arial"/>
                <w:spacing w:val="-3"/>
                <w:sz w:val="22"/>
              </w:rPr>
              <w:t>lsx</w:t>
            </w:r>
            <w:r w:rsidRPr="004068F6">
              <w:rPr>
                <w:rFonts w:cs="Arial"/>
                <w:spacing w:val="-3"/>
                <w:sz w:val="22"/>
              </w:rPr>
              <w:t>, csv, tsv, txt delimitado por tabulaciones.</w:t>
            </w:r>
          </w:p>
        </w:tc>
      </w:tr>
      <w:tr w:rsidR="00A101A4" w:rsidRPr="004068F6" w14:paraId="26F2D886" w14:textId="77777777" w:rsidTr="009420F5">
        <w:trPr>
          <w:trHeight w:val="567"/>
          <w:jc w:val="center"/>
        </w:trPr>
        <w:tc>
          <w:tcPr>
            <w:tcW w:w="4516" w:type="dxa"/>
            <w:vAlign w:val="center"/>
          </w:tcPr>
          <w:p w14:paraId="479541F1" w14:textId="77777777" w:rsidR="00A101A4" w:rsidRPr="004068F6" w:rsidRDefault="00A101A4">
            <w:pPr>
              <w:numPr>
                <w:ilvl w:val="12"/>
                <w:numId w:val="0"/>
              </w:numPr>
              <w:tabs>
                <w:tab w:val="left" w:pos="-2268"/>
              </w:tabs>
              <w:suppressAutoHyphens/>
              <w:rPr>
                <w:i/>
                <w:spacing w:val="-3"/>
                <w:sz w:val="22"/>
              </w:rPr>
            </w:pPr>
            <w:r w:rsidRPr="004068F6">
              <w:rPr>
                <w:spacing w:val="-3"/>
                <w:sz w:val="22"/>
              </w:rPr>
              <w:t>Soportes o documentos físicos digitalizados</w:t>
            </w:r>
          </w:p>
        </w:tc>
        <w:tc>
          <w:tcPr>
            <w:tcW w:w="4592" w:type="dxa"/>
            <w:vAlign w:val="center"/>
          </w:tcPr>
          <w:p w14:paraId="440FA327" w14:textId="5B385947" w:rsidR="00A101A4" w:rsidRPr="004068F6" w:rsidRDefault="00A101A4" w:rsidP="009420F5">
            <w:pPr>
              <w:numPr>
                <w:ilvl w:val="12"/>
                <w:numId w:val="0"/>
              </w:numPr>
              <w:tabs>
                <w:tab w:val="left" w:pos="-2268"/>
              </w:tabs>
              <w:suppressAutoHyphens/>
              <w:ind w:left="-9"/>
              <w:rPr>
                <w:spacing w:val="-3"/>
                <w:sz w:val="22"/>
              </w:rPr>
            </w:pPr>
            <w:r w:rsidRPr="004068F6">
              <w:rPr>
                <w:spacing w:val="-3"/>
                <w:sz w:val="22"/>
              </w:rPr>
              <w:t>pdf</w:t>
            </w:r>
            <w:r w:rsidR="00BD2BE8" w:rsidRPr="004068F6">
              <w:rPr>
                <w:rFonts w:cs="Arial"/>
                <w:spacing w:val="-3"/>
                <w:sz w:val="22"/>
              </w:rPr>
              <w:t>.</w:t>
            </w:r>
          </w:p>
        </w:tc>
      </w:tr>
    </w:tbl>
    <w:p w14:paraId="4D695FD9" w14:textId="77777777" w:rsidR="00A101A4" w:rsidRPr="004068F6" w:rsidRDefault="00A101A4">
      <w:pPr>
        <w:numPr>
          <w:ilvl w:val="12"/>
          <w:numId w:val="0"/>
        </w:numPr>
        <w:tabs>
          <w:tab w:val="left" w:pos="-2268"/>
        </w:tabs>
        <w:suppressAutoHyphens/>
        <w:rPr>
          <w:spacing w:val="-3"/>
        </w:rPr>
      </w:pPr>
    </w:p>
    <w:p w14:paraId="5E8EF97F" w14:textId="7B03EFB5" w:rsidR="00A101A4" w:rsidRPr="004068F6" w:rsidRDefault="00A101A4" w:rsidP="009420F5">
      <w:pPr>
        <w:pStyle w:val="Ttulo4"/>
        <w:tabs>
          <w:tab w:val="clear" w:pos="1844"/>
          <w:tab w:val="num" w:pos="1134"/>
        </w:tabs>
        <w:ind w:left="0"/>
        <w:rPr>
          <w:lang w:val="es-CO"/>
        </w:rPr>
      </w:pPr>
      <w:r w:rsidRPr="004068F6">
        <w:rPr>
          <w:lang w:val="es-CO"/>
        </w:rPr>
        <w:t>Archivos de texto</w:t>
      </w:r>
    </w:p>
    <w:p w14:paraId="2E066C08" w14:textId="77777777" w:rsidR="00A101A4" w:rsidRPr="004068F6" w:rsidRDefault="00A101A4">
      <w:pPr>
        <w:numPr>
          <w:ilvl w:val="12"/>
          <w:numId w:val="0"/>
        </w:numPr>
        <w:tabs>
          <w:tab w:val="left" w:pos="-2268"/>
        </w:tabs>
        <w:suppressAutoHyphens/>
        <w:rPr>
          <w:spacing w:val="-3"/>
        </w:rPr>
      </w:pPr>
    </w:p>
    <w:p w14:paraId="476B4227" w14:textId="2A39FE48" w:rsidR="00A101A4" w:rsidRPr="004068F6" w:rsidRDefault="00A101A4">
      <w:pPr>
        <w:numPr>
          <w:ilvl w:val="12"/>
          <w:numId w:val="0"/>
        </w:numPr>
        <w:tabs>
          <w:tab w:val="left" w:pos="-2268"/>
        </w:tabs>
        <w:suppressAutoHyphens/>
        <w:rPr>
          <w:spacing w:val="-3"/>
        </w:rPr>
      </w:pPr>
      <w:r w:rsidRPr="004068F6">
        <w:rPr>
          <w:spacing w:val="-3"/>
        </w:rPr>
        <w:lastRenderedPageBreak/>
        <w:t xml:space="preserve">Los documentos del estudio </w:t>
      </w:r>
      <w:r w:rsidR="00203EE2" w:rsidRPr="004068F6">
        <w:rPr>
          <w:spacing w:val="-3"/>
        </w:rPr>
        <w:t>y</w:t>
      </w:r>
      <w:r w:rsidRPr="004068F6">
        <w:rPr>
          <w:spacing w:val="-3"/>
        </w:rPr>
        <w:t xml:space="preserve"> sus respectivos anexos deben ser presentados en formato pdf/A full text (no imagen</w:t>
      </w:r>
      <w:r w:rsidRPr="004068F6">
        <w:rPr>
          <w:rFonts w:cs="Arial"/>
          <w:spacing w:val="-3"/>
        </w:rPr>
        <w:t xml:space="preserve">) </w:t>
      </w:r>
      <w:r w:rsidR="00D9376F" w:rsidRPr="004068F6">
        <w:rPr>
          <w:rFonts w:cs="Arial"/>
          <w:spacing w:val="-3"/>
        </w:rPr>
        <w:t xml:space="preserve">y, eventualmente, en </w:t>
      </w:r>
      <w:r w:rsidRPr="004068F6">
        <w:rPr>
          <w:rFonts w:cs="Arial"/>
          <w:spacing w:val="-3"/>
        </w:rPr>
        <w:t>formato .doc</w:t>
      </w:r>
      <w:r w:rsidR="00BD2BE8" w:rsidRPr="004068F6">
        <w:rPr>
          <w:rFonts w:cs="Arial"/>
          <w:spacing w:val="-3"/>
        </w:rPr>
        <w:t>x</w:t>
      </w:r>
      <w:r w:rsidR="007D4CD7" w:rsidRPr="004068F6">
        <w:rPr>
          <w:rFonts w:cs="Arial"/>
          <w:spacing w:val="-3"/>
        </w:rPr>
        <w:t xml:space="preserve"> protegidos contra escritura</w:t>
      </w:r>
      <w:r w:rsidRPr="004068F6">
        <w:rPr>
          <w:rFonts w:cs="Arial"/>
          <w:spacing w:val="-3"/>
        </w:rPr>
        <w:t>,</w:t>
      </w:r>
      <w:r w:rsidRPr="004068F6">
        <w:rPr>
          <w:spacing w:val="-3"/>
        </w:rPr>
        <w:t xml:space="preserve"> de tal forma que sea posible realizar búsquedas de texto.</w:t>
      </w:r>
      <w:r w:rsidR="00C32B93" w:rsidRPr="004068F6">
        <w:rPr>
          <w:spacing w:val="-3"/>
        </w:rPr>
        <w:t xml:space="preserve"> Si se suministra</w:t>
      </w:r>
      <w:r w:rsidR="00906FAD" w:rsidRPr="004068F6">
        <w:rPr>
          <w:spacing w:val="-3"/>
        </w:rPr>
        <w:t xml:space="preserve"> un documento </w:t>
      </w:r>
      <w:r w:rsidR="00C32B93" w:rsidRPr="004068F6">
        <w:rPr>
          <w:spacing w:val="-3"/>
        </w:rPr>
        <w:t>en ambos formatos</w:t>
      </w:r>
      <w:r w:rsidR="00144C1C" w:rsidRPr="004068F6">
        <w:rPr>
          <w:spacing w:val="-3"/>
        </w:rPr>
        <w:t xml:space="preserve"> y </w:t>
      </w:r>
      <w:r w:rsidR="00F34E94" w:rsidRPr="004068F6">
        <w:rPr>
          <w:spacing w:val="-3"/>
        </w:rPr>
        <w:t xml:space="preserve">la autoridad ambiental </w:t>
      </w:r>
      <w:r w:rsidR="00C32B93" w:rsidRPr="004068F6">
        <w:rPr>
          <w:spacing w:val="-3"/>
        </w:rPr>
        <w:t>enc</w:t>
      </w:r>
      <w:r w:rsidR="00144C1C" w:rsidRPr="004068F6">
        <w:rPr>
          <w:spacing w:val="-3"/>
        </w:rPr>
        <w:t xml:space="preserve">uentra </w:t>
      </w:r>
      <w:r w:rsidR="00C32B93" w:rsidRPr="004068F6">
        <w:rPr>
          <w:spacing w:val="-3"/>
        </w:rPr>
        <w:t>diferencias</w:t>
      </w:r>
      <w:r w:rsidR="00144C1C" w:rsidRPr="004068F6">
        <w:rPr>
          <w:spacing w:val="-3"/>
        </w:rPr>
        <w:t xml:space="preserve"> entre ellos</w:t>
      </w:r>
      <w:r w:rsidR="00C32B93" w:rsidRPr="004068F6">
        <w:rPr>
          <w:spacing w:val="-3"/>
        </w:rPr>
        <w:t>, tomará en cuenta únicamente el contenido del archivo pdf.</w:t>
      </w:r>
    </w:p>
    <w:p w14:paraId="78D5A470" w14:textId="77777777" w:rsidR="00A101A4" w:rsidRPr="004068F6" w:rsidRDefault="00A101A4">
      <w:pPr>
        <w:numPr>
          <w:ilvl w:val="12"/>
          <w:numId w:val="0"/>
        </w:numPr>
        <w:tabs>
          <w:tab w:val="left" w:pos="-2268"/>
        </w:tabs>
        <w:suppressAutoHyphens/>
        <w:rPr>
          <w:spacing w:val="-3"/>
        </w:rPr>
      </w:pPr>
    </w:p>
    <w:p w14:paraId="37124776" w14:textId="77777777" w:rsidR="00A101A4" w:rsidRPr="004068F6" w:rsidRDefault="00A101A4" w:rsidP="009420F5">
      <w:pPr>
        <w:pStyle w:val="Ttulo4"/>
        <w:tabs>
          <w:tab w:val="clear" w:pos="1844"/>
          <w:tab w:val="num" w:pos="1134"/>
        </w:tabs>
        <w:ind w:left="0"/>
        <w:rPr>
          <w:lang w:val="es-CO"/>
        </w:rPr>
      </w:pPr>
      <w:r w:rsidRPr="004068F6">
        <w:rPr>
          <w:lang w:val="es-CO"/>
        </w:rPr>
        <w:t>Archivos de imágenes o fotografías</w:t>
      </w:r>
    </w:p>
    <w:p w14:paraId="534C4D90" w14:textId="77777777" w:rsidR="00A101A4" w:rsidRPr="004068F6" w:rsidRDefault="00A101A4">
      <w:pPr>
        <w:numPr>
          <w:ilvl w:val="12"/>
          <w:numId w:val="0"/>
        </w:numPr>
        <w:tabs>
          <w:tab w:val="left" w:pos="-2268"/>
        </w:tabs>
        <w:suppressAutoHyphens/>
        <w:rPr>
          <w:spacing w:val="-3"/>
        </w:rPr>
      </w:pPr>
    </w:p>
    <w:p w14:paraId="31486308" w14:textId="1AF3C47E" w:rsidR="00A101A4" w:rsidRPr="004068F6" w:rsidRDefault="002159C2">
      <w:pPr>
        <w:numPr>
          <w:ilvl w:val="12"/>
          <w:numId w:val="0"/>
        </w:numPr>
        <w:tabs>
          <w:tab w:val="left" w:pos="-2268"/>
        </w:tabs>
        <w:suppressAutoHyphens/>
        <w:rPr>
          <w:spacing w:val="-3"/>
        </w:rPr>
      </w:pPr>
      <w:r w:rsidRPr="004068F6">
        <w:rPr>
          <w:spacing w:val="-3"/>
        </w:rPr>
        <w:t xml:space="preserve">Los </w:t>
      </w:r>
      <w:r w:rsidR="00A101A4" w:rsidRPr="004068F6">
        <w:rPr>
          <w:spacing w:val="-3"/>
        </w:rPr>
        <w:t xml:space="preserve">soportes o evidencias gráficas </w:t>
      </w:r>
      <w:r w:rsidR="004834BF" w:rsidRPr="004068F6">
        <w:rPr>
          <w:spacing w:val="-3"/>
        </w:rPr>
        <w:t xml:space="preserve">que no hayan sido incluidos en el cuerpo del documento, </w:t>
      </w:r>
      <w:r w:rsidR="00A101A4" w:rsidRPr="004068F6">
        <w:rPr>
          <w:spacing w:val="-3"/>
        </w:rPr>
        <w:t xml:space="preserve">como fotografías o imágenes del medio socioeconómico, soporte de los inventarios de especímenes de la diversidad biológica o los registros del inventario de manantiales, aljibes, puntos de agua y pozos profundos, </w:t>
      </w:r>
      <w:r w:rsidR="00A101A4" w:rsidRPr="004068F6">
        <w:rPr>
          <w:rFonts w:cs="Arial"/>
          <w:spacing w:val="-3"/>
        </w:rPr>
        <w:t>entre otros</w:t>
      </w:r>
      <w:r w:rsidRPr="004068F6">
        <w:rPr>
          <w:rFonts w:cs="Arial"/>
          <w:spacing w:val="-3"/>
        </w:rPr>
        <w:t xml:space="preserve">, </w:t>
      </w:r>
      <w:r w:rsidRPr="004068F6">
        <w:rPr>
          <w:spacing w:val="-3"/>
        </w:rPr>
        <w:t xml:space="preserve">deben ser </w:t>
      </w:r>
      <w:r w:rsidR="00A101A4" w:rsidRPr="004068F6">
        <w:rPr>
          <w:spacing w:val="-3"/>
        </w:rPr>
        <w:t>agrupa</w:t>
      </w:r>
      <w:r w:rsidRPr="004068F6">
        <w:rPr>
          <w:spacing w:val="-3"/>
        </w:rPr>
        <w:t>dos</w:t>
      </w:r>
      <w:r w:rsidR="00A101A4" w:rsidRPr="004068F6">
        <w:rPr>
          <w:spacing w:val="-3"/>
        </w:rPr>
        <w:t xml:space="preserve"> en archivos PDF, debidamente nombrados, </w:t>
      </w:r>
      <w:r w:rsidR="008F4EA9" w:rsidRPr="004068F6">
        <w:rPr>
          <w:spacing w:val="-3"/>
        </w:rPr>
        <w:t xml:space="preserve">y con </w:t>
      </w:r>
      <w:r w:rsidR="00A101A4" w:rsidRPr="004068F6">
        <w:rPr>
          <w:spacing w:val="-3"/>
        </w:rPr>
        <w:t>información descriptiva de cada una de las imágenes o fotografías</w:t>
      </w:r>
      <w:r w:rsidR="008F4EA9" w:rsidRPr="004068F6">
        <w:rPr>
          <w:spacing w:val="-3"/>
        </w:rPr>
        <w:t>, tal</w:t>
      </w:r>
      <w:r w:rsidR="00A101A4" w:rsidRPr="004068F6">
        <w:rPr>
          <w:spacing w:val="-3"/>
        </w:rPr>
        <w:t xml:space="preserve"> como nombre, numeración o código, fecha de captura, coordenadas </w:t>
      </w:r>
      <w:r w:rsidR="00EC20C8" w:rsidRPr="004068F6">
        <w:rPr>
          <w:spacing w:val="-3"/>
        </w:rPr>
        <w:t>Magna-Sirgas (origen nacional)</w:t>
      </w:r>
      <w:r w:rsidR="00A101A4" w:rsidRPr="004068F6">
        <w:rPr>
          <w:spacing w:val="-3"/>
        </w:rPr>
        <w:t>, comentarios o relevancia de la imagen y los demás datos que se consideren pertinentes.</w:t>
      </w:r>
    </w:p>
    <w:p w14:paraId="3F3A7F76" w14:textId="77777777" w:rsidR="00675410" w:rsidRPr="004068F6" w:rsidRDefault="00675410" w:rsidP="00F04B5F">
      <w:pPr>
        <w:numPr>
          <w:ilvl w:val="12"/>
          <w:numId w:val="0"/>
        </w:numPr>
        <w:tabs>
          <w:tab w:val="left" w:pos="-2268"/>
        </w:tabs>
        <w:suppressAutoHyphens/>
        <w:rPr>
          <w:rFonts w:cs="Arial"/>
          <w:spacing w:val="-3"/>
        </w:rPr>
      </w:pPr>
    </w:p>
    <w:p w14:paraId="03CD9583" w14:textId="77777777" w:rsidR="00A101A4" w:rsidRPr="004068F6" w:rsidRDefault="00A101A4" w:rsidP="009420F5">
      <w:pPr>
        <w:pStyle w:val="Ttulo4"/>
        <w:tabs>
          <w:tab w:val="clear" w:pos="1844"/>
          <w:tab w:val="num" w:pos="1134"/>
        </w:tabs>
        <w:ind w:left="0"/>
        <w:rPr>
          <w:lang w:val="es-CO"/>
        </w:rPr>
      </w:pPr>
      <w:r w:rsidRPr="004068F6">
        <w:rPr>
          <w:lang w:val="es-CO"/>
        </w:rPr>
        <w:t>Archivos de audio, fílmicos o videos</w:t>
      </w:r>
    </w:p>
    <w:p w14:paraId="00ED7C37" w14:textId="77777777" w:rsidR="00A101A4" w:rsidRPr="004068F6" w:rsidRDefault="00A101A4">
      <w:pPr>
        <w:numPr>
          <w:ilvl w:val="12"/>
          <w:numId w:val="0"/>
        </w:numPr>
        <w:tabs>
          <w:tab w:val="left" w:pos="-2268"/>
        </w:tabs>
        <w:suppressAutoHyphens/>
        <w:rPr>
          <w:spacing w:val="-3"/>
        </w:rPr>
      </w:pPr>
    </w:p>
    <w:p w14:paraId="31C2F13E" w14:textId="1112CAB7" w:rsidR="00A101A4" w:rsidRPr="004068F6" w:rsidRDefault="00A101A4">
      <w:pPr>
        <w:numPr>
          <w:ilvl w:val="12"/>
          <w:numId w:val="0"/>
        </w:numPr>
        <w:tabs>
          <w:tab w:val="left" w:pos="-2268"/>
        </w:tabs>
        <w:suppressAutoHyphens/>
        <w:rPr>
          <w:spacing w:val="-3"/>
        </w:rPr>
      </w:pPr>
      <w:r w:rsidRPr="004068F6">
        <w:rPr>
          <w:spacing w:val="-3"/>
        </w:rPr>
        <w:t>Los soportes socioeconómicos</w:t>
      </w:r>
      <w:r w:rsidR="00E91D20" w:rsidRPr="004068F6">
        <w:rPr>
          <w:spacing w:val="-3"/>
        </w:rPr>
        <w:t>, de procesos de participación</w:t>
      </w:r>
      <w:r w:rsidRPr="004068F6">
        <w:rPr>
          <w:spacing w:val="-3"/>
        </w:rPr>
        <w:t xml:space="preserve"> o de otra índole que el solicitante documente en archivos de audio, fílmicos o video, como el registro de los procesos de participación adelantados con las comunidades, autoridades regionales o locales y con las diferentes organizaciones, entidades e instituciones con presencia en el área de </w:t>
      </w:r>
      <w:r w:rsidR="008F4EA9" w:rsidRPr="004068F6">
        <w:rPr>
          <w:spacing w:val="-3"/>
        </w:rPr>
        <w:t xml:space="preserve">referencia </w:t>
      </w:r>
      <w:r w:rsidRPr="004068F6">
        <w:rPr>
          <w:spacing w:val="-3"/>
        </w:rPr>
        <w:t>(</w:t>
      </w:r>
      <w:r w:rsidR="008F4EA9" w:rsidRPr="004068F6">
        <w:rPr>
          <w:spacing w:val="-3"/>
        </w:rPr>
        <w:t>de estudio para el DAA y de influencia para el EIA</w:t>
      </w:r>
      <w:r w:rsidRPr="004068F6">
        <w:rPr>
          <w:spacing w:val="-3"/>
        </w:rPr>
        <w:t>)</w:t>
      </w:r>
      <w:r w:rsidR="00A84BC0">
        <w:rPr>
          <w:spacing w:val="-3"/>
        </w:rPr>
        <w:t xml:space="preserve">, </w:t>
      </w:r>
      <w:r w:rsidR="00A84BC0" w:rsidRPr="00A84BC0">
        <w:rPr>
          <w:spacing w:val="-3"/>
        </w:rPr>
        <w:t>así como los soportes de</w:t>
      </w:r>
      <w:r w:rsidR="001A1F11">
        <w:rPr>
          <w:spacing w:val="-3"/>
        </w:rPr>
        <w:t xml:space="preserve"> </w:t>
      </w:r>
      <w:r w:rsidR="00A84BC0" w:rsidRPr="00A84BC0">
        <w:rPr>
          <w:spacing w:val="-3"/>
        </w:rPr>
        <w:t>l</w:t>
      </w:r>
      <w:r w:rsidR="001A1F11">
        <w:rPr>
          <w:spacing w:val="-3"/>
        </w:rPr>
        <w:t>os</w:t>
      </w:r>
      <w:r w:rsidR="00A84BC0" w:rsidRPr="00A84BC0">
        <w:rPr>
          <w:spacing w:val="-3"/>
        </w:rPr>
        <w:t xml:space="preserve"> análisis bioacústico</w:t>
      </w:r>
      <w:r w:rsidR="001A1F11">
        <w:rPr>
          <w:spacing w:val="-3"/>
        </w:rPr>
        <w:t>s</w:t>
      </w:r>
      <w:r w:rsidR="0087724D" w:rsidRPr="004068F6">
        <w:rPr>
          <w:spacing w:val="-3"/>
        </w:rPr>
        <w:t>,</w:t>
      </w:r>
      <w:r w:rsidRPr="004068F6">
        <w:rPr>
          <w:spacing w:val="-3"/>
        </w:rPr>
        <w:t xml:space="preserve"> deben ajustarse a los formatos de archivos indicados u otros que optimicen el tamaño, pero que posibiliten evaluar o referenciar los procesos adelantados</w:t>
      </w:r>
      <w:r w:rsidR="0087724D" w:rsidRPr="004068F6">
        <w:rPr>
          <w:spacing w:val="-3"/>
        </w:rPr>
        <w:t>,</w:t>
      </w:r>
      <w:r w:rsidRPr="004068F6">
        <w:rPr>
          <w:spacing w:val="-3"/>
        </w:rPr>
        <w:t xml:space="preserve"> y a la vez, </w:t>
      </w:r>
      <w:r w:rsidR="005D6435" w:rsidRPr="004068F6">
        <w:rPr>
          <w:spacing w:val="-3"/>
        </w:rPr>
        <w:t xml:space="preserve">que </w:t>
      </w:r>
      <w:r w:rsidRPr="004068F6">
        <w:rPr>
          <w:spacing w:val="-3"/>
        </w:rPr>
        <w:t xml:space="preserve">permitan </w:t>
      </w:r>
      <w:r w:rsidR="005D6435" w:rsidRPr="004068F6">
        <w:rPr>
          <w:spacing w:val="-3"/>
        </w:rPr>
        <w:t xml:space="preserve">su </w:t>
      </w:r>
      <w:r w:rsidRPr="004068F6">
        <w:rPr>
          <w:spacing w:val="-3"/>
        </w:rPr>
        <w:t>cargue y envío a través de internet.</w:t>
      </w:r>
    </w:p>
    <w:p w14:paraId="1EADB842" w14:textId="77777777" w:rsidR="00A101A4" w:rsidRPr="004068F6" w:rsidRDefault="00A101A4">
      <w:pPr>
        <w:numPr>
          <w:ilvl w:val="12"/>
          <w:numId w:val="0"/>
        </w:numPr>
        <w:tabs>
          <w:tab w:val="left" w:pos="-2268"/>
        </w:tabs>
        <w:suppressAutoHyphens/>
        <w:rPr>
          <w:spacing w:val="-3"/>
        </w:rPr>
      </w:pPr>
    </w:p>
    <w:p w14:paraId="09828E10" w14:textId="77777777" w:rsidR="00A101A4" w:rsidRPr="004068F6" w:rsidRDefault="00A101A4" w:rsidP="009420F5">
      <w:pPr>
        <w:pStyle w:val="Ttulo4"/>
        <w:tabs>
          <w:tab w:val="clear" w:pos="1844"/>
          <w:tab w:val="num" w:pos="1134"/>
        </w:tabs>
        <w:ind w:left="0"/>
        <w:rPr>
          <w:lang w:val="es-CO"/>
        </w:rPr>
      </w:pPr>
      <w:r w:rsidRPr="004068F6">
        <w:rPr>
          <w:lang w:val="es-CO"/>
        </w:rPr>
        <w:t>Archivos de tablas, formatos o matrices</w:t>
      </w:r>
    </w:p>
    <w:p w14:paraId="7090C1FB" w14:textId="77777777" w:rsidR="00A101A4" w:rsidRPr="004068F6" w:rsidRDefault="00A101A4">
      <w:pPr>
        <w:numPr>
          <w:ilvl w:val="12"/>
          <w:numId w:val="0"/>
        </w:numPr>
        <w:tabs>
          <w:tab w:val="left" w:pos="-2268"/>
        </w:tabs>
        <w:suppressAutoHyphens/>
        <w:rPr>
          <w:spacing w:val="-3"/>
        </w:rPr>
      </w:pPr>
    </w:p>
    <w:p w14:paraId="7C6EAB49" w14:textId="4423C6CC" w:rsidR="00A101A4" w:rsidRPr="004068F6" w:rsidRDefault="005D6435">
      <w:pPr>
        <w:numPr>
          <w:ilvl w:val="12"/>
          <w:numId w:val="0"/>
        </w:numPr>
        <w:tabs>
          <w:tab w:val="left" w:pos="-2268"/>
        </w:tabs>
        <w:suppressAutoHyphens/>
        <w:rPr>
          <w:spacing w:val="-3"/>
        </w:rPr>
      </w:pPr>
      <w:r w:rsidRPr="004068F6">
        <w:rPr>
          <w:spacing w:val="-3"/>
        </w:rPr>
        <w:t>L</w:t>
      </w:r>
      <w:r w:rsidR="00A101A4" w:rsidRPr="004068F6">
        <w:rPr>
          <w:spacing w:val="-3"/>
        </w:rPr>
        <w:t>os datos obtenidos, capturados o registrados manualmente en tablas, form</w:t>
      </w:r>
      <w:r w:rsidRPr="004068F6">
        <w:rPr>
          <w:spacing w:val="-3"/>
        </w:rPr>
        <w:t>ularios</w:t>
      </w:r>
      <w:r w:rsidR="00A101A4" w:rsidRPr="004068F6">
        <w:rPr>
          <w:spacing w:val="-3"/>
        </w:rPr>
        <w:t xml:space="preserve"> o matrices que se usen para el levantamiento de información, como inventarios forestales, inventarios de fauna, censos de población u otro tipo de información, debe</w:t>
      </w:r>
      <w:r w:rsidRPr="004068F6">
        <w:rPr>
          <w:spacing w:val="-3"/>
        </w:rPr>
        <w:t>n</w:t>
      </w:r>
      <w:r w:rsidR="00A101A4" w:rsidRPr="004068F6">
        <w:rPr>
          <w:spacing w:val="-3"/>
        </w:rPr>
        <w:t xml:space="preserve"> ser tabulad</w:t>
      </w:r>
      <w:r w:rsidRPr="004068F6">
        <w:rPr>
          <w:spacing w:val="-3"/>
        </w:rPr>
        <w:t>os</w:t>
      </w:r>
      <w:r w:rsidR="00A101A4" w:rsidRPr="004068F6">
        <w:rPr>
          <w:spacing w:val="-3"/>
        </w:rPr>
        <w:t xml:space="preserve"> en </w:t>
      </w:r>
      <w:r w:rsidR="0087724D" w:rsidRPr="004068F6">
        <w:rPr>
          <w:spacing w:val="-3"/>
        </w:rPr>
        <w:t xml:space="preserve">hojas de cálculo </w:t>
      </w:r>
      <w:r w:rsidR="00A101A4" w:rsidRPr="004068F6">
        <w:rPr>
          <w:spacing w:val="-3"/>
        </w:rPr>
        <w:t>y presentad</w:t>
      </w:r>
      <w:r w:rsidRPr="004068F6">
        <w:rPr>
          <w:spacing w:val="-3"/>
        </w:rPr>
        <w:t>os</w:t>
      </w:r>
      <w:r w:rsidR="00A101A4" w:rsidRPr="004068F6">
        <w:rPr>
          <w:spacing w:val="-3"/>
        </w:rPr>
        <w:t xml:space="preserve"> en formato xlsx, con el propósito de facilitar el análisis y evaluación del </w:t>
      </w:r>
      <w:r w:rsidR="0002365E" w:rsidRPr="004068F6">
        <w:rPr>
          <w:spacing w:val="-3"/>
        </w:rPr>
        <w:t xml:space="preserve">factor, </w:t>
      </w:r>
      <w:r w:rsidR="00A101A4" w:rsidRPr="004068F6">
        <w:rPr>
          <w:spacing w:val="-3"/>
        </w:rPr>
        <w:t xml:space="preserve">componente o temática </w:t>
      </w:r>
      <w:r w:rsidRPr="004068F6">
        <w:rPr>
          <w:spacing w:val="-3"/>
        </w:rPr>
        <w:t xml:space="preserve">para el cual se </w:t>
      </w:r>
      <w:r w:rsidR="00A101A4" w:rsidRPr="004068F6">
        <w:rPr>
          <w:spacing w:val="-3"/>
        </w:rPr>
        <w:t>presenta</w:t>
      </w:r>
      <w:r w:rsidRPr="004068F6">
        <w:rPr>
          <w:spacing w:val="-3"/>
        </w:rPr>
        <w:t>n</w:t>
      </w:r>
      <w:r w:rsidR="00A101A4" w:rsidRPr="004068F6">
        <w:rPr>
          <w:spacing w:val="-3"/>
        </w:rPr>
        <w:t>.</w:t>
      </w:r>
    </w:p>
    <w:p w14:paraId="01EABA69" w14:textId="561AABBB" w:rsidR="004920D9" w:rsidRPr="004068F6" w:rsidRDefault="004920D9">
      <w:pPr>
        <w:numPr>
          <w:ilvl w:val="12"/>
          <w:numId w:val="0"/>
        </w:numPr>
        <w:tabs>
          <w:tab w:val="left" w:pos="-2268"/>
        </w:tabs>
        <w:suppressAutoHyphens/>
        <w:rPr>
          <w:spacing w:val="-3"/>
        </w:rPr>
      </w:pPr>
    </w:p>
    <w:p w14:paraId="7AD212A5" w14:textId="77777777" w:rsidR="00A101A4" w:rsidRPr="004068F6" w:rsidRDefault="00A101A4" w:rsidP="009420F5">
      <w:pPr>
        <w:pStyle w:val="Ttulo4"/>
        <w:tabs>
          <w:tab w:val="clear" w:pos="1844"/>
          <w:tab w:val="num" w:pos="1134"/>
        </w:tabs>
        <w:ind w:left="0"/>
        <w:rPr>
          <w:lang w:val="es-CO"/>
        </w:rPr>
      </w:pPr>
      <w:r w:rsidRPr="004068F6">
        <w:rPr>
          <w:lang w:val="es-CO"/>
        </w:rPr>
        <w:t>Soportes o documentos físicos digitalizados</w:t>
      </w:r>
    </w:p>
    <w:p w14:paraId="68222B7D" w14:textId="77777777" w:rsidR="00A101A4" w:rsidRPr="004068F6" w:rsidRDefault="00A101A4">
      <w:pPr>
        <w:numPr>
          <w:ilvl w:val="12"/>
          <w:numId w:val="0"/>
        </w:numPr>
        <w:tabs>
          <w:tab w:val="left" w:pos="-2268"/>
        </w:tabs>
        <w:suppressAutoHyphens/>
        <w:rPr>
          <w:spacing w:val="-3"/>
        </w:rPr>
      </w:pPr>
    </w:p>
    <w:p w14:paraId="01EB5BD1" w14:textId="04D7DDC6" w:rsidR="00A101A4" w:rsidRPr="004068F6" w:rsidRDefault="00A101A4">
      <w:pPr>
        <w:numPr>
          <w:ilvl w:val="12"/>
          <w:numId w:val="0"/>
        </w:numPr>
        <w:tabs>
          <w:tab w:val="left" w:pos="-2268"/>
        </w:tabs>
        <w:suppressAutoHyphens/>
        <w:rPr>
          <w:spacing w:val="-3"/>
        </w:rPr>
      </w:pPr>
      <w:r w:rsidRPr="004068F6">
        <w:rPr>
          <w:spacing w:val="-3"/>
        </w:rPr>
        <w:t xml:space="preserve">Las certificaciones, constancias, comunicaciones, actas de reuniones, informes, listados de asistencia, contratos, convenios u otros documentos relevantes para el </w:t>
      </w:r>
      <w:r w:rsidRPr="004068F6">
        <w:rPr>
          <w:spacing w:val="-3"/>
        </w:rPr>
        <w:lastRenderedPageBreak/>
        <w:t>estudio o la solicitud, tanto para el medio socioeconómico como para los demás medios, y que se encuentren en medio físico</w:t>
      </w:r>
      <w:r w:rsidR="0087724D" w:rsidRPr="004068F6">
        <w:rPr>
          <w:spacing w:val="-3"/>
        </w:rPr>
        <w:t>,</w:t>
      </w:r>
      <w:r w:rsidRPr="004068F6">
        <w:rPr>
          <w:spacing w:val="-3"/>
        </w:rPr>
        <w:t xml:space="preserve"> deben digitalizarse en formato </w:t>
      </w:r>
      <w:r w:rsidR="005D6435" w:rsidRPr="004068F6">
        <w:rPr>
          <w:spacing w:val="-3"/>
        </w:rPr>
        <w:t>pdf</w:t>
      </w:r>
      <w:r w:rsidRPr="004068F6">
        <w:rPr>
          <w:spacing w:val="-3"/>
        </w:rPr>
        <w:t>.</w:t>
      </w:r>
    </w:p>
    <w:p w14:paraId="3D2E08A3" w14:textId="77777777" w:rsidR="00A101A4" w:rsidRPr="004068F6" w:rsidRDefault="00A101A4">
      <w:pPr>
        <w:numPr>
          <w:ilvl w:val="12"/>
          <w:numId w:val="0"/>
        </w:numPr>
        <w:tabs>
          <w:tab w:val="left" w:pos="-2268"/>
        </w:tabs>
        <w:suppressAutoHyphens/>
        <w:rPr>
          <w:spacing w:val="-3"/>
        </w:rPr>
      </w:pPr>
    </w:p>
    <w:p w14:paraId="2A0E3966" w14:textId="77777777" w:rsidR="00A101A4" w:rsidRPr="00FF73C7" w:rsidRDefault="00A101A4" w:rsidP="000A1E20">
      <w:pPr>
        <w:pStyle w:val="Ttulo3"/>
      </w:pPr>
      <w:bookmarkStart w:id="1948" w:name="_Toc42353711"/>
      <w:bookmarkStart w:id="1949" w:name="_Toc230879558"/>
      <w:r w:rsidRPr="00FF73C7">
        <w:t>Permisos y restricciones en archivos</w:t>
      </w:r>
      <w:bookmarkEnd w:id="1948"/>
      <w:bookmarkEnd w:id="1949"/>
    </w:p>
    <w:p w14:paraId="7EBCC2E9" w14:textId="77777777" w:rsidR="00A101A4" w:rsidRPr="004068F6" w:rsidRDefault="00A101A4">
      <w:pPr>
        <w:numPr>
          <w:ilvl w:val="12"/>
          <w:numId w:val="0"/>
        </w:numPr>
        <w:tabs>
          <w:tab w:val="left" w:pos="-2268"/>
        </w:tabs>
        <w:suppressAutoHyphens/>
        <w:rPr>
          <w:spacing w:val="-3"/>
        </w:rPr>
      </w:pPr>
    </w:p>
    <w:p w14:paraId="2A8E6213" w14:textId="272410A7" w:rsidR="00A101A4" w:rsidRPr="004068F6" w:rsidRDefault="00A101A4">
      <w:pPr>
        <w:numPr>
          <w:ilvl w:val="12"/>
          <w:numId w:val="0"/>
        </w:numPr>
        <w:tabs>
          <w:tab w:val="left" w:pos="-2268"/>
        </w:tabs>
        <w:suppressAutoHyphens/>
        <w:rPr>
          <w:spacing w:val="-3"/>
        </w:rPr>
      </w:pPr>
      <w:r w:rsidRPr="004068F6">
        <w:rPr>
          <w:spacing w:val="-3"/>
        </w:rPr>
        <w:t xml:space="preserve">Los archivos del estudio </w:t>
      </w:r>
      <w:r w:rsidR="00790A32" w:rsidRPr="004068F6">
        <w:rPr>
          <w:spacing w:val="-3"/>
        </w:rPr>
        <w:t xml:space="preserve">(documentos </w:t>
      </w:r>
      <w:r w:rsidRPr="004068F6">
        <w:rPr>
          <w:spacing w:val="-3"/>
        </w:rPr>
        <w:t>y sus anexos</w:t>
      </w:r>
      <w:r w:rsidR="00790A32" w:rsidRPr="004068F6">
        <w:rPr>
          <w:spacing w:val="-3"/>
        </w:rPr>
        <w:t>)</w:t>
      </w:r>
      <w:r w:rsidRPr="004068F6">
        <w:rPr>
          <w:spacing w:val="-3"/>
        </w:rPr>
        <w:t xml:space="preserve"> deben contar con las siguientes restricciones y permisos:</w:t>
      </w:r>
    </w:p>
    <w:p w14:paraId="33554F71" w14:textId="77777777" w:rsidR="00A101A4" w:rsidRPr="004068F6" w:rsidRDefault="00A101A4">
      <w:pPr>
        <w:numPr>
          <w:ilvl w:val="12"/>
          <w:numId w:val="0"/>
        </w:numPr>
        <w:tabs>
          <w:tab w:val="left" w:pos="-2268"/>
        </w:tabs>
        <w:suppressAutoHyphens/>
        <w:rPr>
          <w:spacing w:val="-3"/>
        </w:rPr>
      </w:pPr>
    </w:p>
    <w:p w14:paraId="6AD5620A" w14:textId="77777777" w:rsidR="00A101A4" w:rsidRPr="004068F6" w:rsidRDefault="00A101A4" w:rsidP="00C86DA5">
      <w:pPr>
        <w:numPr>
          <w:ilvl w:val="0"/>
          <w:numId w:val="28"/>
        </w:numPr>
        <w:tabs>
          <w:tab w:val="left" w:pos="-2268"/>
        </w:tabs>
        <w:suppressAutoHyphens/>
        <w:ind w:left="567" w:hanging="567"/>
        <w:rPr>
          <w:spacing w:val="-3"/>
        </w:rPr>
      </w:pPr>
      <w:r w:rsidRPr="004068F6">
        <w:rPr>
          <w:spacing w:val="-3"/>
        </w:rPr>
        <w:t>Impresión: No permitido.</w:t>
      </w:r>
    </w:p>
    <w:p w14:paraId="171EF81F" w14:textId="77777777" w:rsidR="00A101A4" w:rsidRPr="004068F6" w:rsidRDefault="00A101A4">
      <w:pPr>
        <w:tabs>
          <w:tab w:val="left" w:pos="-2268"/>
        </w:tabs>
        <w:suppressAutoHyphens/>
        <w:rPr>
          <w:spacing w:val="-3"/>
        </w:rPr>
      </w:pPr>
    </w:p>
    <w:p w14:paraId="1A2172B0" w14:textId="717F168D" w:rsidR="00A101A4" w:rsidRPr="004068F6" w:rsidRDefault="00A101A4" w:rsidP="00CC1638">
      <w:pPr>
        <w:numPr>
          <w:ilvl w:val="0"/>
          <w:numId w:val="28"/>
        </w:numPr>
        <w:tabs>
          <w:tab w:val="left" w:pos="-2268"/>
        </w:tabs>
        <w:suppressAutoHyphens/>
        <w:ind w:left="567" w:hanging="567"/>
        <w:rPr>
          <w:spacing w:val="-3"/>
        </w:rPr>
      </w:pPr>
      <w:r w:rsidRPr="004068F6">
        <w:rPr>
          <w:spacing w:val="-3"/>
        </w:rPr>
        <w:t>Ensamblaje de documentos: No permitido.</w:t>
      </w:r>
    </w:p>
    <w:p w14:paraId="103990F9" w14:textId="77777777" w:rsidR="00A101A4" w:rsidRPr="004068F6" w:rsidRDefault="00A101A4" w:rsidP="00CC1638">
      <w:pPr>
        <w:tabs>
          <w:tab w:val="left" w:pos="-2268"/>
        </w:tabs>
        <w:suppressAutoHyphens/>
        <w:rPr>
          <w:spacing w:val="-3"/>
        </w:rPr>
      </w:pPr>
    </w:p>
    <w:p w14:paraId="0B7B5B6E" w14:textId="2259662A" w:rsidR="00A101A4" w:rsidRPr="004068F6" w:rsidRDefault="00A101A4" w:rsidP="00CC1638">
      <w:pPr>
        <w:numPr>
          <w:ilvl w:val="0"/>
          <w:numId w:val="28"/>
        </w:numPr>
        <w:tabs>
          <w:tab w:val="left" w:pos="-2268"/>
        </w:tabs>
        <w:suppressAutoHyphens/>
        <w:ind w:left="567" w:hanging="567"/>
        <w:rPr>
          <w:spacing w:val="-3"/>
        </w:rPr>
      </w:pPr>
      <w:r w:rsidRPr="004068F6">
        <w:rPr>
          <w:spacing w:val="-3"/>
        </w:rPr>
        <w:t>Copia de contenido: Permitido.</w:t>
      </w:r>
    </w:p>
    <w:p w14:paraId="166F3C91" w14:textId="77777777" w:rsidR="00A101A4" w:rsidRPr="004068F6" w:rsidRDefault="00A101A4" w:rsidP="00CC1638">
      <w:pPr>
        <w:tabs>
          <w:tab w:val="left" w:pos="-2268"/>
        </w:tabs>
        <w:suppressAutoHyphens/>
        <w:rPr>
          <w:spacing w:val="-3"/>
        </w:rPr>
      </w:pPr>
    </w:p>
    <w:p w14:paraId="44734398" w14:textId="004A692A" w:rsidR="00A101A4" w:rsidRPr="004068F6" w:rsidRDefault="00A101A4" w:rsidP="00CC1638">
      <w:pPr>
        <w:numPr>
          <w:ilvl w:val="0"/>
          <w:numId w:val="28"/>
        </w:numPr>
        <w:tabs>
          <w:tab w:val="left" w:pos="-2268"/>
        </w:tabs>
        <w:suppressAutoHyphens/>
        <w:ind w:left="567" w:hanging="567"/>
        <w:rPr>
          <w:spacing w:val="-3"/>
        </w:rPr>
      </w:pPr>
      <w:r w:rsidRPr="004068F6">
        <w:rPr>
          <w:spacing w:val="-3"/>
        </w:rPr>
        <w:t>Extracción de página: No permitido.</w:t>
      </w:r>
    </w:p>
    <w:p w14:paraId="14F4EB8C" w14:textId="77777777" w:rsidR="00A101A4" w:rsidRPr="004068F6" w:rsidRDefault="00A101A4" w:rsidP="00CC1638">
      <w:pPr>
        <w:tabs>
          <w:tab w:val="left" w:pos="-2268"/>
        </w:tabs>
        <w:suppressAutoHyphens/>
        <w:rPr>
          <w:spacing w:val="-3"/>
        </w:rPr>
      </w:pPr>
    </w:p>
    <w:p w14:paraId="12FD1EB9" w14:textId="0A3E20E5" w:rsidR="00A101A4" w:rsidRPr="004068F6" w:rsidRDefault="00A101A4" w:rsidP="00CC1638">
      <w:pPr>
        <w:numPr>
          <w:ilvl w:val="0"/>
          <w:numId w:val="28"/>
        </w:numPr>
        <w:tabs>
          <w:tab w:val="left" w:pos="-2268"/>
        </w:tabs>
        <w:suppressAutoHyphens/>
        <w:ind w:left="567" w:hanging="567"/>
        <w:rPr>
          <w:spacing w:val="-3"/>
        </w:rPr>
      </w:pPr>
      <w:r w:rsidRPr="004068F6">
        <w:rPr>
          <w:spacing w:val="-3"/>
        </w:rPr>
        <w:t>Comentario: No permitido.</w:t>
      </w:r>
    </w:p>
    <w:p w14:paraId="13904FEA" w14:textId="77777777" w:rsidR="00A101A4" w:rsidRPr="004068F6" w:rsidRDefault="00A101A4" w:rsidP="00CC1638">
      <w:pPr>
        <w:tabs>
          <w:tab w:val="left" w:pos="-2268"/>
        </w:tabs>
        <w:suppressAutoHyphens/>
        <w:rPr>
          <w:spacing w:val="-3"/>
        </w:rPr>
      </w:pPr>
    </w:p>
    <w:p w14:paraId="22567A09" w14:textId="02560F2B" w:rsidR="00A101A4" w:rsidRPr="004068F6" w:rsidRDefault="00A101A4" w:rsidP="00CC1638">
      <w:pPr>
        <w:numPr>
          <w:ilvl w:val="0"/>
          <w:numId w:val="28"/>
        </w:numPr>
        <w:tabs>
          <w:tab w:val="left" w:pos="-2268"/>
        </w:tabs>
        <w:suppressAutoHyphens/>
        <w:ind w:left="567" w:hanging="567"/>
        <w:rPr>
          <w:spacing w:val="-3"/>
        </w:rPr>
      </w:pPr>
      <w:r w:rsidRPr="004068F6">
        <w:rPr>
          <w:spacing w:val="-3"/>
        </w:rPr>
        <w:t>Rellenar los campos de formulario: No permitido.</w:t>
      </w:r>
    </w:p>
    <w:p w14:paraId="1470614C" w14:textId="77777777" w:rsidR="00675410" w:rsidRPr="004068F6" w:rsidRDefault="00675410" w:rsidP="00CC1638">
      <w:pPr>
        <w:tabs>
          <w:tab w:val="left" w:pos="-2268"/>
        </w:tabs>
        <w:suppressAutoHyphens/>
        <w:rPr>
          <w:spacing w:val="-3"/>
        </w:rPr>
      </w:pPr>
    </w:p>
    <w:p w14:paraId="58CCF984" w14:textId="3E3C0C9F" w:rsidR="00A101A4" w:rsidRPr="004068F6" w:rsidRDefault="00A101A4" w:rsidP="00CC1638">
      <w:pPr>
        <w:numPr>
          <w:ilvl w:val="0"/>
          <w:numId w:val="28"/>
        </w:numPr>
        <w:tabs>
          <w:tab w:val="left" w:pos="-2268"/>
        </w:tabs>
        <w:suppressAutoHyphens/>
        <w:ind w:left="567" w:hanging="567"/>
        <w:rPr>
          <w:spacing w:val="-3"/>
        </w:rPr>
      </w:pPr>
      <w:r w:rsidRPr="004068F6">
        <w:rPr>
          <w:spacing w:val="-3"/>
        </w:rPr>
        <w:t>Firma: No permitido.</w:t>
      </w:r>
    </w:p>
    <w:p w14:paraId="4A8D17EA" w14:textId="77777777" w:rsidR="00A101A4" w:rsidRPr="004068F6" w:rsidRDefault="00A101A4" w:rsidP="00CC1638">
      <w:pPr>
        <w:tabs>
          <w:tab w:val="left" w:pos="-2268"/>
        </w:tabs>
        <w:suppressAutoHyphens/>
        <w:rPr>
          <w:spacing w:val="-3"/>
        </w:rPr>
      </w:pPr>
    </w:p>
    <w:p w14:paraId="21DB597B" w14:textId="5E287F84" w:rsidR="00A101A4" w:rsidRPr="004068F6" w:rsidRDefault="00A101A4" w:rsidP="00CC1638">
      <w:pPr>
        <w:numPr>
          <w:ilvl w:val="0"/>
          <w:numId w:val="28"/>
        </w:numPr>
        <w:tabs>
          <w:tab w:val="left" w:pos="-2268"/>
        </w:tabs>
        <w:suppressAutoHyphens/>
        <w:ind w:left="567" w:hanging="567"/>
        <w:rPr>
          <w:spacing w:val="-3"/>
        </w:rPr>
      </w:pPr>
      <w:r w:rsidRPr="004068F6">
        <w:rPr>
          <w:spacing w:val="-3"/>
        </w:rPr>
        <w:t>Creación de páginas de plantilla: No permitido.</w:t>
      </w:r>
    </w:p>
    <w:p w14:paraId="7704859E" w14:textId="77777777" w:rsidR="00A101A4" w:rsidRPr="004068F6" w:rsidRDefault="00A101A4">
      <w:pPr>
        <w:numPr>
          <w:ilvl w:val="12"/>
          <w:numId w:val="0"/>
        </w:numPr>
        <w:tabs>
          <w:tab w:val="left" w:pos="-2268"/>
        </w:tabs>
        <w:suppressAutoHyphens/>
        <w:rPr>
          <w:spacing w:val="-3"/>
        </w:rPr>
      </w:pPr>
    </w:p>
    <w:p w14:paraId="0386F89C" w14:textId="2B470455" w:rsidR="00A101A4" w:rsidRPr="004068F6" w:rsidRDefault="00A101A4">
      <w:pPr>
        <w:numPr>
          <w:ilvl w:val="12"/>
          <w:numId w:val="0"/>
        </w:numPr>
        <w:tabs>
          <w:tab w:val="left" w:pos="-2268"/>
        </w:tabs>
        <w:suppressAutoHyphens/>
        <w:rPr>
          <w:spacing w:val="-3"/>
        </w:rPr>
      </w:pPr>
      <w:r w:rsidRPr="004068F6">
        <w:rPr>
          <w:spacing w:val="-3"/>
        </w:rPr>
        <w:t>Cabe anotar que por ningún motivo se debe</w:t>
      </w:r>
      <w:r w:rsidR="0087724D" w:rsidRPr="004068F6">
        <w:rPr>
          <w:spacing w:val="-3"/>
        </w:rPr>
        <w:t>n</w:t>
      </w:r>
      <w:r w:rsidRPr="004068F6">
        <w:rPr>
          <w:spacing w:val="-3"/>
        </w:rPr>
        <w:t xml:space="preserve"> </w:t>
      </w:r>
      <w:r w:rsidR="0087724D" w:rsidRPr="004068F6">
        <w:rPr>
          <w:spacing w:val="-3"/>
        </w:rPr>
        <w:t>establecer contraseñas para abrir</w:t>
      </w:r>
      <w:r w:rsidRPr="004068F6">
        <w:rPr>
          <w:spacing w:val="-3"/>
        </w:rPr>
        <w:t xml:space="preserve"> los archivos.</w:t>
      </w:r>
    </w:p>
    <w:p w14:paraId="6BFC3609" w14:textId="77777777" w:rsidR="00A101A4" w:rsidRPr="004068F6" w:rsidRDefault="00A101A4">
      <w:pPr>
        <w:numPr>
          <w:ilvl w:val="12"/>
          <w:numId w:val="0"/>
        </w:numPr>
        <w:tabs>
          <w:tab w:val="left" w:pos="-2268"/>
        </w:tabs>
        <w:suppressAutoHyphens/>
        <w:rPr>
          <w:spacing w:val="-3"/>
        </w:rPr>
      </w:pPr>
    </w:p>
    <w:p w14:paraId="45B1EE68" w14:textId="77777777" w:rsidR="00A101A4" w:rsidRPr="00FF73C7" w:rsidRDefault="00A101A4" w:rsidP="000A1E20">
      <w:pPr>
        <w:pStyle w:val="Ttulo3"/>
      </w:pPr>
      <w:bookmarkStart w:id="1950" w:name="_Toc42353712"/>
      <w:bookmarkStart w:id="1951" w:name="_Toc230879559"/>
      <w:r w:rsidRPr="00FF73C7">
        <w:t>Metadatos</w:t>
      </w:r>
      <w:bookmarkEnd w:id="1950"/>
      <w:bookmarkEnd w:id="1951"/>
    </w:p>
    <w:p w14:paraId="5613DE6D" w14:textId="77777777" w:rsidR="00A101A4" w:rsidRPr="004068F6" w:rsidRDefault="00A101A4">
      <w:pPr>
        <w:numPr>
          <w:ilvl w:val="12"/>
          <w:numId w:val="0"/>
        </w:numPr>
        <w:tabs>
          <w:tab w:val="left" w:pos="-2268"/>
        </w:tabs>
        <w:suppressAutoHyphens/>
        <w:rPr>
          <w:spacing w:val="-3"/>
        </w:rPr>
      </w:pPr>
    </w:p>
    <w:p w14:paraId="5348E2D9" w14:textId="0DDCD94B" w:rsidR="00A101A4" w:rsidRPr="004068F6" w:rsidRDefault="00DE1DBF" w:rsidP="0091763F">
      <w:pPr>
        <w:numPr>
          <w:ilvl w:val="12"/>
          <w:numId w:val="0"/>
        </w:numPr>
        <w:tabs>
          <w:tab w:val="left" w:pos="-2268"/>
        </w:tabs>
        <w:suppressAutoHyphens/>
        <w:rPr>
          <w:spacing w:val="-3"/>
        </w:rPr>
      </w:pPr>
      <w:r w:rsidRPr="004068F6">
        <w:rPr>
          <w:spacing w:val="-3"/>
        </w:rPr>
        <w:t xml:space="preserve">Los metadatos </w:t>
      </w:r>
      <w:r w:rsidRPr="004068F6">
        <w:rPr>
          <w:rFonts w:cs="Arial"/>
          <w:spacing w:val="-3"/>
        </w:rPr>
        <w:t>geográficos y documentales deben ser elaborados</w:t>
      </w:r>
      <w:r w:rsidRPr="004068F6">
        <w:rPr>
          <w:spacing w:val="-3"/>
        </w:rPr>
        <w:t xml:space="preserve"> </w:t>
      </w:r>
      <w:r w:rsidR="00CE2041" w:rsidRPr="004068F6">
        <w:rPr>
          <w:spacing w:val="-3"/>
        </w:rPr>
        <w:t xml:space="preserve">de acuerdo con lo establecido por el </w:t>
      </w:r>
      <w:r w:rsidR="00CE2041" w:rsidRPr="004068F6">
        <w:rPr>
          <w:rFonts w:cs="Arial"/>
          <w:spacing w:val="-3"/>
        </w:rPr>
        <w:t>artículo 30 del Decreto 2609 de 2012</w:t>
      </w:r>
      <w:r w:rsidR="00E91D20" w:rsidRPr="004068F6">
        <w:rPr>
          <w:rFonts w:cs="Arial"/>
          <w:spacing w:val="-3"/>
        </w:rPr>
        <w:t xml:space="preserve"> (compilado en el Decreto 1080 de 2015)</w:t>
      </w:r>
      <w:r w:rsidR="00CE2041" w:rsidRPr="004068F6">
        <w:rPr>
          <w:rFonts w:cs="Arial"/>
          <w:spacing w:val="-3"/>
        </w:rPr>
        <w:t xml:space="preserve"> o aquella norma que lo modifique o sustituya; </w:t>
      </w:r>
      <w:r w:rsidR="00960B03" w:rsidRPr="004068F6">
        <w:rPr>
          <w:rFonts w:cs="Arial"/>
          <w:spacing w:val="-3"/>
        </w:rPr>
        <w:t>asimismo</w:t>
      </w:r>
      <w:r w:rsidR="009322D2" w:rsidRPr="004068F6">
        <w:rPr>
          <w:rFonts w:cs="Arial"/>
          <w:spacing w:val="-3"/>
        </w:rPr>
        <w:t>, se deben</w:t>
      </w:r>
      <w:r w:rsidR="00CE2041" w:rsidRPr="004068F6">
        <w:rPr>
          <w:rFonts w:cs="Arial"/>
          <w:spacing w:val="-3"/>
        </w:rPr>
        <w:t xml:space="preserve"> s</w:t>
      </w:r>
      <w:r w:rsidR="009322D2" w:rsidRPr="004068F6">
        <w:rPr>
          <w:rFonts w:cs="Arial"/>
          <w:spacing w:val="-3"/>
        </w:rPr>
        <w:t>e</w:t>
      </w:r>
      <w:r w:rsidR="00CE2041" w:rsidRPr="004068F6">
        <w:rPr>
          <w:rFonts w:cs="Arial"/>
          <w:spacing w:val="-3"/>
        </w:rPr>
        <w:t>gui</w:t>
      </w:r>
      <w:r w:rsidR="009322D2" w:rsidRPr="004068F6">
        <w:rPr>
          <w:rFonts w:cs="Arial"/>
          <w:spacing w:val="-3"/>
        </w:rPr>
        <w:t xml:space="preserve">r </w:t>
      </w:r>
      <w:r w:rsidR="00CE2041" w:rsidRPr="004068F6">
        <w:rPr>
          <w:rFonts w:cs="Arial"/>
          <w:spacing w:val="-3"/>
        </w:rPr>
        <w:t xml:space="preserve">los lineamientos que incluye la versión más reciente de la </w:t>
      </w:r>
      <w:r w:rsidR="00CE2041" w:rsidRPr="004068F6">
        <w:rPr>
          <w:rFonts w:cs="Arial"/>
          <w:iCs/>
          <w:spacing w:val="-3"/>
        </w:rPr>
        <w:t>Guía para el diligenciamiento</w:t>
      </w:r>
      <w:r w:rsidR="00CE2041" w:rsidRPr="004068F6">
        <w:rPr>
          <w:spacing w:val="-3"/>
        </w:rPr>
        <w:t xml:space="preserve"> de </w:t>
      </w:r>
      <w:r w:rsidR="00CE2041" w:rsidRPr="004068F6">
        <w:rPr>
          <w:rFonts w:cs="Arial"/>
          <w:iCs/>
          <w:spacing w:val="-3"/>
        </w:rPr>
        <w:t xml:space="preserve">metadatos </w:t>
      </w:r>
      <w:r w:rsidR="00CE2041" w:rsidRPr="004068F6">
        <w:rPr>
          <w:spacing w:val="-3"/>
        </w:rPr>
        <w:t>ANLA</w:t>
      </w:r>
      <w:r w:rsidR="007D3618" w:rsidRPr="004068F6">
        <w:rPr>
          <w:spacing w:val="-3"/>
        </w:rPr>
        <w:t xml:space="preserve"> (2020)</w:t>
      </w:r>
      <w:r w:rsidR="00CE2041" w:rsidRPr="004068F6">
        <w:rPr>
          <w:spacing w:val="-3"/>
        </w:rPr>
        <w:t>, así como d</w:t>
      </w:r>
      <w:r w:rsidR="0091763F" w:rsidRPr="004068F6">
        <w:rPr>
          <w:spacing w:val="-3"/>
        </w:rPr>
        <w:t>iligencia</w:t>
      </w:r>
      <w:r w:rsidR="009322D2" w:rsidRPr="004068F6">
        <w:rPr>
          <w:spacing w:val="-3"/>
        </w:rPr>
        <w:t>r</w:t>
      </w:r>
      <w:r w:rsidR="00CE2041" w:rsidRPr="004068F6">
        <w:rPr>
          <w:spacing w:val="-3"/>
        </w:rPr>
        <w:t xml:space="preserve"> </w:t>
      </w:r>
      <w:r w:rsidR="0091763F" w:rsidRPr="004068F6">
        <w:rPr>
          <w:spacing w:val="-3"/>
        </w:rPr>
        <w:t xml:space="preserve">la </w:t>
      </w:r>
      <w:r w:rsidR="0091763F" w:rsidRPr="004068F6">
        <w:rPr>
          <w:rFonts w:cs="Arial"/>
          <w:spacing w:val="-3"/>
        </w:rPr>
        <w:t xml:space="preserve">Plantilla institucional de metadatos para la documentación de información espacial y documental asociada a los estudios ambientales, </w:t>
      </w:r>
      <w:r w:rsidR="00CE2041" w:rsidRPr="004068F6">
        <w:rPr>
          <w:spacing w:val="-3"/>
        </w:rPr>
        <w:t xml:space="preserve">herramientas </w:t>
      </w:r>
      <w:r w:rsidR="009322D2" w:rsidRPr="004068F6">
        <w:rPr>
          <w:rFonts w:cs="Arial"/>
          <w:spacing w:val="-3"/>
        </w:rPr>
        <w:t xml:space="preserve">enfocadas en el proceso de licenciamiento ambiental que </w:t>
      </w:r>
      <w:r w:rsidR="00CE2041" w:rsidRPr="004068F6">
        <w:rPr>
          <w:spacing w:val="-3"/>
        </w:rPr>
        <w:t>desarrollan las directrices establecidas</w:t>
      </w:r>
      <w:r w:rsidR="009322D2" w:rsidRPr="004068F6">
        <w:rPr>
          <w:spacing w:val="-3"/>
        </w:rPr>
        <w:t xml:space="preserve"> en dicho Decreto</w:t>
      </w:r>
      <w:r w:rsidR="00467CE5" w:rsidRPr="004068F6">
        <w:rPr>
          <w:rStyle w:val="Refdenotaalpie"/>
          <w:spacing w:val="-3"/>
          <w:lang w:val="es-CO"/>
        </w:rPr>
        <w:footnoteReference w:id="15"/>
      </w:r>
      <w:r w:rsidRPr="004068F6">
        <w:rPr>
          <w:spacing w:val="-3"/>
        </w:rPr>
        <w:t>.</w:t>
      </w:r>
    </w:p>
    <w:p w14:paraId="2E338436" w14:textId="1BD4DFA4" w:rsidR="00A101A4" w:rsidRPr="004068F6" w:rsidRDefault="00A101A4" w:rsidP="009420F5">
      <w:pPr>
        <w:numPr>
          <w:ilvl w:val="12"/>
          <w:numId w:val="0"/>
        </w:numPr>
        <w:tabs>
          <w:tab w:val="left" w:pos="-2268"/>
          <w:tab w:val="left" w:pos="3067"/>
        </w:tabs>
        <w:suppressAutoHyphens/>
        <w:rPr>
          <w:spacing w:val="-3"/>
        </w:rPr>
      </w:pPr>
    </w:p>
    <w:p w14:paraId="4F9EBB05" w14:textId="77777777" w:rsidR="00A101A4" w:rsidRPr="00FF73C7" w:rsidRDefault="00A101A4" w:rsidP="000A1E20">
      <w:pPr>
        <w:pStyle w:val="Ttulo3"/>
      </w:pPr>
      <w:bookmarkStart w:id="1952" w:name="_Toc79442965"/>
      <w:bookmarkStart w:id="1953" w:name="_Toc79442981"/>
      <w:bookmarkStart w:id="1954" w:name="_Toc79442982"/>
      <w:bookmarkStart w:id="1955" w:name="_Toc79442983"/>
      <w:bookmarkStart w:id="1956" w:name="_Toc42353713"/>
      <w:bookmarkStart w:id="1957" w:name="_Toc230879560"/>
      <w:bookmarkEnd w:id="1952"/>
      <w:bookmarkEnd w:id="1953"/>
      <w:bookmarkEnd w:id="1954"/>
      <w:bookmarkEnd w:id="1955"/>
      <w:r w:rsidRPr="00FF73C7">
        <w:t>Denominación de archivos</w:t>
      </w:r>
      <w:bookmarkEnd w:id="1956"/>
      <w:bookmarkEnd w:id="1957"/>
    </w:p>
    <w:p w14:paraId="17797DCB" w14:textId="77777777" w:rsidR="00A101A4" w:rsidRPr="004068F6" w:rsidRDefault="00A101A4">
      <w:pPr>
        <w:numPr>
          <w:ilvl w:val="12"/>
          <w:numId w:val="0"/>
        </w:numPr>
        <w:tabs>
          <w:tab w:val="left" w:pos="-2268"/>
        </w:tabs>
        <w:suppressAutoHyphens/>
        <w:rPr>
          <w:spacing w:val="-3"/>
        </w:rPr>
      </w:pPr>
    </w:p>
    <w:p w14:paraId="2ADB9975" w14:textId="77777777" w:rsidR="00A101A4" w:rsidRPr="004068F6" w:rsidRDefault="00A101A4">
      <w:pPr>
        <w:numPr>
          <w:ilvl w:val="12"/>
          <w:numId w:val="0"/>
        </w:numPr>
        <w:tabs>
          <w:tab w:val="left" w:pos="-2268"/>
        </w:tabs>
        <w:suppressAutoHyphens/>
        <w:rPr>
          <w:spacing w:val="-3"/>
        </w:rPr>
      </w:pPr>
      <w:r w:rsidRPr="004068F6">
        <w:rPr>
          <w:spacing w:val="-3"/>
        </w:rPr>
        <w:t xml:space="preserve">Para la denominación de archivos es importante tener en cuenta que el nombre consta de dos (2) elementos, uno denominado </w:t>
      </w:r>
      <w:r w:rsidRPr="004068F6">
        <w:rPr>
          <w:i/>
          <w:spacing w:val="-3"/>
        </w:rPr>
        <w:t>elemento esencial</w:t>
      </w:r>
      <w:r w:rsidRPr="004068F6">
        <w:rPr>
          <w:spacing w:val="-3"/>
        </w:rPr>
        <w:t xml:space="preserve"> y otro denominado </w:t>
      </w:r>
      <w:r w:rsidRPr="004068F6">
        <w:rPr>
          <w:i/>
          <w:spacing w:val="-3"/>
        </w:rPr>
        <w:t>elemento opcional</w:t>
      </w:r>
      <w:r w:rsidRPr="004068F6">
        <w:rPr>
          <w:spacing w:val="-3"/>
        </w:rPr>
        <w:t>.</w:t>
      </w:r>
    </w:p>
    <w:p w14:paraId="459AE6A2" w14:textId="77777777" w:rsidR="00A101A4" w:rsidRPr="004068F6" w:rsidRDefault="00A101A4">
      <w:pPr>
        <w:numPr>
          <w:ilvl w:val="12"/>
          <w:numId w:val="0"/>
        </w:numPr>
        <w:tabs>
          <w:tab w:val="left" w:pos="-2268"/>
        </w:tabs>
        <w:suppressAutoHyphens/>
        <w:rPr>
          <w:spacing w:val="-3"/>
        </w:rPr>
      </w:pPr>
    </w:p>
    <w:p w14:paraId="628EB97A" w14:textId="73539F74" w:rsidR="00A101A4" w:rsidRPr="004068F6" w:rsidRDefault="00A101A4">
      <w:pPr>
        <w:numPr>
          <w:ilvl w:val="12"/>
          <w:numId w:val="0"/>
        </w:numPr>
        <w:tabs>
          <w:tab w:val="left" w:pos="-2268"/>
        </w:tabs>
        <w:suppressAutoHyphens/>
        <w:rPr>
          <w:spacing w:val="-3"/>
        </w:rPr>
      </w:pPr>
      <w:r w:rsidRPr="004068F6">
        <w:rPr>
          <w:spacing w:val="-3"/>
        </w:rPr>
        <w:t xml:space="preserve">El </w:t>
      </w:r>
      <w:r w:rsidRPr="004068F6">
        <w:rPr>
          <w:i/>
          <w:spacing w:val="-3"/>
        </w:rPr>
        <w:t>elemento esencial</w:t>
      </w:r>
      <w:r w:rsidRPr="004068F6">
        <w:rPr>
          <w:spacing w:val="-3"/>
        </w:rPr>
        <w:t xml:space="preserve"> corresponde al nombre del documento en sí</w:t>
      </w:r>
      <w:r w:rsidR="00DE1DBF" w:rsidRPr="004068F6">
        <w:rPr>
          <w:spacing w:val="-3"/>
        </w:rPr>
        <w:t>, por ejemplo</w:t>
      </w:r>
      <w:r w:rsidRPr="004068F6">
        <w:rPr>
          <w:spacing w:val="-3"/>
        </w:rPr>
        <w:t xml:space="preserve"> “PLAN DE MANEJO AMBIENTAL”, </w:t>
      </w:r>
      <w:r w:rsidR="00DE1DBF" w:rsidRPr="004068F6">
        <w:rPr>
          <w:spacing w:val="-3"/>
        </w:rPr>
        <w:t xml:space="preserve">el cual </w:t>
      </w:r>
      <w:r w:rsidRPr="004068F6">
        <w:rPr>
          <w:spacing w:val="-3"/>
        </w:rPr>
        <w:t xml:space="preserve">puede ser abreviado como “PMA”. El </w:t>
      </w:r>
      <w:r w:rsidRPr="004068F6">
        <w:rPr>
          <w:i/>
          <w:spacing w:val="-3"/>
        </w:rPr>
        <w:t>elemento opcional</w:t>
      </w:r>
      <w:r w:rsidRPr="004068F6">
        <w:rPr>
          <w:spacing w:val="-3"/>
        </w:rPr>
        <w:t xml:space="preserve"> incluye elementos como asunto, fecha, versión, numeraciones consecutivas</w:t>
      </w:r>
      <w:r w:rsidR="00DE1DBF" w:rsidRPr="004068F6">
        <w:rPr>
          <w:spacing w:val="-3"/>
        </w:rPr>
        <w:t>,</w:t>
      </w:r>
      <w:r w:rsidRPr="004068F6">
        <w:rPr>
          <w:spacing w:val="-3"/>
        </w:rPr>
        <w:t xml:space="preserve"> entre otras.</w:t>
      </w:r>
    </w:p>
    <w:p w14:paraId="186E7B5A" w14:textId="77777777" w:rsidR="00A101A4" w:rsidRPr="004068F6" w:rsidRDefault="00A101A4">
      <w:pPr>
        <w:numPr>
          <w:ilvl w:val="12"/>
          <w:numId w:val="0"/>
        </w:numPr>
        <w:tabs>
          <w:tab w:val="left" w:pos="-2268"/>
        </w:tabs>
        <w:suppressAutoHyphens/>
        <w:rPr>
          <w:spacing w:val="-3"/>
        </w:rPr>
      </w:pPr>
    </w:p>
    <w:p w14:paraId="617EF31A" w14:textId="6169F656" w:rsidR="00A101A4" w:rsidRPr="004068F6" w:rsidRDefault="00A101A4">
      <w:pPr>
        <w:numPr>
          <w:ilvl w:val="12"/>
          <w:numId w:val="0"/>
        </w:numPr>
        <w:tabs>
          <w:tab w:val="left" w:pos="-2268"/>
        </w:tabs>
        <w:suppressAutoHyphens/>
        <w:rPr>
          <w:spacing w:val="-3"/>
        </w:rPr>
      </w:pPr>
      <w:r w:rsidRPr="004068F6">
        <w:rPr>
          <w:spacing w:val="-3"/>
        </w:rPr>
        <w:t xml:space="preserve">De acuerdo </w:t>
      </w:r>
      <w:r w:rsidRPr="004068F6">
        <w:rPr>
          <w:rFonts w:cs="Arial"/>
          <w:spacing w:val="-3"/>
        </w:rPr>
        <w:t>con</w:t>
      </w:r>
      <w:r w:rsidRPr="004068F6">
        <w:rPr>
          <w:spacing w:val="-3"/>
        </w:rPr>
        <w:t xml:space="preserve"> lo anterior, para denominar los archivos electrónicos es necesario tener en cuenta, tanto si se hará uso solamente del elemento esencial</w:t>
      </w:r>
      <w:r w:rsidR="00DE1DBF" w:rsidRPr="004068F6">
        <w:rPr>
          <w:spacing w:val="-3"/>
        </w:rPr>
        <w:t>, como si se empleará</w:t>
      </w:r>
      <w:r w:rsidRPr="004068F6">
        <w:rPr>
          <w:spacing w:val="-3"/>
        </w:rPr>
        <w:t xml:space="preserve"> el esencial más el opcional</w:t>
      </w:r>
      <w:r w:rsidR="00DE1DBF" w:rsidRPr="004068F6">
        <w:rPr>
          <w:spacing w:val="-3"/>
        </w:rPr>
        <w:t>,</w:t>
      </w:r>
      <w:r w:rsidRPr="004068F6">
        <w:rPr>
          <w:spacing w:val="-3"/>
        </w:rPr>
        <w:t xml:space="preserve"> y en este caso cu</w:t>
      </w:r>
      <w:r w:rsidR="00DE1DBF" w:rsidRPr="004068F6">
        <w:rPr>
          <w:spacing w:val="-3"/>
        </w:rPr>
        <w:t>á</w:t>
      </w:r>
      <w:r w:rsidRPr="004068F6">
        <w:rPr>
          <w:spacing w:val="-3"/>
        </w:rPr>
        <w:t>l elemento opcional</w:t>
      </w:r>
      <w:r w:rsidRPr="004068F6">
        <w:rPr>
          <w:rFonts w:cs="Arial"/>
          <w:spacing w:val="-3"/>
        </w:rPr>
        <w:t>. A continuación, se muestra un esquema de la</w:t>
      </w:r>
      <w:r w:rsidRPr="004068F6">
        <w:rPr>
          <w:spacing w:val="-3"/>
        </w:rPr>
        <w:t xml:space="preserve"> estructura para presentar de forma ordenada y normalizada la información:</w:t>
      </w:r>
    </w:p>
    <w:p w14:paraId="5E410A41" w14:textId="77777777" w:rsidR="00A101A4" w:rsidRPr="004068F6" w:rsidRDefault="00A101A4">
      <w:pPr>
        <w:numPr>
          <w:ilvl w:val="12"/>
          <w:numId w:val="0"/>
        </w:numPr>
        <w:tabs>
          <w:tab w:val="left" w:pos="-2268"/>
        </w:tabs>
        <w:suppressAutoHyphens/>
        <w:rPr>
          <w:spacing w:val="-3"/>
        </w:rPr>
      </w:pPr>
    </w:p>
    <w:p w14:paraId="00334957" w14:textId="77777777" w:rsidR="00A101A4" w:rsidRPr="004068F6" w:rsidRDefault="00A101A4" w:rsidP="00A101A4">
      <w:pPr>
        <w:numPr>
          <w:ilvl w:val="12"/>
          <w:numId w:val="0"/>
        </w:numPr>
        <w:tabs>
          <w:tab w:val="left" w:pos="-2268"/>
        </w:tabs>
        <w:suppressAutoHyphens/>
        <w:jc w:val="center"/>
        <w:rPr>
          <w:spacing w:val="-3"/>
        </w:rPr>
      </w:pPr>
      <w:r w:rsidRPr="00AA2094">
        <w:rPr>
          <w:noProof/>
          <w:spacing w:val="-3"/>
          <w:lang w:eastAsia="es-CO"/>
        </w:rPr>
        <w:drawing>
          <wp:inline distT="0" distB="0" distL="0" distR="0" wp14:anchorId="3FC3969D" wp14:editId="4D75DC2D">
            <wp:extent cx="5193030" cy="862567"/>
            <wp:effectExtent l="0" t="0" r="7620" b="0"/>
            <wp:docPr id="2517" name="Imagen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4980" cy="869535"/>
                    </a:xfrm>
                    <a:prstGeom prst="rect">
                      <a:avLst/>
                    </a:prstGeom>
                    <a:noFill/>
                  </pic:spPr>
                </pic:pic>
              </a:graphicData>
            </a:graphic>
          </wp:inline>
        </w:drawing>
      </w:r>
    </w:p>
    <w:p w14:paraId="64491D9E" w14:textId="77777777" w:rsidR="00DF6D4D" w:rsidRPr="004068F6" w:rsidRDefault="00DF6D4D">
      <w:pPr>
        <w:numPr>
          <w:ilvl w:val="12"/>
          <w:numId w:val="0"/>
        </w:numPr>
        <w:tabs>
          <w:tab w:val="left" w:pos="-2268"/>
        </w:tabs>
        <w:suppressAutoHyphens/>
        <w:rPr>
          <w:spacing w:val="-3"/>
        </w:rPr>
      </w:pPr>
    </w:p>
    <w:p w14:paraId="61DE743D" w14:textId="59E43BEE" w:rsidR="00A101A4" w:rsidRPr="004068F6" w:rsidRDefault="00A101A4">
      <w:pPr>
        <w:numPr>
          <w:ilvl w:val="12"/>
          <w:numId w:val="0"/>
        </w:numPr>
        <w:tabs>
          <w:tab w:val="left" w:pos="-2268"/>
        </w:tabs>
        <w:suppressAutoHyphens/>
        <w:rPr>
          <w:spacing w:val="-3"/>
        </w:rPr>
      </w:pPr>
      <w:r w:rsidRPr="004068F6">
        <w:rPr>
          <w:spacing w:val="-3"/>
        </w:rPr>
        <w:t>Adicionalmente, es necesario tener en cuenta que el nombre y la ruta completa de acceso al archivo no debe sobrepasar la cantidad de 260 caracteres. Por ello, se recomienda que la denominación de los archivos (</w:t>
      </w:r>
      <w:r w:rsidRPr="004068F6">
        <w:rPr>
          <w:i/>
          <w:spacing w:val="-3"/>
        </w:rPr>
        <w:t>elemento esencial</w:t>
      </w:r>
      <w:r w:rsidRPr="004068F6">
        <w:rPr>
          <w:spacing w:val="-3"/>
        </w:rPr>
        <w:t xml:space="preserve"> y </w:t>
      </w:r>
      <w:r w:rsidRPr="004068F6">
        <w:rPr>
          <w:i/>
          <w:spacing w:val="-3"/>
        </w:rPr>
        <w:t>opcional</w:t>
      </w:r>
      <w:r w:rsidRPr="004068F6">
        <w:rPr>
          <w:spacing w:val="-3"/>
        </w:rPr>
        <w:t>) no supere los 30 caracteres.</w:t>
      </w:r>
      <w:r w:rsidR="005661B0" w:rsidRPr="004068F6">
        <w:rPr>
          <w:spacing w:val="-3"/>
        </w:rPr>
        <w:t xml:space="preserve"> </w:t>
      </w:r>
      <w:r w:rsidRPr="004068F6">
        <w:rPr>
          <w:spacing w:val="-3"/>
        </w:rPr>
        <w:t xml:space="preserve">Asimismo, para la denominación de los archivos </w:t>
      </w:r>
      <w:r w:rsidR="005661B0" w:rsidRPr="004068F6">
        <w:rPr>
          <w:spacing w:val="-3"/>
        </w:rPr>
        <w:t xml:space="preserve">es importante considerar </w:t>
      </w:r>
      <w:r w:rsidRPr="004068F6">
        <w:rPr>
          <w:spacing w:val="-3"/>
        </w:rPr>
        <w:t>l</w:t>
      </w:r>
      <w:r w:rsidR="005661B0" w:rsidRPr="004068F6">
        <w:rPr>
          <w:spacing w:val="-3"/>
        </w:rPr>
        <w:t>o</w:t>
      </w:r>
      <w:r w:rsidRPr="004068F6">
        <w:rPr>
          <w:spacing w:val="-3"/>
        </w:rPr>
        <w:t xml:space="preserve"> siguiente:</w:t>
      </w:r>
    </w:p>
    <w:p w14:paraId="2E1E23CD" w14:textId="77777777" w:rsidR="00A101A4" w:rsidRPr="004068F6" w:rsidRDefault="00A101A4">
      <w:pPr>
        <w:numPr>
          <w:ilvl w:val="12"/>
          <w:numId w:val="0"/>
        </w:numPr>
        <w:tabs>
          <w:tab w:val="left" w:pos="-2268"/>
        </w:tabs>
        <w:suppressAutoHyphens/>
        <w:rPr>
          <w:spacing w:val="-3"/>
        </w:rPr>
      </w:pPr>
    </w:p>
    <w:p w14:paraId="55502891" w14:textId="77777777" w:rsidR="00A101A4" w:rsidRPr="004068F6" w:rsidRDefault="00A101A4" w:rsidP="00C86DA5">
      <w:pPr>
        <w:numPr>
          <w:ilvl w:val="0"/>
          <w:numId w:val="35"/>
        </w:numPr>
        <w:tabs>
          <w:tab w:val="left" w:pos="-2268"/>
        </w:tabs>
        <w:suppressAutoHyphens/>
        <w:ind w:left="567" w:hanging="567"/>
        <w:rPr>
          <w:spacing w:val="-3"/>
        </w:rPr>
      </w:pPr>
      <w:r w:rsidRPr="004068F6">
        <w:rPr>
          <w:spacing w:val="-3"/>
        </w:rPr>
        <w:t>El nombre del archivo no puede contener tildes, símbolos, ni caracteres especiales.</w:t>
      </w:r>
    </w:p>
    <w:p w14:paraId="7F312C3F" w14:textId="77777777" w:rsidR="00A101A4" w:rsidRPr="004068F6" w:rsidRDefault="00A101A4">
      <w:pPr>
        <w:tabs>
          <w:tab w:val="left" w:pos="-2268"/>
        </w:tabs>
        <w:suppressAutoHyphens/>
        <w:rPr>
          <w:spacing w:val="-3"/>
        </w:rPr>
      </w:pPr>
    </w:p>
    <w:p w14:paraId="1C7B6A78" w14:textId="5AF8F3E3" w:rsidR="00A101A4" w:rsidRPr="004068F6" w:rsidRDefault="00A101A4" w:rsidP="006C6BC3">
      <w:pPr>
        <w:numPr>
          <w:ilvl w:val="0"/>
          <w:numId w:val="35"/>
        </w:numPr>
        <w:tabs>
          <w:tab w:val="left" w:pos="-2268"/>
        </w:tabs>
        <w:suppressAutoHyphens/>
        <w:ind w:left="567" w:hanging="567"/>
        <w:rPr>
          <w:spacing w:val="-3"/>
        </w:rPr>
      </w:pPr>
      <w:r w:rsidRPr="004068F6">
        <w:rPr>
          <w:spacing w:val="-3"/>
        </w:rPr>
        <w:t>El nombre como elemento esencial debe reflejar el contenido del documento.</w:t>
      </w:r>
    </w:p>
    <w:p w14:paraId="45B0418E" w14:textId="77777777" w:rsidR="00A101A4" w:rsidRPr="004068F6" w:rsidRDefault="00A101A4">
      <w:pPr>
        <w:tabs>
          <w:tab w:val="left" w:pos="-2268"/>
        </w:tabs>
        <w:suppressAutoHyphens/>
        <w:rPr>
          <w:spacing w:val="-3"/>
        </w:rPr>
      </w:pPr>
    </w:p>
    <w:p w14:paraId="15CFB4C3" w14:textId="6C88B888" w:rsidR="00A101A4" w:rsidRPr="004068F6" w:rsidRDefault="005661B0" w:rsidP="006C6BC3">
      <w:pPr>
        <w:numPr>
          <w:ilvl w:val="0"/>
          <w:numId w:val="35"/>
        </w:numPr>
        <w:tabs>
          <w:tab w:val="left" w:pos="-2268"/>
        </w:tabs>
        <w:suppressAutoHyphens/>
        <w:ind w:left="567" w:hanging="567"/>
        <w:rPr>
          <w:spacing w:val="-3"/>
        </w:rPr>
      </w:pPr>
      <w:r w:rsidRPr="004068F6">
        <w:rPr>
          <w:spacing w:val="-3"/>
        </w:rPr>
        <w:t xml:space="preserve">Si se </w:t>
      </w:r>
      <w:r w:rsidR="00A101A4" w:rsidRPr="004068F6">
        <w:rPr>
          <w:spacing w:val="-3"/>
        </w:rPr>
        <w:t>us</w:t>
      </w:r>
      <w:r w:rsidRPr="004068F6">
        <w:rPr>
          <w:spacing w:val="-3"/>
        </w:rPr>
        <w:t>a</w:t>
      </w:r>
      <w:r w:rsidR="00A101A4" w:rsidRPr="004068F6">
        <w:rPr>
          <w:spacing w:val="-3"/>
        </w:rPr>
        <w:t xml:space="preserve"> como elemento opcional la fecha, </w:t>
      </w:r>
      <w:r w:rsidRPr="004068F6">
        <w:rPr>
          <w:spacing w:val="-3"/>
        </w:rPr>
        <w:t xml:space="preserve">ésta </w:t>
      </w:r>
      <w:r w:rsidR="00A101A4" w:rsidRPr="004068F6">
        <w:rPr>
          <w:spacing w:val="-3"/>
        </w:rPr>
        <w:t>debe expresa</w:t>
      </w:r>
      <w:r w:rsidRPr="004068F6">
        <w:rPr>
          <w:spacing w:val="-3"/>
        </w:rPr>
        <w:t xml:space="preserve">r el año </w:t>
      </w:r>
      <w:r w:rsidR="00A101A4" w:rsidRPr="004068F6">
        <w:rPr>
          <w:spacing w:val="-3"/>
        </w:rPr>
        <w:t>en centuria. (</w:t>
      </w:r>
      <w:r w:rsidR="00041844" w:rsidRPr="004068F6">
        <w:rPr>
          <w:spacing w:val="-3"/>
        </w:rPr>
        <w:t>p. ej.</w:t>
      </w:r>
      <w:r w:rsidR="00A101A4" w:rsidRPr="004068F6">
        <w:rPr>
          <w:spacing w:val="-3"/>
        </w:rPr>
        <w:t xml:space="preserve"> PLAN DE MANEJO AMBIENTAL 20</w:t>
      </w:r>
      <w:r w:rsidR="00E9192B" w:rsidRPr="004068F6">
        <w:rPr>
          <w:spacing w:val="-3"/>
        </w:rPr>
        <w:t>25</w:t>
      </w:r>
      <w:r w:rsidR="00A101A4" w:rsidRPr="004068F6">
        <w:rPr>
          <w:spacing w:val="-3"/>
        </w:rPr>
        <w:t>).</w:t>
      </w:r>
    </w:p>
    <w:p w14:paraId="5C565DF3" w14:textId="77777777" w:rsidR="00A101A4" w:rsidRPr="004068F6" w:rsidRDefault="00A101A4">
      <w:pPr>
        <w:tabs>
          <w:tab w:val="left" w:pos="-2268"/>
        </w:tabs>
        <w:suppressAutoHyphens/>
        <w:rPr>
          <w:spacing w:val="-3"/>
        </w:rPr>
      </w:pPr>
    </w:p>
    <w:p w14:paraId="785F2D8F" w14:textId="496A0F89" w:rsidR="00A101A4" w:rsidRPr="004068F6" w:rsidRDefault="00A101A4" w:rsidP="006C6BC3">
      <w:pPr>
        <w:numPr>
          <w:ilvl w:val="0"/>
          <w:numId w:val="35"/>
        </w:numPr>
        <w:tabs>
          <w:tab w:val="left" w:pos="-2268"/>
        </w:tabs>
        <w:suppressAutoHyphens/>
        <w:ind w:left="567" w:hanging="567"/>
        <w:rPr>
          <w:spacing w:val="-3"/>
        </w:rPr>
      </w:pPr>
      <w:r w:rsidRPr="004068F6">
        <w:rPr>
          <w:spacing w:val="-3"/>
        </w:rPr>
        <w:t>El nombre debe escribirse en mayúscula sostenida.</w:t>
      </w:r>
    </w:p>
    <w:p w14:paraId="7663B192" w14:textId="77777777" w:rsidR="00A101A4" w:rsidRPr="004068F6" w:rsidRDefault="00A101A4">
      <w:pPr>
        <w:numPr>
          <w:ilvl w:val="12"/>
          <w:numId w:val="0"/>
        </w:numPr>
        <w:tabs>
          <w:tab w:val="left" w:pos="-2268"/>
        </w:tabs>
        <w:suppressAutoHyphens/>
        <w:rPr>
          <w:spacing w:val="-3"/>
        </w:rPr>
      </w:pPr>
    </w:p>
    <w:p w14:paraId="69A01A29" w14:textId="77777777" w:rsidR="00A101A4" w:rsidRPr="00FF73C7" w:rsidRDefault="00A101A4" w:rsidP="000A1E20">
      <w:pPr>
        <w:pStyle w:val="Ttulo3"/>
      </w:pPr>
      <w:bookmarkStart w:id="1958" w:name="_Toc42353714"/>
      <w:bookmarkStart w:id="1959" w:name="_Toc230879561"/>
      <w:r w:rsidRPr="00FF73C7">
        <w:t>Clasificación o agrupación de información</w:t>
      </w:r>
      <w:bookmarkEnd w:id="1958"/>
      <w:bookmarkEnd w:id="1959"/>
    </w:p>
    <w:p w14:paraId="3E1874EE" w14:textId="77777777" w:rsidR="00A101A4" w:rsidRPr="004068F6" w:rsidRDefault="00A101A4">
      <w:pPr>
        <w:numPr>
          <w:ilvl w:val="12"/>
          <w:numId w:val="0"/>
        </w:numPr>
        <w:tabs>
          <w:tab w:val="left" w:pos="-2268"/>
        </w:tabs>
        <w:suppressAutoHyphens/>
        <w:rPr>
          <w:spacing w:val="-3"/>
        </w:rPr>
      </w:pPr>
    </w:p>
    <w:p w14:paraId="4B4AA6BA" w14:textId="634B13B0" w:rsidR="00A101A4" w:rsidRPr="004068F6" w:rsidRDefault="00A101A4">
      <w:pPr>
        <w:numPr>
          <w:ilvl w:val="12"/>
          <w:numId w:val="0"/>
        </w:numPr>
        <w:tabs>
          <w:tab w:val="left" w:pos="-2268"/>
        </w:tabs>
        <w:suppressAutoHyphens/>
        <w:rPr>
          <w:spacing w:val="-3"/>
        </w:rPr>
      </w:pPr>
      <w:r w:rsidRPr="004068F6">
        <w:rPr>
          <w:spacing w:val="-3"/>
        </w:rPr>
        <w:lastRenderedPageBreak/>
        <w:t xml:space="preserve">Para organizar, cargar, descargar y revisar la información, se deben clasificar los archivos en carpetas agrupadas temáticamente como se muestra </w:t>
      </w:r>
      <w:r w:rsidRPr="004068F6">
        <w:rPr>
          <w:rFonts w:cs="Arial"/>
          <w:spacing w:val="-3"/>
        </w:rPr>
        <w:t xml:space="preserve">en la </w:t>
      </w:r>
      <w:r w:rsidRPr="004068F6">
        <w:rPr>
          <w:rFonts w:cs="Arial"/>
          <w:spacing w:val="-3"/>
        </w:rPr>
        <w:fldChar w:fldCharType="begin"/>
      </w:r>
      <w:r w:rsidRPr="004068F6">
        <w:rPr>
          <w:rFonts w:cs="Arial"/>
          <w:spacing w:val="-3"/>
        </w:rPr>
        <w:instrText xml:space="preserve"> REF _Ref42352192 \h </w:instrText>
      </w:r>
      <w:r w:rsidR="00A826C8" w:rsidRPr="004068F6">
        <w:rPr>
          <w:rFonts w:cs="Arial"/>
          <w:spacing w:val="-3"/>
        </w:rPr>
        <w:instrText xml:space="preserve"> \* MERGEFORMAT </w:instrText>
      </w:r>
      <w:r w:rsidRPr="004068F6">
        <w:rPr>
          <w:rFonts w:cs="Arial"/>
          <w:spacing w:val="-3"/>
        </w:rPr>
      </w:r>
      <w:r w:rsidRPr="004068F6">
        <w:rPr>
          <w:rFonts w:cs="Arial"/>
          <w:spacing w:val="-3"/>
        </w:rPr>
        <w:fldChar w:fldCharType="separate"/>
      </w:r>
      <w:r w:rsidR="009C4A81" w:rsidRPr="009C4A81">
        <w:rPr>
          <w:rFonts w:cs="Arial"/>
        </w:rPr>
        <w:t>Tabla 7</w:t>
      </w:r>
      <w:r w:rsidRPr="004068F6">
        <w:rPr>
          <w:rFonts w:cs="Arial"/>
          <w:spacing w:val="-3"/>
        </w:rPr>
        <w:fldChar w:fldCharType="end"/>
      </w:r>
      <w:r w:rsidRPr="004068F6">
        <w:rPr>
          <w:rFonts w:cs="Arial"/>
          <w:spacing w:val="-3"/>
        </w:rPr>
        <w:t>.</w:t>
      </w:r>
    </w:p>
    <w:p w14:paraId="09EB065D" w14:textId="77777777" w:rsidR="00A101A4" w:rsidRPr="004068F6" w:rsidRDefault="00A101A4">
      <w:pPr>
        <w:numPr>
          <w:ilvl w:val="12"/>
          <w:numId w:val="0"/>
        </w:numPr>
        <w:tabs>
          <w:tab w:val="left" w:pos="-2268"/>
        </w:tabs>
        <w:suppressAutoHyphens/>
        <w:rPr>
          <w:spacing w:val="-3"/>
        </w:rPr>
      </w:pPr>
    </w:p>
    <w:p w14:paraId="185FDAA1" w14:textId="572B5F32" w:rsidR="00A101A4" w:rsidRPr="004068F6" w:rsidRDefault="00A101A4" w:rsidP="00C86DA5">
      <w:pPr>
        <w:pStyle w:val="Descripcin"/>
        <w:jc w:val="center"/>
        <w:rPr>
          <w:b w:val="0"/>
          <w:spacing w:val="-3"/>
        </w:rPr>
      </w:pPr>
      <w:bookmarkStart w:id="1960" w:name="_Ref42352192"/>
      <w:r w:rsidRPr="004068F6">
        <w:t xml:space="preserve">Tabla </w:t>
      </w:r>
      <w:fldSimple w:instr=" SEQ Tabla \* ARABIC ">
        <w:r w:rsidR="009C4A81">
          <w:rPr>
            <w:noProof/>
          </w:rPr>
          <w:t>7</w:t>
        </w:r>
      </w:fldSimple>
      <w:bookmarkEnd w:id="1960"/>
      <w:r w:rsidRPr="004068F6">
        <w:rPr>
          <w:spacing w:val="-3"/>
        </w:rPr>
        <w:t>.</w:t>
      </w:r>
      <w:r w:rsidRPr="004068F6">
        <w:rPr>
          <w:b w:val="0"/>
          <w:spacing w:val="-3"/>
        </w:rPr>
        <w:t xml:space="preserve"> Agrupación de la información</w:t>
      </w: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306"/>
        <w:gridCol w:w="3617"/>
        <w:gridCol w:w="2329"/>
      </w:tblGrid>
      <w:tr w:rsidR="00A101A4" w:rsidRPr="004068F6" w14:paraId="64396F35" w14:textId="77777777" w:rsidTr="00C86DA5">
        <w:trPr>
          <w:trHeight w:val="525"/>
          <w:tblHeader/>
          <w:jc w:val="center"/>
        </w:trPr>
        <w:tc>
          <w:tcPr>
            <w:tcW w:w="562" w:type="dxa"/>
            <w:vAlign w:val="center"/>
            <w:hideMark/>
          </w:tcPr>
          <w:p w14:paraId="305318D9" w14:textId="3060D9FD" w:rsidR="00A101A4" w:rsidRPr="004068F6" w:rsidRDefault="009A506A" w:rsidP="00BA45DD">
            <w:pPr>
              <w:numPr>
                <w:ilvl w:val="12"/>
                <w:numId w:val="0"/>
              </w:numPr>
              <w:tabs>
                <w:tab w:val="left" w:pos="-2268"/>
              </w:tabs>
              <w:suppressAutoHyphens/>
              <w:jc w:val="center"/>
              <w:rPr>
                <w:b/>
                <w:i/>
                <w:spacing w:val="-3"/>
                <w:sz w:val="22"/>
              </w:rPr>
            </w:pPr>
            <w:r w:rsidRPr="004068F6">
              <w:rPr>
                <w:rFonts w:cs="Arial"/>
                <w:b/>
                <w:bCs/>
                <w:spacing w:val="-3"/>
                <w:sz w:val="22"/>
                <w:szCs w:val="22"/>
              </w:rPr>
              <w:t>No</w:t>
            </w:r>
            <w:r w:rsidR="00A101A4" w:rsidRPr="004068F6">
              <w:rPr>
                <w:b/>
                <w:spacing w:val="-3"/>
                <w:sz w:val="22"/>
              </w:rPr>
              <w:t>.</w:t>
            </w:r>
          </w:p>
        </w:tc>
        <w:tc>
          <w:tcPr>
            <w:tcW w:w="2306" w:type="dxa"/>
            <w:vAlign w:val="center"/>
          </w:tcPr>
          <w:p w14:paraId="7EED05CF" w14:textId="0E979B00" w:rsidR="00A101A4" w:rsidRPr="004068F6" w:rsidRDefault="009A506A" w:rsidP="00BA45DD">
            <w:pPr>
              <w:numPr>
                <w:ilvl w:val="12"/>
                <w:numId w:val="0"/>
              </w:numPr>
              <w:tabs>
                <w:tab w:val="left" w:pos="-2268"/>
              </w:tabs>
              <w:suppressAutoHyphens/>
              <w:jc w:val="center"/>
              <w:rPr>
                <w:b/>
                <w:i/>
                <w:spacing w:val="-3"/>
                <w:sz w:val="22"/>
              </w:rPr>
            </w:pPr>
            <w:r w:rsidRPr="004068F6">
              <w:rPr>
                <w:rFonts w:cs="Arial"/>
                <w:b/>
                <w:bCs/>
                <w:spacing w:val="-3"/>
                <w:sz w:val="22"/>
                <w:szCs w:val="22"/>
              </w:rPr>
              <w:t>Carpetas</w:t>
            </w:r>
          </w:p>
        </w:tc>
        <w:tc>
          <w:tcPr>
            <w:tcW w:w="3617" w:type="dxa"/>
            <w:vAlign w:val="center"/>
            <w:hideMark/>
          </w:tcPr>
          <w:p w14:paraId="6604D341" w14:textId="69220B8A" w:rsidR="00A101A4" w:rsidRPr="004068F6" w:rsidRDefault="009A506A" w:rsidP="00BA45DD">
            <w:pPr>
              <w:numPr>
                <w:ilvl w:val="12"/>
                <w:numId w:val="0"/>
              </w:numPr>
              <w:tabs>
                <w:tab w:val="left" w:pos="-2268"/>
              </w:tabs>
              <w:suppressAutoHyphens/>
              <w:jc w:val="center"/>
              <w:rPr>
                <w:b/>
                <w:i/>
                <w:spacing w:val="-3"/>
                <w:sz w:val="22"/>
              </w:rPr>
            </w:pPr>
            <w:r w:rsidRPr="004068F6">
              <w:rPr>
                <w:rFonts w:cs="Arial"/>
                <w:b/>
                <w:bCs/>
                <w:spacing w:val="-3"/>
                <w:sz w:val="22"/>
                <w:szCs w:val="22"/>
              </w:rPr>
              <w:t>Subcarpetas</w:t>
            </w:r>
          </w:p>
        </w:tc>
        <w:tc>
          <w:tcPr>
            <w:tcW w:w="2329" w:type="dxa"/>
            <w:vAlign w:val="center"/>
          </w:tcPr>
          <w:p w14:paraId="62294498" w14:textId="5A21A458" w:rsidR="00A101A4" w:rsidRPr="004068F6" w:rsidRDefault="009A506A" w:rsidP="00BA45DD">
            <w:pPr>
              <w:numPr>
                <w:ilvl w:val="12"/>
                <w:numId w:val="0"/>
              </w:numPr>
              <w:tabs>
                <w:tab w:val="left" w:pos="-2268"/>
              </w:tabs>
              <w:suppressAutoHyphens/>
              <w:jc w:val="center"/>
              <w:rPr>
                <w:b/>
                <w:spacing w:val="-3"/>
                <w:sz w:val="22"/>
              </w:rPr>
            </w:pPr>
            <w:r w:rsidRPr="004068F6">
              <w:rPr>
                <w:rFonts w:cs="Arial"/>
                <w:b/>
                <w:bCs/>
                <w:spacing w:val="-3"/>
                <w:sz w:val="22"/>
                <w:szCs w:val="22"/>
              </w:rPr>
              <w:t>Tamaño máximo recomendado</w:t>
            </w:r>
          </w:p>
        </w:tc>
      </w:tr>
      <w:tr w:rsidR="00A101A4" w:rsidRPr="004068F6" w14:paraId="1F0164CD" w14:textId="77777777" w:rsidTr="00C86DA5">
        <w:trPr>
          <w:trHeight w:val="300"/>
          <w:jc w:val="center"/>
        </w:trPr>
        <w:tc>
          <w:tcPr>
            <w:tcW w:w="562" w:type="dxa"/>
            <w:vAlign w:val="center"/>
            <w:hideMark/>
          </w:tcPr>
          <w:p w14:paraId="0A6C24FD" w14:textId="77777777" w:rsidR="00A101A4" w:rsidRPr="004068F6" w:rsidRDefault="00A101A4" w:rsidP="00C86DA5">
            <w:pPr>
              <w:numPr>
                <w:ilvl w:val="12"/>
                <w:numId w:val="0"/>
              </w:numPr>
              <w:tabs>
                <w:tab w:val="left" w:pos="-2268"/>
              </w:tabs>
              <w:suppressAutoHyphens/>
              <w:jc w:val="center"/>
              <w:rPr>
                <w:b/>
                <w:i/>
                <w:spacing w:val="-3"/>
                <w:sz w:val="22"/>
              </w:rPr>
            </w:pPr>
            <w:r w:rsidRPr="004068F6">
              <w:rPr>
                <w:b/>
                <w:spacing w:val="-3"/>
                <w:sz w:val="22"/>
              </w:rPr>
              <w:t>1</w:t>
            </w:r>
          </w:p>
        </w:tc>
        <w:tc>
          <w:tcPr>
            <w:tcW w:w="5923" w:type="dxa"/>
            <w:gridSpan w:val="2"/>
            <w:vAlign w:val="center"/>
          </w:tcPr>
          <w:p w14:paraId="71D3C47D" w14:textId="77777777" w:rsidR="00A101A4" w:rsidRPr="004068F6" w:rsidRDefault="00A101A4" w:rsidP="00BA45DD">
            <w:pPr>
              <w:numPr>
                <w:ilvl w:val="12"/>
                <w:numId w:val="0"/>
              </w:numPr>
              <w:tabs>
                <w:tab w:val="left" w:pos="-2268"/>
              </w:tabs>
              <w:suppressAutoHyphens/>
              <w:rPr>
                <w:spacing w:val="-3"/>
                <w:sz w:val="22"/>
              </w:rPr>
            </w:pPr>
            <w:r w:rsidRPr="004068F6">
              <w:rPr>
                <w:spacing w:val="-3"/>
                <w:sz w:val="22"/>
              </w:rPr>
              <w:t>Documento estudio ambiental</w:t>
            </w:r>
          </w:p>
        </w:tc>
        <w:tc>
          <w:tcPr>
            <w:tcW w:w="2329" w:type="dxa"/>
            <w:vAlign w:val="center"/>
          </w:tcPr>
          <w:p w14:paraId="6425F3A8" w14:textId="77777777" w:rsidR="00A101A4" w:rsidRPr="004068F6" w:rsidRDefault="00A101A4" w:rsidP="00BA45DD">
            <w:pPr>
              <w:numPr>
                <w:ilvl w:val="12"/>
                <w:numId w:val="0"/>
              </w:numPr>
              <w:tabs>
                <w:tab w:val="left" w:pos="-2268"/>
              </w:tabs>
              <w:suppressAutoHyphens/>
              <w:ind w:left="773"/>
              <w:rPr>
                <w:spacing w:val="-3"/>
                <w:sz w:val="22"/>
              </w:rPr>
            </w:pPr>
            <w:r w:rsidRPr="004068F6">
              <w:rPr>
                <w:spacing w:val="-3"/>
                <w:sz w:val="22"/>
              </w:rPr>
              <w:t>1 GB</w:t>
            </w:r>
          </w:p>
        </w:tc>
      </w:tr>
      <w:tr w:rsidR="00A101A4" w:rsidRPr="004068F6" w14:paraId="1D8EC9D4" w14:textId="77777777" w:rsidTr="00BA45DD">
        <w:trPr>
          <w:trHeight w:val="300"/>
          <w:jc w:val="center"/>
        </w:trPr>
        <w:tc>
          <w:tcPr>
            <w:tcW w:w="562" w:type="dxa"/>
            <w:vMerge w:val="restart"/>
            <w:vAlign w:val="center"/>
          </w:tcPr>
          <w:p w14:paraId="1384CE1D" w14:textId="77777777" w:rsidR="00A101A4" w:rsidRPr="004068F6" w:rsidRDefault="00A101A4" w:rsidP="00C86DA5">
            <w:pPr>
              <w:numPr>
                <w:ilvl w:val="12"/>
                <w:numId w:val="0"/>
              </w:numPr>
              <w:tabs>
                <w:tab w:val="left" w:pos="-2268"/>
              </w:tabs>
              <w:suppressAutoHyphens/>
              <w:jc w:val="center"/>
              <w:rPr>
                <w:b/>
                <w:i/>
                <w:spacing w:val="-3"/>
                <w:sz w:val="22"/>
              </w:rPr>
            </w:pPr>
            <w:r w:rsidRPr="004068F6">
              <w:rPr>
                <w:b/>
                <w:spacing w:val="-3"/>
                <w:sz w:val="22"/>
              </w:rPr>
              <w:t>2</w:t>
            </w:r>
          </w:p>
        </w:tc>
        <w:tc>
          <w:tcPr>
            <w:tcW w:w="2306" w:type="dxa"/>
            <w:vMerge w:val="restart"/>
            <w:vAlign w:val="center"/>
          </w:tcPr>
          <w:p w14:paraId="68E3E681" w14:textId="77777777" w:rsidR="00A101A4" w:rsidRPr="004068F6" w:rsidRDefault="00A101A4" w:rsidP="00BA45DD">
            <w:pPr>
              <w:numPr>
                <w:ilvl w:val="12"/>
                <w:numId w:val="0"/>
              </w:numPr>
              <w:tabs>
                <w:tab w:val="left" w:pos="-2268"/>
              </w:tabs>
              <w:suppressAutoHyphens/>
              <w:rPr>
                <w:spacing w:val="-3"/>
                <w:sz w:val="22"/>
              </w:rPr>
            </w:pPr>
            <w:r w:rsidRPr="004068F6">
              <w:rPr>
                <w:spacing w:val="-3"/>
                <w:sz w:val="22"/>
              </w:rPr>
              <w:t>Información geográfica</w:t>
            </w:r>
          </w:p>
        </w:tc>
        <w:tc>
          <w:tcPr>
            <w:tcW w:w="3617" w:type="dxa"/>
            <w:vAlign w:val="center"/>
          </w:tcPr>
          <w:p w14:paraId="0A0ED701" w14:textId="57AA9D6F" w:rsidR="00A101A4" w:rsidRPr="004068F6" w:rsidRDefault="00A101A4" w:rsidP="00BA45DD">
            <w:pPr>
              <w:numPr>
                <w:ilvl w:val="12"/>
                <w:numId w:val="0"/>
              </w:numPr>
              <w:tabs>
                <w:tab w:val="left" w:pos="-2268"/>
              </w:tabs>
              <w:suppressAutoHyphens/>
              <w:rPr>
                <w:spacing w:val="-3"/>
                <w:sz w:val="22"/>
              </w:rPr>
            </w:pPr>
            <w:r w:rsidRPr="004068F6">
              <w:rPr>
                <w:rFonts w:cs="Arial"/>
                <w:spacing w:val="-3"/>
                <w:sz w:val="22"/>
                <w:szCs w:val="22"/>
              </w:rPr>
              <w:t>MAG</w:t>
            </w:r>
          </w:p>
        </w:tc>
        <w:tc>
          <w:tcPr>
            <w:tcW w:w="2329" w:type="dxa"/>
            <w:vAlign w:val="center"/>
          </w:tcPr>
          <w:p w14:paraId="765B09AB" w14:textId="77777777" w:rsidR="00A101A4" w:rsidRPr="004068F6" w:rsidRDefault="00A101A4" w:rsidP="00BA45DD">
            <w:pPr>
              <w:numPr>
                <w:ilvl w:val="12"/>
                <w:numId w:val="0"/>
              </w:numPr>
              <w:tabs>
                <w:tab w:val="left" w:pos="-2268"/>
              </w:tabs>
              <w:suppressAutoHyphens/>
              <w:ind w:left="773"/>
              <w:rPr>
                <w:spacing w:val="-3"/>
                <w:sz w:val="22"/>
              </w:rPr>
            </w:pPr>
            <w:r w:rsidRPr="004068F6">
              <w:rPr>
                <w:spacing w:val="-3"/>
                <w:sz w:val="22"/>
              </w:rPr>
              <w:t>2 GB</w:t>
            </w:r>
          </w:p>
        </w:tc>
      </w:tr>
      <w:tr w:rsidR="00A101A4" w:rsidRPr="004068F6" w14:paraId="51DF4C2E" w14:textId="77777777" w:rsidTr="00C86DA5">
        <w:trPr>
          <w:trHeight w:val="300"/>
          <w:jc w:val="center"/>
        </w:trPr>
        <w:tc>
          <w:tcPr>
            <w:tcW w:w="562" w:type="dxa"/>
            <w:vMerge/>
            <w:vAlign w:val="center"/>
          </w:tcPr>
          <w:p w14:paraId="09E1824A" w14:textId="77777777" w:rsidR="00A101A4" w:rsidRPr="004068F6" w:rsidRDefault="00A101A4" w:rsidP="00C86DA5">
            <w:pPr>
              <w:numPr>
                <w:ilvl w:val="12"/>
                <w:numId w:val="0"/>
              </w:numPr>
              <w:tabs>
                <w:tab w:val="left" w:pos="-2268"/>
              </w:tabs>
              <w:suppressAutoHyphens/>
              <w:jc w:val="center"/>
              <w:rPr>
                <w:b/>
                <w:i/>
                <w:spacing w:val="-3"/>
                <w:sz w:val="22"/>
              </w:rPr>
            </w:pPr>
          </w:p>
        </w:tc>
        <w:tc>
          <w:tcPr>
            <w:tcW w:w="2306" w:type="dxa"/>
            <w:vMerge/>
            <w:vAlign w:val="center"/>
          </w:tcPr>
          <w:p w14:paraId="2B50142C" w14:textId="77777777" w:rsidR="00A101A4" w:rsidRPr="004068F6" w:rsidRDefault="00A101A4" w:rsidP="00BA45DD">
            <w:pPr>
              <w:numPr>
                <w:ilvl w:val="12"/>
                <w:numId w:val="0"/>
              </w:numPr>
              <w:tabs>
                <w:tab w:val="left" w:pos="-2268"/>
              </w:tabs>
              <w:suppressAutoHyphens/>
              <w:rPr>
                <w:spacing w:val="-3"/>
                <w:sz w:val="22"/>
              </w:rPr>
            </w:pPr>
          </w:p>
        </w:tc>
        <w:tc>
          <w:tcPr>
            <w:tcW w:w="3617" w:type="dxa"/>
            <w:vAlign w:val="center"/>
          </w:tcPr>
          <w:p w14:paraId="3A2293CE" w14:textId="3A628970" w:rsidR="00A101A4" w:rsidRPr="004068F6" w:rsidRDefault="00A101A4" w:rsidP="00BA45DD">
            <w:pPr>
              <w:numPr>
                <w:ilvl w:val="12"/>
                <w:numId w:val="0"/>
              </w:numPr>
              <w:tabs>
                <w:tab w:val="left" w:pos="-2268"/>
              </w:tabs>
              <w:suppressAutoHyphens/>
              <w:rPr>
                <w:spacing w:val="-3"/>
                <w:sz w:val="22"/>
              </w:rPr>
            </w:pPr>
            <w:r w:rsidRPr="004068F6">
              <w:rPr>
                <w:spacing w:val="-3"/>
                <w:sz w:val="22"/>
              </w:rPr>
              <w:t xml:space="preserve">Insumos (imágenes </w:t>
            </w:r>
            <w:r w:rsidR="00B037B2" w:rsidRPr="004068F6">
              <w:rPr>
                <w:spacing w:val="-3"/>
                <w:sz w:val="22"/>
              </w:rPr>
              <w:t>u</w:t>
            </w:r>
            <w:r w:rsidRPr="004068F6">
              <w:rPr>
                <w:spacing w:val="-3"/>
                <w:sz w:val="22"/>
              </w:rPr>
              <w:t xml:space="preserve"> ortofotos)</w:t>
            </w:r>
          </w:p>
        </w:tc>
        <w:tc>
          <w:tcPr>
            <w:tcW w:w="2329" w:type="dxa"/>
            <w:vAlign w:val="center"/>
          </w:tcPr>
          <w:p w14:paraId="5B8D2C09" w14:textId="77777777" w:rsidR="00A101A4" w:rsidRPr="004068F6" w:rsidRDefault="00A101A4" w:rsidP="00BA45DD">
            <w:pPr>
              <w:numPr>
                <w:ilvl w:val="12"/>
                <w:numId w:val="0"/>
              </w:numPr>
              <w:tabs>
                <w:tab w:val="left" w:pos="-2268"/>
              </w:tabs>
              <w:suppressAutoHyphens/>
              <w:ind w:left="773"/>
              <w:rPr>
                <w:spacing w:val="-3"/>
                <w:sz w:val="22"/>
              </w:rPr>
            </w:pPr>
            <w:r w:rsidRPr="004068F6">
              <w:rPr>
                <w:spacing w:val="-3"/>
                <w:sz w:val="22"/>
              </w:rPr>
              <w:t>1 GB</w:t>
            </w:r>
          </w:p>
        </w:tc>
      </w:tr>
      <w:tr w:rsidR="00A101A4" w:rsidRPr="004068F6" w14:paraId="59DEF384" w14:textId="77777777" w:rsidTr="00C86DA5">
        <w:trPr>
          <w:trHeight w:val="300"/>
          <w:jc w:val="center"/>
        </w:trPr>
        <w:tc>
          <w:tcPr>
            <w:tcW w:w="562" w:type="dxa"/>
            <w:vMerge/>
            <w:vAlign w:val="center"/>
          </w:tcPr>
          <w:p w14:paraId="7E7A64A9" w14:textId="77777777" w:rsidR="00A101A4" w:rsidRPr="004068F6" w:rsidRDefault="00A101A4" w:rsidP="00C86DA5">
            <w:pPr>
              <w:numPr>
                <w:ilvl w:val="12"/>
                <w:numId w:val="0"/>
              </w:numPr>
              <w:tabs>
                <w:tab w:val="left" w:pos="-2268"/>
              </w:tabs>
              <w:suppressAutoHyphens/>
              <w:jc w:val="center"/>
              <w:rPr>
                <w:b/>
                <w:i/>
                <w:spacing w:val="-3"/>
                <w:sz w:val="22"/>
              </w:rPr>
            </w:pPr>
          </w:p>
        </w:tc>
        <w:tc>
          <w:tcPr>
            <w:tcW w:w="2306" w:type="dxa"/>
            <w:vMerge/>
            <w:vAlign w:val="center"/>
          </w:tcPr>
          <w:p w14:paraId="3874B370" w14:textId="77777777" w:rsidR="00A101A4" w:rsidRPr="004068F6" w:rsidRDefault="00A101A4" w:rsidP="00BA45DD">
            <w:pPr>
              <w:numPr>
                <w:ilvl w:val="12"/>
                <w:numId w:val="0"/>
              </w:numPr>
              <w:tabs>
                <w:tab w:val="left" w:pos="-2268"/>
              </w:tabs>
              <w:suppressAutoHyphens/>
              <w:rPr>
                <w:spacing w:val="-3"/>
                <w:sz w:val="22"/>
              </w:rPr>
            </w:pPr>
          </w:p>
        </w:tc>
        <w:tc>
          <w:tcPr>
            <w:tcW w:w="3617" w:type="dxa"/>
            <w:vAlign w:val="center"/>
          </w:tcPr>
          <w:p w14:paraId="701495E5" w14:textId="453A99E9" w:rsidR="00A101A4" w:rsidRPr="004068F6" w:rsidRDefault="00A101A4" w:rsidP="00BA45DD">
            <w:pPr>
              <w:numPr>
                <w:ilvl w:val="12"/>
                <w:numId w:val="0"/>
              </w:numPr>
              <w:tabs>
                <w:tab w:val="left" w:pos="-2268"/>
              </w:tabs>
              <w:suppressAutoHyphens/>
              <w:rPr>
                <w:spacing w:val="-3"/>
                <w:sz w:val="22"/>
              </w:rPr>
            </w:pPr>
            <w:r w:rsidRPr="004068F6">
              <w:rPr>
                <w:spacing w:val="-3"/>
                <w:sz w:val="22"/>
              </w:rPr>
              <w:t xml:space="preserve">Anexo </w:t>
            </w:r>
            <w:r w:rsidR="00D11D60" w:rsidRPr="004068F6">
              <w:rPr>
                <w:spacing w:val="-3"/>
                <w:sz w:val="22"/>
              </w:rPr>
              <w:t>c</w:t>
            </w:r>
            <w:r w:rsidRPr="004068F6">
              <w:rPr>
                <w:spacing w:val="-3"/>
                <w:sz w:val="22"/>
              </w:rPr>
              <w:t>artografía temática PDF/A</w:t>
            </w:r>
          </w:p>
        </w:tc>
        <w:tc>
          <w:tcPr>
            <w:tcW w:w="2329" w:type="dxa"/>
            <w:vAlign w:val="center"/>
          </w:tcPr>
          <w:p w14:paraId="60C75399" w14:textId="77777777" w:rsidR="00A101A4" w:rsidRPr="004068F6" w:rsidRDefault="00A101A4" w:rsidP="00BA45DD">
            <w:pPr>
              <w:numPr>
                <w:ilvl w:val="12"/>
                <w:numId w:val="0"/>
              </w:numPr>
              <w:tabs>
                <w:tab w:val="left" w:pos="-2268"/>
              </w:tabs>
              <w:suppressAutoHyphens/>
              <w:ind w:left="773"/>
              <w:rPr>
                <w:spacing w:val="-3"/>
                <w:sz w:val="22"/>
              </w:rPr>
            </w:pPr>
            <w:r w:rsidRPr="004068F6">
              <w:rPr>
                <w:spacing w:val="-3"/>
                <w:sz w:val="22"/>
              </w:rPr>
              <w:t>1 GB</w:t>
            </w:r>
          </w:p>
        </w:tc>
      </w:tr>
      <w:tr w:rsidR="00A101A4" w:rsidRPr="004068F6" w14:paraId="7C67C4A0" w14:textId="77777777" w:rsidTr="00E01862">
        <w:trPr>
          <w:trHeight w:val="300"/>
          <w:jc w:val="center"/>
        </w:trPr>
        <w:tc>
          <w:tcPr>
            <w:tcW w:w="562" w:type="dxa"/>
            <w:vMerge w:val="restart"/>
            <w:vAlign w:val="center"/>
            <w:hideMark/>
          </w:tcPr>
          <w:p w14:paraId="5930EE1C" w14:textId="77777777" w:rsidR="00A101A4" w:rsidRPr="004068F6" w:rsidRDefault="00A101A4" w:rsidP="00C86DA5">
            <w:pPr>
              <w:numPr>
                <w:ilvl w:val="12"/>
                <w:numId w:val="0"/>
              </w:numPr>
              <w:tabs>
                <w:tab w:val="left" w:pos="-2268"/>
              </w:tabs>
              <w:suppressAutoHyphens/>
              <w:jc w:val="center"/>
              <w:rPr>
                <w:b/>
                <w:i/>
                <w:spacing w:val="-3"/>
                <w:sz w:val="22"/>
              </w:rPr>
            </w:pPr>
            <w:r w:rsidRPr="004068F6">
              <w:rPr>
                <w:b/>
                <w:spacing w:val="-3"/>
                <w:sz w:val="22"/>
              </w:rPr>
              <w:t>3</w:t>
            </w:r>
          </w:p>
        </w:tc>
        <w:tc>
          <w:tcPr>
            <w:tcW w:w="2306" w:type="dxa"/>
            <w:vMerge w:val="restart"/>
            <w:vAlign w:val="center"/>
          </w:tcPr>
          <w:p w14:paraId="452B9C3C" w14:textId="77777777" w:rsidR="00A101A4" w:rsidRPr="004068F6" w:rsidRDefault="00A101A4" w:rsidP="00BA45DD">
            <w:pPr>
              <w:numPr>
                <w:ilvl w:val="12"/>
                <w:numId w:val="0"/>
              </w:numPr>
              <w:tabs>
                <w:tab w:val="left" w:pos="-2268"/>
              </w:tabs>
              <w:suppressAutoHyphens/>
              <w:rPr>
                <w:spacing w:val="-3"/>
                <w:sz w:val="22"/>
              </w:rPr>
            </w:pPr>
            <w:r w:rsidRPr="004068F6">
              <w:rPr>
                <w:spacing w:val="-3"/>
                <w:sz w:val="22"/>
              </w:rPr>
              <w:t>Anexos</w:t>
            </w:r>
          </w:p>
        </w:tc>
        <w:tc>
          <w:tcPr>
            <w:tcW w:w="3617" w:type="dxa"/>
            <w:vAlign w:val="center"/>
          </w:tcPr>
          <w:p w14:paraId="35159180" w14:textId="597A1483" w:rsidR="00A101A4" w:rsidRPr="004068F6" w:rsidRDefault="00E4445F" w:rsidP="00BA45DD">
            <w:pPr>
              <w:numPr>
                <w:ilvl w:val="12"/>
                <w:numId w:val="0"/>
              </w:numPr>
              <w:tabs>
                <w:tab w:val="left" w:pos="-2268"/>
              </w:tabs>
              <w:suppressAutoHyphens/>
              <w:rPr>
                <w:spacing w:val="-3"/>
                <w:sz w:val="22"/>
              </w:rPr>
            </w:pPr>
            <w:r w:rsidRPr="004068F6">
              <w:rPr>
                <w:spacing w:val="-3"/>
                <w:sz w:val="22"/>
              </w:rPr>
              <w:t xml:space="preserve">Anexo especificaciones técnicas del proyecto </w:t>
            </w:r>
          </w:p>
        </w:tc>
        <w:tc>
          <w:tcPr>
            <w:tcW w:w="2329" w:type="dxa"/>
            <w:vAlign w:val="center"/>
          </w:tcPr>
          <w:p w14:paraId="177B9DF7" w14:textId="77777777" w:rsidR="00A101A4" w:rsidRPr="004068F6" w:rsidRDefault="00E4445F" w:rsidP="00BA45DD">
            <w:pPr>
              <w:numPr>
                <w:ilvl w:val="12"/>
                <w:numId w:val="0"/>
              </w:numPr>
              <w:tabs>
                <w:tab w:val="left" w:pos="-2268"/>
              </w:tabs>
              <w:suppressAutoHyphens/>
              <w:ind w:left="773"/>
              <w:rPr>
                <w:spacing w:val="-3"/>
                <w:sz w:val="22"/>
              </w:rPr>
            </w:pPr>
            <w:r w:rsidRPr="004068F6">
              <w:rPr>
                <w:spacing w:val="-3"/>
                <w:sz w:val="22"/>
              </w:rPr>
              <w:t>1 GB</w:t>
            </w:r>
          </w:p>
        </w:tc>
      </w:tr>
      <w:tr w:rsidR="00E01862" w:rsidRPr="004068F6" w14:paraId="46F35E04" w14:textId="77777777" w:rsidTr="00C86DA5">
        <w:trPr>
          <w:trHeight w:val="300"/>
          <w:jc w:val="center"/>
        </w:trPr>
        <w:tc>
          <w:tcPr>
            <w:tcW w:w="562" w:type="dxa"/>
            <w:vMerge/>
            <w:vAlign w:val="center"/>
          </w:tcPr>
          <w:p w14:paraId="29C0E224" w14:textId="77777777" w:rsidR="00E01862" w:rsidRPr="004068F6" w:rsidRDefault="00E01862" w:rsidP="00E01862">
            <w:pPr>
              <w:numPr>
                <w:ilvl w:val="12"/>
                <w:numId w:val="0"/>
              </w:numPr>
              <w:tabs>
                <w:tab w:val="left" w:pos="-2268"/>
              </w:tabs>
              <w:suppressAutoHyphens/>
              <w:jc w:val="center"/>
              <w:rPr>
                <w:b/>
                <w:spacing w:val="-3"/>
                <w:sz w:val="22"/>
              </w:rPr>
            </w:pPr>
          </w:p>
        </w:tc>
        <w:tc>
          <w:tcPr>
            <w:tcW w:w="2306" w:type="dxa"/>
            <w:vMerge/>
            <w:vAlign w:val="center"/>
          </w:tcPr>
          <w:p w14:paraId="67B0522C" w14:textId="77777777" w:rsidR="00E01862" w:rsidRPr="004068F6" w:rsidRDefault="00E01862" w:rsidP="00E01862">
            <w:pPr>
              <w:numPr>
                <w:ilvl w:val="12"/>
                <w:numId w:val="0"/>
              </w:numPr>
              <w:tabs>
                <w:tab w:val="left" w:pos="-2268"/>
              </w:tabs>
              <w:suppressAutoHyphens/>
              <w:rPr>
                <w:spacing w:val="-3"/>
                <w:sz w:val="22"/>
              </w:rPr>
            </w:pPr>
          </w:p>
        </w:tc>
        <w:tc>
          <w:tcPr>
            <w:tcW w:w="3617" w:type="dxa"/>
            <w:vAlign w:val="center"/>
          </w:tcPr>
          <w:p w14:paraId="724D4CAE" w14:textId="1B0582B4" w:rsidR="00E01862" w:rsidRPr="004068F6" w:rsidRDefault="00E01862" w:rsidP="00E01862">
            <w:pPr>
              <w:numPr>
                <w:ilvl w:val="12"/>
                <w:numId w:val="0"/>
              </w:numPr>
              <w:tabs>
                <w:tab w:val="left" w:pos="-2268"/>
              </w:tabs>
              <w:suppressAutoHyphens/>
              <w:rPr>
                <w:spacing w:val="-3"/>
                <w:sz w:val="22"/>
              </w:rPr>
            </w:pPr>
            <w:r w:rsidRPr="004068F6">
              <w:rPr>
                <w:spacing w:val="-3"/>
                <w:sz w:val="22"/>
              </w:rPr>
              <w:t>Anexo abiótico</w:t>
            </w:r>
          </w:p>
        </w:tc>
        <w:tc>
          <w:tcPr>
            <w:tcW w:w="2329" w:type="dxa"/>
            <w:vAlign w:val="center"/>
          </w:tcPr>
          <w:p w14:paraId="1A83A23A" w14:textId="3D73E3B8"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1 GB</w:t>
            </w:r>
          </w:p>
        </w:tc>
      </w:tr>
      <w:tr w:rsidR="00E01862" w:rsidRPr="004068F6" w14:paraId="06738DD5" w14:textId="77777777" w:rsidTr="00C86DA5">
        <w:trPr>
          <w:trHeight w:val="300"/>
          <w:jc w:val="center"/>
        </w:trPr>
        <w:tc>
          <w:tcPr>
            <w:tcW w:w="0" w:type="auto"/>
            <w:vMerge/>
            <w:vAlign w:val="center"/>
            <w:hideMark/>
          </w:tcPr>
          <w:p w14:paraId="33EF1B4C" w14:textId="77777777" w:rsidR="00E01862" w:rsidRPr="004068F6" w:rsidRDefault="00E01862" w:rsidP="00E01862">
            <w:pPr>
              <w:numPr>
                <w:ilvl w:val="12"/>
                <w:numId w:val="0"/>
              </w:numPr>
              <w:tabs>
                <w:tab w:val="left" w:pos="-2268"/>
              </w:tabs>
              <w:suppressAutoHyphens/>
              <w:jc w:val="center"/>
              <w:rPr>
                <w:b/>
                <w:i/>
                <w:spacing w:val="-3"/>
                <w:sz w:val="22"/>
              </w:rPr>
            </w:pPr>
          </w:p>
        </w:tc>
        <w:tc>
          <w:tcPr>
            <w:tcW w:w="2306" w:type="dxa"/>
            <w:vMerge/>
            <w:vAlign w:val="center"/>
          </w:tcPr>
          <w:p w14:paraId="76F6FF1C" w14:textId="77777777" w:rsidR="00E01862" w:rsidRPr="004068F6" w:rsidRDefault="00E01862" w:rsidP="00E01862">
            <w:pPr>
              <w:numPr>
                <w:ilvl w:val="12"/>
                <w:numId w:val="0"/>
              </w:numPr>
              <w:tabs>
                <w:tab w:val="left" w:pos="-2268"/>
              </w:tabs>
              <w:suppressAutoHyphens/>
              <w:rPr>
                <w:spacing w:val="-3"/>
                <w:sz w:val="22"/>
              </w:rPr>
            </w:pPr>
          </w:p>
        </w:tc>
        <w:tc>
          <w:tcPr>
            <w:tcW w:w="3617" w:type="dxa"/>
            <w:vAlign w:val="center"/>
            <w:hideMark/>
          </w:tcPr>
          <w:p w14:paraId="7CA5C077" w14:textId="55F08E15" w:rsidR="00E01862" w:rsidRPr="004068F6" w:rsidRDefault="00E01862" w:rsidP="00E01862">
            <w:pPr>
              <w:numPr>
                <w:ilvl w:val="12"/>
                <w:numId w:val="0"/>
              </w:numPr>
              <w:tabs>
                <w:tab w:val="left" w:pos="-2268"/>
              </w:tabs>
              <w:suppressAutoHyphens/>
              <w:rPr>
                <w:spacing w:val="-3"/>
                <w:sz w:val="22"/>
              </w:rPr>
            </w:pPr>
            <w:r w:rsidRPr="004068F6">
              <w:rPr>
                <w:spacing w:val="-3"/>
                <w:sz w:val="22"/>
              </w:rPr>
              <w:t>Anexo biótico</w:t>
            </w:r>
          </w:p>
        </w:tc>
        <w:tc>
          <w:tcPr>
            <w:tcW w:w="2329" w:type="dxa"/>
            <w:vAlign w:val="center"/>
          </w:tcPr>
          <w:p w14:paraId="7DD599A0" w14:textId="77777777"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1 GB</w:t>
            </w:r>
          </w:p>
        </w:tc>
      </w:tr>
      <w:tr w:rsidR="00E01862" w:rsidRPr="004068F6" w14:paraId="5154F302" w14:textId="77777777" w:rsidTr="00C86DA5">
        <w:trPr>
          <w:trHeight w:val="300"/>
          <w:jc w:val="center"/>
        </w:trPr>
        <w:tc>
          <w:tcPr>
            <w:tcW w:w="0" w:type="auto"/>
            <w:vMerge/>
            <w:vAlign w:val="center"/>
          </w:tcPr>
          <w:p w14:paraId="1A14DDDA" w14:textId="77777777" w:rsidR="00E01862" w:rsidRPr="004068F6" w:rsidRDefault="00E01862" w:rsidP="00E01862">
            <w:pPr>
              <w:numPr>
                <w:ilvl w:val="12"/>
                <w:numId w:val="0"/>
              </w:numPr>
              <w:tabs>
                <w:tab w:val="left" w:pos="-2268"/>
              </w:tabs>
              <w:suppressAutoHyphens/>
              <w:jc w:val="center"/>
              <w:rPr>
                <w:b/>
                <w:i/>
                <w:spacing w:val="-3"/>
                <w:sz w:val="22"/>
              </w:rPr>
            </w:pPr>
          </w:p>
        </w:tc>
        <w:tc>
          <w:tcPr>
            <w:tcW w:w="2306" w:type="dxa"/>
            <w:vMerge/>
            <w:vAlign w:val="center"/>
          </w:tcPr>
          <w:p w14:paraId="2D8FB3E3" w14:textId="77777777" w:rsidR="00E01862" w:rsidRPr="004068F6" w:rsidRDefault="00E01862" w:rsidP="00E01862">
            <w:pPr>
              <w:numPr>
                <w:ilvl w:val="12"/>
                <w:numId w:val="0"/>
              </w:numPr>
              <w:tabs>
                <w:tab w:val="left" w:pos="-2268"/>
              </w:tabs>
              <w:suppressAutoHyphens/>
              <w:rPr>
                <w:spacing w:val="-3"/>
                <w:sz w:val="22"/>
              </w:rPr>
            </w:pPr>
          </w:p>
        </w:tc>
        <w:tc>
          <w:tcPr>
            <w:tcW w:w="3617" w:type="dxa"/>
            <w:vAlign w:val="center"/>
          </w:tcPr>
          <w:p w14:paraId="7CF4CE13" w14:textId="55E25E3A" w:rsidR="00E01862" w:rsidRPr="004068F6" w:rsidRDefault="00E01862" w:rsidP="00E01862">
            <w:pPr>
              <w:numPr>
                <w:ilvl w:val="12"/>
                <w:numId w:val="0"/>
              </w:numPr>
              <w:tabs>
                <w:tab w:val="left" w:pos="-2268"/>
              </w:tabs>
              <w:suppressAutoHyphens/>
              <w:rPr>
                <w:spacing w:val="-3"/>
                <w:sz w:val="22"/>
              </w:rPr>
            </w:pPr>
            <w:r w:rsidRPr="004068F6">
              <w:rPr>
                <w:spacing w:val="-3"/>
                <w:sz w:val="22"/>
              </w:rPr>
              <w:t>Anexo evaluación de impactos</w:t>
            </w:r>
          </w:p>
        </w:tc>
        <w:tc>
          <w:tcPr>
            <w:tcW w:w="2329" w:type="dxa"/>
            <w:vAlign w:val="center"/>
          </w:tcPr>
          <w:p w14:paraId="56929B19" w14:textId="77777777"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1 GB</w:t>
            </w:r>
          </w:p>
        </w:tc>
      </w:tr>
      <w:tr w:rsidR="00E01862" w:rsidRPr="004068F6" w14:paraId="6CCEA8A4" w14:textId="77777777" w:rsidTr="00C86DA5">
        <w:trPr>
          <w:trHeight w:val="300"/>
          <w:jc w:val="center"/>
        </w:trPr>
        <w:tc>
          <w:tcPr>
            <w:tcW w:w="0" w:type="auto"/>
            <w:vMerge/>
            <w:vAlign w:val="center"/>
          </w:tcPr>
          <w:p w14:paraId="42FB8744" w14:textId="77777777" w:rsidR="00E01862" w:rsidRPr="004068F6" w:rsidRDefault="00E01862" w:rsidP="00E01862">
            <w:pPr>
              <w:numPr>
                <w:ilvl w:val="12"/>
                <w:numId w:val="0"/>
              </w:numPr>
              <w:tabs>
                <w:tab w:val="left" w:pos="-2268"/>
              </w:tabs>
              <w:suppressAutoHyphens/>
              <w:jc w:val="center"/>
              <w:rPr>
                <w:b/>
                <w:i/>
                <w:spacing w:val="-3"/>
                <w:sz w:val="22"/>
              </w:rPr>
            </w:pPr>
          </w:p>
        </w:tc>
        <w:tc>
          <w:tcPr>
            <w:tcW w:w="2306" w:type="dxa"/>
            <w:vMerge/>
            <w:vAlign w:val="center"/>
          </w:tcPr>
          <w:p w14:paraId="468118FD" w14:textId="77777777" w:rsidR="00E01862" w:rsidRPr="004068F6" w:rsidRDefault="00E01862" w:rsidP="00E01862">
            <w:pPr>
              <w:numPr>
                <w:ilvl w:val="12"/>
                <w:numId w:val="0"/>
              </w:numPr>
              <w:tabs>
                <w:tab w:val="left" w:pos="-2268"/>
              </w:tabs>
              <w:suppressAutoHyphens/>
              <w:rPr>
                <w:spacing w:val="-3"/>
                <w:sz w:val="22"/>
              </w:rPr>
            </w:pPr>
          </w:p>
        </w:tc>
        <w:tc>
          <w:tcPr>
            <w:tcW w:w="3617" w:type="dxa"/>
            <w:vAlign w:val="center"/>
          </w:tcPr>
          <w:p w14:paraId="61A88138" w14:textId="6845CA88" w:rsidR="00E01862" w:rsidRPr="004068F6" w:rsidRDefault="00E01862" w:rsidP="00E01862">
            <w:pPr>
              <w:numPr>
                <w:ilvl w:val="12"/>
                <w:numId w:val="0"/>
              </w:numPr>
              <w:tabs>
                <w:tab w:val="left" w:pos="-2268"/>
              </w:tabs>
              <w:suppressAutoHyphens/>
              <w:rPr>
                <w:spacing w:val="-3"/>
                <w:sz w:val="22"/>
              </w:rPr>
            </w:pPr>
            <w:r w:rsidRPr="004068F6">
              <w:rPr>
                <w:spacing w:val="-3"/>
                <w:sz w:val="22"/>
              </w:rPr>
              <w:t>Anexo planes y programas</w:t>
            </w:r>
          </w:p>
        </w:tc>
        <w:tc>
          <w:tcPr>
            <w:tcW w:w="2329" w:type="dxa"/>
            <w:vAlign w:val="center"/>
          </w:tcPr>
          <w:p w14:paraId="18721CFC" w14:textId="77777777"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1 GB</w:t>
            </w:r>
          </w:p>
        </w:tc>
      </w:tr>
      <w:tr w:rsidR="00E01862" w:rsidRPr="004068F6" w14:paraId="65B733BF" w14:textId="77777777" w:rsidTr="00C86DA5">
        <w:trPr>
          <w:trHeight w:val="300"/>
          <w:jc w:val="center"/>
        </w:trPr>
        <w:tc>
          <w:tcPr>
            <w:tcW w:w="0" w:type="auto"/>
            <w:vMerge w:val="restart"/>
            <w:vAlign w:val="center"/>
            <w:hideMark/>
          </w:tcPr>
          <w:p w14:paraId="4F288527" w14:textId="77777777" w:rsidR="00E01862" w:rsidRPr="004068F6" w:rsidRDefault="00E01862" w:rsidP="00E01862">
            <w:pPr>
              <w:numPr>
                <w:ilvl w:val="12"/>
                <w:numId w:val="0"/>
              </w:numPr>
              <w:tabs>
                <w:tab w:val="left" w:pos="-2268"/>
              </w:tabs>
              <w:suppressAutoHyphens/>
              <w:jc w:val="center"/>
              <w:rPr>
                <w:b/>
                <w:i/>
                <w:spacing w:val="-3"/>
                <w:sz w:val="22"/>
              </w:rPr>
            </w:pPr>
            <w:r w:rsidRPr="004068F6">
              <w:rPr>
                <w:b/>
                <w:spacing w:val="-3"/>
                <w:sz w:val="22"/>
              </w:rPr>
              <w:t>4</w:t>
            </w:r>
          </w:p>
        </w:tc>
        <w:tc>
          <w:tcPr>
            <w:tcW w:w="2306" w:type="dxa"/>
            <w:vMerge w:val="restart"/>
            <w:vAlign w:val="center"/>
          </w:tcPr>
          <w:p w14:paraId="60890075" w14:textId="77777777" w:rsidR="00E01862" w:rsidRPr="004068F6" w:rsidRDefault="00E01862" w:rsidP="00E01862">
            <w:pPr>
              <w:numPr>
                <w:ilvl w:val="12"/>
                <w:numId w:val="0"/>
              </w:numPr>
              <w:tabs>
                <w:tab w:val="left" w:pos="-2268"/>
              </w:tabs>
              <w:suppressAutoHyphens/>
              <w:rPr>
                <w:spacing w:val="-3"/>
                <w:sz w:val="22"/>
              </w:rPr>
            </w:pPr>
            <w:r w:rsidRPr="004068F6">
              <w:rPr>
                <w:spacing w:val="-3"/>
                <w:sz w:val="22"/>
              </w:rPr>
              <w:t>Anexos socioeconómicos</w:t>
            </w:r>
          </w:p>
        </w:tc>
        <w:tc>
          <w:tcPr>
            <w:tcW w:w="3617" w:type="dxa"/>
            <w:vAlign w:val="center"/>
            <w:hideMark/>
          </w:tcPr>
          <w:p w14:paraId="02E379CD" w14:textId="0510EF6D" w:rsidR="00E01862" w:rsidRPr="00127BD4" w:rsidRDefault="00E01862" w:rsidP="00E01862">
            <w:pPr>
              <w:numPr>
                <w:ilvl w:val="12"/>
                <w:numId w:val="0"/>
              </w:numPr>
              <w:tabs>
                <w:tab w:val="left" w:pos="-2268"/>
              </w:tabs>
              <w:suppressAutoHyphens/>
              <w:rPr>
                <w:spacing w:val="-3"/>
                <w:sz w:val="22"/>
              </w:rPr>
            </w:pPr>
            <w:r w:rsidRPr="00127BD4">
              <w:rPr>
                <w:spacing w:val="-3"/>
                <w:sz w:val="22"/>
              </w:rPr>
              <w:t>Anexo socioeconómico, registros fotográficos PDF/A</w:t>
            </w:r>
          </w:p>
        </w:tc>
        <w:tc>
          <w:tcPr>
            <w:tcW w:w="2329" w:type="dxa"/>
            <w:vAlign w:val="center"/>
          </w:tcPr>
          <w:p w14:paraId="6BC45329" w14:textId="77777777"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2 GB</w:t>
            </w:r>
          </w:p>
        </w:tc>
      </w:tr>
      <w:tr w:rsidR="00E01862" w:rsidRPr="004068F6" w14:paraId="459DF135" w14:textId="77777777" w:rsidTr="00C86DA5">
        <w:trPr>
          <w:trHeight w:val="300"/>
          <w:jc w:val="center"/>
        </w:trPr>
        <w:tc>
          <w:tcPr>
            <w:tcW w:w="0" w:type="auto"/>
            <w:vMerge/>
            <w:vAlign w:val="center"/>
            <w:hideMark/>
          </w:tcPr>
          <w:p w14:paraId="40490DDD" w14:textId="77777777" w:rsidR="00E01862" w:rsidRPr="004068F6" w:rsidRDefault="00E01862" w:rsidP="00E01862">
            <w:pPr>
              <w:numPr>
                <w:ilvl w:val="12"/>
                <w:numId w:val="0"/>
              </w:numPr>
              <w:tabs>
                <w:tab w:val="left" w:pos="-2268"/>
              </w:tabs>
              <w:suppressAutoHyphens/>
              <w:jc w:val="center"/>
              <w:rPr>
                <w:b/>
                <w:i/>
                <w:spacing w:val="-3"/>
                <w:sz w:val="22"/>
              </w:rPr>
            </w:pPr>
          </w:p>
        </w:tc>
        <w:tc>
          <w:tcPr>
            <w:tcW w:w="2306" w:type="dxa"/>
            <w:vMerge/>
            <w:vAlign w:val="center"/>
          </w:tcPr>
          <w:p w14:paraId="4DA5AB34" w14:textId="77777777" w:rsidR="00E01862" w:rsidRPr="004068F6" w:rsidRDefault="00E01862" w:rsidP="00E01862">
            <w:pPr>
              <w:numPr>
                <w:ilvl w:val="12"/>
                <w:numId w:val="0"/>
              </w:numPr>
              <w:tabs>
                <w:tab w:val="left" w:pos="-2268"/>
              </w:tabs>
              <w:suppressAutoHyphens/>
              <w:rPr>
                <w:spacing w:val="-3"/>
                <w:sz w:val="22"/>
              </w:rPr>
            </w:pPr>
          </w:p>
        </w:tc>
        <w:tc>
          <w:tcPr>
            <w:tcW w:w="3617" w:type="dxa"/>
            <w:vAlign w:val="center"/>
            <w:hideMark/>
          </w:tcPr>
          <w:p w14:paraId="67A5D483" w14:textId="0FE7341F" w:rsidR="00E01862" w:rsidRPr="004068F6" w:rsidRDefault="00E01862" w:rsidP="00E01862">
            <w:pPr>
              <w:numPr>
                <w:ilvl w:val="12"/>
                <w:numId w:val="0"/>
              </w:numPr>
              <w:tabs>
                <w:tab w:val="left" w:pos="-2268"/>
              </w:tabs>
              <w:suppressAutoHyphens/>
              <w:rPr>
                <w:spacing w:val="-3"/>
                <w:sz w:val="22"/>
              </w:rPr>
            </w:pPr>
            <w:r w:rsidRPr="004068F6">
              <w:rPr>
                <w:spacing w:val="-3"/>
                <w:sz w:val="22"/>
              </w:rPr>
              <w:t>Anexo socioeconómico, registros fílmicos</w:t>
            </w:r>
          </w:p>
        </w:tc>
        <w:tc>
          <w:tcPr>
            <w:tcW w:w="2329" w:type="dxa"/>
            <w:vAlign w:val="center"/>
          </w:tcPr>
          <w:p w14:paraId="5FD691A3" w14:textId="77777777"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2 GB</w:t>
            </w:r>
          </w:p>
        </w:tc>
      </w:tr>
      <w:tr w:rsidR="00E01862" w:rsidRPr="004068F6" w14:paraId="00273F9A" w14:textId="77777777" w:rsidTr="00C86DA5">
        <w:trPr>
          <w:trHeight w:val="300"/>
          <w:jc w:val="center"/>
        </w:trPr>
        <w:tc>
          <w:tcPr>
            <w:tcW w:w="0" w:type="auto"/>
            <w:vMerge/>
            <w:vAlign w:val="center"/>
            <w:hideMark/>
          </w:tcPr>
          <w:p w14:paraId="573B53AC" w14:textId="77777777" w:rsidR="00E01862" w:rsidRPr="004068F6" w:rsidRDefault="00E01862" w:rsidP="00E01862">
            <w:pPr>
              <w:numPr>
                <w:ilvl w:val="12"/>
                <w:numId w:val="0"/>
              </w:numPr>
              <w:tabs>
                <w:tab w:val="left" w:pos="-2268"/>
              </w:tabs>
              <w:suppressAutoHyphens/>
              <w:jc w:val="center"/>
              <w:rPr>
                <w:b/>
                <w:i/>
                <w:spacing w:val="-3"/>
                <w:sz w:val="22"/>
              </w:rPr>
            </w:pPr>
          </w:p>
        </w:tc>
        <w:tc>
          <w:tcPr>
            <w:tcW w:w="2306" w:type="dxa"/>
            <w:vMerge/>
            <w:vAlign w:val="center"/>
          </w:tcPr>
          <w:p w14:paraId="1A05CA06" w14:textId="77777777" w:rsidR="00E01862" w:rsidRPr="004068F6" w:rsidRDefault="00E01862" w:rsidP="00E01862">
            <w:pPr>
              <w:numPr>
                <w:ilvl w:val="12"/>
                <w:numId w:val="0"/>
              </w:numPr>
              <w:tabs>
                <w:tab w:val="left" w:pos="-2268"/>
              </w:tabs>
              <w:suppressAutoHyphens/>
              <w:rPr>
                <w:spacing w:val="-3"/>
                <w:sz w:val="22"/>
              </w:rPr>
            </w:pPr>
          </w:p>
        </w:tc>
        <w:tc>
          <w:tcPr>
            <w:tcW w:w="3617" w:type="dxa"/>
            <w:vAlign w:val="center"/>
            <w:hideMark/>
          </w:tcPr>
          <w:p w14:paraId="6B24082B" w14:textId="7D2733B1" w:rsidR="00E01862" w:rsidRPr="004068F6" w:rsidRDefault="00E01862" w:rsidP="00E01862">
            <w:pPr>
              <w:numPr>
                <w:ilvl w:val="12"/>
                <w:numId w:val="0"/>
              </w:numPr>
              <w:tabs>
                <w:tab w:val="left" w:pos="-2268"/>
              </w:tabs>
              <w:suppressAutoHyphens/>
              <w:rPr>
                <w:spacing w:val="-3"/>
                <w:sz w:val="22"/>
              </w:rPr>
            </w:pPr>
            <w:r w:rsidRPr="004068F6">
              <w:rPr>
                <w:spacing w:val="-3"/>
                <w:sz w:val="22"/>
              </w:rPr>
              <w:t>Anexo socioeconómico, actas</w:t>
            </w:r>
          </w:p>
        </w:tc>
        <w:tc>
          <w:tcPr>
            <w:tcW w:w="2329" w:type="dxa"/>
            <w:vAlign w:val="center"/>
          </w:tcPr>
          <w:p w14:paraId="605A381B" w14:textId="77777777"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1 GB</w:t>
            </w:r>
          </w:p>
        </w:tc>
      </w:tr>
      <w:tr w:rsidR="00E01862" w:rsidRPr="004068F6" w14:paraId="5D42904C" w14:textId="77777777" w:rsidTr="00C86DA5">
        <w:trPr>
          <w:trHeight w:val="300"/>
          <w:jc w:val="center"/>
        </w:trPr>
        <w:tc>
          <w:tcPr>
            <w:tcW w:w="0" w:type="auto"/>
            <w:vMerge/>
            <w:vAlign w:val="center"/>
            <w:hideMark/>
          </w:tcPr>
          <w:p w14:paraId="7CBF979C" w14:textId="77777777" w:rsidR="00E01862" w:rsidRPr="004068F6" w:rsidRDefault="00E01862" w:rsidP="00E01862">
            <w:pPr>
              <w:numPr>
                <w:ilvl w:val="12"/>
                <w:numId w:val="0"/>
              </w:numPr>
              <w:tabs>
                <w:tab w:val="left" w:pos="-2268"/>
              </w:tabs>
              <w:suppressAutoHyphens/>
              <w:jc w:val="center"/>
              <w:rPr>
                <w:b/>
                <w:i/>
                <w:spacing w:val="-3"/>
                <w:sz w:val="22"/>
              </w:rPr>
            </w:pPr>
          </w:p>
        </w:tc>
        <w:tc>
          <w:tcPr>
            <w:tcW w:w="2306" w:type="dxa"/>
            <w:vMerge/>
            <w:vAlign w:val="center"/>
          </w:tcPr>
          <w:p w14:paraId="5D28435E" w14:textId="77777777" w:rsidR="00E01862" w:rsidRPr="004068F6" w:rsidRDefault="00E01862" w:rsidP="00E01862">
            <w:pPr>
              <w:numPr>
                <w:ilvl w:val="12"/>
                <w:numId w:val="0"/>
              </w:numPr>
              <w:tabs>
                <w:tab w:val="left" w:pos="-2268"/>
              </w:tabs>
              <w:suppressAutoHyphens/>
              <w:rPr>
                <w:spacing w:val="-3"/>
                <w:sz w:val="22"/>
              </w:rPr>
            </w:pPr>
          </w:p>
        </w:tc>
        <w:tc>
          <w:tcPr>
            <w:tcW w:w="3617" w:type="dxa"/>
            <w:vAlign w:val="center"/>
            <w:hideMark/>
          </w:tcPr>
          <w:p w14:paraId="6CAD5393" w14:textId="33902881" w:rsidR="00E01862" w:rsidRPr="004068F6" w:rsidRDefault="00E01862" w:rsidP="00E01862">
            <w:pPr>
              <w:numPr>
                <w:ilvl w:val="12"/>
                <w:numId w:val="0"/>
              </w:numPr>
              <w:tabs>
                <w:tab w:val="left" w:pos="-2268"/>
              </w:tabs>
              <w:suppressAutoHyphens/>
              <w:rPr>
                <w:spacing w:val="-3"/>
                <w:sz w:val="22"/>
              </w:rPr>
            </w:pPr>
            <w:r w:rsidRPr="004068F6">
              <w:rPr>
                <w:spacing w:val="-3"/>
                <w:sz w:val="22"/>
              </w:rPr>
              <w:t>Anexo socioeconómico, otros (p. ej. talleres determinación de impactos, fichas veredales / prediales)</w:t>
            </w:r>
          </w:p>
        </w:tc>
        <w:tc>
          <w:tcPr>
            <w:tcW w:w="2329" w:type="dxa"/>
            <w:vAlign w:val="center"/>
          </w:tcPr>
          <w:p w14:paraId="506C13DB" w14:textId="77777777"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1 GB</w:t>
            </w:r>
          </w:p>
        </w:tc>
      </w:tr>
      <w:tr w:rsidR="00E01862" w:rsidRPr="004068F6" w14:paraId="13A5140F" w14:textId="77777777" w:rsidTr="00C86DA5">
        <w:trPr>
          <w:trHeight w:val="300"/>
          <w:jc w:val="center"/>
        </w:trPr>
        <w:tc>
          <w:tcPr>
            <w:tcW w:w="0" w:type="auto"/>
            <w:vMerge/>
            <w:vAlign w:val="center"/>
          </w:tcPr>
          <w:p w14:paraId="5DA6A859" w14:textId="77777777" w:rsidR="00E01862" w:rsidRPr="004068F6" w:rsidRDefault="00E01862" w:rsidP="00E01862">
            <w:pPr>
              <w:numPr>
                <w:ilvl w:val="12"/>
                <w:numId w:val="0"/>
              </w:numPr>
              <w:tabs>
                <w:tab w:val="left" w:pos="-2268"/>
              </w:tabs>
              <w:suppressAutoHyphens/>
              <w:jc w:val="center"/>
              <w:rPr>
                <w:b/>
                <w:i/>
                <w:spacing w:val="-3"/>
                <w:sz w:val="22"/>
              </w:rPr>
            </w:pPr>
          </w:p>
        </w:tc>
        <w:tc>
          <w:tcPr>
            <w:tcW w:w="2306" w:type="dxa"/>
            <w:vMerge/>
            <w:vAlign w:val="center"/>
          </w:tcPr>
          <w:p w14:paraId="5D953805" w14:textId="77777777" w:rsidR="00E01862" w:rsidRPr="004068F6" w:rsidRDefault="00E01862" w:rsidP="00E01862">
            <w:pPr>
              <w:numPr>
                <w:ilvl w:val="12"/>
                <w:numId w:val="0"/>
              </w:numPr>
              <w:tabs>
                <w:tab w:val="left" w:pos="-2268"/>
              </w:tabs>
              <w:suppressAutoHyphens/>
              <w:rPr>
                <w:spacing w:val="-3"/>
                <w:sz w:val="22"/>
              </w:rPr>
            </w:pPr>
          </w:p>
        </w:tc>
        <w:tc>
          <w:tcPr>
            <w:tcW w:w="3617" w:type="dxa"/>
            <w:vAlign w:val="center"/>
          </w:tcPr>
          <w:p w14:paraId="409301EA" w14:textId="490352E4" w:rsidR="00E01862" w:rsidRPr="004068F6" w:rsidRDefault="00E01862" w:rsidP="00E01862">
            <w:pPr>
              <w:numPr>
                <w:ilvl w:val="12"/>
                <w:numId w:val="0"/>
              </w:numPr>
              <w:tabs>
                <w:tab w:val="left" w:pos="-2268"/>
              </w:tabs>
              <w:suppressAutoHyphens/>
              <w:rPr>
                <w:spacing w:val="-3"/>
                <w:sz w:val="22"/>
              </w:rPr>
            </w:pPr>
            <w:r w:rsidRPr="004068F6">
              <w:rPr>
                <w:spacing w:val="-3"/>
                <w:sz w:val="22"/>
              </w:rPr>
              <w:t>Anexo evaluación económica</w:t>
            </w:r>
          </w:p>
        </w:tc>
        <w:tc>
          <w:tcPr>
            <w:tcW w:w="2329" w:type="dxa"/>
            <w:vAlign w:val="center"/>
          </w:tcPr>
          <w:p w14:paraId="62BD4FA3" w14:textId="77777777"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1 GB</w:t>
            </w:r>
          </w:p>
        </w:tc>
      </w:tr>
      <w:tr w:rsidR="00E01862" w:rsidRPr="004068F6" w14:paraId="1F64032C" w14:textId="77777777" w:rsidTr="00C86DA5">
        <w:trPr>
          <w:trHeight w:val="300"/>
          <w:jc w:val="center"/>
        </w:trPr>
        <w:tc>
          <w:tcPr>
            <w:tcW w:w="0" w:type="auto"/>
            <w:vAlign w:val="center"/>
            <w:hideMark/>
          </w:tcPr>
          <w:p w14:paraId="3EFF2FE2" w14:textId="77777777" w:rsidR="00E01862" w:rsidRPr="004068F6" w:rsidRDefault="00E01862" w:rsidP="00E01862">
            <w:pPr>
              <w:numPr>
                <w:ilvl w:val="12"/>
                <w:numId w:val="0"/>
              </w:numPr>
              <w:tabs>
                <w:tab w:val="left" w:pos="-2268"/>
              </w:tabs>
              <w:suppressAutoHyphens/>
              <w:jc w:val="center"/>
              <w:rPr>
                <w:b/>
                <w:i/>
                <w:spacing w:val="-3"/>
                <w:sz w:val="22"/>
              </w:rPr>
            </w:pPr>
            <w:r w:rsidRPr="004068F6">
              <w:rPr>
                <w:b/>
                <w:spacing w:val="-3"/>
                <w:sz w:val="22"/>
              </w:rPr>
              <w:t>5</w:t>
            </w:r>
          </w:p>
        </w:tc>
        <w:tc>
          <w:tcPr>
            <w:tcW w:w="5923" w:type="dxa"/>
            <w:gridSpan w:val="2"/>
            <w:vAlign w:val="center"/>
          </w:tcPr>
          <w:p w14:paraId="5EDCBFED" w14:textId="77777777" w:rsidR="00E01862" w:rsidRPr="004068F6" w:rsidRDefault="00E01862" w:rsidP="00E01862">
            <w:pPr>
              <w:numPr>
                <w:ilvl w:val="12"/>
                <w:numId w:val="0"/>
              </w:numPr>
              <w:tabs>
                <w:tab w:val="left" w:pos="-2268"/>
              </w:tabs>
              <w:suppressAutoHyphens/>
              <w:rPr>
                <w:spacing w:val="-3"/>
                <w:sz w:val="22"/>
              </w:rPr>
            </w:pPr>
            <w:r w:rsidRPr="004068F6">
              <w:rPr>
                <w:spacing w:val="-3"/>
                <w:sz w:val="22"/>
              </w:rPr>
              <w:t>Anexo cuestiones legales</w:t>
            </w:r>
          </w:p>
        </w:tc>
        <w:tc>
          <w:tcPr>
            <w:tcW w:w="2329" w:type="dxa"/>
            <w:vAlign w:val="center"/>
          </w:tcPr>
          <w:p w14:paraId="55BBC43C" w14:textId="77777777" w:rsidR="00E01862" w:rsidRPr="004068F6" w:rsidRDefault="00E01862" w:rsidP="00E01862">
            <w:pPr>
              <w:numPr>
                <w:ilvl w:val="12"/>
                <w:numId w:val="0"/>
              </w:numPr>
              <w:tabs>
                <w:tab w:val="left" w:pos="-2268"/>
              </w:tabs>
              <w:suppressAutoHyphens/>
              <w:ind w:left="773"/>
              <w:rPr>
                <w:spacing w:val="-3"/>
                <w:sz w:val="22"/>
              </w:rPr>
            </w:pPr>
            <w:r w:rsidRPr="004068F6">
              <w:rPr>
                <w:spacing w:val="-3"/>
                <w:sz w:val="22"/>
              </w:rPr>
              <w:t>0,5 GB</w:t>
            </w:r>
          </w:p>
        </w:tc>
      </w:tr>
    </w:tbl>
    <w:p w14:paraId="5ADA6C80" w14:textId="77777777" w:rsidR="00A101A4" w:rsidRPr="004068F6" w:rsidRDefault="00A101A4">
      <w:pPr>
        <w:numPr>
          <w:ilvl w:val="12"/>
          <w:numId w:val="0"/>
        </w:numPr>
        <w:tabs>
          <w:tab w:val="left" w:pos="-2268"/>
        </w:tabs>
        <w:suppressAutoHyphens/>
        <w:rPr>
          <w:spacing w:val="-3"/>
        </w:rPr>
      </w:pPr>
    </w:p>
    <w:p w14:paraId="08814937" w14:textId="77777777" w:rsidR="00A101A4" w:rsidRPr="00FF73C7" w:rsidRDefault="00A101A4" w:rsidP="000A1E20">
      <w:pPr>
        <w:pStyle w:val="Ttulo3"/>
      </w:pPr>
      <w:bookmarkStart w:id="1961" w:name="_Toc42353715"/>
      <w:bookmarkStart w:id="1962" w:name="_Toc230879562"/>
      <w:r w:rsidRPr="00FF73C7">
        <w:t>Programa de compresión de archivos</w:t>
      </w:r>
      <w:bookmarkEnd w:id="1961"/>
      <w:bookmarkEnd w:id="1962"/>
    </w:p>
    <w:p w14:paraId="62E266DF" w14:textId="77777777" w:rsidR="00A101A4" w:rsidRPr="004068F6" w:rsidRDefault="00A101A4">
      <w:pPr>
        <w:numPr>
          <w:ilvl w:val="12"/>
          <w:numId w:val="0"/>
        </w:numPr>
        <w:tabs>
          <w:tab w:val="left" w:pos="-2268"/>
        </w:tabs>
        <w:suppressAutoHyphens/>
        <w:rPr>
          <w:spacing w:val="-3"/>
        </w:rPr>
      </w:pPr>
    </w:p>
    <w:p w14:paraId="22915314" w14:textId="541C32A4" w:rsidR="00A101A4" w:rsidRPr="004068F6" w:rsidRDefault="00D11D60">
      <w:pPr>
        <w:numPr>
          <w:ilvl w:val="12"/>
          <w:numId w:val="0"/>
        </w:numPr>
        <w:tabs>
          <w:tab w:val="left" w:pos="-2268"/>
        </w:tabs>
        <w:suppressAutoHyphens/>
        <w:rPr>
          <w:spacing w:val="-3"/>
        </w:rPr>
      </w:pPr>
      <w:r w:rsidRPr="004068F6">
        <w:rPr>
          <w:spacing w:val="-3"/>
        </w:rPr>
        <w:t>P</w:t>
      </w:r>
      <w:r w:rsidR="00A101A4" w:rsidRPr="004068F6">
        <w:rPr>
          <w:spacing w:val="-3"/>
        </w:rPr>
        <w:t xml:space="preserve">ara la presentación de los estudios ambientales y sus respectivos requisitos o documentos anexos, </w:t>
      </w:r>
      <w:r w:rsidR="000074AF" w:rsidRPr="004068F6">
        <w:rPr>
          <w:spacing w:val="-3"/>
        </w:rPr>
        <w:t xml:space="preserve">es posible </w:t>
      </w:r>
      <w:r w:rsidR="00A101A4" w:rsidRPr="004068F6">
        <w:rPr>
          <w:spacing w:val="-3"/>
        </w:rPr>
        <w:t>utilizar programas de compresión de información que permitan generar archivos .</w:t>
      </w:r>
      <w:r w:rsidR="00A101A4" w:rsidRPr="004068F6">
        <w:rPr>
          <w:i/>
          <w:spacing w:val="-3"/>
        </w:rPr>
        <w:t>zip</w:t>
      </w:r>
      <w:r w:rsidR="00B61733" w:rsidRPr="004068F6">
        <w:rPr>
          <w:i/>
          <w:spacing w:val="-3"/>
        </w:rPr>
        <w:t>,</w:t>
      </w:r>
      <w:r w:rsidR="00A101A4" w:rsidRPr="004068F6">
        <w:rPr>
          <w:spacing w:val="-3"/>
        </w:rPr>
        <w:t xml:space="preserve"> </w:t>
      </w:r>
      <w:r w:rsidR="00A101A4" w:rsidRPr="004068F6">
        <w:rPr>
          <w:i/>
          <w:spacing w:val="-3"/>
        </w:rPr>
        <w:t>.rar</w:t>
      </w:r>
      <w:r w:rsidR="00B61733" w:rsidRPr="004068F6">
        <w:rPr>
          <w:i/>
          <w:spacing w:val="-3"/>
        </w:rPr>
        <w:t xml:space="preserve"> </w:t>
      </w:r>
      <w:r w:rsidR="00B61733" w:rsidRPr="00127BD4">
        <w:rPr>
          <w:iCs/>
          <w:spacing w:val="-3"/>
        </w:rPr>
        <w:t>o</w:t>
      </w:r>
      <w:r w:rsidR="00B61733" w:rsidRPr="004068F6">
        <w:rPr>
          <w:i/>
          <w:spacing w:val="-3"/>
        </w:rPr>
        <w:t xml:space="preserve"> 7zip</w:t>
      </w:r>
      <w:r w:rsidR="00A101A4" w:rsidRPr="004068F6">
        <w:rPr>
          <w:spacing w:val="-3"/>
        </w:rPr>
        <w:t xml:space="preserve">, tanto para archivos como para carpetas con el fin de optimizar el tamaño total de la solicitud o </w:t>
      </w:r>
      <w:r w:rsidR="000074AF" w:rsidRPr="004068F6">
        <w:rPr>
          <w:spacing w:val="-3"/>
        </w:rPr>
        <w:t>estudio</w:t>
      </w:r>
      <w:r w:rsidR="00A101A4" w:rsidRPr="004068F6">
        <w:rPr>
          <w:spacing w:val="-3"/>
        </w:rPr>
        <w:t>.</w:t>
      </w:r>
    </w:p>
    <w:p w14:paraId="3C2CE67B" w14:textId="77777777" w:rsidR="00A101A4" w:rsidRPr="004068F6" w:rsidRDefault="00A101A4">
      <w:pPr>
        <w:numPr>
          <w:ilvl w:val="12"/>
          <w:numId w:val="0"/>
        </w:numPr>
        <w:tabs>
          <w:tab w:val="left" w:pos="-2268"/>
        </w:tabs>
        <w:suppressAutoHyphens/>
        <w:rPr>
          <w:b/>
          <w:spacing w:val="-3"/>
        </w:rPr>
      </w:pPr>
    </w:p>
    <w:p w14:paraId="2192C9B6" w14:textId="77777777" w:rsidR="00A101A4" w:rsidRPr="00FF73C7" w:rsidRDefault="00A101A4" w:rsidP="000A1E20">
      <w:pPr>
        <w:pStyle w:val="Ttulo3"/>
      </w:pPr>
      <w:bookmarkStart w:id="1963" w:name="_Toc42353716"/>
      <w:bookmarkStart w:id="1964" w:name="_Toc230879563"/>
      <w:r w:rsidRPr="00FF73C7">
        <w:t>Medio de cargue de archivos y envío de solicitudes</w:t>
      </w:r>
      <w:bookmarkEnd w:id="1963"/>
      <w:bookmarkEnd w:id="1964"/>
    </w:p>
    <w:p w14:paraId="17511A78" w14:textId="77777777" w:rsidR="00A101A4" w:rsidRPr="004068F6" w:rsidRDefault="00A101A4">
      <w:pPr>
        <w:numPr>
          <w:ilvl w:val="12"/>
          <w:numId w:val="0"/>
        </w:numPr>
        <w:tabs>
          <w:tab w:val="left" w:pos="-2268"/>
        </w:tabs>
        <w:suppressAutoHyphens/>
        <w:rPr>
          <w:spacing w:val="-3"/>
        </w:rPr>
      </w:pPr>
    </w:p>
    <w:p w14:paraId="78E1D2EC" w14:textId="0442F538" w:rsidR="00640F0B" w:rsidRPr="004068F6" w:rsidRDefault="00640F0B" w:rsidP="00640F0B">
      <w:pPr>
        <w:numPr>
          <w:ilvl w:val="12"/>
          <w:numId w:val="0"/>
        </w:numPr>
        <w:tabs>
          <w:tab w:val="left" w:pos="-2268"/>
        </w:tabs>
        <w:suppressAutoHyphens/>
        <w:rPr>
          <w:spacing w:val="-3"/>
        </w:rPr>
      </w:pPr>
      <w:r w:rsidRPr="004068F6">
        <w:rPr>
          <w:spacing w:val="-3"/>
        </w:rPr>
        <w:t xml:space="preserve">El Estado colombiano ha establecido políticas para favorecer e implementar las tecnologías de la información y las comunicaciones en su funcionamiento; así, impulsó la “Agenda de conectividad” para buscar nuevos instrumentos tecnológicos encaminados a la masificación del uso de la información, con el fin de aumentar la competitividad del sector productivo, modernizar las instituciones públicas y de </w:t>
      </w:r>
      <w:r w:rsidRPr="004068F6">
        <w:rPr>
          <w:spacing w:val="-3"/>
        </w:rPr>
        <w:lastRenderedPageBreak/>
        <w:t>gobierno, democratizar el acceso a la información e incrementar los niveles de participación de los ciudadanos.</w:t>
      </w:r>
    </w:p>
    <w:p w14:paraId="0A65A132" w14:textId="77777777" w:rsidR="00640F0B" w:rsidRPr="004068F6" w:rsidRDefault="00640F0B" w:rsidP="00640F0B">
      <w:pPr>
        <w:numPr>
          <w:ilvl w:val="12"/>
          <w:numId w:val="0"/>
        </w:numPr>
        <w:tabs>
          <w:tab w:val="left" w:pos="-2268"/>
        </w:tabs>
        <w:suppressAutoHyphens/>
        <w:rPr>
          <w:spacing w:val="-3"/>
        </w:rPr>
      </w:pPr>
    </w:p>
    <w:p w14:paraId="77E5BF92" w14:textId="381BA4D3" w:rsidR="00640F0B" w:rsidRPr="004068F6" w:rsidRDefault="00DD1E41" w:rsidP="00640F0B">
      <w:pPr>
        <w:numPr>
          <w:ilvl w:val="12"/>
          <w:numId w:val="0"/>
        </w:numPr>
        <w:tabs>
          <w:tab w:val="left" w:pos="-2268"/>
        </w:tabs>
        <w:suppressAutoHyphens/>
        <w:rPr>
          <w:spacing w:val="-3"/>
        </w:rPr>
      </w:pPr>
      <w:r w:rsidRPr="004068F6">
        <w:rPr>
          <w:spacing w:val="-3"/>
        </w:rPr>
        <w:t>Igualmente</w:t>
      </w:r>
      <w:r w:rsidR="00640F0B" w:rsidRPr="004068F6">
        <w:rPr>
          <w:spacing w:val="-3"/>
        </w:rPr>
        <w:t xml:space="preserve">, </w:t>
      </w:r>
      <w:r w:rsidRPr="004068F6">
        <w:rPr>
          <w:spacing w:val="-3"/>
        </w:rPr>
        <w:t xml:space="preserve">y </w:t>
      </w:r>
      <w:r w:rsidR="00640F0B" w:rsidRPr="004068F6">
        <w:rPr>
          <w:spacing w:val="-3"/>
        </w:rPr>
        <w:t xml:space="preserve">en desarrollo del Programa de Reforma de la Administración Pública (PRAP), las entidades del Estado adelantan un </w:t>
      </w:r>
      <w:r w:rsidRPr="004068F6">
        <w:rPr>
          <w:spacing w:val="-3"/>
        </w:rPr>
        <w:t xml:space="preserve">proceso de mejora continua </w:t>
      </w:r>
      <w:r w:rsidR="00640F0B" w:rsidRPr="004068F6">
        <w:rPr>
          <w:spacing w:val="-3"/>
        </w:rPr>
        <w:t xml:space="preserve">tendiente a modernizar la administración de los asuntos públicos, </w:t>
      </w:r>
      <w:r w:rsidRPr="004068F6">
        <w:rPr>
          <w:spacing w:val="-3"/>
        </w:rPr>
        <w:t xml:space="preserve">adecuando </w:t>
      </w:r>
      <w:r w:rsidR="00640F0B" w:rsidRPr="004068F6">
        <w:rPr>
          <w:spacing w:val="-3"/>
        </w:rPr>
        <w:t xml:space="preserve">las </w:t>
      </w:r>
      <w:r w:rsidRPr="004068F6">
        <w:rPr>
          <w:spacing w:val="-3"/>
        </w:rPr>
        <w:t xml:space="preserve">entidades </w:t>
      </w:r>
      <w:r w:rsidR="00640F0B" w:rsidRPr="004068F6">
        <w:rPr>
          <w:spacing w:val="-3"/>
        </w:rPr>
        <w:t xml:space="preserve">a los requerimientos de un Estado gerencial, </w:t>
      </w:r>
      <w:r w:rsidRPr="004068F6">
        <w:rPr>
          <w:spacing w:val="-3"/>
        </w:rPr>
        <w:t xml:space="preserve">y </w:t>
      </w:r>
      <w:r w:rsidR="00640F0B" w:rsidRPr="004068F6">
        <w:rPr>
          <w:spacing w:val="-3"/>
        </w:rPr>
        <w:t xml:space="preserve">facilitando </w:t>
      </w:r>
      <w:r w:rsidRPr="004068F6">
        <w:rPr>
          <w:spacing w:val="-3"/>
        </w:rPr>
        <w:t>su</w:t>
      </w:r>
      <w:r w:rsidR="00640F0B" w:rsidRPr="004068F6">
        <w:rPr>
          <w:spacing w:val="-3"/>
        </w:rPr>
        <w:t xml:space="preserve"> interacción constante, eficiente, eficaz y transparente </w:t>
      </w:r>
      <w:r w:rsidRPr="004068F6">
        <w:rPr>
          <w:spacing w:val="-3"/>
        </w:rPr>
        <w:t xml:space="preserve">con </w:t>
      </w:r>
      <w:r w:rsidR="00640F0B" w:rsidRPr="004068F6">
        <w:rPr>
          <w:spacing w:val="-3"/>
        </w:rPr>
        <w:t xml:space="preserve">el ciudadano y las empresas, mediante el uso de tecnologías de </w:t>
      </w:r>
      <w:r w:rsidRPr="004068F6">
        <w:rPr>
          <w:spacing w:val="-3"/>
        </w:rPr>
        <w:t xml:space="preserve">la </w:t>
      </w:r>
      <w:r w:rsidR="00640F0B" w:rsidRPr="004068F6">
        <w:rPr>
          <w:spacing w:val="-3"/>
        </w:rPr>
        <w:t xml:space="preserve">información y </w:t>
      </w:r>
      <w:r w:rsidRPr="004068F6">
        <w:rPr>
          <w:spacing w:val="-3"/>
        </w:rPr>
        <w:t xml:space="preserve">las </w:t>
      </w:r>
      <w:r w:rsidR="00640F0B" w:rsidRPr="004068F6">
        <w:rPr>
          <w:spacing w:val="-3"/>
        </w:rPr>
        <w:t>comunicaciones.</w:t>
      </w:r>
    </w:p>
    <w:p w14:paraId="524D41CA" w14:textId="77777777" w:rsidR="00640F0B" w:rsidRPr="004068F6" w:rsidRDefault="00640F0B">
      <w:pPr>
        <w:numPr>
          <w:ilvl w:val="12"/>
          <w:numId w:val="0"/>
        </w:numPr>
        <w:tabs>
          <w:tab w:val="left" w:pos="-2268"/>
        </w:tabs>
        <w:suppressAutoHyphens/>
        <w:rPr>
          <w:spacing w:val="-3"/>
        </w:rPr>
      </w:pPr>
    </w:p>
    <w:p w14:paraId="0F49FC67" w14:textId="29E0874B" w:rsidR="00487867" w:rsidRPr="004068F6" w:rsidRDefault="00DD1E41" w:rsidP="00487867">
      <w:pPr>
        <w:numPr>
          <w:ilvl w:val="12"/>
          <w:numId w:val="0"/>
        </w:numPr>
        <w:tabs>
          <w:tab w:val="left" w:pos="-2268"/>
        </w:tabs>
        <w:suppressAutoHyphens/>
        <w:rPr>
          <w:spacing w:val="-3"/>
        </w:rPr>
      </w:pPr>
      <w:r w:rsidRPr="004068F6">
        <w:rPr>
          <w:spacing w:val="-3"/>
        </w:rPr>
        <w:t>En este mismo sentido, l</w:t>
      </w:r>
      <w:r w:rsidR="00487867" w:rsidRPr="004068F6">
        <w:rPr>
          <w:spacing w:val="-3"/>
        </w:rPr>
        <w:t xml:space="preserve">a Política de </w:t>
      </w:r>
      <w:r w:rsidR="00C357A7" w:rsidRPr="004068F6">
        <w:rPr>
          <w:spacing w:val="-3"/>
        </w:rPr>
        <w:t>g</w:t>
      </w:r>
      <w:r w:rsidR="00487867" w:rsidRPr="004068F6">
        <w:rPr>
          <w:spacing w:val="-3"/>
        </w:rPr>
        <w:t xml:space="preserve">obierno </w:t>
      </w:r>
      <w:r w:rsidR="008B7241" w:rsidRPr="004068F6">
        <w:rPr>
          <w:spacing w:val="-3"/>
        </w:rPr>
        <w:t>d</w:t>
      </w:r>
      <w:r w:rsidR="00487867" w:rsidRPr="004068F6">
        <w:rPr>
          <w:spacing w:val="-3"/>
        </w:rPr>
        <w:t>igital</w:t>
      </w:r>
      <w:r w:rsidRPr="004068F6">
        <w:rPr>
          <w:rStyle w:val="Refdenotaalpie"/>
          <w:spacing w:val="-3"/>
          <w:lang w:val="es-CO"/>
        </w:rPr>
        <w:footnoteReference w:id="16"/>
      </w:r>
      <w:r w:rsidR="00030170" w:rsidRPr="004068F6">
        <w:rPr>
          <w:spacing w:val="-3"/>
        </w:rPr>
        <w:t>, cuyos lineamientos generales son</w:t>
      </w:r>
      <w:r w:rsidR="00487867" w:rsidRPr="004068F6">
        <w:rPr>
          <w:spacing w:val="-3"/>
        </w:rPr>
        <w:t xml:space="preserve"> establecid</w:t>
      </w:r>
      <w:r w:rsidR="00030170" w:rsidRPr="004068F6">
        <w:rPr>
          <w:spacing w:val="-3"/>
        </w:rPr>
        <w:t>os</w:t>
      </w:r>
      <w:r w:rsidR="00487867" w:rsidRPr="004068F6">
        <w:rPr>
          <w:spacing w:val="-3"/>
        </w:rPr>
        <w:t xml:space="preserve"> mediante el Decreto 1008 de 2018, </w:t>
      </w:r>
      <w:r w:rsidRPr="004068F6">
        <w:rPr>
          <w:spacing w:val="-3"/>
        </w:rPr>
        <w:t xml:space="preserve">que </w:t>
      </w:r>
      <w:r w:rsidR="00487867" w:rsidRPr="004068F6">
        <w:rPr>
          <w:spacing w:val="-3"/>
        </w:rPr>
        <w:t>busca promover el uso y aprovechamiento de las tecnologías de la información y las comunicaciones para consolidar un Estado y ciudadanos competitivos, proactivos, e innovadores, que generen valor público en un entorno de confianza digital</w:t>
      </w:r>
      <w:r w:rsidR="00030170" w:rsidRPr="004068F6">
        <w:rPr>
          <w:spacing w:val="-3"/>
        </w:rPr>
        <w:t xml:space="preserve">, </w:t>
      </w:r>
      <w:r w:rsidR="00EC64A8" w:rsidRPr="004068F6">
        <w:rPr>
          <w:spacing w:val="-3"/>
        </w:rPr>
        <w:t>defin</w:t>
      </w:r>
      <w:r w:rsidR="00030170" w:rsidRPr="004068F6">
        <w:rPr>
          <w:spacing w:val="-3"/>
        </w:rPr>
        <w:t xml:space="preserve">e directrices </w:t>
      </w:r>
      <w:r w:rsidR="00EC64A8" w:rsidRPr="004068F6">
        <w:rPr>
          <w:spacing w:val="-3"/>
        </w:rPr>
        <w:t xml:space="preserve">que permiten optimizar la </w:t>
      </w:r>
      <w:r w:rsidR="00030170" w:rsidRPr="004068F6">
        <w:rPr>
          <w:spacing w:val="-3"/>
        </w:rPr>
        <w:t xml:space="preserve">gestión interna de las entidades </w:t>
      </w:r>
      <w:r w:rsidR="00EC64A8" w:rsidRPr="004068F6">
        <w:rPr>
          <w:spacing w:val="-3"/>
        </w:rPr>
        <w:t xml:space="preserve">para prestar un servicio de calidad, </w:t>
      </w:r>
      <w:r w:rsidR="007400EB" w:rsidRPr="004068F6">
        <w:rPr>
          <w:spacing w:val="-3"/>
        </w:rPr>
        <w:t xml:space="preserve">promover la digitalización y automatización masiva de trámites, </w:t>
      </w:r>
      <w:r w:rsidR="00030170" w:rsidRPr="004068F6">
        <w:rPr>
          <w:spacing w:val="-3"/>
        </w:rPr>
        <w:t xml:space="preserve">y </w:t>
      </w:r>
      <w:r w:rsidR="00EC64A8" w:rsidRPr="004068F6">
        <w:rPr>
          <w:spacing w:val="-3"/>
        </w:rPr>
        <w:t xml:space="preserve">establecer </w:t>
      </w:r>
      <w:r w:rsidR="00030170" w:rsidRPr="004068F6">
        <w:rPr>
          <w:spacing w:val="-3"/>
        </w:rPr>
        <w:t xml:space="preserve">un relacionamiento </w:t>
      </w:r>
      <w:r w:rsidR="00EC64A8" w:rsidRPr="004068F6">
        <w:rPr>
          <w:spacing w:val="-3"/>
        </w:rPr>
        <w:t xml:space="preserve">que favorece la participación de </w:t>
      </w:r>
      <w:r w:rsidR="00030170" w:rsidRPr="004068F6">
        <w:rPr>
          <w:spacing w:val="-3"/>
        </w:rPr>
        <w:t>los ciudadanos.</w:t>
      </w:r>
    </w:p>
    <w:p w14:paraId="2464BEB5" w14:textId="77777777" w:rsidR="00487867" w:rsidRPr="004068F6" w:rsidRDefault="00487867" w:rsidP="00487867">
      <w:pPr>
        <w:numPr>
          <w:ilvl w:val="12"/>
          <w:numId w:val="0"/>
        </w:numPr>
        <w:tabs>
          <w:tab w:val="left" w:pos="-2268"/>
        </w:tabs>
        <w:suppressAutoHyphens/>
        <w:rPr>
          <w:spacing w:val="-3"/>
        </w:rPr>
      </w:pPr>
    </w:p>
    <w:p w14:paraId="612094EC" w14:textId="7B72CAF1" w:rsidR="00487867" w:rsidRPr="004068F6" w:rsidRDefault="001F474E" w:rsidP="009420F5">
      <w:pPr>
        <w:rPr>
          <w:spacing w:val="-3"/>
        </w:rPr>
      </w:pPr>
      <w:r w:rsidRPr="004068F6">
        <w:rPr>
          <w:spacing w:val="-3"/>
        </w:rPr>
        <w:t xml:space="preserve">De acuerdo </w:t>
      </w:r>
      <w:r w:rsidRPr="004068F6">
        <w:rPr>
          <w:rFonts w:cs="Arial"/>
          <w:spacing w:val="-3"/>
        </w:rPr>
        <w:t>con el</w:t>
      </w:r>
      <w:r w:rsidRPr="004068F6">
        <w:rPr>
          <w:spacing w:val="-3"/>
        </w:rPr>
        <w:t xml:space="preserve"> contexto anterior y de conformidad con lo dispuesto</w:t>
      </w:r>
      <w:r w:rsidRPr="004068F6" w:rsidDel="00DD1E41">
        <w:rPr>
          <w:spacing w:val="-3"/>
        </w:rPr>
        <w:t xml:space="preserve"> </w:t>
      </w:r>
      <w:r w:rsidRPr="004068F6">
        <w:rPr>
          <w:spacing w:val="-3"/>
        </w:rPr>
        <w:t xml:space="preserve">por </w:t>
      </w:r>
      <w:r w:rsidR="00487867" w:rsidRPr="004068F6">
        <w:rPr>
          <w:spacing w:val="-3"/>
        </w:rPr>
        <w:t>el</w:t>
      </w:r>
      <w:r w:rsidR="00112A7A" w:rsidRPr="004068F6">
        <w:rPr>
          <w:spacing w:val="-3"/>
        </w:rPr>
        <w:t>–</w:t>
      </w:r>
      <w:r w:rsidR="00487867" w:rsidRPr="004068F6">
        <w:rPr>
          <w:spacing w:val="-3"/>
        </w:rPr>
        <w:t>Decreto</w:t>
      </w:r>
      <w:r w:rsidR="00857BE8" w:rsidRPr="004068F6">
        <w:rPr>
          <w:spacing w:val="-3"/>
        </w:rPr>
        <w:t xml:space="preserve"> - Ley</w:t>
      </w:r>
      <w:r w:rsidR="00487867" w:rsidRPr="004068F6">
        <w:rPr>
          <w:spacing w:val="-3"/>
        </w:rPr>
        <w:t xml:space="preserve"> 2106 de 2019, </w:t>
      </w:r>
      <w:r w:rsidRPr="004068F6">
        <w:rPr>
          <w:spacing w:val="-3"/>
        </w:rPr>
        <w:t xml:space="preserve">que </w:t>
      </w:r>
      <w:r w:rsidR="00487867" w:rsidRPr="004068F6">
        <w:rPr>
          <w:spacing w:val="-3"/>
        </w:rPr>
        <w:t xml:space="preserve">en su artículo </w:t>
      </w:r>
      <w:r w:rsidR="00DD74B3" w:rsidRPr="004068F6">
        <w:rPr>
          <w:spacing w:val="-3"/>
        </w:rPr>
        <w:t xml:space="preserve">primero </w:t>
      </w:r>
      <w:r w:rsidR="00487867" w:rsidRPr="004068F6">
        <w:rPr>
          <w:spacing w:val="-3"/>
        </w:rPr>
        <w:t xml:space="preserve">ordenó simplificar, suprimir y reformar trámites, procesos y procedimientos innecesarios existentes en la </w:t>
      </w:r>
      <w:r w:rsidR="00FD5B64" w:rsidRPr="004068F6">
        <w:rPr>
          <w:spacing w:val="-3"/>
        </w:rPr>
        <w:t>a</w:t>
      </w:r>
      <w:r w:rsidR="00487867" w:rsidRPr="004068F6">
        <w:rPr>
          <w:spacing w:val="-3"/>
        </w:rPr>
        <w:t xml:space="preserve">dministración </w:t>
      </w:r>
      <w:r w:rsidR="00FD5B64" w:rsidRPr="004068F6">
        <w:rPr>
          <w:spacing w:val="-3"/>
        </w:rPr>
        <w:t>p</w:t>
      </w:r>
      <w:r w:rsidR="00487867" w:rsidRPr="004068F6">
        <w:rPr>
          <w:spacing w:val="-3"/>
        </w:rPr>
        <w:t xml:space="preserve">ública, </w:t>
      </w:r>
      <w:r w:rsidRPr="004068F6">
        <w:rPr>
          <w:spacing w:val="-3"/>
        </w:rPr>
        <w:t xml:space="preserve">así como por </w:t>
      </w:r>
      <w:r w:rsidR="00487867" w:rsidRPr="004068F6">
        <w:rPr>
          <w:spacing w:val="-3"/>
        </w:rPr>
        <w:t xml:space="preserve">el </w:t>
      </w:r>
      <w:r w:rsidR="004A04D5" w:rsidRPr="004068F6">
        <w:rPr>
          <w:spacing w:val="-3"/>
        </w:rPr>
        <w:t>artículo</w:t>
      </w:r>
      <w:r w:rsidR="00487867" w:rsidRPr="004068F6">
        <w:rPr>
          <w:spacing w:val="-3"/>
        </w:rPr>
        <w:t xml:space="preserve"> 2.2.2.3.10.1 del Decreto 1076 de 2015, </w:t>
      </w:r>
      <w:r w:rsidR="007400EB" w:rsidRPr="004068F6">
        <w:rPr>
          <w:spacing w:val="-3"/>
        </w:rPr>
        <w:t>y el artículo 124 del</w:t>
      </w:r>
      <w:r w:rsidR="00112A7A" w:rsidRPr="004068F6">
        <w:rPr>
          <w:spacing w:val="-3"/>
        </w:rPr>
        <w:t>–</w:t>
      </w:r>
      <w:r w:rsidR="007400EB" w:rsidRPr="004068F6">
        <w:rPr>
          <w:spacing w:val="-3"/>
        </w:rPr>
        <w:t>Decreto</w:t>
      </w:r>
      <w:r w:rsidR="00857BE8" w:rsidRPr="004068F6">
        <w:rPr>
          <w:spacing w:val="-3"/>
        </w:rPr>
        <w:t xml:space="preserve"> - Ley</w:t>
      </w:r>
      <w:r w:rsidR="007400EB" w:rsidRPr="004068F6">
        <w:rPr>
          <w:spacing w:val="-3"/>
        </w:rPr>
        <w:t xml:space="preserve"> 2106 de 2019, </w:t>
      </w:r>
      <w:r w:rsidR="00487867" w:rsidRPr="004068F6">
        <w:rPr>
          <w:spacing w:val="-3"/>
        </w:rPr>
        <w:t>la Ventanilla Integral de Trámites Ambientales en Línea (VITAL) s</w:t>
      </w:r>
      <w:r w:rsidR="006B6DAA" w:rsidRPr="004068F6">
        <w:rPr>
          <w:spacing w:val="-3"/>
        </w:rPr>
        <w:t>e constituye como</w:t>
      </w:r>
      <w:r w:rsidR="00487867" w:rsidRPr="004068F6">
        <w:rPr>
          <w:spacing w:val="-3"/>
        </w:rPr>
        <w:t xml:space="preserve"> el mecanismo tecnológico dispuesto </w:t>
      </w:r>
      <w:r w:rsidR="007400EB" w:rsidRPr="004068F6">
        <w:rPr>
          <w:spacing w:val="-3"/>
        </w:rPr>
        <w:t xml:space="preserve">por Minambiente y las autoridades ambientales </w:t>
      </w:r>
      <w:r w:rsidR="00487867" w:rsidRPr="004068F6">
        <w:rPr>
          <w:spacing w:val="-3"/>
        </w:rPr>
        <w:t xml:space="preserve">para la presentación de los estudios ambientales, informes </w:t>
      </w:r>
      <w:r w:rsidR="006B6DAA" w:rsidRPr="004068F6">
        <w:rPr>
          <w:spacing w:val="-3"/>
        </w:rPr>
        <w:t>y</w:t>
      </w:r>
      <w:r w:rsidR="00487867" w:rsidRPr="004068F6">
        <w:rPr>
          <w:spacing w:val="-3"/>
        </w:rPr>
        <w:t xml:space="preserve"> anexos.</w:t>
      </w:r>
    </w:p>
    <w:p w14:paraId="39FE1161" w14:textId="782CFA6C" w:rsidR="00487867" w:rsidRPr="004068F6" w:rsidRDefault="00487867" w:rsidP="00487867">
      <w:pPr>
        <w:numPr>
          <w:ilvl w:val="12"/>
          <w:numId w:val="0"/>
        </w:numPr>
        <w:tabs>
          <w:tab w:val="left" w:pos="-2268"/>
        </w:tabs>
        <w:suppressAutoHyphens/>
        <w:rPr>
          <w:spacing w:val="-3"/>
        </w:rPr>
      </w:pPr>
    </w:p>
    <w:p w14:paraId="62ED8270" w14:textId="0B3258AD" w:rsidR="00487867" w:rsidRPr="004068F6" w:rsidRDefault="006B6DAA" w:rsidP="00896B13">
      <w:pPr>
        <w:numPr>
          <w:ilvl w:val="12"/>
          <w:numId w:val="0"/>
        </w:numPr>
        <w:tabs>
          <w:tab w:val="left" w:pos="-2268"/>
        </w:tabs>
        <w:suppressAutoHyphens/>
        <w:rPr>
          <w:spacing w:val="-3"/>
        </w:rPr>
      </w:pPr>
      <w:r w:rsidRPr="004068F6">
        <w:rPr>
          <w:spacing w:val="-3"/>
        </w:rPr>
        <w:t xml:space="preserve">Con el propósito de </w:t>
      </w:r>
      <w:r w:rsidR="00CD1C04" w:rsidRPr="004068F6">
        <w:rPr>
          <w:spacing w:val="-3"/>
        </w:rPr>
        <w:t xml:space="preserve">garantizar el envío y recepción de </w:t>
      </w:r>
      <w:r w:rsidRPr="004068F6">
        <w:rPr>
          <w:spacing w:val="-3"/>
        </w:rPr>
        <w:t xml:space="preserve">los archivos de una solicitud o </w:t>
      </w:r>
      <w:r w:rsidR="00CD1C04" w:rsidRPr="004068F6">
        <w:rPr>
          <w:spacing w:val="-3"/>
        </w:rPr>
        <w:t xml:space="preserve">un </w:t>
      </w:r>
      <w:r w:rsidR="00FD5B64" w:rsidRPr="004068F6">
        <w:rPr>
          <w:spacing w:val="-3"/>
        </w:rPr>
        <w:t>estudio</w:t>
      </w:r>
      <w:r w:rsidRPr="004068F6">
        <w:rPr>
          <w:spacing w:val="-3"/>
        </w:rPr>
        <w:t xml:space="preserve"> a la autoridad ambiental competente mediante VITAL</w:t>
      </w:r>
      <w:r w:rsidR="00CD1C04" w:rsidRPr="004068F6">
        <w:rPr>
          <w:spacing w:val="-3"/>
        </w:rPr>
        <w:t xml:space="preserve"> (solución tecnológica en línea y </w:t>
      </w:r>
      <w:r w:rsidRPr="004068F6">
        <w:rPr>
          <w:spacing w:val="-3"/>
        </w:rPr>
        <w:t xml:space="preserve">punto de acceso </w:t>
      </w:r>
      <w:r w:rsidR="00CD1C04" w:rsidRPr="004068F6">
        <w:rPr>
          <w:spacing w:val="-3"/>
        </w:rPr>
        <w:t xml:space="preserve">único </w:t>
      </w:r>
      <w:r w:rsidRPr="004068F6">
        <w:rPr>
          <w:spacing w:val="-3"/>
        </w:rPr>
        <w:t>a la gestión de trámites regulados en el sector ambiental colombiano</w:t>
      </w:r>
      <w:r w:rsidR="00CD1C04" w:rsidRPr="004068F6">
        <w:rPr>
          <w:spacing w:val="-3"/>
        </w:rPr>
        <w:t>)</w:t>
      </w:r>
      <w:r w:rsidRPr="004068F6">
        <w:rPr>
          <w:spacing w:val="-3"/>
        </w:rPr>
        <w:t xml:space="preserve">, se debe </w:t>
      </w:r>
      <w:r w:rsidR="00487867" w:rsidRPr="004068F6">
        <w:rPr>
          <w:spacing w:val="-3"/>
        </w:rPr>
        <w:t>optimiza</w:t>
      </w:r>
      <w:r w:rsidRPr="004068F6">
        <w:rPr>
          <w:spacing w:val="-3"/>
        </w:rPr>
        <w:t xml:space="preserve">r </w:t>
      </w:r>
      <w:r w:rsidR="00487867" w:rsidRPr="004068F6">
        <w:rPr>
          <w:spacing w:val="-3"/>
        </w:rPr>
        <w:t>el tamaño de los archivos</w:t>
      </w:r>
      <w:r w:rsidR="00487867" w:rsidRPr="004068F6">
        <w:rPr>
          <w:rStyle w:val="Refdenotaalpie"/>
          <w:rFonts w:cs="Arial"/>
          <w:spacing w:val="-3"/>
          <w:lang w:val="es-CO"/>
        </w:rPr>
        <w:footnoteReference w:id="17"/>
      </w:r>
      <w:r w:rsidR="00487867" w:rsidRPr="004068F6">
        <w:rPr>
          <w:spacing w:val="-3"/>
        </w:rPr>
        <w:t xml:space="preserve"> </w:t>
      </w:r>
      <w:r w:rsidR="00CD1C04" w:rsidRPr="004068F6">
        <w:rPr>
          <w:spacing w:val="-3"/>
        </w:rPr>
        <w:t xml:space="preserve">y </w:t>
      </w:r>
      <w:r w:rsidR="00487867" w:rsidRPr="004068F6">
        <w:rPr>
          <w:spacing w:val="-3"/>
        </w:rPr>
        <w:t>tener en cuenta las siguientes consideraciones técnicas al realizar la transferencia</w:t>
      </w:r>
      <w:r w:rsidR="00CD1C04" w:rsidRPr="004068F6">
        <w:rPr>
          <w:spacing w:val="-3"/>
        </w:rPr>
        <w:t xml:space="preserve"> de información</w:t>
      </w:r>
      <w:r w:rsidR="00487867" w:rsidRPr="004068F6">
        <w:rPr>
          <w:spacing w:val="-3"/>
        </w:rPr>
        <w:t>:</w:t>
      </w:r>
    </w:p>
    <w:p w14:paraId="4CB1F879" w14:textId="77777777" w:rsidR="00487867" w:rsidRPr="004068F6" w:rsidRDefault="00487867" w:rsidP="00487867">
      <w:pPr>
        <w:numPr>
          <w:ilvl w:val="12"/>
          <w:numId w:val="0"/>
        </w:numPr>
        <w:tabs>
          <w:tab w:val="left" w:pos="-2268"/>
        </w:tabs>
        <w:suppressAutoHyphens/>
        <w:rPr>
          <w:spacing w:val="-3"/>
        </w:rPr>
      </w:pPr>
    </w:p>
    <w:p w14:paraId="62962879" w14:textId="77777777" w:rsidR="00487867" w:rsidRPr="004068F6" w:rsidRDefault="00487867" w:rsidP="00487867">
      <w:pPr>
        <w:numPr>
          <w:ilvl w:val="0"/>
          <w:numId w:val="36"/>
        </w:numPr>
        <w:tabs>
          <w:tab w:val="left" w:pos="-2268"/>
        </w:tabs>
        <w:suppressAutoHyphens/>
        <w:ind w:left="567" w:hanging="567"/>
        <w:rPr>
          <w:spacing w:val="-3"/>
        </w:rPr>
      </w:pPr>
      <w:r w:rsidRPr="004068F6">
        <w:rPr>
          <w:spacing w:val="-3"/>
        </w:rPr>
        <w:lastRenderedPageBreak/>
        <w:t>Contar con un canal de internet banda ancha con mínimo 3 Megas disponibles.</w:t>
      </w:r>
    </w:p>
    <w:p w14:paraId="359BA717" w14:textId="77777777" w:rsidR="00487867" w:rsidRPr="004068F6" w:rsidRDefault="00487867" w:rsidP="00487867">
      <w:pPr>
        <w:tabs>
          <w:tab w:val="left" w:pos="-2268"/>
        </w:tabs>
        <w:suppressAutoHyphens/>
        <w:rPr>
          <w:spacing w:val="-3"/>
        </w:rPr>
      </w:pPr>
    </w:p>
    <w:p w14:paraId="2F65DDDF" w14:textId="4A2058EB" w:rsidR="00487867" w:rsidRPr="004068F6" w:rsidRDefault="00487867" w:rsidP="00FE27CB">
      <w:pPr>
        <w:numPr>
          <w:ilvl w:val="0"/>
          <w:numId w:val="36"/>
        </w:numPr>
        <w:tabs>
          <w:tab w:val="left" w:pos="-2268"/>
        </w:tabs>
        <w:suppressAutoHyphens/>
        <w:ind w:left="567" w:hanging="567"/>
        <w:rPr>
          <w:spacing w:val="-3"/>
        </w:rPr>
      </w:pPr>
      <w:r w:rsidRPr="004068F6">
        <w:rPr>
          <w:spacing w:val="-3"/>
        </w:rPr>
        <w:t>Disminuir o restringir el canal de internet con el acceso a sitios web que contengan streaming (</w:t>
      </w:r>
      <w:r w:rsidR="00F51869" w:rsidRPr="004068F6">
        <w:rPr>
          <w:spacing w:val="-3"/>
        </w:rPr>
        <w:t>YouTube</w:t>
      </w:r>
      <w:r w:rsidRPr="004068F6">
        <w:rPr>
          <w:spacing w:val="-3"/>
        </w:rPr>
        <w:t>, emisoras on-line), redes sociales y multimedia (Facebook, Instagram, otros).</w:t>
      </w:r>
    </w:p>
    <w:p w14:paraId="71FD768C" w14:textId="77777777" w:rsidR="00487867" w:rsidRPr="004068F6" w:rsidRDefault="00487867" w:rsidP="00487867">
      <w:pPr>
        <w:tabs>
          <w:tab w:val="left" w:pos="-2268"/>
        </w:tabs>
        <w:suppressAutoHyphens/>
        <w:rPr>
          <w:spacing w:val="-3"/>
        </w:rPr>
      </w:pPr>
    </w:p>
    <w:p w14:paraId="23B9BE17" w14:textId="5F48E3E3" w:rsidR="00487867" w:rsidRPr="004068F6" w:rsidRDefault="00CD1C04" w:rsidP="00FE27CB">
      <w:pPr>
        <w:numPr>
          <w:ilvl w:val="0"/>
          <w:numId w:val="36"/>
        </w:numPr>
        <w:tabs>
          <w:tab w:val="left" w:pos="-2268"/>
        </w:tabs>
        <w:suppressAutoHyphens/>
        <w:ind w:left="567" w:hanging="567"/>
        <w:rPr>
          <w:spacing w:val="-3"/>
        </w:rPr>
      </w:pPr>
      <w:r w:rsidRPr="004068F6">
        <w:rPr>
          <w:spacing w:val="-3"/>
        </w:rPr>
        <w:t xml:space="preserve">Evitar el </w:t>
      </w:r>
      <w:r w:rsidR="00487867" w:rsidRPr="004068F6">
        <w:rPr>
          <w:spacing w:val="-3"/>
        </w:rPr>
        <w:t>us</w:t>
      </w:r>
      <w:r w:rsidRPr="004068F6">
        <w:rPr>
          <w:spacing w:val="-3"/>
        </w:rPr>
        <w:t xml:space="preserve">o de </w:t>
      </w:r>
      <w:r w:rsidR="00487867" w:rsidRPr="004068F6">
        <w:rPr>
          <w:spacing w:val="-3"/>
        </w:rPr>
        <w:t>redes inalámbricas (WiFi).</w:t>
      </w:r>
    </w:p>
    <w:p w14:paraId="37A9F1E6" w14:textId="77777777" w:rsidR="00A101A4" w:rsidRPr="004068F6" w:rsidRDefault="00A101A4">
      <w:pPr>
        <w:numPr>
          <w:ilvl w:val="12"/>
          <w:numId w:val="0"/>
        </w:numPr>
        <w:tabs>
          <w:tab w:val="left" w:pos="-2268"/>
        </w:tabs>
        <w:suppressAutoHyphens/>
        <w:rPr>
          <w:spacing w:val="-3"/>
        </w:rPr>
      </w:pPr>
    </w:p>
    <w:p w14:paraId="0DB1D09C" w14:textId="77777777" w:rsidR="00A101A4" w:rsidRPr="00FF73C7" w:rsidRDefault="00A101A4" w:rsidP="000A1E20">
      <w:pPr>
        <w:pStyle w:val="Ttulo3"/>
      </w:pPr>
      <w:bookmarkStart w:id="1965" w:name="_Toc42353717"/>
      <w:bookmarkStart w:id="1966" w:name="_Toc230879564"/>
      <w:r w:rsidRPr="00FF73C7">
        <w:t>Horarios de atención y canal de internet</w:t>
      </w:r>
      <w:bookmarkEnd w:id="1965"/>
      <w:bookmarkEnd w:id="1966"/>
    </w:p>
    <w:p w14:paraId="799CB228" w14:textId="77777777" w:rsidR="00A101A4" w:rsidRPr="004068F6" w:rsidRDefault="00A101A4">
      <w:pPr>
        <w:numPr>
          <w:ilvl w:val="12"/>
          <w:numId w:val="0"/>
        </w:numPr>
        <w:tabs>
          <w:tab w:val="left" w:pos="-2268"/>
        </w:tabs>
        <w:suppressAutoHyphens/>
        <w:rPr>
          <w:spacing w:val="-3"/>
        </w:rPr>
      </w:pPr>
    </w:p>
    <w:p w14:paraId="0B6B9F4C" w14:textId="606F62DB" w:rsidR="00A101A4" w:rsidRPr="004068F6" w:rsidRDefault="00A101A4">
      <w:pPr>
        <w:numPr>
          <w:ilvl w:val="12"/>
          <w:numId w:val="0"/>
        </w:numPr>
        <w:tabs>
          <w:tab w:val="left" w:pos="-2268"/>
        </w:tabs>
        <w:suppressAutoHyphens/>
        <w:rPr>
          <w:spacing w:val="-3"/>
        </w:rPr>
      </w:pPr>
      <w:r w:rsidRPr="004068F6">
        <w:rPr>
          <w:spacing w:val="-3"/>
        </w:rPr>
        <w:t>Para las solicitudes o informes cuya transmisión de información supere 1 gigabyte, se recomienda realizar la transferencia en periodos de operación moderada</w:t>
      </w:r>
      <w:r w:rsidR="00F45C31" w:rsidRPr="004068F6">
        <w:rPr>
          <w:spacing w:val="-3"/>
        </w:rPr>
        <w:t>,</w:t>
      </w:r>
      <w:r w:rsidRPr="004068F6">
        <w:rPr>
          <w:spacing w:val="-3"/>
        </w:rPr>
        <w:t xml:space="preserve"> como lo </w:t>
      </w:r>
      <w:r w:rsidR="00F45C31" w:rsidRPr="004068F6">
        <w:rPr>
          <w:spacing w:val="-3"/>
        </w:rPr>
        <w:t xml:space="preserve">son </w:t>
      </w:r>
      <w:r w:rsidRPr="004068F6">
        <w:rPr>
          <w:spacing w:val="-3"/>
        </w:rPr>
        <w:t>el inicio de la mañana, mediodía o finales de la tarde, ya que el crecimiento exponencial del volumen de transacciones de datos</w:t>
      </w:r>
      <w:r w:rsidR="00F45C31" w:rsidRPr="004068F6">
        <w:rPr>
          <w:spacing w:val="-3"/>
        </w:rPr>
        <w:t>,</w:t>
      </w:r>
      <w:r w:rsidRPr="004068F6">
        <w:rPr>
          <w:spacing w:val="-3"/>
        </w:rPr>
        <w:t xml:space="preserve"> la necesidad de proporcionar acceso continuo al sistema </w:t>
      </w:r>
      <w:r w:rsidR="00F45C31" w:rsidRPr="004068F6">
        <w:rPr>
          <w:spacing w:val="-3"/>
        </w:rPr>
        <w:t xml:space="preserve">y las especificaciones del canal de comunicación establecido desde el punto emisor de la transferencia, </w:t>
      </w:r>
      <w:r w:rsidRPr="004068F6">
        <w:rPr>
          <w:spacing w:val="-3"/>
        </w:rPr>
        <w:t>puede</w:t>
      </w:r>
      <w:r w:rsidR="00F45C31" w:rsidRPr="004068F6">
        <w:rPr>
          <w:spacing w:val="-3"/>
        </w:rPr>
        <w:t>n</w:t>
      </w:r>
      <w:r w:rsidRPr="004068F6">
        <w:rPr>
          <w:spacing w:val="-3"/>
        </w:rPr>
        <w:t xml:space="preserve"> </w:t>
      </w:r>
      <w:r w:rsidR="00BD4398" w:rsidRPr="004068F6">
        <w:rPr>
          <w:spacing w:val="-3"/>
        </w:rPr>
        <w:t xml:space="preserve">ocasionar </w:t>
      </w:r>
      <w:r w:rsidRPr="004068F6">
        <w:rPr>
          <w:spacing w:val="-3"/>
        </w:rPr>
        <w:t>que se prolongue el procedimiento de carga de archivos</w:t>
      </w:r>
      <w:r w:rsidR="00F45C31" w:rsidRPr="004068F6">
        <w:rPr>
          <w:spacing w:val="-3"/>
        </w:rPr>
        <w:t>.</w:t>
      </w:r>
      <w:r w:rsidRPr="004068F6">
        <w:rPr>
          <w:spacing w:val="-3"/>
        </w:rPr>
        <w:t xml:space="preserve"> </w:t>
      </w:r>
      <w:r w:rsidR="00F45C31" w:rsidRPr="004068F6">
        <w:rPr>
          <w:spacing w:val="-3"/>
        </w:rPr>
        <w:t>A</w:t>
      </w:r>
      <w:r w:rsidRPr="004068F6">
        <w:rPr>
          <w:spacing w:val="-3"/>
        </w:rPr>
        <w:t>simismo</w:t>
      </w:r>
      <w:r w:rsidR="004424D0" w:rsidRPr="004068F6">
        <w:rPr>
          <w:spacing w:val="-3"/>
        </w:rPr>
        <w:t>,</w:t>
      </w:r>
      <w:r w:rsidRPr="004068F6">
        <w:rPr>
          <w:spacing w:val="-3"/>
        </w:rPr>
        <w:t xml:space="preserve"> se recomienda cerrar </w:t>
      </w:r>
      <w:r w:rsidR="00F45C31" w:rsidRPr="004068F6">
        <w:rPr>
          <w:spacing w:val="-3"/>
        </w:rPr>
        <w:t xml:space="preserve">otras </w:t>
      </w:r>
      <w:r w:rsidRPr="004068F6">
        <w:rPr>
          <w:spacing w:val="-3"/>
        </w:rPr>
        <w:t xml:space="preserve">aplicaciones o exploradores en uso, con el fin de disminuir la alteración, saturación o consumo del canal de internet y dedicarlo exclusivamente </w:t>
      </w:r>
      <w:r w:rsidR="00F45C31" w:rsidRPr="004068F6">
        <w:rPr>
          <w:spacing w:val="-3"/>
        </w:rPr>
        <w:t xml:space="preserve">a la ejecución de </w:t>
      </w:r>
      <w:r w:rsidRPr="004068F6">
        <w:rPr>
          <w:spacing w:val="-3"/>
        </w:rPr>
        <w:t xml:space="preserve">la solicitud </w:t>
      </w:r>
      <w:r w:rsidR="00F45C31" w:rsidRPr="004068F6">
        <w:rPr>
          <w:spacing w:val="-3"/>
        </w:rPr>
        <w:t xml:space="preserve">ambiental </w:t>
      </w:r>
      <w:r w:rsidRPr="004068F6">
        <w:rPr>
          <w:spacing w:val="-3"/>
        </w:rPr>
        <w:t>en línea.</w:t>
      </w:r>
    </w:p>
    <w:p w14:paraId="3ACAD657" w14:textId="77777777" w:rsidR="00A101A4" w:rsidRPr="004068F6" w:rsidRDefault="00A101A4">
      <w:pPr>
        <w:numPr>
          <w:ilvl w:val="12"/>
          <w:numId w:val="0"/>
        </w:numPr>
        <w:tabs>
          <w:tab w:val="left" w:pos="-2268"/>
        </w:tabs>
        <w:suppressAutoHyphens/>
        <w:rPr>
          <w:spacing w:val="-3"/>
        </w:rPr>
      </w:pPr>
    </w:p>
    <w:p w14:paraId="128D9622" w14:textId="21BAFF7E" w:rsidR="00A101A4" w:rsidRPr="004068F6" w:rsidRDefault="00566404">
      <w:pPr>
        <w:numPr>
          <w:ilvl w:val="12"/>
          <w:numId w:val="0"/>
        </w:numPr>
        <w:tabs>
          <w:tab w:val="left" w:pos="-2268"/>
        </w:tabs>
        <w:suppressAutoHyphens/>
        <w:rPr>
          <w:spacing w:val="-3"/>
        </w:rPr>
      </w:pPr>
      <w:r w:rsidRPr="004068F6">
        <w:rPr>
          <w:spacing w:val="-3"/>
        </w:rPr>
        <w:t>En caso</w:t>
      </w:r>
      <w:r w:rsidRPr="004068F6">
        <w:rPr>
          <w:rFonts w:cs="Arial"/>
          <w:spacing w:val="-3"/>
        </w:rPr>
        <w:t xml:space="preserve"> de</w:t>
      </w:r>
      <w:r w:rsidRPr="004068F6">
        <w:rPr>
          <w:spacing w:val="-3"/>
        </w:rPr>
        <w:t xml:space="preserve"> </w:t>
      </w:r>
      <w:r w:rsidR="00A101A4" w:rsidRPr="004068F6">
        <w:rPr>
          <w:spacing w:val="-3"/>
        </w:rPr>
        <w:t>requ</w:t>
      </w:r>
      <w:r w:rsidR="00A01691" w:rsidRPr="004068F6">
        <w:rPr>
          <w:spacing w:val="-3"/>
        </w:rPr>
        <w:t>erir</w:t>
      </w:r>
      <w:r w:rsidR="00A101A4" w:rsidRPr="004068F6">
        <w:rPr>
          <w:spacing w:val="-3"/>
        </w:rPr>
        <w:t xml:space="preserve"> soporte o ayuda en el cargue y radicación de información, es posible </w:t>
      </w:r>
      <w:r w:rsidR="00F45C31" w:rsidRPr="004068F6">
        <w:rPr>
          <w:spacing w:val="-3"/>
        </w:rPr>
        <w:t xml:space="preserve">acudir a </w:t>
      </w:r>
      <w:r w:rsidR="004C7D6B" w:rsidRPr="004068F6">
        <w:rPr>
          <w:spacing w:val="-3"/>
        </w:rPr>
        <w:t>los diferentes canales o mecanismos de atención al ciudadano dispuestos por la autoridad ambiental, incluyendo entre otros el telefónico, el presencial y a través de correo electrónico.</w:t>
      </w:r>
    </w:p>
    <w:p w14:paraId="64022A03" w14:textId="77777777" w:rsidR="00DF6D4D" w:rsidRPr="004068F6" w:rsidRDefault="00DF6D4D" w:rsidP="00A101A4">
      <w:pPr>
        <w:overflowPunct/>
        <w:autoSpaceDE/>
        <w:autoSpaceDN/>
        <w:adjustRightInd/>
        <w:textAlignment w:val="auto"/>
        <w:rPr>
          <w:spacing w:val="-3"/>
        </w:rPr>
      </w:pPr>
    </w:p>
    <w:p w14:paraId="5CC5579D" w14:textId="5701C249" w:rsidR="00A101A4" w:rsidRPr="004068F6" w:rsidRDefault="00A101A4" w:rsidP="00A101A4">
      <w:pPr>
        <w:overflowPunct/>
        <w:autoSpaceDE/>
        <w:autoSpaceDN/>
        <w:adjustRightInd/>
        <w:textAlignment w:val="auto"/>
        <w:rPr>
          <w:spacing w:val="-3"/>
        </w:rPr>
      </w:pPr>
    </w:p>
    <w:p w14:paraId="50052435" w14:textId="77777777" w:rsidR="00A101A4" w:rsidRPr="004068F6" w:rsidRDefault="00A101A4" w:rsidP="00456AB1">
      <w:pPr>
        <w:pStyle w:val="Ttulo1"/>
        <w:numPr>
          <w:ilvl w:val="0"/>
          <w:numId w:val="7"/>
        </w:numPr>
        <w:rPr>
          <w:lang w:val="es-CO"/>
        </w:rPr>
      </w:pPr>
      <w:bookmarkStart w:id="1967" w:name="_Toc42353718"/>
      <w:bookmarkStart w:id="1968" w:name="_Ref82532631"/>
      <w:bookmarkStart w:id="1969" w:name="_Toc230879565"/>
      <w:r w:rsidRPr="004068F6">
        <w:rPr>
          <w:lang w:val="es-CO"/>
        </w:rPr>
        <w:t>ESPECIFICACIONES PARA LA PRESENTACIÓN DE LA INFORMACIÓN GEOGRÁFICA Y CARTOGRÁFICA</w:t>
      </w:r>
      <w:bookmarkEnd w:id="1967"/>
      <w:bookmarkEnd w:id="1968"/>
      <w:bookmarkEnd w:id="1969"/>
    </w:p>
    <w:p w14:paraId="704AF20C" w14:textId="77777777" w:rsidR="00A101A4" w:rsidRPr="004068F6" w:rsidRDefault="00A101A4">
      <w:pPr>
        <w:numPr>
          <w:ilvl w:val="12"/>
          <w:numId w:val="0"/>
        </w:numPr>
        <w:tabs>
          <w:tab w:val="left" w:pos="-2268"/>
        </w:tabs>
        <w:suppressAutoHyphens/>
        <w:rPr>
          <w:spacing w:val="-3"/>
        </w:rPr>
      </w:pPr>
    </w:p>
    <w:p w14:paraId="0634ACAD" w14:textId="425D35F3" w:rsidR="00A101A4" w:rsidRPr="004068F6" w:rsidRDefault="00A101A4">
      <w:pPr>
        <w:numPr>
          <w:ilvl w:val="12"/>
          <w:numId w:val="0"/>
        </w:numPr>
        <w:tabs>
          <w:tab w:val="left" w:pos="-2268"/>
        </w:tabs>
        <w:suppressAutoHyphens/>
        <w:rPr>
          <w:spacing w:val="-3"/>
        </w:rPr>
      </w:pPr>
      <w:r w:rsidRPr="004068F6">
        <w:rPr>
          <w:spacing w:val="-3"/>
        </w:rPr>
        <w:t xml:space="preserve">El propósito de este numeral es establecer las normas mínimas que se deben cumplir en el proceso de captura y estructuración de la información geográfica de acuerdo </w:t>
      </w:r>
      <w:r w:rsidRPr="004068F6">
        <w:rPr>
          <w:rFonts w:cs="Arial"/>
          <w:spacing w:val="-3"/>
        </w:rPr>
        <w:t>con</w:t>
      </w:r>
      <w:r w:rsidRPr="004068F6">
        <w:rPr>
          <w:spacing w:val="-3"/>
        </w:rPr>
        <w:t xml:space="preserve"> las políticas y estándares oficiales vigentes.</w:t>
      </w:r>
    </w:p>
    <w:p w14:paraId="2DD11522" w14:textId="77777777" w:rsidR="00A101A4" w:rsidRPr="004068F6" w:rsidRDefault="00A101A4">
      <w:pPr>
        <w:numPr>
          <w:ilvl w:val="12"/>
          <w:numId w:val="0"/>
        </w:numPr>
        <w:tabs>
          <w:tab w:val="left" w:pos="-2268"/>
        </w:tabs>
        <w:suppressAutoHyphens/>
        <w:rPr>
          <w:spacing w:val="-3"/>
        </w:rPr>
      </w:pPr>
    </w:p>
    <w:p w14:paraId="49247A3D" w14:textId="6D7BE5D5" w:rsidR="00A101A4" w:rsidRPr="004068F6" w:rsidRDefault="00A101A4">
      <w:pPr>
        <w:numPr>
          <w:ilvl w:val="12"/>
          <w:numId w:val="0"/>
        </w:numPr>
        <w:tabs>
          <w:tab w:val="left" w:pos="-2268"/>
        </w:tabs>
        <w:suppressAutoHyphens/>
        <w:rPr>
          <w:spacing w:val="-3"/>
        </w:rPr>
      </w:pPr>
      <w:r w:rsidRPr="004068F6">
        <w:rPr>
          <w:spacing w:val="-3"/>
        </w:rPr>
        <w:t>Adicionalmente</w:t>
      </w:r>
      <w:r w:rsidR="00E91D20" w:rsidRPr="004068F6">
        <w:rPr>
          <w:spacing w:val="-3"/>
        </w:rPr>
        <w:t>,</w:t>
      </w:r>
      <w:r w:rsidRPr="004068F6">
        <w:rPr>
          <w:spacing w:val="-3"/>
        </w:rPr>
        <w:t xml:space="preserve"> y como complemento al presente </w:t>
      </w:r>
      <w:r w:rsidR="00727968" w:rsidRPr="004068F6">
        <w:rPr>
          <w:spacing w:val="-3"/>
        </w:rPr>
        <w:t>numeral,</w:t>
      </w:r>
      <w:r w:rsidRPr="004068F6">
        <w:rPr>
          <w:spacing w:val="-3"/>
        </w:rPr>
        <w:t xml:space="preserve"> se debe</w:t>
      </w:r>
      <w:r w:rsidR="00727968" w:rsidRPr="004068F6">
        <w:rPr>
          <w:spacing w:val="-3"/>
        </w:rPr>
        <w:t xml:space="preserve"> dar cumplimiento </w:t>
      </w:r>
      <w:r w:rsidR="00727968" w:rsidRPr="004068F6">
        <w:rPr>
          <w:rFonts w:cs="Arial"/>
          <w:spacing w:val="-3"/>
        </w:rPr>
        <w:t xml:space="preserve">a lo establecido </w:t>
      </w:r>
      <w:r w:rsidRPr="004068F6">
        <w:rPr>
          <w:rFonts w:cs="Arial"/>
          <w:spacing w:val="-3"/>
        </w:rPr>
        <w:t xml:space="preserve">en la Resolución 2182 </w:t>
      </w:r>
      <w:r w:rsidRPr="004068F6">
        <w:rPr>
          <w:spacing w:val="-3"/>
        </w:rPr>
        <w:t xml:space="preserve">de </w:t>
      </w:r>
      <w:r w:rsidRPr="004068F6">
        <w:rPr>
          <w:rFonts w:cs="Arial"/>
          <w:spacing w:val="-3"/>
        </w:rPr>
        <w:t>2016, o aquella norma que la modifique o sustituya, frente al</w:t>
      </w:r>
      <w:r w:rsidRPr="004068F6">
        <w:rPr>
          <w:spacing w:val="-3"/>
        </w:rPr>
        <w:t xml:space="preserve"> diligenciamiento y presentación del Modelo de </w:t>
      </w:r>
      <w:r w:rsidRPr="004068F6">
        <w:rPr>
          <w:rFonts w:cs="Arial"/>
          <w:spacing w:val="-3"/>
        </w:rPr>
        <w:t>Almacenamiento Geográfico</w:t>
      </w:r>
      <w:r w:rsidR="00727968" w:rsidRPr="004068F6">
        <w:rPr>
          <w:rFonts w:cs="Arial"/>
          <w:spacing w:val="-3"/>
        </w:rPr>
        <w:t xml:space="preserve"> (MAG)</w:t>
      </w:r>
      <w:r w:rsidRPr="004068F6">
        <w:rPr>
          <w:spacing w:val="-3"/>
        </w:rPr>
        <w:t xml:space="preserve">, </w:t>
      </w:r>
      <w:r w:rsidR="00727968" w:rsidRPr="004068F6">
        <w:rPr>
          <w:spacing w:val="-3"/>
        </w:rPr>
        <w:t xml:space="preserve">siguiendo sus </w:t>
      </w:r>
      <w:r w:rsidRPr="004068F6">
        <w:rPr>
          <w:spacing w:val="-3"/>
        </w:rPr>
        <w:t xml:space="preserve">directrices en relación </w:t>
      </w:r>
      <w:r w:rsidRPr="004068F6">
        <w:rPr>
          <w:rFonts w:cs="Arial"/>
          <w:spacing w:val="-3"/>
        </w:rPr>
        <w:t>con el</w:t>
      </w:r>
      <w:r w:rsidRPr="004068F6">
        <w:rPr>
          <w:spacing w:val="-3"/>
        </w:rPr>
        <w:t xml:space="preserve"> uso, desarrollo, diligenciamiento, estructuración y presentación de la información espacial </w:t>
      </w:r>
      <w:r w:rsidRPr="004068F6">
        <w:rPr>
          <w:rFonts w:cs="Arial"/>
          <w:spacing w:val="-3"/>
        </w:rPr>
        <w:t xml:space="preserve">asociada </w:t>
      </w:r>
      <w:r w:rsidR="002159C2" w:rsidRPr="004068F6">
        <w:rPr>
          <w:rFonts w:cs="Arial"/>
          <w:spacing w:val="-3"/>
        </w:rPr>
        <w:t>a</w:t>
      </w:r>
      <w:r w:rsidRPr="004068F6">
        <w:rPr>
          <w:rFonts w:cs="Arial"/>
          <w:spacing w:val="-3"/>
        </w:rPr>
        <w:t>l estudio ambiental</w:t>
      </w:r>
      <w:r w:rsidRPr="004068F6">
        <w:rPr>
          <w:spacing w:val="-3"/>
        </w:rPr>
        <w:t>.</w:t>
      </w:r>
    </w:p>
    <w:p w14:paraId="17725B8A" w14:textId="77777777" w:rsidR="00A101A4" w:rsidRPr="004068F6" w:rsidRDefault="00A101A4">
      <w:pPr>
        <w:numPr>
          <w:ilvl w:val="12"/>
          <w:numId w:val="0"/>
        </w:numPr>
        <w:tabs>
          <w:tab w:val="left" w:pos="-2268"/>
        </w:tabs>
        <w:suppressAutoHyphens/>
        <w:rPr>
          <w:spacing w:val="-3"/>
        </w:rPr>
      </w:pPr>
    </w:p>
    <w:p w14:paraId="192E8DC2" w14:textId="77777777" w:rsidR="00A101A4" w:rsidRPr="004068F6" w:rsidRDefault="00A101A4" w:rsidP="0068149C">
      <w:pPr>
        <w:pStyle w:val="Ttulo2"/>
        <w:rPr>
          <w:lang w:val="es-CO"/>
        </w:rPr>
      </w:pPr>
      <w:bookmarkStart w:id="1970" w:name="_Toc42353719"/>
      <w:bookmarkStart w:id="1971" w:name="_Toc230879566"/>
      <w:r w:rsidRPr="004068F6">
        <w:rPr>
          <w:lang w:val="es-CO"/>
        </w:rPr>
        <w:lastRenderedPageBreak/>
        <w:t>CAPTURA DE INFORMACIÓN</w:t>
      </w:r>
      <w:bookmarkEnd w:id="1970"/>
      <w:bookmarkEnd w:id="1971"/>
    </w:p>
    <w:p w14:paraId="2A01100A" w14:textId="77777777" w:rsidR="00A101A4" w:rsidRPr="004068F6" w:rsidRDefault="00A101A4">
      <w:pPr>
        <w:numPr>
          <w:ilvl w:val="12"/>
          <w:numId w:val="0"/>
        </w:numPr>
        <w:tabs>
          <w:tab w:val="left" w:pos="-2268"/>
        </w:tabs>
        <w:suppressAutoHyphens/>
        <w:rPr>
          <w:spacing w:val="-3"/>
        </w:rPr>
      </w:pPr>
    </w:p>
    <w:p w14:paraId="05D10AD4" w14:textId="6D606AB2" w:rsidR="00A101A4" w:rsidRPr="004068F6" w:rsidRDefault="00A101A4">
      <w:pPr>
        <w:numPr>
          <w:ilvl w:val="12"/>
          <w:numId w:val="0"/>
        </w:numPr>
        <w:tabs>
          <w:tab w:val="left" w:pos="-2268"/>
        </w:tabs>
        <w:suppressAutoHyphens/>
        <w:rPr>
          <w:spacing w:val="-3"/>
        </w:rPr>
      </w:pPr>
      <w:r w:rsidRPr="004068F6">
        <w:rPr>
          <w:spacing w:val="-3"/>
        </w:rPr>
        <w:t>Para una correcta representación cartográfica de los objetos de interés, es decir, de toda la información que se represente mediante algún tipo de geometría (punto, línea o polígono) en la cartografía básica y temática</w:t>
      </w:r>
      <w:r w:rsidR="00F61C44" w:rsidRPr="004068F6">
        <w:rPr>
          <w:spacing w:val="-3"/>
        </w:rPr>
        <w:t xml:space="preserve"> asociada a los estudios ambientales</w:t>
      </w:r>
      <w:r w:rsidRPr="004068F6">
        <w:rPr>
          <w:spacing w:val="-3"/>
        </w:rPr>
        <w:t xml:space="preserve">, se deben seguir los siguientes </w:t>
      </w:r>
      <w:r w:rsidR="007B4EA4" w:rsidRPr="004068F6">
        <w:rPr>
          <w:spacing w:val="-3"/>
        </w:rPr>
        <w:t>lineamientos</w:t>
      </w:r>
      <w:r w:rsidRPr="004068F6">
        <w:rPr>
          <w:spacing w:val="-3"/>
        </w:rPr>
        <w:t>:</w:t>
      </w:r>
    </w:p>
    <w:p w14:paraId="3F992D86" w14:textId="77777777" w:rsidR="00A101A4" w:rsidRPr="004068F6" w:rsidRDefault="00A101A4">
      <w:pPr>
        <w:numPr>
          <w:ilvl w:val="12"/>
          <w:numId w:val="0"/>
        </w:numPr>
        <w:tabs>
          <w:tab w:val="left" w:pos="-2268"/>
        </w:tabs>
        <w:suppressAutoHyphens/>
        <w:rPr>
          <w:spacing w:val="-3"/>
        </w:rPr>
      </w:pPr>
    </w:p>
    <w:p w14:paraId="72744498" w14:textId="71EC2911" w:rsidR="00A101A4" w:rsidRPr="004068F6" w:rsidRDefault="00A101A4" w:rsidP="439A4240">
      <w:pPr>
        <w:numPr>
          <w:ilvl w:val="0"/>
          <w:numId w:val="29"/>
        </w:numPr>
        <w:suppressAutoHyphens/>
        <w:ind w:left="567" w:hanging="567"/>
        <w:rPr>
          <w:spacing w:val="-3"/>
        </w:rPr>
      </w:pPr>
      <w:r w:rsidRPr="004068F6">
        <w:rPr>
          <w:spacing w:val="-3"/>
        </w:rPr>
        <w:t xml:space="preserve">Datum: la información debe tener como Datum el Marco Geocéntrico Nacional de Referencia </w:t>
      </w:r>
      <w:r w:rsidR="00EC20C8" w:rsidRPr="004068F6">
        <w:rPr>
          <w:spacing w:val="-3"/>
        </w:rPr>
        <w:t>Magna</w:t>
      </w:r>
      <w:r w:rsidRPr="004068F6">
        <w:rPr>
          <w:spacing w:val="-3"/>
        </w:rPr>
        <w:t>-</w:t>
      </w:r>
      <w:r w:rsidR="00EC20C8" w:rsidRPr="004068F6">
        <w:rPr>
          <w:spacing w:val="-3"/>
        </w:rPr>
        <w:t>Sirgas</w:t>
      </w:r>
      <w:r w:rsidRPr="004068F6">
        <w:rPr>
          <w:spacing w:val="-3"/>
        </w:rPr>
        <w:t>, asociado al elipsoide GRS80 (Global Reference System 1980), conforme lo establece la Resolución 68 de 2005 del IGAC</w:t>
      </w:r>
      <w:r w:rsidRPr="004068F6">
        <w:rPr>
          <w:rFonts w:cs="Arial"/>
          <w:spacing w:val="-3"/>
        </w:rPr>
        <w:t xml:space="preserve"> o aquella norma que la modifique o sustituya.</w:t>
      </w:r>
      <w:r w:rsidRPr="004068F6">
        <w:rPr>
          <w:spacing w:val="-3"/>
        </w:rPr>
        <w:t xml:space="preserve"> Los datos o información que se encuentren referidos al Datum Bogotá deben ser transformados a </w:t>
      </w:r>
      <w:r w:rsidR="00EC20C8" w:rsidRPr="004068F6">
        <w:rPr>
          <w:spacing w:val="-3"/>
        </w:rPr>
        <w:t>Magna</w:t>
      </w:r>
      <w:r w:rsidRPr="004068F6">
        <w:rPr>
          <w:spacing w:val="-3"/>
        </w:rPr>
        <w:t>-</w:t>
      </w:r>
      <w:r w:rsidR="00EC20C8" w:rsidRPr="004068F6">
        <w:rPr>
          <w:spacing w:val="-3"/>
        </w:rPr>
        <w:t>Sirgas</w:t>
      </w:r>
      <w:r w:rsidRPr="004068F6">
        <w:rPr>
          <w:spacing w:val="-3"/>
        </w:rPr>
        <w:t xml:space="preserve">; la transformación de coordenadas se debe realizar </w:t>
      </w:r>
      <w:r w:rsidR="00E91D20" w:rsidRPr="004068F6">
        <w:rPr>
          <w:spacing w:val="-3"/>
        </w:rPr>
        <w:t>s</w:t>
      </w:r>
      <w:r w:rsidRPr="004068F6">
        <w:rPr>
          <w:spacing w:val="-3"/>
        </w:rPr>
        <w:t>egún los parámetros establecidos por el IGAC que se encuentran disponibles en su por</w:t>
      </w:r>
      <w:r w:rsidR="0012757C" w:rsidRPr="004068F6">
        <w:t xml:space="preserve">tal Web </w:t>
      </w:r>
      <w:r w:rsidRPr="004068F6">
        <w:rPr>
          <w:spacing w:val="-3"/>
        </w:rPr>
        <w:t>(www.igac.gov.co – Trámites y servicios – Servicios – Información geodésica).</w:t>
      </w:r>
    </w:p>
    <w:p w14:paraId="71787007" w14:textId="77777777" w:rsidR="00A101A4" w:rsidRPr="004068F6" w:rsidRDefault="00A101A4">
      <w:pPr>
        <w:tabs>
          <w:tab w:val="left" w:pos="-2268"/>
        </w:tabs>
        <w:suppressAutoHyphens/>
        <w:rPr>
          <w:spacing w:val="-3"/>
        </w:rPr>
      </w:pPr>
    </w:p>
    <w:p w14:paraId="346EC3A4" w14:textId="0E731A90" w:rsidR="00A101A4" w:rsidRPr="00127BD4" w:rsidRDefault="00A101A4" w:rsidP="00127BD4">
      <w:pPr>
        <w:numPr>
          <w:ilvl w:val="0"/>
          <w:numId w:val="29"/>
        </w:numPr>
        <w:suppressAutoHyphens/>
        <w:ind w:left="567" w:hanging="567"/>
        <w:rPr>
          <w:spacing w:val="-3"/>
        </w:rPr>
      </w:pPr>
      <w:r w:rsidRPr="004068F6">
        <w:rPr>
          <w:spacing w:val="-3"/>
        </w:rPr>
        <w:t xml:space="preserve">Origen: la información debe ser capturada en origen </w:t>
      </w:r>
      <w:r w:rsidRPr="004068F6">
        <w:rPr>
          <w:rFonts w:cs="Arial"/>
          <w:spacing w:val="-3"/>
        </w:rPr>
        <w:t>nacional</w:t>
      </w:r>
      <w:r w:rsidRPr="004068F6">
        <w:rPr>
          <w:spacing w:val="-3"/>
        </w:rPr>
        <w:t xml:space="preserve">, según lo establecido en la Resolución </w:t>
      </w:r>
      <w:r w:rsidR="00F31DF0" w:rsidRPr="004068F6">
        <w:rPr>
          <w:rFonts w:cs="Arial"/>
          <w:spacing w:val="-3"/>
        </w:rPr>
        <w:t>370</w:t>
      </w:r>
      <w:r w:rsidRPr="004068F6">
        <w:rPr>
          <w:spacing w:val="-3"/>
        </w:rPr>
        <w:t xml:space="preserve"> de </w:t>
      </w:r>
      <w:r w:rsidRPr="004068F6">
        <w:rPr>
          <w:rFonts w:cs="Arial"/>
          <w:spacing w:val="-3"/>
        </w:rPr>
        <w:t>202</w:t>
      </w:r>
      <w:r w:rsidR="00F31DF0" w:rsidRPr="004068F6">
        <w:rPr>
          <w:rFonts w:cs="Arial"/>
          <w:spacing w:val="-3"/>
        </w:rPr>
        <w:t>1</w:t>
      </w:r>
      <w:r w:rsidRPr="004068F6">
        <w:rPr>
          <w:spacing w:val="-3"/>
        </w:rPr>
        <w:t xml:space="preserve"> del IGAC</w:t>
      </w:r>
      <w:r w:rsidRPr="004068F6">
        <w:rPr>
          <w:rFonts w:cs="Arial"/>
          <w:spacing w:val="-3"/>
        </w:rPr>
        <w:t>,</w:t>
      </w:r>
      <w:r w:rsidR="007E7041" w:rsidRPr="004068F6">
        <w:rPr>
          <w:rFonts w:cs="Arial"/>
          <w:spacing w:val="-3"/>
        </w:rPr>
        <w:t xml:space="preserve"> o de acuerdo con lo que defina </w:t>
      </w:r>
      <w:r w:rsidRPr="004068F6">
        <w:rPr>
          <w:rFonts w:cs="Arial"/>
          <w:spacing w:val="-3"/>
        </w:rPr>
        <w:t>aquella norma que la modifique o su</w:t>
      </w:r>
      <w:r w:rsidRPr="00127BD4">
        <w:rPr>
          <w:spacing w:val="-3"/>
        </w:rPr>
        <w:t>stituya.</w:t>
      </w:r>
    </w:p>
    <w:p w14:paraId="1854313D" w14:textId="77777777" w:rsidR="00A101A4" w:rsidRPr="004068F6" w:rsidRDefault="00A101A4" w:rsidP="00906B18">
      <w:pPr>
        <w:tabs>
          <w:tab w:val="left" w:pos="-2268"/>
        </w:tabs>
        <w:suppressAutoHyphens/>
        <w:rPr>
          <w:spacing w:val="-3"/>
        </w:rPr>
      </w:pPr>
    </w:p>
    <w:p w14:paraId="70F1AFA6" w14:textId="69D0B3DF" w:rsidR="00A101A4" w:rsidRPr="004068F6" w:rsidRDefault="00A101A4" w:rsidP="00127BD4">
      <w:pPr>
        <w:numPr>
          <w:ilvl w:val="0"/>
          <w:numId w:val="29"/>
        </w:numPr>
        <w:suppressAutoHyphens/>
        <w:ind w:left="567" w:hanging="567"/>
        <w:rPr>
          <w:spacing w:val="-3"/>
        </w:rPr>
      </w:pPr>
      <w:r w:rsidRPr="004068F6">
        <w:rPr>
          <w:spacing w:val="-3"/>
        </w:rPr>
        <w:t>Altura: para esta variable se debe especificar si está referida al elipsoide GRS80 (altura elipsoidal)</w:t>
      </w:r>
      <w:r w:rsidR="00F61C44" w:rsidRPr="004068F6">
        <w:rPr>
          <w:spacing w:val="-3"/>
        </w:rPr>
        <w:t>,</w:t>
      </w:r>
      <w:r w:rsidRPr="004068F6">
        <w:rPr>
          <w:spacing w:val="-3"/>
        </w:rPr>
        <w:t xml:space="preserve"> o si está medida a partir de la red de nivelación nacional (altura nivelada).</w:t>
      </w:r>
    </w:p>
    <w:p w14:paraId="02EC5FE1" w14:textId="77777777" w:rsidR="00A101A4" w:rsidRPr="004068F6" w:rsidRDefault="00A101A4" w:rsidP="00906B18">
      <w:pPr>
        <w:tabs>
          <w:tab w:val="left" w:pos="-2268"/>
        </w:tabs>
        <w:suppressAutoHyphens/>
        <w:rPr>
          <w:spacing w:val="-3"/>
        </w:rPr>
      </w:pPr>
    </w:p>
    <w:p w14:paraId="6C884A14" w14:textId="5D4A3332" w:rsidR="008663EA" w:rsidRPr="004068F6" w:rsidRDefault="00A101A4" w:rsidP="00127BD4">
      <w:pPr>
        <w:pStyle w:val="Prrafodelista"/>
        <w:numPr>
          <w:ilvl w:val="0"/>
          <w:numId w:val="29"/>
        </w:numPr>
        <w:ind w:left="567" w:hanging="567"/>
        <w:rPr>
          <w:spacing w:val="-3"/>
          <w:lang w:val="es-CO"/>
        </w:rPr>
      </w:pPr>
      <w:r w:rsidRPr="00127BD4">
        <w:rPr>
          <w:spacing w:val="-3"/>
          <w:lang w:val="es-CO"/>
        </w:rPr>
        <w:t xml:space="preserve">Precisión: para </w:t>
      </w:r>
      <w:r w:rsidR="008663EA" w:rsidRPr="004068F6">
        <w:rPr>
          <w:spacing w:val="-3"/>
          <w:lang w:val="es-CO"/>
        </w:rPr>
        <w:t>garantizar que la información recolectada en campo pueda ser correctamente sobrepuesta, complementada o ajustada sobre cartografía básica en diferentes escalas, es necesario cumplir con ciertos niveles de exactitud posicional. En este contexto, la precisión horizontal se evalúa mediante dos parámetros principales:</w:t>
      </w:r>
    </w:p>
    <w:p w14:paraId="438EC9A4" w14:textId="4263E728" w:rsidR="008663EA" w:rsidRPr="00127BD4" w:rsidRDefault="008663EA" w:rsidP="00127BD4">
      <w:pPr>
        <w:rPr>
          <w:spacing w:val="-3"/>
        </w:rPr>
      </w:pPr>
    </w:p>
    <w:p w14:paraId="57DA7377" w14:textId="77777777" w:rsidR="008663EA" w:rsidRPr="004068F6" w:rsidRDefault="008663EA" w:rsidP="008663EA">
      <w:pPr>
        <w:numPr>
          <w:ilvl w:val="1"/>
          <w:numId w:val="40"/>
        </w:numPr>
        <w:tabs>
          <w:tab w:val="left" w:pos="-2268"/>
        </w:tabs>
        <w:suppressAutoHyphens/>
        <w:ind w:left="1134" w:hanging="567"/>
        <w:rPr>
          <w:iCs/>
          <w:spacing w:val="-3"/>
        </w:rPr>
      </w:pPr>
      <w:r w:rsidRPr="00127BD4">
        <w:rPr>
          <w:iCs/>
          <w:spacing w:val="-3"/>
        </w:rPr>
        <w:t>El Error Medio Cuadrático Horizontal (RMSEr), que representa la dispersión promedio de los errores en las coordenadas X e Y.</w:t>
      </w:r>
    </w:p>
    <w:p w14:paraId="24D477D7" w14:textId="77777777" w:rsidR="008663EA" w:rsidRPr="00127BD4" w:rsidRDefault="008663EA" w:rsidP="00127BD4">
      <w:pPr>
        <w:tabs>
          <w:tab w:val="left" w:pos="-2268"/>
        </w:tabs>
        <w:suppressAutoHyphens/>
        <w:rPr>
          <w:iCs/>
          <w:spacing w:val="-3"/>
        </w:rPr>
      </w:pPr>
    </w:p>
    <w:p w14:paraId="728C82BB" w14:textId="3D536EA8" w:rsidR="008663EA" w:rsidRPr="00127BD4" w:rsidRDefault="008663EA" w:rsidP="00127BD4">
      <w:pPr>
        <w:numPr>
          <w:ilvl w:val="1"/>
          <w:numId w:val="40"/>
        </w:numPr>
        <w:tabs>
          <w:tab w:val="left" w:pos="-2268"/>
        </w:tabs>
        <w:suppressAutoHyphens/>
        <w:ind w:left="1134" w:hanging="567"/>
        <w:rPr>
          <w:iCs/>
          <w:spacing w:val="-3"/>
        </w:rPr>
      </w:pPr>
      <w:r w:rsidRPr="00127BD4">
        <w:rPr>
          <w:iCs/>
          <w:spacing w:val="-3"/>
        </w:rPr>
        <w:t xml:space="preserve">La </w:t>
      </w:r>
      <w:r w:rsidRPr="004068F6">
        <w:rPr>
          <w:iCs/>
          <w:spacing w:val="-3"/>
        </w:rPr>
        <w:t>e</w:t>
      </w:r>
      <w:r w:rsidRPr="00127BD4">
        <w:rPr>
          <w:iCs/>
          <w:spacing w:val="-3"/>
        </w:rPr>
        <w:t>xactitud planimétrica al 95% de confianza, que indica el radio dentro del cual se espera que se encuentren el 95% de los puntos con respecto a su posición real en el terreno.</w:t>
      </w:r>
    </w:p>
    <w:p w14:paraId="13802C5C" w14:textId="084B7413" w:rsidR="008663EA" w:rsidRPr="00127BD4" w:rsidRDefault="008663EA" w:rsidP="00127BD4">
      <w:pPr>
        <w:rPr>
          <w:spacing w:val="-3"/>
        </w:rPr>
      </w:pPr>
    </w:p>
    <w:p w14:paraId="4126F5DB" w14:textId="74BDE549" w:rsidR="00A101A4" w:rsidRPr="00127BD4" w:rsidRDefault="008663EA" w:rsidP="008663EA">
      <w:pPr>
        <w:pStyle w:val="Prrafodelista"/>
        <w:ind w:left="567"/>
        <w:rPr>
          <w:spacing w:val="-3"/>
          <w:lang w:val="es-CO"/>
        </w:rPr>
      </w:pPr>
      <w:r w:rsidRPr="004068F6">
        <w:rPr>
          <w:spacing w:val="-3"/>
          <w:lang w:val="es-CO"/>
        </w:rPr>
        <w:t xml:space="preserve">Estos parámetros definen el error máximo permitido según la escala cartográfica, tal como se presenta en la </w:t>
      </w:r>
      <w:r w:rsidRPr="00127BD4">
        <w:rPr>
          <w:spacing w:val="-3"/>
          <w:lang w:val="es-CO"/>
        </w:rPr>
        <w:fldChar w:fldCharType="begin"/>
      </w:r>
      <w:r w:rsidRPr="004068F6">
        <w:rPr>
          <w:spacing w:val="-3"/>
          <w:lang w:val="es-CO"/>
        </w:rPr>
        <w:instrText xml:space="preserve"> REF _Ref82531231 \h </w:instrText>
      </w:r>
      <w:r w:rsidRPr="00127BD4">
        <w:rPr>
          <w:spacing w:val="-3"/>
          <w:lang w:val="es-CO"/>
        </w:rPr>
      </w:r>
      <w:r w:rsidRPr="00127BD4">
        <w:rPr>
          <w:spacing w:val="-3"/>
          <w:lang w:val="es-CO"/>
        </w:rPr>
        <w:fldChar w:fldCharType="separate"/>
      </w:r>
      <w:r w:rsidR="009C4A81" w:rsidRPr="004068F6">
        <w:t xml:space="preserve">Tabla </w:t>
      </w:r>
      <w:r w:rsidR="009C4A81">
        <w:rPr>
          <w:noProof/>
        </w:rPr>
        <w:t>8</w:t>
      </w:r>
      <w:r w:rsidRPr="00127BD4">
        <w:rPr>
          <w:spacing w:val="-3"/>
          <w:lang w:val="es-CO"/>
        </w:rPr>
        <w:fldChar w:fldCharType="end"/>
      </w:r>
      <w:r w:rsidRPr="004068F6">
        <w:rPr>
          <w:spacing w:val="-3"/>
          <w:lang w:val="es-CO"/>
        </w:rPr>
        <w:t>, conforme a lo establecido en la Resolución 471 de 2020, modificada por la Resolución 529 de 2020 del Instituto Geográfico Agustín Codazzi (IGAC):</w:t>
      </w:r>
    </w:p>
    <w:p w14:paraId="0EB2B877" w14:textId="77777777" w:rsidR="00A101A4" w:rsidRPr="004068F6" w:rsidRDefault="00A101A4">
      <w:pPr>
        <w:tabs>
          <w:tab w:val="left" w:pos="-2268"/>
        </w:tabs>
        <w:suppressAutoHyphens/>
        <w:rPr>
          <w:spacing w:val="-3"/>
        </w:rPr>
      </w:pPr>
    </w:p>
    <w:p w14:paraId="795B78E8" w14:textId="292496CA" w:rsidR="00A101A4" w:rsidRPr="004068F6" w:rsidRDefault="00A101A4" w:rsidP="00C86DA5">
      <w:pPr>
        <w:pStyle w:val="Descripcin"/>
        <w:jc w:val="center"/>
        <w:rPr>
          <w:b w:val="0"/>
          <w:spacing w:val="-3"/>
        </w:rPr>
      </w:pPr>
      <w:bookmarkStart w:id="1972" w:name="_Ref82531231"/>
      <w:r w:rsidRPr="004068F6">
        <w:t xml:space="preserve">Tabla </w:t>
      </w:r>
      <w:fldSimple w:instr=" SEQ Tabla \* ARABIC ">
        <w:r w:rsidR="009C4A81">
          <w:rPr>
            <w:noProof/>
          </w:rPr>
          <w:t>8</w:t>
        </w:r>
      </w:fldSimple>
      <w:bookmarkEnd w:id="1972"/>
      <w:r w:rsidRPr="004068F6">
        <w:rPr>
          <w:spacing w:val="-3"/>
        </w:rPr>
        <w:t>.</w:t>
      </w:r>
      <w:r w:rsidRPr="004068F6">
        <w:rPr>
          <w:b w:val="0"/>
          <w:spacing w:val="-3"/>
        </w:rPr>
        <w:t xml:space="preserve"> Escala de error permitido</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2686"/>
        <w:gridCol w:w="2686"/>
      </w:tblGrid>
      <w:tr w:rsidR="008663EA" w:rsidRPr="004068F6" w14:paraId="72FE987F" w14:textId="77777777" w:rsidTr="00127BD4">
        <w:trPr>
          <w:trHeight w:hRule="exact" w:val="567"/>
          <w:tblHeader/>
          <w:jc w:val="center"/>
        </w:trPr>
        <w:tc>
          <w:tcPr>
            <w:tcW w:w="2278" w:type="dxa"/>
            <w:noWrap/>
            <w:vAlign w:val="center"/>
          </w:tcPr>
          <w:p w14:paraId="453A47A7" w14:textId="3B9BA0C5" w:rsidR="008663EA" w:rsidRPr="004068F6" w:rsidRDefault="008663EA" w:rsidP="008663EA">
            <w:pPr>
              <w:numPr>
                <w:ilvl w:val="12"/>
                <w:numId w:val="0"/>
              </w:numPr>
              <w:tabs>
                <w:tab w:val="left" w:pos="-2268"/>
              </w:tabs>
              <w:suppressAutoHyphens/>
              <w:jc w:val="center"/>
              <w:rPr>
                <w:b/>
                <w:spacing w:val="-3"/>
                <w:sz w:val="22"/>
              </w:rPr>
            </w:pPr>
            <w:r w:rsidRPr="004068F6">
              <w:rPr>
                <w:rFonts w:cs="Arial"/>
                <w:b/>
                <w:bCs/>
                <w:spacing w:val="-3"/>
                <w:sz w:val="22"/>
              </w:rPr>
              <w:t>Escala cartográfica</w:t>
            </w:r>
          </w:p>
        </w:tc>
        <w:tc>
          <w:tcPr>
            <w:tcW w:w="2686" w:type="dxa"/>
            <w:vAlign w:val="center"/>
          </w:tcPr>
          <w:p w14:paraId="581858CB" w14:textId="09B7089D" w:rsidR="008663EA" w:rsidRPr="004068F6" w:rsidRDefault="008663EA" w:rsidP="008663EA">
            <w:pPr>
              <w:numPr>
                <w:ilvl w:val="12"/>
                <w:numId w:val="0"/>
              </w:numPr>
              <w:tabs>
                <w:tab w:val="left" w:pos="-2268"/>
              </w:tabs>
              <w:suppressAutoHyphens/>
              <w:jc w:val="center"/>
              <w:rPr>
                <w:rFonts w:cs="Arial"/>
                <w:b/>
                <w:bCs/>
                <w:spacing w:val="-3"/>
                <w:sz w:val="22"/>
              </w:rPr>
            </w:pPr>
            <w:r w:rsidRPr="004068F6">
              <w:rPr>
                <w:rFonts w:cs="Arial"/>
                <w:b/>
                <w:bCs/>
                <w:spacing w:val="-3"/>
                <w:sz w:val="22"/>
              </w:rPr>
              <w:t>Error máximo permitido (RMSEr)</w:t>
            </w:r>
          </w:p>
        </w:tc>
        <w:tc>
          <w:tcPr>
            <w:tcW w:w="2686" w:type="dxa"/>
            <w:noWrap/>
            <w:vAlign w:val="center"/>
          </w:tcPr>
          <w:p w14:paraId="67DBB6BE" w14:textId="5843DA14" w:rsidR="008663EA" w:rsidRPr="004068F6" w:rsidRDefault="008663EA" w:rsidP="008663EA">
            <w:pPr>
              <w:numPr>
                <w:ilvl w:val="12"/>
                <w:numId w:val="0"/>
              </w:numPr>
              <w:tabs>
                <w:tab w:val="left" w:pos="-2268"/>
              </w:tabs>
              <w:suppressAutoHyphens/>
              <w:jc w:val="center"/>
              <w:rPr>
                <w:b/>
                <w:spacing w:val="-3"/>
                <w:sz w:val="22"/>
              </w:rPr>
            </w:pPr>
            <w:r w:rsidRPr="004068F6">
              <w:rPr>
                <w:rFonts w:cs="Arial"/>
                <w:b/>
                <w:bCs/>
                <w:spacing w:val="-3"/>
                <w:sz w:val="22"/>
              </w:rPr>
              <w:t>Exactitud planimétrica al 95% de confianza</w:t>
            </w:r>
          </w:p>
        </w:tc>
      </w:tr>
      <w:tr w:rsidR="008663EA" w:rsidRPr="004068F6" w14:paraId="102DB30E" w14:textId="77777777" w:rsidTr="00127BD4">
        <w:trPr>
          <w:trHeight w:val="397"/>
          <w:jc w:val="center"/>
        </w:trPr>
        <w:tc>
          <w:tcPr>
            <w:tcW w:w="2278" w:type="dxa"/>
            <w:noWrap/>
            <w:vAlign w:val="center"/>
            <w:hideMark/>
          </w:tcPr>
          <w:p w14:paraId="2C2D3B8C" w14:textId="58D2FC07" w:rsidR="008663EA" w:rsidRPr="004068F6" w:rsidRDefault="008663EA" w:rsidP="008663EA">
            <w:pPr>
              <w:numPr>
                <w:ilvl w:val="12"/>
                <w:numId w:val="0"/>
              </w:numPr>
              <w:tabs>
                <w:tab w:val="left" w:pos="-2268"/>
              </w:tabs>
              <w:suppressAutoHyphens/>
              <w:ind w:right="1110"/>
              <w:jc w:val="right"/>
              <w:rPr>
                <w:spacing w:val="-3"/>
                <w:sz w:val="22"/>
              </w:rPr>
            </w:pPr>
            <w:r w:rsidRPr="004068F6">
              <w:rPr>
                <w:spacing w:val="-3"/>
                <w:sz w:val="22"/>
              </w:rPr>
              <w:t>1:</w:t>
            </w:r>
            <w:r w:rsidRPr="004068F6">
              <w:rPr>
                <w:rFonts w:cs="Arial"/>
                <w:bCs/>
                <w:spacing w:val="-3"/>
                <w:sz w:val="22"/>
              </w:rPr>
              <w:t>5</w:t>
            </w:r>
            <w:r w:rsidRPr="004068F6">
              <w:rPr>
                <w:spacing w:val="-3"/>
                <w:sz w:val="22"/>
              </w:rPr>
              <w:t>.000</w:t>
            </w:r>
          </w:p>
        </w:tc>
        <w:tc>
          <w:tcPr>
            <w:tcW w:w="2686" w:type="dxa"/>
          </w:tcPr>
          <w:p w14:paraId="327931CD" w14:textId="2F1413FC" w:rsidR="008663EA" w:rsidRPr="004068F6" w:rsidRDefault="008663EA" w:rsidP="00127BD4">
            <w:pPr>
              <w:numPr>
                <w:ilvl w:val="12"/>
                <w:numId w:val="0"/>
              </w:numPr>
              <w:tabs>
                <w:tab w:val="left" w:pos="-2268"/>
              </w:tabs>
              <w:suppressAutoHyphens/>
              <w:ind w:right="1032"/>
              <w:jc w:val="right"/>
              <w:rPr>
                <w:rFonts w:cs="Arial"/>
                <w:spacing w:val="-3"/>
                <w:sz w:val="22"/>
              </w:rPr>
            </w:pPr>
            <w:r w:rsidRPr="004068F6">
              <w:rPr>
                <w:rFonts w:cs="Arial"/>
                <w:spacing w:val="-3"/>
                <w:sz w:val="22"/>
              </w:rPr>
              <w:t>1,5</w:t>
            </w:r>
            <w:r w:rsidRPr="004068F6">
              <w:rPr>
                <w:spacing w:val="-3"/>
                <w:sz w:val="22"/>
              </w:rPr>
              <w:t xml:space="preserve"> m</w:t>
            </w:r>
          </w:p>
        </w:tc>
        <w:tc>
          <w:tcPr>
            <w:tcW w:w="2686" w:type="dxa"/>
            <w:noWrap/>
            <w:vAlign w:val="center"/>
            <w:hideMark/>
          </w:tcPr>
          <w:p w14:paraId="5E5223A1" w14:textId="39133F89" w:rsidR="008663EA" w:rsidRPr="004068F6" w:rsidRDefault="008663EA" w:rsidP="00127BD4">
            <w:pPr>
              <w:numPr>
                <w:ilvl w:val="12"/>
                <w:numId w:val="0"/>
              </w:numPr>
              <w:tabs>
                <w:tab w:val="left" w:pos="-2268"/>
              </w:tabs>
              <w:suppressAutoHyphens/>
              <w:ind w:right="1032"/>
              <w:jc w:val="right"/>
              <w:rPr>
                <w:spacing w:val="-3"/>
                <w:sz w:val="22"/>
              </w:rPr>
            </w:pPr>
            <w:r w:rsidRPr="004068F6">
              <w:rPr>
                <w:rFonts w:cs="Arial"/>
                <w:spacing w:val="-3"/>
                <w:sz w:val="22"/>
              </w:rPr>
              <w:t>2,6</w:t>
            </w:r>
            <w:r w:rsidRPr="004068F6">
              <w:rPr>
                <w:spacing w:val="-3"/>
                <w:sz w:val="22"/>
              </w:rPr>
              <w:t xml:space="preserve"> m</w:t>
            </w:r>
          </w:p>
        </w:tc>
      </w:tr>
      <w:tr w:rsidR="008663EA" w:rsidRPr="004068F6" w14:paraId="3DB286E8" w14:textId="77777777" w:rsidTr="00127BD4">
        <w:trPr>
          <w:trHeight w:val="397"/>
          <w:jc w:val="center"/>
        </w:trPr>
        <w:tc>
          <w:tcPr>
            <w:tcW w:w="2278" w:type="dxa"/>
            <w:noWrap/>
            <w:vAlign w:val="center"/>
            <w:hideMark/>
          </w:tcPr>
          <w:p w14:paraId="443AD237" w14:textId="77777777" w:rsidR="008663EA" w:rsidRPr="004068F6" w:rsidRDefault="008663EA" w:rsidP="008663EA">
            <w:pPr>
              <w:numPr>
                <w:ilvl w:val="12"/>
                <w:numId w:val="0"/>
              </w:numPr>
              <w:tabs>
                <w:tab w:val="left" w:pos="-2268"/>
              </w:tabs>
              <w:suppressAutoHyphens/>
              <w:ind w:right="1110"/>
              <w:jc w:val="right"/>
              <w:rPr>
                <w:spacing w:val="-3"/>
                <w:sz w:val="22"/>
              </w:rPr>
            </w:pPr>
            <w:r w:rsidRPr="004068F6">
              <w:rPr>
                <w:spacing w:val="-3"/>
                <w:sz w:val="22"/>
              </w:rPr>
              <w:t>1:10.000</w:t>
            </w:r>
          </w:p>
        </w:tc>
        <w:tc>
          <w:tcPr>
            <w:tcW w:w="2686" w:type="dxa"/>
          </w:tcPr>
          <w:p w14:paraId="1C0CC4CE" w14:textId="304F6BE3" w:rsidR="008663EA" w:rsidRPr="004068F6" w:rsidRDefault="008663EA" w:rsidP="00127BD4">
            <w:pPr>
              <w:numPr>
                <w:ilvl w:val="12"/>
                <w:numId w:val="0"/>
              </w:numPr>
              <w:tabs>
                <w:tab w:val="left" w:pos="-2268"/>
              </w:tabs>
              <w:suppressAutoHyphens/>
              <w:ind w:right="1032"/>
              <w:jc w:val="right"/>
              <w:rPr>
                <w:rFonts w:cs="Arial"/>
                <w:spacing w:val="-3"/>
                <w:sz w:val="22"/>
              </w:rPr>
            </w:pPr>
            <w:r w:rsidRPr="004068F6">
              <w:rPr>
                <w:rFonts w:cs="Arial"/>
                <w:spacing w:val="-3"/>
                <w:sz w:val="22"/>
              </w:rPr>
              <w:t>3,0</w:t>
            </w:r>
            <w:r w:rsidRPr="004068F6">
              <w:rPr>
                <w:spacing w:val="-3"/>
                <w:sz w:val="22"/>
              </w:rPr>
              <w:t xml:space="preserve"> m</w:t>
            </w:r>
          </w:p>
        </w:tc>
        <w:tc>
          <w:tcPr>
            <w:tcW w:w="2686" w:type="dxa"/>
            <w:noWrap/>
            <w:vAlign w:val="center"/>
            <w:hideMark/>
          </w:tcPr>
          <w:p w14:paraId="1F9F4F51" w14:textId="6E7866CD" w:rsidR="008663EA" w:rsidRPr="004068F6" w:rsidRDefault="008663EA" w:rsidP="00127BD4">
            <w:pPr>
              <w:numPr>
                <w:ilvl w:val="12"/>
                <w:numId w:val="0"/>
              </w:numPr>
              <w:tabs>
                <w:tab w:val="left" w:pos="-2268"/>
              </w:tabs>
              <w:suppressAutoHyphens/>
              <w:ind w:right="1032"/>
              <w:jc w:val="right"/>
              <w:rPr>
                <w:spacing w:val="-3"/>
                <w:sz w:val="22"/>
              </w:rPr>
            </w:pPr>
            <w:r w:rsidRPr="004068F6">
              <w:rPr>
                <w:rFonts w:cs="Arial"/>
                <w:spacing w:val="-3"/>
                <w:sz w:val="22"/>
              </w:rPr>
              <w:t>5,</w:t>
            </w:r>
            <w:r w:rsidRPr="004068F6">
              <w:rPr>
                <w:spacing w:val="-3"/>
                <w:sz w:val="22"/>
              </w:rPr>
              <w:t>2 m</w:t>
            </w:r>
          </w:p>
        </w:tc>
      </w:tr>
      <w:tr w:rsidR="008663EA" w:rsidRPr="004068F6" w14:paraId="7FDEDCFF" w14:textId="77777777" w:rsidTr="00127BD4">
        <w:trPr>
          <w:trHeight w:val="397"/>
          <w:jc w:val="center"/>
        </w:trPr>
        <w:tc>
          <w:tcPr>
            <w:tcW w:w="2278" w:type="dxa"/>
            <w:noWrap/>
            <w:vAlign w:val="center"/>
            <w:hideMark/>
          </w:tcPr>
          <w:p w14:paraId="04EE39C4" w14:textId="77777777" w:rsidR="008663EA" w:rsidRPr="004068F6" w:rsidRDefault="008663EA" w:rsidP="008663EA">
            <w:pPr>
              <w:numPr>
                <w:ilvl w:val="12"/>
                <w:numId w:val="0"/>
              </w:numPr>
              <w:tabs>
                <w:tab w:val="left" w:pos="-2268"/>
              </w:tabs>
              <w:suppressAutoHyphens/>
              <w:ind w:right="1110"/>
              <w:jc w:val="right"/>
              <w:rPr>
                <w:spacing w:val="-3"/>
                <w:sz w:val="22"/>
              </w:rPr>
            </w:pPr>
            <w:r w:rsidRPr="004068F6">
              <w:rPr>
                <w:spacing w:val="-3"/>
                <w:sz w:val="22"/>
              </w:rPr>
              <w:t>1:25.000</w:t>
            </w:r>
          </w:p>
        </w:tc>
        <w:tc>
          <w:tcPr>
            <w:tcW w:w="2686" w:type="dxa"/>
          </w:tcPr>
          <w:p w14:paraId="21C2AC2F" w14:textId="71EAA5EC" w:rsidR="008663EA" w:rsidRPr="004068F6" w:rsidRDefault="008663EA" w:rsidP="00127BD4">
            <w:pPr>
              <w:numPr>
                <w:ilvl w:val="12"/>
                <w:numId w:val="0"/>
              </w:numPr>
              <w:tabs>
                <w:tab w:val="left" w:pos="-2268"/>
              </w:tabs>
              <w:suppressAutoHyphens/>
              <w:ind w:right="1032"/>
              <w:jc w:val="right"/>
              <w:rPr>
                <w:rFonts w:cs="Arial"/>
                <w:spacing w:val="-3"/>
                <w:sz w:val="22"/>
              </w:rPr>
            </w:pPr>
            <w:r w:rsidRPr="004068F6">
              <w:rPr>
                <w:rFonts w:cs="Arial"/>
                <w:spacing w:val="-3"/>
                <w:sz w:val="22"/>
              </w:rPr>
              <w:t>7,5</w:t>
            </w:r>
            <w:r w:rsidRPr="004068F6">
              <w:rPr>
                <w:spacing w:val="-3"/>
                <w:sz w:val="22"/>
              </w:rPr>
              <w:t xml:space="preserve"> m</w:t>
            </w:r>
          </w:p>
        </w:tc>
        <w:tc>
          <w:tcPr>
            <w:tcW w:w="2686" w:type="dxa"/>
            <w:noWrap/>
            <w:vAlign w:val="center"/>
            <w:hideMark/>
          </w:tcPr>
          <w:p w14:paraId="422AD29E" w14:textId="30E6CFE7" w:rsidR="008663EA" w:rsidRPr="004068F6" w:rsidRDefault="008663EA" w:rsidP="00127BD4">
            <w:pPr>
              <w:numPr>
                <w:ilvl w:val="12"/>
                <w:numId w:val="0"/>
              </w:numPr>
              <w:tabs>
                <w:tab w:val="left" w:pos="-2268"/>
              </w:tabs>
              <w:suppressAutoHyphens/>
              <w:ind w:right="1032"/>
              <w:jc w:val="right"/>
              <w:rPr>
                <w:spacing w:val="-3"/>
                <w:sz w:val="22"/>
              </w:rPr>
            </w:pPr>
            <w:r w:rsidRPr="004068F6">
              <w:rPr>
                <w:rFonts w:cs="Arial"/>
                <w:spacing w:val="-3"/>
                <w:sz w:val="22"/>
              </w:rPr>
              <w:t>13,0</w:t>
            </w:r>
            <w:r w:rsidRPr="004068F6">
              <w:rPr>
                <w:spacing w:val="-3"/>
                <w:sz w:val="22"/>
              </w:rPr>
              <w:t xml:space="preserve"> m</w:t>
            </w:r>
          </w:p>
        </w:tc>
      </w:tr>
      <w:tr w:rsidR="008663EA" w:rsidRPr="004068F6" w14:paraId="4016097F" w14:textId="77777777" w:rsidTr="00127BD4">
        <w:trPr>
          <w:trHeight w:val="397"/>
          <w:jc w:val="center"/>
        </w:trPr>
        <w:tc>
          <w:tcPr>
            <w:tcW w:w="2278" w:type="dxa"/>
            <w:noWrap/>
            <w:vAlign w:val="center"/>
            <w:hideMark/>
          </w:tcPr>
          <w:p w14:paraId="23D12E88" w14:textId="77777777" w:rsidR="008663EA" w:rsidRPr="004068F6" w:rsidRDefault="008663EA" w:rsidP="008663EA">
            <w:pPr>
              <w:numPr>
                <w:ilvl w:val="12"/>
                <w:numId w:val="0"/>
              </w:numPr>
              <w:tabs>
                <w:tab w:val="left" w:pos="-2268"/>
              </w:tabs>
              <w:suppressAutoHyphens/>
              <w:ind w:right="1110"/>
              <w:jc w:val="right"/>
              <w:rPr>
                <w:spacing w:val="-3"/>
                <w:sz w:val="22"/>
              </w:rPr>
            </w:pPr>
            <w:r w:rsidRPr="004068F6">
              <w:rPr>
                <w:spacing w:val="-3"/>
                <w:sz w:val="22"/>
              </w:rPr>
              <w:t>1:100.000</w:t>
            </w:r>
          </w:p>
        </w:tc>
        <w:tc>
          <w:tcPr>
            <w:tcW w:w="2686" w:type="dxa"/>
          </w:tcPr>
          <w:p w14:paraId="6FB5B51D" w14:textId="51EC535B" w:rsidR="008663EA" w:rsidRPr="004068F6" w:rsidRDefault="008663EA" w:rsidP="00127BD4">
            <w:pPr>
              <w:numPr>
                <w:ilvl w:val="12"/>
                <w:numId w:val="0"/>
              </w:numPr>
              <w:tabs>
                <w:tab w:val="left" w:pos="-2268"/>
              </w:tabs>
              <w:suppressAutoHyphens/>
              <w:ind w:right="1032"/>
              <w:jc w:val="right"/>
              <w:rPr>
                <w:rFonts w:cs="Arial"/>
                <w:spacing w:val="-3"/>
                <w:sz w:val="22"/>
              </w:rPr>
            </w:pPr>
            <w:r w:rsidRPr="004068F6">
              <w:rPr>
                <w:rFonts w:cs="Arial"/>
                <w:spacing w:val="-3"/>
                <w:sz w:val="22"/>
              </w:rPr>
              <w:t>25,0</w:t>
            </w:r>
            <w:r w:rsidRPr="004068F6">
              <w:rPr>
                <w:spacing w:val="-3"/>
                <w:sz w:val="22"/>
              </w:rPr>
              <w:t xml:space="preserve"> m</w:t>
            </w:r>
          </w:p>
        </w:tc>
        <w:tc>
          <w:tcPr>
            <w:tcW w:w="2686" w:type="dxa"/>
            <w:noWrap/>
            <w:vAlign w:val="center"/>
            <w:hideMark/>
          </w:tcPr>
          <w:p w14:paraId="2AF2CFAE" w14:textId="445443B1" w:rsidR="008663EA" w:rsidRPr="004068F6" w:rsidRDefault="008663EA" w:rsidP="00127BD4">
            <w:pPr>
              <w:numPr>
                <w:ilvl w:val="12"/>
                <w:numId w:val="0"/>
              </w:numPr>
              <w:tabs>
                <w:tab w:val="left" w:pos="-2268"/>
              </w:tabs>
              <w:suppressAutoHyphens/>
              <w:ind w:right="1032"/>
              <w:jc w:val="right"/>
              <w:rPr>
                <w:spacing w:val="-3"/>
                <w:sz w:val="22"/>
              </w:rPr>
            </w:pPr>
            <w:r w:rsidRPr="004068F6">
              <w:rPr>
                <w:rFonts w:cs="Arial"/>
                <w:spacing w:val="-3"/>
                <w:sz w:val="22"/>
              </w:rPr>
              <w:t>52,0</w:t>
            </w:r>
            <w:r w:rsidRPr="004068F6">
              <w:rPr>
                <w:spacing w:val="-3"/>
                <w:sz w:val="22"/>
              </w:rPr>
              <w:t xml:space="preserve"> m</w:t>
            </w:r>
          </w:p>
        </w:tc>
      </w:tr>
    </w:tbl>
    <w:p w14:paraId="28772B53" w14:textId="6F8317D9" w:rsidR="00A101A4" w:rsidRPr="004068F6" w:rsidRDefault="00B24958" w:rsidP="00127BD4">
      <w:pPr>
        <w:numPr>
          <w:ilvl w:val="12"/>
          <w:numId w:val="0"/>
        </w:numPr>
        <w:tabs>
          <w:tab w:val="left" w:pos="-2268"/>
        </w:tabs>
        <w:suppressAutoHyphens/>
        <w:ind w:left="1985" w:right="2036"/>
        <w:jc w:val="center"/>
        <w:rPr>
          <w:spacing w:val="-3"/>
          <w:sz w:val="20"/>
          <w:szCs w:val="20"/>
        </w:rPr>
      </w:pPr>
      <w:r w:rsidRPr="004068F6">
        <w:rPr>
          <w:b/>
          <w:spacing w:val="-3"/>
          <w:sz w:val="20"/>
          <w:szCs w:val="20"/>
        </w:rPr>
        <w:t xml:space="preserve">Fuente: </w:t>
      </w:r>
      <w:r w:rsidRPr="004068F6">
        <w:rPr>
          <w:spacing w:val="-3"/>
          <w:sz w:val="20"/>
          <w:szCs w:val="20"/>
        </w:rPr>
        <w:t>v</w:t>
      </w:r>
      <w:r w:rsidR="00E16798" w:rsidRPr="004068F6">
        <w:rPr>
          <w:spacing w:val="-3"/>
          <w:sz w:val="20"/>
          <w:szCs w:val="20"/>
        </w:rPr>
        <w:t xml:space="preserve">alores tomados y adaptados de </w:t>
      </w:r>
      <w:r w:rsidRPr="004068F6">
        <w:rPr>
          <w:spacing w:val="-3"/>
          <w:sz w:val="20"/>
          <w:szCs w:val="20"/>
        </w:rPr>
        <w:t>la Resolución 197 de 2022.</w:t>
      </w:r>
    </w:p>
    <w:p w14:paraId="7EC5CEFD" w14:textId="77777777" w:rsidR="00A101A4" w:rsidRPr="004068F6" w:rsidRDefault="00A101A4">
      <w:pPr>
        <w:numPr>
          <w:ilvl w:val="12"/>
          <w:numId w:val="0"/>
        </w:numPr>
        <w:tabs>
          <w:tab w:val="left" w:pos="-2268"/>
        </w:tabs>
        <w:suppressAutoHyphens/>
        <w:rPr>
          <w:spacing w:val="-3"/>
        </w:rPr>
      </w:pPr>
    </w:p>
    <w:p w14:paraId="05A2B6D3" w14:textId="65AC83EC" w:rsidR="00A101A4" w:rsidRPr="004068F6" w:rsidRDefault="00A101A4" w:rsidP="00C86DA5">
      <w:pPr>
        <w:numPr>
          <w:ilvl w:val="0"/>
          <w:numId w:val="29"/>
        </w:numPr>
        <w:tabs>
          <w:tab w:val="left" w:pos="-2268"/>
        </w:tabs>
        <w:suppressAutoHyphens/>
        <w:ind w:left="567" w:hanging="567"/>
        <w:rPr>
          <w:spacing w:val="-3"/>
        </w:rPr>
      </w:pPr>
      <w:r w:rsidRPr="004068F6">
        <w:rPr>
          <w:spacing w:val="-3"/>
        </w:rPr>
        <w:t xml:space="preserve">Escala de trabajo: la escala de trabajo y almacenamiento de la </w:t>
      </w:r>
      <w:r w:rsidR="0018003B" w:rsidRPr="004068F6">
        <w:rPr>
          <w:spacing w:val="-3"/>
        </w:rPr>
        <w:t>información</w:t>
      </w:r>
      <w:r w:rsidRPr="004068F6">
        <w:rPr>
          <w:spacing w:val="-3"/>
        </w:rPr>
        <w:t xml:space="preserve"> debe ser la que señalen los términos de referencia de cada sector y tipo de proyecto</w:t>
      </w:r>
      <w:r w:rsidR="00E40C98" w:rsidRPr="004068F6">
        <w:rPr>
          <w:spacing w:val="-3"/>
        </w:rPr>
        <w:t>, obra o actividad</w:t>
      </w:r>
      <w:r w:rsidRPr="004068F6">
        <w:rPr>
          <w:spacing w:val="-3"/>
        </w:rPr>
        <w:t xml:space="preserve">. Cabe aclarar que los términos de referencia establecen la escala </w:t>
      </w:r>
      <w:r w:rsidR="002A2322" w:rsidRPr="004068F6">
        <w:rPr>
          <w:spacing w:val="-3"/>
        </w:rPr>
        <w:t xml:space="preserve">de </w:t>
      </w:r>
      <w:r w:rsidRPr="004068F6">
        <w:rPr>
          <w:spacing w:val="-3"/>
        </w:rPr>
        <w:t>trabajo o captura y no, la escala de presentación, ya que esta última puede ser ajustada para mejorar la presentación de la información.</w:t>
      </w:r>
    </w:p>
    <w:p w14:paraId="4E4C7A51" w14:textId="77777777" w:rsidR="00A101A4" w:rsidRPr="004068F6" w:rsidRDefault="00A101A4">
      <w:pPr>
        <w:numPr>
          <w:ilvl w:val="12"/>
          <w:numId w:val="0"/>
        </w:numPr>
        <w:tabs>
          <w:tab w:val="left" w:pos="-2268"/>
        </w:tabs>
        <w:suppressAutoHyphens/>
        <w:rPr>
          <w:spacing w:val="-3"/>
        </w:rPr>
      </w:pPr>
    </w:p>
    <w:p w14:paraId="6FE7FF0E" w14:textId="7A939861" w:rsidR="00EB7470" w:rsidRPr="004068F6" w:rsidRDefault="00E16798" w:rsidP="00127BD4">
      <w:pPr>
        <w:numPr>
          <w:ilvl w:val="0"/>
          <w:numId w:val="29"/>
        </w:numPr>
        <w:tabs>
          <w:tab w:val="left" w:pos="-2268"/>
        </w:tabs>
        <w:suppressAutoHyphens/>
        <w:ind w:left="567" w:hanging="567"/>
        <w:rPr>
          <w:spacing w:val="-3"/>
        </w:rPr>
      </w:pPr>
      <w:r w:rsidRPr="00127BD4">
        <w:rPr>
          <w:spacing w:val="-3"/>
        </w:rPr>
        <w:t>Unidad mínima cartografiable: unidad más pequeña de superficie que puede ser delimitada en un mapa y que por ende depende de la escala</w:t>
      </w:r>
      <w:r w:rsidR="005A476C" w:rsidRPr="004068F6">
        <w:rPr>
          <w:spacing w:val="-3"/>
        </w:rPr>
        <w:t xml:space="preserve"> (ver </w:t>
      </w:r>
      <w:r w:rsidRPr="004068F6">
        <w:rPr>
          <w:spacing w:val="-3"/>
        </w:rPr>
        <w:fldChar w:fldCharType="begin"/>
      </w:r>
      <w:r w:rsidRPr="004068F6">
        <w:rPr>
          <w:spacing w:val="-3"/>
        </w:rPr>
        <w:instrText xml:space="preserve"> REF _Ref83041939 \h  \* MERGEFORMAT </w:instrText>
      </w:r>
      <w:r w:rsidRPr="004068F6">
        <w:rPr>
          <w:spacing w:val="-3"/>
        </w:rPr>
      </w:r>
      <w:r w:rsidRPr="004068F6">
        <w:rPr>
          <w:spacing w:val="-3"/>
        </w:rPr>
        <w:fldChar w:fldCharType="separate"/>
      </w:r>
      <w:r w:rsidR="009C4A81" w:rsidRPr="009C4A81">
        <w:rPr>
          <w:spacing w:val="-3"/>
        </w:rPr>
        <w:t>Tabla 9</w:t>
      </w:r>
      <w:r w:rsidRPr="004068F6">
        <w:rPr>
          <w:spacing w:val="-3"/>
        </w:rPr>
        <w:fldChar w:fldCharType="end"/>
      </w:r>
      <w:r w:rsidR="005A476C" w:rsidRPr="004068F6">
        <w:rPr>
          <w:spacing w:val="-3"/>
        </w:rPr>
        <w:t>)</w:t>
      </w:r>
      <w:r w:rsidRPr="00127BD4">
        <w:rPr>
          <w:spacing w:val="-3"/>
        </w:rPr>
        <w:t xml:space="preserve">. El tamaño de la </w:t>
      </w:r>
      <w:r w:rsidRPr="004068F6">
        <w:rPr>
          <w:spacing w:val="-3"/>
        </w:rPr>
        <w:t xml:space="preserve">unidad mínima cartografiable </w:t>
      </w:r>
      <w:r w:rsidRPr="00127BD4">
        <w:rPr>
          <w:spacing w:val="-3"/>
        </w:rPr>
        <w:t>se def</w:t>
      </w:r>
      <w:r w:rsidRPr="004068F6">
        <w:rPr>
          <w:spacing w:val="-3"/>
        </w:rPr>
        <w:t>ine</w:t>
      </w:r>
      <w:r w:rsidRPr="00127BD4">
        <w:rPr>
          <w:spacing w:val="-3"/>
        </w:rPr>
        <w:t xml:space="preserve"> de acuerdo con la escala</w:t>
      </w:r>
      <w:r w:rsidR="005A476C" w:rsidRPr="004068F6">
        <w:rPr>
          <w:spacing w:val="-3"/>
        </w:rPr>
        <w:t>;</w:t>
      </w:r>
      <w:r w:rsidRPr="00127BD4">
        <w:rPr>
          <w:spacing w:val="-3"/>
        </w:rPr>
        <w:t xml:space="preserve"> IGAC (2024), afirma que debe ser </w:t>
      </w:r>
      <w:r w:rsidR="005A476C" w:rsidRPr="004068F6">
        <w:rPr>
          <w:spacing w:val="-3"/>
        </w:rPr>
        <w:t xml:space="preserve">de </w:t>
      </w:r>
      <w:r w:rsidRPr="00127BD4">
        <w:rPr>
          <w:spacing w:val="-3"/>
        </w:rPr>
        <w:t>al menos de 4 x 4 mm, llevad</w:t>
      </w:r>
      <w:r w:rsidR="005A476C" w:rsidRPr="004068F6">
        <w:rPr>
          <w:spacing w:val="-3"/>
        </w:rPr>
        <w:t>a</w:t>
      </w:r>
      <w:r w:rsidRPr="00127BD4">
        <w:rPr>
          <w:spacing w:val="-3"/>
        </w:rPr>
        <w:t xml:space="preserve"> a la escala.</w:t>
      </w:r>
    </w:p>
    <w:p w14:paraId="3230AA3B" w14:textId="77777777" w:rsidR="00EB7470" w:rsidRPr="00127BD4" w:rsidRDefault="00EB7470" w:rsidP="00127BD4">
      <w:pPr>
        <w:rPr>
          <w:spacing w:val="-3"/>
        </w:rPr>
      </w:pPr>
    </w:p>
    <w:p w14:paraId="0FFF73BA" w14:textId="65A016D7" w:rsidR="00EB7470" w:rsidRPr="004068F6" w:rsidRDefault="00EB7470" w:rsidP="0082127E">
      <w:pPr>
        <w:pStyle w:val="Descripcin"/>
        <w:ind w:left="360"/>
        <w:jc w:val="center"/>
        <w:rPr>
          <w:b w:val="0"/>
          <w:spacing w:val="-3"/>
        </w:rPr>
      </w:pPr>
      <w:bookmarkStart w:id="1973" w:name="_Ref83041939"/>
      <w:r w:rsidRPr="004068F6">
        <w:t xml:space="preserve">Tabla </w:t>
      </w:r>
      <w:fldSimple w:instr=" SEQ Tabla \* ARABIC ">
        <w:r w:rsidR="009C4A81">
          <w:rPr>
            <w:noProof/>
          </w:rPr>
          <w:t>9</w:t>
        </w:r>
      </w:fldSimple>
      <w:bookmarkEnd w:id="1973"/>
      <w:r w:rsidRPr="004068F6">
        <w:rPr>
          <w:spacing w:val="-3"/>
        </w:rPr>
        <w:t>.</w:t>
      </w:r>
      <w:r w:rsidRPr="004068F6">
        <w:rPr>
          <w:b w:val="0"/>
          <w:spacing w:val="-3"/>
        </w:rPr>
        <w:t xml:space="preserve"> </w:t>
      </w:r>
      <w:r w:rsidR="005A476C" w:rsidRPr="004068F6">
        <w:rPr>
          <w:b w:val="0"/>
          <w:spacing w:val="-3"/>
        </w:rPr>
        <w:t xml:space="preserve">Unidad </w:t>
      </w:r>
      <w:r w:rsidR="006F2F7D" w:rsidRPr="004068F6">
        <w:rPr>
          <w:b w:val="0"/>
          <w:spacing w:val="-3"/>
        </w:rPr>
        <w:t>mínima cartografiable</w:t>
      </w:r>
    </w:p>
    <w:tbl>
      <w:tblPr>
        <w:tblW w:w="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2155"/>
      </w:tblGrid>
      <w:tr w:rsidR="00EB7470" w:rsidRPr="004068F6" w14:paraId="16B50D30" w14:textId="77777777" w:rsidTr="00EB7470">
        <w:trPr>
          <w:trHeight w:hRule="exact" w:val="567"/>
          <w:tblHeader/>
          <w:jc w:val="center"/>
        </w:trPr>
        <w:tc>
          <w:tcPr>
            <w:tcW w:w="3157" w:type="dxa"/>
            <w:noWrap/>
            <w:vAlign w:val="center"/>
          </w:tcPr>
          <w:p w14:paraId="56075553" w14:textId="77777777" w:rsidR="00EB7470" w:rsidRPr="004068F6" w:rsidRDefault="00EB7470" w:rsidP="00EB7470">
            <w:pPr>
              <w:numPr>
                <w:ilvl w:val="12"/>
                <w:numId w:val="0"/>
              </w:numPr>
              <w:tabs>
                <w:tab w:val="left" w:pos="-2268"/>
              </w:tabs>
              <w:suppressAutoHyphens/>
              <w:jc w:val="center"/>
              <w:rPr>
                <w:b/>
                <w:spacing w:val="-3"/>
                <w:sz w:val="22"/>
              </w:rPr>
            </w:pPr>
            <w:r w:rsidRPr="004068F6">
              <w:rPr>
                <w:rFonts w:cs="Arial"/>
                <w:b/>
                <w:bCs/>
                <w:spacing w:val="-3"/>
                <w:sz w:val="22"/>
              </w:rPr>
              <w:t>Escala</w:t>
            </w:r>
          </w:p>
        </w:tc>
        <w:tc>
          <w:tcPr>
            <w:tcW w:w="2155" w:type="dxa"/>
            <w:noWrap/>
            <w:vAlign w:val="center"/>
          </w:tcPr>
          <w:p w14:paraId="7261382D" w14:textId="2FAF668E" w:rsidR="00EB7470" w:rsidRPr="004068F6" w:rsidRDefault="005A476C" w:rsidP="00EB7470">
            <w:pPr>
              <w:numPr>
                <w:ilvl w:val="12"/>
                <w:numId w:val="0"/>
              </w:numPr>
              <w:tabs>
                <w:tab w:val="left" w:pos="-2268"/>
              </w:tabs>
              <w:suppressAutoHyphens/>
              <w:jc w:val="center"/>
              <w:rPr>
                <w:b/>
                <w:spacing w:val="-3"/>
                <w:sz w:val="22"/>
              </w:rPr>
            </w:pPr>
            <w:r w:rsidRPr="004068F6">
              <w:rPr>
                <w:rFonts w:cs="Arial"/>
                <w:b/>
                <w:bCs/>
                <w:spacing w:val="-3"/>
                <w:sz w:val="22"/>
              </w:rPr>
              <w:t xml:space="preserve">Unidad </w:t>
            </w:r>
            <w:r w:rsidR="00EB7470" w:rsidRPr="004068F6">
              <w:rPr>
                <w:rFonts w:cs="Arial"/>
                <w:b/>
                <w:bCs/>
                <w:spacing w:val="-3"/>
                <w:sz w:val="22"/>
              </w:rPr>
              <w:t>mínima cartografiable</w:t>
            </w:r>
          </w:p>
        </w:tc>
      </w:tr>
      <w:tr w:rsidR="00EB7470" w:rsidRPr="004068F6" w14:paraId="5748AB02" w14:textId="77777777" w:rsidTr="00EB7470">
        <w:trPr>
          <w:trHeight w:val="397"/>
          <w:jc w:val="center"/>
        </w:trPr>
        <w:tc>
          <w:tcPr>
            <w:tcW w:w="3157" w:type="dxa"/>
            <w:noWrap/>
            <w:vAlign w:val="center"/>
            <w:hideMark/>
          </w:tcPr>
          <w:p w14:paraId="3AC7A110" w14:textId="77777777" w:rsidR="00EB7470" w:rsidRPr="004068F6" w:rsidRDefault="00EB7470" w:rsidP="00EB7470">
            <w:pPr>
              <w:numPr>
                <w:ilvl w:val="12"/>
                <w:numId w:val="0"/>
              </w:numPr>
              <w:tabs>
                <w:tab w:val="left" w:pos="-2268"/>
              </w:tabs>
              <w:suppressAutoHyphens/>
              <w:ind w:right="1110"/>
              <w:jc w:val="right"/>
              <w:rPr>
                <w:spacing w:val="-3"/>
                <w:sz w:val="22"/>
              </w:rPr>
            </w:pPr>
            <w:r w:rsidRPr="004068F6">
              <w:rPr>
                <w:spacing w:val="-3"/>
                <w:sz w:val="22"/>
              </w:rPr>
              <w:t>1:</w:t>
            </w:r>
            <w:r w:rsidRPr="004068F6">
              <w:rPr>
                <w:rFonts w:cs="Arial"/>
                <w:bCs/>
                <w:spacing w:val="-3"/>
                <w:sz w:val="22"/>
              </w:rPr>
              <w:t>5</w:t>
            </w:r>
            <w:r w:rsidRPr="004068F6">
              <w:rPr>
                <w:spacing w:val="-3"/>
                <w:sz w:val="22"/>
              </w:rPr>
              <w:t>.000</w:t>
            </w:r>
          </w:p>
        </w:tc>
        <w:tc>
          <w:tcPr>
            <w:tcW w:w="2155" w:type="dxa"/>
            <w:noWrap/>
            <w:vAlign w:val="center"/>
            <w:hideMark/>
          </w:tcPr>
          <w:p w14:paraId="177AA640" w14:textId="0F490777" w:rsidR="00EB7470" w:rsidRPr="004068F6" w:rsidRDefault="005A476C" w:rsidP="0082127E">
            <w:pPr>
              <w:numPr>
                <w:ilvl w:val="12"/>
                <w:numId w:val="0"/>
              </w:numPr>
              <w:tabs>
                <w:tab w:val="left" w:pos="-2268"/>
              </w:tabs>
              <w:suppressAutoHyphens/>
              <w:ind w:right="305"/>
              <w:jc w:val="right"/>
              <w:rPr>
                <w:spacing w:val="-3"/>
                <w:sz w:val="22"/>
                <w:szCs w:val="22"/>
              </w:rPr>
            </w:pPr>
            <w:r w:rsidRPr="004068F6">
              <w:rPr>
                <w:spacing w:val="-3"/>
                <w:sz w:val="22"/>
                <w:szCs w:val="22"/>
              </w:rPr>
              <w:t>400</w:t>
            </w:r>
            <w:r w:rsidR="00EB7470" w:rsidRPr="00127BD4">
              <w:rPr>
                <w:spacing w:val="-3"/>
                <w:sz w:val="22"/>
                <w:szCs w:val="22"/>
              </w:rPr>
              <w:t>,</w:t>
            </w:r>
            <w:r w:rsidRPr="004068F6">
              <w:rPr>
                <w:spacing w:val="-3"/>
                <w:sz w:val="22"/>
                <w:szCs w:val="22"/>
              </w:rPr>
              <w:t>00</w:t>
            </w:r>
            <w:r w:rsidR="00EB7470" w:rsidRPr="00127BD4">
              <w:rPr>
                <w:spacing w:val="-3"/>
                <w:sz w:val="22"/>
                <w:szCs w:val="22"/>
              </w:rPr>
              <w:t xml:space="preserve"> m</w:t>
            </w:r>
            <w:r w:rsidR="00EB7470" w:rsidRPr="00127BD4">
              <w:rPr>
                <w:spacing w:val="-3"/>
                <w:sz w:val="22"/>
                <w:szCs w:val="22"/>
                <w:vertAlign w:val="superscript"/>
              </w:rPr>
              <w:t>2</w:t>
            </w:r>
          </w:p>
        </w:tc>
      </w:tr>
      <w:tr w:rsidR="00EB7470" w:rsidRPr="004068F6" w14:paraId="7FF3F8B4" w14:textId="77777777" w:rsidTr="00EB7470">
        <w:trPr>
          <w:trHeight w:val="397"/>
          <w:jc w:val="center"/>
        </w:trPr>
        <w:tc>
          <w:tcPr>
            <w:tcW w:w="3157" w:type="dxa"/>
            <w:noWrap/>
            <w:vAlign w:val="center"/>
            <w:hideMark/>
          </w:tcPr>
          <w:p w14:paraId="19D549B0" w14:textId="77777777" w:rsidR="00EB7470" w:rsidRPr="004068F6" w:rsidRDefault="00EB7470" w:rsidP="00EB7470">
            <w:pPr>
              <w:numPr>
                <w:ilvl w:val="12"/>
                <w:numId w:val="0"/>
              </w:numPr>
              <w:tabs>
                <w:tab w:val="left" w:pos="-2268"/>
              </w:tabs>
              <w:suppressAutoHyphens/>
              <w:ind w:right="1110"/>
              <w:jc w:val="right"/>
              <w:rPr>
                <w:spacing w:val="-3"/>
                <w:sz w:val="22"/>
              </w:rPr>
            </w:pPr>
            <w:r w:rsidRPr="004068F6">
              <w:rPr>
                <w:spacing w:val="-3"/>
                <w:sz w:val="22"/>
              </w:rPr>
              <w:t>1:10.000</w:t>
            </w:r>
          </w:p>
        </w:tc>
        <w:tc>
          <w:tcPr>
            <w:tcW w:w="2155" w:type="dxa"/>
            <w:noWrap/>
            <w:vAlign w:val="center"/>
            <w:hideMark/>
          </w:tcPr>
          <w:p w14:paraId="2678B63D" w14:textId="7FB0119B" w:rsidR="00EB7470" w:rsidRPr="004068F6" w:rsidRDefault="005A476C" w:rsidP="0082127E">
            <w:pPr>
              <w:numPr>
                <w:ilvl w:val="12"/>
                <w:numId w:val="0"/>
              </w:numPr>
              <w:tabs>
                <w:tab w:val="left" w:pos="-2268"/>
              </w:tabs>
              <w:suppressAutoHyphens/>
              <w:ind w:right="305"/>
              <w:jc w:val="right"/>
              <w:rPr>
                <w:spacing w:val="-3"/>
                <w:sz w:val="22"/>
              </w:rPr>
            </w:pPr>
            <w:r w:rsidRPr="004068F6">
              <w:rPr>
                <w:rFonts w:cs="Arial"/>
                <w:spacing w:val="-3"/>
                <w:sz w:val="22"/>
              </w:rPr>
              <w:t>1.600</w:t>
            </w:r>
            <w:r w:rsidR="00EB7470" w:rsidRPr="004068F6">
              <w:rPr>
                <w:rFonts w:cs="Arial"/>
                <w:spacing w:val="-3"/>
                <w:sz w:val="22"/>
              </w:rPr>
              <w:t>,00</w:t>
            </w:r>
            <w:r w:rsidR="00EB7470" w:rsidRPr="004068F6">
              <w:rPr>
                <w:spacing w:val="-3"/>
                <w:sz w:val="22"/>
              </w:rPr>
              <w:t xml:space="preserve"> </w:t>
            </w:r>
            <w:r w:rsidR="00EB7470" w:rsidRPr="004068F6">
              <w:rPr>
                <w:spacing w:val="-3"/>
              </w:rPr>
              <w:t>m</w:t>
            </w:r>
            <w:r w:rsidR="00EB7470" w:rsidRPr="004068F6">
              <w:rPr>
                <w:spacing w:val="-3"/>
                <w:vertAlign w:val="superscript"/>
              </w:rPr>
              <w:t>2</w:t>
            </w:r>
          </w:p>
        </w:tc>
      </w:tr>
      <w:tr w:rsidR="00EB7470" w:rsidRPr="004068F6" w14:paraId="0E6D17F9" w14:textId="77777777" w:rsidTr="00EB7470">
        <w:trPr>
          <w:trHeight w:val="397"/>
          <w:jc w:val="center"/>
        </w:trPr>
        <w:tc>
          <w:tcPr>
            <w:tcW w:w="3157" w:type="dxa"/>
            <w:noWrap/>
            <w:vAlign w:val="center"/>
            <w:hideMark/>
          </w:tcPr>
          <w:p w14:paraId="4D991A95" w14:textId="77777777" w:rsidR="00EB7470" w:rsidRPr="004068F6" w:rsidRDefault="00EB7470" w:rsidP="00EB7470">
            <w:pPr>
              <w:numPr>
                <w:ilvl w:val="12"/>
                <w:numId w:val="0"/>
              </w:numPr>
              <w:tabs>
                <w:tab w:val="left" w:pos="-2268"/>
              </w:tabs>
              <w:suppressAutoHyphens/>
              <w:ind w:right="1110"/>
              <w:jc w:val="right"/>
              <w:rPr>
                <w:spacing w:val="-3"/>
                <w:sz w:val="22"/>
              </w:rPr>
            </w:pPr>
            <w:r w:rsidRPr="004068F6">
              <w:rPr>
                <w:spacing w:val="-3"/>
                <w:sz w:val="22"/>
              </w:rPr>
              <w:t>1:25.000</w:t>
            </w:r>
          </w:p>
        </w:tc>
        <w:tc>
          <w:tcPr>
            <w:tcW w:w="2155" w:type="dxa"/>
            <w:noWrap/>
            <w:vAlign w:val="center"/>
            <w:hideMark/>
          </w:tcPr>
          <w:p w14:paraId="059DB673" w14:textId="42F81233" w:rsidR="00EB7470" w:rsidRPr="004068F6" w:rsidRDefault="005A476C" w:rsidP="0082127E">
            <w:pPr>
              <w:numPr>
                <w:ilvl w:val="12"/>
                <w:numId w:val="0"/>
              </w:numPr>
              <w:tabs>
                <w:tab w:val="left" w:pos="-2268"/>
              </w:tabs>
              <w:suppressAutoHyphens/>
              <w:ind w:right="305"/>
              <w:jc w:val="right"/>
              <w:rPr>
                <w:spacing w:val="-3"/>
                <w:sz w:val="22"/>
              </w:rPr>
            </w:pPr>
            <w:r w:rsidRPr="004068F6">
              <w:rPr>
                <w:rFonts w:cs="Arial"/>
                <w:spacing w:val="-3"/>
                <w:sz w:val="22"/>
              </w:rPr>
              <w:t>10.000</w:t>
            </w:r>
            <w:r w:rsidR="00EB7470" w:rsidRPr="004068F6">
              <w:rPr>
                <w:rFonts w:cs="Arial"/>
                <w:spacing w:val="-3"/>
                <w:sz w:val="22"/>
              </w:rPr>
              <w:t>,</w:t>
            </w:r>
            <w:r w:rsidRPr="004068F6">
              <w:rPr>
                <w:rFonts w:cs="Arial"/>
                <w:spacing w:val="-3"/>
                <w:sz w:val="22"/>
              </w:rPr>
              <w:t>00</w:t>
            </w:r>
            <w:r w:rsidR="00EB7470" w:rsidRPr="004068F6">
              <w:rPr>
                <w:spacing w:val="-3"/>
                <w:sz w:val="22"/>
              </w:rPr>
              <w:t xml:space="preserve"> </w:t>
            </w:r>
            <w:r w:rsidR="00EB7470" w:rsidRPr="004068F6">
              <w:rPr>
                <w:spacing w:val="-3"/>
              </w:rPr>
              <w:t>m</w:t>
            </w:r>
            <w:r w:rsidR="00EB7470" w:rsidRPr="004068F6">
              <w:rPr>
                <w:spacing w:val="-3"/>
                <w:vertAlign w:val="superscript"/>
              </w:rPr>
              <w:t>2</w:t>
            </w:r>
          </w:p>
        </w:tc>
      </w:tr>
      <w:tr w:rsidR="00EB7470" w:rsidRPr="004068F6" w14:paraId="20DD12DE" w14:textId="77777777" w:rsidTr="00EB7470">
        <w:trPr>
          <w:trHeight w:val="397"/>
          <w:jc w:val="center"/>
        </w:trPr>
        <w:tc>
          <w:tcPr>
            <w:tcW w:w="3157" w:type="dxa"/>
            <w:noWrap/>
            <w:vAlign w:val="center"/>
            <w:hideMark/>
          </w:tcPr>
          <w:p w14:paraId="0A3D55CC" w14:textId="77777777" w:rsidR="00EB7470" w:rsidRPr="004068F6" w:rsidRDefault="00EB7470" w:rsidP="00EB7470">
            <w:pPr>
              <w:numPr>
                <w:ilvl w:val="12"/>
                <w:numId w:val="0"/>
              </w:numPr>
              <w:tabs>
                <w:tab w:val="left" w:pos="-2268"/>
              </w:tabs>
              <w:suppressAutoHyphens/>
              <w:ind w:right="1110"/>
              <w:jc w:val="right"/>
              <w:rPr>
                <w:spacing w:val="-3"/>
                <w:sz w:val="22"/>
              </w:rPr>
            </w:pPr>
            <w:r w:rsidRPr="004068F6">
              <w:rPr>
                <w:spacing w:val="-3"/>
                <w:sz w:val="22"/>
              </w:rPr>
              <w:t>1:100.000</w:t>
            </w:r>
          </w:p>
        </w:tc>
        <w:tc>
          <w:tcPr>
            <w:tcW w:w="2155" w:type="dxa"/>
            <w:noWrap/>
            <w:vAlign w:val="center"/>
            <w:hideMark/>
          </w:tcPr>
          <w:p w14:paraId="6E111845" w14:textId="23177DEB" w:rsidR="00EB7470" w:rsidRPr="004068F6" w:rsidRDefault="006A0205" w:rsidP="0082127E">
            <w:pPr>
              <w:numPr>
                <w:ilvl w:val="12"/>
                <w:numId w:val="0"/>
              </w:numPr>
              <w:tabs>
                <w:tab w:val="left" w:pos="-2268"/>
              </w:tabs>
              <w:suppressAutoHyphens/>
              <w:ind w:right="305"/>
              <w:jc w:val="right"/>
              <w:rPr>
                <w:spacing w:val="-3"/>
                <w:sz w:val="22"/>
              </w:rPr>
            </w:pPr>
            <w:r w:rsidRPr="00127BD4">
              <w:rPr>
                <w:rFonts w:cs="Arial"/>
                <w:spacing w:val="-3"/>
                <w:sz w:val="22"/>
              </w:rPr>
              <w:t>1</w:t>
            </w:r>
            <w:r w:rsidR="00EB7470" w:rsidRPr="004068F6">
              <w:rPr>
                <w:rFonts w:cs="Arial"/>
                <w:spacing w:val="-3"/>
                <w:sz w:val="22"/>
              </w:rPr>
              <w:t>6</w:t>
            </w:r>
            <w:r w:rsidRPr="00127BD4">
              <w:rPr>
                <w:rFonts w:cs="Arial"/>
                <w:spacing w:val="-3"/>
                <w:sz w:val="22"/>
              </w:rPr>
              <w:t>0</w:t>
            </w:r>
            <w:r w:rsidR="00EB7470" w:rsidRPr="004068F6">
              <w:rPr>
                <w:rFonts w:cs="Arial"/>
                <w:spacing w:val="-3"/>
                <w:sz w:val="22"/>
              </w:rPr>
              <w:t>.</w:t>
            </w:r>
            <w:r w:rsidRPr="00127BD4">
              <w:rPr>
                <w:rFonts w:cs="Arial"/>
                <w:spacing w:val="-3"/>
                <w:sz w:val="22"/>
              </w:rPr>
              <w:t>0</w:t>
            </w:r>
            <w:r w:rsidR="00EB7470" w:rsidRPr="004068F6">
              <w:rPr>
                <w:rFonts w:cs="Arial"/>
                <w:spacing w:val="-3"/>
                <w:sz w:val="22"/>
              </w:rPr>
              <w:t xml:space="preserve">00,00 </w:t>
            </w:r>
            <w:r w:rsidR="00EB7470" w:rsidRPr="004068F6">
              <w:rPr>
                <w:spacing w:val="-3"/>
              </w:rPr>
              <w:t>m</w:t>
            </w:r>
            <w:r w:rsidR="00EB7470" w:rsidRPr="004068F6">
              <w:rPr>
                <w:spacing w:val="-3"/>
                <w:vertAlign w:val="superscript"/>
              </w:rPr>
              <w:t>2</w:t>
            </w:r>
          </w:p>
        </w:tc>
      </w:tr>
    </w:tbl>
    <w:p w14:paraId="5C29959B" w14:textId="57466E98" w:rsidR="00EB7470" w:rsidRPr="004068F6" w:rsidRDefault="006F4FD7" w:rsidP="00921605">
      <w:pPr>
        <w:pStyle w:val="Prrafodelista"/>
        <w:tabs>
          <w:tab w:val="left" w:pos="-2268"/>
        </w:tabs>
        <w:suppressAutoHyphens/>
        <w:ind w:left="1985" w:right="2036"/>
        <w:jc w:val="center"/>
        <w:rPr>
          <w:spacing w:val="-3"/>
          <w:sz w:val="20"/>
          <w:szCs w:val="20"/>
          <w:lang w:val="es-CO"/>
        </w:rPr>
      </w:pPr>
      <w:r w:rsidRPr="004068F6">
        <w:rPr>
          <w:b/>
          <w:spacing w:val="-3"/>
          <w:sz w:val="20"/>
          <w:szCs w:val="20"/>
          <w:lang w:val="es-CO"/>
        </w:rPr>
        <w:t>Fuente:</w:t>
      </w:r>
      <w:r w:rsidRPr="004068F6">
        <w:rPr>
          <w:spacing w:val="-3"/>
          <w:sz w:val="20"/>
          <w:szCs w:val="20"/>
          <w:lang w:val="es-CO"/>
        </w:rPr>
        <w:t xml:space="preserve"> </w:t>
      </w:r>
      <w:r w:rsidR="00E839A8" w:rsidRPr="004068F6">
        <w:rPr>
          <w:spacing w:val="-3"/>
          <w:sz w:val="20"/>
          <w:szCs w:val="20"/>
          <w:lang w:val="es-CO"/>
        </w:rPr>
        <w:t>V</w:t>
      </w:r>
      <w:r w:rsidR="00EB7470" w:rsidRPr="004068F6">
        <w:rPr>
          <w:spacing w:val="-3"/>
          <w:sz w:val="20"/>
          <w:szCs w:val="20"/>
          <w:lang w:val="es-CO"/>
        </w:rPr>
        <w:t xml:space="preserve">alores adaptados de </w:t>
      </w:r>
      <w:r w:rsidR="00E839A8" w:rsidRPr="004068F6">
        <w:rPr>
          <w:spacing w:val="-3"/>
          <w:sz w:val="20"/>
          <w:szCs w:val="20"/>
          <w:lang w:val="es-CO"/>
        </w:rPr>
        <w:t>IGAC (20</w:t>
      </w:r>
      <w:r w:rsidR="00CE1F87" w:rsidRPr="004068F6">
        <w:rPr>
          <w:spacing w:val="-3"/>
          <w:sz w:val="20"/>
          <w:szCs w:val="20"/>
          <w:lang w:val="es-CO"/>
        </w:rPr>
        <w:t>24</w:t>
      </w:r>
      <w:r w:rsidR="00E839A8" w:rsidRPr="004068F6">
        <w:rPr>
          <w:spacing w:val="-3"/>
          <w:sz w:val="20"/>
          <w:szCs w:val="20"/>
          <w:lang w:val="es-CO"/>
        </w:rPr>
        <w:t>)</w:t>
      </w:r>
      <w:r w:rsidR="00EB7470" w:rsidRPr="004068F6">
        <w:rPr>
          <w:spacing w:val="-3"/>
          <w:sz w:val="20"/>
          <w:szCs w:val="20"/>
          <w:lang w:val="es-CO"/>
        </w:rPr>
        <w:t>.</w:t>
      </w:r>
    </w:p>
    <w:p w14:paraId="2173BB5F" w14:textId="77777777" w:rsidR="00EB7470" w:rsidRPr="004068F6" w:rsidRDefault="00EB7470">
      <w:pPr>
        <w:numPr>
          <w:ilvl w:val="12"/>
          <w:numId w:val="0"/>
        </w:numPr>
        <w:tabs>
          <w:tab w:val="left" w:pos="-2268"/>
        </w:tabs>
        <w:suppressAutoHyphens/>
        <w:rPr>
          <w:spacing w:val="-3"/>
        </w:rPr>
      </w:pPr>
    </w:p>
    <w:p w14:paraId="66FD6212" w14:textId="264DE774" w:rsidR="00A101A4" w:rsidRPr="00FF73C7" w:rsidRDefault="00A101A4" w:rsidP="000A1E20">
      <w:pPr>
        <w:pStyle w:val="Ttulo3"/>
      </w:pPr>
      <w:bookmarkStart w:id="1974" w:name="_Toc42353720"/>
      <w:bookmarkStart w:id="1975" w:name="_Toc230879567"/>
      <w:r w:rsidRPr="00FF73C7">
        <w:t xml:space="preserve">Modelo </w:t>
      </w:r>
      <w:r w:rsidR="00467CE5" w:rsidRPr="00FF73C7">
        <w:t>de Almacenamiento Geográfico (MAG)</w:t>
      </w:r>
      <w:bookmarkEnd w:id="1974"/>
      <w:bookmarkEnd w:id="1975"/>
    </w:p>
    <w:p w14:paraId="21A834EB" w14:textId="77777777" w:rsidR="00A101A4" w:rsidRPr="004068F6" w:rsidRDefault="00A101A4">
      <w:pPr>
        <w:numPr>
          <w:ilvl w:val="12"/>
          <w:numId w:val="0"/>
        </w:numPr>
        <w:tabs>
          <w:tab w:val="left" w:pos="-2268"/>
        </w:tabs>
        <w:suppressAutoHyphens/>
        <w:rPr>
          <w:spacing w:val="-3"/>
        </w:rPr>
      </w:pPr>
    </w:p>
    <w:p w14:paraId="4D02CFD2" w14:textId="2316DA7B" w:rsidR="00A101A4" w:rsidRPr="004068F6" w:rsidRDefault="00CC4529">
      <w:pPr>
        <w:numPr>
          <w:ilvl w:val="12"/>
          <w:numId w:val="0"/>
        </w:numPr>
        <w:tabs>
          <w:tab w:val="left" w:pos="-2268"/>
        </w:tabs>
        <w:suppressAutoHyphens/>
        <w:rPr>
          <w:spacing w:val="-3"/>
        </w:rPr>
      </w:pPr>
      <w:r w:rsidRPr="004068F6">
        <w:rPr>
          <w:spacing w:val="-3"/>
        </w:rPr>
        <w:t>Toda l</w:t>
      </w:r>
      <w:r w:rsidR="00A101A4" w:rsidRPr="004068F6">
        <w:rPr>
          <w:spacing w:val="-3"/>
        </w:rPr>
        <w:t xml:space="preserve">a información geográfica </w:t>
      </w:r>
      <w:r w:rsidRPr="004068F6">
        <w:rPr>
          <w:spacing w:val="-3"/>
        </w:rPr>
        <w:t xml:space="preserve">de los estudios ambientales, </w:t>
      </w:r>
      <w:r w:rsidR="00AE787E" w:rsidRPr="004068F6">
        <w:rPr>
          <w:spacing w:val="-3"/>
        </w:rPr>
        <w:t>asociada a</w:t>
      </w:r>
      <w:r w:rsidRPr="004068F6">
        <w:rPr>
          <w:spacing w:val="-3"/>
        </w:rPr>
        <w:t xml:space="preserve"> numerales como descripción del proyecto, área de estudio, área de influencia, caracterización ambiental, zonificación ambiental, zonificación de manejo ambiental</w:t>
      </w:r>
      <w:r w:rsidR="00D01882" w:rsidRPr="004068F6">
        <w:rPr>
          <w:spacing w:val="-3"/>
        </w:rPr>
        <w:t xml:space="preserve">, </w:t>
      </w:r>
      <w:r w:rsidR="00AE787E" w:rsidRPr="004068F6">
        <w:rPr>
          <w:spacing w:val="-3"/>
        </w:rPr>
        <w:t xml:space="preserve">dimensión ambiental del plan de gestión del </w:t>
      </w:r>
      <w:r w:rsidR="00D01882" w:rsidRPr="004068F6">
        <w:rPr>
          <w:spacing w:val="-3"/>
        </w:rPr>
        <w:t>riesgo</w:t>
      </w:r>
      <w:r w:rsidRPr="004068F6">
        <w:rPr>
          <w:spacing w:val="-3"/>
        </w:rPr>
        <w:t xml:space="preserve"> y planes y programas, </w:t>
      </w:r>
      <w:r w:rsidR="00A101A4" w:rsidRPr="004068F6">
        <w:rPr>
          <w:spacing w:val="-3"/>
        </w:rPr>
        <w:t xml:space="preserve">debe ser almacenada y presentada de acuerdo con los modelos adoptados </w:t>
      </w:r>
      <w:r w:rsidR="00761161" w:rsidRPr="004068F6">
        <w:rPr>
          <w:spacing w:val="-3"/>
        </w:rPr>
        <w:t xml:space="preserve">por Minambiente </w:t>
      </w:r>
      <w:r w:rsidR="00A101A4" w:rsidRPr="004068F6">
        <w:rPr>
          <w:spacing w:val="-3"/>
        </w:rPr>
        <w:t xml:space="preserve">para la base </w:t>
      </w:r>
      <w:r w:rsidR="00A101A4" w:rsidRPr="004068F6">
        <w:rPr>
          <w:spacing w:val="-3"/>
        </w:rPr>
        <w:lastRenderedPageBreak/>
        <w:t xml:space="preserve">de datos geográfica; los datos espaciales deben tener la estructura que se define en la </w:t>
      </w:r>
      <w:r w:rsidR="006F56BD" w:rsidRPr="004068F6">
        <w:rPr>
          <w:spacing w:val="-3"/>
        </w:rPr>
        <w:t>R</w:t>
      </w:r>
      <w:r w:rsidR="00A101A4" w:rsidRPr="004068F6">
        <w:rPr>
          <w:spacing w:val="-3"/>
        </w:rPr>
        <w:t>esolución 2182 de 2016 o aquella que la modifique</w:t>
      </w:r>
      <w:r w:rsidR="00A101A4" w:rsidRPr="004068F6">
        <w:rPr>
          <w:rFonts w:cs="Arial"/>
          <w:spacing w:val="-3"/>
        </w:rPr>
        <w:t xml:space="preserve"> o</w:t>
      </w:r>
      <w:r w:rsidR="00A101A4" w:rsidRPr="004068F6">
        <w:rPr>
          <w:spacing w:val="-3"/>
        </w:rPr>
        <w:t xml:space="preserve"> sustituya.</w:t>
      </w:r>
    </w:p>
    <w:p w14:paraId="7FEB8AD2" w14:textId="77777777" w:rsidR="00A101A4" w:rsidRPr="004068F6" w:rsidRDefault="00A101A4">
      <w:pPr>
        <w:numPr>
          <w:ilvl w:val="12"/>
          <w:numId w:val="0"/>
        </w:numPr>
        <w:tabs>
          <w:tab w:val="left" w:pos="-2268"/>
        </w:tabs>
        <w:suppressAutoHyphens/>
        <w:rPr>
          <w:spacing w:val="-3"/>
        </w:rPr>
      </w:pPr>
    </w:p>
    <w:p w14:paraId="0A398AD6" w14:textId="77777777" w:rsidR="00A101A4" w:rsidRPr="004068F6" w:rsidRDefault="00A101A4">
      <w:pPr>
        <w:numPr>
          <w:ilvl w:val="12"/>
          <w:numId w:val="0"/>
        </w:numPr>
        <w:tabs>
          <w:tab w:val="left" w:pos="-2268"/>
        </w:tabs>
        <w:suppressAutoHyphens/>
        <w:rPr>
          <w:spacing w:val="-3"/>
        </w:rPr>
      </w:pPr>
      <w:r w:rsidRPr="004068F6">
        <w:rPr>
          <w:spacing w:val="-3"/>
        </w:rPr>
        <w:t>La información correspondiente a cartografía básica debe ser almacenada según la estructura del modelo de datos geográficos establecido por el IGAC, y debe guardar consistencia con la información temática (vector o raster) que se genere para la elaboración de los estudios ambientales.</w:t>
      </w:r>
    </w:p>
    <w:p w14:paraId="76EF0A2B" w14:textId="77777777" w:rsidR="004B5924" w:rsidRPr="004068F6" w:rsidRDefault="004B5924">
      <w:pPr>
        <w:numPr>
          <w:ilvl w:val="12"/>
          <w:numId w:val="0"/>
        </w:numPr>
        <w:tabs>
          <w:tab w:val="left" w:pos="-2268"/>
        </w:tabs>
        <w:suppressAutoHyphens/>
        <w:rPr>
          <w:spacing w:val="-3"/>
        </w:rPr>
      </w:pPr>
    </w:p>
    <w:p w14:paraId="16A92C66" w14:textId="469F00E1" w:rsidR="00A101A4" w:rsidRPr="00FF73C7" w:rsidRDefault="00A101A4" w:rsidP="000A1E20">
      <w:pPr>
        <w:pStyle w:val="Ttulo3"/>
      </w:pPr>
      <w:bookmarkStart w:id="1976" w:name="_Toc42353721"/>
      <w:bookmarkStart w:id="1977" w:name="_Toc230879568"/>
      <w:r w:rsidRPr="00FF73C7">
        <w:t>Información tipo Ráster</w:t>
      </w:r>
      <w:bookmarkEnd w:id="1976"/>
      <w:bookmarkEnd w:id="1977"/>
    </w:p>
    <w:p w14:paraId="73190976" w14:textId="77777777" w:rsidR="00A101A4" w:rsidRPr="004068F6" w:rsidRDefault="00A101A4">
      <w:pPr>
        <w:numPr>
          <w:ilvl w:val="12"/>
          <w:numId w:val="0"/>
        </w:numPr>
        <w:tabs>
          <w:tab w:val="left" w:pos="-2268"/>
        </w:tabs>
        <w:suppressAutoHyphens/>
        <w:rPr>
          <w:spacing w:val="-3"/>
          <w:u w:val="single"/>
        </w:rPr>
      </w:pPr>
    </w:p>
    <w:p w14:paraId="4ECA7981" w14:textId="440DAF56" w:rsidR="00F61C44" w:rsidRPr="004068F6" w:rsidRDefault="00A101A4">
      <w:pPr>
        <w:numPr>
          <w:ilvl w:val="12"/>
          <w:numId w:val="0"/>
        </w:numPr>
        <w:tabs>
          <w:tab w:val="left" w:pos="-2268"/>
        </w:tabs>
        <w:suppressAutoHyphens/>
        <w:rPr>
          <w:spacing w:val="-3"/>
        </w:rPr>
      </w:pPr>
      <w:r w:rsidRPr="004068F6">
        <w:rPr>
          <w:spacing w:val="-3"/>
        </w:rPr>
        <w:t xml:space="preserve">Las imágenes </w:t>
      </w:r>
      <w:r w:rsidR="00CE1F87" w:rsidRPr="004068F6">
        <w:rPr>
          <w:spacing w:val="-3"/>
        </w:rPr>
        <w:t xml:space="preserve">provenientes </w:t>
      </w:r>
      <w:r w:rsidRPr="004068F6">
        <w:rPr>
          <w:spacing w:val="-3"/>
        </w:rPr>
        <w:t xml:space="preserve">de sensores remotos (imágenes satelitales, de radar, lidar, ortofotografías, entre otras) </w:t>
      </w:r>
      <w:r w:rsidR="00CE1F87" w:rsidRPr="004068F6">
        <w:rPr>
          <w:spacing w:val="-3"/>
        </w:rPr>
        <w:t xml:space="preserve">que se utilicen </w:t>
      </w:r>
      <w:r w:rsidRPr="004068F6">
        <w:rPr>
          <w:spacing w:val="-3"/>
        </w:rPr>
        <w:t>como insumo para la elaboración de la cartografía y la caracterización ambiental, deben tener las siguientes características:</w:t>
      </w:r>
    </w:p>
    <w:p w14:paraId="5AB5B0AD" w14:textId="77777777" w:rsidR="00F61C44" w:rsidRPr="004068F6" w:rsidRDefault="00F61C44">
      <w:pPr>
        <w:numPr>
          <w:ilvl w:val="12"/>
          <w:numId w:val="0"/>
        </w:numPr>
        <w:tabs>
          <w:tab w:val="left" w:pos="-2268"/>
        </w:tabs>
        <w:suppressAutoHyphens/>
        <w:rPr>
          <w:spacing w:val="-3"/>
        </w:rPr>
      </w:pPr>
    </w:p>
    <w:p w14:paraId="1A31120D" w14:textId="466F8B39" w:rsidR="00CE1F87" w:rsidRPr="004068F6" w:rsidRDefault="00F61C44" w:rsidP="00CE1F87">
      <w:pPr>
        <w:pStyle w:val="Prrafodelista"/>
        <w:numPr>
          <w:ilvl w:val="0"/>
          <w:numId w:val="29"/>
        </w:numPr>
        <w:suppressAutoHyphens/>
        <w:ind w:left="567" w:hanging="567"/>
        <w:rPr>
          <w:spacing w:val="-3"/>
          <w:lang w:val="es-CO"/>
        </w:rPr>
      </w:pPr>
      <w:r w:rsidRPr="004068F6">
        <w:rPr>
          <w:spacing w:val="-3"/>
          <w:lang w:val="es-CO"/>
        </w:rPr>
        <w:t>R</w:t>
      </w:r>
      <w:r w:rsidR="00A101A4" w:rsidRPr="004068F6">
        <w:rPr>
          <w:spacing w:val="-3"/>
          <w:lang w:val="es-CO"/>
        </w:rPr>
        <w:t>esolución espacial</w:t>
      </w:r>
      <w:r w:rsidR="00CE1F87" w:rsidRPr="004068F6">
        <w:rPr>
          <w:spacing w:val="-3"/>
          <w:lang w:val="es-CO"/>
        </w:rPr>
        <w:t>. La resolución espacial de las imágenes debe ser coherente con la escala cartográfica solicitada en los términos de referencia. Como criterio mínimo de presentación, se adoptan las siguientes resoluciones espaciales recomendadas por el IGAC:</w:t>
      </w:r>
    </w:p>
    <w:p w14:paraId="678E42C7" w14:textId="77777777" w:rsidR="00CE1F87" w:rsidRPr="00127BD4" w:rsidRDefault="00CE1F87" w:rsidP="00127BD4">
      <w:pPr>
        <w:rPr>
          <w:spacing w:val="-3"/>
        </w:rPr>
      </w:pPr>
    </w:p>
    <w:p w14:paraId="57A4C620" w14:textId="77777777" w:rsidR="00CE1F87" w:rsidRPr="004068F6" w:rsidRDefault="00CE1F87" w:rsidP="00127BD4">
      <w:pPr>
        <w:numPr>
          <w:ilvl w:val="1"/>
          <w:numId w:val="40"/>
        </w:numPr>
        <w:tabs>
          <w:tab w:val="left" w:pos="-2268"/>
        </w:tabs>
        <w:suppressAutoHyphens/>
        <w:ind w:left="1134" w:hanging="567"/>
        <w:rPr>
          <w:iCs/>
          <w:spacing w:val="-3"/>
        </w:rPr>
      </w:pPr>
      <w:r w:rsidRPr="004068F6">
        <w:rPr>
          <w:iCs/>
          <w:spacing w:val="-3"/>
        </w:rPr>
        <w:t>15 metros para escala 1:100.000</w:t>
      </w:r>
    </w:p>
    <w:p w14:paraId="0E28E519" w14:textId="1C7CBFF8" w:rsidR="00CE1F87" w:rsidRPr="004068F6" w:rsidRDefault="00CE1F87" w:rsidP="00127BD4">
      <w:pPr>
        <w:tabs>
          <w:tab w:val="left" w:pos="-2268"/>
        </w:tabs>
        <w:suppressAutoHyphens/>
        <w:rPr>
          <w:iCs/>
          <w:spacing w:val="-3"/>
        </w:rPr>
      </w:pPr>
    </w:p>
    <w:p w14:paraId="6751A0CD" w14:textId="212B1DF4" w:rsidR="00CE1F87" w:rsidRPr="004068F6" w:rsidRDefault="00CE1F87" w:rsidP="00127BD4">
      <w:pPr>
        <w:numPr>
          <w:ilvl w:val="1"/>
          <w:numId w:val="40"/>
        </w:numPr>
        <w:tabs>
          <w:tab w:val="left" w:pos="-2268"/>
        </w:tabs>
        <w:suppressAutoHyphens/>
        <w:ind w:left="1134" w:hanging="567"/>
        <w:rPr>
          <w:iCs/>
          <w:spacing w:val="-3"/>
        </w:rPr>
      </w:pPr>
      <w:r w:rsidRPr="004068F6">
        <w:rPr>
          <w:iCs/>
          <w:spacing w:val="-3"/>
        </w:rPr>
        <w:t>5 metros para escala 1:25.000</w:t>
      </w:r>
    </w:p>
    <w:p w14:paraId="7585F272" w14:textId="77777777" w:rsidR="00CE1F87" w:rsidRPr="004068F6" w:rsidRDefault="00CE1F87" w:rsidP="00127BD4">
      <w:pPr>
        <w:tabs>
          <w:tab w:val="left" w:pos="-2268"/>
        </w:tabs>
        <w:suppressAutoHyphens/>
        <w:rPr>
          <w:iCs/>
          <w:spacing w:val="-3"/>
        </w:rPr>
      </w:pPr>
    </w:p>
    <w:p w14:paraId="4192B6E2" w14:textId="7851CF2D" w:rsidR="00CE1F87" w:rsidRPr="004068F6" w:rsidRDefault="00CE1F87" w:rsidP="00127BD4">
      <w:pPr>
        <w:numPr>
          <w:ilvl w:val="1"/>
          <w:numId w:val="40"/>
        </w:numPr>
        <w:tabs>
          <w:tab w:val="left" w:pos="-2268"/>
        </w:tabs>
        <w:suppressAutoHyphens/>
        <w:ind w:left="1134" w:hanging="567"/>
        <w:rPr>
          <w:iCs/>
          <w:spacing w:val="-3"/>
        </w:rPr>
      </w:pPr>
      <w:r w:rsidRPr="004068F6">
        <w:rPr>
          <w:iCs/>
          <w:spacing w:val="-3"/>
        </w:rPr>
        <w:t>2,5 metros para escala 1:10.000</w:t>
      </w:r>
    </w:p>
    <w:p w14:paraId="4EAF9921" w14:textId="77777777" w:rsidR="00CE1F87" w:rsidRPr="004068F6" w:rsidRDefault="00CE1F87" w:rsidP="00127BD4">
      <w:pPr>
        <w:tabs>
          <w:tab w:val="left" w:pos="-2268"/>
        </w:tabs>
        <w:suppressAutoHyphens/>
        <w:rPr>
          <w:iCs/>
          <w:spacing w:val="-3"/>
        </w:rPr>
      </w:pPr>
    </w:p>
    <w:p w14:paraId="347ED0D9" w14:textId="38D496F2" w:rsidR="00CE1F87" w:rsidRPr="004068F6" w:rsidRDefault="00CE1F87" w:rsidP="00127BD4">
      <w:pPr>
        <w:numPr>
          <w:ilvl w:val="1"/>
          <w:numId w:val="40"/>
        </w:numPr>
        <w:tabs>
          <w:tab w:val="left" w:pos="-2268"/>
        </w:tabs>
        <w:suppressAutoHyphens/>
        <w:ind w:left="1134" w:hanging="567"/>
        <w:rPr>
          <w:iCs/>
          <w:spacing w:val="-3"/>
        </w:rPr>
      </w:pPr>
      <w:r w:rsidRPr="004068F6">
        <w:rPr>
          <w:iCs/>
          <w:spacing w:val="-3"/>
        </w:rPr>
        <w:t>0,8 metros para escala 1:5.000</w:t>
      </w:r>
    </w:p>
    <w:p w14:paraId="001ED905" w14:textId="77777777" w:rsidR="00CE1F87" w:rsidRPr="00127BD4" w:rsidRDefault="00CE1F87" w:rsidP="00127BD4">
      <w:pPr>
        <w:rPr>
          <w:spacing w:val="-3"/>
        </w:rPr>
      </w:pPr>
    </w:p>
    <w:p w14:paraId="6670DEDB" w14:textId="65EC4924" w:rsidR="00F61C44" w:rsidRPr="004068F6" w:rsidRDefault="00CE1F87" w:rsidP="00127BD4">
      <w:pPr>
        <w:pStyle w:val="Prrafodelista"/>
        <w:suppressAutoHyphens/>
        <w:ind w:left="567"/>
        <w:rPr>
          <w:spacing w:val="-3"/>
          <w:lang w:val="es-CO"/>
        </w:rPr>
      </w:pPr>
      <w:r w:rsidRPr="004068F6">
        <w:rPr>
          <w:spacing w:val="-3"/>
          <w:lang w:val="es-CO"/>
        </w:rPr>
        <w:t>Estas resoluciones aseguran una representación adecuada del territorio en función del nivel de detalle esperado para cada escala.</w:t>
      </w:r>
    </w:p>
    <w:p w14:paraId="289930B5" w14:textId="77777777" w:rsidR="00F61C44" w:rsidRPr="004068F6" w:rsidRDefault="00F61C44" w:rsidP="009420F5">
      <w:pPr>
        <w:tabs>
          <w:tab w:val="left" w:pos="-2268"/>
        </w:tabs>
        <w:suppressAutoHyphens/>
        <w:rPr>
          <w:spacing w:val="-3"/>
        </w:rPr>
      </w:pPr>
    </w:p>
    <w:p w14:paraId="228CEDDA" w14:textId="407E699E" w:rsidR="00A101A4" w:rsidRPr="004068F6" w:rsidRDefault="00F61C44" w:rsidP="000D6E21">
      <w:pPr>
        <w:pStyle w:val="Prrafodelista"/>
        <w:numPr>
          <w:ilvl w:val="0"/>
          <w:numId w:val="29"/>
        </w:numPr>
        <w:suppressAutoHyphens/>
        <w:ind w:left="567" w:hanging="567"/>
        <w:rPr>
          <w:spacing w:val="-3"/>
          <w:lang w:val="es-CO"/>
        </w:rPr>
      </w:pPr>
      <w:r w:rsidRPr="00127BD4">
        <w:rPr>
          <w:spacing w:val="-3"/>
          <w:lang w:val="es-CO"/>
        </w:rPr>
        <w:t>O</w:t>
      </w:r>
      <w:r w:rsidR="00A101A4" w:rsidRPr="00127BD4">
        <w:rPr>
          <w:spacing w:val="-3"/>
          <w:lang w:val="es-CO"/>
        </w:rPr>
        <w:t xml:space="preserve">portunidad </w:t>
      </w:r>
      <w:r w:rsidRPr="00127BD4">
        <w:rPr>
          <w:spacing w:val="-3"/>
          <w:lang w:val="es-CO"/>
        </w:rPr>
        <w:t>máxim</w:t>
      </w:r>
      <w:r w:rsidR="002A6838" w:rsidRPr="00127BD4">
        <w:rPr>
          <w:spacing w:val="-3"/>
          <w:lang w:val="es-CO"/>
        </w:rPr>
        <w:t>a</w:t>
      </w:r>
      <w:r w:rsidRPr="00127BD4">
        <w:rPr>
          <w:spacing w:val="-3"/>
          <w:lang w:val="es-CO"/>
        </w:rPr>
        <w:t xml:space="preserve"> de </w:t>
      </w:r>
      <w:r w:rsidR="00A101A4" w:rsidRPr="00127BD4">
        <w:rPr>
          <w:spacing w:val="-3"/>
          <w:lang w:val="es-CO"/>
        </w:rPr>
        <w:t>tres (3) años</w:t>
      </w:r>
      <w:r w:rsidRPr="00127BD4">
        <w:rPr>
          <w:spacing w:val="-3"/>
          <w:lang w:val="es-CO"/>
        </w:rPr>
        <w:t>;</w:t>
      </w:r>
      <w:r w:rsidR="00A101A4" w:rsidRPr="00127BD4">
        <w:rPr>
          <w:spacing w:val="-3"/>
          <w:lang w:val="es-CO"/>
        </w:rPr>
        <w:t xml:space="preserve"> es decir, el periodo de tiempo que transcurre entre la ocurrencia del fenómeno o característica que describe las imágenes y el momento en el que se presenta la información a la autoridad ambiental, no debe superar los tres (3) años</w:t>
      </w:r>
      <w:r w:rsidRPr="00127BD4">
        <w:rPr>
          <w:spacing w:val="-3"/>
          <w:lang w:val="es-CO"/>
        </w:rPr>
        <w:t>.</w:t>
      </w:r>
      <w:r w:rsidR="00A101A4" w:rsidRPr="00127BD4">
        <w:rPr>
          <w:spacing w:val="-3"/>
          <w:lang w:val="es-CO"/>
        </w:rPr>
        <w:t xml:space="preserve"> </w:t>
      </w:r>
      <w:r w:rsidRPr="00127BD4">
        <w:rPr>
          <w:spacing w:val="-3"/>
          <w:lang w:val="es-CO"/>
        </w:rPr>
        <w:t>E</w:t>
      </w:r>
      <w:r w:rsidR="00A101A4" w:rsidRPr="00127BD4">
        <w:rPr>
          <w:spacing w:val="-3"/>
          <w:lang w:val="es-CO"/>
        </w:rPr>
        <w:t xml:space="preserve">n caso de no encontrar insumos para la zona de estudio con esta característica, es posible utilizar información menos oportuna, siempre y cuando se argumente y demuestre apropiadamente las razones por las cuales no se utiliza información más </w:t>
      </w:r>
      <w:r w:rsidR="00E24C49" w:rsidRPr="004068F6">
        <w:rPr>
          <w:spacing w:val="-3"/>
          <w:lang w:val="es-CO"/>
        </w:rPr>
        <w:t>reciente</w:t>
      </w:r>
      <w:r w:rsidR="00A101A4" w:rsidRPr="004068F6">
        <w:rPr>
          <w:spacing w:val="-3"/>
          <w:lang w:val="es-CO"/>
        </w:rPr>
        <w:t>.</w:t>
      </w:r>
    </w:p>
    <w:p w14:paraId="138D92F3" w14:textId="77777777" w:rsidR="00A101A4" w:rsidRPr="004068F6" w:rsidRDefault="00A101A4">
      <w:pPr>
        <w:numPr>
          <w:ilvl w:val="12"/>
          <w:numId w:val="0"/>
        </w:numPr>
        <w:tabs>
          <w:tab w:val="left" w:pos="-2268"/>
        </w:tabs>
        <w:suppressAutoHyphens/>
        <w:rPr>
          <w:spacing w:val="-3"/>
        </w:rPr>
      </w:pPr>
    </w:p>
    <w:p w14:paraId="394B2415" w14:textId="77777777" w:rsidR="00A101A4" w:rsidRPr="004068F6" w:rsidRDefault="00A101A4">
      <w:pPr>
        <w:numPr>
          <w:ilvl w:val="12"/>
          <w:numId w:val="0"/>
        </w:numPr>
        <w:tabs>
          <w:tab w:val="left" w:pos="-2268"/>
        </w:tabs>
        <w:suppressAutoHyphens/>
        <w:rPr>
          <w:spacing w:val="-3"/>
        </w:rPr>
      </w:pPr>
      <w:r w:rsidRPr="004068F6">
        <w:rPr>
          <w:spacing w:val="-3"/>
        </w:rPr>
        <w:t>Esta información debe tener el mismo sistema de coordenadas que el que presente la información vector (temática y base).</w:t>
      </w:r>
    </w:p>
    <w:p w14:paraId="12B40F20" w14:textId="77777777" w:rsidR="00A101A4" w:rsidRPr="004068F6" w:rsidRDefault="00A101A4">
      <w:pPr>
        <w:numPr>
          <w:ilvl w:val="12"/>
          <w:numId w:val="0"/>
        </w:numPr>
        <w:tabs>
          <w:tab w:val="left" w:pos="-2268"/>
        </w:tabs>
        <w:suppressAutoHyphens/>
        <w:rPr>
          <w:spacing w:val="-3"/>
        </w:rPr>
      </w:pPr>
    </w:p>
    <w:p w14:paraId="20B4FBC5" w14:textId="77777777" w:rsidR="00A101A4" w:rsidRPr="004068F6" w:rsidRDefault="00A101A4" w:rsidP="009420F5">
      <w:pPr>
        <w:pStyle w:val="Ttulo2"/>
        <w:rPr>
          <w:lang w:val="es-CO"/>
        </w:rPr>
      </w:pPr>
      <w:bookmarkStart w:id="1978" w:name="_Toc42353722"/>
      <w:bookmarkStart w:id="1979" w:name="_Toc230879569"/>
      <w:r w:rsidRPr="004068F6">
        <w:rPr>
          <w:lang w:val="es-CO"/>
        </w:rPr>
        <w:t>ENTREGA DE INFORMACIÓN GEOGRÁFICA Y CARTOGRÁFICA</w:t>
      </w:r>
      <w:bookmarkEnd w:id="1978"/>
      <w:bookmarkEnd w:id="1979"/>
    </w:p>
    <w:p w14:paraId="5A2B706F" w14:textId="77777777" w:rsidR="00A101A4" w:rsidRPr="004068F6" w:rsidRDefault="00A101A4" w:rsidP="00C86DA5">
      <w:pPr>
        <w:overflowPunct/>
        <w:autoSpaceDE/>
        <w:autoSpaceDN/>
        <w:adjustRightInd/>
        <w:textAlignment w:val="auto"/>
        <w:rPr>
          <w:spacing w:val="-3"/>
        </w:rPr>
      </w:pPr>
    </w:p>
    <w:p w14:paraId="4F85312F" w14:textId="0081FC2C" w:rsidR="00A101A4" w:rsidRPr="004068F6" w:rsidRDefault="00A101A4">
      <w:pPr>
        <w:overflowPunct/>
        <w:autoSpaceDE/>
        <w:autoSpaceDN/>
        <w:adjustRightInd/>
        <w:textAlignment w:val="auto"/>
        <w:rPr>
          <w:spacing w:val="-3"/>
        </w:rPr>
      </w:pPr>
      <w:r w:rsidRPr="004068F6">
        <w:rPr>
          <w:spacing w:val="-3"/>
        </w:rPr>
        <w:t>Se debe entregar como parte integral del documento la información geográfica y cartográfica del proyecto</w:t>
      </w:r>
      <w:r w:rsidR="00F32AC0" w:rsidRPr="004068F6">
        <w:rPr>
          <w:spacing w:val="-3"/>
        </w:rPr>
        <w:t>, obra o actividad</w:t>
      </w:r>
      <w:r w:rsidRPr="004068F6">
        <w:rPr>
          <w:spacing w:val="-3"/>
        </w:rPr>
        <w:t xml:space="preserve"> de la siguiente manera:</w:t>
      </w:r>
    </w:p>
    <w:p w14:paraId="43BCB044" w14:textId="77777777" w:rsidR="00A101A4" w:rsidRPr="004068F6" w:rsidRDefault="00A101A4">
      <w:pPr>
        <w:overflowPunct/>
        <w:autoSpaceDE/>
        <w:autoSpaceDN/>
        <w:adjustRightInd/>
        <w:textAlignment w:val="auto"/>
        <w:rPr>
          <w:spacing w:val="-3"/>
        </w:rPr>
      </w:pPr>
    </w:p>
    <w:p w14:paraId="38C2F287" w14:textId="302F721A" w:rsidR="00A101A4" w:rsidRPr="004068F6" w:rsidRDefault="00A101A4" w:rsidP="00C86DA5">
      <w:pPr>
        <w:numPr>
          <w:ilvl w:val="0"/>
          <w:numId w:val="30"/>
        </w:numPr>
        <w:overflowPunct/>
        <w:autoSpaceDE/>
        <w:autoSpaceDN/>
        <w:adjustRightInd/>
        <w:ind w:left="567" w:hanging="567"/>
        <w:textAlignment w:val="auto"/>
        <w:rPr>
          <w:spacing w:val="-3"/>
        </w:rPr>
      </w:pPr>
      <w:r w:rsidRPr="004068F6">
        <w:rPr>
          <w:spacing w:val="-3"/>
        </w:rPr>
        <w:t>Una carpeta con los archivos geográficos (</w:t>
      </w:r>
      <w:r w:rsidRPr="004068F6">
        <w:rPr>
          <w:rFonts w:cs="Arial"/>
          <w:spacing w:val="-3"/>
        </w:rPr>
        <w:t>Shapefile, GeoPackage</w:t>
      </w:r>
      <w:r w:rsidRPr="004068F6">
        <w:rPr>
          <w:spacing w:val="-3"/>
        </w:rPr>
        <w:t xml:space="preserve"> o </w:t>
      </w:r>
      <w:r w:rsidRPr="004068F6">
        <w:rPr>
          <w:rFonts w:cs="Arial"/>
          <w:spacing w:val="-3"/>
        </w:rPr>
        <w:t>Geodatabase de archivos</w:t>
      </w:r>
      <w:r w:rsidRPr="004068F6">
        <w:rPr>
          <w:spacing w:val="-3"/>
        </w:rPr>
        <w:t xml:space="preserve">) de la cartografía base según el modelo de datos del IGAC y la cartografía temática según </w:t>
      </w:r>
      <w:r w:rsidRPr="004068F6">
        <w:rPr>
          <w:rFonts w:cs="Arial"/>
          <w:spacing w:val="-3"/>
        </w:rPr>
        <w:t xml:space="preserve">el </w:t>
      </w:r>
      <w:r w:rsidRPr="004068F6">
        <w:rPr>
          <w:spacing w:val="-3"/>
        </w:rPr>
        <w:t xml:space="preserve">modelo de </w:t>
      </w:r>
      <w:r w:rsidRPr="004068F6">
        <w:rPr>
          <w:rFonts w:cs="Arial"/>
          <w:spacing w:val="-3"/>
        </w:rPr>
        <w:t>almacenamiento geográfico establecido en</w:t>
      </w:r>
      <w:r w:rsidRPr="004068F6">
        <w:rPr>
          <w:spacing w:val="-3"/>
        </w:rPr>
        <w:t xml:space="preserve"> la </w:t>
      </w:r>
      <w:r w:rsidR="00E40C98" w:rsidRPr="004068F6">
        <w:rPr>
          <w:spacing w:val="-3"/>
        </w:rPr>
        <w:t>R</w:t>
      </w:r>
      <w:r w:rsidRPr="004068F6">
        <w:rPr>
          <w:spacing w:val="-3"/>
        </w:rPr>
        <w:t>esolución 2182 de 2016 o aquella que la modifique</w:t>
      </w:r>
      <w:r w:rsidRPr="004068F6">
        <w:rPr>
          <w:rFonts w:cs="Arial"/>
          <w:spacing w:val="-3"/>
        </w:rPr>
        <w:t xml:space="preserve"> o</w:t>
      </w:r>
      <w:r w:rsidRPr="004068F6">
        <w:rPr>
          <w:spacing w:val="-3"/>
        </w:rPr>
        <w:t xml:space="preserve"> sustituya</w:t>
      </w:r>
      <w:r w:rsidRPr="004068F6">
        <w:rPr>
          <w:rFonts w:cs="Arial"/>
          <w:spacing w:val="-3"/>
        </w:rPr>
        <w:t xml:space="preserve">. </w:t>
      </w:r>
      <w:r w:rsidR="007E7041" w:rsidRPr="004068F6">
        <w:rPr>
          <w:rFonts w:cs="Arial"/>
          <w:spacing w:val="-3"/>
        </w:rPr>
        <w:t>Asimismo, se debe entregar</w:t>
      </w:r>
      <w:r w:rsidRPr="004068F6">
        <w:rPr>
          <w:spacing w:val="-3"/>
        </w:rPr>
        <w:t xml:space="preserve"> un archivo </w:t>
      </w:r>
      <w:r w:rsidRPr="004068F6">
        <w:rPr>
          <w:i/>
          <w:spacing w:val="-3"/>
        </w:rPr>
        <w:t>léame</w:t>
      </w:r>
      <w:r w:rsidRPr="004068F6">
        <w:rPr>
          <w:spacing w:val="-3"/>
        </w:rPr>
        <w:t xml:space="preserve">, con la información que se considere relevante </w:t>
      </w:r>
      <w:r w:rsidR="00467CE5" w:rsidRPr="004068F6">
        <w:rPr>
          <w:spacing w:val="-3"/>
        </w:rPr>
        <w:t xml:space="preserve">referida a </w:t>
      </w:r>
      <w:r w:rsidRPr="004068F6">
        <w:rPr>
          <w:spacing w:val="-3"/>
        </w:rPr>
        <w:t>justificaciones</w:t>
      </w:r>
      <w:r w:rsidR="00467CE5" w:rsidRPr="004068F6">
        <w:rPr>
          <w:spacing w:val="-3"/>
        </w:rPr>
        <w:t xml:space="preserve"> o aclaraciones</w:t>
      </w:r>
      <w:r w:rsidRPr="004068F6">
        <w:rPr>
          <w:spacing w:val="-3"/>
        </w:rPr>
        <w:t xml:space="preserve"> en el diligenciamiento de la </w:t>
      </w:r>
      <w:r w:rsidRPr="004068F6">
        <w:rPr>
          <w:rFonts w:cs="Arial"/>
          <w:spacing w:val="-3"/>
        </w:rPr>
        <w:t>base de datos geográfica</w:t>
      </w:r>
      <w:r w:rsidRPr="004068F6">
        <w:rPr>
          <w:spacing w:val="-3"/>
        </w:rPr>
        <w:t>.</w:t>
      </w:r>
    </w:p>
    <w:p w14:paraId="29DEE602" w14:textId="77777777" w:rsidR="00A101A4" w:rsidRPr="004068F6" w:rsidRDefault="00A101A4">
      <w:pPr>
        <w:overflowPunct/>
        <w:autoSpaceDE/>
        <w:autoSpaceDN/>
        <w:adjustRightInd/>
        <w:textAlignment w:val="auto"/>
        <w:rPr>
          <w:spacing w:val="-3"/>
        </w:rPr>
      </w:pPr>
    </w:p>
    <w:p w14:paraId="672AA0B5" w14:textId="1E8615CA" w:rsidR="00A101A4" w:rsidRPr="004068F6" w:rsidRDefault="00A101A4" w:rsidP="00E24C49">
      <w:pPr>
        <w:numPr>
          <w:ilvl w:val="0"/>
          <w:numId w:val="30"/>
        </w:numPr>
        <w:overflowPunct/>
        <w:autoSpaceDE/>
        <w:autoSpaceDN/>
        <w:adjustRightInd/>
        <w:ind w:left="567" w:hanging="567"/>
        <w:textAlignment w:val="auto"/>
        <w:rPr>
          <w:spacing w:val="-3"/>
        </w:rPr>
      </w:pPr>
      <w:r w:rsidRPr="004068F6">
        <w:rPr>
          <w:spacing w:val="-3"/>
        </w:rPr>
        <w:t>Una carpeta con los insumos utilizados en la elaboración de la cartografía (</w:t>
      </w:r>
      <w:r w:rsidR="00041844" w:rsidRPr="004068F6">
        <w:rPr>
          <w:spacing w:val="-3"/>
        </w:rPr>
        <w:t>p. ej.</w:t>
      </w:r>
      <w:r w:rsidR="00D27114" w:rsidRPr="004068F6">
        <w:rPr>
          <w:spacing w:val="-3"/>
        </w:rPr>
        <w:t xml:space="preserve"> </w:t>
      </w:r>
      <w:r w:rsidRPr="004068F6">
        <w:rPr>
          <w:spacing w:val="-3"/>
        </w:rPr>
        <w:t xml:space="preserve">imágenes de sensores remotos, planchas IGAC, </w:t>
      </w:r>
      <w:r w:rsidR="00D27114" w:rsidRPr="004068F6">
        <w:rPr>
          <w:spacing w:val="-3"/>
        </w:rPr>
        <w:t xml:space="preserve">y </w:t>
      </w:r>
      <w:r w:rsidRPr="004068F6">
        <w:rPr>
          <w:spacing w:val="-3"/>
        </w:rPr>
        <w:t>planos de POT</w:t>
      </w:r>
      <w:r w:rsidR="00D27114" w:rsidRPr="004068F6">
        <w:rPr>
          <w:spacing w:val="-3"/>
        </w:rPr>
        <w:t xml:space="preserve"> </w:t>
      </w:r>
      <w:r w:rsidR="00E40C98" w:rsidRPr="004068F6">
        <w:rPr>
          <w:spacing w:val="-3"/>
        </w:rPr>
        <w:t>o</w:t>
      </w:r>
      <w:r w:rsidRPr="004068F6">
        <w:rPr>
          <w:spacing w:val="-3"/>
        </w:rPr>
        <w:t xml:space="preserve"> </w:t>
      </w:r>
      <w:r w:rsidR="003C70CD" w:rsidRPr="004068F6">
        <w:rPr>
          <w:spacing w:val="-3"/>
        </w:rPr>
        <w:t>Pomca</w:t>
      </w:r>
      <w:r w:rsidRPr="004068F6">
        <w:rPr>
          <w:spacing w:val="-3"/>
        </w:rPr>
        <w:t>).</w:t>
      </w:r>
    </w:p>
    <w:p w14:paraId="6964329E" w14:textId="77777777" w:rsidR="00A101A4" w:rsidRPr="004068F6" w:rsidRDefault="00A101A4">
      <w:pPr>
        <w:overflowPunct/>
        <w:autoSpaceDE/>
        <w:autoSpaceDN/>
        <w:adjustRightInd/>
        <w:textAlignment w:val="auto"/>
        <w:rPr>
          <w:spacing w:val="-3"/>
        </w:rPr>
      </w:pPr>
    </w:p>
    <w:p w14:paraId="43F6C2B2" w14:textId="4325FD41" w:rsidR="00A101A4" w:rsidRPr="004068F6" w:rsidRDefault="00A101A4" w:rsidP="00E24C49">
      <w:pPr>
        <w:numPr>
          <w:ilvl w:val="0"/>
          <w:numId w:val="30"/>
        </w:numPr>
        <w:overflowPunct/>
        <w:autoSpaceDE/>
        <w:autoSpaceDN/>
        <w:adjustRightInd/>
        <w:ind w:left="567" w:hanging="567"/>
        <w:textAlignment w:val="auto"/>
        <w:rPr>
          <w:spacing w:val="-3"/>
        </w:rPr>
      </w:pPr>
      <w:r w:rsidRPr="004068F6">
        <w:rPr>
          <w:spacing w:val="-3"/>
        </w:rPr>
        <w:t xml:space="preserve">Una carpeta con los metadatos documentales y geográficos </w:t>
      </w:r>
      <w:r w:rsidR="005317BD" w:rsidRPr="004068F6">
        <w:rPr>
          <w:spacing w:val="-3"/>
        </w:rPr>
        <w:t xml:space="preserve">creados en </w:t>
      </w:r>
      <w:r w:rsidRPr="004068F6">
        <w:rPr>
          <w:spacing w:val="-3"/>
        </w:rPr>
        <w:t>la plantilla de metadato dispuesta en la página Web de la ANLA.</w:t>
      </w:r>
    </w:p>
    <w:p w14:paraId="6C9804B2" w14:textId="77777777" w:rsidR="00A101A4" w:rsidRPr="004068F6" w:rsidRDefault="00A101A4">
      <w:pPr>
        <w:overflowPunct/>
        <w:autoSpaceDE/>
        <w:autoSpaceDN/>
        <w:adjustRightInd/>
        <w:textAlignment w:val="auto"/>
        <w:rPr>
          <w:spacing w:val="-3"/>
        </w:rPr>
      </w:pPr>
    </w:p>
    <w:p w14:paraId="1EF91F4C" w14:textId="54D70BE6" w:rsidR="00A101A4" w:rsidRPr="004068F6" w:rsidRDefault="00A101A4" w:rsidP="00E24C49">
      <w:pPr>
        <w:numPr>
          <w:ilvl w:val="0"/>
          <w:numId w:val="30"/>
        </w:numPr>
        <w:overflowPunct/>
        <w:autoSpaceDE/>
        <w:autoSpaceDN/>
        <w:adjustRightInd/>
        <w:ind w:left="567" w:hanging="567"/>
        <w:textAlignment w:val="auto"/>
        <w:rPr>
          <w:spacing w:val="-3"/>
        </w:rPr>
      </w:pPr>
      <w:r w:rsidRPr="004068F6">
        <w:rPr>
          <w:spacing w:val="-3"/>
        </w:rPr>
        <w:t xml:space="preserve">Una carpeta con los mapas </w:t>
      </w:r>
      <w:r w:rsidR="005317BD" w:rsidRPr="004068F6">
        <w:rPr>
          <w:spacing w:val="-3"/>
        </w:rPr>
        <w:t xml:space="preserve">del estudio ambiental </w:t>
      </w:r>
      <w:r w:rsidRPr="004068F6">
        <w:rPr>
          <w:spacing w:val="-3"/>
        </w:rPr>
        <w:t>en formato pdf.</w:t>
      </w:r>
    </w:p>
    <w:p w14:paraId="5632592F" w14:textId="77777777" w:rsidR="00A101A4" w:rsidRPr="004068F6" w:rsidRDefault="00A101A4">
      <w:pPr>
        <w:overflowPunct/>
        <w:autoSpaceDE/>
        <w:autoSpaceDN/>
        <w:adjustRightInd/>
        <w:textAlignment w:val="auto"/>
        <w:rPr>
          <w:spacing w:val="-3"/>
        </w:rPr>
      </w:pPr>
    </w:p>
    <w:p w14:paraId="64945137" w14:textId="027E8FD1" w:rsidR="00A101A4" w:rsidRPr="004068F6" w:rsidRDefault="00A101A4" w:rsidP="00E24C49">
      <w:pPr>
        <w:numPr>
          <w:ilvl w:val="0"/>
          <w:numId w:val="30"/>
        </w:numPr>
        <w:overflowPunct/>
        <w:autoSpaceDE/>
        <w:autoSpaceDN/>
        <w:adjustRightInd/>
        <w:ind w:left="567" w:hanging="567"/>
        <w:textAlignment w:val="auto"/>
        <w:rPr>
          <w:spacing w:val="-3"/>
        </w:rPr>
      </w:pPr>
      <w:r w:rsidRPr="004068F6">
        <w:rPr>
          <w:spacing w:val="-3"/>
        </w:rPr>
        <w:t xml:space="preserve">Una carpeta con las plantillas utilizadas para la elaboración de cada uno de los mapas presentados (archivos </w:t>
      </w:r>
      <w:r w:rsidR="00F31DF0" w:rsidRPr="004068F6">
        <w:rPr>
          <w:spacing w:val="-3"/>
        </w:rPr>
        <w:t xml:space="preserve">aprx, </w:t>
      </w:r>
      <w:r w:rsidRPr="004068F6">
        <w:rPr>
          <w:spacing w:val="-3"/>
        </w:rPr>
        <w:t>mxd, gvsproj, qgz o qsg). En caso de no entregar las plantillas, se debe entregar una carpeta con los archivos de simbología de las capas (archivos lyr, qml, gvsleg o sld).</w:t>
      </w:r>
    </w:p>
    <w:p w14:paraId="28FC8F76" w14:textId="77777777" w:rsidR="00A101A4" w:rsidRPr="004068F6" w:rsidRDefault="00A101A4">
      <w:pPr>
        <w:overflowPunct/>
        <w:autoSpaceDE/>
        <w:autoSpaceDN/>
        <w:adjustRightInd/>
        <w:textAlignment w:val="auto"/>
        <w:rPr>
          <w:spacing w:val="-3"/>
        </w:rPr>
      </w:pPr>
    </w:p>
    <w:p w14:paraId="7C186B98" w14:textId="77777777" w:rsidR="00A101A4" w:rsidRPr="004068F6" w:rsidRDefault="00A101A4">
      <w:pPr>
        <w:overflowPunct/>
        <w:autoSpaceDE/>
        <w:autoSpaceDN/>
        <w:adjustRightInd/>
        <w:textAlignment w:val="auto"/>
        <w:rPr>
          <w:spacing w:val="-3"/>
        </w:rPr>
      </w:pPr>
      <w:r w:rsidRPr="004068F6">
        <w:rPr>
          <w:spacing w:val="-3"/>
        </w:rPr>
        <w:t>Para la presentación de la cartografía se debe verificar que ésta contenga como mínimo los elementos que se mencionan a continuación:</w:t>
      </w:r>
    </w:p>
    <w:p w14:paraId="4FE49C3B" w14:textId="77777777" w:rsidR="00A101A4" w:rsidRPr="004068F6" w:rsidRDefault="00A101A4">
      <w:pPr>
        <w:overflowPunct/>
        <w:autoSpaceDE/>
        <w:autoSpaceDN/>
        <w:adjustRightInd/>
        <w:textAlignment w:val="auto"/>
        <w:rPr>
          <w:spacing w:val="-3"/>
        </w:rPr>
      </w:pPr>
    </w:p>
    <w:p w14:paraId="104A6093" w14:textId="70AD982F" w:rsidR="00A101A4" w:rsidRPr="004068F6" w:rsidRDefault="00A101A4" w:rsidP="00C86DA5">
      <w:pPr>
        <w:numPr>
          <w:ilvl w:val="0"/>
          <w:numId w:val="5"/>
        </w:numPr>
        <w:overflowPunct/>
        <w:autoSpaceDE/>
        <w:autoSpaceDN/>
        <w:adjustRightInd/>
        <w:ind w:left="567" w:hanging="567"/>
        <w:textAlignment w:val="auto"/>
        <w:rPr>
          <w:spacing w:val="-3"/>
        </w:rPr>
      </w:pPr>
      <w:r w:rsidRPr="004068F6">
        <w:rPr>
          <w:spacing w:val="-3"/>
        </w:rPr>
        <w:t>Localización político-administrativa del proyecto</w:t>
      </w:r>
      <w:r w:rsidR="00F32AC0" w:rsidRPr="004068F6">
        <w:rPr>
          <w:spacing w:val="-3"/>
        </w:rPr>
        <w:t>, obra o actividad</w:t>
      </w:r>
      <w:r w:rsidRPr="004068F6">
        <w:rPr>
          <w:spacing w:val="-3"/>
        </w:rPr>
        <w:t xml:space="preserve"> hasta el nivel municipal.</w:t>
      </w:r>
    </w:p>
    <w:p w14:paraId="1067926A" w14:textId="77777777" w:rsidR="00A101A4" w:rsidRPr="004068F6" w:rsidRDefault="00A101A4">
      <w:pPr>
        <w:overflowPunct/>
        <w:autoSpaceDE/>
        <w:autoSpaceDN/>
        <w:adjustRightInd/>
        <w:textAlignment w:val="auto"/>
        <w:rPr>
          <w:spacing w:val="-3"/>
        </w:rPr>
      </w:pPr>
    </w:p>
    <w:p w14:paraId="7068AA05" w14:textId="65211E34" w:rsidR="00A101A4" w:rsidRPr="004068F6" w:rsidRDefault="00A101A4" w:rsidP="000D6E21">
      <w:pPr>
        <w:numPr>
          <w:ilvl w:val="0"/>
          <w:numId w:val="30"/>
        </w:numPr>
        <w:overflowPunct/>
        <w:autoSpaceDE/>
        <w:autoSpaceDN/>
        <w:adjustRightInd/>
        <w:ind w:left="567" w:hanging="567"/>
        <w:textAlignment w:val="auto"/>
        <w:rPr>
          <w:spacing w:val="-3"/>
        </w:rPr>
      </w:pPr>
      <w:r w:rsidRPr="004068F6">
        <w:rPr>
          <w:spacing w:val="-3"/>
        </w:rPr>
        <w:t xml:space="preserve">Fuente de información de la cartográfica básica </w:t>
      </w:r>
      <w:r w:rsidR="005317BD" w:rsidRPr="004068F6">
        <w:rPr>
          <w:spacing w:val="-3"/>
        </w:rPr>
        <w:t>(</w:t>
      </w:r>
      <w:r w:rsidR="00041844" w:rsidRPr="004068F6">
        <w:rPr>
          <w:spacing w:val="-3"/>
        </w:rPr>
        <w:t>p. ej.</w:t>
      </w:r>
      <w:r w:rsidRPr="004068F6">
        <w:rPr>
          <w:spacing w:val="-3"/>
        </w:rPr>
        <w:t xml:space="preserve"> número de planchas IGAC</w:t>
      </w:r>
      <w:r w:rsidR="005317BD" w:rsidRPr="004068F6">
        <w:rPr>
          <w:spacing w:val="-3"/>
        </w:rPr>
        <w:t>)</w:t>
      </w:r>
      <w:r w:rsidRPr="004068F6">
        <w:rPr>
          <w:spacing w:val="-3"/>
        </w:rPr>
        <w:t>.</w:t>
      </w:r>
    </w:p>
    <w:p w14:paraId="7A4F86E3" w14:textId="77777777" w:rsidR="00A101A4" w:rsidRPr="004068F6" w:rsidRDefault="00A101A4">
      <w:pPr>
        <w:overflowPunct/>
        <w:autoSpaceDE/>
        <w:autoSpaceDN/>
        <w:adjustRightInd/>
        <w:textAlignment w:val="auto"/>
        <w:rPr>
          <w:spacing w:val="-3"/>
        </w:rPr>
      </w:pPr>
    </w:p>
    <w:p w14:paraId="57F6A315" w14:textId="1C45E80F" w:rsidR="00A101A4" w:rsidRPr="004068F6" w:rsidRDefault="00A101A4" w:rsidP="000D6E21">
      <w:pPr>
        <w:numPr>
          <w:ilvl w:val="0"/>
          <w:numId w:val="30"/>
        </w:numPr>
        <w:overflowPunct/>
        <w:autoSpaceDE/>
        <w:autoSpaceDN/>
        <w:adjustRightInd/>
        <w:ind w:left="567" w:hanging="567"/>
        <w:textAlignment w:val="auto"/>
        <w:rPr>
          <w:spacing w:val="-3"/>
        </w:rPr>
      </w:pPr>
      <w:r w:rsidRPr="004068F6">
        <w:rPr>
          <w:spacing w:val="-3"/>
        </w:rPr>
        <w:t xml:space="preserve">Fuente de información de la cartográfica temática y datos relacionados </w:t>
      </w:r>
      <w:r w:rsidR="005317BD" w:rsidRPr="004068F6">
        <w:rPr>
          <w:spacing w:val="-3"/>
        </w:rPr>
        <w:t>(</w:t>
      </w:r>
      <w:r w:rsidR="00041844" w:rsidRPr="004068F6">
        <w:rPr>
          <w:spacing w:val="-3"/>
        </w:rPr>
        <w:t>p. ej.</w:t>
      </w:r>
      <w:r w:rsidRPr="004068F6">
        <w:rPr>
          <w:spacing w:val="-3"/>
        </w:rPr>
        <w:t xml:space="preserve"> número de fotografía aérea, escala de la fotografía y fecha de interpretación</w:t>
      </w:r>
      <w:r w:rsidR="005317BD" w:rsidRPr="004068F6">
        <w:rPr>
          <w:spacing w:val="-3"/>
        </w:rPr>
        <w:t>)</w:t>
      </w:r>
      <w:r w:rsidRPr="004068F6">
        <w:rPr>
          <w:spacing w:val="-3"/>
        </w:rPr>
        <w:t>.</w:t>
      </w:r>
    </w:p>
    <w:p w14:paraId="2BDB36C5" w14:textId="77777777" w:rsidR="00A101A4" w:rsidRPr="004068F6" w:rsidRDefault="00A101A4">
      <w:pPr>
        <w:overflowPunct/>
        <w:autoSpaceDE/>
        <w:autoSpaceDN/>
        <w:adjustRightInd/>
        <w:textAlignment w:val="auto"/>
        <w:rPr>
          <w:spacing w:val="-3"/>
        </w:rPr>
      </w:pPr>
    </w:p>
    <w:p w14:paraId="13D0EAC0" w14:textId="4CBA4FC8" w:rsidR="00A101A4" w:rsidRPr="004068F6" w:rsidRDefault="00A101A4" w:rsidP="000D6E21">
      <w:pPr>
        <w:numPr>
          <w:ilvl w:val="0"/>
          <w:numId w:val="30"/>
        </w:numPr>
        <w:overflowPunct/>
        <w:autoSpaceDE/>
        <w:autoSpaceDN/>
        <w:adjustRightInd/>
        <w:ind w:left="567" w:hanging="567"/>
        <w:textAlignment w:val="auto"/>
        <w:rPr>
          <w:spacing w:val="-3"/>
        </w:rPr>
      </w:pPr>
      <w:r w:rsidRPr="004068F6">
        <w:rPr>
          <w:spacing w:val="-3"/>
        </w:rPr>
        <w:t>Escala de trabajo y escala de presentación.</w:t>
      </w:r>
    </w:p>
    <w:p w14:paraId="2F50A582" w14:textId="77777777" w:rsidR="00FD15C0" w:rsidRPr="004068F6" w:rsidRDefault="00FD15C0" w:rsidP="00FD15C0">
      <w:pPr>
        <w:overflowPunct/>
        <w:autoSpaceDE/>
        <w:autoSpaceDN/>
        <w:adjustRightInd/>
        <w:textAlignment w:val="auto"/>
        <w:rPr>
          <w:rFonts w:cs="Arial"/>
          <w:spacing w:val="-3"/>
        </w:rPr>
      </w:pPr>
    </w:p>
    <w:p w14:paraId="061C4CC2" w14:textId="29FD608E" w:rsidR="00A101A4" w:rsidRPr="004068F6" w:rsidRDefault="00A101A4" w:rsidP="000D6E21">
      <w:pPr>
        <w:numPr>
          <w:ilvl w:val="0"/>
          <w:numId w:val="30"/>
        </w:numPr>
        <w:overflowPunct/>
        <w:autoSpaceDE/>
        <w:autoSpaceDN/>
        <w:adjustRightInd/>
        <w:ind w:left="567" w:hanging="567"/>
        <w:textAlignment w:val="auto"/>
        <w:rPr>
          <w:spacing w:val="-3"/>
        </w:rPr>
      </w:pPr>
      <w:r w:rsidRPr="004068F6">
        <w:rPr>
          <w:spacing w:val="-3"/>
        </w:rPr>
        <w:t>Fecha de elaboración del proyecto.</w:t>
      </w:r>
    </w:p>
    <w:p w14:paraId="06B96C25" w14:textId="77777777" w:rsidR="00A101A4" w:rsidRPr="004068F6" w:rsidRDefault="00A101A4">
      <w:pPr>
        <w:overflowPunct/>
        <w:autoSpaceDE/>
        <w:autoSpaceDN/>
        <w:adjustRightInd/>
        <w:textAlignment w:val="auto"/>
        <w:rPr>
          <w:spacing w:val="-3"/>
        </w:rPr>
      </w:pPr>
    </w:p>
    <w:p w14:paraId="12768DBA" w14:textId="77777777" w:rsidR="00A101A4" w:rsidRPr="004068F6" w:rsidRDefault="00A101A4" w:rsidP="00C86DA5">
      <w:pPr>
        <w:numPr>
          <w:ilvl w:val="0"/>
          <w:numId w:val="5"/>
        </w:numPr>
        <w:overflowPunct/>
        <w:autoSpaceDE/>
        <w:autoSpaceDN/>
        <w:adjustRightInd/>
        <w:ind w:left="567" w:hanging="567"/>
        <w:textAlignment w:val="auto"/>
        <w:rPr>
          <w:spacing w:val="-3"/>
        </w:rPr>
      </w:pPr>
      <w:r w:rsidRPr="004068F6">
        <w:rPr>
          <w:spacing w:val="-3"/>
        </w:rPr>
        <w:lastRenderedPageBreak/>
        <w:t>Norte.</w:t>
      </w:r>
    </w:p>
    <w:p w14:paraId="6927DA94" w14:textId="77777777" w:rsidR="00A101A4" w:rsidRPr="004068F6" w:rsidRDefault="00A101A4">
      <w:pPr>
        <w:overflowPunct/>
        <w:autoSpaceDE/>
        <w:autoSpaceDN/>
        <w:adjustRightInd/>
        <w:textAlignment w:val="auto"/>
        <w:rPr>
          <w:spacing w:val="-3"/>
        </w:rPr>
      </w:pPr>
    </w:p>
    <w:p w14:paraId="38F960F1" w14:textId="41A740A6" w:rsidR="00A101A4" w:rsidRPr="004068F6" w:rsidRDefault="00AC3830" w:rsidP="000D6E21">
      <w:pPr>
        <w:numPr>
          <w:ilvl w:val="0"/>
          <w:numId w:val="30"/>
        </w:numPr>
        <w:overflowPunct/>
        <w:autoSpaceDE/>
        <w:autoSpaceDN/>
        <w:adjustRightInd/>
        <w:ind w:left="567" w:hanging="567"/>
        <w:textAlignment w:val="auto"/>
        <w:rPr>
          <w:spacing w:val="-3"/>
        </w:rPr>
      </w:pPr>
      <w:r w:rsidRPr="004068F6">
        <w:rPr>
          <w:spacing w:val="-3"/>
        </w:rPr>
        <w:t>Cuadrícula</w:t>
      </w:r>
      <w:r w:rsidR="00A101A4" w:rsidRPr="004068F6">
        <w:rPr>
          <w:spacing w:val="-3"/>
        </w:rPr>
        <w:t xml:space="preserve"> de coordenadas.</w:t>
      </w:r>
    </w:p>
    <w:p w14:paraId="5208DD15" w14:textId="77777777" w:rsidR="00A101A4" w:rsidRPr="004068F6" w:rsidRDefault="00A101A4">
      <w:pPr>
        <w:overflowPunct/>
        <w:autoSpaceDE/>
        <w:autoSpaceDN/>
        <w:adjustRightInd/>
        <w:textAlignment w:val="auto"/>
        <w:rPr>
          <w:spacing w:val="-3"/>
        </w:rPr>
      </w:pPr>
    </w:p>
    <w:p w14:paraId="39165F2C" w14:textId="31C98BDB" w:rsidR="00A101A4" w:rsidRPr="004068F6" w:rsidRDefault="00A101A4" w:rsidP="000D6E21">
      <w:pPr>
        <w:numPr>
          <w:ilvl w:val="0"/>
          <w:numId w:val="30"/>
        </w:numPr>
        <w:overflowPunct/>
        <w:autoSpaceDE/>
        <w:autoSpaceDN/>
        <w:adjustRightInd/>
        <w:ind w:left="567" w:hanging="567"/>
        <w:textAlignment w:val="auto"/>
        <w:rPr>
          <w:spacing w:val="-3"/>
        </w:rPr>
      </w:pPr>
      <w:r w:rsidRPr="004068F6">
        <w:rPr>
          <w:spacing w:val="-3"/>
        </w:rPr>
        <w:t>Sistema de referencia.</w:t>
      </w:r>
    </w:p>
    <w:p w14:paraId="2A4DEE15" w14:textId="77777777" w:rsidR="00A101A4" w:rsidRPr="004068F6" w:rsidRDefault="00A101A4">
      <w:pPr>
        <w:overflowPunct/>
        <w:autoSpaceDE/>
        <w:autoSpaceDN/>
        <w:adjustRightInd/>
        <w:textAlignment w:val="auto"/>
        <w:rPr>
          <w:spacing w:val="-3"/>
        </w:rPr>
      </w:pPr>
    </w:p>
    <w:p w14:paraId="0AB35FF8" w14:textId="57C0DA84" w:rsidR="00A101A4" w:rsidRPr="004068F6" w:rsidRDefault="00A101A4" w:rsidP="000D6E21">
      <w:pPr>
        <w:numPr>
          <w:ilvl w:val="0"/>
          <w:numId w:val="30"/>
        </w:numPr>
        <w:overflowPunct/>
        <w:autoSpaceDE/>
        <w:autoSpaceDN/>
        <w:adjustRightInd/>
        <w:ind w:left="567" w:hanging="567"/>
        <w:textAlignment w:val="auto"/>
        <w:rPr>
          <w:spacing w:val="-3"/>
        </w:rPr>
      </w:pPr>
      <w:r w:rsidRPr="004068F6">
        <w:rPr>
          <w:spacing w:val="-3"/>
        </w:rPr>
        <w:t>Número del mapa.</w:t>
      </w:r>
    </w:p>
    <w:p w14:paraId="1E755362" w14:textId="77777777" w:rsidR="00A101A4" w:rsidRPr="004068F6" w:rsidRDefault="00A101A4">
      <w:pPr>
        <w:overflowPunct/>
        <w:autoSpaceDE/>
        <w:autoSpaceDN/>
        <w:adjustRightInd/>
        <w:textAlignment w:val="auto"/>
        <w:rPr>
          <w:spacing w:val="-3"/>
        </w:rPr>
      </w:pPr>
    </w:p>
    <w:p w14:paraId="160CA97A" w14:textId="38ECB509" w:rsidR="00A101A4" w:rsidRPr="004068F6" w:rsidRDefault="00A101A4" w:rsidP="000D6E21">
      <w:pPr>
        <w:numPr>
          <w:ilvl w:val="0"/>
          <w:numId w:val="30"/>
        </w:numPr>
        <w:overflowPunct/>
        <w:autoSpaceDE/>
        <w:autoSpaceDN/>
        <w:adjustRightInd/>
        <w:ind w:left="567" w:hanging="567"/>
        <w:textAlignment w:val="auto"/>
        <w:rPr>
          <w:spacing w:val="-3"/>
        </w:rPr>
      </w:pPr>
      <w:r w:rsidRPr="004068F6">
        <w:rPr>
          <w:spacing w:val="-3"/>
        </w:rPr>
        <w:t>Nombre de empresa solicitante.</w:t>
      </w:r>
    </w:p>
    <w:p w14:paraId="7ECE5CBF" w14:textId="77777777" w:rsidR="00A101A4" w:rsidRPr="004068F6" w:rsidRDefault="00A101A4">
      <w:pPr>
        <w:overflowPunct/>
        <w:autoSpaceDE/>
        <w:autoSpaceDN/>
        <w:adjustRightInd/>
        <w:textAlignment w:val="auto"/>
        <w:rPr>
          <w:spacing w:val="-3"/>
        </w:rPr>
      </w:pPr>
    </w:p>
    <w:p w14:paraId="4DC90AC4" w14:textId="64C92FA4" w:rsidR="00A101A4" w:rsidRPr="004068F6" w:rsidRDefault="00A101A4" w:rsidP="000D6E21">
      <w:pPr>
        <w:numPr>
          <w:ilvl w:val="0"/>
          <w:numId w:val="30"/>
        </w:numPr>
        <w:overflowPunct/>
        <w:autoSpaceDE/>
        <w:autoSpaceDN/>
        <w:adjustRightInd/>
        <w:ind w:left="567" w:hanging="567"/>
        <w:textAlignment w:val="auto"/>
        <w:rPr>
          <w:spacing w:val="-3"/>
        </w:rPr>
      </w:pPr>
      <w:r w:rsidRPr="004068F6">
        <w:rPr>
          <w:spacing w:val="-3"/>
        </w:rPr>
        <w:t>Nombre de empresa consultora.</w:t>
      </w:r>
    </w:p>
    <w:p w14:paraId="43EA3548" w14:textId="77777777" w:rsidR="00FD15C0" w:rsidRPr="004068F6" w:rsidRDefault="00FD15C0" w:rsidP="00FD15C0">
      <w:pPr>
        <w:rPr>
          <w:rFonts w:cs="Arial"/>
          <w:spacing w:val="-3"/>
        </w:rPr>
      </w:pPr>
    </w:p>
    <w:p w14:paraId="34AED2F3" w14:textId="77777777" w:rsidR="00A101A4" w:rsidRPr="004068F6" w:rsidRDefault="00A101A4" w:rsidP="00C86DA5">
      <w:pPr>
        <w:overflowPunct/>
        <w:autoSpaceDE/>
        <w:autoSpaceDN/>
        <w:adjustRightInd/>
        <w:jc w:val="left"/>
        <w:textAlignment w:val="auto"/>
        <w:rPr>
          <w:b/>
        </w:rPr>
      </w:pPr>
      <w:r w:rsidRPr="004068F6">
        <w:br w:type="page"/>
      </w:r>
    </w:p>
    <w:p w14:paraId="79C56E99" w14:textId="77777777" w:rsidR="001B4589" w:rsidRPr="004068F6" w:rsidRDefault="001B4589" w:rsidP="000D6E21">
      <w:pPr>
        <w:numPr>
          <w:ilvl w:val="12"/>
          <w:numId w:val="0"/>
        </w:numPr>
        <w:tabs>
          <w:tab w:val="left" w:pos="-2268"/>
        </w:tabs>
        <w:suppressAutoHyphens/>
        <w:rPr>
          <w:spacing w:val="-3"/>
        </w:rPr>
      </w:pPr>
    </w:p>
    <w:p w14:paraId="7060E405" w14:textId="2166A49A" w:rsidR="000F2600" w:rsidRPr="004068F6" w:rsidRDefault="000F2600" w:rsidP="001831AE">
      <w:pPr>
        <w:pStyle w:val="Captulonmero"/>
        <w:rPr>
          <w:lang w:val="es-CO"/>
        </w:rPr>
      </w:pPr>
      <w:bookmarkStart w:id="1980" w:name="_Toc230879570"/>
      <w:r w:rsidRPr="004068F6">
        <w:rPr>
          <w:lang w:val="es-CO"/>
        </w:rPr>
        <w:t>ESPECIFICACIONES TÉCNICAS DEL DIAGNÓSTICO AMBIENTAL DE ALTERNATIVAS</w:t>
      </w:r>
      <w:bookmarkEnd w:id="1927"/>
      <w:bookmarkEnd w:id="1928"/>
      <w:bookmarkEnd w:id="1929"/>
      <w:bookmarkEnd w:id="1930"/>
      <w:bookmarkEnd w:id="1980"/>
    </w:p>
    <w:p w14:paraId="469E3C84" w14:textId="77777777" w:rsidR="001125D2" w:rsidRPr="004068F6" w:rsidRDefault="001125D2" w:rsidP="001125D2">
      <w:pPr>
        <w:numPr>
          <w:ilvl w:val="12"/>
          <w:numId w:val="0"/>
        </w:numPr>
        <w:tabs>
          <w:tab w:val="left" w:pos="-2268"/>
        </w:tabs>
        <w:suppressAutoHyphens/>
        <w:rPr>
          <w:spacing w:val="-3"/>
        </w:rPr>
      </w:pPr>
    </w:p>
    <w:p w14:paraId="5DBCD347" w14:textId="4EB44094" w:rsidR="001125D2" w:rsidRPr="004068F6" w:rsidRDefault="001125D2" w:rsidP="001125D2">
      <w:pPr>
        <w:numPr>
          <w:ilvl w:val="12"/>
          <w:numId w:val="0"/>
        </w:numPr>
        <w:tabs>
          <w:tab w:val="left" w:pos="-2268"/>
        </w:tabs>
        <w:suppressAutoHyphens/>
        <w:rPr>
          <w:rFonts w:cs="Arial"/>
          <w:spacing w:val="-3"/>
        </w:rPr>
      </w:pPr>
      <w:r w:rsidRPr="004068F6">
        <w:rPr>
          <w:rFonts w:cs="Arial"/>
          <w:spacing w:val="-3"/>
        </w:rPr>
        <w:t xml:space="preserve">El Diagnóstico Ambiental de Alternativas (DAA) tiene como propósito brindar a la autoridad ambiental competente, la información necesaria y suficiente que le permita evaluar y comparar </w:t>
      </w:r>
      <w:r w:rsidR="002A2322" w:rsidRPr="004068F6">
        <w:rPr>
          <w:rFonts w:cs="Arial"/>
          <w:spacing w:val="-3"/>
        </w:rPr>
        <w:t xml:space="preserve">las </w:t>
      </w:r>
      <w:r w:rsidRPr="004068F6">
        <w:rPr>
          <w:rFonts w:cs="Arial"/>
          <w:spacing w:val="-3"/>
        </w:rPr>
        <w:t xml:space="preserve">diferentes alternativas </w:t>
      </w:r>
      <w:r w:rsidR="002A2322" w:rsidRPr="004068F6">
        <w:rPr>
          <w:rFonts w:cs="Arial"/>
          <w:spacing w:val="-3"/>
        </w:rPr>
        <w:t xml:space="preserve">bajo las cuales se está considerando </w:t>
      </w:r>
      <w:r w:rsidRPr="004068F6">
        <w:rPr>
          <w:rFonts w:cs="Arial"/>
          <w:spacing w:val="-3"/>
        </w:rPr>
        <w:t>desarroll</w:t>
      </w:r>
      <w:r w:rsidR="002A2322" w:rsidRPr="004068F6">
        <w:rPr>
          <w:rFonts w:cs="Arial"/>
          <w:spacing w:val="-3"/>
        </w:rPr>
        <w:t>ar</w:t>
      </w:r>
      <w:r w:rsidRPr="004068F6">
        <w:rPr>
          <w:rFonts w:cs="Arial"/>
          <w:spacing w:val="-3"/>
        </w:rPr>
        <w:t xml:space="preserve"> un proyecto, obra o actividad</w:t>
      </w:r>
      <w:r w:rsidR="001C4A1B" w:rsidRPr="004068F6">
        <w:rPr>
          <w:rFonts w:cs="Arial"/>
          <w:spacing w:val="-3"/>
        </w:rPr>
        <w:t xml:space="preserve"> para el cual es exigible este estudio ambiental (de acuerdo </w:t>
      </w:r>
      <w:r w:rsidR="00467CE5" w:rsidRPr="004068F6">
        <w:rPr>
          <w:rFonts w:cs="Arial"/>
          <w:spacing w:val="-3"/>
        </w:rPr>
        <w:t>con</w:t>
      </w:r>
      <w:r w:rsidR="001C4A1B" w:rsidRPr="004068F6">
        <w:rPr>
          <w:rFonts w:cs="Arial"/>
          <w:spacing w:val="-3"/>
        </w:rPr>
        <w:t xml:space="preserve"> lo establecido en el artículo 2.2.2.3.4.2. del Decreto 1076 de 2015 o aquel que lo modifique o sustituya)</w:t>
      </w:r>
      <w:r w:rsidR="002A2322" w:rsidRPr="004068F6">
        <w:rPr>
          <w:rFonts w:cs="Arial"/>
          <w:spacing w:val="-3"/>
        </w:rPr>
        <w:t xml:space="preserve">, y </w:t>
      </w:r>
      <w:r w:rsidRPr="004068F6">
        <w:rPr>
          <w:rFonts w:cs="Arial"/>
          <w:spacing w:val="-3"/>
        </w:rPr>
        <w:t>decidir cuál o cuáles alternativas permiten optimizar y racionalizar el uso de recursos y evitar o minimizar los riesgos</w:t>
      </w:r>
      <w:r w:rsidR="00CE1552" w:rsidRPr="004068F6">
        <w:rPr>
          <w:rFonts w:cs="Arial"/>
          <w:spacing w:val="-3"/>
        </w:rPr>
        <w:t xml:space="preserve"> </w:t>
      </w:r>
      <w:r w:rsidRPr="004068F6">
        <w:rPr>
          <w:rFonts w:cs="Arial"/>
          <w:spacing w:val="-3"/>
        </w:rPr>
        <w:t>e impactos negativos.</w:t>
      </w:r>
    </w:p>
    <w:p w14:paraId="30022C20" w14:textId="77777777" w:rsidR="001125D2" w:rsidRPr="004068F6" w:rsidRDefault="001125D2" w:rsidP="001125D2">
      <w:pPr>
        <w:numPr>
          <w:ilvl w:val="12"/>
          <w:numId w:val="0"/>
        </w:numPr>
        <w:tabs>
          <w:tab w:val="left" w:pos="-2268"/>
        </w:tabs>
        <w:suppressAutoHyphens/>
        <w:rPr>
          <w:rFonts w:cs="Arial"/>
          <w:spacing w:val="-3"/>
        </w:rPr>
      </w:pPr>
    </w:p>
    <w:p w14:paraId="5E639F97" w14:textId="1A7EB8DB" w:rsidR="001125D2" w:rsidRPr="004068F6" w:rsidRDefault="001125D2" w:rsidP="3BACB336">
      <w:pPr>
        <w:suppressAutoHyphens/>
        <w:rPr>
          <w:rFonts w:cs="Arial"/>
          <w:spacing w:val="-3"/>
        </w:rPr>
      </w:pPr>
      <w:r w:rsidRPr="004068F6">
        <w:rPr>
          <w:rFonts w:cs="Arial"/>
          <w:spacing w:val="-3"/>
        </w:rPr>
        <w:t>Todas las alternativas bajo las cuales sea posible desarrollar el proyecto, obra o actividad que se presenten</w:t>
      </w:r>
      <w:r w:rsidR="002A2322" w:rsidRPr="004068F6">
        <w:rPr>
          <w:rFonts w:cs="Arial"/>
          <w:spacing w:val="-3"/>
        </w:rPr>
        <w:t xml:space="preserve"> para evaluación por parte de la autoridad ambiental</w:t>
      </w:r>
      <w:r w:rsidRPr="004068F6">
        <w:rPr>
          <w:rFonts w:cs="Arial"/>
          <w:spacing w:val="-3"/>
        </w:rPr>
        <w:t xml:space="preserve">, deben ser formuladas considerando </w:t>
      </w:r>
      <w:r w:rsidR="002A2322" w:rsidRPr="004068F6">
        <w:rPr>
          <w:rFonts w:cs="Arial"/>
          <w:spacing w:val="-3"/>
        </w:rPr>
        <w:t xml:space="preserve">un conjunto integral de </w:t>
      </w:r>
      <w:r w:rsidRPr="004068F6">
        <w:rPr>
          <w:rFonts w:cs="Arial"/>
          <w:spacing w:val="-3"/>
        </w:rPr>
        <w:t xml:space="preserve">variables, no solo las que tienen que ver con la ubicación o el trazado (de corredores o líneas), sino también, las relacionadas con la tecnología y </w:t>
      </w:r>
      <w:r w:rsidR="00D962AE" w:rsidRPr="004068F6">
        <w:rPr>
          <w:rFonts w:cs="Arial"/>
          <w:spacing w:val="-3"/>
        </w:rPr>
        <w:t xml:space="preserve">el </w:t>
      </w:r>
      <w:r w:rsidRPr="004068F6">
        <w:rPr>
          <w:rFonts w:cs="Arial"/>
        </w:rPr>
        <w:t>diseño</w:t>
      </w:r>
      <w:r w:rsidRPr="004068F6">
        <w:rPr>
          <w:rStyle w:val="Refdenotaalpie"/>
          <w:rFonts w:cs="Arial"/>
          <w:spacing w:val="-3"/>
          <w:lang w:val="es-CO"/>
        </w:rPr>
        <w:footnoteReference w:id="18"/>
      </w:r>
      <w:r w:rsidRPr="004068F6">
        <w:rPr>
          <w:rFonts w:cs="Arial"/>
        </w:rPr>
        <w:t xml:space="preserve">; estas opciones deben plantearse buscando el mejor </w:t>
      </w:r>
      <w:r w:rsidRPr="004068F6">
        <w:rPr>
          <w:rFonts w:cs="Arial"/>
          <w:spacing w:val="-3"/>
        </w:rPr>
        <w:t xml:space="preserve">desempeño ambiental </w:t>
      </w:r>
      <w:r w:rsidR="008C5648" w:rsidRPr="004068F6">
        <w:rPr>
          <w:rFonts w:cs="Arial"/>
          <w:spacing w:val="-3"/>
        </w:rPr>
        <w:t xml:space="preserve">del </w:t>
      </w:r>
      <w:r w:rsidR="002A2322" w:rsidRPr="004068F6">
        <w:rPr>
          <w:rFonts w:cs="Arial"/>
          <w:spacing w:val="-3"/>
        </w:rPr>
        <w:t>proyecto, obra o actividad en cada una de sus etapas (</w:t>
      </w:r>
      <w:r w:rsidR="00041844" w:rsidRPr="004068F6">
        <w:rPr>
          <w:rFonts w:cs="Arial"/>
          <w:spacing w:val="-3"/>
        </w:rPr>
        <w:t>p. ej.</w:t>
      </w:r>
      <w:r w:rsidR="002A2322" w:rsidRPr="004068F6">
        <w:rPr>
          <w:rFonts w:cs="Arial"/>
          <w:spacing w:val="-3"/>
        </w:rPr>
        <w:t xml:space="preserve"> </w:t>
      </w:r>
      <w:r w:rsidRPr="004068F6">
        <w:rPr>
          <w:rFonts w:cs="Arial"/>
          <w:spacing w:val="-3"/>
        </w:rPr>
        <w:t xml:space="preserve">construcción, </w:t>
      </w:r>
      <w:r w:rsidRPr="004068F6">
        <w:rPr>
          <w:rFonts w:cs="Arial"/>
        </w:rPr>
        <w:t xml:space="preserve">operación, </w:t>
      </w:r>
      <w:r w:rsidR="00195C64">
        <w:rPr>
          <w:rFonts w:cs="Arial"/>
        </w:rPr>
        <w:t>desmantelamiento y cierre</w:t>
      </w:r>
      <w:r w:rsidR="002A2322" w:rsidRPr="004068F6">
        <w:rPr>
          <w:rFonts w:cs="Arial"/>
        </w:rPr>
        <w:t>)</w:t>
      </w:r>
      <w:r w:rsidRPr="004068F6">
        <w:rPr>
          <w:rFonts w:cs="Arial"/>
          <w:spacing w:val="-3"/>
        </w:rPr>
        <w:t>, a fin de optimizar y racionalizar el uso de recursos y evitar o minimizar los riesgos</w:t>
      </w:r>
      <w:r w:rsidR="3BACB336" w:rsidRPr="004068F6">
        <w:rPr>
          <w:rFonts w:cs="Arial"/>
        </w:rPr>
        <w:t xml:space="preserve"> o posibles</w:t>
      </w:r>
      <w:r w:rsidRPr="004068F6">
        <w:rPr>
          <w:rFonts w:cs="Arial"/>
          <w:spacing w:val="-3"/>
        </w:rPr>
        <w:t xml:space="preserve"> impactos </w:t>
      </w:r>
      <w:r w:rsidR="3BACB336" w:rsidRPr="004068F6">
        <w:rPr>
          <w:rFonts w:cs="Arial"/>
        </w:rPr>
        <w:t xml:space="preserve">ambientales </w:t>
      </w:r>
      <w:r w:rsidRPr="004068F6">
        <w:rPr>
          <w:rFonts w:cs="Arial"/>
          <w:spacing w:val="-3"/>
        </w:rPr>
        <w:t>que puedan generar en el área de estudio</w:t>
      </w:r>
      <w:r w:rsidRPr="004068F6">
        <w:rPr>
          <w:rStyle w:val="Refdenotaalpie"/>
          <w:rFonts w:cs="Arial"/>
          <w:lang w:val="es-CO"/>
        </w:rPr>
        <w:footnoteReference w:id="19"/>
      </w:r>
      <w:r w:rsidRPr="004068F6">
        <w:rPr>
          <w:rFonts w:cs="Arial"/>
          <w:spacing w:val="-3"/>
        </w:rPr>
        <w:t>.</w:t>
      </w:r>
    </w:p>
    <w:p w14:paraId="2EEE4723" w14:textId="77777777" w:rsidR="001125D2" w:rsidRPr="004068F6" w:rsidRDefault="001125D2" w:rsidP="001125D2">
      <w:pPr>
        <w:numPr>
          <w:ilvl w:val="12"/>
          <w:numId w:val="0"/>
        </w:numPr>
        <w:tabs>
          <w:tab w:val="left" w:pos="-2268"/>
        </w:tabs>
        <w:suppressAutoHyphens/>
        <w:rPr>
          <w:rFonts w:cs="Arial"/>
          <w:spacing w:val="-3"/>
        </w:rPr>
      </w:pPr>
    </w:p>
    <w:p w14:paraId="61872567" w14:textId="57366031" w:rsidR="007706A2" w:rsidRPr="004068F6" w:rsidRDefault="007706A2" w:rsidP="007706A2">
      <w:pPr>
        <w:numPr>
          <w:ilvl w:val="12"/>
          <w:numId w:val="0"/>
        </w:numPr>
        <w:tabs>
          <w:tab w:val="left" w:pos="-2268"/>
        </w:tabs>
        <w:suppressAutoHyphens/>
        <w:rPr>
          <w:rFonts w:cs="Arial"/>
          <w:spacing w:val="-3"/>
        </w:rPr>
      </w:pPr>
      <w:r w:rsidRPr="004068F6">
        <w:rPr>
          <w:rFonts w:cs="Arial"/>
          <w:spacing w:val="-3"/>
        </w:rPr>
        <w:t>T</w:t>
      </w:r>
      <w:r w:rsidR="009D3288" w:rsidRPr="004068F6">
        <w:rPr>
          <w:rFonts w:cs="Arial"/>
          <w:spacing w:val="-3"/>
        </w:rPr>
        <w:t xml:space="preserve">odas las alternativas </w:t>
      </w:r>
      <w:r w:rsidRPr="004068F6">
        <w:rPr>
          <w:rFonts w:cs="Arial"/>
          <w:spacing w:val="-3"/>
        </w:rPr>
        <w:t xml:space="preserve">deben </w:t>
      </w:r>
      <w:r w:rsidR="009D3288" w:rsidRPr="004068F6">
        <w:rPr>
          <w:rFonts w:cs="Arial"/>
          <w:spacing w:val="-3"/>
        </w:rPr>
        <w:t>ser ejecutables y basarse en tecnologías ambientalmente racionales</w:t>
      </w:r>
      <w:r w:rsidR="00371D32" w:rsidRPr="004068F6">
        <w:rPr>
          <w:rFonts w:cs="Arial"/>
          <w:spacing w:val="-3"/>
        </w:rPr>
        <w:t xml:space="preserve">, teniendo en cuenta que esto </w:t>
      </w:r>
      <w:r w:rsidR="009D3288" w:rsidRPr="004068F6">
        <w:rPr>
          <w:rFonts w:cs="Arial"/>
          <w:spacing w:val="-3"/>
        </w:rPr>
        <w:t xml:space="preserve">no implica necesariamente que </w:t>
      </w:r>
      <w:r w:rsidR="00371D32" w:rsidRPr="004068F6">
        <w:rPr>
          <w:rFonts w:cs="Arial"/>
          <w:spacing w:val="-3"/>
        </w:rPr>
        <w:t>l</w:t>
      </w:r>
      <w:r w:rsidR="00E453BB" w:rsidRPr="004068F6">
        <w:rPr>
          <w:rFonts w:cs="Arial"/>
          <w:spacing w:val="-3"/>
        </w:rPr>
        <w:t>a</w:t>
      </w:r>
      <w:r w:rsidR="00371D32" w:rsidRPr="004068F6">
        <w:rPr>
          <w:rFonts w:cs="Arial"/>
          <w:spacing w:val="-3"/>
        </w:rPr>
        <w:t xml:space="preserve"> autoridad ambiental competente </w:t>
      </w:r>
      <w:r w:rsidR="009D3288" w:rsidRPr="004068F6">
        <w:rPr>
          <w:rFonts w:cs="Arial"/>
          <w:spacing w:val="-3"/>
        </w:rPr>
        <w:t xml:space="preserve">le otorgue </w:t>
      </w:r>
      <w:r w:rsidR="00371D32" w:rsidRPr="004068F6">
        <w:rPr>
          <w:rFonts w:cs="Arial"/>
          <w:spacing w:val="-3"/>
        </w:rPr>
        <w:t xml:space="preserve">la </w:t>
      </w:r>
      <w:r w:rsidR="009D3288" w:rsidRPr="004068F6">
        <w:rPr>
          <w:rFonts w:cs="Arial"/>
          <w:spacing w:val="-3"/>
        </w:rPr>
        <w:t>licencia ambiental</w:t>
      </w:r>
      <w:r w:rsidR="00371D32" w:rsidRPr="004068F6">
        <w:rPr>
          <w:rFonts w:cs="Arial"/>
          <w:spacing w:val="-3"/>
        </w:rPr>
        <w:t xml:space="preserve"> a alguna de ellas</w:t>
      </w:r>
      <w:r w:rsidRPr="004068F6">
        <w:rPr>
          <w:rFonts w:cs="Arial"/>
          <w:spacing w:val="-3"/>
        </w:rPr>
        <w:t>.</w:t>
      </w:r>
      <w:r w:rsidR="009D3288" w:rsidRPr="004068F6">
        <w:rPr>
          <w:rFonts w:cs="Arial"/>
          <w:spacing w:val="-3"/>
        </w:rPr>
        <w:t xml:space="preserve"> </w:t>
      </w:r>
      <w:r w:rsidRPr="004068F6">
        <w:rPr>
          <w:rFonts w:cs="Arial"/>
          <w:spacing w:val="-3"/>
        </w:rPr>
        <w:t xml:space="preserve">En el proceso de evaluación y comparación </w:t>
      </w:r>
      <w:r w:rsidR="0006130F" w:rsidRPr="004068F6">
        <w:rPr>
          <w:rFonts w:cs="Arial"/>
          <w:spacing w:val="-3"/>
        </w:rPr>
        <w:t>de alternativas</w:t>
      </w:r>
      <w:r w:rsidR="00FA3FE1" w:rsidRPr="004068F6">
        <w:rPr>
          <w:rFonts w:cs="Arial"/>
          <w:spacing w:val="-3"/>
        </w:rPr>
        <w:t>, que constituye el objetivo fundamental del DAA</w:t>
      </w:r>
      <w:r w:rsidR="0010277C" w:rsidRPr="004068F6">
        <w:rPr>
          <w:rFonts w:cs="Arial"/>
          <w:spacing w:val="-3"/>
        </w:rPr>
        <w:t xml:space="preserve"> según el artículo 2.2.2.3.4.1. del Decreto 1076 de 2015 o aquel que lo modifique o sustituya,</w:t>
      </w:r>
      <w:r w:rsidR="0006130F" w:rsidRPr="004068F6">
        <w:rPr>
          <w:rFonts w:cs="Arial"/>
          <w:spacing w:val="-3"/>
        </w:rPr>
        <w:t xml:space="preserve"> es necesario </w:t>
      </w:r>
      <w:r w:rsidR="00B44BB4" w:rsidRPr="004068F6">
        <w:rPr>
          <w:spacing w:val="-3"/>
        </w:rPr>
        <w:t>determinar</w:t>
      </w:r>
      <w:r w:rsidR="009A3B1F" w:rsidRPr="004068F6">
        <w:rPr>
          <w:rFonts w:cs="Arial"/>
        </w:rPr>
        <w:t>, valorar</w:t>
      </w:r>
      <w:r w:rsidR="009D3288" w:rsidRPr="004068F6">
        <w:rPr>
          <w:rFonts w:cs="Arial"/>
        </w:rPr>
        <w:t xml:space="preserve"> y comparar los impactos ambientales que </w:t>
      </w:r>
      <w:r w:rsidR="00370A9F" w:rsidRPr="004068F6">
        <w:rPr>
          <w:rFonts w:cs="Arial"/>
        </w:rPr>
        <w:t xml:space="preserve">ocurrirían </w:t>
      </w:r>
      <w:r w:rsidR="00D83F16" w:rsidRPr="004068F6">
        <w:rPr>
          <w:rFonts w:cs="Arial"/>
        </w:rPr>
        <w:t>en caso de ejecutar las alternativas</w:t>
      </w:r>
      <w:r w:rsidR="009D3288" w:rsidRPr="004068F6">
        <w:rPr>
          <w:rFonts w:cs="Arial"/>
        </w:rPr>
        <w:t xml:space="preserve">, </w:t>
      </w:r>
      <w:r w:rsidR="00C2549F" w:rsidRPr="004068F6">
        <w:rPr>
          <w:rFonts w:cs="Arial"/>
        </w:rPr>
        <w:t xml:space="preserve">así como </w:t>
      </w:r>
      <w:r w:rsidR="009D3288" w:rsidRPr="004068F6">
        <w:rPr>
          <w:rFonts w:cs="Arial"/>
        </w:rPr>
        <w:t>desarrollar el Análisis Costo Beneficio que establece el artículo 2.2.2.3.4.3 del Decreto 1076 de 2015</w:t>
      </w:r>
      <w:r w:rsidR="001F3686" w:rsidRPr="004068F6">
        <w:rPr>
          <w:rFonts w:cs="Arial"/>
        </w:rPr>
        <w:t xml:space="preserve"> o aquel que lo modifique o sustituya</w:t>
      </w:r>
      <w:r w:rsidRPr="004068F6">
        <w:rPr>
          <w:rFonts w:cs="Arial"/>
        </w:rPr>
        <w:t>;</w:t>
      </w:r>
      <w:r w:rsidR="0006130F" w:rsidRPr="004068F6">
        <w:rPr>
          <w:rFonts w:cs="Arial"/>
        </w:rPr>
        <w:t xml:space="preserve"> </w:t>
      </w:r>
      <w:r w:rsidR="00C2549F" w:rsidRPr="004068F6">
        <w:rPr>
          <w:rFonts w:cs="Arial"/>
        </w:rPr>
        <w:t xml:space="preserve">la </w:t>
      </w:r>
      <w:r w:rsidRPr="004068F6">
        <w:rPr>
          <w:rFonts w:cs="Arial"/>
        </w:rPr>
        <w:t xml:space="preserve">evaluación y comparación debe </w:t>
      </w:r>
      <w:r w:rsidRPr="004068F6">
        <w:rPr>
          <w:rFonts w:cs="Arial"/>
          <w:spacing w:val="-3"/>
        </w:rPr>
        <w:t>especifica</w:t>
      </w:r>
      <w:r w:rsidR="00E9497A" w:rsidRPr="004068F6">
        <w:rPr>
          <w:rFonts w:cs="Arial"/>
          <w:spacing w:val="-3"/>
        </w:rPr>
        <w:t xml:space="preserve">r </w:t>
      </w:r>
      <w:r w:rsidRPr="004068F6">
        <w:rPr>
          <w:rFonts w:cs="Arial"/>
          <w:spacing w:val="-3"/>
        </w:rPr>
        <w:t xml:space="preserve">cuáles </w:t>
      </w:r>
      <w:r w:rsidR="00E9497A" w:rsidRPr="004068F6">
        <w:rPr>
          <w:rFonts w:cs="Arial"/>
          <w:spacing w:val="-3"/>
        </w:rPr>
        <w:t xml:space="preserve">impactos </w:t>
      </w:r>
      <w:r w:rsidRPr="004068F6">
        <w:rPr>
          <w:rFonts w:cs="Arial"/>
          <w:spacing w:val="-3"/>
        </w:rPr>
        <w:t xml:space="preserve">no se pueden </w:t>
      </w:r>
      <w:r w:rsidR="00DD36F2" w:rsidRPr="004068F6">
        <w:rPr>
          <w:rFonts w:cs="Arial"/>
          <w:spacing w:val="-3"/>
        </w:rPr>
        <w:t xml:space="preserve">prevenir, </w:t>
      </w:r>
      <w:r w:rsidRPr="004068F6">
        <w:rPr>
          <w:rFonts w:cs="Arial"/>
          <w:spacing w:val="-3"/>
        </w:rPr>
        <w:t>mitigar</w:t>
      </w:r>
      <w:r w:rsidR="00DD36F2" w:rsidRPr="004068F6">
        <w:rPr>
          <w:rFonts w:cs="Arial"/>
          <w:spacing w:val="-3"/>
        </w:rPr>
        <w:t xml:space="preserve"> o </w:t>
      </w:r>
      <w:r w:rsidR="00DD36F2" w:rsidRPr="004068F6">
        <w:rPr>
          <w:rFonts w:cs="Arial"/>
          <w:spacing w:val="-3"/>
        </w:rPr>
        <w:lastRenderedPageBreak/>
        <w:t>corregir</w:t>
      </w:r>
      <w:r w:rsidRPr="004068F6">
        <w:rPr>
          <w:rFonts w:cs="Arial"/>
          <w:spacing w:val="-3"/>
        </w:rPr>
        <w:t xml:space="preserve">, los riesgos, y las </w:t>
      </w:r>
      <w:r w:rsidRPr="004068F6">
        <w:rPr>
          <w:rFonts w:cs="Arial"/>
          <w:i/>
          <w:spacing w:val="-3"/>
        </w:rPr>
        <w:t>posibles</w:t>
      </w:r>
      <w:r w:rsidRPr="004068F6">
        <w:rPr>
          <w:rFonts w:cs="Arial"/>
          <w:spacing w:val="-3"/>
        </w:rPr>
        <w:t xml:space="preserve"> soluciones y medidas de control y mitigación que se contemplen para cada una de las alternativas.</w:t>
      </w:r>
    </w:p>
    <w:p w14:paraId="0EA81700" w14:textId="77777777" w:rsidR="007706A2" w:rsidRPr="004068F6" w:rsidRDefault="007706A2" w:rsidP="001125D2">
      <w:pPr>
        <w:numPr>
          <w:ilvl w:val="12"/>
          <w:numId w:val="0"/>
        </w:numPr>
        <w:tabs>
          <w:tab w:val="left" w:pos="-2268"/>
        </w:tabs>
        <w:suppressAutoHyphens/>
        <w:rPr>
          <w:rFonts w:cs="Arial"/>
          <w:spacing w:val="-3"/>
        </w:rPr>
      </w:pPr>
    </w:p>
    <w:p w14:paraId="088AB902" w14:textId="205C0BE8" w:rsidR="001125D2" w:rsidRPr="004068F6" w:rsidRDefault="001125D2" w:rsidP="001125D2">
      <w:pPr>
        <w:numPr>
          <w:ilvl w:val="12"/>
          <w:numId w:val="0"/>
        </w:numPr>
        <w:tabs>
          <w:tab w:val="left" w:pos="-2268"/>
        </w:tabs>
        <w:suppressAutoHyphens/>
        <w:rPr>
          <w:rFonts w:cs="Arial"/>
          <w:spacing w:val="-3"/>
        </w:rPr>
      </w:pPr>
      <w:r w:rsidRPr="004068F6">
        <w:rPr>
          <w:rFonts w:cs="Arial"/>
          <w:spacing w:val="-3"/>
        </w:rPr>
        <w:t xml:space="preserve">La información contenida en el DAA debe permitir la comparación de todas las alternativas, </w:t>
      </w:r>
      <w:r w:rsidR="00363DAE" w:rsidRPr="004068F6">
        <w:rPr>
          <w:rFonts w:cs="Arial"/>
          <w:spacing w:val="-3"/>
        </w:rPr>
        <w:t xml:space="preserve">y presentar respuestas fundamentadas a las inquietudes y observaciones de </w:t>
      </w:r>
      <w:r w:rsidR="001F3686" w:rsidRPr="004068F6">
        <w:rPr>
          <w:rFonts w:cs="Arial"/>
          <w:spacing w:val="-3"/>
        </w:rPr>
        <w:t>los grupos de interés</w:t>
      </w:r>
      <w:r w:rsidR="00363DAE" w:rsidRPr="004068F6">
        <w:rPr>
          <w:rFonts w:cs="Arial"/>
          <w:spacing w:val="-3"/>
        </w:rPr>
        <w:t xml:space="preserve"> que podría</w:t>
      </w:r>
      <w:r w:rsidR="001F3686" w:rsidRPr="004068F6">
        <w:rPr>
          <w:rFonts w:cs="Arial"/>
          <w:spacing w:val="-3"/>
        </w:rPr>
        <w:t>n</w:t>
      </w:r>
      <w:r w:rsidR="00363DAE" w:rsidRPr="004068F6">
        <w:rPr>
          <w:rFonts w:cs="Arial"/>
          <w:spacing w:val="-3"/>
        </w:rPr>
        <w:t xml:space="preserve"> verse </w:t>
      </w:r>
      <w:r w:rsidR="001F3686" w:rsidRPr="004068F6">
        <w:rPr>
          <w:rFonts w:cs="Arial"/>
          <w:spacing w:val="-3"/>
        </w:rPr>
        <w:t>impactados</w:t>
      </w:r>
      <w:r w:rsidR="00363DAE" w:rsidRPr="004068F6">
        <w:rPr>
          <w:rFonts w:cs="Arial"/>
          <w:spacing w:val="-3"/>
        </w:rPr>
        <w:t>, por lo tanto</w:t>
      </w:r>
      <w:r w:rsidRPr="004068F6">
        <w:rPr>
          <w:rFonts w:cs="Arial"/>
          <w:spacing w:val="-3"/>
        </w:rPr>
        <w:t>, este estudio ambiental no debe excluir aspectos relevantes para la decisión frente a las alternativas propuestas</w:t>
      </w:r>
      <w:r w:rsidR="009D3288" w:rsidRPr="004068F6">
        <w:rPr>
          <w:rFonts w:cs="Arial"/>
          <w:spacing w:val="-3"/>
        </w:rPr>
        <w:t>.</w:t>
      </w:r>
    </w:p>
    <w:p w14:paraId="4CE84217" w14:textId="77777777" w:rsidR="001125D2" w:rsidRPr="004068F6" w:rsidRDefault="001125D2" w:rsidP="001125D2">
      <w:pPr>
        <w:numPr>
          <w:ilvl w:val="12"/>
          <w:numId w:val="0"/>
        </w:numPr>
        <w:tabs>
          <w:tab w:val="left" w:pos="-2268"/>
        </w:tabs>
        <w:suppressAutoHyphens/>
        <w:rPr>
          <w:rFonts w:cs="Arial"/>
          <w:spacing w:val="-3"/>
        </w:rPr>
      </w:pPr>
    </w:p>
    <w:p w14:paraId="053C4753" w14:textId="22F144E6" w:rsidR="001125D2" w:rsidRPr="004068F6" w:rsidRDefault="001125D2" w:rsidP="001125D2">
      <w:pPr>
        <w:numPr>
          <w:ilvl w:val="12"/>
          <w:numId w:val="0"/>
        </w:numPr>
        <w:tabs>
          <w:tab w:val="left" w:pos="-2268"/>
        </w:tabs>
        <w:suppressAutoHyphens/>
        <w:rPr>
          <w:rFonts w:cs="Arial"/>
          <w:spacing w:val="-3"/>
        </w:rPr>
      </w:pPr>
      <w:r w:rsidRPr="004068F6">
        <w:rPr>
          <w:rFonts w:cs="Arial"/>
          <w:spacing w:val="-3"/>
        </w:rPr>
        <w:t xml:space="preserve">Para cumplir con estos objetivos, el DAA debe contener las especificaciones técnicas y los capítulos que se indiquen en los términos de referencia </w:t>
      </w:r>
      <w:r w:rsidR="00037008" w:rsidRPr="004068F6">
        <w:rPr>
          <w:rFonts w:cs="Arial"/>
          <w:spacing w:val="-3"/>
        </w:rPr>
        <w:t>correspondientes</w:t>
      </w:r>
      <w:r w:rsidRPr="004068F6">
        <w:rPr>
          <w:rFonts w:cs="Arial"/>
          <w:spacing w:val="-3"/>
        </w:rPr>
        <w:t xml:space="preserve">, así como los lineamientos y elementos metodológicos generales que se establecen </w:t>
      </w:r>
      <w:r w:rsidR="00E66C1B" w:rsidRPr="004068F6">
        <w:rPr>
          <w:rFonts w:cs="Arial"/>
          <w:spacing w:val="-3"/>
        </w:rPr>
        <w:t>e</w:t>
      </w:r>
      <w:r w:rsidR="00406C1B" w:rsidRPr="004068F6">
        <w:rPr>
          <w:rFonts w:cs="Arial"/>
          <w:spacing w:val="-3"/>
        </w:rPr>
        <w:t>n</w:t>
      </w:r>
      <w:r w:rsidR="00E66C1B" w:rsidRPr="004068F6">
        <w:rPr>
          <w:rFonts w:cs="Arial"/>
          <w:spacing w:val="-3"/>
        </w:rPr>
        <w:t xml:space="preserve"> esta metodología</w:t>
      </w:r>
      <w:r w:rsidR="001E4ED9" w:rsidRPr="004068F6">
        <w:rPr>
          <w:rFonts w:cs="Arial"/>
          <w:spacing w:val="-3"/>
        </w:rPr>
        <w:t>. En todo caso, los requerimientos de información establecidos en los términos de referencia y los lineamientos metodológicos señalados en la metodología deben ser adaptados y considerados de acuerdo con las particularidades del proyecto, obra o actividad para el cual se elabora el estudio.</w:t>
      </w:r>
    </w:p>
    <w:p w14:paraId="7488DBE5" w14:textId="77777777" w:rsidR="001125D2" w:rsidRPr="004068F6" w:rsidRDefault="001125D2" w:rsidP="001125D2">
      <w:pPr>
        <w:numPr>
          <w:ilvl w:val="12"/>
          <w:numId w:val="0"/>
        </w:numPr>
        <w:tabs>
          <w:tab w:val="left" w:pos="-2268"/>
        </w:tabs>
        <w:suppressAutoHyphens/>
        <w:rPr>
          <w:rFonts w:cs="Arial"/>
          <w:spacing w:val="-3"/>
        </w:rPr>
      </w:pPr>
    </w:p>
    <w:p w14:paraId="27F8FE91" w14:textId="571DE558" w:rsidR="00633E94" w:rsidRPr="004068F6" w:rsidRDefault="00E453BB" w:rsidP="00127BD4">
      <w:pPr>
        <w:numPr>
          <w:ilvl w:val="12"/>
          <w:numId w:val="0"/>
        </w:numPr>
        <w:tabs>
          <w:tab w:val="left" w:pos="-2268"/>
        </w:tabs>
        <w:suppressAutoHyphens/>
        <w:rPr>
          <w:rFonts w:cs="Arial"/>
          <w:spacing w:val="-3"/>
        </w:rPr>
      </w:pPr>
      <w:r w:rsidRPr="004068F6">
        <w:rPr>
          <w:rFonts w:cs="Arial"/>
          <w:spacing w:val="-3"/>
        </w:rPr>
        <w:t xml:space="preserve">Dado que el propósito del DAA es comparar y seleccionar alternativas, su </w:t>
      </w:r>
      <w:r w:rsidR="001125D2" w:rsidRPr="004068F6">
        <w:rPr>
          <w:rFonts w:cs="Arial"/>
          <w:spacing w:val="-3"/>
        </w:rPr>
        <w:t>elaboración debe efectuarse principalmente a partir de la consecución, revisión</w:t>
      </w:r>
      <w:r w:rsidR="002247DF" w:rsidRPr="004068F6">
        <w:rPr>
          <w:rFonts w:cs="Arial"/>
          <w:spacing w:val="-3"/>
        </w:rPr>
        <w:t>,</w:t>
      </w:r>
      <w:r w:rsidR="001125D2" w:rsidRPr="004068F6">
        <w:rPr>
          <w:rFonts w:cs="Arial"/>
          <w:spacing w:val="-3"/>
        </w:rPr>
        <w:t xml:space="preserve"> validación </w:t>
      </w:r>
      <w:r w:rsidR="002247DF" w:rsidRPr="004068F6">
        <w:rPr>
          <w:rFonts w:cs="Arial"/>
          <w:spacing w:val="-3"/>
        </w:rPr>
        <w:t xml:space="preserve">y procesamiento </w:t>
      </w:r>
      <w:r w:rsidR="001125D2" w:rsidRPr="004068F6">
        <w:rPr>
          <w:rFonts w:cs="Arial"/>
          <w:spacing w:val="-3"/>
        </w:rPr>
        <w:t xml:space="preserve">de información secundaria; no obstante, se debe recopilar información primaria </w:t>
      </w:r>
      <w:r w:rsidR="00EE7A9F" w:rsidRPr="004068F6">
        <w:rPr>
          <w:rFonts w:cs="Arial"/>
          <w:spacing w:val="-3"/>
        </w:rPr>
        <w:t>s</w:t>
      </w:r>
      <w:r w:rsidR="001125D2" w:rsidRPr="004068F6">
        <w:rPr>
          <w:rFonts w:cs="Arial"/>
          <w:spacing w:val="-3"/>
        </w:rPr>
        <w:t xml:space="preserve">i la información secundaria </w:t>
      </w:r>
      <w:r w:rsidR="009F2A4A" w:rsidRPr="004068F6">
        <w:rPr>
          <w:rFonts w:cs="Arial"/>
          <w:spacing w:val="-3"/>
        </w:rPr>
        <w:t>sobre elementos clave que permit</w:t>
      </w:r>
      <w:r w:rsidR="00146C2F" w:rsidRPr="004068F6">
        <w:rPr>
          <w:rFonts w:cs="Arial"/>
          <w:spacing w:val="-3"/>
        </w:rPr>
        <w:t>e</w:t>
      </w:r>
      <w:r w:rsidR="009F2A4A" w:rsidRPr="004068F6">
        <w:rPr>
          <w:rFonts w:cs="Arial"/>
          <w:spacing w:val="-3"/>
        </w:rPr>
        <w:t>n diferenciar las alternativas en términos de sus implicaciones ambientales</w:t>
      </w:r>
      <w:r w:rsidR="007E3981" w:rsidRPr="004068F6">
        <w:rPr>
          <w:rFonts w:cs="Arial"/>
          <w:spacing w:val="-3"/>
        </w:rPr>
        <w:t xml:space="preserve"> </w:t>
      </w:r>
      <w:r w:rsidR="001125D2" w:rsidRPr="004068F6">
        <w:rPr>
          <w:rFonts w:cs="Arial"/>
          <w:spacing w:val="-3"/>
        </w:rPr>
        <w:t>no se encuentra disponible</w:t>
      </w:r>
      <w:r w:rsidR="007E3981" w:rsidRPr="004068F6">
        <w:rPr>
          <w:rFonts w:cs="Arial"/>
          <w:spacing w:val="-3"/>
        </w:rPr>
        <w:t xml:space="preserve"> o no tiene la calidad necesaria</w:t>
      </w:r>
      <w:r w:rsidR="007E3981" w:rsidRPr="004068F6">
        <w:rPr>
          <w:rStyle w:val="Refdenotaalpie"/>
          <w:rFonts w:cs="Arial"/>
          <w:spacing w:val="-3"/>
          <w:lang w:val="es-CO"/>
        </w:rPr>
        <w:footnoteReference w:id="20"/>
      </w:r>
      <w:r w:rsidR="001125D2" w:rsidRPr="004068F6">
        <w:rPr>
          <w:rFonts w:cs="Arial"/>
          <w:spacing w:val="-3"/>
        </w:rPr>
        <w:t>.</w:t>
      </w:r>
      <w:r w:rsidR="00FA65E9" w:rsidRPr="004068F6">
        <w:rPr>
          <w:rFonts w:cs="Arial"/>
          <w:spacing w:val="-3"/>
        </w:rPr>
        <w:t xml:space="preserve"> </w:t>
      </w:r>
      <w:r w:rsidR="003569C4" w:rsidRPr="004068F6">
        <w:rPr>
          <w:rFonts w:cs="Arial"/>
          <w:spacing w:val="-3"/>
        </w:rPr>
        <w:t>Asimismo</w:t>
      </w:r>
      <w:r w:rsidR="00D16D2A" w:rsidRPr="004068F6">
        <w:rPr>
          <w:rFonts w:cs="Arial"/>
          <w:spacing w:val="-3"/>
        </w:rPr>
        <w:t xml:space="preserve">, </w:t>
      </w:r>
      <w:r w:rsidR="00313846" w:rsidRPr="004068F6">
        <w:rPr>
          <w:rFonts w:cs="Arial"/>
          <w:spacing w:val="-3"/>
        </w:rPr>
        <w:t>los elementos del ambiente que las alternativas impactan por igual</w:t>
      </w:r>
      <w:r w:rsidR="00F46F5B">
        <w:rPr>
          <w:rFonts w:cs="Arial"/>
          <w:spacing w:val="-3"/>
        </w:rPr>
        <w:t xml:space="preserve"> deben describirse </w:t>
      </w:r>
      <w:r w:rsidR="0094316F">
        <w:rPr>
          <w:rFonts w:cs="Arial"/>
          <w:spacing w:val="-3"/>
        </w:rPr>
        <w:t xml:space="preserve">sin que sea </w:t>
      </w:r>
      <w:r w:rsidR="00F46F5B" w:rsidRPr="004068F6">
        <w:rPr>
          <w:rFonts w:cs="Arial"/>
          <w:spacing w:val="-3"/>
        </w:rPr>
        <w:t>necesario incluir</w:t>
      </w:r>
      <w:r w:rsidR="0094316F">
        <w:rPr>
          <w:rFonts w:cs="Arial"/>
          <w:spacing w:val="-3"/>
        </w:rPr>
        <w:t>l</w:t>
      </w:r>
      <w:r w:rsidR="00B9491F">
        <w:rPr>
          <w:rFonts w:cs="Arial"/>
          <w:spacing w:val="-3"/>
        </w:rPr>
        <w:t>o</w:t>
      </w:r>
      <w:r w:rsidR="0094316F">
        <w:rPr>
          <w:rFonts w:cs="Arial"/>
          <w:spacing w:val="-3"/>
        </w:rPr>
        <w:t>s en la evaluación multicriterio</w:t>
      </w:r>
      <w:r w:rsidR="00FA65E9" w:rsidRPr="004068F6">
        <w:rPr>
          <w:rFonts w:cs="Arial"/>
          <w:spacing w:val="-3"/>
        </w:rPr>
        <w:t>.</w:t>
      </w:r>
    </w:p>
    <w:p w14:paraId="71BBDF6B" w14:textId="77777777" w:rsidR="008852B5" w:rsidRPr="004068F6" w:rsidRDefault="008852B5" w:rsidP="001125D2">
      <w:pPr>
        <w:overflowPunct/>
        <w:autoSpaceDE/>
        <w:autoSpaceDN/>
        <w:adjustRightInd/>
        <w:textAlignment w:val="auto"/>
        <w:rPr>
          <w:rFonts w:cs="Arial"/>
          <w:spacing w:val="-3"/>
        </w:rPr>
      </w:pPr>
    </w:p>
    <w:p w14:paraId="41EC9424" w14:textId="424DE301" w:rsidR="001125D2" w:rsidRPr="004068F6" w:rsidRDefault="001125D2" w:rsidP="3BACB336">
      <w:pPr>
        <w:suppressAutoHyphens/>
        <w:rPr>
          <w:rFonts w:cs="Arial"/>
          <w:spacing w:val="-3"/>
        </w:rPr>
      </w:pPr>
      <w:r w:rsidRPr="004068F6">
        <w:rPr>
          <w:rFonts w:cs="Arial"/>
          <w:spacing w:val="-3"/>
        </w:rPr>
        <w:t xml:space="preserve">En cuanto a las escalas de obtención y de análisis de la información para </w:t>
      </w:r>
      <w:r w:rsidR="00542853" w:rsidRPr="004068F6">
        <w:rPr>
          <w:rFonts w:cs="Arial"/>
          <w:spacing w:val="-3"/>
        </w:rPr>
        <w:t xml:space="preserve">los </w:t>
      </w:r>
      <w:r w:rsidR="008779C4" w:rsidRPr="004068F6">
        <w:rPr>
          <w:rFonts w:cs="Arial"/>
          <w:spacing w:val="-3"/>
        </w:rPr>
        <w:t xml:space="preserve">factores o </w:t>
      </w:r>
      <w:r w:rsidR="00542853" w:rsidRPr="004068F6">
        <w:rPr>
          <w:rFonts w:cs="Arial"/>
          <w:spacing w:val="-3"/>
        </w:rPr>
        <w:t xml:space="preserve">componentes ambientales en </w:t>
      </w:r>
      <w:r w:rsidRPr="004068F6">
        <w:rPr>
          <w:rFonts w:cs="Arial"/>
          <w:spacing w:val="-3"/>
        </w:rPr>
        <w:t xml:space="preserve">el DAA, </w:t>
      </w:r>
      <w:r w:rsidR="00542853" w:rsidRPr="004068F6">
        <w:rPr>
          <w:rFonts w:cs="Arial"/>
          <w:spacing w:val="-3"/>
        </w:rPr>
        <w:t xml:space="preserve">se debe tener en cuenta que </w:t>
      </w:r>
      <w:r w:rsidRPr="004068F6">
        <w:rPr>
          <w:rFonts w:cs="Arial"/>
          <w:spacing w:val="-3"/>
        </w:rPr>
        <w:t xml:space="preserve">éstas dependen de la magnitud y características del proyecto (puntual </w:t>
      </w:r>
      <w:r w:rsidR="00E453BB" w:rsidRPr="004068F6">
        <w:rPr>
          <w:rFonts w:cs="Arial"/>
          <w:spacing w:val="-3"/>
        </w:rPr>
        <w:t>o</w:t>
      </w:r>
      <w:r w:rsidRPr="004068F6">
        <w:rPr>
          <w:rFonts w:cs="Arial"/>
          <w:spacing w:val="-3"/>
        </w:rPr>
        <w:t xml:space="preserve"> lineal), de la localización de las alternativas y de la extensión del área de estudio, por lo que </w:t>
      </w:r>
      <w:r w:rsidR="00734950" w:rsidRPr="004068F6">
        <w:rPr>
          <w:rFonts w:cs="Arial"/>
          <w:spacing w:val="-3"/>
        </w:rPr>
        <w:t xml:space="preserve">los requerimientos relacionados con </w:t>
      </w:r>
      <w:r w:rsidR="00E453BB" w:rsidRPr="004068F6">
        <w:rPr>
          <w:rFonts w:cs="Arial"/>
          <w:spacing w:val="-3"/>
        </w:rPr>
        <w:t xml:space="preserve">éstas </w:t>
      </w:r>
      <w:r w:rsidR="008B4E79" w:rsidRPr="004068F6">
        <w:rPr>
          <w:rFonts w:cs="Arial"/>
          <w:spacing w:val="-3"/>
        </w:rPr>
        <w:t xml:space="preserve">se establecen </w:t>
      </w:r>
      <w:r w:rsidRPr="004068F6">
        <w:rPr>
          <w:rFonts w:cs="Arial"/>
          <w:spacing w:val="-3"/>
        </w:rPr>
        <w:t>en los términos de referencia correspondientes.</w:t>
      </w:r>
    </w:p>
    <w:p w14:paraId="2BFBF6B5" w14:textId="77777777" w:rsidR="001125D2" w:rsidRPr="004068F6" w:rsidRDefault="001125D2" w:rsidP="001125D2">
      <w:pPr>
        <w:numPr>
          <w:ilvl w:val="12"/>
          <w:numId w:val="0"/>
        </w:numPr>
        <w:tabs>
          <w:tab w:val="left" w:pos="-2268"/>
        </w:tabs>
        <w:suppressAutoHyphens/>
        <w:rPr>
          <w:rFonts w:cs="Arial"/>
          <w:spacing w:val="-3"/>
        </w:rPr>
      </w:pPr>
    </w:p>
    <w:p w14:paraId="7C34381F" w14:textId="1BE28635" w:rsidR="001125D2" w:rsidRPr="004068F6" w:rsidRDefault="001125D2" w:rsidP="001125D2">
      <w:pPr>
        <w:numPr>
          <w:ilvl w:val="12"/>
          <w:numId w:val="0"/>
        </w:numPr>
        <w:tabs>
          <w:tab w:val="left" w:pos="-2268"/>
        </w:tabs>
        <w:suppressAutoHyphens/>
        <w:rPr>
          <w:rFonts w:cs="Arial"/>
        </w:rPr>
      </w:pPr>
      <w:r w:rsidRPr="004068F6">
        <w:rPr>
          <w:rFonts w:cs="Arial"/>
        </w:rPr>
        <w:t xml:space="preserve">Es importante señalar que la evaluación y comparación de las alternativas debe adelantarse mediante una Evaluación Multicriterio (EMC), método que permite </w:t>
      </w:r>
      <w:r w:rsidR="009829F5" w:rsidRPr="004068F6">
        <w:rPr>
          <w:rFonts w:cs="Arial"/>
        </w:rPr>
        <w:t xml:space="preserve">conjugar información cuantitativa y cualitativa </w:t>
      </w:r>
      <w:r w:rsidRPr="004068F6">
        <w:rPr>
          <w:rFonts w:cs="Arial"/>
        </w:rPr>
        <w:t>de línea base</w:t>
      </w:r>
      <w:r w:rsidR="009829F5" w:rsidRPr="004068F6">
        <w:rPr>
          <w:rFonts w:cs="Arial"/>
        </w:rPr>
        <w:t xml:space="preserve">, así como organizarla y analizarla </w:t>
      </w:r>
      <w:r w:rsidRPr="004068F6">
        <w:rPr>
          <w:rFonts w:cs="Arial"/>
        </w:rPr>
        <w:t xml:space="preserve">mediante criterios </w:t>
      </w:r>
      <w:r w:rsidR="00834670" w:rsidRPr="004068F6">
        <w:rPr>
          <w:rFonts w:cs="Arial"/>
        </w:rPr>
        <w:t xml:space="preserve">ambientales, </w:t>
      </w:r>
      <w:r w:rsidR="00CF1FE3" w:rsidRPr="004068F6">
        <w:rPr>
          <w:rFonts w:cs="Arial"/>
        </w:rPr>
        <w:t xml:space="preserve">ya sea </w:t>
      </w:r>
      <w:r w:rsidR="00834670" w:rsidRPr="004068F6">
        <w:rPr>
          <w:rFonts w:cs="Arial"/>
        </w:rPr>
        <w:t xml:space="preserve">que consideren </w:t>
      </w:r>
      <w:r w:rsidR="00CF1FE3" w:rsidRPr="004068F6">
        <w:rPr>
          <w:rFonts w:cs="Arial"/>
        </w:rPr>
        <w:t xml:space="preserve">los medios abiótico, biótico y socioeconómico de forma independiente, </w:t>
      </w:r>
      <w:r w:rsidR="00834670" w:rsidRPr="004068F6">
        <w:rPr>
          <w:rFonts w:cs="Arial"/>
        </w:rPr>
        <w:t xml:space="preserve">o que lo hagan contemplando </w:t>
      </w:r>
      <w:r w:rsidR="00CF1FE3" w:rsidRPr="004068F6">
        <w:rPr>
          <w:rFonts w:cs="Arial"/>
        </w:rPr>
        <w:t xml:space="preserve">las relaciones </w:t>
      </w:r>
      <w:r w:rsidR="009829F5" w:rsidRPr="004068F6">
        <w:rPr>
          <w:rFonts w:cs="Arial"/>
        </w:rPr>
        <w:t xml:space="preserve">e interdependencias </w:t>
      </w:r>
      <w:r w:rsidR="00CF1FE3" w:rsidRPr="004068F6">
        <w:rPr>
          <w:rFonts w:cs="Arial"/>
        </w:rPr>
        <w:t>que existen entre ellos</w:t>
      </w:r>
      <w:r w:rsidRPr="004068F6">
        <w:rPr>
          <w:rFonts w:cs="Arial"/>
        </w:rPr>
        <w:t xml:space="preserve">, </w:t>
      </w:r>
      <w:r w:rsidR="00834670" w:rsidRPr="004068F6">
        <w:rPr>
          <w:rFonts w:cs="Arial"/>
        </w:rPr>
        <w:t xml:space="preserve">a fin de </w:t>
      </w:r>
      <w:r w:rsidR="00B44BB4" w:rsidRPr="004068F6">
        <w:rPr>
          <w:rFonts w:cs="Arial"/>
        </w:rPr>
        <w:lastRenderedPageBreak/>
        <w:t xml:space="preserve">encontrar </w:t>
      </w:r>
      <w:r w:rsidR="009829F5" w:rsidRPr="004068F6">
        <w:rPr>
          <w:rFonts w:cs="Arial"/>
        </w:rPr>
        <w:t>diferencias en</w:t>
      </w:r>
      <w:r w:rsidR="00B44BB4" w:rsidRPr="004068F6">
        <w:rPr>
          <w:rFonts w:cs="Arial"/>
        </w:rPr>
        <w:t>tre</w:t>
      </w:r>
      <w:r w:rsidR="009829F5" w:rsidRPr="004068F6">
        <w:rPr>
          <w:rFonts w:cs="Arial"/>
        </w:rPr>
        <w:t xml:space="preserve"> las implicaciones ambientales de las alternativas</w:t>
      </w:r>
      <w:r w:rsidR="00D855D0" w:rsidRPr="004068F6">
        <w:rPr>
          <w:rFonts w:cs="Arial"/>
        </w:rPr>
        <w:t xml:space="preserve">, </w:t>
      </w:r>
      <w:r w:rsidR="009829F5" w:rsidRPr="004068F6">
        <w:rPr>
          <w:rFonts w:cs="Arial"/>
        </w:rPr>
        <w:t xml:space="preserve">y </w:t>
      </w:r>
      <w:r w:rsidR="00D855D0" w:rsidRPr="004068F6">
        <w:rPr>
          <w:rFonts w:cs="Arial"/>
        </w:rPr>
        <w:t>en función de ell</w:t>
      </w:r>
      <w:r w:rsidR="00B44BB4" w:rsidRPr="004068F6">
        <w:rPr>
          <w:rFonts w:cs="Arial"/>
        </w:rPr>
        <w:t>as</w:t>
      </w:r>
      <w:r w:rsidR="00D855D0" w:rsidRPr="004068F6">
        <w:rPr>
          <w:rFonts w:cs="Arial"/>
        </w:rPr>
        <w:t xml:space="preserve"> </w:t>
      </w:r>
      <w:r w:rsidR="009829F5" w:rsidRPr="004068F6">
        <w:rPr>
          <w:rFonts w:cs="Arial"/>
        </w:rPr>
        <w:t xml:space="preserve">tomar </w:t>
      </w:r>
      <w:r w:rsidR="00834670" w:rsidRPr="004068F6">
        <w:rPr>
          <w:rFonts w:cs="Arial"/>
        </w:rPr>
        <w:t xml:space="preserve">decisiones de forma </w:t>
      </w:r>
      <w:r w:rsidR="009829F5" w:rsidRPr="004068F6">
        <w:rPr>
          <w:rFonts w:cs="Arial"/>
        </w:rPr>
        <w:t>i</w:t>
      </w:r>
      <w:r w:rsidR="00834670" w:rsidRPr="004068F6">
        <w:rPr>
          <w:rFonts w:cs="Arial"/>
        </w:rPr>
        <w:t>ntegra</w:t>
      </w:r>
      <w:r w:rsidR="009829F5" w:rsidRPr="004068F6">
        <w:rPr>
          <w:rFonts w:cs="Arial"/>
        </w:rPr>
        <w:t>l</w:t>
      </w:r>
      <w:r w:rsidR="00834670" w:rsidRPr="004068F6">
        <w:rPr>
          <w:rFonts w:cs="Arial"/>
        </w:rPr>
        <w:t>.</w:t>
      </w:r>
    </w:p>
    <w:p w14:paraId="7A59EA34" w14:textId="77777777" w:rsidR="001125D2" w:rsidRPr="004068F6" w:rsidRDefault="001125D2" w:rsidP="001125D2">
      <w:pPr>
        <w:numPr>
          <w:ilvl w:val="12"/>
          <w:numId w:val="0"/>
        </w:numPr>
        <w:tabs>
          <w:tab w:val="left" w:pos="-2268"/>
        </w:tabs>
        <w:suppressAutoHyphens/>
        <w:rPr>
          <w:rFonts w:cs="Arial"/>
        </w:rPr>
      </w:pPr>
    </w:p>
    <w:p w14:paraId="667AD123" w14:textId="60DB5847" w:rsidR="001125D2" w:rsidRPr="004068F6" w:rsidRDefault="001125D2" w:rsidP="001125D2">
      <w:pPr>
        <w:numPr>
          <w:ilvl w:val="12"/>
          <w:numId w:val="0"/>
        </w:numPr>
        <w:tabs>
          <w:tab w:val="left" w:pos="-2268"/>
        </w:tabs>
        <w:suppressAutoHyphens/>
        <w:rPr>
          <w:rFonts w:cs="Arial"/>
        </w:rPr>
      </w:pPr>
      <w:r w:rsidRPr="004068F6">
        <w:rPr>
          <w:rFonts w:cs="Arial"/>
        </w:rPr>
        <w:t>A continuación</w:t>
      </w:r>
      <w:r w:rsidR="0006130F" w:rsidRPr="004068F6">
        <w:rPr>
          <w:rFonts w:cs="Arial"/>
        </w:rPr>
        <w:t>,</w:t>
      </w:r>
      <w:r w:rsidRPr="004068F6">
        <w:rPr>
          <w:rFonts w:cs="Arial"/>
        </w:rPr>
        <w:t xml:space="preserve"> se señalan los </w:t>
      </w:r>
      <w:r w:rsidR="00534FE2" w:rsidRPr="004068F6">
        <w:rPr>
          <w:rFonts w:cs="Arial"/>
        </w:rPr>
        <w:t xml:space="preserve">lineamientos y directrices para la elaboración de los </w:t>
      </w:r>
      <w:r w:rsidRPr="004068F6">
        <w:rPr>
          <w:rFonts w:cs="Arial"/>
        </w:rPr>
        <w:t xml:space="preserve">capítulos que </w:t>
      </w:r>
      <w:r w:rsidR="00534FE2" w:rsidRPr="004068F6">
        <w:rPr>
          <w:rFonts w:cs="Arial"/>
        </w:rPr>
        <w:t>conforman</w:t>
      </w:r>
      <w:r w:rsidRPr="004068F6">
        <w:rPr>
          <w:rFonts w:cs="Arial"/>
        </w:rPr>
        <w:t xml:space="preserve"> el DAA.</w:t>
      </w:r>
      <w:r w:rsidR="00534FE2" w:rsidRPr="004068F6">
        <w:rPr>
          <w:spacing w:val="-3"/>
        </w:rPr>
        <w:t xml:space="preserve"> Los requerimientos de información particulares a cada tipo de proyecto, obra o actividad se especifican en los términos de referencia.</w:t>
      </w:r>
    </w:p>
    <w:p w14:paraId="42129958" w14:textId="77777777" w:rsidR="00DF6D4D" w:rsidRPr="004068F6" w:rsidRDefault="00DF6D4D">
      <w:pPr>
        <w:overflowPunct/>
        <w:autoSpaceDE/>
        <w:autoSpaceDN/>
        <w:adjustRightInd/>
        <w:jc w:val="left"/>
        <w:textAlignment w:val="auto"/>
        <w:rPr>
          <w:spacing w:val="-3"/>
        </w:rPr>
      </w:pPr>
    </w:p>
    <w:p w14:paraId="57738326" w14:textId="7955ECDF" w:rsidR="001125D2" w:rsidRPr="004068F6" w:rsidRDefault="001125D2">
      <w:pPr>
        <w:overflowPunct/>
        <w:autoSpaceDE/>
        <w:autoSpaceDN/>
        <w:adjustRightInd/>
        <w:jc w:val="left"/>
        <w:textAlignment w:val="auto"/>
        <w:rPr>
          <w:spacing w:val="-3"/>
        </w:rPr>
      </w:pPr>
    </w:p>
    <w:p w14:paraId="49E52D0B" w14:textId="61AD0EFD" w:rsidR="004F566C" w:rsidRPr="004068F6" w:rsidRDefault="00012605" w:rsidP="00456AB1">
      <w:pPr>
        <w:pStyle w:val="Ttulo1"/>
        <w:numPr>
          <w:ilvl w:val="0"/>
          <w:numId w:val="8"/>
        </w:numPr>
        <w:rPr>
          <w:b w:val="0"/>
          <w:lang w:val="es-CO"/>
        </w:rPr>
      </w:pPr>
      <w:bookmarkStart w:id="1981" w:name="_Ref189034887"/>
      <w:bookmarkStart w:id="1982" w:name="_Ref195687130"/>
      <w:bookmarkStart w:id="1983" w:name="_Toc230879571"/>
      <w:r w:rsidRPr="004068F6">
        <w:rPr>
          <w:lang w:val="es-CO"/>
        </w:rPr>
        <w:t>DESCRIPCIÓN DEL PROYECTO</w:t>
      </w:r>
      <w:bookmarkEnd w:id="1981"/>
      <w:bookmarkEnd w:id="1982"/>
      <w:bookmarkEnd w:id="1983"/>
    </w:p>
    <w:p w14:paraId="4DFA4321" w14:textId="77777777" w:rsidR="002F1D11" w:rsidRPr="004068F6" w:rsidRDefault="002F1D11">
      <w:pPr>
        <w:numPr>
          <w:ilvl w:val="12"/>
          <w:numId w:val="0"/>
        </w:numPr>
        <w:tabs>
          <w:tab w:val="left" w:pos="-2268"/>
        </w:tabs>
        <w:suppressAutoHyphens/>
        <w:rPr>
          <w:spacing w:val="-3"/>
        </w:rPr>
      </w:pPr>
    </w:p>
    <w:p w14:paraId="4E4A6A49" w14:textId="0D8DD4EE" w:rsidR="002F1D11" w:rsidRPr="004068F6" w:rsidRDefault="002F1D11" w:rsidP="3BACB336">
      <w:pPr>
        <w:suppressAutoHyphens/>
      </w:pPr>
      <w:r w:rsidRPr="004068F6">
        <w:rPr>
          <w:spacing w:val="-3"/>
        </w:rPr>
        <w:t xml:space="preserve">Se debe </w:t>
      </w:r>
      <w:r w:rsidR="00F1664B" w:rsidRPr="004068F6">
        <w:rPr>
          <w:spacing w:val="-3"/>
        </w:rPr>
        <w:t xml:space="preserve">describir de forma sintética </w:t>
      </w:r>
      <w:r w:rsidR="005F481A" w:rsidRPr="004068F6">
        <w:rPr>
          <w:spacing w:val="-3"/>
        </w:rPr>
        <w:t>el proyecto, obra o actividad para el cual se formulan las alternativas</w:t>
      </w:r>
      <w:r w:rsidR="00F1664B" w:rsidRPr="004068F6">
        <w:rPr>
          <w:spacing w:val="-3"/>
        </w:rPr>
        <w:t>, señalando su objetivo fundamental y alcance; asimismo, se debe</w:t>
      </w:r>
      <w:r w:rsidR="00A8201B" w:rsidRPr="004068F6">
        <w:rPr>
          <w:spacing w:val="-3"/>
        </w:rPr>
        <w:t xml:space="preserve">n describir de forma </w:t>
      </w:r>
      <w:r w:rsidR="00F1664B" w:rsidRPr="004068F6">
        <w:rPr>
          <w:spacing w:val="-3"/>
        </w:rPr>
        <w:t xml:space="preserve">general las </w:t>
      </w:r>
      <w:r w:rsidR="005F481A" w:rsidRPr="004068F6">
        <w:rPr>
          <w:spacing w:val="-3"/>
        </w:rPr>
        <w:t xml:space="preserve">alternativas incorporando información que permita </w:t>
      </w:r>
      <w:r w:rsidR="00F1664B" w:rsidRPr="004068F6">
        <w:rPr>
          <w:spacing w:val="-3"/>
        </w:rPr>
        <w:t xml:space="preserve">evaluarlas y </w:t>
      </w:r>
      <w:r w:rsidR="00E26DC5" w:rsidRPr="004068F6">
        <w:rPr>
          <w:rFonts w:cs="Arial"/>
          <w:spacing w:val="-3"/>
        </w:rPr>
        <w:t>compara</w:t>
      </w:r>
      <w:r w:rsidR="005F481A" w:rsidRPr="004068F6">
        <w:rPr>
          <w:rFonts w:cs="Arial"/>
          <w:spacing w:val="-3"/>
        </w:rPr>
        <w:t>rlas</w:t>
      </w:r>
      <w:r w:rsidRPr="004068F6">
        <w:rPr>
          <w:spacing w:val="-3"/>
        </w:rPr>
        <w:t xml:space="preserve">. </w:t>
      </w:r>
      <w:r w:rsidR="005F481A" w:rsidRPr="004068F6">
        <w:rPr>
          <w:spacing w:val="-3"/>
        </w:rPr>
        <w:t>La</w:t>
      </w:r>
      <w:r w:rsidRPr="004068F6">
        <w:rPr>
          <w:spacing w:val="-3"/>
        </w:rPr>
        <w:t xml:space="preserve"> descripción general de cada una de las alternativas propuestas para el desarrollo del proyecto, </w:t>
      </w:r>
      <w:r w:rsidRPr="004068F6">
        <w:rPr>
          <w:rFonts w:cs="Arial"/>
          <w:spacing w:val="-3"/>
        </w:rPr>
        <w:t xml:space="preserve">obra o actividad </w:t>
      </w:r>
      <w:r w:rsidR="005F481A" w:rsidRPr="004068F6">
        <w:rPr>
          <w:rFonts w:cs="Arial"/>
          <w:spacing w:val="-3"/>
        </w:rPr>
        <w:t xml:space="preserve">debe </w:t>
      </w:r>
      <w:r w:rsidRPr="004068F6">
        <w:rPr>
          <w:spacing w:val="-3"/>
        </w:rPr>
        <w:t>indica</w:t>
      </w:r>
      <w:r w:rsidR="005F481A" w:rsidRPr="004068F6">
        <w:rPr>
          <w:spacing w:val="-3"/>
        </w:rPr>
        <w:t>r</w:t>
      </w:r>
      <w:r w:rsidRPr="004068F6">
        <w:rPr>
          <w:spacing w:val="-3"/>
        </w:rPr>
        <w:t xml:space="preserve"> las posibles opciones respecto de la localización o trazado</w:t>
      </w:r>
      <w:r w:rsidR="003621DE" w:rsidRPr="004068F6">
        <w:rPr>
          <w:rStyle w:val="Refdenotaalpie"/>
          <w:rFonts w:cs="Arial"/>
          <w:spacing w:val="-3"/>
          <w:lang w:val="es-CO"/>
        </w:rPr>
        <w:footnoteReference w:id="21"/>
      </w:r>
      <w:r w:rsidRPr="004068F6">
        <w:rPr>
          <w:spacing w:val="-3"/>
        </w:rPr>
        <w:t>, del alcance temporal, de las características t</w:t>
      </w:r>
      <w:r w:rsidR="00A74010" w:rsidRPr="004068F6">
        <w:rPr>
          <w:spacing w:val="-3"/>
        </w:rPr>
        <w:t>ecnológ</w:t>
      </w:r>
      <w:r w:rsidRPr="004068F6">
        <w:rPr>
          <w:spacing w:val="-3"/>
        </w:rPr>
        <w:t>icas y de diseño, así como del uso y aprovechamiento de recursos naturales.</w:t>
      </w:r>
    </w:p>
    <w:p w14:paraId="17DC482A" w14:textId="77777777" w:rsidR="002F1D11" w:rsidRPr="004068F6" w:rsidRDefault="002F1D11">
      <w:pPr>
        <w:numPr>
          <w:ilvl w:val="12"/>
          <w:numId w:val="0"/>
        </w:numPr>
        <w:tabs>
          <w:tab w:val="left" w:pos="-2268"/>
        </w:tabs>
        <w:suppressAutoHyphens/>
        <w:rPr>
          <w:spacing w:val="-3"/>
        </w:rPr>
      </w:pPr>
    </w:p>
    <w:p w14:paraId="0CB8D901" w14:textId="654B3051" w:rsidR="00FD15C0" w:rsidRDefault="002F1D11">
      <w:pPr>
        <w:numPr>
          <w:ilvl w:val="12"/>
          <w:numId w:val="0"/>
        </w:numPr>
        <w:tabs>
          <w:tab w:val="left" w:pos="-2268"/>
        </w:tabs>
        <w:suppressAutoHyphens/>
        <w:rPr>
          <w:spacing w:val="-3"/>
        </w:rPr>
      </w:pPr>
      <w:r w:rsidRPr="004068F6">
        <w:rPr>
          <w:spacing w:val="-3"/>
        </w:rPr>
        <w:t>El proceso de formulación de las alternativas debe realizarse de forma integral, conjugando el conocimiento que en esta etapa se tenga del entorno</w:t>
      </w:r>
      <w:r w:rsidR="00E16EF5" w:rsidRPr="004068F6">
        <w:rPr>
          <w:spacing w:val="-3"/>
        </w:rPr>
        <w:t xml:space="preserve"> </w:t>
      </w:r>
      <w:r w:rsidRPr="004068F6">
        <w:rPr>
          <w:spacing w:val="-3"/>
        </w:rPr>
        <w:t>y del proyecto</w:t>
      </w:r>
      <w:r w:rsidR="00292FA8">
        <w:rPr>
          <w:spacing w:val="-3"/>
        </w:rPr>
        <w:t>,</w:t>
      </w:r>
      <w:r w:rsidRPr="004068F6">
        <w:rPr>
          <w:spacing w:val="-3"/>
        </w:rPr>
        <w:t xml:space="preserve"> con</w:t>
      </w:r>
      <w:r w:rsidR="00587971" w:rsidRPr="004068F6">
        <w:rPr>
          <w:spacing w:val="-3"/>
        </w:rPr>
        <w:t xml:space="preserve"> las </w:t>
      </w:r>
      <w:r w:rsidRPr="004068F6">
        <w:rPr>
          <w:spacing w:val="-3"/>
        </w:rPr>
        <w:t xml:space="preserve">posibles ubicaciones y trazados, </w:t>
      </w:r>
      <w:r w:rsidR="00790995" w:rsidRPr="004068F6">
        <w:rPr>
          <w:spacing w:val="-3"/>
        </w:rPr>
        <w:t xml:space="preserve">así como </w:t>
      </w:r>
      <w:r w:rsidR="00AB1F04" w:rsidRPr="004068F6">
        <w:rPr>
          <w:spacing w:val="-3"/>
        </w:rPr>
        <w:t xml:space="preserve">con las </w:t>
      </w:r>
      <w:r w:rsidRPr="004068F6">
        <w:rPr>
          <w:spacing w:val="-3"/>
        </w:rPr>
        <w:t xml:space="preserve">diferentes </w:t>
      </w:r>
      <w:r w:rsidRPr="004068F6">
        <w:rPr>
          <w:rFonts w:cs="Arial"/>
          <w:spacing w:val="-3"/>
        </w:rPr>
        <w:t>opciones</w:t>
      </w:r>
      <w:r w:rsidRPr="004068F6">
        <w:rPr>
          <w:spacing w:val="-3"/>
        </w:rPr>
        <w:t xml:space="preserve"> de tecnología y de diseño</w:t>
      </w:r>
      <w:r w:rsidR="00C404A2" w:rsidRPr="004068F6">
        <w:rPr>
          <w:rStyle w:val="Refdenotaalpie"/>
          <w:spacing w:val="-3"/>
          <w:lang w:val="es-CO"/>
        </w:rPr>
        <w:footnoteReference w:id="22"/>
      </w:r>
      <w:r w:rsidRPr="004068F6">
        <w:rPr>
          <w:spacing w:val="-3"/>
        </w:rPr>
        <w:t xml:space="preserve">, de </w:t>
      </w:r>
      <w:r w:rsidRPr="004068F6">
        <w:rPr>
          <w:rFonts w:cs="Arial"/>
          <w:spacing w:val="-3"/>
        </w:rPr>
        <w:t>tal forma que las</w:t>
      </w:r>
      <w:r w:rsidRPr="004068F6">
        <w:rPr>
          <w:spacing w:val="-3"/>
        </w:rPr>
        <w:t xml:space="preserve"> alternativas </w:t>
      </w:r>
      <w:r w:rsidRPr="004068F6">
        <w:rPr>
          <w:rFonts w:cs="Arial"/>
          <w:spacing w:val="-3"/>
        </w:rPr>
        <w:t>finalmente consideradas,</w:t>
      </w:r>
      <w:r w:rsidRPr="004068F6">
        <w:rPr>
          <w:spacing w:val="-3"/>
        </w:rPr>
        <w:t xml:space="preserve"> además de ser</w:t>
      </w:r>
      <w:r w:rsidR="00790995" w:rsidRPr="004068F6">
        <w:rPr>
          <w:spacing w:val="-3"/>
        </w:rPr>
        <w:t xml:space="preserve"> practicables</w:t>
      </w:r>
      <w:r w:rsidR="006E4531" w:rsidRPr="004068F6">
        <w:rPr>
          <w:spacing w:val="-3"/>
        </w:rPr>
        <w:t xml:space="preserve"> desde el punto de vista técnico</w:t>
      </w:r>
      <w:r w:rsidRPr="004068F6">
        <w:rPr>
          <w:rFonts w:cs="Arial"/>
          <w:spacing w:val="-3"/>
        </w:rPr>
        <w:t>, sean</w:t>
      </w:r>
      <w:r w:rsidRPr="004068F6">
        <w:rPr>
          <w:spacing w:val="-3"/>
        </w:rPr>
        <w:t xml:space="preserve"> ambientalmente racionales al optimizar el uso de recursos </w:t>
      </w:r>
      <w:r w:rsidRPr="004068F6">
        <w:rPr>
          <w:rFonts w:cs="Arial"/>
          <w:spacing w:val="-3"/>
        </w:rPr>
        <w:t>naturales</w:t>
      </w:r>
      <w:r w:rsidR="00336542" w:rsidRPr="004068F6">
        <w:rPr>
          <w:rFonts w:cs="Arial"/>
          <w:spacing w:val="-3"/>
        </w:rPr>
        <w:t>,</w:t>
      </w:r>
      <w:r w:rsidRPr="004068F6">
        <w:rPr>
          <w:rFonts w:cs="Arial"/>
          <w:spacing w:val="-3"/>
        </w:rPr>
        <w:t xml:space="preserve"> </w:t>
      </w:r>
      <w:r w:rsidRPr="004068F6">
        <w:rPr>
          <w:spacing w:val="-3"/>
        </w:rPr>
        <w:t xml:space="preserve">evitar </w:t>
      </w:r>
      <w:r w:rsidRPr="004068F6">
        <w:rPr>
          <w:rFonts w:cs="Arial"/>
          <w:spacing w:val="-3"/>
        </w:rPr>
        <w:t>y</w:t>
      </w:r>
      <w:r w:rsidRPr="004068F6">
        <w:rPr>
          <w:spacing w:val="-3"/>
        </w:rPr>
        <w:t xml:space="preserve"> minimizar riesgos</w:t>
      </w:r>
      <w:r w:rsidR="00534FE2" w:rsidRPr="004068F6">
        <w:rPr>
          <w:spacing w:val="-3"/>
        </w:rPr>
        <w:t xml:space="preserve"> o </w:t>
      </w:r>
      <w:r w:rsidRPr="004068F6">
        <w:rPr>
          <w:spacing w:val="-3"/>
        </w:rPr>
        <w:t xml:space="preserve">impactos </w:t>
      </w:r>
      <w:r w:rsidR="00534FE2" w:rsidRPr="004068F6">
        <w:rPr>
          <w:spacing w:val="-3"/>
        </w:rPr>
        <w:t>ambientales</w:t>
      </w:r>
      <w:r w:rsidR="00EF5C13" w:rsidRPr="00127BD4">
        <w:rPr>
          <w:spacing w:val="-3"/>
        </w:rPr>
        <w:t xml:space="preserve"> negativos</w:t>
      </w:r>
      <w:r w:rsidRPr="004068F6">
        <w:rPr>
          <w:spacing w:val="-3"/>
        </w:rPr>
        <w:t>.</w:t>
      </w:r>
    </w:p>
    <w:p w14:paraId="7B2A9D54" w14:textId="77777777" w:rsidR="00FE7475" w:rsidRDefault="00FE7475">
      <w:pPr>
        <w:numPr>
          <w:ilvl w:val="12"/>
          <w:numId w:val="0"/>
        </w:numPr>
        <w:tabs>
          <w:tab w:val="left" w:pos="-2268"/>
        </w:tabs>
        <w:suppressAutoHyphens/>
        <w:rPr>
          <w:spacing w:val="-3"/>
        </w:rPr>
      </w:pPr>
    </w:p>
    <w:p w14:paraId="24FD65E9" w14:textId="0159C260" w:rsidR="00FE7475" w:rsidRPr="00FE7475" w:rsidRDefault="00FE7475" w:rsidP="00FE7475">
      <w:pPr>
        <w:numPr>
          <w:ilvl w:val="12"/>
          <w:numId w:val="0"/>
        </w:numPr>
        <w:tabs>
          <w:tab w:val="left" w:pos="-2268"/>
        </w:tabs>
        <w:suppressAutoHyphens/>
        <w:rPr>
          <w:spacing w:val="-3"/>
        </w:rPr>
      </w:pPr>
      <w:r>
        <w:rPr>
          <w:spacing w:val="-3"/>
        </w:rPr>
        <w:t>D</w:t>
      </w:r>
      <w:r w:rsidRPr="00FE7475">
        <w:rPr>
          <w:spacing w:val="-3"/>
        </w:rPr>
        <w:t xml:space="preserve">ado que las alternativas se establecen en una etapa temprana del proceso de formulación de los proyectos y que es posible que las características de éste varíen a medida que </w:t>
      </w:r>
      <w:r w:rsidR="009F51C2">
        <w:rPr>
          <w:spacing w:val="-3"/>
        </w:rPr>
        <w:t>evoluciona su desarrollo</w:t>
      </w:r>
      <w:r w:rsidRPr="00FE7475">
        <w:rPr>
          <w:spacing w:val="-3"/>
        </w:rPr>
        <w:t xml:space="preserve">, en algunas oportunidades resulta necesario que </w:t>
      </w:r>
      <w:r w:rsidRPr="00FE7475">
        <w:rPr>
          <w:spacing w:val="-3"/>
        </w:rPr>
        <w:lastRenderedPageBreak/>
        <w:t>cada alternativa, además de considerar el área en la que se prevé su localización o trazado, contemple una superficie de ajuste técnico.</w:t>
      </w:r>
    </w:p>
    <w:p w14:paraId="283B7423" w14:textId="77777777" w:rsidR="00FE7475" w:rsidRPr="00FE7475" w:rsidRDefault="00FE7475" w:rsidP="00FE7475">
      <w:pPr>
        <w:numPr>
          <w:ilvl w:val="12"/>
          <w:numId w:val="0"/>
        </w:numPr>
        <w:tabs>
          <w:tab w:val="left" w:pos="-2268"/>
        </w:tabs>
        <w:suppressAutoHyphens/>
        <w:rPr>
          <w:spacing w:val="-3"/>
        </w:rPr>
      </w:pPr>
    </w:p>
    <w:p w14:paraId="401251FB" w14:textId="3E2ED9B6" w:rsidR="00FE7475" w:rsidRPr="004068F6" w:rsidRDefault="00FE7475" w:rsidP="00FE7475">
      <w:pPr>
        <w:numPr>
          <w:ilvl w:val="12"/>
          <w:numId w:val="0"/>
        </w:numPr>
        <w:tabs>
          <w:tab w:val="left" w:pos="-2268"/>
        </w:tabs>
        <w:suppressAutoHyphens/>
        <w:rPr>
          <w:spacing w:val="-3"/>
        </w:rPr>
      </w:pPr>
      <w:r w:rsidRPr="00FE7475">
        <w:rPr>
          <w:spacing w:val="-3"/>
        </w:rPr>
        <w:t xml:space="preserve">Esta superficie es aquella área que permite realizar modificaciones </w:t>
      </w:r>
      <w:r w:rsidR="00F069B1">
        <w:rPr>
          <w:spacing w:val="-3"/>
        </w:rPr>
        <w:t xml:space="preserve">razonables </w:t>
      </w:r>
      <w:r w:rsidRPr="00FE7475">
        <w:rPr>
          <w:spacing w:val="-3"/>
        </w:rPr>
        <w:t xml:space="preserve">de localización o trazado en fases posteriores de la formulación del proyecto y que considera márgenes operativos y necesidades previsibles de uso o aprovechamiento de recursos naturales; esta superficie permite comparar las alternativas suponiendo que cada una de ellas puede localizarse en cualquier lugar la superficie de ajuste técnico que le corresponde. En caso de que se requiera definir una superficie de ajuste técnico para las alternativas, se debe justificar </w:t>
      </w:r>
      <w:r w:rsidR="00192B82">
        <w:rPr>
          <w:spacing w:val="-3"/>
        </w:rPr>
        <w:t>su</w:t>
      </w:r>
      <w:r w:rsidR="00192B82" w:rsidRPr="00FE7475">
        <w:rPr>
          <w:spacing w:val="-3"/>
        </w:rPr>
        <w:t xml:space="preserve"> extensión y forma</w:t>
      </w:r>
      <w:r w:rsidR="00192B82">
        <w:rPr>
          <w:spacing w:val="-3"/>
        </w:rPr>
        <w:t xml:space="preserve"> </w:t>
      </w:r>
      <w:r w:rsidR="00765A51">
        <w:rPr>
          <w:spacing w:val="-3"/>
        </w:rPr>
        <w:t xml:space="preserve">conforme </w:t>
      </w:r>
      <w:r w:rsidR="00192B82">
        <w:rPr>
          <w:rFonts w:cs="Arial"/>
          <w:spacing w:val="-3"/>
        </w:rPr>
        <w:t>a criterios técnicos, operativos y ambientales</w:t>
      </w:r>
      <w:r w:rsidRPr="00FE7475">
        <w:rPr>
          <w:spacing w:val="-3"/>
        </w:rPr>
        <w:t>.</w:t>
      </w:r>
    </w:p>
    <w:p w14:paraId="399359F6" w14:textId="77777777" w:rsidR="00684657" w:rsidRPr="004068F6" w:rsidRDefault="00684657">
      <w:pPr>
        <w:numPr>
          <w:ilvl w:val="12"/>
          <w:numId w:val="0"/>
        </w:numPr>
        <w:tabs>
          <w:tab w:val="left" w:pos="-2268"/>
        </w:tabs>
        <w:suppressAutoHyphens/>
        <w:rPr>
          <w:spacing w:val="-3"/>
        </w:rPr>
      </w:pPr>
    </w:p>
    <w:p w14:paraId="21918E73" w14:textId="77777777" w:rsidR="00C404A2" w:rsidRPr="004068F6" w:rsidRDefault="00C404A2">
      <w:pPr>
        <w:numPr>
          <w:ilvl w:val="12"/>
          <w:numId w:val="0"/>
        </w:numPr>
        <w:tabs>
          <w:tab w:val="left" w:pos="-2268"/>
        </w:tabs>
        <w:suppressAutoHyphens/>
        <w:rPr>
          <w:spacing w:val="-3"/>
        </w:rPr>
      </w:pPr>
    </w:p>
    <w:p w14:paraId="06AEB6CC" w14:textId="68A66359" w:rsidR="000F2600" w:rsidRPr="004068F6" w:rsidRDefault="000F2600" w:rsidP="00456AB1">
      <w:pPr>
        <w:pStyle w:val="Ttulo1"/>
        <w:numPr>
          <w:ilvl w:val="0"/>
          <w:numId w:val="8"/>
        </w:numPr>
        <w:rPr>
          <w:lang w:val="es-CO"/>
        </w:rPr>
      </w:pPr>
      <w:bookmarkStart w:id="1984" w:name="_Toc437935976"/>
      <w:bookmarkStart w:id="1985" w:name="_Toc230879572"/>
      <w:r w:rsidRPr="004068F6">
        <w:rPr>
          <w:lang w:val="es-CO"/>
        </w:rPr>
        <w:t>ÁREA DE ESTUDIO</w:t>
      </w:r>
      <w:bookmarkEnd w:id="1984"/>
      <w:bookmarkEnd w:id="1985"/>
    </w:p>
    <w:p w14:paraId="4BE24DDB" w14:textId="77777777" w:rsidR="00EB2C3D" w:rsidRPr="004068F6" w:rsidRDefault="00EB2C3D">
      <w:pPr>
        <w:numPr>
          <w:ilvl w:val="12"/>
          <w:numId w:val="0"/>
        </w:numPr>
        <w:tabs>
          <w:tab w:val="left" w:pos="-2268"/>
        </w:tabs>
        <w:suppressAutoHyphens/>
        <w:rPr>
          <w:spacing w:val="-3"/>
        </w:rPr>
      </w:pPr>
    </w:p>
    <w:p w14:paraId="45B5FB5F" w14:textId="77777777" w:rsidR="001D4E17" w:rsidRPr="00576441" w:rsidRDefault="001D4E17" w:rsidP="001D4E17">
      <w:pPr>
        <w:suppressAutoHyphens/>
        <w:rPr>
          <w:rFonts w:cs="Arial"/>
          <w:spacing w:val="-3"/>
        </w:rPr>
      </w:pPr>
      <w:r w:rsidRPr="00576441">
        <w:rPr>
          <w:rFonts w:cs="Arial"/>
          <w:spacing w:val="-3"/>
        </w:rPr>
        <w:t xml:space="preserve">El área en la cual se evalúan las alternativas objeto de comparación en un DAA se denomina área de estudio, y corresponde a la superficie </w:t>
      </w:r>
      <w:r>
        <w:rPr>
          <w:rFonts w:cs="Arial"/>
          <w:spacing w:val="-3"/>
        </w:rPr>
        <w:t xml:space="preserve">continua o discontinua </w:t>
      </w:r>
      <w:r w:rsidRPr="00576441">
        <w:rPr>
          <w:rFonts w:cs="Arial"/>
          <w:spacing w:val="-3"/>
        </w:rPr>
        <w:t>que integra el espacio geográfico de análisis donde se localizan las alternativas de un proyecto, obra o actividad. En esta área de contexto general se manifiestan los impactos ambientales significativos de carácter negativo que podrían presentarse por el desarrollo del proyecto en cualquiera de sus alternativas, considerando sus características de localización, diseño y tecnología.</w:t>
      </w:r>
    </w:p>
    <w:p w14:paraId="71794AEE" w14:textId="77777777" w:rsidR="001D4E17" w:rsidRPr="00576441" w:rsidRDefault="001D4E17" w:rsidP="001D4E17">
      <w:pPr>
        <w:suppressAutoHyphens/>
        <w:rPr>
          <w:rFonts w:cs="Arial"/>
          <w:spacing w:val="-3"/>
        </w:rPr>
      </w:pPr>
    </w:p>
    <w:p w14:paraId="553C85B2" w14:textId="5078A7E3" w:rsidR="001D4E17" w:rsidRPr="00576441" w:rsidRDefault="001D4E17" w:rsidP="001D4E17">
      <w:pPr>
        <w:suppressAutoHyphens/>
        <w:rPr>
          <w:rFonts w:cs="Arial"/>
          <w:spacing w:val="-3"/>
        </w:rPr>
      </w:pPr>
      <w:r>
        <w:rPr>
          <w:rFonts w:cs="Arial"/>
          <w:spacing w:val="-3"/>
        </w:rPr>
        <w:t>E</w:t>
      </w:r>
      <w:r w:rsidRPr="00576441">
        <w:rPr>
          <w:rFonts w:cs="Arial"/>
          <w:spacing w:val="-3"/>
        </w:rPr>
        <w:t xml:space="preserve">l área de estudio debe permitir </w:t>
      </w:r>
      <w:r w:rsidR="009059E6">
        <w:rPr>
          <w:rFonts w:cs="Arial"/>
          <w:spacing w:val="-3"/>
        </w:rPr>
        <w:t xml:space="preserve">la </w:t>
      </w:r>
      <w:r w:rsidRPr="00576441">
        <w:rPr>
          <w:rFonts w:cs="Arial"/>
          <w:spacing w:val="-3"/>
        </w:rPr>
        <w:t>evalua</w:t>
      </w:r>
      <w:r w:rsidR="009059E6">
        <w:rPr>
          <w:rFonts w:cs="Arial"/>
          <w:spacing w:val="-3"/>
        </w:rPr>
        <w:t xml:space="preserve">ción </w:t>
      </w:r>
      <w:r w:rsidRPr="00576441">
        <w:rPr>
          <w:rFonts w:cs="Arial"/>
          <w:spacing w:val="-3"/>
        </w:rPr>
        <w:t>y compara</w:t>
      </w:r>
      <w:r w:rsidR="009059E6">
        <w:rPr>
          <w:rFonts w:cs="Arial"/>
          <w:spacing w:val="-3"/>
        </w:rPr>
        <w:t xml:space="preserve">ción de </w:t>
      </w:r>
      <w:r w:rsidRPr="00576441">
        <w:rPr>
          <w:rFonts w:cs="Arial"/>
          <w:spacing w:val="-3"/>
        </w:rPr>
        <w:t xml:space="preserve">las implicaciones ambientales de </w:t>
      </w:r>
      <w:r>
        <w:rPr>
          <w:rFonts w:cs="Arial"/>
          <w:spacing w:val="-3"/>
        </w:rPr>
        <w:t xml:space="preserve">las </w:t>
      </w:r>
      <w:r w:rsidRPr="00576441">
        <w:rPr>
          <w:rFonts w:cs="Arial"/>
          <w:spacing w:val="-3"/>
        </w:rPr>
        <w:t>alternativas, garantiza</w:t>
      </w:r>
      <w:r>
        <w:rPr>
          <w:rFonts w:cs="Arial"/>
          <w:spacing w:val="-3"/>
        </w:rPr>
        <w:t xml:space="preserve">r </w:t>
      </w:r>
      <w:r w:rsidRPr="00576441">
        <w:rPr>
          <w:rFonts w:cs="Arial"/>
          <w:spacing w:val="-3"/>
        </w:rPr>
        <w:t xml:space="preserve">que la comparación se realice sobre </w:t>
      </w:r>
      <w:r>
        <w:rPr>
          <w:rFonts w:cs="Arial"/>
          <w:spacing w:val="-3"/>
        </w:rPr>
        <w:t xml:space="preserve">el mismo tipo de </w:t>
      </w:r>
      <w:r w:rsidRPr="00576441">
        <w:rPr>
          <w:rFonts w:cs="Arial"/>
          <w:spacing w:val="-3"/>
        </w:rPr>
        <w:t>unidades de análisis</w:t>
      </w:r>
      <w:r>
        <w:rPr>
          <w:rFonts w:cs="Arial"/>
          <w:spacing w:val="-3"/>
        </w:rPr>
        <w:t xml:space="preserve"> y</w:t>
      </w:r>
      <w:r w:rsidR="00C2280A">
        <w:rPr>
          <w:rFonts w:cs="Arial"/>
          <w:spacing w:val="-3"/>
        </w:rPr>
        <w:t>,</w:t>
      </w:r>
      <w:r w:rsidRPr="00576441">
        <w:rPr>
          <w:rFonts w:cs="Arial"/>
          <w:spacing w:val="-3"/>
        </w:rPr>
        <w:t xml:space="preserve"> emplea</w:t>
      </w:r>
      <w:r>
        <w:rPr>
          <w:rFonts w:cs="Arial"/>
          <w:spacing w:val="-3"/>
        </w:rPr>
        <w:t xml:space="preserve">r </w:t>
      </w:r>
      <w:r w:rsidRPr="00576441">
        <w:rPr>
          <w:rFonts w:cs="Arial"/>
          <w:spacing w:val="-3"/>
        </w:rPr>
        <w:t>información secundar</w:t>
      </w:r>
      <w:r>
        <w:rPr>
          <w:rFonts w:cs="Arial"/>
          <w:spacing w:val="-3"/>
        </w:rPr>
        <w:t>i</w:t>
      </w:r>
      <w:r w:rsidRPr="003A13F2">
        <w:rPr>
          <w:rFonts w:cs="Arial"/>
          <w:spacing w:val="-3"/>
        </w:rPr>
        <w:t>a</w:t>
      </w:r>
      <w:r>
        <w:rPr>
          <w:rFonts w:cs="Arial"/>
          <w:spacing w:val="-3"/>
        </w:rPr>
        <w:t>, principalmente</w:t>
      </w:r>
      <w:r w:rsidRPr="003A13F2">
        <w:rPr>
          <w:rFonts w:cs="Arial"/>
          <w:spacing w:val="-3"/>
        </w:rPr>
        <w:t xml:space="preserve">. </w:t>
      </w:r>
      <w:r>
        <w:rPr>
          <w:rFonts w:cs="Arial"/>
          <w:spacing w:val="-3"/>
        </w:rPr>
        <w:t xml:space="preserve">La superficie delimitada debe proveer </w:t>
      </w:r>
      <w:r w:rsidRPr="00576441">
        <w:rPr>
          <w:rFonts w:cs="Arial"/>
          <w:spacing w:val="-3"/>
        </w:rPr>
        <w:t xml:space="preserve">información suficiente que </w:t>
      </w:r>
      <w:r w:rsidR="00C2280A">
        <w:rPr>
          <w:rFonts w:cs="Arial"/>
          <w:spacing w:val="-3"/>
        </w:rPr>
        <w:t>posibilite</w:t>
      </w:r>
      <w:r>
        <w:rPr>
          <w:rFonts w:cs="Arial"/>
          <w:spacing w:val="-3"/>
        </w:rPr>
        <w:t>: i)</w:t>
      </w:r>
      <w:r w:rsidRPr="00576441">
        <w:rPr>
          <w:rFonts w:cs="Arial"/>
          <w:spacing w:val="-3"/>
        </w:rPr>
        <w:t xml:space="preserve"> analizar la</w:t>
      </w:r>
      <w:r>
        <w:rPr>
          <w:rFonts w:cs="Arial"/>
          <w:spacing w:val="-3"/>
        </w:rPr>
        <w:t xml:space="preserve">s características ambientales del territorio (incluyendo su </w:t>
      </w:r>
      <w:r w:rsidRPr="00576441">
        <w:rPr>
          <w:rFonts w:cs="Arial"/>
          <w:spacing w:val="-3"/>
        </w:rPr>
        <w:t>sensibilidad</w:t>
      </w:r>
      <w:r>
        <w:rPr>
          <w:rFonts w:cs="Arial"/>
          <w:spacing w:val="-3"/>
        </w:rPr>
        <w:t xml:space="preserve"> ambiental); ii) </w:t>
      </w:r>
      <w:r w:rsidRPr="00576441">
        <w:rPr>
          <w:rFonts w:cs="Arial"/>
          <w:spacing w:val="-3"/>
        </w:rPr>
        <w:t xml:space="preserve">identificar diferencias relevantes entre </w:t>
      </w:r>
      <w:r>
        <w:rPr>
          <w:rFonts w:cs="Arial"/>
          <w:spacing w:val="-3"/>
        </w:rPr>
        <w:t>las alternativas</w:t>
      </w:r>
      <w:r w:rsidRPr="00576441">
        <w:rPr>
          <w:rFonts w:cs="Arial"/>
          <w:spacing w:val="-3"/>
        </w:rPr>
        <w:t xml:space="preserve">; </w:t>
      </w:r>
      <w:r>
        <w:rPr>
          <w:rFonts w:cs="Arial"/>
          <w:spacing w:val="-3"/>
        </w:rPr>
        <w:t xml:space="preserve">iii) </w:t>
      </w:r>
      <w:r w:rsidRPr="00576441">
        <w:rPr>
          <w:rFonts w:cs="Arial"/>
          <w:spacing w:val="-3"/>
        </w:rPr>
        <w:t xml:space="preserve">evaluar y comparar </w:t>
      </w:r>
      <w:r w:rsidR="00FA6698">
        <w:rPr>
          <w:rFonts w:cs="Arial"/>
          <w:spacing w:val="-3"/>
        </w:rPr>
        <w:t xml:space="preserve">las </w:t>
      </w:r>
      <w:r w:rsidRPr="00576441">
        <w:rPr>
          <w:rFonts w:cs="Arial"/>
          <w:spacing w:val="-3"/>
        </w:rPr>
        <w:t xml:space="preserve">alternativas </w:t>
      </w:r>
      <w:r>
        <w:rPr>
          <w:rFonts w:cs="Arial"/>
          <w:spacing w:val="-3"/>
        </w:rPr>
        <w:t>y</w:t>
      </w:r>
      <w:r w:rsidRPr="00576441">
        <w:rPr>
          <w:rFonts w:cs="Arial"/>
          <w:spacing w:val="-3"/>
        </w:rPr>
        <w:t xml:space="preserve">; </w:t>
      </w:r>
      <w:r>
        <w:rPr>
          <w:rFonts w:cs="Arial"/>
          <w:spacing w:val="-3"/>
        </w:rPr>
        <w:t xml:space="preserve">iv) </w:t>
      </w:r>
      <w:r w:rsidRPr="00576441">
        <w:rPr>
          <w:rFonts w:cs="Arial"/>
          <w:spacing w:val="-3"/>
        </w:rPr>
        <w:t>sustentar la selección de la alternativa o conjunto de alternativas más favorables</w:t>
      </w:r>
      <w:r>
        <w:rPr>
          <w:rFonts w:cs="Arial"/>
          <w:spacing w:val="-3"/>
        </w:rPr>
        <w:t xml:space="preserve"> desde el punto de vista ambiental</w:t>
      </w:r>
      <w:r w:rsidRPr="00576441">
        <w:rPr>
          <w:rFonts w:cs="Arial"/>
          <w:spacing w:val="-3"/>
        </w:rPr>
        <w:t>.</w:t>
      </w:r>
    </w:p>
    <w:p w14:paraId="0DE1D39C" w14:textId="77777777" w:rsidR="001D4E17" w:rsidRDefault="001D4E17" w:rsidP="001D4E17">
      <w:pPr>
        <w:suppressAutoHyphens/>
        <w:rPr>
          <w:rFonts w:cs="Arial"/>
          <w:spacing w:val="-3"/>
        </w:rPr>
      </w:pPr>
    </w:p>
    <w:p w14:paraId="2B7FC843" w14:textId="400FBEAD" w:rsidR="001D4E17" w:rsidRPr="004068F6" w:rsidRDefault="001D4E17" w:rsidP="001D4E17">
      <w:pPr>
        <w:suppressAutoHyphens/>
        <w:rPr>
          <w:rFonts w:cs="Arial"/>
          <w:spacing w:val="-3"/>
        </w:rPr>
      </w:pPr>
      <w:r>
        <w:rPr>
          <w:rFonts w:cs="Arial"/>
          <w:spacing w:val="-3"/>
        </w:rPr>
        <w:t>En este sentido</w:t>
      </w:r>
      <w:r w:rsidRPr="004068F6">
        <w:rPr>
          <w:rFonts w:cs="Arial"/>
          <w:spacing w:val="-3"/>
        </w:rPr>
        <w:t xml:space="preserve">, el proceso de delimitación debe emplear la información consignada en los numerales </w:t>
      </w:r>
      <w:r w:rsidRPr="004068F6">
        <w:rPr>
          <w:rFonts w:cs="Arial"/>
          <w:spacing w:val="-3"/>
        </w:rPr>
        <w:fldChar w:fldCharType="begin"/>
      </w:r>
      <w:r w:rsidRPr="004068F6">
        <w:rPr>
          <w:rFonts w:cs="Arial"/>
          <w:spacing w:val="-3"/>
        </w:rPr>
        <w:instrText xml:space="preserve"> REF _Ref195687130 \r \h </w:instrText>
      </w:r>
      <w:r w:rsidRPr="004068F6">
        <w:rPr>
          <w:rFonts w:cs="Arial"/>
          <w:spacing w:val="-3"/>
        </w:rPr>
      </w:r>
      <w:r w:rsidRPr="004068F6">
        <w:rPr>
          <w:rFonts w:cs="Arial"/>
          <w:spacing w:val="-3"/>
        </w:rPr>
        <w:fldChar w:fldCharType="separate"/>
      </w:r>
      <w:r w:rsidR="009C4A81">
        <w:rPr>
          <w:rFonts w:cs="Arial"/>
          <w:spacing w:val="-3"/>
        </w:rPr>
        <w:t>1</w:t>
      </w:r>
      <w:r w:rsidRPr="004068F6">
        <w:rPr>
          <w:rFonts w:cs="Arial"/>
          <w:spacing w:val="-3"/>
        </w:rPr>
        <w:fldChar w:fldCharType="end"/>
      </w:r>
      <w:r w:rsidRPr="004068F6">
        <w:rPr>
          <w:rFonts w:cs="Arial"/>
          <w:spacing w:val="-3"/>
        </w:rPr>
        <w:t xml:space="preserve">, </w:t>
      </w:r>
      <w:r w:rsidR="0061121F">
        <w:rPr>
          <w:rFonts w:cs="Arial"/>
          <w:spacing w:val="-3"/>
        </w:rPr>
        <w:fldChar w:fldCharType="begin"/>
      </w:r>
      <w:r w:rsidR="0061121F">
        <w:rPr>
          <w:rFonts w:cs="Arial"/>
          <w:spacing w:val="-3"/>
        </w:rPr>
        <w:instrText xml:space="preserve"> REF _Ref230861972 \r \h </w:instrText>
      </w:r>
      <w:r w:rsidR="0061121F">
        <w:rPr>
          <w:rFonts w:cs="Arial"/>
          <w:spacing w:val="-3"/>
        </w:rPr>
      </w:r>
      <w:r w:rsidR="0061121F">
        <w:rPr>
          <w:rFonts w:cs="Arial"/>
          <w:spacing w:val="-3"/>
        </w:rPr>
        <w:fldChar w:fldCharType="separate"/>
      </w:r>
      <w:r w:rsidR="009C4A81">
        <w:rPr>
          <w:rFonts w:cs="Arial"/>
          <w:spacing w:val="-3"/>
        </w:rPr>
        <w:t>4</w:t>
      </w:r>
      <w:r w:rsidR="0061121F">
        <w:rPr>
          <w:rFonts w:cs="Arial"/>
          <w:spacing w:val="-3"/>
        </w:rPr>
        <w:fldChar w:fldCharType="end"/>
      </w:r>
      <w:r w:rsidR="0061121F">
        <w:rPr>
          <w:rFonts w:cs="Arial"/>
          <w:spacing w:val="-3"/>
        </w:rPr>
        <w:t xml:space="preserve">, </w:t>
      </w:r>
      <w:r w:rsidR="0061121F">
        <w:rPr>
          <w:rFonts w:cs="Arial"/>
          <w:spacing w:val="-3"/>
        </w:rPr>
        <w:fldChar w:fldCharType="begin"/>
      </w:r>
      <w:r w:rsidR="0061121F">
        <w:rPr>
          <w:rFonts w:cs="Arial"/>
          <w:spacing w:val="-3"/>
        </w:rPr>
        <w:instrText xml:space="preserve"> REF _Ref230861983 \r \h </w:instrText>
      </w:r>
      <w:r w:rsidR="0061121F">
        <w:rPr>
          <w:rFonts w:cs="Arial"/>
          <w:spacing w:val="-3"/>
        </w:rPr>
      </w:r>
      <w:r w:rsidR="0061121F">
        <w:rPr>
          <w:rFonts w:cs="Arial"/>
          <w:spacing w:val="-3"/>
        </w:rPr>
        <w:fldChar w:fldCharType="separate"/>
      </w:r>
      <w:r w:rsidR="009C4A81">
        <w:rPr>
          <w:rFonts w:cs="Arial"/>
          <w:spacing w:val="-3"/>
        </w:rPr>
        <w:t>6</w:t>
      </w:r>
      <w:r w:rsidR="0061121F">
        <w:rPr>
          <w:rFonts w:cs="Arial"/>
          <w:spacing w:val="-3"/>
        </w:rPr>
        <w:fldChar w:fldCharType="end"/>
      </w:r>
      <w:r w:rsidR="0061121F">
        <w:rPr>
          <w:rFonts w:cs="Arial"/>
          <w:spacing w:val="-3"/>
        </w:rPr>
        <w:t xml:space="preserve"> y </w:t>
      </w:r>
      <w:r w:rsidR="0061121F">
        <w:rPr>
          <w:rFonts w:cs="Arial"/>
          <w:spacing w:val="-3"/>
        </w:rPr>
        <w:fldChar w:fldCharType="begin"/>
      </w:r>
      <w:r w:rsidR="0061121F">
        <w:rPr>
          <w:rFonts w:cs="Arial"/>
          <w:spacing w:val="-3"/>
        </w:rPr>
        <w:instrText xml:space="preserve"> REF _Ref195687665 \r \h </w:instrText>
      </w:r>
      <w:r w:rsidR="0061121F">
        <w:rPr>
          <w:rFonts w:cs="Arial"/>
          <w:spacing w:val="-3"/>
        </w:rPr>
      </w:r>
      <w:r w:rsidR="0061121F">
        <w:rPr>
          <w:rFonts w:cs="Arial"/>
          <w:spacing w:val="-3"/>
        </w:rPr>
        <w:fldChar w:fldCharType="separate"/>
      </w:r>
      <w:r w:rsidR="009C4A81">
        <w:rPr>
          <w:rFonts w:cs="Arial"/>
          <w:spacing w:val="-3"/>
        </w:rPr>
        <w:t>7</w:t>
      </w:r>
      <w:r w:rsidR="0061121F">
        <w:rPr>
          <w:rFonts w:cs="Arial"/>
          <w:spacing w:val="-3"/>
        </w:rPr>
        <w:fldChar w:fldCharType="end"/>
      </w:r>
      <w:r w:rsidRPr="004068F6">
        <w:rPr>
          <w:rFonts w:cs="Arial"/>
          <w:spacing w:val="-3"/>
        </w:rPr>
        <w:t xml:space="preserve"> del presente capítulo</w:t>
      </w:r>
      <w:r>
        <w:rPr>
          <w:rFonts w:cs="Arial"/>
          <w:spacing w:val="-3"/>
        </w:rPr>
        <w:t xml:space="preserve"> (II):</w:t>
      </w:r>
      <w:r w:rsidRPr="004068F6">
        <w:rPr>
          <w:rFonts w:cs="Arial"/>
          <w:spacing w:val="-3"/>
        </w:rPr>
        <w:t xml:space="preserve"> Descripción del proyecto, Caracterización del área de estudio</w:t>
      </w:r>
      <w:r>
        <w:rPr>
          <w:rFonts w:cs="Arial"/>
          <w:spacing w:val="-3"/>
        </w:rPr>
        <w:t>, Zonificación ambiental</w:t>
      </w:r>
      <w:r w:rsidRPr="004068F6">
        <w:rPr>
          <w:rFonts w:cs="Arial"/>
          <w:spacing w:val="-3"/>
        </w:rPr>
        <w:t xml:space="preserve"> y Determinación y valoración de impactos, respectivamente.</w:t>
      </w:r>
    </w:p>
    <w:p w14:paraId="60327BD8" w14:textId="77777777" w:rsidR="001D4E17" w:rsidRPr="00576441" w:rsidRDefault="001D4E17" w:rsidP="001D4E17">
      <w:pPr>
        <w:suppressAutoHyphens/>
        <w:rPr>
          <w:rFonts w:cs="Arial"/>
          <w:spacing w:val="-3"/>
        </w:rPr>
      </w:pPr>
    </w:p>
    <w:p w14:paraId="0BC5EE94" w14:textId="6071D846" w:rsidR="001D4E17" w:rsidRDefault="001D4E17" w:rsidP="001D4E17">
      <w:pPr>
        <w:suppressAutoHyphens/>
        <w:rPr>
          <w:rFonts w:cs="Arial"/>
          <w:spacing w:val="-3"/>
        </w:rPr>
      </w:pPr>
      <w:r>
        <w:rPr>
          <w:rFonts w:cs="Arial"/>
          <w:spacing w:val="-3"/>
        </w:rPr>
        <w:t xml:space="preserve">Es preciso recordar que cada una de las </w:t>
      </w:r>
      <w:r w:rsidRPr="00241860">
        <w:rPr>
          <w:rFonts w:cs="Arial"/>
          <w:spacing w:val="-3"/>
        </w:rPr>
        <w:t>alternativa</w:t>
      </w:r>
      <w:r>
        <w:rPr>
          <w:rFonts w:cs="Arial"/>
          <w:spacing w:val="-3"/>
        </w:rPr>
        <w:t xml:space="preserve">s </w:t>
      </w:r>
      <w:r w:rsidR="00944244">
        <w:rPr>
          <w:rFonts w:cs="Arial"/>
          <w:spacing w:val="-3"/>
        </w:rPr>
        <w:t xml:space="preserve">objeto de evaluación </w:t>
      </w:r>
      <w:r w:rsidR="00880348">
        <w:rPr>
          <w:rFonts w:cs="Arial"/>
          <w:spacing w:val="-3"/>
        </w:rPr>
        <w:t>de</w:t>
      </w:r>
      <w:r w:rsidR="00944244">
        <w:rPr>
          <w:rFonts w:cs="Arial"/>
          <w:spacing w:val="-3"/>
        </w:rPr>
        <w:t>be</w:t>
      </w:r>
      <w:r w:rsidR="00880348">
        <w:rPr>
          <w:rFonts w:cs="Arial"/>
          <w:spacing w:val="-3"/>
        </w:rPr>
        <w:t xml:space="preserve"> ser </w:t>
      </w:r>
      <w:r w:rsidR="00CF3EBC" w:rsidRPr="00241860">
        <w:rPr>
          <w:rFonts w:cs="Arial"/>
          <w:spacing w:val="-3"/>
        </w:rPr>
        <w:t>ambientalmente racional</w:t>
      </w:r>
      <w:r w:rsidR="00880348">
        <w:rPr>
          <w:rFonts w:cs="Arial"/>
          <w:spacing w:val="-3"/>
        </w:rPr>
        <w:t xml:space="preserve">; </w:t>
      </w:r>
      <w:r w:rsidR="00136610">
        <w:rPr>
          <w:rFonts w:cs="Arial"/>
          <w:spacing w:val="-3"/>
        </w:rPr>
        <w:t xml:space="preserve">posibilitar la ejecución, </w:t>
      </w:r>
      <w:r w:rsidR="00136610" w:rsidRPr="00241860">
        <w:rPr>
          <w:rFonts w:cs="Arial"/>
          <w:spacing w:val="-3"/>
        </w:rPr>
        <w:t>propósito y alcance del proyecto</w:t>
      </w:r>
      <w:r w:rsidR="00136610">
        <w:rPr>
          <w:rFonts w:cs="Arial"/>
          <w:spacing w:val="-3"/>
        </w:rPr>
        <w:t xml:space="preserve"> y; </w:t>
      </w:r>
      <w:r>
        <w:rPr>
          <w:rFonts w:cs="Arial"/>
          <w:spacing w:val="-3"/>
        </w:rPr>
        <w:t>responde</w:t>
      </w:r>
      <w:r w:rsidR="00880348">
        <w:rPr>
          <w:rFonts w:cs="Arial"/>
          <w:spacing w:val="-3"/>
        </w:rPr>
        <w:t>r</w:t>
      </w:r>
      <w:r>
        <w:rPr>
          <w:rFonts w:cs="Arial"/>
          <w:spacing w:val="-3"/>
        </w:rPr>
        <w:t xml:space="preserve"> a una configuración específica </w:t>
      </w:r>
      <w:r w:rsidRPr="00241860">
        <w:rPr>
          <w:rFonts w:cs="Arial"/>
          <w:spacing w:val="-3"/>
        </w:rPr>
        <w:t xml:space="preserve">de localización </w:t>
      </w:r>
      <w:r>
        <w:rPr>
          <w:rFonts w:cs="Arial"/>
          <w:spacing w:val="-3"/>
        </w:rPr>
        <w:t>(</w:t>
      </w:r>
      <w:r w:rsidRPr="00241860">
        <w:rPr>
          <w:rFonts w:cs="Arial"/>
          <w:spacing w:val="-3"/>
        </w:rPr>
        <w:t>o trazado</w:t>
      </w:r>
      <w:r>
        <w:rPr>
          <w:rFonts w:cs="Arial"/>
          <w:spacing w:val="-3"/>
        </w:rPr>
        <w:t>)</w:t>
      </w:r>
      <w:r w:rsidRPr="00241860">
        <w:rPr>
          <w:rFonts w:cs="Arial"/>
          <w:spacing w:val="-3"/>
        </w:rPr>
        <w:t xml:space="preserve">, tecnología </w:t>
      </w:r>
      <w:r>
        <w:rPr>
          <w:rFonts w:cs="Arial"/>
          <w:spacing w:val="-3"/>
        </w:rPr>
        <w:t>y</w:t>
      </w:r>
      <w:r w:rsidRPr="00241860">
        <w:rPr>
          <w:rFonts w:cs="Arial"/>
          <w:spacing w:val="-3"/>
        </w:rPr>
        <w:t xml:space="preserve"> diseño</w:t>
      </w:r>
      <w:r>
        <w:rPr>
          <w:rFonts w:cs="Arial"/>
          <w:spacing w:val="-3"/>
        </w:rPr>
        <w:t>.</w:t>
      </w:r>
    </w:p>
    <w:p w14:paraId="435E66D4" w14:textId="77777777" w:rsidR="001D4E17" w:rsidRDefault="001D4E17" w:rsidP="001D4E17">
      <w:pPr>
        <w:suppressAutoHyphens/>
        <w:rPr>
          <w:rFonts w:cs="Arial"/>
          <w:spacing w:val="-3"/>
        </w:rPr>
      </w:pPr>
    </w:p>
    <w:p w14:paraId="179B9C4C" w14:textId="1379813D" w:rsidR="001D4E17" w:rsidRPr="00576441" w:rsidRDefault="001D4E17" w:rsidP="001D4E17">
      <w:pPr>
        <w:suppressAutoHyphens/>
        <w:rPr>
          <w:rFonts w:cs="Arial"/>
          <w:spacing w:val="-3"/>
        </w:rPr>
      </w:pPr>
      <w:r w:rsidRPr="00576441">
        <w:rPr>
          <w:rFonts w:cs="Arial"/>
          <w:spacing w:val="-3"/>
        </w:rPr>
        <w:lastRenderedPageBreak/>
        <w:t>En términos generales, el siguiente es el procedimiento que se debe ejecutar para delimitar el área de estudio</w:t>
      </w:r>
      <w:r w:rsidR="00B37131">
        <w:rPr>
          <w:rFonts w:cs="Arial"/>
          <w:spacing w:val="-3"/>
        </w:rPr>
        <w:t xml:space="preserve"> </w:t>
      </w:r>
      <w:r w:rsidR="00B37131" w:rsidRPr="004068F6">
        <w:rPr>
          <w:rFonts w:cs="Arial"/>
          <w:spacing w:val="-3"/>
        </w:rPr>
        <w:t>(</w:t>
      </w:r>
      <w:r w:rsidR="00B37131" w:rsidRPr="00127BD4">
        <w:rPr>
          <w:rFonts w:cs="Arial"/>
          <w:spacing w:val="-3"/>
        </w:rPr>
        <w:t xml:space="preserve">ver </w:t>
      </w:r>
      <w:r w:rsidR="00B37131" w:rsidRPr="00127BD4">
        <w:rPr>
          <w:rFonts w:cs="Arial"/>
          <w:spacing w:val="-3"/>
        </w:rPr>
        <w:fldChar w:fldCharType="begin"/>
      </w:r>
      <w:r w:rsidR="00B37131" w:rsidRPr="00127BD4">
        <w:rPr>
          <w:rFonts w:cs="Arial"/>
          <w:spacing w:val="-3"/>
        </w:rPr>
        <w:instrText xml:space="preserve"> REF _Ref194997210 \h </w:instrText>
      </w:r>
      <w:r w:rsidR="00B37131" w:rsidRPr="004068F6">
        <w:rPr>
          <w:rFonts w:cs="Arial"/>
          <w:spacing w:val="-3"/>
        </w:rPr>
        <w:instrText xml:space="preserve"> \* MERGEFORMAT </w:instrText>
      </w:r>
      <w:r w:rsidR="00B37131" w:rsidRPr="00127BD4">
        <w:rPr>
          <w:rFonts w:cs="Arial"/>
          <w:spacing w:val="-3"/>
        </w:rPr>
      </w:r>
      <w:r w:rsidR="00B37131" w:rsidRPr="00127BD4">
        <w:rPr>
          <w:rFonts w:cs="Arial"/>
          <w:spacing w:val="-3"/>
        </w:rPr>
        <w:fldChar w:fldCharType="separate"/>
      </w:r>
      <w:r w:rsidR="009C4A81" w:rsidRPr="00127BD4">
        <w:rPr>
          <w:rFonts w:cs="Arial"/>
          <w:szCs w:val="22"/>
        </w:rPr>
        <w:t xml:space="preserve">Figura </w:t>
      </w:r>
      <w:r w:rsidR="009C4A81">
        <w:rPr>
          <w:rFonts w:cs="Arial"/>
          <w:szCs w:val="22"/>
        </w:rPr>
        <w:t>2</w:t>
      </w:r>
      <w:r w:rsidR="00B37131" w:rsidRPr="00127BD4">
        <w:rPr>
          <w:rFonts w:cs="Arial"/>
          <w:spacing w:val="-3"/>
        </w:rPr>
        <w:fldChar w:fldCharType="end"/>
      </w:r>
      <w:r w:rsidR="00B37131" w:rsidRPr="004068F6">
        <w:rPr>
          <w:rFonts w:cs="Arial"/>
          <w:spacing w:val="-3"/>
        </w:rPr>
        <w:t>)</w:t>
      </w:r>
      <w:r w:rsidRPr="00576441">
        <w:rPr>
          <w:rFonts w:cs="Arial"/>
          <w:spacing w:val="-3"/>
        </w:rPr>
        <w:t>:</w:t>
      </w:r>
    </w:p>
    <w:p w14:paraId="47C7DBD0" w14:textId="77777777" w:rsidR="001D4E17" w:rsidRPr="00EA563E" w:rsidRDefault="001D4E17" w:rsidP="001D4E17">
      <w:pPr>
        <w:numPr>
          <w:ilvl w:val="12"/>
          <w:numId w:val="0"/>
        </w:numPr>
        <w:tabs>
          <w:tab w:val="left" w:pos="-2268"/>
        </w:tabs>
        <w:suppressAutoHyphens/>
        <w:rPr>
          <w:rFonts w:cs="Arial"/>
        </w:rPr>
      </w:pPr>
    </w:p>
    <w:p w14:paraId="594889FC" w14:textId="6BD91F3B" w:rsidR="001D4E17" w:rsidRPr="00296682" w:rsidRDefault="001D4E17" w:rsidP="00E64F04">
      <w:pPr>
        <w:pStyle w:val="Prrafodelista"/>
        <w:numPr>
          <w:ilvl w:val="0"/>
          <w:numId w:val="17"/>
        </w:numPr>
        <w:ind w:left="567" w:hanging="567"/>
        <w:contextualSpacing/>
        <w:rPr>
          <w:rFonts w:cs="Arial"/>
        </w:rPr>
      </w:pPr>
      <w:r w:rsidRPr="00296682">
        <w:rPr>
          <w:rFonts w:cs="Arial"/>
          <w:lang w:val="es-CO"/>
        </w:rPr>
        <w:t>Representación geográfica de las alternativas.</w:t>
      </w:r>
    </w:p>
    <w:p w14:paraId="4EE27711" w14:textId="77777777" w:rsidR="001D4E17" w:rsidRPr="00EA563E" w:rsidRDefault="001D4E17" w:rsidP="001D4E17">
      <w:pPr>
        <w:numPr>
          <w:ilvl w:val="12"/>
          <w:numId w:val="0"/>
        </w:numPr>
        <w:tabs>
          <w:tab w:val="left" w:pos="-2268"/>
        </w:tabs>
        <w:suppressAutoHyphens/>
        <w:rPr>
          <w:rFonts w:cs="Arial"/>
        </w:rPr>
      </w:pPr>
    </w:p>
    <w:p w14:paraId="60FE9DF1" w14:textId="77777777" w:rsidR="001D4E17" w:rsidRPr="00E64F04" w:rsidRDefault="001D4E17" w:rsidP="00E64F04">
      <w:pPr>
        <w:numPr>
          <w:ilvl w:val="0"/>
          <w:numId w:val="360"/>
        </w:numPr>
        <w:tabs>
          <w:tab w:val="left" w:pos="-2268"/>
        </w:tabs>
        <w:suppressAutoHyphens/>
        <w:ind w:left="567" w:hanging="567"/>
        <w:rPr>
          <w:rFonts w:cs="Arial"/>
          <w:spacing w:val="-3"/>
        </w:rPr>
      </w:pPr>
      <w:r w:rsidRPr="00EA563E">
        <w:rPr>
          <w:rFonts w:cs="Arial"/>
          <w:spacing w:val="-3"/>
        </w:rPr>
        <w:t xml:space="preserve">Establecer </w:t>
      </w:r>
      <w:r w:rsidRPr="00CD5ADC">
        <w:rPr>
          <w:rFonts w:cs="Arial"/>
          <w:spacing w:val="-3"/>
        </w:rPr>
        <w:t>una ventana geográfica de análisis</w:t>
      </w:r>
      <w:r w:rsidRPr="00EA563E">
        <w:rPr>
          <w:rFonts w:cs="Arial"/>
          <w:spacing w:val="-3"/>
        </w:rPr>
        <w:t xml:space="preserve"> </w:t>
      </w:r>
      <w:r>
        <w:rPr>
          <w:rFonts w:cs="Arial"/>
          <w:spacing w:val="-3"/>
        </w:rPr>
        <w:t xml:space="preserve">suficientemente amplia que contenga el área por intervenir de </w:t>
      </w:r>
      <w:r w:rsidRPr="00EA563E">
        <w:rPr>
          <w:rFonts w:cs="Arial"/>
          <w:spacing w:val="-3"/>
        </w:rPr>
        <w:t>las alternativas y el área en la que se manifiestan sus impactos significativos negativos</w:t>
      </w:r>
      <w:r>
        <w:rPr>
          <w:rFonts w:cs="Arial"/>
          <w:spacing w:val="-3"/>
        </w:rPr>
        <w:t xml:space="preserve">, a fin de utilizarla como </w:t>
      </w:r>
      <w:r w:rsidRPr="00EA563E">
        <w:rPr>
          <w:rFonts w:cs="Arial"/>
          <w:spacing w:val="-3"/>
        </w:rPr>
        <w:t>punto de partida</w:t>
      </w:r>
      <w:r>
        <w:rPr>
          <w:rFonts w:cs="Arial"/>
          <w:spacing w:val="-3"/>
        </w:rPr>
        <w:t xml:space="preserve"> del análisis</w:t>
      </w:r>
      <w:r w:rsidRPr="00EA563E">
        <w:rPr>
          <w:rFonts w:cs="Arial"/>
          <w:spacing w:val="-3"/>
        </w:rPr>
        <w:t xml:space="preserve">. </w:t>
      </w:r>
      <w:r w:rsidRPr="00E64F04">
        <w:rPr>
          <w:rFonts w:cs="Arial"/>
          <w:spacing w:val="-3"/>
        </w:rPr>
        <w:t>Para aquellos proyectos en los que las alternativas se ubican a distancias considerables, como el caso de algunos proyectos puntuales,</w:t>
      </w:r>
      <w:r w:rsidRPr="00E64F04" w:rsidDel="00B62B37">
        <w:rPr>
          <w:rFonts w:cs="Arial"/>
          <w:spacing w:val="-3"/>
        </w:rPr>
        <w:t xml:space="preserve"> </w:t>
      </w:r>
      <w:r w:rsidRPr="00E64F04">
        <w:rPr>
          <w:rFonts w:cs="Arial"/>
          <w:spacing w:val="-3"/>
        </w:rPr>
        <w:t>la ventana de análisis puede ser discontinua.</w:t>
      </w:r>
    </w:p>
    <w:p w14:paraId="22FE0D6E" w14:textId="77777777" w:rsidR="001D4E17" w:rsidRPr="00EA563E" w:rsidRDefault="001D4E17" w:rsidP="001D4E17">
      <w:pPr>
        <w:suppressAutoHyphens/>
        <w:rPr>
          <w:rFonts w:cs="Arial"/>
          <w:spacing w:val="-3"/>
        </w:rPr>
      </w:pPr>
    </w:p>
    <w:p w14:paraId="0755F780" w14:textId="77777777" w:rsidR="001D4E17" w:rsidRPr="00EA563E" w:rsidRDefault="001D4E17" w:rsidP="00E64F04">
      <w:pPr>
        <w:numPr>
          <w:ilvl w:val="0"/>
          <w:numId w:val="360"/>
        </w:numPr>
        <w:tabs>
          <w:tab w:val="left" w:pos="-2268"/>
        </w:tabs>
        <w:suppressAutoHyphens/>
        <w:ind w:left="567" w:hanging="567"/>
        <w:rPr>
          <w:rFonts w:cs="Arial"/>
          <w:spacing w:val="-3"/>
        </w:rPr>
      </w:pPr>
      <w:r w:rsidRPr="00EA563E">
        <w:rPr>
          <w:rFonts w:cs="Arial"/>
          <w:spacing w:val="-3"/>
        </w:rPr>
        <w:t>Representar espacialmente en cartografía base el área por intervenir de cada alternativa objeto de comparación, así como su superficie de ajuste técnico</w:t>
      </w:r>
      <w:r w:rsidRPr="00E64F04">
        <w:footnoteReference w:id="23"/>
      </w:r>
      <w:r w:rsidRPr="00EA563E">
        <w:rPr>
          <w:rFonts w:cs="Arial"/>
          <w:spacing w:val="-3"/>
        </w:rPr>
        <w:t>.</w:t>
      </w:r>
    </w:p>
    <w:p w14:paraId="0804A85E" w14:textId="77777777" w:rsidR="001D4E17" w:rsidRPr="00EA563E" w:rsidRDefault="001D4E17" w:rsidP="001D4E17">
      <w:pPr>
        <w:numPr>
          <w:ilvl w:val="12"/>
          <w:numId w:val="0"/>
        </w:numPr>
        <w:tabs>
          <w:tab w:val="left" w:pos="-2268"/>
        </w:tabs>
        <w:suppressAutoHyphens/>
        <w:rPr>
          <w:rFonts w:cs="Arial"/>
        </w:rPr>
      </w:pPr>
    </w:p>
    <w:p w14:paraId="35BBE0D6" w14:textId="77777777" w:rsidR="001D4E17" w:rsidRPr="00296682" w:rsidRDefault="001D4E17" w:rsidP="00E64F04">
      <w:pPr>
        <w:pStyle w:val="Prrafodelista"/>
        <w:numPr>
          <w:ilvl w:val="0"/>
          <w:numId w:val="17"/>
        </w:numPr>
        <w:ind w:left="567" w:hanging="567"/>
        <w:contextualSpacing/>
        <w:rPr>
          <w:rFonts w:cs="Arial"/>
        </w:rPr>
      </w:pPr>
      <w:r w:rsidRPr="00296682">
        <w:rPr>
          <w:rFonts w:cs="Arial"/>
          <w:lang w:val="es-CO"/>
        </w:rPr>
        <w:t>Determinación de los componentes ambientales susceptibles de presentar impactos significativos negativos.</w:t>
      </w:r>
    </w:p>
    <w:p w14:paraId="03AD3E8C" w14:textId="77777777" w:rsidR="001D4E17" w:rsidRPr="00576441" w:rsidRDefault="001D4E17" w:rsidP="001D4E17">
      <w:pPr>
        <w:numPr>
          <w:ilvl w:val="12"/>
          <w:numId w:val="0"/>
        </w:numPr>
        <w:tabs>
          <w:tab w:val="left" w:pos="-2268"/>
        </w:tabs>
        <w:suppressAutoHyphens/>
        <w:rPr>
          <w:rFonts w:cs="Arial"/>
        </w:rPr>
      </w:pPr>
    </w:p>
    <w:p w14:paraId="28453B4E" w14:textId="77777777" w:rsidR="001D4E17" w:rsidRPr="00576441" w:rsidRDefault="001D4E17" w:rsidP="00E64F04">
      <w:pPr>
        <w:numPr>
          <w:ilvl w:val="0"/>
          <w:numId w:val="360"/>
        </w:numPr>
        <w:tabs>
          <w:tab w:val="left" w:pos="-2268"/>
        </w:tabs>
        <w:suppressAutoHyphens/>
        <w:ind w:left="567" w:hanging="567"/>
        <w:rPr>
          <w:rFonts w:cs="Arial"/>
          <w:spacing w:val="-3"/>
        </w:rPr>
      </w:pPr>
      <w:r>
        <w:rPr>
          <w:rFonts w:cs="Arial"/>
          <w:spacing w:val="-3"/>
        </w:rPr>
        <w:t>Determinar</w:t>
      </w:r>
      <w:r w:rsidRPr="00576441">
        <w:rPr>
          <w:rFonts w:cs="Arial"/>
          <w:spacing w:val="-3"/>
        </w:rPr>
        <w:t xml:space="preserve"> </w:t>
      </w:r>
      <w:r>
        <w:rPr>
          <w:rFonts w:cs="Arial"/>
          <w:spacing w:val="-3"/>
        </w:rPr>
        <w:t xml:space="preserve">qué </w:t>
      </w:r>
      <w:r w:rsidRPr="00576441">
        <w:rPr>
          <w:rFonts w:cs="Arial"/>
          <w:spacing w:val="-3"/>
        </w:rPr>
        <w:t xml:space="preserve">componentes ambientales </w:t>
      </w:r>
      <w:r>
        <w:rPr>
          <w:rFonts w:cs="Arial"/>
          <w:spacing w:val="-3"/>
        </w:rPr>
        <w:t xml:space="preserve">de </w:t>
      </w:r>
      <w:r w:rsidRPr="00576441">
        <w:rPr>
          <w:rFonts w:cs="Arial"/>
          <w:spacing w:val="-3"/>
        </w:rPr>
        <w:t xml:space="preserve">los medios abiótico, biótico, socioeconómico </w:t>
      </w:r>
      <w:r>
        <w:rPr>
          <w:rFonts w:cs="Arial"/>
          <w:spacing w:val="-3"/>
        </w:rPr>
        <w:t xml:space="preserve">y del </w:t>
      </w:r>
      <w:r w:rsidRPr="00576441">
        <w:rPr>
          <w:rFonts w:cs="Arial"/>
          <w:spacing w:val="-3"/>
        </w:rPr>
        <w:t>paisaje</w:t>
      </w:r>
      <w:r>
        <w:rPr>
          <w:rFonts w:cs="Arial"/>
          <w:spacing w:val="-3"/>
        </w:rPr>
        <w:t xml:space="preserve"> se impactarían negativamente y de manera significativa </w:t>
      </w:r>
      <w:r w:rsidRPr="00576441">
        <w:rPr>
          <w:rFonts w:cs="Arial"/>
          <w:spacing w:val="-3"/>
        </w:rPr>
        <w:t>por el desarrollo del proyecto en cualquiera de sus alternativas</w:t>
      </w:r>
      <w:r>
        <w:rPr>
          <w:rFonts w:cs="Arial"/>
          <w:spacing w:val="-3"/>
        </w:rPr>
        <w:t>.</w:t>
      </w:r>
    </w:p>
    <w:p w14:paraId="0300ECE4" w14:textId="77777777" w:rsidR="001D4E17" w:rsidRPr="00576441" w:rsidRDefault="001D4E17" w:rsidP="001D4E17">
      <w:pPr>
        <w:contextualSpacing/>
        <w:rPr>
          <w:rFonts w:cs="Arial"/>
        </w:rPr>
      </w:pPr>
    </w:p>
    <w:p w14:paraId="558C9A3A" w14:textId="77777777" w:rsidR="001D4E17" w:rsidRPr="00E64F04" w:rsidRDefault="001D4E17" w:rsidP="00E64F04">
      <w:pPr>
        <w:pStyle w:val="Prrafodelista"/>
        <w:numPr>
          <w:ilvl w:val="0"/>
          <w:numId w:val="17"/>
        </w:numPr>
        <w:ind w:left="567" w:hanging="567"/>
        <w:contextualSpacing/>
        <w:rPr>
          <w:rFonts w:cs="Arial"/>
        </w:rPr>
      </w:pPr>
      <w:r w:rsidRPr="00296682">
        <w:rPr>
          <w:rFonts w:cs="Arial"/>
          <w:lang w:val="es-CO"/>
        </w:rPr>
        <w:t>Definición de unidades de análisis y delimitación de áreas con impactos significativos negativos.</w:t>
      </w:r>
    </w:p>
    <w:p w14:paraId="0E059425" w14:textId="77777777" w:rsidR="001D4E17" w:rsidRPr="00576441" w:rsidRDefault="001D4E17" w:rsidP="001D4E17">
      <w:pPr>
        <w:contextualSpacing/>
        <w:rPr>
          <w:rFonts w:cs="Arial"/>
          <w:lang w:eastAsia="es-CO"/>
        </w:rPr>
      </w:pPr>
    </w:p>
    <w:p w14:paraId="0710F73B" w14:textId="23A3BE37" w:rsidR="001D4E17" w:rsidRPr="00E64F04" w:rsidRDefault="001D4E17" w:rsidP="00E64F04">
      <w:pPr>
        <w:numPr>
          <w:ilvl w:val="0"/>
          <w:numId w:val="360"/>
        </w:numPr>
        <w:tabs>
          <w:tab w:val="left" w:pos="-2268"/>
        </w:tabs>
        <w:suppressAutoHyphens/>
        <w:ind w:left="567" w:hanging="567"/>
        <w:rPr>
          <w:rFonts w:cs="Arial"/>
          <w:spacing w:val="-3"/>
        </w:rPr>
      </w:pPr>
      <w:r w:rsidRPr="00E64F04">
        <w:rPr>
          <w:rFonts w:cs="Arial"/>
          <w:spacing w:val="-3"/>
        </w:rPr>
        <w:t>Definir la unidad de análisis correspondiente a cada componente ambiental (p. ej. cuenca, subcuenca, ecosistema, cobertura, vereda)</w:t>
      </w:r>
      <w:r w:rsidR="00BA2F72">
        <w:rPr>
          <w:rFonts w:cs="Arial"/>
          <w:spacing w:val="-3"/>
        </w:rPr>
        <w:t xml:space="preserve">; es posible emplear como referencia los </w:t>
      </w:r>
      <w:r w:rsidR="00BA2F72" w:rsidRPr="00605864">
        <w:rPr>
          <w:rFonts w:cs="Arial"/>
          <w:spacing w:val="-3"/>
        </w:rPr>
        <w:t>ejemplos de unidades de análisis para diferentes componentes</w:t>
      </w:r>
      <w:r w:rsidR="00BA2F72">
        <w:rPr>
          <w:rFonts w:cs="Arial"/>
          <w:spacing w:val="-3"/>
        </w:rPr>
        <w:t xml:space="preserve"> de </w:t>
      </w:r>
      <w:r w:rsidR="00BA2F72" w:rsidRPr="00605864">
        <w:rPr>
          <w:rFonts w:cs="Arial"/>
          <w:spacing w:val="-3"/>
        </w:rPr>
        <w:t xml:space="preserve">la </w:t>
      </w:r>
      <w:r w:rsidR="00BA2F72">
        <w:rPr>
          <w:rFonts w:cs="Arial"/>
          <w:spacing w:val="-3"/>
        </w:rPr>
        <w:fldChar w:fldCharType="begin"/>
      </w:r>
      <w:r w:rsidR="00BA2F72">
        <w:rPr>
          <w:rFonts w:cs="Arial"/>
          <w:spacing w:val="-3"/>
        </w:rPr>
        <w:instrText xml:space="preserve"> REF _Ref68252303 \h </w:instrText>
      </w:r>
      <w:r w:rsidR="00BA2F72">
        <w:rPr>
          <w:rFonts w:cs="Arial"/>
          <w:spacing w:val="-3"/>
        </w:rPr>
      </w:r>
      <w:r w:rsidR="00BA2F72">
        <w:rPr>
          <w:rFonts w:cs="Arial"/>
          <w:spacing w:val="-3"/>
        </w:rPr>
        <w:fldChar w:fldCharType="separate"/>
      </w:r>
      <w:r w:rsidR="009C4A81" w:rsidRPr="004068F6">
        <w:t xml:space="preserve">Tabla </w:t>
      </w:r>
      <w:r w:rsidR="009C4A81">
        <w:rPr>
          <w:noProof/>
        </w:rPr>
        <w:t>16</w:t>
      </w:r>
      <w:r w:rsidR="00BA2F72">
        <w:rPr>
          <w:rFonts w:cs="Arial"/>
          <w:spacing w:val="-3"/>
        </w:rPr>
        <w:fldChar w:fldCharType="end"/>
      </w:r>
      <w:r w:rsidRPr="00E64F04">
        <w:rPr>
          <w:rFonts w:cs="Arial"/>
          <w:spacing w:val="-3"/>
        </w:rPr>
        <w:t xml:space="preserve">. Se debe justificar la selección </w:t>
      </w:r>
      <w:r w:rsidR="00F16C5D">
        <w:rPr>
          <w:rFonts w:cs="Arial"/>
          <w:spacing w:val="-3"/>
        </w:rPr>
        <w:t xml:space="preserve">las </w:t>
      </w:r>
      <w:r w:rsidRPr="00E64F04">
        <w:rPr>
          <w:rFonts w:cs="Arial"/>
          <w:spacing w:val="-3"/>
        </w:rPr>
        <w:t>unidades de análisis</w:t>
      </w:r>
      <w:r w:rsidR="00F16C5D">
        <w:rPr>
          <w:rFonts w:cs="Arial"/>
          <w:spacing w:val="-3"/>
        </w:rPr>
        <w:t xml:space="preserve"> que se empleen para el proceso</w:t>
      </w:r>
      <w:r w:rsidRPr="00E64F04">
        <w:rPr>
          <w:rFonts w:cs="Arial"/>
          <w:spacing w:val="-3"/>
        </w:rPr>
        <w:t>.</w:t>
      </w:r>
    </w:p>
    <w:p w14:paraId="30E95738" w14:textId="77777777" w:rsidR="001D4E17" w:rsidRDefault="001D4E17" w:rsidP="001D4E17">
      <w:pPr>
        <w:overflowPunct/>
        <w:autoSpaceDE/>
        <w:autoSpaceDN/>
        <w:adjustRightInd/>
        <w:textAlignment w:val="auto"/>
        <w:rPr>
          <w:rFonts w:cs="Arial"/>
          <w:lang w:eastAsia="es-CO"/>
        </w:rPr>
      </w:pPr>
    </w:p>
    <w:p w14:paraId="4961EDB9" w14:textId="77777777" w:rsidR="00BD69F0" w:rsidRDefault="001D4E17" w:rsidP="00BD69F0">
      <w:pPr>
        <w:numPr>
          <w:ilvl w:val="0"/>
          <w:numId w:val="360"/>
        </w:numPr>
        <w:tabs>
          <w:tab w:val="left" w:pos="-2268"/>
        </w:tabs>
        <w:suppressAutoHyphens/>
        <w:ind w:left="567" w:hanging="567"/>
        <w:rPr>
          <w:rFonts w:cs="Arial"/>
          <w:spacing w:val="-3"/>
        </w:rPr>
      </w:pPr>
      <w:r w:rsidRPr="00E64F04">
        <w:rPr>
          <w:rFonts w:cs="Arial"/>
          <w:spacing w:val="-3"/>
        </w:rPr>
        <w:t xml:space="preserve">Delimitar, para cada componente de cada alternativa y para cada componente del </w:t>
      </w:r>
      <w:r w:rsidRPr="00CD5ADC">
        <w:rPr>
          <w:rFonts w:cs="Arial"/>
          <w:spacing w:val="-3"/>
        </w:rPr>
        <w:t>conjunto de alternativas</w:t>
      </w:r>
      <w:r w:rsidRPr="00E64F04">
        <w:rPr>
          <w:rFonts w:cs="Arial"/>
          <w:spacing w:val="-3"/>
        </w:rPr>
        <w:t>,</w:t>
      </w:r>
      <w:r w:rsidRPr="00E64F04" w:rsidDel="00EC4E48">
        <w:rPr>
          <w:rFonts w:cs="Arial"/>
          <w:spacing w:val="-3"/>
        </w:rPr>
        <w:t xml:space="preserve"> </w:t>
      </w:r>
      <w:r w:rsidRPr="00E64F04">
        <w:rPr>
          <w:rFonts w:cs="Arial"/>
          <w:spacing w:val="-3"/>
        </w:rPr>
        <w:t xml:space="preserve">el área de manifestación de los impactos ambientales significativos negativos; esta área </w:t>
      </w:r>
      <w:r>
        <w:rPr>
          <w:rFonts w:cs="Arial"/>
          <w:spacing w:val="-3"/>
        </w:rPr>
        <w:t xml:space="preserve">está confirmada por las </w:t>
      </w:r>
      <w:r w:rsidRPr="00E64F04">
        <w:rPr>
          <w:rFonts w:cs="Arial"/>
          <w:spacing w:val="-3"/>
        </w:rPr>
        <w:t>unidades de análisis en las que se manifiestan este tipo de impactos.</w:t>
      </w:r>
    </w:p>
    <w:p w14:paraId="4CE9B7F6" w14:textId="77777777" w:rsidR="00BD69F0" w:rsidRPr="00BD69F0" w:rsidRDefault="00BD69F0" w:rsidP="00E64F04">
      <w:pPr>
        <w:rPr>
          <w:rFonts w:cs="Arial"/>
        </w:rPr>
      </w:pPr>
    </w:p>
    <w:p w14:paraId="0E40FFFF" w14:textId="7949D778" w:rsidR="001D4E17" w:rsidRPr="00E64F04" w:rsidRDefault="001D4E17" w:rsidP="00E64F04">
      <w:pPr>
        <w:tabs>
          <w:tab w:val="left" w:pos="-2268"/>
        </w:tabs>
        <w:suppressAutoHyphens/>
        <w:ind w:left="567"/>
        <w:rPr>
          <w:rFonts w:cs="Arial"/>
          <w:spacing w:val="-3"/>
        </w:rPr>
      </w:pPr>
      <w:r w:rsidRPr="00BD69F0">
        <w:rPr>
          <w:rFonts w:cs="Arial"/>
        </w:rPr>
        <w:lastRenderedPageBreak/>
        <w:t xml:space="preserve">La determinación de las unidades de análisis en las que se </w:t>
      </w:r>
      <w:r w:rsidR="00067C47">
        <w:rPr>
          <w:rFonts w:cs="Arial"/>
        </w:rPr>
        <w:t>manifies</w:t>
      </w:r>
      <w:r w:rsidRPr="00BD69F0">
        <w:rPr>
          <w:rFonts w:cs="Arial"/>
        </w:rPr>
        <w:t xml:space="preserve">tan los impactos significativos negativos debe basarse en </w:t>
      </w:r>
      <w:r w:rsidRPr="00BD69F0">
        <w:rPr>
          <w:rFonts w:cs="Arial"/>
          <w:lang w:eastAsia="es-CO"/>
        </w:rPr>
        <w:t xml:space="preserve">la relación que </w:t>
      </w:r>
      <w:r w:rsidR="00D04595">
        <w:rPr>
          <w:rFonts w:cs="Arial"/>
          <w:lang w:eastAsia="es-CO"/>
        </w:rPr>
        <w:t>exist</w:t>
      </w:r>
      <w:r w:rsidR="00F26EE4">
        <w:rPr>
          <w:rFonts w:cs="Arial"/>
          <w:lang w:eastAsia="es-CO"/>
        </w:rPr>
        <w:t xml:space="preserve">iría </w:t>
      </w:r>
      <w:r w:rsidRPr="00BD69F0">
        <w:rPr>
          <w:rFonts w:cs="Arial"/>
          <w:lang w:eastAsia="es-CO"/>
        </w:rPr>
        <w:t>entre la sensibilidad ambiental de los componentes y las presiones ejercidas por las actividades de las alternativas considerando</w:t>
      </w:r>
      <w:r w:rsidR="00EC2F92">
        <w:rPr>
          <w:rFonts w:cs="Arial"/>
          <w:lang w:eastAsia="es-CO"/>
        </w:rPr>
        <w:t>,</w:t>
      </w:r>
      <w:r w:rsidRPr="00BD69F0">
        <w:rPr>
          <w:rFonts w:cs="Arial"/>
          <w:lang w:eastAsia="es-CO"/>
        </w:rPr>
        <w:t xml:space="preserve"> además</w:t>
      </w:r>
      <w:r w:rsidR="00687B44">
        <w:rPr>
          <w:rFonts w:cs="Arial"/>
          <w:lang w:eastAsia="es-CO"/>
        </w:rPr>
        <w:t>,</w:t>
      </w:r>
      <w:r w:rsidRPr="00BD69F0">
        <w:rPr>
          <w:rFonts w:cs="Arial"/>
          <w:lang w:eastAsia="es-CO"/>
        </w:rPr>
        <w:t xml:space="preserve"> las dinámicas territoriales de la ventana de análisis. E</w:t>
      </w:r>
      <w:r w:rsidR="00EC2F92">
        <w:rPr>
          <w:rFonts w:cs="Arial"/>
          <w:lang w:eastAsia="es-CO"/>
        </w:rPr>
        <w:t xml:space="preserve">sto </w:t>
      </w:r>
      <w:r w:rsidR="002D3D01">
        <w:rPr>
          <w:rFonts w:cs="Arial"/>
          <w:lang w:eastAsia="es-CO"/>
        </w:rPr>
        <w:t xml:space="preserve">requiere </w:t>
      </w:r>
      <w:r w:rsidR="00EC2F92">
        <w:rPr>
          <w:rFonts w:cs="Arial"/>
          <w:lang w:eastAsia="es-CO"/>
        </w:rPr>
        <w:t xml:space="preserve">del </w:t>
      </w:r>
      <w:r w:rsidRPr="00BD69F0">
        <w:rPr>
          <w:rFonts w:cs="Arial"/>
          <w:lang w:eastAsia="es-CO"/>
        </w:rPr>
        <w:t>procesa</w:t>
      </w:r>
      <w:r w:rsidR="00EC2F92">
        <w:rPr>
          <w:rFonts w:cs="Arial"/>
          <w:lang w:eastAsia="es-CO"/>
        </w:rPr>
        <w:t xml:space="preserve">miento </w:t>
      </w:r>
      <w:r w:rsidR="005B729D">
        <w:rPr>
          <w:rFonts w:cs="Arial"/>
          <w:lang w:eastAsia="es-CO"/>
        </w:rPr>
        <w:t xml:space="preserve">y </w:t>
      </w:r>
      <w:r w:rsidR="00EC4AF3">
        <w:rPr>
          <w:rFonts w:cs="Arial"/>
          <w:lang w:eastAsia="es-CO"/>
        </w:rPr>
        <w:t xml:space="preserve">conjugación </w:t>
      </w:r>
      <w:r w:rsidR="00EC2F92">
        <w:rPr>
          <w:rFonts w:cs="Arial"/>
          <w:lang w:eastAsia="es-CO"/>
        </w:rPr>
        <w:t xml:space="preserve">de </w:t>
      </w:r>
      <w:r w:rsidRPr="00BD69F0">
        <w:rPr>
          <w:rFonts w:cs="Arial"/>
          <w:lang w:eastAsia="es-CO"/>
        </w:rPr>
        <w:t xml:space="preserve">la información de los numerales </w:t>
      </w:r>
      <w:r w:rsidR="00BD69F0" w:rsidRPr="004068F6">
        <w:rPr>
          <w:rFonts w:cs="Arial"/>
          <w:spacing w:val="-3"/>
        </w:rPr>
        <w:fldChar w:fldCharType="begin"/>
      </w:r>
      <w:r w:rsidR="00BD69F0" w:rsidRPr="004068F6">
        <w:rPr>
          <w:rFonts w:cs="Arial"/>
          <w:spacing w:val="-3"/>
        </w:rPr>
        <w:instrText xml:space="preserve"> REF _Ref195687130 \r \h </w:instrText>
      </w:r>
      <w:r w:rsidR="00BD69F0" w:rsidRPr="004068F6">
        <w:rPr>
          <w:rFonts w:cs="Arial"/>
          <w:spacing w:val="-3"/>
        </w:rPr>
      </w:r>
      <w:r w:rsidR="00BD69F0" w:rsidRPr="004068F6">
        <w:rPr>
          <w:rFonts w:cs="Arial"/>
          <w:spacing w:val="-3"/>
        </w:rPr>
        <w:fldChar w:fldCharType="separate"/>
      </w:r>
      <w:r w:rsidR="009C4A81">
        <w:rPr>
          <w:rFonts w:cs="Arial"/>
          <w:spacing w:val="-3"/>
        </w:rPr>
        <w:t>1</w:t>
      </w:r>
      <w:r w:rsidR="00BD69F0" w:rsidRPr="004068F6">
        <w:rPr>
          <w:rFonts w:cs="Arial"/>
          <w:spacing w:val="-3"/>
        </w:rPr>
        <w:fldChar w:fldCharType="end"/>
      </w:r>
      <w:r w:rsidR="00BD69F0" w:rsidRPr="004068F6">
        <w:rPr>
          <w:rFonts w:cs="Arial"/>
          <w:spacing w:val="-3"/>
        </w:rPr>
        <w:t xml:space="preserve">, </w:t>
      </w:r>
      <w:r w:rsidR="00BD69F0">
        <w:rPr>
          <w:rFonts w:cs="Arial"/>
          <w:spacing w:val="-3"/>
        </w:rPr>
        <w:fldChar w:fldCharType="begin"/>
      </w:r>
      <w:r w:rsidR="00BD69F0">
        <w:rPr>
          <w:rFonts w:cs="Arial"/>
          <w:spacing w:val="-3"/>
        </w:rPr>
        <w:instrText xml:space="preserve"> REF _Ref230861972 \r \h </w:instrText>
      </w:r>
      <w:r w:rsidR="00BD69F0">
        <w:rPr>
          <w:rFonts w:cs="Arial"/>
          <w:spacing w:val="-3"/>
        </w:rPr>
      </w:r>
      <w:r w:rsidR="00BD69F0">
        <w:rPr>
          <w:rFonts w:cs="Arial"/>
          <w:spacing w:val="-3"/>
        </w:rPr>
        <w:fldChar w:fldCharType="separate"/>
      </w:r>
      <w:r w:rsidR="009C4A81">
        <w:rPr>
          <w:rFonts w:cs="Arial"/>
          <w:spacing w:val="-3"/>
        </w:rPr>
        <w:t>4</w:t>
      </w:r>
      <w:r w:rsidR="00BD69F0">
        <w:rPr>
          <w:rFonts w:cs="Arial"/>
          <w:spacing w:val="-3"/>
        </w:rPr>
        <w:fldChar w:fldCharType="end"/>
      </w:r>
      <w:r w:rsidR="00BD69F0">
        <w:rPr>
          <w:rFonts w:cs="Arial"/>
          <w:spacing w:val="-3"/>
        </w:rPr>
        <w:t xml:space="preserve">, </w:t>
      </w:r>
      <w:r w:rsidR="00BD69F0">
        <w:rPr>
          <w:rFonts w:cs="Arial"/>
          <w:spacing w:val="-3"/>
        </w:rPr>
        <w:fldChar w:fldCharType="begin"/>
      </w:r>
      <w:r w:rsidR="00BD69F0">
        <w:rPr>
          <w:rFonts w:cs="Arial"/>
          <w:spacing w:val="-3"/>
        </w:rPr>
        <w:instrText xml:space="preserve"> REF _Ref230861983 \r \h </w:instrText>
      </w:r>
      <w:r w:rsidR="00BD69F0">
        <w:rPr>
          <w:rFonts w:cs="Arial"/>
          <w:spacing w:val="-3"/>
        </w:rPr>
      </w:r>
      <w:r w:rsidR="00BD69F0">
        <w:rPr>
          <w:rFonts w:cs="Arial"/>
          <w:spacing w:val="-3"/>
        </w:rPr>
        <w:fldChar w:fldCharType="separate"/>
      </w:r>
      <w:r w:rsidR="009C4A81">
        <w:rPr>
          <w:rFonts w:cs="Arial"/>
          <w:spacing w:val="-3"/>
        </w:rPr>
        <w:t>6</w:t>
      </w:r>
      <w:r w:rsidR="00BD69F0">
        <w:rPr>
          <w:rFonts w:cs="Arial"/>
          <w:spacing w:val="-3"/>
        </w:rPr>
        <w:fldChar w:fldCharType="end"/>
      </w:r>
      <w:r w:rsidR="00BD69F0">
        <w:rPr>
          <w:rFonts w:cs="Arial"/>
          <w:spacing w:val="-3"/>
        </w:rPr>
        <w:t xml:space="preserve"> y </w:t>
      </w:r>
      <w:r w:rsidR="00BD69F0">
        <w:rPr>
          <w:rFonts w:cs="Arial"/>
          <w:spacing w:val="-3"/>
        </w:rPr>
        <w:fldChar w:fldCharType="begin"/>
      </w:r>
      <w:r w:rsidR="00BD69F0">
        <w:rPr>
          <w:rFonts w:cs="Arial"/>
          <w:spacing w:val="-3"/>
        </w:rPr>
        <w:instrText xml:space="preserve"> REF _Ref195687665 \r \h </w:instrText>
      </w:r>
      <w:r w:rsidR="00BD69F0">
        <w:rPr>
          <w:rFonts w:cs="Arial"/>
          <w:spacing w:val="-3"/>
        </w:rPr>
      </w:r>
      <w:r w:rsidR="00BD69F0">
        <w:rPr>
          <w:rFonts w:cs="Arial"/>
          <w:spacing w:val="-3"/>
        </w:rPr>
        <w:fldChar w:fldCharType="separate"/>
      </w:r>
      <w:r w:rsidR="009C4A81">
        <w:rPr>
          <w:rFonts w:cs="Arial"/>
          <w:spacing w:val="-3"/>
        </w:rPr>
        <w:t>7</w:t>
      </w:r>
      <w:r w:rsidR="00BD69F0">
        <w:rPr>
          <w:rFonts w:cs="Arial"/>
          <w:spacing w:val="-3"/>
        </w:rPr>
        <w:fldChar w:fldCharType="end"/>
      </w:r>
      <w:r w:rsidRPr="00BD69F0">
        <w:rPr>
          <w:rFonts w:cs="Arial"/>
          <w:spacing w:val="-3"/>
        </w:rPr>
        <w:t>.</w:t>
      </w:r>
    </w:p>
    <w:p w14:paraId="6EA98E29" w14:textId="77777777" w:rsidR="001D4E17" w:rsidRDefault="001D4E17" w:rsidP="001D4E17">
      <w:pPr>
        <w:overflowPunct/>
        <w:autoSpaceDE/>
        <w:autoSpaceDN/>
        <w:adjustRightInd/>
        <w:contextualSpacing/>
        <w:textAlignment w:val="auto"/>
        <w:rPr>
          <w:rFonts w:cs="Arial"/>
        </w:rPr>
      </w:pPr>
    </w:p>
    <w:p w14:paraId="79BFA165" w14:textId="77777777" w:rsidR="001D4E17" w:rsidRPr="00296682" w:rsidRDefault="001D4E17" w:rsidP="00E64F04">
      <w:pPr>
        <w:pStyle w:val="Prrafodelista"/>
        <w:numPr>
          <w:ilvl w:val="0"/>
          <w:numId w:val="17"/>
        </w:numPr>
        <w:ind w:left="567" w:hanging="567"/>
        <w:contextualSpacing/>
        <w:rPr>
          <w:rFonts w:cs="Arial"/>
        </w:rPr>
      </w:pPr>
      <w:r w:rsidRPr="00296682">
        <w:rPr>
          <w:rFonts w:cs="Arial"/>
          <w:lang w:val="es-CO"/>
        </w:rPr>
        <w:t>Delimitación del área de estudio.</w:t>
      </w:r>
    </w:p>
    <w:p w14:paraId="479F8C1D" w14:textId="77777777" w:rsidR="001D4E17" w:rsidRPr="00576441" w:rsidRDefault="001D4E17" w:rsidP="001D4E17">
      <w:pPr>
        <w:contextualSpacing/>
        <w:rPr>
          <w:rFonts w:cs="Arial"/>
        </w:rPr>
      </w:pPr>
    </w:p>
    <w:p w14:paraId="4ECF0814" w14:textId="77777777" w:rsidR="001D4E17" w:rsidRPr="00E64F04" w:rsidRDefault="001D4E17" w:rsidP="00E64F04">
      <w:pPr>
        <w:numPr>
          <w:ilvl w:val="0"/>
          <w:numId w:val="360"/>
        </w:numPr>
        <w:tabs>
          <w:tab w:val="left" w:pos="-2268"/>
        </w:tabs>
        <w:suppressAutoHyphens/>
        <w:ind w:left="567" w:hanging="567"/>
        <w:rPr>
          <w:rFonts w:cs="Arial"/>
          <w:spacing w:val="-3"/>
        </w:rPr>
      </w:pPr>
      <w:r w:rsidRPr="00E64F04">
        <w:rPr>
          <w:rFonts w:cs="Arial"/>
          <w:spacing w:val="-3"/>
        </w:rPr>
        <w:t>Integrar, para cada medio, las áreas de manifestación de impactos significativos negativos de sus componentes ambientales. Esto debe realizarse por alternativa y para el conjunto de alternativas.</w:t>
      </w:r>
    </w:p>
    <w:p w14:paraId="7775D568" w14:textId="77777777" w:rsidR="001D4E17" w:rsidRDefault="001D4E17" w:rsidP="001D4E17">
      <w:pPr>
        <w:overflowPunct/>
        <w:autoSpaceDE/>
        <w:autoSpaceDN/>
        <w:adjustRightInd/>
        <w:textAlignment w:val="auto"/>
        <w:rPr>
          <w:rFonts w:cs="Arial"/>
          <w:lang w:eastAsia="es-CO"/>
        </w:rPr>
      </w:pPr>
    </w:p>
    <w:p w14:paraId="7E88F76E" w14:textId="77777777" w:rsidR="001D4E17" w:rsidRPr="00E64F04" w:rsidRDefault="001D4E17" w:rsidP="00E64F04">
      <w:pPr>
        <w:numPr>
          <w:ilvl w:val="0"/>
          <w:numId w:val="360"/>
        </w:numPr>
        <w:tabs>
          <w:tab w:val="left" w:pos="-2268"/>
        </w:tabs>
        <w:suppressAutoHyphens/>
        <w:ind w:left="567" w:hanging="567"/>
        <w:rPr>
          <w:rFonts w:cs="Arial"/>
          <w:spacing w:val="-3"/>
        </w:rPr>
      </w:pPr>
      <w:r w:rsidRPr="00E64F04">
        <w:rPr>
          <w:rFonts w:cs="Arial"/>
          <w:spacing w:val="-3"/>
        </w:rPr>
        <w:t>Integrar los polígonos definidos para cada medio, a fin de obtener el área de estudio del DAA.</w:t>
      </w:r>
    </w:p>
    <w:p w14:paraId="67893284" w14:textId="77777777" w:rsidR="001D4E17" w:rsidRPr="00576441" w:rsidRDefault="001D4E17" w:rsidP="001D4E17">
      <w:pPr>
        <w:overflowPunct/>
        <w:autoSpaceDE/>
        <w:autoSpaceDN/>
        <w:adjustRightInd/>
        <w:textAlignment w:val="auto"/>
        <w:rPr>
          <w:rFonts w:cs="Arial"/>
          <w:lang w:eastAsia="es-CO"/>
        </w:rPr>
      </w:pPr>
    </w:p>
    <w:p w14:paraId="1563E007" w14:textId="7ED72B5D" w:rsidR="001D4E17" w:rsidRDefault="001D4E17" w:rsidP="001D4E17">
      <w:pPr>
        <w:overflowPunct/>
        <w:autoSpaceDE/>
        <w:autoSpaceDN/>
        <w:adjustRightInd/>
        <w:textAlignment w:val="auto"/>
        <w:rPr>
          <w:rFonts w:cs="Arial"/>
          <w:spacing w:val="-3"/>
        </w:rPr>
      </w:pPr>
      <w:r w:rsidRPr="00576441">
        <w:rPr>
          <w:rFonts w:cs="Arial"/>
          <w:spacing w:val="-3"/>
        </w:rPr>
        <w:t xml:space="preserve">El proceso de delimitación </w:t>
      </w:r>
      <w:r w:rsidRPr="00EA1183">
        <w:rPr>
          <w:rFonts w:cs="Arial"/>
          <w:lang w:val="es-ES_tradnl"/>
        </w:rPr>
        <w:t>del</w:t>
      </w:r>
      <w:r w:rsidRPr="00576441">
        <w:rPr>
          <w:rFonts w:cs="Arial"/>
          <w:spacing w:val="-3"/>
        </w:rPr>
        <w:t xml:space="preserve"> área de estudio debe tener presente</w:t>
      </w:r>
      <w:r w:rsidRPr="004068F6">
        <w:rPr>
          <w:rFonts w:cs="Arial"/>
          <w:spacing w:val="-3"/>
        </w:rPr>
        <w:t xml:space="preserve"> que el propósito del DAA es evaluar y comparar las implicaciones ambientales de las alternativas y no, determinar la viabilidad ambiental de éstas; asimismo, debe reconocer que existe incertidumbre sobre las características definitivas del proyecto dado que las alternativas se plantean en sus primeras </w:t>
      </w:r>
      <w:r w:rsidR="001F1BFA">
        <w:rPr>
          <w:rFonts w:cs="Arial"/>
          <w:spacing w:val="-3"/>
        </w:rPr>
        <w:t>etapas</w:t>
      </w:r>
      <w:r w:rsidRPr="004068F6">
        <w:rPr>
          <w:rFonts w:cs="Arial"/>
          <w:spacing w:val="-3"/>
        </w:rPr>
        <w:t xml:space="preserve"> de estructuración. En este sentido, el proceso de delimitación debe enfocarse en </w:t>
      </w:r>
      <w:r>
        <w:rPr>
          <w:rFonts w:cs="Arial"/>
          <w:spacing w:val="-3"/>
        </w:rPr>
        <w:t xml:space="preserve">procurar </w:t>
      </w:r>
      <w:r w:rsidRPr="004068F6">
        <w:rPr>
          <w:rFonts w:cs="Arial"/>
          <w:spacing w:val="-3"/>
        </w:rPr>
        <w:t xml:space="preserve">que el ámbito geográfico de contexto general que representa </w:t>
      </w:r>
      <w:r w:rsidR="00C6216E">
        <w:rPr>
          <w:rFonts w:cs="Arial"/>
          <w:spacing w:val="-3"/>
        </w:rPr>
        <w:t xml:space="preserve">esta área </w:t>
      </w:r>
      <w:r w:rsidRPr="004068F6">
        <w:rPr>
          <w:rFonts w:cs="Arial"/>
          <w:spacing w:val="-3"/>
        </w:rPr>
        <w:t xml:space="preserve">permita hacer evidentes las diferencias entre </w:t>
      </w:r>
      <w:r>
        <w:rPr>
          <w:rFonts w:cs="Arial"/>
          <w:spacing w:val="-3"/>
        </w:rPr>
        <w:t xml:space="preserve">las implicaciones ambientales de las </w:t>
      </w:r>
      <w:r w:rsidRPr="004068F6">
        <w:rPr>
          <w:rFonts w:cs="Arial"/>
          <w:spacing w:val="-3"/>
        </w:rPr>
        <w:t>alternativas.</w:t>
      </w:r>
    </w:p>
    <w:p w14:paraId="33961980" w14:textId="77777777" w:rsidR="001D4E17" w:rsidRDefault="001D4E17" w:rsidP="001D4E17">
      <w:pPr>
        <w:overflowPunct/>
        <w:autoSpaceDE/>
        <w:autoSpaceDN/>
        <w:adjustRightInd/>
        <w:textAlignment w:val="auto"/>
        <w:rPr>
          <w:rFonts w:cs="Arial"/>
          <w:spacing w:val="-3"/>
        </w:rPr>
      </w:pPr>
    </w:p>
    <w:p w14:paraId="205D1CBE" w14:textId="3A0CCBCF" w:rsidR="001D4E17" w:rsidRDefault="001D4E17" w:rsidP="001D4E17">
      <w:pPr>
        <w:numPr>
          <w:ilvl w:val="12"/>
          <w:numId w:val="0"/>
        </w:numPr>
        <w:tabs>
          <w:tab w:val="left" w:pos="-2268"/>
        </w:tabs>
        <w:suppressAutoHyphens/>
        <w:rPr>
          <w:rFonts w:cs="Arial"/>
          <w:spacing w:val="-3"/>
        </w:rPr>
      </w:pPr>
      <w:r w:rsidRPr="004068F6">
        <w:rPr>
          <w:rFonts w:cs="Arial"/>
          <w:spacing w:val="-3"/>
        </w:rPr>
        <w:t xml:space="preserve">Por lo anterior, la delimitación del área de estudio debe basarse principalmente en información secundaria y en el procesamiento de datos a través de métodos rápidos, sencillos y ajustados al alcance general de este estudio. </w:t>
      </w:r>
      <w:r>
        <w:rPr>
          <w:rFonts w:cs="Arial"/>
          <w:spacing w:val="-3"/>
        </w:rPr>
        <w:t>E</w:t>
      </w:r>
      <w:r w:rsidR="00DA34BB">
        <w:rPr>
          <w:rFonts w:cs="Arial"/>
          <w:spacing w:val="-3"/>
        </w:rPr>
        <w:t xml:space="preserve">n este sentido, </w:t>
      </w:r>
      <w:r w:rsidRPr="004068F6">
        <w:rPr>
          <w:rFonts w:cs="Arial"/>
          <w:spacing w:val="-3"/>
        </w:rPr>
        <w:t xml:space="preserve">el proceso de delimitación del área de estudio implica menos esfuerzos y tiene un grado </w:t>
      </w:r>
      <w:r>
        <w:rPr>
          <w:rFonts w:cs="Arial"/>
          <w:spacing w:val="-3"/>
        </w:rPr>
        <w:t xml:space="preserve">inferior </w:t>
      </w:r>
      <w:r w:rsidRPr="004068F6">
        <w:rPr>
          <w:rFonts w:cs="Arial"/>
          <w:spacing w:val="-3"/>
        </w:rPr>
        <w:t xml:space="preserve">de detalle y precisión </w:t>
      </w:r>
      <w:r>
        <w:rPr>
          <w:rFonts w:cs="Arial"/>
          <w:spacing w:val="-3"/>
        </w:rPr>
        <w:t xml:space="preserve">frente al requerido </w:t>
      </w:r>
      <w:r w:rsidRPr="004068F6">
        <w:rPr>
          <w:rFonts w:cs="Arial"/>
          <w:spacing w:val="-3"/>
        </w:rPr>
        <w:t>para la delimitación del área de influencia</w:t>
      </w:r>
      <w:r>
        <w:rPr>
          <w:rFonts w:cs="Arial"/>
          <w:spacing w:val="-3"/>
        </w:rPr>
        <w:t xml:space="preserve"> del EIA</w:t>
      </w:r>
      <w:r w:rsidRPr="004068F6">
        <w:rPr>
          <w:rFonts w:cs="Arial"/>
          <w:spacing w:val="-3"/>
        </w:rPr>
        <w:t>.</w:t>
      </w:r>
    </w:p>
    <w:p w14:paraId="2F246550" w14:textId="77777777" w:rsidR="001D4E17" w:rsidRDefault="001D4E17" w:rsidP="001D4E17">
      <w:pPr>
        <w:numPr>
          <w:ilvl w:val="12"/>
          <w:numId w:val="0"/>
        </w:numPr>
        <w:tabs>
          <w:tab w:val="left" w:pos="-2268"/>
        </w:tabs>
        <w:suppressAutoHyphens/>
        <w:rPr>
          <w:rFonts w:cs="Arial"/>
          <w:spacing w:val="-3"/>
        </w:rPr>
      </w:pPr>
    </w:p>
    <w:p w14:paraId="224F820F" w14:textId="77777777" w:rsidR="001D4E17" w:rsidRPr="004068F6" w:rsidRDefault="001D4E17" w:rsidP="001D4E17">
      <w:pPr>
        <w:numPr>
          <w:ilvl w:val="12"/>
          <w:numId w:val="0"/>
        </w:numPr>
        <w:tabs>
          <w:tab w:val="left" w:pos="-2268"/>
        </w:tabs>
        <w:suppressAutoHyphens/>
        <w:rPr>
          <w:rFonts w:cs="Arial"/>
          <w:spacing w:val="-3"/>
        </w:rPr>
      </w:pPr>
      <w:r>
        <w:rPr>
          <w:rFonts w:cs="Arial"/>
          <w:spacing w:val="-3"/>
        </w:rPr>
        <w:t>S</w:t>
      </w:r>
      <w:r w:rsidRPr="004068F6">
        <w:rPr>
          <w:rFonts w:cs="Arial"/>
          <w:spacing w:val="-3"/>
        </w:rPr>
        <w:t>e debe tener en cuenta que éste es un proceso iterativo mediante el cual se aborda de manera sucesiva la delimitación, la caracterización ambiental</w:t>
      </w:r>
      <w:r>
        <w:rPr>
          <w:rFonts w:cs="Arial"/>
          <w:spacing w:val="-3"/>
        </w:rPr>
        <w:t>, zonificación ambiental</w:t>
      </w:r>
      <w:r w:rsidRPr="004068F6">
        <w:rPr>
          <w:rFonts w:cs="Arial"/>
          <w:spacing w:val="-3"/>
        </w:rPr>
        <w:t xml:space="preserve"> y la evaluación ambiental, hasta asegurar que el área de estudio del DAA corresponda al área en la cual se manifiestan los impactos ambientales significativos negativos de las alternativas.</w:t>
      </w:r>
    </w:p>
    <w:p w14:paraId="5F3D44AD" w14:textId="77777777" w:rsidR="001D4E17" w:rsidRDefault="001D4E17" w:rsidP="001D4E17">
      <w:pPr>
        <w:rPr>
          <w:rFonts w:cs="Arial"/>
          <w:spacing w:val="-3"/>
        </w:rPr>
      </w:pPr>
    </w:p>
    <w:p w14:paraId="41CD0E5E" w14:textId="77777777" w:rsidR="001D4E17" w:rsidRDefault="001D4E17" w:rsidP="3BACB336">
      <w:pPr>
        <w:suppressAutoHyphens/>
        <w:rPr>
          <w:rFonts w:cs="Arial"/>
          <w:spacing w:val="-3"/>
        </w:rPr>
      </w:pPr>
    </w:p>
    <w:p w14:paraId="251CB966" w14:textId="47364664" w:rsidR="003456E6" w:rsidRPr="004068F6" w:rsidRDefault="00EF565F" w:rsidP="003456E6">
      <w:pPr>
        <w:pStyle w:val="Descripcin"/>
        <w:keepNext/>
        <w:jc w:val="center"/>
        <w:rPr>
          <w:rFonts w:cs="Arial"/>
          <w:b w:val="0"/>
          <w:szCs w:val="22"/>
          <w:highlight w:val="yellow"/>
          <w:lang w:eastAsia="es-CO"/>
        </w:rPr>
      </w:pPr>
      <w:r w:rsidRPr="00AE6B3E">
        <w:rPr>
          <w:noProof/>
        </w:rPr>
        <w:lastRenderedPageBreak/>
        <w:drawing>
          <wp:anchor distT="0" distB="0" distL="114300" distR="114300" simplePos="0" relativeHeight="251659274" behindDoc="0" locked="0" layoutInCell="1" allowOverlap="1" wp14:anchorId="38B78E63" wp14:editId="13E20842">
            <wp:simplePos x="0" y="0"/>
            <wp:positionH relativeFrom="margin">
              <wp:align>center</wp:align>
            </wp:positionH>
            <wp:positionV relativeFrom="paragraph">
              <wp:posOffset>180340</wp:posOffset>
            </wp:positionV>
            <wp:extent cx="5248275" cy="6452235"/>
            <wp:effectExtent l="0" t="0" r="9525" b="5715"/>
            <wp:wrapTopAndBottom/>
            <wp:docPr id="6126636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275" cy="6452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986" w:name="_Ref194997210"/>
      <w:r w:rsidR="003456E6" w:rsidRPr="00127BD4">
        <w:rPr>
          <w:rFonts w:cs="Arial"/>
          <w:szCs w:val="22"/>
        </w:rPr>
        <w:t xml:space="preserve">Figura </w:t>
      </w:r>
      <w:r w:rsidR="004647AE">
        <w:rPr>
          <w:rFonts w:cs="Arial"/>
          <w:szCs w:val="22"/>
        </w:rPr>
        <w:fldChar w:fldCharType="begin"/>
      </w:r>
      <w:r w:rsidR="004647AE">
        <w:rPr>
          <w:rFonts w:cs="Arial"/>
          <w:szCs w:val="22"/>
        </w:rPr>
        <w:instrText xml:space="preserve"> SEQ Figura \* ARABIC </w:instrText>
      </w:r>
      <w:r w:rsidR="004647AE">
        <w:rPr>
          <w:rFonts w:cs="Arial"/>
          <w:szCs w:val="22"/>
        </w:rPr>
        <w:fldChar w:fldCharType="separate"/>
      </w:r>
      <w:r w:rsidR="009C4A81">
        <w:rPr>
          <w:rFonts w:cs="Arial"/>
          <w:noProof/>
          <w:szCs w:val="22"/>
        </w:rPr>
        <w:t>2</w:t>
      </w:r>
      <w:r w:rsidR="004647AE">
        <w:rPr>
          <w:rFonts w:cs="Arial"/>
          <w:szCs w:val="22"/>
        </w:rPr>
        <w:fldChar w:fldCharType="end"/>
      </w:r>
      <w:bookmarkEnd w:id="1986"/>
      <w:r w:rsidR="003456E6" w:rsidRPr="00127BD4">
        <w:rPr>
          <w:rFonts w:cs="Arial"/>
          <w:szCs w:val="22"/>
        </w:rPr>
        <w:t>.</w:t>
      </w:r>
      <w:r w:rsidR="003456E6" w:rsidRPr="00127BD4">
        <w:rPr>
          <w:rFonts w:cs="Arial"/>
          <w:b w:val="0"/>
          <w:szCs w:val="22"/>
        </w:rPr>
        <w:t xml:space="preserve"> </w:t>
      </w:r>
      <w:r w:rsidR="003456E6" w:rsidRPr="00127BD4">
        <w:rPr>
          <w:rFonts w:cs="Arial"/>
          <w:b w:val="0"/>
          <w:szCs w:val="22"/>
          <w:lang w:eastAsia="es-CO"/>
        </w:rPr>
        <w:t>Área de estudio del DAA</w:t>
      </w:r>
    </w:p>
    <w:p w14:paraId="79DF91A1" w14:textId="6869DF87" w:rsidR="00DB5CEE" w:rsidRPr="004068F6" w:rsidRDefault="00B36FEC" w:rsidP="00FB1028">
      <w:pPr>
        <w:suppressAutoHyphens/>
        <w:ind w:left="284" w:right="335"/>
        <w:rPr>
          <w:sz w:val="20"/>
          <w:szCs w:val="20"/>
        </w:rPr>
      </w:pPr>
      <w:r w:rsidRPr="00B36FEC">
        <w:rPr>
          <w:sz w:val="20"/>
          <w:szCs w:val="20"/>
        </w:rPr>
        <w:t xml:space="preserve">La delimitación señalada en la segunda parte del procedimiento </w:t>
      </w:r>
      <w:r w:rsidRPr="00E64F04">
        <w:rPr>
          <w:i/>
          <w:iCs/>
          <w:sz w:val="20"/>
          <w:szCs w:val="20"/>
        </w:rPr>
        <w:t>c</w:t>
      </w:r>
      <w:r w:rsidRPr="00B36FEC">
        <w:rPr>
          <w:sz w:val="20"/>
          <w:szCs w:val="20"/>
        </w:rPr>
        <w:t xml:space="preserve"> y la integración de la primera parte del procedimiento </w:t>
      </w:r>
      <w:r w:rsidRPr="00E64F04">
        <w:rPr>
          <w:i/>
          <w:iCs/>
          <w:sz w:val="20"/>
          <w:szCs w:val="20"/>
        </w:rPr>
        <w:t>d</w:t>
      </w:r>
      <w:r w:rsidRPr="00B36FEC">
        <w:rPr>
          <w:sz w:val="20"/>
          <w:szCs w:val="20"/>
        </w:rPr>
        <w:t>, deben desarrollase para cada alternativa y para el conjunto de alternativas. La integración final para delimitar el área de estudio puede realizarse a partir de los polígonos de los medios por alternativa o bien, de los polígonos de los medios para el conjunto de alternativas, el resultado es el mismo.</w:t>
      </w:r>
    </w:p>
    <w:p w14:paraId="212C07FA" w14:textId="77777777" w:rsidR="00FB1028" w:rsidRDefault="00FB1028" w:rsidP="00FB1028">
      <w:pPr>
        <w:numPr>
          <w:ilvl w:val="12"/>
          <w:numId w:val="0"/>
        </w:numPr>
        <w:tabs>
          <w:tab w:val="left" w:pos="-2268"/>
        </w:tabs>
        <w:suppressAutoHyphens/>
        <w:rPr>
          <w:rFonts w:cs="Arial"/>
          <w:spacing w:val="-3"/>
        </w:rPr>
      </w:pPr>
    </w:p>
    <w:p w14:paraId="08D3C21A" w14:textId="103A21B6" w:rsidR="00FB1028" w:rsidRPr="004068F6" w:rsidRDefault="00FB1028" w:rsidP="00FB1028">
      <w:pPr>
        <w:numPr>
          <w:ilvl w:val="12"/>
          <w:numId w:val="0"/>
        </w:numPr>
        <w:tabs>
          <w:tab w:val="left" w:pos="-2268"/>
        </w:tabs>
        <w:suppressAutoHyphens/>
        <w:rPr>
          <w:rFonts w:cs="Arial"/>
          <w:spacing w:val="-3"/>
        </w:rPr>
      </w:pPr>
      <w:r w:rsidRPr="004068F6">
        <w:rPr>
          <w:rFonts w:cs="Arial"/>
          <w:spacing w:val="-3"/>
        </w:rPr>
        <w:t>El proceso de delimitación debe desarrollarse utilizando un software de procesamiento geoespacial que permita determinar y delimitar las unidades de análisis en las cuales se manifiestan los impactos ambientales significativos negativos de las alternativas, a partir de los resultados la evaluación ambiental, así como de la localización de las alternativas del proyecto</w:t>
      </w:r>
      <w:r w:rsidRPr="004068F6">
        <w:t xml:space="preserve"> </w:t>
      </w:r>
      <w:r w:rsidRPr="004068F6">
        <w:rPr>
          <w:rFonts w:cs="Arial"/>
          <w:spacing w:val="-3"/>
        </w:rPr>
        <w:t xml:space="preserve">(que contemplan </w:t>
      </w:r>
      <w:r>
        <w:rPr>
          <w:rFonts w:cs="Arial"/>
          <w:spacing w:val="-3"/>
        </w:rPr>
        <w:t>también sus superficies de ajuste técnico</w:t>
      </w:r>
      <w:r w:rsidRPr="004068F6">
        <w:rPr>
          <w:rFonts w:cs="Arial"/>
          <w:spacing w:val="-3"/>
        </w:rPr>
        <w:t>) y de las condiciones ambientales descritas en la caracterización ambiental</w:t>
      </w:r>
      <w:r>
        <w:rPr>
          <w:rFonts w:cs="Arial"/>
          <w:spacing w:val="-3"/>
        </w:rPr>
        <w:t xml:space="preserve"> que definen su sensibilidad ambiental</w:t>
      </w:r>
      <w:r w:rsidRPr="004068F6">
        <w:rPr>
          <w:rFonts w:cs="Arial"/>
          <w:spacing w:val="-3"/>
        </w:rPr>
        <w:t>.</w:t>
      </w:r>
    </w:p>
    <w:p w14:paraId="3ECA1731" w14:textId="77777777" w:rsidR="00FB1028" w:rsidRPr="004068F6" w:rsidRDefault="00FB1028" w:rsidP="00FB1028">
      <w:pPr>
        <w:numPr>
          <w:ilvl w:val="12"/>
          <w:numId w:val="0"/>
        </w:numPr>
        <w:tabs>
          <w:tab w:val="left" w:pos="-2268"/>
        </w:tabs>
        <w:suppressAutoHyphens/>
        <w:rPr>
          <w:rFonts w:cs="Arial"/>
          <w:spacing w:val="-3"/>
        </w:rPr>
      </w:pPr>
    </w:p>
    <w:p w14:paraId="69E89208" w14:textId="77777777" w:rsidR="00FB1028" w:rsidRDefault="00FB1028" w:rsidP="00FB1028">
      <w:pPr>
        <w:suppressAutoHyphens/>
        <w:rPr>
          <w:spacing w:val="-3"/>
        </w:rPr>
      </w:pPr>
      <w:r>
        <w:rPr>
          <w:rFonts w:cs="Arial"/>
        </w:rPr>
        <w:t>E</w:t>
      </w:r>
      <w:r w:rsidRPr="004068F6">
        <w:rPr>
          <w:rFonts w:cs="Arial"/>
        </w:rPr>
        <w:t xml:space="preserve">s necesario describir y </w:t>
      </w:r>
      <w:r w:rsidRPr="004068F6">
        <w:rPr>
          <w:rFonts w:cs="Arial"/>
          <w:spacing w:val="-3"/>
        </w:rPr>
        <w:t xml:space="preserve">justificar técnicamente cómo se desarrolló </w:t>
      </w:r>
      <w:r>
        <w:rPr>
          <w:rFonts w:cs="Arial"/>
          <w:spacing w:val="-3"/>
        </w:rPr>
        <w:t xml:space="preserve">el método de </w:t>
      </w:r>
      <w:r w:rsidRPr="004068F6">
        <w:rPr>
          <w:rFonts w:cs="Arial"/>
          <w:spacing w:val="-3"/>
        </w:rPr>
        <w:t xml:space="preserve">delimitación, indicando </w:t>
      </w:r>
      <w:r w:rsidRPr="004068F6">
        <w:rPr>
          <w:spacing w:val="-3"/>
        </w:rPr>
        <w:t xml:space="preserve">de </w:t>
      </w:r>
      <w:r>
        <w:rPr>
          <w:spacing w:val="-3"/>
        </w:rPr>
        <w:t>manera</w:t>
      </w:r>
      <w:r w:rsidRPr="004068F6">
        <w:rPr>
          <w:spacing w:val="-3"/>
        </w:rPr>
        <w:t xml:space="preserve"> precisa </w:t>
      </w:r>
      <w:r w:rsidRPr="00505703">
        <w:rPr>
          <w:rFonts w:cs="Arial"/>
          <w:spacing w:val="-3"/>
        </w:rPr>
        <w:t xml:space="preserve">qué </w:t>
      </w:r>
      <w:r w:rsidRPr="00605864">
        <w:rPr>
          <w:rFonts w:cs="Arial"/>
          <w:spacing w:val="-3"/>
        </w:rPr>
        <w:t xml:space="preserve">criterios, </w:t>
      </w:r>
      <w:r w:rsidRPr="00505703">
        <w:rPr>
          <w:rFonts w:cs="Arial"/>
          <w:spacing w:val="-3"/>
        </w:rPr>
        <w:t>c</w:t>
      </w:r>
      <w:r w:rsidRPr="004068F6">
        <w:rPr>
          <w:rFonts w:cs="Arial"/>
          <w:spacing w:val="-3"/>
        </w:rPr>
        <w:t xml:space="preserve">álculos, </w:t>
      </w:r>
      <w:r w:rsidRPr="004068F6">
        <w:rPr>
          <w:spacing w:val="-3"/>
        </w:rPr>
        <w:t xml:space="preserve">valores, rangos o condiciones de escenarios prospectivos, </w:t>
      </w:r>
      <w:r w:rsidRPr="004068F6">
        <w:rPr>
          <w:rFonts w:cs="Arial"/>
          <w:spacing w:val="-3"/>
        </w:rPr>
        <w:t xml:space="preserve">funciones, </w:t>
      </w:r>
      <w:r w:rsidRPr="004068F6">
        <w:rPr>
          <w:spacing w:val="-3"/>
        </w:rPr>
        <w:t xml:space="preserve">modelizaciones, </w:t>
      </w:r>
      <w:r w:rsidRPr="004068F6">
        <w:rPr>
          <w:rFonts w:cs="Arial"/>
          <w:spacing w:val="-3"/>
        </w:rPr>
        <w:t>procesamientos de información geográfica</w:t>
      </w:r>
      <w:r w:rsidRPr="004068F6">
        <w:rPr>
          <w:spacing w:val="-3"/>
        </w:rPr>
        <w:t xml:space="preserve"> </w:t>
      </w:r>
      <w:r w:rsidRPr="004068F6">
        <w:rPr>
          <w:rFonts w:cs="Arial"/>
          <w:spacing w:val="-3"/>
        </w:rPr>
        <w:t>u otros procedimientos fueron empleados</w:t>
      </w:r>
      <w:r>
        <w:rPr>
          <w:rFonts w:cs="Arial"/>
          <w:spacing w:val="-3"/>
        </w:rPr>
        <w:t>, especialmente, para la determinación de las unidades de análisis en las que se manifiestan los impactos ambientales significativos de carácter negativo</w:t>
      </w:r>
      <w:r w:rsidRPr="004068F6">
        <w:rPr>
          <w:spacing w:val="-3"/>
        </w:rPr>
        <w:t>.</w:t>
      </w:r>
    </w:p>
    <w:p w14:paraId="1A3737F1" w14:textId="77777777" w:rsidR="00FB1028" w:rsidRDefault="00FB1028" w:rsidP="00FB1028">
      <w:pPr>
        <w:suppressAutoHyphens/>
        <w:rPr>
          <w:spacing w:val="-3"/>
        </w:rPr>
      </w:pPr>
    </w:p>
    <w:p w14:paraId="5369D5C4" w14:textId="77777777" w:rsidR="00FB1028" w:rsidRDefault="00FB1028" w:rsidP="00FB1028">
      <w:pPr>
        <w:suppressAutoHyphens/>
        <w:rPr>
          <w:rFonts w:cs="Arial"/>
          <w:spacing w:val="-3"/>
        </w:rPr>
      </w:pPr>
      <w:r w:rsidRPr="004068F6">
        <w:rPr>
          <w:rFonts w:cs="Arial"/>
          <w:spacing w:val="-3"/>
        </w:rPr>
        <w:t xml:space="preserve">El Modelo de Almacenamiento Geográfico (MAG) debe estructurarse tanto para el área de estudio del DAA como para el área en la que se manifiestan los impactos significativos negativos de </w:t>
      </w:r>
      <w:r w:rsidRPr="004068F6">
        <w:rPr>
          <w:rFonts w:cs="Arial"/>
        </w:rPr>
        <w:t xml:space="preserve">cada </w:t>
      </w:r>
      <w:r w:rsidRPr="004068F6">
        <w:rPr>
          <w:rFonts w:cs="Arial"/>
          <w:spacing w:val="-3"/>
        </w:rPr>
        <w:t>alternativa evaluada.</w:t>
      </w:r>
      <w:r>
        <w:rPr>
          <w:rFonts w:cs="Arial"/>
          <w:spacing w:val="-3"/>
        </w:rPr>
        <w:t xml:space="preserve"> En ambos casos, deben presentarse los polígonos delimitados para cada medio.</w:t>
      </w:r>
    </w:p>
    <w:p w14:paraId="2B0B250F" w14:textId="77777777" w:rsidR="00EB2C3D" w:rsidRPr="004068F6" w:rsidRDefault="00EB2C3D">
      <w:pPr>
        <w:numPr>
          <w:ilvl w:val="12"/>
          <w:numId w:val="0"/>
        </w:numPr>
        <w:tabs>
          <w:tab w:val="left" w:pos="-2268"/>
        </w:tabs>
        <w:suppressAutoHyphens/>
        <w:rPr>
          <w:spacing w:val="-3"/>
        </w:rPr>
      </w:pPr>
    </w:p>
    <w:p w14:paraId="18F00DA5" w14:textId="77777777" w:rsidR="004F2437" w:rsidRPr="004068F6" w:rsidRDefault="004F2437">
      <w:pPr>
        <w:numPr>
          <w:ilvl w:val="12"/>
          <w:numId w:val="0"/>
        </w:numPr>
        <w:tabs>
          <w:tab w:val="left" w:pos="-2268"/>
        </w:tabs>
        <w:suppressAutoHyphens/>
        <w:rPr>
          <w:spacing w:val="-3"/>
        </w:rPr>
      </w:pPr>
    </w:p>
    <w:p w14:paraId="4D52CEEA" w14:textId="74BE158A" w:rsidR="00F97C5C" w:rsidRPr="004068F6" w:rsidRDefault="008A57CF" w:rsidP="00CB4557">
      <w:pPr>
        <w:pStyle w:val="Ttulo1"/>
        <w:numPr>
          <w:ilvl w:val="0"/>
          <w:numId w:val="8"/>
        </w:numPr>
        <w:rPr>
          <w:lang w:val="es-CO"/>
        </w:rPr>
      </w:pPr>
      <w:bookmarkStart w:id="1987" w:name="_Toc42552212"/>
      <w:bookmarkStart w:id="1988" w:name="_Ref146530329"/>
      <w:bookmarkStart w:id="1989" w:name="_Ref146531665"/>
      <w:bookmarkStart w:id="1990" w:name="_Toc230879573"/>
      <w:r w:rsidRPr="004068F6">
        <w:rPr>
          <w:lang w:val="es-CO"/>
        </w:rPr>
        <w:t xml:space="preserve">LINEAMIENTOS DE </w:t>
      </w:r>
      <w:r w:rsidR="00F97C5C" w:rsidRPr="004068F6">
        <w:rPr>
          <w:lang w:val="es-CO"/>
        </w:rPr>
        <w:t xml:space="preserve">PARTICIPACIÓN CON </w:t>
      </w:r>
      <w:r w:rsidR="005D18C9" w:rsidRPr="004068F6">
        <w:rPr>
          <w:lang w:val="es-CO"/>
        </w:rPr>
        <w:t>LOS GRUPOS DE INTERÉS</w:t>
      </w:r>
      <w:bookmarkEnd w:id="1987"/>
      <w:bookmarkEnd w:id="1988"/>
      <w:bookmarkEnd w:id="1989"/>
      <w:bookmarkEnd w:id="1990"/>
    </w:p>
    <w:p w14:paraId="625045D4" w14:textId="77777777" w:rsidR="005F33E4" w:rsidRPr="004068F6" w:rsidRDefault="005F33E4" w:rsidP="00F97C5C">
      <w:pPr>
        <w:numPr>
          <w:ilvl w:val="12"/>
          <w:numId w:val="0"/>
        </w:numPr>
        <w:tabs>
          <w:tab w:val="left" w:pos="-2268"/>
        </w:tabs>
        <w:suppressAutoHyphens/>
        <w:rPr>
          <w:rFonts w:cs="Arial"/>
          <w:spacing w:val="-3"/>
        </w:rPr>
      </w:pPr>
    </w:p>
    <w:p w14:paraId="54119E74" w14:textId="7F158AE4" w:rsidR="00642E22" w:rsidRPr="004068F6" w:rsidRDefault="00642E22" w:rsidP="00642E22">
      <w:pPr>
        <w:numPr>
          <w:ilvl w:val="12"/>
          <w:numId w:val="0"/>
        </w:numPr>
        <w:tabs>
          <w:tab w:val="left" w:pos="-2268"/>
        </w:tabs>
        <w:suppressAutoHyphens/>
      </w:pPr>
      <w:r w:rsidRPr="004068F6">
        <w:t xml:space="preserve">Los lineamientos de participación que se establecen en este apartado desarrollan las directrices definidas en la Constitución </w:t>
      </w:r>
      <w:r w:rsidR="00C21ACA" w:rsidRPr="004068F6">
        <w:t>P</w:t>
      </w:r>
      <w:r w:rsidRPr="004068F6">
        <w:t xml:space="preserve">olítica, en los acuerdos internacionales </w:t>
      </w:r>
      <w:r w:rsidR="00F80EE8">
        <w:t xml:space="preserve">ratificados por </w:t>
      </w:r>
      <w:r w:rsidRPr="004068F6">
        <w:t>Colombia y en la normativa vigente</w:t>
      </w:r>
      <w:r w:rsidR="0028722A">
        <w:t xml:space="preserve"> </w:t>
      </w:r>
      <w:r w:rsidR="0028722A" w:rsidRPr="0028722A">
        <w:t>en materia de derechos humanos, acceso a la información, participación ambiental y enfoque diferencial</w:t>
      </w:r>
      <w:r w:rsidRPr="004068F6">
        <w:t xml:space="preserve">. Fundamentalmente, los acuerdos internacionales y normas que se toman en consideración son </w:t>
      </w:r>
      <w:r w:rsidRPr="004068F6">
        <w:rPr>
          <w:rFonts w:cs="Arial"/>
        </w:rPr>
        <w:t>la Convención Americana sobre Derechos Humanos</w:t>
      </w:r>
      <w:r w:rsidRPr="004068F6">
        <w:rPr>
          <w:rStyle w:val="Refdenotaalpie"/>
          <w:lang w:val="es-CO"/>
        </w:rPr>
        <w:footnoteReference w:id="24"/>
      </w:r>
      <w:r w:rsidRPr="004068F6">
        <w:rPr>
          <w:rFonts w:cs="Arial"/>
        </w:rPr>
        <w:t xml:space="preserve">, </w:t>
      </w:r>
      <w:r w:rsidRPr="004068F6">
        <w:t>la Carta mundial de la naturaleza</w:t>
      </w:r>
      <w:r w:rsidRPr="004068F6">
        <w:rPr>
          <w:rStyle w:val="Refdenotaalpie"/>
          <w:lang w:val="es-CO"/>
        </w:rPr>
        <w:footnoteReference w:id="25"/>
      </w:r>
      <w:r w:rsidRPr="004068F6">
        <w:t xml:space="preserve">, el </w:t>
      </w:r>
      <w:r w:rsidRPr="004068F6">
        <w:rPr>
          <w:rFonts w:cs="Arial"/>
        </w:rPr>
        <w:t xml:space="preserve">principio 10 de la Declaración de Río sobre el medio </w:t>
      </w:r>
      <w:r w:rsidRPr="004068F6">
        <w:rPr>
          <w:rFonts w:cs="Arial"/>
        </w:rPr>
        <w:lastRenderedPageBreak/>
        <w:t>ambiente y el desarrollo de 1992</w:t>
      </w:r>
      <w:r w:rsidRPr="004068F6">
        <w:rPr>
          <w:rStyle w:val="Refdenotaalpie"/>
          <w:lang w:val="es-CO"/>
        </w:rPr>
        <w:footnoteReference w:id="26"/>
      </w:r>
      <w:r w:rsidRPr="004068F6">
        <w:rPr>
          <w:rFonts w:cs="Arial"/>
        </w:rPr>
        <w:t>, el Programa 21</w:t>
      </w:r>
      <w:r w:rsidRPr="004068F6">
        <w:rPr>
          <w:rStyle w:val="Refdenotaalpie"/>
          <w:lang w:val="es-CO"/>
        </w:rPr>
        <w:footnoteReference w:id="27"/>
      </w:r>
      <w:r w:rsidRPr="004068F6">
        <w:rPr>
          <w:rFonts w:cs="Arial"/>
        </w:rPr>
        <w:t xml:space="preserve">, </w:t>
      </w:r>
      <w:r w:rsidR="00D56BC7" w:rsidRPr="004068F6">
        <w:t xml:space="preserve">la </w:t>
      </w:r>
      <w:r w:rsidR="00D56BC7" w:rsidRPr="00D56BC7">
        <w:rPr>
          <w:rFonts w:cs="Arial"/>
        </w:rPr>
        <w:t xml:space="preserve">Convención sobre la Eliminación de Todas las Formas de Discriminación contra la Mujer (CEDAW), la Convención sobre los Derechos del Niño, </w:t>
      </w:r>
      <w:r w:rsidR="00B12012" w:rsidRPr="004068F6">
        <w:rPr>
          <w:rFonts w:cs="Arial"/>
        </w:rPr>
        <w:t>el Convenio 169 de la OIT, la Declaración de las Naciones Unidas sobre Derechos de los Pueblos Indígenas</w:t>
      </w:r>
      <w:r w:rsidR="00F334F8">
        <w:rPr>
          <w:rFonts w:cs="Arial"/>
        </w:rPr>
        <w:t xml:space="preserve">, </w:t>
      </w:r>
      <w:r w:rsidRPr="004068F6">
        <w:t xml:space="preserve">la </w:t>
      </w:r>
      <w:r w:rsidRPr="004068F6">
        <w:rPr>
          <w:rFonts w:cs="Arial"/>
        </w:rPr>
        <w:t>Ley 99 de 1993</w:t>
      </w:r>
      <w:r w:rsidRPr="004068F6">
        <w:rPr>
          <w:vertAlign w:val="superscript"/>
        </w:rPr>
        <w:footnoteReference w:id="28"/>
      </w:r>
      <w:r w:rsidRPr="004068F6">
        <w:rPr>
          <w:rFonts w:cs="Arial"/>
        </w:rPr>
        <w:t>, la Ley 1437 de 2011</w:t>
      </w:r>
      <w:r w:rsidRPr="004068F6">
        <w:rPr>
          <w:rStyle w:val="Refdenotaalpie"/>
          <w:lang w:val="es-CO"/>
        </w:rPr>
        <w:footnoteReference w:id="29"/>
      </w:r>
      <w:r w:rsidRPr="004068F6">
        <w:rPr>
          <w:rFonts w:cs="Arial"/>
        </w:rPr>
        <w:t>, la Ley Estatutaria 1712 de 2014</w:t>
      </w:r>
      <w:r w:rsidRPr="004068F6">
        <w:rPr>
          <w:vertAlign w:val="superscript"/>
        </w:rPr>
        <w:footnoteReference w:id="30"/>
      </w:r>
      <w:r w:rsidR="00ED7EFA" w:rsidRPr="004068F6">
        <w:rPr>
          <w:rFonts w:cs="Arial"/>
        </w:rPr>
        <w:t>,</w:t>
      </w:r>
      <w:r w:rsidRPr="004068F6">
        <w:rPr>
          <w:rFonts w:cs="Arial"/>
        </w:rPr>
        <w:t xml:space="preserve"> la Ley 1755 de 2015</w:t>
      </w:r>
      <w:r w:rsidRPr="004068F6">
        <w:rPr>
          <w:vertAlign w:val="superscript"/>
        </w:rPr>
        <w:footnoteReference w:id="31"/>
      </w:r>
      <w:r w:rsidR="00B12012" w:rsidRPr="004068F6">
        <w:rPr>
          <w:rFonts w:cs="Arial"/>
        </w:rPr>
        <w:t xml:space="preserve">, </w:t>
      </w:r>
      <w:r w:rsidR="00051744" w:rsidRPr="004068F6">
        <w:rPr>
          <w:rFonts w:cs="Arial"/>
        </w:rPr>
        <w:t>la Ley 2273 de 2022</w:t>
      </w:r>
      <w:r w:rsidR="00051744" w:rsidRPr="004068F6">
        <w:rPr>
          <w:rFonts w:cs="Arial"/>
          <w:vertAlign w:val="superscript"/>
        </w:rPr>
        <w:footnoteReference w:id="32"/>
      </w:r>
      <w:r w:rsidR="00051744" w:rsidRPr="004068F6">
        <w:rPr>
          <w:rFonts w:cs="Arial"/>
        </w:rPr>
        <w:t xml:space="preserve">, </w:t>
      </w:r>
      <w:r w:rsidR="00FB6284" w:rsidRPr="00E64F04">
        <w:rPr>
          <w:rFonts w:cs="Arial"/>
        </w:rPr>
        <w:t>el Decreto 1094 de 2024</w:t>
      </w:r>
      <w:r w:rsidR="00FB6284" w:rsidRPr="00E64F04">
        <w:footnoteReference w:id="33"/>
      </w:r>
      <w:r w:rsidR="00FB6284" w:rsidRPr="00E64F04">
        <w:rPr>
          <w:rFonts w:cs="Arial"/>
        </w:rPr>
        <w:t xml:space="preserve"> </w:t>
      </w:r>
      <w:r w:rsidR="00FB6284">
        <w:rPr>
          <w:rFonts w:cs="Arial"/>
        </w:rPr>
        <w:t xml:space="preserve">y </w:t>
      </w:r>
      <w:r w:rsidR="00B12012" w:rsidRPr="004068F6">
        <w:rPr>
          <w:rFonts w:cs="Arial"/>
        </w:rPr>
        <w:t>el Decreto 1275</w:t>
      </w:r>
      <w:r w:rsidR="00260587" w:rsidRPr="00E64F04">
        <w:footnoteReference w:id="34"/>
      </w:r>
      <w:r w:rsidR="00B12012" w:rsidRPr="004068F6">
        <w:rPr>
          <w:rFonts w:cs="Arial"/>
        </w:rPr>
        <w:t xml:space="preserve"> de 2024, o aquellas que las modifiquen o sustituyan.</w:t>
      </w:r>
    </w:p>
    <w:p w14:paraId="42F8BB75" w14:textId="77777777" w:rsidR="00642E22" w:rsidRPr="004068F6" w:rsidRDefault="00642E22" w:rsidP="00642E22">
      <w:pPr>
        <w:numPr>
          <w:ilvl w:val="12"/>
          <w:numId w:val="0"/>
        </w:numPr>
        <w:tabs>
          <w:tab w:val="left" w:pos="-2268"/>
        </w:tabs>
        <w:suppressAutoHyphens/>
        <w:rPr>
          <w:rFonts w:cs="Arial"/>
        </w:rPr>
      </w:pPr>
    </w:p>
    <w:p w14:paraId="58C8E724" w14:textId="5857C0BD" w:rsidR="00A42F65" w:rsidRDefault="00A42F65" w:rsidP="00642E22">
      <w:pPr>
        <w:numPr>
          <w:ilvl w:val="12"/>
          <w:numId w:val="0"/>
        </w:numPr>
        <w:tabs>
          <w:tab w:val="left" w:pos="-2268"/>
        </w:tabs>
        <w:suppressAutoHyphens/>
        <w:rPr>
          <w:rFonts w:cs="Arial"/>
        </w:rPr>
      </w:pPr>
      <w:r w:rsidRPr="00E64F04">
        <w:rPr>
          <w:rFonts w:cs="Arial"/>
        </w:rPr>
        <w:t xml:space="preserve">Este marco </w:t>
      </w:r>
      <w:r w:rsidRPr="00A42F65">
        <w:rPr>
          <w:rFonts w:cs="Arial"/>
        </w:rPr>
        <w:t>determina las</w:t>
      </w:r>
      <w:r w:rsidRPr="00E64F04">
        <w:rPr>
          <w:rFonts w:cs="Arial"/>
        </w:rPr>
        <w:t xml:space="preserve"> disposiciones constitucionales, legales y jurisprudenciales que reconocen la participación como derecho fundamental y garantizan la intervención de</w:t>
      </w:r>
      <w:r w:rsidRPr="00A42F65">
        <w:rPr>
          <w:rFonts w:cs="Arial"/>
        </w:rPr>
        <w:t xml:space="preserve"> los </w:t>
      </w:r>
      <w:r w:rsidRPr="00E64F04">
        <w:rPr>
          <w:rFonts w:cs="Arial"/>
        </w:rPr>
        <w:t>grupos de interés en las decisiones sobre el ambiente, el territorio y sus medios de vida</w:t>
      </w:r>
      <w:r w:rsidRPr="00A42F65">
        <w:rPr>
          <w:rFonts w:cs="Arial"/>
        </w:rPr>
        <w:t xml:space="preserve">, atendiendo </w:t>
      </w:r>
      <w:r w:rsidRPr="00E64F04">
        <w:rPr>
          <w:rFonts w:cs="Arial"/>
        </w:rPr>
        <w:t>los principios de igualdad material, no discriminación, diversidad étnica y cultural, equidad de género, interculturalidad, transparencia, buena fe y debida diligencia en derechos humanos</w:t>
      </w:r>
      <w:r>
        <w:rPr>
          <w:rFonts w:cs="Arial"/>
        </w:rPr>
        <w:t>.</w:t>
      </w:r>
    </w:p>
    <w:p w14:paraId="64AAF253" w14:textId="77777777" w:rsidR="00A42F65" w:rsidRDefault="00A42F65" w:rsidP="00642E22">
      <w:pPr>
        <w:numPr>
          <w:ilvl w:val="12"/>
          <w:numId w:val="0"/>
        </w:numPr>
        <w:tabs>
          <w:tab w:val="left" w:pos="-2268"/>
        </w:tabs>
        <w:suppressAutoHyphens/>
        <w:rPr>
          <w:rFonts w:cs="Arial"/>
        </w:rPr>
      </w:pPr>
    </w:p>
    <w:p w14:paraId="5B3C3FE2" w14:textId="63F3776A" w:rsidR="00642E22" w:rsidRPr="004068F6" w:rsidRDefault="004D44A8" w:rsidP="00642E22">
      <w:pPr>
        <w:numPr>
          <w:ilvl w:val="12"/>
          <w:numId w:val="0"/>
        </w:numPr>
        <w:tabs>
          <w:tab w:val="left" w:pos="-2268"/>
        </w:tabs>
        <w:suppressAutoHyphens/>
        <w:rPr>
          <w:spacing w:val="-3"/>
        </w:rPr>
      </w:pPr>
      <w:r>
        <w:rPr>
          <w:rFonts w:cs="Arial"/>
        </w:rPr>
        <w:t>Así, e</w:t>
      </w:r>
      <w:r w:rsidR="00642E22" w:rsidRPr="004068F6">
        <w:rPr>
          <w:rFonts w:cs="Arial"/>
        </w:rPr>
        <w:t xml:space="preserve">l proceso de participación pública para la elaboración de estudios ambientales desarrolla múltiples </w:t>
      </w:r>
      <w:r w:rsidR="00642E22" w:rsidRPr="004068F6">
        <w:t xml:space="preserve">disposiciones de la Constitución </w:t>
      </w:r>
      <w:r w:rsidR="00C21ACA" w:rsidRPr="004068F6">
        <w:t>P</w:t>
      </w:r>
      <w:r w:rsidR="00642E22" w:rsidRPr="004068F6">
        <w:t>olítica de Colombia</w:t>
      </w:r>
      <w:r w:rsidR="00642E22" w:rsidRPr="004068F6">
        <w:rPr>
          <w:rFonts w:cs="Arial"/>
        </w:rPr>
        <w:t xml:space="preserve">, </w:t>
      </w:r>
      <w:r w:rsidR="00E8426E" w:rsidRPr="00E8426E">
        <w:rPr>
          <w:rFonts w:cs="Arial"/>
        </w:rPr>
        <w:t>entre ellas que la Ley garantizará la participación de todos los colombianos en las decisiones que puedan afectar su derecho a gozar de un ambiente sano</w:t>
      </w:r>
      <w:r w:rsidR="00642E22" w:rsidRPr="004068F6">
        <w:rPr>
          <w:rFonts w:cs="Arial"/>
          <w:spacing w:val="-3"/>
        </w:rPr>
        <w:t>. Este</w:t>
      </w:r>
      <w:r w:rsidR="00642E22" w:rsidRPr="004068F6">
        <w:rPr>
          <w:spacing w:val="-3"/>
        </w:rPr>
        <w:t xml:space="preserve"> mandato </w:t>
      </w:r>
      <w:r w:rsidR="00642E22" w:rsidRPr="004068F6">
        <w:rPr>
          <w:rFonts w:cs="Arial"/>
          <w:spacing w:val="-3"/>
        </w:rPr>
        <w:t>ha sido interpretado por</w:t>
      </w:r>
      <w:r w:rsidR="00642E22" w:rsidRPr="004068F6">
        <w:rPr>
          <w:spacing w:val="-3"/>
        </w:rPr>
        <w:t xml:space="preserve"> la </w:t>
      </w:r>
      <w:r w:rsidR="00642E22" w:rsidRPr="004068F6">
        <w:rPr>
          <w:rFonts w:cs="Arial"/>
          <w:spacing w:val="-3"/>
        </w:rPr>
        <w:t>Corte Constitucional</w:t>
      </w:r>
      <w:r w:rsidR="00642E22" w:rsidRPr="00127BD4">
        <w:rPr>
          <w:rStyle w:val="Refdenotaalpie"/>
          <w:rFonts w:cs="Arial"/>
          <w:spacing w:val="-3"/>
          <w:lang w:val="es-CO"/>
        </w:rPr>
        <w:footnoteReference w:id="35"/>
      </w:r>
      <w:r w:rsidR="00642E22" w:rsidRPr="004068F6">
        <w:rPr>
          <w:rFonts w:cs="Arial"/>
          <w:spacing w:val="-3"/>
        </w:rPr>
        <w:t xml:space="preserve"> y reglamentado en la legislación nacional, haciendo posible que </w:t>
      </w:r>
      <w:r w:rsidR="00642E22" w:rsidRPr="004068F6">
        <w:rPr>
          <w:rFonts w:cs="Arial"/>
        </w:rPr>
        <w:t>el</w:t>
      </w:r>
      <w:r w:rsidR="00642E22" w:rsidRPr="004068F6">
        <w:t xml:space="preserve"> derecho de acceso a la participación </w:t>
      </w:r>
      <w:r w:rsidR="00642E22" w:rsidRPr="004068F6">
        <w:rPr>
          <w:rFonts w:cs="Arial"/>
        </w:rPr>
        <w:t>sea pleno y efectivo en todos los procesos</w:t>
      </w:r>
      <w:r w:rsidR="00642E22" w:rsidRPr="004068F6">
        <w:t xml:space="preserve"> de toma de decisión en cuestiones ambientales</w:t>
      </w:r>
      <w:r w:rsidR="00642E22" w:rsidRPr="004068F6">
        <w:rPr>
          <w:rFonts w:cs="Arial"/>
        </w:rPr>
        <w:t>.</w:t>
      </w:r>
      <w:r w:rsidR="004A1356">
        <w:rPr>
          <w:spacing w:val="-3"/>
        </w:rPr>
        <w:t xml:space="preserve"> </w:t>
      </w:r>
      <w:r w:rsidR="004A1356">
        <w:rPr>
          <w:rFonts w:cs="Arial"/>
        </w:rPr>
        <w:t>E</w:t>
      </w:r>
      <w:r w:rsidR="00642E22" w:rsidRPr="004068F6">
        <w:rPr>
          <w:rFonts w:cs="Arial"/>
        </w:rPr>
        <w:t>stas disposiciones permiten que el proceso de toma de decisiones del licenciamiento ambiental goce de legitimidad, se incremente la confianza entre las partes y se promueva la transparencia.</w:t>
      </w:r>
    </w:p>
    <w:p w14:paraId="316BACC6" w14:textId="77777777" w:rsidR="00642E22" w:rsidRPr="004068F6" w:rsidRDefault="00642E22" w:rsidP="00642E22">
      <w:pPr>
        <w:numPr>
          <w:ilvl w:val="12"/>
          <w:numId w:val="0"/>
        </w:numPr>
        <w:tabs>
          <w:tab w:val="left" w:pos="-2268"/>
        </w:tabs>
        <w:suppressAutoHyphens/>
      </w:pPr>
    </w:p>
    <w:p w14:paraId="0AD00272" w14:textId="77777777" w:rsidR="00642E22" w:rsidRPr="00127BD4" w:rsidRDefault="00642E22" w:rsidP="00642E22">
      <w:pPr>
        <w:pStyle w:val="Ttulo2"/>
        <w:rPr>
          <w:lang w:val="es-CO"/>
        </w:rPr>
      </w:pPr>
      <w:bookmarkStart w:id="1991" w:name="_Toc230879574"/>
      <w:r w:rsidRPr="004068F6">
        <w:rPr>
          <w:lang w:val="es-CO"/>
        </w:rPr>
        <w:t>CARACTERÍSTICAS Y ALCANCES DE LA PARTICIPACIÓN</w:t>
      </w:r>
      <w:bookmarkEnd w:id="1991"/>
    </w:p>
    <w:p w14:paraId="68FA9312" w14:textId="77777777" w:rsidR="00642E22" w:rsidRPr="004068F6" w:rsidRDefault="00642E22" w:rsidP="00642E22">
      <w:pPr>
        <w:overflowPunct/>
        <w:autoSpaceDE/>
        <w:autoSpaceDN/>
        <w:adjustRightInd/>
        <w:ind w:right="57"/>
        <w:textAlignment w:val="auto"/>
        <w:rPr>
          <w:rFonts w:cs="Arial"/>
        </w:rPr>
      </w:pPr>
    </w:p>
    <w:p w14:paraId="6FE91A90" w14:textId="4F05B3FC" w:rsidR="00642E22" w:rsidRPr="004068F6" w:rsidRDefault="00642E22" w:rsidP="00642E22">
      <w:pPr>
        <w:overflowPunct/>
        <w:autoSpaceDE/>
        <w:autoSpaceDN/>
        <w:adjustRightInd/>
        <w:ind w:right="57"/>
        <w:textAlignment w:val="auto"/>
        <w:rPr>
          <w:rFonts w:cs="Arial"/>
        </w:rPr>
      </w:pPr>
      <w:r w:rsidRPr="004068F6">
        <w:rPr>
          <w:rFonts w:cs="Arial"/>
        </w:rPr>
        <w:t>El proceso de participación en el ámbito del DAA tiene dos propósitos fundamentales</w:t>
      </w:r>
      <w:r w:rsidR="00535AC4" w:rsidRPr="004068F6">
        <w:rPr>
          <w:rFonts w:cs="Arial"/>
        </w:rPr>
        <w:t>.</w:t>
      </w:r>
      <w:r w:rsidRPr="004068F6">
        <w:rPr>
          <w:rFonts w:cs="Arial"/>
        </w:rPr>
        <w:t xml:space="preserve"> </w:t>
      </w:r>
      <w:r w:rsidR="00535AC4" w:rsidRPr="004068F6">
        <w:rPr>
          <w:rFonts w:cs="Arial"/>
        </w:rPr>
        <w:t>E</w:t>
      </w:r>
      <w:r w:rsidRPr="004068F6">
        <w:rPr>
          <w:rFonts w:cs="Arial"/>
        </w:rPr>
        <w:t>l primero de ellos es explicar las generalidades del proceso de licenciamiento ambiental</w:t>
      </w:r>
      <w:r w:rsidR="0047626A" w:rsidRPr="004068F6">
        <w:rPr>
          <w:rFonts w:cs="Arial"/>
        </w:rPr>
        <w:t>, incluid</w:t>
      </w:r>
      <w:r w:rsidR="00BB742C" w:rsidRPr="004068F6">
        <w:rPr>
          <w:rFonts w:cs="Arial"/>
        </w:rPr>
        <w:t xml:space="preserve">a </w:t>
      </w:r>
      <w:r w:rsidR="0047626A" w:rsidRPr="004068F6">
        <w:rPr>
          <w:rFonts w:cs="Arial"/>
        </w:rPr>
        <w:t xml:space="preserve">la elaboración y evaluación del DDA y el EIA y sus diferencias, </w:t>
      </w:r>
      <w:r w:rsidRPr="004068F6">
        <w:rPr>
          <w:rFonts w:cs="Arial"/>
        </w:rPr>
        <w:t>e informar al público sobre la intención de desarrollar un proyecto, obra o actividad para el cual se formula un conjunto de alternativas</w:t>
      </w:r>
      <w:r w:rsidR="003944A2" w:rsidRPr="004068F6">
        <w:rPr>
          <w:rFonts w:cs="Arial"/>
        </w:rPr>
        <w:t>.</w:t>
      </w:r>
      <w:r w:rsidRPr="004068F6">
        <w:rPr>
          <w:rFonts w:cs="Arial"/>
        </w:rPr>
        <w:t xml:space="preserve"> </w:t>
      </w:r>
      <w:r w:rsidR="003944A2" w:rsidRPr="004068F6">
        <w:rPr>
          <w:rFonts w:cs="Arial"/>
        </w:rPr>
        <w:t>E</w:t>
      </w:r>
      <w:r w:rsidRPr="004068F6">
        <w:rPr>
          <w:rFonts w:cs="Arial"/>
        </w:rPr>
        <w:t xml:space="preserve">l segundo, es complementar de forma participativa el </w:t>
      </w:r>
      <w:bookmarkStart w:id="1992" w:name="_Hlk153793130"/>
      <w:r w:rsidRPr="004068F6">
        <w:rPr>
          <w:rFonts w:cs="Arial"/>
        </w:rPr>
        <w:t>DAA para incorporar en él los conocimientos, experiencias, intereses</w:t>
      </w:r>
      <w:r w:rsidR="00B35CA4" w:rsidRPr="004068F6">
        <w:rPr>
          <w:rFonts w:cs="Arial"/>
        </w:rPr>
        <w:t>, aportes</w:t>
      </w:r>
      <w:r w:rsidRPr="004068F6">
        <w:rPr>
          <w:rFonts w:cs="Arial"/>
        </w:rPr>
        <w:t xml:space="preserve"> y preocupaciones de los grupos de interés sobre algunos temas específicos abordados en este estudio ambiental, elementos que adicionalmente permiten </w:t>
      </w:r>
      <w:bookmarkEnd w:id="1992"/>
      <w:r w:rsidRPr="004068F6">
        <w:rPr>
          <w:rFonts w:cs="Arial"/>
        </w:rPr>
        <w:t>prevenir conflictos en etapas posteriores del proceso de licenciamiento ambiental.</w:t>
      </w:r>
    </w:p>
    <w:p w14:paraId="3DC0C081" w14:textId="77777777" w:rsidR="00CB6962" w:rsidRPr="004068F6" w:rsidRDefault="00CB6962" w:rsidP="00642E22">
      <w:pPr>
        <w:overflowPunct/>
        <w:autoSpaceDE/>
        <w:autoSpaceDN/>
        <w:adjustRightInd/>
        <w:ind w:right="57"/>
        <w:textAlignment w:val="auto"/>
        <w:rPr>
          <w:rFonts w:cs="Arial"/>
        </w:rPr>
      </w:pPr>
    </w:p>
    <w:p w14:paraId="5CACFE45" w14:textId="5F42FF00" w:rsidR="00642E22" w:rsidRPr="004068F6" w:rsidRDefault="0048524B" w:rsidP="00642E22">
      <w:pPr>
        <w:overflowPunct/>
        <w:autoSpaceDE/>
        <w:autoSpaceDN/>
        <w:adjustRightInd/>
        <w:ind w:right="57"/>
        <w:textAlignment w:val="auto"/>
        <w:rPr>
          <w:rFonts w:cs="Arial"/>
        </w:rPr>
      </w:pPr>
      <w:r w:rsidRPr="004068F6">
        <w:rPr>
          <w:rFonts w:cs="Arial"/>
        </w:rPr>
        <w:t xml:space="preserve">Para cumplir con estos objetivos, el proceso de </w:t>
      </w:r>
      <w:r w:rsidR="00BE6F14" w:rsidRPr="004068F6">
        <w:rPr>
          <w:rFonts w:cs="Arial"/>
        </w:rPr>
        <w:t xml:space="preserve">participación </w:t>
      </w:r>
      <w:r w:rsidRPr="004068F6">
        <w:rPr>
          <w:rFonts w:cs="Arial"/>
        </w:rPr>
        <w:t xml:space="preserve">debe ser abierto e inclusivo, ejecutarse aplicando los principios de asertividad, transparencia, buena fe, máxima publicidad, facilitación, no discriminación, enfoque diferencial, calidad y proactividad en la divulgación. Las metodologías y procedimientos empleados en este proceso y sus distintas etapas deben adecuarse al contexto sociocultural de </w:t>
      </w:r>
      <w:r w:rsidRPr="004068F6">
        <w:rPr>
          <w:rFonts w:cs="Arial"/>
        </w:rPr>
        <w:lastRenderedPageBreak/>
        <w:t>los grupos de interés, emplear herramientas técnicas e innovaciones tecnológicas que faciliten la asimilación de conceptos técnicos por parte de públicos no expertos.</w:t>
      </w:r>
    </w:p>
    <w:p w14:paraId="0A3B12D0" w14:textId="77777777" w:rsidR="00833BA0" w:rsidRPr="004068F6" w:rsidRDefault="00833BA0" w:rsidP="00642E22">
      <w:pPr>
        <w:overflowPunct/>
        <w:autoSpaceDE/>
        <w:autoSpaceDN/>
        <w:adjustRightInd/>
        <w:ind w:right="57"/>
        <w:textAlignment w:val="auto"/>
        <w:rPr>
          <w:rFonts w:cs="Arial"/>
        </w:rPr>
      </w:pPr>
    </w:p>
    <w:p w14:paraId="7214EA26" w14:textId="0E391C5D" w:rsidR="00833BA0" w:rsidRPr="004068F6" w:rsidRDefault="00833BA0" w:rsidP="00833BA0">
      <w:pPr>
        <w:overflowPunct/>
        <w:autoSpaceDE/>
        <w:autoSpaceDN/>
        <w:adjustRightInd/>
        <w:ind w:right="57"/>
        <w:textAlignment w:val="auto"/>
        <w:rPr>
          <w:rFonts w:cs="Arial"/>
        </w:rPr>
      </w:pPr>
      <w:r w:rsidRPr="004068F6">
        <w:rPr>
          <w:rFonts w:cs="Arial"/>
        </w:rPr>
        <w:t>La garantía de la participación debe hacerse de manera clara, oportuna, equitativa e involucrando activamente al público mediante espacios de diálogo y deliberación para garantizar que, especialmente, las personas o grupos que encuentran mayores dificultades para acceder a la información</w:t>
      </w:r>
      <w:r w:rsidR="003D3C69" w:rsidRPr="003D3C69">
        <w:rPr>
          <w:rFonts w:cs="Arial"/>
          <w:vertAlign w:val="superscript"/>
        </w:rPr>
        <w:footnoteReference w:id="36"/>
      </w:r>
      <w:r w:rsidRPr="004068F6">
        <w:rPr>
          <w:rFonts w:cs="Arial"/>
        </w:rPr>
        <w:t xml:space="preserve"> puedan ejercer su derecho a la participación. Los procesos de convocatoria o avisos previos deben hacerse con la suficiente antelación, cobertura y empleo de recursos tecnológicos, de manera que se brinde a los </w:t>
      </w:r>
      <w:r w:rsidR="001B5640">
        <w:rPr>
          <w:rFonts w:cs="Arial"/>
        </w:rPr>
        <w:t xml:space="preserve">grupos de interés </w:t>
      </w:r>
      <w:r w:rsidRPr="004068F6">
        <w:rPr>
          <w:rFonts w:cs="Arial"/>
        </w:rPr>
        <w:t>la oportunidad de informarse oportunamente de los tiempos, modos y lugares de ejecución de los espacios de participación.</w:t>
      </w:r>
    </w:p>
    <w:p w14:paraId="64ED6FC3" w14:textId="77777777" w:rsidR="00642E22" w:rsidRPr="004068F6" w:rsidRDefault="00642E22" w:rsidP="00642E22">
      <w:pPr>
        <w:numPr>
          <w:ilvl w:val="12"/>
          <w:numId w:val="0"/>
        </w:numPr>
        <w:tabs>
          <w:tab w:val="left" w:pos="-2268"/>
        </w:tabs>
        <w:suppressAutoHyphens/>
        <w:rPr>
          <w:rFonts w:cs="Arial"/>
        </w:rPr>
      </w:pPr>
    </w:p>
    <w:p w14:paraId="03E58215" w14:textId="7336014B" w:rsidR="00642E22" w:rsidRPr="004068F6" w:rsidRDefault="00642E22" w:rsidP="00642E22">
      <w:pPr>
        <w:numPr>
          <w:ilvl w:val="12"/>
          <w:numId w:val="0"/>
        </w:numPr>
        <w:tabs>
          <w:tab w:val="left" w:pos="-2268"/>
        </w:tabs>
        <w:suppressAutoHyphens/>
        <w:rPr>
          <w:rFonts w:cs="Arial"/>
        </w:rPr>
      </w:pPr>
      <w:r w:rsidRPr="004068F6">
        <w:rPr>
          <w:rFonts w:cs="Arial"/>
        </w:rPr>
        <w:t>Este proceso debe abordarse con l</w:t>
      </w:r>
      <w:r w:rsidRPr="004068F6">
        <w:rPr>
          <w:rFonts w:cs="Arial"/>
          <w:spacing w:val="-3"/>
        </w:rPr>
        <w:t>os grupos de interés</w:t>
      </w:r>
      <w:r w:rsidRPr="004068F6">
        <w:rPr>
          <w:spacing w:val="-3"/>
        </w:rPr>
        <w:t xml:space="preserve"> </w:t>
      </w:r>
      <w:r w:rsidR="00752FA9" w:rsidRPr="004068F6">
        <w:rPr>
          <w:rFonts w:cs="Arial"/>
          <w:spacing w:val="-3"/>
        </w:rPr>
        <w:t>(</w:t>
      </w:r>
      <w:r w:rsidR="004B0636">
        <w:rPr>
          <w:rFonts w:cs="Arial"/>
          <w:spacing w:val="-3"/>
        </w:rPr>
        <w:t xml:space="preserve">ver la </w:t>
      </w:r>
      <w:r w:rsidR="00752FA9" w:rsidRPr="004068F6">
        <w:rPr>
          <w:rFonts w:cs="Arial"/>
          <w:spacing w:val="-3"/>
        </w:rPr>
        <w:t xml:space="preserve">definición establecida en el glosario) </w:t>
      </w:r>
      <w:r w:rsidRPr="004068F6">
        <w:rPr>
          <w:spacing w:val="-3"/>
        </w:rPr>
        <w:t>del área de estudio del medio socioeconómico</w:t>
      </w:r>
      <w:r w:rsidR="00C7176A" w:rsidRPr="004068F6">
        <w:rPr>
          <w:rFonts w:cs="Arial"/>
          <w:spacing w:val="-3"/>
        </w:rPr>
        <w:t xml:space="preserve"> </w:t>
      </w:r>
      <w:r w:rsidRPr="004068F6">
        <w:rPr>
          <w:rFonts w:cs="Arial"/>
          <w:spacing w:val="-3"/>
        </w:rPr>
        <w:t xml:space="preserve">y </w:t>
      </w:r>
      <w:r w:rsidRPr="004068F6">
        <w:rPr>
          <w:rFonts w:cs="Arial"/>
        </w:rPr>
        <w:t xml:space="preserve">asegurar que se realice mediante un diálogo que contemple aspectos de tipo técnico y un enfoque diferencial que posibilite la participación de personas </w:t>
      </w:r>
      <w:r w:rsidR="002C5B64" w:rsidRPr="004068F6">
        <w:rPr>
          <w:rFonts w:cs="Arial"/>
        </w:rPr>
        <w:t xml:space="preserve">o grupos </w:t>
      </w:r>
      <w:r w:rsidRPr="004068F6">
        <w:rPr>
          <w:rFonts w:cs="Arial"/>
        </w:rPr>
        <w:t xml:space="preserve">que tengan mayores dificultades para participar, sujetos de especial protección </w:t>
      </w:r>
      <w:r w:rsidR="002C5B64" w:rsidRPr="004068F6">
        <w:rPr>
          <w:rFonts w:cs="Arial"/>
        </w:rPr>
        <w:t xml:space="preserve">constitucional </w:t>
      </w:r>
      <w:r w:rsidRPr="004068F6">
        <w:rPr>
          <w:rFonts w:cs="Arial"/>
        </w:rPr>
        <w:t>y personas u organizaciones defensoras de derechos humanos en materia ambiental.</w:t>
      </w:r>
    </w:p>
    <w:p w14:paraId="16BC04DF" w14:textId="77777777" w:rsidR="00642E22" w:rsidRPr="004068F6" w:rsidRDefault="00642E22" w:rsidP="00642E22">
      <w:pPr>
        <w:numPr>
          <w:ilvl w:val="12"/>
          <w:numId w:val="0"/>
        </w:numPr>
        <w:tabs>
          <w:tab w:val="left" w:pos="-2268"/>
        </w:tabs>
        <w:suppressAutoHyphens/>
        <w:rPr>
          <w:rFonts w:cs="Arial"/>
          <w:spacing w:val="-3"/>
        </w:rPr>
      </w:pPr>
    </w:p>
    <w:p w14:paraId="47642C9A" w14:textId="53AAA539" w:rsidR="00642E22" w:rsidRPr="004068F6" w:rsidRDefault="00642E22" w:rsidP="00642E22">
      <w:pPr>
        <w:numPr>
          <w:ilvl w:val="12"/>
          <w:numId w:val="0"/>
        </w:numPr>
        <w:tabs>
          <w:tab w:val="left" w:pos="-2268"/>
        </w:tabs>
        <w:suppressAutoHyphens/>
        <w:rPr>
          <w:spacing w:val="-3"/>
        </w:rPr>
      </w:pPr>
      <w:r w:rsidRPr="004068F6">
        <w:rPr>
          <w:spacing w:val="-3"/>
        </w:rPr>
        <w:t xml:space="preserve">Toda la información que se comunique de forma oral, escrita </w:t>
      </w:r>
      <w:r w:rsidR="00572B79" w:rsidRPr="004068F6">
        <w:rPr>
          <w:spacing w:val="-3"/>
        </w:rPr>
        <w:t>y/</w:t>
      </w:r>
      <w:r w:rsidRPr="004068F6">
        <w:rPr>
          <w:spacing w:val="-3"/>
        </w:rPr>
        <w:t xml:space="preserve">o visual ya sea en los espacios de diálogo o al emplear medios de difusión electrónicos o magnéticos, debe </w:t>
      </w:r>
      <w:r w:rsidR="005D6EE0" w:rsidRPr="004068F6">
        <w:rPr>
          <w:spacing w:val="-3"/>
        </w:rPr>
        <w:t xml:space="preserve">utilizar un leguaje claro e incluyente, y </w:t>
      </w:r>
      <w:r w:rsidRPr="004068F6">
        <w:rPr>
          <w:spacing w:val="-3"/>
        </w:rPr>
        <w:t>ser transparente, comprensiva y culturalmente apropiada, de modo que permita que todos los grupos de interés accedan efectivamente a ésta. Por ello, es necesario implementar enfoques y estrategias diferenciales acordes con las características sociales y culturales de los grupos de interés, bajo los cuales la información:</w:t>
      </w:r>
    </w:p>
    <w:p w14:paraId="690FECC7" w14:textId="77777777" w:rsidR="00642E22" w:rsidRPr="004068F6" w:rsidRDefault="00642E22" w:rsidP="008D2728">
      <w:pPr>
        <w:tabs>
          <w:tab w:val="left" w:pos="-2268"/>
        </w:tabs>
        <w:suppressAutoHyphens/>
        <w:rPr>
          <w:spacing w:val="-3"/>
        </w:rPr>
      </w:pPr>
    </w:p>
    <w:p w14:paraId="22FB9085" w14:textId="26459E81" w:rsidR="00642E22" w:rsidRPr="004068F6" w:rsidRDefault="00324F0F" w:rsidP="00642E22">
      <w:pPr>
        <w:numPr>
          <w:ilvl w:val="0"/>
          <w:numId w:val="360"/>
        </w:numPr>
        <w:tabs>
          <w:tab w:val="left" w:pos="-2268"/>
        </w:tabs>
        <w:suppressAutoHyphens/>
        <w:ind w:left="567" w:hanging="567"/>
        <w:rPr>
          <w:rFonts w:cs="Arial"/>
          <w:spacing w:val="-3"/>
        </w:rPr>
      </w:pPr>
      <w:r w:rsidRPr="004068F6">
        <w:rPr>
          <w:rFonts w:cs="Arial"/>
          <w:spacing w:val="-3"/>
        </w:rPr>
        <w:t>Se p</w:t>
      </w:r>
      <w:r w:rsidR="00642E22" w:rsidRPr="004068F6">
        <w:rPr>
          <w:rFonts w:cs="Arial"/>
          <w:spacing w:val="-3"/>
        </w:rPr>
        <w:t>rovea en un lenguaje y formato que facilite tanto su comprensión y uso (por ejemplo, haciendo uso de la lengua de señas o interpretando conceptos técnicos para que sean compresibles y puedan ser analizados), como su divulgación a través de diversos canales complementarios.</w:t>
      </w:r>
    </w:p>
    <w:p w14:paraId="27E40C52" w14:textId="77777777" w:rsidR="00642E22" w:rsidRPr="004068F6" w:rsidRDefault="00642E22" w:rsidP="00642E22">
      <w:pPr>
        <w:tabs>
          <w:tab w:val="left" w:pos="-2268"/>
        </w:tabs>
        <w:suppressAutoHyphens/>
        <w:rPr>
          <w:spacing w:val="-3"/>
        </w:rPr>
      </w:pPr>
    </w:p>
    <w:p w14:paraId="72B95CA2" w14:textId="57DE8BC9" w:rsidR="00642E22" w:rsidRPr="004068F6" w:rsidRDefault="00324F0F" w:rsidP="00642E22">
      <w:pPr>
        <w:numPr>
          <w:ilvl w:val="0"/>
          <w:numId w:val="360"/>
        </w:numPr>
        <w:tabs>
          <w:tab w:val="left" w:pos="-2268"/>
        </w:tabs>
        <w:suppressAutoHyphens/>
        <w:ind w:left="567" w:hanging="567"/>
        <w:rPr>
          <w:rFonts w:cs="Arial"/>
          <w:spacing w:val="-3"/>
        </w:rPr>
      </w:pPr>
      <w:r w:rsidRPr="004068F6">
        <w:rPr>
          <w:rFonts w:cs="Arial"/>
          <w:spacing w:val="-3"/>
        </w:rPr>
        <w:t>Se d</w:t>
      </w:r>
      <w:r w:rsidR="00642E22" w:rsidRPr="004068F6">
        <w:rPr>
          <w:rFonts w:cs="Arial"/>
          <w:spacing w:val="-3"/>
        </w:rPr>
        <w:t>ifunda en el idioma o lengua propia de los grupos de interés para facilitar su comprensión, así como para garantizar que puedan participar de forma efectiva</w:t>
      </w:r>
    </w:p>
    <w:p w14:paraId="4C23B18E" w14:textId="77777777" w:rsidR="00642E22" w:rsidRPr="004068F6" w:rsidRDefault="00642E22" w:rsidP="00642E22">
      <w:pPr>
        <w:tabs>
          <w:tab w:val="left" w:pos="-2268"/>
        </w:tabs>
        <w:suppressAutoHyphens/>
        <w:rPr>
          <w:spacing w:val="-3"/>
        </w:rPr>
      </w:pPr>
    </w:p>
    <w:p w14:paraId="105F746C" w14:textId="0FA57E75" w:rsidR="00642E22" w:rsidRPr="004068F6" w:rsidRDefault="00324F0F" w:rsidP="00642E22">
      <w:pPr>
        <w:numPr>
          <w:ilvl w:val="0"/>
          <w:numId w:val="360"/>
        </w:numPr>
        <w:tabs>
          <w:tab w:val="left" w:pos="-2268"/>
        </w:tabs>
        <w:suppressAutoHyphens/>
        <w:ind w:left="567" w:hanging="567"/>
        <w:rPr>
          <w:rFonts w:cs="Arial"/>
          <w:spacing w:val="-3"/>
        </w:rPr>
      </w:pPr>
      <w:r w:rsidRPr="004068F6">
        <w:rPr>
          <w:rFonts w:cs="Arial"/>
          <w:spacing w:val="-3"/>
        </w:rPr>
        <w:t>Se d</w:t>
      </w:r>
      <w:r w:rsidR="00642E22" w:rsidRPr="004068F6">
        <w:rPr>
          <w:rFonts w:cs="Arial"/>
          <w:spacing w:val="-3"/>
        </w:rPr>
        <w:t xml:space="preserve">ivulgue mediante piezas gráficas cortas que puedan ser publicadas constantemente a través de la página web y las redes sociales disponibles, carteleras dispuestas en lugares públicos de gran afluencia, o puntos itinerantes </w:t>
      </w:r>
      <w:r w:rsidR="00642E22" w:rsidRPr="004068F6">
        <w:rPr>
          <w:rFonts w:cs="Arial"/>
          <w:spacing w:val="-3"/>
        </w:rPr>
        <w:lastRenderedPageBreak/>
        <w:t>de información que permitan a los interesados acercarse a consultar y despejar dudas, entre otros medios.</w:t>
      </w:r>
    </w:p>
    <w:p w14:paraId="390212ED" w14:textId="77777777" w:rsidR="00642E22" w:rsidRPr="004068F6" w:rsidRDefault="00642E22" w:rsidP="00642E22">
      <w:pPr>
        <w:rPr>
          <w:spacing w:val="-3"/>
        </w:rPr>
      </w:pPr>
    </w:p>
    <w:p w14:paraId="1F9CD0B6" w14:textId="69957AFC" w:rsidR="00642E22" w:rsidRPr="004068F6" w:rsidRDefault="00642E22" w:rsidP="00642E22">
      <w:r w:rsidRPr="004068F6">
        <w:t>En síntesis, el proceso de participación pública ambiental debe enfocarse en dar acceso a información suficiente y permanente</w:t>
      </w:r>
      <w:r w:rsidR="006E6308">
        <w:rPr>
          <w:rStyle w:val="Refdenotaalpie"/>
        </w:rPr>
        <w:footnoteReference w:id="37"/>
      </w:r>
      <w:r w:rsidRPr="004068F6">
        <w:t xml:space="preserve"> </w:t>
      </w:r>
      <w:r w:rsidR="00123D99" w:rsidRPr="004068F6">
        <w:t xml:space="preserve">a los grupos de interés </w:t>
      </w:r>
      <w:r w:rsidRPr="004068F6">
        <w:t>sobre el proyecto, obra o actividad y las alternativas que se plantean para su ejecución, en asegurar un diálogo en doble vía que permita la interacción de</w:t>
      </w:r>
      <w:r w:rsidR="00856B55" w:rsidRPr="004068F6">
        <w:t xml:space="preserve"> </w:t>
      </w:r>
      <w:r w:rsidR="001B532D" w:rsidRPr="004068F6">
        <w:t>los grupos de interés</w:t>
      </w:r>
      <w:r w:rsidRPr="004068F6">
        <w:t xml:space="preserve">, en asegurar que la participación permita complementar de forma participativa la información de algunos apartados del DAA y en </w:t>
      </w:r>
      <w:r w:rsidRPr="00127BD4">
        <w:rPr>
          <w:spacing w:val="-3"/>
        </w:rPr>
        <w:t>asegurar transparencia en el manejo de la información que se suministra, recibe, analiza e incorpora al estudio</w:t>
      </w:r>
      <w:r w:rsidRPr="004068F6">
        <w:t>.</w:t>
      </w:r>
    </w:p>
    <w:p w14:paraId="5DFF9BF3" w14:textId="77777777" w:rsidR="00642E22" w:rsidRPr="004068F6" w:rsidRDefault="00642E22" w:rsidP="00642E22">
      <w:pPr>
        <w:numPr>
          <w:ilvl w:val="12"/>
          <w:numId w:val="0"/>
        </w:numPr>
        <w:tabs>
          <w:tab w:val="left" w:pos="-2268"/>
        </w:tabs>
        <w:suppressAutoHyphens/>
        <w:rPr>
          <w:rFonts w:cs="Arial"/>
          <w:spacing w:val="-3"/>
        </w:rPr>
      </w:pPr>
    </w:p>
    <w:p w14:paraId="5AED068D" w14:textId="08CC8A53" w:rsidR="006A7F22" w:rsidRPr="004068F6" w:rsidRDefault="006A7F22" w:rsidP="00642E22">
      <w:pPr>
        <w:numPr>
          <w:ilvl w:val="12"/>
          <w:numId w:val="0"/>
        </w:numPr>
        <w:tabs>
          <w:tab w:val="left" w:pos="-2268"/>
        </w:tabs>
        <w:suppressAutoHyphens/>
        <w:rPr>
          <w:rFonts w:cs="Arial"/>
          <w:spacing w:val="-3"/>
        </w:rPr>
      </w:pPr>
      <w:r w:rsidRPr="004068F6">
        <w:rPr>
          <w:rFonts w:cs="Arial"/>
          <w:spacing w:val="-3"/>
        </w:rPr>
        <w:t xml:space="preserve">El proceso de participación constituye un escenario propicio para obtener información que permita implementar el principio de debida diligencia y de esta forma </w:t>
      </w:r>
      <w:r w:rsidR="00201A69" w:rsidRPr="004068F6">
        <w:rPr>
          <w:rFonts w:cs="Arial"/>
          <w:spacing w:val="-3"/>
        </w:rPr>
        <w:t xml:space="preserve">se </w:t>
      </w:r>
      <w:r w:rsidRPr="004068F6">
        <w:rPr>
          <w:rFonts w:cs="Arial"/>
          <w:spacing w:val="-3"/>
        </w:rPr>
        <w:t xml:space="preserve">facilite que, a lo largo del proceso del licenciamiento ambiental, </w:t>
      </w:r>
      <w:r w:rsidR="00EB5AE6" w:rsidRPr="004068F6">
        <w:rPr>
          <w:rFonts w:cs="Arial"/>
          <w:spacing w:val="-3"/>
        </w:rPr>
        <w:t xml:space="preserve">se </w:t>
      </w:r>
      <w:r w:rsidR="00D15B95" w:rsidRPr="004068F6">
        <w:rPr>
          <w:rFonts w:cs="Arial"/>
          <w:spacing w:val="-3"/>
        </w:rPr>
        <w:t>preven</w:t>
      </w:r>
      <w:r w:rsidR="00EB5AE6" w:rsidRPr="004068F6">
        <w:rPr>
          <w:rFonts w:cs="Arial"/>
          <w:spacing w:val="-3"/>
        </w:rPr>
        <w:t xml:space="preserve">gan </w:t>
      </w:r>
      <w:r w:rsidR="00D15B95" w:rsidRPr="004068F6">
        <w:rPr>
          <w:rFonts w:cs="Arial"/>
          <w:spacing w:val="-3"/>
        </w:rPr>
        <w:t xml:space="preserve">potenciales riesgos </w:t>
      </w:r>
      <w:r w:rsidR="00CB7F19">
        <w:rPr>
          <w:rFonts w:cs="Arial"/>
          <w:spacing w:val="-3"/>
        </w:rPr>
        <w:t xml:space="preserve">e impactos negativos </w:t>
      </w:r>
      <w:r w:rsidR="00D15B95" w:rsidRPr="004068F6">
        <w:rPr>
          <w:rFonts w:cs="Arial"/>
          <w:spacing w:val="-3"/>
        </w:rPr>
        <w:t xml:space="preserve">a los derechos humanos </w:t>
      </w:r>
      <w:r w:rsidR="00646B57" w:rsidRPr="004068F6">
        <w:rPr>
          <w:rFonts w:cs="Arial"/>
          <w:spacing w:val="-3"/>
        </w:rPr>
        <w:t xml:space="preserve">que se </w:t>
      </w:r>
      <w:r w:rsidR="00EB5AE6" w:rsidRPr="004068F6">
        <w:rPr>
          <w:rFonts w:cs="Arial"/>
          <w:spacing w:val="-3"/>
        </w:rPr>
        <w:t>deriv</w:t>
      </w:r>
      <w:r w:rsidR="00646B57" w:rsidRPr="004068F6">
        <w:rPr>
          <w:rFonts w:cs="Arial"/>
          <w:spacing w:val="-3"/>
        </w:rPr>
        <w:t xml:space="preserve">en </w:t>
      </w:r>
      <w:r w:rsidR="00EB5AE6" w:rsidRPr="004068F6">
        <w:rPr>
          <w:rFonts w:cs="Arial"/>
          <w:spacing w:val="-3"/>
        </w:rPr>
        <w:t xml:space="preserve">de </w:t>
      </w:r>
      <w:r w:rsidR="00D15B95" w:rsidRPr="004068F6">
        <w:rPr>
          <w:rFonts w:cs="Arial"/>
          <w:spacing w:val="-3"/>
        </w:rPr>
        <w:t>los impactos ambientales</w:t>
      </w:r>
      <w:r w:rsidRPr="004068F6">
        <w:rPr>
          <w:rFonts w:cs="Arial"/>
          <w:spacing w:val="-3"/>
        </w:rPr>
        <w:t>.</w:t>
      </w:r>
    </w:p>
    <w:p w14:paraId="5D61FA49" w14:textId="77777777" w:rsidR="006A7F22" w:rsidRDefault="006A7F22" w:rsidP="00642E22">
      <w:pPr>
        <w:numPr>
          <w:ilvl w:val="12"/>
          <w:numId w:val="0"/>
        </w:numPr>
        <w:tabs>
          <w:tab w:val="left" w:pos="-2268"/>
        </w:tabs>
        <w:suppressAutoHyphens/>
        <w:rPr>
          <w:rFonts w:cs="Arial"/>
          <w:spacing w:val="-3"/>
        </w:rPr>
      </w:pPr>
    </w:p>
    <w:p w14:paraId="487EE5DD" w14:textId="29E357B0" w:rsidR="00112C26" w:rsidRPr="004068F6" w:rsidRDefault="00B64B71" w:rsidP="00112C26">
      <w:pPr>
        <w:numPr>
          <w:ilvl w:val="12"/>
          <w:numId w:val="0"/>
        </w:numPr>
        <w:tabs>
          <w:tab w:val="left" w:pos="-2268"/>
        </w:tabs>
        <w:suppressAutoHyphens/>
        <w:rPr>
          <w:rFonts w:cs="Arial"/>
          <w:spacing w:val="-3"/>
        </w:rPr>
      </w:pPr>
      <w:r>
        <w:rPr>
          <w:spacing w:val="-3"/>
        </w:rPr>
        <w:t xml:space="preserve">En caso de que se determine la existencia de </w:t>
      </w:r>
      <w:r w:rsidRPr="00AD540C">
        <w:rPr>
          <w:spacing w:val="-3"/>
        </w:rPr>
        <w:t>sujetos de reparación colectiva</w:t>
      </w:r>
      <w:r w:rsidR="0010500F">
        <w:rPr>
          <w:spacing w:val="-3"/>
        </w:rPr>
        <w:t xml:space="preserve">, se debe consultar a </w:t>
      </w:r>
      <w:r w:rsidR="0010500F" w:rsidRPr="00AD540C">
        <w:rPr>
          <w:spacing w:val="-3"/>
        </w:rPr>
        <w:t xml:space="preserve">la </w:t>
      </w:r>
      <w:r w:rsidR="0010500F" w:rsidRPr="00263B8D">
        <w:rPr>
          <w:spacing w:val="-3"/>
        </w:rPr>
        <w:t xml:space="preserve">Unidad para la Atención y Reparación Integral a las Víctimas </w:t>
      </w:r>
      <w:r w:rsidR="0010500F">
        <w:rPr>
          <w:spacing w:val="-3"/>
        </w:rPr>
        <w:t>(Unidad para las víctimas)</w:t>
      </w:r>
      <w:r>
        <w:rPr>
          <w:spacing w:val="-3"/>
        </w:rPr>
        <w:t xml:space="preserve"> sobre la pertinencia de adelantar un proceso de participación diferenciado para este grupo </w:t>
      </w:r>
      <w:r w:rsidR="00CC6010">
        <w:rPr>
          <w:spacing w:val="-3"/>
        </w:rPr>
        <w:t>y</w:t>
      </w:r>
      <w:r w:rsidR="00D37035">
        <w:rPr>
          <w:spacing w:val="-3"/>
        </w:rPr>
        <w:t xml:space="preserve">, </w:t>
      </w:r>
      <w:r w:rsidR="002F2F9E">
        <w:rPr>
          <w:spacing w:val="-3"/>
        </w:rPr>
        <w:t xml:space="preserve">en caso de que así se considere, </w:t>
      </w:r>
      <w:r w:rsidR="003979C3">
        <w:rPr>
          <w:spacing w:val="-3"/>
        </w:rPr>
        <w:t xml:space="preserve">tal </w:t>
      </w:r>
      <w:r w:rsidR="002F4605">
        <w:rPr>
          <w:spacing w:val="-3"/>
        </w:rPr>
        <w:t xml:space="preserve">proceso debe </w:t>
      </w:r>
      <w:r w:rsidR="002F2F9E">
        <w:rPr>
          <w:spacing w:val="-3"/>
        </w:rPr>
        <w:t xml:space="preserve">abordarse </w:t>
      </w:r>
      <w:r w:rsidR="00112C26">
        <w:rPr>
          <w:spacing w:val="-3"/>
        </w:rPr>
        <w:t xml:space="preserve">de acuerdo con las directrices e indicaciones que fije </w:t>
      </w:r>
      <w:r w:rsidR="00C11C4A">
        <w:rPr>
          <w:spacing w:val="-3"/>
        </w:rPr>
        <w:t>dicha</w:t>
      </w:r>
      <w:r w:rsidR="00CC6010">
        <w:rPr>
          <w:spacing w:val="-3"/>
        </w:rPr>
        <w:t xml:space="preserve"> entidad</w:t>
      </w:r>
      <w:r w:rsidR="00112C26" w:rsidRPr="00AD540C">
        <w:rPr>
          <w:spacing w:val="-3"/>
        </w:rPr>
        <w:t xml:space="preserve">. </w:t>
      </w:r>
      <w:r w:rsidR="001B1061" w:rsidRPr="00065BF7">
        <w:rPr>
          <w:rFonts w:cs="Arial"/>
          <w:spacing w:val="-3"/>
        </w:rPr>
        <w:t xml:space="preserve">Con el propósito de </w:t>
      </w:r>
      <w:r w:rsidR="0031485C">
        <w:rPr>
          <w:rFonts w:cs="Arial"/>
          <w:spacing w:val="-3"/>
        </w:rPr>
        <w:t>prevenir</w:t>
      </w:r>
      <w:r w:rsidR="001B1061" w:rsidRPr="00065BF7">
        <w:rPr>
          <w:rFonts w:cs="Arial"/>
          <w:spacing w:val="-3"/>
        </w:rPr>
        <w:t xml:space="preserve"> riesgos a las personas que </w:t>
      </w:r>
      <w:r w:rsidR="001B1061">
        <w:rPr>
          <w:rFonts w:cs="Arial"/>
          <w:spacing w:val="-3"/>
        </w:rPr>
        <w:t xml:space="preserve">se involucren </w:t>
      </w:r>
      <w:r w:rsidR="00895D5B">
        <w:rPr>
          <w:rFonts w:cs="Arial"/>
          <w:spacing w:val="-3"/>
        </w:rPr>
        <w:t>a</w:t>
      </w:r>
      <w:r w:rsidR="001B1061">
        <w:rPr>
          <w:rFonts w:cs="Arial"/>
          <w:spacing w:val="-3"/>
        </w:rPr>
        <w:t xml:space="preserve">l proceso de </w:t>
      </w:r>
      <w:r w:rsidR="001B1061" w:rsidRPr="00065BF7">
        <w:rPr>
          <w:rFonts w:cs="Arial"/>
          <w:spacing w:val="-3"/>
        </w:rPr>
        <w:t>participación</w:t>
      </w:r>
      <w:r w:rsidR="001B1061">
        <w:rPr>
          <w:spacing w:val="-3"/>
        </w:rPr>
        <w:t xml:space="preserve"> </w:t>
      </w:r>
      <w:r w:rsidR="00112C26">
        <w:rPr>
          <w:spacing w:val="-3"/>
        </w:rPr>
        <w:t xml:space="preserve">(no sólo </w:t>
      </w:r>
      <w:r w:rsidR="002F4605">
        <w:rPr>
          <w:spacing w:val="-3"/>
        </w:rPr>
        <w:t xml:space="preserve">cuando se trata </w:t>
      </w:r>
      <w:r w:rsidR="00112C26">
        <w:rPr>
          <w:spacing w:val="-3"/>
        </w:rPr>
        <w:t xml:space="preserve">de </w:t>
      </w:r>
      <w:r w:rsidR="00112C26" w:rsidRPr="00AD540C">
        <w:rPr>
          <w:spacing w:val="-3"/>
        </w:rPr>
        <w:t>sujetos de reparación colectiva</w:t>
      </w:r>
      <w:r w:rsidR="00112C26">
        <w:rPr>
          <w:spacing w:val="-3"/>
        </w:rPr>
        <w:t>)</w:t>
      </w:r>
      <w:r w:rsidR="00895D5B">
        <w:rPr>
          <w:spacing w:val="-3"/>
        </w:rPr>
        <w:t>,</w:t>
      </w:r>
      <w:r w:rsidR="00112C26">
        <w:rPr>
          <w:spacing w:val="-3"/>
        </w:rPr>
        <w:t xml:space="preserve"> </w:t>
      </w:r>
      <w:r w:rsidR="0033685B">
        <w:rPr>
          <w:spacing w:val="-3"/>
        </w:rPr>
        <w:t>e</w:t>
      </w:r>
      <w:r w:rsidR="001E21D2">
        <w:rPr>
          <w:spacing w:val="-3"/>
        </w:rPr>
        <w:t xml:space="preserve">ste </w:t>
      </w:r>
      <w:r w:rsidR="00547C49">
        <w:rPr>
          <w:spacing w:val="-3"/>
        </w:rPr>
        <w:t xml:space="preserve">proceso </w:t>
      </w:r>
      <w:r w:rsidR="00112C26">
        <w:rPr>
          <w:spacing w:val="-3"/>
        </w:rPr>
        <w:t xml:space="preserve">debe dirigirse a </w:t>
      </w:r>
      <w:r w:rsidR="001E21D2">
        <w:rPr>
          <w:spacing w:val="-3"/>
        </w:rPr>
        <w:t xml:space="preserve">los </w:t>
      </w:r>
      <w:r w:rsidR="00112C26">
        <w:rPr>
          <w:spacing w:val="-3"/>
        </w:rPr>
        <w:t>grupos</w:t>
      </w:r>
      <w:r w:rsidR="001E21D2">
        <w:rPr>
          <w:spacing w:val="-3"/>
        </w:rPr>
        <w:t xml:space="preserve"> </w:t>
      </w:r>
      <w:r w:rsidR="008C3750">
        <w:rPr>
          <w:rFonts w:cs="Arial"/>
          <w:spacing w:val="-3"/>
        </w:rPr>
        <w:t>de interés identificados procurando no exacerbar los riesgos preexistentes.</w:t>
      </w:r>
    </w:p>
    <w:p w14:paraId="3AA868BF" w14:textId="77777777" w:rsidR="00112C26" w:rsidRPr="004068F6" w:rsidRDefault="00112C26" w:rsidP="00642E22">
      <w:pPr>
        <w:numPr>
          <w:ilvl w:val="12"/>
          <w:numId w:val="0"/>
        </w:numPr>
        <w:tabs>
          <w:tab w:val="left" w:pos="-2268"/>
        </w:tabs>
        <w:suppressAutoHyphens/>
        <w:rPr>
          <w:rFonts w:cs="Arial"/>
          <w:spacing w:val="-3"/>
        </w:rPr>
      </w:pPr>
    </w:p>
    <w:p w14:paraId="320E9E35" w14:textId="77777777" w:rsidR="00642E22" w:rsidRPr="004068F6" w:rsidRDefault="00642E22" w:rsidP="00642E22">
      <w:pPr>
        <w:numPr>
          <w:ilvl w:val="12"/>
          <w:numId w:val="0"/>
        </w:numPr>
        <w:tabs>
          <w:tab w:val="left" w:pos="-2268"/>
        </w:tabs>
        <w:suppressAutoHyphens/>
        <w:rPr>
          <w:rFonts w:cs="Arial"/>
          <w:spacing w:val="-3"/>
        </w:rPr>
      </w:pPr>
      <w:r w:rsidRPr="004068F6">
        <w:rPr>
          <w:spacing w:val="-3"/>
        </w:rPr>
        <w:t>De otra parte, e</w:t>
      </w:r>
      <w:r w:rsidRPr="004068F6">
        <w:rPr>
          <w:rFonts w:cs="Arial"/>
          <w:spacing w:val="-3"/>
        </w:rPr>
        <w:t>n caso de presentarse dificultades durante el proceso de participación, incluso cuando se emplean mecanismos virtuales, se deben especificar y soportar de manera detallada las situaciones que impiden el desarrollo de un adecuado proceso participativo de los grupos de interés, así como las acciones adelantadas para garantizar la efectividad de éste.</w:t>
      </w:r>
    </w:p>
    <w:p w14:paraId="75D8246D" w14:textId="77777777" w:rsidR="00642E22" w:rsidRPr="004068F6" w:rsidRDefault="00642E22" w:rsidP="00642E22">
      <w:pPr>
        <w:numPr>
          <w:ilvl w:val="12"/>
          <w:numId w:val="0"/>
        </w:numPr>
        <w:tabs>
          <w:tab w:val="left" w:pos="-2268"/>
          <w:tab w:val="left" w:pos="1306"/>
        </w:tabs>
        <w:suppressAutoHyphens/>
        <w:rPr>
          <w:rFonts w:cs="Arial"/>
          <w:spacing w:val="-3"/>
        </w:rPr>
      </w:pPr>
    </w:p>
    <w:p w14:paraId="7FFA6D3E" w14:textId="77777777" w:rsidR="00642E22" w:rsidRPr="004068F6" w:rsidRDefault="00642E22" w:rsidP="00642E22">
      <w:pPr>
        <w:numPr>
          <w:ilvl w:val="12"/>
          <w:numId w:val="0"/>
        </w:numPr>
        <w:tabs>
          <w:tab w:val="left" w:pos="-2268"/>
        </w:tabs>
        <w:suppressAutoHyphens/>
        <w:rPr>
          <w:rFonts w:cs="Arial"/>
          <w:spacing w:val="-3"/>
        </w:rPr>
      </w:pPr>
      <w:r w:rsidRPr="004068F6">
        <w:rPr>
          <w:spacing w:val="-3"/>
        </w:rPr>
        <w:t xml:space="preserve">Para asegurar que el proceso de participación </w:t>
      </w:r>
      <w:r w:rsidRPr="004068F6">
        <w:rPr>
          <w:rFonts w:cs="Arial"/>
          <w:spacing w:val="-3"/>
        </w:rPr>
        <w:t xml:space="preserve">con los grupos de interés del área de estudio </w:t>
      </w:r>
      <w:r w:rsidRPr="004068F6">
        <w:rPr>
          <w:spacing w:val="-3"/>
        </w:rPr>
        <w:t xml:space="preserve">se ejecute con las características señaladas en este numeral y para </w:t>
      </w:r>
      <w:r w:rsidRPr="004068F6">
        <w:rPr>
          <w:rFonts w:cs="Arial"/>
          <w:spacing w:val="-3"/>
        </w:rPr>
        <w:t>que cumpla con sus propósitos, es necesario desarrollar el procedimiento que se describe a continuación.</w:t>
      </w:r>
    </w:p>
    <w:p w14:paraId="453DE945" w14:textId="77777777" w:rsidR="00642E22" w:rsidRDefault="00642E22" w:rsidP="00642E22">
      <w:pPr>
        <w:numPr>
          <w:ilvl w:val="12"/>
          <w:numId w:val="0"/>
        </w:numPr>
        <w:tabs>
          <w:tab w:val="left" w:pos="-2268"/>
        </w:tabs>
        <w:suppressAutoHyphens/>
        <w:rPr>
          <w:spacing w:val="-3"/>
        </w:rPr>
      </w:pPr>
    </w:p>
    <w:p w14:paraId="55CAB9ED" w14:textId="77777777" w:rsidR="00FB1028" w:rsidRPr="004068F6" w:rsidRDefault="00FB1028" w:rsidP="00642E22">
      <w:pPr>
        <w:numPr>
          <w:ilvl w:val="12"/>
          <w:numId w:val="0"/>
        </w:numPr>
        <w:tabs>
          <w:tab w:val="left" w:pos="-2268"/>
        </w:tabs>
        <w:suppressAutoHyphens/>
        <w:rPr>
          <w:spacing w:val="-3"/>
        </w:rPr>
      </w:pPr>
    </w:p>
    <w:p w14:paraId="732ADEBF" w14:textId="44AEF7A2" w:rsidR="00642E22" w:rsidRPr="00127BD4" w:rsidRDefault="0054658C" w:rsidP="00642E22">
      <w:pPr>
        <w:pStyle w:val="Ttulo2"/>
        <w:rPr>
          <w:bCs/>
          <w:spacing w:val="-3"/>
          <w:lang w:val="es-CO"/>
        </w:rPr>
      </w:pPr>
      <w:bookmarkStart w:id="1993" w:name="_Toc230879575"/>
      <w:r>
        <w:rPr>
          <w:bCs/>
          <w:spacing w:val="-3"/>
          <w:lang w:val="es-CO"/>
        </w:rPr>
        <w:lastRenderedPageBreak/>
        <w:t>FASES</w:t>
      </w:r>
      <w:r w:rsidR="00642E22" w:rsidRPr="00127BD4">
        <w:rPr>
          <w:bCs/>
          <w:spacing w:val="-3"/>
          <w:lang w:val="es-CO"/>
        </w:rPr>
        <w:t xml:space="preserve"> DEL PROCESO DE PARTICIPACIÓN</w:t>
      </w:r>
      <w:bookmarkEnd w:id="1993"/>
    </w:p>
    <w:p w14:paraId="4EB027B1" w14:textId="77777777" w:rsidR="00642E22" w:rsidRPr="004068F6" w:rsidRDefault="00642E22" w:rsidP="00642E22">
      <w:pPr>
        <w:numPr>
          <w:ilvl w:val="12"/>
          <w:numId w:val="0"/>
        </w:numPr>
        <w:tabs>
          <w:tab w:val="left" w:pos="-2268"/>
        </w:tabs>
        <w:suppressAutoHyphens/>
        <w:rPr>
          <w:spacing w:val="-3"/>
        </w:rPr>
      </w:pPr>
    </w:p>
    <w:p w14:paraId="56EF9721" w14:textId="393633D7" w:rsidR="00642E22" w:rsidRPr="00127BD4" w:rsidRDefault="00642E22" w:rsidP="00642E22">
      <w:pPr>
        <w:rPr>
          <w:spacing w:val="-3"/>
        </w:rPr>
      </w:pPr>
      <w:r w:rsidRPr="00127BD4">
        <w:rPr>
          <w:spacing w:val="-3"/>
        </w:rPr>
        <w:t xml:space="preserve">El proceso de participación durante la elaboración del DAA debe abordarse mediante tres </w:t>
      </w:r>
      <w:r w:rsidR="0054658C">
        <w:rPr>
          <w:spacing w:val="-3"/>
        </w:rPr>
        <w:t>fases</w:t>
      </w:r>
      <w:r w:rsidRPr="00127BD4">
        <w:rPr>
          <w:spacing w:val="-3"/>
        </w:rPr>
        <w:t xml:space="preserve"> diferentes, a saber: planeación, ejecución de los espacios de participación y análisis de resultados.</w:t>
      </w:r>
    </w:p>
    <w:p w14:paraId="4085A10F" w14:textId="77777777" w:rsidR="00642E22" w:rsidRPr="00127BD4" w:rsidRDefault="00642E22" w:rsidP="00642E22">
      <w:pPr>
        <w:numPr>
          <w:ilvl w:val="12"/>
          <w:numId w:val="0"/>
        </w:numPr>
        <w:tabs>
          <w:tab w:val="left" w:pos="-2268"/>
        </w:tabs>
        <w:suppressAutoHyphens/>
        <w:rPr>
          <w:spacing w:val="-3"/>
        </w:rPr>
      </w:pPr>
    </w:p>
    <w:p w14:paraId="61808EA5" w14:textId="77777777" w:rsidR="00642E22" w:rsidRPr="00B81EC8" w:rsidRDefault="00642E22" w:rsidP="000A1E20">
      <w:pPr>
        <w:pStyle w:val="Ttulo3"/>
      </w:pPr>
      <w:bookmarkStart w:id="1994" w:name="_Ref161829324"/>
      <w:bookmarkStart w:id="1995" w:name="_Toc230879576"/>
      <w:r w:rsidRPr="00B81EC8">
        <w:t>Planeación</w:t>
      </w:r>
      <w:bookmarkEnd w:id="1994"/>
      <w:bookmarkEnd w:id="1995"/>
    </w:p>
    <w:p w14:paraId="1BED33C0" w14:textId="77777777" w:rsidR="00642E22" w:rsidRPr="004068F6" w:rsidRDefault="00642E22" w:rsidP="00642E22">
      <w:pPr>
        <w:numPr>
          <w:ilvl w:val="12"/>
          <w:numId w:val="0"/>
        </w:numPr>
        <w:tabs>
          <w:tab w:val="left" w:pos="-2268"/>
        </w:tabs>
        <w:suppressAutoHyphens/>
        <w:rPr>
          <w:spacing w:val="-3"/>
        </w:rPr>
      </w:pPr>
    </w:p>
    <w:p w14:paraId="75E6FE20" w14:textId="1B0213E0" w:rsidR="00642E22" w:rsidRPr="004068F6" w:rsidRDefault="00642E22" w:rsidP="00642E22">
      <w:pPr>
        <w:numPr>
          <w:ilvl w:val="12"/>
          <w:numId w:val="0"/>
        </w:numPr>
        <w:tabs>
          <w:tab w:val="left" w:pos="-2268"/>
        </w:tabs>
        <w:suppressAutoHyphens/>
        <w:rPr>
          <w:spacing w:val="-3"/>
        </w:rPr>
      </w:pPr>
      <w:r w:rsidRPr="004068F6">
        <w:rPr>
          <w:spacing w:val="-3"/>
        </w:rPr>
        <w:t xml:space="preserve">En esta </w:t>
      </w:r>
      <w:r w:rsidR="0054658C">
        <w:rPr>
          <w:spacing w:val="-3"/>
        </w:rPr>
        <w:t>fase</w:t>
      </w:r>
      <w:r w:rsidRPr="004068F6">
        <w:rPr>
          <w:spacing w:val="-3"/>
        </w:rPr>
        <w:t xml:space="preserve"> del proceso de participación pública ambiental</w:t>
      </w:r>
      <w:r w:rsidR="00015378">
        <w:rPr>
          <w:spacing w:val="-3"/>
        </w:rPr>
        <w:t xml:space="preserve">, </w:t>
      </w:r>
      <w:r w:rsidR="00EC07C4">
        <w:rPr>
          <w:spacing w:val="-3"/>
        </w:rPr>
        <w:t xml:space="preserve">que debe abordarse de forma previa </w:t>
      </w:r>
      <w:r w:rsidR="00015378" w:rsidRPr="00015378">
        <w:rPr>
          <w:spacing w:val="-3"/>
        </w:rPr>
        <w:t xml:space="preserve">o </w:t>
      </w:r>
      <w:r w:rsidR="00EC07C4">
        <w:rPr>
          <w:spacing w:val="-3"/>
        </w:rPr>
        <w:t xml:space="preserve">en las </w:t>
      </w:r>
      <w:r w:rsidR="00015378" w:rsidRPr="00015378">
        <w:rPr>
          <w:spacing w:val="-3"/>
        </w:rPr>
        <w:t>primeras fases de la elaboración del estudio ambiental</w:t>
      </w:r>
      <w:r w:rsidR="00015378">
        <w:rPr>
          <w:spacing w:val="-3"/>
        </w:rPr>
        <w:t>,</w:t>
      </w:r>
      <w:r w:rsidRPr="004068F6">
        <w:rPr>
          <w:spacing w:val="-3"/>
        </w:rPr>
        <w:t xml:space="preserve"> se debe analizar la información </w:t>
      </w:r>
      <w:r w:rsidR="00BA719F" w:rsidRPr="004068F6">
        <w:rPr>
          <w:spacing w:val="-3"/>
        </w:rPr>
        <w:t xml:space="preserve">secundaria </w:t>
      </w:r>
      <w:r w:rsidR="008E55DB" w:rsidRPr="004068F6">
        <w:rPr>
          <w:spacing w:val="-3"/>
        </w:rPr>
        <w:t xml:space="preserve">disponible en relación con las principales características </w:t>
      </w:r>
      <w:r w:rsidRPr="004068F6">
        <w:rPr>
          <w:spacing w:val="-3"/>
        </w:rPr>
        <w:t>sociales, económicas y culturales</w:t>
      </w:r>
      <w:r w:rsidRPr="00127BD4">
        <w:rPr>
          <w:rStyle w:val="Refdenotaalpie"/>
          <w:spacing w:val="-3"/>
          <w:lang w:val="es-CO"/>
        </w:rPr>
        <w:footnoteReference w:id="38"/>
      </w:r>
      <w:r w:rsidRPr="004068F6">
        <w:rPr>
          <w:spacing w:val="-3"/>
        </w:rPr>
        <w:t xml:space="preserve"> de los grupos de interés identificados</w:t>
      </w:r>
      <w:r w:rsidR="0063036D">
        <w:rPr>
          <w:spacing w:val="-3"/>
        </w:rPr>
        <w:t>,</w:t>
      </w:r>
      <w:r w:rsidRPr="004068F6">
        <w:rPr>
          <w:spacing w:val="-3"/>
        </w:rPr>
        <w:t xml:space="preserve"> con el fin de establecer </w:t>
      </w:r>
      <w:r w:rsidR="009C43D3" w:rsidRPr="004068F6">
        <w:rPr>
          <w:spacing w:val="-3"/>
        </w:rPr>
        <w:t xml:space="preserve">enfoques diferenciales y estrategias </w:t>
      </w:r>
      <w:r w:rsidRPr="004068F6">
        <w:rPr>
          <w:spacing w:val="-3"/>
        </w:rPr>
        <w:t>que permita</w:t>
      </w:r>
      <w:r w:rsidR="009C43D3" w:rsidRPr="004068F6">
        <w:rPr>
          <w:spacing w:val="-3"/>
        </w:rPr>
        <w:t>n</w:t>
      </w:r>
      <w:r w:rsidRPr="004068F6">
        <w:rPr>
          <w:spacing w:val="-3"/>
        </w:rPr>
        <w:t xml:space="preserve"> comunicarse de manera comprensiva con todos ellos. En caso de identificar grupos sociales con diferente lengua o que por alguna razón no pueden ejercer su derecho a participar mediante la estrategia general, se debe crear una estrategia que contemple las particularidades del grupo social con el propósito superar barreras culturales o de cualquier otra índole.</w:t>
      </w:r>
    </w:p>
    <w:p w14:paraId="2413D631" w14:textId="52350F59" w:rsidR="000C19F3" w:rsidRPr="004068F6" w:rsidRDefault="000C19F3" w:rsidP="00642E22">
      <w:pPr>
        <w:numPr>
          <w:ilvl w:val="12"/>
          <w:numId w:val="0"/>
        </w:numPr>
        <w:tabs>
          <w:tab w:val="left" w:pos="-2268"/>
        </w:tabs>
        <w:suppressAutoHyphens/>
        <w:rPr>
          <w:spacing w:val="-3"/>
        </w:rPr>
      </w:pPr>
    </w:p>
    <w:p w14:paraId="35636509" w14:textId="71D7397A" w:rsidR="00A4593C" w:rsidRPr="004068F6" w:rsidRDefault="00A4593C" w:rsidP="00642E22">
      <w:pPr>
        <w:numPr>
          <w:ilvl w:val="12"/>
          <w:numId w:val="0"/>
        </w:numPr>
        <w:tabs>
          <w:tab w:val="left" w:pos="-2268"/>
        </w:tabs>
        <w:suppressAutoHyphens/>
        <w:rPr>
          <w:spacing w:val="-3"/>
        </w:rPr>
      </w:pPr>
      <w:r w:rsidRPr="004068F6">
        <w:rPr>
          <w:spacing w:val="-3"/>
        </w:rPr>
        <w:t xml:space="preserve">En la fase de planeación se </w:t>
      </w:r>
      <w:r w:rsidR="003A04BF" w:rsidRPr="004068F6">
        <w:rPr>
          <w:spacing w:val="-3"/>
        </w:rPr>
        <w:t xml:space="preserve">deben </w:t>
      </w:r>
      <w:r w:rsidRPr="004068F6">
        <w:rPr>
          <w:spacing w:val="-3"/>
        </w:rPr>
        <w:t>diseña</w:t>
      </w:r>
      <w:r w:rsidR="003A04BF" w:rsidRPr="004068F6">
        <w:rPr>
          <w:spacing w:val="-3"/>
        </w:rPr>
        <w:t>r</w:t>
      </w:r>
      <w:r w:rsidRPr="004068F6">
        <w:rPr>
          <w:spacing w:val="-3"/>
        </w:rPr>
        <w:t xml:space="preserve"> los métodos e instrumentos, con enfoque diferencial, para que las primeras etapas de interacción entre los diferentes actores se realicen de acuerdo con la realidad de las comunidades. En caso de comunidades étnicas, se </w:t>
      </w:r>
      <w:r w:rsidR="003914BA" w:rsidRPr="004068F6">
        <w:rPr>
          <w:spacing w:val="-3"/>
        </w:rPr>
        <w:t xml:space="preserve">deben </w:t>
      </w:r>
      <w:r w:rsidRPr="004068F6">
        <w:rPr>
          <w:spacing w:val="-3"/>
        </w:rPr>
        <w:t>diseñar instrumentos adecuados, de ser necesario, en su propia lengua para facilitar la comprensión de lo</w:t>
      </w:r>
      <w:r w:rsidR="00133D29" w:rsidRPr="004068F6">
        <w:rPr>
          <w:spacing w:val="-3"/>
        </w:rPr>
        <w:t xml:space="preserve"> que se aborde en los espacios de participación</w:t>
      </w:r>
      <w:r w:rsidRPr="004068F6">
        <w:rPr>
          <w:spacing w:val="-3"/>
        </w:rPr>
        <w:t>.</w:t>
      </w:r>
    </w:p>
    <w:p w14:paraId="4AB7B79B" w14:textId="77777777" w:rsidR="00B955DE" w:rsidRPr="004068F6" w:rsidRDefault="00B955DE" w:rsidP="00642E22">
      <w:pPr>
        <w:numPr>
          <w:ilvl w:val="12"/>
          <w:numId w:val="0"/>
        </w:numPr>
        <w:tabs>
          <w:tab w:val="left" w:pos="-2268"/>
        </w:tabs>
        <w:suppressAutoHyphens/>
        <w:rPr>
          <w:spacing w:val="-3"/>
        </w:rPr>
      </w:pPr>
    </w:p>
    <w:p w14:paraId="6DF7827E" w14:textId="60430E3B" w:rsidR="00EE0820" w:rsidRPr="004068F6" w:rsidRDefault="00CA3F4E" w:rsidP="00642E22">
      <w:pPr>
        <w:numPr>
          <w:ilvl w:val="12"/>
          <w:numId w:val="0"/>
        </w:numPr>
        <w:tabs>
          <w:tab w:val="left" w:pos="-2268"/>
        </w:tabs>
        <w:suppressAutoHyphens/>
        <w:rPr>
          <w:spacing w:val="-3"/>
        </w:rPr>
      </w:pPr>
      <w:r w:rsidRPr="004068F6">
        <w:rPr>
          <w:spacing w:val="-3"/>
        </w:rPr>
        <w:t>Así</w:t>
      </w:r>
      <w:r w:rsidR="00A608F6" w:rsidRPr="004068F6">
        <w:rPr>
          <w:spacing w:val="-3"/>
        </w:rPr>
        <w:t xml:space="preserve">, de forma previa a </w:t>
      </w:r>
      <w:r w:rsidRPr="004068F6">
        <w:rPr>
          <w:spacing w:val="-3"/>
        </w:rPr>
        <w:t xml:space="preserve">la primera </w:t>
      </w:r>
      <w:r w:rsidR="00A608F6" w:rsidRPr="004068F6">
        <w:rPr>
          <w:spacing w:val="-3"/>
        </w:rPr>
        <w:t>interacción y a</w:t>
      </w:r>
      <w:r w:rsidR="00710ECF" w:rsidRPr="004068F6">
        <w:rPr>
          <w:spacing w:val="-3"/>
        </w:rPr>
        <w:t xml:space="preserve"> partir de </w:t>
      </w:r>
      <w:r w:rsidR="00A40EBA" w:rsidRPr="004068F6">
        <w:rPr>
          <w:spacing w:val="-3"/>
        </w:rPr>
        <w:t>los fundamentos culturales</w:t>
      </w:r>
      <w:r w:rsidRPr="004068F6">
        <w:rPr>
          <w:spacing w:val="-3"/>
        </w:rPr>
        <w:t>,</w:t>
      </w:r>
      <w:r w:rsidR="00710ECF" w:rsidRPr="004068F6">
        <w:rPr>
          <w:spacing w:val="-3"/>
        </w:rPr>
        <w:t xml:space="preserve"> es necesario establecer </w:t>
      </w:r>
      <w:r w:rsidRPr="004068F6">
        <w:rPr>
          <w:spacing w:val="-3"/>
        </w:rPr>
        <w:t xml:space="preserve">las estrategias y procedimientos </w:t>
      </w:r>
      <w:r w:rsidR="00CB2F6E" w:rsidRPr="004068F6">
        <w:rPr>
          <w:spacing w:val="-3"/>
        </w:rPr>
        <w:t xml:space="preserve">de comunicación clara y efectiva </w:t>
      </w:r>
      <w:r w:rsidR="00710ECF" w:rsidRPr="004068F6">
        <w:rPr>
          <w:spacing w:val="-3"/>
        </w:rPr>
        <w:t xml:space="preserve">para iniciar </w:t>
      </w:r>
      <w:r w:rsidR="00A608F6" w:rsidRPr="004068F6">
        <w:rPr>
          <w:spacing w:val="-3"/>
        </w:rPr>
        <w:t xml:space="preserve">y mantener </w:t>
      </w:r>
      <w:r w:rsidR="00710ECF" w:rsidRPr="004068F6">
        <w:rPr>
          <w:spacing w:val="-3"/>
        </w:rPr>
        <w:t>la interlocución y diálogo con cada uno de los grupos de interés</w:t>
      </w:r>
      <w:r w:rsidR="00B955DE" w:rsidRPr="004068F6">
        <w:rPr>
          <w:spacing w:val="-3"/>
        </w:rPr>
        <w:t>.</w:t>
      </w:r>
    </w:p>
    <w:p w14:paraId="3EF274CC" w14:textId="77777777" w:rsidR="00EE0820" w:rsidRPr="004068F6" w:rsidRDefault="00EE0820" w:rsidP="00642E22">
      <w:pPr>
        <w:numPr>
          <w:ilvl w:val="12"/>
          <w:numId w:val="0"/>
        </w:numPr>
        <w:tabs>
          <w:tab w:val="left" w:pos="-2268"/>
        </w:tabs>
        <w:suppressAutoHyphens/>
        <w:rPr>
          <w:spacing w:val="-3"/>
        </w:rPr>
      </w:pPr>
    </w:p>
    <w:p w14:paraId="59B0DDAD" w14:textId="7E268714" w:rsidR="00FF74A7" w:rsidRPr="004068F6" w:rsidRDefault="00B955DE" w:rsidP="00642E22">
      <w:pPr>
        <w:numPr>
          <w:ilvl w:val="12"/>
          <w:numId w:val="0"/>
        </w:numPr>
        <w:tabs>
          <w:tab w:val="left" w:pos="-2268"/>
        </w:tabs>
        <w:suppressAutoHyphens/>
        <w:rPr>
          <w:spacing w:val="-3"/>
        </w:rPr>
      </w:pPr>
      <w:r w:rsidRPr="004068F6">
        <w:rPr>
          <w:spacing w:val="-3"/>
        </w:rPr>
        <w:t>E</w:t>
      </w:r>
      <w:r w:rsidR="003B159C" w:rsidRPr="004068F6">
        <w:rPr>
          <w:spacing w:val="-3"/>
        </w:rPr>
        <w:t xml:space="preserve">n los casos en </w:t>
      </w:r>
      <w:r w:rsidR="00201A69" w:rsidRPr="004068F6">
        <w:rPr>
          <w:spacing w:val="-3"/>
        </w:rPr>
        <w:t xml:space="preserve">los </w:t>
      </w:r>
      <w:r w:rsidR="003B159C" w:rsidRPr="004068F6">
        <w:rPr>
          <w:spacing w:val="-3"/>
        </w:rPr>
        <w:t xml:space="preserve">que el proceso de participación deba abordar comunidades étnicas, </w:t>
      </w:r>
      <w:r w:rsidR="00863A0E" w:rsidRPr="004068F6">
        <w:rPr>
          <w:spacing w:val="-3"/>
        </w:rPr>
        <w:t xml:space="preserve">es necesario </w:t>
      </w:r>
      <w:r w:rsidR="00A64C76" w:rsidRPr="004068F6">
        <w:rPr>
          <w:spacing w:val="-3"/>
        </w:rPr>
        <w:t xml:space="preserve">identificar las autoridades étnicas legítimamente representativas de conformidad con la normatividad y la jurisprudencia vigente, de acuerdo con la </w:t>
      </w:r>
      <w:r w:rsidR="00A64C76" w:rsidRPr="004068F6">
        <w:rPr>
          <w:spacing w:val="-3"/>
        </w:rPr>
        <w:lastRenderedPageBreak/>
        <w:t>información disponible de las entidades encargadas en esta materia</w:t>
      </w:r>
      <w:r w:rsidR="00A64C76" w:rsidRPr="00127BD4">
        <w:rPr>
          <w:spacing w:val="-3"/>
          <w:vertAlign w:val="superscript"/>
        </w:rPr>
        <w:footnoteReference w:id="39"/>
      </w:r>
      <w:r w:rsidR="003B159C" w:rsidRPr="004068F6">
        <w:rPr>
          <w:spacing w:val="-3"/>
        </w:rPr>
        <w:t>.</w:t>
      </w:r>
      <w:r w:rsidR="00351BA6" w:rsidRPr="004068F6">
        <w:rPr>
          <w:spacing w:val="-3"/>
        </w:rPr>
        <w:t xml:space="preserve"> Esta información de planeación debe estar adecuadamente descrita en el DAA</w:t>
      </w:r>
      <w:r w:rsidR="00351BA6" w:rsidRPr="00127BD4">
        <w:rPr>
          <w:spacing w:val="-3"/>
          <w:vertAlign w:val="superscript"/>
        </w:rPr>
        <w:footnoteReference w:id="40"/>
      </w:r>
      <w:r w:rsidR="00351BA6" w:rsidRPr="004068F6">
        <w:rPr>
          <w:spacing w:val="-3"/>
        </w:rPr>
        <w:t>.</w:t>
      </w:r>
    </w:p>
    <w:p w14:paraId="150B33CA" w14:textId="77777777" w:rsidR="00FF74A7" w:rsidRPr="004068F6" w:rsidRDefault="00FF74A7" w:rsidP="00642E22">
      <w:pPr>
        <w:numPr>
          <w:ilvl w:val="12"/>
          <w:numId w:val="0"/>
        </w:numPr>
        <w:tabs>
          <w:tab w:val="left" w:pos="-2268"/>
        </w:tabs>
        <w:suppressAutoHyphens/>
        <w:rPr>
          <w:spacing w:val="-3"/>
        </w:rPr>
      </w:pPr>
    </w:p>
    <w:p w14:paraId="30F0F7A0" w14:textId="4661BF3E" w:rsidR="00642E22" w:rsidRPr="004068F6" w:rsidRDefault="00642E22" w:rsidP="00642E22">
      <w:pPr>
        <w:tabs>
          <w:tab w:val="left" w:pos="-2268"/>
        </w:tabs>
        <w:suppressAutoHyphens/>
        <w:rPr>
          <w:spacing w:val="-3"/>
        </w:rPr>
      </w:pPr>
      <w:r w:rsidRPr="004068F6">
        <w:rPr>
          <w:rFonts w:cs="Arial"/>
          <w:spacing w:val="-3"/>
        </w:rPr>
        <w:t xml:space="preserve">Se deben establecer </w:t>
      </w:r>
      <w:r w:rsidR="000F6544" w:rsidRPr="004068F6">
        <w:rPr>
          <w:rFonts w:cs="Arial"/>
          <w:spacing w:val="-3"/>
        </w:rPr>
        <w:t xml:space="preserve">y difundir </w:t>
      </w:r>
      <w:r w:rsidRPr="004068F6">
        <w:rPr>
          <w:rFonts w:cs="Arial"/>
          <w:spacing w:val="-3"/>
        </w:rPr>
        <w:t>mecanismos y medios eficaces</w:t>
      </w:r>
      <w:r w:rsidR="004B286A">
        <w:rPr>
          <w:rFonts w:cs="Arial"/>
          <w:spacing w:val="-3"/>
        </w:rPr>
        <w:t>,</w:t>
      </w:r>
      <w:r w:rsidR="004B286A" w:rsidRPr="004B286A">
        <w:t xml:space="preserve"> </w:t>
      </w:r>
      <w:r w:rsidR="004B286A" w:rsidRPr="004B286A">
        <w:rPr>
          <w:rFonts w:cs="Arial"/>
          <w:spacing w:val="-3"/>
        </w:rPr>
        <w:t>participativos e incluyentes</w:t>
      </w:r>
      <w:r w:rsidRPr="004068F6">
        <w:rPr>
          <w:rFonts w:cs="Arial"/>
          <w:spacing w:val="-3"/>
        </w:rPr>
        <w:t xml:space="preserve"> para que, de forma permanente, se</w:t>
      </w:r>
      <w:r w:rsidR="00145BBD" w:rsidRPr="004068F6">
        <w:rPr>
          <w:rFonts w:cs="Arial"/>
          <w:spacing w:val="-3"/>
        </w:rPr>
        <w:t xml:space="preserve"> </w:t>
      </w:r>
      <w:r w:rsidRPr="004068F6">
        <w:rPr>
          <w:rFonts w:cs="Arial"/>
          <w:spacing w:val="-3"/>
        </w:rPr>
        <w:t>brind</w:t>
      </w:r>
      <w:r w:rsidR="00145BBD" w:rsidRPr="004068F6">
        <w:rPr>
          <w:rFonts w:cs="Arial"/>
          <w:spacing w:val="-3"/>
        </w:rPr>
        <w:t>e</w:t>
      </w:r>
      <w:r w:rsidRPr="004068F6">
        <w:rPr>
          <w:rFonts w:cs="Arial"/>
          <w:spacing w:val="-3"/>
        </w:rPr>
        <w:t xml:space="preserve"> información a los grupos de interés, recibir sus inquietudes, </w:t>
      </w:r>
      <w:r w:rsidRPr="004068F6">
        <w:rPr>
          <w:spacing w:val="-3"/>
        </w:rPr>
        <w:t xml:space="preserve">observaciones, aportes, peticiones, quejas, reclamos, sugerencias y </w:t>
      </w:r>
      <w:r w:rsidRPr="004068F6">
        <w:rPr>
          <w:rFonts w:cs="Arial"/>
          <w:spacing w:val="-3"/>
        </w:rPr>
        <w:t>dar respuesta a éstas</w:t>
      </w:r>
      <w:r w:rsidR="00A64E3F" w:rsidRPr="004068F6">
        <w:rPr>
          <w:rFonts w:cs="Arial"/>
          <w:spacing w:val="-3"/>
        </w:rPr>
        <w:t xml:space="preserve"> durante la elaboración del DAA</w:t>
      </w:r>
      <w:r w:rsidRPr="004068F6">
        <w:rPr>
          <w:rFonts w:cs="Arial"/>
          <w:spacing w:val="-3"/>
        </w:rPr>
        <w:t>.</w:t>
      </w:r>
      <w:r w:rsidR="00CB5E1F">
        <w:rPr>
          <w:rFonts w:cs="Arial"/>
          <w:spacing w:val="-3"/>
        </w:rPr>
        <w:t xml:space="preserve"> </w:t>
      </w:r>
      <w:r w:rsidR="00882740">
        <w:rPr>
          <w:rFonts w:cs="Arial"/>
          <w:spacing w:val="-3"/>
        </w:rPr>
        <w:t xml:space="preserve">Los mecanismos deben estructurarse </w:t>
      </w:r>
      <w:r w:rsidR="00882740" w:rsidRPr="00387035">
        <w:rPr>
          <w:rFonts w:cs="Arial"/>
          <w:spacing w:val="-3"/>
        </w:rPr>
        <w:t xml:space="preserve">en lenguaje claro, sencillo y concreto </w:t>
      </w:r>
      <w:r w:rsidR="00882740">
        <w:rPr>
          <w:rFonts w:cs="Arial"/>
          <w:spacing w:val="-3"/>
        </w:rPr>
        <w:t xml:space="preserve">y de forma tal </w:t>
      </w:r>
      <w:r w:rsidR="00F639C6">
        <w:rPr>
          <w:rFonts w:cs="Arial"/>
          <w:spacing w:val="-3"/>
        </w:rPr>
        <w:t xml:space="preserve">que </w:t>
      </w:r>
      <w:r w:rsidR="00CB5E1F">
        <w:rPr>
          <w:rFonts w:cs="Arial"/>
          <w:spacing w:val="-3"/>
        </w:rPr>
        <w:t>permit</w:t>
      </w:r>
      <w:r w:rsidR="00F639C6">
        <w:rPr>
          <w:rFonts w:cs="Arial"/>
          <w:spacing w:val="-3"/>
        </w:rPr>
        <w:t>an</w:t>
      </w:r>
      <w:r w:rsidR="00CB5E1F">
        <w:rPr>
          <w:rFonts w:cs="Arial"/>
          <w:spacing w:val="-3"/>
        </w:rPr>
        <w:t xml:space="preserve"> </w:t>
      </w:r>
      <w:r w:rsidR="00F213EB">
        <w:rPr>
          <w:rFonts w:cs="Arial"/>
          <w:spacing w:val="-3"/>
        </w:rPr>
        <w:t xml:space="preserve">evidenciar </w:t>
      </w:r>
      <w:r w:rsidR="00CB5E1F" w:rsidRPr="00CB5E1F">
        <w:rPr>
          <w:rFonts w:cs="Arial"/>
          <w:spacing w:val="-3"/>
        </w:rPr>
        <w:t>clara</w:t>
      </w:r>
      <w:r w:rsidR="00F213EB">
        <w:rPr>
          <w:rFonts w:cs="Arial"/>
          <w:spacing w:val="-3"/>
        </w:rPr>
        <w:t xml:space="preserve">mente </w:t>
      </w:r>
      <w:r w:rsidR="00F639C6">
        <w:rPr>
          <w:rFonts w:cs="Arial"/>
          <w:spacing w:val="-3"/>
        </w:rPr>
        <w:t xml:space="preserve">cómo </w:t>
      </w:r>
      <w:r w:rsidR="00670008">
        <w:rPr>
          <w:rFonts w:cs="Arial"/>
          <w:spacing w:val="-3"/>
        </w:rPr>
        <w:t xml:space="preserve">los aportes </w:t>
      </w:r>
      <w:r w:rsidR="00CB5E1F" w:rsidRPr="00CB5E1F">
        <w:rPr>
          <w:rFonts w:cs="Arial"/>
          <w:spacing w:val="-3"/>
        </w:rPr>
        <w:t>son tenidos en cuenta o no en el proceso de</w:t>
      </w:r>
      <w:r w:rsidR="002B440E">
        <w:rPr>
          <w:rFonts w:cs="Arial"/>
          <w:spacing w:val="-3"/>
        </w:rPr>
        <w:t xml:space="preserve"> elaboración del </w:t>
      </w:r>
      <w:r w:rsidR="00CB5E1F" w:rsidRPr="00CB5E1F">
        <w:rPr>
          <w:rFonts w:cs="Arial"/>
          <w:spacing w:val="-3"/>
        </w:rPr>
        <w:t>DAA.</w:t>
      </w:r>
    </w:p>
    <w:p w14:paraId="275886CC" w14:textId="77777777" w:rsidR="00642E22" w:rsidRPr="004068F6" w:rsidRDefault="00642E22" w:rsidP="00642E22">
      <w:pPr>
        <w:tabs>
          <w:tab w:val="left" w:pos="-2268"/>
        </w:tabs>
        <w:suppressAutoHyphens/>
        <w:rPr>
          <w:spacing w:val="-3"/>
        </w:rPr>
      </w:pPr>
    </w:p>
    <w:p w14:paraId="10296785" w14:textId="07831DE6" w:rsidR="0042360B" w:rsidRPr="004068F6" w:rsidRDefault="0042360B" w:rsidP="0042360B">
      <w:pPr>
        <w:tabs>
          <w:tab w:val="left" w:pos="-2268"/>
        </w:tabs>
        <w:suppressAutoHyphens/>
        <w:rPr>
          <w:spacing w:val="-3"/>
        </w:rPr>
      </w:pPr>
      <w:r w:rsidRPr="004068F6">
        <w:rPr>
          <w:spacing w:val="-3"/>
        </w:rPr>
        <w:t xml:space="preserve">Se deben identificar las características del entorno en </w:t>
      </w:r>
      <w:r w:rsidR="00B81ECF">
        <w:rPr>
          <w:spacing w:val="-3"/>
        </w:rPr>
        <w:t xml:space="preserve">el </w:t>
      </w:r>
      <w:r w:rsidRPr="004068F6">
        <w:rPr>
          <w:spacing w:val="-3"/>
        </w:rPr>
        <w:t>que se efectúa el proceso participativo</w:t>
      </w:r>
      <w:r w:rsidR="00AF711D" w:rsidRPr="004068F6">
        <w:rPr>
          <w:spacing w:val="-3"/>
        </w:rPr>
        <w:t>,</w:t>
      </w:r>
      <w:r w:rsidRPr="004068F6">
        <w:rPr>
          <w:spacing w:val="-3"/>
        </w:rPr>
        <w:t xml:space="preserve"> en particular</w:t>
      </w:r>
      <w:r w:rsidR="000F10DD" w:rsidRPr="004068F6">
        <w:rPr>
          <w:spacing w:val="-3"/>
        </w:rPr>
        <w:t>,</w:t>
      </w:r>
      <w:r w:rsidRPr="004068F6">
        <w:rPr>
          <w:spacing w:val="-3"/>
        </w:rPr>
        <w:t xml:space="preserve"> si </w:t>
      </w:r>
      <w:r w:rsidR="00EA65C6" w:rsidRPr="004068F6">
        <w:rPr>
          <w:spacing w:val="-3"/>
        </w:rPr>
        <w:t xml:space="preserve">las entidades territoriales </w:t>
      </w:r>
      <w:r w:rsidRPr="004068F6">
        <w:rPr>
          <w:spacing w:val="-3"/>
        </w:rPr>
        <w:t>en l</w:t>
      </w:r>
      <w:r w:rsidR="00EA65C6" w:rsidRPr="004068F6">
        <w:rPr>
          <w:spacing w:val="-3"/>
        </w:rPr>
        <w:t>a</w:t>
      </w:r>
      <w:r w:rsidRPr="004068F6">
        <w:rPr>
          <w:spacing w:val="-3"/>
        </w:rPr>
        <w:t xml:space="preserve">s cuales van a tener lugar los espacios participativos </w:t>
      </w:r>
      <w:r w:rsidR="00A9010F" w:rsidRPr="004068F6">
        <w:rPr>
          <w:spacing w:val="-3"/>
        </w:rPr>
        <w:t xml:space="preserve">presentan </w:t>
      </w:r>
      <w:r w:rsidRPr="004068F6">
        <w:rPr>
          <w:spacing w:val="-3"/>
        </w:rPr>
        <w:t>un riesgo medio, alto o extremo para la labor de las personas, grupos u organizaciones defensoras de derechos humanos en asuntos ambientales, de acuerdo con las alertas tempranas de la Defensoría del Pueblo</w:t>
      </w:r>
      <w:r w:rsidR="009E2E7D" w:rsidRPr="004068F6">
        <w:rPr>
          <w:spacing w:val="-3"/>
        </w:rPr>
        <w:t xml:space="preserve"> </w:t>
      </w:r>
      <w:r w:rsidR="009E2E7D" w:rsidRPr="004068F6">
        <w:rPr>
          <w:rFonts w:cs="Arial"/>
          <w:spacing w:val="-3"/>
        </w:rPr>
        <w:t>que hagan una valoración riesgo para su labor</w:t>
      </w:r>
      <w:r w:rsidR="009E2E7D" w:rsidRPr="00127BD4">
        <w:rPr>
          <w:rStyle w:val="Refdenotaalpie"/>
          <w:rFonts w:cs="Arial"/>
          <w:spacing w:val="-3"/>
          <w:lang w:val="es-CO"/>
        </w:rPr>
        <w:footnoteReference w:id="41"/>
      </w:r>
      <w:r w:rsidRPr="004068F6">
        <w:rPr>
          <w:spacing w:val="-3"/>
        </w:rPr>
        <w:t>.</w:t>
      </w:r>
    </w:p>
    <w:p w14:paraId="1F7519D5" w14:textId="77777777" w:rsidR="0042360B" w:rsidRPr="004068F6" w:rsidRDefault="0042360B" w:rsidP="0042360B">
      <w:pPr>
        <w:tabs>
          <w:tab w:val="left" w:pos="-2268"/>
        </w:tabs>
        <w:suppressAutoHyphens/>
        <w:rPr>
          <w:spacing w:val="-3"/>
        </w:rPr>
      </w:pPr>
    </w:p>
    <w:p w14:paraId="6A6CC2EA" w14:textId="4C1EBC92" w:rsidR="0042360B" w:rsidRPr="004068F6" w:rsidRDefault="0042360B" w:rsidP="0042360B">
      <w:pPr>
        <w:tabs>
          <w:tab w:val="left" w:pos="-2268"/>
        </w:tabs>
        <w:suppressAutoHyphens/>
        <w:rPr>
          <w:spacing w:val="-3"/>
        </w:rPr>
      </w:pPr>
      <w:r w:rsidRPr="004068F6">
        <w:rPr>
          <w:spacing w:val="-3"/>
        </w:rPr>
        <w:t>Para contexto</w:t>
      </w:r>
      <w:r w:rsidR="00294B94" w:rsidRPr="004068F6">
        <w:rPr>
          <w:spacing w:val="-3"/>
        </w:rPr>
        <w:t>s</w:t>
      </w:r>
      <w:r w:rsidRPr="004068F6">
        <w:rPr>
          <w:spacing w:val="-3"/>
        </w:rPr>
        <w:t xml:space="preserve"> de riesgo medio, alto o extremo, se deben formular e implementar </w:t>
      </w:r>
      <w:r w:rsidR="001B696F" w:rsidRPr="004068F6">
        <w:rPr>
          <w:spacing w:val="-3"/>
        </w:rPr>
        <w:t>acciones</w:t>
      </w:r>
      <w:r w:rsidRPr="004068F6">
        <w:rPr>
          <w:spacing w:val="-3"/>
        </w:rPr>
        <w:t xml:space="preserve"> diferenciadas orientadas al relacionamiento con personas, grupos y organizaciones defensoras de </w:t>
      </w:r>
      <w:r w:rsidR="000F10DD" w:rsidRPr="004068F6">
        <w:rPr>
          <w:spacing w:val="-3"/>
        </w:rPr>
        <w:t xml:space="preserve">derechos humanos </w:t>
      </w:r>
      <w:r w:rsidRPr="004068F6">
        <w:rPr>
          <w:spacing w:val="-3"/>
        </w:rPr>
        <w:t>en asuntos ambientales.</w:t>
      </w:r>
      <w:r w:rsidR="00C35CB9" w:rsidRPr="004068F6">
        <w:rPr>
          <w:spacing w:val="-3"/>
        </w:rPr>
        <w:t xml:space="preserve"> </w:t>
      </w:r>
      <w:r w:rsidR="00705B24">
        <w:rPr>
          <w:spacing w:val="-3"/>
        </w:rPr>
        <w:t>É</w:t>
      </w:r>
      <w:r w:rsidR="00C35CB9" w:rsidRPr="004068F6">
        <w:rPr>
          <w:spacing w:val="-3"/>
        </w:rPr>
        <w:t>stas deben contemplar:</w:t>
      </w:r>
    </w:p>
    <w:p w14:paraId="58E62D1D" w14:textId="77777777" w:rsidR="00FE5086" w:rsidRPr="004068F6" w:rsidRDefault="00FE5086" w:rsidP="0042360B">
      <w:pPr>
        <w:tabs>
          <w:tab w:val="left" w:pos="-2268"/>
        </w:tabs>
        <w:suppressAutoHyphens/>
        <w:rPr>
          <w:spacing w:val="-3"/>
        </w:rPr>
      </w:pPr>
    </w:p>
    <w:p w14:paraId="5F8625C7" w14:textId="2F541123" w:rsidR="00FE5086" w:rsidRPr="004068F6" w:rsidRDefault="00995AF9" w:rsidP="00FE5086">
      <w:pPr>
        <w:numPr>
          <w:ilvl w:val="0"/>
          <w:numId w:val="29"/>
        </w:numPr>
        <w:suppressAutoHyphens/>
        <w:ind w:left="567" w:hanging="567"/>
        <w:rPr>
          <w:spacing w:val="-3"/>
        </w:rPr>
      </w:pPr>
      <w:r w:rsidRPr="004068F6">
        <w:rPr>
          <w:spacing w:val="-3"/>
        </w:rPr>
        <w:t>Mecanismos</w:t>
      </w:r>
      <w:r w:rsidR="00FE5086" w:rsidRPr="004068F6">
        <w:rPr>
          <w:spacing w:val="-3"/>
        </w:rPr>
        <w:t xml:space="preserve"> de transparencia y publicidad reforzada</w:t>
      </w:r>
      <w:r w:rsidR="003E6FF4">
        <w:rPr>
          <w:rStyle w:val="Refdenotaalpie"/>
          <w:spacing w:val="-3"/>
        </w:rPr>
        <w:footnoteReference w:id="42"/>
      </w:r>
      <w:r w:rsidR="00FE5086" w:rsidRPr="004068F6">
        <w:rPr>
          <w:spacing w:val="-3"/>
        </w:rPr>
        <w:t>.</w:t>
      </w:r>
    </w:p>
    <w:p w14:paraId="2A377E69" w14:textId="77777777" w:rsidR="00FE5086" w:rsidRPr="004068F6" w:rsidRDefault="00FE5086" w:rsidP="00127BD4">
      <w:pPr>
        <w:suppressAutoHyphens/>
        <w:rPr>
          <w:spacing w:val="-3"/>
        </w:rPr>
      </w:pPr>
    </w:p>
    <w:p w14:paraId="38643EED" w14:textId="10EC4280" w:rsidR="00FE5086" w:rsidRPr="00941891" w:rsidRDefault="00FE5086" w:rsidP="00FE5086">
      <w:pPr>
        <w:numPr>
          <w:ilvl w:val="0"/>
          <w:numId w:val="29"/>
        </w:numPr>
        <w:suppressAutoHyphens/>
        <w:ind w:left="567" w:hanging="567"/>
        <w:rPr>
          <w:spacing w:val="-3"/>
        </w:rPr>
      </w:pPr>
      <w:r w:rsidRPr="00941891">
        <w:rPr>
          <w:spacing w:val="-3"/>
        </w:rPr>
        <w:t>Mecanismos para la recepción de información y solicitudes de manera anónima.</w:t>
      </w:r>
    </w:p>
    <w:p w14:paraId="2E5D770E" w14:textId="77777777" w:rsidR="00FE5086" w:rsidRPr="00941891" w:rsidRDefault="00FE5086" w:rsidP="00127BD4">
      <w:pPr>
        <w:suppressAutoHyphens/>
        <w:rPr>
          <w:spacing w:val="-3"/>
        </w:rPr>
      </w:pPr>
    </w:p>
    <w:p w14:paraId="78CED8B2" w14:textId="66C001DC" w:rsidR="00FE5086" w:rsidRPr="00941891" w:rsidRDefault="00FE5086" w:rsidP="00FE5086">
      <w:pPr>
        <w:numPr>
          <w:ilvl w:val="0"/>
          <w:numId w:val="29"/>
        </w:numPr>
        <w:suppressAutoHyphens/>
        <w:ind w:left="567" w:hanging="567"/>
        <w:rPr>
          <w:spacing w:val="-3"/>
        </w:rPr>
      </w:pPr>
      <w:r w:rsidRPr="00941891">
        <w:rPr>
          <w:spacing w:val="-3"/>
        </w:rPr>
        <w:t>Alternativas semipresenciales, semiprivadas u otras para desarrollo de los espacios de participación, cuando se advierta que el espacio colectivo puede acentuar el riesgo de las personas asistentes.</w:t>
      </w:r>
    </w:p>
    <w:p w14:paraId="0A4361A5" w14:textId="77777777" w:rsidR="00FE5086" w:rsidRPr="00941891" w:rsidRDefault="00FE5086" w:rsidP="00127BD4">
      <w:pPr>
        <w:suppressAutoHyphens/>
        <w:rPr>
          <w:spacing w:val="-3"/>
        </w:rPr>
      </w:pPr>
    </w:p>
    <w:p w14:paraId="325C1342" w14:textId="59E4580C" w:rsidR="00FE5086" w:rsidRPr="00941891" w:rsidRDefault="00FE5086" w:rsidP="00FE5086">
      <w:pPr>
        <w:numPr>
          <w:ilvl w:val="0"/>
          <w:numId w:val="29"/>
        </w:numPr>
        <w:suppressAutoHyphens/>
        <w:ind w:left="567" w:hanging="567"/>
        <w:rPr>
          <w:spacing w:val="-3"/>
        </w:rPr>
      </w:pPr>
      <w:r w:rsidRPr="00941891">
        <w:rPr>
          <w:spacing w:val="-3"/>
        </w:rPr>
        <w:t xml:space="preserve">Ruta para el cumplimiento del deber de denuncia frente a presuntas situaciones de riesgo de las que se tenga conocimiento a la </w:t>
      </w:r>
      <w:r w:rsidR="00584D76" w:rsidRPr="00941891">
        <w:rPr>
          <w:spacing w:val="-3"/>
        </w:rPr>
        <w:t xml:space="preserve">Fiscalía General </w:t>
      </w:r>
      <w:r w:rsidRPr="00941891">
        <w:rPr>
          <w:spacing w:val="-3"/>
        </w:rPr>
        <w:t xml:space="preserve">de la Nación y </w:t>
      </w:r>
      <w:r w:rsidR="00434819" w:rsidRPr="00941891">
        <w:rPr>
          <w:spacing w:val="-3"/>
        </w:rPr>
        <w:t xml:space="preserve">a la </w:t>
      </w:r>
      <w:r w:rsidRPr="00941891">
        <w:rPr>
          <w:spacing w:val="-3"/>
        </w:rPr>
        <w:t>Unidad Nacional de Protección.</w:t>
      </w:r>
    </w:p>
    <w:p w14:paraId="59E9D37F" w14:textId="77777777" w:rsidR="00FE2313" w:rsidRPr="00941891" w:rsidRDefault="00FE2313" w:rsidP="00127BD4">
      <w:pPr>
        <w:suppressAutoHyphens/>
        <w:rPr>
          <w:spacing w:val="-3"/>
        </w:rPr>
      </w:pPr>
    </w:p>
    <w:p w14:paraId="115BA8B7" w14:textId="7A92C599" w:rsidR="00FE5086" w:rsidRPr="00941891" w:rsidRDefault="00FE5086" w:rsidP="00FE5086">
      <w:pPr>
        <w:numPr>
          <w:ilvl w:val="0"/>
          <w:numId w:val="29"/>
        </w:numPr>
        <w:suppressAutoHyphens/>
        <w:ind w:left="567" w:hanging="567"/>
        <w:rPr>
          <w:spacing w:val="-3"/>
        </w:rPr>
      </w:pPr>
      <w:r w:rsidRPr="00941891">
        <w:rPr>
          <w:spacing w:val="-3"/>
        </w:rPr>
        <w:t>Relacionamiento asertivo con las comunidades y tratamiento de datos personales, especialmente respecto a la calificación de las posiciones, comunicados públicos y dialogo, con el objeto de evitar la exposición y/o perfilamiento</w:t>
      </w:r>
      <w:r w:rsidR="00FE2313" w:rsidRPr="00941891">
        <w:rPr>
          <w:spacing w:val="-3"/>
        </w:rPr>
        <w:t>.</w:t>
      </w:r>
    </w:p>
    <w:p w14:paraId="483FFA6B" w14:textId="77777777" w:rsidR="00FE2313" w:rsidRPr="004068F6" w:rsidRDefault="00FE2313" w:rsidP="00127BD4">
      <w:pPr>
        <w:suppressAutoHyphens/>
        <w:rPr>
          <w:spacing w:val="-3"/>
        </w:rPr>
      </w:pPr>
    </w:p>
    <w:p w14:paraId="046430E0" w14:textId="3198805D" w:rsidR="00FE5086" w:rsidRPr="004068F6" w:rsidRDefault="00FE5086" w:rsidP="00127BD4">
      <w:pPr>
        <w:numPr>
          <w:ilvl w:val="0"/>
          <w:numId w:val="29"/>
        </w:numPr>
        <w:suppressAutoHyphens/>
        <w:ind w:left="567" w:hanging="567"/>
        <w:rPr>
          <w:spacing w:val="-3"/>
        </w:rPr>
      </w:pPr>
      <w:r w:rsidRPr="004068F6">
        <w:rPr>
          <w:spacing w:val="-3"/>
        </w:rPr>
        <w:t>Convocatoria a la Defensoría del Pueblo y/o personerías municipales</w:t>
      </w:r>
      <w:r w:rsidR="00867839" w:rsidRPr="004068F6">
        <w:rPr>
          <w:spacing w:val="-3"/>
        </w:rPr>
        <w:t>.</w:t>
      </w:r>
    </w:p>
    <w:p w14:paraId="32A496D9" w14:textId="4BBC5CD1" w:rsidR="0042360B" w:rsidRPr="004068F6" w:rsidRDefault="0042360B" w:rsidP="0042360B">
      <w:pPr>
        <w:tabs>
          <w:tab w:val="left" w:pos="-2268"/>
        </w:tabs>
        <w:suppressAutoHyphens/>
        <w:rPr>
          <w:spacing w:val="-3"/>
        </w:rPr>
      </w:pPr>
    </w:p>
    <w:p w14:paraId="4CAFD853" w14:textId="74D3C00C" w:rsidR="00642E22" w:rsidRPr="004068F6" w:rsidRDefault="00642E22" w:rsidP="00642E22">
      <w:pPr>
        <w:rPr>
          <w:rFonts w:cs="Arial"/>
          <w:spacing w:val="-3"/>
        </w:rPr>
      </w:pPr>
      <w:r w:rsidRPr="004068F6">
        <w:rPr>
          <w:rFonts w:cs="Arial"/>
          <w:spacing w:val="-3"/>
        </w:rPr>
        <w:t xml:space="preserve">Para preparar los espacios participativos se deben contemplar estrategias comunicativas, procedimientos metodológicos y logísticos y recursos didácticos </w:t>
      </w:r>
      <w:r w:rsidR="000C48CC" w:rsidRPr="004068F6">
        <w:rPr>
          <w:rFonts w:cs="Arial"/>
          <w:spacing w:val="-3"/>
        </w:rPr>
        <w:t xml:space="preserve">claros y efectivos </w:t>
      </w:r>
      <w:r w:rsidRPr="004068F6">
        <w:rPr>
          <w:rFonts w:cs="Arial"/>
          <w:spacing w:val="-3"/>
        </w:rPr>
        <w:t xml:space="preserve">que posibiliten </w:t>
      </w:r>
      <w:r w:rsidR="00F5149A" w:rsidRPr="004068F6">
        <w:rPr>
          <w:rFonts w:cs="Arial"/>
          <w:spacing w:val="-3"/>
        </w:rPr>
        <w:t xml:space="preserve">planear </w:t>
      </w:r>
      <w:r w:rsidRPr="004068F6">
        <w:rPr>
          <w:rFonts w:cs="Arial"/>
          <w:spacing w:val="-3"/>
        </w:rPr>
        <w:t xml:space="preserve">la cantidad y duración de encuentros, </w:t>
      </w:r>
      <w:r w:rsidR="008C7298" w:rsidRPr="004068F6">
        <w:rPr>
          <w:rFonts w:cs="Arial"/>
          <w:spacing w:val="-3"/>
        </w:rPr>
        <w:t xml:space="preserve">identificar de manera efectiva los grupos de interés a ser convocados </w:t>
      </w:r>
      <w:r w:rsidRPr="004068F6">
        <w:rPr>
          <w:rFonts w:cs="Arial"/>
          <w:spacing w:val="-3"/>
        </w:rPr>
        <w:t>al proceso</w:t>
      </w:r>
      <w:r w:rsidR="00BF137C" w:rsidRPr="004068F6">
        <w:rPr>
          <w:rFonts w:cs="Arial"/>
          <w:spacing w:val="-3"/>
        </w:rPr>
        <w:t xml:space="preserve"> participativo de acuerdo con el alcance del DAA</w:t>
      </w:r>
      <w:r w:rsidRPr="004068F6">
        <w:rPr>
          <w:rFonts w:cs="Arial"/>
          <w:spacing w:val="-3"/>
        </w:rPr>
        <w:t xml:space="preserve">, procurar que los grupos de interés comprendan los temas a abordar, </w:t>
      </w:r>
      <w:r w:rsidRPr="004068F6">
        <w:rPr>
          <w:spacing w:val="-3"/>
        </w:rPr>
        <w:t xml:space="preserve">promover la participación y la generación de aportes, así como </w:t>
      </w:r>
      <w:r w:rsidRPr="004068F6">
        <w:rPr>
          <w:rFonts w:cs="Arial"/>
          <w:spacing w:val="-3"/>
        </w:rPr>
        <w:t xml:space="preserve">analizar </w:t>
      </w:r>
      <w:r w:rsidR="003A66BD" w:rsidRPr="004068F6">
        <w:rPr>
          <w:rFonts w:cs="Arial"/>
          <w:spacing w:val="-3"/>
        </w:rPr>
        <w:t xml:space="preserve">e incorporar </w:t>
      </w:r>
      <w:r w:rsidRPr="004068F6">
        <w:rPr>
          <w:rFonts w:cs="Arial"/>
          <w:spacing w:val="-3"/>
        </w:rPr>
        <w:t>los aportes que se reciban</w:t>
      </w:r>
      <w:r w:rsidR="0088739E" w:rsidRPr="004068F6">
        <w:rPr>
          <w:rFonts w:cs="Arial"/>
          <w:spacing w:val="-3"/>
          <w:vertAlign w:val="superscript"/>
        </w:rPr>
        <w:footnoteReference w:id="43"/>
      </w:r>
      <w:r w:rsidRPr="004068F6">
        <w:rPr>
          <w:rFonts w:cs="Arial"/>
          <w:spacing w:val="-3"/>
        </w:rPr>
        <w:t>.</w:t>
      </w:r>
    </w:p>
    <w:p w14:paraId="110AB422" w14:textId="77777777" w:rsidR="00642E22" w:rsidRPr="004068F6" w:rsidRDefault="00642E22" w:rsidP="007B5BA5">
      <w:pPr>
        <w:tabs>
          <w:tab w:val="left" w:pos="-2268"/>
        </w:tabs>
        <w:suppressAutoHyphens/>
        <w:rPr>
          <w:spacing w:val="-3"/>
        </w:rPr>
      </w:pPr>
    </w:p>
    <w:p w14:paraId="62AD36DE" w14:textId="7A7B80A5" w:rsidR="00642E22" w:rsidRPr="004068F6" w:rsidRDefault="00642E22" w:rsidP="00642E22">
      <w:pPr>
        <w:tabs>
          <w:tab w:val="left" w:pos="-2268"/>
        </w:tabs>
        <w:suppressAutoHyphens/>
        <w:rPr>
          <w:rFonts w:cs="Arial"/>
          <w:spacing w:val="-3"/>
        </w:rPr>
      </w:pPr>
      <w:r w:rsidRPr="004068F6">
        <w:rPr>
          <w:spacing w:val="-3"/>
        </w:rPr>
        <w:t xml:space="preserve">La convocatoria a los espacios de participación debe realizarse con </w:t>
      </w:r>
      <w:r w:rsidRPr="00127BD4">
        <w:rPr>
          <w:rFonts w:cs="Arial"/>
          <w:spacing w:val="-3"/>
        </w:rPr>
        <w:t>suficiente antelación a éstos</w:t>
      </w:r>
      <w:r w:rsidRPr="004068F6">
        <w:rPr>
          <w:rStyle w:val="Refdenotaalpie"/>
          <w:rFonts w:cs="Arial"/>
          <w:lang w:val="es-CO"/>
        </w:rPr>
        <w:footnoteReference w:id="44"/>
      </w:r>
      <w:r w:rsidRPr="00127BD4">
        <w:rPr>
          <w:rFonts w:cs="Arial"/>
          <w:spacing w:val="-3"/>
        </w:rPr>
        <w:t xml:space="preserve">, ser </w:t>
      </w:r>
      <w:r w:rsidRPr="004068F6">
        <w:rPr>
          <w:spacing w:val="-3"/>
        </w:rPr>
        <w:t xml:space="preserve">amplia </w:t>
      </w:r>
      <w:r w:rsidRPr="00127BD4">
        <w:rPr>
          <w:rFonts w:cs="Arial"/>
          <w:spacing w:val="-3"/>
        </w:rPr>
        <w:t xml:space="preserve">y </w:t>
      </w:r>
      <w:r w:rsidRPr="004068F6">
        <w:rPr>
          <w:spacing w:val="-3"/>
        </w:rPr>
        <w:t xml:space="preserve">utilizar medios de comunicación suficientes para asegurar la mayor cobertura posible y alcanzar un nivel representativo de participación. Asimismo, la convocatoria </w:t>
      </w:r>
      <w:r w:rsidRPr="004068F6">
        <w:rPr>
          <w:rFonts w:cs="Arial"/>
          <w:spacing w:val="-3"/>
        </w:rPr>
        <w:t>debe informar dónde y cómo se puede consultar la información del proyecto y sus alternativas, la cual debe estar disponible de forma gratuita.</w:t>
      </w:r>
      <w:r w:rsidR="009C1D66" w:rsidRPr="004068F6">
        <w:rPr>
          <w:rFonts w:cs="Arial"/>
          <w:spacing w:val="-3"/>
        </w:rPr>
        <w:t xml:space="preserve"> </w:t>
      </w:r>
      <w:r w:rsidR="008B2101" w:rsidRPr="004068F6">
        <w:rPr>
          <w:rFonts w:cs="Arial"/>
          <w:spacing w:val="-3"/>
        </w:rPr>
        <w:t>Se debe justificar adecuadamente</w:t>
      </w:r>
      <w:r w:rsidR="008B2101" w:rsidRPr="00127BD4">
        <w:rPr>
          <w:rFonts w:cs="Arial"/>
          <w:spacing w:val="-3"/>
          <w:lang w:val="es-MX"/>
        </w:rPr>
        <w:t xml:space="preserve"> </w:t>
      </w:r>
      <w:r w:rsidR="005B585A" w:rsidRPr="00127BD4">
        <w:rPr>
          <w:rFonts w:cs="Arial"/>
          <w:spacing w:val="-3"/>
        </w:rPr>
        <w:t xml:space="preserve">cualquier </w:t>
      </w:r>
      <w:r w:rsidR="005436FD" w:rsidRPr="004068F6">
        <w:rPr>
          <w:rFonts w:cs="Arial"/>
          <w:spacing w:val="-3"/>
        </w:rPr>
        <w:t>restricción de acceso a la información</w:t>
      </w:r>
      <w:r w:rsidR="008B2101" w:rsidRPr="004068F6">
        <w:rPr>
          <w:rFonts w:cs="Arial"/>
          <w:spacing w:val="-3"/>
        </w:rPr>
        <w:t xml:space="preserve"> cuando é</w:t>
      </w:r>
      <w:r w:rsidR="005436FD" w:rsidRPr="004068F6">
        <w:rPr>
          <w:rFonts w:cs="Arial"/>
          <w:spacing w:val="-3"/>
        </w:rPr>
        <w:t>sta sea solicitada en el marco del proceso participativo</w:t>
      </w:r>
      <w:r w:rsidR="000A73C4" w:rsidRPr="00127BD4">
        <w:rPr>
          <w:rFonts w:cs="Arial"/>
          <w:spacing w:val="-3"/>
          <w:vertAlign w:val="superscript"/>
        </w:rPr>
        <w:footnoteReference w:id="45"/>
      </w:r>
      <w:r w:rsidR="00B46712" w:rsidRPr="004068F6">
        <w:rPr>
          <w:rFonts w:cs="Arial"/>
          <w:spacing w:val="-3"/>
        </w:rPr>
        <w:t>.</w:t>
      </w:r>
    </w:p>
    <w:p w14:paraId="21C65F5D" w14:textId="77777777" w:rsidR="00AD181D" w:rsidRPr="004068F6" w:rsidRDefault="00AD181D" w:rsidP="00642E22">
      <w:pPr>
        <w:tabs>
          <w:tab w:val="left" w:pos="-2268"/>
        </w:tabs>
        <w:suppressAutoHyphens/>
        <w:rPr>
          <w:rFonts w:cs="Arial"/>
          <w:spacing w:val="-3"/>
        </w:rPr>
      </w:pPr>
    </w:p>
    <w:p w14:paraId="39AF0E30" w14:textId="10E6024A" w:rsidR="00AD181D" w:rsidRPr="004068F6" w:rsidRDefault="0039426E" w:rsidP="00642E22">
      <w:pPr>
        <w:tabs>
          <w:tab w:val="left" w:pos="-2268"/>
        </w:tabs>
        <w:suppressAutoHyphens/>
        <w:rPr>
          <w:rFonts w:cs="Arial"/>
          <w:spacing w:val="-3"/>
        </w:rPr>
      </w:pPr>
      <w:r w:rsidRPr="004068F6">
        <w:rPr>
          <w:rFonts w:cs="Arial"/>
          <w:spacing w:val="-3"/>
        </w:rPr>
        <w:t>A</w:t>
      </w:r>
      <w:r w:rsidR="003F3924" w:rsidRPr="004068F6">
        <w:rPr>
          <w:rFonts w:cs="Arial"/>
          <w:spacing w:val="-3"/>
        </w:rPr>
        <w:t xml:space="preserve">simismo, </w:t>
      </w:r>
      <w:r w:rsidRPr="004068F6">
        <w:rPr>
          <w:rFonts w:cs="Arial"/>
          <w:spacing w:val="-3"/>
        </w:rPr>
        <w:t xml:space="preserve">se debe formular y aplicar </w:t>
      </w:r>
      <w:r w:rsidR="006A53D9" w:rsidRPr="004068F6">
        <w:rPr>
          <w:rFonts w:cs="Arial"/>
          <w:spacing w:val="-3"/>
        </w:rPr>
        <w:t xml:space="preserve">coordinadamente, </w:t>
      </w:r>
      <w:r w:rsidRPr="004068F6">
        <w:rPr>
          <w:rFonts w:cs="Arial"/>
          <w:spacing w:val="-3"/>
        </w:rPr>
        <w:t xml:space="preserve">un </w:t>
      </w:r>
      <w:r w:rsidR="00E80405" w:rsidRPr="00127BD4">
        <w:rPr>
          <w:rFonts w:cs="Arial"/>
          <w:i/>
          <w:iCs/>
          <w:spacing w:val="-3"/>
        </w:rPr>
        <w:t xml:space="preserve">conjunto de </w:t>
      </w:r>
      <w:r w:rsidRPr="00127BD4">
        <w:rPr>
          <w:rFonts w:cs="Arial"/>
          <w:i/>
          <w:iCs/>
          <w:spacing w:val="-3"/>
        </w:rPr>
        <w:t>acci</w:t>
      </w:r>
      <w:r w:rsidR="00E80405" w:rsidRPr="00127BD4">
        <w:rPr>
          <w:rFonts w:cs="Arial"/>
          <w:i/>
          <w:iCs/>
          <w:spacing w:val="-3"/>
        </w:rPr>
        <w:t xml:space="preserve">ones </w:t>
      </w:r>
      <w:r w:rsidRPr="00127BD4">
        <w:rPr>
          <w:rFonts w:cs="Arial"/>
          <w:i/>
          <w:iCs/>
          <w:spacing w:val="-3"/>
        </w:rPr>
        <w:t xml:space="preserve">para la atención de </w:t>
      </w:r>
      <w:r w:rsidR="002C273A" w:rsidRPr="00127BD4">
        <w:rPr>
          <w:rFonts w:cs="Arial"/>
          <w:i/>
          <w:iCs/>
          <w:spacing w:val="-3"/>
        </w:rPr>
        <w:t xml:space="preserve">los </w:t>
      </w:r>
      <w:r w:rsidRPr="00127BD4">
        <w:rPr>
          <w:rFonts w:cs="Arial"/>
          <w:i/>
          <w:iCs/>
          <w:spacing w:val="-3"/>
        </w:rPr>
        <w:t>conflictos socioambientales</w:t>
      </w:r>
      <w:r w:rsidRPr="004068F6">
        <w:rPr>
          <w:rFonts w:cs="Arial"/>
          <w:spacing w:val="-3"/>
        </w:rPr>
        <w:t xml:space="preserve"> que puedan </w:t>
      </w:r>
      <w:r w:rsidR="009916AD" w:rsidRPr="004068F6">
        <w:rPr>
          <w:rFonts w:cs="Arial"/>
          <w:spacing w:val="-3"/>
        </w:rPr>
        <w:t xml:space="preserve">ocurrir durante </w:t>
      </w:r>
      <w:r w:rsidRPr="004068F6">
        <w:rPr>
          <w:rFonts w:cs="Arial"/>
          <w:spacing w:val="-3"/>
        </w:rPr>
        <w:t xml:space="preserve">el proceso de elaboración del DAA. </w:t>
      </w:r>
      <w:r w:rsidR="009916AD" w:rsidRPr="004068F6">
        <w:rPr>
          <w:rFonts w:cs="Arial"/>
          <w:spacing w:val="-3"/>
        </w:rPr>
        <w:t>Con este fin</w:t>
      </w:r>
      <w:r w:rsidRPr="004068F6">
        <w:rPr>
          <w:rFonts w:cs="Arial"/>
          <w:spacing w:val="-3"/>
        </w:rPr>
        <w:t>, se deben tener en cuenta los conflictos existentes asociados al uso, acceso y apropiación de los recursos naturales en el territorio que p</w:t>
      </w:r>
      <w:r w:rsidR="002C273A" w:rsidRPr="004068F6">
        <w:rPr>
          <w:rFonts w:cs="Arial"/>
          <w:spacing w:val="-3"/>
        </w:rPr>
        <w:t xml:space="preserve">uedan </w:t>
      </w:r>
      <w:r w:rsidRPr="004068F6">
        <w:rPr>
          <w:rFonts w:cs="Arial"/>
          <w:spacing w:val="-3"/>
        </w:rPr>
        <w:t>verse acentuados con la expectativa del desarrollo del proyecto. Est</w:t>
      </w:r>
      <w:r w:rsidR="00B82CD0">
        <w:rPr>
          <w:rFonts w:cs="Arial"/>
          <w:spacing w:val="-3"/>
        </w:rPr>
        <w:t>e conjunto de</w:t>
      </w:r>
      <w:r w:rsidR="00CE3014" w:rsidRPr="004068F6">
        <w:rPr>
          <w:rFonts w:cs="Arial"/>
          <w:spacing w:val="-3"/>
        </w:rPr>
        <w:t xml:space="preserve"> acciones </w:t>
      </w:r>
      <w:r w:rsidRPr="004068F6">
        <w:rPr>
          <w:rFonts w:cs="Arial"/>
          <w:spacing w:val="-3"/>
        </w:rPr>
        <w:t xml:space="preserve">debe ser objeto de mejora permanentemente según los </w:t>
      </w:r>
      <w:r w:rsidRPr="004068F6">
        <w:rPr>
          <w:rFonts w:cs="Arial"/>
          <w:spacing w:val="-3"/>
        </w:rPr>
        <w:lastRenderedPageBreak/>
        <w:t>resultados de los espacios de participación</w:t>
      </w:r>
      <w:r w:rsidR="009A5811">
        <w:rPr>
          <w:rFonts w:cs="Arial"/>
          <w:spacing w:val="-3"/>
        </w:rPr>
        <w:t>, además,</w:t>
      </w:r>
      <w:r w:rsidRPr="004068F6">
        <w:rPr>
          <w:rFonts w:cs="Arial"/>
          <w:spacing w:val="-3"/>
        </w:rPr>
        <w:t xml:space="preserve"> puede </w:t>
      </w:r>
      <w:r w:rsidR="00B378B8" w:rsidRPr="004068F6">
        <w:rPr>
          <w:rFonts w:cs="Arial"/>
          <w:spacing w:val="-3"/>
        </w:rPr>
        <w:t xml:space="preserve">constituir un </w:t>
      </w:r>
      <w:r w:rsidRPr="004068F6">
        <w:rPr>
          <w:rFonts w:cs="Arial"/>
          <w:spacing w:val="-3"/>
        </w:rPr>
        <w:t xml:space="preserve">insumo </w:t>
      </w:r>
      <w:r w:rsidR="000A07FC" w:rsidRPr="004068F6">
        <w:rPr>
          <w:rFonts w:cs="Arial"/>
          <w:spacing w:val="-3"/>
        </w:rPr>
        <w:t xml:space="preserve">para </w:t>
      </w:r>
      <w:r w:rsidRPr="004068F6">
        <w:rPr>
          <w:rFonts w:cs="Arial"/>
          <w:spacing w:val="-3"/>
        </w:rPr>
        <w:t>la elaboración del EIA.</w:t>
      </w:r>
    </w:p>
    <w:p w14:paraId="60B69A16" w14:textId="77777777" w:rsidR="0025284C" w:rsidRPr="004068F6" w:rsidRDefault="0025284C" w:rsidP="00642E22">
      <w:pPr>
        <w:numPr>
          <w:ilvl w:val="12"/>
          <w:numId w:val="0"/>
        </w:numPr>
        <w:tabs>
          <w:tab w:val="left" w:pos="-2268"/>
        </w:tabs>
        <w:suppressAutoHyphens/>
        <w:rPr>
          <w:spacing w:val="-3"/>
        </w:rPr>
      </w:pPr>
    </w:p>
    <w:p w14:paraId="7D25800C" w14:textId="77777777" w:rsidR="00642E22" w:rsidRPr="00B81EC8" w:rsidRDefault="00642E22" w:rsidP="000A1E20">
      <w:pPr>
        <w:pStyle w:val="Ttulo3"/>
      </w:pPr>
      <w:bookmarkStart w:id="1996" w:name="_Toc230879577"/>
      <w:r w:rsidRPr="00B81EC8">
        <w:t>Ejecución de los espacios de participación</w:t>
      </w:r>
      <w:bookmarkEnd w:id="1996"/>
    </w:p>
    <w:p w14:paraId="22AE3DCE" w14:textId="77777777" w:rsidR="00642E22" w:rsidRPr="004068F6" w:rsidRDefault="00642E22" w:rsidP="00642E22">
      <w:pPr>
        <w:numPr>
          <w:ilvl w:val="12"/>
          <w:numId w:val="0"/>
        </w:numPr>
        <w:tabs>
          <w:tab w:val="left" w:pos="-2268"/>
        </w:tabs>
        <w:suppressAutoHyphens/>
        <w:rPr>
          <w:spacing w:val="-3"/>
        </w:rPr>
      </w:pPr>
    </w:p>
    <w:p w14:paraId="1185BB9D" w14:textId="7C61AA9B" w:rsidR="00642E22" w:rsidRPr="004068F6" w:rsidRDefault="00642E22" w:rsidP="00642E22">
      <w:pPr>
        <w:numPr>
          <w:ilvl w:val="12"/>
          <w:numId w:val="0"/>
        </w:numPr>
        <w:tabs>
          <w:tab w:val="left" w:pos="-2268"/>
        </w:tabs>
        <w:suppressAutoHyphens/>
        <w:rPr>
          <w:spacing w:val="-3"/>
        </w:rPr>
      </w:pPr>
      <w:r w:rsidRPr="004068F6">
        <w:rPr>
          <w:spacing w:val="-3"/>
        </w:rPr>
        <w:t xml:space="preserve">Los espacios de participación deben ejecutarse según lo planeado en la </w:t>
      </w:r>
      <w:r w:rsidR="000A4D3A">
        <w:rPr>
          <w:spacing w:val="-3"/>
        </w:rPr>
        <w:t>fase</w:t>
      </w:r>
      <w:r w:rsidRPr="004068F6">
        <w:rPr>
          <w:spacing w:val="-3"/>
        </w:rPr>
        <w:t xml:space="preserve"> anterior, asegurando que la comunicación sea efectiva al permitir el suministro y recepción de información y promover la deliberación, la argumentación</w:t>
      </w:r>
      <w:r w:rsidR="00856730" w:rsidRPr="004068F6">
        <w:rPr>
          <w:spacing w:val="-3"/>
        </w:rPr>
        <w:t xml:space="preserve"> y la generación de aportes e insumos </w:t>
      </w:r>
      <w:r w:rsidR="00DB5B33" w:rsidRPr="004068F6">
        <w:rPr>
          <w:spacing w:val="-3"/>
        </w:rPr>
        <w:t xml:space="preserve">que puedan ser </w:t>
      </w:r>
      <w:r w:rsidR="00856730" w:rsidRPr="004068F6">
        <w:rPr>
          <w:spacing w:val="-3"/>
        </w:rPr>
        <w:t xml:space="preserve">analizados. Adicionalmente, </w:t>
      </w:r>
      <w:r w:rsidRPr="004068F6">
        <w:rPr>
          <w:spacing w:val="-3"/>
        </w:rPr>
        <w:t>estos espacios deben tener un enfoque que permita desarrollar los encuentros en un ambiente de respeto entre las partes intervinientes y tener la capacidad de adaptarse a las situaciones o condiciones que se presenten o identifiquen durante su ejecución.</w:t>
      </w:r>
    </w:p>
    <w:p w14:paraId="527B3D37" w14:textId="77777777" w:rsidR="00642E22" w:rsidRPr="004068F6" w:rsidRDefault="00642E22" w:rsidP="00642E22">
      <w:pPr>
        <w:numPr>
          <w:ilvl w:val="12"/>
          <w:numId w:val="0"/>
        </w:numPr>
        <w:tabs>
          <w:tab w:val="left" w:pos="-2268"/>
        </w:tabs>
        <w:suppressAutoHyphens/>
        <w:rPr>
          <w:spacing w:val="-3"/>
        </w:rPr>
      </w:pPr>
    </w:p>
    <w:p w14:paraId="5CE8563F" w14:textId="77777777" w:rsidR="00642E22" w:rsidRPr="004068F6" w:rsidRDefault="00642E22" w:rsidP="00642E22">
      <w:pPr>
        <w:rPr>
          <w:rFonts w:cs="Arial"/>
        </w:rPr>
      </w:pPr>
      <w:r w:rsidRPr="004068F6">
        <w:rPr>
          <w:rFonts w:cs="Arial"/>
        </w:rPr>
        <w:t>Al inicio de cada espacio de diálogo se debe brindar información sobre lo siguiente:</w:t>
      </w:r>
    </w:p>
    <w:p w14:paraId="5841A4F9" w14:textId="77777777" w:rsidR="00642E22" w:rsidRPr="004068F6" w:rsidRDefault="00642E22" w:rsidP="00642E22">
      <w:pPr>
        <w:rPr>
          <w:rFonts w:cs="Arial"/>
        </w:rPr>
      </w:pPr>
    </w:p>
    <w:p w14:paraId="6962C87C" w14:textId="1CF3501C" w:rsidR="00642E22" w:rsidRPr="004068F6" w:rsidRDefault="00642E22" w:rsidP="00642E22">
      <w:pPr>
        <w:pStyle w:val="Prrafodelista"/>
        <w:numPr>
          <w:ilvl w:val="0"/>
          <w:numId w:val="680"/>
        </w:numPr>
        <w:tabs>
          <w:tab w:val="left" w:pos="-2268"/>
        </w:tabs>
        <w:suppressAutoHyphens/>
        <w:ind w:left="567" w:hanging="567"/>
        <w:rPr>
          <w:spacing w:val="-3"/>
          <w:lang w:val="es-CO"/>
        </w:rPr>
      </w:pPr>
      <w:r w:rsidRPr="004068F6">
        <w:rPr>
          <w:spacing w:val="-3"/>
          <w:lang w:val="es-CO"/>
        </w:rPr>
        <w:t xml:space="preserve">El procedimiento previsto para ejecutar el proceso de participación en su conjunto y el espacio de diálogo particular que se está ejecutando, señalando los objetivos y </w:t>
      </w:r>
      <w:r w:rsidR="00984A50" w:rsidRPr="004068F6">
        <w:rPr>
          <w:spacing w:val="-3"/>
          <w:lang w:val="es-CO"/>
        </w:rPr>
        <w:t xml:space="preserve">cronograma </w:t>
      </w:r>
      <w:r w:rsidRPr="004068F6">
        <w:rPr>
          <w:spacing w:val="-3"/>
          <w:lang w:val="es-CO"/>
        </w:rPr>
        <w:t>del proceso de participación.</w:t>
      </w:r>
    </w:p>
    <w:p w14:paraId="0DB229B2" w14:textId="77777777" w:rsidR="00642E22" w:rsidRPr="004068F6" w:rsidRDefault="00642E22" w:rsidP="00642E22">
      <w:pPr>
        <w:tabs>
          <w:tab w:val="left" w:pos="-2268"/>
        </w:tabs>
        <w:suppressAutoHyphens/>
        <w:rPr>
          <w:spacing w:val="-3"/>
        </w:rPr>
      </w:pPr>
    </w:p>
    <w:p w14:paraId="06F653AE" w14:textId="77777777" w:rsidR="00642E22" w:rsidRPr="004068F6" w:rsidRDefault="00642E22" w:rsidP="00642E22">
      <w:pPr>
        <w:pStyle w:val="Prrafodelista"/>
        <w:numPr>
          <w:ilvl w:val="0"/>
          <w:numId w:val="680"/>
        </w:numPr>
        <w:tabs>
          <w:tab w:val="left" w:pos="-2268"/>
        </w:tabs>
        <w:suppressAutoHyphens/>
        <w:ind w:left="567" w:hanging="567"/>
        <w:rPr>
          <w:spacing w:val="-3"/>
          <w:lang w:val="es-CO"/>
        </w:rPr>
      </w:pPr>
      <w:r w:rsidRPr="004068F6">
        <w:rPr>
          <w:spacing w:val="-3"/>
          <w:lang w:val="es-CO"/>
        </w:rPr>
        <w:t>Los mecanismos y modalidades previstos para la ejecución del proceso de participación.</w:t>
      </w:r>
    </w:p>
    <w:p w14:paraId="32F4EEA9" w14:textId="77777777" w:rsidR="00642E22" w:rsidRPr="004068F6" w:rsidRDefault="00642E22" w:rsidP="00642E22">
      <w:pPr>
        <w:tabs>
          <w:tab w:val="left" w:pos="-2268"/>
        </w:tabs>
        <w:suppressAutoHyphens/>
        <w:rPr>
          <w:spacing w:val="-3"/>
        </w:rPr>
      </w:pPr>
    </w:p>
    <w:p w14:paraId="7974A8ED" w14:textId="77777777" w:rsidR="00642E22" w:rsidRPr="004068F6" w:rsidRDefault="00642E22" w:rsidP="00642E22">
      <w:pPr>
        <w:pStyle w:val="Prrafodelista"/>
        <w:numPr>
          <w:ilvl w:val="0"/>
          <w:numId w:val="680"/>
        </w:numPr>
        <w:tabs>
          <w:tab w:val="left" w:pos="-2268"/>
        </w:tabs>
        <w:suppressAutoHyphens/>
        <w:ind w:left="567" w:hanging="567"/>
        <w:rPr>
          <w:spacing w:val="-3"/>
          <w:lang w:val="es-CO"/>
        </w:rPr>
      </w:pPr>
      <w:r w:rsidRPr="004068F6">
        <w:rPr>
          <w:spacing w:val="-3"/>
          <w:lang w:val="es-CO"/>
        </w:rPr>
        <w:t>El procedimiento para la recolección, sistematización y análisis de los aportes de los grupos de interés.</w:t>
      </w:r>
    </w:p>
    <w:p w14:paraId="139CA819" w14:textId="77777777" w:rsidR="006E2928" w:rsidRPr="00127BD4" w:rsidRDefault="006E2928" w:rsidP="00127BD4">
      <w:pPr>
        <w:rPr>
          <w:spacing w:val="-3"/>
        </w:rPr>
      </w:pPr>
    </w:p>
    <w:p w14:paraId="719F9ED1" w14:textId="70DDB07B" w:rsidR="006E2928" w:rsidRPr="00127BD4" w:rsidRDefault="006E2928" w:rsidP="006E2928">
      <w:pPr>
        <w:pStyle w:val="Prrafodelista"/>
        <w:numPr>
          <w:ilvl w:val="0"/>
          <w:numId w:val="680"/>
        </w:numPr>
        <w:tabs>
          <w:tab w:val="left" w:pos="-2268"/>
        </w:tabs>
        <w:suppressAutoHyphens/>
        <w:ind w:left="567" w:hanging="567"/>
        <w:rPr>
          <w:spacing w:val="-3"/>
          <w:lang w:val="es-CO"/>
        </w:rPr>
      </w:pPr>
      <w:r w:rsidRPr="00127BD4">
        <w:rPr>
          <w:spacing w:val="-3"/>
          <w:lang w:val="es-CO"/>
        </w:rPr>
        <w:t>El mecanismo que se dispondrá para que los grupos de interés puedan la consultar la información</w:t>
      </w:r>
      <w:r w:rsidR="00E073F9" w:rsidRPr="004068F6">
        <w:rPr>
          <w:spacing w:val="-3"/>
          <w:lang w:val="es-CO"/>
        </w:rPr>
        <w:t>.</w:t>
      </w:r>
    </w:p>
    <w:p w14:paraId="0B817CA5" w14:textId="77777777" w:rsidR="00642E22" w:rsidRPr="004068F6" w:rsidRDefault="00642E22" w:rsidP="00642E22">
      <w:pPr>
        <w:numPr>
          <w:ilvl w:val="12"/>
          <w:numId w:val="0"/>
        </w:numPr>
        <w:tabs>
          <w:tab w:val="left" w:pos="-2268"/>
        </w:tabs>
        <w:suppressAutoHyphens/>
        <w:rPr>
          <w:spacing w:val="-3"/>
        </w:rPr>
      </w:pPr>
    </w:p>
    <w:p w14:paraId="019772D4" w14:textId="77777777" w:rsidR="00642E22" w:rsidRPr="004068F6" w:rsidRDefault="00642E22" w:rsidP="00642E22">
      <w:pPr>
        <w:pStyle w:val="Prrafodelista"/>
        <w:tabs>
          <w:tab w:val="left" w:pos="-2268"/>
        </w:tabs>
        <w:suppressAutoHyphens/>
        <w:ind w:left="0"/>
        <w:rPr>
          <w:spacing w:val="-3"/>
          <w:lang w:val="es-CO"/>
        </w:rPr>
      </w:pPr>
      <w:r w:rsidRPr="004068F6">
        <w:rPr>
          <w:spacing w:val="-3"/>
          <w:lang w:val="es-CO"/>
        </w:rPr>
        <w:t>Luego de señalar estas características generales del proceso, se debe abordar el siguiente contenido:</w:t>
      </w:r>
    </w:p>
    <w:p w14:paraId="2A1CDAED" w14:textId="77777777" w:rsidR="00642E22" w:rsidRPr="004068F6" w:rsidRDefault="00642E22" w:rsidP="00642E22">
      <w:pPr>
        <w:numPr>
          <w:ilvl w:val="12"/>
          <w:numId w:val="0"/>
        </w:numPr>
        <w:tabs>
          <w:tab w:val="left" w:pos="-2268"/>
        </w:tabs>
        <w:suppressAutoHyphens/>
        <w:rPr>
          <w:spacing w:val="-3"/>
        </w:rPr>
      </w:pPr>
    </w:p>
    <w:p w14:paraId="30077A82" w14:textId="77777777" w:rsidR="00642E22" w:rsidRPr="004068F6" w:rsidRDefault="00642E22" w:rsidP="00642E22">
      <w:pPr>
        <w:numPr>
          <w:ilvl w:val="0"/>
          <w:numId w:val="82"/>
        </w:numPr>
        <w:overflowPunct/>
        <w:autoSpaceDE/>
        <w:autoSpaceDN/>
        <w:adjustRightInd/>
        <w:ind w:left="567" w:hanging="567"/>
        <w:textAlignment w:val="auto"/>
        <w:rPr>
          <w:rFonts w:cs="Arial"/>
        </w:rPr>
      </w:pPr>
      <w:r w:rsidRPr="004068F6">
        <w:rPr>
          <w:rFonts w:cs="Arial"/>
        </w:rPr>
        <w:t>Breve explicación del proceso de licenciamiento ambiental, aclarando que comprende la elaboración de estudios ambientales (DAA y EIA), la evaluación de estudios ambientales y el seguimiento ambiental a los proyectos, obras o actividades que cuentan con licencia ambiental o instrumento equivalente.</w:t>
      </w:r>
    </w:p>
    <w:p w14:paraId="29F3AC5A" w14:textId="77777777" w:rsidR="00642E22" w:rsidRPr="004068F6" w:rsidRDefault="00642E22" w:rsidP="00FB1028">
      <w:pPr>
        <w:overflowPunct/>
        <w:autoSpaceDE/>
        <w:autoSpaceDN/>
        <w:adjustRightInd/>
        <w:textAlignment w:val="auto"/>
        <w:rPr>
          <w:rFonts w:cs="Arial"/>
        </w:rPr>
      </w:pPr>
    </w:p>
    <w:p w14:paraId="0427AFBC" w14:textId="77777777" w:rsidR="00642E22" w:rsidRPr="004068F6" w:rsidRDefault="00642E22" w:rsidP="00642E22">
      <w:pPr>
        <w:overflowPunct/>
        <w:autoSpaceDE/>
        <w:autoSpaceDN/>
        <w:adjustRightInd/>
        <w:ind w:left="567"/>
        <w:textAlignment w:val="auto"/>
        <w:rPr>
          <w:rFonts w:cs="Arial"/>
        </w:rPr>
      </w:pPr>
      <w:r w:rsidRPr="004068F6">
        <w:rPr>
          <w:rFonts w:cs="Arial"/>
        </w:rPr>
        <w:t>Debe señalar las diferencias, propósitos e instancias en las cuales se elaboran los DAA y los EIA, mencionando que la elección de alternativas por parte de la autoridad ambiental no implica una decisión sobre su viabilidad ambiental y que tal determinación se aborda exclusivamente al evaluar un EIA.</w:t>
      </w:r>
    </w:p>
    <w:p w14:paraId="018D6F84" w14:textId="77777777" w:rsidR="00642E22" w:rsidRPr="004068F6" w:rsidRDefault="00642E22" w:rsidP="00642E22">
      <w:pPr>
        <w:overflowPunct/>
        <w:autoSpaceDE/>
        <w:autoSpaceDN/>
        <w:adjustRightInd/>
        <w:textAlignment w:val="auto"/>
        <w:rPr>
          <w:rFonts w:cs="Arial"/>
        </w:rPr>
      </w:pPr>
    </w:p>
    <w:p w14:paraId="29FBDD3B" w14:textId="77777777" w:rsidR="00642E22" w:rsidRPr="004068F6" w:rsidRDefault="00642E22" w:rsidP="00642E22">
      <w:pPr>
        <w:overflowPunct/>
        <w:autoSpaceDE/>
        <w:autoSpaceDN/>
        <w:adjustRightInd/>
        <w:ind w:left="567"/>
        <w:textAlignment w:val="auto"/>
        <w:rPr>
          <w:rFonts w:cs="Arial"/>
        </w:rPr>
      </w:pPr>
      <w:r w:rsidRPr="004068F6">
        <w:rPr>
          <w:rFonts w:cs="Arial"/>
        </w:rPr>
        <w:lastRenderedPageBreak/>
        <w:t>Igualmente, debe mencionar la autoridad ambiental responsable del proceso de toma de decisiones y otras autoridades e instituciones involucradas (p. ej. a las que se les pueda requerir información complementaria), así como el procedimiento para solicitar información a tales entidades.</w:t>
      </w:r>
    </w:p>
    <w:p w14:paraId="3E62DA18" w14:textId="77777777" w:rsidR="00642E22" w:rsidRPr="004068F6" w:rsidRDefault="00642E22" w:rsidP="00642E22">
      <w:pPr>
        <w:overflowPunct/>
        <w:autoSpaceDE/>
        <w:autoSpaceDN/>
        <w:adjustRightInd/>
        <w:ind w:right="57"/>
        <w:textAlignment w:val="auto"/>
        <w:rPr>
          <w:rFonts w:cs="Arial"/>
        </w:rPr>
      </w:pPr>
    </w:p>
    <w:p w14:paraId="71559425" w14:textId="77777777" w:rsidR="00642E22" w:rsidRPr="004068F6" w:rsidRDefault="00642E22" w:rsidP="00642E22">
      <w:pPr>
        <w:numPr>
          <w:ilvl w:val="0"/>
          <w:numId w:val="82"/>
        </w:numPr>
        <w:overflowPunct/>
        <w:autoSpaceDE/>
        <w:autoSpaceDN/>
        <w:adjustRightInd/>
        <w:ind w:left="567" w:hanging="567"/>
        <w:textAlignment w:val="auto"/>
        <w:rPr>
          <w:rFonts w:cs="Arial"/>
        </w:rPr>
      </w:pPr>
      <w:r w:rsidRPr="004068F6">
        <w:rPr>
          <w:rFonts w:cs="Arial"/>
        </w:rPr>
        <w:t>Descripción del proyecto, sus alcances y objetivos, así como de las alternativas de diseño, tecnología o localización (o trazado, en caso de aplicar) que se plantean para su ejecución.</w:t>
      </w:r>
    </w:p>
    <w:p w14:paraId="7B214FF1" w14:textId="77777777" w:rsidR="00642E22" w:rsidRPr="004068F6" w:rsidRDefault="00642E22" w:rsidP="00642E22">
      <w:pPr>
        <w:overflowPunct/>
        <w:autoSpaceDE/>
        <w:autoSpaceDN/>
        <w:adjustRightInd/>
        <w:ind w:right="57"/>
        <w:textAlignment w:val="auto"/>
        <w:rPr>
          <w:rFonts w:cs="Arial"/>
        </w:rPr>
      </w:pPr>
    </w:p>
    <w:p w14:paraId="4804BE2C" w14:textId="77777777" w:rsidR="00642E22" w:rsidRPr="004068F6" w:rsidRDefault="00642E22" w:rsidP="00642E22">
      <w:pPr>
        <w:numPr>
          <w:ilvl w:val="0"/>
          <w:numId w:val="82"/>
        </w:numPr>
        <w:overflowPunct/>
        <w:autoSpaceDE/>
        <w:autoSpaceDN/>
        <w:adjustRightInd/>
        <w:ind w:left="567" w:hanging="567"/>
        <w:textAlignment w:val="auto"/>
        <w:rPr>
          <w:rFonts w:cs="Arial"/>
        </w:rPr>
      </w:pPr>
      <w:r w:rsidRPr="004068F6">
        <w:rPr>
          <w:rFonts w:cs="Arial"/>
        </w:rPr>
        <w:t>Descripción de las principales características ambientales de los medios abiótico, biótico y socioeconómico del área de estudio.</w:t>
      </w:r>
    </w:p>
    <w:p w14:paraId="79006DEE" w14:textId="77777777" w:rsidR="00642E22" w:rsidRPr="004068F6" w:rsidRDefault="00642E22" w:rsidP="00642E22">
      <w:pPr>
        <w:overflowPunct/>
        <w:autoSpaceDE/>
        <w:autoSpaceDN/>
        <w:adjustRightInd/>
        <w:ind w:right="57"/>
        <w:textAlignment w:val="auto"/>
        <w:rPr>
          <w:rFonts w:cs="Arial"/>
        </w:rPr>
      </w:pPr>
    </w:p>
    <w:p w14:paraId="20863C66" w14:textId="3D54F593" w:rsidR="00642E22" w:rsidRPr="004068F6" w:rsidRDefault="00642E22" w:rsidP="00642E22">
      <w:pPr>
        <w:numPr>
          <w:ilvl w:val="0"/>
          <w:numId w:val="82"/>
        </w:numPr>
        <w:overflowPunct/>
        <w:autoSpaceDE/>
        <w:autoSpaceDN/>
        <w:adjustRightInd/>
        <w:ind w:left="567" w:hanging="567"/>
        <w:textAlignment w:val="auto"/>
        <w:rPr>
          <w:rFonts w:cs="Arial"/>
        </w:rPr>
      </w:pPr>
      <w:r w:rsidRPr="004068F6">
        <w:rPr>
          <w:rFonts w:cs="Arial"/>
        </w:rPr>
        <w:t>Descripción de los impactos ambientales de las alternativas.</w:t>
      </w:r>
    </w:p>
    <w:p w14:paraId="58C7CF1F" w14:textId="77777777" w:rsidR="00642E22" w:rsidRPr="004068F6" w:rsidRDefault="00642E22" w:rsidP="00642E22">
      <w:pPr>
        <w:overflowPunct/>
        <w:autoSpaceDE/>
        <w:autoSpaceDN/>
        <w:adjustRightInd/>
        <w:ind w:right="57"/>
        <w:textAlignment w:val="auto"/>
        <w:rPr>
          <w:rFonts w:cs="Arial"/>
        </w:rPr>
      </w:pPr>
    </w:p>
    <w:p w14:paraId="0461CFB4" w14:textId="7F5DD31A" w:rsidR="00642E22" w:rsidRPr="004068F6" w:rsidRDefault="00642E22" w:rsidP="00642E22">
      <w:pPr>
        <w:numPr>
          <w:ilvl w:val="0"/>
          <w:numId w:val="82"/>
        </w:numPr>
        <w:overflowPunct/>
        <w:autoSpaceDE/>
        <w:autoSpaceDN/>
        <w:adjustRightInd/>
        <w:ind w:left="567" w:hanging="567"/>
        <w:textAlignment w:val="auto"/>
        <w:rPr>
          <w:rFonts w:cs="Arial"/>
        </w:rPr>
      </w:pPr>
      <w:r w:rsidRPr="004068F6">
        <w:rPr>
          <w:rFonts w:cs="Arial"/>
        </w:rPr>
        <w:t xml:space="preserve">Mención de las </w:t>
      </w:r>
      <w:r w:rsidRPr="004068F6">
        <w:rPr>
          <w:rFonts w:cs="Arial"/>
          <w:i/>
          <w:iCs/>
        </w:rPr>
        <w:t>posibles</w:t>
      </w:r>
      <w:r w:rsidRPr="004068F6">
        <w:rPr>
          <w:rFonts w:cs="Arial"/>
        </w:rPr>
        <w:t xml:space="preserve"> medi</w:t>
      </w:r>
      <w:r w:rsidR="00FE3A90" w:rsidRPr="004068F6">
        <w:rPr>
          <w:rFonts w:cs="Arial"/>
        </w:rPr>
        <w:t>d</w:t>
      </w:r>
      <w:r w:rsidRPr="004068F6">
        <w:rPr>
          <w:rFonts w:cs="Arial"/>
        </w:rPr>
        <w:t>as de manejo para los impactos ambientales de las alternativas.</w:t>
      </w:r>
    </w:p>
    <w:p w14:paraId="3769CE09" w14:textId="77777777" w:rsidR="00642E22" w:rsidRPr="004068F6" w:rsidRDefault="00642E22" w:rsidP="00642E22">
      <w:pPr>
        <w:overflowPunct/>
        <w:autoSpaceDE/>
        <w:autoSpaceDN/>
        <w:adjustRightInd/>
        <w:ind w:right="57"/>
        <w:textAlignment w:val="auto"/>
        <w:rPr>
          <w:rFonts w:cs="Arial"/>
        </w:rPr>
      </w:pPr>
    </w:p>
    <w:p w14:paraId="7111F819" w14:textId="72A5CDD9" w:rsidR="00642E22" w:rsidRPr="004068F6" w:rsidRDefault="00642E22" w:rsidP="00642E22">
      <w:pPr>
        <w:overflowPunct/>
        <w:autoSpaceDE/>
        <w:autoSpaceDN/>
        <w:adjustRightInd/>
        <w:textAlignment w:val="auto"/>
        <w:rPr>
          <w:rFonts w:cs="Arial"/>
        </w:rPr>
      </w:pPr>
      <w:r w:rsidRPr="004068F6">
        <w:rPr>
          <w:rFonts w:cs="Arial"/>
        </w:rPr>
        <w:t xml:space="preserve">Los espacios de participación deben posibilitar la participación del público con el propósito de </w:t>
      </w:r>
      <w:r w:rsidR="00D92B6E" w:rsidRPr="004068F6">
        <w:rPr>
          <w:rFonts w:cs="Arial"/>
        </w:rPr>
        <w:t xml:space="preserve">recibir </w:t>
      </w:r>
      <w:r w:rsidRPr="004068F6">
        <w:rPr>
          <w:rFonts w:cs="Arial"/>
        </w:rPr>
        <w:t xml:space="preserve">a partir de su conocimiento, experiencia </w:t>
      </w:r>
      <w:r w:rsidRPr="004068F6">
        <w:t xml:space="preserve">y saberes, </w:t>
      </w:r>
      <w:r w:rsidR="00812027" w:rsidRPr="004068F6">
        <w:t>aportes que puedan ser considerados para complementar la información de los apartados del DAA relacionados con la</w:t>
      </w:r>
      <w:r w:rsidRPr="004068F6">
        <w:t>:</w:t>
      </w:r>
    </w:p>
    <w:p w14:paraId="5967C633" w14:textId="77777777" w:rsidR="00642E22" w:rsidRPr="004068F6" w:rsidRDefault="00642E22" w:rsidP="00642E22">
      <w:pPr>
        <w:rPr>
          <w:rFonts w:cs="Arial"/>
        </w:rPr>
      </w:pPr>
    </w:p>
    <w:p w14:paraId="7D2B7AC0" w14:textId="77777777" w:rsidR="00642E22" w:rsidRPr="004068F6" w:rsidRDefault="00642E22" w:rsidP="00642E22">
      <w:pPr>
        <w:numPr>
          <w:ilvl w:val="0"/>
          <w:numId w:val="82"/>
        </w:numPr>
        <w:overflowPunct/>
        <w:autoSpaceDE/>
        <w:autoSpaceDN/>
        <w:adjustRightInd/>
        <w:ind w:left="567" w:hanging="567"/>
        <w:textAlignment w:val="auto"/>
        <w:rPr>
          <w:rFonts w:cs="Arial"/>
        </w:rPr>
      </w:pPr>
      <w:r w:rsidRPr="004068F6">
        <w:rPr>
          <w:rFonts w:cs="Arial"/>
        </w:rPr>
        <w:t>Caracterización de los medios abiótico, biótico y socioeconómico del área de estudio, con énfasis en conflictos socioambientales y servicios ecosistémicos.</w:t>
      </w:r>
    </w:p>
    <w:p w14:paraId="08110AFE" w14:textId="77777777" w:rsidR="00642E22" w:rsidRPr="004068F6" w:rsidRDefault="00642E22" w:rsidP="00642E22">
      <w:pPr>
        <w:overflowPunct/>
        <w:autoSpaceDE/>
        <w:autoSpaceDN/>
        <w:adjustRightInd/>
        <w:textAlignment w:val="auto"/>
        <w:rPr>
          <w:rFonts w:cs="Arial"/>
        </w:rPr>
      </w:pPr>
    </w:p>
    <w:p w14:paraId="10DF73D7" w14:textId="5DD704C7" w:rsidR="00642E22" w:rsidRPr="004068F6" w:rsidRDefault="00642E22" w:rsidP="00642E22">
      <w:pPr>
        <w:numPr>
          <w:ilvl w:val="0"/>
          <w:numId w:val="82"/>
        </w:numPr>
        <w:overflowPunct/>
        <w:autoSpaceDE/>
        <w:autoSpaceDN/>
        <w:adjustRightInd/>
        <w:ind w:left="567" w:hanging="567"/>
        <w:textAlignment w:val="auto"/>
        <w:rPr>
          <w:rFonts w:cs="Arial"/>
        </w:rPr>
      </w:pPr>
      <w:r w:rsidRPr="004068F6">
        <w:rPr>
          <w:rFonts w:cs="Arial"/>
        </w:rPr>
        <w:t>Determinación y valoración de impactos ambientales.</w:t>
      </w:r>
    </w:p>
    <w:p w14:paraId="676BB01B" w14:textId="77777777" w:rsidR="00642E22" w:rsidRPr="004068F6" w:rsidRDefault="00642E22" w:rsidP="00642E22">
      <w:pPr>
        <w:overflowPunct/>
        <w:autoSpaceDE/>
        <w:autoSpaceDN/>
        <w:adjustRightInd/>
        <w:textAlignment w:val="auto"/>
        <w:rPr>
          <w:rFonts w:cs="Arial"/>
        </w:rPr>
      </w:pPr>
    </w:p>
    <w:p w14:paraId="294FF412" w14:textId="77777777" w:rsidR="00642E22" w:rsidRPr="004068F6" w:rsidRDefault="00642E22" w:rsidP="00642E22">
      <w:pPr>
        <w:numPr>
          <w:ilvl w:val="0"/>
          <w:numId w:val="82"/>
        </w:numPr>
        <w:overflowPunct/>
        <w:autoSpaceDE/>
        <w:autoSpaceDN/>
        <w:adjustRightInd/>
        <w:ind w:left="567" w:hanging="567"/>
        <w:textAlignment w:val="auto"/>
        <w:rPr>
          <w:rFonts w:cs="Arial"/>
        </w:rPr>
      </w:pPr>
      <w:r w:rsidRPr="004068F6">
        <w:rPr>
          <w:rFonts w:cs="Arial"/>
        </w:rPr>
        <w:t>Análisis costo beneficio ambiental de las alternativas.</w:t>
      </w:r>
    </w:p>
    <w:p w14:paraId="7B531E78" w14:textId="77777777" w:rsidR="00642E22" w:rsidRPr="004068F6" w:rsidRDefault="00642E22" w:rsidP="00642E22">
      <w:pPr>
        <w:numPr>
          <w:ilvl w:val="12"/>
          <w:numId w:val="0"/>
        </w:numPr>
        <w:tabs>
          <w:tab w:val="left" w:pos="-2268"/>
        </w:tabs>
        <w:suppressAutoHyphens/>
        <w:rPr>
          <w:spacing w:val="-3"/>
        </w:rPr>
      </w:pPr>
    </w:p>
    <w:p w14:paraId="3EC4C9D2" w14:textId="77777777" w:rsidR="00642E22" w:rsidRPr="004068F6" w:rsidRDefault="00642E22" w:rsidP="00642E22">
      <w:pPr>
        <w:numPr>
          <w:ilvl w:val="0"/>
          <w:numId w:val="40"/>
        </w:numPr>
        <w:tabs>
          <w:tab w:val="left" w:pos="-2268"/>
        </w:tabs>
        <w:suppressAutoHyphens/>
        <w:ind w:left="567" w:hanging="567"/>
        <w:rPr>
          <w:spacing w:val="-3"/>
        </w:rPr>
      </w:pPr>
      <w:r w:rsidRPr="004068F6">
        <w:rPr>
          <w:spacing w:val="-3"/>
        </w:rPr>
        <w:t>Análisis de riesgos.</w:t>
      </w:r>
    </w:p>
    <w:p w14:paraId="1E7F4A3E" w14:textId="77777777" w:rsidR="00642E22" w:rsidRPr="004068F6" w:rsidRDefault="00642E22" w:rsidP="00642E22">
      <w:pPr>
        <w:numPr>
          <w:ilvl w:val="12"/>
          <w:numId w:val="0"/>
        </w:numPr>
        <w:tabs>
          <w:tab w:val="left" w:pos="-2268"/>
        </w:tabs>
        <w:suppressAutoHyphens/>
        <w:rPr>
          <w:spacing w:val="-3"/>
        </w:rPr>
      </w:pPr>
    </w:p>
    <w:p w14:paraId="144FF4E8" w14:textId="065CD5EB" w:rsidR="00642E22" w:rsidRPr="00127BD4" w:rsidRDefault="00642E22" w:rsidP="00642E22">
      <w:pPr>
        <w:pStyle w:val="Prrafodelista"/>
        <w:tabs>
          <w:tab w:val="left" w:pos="-2268"/>
        </w:tabs>
        <w:suppressAutoHyphens/>
        <w:ind w:left="0"/>
        <w:rPr>
          <w:spacing w:val="-3"/>
          <w:lang w:val="es-CO"/>
        </w:rPr>
      </w:pPr>
      <w:r w:rsidRPr="00127BD4">
        <w:rPr>
          <w:spacing w:val="-3"/>
          <w:lang w:val="es-CO"/>
        </w:rPr>
        <w:t xml:space="preserve">Al finalizar cada jornada se debe dar un balance sintético de los temas abordados, de las inquietudes manifestadas y de los aportes recibidos; asimismo, se debe mencionar la forma en que se incorporarán en el DAA los </w:t>
      </w:r>
      <w:r w:rsidR="000E0311" w:rsidRPr="00127BD4">
        <w:rPr>
          <w:spacing w:val="-3"/>
          <w:lang w:val="es-CO"/>
        </w:rPr>
        <w:t xml:space="preserve">resultados </w:t>
      </w:r>
      <w:r w:rsidRPr="00127BD4">
        <w:rPr>
          <w:spacing w:val="-3"/>
          <w:lang w:val="es-CO"/>
        </w:rPr>
        <w:t>alcanzados durante el espacio</w:t>
      </w:r>
      <w:r w:rsidR="00FF7062" w:rsidRPr="00127BD4">
        <w:rPr>
          <w:spacing w:val="-3"/>
          <w:lang w:val="es-CO"/>
        </w:rPr>
        <w:t xml:space="preserve"> y</w:t>
      </w:r>
      <w:r w:rsidR="00C725E7" w:rsidRPr="00127BD4">
        <w:rPr>
          <w:spacing w:val="-3"/>
          <w:lang w:val="es-CO"/>
        </w:rPr>
        <w:t xml:space="preserve">, </w:t>
      </w:r>
      <w:r w:rsidRPr="00127BD4">
        <w:rPr>
          <w:spacing w:val="-3"/>
          <w:lang w:val="es-CO"/>
        </w:rPr>
        <w:t xml:space="preserve">señalar que las consideraciones, observaciones y aportes son sujetos de análisis </w:t>
      </w:r>
      <w:r w:rsidR="00821348" w:rsidRPr="00127BD4">
        <w:rPr>
          <w:spacing w:val="-3"/>
          <w:lang w:val="es-CO"/>
        </w:rPr>
        <w:t xml:space="preserve">por parte </w:t>
      </w:r>
      <w:r w:rsidR="00FF4BFE" w:rsidRPr="00127BD4">
        <w:rPr>
          <w:spacing w:val="-3"/>
          <w:lang w:val="es-CO"/>
        </w:rPr>
        <w:t xml:space="preserve">elaborador del estudio </w:t>
      </w:r>
      <w:r w:rsidRPr="00127BD4">
        <w:rPr>
          <w:spacing w:val="-3"/>
          <w:lang w:val="es-CO"/>
        </w:rPr>
        <w:t>para determinar su pertinencia.</w:t>
      </w:r>
      <w:r w:rsidR="001B11ED" w:rsidRPr="00127BD4">
        <w:rPr>
          <w:spacing w:val="-3"/>
          <w:lang w:val="es-CO"/>
        </w:rPr>
        <w:t xml:space="preserve"> Esta información debe ser divulgada a través de los medios idóneos, con el fin de que los grupos de interés conozcan y tengan claridad de los resultados de estas jornadas.</w:t>
      </w:r>
    </w:p>
    <w:p w14:paraId="44A57F7B" w14:textId="77777777" w:rsidR="0054797C" w:rsidRDefault="0054797C" w:rsidP="00642E22">
      <w:pPr>
        <w:numPr>
          <w:ilvl w:val="12"/>
          <w:numId w:val="0"/>
        </w:numPr>
        <w:tabs>
          <w:tab w:val="left" w:pos="-2268"/>
        </w:tabs>
        <w:suppressAutoHyphens/>
        <w:rPr>
          <w:spacing w:val="-3"/>
        </w:rPr>
      </w:pPr>
    </w:p>
    <w:p w14:paraId="1B6C8090" w14:textId="77777777" w:rsidR="000837B3" w:rsidRDefault="000837B3" w:rsidP="00642E22">
      <w:pPr>
        <w:numPr>
          <w:ilvl w:val="12"/>
          <w:numId w:val="0"/>
        </w:numPr>
        <w:tabs>
          <w:tab w:val="left" w:pos="-2268"/>
        </w:tabs>
        <w:suppressAutoHyphens/>
        <w:rPr>
          <w:spacing w:val="-3"/>
        </w:rPr>
      </w:pPr>
    </w:p>
    <w:p w14:paraId="31D34B4B" w14:textId="77777777" w:rsidR="000837B3" w:rsidRPr="004068F6" w:rsidRDefault="000837B3" w:rsidP="00642E22">
      <w:pPr>
        <w:numPr>
          <w:ilvl w:val="12"/>
          <w:numId w:val="0"/>
        </w:numPr>
        <w:tabs>
          <w:tab w:val="left" w:pos="-2268"/>
        </w:tabs>
        <w:suppressAutoHyphens/>
        <w:rPr>
          <w:spacing w:val="-3"/>
        </w:rPr>
      </w:pPr>
    </w:p>
    <w:p w14:paraId="0FA8D45F" w14:textId="77777777" w:rsidR="00642E22" w:rsidRPr="00B81EC8" w:rsidRDefault="00642E22" w:rsidP="000A1E20">
      <w:pPr>
        <w:pStyle w:val="Ttulo3"/>
      </w:pPr>
      <w:bookmarkStart w:id="1997" w:name="_Toc230879578"/>
      <w:r w:rsidRPr="00B81EC8">
        <w:lastRenderedPageBreak/>
        <w:t>Análisis de resultados</w:t>
      </w:r>
      <w:bookmarkEnd w:id="1997"/>
    </w:p>
    <w:p w14:paraId="5AE8042C" w14:textId="77777777" w:rsidR="00642E22" w:rsidRPr="00127BD4" w:rsidRDefault="00642E22" w:rsidP="00642E22"/>
    <w:p w14:paraId="11F4E6A7" w14:textId="147B1FC9" w:rsidR="00642E22" w:rsidRPr="00127BD4" w:rsidRDefault="00642E22" w:rsidP="00642E22">
      <w:pPr>
        <w:suppressAutoHyphens/>
        <w:overflowPunct/>
        <w:autoSpaceDE/>
        <w:autoSpaceDN/>
        <w:adjustRightInd/>
        <w:textAlignment w:val="auto"/>
      </w:pPr>
      <w:r w:rsidRPr="00127BD4">
        <w:t xml:space="preserve">En esta </w:t>
      </w:r>
      <w:r w:rsidR="00720F8E">
        <w:t>fase</w:t>
      </w:r>
      <w:r w:rsidRPr="00127BD4">
        <w:t xml:space="preserve"> del proceso la información obtenida en los espacios de diálogo se consolida, analiza e incorpora al DAA según su pertinencia dadas las características ambientales del área de estudio y las particularidades del proyecto, obra o actividad y sus alternativas.</w:t>
      </w:r>
      <w:r w:rsidRPr="004068F6">
        <w:rPr>
          <w:spacing w:val="-3"/>
        </w:rPr>
        <w:t xml:space="preserve"> El análisis debe procurar mantener el contenido textual de las intervenciones y señalar la forma en que tales opiniones son interpretadas por el elaborador del estudio, así como </w:t>
      </w:r>
      <w:r w:rsidRPr="00127BD4">
        <w:t xml:space="preserve">indicar cómo se </w:t>
      </w:r>
      <w:r w:rsidR="001E0256" w:rsidRPr="00127BD4">
        <w:t xml:space="preserve">incorporan </w:t>
      </w:r>
      <w:r w:rsidRPr="00127BD4">
        <w:t xml:space="preserve">al DAA los </w:t>
      </w:r>
      <w:r w:rsidRPr="004068F6">
        <w:rPr>
          <w:rFonts w:cs="Arial"/>
          <w:spacing w:val="-3"/>
        </w:rPr>
        <w:t>aportes</w:t>
      </w:r>
      <w:r w:rsidR="0089666C" w:rsidRPr="00127BD4">
        <w:rPr>
          <w:rFonts w:cs="Arial"/>
          <w:spacing w:val="-3"/>
        </w:rPr>
        <w:t xml:space="preserve"> e insumos obtenidos en el proceso participativo</w:t>
      </w:r>
      <w:r w:rsidRPr="00127BD4">
        <w:t xml:space="preserve">, </w:t>
      </w:r>
      <w:r w:rsidRPr="004068F6">
        <w:rPr>
          <w:rFonts w:cs="Arial"/>
          <w:spacing w:val="-3"/>
        </w:rPr>
        <w:t>cuáles de éstos no se incorporan y las razones que llevaron a prescindir de tales insumos.</w:t>
      </w:r>
    </w:p>
    <w:p w14:paraId="7B413FE6" w14:textId="77777777" w:rsidR="00642E22" w:rsidRPr="00127BD4" w:rsidRDefault="00642E22" w:rsidP="00642E22">
      <w:pPr>
        <w:tabs>
          <w:tab w:val="left" w:pos="-2268"/>
        </w:tabs>
        <w:suppressAutoHyphens/>
        <w:overflowPunct/>
        <w:autoSpaceDE/>
        <w:autoSpaceDN/>
        <w:adjustRightInd/>
        <w:textAlignment w:val="auto"/>
      </w:pPr>
    </w:p>
    <w:p w14:paraId="113D5358" w14:textId="11549A7A" w:rsidR="00642E22" w:rsidRPr="004068F6" w:rsidRDefault="00642E22" w:rsidP="00642E22">
      <w:pPr>
        <w:overflowPunct/>
        <w:autoSpaceDE/>
        <w:autoSpaceDN/>
        <w:adjustRightInd/>
        <w:ind w:right="57"/>
        <w:textAlignment w:val="auto"/>
        <w:rPr>
          <w:rFonts w:cs="Arial"/>
        </w:rPr>
      </w:pPr>
      <w:r w:rsidRPr="004068F6">
        <w:rPr>
          <w:rFonts w:cs="Arial"/>
        </w:rPr>
        <w:t xml:space="preserve">El análisis de </w:t>
      </w:r>
      <w:r w:rsidR="00D02670" w:rsidRPr="004068F6">
        <w:rPr>
          <w:rFonts w:cs="Arial"/>
        </w:rPr>
        <w:t xml:space="preserve">los </w:t>
      </w:r>
      <w:r w:rsidRPr="004068F6">
        <w:rPr>
          <w:rFonts w:cs="Arial"/>
        </w:rPr>
        <w:t xml:space="preserve">resultados </w:t>
      </w:r>
      <w:r w:rsidR="00E80C8E" w:rsidRPr="004068F6">
        <w:rPr>
          <w:rFonts w:cs="Arial"/>
        </w:rPr>
        <w:t xml:space="preserve">del proceso de participación además de complementar la información </w:t>
      </w:r>
      <w:r w:rsidRPr="004068F6">
        <w:rPr>
          <w:rFonts w:cs="Arial"/>
        </w:rPr>
        <w:t>del DAA sobre los que se consultó de forma directa (caracterización ambiental, determinación y valoración de impactos, análisis costo beneficio</w:t>
      </w:r>
      <w:r w:rsidR="00995D59" w:rsidRPr="004068F6">
        <w:rPr>
          <w:rFonts w:cs="Arial"/>
        </w:rPr>
        <w:t>,</w:t>
      </w:r>
      <w:r w:rsidRPr="004068F6">
        <w:rPr>
          <w:rFonts w:cs="Arial"/>
        </w:rPr>
        <w:t xml:space="preserve"> análisis de riesgos</w:t>
      </w:r>
      <w:r w:rsidR="005C76B4" w:rsidRPr="004068F6">
        <w:rPr>
          <w:rFonts w:cs="Arial"/>
        </w:rPr>
        <w:t xml:space="preserve"> y otros temas consultados</w:t>
      </w:r>
      <w:r w:rsidRPr="004068F6">
        <w:rPr>
          <w:rFonts w:cs="Arial"/>
        </w:rPr>
        <w:t>), posibilita también complementar otros numerales como la zonificación ambiental y la evaluación y comparación de alternativas.</w:t>
      </w:r>
    </w:p>
    <w:p w14:paraId="3AAA8D77" w14:textId="77777777" w:rsidR="00642E22" w:rsidRPr="00127BD4" w:rsidRDefault="00642E22" w:rsidP="00642E22"/>
    <w:p w14:paraId="3C01EB4B" w14:textId="77777777" w:rsidR="00642E22" w:rsidRPr="00127BD4" w:rsidRDefault="00642E22" w:rsidP="00642E22">
      <w:pPr>
        <w:pStyle w:val="Ttulo2"/>
        <w:rPr>
          <w:lang w:val="es-CO"/>
        </w:rPr>
      </w:pPr>
      <w:bookmarkStart w:id="1998" w:name="_Toc230879579"/>
      <w:r w:rsidRPr="00127BD4">
        <w:rPr>
          <w:lang w:val="es-CO"/>
        </w:rPr>
        <w:t>SOPORTES Y EVIDENCIAS DEL PROCESO DE PARTICIPACIÓN</w:t>
      </w:r>
      <w:bookmarkEnd w:id="1998"/>
    </w:p>
    <w:p w14:paraId="30AC66A7" w14:textId="77777777" w:rsidR="00642E22" w:rsidRPr="00127BD4" w:rsidRDefault="00642E22" w:rsidP="00642E22"/>
    <w:p w14:paraId="60EAD64E" w14:textId="314DC500" w:rsidR="00642E22" w:rsidRPr="00127BD4" w:rsidRDefault="00642E22" w:rsidP="00642E22">
      <w:r w:rsidRPr="00127BD4">
        <w:t xml:space="preserve">En aras de dar transparencia, trazabilidad y confianza al proceso de participación, </w:t>
      </w:r>
      <w:r w:rsidRPr="004068F6">
        <w:rPr>
          <w:rFonts w:cs="Arial"/>
          <w:spacing w:val="-3"/>
        </w:rPr>
        <w:t xml:space="preserve">deben anexarse al </w:t>
      </w:r>
      <w:r w:rsidR="00AF39DD" w:rsidRPr="004068F6">
        <w:rPr>
          <w:rFonts w:cs="Arial"/>
          <w:spacing w:val="-3"/>
        </w:rPr>
        <w:t xml:space="preserve">DAA </w:t>
      </w:r>
      <w:r w:rsidRPr="004068F6">
        <w:rPr>
          <w:rFonts w:cs="Arial"/>
          <w:spacing w:val="-3"/>
        </w:rPr>
        <w:t>como mínimo los siguientes soportes.</w:t>
      </w:r>
    </w:p>
    <w:p w14:paraId="2C2C4CAC" w14:textId="77777777" w:rsidR="00642E22" w:rsidRPr="00127BD4" w:rsidRDefault="00642E22" w:rsidP="00642E22"/>
    <w:p w14:paraId="3A863043" w14:textId="77777777" w:rsidR="00642E22" w:rsidRPr="004068F6" w:rsidRDefault="00642E22" w:rsidP="00642E22">
      <w:pPr>
        <w:pStyle w:val="Prrafodelista"/>
        <w:numPr>
          <w:ilvl w:val="0"/>
          <w:numId w:val="680"/>
        </w:numPr>
        <w:tabs>
          <w:tab w:val="left" w:pos="-2268"/>
        </w:tabs>
        <w:suppressAutoHyphens/>
        <w:ind w:left="567" w:hanging="567"/>
        <w:rPr>
          <w:spacing w:val="-3"/>
          <w:lang w:val="es-CO"/>
        </w:rPr>
      </w:pPr>
      <w:r w:rsidRPr="004068F6">
        <w:rPr>
          <w:spacing w:val="-3"/>
          <w:lang w:val="es-CO"/>
        </w:rPr>
        <w:t>Correspondencia u otros soportes de los mecanismos empleados para realizar las convocatorias.</w:t>
      </w:r>
    </w:p>
    <w:p w14:paraId="76F09CBC" w14:textId="77777777" w:rsidR="0085135F" w:rsidRPr="004068F6" w:rsidRDefault="0085135F" w:rsidP="0085135F">
      <w:pPr>
        <w:tabs>
          <w:tab w:val="left" w:pos="-2268"/>
        </w:tabs>
        <w:suppressAutoHyphens/>
        <w:rPr>
          <w:spacing w:val="-3"/>
        </w:rPr>
      </w:pPr>
    </w:p>
    <w:p w14:paraId="07B9DE0C" w14:textId="0F8B5629" w:rsidR="0085135F" w:rsidRPr="004068F6" w:rsidRDefault="007256EC" w:rsidP="0085135F">
      <w:pPr>
        <w:pStyle w:val="Prrafodelista"/>
        <w:numPr>
          <w:ilvl w:val="0"/>
          <w:numId w:val="680"/>
        </w:numPr>
        <w:tabs>
          <w:tab w:val="left" w:pos="-2268"/>
        </w:tabs>
        <w:suppressAutoHyphens/>
        <w:ind w:left="567" w:hanging="567"/>
        <w:rPr>
          <w:spacing w:val="-3"/>
          <w:lang w:val="es-CO"/>
        </w:rPr>
      </w:pPr>
      <w:r w:rsidRPr="004068F6">
        <w:rPr>
          <w:spacing w:val="-3"/>
          <w:lang w:val="es-CO"/>
        </w:rPr>
        <w:t>Documentos, archivos</w:t>
      </w:r>
      <w:r w:rsidR="00820816" w:rsidRPr="004068F6">
        <w:rPr>
          <w:spacing w:val="-3"/>
          <w:lang w:val="es-CO"/>
        </w:rPr>
        <w:t>, comunicaciones u otros s</w:t>
      </w:r>
      <w:r w:rsidR="0085135F" w:rsidRPr="00127BD4">
        <w:rPr>
          <w:spacing w:val="-3"/>
          <w:lang w:val="es-CO"/>
        </w:rPr>
        <w:t>oportes de la puesta en disposición a los grupos de interés de la información disponible sobre el proyecto y sus alternativas, especificando, lugares, fechas</w:t>
      </w:r>
      <w:r w:rsidR="0085135F" w:rsidRPr="00FE1B78">
        <w:rPr>
          <w:lang w:val="es-CO"/>
        </w:rPr>
        <w:t xml:space="preserve"> y periodos en que </w:t>
      </w:r>
      <w:r w:rsidR="000E02AD" w:rsidRPr="00FE1B78">
        <w:rPr>
          <w:lang w:val="es-CO"/>
        </w:rPr>
        <w:t>é</w:t>
      </w:r>
      <w:r w:rsidR="0085135F" w:rsidRPr="00FE1B78">
        <w:rPr>
          <w:lang w:val="es-CO"/>
        </w:rPr>
        <w:t>sta pudo ser consultada.</w:t>
      </w:r>
    </w:p>
    <w:p w14:paraId="48F642A5" w14:textId="77777777" w:rsidR="00642E22" w:rsidRPr="004068F6" w:rsidRDefault="00642E22" w:rsidP="00642E22">
      <w:pPr>
        <w:tabs>
          <w:tab w:val="left" w:pos="-2268"/>
        </w:tabs>
        <w:suppressAutoHyphens/>
        <w:rPr>
          <w:spacing w:val="-3"/>
        </w:rPr>
      </w:pPr>
    </w:p>
    <w:p w14:paraId="2D28B04C" w14:textId="380CCEB7" w:rsidR="00265ACE" w:rsidRPr="00E64F04" w:rsidRDefault="00265ACE" w:rsidP="00127BD4">
      <w:pPr>
        <w:pStyle w:val="Prrafodelista"/>
        <w:numPr>
          <w:ilvl w:val="0"/>
          <w:numId w:val="680"/>
        </w:numPr>
        <w:tabs>
          <w:tab w:val="left" w:pos="-2268"/>
        </w:tabs>
        <w:suppressAutoHyphens/>
        <w:ind w:left="567" w:hanging="567"/>
        <w:rPr>
          <w:spacing w:val="-3"/>
        </w:rPr>
      </w:pPr>
      <w:r w:rsidRPr="00CD4321">
        <w:rPr>
          <w:spacing w:val="-3"/>
          <w:lang w:val="es-CO"/>
        </w:rPr>
        <w:t xml:space="preserve">Instrumentos y métodos de participación diseñados (numeral </w:t>
      </w:r>
      <w:r w:rsidRPr="00FE1B78">
        <w:rPr>
          <w:spacing w:val="-3"/>
          <w:lang w:val="es-CO"/>
        </w:rPr>
        <w:fldChar w:fldCharType="begin"/>
      </w:r>
      <w:r w:rsidRPr="00CD4321">
        <w:rPr>
          <w:spacing w:val="-3"/>
          <w:lang w:val="es-CO"/>
        </w:rPr>
        <w:instrText xml:space="preserve"> REF _Ref161829324 \r \h  \* MERGEFORMAT </w:instrText>
      </w:r>
      <w:r w:rsidRPr="00FE1B78">
        <w:rPr>
          <w:spacing w:val="-3"/>
          <w:lang w:val="es-CO"/>
        </w:rPr>
      </w:r>
      <w:r w:rsidRPr="00FE1B78">
        <w:rPr>
          <w:spacing w:val="-3"/>
          <w:lang w:val="es-CO"/>
        </w:rPr>
        <w:fldChar w:fldCharType="separate"/>
      </w:r>
      <w:r w:rsidR="009C4A81">
        <w:rPr>
          <w:spacing w:val="-3"/>
          <w:lang w:val="es-CO"/>
        </w:rPr>
        <w:t>3.2.1</w:t>
      </w:r>
      <w:r w:rsidRPr="00FE1B78">
        <w:rPr>
          <w:spacing w:val="-3"/>
          <w:lang w:val="es-CO"/>
        </w:rPr>
        <w:fldChar w:fldCharType="end"/>
      </w:r>
      <w:r w:rsidRPr="00CD4321">
        <w:rPr>
          <w:spacing w:val="-3"/>
          <w:lang w:val="es-CO"/>
        </w:rPr>
        <w:t>) para la comunidad en general y para la población vulnerable</w:t>
      </w:r>
      <w:r w:rsidR="00103DD9" w:rsidRPr="00CD4321">
        <w:rPr>
          <w:spacing w:val="-3"/>
          <w:lang w:val="es-CO"/>
        </w:rPr>
        <w:t>.</w:t>
      </w:r>
    </w:p>
    <w:p w14:paraId="75779E90" w14:textId="77777777" w:rsidR="002069B6" w:rsidRPr="00E64F04" w:rsidRDefault="002069B6" w:rsidP="00E64F04">
      <w:pPr>
        <w:rPr>
          <w:spacing w:val="-3"/>
        </w:rPr>
      </w:pPr>
    </w:p>
    <w:p w14:paraId="624112B5" w14:textId="2B7FBEB8" w:rsidR="002069B6" w:rsidRPr="00E64F04" w:rsidRDefault="00474562" w:rsidP="004E26D3">
      <w:pPr>
        <w:pStyle w:val="Prrafodelista"/>
        <w:numPr>
          <w:ilvl w:val="0"/>
          <w:numId w:val="680"/>
        </w:numPr>
        <w:tabs>
          <w:tab w:val="left" w:pos="-2268"/>
        </w:tabs>
        <w:suppressAutoHyphens/>
        <w:ind w:left="567" w:hanging="567"/>
        <w:rPr>
          <w:spacing w:val="-3"/>
          <w:lang w:val="es-CO"/>
        </w:rPr>
      </w:pPr>
      <w:r w:rsidRPr="00E64F04">
        <w:rPr>
          <w:spacing w:val="-3"/>
          <w:lang w:val="es-CO"/>
        </w:rPr>
        <w:t>Sistematización de las inquietudes, consideraciones, observaciones, aportes y comentarios realizados por los grupos de interés</w:t>
      </w:r>
      <w:r w:rsidR="003D2455">
        <w:rPr>
          <w:spacing w:val="-3"/>
          <w:lang w:val="es-CO"/>
        </w:rPr>
        <w:t xml:space="preserve"> </w:t>
      </w:r>
      <w:r w:rsidR="003D2455" w:rsidRPr="003F55A7">
        <w:rPr>
          <w:spacing w:val="-3"/>
          <w:lang w:val="es-CO"/>
        </w:rPr>
        <w:t>durante los espacios de participación</w:t>
      </w:r>
      <w:r w:rsidR="00225A27">
        <w:rPr>
          <w:spacing w:val="-3"/>
          <w:lang w:val="es-CO"/>
        </w:rPr>
        <w:t xml:space="preserve">. </w:t>
      </w:r>
      <w:r w:rsidR="00675B91">
        <w:rPr>
          <w:spacing w:val="-3"/>
          <w:lang w:val="es-CO"/>
        </w:rPr>
        <w:t xml:space="preserve">Estos </w:t>
      </w:r>
      <w:r w:rsidRPr="00E64F04">
        <w:rPr>
          <w:spacing w:val="-3"/>
          <w:lang w:val="es-CO"/>
        </w:rPr>
        <w:t xml:space="preserve">insumos </w:t>
      </w:r>
      <w:r w:rsidR="00DD11C2">
        <w:rPr>
          <w:spacing w:val="-3"/>
          <w:lang w:val="es-CO"/>
        </w:rPr>
        <w:t xml:space="preserve">deben ser analizados </w:t>
      </w:r>
      <w:r w:rsidRPr="00E64F04">
        <w:rPr>
          <w:spacing w:val="-3"/>
          <w:lang w:val="es-CO"/>
        </w:rPr>
        <w:t xml:space="preserve">indicando cómo y cuáles se incorporan o no al DAA y las razones que llevan a prescindir de </w:t>
      </w:r>
      <w:r w:rsidR="003E59A4">
        <w:rPr>
          <w:spacing w:val="-3"/>
          <w:lang w:val="es-CO"/>
        </w:rPr>
        <w:t>ellos</w:t>
      </w:r>
      <w:r w:rsidRPr="00E64F04">
        <w:rPr>
          <w:spacing w:val="-3"/>
          <w:lang w:val="es-CO"/>
        </w:rPr>
        <w:t>.</w:t>
      </w:r>
      <w:r w:rsidR="009B4DFD">
        <w:rPr>
          <w:spacing w:val="-3"/>
          <w:lang w:val="es-CO"/>
        </w:rPr>
        <w:t xml:space="preserve"> </w:t>
      </w:r>
      <w:r w:rsidR="00D4536C">
        <w:rPr>
          <w:spacing w:val="-3"/>
          <w:lang w:val="es-CO"/>
        </w:rPr>
        <w:t xml:space="preserve">Esta sistematización </w:t>
      </w:r>
      <w:r w:rsidR="00675B91">
        <w:rPr>
          <w:spacing w:val="-3"/>
          <w:lang w:val="es-CO"/>
        </w:rPr>
        <w:t xml:space="preserve">y análisis </w:t>
      </w:r>
      <w:r w:rsidR="00D4536C">
        <w:rPr>
          <w:spacing w:val="-3"/>
          <w:lang w:val="es-CO"/>
        </w:rPr>
        <w:t>d</w:t>
      </w:r>
      <w:r w:rsidR="003E59A4">
        <w:rPr>
          <w:spacing w:val="-3"/>
          <w:lang w:val="es-CO"/>
        </w:rPr>
        <w:t xml:space="preserve">ebe </w:t>
      </w:r>
      <w:r w:rsidR="00D4536C">
        <w:rPr>
          <w:spacing w:val="-3"/>
          <w:lang w:val="es-CO"/>
        </w:rPr>
        <w:t xml:space="preserve">tener </w:t>
      </w:r>
      <w:r w:rsidR="003E59A4">
        <w:rPr>
          <w:spacing w:val="-3"/>
          <w:lang w:val="es-CO"/>
        </w:rPr>
        <w:t xml:space="preserve">un </w:t>
      </w:r>
      <w:r w:rsidR="009B4DFD" w:rsidRPr="003F55A7">
        <w:rPr>
          <w:spacing w:val="-3"/>
          <w:lang w:val="es-CO"/>
        </w:rPr>
        <w:t xml:space="preserve">formato de fácil comprensión y </w:t>
      </w:r>
      <w:r w:rsidR="00D4536C">
        <w:rPr>
          <w:spacing w:val="-3"/>
          <w:lang w:val="es-CO"/>
        </w:rPr>
        <w:t xml:space="preserve">un </w:t>
      </w:r>
      <w:r w:rsidR="009B4DFD" w:rsidRPr="003F55A7">
        <w:rPr>
          <w:spacing w:val="-3"/>
          <w:lang w:val="es-CO"/>
        </w:rPr>
        <w:t>lenguaje</w:t>
      </w:r>
      <w:r w:rsidR="00F97F9B">
        <w:rPr>
          <w:spacing w:val="-3"/>
          <w:lang w:val="es-CO"/>
        </w:rPr>
        <w:t xml:space="preserve"> sencillo</w:t>
      </w:r>
      <w:r w:rsidR="003E59A4">
        <w:rPr>
          <w:spacing w:val="-3"/>
          <w:lang w:val="es-CO"/>
        </w:rPr>
        <w:t>.</w:t>
      </w:r>
    </w:p>
    <w:p w14:paraId="3FA741F8" w14:textId="77777777" w:rsidR="00265ACE" w:rsidRPr="004068F6" w:rsidRDefault="00265ACE" w:rsidP="00642E22">
      <w:pPr>
        <w:tabs>
          <w:tab w:val="left" w:pos="-2268"/>
        </w:tabs>
        <w:suppressAutoHyphens/>
        <w:rPr>
          <w:spacing w:val="-3"/>
        </w:rPr>
      </w:pPr>
    </w:p>
    <w:p w14:paraId="2A6798A6" w14:textId="77777777" w:rsidR="00642E22" w:rsidRPr="00127BD4" w:rsidRDefault="00642E22" w:rsidP="00642E22">
      <w:pPr>
        <w:pStyle w:val="Prrafodelista"/>
        <w:numPr>
          <w:ilvl w:val="0"/>
          <w:numId w:val="680"/>
        </w:numPr>
        <w:tabs>
          <w:tab w:val="left" w:pos="-2268"/>
        </w:tabs>
        <w:suppressAutoHyphens/>
        <w:ind w:left="567" w:hanging="567"/>
        <w:rPr>
          <w:lang w:val="es-CO"/>
        </w:rPr>
      </w:pPr>
      <w:r w:rsidRPr="004068F6">
        <w:rPr>
          <w:spacing w:val="-3"/>
          <w:lang w:val="es-CO"/>
        </w:rPr>
        <w:lastRenderedPageBreak/>
        <w:t xml:space="preserve">Actas y ayudas de memoria de las reuniones, talleres y demás espacios participativos. Estos documentos </w:t>
      </w:r>
      <w:r w:rsidRPr="00127BD4">
        <w:rPr>
          <w:lang w:val="es-CO"/>
        </w:rPr>
        <w:t>deben señalar por lo menos lo siguiente:</w:t>
      </w:r>
    </w:p>
    <w:p w14:paraId="6357D093" w14:textId="77777777" w:rsidR="00642E22" w:rsidRPr="00127BD4" w:rsidRDefault="00642E22" w:rsidP="00642E22"/>
    <w:p w14:paraId="3AE9810D" w14:textId="77777777" w:rsidR="00642E22" w:rsidRPr="004068F6" w:rsidRDefault="00642E22" w:rsidP="00642E22">
      <w:pPr>
        <w:pStyle w:val="Prrafodelista"/>
        <w:numPr>
          <w:ilvl w:val="0"/>
          <w:numId w:val="363"/>
        </w:numPr>
        <w:ind w:left="1134" w:hanging="567"/>
        <w:rPr>
          <w:rFonts w:cs="Arial"/>
          <w:lang w:val="es-CO"/>
        </w:rPr>
      </w:pPr>
      <w:r w:rsidRPr="004068F6">
        <w:rPr>
          <w:lang w:val="es-CO"/>
        </w:rPr>
        <w:t xml:space="preserve">Fecha </w:t>
      </w:r>
      <w:r w:rsidRPr="004068F6">
        <w:rPr>
          <w:rFonts w:cs="Arial"/>
          <w:lang w:val="es-CO"/>
        </w:rPr>
        <w:t>y lugar de realización del evento.</w:t>
      </w:r>
    </w:p>
    <w:p w14:paraId="2B08ADE9" w14:textId="77777777" w:rsidR="00642E22" w:rsidRPr="004068F6" w:rsidRDefault="00642E22" w:rsidP="00642E22"/>
    <w:p w14:paraId="0704837D" w14:textId="77777777" w:rsidR="00642E22" w:rsidRPr="004068F6" w:rsidRDefault="00642E22" w:rsidP="00642E22">
      <w:pPr>
        <w:pStyle w:val="Prrafodelista"/>
        <w:numPr>
          <w:ilvl w:val="0"/>
          <w:numId w:val="363"/>
        </w:numPr>
        <w:ind w:left="1134" w:hanging="567"/>
        <w:rPr>
          <w:rFonts w:cs="Arial"/>
          <w:lang w:val="es-CO"/>
        </w:rPr>
      </w:pPr>
      <w:r w:rsidRPr="004068F6">
        <w:rPr>
          <w:lang w:val="es-CO"/>
        </w:rPr>
        <w:t xml:space="preserve">Objetivo </w:t>
      </w:r>
      <w:r w:rsidRPr="004068F6">
        <w:rPr>
          <w:rFonts w:cs="Arial"/>
          <w:lang w:val="es-CO"/>
        </w:rPr>
        <w:t>del espacio participativo.</w:t>
      </w:r>
    </w:p>
    <w:p w14:paraId="5334FC98" w14:textId="77777777" w:rsidR="00642E22" w:rsidRPr="004068F6" w:rsidRDefault="00642E22" w:rsidP="00642E22">
      <w:pPr>
        <w:rPr>
          <w:rFonts w:cs="Arial"/>
        </w:rPr>
      </w:pPr>
    </w:p>
    <w:p w14:paraId="19243A6B" w14:textId="66B56D1F" w:rsidR="00CF1486" w:rsidRPr="004068F6" w:rsidRDefault="00CF1486" w:rsidP="00127BD4">
      <w:pPr>
        <w:pStyle w:val="Prrafodelista"/>
        <w:numPr>
          <w:ilvl w:val="0"/>
          <w:numId w:val="363"/>
        </w:numPr>
        <w:ind w:left="1134" w:hanging="567"/>
        <w:rPr>
          <w:lang w:val="es-CO"/>
        </w:rPr>
      </w:pPr>
      <w:r w:rsidRPr="004068F6">
        <w:rPr>
          <w:lang w:val="es-CO"/>
        </w:rPr>
        <w:t>Cantidad de participantes y características generales de la población, considerando enfoques diferenciales.</w:t>
      </w:r>
    </w:p>
    <w:p w14:paraId="05405F4F" w14:textId="77777777" w:rsidR="00CF1486" w:rsidRPr="004068F6" w:rsidRDefault="00CF1486" w:rsidP="00127BD4">
      <w:pPr>
        <w:rPr>
          <w:rFonts w:cs="Arial"/>
        </w:rPr>
      </w:pPr>
    </w:p>
    <w:p w14:paraId="32CB372D" w14:textId="448A9901" w:rsidR="00642E22" w:rsidRPr="004068F6" w:rsidRDefault="00642E22" w:rsidP="00642E22">
      <w:pPr>
        <w:pStyle w:val="Prrafodelista"/>
        <w:numPr>
          <w:ilvl w:val="0"/>
          <w:numId w:val="363"/>
        </w:numPr>
        <w:ind w:left="1134" w:hanging="567"/>
        <w:rPr>
          <w:rFonts w:cs="Arial"/>
          <w:lang w:val="es-CO"/>
        </w:rPr>
      </w:pPr>
      <w:r w:rsidRPr="004068F6">
        <w:rPr>
          <w:rFonts w:cs="Arial"/>
          <w:lang w:val="es-CO"/>
        </w:rPr>
        <w:t>Temas abordados.</w:t>
      </w:r>
    </w:p>
    <w:p w14:paraId="391078AA" w14:textId="77777777" w:rsidR="00642E22" w:rsidRPr="004068F6" w:rsidRDefault="00642E22" w:rsidP="00642E22">
      <w:pPr>
        <w:rPr>
          <w:rFonts w:cs="Arial"/>
        </w:rPr>
      </w:pPr>
    </w:p>
    <w:p w14:paraId="47F1D7E4" w14:textId="77777777" w:rsidR="00642E22" w:rsidRPr="004068F6" w:rsidRDefault="00642E22" w:rsidP="00642E22">
      <w:pPr>
        <w:pStyle w:val="Prrafodelista"/>
        <w:numPr>
          <w:ilvl w:val="0"/>
          <w:numId w:val="363"/>
        </w:numPr>
        <w:ind w:left="1134" w:hanging="567"/>
        <w:rPr>
          <w:rFonts w:cs="Arial"/>
          <w:lang w:val="es-CO"/>
        </w:rPr>
      </w:pPr>
      <w:r w:rsidRPr="004068F6">
        <w:rPr>
          <w:rFonts w:cs="Arial"/>
          <w:lang w:val="es-CO"/>
        </w:rPr>
        <w:t>Inquietudes, comentarios, sugerencias o aportes de los participantes, así como las respuestas o aclaraciones realizadas por el equipo elaborador del estudio.</w:t>
      </w:r>
    </w:p>
    <w:p w14:paraId="23F42045" w14:textId="77777777" w:rsidR="00642E22" w:rsidRPr="004068F6" w:rsidRDefault="00642E22" w:rsidP="00642E22">
      <w:pPr>
        <w:rPr>
          <w:rFonts w:cs="Arial"/>
        </w:rPr>
      </w:pPr>
    </w:p>
    <w:p w14:paraId="6786B3C2" w14:textId="77777777" w:rsidR="00642E22" w:rsidRPr="004068F6" w:rsidRDefault="00642E22" w:rsidP="00642E22">
      <w:pPr>
        <w:pStyle w:val="Prrafodelista"/>
        <w:numPr>
          <w:ilvl w:val="0"/>
          <w:numId w:val="363"/>
        </w:numPr>
        <w:ind w:left="1134" w:hanging="567"/>
        <w:rPr>
          <w:rFonts w:cs="Arial"/>
          <w:lang w:val="es-CO"/>
        </w:rPr>
      </w:pPr>
      <w:r w:rsidRPr="004068F6">
        <w:rPr>
          <w:rFonts w:cs="Arial"/>
          <w:lang w:val="es-CO"/>
        </w:rPr>
        <w:t>Compromisos adquiridos y acuerdos, si hay lugar a ello.</w:t>
      </w:r>
    </w:p>
    <w:p w14:paraId="35AAF843" w14:textId="77777777" w:rsidR="00642E22" w:rsidRPr="004068F6" w:rsidRDefault="00642E22" w:rsidP="00642E22">
      <w:pPr>
        <w:rPr>
          <w:rFonts w:cs="Arial"/>
        </w:rPr>
      </w:pPr>
    </w:p>
    <w:p w14:paraId="7B02F38F" w14:textId="77777777" w:rsidR="00642E22" w:rsidRPr="004068F6" w:rsidRDefault="00642E22" w:rsidP="00642E22">
      <w:pPr>
        <w:pStyle w:val="Prrafodelista"/>
        <w:numPr>
          <w:ilvl w:val="0"/>
          <w:numId w:val="363"/>
        </w:numPr>
        <w:ind w:left="1134" w:hanging="567"/>
        <w:rPr>
          <w:rFonts w:cs="Arial"/>
          <w:lang w:val="es-CO"/>
        </w:rPr>
      </w:pPr>
      <w:r w:rsidRPr="004068F6">
        <w:rPr>
          <w:rFonts w:cs="Arial"/>
          <w:lang w:val="es-CO"/>
        </w:rPr>
        <w:t>Firma de los representantes de los grupos de interés, del delegado de la autoridad municipal, del Ministerio Público (Personería, Procuraduría, Defensoría del Pueblo) y del representante de la empresa responsable del proyecto, obra o actividad.</w:t>
      </w:r>
    </w:p>
    <w:p w14:paraId="3B46B142" w14:textId="77777777" w:rsidR="00642E22" w:rsidRPr="004068F6" w:rsidRDefault="00642E22" w:rsidP="00642E22">
      <w:pPr>
        <w:rPr>
          <w:rFonts w:cs="Arial"/>
        </w:rPr>
      </w:pPr>
    </w:p>
    <w:p w14:paraId="220AF1A4" w14:textId="7C5C98D3" w:rsidR="00642E22" w:rsidRPr="004068F6" w:rsidRDefault="00642E22" w:rsidP="00642E22">
      <w:pPr>
        <w:pStyle w:val="Prrafodelista"/>
        <w:ind w:left="1134"/>
        <w:rPr>
          <w:rFonts w:cs="Arial"/>
          <w:lang w:val="es-CO"/>
        </w:rPr>
      </w:pPr>
      <w:r w:rsidRPr="004068F6">
        <w:rPr>
          <w:rFonts w:cs="Arial"/>
          <w:lang w:val="es-CO"/>
        </w:rPr>
        <w:t xml:space="preserve">Esto </w:t>
      </w:r>
      <w:r w:rsidRPr="004068F6">
        <w:rPr>
          <w:lang w:val="es-CO"/>
        </w:rPr>
        <w:t>no es exigible en los casos en que los representantes de los grupos de interés se abstengan de firmar o cuando no hagan presencia las autoridades señaladas. En ambos casos se dejará constancia en el acta; cuando los representantes de los grupos de interés se abstengan de firmar, es posible emplear como respaldo las firmas del representante de la autoridad municipal o del Ministerio público que asistan a la reunión.</w:t>
      </w:r>
      <w:r w:rsidR="002F40EA" w:rsidRPr="004068F6">
        <w:rPr>
          <w:lang w:val="es-CO"/>
        </w:rPr>
        <w:t xml:space="preserve"> En cualquier caso, es necesario incluir los soportes de las gestiones y debida diligencia realizada para el proceso de participación.</w:t>
      </w:r>
    </w:p>
    <w:p w14:paraId="18E4F10E" w14:textId="77777777" w:rsidR="00642E22" w:rsidRPr="004068F6" w:rsidRDefault="00642E22" w:rsidP="00642E22">
      <w:pPr>
        <w:tabs>
          <w:tab w:val="left" w:pos="-2268"/>
        </w:tabs>
        <w:suppressAutoHyphens/>
        <w:rPr>
          <w:spacing w:val="-3"/>
        </w:rPr>
      </w:pPr>
    </w:p>
    <w:p w14:paraId="22005CB6" w14:textId="7DAB00DB" w:rsidR="00642E22" w:rsidRPr="004068F6" w:rsidRDefault="00642E22" w:rsidP="00642E22">
      <w:pPr>
        <w:numPr>
          <w:ilvl w:val="12"/>
          <w:numId w:val="0"/>
        </w:numPr>
        <w:tabs>
          <w:tab w:val="left" w:pos="-2268"/>
        </w:tabs>
        <w:suppressAutoHyphens/>
        <w:ind w:left="567"/>
        <w:rPr>
          <w:spacing w:val="-3"/>
        </w:rPr>
      </w:pPr>
      <w:r w:rsidRPr="004068F6">
        <w:rPr>
          <w:spacing w:val="-3"/>
        </w:rPr>
        <w:t xml:space="preserve">Es necesario que las actas </w:t>
      </w:r>
      <w:r w:rsidRPr="004068F6">
        <w:rPr>
          <w:rFonts w:cs="Arial"/>
          <w:spacing w:val="-3"/>
        </w:rPr>
        <w:t>y demás soportes</w:t>
      </w:r>
      <w:r w:rsidRPr="004068F6">
        <w:rPr>
          <w:spacing w:val="-3"/>
        </w:rPr>
        <w:t xml:space="preserve"> sean elaborados </w:t>
      </w:r>
      <w:r w:rsidRPr="004068F6">
        <w:rPr>
          <w:i/>
          <w:spacing w:val="-3"/>
        </w:rPr>
        <w:t>in situ</w:t>
      </w:r>
      <w:r w:rsidRPr="004068F6">
        <w:rPr>
          <w:spacing w:val="-3"/>
        </w:rPr>
        <w:t xml:space="preserve">, </w:t>
      </w:r>
      <w:r w:rsidR="00D4640E" w:rsidRPr="004068F6">
        <w:rPr>
          <w:spacing w:val="-3"/>
        </w:rPr>
        <w:t xml:space="preserve">con lenguaje claro e incluyente y </w:t>
      </w:r>
      <w:r w:rsidRPr="004068F6">
        <w:rPr>
          <w:spacing w:val="-3"/>
        </w:rPr>
        <w:t>letra clara y legible, de manera que puedan ser suscritos por sus participantes y entregados a las autoridades presentes y a los representantes de los grupos de interés una vez finalicen los espacios para los cuales se elaboran.</w:t>
      </w:r>
    </w:p>
    <w:p w14:paraId="02F1758F" w14:textId="77777777" w:rsidR="00642E22" w:rsidRPr="004068F6" w:rsidRDefault="00642E22" w:rsidP="00642E22">
      <w:pPr>
        <w:numPr>
          <w:ilvl w:val="12"/>
          <w:numId w:val="0"/>
        </w:numPr>
        <w:tabs>
          <w:tab w:val="left" w:pos="-2268"/>
        </w:tabs>
        <w:suppressAutoHyphens/>
        <w:rPr>
          <w:spacing w:val="-3"/>
        </w:rPr>
      </w:pPr>
    </w:p>
    <w:p w14:paraId="04378E59" w14:textId="3EA0B781" w:rsidR="00642E22" w:rsidRPr="004068F6" w:rsidRDefault="00563D8A" w:rsidP="00642E22">
      <w:pPr>
        <w:numPr>
          <w:ilvl w:val="12"/>
          <w:numId w:val="0"/>
        </w:numPr>
        <w:tabs>
          <w:tab w:val="left" w:pos="-2268"/>
        </w:tabs>
        <w:suppressAutoHyphens/>
        <w:ind w:left="567"/>
        <w:rPr>
          <w:spacing w:val="-3"/>
        </w:rPr>
      </w:pPr>
      <w:r w:rsidRPr="00423C05">
        <w:rPr>
          <w:spacing w:val="-3"/>
        </w:rPr>
        <w:t>Solo en caso excepcional, cuando se presente alguna situación que impida la entrega inmediata de estos soportes, se debe acordar con la comunidad el tiempo límite de entrega de los soportes.</w:t>
      </w:r>
    </w:p>
    <w:p w14:paraId="625CA3EE" w14:textId="77777777" w:rsidR="00642E22" w:rsidRPr="004068F6" w:rsidRDefault="00642E22" w:rsidP="00642E22">
      <w:pPr>
        <w:tabs>
          <w:tab w:val="left" w:pos="-2268"/>
        </w:tabs>
        <w:suppressAutoHyphens/>
        <w:rPr>
          <w:spacing w:val="-3"/>
        </w:rPr>
      </w:pPr>
    </w:p>
    <w:p w14:paraId="1709C9C1" w14:textId="77777777" w:rsidR="00642E22" w:rsidRPr="00127BD4" w:rsidRDefault="00642E22" w:rsidP="00642E22">
      <w:pPr>
        <w:pStyle w:val="Prrafodelista"/>
        <w:numPr>
          <w:ilvl w:val="0"/>
          <w:numId w:val="680"/>
        </w:numPr>
        <w:tabs>
          <w:tab w:val="left" w:pos="-2268"/>
        </w:tabs>
        <w:suppressAutoHyphens/>
        <w:ind w:left="567" w:hanging="567"/>
        <w:rPr>
          <w:spacing w:val="-3"/>
          <w:lang w:val="es-CO"/>
        </w:rPr>
      </w:pPr>
      <w:r w:rsidRPr="00127BD4">
        <w:rPr>
          <w:spacing w:val="-3"/>
          <w:lang w:val="es-CO"/>
        </w:rPr>
        <w:lastRenderedPageBreak/>
        <w:t>Listados de asistencia o soportes documentales pertinentes que evidencien a qué grupo de interés pertenece cada participante</w:t>
      </w:r>
      <w:r w:rsidRPr="004068F6">
        <w:rPr>
          <w:spacing w:val="-3"/>
          <w:lang w:val="es-CO"/>
        </w:rPr>
        <w:t xml:space="preserve"> y descripción de las personas participantes con carácter de enfoque diferencial que señale los sectores sociales a los cuales pertenecen, representantes de organizaciones, instancias de participación, entre otras.</w:t>
      </w:r>
    </w:p>
    <w:p w14:paraId="6D8DB5AC" w14:textId="77777777" w:rsidR="00642E22" w:rsidRPr="004068F6" w:rsidRDefault="00642E22" w:rsidP="00642E22">
      <w:pPr>
        <w:tabs>
          <w:tab w:val="left" w:pos="-2268"/>
        </w:tabs>
        <w:suppressAutoHyphens/>
        <w:rPr>
          <w:spacing w:val="-3"/>
        </w:rPr>
      </w:pPr>
    </w:p>
    <w:p w14:paraId="7488614C" w14:textId="36ACA967" w:rsidR="00FC60CD" w:rsidRPr="004068F6" w:rsidRDefault="0028289A" w:rsidP="00FC60CD">
      <w:pPr>
        <w:pStyle w:val="Prrafodelista"/>
        <w:numPr>
          <w:ilvl w:val="0"/>
          <w:numId w:val="680"/>
        </w:numPr>
        <w:tabs>
          <w:tab w:val="left" w:pos="-2268"/>
        </w:tabs>
        <w:suppressAutoHyphens/>
        <w:ind w:left="567" w:hanging="567"/>
        <w:rPr>
          <w:spacing w:val="-3"/>
          <w:lang w:val="es-CO"/>
        </w:rPr>
      </w:pPr>
      <w:r w:rsidRPr="004068F6">
        <w:rPr>
          <w:spacing w:val="-3"/>
          <w:lang w:val="es-CO"/>
        </w:rPr>
        <w:t xml:space="preserve">Registro fotográfico, de audio o de video, preferiblemente, que evidencie fecha y coordenadas del lugar del evento con el cumplimiento de las leyes de protección y manejo de datos que determinan la utilización y administración de datos personales; con este fin se debe dar a conocer en el espacio de participación la política de uso y tratamiento de datos personales y </w:t>
      </w:r>
      <w:r w:rsidR="0081685B" w:rsidRPr="004068F6">
        <w:rPr>
          <w:spacing w:val="-3"/>
          <w:lang w:val="es-CO"/>
        </w:rPr>
        <w:t xml:space="preserve">el propósito con el </w:t>
      </w:r>
      <w:r w:rsidRPr="004068F6">
        <w:rPr>
          <w:spacing w:val="-3"/>
          <w:lang w:val="es-CO"/>
        </w:rPr>
        <w:t>qu</w:t>
      </w:r>
      <w:r w:rsidR="0081685B" w:rsidRPr="004068F6">
        <w:rPr>
          <w:spacing w:val="-3"/>
          <w:lang w:val="es-CO"/>
        </w:rPr>
        <w:t>e</w:t>
      </w:r>
      <w:r w:rsidRPr="004068F6">
        <w:rPr>
          <w:spacing w:val="-3"/>
          <w:lang w:val="es-CO"/>
        </w:rPr>
        <w:t xml:space="preserve"> se</w:t>
      </w:r>
      <w:r w:rsidR="0081685B" w:rsidRPr="004068F6">
        <w:rPr>
          <w:spacing w:val="-3"/>
          <w:lang w:val="es-CO"/>
        </w:rPr>
        <w:t xml:space="preserve"> emplearán </w:t>
      </w:r>
      <w:r w:rsidRPr="004068F6">
        <w:rPr>
          <w:spacing w:val="-3"/>
          <w:lang w:val="es-CO"/>
        </w:rPr>
        <w:t>estos registros</w:t>
      </w:r>
      <w:r w:rsidR="00642E22" w:rsidRPr="004068F6">
        <w:rPr>
          <w:spacing w:val="-3"/>
          <w:lang w:val="es-CO"/>
        </w:rPr>
        <w:t>.</w:t>
      </w:r>
      <w:r w:rsidR="00FC60CD" w:rsidRPr="004068F6">
        <w:rPr>
          <w:spacing w:val="-3"/>
          <w:lang w:val="es-CO"/>
        </w:rPr>
        <w:t xml:space="preserve"> En el caso de que la toma del registro fotográfico, de audio o de video no haya sido aprobado o aceptado por la comunidad, se debe presentar la justificación indicando la imposibilidad de obtenerlo.</w:t>
      </w:r>
    </w:p>
    <w:p w14:paraId="3A94FBA9" w14:textId="77777777" w:rsidR="007E1180" w:rsidRPr="00127BD4" w:rsidRDefault="007E1180" w:rsidP="00127BD4">
      <w:pPr>
        <w:tabs>
          <w:tab w:val="left" w:pos="-2268"/>
        </w:tabs>
        <w:suppressAutoHyphens/>
        <w:rPr>
          <w:spacing w:val="-3"/>
        </w:rPr>
      </w:pPr>
    </w:p>
    <w:p w14:paraId="707F690A" w14:textId="6066153C" w:rsidR="00642E22" w:rsidRPr="004068F6" w:rsidRDefault="00F52A6D" w:rsidP="007E1180">
      <w:pPr>
        <w:pStyle w:val="Prrafodelista"/>
        <w:numPr>
          <w:ilvl w:val="0"/>
          <w:numId w:val="680"/>
        </w:numPr>
        <w:tabs>
          <w:tab w:val="left" w:pos="-2268"/>
        </w:tabs>
        <w:suppressAutoHyphens/>
        <w:ind w:left="567" w:hanging="567"/>
        <w:rPr>
          <w:spacing w:val="-3"/>
          <w:lang w:val="es-CO"/>
        </w:rPr>
      </w:pPr>
      <w:r>
        <w:rPr>
          <w:spacing w:val="-3"/>
          <w:lang w:val="es-CO"/>
        </w:rPr>
        <w:t>Descripción de</w:t>
      </w:r>
      <w:r w:rsidR="004B7AE7">
        <w:rPr>
          <w:spacing w:val="-3"/>
          <w:lang w:val="es-CO"/>
        </w:rPr>
        <w:t xml:space="preserve">l conjunto de </w:t>
      </w:r>
      <w:r w:rsidR="009B738F">
        <w:rPr>
          <w:spacing w:val="-3"/>
          <w:lang w:val="es-CO"/>
        </w:rPr>
        <w:t>medidas</w:t>
      </w:r>
      <w:r w:rsidR="007E1180" w:rsidRPr="004068F6">
        <w:rPr>
          <w:spacing w:val="-3"/>
          <w:lang w:val="es-CO"/>
        </w:rPr>
        <w:t xml:space="preserve"> para la gestión y atención de la conflictividad en el proceso de elaboración del DAA.</w:t>
      </w:r>
    </w:p>
    <w:p w14:paraId="62ED91A7" w14:textId="77777777" w:rsidR="00642E22" w:rsidRPr="00127BD4" w:rsidRDefault="00642E22" w:rsidP="00642E22"/>
    <w:p w14:paraId="4EF99899" w14:textId="77777777" w:rsidR="00642E22" w:rsidRPr="00127BD4" w:rsidRDefault="00642E22" w:rsidP="00642E22">
      <w:pPr>
        <w:pStyle w:val="Ttulo2"/>
        <w:rPr>
          <w:bCs/>
          <w:spacing w:val="-3"/>
          <w:lang w:val="es-CO"/>
        </w:rPr>
      </w:pPr>
      <w:bookmarkStart w:id="1999" w:name="_Toc230879580"/>
      <w:r w:rsidRPr="00127BD4">
        <w:rPr>
          <w:spacing w:val="-3"/>
          <w:lang w:val="es-CO"/>
        </w:rPr>
        <w:t>MECANISMOS VIRTUALES PARA LA PARTICIPACIÓN</w:t>
      </w:r>
      <w:bookmarkEnd w:id="1999"/>
    </w:p>
    <w:p w14:paraId="585FF2C2" w14:textId="77777777" w:rsidR="00642E22" w:rsidRPr="004068F6" w:rsidRDefault="00642E22" w:rsidP="00642E22">
      <w:pPr>
        <w:numPr>
          <w:ilvl w:val="12"/>
          <w:numId w:val="0"/>
        </w:numPr>
        <w:tabs>
          <w:tab w:val="left" w:pos="-2268"/>
        </w:tabs>
        <w:suppressAutoHyphens/>
        <w:rPr>
          <w:spacing w:val="-3"/>
        </w:rPr>
      </w:pPr>
    </w:p>
    <w:p w14:paraId="73F0D9C2" w14:textId="6F5400BF" w:rsidR="00642E22" w:rsidRPr="004068F6" w:rsidRDefault="00642E22" w:rsidP="00642E22">
      <w:pPr>
        <w:overflowPunct/>
        <w:autoSpaceDE/>
        <w:autoSpaceDN/>
        <w:adjustRightInd/>
      </w:pPr>
      <w:r w:rsidRPr="004068F6">
        <w:t xml:space="preserve">Es posible ejecutar el proceso de participación </w:t>
      </w:r>
      <w:r w:rsidRPr="004068F6">
        <w:rPr>
          <w:rFonts w:cs="Arial"/>
          <w:lang w:eastAsia="es-CO"/>
        </w:rPr>
        <w:t>empleando</w:t>
      </w:r>
      <w:r w:rsidRPr="004068F6">
        <w:t xml:space="preserve"> mecanismos virtuales</w:t>
      </w:r>
      <w:r w:rsidR="003F747A" w:rsidRPr="004068F6">
        <w:t xml:space="preserve">, previo análisis de los medios logísticos y tecnológicos de los que disponen </w:t>
      </w:r>
      <w:r w:rsidR="00B92776" w:rsidRPr="004068F6">
        <w:t>l</w:t>
      </w:r>
      <w:r w:rsidR="003F747A" w:rsidRPr="004068F6">
        <w:t xml:space="preserve">as personas o grupos de interés a los cuales se dirigen tales mecanismos, con el fin de que </w:t>
      </w:r>
      <w:r w:rsidR="00B92776" w:rsidRPr="004068F6">
        <w:t>éstos</w:t>
      </w:r>
      <w:r w:rsidR="003F747A" w:rsidRPr="004068F6">
        <w:t>, sean idóneos para garantizar una participación ambiental efectiva.</w:t>
      </w:r>
      <w:r w:rsidRPr="004068F6">
        <w:t xml:space="preserve"> Estos </w:t>
      </w:r>
      <w:r w:rsidRPr="004068F6">
        <w:rPr>
          <w:rFonts w:cs="Arial"/>
          <w:lang w:eastAsia="es-CO"/>
        </w:rPr>
        <w:t>mecanismos</w:t>
      </w:r>
      <w:r w:rsidRPr="004068F6">
        <w:t xml:space="preserve"> incluyen las tecnologías de la información y las comunicaciones (TIC), las cuales de acuerdo con la Ley 1978 de 2019 o aquella que la modifique o sustituya, comprenden el conjunto de recursos, herramientas, equipos, programas informáticos, aplicaciones, redes y medios que permiten la compilación, procesamiento, almacenamiento, transmisión de información como voz, datos, texto, video e imágenes.</w:t>
      </w:r>
    </w:p>
    <w:p w14:paraId="79DEED25" w14:textId="77777777" w:rsidR="00642E22" w:rsidRPr="004068F6" w:rsidRDefault="00642E22" w:rsidP="00642E22">
      <w:pPr>
        <w:numPr>
          <w:ilvl w:val="12"/>
          <w:numId w:val="0"/>
        </w:numPr>
        <w:tabs>
          <w:tab w:val="left" w:pos="-2268"/>
        </w:tabs>
        <w:suppressAutoHyphens/>
        <w:rPr>
          <w:spacing w:val="-3"/>
        </w:rPr>
      </w:pPr>
    </w:p>
    <w:p w14:paraId="783CA670" w14:textId="7497C4F7" w:rsidR="00642E22" w:rsidRPr="004068F6" w:rsidRDefault="00642E22" w:rsidP="00642E22">
      <w:pPr>
        <w:numPr>
          <w:ilvl w:val="12"/>
          <w:numId w:val="0"/>
        </w:numPr>
        <w:tabs>
          <w:tab w:val="left" w:pos="-2268"/>
        </w:tabs>
        <w:suppressAutoHyphens/>
        <w:rPr>
          <w:spacing w:val="-3"/>
        </w:rPr>
      </w:pPr>
      <w:r w:rsidRPr="004068F6">
        <w:rPr>
          <w:spacing w:val="-3"/>
        </w:rPr>
        <w:t xml:space="preserve">Si se plantea incorporar al proceso de participación pública mecanismos virtuales, además de dar cumplimiento a los propósitos de la participación y a los lineamientos que se señalaron previamente </w:t>
      </w:r>
      <w:r w:rsidR="000C58EE" w:rsidRPr="004068F6">
        <w:rPr>
          <w:spacing w:val="-3"/>
        </w:rPr>
        <w:t xml:space="preserve">en las </w:t>
      </w:r>
      <w:r w:rsidR="00A961A5">
        <w:rPr>
          <w:spacing w:val="-3"/>
        </w:rPr>
        <w:t>fases</w:t>
      </w:r>
      <w:r w:rsidR="000C58EE" w:rsidRPr="004068F6">
        <w:rPr>
          <w:spacing w:val="-3"/>
        </w:rPr>
        <w:t xml:space="preserve"> del proceso de participación</w:t>
      </w:r>
      <w:r w:rsidRPr="004068F6">
        <w:rPr>
          <w:spacing w:val="-3"/>
        </w:rPr>
        <w:t>, es necesario garantizar lo siguiente:</w:t>
      </w:r>
    </w:p>
    <w:p w14:paraId="49CA1C96" w14:textId="77777777" w:rsidR="00642E22" w:rsidRPr="004068F6" w:rsidRDefault="00642E22" w:rsidP="00642E22">
      <w:pPr>
        <w:numPr>
          <w:ilvl w:val="12"/>
          <w:numId w:val="0"/>
        </w:numPr>
        <w:tabs>
          <w:tab w:val="left" w:pos="-2268"/>
        </w:tabs>
        <w:suppressAutoHyphens/>
        <w:rPr>
          <w:spacing w:val="-3"/>
        </w:rPr>
      </w:pPr>
    </w:p>
    <w:p w14:paraId="69B770BE" w14:textId="77777777" w:rsidR="00642E22" w:rsidRPr="004068F6" w:rsidRDefault="00642E22" w:rsidP="00642E22">
      <w:pPr>
        <w:pStyle w:val="Prrafodelista"/>
        <w:numPr>
          <w:ilvl w:val="0"/>
          <w:numId w:val="680"/>
        </w:numPr>
        <w:tabs>
          <w:tab w:val="left" w:pos="-2268"/>
        </w:tabs>
        <w:suppressAutoHyphens/>
        <w:ind w:left="567" w:hanging="567"/>
        <w:rPr>
          <w:spacing w:val="-3"/>
          <w:lang w:val="es-CO"/>
        </w:rPr>
      </w:pPr>
      <w:r w:rsidRPr="004068F6">
        <w:rPr>
          <w:spacing w:val="-3"/>
          <w:lang w:val="es-CO"/>
        </w:rPr>
        <w:t>Disponibilidad tecnológica con acceso gratuito para los grupos de interés del área de estudio a los cuales se dirigen estos mecanismos, a plataformas digitales que tengan la capacidad de establecer comunicación visual y oral simultánea y que posibiliten la participación ambiental efectiva.</w:t>
      </w:r>
    </w:p>
    <w:p w14:paraId="3D6D2973" w14:textId="77777777" w:rsidR="00642E22" w:rsidRPr="004068F6" w:rsidRDefault="00642E22" w:rsidP="00642E22">
      <w:pPr>
        <w:overflowPunct/>
        <w:autoSpaceDE/>
        <w:autoSpaceDN/>
        <w:adjustRightInd/>
        <w:ind w:left="567" w:hanging="567"/>
      </w:pPr>
    </w:p>
    <w:p w14:paraId="1FDC075B" w14:textId="77777777" w:rsidR="00642E22" w:rsidRPr="004068F6" w:rsidRDefault="00642E22" w:rsidP="00642E22">
      <w:pPr>
        <w:pStyle w:val="Prrafodelista"/>
        <w:numPr>
          <w:ilvl w:val="0"/>
          <w:numId w:val="680"/>
        </w:numPr>
        <w:tabs>
          <w:tab w:val="left" w:pos="-2268"/>
        </w:tabs>
        <w:suppressAutoHyphens/>
        <w:ind w:left="567" w:hanging="567"/>
        <w:rPr>
          <w:spacing w:val="-3"/>
          <w:lang w:val="es-CO"/>
        </w:rPr>
      </w:pPr>
      <w:r w:rsidRPr="004068F6">
        <w:rPr>
          <w:spacing w:val="-3"/>
          <w:lang w:val="es-CO"/>
        </w:rPr>
        <w:lastRenderedPageBreak/>
        <w:t>Aplicación de una convocatoria adecuada y oportuna que permita garantizar una participación amplia e inclusiva de conformidad con los medios tecnológicos a ser utilizados.</w:t>
      </w:r>
    </w:p>
    <w:p w14:paraId="5712FB15" w14:textId="77777777" w:rsidR="00642E22" w:rsidRPr="004068F6" w:rsidRDefault="00642E22" w:rsidP="00642E22">
      <w:pPr>
        <w:overflowPunct/>
        <w:autoSpaceDE/>
        <w:autoSpaceDN/>
        <w:adjustRightInd/>
        <w:ind w:left="567" w:hanging="567"/>
      </w:pPr>
    </w:p>
    <w:p w14:paraId="0E374A58" w14:textId="51A61CD0" w:rsidR="00642E22" w:rsidRPr="004068F6" w:rsidRDefault="00642E22" w:rsidP="00642E22">
      <w:pPr>
        <w:pStyle w:val="Prrafodelista"/>
        <w:numPr>
          <w:ilvl w:val="0"/>
          <w:numId w:val="680"/>
        </w:numPr>
        <w:tabs>
          <w:tab w:val="left" w:pos="-2268"/>
        </w:tabs>
        <w:suppressAutoHyphens/>
        <w:ind w:left="567" w:hanging="567"/>
        <w:rPr>
          <w:spacing w:val="-3"/>
          <w:lang w:val="es-CO"/>
        </w:rPr>
      </w:pPr>
      <w:r w:rsidRPr="004068F6">
        <w:rPr>
          <w:spacing w:val="-3"/>
          <w:lang w:val="es-CO"/>
        </w:rPr>
        <w:t>Acceso a la información relacionada con el proyecto, obra o actividad y con el</w:t>
      </w:r>
      <w:r w:rsidR="004F521D" w:rsidRPr="004068F6">
        <w:rPr>
          <w:lang w:val="es-CO"/>
        </w:rPr>
        <w:t xml:space="preserve"> </w:t>
      </w:r>
      <w:r w:rsidR="004F521D" w:rsidRPr="004068F6">
        <w:rPr>
          <w:spacing w:val="-3"/>
          <w:lang w:val="es-CO"/>
        </w:rPr>
        <w:t>DAA</w:t>
      </w:r>
      <w:r w:rsidRPr="004068F6">
        <w:rPr>
          <w:spacing w:val="-3"/>
          <w:lang w:val="es-CO"/>
        </w:rPr>
        <w:t>, ya sea mediante fuentes digitales o físicas, que permitan una participación informada. Adicionalmente, se deben desarrollar piezas pedagógicas que aborden con rigor técnico y lenguaje sencillo los contenidos del estudio ambiental.</w:t>
      </w:r>
    </w:p>
    <w:p w14:paraId="7A2BD327" w14:textId="77777777" w:rsidR="00642E22" w:rsidRPr="004068F6" w:rsidRDefault="00642E22" w:rsidP="00642E22">
      <w:pPr>
        <w:overflowPunct/>
        <w:autoSpaceDE/>
        <w:autoSpaceDN/>
        <w:adjustRightInd/>
        <w:ind w:left="567" w:hanging="567"/>
      </w:pPr>
    </w:p>
    <w:p w14:paraId="7E50806A" w14:textId="77777777" w:rsidR="00642E22" w:rsidRPr="004068F6" w:rsidRDefault="00642E22" w:rsidP="00642E22">
      <w:pPr>
        <w:pStyle w:val="Prrafodelista"/>
        <w:numPr>
          <w:ilvl w:val="0"/>
          <w:numId w:val="680"/>
        </w:numPr>
        <w:tabs>
          <w:tab w:val="left" w:pos="-2268"/>
        </w:tabs>
        <w:suppressAutoHyphens/>
        <w:ind w:left="567" w:hanging="567"/>
        <w:rPr>
          <w:spacing w:val="-3"/>
          <w:lang w:val="es-CO"/>
        </w:rPr>
      </w:pPr>
      <w:r w:rsidRPr="004068F6">
        <w:rPr>
          <w:spacing w:val="-3"/>
          <w:lang w:val="es-CO"/>
        </w:rPr>
        <w:t>Desarrollo de un diálogo genuino en doble vía con garantía de intervención de los participantes, en donde los grupos de interés del área de estudio puedan exponer sus opiniones y argumentaciones sin intermediario alguno y de manera directa, con posibilidades reales de incidir en las decisiones que se adopten y de obtener retroalimentación.</w:t>
      </w:r>
    </w:p>
    <w:p w14:paraId="715B6F72" w14:textId="77777777" w:rsidR="00642E22" w:rsidRPr="004068F6" w:rsidRDefault="00642E22" w:rsidP="00642E22">
      <w:pPr>
        <w:tabs>
          <w:tab w:val="left" w:pos="-2268"/>
        </w:tabs>
        <w:suppressAutoHyphens/>
        <w:jc w:val="left"/>
        <w:rPr>
          <w:rFonts w:cs="Arial"/>
          <w:lang w:eastAsia="es-CO"/>
        </w:rPr>
      </w:pPr>
    </w:p>
    <w:p w14:paraId="5BCF5BE1" w14:textId="6CAC27E2" w:rsidR="00642E22" w:rsidRPr="004068F6" w:rsidRDefault="00642E22" w:rsidP="00642E22">
      <w:pPr>
        <w:tabs>
          <w:tab w:val="left" w:pos="5685"/>
        </w:tabs>
        <w:rPr>
          <w:rFonts w:cs="Arial"/>
        </w:rPr>
      </w:pPr>
      <w:r w:rsidRPr="004068F6">
        <w:rPr>
          <w:rFonts w:cs="Arial"/>
        </w:rPr>
        <w:t>El cumplimiento</w:t>
      </w:r>
      <w:r w:rsidRPr="00127BD4">
        <w:t xml:space="preserve"> de </w:t>
      </w:r>
      <w:r w:rsidRPr="004068F6">
        <w:rPr>
          <w:rFonts w:cs="Arial"/>
        </w:rPr>
        <w:t xml:space="preserve">estas condiciones y la consideración de complementariedad entre diferentes tecnologías deben permitir que la participación de los grupos de interés del área de estudio del proyecto, obra o actividad a los cuales se dirigen estos mecanismos, se materialice en la posibilidad de intervenir e incidir en la elaboración del </w:t>
      </w:r>
      <w:r w:rsidR="00C60462" w:rsidRPr="004068F6">
        <w:rPr>
          <w:rFonts w:cs="Arial"/>
        </w:rPr>
        <w:t xml:space="preserve">DAA </w:t>
      </w:r>
      <w:r w:rsidRPr="004068F6">
        <w:rPr>
          <w:rFonts w:cs="Arial"/>
        </w:rPr>
        <w:t>y en las decisiones que puedan afectarlos.</w:t>
      </w:r>
    </w:p>
    <w:p w14:paraId="3D049D22" w14:textId="77777777" w:rsidR="00642E22" w:rsidRPr="004068F6" w:rsidRDefault="00642E22" w:rsidP="00642E22">
      <w:pPr>
        <w:tabs>
          <w:tab w:val="left" w:pos="5685"/>
        </w:tabs>
        <w:rPr>
          <w:rFonts w:cs="Arial"/>
        </w:rPr>
      </w:pPr>
    </w:p>
    <w:p w14:paraId="750CE562" w14:textId="44A03B44" w:rsidR="00642E22" w:rsidRPr="004068F6" w:rsidRDefault="00642E22" w:rsidP="00642E22">
      <w:pPr>
        <w:rPr>
          <w:rFonts w:cs="Century Gothic"/>
        </w:rPr>
      </w:pPr>
      <w:r w:rsidRPr="004068F6">
        <w:t xml:space="preserve">De </w:t>
      </w:r>
      <w:r w:rsidRPr="004068F6">
        <w:rPr>
          <w:rFonts w:cs="Arial"/>
        </w:rPr>
        <w:t>igual manera, se deben tener en cuenta las habilidades de los grupos de interés para el uso de las TIC, identificando las capacidades que requieren ser fortalecidas a fin de que puedan participar e interactuar de forma eficaz y de que se reduzca la brecha digital</w:t>
      </w:r>
      <w:r w:rsidR="008B40C5" w:rsidRPr="004068F6">
        <w:rPr>
          <w:rFonts w:cs="Arial"/>
        </w:rPr>
        <w:t>.</w:t>
      </w:r>
      <w:r w:rsidR="008B40C5" w:rsidRPr="004068F6">
        <w:t xml:space="preserve"> En caso de ser necesario, se debe facilitar apoyo </w:t>
      </w:r>
      <w:r w:rsidR="002B50AA" w:rsidRPr="004068F6">
        <w:t xml:space="preserve">en la </w:t>
      </w:r>
      <w:r w:rsidR="008B40C5" w:rsidRPr="004068F6">
        <w:t xml:space="preserve">conexión y logística para el uso de los mecanismos virtuales, </w:t>
      </w:r>
      <w:r w:rsidR="00506FEA" w:rsidRPr="004068F6">
        <w:t>así como suministrar la información y orientación suficiente sobre el uso de</w:t>
      </w:r>
      <w:r w:rsidR="00FA15D8" w:rsidRPr="004068F6">
        <w:t xml:space="preserve"> los</w:t>
      </w:r>
      <w:r w:rsidR="00506FEA" w:rsidRPr="004068F6">
        <w:t xml:space="preserve"> mecanismos virtuales que vayan a emplearse</w:t>
      </w:r>
      <w:r w:rsidR="004B4117" w:rsidRPr="004068F6">
        <w:rPr>
          <w:spacing w:val="-3"/>
        </w:rPr>
        <w:t xml:space="preserve"> </w:t>
      </w:r>
      <w:r w:rsidR="00E01939" w:rsidRPr="004068F6">
        <w:rPr>
          <w:spacing w:val="-3"/>
        </w:rPr>
        <w:t>para la participación</w:t>
      </w:r>
      <w:r w:rsidR="005D674E">
        <w:rPr>
          <w:spacing w:val="-3"/>
        </w:rPr>
        <w:t>. Asimismo, se debe</w:t>
      </w:r>
      <w:r w:rsidR="004B4117" w:rsidRPr="004068F6">
        <w:rPr>
          <w:spacing w:val="-3"/>
        </w:rPr>
        <w:t xml:space="preserve"> </w:t>
      </w:r>
      <w:r w:rsidRPr="004068F6">
        <w:t>acordar con los grupos de interés la implementación del uso de estos mecanismos virtuales</w:t>
      </w:r>
      <w:r w:rsidRPr="004068F6">
        <w:rPr>
          <w:rFonts w:cs="Arial"/>
        </w:rPr>
        <w:t>.</w:t>
      </w:r>
    </w:p>
    <w:p w14:paraId="60F4CA76" w14:textId="77777777" w:rsidR="00B3440E" w:rsidRPr="00127BD4" w:rsidRDefault="00B3440E" w:rsidP="00642E22"/>
    <w:p w14:paraId="56FD953D" w14:textId="77777777" w:rsidR="00642E22" w:rsidRPr="004068F6" w:rsidRDefault="00642E22" w:rsidP="00642E22">
      <w:pPr>
        <w:numPr>
          <w:ilvl w:val="12"/>
          <w:numId w:val="0"/>
        </w:numPr>
        <w:tabs>
          <w:tab w:val="left" w:pos="-2268"/>
        </w:tabs>
        <w:suppressAutoHyphens/>
        <w:rPr>
          <w:spacing w:val="-3"/>
        </w:rPr>
      </w:pPr>
      <w:r w:rsidRPr="004068F6">
        <w:rPr>
          <w:spacing w:val="-3"/>
        </w:rPr>
        <w:t>A fin de documentar el proceso de participación para la elaboración del DAA, en el caso de uso de mecanismos virtuales, se deben generar e incluir las evidencias que den cuenta del proceso de participación, de acuerdo con los lineamientos señalados anteriormente sobre este aspecto.</w:t>
      </w:r>
    </w:p>
    <w:p w14:paraId="67D2D7EF" w14:textId="77777777" w:rsidR="00F97C5C" w:rsidRPr="004068F6" w:rsidRDefault="00F97C5C">
      <w:pPr>
        <w:numPr>
          <w:ilvl w:val="12"/>
          <w:numId w:val="0"/>
        </w:numPr>
        <w:tabs>
          <w:tab w:val="left" w:pos="-2268"/>
        </w:tabs>
        <w:suppressAutoHyphens/>
        <w:rPr>
          <w:spacing w:val="-3"/>
        </w:rPr>
      </w:pPr>
    </w:p>
    <w:p w14:paraId="60CD826E" w14:textId="77777777" w:rsidR="00DF6D4D" w:rsidRPr="004068F6" w:rsidRDefault="00DF6D4D">
      <w:pPr>
        <w:numPr>
          <w:ilvl w:val="12"/>
          <w:numId w:val="0"/>
        </w:numPr>
        <w:tabs>
          <w:tab w:val="left" w:pos="-2268"/>
        </w:tabs>
        <w:suppressAutoHyphens/>
        <w:rPr>
          <w:spacing w:val="-3"/>
        </w:rPr>
      </w:pPr>
    </w:p>
    <w:p w14:paraId="6DF048AD" w14:textId="7578F7E9" w:rsidR="00F97C5C" w:rsidRPr="004068F6" w:rsidRDefault="00F97C5C" w:rsidP="00CB4557">
      <w:pPr>
        <w:pStyle w:val="Ttulo1"/>
        <w:numPr>
          <w:ilvl w:val="0"/>
          <w:numId w:val="8"/>
        </w:numPr>
        <w:rPr>
          <w:lang w:val="es-CO"/>
        </w:rPr>
      </w:pPr>
      <w:bookmarkStart w:id="2000" w:name="_Toc437935977"/>
      <w:bookmarkStart w:id="2001" w:name="_Ref495933267"/>
      <w:bookmarkStart w:id="2002" w:name="_Ref515428658"/>
      <w:bookmarkStart w:id="2003" w:name="_Ref515428674"/>
      <w:bookmarkStart w:id="2004" w:name="_Toc42552213"/>
      <w:bookmarkStart w:id="2005" w:name="_Ref189034907"/>
      <w:bookmarkStart w:id="2006" w:name="_Ref208224588"/>
      <w:bookmarkStart w:id="2007" w:name="_Ref230861972"/>
      <w:bookmarkStart w:id="2008" w:name="_Toc230879581"/>
      <w:r w:rsidRPr="004068F6">
        <w:rPr>
          <w:lang w:val="es-CO"/>
        </w:rPr>
        <w:t>CARACTERIZACIÓN DEL ÁREA DE ESTUDIO</w:t>
      </w:r>
      <w:bookmarkEnd w:id="2000"/>
      <w:bookmarkEnd w:id="2001"/>
      <w:bookmarkEnd w:id="2002"/>
      <w:bookmarkEnd w:id="2003"/>
      <w:bookmarkEnd w:id="2004"/>
      <w:bookmarkEnd w:id="2005"/>
      <w:bookmarkEnd w:id="2006"/>
      <w:bookmarkEnd w:id="2007"/>
      <w:bookmarkEnd w:id="2008"/>
    </w:p>
    <w:p w14:paraId="362106BD" w14:textId="77777777" w:rsidR="00F97C5C" w:rsidRPr="004068F6" w:rsidRDefault="00F97C5C">
      <w:pPr>
        <w:numPr>
          <w:ilvl w:val="12"/>
          <w:numId w:val="0"/>
        </w:numPr>
        <w:tabs>
          <w:tab w:val="left" w:pos="-2268"/>
        </w:tabs>
        <w:suppressAutoHyphens/>
        <w:rPr>
          <w:spacing w:val="-3"/>
        </w:rPr>
      </w:pPr>
    </w:p>
    <w:p w14:paraId="31579B41" w14:textId="623D3CC0" w:rsidR="00F86F9A" w:rsidRPr="004068F6" w:rsidRDefault="00F038C0">
      <w:pPr>
        <w:numPr>
          <w:ilvl w:val="12"/>
          <w:numId w:val="0"/>
        </w:numPr>
        <w:tabs>
          <w:tab w:val="left" w:pos="-2268"/>
        </w:tabs>
        <w:suppressAutoHyphens/>
        <w:rPr>
          <w:spacing w:val="-3"/>
        </w:rPr>
      </w:pPr>
      <w:r w:rsidRPr="004068F6">
        <w:rPr>
          <w:spacing w:val="-3"/>
        </w:rPr>
        <w:t>En e</w:t>
      </w:r>
      <w:r w:rsidR="00F97C5C" w:rsidRPr="004068F6">
        <w:rPr>
          <w:spacing w:val="-3"/>
        </w:rPr>
        <w:t xml:space="preserve">ste numeral del DAA </w:t>
      </w:r>
      <w:r w:rsidRPr="004068F6">
        <w:rPr>
          <w:spacing w:val="-3"/>
        </w:rPr>
        <w:t xml:space="preserve">se deben </w:t>
      </w:r>
      <w:r w:rsidR="00F97C5C" w:rsidRPr="004068F6">
        <w:rPr>
          <w:spacing w:val="-3"/>
        </w:rPr>
        <w:t xml:space="preserve">describir las características ambientales del área de estudio </w:t>
      </w:r>
      <w:r w:rsidR="0070503F" w:rsidRPr="004068F6">
        <w:rPr>
          <w:spacing w:val="-3"/>
        </w:rPr>
        <w:t xml:space="preserve">mediante </w:t>
      </w:r>
      <w:r w:rsidR="00C212FA" w:rsidRPr="004068F6">
        <w:rPr>
          <w:spacing w:val="-3"/>
        </w:rPr>
        <w:t xml:space="preserve">los </w:t>
      </w:r>
      <w:r w:rsidR="0070503F" w:rsidRPr="004068F6">
        <w:rPr>
          <w:spacing w:val="-3"/>
        </w:rPr>
        <w:t xml:space="preserve">parámetros </w:t>
      </w:r>
      <w:r w:rsidR="00C212FA" w:rsidRPr="004068F6">
        <w:rPr>
          <w:spacing w:val="-3"/>
        </w:rPr>
        <w:t xml:space="preserve">de los medios </w:t>
      </w:r>
      <w:r w:rsidR="00C212FA" w:rsidRPr="004068F6">
        <w:rPr>
          <w:rFonts w:cs="Arial"/>
          <w:spacing w:val="-3"/>
        </w:rPr>
        <w:t xml:space="preserve">abiótico, biótico y socioeconómico </w:t>
      </w:r>
      <w:r w:rsidR="00C212FA" w:rsidRPr="004068F6">
        <w:rPr>
          <w:rFonts w:cs="Arial"/>
          <w:spacing w:val="-3"/>
        </w:rPr>
        <w:lastRenderedPageBreak/>
        <w:t>que puedan resultar impactados como resultado de la ejecución de las alternativas propuestas</w:t>
      </w:r>
      <w:r w:rsidR="00B62DEB" w:rsidRPr="004068F6">
        <w:rPr>
          <w:rFonts w:cs="Arial"/>
          <w:spacing w:val="-3"/>
        </w:rPr>
        <w:t>,</w:t>
      </w:r>
      <w:r w:rsidR="004451D1" w:rsidRPr="004068F6">
        <w:rPr>
          <w:rFonts w:cs="Arial"/>
          <w:spacing w:val="-3"/>
        </w:rPr>
        <w:t xml:space="preserve"> </w:t>
      </w:r>
      <w:r w:rsidR="00410826" w:rsidRPr="004068F6">
        <w:rPr>
          <w:rFonts w:cs="Arial"/>
          <w:spacing w:val="-3"/>
        </w:rPr>
        <w:t xml:space="preserve">de tal forma </w:t>
      </w:r>
      <w:r w:rsidR="004451D1" w:rsidRPr="004068F6">
        <w:rPr>
          <w:rFonts w:cs="Arial"/>
          <w:spacing w:val="-3"/>
        </w:rPr>
        <w:t xml:space="preserve">que </w:t>
      </w:r>
      <w:r w:rsidR="00E31DEB" w:rsidRPr="004068F6">
        <w:rPr>
          <w:rFonts w:cs="Arial"/>
          <w:spacing w:val="-3"/>
        </w:rPr>
        <w:t xml:space="preserve">más adelante sea posible determinar cómo se diferencian las </w:t>
      </w:r>
      <w:r w:rsidR="004451D1" w:rsidRPr="004068F6">
        <w:rPr>
          <w:rFonts w:cs="Arial"/>
          <w:spacing w:val="-3"/>
        </w:rPr>
        <w:t>alternativa</w:t>
      </w:r>
      <w:r w:rsidR="00E31DEB" w:rsidRPr="004068F6">
        <w:rPr>
          <w:rFonts w:cs="Arial"/>
          <w:spacing w:val="-3"/>
        </w:rPr>
        <w:t>s en términos de impactos</w:t>
      </w:r>
      <w:r w:rsidR="00F97C5C" w:rsidRPr="004068F6">
        <w:rPr>
          <w:spacing w:val="-3"/>
        </w:rPr>
        <w:t>.</w:t>
      </w:r>
      <w:r w:rsidRPr="004068F6">
        <w:rPr>
          <w:spacing w:val="-3"/>
        </w:rPr>
        <w:t xml:space="preserve"> A continuación</w:t>
      </w:r>
      <w:r w:rsidR="007D2385" w:rsidRPr="004068F6">
        <w:rPr>
          <w:spacing w:val="-3"/>
        </w:rPr>
        <w:t>,</w:t>
      </w:r>
      <w:r w:rsidRPr="004068F6">
        <w:rPr>
          <w:spacing w:val="-3"/>
        </w:rPr>
        <w:t xml:space="preserve"> se señalan las consideraciones metodológicas que se deben tener en cuenta para realizar tal descripción.</w:t>
      </w:r>
    </w:p>
    <w:p w14:paraId="034FCCDB" w14:textId="77777777" w:rsidR="00F374E9" w:rsidRPr="004068F6" w:rsidRDefault="00F374E9" w:rsidP="008C5F62">
      <w:pPr>
        <w:numPr>
          <w:ilvl w:val="12"/>
          <w:numId w:val="0"/>
        </w:numPr>
        <w:tabs>
          <w:tab w:val="left" w:pos="-2268"/>
        </w:tabs>
        <w:suppressAutoHyphens/>
        <w:rPr>
          <w:rFonts w:cs="Arial"/>
          <w:spacing w:val="-3"/>
        </w:rPr>
      </w:pPr>
    </w:p>
    <w:p w14:paraId="6F6BBC75" w14:textId="616391AC" w:rsidR="00A705C4" w:rsidRPr="004068F6" w:rsidRDefault="00474164">
      <w:pPr>
        <w:numPr>
          <w:ilvl w:val="12"/>
          <w:numId w:val="0"/>
        </w:numPr>
        <w:tabs>
          <w:tab w:val="left" w:pos="-2268"/>
        </w:tabs>
        <w:suppressAutoHyphens/>
        <w:rPr>
          <w:rFonts w:cs="Arial"/>
          <w:szCs w:val="20"/>
        </w:rPr>
      </w:pPr>
      <w:r w:rsidRPr="004068F6">
        <w:rPr>
          <w:rFonts w:cs="Arial"/>
          <w:szCs w:val="20"/>
        </w:rPr>
        <w:t>La caracterización de c</w:t>
      </w:r>
      <w:r w:rsidR="00F374E9" w:rsidRPr="004068F6">
        <w:rPr>
          <w:rFonts w:cs="Arial"/>
          <w:szCs w:val="20"/>
        </w:rPr>
        <w:t xml:space="preserve">ada </w:t>
      </w:r>
      <w:r w:rsidR="00FF668D" w:rsidRPr="004068F6">
        <w:rPr>
          <w:rFonts w:cs="Arial"/>
          <w:szCs w:val="20"/>
        </w:rPr>
        <w:t xml:space="preserve">uno de los </w:t>
      </w:r>
      <w:r w:rsidR="00F374E9" w:rsidRPr="004068F6">
        <w:rPr>
          <w:rFonts w:cs="Arial"/>
          <w:szCs w:val="20"/>
        </w:rPr>
        <w:t>parámetro</w:t>
      </w:r>
      <w:r w:rsidR="00FF668D" w:rsidRPr="004068F6">
        <w:rPr>
          <w:rFonts w:cs="Arial"/>
          <w:szCs w:val="20"/>
        </w:rPr>
        <w:t>s</w:t>
      </w:r>
      <w:r w:rsidR="00F374E9" w:rsidRPr="004068F6">
        <w:rPr>
          <w:rFonts w:cs="Arial"/>
          <w:szCs w:val="20"/>
        </w:rPr>
        <w:t xml:space="preserve"> ambiental</w:t>
      </w:r>
      <w:r w:rsidR="00FF668D" w:rsidRPr="004068F6">
        <w:rPr>
          <w:rFonts w:cs="Arial"/>
          <w:szCs w:val="20"/>
        </w:rPr>
        <w:t>es</w:t>
      </w:r>
      <w:r w:rsidR="00F374E9" w:rsidRPr="004068F6">
        <w:rPr>
          <w:rFonts w:cs="Arial"/>
          <w:szCs w:val="20"/>
        </w:rPr>
        <w:t xml:space="preserve"> </w:t>
      </w:r>
      <w:r w:rsidR="00F572B6" w:rsidRPr="004068F6">
        <w:rPr>
          <w:rFonts w:cs="Arial"/>
          <w:szCs w:val="20"/>
        </w:rPr>
        <w:t>que se impacta</w:t>
      </w:r>
      <w:r w:rsidR="00F836D9" w:rsidRPr="004068F6">
        <w:rPr>
          <w:rFonts w:cs="Arial"/>
          <w:szCs w:val="20"/>
        </w:rPr>
        <w:t xml:space="preserve">ría </w:t>
      </w:r>
      <w:r w:rsidR="00F572B6" w:rsidRPr="004068F6">
        <w:rPr>
          <w:rFonts w:cs="Arial"/>
          <w:szCs w:val="20"/>
        </w:rPr>
        <w:t xml:space="preserve">por la ejecución de las alternativas </w:t>
      </w:r>
      <w:r w:rsidR="00F374E9" w:rsidRPr="004068F6">
        <w:rPr>
          <w:rFonts w:cs="Arial"/>
          <w:szCs w:val="20"/>
        </w:rPr>
        <w:t xml:space="preserve">debe </w:t>
      </w:r>
      <w:r w:rsidR="00503733" w:rsidRPr="004068F6">
        <w:rPr>
          <w:rFonts w:cs="Arial"/>
          <w:szCs w:val="20"/>
        </w:rPr>
        <w:t>abordarse</w:t>
      </w:r>
      <w:r w:rsidRPr="004068F6">
        <w:rPr>
          <w:rFonts w:cs="Arial"/>
          <w:szCs w:val="20"/>
        </w:rPr>
        <w:t>, como mínimo,</w:t>
      </w:r>
      <w:r w:rsidR="00F374E9" w:rsidRPr="004068F6">
        <w:rPr>
          <w:rFonts w:cs="Arial"/>
          <w:szCs w:val="20"/>
        </w:rPr>
        <w:t xml:space="preserve"> en el área de estudio del factor al cual corresponde. Sin embargo, es posible </w:t>
      </w:r>
      <w:r w:rsidR="003011D1" w:rsidRPr="004068F6">
        <w:rPr>
          <w:rFonts w:cs="Arial"/>
          <w:szCs w:val="20"/>
        </w:rPr>
        <w:t xml:space="preserve">expandir la </w:t>
      </w:r>
      <w:r w:rsidR="00F374E9" w:rsidRPr="004068F6">
        <w:rPr>
          <w:rFonts w:cs="Arial"/>
          <w:szCs w:val="20"/>
        </w:rPr>
        <w:t>caracteriza</w:t>
      </w:r>
      <w:r w:rsidR="003011D1" w:rsidRPr="004068F6">
        <w:rPr>
          <w:rFonts w:cs="Arial"/>
          <w:szCs w:val="20"/>
        </w:rPr>
        <w:t xml:space="preserve">ción de </w:t>
      </w:r>
      <w:r w:rsidR="00073A21" w:rsidRPr="004068F6">
        <w:rPr>
          <w:rFonts w:cs="Arial"/>
          <w:szCs w:val="20"/>
        </w:rPr>
        <w:t xml:space="preserve">cada </w:t>
      </w:r>
      <w:r w:rsidR="00F374E9" w:rsidRPr="004068F6">
        <w:rPr>
          <w:rFonts w:cs="Arial"/>
          <w:szCs w:val="20"/>
        </w:rPr>
        <w:t xml:space="preserve">parámetro </w:t>
      </w:r>
      <w:r w:rsidR="003011D1" w:rsidRPr="004068F6">
        <w:rPr>
          <w:rFonts w:cs="Arial"/>
          <w:szCs w:val="20"/>
        </w:rPr>
        <w:t>a</w:t>
      </w:r>
      <w:r w:rsidR="00F374E9" w:rsidRPr="004068F6">
        <w:rPr>
          <w:rFonts w:cs="Arial"/>
          <w:szCs w:val="20"/>
        </w:rPr>
        <w:t xml:space="preserve">l área de estudio del componente </w:t>
      </w:r>
      <w:r w:rsidR="003011D1" w:rsidRPr="004068F6">
        <w:rPr>
          <w:rFonts w:cs="Arial"/>
          <w:szCs w:val="20"/>
        </w:rPr>
        <w:t xml:space="preserve">o del medio </w:t>
      </w:r>
      <w:r w:rsidR="00F374E9" w:rsidRPr="004068F6">
        <w:rPr>
          <w:rFonts w:cs="Arial"/>
          <w:szCs w:val="20"/>
        </w:rPr>
        <w:t>al cual pertenece</w:t>
      </w:r>
      <w:r w:rsidR="00E64BBA" w:rsidRPr="004068F6">
        <w:rPr>
          <w:rFonts w:cs="Arial"/>
          <w:szCs w:val="20"/>
        </w:rPr>
        <w:t>,</w:t>
      </w:r>
      <w:r w:rsidR="00F374E9" w:rsidRPr="004068F6">
        <w:rPr>
          <w:rFonts w:cs="Arial"/>
          <w:szCs w:val="20"/>
        </w:rPr>
        <w:t xml:space="preserve"> si ello </w:t>
      </w:r>
      <w:r w:rsidR="00DF73F8" w:rsidRPr="004068F6">
        <w:rPr>
          <w:rFonts w:cs="Arial"/>
          <w:szCs w:val="20"/>
        </w:rPr>
        <w:t>se considera pertinente</w:t>
      </w:r>
      <w:r w:rsidR="00F374E9" w:rsidRPr="004068F6">
        <w:rPr>
          <w:rFonts w:cs="Arial"/>
          <w:szCs w:val="20"/>
        </w:rPr>
        <w:t>.</w:t>
      </w:r>
    </w:p>
    <w:p w14:paraId="430D1BB2" w14:textId="77777777" w:rsidR="00EA787E" w:rsidRPr="004068F6" w:rsidRDefault="00EA787E">
      <w:pPr>
        <w:numPr>
          <w:ilvl w:val="12"/>
          <w:numId w:val="0"/>
        </w:numPr>
        <w:tabs>
          <w:tab w:val="left" w:pos="-2268"/>
        </w:tabs>
        <w:suppressAutoHyphens/>
        <w:rPr>
          <w:rFonts w:cs="Arial"/>
          <w:szCs w:val="20"/>
        </w:rPr>
      </w:pPr>
    </w:p>
    <w:p w14:paraId="4E06429F" w14:textId="1C226D50" w:rsidR="00EA787E" w:rsidRPr="004068F6" w:rsidRDefault="00EA787E">
      <w:pPr>
        <w:numPr>
          <w:ilvl w:val="12"/>
          <w:numId w:val="0"/>
        </w:numPr>
        <w:tabs>
          <w:tab w:val="left" w:pos="-2268"/>
        </w:tabs>
        <w:suppressAutoHyphens/>
        <w:rPr>
          <w:spacing w:val="-3"/>
        </w:rPr>
      </w:pPr>
      <w:r w:rsidRPr="004068F6">
        <w:rPr>
          <w:spacing w:val="-3"/>
        </w:rPr>
        <w:t xml:space="preserve">En este sentido, las orientaciones sobre caracterización ambiental que se señalan en los siguientes numerales no se refieren específicamente al área de </w:t>
      </w:r>
      <w:r w:rsidR="00FE0ED9" w:rsidRPr="004068F6">
        <w:rPr>
          <w:spacing w:val="-3"/>
        </w:rPr>
        <w:t>estudio</w:t>
      </w:r>
      <w:r w:rsidRPr="004068F6">
        <w:rPr>
          <w:spacing w:val="-3"/>
        </w:rPr>
        <w:t xml:space="preserve"> de alguno de los niveles jerárquicos en los que se organiza el ambiente (factores, componentes o medios); es el elaborador del estudio ambiental quien define si la caracterización de un parámetro ambiental específico se desarrolla en el área de </w:t>
      </w:r>
      <w:r w:rsidR="00FE0ED9" w:rsidRPr="004068F6">
        <w:rPr>
          <w:spacing w:val="-3"/>
        </w:rPr>
        <w:t xml:space="preserve">estudio </w:t>
      </w:r>
      <w:r w:rsidRPr="004068F6">
        <w:rPr>
          <w:spacing w:val="-3"/>
        </w:rPr>
        <w:t>del factor ambiental, del componente ambiental o del medio al cual pertenece.</w:t>
      </w:r>
    </w:p>
    <w:p w14:paraId="42908671" w14:textId="77777777" w:rsidR="00A705C4" w:rsidRPr="004068F6" w:rsidRDefault="00A705C4">
      <w:pPr>
        <w:numPr>
          <w:ilvl w:val="12"/>
          <w:numId w:val="0"/>
        </w:numPr>
        <w:tabs>
          <w:tab w:val="left" w:pos="-2268"/>
        </w:tabs>
        <w:suppressAutoHyphens/>
        <w:rPr>
          <w:spacing w:val="-3"/>
        </w:rPr>
      </w:pPr>
    </w:p>
    <w:p w14:paraId="2C0C5E19" w14:textId="1CD1D57D" w:rsidR="00F97C5C" w:rsidRPr="004068F6" w:rsidRDefault="008455F9">
      <w:pPr>
        <w:numPr>
          <w:ilvl w:val="12"/>
          <w:numId w:val="0"/>
        </w:numPr>
        <w:tabs>
          <w:tab w:val="left" w:pos="-2268"/>
        </w:tabs>
        <w:suppressAutoHyphens/>
        <w:rPr>
          <w:spacing w:val="-3"/>
        </w:rPr>
      </w:pPr>
      <w:r w:rsidRPr="004068F6">
        <w:rPr>
          <w:spacing w:val="-3"/>
        </w:rPr>
        <w:t xml:space="preserve">En general, la caracterización del área de estudio del DAA puede soportarse en información secundaria. </w:t>
      </w:r>
      <w:r w:rsidR="00F86F9A" w:rsidRPr="004068F6">
        <w:rPr>
          <w:spacing w:val="-3"/>
        </w:rPr>
        <w:t>P</w:t>
      </w:r>
      <w:r w:rsidR="00F97C5C" w:rsidRPr="004068F6">
        <w:rPr>
          <w:spacing w:val="-3"/>
        </w:rPr>
        <w:t xml:space="preserve">ara </w:t>
      </w:r>
      <w:r w:rsidRPr="004068F6">
        <w:rPr>
          <w:spacing w:val="-3"/>
        </w:rPr>
        <w:t>ello</w:t>
      </w:r>
      <w:r w:rsidR="0050306B" w:rsidRPr="004068F6">
        <w:rPr>
          <w:spacing w:val="-3"/>
        </w:rPr>
        <w:t xml:space="preserve">, adicional a las fuentes de información señaladas en el numeral </w:t>
      </w:r>
      <w:r w:rsidR="0050306B" w:rsidRPr="004068F6">
        <w:rPr>
          <w:spacing w:val="-3"/>
        </w:rPr>
        <w:fldChar w:fldCharType="begin"/>
      </w:r>
      <w:r w:rsidR="0050306B" w:rsidRPr="004068F6">
        <w:rPr>
          <w:spacing w:val="-3"/>
        </w:rPr>
        <w:instrText xml:space="preserve"> REF _Ref144211971 \w \h </w:instrText>
      </w:r>
      <w:r w:rsidR="00BD1319" w:rsidRPr="004068F6">
        <w:rPr>
          <w:spacing w:val="-3"/>
        </w:rPr>
        <w:instrText xml:space="preserve"> \* MERGEFORMAT </w:instrText>
      </w:r>
      <w:r w:rsidR="0050306B" w:rsidRPr="004068F6">
        <w:rPr>
          <w:spacing w:val="-3"/>
        </w:rPr>
      </w:r>
      <w:r w:rsidR="0050306B" w:rsidRPr="004068F6">
        <w:rPr>
          <w:spacing w:val="-3"/>
        </w:rPr>
        <w:fldChar w:fldCharType="separate"/>
      </w:r>
      <w:r w:rsidR="009C4A81">
        <w:rPr>
          <w:spacing w:val="-3"/>
        </w:rPr>
        <w:t>2</w:t>
      </w:r>
      <w:r w:rsidR="0050306B" w:rsidRPr="004068F6">
        <w:rPr>
          <w:spacing w:val="-3"/>
        </w:rPr>
        <w:fldChar w:fldCharType="end"/>
      </w:r>
      <w:r w:rsidR="0050306B" w:rsidRPr="004068F6">
        <w:rPr>
          <w:spacing w:val="-3"/>
        </w:rPr>
        <w:t xml:space="preserve"> del capítulo I,</w:t>
      </w:r>
      <w:r w:rsidR="00F97C5C" w:rsidRPr="004068F6">
        <w:rPr>
          <w:spacing w:val="-3"/>
        </w:rPr>
        <w:t xml:space="preserve"> se debe</w:t>
      </w:r>
      <w:r w:rsidR="000A4293" w:rsidRPr="004068F6">
        <w:rPr>
          <w:spacing w:val="-3"/>
        </w:rPr>
        <w:t xml:space="preserve"> evaluar la posibilidad de</w:t>
      </w:r>
      <w:r w:rsidR="00F97C5C" w:rsidRPr="004068F6">
        <w:rPr>
          <w:spacing w:val="-3"/>
        </w:rPr>
        <w:t xml:space="preserve"> </w:t>
      </w:r>
      <w:r w:rsidR="00A50836" w:rsidRPr="004068F6">
        <w:rPr>
          <w:spacing w:val="-3"/>
        </w:rPr>
        <w:t>emplear</w:t>
      </w:r>
      <w:r w:rsidR="00F97C5C" w:rsidRPr="004068F6">
        <w:rPr>
          <w:spacing w:val="-3"/>
        </w:rPr>
        <w:t xml:space="preserve"> </w:t>
      </w:r>
      <w:r w:rsidRPr="004068F6">
        <w:rPr>
          <w:spacing w:val="-3"/>
        </w:rPr>
        <w:t>fuentes como</w:t>
      </w:r>
      <w:r w:rsidR="00F97C5C" w:rsidRPr="004068F6">
        <w:rPr>
          <w:spacing w:val="-3"/>
        </w:rPr>
        <w:t xml:space="preserve"> las </w:t>
      </w:r>
      <w:r w:rsidR="00936F52" w:rsidRPr="004068F6">
        <w:rPr>
          <w:spacing w:val="-3"/>
        </w:rPr>
        <w:t>mencionadas a continuación</w:t>
      </w:r>
      <w:r w:rsidR="00F97C5C" w:rsidRPr="004068F6">
        <w:rPr>
          <w:spacing w:val="-3"/>
        </w:rPr>
        <w:t>:</w:t>
      </w:r>
    </w:p>
    <w:p w14:paraId="7182ABF6" w14:textId="77777777" w:rsidR="00F97C5C" w:rsidRPr="004068F6" w:rsidRDefault="00F97C5C">
      <w:pPr>
        <w:numPr>
          <w:ilvl w:val="12"/>
          <w:numId w:val="0"/>
        </w:numPr>
        <w:tabs>
          <w:tab w:val="left" w:pos="-2268"/>
        </w:tabs>
        <w:suppressAutoHyphens/>
        <w:rPr>
          <w:spacing w:val="-3"/>
        </w:rPr>
      </w:pPr>
    </w:p>
    <w:p w14:paraId="3D0BF620" w14:textId="77777777" w:rsidR="00F97C5C" w:rsidRPr="004068F6" w:rsidRDefault="00F97C5C" w:rsidP="00C86DA5">
      <w:pPr>
        <w:numPr>
          <w:ilvl w:val="0"/>
          <w:numId w:val="57"/>
        </w:numPr>
        <w:tabs>
          <w:tab w:val="clear" w:pos="360"/>
        </w:tabs>
        <w:suppressAutoHyphens/>
        <w:ind w:left="567" w:hanging="567"/>
        <w:rPr>
          <w:spacing w:val="-3"/>
        </w:rPr>
      </w:pPr>
      <w:r w:rsidRPr="004068F6">
        <w:rPr>
          <w:spacing w:val="-3"/>
        </w:rPr>
        <w:t>Estudios existentes en la zona.</w:t>
      </w:r>
    </w:p>
    <w:p w14:paraId="0EEE09E9" w14:textId="77777777" w:rsidR="00F97C5C" w:rsidRPr="004068F6" w:rsidRDefault="00F97C5C">
      <w:pPr>
        <w:suppressAutoHyphens/>
        <w:rPr>
          <w:spacing w:val="-3"/>
        </w:rPr>
      </w:pPr>
    </w:p>
    <w:p w14:paraId="5CFEF2C7" w14:textId="1A236B75" w:rsidR="00F97C5C" w:rsidRPr="004068F6" w:rsidRDefault="00F97C5C" w:rsidP="00C86DA5">
      <w:pPr>
        <w:numPr>
          <w:ilvl w:val="0"/>
          <w:numId w:val="57"/>
        </w:numPr>
        <w:tabs>
          <w:tab w:val="clear" w:pos="360"/>
        </w:tabs>
        <w:suppressAutoHyphens/>
        <w:ind w:left="567" w:hanging="567"/>
        <w:rPr>
          <w:spacing w:val="-3"/>
        </w:rPr>
      </w:pPr>
      <w:r w:rsidRPr="004068F6">
        <w:rPr>
          <w:spacing w:val="-3"/>
        </w:rPr>
        <w:t>Imágenes de satélite, imágenes de radar, fotografías aéreas, entre otras.</w:t>
      </w:r>
    </w:p>
    <w:p w14:paraId="3BB4B2E8" w14:textId="77777777" w:rsidR="00F97C5C" w:rsidRPr="004068F6" w:rsidRDefault="00F97C5C">
      <w:pPr>
        <w:suppressAutoHyphens/>
        <w:rPr>
          <w:spacing w:val="-3"/>
        </w:rPr>
      </w:pPr>
    </w:p>
    <w:p w14:paraId="1E40365D" w14:textId="30C0B3CE" w:rsidR="00F97C5C" w:rsidRPr="004068F6" w:rsidRDefault="00F97C5C" w:rsidP="00C86DA5">
      <w:pPr>
        <w:numPr>
          <w:ilvl w:val="0"/>
          <w:numId w:val="57"/>
        </w:numPr>
        <w:tabs>
          <w:tab w:val="clear" w:pos="360"/>
        </w:tabs>
        <w:suppressAutoHyphens/>
        <w:ind w:left="567" w:hanging="567"/>
        <w:rPr>
          <w:spacing w:val="-3"/>
        </w:rPr>
      </w:pPr>
      <w:r w:rsidRPr="004068F6">
        <w:rPr>
          <w:spacing w:val="-3"/>
        </w:rPr>
        <w:t xml:space="preserve">Información geográfica (mapas temáticos, </w:t>
      </w:r>
      <w:r w:rsidRPr="004068F6">
        <w:rPr>
          <w:rFonts w:cs="Arial"/>
          <w:spacing w:val="-3"/>
        </w:rPr>
        <w:t>capas geográficas abiertas</w:t>
      </w:r>
      <w:r w:rsidRPr="004068F6">
        <w:rPr>
          <w:spacing w:val="-3"/>
        </w:rPr>
        <w:t>, geoportales, entre otras).</w:t>
      </w:r>
    </w:p>
    <w:p w14:paraId="20725D96" w14:textId="77777777" w:rsidR="00F97C5C" w:rsidRPr="004068F6" w:rsidRDefault="00F97C5C">
      <w:pPr>
        <w:suppressAutoHyphens/>
        <w:rPr>
          <w:spacing w:val="-3"/>
        </w:rPr>
      </w:pPr>
    </w:p>
    <w:p w14:paraId="5E7D0820" w14:textId="77777777" w:rsidR="00F97C5C" w:rsidRPr="004068F6" w:rsidRDefault="00F97C5C" w:rsidP="00C86DA5">
      <w:pPr>
        <w:numPr>
          <w:ilvl w:val="0"/>
          <w:numId w:val="57"/>
        </w:numPr>
        <w:tabs>
          <w:tab w:val="clear" w:pos="360"/>
        </w:tabs>
        <w:suppressAutoHyphens/>
        <w:ind w:left="567" w:hanging="567"/>
        <w:rPr>
          <w:spacing w:val="-3"/>
        </w:rPr>
      </w:pPr>
      <w:r w:rsidRPr="004068F6">
        <w:rPr>
          <w:spacing w:val="-3"/>
        </w:rPr>
        <w:t>Bibliografía especializada (obras completas o por capítulos).</w:t>
      </w:r>
    </w:p>
    <w:p w14:paraId="7DAD9C26" w14:textId="77777777" w:rsidR="00F97C5C" w:rsidRPr="004068F6" w:rsidRDefault="00F97C5C">
      <w:pPr>
        <w:suppressAutoHyphens/>
        <w:rPr>
          <w:spacing w:val="-3"/>
        </w:rPr>
      </w:pPr>
    </w:p>
    <w:p w14:paraId="084C468F" w14:textId="77777777" w:rsidR="00F97C5C" w:rsidRPr="004068F6" w:rsidRDefault="00F97C5C" w:rsidP="00C86DA5">
      <w:pPr>
        <w:numPr>
          <w:ilvl w:val="0"/>
          <w:numId w:val="57"/>
        </w:numPr>
        <w:tabs>
          <w:tab w:val="clear" w:pos="360"/>
        </w:tabs>
        <w:suppressAutoHyphens/>
        <w:ind w:left="567" w:hanging="567"/>
        <w:rPr>
          <w:spacing w:val="-3"/>
        </w:rPr>
      </w:pPr>
      <w:r w:rsidRPr="004068F6">
        <w:rPr>
          <w:spacing w:val="-3"/>
        </w:rPr>
        <w:t>Artículos científicos.</w:t>
      </w:r>
    </w:p>
    <w:p w14:paraId="713B8D06" w14:textId="77777777" w:rsidR="00F97C5C" w:rsidRPr="004068F6" w:rsidRDefault="00F97C5C">
      <w:pPr>
        <w:suppressAutoHyphens/>
        <w:rPr>
          <w:spacing w:val="-3"/>
        </w:rPr>
      </w:pPr>
    </w:p>
    <w:p w14:paraId="149E1E69" w14:textId="77777777" w:rsidR="00F97C5C" w:rsidRPr="004068F6" w:rsidRDefault="00F97C5C" w:rsidP="00C86DA5">
      <w:pPr>
        <w:numPr>
          <w:ilvl w:val="0"/>
          <w:numId w:val="57"/>
        </w:numPr>
        <w:tabs>
          <w:tab w:val="clear" w:pos="360"/>
        </w:tabs>
        <w:suppressAutoHyphens/>
        <w:ind w:left="567" w:hanging="567"/>
        <w:rPr>
          <w:spacing w:val="-3"/>
        </w:rPr>
      </w:pPr>
      <w:r w:rsidRPr="004068F6">
        <w:rPr>
          <w:spacing w:val="-3"/>
        </w:rPr>
        <w:t>Documentos e informes técnicos.</w:t>
      </w:r>
    </w:p>
    <w:p w14:paraId="1101661C" w14:textId="77777777" w:rsidR="00F97C5C" w:rsidRPr="004068F6" w:rsidRDefault="00F97C5C">
      <w:pPr>
        <w:suppressAutoHyphens/>
        <w:rPr>
          <w:spacing w:val="-3"/>
        </w:rPr>
      </w:pPr>
    </w:p>
    <w:p w14:paraId="7DB6E9FA" w14:textId="77777777" w:rsidR="00F97C5C" w:rsidRPr="004068F6" w:rsidRDefault="00F97C5C" w:rsidP="00C86DA5">
      <w:pPr>
        <w:numPr>
          <w:ilvl w:val="0"/>
          <w:numId w:val="57"/>
        </w:numPr>
        <w:tabs>
          <w:tab w:val="clear" w:pos="360"/>
        </w:tabs>
        <w:suppressAutoHyphens/>
        <w:ind w:left="567" w:hanging="567"/>
        <w:rPr>
          <w:spacing w:val="-3"/>
        </w:rPr>
      </w:pPr>
      <w:r w:rsidRPr="004068F6">
        <w:rPr>
          <w:spacing w:val="-3"/>
        </w:rPr>
        <w:t>Documentos e información oficial.</w:t>
      </w:r>
    </w:p>
    <w:p w14:paraId="6D3B29A8" w14:textId="77777777" w:rsidR="00F97C5C" w:rsidRPr="004068F6" w:rsidRDefault="00F97C5C">
      <w:pPr>
        <w:suppressAutoHyphens/>
        <w:rPr>
          <w:spacing w:val="-3"/>
        </w:rPr>
      </w:pPr>
    </w:p>
    <w:p w14:paraId="11BA0C64" w14:textId="40F6FA0C" w:rsidR="00F97C5C" w:rsidRPr="004068F6" w:rsidRDefault="00F97C5C" w:rsidP="00C86DA5">
      <w:pPr>
        <w:numPr>
          <w:ilvl w:val="0"/>
          <w:numId w:val="57"/>
        </w:numPr>
        <w:tabs>
          <w:tab w:val="clear" w:pos="360"/>
        </w:tabs>
        <w:suppressAutoHyphens/>
        <w:ind w:left="567" w:hanging="567"/>
        <w:rPr>
          <w:spacing w:val="-3"/>
        </w:rPr>
      </w:pPr>
      <w:r w:rsidRPr="004068F6">
        <w:rPr>
          <w:spacing w:val="-3"/>
        </w:rPr>
        <w:t>Estudios etnográficos</w:t>
      </w:r>
      <w:r w:rsidR="00494751" w:rsidRPr="004068F6">
        <w:rPr>
          <w:spacing w:val="-3"/>
        </w:rPr>
        <w:t xml:space="preserve"> y otros estudios publicados </w:t>
      </w:r>
      <w:r w:rsidR="0050306B" w:rsidRPr="004068F6">
        <w:rPr>
          <w:spacing w:val="-3"/>
        </w:rPr>
        <w:t>que reflejen</w:t>
      </w:r>
      <w:r w:rsidR="00915A32" w:rsidRPr="004068F6">
        <w:rPr>
          <w:spacing w:val="-3"/>
        </w:rPr>
        <w:t xml:space="preserve"> </w:t>
      </w:r>
      <w:r w:rsidR="00494751" w:rsidRPr="004068F6">
        <w:rPr>
          <w:spacing w:val="-3"/>
        </w:rPr>
        <w:t>conocimientos y saberes de comunidades locales y organizaciones sociales diversas</w:t>
      </w:r>
      <w:r w:rsidRPr="004068F6">
        <w:rPr>
          <w:spacing w:val="-3"/>
        </w:rPr>
        <w:t>.</w:t>
      </w:r>
    </w:p>
    <w:p w14:paraId="10647B44" w14:textId="77777777" w:rsidR="00D131AF" w:rsidRPr="00127BD4" w:rsidRDefault="00D131AF" w:rsidP="00127BD4">
      <w:pPr>
        <w:rPr>
          <w:spacing w:val="-3"/>
        </w:rPr>
      </w:pPr>
    </w:p>
    <w:p w14:paraId="3554C709" w14:textId="4001E31E" w:rsidR="00D131AF" w:rsidRPr="004068F6" w:rsidRDefault="00D131AF" w:rsidP="00D131AF">
      <w:pPr>
        <w:numPr>
          <w:ilvl w:val="0"/>
          <w:numId w:val="57"/>
        </w:numPr>
        <w:tabs>
          <w:tab w:val="clear" w:pos="360"/>
        </w:tabs>
        <w:suppressAutoHyphens/>
        <w:ind w:left="567" w:hanging="567"/>
        <w:rPr>
          <w:spacing w:val="-3"/>
        </w:rPr>
      </w:pPr>
      <w:r w:rsidRPr="004068F6">
        <w:rPr>
          <w:spacing w:val="-3"/>
        </w:rPr>
        <w:t>Documentos producidos por las comunidades como Planes de ordenamiento ambiental, Planes de vida, protocolos o normas de derecho propio sobre derechos territoriales y ambientales.</w:t>
      </w:r>
    </w:p>
    <w:p w14:paraId="297A23A2" w14:textId="77777777" w:rsidR="00F97C5C" w:rsidRPr="004068F6" w:rsidRDefault="00F97C5C">
      <w:pPr>
        <w:numPr>
          <w:ilvl w:val="12"/>
          <w:numId w:val="0"/>
        </w:numPr>
        <w:tabs>
          <w:tab w:val="left" w:pos="-2268"/>
        </w:tabs>
        <w:suppressAutoHyphens/>
        <w:rPr>
          <w:spacing w:val="-3"/>
        </w:rPr>
      </w:pPr>
    </w:p>
    <w:p w14:paraId="2F9A3865" w14:textId="48347A5F" w:rsidR="00DA69C8" w:rsidRPr="004068F6" w:rsidRDefault="008455F9" w:rsidP="3BACB336">
      <w:pPr>
        <w:suppressAutoHyphens/>
        <w:rPr>
          <w:spacing w:val="-3"/>
        </w:rPr>
      </w:pPr>
      <w:r w:rsidRPr="004068F6">
        <w:rPr>
          <w:spacing w:val="-3"/>
        </w:rPr>
        <w:t>S</w:t>
      </w:r>
      <w:r w:rsidR="00DA69C8" w:rsidRPr="004068F6">
        <w:rPr>
          <w:spacing w:val="-3"/>
        </w:rPr>
        <w:t xml:space="preserve">i </w:t>
      </w:r>
      <w:r w:rsidRPr="004068F6">
        <w:rPr>
          <w:spacing w:val="-3"/>
        </w:rPr>
        <w:t xml:space="preserve">la </w:t>
      </w:r>
      <w:r w:rsidR="00DA69C8" w:rsidRPr="004068F6">
        <w:rPr>
          <w:spacing w:val="-3"/>
        </w:rPr>
        <w:t xml:space="preserve">información </w:t>
      </w:r>
      <w:r w:rsidRPr="004068F6">
        <w:rPr>
          <w:spacing w:val="-3"/>
        </w:rPr>
        <w:t xml:space="preserve">secundaria </w:t>
      </w:r>
      <w:r w:rsidR="00DA69C8" w:rsidRPr="004068F6">
        <w:rPr>
          <w:spacing w:val="-3"/>
        </w:rPr>
        <w:t>no es suficiente</w:t>
      </w:r>
      <w:r w:rsidR="00DA69C8" w:rsidRPr="004068F6">
        <w:rPr>
          <w:rFonts w:cs="Arial"/>
          <w:spacing w:val="-3"/>
        </w:rPr>
        <w:t>,</w:t>
      </w:r>
      <w:r w:rsidR="00DA69C8" w:rsidRPr="004068F6">
        <w:rPr>
          <w:spacing w:val="-3"/>
        </w:rPr>
        <w:t xml:space="preserve"> no tiene la calidad necesaria para caracterizar el área de estudio</w:t>
      </w:r>
      <w:r w:rsidR="00DA69C8" w:rsidRPr="004068F6">
        <w:rPr>
          <w:rFonts w:cs="Arial"/>
          <w:spacing w:val="-3"/>
        </w:rPr>
        <w:t xml:space="preserve"> o está desactualizada</w:t>
      </w:r>
      <w:r w:rsidR="00DA69C8" w:rsidRPr="004068F6">
        <w:rPr>
          <w:spacing w:val="-3"/>
        </w:rPr>
        <w:t>, es necesario obtener, procesar y analizar información primaria.</w:t>
      </w:r>
    </w:p>
    <w:p w14:paraId="0751DC2D" w14:textId="77777777" w:rsidR="00DA69C8" w:rsidRPr="004068F6" w:rsidRDefault="00DA69C8" w:rsidP="3BACB336">
      <w:pPr>
        <w:suppressAutoHyphens/>
        <w:rPr>
          <w:spacing w:val="-3"/>
        </w:rPr>
      </w:pPr>
    </w:p>
    <w:p w14:paraId="6C24EC2D" w14:textId="458BA71C" w:rsidR="002F142F" w:rsidRPr="004068F6" w:rsidRDefault="001E0C6E" w:rsidP="3BACB336">
      <w:pPr>
        <w:suppressAutoHyphens/>
        <w:rPr>
          <w:spacing w:val="-3"/>
        </w:rPr>
      </w:pPr>
      <w:r w:rsidRPr="004068F6">
        <w:rPr>
          <w:spacing w:val="-3"/>
        </w:rPr>
        <w:t>Dado que en el DAA se caracteriza</w:t>
      </w:r>
      <w:r w:rsidR="008455F9" w:rsidRPr="004068F6">
        <w:rPr>
          <w:spacing w:val="-3"/>
        </w:rPr>
        <w:t>n</w:t>
      </w:r>
      <w:r w:rsidRPr="004068F6">
        <w:rPr>
          <w:spacing w:val="-3"/>
        </w:rPr>
        <w:t xml:space="preserve"> los parámetros ambientales que se impactarían por la ejecución de las alternativas y que las alternativas pueden impactar de forma diferencial </w:t>
      </w:r>
      <w:r w:rsidR="00977DA5" w:rsidRPr="004068F6">
        <w:rPr>
          <w:spacing w:val="-3"/>
        </w:rPr>
        <w:t>los</w:t>
      </w:r>
      <w:r w:rsidRPr="004068F6">
        <w:rPr>
          <w:spacing w:val="-3"/>
        </w:rPr>
        <w:t xml:space="preserve"> elementos del ambiente</w:t>
      </w:r>
      <w:r w:rsidR="002F142F" w:rsidRPr="004068F6">
        <w:rPr>
          <w:spacing w:val="-3"/>
        </w:rPr>
        <w:t xml:space="preserve">, </w:t>
      </w:r>
      <w:r w:rsidR="00B66F42" w:rsidRPr="004068F6">
        <w:rPr>
          <w:spacing w:val="-3"/>
        </w:rPr>
        <w:t>l</w:t>
      </w:r>
      <w:r w:rsidR="000B391F" w:rsidRPr="004068F6">
        <w:rPr>
          <w:spacing w:val="-3"/>
        </w:rPr>
        <w:t>a información de caracterización ambiental debe tener las siguientes características:</w:t>
      </w:r>
    </w:p>
    <w:p w14:paraId="41171D0C" w14:textId="77777777" w:rsidR="002F142F" w:rsidRPr="004068F6" w:rsidRDefault="002F142F" w:rsidP="3BACB336">
      <w:pPr>
        <w:suppressAutoHyphens/>
        <w:rPr>
          <w:spacing w:val="-3"/>
        </w:rPr>
      </w:pPr>
    </w:p>
    <w:p w14:paraId="4753D5C1" w14:textId="3399D102" w:rsidR="002F142F" w:rsidRPr="00FE1B78" w:rsidRDefault="00BC18E8" w:rsidP="002F142F">
      <w:pPr>
        <w:pStyle w:val="Prrafodelista"/>
        <w:numPr>
          <w:ilvl w:val="0"/>
          <w:numId w:val="741"/>
        </w:numPr>
        <w:suppressAutoHyphens/>
        <w:ind w:left="567" w:hanging="567"/>
        <w:rPr>
          <w:spacing w:val="-3"/>
          <w:lang w:val="es-CO"/>
        </w:rPr>
      </w:pPr>
      <w:r w:rsidRPr="00FE1B78">
        <w:rPr>
          <w:spacing w:val="-3"/>
          <w:lang w:val="es-CO"/>
        </w:rPr>
        <w:t xml:space="preserve">Posibilitar la determinación de </w:t>
      </w:r>
      <w:r w:rsidR="001E0C6E" w:rsidRPr="00127BD4">
        <w:rPr>
          <w:spacing w:val="-3"/>
          <w:lang w:val="es-CO"/>
        </w:rPr>
        <w:t xml:space="preserve">diferencias entre los impactos de las alternativas cuando </w:t>
      </w:r>
      <w:r w:rsidR="00DA69C8" w:rsidRPr="00127BD4">
        <w:rPr>
          <w:spacing w:val="-3"/>
          <w:lang w:val="es-CO"/>
        </w:rPr>
        <w:t xml:space="preserve">la ejecución de </w:t>
      </w:r>
      <w:r w:rsidR="001E0C6E" w:rsidRPr="00127BD4">
        <w:rPr>
          <w:spacing w:val="-3"/>
          <w:lang w:val="es-CO"/>
        </w:rPr>
        <w:t xml:space="preserve">éstas </w:t>
      </w:r>
      <w:r w:rsidR="00DA69C8" w:rsidRPr="00127BD4">
        <w:rPr>
          <w:spacing w:val="-3"/>
          <w:lang w:val="es-CO"/>
        </w:rPr>
        <w:t>conllev</w:t>
      </w:r>
      <w:r w:rsidRPr="00FE1B78">
        <w:rPr>
          <w:spacing w:val="-3"/>
          <w:lang w:val="es-CO"/>
        </w:rPr>
        <w:t>a</w:t>
      </w:r>
      <w:r w:rsidR="00DA69C8" w:rsidRPr="00127BD4">
        <w:rPr>
          <w:spacing w:val="-3"/>
          <w:lang w:val="es-CO"/>
        </w:rPr>
        <w:t xml:space="preserve"> impactos </w:t>
      </w:r>
      <w:r w:rsidR="001E0C6E" w:rsidRPr="00127BD4">
        <w:rPr>
          <w:spacing w:val="-3"/>
          <w:lang w:val="es-CO"/>
        </w:rPr>
        <w:t>con diferentes grados de significancia o área de manifestación</w:t>
      </w:r>
      <w:r w:rsidR="002F142F" w:rsidRPr="00FE1B78">
        <w:rPr>
          <w:spacing w:val="-3"/>
          <w:lang w:val="es-CO"/>
        </w:rPr>
        <w:t>.</w:t>
      </w:r>
    </w:p>
    <w:p w14:paraId="5BC8AA17" w14:textId="77777777" w:rsidR="002F142F" w:rsidRPr="00127BD4" w:rsidRDefault="002F142F" w:rsidP="00127BD4">
      <w:pPr>
        <w:suppressAutoHyphens/>
        <w:rPr>
          <w:spacing w:val="-3"/>
        </w:rPr>
      </w:pPr>
    </w:p>
    <w:p w14:paraId="7706E9A2" w14:textId="7B8B9543" w:rsidR="001E0C6E" w:rsidRPr="00FE1B78" w:rsidRDefault="002F142F">
      <w:pPr>
        <w:pStyle w:val="Prrafodelista"/>
        <w:numPr>
          <w:ilvl w:val="0"/>
          <w:numId w:val="741"/>
        </w:numPr>
        <w:suppressAutoHyphens/>
        <w:ind w:left="567" w:hanging="567"/>
        <w:rPr>
          <w:spacing w:val="-3"/>
          <w:lang w:val="es-CO"/>
        </w:rPr>
      </w:pPr>
      <w:r w:rsidRPr="00FE1B78">
        <w:rPr>
          <w:spacing w:val="-3"/>
          <w:lang w:val="es-CO"/>
        </w:rPr>
        <w:t>B</w:t>
      </w:r>
      <w:r w:rsidR="001E0C6E" w:rsidRPr="00127BD4">
        <w:rPr>
          <w:spacing w:val="-3"/>
          <w:lang w:val="es-CO"/>
        </w:rPr>
        <w:t>rind</w:t>
      </w:r>
      <w:r w:rsidR="00BC18E8" w:rsidRPr="00FE1B78">
        <w:rPr>
          <w:spacing w:val="-3"/>
          <w:lang w:val="es-CO"/>
        </w:rPr>
        <w:t>ar</w:t>
      </w:r>
      <w:r w:rsidR="001E0C6E" w:rsidRPr="00127BD4">
        <w:rPr>
          <w:spacing w:val="-3"/>
          <w:lang w:val="es-CO"/>
        </w:rPr>
        <w:t xml:space="preserve"> una imagen fiable de las </w:t>
      </w:r>
      <w:r w:rsidR="001E0C6E" w:rsidRPr="00127BD4">
        <w:rPr>
          <w:i/>
          <w:iCs/>
          <w:spacing w:val="-3"/>
          <w:lang w:val="es-CO"/>
        </w:rPr>
        <w:t>condiciones actuales</w:t>
      </w:r>
      <w:r w:rsidR="001E0C6E" w:rsidRPr="00127BD4">
        <w:rPr>
          <w:spacing w:val="-3"/>
          <w:lang w:val="es-CO"/>
        </w:rPr>
        <w:t xml:space="preserve"> del área de estudio</w:t>
      </w:r>
      <w:r w:rsidR="00DD607E" w:rsidRPr="00FE1B78">
        <w:rPr>
          <w:spacing w:val="-3"/>
          <w:lang w:val="es-CO"/>
        </w:rPr>
        <w:t>;</w:t>
      </w:r>
      <w:r w:rsidR="001E0C6E" w:rsidRPr="00127BD4">
        <w:rPr>
          <w:spacing w:val="-3"/>
          <w:lang w:val="es-CO"/>
        </w:rPr>
        <w:t xml:space="preserve"> es decir, </w:t>
      </w:r>
      <w:r w:rsidR="00BC18E8" w:rsidRPr="00FE1B78">
        <w:rPr>
          <w:spacing w:val="-3"/>
          <w:lang w:val="es-CO"/>
        </w:rPr>
        <w:t xml:space="preserve">ofrecer una imagen </w:t>
      </w:r>
      <w:r w:rsidR="000B391F" w:rsidRPr="00127BD4">
        <w:rPr>
          <w:spacing w:val="-3"/>
          <w:lang w:val="es-CO"/>
        </w:rPr>
        <w:t>actualizada</w:t>
      </w:r>
      <w:r w:rsidR="00BC18E8" w:rsidRPr="00FE1B78">
        <w:rPr>
          <w:spacing w:val="-3"/>
          <w:lang w:val="es-CO"/>
        </w:rPr>
        <w:t xml:space="preserve"> del ambiente</w:t>
      </w:r>
      <w:r w:rsidR="001E0C6E" w:rsidRPr="00127BD4">
        <w:rPr>
          <w:spacing w:val="-3"/>
          <w:lang w:val="es-CO"/>
        </w:rPr>
        <w:t>.</w:t>
      </w:r>
    </w:p>
    <w:p w14:paraId="33F70291" w14:textId="77777777" w:rsidR="00B04AF8" w:rsidRPr="00127BD4" w:rsidRDefault="00B04AF8" w:rsidP="00127BD4">
      <w:pPr>
        <w:rPr>
          <w:spacing w:val="-3"/>
        </w:rPr>
      </w:pPr>
    </w:p>
    <w:p w14:paraId="132CD96B" w14:textId="60D9F917" w:rsidR="00B04AF8" w:rsidRPr="00FE1B78" w:rsidRDefault="00A224CE" w:rsidP="00B04AF8">
      <w:pPr>
        <w:pStyle w:val="Prrafodelista"/>
        <w:numPr>
          <w:ilvl w:val="0"/>
          <w:numId w:val="741"/>
        </w:numPr>
        <w:suppressAutoHyphens/>
        <w:ind w:left="567" w:hanging="567"/>
        <w:rPr>
          <w:spacing w:val="-3"/>
          <w:lang w:val="es-CO"/>
        </w:rPr>
      </w:pPr>
      <w:r w:rsidRPr="00FE1B78">
        <w:rPr>
          <w:spacing w:val="-3"/>
          <w:lang w:val="es-CO"/>
        </w:rPr>
        <w:t>Ofrecer</w:t>
      </w:r>
      <w:r w:rsidR="00B436D7" w:rsidRPr="00FE1B78">
        <w:rPr>
          <w:spacing w:val="-3"/>
          <w:lang w:val="es-CO"/>
        </w:rPr>
        <w:t xml:space="preserve"> </w:t>
      </w:r>
      <w:r w:rsidR="00B04AF8" w:rsidRPr="00FE1B78">
        <w:rPr>
          <w:spacing w:val="-3"/>
          <w:lang w:val="es-CO"/>
        </w:rPr>
        <w:t xml:space="preserve">una </w:t>
      </w:r>
      <w:r w:rsidR="00B04AF8" w:rsidRPr="00127BD4">
        <w:rPr>
          <w:i/>
          <w:iCs/>
          <w:spacing w:val="-3"/>
          <w:lang w:val="es-CO"/>
        </w:rPr>
        <w:t>noción</w:t>
      </w:r>
      <w:r w:rsidR="00B04AF8" w:rsidRPr="00FE1B78">
        <w:rPr>
          <w:spacing w:val="-3"/>
          <w:lang w:val="es-CO"/>
        </w:rPr>
        <w:t xml:space="preserve"> de los impactos en términos de significancia y área de manifestación en caso de que el impacto que generan las alternativas tenga las mismas características de significancia y área de manifestación.</w:t>
      </w:r>
    </w:p>
    <w:p w14:paraId="3FF5CCD9" w14:textId="77777777" w:rsidR="001E0C6E" w:rsidRPr="004068F6" w:rsidRDefault="001E0C6E" w:rsidP="3BACB336">
      <w:pPr>
        <w:suppressAutoHyphens/>
        <w:rPr>
          <w:spacing w:val="-3"/>
        </w:rPr>
      </w:pPr>
    </w:p>
    <w:p w14:paraId="748A7C2D" w14:textId="663B9AD5" w:rsidR="008455F9" w:rsidRPr="004068F6" w:rsidRDefault="00141ADF" w:rsidP="00966297">
      <w:pPr>
        <w:suppressAutoHyphens/>
      </w:pPr>
      <w:r w:rsidRPr="004068F6">
        <w:t xml:space="preserve">Por ejemplo, si se está evaluando un conjunto de 4 alternativas que impactan con la misma significancia y extensión al parámetro </w:t>
      </w:r>
      <w:r w:rsidRPr="00127BD4">
        <w:rPr>
          <w:i/>
          <w:iCs/>
        </w:rPr>
        <w:t>diversidad biótica de ecosistemas terrestres</w:t>
      </w:r>
      <w:r w:rsidRPr="004068F6">
        <w:t xml:space="preserve"> y a la vez, genera</w:t>
      </w:r>
      <w:r w:rsidR="00966297" w:rsidRPr="004068F6">
        <w:t>n</w:t>
      </w:r>
      <w:r w:rsidRPr="004068F6">
        <w:t xml:space="preserve"> impactos con diferente significancia y extensión en el parámetro </w:t>
      </w:r>
      <w:r w:rsidRPr="00127BD4">
        <w:rPr>
          <w:i/>
          <w:iCs/>
        </w:rPr>
        <w:t>concentración de material particulado en la atmósfera</w:t>
      </w:r>
      <w:r w:rsidR="00966297" w:rsidRPr="004068F6">
        <w:t xml:space="preserve">, </w:t>
      </w:r>
      <w:r w:rsidR="008455F9" w:rsidRPr="004068F6">
        <w:t xml:space="preserve">la información </w:t>
      </w:r>
      <w:r w:rsidR="00936F52" w:rsidRPr="004068F6">
        <w:t xml:space="preserve">sobre </w:t>
      </w:r>
      <w:r w:rsidR="008455F9" w:rsidRPr="004068F6">
        <w:rPr>
          <w:i/>
          <w:iCs/>
        </w:rPr>
        <w:t xml:space="preserve">diversidad biótica </w:t>
      </w:r>
      <w:r w:rsidR="008455F9" w:rsidRPr="004068F6">
        <w:t xml:space="preserve">puede ser general, mientras que la </w:t>
      </w:r>
      <w:r w:rsidR="00A92F34" w:rsidRPr="004068F6">
        <w:t xml:space="preserve">relativa a la </w:t>
      </w:r>
      <w:r w:rsidR="008455F9" w:rsidRPr="004068F6">
        <w:rPr>
          <w:i/>
          <w:iCs/>
        </w:rPr>
        <w:t xml:space="preserve">concentración de material particulado </w:t>
      </w:r>
      <w:r w:rsidR="00966297" w:rsidRPr="004068F6">
        <w:t>d</w:t>
      </w:r>
      <w:r w:rsidR="00A92F34" w:rsidRPr="004068F6">
        <w:t>ebe tener un grado de detalle mayor</w:t>
      </w:r>
      <w:r w:rsidR="00966297" w:rsidRPr="004068F6">
        <w:t xml:space="preserve"> y </w:t>
      </w:r>
      <w:r w:rsidR="001D2376" w:rsidRPr="004068F6">
        <w:t xml:space="preserve">ser </w:t>
      </w:r>
      <w:r w:rsidR="00966297" w:rsidRPr="004068F6">
        <w:t>suficiente para evidenciar diferencias</w:t>
      </w:r>
      <w:r w:rsidR="00936F52" w:rsidRPr="004068F6">
        <w:t xml:space="preserve"> entre los impactos de las alternativas</w:t>
      </w:r>
      <w:r w:rsidR="00A92F34" w:rsidRPr="004068F6">
        <w:t>.</w:t>
      </w:r>
    </w:p>
    <w:p w14:paraId="6771C634" w14:textId="77777777" w:rsidR="008455F9" w:rsidRPr="004068F6" w:rsidRDefault="008455F9" w:rsidP="3BACB336">
      <w:pPr>
        <w:suppressAutoHyphens/>
        <w:rPr>
          <w:spacing w:val="-3"/>
        </w:rPr>
      </w:pPr>
    </w:p>
    <w:p w14:paraId="66E50DE7" w14:textId="48FA5D0F" w:rsidR="00DA69C8" w:rsidRPr="004068F6" w:rsidRDefault="003613E6" w:rsidP="3BACB336">
      <w:pPr>
        <w:suppressAutoHyphens/>
        <w:rPr>
          <w:spacing w:val="-3"/>
        </w:rPr>
      </w:pPr>
      <w:r w:rsidRPr="004068F6">
        <w:rPr>
          <w:spacing w:val="-3"/>
        </w:rPr>
        <w:t>Por lo anterior</w:t>
      </w:r>
      <w:r w:rsidR="00977DA5" w:rsidRPr="004068F6">
        <w:rPr>
          <w:spacing w:val="-3"/>
        </w:rPr>
        <w:t xml:space="preserve">, se deben adaptar los requerimientos de los términos de referencia </w:t>
      </w:r>
      <w:r w:rsidR="007B6DC7" w:rsidRPr="004068F6">
        <w:rPr>
          <w:spacing w:val="-3"/>
        </w:rPr>
        <w:t xml:space="preserve">y las orientaciones </w:t>
      </w:r>
      <w:r w:rsidRPr="004068F6">
        <w:rPr>
          <w:spacing w:val="-3"/>
        </w:rPr>
        <w:t xml:space="preserve">metodológicas </w:t>
      </w:r>
      <w:r w:rsidR="007B6DC7" w:rsidRPr="004068F6">
        <w:rPr>
          <w:spacing w:val="-3"/>
        </w:rPr>
        <w:t>de est</w:t>
      </w:r>
      <w:r w:rsidRPr="004068F6">
        <w:rPr>
          <w:spacing w:val="-3"/>
        </w:rPr>
        <w:t xml:space="preserve">e documento </w:t>
      </w:r>
      <w:r w:rsidR="00874A6C" w:rsidRPr="004068F6">
        <w:rPr>
          <w:spacing w:val="-3"/>
        </w:rPr>
        <w:t xml:space="preserve">para que el detalle de la información, según las condiciones particulares de las alternativas planteadas, permita </w:t>
      </w:r>
      <w:r w:rsidR="00B40D5C" w:rsidRPr="004068F6">
        <w:rPr>
          <w:spacing w:val="-3"/>
        </w:rPr>
        <w:t xml:space="preserve">cumplir </w:t>
      </w:r>
      <w:r w:rsidR="00874A6C" w:rsidRPr="004068F6">
        <w:rPr>
          <w:spacing w:val="-3"/>
        </w:rPr>
        <w:t xml:space="preserve">las tres </w:t>
      </w:r>
      <w:r w:rsidR="00B40D5C" w:rsidRPr="004068F6">
        <w:rPr>
          <w:spacing w:val="-3"/>
        </w:rPr>
        <w:t>características</w:t>
      </w:r>
      <w:r w:rsidR="00874A6C" w:rsidRPr="004068F6">
        <w:rPr>
          <w:spacing w:val="-3"/>
        </w:rPr>
        <w:t xml:space="preserve"> señaladas previamente</w:t>
      </w:r>
      <w:r w:rsidRPr="004068F6">
        <w:rPr>
          <w:spacing w:val="-3"/>
        </w:rPr>
        <w:t>;</w:t>
      </w:r>
      <w:r w:rsidR="00B40D5C" w:rsidRPr="004068F6">
        <w:rPr>
          <w:spacing w:val="-3"/>
        </w:rPr>
        <w:t xml:space="preserve"> </w:t>
      </w:r>
      <w:r w:rsidRPr="004068F6">
        <w:rPr>
          <w:spacing w:val="-3"/>
        </w:rPr>
        <w:t>s</w:t>
      </w:r>
      <w:r w:rsidR="000B391F" w:rsidRPr="004068F6">
        <w:rPr>
          <w:spacing w:val="-3"/>
        </w:rPr>
        <w:t xml:space="preserve">i </w:t>
      </w:r>
      <w:r w:rsidR="007B6DC7" w:rsidRPr="004068F6">
        <w:rPr>
          <w:spacing w:val="-3"/>
        </w:rPr>
        <w:t xml:space="preserve">un conjunto de </w:t>
      </w:r>
      <w:r w:rsidR="00874A6C" w:rsidRPr="004068F6">
        <w:rPr>
          <w:spacing w:val="-3"/>
        </w:rPr>
        <w:t xml:space="preserve">información </w:t>
      </w:r>
      <w:r w:rsidR="000B391F" w:rsidRPr="004068F6">
        <w:rPr>
          <w:spacing w:val="-3"/>
        </w:rPr>
        <w:t xml:space="preserve">no </w:t>
      </w:r>
      <w:r w:rsidRPr="004068F6">
        <w:rPr>
          <w:spacing w:val="-3"/>
        </w:rPr>
        <w:t xml:space="preserve">las </w:t>
      </w:r>
      <w:r w:rsidR="00874A6C" w:rsidRPr="004068F6">
        <w:rPr>
          <w:spacing w:val="-3"/>
        </w:rPr>
        <w:t>cumple</w:t>
      </w:r>
      <w:r w:rsidR="00B40D5C" w:rsidRPr="004068F6">
        <w:rPr>
          <w:spacing w:val="-3"/>
        </w:rPr>
        <w:t xml:space="preserve">, </w:t>
      </w:r>
      <w:r w:rsidR="000B391F" w:rsidRPr="004068F6">
        <w:rPr>
          <w:spacing w:val="-3"/>
        </w:rPr>
        <w:t xml:space="preserve">se </w:t>
      </w:r>
      <w:r w:rsidR="00874A6C" w:rsidRPr="004068F6">
        <w:rPr>
          <w:spacing w:val="-3"/>
        </w:rPr>
        <w:t xml:space="preserve">debe concluir </w:t>
      </w:r>
      <w:r w:rsidR="000B391F" w:rsidRPr="004068F6">
        <w:rPr>
          <w:spacing w:val="-3"/>
        </w:rPr>
        <w:t>que no es suficiente</w:t>
      </w:r>
      <w:r w:rsidR="00B40D5C" w:rsidRPr="004068F6">
        <w:rPr>
          <w:spacing w:val="-3"/>
        </w:rPr>
        <w:t xml:space="preserve">, que no </w:t>
      </w:r>
      <w:r w:rsidR="000B391F" w:rsidRPr="004068F6">
        <w:rPr>
          <w:spacing w:val="-3"/>
        </w:rPr>
        <w:t xml:space="preserve">tiene la calidad requerida </w:t>
      </w:r>
      <w:r w:rsidR="00B40D5C" w:rsidRPr="004068F6">
        <w:rPr>
          <w:spacing w:val="-3"/>
        </w:rPr>
        <w:t xml:space="preserve">o que no es actual </w:t>
      </w:r>
      <w:r w:rsidR="000B391F" w:rsidRPr="004068F6">
        <w:rPr>
          <w:spacing w:val="-3"/>
        </w:rPr>
        <w:t>y</w:t>
      </w:r>
      <w:r w:rsidR="00B40D5C" w:rsidRPr="004068F6">
        <w:rPr>
          <w:spacing w:val="-3"/>
        </w:rPr>
        <w:t>,</w:t>
      </w:r>
      <w:r w:rsidR="000B391F" w:rsidRPr="004068F6">
        <w:rPr>
          <w:spacing w:val="-3"/>
        </w:rPr>
        <w:t xml:space="preserve"> por tanto, </w:t>
      </w:r>
      <w:r w:rsidR="00874A6C" w:rsidRPr="004068F6">
        <w:rPr>
          <w:spacing w:val="-3"/>
        </w:rPr>
        <w:t xml:space="preserve">que es necesario emplear otra </w:t>
      </w:r>
      <w:r w:rsidR="00B40D5C" w:rsidRPr="004068F6">
        <w:rPr>
          <w:spacing w:val="-3"/>
        </w:rPr>
        <w:t xml:space="preserve">fuente de información </w:t>
      </w:r>
      <w:r w:rsidR="005A5FBE" w:rsidRPr="004068F6">
        <w:rPr>
          <w:spacing w:val="-3"/>
        </w:rPr>
        <w:t xml:space="preserve">secundaria </w:t>
      </w:r>
      <w:r w:rsidR="00B40D5C" w:rsidRPr="004068F6">
        <w:rPr>
          <w:spacing w:val="-3"/>
        </w:rPr>
        <w:t xml:space="preserve">u </w:t>
      </w:r>
      <w:r w:rsidR="000B391F" w:rsidRPr="004068F6">
        <w:rPr>
          <w:spacing w:val="-3"/>
        </w:rPr>
        <w:t>obtene</w:t>
      </w:r>
      <w:r w:rsidR="00B40D5C" w:rsidRPr="004068F6">
        <w:rPr>
          <w:spacing w:val="-3"/>
        </w:rPr>
        <w:t xml:space="preserve">r </w:t>
      </w:r>
      <w:r w:rsidR="000B391F" w:rsidRPr="004068F6">
        <w:rPr>
          <w:spacing w:val="-3"/>
        </w:rPr>
        <w:t>información primaria.</w:t>
      </w:r>
    </w:p>
    <w:p w14:paraId="140756F8" w14:textId="77777777" w:rsidR="00DA69C8" w:rsidRPr="004068F6" w:rsidRDefault="00DA69C8" w:rsidP="3BACB336">
      <w:pPr>
        <w:suppressAutoHyphens/>
        <w:rPr>
          <w:spacing w:val="-3"/>
        </w:rPr>
      </w:pPr>
    </w:p>
    <w:p w14:paraId="51338387" w14:textId="0E5ED0D2" w:rsidR="000B3783" w:rsidRPr="004068F6" w:rsidRDefault="00FA7001" w:rsidP="00127BD4">
      <w:pPr>
        <w:suppressAutoHyphens/>
        <w:rPr>
          <w:rFonts w:cs="Arial"/>
          <w:spacing w:val="-3"/>
        </w:rPr>
      </w:pPr>
      <w:r w:rsidRPr="004068F6">
        <w:rPr>
          <w:spacing w:val="-3"/>
        </w:rPr>
        <w:lastRenderedPageBreak/>
        <w:t xml:space="preserve">Un mecanismo para determinar la </w:t>
      </w:r>
      <w:r w:rsidR="0004567F" w:rsidRPr="004068F6">
        <w:rPr>
          <w:spacing w:val="-3"/>
        </w:rPr>
        <w:t xml:space="preserve">oportunidad y </w:t>
      </w:r>
      <w:r w:rsidRPr="004068F6">
        <w:rPr>
          <w:spacing w:val="-3"/>
        </w:rPr>
        <w:t xml:space="preserve">calidad de la información </w:t>
      </w:r>
      <w:r w:rsidR="000C4050" w:rsidRPr="004068F6">
        <w:rPr>
          <w:spacing w:val="-3"/>
        </w:rPr>
        <w:t xml:space="preserve">de acuerdo con </w:t>
      </w:r>
      <w:r w:rsidRPr="004068F6">
        <w:rPr>
          <w:spacing w:val="-3"/>
        </w:rPr>
        <w:t xml:space="preserve">los criterios señalados con anterioridad (diferenciación </w:t>
      </w:r>
      <w:r w:rsidR="00A246CA" w:rsidRPr="004068F6">
        <w:rPr>
          <w:spacing w:val="-3"/>
        </w:rPr>
        <w:t xml:space="preserve">entre alternativas </w:t>
      </w:r>
      <w:r w:rsidR="00745C48" w:rsidRPr="004068F6">
        <w:rPr>
          <w:spacing w:val="-3"/>
        </w:rPr>
        <w:t xml:space="preserve">mediante </w:t>
      </w:r>
      <w:r w:rsidRPr="004068F6">
        <w:rPr>
          <w:spacing w:val="-3"/>
        </w:rPr>
        <w:t xml:space="preserve">significancia y </w:t>
      </w:r>
      <w:r w:rsidR="00745C48" w:rsidRPr="004068F6">
        <w:rPr>
          <w:spacing w:val="-3"/>
        </w:rPr>
        <w:t xml:space="preserve">extensión </w:t>
      </w:r>
      <w:r w:rsidRPr="004068F6">
        <w:rPr>
          <w:spacing w:val="-3"/>
        </w:rPr>
        <w:t>de impactos</w:t>
      </w:r>
      <w:r w:rsidR="003D1EB6" w:rsidRPr="004068F6">
        <w:rPr>
          <w:spacing w:val="-3"/>
        </w:rPr>
        <w:t>,</w:t>
      </w:r>
      <w:r w:rsidRPr="004068F6">
        <w:rPr>
          <w:spacing w:val="-3"/>
        </w:rPr>
        <w:t xml:space="preserve"> grado de </w:t>
      </w:r>
      <w:r w:rsidR="000C4050" w:rsidRPr="004068F6">
        <w:rPr>
          <w:spacing w:val="-3"/>
        </w:rPr>
        <w:t>actualidad</w:t>
      </w:r>
      <w:r w:rsidR="003D1EB6" w:rsidRPr="004068F6">
        <w:rPr>
          <w:spacing w:val="-3"/>
        </w:rPr>
        <w:t xml:space="preserve"> y noción de impactos en términos de significancia y </w:t>
      </w:r>
      <w:r w:rsidR="00745C48" w:rsidRPr="004068F6">
        <w:rPr>
          <w:spacing w:val="-3"/>
        </w:rPr>
        <w:t>extensión</w:t>
      </w:r>
      <w:r w:rsidRPr="004068F6">
        <w:rPr>
          <w:spacing w:val="-3"/>
        </w:rPr>
        <w:t>)</w:t>
      </w:r>
      <w:r w:rsidR="000C4050" w:rsidRPr="004068F6">
        <w:rPr>
          <w:spacing w:val="-3"/>
        </w:rPr>
        <w:t xml:space="preserve">, es la </w:t>
      </w:r>
      <w:r w:rsidR="00F97C5C" w:rsidRPr="004068F6">
        <w:rPr>
          <w:spacing w:val="-3"/>
        </w:rPr>
        <w:t>valida</w:t>
      </w:r>
      <w:r w:rsidR="000C4050" w:rsidRPr="004068F6">
        <w:rPr>
          <w:spacing w:val="-3"/>
        </w:rPr>
        <w:t xml:space="preserve">ción </w:t>
      </w:r>
      <w:r w:rsidR="00F97C5C" w:rsidRPr="004068F6">
        <w:rPr>
          <w:spacing w:val="-3"/>
        </w:rPr>
        <w:t>en campo</w:t>
      </w:r>
      <w:r w:rsidR="000C4050" w:rsidRPr="004068F6">
        <w:rPr>
          <w:spacing w:val="-3"/>
        </w:rPr>
        <w:t xml:space="preserve">. Tal validación puede desarrollarse </w:t>
      </w:r>
      <w:r w:rsidR="00F97C5C" w:rsidRPr="004068F6">
        <w:rPr>
          <w:spacing w:val="-3"/>
        </w:rPr>
        <w:t xml:space="preserve">mediante </w:t>
      </w:r>
      <w:r w:rsidR="00F86F9A" w:rsidRPr="004068F6">
        <w:rPr>
          <w:spacing w:val="-3"/>
        </w:rPr>
        <w:t>métodos</w:t>
      </w:r>
      <w:r w:rsidR="006F350B" w:rsidRPr="004068F6">
        <w:rPr>
          <w:spacing w:val="-3"/>
        </w:rPr>
        <w:t xml:space="preserve"> </w:t>
      </w:r>
      <w:r w:rsidR="00FA7F70" w:rsidRPr="004068F6">
        <w:rPr>
          <w:spacing w:val="-3"/>
        </w:rPr>
        <w:t>que resulten pertinentes y aplicables a la caracterización en curso, por ejemplo, es posible</w:t>
      </w:r>
      <w:r w:rsidR="000C4050" w:rsidRPr="004068F6">
        <w:rPr>
          <w:spacing w:val="-3"/>
        </w:rPr>
        <w:t xml:space="preserve"> implementa</w:t>
      </w:r>
      <w:r w:rsidR="00FA7F70" w:rsidRPr="004068F6">
        <w:rPr>
          <w:spacing w:val="-3"/>
        </w:rPr>
        <w:t>r</w:t>
      </w:r>
      <w:r w:rsidR="000C4050" w:rsidRPr="004068F6">
        <w:rPr>
          <w:spacing w:val="-3"/>
        </w:rPr>
        <w:t xml:space="preserve"> </w:t>
      </w:r>
      <w:r w:rsidR="00FA7F70" w:rsidRPr="004068F6">
        <w:rPr>
          <w:spacing w:val="-3"/>
        </w:rPr>
        <w:t>métodos tan disimiles como la medición de parámetros abióticos o</w:t>
      </w:r>
      <w:r w:rsidR="00F86F9A" w:rsidRPr="004068F6">
        <w:rPr>
          <w:spacing w:val="-3"/>
        </w:rPr>
        <w:t xml:space="preserve"> la</w:t>
      </w:r>
      <w:r w:rsidR="000C4050" w:rsidRPr="004068F6">
        <w:rPr>
          <w:spacing w:val="-3"/>
        </w:rPr>
        <w:t xml:space="preserve"> ejecución de</w:t>
      </w:r>
      <w:r w:rsidR="00F86F9A" w:rsidRPr="004068F6">
        <w:rPr>
          <w:spacing w:val="-3"/>
        </w:rPr>
        <w:t xml:space="preserve"> </w:t>
      </w:r>
      <w:r w:rsidR="00F97C5C" w:rsidRPr="004068F6">
        <w:rPr>
          <w:spacing w:val="-3"/>
        </w:rPr>
        <w:t>entrevistas semiestructuradas</w:t>
      </w:r>
      <w:r w:rsidR="0075168F" w:rsidRPr="004068F6">
        <w:rPr>
          <w:spacing w:val="-3"/>
        </w:rPr>
        <w:t xml:space="preserve"> o </w:t>
      </w:r>
      <w:r w:rsidR="0083020C" w:rsidRPr="004068F6">
        <w:rPr>
          <w:spacing w:val="-3"/>
        </w:rPr>
        <w:t xml:space="preserve">de </w:t>
      </w:r>
      <w:r w:rsidR="0075168F" w:rsidRPr="004068F6">
        <w:rPr>
          <w:spacing w:val="-3"/>
        </w:rPr>
        <w:t>cartografía social</w:t>
      </w:r>
      <w:r w:rsidR="00F86F9A" w:rsidRPr="004068F6">
        <w:rPr>
          <w:spacing w:val="-3"/>
        </w:rPr>
        <w:t>.</w:t>
      </w:r>
    </w:p>
    <w:p w14:paraId="78A24AA2" w14:textId="77777777" w:rsidR="000B3783" w:rsidRPr="004068F6" w:rsidRDefault="000B3783">
      <w:pPr>
        <w:numPr>
          <w:ilvl w:val="12"/>
          <w:numId w:val="0"/>
        </w:numPr>
        <w:tabs>
          <w:tab w:val="left" w:pos="-2268"/>
        </w:tabs>
        <w:suppressAutoHyphens/>
        <w:rPr>
          <w:spacing w:val="-3"/>
        </w:rPr>
      </w:pPr>
    </w:p>
    <w:p w14:paraId="7A5E071A" w14:textId="16426564" w:rsidR="00F97C5C" w:rsidRPr="004068F6" w:rsidRDefault="00F97C5C">
      <w:pPr>
        <w:numPr>
          <w:ilvl w:val="12"/>
          <w:numId w:val="0"/>
        </w:numPr>
        <w:tabs>
          <w:tab w:val="left" w:pos="-2268"/>
        </w:tabs>
        <w:suppressAutoHyphens/>
        <w:rPr>
          <w:spacing w:val="-3"/>
        </w:rPr>
      </w:pPr>
      <w:r w:rsidRPr="004068F6">
        <w:rPr>
          <w:spacing w:val="-3"/>
        </w:rPr>
        <w:t xml:space="preserve">La cartografía temática debe contener información </w:t>
      </w:r>
      <w:r w:rsidR="00FF5FF5" w:rsidRPr="004068F6">
        <w:rPr>
          <w:spacing w:val="-3"/>
        </w:rPr>
        <w:t xml:space="preserve">reciente </w:t>
      </w:r>
      <w:r w:rsidRPr="004068F6">
        <w:rPr>
          <w:spacing w:val="-3"/>
        </w:rPr>
        <w:t xml:space="preserve">y ajustada </w:t>
      </w:r>
      <w:r w:rsidRPr="004068F6">
        <w:rPr>
          <w:rFonts w:cs="Arial"/>
          <w:spacing w:val="-3"/>
        </w:rPr>
        <w:t>a partir de</w:t>
      </w:r>
      <w:r w:rsidRPr="004068F6">
        <w:rPr>
          <w:spacing w:val="-3"/>
        </w:rPr>
        <w:t xml:space="preserve"> la interpretación </w:t>
      </w:r>
      <w:r w:rsidRPr="004068F6">
        <w:rPr>
          <w:rFonts w:cs="Arial"/>
          <w:spacing w:val="-3"/>
        </w:rPr>
        <w:t>de imágenes</w:t>
      </w:r>
      <w:r w:rsidRPr="004068F6">
        <w:rPr>
          <w:spacing w:val="-3"/>
        </w:rPr>
        <w:t xml:space="preserve"> de sensores remotos y </w:t>
      </w:r>
      <w:r w:rsidR="006A0438" w:rsidRPr="004068F6">
        <w:rPr>
          <w:rFonts w:cs="Arial"/>
          <w:spacing w:val="-3"/>
        </w:rPr>
        <w:t>d</w:t>
      </w:r>
      <w:r w:rsidRPr="004068F6">
        <w:rPr>
          <w:spacing w:val="-3"/>
        </w:rPr>
        <w:t>e control de campo</w:t>
      </w:r>
      <w:r w:rsidRPr="004068F6">
        <w:rPr>
          <w:rFonts w:cs="Arial"/>
          <w:spacing w:val="-3"/>
        </w:rPr>
        <w:t xml:space="preserve"> en caso de ser necesario</w:t>
      </w:r>
      <w:r w:rsidR="007D2385" w:rsidRPr="004068F6">
        <w:rPr>
          <w:rFonts w:cs="Arial"/>
          <w:spacing w:val="-3"/>
        </w:rPr>
        <w:t xml:space="preserve"> (consultar numeral </w:t>
      </w:r>
      <w:r w:rsidR="007D2385" w:rsidRPr="004068F6">
        <w:rPr>
          <w:rFonts w:cs="Arial"/>
          <w:spacing w:val="-3"/>
        </w:rPr>
        <w:fldChar w:fldCharType="begin"/>
      </w:r>
      <w:r w:rsidR="007D2385" w:rsidRPr="004068F6">
        <w:rPr>
          <w:rFonts w:cs="Arial"/>
          <w:spacing w:val="-3"/>
        </w:rPr>
        <w:instrText xml:space="preserve"> REF _Ref82532631 \r \h </w:instrText>
      </w:r>
      <w:r w:rsidR="00BD1319" w:rsidRPr="004068F6">
        <w:rPr>
          <w:rFonts w:cs="Arial"/>
          <w:spacing w:val="-3"/>
        </w:rPr>
        <w:instrText xml:space="preserve"> \* MERGEFORMAT </w:instrText>
      </w:r>
      <w:r w:rsidR="007D2385" w:rsidRPr="004068F6">
        <w:rPr>
          <w:rFonts w:cs="Arial"/>
          <w:spacing w:val="-3"/>
        </w:rPr>
      </w:r>
      <w:r w:rsidR="007D2385" w:rsidRPr="004068F6">
        <w:rPr>
          <w:rFonts w:cs="Arial"/>
          <w:spacing w:val="-3"/>
        </w:rPr>
        <w:fldChar w:fldCharType="separate"/>
      </w:r>
      <w:r w:rsidR="009C4A81">
        <w:rPr>
          <w:rFonts w:cs="Arial"/>
          <w:spacing w:val="-3"/>
        </w:rPr>
        <w:t>4</w:t>
      </w:r>
      <w:r w:rsidR="007D2385" w:rsidRPr="004068F6">
        <w:rPr>
          <w:rFonts w:cs="Arial"/>
          <w:spacing w:val="-3"/>
        </w:rPr>
        <w:fldChar w:fldCharType="end"/>
      </w:r>
      <w:r w:rsidR="007D2385" w:rsidRPr="004068F6">
        <w:rPr>
          <w:rFonts w:cs="Arial"/>
          <w:spacing w:val="-3"/>
        </w:rPr>
        <w:t xml:space="preserve"> del capítulo I)</w:t>
      </w:r>
      <w:r w:rsidRPr="004068F6">
        <w:rPr>
          <w:spacing w:val="-3"/>
        </w:rPr>
        <w:t xml:space="preserve">. </w:t>
      </w:r>
      <w:r w:rsidR="00A50836" w:rsidRPr="004068F6">
        <w:rPr>
          <w:spacing w:val="-3"/>
        </w:rPr>
        <w:t>Los requerimientos mínimos con respecto a l</w:t>
      </w:r>
      <w:r w:rsidRPr="004068F6">
        <w:rPr>
          <w:spacing w:val="-3"/>
        </w:rPr>
        <w:t xml:space="preserve">a escala </w:t>
      </w:r>
      <w:r w:rsidR="007D2385" w:rsidRPr="004068F6">
        <w:rPr>
          <w:spacing w:val="-3"/>
        </w:rPr>
        <w:t xml:space="preserve">de trabajo </w:t>
      </w:r>
      <w:r w:rsidRPr="004068F6">
        <w:rPr>
          <w:spacing w:val="-3"/>
        </w:rPr>
        <w:t>de la información se especifica</w:t>
      </w:r>
      <w:r w:rsidR="00A50836" w:rsidRPr="004068F6">
        <w:rPr>
          <w:spacing w:val="-3"/>
        </w:rPr>
        <w:t>n</w:t>
      </w:r>
      <w:r w:rsidRPr="004068F6">
        <w:rPr>
          <w:spacing w:val="-3"/>
        </w:rPr>
        <w:t xml:space="preserve"> en los términos de referencia</w:t>
      </w:r>
      <w:r w:rsidR="00A50836" w:rsidRPr="004068F6">
        <w:rPr>
          <w:spacing w:val="-3"/>
        </w:rPr>
        <w:t xml:space="preserve">, no obstante, se debe tener en cuenta que dicha escala puede ser más detallada en función </w:t>
      </w:r>
      <w:r w:rsidR="006A0438" w:rsidRPr="004068F6">
        <w:rPr>
          <w:spacing w:val="-3"/>
        </w:rPr>
        <w:t xml:space="preserve">del tipo de fenómeno caracterizado, </w:t>
      </w:r>
      <w:r w:rsidRPr="004068F6">
        <w:rPr>
          <w:spacing w:val="-3"/>
        </w:rPr>
        <w:t>del tamaño del proyecto, de la localización de las alternativas y de la extensión del área de estudio.</w:t>
      </w:r>
    </w:p>
    <w:p w14:paraId="103228AA" w14:textId="77777777" w:rsidR="00CA417A" w:rsidRPr="004068F6" w:rsidRDefault="00CA417A">
      <w:pPr>
        <w:numPr>
          <w:ilvl w:val="12"/>
          <w:numId w:val="0"/>
        </w:numPr>
        <w:tabs>
          <w:tab w:val="left" w:pos="-2268"/>
        </w:tabs>
        <w:suppressAutoHyphens/>
        <w:rPr>
          <w:spacing w:val="-3"/>
        </w:rPr>
      </w:pPr>
    </w:p>
    <w:p w14:paraId="5C22AC98" w14:textId="31B110A6" w:rsidR="000C4F2E" w:rsidRPr="004068F6" w:rsidRDefault="000C4F2E" w:rsidP="000C4F2E">
      <w:pPr>
        <w:numPr>
          <w:ilvl w:val="12"/>
          <w:numId w:val="0"/>
        </w:numPr>
        <w:tabs>
          <w:tab w:val="left" w:pos="-2268"/>
        </w:tabs>
        <w:suppressAutoHyphens/>
        <w:rPr>
          <w:spacing w:val="-3"/>
        </w:rPr>
      </w:pPr>
      <w:r w:rsidRPr="004068F6">
        <w:rPr>
          <w:spacing w:val="-3"/>
        </w:rPr>
        <w:t xml:space="preserve">Toda la información geográfica de caracterización ambiental debe ser almacenada y presentada de acuerdo con el Modelo de </w:t>
      </w:r>
      <w:r w:rsidRPr="004068F6">
        <w:rPr>
          <w:rFonts w:cs="Arial"/>
          <w:spacing w:val="-3"/>
        </w:rPr>
        <w:t xml:space="preserve">Almacenamiento Geográfico (MAG) </w:t>
      </w:r>
      <w:r w:rsidRPr="004068F6">
        <w:rPr>
          <w:spacing w:val="-3"/>
        </w:rPr>
        <w:t xml:space="preserve">adoptado por Minambiente; los datos espaciales deben tener la estructura de capas geográficas, tablas asociadas, dominios, definiciones, clasificaciones o categorías, estándares, </w:t>
      </w:r>
      <w:r w:rsidR="005E0823" w:rsidRPr="004068F6">
        <w:rPr>
          <w:spacing w:val="-3"/>
        </w:rPr>
        <w:t xml:space="preserve">documento léame, </w:t>
      </w:r>
      <w:r w:rsidRPr="004068F6">
        <w:rPr>
          <w:spacing w:val="-3"/>
        </w:rPr>
        <w:t>entre otros lineamientos definidos en la Resolución 2182 de 2016 o aquella que la modifique</w:t>
      </w:r>
      <w:r w:rsidRPr="004068F6">
        <w:rPr>
          <w:rFonts w:cs="Arial"/>
          <w:spacing w:val="-3"/>
        </w:rPr>
        <w:t xml:space="preserve"> o</w:t>
      </w:r>
      <w:r w:rsidRPr="004068F6">
        <w:rPr>
          <w:spacing w:val="-3"/>
        </w:rPr>
        <w:t xml:space="preserve"> sustituya.</w:t>
      </w:r>
    </w:p>
    <w:p w14:paraId="14FCF612" w14:textId="77777777" w:rsidR="000C4F2E" w:rsidRPr="004068F6" w:rsidRDefault="000C4F2E">
      <w:pPr>
        <w:numPr>
          <w:ilvl w:val="12"/>
          <w:numId w:val="0"/>
        </w:numPr>
        <w:tabs>
          <w:tab w:val="left" w:pos="-2268"/>
        </w:tabs>
        <w:suppressAutoHyphens/>
        <w:rPr>
          <w:spacing w:val="-3"/>
        </w:rPr>
      </w:pPr>
    </w:p>
    <w:p w14:paraId="7747E4CB" w14:textId="64EEBD22" w:rsidR="00315DC1" w:rsidRPr="004068F6" w:rsidRDefault="00315DC1" w:rsidP="00315DC1">
      <w:pPr>
        <w:numPr>
          <w:ilvl w:val="12"/>
          <w:numId w:val="0"/>
        </w:numPr>
        <w:tabs>
          <w:tab w:val="left" w:pos="-2268"/>
        </w:tabs>
        <w:suppressAutoHyphens/>
        <w:rPr>
          <w:spacing w:val="-3"/>
        </w:rPr>
      </w:pPr>
      <w:r w:rsidRPr="004068F6">
        <w:rPr>
          <w:spacing w:val="-3"/>
        </w:rPr>
        <w:t>Es importante que</w:t>
      </w:r>
      <w:r w:rsidRPr="004068F6">
        <w:rPr>
          <w:rFonts w:cs="Arial"/>
          <w:spacing w:val="-3"/>
        </w:rPr>
        <w:t>,</w:t>
      </w:r>
      <w:r w:rsidRPr="004068F6">
        <w:rPr>
          <w:spacing w:val="-3"/>
        </w:rPr>
        <w:t xml:space="preserve"> al adaptar los lineamientos de la metodología y los requerimientos de información de los términos de referencia a las condiciones particulares de evaluación de alternativas, se incorporen parámetros e indicadores que brinden información </w:t>
      </w:r>
      <w:r w:rsidRPr="004068F6">
        <w:rPr>
          <w:rFonts w:cs="Arial"/>
          <w:spacing w:val="-3"/>
        </w:rPr>
        <w:t>relevante</w:t>
      </w:r>
      <w:r w:rsidRPr="004068F6">
        <w:rPr>
          <w:spacing w:val="-3"/>
        </w:rPr>
        <w:t xml:space="preserve"> sobre las características ambientales </w:t>
      </w:r>
      <w:r w:rsidR="0050306B" w:rsidRPr="004068F6">
        <w:rPr>
          <w:spacing w:val="-3"/>
        </w:rPr>
        <w:t xml:space="preserve">para </w:t>
      </w:r>
      <w:r w:rsidRPr="004068F6">
        <w:rPr>
          <w:spacing w:val="-3"/>
        </w:rPr>
        <w:t>determinar cómo se diferencian las alternativas entre sí. Cuando se identifique que cierto lineamiento metodológico o requerimiento de información no es aplicable a la evaluación de alternativas, se debe justificar técnicamente las razones por las cuales no se desarrolla.</w:t>
      </w:r>
    </w:p>
    <w:p w14:paraId="04AFF576" w14:textId="77777777" w:rsidR="008D5D93" w:rsidRPr="004068F6" w:rsidRDefault="008D5D93" w:rsidP="00315DC1">
      <w:pPr>
        <w:numPr>
          <w:ilvl w:val="12"/>
          <w:numId w:val="0"/>
        </w:numPr>
        <w:tabs>
          <w:tab w:val="left" w:pos="-2268"/>
        </w:tabs>
        <w:suppressAutoHyphens/>
        <w:rPr>
          <w:spacing w:val="-3"/>
        </w:rPr>
      </w:pPr>
    </w:p>
    <w:p w14:paraId="58DD56F5" w14:textId="571FA43A" w:rsidR="008D5D93" w:rsidRPr="004068F6" w:rsidRDefault="008D5D93" w:rsidP="00315DC1">
      <w:pPr>
        <w:numPr>
          <w:ilvl w:val="12"/>
          <w:numId w:val="0"/>
        </w:numPr>
        <w:tabs>
          <w:tab w:val="left" w:pos="-2268"/>
        </w:tabs>
        <w:suppressAutoHyphens/>
        <w:rPr>
          <w:spacing w:val="-3"/>
        </w:rPr>
      </w:pPr>
      <w:r w:rsidRPr="004068F6">
        <w:rPr>
          <w:spacing w:val="-3"/>
        </w:rPr>
        <w:t xml:space="preserve">Asimismo, cuando </w:t>
      </w:r>
      <w:r w:rsidR="00EC416F" w:rsidRPr="004068F6">
        <w:rPr>
          <w:spacing w:val="-3"/>
        </w:rPr>
        <w:t xml:space="preserve">el desarrollo de un procedimiento en particular </w:t>
      </w:r>
      <w:r w:rsidR="00DC70C0" w:rsidRPr="004068F6">
        <w:rPr>
          <w:spacing w:val="-3"/>
        </w:rPr>
        <w:t xml:space="preserve">dependa de información secundaria </w:t>
      </w:r>
      <w:r w:rsidR="00294724" w:rsidRPr="004068F6">
        <w:rPr>
          <w:spacing w:val="-3"/>
        </w:rPr>
        <w:t xml:space="preserve">de </w:t>
      </w:r>
      <w:r w:rsidR="00BF255F" w:rsidRPr="004068F6">
        <w:rPr>
          <w:spacing w:val="-3"/>
        </w:rPr>
        <w:t xml:space="preserve">competencia </w:t>
      </w:r>
      <w:r w:rsidR="00294724" w:rsidRPr="004068F6">
        <w:rPr>
          <w:spacing w:val="-3"/>
        </w:rPr>
        <w:t xml:space="preserve">exclusiva </w:t>
      </w:r>
      <w:r w:rsidR="00BF255F" w:rsidRPr="004068F6">
        <w:rPr>
          <w:spacing w:val="-3"/>
        </w:rPr>
        <w:t xml:space="preserve">de las </w:t>
      </w:r>
      <w:r w:rsidR="00294724" w:rsidRPr="004068F6">
        <w:rPr>
          <w:spacing w:val="-3"/>
        </w:rPr>
        <w:t xml:space="preserve">autoridades ambientales </w:t>
      </w:r>
      <w:r w:rsidR="00BF255F" w:rsidRPr="004068F6">
        <w:rPr>
          <w:spacing w:val="-3"/>
        </w:rPr>
        <w:t xml:space="preserve">(p. ej. mapas de zonificación de áreas protegidas o de ecosistemas estratégicos) </w:t>
      </w:r>
      <w:r w:rsidR="00FC0B0C" w:rsidRPr="004068F6">
        <w:rPr>
          <w:spacing w:val="-3"/>
        </w:rPr>
        <w:t xml:space="preserve">y dicha información </w:t>
      </w:r>
      <w:r w:rsidR="001B0931" w:rsidRPr="004068F6">
        <w:rPr>
          <w:spacing w:val="-3"/>
        </w:rPr>
        <w:t xml:space="preserve">no sea recibida </w:t>
      </w:r>
      <w:r w:rsidR="00C82604" w:rsidRPr="004068F6">
        <w:rPr>
          <w:spacing w:val="-3"/>
        </w:rPr>
        <w:t xml:space="preserve">a pesar de haberla solicitado </w:t>
      </w:r>
      <w:r w:rsidR="001A4085" w:rsidRPr="004068F6">
        <w:rPr>
          <w:spacing w:val="-3"/>
        </w:rPr>
        <w:t xml:space="preserve">con antelación </w:t>
      </w:r>
      <w:r w:rsidR="00C82604" w:rsidRPr="004068F6">
        <w:rPr>
          <w:spacing w:val="-3"/>
        </w:rPr>
        <w:t xml:space="preserve">o </w:t>
      </w:r>
      <w:r w:rsidR="00FC0B0C" w:rsidRPr="004068F6">
        <w:rPr>
          <w:spacing w:val="-3"/>
        </w:rPr>
        <w:t>no tenga la calidad necesaria</w:t>
      </w:r>
      <w:r w:rsidR="00D129EA" w:rsidRPr="004068F6">
        <w:rPr>
          <w:spacing w:val="-3"/>
        </w:rPr>
        <w:t xml:space="preserve">, su escala </w:t>
      </w:r>
      <w:r w:rsidR="007A6F53" w:rsidRPr="004068F6">
        <w:rPr>
          <w:spacing w:val="-3"/>
        </w:rPr>
        <w:t xml:space="preserve">sea menos detallada que la escala </w:t>
      </w:r>
      <w:r w:rsidR="004B0A44" w:rsidRPr="004068F6">
        <w:rPr>
          <w:spacing w:val="-3"/>
        </w:rPr>
        <w:t>de trabajo</w:t>
      </w:r>
      <w:r w:rsidR="00EC416F" w:rsidRPr="004068F6">
        <w:rPr>
          <w:spacing w:val="-3"/>
        </w:rPr>
        <w:t xml:space="preserve">, </w:t>
      </w:r>
      <w:r w:rsidR="007A6F53" w:rsidRPr="004068F6">
        <w:rPr>
          <w:spacing w:val="-3"/>
        </w:rPr>
        <w:t xml:space="preserve">no </w:t>
      </w:r>
      <w:r w:rsidR="00EC416F" w:rsidRPr="004068F6">
        <w:rPr>
          <w:spacing w:val="-3"/>
        </w:rPr>
        <w:t>exista o no esté disponible, es necesario que en el estudio ambiental se mencione y docume</w:t>
      </w:r>
      <w:r w:rsidR="00D33CF5" w:rsidRPr="004068F6">
        <w:rPr>
          <w:spacing w:val="-3"/>
        </w:rPr>
        <w:t>n</w:t>
      </w:r>
      <w:r w:rsidR="00EC416F" w:rsidRPr="004068F6">
        <w:rPr>
          <w:spacing w:val="-3"/>
        </w:rPr>
        <w:t>te esta situación.</w:t>
      </w:r>
    </w:p>
    <w:p w14:paraId="4AD87E12" w14:textId="77777777" w:rsidR="00315DC1" w:rsidRPr="004068F6" w:rsidRDefault="00315DC1">
      <w:pPr>
        <w:numPr>
          <w:ilvl w:val="12"/>
          <w:numId w:val="0"/>
        </w:numPr>
        <w:tabs>
          <w:tab w:val="left" w:pos="-2268"/>
        </w:tabs>
        <w:suppressAutoHyphens/>
        <w:rPr>
          <w:spacing w:val="-3"/>
        </w:rPr>
      </w:pPr>
    </w:p>
    <w:p w14:paraId="4018DE1F" w14:textId="697091AA" w:rsidR="00F97C5C" w:rsidRPr="004068F6" w:rsidRDefault="00F97C5C" w:rsidP="00F97C5C">
      <w:pPr>
        <w:numPr>
          <w:ilvl w:val="12"/>
          <w:numId w:val="0"/>
        </w:numPr>
        <w:tabs>
          <w:tab w:val="left" w:pos="-2268"/>
        </w:tabs>
        <w:suppressAutoHyphens/>
        <w:rPr>
          <w:rFonts w:cs="Arial"/>
          <w:spacing w:val="-3"/>
        </w:rPr>
      </w:pPr>
      <w:r w:rsidRPr="004068F6">
        <w:rPr>
          <w:rFonts w:cs="Arial"/>
          <w:spacing w:val="-3"/>
        </w:rPr>
        <w:lastRenderedPageBreak/>
        <w:t xml:space="preserve">En caso de que la autoridad ambiental competente cuente con información de caracterización ambiental </w:t>
      </w:r>
      <w:r w:rsidR="0068149C" w:rsidRPr="004068F6">
        <w:rPr>
          <w:rFonts w:cs="Arial"/>
          <w:spacing w:val="-3"/>
        </w:rPr>
        <w:t xml:space="preserve">para </w:t>
      </w:r>
      <w:r w:rsidR="006A0438" w:rsidRPr="004068F6">
        <w:rPr>
          <w:rFonts w:cs="Arial"/>
          <w:spacing w:val="-3"/>
        </w:rPr>
        <w:t xml:space="preserve">el ámbito </w:t>
      </w:r>
      <w:r w:rsidRPr="004068F6">
        <w:rPr>
          <w:rFonts w:cs="Arial"/>
          <w:spacing w:val="-3"/>
        </w:rPr>
        <w:t xml:space="preserve">regional, </w:t>
      </w:r>
      <w:r w:rsidR="006A0438" w:rsidRPr="004068F6">
        <w:rPr>
          <w:rFonts w:cs="Arial"/>
          <w:spacing w:val="-3"/>
        </w:rPr>
        <w:t xml:space="preserve">se </w:t>
      </w:r>
      <w:r w:rsidRPr="004068F6">
        <w:rPr>
          <w:rFonts w:cs="Arial"/>
          <w:spacing w:val="-3"/>
        </w:rPr>
        <w:t xml:space="preserve">debe </w:t>
      </w:r>
      <w:r w:rsidR="00C60D14" w:rsidRPr="004068F6">
        <w:rPr>
          <w:rFonts w:cs="Arial"/>
          <w:spacing w:val="-3"/>
        </w:rPr>
        <w:t xml:space="preserve">procurar </w:t>
      </w:r>
      <w:r w:rsidR="008A321C" w:rsidRPr="004068F6">
        <w:rPr>
          <w:rFonts w:cs="Arial"/>
          <w:spacing w:val="-3"/>
        </w:rPr>
        <w:t xml:space="preserve">el </w:t>
      </w:r>
      <w:r w:rsidR="00471254" w:rsidRPr="004068F6">
        <w:rPr>
          <w:rFonts w:cs="Arial"/>
          <w:spacing w:val="-3"/>
        </w:rPr>
        <w:t>uso</w:t>
      </w:r>
      <w:r w:rsidR="008A321C" w:rsidRPr="004068F6">
        <w:rPr>
          <w:rFonts w:cs="Arial"/>
          <w:spacing w:val="-3"/>
        </w:rPr>
        <w:t xml:space="preserve"> </w:t>
      </w:r>
      <w:r w:rsidRPr="004068F6">
        <w:rPr>
          <w:rFonts w:cs="Arial"/>
          <w:spacing w:val="-3"/>
        </w:rPr>
        <w:t>de dicho insumo en la elaboración del DAA.</w:t>
      </w:r>
    </w:p>
    <w:p w14:paraId="5D6E26FC" w14:textId="77777777" w:rsidR="0050306B" w:rsidRPr="004068F6" w:rsidRDefault="0050306B" w:rsidP="00F97C5C">
      <w:pPr>
        <w:numPr>
          <w:ilvl w:val="12"/>
          <w:numId w:val="0"/>
        </w:numPr>
        <w:tabs>
          <w:tab w:val="left" w:pos="-2268"/>
        </w:tabs>
        <w:suppressAutoHyphens/>
        <w:rPr>
          <w:rFonts w:cs="Arial"/>
          <w:spacing w:val="-3"/>
        </w:rPr>
      </w:pPr>
    </w:p>
    <w:p w14:paraId="2544A54E" w14:textId="3CC3A44A" w:rsidR="00A303AB" w:rsidRPr="004068F6" w:rsidRDefault="00811AC1" w:rsidP="00F97C5C">
      <w:pPr>
        <w:numPr>
          <w:ilvl w:val="12"/>
          <w:numId w:val="0"/>
        </w:numPr>
        <w:tabs>
          <w:tab w:val="left" w:pos="-2268"/>
        </w:tabs>
        <w:suppressAutoHyphens/>
        <w:rPr>
          <w:rFonts w:cs="Arial"/>
          <w:spacing w:val="-3"/>
        </w:rPr>
      </w:pPr>
      <w:r w:rsidRPr="004068F6">
        <w:rPr>
          <w:rFonts w:cs="Arial"/>
          <w:spacing w:val="-3"/>
        </w:rPr>
        <w:t>Se deben incorporar</w:t>
      </w:r>
      <w:r w:rsidR="00501131" w:rsidRPr="004068F6">
        <w:rPr>
          <w:rFonts w:cs="Arial"/>
          <w:spacing w:val="-3"/>
        </w:rPr>
        <w:t xml:space="preserve"> al DAA</w:t>
      </w:r>
      <w:r w:rsidRPr="004068F6">
        <w:rPr>
          <w:rFonts w:cs="Arial"/>
          <w:spacing w:val="-3"/>
        </w:rPr>
        <w:t xml:space="preserve"> los insumos, saberes, sugerencias, recomendaciones o alertas </w:t>
      </w:r>
      <w:r w:rsidRPr="00127BD4">
        <w:rPr>
          <w:rFonts w:cs="Arial"/>
          <w:i/>
          <w:iCs/>
          <w:spacing w:val="-3"/>
        </w:rPr>
        <w:t>pertinentes</w:t>
      </w:r>
      <w:r w:rsidRPr="004068F6">
        <w:rPr>
          <w:rFonts w:cs="Arial"/>
          <w:spacing w:val="-3"/>
        </w:rPr>
        <w:t xml:space="preserve"> que resulten de los procesos de información y participación con los grupos de interés del área de estudio.</w:t>
      </w:r>
      <w:r w:rsidR="00904DEC" w:rsidRPr="004068F6">
        <w:rPr>
          <w:rFonts w:cs="Arial"/>
          <w:spacing w:val="-3"/>
        </w:rPr>
        <w:t xml:space="preserve"> </w:t>
      </w:r>
      <w:r w:rsidR="00A4017C" w:rsidRPr="004068F6">
        <w:rPr>
          <w:rFonts w:cs="Arial"/>
          <w:spacing w:val="-3"/>
        </w:rPr>
        <w:t xml:space="preserve">La pertinencia de los aportes debe evaluarse </w:t>
      </w:r>
      <w:r w:rsidR="00ED0C57" w:rsidRPr="004068F6">
        <w:rPr>
          <w:rFonts w:cs="Arial"/>
          <w:spacing w:val="-3"/>
        </w:rPr>
        <w:t xml:space="preserve">y documentarse </w:t>
      </w:r>
      <w:r w:rsidR="00A4017C" w:rsidRPr="004068F6">
        <w:rPr>
          <w:rFonts w:cs="Arial"/>
          <w:spacing w:val="-3"/>
        </w:rPr>
        <w:t xml:space="preserve">a partir de </w:t>
      </w:r>
      <w:r w:rsidR="0058663D" w:rsidRPr="004068F6">
        <w:rPr>
          <w:rFonts w:cs="Arial"/>
          <w:spacing w:val="-3"/>
        </w:rPr>
        <w:t xml:space="preserve">su </w:t>
      </w:r>
      <w:r w:rsidR="00A4017C" w:rsidRPr="004068F6">
        <w:rPr>
          <w:rFonts w:cs="Arial"/>
          <w:spacing w:val="-3"/>
        </w:rPr>
        <w:t>c</w:t>
      </w:r>
      <w:r w:rsidR="00904DEC" w:rsidRPr="004068F6">
        <w:rPr>
          <w:rFonts w:cs="Arial"/>
          <w:spacing w:val="-3"/>
        </w:rPr>
        <w:t>omplement</w:t>
      </w:r>
      <w:r w:rsidR="00A4017C" w:rsidRPr="004068F6">
        <w:rPr>
          <w:rFonts w:cs="Arial"/>
          <w:spacing w:val="-3"/>
        </w:rPr>
        <w:t xml:space="preserve">ariedad </w:t>
      </w:r>
      <w:r w:rsidR="00960599" w:rsidRPr="004068F6">
        <w:rPr>
          <w:rFonts w:cs="Arial"/>
          <w:spacing w:val="-3"/>
        </w:rPr>
        <w:t xml:space="preserve">respecto de los datos </w:t>
      </w:r>
      <w:r w:rsidR="00711696" w:rsidRPr="004068F6">
        <w:rPr>
          <w:rFonts w:cs="Arial"/>
          <w:spacing w:val="-3"/>
        </w:rPr>
        <w:t xml:space="preserve">técnicos y científicos </w:t>
      </w:r>
      <w:r w:rsidR="00960599" w:rsidRPr="004068F6">
        <w:rPr>
          <w:rFonts w:cs="Arial"/>
          <w:spacing w:val="-3"/>
        </w:rPr>
        <w:t>obtenidos mediante fuentes secundarias o primarias</w:t>
      </w:r>
      <w:r w:rsidR="00360354" w:rsidRPr="004068F6">
        <w:rPr>
          <w:rFonts w:cs="Arial"/>
          <w:spacing w:val="-3"/>
        </w:rPr>
        <w:t>;</w:t>
      </w:r>
      <w:r w:rsidR="00960599" w:rsidRPr="004068F6">
        <w:rPr>
          <w:rFonts w:cs="Arial"/>
          <w:spacing w:val="-3"/>
        </w:rPr>
        <w:t xml:space="preserve"> </w:t>
      </w:r>
      <w:r w:rsidR="00FD3FDA" w:rsidRPr="004068F6">
        <w:rPr>
          <w:rFonts w:cs="Arial"/>
          <w:spacing w:val="-3"/>
        </w:rPr>
        <w:t xml:space="preserve">de su congruencia con </w:t>
      </w:r>
      <w:r w:rsidR="003321BD" w:rsidRPr="004068F6">
        <w:rPr>
          <w:rFonts w:cs="Arial"/>
          <w:spacing w:val="-3"/>
        </w:rPr>
        <w:t xml:space="preserve">el estado </w:t>
      </w:r>
      <w:r w:rsidR="00FD3FDA" w:rsidRPr="004068F6">
        <w:rPr>
          <w:rFonts w:cs="Arial"/>
          <w:spacing w:val="-3"/>
        </w:rPr>
        <w:t xml:space="preserve">y tendencia de elementos </w:t>
      </w:r>
      <w:r w:rsidR="001271AB" w:rsidRPr="004068F6">
        <w:rPr>
          <w:rFonts w:cs="Arial"/>
          <w:spacing w:val="-3"/>
        </w:rPr>
        <w:t xml:space="preserve">del </w:t>
      </w:r>
      <w:r w:rsidR="00FD3FDA" w:rsidRPr="004068F6">
        <w:rPr>
          <w:rFonts w:cs="Arial"/>
          <w:spacing w:val="-3"/>
        </w:rPr>
        <w:t>ambient</w:t>
      </w:r>
      <w:r w:rsidR="001271AB" w:rsidRPr="004068F6">
        <w:rPr>
          <w:rFonts w:cs="Arial"/>
          <w:spacing w:val="-3"/>
        </w:rPr>
        <w:t>e</w:t>
      </w:r>
      <w:r w:rsidR="00FD3FDA" w:rsidRPr="004068F6">
        <w:rPr>
          <w:rFonts w:cs="Arial"/>
          <w:spacing w:val="-3"/>
        </w:rPr>
        <w:t xml:space="preserve"> </w:t>
      </w:r>
      <w:r w:rsidR="006F1E00" w:rsidRPr="004068F6">
        <w:rPr>
          <w:rFonts w:cs="Arial"/>
          <w:spacing w:val="-3"/>
        </w:rPr>
        <w:t xml:space="preserve">con los cuales tenga </w:t>
      </w:r>
      <w:r w:rsidR="007E3CE4" w:rsidRPr="004068F6">
        <w:rPr>
          <w:rFonts w:cs="Arial"/>
          <w:spacing w:val="-3"/>
        </w:rPr>
        <w:t xml:space="preserve">una relación </w:t>
      </w:r>
      <w:r w:rsidR="00FD3FDA" w:rsidRPr="004068F6">
        <w:rPr>
          <w:rFonts w:cs="Arial"/>
          <w:spacing w:val="-3"/>
        </w:rPr>
        <w:t>estrecha</w:t>
      </w:r>
      <w:r w:rsidR="00F443DB" w:rsidRPr="00127BD4">
        <w:rPr>
          <w:rStyle w:val="Refdenotaalpie"/>
          <w:rFonts w:cs="Arial"/>
          <w:spacing w:val="-3"/>
          <w:lang w:val="es-CO"/>
        </w:rPr>
        <w:footnoteReference w:id="46"/>
      </w:r>
      <w:r w:rsidR="00420451" w:rsidRPr="004068F6">
        <w:rPr>
          <w:rFonts w:cs="Arial"/>
          <w:spacing w:val="-3"/>
        </w:rPr>
        <w:t xml:space="preserve"> </w:t>
      </w:r>
      <w:r w:rsidR="002024A2" w:rsidRPr="004068F6">
        <w:rPr>
          <w:rFonts w:cs="Arial"/>
          <w:spacing w:val="-3"/>
        </w:rPr>
        <w:t>y</w:t>
      </w:r>
      <w:r w:rsidR="003321BD" w:rsidRPr="004068F6">
        <w:rPr>
          <w:rFonts w:cs="Arial"/>
          <w:spacing w:val="-3"/>
        </w:rPr>
        <w:t>;</w:t>
      </w:r>
      <w:r w:rsidR="00FD3FDA" w:rsidRPr="004068F6">
        <w:rPr>
          <w:rFonts w:cs="Arial"/>
          <w:spacing w:val="-3"/>
        </w:rPr>
        <w:t xml:space="preserve"> </w:t>
      </w:r>
      <w:r w:rsidR="003772F3" w:rsidRPr="004068F6">
        <w:rPr>
          <w:rFonts w:cs="Arial"/>
          <w:spacing w:val="-3"/>
        </w:rPr>
        <w:t xml:space="preserve">de su capacidad para </w:t>
      </w:r>
      <w:r w:rsidR="008A36B0" w:rsidRPr="004068F6">
        <w:rPr>
          <w:rFonts w:cs="Arial"/>
          <w:spacing w:val="-3"/>
        </w:rPr>
        <w:t xml:space="preserve">revelar </w:t>
      </w:r>
      <w:r w:rsidR="00B97C94" w:rsidRPr="004068F6">
        <w:rPr>
          <w:rFonts w:cs="Arial"/>
          <w:spacing w:val="-3"/>
        </w:rPr>
        <w:t xml:space="preserve">elementos del ambiente </w:t>
      </w:r>
      <w:r w:rsidR="00A1167E" w:rsidRPr="004068F6">
        <w:rPr>
          <w:rFonts w:cs="Arial"/>
          <w:spacing w:val="-3"/>
        </w:rPr>
        <w:t xml:space="preserve">sobre los cuales la ejecución del proyecto puede </w:t>
      </w:r>
      <w:r w:rsidR="00904DEC" w:rsidRPr="004068F6">
        <w:rPr>
          <w:rFonts w:cs="Arial"/>
          <w:spacing w:val="-3"/>
        </w:rPr>
        <w:t>exacerba</w:t>
      </w:r>
      <w:r w:rsidR="00A1167E" w:rsidRPr="004068F6">
        <w:rPr>
          <w:rFonts w:cs="Arial"/>
          <w:spacing w:val="-3"/>
        </w:rPr>
        <w:t xml:space="preserve">r </w:t>
      </w:r>
      <w:r w:rsidR="008A36B0" w:rsidRPr="004068F6">
        <w:rPr>
          <w:rFonts w:cs="Arial"/>
          <w:spacing w:val="-3"/>
        </w:rPr>
        <w:t>o genera</w:t>
      </w:r>
      <w:r w:rsidR="003C2974" w:rsidRPr="004068F6">
        <w:rPr>
          <w:rFonts w:cs="Arial"/>
          <w:spacing w:val="-3"/>
        </w:rPr>
        <w:t xml:space="preserve">r </w:t>
      </w:r>
      <w:r w:rsidR="008A36B0" w:rsidRPr="004068F6">
        <w:rPr>
          <w:rFonts w:cs="Arial"/>
          <w:spacing w:val="-3"/>
        </w:rPr>
        <w:t>impactos</w:t>
      </w:r>
      <w:r w:rsidR="003C2974" w:rsidRPr="004068F6">
        <w:rPr>
          <w:rFonts w:cs="Arial"/>
          <w:spacing w:val="-3"/>
        </w:rPr>
        <w:t xml:space="preserve"> no considerados previamente</w:t>
      </w:r>
      <w:r w:rsidR="00904DEC" w:rsidRPr="004068F6">
        <w:rPr>
          <w:rFonts w:cs="Arial"/>
          <w:spacing w:val="-3"/>
        </w:rPr>
        <w:t>.</w:t>
      </w:r>
      <w:r w:rsidR="00997D10" w:rsidRPr="004068F6">
        <w:rPr>
          <w:rFonts w:cs="Arial"/>
          <w:spacing w:val="-3"/>
        </w:rPr>
        <w:t xml:space="preserve"> Esta evaluación e incorporación de los aportes </w:t>
      </w:r>
      <w:r w:rsidR="00A303AB" w:rsidRPr="004068F6">
        <w:rPr>
          <w:rFonts w:cs="Arial"/>
          <w:spacing w:val="-3"/>
        </w:rPr>
        <w:t>contribu</w:t>
      </w:r>
      <w:r w:rsidR="002348D6" w:rsidRPr="004068F6">
        <w:rPr>
          <w:rFonts w:cs="Arial"/>
          <w:spacing w:val="-3"/>
        </w:rPr>
        <w:t xml:space="preserve">ye </w:t>
      </w:r>
      <w:r w:rsidR="00A303AB" w:rsidRPr="004068F6">
        <w:rPr>
          <w:rFonts w:cs="Arial"/>
          <w:spacing w:val="-3"/>
        </w:rPr>
        <w:t>constructiva</w:t>
      </w:r>
      <w:r w:rsidR="002348D6" w:rsidRPr="004068F6">
        <w:rPr>
          <w:rFonts w:cs="Arial"/>
          <w:spacing w:val="-3"/>
        </w:rPr>
        <w:t xml:space="preserve">mente </w:t>
      </w:r>
      <w:r w:rsidR="00553C24" w:rsidRPr="004068F6">
        <w:rPr>
          <w:rFonts w:cs="Arial"/>
          <w:spacing w:val="-3"/>
        </w:rPr>
        <w:t>a</w:t>
      </w:r>
      <w:r w:rsidR="002348D6" w:rsidRPr="004068F6">
        <w:rPr>
          <w:rFonts w:cs="Arial"/>
          <w:spacing w:val="-3"/>
        </w:rPr>
        <w:t xml:space="preserve"> la elaboración del estudio.</w:t>
      </w:r>
    </w:p>
    <w:p w14:paraId="3ED27FC9" w14:textId="77777777" w:rsidR="006B534C" w:rsidRPr="004068F6" w:rsidRDefault="006B534C" w:rsidP="00F97C5C">
      <w:pPr>
        <w:numPr>
          <w:ilvl w:val="12"/>
          <w:numId w:val="0"/>
        </w:numPr>
        <w:tabs>
          <w:tab w:val="left" w:pos="-2268"/>
        </w:tabs>
        <w:suppressAutoHyphens/>
        <w:rPr>
          <w:rFonts w:cs="Arial"/>
          <w:spacing w:val="-3"/>
        </w:rPr>
      </w:pPr>
    </w:p>
    <w:p w14:paraId="67179A0E" w14:textId="38827DD4" w:rsidR="0050306B" w:rsidRPr="004068F6" w:rsidRDefault="00811AC1" w:rsidP="00F97C5C">
      <w:pPr>
        <w:numPr>
          <w:ilvl w:val="12"/>
          <w:numId w:val="0"/>
        </w:numPr>
        <w:tabs>
          <w:tab w:val="left" w:pos="-2268"/>
        </w:tabs>
        <w:suppressAutoHyphens/>
        <w:rPr>
          <w:rFonts w:cs="Arial"/>
          <w:spacing w:val="-3"/>
        </w:rPr>
      </w:pPr>
      <w:r w:rsidRPr="004068F6">
        <w:rPr>
          <w:rFonts w:cs="Arial"/>
          <w:spacing w:val="-3"/>
        </w:rPr>
        <w:t>Dichos aportes deben ser incorporados de manera expresa en el documento, de tal forma que se evidencie su incidencia en el resultado de este numeral y, en caso de estimarlos como no pertinentes, se deben indicar y sustentar las razones por las cuales no se incluyen en la caracterización</w:t>
      </w:r>
      <w:r w:rsidR="009D3753" w:rsidRPr="004068F6">
        <w:rPr>
          <w:rFonts w:cs="Arial"/>
          <w:spacing w:val="-3"/>
        </w:rPr>
        <w:t xml:space="preserve">. En caso de que los grupos de interés no </w:t>
      </w:r>
      <w:r w:rsidR="00B30AEF" w:rsidRPr="004068F6">
        <w:rPr>
          <w:rFonts w:cs="Arial"/>
          <w:spacing w:val="-3"/>
        </w:rPr>
        <w:t>brinden</w:t>
      </w:r>
      <w:r w:rsidR="00AD2CB5" w:rsidRPr="004068F6">
        <w:rPr>
          <w:rFonts w:cs="Arial"/>
          <w:spacing w:val="-3"/>
        </w:rPr>
        <w:t xml:space="preserve"> insumos, saberes, sugerencias, recomendaciones o alertas</w:t>
      </w:r>
      <w:r w:rsidR="009D3753" w:rsidRPr="004068F6">
        <w:rPr>
          <w:rFonts w:cs="Arial"/>
          <w:spacing w:val="-3"/>
        </w:rPr>
        <w:t>, esta situación debe consignarse y documentarse en el estudio ambiental</w:t>
      </w:r>
      <w:r w:rsidRPr="004068F6">
        <w:rPr>
          <w:rFonts w:cs="Arial"/>
          <w:spacing w:val="-3"/>
        </w:rPr>
        <w:t>.</w:t>
      </w:r>
    </w:p>
    <w:p w14:paraId="71C33BB3" w14:textId="77777777" w:rsidR="007D2B64" w:rsidRPr="004068F6" w:rsidRDefault="007D2B64" w:rsidP="00F97C5C">
      <w:pPr>
        <w:numPr>
          <w:ilvl w:val="12"/>
          <w:numId w:val="0"/>
        </w:numPr>
        <w:tabs>
          <w:tab w:val="left" w:pos="-2268"/>
        </w:tabs>
        <w:suppressAutoHyphens/>
        <w:rPr>
          <w:rFonts w:cs="Arial"/>
          <w:spacing w:val="-3"/>
        </w:rPr>
      </w:pPr>
    </w:p>
    <w:p w14:paraId="5C081F8F" w14:textId="692BB8E9" w:rsidR="007D2B64" w:rsidRPr="004068F6" w:rsidRDefault="007D2B64" w:rsidP="00F97C5C">
      <w:pPr>
        <w:numPr>
          <w:ilvl w:val="12"/>
          <w:numId w:val="0"/>
        </w:numPr>
        <w:tabs>
          <w:tab w:val="left" w:pos="-2268"/>
        </w:tabs>
        <w:suppressAutoHyphens/>
        <w:rPr>
          <w:rFonts w:cs="Arial"/>
          <w:spacing w:val="-3"/>
        </w:rPr>
      </w:pPr>
      <w:r w:rsidRPr="004068F6">
        <w:rPr>
          <w:rFonts w:cs="Arial"/>
          <w:spacing w:val="-3"/>
        </w:rPr>
        <w:t>Previo a la obtención de cualquier tipo de información primaria, sea que ésta se</w:t>
      </w:r>
      <w:r w:rsidR="00CC72C8" w:rsidRPr="004068F6">
        <w:rPr>
          <w:rFonts w:cs="Arial"/>
          <w:spacing w:val="-3"/>
        </w:rPr>
        <w:t>a</w:t>
      </w:r>
      <w:r w:rsidRPr="004068F6">
        <w:rPr>
          <w:rFonts w:cs="Arial"/>
          <w:spacing w:val="-3"/>
        </w:rPr>
        <w:t xml:space="preserve"> obten</w:t>
      </w:r>
      <w:r w:rsidR="00CC72C8" w:rsidRPr="004068F6">
        <w:rPr>
          <w:rFonts w:cs="Arial"/>
          <w:spacing w:val="-3"/>
        </w:rPr>
        <w:t xml:space="preserve">ida </w:t>
      </w:r>
      <w:r w:rsidRPr="004068F6">
        <w:rPr>
          <w:rFonts w:cs="Arial"/>
          <w:spacing w:val="-3"/>
        </w:rPr>
        <w:t xml:space="preserve">por expertos o </w:t>
      </w:r>
      <w:r w:rsidR="00CC72C8" w:rsidRPr="004068F6">
        <w:rPr>
          <w:rFonts w:cs="Arial"/>
          <w:spacing w:val="-3"/>
        </w:rPr>
        <w:t xml:space="preserve">recopilada </w:t>
      </w:r>
      <w:r w:rsidRPr="004068F6">
        <w:rPr>
          <w:rFonts w:cs="Arial"/>
          <w:spacing w:val="-3"/>
        </w:rPr>
        <w:t xml:space="preserve">mediante la consulta a los grupos de interés, es necesario implementar </w:t>
      </w:r>
      <w:r w:rsidR="004B7AE7">
        <w:rPr>
          <w:rFonts w:cs="Arial"/>
          <w:spacing w:val="-3"/>
        </w:rPr>
        <w:t xml:space="preserve">en conjunto de </w:t>
      </w:r>
      <w:r w:rsidR="0058589B">
        <w:rPr>
          <w:rFonts w:cs="Arial"/>
          <w:spacing w:val="-3"/>
        </w:rPr>
        <w:t>medidas</w:t>
      </w:r>
      <w:r w:rsidR="00D20A70" w:rsidRPr="004068F6">
        <w:rPr>
          <w:rFonts w:cs="Arial"/>
          <w:spacing w:val="-3"/>
        </w:rPr>
        <w:t xml:space="preserve"> para la atención de la conflictividad a</w:t>
      </w:r>
      <w:r w:rsidR="00C10D6C" w:rsidRPr="004068F6">
        <w:rPr>
          <w:rFonts w:cs="Arial"/>
          <w:spacing w:val="-3"/>
        </w:rPr>
        <w:t xml:space="preserve"> </w:t>
      </w:r>
      <w:r w:rsidR="00D20A70" w:rsidRPr="004068F6">
        <w:rPr>
          <w:rFonts w:cs="Arial"/>
          <w:spacing w:val="-3"/>
        </w:rPr>
        <w:t>l</w:t>
      </w:r>
      <w:r w:rsidR="00C10D6C" w:rsidRPr="004068F6">
        <w:rPr>
          <w:rFonts w:cs="Arial"/>
          <w:spacing w:val="-3"/>
        </w:rPr>
        <w:t>as</w:t>
      </w:r>
      <w:r w:rsidR="00D20A70" w:rsidRPr="004068F6">
        <w:rPr>
          <w:rFonts w:cs="Arial"/>
          <w:spacing w:val="-3"/>
        </w:rPr>
        <w:t xml:space="preserve"> que hace referencia en el numeral </w:t>
      </w:r>
      <w:r w:rsidRPr="004068F6">
        <w:rPr>
          <w:rFonts w:cs="Arial"/>
          <w:spacing w:val="-3"/>
        </w:rPr>
        <w:fldChar w:fldCharType="begin"/>
      </w:r>
      <w:r w:rsidRPr="004068F6">
        <w:rPr>
          <w:rFonts w:cs="Arial"/>
          <w:spacing w:val="-3"/>
        </w:rPr>
        <w:instrText xml:space="preserve"> REF _Ref161829324 \r \h </w:instrText>
      </w:r>
      <w:r w:rsidR="001729A7" w:rsidRPr="004068F6">
        <w:rPr>
          <w:rFonts w:cs="Arial"/>
          <w:spacing w:val="-3"/>
        </w:rPr>
        <w:instrText xml:space="preserve"> \* MERGEFORMAT </w:instrText>
      </w:r>
      <w:r w:rsidRPr="004068F6">
        <w:rPr>
          <w:rFonts w:cs="Arial"/>
          <w:spacing w:val="-3"/>
        </w:rPr>
      </w:r>
      <w:r w:rsidRPr="004068F6">
        <w:rPr>
          <w:rFonts w:cs="Arial"/>
          <w:spacing w:val="-3"/>
        </w:rPr>
        <w:fldChar w:fldCharType="separate"/>
      </w:r>
      <w:r w:rsidR="009C4A81">
        <w:rPr>
          <w:rFonts w:cs="Arial"/>
          <w:spacing w:val="-3"/>
        </w:rPr>
        <w:t>3.2.1</w:t>
      </w:r>
      <w:r w:rsidRPr="004068F6">
        <w:rPr>
          <w:rFonts w:cs="Arial"/>
          <w:spacing w:val="-3"/>
        </w:rPr>
        <w:fldChar w:fldCharType="end"/>
      </w:r>
      <w:r w:rsidRPr="004068F6">
        <w:rPr>
          <w:rFonts w:cs="Arial"/>
          <w:spacing w:val="-3"/>
        </w:rPr>
        <w:t xml:space="preserve"> de este capítulo, a fin de </w:t>
      </w:r>
      <w:r w:rsidR="003503A4">
        <w:rPr>
          <w:rFonts w:cs="Arial"/>
          <w:spacing w:val="-3"/>
        </w:rPr>
        <w:t>prevenir</w:t>
      </w:r>
      <w:r w:rsidR="003503A4" w:rsidRPr="004068F6">
        <w:rPr>
          <w:rFonts w:cs="Arial"/>
          <w:spacing w:val="-3"/>
        </w:rPr>
        <w:t xml:space="preserve"> </w:t>
      </w:r>
      <w:r w:rsidR="00CC72C8" w:rsidRPr="004068F6">
        <w:rPr>
          <w:rFonts w:cs="Arial"/>
          <w:spacing w:val="-3"/>
        </w:rPr>
        <w:t xml:space="preserve">los </w:t>
      </w:r>
      <w:r w:rsidRPr="004068F6">
        <w:rPr>
          <w:rFonts w:cs="Arial"/>
          <w:spacing w:val="-3"/>
        </w:rPr>
        <w:t>malentendidos</w:t>
      </w:r>
      <w:r w:rsidR="0020007A" w:rsidRPr="004068F6">
        <w:rPr>
          <w:rFonts w:cs="Arial"/>
          <w:spacing w:val="-3"/>
        </w:rPr>
        <w:t xml:space="preserve">, </w:t>
      </w:r>
      <w:r w:rsidR="00B66AA2" w:rsidRPr="004068F6">
        <w:rPr>
          <w:rFonts w:cs="Arial"/>
          <w:spacing w:val="-3"/>
        </w:rPr>
        <w:t>situaciones conflictivas</w:t>
      </w:r>
      <w:r w:rsidRPr="004068F6">
        <w:rPr>
          <w:rFonts w:cs="Arial"/>
          <w:spacing w:val="-3"/>
        </w:rPr>
        <w:t xml:space="preserve"> e impactos </w:t>
      </w:r>
      <w:r w:rsidR="00CC72C8" w:rsidRPr="004068F6">
        <w:rPr>
          <w:rFonts w:cs="Arial"/>
          <w:spacing w:val="-3"/>
        </w:rPr>
        <w:t xml:space="preserve">que pueden surgir </w:t>
      </w:r>
      <w:r w:rsidRPr="004068F6">
        <w:rPr>
          <w:rFonts w:cs="Arial"/>
          <w:spacing w:val="-3"/>
        </w:rPr>
        <w:t>con la interacción entre formuladores y grupos de interés.</w:t>
      </w:r>
    </w:p>
    <w:p w14:paraId="150E2D59" w14:textId="77777777" w:rsidR="00F97C5C" w:rsidRPr="004068F6" w:rsidRDefault="00F97C5C">
      <w:pPr>
        <w:numPr>
          <w:ilvl w:val="12"/>
          <w:numId w:val="0"/>
        </w:numPr>
        <w:tabs>
          <w:tab w:val="left" w:pos="-2268"/>
        </w:tabs>
        <w:suppressAutoHyphens/>
        <w:rPr>
          <w:spacing w:val="-3"/>
        </w:rPr>
      </w:pPr>
    </w:p>
    <w:p w14:paraId="5BEE59E4" w14:textId="306B37AE" w:rsidR="00F97C5C" w:rsidRPr="004068F6" w:rsidRDefault="00F97C5C" w:rsidP="0068149C">
      <w:pPr>
        <w:pStyle w:val="Ttulo2"/>
        <w:rPr>
          <w:lang w:val="es-CO"/>
        </w:rPr>
      </w:pPr>
      <w:bookmarkStart w:id="2009" w:name="_Toc412803149"/>
      <w:bookmarkStart w:id="2010" w:name="_Toc437935978"/>
      <w:bookmarkStart w:id="2011" w:name="_Toc42552214"/>
      <w:bookmarkStart w:id="2012" w:name="_Ref144301945"/>
      <w:bookmarkStart w:id="2013" w:name="_Toc230879582"/>
      <w:r w:rsidRPr="004068F6">
        <w:rPr>
          <w:lang w:val="es-CO"/>
        </w:rPr>
        <w:t>MEDIO ABIÓTICO</w:t>
      </w:r>
      <w:bookmarkEnd w:id="2009"/>
      <w:bookmarkEnd w:id="2010"/>
      <w:bookmarkEnd w:id="2011"/>
      <w:bookmarkEnd w:id="2012"/>
      <w:bookmarkEnd w:id="2013"/>
    </w:p>
    <w:p w14:paraId="61FB6042" w14:textId="77777777" w:rsidR="00F97C5C" w:rsidRPr="004068F6" w:rsidRDefault="00F97C5C">
      <w:pPr>
        <w:numPr>
          <w:ilvl w:val="12"/>
          <w:numId w:val="0"/>
        </w:numPr>
        <w:tabs>
          <w:tab w:val="left" w:pos="-2268"/>
        </w:tabs>
        <w:suppressAutoHyphens/>
        <w:rPr>
          <w:spacing w:val="-3"/>
        </w:rPr>
      </w:pPr>
    </w:p>
    <w:p w14:paraId="03A8BB6B" w14:textId="67FC71BC" w:rsidR="00F97C5C" w:rsidRPr="004068F6" w:rsidRDefault="00F97C5C">
      <w:pPr>
        <w:numPr>
          <w:ilvl w:val="12"/>
          <w:numId w:val="0"/>
        </w:numPr>
        <w:tabs>
          <w:tab w:val="left" w:pos="-2268"/>
        </w:tabs>
        <w:suppressAutoHyphens/>
        <w:rPr>
          <w:spacing w:val="-3"/>
        </w:rPr>
      </w:pPr>
      <w:r w:rsidRPr="004068F6">
        <w:rPr>
          <w:spacing w:val="-3"/>
        </w:rPr>
        <w:t>A continuación</w:t>
      </w:r>
      <w:r w:rsidRPr="004068F6">
        <w:rPr>
          <w:rFonts w:cs="Arial"/>
          <w:spacing w:val="-3"/>
        </w:rPr>
        <w:t>,</w:t>
      </w:r>
      <w:r w:rsidRPr="004068F6">
        <w:rPr>
          <w:spacing w:val="-3"/>
        </w:rPr>
        <w:t xml:space="preserve"> se establece el contenido </w:t>
      </w:r>
      <w:r w:rsidR="00592B64" w:rsidRPr="004068F6">
        <w:rPr>
          <w:spacing w:val="-3"/>
        </w:rPr>
        <w:t xml:space="preserve">y los lineamientos para desarrollar </w:t>
      </w:r>
      <w:r w:rsidR="00870966" w:rsidRPr="004068F6">
        <w:rPr>
          <w:rFonts w:cs="Arial"/>
          <w:spacing w:val="-3"/>
        </w:rPr>
        <w:t>la</w:t>
      </w:r>
      <w:r w:rsidR="00870966" w:rsidRPr="004068F6">
        <w:rPr>
          <w:spacing w:val="-3"/>
        </w:rPr>
        <w:t xml:space="preserve"> caracterización </w:t>
      </w:r>
      <w:r w:rsidR="00870966" w:rsidRPr="004068F6">
        <w:rPr>
          <w:rFonts w:cs="Arial"/>
          <w:spacing w:val="-3"/>
        </w:rPr>
        <w:t xml:space="preserve">de los componentes que conforman el </w:t>
      </w:r>
      <w:r w:rsidR="00870966" w:rsidRPr="004068F6">
        <w:rPr>
          <w:spacing w:val="-3"/>
        </w:rPr>
        <w:t>medio abiótico</w:t>
      </w:r>
      <w:r w:rsidRPr="004068F6">
        <w:rPr>
          <w:spacing w:val="-3"/>
        </w:rPr>
        <w:t>:</w:t>
      </w:r>
    </w:p>
    <w:p w14:paraId="7B2A9983" w14:textId="77777777" w:rsidR="00F97C5C" w:rsidRPr="004068F6" w:rsidRDefault="00F97C5C">
      <w:pPr>
        <w:numPr>
          <w:ilvl w:val="12"/>
          <w:numId w:val="0"/>
        </w:numPr>
        <w:tabs>
          <w:tab w:val="left" w:pos="-2268"/>
        </w:tabs>
        <w:suppressAutoHyphens/>
        <w:rPr>
          <w:spacing w:val="-3"/>
        </w:rPr>
      </w:pPr>
    </w:p>
    <w:p w14:paraId="2C5025C9" w14:textId="114A4550" w:rsidR="00F97C5C" w:rsidRPr="00B81EC8" w:rsidRDefault="00F97C5C" w:rsidP="000A1E20">
      <w:pPr>
        <w:pStyle w:val="Ttulo3"/>
      </w:pPr>
      <w:bookmarkStart w:id="2014" w:name="_Toc412803150"/>
      <w:bookmarkStart w:id="2015" w:name="_Toc437935979"/>
      <w:bookmarkStart w:id="2016" w:name="_Toc42552215"/>
      <w:bookmarkStart w:id="2017" w:name="_Toc230879583"/>
      <w:r w:rsidRPr="00B81EC8">
        <w:t>Geológico</w:t>
      </w:r>
      <w:bookmarkEnd w:id="2014"/>
      <w:bookmarkEnd w:id="2015"/>
      <w:bookmarkEnd w:id="2016"/>
      <w:bookmarkEnd w:id="2017"/>
    </w:p>
    <w:p w14:paraId="19C658C7" w14:textId="77777777" w:rsidR="00F97C5C" w:rsidRPr="004068F6" w:rsidRDefault="00F97C5C">
      <w:pPr>
        <w:numPr>
          <w:ilvl w:val="12"/>
          <w:numId w:val="0"/>
        </w:numPr>
        <w:tabs>
          <w:tab w:val="left" w:pos="-2268"/>
        </w:tabs>
        <w:suppressAutoHyphens/>
        <w:rPr>
          <w:spacing w:val="-3"/>
        </w:rPr>
      </w:pPr>
    </w:p>
    <w:p w14:paraId="69488C14" w14:textId="51A1BA98" w:rsidR="00F97C5C" w:rsidRPr="004068F6" w:rsidRDefault="000B4B89">
      <w:pPr>
        <w:numPr>
          <w:ilvl w:val="12"/>
          <w:numId w:val="0"/>
        </w:numPr>
        <w:tabs>
          <w:tab w:val="left" w:pos="-2268"/>
        </w:tabs>
        <w:suppressAutoHyphens/>
        <w:rPr>
          <w:spacing w:val="-3"/>
        </w:rPr>
      </w:pPr>
      <w:r w:rsidRPr="004068F6">
        <w:rPr>
          <w:spacing w:val="-3"/>
        </w:rPr>
        <w:t>La d</w:t>
      </w:r>
      <w:r w:rsidR="00F97C5C" w:rsidRPr="004068F6">
        <w:rPr>
          <w:spacing w:val="-3"/>
        </w:rPr>
        <w:t>escri</w:t>
      </w:r>
      <w:r w:rsidRPr="004068F6">
        <w:rPr>
          <w:spacing w:val="-3"/>
        </w:rPr>
        <w:t>pción de</w:t>
      </w:r>
      <w:r w:rsidR="00F97C5C" w:rsidRPr="004068F6">
        <w:rPr>
          <w:spacing w:val="-3"/>
        </w:rPr>
        <w:t xml:space="preserve"> las unidades litológicas y rasgos estructurales, </w:t>
      </w:r>
      <w:r w:rsidRPr="004068F6">
        <w:rPr>
          <w:spacing w:val="-3"/>
        </w:rPr>
        <w:t xml:space="preserve">que incluye las </w:t>
      </w:r>
      <w:r w:rsidR="00F97C5C" w:rsidRPr="004068F6">
        <w:rPr>
          <w:spacing w:val="-3"/>
        </w:rPr>
        <w:t xml:space="preserve">columnas estratigráficas y </w:t>
      </w:r>
      <w:r w:rsidRPr="004068F6">
        <w:rPr>
          <w:spacing w:val="-3"/>
        </w:rPr>
        <w:t xml:space="preserve">los </w:t>
      </w:r>
      <w:r w:rsidR="00F97C5C" w:rsidRPr="004068F6">
        <w:rPr>
          <w:spacing w:val="-3"/>
        </w:rPr>
        <w:t xml:space="preserve">perfiles geológicos, </w:t>
      </w:r>
      <w:r w:rsidRPr="004068F6">
        <w:rPr>
          <w:spacing w:val="-3"/>
        </w:rPr>
        <w:t xml:space="preserve">se debe realizar tomando como </w:t>
      </w:r>
      <w:r w:rsidR="00F97C5C" w:rsidRPr="004068F6">
        <w:rPr>
          <w:spacing w:val="-3"/>
        </w:rPr>
        <w:t xml:space="preserve">base la información de estudios existentes para </w:t>
      </w:r>
      <w:r w:rsidR="00F97C5C" w:rsidRPr="004068F6">
        <w:rPr>
          <w:rFonts w:cs="Arial"/>
          <w:spacing w:val="-3"/>
        </w:rPr>
        <w:t>el área</w:t>
      </w:r>
      <w:r w:rsidR="00F97C5C" w:rsidRPr="004068F6">
        <w:rPr>
          <w:spacing w:val="-3"/>
        </w:rPr>
        <w:t xml:space="preserve"> de estudio</w:t>
      </w:r>
      <w:r w:rsidR="00F97C5C" w:rsidRPr="004068F6">
        <w:rPr>
          <w:rFonts w:cs="Arial"/>
          <w:spacing w:val="-3"/>
        </w:rPr>
        <w:t xml:space="preserve"> </w:t>
      </w:r>
      <w:r w:rsidR="003567CB" w:rsidRPr="004068F6">
        <w:rPr>
          <w:rFonts w:cs="Arial"/>
          <w:spacing w:val="-3"/>
        </w:rPr>
        <w:t xml:space="preserve">y en caso de </w:t>
      </w:r>
      <w:r w:rsidR="003567CB" w:rsidRPr="004068F6">
        <w:rPr>
          <w:rFonts w:cs="Arial"/>
          <w:spacing w:val="-3"/>
        </w:rPr>
        <w:lastRenderedPageBreak/>
        <w:t>requerirse</w:t>
      </w:r>
      <w:r w:rsidR="00F97C5C" w:rsidRPr="004068F6">
        <w:rPr>
          <w:spacing w:val="-3"/>
        </w:rPr>
        <w:t xml:space="preserve">, </w:t>
      </w:r>
      <w:r w:rsidR="003567CB" w:rsidRPr="004068F6">
        <w:rPr>
          <w:spacing w:val="-3"/>
        </w:rPr>
        <w:t xml:space="preserve">empleando información complementaria </w:t>
      </w:r>
      <w:r w:rsidR="00F97C5C" w:rsidRPr="004068F6">
        <w:rPr>
          <w:spacing w:val="-3"/>
        </w:rPr>
        <w:t xml:space="preserve">de análisis </w:t>
      </w:r>
      <w:r w:rsidR="00F97C5C" w:rsidRPr="004068F6">
        <w:rPr>
          <w:rFonts w:cs="Arial"/>
          <w:spacing w:val="-3"/>
        </w:rPr>
        <w:t xml:space="preserve">y fotointerpretación </w:t>
      </w:r>
      <w:r w:rsidR="00F97C5C" w:rsidRPr="004068F6">
        <w:rPr>
          <w:spacing w:val="-3"/>
        </w:rPr>
        <w:t xml:space="preserve">de imágenes de sensores remotos y trabajo de campo. La descripción de las unidades debe </w:t>
      </w:r>
      <w:r w:rsidR="00526619" w:rsidRPr="004068F6">
        <w:rPr>
          <w:spacing w:val="-3"/>
        </w:rPr>
        <w:t xml:space="preserve">ceñirse a </w:t>
      </w:r>
      <w:r w:rsidR="00F97C5C" w:rsidRPr="004068F6">
        <w:rPr>
          <w:spacing w:val="-3"/>
        </w:rPr>
        <w:t xml:space="preserve">lo establecido en la carta estratigráfica internacional y </w:t>
      </w:r>
      <w:r w:rsidR="0068149C" w:rsidRPr="004068F6">
        <w:rPr>
          <w:spacing w:val="-3"/>
        </w:rPr>
        <w:t xml:space="preserve">ser coherente </w:t>
      </w:r>
      <w:r w:rsidR="00F97C5C" w:rsidRPr="004068F6">
        <w:rPr>
          <w:spacing w:val="-3"/>
        </w:rPr>
        <w:t>con la cartografía geológica colombiana definida por el Servicio Geológico Colombiano</w:t>
      </w:r>
      <w:r w:rsidR="0019341C" w:rsidRPr="004068F6">
        <w:rPr>
          <w:spacing w:val="-3"/>
        </w:rPr>
        <w:t xml:space="preserve"> (SGC)</w:t>
      </w:r>
      <w:r w:rsidR="00F97C5C" w:rsidRPr="004068F6">
        <w:rPr>
          <w:spacing w:val="-3"/>
        </w:rPr>
        <w:t>.</w:t>
      </w:r>
    </w:p>
    <w:p w14:paraId="1F32C78A" w14:textId="77777777" w:rsidR="00F97C5C" w:rsidRPr="004068F6" w:rsidRDefault="00F97C5C">
      <w:pPr>
        <w:numPr>
          <w:ilvl w:val="12"/>
          <w:numId w:val="0"/>
        </w:numPr>
        <w:tabs>
          <w:tab w:val="left" w:pos="-2268"/>
        </w:tabs>
        <w:suppressAutoHyphens/>
        <w:rPr>
          <w:spacing w:val="-3"/>
        </w:rPr>
      </w:pPr>
    </w:p>
    <w:p w14:paraId="7A1DBEAA" w14:textId="19A064D1" w:rsidR="00F97C5C" w:rsidRPr="004068F6" w:rsidRDefault="00F97C5C">
      <w:pPr>
        <w:numPr>
          <w:ilvl w:val="12"/>
          <w:numId w:val="0"/>
        </w:numPr>
        <w:tabs>
          <w:tab w:val="left" w:pos="-2268"/>
        </w:tabs>
        <w:suppressAutoHyphens/>
        <w:rPr>
          <w:spacing w:val="-3"/>
        </w:rPr>
      </w:pPr>
      <w:r w:rsidRPr="004068F6">
        <w:rPr>
          <w:spacing w:val="-3"/>
        </w:rPr>
        <w:t xml:space="preserve">Debe hacerse especial énfasis en la </w:t>
      </w:r>
      <w:r w:rsidR="00E709E3" w:rsidRPr="004068F6">
        <w:rPr>
          <w:spacing w:val="-3"/>
        </w:rPr>
        <w:t xml:space="preserve">determinación </w:t>
      </w:r>
      <w:r w:rsidRPr="004068F6">
        <w:rPr>
          <w:spacing w:val="-3"/>
        </w:rPr>
        <w:t>de los rasgos estructurales asociados a lineamientos, fallas</w:t>
      </w:r>
      <w:r w:rsidR="002F020E" w:rsidRPr="004068F6">
        <w:rPr>
          <w:spacing w:val="-3"/>
        </w:rPr>
        <w:t xml:space="preserve"> o</w:t>
      </w:r>
      <w:r w:rsidRPr="004068F6">
        <w:rPr>
          <w:spacing w:val="-3"/>
        </w:rPr>
        <w:t xml:space="preserve"> fracturas que no estén implícitos en la cartografía oficial y que puedan definirse por medio del uso de </w:t>
      </w:r>
      <w:r w:rsidRPr="004068F6">
        <w:rPr>
          <w:rFonts w:cs="Arial"/>
          <w:spacing w:val="-3"/>
        </w:rPr>
        <w:t xml:space="preserve">fotointerpretación de imágenes de </w:t>
      </w:r>
      <w:r w:rsidRPr="004068F6">
        <w:rPr>
          <w:spacing w:val="-3"/>
        </w:rPr>
        <w:t>sensores remotos y control de campo.</w:t>
      </w:r>
    </w:p>
    <w:p w14:paraId="62286F2D" w14:textId="77777777" w:rsidR="00F97C5C" w:rsidRPr="004068F6" w:rsidRDefault="00F97C5C">
      <w:pPr>
        <w:numPr>
          <w:ilvl w:val="12"/>
          <w:numId w:val="0"/>
        </w:numPr>
        <w:tabs>
          <w:tab w:val="left" w:pos="-2268"/>
        </w:tabs>
        <w:suppressAutoHyphens/>
        <w:rPr>
          <w:spacing w:val="-3"/>
        </w:rPr>
      </w:pPr>
    </w:p>
    <w:p w14:paraId="4453A61B" w14:textId="4A263B99" w:rsidR="005E0823" w:rsidRPr="004068F6" w:rsidRDefault="00F97C5C">
      <w:pPr>
        <w:numPr>
          <w:ilvl w:val="12"/>
          <w:numId w:val="0"/>
        </w:numPr>
        <w:tabs>
          <w:tab w:val="left" w:pos="-2268"/>
        </w:tabs>
        <w:suppressAutoHyphens/>
        <w:rPr>
          <w:spacing w:val="-3"/>
        </w:rPr>
      </w:pPr>
      <w:r w:rsidRPr="004068F6">
        <w:rPr>
          <w:spacing w:val="-3"/>
        </w:rPr>
        <w:t>Para proyectos</w:t>
      </w:r>
      <w:r w:rsidR="00526619" w:rsidRPr="004068F6">
        <w:rPr>
          <w:spacing w:val="-3"/>
        </w:rPr>
        <w:t>, obras o actividades</w:t>
      </w:r>
      <w:r w:rsidRPr="004068F6">
        <w:rPr>
          <w:spacing w:val="-3"/>
        </w:rPr>
        <w:t xml:space="preserve"> cuya </w:t>
      </w:r>
      <w:r w:rsidR="005E0823" w:rsidRPr="004068F6">
        <w:rPr>
          <w:spacing w:val="-3"/>
        </w:rPr>
        <w:t xml:space="preserve">área por intervenir </w:t>
      </w:r>
      <w:r w:rsidRPr="004068F6">
        <w:rPr>
          <w:spacing w:val="-3"/>
        </w:rPr>
        <w:t>se encuentre en la subzona terrestre costera o en valles o llanuras aluviales activ</w:t>
      </w:r>
      <w:r w:rsidR="0019341C" w:rsidRPr="004068F6">
        <w:rPr>
          <w:spacing w:val="-3"/>
        </w:rPr>
        <w:t>o</w:t>
      </w:r>
      <w:r w:rsidRPr="004068F6">
        <w:rPr>
          <w:spacing w:val="-3"/>
        </w:rPr>
        <w:t>s,</w:t>
      </w:r>
      <w:r w:rsidRPr="004068F6">
        <w:rPr>
          <w:rFonts w:cs="Arial"/>
          <w:spacing w:val="-3"/>
        </w:rPr>
        <w:t xml:space="preserve"> se debe</w:t>
      </w:r>
      <w:r w:rsidRPr="004068F6">
        <w:rPr>
          <w:spacing w:val="-3"/>
        </w:rPr>
        <w:t xml:space="preserve"> </w:t>
      </w:r>
      <w:r w:rsidR="00F52E5F" w:rsidRPr="004068F6">
        <w:rPr>
          <w:spacing w:val="-3"/>
        </w:rPr>
        <w:t xml:space="preserve">considerar </w:t>
      </w:r>
      <w:r w:rsidRPr="004068F6">
        <w:rPr>
          <w:spacing w:val="-3"/>
        </w:rPr>
        <w:t>la clasificación de las facies sedimentarias y su relación con las alternativas planteadas.</w:t>
      </w:r>
    </w:p>
    <w:p w14:paraId="7DD508D9" w14:textId="77777777" w:rsidR="005E0823" w:rsidRPr="004068F6" w:rsidRDefault="005E0823">
      <w:pPr>
        <w:numPr>
          <w:ilvl w:val="12"/>
          <w:numId w:val="0"/>
        </w:numPr>
        <w:tabs>
          <w:tab w:val="left" w:pos="-2268"/>
        </w:tabs>
        <w:suppressAutoHyphens/>
        <w:rPr>
          <w:spacing w:val="-3"/>
        </w:rPr>
      </w:pPr>
    </w:p>
    <w:p w14:paraId="443DEF15" w14:textId="33C1F734" w:rsidR="00F97C5C" w:rsidRPr="004068F6" w:rsidRDefault="00F97C5C">
      <w:pPr>
        <w:numPr>
          <w:ilvl w:val="12"/>
          <w:numId w:val="0"/>
        </w:numPr>
        <w:tabs>
          <w:tab w:val="left" w:pos="-2268"/>
        </w:tabs>
        <w:suppressAutoHyphens/>
        <w:rPr>
          <w:spacing w:val="-3"/>
        </w:rPr>
      </w:pPr>
      <w:r w:rsidRPr="004068F6">
        <w:rPr>
          <w:spacing w:val="-3"/>
        </w:rPr>
        <w:t>Asimismo, en la subzona marino-costera, cuando el proyecto</w:t>
      </w:r>
      <w:r w:rsidR="008A674A" w:rsidRPr="004068F6">
        <w:rPr>
          <w:spacing w:val="-3"/>
        </w:rPr>
        <w:t>, obra o actividad</w:t>
      </w:r>
      <w:r w:rsidRPr="004068F6">
        <w:rPr>
          <w:spacing w:val="-3"/>
        </w:rPr>
        <w:t xml:space="preserve"> implique la intervención del lecho marino, se debe </w:t>
      </w:r>
      <w:r w:rsidR="00F52E5F" w:rsidRPr="004068F6">
        <w:rPr>
          <w:spacing w:val="-3"/>
        </w:rPr>
        <w:t xml:space="preserve">señalar </w:t>
      </w:r>
      <w:r w:rsidRPr="004068F6">
        <w:rPr>
          <w:spacing w:val="-3"/>
        </w:rPr>
        <w:t xml:space="preserve">la </w:t>
      </w:r>
      <w:r w:rsidR="00F52E5F" w:rsidRPr="004068F6">
        <w:rPr>
          <w:spacing w:val="-3"/>
        </w:rPr>
        <w:t xml:space="preserve">relación de la </w:t>
      </w:r>
      <w:r w:rsidRPr="004068F6">
        <w:rPr>
          <w:spacing w:val="-3"/>
        </w:rPr>
        <w:t xml:space="preserve">clasificación de las facies sedimentarias marinas con las alternativas planteadas. </w:t>
      </w:r>
      <w:r w:rsidR="00526619" w:rsidRPr="004068F6">
        <w:rPr>
          <w:rFonts w:cs="Arial"/>
          <w:spacing w:val="-3"/>
        </w:rPr>
        <w:t>Igualmente</w:t>
      </w:r>
      <w:r w:rsidRPr="004068F6">
        <w:rPr>
          <w:rFonts w:cs="Arial"/>
          <w:spacing w:val="-3"/>
        </w:rPr>
        <w:t>,</w:t>
      </w:r>
      <w:r w:rsidRPr="004068F6">
        <w:rPr>
          <w:spacing w:val="-3"/>
        </w:rPr>
        <w:t xml:space="preserve"> se debe </w:t>
      </w:r>
      <w:r w:rsidR="00F52E5F" w:rsidRPr="004068F6">
        <w:rPr>
          <w:spacing w:val="-3"/>
        </w:rPr>
        <w:t xml:space="preserve">asegurar que los </w:t>
      </w:r>
      <w:r w:rsidRPr="004068F6">
        <w:rPr>
          <w:spacing w:val="-3"/>
        </w:rPr>
        <w:t xml:space="preserve">mapas </w:t>
      </w:r>
      <w:r w:rsidRPr="004068F6">
        <w:rPr>
          <w:rFonts w:cs="Arial"/>
          <w:spacing w:val="-3"/>
        </w:rPr>
        <w:t xml:space="preserve">con la información </w:t>
      </w:r>
      <w:r w:rsidR="008B4E79" w:rsidRPr="004068F6">
        <w:rPr>
          <w:rFonts w:cs="Arial"/>
          <w:spacing w:val="-3"/>
        </w:rPr>
        <w:t>estratigráfica</w:t>
      </w:r>
      <w:r w:rsidRPr="004068F6">
        <w:rPr>
          <w:spacing w:val="-3"/>
        </w:rPr>
        <w:t xml:space="preserve"> permitan apreciar las características de los suelos marinos</w:t>
      </w:r>
      <w:r w:rsidRPr="004068F6">
        <w:rPr>
          <w:rFonts w:cs="Arial"/>
          <w:spacing w:val="-3"/>
        </w:rPr>
        <w:t xml:space="preserve"> presentes</w:t>
      </w:r>
      <w:r w:rsidRPr="004068F6">
        <w:rPr>
          <w:spacing w:val="-3"/>
        </w:rPr>
        <w:t>.</w:t>
      </w:r>
    </w:p>
    <w:p w14:paraId="1709DB63" w14:textId="77777777" w:rsidR="00F97C5C" w:rsidRPr="004068F6" w:rsidRDefault="00F97C5C">
      <w:pPr>
        <w:numPr>
          <w:ilvl w:val="12"/>
          <w:numId w:val="0"/>
        </w:numPr>
        <w:tabs>
          <w:tab w:val="left" w:pos="-2268"/>
        </w:tabs>
        <w:suppressAutoHyphens/>
        <w:rPr>
          <w:spacing w:val="-3"/>
        </w:rPr>
      </w:pPr>
    </w:p>
    <w:p w14:paraId="703227E0" w14:textId="3C651D87" w:rsidR="00F97C5C" w:rsidRPr="004068F6" w:rsidRDefault="00F97C5C" w:rsidP="009420F5">
      <w:pPr>
        <w:pStyle w:val="Ttulo4"/>
        <w:tabs>
          <w:tab w:val="clear" w:pos="1844"/>
          <w:tab w:val="num" w:pos="1134"/>
        </w:tabs>
        <w:ind w:left="0"/>
        <w:rPr>
          <w:lang w:val="es-CO"/>
        </w:rPr>
      </w:pPr>
      <w:bookmarkStart w:id="2018" w:name="_Toc412803151"/>
      <w:bookmarkStart w:id="2019" w:name="_Toc437935980"/>
      <w:bookmarkStart w:id="2020" w:name="_Toc42552216"/>
      <w:bookmarkStart w:id="2021" w:name="_Toc412803153"/>
      <w:r w:rsidRPr="004068F6">
        <w:rPr>
          <w:lang w:val="es-CO"/>
        </w:rPr>
        <w:t>Geomorfol</w:t>
      </w:r>
      <w:r w:rsidR="003F39DD" w:rsidRPr="004068F6">
        <w:rPr>
          <w:lang w:val="es-CO"/>
        </w:rPr>
        <w:t>ogía</w:t>
      </w:r>
      <w:bookmarkEnd w:id="2018"/>
      <w:bookmarkEnd w:id="2019"/>
      <w:bookmarkEnd w:id="2020"/>
    </w:p>
    <w:p w14:paraId="4F309E15" w14:textId="77777777" w:rsidR="00F97C5C" w:rsidRPr="004068F6" w:rsidRDefault="00F97C5C">
      <w:pPr>
        <w:numPr>
          <w:ilvl w:val="12"/>
          <w:numId w:val="0"/>
        </w:numPr>
        <w:tabs>
          <w:tab w:val="left" w:pos="-2268"/>
        </w:tabs>
        <w:suppressAutoHyphens/>
        <w:rPr>
          <w:spacing w:val="-3"/>
        </w:rPr>
      </w:pPr>
    </w:p>
    <w:p w14:paraId="172D6013" w14:textId="4A6661B8" w:rsidR="00F97C5C" w:rsidRPr="004068F6" w:rsidRDefault="00B8450B">
      <w:pPr>
        <w:numPr>
          <w:ilvl w:val="12"/>
          <w:numId w:val="0"/>
        </w:numPr>
        <w:tabs>
          <w:tab w:val="left" w:pos="-2268"/>
        </w:tabs>
        <w:suppressAutoHyphens/>
        <w:rPr>
          <w:spacing w:val="-3"/>
        </w:rPr>
      </w:pPr>
      <w:r w:rsidRPr="004068F6">
        <w:rPr>
          <w:spacing w:val="-3"/>
        </w:rPr>
        <w:t xml:space="preserve">La caracterización </w:t>
      </w:r>
      <w:r w:rsidR="00E02721" w:rsidRPr="004068F6">
        <w:rPr>
          <w:spacing w:val="-3"/>
        </w:rPr>
        <w:t xml:space="preserve">de </w:t>
      </w:r>
      <w:r w:rsidR="00F97C5C" w:rsidRPr="004068F6">
        <w:rPr>
          <w:spacing w:val="-3"/>
        </w:rPr>
        <w:t xml:space="preserve">las unidades geomorfológicas continentales </w:t>
      </w:r>
      <w:r w:rsidR="00E02721" w:rsidRPr="004068F6">
        <w:rPr>
          <w:rFonts w:cs="Arial"/>
          <w:spacing w:val="-3"/>
        </w:rPr>
        <w:t xml:space="preserve">debe </w:t>
      </w:r>
      <w:r w:rsidR="0011154F" w:rsidRPr="004068F6">
        <w:rPr>
          <w:spacing w:val="-3"/>
        </w:rPr>
        <w:t>emplea</w:t>
      </w:r>
      <w:r w:rsidR="00E02721" w:rsidRPr="004068F6">
        <w:rPr>
          <w:spacing w:val="-3"/>
        </w:rPr>
        <w:t xml:space="preserve">r </w:t>
      </w:r>
      <w:r w:rsidR="00F97C5C" w:rsidRPr="004068F6">
        <w:rPr>
          <w:rFonts w:cs="Arial"/>
          <w:spacing w:val="-3"/>
        </w:rPr>
        <w:t xml:space="preserve">la metodología </w:t>
      </w:r>
      <w:r w:rsidR="00E02721" w:rsidRPr="004068F6">
        <w:rPr>
          <w:rFonts w:cs="Arial"/>
          <w:spacing w:val="-3"/>
        </w:rPr>
        <w:t>(IGAC</w:t>
      </w:r>
      <w:r w:rsidR="005E0823" w:rsidRPr="004068F6">
        <w:rPr>
          <w:rFonts w:cs="Arial"/>
          <w:spacing w:val="-3"/>
        </w:rPr>
        <w:t xml:space="preserve"> o</w:t>
      </w:r>
      <w:r w:rsidR="00E02721" w:rsidRPr="004068F6">
        <w:rPr>
          <w:rFonts w:cs="Arial"/>
          <w:spacing w:val="-3"/>
        </w:rPr>
        <w:t xml:space="preserve"> SGC) </w:t>
      </w:r>
      <w:r w:rsidR="007416B9" w:rsidRPr="004068F6">
        <w:rPr>
          <w:rFonts w:cs="Arial"/>
          <w:spacing w:val="-3"/>
        </w:rPr>
        <w:t>que mejor se ajuste</w:t>
      </w:r>
      <w:r w:rsidR="0011154F" w:rsidRPr="004068F6">
        <w:rPr>
          <w:rFonts w:cs="Arial"/>
          <w:spacing w:val="-3"/>
        </w:rPr>
        <w:t xml:space="preserve"> tanto a las condiciones evidenciadas en campo, como </w:t>
      </w:r>
      <w:r w:rsidR="00F97C5C" w:rsidRPr="004068F6">
        <w:rPr>
          <w:rFonts w:cs="Arial"/>
          <w:spacing w:val="-3"/>
        </w:rPr>
        <w:t>al propósito y particularidades del proyecto</w:t>
      </w:r>
      <w:r w:rsidR="0011154F" w:rsidRPr="004068F6">
        <w:rPr>
          <w:rFonts w:cs="Arial"/>
          <w:spacing w:val="-3"/>
        </w:rPr>
        <w:t>, obra o actividad</w:t>
      </w:r>
      <w:r w:rsidR="002E0114" w:rsidRPr="004068F6">
        <w:rPr>
          <w:rFonts w:cs="Arial"/>
          <w:spacing w:val="-3"/>
        </w:rPr>
        <w:t xml:space="preserve">; </w:t>
      </w:r>
      <w:r w:rsidRPr="004068F6">
        <w:rPr>
          <w:rFonts w:cs="Arial"/>
          <w:spacing w:val="-3"/>
        </w:rPr>
        <w:t xml:space="preserve">dicha selección ha de ser </w:t>
      </w:r>
      <w:r w:rsidR="002E0114" w:rsidRPr="004068F6">
        <w:rPr>
          <w:rFonts w:cs="Arial"/>
          <w:spacing w:val="-3"/>
        </w:rPr>
        <w:t>justifica</w:t>
      </w:r>
      <w:r w:rsidRPr="004068F6">
        <w:rPr>
          <w:rFonts w:cs="Arial"/>
          <w:spacing w:val="-3"/>
        </w:rPr>
        <w:t xml:space="preserve">da </w:t>
      </w:r>
      <w:r w:rsidR="002E0114" w:rsidRPr="004068F6">
        <w:rPr>
          <w:rFonts w:cs="Arial"/>
          <w:spacing w:val="-3"/>
        </w:rPr>
        <w:t>técnica</w:t>
      </w:r>
      <w:r w:rsidRPr="004068F6">
        <w:rPr>
          <w:rFonts w:cs="Arial"/>
          <w:spacing w:val="-3"/>
        </w:rPr>
        <w:t>mente</w:t>
      </w:r>
      <w:r w:rsidR="00F97C5C" w:rsidRPr="004068F6">
        <w:rPr>
          <w:rFonts w:cs="Arial"/>
          <w:spacing w:val="-3"/>
        </w:rPr>
        <w:t>.</w:t>
      </w:r>
      <w:r w:rsidR="00F97C5C" w:rsidRPr="004068F6">
        <w:rPr>
          <w:spacing w:val="-3"/>
        </w:rPr>
        <w:t xml:space="preserve"> La descripción de las unidades geomorfológicas se debe realizar a partir del </w:t>
      </w:r>
      <w:r w:rsidR="0011154F" w:rsidRPr="004068F6">
        <w:rPr>
          <w:spacing w:val="-3"/>
        </w:rPr>
        <w:t xml:space="preserve">estudio </w:t>
      </w:r>
      <w:r w:rsidR="00F97C5C" w:rsidRPr="004068F6">
        <w:rPr>
          <w:spacing w:val="-3"/>
        </w:rPr>
        <w:t>de lo siguiente:</w:t>
      </w:r>
    </w:p>
    <w:p w14:paraId="42CB8794" w14:textId="77777777" w:rsidR="00F97C5C" w:rsidRPr="004068F6" w:rsidRDefault="00F97C5C">
      <w:pPr>
        <w:numPr>
          <w:ilvl w:val="12"/>
          <w:numId w:val="0"/>
        </w:numPr>
        <w:tabs>
          <w:tab w:val="left" w:pos="-2268"/>
        </w:tabs>
        <w:suppressAutoHyphens/>
        <w:rPr>
          <w:spacing w:val="-3"/>
        </w:rPr>
      </w:pPr>
    </w:p>
    <w:p w14:paraId="151D07F8" w14:textId="77777777" w:rsidR="00F97C5C" w:rsidRPr="004068F6" w:rsidRDefault="00F97C5C" w:rsidP="00C86DA5">
      <w:pPr>
        <w:pStyle w:val="Prrafodelista"/>
        <w:numPr>
          <w:ilvl w:val="0"/>
          <w:numId w:val="61"/>
        </w:numPr>
        <w:tabs>
          <w:tab w:val="left" w:pos="-2268"/>
        </w:tabs>
        <w:suppressAutoHyphens/>
        <w:ind w:left="567" w:hanging="567"/>
        <w:rPr>
          <w:rFonts w:cs="Arial"/>
          <w:spacing w:val="-3"/>
          <w:lang w:val="es-CO"/>
        </w:rPr>
      </w:pPr>
      <w:r w:rsidRPr="004068F6">
        <w:rPr>
          <w:rFonts w:cs="Arial"/>
          <w:spacing w:val="-3"/>
          <w:lang w:val="es-CO"/>
        </w:rPr>
        <w:t>Morfogénesis (análisis del origen de las diferentes unidades de paisaje).</w:t>
      </w:r>
    </w:p>
    <w:p w14:paraId="15C76859" w14:textId="77777777" w:rsidR="00F97C5C" w:rsidRPr="004068F6" w:rsidRDefault="00F97C5C">
      <w:pPr>
        <w:tabs>
          <w:tab w:val="left" w:pos="-2268"/>
        </w:tabs>
        <w:suppressAutoHyphens/>
        <w:rPr>
          <w:spacing w:val="-3"/>
        </w:rPr>
      </w:pPr>
    </w:p>
    <w:p w14:paraId="1DFADB1A" w14:textId="77777777" w:rsidR="00F97C5C" w:rsidRPr="004068F6" w:rsidRDefault="00F97C5C" w:rsidP="00C86DA5">
      <w:pPr>
        <w:pStyle w:val="Prrafodelista"/>
        <w:numPr>
          <w:ilvl w:val="0"/>
          <w:numId w:val="61"/>
        </w:numPr>
        <w:tabs>
          <w:tab w:val="left" w:pos="-2268"/>
        </w:tabs>
        <w:suppressAutoHyphens/>
        <w:ind w:left="567" w:hanging="567"/>
        <w:rPr>
          <w:rFonts w:cs="Arial"/>
          <w:spacing w:val="-3"/>
          <w:lang w:val="es-CO"/>
        </w:rPr>
      </w:pPr>
      <w:r w:rsidRPr="004068F6">
        <w:rPr>
          <w:rFonts w:cs="Arial"/>
          <w:spacing w:val="-3"/>
          <w:lang w:val="es-CO"/>
        </w:rPr>
        <w:t>Morfografía (análisis de las formas del terreno).</w:t>
      </w:r>
    </w:p>
    <w:p w14:paraId="3BB433D6" w14:textId="77777777" w:rsidR="00F97C5C" w:rsidRPr="004068F6" w:rsidRDefault="00F97C5C">
      <w:pPr>
        <w:tabs>
          <w:tab w:val="left" w:pos="-2268"/>
        </w:tabs>
        <w:suppressAutoHyphens/>
        <w:rPr>
          <w:spacing w:val="-3"/>
        </w:rPr>
      </w:pPr>
    </w:p>
    <w:p w14:paraId="0B3565D9" w14:textId="66FF1482" w:rsidR="00F97C5C" w:rsidRPr="004068F6" w:rsidRDefault="00F97C5C" w:rsidP="00C86DA5">
      <w:pPr>
        <w:pStyle w:val="Prrafodelista"/>
        <w:numPr>
          <w:ilvl w:val="0"/>
          <w:numId w:val="61"/>
        </w:numPr>
        <w:tabs>
          <w:tab w:val="left" w:pos="-2268"/>
        </w:tabs>
        <w:suppressAutoHyphens/>
        <w:ind w:left="567" w:hanging="567"/>
        <w:rPr>
          <w:rFonts w:cs="Arial"/>
          <w:spacing w:val="-3"/>
          <w:lang w:val="es-CO"/>
        </w:rPr>
      </w:pPr>
      <w:r w:rsidRPr="004068F6">
        <w:rPr>
          <w:rFonts w:cs="Arial"/>
          <w:spacing w:val="-3"/>
          <w:lang w:val="es-CO"/>
        </w:rPr>
        <w:t>Morfodinámica (análisis de los procesos de tipo denudativo o agradativo).</w:t>
      </w:r>
    </w:p>
    <w:p w14:paraId="1A90E5CA" w14:textId="77777777" w:rsidR="00F97C5C" w:rsidRPr="004068F6" w:rsidRDefault="00F97C5C">
      <w:pPr>
        <w:tabs>
          <w:tab w:val="left" w:pos="-2268"/>
        </w:tabs>
        <w:suppressAutoHyphens/>
        <w:rPr>
          <w:spacing w:val="-3"/>
        </w:rPr>
      </w:pPr>
    </w:p>
    <w:p w14:paraId="43CC3373" w14:textId="77777777" w:rsidR="00F97C5C" w:rsidRPr="004068F6" w:rsidRDefault="00F97C5C" w:rsidP="00C86DA5">
      <w:pPr>
        <w:pStyle w:val="Prrafodelista"/>
        <w:numPr>
          <w:ilvl w:val="0"/>
          <w:numId w:val="61"/>
        </w:numPr>
        <w:tabs>
          <w:tab w:val="left" w:pos="-2268"/>
        </w:tabs>
        <w:suppressAutoHyphens/>
        <w:ind w:left="567" w:hanging="567"/>
        <w:rPr>
          <w:rFonts w:cs="Arial"/>
          <w:spacing w:val="-3"/>
          <w:lang w:val="es-CO"/>
        </w:rPr>
      </w:pPr>
      <w:r w:rsidRPr="004068F6">
        <w:rPr>
          <w:rFonts w:cs="Arial"/>
          <w:spacing w:val="-3"/>
          <w:lang w:val="es-CO"/>
        </w:rPr>
        <w:t>Morfoestructuras (análisis y mapeo de las formas de tipo estructural que imperan sobre el relieve).</w:t>
      </w:r>
    </w:p>
    <w:p w14:paraId="0BDE9E0B" w14:textId="77777777" w:rsidR="00F97C5C" w:rsidRPr="004068F6" w:rsidRDefault="00F97C5C">
      <w:pPr>
        <w:numPr>
          <w:ilvl w:val="12"/>
          <w:numId w:val="0"/>
        </w:numPr>
        <w:tabs>
          <w:tab w:val="left" w:pos="-2268"/>
        </w:tabs>
        <w:suppressAutoHyphens/>
        <w:rPr>
          <w:spacing w:val="-3"/>
        </w:rPr>
      </w:pPr>
    </w:p>
    <w:p w14:paraId="07DBB7F5" w14:textId="47DE6BCD" w:rsidR="00EF5CD6" w:rsidRPr="004068F6" w:rsidRDefault="00EF5CD6" w:rsidP="00EF5CD6">
      <w:pPr>
        <w:numPr>
          <w:ilvl w:val="12"/>
          <w:numId w:val="0"/>
        </w:numPr>
        <w:tabs>
          <w:tab w:val="left" w:pos="-2268"/>
        </w:tabs>
        <w:suppressAutoHyphens/>
        <w:rPr>
          <w:spacing w:val="-3"/>
        </w:rPr>
      </w:pPr>
      <w:r w:rsidRPr="004068F6">
        <w:rPr>
          <w:spacing w:val="-3"/>
        </w:rPr>
        <w:t xml:space="preserve">La caracterización de la geomorfología submarina se debe basar en fuentes de información idóneas (p. ej. SGC, DIMAR, Invemar, CCO) cuyas características se </w:t>
      </w:r>
      <w:r w:rsidRPr="004068F6">
        <w:rPr>
          <w:spacing w:val="-3"/>
        </w:rPr>
        <w:lastRenderedPageBreak/>
        <w:t>ajusten tanto a las condiciones evidencias en la región, como al propósito del proyecto, obra o actividad; los requerimientos de información para estas situaciones se indican en los términos de referencia que apliquen.</w:t>
      </w:r>
    </w:p>
    <w:p w14:paraId="7CE93018" w14:textId="77777777" w:rsidR="00EF5CD6" w:rsidRPr="004068F6" w:rsidRDefault="00EF5CD6">
      <w:pPr>
        <w:numPr>
          <w:ilvl w:val="12"/>
          <w:numId w:val="0"/>
        </w:numPr>
        <w:tabs>
          <w:tab w:val="left" w:pos="-2268"/>
        </w:tabs>
        <w:suppressAutoHyphens/>
        <w:rPr>
          <w:spacing w:val="-3"/>
        </w:rPr>
      </w:pPr>
    </w:p>
    <w:p w14:paraId="38C5AE8A" w14:textId="5AB1CFA8" w:rsidR="00F97C5C" w:rsidRPr="004068F6" w:rsidRDefault="00E02721">
      <w:pPr>
        <w:numPr>
          <w:ilvl w:val="12"/>
          <w:numId w:val="0"/>
        </w:numPr>
        <w:tabs>
          <w:tab w:val="left" w:pos="-2268"/>
        </w:tabs>
        <w:suppressAutoHyphens/>
        <w:rPr>
          <w:spacing w:val="-3"/>
        </w:rPr>
      </w:pPr>
      <w:r w:rsidRPr="004068F6">
        <w:rPr>
          <w:spacing w:val="-3"/>
        </w:rPr>
        <w:t xml:space="preserve">La cartografía geomorfológica debe desarrollarse a partir de las unidades y rasgos estructurales, </w:t>
      </w:r>
      <w:r w:rsidRPr="004068F6">
        <w:rPr>
          <w:rFonts w:cs="Arial"/>
          <w:spacing w:val="-3"/>
        </w:rPr>
        <w:t>considera</w:t>
      </w:r>
      <w:r w:rsidR="00E84028" w:rsidRPr="004068F6">
        <w:rPr>
          <w:rFonts w:cs="Arial"/>
          <w:spacing w:val="-3"/>
        </w:rPr>
        <w:t>r</w:t>
      </w:r>
      <w:r w:rsidRPr="004068F6">
        <w:rPr>
          <w:rFonts w:cs="Arial"/>
          <w:spacing w:val="-3"/>
        </w:rPr>
        <w:t xml:space="preserve"> fundamentalmente </w:t>
      </w:r>
      <w:r w:rsidRPr="004068F6">
        <w:rPr>
          <w:spacing w:val="-3"/>
        </w:rPr>
        <w:t>la morfogénesis y la morfodinámica</w:t>
      </w:r>
      <w:r w:rsidRPr="004068F6">
        <w:rPr>
          <w:rFonts w:cs="Arial"/>
          <w:spacing w:val="-3"/>
        </w:rPr>
        <w:t xml:space="preserve">, así como </w:t>
      </w:r>
      <w:r w:rsidR="00F97C5C" w:rsidRPr="004068F6">
        <w:rPr>
          <w:spacing w:val="-3"/>
        </w:rPr>
        <w:t>bas</w:t>
      </w:r>
      <w:r w:rsidRPr="004068F6">
        <w:rPr>
          <w:spacing w:val="-3"/>
        </w:rPr>
        <w:t xml:space="preserve">arse en </w:t>
      </w:r>
      <w:r w:rsidR="0019341C" w:rsidRPr="004068F6">
        <w:rPr>
          <w:spacing w:val="-3"/>
        </w:rPr>
        <w:t xml:space="preserve">la </w:t>
      </w:r>
      <w:r w:rsidR="00F97C5C" w:rsidRPr="004068F6">
        <w:rPr>
          <w:spacing w:val="-3"/>
        </w:rPr>
        <w:t>fotointerpretación</w:t>
      </w:r>
      <w:r w:rsidR="00BE0054" w:rsidRPr="004068F6">
        <w:rPr>
          <w:spacing w:val="-3"/>
        </w:rPr>
        <w:t>,</w:t>
      </w:r>
      <w:r w:rsidR="00F97C5C" w:rsidRPr="004068F6">
        <w:rPr>
          <w:spacing w:val="-3"/>
        </w:rPr>
        <w:t xml:space="preserve"> </w:t>
      </w:r>
      <w:r w:rsidRPr="004068F6">
        <w:rPr>
          <w:spacing w:val="-3"/>
        </w:rPr>
        <w:t xml:space="preserve">en </w:t>
      </w:r>
      <w:r w:rsidR="0095583D" w:rsidRPr="004068F6">
        <w:rPr>
          <w:spacing w:val="-3"/>
        </w:rPr>
        <w:t xml:space="preserve">el </w:t>
      </w:r>
      <w:r w:rsidR="00F97C5C" w:rsidRPr="004068F6">
        <w:rPr>
          <w:spacing w:val="-3"/>
        </w:rPr>
        <w:t>análisis de imágenes de sensores remotos</w:t>
      </w:r>
      <w:r w:rsidRPr="004068F6">
        <w:rPr>
          <w:spacing w:val="-3"/>
        </w:rPr>
        <w:t xml:space="preserve"> y en</w:t>
      </w:r>
      <w:r w:rsidR="00F97C5C" w:rsidRPr="004068F6">
        <w:rPr>
          <w:spacing w:val="-3"/>
        </w:rPr>
        <w:t xml:space="preserve"> el sondeo </w:t>
      </w:r>
      <w:r w:rsidR="00BE0054" w:rsidRPr="004068F6">
        <w:rPr>
          <w:spacing w:val="-3"/>
        </w:rPr>
        <w:t xml:space="preserve">en </w:t>
      </w:r>
      <w:r w:rsidR="00F97C5C" w:rsidRPr="004068F6">
        <w:rPr>
          <w:spacing w:val="-3"/>
        </w:rPr>
        <w:t xml:space="preserve">campo </w:t>
      </w:r>
      <w:r w:rsidRPr="004068F6">
        <w:rPr>
          <w:spacing w:val="-3"/>
        </w:rPr>
        <w:t xml:space="preserve">mediante </w:t>
      </w:r>
      <w:r w:rsidR="00F97C5C" w:rsidRPr="004068F6">
        <w:rPr>
          <w:spacing w:val="-3"/>
        </w:rPr>
        <w:t>puntos de observación o control</w:t>
      </w:r>
      <w:r w:rsidR="00F97C5C" w:rsidRPr="004068F6">
        <w:rPr>
          <w:rFonts w:cs="Arial"/>
          <w:spacing w:val="-3"/>
        </w:rPr>
        <w:t xml:space="preserve"> </w:t>
      </w:r>
      <w:r w:rsidRPr="004068F6">
        <w:rPr>
          <w:rFonts w:cs="Arial"/>
          <w:spacing w:val="-3"/>
        </w:rPr>
        <w:t>(</w:t>
      </w:r>
      <w:r w:rsidR="00F97C5C" w:rsidRPr="004068F6">
        <w:rPr>
          <w:rFonts w:cs="Arial"/>
          <w:spacing w:val="-3"/>
        </w:rPr>
        <w:t>en caso de requerirse</w:t>
      </w:r>
      <w:r w:rsidRPr="004068F6">
        <w:rPr>
          <w:rFonts w:cs="Arial"/>
          <w:spacing w:val="-3"/>
        </w:rPr>
        <w:t>)</w:t>
      </w:r>
      <w:r w:rsidR="0095583D" w:rsidRPr="004068F6">
        <w:rPr>
          <w:spacing w:val="-3"/>
        </w:rPr>
        <w:t>.</w:t>
      </w:r>
    </w:p>
    <w:p w14:paraId="12C5B9B4" w14:textId="77777777" w:rsidR="00F97C5C" w:rsidRPr="004068F6" w:rsidRDefault="00F97C5C">
      <w:pPr>
        <w:numPr>
          <w:ilvl w:val="12"/>
          <w:numId w:val="0"/>
        </w:numPr>
        <w:tabs>
          <w:tab w:val="left" w:pos="-2268"/>
        </w:tabs>
        <w:suppressAutoHyphens/>
        <w:rPr>
          <w:spacing w:val="-3"/>
        </w:rPr>
      </w:pPr>
    </w:p>
    <w:p w14:paraId="4671F280" w14:textId="1C046C71" w:rsidR="00F97C5C" w:rsidRPr="004068F6" w:rsidRDefault="00E709E3">
      <w:pPr>
        <w:numPr>
          <w:ilvl w:val="12"/>
          <w:numId w:val="0"/>
        </w:numPr>
        <w:tabs>
          <w:tab w:val="left" w:pos="-2268"/>
        </w:tabs>
        <w:suppressAutoHyphens/>
        <w:rPr>
          <w:spacing w:val="-3"/>
        </w:rPr>
      </w:pPr>
      <w:r w:rsidRPr="004068F6">
        <w:rPr>
          <w:spacing w:val="-3"/>
        </w:rPr>
        <w:t>Definir</w:t>
      </w:r>
      <w:r w:rsidR="00F97C5C" w:rsidRPr="004068F6">
        <w:rPr>
          <w:spacing w:val="-3"/>
        </w:rPr>
        <w:t xml:space="preserve"> las geoformas asociadas a procesos de fenómenos de inundaciones fluviales lentas, avenidas torrenciales y movimientos en masa</w:t>
      </w:r>
      <w:r w:rsidR="00F97C5C" w:rsidRPr="004068F6">
        <w:rPr>
          <w:rFonts w:cs="Arial"/>
          <w:spacing w:val="-3"/>
        </w:rPr>
        <w:t>.</w:t>
      </w:r>
      <w:r w:rsidR="00F97C5C" w:rsidRPr="004068F6">
        <w:rPr>
          <w:spacing w:val="-3"/>
        </w:rPr>
        <w:t xml:space="preserve"> Igualmente, se deben </w:t>
      </w:r>
      <w:r w:rsidR="00C424A8" w:rsidRPr="004068F6">
        <w:rPr>
          <w:spacing w:val="-3"/>
        </w:rPr>
        <w:t xml:space="preserve">determinar </w:t>
      </w:r>
      <w:r w:rsidR="00F97C5C" w:rsidRPr="004068F6">
        <w:rPr>
          <w:spacing w:val="-3"/>
        </w:rPr>
        <w:t>y localizar</w:t>
      </w:r>
      <w:r w:rsidR="00F97C5C" w:rsidRPr="004068F6">
        <w:rPr>
          <w:rFonts w:cs="Arial"/>
          <w:spacing w:val="-3"/>
        </w:rPr>
        <w:t xml:space="preserve"> las</w:t>
      </w:r>
      <w:r w:rsidR="00F97C5C" w:rsidRPr="004068F6">
        <w:rPr>
          <w:spacing w:val="-3"/>
        </w:rPr>
        <w:t xml:space="preserve"> zonas propensas a la ocurrencia de geoamenazas naturales producto de la actividad sísmica y volcánica.</w:t>
      </w:r>
    </w:p>
    <w:p w14:paraId="1C70F69D" w14:textId="77777777" w:rsidR="00F97C5C" w:rsidRPr="004068F6" w:rsidRDefault="00F97C5C">
      <w:pPr>
        <w:numPr>
          <w:ilvl w:val="12"/>
          <w:numId w:val="0"/>
        </w:numPr>
        <w:tabs>
          <w:tab w:val="left" w:pos="-2268"/>
        </w:tabs>
        <w:suppressAutoHyphens/>
        <w:rPr>
          <w:spacing w:val="-3"/>
        </w:rPr>
      </w:pPr>
    </w:p>
    <w:p w14:paraId="1D03A1F4" w14:textId="2D965EEE" w:rsidR="00DB50F6" w:rsidRPr="004068F6" w:rsidRDefault="0019341C" w:rsidP="00C86DA5">
      <w:pPr>
        <w:numPr>
          <w:ilvl w:val="12"/>
          <w:numId w:val="0"/>
        </w:numPr>
        <w:tabs>
          <w:tab w:val="left" w:pos="-2268"/>
        </w:tabs>
        <w:suppressAutoHyphens/>
        <w:rPr>
          <w:rFonts w:cs="Arial"/>
          <w:spacing w:val="-3"/>
        </w:rPr>
      </w:pPr>
      <w:r w:rsidRPr="004068F6">
        <w:rPr>
          <w:spacing w:val="-3"/>
        </w:rPr>
        <w:t xml:space="preserve">En caso de que el área </w:t>
      </w:r>
      <w:r w:rsidR="00EA3237" w:rsidRPr="004068F6">
        <w:rPr>
          <w:spacing w:val="-3"/>
        </w:rPr>
        <w:t xml:space="preserve">de </w:t>
      </w:r>
      <w:r w:rsidR="00F97C5C" w:rsidRPr="004068F6">
        <w:rPr>
          <w:spacing w:val="-3"/>
        </w:rPr>
        <w:t>estudio</w:t>
      </w:r>
      <w:r w:rsidR="00F97C5C" w:rsidRPr="004068F6">
        <w:rPr>
          <w:rFonts w:cs="Arial"/>
          <w:spacing w:val="-3"/>
        </w:rPr>
        <w:t xml:space="preserve"> </w:t>
      </w:r>
      <w:r w:rsidR="00F97C5C" w:rsidRPr="004068F6">
        <w:rPr>
          <w:spacing w:val="-3"/>
        </w:rPr>
        <w:t xml:space="preserve">se encuentre en zonas costeras o marítimas, se deben definir </w:t>
      </w:r>
      <w:r w:rsidR="002E0114" w:rsidRPr="004068F6">
        <w:rPr>
          <w:spacing w:val="-3"/>
        </w:rPr>
        <w:t xml:space="preserve">las </w:t>
      </w:r>
      <w:r w:rsidR="00F97C5C" w:rsidRPr="004068F6">
        <w:rPr>
          <w:spacing w:val="-3"/>
        </w:rPr>
        <w:t xml:space="preserve">unidades y rasgos geomorfológicos de la línea de costa e incorporar datos batimétricos (isobatas), si ellos existen; asimismo, </w:t>
      </w:r>
      <w:r w:rsidR="0095583D" w:rsidRPr="004068F6">
        <w:rPr>
          <w:spacing w:val="-3"/>
        </w:rPr>
        <w:t xml:space="preserve">se deben analizar las variaciones </w:t>
      </w:r>
      <w:r w:rsidR="00F97C5C" w:rsidRPr="004068F6">
        <w:rPr>
          <w:spacing w:val="-3"/>
        </w:rPr>
        <w:t>temporal</w:t>
      </w:r>
      <w:r w:rsidR="0095583D" w:rsidRPr="004068F6">
        <w:rPr>
          <w:spacing w:val="-3"/>
        </w:rPr>
        <w:t>es</w:t>
      </w:r>
      <w:r w:rsidR="00F97C5C" w:rsidRPr="004068F6">
        <w:rPr>
          <w:spacing w:val="-3"/>
        </w:rPr>
        <w:t xml:space="preserve"> de la línea de costa del área de estudio con base en la información disponible, </w:t>
      </w:r>
      <w:r w:rsidR="00603D47" w:rsidRPr="004068F6">
        <w:rPr>
          <w:spacing w:val="-3"/>
        </w:rPr>
        <w:t>a</w:t>
      </w:r>
      <w:r w:rsidR="00F97C5C" w:rsidRPr="004068F6">
        <w:rPr>
          <w:spacing w:val="-3"/>
        </w:rPr>
        <w:t xml:space="preserve"> fin de </w:t>
      </w:r>
      <w:r w:rsidR="00C424A8" w:rsidRPr="004068F6">
        <w:rPr>
          <w:spacing w:val="-3"/>
        </w:rPr>
        <w:t xml:space="preserve">establecer </w:t>
      </w:r>
      <w:r w:rsidR="00F97C5C" w:rsidRPr="004068F6">
        <w:rPr>
          <w:spacing w:val="-3"/>
        </w:rPr>
        <w:t xml:space="preserve">las tasas de erosión y acreción sedimentaria, </w:t>
      </w:r>
      <w:r w:rsidR="00F97C5C" w:rsidRPr="004068F6">
        <w:rPr>
          <w:rFonts w:cs="Arial"/>
          <w:spacing w:val="-3"/>
        </w:rPr>
        <w:t>describiendo el grado</w:t>
      </w:r>
      <w:r w:rsidR="00F97C5C" w:rsidRPr="004068F6">
        <w:rPr>
          <w:spacing w:val="-3"/>
        </w:rPr>
        <w:t xml:space="preserve"> de </w:t>
      </w:r>
      <w:r w:rsidR="00F97C5C" w:rsidRPr="004068F6">
        <w:rPr>
          <w:rFonts w:cs="Arial"/>
          <w:spacing w:val="-3"/>
        </w:rPr>
        <w:t xml:space="preserve">alteración de la </w:t>
      </w:r>
      <w:r w:rsidR="00F97C5C" w:rsidRPr="004068F6">
        <w:rPr>
          <w:spacing w:val="-3"/>
        </w:rPr>
        <w:t>línea de costa</w:t>
      </w:r>
      <w:r w:rsidR="00F97C5C" w:rsidRPr="004068F6">
        <w:rPr>
          <w:rFonts w:cs="Arial"/>
          <w:spacing w:val="-3"/>
        </w:rPr>
        <w:t xml:space="preserve"> en el rango de tiempo analizado</w:t>
      </w:r>
      <w:r w:rsidR="00F97C5C" w:rsidRPr="004068F6">
        <w:rPr>
          <w:spacing w:val="-3"/>
        </w:rPr>
        <w:t>.</w:t>
      </w:r>
    </w:p>
    <w:p w14:paraId="4BF6D530" w14:textId="77777777" w:rsidR="00F97C5C" w:rsidRPr="004068F6" w:rsidRDefault="00F97C5C">
      <w:pPr>
        <w:numPr>
          <w:ilvl w:val="12"/>
          <w:numId w:val="0"/>
        </w:numPr>
        <w:tabs>
          <w:tab w:val="left" w:pos="-2268"/>
        </w:tabs>
        <w:suppressAutoHyphens/>
        <w:rPr>
          <w:spacing w:val="-3"/>
        </w:rPr>
      </w:pPr>
    </w:p>
    <w:p w14:paraId="2F68CADC" w14:textId="37BDCC7B" w:rsidR="00F97C5C" w:rsidRPr="00B81EC8" w:rsidRDefault="00E03439" w:rsidP="000A1E20">
      <w:pPr>
        <w:pStyle w:val="Ttulo3"/>
      </w:pPr>
      <w:bookmarkStart w:id="2022" w:name="_Toc42552217"/>
      <w:bookmarkStart w:id="2023" w:name="_Toc230879584"/>
      <w:bookmarkEnd w:id="2021"/>
      <w:r w:rsidRPr="00B81EC8">
        <w:t>Edafológico</w:t>
      </w:r>
      <w:r w:rsidRPr="00B81EC8" w:rsidDel="00E03439">
        <w:t xml:space="preserve"> </w:t>
      </w:r>
      <w:bookmarkEnd w:id="2022"/>
      <w:r w:rsidR="009839D1" w:rsidRPr="00B81EC8">
        <w:t>y usos de la tierra</w:t>
      </w:r>
      <w:bookmarkEnd w:id="2023"/>
    </w:p>
    <w:p w14:paraId="623B1CC2" w14:textId="77777777" w:rsidR="00F97C5C" w:rsidRPr="004068F6" w:rsidRDefault="00F97C5C" w:rsidP="00F97C5C">
      <w:pPr>
        <w:rPr>
          <w:rFonts w:cs="Arial"/>
        </w:rPr>
      </w:pPr>
    </w:p>
    <w:p w14:paraId="223B0216" w14:textId="5E34F5D9" w:rsidR="00672ED7" w:rsidRPr="004068F6" w:rsidRDefault="009151ED" w:rsidP="00672ED7">
      <w:pPr>
        <w:rPr>
          <w:color w:val="000000"/>
          <w:szCs w:val="23"/>
          <w:lang w:eastAsia="es-CO"/>
        </w:rPr>
      </w:pPr>
      <w:r w:rsidRPr="004068F6">
        <w:rPr>
          <w:color w:val="000000"/>
          <w:szCs w:val="23"/>
          <w:lang w:eastAsia="es-CO"/>
        </w:rPr>
        <w:t xml:space="preserve">La </w:t>
      </w:r>
      <w:r w:rsidR="00672ED7" w:rsidRPr="004068F6">
        <w:rPr>
          <w:color w:val="000000"/>
          <w:szCs w:val="23"/>
          <w:lang w:eastAsia="es-CO"/>
        </w:rPr>
        <w:t xml:space="preserve">caracterización de los suelos y </w:t>
      </w:r>
      <w:r w:rsidRPr="004068F6">
        <w:rPr>
          <w:color w:val="000000"/>
          <w:szCs w:val="23"/>
          <w:lang w:eastAsia="es-CO"/>
        </w:rPr>
        <w:t xml:space="preserve">el </w:t>
      </w:r>
      <w:r w:rsidR="00672ED7" w:rsidRPr="004068F6">
        <w:rPr>
          <w:color w:val="000000"/>
          <w:szCs w:val="23"/>
          <w:lang w:eastAsia="es-CO"/>
        </w:rPr>
        <w:t>análisis de su estado actual</w:t>
      </w:r>
      <w:r w:rsidR="00EB0E91" w:rsidRPr="004068F6">
        <w:rPr>
          <w:color w:val="000000"/>
          <w:szCs w:val="23"/>
          <w:lang w:eastAsia="es-CO"/>
        </w:rPr>
        <w:t xml:space="preserve"> y</w:t>
      </w:r>
      <w:r w:rsidR="00672ED7" w:rsidRPr="004068F6">
        <w:rPr>
          <w:color w:val="000000"/>
          <w:szCs w:val="23"/>
          <w:lang w:eastAsia="es-CO"/>
        </w:rPr>
        <w:t xml:space="preserve"> capacidad de uso</w:t>
      </w:r>
      <w:r w:rsidRPr="004068F6">
        <w:rPr>
          <w:color w:val="000000"/>
          <w:szCs w:val="23"/>
          <w:lang w:eastAsia="es-CO"/>
        </w:rPr>
        <w:t xml:space="preserve"> debe desarrollarse a partir de </w:t>
      </w:r>
      <w:r w:rsidR="00672ED7" w:rsidRPr="004068F6">
        <w:rPr>
          <w:color w:val="000000"/>
          <w:szCs w:val="23"/>
          <w:lang w:eastAsia="es-CO"/>
        </w:rPr>
        <w:t xml:space="preserve">información </w:t>
      </w:r>
      <w:r w:rsidRPr="004068F6">
        <w:rPr>
          <w:color w:val="000000"/>
          <w:szCs w:val="23"/>
          <w:lang w:eastAsia="es-CO"/>
        </w:rPr>
        <w:t>secundaria</w:t>
      </w:r>
      <w:r w:rsidR="0001712F" w:rsidRPr="004068F6">
        <w:rPr>
          <w:color w:val="000000"/>
          <w:szCs w:val="23"/>
          <w:lang w:eastAsia="es-CO"/>
        </w:rPr>
        <w:t xml:space="preserve">, mucha de la cual, así como sus especificaciones técnicas, </w:t>
      </w:r>
      <w:r w:rsidR="00672ED7" w:rsidRPr="004068F6">
        <w:rPr>
          <w:color w:val="000000"/>
          <w:szCs w:val="23"/>
          <w:lang w:eastAsia="es-CO"/>
        </w:rPr>
        <w:t>puede</w:t>
      </w:r>
      <w:r w:rsidR="0001712F" w:rsidRPr="004068F6">
        <w:rPr>
          <w:color w:val="000000"/>
          <w:szCs w:val="23"/>
          <w:lang w:eastAsia="es-CO"/>
        </w:rPr>
        <w:t>n</w:t>
      </w:r>
      <w:r w:rsidR="00672ED7" w:rsidRPr="004068F6">
        <w:rPr>
          <w:color w:val="000000"/>
          <w:szCs w:val="23"/>
          <w:lang w:eastAsia="es-CO"/>
        </w:rPr>
        <w:t xml:space="preserve"> descarga</w:t>
      </w:r>
      <w:r w:rsidRPr="004068F6">
        <w:rPr>
          <w:color w:val="000000"/>
          <w:szCs w:val="23"/>
          <w:lang w:eastAsia="es-CO"/>
        </w:rPr>
        <w:t xml:space="preserve">rse </w:t>
      </w:r>
      <w:r w:rsidR="00672ED7" w:rsidRPr="004068F6">
        <w:rPr>
          <w:color w:val="000000"/>
          <w:szCs w:val="23"/>
          <w:lang w:eastAsia="es-CO"/>
        </w:rPr>
        <w:t>gratuitamente de la</w:t>
      </w:r>
      <w:r w:rsidR="0001712F" w:rsidRPr="004068F6">
        <w:rPr>
          <w:color w:val="000000"/>
          <w:szCs w:val="23"/>
          <w:lang w:eastAsia="es-CO"/>
        </w:rPr>
        <w:t>s</w:t>
      </w:r>
      <w:r w:rsidR="00672ED7" w:rsidRPr="004068F6">
        <w:rPr>
          <w:color w:val="000000"/>
          <w:szCs w:val="23"/>
          <w:lang w:eastAsia="es-CO"/>
        </w:rPr>
        <w:t xml:space="preserve"> página</w:t>
      </w:r>
      <w:r w:rsidR="0001712F" w:rsidRPr="004068F6">
        <w:rPr>
          <w:color w:val="000000"/>
          <w:szCs w:val="23"/>
          <w:lang w:eastAsia="es-CO"/>
        </w:rPr>
        <w:t>s</w:t>
      </w:r>
      <w:r w:rsidR="00672ED7" w:rsidRPr="004068F6">
        <w:rPr>
          <w:color w:val="000000"/>
          <w:szCs w:val="23"/>
          <w:lang w:eastAsia="es-CO"/>
        </w:rPr>
        <w:t xml:space="preserve"> Web de la Infraestructura Colombiana de Datos Espaciales</w:t>
      </w:r>
      <w:r w:rsidR="00672ED7" w:rsidRPr="004068F6">
        <w:rPr>
          <w:color w:val="000000"/>
          <w:szCs w:val="23"/>
          <w:vertAlign w:val="superscript"/>
          <w:lang w:eastAsia="es-CO"/>
        </w:rPr>
        <w:footnoteReference w:id="47"/>
      </w:r>
      <w:r w:rsidR="00672ED7" w:rsidRPr="004068F6">
        <w:rPr>
          <w:color w:val="000000"/>
          <w:szCs w:val="23"/>
          <w:lang w:eastAsia="es-CO"/>
        </w:rPr>
        <w:t xml:space="preserve"> (ICDE)</w:t>
      </w:r>
      <w:r w:rsidR="002E0114" w:rsidRPr="004068F6">
        <w:rPr>
          <w:color w:val="000000"/>
          <w:szCs w:val="23"/>
          <w:lang w:eastAsia="es-CO"/>
        </w:rPr>
        <w:t xml:space="preserve"> y del IGAC</w:t>
      </w:r>
      <w:r w:rsidR="002E0114" w:rsidRPr="004068F6">
        <w:rPr>
          <w:color w:val="000000"/>
          <w:szCs w:val="23"/>
          <w:vertAlign w:val="superscript"/>
          <w:lang w:eastAsia="es-CO"/>
        </w:rPr>
        <w:footnoteReference w:id="48"/>
      </w:r>
      <w:r w:rsidR="0041295D" w:rsidRPr="004068F6">
        <w:rPr>
          <w:color w:val="000000"/>
          <w:szCs w:val="23"/>
          <w:lang w:eastAsia="es-CO"/>
        </w:rPr>
        <w:t>. A continuación</w:t>
      </w:r>
      <w:r w:rsidR="00B16C31" w:rsidRPr="004068F6">
        <w:rPr>
          <w:color w:val="000000"/>
          <w:szCs w:val="23"/>
          <w:lang w:eastAsia="es-CO"/>
        </w:rPr>
        <w:t>,</w:t>
      </w:r>
      <w:r w:rsidR="0041295D" w:rsidRPr="004068F6">
        <w:rPr>
          <w:color w:val="000000"/>
          <w:szCs w:val="23"/>
          <w:lang w:eastAsia="es-CO"/>
        </w:rPr>
        <w:t xml:space="preserve"> se establecen los mapas </w:t>
      </w:r>
      <w:r w:rsidR="00EE3F79" w:rsidRPr="004068F6">
        <w:rPr>
          <w:color w:val="000000"/>
          <w:szCs w:val="23"/>
          <w:lang w:eastAsia="es-CO"/>
        </w:rPr>
        <w:t>de los cuales debe tomarse información</w:t>
      </w:r>
      <w:r w:rsidR="0041295D" w:rsidRPr="004068F6">
        <w:rPr>
          <w:color w:val="000000"/>
          <w:szCs w:val="23"/>
          <w:lang w:eastAsia="es-CO"/>
        </w:rPr>
        <w:t xml:space="preserve"> </w:t>
      </w:r>
      <w:r w:rsidR="00EE3F79" w:rsidRPr="004068F6">
        <w:rPr>
          <w:color w:val="000000"/>
          <w:szCs w:val="23"/>
          <w:lang w:eastAsia="es-CO"/>
        </w:rPr>
        <w:t xml:space="preserve">para realizar </w:t>
      </w:r>
      <w:r w:rsidR="0041295D" w:rsidRPr="004068F6">
        <w:rPr>
          <w:color w:val="000000"/>
          <w:szCs w:val="23"/>
          <w:lang w:eastAsia="es-CO"/>
        </w:rPr>
        <w:t>la caracterización y análisis de los suelos</w:t>
      </w:r>
      <w:r w:rsidR="00672ED7" w:rsidRPr="004068F6">
        <w:rPr>
          <w:color w:val="000000"/>
          <w:szCs w:val="23"/>
          <w:lang w:eastAsia="es-CO"/>
        </w:rPr>
        <w:t>:</w:t>
      </w:r>
    </w:p>
    <w:p w14:paraId="4CCBCCE0" w14:textId="77777777" w:rsidR="00672ED7" w:rsidRPr="004068F6" w:rsidRDefault="00672ED7" w:rsidP="00672ED7">
      <w:pPr>
        <w:rPr>
          <w:color w:val="000000"/>
          <w:szCs w:val="23"/>
          <w:lang w:eastAsia="es-CO"/>
        </w:rPr>
      </w:pPr>
    </w:p>
    <w:p w14:paraId="417F80C5" w14:textId="096111D6" w:rsidR="00672ED7" w:rsidRPr="004068F6" w:rsidRDefault="00672ED7" w:rsidP="00C86DA5">
      <w:pPr>
        <w:pStyle w:val="Prrafodelista"/>
        <w:numPr>
          <w:ilvl w:val="0"/>
          <w:numId w:val="345"/>
        </w:numPr>
        <w:ind w:left="567" w:hanging="567"/>
        <w:rPr>
          <w:color w:val="000000"/>
          <w:szCs w:val="23"/>
          <w:lang w:val="es-CO" w:eastAsia="es-CO"/>
        </w:rPr>
      </w:pPr>
      <w:r w:rsidRPr="004068F6">
        <w:rPr>
          <w:color w:val="000000"/>
          <w:szCs w:val="23"/>
          <w:lang w:val="es-CO" w:eastAsia="es-CO"/>
        </w:rPr>
        <w:t>Mapa digital de suelos (IGAC): representa la distribución de las características de los suelos, determinadas mediante el levantamiento general a escala 1:100.000. Contiene información sobre las características físicas, químicas, mineralógicas y morfológicas,</w:t>
      </w:r>
      <w:r w:rsidR="0001712F" w:rsidRPr="004068F6">
        <w:rPr>
          <w:color w:val="000000"/>
          <w:szCs w:val="23"/>
          <w:lang w:val="es-CO" w:eastAsia="es-CO"/>
        </w:rPr>
        <w:t xml:space="preserve"> así como sobre la</w:t>
      </w:r>
      <w:r w:rsidRPr="004068F6">
        <w:rPr>
          <w:color w:val="000000"/>
          <w:szCs w:val="23"/>
          <w:lang w:val="es-CO" w:eastAsia="es-CO"/>
        </w:rPr>
        <w:t xml:space="preserve"> taxonomía y distribución espacial del suelo.</w:t>
      </w:r>
    </w:p>
    <w:p w14:paraId="537BE5C6" w14:textId="77777777" w:rsidR="00672ED7" w:rsidRPr="004068F6" w:rsidRDefault="00672ED7" w:rsidP="00672ED7">
      <w:pPr>
        <w:rPr>
          <w:color w:val="000000"/>
          <w:szCs w:val="23"/>
          <w:lang w:eastAsia="es-CO"/>
        </w:rPr>
      </w:pPr>
    </w:p>
    <w:p w14:paraId="532ABF76" w14:textId="305C076E" w:rsidR="00672ED7" w:rsidRPr="004068F6" w:rsidRDefault="00672ED7" w:rsidP="00C86DA5">
      <w:pPr>
        <w:pStyle w:val="Prrafodelista"/>
        <w:numPr>
          <w:ilvl w:val="0"/>
          <w:numId w:val="345"/>
        </w:numPr>
        <w:ind w:left="567" w:hanging="567"/>
        <w:rPr>
          <w:color w:val="000000"/>
          <w:szCs w:val="23"/>
          <w:lang w:val="es-CO" w:eastAsia="es-CO"/>
        </w:rPr>
      </w:pPr>
      <w:r w:rsidRPr="004068F6">
        <w:rPr>
          <w:color w:val="000000"/>
          <w:szCs w:val="23"/>
          <w:lang w:val="es-CO" w:eastAsia="es-CO"/>
        </w:rPr>
        <w:lastRenderedPageBreak/>
        <w:t>Mapa digital de capacidad de uso de la tierra (IGAC): representa la clasificación por capacidad de uso de las tierras, determinadas mediante el levantamiento general de suelos a escala 1:100.000. Suministra información importante a través de la determinación de las potencialidades y limitaciones de uso de las tierras a partir del análisis de las características de los suelos. Define las unidades cartográficas de capacidad de uso de las tierras con sus respectivos componentes a nivel de clase, subclase, grupo de manejo, principales limitantes y prácticas de manejo.</w:t>
      </w:r>
    </w:p>
    <w:p w14:paraId="29FFE63D" w14:textId="77777777" w:rsidR="00672ED7" w:rsidRPr="004068F6" w:rsidRDefault="00672ED7">
      <w:pPr>
        <w:rPr>
          <w:color w:val="000000"/>
          <w:szCs w:val="23"/>
          <w:lang w:eastAsia="es-CO"/>
        </w:rPr>
      </w:pPr>
    </w:p>
    <w:p w14:paraId="593079DE" w14:textId="650B551F" w:rsidR="00672ED7" w:rsidRPr="004068F6" w:rsidRDefault="00672ED7" w:rsidP="00C86DA5">
      <w:pPr>
        <w:pStyle w:val="Prrafodelista"/>
        <w:numPr>
          <w:ilvl w:val="0"/>
          <w:numId w:val="345"/>
        </w:numPr>
        <w:ind w:left="567" w:hanging="567"/>
        <w:rPr>
          <w:color w:val="000000"/>
          <w:szCs w:val="23"/>
          <w:lang w:val="es-CO" w:eastAsia="es-CO"/>
        </w:rPr>
      </w:pPr>
      <w:r w:rsidRPr="004068F6">
        <w:rPr>
          <w:color w:val="000000"/>
          <w:szCs w:val="23"/>
          <w:lang w:val="es-CO" w:eastAsia="es-CO"/>
        </w:rPr>
        <w:t xml:space="preserve">Mapa digital de </w:t>
      </w:r>
      <w:r w:rsidR="00023933" w:rsidRPr="004068F6">
        <w:rPr>
          <w:szCs w:val="23"/>
          <w:lang w:val="es-CO" w:eastAsia="es-CO"/>
        </w:rPr>
        <w:t xml:space="preserve">clasificación de las tierras por su </w:t>
      </w:r>
      <w:r w:rsidRPr="004068F6">
        <w:rPr>
          <w:color w:val="000000"/>
          <w:szCs w:val="23"/>
          <w:lang w:val="es-CO" w:eastAsia="es-CO"/>
        </w:rPr>
        <w:t>oferta ambiental (IGAC): representa las áreas de oferta ambiental que resulta de la suma de los bienes, funciones y servicios provistos por los sistemas naturales, transformados y los sistemas antrópicos, determinados a partir del levantamiento general de suelos a escala 1:100.000</w:t>
      </w:r>
      <w:r w:rsidR="001C7FB5" w:rsidRPr="004068F6">
        <w:rPr>
          <w:color w:val="000000"/>
          <w:szCs w:val="23"/>
          <w:lang w:val="es-CO" w:eastAsia="es-CO"/>
        </w:rPr>
        <w:t>.</w:t>
      </w:r>
      <w:r w:rsidRPr="004068F6">
        <w:rPr>
          <w:color w:val="000000"/>
          <w:szCs w:val="23"/>
          <w:lang w:val="es-CO" w:eastAsia="es-CO"/>
        </w:rPr>
        <w:t xml:space="preserve"> </w:t>
      </w:r>
      <w:r w:rsidR="001C7FB5" w:rsidRPr="004068F6">
        <w:rPr>
          <w:color w:val="000000"/>
          <w:szCs w:val="23"/>
          <w:lang w:val="es-CO" w:eastAsia="es-CO"/>
        </w:rPr>
        <w:t>C</w:t>
      </w:r>
      <w:r w:rsidRPr="004068F6">
        <w:rPr>
          <w:color w:val="000000"/>
          <w:szCs w:val="23"/>
          <w:lang w:val="es-CO" w:eastAsia="es-CO"/>
        </w:rPr>
        <w:t>ontiene la clasificación de las áreas de conservación y protección ambiental, las áreas de producción agrícola, ganadera y explotación de recursos naturales, las áreas de susceptibilidad y amenazas y las áreas consideradas como de patrimonio cultural de la Nación.</w:t>
      </w:r>
    </w:p>
    <w:p w14:paraId="33C00CF8" w14:textId="77777777" w:rsidR="00672ED7" w:rsidRPr="004068F6" w:rsidRDefault="00672ED7">
      <w:pPr>
        <w:rPr>
          <w:color w:val="000000"/>
          <w:szCs w:val="23"/>
          <w:lang w:eastAsia="es-CO"/>
        </w:rPr>
      </w:pPr>
    </w:p>
    <w:p w14:paraId="69BE5F55" w14:textId="0B117887" w:rsidR="00672ED7" w:rsidRPr="004068F6" w:rsidRDefault="00672ED7" w:rsidP="00C86DA5">
      <w:pPr>
        <w:pStyle w:val="Prrafodelista"/>
        <w:numPr>
          <w:ilvl w:val="0"/>
          <w:numId w:val="345"/>
        </w:numPr>
        <w:ind w:left="567" w:hanging="567"/>
        <w:rPr>
          <w:color w:val="000000"/>
          <w:szCs w:val="23"/>
          <w:lang w:val="es-CO" w:eastAsia="es-CO"/>
        </w:rPr>
      </w:pPr>
      <w:r w:rsidRPr="004068F6">
        <w:rPr>
          <w:color w:val="000000"/>
          <w:szCs w:val="23"/>
          <w:lang w:val="es-CO" w:eastAsia="es-CO"/>
        </w:rPr>
        <w:t xml:space="preserve">Mapa de uso </w:t>
      </w:r>
      <w:r w:rsidR="00092086" w:rsidRPr="004068F6">
        <w:rPr>
          <w:color w:val="000000"/>
          <w:szCs w:val="23"/>
          <w:lang w:val="es-CO" w:eastAsia="es-CO"/>
        </w:rPr>
        <w:t>del suelo</w:t>
      </w:r>
      <w:r w:rsidRPr="004068F6">
        <w:rPr>
          <w:color w:val="000000"/>
          <w:szCs w:val="23"/>
          <w:lang w:val="es-CO" w:eastAsia="es-CO"/>
        </w:rPr>
        <w:t xml:space="preserve">: </w:t>
      </w:r>
      <w:r w:rsidR="00D20F44" w:rsidRPr="004068F6">
        <w:rPr>
          <w:color w:val="000000"/>
          <w:szCs w:val="23"/>
          <w:lang w:val="es-CO" w:eastAsia="es-CO"/>
        </w:rPr>
        <w:t>este mapa debe presentarse a partir de la consulta de los usos principales, compatibles, complementarios, restringidos y prohibidos del suelo establecidos en los instrumentos de ordenamiento territorial</w:t>
      </w:r>
      <w:r w:rsidR="00860CF9">
        <w:rPr>
          <w:rStyle w:val="Refdenotaalpie"/>
          <w:color w:val="000000"/>
          <w:szCs w:val="23"/>
          <w:lang w:eastAsia="es-CO"/>
        </w:rPr>
        <w:footnoteReference w:id="49"/>
      </w:r>
      <w:r w:rsidR="00D20F44" w:rsidRPr="004068F6">
        <w:rPr>
          <w:color w:val="000000"/>
          <w:szCs w:val="23"/>
          <w:lang w:val="es-CO" w:eastAsia="es-CO"/>
        </w:rPr>
        <w:t>.</w:t>
      </w:r>
    </w:p>
    <w:p w14:paraId="475C2688" w14:textId="77777777" w:rsidR="00672ED7" w:rsidRPr="004068F6" w:rsidRDefault="00672ED7">
      <w:pPr>
        <w:rPr>
          <w:color w:val="000000"/>
          <w:szCs w:val="23"/>
          <w:lang w:eastAsia="es-CO"/>
        </w:rPr>
      </w:pPr>
    </w:p>
    <w:p w14:paraId="353F0367" w14:textId="7C296555" w:rsidR="00672ED7" w:rsidRPr="004068F6" w:rsidRDefault="00672ED7" w:rsidP="00C86DA5">
      <w:pPr>
        <w:pStyle w:val="Prrafodelista"/>
        <w:numPr>
          <w:ilvl w:val="0"/>
          <w:numId w:val="345"/>
        </w:numPr>
        <w:ind w:left="567" w:hanging="567"/>
        <w:rPr>
          <w:color w:val="000000"/>
          <w:szCs w:val="23"/>
          <w:lang w:val="es-CO" w:eastAsia="es-CO"/>
        </w:rPr>
      </w:pPr>
      <w:r w:rsidRPr="004068F6">
        <w:rPr>
          <w:color w:val="000000"/>
          <w:szCs w:val="23"/>
          <w:lang w:val="es-CO" w:eastAsia="es-CO"/>
        </w:rPr>
        <w:t xml:space="preserve">Mapa digital de conflictos de uso (IGAC): representa la distribución de los tipos de conflictos de uso del territorio, generados a partir del análisis de </w:t>
      </w:r>
      <w:r w:rsidR="004A7007" w:rsidRPr="004068F6">
        <w:rPr>
          <w:color w:val="000000"/>
          <w:szCs w:val="23"/>
          <w:lang w:val="es-CO" w:eastAsia="es-CO"/>
        </w:rPr>
        <w:t>oferta y demanda ambientales</w:t>
      </w:r>
      <w:r w:rsidRPr="004068F6">
        <w:rPr>
          <w:color w:val="000000"/>
          <w:szCs w:val="23"/>
          <w:lang w:val="es-CO" w:eastAsia="es-CO"/>
        </w:rPr>
        <w:t>, expresados como una correspondencia entre el uso actual y el potencial recomendado, o como la discrepancia entre éstos por sub o sobreutilización del medio natural.</w:t>
      </w:r>
    </w:p>
    <w:p w14:paraId="3DFF5895" w14:textId="77777777" w:rsidR="00EB0E91" w:rsidRPr="004068F6" w:rsidRDefault="00EB0E91" w:rsidP="009420F5">
      <w:pPr>
        <w:pStyle w:val="Prrafodelista"/>
        <w:rPr>
          <w:color w:val="000000"/>
          <w:szCs w:val="23"/>
          <w:lang w:val="es-CO" w:eastAsia="es-CO"/>
        </w:rPr>
      </w:pPr>
    </w:p>
    <w:p w14:paraId="7835AB73" w14:textId="0A63DB85" w:rsidR="00EB0E91" w:rsidRPr="004068F6" w:rsidRDefault="00EB0E91" w:rsidP="00C86DA5">
      <w:pPr>
        <w:pStyle w:val="Prrafodelista"/>
        <w:numPr>
          <w:ilvl w:val="0"/>
          <w:numId w:val="345"/>
        </w:numPr>
        <w:ind w:left="567" w:hanging="567"/>
        <w:rPr>
          <w:color w:val="000000"/>
          <w:szCs w:val="23"/>
          <w:lang w:val="es-CO" w:eastAsia="es-CO"/>
        </w:rPr>
      </w:pPr>
      <w:r w:rsidRPr="004068F6">
        <w:rPr>
          <w:bCs/>
          <w:color w:val="000000"/>
          <w:szCs w:val="23"/>
          <w:lang w:val="es-CO" w:eastAsia="es-CO"/>
        </w:rPr>
        <w:t xml:space="preserve">Mapa de zonificación de manejo de áreas protegidas y </w:t>
      </w:r>
      <w:r w:rsidR="00CF3C21" w:rsidRPr="004068F6">
        <w:rPr>
          <w:bCs/>
          <w:color w:val="000000"/>
          <w:szCs w:val="23"/>
          <w:lang w:val="es-CO" w:eastAsia="es-CO"/>
        </w:rPr>
        <w:t xml:space="preserve">mapa de zonificación de manejo de </w:t>
      </w:r>
      <w:r w:rsidRPr="004068F6">
        <w:rPr>
          <w:bCs/>
          <w:color w:val="000000"/>
          <w:szCs w:val="23"/>
          <w:lang w:val="es-CO" w:eastAsia="es-CO"/>
        </w:rPr>
        <w:t>ecosistemas estratégicos</w:t>
      </w:r>
      <w:r w:rsidR="00CB7509" w:rsidRPr="004068F6">
        <w:rPr>
          <w:bCs/>
          <w:color w:val="000000"/>
          <w:szCs w:val="23"/>
          <w:lang w:val="es-CO" w:eastAsia="es-CO"/>
        </w:rPr>
        <w:t xml:space="preserve"> </w:t>
      </w:r>
      <w:r w:rsidR="009654DC" w:rsidRPr="004068F6">
        <w:rPr>
          <w:rFonts w:cs="Arial"/>
          <w:spacing w:val="-3"/>
          <w:lang w:val="es-CO"/>
        </w:rPr>
        <w:t>para las áreas protegidas o los ecosistemas estratégicos identificados en el área de estudio</w:t>
      </w:r>
      <w:r w:rsidR="009654DC" w:rsidRPr="004068F6">
        <w:rPr>
          <w:rStyle w:val="Refdenotaalpie"/>
          <w:rFonts w:cs="Arial"/>
          <w:spacing w:val="-3"/>
          <w:lang w:val="es-CO"/>
        </w:rPr>
        <w:footnoteReference w:id="50"/>
      </w:r>
      <w:r w:rsidR="00651288" w:rsidRPr="004068F6">
        <w:rPr>
          <w:color w:val="000000"/>
          <w:szCs w:val="23"/>
          <w:lang w:val="es-CO" w:eastAsia="es-CO"/>
        </w:rPr>
        <w:t>.</w:t>
      </w:r>
    </w:p>
    <w:p w14:paraId="35B30EDE" w14:textId="77777777" w:rsidR="00672ED7" w:rsidRPr="004068F6" w:rsidRDefault="00672ED7" w:rsidP="00672ED7">
      <w:pPr>
        <w:rPr>
          <w:color w:val="000000"/>
          <w:szCs w:val="23"/>
          <w:lang w:eastAsia="es-CO"/>
        </w:rPr>
      </w:pPr>
    </w:p>
    <w:p w14:paraId="314E3204" w14:textId="12D1DD9E" w:rsidR="00672ED7" w:rsidRPr="004068F6" w:rsidRDefault="00944B6C" w:rsidP="00672ED7">
      <w:pPr>
        <w:rPr>
          <w:color w:val="000000"/>
          <w:szCs w:val="23"/>
          <w:lang w:eastAsia="es-CO"/>
        </w:rPr>
      </w:pPr>
      <w:r w:rsidRPr="004068F6">
        <w:rPr>
          <w:color w:val="000000"/>
          <w:szCs w:val="23"/>
          <w:lang w:eastAsia="es-CO"/>
        </w:rPr>
        <w:lastRenderedPageBreak/>
        <w:t>L</w:t>
      </w:r>
      <w:r w:rsidR="00164859" w:rsidRPr="004068F6">
        <w:rPr>
          <w:color w:val="000000"/>
          <w:szCs w:val="23"/>
          <w:lang w:eastAsia="es-CO"/>
        </w:rPr>
        <w:t xml:space="preserve">a caracterización </w:t>
      </w:r>
      <w:r w:rsidRPr="004068F6">
        <w:rPr>
          <w:color w:val="000000"/>
          <w:szCs w:val="23"/>
          <w:lang w:eastAsia="es-CO"/>
        </w:rPr>
        <w:t>asociada a</w:t>
      </w:r>
      <w:r w:rsidR="00A80BBD" w:rsidRPr="004068F6">
        <w:rPr>
          <w:color w:val="000000"/>
          <w:szCs w:val="23"/>
          <w:lang w:eastAsia="es-CO"/>
        </w:rPr>
        <w:t xml:space="preserve">l contenido de carbono orgánico y </w:t>
      </w:r>
      <w:r w:rsidRPr="004068F6">
        <w:rPr>
          <w:color w:val="000000"/>
          <w:szCs w:val="23"/>
          <w:lang w:eastAsia="es-CO"/>
        </w:rPr>
        <w:t>a</w:t>
      </w:r>
      <w:r w:rsidR="00164859" w:rsidRPr="004068F6">
        <w:rPr>
          <w:color w:val="000000"/>
          <w:szCs w:val="23"/>
          <w:lang w:eastAsia="es-CO"/>
        </w:rPr>
        <w:t xml:space="preserve">l estado de degradación de los suelos </w:t>
      </w:r>
      <w:r w:rsidRPr="004068F6">
        <w:rPr>
          <w:color w:val="000000"/>
          <w:szCs w:val="23"/>
          <w:lang w:eastAsia="es-CO"/>
        </w:rPr>
        <w:t xml:space="preserve">debe ejecutarse </w:t>
      </w:r>
      <w:r w:rsidR="00164859" w:rsidRPr="004068F6">
        <w:rPr>
          <w:color w:val="000000"/>
          <w:szCs w:val="23"/>
          <w:lang w:eastAsia="es-CO"/>
        </w:rPr>
        <w:t xml:space="preserve">a partir de </w:t>
      </w:r>
      <w:r w:rsidR="00672ED7" w:rsidRPr="004068F6">
        <w:rPr>
          <w:color w:val="000000"/>
          <w:szCs w:val="23"/>
          <w:lang w:eastAsia="es-CO"/>
        </w:rPr>
        <w:t>la siguiente información</w:t>
      </w:r>
      <w:r w:rsidR="00164859" w:rsidRPr="004068F6">
        <w:rPr>
          <w:color w:val="000000"/>
          <w:szCs w:val="23"/>
          <w:vertAlign w:val="superscript"/>
          <w:lang w:eastAsia="es-CO"/>
        </w:rPr>
        <w:footnoteReference w:id="51"/>
      </w:r>
      <w:r w:rsidR="00672ED7" w:rsidRPr="004068F6">
        <w:rPr>
          <w:color w:val="000000"/>
          <w:szCs w:val="23"/>
          <w:lang w:eastAsia="es-CO"/>
        </w:rPr>
        <w:t>:</w:t>
      </w:r>
    </w:p>
    <w:p w14:paraId="1FE1955A" w14:textId="77777777" w:rsidR="00672ED7" w:rsidRPr="004068F6" w:rsidRDefault="00672ED7" w:rsidP="00672ED7">
      <w:pPr>
        <w:rPr>
          <w:color w:val="000000"/>
          <w:szCs w:val="23"/>
          <w:lang w:eastAsia="es-CO"/>
        </w:rPr>
      </w:pPr>
    </w:p>
    <w:p w14:paraId="2C2B65A1" w14:textId="77A04787" w:rsidR="00672ED7" w:rsidRPr="004068F6" w:rsidRDefault="00672ED7" w:rsidP="00672ED7">
      <w:pPr>
        <w:numPr>
          <w:ilvl w:val="0"/>
          <w:numId w:val="344"/>
        </w:numPr>
        <w:ind w:left="567" w:hanging="567"/>
        <w:rPr>
          <w:color w:val="000000"/>
          <w:szCs w:val="23"/>
          <w:lang w:eastAsia="es-CO"/>
        </w:rPr>
      </w:pPr>
      <w:r w:rsidRPr="004068F6">
        <w:rPr>
          <w:color w:val="000000"/>
          <w:szCs w:val="23"/>
          <w:lang w:eastAsia="es-CO"/>
        </w:rPr>
        <w:t xml:space="preserve">Mapa nacional </w:t>
      </w:r>
      <w:r w:rsidR="005143F4" w:rsidRPr="004068F6">
        <w:rPr>
          <w:color w:val="000000"/>
          <w:szCs w:val="23"/>
          <w:lang w:eastAsia="es-CO"/>
        </w:rPr>
        <w:t xml:space="preserve">de stock </w:t>
      </w:r>
      <w:r w:rsidRPr="004068F6">
        <w:rPr>
          <w:color w:val="000000"/>
          <w:szCs w:val="23"/>
          <w:lang w:eastAsia="es-CO"/>
        </w:rPr>
        <w:t xml:space="preserve">de carbono orgánico </w:t>
      </w:r>
      <w:r w:rsidR="005143F4" w:rsidRPr="004068F6">
        <w:rPr>
          <w:color w:val="000000"/>
          <w:szCs w:val="23"/>
          <w:lang w:eastAsia="es-CO"/>
        </w:rPr>
        <w:t>de Colombia</w:t>
      </w:r>
      <w:r w:rsidRPr="004068F6">
        <w:rPr>
          <w:color w:val="000000"/>
          <w:szCs w:val="23"/>
          <w:lang w:eastAsia="es-CO"/>
        </w:rPr>
        <w:t>.</w:t>
      </w:r>
    </w:p>
    <w:p w14:paraId="17E6935A" w14:textId="77777777" w:rsidR="00672ED7" w:rsidRPr="004068F6" w:rsidRDefault="00672ED7" w:rsidP="00672ED7">
      <w:pPr>
        <w:ind w:left="567" w:hanging="567"/>
        <w:rPr>
          <w:color w:val="000000"/>
          <w:szCs w:val="23"/>
          <w:lang w:eastAsia="es-CO"/>
        </w:rPr>
      </w:pPr>
    </w:p>
    <w:p w14:paraId="03AFB093" w14:textId="11705C6D" w:rsidR="00672ED7" w:rsidRPr="004068F6" w:rsidRDefault="00672ED7" w:rsidP="00672ED7">
      <w:pPr>
        <w:numPr>
          <w:ilvl w:val="0"/>
          <w:numId w:val="344"/>
        </w:numPr>
        <w:ind w:left="567" w:hanging="567"/>
        <w:rPr>
          <w:rFonts w:cs="Arial"/>
          <w:color w:val="000000"/>
          <w:szCs w:val="23"/>
          <w:lang w:eastAsia="es-CO"/>
        </w:rPr>
      </w:pPr>
      <w:r w:rsidRPr="004068F6">
        <w:rPr>
          <w:rFonts w:cs="Arial"/>
          <w:color w:val="000000"/>
          <w:szCs w:val="23"/>
          <w:lang w:eastAsia="es-CO"/>
        </w:rPr>
        <w:t>Zonificación de la degradación de suelos por erosión. Línea base 2010 – 2011 (</w:t>
      </w:r>
      <w:r w:rsidR="00A92356" w:rsidRPr="004068F6">
        <w:rPr>
          <w:rFonts w:cs="Arial"/>
          <w:color w:val="000000"/>
          <w:szCs w:val="23"/>
          <w:lang w:eastAsia="es-CO"/>
        </w:rPr>
        <w:t>Ideam</w:t>
      </w:r>
      <w:r w:rsidRPr="004068F6">
        <w:rPr>
          <w:rFonts w:cs="Arial"/>
          <w:color w:val="000000"/>
          <w:szCs w:val="23"/>
          <w:lang w:eastAsia="es-CO"/>
        </w:rPr>
        <w:t>).</w:t>
      </w:r>
    </w:p>
    <w:p w14:paraId="0615B8D2" w14:textId="77777777" w:rsidR="00672ED7" w:rsidRPr="004068F6" w:rsidRDefault="00672ED7" w:rsidP="00672ED7">
      <w:pPr>
        <w:ind w:left="567" w:hanging="567"/>
        <w:rPr>
          <w:color w:val="000000"/>
          <w:szCs w:val="23"/>
          <w:lang w:eastAsia="es-CO"/>
        </w:rPr>
      </w:pPr>
    </w:p>
    <w:p w14:paraId="0A5FF35C" w14:textId="1E96735A" w:rsidR="00672ED7" w:rsidRPr="004068F6" w:rsidRDefault="00672ED7" w:rsidP="00672ED7">
      <w:pPr>
        <w:numPr>
          <w:ilvl w:val="0"/>
          <w:numId w:val="344"/>
        </w:numPr>
        <w:ind w:left="567" w:hanging="567"/>
        <w:rPr>
          <w:color w:val="000000"/>
          <w:szCs w:val="23"/>
          <w:lang w:eastAsia="es-CO"/>
        </w:rPr>
      </w:pPr>
      <w:r w:rsidRPr="004068F6">
        <w:rPr>
          <w:color w:val="000000"/>
          <w:szCs w:val="23"/>
          <w:lang w:eastAsia="es-CO"/>
        </w:rPr>
        <w:t>Zonificación de la degradación de suelos por salinización, para el área continental e insular de Colombia a escala 1:100.000 y 1:10.000 respectivamente. Año 2016 – 2017 (</w:t>
      </w:r>
      <w:r w:rsidR="00A92356" w:rsidRPr="004068F6">
        <w:rPr>
          <w:color w:val="000000"/>
          <w:szCs w:val="23"/>
          <w:lang w:eastAsia="es-CO"/>
        </w:rPr>
        <w:t>Ideam</w:t>
      </w:r>
      <w:r w:rsidRPr="004068F6">
        <w:rPr>
          <w:color w:val="000000"/>
          <w:szCs w:val="23"/>
          <w:lang w:eastAsia="es-CO"/>
        </w:rPr>
        <w:t>)</w:t>
      </w:r>
      <w:r w:rsidR="009908B2" w:rsidRPr="004068F6">
        <w:rPr>
          <w:color w:val="000000"/>
          <w:szCs w:val="23"/>
          <w:lang w:eastAsia="es-CO"/>
        </w:rPr>
        <w:t>.</w:t>
      </w:r>
    </w:p>
    <w:p w14:paraId="1E07C433" w14:textId="77777777" w:rsidR="00672ED7" w:rsidRPr="004068F6" w:rsidRDefault="00672ED7" w:rsidP="00672ED7">
      <w:pPr>
        <w:rPr>
          <w:color w:val="000000"/>
          <w:szCs w:val="23"/>
          <w:lang w:eastAsia="es-CO"/>
        </w:rPr>
      </w:pPr>
    </w:p>
    <w:p w14:paraId="2715D842" w14:textId="156CD004" w:rsidR="00F97C5C" w:rsidRPr="00B81EC8" w:rsidRDefault="00F97C5C" w:rsidP="000A1E20">
      <w:pPr>
        <w:pStyle w:val="Ttulo3"/>
      </w:pPr>
      <w:bookmarkStart w:id="2024" w:name="_Toc216968042"/>
      <w:bookmarkStart w:id="2025" w:name="_Toc217035731"/>
      <w:bookmarkStart w:id="2026" w:name="_Toc488244487"/>
      <w:bookmarkStart w:id="2027" w:name="_Toc488247607"/>
      <w:bookmarkStart w:id="2028" w:name="_Toc488248251"/>
      <w:bookmarkStart w:id="2029" w:name="_Toc488248867"/>
      <w:bookmarkStart w:id="2030" w:name="_Toc488249483"/>
      <w:bookmarkStart w:id="2031" w:name="_Toc488329971"/>
      <w:bookmarkStart w:id="2032" w:name="_Toc488386825"/>
      <w:bookmarkStart w:id="2033" w:name="_Toc488402284"/>
      <w:bookmarkStart w:id="2034" w:name="_Toc488403107"/>
      <w:bookmarkStart w:id="2035" w:name="_Toc488403936"/>
      <w:bookmarkStart w:id="2036" w:name="_Toc488404767"/>
      <w:bookmarkStart w:id="2037" w:name="_Toc488405590"/>
      <w:bookmarkStart w:id="2038" w:name="_Toc488406419"/>
      <w:bookmarkStart w:id="2039" w:name="_Toc491409650"/>
      <w:bookmarkStart w:id="2040" w:name="_Toc496018189"/>
      <w:bookmarkStart w:id="2041" w:name="_Toc515787388"/>
      <w:bookmarkStart w:id="2042" w:name="_Toc515789088"/>
      <w:bookmarkStart w:id="2043" w:name="_Toc515789937"/>
      <w:bookmarkStart w:id="2044" w:name="_Toc515790786"/>
      <w:bookmarkStart w:id="2045" w:name="_Toc515791641"/>
      <w:bookmarkStart w:id="2046" w:name="_Toc515792491"/>
      <w:bookmarkStart w:id="2047" w:name="_Toc515793339"/>
      <w:bookmarkStart w:id="2048" w:name="_Toc515794244"/>
      <w:bookmarkStart w:id="2049" w:name="_Toc515796055"/>
      <w:bookmarkStart w:id="2050" w:name="_Toc488244488"/>
      <w:bookmarkStart w:id="2051" w:name="_Toc488247608"/>
      <w:bookmarkStart w:id="2052" w:name="_Toc488248252"/>
      <w:bookmarkStart w:id="2053" w:name="_Toc488248868"/>
      <w:bookmarkStart w:id="2054" w:name="_Toc488249484"/>
      <w:bookmarkStart w:id="2055" w:name="_Toc488329972"/>
      <w:bookmarkStart w:id="2056" w:name="_Toc488386826"/>
      <w:bookmarkStart w:id="2057" w:name="_Toc488402285"/>
      <w:bookmarkStart w:id="2058" w:name="_Toc488403108"/>
      <w:bookmarkStart w:id="2059" w:name="_Toc488403937"/>
      <w:bookmarkStart w:id="2060" w:name="_Toc488404768"/>
      <w:bookmarkStart w:id="2061" w:name="_Toc488405591"/>
      <w:bookmarkStart w:id="2062" w:name="_Toc488406420"/>
      <w:bookmarkStart w:id="2063" w:name="_Toc491409651"/>
      <w:bookmarkStart w:id="2064" w:name="_Toc496018190"/>
      <w:bookmarkStart w:id="2065" w:name="_Toc515787389"/>
      <w:bookmarkStart w:id="2066" w:name="_Toc515789089"/>
      <w:bookmarkStart w:id="2067" w:name="_Toc515789938"/>
      <w:bookmarkStart w:id="2068" w:name="_Toc515790787"/>
      <w:bookmarkStart w:id="2069" w:name="_Toc515791642"/>
      <w:bookmarkStart w:id="2070" w:name="_Toc515792492"/>
      <w:bookmarkStart w:id="2071" w:name="_Toc515793340"/>
      <w:bookmarkStart w:id="2072" w:name="_Toc515794245"/>
      <w:bookmarkStart w:id="2073" w:name="_Toc515796056"/>
      <w:bookmarkStart w:id="2074" w:name="_Toc488244489"/>
      <w:bookmarkStart w:id="2075" w:name="_Toc488247609"/>
      <w:bookmarkStart w:id="2076" w:name="_Toc488248253"/>
      <w:bookmarkStart w:id="2077" w:name="_Toc488248869"/>
      <w:bookmarkStart w:id="2078" w:name="_Toc488249485"/>
      <w:bookmarkStart w:id="2079" w:name="_Toc488329973"/>
      <w:bookmarkStart w:id="2080" w:name="_Toc488386827"/>
      <w:bookmarkStart w:id="2081" w:name="_Toc488402286"/>
      <w:bookmarkStart w:id="2082" w:name="_Toc488403109"/>
      <w:bookmarkStart w:id="2083" w:name="_Toc488403938"/>
      <w:bookmarkStart w:id="2084" w:name="_Toc488404769"/>
      <w:bookmarkStart w:id="2085" w:name="_Toc488405592"/>
      <w:bookmarkStart w:id="2086" w:name="_Toc488406421"/>
      <w:bookmarkStart w:id="2087" w:name="_Toc491409652"/>
      <w:bookmarkStart w:id="2088" w:name="_Toc496018191"/>
      <w:bookmarkStart w:id="2089" w:name="_Toc515787390"/>
      <w:bookmarkStart w:id="2090" w:name="_Toc515789090"/>
      <w:bookmarkStart w:id="2091" w:name="_Toc515789939"/>
      <w:bookmarkStart w:id="2092" w:name="_Toc515790788"/>
      <w:bookmarkStart w:id="2093" w:name="_Toc515791643"/>
      <w:bookmarkStart w:id="2094" w:name="_Toc515792493"/>
      <w:bookmarkStart w:id="2095" w:name="_Toc515793341"/>
      <w:bookmarkStart w:id="2096" w:name="_Toc515794246"/>
      <w:bookmarkStart w:id="2097" w:name="_Toc515796057"/>
      <w:bookmarkStart w:id="2098" w:name="_Toc488244490"/>
      <w:bookmarkStart w:id="2099" w:name="_Toc488247610"/>
      <w:bookmarkStart w:id="2100" w:name="_Toc488248254"/>
      <w:bookmarkStart w:id="2101" w:name="_Toc488248870"/>
      <w:bookmarkStart w:id="2102" w:name="_Toc488249486"/>
      <w:bookmarkStart w:id="2103" w:name="_Toc488329974"/>
      <w:bookmarkStart w:id="2104" w:name="_Toc488386828"/>
      <w:bookmarkStart w:id="2105" w:name="_Toc488402287"/>
      <w:bookmarkStart w:id="2106" w:name="_Toc488403110"/>
      <w:bookmarkStart w:id="2107" w:name="_Toc488403939"/>
      <w:bookmarkStart w:id="2108" w:name="_Toc488404770"/>
      <w:bookmarkStart w:id="2109" w:name="_Toc488405593"/>
      <w:bookmarkStart w:id="2110" w:name="_Toc488406422"/>
      <w:bookmarkStart w:id="2111" w:name="_Toc491409653"/>
      <w:bookmarkStart w:id="2112" w:name="_Toc496018192"/>
      <w:bookmarkStart w:id="2113" w:name="_Toc515787391"/>
      <w:bookmarkStart w:id="2114" w:name="_Toc515789091"/>
      <w:bookmarkStart w:id="2115" w:name="_Toc515789940"/>
      <w:bookmarkStart w:id="2116" w:name="_Toc515790789"/>
      <w:bookmarkStart w:id="2117" w:name="_Toc515791644"/>
      <w:bookmarkStart w:id="2118" w:name="_Toc515792494"/>
      <w:bookmarkStart w:id="2119" w:name="_Toc515793342"/>
      <w:bookmarkStart w:id="2120" w:name="_Toc515794247"/>
      <w:bookmarkStart w:id="2121" w:name="_Toc515796058"/>
      <w:bookmarkStart w:id="2122" w:name="_Toc488244491"/>
      <w:bookmarkStart w:id="2123" w:name="_Toc488247611"/>
      <w:bookmarkStart w:id="2124" w:name="_Toc488248255"/>
      <w:bookmarkStart w:id="2125" w:name="_Toc488248871"/>
      <w:bookmarkStart w:id="2126" w:name="_Toc488249487"/>
      <w:bookmarkStart w:id="2127" w:name="_Toc488329975"/>
      <w:bookmarkStart w:id="2128" w:name="_Toc488386829"/>
      <w:bookmarkStart w:id="2129" w:name="_Toc488402288"/>
      <w:bookmarkStart w:id="2130" w:name="_Toc488403111"/>
      <w:bookmarkStart w:id="2131" w:name="_Toc488403940"/>
      <w:bookmarkStart w:id="2132" w:name="_Toc488404771"/>
      <w:bookmarkStart w:id="2133" w:name="_Toc488405594"/>
      <w:bookmarkStart w:id="2134" w:name="_Toc488406423"/>
      <w:bookmarkStart w:id="2135" w:name="_Toc491409654"/>
      <w:bookmarkStart w:id="2136" w:name="_Toc496018193"/>
      <w:bookmarkStart w:id="2137" w:name="_Toc515787392"/>
      <w:bookmarkStart w:id="2138" w:name="_Toc515789092"/>
      <w:bookmarkStart w:id="2139" w:name="_Toc515789941"/>
      <w:bookmarkStart w:id="2140" w:name="_Toc515790790"/>
      <w:bookmarkStart w:id="2141" w:name="_Toc515791645"/>
      <w:bookmarkStart w:id="2142" w:name="_Toc515792495"/>
      <w:bookmarkStart w:id="2143" w:name="_Toc515793343"/>
      <w:bookmarkStart w:id="2144" w:name="_Toc515794248"/>
      <w:bookmarkStart w:id="2145" w:name="_Toc515796059"/>
      <w:bookmarkStart w:id="2146" w:name="_Toc488244492"/>
      <w:bookmarkStart w:id="2147" w:name="_Toc488247612"/>
      <w:bookmarkStart w:id="2148" w:name="_Toc488248256"/>
      <w:bookmarkStart w:id="2149" w:name="_Toc488248872"/>
      <w:bookmarkStart w:id="2150" w:name="_Toc488249488"/>
      <w:bookmarkStart w:id="2151" w:name="_Toc488329976"/>
      <w:bookmarkStart w:id="2152" w:name="_Toc488386830"/>
      <w:bookmarkStart w:id="2153" w:name="_Toc488402289"/>
      <w:bookmarkStart w:id="2154" w:name="_Toc488403112"/>
      <w:bookmarkStart w:id="2155" w:name="_Toc488403941"/>
      <w:bookmarkStart w:id="2156" w:name="_Toc488404772"/>
      <w:bookmarkStart w:id="2157" w:name="_Toc488405595"/>
      <w:bookmarkStart w:id="2158" w:name="_Toc488406424"/>
      <w:bookmarkStart w:id="2159" w:name="_Toc491409655"/>
      <w:bookmarkStart w:id="2160" w:name="_Toc496018194"/>
      <w:bookmarkStart w:id="2161" w:name="_Toc515787393"/>
      <w:bookmarkStart w:id="2162" w:name="_Toc515789093"/>
      <w:bookmarkStart w:id="2163" w:name="_Toc515789942"/>
      <w:bookmarkStart w:id="2164" w:name="_Toc515790791"/>
      <w:bookmarkStart w:id="2165" w:name="_Toc515791646"/>
      <w:bookmarkStart w:id="2166" w:name="_Toc515792496"/>
      <w:bookmarkStart w:id="2167" w:name="_Toc515793344"/>
      <w:bookmarkStart w:id="2168" w:name="_Toc515794249"/>
      <w:bookmarkStart w:id="2169" w:name="_Toc515796060"/>
      <w:bookmarkStart w:id="2170" w:name="_Toc488244493"/>
      <w:bookmarkStart w:id="2171" w:name="_Toc488247613"/>
      <w:bookmarkStart w:id="2172" w:name="_Toc488248257"/>
      <w:bookmarkStart w:id="2173" w:name="_Toc488248873"/>
      <w:bookmarkStart w:id="2174" w:name="_Toc488249489"/>
      <w:bookmarkStart w:id="2175" w:name="_Toc488329977"/>
      <w:bookmarkStart w:id="2176" w:name="_Toc488386831"/>
      <w:bookmarkStart w:id="2177" w:name="_Toc488402290"/>
      <w:bookmarkStart w:id="2178" w:name="_Toc488403113"/>
      <w:bookmarkStart w:id="2179" w:name="_Toc488403942"/>
      <w:bookmarkStart w:id="2180" w:name="_Toc488404773"/>
      <w:bookmarkStart w:id="2181" w:name="_Toc488405596"/>
      <w:bookmarkStart w:id="2182" w:name="_Toc488406425"/>
      <w:bookmarkStart w:id="2183" w:name="_Toc491409656"/>
      <w:bookmarkStart w:id="2184" w:name="_Toc496018195"/>
      <w:bookmarkStart w:id="2185" w:name="_Toc515787394"/>
      <w:bookmarkStart w:id="2186" w:name="_Toc515789094"/>
      <w:bookmarkStart w:id="2187" w:name="_Toc515789943"/>
      <w:bookmarkStart w:id="2188" w:name="_Toc515790792"/>
      <w:bookmarkStart w:id="2189" w:name="_Toc515791647"/>
      <w:bookmarkStart w:id="2190" w:name="_Toc515792497"/>
      <w:bookmarkStart w:id="2191" w:name="_Toc515793345"/>
      <w:bookmarkStart w:id="2192" w:name="_Toc515794250"/>
      <w:bookmarkStart w:id="2193" w:name="_Toc515796061"/>
      <w:bookmarkStart w:id="2194" w:name="_Toc488244494"/>
      <w:bookmarkStart w:id="2195" w:name="_Toc488247614"/>
      <w:bookmarkStart w:id="2196" w:name="_Toc488248258"/>
      <w:bookmarkStart w:id="2197" w:name="_Toc488248874"/>
      <w:bookmarkStart w:id="2198" w:name="_Toc488249490"/>
      <w:bookmarkStart w:id="2199" w:name="_Toc488329978"/>
      <w:bookmarkStart w:id="2200" w:name="_Toc488386832"/>
      <w:bookmarkStart w:id="2201" w:name="_Toc488402291"/>
      <w:bookmarkStart w:id="2202" w:name="_Toc488403114"/>
      <w:bookmarkStart w:id="2203" w:name="_Toc488403943"/>
      <w:bookmarkStart w:id="2204" w:name="_Toc488404774"/>
      <w:bookmarkStart w:id="2205" w:name="_Toc488405597"/>
      <w:bookmarkStart w:id="2206" w:name="_Toc488406426"/>
      <w:bookmarkStart w:id="2207" w:name="_Toc491409657"/>
      <w:bookmarkStart w:id="2208" w:name="_Toc496018196"/>
      <w:bookmarkStart w:id="2209" w:name="_Toc515787395"/>
      <w:bookmarkStart w:id="2210" w:name="_Toc515789095"/>
      <w:bookmarkStart w:id="2211" w:name="_Toc515789944"/>
      <w:bookmarkStart w:id="2212" w:name="_Toc515790793"/>
      <w:bookmarkStart w:id="2213" w:name="_Toc515791648"/>
      <w:bookmarkStart w:id="2214" w:name="_Toc515792498"/>
      <w:bookmarkStart w:id="2215" w:name="_Toc515793346"/>
      <w:bookmarkStart w:id="2216" w:name="_Toc515794251"/>
      <w:bookmarkStart w:id="2217" w:name="_Toc515796062"/>
      <w:bookmarkStart w:id="2218" w:name="_Toc437935982"/>
      <w:bookmarkStart w:id="2219" w:name="_Ref488053888"/>
      <w:bookmarkStart w:id="2220" w:name="_Ref488053891"/>
      <w:bookmarkStart w:id="2221" w:name="_Ref495933032"/>
      <w:bookmarkStart w:id="2222" w:name="_Toc42552218"/>
      <w:bookmarkStart w:id="2223" w:name="_Ref213833211"/>
      <w:bookmarkStart w:id="2224" w:name="_Toc230879585"/>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r w:rsidRPr="00B81EC8">
        <w:t>Hidrológ</w:t>
      </w:r>
      <w:bookmarkEnd w:id="2218"/>
      <w:bookmarkEnd w:id="2219"/>
      <w:bookmarkEnd w:id="2220"/>
      <w:bookmarkEnd w:id="2221"/>
      <w:r w:rsidRPr="00B81EC8">
        <w:t>ico</w:t>
      </w:r>
      <w:bookmarkEnd w:id="2222"/>
      <w:bookmarkEnd w:id="2223"/>
      <w:bookmarkEnd w:id="2224"/>
    </w:p>
    <w:p w14:paraId="0C1616E0" w14:textId="77777777" w:rsidR="00F97C5C" w:rsidRPr="004068F6" w:rsidRDefault="00F97C5C">
      <w:pPr>
        <w:numPr>
          <w:ilvl w:val="12"/>
          <w:numId w:val="0"/>
        </w:numPr>
        <w:tabs>
          <w:tab w:val="left" w:pos="-2268"/>
        </w:tabs>
        <w:suppressAutoHyphens/>
        <w:rPr>
          <w:spacing w:val="-3"/>
        </w:rPr>
      </w:pPr>
    </w:p>
    <w:p w14:paraId="46783A02" w14:textId="5C33F83B" w:rsidR="00F97C5C" w:rsidRPr="004068F6" w:rsidRDefault="00B16C31">
      <w:pPr>
        <w:pStyle w:val="Prrafodelista"/>
        <w:tabs>
          <w:tab w:val="left" w:pos="-2268"/>
        </w:tabs>
        <w:suppressAutoHyphens/>
        <w:ind w:left="0"/>
        <w:rPr>
          <w:rFonts w:cs="Arial"/>
          <w:spacing w:val="-3"/>
          <w:lang w:val="es-CO"/>
        </w:rPr>
      </w:pPr>
      <w:r w:rsidRPr="004068F6">
        <w:rPr>
          <w:rFonts w:cs="Arial"/>
          <w:spacing w:val="-3"/>
          <w:lang w:val="es-CO"/>
        </w:rPr>
        <w:t xml:space="preserve">Señalar las áreas, las zonas, las subzonas y los niveles hidrográficos </w:t>
      </w:r>
      <w:r w:rsidR="00FB0C11" w:rsidRPr="004068F6">
        <w:rPr>
          <w:rFonts w:cs="Arial"/>
          <w:spacing w:val="-3"/>
          <w:lang w:val="es-CO"/>
        </w:rPr>
        <w:t>subsiguientes</w:t>
      </w:r>
      <w:r w:rsidR="00F97C5C" w:rsidRPr="004068F6">
        <w:rPr>
          <w:rFonts w:cs="Arial"/>
          <w:spacing w:val="-3"/>
          <w:lang w:val="es-CO"/>
        </w:rPr>
        <w:t xml:space="preserve"> </w:t>
      </w:r>
      <w:r w:rsidRPr="004068F6">
        <w:rPr>
          <w:rFonts w:cs="Arial"/>
          <w:spacing w:val="-3"/>
          <w:lang w:val="es-CO"/>
        </w:rPr>
        <w:t>(</w:t>
      </w:r>
      <w:r w:rsidR="00F97C5C" w:rsidRPr="004068F6">
        <w:rPr>
          <w:rFonts w:cs="Arial"/>
          <w:spacing w:val="-3"/>
          <w:lang w:val="es-CO"/>
        </w:rPr>
        <w:t>de</w:t>
      </w:r>
      <w:r w:rsidRPr="004068F6">
        <w:rPr>
          <w:rFonts w:cs="Arial"/>
          <w:spacing w:val="-3"/>
          <w:lang w:val="es-CO"/>
        </w:rPr>
        <w:t xml:space="preserve"> acuerdo con </w:t>
      </w:r>
      <w:r w:rsidR="00F97C5C" w:rsidRPr="004068F6">
        <w:rPr>
          <w:rFonts w:cs="Arial"/>
          <w:spacing w:val="-3"/>
          <w:lang w:val="es-CO"/>
        </w:rPr>
        <w:t xml:space="preserve">la zonificación hidrográfica nacional del </w:t>
      </w:r>
      <w:r w:rsidR="00A92356" w:rsidRPr="004068F6">
        <w:rPr>
          <w:rFonts w:cs="Arial"/>
          <w:spacing w:val="-3"/>
          <w:lang w:val="es-CO"/>
        </w:rPr>
        <w:t>Ideam</w:t>
      </w:r>
      <w:r w:rsidR="00F97C5C" w:rsidRPr="004068F6">
        <w:rPr>
          <w:rFonts w:cs="Arial"/>
          <w:spacing w:val="-3"/>
          <w:lang w:val="es-CO"/>
        </w:rPr>
        <w:t xml:space="preserve"> y Minambiente), así como los niveles subsiguientes definidos por las autoridades ambientales competentes</w:t>
      </w:r>
      <w:r w:rsidR="00D50F25" w:rsidRPr="004068F6">
        <w:rPr>
          <w:rFonts w:cs="Arial"/>
          <w:spacing w:val="-3"/>
          <w:lang w:val="es-CO"/>
        </w:rPr>
        <w:t>,</w:t>
      </w:r>
      <w:r w:rsidR="00F97C5C" w:rsidRPr="004068F6">
        <w:rPr>
          <w:rFonts w:cs="Arial"/>
          <w:spacing w:val="-3"/>
          <w:lang w:val="es-CO"/>
        </w:rPr>
        <w:t xml:space="preserve"> en caso de existir, </w:t>
      </w:r>
      <w:r w:rsidR="00362B27" w:rsidRPr="004068F6">
        <w:rPr>
          <w:rFonts w:cs="Arial"/>
          <w:spacing w:val="-3"/>
          <w:lang w:val="es-CO"/>
        </w:rPr>
        <w:t xml:space="preserve">en los que se localiza </w:t>
      </w:r>
      <w:r w:rsidR="00C318D9" w:rsidRPr="004068F6">
        <w:rPr>
          <w:rFonts w:cs="Arial"/>
          <w:spacing w:val="-3"/>
          <w:lang w:val="es-CO"/>
        </w:rPr>
        <w:t>el área que se está caracterizando</w:t>
      </w:r>
      <w:r w:rsidR="00D359C1" w:rsidRPr="004068F6">
        <w:rPr>
          <w:rFonts w:cs="Arial"/>
          <w:spacing w:val="-3"/>
          <w:lang w:val="es-CO"/>
        </w:rPr>
        <w:t xml:space="preserve">; se debe señalar también </w:t>
      </w:r>
      <w:r w:rsidR="00F97C5C" w:rsidRPr="004068F6">
        <w:rPr>
          <w:rFonts w:cs="Arial"/>
          <w:spacing w:val="-3"/>
          <w:lang w:val="es-CO"/>
        </w:rPr>
        <w:t>su toponimia</w:t>
      </w:r>
      <w:r w:rsidR="00FB3E47" w:rsidRPr="004068F6">
        <w:rPr>
          <w:rFonts w:cs="Arial"/>
          <w:spacing w:val="-3"/>
          <w:lang w:val="es-CO"/>
        </w:rPr>
        <w:t xml:space="preserve"> y distingui</w:t>
      </w:r>
      <w:r w:rsidR="00D359C1" w:rsidRPr="004068F6">
        <w:rPr>
          <w:rFonts w:cs="Arial"/>
          <w:spacing w:val="-3"/>
          <w:lang w:val="es-CO"/>
        </w:rPr>
        <w:t xml:space="preserve">r </w:t>
      </w:r>
      <w:r w:rsidR="00FB3E47" w:rsidRPr="004068F6">
        <w:rPr>
          <w:rFonts w:cs="Arial"/>
          <w:spacing w:val="-3"/>
          <w:lang w:val="es-CO"/>
        </w:rPr>
        <w:t>los sistemas lénticos y lóticos</w:t>
      </w:r>
      <w:r w:rsidR="00F97C5C" w:rsidRPr="004068F6">
        <w:rPr>
          <w:rFonts w:cs="Arial"/>
          <w:spacing w:val="-3"/>
          <w:lang w:val="es-CO"/>
        </w:rPr>
        <w:t>. En caso de no existir niveles subsiguientes, se deben definir unidades hidrográficas de análisis a la escala establecida en los respectivos términos de referencia, utilizando la cartografía oficial disponible.</w:t>
      </w:r>
    </w:p>
    <w:p w14:paraId="0D564622" w14:textId="77777777" w:rsidR="00F97C5C" w:rsidRPr="004068F6" w:rsidRDefault="00F97C5C">
      <w:pPr>
        <w:tabs>
          <w:tab w:val="left" w:pos="-2268"/>
        </w:tabs>
        <w:suppressAutoHyphens/>
        <w:rPr>
          <w:spacing w:val="-3"/>
        </w:rPr>
      </w:pPr>
    </w:p>
    <w:p w14:paraId="41CD2CF1" w14:textId="7426F9CD" w:rsidR="00F97C5C" w:rsidRPr="004068F6" w:rsidRDefault="0041428E">
      <w:pPr>
        <w:tabs>
          <w:tab w:val="left" w:pos="-2268"/>
        </w:tabs>
        <w:suppressAutoHyphens/>
        <w:rPr>
          <w:spacing w:val="-3"/>
        </w:rPr>
      </w:pPr>
      <w:r w:rsidRPr="004068F6">
        <w:rPr>
          <w:spacing w:val="-3"/>
        </w:rPr>
        <w:t>Compilar</w:t>
      </w:r>
      <w:r w:rsidR="00F97C5C" w:rsidRPr="004068F6">
        <w:rPr>
          <w:spacing w:val="-3"/>
        </w:rPr>
        <w:t xml:space="preserve">, para las subzonas hidrográficas en las que se encuentra el área </w:t>
      </w:r>
      <w:r w:rsidR="00800B85" w:rsidRPr="004068F6">
        <w:rPr>
          <w:spacing w:val="-3"/>
        </w:rPr>
        <w:t>objeto de caracterización</w:t>
      </w:r>
      <w:r w:rsidR="00F97C5C" w:rsidRPr="004068F6">
        <w:rPr>
          <w:spacing w:val="-3"/>
        </w:rPr>
        <w:t xml:space="preserve">, los datos hidroclimáticos disponibles de la red nacional de referencia del </w:t>
      </w:r>
      <w:r w:rsidR="00A92356" w:rsidRPr="004068F6">
        <w:rPr>
          <w:spacing w:val="-3"/>
        </w:rPr>
        <w:t>Ideam</w:t>
      </w:r>
      <w:r w:rsidR="00F97C5C" w:rsidRPr="004068F6">
        <w:rPr>
          <w:spacing w:val="-3"/>
        </w:rPr>
        <w:t xml:space="preserve">, así como de otras redes existentes en el ámbito regional. La escala temporal de los datos debe ser al menos mensual </w:t>
      </w:r>
      <w:r w:rsidR="009A3D8C" w:rsidRPr="004068F6">
        <w:rPr>
          <w:spacing w:val="-3"/>
        </w:rPr>
        <w:t xml:space="preserve">con datos diarios </w:t>
      </w:r>
      <w:r w:rsidR="00F97C5C" w:rsidRPr="004068F6">
        <w:rPr>
          <w:spacing w:val="-3"/>
        </w:rPr>
        <w:t xml:space="preserve">y la longitud mínima de la serie debe ser de </w:t>
      </w:r>
      <w:r w:rsidR="004416C6" w:rsidRPr="004068F6">
        <w:rPr>
          <w:rFonts w:cs="Arial"/>
          <w:spacing w:val="-3"/>
        </w:rPr>
        <w:t xml:space="preserve">diez </w:t>
      </w:r>
      <w:r w:rsidR="00F97C5C" w:rsidRPr="004068F6">
        <w:rPr>
          <w:rFonts w:cs="Arial"/>
          <w:spacing w:val="-3"/>
        </w:rPr>
        <w:t>(1</w:t>
      </w:r>
      <w:r w:rsidR="004416C6" w:rsidRPr="004068F6">
        <w:rPr>
          <w:rFonts w:cs="Arial"/>
          <w:spacing w:val="-3"/>
        </w:rPr>
        <w:t>0</w:t>
      </w:r>
      <w:r w:rsidR="00F97C5C" w:rsidRPr="004068F6">
        <w:rPr>
          <w:spacing w:val="-3"/>
        </w:rPr>
        <w:t>) años. Debe indicarse la longitud temporal de datos disponibles, el porcentaje de datos faltantes y realizar el respectivo tratamiento de datos cuando aplique (llenado de datos, homogeneidad, consistencia, detección de datos anómalos).</w:t>
      </w:r>
    </w:p>
    <w:p w14:paraId="7741E1EE" w14:textId="77777777" w:rsidR="00F97C5C" w:rsidRPr="004068F6" w:rsidRDefault="00F97C5C">
      <w:pPr>
        <w:tabs>
          <w:tab w:val="left" w:pos="-2268"/>
        </w:tabs>
        <w:suppressAutoHyphens/>
        <w:rPr>
          <w:spacing w:val="-3"/>
        </w:rPr>
      </w:pPr>
    </w:p>
    <w:p w14:paraId="08CDE41D" w14:textId="670A41BD" w:rsidR="001C3F22" w:rsidRPr="004068F6" w:rsidRDefault="001C3F22">
      <w:pPr>
        <w:tabs>
          <w:tab w:val="left" w:pos="-2268"/>
        </w:tabs>
        <w:suppressAutoHyphens/>
        <w:rPr>
          <w:rFonts w:cs="Arial"/>
          <w:lang w:eastAsia="es-CO"/>
        </w:rPr>
      </w:pPr>
      <w:r w:rsidRPr="004068F6">
        <w:rPr>
          <w:rFonts w:cs="Arial"/>
          <w:lang w:eastAsia="es-CO"/>
        </w:rPr>
        <w:t xml:space="preserve">Cuando no exista información disponible de estaciones </w:t>
      </w:r>
      <w:r w:rsidR="00B41102" w:rsidRPr="004068F6">
        <w:rPr>
          <w:rFonts w:cs="Arial"/>
          <w:lang w:eastAsia="es-CO"/>
        </w:rPr>
        <w:t>d</w:t>
      </w:r>
      <w:r w:rsidRPr="004068F6">
        <w:rPr>
          <w:rFonts w:cs="Arial"/>
          <w:lang w:eastAsia="es-CO"/>
        </w:rPr>
        <w:t xml:space="preserve">el </w:t>
      </w:r>
      <w:r w:rsidR="00A92356" w:rsidRPr="004068F6">
        <w:rPr>
          <w:rFonts w:cs="Arial"/>
          <w:lang w:eastAsia="es-CO"/>
        </w:rPr>
        <w:t>Ideam</w:t>
      </w:r>
      <w:r w:rsidRPr="004068F6">
        <w:rPr>
          <w:rFonts w:cs="Arial"/>
          <w:lang w:eastAsia="es-CO"/>
        </w:rPr>
        <w:t xml:space="preserve"> </w:t>
      </w:r>
      <w:r w:rsidR="001C5ADB" w:rsidRPr="004068F6">
        <w:rPr>
          <w:rFonts w:cs="Arial"/>
          <w:lang w:eastAsia="es-CO"/>
        </w:rPr>
        <w:t xml:space="preserve">o de autoridades ambientales </w:t>
      </w:r>
      <w:r w:rsidRPr="004068F6">
        <w:rPr>
          <w:rFonts w:cs="Arial"/>
          <w:lang w:eastAsia="es-CO"/>
        </w:rPr>
        <w:t xml:space="preserve">con adecuada representatividad </w:t>
      </w:r>
      <w:r w:rsidR="001B3163" w:rsidRPr="004068F6">
        <w:rPr>
          <w:rFonts w:cs="Arial"/>
          <w:lang w:eastAsia="es-CO"/>
        </w:rPr>
        <w:t xml:space="preserve">para </w:t>
      </w:r>
      <w:r w:rsidRPr="004068F6">
        <w:rPr>
          <w:rFonts w:cs="Arial"/>
          <w:lang w:eastAsia="es-CO"/>
        </w:rPr>
        <w:t xml:space="preserve">el área </w:t>
      </w:r>
      <w:r w:rsidR="001B3163" w:rsidRPr="004068F6">
        <w:rPr>
          <w:rFonts w:cs="Arial"/>
          <w:lang w:eastAsia="es-CO"/>
        </w:rPr>
        <w:t>objeto de caracterización</w:t>
      </w:r>
      <w:r w:rsidRPr="004068F6">
        <w:rPr>
          <w:rFonts w:cs="Arial"/>
          <w:lang w:eastAsia="es-CO"/>
        </w:rPr>
        <w:t>, la información para la obtención de los datos hidroclimáticos puede ser tomada de los modelos globales o de re-análisis global, obtenidos de fuentes de adecuada idoneidad científica y que puedan ser validadas y procesadas para obtener una adecuada resolución. Ejemplos de modelos de clima o tiempo son CFRS, ERA 40, CAM y WRF.</w:t>
      </w:r>
    </w:p>
    <w:p w14:paraId="57FC068D" w14:textId="77777777" w:rsidR="00A5096E" w:rsidRPr="004068F6" w:rsidRDefault="00A5096E">
      <w:pPr>
        <w:tabs>
          <w:tab w:val="left" w:pos="-2268"/>
        </w:tabs>
        <w:suppressAutoHyphens/>
        <w:rPr>
          <w:spacing w:val="-3"/>
        </w:rPr>
      </w:pPr>
    </w:p>
    <w:p w14:paraId="35855322" w14:textId="693B899B" w:rsidR="00F97C5C" w:rsidRPr="004068F6" w:rsidRDefault="00F97C5C">
      <w:pPr>
        <w:tabs>
          <w:tab w:val="left" w:pos="-2268"/>
        </w:tabs>
        <w:suppressAutoHyphens/>
        <w:rPr>
          <w:spacing w:val="-3"/>
        </w:rPr>
      </w:pPr>
      <w:r w:rsidRPr="004068F6">
        <w:rPr>
          <w:spacing w:val="-3"/>
        </w:rPr>
        <w:t xml:space="preserve">Presentar las principales características morfométricas (área, perímetro, pendiente media, índice de compacidad, factor de forma, tiempos de concentración, índice de sinuosidad, densidad de drenaje y corrientes, patrones de drenaje regionales y locales) de las unidades de análisis hidrográficas asociadas a los puntos de intervención por captación, vertimiento u ocupación de cauce, </w:t>
      </w:r>
      <w:r w:rsidR="00064ED7" w:rsidRPr="004068F6">
        <w:rPr>
          <w:spacing w:val="-3"/>
        </w:rPr>
        <w:t xml:space="preserve">con las que en esta </w:t>
      </w:r>
      <w:r w:rsidR="00136B2D">
        <w:rPr>
          <w:spacing w:val="-3"/>
        </w:rPr>
        <w:t>fase</w:t>
      </w:r>
      <w:r w:rsidR="00064ED7" w:rsidRPr="004068F6">
        <w:rPr>
          <w:spacing w:val="-3"/>
        </w:rPr>
        <w:t xml:space="preserve"> cuente el proyecto, obra o actividad, </w:t>
      </w:r>
      <w:r w:rsidRPr="004068F6">
        <w:rPr>
          <w:spacing w:val="-3"/>
        </w:rPr>
        <w:t xml:space="preserve">así como a nivel de unidad hidrográfica de análisis (como mínimo niveles subsiguientes de las subzonas en la que se encuentra localizada el área </w:t>
      </w:r>
      <w:r w:rsidR="00696C87" w:rsidRPr="004068F6">
        <w:rPr>
          <w:spacing w:val="-3"/>
        </w:rPr>
        <w:t>objeto de carac</w:t>
      </w:r>
      <w:r w:rsidR="00DB01DD" w:rsidRPr="004068F6">
        <w:rPr>
          <w:spacing w:val="-3"/>
        </w:rPr>
        <w:t>terización</w:t>
      </w:r>
      <w:r w:rsidRPr="004068F6">
        <w:rPr>
          <w:spacing w:val="-3"/>
        </w:rPr>
        <w:t>).</w:t>
      </w:r>
    </w:p>
    <w:p w14:paraId="56D319F0" w14:textId="77777777" w:rsidR="00F97C5C" w:rsidRPr="004068F6" w:rsidRDefault="00F97C5C">
      <w:pPr>
        <w:tabs>
          <w:tab w:val="left" w:pos="-2268"/>
        </w:tabs>
        <w:suppressAutoHyphens/>
        <w:rPr>
          <w:spacing w:val="-3"/>
        </w:rPr>
      </w:pPr>
    </w:p>
    <w:p w14:paraId="7B96FD2D" w14:textId="77777777" w:rsidR="00F97C5C" w:rsidRPr="004068F6" w:rsidRDefault="00F97C5C">
      <w:pPr>
        <w:tabs>
          <w:tab w:val="left" w:pos="-2268"/>
        </w:tabs>
        <w:suppressAutoHyphens/>
        <w:rPr>
          <w:spacing w:val="-3"/>
        </w:rPr>
      </w:pPr>
      <w:r w:rsidRPr="004068F6">
        <w:rPr>
          <w:rFonts w:cs="Arial"/>
          <w:spacing w:val="-3"/>
        </w:rPr>
        <w:t>En los casos en que la información hidrológica lo permita, caracterizar el</w:t>
      </w:r>
      <w:r w:rsidRPr="004068F6">
        <w:rPr>
          <w:spacing w:val="-3"/>
        </w:rPr>
        <w:t xml:space="preserve"> régimen hidrológico, considerando en el análisis los valores normales (anuales, mensuales y diarios), así como los extremos (máximos y mínimos).</w:t>
      </w:r>
    </w:p>
    <w:p w14:paraId="6A7BA440" w14:textId="77777777" w:rsidR="00F97C5C" w:rsidRPr="004068F6" w:rsidRDefault="00F97C5C">
      <w:pPr>
        <w:tabs>
          <w:tab w:val="left" w:pos="-2268"/>
        </w:tabs>
        <w:suppressAutoHyphens/>
        <w:rPr>
          <w:spacing w:val="-3"/>
        </w:rPr>
      </w:pPr>
    </w:p>
    <w:p w14:paraId="245923A9" w14:textId="35F0E05C" w:rsidR="00F97C5C" w:rsidRPr="004068F6" w:rsidRDefault="00F97C5C">
      <w:pPr>
        <w:tabs>
          <w:tab w:val="left" w:pos="-2268"/>
        </w:tabs>
        <w:suppressAutoHyphens/>
        <w:rPr>
          <w:spacing w:val="-3"/>
        </w:rPr>
      </w:pPr>
      <w:r w:rsidRPr="004068F6">
        <w:rPr>
          <w:spacing w:val="-3"/>
        </w:rPr>
        <w:t>Para el análisis de eventos extremos (máximos y mínimos) se deben caracterizar (</w:t>
      </w:r>
      <w:r w:rsidR="00041844" w:rsidRPr="004068F6">
        <w:rPr>
          <w:spacing w:val="-3"/>
        </w:rPr>
        <w:t>p. ej.</w:t>
      </w:r>
      <w:r w:rsidRPr="004068F6">
        <w:rPr>
          <w:spacing w:val="-3"/>
        </w:rPr>
        <w:t xml:space="preserve"> mediante su magnitud, extensión, daños o impactos asociados si aplica) los eventos históricos de inundaciones y sequías ocurridos </w:t>
      </w:r>
      <w:r w:rsidR="008E0AEC" w:rsidRPr="004068F6">
        <w:rPr>
          <w:spacing w:val="-3"/>
        </w:rPr>
        <w:t xml:space="preserve">a partir de </w:t>
      </w:r>
      <w:r w:rsidRPr="004068F6">
        <w:rPr>
          <w:rFonts w:cs="Arial"/>
          <w:spacing w:val="-3"/>
        </w:rPr>
        <w:t xml:space="preserve">fuentes de información secundarias. </w:t>
      </w:r>
      <w:r w:rsidR="000420CC" w:rsidRPr="004068F6">
        <w:rPr>
          <w:rFonts w:cs="Arial"/>
          <w:spacing w:val="-3"/>
        </w:rPr>
        <w:t xml:space="preserve">Se pueden tener en cuenta los mapas de inundación generados por el </w:t>
      </w:r>
      <w:r w:rsidR="00706812" w:rsidRPr="004068F6">
        <w:rPr>
          <w:rFonts w:cs="Arial"/>
          <w:spacing w:val="-3"/>
        </w:rPr>
        <w:t>Ideam</w:t>
      </w:r>
      <w:r w:rsidR="000420CC" w:rsidRPr="004068F6">
        <w:rPr>
          <w:rFonts w:cs="Arial"/>
          <w:spacing w:val="-3"/>
        </w:rPr>
        <w:t xml:space="preserve">, así como los reportes de eventos históricos disponibles </w:t>
      </w:r>
      <w:r w:rsidR="00706812" w:rsidRPr="004068F6">
        <w:rPr>
          <w:rFonts w:cs="Arial"/>
          <w:spacing w:val="-3"/>
        </w:rPr>
        <w:t xml:space="preserve">generados por </w:t>
      </w:r>
      <w:r w:rsidR="000420CC" w:rsidRPr="004068F6">
        <w:rPr>
          <w:rFonts w:cs="Arial"/>
          <w:spacing w:val="-3"/>
        </w:rPr>
        <w:t xml:space="preserve">las autoridades locales, regionales y unidades de gestión de riesgos; también se puede hacer uso de imágenes satelitales y datos geoespaciales que permitan visualizar y analizar dichos eventos. </w:t>
      </w:r>
      <w:r w:rsidR="00A96FC8" w:rsidRPr="004068F6">
        <w:rPr>
          <w:rFonts w:cs="Arial"/>
          <w:spacing w:val="-3"/>
        </w:rPr>
        <w:t>S</w:t>
      </w:r>
      <w:r w:rsidRPr="004068F6">
        <w:rPr>
          <w:rFonts w:cs="Arial"/>
          <w:spacing w:val="-3"/>
        </w:rPr>
        <w:t xml:space="preserve">e </w:t>
      </w:r>
      <w:r w:rsidR="00103345" w:rsidRPr="004068F6">
        <w:rPr>
          <w:rFonts w:cs="Arial"/>
          <w:spacing w:val="-3"/>
        </w:rPr>
        <w:t>debe</w:t>
      </w:r>
      <w:r w:rsidRPr="004068F6">
        <w:rPr>
          <w:rFonts w:cs="Arial"/>
          <w:spacing w:val="-3"/>
        </w:rPr>
        <w:t xml:space="preserve"> tener en cuenta la escala de la información secundaria consultada, frente a la escala requerida en los términos de referencia</w:t>
      </w:r>
      <w:r w:rsidR="00037008" w:rsidRPr="004068F6">
        <w:rPr>
          <w:rFonts w:cs="Arial"/>
          <w:spacing w:val="-3"/>
        </w:rPr>
        <w:t xml:space="preserve"> </w:t>
      </w:r>
      <w:r w:rsidRPr="004068F6">
        <w:rPr>
          <w:rFonts w:cs="Arial"/>
          <w:spacing w:val="-3"/>
        </w:rPr>
        <w:t>para el proyecto</w:t>
      </w:r>
      <w:r w:rsidR="00037008" w:rsidRPr="004068F6">
        <w:rPr>
          <w:rFonts w:cs="Arial"/>
          <w:spacing w:val="-3"/>
        </w:rPr>
        <w:t>, obra o actividad</w:t>
      </w:r>
      <w:r w:rsidR="00446752" w:rsidRPr="004068F6">
        <w:rPr>
          <w:rFonts w:cs="Arial"/>
          <w:spacing w:val="-3"/>
        </w:rPr>
        <w:t>, de manera que ambas escalas sean concordantes y permitan el análisis esperado</w:t>
      </w:r>
      <w:r w:rsidRPr="004068F6">
        <w:rPr>
          <w:rFonts w:cs="Arial"/>
          <w:spacing w:val="-3"/>
        </w:rPr>
        <w:t>.</w:t>
      </w:r>
    </w:p>
    <w:p w14:paraId="0AB9E044" w14:textId="77777777" w:rsidR="00F97C5C" w:rsidRPr="004068F6" w:rsidRDefault="00F97C5C">
      <w:pPr>
        <w:tabs>
          <w:tab w:val="left" w:pos="-2268"/>
        </w:tabs>
        <w:suppressAutoHyphens/>
        <w:rPr>
          <w:spacing w:val="-3"/>
        </w:rPr>
      </w:pPr>
    </w:p>
    <w:p w14:paraId="17DD4A53" w14:textId="74DBFE3D" w:rsidR="00F97C5C" w:rsidRPr="004068F6" w:rsidRDefault="00F97C5C" w:rsidP="00F97C5C">
      <w:pPr>
        <w:tabs>
          <w:tab w:val="left" w:pos="-2268"/>
        </w:tabs>
        <w:suppressAutoHyphens/>
        <w:rPr>
          <w:rFonts w:cs="Arial"/>
          <w:spacing w:val="-3"/>
        </w:rPr>
      </w:pPr>
      <w:r w:rsidRPr="004068F6">
        <w:rPr>
          <w:spacing w:val="-3"/>
        </w:rPr>
        <w:t xml:space="preserve">En los cauces susceptibles de intervención con ausencia de información (series de datos con periodos temporales inferiores a </w:t>
      </w:r>
      <w:r w:rsidRPr="004068F6">
        <w:rPr>
          <w:rFonts w:cs="Arial"/>
          <w:spacing w:val="-3"/>
        </w:rPr>
        <w:t>1</w:t>
      </w:r>
      <w:r w:rsidR="00B17BE9" w:rsidRPr="004068F6">
        <w:rPr>
          <w:rFonts w:cs="Arial"/>
          <w:spacing w:val="-3"/>
        </w:rPr>
        <w:t>0</w:t>
      </w:r>
      <w:r w:rsidRPr="004068F6">
        <w:rPr>
          <w:rFonts w:cs="Arial"/>
          <w:spacing w:val="-3"/>
        </w:rPr>
        <w:t xml:space="preserve"> años o series cuyo análisis de calidad indica que deben ser descartadas), se deben generar series sintéticas a escala mensual</w:t>
      </w:r>
      <w:r w:rsidR="00F23344" w:rsidRPr="004068F6">
        <w:rPr>
          <w:rFonts w:cs="Arial"/>
          <w:spacing w:val="-3"/>
        </w:rPr>
        <w:t xml:space="preserve"> o más detallada (</w:t>
      </w:r>
      <w:r w:rsidR="00041844" w:rsidRPr="004068F6">
        <w:rPr>
          <w:rFonts w:cs="Arial"/>
          <w:spacing w:val="-3"/>
        </w:rPr>
        <w:t>p. ej.</w:t>
      </w:r>
      <w:r w:rsidR="00F23344" w:rsidRPr="004068F6">
        <w:rPr>
          <w:rFonts w:cs="Arial"/>
          <w:spacing w:val="-3"/>
        </w:rPr>
        <w:t xml:space="preserve"> diaria) en caso de contar con información disponible</w:t>
      </w:r>
      <w:r w:rsidRPr="004068F6">
        <w:rPr>
          <w:rFonts w:cs="Arial"/>
          <w:spacing w:val="-3"/>
        </w:rPr>
        <w:t>, a partir de metodologías de transformación de la lluvia en escorrentía utilizando la información temática ambiental disponible (</w:t>
      </w:r>
      <w:r w:rsidR="00041844" w:rsidRPr="004068F6">
        <w:rPr>
          <w:rFonts w:cs="Arial"/>
          <w:spacing w:val="-3"/>
        </w:rPr>
        <w:t>p. ej.</w:t>
      </w:r>
      <w:r w:rsidRPr="004068F6">
        <w:rPr>
          <w:spacing w:val="-3"/>
        </w:rPr>
        <w:t xml:space="preserve"> geología, </w:t>
      </w:r>
      <w:r w:rsidR="00E03439" w:rsidRPr="004068F6">
        <w:rPr>
          <w:spacing w:val="-3"/>
        </w:rPr>
        <w:t>edafología</w:t>
      </w:r>
      <w:r w:rsidRPr="004068F6">
        <w:rPr>
          <w:spacing w:val="-3"/>
        </w:rPr>
        <w:t xml:space="preserve">, topografía, coberturas y usos de la tierra), métodos de regionalización u otros métodos hidrológicos en cuencas no instrumentadas. </w:t>
      </w:r>
      <w:r w:rsidRPr="004068F6">
        <w:rPr>
          <w:rFonts w:cs="Arial"/>
          <w:spacing w:val="-3"/>
        </w:rPr>
        <w:t>En cualquier caso, se debe documentar el modelo conceptual, sus parámetros, la información utilizada, la metodología de implementación, y la estrategia de calibración y validación en función de la información utilizada, considerando la representatividad de los procesos hidrológicos predominantes en la cuenca hidrográfica de estudio.</w:t>
      </w:r>
    </w:p>
    <w:p w14:paraId="1F791FC8" w14:textId="77777777" w:rsidR="00F97C5C" w:rsidRPr="004068F6" w:rsidRDefault="00F97C5C" w:rsidP="00F97C5C">
      <w:pPr>
        <w:tabs>
          <w:tab w:val="left" w:pos="-2268"/>
        </w:tabs>
        <w:suppressAutoHyphens/>
        <w:rPr>
          <w:rFonts w:cs="Arial"/>
          <w:spacing w:val="-3"/>
        </w:rPr>
      </w:pPr>
    </w:p>
    <w:p w14:paraId="51294010" w14:textId="275519B8" w:rsidR="00F96509" w:rsidRPr="004068F6" w:rsidRDefault="00F96509" w:rsidP="00F97C5C">
      <w:pPr>
        <w:tabs>
          <w:tab w:val="left" w:pos="-2268"/>
        </w:tabs>
        <w:suppressAutoHyphens/>
        <w:rPr>
          <w:rFonts w:cs="Arial"/>
          <w:spacing w:val="-3"/>
        </w:rPr>
      </w:pPr>
      <w:r w:rsidRPr="004068F6">
        <w:rPr>
          <w:rFonts w:cs="Arial"/>
          <w:spacing w:val="-3"/>
        </w:rPr>
        <w:t>Conforme a lo mencionado, la calibración y validación se debe realizar mediante pruebas de bondad</w:t>
      </w:r>
      <w:r w:rsidR="000C6E16" w:rsidRPr="004068F6">
        <w:rPr>
          <w:rFonts w:cs="Arial"/>
          <w:spacing w:val="-3"/>
        </w:rPr>
        <w:t xml:space="preserve"> de ajuste usando 2/3 de la información diaria para calibrar y el 1/3 restante para validar, resaltando que la información debe contar con registros de </w:t>
      </w:r>
      <w:r w:rsidR="000C6E16" w:rsidRPr="004068F6">
        <w:rPr>
          <w:rFonts w:cs="Arial"/>
          <w:spacing w:val="-3"/>
        </w:rPr>
        <w:lastRenderedPageBreak/>
        <w:t xml:space="preserve">mínimo 10 años. En ese contexto se debe realizar pruebas de coeficiente de correlación y de Nash-Sutcliffe para la serie de caudales medios diarios o mensuales, este último en caso de que no haya disponibilidad de información diaria, según las recomendaciones de Molnar (2011). En lo </w:t>
      </w:r>
      <w:r w:rsidR="00684FF3" w:rsidRPr="004068F6">
        <w:rPr>
          <w:rFonts w:cs="Arial"/>
          <w:spacing w:val="-3"/>
        </w:rPr>
        <w:t xml:space="preserve">posible </w:t>
      </w:r>
      <w:r w:rsidR="004D4B47" w:rsidRPr="004068F6">
        <w:rPr>
          <w:rFonts w:cs="Arial"/>
          <w:spacing w:val="-3"/>
        </w:rPr>
        <w:t xml:space="preserve">no </w:t>
      </w:r>
      <w:r w:rsidR="00684FF3" w:rsidRPr="004068F6">
        <w:rPr>
          <w:rFonts w:cs="Arial"/>
          <w:spacing w:val="-3"/>
        </w:rPr>
        <w:t xml:space="preserve">emplear datos cuya </w:t>
      </w:r>
      <w:r w:rsidRPr="004068F6">
        <w:rPr>
          <w:rFonts w:cs="Arial"/>
          <w:spacing w:val="-3"/>
        </w:rPr>
        <w:t xml:space="preserve">prueba de calibración y validación </w:t>
      </w:r>
      <w:r w:rsidR="00684FF3" w:rsidRPr="004068F6">
        <w:rPr>
          <w:rFonts w:cs="Arial"/>
          <w:spacing w:val="-3"/>
        </w:rPr>
        <w:t xml:space="preserve">haya resultado </w:t>
      </w:r>
      <w:r w:rsidR="00932A9A" w:rsidRPr="004068F6">
        <w:rPr>
          <w:rFonts w:cs="Arial"/>
          <w:spacing w:val="-3"/>
        </w:rPr>
        <w:t>en la</w:t>
      </w:r>
      <w:r w:rsidR="006E1A85" w:rsidRPr="004068F6">
        <w:rPr>
          <w:rFonts w:cs="Arial"/>
          <w:spacing w:val="-3"/>
        </w:rPr>
        <w:t>s</w:t>
      </w:r>
      <w:r w:rsidR="00932A9A" w:rsidRPr="004068F6">
        <w:rPr>
          <w:rFonts w:cs="Arial"/>
          <w:spacing w:val="-3"/>
        </w:rPr>
        <w:t xml:space="preserve"> categoría</w:t>
      </w:r>
      <w:r w:rsidR="006E1A85" w:rsidRPr="004068F6">
        <w:rPr>
          <w:rFonts w:cs="Arial"/>
          <w:spacing w:val="-3"/>
        </w:rPr>
        <w:t>s</w:t>
      </w:r>
      <w:r w:rsidR="00932A9A" w:rsidRPr="004068F6">
        <w:rPr>
          <w:rFonts w:cs="Arial"/>
          <w:spacing w:val="-3"/>
        </w:rPr>
        <w:t xml:space="preserve"> “mala” o “insuficiente” </w:t>
      </w:r>
      <w:r w:rsidRPr="004068F6">
        <w:rPr>
          <w:rFonts w:cs="Arial"/>
          <w:spacing w:val="-3"/>
        </w:rPr>
        <w:t xml:space="preserve">conforme </w:t>
      </w:r>
      <w:r w:rsidR="00684FF3" w:rsidRPr="004068F6">
        <w:rPr>
          <w:rFonts w:cs="Arial"/>
          <w:spacing w:val="-3"/>
        </w:rPr>
        <w:t xml:space="preserve">a </w:t>
      </w:r>
      <w:r w:rsidRPr="004068F6">
        <w:rPr>
          <w:rFonts w:cs="Arial"/>
          <w:spacing w:val="-3"/>
        </w:rPr>
        <w:t>los rangos de ajuste que se presentan en la</w:t>
      </w:r>
      <w:r w:rsidR="00684FF3" w:rsidRPr="004068F6">
        <w:rPr>
          <w:rFonts w:cs="Arial"/>
          <w:spacing w:val="-3"/>
        </w:rPr>
        <w:t>s</w:t>
      </w:r>
      <w:r w:rsidRPr="004068F6">
        <w:rPr>
          <w:rFonts w:cs="Arial"/>
          <w:spacing w:val="-3"/>
        </w:rPr>
        <w:t xml:space="preserve"> </w:t>
      </w:r>
      <w:r w:rsidR="00684FF3" w:rsidRPr="004068F6">
        <w:rPr>
          <w:rFonts w:cs="Arial"/>
          <w:spacing w:val="-3"/>
        </w:rPr>
        <w:t>T</w:t>
      </w:r>
      <w:r w:rsidRPr="004068F6">
        <w:rPr>
          <w:rFonts w:cs="Arial"/>
          <w:spacing w:val="-3"/>
        </w:rPr>
        <w:t>abla</w:t>
      </w:r>
      <w:r w:rsidR="00684FF3" w:rsidRPr="004068F6">
        <w:rPr>
          <w:rFonts w:cs="Arial"/>
          <w:spacing w:val="-3"/>
        </w:rPr>
        <w:t>s</w:t>
      </w:r>
      <w:r w:rsidRPr="004068F6">
        <w:rPr>
          <w:rFonts w:cs="Arial"/>
          <w:spacing w:val="-3"/>
        </w:rPr>
        <w:t xml:space="preserve"> </w:t>
      </w:r>
      <w:r w:rsidR="000A2964" w:rsidRPr="004068F6">
        <w:rPr>
          <w:rFonts w:cs="Arial"/>
          <w:spacing w:val="-3"/>
        </w:rPr>
        <w:fldChar w:fldCharType="begin"/>
      </w:r>
      <w:r w:rsidR="000A2964" w:rsidRPr="004068F6">
        <w:rPr>
          <w:rFonts w:cs="Arial"/>
          <w:spacing w:val="-3"/>
        </w:rPr>
        <w:instrText xml:space="preserve"> REF _Ref135398564 \h </w:instrText>
      </w:r>
      <w:r w:rsidR="00BD1319" w:rsidRPr="004068F6">
        <w:rPr>
          <w:rFonts w:cs="Arial"/>
          <w:spacing w:val="-3"/>
        </w:rPr>
        <w:instrText xml:space="preserve"> \* MERGEFORMAT </w:instrText>
      </w:r>
      <w:r w:rsidR="000A2964" w:rsidRPr="004068F6">
        <w:rPr>
          <w:rFonts w:cs="Arial"/>
          <w:spacing w:val="-3"/>
        </w:rPr>
      </w:r>
      <w:r w:rsidR="000A2964" w:rsidRPr="004068F6">
        <w:rPr>
          <w:rFonts w:cs="Arial"/>
          <w:spacing w:val="-3"/>
        </w:rPr>
        <w:fldChar w:fldCharType="separate"/>
      </w:r>
      <w:r w:rsidR="009C4A81" w:rsidRPr="004068F6">
        <w:t xml:space="preserve">Tabla </w:t>
      </w:r>
      <w:r w:rsidR="009C4A81">
        <w:rPr>
          <w:noProof/>
        </w:rPr>
        <w:t>10</w:t>
      </w:r>
      <w:r w:rsidR="000A2964" w:rsidRPr="004068F6">
        <w:rPr>
          <w:rFonts w:cs="Arial"/>
          <w:spacing w:val="-3"/>
        </w:rPr>
        <w:fldChar w:fldCharType="end"/>
      </w:r>
      <w:r w:rsidR="000A2964" w:rsidRPr="004068F6">
        <w:rPr>
          <w:rFonts w:cs="Arial"/>
          <w:spacing w:val="-3"/>
        </w:rPr>
        <w:t xml:space="preserve"> </w:t>
      </w:r>
      <w:r w:rsidR="00684FF3" w:rsidRPr="004068F6">
        <w:rPr>
          <w:rFonts w:cs="Arial"/>
          <w:spacing w:val="-3"/>
        </w:rPr>
        <w:t xml:space="preserve">y </w:t>
      </w:r>
      <w:r w:rsidR="000A2964" w:rsidRPr="004068F6">
        <w:rPr>
          <w:rFonts w:cs="Arial"/>
          <w:spacing w:val="-3"/>
        </w:rPr>
        <w:fldChar w:fldCharType="begin"/>
      </w:r>
      <w:r w:rsidR="000A2964" w:rsidRPr="004068F6">
        <w:rPr>
          <w:rFonts w:cs="Arial"/>
          <w:spacing w:val="-3"/>
        </w:rPr>
        <w:instrText xml:space="preserve"> REF _Ref135398566 \h </w:instrText>
      </w:r>
      <w:r w:rsidR="00BD1319" w:rsidRPr="004068F6">
        <w:rPr>
          <w:rFonts w:cs="Arial"/>
          <w:spacing w:val="-3"/>
        </w:rPr>
        <w:instrText xml:space="preserve"> \* MERGEFORMAT </w:instrText>
      </w:r>
      <w:r w:rsidR="000A2964" w:rsidRPr="004068F6">
        <w:rPr>
          <w:rFonts w:cs="Arial"/>
          <w:spacing w:val="-3"/>
        </w:rPr>
      </w:r>
      <w:r w:rsidR="000A2964" w:rsidRPr="004068F6">
        <w:rPr>
          <w:rFonts w:cs="Arial"/>
          <w:spacing w:val="-3"/>
        </w:rPr>
        <w:fldChar w:fldCharType="separate"/>
      </w:r>
      <w:r w:rsidR="009C4A81" w:rsidRPr="004068F6">
        <w:t xml:space="preserve">Tabla </w:t>
      </w:r>
      <w:r w:rsidR="009C4A81">
        <w:rPr>
          <w:noProof/>
        </w:rPr>
        <w:t>11</w:t>
      </w:r>
      <w:r w:rsidR="000A2964" w:rsidRPr="004068F6">
        <w:rPr>
          <w:rFonts w:cs="Arial"/>
          <w:spacing w:val="-3"/>
        </w:rPr>
        <w:fldChar w:fldCharType="end"/>
      </w:r>
      <w:r w:rsidR="00684FF3" w:rsidRPr="004068F6">
        <w:rPr>
          <w:rFonts w:cs="Arial"/>
          <w:spacing w:val="-3"/>
        </w:rPr>
        <w:t>.</w:t>
      </w:r>
      <w:r w:rsidR="003B7904" w:rsidRPr="004068F6">
        <w:rPr>
          <w:rFonts w:cs="Arial"/>
          <w:spacing w:val="-3"/>
        </w:rPr>
        <w:t xml:space="preserve"> </w:t>
      </w:r>
      <w:bookmarkStart w:id="2225" w:name="_Hlk198368980"/>
      <w:r w:rsidR="003B7904" w:rsidRPr="004068F6">
        <w:rPr>
          <w:rFonts w:cs="Arial"/>
          <w:spacing w:val="-3"/>
        </w:rPr>
        <w:t xml:space="preserve">En caso de no lograr la categoría recomendada (por ejemplo, por falta de calidad en la información hidrológica), se debe </w:t>
      </w:r>
      <w:r w:rsidR="00101F72" w:rsidRPr="004068F6">
        <w:rPr>
          <w:rFonts w:cs="Arial"/>
          <w:spacing w:val="-3"/>
        </w:rPr>
        <w:t xml:space="preserve">suministrar </w:t>
      </w:r>
      <w:r w:rsidR="003B7904" w:rsidRPr="004068F6">
        <w:rPr>
          <w:rFonts w:cs="Arial"/>
          <w:spacing w:val="-3"/>
        </w:rPr>
        <w:t>la justificación técnica correspondiente.</w:t>
      </w:r>
      <w:bookmarkEnd w:id="2225"/>
    </w:p>
    <w:p w14:paraId="6ADD0925" w14:textId="77777777" w:rsidR="00F96509" w:rsidRDefault="00F96509" w:rsidP="00F97C5C">
      <w:pPr>
        <w:tabs>
          <w:tab w:val="left" w:pos="-2268"/>
        </w:tabs>
        <w:suppressAutoHyphens/>
        <w:rPr>
          <w:rFonts w:cs="Arial"/>
          <w:spacing w:val="-3"/>
        </w:rPr>
      </w:pPr>
    </w:p>
    <w:p w14:paraId="78C70151" w14:textId="77777777" w:rsidR="006C3410" w:rsidRPr="004068F6" w:rsidRDefault="006C3410" w:rsidP="006C3410">
      <w:pPr>
        <w:tabs>
          <w:tab w:val="left" w:pos="-2268"/>
        </w:tabs>
        <w:suppressAutoHyphens/>
        <w:rPr>
          <w:rFonts w:cs="Arial"/>
          <w:spacing w:val="-3"/>
        </w:rPr>
      </w:pPr>
      <w:r w:rsidRPr="004068F6">
        <w:rPr>
          <w:rFonts w:cs="Arial"/>
          <w:spacing w:val="-3"/>
        </w:rPr>
        <w:t>A partir de la información secundaria disponible, en caso que la autoridad ambiental no haya realizado la determinación de la oferta hídrica disponible en el marco de sus instrumentos, se debe estimar la oferta hídrica superficial total y disponible a escala mensual para el cuerpo de agua principal con intervención, las unidades hidrográficas de interés según sitios estratégicos por intervención o afectación y cuando aplique, en cada uno de los puntos susceptibles de intervención por captación o vertimiento en aguas superficiales, en caso de estar definidos.</w:t>
      </w:r>
    </w:p>
    <w:p w14:paraId="692CDA7E" w14:textId="77777777" w:rsidR="006C3410" w:rsidRPr="004068F6" w:rsidRDefault="006C3410" w:rsidP="00F97C5C">
      <w:pPr>
        <w:tabs>
          <w:tab w:val="left" w:pos="-2268"/>
        </w:tabs>
        <w:suppressAutoHyphens/>
        <w:rPr>
          <w:rFonts w:cs="Arial"/>
          <w:spacing w:val="-3"/>
        </w:rPr>
      </w:pPr>
    </w:p>
    <w:p w14:paraId="425C60B9" w14:textId="4CB1DECC" w:rsidR="00DB4694" w:rsidRPr="004068F6" w:rsidRDefault="00DB4694" w:rsidP="004E5795">
      <w:pPr>
        <w:pStyle w:val="Descripcin"/>
        <w:jc w:val="center"/>
        <w:rPr>
          <w:rFonts w:cs="Arial"/>
          <w:spacing w:val="-3"/>
        </w:rPr>
      </w:pPr>
      <w:bookmarkStart w:id="2226" w:name="_Ref135398564"/>
      <w:bookmarkStart w:id="2227" w:name="_Ref140495150"/>
      <w:r w:rsidRPr="004068F6">
        <w:t xml:space="preserve">Tabla </w:t>
      </w:r>
      <w:fldSimple w:instr=" SEQ Tabla \* ARABIC ">
        <w:r w:rsidR="009C4A81">
          <w:rPr>
            <w:noProof/>
          </w:rPr>
          <w:t>10</w:t>
        </w:r>
      </w:fldSimple>
      <w:bookmarkEnd w:id="2226"/>
      <w:r w:rsidRPr="004068F6">
        <w:rPr>
          <w:rFonts w:cs="Arial"/>
          <w:spacing w:val="-3"/>
        </w:rPr>
        <w:t>.</w:t>
      </w:r>
      <w:r w:rsidRPr="004068F6">
        <w:rPr>
          <w:rFonts w:cs="Arial"/>
          <w:b w:val="0"/>
          <w:bCs w:val="0"/>
          <w:spacing w:val="-3"/>
        </w:rPr>
        <w:t xml:space="preserve"> Coeficiente de correlación</w:t>
      </w:r>
      <w:bookmarkEnd w:id="2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60"/>
        <w:gridCol w:w="2668"/>
      </w:tblGrid>
      <w:tr w:rsidR="00DB4694" w:rsidRPr="004068F6" w14:paraId="227DFC07" w14:textId="77777777" w:rsidTr="006C3410">
        <w:trPr>
          <w:trHeight w:hRule="exact" w:val="567"/>
          <w:tblHeader/>
          <w:jc w:val="center"/>
        </w:trPr>
        <w:tc>
          <w:tcPr>
            <w:tcW w:w="2860" w:type="dxa"/>
            <w:tcMar>
              <w:top w:w="40" w:type="dxa"/>
              <w:left w:w="40" w:type="dxa"/>
              <w:bottom w:w="40" w:type="dxa"/>
              <w:right w:w="40" w:type="dxa"/>
            </w:tcMar>
            <w:vAlign w:val="center"/>
          </w:tcPr>
          <w:p w14:paraId="103C24EC" w14:textId="30B7805C" w:rsidR="00DB4694" w:rsidRPr="00127BD4" w:rsidRDefault="00152A12" w:rsidP="000D6E21">
            <w:pPr>
              <w:tabs>
                <w:tab w:val="left" w:pos="-2268"/>
              </w:tabs>
              <w:suppressAutoHyphens/>
              <w:jc w:val="center"/>
              <w:rPr>
                <w:rFonts w:cs="Arial"/>
                <w:b/>
                <w:bCs/>
                <w:spacing w:val="-3"/>
                <w:sz w:val="22"/>
                <w:szCs w:val="22"/>
              </w:rPr>
            </w:pPr>
            <w:r w:rsidRPr="00127BD4">
              <w:rPr>
                <w:rFonts w:cs="Arial"/>
                <w:b/>
                <w:bCs/>
                <w:spacing w:val="-3"/>
                <w:sz w:val="22"/>
                <w:szCs w:val="22"/>
              </w:rPr>
              <w:t>Coeficiente de correlación</w:t>
            </w:r>
          </w:p>
        </w:tc>
        <w:tc>
          <w:tcPr>
            <w:tcW w:w="2668" w:type="dxa"/>
            <w:tcMar>
              <w:top w:w="40" w:type="dxa"/>
              <w:left w:w="40" w:type="dxa"/>
              <w:bottom w:w="40" w:type="dxa"/>
              <w:right w:w="40" w:type="dxa"/>
            </w:tcMar>
            <w:vAlign w:val="center"/>
          </w:tcPr>
          <w:p w14:paraId="6E6136BE" w14:textId="0DBF25ED" w:rsidR="00DB4694" w:rsidRPr="00127BD4" w:rsidRDefault="00152A12" w:rsidP="000D6E21">
            <w:pPr>
              <w:tabs>
                <w:tab w:val="left" w:pos="-2268"/>
              </w:tabs>
              <w:suppressAutoHyphens/>
              <w:jc w:val="center"/>
              <w:rPr>
                <w:rFonts w:cs="Arial"/>
                <w:b/>
                <w:bCs/>
                <w:spacing w:val="-3"/>
                <w:sz w:val="22"/>
                <w:szCs w:val="22"/>
              </w:rPr>
            </w:pPr>
            <w:r w:rsidRPr="00127BD4">
              <w:rPr>
                <w:rFonts w:cs="Arial"/>
                <w:b/>
                <w:bCs/>
                <w:spacing w:val="-3"/>
                <w:sz w:val="22"/>
                <w:szCs w:val="22"/>
              </w:rPr>
              <w:t>Categoría</w:t>
            </w:r>
          </w:p>
        </w:tc>
      </w:tr>
      <w:tr w:rsidR="003D0EA6" w:rsidRPr="004068F6" w14:paraId="5AFC15CB" w14:textId="77777777" w:rsidTr="006C3410">
        <w:trPr>
          <w:trHeight w:hRule="exact" w:val="397"/>
          <w:jc w:val="center"/>
        </w:trPr>
        <w:tc>
          <w:tcPr>
            <w:tcW w:w="2860" w:type="dxa"/>
            <w:tcMar>
              <w:top w:w="40" w:type="dxa"/>
              <w:left w:w="40" w:type="dxa"/>
              <w:bottom w:w="40" w:type="dxa"/>
              <w:right w:w="40" w:type="dxa"/>
            </w:tcMar>
            <w:vAlign w:val="center"/>
          </w:tcPr>
          <w:p w14:paraId="738C6444" w14:textId="7240B9A9"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R &lt; 0,5</w:t>
            </w:r>
          </w:p>
        </w:tc>
        <w:tc>
          <w:tcPr>
            <w:tcW w:w="2668" w:type="dxa"/>
            <w:tcMar>
              <w:top w:w="40" w:type="dxa"/>
              <w:left w:w="40" w:type="dxa"/>
              <w:bottom w:w="40" w:type="dxa"/>
              <w:right w:w="40" w:type="dxa"/>
            </w:tcMar>
            <w:vAlign w:val="center"/>
          </w:tcPr>
          <w:p w14:paraId="6BEF6B81" w14:textId="381F8AEC"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Malo</w:t>
            </w:r>
          </w:p>
        </w:tc>
      </w:tr>
      <w:tr w:rsidR="003D0EA6" w:rsidRPr="004068F6" w14:paraId="34614621" w14:textId="77777777" w:rsidTr="006C3410">
        <w:trPr>
          <w:trHeight w:hRule="exact" w:val="397"/>
          <w:jc w:val="center"/>
        </w:trPr>
        <w:tc>
          <w:tcPr>
            <w:tcW w:w="2860" w:type="dxa"/>
            <w:tcMar>
              <w:top w:w="40" w:type="dxa"/>
              <w:left w:w="40" w:type="dxa"/>
              <w:bottom w:w="40" w:type="dxa"/>
              <w:right w:w="40" w:type="dxa"/>
            </w:tcMar>
            <w:vAlign w:val="center"/>
            <w:hideMark/>
          </w:tcPr>
          <w:p w14:paraId="563A6CB0" w14:textId="4640A410"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0,5</w:t>
            </w:r>
            <w:r w:rsidR="00152A12" w:rsidRPr="00127BD4">
              <w:rPr>
                <w:rFonts w:cs="Arial"/>
                <w:spacing w:val="-3"/>
                <w:sz w:val="22"/>
                <w:szCs w:val="22"/>
              </w:rPr>
              <w:t xml:space="preserve"> ≤ </w:t>
            </w:r>
            <w:r w:rsidRPr="00127BD4">
              <w:rPr>
                <w:rFonts w:cs="Arial"/>
                <w:spacing w:val="-3"/>
                <w:sz w:val="22"/>
                <w:szCs w:val="22"/>
              </w:rPr>
              <w:t>R</w:t>
            </w:r>
            <w:r w:rsidR="00152A12" w:rsidRPr="00127BD4">
              <w:rPr>
                <w:rFonts w:cs="Arial"/>
                <w:spacing w:val="-3"/>
                <w:sz w:val="22"/>
                <w:szCs w:val="22"/>
              </w:rPr>
              <w:t xml:space="preserve"> </w:t>
            </w:r>
            <w:r w:rsidRPr="00127BD4">
              <w:rPr>
                <w:rFonts w:cs="Arial"/>
                <w:spacing w:val="-3"/>
                <w:sz w:val="22"/>
                <w:szCs w:val="22"/>
              </w:rPr>
              <w:t>&lt;</w:t>
            </w:r>
            <w:r w:rsidR="00152A12" w:rsidRPr="00127BD4">
              <w:rPr>
                <w:rFonts w:cs="Arial"/>
                <w:spacing w:val="-3"/>
                <w:sz w:val="22"/>
                <w:szCs w:val="22"/>
              </w:rPr>
              <w:t xml:space="preserve"> </w:t>
            </w:r>
            <w:r w:rsidRPr="00127BD4">
              <w:rPr>
                <w:rFonts w:cs="Arial"/>
                <w:spacing w:val="-3"/>
                <w:sz w:val="22"/>
                <w:szCs w:val="22"/>
              </w:rPr>
              <w:t>0,7</w:t>
            </w:r>
          </w:p>
        </w:tc>
        <w:tc>
          <w:tcPr>
            <w:tcW w:w="2668" w:type="dxa"/>
            <w:tcMar>
              <w:top w:w="40" w:type="dxa"/>
              <w:left w:w="40" w:type="dxa"/>
              <w:bottom w:w="40" w:type="dxa"/>
              <w:right w:w="40" w:type="dxa"/>
            </w:tcMar>
            <w:vAlign w:val="center"/>
            <w:hideMark/>
          </w:tcPr>
          <w:p w14:paraId="1A68751B" w14:textId="77777777"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Regular</w:t>
            </w:r>
          </w:p>
        </w:tc>
      </w:tr>
      <w:tr w:rsidR="003D0EA6" w:rsidRPr="004068F6" w14:paraId="3FB7F4D8" w14:textId="77777777" w:rsidTr="006C3410">
        <w:trPr>
          <w:trHeight w:hRule="exact" w:val="397"/>
          <w:jc w:val="center"/>
        </w:trPr>
        <w:tc>
          <w:tcPr>
            <w:tcW w:w="2860" w:type="dxa"/>
            <w:tcMar>
              <w:top w:w="40" w:type="dxa"/>
              <w:left w:w="40" w:type="dxa"/>
              <w:bottom w:w="40" w:type="dxa"/>
              <w:right w:w="40" w:type="dxa"/>
            </w:tcMar>
            <w:vAlign w:val="center"/>
            <w:hideMark/>
          </w:tcPr>
          <w:p w14:paraId="12CC381B" w14:textId="5697391A"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0,7</w:t>
            </w:r>
            <w:r w:rsidR="00152A12" w:rsidRPr="00127BD4">
              <w:rPr>
                <w:rFonts w:cs="Arial"/>
                <w:spacing w:val="-3"/>
                <w:sz w:val="22"/>
                <w:szCs w:val="22"/>
              </w:rPr>
              <w:t xml:space="preserve"> ≤ </w:t>
            </w:r>
            <w:r w:rsidRPr="00127BD4">
              <w:rPr>
                <w:rFonts w:cs="Arial"/>
                <w:spacing w:val="-3"/>
                <w:sz w:val="22"/>
                <w:szCs w:val="22"/>
              </w:rPr>
              <w:t>R</w:t>
            </w:r>
            <w:r w:rsidR="00152A12" w:rsidRPr="00127BD4">
              <w:rPr>
                <w:rFonts w:cs="Arial"/>
                <w:spacing w:val="-3"/>
                <w:sz w:val="22"/>
                <w:szCs w:val="22"/>
              </w:rPr>
              <w:t xml:space="preserve"> </w:t>
            </w:r>
            <w:r w:rsidRPr="00127BD4">
              <w:rPr>
                <w:rFonts w:cs="Arial"/>
                <w:spacing w:val="-3"/>
                <w:sz w:val="22"/>
                <w:szCs w:val="22"/>
              </w:rPr>
              <w:t>&lt;</w:t>
            </w:r>
            <w:r w:rsidR="00152A12" w:rsidRPr="00127BD4">
              <w:rPr>
                <w:rFonts w:cs="Arial"/>
                <w:spacing w:val="-3"/>
                <w:sz w:val="22"/>
                <w:szCs w:val="22"/>
              </w:rPr>
              <w:t xml:space="preserve"> </w:t>
            </w:r>
            <w:r w:rsidRPr="00127BD4">
              <w:rPr>
                <w:rFonts w:cs="Arial"/>
                <w:spacing w:val="-3"/>
                <w:sz w:val="22"/>
                <w:szCs w:val="22"/>
              </w:rPr>
              <w:t>0,8</w:t>
            </w:r>
          </w:p>
        </w:tc>
        <w:tc>
          <w:tcPr>
            <w:tcW w:w="2668" w:type="dxa"/>
            <w:tcMar>
              <w:top w:w="40" w:type="dxa"/>
              <w:left w:w="40" w:type="dxa"/>
              <w:bottom w:w="40" w:type="dxa"/>
              <w:right w:w="40" w:type="dxa"/>
            </w:tcMar>
            <w:vAlign w:val="center"/>
            <w:hideMark/>
          </w:tcPr>
          <w:p w14:paraId="3F912EAA" w14:textId="77777777"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Bueno</w:t>
            </w:r>
          </w:p>
        </w:tc>
      </w:tr>
      <w:tr w:rsidR="003D0EA6" w:rsidRPr="004068F6" w14:paraId="5FCD2B6C" w14:textId="77777777" w:rsidTr="006C3410">
        <w:trPr>
          <w:trHeight w:hRule="exact" w:val="397"/>
          <w:jc w:val="center"/>
        </w:trPr>
        <w:tc>
          <w:tcPr>
            <w:tcW w:w="2860" w:type="dxa"/>
            <w:tcMar>
              <w:top w:w="40" w:type="dxa"/>
              <w:left w:w="40" w:type="dxa"/>
              <w:bottom w:w="40" w:type="dxa"/>
              <w:right w:w="40" w:type="dxa"/>
            </w:tcMar>
            <w:vAlign w:val="center"/>
            <w:hideMark/>
          </w:tcPr>
          <w:p w14:paraId="0F38C815" w14:textId="79AC5A69"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0,8</w:t>
            </w:r>
            <w:r w:rsidR="00152A12" w:rsidRPr="00127BD4">
              <w:rPr>
                <w:rFonts w:cs="Arial"/>
                <w:spacing w:val="-3"/>
                <w:sz w:val="22"/>
                <w:szCs w:val="22"/>
              </w:rPr>
              <w:t xml:space="preserve"> ≤ </w:t>
            </w:r>
            <w:r w:rsidRPr="00127BD4">
              <w:rPr>
                <w:rFonts w:cs="Arial"/>
                <w:spacing w:val="-3"/>
                <w:sz w:val="22"/>
                <w:szCs w:val="22"/>
              </w:rPr>
              <w:t>R</w:t>
            </w:r>
            <w:r w:rsidR="00152A12" w:rsidRPr="00127BD4">
              <w:rPr>
                <w:rFonts w:cs="Arial"/>
                <w:spacing w:val="-3"/>
                <w:sz w:val="22"/>
                <w:szCs w:val="22"/>
              </w:rPr>
              <w:t xml:space="preserve"> </w:t>
            </w:r>
            <w:r w:rsidRPr="00127BD4">
              <w:rPr>
                <w:rFonts w:cs="Arial"/>
                <w:spacing w:val="-3"/>
                <w:sz w:val="22"/>
                <w:szCs w:val="22"/>
              </w:rPr>
              <w:t>&lt;</w:t>
            </w:r>
            <w:r w:rsidR="00152A12" w:rsidRPr="00127BD4">
              <w:rPr>
                <w:rFonts w:cs="Arial"/>
                <w:spacing w:val="-3"/>
                <w:sz w:val="22"/>
                <w:szCs w:val="22"/>
              </w:rPr>
              <w:t xml:space="preserve"> </w:t>
            </w:r>
            <w:r w:rsidRPr="00127BD4">
              <w:rPr>
                <w:rFonts w:cs="Arial"/>
                <w:spacing w:val="-3"/>
                <w:sz w:val="22"/>
                <w:szCs w:val="22"/>
              </w:rPr>
              <w:t>1,0</w:t>
            </w:r>
          </w:p>
        </w:tc>
        <w:tc>
          <w:tcPr>
            <w:tcW w:w="2668" w:type="dxa"/>
            <w:tcMar>
              <w:top w:w="40" w:type="dxa"/>
              <w:left w:w="40" w:type="dxa"/>
              <w:bottom w:w="40" w:type="dxa"/>
              <w:right w:w="40" w:type="dxa"/>
            </w:tcMar>
            <w:vAlign w:val="center"/>
            <w:hideMark/>
          </w:tcPr>
          <w:p w14:paraId="1060774B" w14:textId="77777777"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Excelente</w:t>
            </w:r>
          </w:p>
        </w:tc>
      </w:tr>
      <w:tr w:rsidR="003D0EA6" w:rsidRPr="004068F6" w14:paraId="27A15D67" w14:textId="77777777" w:rsidTr="006C3410">
        <w:trPr>
          <w:trHeight w:hRule="exact" w:val="397"/>
          <w:jc w:val="center"/>
        </w:trPr>
        <w:tc>
          <w:tcPr>
            <w:tcW w:w="2860" w:type="dxa"/>
            <w:tcMar>
              <w:top w:w="40" w:type="dxa"/>
              <w:left w:w="40" w:type="dxa"/>
              <w:bottom w:w="40" w:type="dxa"/>
              <w:right w:w="40" w:type="dxa"/>
            </w:tcMar>
            <w:vAlign w:val="center"/>
            <w:hideMark/>
          </w:tcPr>
          <w:p w14:paraId="5D07AA65" w14:textId="77777777"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R = 1,0</w:t>
            </w:r>
          </w:p>
        </w:tc>
        <w:tc>
          <w:tcPr>
            <w:tcW w:w="2668" w:type="dxa"/>
            <w:tcMar>
              <w:top w:w="40" w:type="dxa"/>
              <w:left w:w="40" w:type="dxa"/>
              <w:bottom w:w="40" w:type="dxa"/>
              <w:right w:w="40" w:type="dxa"/>
            </w:tcMar>
            <w:vAlign w:val="center"/>
            <w:hideMark/>
          </w:tcPr>
          <w:p w14:paraId="0A20CE92" w14:textId="77777777" w:rsidR="003D0EA6" w:rsidRPr="00127BD4" w:rsidRDefault="003D0EA6" w:rsidP="000D6E21">
            <w:pPr>
              <w:tabs>
                <w:tab w:val="left" w:pos="-2268"/>
              </w:tabs>
              <w:suppressAutoHyphens/>
              <w:jc w:val="center"/>
              <w:rPr>
                <w:rFonts w:cs="Arial"/>
                <w:spacing w:val="-3"/>
                <w:sz w:val="22"/>
                <w:szCs w:val="22"/>
              </w:rPr>
            </w:pPr>
            <w:r w:rsidRPr="00127BD4">
              <w:rPr>
                <w:rFonts w:cs="Arial"/>
                <w:spacing w:val="-3"/>
                <w:sz w:val="22"/>
                <w:szCs w:val="22"/>
              </w:rPr>
              <w:t>Perfecto</w:t>
            </w:r>
          </w:p>
        </w:tc>
      </w:tr>
    </w:tbl>
    <w:p w14:paraId="74891241" w14:textId="28651632" w:rsidR="00DB4694" w:rsidRPr="00127BD4" w:rsidRDefault="00DB4694" w:rsidP="000D6E21">
      <w:pPr>
        <w:tabs>
          <w:tab w:val="left" w:pos="-2268"/>
        </w:tabs>
        <w:suppressAutoHyphens/>
        <w:jc w:val="center"/>
        <w:rPr>
          <w:rFonts w:cs="Arial"/>
          <w:spacing w:val="-3"/>
          <w:sz w:val="20"/>
          <w:szCs w:val="20"/>
        </w:rPr>
      </w:pPr>
      <w:r w:rsidRPr="00127BD4">
        <w:rPr>
          <w:rFonts w:cs="Arial"/>
          <w:b/>
          <w:bCs/>
          <w:spacing w:val="-3"/>
          <w:sz w:val="20"/>
          <w:szCs w:val="20"/>
        </w:rPr>
        <w:t>Fuente:</w:t>
      </w:r>
      <w:r w:rsidRPr="00127BD4">
        <w:rPr>
          <w:rFonts w:cs="Arial"/>
          <w:spacing w:val="-3"/>
          <w:sz w:val="20"/>
          <w:szCs w:val="20"/>
        </w:rPr>
        <w:t xml:space="preserve"> Molnar (2011).</w:t>
      </w:r>
    </w:p>
    <w:p w14:paraId="498E3FA6" w14:textId="77777777" w:rsidR="00DB4694" w:rsidRPr="00127BD4" w:rsidRDefault="00DB4694" w:rsidP="00DB4694">
      <w:pPr>
        <w:tabs>
          <w:tab w:val="left" w:pos="-2268"/>
        </w:tabs>
        <w:suppressAutoHyphens/>
        <w:rPr>
          <w:rFonts w:cs="Arial"/>
          <w:spacing w:val="-3"/>
        </w:rPr>
      </w:pPr>
    </w:p>
    <w:p w14:paraId="712C9CD7" w14:textId="60F02B2E" w:rsidR="00DB4694" w:rsidRPr="004068F6" w:rsidRDefault="00DB4694" w:rsidP="004E5795">
      <w:pPr>
        <w:pStyle w:val="Descripcin"/>
        <w:jc w:val="center"/>
        <w:rPr>
          <w:rFonts w:cs="Arial"/>
          <w:spacing w:val="-3"/>
        </w:rPr>
      </w:pPr>
      <w:bookmarkStart w:id="2228" w:name="_Ref135398566"/>
      <w:bookmarkStart w:id="2229" w:name="_Ref140495157"/>
      <w:r w:rsidRPr="004068F6">
        <w:t xml:space="preserve">Tabla </w:t>
      </w:r>
      <w:fldSimple w:instr=" SEQ Tabla \* ARABIC ">
        <w:r w:rsidR="009C4A81">
          <w:rPr>
            <w:noProof/>
          </w:rPr>
          <w:t>11</w:t>
        </w:r>
      </w:fldSimple>
      <w:bookmarkEnd w:id="2228"/>
      <w:r w:rsidRPr="004068F6">
        <w:rPr>
          <w:rFonts w:cs="Arial"/>
          <w:spacing w:val="-3"/>
        </w:rPr>
        <w:t>.</w:t>
      </w:r>
      <w:r w:rsidRPr="004068F6">
        <w:rPr>
          <w:rFonts w:cs="Arial"/>
          <w:b w:val="0"/>
          <w:bCs w:val="0"/>
          <w:spacing w:val="-3"/>
        </w:rPr>
        <w:t xml:space="preserve"> Nash-Sutcliffe</w:t>
      </w:r>
      <w:bookmarkEnd w:id="2229"/>
    </w:p>
    <w:tbl>
      <w:tblPr>
        <w:tblStyle w:val="Tablaconcuadrcula"/>
        <w:tblW w:w="0" w:type="auto"/>
        <w:jc w:val="center"/>
        <w:tblLook w:val="0600" w:firstRow="0" w:lastRow="0" w:firstColumn="0" w:lastColumn="0" w:noHBand="1" w:noVBand="1"/>
      </w:tblPr>
      <w:tblGrid>
        <w:gridCol w:w="2860"/>
        <w:gridCol w:w="2668"/>
      </w:tblGrid>
      <w:tr w:rsidR="00DB4694" w:rsidRPr="004068F6" w14:paraId="0036310B" w14:textId="77777777" w:rsidTr="006C3410">
        <w:trPr>
          <w:trHeight w:hRule="exact" w:val="567"/>
          <w:tblHeader/>
          <w:jc w:val="center"/>
        </w:trPr>
        <w:tc>
          <w:tcPr>
            <w:tcW w:w="2860" w:type="dxa"/>
            <w:vAlign w:val="center"/>
          </w:tcPr>
          <w:p w14:paraId="1B24B441" w14:textId="6319D178" w:rsidR="00DB4694" w:rsidRPr="00127BD4" w:rsidRDefault="00152A12" w:rsidP="002C026A">
            <w:pPr>
              <w:tabs>
                <w:tab w:val="left" w:pos="-2268"/>
              </w:tabs>
              <w:suppressAutoHyphens/>
              <w:jc w:val="center"/>
              <w:rPr>
                <w:rFonts w:cs="Arial"/>
                <w:b/>
                <w:bCs/>
                <w:spacing w:val="-3"/>
                <w:sz w:val="22"/>
                <w:szCs w:val="22"/>
              </w:rPr>
            </w:pPr>
            <w:r w:rsidRPr="00127BD4">
              <w:rPr>
                <w:rFonts w:cs="Arial"/>
                <w:b/>
                <w:bCs/>
                <w:spacing w:val="-3"/>
                <w:sz w:val="22"/>
                <w:szCs w:val="22"/>
              </w:rPr>
              <w:t>Nash-Sutcliffe</w:t>
            </w:r>
          </w:p>
        </w:tc>
        <w:tc>
          <w:tcPr>
            <w:tcW w:w="2668" w:type="dxa"/>
            <w:vAlign w:val="center"/>
          </w:tcPr>
          <w:p w14:paraId="6A23F335" w14:textId="478EA83B" w:rsidR="00DB4694" w:rsidRPr="00127BD4" w:rsidRDefault="00152A12" w:rsidP="002C026A">
            <w:pPr>
              <w:tabs>
                <w:tab w:val="left" w:pos="-2268"/>
              </w:tabs>
              <w:suppressAutoHyphens/>
              <w:jc w:val="center"/>
              <w:rPr>
                <w:rFonts w:cs="Arial"/>
                <w:b/>
                <w:bCs/>
                <w:spacing w:val="-3"/>
                <w:sz w:val="22"/>
                <w:szCs w:val="22"/>
              </w:rPr>
            </w:pPr>
            <w:r w:rsidRPr="00127BD4">
              <w:rPr>
                <w:rFonts w:cs="Arial"/>
                <w:b/>
                <w:bCs/>
                <w:spacing w:val="-3"/>
                <w:sz w:val="22"/>
                <w:szCs w:val="22"/>
              </w:rPr>
              <w:t>Categoría</w:t>
            </w:r>
          </w:p>
        </w:tc>
      </w:tr>
      <w:tr w:rsidR="00152A12" w:rsidRPr="004068F6" w14:paraId="338DABCF" w14:textId="77777777" w:rsidTr="006C3410">
        <w:trPr>
          <w:trHeight w:hRule="exact" w:val="397"/>
          <w:jc w:val="center"/>
        </w:trPr>
        <w:tc>
          <w:tcPr>
            <w:tcW w:w="2860" w:type="dxa"/>
            <w:vAlign w:val="center"/>
          </w:tcPr>
          <w:p w14:paraId="519EAD2F" w14:textId="28137438"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N-S &lt; 0,2</w:t>
            </w:r>
          </w:p>
        </w:tc>
        <w:tc>
          <w:tcPr>
            <w:tcW w:w="2668" w:type="dxa"/>
            <w:vAlign w:val="center"/>
          </w:tcPr>
          <w:p w14:paraId="4F66BDD6" w14:textId="75B8E06E"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Insuficiente</w:t>
            </w:r>
          </w:p>
        </w:tc>
      </w:tr>
      <w:tr w:rsidR="00152A12" w:rsidRPr="004068F6" w14:paraId="7143C832" w14:textId="77777777" w:rsidTr="006C3410">
        <w:trPr>
          <w:trHeight w:hRule="exact" w:val="397"/>
          <w:jc w:val="center"/>
        </w:trPr>
        <w:tc>
          <w:tcPr>
            <w:tcW w:w="2860" w:type="dxa"/>
            <w:vAlign w:val="center"/>
            <w:hideMark/>
          </w:tcPr>
          <w:p w14:paraId="3A041EFB" w14:textId="29C200A9"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0,2 ≤ N-S &lt; 0,4</w:t>
            </w:r>
          </w:p>
        </w:tc>
        <w:tc>
          <w:tcPr>
            <w:tcW w:w="2668" w:type="dxa"/>
            <w:vAlign w:val="center"/>
            <w:hideMark/>
          </w:tcPr>
          <w:p w14:paraId="4B254E90" w14:textId="77777777"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Satisfactorio</w:t>
            </w:r>
          </w:p>
        </w:tc>
      </w:tr>
      <w:tr w:rsidR="00152A12" w:rsidRPr="004068F6" w14:paraId="2FFC7350" w14:textId="77777777" w:rsidTr="006C3410">
        <w:trPr>
          <w:trHeight w:hRule="exact" w:val="397"/>
          <w:jc w:val="center"/>
        </w:trPr>
        <w:tc>
          <w:tcPr>
            <w:tcW w:w="2860" w:type="dxa"/>
            <w:vAlign w:val="center"/>
            <w:hideMark/>
          </w:tcPr>
          <w:p w14:paraId="506416DB" w14:textId="6CC8A9A0"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0,4 ≤ N-S &lt; 0,6</w:t>
            </w:r>
          </w:p>
        </w:tc>
        <w:tc>
          <w:tcPr>
            <w:tcW w:w="2668" w:type="dxa"/>
            <w:vAlign w:val="center"/>
            <w:hideMark/>
          </w:tcPr>
          <w:p w14:paraId="2ACDB098" w14:textId="77777777"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Bueno</w:t>
            </w:r>
          </w:p>
        </w:tc>
      </w:tr>
      <w:tr w:rsidR="00152A12" w:rsidRPr="004068F6" w14:paraId="3D746866" w14:textId="77777777" w:rsidTr="006C3410">
        <w:trPr>
          <w:trHeight w:hRule="exact" w:val="397"/>
          <w:jc w:val="center"/>
        </w:trPr>
        <w:tc>
          <w:tcPr>
            <w:tcW w:w="2860" w:type="dxa"/>
            <w:vAlign w:val="center"/>
            <w:hideMark/>
          </w:tcPr>
          <w:p w14:paraId="02E09178" w14:textId="248E6C67"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0,6 ≤ N-S &lt; 0,8</w:t>
            </w:r>
          </w:p>
        </w:tc>
        <w:tc>
          <w:tcPr>
            <w:tcW w:w="2668" w:type="dxa"/>
            <w:vAlign w:val="center"/>
            <w:hideMark/>
          </w:tcPr>
          <w:p w14:paraId="7C394E0E" w14:textId="77777777"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Muy bueno</w:t>
            </w:r>
          </w:p>
        </w:tc>
      </w:tr>
      <w:tr w:rsidR="00152A12" w:rsidRPr="004068F6" w14:paraId="416761D3" w14:textId="77777777" w:rsidTr="006C3410">
        <w:trPr>
          <w:trHeight w:hRule="exact" w:val="397"/>
          <w:jc w:val="center"/>
        </w:trPr>
        <w:tc>
          <w:tcPr>
            <w:tcW w:w="2860" w:type="dxa"/>
            <w:vAlign w:val="center"/>
            <w:hideMark/>
          </w:tcPr>
          <w:p w14:paraId="35D5DE75" w14:textId="5DE709A6"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N-S ≥ 0,8</w:t>
            </w:r>
          </w:p>
        </w:tc>
        <w:tc>
          <w:tcPr>
            <w:tcW w:w="2668" w:type="dxa"/>
            <w:vAlign w:val="center"/>
            <w:hideMark/>
          </w:tcPr>
          <w:p w14:paraId="68C3FA54" w14:textId="77777777" w:rsidR="00152A12" w:rsidRPr="00127BD4" w:rsidRDefault="00152A12" w:rsidP="006C3410">
            <w:pPr>
              <w:tabs>
                <w:tab w:val="left" w:pos="-2268"/>
              </w:tabs>
              <w:suppressAutoHyphens/>
              <w:jc w:val="center"/>
              <w:rPr>
                <w:rFonts w:cs="Arial"/>
                <w:spacing w:val="-3"/>
                <w:sz w:val="22"/>
                <w:szCs w:val="22"/>
              </w:rPr>
            </w:pPr>
            <w:r w:rsidRPr="00127BD4">
              <w:rPr>
                <w:rFonts w:cs="Arial"/>
                <w:spacing w:val="-3"/>
                <w:sz w:val="22"/>
                <w:szCs w:val="22"/>
              </w:rPr>
              <w:t>Excelente</w:t>
            </w:r>
          </w:p>
        </w:tc>
      </w:tr>
    </w:tbl>
    <w:p w14:paraId="2F54DBED" w14:textId="72B80786" w:rsidR="00DB4694" w:rsidRPr="00127BD4" w:rsidRDefault="00DB4694" w:rsidP="00DB4694">
      <w:pPr>
        <w:tabs>
          <w:tab w:val="left" w:pos="-2268"/>
        </w:tabs>
        <w:suppressAutoHyphens/>
        <w:jc w:val="center"/>
        <w:rPr>
          <w:rFonts w:cs="Arial"/>
          <w:spacing w:val="-3"/>
          <w:sz w:val="20"/>
          <w:szCs w:val="20"/>
        </w:rPr>
      </w:pPr>
      <w:r w:rsidRPr="00127BD4">
        <w:rPr>
          <w:rFonts w:cs="Arial"/>
          <w:b/>
          <w:bCs/>
          <w:spacing w:val="-3"/>
          <w:sz w:val="20"/>
          <w:szCs w:val="20"/>
        </w:rPr>
        <w:t>Fuente:</w:t>
      </w:r>
      <w:r w:rsidRPr="00127BD4">
        <w:rPr>
          <w:rFonts w:cs="Arial"/>
          <w:spacing w:val="-3"/>
          <w:sz w:val="20"/>
          <w:szCs w:val="20"/>
        </w:rPr>
        <w:t xml:space="preserve"> Molnar (2011).</w:t>
      </w:r>
    </w:p>
    <w:p w14:paraId="1A5A2544" w14:textId="77777777" w:rsidR="00F96509" w:rsidRPr="004068F6" w:rsidRDefault="00F96509" w:rsidP="00F97C5C">
      <w:pPr>
        <w:tabs>
          <w:tab w:val="left" w:pos="-2268"/>
        </w:tabs>
        <w:suppressAutoHyphens/>
        <w:rPr>
          <w:rFonts w:cs="Arial"/>
          <w:spacing w:val="-3"/>
        </w:rPr>
      </w:pPr>
    </w:p>
    <w:p w14:paraId="69834AB4" w14:textId="5EA0FDF1" w:rsidR="001E1F35" w:rsidRPr="004068F6" w:rsidRDefault="00436E39" w:rsidP="001E1F35">
      <w:pPr>
        <w:tabs>
          <w:tab w:val="left" w:pos="-2268"/>
        </w:tabs>
        <w:suppressAutoHyphens/>
        <w:rPr>
          <w:rFonts w:cs="Arial"/>
          <w:spacing w:val="-3"/>
        </w:rPr>
      </w:pPr>
      <w:r w:rsidRPr="004068F6">
        <w:rPr>
          <w:rFonts w:cs="Arial"/>
          <w:spacing w:val="-3"/>
        </w:rPr>
        <w:t>Para el cálculo de la oferta hídrica disponible y considerando la escala de análisis, debe calcularse el caudal ambiental aplicando la metodología del Estudio Nacional del Agua (ENA) la cual se encuentra en función del Índice de Regulación Hídrica (IRH)</w:t>
      </w:r>
      <w:r w:rsidR="00DB1D42" w:rsidRPr="004068F6">
        <w:rPr>
          <w:rFonts w:cs="Arial"/>
          <w:spacing w:val="-3"/>
        </w:rPr>
        <w:t>;</w:t>
      </w:r>
      <w:r w:rsidRPr="004068F6">
        <w:rPr>
          <w:rFonts w:cs="Arial"/>
          <w:spacing w:val="-3"/>
        </w:rPr>
        <w:t xml:space="preserve"> </w:t>
      </w:r>
      <w:r w:rsidR="00AB7479" w:rsidRPr="004068F6">
        <w:rPr>
          <w:rFonts w:cs="Arial"/>
          <w:spacing w:val="-3"/>
        </w:rPr>
        <w:t xml:space="preserve">esta </w:t>
      </w:r>
      <w:r w:rsidRPr="004068F6">
        <w:rPr>
          <w:rFonts w:cs="Arial"/>
          <w:spacing w:val="-3"/>
        </w:rPr>
        <w:t xml:space="preserve">aproximación al caudal ambiental </w:t>
      </w:r>
      <w:r w:rsidR="000440CD" w:rsidRPr="004068F6">
        <w:rPr>
          <w:rFonts w:cs="Arial"/>
          <w:spacing w:val="-3"/>
        </w:rPr>
        <w:t xml:space="preserve">puede ser </w:t>
      </w:r>
      <w:r w:rsidR="00046BD6" w:rsidRPr="004068F6">
        <w:rPr>
          <w:rFonts w:cs="Arial"/>
          <w:spacing w:val="-3"/>
        </w:rPr>
        <w:t>emplea</w:t>
      </w:r>
      <w:r w:rsidR="000440CD" w:rsidRPr="004068F6">
        <w:rPr>
          <w:rFonts w:cs="Arial"/>
          <w:spacing w:val="-3"/>
        </w:rPr>
        <w:t xml:space="preserve">da como criterio en el proceso de comparación </w:t>
      </w:r>
      <w:r w:rsidR="003F4710" w:rsidRPr="004068F6">
        <w:rPr>
          <w:rFonts w:cs="Arial"/>
          <w:spacing w:val="-3"/>
        </w:rPr>
        <w:t xml:space="preserve">y selección </w:t>
      </w:r>
      <w:r w:rsidR="000440CD" w:rsidRPr="004068F6">
        <w:rPr>
          <w:rFonts w:cs="Arial"/>
          <w:spacing w:val="-3"/>
        </w:rPr>
        <w:t xml:space="preserve">de </w:t>
      </w:r>
      <w:r w:rsidRPr="004068F6">
        <w:rPr>
          <w:rFonts w:cs="Arial"/>
          <w:spacing w:val="-3"/>
        </w:rPr>
        <w:t>alternativas planteadas. La reducción de zonas de drenaje puede afectar las dinámicas de la cuenca y por ende el caudal ambiental, provoca</w:t>
      </w:r>
      <w:r w:rsidR="00290094" w:rsidRPr="004068F6">
        <w:rPr>
          <w:rFonts w:cs="Arial"/>
          <w:spacing w:val="-3"/>
        </w:rPr>
        <w:t xml:space="preserve">ndo </w:t>
      </w:r>
      <w:r w:rsidRPr="004068F6">
        <w:rPr>
          <w:rFonts w:cs="Arial"/>
          <w:spacing w:val="-3"/>
        </w:rPr>
        <w:t xml:space="preserve">eventos hidrometereológicos amenazantes, </w:t>
      </w:r>
      <w:r w:rsidR="003A08C4" w:rsidRPr="004068F6">
        <w:rPr>
          <w:rFonts w:cs="Arial"/>
          <w:spacing w:val="-3"/>
        </w:rPr>
        <w:t>impactos</w:t>
      </w:r>
      <w:r w:rsidRPr="004068F6">
        <w:rPr>
          <w:rFonts w:cs="Arial"/>
          <w:spacing w:val="-3"/>
        </w:rPr>
        <w:t xml:space="preserve"> </w:t>
      </w:r>
      <w:r w:rsidR="003A08C4" w:rsidRPr="004068F6">
        <w:rPr>
          <w:rFonts w:cs="Arial"/>
          <w:spacing w:val="-3"/>
        </w:rPr>
        <w:t xml:space="preserve">en </w:t>
      </w:r>
      <w:r w:rsidRPr="004068F6">
        <w:rPr>
          <w:rFonts w:cs="Arial"/>
          <w:spacing w:val="-3"/>
        </w:rPr>
        <w:t>los recursos naturales</w:t>
      </w:r>
      <w:r w:rsidR="0003272F" w:rsidRPr="004068F6">
        <w:rPr>
          <w:rFonts w:cs="Arial"/>
          <w:spacing w:val="-3"/>
        </w:rPr>
        <w:t xml:space="preserve"> y</w:t>
      </w:r>
      <w:r w:rsidRPr="004068F6">
        <w:rPr>
          <w:rFonts w:cs="Arial"/>
          <w:spacing w:val="-3"/>
        </w:rPr>
        <w:t xml:space="preserve"> </w:t>
      </w:r>
      <w:r w:rsidR="003A08C4" w:rsidRPr="004068F6">
        <w:rPr>
          <w:rFonts w:cs="Arial"/>
          <w:spacing w:val="-3"/>
        </w:rPr>
        <w:t>en e</w:t>
      </w:r>
      <w:r w:rsidRPr="004068F6">
        <w:rPr>
          <w:rFonts w:cs="Arial"/>
          <w:spacing w:val="-3"/>
        </w:rPr>
        <w:t xml:space="preserve">l uso </w:t>
      </w:r>
      <w:r w:rsidR="009550CD" w:rsidRPr="004068F6">
        <w:rPr>
          <w:rFonts w:cs="Arial"/>
          <w:spacing w:val="-3"/>
        </w:rPr>
        <w:t>del agua</w:t>
      </w:r>
      <w:r w:rsidR="0003272F" w:rsidRPr="004068F6">
        <w:rPr>
          <w:rFonts w:cs="Arial"/>
          <w:spacing w:val="-3"/>
        </w:rPr>
        <w:t>, así como</w:t>
      </w:r>
      <w:r w:rsidR="00231D4A" w:rsidRPr="004068F6">
        <w:rPr>
          <w:rFonts w:cs="Arial"/>
          <w:spacing w:val="-3"/>
        </w:rPr>
        <w:t xml:space="preserve"> </w:t>
      </w:r>
      <w:r w:rsidRPr="004068F6">
        <w:rPr>
          <w:rFonts w:cs="Arial"/>
          <w:spacing w:val="-3"/>
        </w:rPr>
        <w:t xml:space="preserve">conflictos </w:t>
      </w:r>
      <w:r w:rsidR="00231D4A" w:rsidRPr="004068F6">
        <w:rPr>
          <w:rFonts w:cs="Arial"/>
          <w:spacing w:val="-3"/>
        </w:rPr>
        <w:t>socioambientales</w:t>
      </w:r>
      <w:r w:rsidRPr="004068F6">
        <w:rPr>
          <w:rFonts w:cs="Arial"/>
          <w:spacing w:val="-3"/>
        </w:rPr>
        <w:t>.</w:t>
      </w:r>
    </w:p>
    <w:p w14:paraId="131F3121" w14:textId="7A342B1B" w:rsidR="00F97C5C" w:rsidRPr="004068F6" w:rsidRDefault="00F97C5C" w:rsidP="00F97C5C">
      <w:pPr>
        <w:tabs>
          <w:tab w:val="left" w:pos="-2268"/>
        </w:tabs>
        <w:suppressAutoHyphens/>
        <w:rPr>
          <w:rFonts w:cs="Arial"/>
          <w:spacing w:val="-3"/>
        </w:rPr>
      </w:pPr>
    </w:p>
    <w:p w14:paraId="2EAC7683" w14:textId="4012F4BD" w:rsidR="00F97C5C" w:rsidRPr="004068F6" w:rsidRDefault="00FD2252" w:rsidP="00F97C5C">
      <w:pPr>
        <w:tabs>
          <w:tab w:val="left" w:pos="-2268"/>
        </w:tabs>
        <w:suppressAutoHyphens/>
        <w:rPr>
          <w:rFonts w:cs="Arial"/>
          <w:spacing w:val="-3"/>
        </w:rPr>
      </w:pPr>
      <w:r w:rsidRPr="004068F6">
        <w:rPr>
          <w:rFonts w:cs="Arial"/>
          <w:spacing w:val="-3"/>
        </w:rPr>
        <w:t xml:space="preserve">Identificar </w:t>
      </w:r>
      <w:r w:rsidR="00C424A8" w:rsidRPr="004068F6">
        <w:rPr>
          <w:rFonts w:cs="Arial"/>
          <w:spacing w:val="-3"/>
        </w:rPr>
        <w:t xml:space="preserve">y referir </w:t>
      </w:r>
      <w:r w:rsidR="00F97C5C" w:rsidRPr="004068F6">
        <w:rPr>
          <w:rFonts w:cs="Arial"/>
          <w:spacing w:val="-3"/>
        </w:rPr>
        <w:t xml:space="preserve">el índice de aridez </w:t>
      </w:r>
      <w:r w:rsidRPr="004068F6">
        <w:rPr>
          <w:rFonts w:cs="Arial"/>
          <w:spacing w:val="-3"/>
        </w:rPr>
        <w:t xml:space="preserve">señalado en el mapa del índice de aridez </w:t>
      </w:r>
      <w:r w:rsidR="00A653AA" w:rsidRPr="004068F6">
        <w:rPr>
          <w:rFonts w:cs="Arial"/>
          <w:spacing w:val="-3"/>
        </w:rPr>
        <w:t>d</w:t>
      </w:r>
      <w:r w:rsidR="00F97C5C" w:rsidRPr="004068F6">
        <w:rPr>
          <w:rFonts w:cs="Arial"/>
          <w:spacing w:val="-3"/>
        </w:rPr>
        <w:t xml:space="preserve">el </w:t>
      </w:r>
      <w:r w:rsidR="00A92356" w:rsidRPr="004068F6">
        <w:rPr>
          <w:rFonts w:cs="Arial"/>
          <w:spacing w:val="-3"/>
        </w:rPr>
        <w:t>Ideam</w:t>
      </w:r>
      <w:r w:rsidR="00F97C5C" w:rsidRPr="004068F6">
        <w:rPr>
          <w:rFonts w:cs="Arial"/>
          <w:spacing w:val="-3"/>
        </w:rPr>
        <w:t xml:space="preserve">, con el fin de medir el grado de suficiencia o insuficiencia de la precipitación para el sostenimiento de los ecosistemas de una región, </w:t>
      </w:r>
      <w:r w:rsidR="00C424A8" w:rsidRPr="004068F6">
        <w:rPr>
          <w:rFonts w:cs="Arial"/>
          <w:spacing w:val="-3"/>
        </w:rPr>
        <w:t xml:space="preserve">estableciendo </w:t>
      </w:r>
      <w:r w:rsidR="00F97C5C" w:rsidRPr="004068F6">
        <w:rPr>
          <w:rFonts w:cs="Arial"/>
          <w:spacing w:val="-3"/>
        </w:rPr>
        <w:t>las áreas deficitarias o de excedentes de agua, teniendo en cuenta la escala requerida en los términos de referencia correspondientes.</w:t>
      </w:r>
    </w:p>
    <w:p w14:paraId="294B49EC" w14:textId="77777777" w:rsidR="00F97C5C" w:rsidRPr="004068F6" w:rsidRDefault="00F97C5C" w:rsidP="00F97C5C">
      <w:pPr>
        <w:tabs>
          <w:tab w:val="left" w:pos="-2268"/>
        </w:tabs>
        <w:suppressAutoHyphens/>
        <w:rPr>
          <w:rFonts w:cs="Arial"/>
          <w:spacing w:val="-3"/>
        </w:rPr>
      </w:pPr>
    </w:p>
    <w:p w14:paraId="46F2CB1E" w14:textId="63C7D079" w:rsidR="00882C09" w:rsidRPr="004068F6" w:rsidRDefault="0041428E" w:rsidP="00882C09">
      <w:pPr>
        <w:suppressAutoHyphens/>
        <w:rPr>
          <w:spacing w:val="-3"/>
        </w:rPr>
      </w:pPr>
      <w:r w:rsidRPr="004068F6">
        <w:rPr>
          <w:spacing w:val="-3"/>
        </w:rPr>
        <w:t>Caracterizar</w:t>
      </w:r>
      <w:r w:rsidR="00F97C5C" w:rsidRPr="004068F6">
        <w:rPr>
          <w:spacing w:val="-3"/>
        </w:rPr>
        <w:t xml:space="preserve"> la calidad del agua de los cuerpos de </w:t>
      </w:r>
      <w:r w:rsidR="00882C09" w:rsidRPr="004068F6" w:rsidDel="00877E0B">
        <w:rPr>
          <w:spacing w:val="-3"/>
        </w:rPr>
        <w:t>agua que</w:t>
      </w:r>
      <w:r w:rsidR="00882C09" w:rsidRPr="004068F6">
        <w:rPr>
          <w:spacing w:val="-3"/>
        </w:rPr>
        <w:t xml:space="preserve"> sean susceptibles de afectación directa por las alternativas del proyecto (por captación, vertimiento u ocupación de cauce), señalando dentro de qué unidad hidrográfica del área de estudio se encuentra ubicado cada uno de ellos. Esta caracterización </w:t>
      </w:r>
      <w:r w:rsidR="00837A3F" w:rsidRPr="004068F6">
        <w:rPr>
          <w:spacing w:val="-3"/>
        </w:rPr>
        <w:t>puede</w:t>
      </w:r>
      <w:r w:rsidR="00882C09" w:rsidRPr="004068F6">
        <w:rPr>
          <w:spacing w:val="-3"/>
        </w:rPr>
        <w:t xml:space="preserve"> realizarse con base en información secundaria pertinente, con una antigüedad no mayor a cinco años, proveniente de fuentes oficiales o estudios técnicamente validados. En caso de no contar con dicha información, </w:t>
      </w:r>
      <w:r w:rsidR="00837A3F" w:rsidRPr="004068F6">
        <w:rPr>
          <w:spacing w:val="-3"/>
        </w:rPr>
        <w:t xml:space="preserve">es posible </w:t>
      </w:r>
      <w:r w:rsidR="00882C09" w:rsidRPr="004068F6">
        <w:rPr>
          <w:spacing w:val="-3"/>
        </w:rPr>
        <w:t>incluir una caracterización de mediciones básicas in situ (</w:t>
      </w:r>
      <w:r w:rsidR="00640119" w:rsidRPr="004068F6">
        <w:rPr>
          <w:spacing w:val="-3"/>
        </w:rPr>
        <w:t xml:space="preserve">de variables </w:t>
      </w:r>
      <w:r w:rsidR="00882C09" w:rsidRPr="004068F6">
        <w:rPr>
          <w:spacing w:val="-3"/>
        </w:rPr>
        <w:t>como conductividad, temperatura, oxígeno disuelto y pH)</w:t>
      </w:r>
      <w:r w:rsidR="00D62590" w:rsidRPr="004068F6">
        <w:rPr>
          <w:spacing w:val="-3"/>
        </w:rPr>
        <w:t xml:space="preserve"> complementada con observaciones de campo (p. ej. registros fotográficos o filmaciones)</w:t>
      </w:r>
      <w:r w:rsidR="00882C09" w:rsidRPr="004068F6">
        <w:rPr>
          <w:spacing w:val="-3"/>
        </w:rPr>
        <w:t>, con el fin de identificar condiciones generales de calidad, manejo de residuos y posibles usos del recurso.</w:t>
      </w:r>
    </w:p>
    <w:p w14:paraId="44D9D696" w14:textId="382C749F" w:rsidR="00BD446B" w:rsidRPr="004068F6" w:rsidRDefault="00BD446B" w:rsidP="00F9286F">
      <w:pPr>
        <w:suppressAutoHyphens/>
        <w:rPr>
          <w:rFonts w:cs="Arial"/>
          <w:spacing w:val="-3"/>
        </w:rPr>
      </w:pPr>
    </w:p>
    <w:p w14:paraId="31BC3E9A" w14:textId="7BED2CE0" w:rsidR="00F97C5C" w:rsidRPr="004068F6" w:rsidRDefault="00F97C5C" w:rsidP="009420F5">
      <w:pPr>
        <w:pStyle w:val="Ttulo4"/>
        <w:tabs>
          <w:tab w:val="clear" w:pos="1844"/>
          <w:tab w:val="num" w:pos="1134"/>
        </w:tabs>
        <w:ind w:left="0"/>
        <w:rPr>
          <w:lang w:val="es-CO"/>
        </w:rPr>
      </w:pPr>
      <w:r w:rsidRPr="004068F6">
        <w:rPr>
          <w:lang w:val="es-CO"/>
        </w:rPr>
        <w:t>Clima</w:t>
      </w:r>
    </w:p>
    <w:p w14:paraId="1DBA7732" w14:textId="77777777" w:rsidR="00F97C5C" w:rsidRPr="004068F6" w:rsidRDefault="00F97C5C" w:rsidP="00C86DA5"/>
    <w:p w14:paraId="157B81CF" w14:textId="5454F18E" w:rsidR="00F97C5C" w:rsidRPr="004068F6" w:rsidRDefault="00B10499">
      <w:pPr>
        <w:tabs>
          <w:tab w:val="left" w:pos="-2268"/>
        </w:tabs>
        <w:suppressAutoHyphens/>
        <w:rPr>
          <w:spacing w:val="-3"/>
        </w:rPr>
      </w:pPr>
      <w:r w:rsidRPr="004068F6">
        <w:rPr>
          <w:spacing w:val="-3"/>
        </w:rPr>
        <w:t>A partir de información de estaciones provenientes del Ideam o de modelos globales o de reanálisis global descrito</w:t>
      </w:r>
      <w:r w:rsidR="00E141D2" w:rsidRPr="004068F6">
        <w:rPr>
          <w:spacing w:val="-3"/>
        </w:rPr>
        <w:t>s</w:t>
      </w:r>
      <w:r w:rsidRPr="004068F6">
        <w:rPr>
          <w:spacing w:val="-3"/>
        </w:rPr>
        <w:t xml:space="preserve"> en el numeral </w:t>
      </w:r>
      <w:r w:rsidRPr="004068F6">
        <w:rPr>
          <w:spacing w:val="-3"/>
        </w:rPr>
        <w:fldChar w:fldCharType="begin"/>
      </w:r>
      <w:r w:rsidRPr="004068F6">
        <w:rPr>
          <w:spacing w:val="-3"/>
        </w:rPr>
        <w:instrText xml:space="preserve"> REF _Ref213833211 \r \h </w:instrText>
      </w:r>
      <w:r w:rsidRPr="004068F6">
        <w:rPr>
          <w:spacing w:val="-3"/>
        </w:rPr>
      </w:r>
      <w:r w:rsidRPr="004068F6">
        <w:rPr>
          <w:spacing w:val="-3"/>
        </w:rPr>
        <w:fldChar w:fldCharType="separate"/>
      </w:r>
      <w:r w:rsidR="009C4A81">
        <w:rPr>
          <w:spacing w:val="-3"/>
        </w:rPr>
        <w:t>4.1.3</w:t>
      </w:r>
      <w:r w:rsidRPr="004068F6">
        <w:rPr>
          <w:spacing w:val="-3"/>
        </w:rPr>
        <w:fldChar w:fldCharType="end"/>
      </w:r>
      <w:r w:rsidR="00A101E4" w:rsidRPr="004068F6">
        <w:rPr>
          <w:spacing w:val="-3"/>
        </w:rPr>
        <w:t>,</w:t>
      </w:r>
      <w:r w:rsidRPr="004068F6">
        <w:rPr>
          <w:spacing w:val="-3"/>
        </w:rPr>
        <w:t xml:space="preserve"> </w:t>
      </w:r>
      <w:r w:rsidR="00A101E4" w:rsidRPr="004068F6">
        <w:rPr>
          <w:spacing w:val="-3"/>
        </w:rPr>
        <w:t>p</w:t>
      </w:r>
      <w:r w:rsidR="00F97C5C" w:rsidRPr="004068F6">
        <w:rPr>
          <w:spacing w:val="-3"/>
        </w:rPr>
        <w:t>resentar el análisis temporal y espacial de las variables climáticas referidas a: precipitación media anual y mensual; temperatura media, máxima y mínima mensual y anual y otras estimadas a partir de estas variables como la evapotranspiración potencial y real anual y mensual. Mediante un balance hídrico de largo plazo, comparar diferentes metodologías para la estimación de la evapotranspiración potencial y real que sean aplicables a las características climáticas regionales en función de la información disponible para su validación, como caudales medios mensuales multianuales.</w:t>
      </w:r>
    </w:p>
    <w:p w14:paraId="4D58FC0C" w14:textId="77777777" w:rsidR="00F97C5C" w:rsidRDefault="00F97C5C" w:rsidP="00C86DA5"/>
    <w:p w14:paraId="4B13B0FE" w14:textId="77777777" w:rsidR="000837B3" w:rsidRDefault="000837B3" w:rsidP="00C86DA5"/>
    <w:p w14:paraId="68CCA3B9" w14:textId="77777777" w:rsidR="000837B3" w:rsidRPr="004068F6" w:rsidRDefault="000837B3" w:rsidP="00C86DA5"/>
    <w:p w14:paraId="69CA3664" w14:textId="0833F6CC" w:rsidR="00F97C5C" w:rsidRPr="004068F6" w:rsidRDefault="00F97C5C" w:rsidP="009420F5">
      <w:pPr>
        <w:pStyle w:val="Ttulo4"/>
        <w:tabs>
          <w:tab w:val="clear" w:pos="1844"/>
          <w:tab w:val="num" w:pos="1134"/>
        </w:tabs>
        <w:ind w:left="0"/>
        <w:rPr>
          <w:lang w:val="es-CO"/>
        </w:rPr>
      </w:pPr>
      <w:r w:rsidRPr="004068F6">
        <w:rPr>
          <w:lang w:val="es-CO"/>
        </w:rPr>
        <w:lastRenderedPageBreak/>
        <w:t>Usos del agua</w:t>
      </w:r>
    </w:p>
    <w:p w14:paraId="0D9598F6" w14:textId="77777777" w:rsidR="00F97C5C" w:rsidRPr="004068F6" w:rsidRDefault="00F97C5C">
      <w:pPr>
        <w:numPr>
          <w:ilvl w:val="12"/>
          <w:numId w:val="0"/>
        </w:numPr>
        <w:tabs>
          <w:tab w:val="left" w:pos="-2268"/>
        </w:tabs>
        <w:suppressAutoHyphens/>
        <w:rPr>
          <w:spacing w:val="-3"/>
        </w:rPr>
      </w:pPr>
    </w:p>
    <w:p w14:paraId="3F19C7CB" w14:textId="026F801D" w:rsidR="00F97C5C" w:rsidRPr="004068F6" w:rsidRDefault="00F97C5C" w:rsidP="439A4240">
      <w:pPr>
        <w:suppressAutoHyphens/>
      </w:pPr>
      <w:bookmarkStart w:id="2230" w:name="_Toc412803155"/>
      <w:r w:rsidRPr="004068F6">
        <w:rPr>
          <w:spacing w:val="-3"/>
        </w:rPr>
        <w:t xml:space="preserve">Presentar el inventario de fuentes superficiales y subterráneas abastecedoras, identificando los usos (de acuerdo con los establecidos en el artículo </w:t>
      </w:r>
      <w:r w:rsidR="00243999" w:rsidRPr="004068F6">
        <w:rPr>
          <w:spacing w:val="-3"/>
        </w:rPr>
        <w:t>2.2.3.3.2.1.</w:t>
      </w:r>
      <w:r w:rsidRPr="004068F6">
        <w:rPr>
          <w:spacing w:val="-3"/>
        </w:rPr>
        <w:t xml:space="preserve"> del Decreto 1076 de 2015</w:t>
      </w:r>
      <w:r w:rsidRPr="004068F6">
        <w:rPr>
          <w:rFonts w:cs="Arial"/>
          <w:spacing w:val="-3"/>
        </w:rPr>
        <w:t xml:space="preserve"> o la norma que la modifique o sustituya</w:t>
      </w:r>
      <w:r w:rsidRPr="004068F6">
        <w:rPr>
          <w:spacing w:val="-3"/>
        </w:rPr>
        <w:t>) y usuarios actuales (y potenciales, si existe información para ello</w:t>
      </w:r>
      <w:r w:rsidRPr="004068F6">
        <w:rPr>
          <w:rFonts w:cs="Arial"/>
          <w:spacing w:val="-3"/>
        </w:rPr>
        <w:t xml:space="preserve">), haciendo uso </w:t>
      </w:r>
      <w:r w:rsidR="00873B46" w:rsidRPr="004068F6">
        <w:rPr>
          <w:rFonts w:cs="Arial"/>
          <w:spacing w:val="-3"/>
        </w:rPr>
        <w:t>de la información secundaria que la autoridad ambiental competente y demás fuentes oficiales dispongan</w:t>
      </w:r>
      <w:r w:rsidR="00733830" w:rsidRPr="004068F6">
        <w:rPr>
          <w:rFonts w:cs="Arial"/>
          <w:spacing w:val="-3"/>
        </w:rPr>
        <w:t>,</w:t>
      </w:r>
      <w:r w:rsidR="00873B46" w:rsidRPr="004068F6">
        <w:rPr>
          <w:rFonts w:cs="Arial"/>
          <w:spacing w:val="-3"/>
        </w:rPr>
        <w:t xml:space="preserve"> </w:t>
      </w:r>
      <w:r w:rsidRPr="004068F6">
        <w:rPr>
          <w:rFonts w:cs="Arial"/>
          <w:spacing w:val="-3"/>
        </w:rPr>
        <w:t>además</w:t>
      </w:r>
      <w:r w:rsidRPr="004068F6">
        <w:rPr>
          <w:spacing w:val="-3"/>
        </w:rPr>
        <w:t xml:space="preserve"> de los </w:t>
      </w:r>
      <w:r w:rsidRPr="004068F6">
        <w:rPr>
          <w:rFonts w:cs="Arial"/>
          <w:spacing w:val="-3"/>
        </w:rPr>
        <w:t xml:space="preserve">instrumentos de ordenación hídrica </w:t>
      </w:r>
      <w:r w:rsidR="00B059A8" w:rsidRPr="004068F6">
        <w:rPr>
          <w:rFonts w:cs="Arial"/>
          <w:spacing w:val="-3"/>
        </w:rPr>
        <w:t>existentes</w:t>
      </w:r>
      <w:r w:rsidRPr="004068F6">
        <w:rPr>
          <w:rFonts w:cs="Arial"/>
          <w:spacing w:val="-3"/>
        </w:rPr>
        <w:t xml:space="preserve">. Lo anterior para los </w:t>
      </w:r>
      <w:r w:rsidRPr="004068F6">
        <w:rPr>
          <w:spacing w:val="-3"/>
        </w:rPr>
        <w:t xml:space="preserve">cuerpos de agua </w:t>
      </w:r>
      <w:r w:rsidRPr="004068F6">
        <w:rPr>
          <w:rFonts w:cs="Arial"/>
          <w:spacing w:val="-3"/>
        </w:rPr>
        <w:t xml:space="preserve">susceptibles </w:t>
      </w:r>
      <w:r w:rsidRPr="004068F6">
        <w:rPr>
          <w:spacing w:val="-3"/>
        </w:rPr>
        <w:t xml:space="preserve">de intervención por el uso y aprovechamiento del recurso y que estén expuestos a los posibles impactos generados por el desarrollo </w:t>
      </w:r>
      <w:r w:rsidRPr="004068F6">
        <w:rPr>
          <w:rFonts w:cs="Arial"/>
          <w:spacing w:val="-3"/>
        </w:rPr>
        <w:t xml:space="preserve">de las alternativas propuestas. Este análisis </w:t>
      </w:r>
      <w:r w:rsidR="00103345" w:rsidRPr="004068F6">
        <w:rPr>
          <w:rFonts w:cs="Arial"/>
          <w:spacing w:val="-3"/>
        </w:rPr>
        <w:t>debe</w:t>
      </w:r>
      <w:r w:rsidRPr="004068F6">
        <w:rPr>
          <w:rFonts w:cs="Arial"/>
          <w:spacing w:val="-3"/>
        </w:rPr>
        <w:t xml:space="preserve"> considerar el levantamiento de dicha información para ambas márgenes del cauce analizado</w:t>
      </w:r>
      <w:r w:rsidRPr="004068F6">
        <w:rPr>
          <w:spacing w:val="-3"/>
        </w:rPr>
        <w:t>.</w:t>
      </w:r>
    </w:p>
    <w:p w14:paraId="5B1299F3" w14:textId="77777777" w:rsidR="00F97C5C" w:rsidRPr="004068F6" w:rsidRDefault="00F97C5C">
      <w:pPr>
        <w:numPr>
          <w:ilvl w:val="12"/>
          <w:numId w:val="0"/>
        </w:numPr>
        <w:tabs>
          <w:tab w:val="left" w:pos="-2268"/>
        </w:tabs>
        <w:suppressAutoHyphens/>
        <w:rPr>
          <w:spacing w:val="-3"/>
        </w:rPr>
      </w:pPr>
    </w:p>
    <w:p w14:paraId="73A8EBFF" w14:textId="472EED6B" w:rsidR="00F97C5C" w:rsidRPr="004068F6" w:rsidRDefault="00F97C5C">
      <w:pPr>
        <w:numPr>
          <w:ilvl w:val="12"/>
          <w:numId w:val="0"/>
        </w:numPr>
        <w:tabs>
          <w:tab w:val="left" w:pos="-2268"/>
        </w:tabs>
        <w:suppressAutoHyphens/>
        <w:rPr>
          <w:spacing w:val="-3"/>
        </w:rPr>
      </w:pPr>
      <w:r w:rsidRPr="004068F6">
        <w:rPr>
          <w:spacing w:val="-3"/>
        </w:rPr>
        <w:t xml:space="preserve">Se debe involucrar en el análisis lo señalado en el numeral </w:t>
      </w:r>
      <w:r w:rsidRPr="004068F6">
        <w:rPr>
          <w:rFonts w:cs="Arial"/>
          <w:spacing w:val="-3"/>
        </w:rPr>
        <w:fldChar w:fldCharType="begin"/>
      </w:r>
      <w:r w:rsidRPr="004068F6">
        <w:rPr>
          <w:rFonts w:cs="Arial"/>
          <w:spacing w:val="-3"/>
        </w:rPr>
        <w:instrText xml:space="preserve"> REF _Ref495933032 \r \h  \* MERGEFORMAT </w:instrText>
      </w:r>
      <w:r w:rsidRPr="004068F6">
        <w:rPr>
          <w:rFonts w:cs="Arial"/>
          <w:spacing w:val="-3"/>
        </w:rPr>
      </w:r>
      <w:r w:rsidRPr="004068F6">
        <w:rPr>
          <w:rFonts w:cs="Arial"/>
          <w:spacing w:val="-3"/>
        </w:rPr>
        <w:fldChar w:fldCharType="separate"/>
      </w:r>
      <w:r w:rsidR="009C4A81">
        <w:rPr>
          <w:rFonts w:cs="Arial"/>
          <w:spacing w:val="-3"/>
        </w:rPr>
        <w:t>4.1.3</w:t>
      </w:r>
      <w:r w:rsidRPr="004068F6">
        <w:rPr>
          <w:rFonts w:cs="Arial"/>
          <w:spacing w:val="-3"/>
        </w:rPr>
        <w:fldChar w:fldCharType="end"/>
      </w:r>
      <w:r w:rsidRPr="004068F6">
        <w:rPr>
          <w:spacing w:val="-3"/>
        </w:rPr>
        <w:t xml:space="preserve"> en relación con la oferta hídrica disponible y la calidad del agua, así como la descripción general de las características de las obras de ocupación de cauce </w:t>
      </w:r>
      <w:r w:rsidR="00341307" w:rsidRPr="004068F6">
        <w:rPr>
          <w:spacing w:val="-3"/>
        </w:rPr>
        <w:t xml:space="preserve">presentes en los cuerpos de agua susceptibles de intervención en el área de estudio </w:t>
      </w:r>
      <w:r w:rsidRPr="004068F6">
        <w:rPr>
          <w:spacing w:val="-3"/>
        </w:rPr>
        <w:t xml:space="preserve">(acompañada de un registro fotográfico </w:t>
      </w:r>
      <w:r w:rsidR="00341307" w:rsidRPr="004068F6">
        <w:rPr>
          <w:spacing w:val="-3"/>
        </w:rPr>
        <w:t xml:space="preserve">o de imágenes satelitales, diseños, información cartográfica, entre otra, </w:t>
      </w:r>
      <w:r w:rsidRPr="004068F6">
        <w:rPr>
          <w:spacing w:val="-3"/>
        </w:rPr>
        <w:t xml:space="preserve">que permita </w:t>
      </w:r>
      <w:r w:rsidR="00CB7CE1" w:rsidRPr="004068F6">
        <w:rPr>
          <w:spacing w:val="-3"/>
        </w:rPr>
        <w:t xml:space="preserve">determinar </w:t>
      </w:r>
      <w:r w:rsidRPr="004068F6">
        <w:rPr>
          <w:spacing w:val="-3"/>
        </w:rPr>
        <w:t xml:space="preserve">las dimensiones, condiciones y detalles de las obras); lo anterior, para </w:t>
      </w:r>
      <w:r w:rsidR="00CB7CE1" w:rsidRPr="004068F6">
        <w:rPr>
          <w:spacing w:val="-3"/>
        </w:rPr>
        <w:t xml:space="preserve">establecer cuáles son los </w:t>
      </w:r>
      <w:r w:rsidRPr="004068F6">
        <w:rPr>
          <w:spacing w:val="-3"/>
        </w:rPr>
        <w:t>conflictos actuales y potenciales.</w:t>
      </w:r>
    </w:p>
    <w:p w14:paraId="5405D7DC" w14:textId="77777777" w:rsidR="00341307" w:rsidRPr="004068F6" w:rsidRDefault="00341307">
      <w:pPr>
        <w:numPr>
          <w:ilvl w:val="12"/>
          <w:numId w:val="0"/>
        </w:numPr>
        <w:tabs>
          <w:tab w:val="left" w:pos="-2268"/>
        </w:tabs>
        <w:suppressAutoHyphens/>
        <w:rPr>
          <w:spacing w:val="-3"/>
        </w:rPr>
      </w:pPr>
    </w:p>
    <w:p w14:paraId="6E646806" w14:textId="2D404C12" w:rsidR="00F97C5C" w:rsidRPr="00B81EC8" w:rsidRDefault="00F97C5C" w:rsidP="000A1E20">
      <w:pPr>
        <w:pStyle w:val="Ttulo3"/>
      </w:pPr>
      <w:bookmarkStart w:id="2231" w:name="_Toc515793349"/>
      <w:bookmarkStart w:id="2232" w:name="_Toc515794254"/>
      <w:bookmarkStart w:id="2233" w:name="_Toc515793350"/>
      <w:bookmarkStart w:id="2234" w:name="_Toc515794255"/>
      <w:bookmarkStart w:id="2235" w:name="_Toc230879586"/>
      <w:bookmarkEnd w:id="2231"/>
      <w:bookmarkEnd w:id="2232"/>
      <w:bookmarkEnd w:id="2233"/>
      <w:bookmarkEnd w:id="2234"/>
      <w:r w:rsidRPr="00B81EC8">
        <w:t>Oceanogr</w:t>
      </w:r>
      <w:r w:rsidR="008E0A8B" w:rsidRPr="00B81EC8">
        <w:t>áfico</w:t>
      </w:r>
      <w:bookmarkEnd w:id="2235"/>
    </w:p>
    <w:p w14:paraId="1CF79C07" w14:textId="77777777" w:rsidR="00F97C5C" w:rsidRPr="004068F6" w:rsidRDefault="00F97C5C">
      <w:pPr>
        <w:numPr>
          <w:ilvl w:val="12"/>
          <w:numId w:val="0"/>
        </w:numPr>
        <w:tabs>
          <w:tab w:val="left" w:pos="-2268"/>
        </w:tabs>
        <w:suppressAutoHyphens/>
        <w:rPr>
          <w:spacing w:val="-3"/>
        </w:rPr>
      </w:pPr>
    </w:p>
    <w:p w14:paraId="1D45132C" w14:textId="19864E57" w:rsidR="00EA3237" w:rsidRPr="004068F6" w:rsidRDefault="00EA3237" w:rsidP="00EA3237">
      <w:pPr>
        <w:numPr>
          <w:ilvl w:val="12"/>
          <w:numId w:val="0"/>
        </w:numPr>
        <w:tabs>
          <w:tab w:val="left" w:pos="-2268"/>
        </w:tabs>
        <w:suppressAutoHyphens/>
        <w:rPr>
          <w:rFonts w:cs="Arial"/>
          <w:spacing w:val="-3"/>
        </w:rPr>
      </w:pPr>
      <w:r w:rsidRPr="004068F6">
        <w:rPr>
          <w:rFonts w:cs="Arial"/>
          <w:spacing w:val="-3"/>
        </w:rPr>
        <w:t>Caracterizar para el ámbito oceanográfico como mínimo las siguientes variables, a partir de información secundaria: dirección y velocidad de vientos, corrientes, mareas, alturas, periodos y direcciones de las olas y, otros parámetros o variables asociadas, en las áreas en las que se plantean las alternativas del proyecto, obra o actividad.</w:t>
      </w:r>
    </w:p>
    <w:p w14:paraId="6BCB3A58" w14:textId="7EACFB4D" w:rsidR="00F97C5C" w:rsidRPr="004068F6" w:rsidRDefault="00F97C5C">
      <w:pPr>
        <w:numPr>
          <w:ilvl w:val="12"/>
          <w:numId w:val="0"/>
        </w:numPr>
        <w:tabs>
          <w:tab w:val="left" w:pos="-2268"/>
        </w:tabs>
        <w:suppressAutoHyphens/>
        <w:rPr>
          <w:spacing w:val="-3"/>
        </w:rPr>
      </w:pPr>
    </w:p>
    <w:p w14:paraId="6E8A459E" w14:textId="7C66137E" w:rsidR="00F97C5C" w:rsidRPr="00B81EC8" w:rsidRDefault="00F97C5C" w:rsidP="000A1E20">
      <w:pPr>
        <w:pStyle w:val="Ttulo3"/>
      </w:pPr>
      <w:bookmarkStart w:id="2236" w:name="_Toc437935983"/>
      <w:bookmarkStart w:id="2237" w:name="_Toc42552219"/>
      <w:bookmarkStart w:id="2238" w:name="_Toc230879587"/>
      <w:r w:rsidRPr="00B81EC8">
        <w:t>Hidrogeológico</w:t>
      </w:r>
      <w:bookmarkEnd w:id="2230"/>
      <w:bookmarkEnd w:id="2236"/>
      <w:bookmarkEnd w:id="2237"/>
      <w:bookmarkEnd w:id="2238"/>
    </w:p>
    <w:p w14:paraId="499D9DC8" w14:textId="77777777" w:rsidR="00F97C5C" w:rsidRPr="004068F6" w:rsidRDefault="00F97C5C">
      <w:pPr>
        <w:numPr>
          <w:ilvl w:val="12"/>
          <w:numId w:val="0"/>
        </w:numPr>
        <w:tabs>
          <w:tab w:val="left" w:pos="-2268"/>
        </w:tabs>
        <w:suppressAutoHyphens/>
        <w:rPr>
          <w:spacing w:val="-3"/>
        </w:rPr>
      </w:pPr>
    </w:p>
    <w:p w14:paraId="3EBAE456" w14:textId="0DF16AE5" w:rsidR="00F97C5C" w:rsidRPr="004068F6" w:rsidRDefault="00E76958">
      <w:pPr>
        <w:numPr>
          <w:ilvl w:val="12"/>
          <w:numId w:val="0"/>
        </w:numPr>
        <w:tabs>
          <w:tab w:val="left" w:pos="-2268"/>
        </w:tabs>
        <w:suppressAutoHyphens/>
        <w:rPr>
          <w:spacing w:val="-3"/>
        </w:rPr>
      </w:pPr>
      <w:r w:rsidRPr="004068F6">
        <w:rPr>
          <w:spacing w:val="-3"/>
        </w:rPr>
        <w:t xml:space="preserve">Determinar las </w:t>
      </w:r>
      <w:r w:rsidR="00F97C5C" w:rsidRPr="004068F6">
        <w:rPr>
          <w:spacing w:val="-3"/>
        </w:rPr>
        <w:t xml:space="preserve">unidades hidrogeológicas </w:t>
      </w:r>
      <w:r w:rsidRPr="004068F6">
        <w:rPr>
          <w:spacing w:val="-3"/>
        </w:rPr>
        <w:t xml:space="preserve">que se encuentran en el área por intervenir </w:t>
      </w:r>
      <w:r w:rsidR="00F97C5C" w:rsidRPr="004068F6">
        <w:rPr>
          <w:spacing w:val="-3"/>
        </w:rPr>
        <w:t xml:space="preserve">del proyecto que estén siendo </w:t>
      </w:r>
      <w:r w:rsidR="00F97C5C" w:rsidRPr="004068F6">
        <w:rPr>
          <w:rFonts w:cs="Arial"/>
          <w:spacing w:val="-3"/>
        </w:rPr>
        <w:t>aprovechadas</w:t>
      </w:r>
      <w:r w:rsidR="00F97C5C" w:rsidRPr="004068F6">
        <w:rPr>
          <w:spacing w:val="-3"/>
        </w:rPr>
        <w:t xml:space="preserve"> (o </w:t>
      </w:r>
      <w:r w:rsidR="00F97C5C" w:rsidRPr="004068F6">
        <w:rPr>
          <w:rFonts w:cs="Arial"/>
          <w:spacing w:val="-3"/>
        </w:rPr>
        <w:t xml:space="preserve">puedan ser utilizadas para diferentes usos) o </w:t>
      </w:r>
      <w:r w:rsidR="00F97C5C" w:rsidRPr="004068F6">
        <w:rPr>
          <w:spacing w:val="-3"/>
        </w:rPr>
        <w:t>que el proyecto</w:t>
      </w:r>
      <w:r w:rsidR="008A674A" w:rsidRPr="004068F6">
        <w:rPr>
          <w:spacing w:val="-3"/>
        </w:rPr>
        <w:t>, obra o actividad</w:t>
      </w:r>
      <w:r w:rsidR="00F97C5C" w:rsidRPr="004068F6">
        <w:rPr>
          <w:spacing w:val="-3"/>
        </w:rPr>
        <w:t xml:space="preserve"> prevea utilizar</w:t>
      </w:r>
      <w:r w:rsidR="005479A2" w:rsidRPr="004068F6">
        <w:rPr>
          <w:spacing w:val="-3"/>
        </w:rPr>
        <w:t>las</w:t>
      </w:r>
      <w:r w:rsidRPr="004068F6">
        <w:rPr>
          <w:spacing w:val="-3"/>
        </w:rPr>
        <w:t xml:space="preserve"> directa o indirectamente;</w:t>
      </w:r>
      <w:r w:rsidR="00F97C5C" w:rsidRPr="004068F6">
        <w:rPr>
          <w:spacing w:val="-3"/>
        </w:rPr>
        <w:t xml:space="preserve"> </w:t>
      </w:r>
      <w:r w:rsidRPr="004068F6">
        <w:rPr>
          <w:spacing w:val="-3"/>
        </w:rPr>
        <w:t xml:space="preserve">caracterizar dichas unidades </w:t>
      </w:r>
      <w:r w:rsidR="00F97C5C" w:rsidRPr="004068F6">
        <w:rPr>
          <w:spacing w:val="-3"/>
        </w:rPr>
        <w:t xml:space="preserve">a partir del análisis de la información existente (geológica, geofísica, hidrológica, hidrogeoquímica, hidráulica e hidrogeológica), </w:t>
      </w:r>
      <w:r w:rsidR="00F97C5C" w:rsidRPr="004068F6">
        <w:rPr>
          <w:rFonts w:cs="Arial"/>
          <w:spacing w:val="-3"/>
        </w:rPr>
        <w:t>incluyendo</w:t>
      </w:r>
      <w:r w:rsidR="00F97C5C" w:rsidRPr="004068F6">
        <w:rPr>
          <w:spacing w:val="-3"/>
        </w:rPr>
        <w:t xml:space="preserve"> la </w:t>
      </w:r>
      <w:r w:rsidR="00F97C5C" w:rsidRPr="004068F6">
        <w:rPr>
          <w:rFonts w:cs="Arial"/>
          <w:spacing w:val="-3"/>
        </w:rPr>
        <w:t>información disponible</w:t>
      </w:r>
      <w:r w:rsidR="00F97C5C" w:rsidRPr="004068F6">
        <w:rPr>
          <w:spacing w:val="-3"/>
        </w:rPr>
        <w:t xml:space="preserve"> en</w:t>
      </w:r>
      <w:r w:rsidR="00F97C5C" w:rsidRPr="004068F6">
        <w:rPr>
          <w:rFonts w:cs="Arial"/>
          <w:spacing w:val="-3"/>
        </w:rPr>
        <w:t xml:space="preserve"> los</w:t>
      </w:r>
      <w:r w:rsidR="00F97C5C" w:rsidRPr="004068F6">
        <w:rPr>
          <w:spacing w:val="-3"/>
        </w:rPr>
        <w:t xml:space="preserve"> instrumentos de planificación ambiental como el </w:t>
      </w:r>
      <w:r w:rsidR="003C70CD" w:rsidRPr="004068F6">
        <w:rPr>
          <w:spacing w:val="-3"/>
        </w:rPr>
        <w:t>Pomca</w:t>
      </w:r>
      <w:r w:rsidR="00F97C5C" w:rsidRPr="004068F6">
        <w:rPr>
          <w:spacing w:val="-3"/>
        </w:rPr>
        <w:t xml:space="preserve"> y el Plan de Manejo Ambiental de Acuíferos (PMAA) o de planificación territorial (POT, PBOT o EOT), indicando</w:t>
      </w:r>
      <w:r w:rsidR="00F97C5C" w:rsidRPr="004068F6">
        <w:rPr>
          <w:rFonts w:cs="Arial"/>
          <w:spacing w:val="-3"/>
        </w:rPr>
        <w:t>, en la medida que la información esté disponible,</w:t>
      </w:r>
      <w:r w:rsidR="00F97C5C" w:rsidRPr="004068F6">
        <w:rPr>
          <w:spacing w:val="-3"/>
        </w:rPr>
        <w:t xml:space="preserve"> lo siguiente:</w:t>
      </w:r>
    </w:p>
    <w:p w14:paraId="22D6998D" w14:textId="77777777" w:rsidR="00F97C5C" w:rsidRPr="004068F6" w:rsidRDefault="00F97C5C">
      <w:pPr>
        <w:numPr>
          <w:ilvl w:val="12"/>
          <w:numId w:val="0"/>
        </w:numPr>
        <w:tabs>
          <w:tab w:val="left" w:pos="-2268"/>
        </w:tabs>
        <w:suppressAutoHyphens/>
        <w:rPr>
          <w:spacing w:val="-3"/>
        </w:rPr>
      </w:pPr>
    </w:p>
    <w:p w14:paraId="1DCD75B0" w14:textId="7BF084E1" w:rsidR="00F97C5C" w:rsidRPr="004068F6" w:rsidRDefault="00F97C5C" w:rsidP="00F8093E">
      <w:pPr>
        <w:pStyle w:val="Prrafodelista"/>
        <w:numPr>
          <w:ilvl w:val="0"/>
          <w:numId w:val="65"/>
        </w:numPr>
        <w:tabs>
          <w:tab w:val="left" w:pos="-2268"/>
        </w:tabs>
        <w:suppressAutoHyphens/>
        <w:ind w:left="567" w:hanging="567"/>
        <w:rPr>
          <w:rFonts w:cs="Arial"/>
          <w:spacing w:val="-3"/>
          <w:lang w:val="es-CO"/>
        </w:rPr>
      </w:pPr>
      <w:r w:rsidRPr="004068F6">
        <w:rPr>
          <w:rFonts w:cs="Arial"/>
          <w:spacing w:val="-3"/>
          <w:lang w:val="es-CO"/>
        </w:rPr>
        <w:t>Nombre de la</w:t>
      </w:r>
      <w:r w:rsidR="00F8093E" w:rsidRPr="004068F6">
        <w:rPr>
          <w:rFonts w:cs="Arial"/>
          <w:spacing w:val="-3"/>
          <w:lang w:val="es-CO"/>
        </w:rPr>
        <w:t>s</w:t>
      </w:r>
      <w:r w:rsidRPr="004068F6">
        <w:rPr>
          <w:rFonts w:cs="Arial"/>
          <w:spacing w:val="-3"/>
          <w:lang w:val="es-CO"/>
        </w:rPr>
        <w:t xml:space="preserve"> unidades hidrogeológicas identificadas</w:t>
      </w:r>
      <w:r w:rsidR="00F8093E" w:rsidRPr="004068F6">
        <w:rPr>
          <w:rFonts w:cs="Arial"/>
          <w:spacing w:val="-3"/>
          <w:lang w:val="es-CO"/>
        </w:rPr>
        <w:t>.</w:t>
      </w:r>
    </w:p>
    <w:p w14:paraId="713F372B" w14:textId="77777777" w:rsidR="00F8093E" w:rsidRPr="004068F6" w:rsidRDefault="00F8093E" w:rsidP="00C86DA5">
      <w:pPr>
        <w:tabs>
          <w:tab w:val="left" w:pos="-2268"/>
        </w:tabs>
        <w:suppressAutoHyphens/>
        <w:rPr>
          <w:rFonts w:cs="Arial"/>
          <w:spacing w:val="-3"/>
        </w:rPr>
      </w:pPr>
    </w:p>
    <w:p w14:paraId="504C8853" w14:textId="0FD113E3" w:rsidR="00F8093E" w:rsidRPr="004068F6" w:rsidRDefault="00F97C5C">
      <w:pPr>
        <w:pStyle w:val="Prrafodelista"/>
        <w:numPr>
          <w:ilvl w:val="0"/>
          <w:numId w:val="65"/>
        </w:numPr>
        <w:tabs>
          <w:tab w:val="left" w:pos="-2268"/>
        </w:tabs>
        <w:suppressAutoHyphens/>
        <w:ind w:left="567" w:hanging="567"/>
        <w:rPr>
          <w:rFonts w:cs="Arial"/>
          <w:spacing w:val="-3"/>
          <w:lang w:val="es-CO"/>
        </w:rPr>
      </w:pPr>
      <w:r w:rsidRPr="004068F6">
        <w:rPr>
          <w:rFonts w:cs="Arial"/>
          <w:spacing w:val="-3"/>
          <w:lang w:val="es-CO"/>
        </w:rPr>
        <w:lastRenderedPageBreak/>
        <w:t xml:space="preserve">Evaluación geológica – geofísica con la cual se </w:t>
      </w:r>
      <w:bookmarkStart w:id="2239" w:name="_Hlk208221019"/>
      <w:r w:rsidR="001A07C4" w:rsidRPr="004068F6">
        <w:rPr>
          <w:rFonts w:cs="Arial"/>
          <w:spacing w:val="-3"/>
          <w:lang w:val="es-CO"/>
        </w:rPr>
        <w:t>estimen el potencial hidrogeológico</w:t>
      </w:r>
      <w:bookmarkEnd w:id="2239"/>
      <w:r w:rsidR="001A07C4" w:rsidRPr="004068F6">
        <w:rPr>
          <w:rFonts w:cs="Arial"/>
          <w:spacing w:val="-3"/>
          <w:lang w:val="es-CO"/>
        </w:rPr>
        <w:t xml:space="preserve">, </w:t>
      </w:r>
      <w:r w:rsidRPr="004068F6">
        <w:rPr>
          <w:rFonts w:cs="Arial"/>
          <w:spacing w:val="-3"/>
          <w:lang w:val="es-CO"/>
        </w:rPr>
        <w:t>la</w:t>
      </w:r>
      <w:r w:rsidRPr="004068F6">
        <w:rPr>
          <w:spacing w:val="-3"/>
          <w:lang w:val="es-CO"/>
        </w:rPr>
        <w:t xml:space="preserve"> profundidad </w:t>
      </w:r>
      <w:r w:rsidRPr="004068F6">
        <w:rPr>
          <w:rFonts w:cs="Arial"/>
          <w:spacing w:val="-3"/>
          <w:lang w:val="es-CO"/>
        </w:rPr>
        <w:t xml:space="preserve">del techo y base </w:t>
      </w:r>
      <w:r w:rsidRPr="004068F6">
        <w:rPr>
          <w:spacing w:val="-3"/>
          <w:lang w:val="es-CO"/>
        </w:rPr>
        <w:t xml:space="preserve">de las </w:t>
      </w:r>
      <w:r w:rsidRPr="004068F6">
        <w:rPr>
          <w:rFonts w:cs="Arial"/>
          <w:spacing w:val="-3"/>
          <w:lang w:val="es-CO"/>
        </w:rPr>
        <w:t xml:space="preserve">diferentes </w:t>
      </w:r>
      <w:r w:rsidRPr="004068F6">
        <w:rPr>
          <w:spacing w:val="-3"/>
          <w:lang w:val="es-CO"/>
        </w:rPr>
        <w:t>unidades</w:t>
      </w:r>
      <w:r w:rsidRPr="004068F6">
        <w:rPr>
          <w:rFonts w:cs="Arial"/>
          <w:spacing w:val="-3"/>
          <w:lang w:val="es-CO"/>
        </w:rPr>
        <w:t xml:space="preserve"> identificadas, sus espesores promedio, extensión lateral y sus fronteras permeables, impermeables y semi</w:t>
      </w:r>
      <w:r w:rsidR="00FB0C11" w:rsidRPr="004068F6">
        <w:rPr>
          <w:rFonts w:cs="Arial"/>
          <w:spacing w:val="-3"/>
          <w:lang w:val="es-CO"/>
        </w:rPr>
        <w:t xml:space="preserve"> </w:t>
      </w:r>
      <w:r w:rsidRPr="004068F6">
        <w:rPr>
          <w:rFonts w:cs="Arial"/>
          <w:spacing w:val="-3"/>
          <w:lang w:val="es-CO"/>
        </w:rPr>
        <w:t>impermeables.</w:t>
      </w:r>
    </w:p>
    <w:p w14:paraId="166C357C" w14:textId="77777777" w:rsidR="00F8093E" w:rsidRPr="004068F6" w:rsidRDefault="00F8093E" w:rsidP="00C86DA5">
      <w:pPr>
        <w:tabs>
          <w:tab w:val="left" w:pos="-2268"/>
        </w:tabs>
        <w:suppressAutoHyphens/>
        <w:rPr>
          <w:rFonts w:cs="Arial"/>
          <w:spacing w:val="-3"/>
        </w:rPr>
      </w:pPr>
    </w:p>
    <w:p w14:paraId="54896D90" w14:textId="341D1A32" w:rsidR="00F8093E" w:rsidRPr="004068F6" w:rsidRDefault="00F97C5C">
      <w:pPr>
        <w:pStyle w:val="Prrafodelista"/>
        <w:numPr>
          <w:ilvl w:val="0"/>
          <w:numId w:val="65"/>
        </w:numPr>
        <w:tabs>
          <w:tab w:val="left" w:pos="-2268"/>
        </w:tabs>
        <w:suppressAutoHyphens/>
        <w:ind w:left="567" w:hanging="567"/>
        <w:rPr>
          <w:rFonts w:cs="Arial"/>
          <w:spacing w:val="-3"/>
          <w:lang w:val="es-CO"/>
        </w:rPr>
      </w:pPr>
      <w:r w:rsidRPr="004068F6">
        <w:rPr>
          <w:rFonts w:cs="Arial"/>
          <w:spacing w:val="-3"/>
          <w:lang w:val="es-CO"/>
        </w:rPr>
        <w:t>Características</w:t>
      </w:r>
      <w:r w:rsidRPr="004068F6">
        <w:rPr>
          <w:spacing w:val="-3"/>
          <w:lang w:val="es-CO"/>
        </w:rPr>
        <w:t xml:space="preserve"> litológicas, </w:t>
      </w:r>
      <w:r w:rsidRPr="004068F6">
        <w:rPr>
          <w:rFonts w:cs="Arial"/>
          <w:spacing w:val="-3"/>
          <w:lang w:val="es-CO"/>
        </w:rPr>
        <w:t xml:space="preserve">mineralógicas, </w:t>
      </w:r>
      <w:r w:rsidRPr="004068F6">
        <w:rPr>
          <w:spacing w:val="-3"/>
          <w:lang w:val="es-CO"/>
        </w:rPr>
        <w:t xml:space="preserve">texturales y estructurales </w:t>
      </w:r>
      <w:r w:rsidRPr="004068F6">
        <w:rPr>
          <w:rFonts w:cs="Arial"/>
          <w:spacing w:val="-3"/>
          <w:lang w:val="es-CO"/>
        </w:rPr>
        <w:t xml:space="preserve">(discontinuidades, fracturas y fallas) </w:t>
      </w:r>
      <w:r w:rsidRPr="004068F6">
        <w:rPr>
          <w:spacing w:val="-3"/>
          <w:lang w:val="es-CO"/>
        </w:rPr>
        <w:t xml:space="preserve">que </w:t>
      </w:r>
      <w:r w:rsidRPr="004068F6">
        <w:rPr>
          <w:rFonts w:cs="Arial"/>
          <w:spacing w:val="-3"/>
          <w:lang w:val="es-CO"/>
        </w:rPr>
        <w:t>condicionan y describen</w:t>
      </w:r>
      <w:r w:rsidRPr="004068F6">
        <w:rPr>
          <w:spacing w:val="-3"/>
          <w:lang w:val="es-CO"/>
        </w:rPr>
        <w:t xml:space="preserve"> su posible comportamiento hidrogeológico</w:t>
      </w:r>
      <w:r w:rsidRPr="004068F6">
        <w:rPr>
          <w:rFonts w:cs="Arial"/>
          <w:spacing w:val="-3"/>
          <w:lang w:val="es-CO"/>
        </w:rPr>
        <w:t>.</w:t>
      </w:r>
      <w:r w:rsidRPr="004068F6" w:rsidDel="00704E6E">
        <w:rPr>
          <w:spacing w:val="-3"/>
          <w:lang w:val="es-CO"/>
        </w:rPr>
        <w:t xml:space="preserve"> </w:t>
      </w:r>
      <w:r w:rsidRPr="004068F6">
        <w:rPr>
          <w:spacing w:val="-3"/>
          <w:lang w:val="es-CO"/>
        </w:rPr>
        <w:t>(porosidad / permeabilidad primaria o secundaria)</w:t>
      </w:r>
      <w:r w:rsidR="00F8093E" w:rsidRPr="004068F6">
        <w:rPr>
          <w:spacing w:val="-3"/>
          <w:lang w:val="es-CO"/>
        </w:rPr>
        <w:t>.</w:t>
      </w:r>
    </w:p>
    <w:p w14:paraId="2AB4DFED" w14:textId="5B82B459" w:rsidR="00F97C5C" w:rsidRPr="004068F6" w:rsidRDefault="00F97C5C" w:rsidP="00C86DA5">
      <w:pPr>
        <w:tabs>
          <w:tab w:val="left" w:pos="-2268"/>
        </w:tabs>
        <w:suppressAutoHyphens/>
        <w:rPr>
          <w:rFonts w:cs="Arial"/>
          <w:spacing w:val="-3"/>
        </w:rPr>
      </w:pPr>
    </w:p>
    <w:p w14:paraId="77FF449C" w14:textId="404D9F69" w:rsidR="00F97C5C" w:rsidRPr="004068F6" w:rsidRDefault="00F97C5C" w:rsidP="00F8093E">
      <w:pPr>
        <w:pStyle w:val="Prrafodelista"/>
        <w:numPr>
          <w:ilvl w:val="0"/>
          <w:numId w:val="65"/>
        </w:numPr>
        <w:tabs>
          <w:tab w:val="left" w:pos="-2268"/>
        </w:tabs>
        <w:suppressAutoHyphens/>
        <w:ind w:left="567" w:hanging="567"/>
        <w:rPr>
          <w:rFonts w:cs="Arial"/>
          <w:spacing w:val="-3"/>
          <w:lang w:val="es-CO"/>
        </w:rPr>
      </w:pPr>
      <w:r w:rsidRPr="004068F6">
        <w:rPr>
          <w:rFonts w:cs="Arial"/>
          <w:spacing w:val="-3"/>
          <w:lang w:val="es-CO"/>
        </w:rPr>
        <w:t xml:space="preserve">Sistema y </w:t>
      </w:r>
      <w:r w:rsidRPr="004068F6">
        <w:rPr>
          <w:spacing w:val="-3"/>
          <w:lang w:val="es-CO"/>
        </w:rPr>
        <w:t>tendencias de flujo</w:t>
      </w:r>
      <w:r w:rsidRPr="004068F6">
        <w:rPr>
          <w:rFonts w:cs="Arial"/>
          <w:spacing w:val="-3"/>
          <w:lang w:val="es-CO"/>
        </w:rPr>
        <w:t xml:space="preserve"> para las unidades hidrogeológicas</w:t>
      </w:r>
      <w:r w:rsidRPr="004068F6">
        <w:rPr>
          <w:rFonts w:cs="Arial"/>
          <w:color w:val="000000"/>
          <w:lang w:val="es-CO"/>
        </w:rPr>
        <w:t>, indicando período climático al que corresponde.</w:t>
      </w:r>
    </w:p>
    <w:p w14:paraId="1486758B" w14:textId="77777777" w:rsidR="00F8093E" w:rsidRPr="004068F6" w:rsidRDefault="00F8093E" w:rsidP="00C86DA5">
      <w:pPr>
        <w:tabs>
          <w:tab w:val="left" w:pos="-2268"/>
        </w:tabs>
        <w:suppressAutoHyphens/>
        <w:rPr>
          <w:rFonts w:cs="Arial"/>
          <w:spacing w:val="-3"/>
        </w:rPr>
      </w:pPr>
    </w:p>
    <w:p w14:paraId="16F819BF" w14:textId="7CE95A41" w:rsidR="00F97C5C" w:rsidRPr="004068F6" w:rsidRDefault="00F97C5C" w:rsidP="00F8093E">
      <w:pPr>
        <w:pStyle w:val="Prrafodelista"/>
        <w:numPr>
          <w:ilvl w:val="0"/>
          <w:numId w:val="65"/>
        </w:numPr>
        <w:tabs>
          <w:tab w:val="left" w:pos="-2268"/>
        </w:tabs>
        <w:suppressAutoHyphens/>
        <w:ind w:left="567" w:hanging="567"/>
        <w:rPr>
          <w:rFonts w:cs="Arial"/>
          <w:spacing w:val="-3"/>
          <w:lang w:val="es-CO"/>
        </w:rPr>
      </w:pPr>
      <w:r w:rsidRPr="004068F6">
        <w:rPr>
          <w:rFonts w:cs="Arial"/>
          <w:spacing w:val="-3"/>
          <w:lang w:val="es-CO"/>
        </w:rPr>
        <w:t>Datos sobre la</w:t>
      </w:r>
      <w:r w:rsidRPr="004068F6">
        <w:rPr>
          <w:spacing w:val="-3"/>
          <w:lang w:val="es-CO"/>
        </w:rPr>
        <w:t xml:space="preserve"> calidad del agua subterránea</w:t>
      </w:r>
      <w:r w:rsidRPr="004068F6">
        <w:rPr>
          <w:rFonts w:cs="Arial"/>
          <w:spacing w:val="-3"/>
          <w:lang w:val="es-CO"/>
        </w:rPr>
        <w:t>.</w:t>
      </w:r>
    </w:p>
    <w:p w14:paraId="75CF5946" w14:textId="77777777" w:rsidR="00F8093E" w:rsidRPr="004068F6" w:rsidRDefault="00F8093E" w:rsidP="00C86DA5">
      <w:pPr>
        <w:tabs>
          <w:tab w:val="left" w:pos="-2268"/>
        </w:tabs>
        <w:suppressAutoHyphens/>
        <w:rPr>
          <w:rFonts w:cs="Arial"/>
          <w:spacing w:val="-3"/>
        </w:rPr>
      </w:pPr>
    </w:p>
    <w:p w14:paraId="47007EA4" w14:textId="1F386B06" w:rsidR="00F97C5C" w:rsidRPr="004068F6" w:rsidRDefault="00F97C5C" w:rsidP="00F8093E">
      <w:pPr>
        <w:pStyle w:val="Prrafodelista"/>
        <w:numPr>
          <w:ilvl w:val="0"/>
          <w:numId w:val="65"/>
        </w:numPr>
        <w:tabs>
          <w:tab w:val="left" w:pos="-2268"/>
        </w:tabs>
        <w:suppressAutoHyphens/>
        <w:ind w:left="567" w:hanging="567"/>
        <w:rPr>
          <w:rFonts w:cs="Arial"/>
          <w:spacing w:val="-3"/>
          <w:lang w:val="es-CO"/>
        </w:rPr>
      </w:pPr>
      <w:r w:rsidRPr="004068F6">
        <w:rPr>
          <w:rFonts w:cs="Arial"/>
          <w:spacing w:val="-3"/>
          <w:lang w:val="es-CO"/>
        </w:rPr>
        <w:t>Zonas de recarga potencial de acuíferos</w:t>
      </w:r>
      <w:r w:rsidRPr="004068F6">
        <w:rPr>
          <w:rStyle w:val="Refdenotaalpie"/>
          <w:rFonts w:cs="Arial"/>
          <w:spacing w:val="-3"/>
          <w:lang w:val="es-CO"/>
        </w:rPr>
        <w:footnoteReference w:id="52"/>
      </w:r>
      <w:r w:rsidRPr="004068F6">
        <w:rPr>
          <w:rFonts w:cs="Arial"/>
          <w:spacing w:val="-3"/>
          <w:lang w:val="es-CO"/>
        </w:rPr>
        <w:t>, con su respectiva toponimia, así como la estimación de esta.</w:t>
      </w:r>
    </w:p>
    <w:p w14:paraId="7F56497E" w14:textId="77777777" w:rsidR="00F8093E" w:rsidRPr="004068F6" w:rsidRDefault="00F8093E" w:rsidP="00C86DA5">
      <w:pPr>
        <w:tabs>
          <w:tab w:val="left" w:pos="-2268"/>
        </w:tabs>
        <w:suppressAutoHyphens/>
        <w:rPr>
          <w:rFonts w:cs="Arial"/>
          <w:spacing w:val="-3"/>
        </w:rPr>
      </w:pPr>
    </w:p>
    <w:p w14:paraId="1B257A38" w14:textId="3AB57363" w:rsidR="00F8093E" w:rsidRPr="004068F6" w:rsidRDefault="00F97C5C">
      <w:pPr>
        <w:pStyle w:val="Prrafodelista"/>
        <w:numPr>
          <w:ilvl w:val="0"/>
          <w:numId w:val="65"/>
        </w:numPr>
        <w:tabs>
          <w:tab w:val="left" w:pos="-2268"/>
        </w:tabs>
        <w:suppressAutoHyphens/>
        <w:ind w:left="567" w:hanging="567"/>
        <w:rPr>
          <w:rFonts w:cs="Arial"/>
          <w:spacing w:val="-3"/>
          <w:lang w:val="es-CO"/>
        </w:rPr>
      </w:pPr>
      <w:r w:rsidRPr="004068F6">
        <w:rPr>
          <w:rFonts w:cs="Arial"/>
          <w:spacing w:val="-3"/>
          <w:lang w:val="es-CO"/>
        </w:rPr>
        <w:t xml:space="preserve">Indicación de parámetros hidráulicos disponibles </w:t>
      </w:r>
      <w:r w:rsidRPr="004068F6">
        <w:rPr>
          <w:rFonts w:cs="Arial"/>
          <w:color w:val="000000"/>
          <w:lang w:val="es-CO"/>
        </w:rPr>
        <w:t>(conductividad hidráulica, transmisividad, coeficiente de almacenamiento, capacidad específica, entre otros)</w:t>
      </w:r>
      <w:r w:rsidR="00F8093E" w:rsidRPr="004068F6">
        <w:rPr>
          <w:rFonts w:cs="Arial"/>
          <w:color w:val="000000"/>
          <w:lang w:val="es-CO"/>
        </w:rPr>
        <w:t>.</w:t>
      </w:r>
    </w:p>
    <w:p w14:paraId="5AC47734" w14:textId="77777777" w:rsidR="00F8093E" w:rsidRPr="004068F6" w:rsidRDefault="00F8093E" w:rsidP="00C86DA5">
      <w:pPr>
        <w:tabs>
          <w:tab w:val="left" w:pos="-2268"/>
        </w:tabs>
        <w:suppressAutoHyphens/>
        <w:rPr>
          <w:rFonts w:cs="Arial"/>
          <w:spacing w:val="-3"/>
        </w:rPr>
      </w:pPr>
    </w:p>
    <w:p w14:paraId="24550128" w14:textId="451E144B" w:rsidR="00F97C5C" w:rsidRPr="004068F6" w:rsidRDefault="00F97C5C" w:rsidP="00F8093E">
      <w:pPr>
        <w:pStyle w:val="Prrafodelista"/>
        <w:numPr>
          <w:ilvl w:val="0"/>
          <w:numId w:val="65"/>
        </w:numPr>
        <w:tabs>
          <w:tab w:val="left" w:pos="-2268"/>
        </w:tabs>
        <w:suppressAutoHyphens/>
        <w:ind w:left="567" w:hanging="567"/>
        <w:rPr>
          <w:rFonts w:cs="Arial"/>
          <w:spacing w:val="-3"/>
          <w:lang w:val="es-CO"/>
        </w:rPr>
      </w:pPr>
      <w:r w:rsidRPr="004068F6">
        <w:rPr>
          <w:rFonts w:cs="Arial"/>
          <w:spacing w:val="-3"/>
          <w:lang w:val="es-CO"/>
        </w:rPr>
        <w:t>Mapa de</w:t>
      </w:r>
      <w:r w:rsidRPr="004068F6">
        <w:rPr>
          <w:spacing w:val="-3"/>
          <w:lang w:val="es-CO"/>
        </w:rPr>
        <w:t xml:space="preserve"> vulnerabilidad de los acuíferos </w:t>
      </w:r>
      <w:r w:rsidRPr="004068F6">
        <w:rPr>
          <w:rFonts w:cs="Arial"/>
          <w:spacing w:val="-3"/>
          <w:lang w:val="es-CO"/>
        </w:rPr>
        <w:t xml:space="preserve">(superficiales) </w:t>
      </w:r>
      <w:r w:rsidRPr="004068F6">
        <w:rPr>
          <w:spacing w:val="-3"/>
          <w:lang w:val="es-CO"/>
        </w:rPr>
        <w:t>a la contaminación.</w:t>
      </w:r>
    </w:p>
    <w:p w14:paraId="760CE540" w14:textId="77777777" w:rsidR="00F8093E" w:rsidRPr="004068F6" w:rsidRDefault="00F8093E" w:rsidP="00C86DA5">
      <w:pPr>
        <w:tabs>
          <w:tab w:val="left" w:pos="-2268"/>
        </w:tabs>
        <w:suppressAutoHyphens/>
        <w:rPr>
          <w:spacing w:val="-3"/>
        </w:rPr>
      </w:pPr>
    </w:p>
    <w:p w14:paraId="6C1A28A1" w14:textId="1A180F99" w:rsidR="00F97C5C" w:rsidRPr="004068F6" w:rsidRDefault="00F97C5C" w:rsidP="00C86DA5">
      <w:pPr>
        <w:pStyle w:val="Prrafodelista"/>
        <w:numPr>
          <w:ilvl w:val="0"/>
          <w:numId w:val="65"/>
        </w:numPr>
        <w:tabs>
          <w:tab w:val="left" w:pos="-2268"/>
        </w:tabs>
        <w:suppressAutoHyphens/>
        <w:ind w:left="567" w:hanging="567"/>
        <w:rPr>
          <w:spacing w:val="-3"/>
          <w:lang w:val="es-CO"/>
        </w:rPr>
      </w:pPr>
      <w:r w:rsidRPr="004068F6">
        <w:rPr>
          <w:rFonts w:cs="Arial"/>
          <w:spacing w:val="-3"/>
          <w:lang w:val="es-CO"/>
        </w:rPr>
        <w:t>Tipos</w:t>
      </w:r>
      <w:r w:rsidRPr="004068F6">
        <w:rPr>
          <w:spacing w:val="-3"/>
          <w:lang w:val="es-CO"/>
        </w:rPr>
        <w:t xml:space="preserve"> de captaciones y principales usos y usuarios del agua subterránea, con base en los inventarios de puntos de agua existentes.</w:t>
      </w:r>
    </w:p>
    <w:p w14:paraId="4295A52B" w14:textId="77777777" w:rsidR="00F97C5C" w:rsidRPr="004068F6" w:rsidRDefault="00F97C5C" w:rsidP="00C86DA5">
      <w:pPr>
        <w:tabs>
          <w:tab w:val="left" w:pos="-2268"/>
        </w:tabs>
        <w:suppressAutoHyphens/>
        <w:rPr>
          <w:spacing w:val="-3"/>
        </w:rPr>
      </w:pPr>
    </w:p>
    <w:p w14:paraId="01EE460E" w14:textId="7D99E9BF" w:rsidR="00F97C5C" w:rsidRPr="004068F6" w:rsidRDefault="00F97C5C" w:rsidP="00F97C5C">
      <w:pPr>
        <w:tabs>
          <w:tab w:val="left" w:pos="-2268"/>
        </w:tabs>
        <w:suppressAutoHyphens/>
        <w:rPr>
          <w:rFonts w:cs="Arial"/>
          <w:spacing w:val="-3"/>
        </w:rPr>
      </w:pPr>
      <w:r w:rsidRPr="004068F6">
        <w:rPr>
          <w:rFonts w:cs="Arial"/>
          <w:spacing w:val="-3"/>
        </w:rPr>
        <w:t xml:space="preserve">Con dicha información secundaria se debe presentar el mapa hidrogeológico, </w:t>
      </w:r>
      <w:r w:rsidR="006F59D4" w:rsidRPr="004068F6">
        <w:rPr>
          <w:rFonts w:cs="Arial"/>
          <w:spacing w:val="-3"/>
        </w:rPr>
        <w:t>según</w:t>
      </w:r>
      <w:r w:rsidRPr="004068F6">
        <w:rPr>
          <w:rFonts w:cs="Arial"/>
          <w:spacing w:val="-3"/>
        </w:rPr>
        <w:t xml:space="preserve"> la escala definida en los términos de referencia</w:t>
      </w:r>
      <w:r w:rsidR="00037008" w:rsidRPr="004068F6">
        <w:rPr>
          <w:rFonts w:cs="Arial"/>
          <w:spacing w:val="-3"/>
        </w:rPr>
        <w:t xml:space="preserve"> que correspondan</w:t>
      </w:r>
      <w:r w:rsidRPr="004068F6">
        <w:rPr>
          <w:rFonts w:cs="Arial"/>
          <w:spacing w:val="-3"/>
        </w:rPr>
        <w:t>.</w:t>
      </w:r>
    </w:p>
    <w:p w14:paraId="2D023BFD" w14:textId="77777777" w:rsidR="00F97C5C" w:rsidRPr="004068F6" w:rsidRDefault="00F97C5C">
      <w:pPr>
        <w:numPr>
          <w:ilvl w:val="12"/>
          <w:numId w:val="0"/>
        </w:numPr>
        <w:tabs>
          <w:tab w:val="left" w:pos="-2268"/>
        </w:tabs>
        <w:suppressAutoHyphens/>
        <w:rPr>
          <w:spacing w:val="-3"/>
        </w:rPr>
      </w:pPr>
    </w:p>
    <w:p w14:paraId="49C41587" w14:textId="77777777" w:rsidR="00F97C5C" w:rsidRPr="00B81EC8" w:rsidRDefault="00F97C5C" w:rsidP="000A1E20">
      <w:pPr>
        <w:pStyle w:val="Ttulo3"/>
      </w:pPr>
      <w:bookmarkStart w:id="2240" w:name="_Toc515787399"/>
      <w:bookmarkStart w:id="2241" w:name="_Toc515789099"/>
      <w:bookmarkStart w:id="2242" w:name="_Toc515789948"/>
      <w:bookmarkStart w:id="2243" w:name="_Toc515790797"/>
      <w:bookmarkStart w:id="2244" w:name="_Toc515791652"/>
      <w:bookmarkStart w:id="2245" w:name="_Toc515792502"/>
      <w:bookmarkStart w:id="2246" w:name="_Toc515793354"/>
      <w:bookmarkStart w:id="2247" w:name="_Toc515794259"/>
      <w:bookmarkStart w:id="2248" w:name="_Toc515796066"/>
      <w:bookmarkStart w:id="2249" w:name="_Toc456975714"/>
      <w:bookmarkStart w:id="2250" w:name="_Toc42552220"/>
      <w:bookmarkStart w:id="2251" w:name="_Toc453749904"/>
      <w:bookmarkStart w:id="2252" w:name="_Toc230879588"/>
      <w:bookmarkEnd w:id="2240"/>
      <w:bookmarkEnd w:id="2241"/>
      <w:bookmarkEnd w:id="2242"/>
      <w:bookmarkEnd w:id="2243"/>
      <w:bookmarkEnd w:id="2244"/>
      <w:bookmarkEnd w:id="2245"/>
      <w:bookmarkEnd w:id="2246"/>
      <w:bookmarkEnd w:id="2247"/>
      <w:bookmarkEnd w:id="2248"/>
      <w:r w:rsidRPr="00B81EC8">
        <w:t>Atmosférico</w:t>
      </w:r>
      <w:bookmarkEnd w:id="2249"/>
      <w:bookmarkEnd w:id="2250"/>
      <w:bookmarkEnd w:id="2252"/>
    </w:p>
    <w:p w14:paraId="027ACADE" w14:textId="77777777" w:rsidR="00F97C5C" w:rsidRPr="004068F6" w:rsidRDefault="00F97C5C">
      <w:pPr>
        <w:numPr>
          <w:ilvl w:val="12"/>
          <w:numId w:val="0"/>
        </w:numPr>
        <w:tabs>
          <w:tab w:val="left" w:pos="-2268"/>
        </w:tabs>
        <w:suppressAutoHyphens/>
        <w:rPr>
          <w:spacing w:val="-3"/>
        </w:rPr>
      </w:pPr>
    </w:p>
    <w:p w14:paraId="3BC54C90" w14:textId="40DB2AD9" w:rsidR="00F97C5C" w:rsidRPr="004068F6" w:rsidRDefault="00F97C5C">
      <w:pPr>
        <w:numPr>
          <w:ilvl w:val="12"/>
          <w:numId w:val="0"/>
        </w:numPr>
        <w:tabs>
          <w:tab w:val="left" w:pos="-2268"/>
        </w:tabs>
        <w:suppressAutoHyphens/>
        <w:rPr>
          <w:spacing w:val="-3"/>
        </w:rPr>
      </w:pPr>
      <w:r w:rsidRPr="004068F6">
        <w:rPr>
          <w:spacing w:val="-3"/>
        </w:rPr>
        <w:t>La caracterización del componente atmosférico debe incorporar lo</w:t>
      </w:r>
      <w:r w:rsidR="00B177B5" w:rsidRPr="004068F6">
        <w:rPr>
          <w:spacing w:val="-3"/>
        </w:rPr>
        <w:t>s numerales que se mencionan a continuación.</w:t>
      </w:r>
    </w:p>
    <w:p w14:paraId="1B1706B6" w14:textId="77777777" w:rsidR="00F97C5C" w:rsidRPr="004068F6" w:rsidRDefault="00F97C5C">
      <w:pPr>
        <w:numPr>
          <w:ilvl w:val="12"/>
          <w:numId w:val="0"/>
        </w:numPr>
        <w:tabs>
          <w:tab w:val="left" w:pos="-2268"/>
        </w:tabs>
        <w:suppressAutoHyphens/>
        <w:rPr>
          <w:spacing w:val="-3"/>
        </w:rPr>
      </w:pPr>
    </w:p>
    <w:p w14:paraId="5D6928CA" w14:textId="52F85026" w:rsidR="00F97C5C" w:rsidRPr="004068F6" w:rsidRDefault="00F97C5C" w:rsidP="009420F5">
      <w:pPr>
        <w:pStyle w:val="Ttulo4"/>
        <w:tabs>
          <w:tab w:val="clear" w:pos="1844"/>
          <w:tab w:val="num" w:pos="1134"/>
        </w:tabs>
        <w:ind w:left="0"/>
        <w:rPr>
          <w:lang w:val="es-CO"/>
        </w:rPr>
      </w:pPr>
      <w:r w:rsidRPr="004068F6">
        <w:rPr>
          <w:lang w:val="es-CO"/>
        </w:rPr>
        <w:t>Meteorología</w:t>
      </w:r>
      <w:bookmarkEnd w:id="2251"/>
    </w:p>
    <w:p w14:paraId="264EC1D3" w14:textId="77777777" w:rsidR="00F97C5C" w:rsidRPr="004068F6" w:rsidRDefault="00F97C5C">
      <w:pPr>
        <w:numPr>
          <w:ilvl w:val="12"/>
          <w:numId w:val="0"/>
        </w:numPr>
        <w:tabs>
          <w:tab w:val="left" w:pos="-2268"/>
        </w:tabs>
        <w:suppressAutoHyphens/>
        <w:rPr>
          <w:spacing w:val="-3"/>
        </w:rPr>
      </w:pPr>
    </w:p>
    <w:p w14:paraId="366E7978" w14:textId="64327AA0" w:rsidR="00F97C5C" w:rsidRPr="004068F6" w:rsidRDefault="00F97C5C">
      <w:pPr>
        <w:numPr>
          <w:ilvl w:val="12"/>
          <w:numId w:val="0"/>
        </w:numPr>
        <w:tabs>
          <w:tab w:val="left" w:pos="-2268"/>
        </w:tabs>
        <w:suppressAutoHyphens/>
        <w:rPr>
          <w:spacing w:val="-3"/>
        </w:rPr>
      </w:pPr>
      <w:r w:rsidRPr="004068F6">
        <w:rPr>
          <w:spacing w:val="-3"/>
        </w:rPr>
        <w:t xml:space="preserve">Describir y analizar las condiciones meteorológicas mensuales multianuales representativas durante un período mínimo </w:t>
      </w:r>
      <w:r w:rsidR="003F1BE1" w:rsidRPr="004068F6">
        <w:rPr>
          <w:spacing w:val="-3"/>
        </w:rPr>
        <w:t xml:space="preserve">entre tres (3) y </w:t>
      </w:r>
      <w:r w:rsidRPr="004068F6">
        <w:rPr>
          <w:spacing w:val="-3"/>
        </w:rPr>
        <w:t xml:space="preserve">cinco (5) años, con base </w:t>
      </w:r>
      <w:r w:rsidRPr="004068F6">
        <w:rPr>
          <w:spacing w:val="-3"/>
        </w:rPr>
        <w:lastRenderedPageBreak/>
        <w:t xml:space="preserve">en información de las estaciones meteorológicas existentes </w:t>
      </w:r>
      <w:r w:rsidRPr="004068F6">
        <w:rPr>
          <w:rFonts w:cs="Arial"/>
          <w:spacing w:val="-3"/>
        </w:rPr>
        <w:t xml:space="preserve">instaladas por </w:t>
      </w:r>
      <w:r w:rsidRPr="004068F6">
        <w:rPr>
          <w:spacing w:val="-3"/>
        </w:rPr>
        <w:t xml:space="preserve">entidades </w:t>
      </w:r>
      <w:r w:rsidRPr="004068F6">
        <w:rPr>
          <w:rFonts w:cs="Arial"/>
          <w:spacing w:val="-3"/>
        </w:rPr>
        <w:t>de índole nacional o regional</w:t>
      </w:r>
      <w:r w:rsidR="003F1BE1" w:rsidRPr="004068F6">
        <w:rPr>
          <w:rFonts w:cs="Arial"/>
          <w:spacing w:val="-3"/>
        </w:rPr>
        <w:t xml:space="preserve">. </w:t>
      </w:r>
      <w:r w:rsidR="003F1BE1" w:rsidRPr="004068F6">
        <w:rPr>
          <w:spacing w:val="-3"/>
        </w:rPr>
        <w:t xml:space="preserve">En caso de usar información proveniente de redes meteorológicas privadas, las estaciones deben cumplir con los criterios de calidad establecidos por el </w:t>
      </w:r>
      <w:r w:rsidR="00A92356" w:rsidRPr="004068F6">
        <w:rPr>
          <w:spacing w:val="-3"/>
        </w:rPr>
        <w:t>Ideam</w:t>
      </w:r>
      <w:r w:rsidR="003F1BE1" w:rsidRPr="004068F6">
        <w:rPr>
          <w:spacing w:val="-3"/>
        </w:rPr>
        <w:t xml:space="preserve">, para lo cual, </w:t>
      </w:r>
      <w:r w:rsidR="009F3DE6" w:rsidRPr="004068F6">
        <w:rPr>
          <w:spacing w:val="-3"/>
        </w:rPr>
        <w:t xml:space="preserve">éstas </w:t>
      </w:r>
      <w:r w:rsidR="003F1BE1" w:rsidRPr="004068F6">
        <w:rPr>
          <w:spacing w:val="-3"/>
        </w:rPr>
        <w:t xml:space="preserve">deben estar referenciadas en el catálogo nacional de estaciones del </w:t>
      </w:r>
      <w:r w:rsidR="00A92356" w:rsidRPr="004068F6">
        <w:rPr>
          <w:spacing w:val="-3"/>
        </w:rPr>
        <w:t>Ideam</w:t>
      </w:r>
      <w:r w:rsidR="003F1BE1" w:rsidRPr="004068F6">
        <w:rPr>
          <w:rStyle w:val="Refdenotaalpie"/>
          <w:spacing w:val="-3"/>
          <w:lang w:val="es-CO"/>
        </w:rPr>
        <w:footnoteReference w:id="53"/>
      </w:r>
      <w:r w:rsidR="003F1BE1" w:rsidRPr="004068F6">
        <w:rPr>
          <w:spacing w:val="-3"/>
        </w:rPr>
        <w:t xml:space="preserve">. Las estaciones </w:t>
      </w:r>
      <w:r w:rsidR="009F3DE6" w:rsidRPr="004068F6">
        <w:rPr>
          <w:spacing w:val="-3"/>
        </w:rPr>
        <w:t>empleadas</w:t>
      </w:r>
      <w:r w:rsidR="003F1BE1" w:rsidRPr="004068F6">
        <w:rPr>
          <w:spacing w:val="-3"/>
        </w:rPr>
        <w:t xml:space="preserve"> </w:t>
      </w:r>
      <w:r w:rsidRPr="004068F6">
        <w:rPr>
          <w:spacing w:val="-3"/>
        </w:rPr>
        <w:t>deben estar georreferenciadas</w:t>
      </w:r>
      <w:r w:rsidRPr="004068F6">
        <w:rPr>
          <w:rFonts w:cs="Arial"/>
          <w:spacing w:val="-3"/>
        </w:rPr>
        <w:t xml:space="preserve">, </w:t>
      </w:r>
      <w:r w:rsidR="009F3DE6" w:rsidRPr="004068F6">
        <w:rPr>
          <w:rFonts w:cs="Arial"/>
          <w:spacing w:val="-3"/>
        </w:rPr>
        <w:t xml:space="preserve">y </w:t>
      </w:r>
      <w:r w:rsidR="00B177B5" w:rsidRPr="004068F6">
        <w:rPr>
          <w:rFonts w:cs="Arial"/>
          <w:spacing w:val="-3"/>
        </w:rPr>
        <w:t xml:space="preserve">su selección </w:t>
      </w:r>
      <w:r w:rsidR="009F3DE6" w:rsidRPr="004068F6">
        <w:rPr>
          <w:rFonts w:cs="Arial"/>
          <w:spacing w:val="-3"/>
        </w:rPr>
        <w:t xml:space="preserve">se debe </w:t>
      </w:r>
      <w:r w:rsidRPr="004068F6">
        <w:rPr>
          <w:rFonts w:cs="Arial"/>
          <w:spacing w:val="-3"/>
        </w:rPr>
        <w:t>justifica</w:t>
      </w:r>
      <w:r w:rsidR="009F3DE6" w:rsidRPr="004068F6">
        <w:rPr>
          <w:rFonts w:cs="Arial"/>
          <w:spacing w:val="-3"/>
        </w:rPr>
        <w:t xml:space="preserve">r desde el punto de vista </w:t>
      </w:r>
      <w:r w:rsidRPr="004068F6">
        <w:rPr>
          <w:rFonts w:cs="Arial"/>
          <w:spacing w:val="-3"/>
        </w:rPr>
        <w:t>temporal y espacial</w:t>
      </w:r>
      <w:r w:rsidRPr="004068F6">
        <w:rPr>
          <w:spacing w:val="-3"/>
        </w:rPr>
        <w:t>.</w:t>
      </w:r>
    </w:p>
    <w:p w14:paraId="4736C4D0" w14:textId="77777777" w:rsidR="00F97C5C" w:rsidRPr="004068F6" w:rsidRDefault="00F97C5C">
      <w:pPr>
        <w:numPr>
          <w:ilvl w:val="12"/>
          <w:numId w:val="0"/>
        </w:numPr>
        <w:tabs>
          <w:tab w:val="left" w:pos="-2268"/>
        </w:tabs>
        <w:suppressAutoHyphens/>
        <w:rPr>
          <w:spacing w:val="-3"/>
        </w:rPr>
      </w:pPr>
    </w:p>
    <w:p w14:paraId="1B293FB3" w14:textId="77777777" w:rsidR="00F97C5C" w:rsidRPr="004068F6" w:rsidRDefault="00F97C5C">
      <w:pPr>
        <w:numPr>
          <w:ilvl w:val="12"/>
          <w:numId w:val="0"/>
        </w:numPr>
        <w:tabs>
          <w:tab w:val="left" w:pos="-2268"/>
        </w:tabs>
        <w:suppressAutoHyphens/>
        <w:rPr>
          <w:spacing w:val="-3"/>
        </w:rPr>
      </w:pPr>
      <w:r w:rsidRPr="004068F6">
        <w:rPr>
          <w:spacing w:val="-3"/>
        </w:rPr>
        <w:t>Los parámetros básicos de análisis son los siguientes:</w:t>
      </w:r>
    </w:p>
    <w:p w14:paraId="187D6B3B" w14:textId="77777777" w:rsidR="00F97C5C" w:rsidRPr="004068F6" w:rsidRDefault="00F97C5C">
      <w:pPr>
        <w:numPr>
          <w:ilvl w:val="12"/>
          <w:numId w:val="0"/>
        </w:numPr>
        <w:tabs>
          <w:tab w:val="left" w:pos="-2268"/>
        </w:tabs>
        <w:suppressAutoHyphens/>
        <w:rPr>
          <w:spacing w:val="-3"/>
        </w:rPr>
      </w:pPr>
    </w:p>
    <w:p w14:paraId="1E876890" w14:textId="0298CA99" w:rsidR="00F97C5C" w:rsidRPr="004068F6" w:rsidRDefault="00F97C5C" w:rsidP="00C86DA5">
      <w:pPr>
        <w:numPr>
          <w:ilvl w:val="0"/>
          <w:numId w:val="58"/>
        </w:numPr>
        <w:tabs>
          <w:tab w:val="clear" w:pos="360"/>
        </w:tabs>
        <w:suppressAutoHyphens/>
        <w:ind w:left="567" w:hanging="567"/>
        <w:rPr>
          <w:spacing w:val="-3"/>
        </w:rPr>
      </w:pPr>
      <w:r w:rsidRPr="004068F6">
        <w:rPr>
          <w:spacing w:val="-3"/>
        </w:rPr>
        <w:t>Temperatura superficial: promedio, mínim</w:t>
      </w:r>
      <w:r w:rsidR="009F3DE6" w:rsidRPr="004068F6">
        <w:rPr>
          <w:spacing w:val="-3"/>
        </w:rPr>
        <w:t>a</w:t>
      </w:r>
      <w:r w:rsidRPr="004068F6">
        <w:rPr>
          <w:spacing w:val="-3"/>
        </w:rPr>
        <w:t xml:space="preserve"> y máxim</w:t>
      </w:r>
      <w:r w:rsidR="009F3DE6" w:rsidRPr="004068F6">
        <w:rPr>
          <w:spacing w:val="-3"/>
        </w:rPr>
        <w:t>a;</w:t>
      </w:r>
      <w:r w:rsidRPr="004068F6">
        <w:rPr>
          <w:spacing w:val="-3"/>
        </w:rPr>
        <w:t xml:space="preserve"> diaria, mensual y anual.</w:t>
      </w:r>
    </w:p>
    <w:p w14:paraId="4BC323A5" w14:textId="77777777" w:rsidR="00F97C5C" w:rsidRPr="004068F6" w:rsidRDefault="00F97C5C">
      <w:pPr>
        <w:suppressAutoHyphens/>
        <w:rPr>
          <w:spacing w:val="-3"/>
        </w:rPr>
      </w:pPr>
    </w:p>
    <w:p w14:paraId="183B47C9" w14:textId="77777777" w:rsidR="00F97C5C" w:rsidRPr="004068F6" w:rsidRDefault="00F97C5C" w:rsidP="00C86DA5">
      <w:pPr>
        <w:numPr>
          <w:ilvl w:val="0"/>
          <w:numId w:val="58"/>
        </w:numPr>
        <w:tabs>
          <w:tab w:val="clear" w:pos="360"/>
        </w:tabs>
        <w:suppressAutoHyphens/>
        <w:ind w:left="567" w:hanging="567"/>
        <w:rPr>
          <w:spacing w:val="-3"/>
        </w:rPr>
      </w:pPr>
      <w:r w:rsidRPr="004068F6">
        <w:rPr>
          <w:spacing w:val="-3"/>
        </w:rPr>
        <w:t>Presión atmosférica promedio mensual.</w:t>
      </w:r>
    </w:p>
    <w:p w14:paraId="353DB181" w14:textId="77777777" w:rsidR="00F97C5C" w:rsidRPr="004068F6" w:rsidRDefault="00F97C5C">
      <w:pPr>
        <w:suppressAutoHyphens/>
        <w:rPr>
          <w:spacing w:val="-3"/>
        </w:rPr>
      </w:pPr>
    </w:p>
    <w:p w14:paraId="1ACF6048" w14:textId="1B6BE607" w:rsidR="00F97C5C" w:rsidRPr="004068F6" w:rsidRDefault="00F97C5C" w:rsidP="00C86DA5">
      <w:pPr>
        <w:numPr>
          <w:ilvl w:val="0"/>
          <w:numId w:val="58"/>
        </w:numPr>
        <w:tabs>
          <w:tab w:val="clear" w:pos="360"/>
        </w:tabs>
        <w:suppressAutoHyphens/>
        <w:ind w:left="567" w:hanging="567"/>
        <w:rPr>
          <w:spacing w:val="-3"/>
        </w:rPr>
      </w:pPr>
      <w:r w:rsidRPr="004068F6">
        <w:rPr>
          <w:spacing w:val="-3"/>
        </w:rPr>
        <w:t xml:space="preserve">Precipitación: media diaria, mensual y anual, y su distribución </w:t>
      </w:r>
      <w:r w:rsidR="005D0D02" w:rsidRPr="004068F6">
        <w:rPr>
          <w:spacing w:val="-3"/>
        </w:rPr>
        <w:t>espacial</w:t>
      </w:r>
      <w:r w:rsidRPr="004068F6">
        <w:rPr>
          <w:spacing w:val="-3"/>
        </w:rPr>
        <w:t>.</w:t>
      </w:r>
    </w:p>
    <w:p w14:paraId="20AD6966" w14:textId="77777777" w:rsidR="00F97C5C" w:rsidRPr="004068F6" w:rsidRDefault="00F97C5C">
      <w:pPr>
        <w:suppressAutoHyphens/>
        <w:rPr>
          <w:spacing w:val="-3"/>
        </w:rPr>
      </w:pPr>
    </w:p>
    <w:p w14:paraId="37B12D38" w14:textId="6ACF11DC" w:rsidR="00F97C5C" w:rsidRPr="004068F6" w:rsidRDefault="00F97C5C" w:rsidP="00C86DA5">
      <w:pPr>
        <w:numPr>
          <w:ilvl w:val="0"/>
          <w:numId w:val="58"/>
        </w:numPr>
        <w:tabs>
          <w:tab w:val="clear" w:pos="360"/>
        </w:tabs>
        <w:suppressAutoHyphens/>
        <w:ind w:left="567" w:hanging="567"/>
        <w:rPr>
          <w:spacing w:val="-3"/>
        </w:rPr>
      </w:pPr>
      <w:r w:rsidRPr="004068F6">
        <w:rPr>
          <w:spacing w:val="-3"/>
        </w:rPr>
        <w:t>Humedad relativa: promedio, mínim</w:t>
      </w:r>
      <w:r w:rsidR="009F3DE6" w:rsidRPr="004068F6">
        <w:rPr>
          <w:spacing w:val="-3"/>
        </w:rPr>
        <w:t>a</w:t>
      </w:r>
      <w:r w:rsidRPr="004068F6">
        <w:rPr>
          <w:spacing w:val="-3"/>
        </w:rPr>
        <w:t xml:space="preserve"> y máxim</w:t>
      </w:r>
      <w:r w:rsidR="009F3DE6" w:rsidRPr="004068F6">
        <w:rPr>
          <w:spacing w:val="-3"/>
        </w:rPr>
        <w:t>a;</w:t>
      </w:r>
      <w:r w:rsidRPr="004068F6">
        <w:rPr>
          <w:spacing w:val="-3"/>
        </w:rPr>
        <w:t xml:space="preserve"> diaria, mensual y anual.</w:t>
      </w:r>
    </w:p>
    <w:p w14:paraId="23209BE8" w14:textId="77777777" w:rsidR="00F97C5C" w:rsidRPr="004068F6" w:rsidRDefault="00F97C5C">
      <w:pPr>
        <w:suppressAutoHyphens/>
        <w:rPr>
          <w:spacing w:val="-3"/>
        </w:rPr>
      </w:pPr>
    </w:p>
    <w:p w14:paraId="3509CF99" w14:textId="77777777" w:rsidR="00F97C5C" w:rsidRPr="004068F6" w:rsidRDefault="00F97C5C" w:rsidP="00C86DA5">
      <w:pPr>
        <w:numPr>
          <w:ilvl w:val="0"/>
          <w:numId w:val="58"/>
        </w:numPr>
        <w:tabs>
          <w:tab w:val="clear" w:pos="360"/>
        </w:tabs>
        <w:suppressAutoHyphens/>
        <w:ind w:left="567" w:hanging="567"/>
        <w:rPr>
          <w:spacing w:val="-3"/>
        </w:rPr>
      </w:pPr>
      <w:r w:rsidRPr="004068F6">
        <w:rPr>
          <w:spacing w:val="-3"/>
        </w:rPr>
        <w:t>Dirección y velocidad del viento.</w:t>
      </w:r>
    </w:p>
    <w:p w14:paraId="546E02E3" w14:textId="77777777" w:rsidR="00F97C5C" w:rsidRPr="004068F6" w:rsidRDefault="00F97C5C">
      <w:pPr>
        <w:suppressAutoHyphens/>
        <w:rPr>
          <w:spacing w:val="-3"/>
        </w:rPr>
      </w:pPr>
    </w:p>
    <w:p w14:paraId="1B71A44C" w14:textId="77777777" w:rsidR="00F97C5C" w:rsidRPr="004068F6" w:rsidRDefault="00F97C5C" w:rsidP="00C86DA5">
      <w:pPr>
        <w:numPr>
          <w:ilvl w:val="1"/>
          <w:numId w:val="40"/>
        </w:numPr>
        <w:tabs>
          <w:tab w:val="left" w:pos="-2268"/>
        </w:tabs>
        <w:suppressAutoHyphens/>
        <w:ind w:left="1134" w:hanging="567"/>
        <w:rPr>
          <w:spacing w:val="-3"/>
        </w:rPr>
      </w:pPr>
      <w:r w:rsidRPr="004068F6">
        <w:rPr>
          <w:spacing w:val="-3"/>
        </w:rPr>
        <w:t>Rosas de viento diurna y nocturna.</w:t>
      </w:r>
    </w:p>
    <w:p w14:paraId="71B8A550" w14:textId="77777777" w:rsidR="00F97C5C" w:rsidRPr="004068F6" w:rsidRDefault="00F97C5C">
      <w:pPr>
        <w:tabs>
          <w:tab w:val="left" w:pos="-2268"/>
        </w:tabs>
        <w:suppressAutoHyphens/>
        <w:rPr>
          <w:spacing w:val="-3"/>
        </w:rPr>
      </w:pPr>
    </w:p>
    <w:p w14:paraId="53AAE69F" w14:textId="77777777" w:rsidR="00F97C5C" w:rsidRPr="004068F6" w:rsidRDefault="00F97C5C" w:rsidP="00C86DA5">
      <w:pPr>
        <w:numPr>
          <w:ilvl w:val="1"/>
          <w:numId w:val="40"/>
        </w:numPr>
        <w:tabs>
          <w:tab w:val="left" w:pos="-2268"/>
        </w:tabs>
        <w:suppressAutoHyphens/>
        <w:ind w:left="1134" w:hanging="567"/>
        <w:rPr>
          <w:spacing w:val="-3"/>
        </w:rPr>
      </w:pPr>
      <w:r w:rsidRPr="004068F6">
        <w:rPr>
          <w:spacing w:val="-3"/>
        </w:rPr>
        <w:t>Variaciones mensuales de las rosas de vientos.</w:t>
      </w:r>
    </w:p>
    <w:p w14:paraId="5E5E45A4" w14:textId="77777777" w:rsidR="00F97C5C" w:rsidRPr="004068F6" w:rsidRDefault="00F97C5C">
      <w:pPr>
        <w:tabs>
          <w:tab w:val="left" w:pos="-2268"/>
        </w:tabs>
        <w:suppressAutoHyphens/>
        <w:rPr>
          <w:spacing w:val="-3"/>
        </w:rPr>
      </w:pPr>
    </w:p>
    <w:p w14:paraId="61A28349" w14:textId="77777777" w:rsidR="00F97C5C" w:rsidRPr="004068F6" w:rsidRDefault="00F97C5C" w:rsidP="00C86DA5">
      <w:pPr>
        <w:numPr>
          <w:ilvl w:val="0"/>
          <w:numId w:val="58"/>
        </w:numPr>
        <w:tabs>
          <w:tab w:val="clear" w:pos="360"/>
        </w:tabs>
        <w:suppressAutoHyphens/>
        <w:ind w:left="567" w:hanging="567"/>
        <w:rPr>
          <w:spacing w:val="-3"/>
        </w:rPr>
      </w:pPr>
      <w:r w:rsidRPr="004068F6">
        <w:rPr>
          <w:spacing w:val="-3"/>
        </w:rPr>
        <w:t>Radiación solar: media diaria, mensual y anual.</w:t>
      </w:r>
    </w:p>
    <w:p w14:paraId="32937823" w14:textId="77777777" w:rsidR="00F97C5C" w:rsidRPr="004068F6" w:rsidRDefault="00F97C5C">
      <w:pPr>
        <w:numPr>
          <w:ilvl w:val="12"/>
          <w:numId w:val="0"/>
        </w:numPr>
        <w:tabs>
          <w:tab w:val="left" w:pos="-2268"/>
        </w:tabs>
        <w:suppressAutoHyphens/>
        <w:rPr>
          <w:spacing w:val="-3"/>
        </w:rPr>
      </w:pPr>
    </w:p>
    <w:p w14:paraId="5E74B0C7" w14:textId="0BB71152" w:rsidR="00F97C5C" w:rsidRPr="004068F6" w:rsidRDefault="00F97C5C">
      <w:pPr>
        <w:numPr>
          <w:ilvl w:val="12"/>
          <w:numId w:val="0"/>
        </w:numPr>
        <w:tabs>
          <w:tab w:val="left" w:pos="-2268"/>
        </w:tabs>
        <w:suppressAutoHyphens/>
        <w:rPr>
          <w:spacing w:val="-3"/>
        </w:rPr>
      </w:pPr>
      <w:r w:rsidRPr="004068F6">
        <w:rPr>
          <w:spacing w:val="-3"/>
        </w:rPr>
        <w:t xml:space="preserve">Para </w:t>
      </w:r>
      <w:r w:rsidR="0041428E" w:rsidRPr="004068F6">
        <w:rPr>
          <w:spacing w:val="-3"/>
        </w:rPr>
        <w:t xml:space="preserve">la caracterización </w:t>
      </w:r>
      <w:r w:rsidRPr="004068F6">
        <w:rPr>
          <w:spacing w:val="-3"/>
        </w:rPr>
        <w:t xml:space="preserve">de vientos se deben incluir aspectos de dirección, velocidad y frecuencias con las que se presentan, elaborando la rosa de los vientos diurna y nocturna, así como una tabla de variabilidad en la velocidad de éstos, </w:t>
      </w:r>
      <w:r w:rsidR="009F3DE6" w:rsidRPr="004068F6">
        <w:rPr>
          <w:spacing w:val="-3"/>
        </w:rPr>
        <w:t>a</w:t>
      </w:r>
      <w:r w:rsidRPr="004068F6">
        <w:rPr>
          <w:spacing w:val="-3"/>
        </w:rPr>
        <w:t xml:space="preserve"> </w:t>
      </w:r>
      <w:r w:rsidR="009F3DE6" w:rsidRPr="004068F6">
        <w:rPr>
          <w:spacing w:val="-3"/>
        </w:rPr>
        <w:t xml:space="preserve">fin de </w:t>
      </w:r>
      <w:r w:rsidRPr="004068F6">
        <w:rPr>
          <w:spacing w:val="-3"/>
        </w:rPr>
        <w:t>indicar el comportamiento de los vientos en una jornada de 24 horas para un periodo específico (mensual o anual).</w:t>
      </w:r>
    </w:p>
    <w:p w14:paraId="3DAEA8DF" w14:textId="77777777" w:rsidR="00F97C5C" w:rsidRPr="004068F6" w:rsidRDefault="00F97C5C">
      <w:pPr>
        <w:numPr>
          <w:ilvl w:val="12"/>
          <w:numId w:val="0"/>
        </w:numPr>
        <w:tabs>
          <w:tab w:val="left" w:pos="-2268"/>
        </w:tabs>
        <w:suppressAutoHyphens/>
        <w:rPr>
          <w:spacing w:val="-3"/>
        </w:rPr>
      </w:pPr>
    </w:p>
    <w:p w14:paraId="70914009" w14:textId="67D14149" w:rsidR="00F97C5C" w:rsidRPr="004068F6" w:rsidRDefault="00F97C5C">
      <w:pPr>
        <w:numPr>
          <w:ilvl w:val="12"/>
          <w:numId w:val="0"/>
        </w:numPr>
        <w:tabs>
          <w:tab w:val="left" w:pos="-2268"/>
        </w:tabs>
        <w:suppressAutoHyphens/>
        <w:rPr>
          <w:spacing w:val="-3"/>
        </w:rPr>
      </w:pPr>
      <w:r w:rsidRPr="004068F6">
        <w:rPr>
          <w:spacing w:val="-3"/>
        </w:rPr>
        <w:t xml:space="preserve">Los datos se deben presentar en tablas con sus respectivas unidades de medida. Se debe presentar </w:t>
      </w:r>
      <w:r w:rsidR="00803BC1" w:rsidRPr="004068F6">
        <w:rPr>
          <w:spacing w:val="-3"/>
        </w:rPr>
        <w:t xml:space="preserve">la </w:t>
      </w:r>
      <w:r w:rsidRPr="004068F6">
        <w:rPr>
          <w:spacing w:val="-3"/>
        </w:rPr>
        <w:t xml:space="preserve">información meteorológica específica </w:t>
      </w:r>
      <w:r w:rsidR="00803BC1" w:rsidRPr="004068F6">
        <w:rPr>
          <w:spacing w:val="-3"/>
        </w:rPr>
        <w:t xml:space="preserve">de </w:t>
      </w:r>
      <w:r w:rsidRPr="004068F6">
        <w:rPr>
          <w:spacing w:val="-3"/>
        </w:rPr>
        <w:t xml:space="preserve">cada alternativa. En el caso </w:t>
      </w:r>
      <w:r w:rsidR="006F41B5" w:rsidRPr="004068F6">
        <w:rPr>
          <w:spacing w:val="-3"/>
        </w:rPr>
        <w:t xml:space="preserve">en </w:t>
      </w:r>
      <w:r w:rsidRPr="004068F6">
        <w:rPr>
          <w:spacing w:val="-3"/>
        </w:rPr>
        <w:t xml:space="preserve">que </w:t>
      </w:r>
      <w:r w:rsidR="006F41B5" w:rsidRPr="004068F6">
        <w:rPr>
          <w:spacing w:val="-3"/>
        </w:rPr>
        <w:t xml:space="preserve">la información meteorológica cubra espacialmente </w:t>
      </w:r>
      <w:r w:rsidR="00803BC1" w:rsidRPr="004068F6">
        <w:rPr>
          <w:spacing w:val="-3"/>
        </w:rPr>
        <w:t xml:space="preserve">el área de estudio </w:t>
      </w:r>
      <w:r w:rsidR="006F41B5" w:rsidRPr="004068F6">
        <w:rPr>
          <w:spacing w:val="-3"/>
        </w:rPr>
        <w:t>de todas las alternativas propuestas</w:t>
      </w:r>
      <w:r w:rsidRPr="004068F6">
        <w:rPr>
          <w:spacing w:val="-3"/>
        </w:rPr>
        <w:t xml:space="preserve">, </w:t>
      </w:r>
      <w:r w:rsidR="00803BC1" w:rsidRPr="004068F6">
        <w:rPr>
          <w:spacing w:val="-3"/>
        </w:rPr>
        <w:t>la información debe ser presentada sólo una vez</w:t>
      </w:r>
      <w:r w:rsidRPr="004068F6">
        <w:rPr>
          <w:spacing w:val="-3"/>
        </w:rPr>
        <w:t>.</w:t>
      </w:r>
    </w:p>
    <w:p w14:paraId="0F528EFC" w14:textId="77777777" w:rsidR="00F97C5C" w:rsidRPr="004068F6" w:rsidRDefault="00F97C5C">
      <w:pPr>
        <w:numPr>
          <w:ilvl w:val="12"/>
          <w:numId w:val="0"/>
        </w:numPr>
        <w:tabs>
          <w:tab w:val="left" w:pos="-2268"/>
        </w:tabs>
        <w:suppressAutoHyphens/>
        <w:rPr>
          <w:spacing w:val="-3"/>
        </w:rPr>
      </w:pPr>
    </w:p>
    <w:p w14:paraId="5573D32E" w14:textId="37324F80" w:rsidR="00C223E2" w:rsidRPr="004068F6" w:rsidRDefault="00F97C5C">
      <w:pPr>
        <w:numPr>
          <w:ilvl w:val="12"/>
          <w:numId w:val="0"/>
        </w:numPr>
        <w:tabs>
          <w:tab w:val="left" w:pos="-2268"/>
        </w:tabs>
        <w:suppressAutoHyphens/>
        <w:rPr>
          <w:spacing w:val="-3"/>
        </w:rPr>
      </w:pPr>
      <w:r w:rsidRPr="004068F6">
        <w:rPr>
          <w:spacing w:val="-3"/>
        </w:rPr>
        <w:t xml:space="preserve">Cuando no exista información disponible de estaciones meteorológicas avaladas por el </w:t>
      </w:r>
      <w:r w:rsidR="00A92356" w:rsidRPr="004068F6">
        <w:rPr>
          <w:spacing w:val="-3"/>
        </w:rPr>
        <w:t>Ideam</w:t>
      </w:r>
      <w:r w:rsidR="00C223E2" w:rsidRPr="004068F6">
        <w:rPr>
          <w:spacing w:val="-3"/>
        </w:rPr>
        <w:t xml:space="preserve"> </w:t>
      </w:r>
      <w:r w:rsidR="00C223E2" w:rsidRPr="004068F6">
        <w:rPr>
          <w:rFonts w:cs="Arial"/>
          <w:lang w:eastAsia="es-CO"/>
        </w:rPr>
        <w:t xml:space="preserve">con adecuada representatividad </w:t>
      </w:r>
      <w:r w:rsidR="00803BC1" w:rsidRPr="004068F6">
        <w:rPr>
          <w:rFonts w:cs="Arial"/>
          <w:lang w:eastAsia="es-CO"/>
        </w:rPr>
        <w:t xml:space="preserve">para </w:t>
      </w:r>
      <w:r w:rsidR="00C223E2" w:rsidRPr="004068F6">
        <w:rPr>
          <w:rFonts w:cs="Arial"/>
          <w:lang w:eastAsia="es-CO"/>
        </w:rPr>
        <w:t>el área de estudio</w:t>
      </w:r>
      <w:r w:rsidRPr="004068F6">
        <w:rPr>
          <w:spacing w:val="-3"/>
        </w:rPr>
        <w:t xml:space="preserve">, la información </w:t>
      </w:r>
      <w:r w:rsidRPr="004068F6">
        <w:rPr>
          <w:spacing w:val="-3"/>
        </w:rPr>
        <w:lastRenderedPageBreak/>
        <w:t xml:space="preserve">meteorológica puede ser tomada de los datos de </w:t>
      </w:r>
      <w:r w:rsidR="00C223E2" w:rsidRPr="004068F6">
        <w:rPr>
          <w:rFonts w:cs="Arial"/>
          <w:lang w:eastAsia="es-CO"/>
        </w:rPr>
        <w:t xml:space="preserve">modelos globales o de </w:t>
      </w:r>
      <w:r w:rsidRPr="004068F6">
        <w:rPr>
          <w:spacing w:val="-3"/>
        </w:rPr>
        <w:t>re-análisis global, obtenidos de fuentes de adecuada idoneidad científica y que puedan ser validad</w:t>
      </w:r>
      <w:r w:rsidR="00803BC1" w:rsidRPr="004068F6">
        <w:rPr>
          <w:spacing w:val="-3"/>
        </w:rPr>
        <w:t>o</w:t>
      </w:r>
      <w:r w:rsidRPr="004068F6">
        <w:rPr>
          <w:spacing w:val="-3"/>
        </w:rPr>
        <w:t>s</w:t>
      </w:r>
      <w:r w:rsidR="00C223E2" w:rsidRPr="004068F6">
        <w:rPr>
          <w:spacing w:val="-3"/>
        </w:rPr>
        <w:t xml:space="preserve"> </w:t>
      </w:r>
      <w:r w:rsidR="00803BC1" w:rsidRPr="004068F6">
        <w:rPr>
          <w:rFonts w:cs="Arial"/>
          <w:lang w:eastAsia="es-CO"/>
        </w:rPr>
        <w:t>y procesado</w:t>
      </w:r>
      <w:r w:rsidR="00C223E2" w:rsidRPr="004068F6">
        <w:rPr>
          <w:rFonts w:cs="Arial"/>
          <w:lang w:eastAsia="es-CO"/>
        </w:rPr>
        <w:t>s para obtener una adecuada resolución sobre el área de estudio. Ejemplos de</w:t>
      </w:r>
      <w:r w:rsidRPr="004068F6">
        <w:rPr>
          <w:spacing w:val="-3"/>
        </w:rPr>
        <w:t xml:space="preserve"> modelos de clima o tiempo </w:t>
      </w:r>
      <w:r w:rsidR="00C223E2" w:rsidRPr="004068F6">
        <w:rPr>
          <w:spacing w:val="-3"/>
        </w:rPr>
        <w:t xml:space="preserve">son </w:t>
      </w:r>
      <w:r w:rsidRPr="004068F6">
        <w:rPr>
          <w:spacing w:val="-3"/>
        </w:rPr>
        <w:t>CFRS, ERA 40, CAM, WRF, entre otros.</w:t>
      </w:r>
    </w:p>
    <w:p w14:paraId="66734CD1" w14:textId="77777777" w:rsidR="00C223E2" w:rsidRPr="004068F6" w:rsidRDefault="00C223E2">
      <w:pPr>
        <w:numPr>
          <w:ilvl w:val="12"/>
          <w:numId w:val="0"/>
        </w:numPr>
        <w:tabs>
          <w:tab w:val="left" w:pos="-2268"/>
        </w:tabs>
        <w:suppressAutoHyphens/>
        <w:rPr>
          <w:spacing w:val="-3"/>
        </w:rPr>
      </w:pPr>
    </w:p>
    <w:p w14:paraId="6D441ACF" w14:textId="2020B7F8" w:rsidR="00F97C5C" w:rsidRPr="004068F6" w:rsidRDefault="00C223E2">
      <w:pPr>
        <w:numPr>
          <w:ilvl w:val="12"/>
          <w:numId w:val="0"/>
        </w:numPr>
        <w:tabs>
          <w:tab w:val="left" w:pos="-2268"/>
        </w:tabs>
        <w:suppressAutoHyphens/>
        <w:rPr>
          <w:spacing w:val="-3"/>
        </w:rPr>
      </w:pPr>
      <w:r w:rsidRPr="004068F6">
        <w:rPr>
          <w:spacing w:val="-3"/>
        </w:rPr>
        <w:t>S</w:t>
      </w:r>
      <w:r w:rsidR="00F97C5C" w:rsidRPr="004068F6">
        <w:rPr>
          <w:spacing w:val="-3"/>
        </w:rPr>
        <w:t xml:space="preserve">e debe realizar un análisis estadístico del error </w:t>
      </w:r>
      <w:r w:rsidR="00D85767" w:rsidRPr="004068F6">
        <w:rPr>
          <w:rFonts w:cs="Arial"/>
          <w:lang w:eastAsia="es-CO"/>
        </w:rPr>
        <w:t xml:space="preserve">y demostrar el procedimiento </w:t>
      </w:r>
      <w:r w:rsidR="00D85767" w:rsidRPr="004068F6">
        <w:t xml:space="preserve">de </w:t>
      </w:r>
      <w:r w:rsidR="00D85767" w:rsidRPr="004068F6">
        <w:rPr>
          <w:rFonts w:cs="Arial"/>
          <w:lang w:eastAsia="es-CO"/>
        </w:rPr>
        <w:t xml:space="preserve">validación de </w:t>
      </w:r>
      <w:r w:rsidR="00D85767" w:rsidRPr="004068F6">
        <w:t xml:space="preserve">resultados </w:t>
      </w:r>
      <w:r w:rsidR="00D85767" w:rsidRPr="004068F6">
        <w:rPr>
          <w:rFonts w:cs="Arial"/>
          <w:lang w:eastAsia="es-CO"/>
        </w:rPr>
        <w:t>empleado</w:t>
      </w:r>
      <w:r w:rsidR="00F97C5C" w:rsidRPr="004068F6">
        <w:rPr>
          <w:spacing w:val="-3"/>
        </w:rPr>
        <w:t xml:space="preserve">. </w:t>
      </w:r>
      <w:r w:rsidR="00B177B5" w:rsidRPr="004068F6">
        <w:rPr>
          <w:spacing w:val="-3"/>
        </w:rPr>
        <w:t xml:space="preserve">En </w:t>
      </w:r>
      <w:r w:rsidR="00F97C5C" w:rsidRPr="004068F6">
        <w:rPr>
          <w:spacing w:val="-3"/>
        </w:rPr>
        <w:t xml:space="preserve">este caso se requiere que el </w:t>
      </w:r>
      <w:r w:rsidR="00D85767" w:rsidRPr="004068F6">
        <w:rPr>
          <w:spacing w:val="-3"/>
        </w:rPr>
        <w:t xml:space="preserve">estudio </w:t>
      </w:r>
      <w:r w:rsidR="00F97C5C" w:rsidRPr="004068F6">
        <w:rPr>
          <w:spacing w:val="-3"/>
        </w:rPr>
        <w:t xml:space="preserve">establezca claramente la fuente de la información, </w:t>
      </w:r>
      <w:r w:rsidR="00D85767" w:rsidRPr="004068F6">
        <w:rPr>
          <w:spacing w:val="-3"/>
        </w:rPr>
        <w:t xml:space="preserve">anotando </w:t>
      </w:r>
      <w:r w:rsidR="00F97C5C" w:rsidRPr="004068F6">
        <w:rPr>
          <w:spacing w:val="-3"/>
        </w:rPr>
        <w:t xml:space="preserve">el periodo </w:t>
      </w:r>
      <w:r w:rsidR="00803BC1" w:rsidRPr="004068F6">
        <w:rPr>
          <w:spacing w:val="-3"/>
        </w:rPr>
        <w:t>d</w:t>
      </w:r>
      <w:r w:rsidR="006F41B5" w:rsidRPr="004068F6">
        <w:rPr>
          <w:spacing w:val="-3"/>
        </w:rPr>
        <w:t>e</w:t>
      </w:r>
      <w:r w:rsidR="00803BC1" w:rsidRPr="004068F6">
        <w:rPr>
          <w:spacing w:val="-3"/>
        </w:rPr>
        <w:t xml:space="preserve"> datos </w:t>
      </w:r>
      <w:r w:rsidR="00F97C5C" w:rsidRPr="004068F6">
        <w:rPr>
          <w:spacing w:val="-3"/>
        </w:rPr>
        <w:t>analiza</w:t>
      </w:r>
      <w:r w:rsidR="00803BC1" w:rsidRPr="004068F6">
        <w:rPr>
          <w:spacing w:val="-3"/>
        </w:rPr>
        <w:t>do</w:t>
      </w:r>
      <w:r w:rsidR="00F97C5C" w:rsidRPr="004068F6">
        <w:rPr>
          <w:spacing w:val="-3"/>
        </w:rPr>
        <w:t>, la resolución de la información, el tipo de dato procesado y las variables contenidas</w:t>
      </w:r>
      <w:r w:rsidR="00B177B5" w:rsidRPr="004068F6">
        <w:rPr>
          <w:spacing w:val="-3"/>
        </w:rPr>
        <w:t>, todo ello</w:t>
      </w:r>
      <w:r w:rsidR="00F97C5C" w:rsidRPr="004068F6">
        <w:rPr>
          <w:spacing w:val="-3"/>
        </w:rPr>
        <w:t xml:space="preserve"> en un formato de texto </w:t>
      </w:r>
      <w:r w:rsidR="00D85767" w:rsidRPr="004068F6">
        <w:rPr>
          <w:rFonts w:cs="Arial"/>
          <w:lang w:eastAsia="es-CO"/>
        </w:rPr>
        <w:t xml:space="preserve">editable. Para este análisis, se requiere como mínimo analizar el año más reciente de la serie de datos </w:t>
      </w:r>
      <w:r w:rsidR="00803BC1" w:rsidRPr="004068F6">
        <w:rPr>
          <w:rFonts w:cs="Arial"/>
          <w:lang w:eastAsia="es-CO"/>
        </w:rPr>
        <w:t>empleada</w:t>
      </w:r>
      <w:r w:rsidR="00D85767" w:rsidRPr="004068F6">
        <w:t>.</w:t>
      </w:r>
    </w:p>
    <w:p w14:paraId="68C5590E" w14:textId="77777777" w:rsidR="00F97C5C" w:rsidRPr="004068F6" w:rsidRDefault="00F97C5C">
      <w:pPr>
        <w:numPr>
          <w:ilvl w:val="12"/>
          <w:numId w:val="0"/>
        </w:numPr>
        <w:tabs>
          <w:tab w:val="left" w:pos="-2268"/>
        </w:tabs>
        <w:suppressAutoHyphens/>
        <w:rPr>
          <w:spacing w:val="-3"/>
        </w:rPr>
      </w:pPr>
    </w:p>
    <w:p w14:paraId="75F6509D" w14:textId="6E2D9E13" w:rsidR="00F97C5C" w:rsidRPr="004068F6" w:rsidRDefault="0041428E" w:rsidP="009420F5">
      <w:pPr>
        <w:pStyle w:val="Ttulo4"/>
        <w:tabs>
          <w:tab w:val="clear" w:pos="1844"/>
          <w:tab w:val="num" w:pos="1134"/>
        </w:tabs>
        <w:ind w:left="0"/>
        <w:rPr>
          <w:lang w:val="es-CO"/>
        </w:rPr>
      </w:pPr>
      <w:bookmarkStart w:id="2253" w:name="_Toc453749905"/>
      <w:bookmarkStart w:id="2254" w:name="_Ref75776034"/>
      <w:r w:rsidRPr="004068F6">
        <w:rPr>
          <w:lang w:val="es-CO"/>
        </w:rPr>
        <w:t>Determinación</w:t>
      </w:r>
      <w:r w:rsidR="00F97C5C" w:rsidRPr="004068F6">
        <w:rPr>
          <w:lang w:val="es-CO"/>
        </w:rPr>
        <w:t xml:space="preserve"> de fuentes de emisión</w:t>
      </w:r>
      <w:bookmarkEnd w:id="2253"/>
      <w:bookmarkEnd w:id="2254"/>
    </w:p>
    <w:p w14:paraId="057F91C6" w14:textId="77777777" w:rsidR="00F97C5C" w:rsidRPr="004068F6" w:rsidRDefault="00F97C5C">
      <w:pPr>
        <w:numPr>
          <w:ilvl w:val="12"/>
          <w:numId w:val="0"/>
        </w:numPr>
        <w:tabs>
          <w:tab w:val="left" w:pos="-2268"/>
        </w:tabs>
        <w:suppressAutoHyphens/>
        <w:rPr>
          <w:spacing w:val="-3"/>
        </w:rPr>
      </w:pPr>
    </w:p>
    <w:p w14:paraId="513897FB" w14:textId="75DB26D9" w:rsidR="00AD32C2" w:rsidRPr="004068F6" w:rsidRDefault="007326F6" w:rsidP="00AD32C2">
      <w:pPr>
        <w:overflowPunct/>
        <w:autoSpaceDE/>
        <w:autoSpaceDN/>
        <w:adjustRightInd/>
        <w:textAlignment w:val="auto"/>
        <w:rPr>
          <w:spacing w:val="-3"/>
        </w:rPr>
      </w:pPr>
      <w:r w:rsidRPr="004068F6">
        <w:rPr>
          <w:spacing w:val="-3"/>
        </w:rPr>
        <w:t xml:space="preserve">A fin de </w:t>
      </w:r>
      <w:r w:rsidR="0041428E" w:rsidRPr="004068F6">
        <w:rPr>
          <w:spacing w:val="-3"/>
        </w:rPr>
        <w:t>determinar</w:t>
      </w:r>
      <w:r w:rsidRPr="004068F6">
        <w:rPr>
          <w:spacing w:val="-3"/>
        </w:rPr>
        <w:t xml:space="preserve"> las fuentes de emisión </w:t>
      </w:r>
      <w:r w:rsidR="003F24F9" w:rsidRPr="004068F6">
        <w:rPr>
          <w:rFonts w:cs="Arial"/>
          <w:spacing w:val="-3"/>
          <w:lang w:eastAsia="es-CO"/>
        </w:rPr>
        <w:t>se debe</w:t>
      </w:r>
      <w:r w:rsidRPr="004068F6">
        <w:rPr>
          <w:rFonts w:cs="Arial"/>
          <w:spacing w:val="-3"/>
          <w:lang w:eastAsia="es-CO"/>
        </w:rPr>
        <w:t xml:space="preserve">n consultar </w:t>
      </w:r>
      <w:r w:rsidRPr="004068F6">
        <w:rPr>
          <w:spacing w:val="-3"/>
        </w:rPr>
        <w:t xml:space="preserve">inventarios formales de emisiones (que incluyen la caracterización de presencia de fuentes de emisión y cuantificación de emisiones), así como </w:t>
      </w:r>
      <w:r w:rsidR="00AD32C2" w:rsidRPr="004068F6">
        <w:rPr>
          <w:rFonts w:cs="Arial"/>
          <w:spacing w:val="-3"/>
          <w:lang w:eastAsia="es-CO"/>
        </w:rPr>
        <w:t xml:space="preserve">otras fuentes de </w:t>
      </w:r>
      <w:r w:rsidR="003F24F9" w:rsidRPr="004068F6">
        <w:rPr>
          <w:rFonts w:cs="Arial"/>
          <w:spacing w:val="-3"/>
          <w:lang w:eastAsia="es-CO"/>
        </w:rPr>
        <w:t xml:space="preserve">información sobre </w:t>
      </w:r>
      <w:r w:rsidR="00AD32C2" w:rsidRPr="004068F6">
        <w:rPr>
          <w:rFonts w:cs="Arial"/>
          <w:spacing w:val="-3"/>
          <w:lang w:eastAsia="es-CO"/>
        </w:rPr>
        <w:t>emisiones atmosféricas</w:t>
      </w:r>
      <w:r w:rsidR="003F24F9" w:rsidRPr="004068F6">
        <w:rPr>
          <w:rFonts w:cs="Arial"/>
          <w:spacing w:val="-3"/>
          <w:lang w:eastAsia="es-CO"/>
        </w:rPr>
        <w:t xml:space="preserve"> como </w:t>
      </w:r>
      <w:r w:rsidR="00D12133" w:rsidRPr="004068F6">
        <w:rPr>
          <w:rFonts w:cs="Arial"/>
          <w:spacing w:val="-3"/>
          <w:lang w:eastAsia="es-CO"/>
        </w:rPr>
        <w:t xml:space="preserve">el Sistema para el Análisis y Gestión de Información del Licenciamiento Ambiental (AGIL) en dónde es posible consultar la ubicación geográfica de los proyectos licenciados, y la Ventanilla Integral de Trámites Ambientales (VITAL), en dónde se puede consultar la información documental de cada uno de </w:t>
      </w:r>
      <w:r w:rsidR="00AD32C2" w:rsidRPr="004068F6">
        <w:rPr>
          <w:rFonts w:cs="Arial"/>
          <w:spacing w:val="-3"/>
          <w:lang w:eastAsia="es-CO"/>
        </w:rPr>
        <w:t xml:space="preserve">los proyectos </w:t>
      </w:r>
      <w:r w:rsidR="003F24F9" w:rsidRPr="004068F6">
        <w:rPr>
          <w:rFonts w:cs="Arial"/>
          <w:spacing w:val="-3"/>
          <w:lang w:eastAsia="es-CO"/>
        </w:rPr>
        <w:t xml:space="preserve">licenciados </w:t>
      </w:r>
      <w:r w:rsidR="00AD32C2" w:rsidRPr="004068F6">
        <w:rPr>
          <w:rFonts w:cs="Arial"/>
          <w:spacing w:val="-3"/>
          <w:lang w:eastAsia="es-CO"/>
        </w:rPr>
        <w:t>que cuentan con permisos de emisiones vigentes</w:t>
      </w:r>
      <w:r w:rsidR="00AC688F" w:rsidRPr="004068F6">
        <w:rPr>
          <w:rFonts w:cs="Arial"/>
          <w:spacing w:val="-3"/>
          <w:lang w:eastAsia="es-CO"/>
        </w:rPr>
        <w:t xml:space="preserve"> o fuentes de emisión autorizadas</w:t>
      </w:r>
      <w:r w:rsidR="00AD32C2" w:rsidRPr="004068F6">
        <w:rPr>
          <w:rFonts w:cs="Arial"/>
          <w:spacing w:val="-3"/>
          <w:lang w:eastAsia="es-CO"/>
        </w:rPr>
        <w:t xml:space="preserve">, así como permisos de emisiones otorgados </w:t>
      </w:r>
      <w:r w:rsidR="00AC688F" w:rsidRPr="004068F6">
        <w:rPr>
          <w:rFonts w:cs="Arial"/>
          <w:spacing w:val="-3"/>
          <w:lang w:eastAsia="es-CO"/>
        </w:rPr>
        <w:t xml:space="preserve">o fuentes emisión autorizadas </w:t>
      </w:r>
      <w:r w:rsidR="00AD32C2" w:rsidRPr="004068F6">
        <w:rPr>
          <w:rFonts w:cs="Arial"/>
          <w:spacing w:val="-3"/>
          <w:lang w:eastAsia="es-CO"/>
        </w:rPr>
        <w:t xml:space="preserve">por las </w:t>
      </w:r>
      <w:r w:rsidR="008F5EFA" w:rsidRPr="004068F6">
        <w:rPr>
          <w:rFonts w:cs="Arial"/>
          <w:spacing w:val="-3"/>
          <w:lang w:eastAsia="es-CO"/>
        </w:rPr>
        <w:t>a</w:t>
      </w:r>
      <w:r w:rsidR="00AD32C2" w:rsidRPr="004068F6">
        <w:rPr>
          <w:rFonts w:cs="Arial"/>
          <w:spacing w:val="-3"/>
          <w:lang w:eastAsia="es-CO"/>
        </w:rPr>
        <w:t xml:space="preserve">utoridades </w:t>
      </w:r>
      <w:r w:rsidR="008F5EFA" w:rsidRPr="004068F6">
        <w:rPr>
          <w:rFonts w:cs="Arial"/>
          <w:spacing w:val="-3"/>
          <w:lang w:eastAsia="es-CO"/>
        </w:rPr>
        <w:t>a</w:t>
      </w:r>
      <w:r w:rsidR="00AD32C2" w:rsidRPr="004068F6">
        <w:rPr>
          <w:rFonts w:cs="Arial"/>
          <w:spacing w:val="-3"/>
          <w:lang w:eastAsia="es-CO"/>
        </w:rPr>
        <w:t>mbientales</w:t>
      </w:r>
      <w:r w:rsidR="00AD32C2" w:rsidRPr="004068F6">
        <w:rPr>
          <w:spacing w:val="-3"/>
        </w:rPr>
        <w:t>.</w:t>
      </w:r>
    </w:p>
    <w:p w14:paraId="032B5DA4" w14:textId="77777777" w:rsidR="00AD32C2" w:rsidRPr="004068F6" w:rsidRDefault="00AD32C2" w:rsidP="00AD32C2">
      <w:pPr>
        <w:numPr>
          <w:ilvl w:val="12"/>
          <w:numId w:val="0"/>
        </w:numPr>
        <w:tabs>
          <w:tab w:val="left" w:pos="-2268"/>
        </w:tabs>
        <w:suppressAutoHyphens/>
        <w:rPr>
          <w:spacing w:val="-3"/>
        </w:rPr>
      </w:pPr>
    </w:p>
    <w:p w14:paraId="0A07FA6D" w14:textId="02470C46" w:rsidR="00F97C5C" w:rsidRPr="004068F6" w:rsidRDefault="00D12133" w:rsidP="00AD32C2">
      <w:pPr>
        <w:numPr>
          <w:ilvl w:val="12"/>
          <w:numId w:val="0"/>
        </w:numPr>
        <w:tabs>
          <w:tab w:val="left" w:pos="-2268"/>
        </w:tabs>
        <w:suppressAutoHyphens/>
        <w:rPr>
          <w:spacing w:val="-3"/>
        </w:rPr>
      </w:pPr>
      <w:r w:rsidRPr="004068F6">
        <w:rPr>
          <w:spacing w:val="-3"/>
        </w:rPr>
        <w:t>Por lo anterior, mediante la consulta de fuentes de información secundaria (entidades del Estado, estudios ambientales de proyectos cercanos, departamentos, municipios, peajes, entre otras), se debe presentar como mínimo la siguiente información</w:t>
      </w:r>
      <w:r w:rsidR="00AD32C2" w:rsidRPr="004068F6">
        <w:rPr>
          <w:rStyle w:val="Refdenotaalpie"/>
          <w:spacing w:val="-3"/>
          <w:lang w:val="es-CO"/>
        </w:rPr>
        <w:footnoteReference w:id="54"/>
      </w:r>
    </w:p>
    <w:p w14:paraId="5433890B" w14:textId="77777777" w:rsidR="00F97C5C" w:rsidRPr="004068F6" w:rsidRDefault="00F97C5C">
      <w:pPr>
        <w:numPr>
          <w:ilvl w:val="12"/>
          <w:numId w:val="0"/>
        </w:numPr>
        <w:tabs>
          <w:tab w:val="left" w:pos="-2268"/>
        </w:tabs>
        <w:suppressAutoHyphens/>
        <w:rPr>
          <w:spacing w:val="-3"/>
        </w:rPr>
      </w:pPr>
    </w:p>
    <w:p w14:paraId="581D3EEA" w14:textId="2E1C095A" w:rsidR="00F97C5C" w:rsidRPr="004068F6" w:rsidRDefault="0041428E" w:rsidP="00C86DA5">
      <w:pPr>
        <w:numPr>
          <w:ilvl w:val="0"/>
          <w:numId w:val="58"/>
        </w:numPr>
        <w:tabs>
          <w:tab w:val="clear" w:pos="360"/>
        </w:tabs>
        <w:suppressAutoHyphens/>
        <w:ind w:left="567" w:hanging="567"/>
        <w:rPr>
          <w:spacing w:val="-3"/>
        </w:rPr>
      </w:pPr>
      <w:bookmarkStart w:id="2255" w:name="_Hlk73637450"/>
      <w:r w:rsidRPr="004068F6">
        <w:rPr>
          <w:spacing w:val="-3"/>
        </w:rPr>
        <w:t xml:space="preserve">Determinación </w:t>
      </w:r>
      <w:r w:rsidR="00F97C5C" w:rsidRPr="004068F6">
        <w:rPr>
          <w:spacing w:val="-3"/>
        </w:rPr>
        <w:t>y georreferencia</w:t>
      </w:r>
      <w:r w:rsidR="00792F7C" w:rsidRPr="004068F6">
        <w:rPr>
          <w:spacing w:val="-3"/>
        </w:rPr>
        <w:t>ción</w:t>
      </w:r>
      <w:r w:rsidR="00F97C5C" w:rsidRPr="004068F6">
        <w:rPr>
          <w:spacing w:val="-3"/>
        </w:rPr>
        <w:t xml:space="preserve"> </w:t>
      </w:r>
      <w:r w:rsidR="00D12133" w:rsidRPr="004068F6">
        <w:rPr>
          <w:spacing w:val="-3"/>
        </w:rPr>
        <w:t xml:space="preserve">de </w:t>
      </w:r>
      <w:r w:rsidR="00F97C5C" w:rsidRPr="004068F6">
        <w:rPr>
          <w:spacing w:val="-3"/>
        </w:rPr>
        <w:t xml:space="preserve">las fuentes fijas de emisión atmosférica </w:t>
      </w:r>
      <w:r w:rsidR="007326F6" w:rsidRPr="004068F6">
        <w:rPr>
          <w:spacing w:val="-3"/>
        </w:rPr>
        <w:t xml:space="preserve">dispersas de área y puntuales </w:t>
      </w:r>
      <w:r w:rsidR="00F97C5C" w:rsidRPr="004068F6">
        <w:rPr>
          <w:spacing w:val="-3"/>
        </w:rPr>
        <w:t>existentes</w:t>
      </w:r>
      <w:bookmarkEnd w:id="2255"/>
      <w:r w:rsidR="007326F6" w:rsidRPr="004068F6">
        <w:rPr>
          <w:spacing w:val="-3"/>
        </w:rPr>
        <w:t xml:space="preserve">, </w:t>
      </w:r>
      <w:r w:rsidR="00F97C5C" w:rsidRPr="004068F6">
        <w:rPr>
          <w:spacing w:val="-3"/>
        </w:rPr>
        <w:t>señalando el tipo de fuente</w:t>
      </w:r>
      <w:r w:rsidR="00F97C5C" w:rsidRPr="004068F6">
        <w:rPr>
          <w:rFonts w:cs="Arial"/>
          <w:spacing w:val="-3"/>
        </w:rPr>
        <w:t>, temporalidad</w:t>
      </w:r>
      <w:r w:rsidR="00F97C5C" w:rsidRPr="004068F6">
        <w:rPr>
          <w:spacing w:val="-3"/>
        </w:rPr>
        <w:t xml:space="preserve"> y la actividad económica asociada.</w:t>
      </w:r>
    </w:p>
    <w:p w14:paraId="750381A1" w14:textId="77777777" w:rsidR="00F97C5C" w:rsidRPr="004068F6" w:rsidRDefault="00F97C5C">
      <w:pPr>
        <w:suppressAutoHyphens/>
        <w:rPr>
          <w:spacing w:val="-3"/>
        </w:rPr>
      </w:pPr>
    </w:p>
    <w:p w14:paraId="2290E989" w14:textId="3571E3E1" w:rsidR="00F97C5C" w:rsidRPr="004068F6" w:rsidRDefault="0041428E" w:rsidP="00C86DA5">
      <w:pPr>
        <w:numPr>
          <w:ilvl w:val="0"/>
          <w:numId w:val="58"/>
        </w:numPr>
        <w:tabs>
          <w:tab w:val="clear" w:pos="360"/>
        </w:tabs>
        <w:suppressAutoHyphens/>
        <w:ind w:left="567" w:hanging="567"/>
        <w:rPr>
          <w:spacing w:val="-3"/>
        </w:rPr>
      </w:pPr>
      <w:r w:rsidRPr="004068F6">
        <w:rPr>
          <w:spacing w:val="-3"/>
        </w:rPr>
        <w:t>Determinación</w:t>
      </w:r>
      <w:r w:rsidR="00F97C5C" w:rsidRPr="004068F6">
        <w:rPr>
          <w:spacing w:val="-3"/>
        </w:rPr>
        <w:t xml:space="preserve"> y georreferencia</w:t>
      </w:r>
      <w:r w:rsidR="00792F7C" w:rsidRPr="004068F6">
        <w:rPr>
          <w:spacing w:val="-3"/>
        </w:rPr>
        <w:t>ción de</w:t>
      </w:r>
      <w:r w:rsidR="00F97C5C" w:rsidRPr="004068F6">
        <w:rPr>
          <w:spacing w:val="-3"/>
        </w:rPr>
        <w:t xml:space="preserve"> los trazados de las fuentes</w:t>
      </w:r>
      <w:r w:rsidR="00F97C5C" w:rsidRPr="004068F6">
        <w:rPr>
          <w:rFonts w:cs="Arial"/>
          <w:spacing w:val="-3"/>
        </w:rPr>
        <w:t xml:space="preserve"> lineales y</w:t>
      </w:r>
      <w:r w:rsidR="00F97C5C" w:rsidRPr="004068F6">
        <w:rPr>
          <w:spacing w:val="-3"/>
        </w:rPr>
        <w:t xml:space="preserve"> móviles con sus respectivos aforos</w:t>
      </w:r>
      <w:r w:rsidR="00D12133" w:rsidRPr="004068F6">
        <w:rPr>
          <w:spacing w:val="-3"/>
        </w:rPr>
        <w:t xml:space="preserve"> (los aforos deben </w:t>
      </w:r>
      <w:r w:rsidR="001A7EFF" w:rsidRPr="004068F6">
        <w:rPr>
          <w:spacing w:val="-3"/>
        </w:rPr>
        <w:t xml:space="preserve">presentarse sólo cuando puedan ser obtenidos </w:t>
      </w:r>
      <w:r w:rsidR="00D12133" w:rsidRPr="004068F6">
        <w:rPr>
          <w:spacing w:val="-3"/>
        </w:rPr>
        <w:t>de información secundaria</w:t>
      </w:r>
      <w:r w:rsidR="001A7EFF" w:rsidRPr="004068F6">
        <w:rPr>
          <w:spacing w:val="-3"/>
        </w:rPr>
        <w:t>)</w:t>
      </w:r>
      <w:r w:rsidR="00F97C5C" w:rsidRPr="004068F6">
        <w:rPr>
          <w:spacing w:val="-3"/>
        </w:rPr>
        <w:t>.</w:t>
      </w:r>
    </w:p>
    <w:p w14:paraId="2C5C03EA" w14:textId="77777777" w:rsidR="00F97C5C" w:rsidRPr="004068F6" w:rsidRDefault="00F97C5C">
      <w:pPr>
        <w:suppressAutoHyphens/>
        <w:rPr>
          <w:spacing w:val="-3"/>
        </w:rPr>
      </w:pPr>
    </w:p>
    <w:p w14:paraId="610EE4FF" w14:textId="012526C2" w:rsidR="00F97C5C" w:rsidRPr="004068F6" w:rsidRDefault="0041428E" w:rsidP="00C86DA5">
      <w:pPr>
        <w:numPr>
          <w:ilvl w:val="0"/>
          <w:numId w:val="58"/>
        </w:numPr>
        <w:tabs>
          <w:tab w:val="clear" w:pos="360"/>
        </w:tabs>
        <w:suppressAutoHyphens/>
        <w:ind w:left="567" w:hanging="567"/>
        <w:rPr>
          <w:spacing w:val="-3"/>
        </w:rPr>
      </w:pPr>
      <w:r w:rsidRPr="004068F6">
        <w:rPr>
          <w:spacing w:val="-3"/>
        </w:rPr>
        <w:lastRenderedPageBreak/>
        <w:t xml:space="preserve">Determinación </w:t>
      </w:r>
      <w:r w:rsidR="00F97C5C" w:rsidRPr="004068F6">
        <w:rPr>
          <w:spacing w:val="-3"/>
        </w:rPr>
        <w:t>y georreferencia</w:t>
      </w:r>
      <w:r w:rsidR="00792F7C" w:rsidRPr="004068F6">
        <w:rPr>
          <w:spacing w:val="-3"/>
        </w:rPr>
        <w:t>ción de</w:t>
      </w:r>
      <w:r w:rsidR="00F97C5C" w:rsidRPr="004068F6">
        <w:rPr>
          <w:spacing w:val="-3"/>
        </w:rPr>
        <w:t xml:space="preserve"> las fuentes </w:t>
      </w:r>
      <w:r w:rsidR="00BB42D2" w:rsidRPr="004068F6">
        <w:rPr>
          <w:spacing w:val="-3"/>
        </w:rPr>
        <w:t xml:space="preserve">naturales </w:t>
      </w:r>
      <w:r w:rsidR="00F97C5C" w:rsidRPr="004068F6">
        <w:rPr>
          <w:spacing w:val="-3"/>
        </w:rPr>
        <w:t>de emisión atmosférica relevantes (volcanes, desiertos, entre otras).</w:t>
      </w:r>
    </w:p>
    <w:p w14:paraId="1374054C" w14:textId="77777777" w:rsidR="00F97C5C" w:rsidRPr="004068F6" w:rsidRDefault="00F97C5C">
      <w:pPr>
        <w:suppressAutoHyphens/>
        <w:rPr>
          <w:spacing w:val="-3"/>
        </w:rPr>
      </w:pPr>
    </w:p>
    <w:p w14:paraId="64FBF558" w14:textId="2372CCBE" w:rsidR="00F97C5C" w:rsidRPr="00492445" w:rsidRDefault="0041428E" w:rsidP="00C86DA5">
      <w:pPr>
        <w:numPr>
          <w:ilvl w:val="0"/>
          <w:numId w:val="59"/>
        </w:numPr>
        <w:tabs>
          <w:tab w:val="left" w:pos="-2268"/>
        </w:tabs>
        <w:suppressAutoHyphens/>
        <w:ind w:left="567" w:hanging="567"/>
        <w:rPr>
          <w:spacing w:val="-3"/>
        </w:rPr>
      </w:pPr>
      <w:r w:rsidRPr="00492445">
        <w:rPr>
          <w:spacing w:val="-3"/>
        </w:rPr>
        <w:t xml:space="preserve">Determinación </w:t>
      </w:r>
      <w:r w:rsidR="00F97C5C" w:rsidRPr="00492445">
        <w:rPr>
          <w:spacing w:val="-3"/>
        </w:rPr>
        <w:t>y georreferencia</w:t>
      </w:r>
      <w:r w:rsidR="00792F7C" w:rsidRPr="00492445">
        <w:rPr>
          <w:spacing w:val="-3"/>
        </w:rPr>
        <w:t>ción de</w:t>
      </w:r>
      <w:r w:rsidR="00F97C5C" w:rsidRPr="00492445">
        <w:rPr>
          <w:spacing w:val="-3"/>
        </w:rPr>
        <w:t xml:space="preserve"> los potenciales receptores de interés, ubicados en asentamientos humanos (viviendas, </w:t>
      </w:r>
      <w:r w:rsidR="00F97C5C" w:rsidRPr="00492445">
        <w:rPr>
          <w:rFonts w:cs="Arial"/>
          <w:spacing w:val="-3"/>
        </w:rPr>
        <w:t xml:space="preserve">e </w:t>
      </w:r>
      <w:r w:rsidR="00F97C5C" w:rsidRPr="00492445">
        <w:rPr>
          <w:spacing w:val="-3"/>
        </w:rPr>
        <w:t xml:space="preserve">infraestructura social, económica, cultural o recreativa), </w:t>
      </w:r>
      <w:r w:rsidR="00F97C5C" w:rsidRPr="00492445">
        <w:rPr>
          <w:rFonts w:cs="Arial"/>
          <w:spacing w:val="-3"/>
        </w:rPr>
        <w:t xml:space="preserve">en </w:t>
      </w:r>
      <w:r w:rsidR="00F97C5C" w:rsidRPr="00492445">
        <w:rPr>
          <w:spacing w:val="-3"/>
        </w:rPr>
        <w:t xml:space="preserve">zonas </w:t>
      </w:r>
      <w:r w:rsidR="00AE2C05">
        <w:rPr>
          <w:spacing w:val="-3"/>
        </w:rPr>
        <w:t>rurales</w:t>
      </w:r>
      <w:r w:rsidR="00AE2C05" w:rsidRPr="00492445">
        <w:rPr>
          <w:spacing w:val="-3"/>
        </w:rPr>
        <w:t xml:space="preserve"> </w:t>
      </w:r>
      <w:r w:rsidR="00F97C5C" w:rsidRPr="00492445">
        <w:rPr>
          <w:spacing w:val="-3"/>
        </w:rPr>
        <w:t>y en áreas con elementos naturales susceptibles.</w:t>
      </w:r>
    </w:p>
    <w:p w14:paraId="31002EC6" w14:textId="77777777" w:rsidR="00F97C5C" w:rsidRPr="004068F6" w:rsidRDefault="00F97C5C">
      <w:pPr>
        <w:suppressAutoHyphens/>
        <w:rPr>
          <w:spacing w:val="-3"/>
        </w:rPr>
      </w:pPr>
    </w:p>
    <w:p w14:paraId="6F0F3ACB" w14:textId="532B1A2B" w:rsidR="00D16EE9" w:rsidRPr="004068F6" w:rsidRDefault="00A01691" w:rsidP="00C86DA5">
      <w:pPr>
        <w:suppressAutoHyphens/>
        <w:rPr>
          <w:spacing w:val="-3"/>
        </w:rPr>
      </w:pPr>
      <w:r w:rsidRPr="004068F6">
        <w:rPr>
          <w:spacing w:val="-3"/>
        </w:rPr>
        <w:t>Si existe un</w:t>
      </w:r>
      <w:r w:rsidR="00F97C5C" w:rsidRPr="004068F6">
        <w:rPr>
          <w:spacing w:val="-3"/>
        </w:rPr>
        <w:t xml:space="preserve"> inventario </w:t>
      </w:r>
      <w:r w:rsidR="00F97C5C" w:rsidRPr="004068F6">
        <w:rPr>
          <w:rFonts w:cs="Arial"/>
          <w:spacing w:val="-3"/>
        </w:rPr>
        <w:t>oficial</w:t>
      </w:r>
      <w:r w:rsidR="00F97C5C" w:rsidRPr="004068F6">
        <w:rPr>
          <w:spacing w:val="-3"/>
        </w:rPr>
        <w:t xml:space="preserve"> de emisiones, </w:t>
      </w:r>
      <w:r w:rsidR="00143271" w:rsidRPr="004068F6">
        <w:rPr>
          <w:spacing w:val="-3"/>
        </w:rPr>
        <w:t xml:space="preserve">se </w:t>
      </w:r>
      <w:r w:rsidR="00F97C5C" w:rsidRPr="004068F6">
        <w:rPr>
          <w:spacing w:val="-3"/>
        </w:rPr>
        <w:t xml:space="preserve">debe </w:t>
      </w:r>
      <w:r w:rsidR="00BB42D2" w:rsidRPr="004068F6">
        <w:rPr>
          <w:spacing w:val="-3"/>
        </w:rPr>
        <w:t xml:space="preserve">suministrar la </w:t>
      </w:r>
      <w:r w:rsidR="00792F7C" w:rsidRPr="004068F6">
        <w:rPr>
          <w:rFonts w:cs="Arial"/>
          <w:color w:val="000000"/>
          <w:spacing w:val="-3"/>
        </w:rPr>
        <w:t xml:space="preserve">relación y georreferenciación </w:t>
      </w:r>
      <w:r w:rsidR="00F97C5C" w:rsidRPr="004068F6">
        <w:rPr>
          <w:spacing w:val="-3"/>
        </w:rPr>
        <w:t>de las emisiones por fuente</w:t>
      </w:r>
      <w:r w:rsidR="004E087B" w:rsidRPr="004068F6">
        <w:rPr>
          <w:spacing w:val="-3"/>
        </w:rPr>
        <w:t xml:space="preserve">, señalando </w:t>
      </w:r>
      <w:r w:rsidR="00F97C5C" w:rsidRPr="004068F6">
        <w:rPr>
          <w:spacing w:val="-3"/>
        </w:rPr>
        <w:t>los tipos de contaminantes generados.</w:t>
      </w:r>
    </w:p>
    <w:p w14:paraId="364F67EC" w14:textId="77777777" w:rsidR="00F97C5C" w:rsidRPr="004068F6" w:rsidRDefault="00F97C5C">
      <w:pPr>
        <w:numPr>
          <w:ilvl w:val="12"/>
          <w:numId w:val="0"/>
        </w:numPr>
        <w:tabs>
          <w:tab w:val="left" w:pos="-2268"/>
        </w:tabs>
        <w:suppressAutoHyphens/>
        <w:rPr>
          <w:spacing w:val="-3"/>
        </w:rPr>
      </w:pPr>
    </w:p>
    <w:p w14:paraId="1F528B0C" w14:textId="209A7ED4" w:rsidR="00F97C5C" w:rsidRPr="004068F6" w:rsidRDefault="00AC688F" w:rsidP="009420F5">
      <w:pPr>
        <w:pStyle w:val="Ttulo4"/>
        <w:tabs>
          <w:tab w:val="clear" w:pos="1844"/>
          <w:tab w:val="num" w:pos="1134"/>
        </w:tabs>
        <w:ind w:left="0"/>
        <w:rPr>
          <w:lang w:val="es-CO"/>
        </w:rPr>
      </w:pPr>
      <w:r w:rsidRPr="004068F6">
        <w:rPr>
          <w:lang w:val="es-CO"/>
        </w:rPr>
        <w:t>Calidad del aire y m</w:t>
      </w:r>
      <w:r w:rsidR="00F97C5C" w:rsidRPr="004068F6">
        <w:rPr>
          <w:lang w:val="es-CO"/>
        </w:rPr>
        <w:t>odelización de escenarios (información de inmisión)</w:t>
      </w:r>
    </w:p>
    <w:p w14:paraId="3CAD1BAF" w14:textId="77777777" w:rsidR="00F97C5C" w:rsidRPr="004068F6" w:rsidRDefault="00F97C5C">
      <w:pPr>
        <w:numPr>
          <w:ilvl w:val="12"/>
          <w:numId w:val="0"/>
        </w:numPr>
        <w:tabs>
          <w:tab w:val="left" w:pos="-2268"/>
        </w:tabs>
        <w:suppressAutoHyphens/>
        <w:rPr>
          <w:spacing w:val="-3"/>
        </w:rPr>
      </w:pPr>
    </w:p>
    <w:p w14:paraId="539A4246" w14:textId="3797B658" w:rsidR="000C04A3" w:rsidRPr="004068F6" w:rsidRDefault="000C04A3" w:rsidP="000C04A3">
      <w:pPr>
        <w:numPr>
          <w:ilvl w:val="12"/>
          <w:numId w:val="0"/>
        </w:numPr>
        <w:tabs>
          <w:tab w:val="left" w:pos="-2268"/>
        </w:tabs>
        <w:suppressAutoHyphens/>
        <w:rPr>
          <w:spacing w:val="-3"/>
        </w:rPr>
      </w:pPr>
      <w:r w:rsidRPr="004068F6">
        <w:rPr>
          <w:spacing w:val="-3"/>
        </w:rPr>
        <w:t>Si existe información secundaria del Subsistema de Información sobre la Calidad de Aire (SISAIRE), de monitoreos de campañas de calidad del aire de conocimiento público de laboratorios acreditados por el Ideam o información de inmisión por modelización de entidades de reconocida idoneidad científica nacional o internacional, se debe determinar el estado de la calidad del aire en concentración para gases y material particulado, sobre los receptores identificados para cada alternativa del proyecto. En caso de contar con la anterior información, se debe como mínimo tener en cuenta la información de concentraciones y direcciones de viento, con el fin de correlacionarlas y generar análisis cercano del comportamiento de la dispersión, se debe allegar la georreferenciación de los puntos de obtención de información de los parámetros evaluados.</w:t>
      </w:r>
    </w:p>
    <w:p w14:paraId="30DAF0F6" w14:textId="77777777" w:rsidR="000C04A3" w:rsidRPr="004068F6" w:rsidRDefault="000C04A3">
      <w:pPr>
        <w:numPr>
          <w:ilvl w:val="12"/>
          <w:numId w:val="0"/>
        </w:numPr>
        <w:tabs>
          <w:tab w:val="left" w:pos="-2268"/>
        </w:tabs>
        <w:suppressAutoHyphens/>
        <w:rPr>
          <w:spacing w:val="-3"/>
        </w:rPr>
      </w:pPr>
    </w:p>
    <w:p w14:paraId="37F2E7B0" w14:textId="1B67B6C1" w:rsidR="00EB3F94" w:rsidRPr="004068F6" w:rsidRDefault="00F97C5C">
      <w:pPr>
        <w:numPr>
          <w:ilvl w:val="12"/>
          <w:numId w:val="0"/>
        </w:numPr>
        <w:tabs>
          <w:tab w:val="left" w:pos="-2268"/>
        </w:tabs>
        <w:suppressAutoHyphens/>
        <w:rPr>
          <w:spacing w:val="-3"/>
        </w:rPr>
      </w:pPr>
      <w:r w:rsidRPr="004068F6">
        <w:rPr>
          <w:spacing w:val="-3"/>
        </w:rPr>
        <w:t xml:space="preserve">En caso de contar con </w:t>
      </w:r>
      <w:r w:rsidR="00082675" w:rsidRPr="004068F6">
        <w:rPr>
          <w:spacing w:val="-3"/>
        </w:rPr>
        <w:t xml:space="preserve">una </w:t>
      </w:r>
      <w:r w:rsidRPr="004068F6">
        <w:rPr>
          <w:spacing w:val="-3"/>
        </w:rPr>
        <w:t xml:space="preserve">cuantificación </w:t>
      </w:r>
      <w:r w:rsidRPr="004068F6">
        <w:rPr>
          <w:rFonts w:cs="Arial"/>
          <w:spacing w:val="-3"/>
        </w:rPr>
        <w:t>oficial</w:t>
      </w:r>
      <w:r w:rsidRPr="004068F6">
        <w:rPr>
          <w:spacing w:val="-3"/>
        </w:rPr>
        <w:t xml:space="preserve"> de </w:t>
      </w:r>
      <w:r w:rsidR="00082675" w:rsidRPr="004068F6">
        <w:rPr>
          <w:spacing w:val="-3"/>
        </w:rPr>
        <w:t xml:space="preserve">las </w:t>
      </w:r>
      <w:r w:rsidRPr="004068F6">
        <w:rPr>
          <w:spacing w:val="-3"/>
        </w:rPr>
        <w:t xml:space="preserve">emisiones </w:t>
      </w:r>
      <w:r w:rsidR="006B2A86" w:rsidRPr="004068F6">
        <w:rPr>
          <w:rFonts w:cs="Arial"/>
          <w:spacing w:val="-3"/>
        </w:rPr>
        <w:t>y cuando el proyecto</w:t>
      </w:r>
      <w:r w:rsidR="00C00632" w:rsidRPr="004068F6">
        <w:rPr>
          <w:rFonts w:cs="Arial"/>
          <w:spacing w:val="-3"/>
        </w:rPr>
        <w:t>, obra o actividad pueda</w:t>
      </w:r>
      <w:r w:rsidR="00EB3F94" w:rsidRPr="004068F6">
        <w:rPr>
          <w:rFonts w:cs="Arial"/>
          <w:spacing w:val="-3"/>
        </w:rPr>
        <w:t xml:space="preserve"> generar</w:t>
      </w:r>
      <w:r w:rsidR="006B2A86" w:rsidRPr="004068F6">
        <w:rPr>
          <w:rFonts w:cs="Arial"/>
          <w:spacing w:val="-3"/>
        </w:rPr>
        <w:t xml:space="preserve"> un impacto por las fuentes de emisión</w:t>
      </w:r>
      <w:r w:rsidRPr="004068F6">
        <w:rPr>
          <w:spacing w:val="-3"/>
        </w:rPr>
        <w:t xml:space="preserve">, se debe realizar </w:t>
      </w:r>
      <w:r w:rsidR="00B177B5" w:rsidRPr="004068F6">
        <w:rPr>
          <w:spacing w:val="-3"/>
        </w:rPr>
        <w:t xml:space="preserve">una </w:t>
      </w:r>
      <w:r w:rsidRPr="004068F6">
        <w:rPr>
          <w:spacing w:val="-3"/>
        </w:rPr>
        <w:t xml:space="preserve">modelización </w:t>
      </w:r>
      <w:r w:rsidR="006B2A86" w:rsidRPr="004068F6">
        <w:rPr>
          <w:spacing w:val="-3"/>
        </w:rPr>
        <w:t xml:space="preserve">básica </w:t>
      </w:r>
      <w:r w:rsidRPr="004068F6">
        <w:rPr>
          <w:spacing w:val="-3"/>
        </w:rPr>
        <w:t xml:space="preserve">de la dispersión de los contaminantes en el área de estudio para cada una de </w:t>
      </w:r>
      <w:r w:rsidR="00EB3F94" w:rsidRPr="004068F6">
        <w:rPr>
          <w:spacing w:val="-3"/>
        </w:rPr>
        <w:t>sus</w:t>
      </w:r>
      <w:r w:rsidRPr="004068F6">
        <w:rPr>
          <w:spacing w:val="-3"/>
        </w:rPr>
        <w:t xml:space="preserve"> alternativas </w:t>
      </w:r>
      <w:r w:rsidR="00082675" w:rsidRPr="004068F6">
        <w:rPr>
          <w:spacing w:val="-3"/>
        </w:rPr>
        <w:t>(por ejemplo mediante modelos de caja o screening)</w:t>
      </w:r>
      <w:r w:rsidRPr="004068F6">
        <w:rPr>
          <w:spacing w:val="-3"/>
        </w:rPr>
        <w:t xml:space="preserve">, incluyendo los receptores de contaminación </w:t>
      </w:r>
      <w:r w:rsidR="0041428E" w:rsidRPr="004068F6">
        <w:rPr>
          <w:spacing w:val="-3"/>
        </w:rPr>
        <w:t xml:space="preserve">y las fuentes de emisión identificadas en el numeral </w:t>
      </w:r>
      <w:r w:rsidR="0041428E" w:rsidRPr="004068F6">
        <w:rPr>
          <w:spacing w:val="-3"/>
        </w:rPr>
        <w:fldChar w:fldCharType="begin"/>
      </w:r>
      <w:r w:rsidR="0041428E" w:rsidRPr="004068F6">
        <w:rPr>
          <w:spacing w:val="-3"/>
        </w:rPr>
        <w:instrText xml:space="preserve"> REF _Ref75776034 \r \h  \* MERGEFORMAT </w:instrText>
      </w:r>
      <w:r w:rsidR="0041428E" w:rsidRPr="004068F6">
        <w:rPr>
          <w:spacing w:val="-3"/>
        </w:rPr>
      </w:r>
      <w:r w:rsidR="0041428E" w:rsidRPr="004068F6">
        <w:rPr>
          <w:spacing w:val="-3"/>
        </w:rPr>
        <w:fldChar w:fldCharType="separate"/>
      </w:r>
      <w:r w:rsidR="009C4A81">
        <w:rPr>
          <w:spacing w:val="-3"/>
        </w:rPr>
        <w:t>4.1.6.2</w:t>
      </w:r>
      <w:r w:rsidR="0041428E" w:rsidRPr="004068F6">
        <w:rPr>
          <w:spacing w:val="-3"/>
        </w:rPr>
        <w:fldChar w:fldCharType="end"/>
      </w:r>
      <w:r w:rsidR="0041428E" w:rsidRPr="004068F6">
        <w:rPr>
          <w:spacing w:val="-3"/>
        </w:rPr>
        <w:t xml:space="preserve"> de este capítulo, así como</w:t>
      </w:r>
      <w:r w:rsidR="006B2A86" w:rsidRPr="004068F6">
        <w:rPr>
          <w:spacing w:val="-3"/>
        </w:rPr>
        <w:t xml:space="preserve"> la información meteorológica disponible</w:t>
      </w:r>
      <w:r w:rsidRPr="004068F6">
        <w:rPr>
          <w:spacing w:val="-3"/>
        </w:rPr>
        <w:t>.</w:t>
      </w:r>
      <w:r w:rsidR="00C95163" w:rsidRPr="004068F6">
        <w:rPr>
          <w:spacing w:val="-3"/>
        </w:rPr>
        <w:t xml:space="preserve"> Este </w:t>
      </w:r>
      <w:r w:rsidR="00EB3F94" w:rsidRPr="004068F6">
        <w:rPr>
          <w:spacing w:val="-3"/>
        </w:rPr>
        <w:t>modelo d</w:t>
      </w:r>
      <w:r w:rsidR="006B2A86" w:rsidRPr="004068F6">
        <w:rPr>
          <w:spacing w:val="-3"/>
        </w:rPr>
        <w:t>el</w:t>
      </w:r>
      <w:r w:rsidR="006B2A86" w:rsidRPr="004068F6" w:rsidDel="006B2A86">
        <w:rPr>
          <w:spacing w:val="-3"/>
        </w:rPr>
        <w:t xml:space="preserve"> </w:t>
      </w:r>
      <w:r w:rsidRPr="004068F6">
        <w:rPr>
          <w:rFonts w:cs="Arial"/>
          <w:spacing w:val="-3"/>
        </w:rPr>
        <w:t xml:space="preserve">escenario </w:t>
      </w:r>
      <w:r w:rsidR="00B177B5" w:rsidRPr="004068F6">
        <w:rPr>
          <w:rFonts w:cs="Arial"/>
          <w:spacing w:val="-3"/>
        </w:rPr>
        <w:t>sin proyecto</w:t>
      </w:r>
      <w:r w:rsidR="006B2A86" w:rsidRPr="004068F6">
        <w:rPr>
          <w:rFonts w:cs="Arial"/>
          <w:spacing w:val="-3"/>
        </w:rPr>
        <w:t xml:space="preserve"> </w:t>
      </w:r>
      <w:r w:rsidR="00C95163" w:rsidRPr="004068F6">
        <w:rPr>
          <w:spacing w:val="-3"/>
        </w:rPr>
        <w:t xml:space="preserve">debe </w:t>
      </w:r>
      <w:r w:rsidR="00082675" w:rsidRPr="004068F6">
        <w:rPr>
          <w:spacing w:val="-3"/>
        </w:rPr>
        <w:t>permit</w:t>
      </w:r>
      <w:r w:rsidR="00C95163" w:rsidRPr="004068F6">
        <w:rPr>
          <w:spacing w:val="-3"/>
        </w:rPr>
        <w:t xml:space="preserve">ir </w:t>
      </w:r>
      <w:r w:rsidR="00082675" w:rsidRPr="004068F6">
        <w:rPr>
          <w:spacing w:val="-3"/>
        </w:rPr>
        <w:t>representar</w:t>
      </w:r>
      <w:r w:rsidR="006B2A86" w:rsidRPr="004068F6">
        <w:rPr>
          <w:spacing w:val="-3"/>
        </w:rPr>
        <w:t xml:space="preserve"> de manera preliminar </w:t>
      </w:r>
      <w:r w:rsidRPr="004068F6">
        <w:rPr>
          <w:spacing w:val="-3"/>
        </w:rPr>
        <w:t>l</w:t>
      </w:r>
      <w:r w:rsidR="00EB3F94" w:rsidRPr="004068F6">
        <w:rPr>
          <w:spacing w:val="-3"/>
        </w:rPr>
        <w:t xml:space="preserve">as condiciones de línea base de </w:t>
      </w:r>
      <w:r w:rsidR="006B2A86" w:rsidRPr="004068F6">
        <w:rPr>
          <w:spacing w:val="-3"/>
        </w:rPr>
        <w:t>calidad del aire</w:t>
      </w:r>
      <w:r w:rsidR="00EB3F94" w:rsidRPr="004068F6">
        <w:rPr>
          <w:spacing w:val="-3"/>
        </w:rPr>
        <w:t>,</w:t>
      </w:r>
      <w:r w:rsidR="00C95163" w:rsidRPr="004068F6">
        <w:rPr>
          <w:spacing w:val="-3"/>
        </w:rPr>
        <w:t xml:space="preserve"> y ser soportado mediante la presentación de </w:t>
      </w:r>
      <w:r w:rsidR="00F464E8" w:rsidRPr="004068F6">
        <w:rPr>
          <w:spacing w:val="-3"/>
        </w:rPr>
        <w:t>un</w:t>
      </w:r>
      <w:r w:rsidR="00EB3F94" w:rsidRPr="004068F6">
        <w:rPr>
          <w:spacing w:val="-3"/>
        </w:rPr>
        <w:t xml:space="preserve"> informe </w:t>
      </w:r>
      <w:r w:rsidR="00A74731" w:rsidRPr="004068F6">
        <w:rPr>
          <w:spacing w:val="-3"/>
        </w:rPr>
        <w:t>que dé cuenta de la concentración de fondo</w:t>
      </w:r>
      <w:r w:rsidR="00EB3F94" w:rsidRPr="004068F6">
        <w:rPr>
          <w:spacing w:val="-3"/>
        </w:rPr>
        <w:t>.</w:t>
      </w:r>
    </w:p>
    <w:p w14:paraId="530EF04A" w14:textId="77777777" w:rsidR="001A07C4" w:rsidRPr="004068F6" w:rsidRDefault="001A07C4">
      <w:pPr>
        <w:numPr>
          <w:ilvl w:val="12"/>
          <w:numId w:val="0"/>
        </w:numPr>
        <w:tabs>
          <w:tab w:val="left" w:pos="-2268"/>
        </w:tabs>
        <w:suppressAutoHyphens/>
        <w:rPr>
          <w:spacing w:val="-3"/>
        </w:rPr>
      </w:pPr>
    </w:p>
    <w:p w14:paraId="59475796" w14:textId="38298856" w:rsidR="001A07C4" w:rsidRPr="004068F6" w:rsidRDefault="001A07C4">
      <w:pPr>
        <w:numPr>
          <w:ilvl w:val="12"/>
          <w:numId w:val="0"/>
        </w:numPr>
        <w:tabs>
          <w:tab w:val="left" w:pos="-2268"/>
        </w:tabs>
        <w:suppressAutoHyphens/>
        <w:rPr>
          <w:spacing w:val="-3"/>
        </w:rPr>
      </w:pPr>
      <w:r w:rsidRPr="004068F6">
        <w:rPr>
          <w:spacing w:val="-3"/>
        </w:rPr>
        <w:t xml:space="preserve">En caso de no contar con información secundaria, se debe dejar constancia documentada de los esfuerzos realizados para la obtención de datos, incluyendo consultas a las autoridades ambientales competentes y la revisión de plataformas oficiales como Sisaire. Adicionalmente, se debe realizar la caracterización mediante </w:t>
      </w:r>
      <w:r w:rsidRPr="004068F6">
        <w:rPr>
          <w:spacing w:val="-3"/>
        </w:rPr>
        <w:lastRenderedPageBreak/>
        <w:t>información satelital disponible, destacándose como fuentes: Copernicus Atmosphere Monitoring Service (CAMS), MODIS (NASA), Sentinel-5P (TROPOMI), u otras que permitan obtener dicha información. Se debe especificar la metodología de procesamiento empleada, la resolución espaciotemporal de los datos, las limitaciones técnicas identificadas y el análisis de los resultados obtenidos con respecto a los estándares de calidad del aire establecidos en la Resolución 2254 de 2017, o en la norma que la modifique o sustituya.</w:t>
      </w:r>
    </w:p>
    <w:p w14:paraId="78188A24" w14:textId="3E4EB0D3" w:rsidR="00F97C5C" w:rsidRPr="004068F6" w:rsidRDefault="00F97C5C">
      <w:pPr>
        <w:numPr>
          <w:ilvl w:val="12"/>
          <w:numId w:val="0"/>
        </w:numPr>
        <w:tabs>
          <w:tab w:val="left" w:pos="-2268"/>
        </w:tabs>
        <w:suppressAutoHyphens/>
        <w:rPr>
          <w:spacing w:val="-3"/>
        </w:rPr>
      </w:pPr>
    </w:p>
    <w:p w14:paraId="4A582E5B" w14:textId="5EE3A3B3" w:rsidR="00F97C5C" w:rsidRPr="004068F6" w:rsidRDefault="00F97C5C" w:rsidP="009420F5">
      <w:pPr>
        <w:pStyle w:val="Ttulo4"/>
        <w:tabs>
          <w:tab w:val="clear" w:pos="1844"/>
          <w:tab w:val="num" w:pos="1134"/>
        </w:tabs>
        <w:ind w:left="0"/>
        <w:rPr>
          <w:lang w:val="es-CO"/>
        </w:rPr>
      </w:pPr>
      <w:bookmarkStart w:id="2256" w:name="_Toc453749906"/>
      <w:r w:rsidRPr="004068F6">
        <w:rPr>
          <w:lang w:val="es-CO"/>
        </w:rPr>
        <w:t>Ruido</w:t>
      </w:r>
      <w:bookmarkEnd w:id="2256"/>
    </w:p>
    <w:p w14:paraId="33F7482E" w14:textId="77777777" w:rsidR="00F97C5C" w:rsidRPr="004068F6" w:rsidRDefault="00F97C5C">
      <w:pPr>
        <w:numPr>
          <w:ilvl w:val="12"/>
          <w:numId w:val="0"/>
        </w:numPr>
        <w:tabs>
          <w:tab w:val="left" w:pos="-2268"/>
        </w:tabs>
        <w:suppressAutoHyphens/>
        <w:rPr>
          <w:spacing w:val="-3"/>
        </w:rPr>
      </w:pPr>
    </w:p>
    <w:p w14:paraId="3098CE80" w14:textId="0308F665" w:rsidR="00F97C5C" w:rsidRPr="004068F6" w:rsidRDefault="00247708">
      <w:pPr>
        <w:numPr>
          <w:ilvl w:val="12"/>
          <w:numId w:val="0"/>
        </w:numPr>
        <w:tabs>
          <w:tab w:val="left" w:pos="-2268"/>
        </w:tabs>
        <w:suppressAutoHyphens/>
        <w:rPr>
          <w:spacing w:val="-3"/>
        </w:rPr>
      </w:pPr>
      <w:r w:rsidRPr="004068F6">
        <w:rPr>
          <w:spacing w:val="-3"/>
        </w:rPr>
        <w:t xml:space="preserve">La información de caracterización de ruido debe permitir </w:t>
      </w:r>
      <w:r w:rsidR="0041428E" w:rsidRPr="004068F6">
        <w:rPr>
          <w:spacing w:val="-3"/>
        </w:rPr>
        <w:t xml:space="preserve">determinar </w:t>
      </w:r>
      <w:r w:rsidRPr="004068F6">
        <w:rPr>
          <w:spacing w:val="-3"/>
        </w:rPr>
        <w:t xml:space="preserve">e inventariar </w:t>
      </w:r>
      <w:r w:rsidR="00882954" w:rsidRPr="004068F6">
        <w:rPr>
          <w:spacing w:val="-3"/>
        </w:rPr>
        <w:t>las posibles fuentes de emisión existentes</w:t>
      </w:r>
      <w:r w:rsidR="00753035">
        <w:rPr>
          <w:spacing w:val="-3"/>
        </w:rPr>
        <w:t>,</w:t>
      </w:r>
      <w:r w:rsidR="00882954" w:rsidRPr="004068F6">
        <w:rPr>
          <w:spacing w:val="-3"/>
        </w:rPr>
        <w:t xml:space="preserve"> </w:t>
      </w:r>
      <w:r w:rsidR="00CE554F">
        <w:rPr>
          <w:spacing w:val="-3"/>
        </w:rPr>
        <w:t xml:space="preserve">determinar los </w:t>
      </w:r>
      <w:r w:rsidR="00DA6C72">
        <w:rPr>
          <w:spacing w:val="-3"/>
        </w:rPr>
        <w:t xml:space="preserve">potenciales receptores de interés </w:t>
      </w:r>
      <w:r w:rsidR="00882954" w:rsidRPr="004068F6">
        <w:rPr>
          <w:spacing w:val="-3"/>
        </w:rPr>
        <w:t>y</w:t>
      </w:r>
      <w:r w:rsidR="00DA6C72">
        <w:rPr>
          <w:spacing w:val="-3"/>
        </w:rPr>
        <w:t>,</w:t>
      </w:r>
      <w:r w:rsidR="00882954" w:rsidRPr="004068F6">
        <w:rPr>
          <w:spacing w:val="-3"/>
        </w:rPr>
        <w:t xml:space="preserve"> elaborar cartografía temática considerando la información señalada a continuación:</w:t>
      </w:r>
    </w:p>
    <w:p w14:paraId="7136CA68" w14:textId="77777777" w:rsidR="00F97C5C" w:rsidRPr="004068F6" w:rsidRDefault="00F97C5C">
      <w:pPr>
        <w:numPr>
          <w:ilvl w:val="12"/>
          <w:numId w:val="0"/>
        </w:numPr>
        <w:tabs>
          <w:tab w:val="left" w:pos="-2268"/>
        </w:tabs>
        <w:suppressAutoHyphens/>
        <w:rPr>
          <w:spacing w:val="-3"/>
        </w:rPr>
      </w:pPr>
    </w:p>
    <w:p w14:paraId="5DFFE3AD" w14:textId="7EB911A4" w:rsidR="00F97C5C" w:rsidRPr="004068F6" w:rsidRDefault="00F97C5C" w:rsidP="00C86DA5">
      <w:pPr>
        <w:numPr>
          <w:ilvl w:val="0"/>
          <w:numId w:val="58"/>
        </w:numPr>
        <w:tabs>
          <w:tab w:val="clear" w:pos="360"/>
        </w:tabs>
        <w:suppressAutoHyphens/>
        <w:ind w:left="567" w:hanging="567"/>
        <w:rPr>
          <w:spacing w:val="-3"/>
        </w:rPr>
      </w:pPr>
      <w:r w:rsidRPr="004068F6">
        <w:rPr>
          <w:spacing w:val="-3"/>
        </w:rPr>
        <w:t xml:space="preserve">Fuentes de generación de ruido existentes: fijas, de área y </w:t>
      </w:r>
      <w:r w:rsidRPr="004068F6">
        <w:rPr>
          <w:rFonts w:cs="Arial"/>
          <w:spacing w:val="-3"/>
        </w:rPr>
        <w:t xml:space="preserve">lineales, </w:t>
      </w:r>
      <w:r w:rsidRPr="004068F6">
        <w:rPr>
          <w:spacing w:val="-3"/>
        </w:rPr>
        <w:t>los trazados de las móviles con sus respectivos aforos</w:t>
      </w:r>
      <w:r w:rsidRPr="004068F6">
        <w:rPr>
          <w:rFonts w:cs="Arial"/>
          <w:spacing w:val="-3"/>
        </w:rPr>
        <w:t xml:space="preserve"> vehiculares que pudieran existir en el área como información secundaria (peajes, </w:t>
      </w:r>
      <w:r w:rsidR="001C7DCE" w:rsidRPr="004068F6">
        <w:rPr>
          <w:rFonts w:cs="Arial"/>
          <w:spacing w:val="-3"/>
        </w:rPr>
        <w:t xml:space="preserve">proyectos de </w:t>
      </w:r>
      <w:r w:rsidRPr="004068F6">
        <w:rPr>
          <w:rFonts w:cs="Arial"/>
          <w:spacing w:val="-3"/>
        </w:rPr>
        <w:t>construcción de vías</w:t>
      </w:r>
      <w:r w:rsidR="001C7DCE" w:rsidRPr="004068F6">
        <w:rPr>
          <w:rFonts w:cs="Arial"/>
          <w:spacing w:val="-3"/>
        </w:rPr>
        <w:t>, entre otras</w:t>
      </w:r>
      <w:r w:rsidRPr="004068F6">
        <w:rPr>
          <w:rFonts w:cs="Arial"/>
          <w:spacing w:val="-3"/>
        </w:rPr>
        <w:t xml:space="preserve">), discriminando el periodo (de manera horaria - vehículo/hora, vehículos totales) por periodo de evaluación </w:t>
      </w:r>
      <w:r w:rsidR="00345963" w:rsidRPr="004068F6">
        <w:rPr>
          <w:rFonts w:cs="Arial"/>
          <w:spacing w:val="-3"/>
        </w:rPr>
        <w:t xml:space="preserve">de acuerdo con </w:t>
      </w:r>
      <w:r w:rsidRPr="004068F6">
        <w:rPr>
          <w:rFonts w:cs="Arial"/>
          <w:spacing w:val="-3"/>
        </w:rPr>
        <w:t xml:space="preserve">los periodos propuestos por la </w:t>
      </w:r>
      <w:r w:rsidR="007A75CE" w:rsidRPr="004068F6">
        <w:rPr>
          <w:rFonts w:cs="Arial"/>
          <w:spacing w:val="-3"/>
        </w:rPr>
        <w:t>R</w:t>
      </w:r>
      <w:r w:rsidRPr="004068F6">
        <w:rPr>
          <w:rFonts w:cs="Arial"/>
          <w:spacing w:val="-3"/>
        </w:rPr>
        <w:t>esolución 627 de 2006 de</w:t>
      </w:r>
      <w:r w:rsidR="007A75CE" w:rsidRPr="004068F6">
        <w:rPr>
          <w:rFonts w:cs="Arial"/>
          <w:spacing w:val="-3"/>
        </w:rPr>
        <w:t xml:space="preserve"> </w:t>
      </w:r>
      <w:r w:rsidRPr="004068F6">
        <w:rPr>
          <w:rFonts w:cs="Arial"/>
          <w:spacing w:val="-3"/>
        </w:rPr>
        <w:t>MA</w:t>
      </w:r>
      <w:r w:rsidR="007A75CE" w:rsidRPr="004068F6">
        <w:rPr>
          <w:rFonts w:cs="Arial"/>
          <w:spacing w:val="-3"/>
        </w:rPr>
        <w:t>V</w:t>
      </w:r>
      <w:r w:rsidRPr="004068F6">
        <w:rPr>
          <w:rFonts w:cs="Arial"/>
          <w:spacing w:val="-3"/>
        </w:rPr>
        <w:t>D</w:t>
      </w:r>
      <w:r w:rsidR="007A75CE" w:rsidRPr="004068F6">
        <w:rPr>
          <w:rFonts w:cs="Arial"/>
          <w:spacing w:val="-3"/>
        </w:rPr>
        <w:t>T</w:t>
      </w:r>
      <w:r w:rsidRPr="004068F6">
        <w:rPr>
          <w:rFonts w:cs="Arial"/>
          <w:spacing w:val="-3"/>
        </w:rPr>
        <w:t xml:space="preserve"> o aquella norma que la modifique o sustituya, el tipo de vehículo (liviano, pesado, moto), velocidad promedio, clasificación de la superficie de rodamiento (vías, rieles)</w:t>
      </w:r>
      <w:r w:rsidR="00434602" w:rsidRPr="004068F6">
        <w:rPr>
          <w:rFonts w:cs="Arial"/>
          <w:spacing w:val="-3"/>
        </w:rPr>
        <w:t xml:space="preserve"> y</w:t>
      </w:r>
      <w:r w:rsidRPr="004068F6">
        <w:rPr>
          <w:rFonts w:cs="Arial"/>
          <w:spacing w:val="-3"/>
        </w:rPr>
        <w:t xml:space="preserve"> características de carril (ancho, número, dirección de tránsito, tipo de grava, material balasto, entre otras).</w:t>
      </w:r>
    </w:p>
    <w:p w14:paraId="3CCE5344" w14:textId="77777777" w:rsidR="00F97C5C" w:rsidRPr="004068F6" w:rsidRDefault="00F97C5C">
      <w:pPr>
        <w:suppressAutoHyphens/>
        <w:rPr>
          <w:spacing w:val="-3"/>
        </w:rPr>
      </w:pPr>
    </w:p>
    <w:p w14:paraId="25B5575F" w14:textId="77777777" w:rsidR="003A542D" w:rsidRDefault="00C54CA8" w:rsidP="00EA48A9">
      <w:pPr>
        <w:numPr>
          <w:ilvl w:val="0"/>
          <w:numId w:val="58"/>
        </w:numPr>
        <w:tabs>
          <w:tab w:val="clear" w:pos="360"/>
        </w:tabs>
        <w:suppressAutoHyphens/>
        <w:ind w:left="567" w:hanging="567"/>
        <w:rPr>
          <w:spacing w:val="-3"/>
        </w:rPr>
      </w:pPr>
      <w:bookmarkStart w:id="2257" w:name="_Hlk208300211"/>
      <w:r>
        <w:rPr>
          <w:spacing w:val="-3"/>
        </w:rPr>
        <w:t>P</w:t>
      </w:r>
      <w:r w:rsidR="006B2314" w:rsidRPr="00EA48A9">
        <w:rPr>
          <w:spacing w:val="-3"/>
        </w:rPr>
        <w:t>otenciales receptores de interés</w:t>
      </w:r>
      <w:r w:rsidR="00AA32B2">
        <w:rPr>
          <w:spacing w:val="-3"/>
        </w:rPr>
        <w:t xml:space="preserve"> en </w:t>
      </w:r>
      <w:r w:rsidR="006B2314" w:rsidRPr="00EA48A9">
        <w:rPr>
          <w:spacing w:val="-3"/>
        </w:rPr>
        <w:t>asentamientos humanos en zonas urbanas y rurales, especificando el tipo de receptor (p. ej. viviendas, instituciones educativas, centros de salud) y el uso de suelo asociado.</w:t>
      </w:r>
    </w:p>
    <w:p w14:paraId="38E599F9" w14:textId="77777777" w:rsidR="003A542D" w:rsidRPr="00127BD4" w:rsidRDefault="003A542D" w:rsidP="00127BD4">
      <w:pPr>
        <w:rPr>
          <w:spacing w:val="-3"/>
        </w:rPr>
      </w:pPr>
    </w:p>
    <w:p w14:paraId="346776EF" w14:textId="019CF4EC" w:rsidR="006B2314" w:rsidRPr="00EA48A9" w:rsidRDefault="003A542D" w:rsidP="00127BD4">
      <w:pPr>
        <w:numPr>
          <w:ilvl w:val="0"/>
          <w:numId w:val="58"/>
        </w:numPr>
        <w:tabs>
          <w:tab w:val="clear" w:pos="360"/>
        </w:tabs>
        <w:suppressAutoHyphens/>
        <w:ind w:left="567" w:hanging="567"/>
        <w:rPr>
          <w:spacing w:val="-3"/>
        </w:rPr>
      </w:pPr>
      <w:r>
        <w:rPr>
          <w:spacing w:val="-3"/>
        </w:rPr>
        <w:t>Á</w:t>
      </w:r>
      <w:r w:rsidR="006B2314" w:rsidRPr="00EA48A9">
        <w:rPr>
          <w:spacing w:val="-3"/>
        </w:rPr>
        <w:t xml:space="preserve">reas </w:t>
      </w:r>
      <w:r w:rsidR="006E54B7">
        <w:rPr>
          <w:spacing w:val="-3"/>
        </w:rPr>
        <w:t xml:space="preserve">pecuarias y </w:t>
      </w:r>
      <w:r w:rsidR="00DA5EF9">
        <w:rPr>
          <w:spacing w:val="-3"/>
        </w:rPr>
        <w:t xml:space="preserve">AEIA </w:t>
      </w:r>
      <w:r w:rsidR="00182B3B">
        <w:rPr>
          <w:spacing w:val="-3"/>
        </w:rPr>
        <w:t xml:space="preserve">(p. ej. </w:t>
      </w:r>
      <w:r w:rsidR="006B2314" w:rsidRPr="00EA48A9">
        <w:rPr>
          <w:spacing w:val="-3"/>
        </w:rPr>
        <w:t xml:space="preserve">AICA, </w:t>
      </w:r>
      <w:r w:rsidR="00182B3B">
        <w:rPr>
          <w:spacing w:val="-3"/>
        </w:rPr>
        <w:t>humedales</w:t>
      </w:r>
      <w:r w:rsidR="006B2314" w:rsidRPr="00EA48A9">
        <w:rPr>
          <w:spacing w:val="-3"/>
        </w:rPr>
        <w:t xml:space="preserve">, </w:t>
      </w:r>
      <w:r w:rsidR="00182B3B">
        <w:rPr>
          <w:spacing w:val="-3"/>
        </w:rPr>
        <w:t>manglares</w:t>
      </w:r>
      <w:r w:rsidR="00EC1A6A">
        <w:rPr>
          <w:spacing w:val="-3"/>
        </w:rPr>
        <w:t>, s</w:t>
      </w:r>
      <w:r w:rsidR="00EC1A6A" w:rsidRPr="00EC1A6A">
        <w:rPr>
          <w:spacing w:val="-3"/>
        </w:rPr>
        <w:t>antuario</w:t>
      </w:r>
      <w:r w:rsidR="00EC1A6A">
        <w:rPr>
          <w:spacing w:val="-3"/>
        </w:rPr>
        <w:t>s</w:t>
      </w:r>
      <w:r w:rsidR="00EC1A6A" w:rsidRPr="00EC1A6A">
        <w:rPr>
          <w:spacing w:val="-3"/>
        </w:rPr>
        <w:t xml:space="preserve"> de fauna</w:t>
      </w:r>
      <w:r w:rsidR="00182B3B">
        <w:rPr>
          <w:spacing w:val="-3"/>
        </w:rPr>
        <w:t>)</w:t>
      </w:r>
      <w:r w:rsidR="006B2314" w:rsidRPr="00EA48A9">
        <w:rPr>
          <w:spacing w:val="-3"/>
        </w:rPr>
        <w:t xml:space="preserve"> que pued</w:t>
      </w:r>
      <w:r w:rsidR="00F97D4E">
        <w:rPr>
          <w:spacing w:val="-3"/>
        </w:rPr>
        <w:t>a</w:t>
      </w:r>
      <w:r w:rsidR="006B2314" w:rsidRPr="00EA48A9">
        <w:rPr>
          <w:spacing w:val="-3"/>
        </w:rPr>
        <w:t xml:space="preserve">n </w:t>
      </w:r>
      <w:r w:rsidR="00EA48A9" w:rsidRPr="00EA48A9">
        <w:rPr>
          <w:spacing w:val="-3"/>
        </w:rPr>
        <w:t>resultar impactadas por el aumento en</w:t>
      </w:r>
      <w:r w:rsidR="00DD5C50">
        <w:rPr>
          <w:spacing w:val="-3"/>
        </w:rPr>
        <w:t xml:space="preserve"> la presión sonora.</w:t>
      </w:r>
    </w:p>
    <w:p w14:paraId="1C923B03" w14:textId="77777777" w:rsidR="006C3410" w:rsidRPr="00127BD4" w:rsidRDefault="006C3410" w:rsidP="00127BD4">
      <w:pPr>
        <w:suppressAutoHyphens/>
        <w:rPr>
          <w:rFonts w:cs="Arial"/>
          <w:spacing w:val="-3"/>
        </w:rPr>
      </w:pPr>
    </w:p>
    <w:p w14:paraId="4BECB3C5" w14:textId="74B9AE68" w:rsidR="00F97C5C" w:rsidRPr="004068F6" w:rsidRDefault="00F97C5C" w:rsidP="009420F5">
      <w:pPr>
        <w:pStyle w:val="Ttulo2"/>
        <w:rPr>
          <w:lang w:val="es-CO"/>
        </w:rPr>
      </w:pPr>
      <w:bookmarkStart w:id="2258" w:name="_Toc216968047"/>
      <w:bookmarkStart w:id="2259" w:name="_Toc217035736"/>
      <w:bookmarkStart w:id="2260" w:name="_Toc216968049"/>
      <w:bookmarkStart w:id="2261" w:name="_Toc217035738"/>
      <w:bookmarkStart w:id="2262" w:name="_Toc488244498"/>
      <w:bookmarkStart w:id="2263" w:name="_Toc488247618"/>
      <w:bookmarkStart w:id="2264" w:name="_Toc488248262"/>
      <w:bookmarkStart w:id="2265" w:name="_Toc488248878"/>
      <w:bookmarkStart w:id="2266" w:name="_Toc488249494"/>
      <w:bookmarkStart w:id="2267" w:name="_Toc488329982"/>
      <w:bookmarkStart w:id="2268" w:name="_Toc488386836"/>
      <w:bookmarkStart w:id="2269" w:name="_Toc488402295"/>
      <w:bookmarkStart w:id="2270" w:name="_Toc488403118"/>
      <w:bookmarkStart w:id="2271" w:name="_Toc488403947"/>
      <w:bookmarkStart w:id="2272" w:name="_Toc488404778"/>
      <w:bookmarkStart w:id="2273" w:name="_Toc488405601"/>
      <w:bookmarkStart w:id="2274" w:name="_Toc488406430"/>
      <w:bookmarkStart w:id="2275" w:name="_Toc491409661"/>
      <w:bookmarkStart w:id="2276" w:name="_Toc496018200"/>
      <w:bookmarkStart w:id="2277" w:name="_Toc515787401"/>
      <w:bookmarkStart w:id="2278" w:name="_Toc515789101"/>
      <w:bookmarkStart w:id="2279" w:name="_Toc515789950"/>
      <w:bookmarkStart w:id="2280" w:name="_Toc515790799"/>
      <w:bookmarkStart w:id="2281" w:name="_Toc515791654"/>
      <w:bookmarkStart w:id="2282" w:name="_Toc515792504"/>
      <w:bookmarkStart w:id="2283" w:name="_Toc515793360"/>
      <w:bookmarkStart w:id="2284" w:name="_Toc515794265"/>
      <w:bookmarkStart w:id="2285" w:name="_Toc515796068"/>
      <w:bookmarkStart w:id="2286" w:name="_Toc412803158"/>
      <w:bookmarkStart w:id="2287" w:name="_Toc437935984"/>
      <w:bookmarkStart w:id="2288" w:name="_Toc42552221"/>
      <w:bookmarkStart w:id="2289" w:name="_Toc230879589"/>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r w:rsidRPr="004068F6">
        <w:rPr>
          <w:lang w:val="es-CO"/>
        </w:rPr>
        <w:t>MEDIO BIÓTICO</w:t>
      </w:r>
      <w:bookmarkEnd w:id="2286"/>
      <w:bookmarkEnd w:id="2287"/>
      <w:bookmarkEnd w:id="2288"/>
      <w:bookmarkEnd w:id="2289"/>
    </w:p>
    <w:p w14:paraId="52B97697" w14:textId="77777777" w:rsidR="00F97C5C" w:rsidRPr="004068F6" w:rsidRDefault="00F97C5C">
      <w:pPr>
        <w:numPr>
          <w:ilvl w:val="12"/>
          <w:numId w:val="0"/>
        </w:numPr>
        <w:tabs>
          <w:tab w:val="left" w:pos="-2268"/>
        </w:tabs>
        <w:suppressAutoHyphens/>
        <w:rPr>
          <w:spacing w:val="-3"/>
        </w:rPr>
      </w:pPr>
    </w:p>
    <w:p w14:paraId="2733C3BA" w14:textId="1ABD9FF5" w:rsidR="00440C2F" w:rsidRPr="004068F6" w:rsidRDefault="00440C2F" w:rsidP="3BACB336">
      <w:pPr>
        <w:suppressAutoHyphens/>
        <w:rPr>
          <w:spacing w:val="-3"/>
        </w:rPr>
      </w:pPr>
      <w:r w:rsidRPr="004068F6">
        <w:rPr>
          <w:spacing w:val="-3"/>
        </w:rPr>
        <w:t>El proceso de obtención, procesamiento y análisis de la información debe ser integral y determinar las características cualitativas y cuantitativas asociadas a la composición</w:t>
      </w:r>
      <w:r w:rsidR="00BF6600">
        <w:rPr>
          <w:spacing w:val="-3"/>
        </w:rPr>
        <w:t>,</w:t>
      </w:r>
      <w:r w:rsidRPr="004068F6">
        <w:rPr>
          <w:spacing w:val="-3"/>
        </w:rPr>
        <w:t xml:space="preserve"> estructura </w:t>
      </w:r>
      <w:r w:rsidR="00BF6600">
        <w:rPr>
          <w:spacing w:val="-3"/>
        </w:rPr>
        <w:t xml:space="preserve">y función </w:t>
      </w:r>
      <w:r w:rsidRPr="004068F6">
        <w:rPr>
          <w:spacing w:val="-3"/>
        </w:rPr>
        <w:t xml:space="preserve">de los ecosistemas presentes en el área </w:t>
      </w:r>
      <w:r w:rsidR="00F952E1" w:rsidRPr="004068F6">
        <w:rPr>
          <w:spacing w:val="-3"/>
        </w:rPr>
        <w:t>objeto de caracterización</w:t>
      </w:r>
      <w:r w:rsidRPr="004068F6">
        <w:rPr>
          <w:spacing w:val="-3"/>
        </w:rPr>
        <w:t>.</w:t>
      </w:r>
    </w:p>
    <w:p w14:paraId="250214EA" w14:textId="77777777" w:rsidR="00F97C5C" w:rsidRPr="004068F6" w:rsidRDefault="00F97C5C">
      <w:pPr>
        <w:numPr>
          <w:ilvl w:val="12"/>
          <w:numId w:val="0"/>
        </w:numPr>
        <w:tabs>
          <w:tab w:val="left" w:pos="-2268"/>
        </w:tabs>
        <w:suppressAutoHyphens/>
        <w:rPr>
          <w:spacing w:val="-3"/>
        </w:rPr>
      </w:pPr>
    </w:p>
    <w:p w14:paraId="5BE9276D" w14:textId="2E44B23A" w:rsidR="00F97C5C" w:rsidRPr="004068F6" w:rsidRDefault="00743727" w:rsidP="006B03F7">
      <w:pPr>
        <w:suppressAutoHyphens/>
        <w:rPr>
          <w:spacing w:val="-3"/>
        </w:rPr>
      </w:pPr>
      <w:r w:rsidRPr="004068F6">
        <w:rPr>
          <w:spacing w:val="-3"/>
        </w:rPr>
        <w:t>E</w:t>
      </w:r>
      <w:r w:rsidR="00F97C5C" w:rsidRPr="004068F6">
        <w:rPr>
          <w:spacing w:val="-3"/>
        </w:rPr>
        <w:t>n caso de que</w:t>
      </w:r>
      <w:r w:rsidRPr="004068F6">
        <w:rPr>
          <w:rFonts w:cs="Arial"/>
          <w:spacing w:val="-3"/>
        </w:rPr>
        <w:t xml:space="preserve"> </w:t>
      </w:r>
      <w:r w:rsidR="006B03F7" w:rsidRPr="004068F6">
        <w:rPr>
          <w:rFonts w:cs="Arial"/>
          <w:spacing w:val="-3"/>
        </w:rPr>
        <w:t>la información disponible d</w:t>
      </w:r>
      <w:r w:rsidR="006B03F7" w:rsidRPr="004068F6">
        <w:rPr>
          <w:rFonts w:cs="Arial"/>
        </w:rPr>
        <w:t xml:space="preserve">el </w:t>
      </w:r>
      <w:r w:rsidR="006B03F7" w:rsidRPr="004068F6">
        <w:rPr>
          <w:rFonts w:cs="Arial"/>
          <w:spacing w:val="-3"/>
        </w:rPr>
        <w:t xml:space="preserve">área </w:t>
      </w:r>
      <w:r w:rsidR="006B03F7" w:rsidRPr="004068F6">
        <w:rPr>
          <w:rFonts w:cs="Arial"/>
        </w:rPr>
        <w:t>de estudio del medio</w:t>
      </w:r>
      <w:r w:rsidR="006B03F7" w:rsidRPr="004068F6">
        <w:rPr>
          <w:rFonts w:cs="Arial"/>
          <w:spacing w:val="-3"/>
        </w:rPr>
        <w:t xml:space="preserve"> sea </w:t>
      </w:r>
      <w:r w:rsidR="00F97C5C" w:rsidRPr="004068F6">
        <w:rPr>
          <w:rFonts w:cs="Arial"/>
          <w:spacing w:val="-3"/>
        </w:rPr>
        <w:t>insuficie</w:t>
      </w:r>
      <w:r w:rsidR="006B03F7" w:rsidRPr="004068F6">
        <w:rPr>
          <w:rFonts w:cs="Arial"/>
          <w:spacing w:val="-3"/>
        </w:rPr>
        <w:t xml:space="preserve">nte </w:t>
      </w:r>
      <w:r w:rsidRPr="004068F6">
        <w:rPr>
          <w:rFonts w:cs="Arial"/>
          <w:spacing w:val="-3"/>
        </w:rPr>
        <w:t xml:space="preserve">o </w:t>
      </w:r>
      <w:r w:rsidR="006B03F7" w:rsidRPr="004068F6">
        <w:rPr>
          <w:rFonts w:cs="Arial"/>
          <w:spacing w:val="-3"/>
        </w:rPr>
        <w:t xml:space="preserve">esté </w:t>
      </w:r>
      <w:r w:rsidRPr="004068F6">
        <w:rPr>
          <w:rFonts w:cs="Arial"/>
          <w:spacing w:val="-3"/>
        </w:rPr>
        <w:t>desactualiza</w:t>
      </w:r>
      <w:r w:rsidR="006B03F7" w:rsidRPr="004068F6">
        <w:rPr>
          <w:rFonts w:cs="Arial"/>
          <w:spacing w:val="-3"/>
        </w:rPr>
        <w:t xml:space="preserve">da </w:t>
      </w:r>
      <w:r w:rsidR="009854BC" w:rsidRPr="004068F6">
        <w:rPr>
          <w:rFonts w:cs="Arial"/>
          <w:spacing w:val="-3"/>
        </w:rPr>
        <w:t xml:space="preserve">(mayor a cinco años </w:t>
      </w:r>
      <w:r w:rsidR="00C52AD4" w:rsidRPr="004068F6">
        <w:rPr>
          <w:rFonts w:cs="Arial"/>
          <w:spacing w:val="-3"/>
        </w:rPr>
        <w:t xml:space="preserve">u otro periodo </w:t>
      </w:r>
      <w:r w:rsidR="009854BC" w:rsidRPr="004068F6">
        <w:rPr>
          <w:rFonts w:cs="Arial"/>
          <w:spacing w:val="-3"/>
        </w:rPr>
        <w:t xml:space="preserve">de acuerdo con </w:t>
      </w:r>
      <w:r w:rsidR="009854BC" w:rsidRPr="004068F6">
        <w:rPr>
          <w:rFonts w:cs="Arial"/>
          <w:spacing w:val="-3"/>
        </w:rPr>
        <w:lastRenderedPageBreak/>
        <w:t xml:space="preserve">las características del </w:t>
      </w:r>
      <w:r w:rsidR="00C52AD4" w:rsidRPr="004068F6">
        <w:rPr>
          <w:rFonts w:cs="Arial"/>
          <w:spacing w:val="-3"/>
        </w:rPr>
        <w:t>fenómeno estudiado</w:t>
      </w:r>
      <w:r w:rsidR="009854BC" w:rsidRPr="004068F6">
        <w:rPr>
          <w:rFonts w:cs="Arial"/>
          <w:spacing w:val="-3"/>
        </w:rPr>
        <w:t xml:space="preserve">) </w:t>
      </w:r>
      <w:r w:rsidR="006B03F7" w:rsidRPr="004068F6">
        <w:rPr>
          <w:rFonts w:cs="Arial"/>
          <w:spacing w:val="-3"/>
        </w:rPr>
        <w:t xml:space="preserve">y </w:t>
      </w:r>
      <w:r w:rsidR="006B03F7" w:rsidRPr="004068F6">
        <w:rPr>
          <w:spacing w:val="-3"/>
        </w:rPr>
        <w:t>sea necesaria la captura y colecta de especímenes de la diversidad biológica</w:t>
      </w:r>
      <w:r w:rsidR="006B03F7" w:rsidRPr="004068F6">
        <w:rPr>
          <w:rFonts w:cs="Arial"/>
          <w:spacing w:val="-3"/>
        </w:rPr>
        <w:t xml:space="preserve">, es necesario obtener de forma previa </w:t>
      </w:r>
      <w:r w:rsidRPr="004068F6">
        <w:rPr>
          <w:rFonts w:cs="Arial"/>
          <w:spacing w:val="-3"/>
        </w:rPr>
        <w:t>el</w:t>
      </w:r>
      <w:r w:rsidRPr="004068F6">
        <w:rPr>
          <w:spacing w:val="-3"/>
        </w:rPr>
        <w:t xml:space="preserve"> permiso de estudio para la recolección de especímenes de especies silvestres con fines de elaboración de estudios ambientales </w:t>
      </w:r>
      <w:r w:rsidR="006B03F7" w:rsidRPr="004068F6">
        <w:rPr>
          <w:spacing w:val="-3"/>
        </w:rPr>
        <w:t xml:space="preserve">de acuerdo </w:t>
      </w:r>
      <w:r w:rsidRPr="004068F6">
        <w:rPr>
          <w:spacing w:val="-3"/>
        </w:rPr>
        <w:t xml:space="preserve">con </w:t>
      </w:r>
      <w:r w:rsidR="00F97C5C" w:rsidRPr="004068F6">
        <w:rPr>
          <w:spacing w:val="-3"/>
        </w:rPr>
        <w:t>lo</w:t>
      </w:r>
      <w:r w:rsidR="006B03F7" w:rsidRPr="004068F6">
        <w:rPr>
          <w:spacing w:val="-3"/>
        </w:rPr>
        <w:t xml:space="preserve"> </w:t>
      </w:r>
      <w:r w:rsidR="00F97C5C" w:rsidRPr="004068F6">
        <w:rPr>
          <w:spacing w:val="-3"/>
        </w:rPr>
        <w:t xml:space="preserve">establecido </w:t>
      </w:r>
      <w:r w:rsidRPr="004068F6">
        <w:rPr>
          <w:spacing w:val="-3"/>
        </w:rPr>
        <w:t xml:space="preserve">en </w:t>
      </w:r>
      <w:r w:rsidR="00F97C5C" w:rsidRPr="004068F6">
        <w:rPr>
          <w:spacing w:val="-3"/>
        </w:rPr>
        <w:t>la Sección 2, Cap</w:t>
      </w:r>
      <w:r w:rsidR="004A243E" w:rsidRPr="004068F6">
        <w:rPr>
          <w:spacing w:val="-3"/>
        </w:rPr>
        <w:t>í</w:t>
      </w:r>
      <w:r w:rsidR="00F97C5C" w:rsidRPr="004068F6">
        <w:rPr>
          <w:spacing w:val="-3"/>
        </w:rPr>
        <w:t>tulo 9, T</w:t>
      </w:r>
      <w:r w:rsidR="002A420C" w:rsidRPr="004068F6">
        <w:rPr>
          <w:spacing w:val="-3"/>
        </w:rPr>
        <w:t>í</w:t>
      </w:r>
      <w:r w:rsidR="00F97C5C" w:rsidRPr="004068F6">
        <w:rPr>
          <w:spacing w:val="-3"/>
        </w:rPr>
        <w:t xml:space="preserve">tulo 2, Parte 2, Libro 2 del Decreto 1076 de 2015, o </w:t>
      </w:r>
      <w:r w:rsidR="00F97C5C" w:rsidRPr="004068F6">
        <w:rPr>
          <w:rFonts w:cs="Arial"/>
          <w:spacing w:val="-3"/>
        </w:rPr>
        <w:t>aquella</w:t>
      </w:r>
      <w:r w:rsidR="00F97C5C" w:rsidRPr="004068F6">
        <w:rPr>
          <w:spacing w:val="-3"/>
        </w:rPr>
        <w:t xml:space="preserve"> que </w:t>
      </w:r>
      <w:r w:rsidR="00F97C5C" w:rsidRPr="004068F6">
        <w:rPr>
          <w:rFonts w:cs="Arial"/>
          <w:spacing w:val="-3"/>
        </w:rPr>
        <w:t>la</w:t>
      </w:r>
      <w:r w:rsidR="00F97C5C" w:rsidRPr="004068F6">
        <w:rPr>
          <w:spacing w:val="-3"/>
        </w:rPr>
        <w:t xml:space="preserve"> modifique</w:t>
      </w:r>
      <w:r w:rsidR="00F97C5C" w:rsidRPr="004068F6">
        <w:rPr>
          <w:rFonts w:cs="Arial"/>
          <w:spacing w:val="-3"/>
        </w:rPr>
        <w:t xml:space="preserve"> o</w:t>
      </w:r>
      <w:r w:rsidR="00F97C5C" w:rsidRPr="004068F6">
        <w:rPr>
          <w:spacing w:val="-3"/>
        </w:rPr>
        <w:t xml:space="preserve"> sustituya.</w:t>
      </w:r>
    </w:p>
    <w:p w14:paraId="1A9A794F" w14:textId="77777777" w:rsidR="00F97C5C" w:rsidRPr="004068F6" w:rsidRDefault="00F97C5C">
      <w:pPr>
        <w:numPr>
          <w:ilvl w:val="12"/>
          <w:numId w:val="0"/>
        </w:numPr>
        <w:tabs>
          <w:tab w:val="left" w:pos="-2268"/>
        </w:tabs>
        <w:suppressAutoHyphens/>
        <w:rPr>
          <w:spacing w:val="-3"/>
        </w:rPr>
      </w:pPr>
    </w:p>
    <w:p w14:paraId="332C9714" w14:textId="736C32D0" w:rsidR="00F97C5C" w:rsidRPr="004068F6" w:rsidRDefault="00BF1C80" w:rsidP="2380593C">
      <w:pPr>
        <w:suppressAutoHyphens/>
        <w:rPr>
          <w:spacing w:val="-3"/>
        </w:rPr>
      </w:pPr>
      <w:r w:rsidRPr="004068F6">
        <w:rPr>
          <w:spacing w:val="-3"/>
        </w:rPr>
        <w:t xml:space="preserve">La </w:t>
      </w:r>
      <w:r w:rsidR="00DF102B" w:rsidRPr="004068F6">
        <w:rPr>
          <w:spacing w:val="-3"/>
        </w:rPr>
        <w:t xml:space="preserve">descripción </w:t>
      </w:r>
      <w:r w:rsidRPr="004068F6">
        <w:rPr>
          <w:spacing w:val="-3"/>
        </w:rPr>
        <w:t xml:space="preserve">de </w:t>
      </w:r>
      <w:r w:rsidR="00F97C5C" w:rsidRPr="004068F6">
        <w:rPr>
          <w:spacing w:val="-3"/>
        </w:rPr>
        <w:t>la flora</w:t>
      </w:r>
      <w:r w:rsidR="005150F8" w:rsidRPr="004068F6">
        <w:rPr>
          <w:spacing w:val="-3"/>
        </w:rPr>
        <w:t xml:space="preserve"> y </w:t>
      </w:r>
      <w:r w:rsidR="00775281" w:rsidRPr="004068F6">
        <w:rPr>
          <w:spacing w:val="-3"/>
        </w:rPr>
        <w:t>la</w:t>
      </w:r>
      <w:r w:rsidR="00F97C5C" w:rsidRPr="004068F6">
        <w:rPr>
          <w:spacing w:val="-3"/>
        </w:rPr>
        <w:t xml:space="preserve"> fauna</w:t>
      </w:r>
      <w:r w:rsidR="005150F8" w:rsidRPr="004068F6">
        <w:rPr>
          <w:spacing w:val="-3"/>
        </w:rPr>
        <w:t xml:space="preserve"> (</w:t>
      </w:r>
      <w:r w:rsidR="00F97C5C" w:rsidRPr="004068F6">
        <w:rPr>
          <w:spacing w:val="-3"/>
        </w:rPr>
        <w:t>anfibios, reptiles, aves, mamíferos, peces continentales y marinos e invertebrados marinos</w:t>
      </w:r>
      <w:r w:rsidR="005150F8" w:rsidRPr="004068F6">
        <w:rPr>
          <w:spacing w:val="-3"/>
        </w:rPr>
        <w:t>)</w:t>
      </w:r>
      <w:r w:rsidRPr="004068F6">
        <w:rPr>
          <w:spacing w:val="-3"/>
        </w:rPr>
        <w:t xml:space="preserve"> se realiza fundamentalmente mediante información secundaria</w:t>
      </w:r>
      <w:r w:rsidR="00F97C5C" w:rsidRPr="004068F6">
        <w:rPr>
          <w:spacing w:val="-3"/>
        </w:rPr>
        <w:t xml:space="preserve">, </w:t>
      </w:r>
      <w:r w:rsidR="008C3591" w:rsidRPr="004068F6">
        <w:rPr>
          <w:spacing w:val="-3"/>
        </w:rPr>
        <w:t xml:space="preserve">consultando </w:t>
      </w:r>
      <w:r w:rsidR="00F97C5C" w:rsidRPr="004068F6">
        <w:rPr>
          <w:spacing w:val="-3"/>
        </w:rPr>
        <w:t xml:space="preserve">fuentes </w:t>
      </w:r>
      <w:r w:rsidR="004A1CF2" w:rsidRPr="004068F6">
        <w:t>del ámbito local o regional</w:t>
      </w:r>
      <w:r w:rsidR="004A1CF2" w:rsidRPr="004068F6">
        <w:rPr>
          <w:spacing w:val="-3"/>
        </w:rPr>
        <w:t xml:space="preserve"> referidas </w:t>
      </w:r>
      <w:r w:rsidR="00F97C5C" w:rsidRPr="004068F6">
        <w:rPr>
          <w:spacing w:val="-3"/>
        </w:rPr>
        <w:t xml:space="preserve">al área de estudio </w:t>
      </w:r>
      <w:r w:rsidR="00F97C5C" w:rsidRPr="004068F6">
        <w:rPr>
          <w:rFonts w:cs="Arial"/>
          <w:spacing w:val="-3"/>
        </w:rPr>
        <w:t>del medio biótico</w:t>
      </w:r>
      <w:r w:rsidR="00F97C5C" w:rsidRPr="004068F6">
        <w:rPr>
          <w:spacing w:val="-3"/>
        </w:rPr>
        <w:t xml:space="preserve"> </w:t>
      </w:r>
      <w:r w:rsidR="008C3591" w:rsidRPr="004068F6">
        <w:rPr>
          <w:spacing w:val="-3"/>
        </w:rPr>
        <w:t xml:space="preserve">como </w:t>
      </w:r>
      <w:r w:rsidR="00F97C5C" w:rsidRPr="004068F6">
        <w:rPr>
          <w:spacing w:val="-3"/>
        </w:rPr>
        <w:t>SiB</w:t>
      </w:r>
      <w:r w:rsidR="00BF7C89" w:rsidRPr="004068F6">
        <w:rPr>
          <w:spacing w:val="-3"/>
        </w:rPr>
        <w:t xml:space="preserve"> Colombia</w:t>
      </w:r>
      <w:r w:rsidR="00F97C5C" w:rsidRPr="004068F6">
        <w:rPr>
          <w:spacing w:val="-3"/>
        </w:rPr>
        <w:t xml:space="preserve">, colecciones en línea de la Universidad Nacional de Colombia, otras colecciones y bases de datos reconocidas, libros, capítulos de libros, artículos científicos y documentos técnicos, </w:t>
      </w:r>
      <w:r w:rsidR="00F97C5C" w:rsidRPr="004068F6">
        <w:rPr>
          <w:rFonts w:cs="Arial"/>
          <w:spacing w:val="-3"/>
        </w:rPr>
        <w:t>planes</w:t>
      </w:r>
      <w:r w:rsidR="00F97C5C" w:rsidRPr="004068F6">
        <w:rPr>
          <w:spacing w:val="-3"/>
        </w:rPr>
        <w:t xml:space="preserve"> de manejo de áreas protegidas, Sistema de Información </w:t>
      </w:r>
      <w:r w:rsidR="002C4ACF" w:rsidRPr="004068F6">
        <w:rPr>
          <w:spacing w:val="-3"/>
        </w:rPr>
        <w:t>de</w:t>
      </w:r>
      <w:r w:rsidR="00F97C5C" w:rsidRPr="004068F6">
        <w:rPr>
          <w:spacing w:val="-3"/>
        </w:rPr>
        <w:t xml:space="preserve"> Monitoreo de Parques Nacionales Naturales de Colombia </w:t>
      </w:r>
      <w:r w:rsidR="008C3591" w:rsidRPr="004068F6">
        <w:rPr>
          <w:spacing w:val="-3"/>
        </w:rPr>
        <w:t>(</w:t>
      </w:r>
      <w:r w:rsidR="00F97C5C" w:rsidRPr="004068F6">
        <w:rPr>
          <w:spacing w:val="-3"/>
        </w:rPr>
        <w:t>SULA).</w:t>
      </w:r>
    </w:p>
    <w:p w14:paraId="50ACA9C4" w14:textId="77777777" w:rsidR="00F97C5C" w:rsidRPr="004068F6" w:rsidRDefault="00F97C5C">
      <w:pPr>
        <w:numPr>
          <w:ilvl w:val="12"/>
          <w:numId w:val="0"/>
        </w:numPr>
        <w:tabs>
          <w:tab w:val="left" w:pos="-2268"/>
        </w:tabs>
        <w:suppressAutoHyphens/>
        <w:rPr>
          <w:spacing w:val="-3"/>
        </w:rPr>
      </w:pPr>
    </w:p>
    <w:p w14:paraId="0AF99355" w14:textId="2F0B98DC" w:rsidR="00F97C5C" w:rsidRPr="004068F6" w:rsidRDefault="00D96A7A">
      <w:pPr>
        <w:numPr>
          <w:ilvl w:val="12"/>
          <w:numId w:val="0"/>
        </w:numPr>
        <w:tabs>
          <w:tab w:val="left" w:pos="-2268"/>
        </w:tabs>
        <w:suppressAutoHyphens/>
        <w:rPr>
          <w:spacing w:val="-3"/>
        </w:rPr>
      </w:pPr>
      <w:r w:rsidRPr="004068F6">
        <w:rPr>
          <w:spacing w:val="-3"/>
        </w:rPr>
        <w:t xml:space="preserve">La identificación de </w:t>
      </w:r>
      <w:r w:rsidR="005479A2" w:rsidRPr="004068F6">
        <w:rPr>
          <w:spacing w:val="-3"/>
        </w:rPr>
        <w:t xml:space="preserve">las especies </w:t>
      </w:r>
      <w:r w:rsidR="00F97C5C" w:rsidRPr="004068F6">
        <w:rPr>
          <w:spacing w:val="-3"/>
        </w:rPr>
        <w:t>de flora y fauna</w:t>
      </w:r>
      <w:r w:rsidR="00C53FA2" w:rsidRPr="004068F6">
        <w:rPr>
          <w:spacing w:val="-3"/>
        </w:rPr>
        <w:t xml:space="preserve"> amenazadas (CR: en peligro crítico; EN: en peligro; VU: vulnerable)</w:t>
      </w:r>
      <w:r w:rsidR="006F4FD7" w:rsidRPr="004068F6">
        <w:rPr>
          <w:spacing w:val="-3"/>
        </w:rPr>
        <w:t xml:space="preserve"> </w:t>
      </w:r>
      <w:r w:rsidRPr="004068F6">
        <w:rPr>
          <w:spacing w:val="-3"/>
        </w:rPr>
        <w:t xml:space="preserve">debe realizarse </w:t>
      </w:r>
      <w:r w:rsidR="00F97C5C" w:rsidRPr="004068F6">
        <w:rPr>
          <w:spacing w:val="-3"/>
        </w:rPr>
        <w:t xml:space="preserve">a partir de la verificación de la </w:t>
      </w:r>
      <w:r w:rsidR="00D143E4" w:rsidRPr="004068F6">
        <w:rPr>
          <w:spacing w:val="-3"/>
        </w:rPr>
        <w:t>Resolución 0126 de 2024</w:t>
      </w:r>
      <w:r w:rsidR="00F97C5C" w:rsidRPr="004068F6">
        <w:rPr>
          <w:spacing w:val="-3"/>
        </w:rPr>
        <w:t xml:space="preserve"> o </w:t>
      </w:r>
      <w:r w:rsidR="00F97C5C" w:rsidRPr="004068F6">
        <w:rPr>
          <w:rFonts w:cs="Arial"/>
          <w:spacing w:val="-3"/>
        </w:rPr>
        <w:t>aquella</w:t>
      </w:r>
      <w:r w:rsidR="00F97C5C" w:rsidRPr="004068F6">
        <w:rPr>
          <w:spacing w:val="-3"/>
        </w:rPr>
        <w:t xml:space="preserve"> que la modifique</w:t>
      </w:r>
      <w:r w:rsidR="00F97C5C" w:rsidRPr="004068F6">
        <w:rPr>
          <w:rFonts w:cs="Arial"/>
          <w:spacing w:val="-3"/>
        </w:rPr>
        <w:t xml:space="preserve"> o</w:t>
      </w:r>
      <w:r w:rsidR="00F97C5C" w:rsidRPr="004068F6">
        <w:rPr>
          <w:spacing w:val="-3"/>
        </w:rPr>
        <w:t xml:space="preserve"> sustituya. Complementariamente</w:t>
      </w:r>
      <w:r w:rsidRPr="004068F6">
        <w:rPr>
          <w:spacing w:val="-3"/>
        </w:rPr>
        <w:t xml:space="preserve">, </w:t>
      </w:r>
      <w:r w:rsidR="005150F8" w:rsidRPr="004068F6">
        <w:rPr>
          <w:spacing w:val="-3"/>
        </w:rPr>
        <w:t>est</w:t>
      </w:r>
      <w:r w:rsidRPr="004068F6">
        <w:rPr>
          <w:spacing w:val="-3"/>
        </w:rPr>
        <w:t xml:space="preserve">a identificación debe realizarse mediante la </w:t>
      </w:r>
      <w:r w:rsidR="00F97C5C" w:rsidRPr="004068F6">
        <w:rPr>
          <w:spacing w:val="-3"/>
        </w:rPr>
        <w:t>consulta</w:t>
      </w:r>
      <w:r w:rsidRPr="004068F6">
        <w:rPr>
          <w:spacing w:val="-3"/>
        </w:rPr>
        <w:t xml:space="preserve"> de</w:t>
      </w:r>
      <w:r w:rsidR="00F97C5C" w:rsidRPr="004068F6">
        <w:rPr>
          <w:spacing w:val="-3"/>
        </w:rPr>
        <w:t xml:space="preserve"> los listados de especies amenazadas de la Unión Internacional para la Conservación de la Naturaleza (UICN) en su versión más actualizada</w:t>
      </w:r>
      <w:r w:rsidRPr="004068F6">
        <w:rPr>
          <w:rStyle w:val="Refdenotaalpie"/>
          <w:spacing w:val="-3"/>
          <w:lang w:val="es-CO"/>
        </w:rPr>
        <w:footnoteReference w:id="55"/>
      </w:r>
      <w:r w:rsidR="00F97C5C" w:rsidRPr="004068F6">
        <w:rPr>
          <w:spacing w:val="-3"/>
        </w:rPr>
        <w:t>, los libros rojos de Colombia (Calderón et al., 2005; Morales-Betancourt et al., 2015; Rengifo et al., 2002; Rodríguez et al., 2006; Rueda-Almonacid, Amézquita &amp; Lynch, 2004; Mojica et al., 2012; Linares y Uribe, 2002), los apéndices de la Convención sobre el Comercio Internacional de Especies de Fauna y Flora Silvestres (CITES), el Convenio para la protección y el desarrollo del medio marino de la región del Gran Caribe, entre otras.</w:t>
      </w:r>
    </w:p>
    <w:p w14:paraId="2395D02A" w14:textId="77777777" w:rsidR="00F97C5C" w:rsidRPr="004068F6" w:rsidRDefault="00F97C5C">
      <w:pPr>
        <w:numPr>
          <w:ilvl w:val="12"/>
          <w:numId w:val="0"/>
        </w:numPr>
        <w:tabs>
          <w:tab w:val="left" w:pos="-2268"/>
        </w:tabs>
        <w:suppressAutoHyphens/>
        <w:rPr>
          <w:spacing w:val="-3"/>
        </w:rPr>
      </w:pPr>
    </w:p>
    <w:p w14:paraId="455F9C25" w14:textId="18E654DE" w:rsidR="00F97C5C" w:rsidRPr="004068F6" w:rsidRDefault="00F97C5C">
      <w:pPr>
        <w:numPr>
          <w:ilvl w:val="12"/>
          <w:numId w:val="0"/>
        </w:numPr>
        <w:tabs>
          <w:tab w:val="left" w:pos="-2268"/>
        </w:tabs>
        <w:suppressAutoHyphens/>
        <w:rPr>
          <w:spacing w:val="-3"/>
        </w:rPr>
      </w:pPr>
      <w:r w:rsidRPr="004068F6">
        <w:rPr>
          <w:spacing w:val="-3"/>
        </w:rPr>
        <w:t xml:space="preserve">El grado de detalle de </w:t>
      </w:r>
      <w:r w:rsidR="00AF4FA0" w:rsidRPr="004068F6">
        <w:rPr>
          <w:spacing w:val="-3"/>
        </w:rPr>
        <w:t xml:space="preserve">la </w:t>
      </w:r>
      <w:r w:rsidR="001A7EFF" w:rsidRPr="004068F6">
        <w:rPr>
          <w:spacing w:val="-3"/>
        </w:rPr>
        <w:t xml:space="preserve">información </w:t>
      </w:r>
      <w:r w:rsidRPr="004068F6">
        <w:rPr>
          <w:spacing w:val="-3"/>
        </w:rPr>
        <w:t xml:space="preserve">y su representación </w:t>
      </w:r>
      <w:r w:rsidR="00AF4FA0" w:rsidRPr="004068F6">
        <w:rPr>
          <w:spacing w:val="-3"/>
        </w:rPr>
        <w:t xml:space="preserve">cartográfica </w:t>
      </w:r>
      <w:r w:rsidRPr="004068F6">
        <w:rPr>
          <w:spacing w:val="-3"/>
        </w:rPr>
        <w:t xml:space="preserve">debe estar </w:t>
      </w:r>
      <w:r w:rsidR="00EB165D" w:rsidRPr="004068F6">
        <w:rPr>
          <w:spacing w:val="-3"/>
        </w:rPr>
        <w:t>en consonancia con</w:t>
      </w:r>
      <w:r w:rsidRPr="004068F6">
        <w:rPr>
          <w:spacing w:val="-3"/>
        </w:rPr>
        <w:t xml:space="preserve"> la </w:t>
      </w:r>
      <w:r w:rsidR="00CE5EB1" w:rsidRPr="004068F6">
        <w:rPr>
          <w:spacing w:val="-3"/>
        </w:rPr>
        <w:t xml:space="preserve">descripción </w:t>
      </w:r>
      <w:r w:rsidR="00AF4FA0" w:rsidRPr="004068F6">
        <w:rPr>
          <w:spacing w:val="-3"/>
        </w:rPr>
        <w:t>solicitada en los términos de referencia</w:t>
      </w:r>
      <w:r w:rsidRPr="004068F6">
        <w:rPr>
          <w:spacing w:val="-3"/>
        </w:rPr>
        <w:t>. Su presentación cartográfica debe emplear la escala establecida en los respectivos términos de referencia</w:t>
      </w:r>
      <w:r w:rsidRPr="004068F6">
        <w:rPr>
          <w:rFonts w:cs="Arial"/>
          <w:spacing w:val="-3"/>
        </w:rPr>
        <w:t xml:space="preserve">, o </w:t>
      </w:r>
      <w:r w:rsidRPr="004068F6">
        <w:rPr>
          <w:spacing w:val="-3"/>
        </w:rPr>
        <w:t>una más detallada,</w:t>
      </w:r>
      <w:r w:rsidRPr="004068F6">
        <w:rPr>
          <w:rFonts w:cs="Arial"/>
        </w:rPr>
        <w:t xml:space="preserve"> </w:t>
      </w:r>
      <w:r w:rsidRPr="004068F6">
        <w:rPr>
          <w:spacing w:val="-3"/>
        </w:rPr>
        <w:t xml:space="preserve">de acuerdo </w:t>
      </w:r>
      <w:r w:rsidRPr="004068F6">
        <w:rPr>
          <w:rFonts w:cs="Arial"/>
          <w:spacing w:val="-3"/>
        </w:rPr>
        <w:t xml:space="preserve">con las características del </w:t>
      </w:r>
      <w:r w:rsidR="00676DE6" w:rsidRPr="004068F6">
        <w:rPr>
          <w:rFonts w:cs="Arial"/>
          <w:spacing w:val="-3"/>
        </w:rPr>
        <w:t>proyecto, obra o actividad</w:t>
      </w:r>
      <w:r w:rsidRPr="004068F6">
        <w:rPr>
          <w:spacing w:val="-3"/>
        </w:rPr>
        <w:t>.</w:t>
      </w:r>
    </w:p>
    <w:p w14:paraId="7FF61CD1" w14:textId="77777777" w:rsidR="00F97C5C" w:rsidRPr="004068F6" w:rsidRDefault="00F97C5C">
      <w:pPr>
        <w:numPr>
          <w:ilvl w:val="12"/>
          <w:numId w:val="0"/>
        </w:numPr>
        <w:tabs>
          <w:tab w:val="left" w:pos="-2268"/>
        </w:tabs>
        <w:suppressAutoHyphens/>
        <w:rPr>
          <w:spacing w:val="-3"/>
        </w:rPr>
      </w:pPr>
    </w:p>
    <w:p w14:paraId="1FBC74EA" w14:textId="35A55790" w:rsidR="00F97C5C" w:rsidRPr="004068F6" w:rsidRDefault="00F97C5C">
      <w:pPr>
        <w:numPr>
          <w:ilvl w:val="12"/>
          <w:numId w:val="0"/>
        </w:numPr>
        <w:tabs>
          <w:tab w:val="left" w:pos="-2268"/>
        </w:tabs>
        <w:suppressAutoHyphens/>
        <w:rPr>
          <w:spacing w:val="-3"/>
        </w:rPr>
      </w:pPr>
      <w:r w:rsidRPr="004068F6">
        <w:rPr>
          <w:rFonts w:cs="Arial"/>
          <w:spacing w:val="-3"/>
        </w:rPr>
        <w:t xml:space="preserve">A continuación, se establece el contenido </w:t>
      </w:r>
      <w:r w:rsidR="006B6922" w:rsidRPr="004068F6">
        <w:rPr>
          <w:rFonts w:cs="Arial"/>
          <w:spacing w:val="-3"/>
        </w:rPr>
        <w:t xml:space="preserve">y lineamientos generales para desarrollar </w:t>
      </w:r>
      <w:r w:rsidR="00465FC7" w:rsidRPr="004068F6">
        <w:rPr>
          <w:rFonts w:cs="Arial"/>
          <w:spacing w:val="-3"/>
        </w:rPr>
        <w:t>la</w:t>
      </w:r>
      <w:r w:rsidR="00465FC7" w:rsidRPr="004068F6">
        <w:rPr>
          <w:spacing w:val="-3"/>
        </w:rPr>
        <w:t xml:space="preserve"> caracterización </w:t>
      </w:r>
      <w:r w:rsidR="00465FC7" w:rsidRPr="004068F6">
        <w:rPr>
          <w:rFonts w:cs="Arial"/>
          <w:spacing w:val="-3"/>
        </w:rPr>
        <w:t xml:space="preserve">de los componentes del </w:t>
      </w:r>
      <w:r w:rsidR="00465FC7" w:rsidRPr="004068F6">
        <w:rPr>
          <w:spacing w:val="-3"/>
        </w:rPr>
        <w:t>medio biótico</w:t>
      </w:r>
      <w:r w:rsidR="00C53FA2" w:rsidRPr="004068F6">
        <w:rPr>
          <w:spacing w:val="-3"/>
        </w:rPr>
        <w:t>.</w:t>
      </w:r>
    </w:p>
    <w:p w14:paraId="1BDDF992" w14:textId="77777777" w:rsidR="00F97C5C" w:rsidRDefault="00F97C5C">
      <w:pPr>
        <w:numPr>
          <w:ilvl w:val="12"/>
          <w:numId w:val="0"/>
        </w:numPr>
        <w:tabs>
          <w:tab w:val="left" w:pos="-2268"/>
        </w:tabs>
        <w:suppressAutoHyphens/>
        <w:rPr>
          <w:spacing w:val="-3"/>
        </w:rPr>
      </w:pPr>
    </w:p>
    <w:p w14:paraId="05879DC7" w14:textId="77777777" w:rsidR="000837B3" w:rsidRDefault="000837B3">
      <w:pPr>
        <w:numPr>
          <w:ilvl w:val="12"/>
          <w:numId w:val="0"/>
        </w:numPr>
        <w:tabs>
          <w:tab w:val="left" w:pos="-2268"/>
        </w:tabs>
        <w:suppressAutoHyphens/>
        <w:rPr>
          <w:spacing w:val="-3"/>
        </w:rPr>
      </w:pPr>
    </w:p>
    <w:p w14:paraId="63D4C0B1" w14:textId="77777777" w:rsidR="000837B3" w:rsidRDefault="000837B3">
      <w:pPr>
        <w:numPr>
          <w:ilvl w:val="12"/>
          <w:numId w:val="0"/>
        </w:numPr>
        <w:tabs>
          <w:tab w:val="left" w:pos="-2268"/>
        </w:tabs>
        <w:suppressAutoHyphens/>
        <w:rPr>
          <w:spacing w:val="-3"/>
        </w:rPr>
      </w:pPr>
    </w:p>
    <w:p w14:paraId="04658187" w14:textId="77777777" w:rsidR="000837B3" w:rsidRPr="004068F6" w:rsidRDefault="000837B3">
      <w:pPr>
        <w:numPr>
          <w:ilvl w:val="12"/>
          <w:numId w:val="0"/>
        </w:numPr>
        <w:tabs>
          <w:tab w:val="left" w:pos="-2268"/>
        </w:tabs>
        <w:suppressAutoHyphens/>
        <w:rPr>
          <w:spacing w:val="-3"/>
        </w:rPr>
      </w:pPr>
    </w:p>
    <w:p w14:paraId="2DBC113C" w14:textId="32C292D7" w:rsidR="00F97C5C" w:rsidRPr="00B81EC8" w:rsidRDefault="00F97C5C" w:rsidP="000A1E20">
      <w:pPr>
        <w:pStyle w:val="Ttulo3"/>
      </w:pPr>
      <w:bookmarkStart w:id="2290" w:name="_Toc412803159"/>
      <w:bookmarkStart w:id="2291" w:name="_Toc437935985"/>
      <w:bookmarkStart w:id="2292" w:name="_Toc42552222"/>
      <w:bookmarkStart w:id="2293" w:name="_Toc230879590"/>
      <w:r w:rsidRPr="00B81EC8">
        <w:lastRenderedPageBreak/>
        <w:t>Ecosistemas</w:t>
      </w:r>
      <w:bookmarkEnd w:id="2290"/>
      <w:bookmarkEnd w:id="2291"/>
      <w:bookmarkEnd w:id="2292"/>
      <w:r w:rsidR="000A164F" w:rsidRPr="00B81EC8">
        <w:t xml:space="preserve"> terrestres</w:t>
      </w:r>
      <w:bookmarkEnd w:id="2293"/>
    </w:p>
    <w:p w14:paraId="22EDF14E" w14:textId="77777777" w:rsidR="00F97C5C" w:rsidRPr="004068F6" w:rsidRDefault="00F97C5C">
      <w:pPr>
        <w:numPr>
          <w:ilvl w:val="12"/>
          <w:numId w:val="0"/>
        </w:numPr>
        <w:tabs>
          <w:tab w:val="left" w:pos="-2268"/>
        </w:tabs>
        <w:suppressAutoHyphens/>
        <w:rPr>
          <w:spacing w:val="-3"/>
        </w:rPr>
      </w:pPr>
    </w:p>
    <w:p w14:paraId="6EE6A2AE" w14:textId="29FDFC7A" w:rsidR="0004503C" w:rsidRPr="004068F6" w:rsidRDefault="0004503C">
      <w:pPr>
        <w:numPr>
          <w:ilvl w:val="12"/>
          <w:numId w:val="0"/>
        </w:numPr>
        <w:tabs>
          <w:tab w:val="left" w:pos="-2268"/>
        </w:tabs>
        <w:suppressAutoHyphens/>
        <w:rPr>
          <w:spacing w:val="-3"/>
        </w:rPr>
      </w:pPr>
      <w:r w:rsidRPr="004068F6">
        <w:rPr>
          <w:spacing w:val="-3"/>
        </w:rPr>
        <w:t xml:space="preserve">Para </w:t>
      </w:r>
      <w:r w:rsidR="002508EA" w:rsidRPr="004068F6">
        <w:rPr>
          <w:spacing w:val="-3"/>
        </w:rPr>
        <w:t>delimitar</w:t>
      </w:r>
      <w:r w:rsidR="00044391" w:rsidRPr="004068F6">
        <w:rPr>
          <w:spacing w:val="-3"/>
        </w:rPr>
        <w:t xml:space="preserve"> </w:t>
      </w:r>
      <w:r w:rsidRPr="004068F6">
        <w:rPr>
          <w:spacing w:val="-3"/>
        </w:rPr>
        <w:t>los ecosistemas terrestres es necesario identificar qué ecosistemas del Mapa de Ecosistemas Continentales, Costeros y Marinos de Colombia, Versión 2.1, escala 1:100.000 (2017) (Ideam et al., 2017), o de sus versiones posteriores, se localizan en el área de estudio; luego de ello, se deben describir las características principales de dichos ecosistemas a partir de fuentes de información secundaria o de información primaria en caso de que la información no esté disponible o se encuentre desactualizada.</w:t>
      </w:r>
    </w:p>
    <w:p w14:paraId="7DC8D00F" w14:textId="77777777" w:rsidR="00F97C5C" w:rsidRPr="004068F6" w:rsidRDefault="00F97C5C">
      <w:pPr>
        <w:numPr>
          <w:ilvl w:val="12"/>
          <w:numId w:val="0"/>
        </w:numPr>
        <w:tabs>
          <w:tab w:val="left" w:pos="-2268"/>
        </w:tabs>
        <w:suppressAutoHyphens/>
        <w:rPr>
          <w:spacing w:val="-3"/>
        </w:rPr>
      </w:pPr>
    </w:p>
    <w:p w14:paraId="17281819" w14:textId="231BC0F3" w:rsidR="00F97C5C" w:rsidRPr="004068F6" w:rsidRDefault="00254001">
      <w:pPr>
        <w:numPr>
          <w:ilvl w:val="12"/>
          <w:numId w:val="0"/>
        </w:numPr>
        <w:tabs>
          <w:tab w:val="left" w:pos="-2268"/>
        </w:tabs>
        <w:suppressAutoHyphens/>
        <w:rPr>
          <w:spacing w:val="-3"/>
        </w:rPr>
      </w:pPr>
      <w:r w:rsidRPr="004068F6">
        <w:rPr>
          <w:rFonts w:cs="Arial"/>
          <w:spacing w:val="-3"/>
        </w:rPr>
        <w:t>La e</w:t>
      </w:r>
      <w:r w:rsidR="00806EFA" w:rsidRPr="004068F6">
        <w:rPr>
          <w:rFonts w:cs="Arial"/>
          <w:spacing w:val="-3"/>
        </w:rPr>
        <w:t>labora</w:t>
      </w:r>
      <w:r w:rsidRPr="004068F6">
        <w:rPr>
          <w:rFonts w:cs="Arial"/>
          <w:spacing w:val="-3"/>
        </w:rPr>
        <w:t>ción d</w:t>
      </w:r>
      <w:r w:rsidR="00806EFA" w:rsidRPr="004068F6">
        <w:rPr>
          <w:rFonts w:cs="Arial"/>
          <w:spacing w:val="-3"/>
        </w:rPr>
        <w:t xml:space="preserve">el mapa de </w:t>
      </w:r>
      <w:r w:rsidRPr="004068F6">
        <w:rPr>
          <w:rFonts w:cs="Arial"/>
          <w:spacing w:val="-3"/>
        </w:rPr>
        <w:t xml:space="preserve">las </w:t>
      </w:r>
      <w:r w:rsidR="00806EFA" w:rsidRPr="004068F6">
        <w:rPr>
          <w:rFonts w:cs="Arial"/>
          <w:spacing w:val="-3"/>
        </w:rPr>
        <w:t xml:space="preserve">coberturas de la tierra </w:t>
      </w:r>
      <w:r w:rsidR="00EA20D4" w:rsidRPr="004068F6">
        <w:rPr>
          <w:spacing w:val="-3"/>
        </w:rPr>
        <w:t xml:space="preserve">asociadas a cada ecosistema </w:t>
      </w:r>
      <w:r w:rsidRPr="004068F6">
        <w:rPr>
          <w:spacing w:val="-3"/>
        </w:rPr>
        <w:t xml:space="preserve">debe realizarse de acuerdo con </w:t>
      </w:r>
      <w:r w:rsidR="00EA20D4" w:rsidRPr="004068F6">
        <w:rPr>
          <w:spacing w:val="-3"/>
        </w:rPr>
        <w:t xml:space="preserve">la </w:t>
      </w:r>
      <w:r w:rsidR="00D801B5" w:rsidRPr="004068F6">
        <w:rPr>
          <w:spacing w:val="-3"/>
        </w:rPr>
        <w:t xml:space="preserve">versión oficial vigente de la </w:t>
      </w:r>
      <w:r w:rsidR="00EA20D4" w:rsidRPr="004068F6">
        <w:rPr>
          <w:spacing w:val="-3"/>
        </w:rPr>
        <w:t>metodología Corine Land Cover adaptada para Colombia,</w:t>
      </w:r>
      <w:r w:rsidR="00EA20D4" w:rsidRPr="004068F6">
        <w:rPr>
          <w:rFonts w:cs="Arial"/>
          <w:spacing w:val="-3"/>
        </w:rPr>
        <w:t xml:space="preserve"> </w:t>
      </w:r>
      <w:r w:rsidR="00806EFA" w:rsidRPr="004068F6">
        <w:rPr>
          <w:rFonts w:cs="Arial"/>
          <w:spacing w:val="-3"/>
        </w:rPr>
        <w:t xml:space="preserve">a partir de insumos provenientes de sensores remotos como imágenes de satélite, imágenes de radar y ortofotos </w:t>
      </w:r>
      <w:r w:rsidR="00EA20D4" w:rsidRPr="004068F6">
        <w:rPr>
          <w:rFonts w:cs="Arial"/>
          <w:spacing w:val="-3"/>
        </w:rPr>
        <w:t xml:space="preserve">que estén </w:t>
      </w:r>
      <w:r w:rsidR="00806EFA" w:rsidRPr="004068F6">
        <w:rPr>
          <w:rFonts w:cs="Arial"/>
          <w:spacing w:val="-3"/>
        </w:rPr>
        <w:t xml:space="preserve">disponibles para el área de estudio </w:t>
      </w:r>
      <w:r w:rsidR="00EA20D4" w:rsidRPr="004068F6">
        <w:rPr>
          <w:rFonts w:cs="Arial"/>
          <w:spacing w:val="-3"/>
        </w:rPr>
        <w:t xml:space="preserve">y cuya </w:t>
      </w:r>
      <w:r w:rsidRPr="004068F6">
        <w:rPr>
          <w:rFonts w:cs="Arial"/>
          <w:spacing w:val="-3"/>
        </w:rPr>
        <w:t xml:space="preserve">antigüedad </w:t>
      </w:r>
      <w:r w:rsidR="00806EFA" w:rsidRPr="004068F6">
        <w:rPr>
          <w:rFonts w:cs="Arial"/>
          <w:spacing w:val="-3"/>
        </w:rPr>
        <w:t xml:space="preserve">no </w:t>
      </w:r>
      <w:r w:rsidR="00EA20D4" w:rsidRPr="004068F6">
        <w:rPr>
          <w:rFonts w:cs="Arial"/>
          <w:spacing w:val="-3"/>
        </w:rPr>
        <w:t xml:space="preserve">sea </w:t>
      </w:r>
      <w:r w:rsidR="00806EFA" w:rsidRPr="004068F6">
        <w:rPr>
          <w:rFonts w:cs="Arial"/>
          <w:spacing w:val="-3"/>
        </w:rPr>
        <w:t>mayor a 3 años</w:t>
      </w:r>
      <w:r w:rsidR="00F97C5C" w:rsidRPr="004068F6">
        <w:rPr>
          <w:spacing w:val="-3"/>
        </w:rPr>
        <w:t>.</w:t>
      </w:r>
      <w:r w:rsidR="00EB28B0" w:rsidRPr="004068F6">
        <w:rPr>
          <w:spacing w:val="-3"/>
        </w:rPr>
        <w:t xml:space="preserve"> </w:t>
      </w:r>
      <w:r w:rsidR="0044682F" w:rsidRPr="004068F6">
        <w:rPr>
          <w:spacing w:val="-3"/>
        </w:rPr>
        <w:t xml:space="preserve">En caso de emplear </w:t>
      </w:r>
      <w:r w:rsidR="005A145C" w:rsidRPr="004068F6">
        <w:rPr>
          <w:spacing w:val="-3"/>
        </w:rPr>
        <w:t xml:space="preserve">información </w:t>
      </w:r>
      <w:r w:rsidR="001C0E35" w:rsidRPr="004068F6">
        <w:rPr>
          <w:spacing w:val="-3"/>
        </w:rPr>
        <w:t xml:space="preserve">de </w:t>
      </w:r>
      <w:r w:rsidR="005A145C" w:rsidRPr="004068F6">
        <w:rPr>
          <w:spacing w:val="-3"/>
        </w:rPr>
        <w:t>mayor antigüedad, se debe argumentar técnicamente</w:t>
      </w:r>
      <w:r w:rsidR="004E0C83" w:rsidRPr="004068F6">
        <w:rPr>
          <w:spacing w:val="-3"/>
        </w:rPr>
        <w:t xml:space="preserve"> porqué se </w:t>
      </w:r>
      <w:r w:rsidR="001C0E35" w:rsidRPr="004068F6">
        <w:rPr>
          <w:spacing w:val="-3"/>
        </w:rPr>
        <w:t>emplea dicha información</w:t>
      </w:r>
      <w:r w:rsidR="00343B8D" w:rsidRPr="004068F6">
        <w:rPr>
          <w:spacing w:val="-3"/>
        </w:rPr>
        <w:t>.</w:t>
      </w:r>
    </w:p>
    <w:p w14:paraId="344626E8" w14:textId="77777777" w:rsidR="0044682F" w:rsidRPr="004068F6" w:rsidRDefault="0044682F">
      <w:pPr>
        <w:numPr>
          <w:ilvl w:val="12"/>
          <w:numId w:val="0"/>
        </w:numPr>
        <w:tabs>
          <w:tab w:val="left" w:pos="-2268"/>
        </w:tabs>
        <w:suppressAutoHyphens/>
        <w:rPr>
          <w:spacing w:val="-3"/>
        </w:rPr>
      </w:pPr>
    </w:p>
    <w:p w14:paraId="78313605" w14:textId="578260E0" w:rsidR="00F97C5C" w:rsidRPr="004068F6" w:rsidRDefault="00F97C5C" w:rsidP="00F97C5C">
      <w:pPr>
        <w:numPr>
          <w:ilvl w:val="12"/>
          <w:numId w:val="0"/>
        </w:numPr>
        <w:tabs>
          <w:tab w:val="left" w:pos="-2268"/>
        </w:tabs>
        <w:suppressAutoHyphens/>
        <w:rPr>
          <w:rFonts w:cs="Arial"/>
          <w:spacing w:val="-3"/>
        </w:rPr>
      </w:pPr>
      <w:r w:rsidRPr="004068F6">
        <w:rPr>
          <w:rFonts w:cs="Arial"/>
          <w:spacing w:val="-3"/>
        </w:rPr>
        <w:t xml:space="preserve">Presentar la información cartográfica </w:t>
      </w:r>
      <w:r w:rsidR="0045086C" w:rsidRPr="004068F6">
        <w:rPr>
          <w:rFonts w:cs="Arial"/>
          <w:spacing w:val="-3"/>
        </w:rPr>
        <w:t xml:space="preserve">de ecosistemas y coberturas de la tierra </w:t>
      </w:r>
      <w:r w:rsidRPr="004068F6">
        <w:rPr>
          <w:rFonts w:cs="Arial"/>
          <w:spacing w:val="-3"/>
        </w:rPr>
        <w:t xml:space="preserve">resultante </w:t>
      </w:r>
      <w:r w:rsidR="0045086C" w:rsidRPr="004068F6">
        <w:rPr>
          <w:rFonts w:cs="Arial"/>
          <w:spacing w:val="-3"/>
        </w:rPr>
        <w:t>con</w:t>
      </w:r>
      <w:r w:rsidRPr="004068F6">
        <w:rPr>
          <w:rFonts w:cs="Arial"/>
          <w:spacing w:val="-3"/>
        </w:rPr>
        <w:t xml:space="preserve"> la escala que establezcan los términos de referencia o </w:t>
      </w:r>
      <w:r w:rsidR="0045086C" w:rsidRPr="004068F6">
        <w:rPr>
          <w:rFonts w:cs="Arial"/>
          <w:spacing w:val="-3"/>
        </w:rPr>
        <w:t xml:space="preserve">con una </w:t>
      </w:r>
      <w:r w:rsidRPr="004068F6">
        <w:rPr>
          <w:rFonts w:cs="Arial"/>
          <w:spacing w:val="-3"/>
        </w:rPr>
        <w:t>más detallada, en caso de ser necesario.</w:t>
      </w:r>
      <w:r w:rsidR="00AB5713" w:rsidRPr="004068F6">
        <w:rPr>
          <w:rFonts w:cs="Arial"/>
          <w:spacing w:val="-3"/>
        </w:rPr>
        <w:t xml:space="preserve"> En caso de </w:t>
      </w:r>
      <w:r w:rsidR="00FC7554" w:rsidRPr="004068F6">
        <w:rPr>
          <w:rFonts w:cs="Arial"/>
          <w:spacing w:val="-3"/>
        </w:rPr>
        <w:t xml:space="preserve">que se </w:t>
      </w:r>
      <w:r w:rsidR="00AB5713" w:rsidRPr="004068F6">
        <w:rPr>
          <w:rFonts w:cs="Arial"/>
          <w:spacing w:val="-3"/>
        </w:rPr>
        <w:t>requ</w:t>
      </w:r>
      <w:r w:rsidR="00FC7554" w:rsidRPr="004068F6">
        <w:rPr>
          <w:rFonts w:cs="Arial"/>
          <w:spacing w:val="-3"/>
        </w:rPr>
        <w:t xml:space="preserve">iera ejecutar </w:t>
      </w:r>
      <w:r w:rsidR="00AB5713" w:rsidRPr="004068F6">
        <w:rPr>
          <w:rFonts w:cs="Arial"/>
          <w:spacing w:val="-3"/>
        </w:rPr>
        <w:t>muestreos</w:t>
      </w:r>
      <w:r w:rsidR="00FC7554" w:rsidRPr="004068F6">
        <w:rPr>
          <w:rFonts w:cs="Arial"/>
          <w:spacing w:val="-3"/>
        </w:rPr>
        <w:t xml:space="preserve">, </w:t>
      </w:r>
      <w:r w:rsidR="00111447" w:rsidRPr="004068F6">
        <w:rPr>
          <w:rFonts w:cs="Arial"/>
          <w:spacing w:val="-3"/>
        </w:rPr>
        <w:t xml:space="preserve">la información resultado de estos </w:t>
      </w:r>
      <w:r w:rsidR="00FC7554" w:rsidRPr="004068F6">
        <w:rPr>
          <w:rFonts w:cs="Arial"/>
          <w:spacing w:val="-3"/>
        </w:rPr>
        <w:t xml:space="preserve">debe </w:t>
      </w:r>
      <w:r w:rsidR="00AB5713" w:rsidRPr="004068F6">
        <w:rPr>
          <w:rFonts w:cs="Arial"/>
          <w:spacing w:val="-3"/>
        </w:rPr>
        <w:t>integrar</w:t>
      </w:r>
      <w:r w:rsidR="00111447" w:rsidRPr="004068F6">
        <w:rPr>
          <w:rFonts w:cs="Arial"/>
          <w:spacing w:val="-3"/>
        </w:rPr>
        <w:t>se</w:t>
      </w:r>
      <w:r w:rsidR="00AB5713" w:rsidRPr="004068F6">
        <w:rPr>
          <w:rFonts w:cs="Arial"/>
          <w:spacing w:val="-3"/>
        </w:rPr>
        <w:t xml:space="preserve"> al MAG.</w:t>
      </w:r>
    </w:p>
    <w:p w14:paraId="12F24DD6" w14:textId="77777777" w:rsidR="00F97C5C" w:rsidRPr="004068F6" w:rsidRDefault="00F97C5C" w:rsidP="00F97C5C">
      <w:pPr>
        <w:numPr>
          <w:ilvl w:val="12"/>
          <w:numId w:val="0"/>
        </w:numPr>
        <w:tabs>
          <w:tab w:val="left" w:pos="-2268"/>
        </w:tabs>
        <w:suppressAutoHyphens/>
        <w:rPr>
          <w:rFonts w:cs="Arial"/>
          <w:spacing w:val="-3"/>
        </w:rPr>
      </w:pPr>
    </w:p>
    <w:p w14:paraId="74A0D37F" w14:textId="77777777" w:rsidR="00F97C5C" w:rsidRPr="004068F6" w:rsidRDefault="00F97C5C" w:rsidP="009420F5">
      <w:pPr>
        <w:pStyle w:val="Ttulo4"/>
        <w:tabs>
          <w:tab w:val="clear" w:pos="1844"/>
          <w:tab w:val="num" w:pos="1134"/>
        </w:tabs>
        <w:ind w:left="0"/>
        <w:rPr>
          <w:lang w:val="es-CO"/>
        </w:rPr>
      </w:pPr>
      <w:r w:rsidRPr="004068F6">
        <w:rPr>
          <w:lang w:val="es-CO"/>
        </w:rPr>
        <w:t>Flora</w:t>
      </w:r>
    </w:p>
    <w:p w14:paraId="58DE9749" w14:textId="77777777" w:rsidR="00F97C5C" w:rsidRPr="004068F6" w:rsidRDefault="00F97C5C">
      <w:pPr>
        <w:numPr>
          <w:ilvl w:val="12"/>
          <w:numId w:val="0"/>
        </w:numPr>
        <w:tabs>
          <w:tab w:val="left" w:pos="-2268"/>
        </w:tabs>
        <w:suppressAutoHyphens/>
        <w:rPr>
          <w:spacing w:val="-3"/>
        </w:rPr>
      </w:pPr>
    </w:p>
    <w:p w14:paraId="6E5EB7F0" w14:textId="0E657ACF" w:rsidR="00F97C5C" w:rsidRPr="004068F6" w:rsidRDefault="00AC2488">
      <w:pPr>
        <w:numPr>
          <w:ilvl w:val="12"/>
          <w:numId w:val="0"/>
        </w:numPr>
        <w:tabs>
          <w:tab w:val="left" w:pos="-2268"/>
        </w:tabs>
        <w:suppressAutoHyphens/>
        <w:rPr>
          <w:spacing w:val="-3"/>
        </w:rPr>
      </w:pPr>
      <w:r w:rsidRPr="004068F6">
        <w:rPr>
          <w:spacing w:val="-3"/>
        </w:rPr>
        <w:t xml:space="preserve">La </w:t>
      </w:r>
      <w:r w:rsidR="002F59A5" w:rsidRPr="004068F6">
        <w:rPr>
          <w:spacing w:val="-3"/>
        </w:rPr>
        <w:t xml:space="preserve">descripción </w:t>
      </w:r>
      <w:r w:rsidRPr="004068F6">
        <w:rPr>
          <w:spacing w:val="-3"/>
        </w:rPr>
        <w:t xml:space="preserve">de </w:t>
      </w:r>
      <w:r w:rsidR="001C0921" w:rsidRPr="004068F6">
        <w:rPr>
          <w:spacing w:val="-3"/>
        </w:rPr>
        <w:t xml:space="preserve">la flora se debe realizar para cada una de </w:t>
      </w:r>
      <w:r w:rsidR="00F97C5C" w:rsidRPr="004068F6">
        <w:rPr>
          <w:spacing w:val="-3"/>
        </w:rPr>
        <w:t xml:space="preserve">las unidades de cobertura </w:t>
      </w:r>
      <w:r w:rsidR="006871F8" w:rsidRPr="004068F6">
        <w:rPr>
          <w:spacing w:val="-3"/>
        </w:rPr>
        <w:t>de la tierra</w:t>
      </w:r>
      <w:r w:rsidR="006871F8" w:rsidRPr="004068F6">
        <w:rPr>
          <w:rFonts w:cs="Arial"/>
          <w:spacing w:val="-3"/>
        </w:rPr>
        <w:t xml:space="preserve"> </w:t>
      </w:r>
      <w:r w:rsidR="00F97C5C" w:rsidRPr="004068F6">
        <w:rPr>
          <w:spacing w:val="-3"/>
        </w:rPr>
        <w:t xml:space="preserve">mediante </w:t>
      </w:r>
      <w:r w:rsidR="00171517" w:rsidRPr="004068F6">
        <w:rPr>
          <w:spacing w:val="-3"/>
        </w:rPr>
        <w:t xml:space="preserve">las </w:t>
      </w:r>
      <w:r w:rsidR="00F97C5C" w:rsidRPr="004068F6">
        <w:rPr>
          <w:spacing w:val="-3"/>
        </w:rPr>
        <w:t>siguiente</w:t>
      </w:r>
      <w:r w:rsidR="00171517" w:rsidRPr="004068F6">
        <w:rPr>
          <w:spacing w:val="-3"/>
        </w:rPr>
        <w:t>s</w:t>
      </w:r>
      <w:r w:rsidR="00F97C5C" w:rsidRPr="004068F6">
        <w:rPr>
          <w:spacing w:val="-3"/>
        </w:rPr>
        <w:t xml:space="preserve"> </w:t>
      </w:r>
      <w:r w:rsidR="00171517" w:rsidRPr="004068F6">
        <w:rPr>
          <w:spacing w:val="-3"/>
        </w:rPr>
        <w:t>actividades</w:t>
      </w:r>
      <w:r w:rsidR="00F97C5C" w:rsidRPr="004068F6">
        <w:rPr>
          <w:spacing w:val="-3"/>
        </w:rPr>
        <w:t>:</w:t>
      </w:r>
    </w:p>
    <w:p w14:paraId="42C36C05" w14:textId="77777777" w:rsidR="00F97C5C" w:rsidRPr="004068F6" w:rsidRDefault="00F97C5C">
      <w:pPr>
        <w:numPr>
          <w:ilvl w:val="12"/>
          <w:numId w:val="0"/>
        </w:numPr>
        <w:tabs>
          <w:tab w:val="left" w:pos="-2268"/>
        </w:tabs>
        <w:suppressAutoHyphens/>
        <w:rPr>
          <w:spacing w:val="-3"/>
        </w:rPr>
      </w:pPr>
    </w:p>
    <w:p w14:paraId="17FC08D5" w14:textId="4C7F24E7" w:rsidR="00497722" w:rsidRPr="004068F6" w:rsidRDefault="009E4AF4" w:rsidP="00C86DA5">
      <w:pPr>
        <w:numPr>
          <w:ilvl w:val="0"/>
          <w:numId w:val="60"/>
        </w:numPr>
        <w:tabs>
          <w:tab w:val="clear" w:pos="360"/>
          <w:tab w:val="left" w:pos="-2268"/>
          <w:tab w:val="num" w:pos="567"/>
        </w:tabs>
        <w:suppressAutoHyphens/>
        <w:ind w:left="567" w:hanging="567"/>
        <w:rPr>
          <w:spacing w:val="-3"/>
        </w:rPr>
      </w:pPr>
      <w:r w:rsidRPr="004068F6">
        <w:rPr>
          <w:spacing w:val="-3"/>
        </w:rPr>
        <w:t xml:space="preserve">Determinación </w:t>
      </w:r>
      <w:r w:rsidR="00171517" w:rsidRPr="004068F6">
        <w:rPr>
          <w:spacing w:val="-3"/>
        </w:rPr>
        <w:t>de la c</w:t>
      </w:r>
      <w:r w:rsidR="00F97C5C" w:rsidRPr="004068F6">
        <w:rPr>
          <w:spacing w:val="-3"/>
        </w:rPr>
        <w:t>omposición florística</w:t>
      </w:r>
      <w:r w:rsidR="006056C6" w:rsidRPr="004068F6">
        <w:rPr>
          <w:spacing w:val="-3"/>
        </w:rPr>
        <w:t xml:space="preserve"> </w:t>
      </w:r>
      <w:r w:rsidR="00497722" w:rsidRPr="004068F6">
        <w:rPr>
          <w:spacing w:val="-3"/>
        </w:rPr>
        <w:t>de las coberturas de la tierra</w:t>
      </w:r>
    </w:p>
    <w:p w14:paraId="69C61743" w14:textId="77777777" w:rsidR="00497722" w:rsidRPr="004068F6" w:rsidRDefault="00497722" w:rsidP="00127BD4">
      <w:pPr>
        <w:tabs>
          <w:tab w:val="left" w:pos="-2268"/>
        </w:tabs>
        <w:suppressAutoHyphens/>
        <w:rPr>
          <w:spacing w:val="-3"/>
        </w:rPr>
      </w:pPr>
    </w:p>
    <w:p w14:paraId="5E13E324" w14:textId="4D388EE7" w:rsidR="00F97C5C" w:rsidRPr="004068F6" w:rsidRDefault="0013291A" w:rsidP="00C86DA5">
      <w:pPr>
        <w:numPr>
          <w:ilvl w:val="0"/>
          <w:numId w:val="60"/>
        </w:numPr>
        <w:tabs>
          <w:tab w:val="clear" w:pos="360"/>
          <w:tab w:val="left" w:pos="-2268"/>
          <w:tab w:val="num" w:pos="567"/>
        </w:tabs>
        <w:suppressAutoHyphens/>
        <w:ind w:left="567" w:hanging="567"/>
        <w:rPr>
          <w:spacing w:val="-3"/>
        </w:rPr>
      </w:pPr>
      <w:r w:rsidRPr="004068F6">
        <w:rPr>
          <w:spacing w:val="-3"/>
        </w:rPr>
        <w:t xml:space="preserve">Aproximación a la </w:t>
      </w:r>
      <w:r w:rsidR="00715810" w:rsidRPr="004068F6">
        <w:rPr>
          <w:spacing w:val="-3"/>
        </w:rPr>
        <w:t xml:space="preserve">determinación de la </w:t>
      </w:r>
      <w:r w:rsidRPr="004068F6">
        <w:rPr>
          <w:spacing w:val="-3"/>
        </w:rPr>
        <w:t xml:space="preserve">estructura vertical y horizontal de las unidades de cobertura </w:t>
      </w:r>
      <w:r w:rsidR="00715810" w:rsidRPr="004068F6">
        <w:rPr>
          <w:spacing w:val="-3"/>
        </w:rPr>
        <w:t>de la tierra</w:t>
      </w:r>
      <w:r w:rsidR="00D50B4B">
        <w:rPr>
          <w:spacing w:val="-3"/>
        </w:rPr>
        <w:t xml:space="preserve"> </w:t>
      </w:r>
      <w:r w:rsidR="00A70C44">
        <w:rPr>
          <w:spacing w:val="-3"/>
        </w:rPr>
        <w:t>con veget</w:t>
      </w:r>
      <w:r w:rsidR="007D0B7A">
        <w:rPr>
          <w:spacing w:val="-3"/>
        </w:rPr>
        <w:t>ac</w:t>
      </w:r>
      <w:r w:rsidR="00A70C44">
        <w:rPr>
          <w:spacing w:val="-3"/>
        </w:rPr>
        <w:t xml:space="preserve">ión </w:t>
      </w:r>
      <w:r w:rsidR="00D50B4B">
        <w:t>natural y seminatural</w:t>
      </w:r>
      <w:r w:rsidRPr="004068F6">
        <w:rPr>
          <w:spacing w:val="-3"/>
        </w:rPr>
        <w:t>. De no contar con información secundaria reciente</w:t>
      </w:r>
      <w:r w:rsidR="00790527" w:rsidRPr="004068F6">
        <w:rPr>
          <w:spacing w:val="-3"/>
        </w:rPr>
        <w:t xml:space="preserve">, es posible </w:t>
      </w:r>
      <w:r w:rsidR="0088745C" w:rsidRPr="004068F6">
        <w:rPr>
          <w:spacing w:val="-3"/>
        </w:rPr>
        <w:t xml:space="preserve">obtener </w:t>
      </w:r>
      <w:r w:rsidRPr="004068F6">
        <w:rPr>
          <w:spacing w:val="-3"/>
        </w:rPr>
        <w:t xml:space="preserve">información </w:t>
      </w:r>
      <w:r w:rsidR="008215BB" w:rsidRPr="004068F6">
        <w:rPr>
          <w:spacing w:val="-3"/>
        </w:rPr>
        <w:t xml:space="preserve">primaria </w:t>
      </w:r>
      <w:r w:rsidR="0088745C" w:rsidRPr="004068F6">
        <w:rPr>
          <w:spacing w:val="-3"/>
        </w:rPr>
        <w:t xml:space="preserve">en </w:t>
      </w:r>
      <w:r w:rsidRPr="004068F6">
        <w:rPr>
          <w:spacing w:val="-3"/>
        </w:rPr>
        <w:t xml:space="preserve">los puntos de control de campo </w:t>
      </w:r>
      <w:r w:rsidR="0088745C" w:rsidRPr="004068F6">
        <w:rPr>
          <w:spacing w:val="-3"/>
        </w:rPr>
        <w:t xml:space="preserve">empleados </w:t>
      </w:r>
      <w:r w:rsidRPr="004068F6">
        <w:rPr>
          <w:spacing w:val="-3"/>
        </w:rPr>
        <w:t xml:space="preserve">para </w:t>
      </w:r>
      <w:r w:rsidR="008215BB" w:rsidRPr="004068F6">
        <w:rPr>
          <w:spacing w:val="-3"/>
        </w:rPr>
        <w:t xml:space="preserve">delimitar </w:t>
      </w:r>
      <w:r w:rsidRPr="004068F6">
        <w:rPr>
          <w:spacing w:val="-3"/>
        </w:rPr>
        <w:t>las coberturas de la tierra</w:t>
      </w:r>
      <w:r w:rsidR="003A3E13" w:rsidRPr="004068F6">
        <w:rPr>
          <w:spacing w:val="-3"/>
        </w:rPr>
        <w:t>.</w:t>
      </w:r>
    </w:p>
    <w:p w14:paraId="3D2FFF93" w14:textId="77777777" w:rsidR="008F1A66" w:rsidRPr="004068F6" w:rsidRDefault="008F1A66" w:rsidP="00C86DA5">
      <w:pPr>
        <w:tabs>
          <w:tab w:val="left" w:pos="-2268"/>
        </w:tabs>
        <w:suppressAutoHyphens/>
        <w:rPr>
          <w:spacing w:val="-3"/>
        </w:rPr>
      </w:pPr>
    </w:p>
    <w:p w14:paraId="3BFDC86D" w14:textId="5CB40D1C" w:rsidR="00F97C5C" w:rsidRPr="004068F6" w:rsidRDefault="00265FC3" w:rsidP="00C86DA5">
      <w:pPr>
        <w:numPr>
          <w:ilvl w:val="0"/>
          <w:numId w:val="60"/>
        </w:numPr>
        <w:tabs>
          <w:tab w:val="clear" w:pos="360"/>
          <w:tab w:val="left" w:pos="-2268"/>
          <w:tab w:val="num" w:pos="567"/>
        </w:tabs>
        <w:suppressAutoHyphens/>
        <w:ind w:left="567" w:hanging="567"/>
        <w:rPr>
          <w:spacing w:val="-3"/>
        </w:rPr>
      </w:pPr>
      <w:r w:rsidRPr="004068F6">
        <w:rPr>
          <w:spacing w:val="-3"/>
        </w:rPr>
        <w:t xml:space="preserve">Identificación </w:t>
      </w:r>
      <w:r w:rsidR="00F97C5C" w:rsidRPr="004068F6">
        <w:rPr>
          <w:spacing w:val="-3"/>
        </w:rPr>
        <w:t xml:space="preserve">de especies </w:t>
      </w:r>
      <w:r w:rsidR="006056C6" w:rsidRPr="004068F6">
        <w:rPr>
          <w:spacing w:val="-3"/>
        </w:rPr>
        <w:t xml:space="preserve">mediante </w:t>
      </w:r>
      <w:r w:rsidR="004400A5" w:rsidRPr="004068F6">
        <w:rPr>
          <w:spacing w:val="-3"/>
        </w:rPr>
        <w:t>parámetros que valor</w:t>
      </w:r>
      <w:r w:rsidR="006056C6" w:rsidRPr="004068F6">
        <w:rPr>
          <w:spacing w:val="-3"/>
        </w:rPr>
        <w:t>e</w:t>
      </w:r>
      <w:r w:rsidR="004400A5" w:rsidRPr="004068F6">
        <w:rPr>
          <w:spacing w:val="-3"/>
        </w:rPr>
        <w:t xml:space="preserve">n el </w:t>
      </w:r>
      <w:r w:rsidR="00F97C5C" w:rsidRPr="004068F6">
        <w:rPr>
          <w:spacing w:val="-3"/>
        </w:rPr>
        <w:t xml:space="preserve">interés </w:t>
      </w:r>
      <w:r w:rsidR="004400A5" w:rsidRPr="004068F6">
        <w:rPr>
          <w:spacing w:val="-3"/>
        </w:rPr>
        <w:t xml:space="preserve">público </w:t>
      </w:r>
      <w:r w:rsidR="00F97C5C" w:rsidRPr="004068F6">
        <w:rPr>
          <w:rFonts w:cs="Arial"/>
          <w:spacing w:val="-3"/>
        </w:rPr>
        <w:t>dad</w:t>
      </w:r>
      <w:r w:rsidR="004400A5" w:rsidRPr="004068F6">
        <w:rPr>
          <w:rFonts w:cs="Arial"/>
          <w:spacing w:val="-3"/>
        </w:rPr>
        <w:t>o</w:t>
      </w:r>
      <w:r w:rsidR="00F97C5C" w:rsidRPr="004068F6">
        <w:rPr>
          <w:spacing w:val="-3"/>
        </w:rPr>
        <w:t xml:space="preserve"> su </w:t>
      </w:r>
      <w:r w:rsidR="004400A5" w:rsidRPr="004068F6">
        <w:rPr>
          <w:spacing w:val="-3"/>
        </w:rPr>
        <w:t>estado de conservación</w:t>
      </w:r>
      <w:r w:rsidR="00F97C5C" w:rsidRPr="004068F6">
        <w:rPr>
          <w:rFonts w:cs="Arial"/>
          <w:spacing w:val="-3"/>
        </w:rPr>
        <w:t>, veda nacional o regional</w:t>
      </w:r>
      <w:r w:rsidR="004400A5" w:rsidRPr="004068F6">
        <w:rPr>
          <w:rFonts w:cs="Arial"/>
          <w:spacing w:val="-3"/>
        </w:rPr>
        <w:t>, vulnerabilidad</w:t>
      </w:r>
      <w:r w:rsidR="00F97C5C" w:rsidRPr="004068F6">
        <w:rPr>
          <w:rFonts w:cs="Arial"/>
          <w:spacing w:val="-3"/>
        </w:rPr>
        <w:t xml:space="preserve"> y</w:t>
      </w:r>
      <w:r w:rsidR="00F97C5C" w:rsidRPr="004068F6">
        <w:rPr>
          <w:spacing w:val="-3"/>
        </w:rPr>
        <w:t xml:space="preserve"> </w:t>
      </w:r>
      <w:r w:rsidR="00F97C5C" w:rsidRPr="004068F6">
        <w:rPr>
          <w:rFonts w:cs="Arial"/>
          <w:spacing w:val="-3"/>
        </w:rPr>
        <w:t>tipo</w:t>
      </w:r>
      <w:r w:rsidR="00F97C5C" w:rsidRPr="004068F6">
        <w:rPr>
          <w:spacing w:val="-3"/>
        </w:rPr>
        <w:t xml:space="preserve"> de distribución</w:t>
      </w:r>
      <w:r w:rsidR="00F97C5C" w:rsidRPr="004068F6">
        <w:rPr>
          <w:rFonts w:cs="Arial"/>
          <w:spacing w:val="-3"/>
        </w:rPr>
        <w:t xml:space="preserve"> geográfica (endemismos).</w:t>
      </w:r>
    </w:p>
    <w:p w14:paraId="5B93C346" w14:textId="77777777" w:rsidR="00F97C5C" w:rsidRDefault="00F97C5C">
      <w:pPr>
        <w:numPr>
          <w:ilvl w:val="12"/>
          <w:numId w:val="0"/>
        </w:numPr>
        <w:tabs>
          <w:tab w:val="left" w:pos="-2268"/>
        </w:tabs>
        <w:suppressAutoHyphens/>
        <w:rPr>
          <w:spacing w:val="-3"/>
        </w:rPr>
      </w:pPr>
    </w:p>
    <w:p w14:paraId="4B913BC2" w14:textId="77777777" w:rsidR="000837B3" w:rsidRPr="004068F6" w:rsidRDefault="000837B3">
      <w:pPr>
        <w:numPr>
          <w:ilvl w:val="12"/>
          <w:numId w:val="0"/>
        </w:numPr>
        <w:tabs>
          <w:tab w:val="left" w:pos="-2268"/>
        </w:tabs>
        <w:suppressAutoHyphens/>
        <w:rPr>
          <w:spacing w:val="-3"/>
        </w:rPr>
      </w:pPr>
    </w:p>
    <w:p w14:paraId="4EB72CC5" w14:textId="6C8CA1E4" w:rsidR="00F97C5C" w:rsidRPr="004068F6" w:rsidRDefault="00F97C5C" w:rsidP="009420F5">
      <w:pPr>
        <w:pStyle w:val="Ttulo4"/>
        <w:tabs>
          <w:tab w:val="clear" w:pos="1844"/>
          <w:tab w:val="num" w:pos="1134"/>
        </w:tabs>
        <w:ind w:left="0"/>
        <w:rPr>
          <w:lang w:val="es-CO"/>
        </w:rPr>
      </w:pPr>
      <w:r w:rsidRPr="004068F6">
        <w:rPr>
          <w:lang w:val="es-CO"/>
        </w:rPr>
        <w:lastRenderedPageBreak/>
        <w:t>Fauna</w:t>
      </w:r>
    </w:p>
    <w:p w14:paraId="643D6153" w14:textId="77777777" w:rsidR="00F97C5C" w:rsidRPr="004068F6" w:rsidRDefault="00F97C5C" w:rsidP="00F97C5C">
      <w:pPr>
        <w:numPr>
          <w:ilvl w:val="12"/>
          <w:numId w:val="0"/>
        </w:numPr>
        <w:tabs>
          <w:tab w:val="left" w:pos="-2268"/>
        </w:tabs>
        <w:suppressAutoHyphens/>
        <w:rPr>
          <w:rFonts w:cs="Arial"/>
          <w:spacing w:val="-3"/>
        </w:rPr>
      </w:pPr>
    </w:p>
    <w:p w14:paraId="760E04A6" w14:textId="39562E30" w:rsidR="00F97C5C" w:rsidRPr="004068F6" w:rsidRDefault="002B5305" w:rsidP="00F97C5C">
      <w:pPr>
        <w:numPr>
          <w:ilvl w:val="12"/>
          <w:numId w:val="0"/>
        </w:numPr>
        <w:tabs>
          <w:tab w:val="left" w:pos="-2268"/>
        </w:tabs>
        <w:suppressAutoHyphens/>
        <w:rPr>
          <w:rFonts w:cs="Arial"/>
          <w:spacing w:val="-3"/>
        </w:rPr>
      </w:pPr>
      <w:r w:rsidRPr="004068F6">
        <w:rPr>
          <w:rFonts w:cs="Arial"/>
          <w:spacing w:val="-3"/>
        </w:rPr>
        <w:t xml:space="preserve">La </w:t>
      </w:r>
      <w:r w:rsidR="005253CF" w:rsidRPr="004068F6">
        <w:rPr>
          <w:spacing w:val="-3"/>
        </w:rPr>
        <w:t xml:space="preserve">descripción </w:t>
      </w:r>
      <w:r w:rsidRPr="004068F6">
        <w:rPr>
          <w:spacing w:val="-3"/>
        </w:rPr>
        <w:t xml:space="preserve">de la fauna debe referirse a </w:t>
      </w:r>
      <w:r w:rsidR="00F97C5C" w:rsidRPr="004068F6">
        <w:rPr>
          <w:spacing w:val="-3"/>
        </w:rPr>
        <w:t>anfibios, reptiles, aves</w:t>
      </w:r>
      <w:r w:rsidR="00F97C5C" w:rsidRPr="004068F6">
        <w:rPr>
          <w:rFonts w:cs="Arial"/>
          <w:spacing w:val="-3"/>
        </w:rPr>
        <w:t>, mamíferos y peces</w:t>
      </w:r>
      <w:r w:rsidR="002042B4" w:rsidRPr="004068F6">
        <w:rPr>
          <w:rFonts w:cs="Arial"/>
          <w:spacing w:val="-3"/>
        </w:rPr>
        <w:t xml:space="preserve">; la </w:t>
      </w:r>
      <w:r w:rsidRPr="004068F6">
        <w:rPr>
          <w:rFonts w:cs="Arial"/>
          <w:spacing w:val="-3"/>
        </w:rPr>
        <w:t>determinación</w:t>
      </w:r>
      <w:r w:rsidR="00F97C5C" w:rsidRPr="004068F6">
        <w:rPr>
          <w:rFonts w:cs="Arial"/>
          <w:spacing w:val="-3"/>
        </w:rPr>
        <w:t xml:space="preserve"> taxonómica </w:t>
      </w:r>
      <w:r w:rsidR="002042B4" w:rsidRPr="004068F6">
        <w:rPr>
          <w:rFonts w:cs="Arial"/>
          <w:spacing w:val="-3"/>
        </w:rPr>
        <w:t xml:space="preserve">debe realizarse </w:t>
      </w:r>
      <w:r w:rsidR="00F97C5C" w:rsidRPr="004068F6">
        <w:rPr>
          <w:rFonts w:cs="Arial"/>
          <w:spacing w:val="-3"/>
        </w:rPr>
        <w:t>hasta el nivel sistemático más preciso</w:t>
      </w:r>
      <w:r w:rsidR="00B33BC6" w:rsidRPr="004068F6">
        <w:rPr>
          <w:rFonts w:cs="Arial"/>
          <w:spacing w:val="-3"/>
        </w:rPr>
        <w:t xml:space="preserve"> de acuerdo con información disponible</w:t>
      </w:r>
      <w:r w:rsidRPr="004068F6">
        <w:rPr>
          <w:rFonts w:cs="Arial"/>
          <w:spacing w:val="-3"/>
        </w:rPr>
        <w:t xml:space="preserve"> que esté actualizada</w:t>
      </w:r>
      <w:r w:rsidR="00B33BC6" w:rsidRPr="004068F6">
        <w:rPr>
          <w:rFonts w:cs="Arial"/>
          <w:spacing w:val="-3"/>
        </w:rPr>
        <w:t>. Tener en cuenta la toponimia de la región</w:t>
      </w:r>
      <w:r w:rsidR="00F97C5C" w:rsidRPr="004068F6">
        <w:rPr>
          <w:rFonts w:cs="Arial"/>
          <w:spacing w:val="-3"/>
        </w:rPr>
        <w:t>.</w:t>
      </w:r>
    </w:p>
    <w:p w14:paraId="00C8F362" w14:textId="77777777" w:rsidR="001718E9" w:rsidRPr="004068F6" w:rsidRDefault="001718E9">
      <w:pPr>
        <w:numPr>
          <w:ilvl w:val="12"/>
          <w:numId w:val="0"/>
        </w:numPr>
        <w:tabs>
          <w:tab w:val="left" w:pos="-2268"/>
        </w:tabs>
        <w:suppressAutoHyphens/>
        <w:rPr>
          <w:spacing w:val="-3"/>
        </w:rPr>
      </w:pPr>
    </w:p>
    <w:p w14:paraId="6D75FCDF" w14:textId="43BF6CDE" w:rsidR="002B5305" w:rsidRPr="004068F6" w:rsidRDefault="002B5305" w:rsidP="002B5305">
      <w:pPr>
        <w:numPr>
          <w:ilvl w:val="12"/>
          <w:numId w:val="0"/>
        </w:numPr>
        <w:tabs>
          <w:tab w:val="left" w:pos="-2268"/>
        </w:tabs>
        <w:suppressAutoHyphens/>
        <w:rPr>
          <w:rFonts w:cs="Arial"/>
          <w:spacing w:val="-3"/>
        </w:rPr>
      </w:pPr>
      <w:r w:rsidRPr="004068F6">
        <w:rPr>
          <w:rFonts w:cs="Arial"/>
          <w:spacing w:val="-3"/>
        </w:rPr>
        <w:t xml:space="preserve">Establecer cuál es la fauna </w:t>
      </w:r>
      <w:r w:rsidR="002368FC" w:rsidRPr="004068F6">
        <w:rPr>
          <w:rFonts w:cs="Arial"/>
          <w:spacing w:val="-3"/>
        </w:rPr>
        <w:t xml:space="preserve">silvestre </w:t>
      </w:r>
      <w:r w:rsidRPr="004068F6">
        <w:rPr>
          <w:rFonts w:cs="Arial"/>
          <w:spacing w:val="-3"/>
        </w:rPr>
        <w:t>asociada a las diferentes unidades de cobertura de la tierra delimitadas</w:t>
      </w:r>
      <w:r w:rsidR="007220F8" w:rsidRPr="004068F6">
        <w:rPr>
          <w:rFonts w:cs="Arial"/>
          <w:spacing w:val="-3"/>
        </w:rPr>
        <w:t xml:space="preserve"> </w:t>
      </w:r>
      <w:r w:rsidR="00BF564D" w:rsidRPr="004068F6">
        <w:rPr>
          <w:spacing w:val="-3"/>
        </w:rPr>
        <w:t>en la descripción de la flora</w:t>
      </w:r>
      <w:r w:rsidR="00AE372D" w:rsidRPr="004068F6">
        <w:rPr>
          <w:spacing w:val="-3"/>
        </w:rPr>
        <w:t xml:space="preserve"> (empleando la metodología Corine Land Cover adaptada para Colombia)</w:t>
      </w:r>
      <w:r w:rsidRPr="004068F6">
        <w:rPr>
          <w:rFonts w:cs="Arial"/>
          <w:spacing w:val="-3"/>
        </w:rPr>
        <w:t>.</w:t>
      </w:r>
    </w:p>
    <w:p w14:paraId="7CB2F919" w14:textId="77777777" w:rsidR="002B5305" w:rsidRPr="004068F6" w:rsidRDefault="002B5305">
      <w:pPr>
        <w:numPr>
          <w:ilvl w:val="12"/>
          <w:numId w:val="0"/>
        </w:numPr>
        <w:tabs>
          <w:tab w:val="left" w:pos="-2268"/>
        </w:tabs>
        <w:suppressAutoHyphens/>
        <w:rPr>
          <w:spacing w:val="-3"/>
        </w:rPr>
      </w:pPr>
    </w:p>
    <w:p w14:paraId="6490F5A4" w14:textId="0705C3C5" w:rsidR="00F97C5C" w:rsidRPr="004068F6" w:rsidRDefault="00B45DE0" w:rsidP="008A4FE9">
      <w:pPr>
        <w:numPr>
          <w:ilvl w:val="12"/>
          <w:numId w:val="0"/>
        </w:numPr>
        <w:tabs>
          <w:tab w:val="left" w:pos="-2268"/>
        </w:tabs>
        <w:suppressAutoHyphens/>
        <w:rPr>
          <w:rFonts w:cs="Arial"/>
          <w:spacing w:val="-3"/>
        </w:rPr>
      </w:pPr>
      <w:r w:rsidRPr="004068F6">
        <w:rPr>
          <w:rFonts w:cs="Arial"/>
          <w:spacing w:val="-3"/>
        </w:rPr>
        <w:t>La localización de á</w:t>
      </w:r>
      <w:r w:rsidR="00F97C5C" w:rsidRPr="004068F6">
        <w:rPr>
          <w:rFonts w:cs="Arial"/>
          <w:spacing w:val="-3"/>
        </w:rPr>
        <w:t>reas de importancia para la fauna</w:t>
      </w:r>
      <w:r w:rsidR="0002038B" w:rsidRPr="004068F6">
        <w:rPr>
          <w:rFonts w:cs="Arial"/>
          <w:spacing w:val="-3"/>
        </w:rPr>
        <w:t>,</w:t>
      </w:r>
      <w:r w:rsidR="00F97C5C" w:rsidRPr="004068F6">
        <w:rPr>
          <w:rFonts w:cs="Arial"/>
          <w:spacing w:val="-3"/>
        </w:rPr>
        <w:t xml:space="preserve"> </w:t>
      </w:r>
      <w:r w:rsidR="00B33BC6" w:rsidRPr="004068F6">
        <w:rPr>
          <w:rFonts w:cs="Arial"/>
          <w:spacing w:val="-3"/>
        </w:rPr>
        <w:t xml:space="preserve">en las que </w:t>
      </w:r>
      <w:r w:rsidR="00F97C5C" w:rsidRPr="004068F6">
        <w:rPr>
          <w:rFonts w:cs="Arial"/>
          <w:spacing w:val="-3"/>
        </w:rPr>
        <w:t>pued</w:t>
      </w:r>
      <w:r w:rsidR="0002038B" w:rsidRPr="004068F6">
        <w:rPr>
          <w:rFonts w:cs="Arial"/>
          <w:spacing w:val="-3"/>
        </w:rPr>
        <w:t>e</w:t>
      </w:r>
      <w:r w:rsidR="00F97C5C" w:rsidRPr="004068F6">
        <w:rPr>
          <w:rFonts w:cs="Arial"/>
          <w:spacing w:val="-3"/>
        </w:rPr>
        <w:t xml:space="preserve"> </w:t>
      </w:r>
      <w:r w:rsidR="00B33BC6" w:rsidRPr="004068F6">
        <w:rPr>
          <w:rFonts w:cs="Arial"/>
          <w:spacing w:val="-3"/>
        </w:rPr>
        <w:t xml:space="preserve">ocurrir </w:t>
      </w:r>
      <w:r w:rsidR="0002038B" w:rsidRPr="004068F6">
        <w:rPr>
          <w:rFonts w:cs="Arial"/>
          <w:spacing w:val="-3"/>
        </w:rPr>
        <w:t xml:space="preserve">la </w:t>
      </w:r>
      <w:r w:rsidR="00F97C5C" w:rsidRPr="004068F6">
        <w:rPr>
          <w:rFonts w:cs="Arial"/>
          <w:spacing w:val="-3"/>
        </w:rPr>
        <w:t>cría, reproducción, alimentación y anidación</w:t>
      </w:r>
      <w:r w:rsidR="002B5305" w:rsidRPr="004068F6">
        <w:rPr>
          <w:rFonts w:cs="Arial"/>
          <w:spacing w:val="-3"/>
        </w:rPr>
        <w:t xml:space="preserve">, </w:t>
      </w:r>
      <w:r w:rsidR="00B33BC6" w:rsidRPr="004068F6">
        <w:rPr>
          <w:rFonts w:cs="Arial"/>
          <w:spacing w:val="-3"/>
        </w:rPr>
        <w:t xml:space="preserve">se puede </w:t>
      </w:r>
      <w:r w:rsidR="002B5305" w:rsidRPr="004068F6">
        <w:rPr>
          <w:rFonts w:cs="Arial"/>
          <w:spacing w:val="-3"/>
        </w:rPr>
        <w:t xml:space="preserve">determinar </w:t>
      </w:r>
      <w:r w:rsidR="00526918" w:rsidRPr="004068F6">
        <w:rPr>
          <w:rFonts w:cs="Arial"/>
          <w:spacing w:val="-3"/>
        </w:rPr>
        <w:t xml:space="preserve">a partir de las preferencias de hábitat de las especies, </w:t>
      </w:r>
      <w:r w:rsidR="00863C3C" w:rsidRPr="004068F6">
        <w:rPr>
          <w:rFonts w:cs="Arial"/>
          <w:spacing w:val="-3"/>
        </w:rPr>
        <w:t xml:space="preserve">y complementariamente a través de </w:t>
      </w:r>
      <w:r w:rsidR="00526918" w:rsidRPr="004068F6">
        <w:rPr>
          <w:rFonts w:cs="Arial"/>
          <w:spacing w:val="-3"/>
        </w:rPr>
        <w:t xml:space="preserve">los resultados de los ejercicios de fragmentación </w:t>
      </w:r>
      <w:r w:rsidR="008E585C" w:rsidRPr="004068F6">
        <w:rPr>
          <w:rFonts w:cs="Arial"/>
          <w:spacing w:val="-3"/>
        </w:rPr>
        <w:t>(</w:t>
      </w:r>
      <w:r w:rsidR="00041844" w:rsidRPr="004068F6">
        <w:rPr>
          <w:rFonts w:cs="Arial"/>
          <w:spacing w:val="-3"/>
        </w:rPr>
        <w:t>p. ej.</w:t>
      </w:r>
      <w:r w:rsidR="008E585C" w:rsidRPr="004068F6">
        <w:rPr>
          <w:rFonts w:cs="Arial"/>
          <w:spacing w:val="-3"/>
        </w:rPr>
        <w:t xml:space="preserve"> </w:t>
      </w:r>
      <w:r w:rsidR="009E4AF4" w:rsidRPr="004068F6">
        <w:rPr>
          <w:rFonts w:cs="Arial"/>
          <w:spacing w:val="-3"/>
        </w:rPr>
        <w:t xml:space="preserve">determinación </w:t>
      </w:r>
      <w:r w:rsidR="008E585C" w:rsidRPr="004068F6">
        <w:rPr>
          <w:rFonts w:cs="Arial"/>
          <w:spacing w:val="-3"/>
        </w:rPr>
        <w:t xml:space="preserve">de </w:t>
      </w:r>
      <w:r w:rsidR="00526918" w:rsidRPr="004068F6">
        <w:rPr>
          <w:rFonts w:cs="Arial"/>
          <w:spacing w:val="-3"/>
        </w:rPr>
        <w:t>áreas núcleo</w:t>
      </w:r>
      <w:r w:rsidR="008E585C" w:rsidRPr="004068F6">
        <w:rPr>
          <w:rFonts w:cs="Arial"/>
          <w:spacing w:val="-3"/>
        </w:rPr>
        <w:t>)</w:t>
      </w:r>
      <w:r w:rsidR="00526918" w:rsidRPr="004068F6">
        <w:rPr>
          <w:rFonts w:cs="Arial"/>
          <w:spacing w:val="-3"/>
        </w:rPr>
        <w:t>.</w:t>
      </w:r>
      <w:r w:rsidR="00790308" w:rsidRPr="004068F6">
        <w:rPr>
          <w:rFonts w:cs="Arial"/>
          <w:spacing w:val="-3"/>
        </w:rPr>
        <w:t xml:space="preserve"> La información cartográfica asociada a estas áreas debe presentarse a la escala que establezcan los términos de referencia, o a una escala más detallada si el análisis lo requiere.</w:t>
      </w:r>
    </w:p>
    <w:p w14:paraId="282C8B44" w14:textId="77777777" w:rsidR="00F97C5C" w:rsidRPr="004068F6" w:rsidRDefault="00F97C5C">
      <w:pPr>
        <w:tabs>
          <w:tab w:val="left" w:pos="-2268"/>
        </w:tabs>
        <w:suppressAutoHyphens/>
        <w:rPr>
          <w:spacing w:val="-3"/>
        </w:rPr>
      </w:pPr>
    </w:p>
    <w:p w14:paraId="514499C1" w14:textId="033409C1" w:rsidR="00F97C5C" w:rsidRPr="004068F6" w:rsidRDefault="0049707D">
      <w:pPr>
        <w:numPr>
          <w:ilvl w:val="12"/>
          <w:numId w:val="0"/>
        </w:numPr>
        <w:tabs>
          <w:tab w:val="left" w:pos="-2268"/>
        </w:tabs>
        <w:suppressAutoHyphens/>
        <w:rPr>
          <w:spacing w:val="-3"/>
        </w:rPr>
      </w:pPr>
      <w:r w:rsidRPr="004068F6">
        <w:rPr>
          <w:spacing w:val="-3"/>
        </w:rPr>
        <w:t>Identificar y c</w:t>
      </w:r>
      <w:r w:rsidR="00F97C5C" w:rsidRPr="004068F6">
        <w:rPr>
          <w:spacing w:val="-3"/>
        </w:rPr>
        <w:t>l</w:t>
      </w:r>
      <w:r w:rsidR="001A7EFF" w:rsidRPr="004068F6">
        <w:rPr>
          <w:spacing w:val="-3"/>
        </w:rPr>
        <w:t xml:space="preserve">asificar </w:t>
      </w:r>
      <w:r w:rsidR="00F97C5C" w:rsidRPr="004068F6">
        <w:rPr>
          <w:spacing w:val="-3"/>
        </w:rPr>
        <w:t xml:space="preserve">cada una de las especies </w:t>
      </w:r>
      <w:r w:rsidR="0049729E" w:rsidRPr="004068F6">
        <w:rPr>
          <w:spacing w:val="-3"/>
        </w:rPr>
        <w:t xml:space="preserve">determinadas </w:t>
      </w:r>
      <w:r w:rsidR="00F97C5C" w:rsidRPr="004068F6">
        <w:rPr>
          <w:spacing w:val="-3"/>
        </w:rPr>
        <w:t>según parámetros que valoran el interés público (endemismos, vedas, rareza</w:t>
      </w:r>
      <w:r w:rsidR="00F97C5C" w:rsidRPr="004068F6">
        <w:rPr>
          <w:rStyle w:val="Refdenotaalpie"/>
          <w:rFonts w:cs="Arial"/>
          <w:spacing w:val="-3"/>
          <w:lang w:val="es-CO"/>
        </w:rPr>
        <w:footnoteReference w:id="56"/>
      </w:r>
      <w:r w:rsidR="00F97C5C" w:rsidRPr="004068F6">
        <w:rPr>
          <w:spacing w:val="-3"/>
        </w:rPr>
        <w:t>, migración</w:t>
      </w:r>
      <w:r w:rsidR="0076097E" w:rsidRPr="004068F6">
        <w:rPr>
          <w:spacing w:val="-3"/>
        </w:rPr>
        <w:t>, distribución</w:t>
      </w:r>
      <w:r w:rsidR="00F97C5C" w:rsidRPr="004068F6">
        <w:rPr>
          <w:spacing w:val="-3"/>
        </w:rPr>
        <w:t xml:space="preserve"> </w:t>
      </w:r>
      <w:r w:rsidR="0076097E" w:rsidRPr="004068F6">
        <w:rPr>
          <w:spacing w:val="-3"/>
        </w:rPr>
        <w:t xml:space="preserve">geográfica </w:t>
      </w:r>
      <w:r w:rsidR="00F97C5C" w:rsidRPr="004068F6">
        <w:rPr>
          <w:spacing w:val="-3"/>
        </w:rPr>
        <w:t xml:space="preserve">y </w:t>
      </w:r>
      <w:r w:rsidR="00126746" w:rsidRPr="004068F6">
        <w:rPr>
          <w:spacing w:val="-3"/>
        </w:rPr>
        <w:t>estado de conservación</w:t>
      </w:r>
      <w:r w:rsidR="00F97C5C" w:rsidRPr="004068F6">
        <w:rPr>
          <w:spacing w:val="-3"/>
        </w:rPr>
        <w:t>).</w:t>
      </w:r>
    </w:p>
    <w:p w14:paraId="4FCB6631" w14:textId="77777777" w:rsidR="00F97C5C" w:rsidRPr="004068F6" w:rsidRDefault="00F97C5C">
      <w:pPr>
        <w:numPr>
          <w:ilvl w:val="12"/>
          <w:numId w:val="0"/>
        </w:numPr>
        <w:tabs>
          <w:tab w:val="left" w:pos="-2268"/>
        </w:tabs>
        <w:suppressAutoHyphens/>
        <w:rPr>
          <w:spacing w:val="-3"/>
        </w:rPr>
      </w:pPr>
    </w:p>
    <w:p w14:paraId="1A07A0C9" w14:textId="3CE8076A" w:rsidR="00F97C5C" w:rsidRPr="004068F6" w:rsidRDefault="00F97C5C" w:rsidP="009420F5">
      <w:pPr>
        <w:pStyle w:val="Ttulo4"/>
        <w:tabs>
          <w:tab w:val="clear" w:pos="1844"/>
          <w:tab w:val="num" w:pos="1134"/>
        </w:tabs>
        <w:ind w:left="0"/>
        <w:rPr>
          <w:lang w:val="es-CO"/>
        </w:rPr>
      </w:pPr>
      <w:r w:rsidRPr="004068F6">
        <w:rPr>
          <w:lang w:val="es-CO"/>
        </w:rPr>
        <w:t>Análisis de fragmentación y conectividad</w:t>
      </w:r>
      <w:r w:rsidR="001668BA" w:rsidRPr="004068F6">
        <w:rPr>
          <w:lang w:val="es-CO"/>
        </w:rPr>
        <w:t xml:space="preserve"> ecológica</w:t>
      </w:r>
    </w:p>
    <w:p w14:paraId="31AFED40" w14:textId="77777777" w:rsidR="00F97C5C" w:rsidRPr="004068F6" w:rsidRDefault="00F97C5C">
      <w:pPr>
        <w:numPr>
          <w:ilvl w:val="12"/>
          <w:numId w:val="0"/>
        </w:numPr>
        <w:tabs>
          <w:tab w:val="left" w:pos="-2268"/>
        </w:tabs>
        <w:suppressAutoHyphens/>
        <w:rPr>
          <w:spacing w:val="-3"/>
        </w:rPr>
      </w:pPr>
    </w:p>
    <w:p w14:paraId="6E8DBF4E" w14:textId="51D61D85" w:rsidR="001668BA" w:rsidRPr="004068F6" w:rsidRDefault="001668BA" w:rsidP="001668BA">
      <w:pPr>
        <w:numPr>
          <w:ilvl w:val="12"/>
          <w:numId w:val="0"/>
        </w:numPr>
        <w:tabs>
          <w:tab w:val="left" w:pos="-2268"/>
        </w:tabs>
        <w:suppressAutoHyphens/>
        <w:rPr>
          <w:spacing w:val="-3"/>
        </w:rPr>
      </w:pPr>
      <w:r w:rsidRPr="004068F6">
        <w:rPr>
          <w:spacing w:val="-3"/>
        </w:rPr>
        <w:t>Previo al desarrollo del análisis de fragmentación y conectividad</w:t>
      </w:r>
      <w:r w:rsidR="00AE5733" w:rsidRPr="004068F6">
        <w:rPr>
          <w:spacing w:val="-3"/>
        </w:rPr>
        <w:t>,</w:t>
      </w:r>
      <w:r w:rsidRPr="004068F6">
        <w:rPr>
          <w:spacing w:val="-3"/>
        </w:rPr>
        <w:t xml:space="preserve"> es necesario determinar el estado de transformación </w:t>
      </w:r>
      <w:r w:rsidR="00586B06" w:rsidRPr="004068F6">
        <w:rPr>
          <w:spacing w:val="-3"/>
        </w:rPr>
        <w:t xml:space="preserve">de las coberturas </w:t>
      </w:r>
      <w:r w:rsidR="00E16AA5" w:rsidRPr="004068F6">
        <w:rPr>
          <w:spacing w:val="-3"/>
        </w:rPr>
        <w:t xml:space="preserve">identificando </w:t>
      </w:r>
      <w:r w:rsidR="004C6087">
        <w:rPr>
          <w:spacing w:val="-3"/>
        </w:rPr>
        <w:t>su</w:t>
      </w:r>
      <w:r w:rsidR="00196983" w:rsidRPr="004068F6">
        <w:rPr>
          <w:spacing w:val="-3"/>
        </w:rPr>
        <w:t xml:space="preserve"> cambio</w:t>
      </w:r>
      <w:r w:rsidR="00941602">
        <w:rPr>
          <w:spacing w:val="-3"/>
        </w:rPr>
        <w:t xml:space="preserve"> y</w:t>
      </w:r>
      <w:r w:rsidR="00E21F51" w:rsidRPr="004068F6">
        <w:rPr>
          <w:spacing w:val="-3"/>
        </w:rPr>
        <w:t xml:space="preserve"> tendencia</w:t>
      </w:r>
      <w:r w:rsidR="00941602">
        <w:rPr>
          <w:spacing w:val="-3"/>
        </w:rPr>
        <w:t>, así como</w:t>
      </w:r>
      <w:r w:rsidR="00E21F51" w:rsidRPr="004068F6">
        <w:rPr>
          <w:spacing w:val="-3"/>
        </w:rPr>
        <w:t xml:space="preserve"> </w:t>
      </w:r>
      <w:r w:rsidRPr="004068F6">
        <w:rPr>
          <w:spacing w:val="-3"/>
        </w:rPr>
        <w:t xml:space="preserve">los agentes que más contribuyen </w:t>
      </w:r>
      <w:r w:rsidR="00147978" w:rsidRPr="004068F6">
        <w:rPr>
          <w:spacing w:val="-3"/>
        </w:rPr>
        <w:t xml:space="preserve">con </w:t>
      </w:r>
      <w:r w:rsidR="00E21F51" w:rsidRPr="004068F6">
        <w:rPr>
          <w:spacing w:val="-3"/>
        </w:rPr>
        <w:t>este proceso</w:t>
      </w:r>
      <w:r w:rsidR="009B67E7" w:rsidRPr="004068F6">
        <w:rPr>
          <w:spacing w:val="-3"/>
        </w:rPr>
        <w:t xml:space="preserve"> (</w:t>
      </w:r>
      <w:r w:rsidR="00F85535" w:rsidRPr="004068F6">
        <w:rPr>
          <w:spacing w:val="-3"/>
        </w:rPr>
        <w:t>p. ej. mapas de índice de huella humana</w:t>
      </w:r>
      <w:r w:rsidR="009B67E7" w:rsidRPr="004068F6">
        <w:rPr>
          <w:spacing w:val="-3"/>
        </w:rPr>
        <w:t>)</w:t>
      </w:r>
      <w:r w:rsidR="00C94716" w:rsidRPr="004068F6">
        <w:rPr>
          <w:spacing w:val="-3"/>
        </w:rPr>
        <w:t>.</w:t>
      </w:r>
      <w:r w:rsidRPr="004068F6">
        <w:rPr>
          <w:spacing w:val="-3"/>
        </w:rPr>
        <w:t xml:space="preserve"> </w:t>
      </w:r>
      <w:r w:rsidR="00C94716" w:rsidRPr="004068F6">
        <w:rPr>
          <w:spacing w:val="-3"/>
        </w:rPr>
        <w:t>Est</w:t>
      </w:r>
      <w:r w:rsidR="00BD0D68" w:rsidRPr="004068F6">
        <w:rPr>
          <w:spacing w:val="-3"/>
        </w:rPr>
        <w:t>e análisis</w:t>
      </w:r>
      <w:r w:rsidR="00C94716" w:rsidRPr="004068F6">
        <w:rPr>
          <w:spacing w:val="-3"/>
        </w:rPr>
        <w:t xml:space="preserve"> debe realizarse </w:t>
      </w:r>
      <w:r w:rsidRPr="004068F6">
        <w:rPr>
          <w:spacing w:val="-3"/>
        </w:rPr>
        <w:t>fundamentalmente a partir de información secundaria</w:t>
      </w:r>
      <w:r w:rsidR="00434DD2" w:rsidRPr="004068F6">
        <w:rPr>
          <w:spacing w:val="-3"/>
        </w:rPr>
        <w:t>, por ejemplo, la</w:t>
      </w:r>
      <w:r w:rsidR="00877E03" w:rsidRPr="004068F6">
        <w:rPr>
          <w:spacing w:val="-3"/>
        </w:rPr>
        <w:t xml:space="preserve"> </w:t>
      </w:r>
      <w:r w:rsidRPr="004068F6">
        <w:rPr>
          <w:spacing w:val="-3"/>
        </w:rPr>
        <w:t xml:space="preserve">contenida en instrumentos de planificación como los </w:t>
      </w:r>
      <w:r w:rsidR="00434DD2" w:rsidRPr="004068F6">
        <w:rPr>
          <w:spacing w:val="-3"/>
        </w:rPr>
        <w:t xml:space="preserve">Pomca </w:t>
      </w:r>
      <w:r w:rsidRPr="004068F6">
        <w:rPr>
          <w:spacing w:val="-3"/>
        </w:rPr>
        <w:t>y los Planes de ordenación forestal</w:t>
      </w:r>
      <w:r w:rsidR="00EF02DA" w:rsidRPr="004068F6">
        <w:rPr>
          <w:spacing w:val="-3"/>
        </w:rPr>
        <w:t xml:space="preserve"> siempre y cuando </w:t>
      </w:r>
      <w:r w:rsidR="002B53BA" w:rsidRPr="004068F6">
        <w:rPr>
          <w:spacing w:val="-3"/>
        </w:rPr>
        <w:t xml:space="preserve">ésta </w:t>
      </w:r>
      <w:r w:rsidR="00EF02DA" w:rsidRPr="004068F6">
        <w:rPr>
          <w:spacing w:val="-3"/>
        </w:rPr>
        <w:t>esté disponible y actualizada</w:t>
      </w:r>
      <w:r w:rsidRPr="004068F6">
        <w:rPr>
          <w:spacing w:val="-3"/>
        </w:rPr>
        <w:t>.</w:t>
      </w:r>
    </w:p>
    <w:p w14:paraId="5FEC4EDE" w14:textId="77777777" w:rsidR="001668BA" w:rsidRPr="004068F6" w:rsidRDefault="001668BA">
      <w:pPr>
        <w:numPr>
          <w:ilvl w:val="12"/>
          <w:numId w:val="0"/>
        </w:numPr>
        <w:tabs>
          <w:tab w:val="left" w:pos="-2268"/>
        </w:tabs>
        <w:suppressAutoHyphens/>
        <w:rPr>
          <w:spacing w:val="-3"/>
        </w:rPr>
      </w:pPr>
    </w:p>
    <w:p w14:paraId="452D8CDD" w14:textId="4C7EAE33" w:rsidR="00F97C5C" w:rsidRPr="004068F6" w:rsidRDefault="00E46630">
      <w:pPr>
        <w:numPr>
          <w:ilvl w:val="12"/>
          <w:numId w:val="0"/>
        </w:numPr>
        <w:tabs>
          <w:tab w:val="left" w:pos="-2268"/>
        </w:tabs>
        <w:suppressAutoHyphens/>
        <w:rPr>
          <w:spacing w:val="-3"/>
        </w:rPr>
      </w:pPr>
      <w:r w:rsidRPr="004068F6">
        <w:rPr>
          <w:spacing w:val="-3"/>
        </w:rPr>
        <w:t>E</w:t>
      </w:r>
      <w:r w:rsidR="00F97C5C" w:rsidRPr="004068F6">
        <w:rPr>
          <w:spacing w:val="-3"/>
        </w:rPr>
        <w:t xml:space="preserve">l análisis de fragmentación </w:t>
      </w:r>
      <w:r w:rsidRPr="004068F6">
        <w:rPr>
          <w:spacing w:val="-3"/>
        </w:rPr>
        <w:t xml:space="preserve">se debe desarrollar </w:t>
      </w:r>
      <w:r w:rsidR="00F97C5C" w:rsidRPr="004068F6">
        <w:rPr>
          <w:spacing w:val="-3"/>
        </w:rPr>
        <w:t xml:space="preserve">utilizando las unidades de cobertura </w:t>
      </w:r>
      <w:r w:rsidR="001D2679" w:rsidRPr="004068F6">
        <w:rPr>
          <w:spacing w:val="-3"/>
        </w:rPr>
        <w:t xml:space="preserve">de la tierra </w:t>
      </w:r>
      <w:r w:rsidR="00F97C5C" w:rsidRPr="004068F6">
        <w:rPr>
          <w:spacing w:val="-3"/>
        </w:rPr>
        <w:t>natural</w:t>
      </w:r>
      <w:r w:rsidR="00C53E71" w:rsidRPr="004068F6">
        <w:rPr>
          <w:spacing w:val="-3"/>
        </w:rPr>
        <w:t>es</w:t>
      </w:r>
      <w:r w:rsidR="00F97C5C" w:rsidRPr="004068F6">
        <w:rPr>
          <w:spacing w:val="-3"/>
        </w:rPr>
        <w:t xml:space="preserve"> y seminatural</w:t>
      </w:r>
      <w:r w:rsidR="00C53E71" w:rsidRPr="004068F6">
        <w:rPr>
          <w:spacing w:val="-3"/>
        </w:rPr>
        <w:t>es</w:t>
      </w:r>
      <w:r w:rsidRPr="004068F6">
        <w:rPr>
          <w:spacing w:val="-3"/>
        </w:rPr>
        <w:t xml:space="preserve">, de forma tal, que sea posible calcular </w:t>
      </w:r>
      <w:r w:rsidR="00F97C5C" w:rsidRPr="004068F6">
        <w:rPr>
          <w:spacing w:val="-3"/>
        </w:rPr>
        <w:t>métricas de parche (</w:t>
      </w:r>
      <w:r w:rsidR="00041844" w:rsidRPr="004068F6">
        <w:rPr>
          <w:spacing w:val="-3"/>
        </w:rPr>
        <w:t>p. ej.</w:t>
      </w:r>
      <w:r w:rsidR="00F97C5C" w:rsidRPr="004068F6">
        <w:rPr>
          <w:spacing w:val="-3"/>
        </w:rPr>
        <w:t xml:space="preserve"> distancia euclidiana al vecino más cercano), métricas de clase (</w:t>
      </w:r>
      <w:r w:rsidR="00041844" w:rsidRPr="004068F6">
        <w:rPr>
          <w:spacing w:val="-3"/>
        </w:rPr>
        <w:t>p. ej.</w:t>
      </w:r>
      <w:r w:rsidR="00F97C5C" w:rsidRPr="004068F6">
        <w:rPr>
          <w:spacing w:val="-3"/>
        </w:rPr>
        <w:t xml:space="preserve"> área total, número de parches, distancia de borde, radio de giro, índice de forma, índice </w:t>
      </w:r>
      <w:r w:rsidR="00F97C5C" w:rsidRPr="004068F6">
        <w:rPr>
          <w:spacing w:val="-3"/>
        </w:rPr>
        <w:lastRenderedPageBreak/>
        <w:t xml:space="preserve">de dimensión fractal) y métricas de paisaje (índices de diversidad) que permitan definir el estado actual del área de estudio </w:t>
      </w:r>
      <w:r w:rsidR="00F97C5C" w:rsidRPr="004068F6">
        <w:rPr>
          <w:rFonts w:cs="Arial"/>
          <w:spacing w:val="-3"/>
        </w:rPr>
        <w:t xml:space="preserve">para el medio biótico </w:t>
      </w:r>
      <w:r w:rsidR="00F97C5C" w:rsidRPr="004068F6">
        <w:rPr>
          <w:spacing w:val="-3"/>
        </w:rPr>
        <w:t>y la dinámica de la zona en términos de tamaño, número de parches, aislamiento</w:t>
      </w:r>
      <w:r w:rsidR="006F3B28" w:rsidRPr="004068F6">
        <w:rPr>
          <w:spacing w:val="-3"/>
        </w:rPr>
        <w:t xml:space="preserve"> y</w:t>
      </w:r>
      <w:r w:rsidR="00F97C5C" w:rsidRPr="004068F6">
        <w:rPr>
          <w:spacing w:val="-3"/>
        </w:rPr>
        <w:t xml:space="preserve"> forma</w:t>
      </w:r>
      <w:r w:rsidR="004B4CB6" w:rsidRPr="004068F6">
        <w:rPr>
          <w:spacing w:val="-3"/>
        </w:rPr>
        <w:t xml:space="preserve">; para ejecutar este análisis, es necesario </w:t>
      </w:r>
      <w:r w:rsidR="009E4AF4" w:rsidRPr="004068F6">
        <w:rPr>
          <w:spacing w:val="-3"/>
        </w:rPr>
        <w:t>determina</w:t>
      </w:r>
      <w:r w:rsidR="006F3B28" w:rsidRPr="004068F6">
        <w:rPr>
          <w:spacing w:val="-3"/>
        </w:rPr>
        <w:t xml:space="preserve">r </w:t>
      </w:r>
      <w:r w:rsidR="0014007D" w:rsidRPr="004068F6">
        <w:rPr>
          <w:spacing w:val="-3"/>
        </w:rPr>
        <w:t xml:space="preserve">cómo </w:t>
      </w:r>
      <w:r w:rsidR="00F97C5C" w:rsidRPr="004068F6">
        <w:rPr>
          <w:spacing w:val="-3"/>
        </w:rPr>
        <w:t xml:space="preserve">los agentes </w:t>
      </w:r>
      <w:r w:rsidR="0014007D" w:rsidRPr="004068F6">
        <w:rPr>
          <w:spacing w:val="-3"/>
        </w:rPr>
        <w:t>que más contribuyen al</w:t>
      </w:r>
      <w:r w:rsidR="004B4CB6" w:rsidRPr="004068F6">
        <w:rPr>
          <w:spacing w:val="-3"/>
        </w:rPr>
        <w:t xml:space="preserve"> cambio </w:t>
      </w:r>
      <w:r w:rsidR="0014007D" w:rsidRPr="004068F6">
        <w:rPr>
          <w:spacing w:val="-3"/>
        </w:rPr>
        <w:t xml:space="preserve">propician </w:t>
      </w:r>
      <w:r w:rsidR="00F97C5C" w:rsidRPr="004068F6">
        <w:rPr>
          <w:spacing w:val="-3"/>
        </w:rPr>
        <w:t>l</w:t>
      </w:r>
      <w:r w:rsidR="004B4CB6" w:rsidRPr="004068F6">
        <w:rPr>
          <w:spacing w:val="-3"/>
        </w:rPr>
        <w:t>a</w:t>
      </w:r>
      <w:r w:rsidR="00F97C5C" w:rsidRPr="004068F6">
        <w:rPr>
          <w:spacing w:val="-3"/>
        </w:rPr>
        <w:t xml:space="preserve"> </w:t>
      </w:r>
      <w:r w:rsidR="004B4CB6" w:rsidRPr="004068F6">
        <w:rPr>
          <w:spacing w:val="-3"/>
        </w:rPr>
        <w:t>fr</w:t>
      </w:r>
      <w:r w:rsidR="00702BB8" w:rsidRPr="004068F6">
        <w:rPr>
          <w:spacing w:val="-3"/>
        </w:rPr>
        <w:t>a</w:t>
      </w:r>
      <w:r w:rsidR="004B4CB6" w:rsidRPr="004068F6">
        <w:rPr>
          <w:spacing w:val="-3"/>
        </w:rPr>
        <w:t>gmentación</w:t>
      </w:r>
      <w:r w:rsidR="00F97C5C" w:rsidRPr="004068F6">
        <w:rPr>
          <w:spacing w:val="-3"/>
        </w:rPr>
        <w:t>.</w:t>
      </w:r>
    </w:p>
    <w:p w14:paraId="7F81C13D" w14:textId="77777777" w:rsidR="00F97C5C" w:rsidRPr="004068F6" w:rsidRDefault="00F97C5C">
      <w:pPr>
        <w:numPr>
          <w:ilvl w:val="12"/>
          <w:numId w:val="0"/>
        </w:numPr>
        <w:tabs>
          <w:tab w:val="left" w:pos="-2268"/>
        </w:tabs>
        <w:suppressAutoHyphens/>
        <w:rPr>
          <w:spacing w:val="-3"/>
        </w:rPr>
      </w:pPr>
    </w:p>
    <w:p w14:paraId="2FDF41E3" w14:textId="60598711" w:rsidR="00F97C5C" w:rsidRPr="004068F6" w:rsidRDefault="00702BB8">
      <w:pPr>
        <w:numPr>
          <w:ilvl w:val="12"/>
          <w:numId w:val="0"/>
        </w:numPr>
        <w:tabs>
          <w:tab w:val="left" w:pos="-2268"/>
        </w:tabs>
        <w:suppressAutoHyphens/>
        <w:rPr>
          <w:spacing w:val="-3"/>
        </w:rPr>
      </w:pPr>
      <w:r w:rsidRPr="004068F6">
        <w:rPr>
          <w:spacing w:val="-3"/>
        </w:rPr>
        <w:t xml:space="preserve">El </w:t>
      </w:r>
      <w:r w:rsidR="00F97C5C" w:rsidRPr="004068F6">
        <w:rPr>
          <w:spacing w:val="-3"/>
        </w:rPr>
        <w:t xml:space="preserve">análisis de conectividad </w:t>
      </w:r>
      <w:r w:rsidR="00790AB1" w:rsidRPr="004068F6">
        <w:rPr>
          <w:spacing w:val="-3"/>
        </w:rPr>
        <w:t>ecológica</w:t>
      </w:r>
      <w:r w:rsidRPr="004068F6">
        <w:rPr>
          <w:spacing w:val="-3"/>
        </w:rPr>
        <w:t>, que es</w:t>
      </w:r>
      <w:r w:rsidR="00F97C5C" w:rsidRPr="004068F6">
        <w:rPr>
          <w:spacing w:val="-3"/>
        </w:rPr>
        <w:t xml:space="preserve"> complementari</w:t>
      </w:r>
      <w:r w:rsidR="00EA1825" w:rsidRPr="004068F6">
        <w:rPr>
          <w:spacing w:val="-3"/>
        </w:rPr>
        <w:t>o</w:t>
      </w:r>
      <w:r w:rsidR="00F97C5C" w:rsidRPr="004068F6">
        <w:rPr>
          <w:spacing w:val="-3"/>
        </w:rPr>
        <w:t xml:space="preserve"> al uso de métricas</w:t>
      </w:r>
      <w:r w:rsidRPr="004068F6">
        <w:rPr>
          <w:spacing w:val="-3"/>
        </w:rPr>
        <w:t xml:space="preserve"> de fragmentación</w:t>
      </w:r>
      <w:r w:rsidR="00F97C5C" w:rsidRPr="004068F6">
        <w:rPr>
          <w:spacing w:val="-3"/>
        </w:rPr>
        <w:t xml:space="preserve">, </w:t>
      </w:r>
      <w:r w:rsidRPr="004068F6">
        <w:rPr>
          <w:spacing w:val="-3"/>
        </w:rPr>
        <w:t xml:space="preserve">se debe adelantar </w:t>
      </w:r>
      <w:r w:rsidR="00790AB1" w:rsidRPr="004068F6">
        <w:rPr>
          <w:spacing w:val="-3"/>
        </w:rPr>
        <w:t xml:space="preserve">con base en información secundaria </w:t>
      </w:r>
      <w:r w:rsidR="00045D2C" w:rsidRPr="004068F6">
        <w:rPr>
          <w:spacing w:val="-3"/>
        </w:rPr>
        <w:t xml:space="preserve">o primaria </w:t>
      </w:r>
      <w:r w:rsidR="00790AB1" w:rsidRPr="004068F6">
        <w:rPr>
          <w:spacing w:val="-3"/>
        </w:rPr>
        <w:t>para describir los elementos que más aportan a la conectividad del territorio</w:t>
      </w:r>
      <w:r w:rsidR="00401B99" w:rsidRPr="004068F6">
        <w:rPr>
          <w:spacing w:val="-3"/>
        </w:rPr>
        <w:t xml:space="preserve">. </w:t>
      </w:r>
      <w:r w:rsidR="008E48B8" w:rsidRPr="004068F6">
        <w:rPr>
          <w:spacing w:val="-3"/>
        </w:rPr>
        <w:t>Es posible emplear índices de conectividad basados en la teoría de grafos para determinar y valorar el rol de los fragmentos definidos como parches de hábitat o nodos de red y su importancia para la conectividad ecológica a partir de las unidades de cobertura de la tierra definidas (ver por ejemplo Bodin &amp; Saura (2010)</w:t>
      </w:r>
      <w:r w:rsidR="00790AB1" w:rsidRPr="004068F6">
        <w:rPr>
          <w:spacing w:val="-3"/>
        </w:rPr>
        <w:t xml:space="preserve">; también es posible emplear los análisis de conectividad realizados por distintas entidades o institutos que se encuentren disponibles para la región en la que se ubica el área de estudio. Los resultados del análisis </w:t>
      </w:r>
      <w:r w:rsidR="002C28B6" w:rsidRPr="004068F6">
        <w:rPr>
          <w:spacing w:val="-3"/>
        </w:rPr>
        <w:t xml:space="preserve">deben permitir la comparación de las alternativas </w:t>
      </w:r>
      <w:r w:rsidR="00A37F58" w:rsidRPr="004068F6">
        <w:rPr>
          <w:spacing w:val="-3"/>
        </w:rPr>
        <w:t xml:space="preserve">a partir de </w:t>
      </w:r>
      <w:r w:rsidR="002C28B6" w:rsidRPr="004068F6">
        <w:rPr>
          <w:spacing w:val="-3"/>
        </w:rPr>
        <w:t xml:space="preserve">su afectación </w:t>
      </w:r>
      <w:r w:rsidR="00A37F58" w:rsidRPr="004068F6">
        <w:rPr>
          <w:spacing w:val="-3"/>
        </w:rPr>
        <w:t xml:space="preserve">a </w:t>
      </w:r>
      <w:r w:rsidR="002C28B6" w:rsidRPr="004068F6">
        <w:rPr>
          <w:spacing w:val="-3"/>
        </w:rPr>
        <w:t xml:space="preserve">las </w:t>
      </w:r>
      <w:r w:rsidR="00790AB1" w:rsidRPr="004068F6">
        <w:rPr>
          <w:spacing w:val="-3"/>
        </w:rPr>
        <w:t xml:space="preserve">áreas de importancia para la </w:t>
      </w:r>
      <w:r w:rsidR="001F68A6" w:rsidRPr="004068F6">
        <w:rPr>
          <w:spacing w:val="-3"/>
        </w:rPr>
        <w:t>cone</w:t>
      </w:r>
      <w:r w:rsidR="00A37F58" w:rsidRPr="004068F6">
        <w:rPr>
          <w:spacing w:val="-3"/>
        </w:rPr>
        <w:t>c</w:t>
      </w:r>
      <w:r w:rsidR="001F68A6" w:rsidRPr="004068F6">
        <w:rPr>
          <w:spacing w:val="-3"/>
        </w:rPr>
        <w:t>tividad</w:t>
      </w:r>
      <w:r w:rsidR="00790AB1" w:rsidRPr="004068F6">
        <w:rPr>
          <w:spacing w:val="-3"/>
        </w:rPr>
        <w:t>.</w:t>
      </w:r>
    </w:p>
    <w:p w14:paraId="13734D88" w14:textId="77777777" w:rsidR="00790AB1" w:rsidRPr="004068F6" w:rsidRDefault="00790AB1">
      <w:pPr>
        <w:numPr>
          <w:ilvl w:val="12"/>
          <w:numId w:val="0"/>
        </w:numPr>
        <w:tabs>
          <w:tab w:val="left" w:pos="-2268"/>
        </w:tabs>
        <w:suppressAutoHyphens/>
        <w:rPr>
          <w:spacing w:val="-3"/>
        </w:rPr>
      </w:pPr>
    </w:p>
    <w:p w14:paraId="348329F1" w14:textId="4F12D532" w:rsidR="003A3B7D" w:rsidRPr="004068F6" w:rsidRDefault="003A3B7D">
      <w:pPr>
        <w:numPr>
          <w:ilvl w:val="12"/>
          <w:numId w:val="0"/>
        </w:numPr>
        <w:tabs>
          <w:tab w:val="left" w:pos="-2268"/>
        </w:tabs>
        <w:suppressAutoHyphens/>
        <w:rPr>
          <w:rFonts w:cs="Arial"/>
          <w:szCs w:val="20"/>
        </w:rPr>
      </w:pPr>
      <w:r w:rsidRPr="004068F6">
        <w:rPr>
          <w:rFonts w:cs="Arial"/>
          <w:szCs w:val="20"/>
        </w:rPr>
        <w:t xml:space="preserve">Los análisis de fragmentación y conectividad </w:t>
      </w:r>
      <w:r w:rsidR="00790AB1" w:rsidRPr="004068F6">
        <w:rPr>
          <w:rFonts w:cs="Arial"/>
          <w:szCs w:val="20"/>
        </w:rPr>
        <w:t>ecológica</w:t>
      </w:r>
      <w:r w:rsidR="00BE2313" w:rsidRPr="004068F6">
        <w:rPr>
          <w:rFonts w:cs="Arial"/>
          <w:szCs w:val="20"/>
        </w:rPr>
        <w:t xml:space="preserve"> </w:t>
      </w:r>
      <w:r w:rsidRPr="004068F6">
        <w:rPr>
          <w:rFonts w:cs="Arial"/>
          <w:szCs w:val="20"/>
        </w:rPr>
        <w:t>deben desarrollarse empleando software de procesamiento geoespacial.</w:t>
      </w:r>
    </w:p>
    <w:p w14:paraId="52AA9C4A" w14:textId="77777777" w:rsidR="003A3B7D" w:rsidRPr="004068F6" w:rsidRDefault="003A3B7D">
      <w:pPr>
        <w:numPr>
          <w:ilvl w:val="12"/>
          <w:numId w:val="0"/>
        </w:numPr>
        <w:tabs>
          <w:tab w:val="left" w:pos="-2268"/>
        </w:tabs>
        <w:suppressAutoHyphens/>
        <w:rPr>
          <w:spacing w:val="-3"/>
        </w:rPr>
      </w:pPr>
    </w:p>
    <w:p w14:paraId="58B62CDE" w14:textId="52AF32B8" w:rsidR="00F97C5C" w:rsidRPr="00466E26" w:rsidRDefault="00F97C5C" w:rsidP="000A1E20">
      <w:pPr>
        <w:pStyle w:val="Ttulo3"/>
      </w:pPr>
      <w:bookmarkStart w:id="2294" w:name="_Toc42552223"/>
      <w:bookmarkStart w:id="2295" w:name="_Toc230879591"/>
      <w:r w:rsidRPr="00466E26">
        <w:t>Ecosistemas acuáticos</w:t>
      </w:r>
      <w:bookmarkEnd w:id="2294"/>
      <w:bookmarkEnd w:id="2295"/>
    </w:p>
    <w:p w14:paraId="5FE42F9E" w14:textId="77777777" w:rsidR="00F97C5C" w:rsidRPr="004068F6" w:rsidRDefault="00F97C5C">
      <w:pPr>
        <w:numPr>
          <w:ilvl w:val="12"/>
          <w:numId w:val="0"/>
        </w:numPr>
        <w:tabs>
          <w:tab w:val="left" w:pos="-2268"/>
        </w:tabs>
        <w:suppressAutoHyphens/>
        <w:rPr>
          <w:spacing w:val="-3"/>
        </w:rPr>
      </w:pPr>
    </w:p>
    <w:p w14:paraId="6148612E" w14:textId="23881A2E" w:rsidR="00FC5252" w:rsidRPr="004068F6" w:rsidRDefault="00FC0313" w:rsidP="00D349B6">
      <w:pPr>
        <w:numPr>
          <w:ilvl w:val="12"/>
          <w:numId w:val="0"/>
        </w:numPr>
        <w:tabs>
          <w:tab w:val="left" w:pos="-2268"/>
        </w:tabs>
        <w:suppressAutoHyphens/>
        <w:rPr>
          <w:spacing w:val="-3"/>
        </w:rPr>
      </w:pPr>
      <w:r w:rsidRPr="004068F6">
        <w:rPr>
          <w:spacing w:val="-3"/>
        </w:rPr>
        <w:t>La caracterización de los ecosistemas acuáticos continentales</w:t>
      </w:r>
      <w:r w:rsidR="00D349B6" w:rsidRPr="004068F6">
        <w:rPr>
          <w:spacing w:val="-3"/>
        </w:rPr>
        <w:t xml:space="preserve"> lóticos y lénticos</w:t>
      </w:r>
      <w:r w:rsidRPr="004068F6">
        <w:rPr>
          <w:spacing w:val="-3"/>
        </w:rPr>
        <w:t xml:space="preserve">, </w:t>
      </w:r>
      <w:r w:rsidR="005C520A" w:rsidRPr="004068F6">
        <w:rPr>
          <w:spacing w:val="-3"/>
        </w:rPr>
        <w:t xml:space="preserve">se enfoca en determinar su localización </w:t>
      </w:r>
      <w:r w:rsidR="00B4341D" w:rsidRPr="004068F6">
        <w:rPr>
          <w:spacing w:val="-3"/>
        </w:rPr>
        <w:t xml:space="preserve">de acuerdo con </w:t>
      </w:r>
      <w:r w:rsidR="006E7CFA" w:rsidRPr="004068F6">
        <w:rPr>
          <w:rFonts w:cs="Arial"/>
          <w:spacing w:val="-3"/>
        </w:rPr>
        <w:t xml:space="preserve">el </w:t>
      </w:r>
      <w:r w:rsidR="005C520A" w:rsidRPr="004068F6">
        <w:rPr>
          <w:rFonts w:cs="Arial"/>
          <w:spacing w:val="-3"/>
        </w:rPr>
        <w:t>Mapa de Ecosistemas Continentales, Costeros y Marinos de Colombia, Versión 2.1, escala 1:100.000 (2017) (Ideam et al., 2017), o en sus versiones posteriores</w:t>
      </w:r>
      <w:r w:rsidR="00083FEB" w:rsidRPr="004068F6">
        <w:rPr>
          <w:rFonts w:cs="Arial"/>
          <w:spacing w:val="-3"/>
        </w:rPr>
        <w:t xml:space="preserve"> o en </w:t>
      </w:r>
      <w:r w:rsidR="00083FEB" w:rsidRPr="004068F6">
        <w:rPr>
          <w:spacing w:val="-3"/>
        </w:rPr>
        <w:t>otra información secundaria disponible</w:t>
      </w:r>
      <w:r w:rsidR="005C520A" w:rsidRPr="004068F6">
        <w:rPr>
          <w:rFonts w:cs="Arial"/>
          <w:spacing w:val="-3"/>
        </w:rPr>
        <w:t>.</w:t>
      </w:r>
    </w:p>
    <w:p w14:paraId="138258E7" w14:textId="77777777" w:rsidR="00FC5252" w:rsidRDefault="00FC5252">
      <w:pPr>
        <w:numPr>
          <w:ilvl w:val="12"/>
          <w:numId w:val="0"/>
        </w:numPr>
        <w:tabs>
          <w:tab w:val="left" w:pos="-2268"/>
        </w:tabs>
        <w:suppressAutoHyphens/>
        <w:rPr>
          <w:spacing w:val="-3"/>
        </w:rPr>
      </w:pPr>
    </w:p>
    <w:p w14:paraId="61C2CB52" w14:textId="74ADD1F1" w:rsidR="005415E1" w:rsidRDefault="005415E1">
      <w:pPr>
        <w:numPr>
          <w:ilvl w:val="12"/>
          <w:numId w:val="0"/>
        </w:numPr>
        <w:tabs>
          <w:tab w:val="left" w:pos="-2268"/>
        </w:tabs>
        <w:suppressAutoHyphens/>
        <w:rPr>
          <w:spacing w:val="-3"/>
        </w:rPr>
      </w:pPr>
      <w:r w:rsidRPr="005415E1">
        <w:rPr>
          <w:spacing w:val="-3"/>
        </w:rPr>
        <w:t>Teniendo en cuenta procesos ecológicos fundamentales como la migración de especies y el transporte de semillas, se debe determinar su dinámica general e importancia en el contexto regional y nacional (según aplique)</w:t>
      </w:r>
      <w:r w:rsidR="003444A5">
        <w:rPr>
          <w:spacing w:val="-3"/>
        </w:rPr>
        <w:t>,</w:t>
      </w:r>
      <w:r w:rsidRPr="005415E1">
        <w:rPr>
          <w:spacing w:val="-3"/>
        </w:rPr>
        <w:t xml:space="preserve"> considerando aquellos atributos que pueden sufrir impactos por el desarrollo de las alternativas del proyecto, considerando aspectos como: los tramos de cauces que podrían ser modificados o eliminados o los flujos de los cuerpos de agua, las comunidades biológicas asociadas o los procesos de migración</w:t>
      </w:r>
      <w:r w:rsidRPr="005415E1">
        <w:rPr>
          <w:spacing w:val="-3"/>
          <w:vertAlign w:val="superscript"/>
        </w:rPr>
        <w:footnoteReference w:id="57"/>
      </w:r>
      <w:r w:rsidRPr="005415E1">
        <w:rPr>
          <w:spacing w:val="-3"/>
        </w:rPr>
        <w:t xml:space="preserve"> que podrían ser restringidos, aislados o fragmentados temporal o permanente. Este análisis debe desarrollarse a partir de información cartográfica u otro tipo de información secundaria disponible.</w:t>
      </w:r>
    </w:p>
    <w:p w14:paraId="39BB58F3" w14:textId="77777777" w:rsidR="005415E1" w:rsidRPr="004068F6" w:rsidRDefault="005415E1">
      <w:pPr>
        <w:numPr>
          <w:ilvl w:val="12"/>
          <w:numId w:val="0"/>
        </w:numPr>
        <w:tabs>
          <w:tab w:val="left" w:pos="-2268"/>
        </w:tabs>
        <w:suppressAutoHyphens/>
        <w:rPr>
          <w:spacing w:val="-3"/>
        </w:rPr>
      </w:pPr>
    </w:p>
    <w:p w14:paraId="16CC3833" w14:textId="659F88C4" w:rsidR="00457648" w:rsidRPr="004068F6" w:rsidRDefault="00457648" w:rsidP="00A235B6">
      <w:pPr>
        <w:numPr>
          <w:ilvl w:val="12"/>
          <w:numId w:val="0"/>
        </w:numPr>
        <w:tabs>
          <w:tab w:val="left" w:pos="-2268"/>
        </w:tabs>
        <w:suppressAutoHyphens/>
        <w:rPr>
          <w:spacing w:val="-3"/>
        </w:rPr>
      </w:pPr>
      <w:r w:rsidRPr="004068F6">
        <w:rPr>
          <w:spacing w:val="-3"/>
        </w:rPr>
        <w:t xml:space="preserve">Para ecosistemas </w:t>
      </w:r>
      <w:r w:rsidR="008D2728" w:rsidRPr="004068F6">
        <w:rPr>
          <w:spacing w:val="-3"/>
        </w:rPr>
        <w:t>marino-costeros</w:t>
      </w:r>
      <w:r w:rsidRPr="004068F6">
        <w:rPr>
          <w:spacing w:val="-3"/>
        </w:rPr>
        <w:t xml:space="preserve"> </w:t>
      </w:r>
      <w:r w:rsidR="0013620C" w:rsidRPr="004068F6">
        <w:rPr>
          <w:spacing w:val="-3"/>
        </w:rPr>
        <w:t xml:space="preserve">la caracterización consiste en </w:t>
      </w:r>
      <w:r w:rsidRPr="004068F6">
        <w:rPr>
          <w:spacing w:val="-3"/>
        </w:rPr>
        <w:t>establecer</w:t>
      </w:r>
      <w:r w:rsidR="0013620C" w:rsidRPr="004068F6">
        <w:rPr>
          <w:spacing w:val="-3"/>
        </w:rPr>
        <w:t>, principalmente a partir de información secundaria,</w:t>
      </w:r>
      <w:r w:rsidRPr="004068F6">
        <w:rPr>
          <w:spacing w:val="-3"/>
        </w:rPr>
        <w:t xml:space="preserve"> </w:t>
      </w:r>
      <w:r w:rsidR="0013620C" w:rsidRPr="004068F6">
        <w:rPr>
          <w:spacing w:val="-3"/>
        </w:rPr>
        <w:t xml:space="preserve">la localización de ecosistemas de </w:t>
      </w:r>
      <w:r w:rsidRPr="004068F6">
        <w:rPr>
          <w:spacing w:val="-3"/>
        </w:rPr>
        <w:t>interés tales como arrecifes coralinos de aguas someras y profundas, praderas de pastos marinos, ecosistemas pelágicos</w:t>
      </w:r>
      <w:r w:rsidR="00DB708C" w:rsidRPr="004068F6">
        <w:rPr>
          <w:spacing w:val="-3"/>
        </w:rPr>
        <w:t xml:space="preserve"> (neríticos y oceánicos)</w:t>
      </w:r>
      <w:r w:rsidRPr="004068F6">
        <w:rPr>
          <w:spacing w:val="-3"/>
        </w:rPr>
        <w:t>, bosques de manglar, litoral rocoso y arenoso, fondos blandos, duros y vegetados, estuarios, lagunas costeras, zonas pantanosas, ciénagas, deltas, entre otros.</w:t>
      </w:r>
    </w:p>
    <w:p w14:paraId="7DD3848E" w14:textId="77777777" w:rsidR="00457648" w:rsidRPr="004068F6" w:rsidRDefault="00457648" w:rsidP="00A235B6">
      <w:pPr>
        <w:numPr>
          <w:ilvl w:val="12"/>
          <w:numId w:val="0"/>
        </w:numPr>
        <w:tabs>
          <w:tab w:val="left" w:pos="-2268"/>
        </w:tabs>
        <w:suppressAutoHyphens/>
        <w:rPr>
          <w:spacing w:val="-3"/>
        </w:rPr>
      </w:pPr>
    </w:p>
    <w:p w14:paraId="459AD46C" w14:textId="6C083866" w:rsidR="00457648" w:rsidRPr="004068F6" w:rsidRDefault="008F0E3E" w:rsidP="00A235B6">
      <w:pPr>
        <w:numPr>
          <w:ilvl w:val="12"/>
          <w:numId w:val="0"/>
        </w:numPr>
        <w:tabs>
          <w:tab w:val="left" w:pos="-2268"/>
        </w:tabs>
        <w:suppressAutoHyphens/>
        <w:rPr>
          <w:spacing w:val="-3"/>
        </w:rPr>
      </w:pPr>
      <w:r w:rsidRPr="004068F6">
        <w:rPr>
          <w:spacing w:val="-3"/>
        </w:rPr>
        <w:t>Asimismo, se debe d</w:t>
      </w:r>
      <w:r w:rsidR="00457648" w:rsidRPr="004068F6">
        <w:rPr>
          <w:spacing w:val="-3"/>
        </w:rPr>
        <w:t xml:space="preserve">escribir </w:t>
      </w:r>
      <w:r w:rsidR="00C91355" w:rsidRPr="004068F6">
        <w:rPr>
          <w:spacing w:val="-3"/>
        </w:rPr>
        <w:t xml:space="preserve">la </w:t>
      </w:r>
      <w:r w:rsidRPr="004068F6">
        <w:rPr>
          <w:spacing w:val="-3"/>
        </w:rPr>
        <w:t>problemática</w:t>
      </w:r>
      <w:r w:rsidR="00457648" w:rsidRPr="004068F6">
        <w:rPr>
          <w:spacing w:val="-3"/>
        </w:rPr>
        <w:t xml:space="preserve"> ambiental y uso actual de los ecosistemas</w:t>
      </w:r>
      <w:r w:rsidRPr="004068F6">
        <w:rPr>
          <w:spacing w:val="-3"/>
        </w:rPr>
        <w:t xml:space="preserve"> acuáticos continentales y marino costeros</w:t>
      </w:r>
      <w:r w:rsidR="00320A52" w:rsidRPr="004068F6">
        <w:rPr>
          <w:spacing w:val="-3"/>
        </w:rPr>
        <w:t>, considerando información disponible sobre su estado general de conservación</w:t>
      </w:r>
      <w:r w:rsidR="00457648" w:rsidRPr="004068F6">
        <w:rPr>
          <w:spacing w:val="-3"/>
        </w:rPr>
        <w:t>.</w:t>
      </w:r>
    </w:p>
    <w:p w14:paraId="354F4730" w14:textId="77777777" w:rsidR="00F97C5C" w:rsidRPr="004068F6" w:rsidRDefault="00F97C5C">
      <w:pPr>
        <w:numPr>
          <w:ilvl w:val="12"/>
          <w:numId w:val="0"/>
        </w:numPr>
        <w:tabs>
          <w:tab w:val="left" w:pos="-2268"/>
        </w:tabs>
        <w:suppressAutoHyphens/>
        <w:rPr>
          <w:spacing w:val="-3"/>
        </w:rPr>
      </w:pPr>
    </w:p>
    <w:p w14:paraId="3D6AC139" w14:textId="60BAB2AC" w:rsidR="00F97C5C" w:rsidRPr="004068F6" w:rsidRDefault="00F97C5C">
      <w:pPr>
        <w:numPr>
          <w:ilvl w:val="12"/>
          <w:numId w:val="0"/>
        </w:numPr>
        <w:tabs>
          <w:tab w:val="left" w:pos="-2268"/>
        </w:tabs>
        <w:suppressAutoHyphens/>
        <w:rPr>
          <w:spacing w:val="-3"/>
        </w:rPr>
      </w:pPr>
      <w:r w:rsidRPr="004068F6">
        <w:rPr>
          <w:spacing w:val="-3"/>
        </w:rPr>
        <w:t xml:space="preserve">La información cartográfica resultante debe presentarse a la escala que establezcan los respectivos términos de referencia o a una </w:t>
      </w:r>
      <w:r w:rsidRPr="004068F6">
        <w:rPr>
          <w:rFonts w:cs="Arial"/>
          <w:spacing w:val="-3"/>
        </w:rPr>
        <w:t xml:space="preserve">escala </w:t>
      </w:r>
      <w:r w:rsidRPr="004068F6">
        <w:rPr>
          <w:spacing w:val="-3"/>
        </w:rPr>
        <w:t>más detallada si el análisis lo requiere.</w:t>
      </w:r>
    </w:p>
    <w:p w14:paraId="33AAAA87" w14:textId="77777777" w:rsidR="00F97C5C" w:rsidRPr="004068F6" w:rsidRDefault="00F97C5C">
      <w:pPr>
        <w:numPr>
          <w:ilvl w:val="12"/>
          <w:numId w:val="0"/>
        </w:numPr>
        <w:tabs>
          <w:tab w:val="left" w:pos="-2268"/>
        </w:tabs>
        <w:suppressAutoHyphens/>
        <w:rPr>
          <w:spacing w:val="-3"/>
        </w:rPr>
      </w:pPr>
    </w:p>
    <w:p w14:paraId="2AF7C14F" w14:textId="47785D78" w:rsidR="00F97C5C" w:rsidRPr="004068F6" w:rsidRDefault="00F97C5C" w:rsidP="0068149C">
      <w:pPr>
        <w:pStyle w:val="Ttulo2"/>
        <w:rPr>
          <w:lang w:val="es-CO"/>
        </w:rPr>
      </w:pPr>
      <w:bookmarkStart w:id="2296" w:name="_Toc138759936"/>
      <w:bookmarkStart w:id="2297" w:name="_Toc153811758"/>
      <w:bookmarkStart w:id="2298" w:name="_Toc153811971"/>
      <w:bookmarkStart w:id="2299" w:name="_Toc153812376"/>
      <w:bookmarkStart w:id="2300" w:name="_Toc158907086"/>
      <w:bookmarkStart w:id="2301" w:name="_Toc159826086"/>
      <w:bookmarkStart w:id="2302" w:name="_Toc159826520"/>
      <w:bookmarkStart w:id="2303" w:name="_Toc175326350"/>
      <w:bookmarkStart w:id="2304" w:name="_Toc138759937"/>
      <w:bookmarkStart w:id="2305" w:name="_Toc153811759"/>
      <w:bookmarkStart w:id="2306" w:name="_Toc153811972"/>
      <w:bookmarkStart w:id="2307" w:name="_Toc153812377"/>
      <w:bookmarkStart w:id="2308" w:name="_Toc158907087"/>
      <w:bookmarkStart w:id="2309" w:name="_Toc159826087"/>
      <w:bookmarkStart w:id="2310" w:name="_Toc159826521"/>
      <w:bookmarkStart w:id="2311" w:name="_Toc175326351"/>
      <w:bookmarkStart w:id="2312" w:name="_Toc412803160"/>
      <w:bookmarkStart w:id="2313" w:name="_Toc437935987"/>
      <w:bookmarkStart w:id="2314" w:name="_Toc42552225"/>
      <w:bookmarkStart w:id="2315" w:name="_Toc230879592"/>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r w:rsidRPr="004068F6">
        <w:rPr>
          <w:lang w:val="es-CO"/>
        </w:rPr>
        <w:t>MEDIO SOCIOECONÓMICO</w:t>
      </w:r>
      <w:bookmarkEnd w:id="2312"/>
      <w:bookmarkEnd w:id="2313"/>
      <w:bookmarkEnd w:id="2314"/>
      <w:bookmarkEnd w:id="2315"/>
    </w:p>
    <w:p w14:paraId="7DBFBD20" w14:textId="77777777" w:rsidR="00F97C5C" w:rsidRPr="004068F6" w:rsidRDefault="00F97C5C">
      <w:pPr>
        <w:numPr>
          <w:ilvl w:val="12"/>
          <w:numId w:val="0"/>
        </w:numPr>
        <w:tabs>
          <w:tab w:val="left" w:pos="-2268"/>
        </w:tabs>
        <w:suppressAutoHyphens/>
        <w:rPr>
          <w:spacing w:val="-3"/>
        </w:rPr>
      </w:pPr>
    </w:p>
    <w:p w14:paraId="3FC77521" w14:textId="2495DEFB" w:rsidR="00F97C5C" w:rsidRPr="004068F6" w:rsidRDefault="00F97C5C" w:rsidP="00F97C5C">
      <w:pPr>
        <w:numPr>
          <w:ilvl w:val="12"/>
          <w:numId w:val="0"/>
        </w:numPr>
        <w:tabs>
          <w:tab w:val="left" w:pos="-2268"/>
        </w:tabs>
        <w:suppressAutoHyphens/>
        <w:rPr>
          <w:rFonts w:cs="Arial"/>
          <w:spacing w:val="-3"/>
        </w:rPr>
      </w:pPr>
      <w:r w:rsidRPr="004068F6">
        <w:rPr>
          <w:rFonts w:cs="Arial"/>
          <w:spacing w:val="-3"/>
        </w:rPr>
        <w:t>La</w:t>
      </w:r>
      <w:r w:rsidRPr="004068F6">
        <w:rPr>
          <w:spacing w:val="-3"/>
        </w:rPr>
        <w:t xml:space="preserve"> caracterización del medio socioeconómico debe </w:t>
      </w:r>
      <w:r w:rsidRPr="004068F6">
        <w:rPr>
          <w:rFonts w:cs="Arial"/>
          <w:spacing w:val="-3"/>
        </w:rPr>
        <w:t>realiza</w:t>
      </w:r>
      <w:r w:rsidR="001A7EFF" w:rsidRPr="004068F6">
        <w:rPr>
          <w:rFonts w:cs="Arial"/>
          <w:spacing w:val="-3"/>
        </w:rPr>
        <w:t xml:space="preserve">rse </w:t>
      </w:r>
      <w:r w:rsidRPr="004068F6">
        <w:rPr>
          <w:rFonts w:cs="Arial"/>
          <w:spacing w:val="-3"/>
        </w:rPr>
        <w:t>para la</w:t>
      </w:r>
      <w:r w:rsidR="001A7EFF" w:rsidRPr="004068F6">
        <w:rPr>
          <w:rFonts w:cs="Arial"/>
          <w:spacing w:val="-3"/>
        </w:rPr>
        <w:t>s</w:t>
      </w:r>
      <w:r w:rsidRPr="004068F6">
        <w:rPr>
          <w:rFonts w:cs="Arial"/>
          <w:spacing w:val="-3"/>
        </w:rPr>
        <w:t xml:space="preserve"> unidad</w:t>
      </w:r>
      <w:r w:rsidR="001A7EFF" w:rsidRPr="004068F6">
        <w:rPr>
          <w:rFonts w:cs="Arial"/>
          <w:spacing w:val="-3"/>
        </w:rPr>
        <w:t>es</w:t>
      </w:r>
      <w:r w:rsidRPr="004068F6">
        <w:rPr>
          <w:rFonts w:cs="Arial"/>
          <w:spacing w:val="-3"/>
        </w:rPr>
        <w:t xml:space="preserve"> de análisis territorial </w:t>
      </w:r>
      <w:r w:rsidR="001A7EFF" w:rsidRPr="004068F6">
        <w:rPr>
          <w:rFonts w:cs="Arial"/>
          <w:spacing w:val="-3"/>
        </w:rPr>
        <w:t xml:space="preserve">establecidas </w:t>
      </w:r>
      <w:r w:rsidRPr="004068F6">
        <w:rPr>
          <w:rFonts w:cs="Arial"/>
          <w:spacing w:val="-3"/>
        </w:rPr>
        <w:t>para el área de estudio</w:t>
      </w:r>
      <w:r w:rsidR="001A7EFF" w:rsidRPr="004068F6">
        <w:rPr>
          <w:rFonts w:cs="Arial"/>
          <w:spacing w:val="-3"/>
        </w:rPr>
        <w:t xml:space="preserve"> de este medio</w:t>
      </w:r>
      <w:r w:rsidRPr="004068F6">
        <w:rPr>
          <w:rFonts w:cs="Arial"/>
          <w:spacing w:val="-3"/>
        </w:rPr>
        <w:t>, sin embargo, es preciso presentar información de contexto (nivel departamental</w:t>
      </w:r>
      <w:r w:rsidR="00B548B7" w:rsidRPr="004068F6">
        <w:rPr>
          <w:rFonts w:cs="Arial"/>
          <w:spacing w:val="-3"/>
        </w:rPr>
        <w:t>,</w:t>
      </w:r>
      <w:r w:rsidRPr="004068F6">
        <w:rPr>
          <w:rFonts w:cs="Arial"/>
          <w:spacing w:val="-3"/>
        </w:rPr>
        <w:t xml:space="preserve"> municipal</w:t>
      </w:r>
      <w:r w:rsidR="005513A8" w:rsidRPr="004068F6">
        <w:rPr>
          <w:rFonts w:cs="Arial"/>
          <w:spacing w:val="-3"/>
        </w:rPr>
        <w:t xml:space="preserve"> </w:t>
      </w:r>
      <w:r w:rsidR="00B548B7" w:rsidRPr="004068F6">
        <w:rPr>
          <w:rFonts w:cs="Arial"/>
          <w:spacing w:val="-3"/>
        </w:rPr>
        <w:t>o de otros entes territoriales constitucional y legalmente reconocidos)</w:t>
      </w:r>
      <w:r w:rsidRPr="004068F6">
        <w:rPr>
          <w:spacing w:val="-3"/>
        </w:rPr>
        <w:t xml:space="preserve"> que </w:t>
      </w:r>
      <w:r w:rsidR="0041428E" w:rsidRPr="004068F6">
        <w:rPr>
          <w:rFonts w:cs="Arial"/>
          <w:spacing w:val="-3"/>
        </w:rPr>
        <w:t xml:space="preserve">proporcione </w:t>
      </w:r>
      <w:r w:rsidRPr="004068F6">
        <w:rPr>
          <w:rFonts w:cs="Arial"/>
          <w:spacing w:val="-3"/>
        </w:rPr>
        <w:t>un</w:t>
      </w:r>
      <w:r w:rsidR="0041428E" w:rsidRPr="004068F6">
        <w:rPr>
          <w:rFonts w:cs="Arial"/>
          <w:spacing w:val="-3"/>
        </w:rPr>
        <w:t>a perspectiva</w:t>
      </w:r>
      <w:r w:rsidRPr="004068F6">
        <w:rPr>
          <w:rFonts w:cs="Arial"/>
          <w:spacing w:val="-3"/>
        </w:rPr>
        <w:t xml:space="preserve"> integral del </w:t>
      </w:r>
      <w:r w:rsidR="00B272CA" w:rsidRPr="004068F6">
        <w:rPr>
          <w:rFonts w:cs="Arial"/>
          <w:spacing w:val="-3"/>
        </w:rPr>
        <w:t>territorio</w:t>
      </w:r>
      <w:r w:rsidRPr="004068F6">
        <w:rPr>
          <w:rFonts w:cs="Arial"/>
          <w:spacing w:val="-3"/>
        </w:rPr>
        <w:t>, sin que ello conlleve a que dicha información corresponda con la delimitación del área de estudio del proyecto, obra o actividad.</w:t>
      </w:r>
    </w:p>
    <w:p w14:paraId="61E53A3E" w14:textId="77777777" w:rsidR="00F97C5C" w:rsidRPr="004068F6" w:rsidRDefault="00F97C5C" w:rsidP="00F97C5C">
      <w:pPr>
        <w:numPr>
          <w:ilvl w:val="12"/>
          <w:numId w:val="0"/>
        </w:numPr>
        <w:tabs>
          <w:tab w:val="left" w:pos="-2268"/>
        </w:tabs>
        <w:suppressAutoHyphens/>
        <w:rPr>
          <w:rFonts w:cs="Arial"/>
          <w:spacing w:val="-3"/>
        </w:rPr>
      </w:pPr>
    </w:p>
    <w:p w14:paraId="5EFEDBD4" w14:textId="7FF2B790" w:rsidR="00B42A9F" w:rsidRDefault="00FD2252" w:rsidP="00F97C5C">
      <w:pPr>
        <w:numPr>
          <w:ilvl w:val="12"/>
          <w:numId w:val="0"/>
        </w:numPr>
        <w:tabs>
          <w:tab w:val="left" w:pos="-2268"/>
        </w:tabs>
        <w:suppressAutoHyphens/>
        <w:rPr>
          <w:rFonts w:cs="Arial"/>
          <w:spacing w:val="-3"/>
        </w:rPr>
      </w:pPr>
      <w:r w:rsidRPr="004068F6">
        <w:rPr>
          <w:rFonts w:cs="Arial"/>
          <w:spacing w:val="-3"/>
        </w:rPr>
        <w:t xml:space="preserve">Se debe </w:t>
      </w:r>
      <w:r w:rsidR="00B272CA" w:rsidRPr="004068F6">
        <w:rPr>
          <w:rFonts w:cs="Arial"/>
          <w:spacing w:val="-3"/>
        </w:rPr>
        <w:t xml:space="preserve">emplear </w:t>
      </w:r>
      <w:r w:rsidR="00F97C5C" w:rsidRPr="004068F6">
        <w:rPr>
          <w:rFonts w:cs="Arial"/>
          <w:spacing w:val="-3"/>
        </w:rPr>
        <w:t>información oficial</w:t>
      </w:r>
      <w:r w:rsidR="00B272CA" w:rsidRPr="004068F6">
        <w:rPr>
          <w:rFonts w:cs="Arial"/>
          <w:spacing w:val="-3"/>
        </w:rPr>
        <w:t xml:space="preserve">, </w:t>
      </w:r>
      <w:r w:rsidR="006647A6" w:rsidRPr="004068F6">
        <w:rPr>
          <w:rFonts w:cs="Arial"/>
          <w:spacing w:val="-3"/>
        </w:rPr>
        <w:t>sin limitarse a la indicada en el apartado fuentes de información del medio socioeconómico</w:t>
      </w:r>
      <w:r w:rsidR="00042A25" w:rsidRPr="004068F6">
        <w:rPr>
          <w:rFonts w:cs="Arial"/>
          <w:spacing w:val="-3"/>
        </w:rPr>
        <w:t xml:space="preserve"> del capítulo I</w:t>
      </w:r>
      <w:r w:rsidR="006647A6" w:rsidRPr="004068F6">
        <w:rPr>
          <w:rFonts w:cs="Arial"/>
          <w:spacing w:val="-3"/>
        </w:rPr>
        <w:t xml:space="preserve">, </w:t>
      </w:r>
      <w:r w:rsidR="00B272CA" w:rsidRPr="004068F6">
        <w:rPr>
          <w:rFonts w:cs="Arial"/>
          <w:spacing w:val="-3"/>
        </w:rPr>
        <w:t>entre ella la generada por</w:t>
      </w:r>
      <w:r w:rsidR="00F97C5C" w:rsidRPr="004068F6">
        <w:rPr>
          <w:rFonts w:cs="Arial"/>
          <w:spacing w:val="-3"/>
        </w:rPr>
        <w:t xml:space="preserve"> el Departamento </w:t>
      </w:r>
      <w:r w:rsidR="00535B45" w:rsidRPr="004068F6">
        <w:rPr>
          <w:rFonts w:cs="Arial"/>
          <w:spacing w:val="-3"/>
        </w:rPr>
        <w:t xml:space="preserve">Administrativo </w:t>
      </w:r>
      <w:r w:rsidR="00F97C5C" w:rsidRPr="004068F6">
        <w:rPr>
          <w:rFonts w:cs="Arial"/>
          <w:spacing w:val="-3"/>
        </w:rPr>
        <w:t xml:space="preserve">Nacional de Estadística </w:t>
      </w:r>
      <w:r w:rsidR="00B272CA" w:rsidRPr="004068F6">
        <w:rPr>
          <w:rFonts w:cs="Arial"/>
          <w:spacing w:val="-3"/>
        </w:rPr>
        <w:t>(</w:t>
      </w:r>
      <w:r w:rsidR="00F97C5C" w:rsidRPr="004068F6">
        <w:rPr>
          <w:rFonts w:cs="Arial"/>
          <w:spacing w:val="-3"/>
        </w:rPr>
        <w:t>DANE</w:t>
      </w:r>
      <w:r w:rsidR="00B272CA" w:rsidRPr="004068F6">
        <w:rPr>
          <w:rFonts w:cs="Arial"/>
          <w:spacing w:val="-3"/>
        </w:rPr>
        <w:t>) (por ejemplo la referida a demografía, actividades económicas y división político administrativa)</w:t>
      </w:r>
      <w:r w:rsidR="00F105CE" w:rsidRPr="004068F6">
        <w:rPr>
          <w:rFonts w:cs="Arial"/>
          <w:spacing w:val="-3"/>
        </w:rPr>
        <w:t xml:space="preserve">, </w:t>
      </w:r>
      <w:r w:rsidR="00B272CA" w:rsidRPr="004068F6">
        <w:rPr>
          <w:rFonts w:cs="Arial"/>
          <w:spacing w:val="-3"/>
        </w:rPr>
        <w:t xml:space="preserve">la </w:t>
      </w:r>
      <w:r w:rsidR="00F105CE" w:rsidRPr="004068F6">
        <w:rPr>
          <w:rFonts w:cs="Arial"/>
          <w:spacing w:val="-3"/>
        </w:rPr>
        <w:t>Unidad de Planeación Rural Agropecuaria</w:t>
      </w:r>
      <w:r w:rsidR="00B272CA" w:rsidRPr="004068F6">
        <w:rPr>
          <w:rFonts w:cs="Arial"/>
          <w:spacing w:val="-3"/>
        </w:rPr>
        <w:t xml:space="preserve"> (UPRA)</w:t>
      </w:r>
      <w:r w:rsidR="00F105CE" w:rsidRPr="004068F6">
        <w:rPr>
          <w:rFonts w:cs="Arial"/>
          <w:spacing w:val="-3"/>
        </w:rPr>
        <w:t>,</w:t>
      </w:r>
      <w:r w:rsidR="00F97C5C" w:rsidRPr="004068F6">
        <w:rPr>
          <w:rFonts w:cs="Arial"/>
          <w:spacing w:val="-3"/>
        </w:rPr>
        <w:t xml:space="preserve"> </w:t>
      </w:r>
      <w:r w:rsidR="00B272CA" w:rsidRPr="004068F6">
        <w:rPr>
          <w:rFonts w:cs="Arial"/>
          <w:spacing w:val="-3"/>
        </w:rPr>
        <w:t>el Sistema de Identificación de Potenciales Beneficiarios de Programas Sociales (Sisbén)</w:t>
      </w:r>
      <w:r w:rsidR="00F97C5C" w:rsidRPr="004068F6">
        <w:rPr>
          <w:rFonts w:cs="Arial"/>
          <w:spacing w:val="-3"/>
        </w:rPr>
        <w:t xml:space="preserve">, </w:t>
      </w:r>
      <w:r w:rsidR="00B272CA" w:rsidRPr="004068F6">
        <w:rPr>
          <w:rFonts w:cs="Arial"/>
          <w:spacing w:val="-3"/>
        </w:rPr>
        <w:t>el Instituto Geográfico Agustín Codazzi (</w:t>
      </w:r>
      <w:r w:rsidR="00F97C5C" w:rsidRPr="004068F6">
        <w:rPr>
          <w:rFonts w:cs="Arial"/>
          <w:spacing w:val="-3"/>
        </w:rPr>
        <w:t>IGAC</w:t>
      </w:r>
      <w:r w:rsidR="00B272CA" w:rsidRPr="004068F6">
        <w:rPr>
          <w:rFonts w:cs="Arial"/>
          <w:spacing w:val="-3"/>
        </w:rPr>
        <w:t>)</w:t>
      </w:r>
      <w:r w:rsidR="00F105CE" w:rsidRPr="004068F6">
        <w:rPr>
          <w:rFonts w:cs="Arial"/>
          <w:spacing w:val="-3"/>
        </w:rPr>
        <w:t xml:space="preserve">, </w:t>
      </w:r>
      <w:r w:rsidR="00B272CA" w:rsidRPr="004068F6">
        <w:rPr>
          <w:rFonts w:cs="Arial"/>
          <w:spacing w:val="-3"/>
        </w:rPr>
        <w:t xml:space="preserve">el </w:t>
      </w:r>
      <w:r w:rsidR="00F105CE" w:rsidRPr="004068F6">
        <w:rPr>
          <w:rFonts w:cs="Arial"/>
          <w:spacing w:val="-3"/>
        </w:rPr>
        <w:t xml:space="preserve">Ministerio de Cultura, </w:t>
      </w:r>
      <w:r w:rsidR="00B272CA" w:rsidRPr="004068F6">
        <w:rPr>
          <w:rFonts w:cs="Arial"/>
          <w:spacing w:val="-3"/>
        </w:rPr>
        <w:t xml:space="preserve">la </w:t>
      </w:r>
      <w:r w:rsidR="00F105CE" w:rsidRPr="004068F6">
        <w:rPr>
          <w:rFonts w:cs="Arial"/>
          <w:spacing w:val="-3"/>
        </w:rPr>
        <w:t>Agencia para la Reincorporación y Normalización</w:t>
      </w:r>
      <w:r w:rsidR="00B272CA" w:rsidRPr="004068F6">
        <w:rPr>
          <w:rFonts w:cs="Arial"/>
          <w:spacing w:val="-3"/>
        </w:rPr>
        <w:t xml:space="preserve"> (ARN)</w:t>
      </w:r>
      <w:r w:rsidR="00F97C5C" w:rsidRPr="004068F6">
        <w:rPr>
          <w:rFonts w:cs="Arial"/>
          <w:spacing w:val="-3"/>
        </w:rPr>
        <w:t xml:space="preserve">, </w:t>
      </w:r>
      <w:r w:rsidR="0076613A" w:rsidRPr="004068F6">
        <w:rPr>
          <w:rFonts w:cs="Arial"/>
          <w:spacing w:val="-3"/>
        </w:rPr>
        <w:t xml:space="preserve">la Unidad de Búsqueda de Personas dadas por Desaparecidas (UBPD) y la Fiscalía General de la Nación, </w:t>
      </w:r>
      <w:r w:rsidR="006C664F" w:rsidRPr="004068F6">
        <w:rPr>
          <w:rFonts w:cs="Arial"/>
          <w:spacing w:val="-3"/>
        </w:rPr>
        <w:t xml:space="preserve">así como la contenida en </w:t>
      </w:r>
      <w:r w:rsidR="00B272CA" w:rsidRPr="004068F6">
        <w:rPr>
          <w:rFonts w:cs="Arial"/>
          <w:spacing w:val="-3"/>
        </w:rPr>
        <w:t xml:space="preserve">los </w:t>
      </w:r>
      <w:r w:rsidR="006F5346" w:rsidRPr="004068F6">
        <w:rPr>
          <w:rFonts w:cs="Arial"/>
          <w:spacing w:val="-3"/>
        </w:rPr>
        <w:t xml:space="preserve">instrumentos </w:t>
      </w:r>
      <w:r w:rsidR="00F97C5C" w:rsidRPr="004068F6">
        <w:rPr>
          <w:rFonts w:cs="Arial"/>
          <w:spacing w:val="-3"/>
        </w:rPr>
        <w:t xml:space="preserve">de </w:t>
      </w:r>
      <w:r w:rsidR="002F0F64" w:rsidRPr="004068F6">
        <w:rPr>
          <w:rFonts w:cs="Arial"/>
          <w:spacing w:val="-3"/>
        </w:rPr>
        <w:t>o</w:t>
      </w:r>
      <w:r w:rsidR="00F97C5C" w:rsidRPr="004068F6">
        <w:rPr>
          <w:rFonts w:cs="Arial"/>
          <w:spacing w:val="-3"/>
        </w:rPr>
        <w:t xml:space="preserve">rdenamiento </w:t>
      </w:r>
      <w:r w:rsidR="002F0F64" w:rsidRPr="004068F6">
        <w:rPr>
          <w:rFonts w:cs="Arial"/>
          <w:spacing w:val="-3"/>
        </w:rPr>
        <w:t>t</w:t>
      </w:r>
      <w:r w:rsidR="00F97C5C" w:rsidRPr="004068F6">
        <w:rPr>
          <w:rFonts w:cs="Arial"/>
          <w:spacing w:val="-3"/>
        </w:rPr>
        <w:t xml:space="preserve">erritorial, </w:t>
      </w:r>
      <w:r w:rsidR="00B272CA" w:rsidRPr="004068F6">
        <w:rPr>
          <w:rFonts w:cs="Arial"/>
          <w:spacing w:val="-3"/>
        </w:rPr>
        <w:t xml:space="preserve">los </w:t>
      </w:r>
      <w:r w:rsidR="002F0F64" w:rsidRPr="004068F6">
        <w:rPr>
          <w:rFonts w:cs="Arial"/>
          <w:spacing w:val="-3"/>
        </w:rPr>
        <w:t>p</w:t>
      </w:r>
      <w:r w:rsidR="00F97C5C" w:rsidRPr="004068F6">
        <w:rPr>
          <w:rFonts w:cs="Arial"/>
          <w:spacing w:val="-3"/>
        </w:rPr>
        <w:t xml:space="preserve">lanes de </w:t>
      </w:r>
      <w:r w:rsidR="002F0F64" w:rsidRPr="004068F6">
        <w:rPr>
          <w:rFonts w:cs="Arial"/>
          <w:spacing w:val="-3"/>
        </w:rPr>
        <w:t>o</w:t>
      </w:r>
      <w:r w:rsidR="00F97C5C" w:rsidRPr="004068F6">
        <w:rPr>
          <w:rFonts w:cs="Arial"/>
          <w:spacing w:val="-3"/>
        </w:rPr>
        <w:t xml:space="preserve">rdenación y </w:t>
      </w:r>
      <w:r w:rsidR="002F0F64" w:rsidRPr="004068F6">
        <w:rPr>
          <w:rFonts w:cs="Arial"/>
          <w:spacing w:val="-3"/>
        </w:rPr>
        <w:t>m</w:t>
      </w:r>
      <w:r w:rsidR="00F97C5C" w:rsidRPr="004068F6">
        <w:rPr>
          <w:rFonts w:cs="Arial"/>
          <w:spacing w:val="-3"/>
        </w:rPr>
        <w:t xml:space="preserve">anejo de </w:t>
      </w:r>
      <w:r w:rsidR="002F0F64" w:rsidRPr="004068F6">
        <w:rPr>
          <w:rFonts w:cs="Arial"/>
          <w:spacing w:val="-3"/>
        </w:rPr>
        <w:t>c</w:t>
      </w:r>
      <w:r w:rsidR="00F97C5C" w:rsidRPr="004068F6">
        <w:rPr>
          <w:rFonts w:cs="Arial"/>
          <w:spacing w:val="-3"/>
        </w:rPr>
        <w:t xml:space="preserve">uencas </w:t>
      </w:r>
      <w:r w:rsidR="002F0F64" w:rsidRPr="004068F6">
        <w:rPr>
          <w:rFonts w:cs="Arial"/>
          <w:spacing w:val="-3"/>
        </w:rPr>
        <w:t>h</w:t>
      </w:r>
      <w:r w:rsidR="00F97C5C" w:rsidRPr="004068F6">
        <w:rPr>
          <w:rFonts w:cs="Arial"/>
          <w:spacing w:val="-3"/>
        </w:rPr>
        <w:t xml:space="preserve">idrográficas, </w:t>
      </w:r>
      <w:r w:rsidR="00B272CA" w:rsidRPr="004068F6">
        <w:rPr>
          <w:rFonts w:cs="Arial"/>
          <w:spacing w:val="-3"/>
        </w:rPr>
        <w:t xml:space="preserve">los </w:t>
      </w:r>
      <w:r w:rsidR="002F0F64" w:rsidRPr="004068F6">
        <w:rPr>
          <w:rFonts w:cs="Arial"/>
          <w:spacing w:val="-3"/>
        </w:rPr>
        <w:t>p</w:t>
      </w:r>
      <w:r w:rsidR="00F97C5C" w:rsidRPr="004068F6">
        <w:rPr>
          <w:rFonts w:cs="Arial"/>
          <w:spacing w:val="-3"/>
        </w:rPr>
        <w:t xml:space="preserve">lanes de desarrollo </w:t>
      </w:r>
      <w:r w:rsidR="002F0F64" w:rsidRPr="004068F6">
        <w:rPr>
          <w:rFonts w:cs="Arial"/>
          <w:spacing w:val="-3"/>
        </w:rPr>
        <w:t>d</w:t>
      </w:r>
      <w:r w:rsidR="00F97C5C" w:rsidRPr="004068F6">
        <w:rPr>
          <w:rFonts w:cs="Arial"/>
          <w:spacing w:val="-3"/>
        </w:rPr>
        <w:t xml:space="preserve">epartamental, </w:t>
      </w:r>
      <w:r w:rsidR="00B272CA" w:rsidRPr="004068F6">
        <w:rPr>
          <w:rFonts w:cs="Arial"/>
          <w:spacing w:val="-3"/>
        </w:rPr>
        <w:t xml:space="preserve">los </w:t>
      </w:r>
      <w:r w:rsidR="002F0F64" w:rsidRPr="004068F6">
        <w:rPr>
          <w:rFonts w:cs="Arial"/>
          <w:spacing w:val="-3"/>
        </w:rPr>
        <w:t>p</w:t>
      </w:r>
      <w:r w:rsidR="00F97C5C" w:rsidRPr="004068F6">
        <w:rPr>
          <w:rFonts w:cs="Arial"/>
          <w:spacing w:val="-3"/>
        </w:rPr>
        <w:t xml:space="preserve">lanes de </w:t>
      </w:r>
      <w:r w:rsidR="002F0F64" w:rsidRPr="004068F6">
        <w:rPr>
          <w:rFonts w:cs="Arial"/>
          <w:spacing w:val="-3"/>
        </w:rPr>
        <w:t>d</w:t>
      </w:r>
      <w:r w:rsidR="00F97C5C" w:rsidRPr="004068F6">
        <w:rPr>
          <w:rFonts w:cs="Arial"/>
          <w:spacing w:val="-3"/>
        </w:rPr>
        <w:t xml:space="preserve">esarrollo </w:t>
      </w:r>
      <w:r w:rsidR="002F0F64" w:rsidRPr="004068F6">
        <w:rPr>
          <w:rFonts w:cs="Arial"/>
          <w:spacing w:val="-3"/>
        </w:rPr>
        <w:t>m</w:t>
      </w:r>
      <w:r w:rsidR="00F97C5C" w:rsidRPr="004068F6">
        <w:rPr>
          <w:rFonts w:cs="Arial"/>
          <w:spacing w:val="-3"/>
        </w:rPr>
        <w:t>unicipal</w:t>
      </w:r>
      <w:r w:rsidR="00BF0DCF" w:rsidRPr="004068F6">
        <w:rPr>
          <w:rFonts w:cs="Arial"/>
          <w:spacing w:val="-3"/>
        </w:rPr>
        <w:t>, los planes de ordenamiento ambiental étnico, entre otros.</w:t>
      </w:r>
    </w:p>
    <w:p w14:paraId="6D48C042" w14:textId="77777777" w:rsidR="00B42A9F" w:rsidRDefault="00B42A9F" w:rsidP="00B42A9F">
      <w:pPr>
        <w:numPr>
          <w:ilvl w:val="12"/>
          <w:numId w:val="0"/>
        </w:numPr>
        <w:tabs>
          <w:tab w:val="left" w:pos="-2268"/>
        </w:tabs>
        <w:suppressAutoHyphens/>
        <w:rPr>
          <w:rFonts w:cs="Arial"/>
          <w:spacing w:val="-3"/>
        </w:rPr>
      </w:pPr>
    </w:p>
    <w:p w14:paraId="6367E8F5" w14:textId="1D790C38" w:rsidR="008268BA" w:rsidRDefault="008268BA" w:rsidP="00B42A9F">
      <w:pPr>
        <w:numPr>
          <w:ilvl w:val="12"/>
          <w:numId w:val="0"/>
        </w:numPr>
        <w:tabs>
          <w:tab w:val="left" w:pos="-2268"/>
        </w:tabs>
        <w:suppressAutoHyphens/>
        <w:rPr>
          <w:rFonts w:cs="Arial"/>
          <w:spacing w:val="-3"/>
        </w:rPr>
      </w:pPr>
      <w:r>
        <w:rPr>
          <w:spacing w:val="-3"/>
        </w:rPr>
        <w:t>S</w:t>
      </w:r>
      <w:r w:rsidRPr="00AD540C">
        <w:rPr>
          <w:spacing w:val="-3"/>
        </w:rPr>
        <w:t xml:space="preserve">e </w:t>
      </w:r>
      <w:r>
        <w:rPr>
          <w:spacing w:val="-3"/>
        </w:rPr>
        <w:t xml:space="preserve">debe </w:t>
      </w:r>
      <w:r w:rsidRPr="00AD540C">
        <w:rPr>
          <w:spacing w:val="-3"/>
        </w:rPr>
        <w:t>consult</w:t>
      </w:r>
      <w:r>
        <w:rPr>
          <w:spacing w:val="-3"/>
        </w:rPr>
        <w:t>ar</w:t>
      </w:r>
      <w:r w:rsidRPr="00AD540C">
        <w:rPr>
          <w:spacing w:val="-3"/>
        </w:rPr>
        <w:t xml:space="preserve"> a la </w:t>
      </w:r>
      <w:r w:rsidRPr="00263B8D">
        <w:rPr>
          <w:spacing w:val="-3"/>
        </w:rPr>
        <w:t xml:space="preserve">Unidad para la Atención y Reparación Integral a las Víctimas </w:t>
      </w:r>
      <w:r>
        <w:rPr>
          <w:spacing w:val="-3"/>
        </w:rPr>
        <w:t xml:space="preserve">(Unidad para las víctimas) </w:t>
      </w:r>
      <w:r w:rsidRPr="00AD540C">
        <w:rPr>
          <w:spacing w:val="-3"/>
        </w:rPr>
        <w:t xml:space="preserve">si en el área de influencia existen sujetos de reparación colectiva, si están reconocidos, cuáles son sus mecanismos de organización y en qué fase de la ruta de reparación colectiva se encuentra el grupo. </w:t>
      </w:r>
      <w:r>
        <w:rPr>
          <w:spacing w:val="-3"/>
        </w:rPr>
        <w:t xml:space="preserve">La caracterización y </w:t>
      </w:r>
      <w:r w:rsidRPr="00AD540C">
        <w:rPr>
          <w:spacing w:val="-3"/>
        </w:rPr>
        <w:lastRenderedPageBreak/>
        <w:t>obten</w:t>
      </w:r>
      <w:r>
        <w:rPr>
          <w:spacing w:val="-3"/>
        </w:rPr>
        <w:t xml:space="preserve">ción de </w:t>
      </w:r>
      <w:r w:rsidRPr="00AD540C">
        <w:rPr>
          <w:spacing w:val="-3"/>
        </w:rPr>
        <w:t xml:space="preserve">información </w:t>
      </w:r>
      <w:r>
        <w:rPr>
          <w:spacing w:val="-3"/>
        </w:rPr>
        <w:t>debe realizarse a través de la Unidad para las víctimas siguiendo sus directrices</w:t>
      </w:r>
      <w:r w:rsidRPr="00AD540C">
        <w:rPr>
          <w:spacing w:val="-3"/>
        </w:rPr>
        <w:t>.</w:t>
      </w:r>
      <w:r>
        <w:rPr>
          <w:spacing w:val="-3"/>
        </w:rPr>
        <w:t xml:space="preserve"> </w:t>
      </w:r>
      <w:r w:rsidRPr="00065BF7">
        <w:rPr>
          <w:rFonts w:cs="Arial"/>
          <w:spacing w:val="-3"/>
        </w:rPr>
        <w:t xml:space="preserve">Con el propósito de </w:t>
      </w:r>
      <w:r w:rsidR="003D1077">
        <w:rPr>
          <w:rFonts w:cs="Arial"/>
          <w:spacing w:val="-3"/>
        </w:rPr>
        <w:t>prevenir</w:t>
      </w:r>
      <w:r w:rsidRPr="00065BF7">
        <w:rPr>
          <w:rFonts w:cs="Arial"/>
          <w:spacing w:val="-3"/>
        </w:rPr>
        <w:t xml:space="preserve"> riesgos a las personas</w:t>
      </w:r>
      <w:r>
        <w:rPr>
          <w:rFonts w:cs="Arial"/>
          <w:spacing w:val="-3"/>
        </w:rPr>
        <w:t xml:space="preserve">, la caracterización del medio socioeconómico </w:t>
      </w:r>
      <w:r w:rsidRPr="00065BF7">
        <w:rPr>
          <w:rFonts w:cs="Arial"/>
          <w:spacing w:val="-3"/>
        </w:rPr>
        <w:t xml:space="preserve">debe abordarse y enfocarse en </w:t>
      </w:r>
      <w:r>
        <w:rPr>
          <w:rFonts w:cs="Arial"/>
          <w:spacing w:val="-3"/>
        </w:rPr>
        <w:t xml:space="preserve">los </w:t>
      </w:r>
      <w:r w:rsidRPr="00065BF7">
        <w:rPr>
          <w:rFonts w:cs="Arial"/>
          <w:spacing w:val="-3"/>
        </w:rPr>
        <w:t xml:space="preserve">grupos </w:t>
      </w:r>
      <w:r>
        <w:rPr>
          <w:rFonts w:cs="Arial"/>
          <w:spacing w:val="-3"/>
        </w:rPr>
        <w:t>de interés identificados procurando no exacerbar los riesgos preexistentes.</w:t>
      </w:r>
    </w:p>
    <w:p w14:paraId="730F5228" w14:textId="49AA083F" w:rsidR="00BF1177" w:rsidRPr="004068F6" w:rsidRDefault="00BF1177" w:rsidP="00F97C5C">
      <w:pPr>
        <w:numPr>
          <w:ilvl w:val="12"/>
          <w:numId w:val="0"/>
        </w:numPr>
        <w:tabs>
          <w:tab w:val="left" w:pos="-2268"/>
        </w:tabs>
        <w:suppressAutoHyphens/>
        <w:rPr>
          <w:rFonts w:cs="Arial"/>
          <w:spacing w:val="-3"/>
        </w:rPr>
      </w:pPr>
    </w:p>
    <w:p w14:paraId="747BA974" w14:textId="566D742E" w:rsidR="00F97C5C" w:rsidRPr="004068F6" w:rsidRDefault="00F97C5C">
      <w:pPr>
        <w:numPr>
          <w:ilvl w:val="12"/>
          <w:numId w:val="0"/>
        </w:numPr>
        <w:tabs>
          <w:tab w:val="left" w:pos="-2268"/>
        </w:tabs>
        <w:suppressAutoHyphens/>
        <w:rPr>
          <w:spacing w:val="-3"/>
        </w:rPr>
      </w:pPr>
      <w:r w:rsidRPr="004068F6">
        <w:rPr>
          <w:rFonts w:cs="Arial"/>
          <w:spacing w:val="-3"/>
        </w:rPr>
        <w:t>A continuación,</w:t>
      </w:r>
      <w:r w:rsidRPr="004068F6">
        <w:rPr>
          <w:spacing w:val="-3"/>
        </w:rPr>
        <w:t xml:space="preserve"> se </w:t>
      </w:r>
      <w:r w:rsidRPr="004068F6">
        <w:rPr>
          <w:rFonts w:cs="Arial"/>
          <w:spacing w:val="-3"/>
        </w:rPr>
        <w:t>establece el contenido y lineamientos generales que se deben seguir para caracteriza</w:t>
      </w:r>
      <w:r w:rsidR="002C2928" w:rsidRPr="004068F6">
        <w:rPr>
          <w:rFonts w:cs="Arial"/>
          <w:spacing w:val="-3"/>
        </w:rPr>
        <w:t xml:space="preserve">r </w:t>
      </w:r>
      <w:r w:rsidRPr="004068F6">
        <w:rPr>
          <w:spacing w:val="-3"/>
        </w:rPr>
        <w:t xml:space="preserve">los </w:t>
      </w:r>
      <w:r w:rsidRPr="004068F6">
        <w:rPr>
          <w:rFonts w:cs="Arial"/>
          <w:spacing w:val="-3"/>
        </w:rPr>
        <w:t>componentes que conforman</w:t>
      </w:r>
      <w:r w:rsidRPr="004068F6">
        <w:rPr>
          <w:spacing w:val="-3"/>
        </w:rPr>
        <w:t xml:space="preserve"> el medio socioeconómico.</w:t>
      </w:r>
    </w:p>
    <w:p w14:paraId="4720B044" w14:textId="77777777" w:rsidR="00F97C5C" w:rsidRPr="004068F6" w:rsidRDefault="00F97C5C" w:rsidP="00F97C5C">
      <w:pPr>
        <w:numPr>
          <w:ilvl w:val="12"/>
          <w:numId w:val="0"/>
        </w:numPr>
        <w:tabs>
          <w:tab w:val="left" w:pos="-2268"/>
        </w:tabs>
        <w:suppressAutoHyphens/>
        <w:rPr>
          <w:rFonts w:cs="Arial"/>
          <w:spacing w:val="-3"/>
        </w:rPr>
      </w:pPr>
    </w:p>
    <w:p w14:paraId="4C16F48C" w14:textId="7ABA9CA9" w:rsidR="00F97C5C" w:rsidRPr="00466E26" w:rsidRDefault="00F97C5C" w:rsidP="000A1E20">
      <w:pPr>
        <w:pStyle w:val="Ttulo3"/>
      </w:pPr>
      <w:bookmarkStart w:id="2316" w:name="_Toc412803162"/>
      <w:bookmarkStart w:id="2317" w:name="_Toc414285558"/>
      <w:bookmarkStart w:id="2318" w:name="_Toc437935989"/>
      <w:bookmarkStart w:id="2319" w:name="_Toc42552226"/>
      <w:bookmarkStart w:id="2320" w:name="_Toc230879593"/>
      <w:r w:rsidRPr="00466E26">
        <w:t>Demográfico</w:t>
      </w:r>
      <w:bookmarkEnd w:id="2316"/>
      <w:bookmarkEnd w:id="2317"/>
      <w:bookmarkEnd w:id="2318"/>
      <w:bookmarkEnd w:id="2319"/>
      <w:bookmarkEnd w:id="2320"/>
    </w:p>
    <w:p w14:paraId="27B08284" w14:textId="77777777" w:rsidR="00F97C5C" w:rsidRPr="004068F6" w:rsidRDefault="00F97C5C">
      <w:pPr>
        <w:numPr>
          <w:ilvl w:val="12"/>
          <w:numId w:val="0"/>
        </w:numPr>
        <w:tabs>
          <w:tab w:val="left" w:pos="-2268"/>
        </w:tabs>
        <w:suppressAutoHyphens/>
        <w:rPr>
          <w:spacing w:val="-3"/>
        </w:rPr>
      </w:pPr>
    </w:p>
    <w:p w14:paraId="398BCBC2" w14:textId="3786A1F3" w:rsidR="00F97C5C" w:rsidRPr="004068F6" w:rsidRDefault="004A21E7">
      <w:pPr>
        <w:numPr>
          <w:ilvl w:val="12"/>
          <w:numId w:val="0"/>
        </w:numPr>
        <w:tabs>
          <w:tab w:val="left" w:pos="-2268"/>
        </w:tabs>
        <w:suppressAutoHyphens/>
        <w:rPr>
          <w:spacing w:val="-3"/>
        </w:rPr>
      </w:pPr>
      <w:r w:rsidRPr="004068F6">
        <w:rPr>
          <w:spacing w:val="-3"/>
        </w:rPr>
        <w:t xml:space="preserve">Se debe presentar </w:t>
      </w:r>
      <w:r w:rsidR="00F97C5C" w:rsidRPr="004068F6">
        <w:rPr>
          <w:spacing w:val="-3"/>
        </w:rPr>
        <w:t>información</w:t>
      </w:r>
      <w:r w:rsidR="006C664F" w:rsidRPr="004068F6">
        <w:rPr>
          <w:spacing w:val="-3"/>
        </w:rPr>
        <w:t xml:space="preserve"> </w:t>
      </w:r>
      <w:r w:rsidRPr="004068F6">
        <w:rPr>
          <w:spacing w:val="-3"/>
        </w:rPr>
        <w:t xml:space="preserve">que </w:t>
      </w:r>
      <w:r w:rsidR="006C664F" w:rsidRPr="004068F6">
        <w:rPr>
          <w:spacing w:val="-3"/>
        </w:rPr>
        <w:t>permit</w:t>
      </w:r>
      <w:r w:rsidRPr="004068F6">
        <w:rPr>
          <w:spacing w:val="-3"/>
        </w:rPr>
        <w:t>a</w:t>
      </w:r>
      <w:r w:rsidR="006C664F" w:rsidRPr="004068F6">
        <w:rPr>
          <w:spacing w:val="-3"/>
        </w:rPr>
        <w:t xml:space="preserve"> caracterizar lo siguiente</w:t>
      </w:r>
      <w:r w:rsidR="00F97C5C" w:rsidRPr="004068F6">
        <w:rPr>
          <w:spacing w:val="-3"/>
        </w:rPr>
        <w:t>:</w:t>
      </w:r>
    </w:p>
    <w:p w14:paraId="4314A818" w14:textId="77777777" w:rsidR="00F97C5C" w:rsidRPr="004068F6" w:rsidRDefault="00F97C5C">
      <w:pPr>
        <w:numPr>
          <w:ilvl w:val="12"/>
          <w:numId w:val="0"/>
        </w:numPr>
        <w:tabs>
          <w:tab w:val="left" w:pos="-2268"/>
        </w:tabs>
        <w:suppressAutoHyphens/>
        <w:rPr>
          <w:spacing w:val="-3"/>
        </w:rPr>
      </w:pPr>
    </w:p>
    <w:p w14:paraId="0A8179AA" w14:textId="163E12AA" w:rsidR="00F97C5C" w:rsidRPr="004068F6" w:rsidRDefault="00F97C5C" w:rsidP="00C86DA5">
      <w:pPr>
        <w:numPr>
          <w:ilvl w:val="0"/>
          <w:numId w:val="55"/>
        </w:numPr>
        <w:tabs>
          <w:tab w:val="clear" w:pos="720"/>
        </w:tabs>
        <w:suppressAutoHyphens/>
        <w:ind w:left="567" w:hanging="567"/>
        <w:rPr>
          <w:spacing w:val="-3"/>
        </w:rPr>
      </w:pPr>
      <w:r w:rsidRPr="004068F6">
        <w:rPr>
          <w:spacing w:val="-3"/>
        </w:rPr>
        <w:t>Dinámica de poblamiento</w:t>
      </w:r>
      <w:r w:rsidR="006C664F" w:rsidRPr="004068F6">
        <w:rPr>
          <w:spacing w:val="-3"/>
        </w:rPr>
        <w:t>.</w:t>
      </w:r>
      <w:r w:rsidRPr="004068F6">
        <w:rPr>
          <w:spacing w:val="-3"/>
        </w:rPr>
        <w:t xml:space="preserve"> </w:t>
      </w:r>
      <w:r w:rsidR="006C664F" w:rsidRPr="004068F6">
        <w:rPr>
          <w:spacing w:val="-3"/>
        </w:rPr>
        <w:t>Se debe d</w:t>
      </w:r>
      <w:r w:rsidRPr="004068F6">
        <w:rPr>
          <w:spacing w:val="-3"/>
        </w:rPr>
        <w:t>escribir: 1) las</w:t>
      </w:r>
      <w:r w:rsidR="0047161F" w:rsidRPr="004068F6">
        <w:rPr>
          <w:spacing w:val="-3"/>
        </w:rPr>
        <w:t xml:space="preserve"> características </w:t>
      </w:r>
      <w:r w:rsidRPr="004068F6">
        <w:rPr>
          <w:spacing w:val="-3"/>
        </w:rPr>
        <w:t>más importantes del proceso de ocupación del territorio por parte de las poblaciones humanas</w:t>
      </w:r>
      <w:r w:rsidR="008B64C5" w:rsidRPr="004068F6">
        <w:rPr>
          <w:spacing w:val="-3"/>
        </w:rPr>
        <w:t>,</w:t>
      </w:r>
      <w:r w:rsidRPr="004068F6">
        <w:rPr>
          <w:spacing w:val="-3"/>
        </w:rPr>
        <w:t xml:space="preserve"> </w:t>
      </w:r>
      <w:r w:rsidR="006C664F" w:rsidRPr="004068F6">
        <w:rPr>
          <w:spacing w:val="-3"/>
        </w:rPr>
        <w:t xml:space="preserve">teniendo en cuenta </w:t>
      </w:r>
      <w:r w:rsidRPr="004068F6">
        <w:rPr>
          <w:spacing w:val="-3"/>
        </w:rPr>
        <w:t>antecedentes e hitos importantes con relación a su asentamiento y expansión</w:t>
      </w:r>
      <w:r w:rsidR="008B64C5" w:rsidRPr="004068F6">
        <w:rPr>
          <w:spacing w:val="-3"/>
        </w:rPr>
        <w:t>, incluidos aquellos relacionados con el desplazamiento forzado o con los impactos de intervenciones humanas en el territorio y del cambio climático</w:t>
      </w:r>
      <w:r w:rsidRPr="004068F6">
        <w:rPr>
          <w:spacing w:val="-3"/>
        </w:rPr>
        <w:t xml:space="preserve">; 2) </w:t>
      </w:r>
      <w:r w:rsidR="006C664F" w:rsidRPr="004068F6">
        <w:rPr>
          <w:spacing w:val="-3"/>
        </w:rPr>
        <w:t xml:space="preserve">los </w:t>
      </w:r>
      <w:r w:rsidRPr="004068F6">
        <w:rPr>
          <w:spacing w:val="-3"/>
        </w:rPr>
        <w:t>grupos socioculturales (indígenas, negritudes, campesinos</w:t>
      </w:r>
      <w:r w:rsidR="006C664F" w:rsidRPr="004068F6">
        <w:rPr>
          <w:spacing w:val="-3"/>
        </w:rPr>
        <w:t>,</w:t>
      </w:r>
      <w:r w:rsidRPr="004068F6">
        <w:rPr>
          <w:spacing w:val="-3"/>
        </w:rPr>
        <w:t xml:space="preserve"> entre otros)</w:t>
      </w:r>
      <w:r w:rsidR="005A0E16">
        <w:rPr>
          <w:spacing w:val="-3"/>
        </w:rPr>
        <w:t xml:space="preserve"> y; </w:t>
      </w:r>
      <w:r w:rsidR="009E784C">
        <w:rPr>
          <w:spacing w:val="-3"/>
        </w:rPr>
        <w:t xml:space="preserve">3) </w:t>
      </w:r>
      <w:r w:rsidR="00C63CDE">
        <w:rPr>
          <w:spacing w:val="-3"/>
        </w:rPr>
        <w:t xml:space="preserve">los </w:t>
      </w:r>
      <w:r w:rsidR="00C63CDE" w:rsidRPr="00C63CDE">
        <w:rPr>
          <w:spacing w:val="-3"/>
        </w:rPr>
        <w:t>sujetos de especial protección constitucional y personas y organizaciones defensoras de derechos humanos en asuntos ambientales, teniendo en cuenta la salvaguarda de su información para evitar situaciones de riesgo asociadas a seguridad</w:t>
      </w:r>
      <w:r w:rsidRPr="004068F6">
        <w:rPr>
          <w:spacing w:val="-3"/>
        </w:rPr>
        <w:t>.</w:t>
      </w:r>
    </w:p>
    <w:p w14:paraId="2425132D" w14:textId="77777777" w:rsidR="00F97C5C" w:rsidRPr="004068F6" w:rsidRDefault="00F97C5C" w:rsidP="00C86DA5">
      <w:pPr>
        <w:numPr>
          <w:ilvl w:val="12"/>
          <w:numId w:val="0"/>
        </w:numPr>
        <w:suppressAutoHyphens/>
        <w:ind w:left="567" w:hanging="567"/>
        <w:rPr>
          <w:spacing w:val="-3"/>
        </w:rPr>
      </w:pPr>
    </w:p>
    <w:p w14:paraId="3D5D6377" w14:textId="7224A4BF" w:rsidR="00F97C5C" w:rsidRPr="004068F6" w:rsidRDefault="00F97C5C" w:rsidP="00C86DA5">
      <w:pPr>
        <w:numPr>
          <w:ilvl w:val="0"/>
          <w:numId w:val="19"/>
        </w:numPr>
        <w:suppressAutoHyphens/>
        <w:ind w:left="567" w:hanging="567"/>
        <w:rPr>
          <w:spacing w:val="-3"/>
        </w:rPr>
      </w:pPr>
      <w:r w:rsidRPr="004068F6">
        <w:rPr>
          <w:spacing w:val="-3"/>
        </w:rPr>
        <w:t>Dinámica poblacional</w:t>
      </w:r>
      <w:r w:rsidR="006C664F" w:rsidRPr="004068F6">
        <w:rPr>
          <w:spacing w:val="-3"/>
        </w:rPr>
        <w:t>.</w:t>
      </w:r>
      <w:r w:rsidRPr="004068F6">
        <w:rPr>
          <w:spacing w:val="-3"/>
        </w:rPr>
        <w:t xml:space="preserve"> </w:t>
      </w:r>
      <w:r w:rsidR="006C664F" w:rsidRPr="004068F6">
        <w:rPr>
          <w:spacing w:val="-3"/>
        </w:rPr>
        <w:t>Se debe d</w:t>
      </w:r>
      <w:r w:rsidRPr="004068F6">
        <w:rPr>
          <w:spacing w:val="-3"/>
        </w:rPr>
        <w:t xml:space="preserve">escribir: 1) </w:t>
      </w:r>
      <w:r w:rsidR="006C664F" w:rsidRPr="004068F6">
        <w:rPr>
          <w:spacing w:val="-3"/>
        </w:rPr>
        <w:t xml:space="preserve">la </w:t>
      </w:r>
      <w:r w:rsidRPr="004068F6">
        <w:rPr>
          <w:spacing w:val="-3"/>
        </w:rPr>
        <w:t xml:space="preserve">movilidad espacial actual y tendencial, así como los factores que influyen en fenómenos migratorios; 2) </w:t>
      </w:r>
      <w:r w:rsidR="006C664F" w:rsidRPr="004068F6">
        <w:rPr>
          <w:spacing w:val="-3"/>
        </w:rPr>
        <w:t xml:space="preserve">la </w:t>
      </w:r>
      <w:r w:rsidR="00485FFF" w:rsidRPr="004068F6">
        <w:rPr>
          <w:spacing w:val="-3"/>
        </w:rPr>
        <w:t xml:space="preserve">estructura </w:t>
      </w:r>
      <w:r w:rsidRPr="004068F6">
        <w:rPr>
          <w:spacing w:val="-3"/>
        </w:rPr>
        <w:t>y densidad poblacional en las áreas rural y urbana</w:t>
      </w:r>
      <w:r w:rsidR="000D2F23" w:rsidRPr="004068F6">
        <w:rPr>
          <w:spacing w:val="-3"/>
        </w:rPr>
        <w:t>, discriminando la información por sexo</w:t>
      </w:r>
      <w:r w:rsidR="00A80CBA" w:rsidRPr="004068F6">
        <w:rPr>
          <w:spacing w:val="-3"/>
        </w:rPr>
        <w:t xml:space="preserve"> y género</w:t>
      </w:r>
      <w:r w:rsidRPr="004068F6">
        <w:rPr>
          <w:rFonts w:cs="Arial"/>
          <w:spacing w:val="-3"/>
        </w:rPr>
        <w:t>;</w:t>
      </w:r>
      <w:r w:rsidRPr="004068F6">
        <w:rPr>
          <w:spacing w:val="-3"/>
        </w:rPr>
        <w:t xml:space="preserve"> 3) </w:t>
      </w:r>
      <w:r w:rsidR="006C664F" w:rsidRPr="004068F6">
        <w:rPr>
          <w:spacing w:val="-3"/>
        </w:rPr>
        <w:t xml:space="preserve">los </w:t>
      </w:r>
      <w:r w:rsidRPr="004068F6">
        <w:rPr>
          <w:spacing w:val="-3"/>
        </w:rPr>
        <w:t>índices que reflejen la situación de pobreza de la población (</w:t>
      </w:r>
      <w:r w:rsidR="00041844" w:rsidRPr="004068F6">
        <w:rPr>
          <w:spacing w:val="-3"/>
        </w:rPr>
        <w:t>p. ej.</w:t>
      </w:r>
      <w:r w:rsidR="006C664F" w:rsidRPr="004068F6">
        <w:rPr>
          <w:spacing w:val="-3"/>
        </w:rPr>
        <w:t xml:space="preserve"> n</w:t>
      </w:r>
      <w:r w:rsidRPr="004068F6">
        <w:rPr>
          <w:spacing w:val="-3"/>
        </w:rPr>
        <w:t xml:space="preserve">ecesidades </w:t>
      </w:r>
      <w:r w:rsidR="006C664F" w:rsidRPr="004068F6">
        <w:rPr>
          <w:spacing w:val="-3"/>
        </w:rPr>
        <w:t>b</w:t>
      </w:r>
      <w:r w:rsidRPr="004068F6">
        <w:rPr>
          <w:spacing w:val="-3"/>
        </w:rPr>
        <w:t xml:space="preserve">ásicas </w:t>
      </w:r>
      <w:r w:rsidR="006C664F" w:rsidRPr="004068F6">
        <w:rPr>
          <w:spacing w:val="-3"/>
        </w:rPr>
        <w:t>i</w:t>
      </w:r>
      <w:r w:rsidRPr="004068F6">
        <w:rPr>
          <w:spacing w:val="-3"/>
        </w:rPr>
        <w:t xml:space="preserve">nsatisfechas, </w:t>
      </w:r>
      <w:r w:rsidR="006C664F" w:rsidRPr="004068F6">
        <w:rPr>
          <w:spacing w:val="-3"/>
        </w:rPr>
        <w:t>í</w:t>
      </w:r>
      <w:r w:rsidRPr="004068F6">
        <w:rPr>
          <w:spacing w:val="-3"/>
        </w:rPr>
        <w:t xml:space="preserve">ndice de pobreza multidimensional, </w:t>
      </w:r>
      <w:r w:rsidR="006C664F" w:rsidRPr="004068F6">
        <w:rPr>
          <w:spacing w:val="-3"/>
        </w:rPr>
        <w:t>í</w:t>
      </w:r>
      <w:r w:rsidRPr="004068F6">
        <w:rPr>
          <w:spacing w:val="-3"/>
        </w:rPr>
        <w:t>ndice de calidad de vida).</w:t>
      </w:r>
    </w:p>
    <w:p w14:paraId="42BD95F6" w14:textId="77777777" w:rsidR="00F97C5C" w:rsidRPr="004068F6" w:rsidRDefault="00F97C5C">
      <w:pPr>
        <w:numPr>
          <w:ilvl w:val="12"/>
          <w:numId w:val="0"/>
        </w:numPr>
        <w:tabs>
          <w:tab w:val="left" w:pos="-2268"/>
        </w:tabs>
        <w:suppressAutoHyphens/>
        <w:rPr>
          <w:spacing w:val="-3"/>
        </w:rPr>
      </w:pPr>
    </w:p>
    <w:p w14:paraId="7E2ECE03" w14:textId="3C956AEA" w:rsidR="00F97C5C" w:rsidRPr="004068F6" w:rsidRDefault="00F97C5C">
      <w:pPr>
        <w:numPr>
          <w:ilvl w:val="12"/>
          <w:numId w:val="0"/>
        </w:numPr>
        <w:tabs>
          <w:tab w:val="left" w:pos="-2268"/>
        </w:tabs>
        <w:suppressAutoHyphens/>
        <w:rPr>
          <w:spacing w:val="-3"/>
        </w:rPr>
      </w:pPr>
      <w:r w:rsidRPr="004068F6">
        <w:rPr>
          <w:spacing w:val="-3"/>
        </w:rPr>
        <w:t xml:space="preserve">Presentar un listado de las unidades </w:t>
      </w:r>
      <w:r w:rsidRPr="004068F6">
        <w:rPr>
          <w:rFonts w:cs="Arial"/>
          <w:spacing w:val="-3"/>
        </w:rPr>
        <w:t>de análisis territorial</w:t>
      </w:r>
      <w:r w:rsidRPr="004068F6">
        <w:rPr>
          <w:spacing w:val="-3"/>
        </w:rPr>
        <w:t xml:space="preserve">, incluyendo la estimación de la población total y potencialmente </w:t>
      </w:r>
      <w:r w:rsidRPr="004068F6">
        <w:rPr>
          <w:rFonts w:cs="Arial"/>
          <w:spacing w:val="-3"/>
        </w:rPr>
        <w:t>impactada</w:t>
      </w:r>
      <w:r w:rsidRPr="004068F6">
        <w:rPr>
          <w:spacing w:val="-3"/>
        </w:rPr>
        <w:t xml:space="preserve"> en cada alternativa, con el propósito </w:t>
      </w:r>
      <w:r w:rsidR="006C664F" w:rsidRPr="004068F6">
        <w:rPr>
          <w:spacing w:val="-3"/>
        </w:rPr>
        <w:t xml:space="preserve">obtener información que permita </w:t>
      </w:r>
      <w:r w:rsidRPr="004068F6">
        <w:rPr>
          <w:spacing w:val="-3"/>
        </w:rPr>
        <w:t>dimensionar los impactos ambientales previstos para la población</w:t>
      </w:r>
      <w:r w:rsidRPr="004068F6">
        <w:rPr>
          <w:rFonts w:cs="Arial"/>
          <w:spacing w:val="-3"/>
        </w:rPr>
        <w:t>, de acuerdo con las alternativas propuestas</w:t>
      </w:r>
      <w:r w:rsidRPr="004068F6">
        <w:rPr>
          <w:spacing w:val="-3"/>
        </w:rPr>
        <w:t>.</w:t>
      </w:r>
    </w:p>
    <w:p w14:paraId="7072FFC9" w14:textId="77777777" w:rsidR="00F97C5C" w:rsidRPr="004068F6" w:rsidRDefault="00F97C5C">
      <w:pPr>
        <w:numPr>
          <w:ilvl w:val="12"/>
          <w:numId w:val="0"/>
        </w:numPr>
        <w:tabs>
          <w:tab w:val="left" w:pos="-2268"/>
        </w:tabs>
        <w:suppressAutoHyphens/>
        <w:rPr>
          <w:spacing w:val="-3"/>
        </w:rPr>
      </w:pPr>
    </w:p>
    <w:p w14:paraId="415E2E82" w14:textId="113B8507" w:rsidR="00F97C5C" w:rsidRPr="00466E26" w:rsidRDefault="00F97C5C" w:rsidP="000A1E20">
      <w:pPr>
        <w:pStyle w:val="Ttulo3"/>
      </w:pPr>
      <w:bookmarkStart w:id="2321" w:name="_Toc412803163"/>
      <w:bookmarkStart w:id="2322" w:name="_Toc414285559"/>
      <w:bookmarkStart w:id="2323" w:name="_Toc437935990"/>
      <w:bookmarkStart w:id="2324" w:name="_Toc42552227"/>
      <w:bookmarkStart w:id="2325" w:name="_Toc230879594"/>
      <w:r w:rsidRPr="00466E26">
        <w:t>Espacial</w:t>
      </w:r>
      <w:bookmarkEnd w:id="2321"/>
      <w:bookmarkEnd w:id="2322"/>
      <w:bookmarkEnd w:id="2323"/>
      <w:bookmarkEnd w:id="2324"/>
      <w:bookmarkEnd w:id="2325"/>
    </w:p>
    <w:p w14:paraId="552B00CD" w14:textId="77777777" w:rsidR="00F97C5C" w:rsidRPr="004068F6" w:rsidRDefault="00F97C5C">
      <w:pPr>
        <w:numPr>
          <w:ilvl w:val="12"/>
          <w:numId w:val="0"/>
        </w:numPr>
        <w:tabs>
          <w:tab w:val="left" w:pos="-2268"/>
        </w:tabs>
        <w:suppressAutoHyphens/>
        <w:rPr>
          <w:spacing w:val="-3"/>
        </w:rPr>
      </w:pPr>
    </w:p>
    <w:p w14:paraId="3A63F729" w14:textId="5612CF63" w:rsidR="002919C2" w:rsidRPr="004068F6" w:rsidRDefault="002919C2">
      <w:pPr>
        <w:numPr>
          <w:ilvl w:val="12"/>
          <w:numId w:val="0"/>
        </w:numPr>
        <w:tabs>
          <w:tab w:val="left" w:pos="-2268"/>
        </w:tabs>
        <w:suppressAutoHyphens/>
        <w:rPr>
          <w:spacing w:val="-3"/>
        </w:rPr>
      </w:pPr>
      <w:r w:rsidRPr="004068F6">
        <w:rPr>
          <w:spacing w:val="-3"/>
        </w:rPr>
        <w:t xml:space="preserve">Presentar información municipal y del área de estudio </w:t>
      </w:r>
      <w:r w:rsidR="00D9517A" w:rsidRPr="004068F6">
        <w:rPr>
          <w:spacing w:val="-3"/>
        </w:rPr>
        <w:t xml:space="preserve">sobre </w:t>
      </w:r>
      <w:r w:rsidRPr="004068F6">
        <w:rPr>
          <w:spacing w:val="-3"/>
        </w:rPr>
        <w:t xml:space="preserve">los servicios públicos (acueducto, energía eléctrica, alcantarillado y gestión de residuos sólidos) y sociales (infraestructura vial, salud, educación, recreación y equipamiento comunitario, acceso a medios de comunicación y </w:t>
      </w:r>
      <w:r w:rsidR="0044715B" w:rsidRPr="004068F6">
        <w:rPr>
          <w:spacing w:val="-3"/>
        </w:rPr>
        <w:t xml:space="preserve">a </w:t>
      </w:r>
      <w:r w:rsidR="008B032F" w:rsidRPr="004068F6">
        <w:rPr>
          <w:spacing w:val="-3"/>
        </w:rPr>
        <w:t>tecnologías de la información y las comunicaciones</w:t>
      </w:r>
      <w:r w:rsidRPr="004068F6">
        <w:rPr>
          <w:spacing w:val="-3"/>
        </w:rPr>
        <w:t xml:space="preserve">). </w:t>
      </w:r>
      <w:r w:rsidRPr="004068F6">
        <w:rPr>
          <w:spacing w:val="-3"/>
        </w:rPr>
        <w:lastRenderedPageBreak/>
        <w:t>Detallar la calidad y cobertura de los servicios públicos y sociales, y su relación con las alternativas del proyecto.</w:t>
      </w:r>
    </w:p>
    <w:p w14:paraId="0ECC1F34" w14:textId="0C5AAB16" w:rsidR="00F97C5C" w:rsidRPr="004068F6" w:rsidRDefault="00F97C5C">
      <w:pPr>
        <w:numPr>
          <w:ilvl w:val="12"/>
          <w:numId w:val="0"/>
        </w:numPr>
        <w:tabs>
          <w:tab w:val="left" w:pos="-2268"/>
        </w:tabs>
        <w:suppressAutoHyphens/>
        <w:rPr>
          <w:spacing w:val="-3"/>
        </w:rPr>
      </w:pPr>
    </w:p>
    <w:p w14:paraId="47D5CF27" w14:textId="338A877C" w:rsidR="00F97C5C" w:rsidRPr="00466E26" w:rsidRDefault="00F97C5C" w:rsidP="000A1E20">
      <w:pPr>
        <w:pStyle w:val="Ttulo3"/>
      </w:pPr>
      <w:bookmarkStart w:id="2326" w:name="_Toc412803164"/>
      <w:bookmarkStart w:id="2327" w:name="_Toc414285560"/>
      <w:bookmarkStart w:id="2328" w:name="_Toc437935991"/>
      <w:bookmarkStart w:id="2329" w:name="_Toc42552228"/>
      <w:bookmarkStart w:id="2330" w:name="_Toc230879595"/>
      <w:r w:rsidRPr="00466E26">
        <w:t>Económico</w:t>
      </w:r>
      <w:bookmarkEnd w:id="2326"/>
      <w:bookmarkEnd w:id="2327"/>
      <w:bookmarkEnd w:id="2328"/>
      <w:bookmarkEnd w:id="2329"/>
      <w:bookmarkEnd w:id="2330"/>
    </w:p>
    <w:p w14:paraId="7078ED06" w14:textId="77777777" w:rsidR="00F97C5C" w:rsidRPr="004068F6" w:rsidRDefault="00F97C5C">
      <w:pPr>
        <w:numPr>
          <w:ilvl w:val="12"/>
          <w:numId w:val="0"/>
        </w:numPr>
        <w:tabs>
          <w:tab w:val="left" w:pos="-2268"/>
        </w:tabs>
        <w:suppressAutoHyphens/>
        <w:rPr>
          <w:spacing w:val="-3"/>
        </w:rPr>
      </w:pPr>
    </w:p>
    <w:p w14:paraId="6A29E18F" w14:textId="37F1FD81" w:rsidR="00F97C5C" w:rsidRPr="004068F6" w:rsidRDefault="00F97C5C">
      <w:pPr>
        <w:numPr>
          <w:ilvl w:val="12"/>
          <w:numId w:val="0"/>
        </w:numPr>
        <w:tabs>
          <w:tab w:val="left" w:pos="-2268"/>
        </w:tabs>
        <w:suppressAutoHyphens/>
        <w:rPr>
          <w:spacing w:val="-3"/>
        </w:rPr>
      </w:pPr>
      <w:r w:rsidRPr="004068F6">
        <w:rPr>
          <w:spacing w:val="-3"/>
        </w:rPr>
        <w:t>Con el objeto de brindar un panorama general sobre la dinámica económica relacionada con el proyecto</w:t>
      </w:r>
      <w:r w:rsidR="00D31BFB" w:rsidRPr="004068F6">
        <w:rPr>
          <w:spacing w:val="-3"/>
        </w:rPr>
        <w:t xml:space="preserve"> y la comparación de las alternativas</w:t>
      </w:r>
      <w:r w:rsidRPr="004068F6">
        <w:rPr>
          <w:spacing w:val="-3"/>
        </w:rPr>
        <w:t xml:space="preserve">, se debe </w:t>
      </w:r>
      <w:r w:rsidR="0041428E" w:rsidRPr="004068F6">
        <w:rPr>
          <w:spacing w:val="-3"/>
        </w:rPr>
        <w:t xml:space="preserve">determinar </w:t>
      </w:r>
      <w:r w:rsidRPr="004068F6">
        <w:rPr>
          <w:spacing w:val="-3"/>
        </w:rPr>
        <w:t>y analizar los procesos existentes teniendo en cuenta lo</w:t>
      </w:r>
      <w:r w:rsidR="00CF61E4" w:rsidRPr="004068F6">
        <w:rPr>
          <w:spacing w:val="-3"/>
        </w:rPr>
        <w:t>s</w:t>
      </w:r>
      <w:r w:rsidRPr="004068F6">
        <w:rPr>
          <w:spacing w:val="-3"/>
        </w:rPr>
        <w:t xml:space="preserve"> siguiente</w:t>
      </w:r>
      <w:r w:rsidR="00CF61E4" w:rsidRPr="004068F6">
        <w:rPr>
          <w:spacing w:val="-3"/>
        </w:rPr>
        <w:t>s elementos</w:t>
      </w:r>
      <w:r w:rsidRPr="004068F6">
        <w:rPr>
          <w:spacing w:val="-3"/>
        </w:rPr>
        <w:t>:</w:t>
      </w:r>
    </w:p>
    <w:p w14:paraId="63BF17D1" w14:textId="77777777" w:rsidR="00F97C5C" w:rsidRPr="004068F6" w:rsidRDefault="00F97C5C">
      <w:pPr>
        <w:numPr>
          <w:ilvl w:val="12"/>
          <w:numId w:val="0"/>
        </w:numPr>
        <w:tabs>
          <w:tab w:val="left" w:pos="-2268"/>
        </w:tabs>
        <w:suppressAutoHyphens/>
        <w:rPr>
          <w:spacing w:val="-3"/>
        </w:rPr>
      </w:pPr>
    </w:p>
    <w:p w14:paraId="3501AA35" w14:textId="75984C19" w:rsidR="00F97C5C" w:rsidRPr="004068F6" w:rsidRDefault="00F97C5C" w:rsidP="00921605">
      <w:pPr>
        <w:pStyle w:val="Prrafodelista"/>
        <w:numPr>
          <w:ilvl w:val="0"/>
          <w:numId w:val="625"/>
        </w:numPr>
        <w:tabs>
          <w:tab w:val="left" w:pos="-2268"/>
        </w:tabs>
        <w:suppressAutoHyphens/>
        <w:ind w:left="567" w:hanging="567"/>
        <w:rPr>
          <w:rFonts w:cs="Arial"/>
          <w:spacing w:val="-3"/>
          <w:lang w:val="es-CO"/>
        </w:rPr>
      </w:pPr>
      <w:r w:rsidRPr="004068F6">
        <w:rPr>
          <w:rFonts w:cs="Arial"/>
          <w:spacing w:val="-3"/>
          <w:lang w:val="es-CO"/>
        </w:rPr>
        <w:t xml:space="preserve">Distribución de la propiedad </w:t>
      </w:r>
      <w:r w:rsidR="008E0A8B" w:rsidRPr="004068F6">
        <w:rPr>
          <w:rFonts w:cs="Arial"/>
          <w:spacing w:val="-3"/>
          <w:lang w:val="es-CO"/>
        </w:rPr>
        <w:t xml:space="preserve">de la propiedad rural </w:t>
      </w:r>
      <w:r w:rsidR="00743DAF" w:rsidRPr="004068F6">
        <w:rPr>
          <w:rFonts w:cs="Arial"/>
          <w:spacing w:val="-3"/>
          <w:lang w:val="es-CO"/>
        </w:rPr>
        <w:t xml:space="preserve">(micro, minifundio, pequeña, mediana y gran propiedad) </w:t>
      </w:r>
      <w:r w:rsidR="008E0A8B" w:rsidRPr="004068F6">
        <w:rPr>
          <w:rFonts w:cs="Arial"/>
          <w:spacing w:val="-3"/>
          <w:lang w:val="es-CO"/>
        </w:rPr>
        <w:t xml:space="preserve">de acuerdo con las categorías establecidas en el numeral de metodología y tratamiento de la información del Atlas de la Distribución de la propiedad rural en Colombia </w:t>
      </w:r>
      <w:r w:rsidR="00743DAF" w:rsidRPr="004068F6">
        <w:rPr>
          <w:rFonts w:cs="Arial"/>
          <w:spacing w:val="-3"/>
          <w:lang w:val="es-CO"/>
        </w:rPr>
        <w:t>(IGAC, 2012)</w:t>
      </w:r>
      <w:r w:rsidRPr="004068F6">
        <w:rPr>
          <w:rFonts w:cs="Arial"/>
          <w:spacing w:val="-3"/>
          <w:lang w:val="es-CO"/>
        </w:rPr>
        <w:t xml:space="preserve"> y de tenencia de la tierra (comunitaria, propiedad privada, arrendamiento, aparcería, tierras colectivas, zonas de reservas campesinas, zonas de desarrollo empresarial, Zonas de Interés de Desarrollo Rural</w:t>
      </w:r>
      <w:r w:rsidR="006F2F41" w:rsidRPr="004068F6">
        <w:rPr>
          <w:rFonts w:cs="Arial"/>
          <w:spacing w:val="-3"/>
          <w:lang w:val="es-CO"/>
        </w:rPr>
        <w:t>,</w:t>
      </w:r>
      <w:r w:rsidRPr="004068F6">
        <w:rPr>
          <w:rFonts w:cs="Arial"/>
          <w:spacing w:val="-3"/>
          <w:lang w:val="es-CO"/>
        </w:rPr>
        <w:t xml:space="preserve"> Económico </w:t>
      </w:r>
      <w:r w:rsidR="006F2F41" w:rsidRPr="004068F6">
        <w:rPr>
          <w:rFonts w:cs="Arial"/>
          <w:spacing w:val="-3"/>
          <w:lang w:val="es-CO"/>
        </w:rPr>
        <w:t xml:space="preserve">y Social </w:t>
      </w:r>
      <w:r w:rsidRPr="004068F6">
        <w:rPr>
          <w:rFonts w:cs="Arial"/>
          <w:spacing w:val="-3"/>
          <w:lang w:val="es-CO"/>
        </w:rPr>
        <w:t>(ZIDRES), entre otras).</w:t>
      </w:r>
    </w:p>
    <w:p w14:paraId="739AB6B0" w14:textId="77777777" w:rsidR="00B70AD0" w:rsidRPr="00127BD4" w:rsidRDefault="00B70AD0" w:rsidP="00127BD4">
      <w:pPr>
        <w:tabs>
          <w:tab w:val="left" w:pos="-2268"/>
        </w:tabs>
        <w:suppressAutoHyphens/>
        <w:rPr>
          <w:rFonts w:cs="Arial"/>
          <w:spacing w:val="-3"/>
        </w:rPr>
      </w:pPr>
    </w:p>
    <w:p w14:paraId="7B0D90B4" w14:textId="6EAC403C" w:rsidR="00B70AD0" w:rsidRPr="004068F6" w:rsidRDefault="00B70AD0" w:rsidP="00B70AD0">
      <w:pPr>
        <w:pStyle w:val="Prrafodelista"/>
        <w:numPr>
          <w:ilvl w:val="0"/>
          <w:numId w:val="625"/>
        </w:numPr>
        <w:tabs>
          <w:tab w:val="left" w:pos="-2268"/>
        </w:tabs>
        <w:suppressAutoHyphens/>
        <w:ind w:left="567" w:hanging="567"/>
        <w:rPr>
          <w:rFonts w:cs="Arial"/>
          <w:spacing w:val="-3"/>
          <w:lang w:val="es-CO"/>
        </w:rPr>
      </w:pPr>
      <w:r w:rsidRPr="004068F6">
        <w:rPr>
          <w:rFonts w:cs="Arial"/>
          <w:spacing w:val="-3"/>
          <w:lang w:val="es-CO"/>
        </w:rPr>
        <w:t>Territorios étnicos solicitados en constitución, ampliación, saneamiento o reestructuración, de acuerdo con la información oficial de las entidades comp</w:t>
      </w:r>
      <w:r w:rsidR="001827BD" w:rsidRPr="004068F6">
        <w:rPr>
          <w:rFonts w:cs="Arial"/>
          <w:spacing w:val="-3"/>
          <w:lang w:val="es-CO"/>
        </w:rPr>
        <w:t>ete</w:t>
      </w:r>
      <w:r w:rsidRPr="004068F6">
        <w:rPr>
          <w:rFonts w:cs="Arial"/>
          <w:spacing w:val="-3"/>
          <w:lang w:val="es-CO"/>
        </w:rPr>
        <w:t>ntes.</w:t>
      </w:r>
    </w:p>
    <w:p w14:paraId="1BEB81B5" w14:textId="77777777" w:rsidR="00F97C5C" w:rsidRPr="004068F6" w:rsidRDefault="00F97C5C">
      <w:pPr>
        <w:tabs>
          <w:tab w:val="left" w:pos="-2268"/>
        </w:tabs>
        <w:suppressAutoHyphens/>
        <w:rPr>
          <w:spacing w:val="-3"/>
        </w:rPr>
      </w:pPr>
    </w:p>
    <w:p w14:paraId="481C30C8" w14:textId="39B97D2A" w:rsidR="00D10D17" w:rsidRPr="00127BD4" w:rsidRDefault="00D10D17" w:rsidP="000D6E21">
      <w:pPr>
        <w:pStyle w:val="Prrafodelista"/>
        <w:numPr>
          <w:ilvl w:val="0"/>
          <w:numId w:val="625"/>
        </w:numPr>
        <w:tabs>
          <w:tab w:val="left" w:pos="-2268"/>
        </w:tabs>
        <w:suppressAutoHyphens/>
        <w:ind w:left="567" w:hanging="567"/>
        <w:rPr>
          <w:rFonts w:cs="Arial"/>
          <w:spacing w:val="-3"/>
          <w:lang w:val="es-CO"/>
        </w:rPr>
      </w:pPr>
      <w:r w:rsidRPr="004068F6">
        <w:rPr>
          <w:rFonts w:cs="Arial"/>
          <w:spacing w:val="-3"/>
          <w:lang w:val="es-CO"/>
        </w:rPr>
        <w:t>Áreas con procesos de restitución de tierras. Se debe indagar si en el área de estudio existen procesos en etapa administrativa o judicial e indicar si el interesado en obtener licencia ambiental es parte en alguno de ellos.</w:t>
      </w:r>
    </w:p>
    <w:p w14:paraId="64BC7296" w14:textId="77777777" w:rsidR="00D10D17" w:rsidRPr="004068F6" w:rsidRDefault="00D10D17">
      <w:pPr>
        <w:tabs>
          <w:tab w:val="left" w:pos="-2268"/>
        </w:tabs>
        <w:suppressAutoHyphens/>
        <w:rPr>
          <w:spacing w:val="-3"/>
        </w:rPr>
      </w:pPr>
    </w:p>
    <w:p w14:paraId="1BA7F7D7" w14:textId="01BE8B7B" w:rsidR="0069168D" w:rsidRPr="00127BD4" w:rsidRDefault="00F97C5C" w:rsidP="0069168D">
      <w:pPr>
        <w:pStyle w:val="Prrafodelista"/>
        <w:numPr>
          <w:ilvl w:val="0"/>
          <w:numId w:val="625"/>
        </w:numPr>
        <w:tabs>
          <w:tab w:val="left" w:pos="-2268"/>
        </w:tabs>
        <w:suppressAutoHyphens/>
        <w:ind w:left="567" w:hanging="567"/>
        <w:rPr>
          <w:rFonts w:cs="Arial"/>
          <w:spacing w:val="-3"/>
          <w:lang w:val="es-CO"/>
        </w:rPr>
      </w:pPr>
      <w:r w:rsidRPr="004068F6">
        <w:rPr>
          <w:rFonts w:cs="Arial"/>
          <w:spacing w:val="-3"/>
          <w:lang w:val="es-CO"/>
        </w:rPr>
        <w:t>Procesos productivos y tecnológicos</w:t>
      </w:r>
      <w:r w:rsidR="00961B86" w:rsidRPr="004068F6">
        <w:rPr>
          <w:rFonts w:cs="Arial"/>
          <w:spacing w:val="-3"/>
          <w:lang w:val="es-CO"/>
        </w:rPr>
        <w:t>,</w:t>
      </w:r>
      <w:r w:rsidRPr="004068F6">
        <w:rPr>
          <w:rFonts w:cs="Arial"/>
          <w:spacing w:val="-3"/>
          <w:lang w:val="es-CO"/>
        </w:rPr>
        <w:t xml:space="preserve"> </w:t>
      </w:r>
      <w:r w:rsidR="00961B86" w:rsidRPr="004068F6">
        <w:rPr>
          <w:rFonts w:cs="Arial"/>
          <w:spacing w:val="-3"/>
          <w:lang w:val="es-CO"/>
        </w:rPr>
        <w:t xml:space="preserve">describiendo el </w:t>
      </w:r>
      <w:r w:rsidRPr="004068F6">
        <w:rPr>
          <w:rFonts w:cs="Arial"/>
          <w:spacing w:val="-3"/>
          <w:lang w:val="es-CO"/>
        </w:rPr>
        <w:t xml:space="preserve">comportamiento de las actividades de los sectores primario, secundario y terciario de la economía; analizando la contribución a la economía regional de cada uno de estos sectores, </w:t>
      </w:r>
      <w:r w:rsidR="00961B86" w:rsidRPr="004068F6">
        <w:rPr>
          <w:rFonts w:cs="Arial"/>
          <w:spacing w:val="-3"/>
          <w:lang w:val="es-CO"/>
        </w:rPr>
        <w:t xml:space="preserve">e </w:t>
      </w:r>
      <w:r w:rsidRPr="004068F6">
        <w:rPr>
          <w:rFonts w:cs="Arial"/>
          <w:spacing w:val="-3"/>
          <w:lang w:val="es-CO"/>
        </w:rPr>
        <w:t xml:space="preserve">identificando su importancia en el contexto local; </w:t>
      </w:r>
      <w:r w:rsidR="00961B86" w:rsidRPr="004068F6">
        <w:rPr>
          <w:rFonts w:cs="Arial"/>
          <w:spacing w:val="-3"/>
          <w:lang w:val="es-CO"/>
        </w:rPr>
        <w:t xml:space="preserve">se deben señalar los </w:t>
      </w:r>
      <w:r w:rsidRPr="004068F6">
        <w:rPr>
          <w:rFonts w:cs="Arial"/>
          <w:spacing w:val="-3"/>
          <w:lang w:val="es-CO"/>
        </w:rPr>
        <w:t>volúmenes aproximados de producción</w:t>
      </w:r>
      <w:r w:rsidR="00961B86" w:rsidRPr="004068F6">
        <w:rPr>
          <w:rFonts w:cs="Arial"/>
          <w:spacing w:val="-3"/>
          <w:lang w:val="es-CO"/>
        </w:rPr>
        <w:t>,</w:t>
      </w:r>
      <w:r w:rsidRPr="004068F6">
        <w:rPr>
          <w:rFonts w:cs="Arial"/>
          <w:spacing w:val="-3"/>
          <w:lang w:val="es-CO"/>
        </w:rPr>
        <w:t xml:space="preserve"> tecnologías empleadas</w:t>
      </w:r>
      <w:r w:rsidR="00961B86" w:rsidRPr="004068F6">
        <w:rPr>
          <w:rFonts w:cs="Arial"/>
          <w:spacing w:val="-3"/>
          <w:lang w:val="es-CO"/>
        </w:rPr>
        <w:t>,</w:t>
      </w:r>
      <w:r w:rsidRPr="004068F6">
        <w:rPr>
          <w:rFonts w:cs="Arial"/>
          <w:spacing w:val="-3"/>
          <w:lang w:val="es-CO"/>
        </w:rPr>
        <w:t xml:space="preserve"> centros productivos e infraestructura asociada y niveles de ingreso.</w:t>
      </w:r>
      <w:r w:rsidR="00E40E90" w:rsidRPr="004068F6">
        <w:rPr>
          <w:rFonts w:cs="Arial"/>
          <w:spacing w:val="-3"/>
          <w:lang w:val="es-CO"/>
        </w:rPr>
        <w:t xml:space="preserve"> </w:t>
      </w:r>
      <w:r w:rsidR="0069168D" w:rsidRPr="004068F6">
        <w:rPr>
          <w:rFonts w:cs="Arial"/>
          <w:spacing w:val="-3"/>
          <w:lang w:val="es-CO"/>
        </w:rPr>
        <w:t xml:space="preserve">Como mínimo, en caso de que en </w:t>
      </w:r>
      <w:r w:rsidR="0069168D" w:rsidRPr="00127BD4">
        <w:rPr>
          <w:rFonts w:cs="Arial"/>
          <w:spacing w:val="-3"/>
          <w:lang w:val="es-CO"/>
        </w:rPr>
        <w:t>el área de estudio predomine la actividad agropecuaria, describir las técnicas productivas</w:t>
      </w:r>
      <w:r w:rsidR="003A33D6" w:rsidRPr="00127BD4">
        <w:rPr>
          <w:rFonts w:cs="Arial"/>
          <w:spacing w:val="-3"/>
          <w:lang w:val="es-CO"/>
        </w:rPr>
        <w:t xml:space="preserve"> y</w:t>
      </w:r>
      <w:r w:rsidR="0069168D" w:rsidRPr="00127BD4">
        <w:rPr>
          <w:rFonts w:cs="Arial"/>
          <w:spacing w:val="-3"/>
          <w:lang w:val="es-CO"/>
        </w:rPr>
        <w:t xml:space="preserve"> los canales de comercialización; en caso </w:t>
      </w:r>
      <w:r w:rsidR="00C5193D" w:rsidRPr="00127BD4">
        <w:rPr>
          <w:rFonts w:cs="Arial"/>
          <w:spacing w:val="-3"/>
          <w:lang w:val="es-CO"/>
        </w:rPr>
        <w:t xml:space="preserve">de </w:t>
      </w:r>
      <w:r w:rsidR="0069168D" w:rsidRPr="00127BD4">
        <w:rPr>
          <w:rFonts w:cs="Arial"/>
          <w:spacing w:val="-3"/>
          <w:lang w:val="es-CO"/>
        </w:rPr>
        <w:t>que existan áreas de turismo, describir comparativamente la actividad económica, sitios principales y prospectiva de turistas esperados.</w:t>
      </w:r>
    </w:p>
    <w:p w14:paraId="15DBA29D" w14:textId="77777777" w:rsidR="0069168D" w:rsidRPr="00127BD4" w:rsidRDefault="0069168D" w:rsidP="00127BD4">
      <w:pPr>
        <w:tabs>
          <w:tab w:val="left" w:pos="-2268"/>
        </w:tabs>
        <w:suppressAutoHyphens/>
        <w:rPr>
          <w:rFonts w:cs="Arial"/>
          <w:spacing w:val="-3"/>
        </w:rPr>
      </w:pPr>
    </w:p>
    <w:p w14:paraId="25FA1AA8" w14:textId="53147A81" w:rsidR="0069168D" w:rsidRPr="00127BD4" w:rsidRDefault="00C5193D" w:rsidP="00127BD4">
      <w:pPr>
        <w:pStyle w:val="Prrafodelista"/>
        <w:numPr>
          <w:ilvl w:val="0"/>
          <w:numId w:val="625"/>
        </w:numPr>
        <w:tabs>
          <w:tab w:val="left" w:pos="-2268"/>
        </w:tabs>
        <w:suppressAutoHyphens/>
        <w:ind w:left="567" w:hanging="567"/>
        <w:rPr>
          <w:rFonts w:cs="Arial"/>
          <w:spacing w:val="-3"/>
          <w:lang w:val="es-CO"/>
        </w:rPr>
      </w:pPr>
      <w:r w:rsidRPr="00127BD4">
        <w:rPr>
          <w:rFonts w:cs="Arial"/>
          <w:spacing w:val="-3"/>
          <w:lang w:val="es-CO"/>
        </w:rPr>
        <w:t>U</w:t>
      </w:r>
      <w:r w:rsidR="0069168D" w:rsidRPr="00127BD4">
        <w:rPr>
          <w:rFonts w:cs="Arial"/>
          <w:spacing w:val="-3"/>
          <w:lang w:val="es-CO"/>
        </w:rPr>
        <w:t>so de las vías principales y secundarias asociadas a las actividades económicas de cada una de las alternativas.</w:t>
      </w:r>
    </w:p>
    <w:p w14:paraId="35ECF51F" w14:textId="77777777" w:rsidR="00F105CE" w:rsidRPr="00127BD4" w:rsidRDefault="00F105CE" w:rsidP="00127BD4">
      <w:pPr>
        <w:rPr>
          <w:rFonts w:cs="Arial"/>
          <w:spacing w:val="-3"/>
        </w:rPr>
      </w:pPr>
    </w:p>
    <w:p w14:paraId="5D7A1E3F" w14:textId="285CC416" w:rsidR="00F97C5C" w:rsidRPr="004068F6" w:rsidRDefault="00F97C5C" w:rsidP="00921605">
      <w:pPr>
        <w:pStyle w:val="Prrafodelista"/>
        <w:numPr>
          <w:ilvl w:val="0"/>
          <w:numId w:val="625"/>
        </w:numPr>
        <w:tabs>
          <w:tab w:val="left" w:pos="-2268"/>
        </w:tabs>
        <w:suppressAutoHyphens/>
        <w:ind w:left="567" w:hanging="567"/>
        <w:rPr>
          <w:rFonts w:cs="Arial"/>
          <w:spacing w:val="-3"/>
          <w:lang w:val="es-CO"/>
        </w:rPr>
      </w:pPr>
      <w:r w:rsidRPr="004068F6">
        <w:rPr>
          <w:rFonts w:cs="Arial"/>
          <w:spacing w:val="-3"/>
          <w:lang w:val="es-CO"/>
        </w:rPr>
        <w:t xml:space="preserve">Polos de desarrollo o enclaves que interactúan con el área </w:t>
      </w:r>
      <w:r w:rsidR="00A754EF" w:rsidRPr="004068F6">
        <w:rPr>
          <w:rFonts w:cs="Arial"/>
          <w:spacing w:val="-3"/>
          <w:lang w:val="es-CO"/>
        </w:rPr>
        <w:t>objeto de la caracterización económica</w:t>
      </w:r>
      <w:r w:rsidRPr="004068F6">
        <w:rPr>
          <w:rFonts w:cs="Arial"/>
          <w:spacing w:val="-3"/>
          <w:lang w:val="es-CO"/>
        </w:rPr>
        <w:t>.</w:t>
      </w:r>
    </w:p>
    <w:p w14:paraId="30E74735" w14:textId="77777777" w:rsidR="00F97C5C" w:rsidRPr="004068F6" w:rsidRDefault="00F97C5C">
      <w:pPr>
        <w:tabs>
          <w:tab w:val="left" w:pos="-2268"/>
        </w:tabs>
        <w:suppressAutoHyphens/>
        <w:rPr>
          <w:spacing w:val="-3"/>
        </w:rPr>
      </w:pPr>
    </w:p>
    <w:p w14:paraId="219D381D" w14:textId="09DB36C5" w:rsidR="00D01AD0" w:rsidRPr="00127BD4" w:rsidRDefault="00F97C5C" w:rsidP="00904B81">
      <w:pPr>
        <w:pStyle w:val="Prrafodelista"/>
        <w:numPr>
          <w:ilvl w:val="0"/>
          <w:numId w:val="625"/>
        </w:numPr>
        <w:tabs>
          <w:tab w:val="left" w:pos="-2268"/>
        </w:tabs>
        <w:suppressAutoHyphens/>
        <w:ind w:left="567" w:hanging="567"/>
        <w:rPr>
          <w:rFonts w:cs="Arial"/>
          <w:spacing w:val="-3"/>
          <w:lang w:val="es-CO"/>
        </w:rPr>
      </w:pPr>
      <w:r w:rsidRPr="004068F6">
        <w:rPr>
          <w:rFonts w:cs="Arial"/>
          <w:spacing w:val="-3"/>
          <w:lang w:val="es-CO"/>
        </w:rPr>
        <w:t>Características del mercado laboral actual (ocupación, empleo, desempleo y subempleo)</w:t>
      </w:r>
      <w:r w:rsidR="00D21031" w:rsidRPr="004068F6">
        <w:rPr>
          <w:rFonts w:cs="Arial"/>
          <w:spacing w:val="-3"/>
          <w:lang w:val="es-CO"/>
        </w:rPr>
        <w:t>, principales fuentes de empleo y existencia de centros de formación para el empleo.</w:t>
      </w:r>
    </w:p>
    <w:p w14:paraId="539B1D0B" w14:textId="77777777" w:rsidR="00F97C5C" w:rsidRPr="004068F6" w:rsidRDefault="00F97C5C" w:rsidP="00F97C5C">
      <w:pPr>
        <w:numPr>
          <w:ilvl w:val="12"/>
          <w:numId w:val="0"/>
        </w:numPr>
        <w:tabs>
          <w:tab w:val="left" w:pos="-2268"/>
        </w:tabs>
        <w:suppressAutoHyphens/>
        <w:rPr>
          <w:rFonts w:cs="Arial"/>
          <w:spacing w:val="-3"/>
        </w:rPr>
      </w:pPr>
    </w:p>
    <w:p w14:paraId="277E7C11" w14:textId="225B1791" w:rsidR="00F97C5C" w:rsidRPr="00466E26" w:rsidRDefault="00F97C5C" w:rsidP="000A1E20">
      <w:pPr>
        <w:pStyle w:val="Ttulo3"/>
      </w:pPr>
      <w:bookmarkStart w:id="2331" w:name="_Toc412803165"/>
      <w:bookmarkStart w:id="2332" w:name="_Toc414285561"/>
      <w:bookmarkStart w:id="2333" w:name="_Toc437935992"/>
      <w:bookmarkStart w:id="2334" w:name="_Toc42552229"/>
      <w:bookmarkStart w:id="2335" w:name="_Toc230879596"/>
      <w:r w:rsidRPr="00466E26">
        <w:t>Cultural</w:t>
      </w:r>
      <w:bookmarkEnd w:id="2331"/>
      <w:bookmarkEnd w:id="2332"/>
      <w:bookmarkEnd w:id="2333"/>
      <w:bookmarkEnd w:id="2334"/>
      <w:bookmarkEnd w:id="2335"/>
    </w:p>
    <w:p w14:paraId="3A6A4F40" w14:textId="77777777" w:rsidR="00F97C5C" w:rsidRPr="004068F6" w:rsidRDefault="00F97C5C">
      <w:pPr>
        <w:numPr>
          <w:ilvl w:val="12"/>
          <w:numId w:val="0"/>
        </w:numPr>
        <w:tabs>
          <w:tab w:val="left" w:pos="-2268"/>
        </w:tabs>
        <w:suppressAutoHyphens/>
        <w:rPr>
          <w:spacing w:val="-3"/>
        </w:rPr>
      </w:pPr>
    </w:p>
    <w:p w14:paraId="1B6F1122" w14:textId="77777777" w:rsidR="00F97C5C" w:rsidRPr="004068F6" w:rsidRDefault="00F97C5C" w:rsidP="009420F5">
      <w:pPr>
        <w:pStyle w:val="Ttulo4"/>
        <w:tabs>
          <w:tab w:val="clear" w:pos="1844"/>
          <w:tab w:val="num" w:pos="1134"/>
        </w:tabs>
        <w:ind w:left="0"/>
        <w:rPr>
          <w:lang w:val="es-CO"/>
        </w:rPr>
      </w:pPr>
      <w:r w:rsidRPr="004068F6">
        <w:rPr>
          <w:lang w:val="es-CO"/>
        </w:rPr>
        <w:t>Comunidades no étnicas</w:t>
      </w:r>
    </w:p>
    <w:p w14:paraId="0EF118C0" w14:textId="77777777" w:rsidR="00F97C5C" w:rsidRPr="004068F6" w:rsidRDefault="00F97C5C">
      <w:pPr>
        <w:numPr>
          <w:ilvl w:val="12"/>
          <w:numId w:val="0"/>
        </w:numPr>
        <w:tabs>
          <w:tab w:val="left" w:pos="-2268"/>
        </w:tabs>
        <w:suppressAutoHyphens/>
        <w:rPr>
          <w:spacing w:val="-3"/>
        </w:rPr>
      </w:pPr>
    </w:p>
    <w:p w14:paraId="189B536F" w14:textId="39D0CE93" w:rsidR="001D31D4" w:rsidRPr="004068F6" w:rsidRDefault="00CC6C91" w:rsidP="001D31D4">
      <w:pPr>
        <w:suppressAutoHyphens/>
        <w:rPr>
          <w:spacing w:val="-3"/>
        </w:rPr>
      </w:pPr>
      <w:r w:rsidRPr="004068F6">
        <w:rPr>
          <w:spacing w:val="-3"/>
        </w:rPr>
        <w:t xml:space="preserve">La información que se recolecte debe permitir </w:t>
      </w:r>
      <w:r w:rsidR="00470A63" w:rsidRPr="004068F6">
        <w:rPr>
          <w:spacing w:val="-3"/>
        </w:rPr>
        <w:t xml:space="preserve">comparar las alternativas de manera que permita </w:t>
      </w:r>
      <w:r w:rsidR="00900A47" w:rsidRPr="004068F6">
        <w:rPr>
          <w:spacing w:val="-3"/>
        </w:rPr>
        <w:t xml:space="preserve">tener una visión </w:t>
      </w:r>
      <w:r w:rsidR="00F97C5C" w:rsidRPr="004068F6">
        <w:rPr>
          <w:spacing w:val="-3"/>
        </w:rPr>
        <w:t>general de los patrones de asentamiento ya descritos, así como de la dependencia económica y sociocultural al entorno, articulando estos procesos históricos con la dinámica actual</w:t>
      </w:r>
      <w:r w:rsidRPr="004068F6">
        <w:rPr>
          <w:spacing w:val="-3"/>
        </w:rPr>
        <w:t xml:space="preserve">, así como </w:t>
      </w:r>
      <w:r w:rsidR="00900A47" w:rsidRPr="004068F6">
        <w:rPr>
          <w:spacing w:val="-3"/>
        </w:rPr>
        <w:t xml:space="preserve">determinar </w:t>
      </w:r>
      <w:r w:rsidR="00F97C5C" w:rsidRPr="004068F6">
        <w:rPr>
          <w:spacing w:val="-3"/>
        </w:rPr>
        <w:t xml:space="preserve">los hechos históricos relevantes (migraciones, adopción de nuevas tecnologías, cambios de actividad productiva, </w:t>
      </w:r>
      <w:r w:rsidR="001D31D4" w:rsidRPr="004068F6">
        <w:rPr>
          <w:spacing w:val="-3"/>
        </w:rPr>
        <w:t>entre otros) que hayan implicado cambios culturales.</w:t>
      </w:r>
    </w:p>
    <w:p w14:paraId="335322F8" w14:textId="77777777" w:rsidR="00F97C5C" w:rsidRPr="004068F6" w:rsidRDefault="00F97C5C">
      <w:pPr>
        <w:numPr>
          <w:ilvl w:val="12"/>
          <w:numId w:val="0"/>
        </w:numPr>
        <w:tabs>
          <w:tab w:val="left" w:pos="-2268"/>
        </w:tabs>
        <w:suppressAutoHyphens/>
        <w:rPr>
          <w:spacing w:val="-3"/>
        </w:rPr>
      </w:pPr>
    </w:p>
    <w:p w14:paraId="64117AC2" w14:textId="2951EB8B" w:rsidR="00F92204" w:rsidRPr="004068F6" w:rsidRDefault="00F92204" w:rsidP="00F92204">
      <w:pPr>
        <w:numPr>
          <w:ilvl w:val="12"/>
          <w:numId w:val="0"/>
        </w:numPr>
        <w:tabs>
          <w:tab w:val="left" w:pos="-2268"/>
        </w:tabs>
        <w:suppressAutoHyphens/>
        <w:rPr>
          <w:spacing w:val="-3"/>
        </w:rPr>
      </w:pPr>
      <w:r w:rsidRPr="004068F6">
        <w:rPr>
          <w:spacing w:val="-3"/>
        </w:rPr>
        <w:t>De igual forma, se deben identificar las prácticas culturales y tradicionales de la población, sus valores simbólicos, idiosincrasias y creencias, así como los usos tradicionales de los recursos naturales renovables y el ambiente, y la existencia de iniciativas orientadas a la protección o conservación ambiental.</w:t>
      </w:r>
    </w:p>
    <w:p w14:paraId="5DD487C7" w14:textId="77777777" w:rsidR="00F97C5C" w:rsidRPr="004068F6" w:rsidRDefault="00F97C5C">
      <w:pPr>
        <w:numPr>
          <w:ilvl w:val="12"/>
          <w:numId w:val="0"/>
        </w:numPr>
        <w:tabs>
          <w:tab w:val="left" w:pos="-2268"/>
        </w:tabs>
        <w:suppressAutoHyphens/>
        <w:rPr>
          <w:spacing w:val="-3"/>
        </w:rPr>
      </w:pPr>
    </w:p>
    <w:p w14:paraId="3D69B675" w14:textId="77777777" w:rsidR="00F97C5C" w:rsidRPr="004068F6" w:rsidRDefault="00F97C5C" w:rsidP="009420F5">
      <w:pPr>
        <w:pStyle w:val="Ttulo4"/>
        <w:tabs>
          <w:tab w:val="clear" w:pos="1844"/>
          <w:tab w:val="num" w:pos="1134"/>
        </w:tabs>
        <w:ind w:left="0"/>
        <w:rPr>
          <w:lang w:val="es-CO"/>
        </w:rPr>
      </w:pPr>
      <w:r w:rsidRPr="004068F6">
        <w:rPr>
          <w:lang w:val="es-CO"/>
        </w:rPr>
        <w:t>Comunidades étnicas</w:t>
      </w:r>
    </w:p>
    <w:p w14:paraId="1B898631" w14:textId="77777777" w:rsidR="00F97C5C" w:rsidRPr="004068F6" w:rsidRDefault="00F97C5C">
      <w:pPr>
        <w:numPr>
          <w:ilvl w:val="12"/>
          <w:numId w:val="0"/>
        </w:numPr>
        <w:tabs>
          <w:tab w:val="left" w:pos="-2268"/>
        </w:tabs>
        <w:suppressAutoHyphens/>
        <w:rPr>
          <w:spacing w:val="-3"/>
        </w:rPr>
      </w:pPr>
    </w:p>
    <w:p w14:paraId="029AF3C7" w14:textId="08C39536" w:rsidR="0025626A" w:rsidRPr="004068F6" w:rsidRDefault="0025626A">
      <w:pPr>
        <w:numPr>
          <w:ilvl w:val="12"/>
          <w:numId w:val="0"/>
        </w:numPr>
        <w:tabs>
          <w:tab w:val="left" w:pos="-2268"/>
        </w:tabs>
        <w:suppressAutoHyphens/>
        <w:rPr>
          <w:spacing w:val="-3"/>
        </w:rPr>
      </w:pPr>
      <w:r w:rsidRPr="004068F6">
        <w:rPr>
          <w:spacing w:val="-3"/>
        </w:rPr>
        <w:t xml:space="preserve">La información que </w:t>
      </w:r>
      <w:r w:rsidR="009F1DB9" w:rsidRPr="004068F6">
        <w:rPr>
          <w:spacing w:val="-3"/>
        </w:rPr>
        <w:t xml:space="preserve">se </w:t>
      </w:r>
      <w:r w:rsidRPr="004068F6">
        <w:rPr>
          <w:spacing w:val="-3"/>
        </w:rPr>
        <w:t>emplee puede ser primaria (reuniones, entrevistas, entre otros) o secundaria (estudios etnográficos, investigaciones, entre otros) y esta debe permitir describir los aspectos más relevantes de las comunidades étnicas, involucrando las siguientes variables: bases del sistema sociocultural, usos y costumbres culturales, sistema de creencias y valores, estructura del territorio, demografía, salud, educación, religiosidad/cosmogonía, etnolingüística, economía tradicional, organización sociocultural, formas de ocupación étnica de conformidad con los establecido en el glosario</w:t>
      </w:r>
      <w:r w:rsidRPr="00127BD4">
        <w:rPr>
          <w:spacing w:val="-3"/>
          <w:vertAlign w:val="superscript"/>
        </w:rPr>
        <w:footnoteReference w:id="58"/>
      </w:r>
      <w:r w:rsidRPr="004068F6">
        <w:rPr>
          <w:spacing w:val="-3"/>
        </w:rPr>
        <w:t xml:space="preserve"> y presencia institucional.</w:t>
      </w:r>
    </w:p>
    <w:p w14:paraId="0BA78D71" w14:textId="54833B1B" w:rsidR="00F97C5C" w:rsidRDefault="00F97C5C" w:rsidP="00F97C5C">
      <w:pPr>
        <w:numPr>
          <w:ilvl w:val="12"/>
          <w:numId w:val="0"/>
        </w:numPr>
        <w:tabs>
          <w:tab w:val="left" w:pos="-2268"/>
          <w:tab w:val="left" w:pos="3240"/>
        </w:tabs>
        <w:suppressAutoHyphens/>
        <w:rPr>
          <w:rFonts w:cs="Arial"/>
          <w:spacing w:val="-3"/>
        </w:rPr>
      </w:pPr>
    </w:p>
    <w:p w14:paraId="6BADC897" w14:textId="77777777" w:rsidR="00C1306D" w:rsidRPr="004068F6" w:rsidRDefault="00C1306D" w:rsidP="00F97C5C">
      <w:pPr>
        <w:numPr>
          <w:ilvl w:val="12"/>
          <w:numId w:val="0"/>
        </w:numPr>
        <w:tabs>
          <w:tab w:val="left" w:pos="-2268"/>
          <w:tab w:val="left" w:pos="3240"/>
        </w:tabs>
        <w:suppressAutoHyphens/>
        <w:rPr>
          <w:rFonts w:cs="Arial"/>
          <w:spacing w:val="-3"/>
        </w:rPr>
      </w:pPr>
    </w:p>
    <w:p w14:paraId="6871DBEB" w14:textId="432FA9AC" w:rsidR="00C6154C" w:rsidRPr="00466E26" w:rsidRDefault="00C6154C" w:rsidP="000A1E20">
      <w:pPr>
        <w:pStyle w:val="Ttulo3"/>
      </w:pPr>
      <w:bookmarkStart w:id="2336" w:name="_Toc230879597"/>
      <w:r w:rsidRPr="00466E26">
        <w:t>Arqueológico</w:t>
      </w:r>
      <w:r w:rsidR="001C5A59" w:rsidRPr="00466E26">
        <w:t xml:space="preserve"> y patrimonio cultural</w:t>
      </w:r>
      <w:bookmarkEnd w:id="2336"/>
    </w:p>
    <w:p w14:paraId="0768AF3A" w14:textId="77777777" w:rsidR="00C6154C" w:rsidRPr="004068F6" w:rsidRDefault="00C6154C" w:rsidP="00F97C5C">
      <w:pPr>
        <w:numPr>
          <w:ilvl w:val="12"/>
          <w:numId w:val="0"/>
        </w:numPr>
        <w:tabs>
          <w:tab w:val="left" w:pos="-2268"/>
          <w:tab w:val="left" w:pos="3240"/>
        </w:tabs>
        <w:suppressAutoHyphens/>
        <w:rPr>
          <w:rFonts w:cs="Arial"/>
          <w:spacing w:val="-3"/>
        </w:rPr>
      </w:pPr>
    </w:p>
    <w:p w14:paraId="25776E58" w14:textId="527C292F" w:rsidR="00B85E62" w:rsidRPr="004068F6" w:rsidRDefault="00C6154C" w:rsidP="00660F77">
      <w:pPr>
        <w:numPr>
          <w:ilvl w:val="12"/>
          <w:numId w:val="0"/>
        </w:numPr>
        <w:tabs>
          <w:tab w:val="left" w:pos="-2268"/>
          <w:tab w:val="left" w:pos="3240"/>
        </w:tabs>
        <w:suppressAutoHyphens/>
        <w:rPr>
          <w:rFonts w:cs="Arial"/>
          <w:spacing w:val="-3"/>
        </w:rPr>
      </w:pPr>
      <w:r w:rsidRPr="004068F6">
        <w:rPr>
          <w:rFonts w:cs="Arial"/>
          <w:spacing w:val="-3"/>
        </w:rPr>
        <w:t xml:space="preserve">Indicar la existencia de sitios de reconocido o potencial interés histórico, cultural y arqueológico, declarados como parques arqueológicos, patrimonio </w:t>
      </w:r>
      <w:r w:rsidR="001C5A59" w:rsidRPr="004068F6">
        <w:rPr>
          <w:rFonts w:cs="Arial"/>
          <w:spacing w:val="-3"/>
        </w:rPr>
        <w:t>cultural</w:t>
      </w:r>
      <w:r w:rsidRPr="004068F6">
        <w:rPr>
          <w:rFonts w:cs="Arial"/>
          <w:spacing w:val="-3"/>
        </w:rPr>
        <w:t xml:space="preserve"> nacional o patrimonio histórico de la humanidad, patrimonio cultural subacuático o aquellos yacimientos arqueológicos que por la singularidad de sus contenidos culturales </w:t>
      </w:r>
      <w:r w:rsidRPr="004068F6">
        <w:rPr>
          <w:rFonts w:cs="Arial"/>
          <w:spacing w:val="-3"/>
        </w:rPr>
        <w:lastRenderedPageBreak/>
        <w:t>ameriten ser preservados para la posteridad</w:t>
      </w:r>
      <w:r w:rsidR="00344B33" w:rsidRPr="004068F6">
        <w:rPr>
          <w:rFonts w:cs="Arial"/>
          <w:spacing w:val="-3"/>
        </w:rPr>
        <w:t>, consultando entre otras fuentes de información</w:t>
      </w:r>
      <w:r w:rsidR="00574A00" w:rsidRPr="004068F6">
        <w:rPr>
          <w:rFonts w:cs="Arial"/>
          <w:spacing w:val="-3"/>
        </w:rPr>
        <w:t xml:space="preserve"> secundaria</w:t>
      </w:r>
      <w:r w:rsidR="00344B33" w:rsidRPr="004068F6">
        <w:rPr>
          <w:rFonts w:cs="Arial"/>
          <w:spacing w:val="-3"/>
        </w:rPr>
        <w:t>, los listados de patrimonio mundial de la Unesco</w:t>
      </w:r>
      <w:r w:rsidR="000A6216" w:rsidRPr="004068F6">
        <w:rPr>
          <w:rFonts w:cs="Arial"/>
          <w:spacing w:val="-3"/>
        </w:rPr>
        <w:t>, la lista de bienes declarados bien de interés cultural del ámbito nacional</w:t>
      </w:r>
      <w:r w:rsidR="00344B33" w:rsidRPr="004068F6">
        <w:rPr>
          <w:rFonts w:cs="Arial"/>
          <w:spacing w:val="-3"/>
        </w:rPr>
        <w:t xml:space="preserve"> y </w:t>
      </w:r>
      <w:r w:rsidR="00660F77" w:rsidRPr="004068F6">
        <w:rPr>
          <w:rFonts w:cs="Arial"/>
          <w:spacing w:val="-3"/>
        </w:rPr>
        <w:t>la lista representativa de patrimonio cultural inmaterial</w:t>
      </w:r>
      <w:r w:rsidR="00415D30" w:rsidRPr="00127BD4">
        <w:rPr>
          <w:rStyle w:val="Refdenotaalpie"/>
          <w:rFonts w:cs="Arial"/>
          <w:spacing w:val="-3"/>
          <w:lang w:val="es-CO"/>
        </w:rPr>
        <w:footnoteReference w:id="59"/>
      </w:r>
      <w:r w:rsidR="00660F77" w:rsidRPr="004068F6">
        <w:rPr>
          <w:rFonts w:cs="Arial"/>
          <w:spacing w:val="-3"/>
        </w:rPr>
        <w:t>.</w:t>
      </w:r>
    </w:p>
    <w:p w14:paraId="21B7DA15" w14:textId="77777777" w:rsidR="0052094A" w:rsidRPr="004068F6" w:rsidRDefault="0052094A" w:rsidP="00F97C5C">
      <w:pPr>
        <w:numPr>
          <w:ilvl w:val="12"/>
          <w:numId w:val="0"/>
        </w:numPr>
        <w:tabs>
          <w:tab w:val="left" w:pos="-2268"/>
          <w:tab w:val="left" w:pos="3240"/>
        </w:tabs>
        <w:suppressAutoHyphens/>
        <w:rPr>
          <w:rFonts w:cs="Arial"/>
          <w:spacing w:val="-3"/>
        </w:rPr>
      </w:pPr>
    </w:p>
    <w:p w14:paraId="35E9ED23" w14:textId="3BBDA91B" w:rsidR="00F97C5C" w:rsidRPr="00466E26" w:rsidRDefault="00F97C5C" w:rsidP="000A1E20">
      <w:pPr>
        <w:pStyle w:val="Ttulo3"/>
      </w:pPr>
      <w:bookmarkStart w:id="2337" w:name="_Toc412803167"/>
      <w:bookmarkStart w:id="2338" w:name="_Toc414285563"/>
      <w:bookmarkStart w:id="2339" w:name="_Toc437935994"/>
      <w:bookmarkStart w:id="2340" w:name="_Toc42552230"/>
      <w:bookmarkStart w:id="2341" w:name="_Toc230879598"/>
      <w:r w:rsidRPr="00466E26">
        <w:t>Político-organizativo</w:t>
      </w:r>
      <w:bookmarkEnd w:id="2337"/>
      <w:bookmarkEnd w:id="2338"/>
      <w:bookmarkEnd w:id="2339"/>
      <w:bookmarkEnd w:id="2340"/>
      <w:bookmarkEnd w:id="2341"/>
    </w:p>
    <w:p w14:paraId="6A3B1D52" w14:textId="77777777" w:rsidR="00F97C5C" w:rsidRPr="004068F6" w:rsidRDefault="00F97C5C">
      <w:pPr>
        <w:numPr>
          <w:ilvl w:val="12"/>
          <w:numId w:val="0"/>
        </w:numPr>
        <w:tabs>
          <w:tab w:val="left" w:pos="-2268"/>
        </w:tabs>
        <w:suppressAutoHyphens/>
        <w:rPr>
          <w:spacing w:val="-3"/>
        </w:rPr>
      </w:pPr>
    </w:p>
    <w:p w14:paraId="132A1426" w14:textId="665EB44F" w:rsidR="001F71EB" w:rsidRPr="00E64F04" w:rsidRDefault="001F71EB" w:rsidP="001F71EB">
      <w:pPr>
        <w:suppressAutoHyphens/>
        <w:rPr>
          <w:rFonts w:cs="Arial"/>
          <w:spacing w:val="-3"/>
        </w:rPr>
      </w:pPr>
      <w:r w:rsidRPr="00E64F04">
        <w:rPr>
          <w:rFonts w:cs="Arial"/>
          <w:spacing w:val="-3"/>
        </w:rPr>
        <w:t>Se deben identificar</w:t>
      </w:r>
      <w:r w:rsidR="00535851">
        <w:rPr>
          <w:rFonts w:cs="Arial"/>
          <w:spacing w:val="-3"/>
        </w:rPr>
        <w:t xml:space="preserve"> y</w:t>
      </w:r>
      <w:r w:rsidRPr="00E64F04">
        <w:rPr>
          <w:rFonts w:cs="Arial"/>
          <w:spacing w:val="-3"/>
        </w:rPr>
        <w:t xml:space="preserve"> caracterizar los grupos de interés que interactúan en el territorio y que configuran las dinámicas de poder e inciden en la toma de decisiones, tales como asociaciones de carácter político, económico, cultural, ambiental y comunitario, gremios, juntas de acción comunal, autoridades ambientales y autoridades étnicas, sujetos de espacial protección por parte del Estado, entre otros.</w:t>
      </w:r>
    </w:p>
    <w:p w14:paraId="5053A130" w14:textId="77777777" w:rsidR="001F71EB" w:rsidRPr="00E64F04" w:rsidRDefault="001F71EB" w:rsidP="001F71EB">
      <w:pPr>
        <w:suppressAutoHyphens/>
        <w:rPr>
          <w:rFonts w:cs="Arial"/>
          <w:spacing w:val="-3"/>
        </w:rPr>
      </w:pPr>
    </w:p>
    <w:p w14:paraId="78E0C92C" w14:textId="695B93A6" w:rsidR="00F97C5C" w:rsidRPr="001F71EB" w:rsidRDefault="00143237" w:rsidP="001F71EB">
      <w:pPr>
        <w:numPr>
          <w:ilvl w:val="12"/>
          <w:numId w:val="0"/>
        </w:numPr>
        <w:tabs>
          <w:tab w:val="left" w:pos="-2268"/>
        </w:tabs>
        <w:suppressAutoHyphens/>
        <w:rPr>
          <w:rFonts w:cs="Arial"/>
          <w:spacing w:val="-3"/>
        </w:rPr>
      </w:pPr>
      <w:r>
        <w:rPr>
          <w:rFonts w:cs="Arial"/>
          <w:spacing w:val="-3"/>
        </w:rPr>
        <w:t xml:space="preserve">Se deben analizar </w:t>
      </w:r>
      <w:r w:rsidR="005F09E1">
        <w:rPr>
          <w:rFonts w:cs="Arial"/>
          <w:spacing w:val="-3"/>
        </w:rPr>
        <w:t xml:space="preserve">las </w:t>
      </w:r>
      <w:r w:rsidR="00976C95">
        <w:rPr>
          <w:rFonts w:cs="Arial"/>
          <w:spacing w:val="-3"/>
        </w:rPr>
        <w:t xml:space="preserve">interacciones </w:t>
      </w:r>
      <w:r w:rsidR="005D701E">
        <w:rPr>
          <w:rFonts w:cs="Arial"/>
          <w:spacing w:val="-3"/>
        </w:rPr>
        <w:t xml:space="preserve">político organizativas </w:t>
      </w:r>
      <w:r w:rsidR="00E9499F">
        <w:rPr>
          <w:rFonts w:cs="Arial"/>
          <w:spacing w:val="-3"/>
        </w:rPr>
        <w:t xml:space="preserve">a partir de </w:t>
      </w:r>
      <w:r w:rsidR="001F71EB" w:rsidRPr="00E64F04">
        <w:rPr>
          <w:rFonts w:cs="Arial"/>
          <w:spacing w:val="-3"/>
        </w:rPr>
        <w:t>las particularidades sociales y territoriales que viven los grupos de interés de acuerdo con sus realidades y necesidades</w:t>
      </w:r>
      <w:r w:rsidR="00BB2D2E">
        <w:rPr>
          <w:rFonts w:cs="Arial"/>
          <w:spacing w:val="-3"/>
        </w:rPr>
        <w:t>;</w:t>
      </w:r>
      <w:r w:rsidR="001F71EB" w:rsidRPr="00E64F04">
        <w:rPr>
          <w:rFonts w:cs="Arial"/>
          <w:spacing w:val="-3"/>
        </w:rPr>
        <w:t xml:space="preserve"> por ejemplo, </w:t>
      </w:r>
      <w:r w:rsidR="003D3174">
        <w:rPr>
          <w:rFonts w:cs="Arial"/>
          <w:spacing w:val="-3"/>
        </w:rPr>
        <w:t xml:space="preserve">se debe analizar </w:t>
      </w:r>
      <w:r w:rsidR="001F71EB" w:rsidRPr="00E64F04">
        <w:rPr>
          <w:rFonts w:cs="Arial"/>
          <w:spacing w:val="-3"/>
        </w:rPr>
        <w:t>cómo</w:t>
      </w:r>
      <w:r w:rsidR="007C62A0">
        <w:rPr>
          <w:rFonts w:cs="Arial"/>
          <w:spacing w:val="-3"/>
        </w:rPr>
        <w:t xml:space="preserve">, en la conformación de </w:t>
      </w:r>
      <w:r w:rsidR="00F135C9">
        <w:rPr>
          <w:rFonts w:cs="Arial"/>
          <w:spacing w:val="-3"/>
        </w:rPr>
        <w:t xml:space="preserve">este tipo de </w:t>
      </w:r>
      <w:r w:rsidR="007C62A0">
        <w:rPr>
          <w:rFonts w:cs="Arial"/>
          <w:spacing w:val="-3"/>
        </w:rPr>
        <w:t>relaciones</w:t>
      </w:r>
      <w:r w:rsidR="00F135C9">
        <w:rPr>
          <w:rFonts w:cs="Arial"/>
          <w:spacing w:val="-3"/>
        </w:rPr>
        <w:t>,</w:t>
      </w:r>
      <w:r w:rsidR="007C62A0">
        <w:rPr>
          <w:rFonts w:cs="Arial"/>
          <w:spacing w:val="-3"/>
        </w:rPr>
        <w:t xml:space="preserve"> </w:t>
      </w:r>
      <w:r w:rsidR="001F71EB" w:rsidRPr="00E64F04">
        <w:rPr>
          <w:rFonts w:cs="Arial"/>
          <w:spacing w:val="-3"/>
        </w:rPr>
        <w:t xml:space="preserve">interactúan los </w:t>
      </w:r>
      <w:r w:rsidR="001B5640">
        <w:rPr>
          <w:rFonts w:cs="Arial"/>
          <w:spacing w:val="-3"/>
        </w:rPr>
        <w:t xml:space="preserve">grupos de interés </w:t>
      </w:r>
      <w:r w:rsidR="001F71EB" w:rsidRPr="00E64F04">
        <w:rPr>
          <w:rFonts w:cs="Arial"/>
          <w:spacing w:val="-3"/>
        </w:rPr>
        <w:t xml:space="preserve">que tienen barreras de acceso a la información, dificultades para acceder a los espacios participativos, situaciones de derechos humanos </w:t>
      </w:r>
      <w:r w:rsidR="007315AE">
        <w:rPr>
          <w:rFonts w:cs="Arial"/>
          <w:spacing w:val="-3"/>
        </w:rPr>
        <w:t>(</w:t>
      </w:r>
      <w:r w:rsidR="001F71EB" w:rsidRPr="00E64F04">
        <w:rPr>
          <w:rFonts w:cs="Arial"/>
          <w:spacing w:val="-3"/>
        </w:rPr>
        <w:t>que pueden consultarse a través de alertas tempranas de la Defensoría del Pueblo</w:t>
      </w:r>
      <w:r w:rsidR="007315AE">
        <w:rPr>
          <w:rFonts w:cs="Arial"/>
          <w:spacing w:val="-3"/>
        </w:rPr>
        <w:t>)</w:t>
      </w:r>
      <w:r w:rsidR="001F71EB" w:rsidRPr="00E64F04">
        <w:rPr>
          <w:rFonts w:cs="Arial"/>
          <w:spacing w:val="-3"/>
        </w:rPr>
        <w:t>, relaciones asimétricas de poder</w:t>
      </w:r>
      <w:r w:rsidR="00663D84">
        <w:rPr>
          <w:rFonts w:cs="Arial"/>
          <w:spacing w:val="-3"/>
        </w:rPr>
        <w:t xml:space="preserve"> o que por</w:t>
      </w:r>
      <w:r w:rsidR="001F71EB" w:rsidRPr="00E64F04">
        <w:rPr>
          <w:rFonts w:cs="Arial"/>
          <w:spacing w:val="-3"/>
        </w:rPr>
        <w:t xml:space="preserve"> aspectos estructurales </w:t>
      </w:r>
      <w:r w:rsidR="00FD0253">
        <w:rPr>
          <w:rFonts w:cs="Arial"/>
          <w:spacing w:val="-3"/>
        </w:rPr>
        <w:t>d</w:t>
      </w:r>
      <w:r w:rsidR="001F71EB" w:rsidRPr="00E64F04">
        <w:rPr>
          <w:rFonts w:cs="Arial"/>
          <w:spacing w:val="-3"/>
        </w:rPr>
        <w:t xml:space="preserve">el territorio </w:t>
      </w:r>
      <w:r w:rsidR="00900D7F">
        <w:rPr>
          <w:rFonts w:cs="Arial"/>
          <w:spacing w:val="-3"/>
        </w:rPr>
        <w:t xml:space="preserve">se ven envueltos en procesos de </w:t>
      </w:r>
      <w:r w:rsidR="001F71EB" w:rsidRPr="00E64F04">
        <w:rPr>
          <w:rFonts w:cs="Arial"/>
          <w:spacing w:val="-3"/>
        </w:rPr>
        <w:t>conflictividad socioambiental</w:t>
      </w:r>
      <w:r w:rsidR="00F97C5C" w:rsidRPr="001F71EB">
        <w:rPr>
          <w:rFonts w:cs="Arial"/>
          <w:spacing w:val="-3"/>
        </w:rPr>
        <w:t>.</w:t>
      </w:r>
    </w:p>
    <w:p w14:paraId="62929CE3" w14:textId="77777777" w:rsidR="00F97C5C" w:rsidRPr="004068F6" w:rsidRDefault="00F97C5C">
      <w:pPr>
        <w:numPr>
          <w:ilvl w:val="12"/>
          <w:numId w:val="0"/>
        </w:numPr>
        <w:tabs>
          <w:tab w:val="left" w:pos="-2268"/>
        </w:tabs>
        <w:suppressAutoHyphens/>
        <w:rPr>
          <w:spacing w:val="-3"/>
        </w:rPr>
      </w:pPr>
    </w:p>
    <w:p w14:paraId="2D998CB4" w14:textId="327EAF17" w:rsidR="00F97C5C" w:rsidRPr="00466E26" w:rsidRDefault="00F97C5C" w:rsidP="000A1E20">
      <w:pPr>
        <w:pStyle w:val="Ttulo3"/>
      </w:pPr>
      <w:bookmarkStart w:id="2342" w:name="_Toc412803168"/>
      <w:bookmarkStart w:id="2343" w:name="_Toc414285564"/>
      <w:bookmarkStart w:id="2344" w:name="_Toc437935995"/>
      <w:bookmarkStart w:id="2345" w:name="_Toc42552231"/>
      <w:bookmarkStart w:id="2346" w:name="_Toc230879599"/>
      <w:r w:rsidRPr="00466E26">
        <w:t>Tendencias del desarrollo</w:t>
      </w:r>
      <w:bookmarkEnd w:id="2342"/>
      <w:bookmarkEnd w:id="2343"/>
      <w:bookmarkEnd w:id="2344"/>
      <w:bookmarkEnd w:id="2345"/>
      <w:bookmarkEnd w:id="2346"/>
    </w:p>
    <w:p w14:paraId="76B79FDE" w14:textId="77777777" w:rsidR="00F97C5C" w:rsidRPr="004068F6" w:rsidRDefault="00F97C5C">
      <w:pPr>
        <w:numPr>
          <w:ilvl w:val="12"/>
          <w:numId w:val="0"/>
        </w:numPr>
        <w:tabs>
          <w:tab w:val="left" w:pos="-2268"/>
        </w:tabs>
        <w:suppressAutoHyphens/>
        <w:rPr>
          <w:spacing w:val="-3"/>
        </w:rPr>
      </w:pPr>
    </w:p>
    <w:p w14:paraId="7D7CF69D" w14:textId="78082E8B" w:rsidR="00F97C5C" w:rsidRPr="004068F6" w:rsidRDefault="00F97C5C">
      <w:pPr>
        <w:numPr>
          <w:ilvl w:val="12"/>
          <w:numId w:val="0"/>
        </w:numPr>
        <w:tabs>
          <w:tab w:val="left" w:pos="-2268"/>
        </w:tabs>
        <w:suppressAutoHyphens/>
        <w:rPr>
          <w:spacing w:val="-3"/>
        </w:rPr>
      </w:pPr>
      <w:r w:rsidRPr="004068F6">
        <w:rPr>
          <w:spacing w:val="-3"/>
        </w:rPr>
        <w:t>Presentar un</w:t>
      </w:r>
      <w:r w:rsidR="00900A47" w:rsidRPr="004068F6">
        <w:rPr>
          <w:spacing w:val="-3"/>
        </w:rPr>
        <w:t>a síntesis</w:t>
      </w:r>
      <w:r w:rsidRPr="004068F6">
        <w:rPr>
          <w:spacing w:val="-3"/>
        </w:rPr>
        <w:t xml:space="preserve"> de la realidad socioeconómica </w:t>
      </w:r>
      <w:r w:rsidR="00CC399D" w:rsidRPr="004068F6">
        <w:rPr>
          <w:spacing w:val="-3"/>
        </w:rPr>
        <w:t xml:space="preserve">que </w:t>
      </w:r>
      <w:r w:rsidRPr="004068F6">
        <w:rPr>
          <w:spacing w:val="-3"/>
        </w:rPr>
        <w:t>result</w:t>
      </w:r>
      <w:r w:rsidR="00CC399D" w:rsidRPr="004068F6">
        <w:rPr>
          <w:spacing w:val="-3"/>
        </w:rPr>
        <w:t xml:space="preserve">e </w:t>
      </w:r>
      <w:r w:rsidRPr="004068F6">
        <w:rPr>
          <w:spacing w:val="-3"/>
        </w:rPr>
        <w:t xml:space="preserve">de la articulación de los elementos más relevantes analizados en los </w:t>
      </w:r>
      <w:r w:rsidR="00CC399D" w:rsidRPr="004068F6">
        <w:rPr>
          <w:spacing w:val="-3"/>
        </w:rPr>
        <w:t xml:space="preserve">otros </w:t>
      </w:r>
      <w:r w:rsidRPr="004068F6">
        <w:rPr>
          <w:spacing w:val="-3"/>
        </w:rPr>
        <w:t>componentes (demográfico, espacial, económico, cultural y político-organizativo)</w:t>
      </w:r>
      <w:r w:rsidR="00A556BD" w:rsidRPr="004068F6">
        <w:rPr>
          <w:spacing w:val="-3"/>
        </w:rPr>
        <w:t xml:space="preserve">, así como de los señalados en </w:t>
      </w:r>
      <w:r w:rsidRPr="004068F6">
        <w:rPr>
          <w:spacing w:val="-3"/>
        </w:rPr>
        <w:t>los planes de desarrollo, de ordenamiento territorial</w:t>
      </w:r>
      <w:r w:rsidR="00271536" w:rsidRPr="004068F6">
        <w:rPr>
          <w:spacing w:val="-3"/>
        </w:rPr>
        <w:t xml:space="preserve"> (tener en cuenta la información sobre la prospectiva)</w:t>
      </w:r>
      <w:r w:rsidR="00CD2DED" w:rsidRPr="004068F6">
        <w:rPr>
          <w:spacing w:val="-3"/>
        </w:rPr>
        <w:t>,</w:t>
      </w:r>
      <w:r w:rsidRPr="004068F6">
        <w:rPr>
          <w:spacing w:val="-3"/>
        </w:rPr>
        <w:t xml:space="preserve"> de gestión ambiental</w:t>
      </w:r>
      <w:r w:rsidR="00CD2DED" w:rsidRPr="004068F6">
        <w:rPr>
          <w:spacing w:val="-3"/>
        </w:rPr>
        <w:t xml:space="preserve">, </w:t>
      </w:r>
      <w:r w:rsidR="00B7317B" w:rsidRPr="004068F6">
        <w:rPr>
          <w:spacing w:val="-3"/>
        </w:rPr>
        <w:t xml:space="preserve">de ordenamiento ambiental étnicos, </w:t>
      </w:r>
      <w:r w:rsidR="00CD2DED" w:rsidRPr="004068F6">
        <w:rPr>
          <w:spacing w:val="-3"/>
        </w:rPr>
        <w:t xml:space="preserve">de vida o de etnodesarrollo existentes (en ejecución o proyectados) </w:t>
      </w:r>
      <w:r w:rsidRPr="004068F6">
        <w:rPr>
          <w:spacing w:val="-3"/>
        </w:rPr>
        <w:t>en los ámbitos nacional, departamental y municipal. En los casos en que esta información varíe significativamente entre una alternativa y otra, se debe presentar de manera diferenciada para cada alternativa.</w:t>
      </w:r>
    </w:p>
    <w:p w14:paraId="3E0DE5B0" w14:textId="77777777" w:rsidR="00F97C5C" w:rsidRPr="004068F6" w:rsidRDefault="00F97C5C">
      <w:pPr>
        <w:numPr>
          <w:ilvl w:val="12"/>
          <w:numId w:val="0"/>
        </w:numPr>
        <w:tabs>
          <w:tab w:val="left" w:pos="-2268"/>
        </w:tabs>
        <w:suppressAutoHyphens/>
        <w:rPr>
          <w:spacing w:val="-3"/>
        </w:rPr>
      </w:pPr>
    </w:p>
    <w:p w14:paraId="36316622" w14:textId="4E9CD8B4" w:rsidR="00F97C5C" w:rsidRPr="004068F6" w:rsidRDefault="00F97C5C">
      <w:pPr>
        <w:numPr>
          <w:ilvl w:val="12"/>
          <w:numId w:val="0"/>
        </w:numPr>
        <w:tabs>
          <w:tab w:val="left" w:pos="-2268"/>
        </w:tabs>
        <w:suppressAutoHyphens/>
        <w:rPr>
          <w:spacing w:val="-3"/>
        </w:rPr>
      </w:pPr>
      <w:r w:rsidRPr="004068F6">
        <w:rPr>
          <w:spacing w:val="-3"/>
        </w:rPr>
        <w:lastRenderedPageBreak/>
        <w:t xml:space="preserve">Para lo anterior, es necesario </w:t>
      </w:r>
      <w:r w:rsidR="00900A47" w:rsidRPr="004068F6">
        <w:rPr>
          <w:spacing w:val="-3"/>
        </w:rPr>
        <w:t xml:space="preserve">señalar </w:t>
      </w:r>
      <w:r w:rsidRPr="004068F6">
        <w:rPr>
          <w:spacing w:val="-3"/>
        </w:rPr>
        <w:t xml:space="preserve">los proyectos de desarrollo impulsados </w:t>
      </w:r>
      <w:r w:rsidR="002F0F64" w:rsidRPr="004068F6">
        <w:rPr>
          <w:spacing w:val="-3"/>
        </w:rPr>
        <w:t xml:space="preserve">tanto </w:t>
      </w:r>
      <w:r w:rsidRPr="004068F6">
        <w:rPr>
          <w:spacing w:val="-3"/>
        </w:rPr>
        <w:t>por el sector oficial</w:t>
      </w:r>
      <w:r w:rsidR="002F0F64" w:rsidRPr="004068F6">
        <w:rPr>
          <w:spacing w:val="-3"/>
        </w:rPr>
        <w:t>, como</w:t>
      </w:r>
      <w:r w:rsidRPr="004068F6">
        <w:rPr>
          <w:spacing w:val="-3"/>
        </w:rPr>
        <w:t xml:space="preserve"> por el</w:t>
      </w:r>
      <w:r w:rsidRPr="004068F6">
        <w:rPr>
          <w:rFonts w:cs="Arial"/>
          <w:spacing w:val="-3"/>
        </w:rPr>
        <w:t xml:space="preserve"> sector</w:t>
      </w:r>
      <w:r w:rsidRPr="004068F6">
        <w:rPr>
          <w:spacing w:val="-3"/>
        </w:rPr>
        <w:t xml:space="preserve"> privado, en la medida en que dicha información esté disponible, con el objeto de evaluar la </w:t>
      </w:r>
      <w:r w:rsidR="00A457E1" w:rsidRPr="004068F6">
        <w:rPr>
          <w:spacing w:val="-3"/>
        </w:rPr>
        <w:t xml:space="preserve">influencia </w:t>
      </w:r>
      <w:r w:rsidRPr="004068F6">
        <w:rPr>
          <w:spacing w:val="-3"/>
        </w:rPr>
        <w:t>del proyecto</w:t>
      </w:r>
      <w:r w:rsidR="00BC6D6A" w:rsidRPr="004068F6">
        <w:rPr>
          <w:spacing w:val="-3"/>
        </w:rPr>
        <w:t>, obra o actividad</w:t>
      </w:r>
      <w:r w:rsidRPr="004068F6">
        <w:rPr>
          <w:spacing w:val="-3"/>
        </w:rPr>
        <w:t xml:space="preserve"> en la </w:t>
      </w:r>
      <w:r w:rsidR="006F3252" w:rsidRPr="004068F6">
        <w:rPr>
          <w:spacing w:val="-3"/>
        </w:rPr>
        <w:t xml:space="preserve">tendencia </w:t>
      </w:r>
      <w:r w:rsidRPr="004068F6">
        <w:rPr>
          <w:spacing w:val="-3"/>
        </w:rPr>
        <w:t>de</w:t>
      </w:r>
      <w:r w:rsidR="001B504C" w:rsidRPr="004068F6">
        <w:rPr>
          <w:spacing w:val="-3"/>
        </w:rPr>
        <w:t xml:space="preserve"> desarrollo</w:t>
      </w:r>
      <w:r w:rsidRPr="004068F6">
        <w:rPr>
          <w:spacing w:val="-3"/>
        </w:rPr>
        <w:t>, en caso de aplicar.</w:t>
      </w:r>
    </w:p>
    <w:p w14:paraId="2027EDFC" w14:textId="77777777" w:rsidR="00F97C5C" w:rsidRPr="004068F6" w:rsidRDefault="00F97C5C">
      <w:pPr>
        <w:numPr>
          <w:ilvl w:val="12"/>
          <w:numId w:val="0"/>
        </w:numPr>
        <w:tabs>
          <w:tab w:val="left" w:pos="-2268"/>
        </w:tabs>
        <w:suppressAutoHyphens/>
        <w:rPr>
          <w:spacing w:val="-3"/>
        </w:rPr>
      </w:pPr>
    </w:p>
    <w:p w14:paraId="0C243040" w14:textId="77777777" w:rsidR="00CB408F" w:rsidRPr="00466E26" w:rsidRDefault="00CB408F" w:rsidP="000A1E20">
      <w:pPr>
        <w:pStyle w:val="Ttulo3"/>
      </w:pPr>
      <w:bookmarkStart w:id="2347" w:name="_Toc230879600"/>
      <w:r w:rsidRPr="00466E26">
        <w:t>Conflictividad socioambiental</w:t>
      </w:r>
      <w:bookmarkEnd w:id="2347"/>
    </w:p>
    <w:p w14:paraId="7A5D1F4D" w14:textId="77777777" w:rsidR="00CB408F" w:rsidRPr="004068F6" w:rsidRDefault="00CB408F">
      <w:pPr>
        <w:numPr>
          <w:ilvl w:val="12"/>
          <w:numId w:val="0"/>
        </w:numPr>
        <w:tabs>
          <w:tab w:val="left" w:pos="-2268"/>
        </w:tabs>
        <w:suppressAutoHyphens/>
        <w:rPr>
          <w:spacing w:val="-3"/>
        </w:rPr>
      </w:pPr>
    </w:p>
    <w:p w14:paraId="4FC1150C" w14:textId="32BCE605" w:rsidR="00364768" w:rsidRPr="004068F6" w:rsidRDefault="00364768" w:rsidP="00364768">
      <w:pPr>
        <w:numPr>
          <w:ilvl w:val="12"/>
          <w:numId w:val="0"/>
        </w:numPr>
        <w:tabs>
          <w:tab w:val="left" w:pos="-2268"/>
        </w:tabs>
        <w:suppressAutoHyphens/>
        <w:rPr>
          <w:spacing w:val="-3"/>
        </w:rPr>
      </w:pPr>
      <w:r w:rsidRPr="004068F6">
        <w:rPr>
          <w:spacing w:val="-3"/>
        </w:rPr>
        <w:t xml:space="preserve">Se deben señalar los conflictos socioambientales que existen en el área de estudio a partir de información secundaria como la que se señala en la </w:t>
      </w:r>
      <w:r w:rsidR="00E43D8A" w:rsidRPr="004068F6">
        <w:rPr>
          <w:spacing w:val="-3"/>
        </w:rPr>
        <w:fldChar w:fldCharType="begin"/>
      </w:r>
      <w:r w:rsidR="00E43D8A" w:rsidRPr="004068F6">
        <w:rPr>
          <w:spacing w:val="-3"/>
        </w:rPr>
        <w:instrText xml:space="preserve"> REF _Ref42345587 \h </w:instrText>
      </w:r>
      <w:r w:rsidR="00E43D8A" w:rsidRPr="004068F6">
        <w:rPr>
          <w:spacing w:val="-3"/>
        </w:rPr>
      </w:r>
      <w:r w:rsidR="00E43D8A" w:rsidRPr="004068F6">
        <w:rPr>
          <w:spacing w:val="-3"/>
        </w:rPr>
        <w:fldChar w:fldCharType="separate"/>
      </w:r>
      <w:r w:rsidR="009C4A81" w:rsidRPr="004068F6">
        <w:t xml:space="preserve">Tabla </w:t>
      </w:r>
      <w:r w:rsidR="009C4A81">
        <w:rPr>
          <w:noProof/>
        </w:rPr>
        <w:t>4</w:t>
      </w:r>
      <w:r w:rsidR="00E43D8A" w:rsidRPr="004068F6">
        <w:rPr>
          <w:spacing w:val="-3"/>
        </w:rPr>
        <w:fldChar w:fldCharType="end"/>
      </w:r>
      <w:r w:rsidR="00E43D8A" w:rsidRPr="004068F6">
        <w:rPr>
          <w:spacing w:val="-3"/>
        </w:rPr>
        <w:t xml:space="preserve">, </w:t>
      </w:r>
      <w:r w:rsidR="00C5473F" w:rsidRPr="004068F6">
        <w:rPr>
          <w:spacing w:val="-3"/>
        </w:rPr>
        <w:t>F</w:t>
      </w:r>
      <w:r w:rsidRPr="004068F6">
        <w:rPr>
          <w:spacing w:val="-3"/>
        </w:rPr>
        <w:t>uentes de información del medio socioeconómico, donde se mencionan fuentes principales y secundarias de información</w:t>
      </w:r>
      <w:r w:rsidR="008203AA" w:rsidRPr="004068F6">
        <w:rPr>
          <w:spacing w:val="-3"/>
        </w:rPr>
        <w:t>; asimismo se deben</w:t>
      </w:r>
      <w:r w:rsidRPr="004068F6">
        <w:rPr>
          <w:spacing w:val="-3"/>
        </w:rPr>
        <w:t xml:space="preserve"> identificar las posibles causas subyacentes de </w:t>
      </w:r>
      <w:r w:rsidR="00C5473F" w:rsidRPr="004068F6">
        <w:rPr>
          <w:spacing w:val="-3"/>
        </w:rPr>
        <w:t xml:space="preserve">la </w:t>
      </w:r>
      <w:r w:rsidRPr="004068F6">
        <w:rPr>
          <w:spacing w:val="-3"/>
        </w:rPr>
        <w:t>conflictividad socioambiental de acuerdo con la documentación registrada.</w:t>
      </w:r>
    </w:p>
    <w:p w14:paraId="3D515C7B" w14:textId="77777777" w:rsidR="00364768" w:rsidRDefault="00364768" w:rsidP="00364768">
      <w:pPr>
        <w:numPr>
          <w:ilvl w:val="12"/>
          <w:numId w:val="0"/>
        </w:numPr>
        <w:tabs>
          <w:tab w:val="left" w:pos="-2268"/>
        </w:tabs>
        <w:suppressAutoHyphens/>
        <w:rPr>
          <w:spacing w:val="-3"/>
        </w:rPr>
      </w:pPr>
    </w:p>
    <w:p w14:paraId="1184FA29" w14:textId="0F749026" w:rsidR="006726EA" w:rsidRDefault="006726EA" w:rsidP="00364768">
      <w:pPr>
        <w:numPr>
          <w:ilvl w:val="12"/>
          <w:numId w:val="0"/>
        </w:numPr>
        <w:tabs>
          <w:tab w:val="left" w:pos="-2268"/>
        </w:tabs>
        <w:suppressAutoHyphens/>
        <w:rPr>
          <w:spacing w:val="-3"/>
        </w:rPr>
      </w:pPr>
      <w:r w:rsidRPr="006726EA">
        <w:rPr>
          <w:spacing w:val="-3"/>
        </w:rPr>
        <w:t>Con la información recolectada se debe analizar la conflictividad existente sobre el uso, acceso y disponibilidad de los recursos naturales y elementos ambientales caracterizados</w:t>
      </w:r>
      <w:r w:rsidR="007137C7">
        <w:rPr>
          <w:spacing w:val="-3"/>
        </w:rPr>
        <w:t>,</w:t>
      </w:r>
      <w:r w:rsidRPr="006726EA">
        <w:rPr>
          <w:spacing w:val="-3"/>
        </w:rPr>
        <w:t xml:space="preserve"> de manera que </w:t>
      </w:r>
      <w:r w:rsidR="007137C7">
        <w:rPr>
          <w:spacing w:val="-3"/>
        </w:rPr>
        <w:t xml:space="preserve">sea posible </w:t>
      </w:r>
      <w:r w:rsidRPr="006726EA">
        <w:rPr>
          <w:spacing w:val="-3"/>
        </w:rPr>
        <w:t xml:space="preserve">comparar las alternativas y tener una visión preliminar sobre </w:t>
      </w:r>
      <w:r w:rsidR="00DE59A0">
        <w:rPr>
          <w:spacing w:val="-3"/>
        </w:rPr>
        <w:t xml:space="preserve">cómo los impactos ambientales </w:t>
      </w:r>
      <w:r w:rsidR="001719B2">
        <w:rPr>
          <w:spacing w:val="-3"/>
        </w:rPr>
        <w:t xml:space="preserve">asociados </w:t>
      </w:r>
      <w:r w:rsidR="00E61306">
        <w:rPr>
          <w:spacing w:val="-3"/>
        </w:rPr>
        <w:t xml:space="preserve">a tales recursos y elementos </w:t>
      </w:r>
      <w:r w:rsidR="00DE59A0">
        <w:rPr>
          <w:spacing w:val="-3"/>
        </w:rPr>
        <w:t xml:space="preserve">pueden </w:t>
      </w:r>
      <w:r w:rsidRPr="006726EA">
        <w:rPr>
          <w:spacing w:val="-3"/>
        </w:rPr>
        <w:t>incid</w:t>
      </w:r>
      <w:r w:rsidR="00DE59A0">
        <w:rPr>
          <w:spacing w:val="-3"/>
        </w:rPr>
        <w:t xml:space="preserve">ir </w:t>
      </w:r>
      <w:r w:rsidRPr="006726EA">
        <w:rPr>
          <w:spacing w:val="-3"/>
        </w:rPr>
        <w:t xml:space="preserve">en los derechos humanos conexos </w:t>
      </w:r>
      <w:r w:rsidR="00904576">
        <w:rPr>
          <w:spacing w:val="-3"/>
        </w:rPr>
        <w:t>a</w:t>
      </w:r>
      <w:r w:rsidRPr="006726EA">
        <w:rPr>
          <w:spacing w:val="-3"/>
        </w:rPr>
        <w:t>l derecho a un ambiente sano.</w:t>
      </w:r>
    </w:p>
    <w:p w14:paraId="2598ACE6" w14:textId="77777777" w:rsidR="006726EA" w:rsidRPr="004068F6" w:rsidRDefault="006726EA" w:rsidP="00364768">
      <w:pPr>
        <w:numPr>
          <w:ilvl w:val="12"/>
          <w:numId w:val="0"/>
        </w:numPr>
        <w:tabs>
          <w:tab w:val="left" w:pos="-2268"/>
        </w:tabs>
        <w:suppressAutoHyphens/>
        <w:rPr>
          <w:spacing w:val="-3"/>
        </w:rPr>
      </w:pPr>
    </w:p>
    <w:p w14:paraId="1A261D26" w14:textId="07997003" w:rsidR="00364768" w:rsidRPr="004068F6" w:rsidRDefault="00364768">
      <w:pPr>
        <w:numPr>
          <w:ilvl w:val="12"/>
          <w:numId w:val="0"/>
        </w:numPr>
        <w:tabs>
          <w:tab w:val="left" w:pos="-2268"/>
        </w:tabs>
        <w:suppressAutoHyphens/>
        <w:rPr>
          <w:spacing w:val="-3"/>
        </w:rPr>
      </w:pPr>
      <w:r w:rsidRPr="004068F6">
        <w:rPr>
          <w:spacing w:val="-3"/>
        </w:rPr>
        <w:t xml:space="preserve">Asimismo, se deben determinar las barreras que enfrentan los líderes comunitarios o personas para comunicar sus inquietudes y aportes de información, en especial los asociados a los conflictos socioambientales existentes. </w:t>
      </w:r>
      <w:r w:rsidR="000F5007" w:rsidRPr="004068F6">
        <w:rPr>
          <w:spacing w:val="-3"/>
        </w:rPr>
        <w:t>Con este fin</w:t>
      </w:r>
      <w:r w:rsidRPr="004068F6">
        <w:rPr>
          <w:spacing w:val="-3"/>
        </w:rPr>
        <w:t xml:space="preserve">, entre otras </w:t>
      </w:r>
      <w:r w:rsidR="000F5007" w:rsidRPr="004068F6">
        <w:rPr>
          <w:spacing w:val="-3"/>
        </w:rPr>
        <w:t>actividades</w:t>
      </w:r>
      <w:r w:rsidRPr="004068F6">
        <w:rPr>
          <w:spacing w:val="-3"/>
        </w:rPr>
        <w:t xml:space="preserve">, se debe identificar si </w:t>
      </w:r>
      <w:r w:rsidR="00257F3B" w:rsidRPr="004068F6">
        <w:rPr>
          <w:spacing w:val="-3"/>
        </w:rPr>
        <w:t xml:space="preserve">en las entidades territoriales </w:t>
      </w:r>
      <w:r w:rsidRPr="004068F6">
        <w:rPr>
          <w:spacing w:val="-3"/>
        </w:rPr>
        <w:t>en l</w:t>
      </w:r>
      <w:r w:rsidR="00394C0A" w:rsidRPr="004068F6">
        <w:rPr>
          <w:spacing w:val="-3"/>
        </w:rPr>
        <w:t>a</w:t>
      </w:r>
      <w:r w:rsidRPr="004068F6">
        <w:rPr>
          <w:spacing w:val="-3"/>
        </w:rPr>
        <w:t xml:space="preserve">s cuales se presentan </w:t>
      </w:r>
      <w:r w:rsidR="00CB6AA4" w:rsidRPr="004068F6">
        <w:rPr>
          <w:spacing w:val="-3"/>
        </w:rPr>
        <w:t xml:space="preserve">tales </w:t>
      </w:r>
      <w:r w:rsidRPr="004068F6">
        <w:rPr>
          <w:spacing w:val="-3"/>
        </w:rPr>
        <w:t xml:space="preserve">los conflictos </w:t>
      </w:r>
      <w:r w:rsidR="001A0A8E" w:rsidRPr="004068F6">
        <w:rPr>
          <w:spacing w:val="-3"/>
        </w:rPr>
        <w:t xml:space="preserve">hay </w:t>
      </w:r>
      <w:r w:rsidRPr="004068F6">
        <w:rPr>
          <w:spacing w:val="-3"/>
        </w:rPr>
        <w:t xml:space="preserve">un riesgo medio, alto o extremo para la labor de las personas, grupos, u organizaciones defensoras de </w:t>
      </w:r>
      <w:r w:rsidR="00B85CD7" w:rsidRPr="004068F6">
        <w:rPr>
          <w:spacing w:val="-3"/>
        </w:rPr>
        <w:t xml:space="preserve">derechos humanos </w:t>
      </w:r>
      <w:r w:rsidRPr="004068F6">
        <w:rPr>
          <w:spacing w:val="-3"/>
        </w:rPr>
        <w:t>en asuntos ambientales, de acuerdo con las alertas tempranas de la Defensoría del Pueblo.</w:t>
      </w:r>
    </w:p>
    <w:p w14:paraId="641216A1" w14:textId="77777777" w:rsidR="00364768" w:rsidRPr="004068F6" w:rsidRDefault="00364768">
      <w:pPr>
        <w:numPr>
          <w:ilvl w:val="12"/>
          <w:numId w:val="0"/>
        </w:numPr>
        <w:tabs>
          <w:tab w:val="left" w:pos="-2268"/>
        </w:tabs>
        <w:suppressAutoHyphens/>
        <w:rPr>
          <w:spacing w:val="-3"/>
        </w:rPr>
      </w:pPr>
    </w:p>
    <w:p w14:paraId="36E1A8E6" w14:textId="10FCD7E1" w:rsidR="00F97C5C" w:rsidRPr="00466E26" w:rsidRDefault="00F97C5C" w:rsidP="000A1E20">
      <w:pPr>
        <w:pStyle w:val="Ttulo3"/>
      </w:pPr>
      <w:bookmarkStart w:id="2348" w:name="_Toc42552232"/>
      <w:bookmarkStart w:id="2349" w:name="_Toc437935996"/>
      <w:bookmarkStart w:id="2350" w:name="_Toc230879601"/>
      <w:r w:rsidRPr="00466E26">
        <w:t>Información preliminar sobre reasentamiento involuntario de población</w:t>
      </w:r>
      <w:bookmarkEnd w:id="2348"/>
      <w:bookmarkEnd w:id="2350"/>
    </w:p>
    <w:bookmarkEnd w:id="2349"/>
    <w:p w14:paraId="0A195CEB" w14:textId="77777777" w:rsidR="00F97C5C" w:rsidRPr="004068F6" w:rsidRDefault="00F97C5C">
      <w:pPr>
        <w:numPr>
          <w:ilvl w:val="12"/>
          <w:numId w:val="0"/>
        </w:numPr>
        <w:tabs>
          <w:tab w:val="left" w:pos="-2268"/>
        </w:tabs>
        <w:suppressAutoHyphens/>
        <w:rPr>
          <w:spacing w:val="-3"/>
        </w:rPr>
      </w:pPr>
    </w:p>
    <w:p w14:paraId="5BC49C1A" w14:textId="75BCBCE0" w:rsidR="00F97C5C" w:rsidRPr="004068F6" w:rsidRDefault="00900A47" w:rsidP="0082127E">
      <w:pPr>
        <w:numPr>
          <w:ilvl w:val="12"/>
          <w:numId w:val="0"/>
        </w:numPr>
        <w:tabs>
          <w:tab w:val="left" w:pos="-2268"/>
        </w:tabs>
        <w:suppressAutoHyphens/>
        <w:rPr>
          <w:rFonts w:cs="Arial"/>
          <w:spacing w:val="-3"/>
        </w:rPr>
      </w:pPr>
      <w:r w:rsidRPr="004068F6">
        <w:rPr>
          <w:spacing w:val="-3"/>
        </w:rPr>
        <w:t xml:space="preserve">Se debe aportar </w:t>
      </w:r>
      <w:r w:rsidR="00F97C5C" w:rsidRPr="004068F6">
        <w:rPr>
          <w:spacing w:val="-3"/>
        </w:rPr>
        <w:t>para cada alternativa</w:t>
      </w:r>
      <w:r w:rsidRPr="004068F6">
        <w:rPr>
          <w:spacing w:val="-3"/>
        </w:rPr>
        <w:t xml:space="preserve"> la información preliminar sobre</w:t>
      </w:r>
      <w:r w:rsidR="00F97C5C" w:rsidRPr="004068F6">
        <w:rPr>
          <w:spacing w:val="-3"/>
        </w:rPr>
        <w:t xml:space="preserve"> </w:t>
      </w:r>
      <w:r w:rsidR="00F97C5C" w:rsidRPr="004068F6">
        <w:rPr>
          <w:rFonts w:cs="Arial"/>
          <w:spacing w:val="-3"/>
        </w:rPr>
        <w:t>la población e infraestructura susceptible de reasentamiento involuntario generado</w:t>
      </w:r>
      <w:r w:rsidR="00F97C5C" w:rsidRPr="004068F6">
        <w:rPr>
          <w:spacing w:val="-3"/>
        </w:rPr>
        <w:t xml:space="preserve"> por el proyecto</w:t>
      </w:r>
      <w:r w:rsidR="00F97C5C" w:rsidRPr="004068F6">
        <w:rPr>
          <w:rFonts w:cs="Arial"/>
          <w:spacing w:val="-3"/>
        </w:rPr>
        <w:t>, obra o actividad</w:t>
      </w:r>
      <w:r w:rsidRPr="004068F6">
        <w:rPr>
          <w:rFonts w:cs="Arial"/>
          <w:spacing w:val="-3"/>
        </w:rPr>
        <w:t xml:space="preserve"> </w:t>
      </w:r>
      <w:r w:rsidRPr="004068F6">
        <w:rPr>
          <w:spacing w:val="-3"/>
        </w:rPr>
        <w:t>a partir de</w:t>
      </w:r>
      <w:r w:rsidR="00F97C5C" w:rsidRPr="004068F6">
        <w:rPr>
          <w:spacing w:val="-3"/>
        </w:rPr>
        <w:t xml:space="preserve"> una estimación de las siguientes variables:</w:t>
      </w:r>
    </w:p>
    <w:p w14:paraId="20A57780" w14:textId="77777777" w:rsidR="00F97C5C" w:rsidRPr="004068F6" w:rsidRDefault="00F97C5C" w:rsidP="00F97C5C">
      <w:pPr>
        <w:numPr>
          <w:ilvl w:val="12"/>
          <w:numId w:val="0"/>
        </w:numPr>
        <w:tabs>
          <w:tab w:val="left" w:pos="-2268"/>
        </w:tabs>
        <w:suppressAutoHyphens/>
        <w:rPr>
          <w:rFonts w:cs="Arial"/>
          <w:spacing w:val="-3"/>
        </w:rPr>
      </w:pPr>
    </w:p>
    <w:p w14:paraId="06E62C1D" w14:textId="6596AF6D" w:rsidR="00F97C5C" w:rsidRPr="004068F6" w:rsidRDefault="00F97C5C" w:rsidP="00C86DA5">
      <w:pPr>
        <w:pStyle w:val="Prrafodelista"/>
        <w:numPr>
          <w:ilvl w:val="0"/>
          <w:numId w:val="359"/>
        </w:numPr>
        <w:tabs>
          <w:tab w:val="left" w:pos="-2268"/>
        </w:tabs>
        <w:suppressAutoHyphens/>
        <w:ind w:left="567" w:hanging="567"/>
        <w:rPr>
          <w:rFonts w:cs="Arial"/>
          <w:spacing w:val="-3"/>
          <w:lang w:val="es-CO"/>
        </w:rPr>
      </w:pPr>
      <w:r w:rsidRPr="004068F6">
        <w:rPr>
          <w:rFonts w:cs="Arial"/>
          <w:spacing w:val="-3"/>
          <w:lang w:val="es-CO"/>
        </w:rPr>
        <w:t>Número de unidades de vivienda susceptibles de reasentamiento involuntario</w:t>
      </w:r>
      <w:r w:rsidR="002B5BD6" w:rsidRPr="004068F6">
        <w:rPr>
          <w:rFonts w:cs="Arial"/>
          <w:spacing w:val="-3"/>
          <w:lang w:val="es-CO"/>
        </w:rPr>
        <w:t>.</w:t>
      </w:r>
    </w:p>
    <w:p w14:paraId="46E54BB8" w14:textId="77777777" w:rsidR="002B5BD6" w:rsidRPr="004068F6" w:rsidRDefault="002B5BD6" w:rsidP="00C86DA5">
      <w:pPr>
        <w:tabs>
          <w:tab w:val="left" w:pos="-2268"/>
        </w:tabs>
        <w:suppressAutoHyphens/>
        <w:rPr>
          <w:rFonts w:cs="Arial"/>
          <w:spacing w:val="-3"/>
        </w:rPr>
      </w:pPr>
    </w:p>
    <w:p w14:paraId="47371A5E" w14:textId="01300CBC" w:rsidR="00F97C5C" w:rsidRPr="004068F6" w:rsidRDefault="00F97C5C" w:rsidP="00C86DA5">
      <w:pPr>
        <w:pStyle w:val="Prrafodelista"/>
        <w:numPr>
          <w:ilvl w:val="0"/>
          <w:numId w:val="359"/>
        </w:numPr>
        <w:tabs>
          <w:tab w:val="left" w:pos="-2268"/>
        </w:tabs>
        <w:suppressAutoHyphens/>
        <w:ind w:left="567" w:hanging="567"/>
        <w:rPr>
          <w:rFonts w:cs="Arial"/>
          <w:spacing w:val="-3"/>
          <w:lang w:val="es-CO"/>
        </w:rPr>
      </w:pPr>
      <w:r w:rsidRPr="004068F6">
        <w:rPr>
          <w:rFonts w:cs="Arial"/>
          <w:spacing w:val="-3"/>
          <w:lang w:val="es-CO"/>
        </w:rPr>
        <w:t>Cantidad</w:t>
      </w:r>
      <w:r w:rsidRPr="004068F6">
        <w:rPr>
          <w:spacing w:val="-3"/>
          <w:lang w:val="es-CO"/>
        </w:rPr>
        <w:t xml:space="preserve"> de población </w:t>
      </w:r>
      <w:r w:rsidR="00D10D17" w:rsidRPr="004068F6">
        <w:rPr>
          <w:spacing w:val="-3"/>
          <w:lang w:val="es-CO"/>
        </w:rPr>
        <w:t>que posiblemente sea objeto de reasentamiento involuntario, discriminada hasta el nivel más detallado posible (municipio, vereda o unidad de análisis territorial correspondiente)</w:t>
      </w:r>
      <w:r w:rsidRPr="004068F6">
        <w:rPr>
          <w:rFonts w:cs="Arial"/>
          <w:spacing w:val="-3"/>
          <w:lang w:val="es-CO"/>
        </w:rPr>
        <w:t>.</w:t>
      </w:r>
    </w:p>
    <w:p w14:paraId="3300840F" w14:textId="77777777" w:rsidR="002B5BD6" w:rsidRPr="004068F6" w:rsidRDefault="002B5BD6" w:rsidP="00C86DA5">
      <w:pPr>
        <w:tabs>
          <w:tab w:val="left" w:pos="-2268"/>
        </w:tabs>
        <w:suppressAutoHyphens/>
        <w:rPr>
          <w:rFonts w:cs="Arial"/>
          <w:spacing w:val="-3"/>
        </w:rPr>
      </w:pPr>
    </w:p>
    <w:p w14:paraId="27FB6D14" w14:textId="19DE1E57" w:rsidR="00F97C5C" w:rsidRPr="004068F6" w:rsidRDefault="00F97C5C" w:rsidP="00C86DA5">
      <w:pPr>
        <w:pStyle w:val="Prrafodelista"/>
        <w:numPr>
          <w:ilvl w:val="0"/>
          <w:numId w:val="359"/>
        </w:numPr>
        <w:tabs>
          <w:tab w:val="left" w:pos="-2268"/>
        </w:tabs>
        <w:suppressAutoHyphens/>
        <w:ind w:left="567" w:hanging="567"/>
        <w:rPr>
          <w:rFonts w:cs="Arial"/>
          <w:spacing w:val="-3"/>
          <w:lang w:val="es-CO"/>
        </w:rPr>
      </w:pPr>
      <w:r w:rsidRPr="004068F6">
        <w:rPr>
          <w:rFonts w:cs="Arial"/>
          <w:spacing w:val="-3"/>
          <w:lang w:val="es-CO"/>
        </w:rPr>
        <w:lastRenderedPageBreak/>
        <w:t>Tipo</w:t>
      </w:r>
      <w:r w:rsidRPr="004068F6">
        <w:rPr>
          <w:spacing w:val="-3"/>
          <w:lang w:val="es-CO"/>
        </w:rPr>
        <w:t xml:space="preserve"> y número de unidades sociales existentes potencialmente </w:t>
      </w:r>
      <w:r w:rsidRPr="004068F6">
        <w:rPr>
          <w:rFonts w:cs="Arial"/>
          <w:spacing w:val="-3"/>
          <w:lang w:val="es-CO"/>
        </w:rPr>
        <w:t>impactadas</w:t>
      </w:r>
      <w:r w:rsidRPr="004068F6">
        <w:rPr>
          <w:spacing w:val="-3"/>
          <w:lang w:val="es-CO"/>
        </w:rPr>
        <w:t xml:space="preserve"> (residentes, productivas y mixtas</w:t>
      </w:r>
      <w:r w:rsidRPr="004068F6">
        <w:rPr>
          <w:rFonts w:cs="Arial"/>
          <w:spacing w:val="-3"/>
          <w:lang w:val="es-CO"/>
        </w:rPr>
        <w:t>)</w:t>
      </w:r>
      <w:r w:rsidR="002B5BD6" w:rsidRPr="004068F6">
        <w:rPr>
          <w:rFonts w:cs="Arial"/>
          <w:spacing w:val="-3"/>
          <w:lang w:val="es-CO"/>
        </w:rPr>
        <w:t>.</w:t>
      </w:r>
    </w:p>
    <w:p w14:paraId="4A48E1E0" w14:textId="77777777" w:rsidR="002B5BD6" w:rsidRPr="004068F6" w:rsidRDefault="002B5BD6" w:rsidP="00C86DA5">
      <w:pPr>
        <w:tabs>
          <w:tab w:val="left" w:pos="-2268"/>
        </w:tabs>
        <w:suppressAutoHyphens/>
        <w:rPr>
          <w:rFonts w:cs="Arial"/>
          <w:spacing w:val="-3"/>
        </w:rPr>
      </w:pPr>
    </w:p>
    <w:p w14:paraId="73946570" w14:textId="33A1D43C" w:rsidR="00F97C5C" w:rsidRPr="004068F6" w:rsidRDefault="00F97C5C" w:rsidP="00C86DA5">
      <w:pPr>
        <w:pStyle w:val="Prrafodelista"/>
        <w:numPr>
          <w:ilvl w:val="0"/>
          <w:numId w:val="359"/>
        </w:numPr>
        <w:tabs>
          <w:tab w:val="left" w:pos="-2268"/>
        </w:tabs>
        <w:suppressAutoHyphens/>
        <w:ind w:left="567" w:hanging="567"/>
        <w:rPr>
          <w:rFonts w:cs="Arial"/>
          <w:spacing w:val="-3"/>
          <w:lang w:val="es-CO"/>
        </w:rPr>
      </w:pPr>
      <w:r w:rsidRPr="004068F6">
        <w:rPr>
          <w:rFonts w:cs="Arial"/>
          <w:spacing w:val="-3"/>
          <w:lang w:val="es-CO"/>
        </w:rPr>
        <w:t>Actividades</w:t>
      </w:r>
      <w:r w:rsidRPr="004068F6">
        <w:rPr>
          <w:spacing w:val="-3"/>
          <w:lang w:val="es-CO"/>
        </w:rPr>
        <w:t xml:space="preserve"> económicas </w:t>
      </w:r>
      <w:r w:rsidR="00355104" w:rsidRPr="004068F6">
        <w:rPr>
          <w:spacing w:val="-3"/>
          <w:lang w:val="es-CO"/>
        </w:rPr>
        <w:t xml:space="preserve">de la población </w:t>
      </w:r>
      <w:r w:rsidRPr="004068F6">
        <w:rPr>
          <w:spacing w:val="-3"/>
          <w:lang w:val="es-CO"/>
        </w:rPr>
        <w:t xml:space="preserve">que puedan verse afectadas con el </w:t>
      </w:r>
      <w:r w:rsidRPr="004068F6">
        <w:rPr>
          <w:rFonts w:cs="Arial"/>
          <w:spacing w:val="-3"/>
          <w:lang w:val="es-CO"/>
        </w:rPr>
        <w:t>reasentamiento</w:t>
      </w:r>
      <w:r w:rsidR="002B5BD6" w:rsidRPr="004068F6">
        <w:rPr>
          <w:rFonts w:cs="Arial"/>
          <w:spacing w:val="-3"/>
          <w:lang w:val="es-CO"/>
        </w:rPr>
        <w:t>.</w:t>
      </w:r>
    </w:p>
    <w:p w14:paraId="402CB30E" w14:textId="77777777" w:rsidR="002B5BD6" w:rsidRPr="004068F6" w:rsidRDefault="002B5BD6" w:rsidP="00C86DA5">
      <w:pPr>
        <w:tabs>
          <w:tab w:val="left" w:pos="-2268"/>
        </w:tabs>
        <w:suppressAutoHyphens/>
        <w:rPr>
          <w:rFonts w:cs="Arial"/>
          <w:spacing w:val="-3"/>
        </w:rPr>
      </w:pPr>
    </w:p>
    <w:p w14:paraId="1F047D57" w14:textId="77777777" w:rsidR="00F97C5C" w:rsidRPr="004068F6" w:rsidRDefault="00F97C5C" w:rsidP="00C86DA5">
      <w:pPr>
        <w:pStyle w:val="Prrafodelista"/>
        <w:numPr>
          <w:ilvl w:val="0"/>
          <w:numId w:val="359"/>
        </w:numPr>
        <w:tabs>
          <w:tab w:val="left" w:pos="-2268"/>
        </w:tabs>
        <w:suppressAutoHyphens/>
        <w:ind w:left="567" w:hanging="567"/>
        <w:rPr>
          <w:spacing w:val="-3"/>
          <w:lang w:val="es-CO"/>
        </w:rPr>
      </w:pPr>
      <w:r w:rsidRPr="004068F6">
        <w:rPr>
          <w:rFonts w:cs="Arial"/>
          <w:spacing w:val="-3"/>
          <w:lang w:val="es-CO"/>
        </w:rPr>
        <w:t>Equipamientos</w:t>
      </w:r>
      <w:r w:rsidRPr="004068F6">
        <w:rPr>
          <w:spacing w:val="-3"/>
          <w:lang w:val="es-CO"/>
        </w:rPr>
        <w:t xml:space="preserve"> comunitarios susceptibles de afectación.</w:t>
      </w:r>
    </w:p>
    <w:p w14:paraId="1BB374AF" w14:textId="77777777" w:rsidR="00402572" w:rsidRPr="004068F6" w:rsidRDefault="00402572" w:rsidP="000D6E21">
      <w:pPr>
        <w:rPr>
          <w:spacing w:val="-3"/>
        </w:rPr>
      </w:pPr>
    </w:p>
    <w:p w14:paraId="778F25BC" w14:textId="77777777" w:rsidR="00402572" w:rsidRPr="004068F6" w:rsidRDefault="00402572" w:rsidP="000D6E21">
      <w:pPr>
        <w:pStyle w:val="Prrafodelista"/>
        <w:numPr>
          <w:ilvl w:val="0"/>
          <w:numId w:val="359"/>
        </w:numPr>
        <w:tabs>
          <w:tab w:val="left" w:pos="-2268"/>
        </w:tabs>
        <w:suppressAutoHyphens/>
        <w:ind w:left="567" w:hanging="567"/>
        <w:rPr>
          <w:rFonts w:cs="Arial"/>
          <w:spacing w:val="-3"/>
          <w:lang w:val="es-CO"/>
        </w:rPr>
      </w:pPr>
      <w:r w:rsidRPr="004068F6">
        <w:rPr>
          <w:rFonts w:cs="Arial"/>
          <w:spacing w:val="-3"/>
          <w:lang w:val="es-CO"/>
        </w:rPr>
        <w:t>Sitios sagrados, centros religiosos y lugares con importancia para la memoria histórica susceptibles de afectación, daño o desaparición.</w:t>
      </w:r>
    </w:p>
    <w:p w14:paraId="0A492BA1" w14:textId="77777777" w:rsidR="00F97C5C" w:rsidRDefault="00F97C5C" w:rsidP="00F97C5C">
      <w:pPr>
        <w:numPr>
          <w:ilvl w:val="12"/>
          <w:numId w:val="0"/>
        </w:numPr>
        <w:tabs>
          <w:tab w:val="left" w:pos="-2268"/>
        </w:tabs>
        <w:suppressAutoHyphens/>
        <w:rPr>
          <w:rFonts w:cs="Arial"/>
          <w:spacing w:val="-3"/>
        </w:rPr>
      </w:pPr>
    </w:p>
    <w:p w14:paraId="4884FBBC" w14:textId="0759268A" w:rsidR="00B60AE4" w:rsidRPr="00E64F04" w:rsidRDefault="00201CA0" w:rsidP="00E64F04">
      <w:pPr>
        <w:pStyle w:val="Ttulo2"/>
        <w:rPr>
          <w:lang w:val="es-CO"/>
        </w:rPr>
      </w:pPr>
      <w:bookmarkStart w:id="2351" w:name="_Toc230879602"/>
      <w:r w:rsidRPr="00201CA0">
        <w:rPr>
          <w:lang w:val="es-CO"/>
        </w:rPr>
        <w:t>ÁREAS DE ESPECIAL INTERÉS AMBIENTAL (AEIA)</w:t>
      </w:r>
      <w:bookmarkEnd w:id="2351"/>
    </w:p>
    <w:p w14:paraId="30BA25A1" w14:textId="77777777" w:rsidR="00B60AE4" w:rsidRDefault="00B60AE4" w:rsidP="00B60AE4">
      <w:pPr>
        <w:numPr>
          <w:ilvl w:val="12"/>
          <w:numId w:val="0"/>
        </w:numPr>
        <w:tabs>
          <w:tab w:val="left" w:pos="-2268"/>
        </w:tabs>
        <w:suppressAutoHyphens/>
        <w:rPr>
          <w:spacing w:val="-3"/>
        </w:rPr>
      </w:pPr>
    </w:p>
    <w:p w14:paraId="70424C28" w14:textId="77777777" w:rsidR="00B60AE4" w:rsidRDefault="00B60AE4" w:rsidP="00B60AE4">
      <w:pPr>
        <w:numPr>
          <w:ilvl w:val="12"/>
          <w:numId w:val="0"/>
        </w:numPr>
        <w:tabs>
          <w:tab w:val="left" w:pos="-2268"/>
        </w:tabs>
        <w:suppressAutoHyphens/>
        <w:rPr>
          <w:spacing w:val="-3"/>
        </w:rPr>
      </w:pPr>
      <w:r>
        <w:rPr>
          <w:spacing w:val="-3"/>
        </w:rPr>
        <w:t xml:space="preserve">Se </w:t>
      </w:r>
      <w:r w:rsidRPr="004068F6">
        <w:rPr>
          <w:spacing w:val="-3"/>
        </w:rPr>
        <w:t>debe</w:t>
      </w:r>
      <w:r>
        <w:rPr>
          <w:spacing w:val="-3"/>
        </w:rPr>
        <w:t>n</w:t>
      </w:r>
      <w:r w:rsidRPr="004068F6">
        <w:rPr>
          <w:spacing w:val="-3"/>
        </w:rPr>
        <w:t xml:space="preserve"> representa</w:t>
      </w:r>
      <w:r>
        <w:rPr>
          <w:spacing w:val="-3"/>
        </w:rPr>
        <w:t xml:space="preserve">r </w:t>
      </w:r>
      <w:r w:rsidRPr="004068F6">
        <w:rPr>
          <w:spacing w:val="-3"/>
        </w:rPr>
        <w:t>cartográficamente en el mapa de ecosistemas</w:t>
      </w:r>
      <w:r>
        <w:rPr>
          <w:spacing w:val="-3"/>
        </w:rPr>
        <w:t>,</w:t>
      </w:r>
      <w:r w:rsidRPr="004068F6">
        <w:rPr>
          <w:spacing w:val="-3"/>
        </w:rPr>
        <w:t xml:space="preserve"> las AEIA públicas y privadas de los ámbitos nacional, regional y local </w:t>
      </w:r>
      <w:r w:rsidRPr="004068F6">
        <w:rPr>
          <w:rFonts w:cs="Arial"/>
          <w:spacing w:val="-3"/>
        </w:rPr>
        <w:t xml:space="preserve">señaladas en la </w:t>
      </w:r>
      <w:r w:rsidRPr="00127BD4">
        <w:rPr>
          <w:rFonts w:cs="Arial"/>
          <w:i/>
          <w:iCs/>
          <w:spacing w:val="-3"/>
        </w:rPr>
        <w:t>Tabla Áreas de Especial Interés Ambiental (AEIA)</w:t>
      </w:r>
      <w:r w:rsidRPr="004068F6">
        <w:rPr>
          <w:rStyle w:val="Refdenotaalpie"/>
          <w:rFonts w:cs="Arial"/>
          <w:spacing w:val="-3"/>
          <w:lang w:val="es-CO"/>
        </w:rPr>
        <w:footnoteReference w:id="60"/>
      </w:r>
      <w:r w:rsidRPr="004068F6">
        <w:rPr>
          <w:rFonts w:cs="Arial"/>
          <w:spacing w:val="-3"/>
        </w:rPr>
        <w:t xml:space="preserve">, </w:t>
      </w:r>
      <w:r w:rsidRPr="004068F6">
        <w:rPr>
          <w:spacing w:val="-3"/>
        </w:rPr>
        <w:t>así como su zonificación de manejo (en caso de existir)</w:t>
      </w:r>
      <w:r>
        <w:rPr>
          <w:spacing w:val="-3"/>
        </w:rPr>
        <w:t xml:space="preserve">. Esta representación debe hacer </w:t>
      </w:r>
      <w:r w:rsidRPr="004068F6">
        <w:rPr>
          <w:spacing w:val="-3"/>
        </w:rPr>
        <w:t xml:space="preserve">evidente </w:t>
      </w:r>
      <w:r>
        <w:rPr>
          <w:spacing w:val="-3"/>
        </w:rPr>
        <w:t xml:space="preserve">la </w:t>
      </w:r>
      <w:r w:rsidRPr="004068F6">
        <w:rPr>
          <w:spacing w:val="-3"/>
        </w:rPr>
        <w:t xml:space="preserve">ubicación y distancia </w:t>
      </w:r>
      <w:r>
        <w:rPr>
          <w:spacing w:val="-3"/>
        </w:rPr>
        <w:t xml:space="preserve">de estos elementos </w:t>
      </w:r>
      <w:r w:rsidRPr="004068F6">
        <w:rPr>
          <w:spacing w:val="-3"/>
        </w:rPr>
        <w:t xml:space="preserve">con respecto a las posibles opciones de localización o trazado de las </w:t>
      </w:r>
      <w:r w:rsidRPr="004068F6">
        <w:rPr>
          <w:rFonts w:cs="Arial"/>
          <w:spacing w:val="-3"/>
        </w:rPr>
        <w:t>alternativas</w:t>
      </w:r>
      <w:r w:rsidRPr="004068F6">
        <w:rPr>
          <w:spacing w:val="-3"/>
        </w:rPr>
        <w:t>.</w:t>
      </w:r>
    </w:p>
    <w:p w14:paraId="3A707CFD" w14:textId="77777777" w:rsidR="00B60AE4" w:rsidRPr="004068F6" w:rsidRDefault="00B60AE4" w:rsidP="00B60AE4">
      <w:pPr>
        <w:numPr>
          <w:ilvl w:val="12"/>
          <w:numId w:val="0"/>
        </w:numPr>
        <w:tabs>
          <w:tab w:val="left" w:pos="-2268"/>
        </w:tabs>
        <w:suppressAutoHyphens/>
        <w:rPr>
          <w:spacing w:val="-3"/>
        </w:rPr>
      </w:pPr>
    </w:p>
    <w:p w14:paraId="0877C377" w14:textId="77777777" w:rsidR="00B60AE4" w:rsidRPr="004068F6" w:rsidRDefault="00B60AE4" w:rsidP="00B60AE4">
      <w:pPr>
        <w:numPr>
          <w:ilvl w:val="12"/>
          <w:numId w:val="0"/>
        </w:numPr>
        <w:tabs>
          <w:tab w:val="left" w:pos="-2268"/>
        </w:tabs>
        <w:suppressAutoHyphens/>
        <w:rPr>
          <w:spacing w:val="-3"/>
        </w:rPr>
      </w:pPr>
      <w:r w:rsidRPr="004068F6">
        <w:rPr>
          <w:rFonts w:cs="Arial"/>
          <w:spacing w:val="-3"/>
        </w:rPr>
        <w:t xml:space="preserve">Para </w:t>
      </w:r>
      <w:r w:rsidRPr="004068F6">
        <w:rPr>
          <w:spacing w:val="-3"/>
        </w:rPr>
        <w:t xml:space="preserve">determinar y localizar las AEIA </w:t>
      </w:r>
      <w:r>
        <w:rPr>
          <w:spacing w:val="-3"/>
        </w:rPr>
        <w:t xml:space="preserve">y </w:t>
      </w:r>
      <w:r w:rsidRPr="004068F6">
        <w:rPr>
          <w:spacing w:val="-3"/>
        </w:rPr>
        <w:t xml:space="preserve">su zonificación de manejo, se </w:t>
      </w:r>
      <w:r w:rsidRPr="004068F6">
        <w:rPr>
          <w:rFonts w:cs="Arial"/>
          <w:spacing w:val="-3"/>
        </w:rPr>
        <w:t xml:space="preserve">debe consultar cartografía reconocida por alguna entidad estatal del SINA, como por ejemplo, la incorporada en el </w:t>
      </w:r>
      <w:r w:rsidRPr="004068F6">
        <w:rPr>
          <w:spacing w:val="-3"/>
        </w:rPr>
        <w:t xml:space="preserve">Registro </w:t>
      </w:r>
      <w:r w:rsidRPr="004068F6">
        <w:rPr>
          <w:rFonts w:cs="Arial"/>
          <w:spacing w:val="-3"/>
        </w:rPr>
        <w:t>Único</w:t>
      </w:r>
      <w:r w:rsidRPr="004068F6">
        <w:rPr>
          <w:spacing w:val="-3"/>
        </w:rPr>
        <w:t xml:space="preserve"> de Ecosistemas y Áreas Ambientales (REAA) y el Registro Único Nacional de Áreas Protegidas (RUNAP); asimismo</w:t>
      </w:r>
      <w:r w:rsidRPr="004068F6">
        <w:rPr>
          <w:rFonts w:cs="Arial"/>
          <w:spacing w:val="-3"/>
        </w:rPr>
        <w:t>,</w:t>
      </w:r>
      <w:r w:rsidRPr="004068F6">
        <w:rPr>
          <w:spacing w:val="-3"/>
        </w:rPr>
        <w:t xml:space="preserve"> es posible emplear planes de manejo de las áreas protegidas, herramientas de análisis de información ambiental en línea como el </w:t>
      </w:r>
      <w:r w:rsidRPr="004068F6">
        <w:rPr>
          <w:rFonts w:cs="Arial"/>
          <w:spacing w:val="-3"/>
        </w:rPr>
        <w:t xml:space="preserve">Sistema de Información Ambiental de </w:t>
      </w:r>
      <w:r w:rsidRPr="004068F6">
        <w:rPr>
          <w:spacing w:val="-3"/>
        </w:rPr>
        <w:t>Colombia</w:t>
      </w:r>
      <w:r w:rsidRPr="004068F6">
        <w:rPr>
          <w:rFonts w:cs="Arial"/>
          <w:spacing w:val="-3"/>
        </w:rPr>
        <w:t xml:space="preserve"> (SIAC) y también, los portales Web de institutos de investigación adscritos y vinculados a Minambiente, </w:t>
      </w:r>
      <w:r>
        <w:rPr>
          <w:rFonts w:cs="Arial"/>
          <w:spacing w:val="-3"/>
        </w:rPr>
        <w:t xml:space="preserve">y los </w:t>
      </w:r>
      <w:r w:rsidRPr="004068F6">
        <w:rPr>
          <w:rFonts w:cs="Arial"/>
          <w:spacing w:val="-3"/>
        </w:rPr>
        <w:t xml:space="preserve">de </w:t>
      </w:r>
      <w:r>
        <w:rPr>
          <w:rFonts w:cs="Arial"/>
          <w:spacing w:val="-3"/>
        </w:rPr>
        <w:t xml:space="preserve">las </w:t>
      </w:r>
      <w:r w:rsidRPr="004068F6">
        <w:rPr>
          <w:rFonts w:cs="Arial"/>
          <w:spacing w:val="-3"/>
        </w:rPr>
        <w:t>autoridades ambientales regionales</w:t>
      </w:r>
      <w:r>
        <w:rPr>
          <w:rFonts w:cs="Arial"/>
          <w:spacing w:val="-3"/>
        </w:rPr>
        <w:t xml:space="preserve"> y</w:t>
      </w:r>
      <w:r w:rsidRPr="004068F6">
        <w:rPr>
          <w:rFonts w:cs="Arial"/>
          <w:spacing w:val="-3"/>
        </w:rPr>
        <w:t xml:space="preserve"> de la Agencia Nacional de Tierras (ANT), entre otros</w:t>
      </w:r>
      <w:r w:rsidRPr="004068F6">
        <w:rPr>
          <w:spacing w:val="-3"/>
        </w:rPr>
        <w:t>.</w:t>
      </w:r>
    </w:p>
    <w:p w14:paraId="650C74CD" w14:textId="77777777" w:rsidR="00B60AE4" w:rsidRPr="004068F6" w:rsidRDefault="00B60AE4" w:rsidP="00F97C5C">
      <w:pPr>
        <w:numPr>
          <w:ilvl w:val="12"/>
          <w:numId w:val="0"/>
        </w:numPr>
        <w:tabs>
          <w:tab w:val="left" w:pos="-2268"/>
        </w:tabs>
        <w:suppressAutoHyphens/>
        <w:rPr>
          <w:rFonts w:cs="Arial"/>
          <w:spacing w:val="-3"/>
        </w:rPr>
      </w:pPr>
    </w:p>
    <w:p w14:paraId="341B7BBB" w14:textId="5D781E3B" w:rsidR="00F97C5C" w:rsidRPr="004068F6" w:rsidRDefault="00F97C5C" w:rsidP="0068149C">
      <w:pPr>
        <w:pStyle w:val="Ttulo2"/>
        <w:rPr>
          <w:lang w:val="es-CO"/>
        </w:rPr>
      </w:pPr>
      <w:bookmarkStart w:id="2352" w:name="_Toc42552233"/>
      <w:bookmarkStart w:id="2353" w:name="_Toc230879603"/>
      <w:r w:rsidRPr="004068F6">
        <w:rPr>
          <w:lang w:val="es-CO"/>
        </w:rPr>
        <w:t>PAISAJE</w:t>
      </w:r>
      <w:bookmarkEnd w:id="2352"/>
      <w:bookmarkEnd w:id="2353"/>
    </w:p>
    <w:p w14:paraId="1D669046" w14:textId="77777777" w:rsidR="00F97C5C" w:rsidRPr="004068F6" w:rsidRDefault="00F97C5C">
      <w:pPr>
        <w:numPr>
          <w:ilvl w:val="12"/>
          <w:numId w:val="0"/>
        </w:numPr>
        <w:tabs>
          <w:tab w:val="left" w:pos="-2268"/>
        </w:tabs>
        <w:suppressAutoHyphens/>
        <w:rPr>
          <w:spacing w:val="-3"/>
        </w:rPr>
      </w:pPr>
    </w:p>
    <w:p w14:paraId="02B99105" w14:textId="38EE475C" w:rsidR="00F97C5C" w:rsidRPr="004068F6" w:rsidRDefault="00F97C5C">
      <w:pPr>
        <w:numPr>
          <w:ilvl w:val="12"/>
          <w:numId w:val="0"/>
        </w:numPr>
        <w:tabs>
          <w:tab w:val="left" w:pos="-2268"/>
        </w:tabs>
        <w:suppressAutoHyphens/>
        <w:rPr>
          <w:spacing w:val="-3"/>
        </w:rPr>
      </w:pPr>
      <w:r w:rsidRPr="004068F6">
        <w:rPr>
          <w:spacing w:val="-3"/>
        </w:rPr>
        <w:t xml:space="preserve">La caracterización del paisaje debe </w:t>
      </w:r>
      <w:r w:rsidR="00627A1D" w:rsidRPr="004068F6">
        <w:rPr>
          <w:rStyle w:val="normaltextrun"/>
          <w:rFonts w:cs="Arial"/>
          <w:lang w:eastAsia="es-419"/>
        </w:rPr>
        <w:t>abordarse cuantitativa</w:t>
      </w:r>
      <w:r w:rsidR="00627A1D" w:rsidRPr="004068F6">
        <w:rPr>
          <w:rStyle w:val="normaltextrun"/>
        </w:rPr>
        <w:t xml:space="preserve"> y </w:t>
      </w:r>
      <w:r w:rsidR="00627A1D" w:rsidRPr="004068F6">
        <w:rPr>
          <w:rStyle w:val="normaltextrun"/>
          <w:rFonts w:cs="Arial"/>
          <w:lang w:eastAsia="es-419"/>
        </w:rPr>
        <w:t>cualitativamente</w:t>
      </w:r>
      <w:r w:rsidR="004835C8" w:rsidRPr="004068F6">
        <w:rPr>
          <w:rStyle w:val="normaltextrun"/>
          <w:rFonts w:cs="Arial"/>
          <w:lang w:eastAsia="es-419"/>
        </w:rPr>
        <w:t xml:space="preserve"> e </w:t>
      </w:r>
      <w:r w:rsidR="004835C8" w:rsidRPr="004068F6">
        <w:rPr>
          <w:rStyle w:val="normaltextrun"/>
          <w:lang w:eastAsia="es-419"/>
        </w:rPr>
        <w:t xml:space="preserve">integrar coherentemente </w:t>
      </w:r>
      <w:r w:rsidR="00627A1D" w:rsidRPr="004068F6">
        <w:rPr>
          <w:rStyle w:val="normaltextrun"/>
          <w:lang w:eastAsia="es-419"/>
        </w:rPr>
        <w:t xml:space="preserve">información </w:t>
      </w:r>
      <w:r w:rsidR="00627A1D" w:rsidRPr="004068F6">
        <w:rPr>
          <w:rStyle w:val="normaltextrun"/>
        </w:rPr>
        <w:t xml:space="preserve">de los </w:t>
      </w:r>
      <w:r w:rsidR="0099752C" w:rsidRPr="004068F6">
        <w:rPr>
          <w:rStyle w:val="normaltextrun"/>
        </w:rPr>
        <w:t xml:space="preserve">factores y </w:t>
      </w:r>
      <w:r w:rsidR="00627A1D" w:rsidRPr="004068F6">
        <w:rPr>
          <w:rStyle w:val="normaltextrun"/>
        </w:rPr>
        <w:t>componentes asociados a los medios abiótico, biótico y socioeconómico</w:t>
      </w:r>
      <w:r w:rsidR="00CB2A56" w:rsidRPr="004068F6">
        <w:rPr>
          <w:rStyle w:val="normaltextrun"/>
        </w:rPr>
        <w:t xml:space="preserve"> </w:t>
      </w:r>
      <w:r w:rsidR="00F4168B" w:rsidRPr="004068F6">
        <w:rPr>
          <w:rStyle w:val="normaltextrun"/>
          <w:lang w:eastAsia="es-419"/>
        </w:rPr>
        <w:t xml:space="preserve">para </w:t>
      </w:r>
      <w:r w:rsidR="00627A1D" w:rsidRPr="004068F6">
        <w:rPr>
          <w:rStyle w:val="normaltextrun"/>
          <w:lang w:eastAsia="es-419"/>
        </w:rPr>
        <w:t xml:space="preserve">reflejar la realidad </w:t>
      </w:r>
      <w:r w:rsidR="003D1EE1" w:rsidRPr="004068F6">
        <w:rPr>
          <w:rStyle w:val="normaltextrun"/>
          <w:lang w:eastAsia="es-419"/>
        </w:rPr>
        <w:t>del paisaje</w:t>
      </w:r>
      <w:r w:rsidR="00627A1D" w:rsidRPr="004068F6">
        <w:rPr>
          <w:rStyle w:val="normaltextrun"/>
          <w:lang w:eastAsia="es-419"/>
        </w:rPr>
        <w:t xml:space="preserve">. </w:t>
      </w:r>
      <w:r w:rsidR="00F304A6" w:rsidRPr="004068F6">
        <w:rPr>
          <w:lang w:eastAsia="es-419"/>
        </w:rPr>
        <w:t>La caracterización debe desarrollar las siguientes actividades</w:t>
      </w:r>
      <w:r w:rsidRPr="004068F6">
        <w:rPr>
          <w:spacing w:val="-3"/>
        </w:rPr>
        <w:t>:</w:t>
      </w:r>
    </w:p>
    <w:p w14:paraId="23FD1A26" w14:textId="6A37E835" w:rsidR="00F97C5C" w:rsidRPr="004068F6" w:rsidRDefault="00F97C5C" w:rsidP="00F97C5C">
      <w:pPr>
        <w:numPr>
          <w:ilvl w:val="12"/>
          <w:numId w:val="0"/>
        </w:numPr>
        <w:tabs>
          <w:tab w:val="left" w:pos="-2268"/>
        </w:tabs>
        <w:suppressAutoHyphens/>
        <w:rPr>
          <w:rFonts w:cs="Arial"/>
          <w:spacing w:val="-3"/>
        </w:rPr>
      </w:pPr>
    </w:p>
    <w:p w14:paraId="6504C3D4" w14:textId="3D3993E8" w:rsidR="00316922" w:rsidRPr="00CD4321" w:rsidRDefault="00316922" w:rsidP="00127BD4">
      <w:pPr>
        <w:pStyle w:val="Prrafodelista"/>
        <w:numPr>
          <w:ilvl w:val="0"/>
          <w:numId w:val="359"/>
        </w:numPr>
        <w:tabs>
          <w:tab w:val="left" w:pos="-2268"/>
        </w:tabs>
        <w:suppressAutoHyphens/>
        <w:ind w:left="567" w:hanging="567"/>
        <w:rPr>
          <w:rFonts w:cs="Arial"/>
          <w:spacing w:val="-3"/>
        </w:rPr>
      </w:pPr>
      <w:r w:rsidRPr="00127BD4">
        <w:rPr>
          <w:rFonts w:cs="Arial"/>
          <w:spacing w:val="-3"/>
          <w:lang w:val="es-CO"/>
        </w:rPr>
        <w:lastRenderedPageBreak/>
        <w:t>Determinación y descripción de unidades</w:t>
      </w:r>
      <w:r w:rsidR="00211451">
        <w:rPr>
          <w:rFonts w:cs="Arial"/>
          <w:spacing w:val="-3"/>
          <w:lang w:val="es-CO"/>
        </w:rPr>
        <w:t>,</w:t>
      </w:r>
      <w:r w:rsidRPr="00127BD4">
        <w:rPr>
          <w:rFonts w:cs="Arial"/>
          <w:spacing w:val="-3"/>
          <w:lang w:val="es-CO"/>
        </w:rPr>
        <w:t xml:space="preserve"> elementos del paisaje</w:t>
      </w:r>
      <w:r w:rsidR="00211451">
        <w:rPr>
          <w:rFonts w:cs="Arial"/>
          <w:spacing w:val="-3"/>
          <w:lang w:val="es-CO"/>
        </w:rPr>
        <w:t xml:space="preserve"> </w:t>
      </w:r>
      <w:r w:rsidR="00211451" w:rsidRPr="00211451">
        <w:rPr>
          <w:rFonts w:cs="Arial"/>
          <w:spacing w:val="-3"/>
          <w:lang w:val="es-CO"/>
        </w:rPr>
        <w:t>y sitios de interés paisajístico</w:t>
      </w:r>
      <w:r w:rsidRPr="00127BD4">
        <w:rPr>
          <w:rFonts w:cs="Arial"/>
          <w:spacing w:val="-3"/>
          <w:lang w:val="es-CO"/>
        </w:rPr>
        <w:t xml:space="preserve">. </w:t>
      </w:r>
      <w:r w:rsidRPr="00127BD4">
        <w:rPr>
          <w:spacing w:val="-3"/>
        </w:rPr>
        <w:t>Las unidades de paisaje deben definirse a partir de los elementos predominantes de la zona, los cuales pueden estar relacionados, por ejemplo, con el tipo de cobertura predominante, ya sea natural, seminatural o artificial, el relieve o cualquier otra característica fisiográfica. A partir del elemento predominante, se deben generar unidades homogéneas que puedan ser diferenciadas entre sí, caracterizadas y representadas cartográficamente.</w:t>
      </w:r>
    </w:p>
    <w:p w14:paraId="02D9885E" w14:textId="77777777" w:rsidR="00316922" w:rsidRPr="004068F6" w:rsidRDefault="00316922" w:rsidP="00316922"/>
    <w:p w14:paraId="6E512449" w14:textId="48F5C81E" w:rsidR="00316922" w:rsidRPr="00127BD4" w:rsidRDefault="00316922" w:rsidP="00316922">
      <w:pPr>
        <w:pStyle w:val="Prrafodelista"/>
        <w:numPr>
          <w:ilvl w:val="0"/>
          <w:numId w:val="359"/>
        </w:numPr>
        <w:tabs>
          <w:tab w:val="left" w:pos="-2268"/>
        </w:tabs>
        <w:suppressAutoHyphens/>
        <w:ind w:left="567" w:hanging="567"/>
        <w:rPr>
          <w:rFonts w:cs="Arial"/>
          <w:spacing w:val="-3"/>
          <w:lang w:val="es-CO"/>
        </w:rPr>
      </w:pPr>
      <w:r w:rsidRPr="00127BD4">
        <w:rPr>
          <w:rFonts w:cs="Arial"/>
          <w:spacing w:val="-3"/>
          <w:lang w:val="es-CO"/>
        </w:rPr>
        <w:t>Análisis de visibilidad. Debe incluir la localización de los observadores (fijos y móviles) y sitios de interés paisajístico y determinar las escalas visuales o planos en los cuales es visible cada unidad de paisaje. Para lo anterior se deben emplear modelos que consideren factores que influyan en la accesibilidad visual incluyendo, como mínimo, la cobertura de la tierra y el relieve. Se deben presentar los insumos cartográficos de entrada del modelo.</w:t>
      </w:r>
    </w:p>
    <w:p w14:paraId="39E9EFD2" w14:textId="77777777" w:rsidR="00316922" w:rsidRPr="00127BD4" w:rsidRDefault="00316922" w:rsidP="00316922">
      <w:pPr>
        <w:pStyle w:val="Prrafodelista"/>
        <w:tabs>
          <w:tab w:val="left" w:pos="-2268"/>
        </w:tabs>
        <w:suppressAutoHyphens/>
        <w:ind w:left="567"/>
        <w:rPr>
          <w:rFonts w:cs="Arial"/>
          <w:spacing w:val="-3"/>
          <w:lang w:val="es-CO"/>
        </w:rPr>
      </w:pPr>
    </w:p>
    <w:p w14:paraId="5EA21A0A" w14:textId="2FA00C05" w:rsidR="00316922" w:rsidRPr="00127BD4" w:rsidRDefault="00316922" w:rsidP="00127BD4">
      <w:pPr>
        <w:pStyle w:val="Prrafodelista"/>
        <w:numPr>
          <w:ilvl w:val="0"/>
          <w:numId w:val="359"/>
        </w:numPr>
        <w:tabs>
          <w:tab w:val="left" w:pos="-2268"/>
        </w:tabs>
        <w:suppressAutoHyphens/>
        <w:ind w:left="567" w:hanging="567"/>
        <w:rPr>
          <w:rFonts w:cs="Arial"/>
          <w:spacing w:val="-3"/>
          <w:lang w:val="es-CO"/>
        </w:rPr>
      </w:pPr>
      <w:r w:rsidRPr="00127BD4">
        <w:rPr>
          <w:rFonts w:cs="Arial"/>
          <w:spacing w:val="-3"/>
          <w:lang w:val="es-CO"/>
        </w:rPr>
        <w:t>Análisis de calidad visual para cada unidad de paisaje. Debe considerar como mínimo relieve, cobertura de la tierra y grado de intervención.</w:t>
      </w:r>
    </w:p>
    <w:p w14:paraId="0BCDC7CE" w14:textId="77777777" w:rsidR="00316922" w:rsidRPr="00127BD4" w:rsidRDefault="00316922" w:rsidP="00316922">
      <w:pPr>
        <w:pStyle w:val="Prrafodelista"/>
        <w:rPr>
          <w:rFonts w:cs="Arial"/>
          <w:spacing w:val="-3"/>
          <w:lang w:val="es-CO"/>
        </w:rPr>
      </w:pPr>
    </w:p>
    <w:p w14:paraId="7076D8F7" w14:textId="196EAB5E" w:rsidR="00316922" w:rsidRPr="00127BD4" w:rsidRDefault="00316922" w:rsidP="00316922">
      <w:pPr>
        <w:pStyle w:val="Prrafodelista"/>
        <w:numPr>
          <w:ilvl w:val="0"/>
          <w:numId w:val="359"/>
        </w:numPr>
        <w:tabs>
          <w:tab w:val="left" w:pos="-2268"/>
        </w:tabs>
        <w:suppressAutoHyphens/>
        <w:ind w:left="567" w:hanging="567"/>
        <w:rPr>
          <w:rFonts w:cs="Arial"/>
          <w:spacing w:val="-3"/>
          <w:lang w:val="es-CO"/>
        </w:rPr>
      </w:pPr>
      <w:r w:rsidRPr="00127BD4">
        <w:rPr>
          <w:rFonts w:cs="Arial"/>
          <w:spacing w:val="-3"/>
          <w:lang w:val="es-CO"/>
        </w:rPr>
        <w:t>Análisis de fragilidad visual para cada unidad de paisaje. Debe considerar como mínimo pendiente, estructura de la vegetación y contraste.</w:t>
      </w:r>
    </w:p>
    <w:p w14:paraId="1A6E5F3D" w14:textId="77777777" w:rsidR="00316922" w:rsidRPr="004068F6" w:rsidRDefault="00316922" w:rsidP="00316922">
      <w:pPr>
        <w:tabs>
          <w:tab w:val="left" w:pos="-2268"/>
        </w:tabs>
        <w:suppressAutoHyphens/>
        <w:rPr>
          <w:rFonts w:cs="Arial"/>
          <w:spacing w:val="-3"/>
        </w:rPr>
      </w:pPr>
    </w:p>
    <w:p w14:paraId="17486308" w14:textId="2B290352" w:rsidR="00316922" w:rsidRPr="004068F6" w:rsidRDefault="00316922" w:rsidP="00316922">
      <w:pPr>
        <w:numPr>
          <w:ilvl w:val="12"/>
          <w:numId w:val="0"/>
        </w:numPr>
        <w:tabs>
          <w:tab w:val="left" w:pos="-2268"/>
        </w:tabs>
        <w:suppressAutoHyphens/>
        <w:rPr>
          <w:rFonts w:cs="Arial"/>
          <w:spacing w:val="-3"/>
        </w:rPr>
      </w:pPr>
      <w:r w:rsidRPr="004068F6">
        <w:rPr>
          <w:spacing w:val="-3"/>
        </w:rPr>
        <w:t xml:space="preserve">Para la caracterización del paisaje </w:t>
      </w:r>
      <w:r w:rsidRPr="004068F6">
        <w:rPr>
          <w:rFonts w:cs="Arial"/>
          <w:spacing w:val="-3"/>
        </w:rPr>
        <w:t>se debe emplear principalmente información secundaria proveniente de estudios, investigaciones, instrumentos de ordenamiento territorial, planes de desarrollo municipal o departamental, sensores remotos</w:t>
      </w:r>
      <w:r w:rsidR="003D1E4A" w:rsidRPr="003D1E4A">
        <w:rPr>
          <w:rFonts w:cs="Arial"/>
          <w:spacing w:val="-3"/>
        </w:rPr>
        <w:t xml:space="preserve"> </w:t>
      </w:r>
      <w:r w:rsidR="003D1E4A" w:rsidRPr="00BD1319">
        <w:rPr>
          <w:rFonts w:cs="Arial"/>
          <w:spacing w:val="-3"/>
        </w:rPr>
        <w:t>e inventarios de recursos turísticos</w:t>
      </w:r>
      <w:r w:rsidRPr="004068F6">
        <w:rPr>
          <w:rFonts w:cs="Arial"/>
          <w:spacing w:val="-3"/>
        </w:rPr>
        <w:t>, entre otras fuentes.</w:t>
      </w:r>
    </w:p>
    <w:p w14:paraId="4711B14B" w14:textId="77777777" w:rsidR="00DF6D4D" w:rsidRPr="004068F6" w:rsidRDefault="00DF6D4D">
      <w:pPr>
        <w:numPr>
          <w:ilvl w:val="12"/>
          <w:numId w:val="0"/>
        </w:numPr>
        <w:tabs>
          <w:tab w:val="left" w:pos="-2268"/>
        </w:tabs>
        <w:suppressAutoHyphens/>
        <w:rPr>
          <w:spacing w:val="-3"/>
        </w:rPr>
      </w:pPr>
    </w:p>
    <w:p w14:paraId="5C1A0425" w14:textId="77777777" w:rsidR="00C743AB" w:rsidRPr="004068F6" w:rsidRDefault="00C743AB">
      <w:pPr>
        <w:numPr>
          <w:ilvl w:val="12"/>
          <w:numId w:val="0"/>
        </w:numPr>
        <w:tabs>
          <w:tab w:val="left" w:pos="-2268"/>
        </w:tabs>
        <w:suppressAutoHyphens/>
        <w:rPr>
          <w:spacing w:val="-3"/>
        </w:rPr>
      </w:pPr>
    </w:p>
    <w:p w14:paraId="1E1B0B80" w14:textId="17547640" w:rsidR="002905E1" w:rsidRPr="004068F6" w:rsidRDefault="002905E1" w:rsidP="00CB4557">
      <w:pPr>
        <w:pStyle w:val="Ttulo1"/>
        <w:numPr>
          <w:ilvl w:val="0"/>
          <w:numId w:val="8"/>
        </w:numPr>
        <w:rPr>
          <w:lang w:val="es-CO"/>
        </w:rPr>
      </w:pPr>
      <w:bookmarkStart w:id="2354" w:name="_Toc230879604"/>
      <w:r w:rsidRPr="004068F6">
        <w:rPr>
          <w:lang w:val="es-CO"/>
        </w:rPr>
        <w:t>ANÁLISIS DE RIESGOS</w:t>
      </w:r>
      <w:bookmarkEnd w:id="2354"/>
    </w:p>
    <w:p w14:paraId="0E94FF2D" w14:textId="698194E8" w:rsidR="002905E1" w:rsidRPr="004068F6" w:rsidRDefault="002905E1">
      <w:pPr>
        <w:numPr>
          <w:ilvl w:val="12"/>
          <w:numId w:val="0"/>
        </w:numPr>
        <w:tabs>
          <w:tab w:val="left" w:pos="-2268"/>
        </w:tabs>
        <w:suppressAutoHyphens/>
        <w:rPr>
          <w:spacing w:val="-3"/>
        </w:rPr>
      </w:pPr>
    </w:p>
    <w:p w14:paraId="0ED977F2" w14:textId="46549F51" w:rsidR="00A31D6C" w:rsidRPr="004068F6" w:rsidRDefault="00A31D6C" w:rsidP="00C86DA5">
      <w:pPr>
        <w:rPr>
          <w:rFonts w:eastAsia="Arial"/>
        </w:rPr>
      </w:pPr>
      <w:r w:rsidRPr="004068F6">
        <w:rPr>
          <w:rFonts w:eastAsia="Arial"/>
          <w:color w:val="000000" w:themeColor="text1"/>
        </w:rPr>
        <w:t xml:space="preserve">Partiendo de la caracterización ambiental del área de estudio </w:t>
      </w:r>
      <w:r w:rsidR="008E585C" w:rsidRPr="004068F6">
        <w:rPr>
          <w:rFonts w:eastAsia="Arial"/>
          <w:color w:val="000000" w:themeColor="text1"/>
        </w:rPr>
        <w:t xml:space="preserve">de </w:t>
      </w:r>
      <w:r w:rsidRPr="004068F6">
        <w:rPr>
          <w:rFonts w:eastAsia="Arial"/>
          <w:color w:val="000000" w:themeColor="text1"/>
        </w:rPr>
        <w:t xml:space="preserve">cada alternativa </w:t>
      </w:r>
      <w:r w:rsidR="008E585C" w:rsidRPr="004068F6">
        <w:rPr>
          <w:rFonts w:eastAsia="Arial"/>
          <w:color w:val="000000" w:themeColor="text1"/>
        </w:rPr>
        <w:t>contemplada</w:t>
      </w:r>
      <w:r w:rsidR="00AB5969" w:rsidRPr="004068F6">
        <w:rPr>
          <w:rFonts w:eastAsia="Arial"/>
          <w:color w:val="000000" w:themeColor="text1"/>
        </w:rPr>
        <w:t xml:space="preserve">, </w:t>
      </w:r>
      <w:r w:rsidR="0089135A" w:rsidRPr="004068F6">
        <w:rPr>
          <w:rFonts w:eastAsia="Arial"/>
          <w:color w:val="000000" w:themeColor="text1"/>
        </w:rPr>
        <w:t xml:space="preserve">los </w:t>
      </w:r>
      <w:r w:rsidR="00D73316" w:rsidRPr="004068F6">
        <w:rPr>
          <w:rFonts w:eastAsia="Arial"/>
          <w:color w:val="000000" w:themeColor="text1"/>
        </w:rPr>
        <w:t xml:space="preserve">Planes </w:t>
      </w:r>
      <w:r w:rsidR="0089135A" w:rsidRPr="004068F6">
        <w:rPr>
          <w:rFonts w:eastAsia="Arial"/>
          <w:color w:val="000000" w:themeColor="text1"/>
        </w:rPr>
        <w:t>municipales de gestión de riesgo, las</w:t>
      </w:r>
      <w:r w:rsidR="00D73316" w:rsidRPr="004068F6">
        <w:rPr>
          <w:rFonts w:eastAsia="Arial"/>
          <w:color w:val="000000" w:themeColor="text1"/>
        </w:rPr>
        <w:t xml:space="preserve"> Estrategias </w:t>
      </w:r>
      <w:r w:rsidR="0089135A" w:rsidRPr="004068F6">
        <w:rPr>
          <w:rFonts w:eastAsia="Arial"/>
          <w:color w:val="000000" w:themeColor="text1"/>
        </w:rPr>
        <w:t>de respuesta a emergencia</w:t>
      </w:r>
      <w:r w:rsidR="00711CE8" w:rsidRPr="004068F6">
        <w:rPr>
          <w:rFonts w:eastAsia="Arial"/>
          <w:color w:val="000000" w:themeColor="text1"/>
        </w:rPr>
        <w:t xml:space="preserve">, </w:t>
      </w:r>
      <w:r w:rsidR="00D73316" w:rsidRPr="004068F6">
        <w:rPr>
          <w:rFonts w:eastAsia="Arial"/>
          <w:color w:val="000000" w:themeColor="text1"/>
        </w:rPr>
        <w:t xml:space="preserve">los Estudios </w:t>
      </w:r>
      <w:r w:rsidR="00711CE8" w:rsidRPr="004068F6">
        <w:rPr>
          <w:rFonts w:eastAsia="Arial"/>
          <w:color w:val="000000" w:themeColor="text1"/>
        </w:rPr>
        <w:t xml:space="preserve">básicos de amenazas </w:t>
      </w:r>
      <w:r w:rsidR="00D73316" w:rsidRPr="004068F6">
        <w:rPr>
          <w:rFonts w:eastAsia="Arial"/>
          <w:color w:val="000000" w:themeColor="text1"/>
        </w:rPr>
        <w:t xml:space="preserve">y </w:t>
      </w:r>
      <w:r w:rsidR="00711CE8" w:rsidRPr="004068F6">
        <w:rPr>
          <w:rFonts w:eastAsia="Arial"/>
          <w:color w:val="000000" w:themeColor="text1"/>
        </w:rPr>
        <w:t xml:space="preserve">los </w:t>
      </w:r>
      <w:r w:rsidR="00D73316" w:rsidRPr="004068F6">
        <w:rPr>
          <w:rFonts w:eastAsia="Arial"/>
          <w:color w:val="000000" w:themeColor="text1"/>
        </w:rPr>
        <w:t xml:space="preserve">Estudios </w:t>
      </w:r>
      <w:r w:rsidR="00711CE8" w:rsidRPr="004068F6">
        <w:rPr>
          <w:rFonts w:eastAsia="Arial"/>
          <w:color w:val="000000" w:themeColor="text1"/>
        </w:rPr>
        <w:t>detallados de gestión de riesgo</w:t>
      </w:r>
      <w:r w:rsidR="00921DCF" w:rsidRPr="004068F6">
        <w:rPr>
          <w:rFonts w:eastAsia="Arial" w:cs="Arial"/>
          <w:color w:val="000000" w:themeColor="text1"/>
        </w:rPr>
        <w:t xml:space="preserve">, </w:t>
      </w:r>
      <w:r w:rsidR="005C2A93" w:rsidRPr="004068F6">
        <w:rPr>
          <w:rFonts w:eastAsia="Arial" w:cs="Arial"/>
          <w:color w:val="000000" w:themeColor="text1"/>
        </w:rPr>
        <w:t>así como de las actividades señaladas en la descripción del proyecto,</w:t>
      </w:r>
      <w:r w:rsidR="007010FB" w:rsidRPr="004068F6">
        <w:rPr>
          <w:rFonts w:eastAsia="Arial"/>
          <w:color w:val="000000" w:themeColor="text1"/>
        </w:rPr>
        <w:t xml:space="preserve"> </w:t>
      </w:r>
      <w:r w:rsidR="007010FB" w:rsidRPr="004068F6">
        <w:rPr>
          <w:rFonts w:eastAsia="Arial" w:cs="Arial"/>
          <w:color w:val="000000" w:themeColor="text1"/>
        </w:rPr>
        <w:t xml:space="preserve">obra o actividad </w:t>
      </w:r>
      <w:r w:rsidRPr="004068F6">
        <w:rPr>
          <w:rFonts w:eastAsia="Arial" w:cs="Arial"/>
          <w:color w:val="000000" w:themeColor="text1"/>
        </w:rPr>
        <w:t xml:space="preserve">se debe </w:t>
      </w:r>
      <w:r w:rsidRPr="004068F6">
        <w:rPr>
          <w:rFonts w:eastAsia="Arial" w:cs="Arial"/>
        </w:rPr>
        <w:t xml:space="preserve">adelantar el proceso </w:t>
      </w:r>
      <w:r w:rsidR="00FD2252" w:rsidRPr="004068F6">
        <w:rPr>
          <w:rFonts w:eastAsia="Arial" w:cs="Arial"/>
        </w:rPr>
        <w:t xml:space="preserve">de </w:t>
      </w:r>
      <w:r w:rsidRPr="004068F6">
        <w:rPr>
          <w:rFonts w:eastAsia="Arial" w:cs="Arial"/>
        </w:rPr>
        <w:t xml:space="preserve">conocimiento del riesgo </w:t>
      </w:r>
      <w:r w:rsidR="008E585C" w:rsidRPr="004068F6">
        <w:rPr>
          <w:rFonts w:eastAsia="Arial" w:cs="Arial"/>
        </w:rPr>
        <w:t>ejecutando las siguientes acciones</w:t>
      </w:r>
      <w:r w:rsidRPr="004068F6">
        <w:rPr>
          <w:rFonts w:eastAsia="Arial" w:cs="Arial"/>
        </w:rPr>
        <w:t>:</w:t>
      </w:r>
    </w:p>
    <w:p w14:paraId="47DB26DA" w14:textId="77777777" w:rsidR="00A31D6C" w:rsidRPr="004068F6" w:rsidRDefault="00A31D6C" w:rsidP="00C86DA5">
      <w:pPr>
        <w:rPr>
          <w:rFonts w:eastAsia="Arial"/>
        </w:rPr>
      </w:pPr>
    </w:p>
    <w:p w14:paraId="3D6E4BEB" w14:textId="472777D7" w:rsidR="00A31D6C" w:rsidRPr="004068F6" w:rsidRDefault="00A31D6C" w:rsidP="00713F06">
      <w:pPr>
        <w:pStyle w:val="Prrafodelista"/>
        <w:numPr>
          <w:ilvl w:val="0"/>
          <w:numId w:val="5"/>
        </w:numPr>
        <w:ind w:left="567" w:hanging="567"/>
        <w:contextualSpacing/>
        <w:rPr>
          <w:rFonts w:eastAsia="Arial" w:cs="Arial"/>
          <w:lang w:val="es-CO"/>
        </w:rPr>
      </w:pPr>
      <w:bookmarkStart w:id="2355" w:name="_Hlk41422675"/>
      <w:r w:rsidRPr="004068F6">
        <w:rPr>
          <w:rFonts w:eastAsia="Arial" w:cs="Arial"/>
          <w:lang w:val="es-CO"/>
        </w:rPr>
        <w:t>Identificación</w:t>
      </w:r>
      <w:r w:rsidR="005C2A93" w:rsidRPr="004068F6">
        <w:rPr>
          <w:rFonts w:eastAsia="Arial" w:cs="Arial"/>
          <w:lang w:val="es-CO"/>
        </w:rPr>
        <w:t>,</w:t>
      </w:r>
      <w:r w:rsidRPr="004068F6">
        <w:rPr>
          <w:rFonts w:eastAsia="Arial" w:cs="Arial"/>
          <w:lang w:val="es-CO"/>
        </w:rPr>
        <w:t xml:space="preserve"> </w:t>
      </w:r>
      <w:r w:rsidR="008E585C" w:rsidRPr="004068F6">
        <w:rPr>
          <w:rFonts w:eastAsia="Arial" w:cs="Arial"/>
          <w:lang w:val="es-CO"/>
        </w:rPr>
        <w:t xml:space="preserve">descripción </w:t>
      </w:r>
      <w:r w:rsidR="005C2A93" w:rsidRPr="004068F6">
        <w:rPr>
          <w:rFonts w:eastAsia="Arial" w:cs="Arial"/>
          <w:lang w:val="es-CO"/>
        </w:rPr>
        <w:t xml:space="preserve">y análisis </w:t>
      </w:r>
      <w:r w:rsidRPr="004068F6">
        <w:rPr>
          <w:rFonts w:eastAsia="Arial" w:cs="Arial"/>
          <w:lang w:val="es-CO"/>
        </w:rPr>
        <w:t xml:space="preserve">de </w:t>
      </w:r>
      <w:r w:rsidR="005C2A93" w:rsidRPr="004068F6">
        <w:rPr>
          <w:rFonts w:eastAsia="Arial" w:cs="Arial"/>
          <w:lang w:val="es-CO"/>
        </w:rPr>
        <w:t xml:space="preserve">las amenazas de origen </w:t>
      </w:r>
      <w:r w:rsidRPr="004068F6">
        <w:rPr>
          <w:rFonts w:eastAsia="Arial" w:cs="Arial"/>
          <w:lang w:val="es-CO"/>
        </w:rPr>
        <w:t xml:space="preserve">exógeno que se pueden presentar </w:t>
      </w:r>
      <w:r w:rsidR="005C2A93" w:rsidRPr="004068F6">
        <w:rPr>
          <w:rFonts w:eastAsia="Arial" w:cs="Arial"/>
          <w:lang w:val="es-CO"/>
        </w:rPr>
        <w:t xml:space="preserve">para </w:t>
      </w:r>
      <w:r w:rsidRPr="004068F6">
        <w:rPr>
          <w:rFonts w:eastAsia="Arial" w:cs="Arial"/>
          <w:lang w:val="es-CO"/>
        </w:rPr>
        <w:t xml:space="preserve">cada alternativa </w:t>
      </w:r>
      <w:bookmarkEnd w:id="2355"/>
      <w:r w:rsidR="005C2A93" w:rsidRPr="004068F6">
        <w:rPr>
          <w:rFonts w:eastAsia="Arial" w:cs="Arial"/>
          <w:lang w:val="es-CO"/>
        </w:rPr>
        <w:t>contemplada</w:t>
      </w:r>
      <w:r w:rsidRPr="004068F6">
        <w:rPr>
          <w:rFonts w:eastAsia="Arial" w:cs="Arial"/>
          <w:lang w:val="es-CO"/>
        </w:rPr>
        <w:t xml:space="preserve">, considerando </w:t>
      </w:r>
      <w:r w:rsidR="005C2A93" w:rsidRPr="004068F6">
        <w:rPr>
          <w:rFonts w:eastAsia="Arial" w:cs="Arial"/>
          <w:lang w:val="es-CO"/>
        </w:rPr>
        <w:t xml:space="preserve">aquellas </w:t>
      </w:r>
      <w:r w:rsidR="008C2580" w:rsidRPr="004068F6">
        <w:rPr>
          <w:rFonts w:eastAsia="Arial" w:cs="Arial"/>
          <w:lang w:val="es-CO"/>
        </w:rPr>
        <w:t xml:space="preserve">que son </w:t>
      </w:r>
      <w:r w:rsidRPr="004068F6">
        <w:rPr>
          <w:rFonts w:eastAsia="Arial" w:cs="Arial"/>
          <w:lang w:val="es-CO"/>
        </w:rPr>
        <w:t>propi</w:t>
      </w:r>
      <w:r w:rsidR="005C2A93" w:rsidRPr="004068F6">
        <w:rPr>
          <w:rFonts w:eastAsia="Arial" w:cs="Arial"/>
          <w:lang w:val="es-CO"/>
        </w:rPr>
        <w:t>a</w:t>
      </w:r>
      <w:r w:rsidRPr="004068F6">
        <w:rPr>
          <w:rFonts w:eastAsia="Arial" w:cs="Arial"/>
          <w:lang w:val="es-CO"/>
        </w:rPr>
        <w:t xml:space="preserve">s del territorio dónde se </w:t>
      </w:r>
      <w:r w:rsidR="005C2A93" w:rsidRPr="004068F6">
        <w:rPr>
          <w:rFonts w:eastAsia="Arial" w:cs="Arial"/>
          <w:lang w:val="es-CO"/>
        </w:rPr>
        <w:t>propone el desarrollo d</w:t>
      </w:r>
      <w:r w:rsidRPr="004068F6">
        <w:rPr>
          <w:rFonts w:eastAsia="Arial" w:cs="Arial"/>
          <w:lang w:val="es-CO"/>
        </w:rPr>
        <w:t>el proyecto</w:t>
      </w:r>
      <w:r w:rsidR="00921DCF" w:rsidRPr="004068F6">
        <w:rPr>
          <w:rFonts w:eastAsia="Arial" w:cs="Arial"/>
          <w:lang w:val="es-CO"/>
        </w:rPr>
        <w:t>, obra o actividad</w:t>
      </w:r>
      <w:r w:rsidR="005C2A93" w:rsidRPr="004068F6">
        <w:rPr>
          <w:rFonts w:eastAsia="Arial" w:cs="Arial"/>
          <w:lang w:val="es-CO"/>
        </w:rPr>
        <w:t xml:space="preserve"> y empleando como soporte los instrumentos de ordenamiento y planificación ambiental del territorio</w:t>
      </w:r>
      <w:r w:rsidRPr="004068F6">
        <w:rPr>
          <w:rFonts w:eastAsia="Arial" w:cs="Arial"/>
          <w:lang w:val="es-CO"/>
        </w:rPr>
        <w:t>.</w:t>
      </w:r>
      <w:r w:rsidR="009A1AFB" w:rsidRPr="004068F6">
        <w:rPr>
          <w:rFonts w:eastAsia="Arial" w:cs="Arial"/>
          <w:lang w:val="es-CO"/>
        </w:rPr>
        <w:t xml:space="preserve"> Esta identificación debe </w:t>
      </w:r>
      <w:r w:rsidR="009A1AFB" w:rsidRPr="004068F6">
        <w:rPr>
          <w:rFonts w:eastAsia="Arial" w:cs="Arial"/>
          <w:lang w:val="es-CO"/>
        </w:rPr>
        <w:lastRenderedPageBreak/>
        <w:t>realizarse empleando lo consignado en el numeral de caracterización ambiental y la información secundaria más reciente, a la escala más detallada posible.</w:t>
      </w:r>
    </w:p>
    <w:p w14:paraId="4B633E3A" w14:textId="77777777" w:rsidR="00A31D6C" w:rsidRPr="004068F6" w:rsidRDefault="00A31D6C" w:rsidP="00C86DA5">
      <w:pPr>
        <w:ind w:left="567" w:hanging="567"/>
        <w:contextualSpacing/>
        <w:rPr>
          <w:rFonts w:eastAsia="Arial" w:cs="Arial"/>
        </w:rPr>
      </w:pPr>
    </w:p>
    <w:p w14:paraId="39571854" w14:textId="5F7131B6" w:rsidR="00A31D6C" w:rsidRPr="004068F6" w:rsidRDefault="00A31D6C" w:rsidP="00713F06">
      <w:pPr>
        <w:pStyle w:val="Prrafodelista"/>
        <w:numPr>
          <w:ilvl w:val="0"/>
          <w:numId w:val="5"/>
        </w:numPr>
        <w:ind w:left="567" w:hanging="567"/>
        <w:contextualSpacing/>
        <w:rPr>
          <w:rFonts w:eastAsia="Arial" w:cs="Arial"/>
          <w:lang w:val="es-CO"/>
        </w:rPr>
      </w:pPr>
      <w:r w:rsidRPr="004068F6">
        <w:rPr>
          <w:rFonts w:eastAsia="Arial" w:cs="Arial"/>
          <w:lang w:val="es-CO"/>
        </w:rPr>
        <w:t xml:space="preserve">Identificación y </w:t>
      </w:r>
      <w:r w:rsidR="008E585C" w:rsidRPr="004068F6">
        <w:rPr>
          <w:rFonts w:eastAsia="Arial" w:cs="Arial"/>
          <w:lang w:val="es-CO"/>
        </w:rPr>
        <w:t xml:space="preserve">descripción </w:t>
      </w:r>
      <w:r w:rsidRPr="004068F6">
        <w:rPr>
          <w:rFonts w:eastAsia="Arial" w:cs="Arial"/>
          <w:lang w:val="es-CO"/>
        </w:rPr>
        <w:t xml:space="preserve">de </w:t>
      </w:r>
      <w:r w:rsidR="005C2A93" w:rsidRPr="004068F6">
        <w:rPr>
          <w:rFonts w:eastAsia="Arial" w:cs="Arial"/>
          <w:lang w:val="es-CO"/>
        </w:rPr>
        <w:t xml:space="preserve">las amenazas de origen </w:t>
      </w:r>
      <w:r w:rsidRPr="004068F6">
        <w:rPr>
          <w:rFonts w:eastAsia="Arial" w:cs="Arial"/>
          <w:lang w:val="es-CO"/>
        </w:rPr>
        <w:t xml:space="preserve">endógeno </w:t>
      </w:r>
      <w:r w:rsidR="00E26BB2" w:rsidRPr="004068F6">
        <w:rPr>
          <w:rFonts w:eastAsia="Arial" w:cs="Arial"/>
          <w:lang w:val="es-CO"/>
        </w:rPr>
        <w:t xml:space="preserve">asociadas a la naturaleza </w:t>
      </w:r>
      <w:r w:rsidR="005E7BBE" w:rsidRPr="004068F6">
        <w:rPr>
          <w:rFonts w:eastAsia="Arial" w:cs="Arial"/>
          <w:lang w:val="es-CO"/>
        </w:rPr>
        <w:t xml:space="preserve">del proyecto, obra o actividad </w:t>
      </w:r>
      <w:r w:rsidRPr="004068F6">
        <w:rPr>
          <w:rFonts w:eastAsia="Arial" w:cs="Arial"/>
          <w:lang w:val="es-CO"/>
        </w:rPr>
        <w:t>que pued</w:t>
      </w:r>
      <w:r w:rsidR="005E7BBE" w:rsidRPr="004068F6">
        <w:rPr>
          <w:rFonts w:eastAsia="Arial" w:cs="Arial"/>
          <w:lang w:val="es-CO"/>
        </w:rPr>
        <w:t>a</w:t>
      </w:r>
      <w:r w:rsidRPr="004068F6">
        <w:rPr>
          <w:rFonts w:eastAsia="Arial" w:cs="Arial"/>
          <w:lang w:val="es-CO"/>
        </w:rPr>
        <w:t>n presentar</w:t>
      </w:r>
      <w:r w:rsidR="005C2A93" w:rsidRPr="004068F6">
        <w:rPr>
          <w:rFonts w:eastAsia="Arial" w:cs="Arial"/>
          <w:lang w:val="es-CO"/>
        </w:rPr>
        <w:t>se</w:t>
      </w:r>
      <w:r w:rsidRPr="004068F6">
        <w:rPr>
          <w:rFonts w:eastAsia="Arial" w:cs="Arial"/>
          <w:lang w:val="es-CO"/>
        </w:rPr>
        <w:t xml:space="preserve"> en cada una de </w:t>
      </w:r>
      <w:r w:rsidR="005E7BBE" w:rsidRPr="004068F6">
        <w:rPr>
          <w:rFonts w:eastAsia="Arial" w:cs="Arial"/>
          <w:lang w:val="es-CO"/>
        </w:rPr>
        <w:t xml:space="preserve">sus </w:t>
      </w:r>
      <w:r w:rsidRPr="004068F6">
        <w:rPr>
          <w:rFonts w:eastAsia="Arial" w:cs="Arial"/>
          <w:lang w:val="es-CO"/>
        </w:rPr>
        <w:t>etapas</w:t>
      </w:r>
      <w:r w:rsidR="005E7BBE" w:rsidRPr="004068F6">
        <w:rPr>
          <w:rFonts w:eastAsia="Arial" w:cs="Arial"/>
          <w:lang w:val="es-CO"/>
        </w:rPr>
        <w:t xml:space="preserve"> de ejecución y </w:t>
      </w:r>
      <w:r w:rsidR="005C2A93" w:rsidRPr="004068F6">
        <w:rPr>
          <w:rFonts w:eastAsia="Arial" w:cs="Arial"/>
          <w:lang w:val="es-CO"/>
        </w:rPr>
        <w:t>que pueda</w:t>
      </w:r>
      <w:r w:rsidR="005E7BBE" w:rsidRPr="004068F6">
        <w:rPr>
          <w:rFonts w:eastAsia="Arial" w:cs="Arial"/>
          <w:lang w:val="es-CO"/>
        </w:rPr>
        <w:t>n</w:t>
      </w:r>
      <w:r w:rsidR="005C2A93" w:rsidRPr="004068F6">
        <w:rPr>
          <w:rFonts w:eastAsia="Arial" w:cs="Arial"/>
          <w:lang w:val="es-CO"/>
        </w:rPr>
        <w:t xml:space="preserve"> llegar a afectar los elementos </w:t>
      </w:r>
      <w:r w:rsidR="00BE110C" w:rsidRPr="004068F6">
        <w:rPr>
          <w:rFonts w:eastAsia="Arial" w:cs="Arial"/>
          <w:lang w:val="es-CO"/>
        </w:rPr>
        <w:t>expuestos de los medios abiótico, biótico y socioeconómico</w:t>
      </w:r>
      <w:r w:rsidRPr="004068F6">
        <w:rPr>
          <w:rFonts w:eastAsia="Arial" w:cs="Arial"/>
          <w:lang w:val="es-CO"/>
        </w:rPr>
        <w:t xml:space="preserve">. </w:t>
      </w:r>
    </w:p>
    <w:p w14:paraId="5D4D1F83" w14:textId="77777777" w:rsidR="00A31D6C" w:rsidRPr="004068F6" w:rsidRDefault="00A31D6C" w:rsidP="00C86DA5">
      <w:pPr>
        <w:ind w:left="567" w:hanging="567"/>
        <w:rPr>
          <w:rFonts w:eastAsia="Arial"/>
        </w:rPr>
      </w:pPr>
    </w:p>
    <w:p w14:paraId="1ECF63B4" w14:textId="009623DC" w:rsidR="005E7BBE" w:rsidRPr="00127BD4" w:rsidRDefault="005E7BBE" w:rsidP="008A4FE9">
      <w:pPr>
        <w:pStyle w:val="Prrafodelista"/>
        <w:numPr>
          <w:ilvl w:val="0"/>
          <w:numId w:val="5"/>
        </w:numPr>
        <w:ind w:left="567" w:hanging="567"/>
        <w:contextualSpacing/>
        <w:rPr>
          <w:rFonts w:eastAsia="Arial" w:cs="Arial"/>
          <w:lang w:val="es-CO"/>
        </w:rPr>
      </w:pPr>
      <w:r w:rsidRPr="004068F6">
        <w:rPr>
          <w:rFonts w:eastAsia="Arial" w:cs="Arial"/>
          <w:lang w:val="es-CO"/>
        </w:rPr>
        <w:t>Análisis de probabilidad para las amenazas identificadas</w:t>
      </w:r>
      <w:r w:rsidR="007010FB" w:rsidRPr="004068F6">
        <w:rPr>
          <w:rFonts w:eastAsia="Arial" w:cs="Arial"/>
          <w:lang w:val="es-CO"/>
        </w:rPr>
        <w:t>,</w:t>
      </w:r>
      <w:r w:rsidRPr="004068F6">
        <w:rPr>
          <w:rFonts w:eastAsia="Arial" w:cs="Arial"/>
          <w:lang w:val="es-CO"/>
        </w:rPr>
        <w:t xml:space="preserve"> basad</w:t>
      </w:r>
      <w:r w:rsidR="007010FB" w:rsidRPr="004068F6">
        <w:rPr>
          <w:rFonts w:eastAsia="Arial" w:cs="Arial"/>
          <w:lang w:val="es-CO"/>
        </w:rPr>
        <w:t>o</w:t>
      </w:r>
      <w:r w:rsidRPr="004068F6">
        <w:rPr>
          <w:rFonts w:eastAsia="Arial" w:cs="Arial"/>
          <w:lang w:val="es-CO"/>
        </w:rPr>
        <w:t xml:space="preserve"> en fuentes de información verificables.</w:t>
      </w:r>
    </w:p>
    <w:p w14:paraId="4D9F8F4F" w14:textId="77777777" w:rsidR="005E7BBE" w:rsidRPr="004068F6" w:rsidRDefault="005E7BBE" w:rsidP="00C86DA5">
      <w:pPr>
        <w:ind w:left="567" w:hanging="567"/>
        <w:rPr>
          <w:rFonts w:eastAsia="Arial"/>
        </w:rPr>
      </w:pPr>
    </w:p>
    <w:p w14:paraId="26E5A5B4" w14:textId="7F6AE09D" w:rsidR="004E15CB" w:rsidRPr="004068F6" w:rsidRDefault="00A31D6C" w:rsidP="004E15CB">
      <w:pPr>
        <w:pStyle w:val="Prrafodelista"/>
        <w:numPr>
          <w:ilvl w:val="0"/>
          <w:numId w:val="46"/>
        </w:numPr>
        <w:ind w:left="567" w:hanging="567"/>
        <w:rPr>
          <w:rFonts w:eastAsia="Arial" w:cs="Arial"/>
          <w:lang w:val="es-CO"/>
        </w:rPr>
      </w:pPr>
      <w:r w:rsidRPr="004068F6">
        <w:rPr>
          <w:rFonts w:eastAsia="Arial"/>
          <w:lang w:val="es-CO"/>
        </w:rPr>
        <w:t>Identifica</w:t>
      </w:r>
      <w:r w:rsidR="004E6DDC" w:rsidRPr="004068F6">
        <w:rPr>
          <w:rFonts w:eastAsia="Arial"/>
          <w:lang w:val="es-CO"/>
        </w:rPr>
        <w:t xml:space="preserve">ción </w:t>
      </w:r>
      <w:r w:rsidR="004E15CB" w:rsidRPr="004068F6">
        <w:rPr>
          <w:rFonts w:eastAsia="Arial"/>
          <w:lang w:val="es-CO"/>
        </w:rPr>
        <w:t xml:space="preserve">y </w:t>
      </w:r>
      <w:r w:rsidR="00E73E86" w:rsidRPr="004068F6">
        <w:rPr>
          <w:rFonts w:eastAsia="Arial"/>
          <w:lang w:val="es-CO"/>
        </w:rPr>
        <w:t>georreferenciación</w:t>
      </w:r>
      <w:r w:rsidR="004E15CB" w:rsidRPr="004068F6">
        <w:rPr>
          <w:rFonts w:eastAsia="Arial"/>
          <w:lang w:val="es-CO"/>
        </w:rPr>
        <w:t xml:space="preserve">, </w:t>
      </w:r>
      <w:r w:rsidR="004E15CB" w:rsidRPr="004068F6">
        <w:rPr>
          <w:rFonts w:eastAsia="Arial" w:cs="Arial"/>
          <w:lang w:val="es-CO"/>
        </w:rPr>
        <w:t>para cada alternativa,</w:t>
      </w:r>
      <w:r w:rsidR="004E15CB" w:rsidRPr="004068F6">
        <w:rPr>
          <w:rFonts w:eastAsia="Arial"/>
          <w:lang w:val="es-CO"/>
        </w:rPr>
        <w:t xml:space="preserve"> </w:t>
      </w:r>
      <w:r w:rsidR="004E6DDC" w:rsidRPr="004068F6">
        <w:rPr>
          <w:rFonts w:eastAsia="Arial"/>
          <w:lang w:val="es-CO"/>
        </w:rPr>
        <w:t xml:space="preserve">de </w:t>
      </w:r>
      <w:r w:rsidRPr="004068F6">
        <w:rPr>
          <w:rFonts w:eastAsia="Arial" w:cs="Arial"/>
          <w:lang w:val="es-CO"/>
        </w:rPr>
        <w:t>elementos expuestos</w:t>
      </w:r>
      <w:r w:rsidR="00FD2252" w:rsidRPr="004068F6">
        <w:rPr>
          <w:rFonts w:eastAsia="Arial" w:cs="Arial"/>
          <w:lang w:val="es-CO"/>
        </w:rPr>
        <w:t xml:space="preserve"> </w:t>
      </w:r>
      <w:r w:rsidR="004E15CB" w:rsidRPr="004068F6">
        <w:rPr>
          <w:rFonts w:eastAsia="Arial" w:cs="Arial"/>
          <w:lang w:val="es-CO"/>
        </w:rPr>
        <w:t xml:space="preserve">a </w:t>
      </w:r>
      <w:r w:rsidR="008C2580" w:rsidRPr="004068F6">
        <w:rPr>
          <w:rFonts w:eastAsia="Arial" w:cs="Arial"/>
          <w:lang w:val="es-CO"/>
        </w:rPr>
        <w:t xml:space="preserve">las </w:t>
      </w:r>
      <w:r w:rsidR="004E15CB" w:rsidRPr="004068F6">
        <w:rPr>
          <w:rFonts w:eastAsia="Arial" w:cs="Arial"/>
          <w:lang w:val="es-CO"/>
        </w:rPr>
        <w:t>probables afectaciones de las amenazas analizadas</w:t>
      </w:r>
      <w:r w:rsidR="00AF264D" w:rsidRPr="004068F6">
        <w:rPr>
          <w:rFonts w:eastAsia="Arial" w:cs="Arial"/>
          <w:lang w:val="es-CO"/>
        </w:rPr>
        <w:t>.</w:t>
      </w:r>
      <w:r w:rsidR="00AF264D" w:rsidRPr="00127BD4">
        <w:rPr>
          <w:rFonts w:eastAsia="Arial" w:cs="Arial"/>
          <w:lang w:val="es-CO"/>
        </w:rPr>
        <w:t xml:space="preserve"> Esto incluye</w:t>
      </w:r>
      <w:r w:rsidR="004E15CB" w:rsidRPr="004068F6">
        <w:rPr>
          <w:rFonts w:eastAsia="Arial" w:cs="Arial"/>
          <w:lang w:val="es-CO"/>
        </w:rPr>
        <w:t xml:space="preserve">, asentamientos humanos dispersos y nucleados, infraestructura social, </w:t>
      </w:r>
      <w:r w:rsidR="008A495E" w:rsidRPr="004068F6">
        <w:rPr>
          <w:rFonts w:eastAsia="Arial" w:cs="Arial"/>
          <w:lang w:val="es-CO"/>
        </w:rPr>
        <w:t>condiciones sociales relevantes</w:t>
      </w:r>
      <w:r w:rsidR="004E15CB" w:rsidRPr="004068F6">
        <w:rPr>
          <w:rFonts w:eastAsia="Arial" w:cs="Arial"/>
          <w:lang w:val="es-CO"/>
        </w:rPr>
        <w:t xml:space="preserve"> áreas destinadas a la producción económica (agropecuaria, forestal, pesquera, acuícola, minera, entre otras), acuíferos, </w:t>
      </w:r>
      <w:r w:rsidR="00A10EEF" w:rsidRPr="00127BD4">
        <w:rPr>
          <w:lang w:val="es-CO"/>
        </w:rPr>
        <w:t>áreas de especial interés ambiental</w:t>
      </w:r>
      <w:r w:rsidR="004E15CB" w:rsidRPr="004068F6">
        <w:rPr>
          <w:rFonts w:eastAsia="Arial" w:cs="Arial"/>
          <w:lang w:val="es-CO"/>
        </w:rPr>
        <w:t>, áreas degradadas, sitios de captación de agua, bocatomas, sistemas de riego, áreas con reglamentación especial definida en los instrumentos de ordenamiento y planificación del territorio.</w:t>
      </w:r>
      <w:r w:rsidR="009E094C" w:rsidRPr="004068F6">
        <w:rPr>
          <w:rFonts w:eastAsia="Arial" w:cs="Arial"/>
          <w:lang w:val="es-CO"/>
        </w:rPr>
        <w:t xml:space="preserve"> Esta identificación debe realizarse empleando lo consignado en el numeral de caracterización ambiental y la información secundaria más reciente, a la escala más detallada posible.</w:t>
      </w:r>
    </w:p>
    <w:p w14:paraId="585E281B" w14:textId="4CA09C2A" w:rsidR="00713F06" w:rsidRPr="004068F6" w:rsidRDefault="00713F06" w:rsidP="008A4FE9">
      <w:pPr>
        <w:contextualSpacing/>
        <w:rPr>
          <w:rFonts w:eastAsia="Arial"/>
        </w:rPr>
      </w:pPr>
    </w:p>
    <w:p w14:paraId="0A4E7853" w14:textId="68930BB8" w:rsidR="00A31D6C" w:rsidRPr="004068F6" w:rsidRDefault="004E6DDC" w:rsidP="00713F06">
      <w:pPr>
        <w:pStyle w:val="Prrafodelista"/>
        <w:numPr>
          <w:ilvl w:val="0"/>
          <w:numId w:val="46"/>
        </w:numPr>
        <w:ind w:left="567" w:hanging="567"/>
        <w:contextualSpacing/>
        <w:rPr>
          <w:rFonts w:eastAsia="Arial" w:cs="Arial"/>
          <w:lang w:val="es-CO"/>
        </w:rPr>
      </w:pPr>
      <w:r w:rsidRPr="004068F6">
        <w:rPr>
          <w:rFonts w:eastAsia="Arial" w:cs="Arial"/>
          <w:lang w:val="es-CO"/>
        </w:rPr>
        <w:t>A</w:t>
      </w:r>
      <w:r w:rsidR="00A31D6C" w:rsidRPr="004068F6">
        <w:rPr>
          <w:rFonts w:eastAsia="Arial"/>
          <w:lang w:val="es-CO"/>
        </w:rPr>
        <w:t xml:space="preserve">nálisis </w:t>
      </w:r>
      <w:r w:rsidR="00A31D6C" w:rsidRPr="004068F6">
        <w:rPr>
          <w:rFonts w:eastAsia="Arial" w:cs="Arial"/>
          <w:lang w:val="es-CO"/>
        </w:rPr>
        <w:t xml:space="preserve">de vulnerabilidad </w:t>
      </w:r>
      <w:r w:rsidR="00BD51AF" w:rsidRPr="004068F6">
        <w:rPr>
          <w:rFonts w:eastAsia="Arial"/>
          <w:lang w:val="es-CO"/>
        </w:rPr>
        <w:t xml:space="preserve">semicuantitativo o cuantitativo </w:t>
      </w:r>
      <w:r w:rsidR="00A31D6C" w:rsidRPr="004068F6">
        <w:rPr>
          <w:rFonts w:eastAsia="Arial"/>
          <w:lang w:val="es-CO"/>
        </w:rPr>
        <w:t xml:space="preserve">con </w:t>
      </w:r>
      <w:r w:rsidR="00A31D6C" w:rsidRPr="004068F6">
        <w:rPr>
          <w:rFonts w:eastAsia="Arial" w:cs="Arial"/>
          <w:lang w:val="es-CO"/>
        </w:rPr>
        <w:t xml:space="preserve">base en </w:t>
      </w:r>
      <w:r w:rsidR="00A31D6C" w:rsidRPr="004068F6">
        <w:rPr>
          <w:rFonts w:eastAsia="Arial"/>
          <w:lang w:val="es-CO"/>
        </w:rPr>
        <w:t xml:space="preserve">los </w:t>
      </w:r>
      <w:r w:rsidR="00A31D6C" w:rsidRPr="004068F6">
        <w:rPr>
          <w:rFonts w:eastAsia="Arial" w:cs="Arial"/>
          <w:lang w:val="es-CO"/>
        </w:rPr>
        <w:t>elementos expuestos identificados</w:t>
      </w:r>
      <w:r w:rsidR="00BD51AF" w:rsidRPr="004068F6">
        <w:rPr>
          <w:rFonts w:eastAsia="Arial" w:cs="Arial"/>
          <w:lang w:val="es-CO"/>
        </w:rPr>
        <w:t xml:space="preserve"> y la sensibilidad ambiental del área de estudio</w:t>
      </w:r>
      <w:r w:rsidR="00A31D6C" w:rsidRPr="004068F6">
        <w:rPr>
          <w:rFonts w:eastAsia="Arial" w:cs="Arial"/>
          <w:lang w:val="es-CO"/>
        </w:rPr>
        <w:t>.</w:t>
      </w:r>
    </w:p>
    <w:p w14:paraId="28C32130" w14:textId="77777777" w:rsidR="00A31D6C" w:rsidRPr="004068F6" w:rsidRDefault="00A31D6C" w:rsidP="00C86DA5">
      <w:pPr>
        <w:contextualSpacing/>
        <w:rPr>
          <w:rFonts w:eastAsia="Arial"/>
        </w:rPr>
      </w:pPr>
    </w:p>
    <w:p w14:paraId="482AE58A" w14:textId="61F04E43" w:rsidR="007010FB" w:rsidRPr="00127BD4" w:rsidRDefault="0084251B" w:rsidP="008A4FE9">
      <w:pPr>
        <w:pStyle w:val="Prrafodelista"/>
        <w:numPr>
          <w:ilvl w:val="0"/>
          <w:numId w:val="46"/>
        </w:numPr>
        <w:ind w:left="567" w:hanging="567"/>
        <w:contextualSpacing/>
        <w:rPr>
          <w:lang w:val="es-CO"/>
        </w:rPr>
      </w:pPr>
      <w:r w:rsidRPr="004068F6">
        <w:rPr>
          <w:rFonts w:eastAsia="Arial" w:cs="Arial"/>
          <w:lang w:val="es-CO"/>
        </w:rPr>
        <w:t>A</w:t>
      </w:r>
      <w:r w:rsidR="00A31D6C" w:rsidRPr="004068F6">
        <w:rPr>
          <w:rFonts w:eastAsia="Arial" w:cs="Arial"/>
          <w:lang w:val="es-CO"/>
        </w:rPr>
        <w:t xml:space="preserve">nálisis de riesgo </w:t>
      </w:r>
      <w:r w:rsidR="00ED0253" w:rsidRPr="004068F6">
        <w:rPr>
          <w:rFonts w:eastAsia="Arial" w:cs="Arial"/>
          <w:lang w:val="es-CO"/>
        </w:rPr>
        <w:t xml:space="preserve">semicuantitativo o cuantitativo </w:t>
      </w:r>
      <w:r w:rsidR="009E57BE" w:rsidRPr="004068F6">
        <w:rPr>
          <w:rFonts w:eastAsia="Arial" w:cs="Arial"/>
          <w:lang w:val="es-CO"/>
        </w:rPr>
        <w:t>para cada alternativa</w:t>
      </w:r>
      <w:r w:rsidR="00F52694" w:rsidRPr="004068F6">
        <w:rPr>
          <w:rFonts w:eastAsia="Arial" w:cs="Arial"/>
          <w:lang w:val="es-CO"/>
        </w:rPr>
        <w:t xml:space="preserve"> (empleado la información disponible más reciente y detallada posible)</w:t>
      </w:r>
      <w:r w:rsidR="00A31D6C" w:rsidRPr="004068F6">
        <w:rPr>
          <w:rFonts w:eastAsia="Arial" w:cs="Arial"/>
          <w:lang w:val="es-CO"/>
        </w:rPr>
        <w:t xml:space="preserve">, </w:t>
      </w:r>
      <w:r w:rsidR="007010FB" w:rsidRPr="004068F6">
        <w:rPr>
          <w:rFonts w:eastAsia="Arial" w:cs="Arial"/>
          <w:lang w:val="es-CO"/>
        </w:rPr>
        <w:t xml:space="preserve">a partir de </w:t>
      </w:r>
      <w:r w:rsidR="009E57BE" w:rsidRPr="004068F6">
        <w:rPr>
          <w:rFonts w:eastAsia="Arial" w:cs="Arial"/>
          <w:lang w:val="es-CO"/>
        </w:rPr>
        <w:t xml:space="preserve">la interacción entre </w:t>
      </w:r>
      <w:r w:rsidR="00A31D6C" w:rsidRPr="004068F6">
        <w:rPr>
          <w:rFonts w:eastAsia="Arial" w:cs="Arial"/>
          <w:lang w:val="es-CO"/>
        </w:rPr>
        <w:t>las amenazas y la vulnerabilidad</w:t>
      </w:r>
      <w:r w:rsidR="00B65918" w:rsidRPr="004068F6">
        <w:rPr>
          <w:rFonts w:eastAsia="Arial" w:cs="Arial"/>
          <w:lang w:val="es-CO"/>
        </w:rPr>
        <w:t xml:space="preserve"> de los elementos expuestos. </w:t>
      </w:r>
      <w:r w:rsidR="007010FB" w:rsidRPr="004068F6">
        <w:rPr>
          <w:rFonts w:eastAsia="Arial" w:cs="Arial"/>
          <w:lang w:val="es-CO"/>
        </w:rPr>
        <w:t>Se debe r</w:t>
      </w:r>
      <w:r w:rsidR="00B65918" w:rsidRPr="004068F6">
        <w:rPr>
          <w:rFonts w:eastAsia="Arial" w:cs="Arial"/>
          <w:lang w:val="es-CO"/>
        </w:rPr>
        <w:t xml:space="preserve">ealizar una </w:t>
      </w:r>
      <w:r w:rsidR="00A31D6C" w:rsidRPr="004068F6">
        <w:rPr>
          <w:rFonts w:eastAsia="Arial" w:cs="Arial"/>
          <w:lang w:val="es-CO"/>
        </w:rPr>
        <w:t>descri</w:t>
      </w:r>
      <w:r w:rsidR="00B65918" w:rsidRPr="004068F6">
        <w:rPr>
          <w:rFonts w:eastAsia="Arial" w:cs="Arial"/>
          <w:lang w:val="es-CO"/>
        </w:rPr>
        <w:t xml:space="preserve">pción </w:t>
      </w:r>
      <w:r w:rsidR="00A31D6C" w:rsidRPr="004068F6">
        <w:rPr>
          <w:rFonts w:eastAsia="Arial" w:cs="Arial"/>
          <w:lang w:val="es-CO"/>
        </w:rPr>
        <w:t>detallada</w:t>
      </w:r>
      <w:r w:rsidR="00B65918" w:rsidRPr="004068F6">
        <w:rPr>
          <w:rFonts w:eastAsia="Arial" w:cs="Arial"/>
          <w:lang w:val="es-CO"/>
        </w:rPr>
        <w:t xml:space="preserve"> de </w:t>
      </w:r>
      <w:r w:rsidR="00A31D6C" w:rsidRPr="004068F6">
        <w:rPr>
          <w:rFonts w:eastAsia="Arial"/>
          <w:lang w:val="es-CO"/>
        </w:rPr>
        <w:t xml:space="preserve">la </w:t>
      </w:r>
      <w:r w:rsidR="00A31D6C" w:rsidRPr="004068F6">
        <w:rPr>
          <w:rFonts w:eastAsia="Arial" w:cs="Arial"/>
          <w:lang w:val="es-CO"/>
        </w:rPr>
        <w:t>metodología utilizada.</w:t>
      </w:r>
    </w:p>
    <w:p w14:paraId="203E2901" w14:textId="77777777" w:rsidR="00A31D6C" w:rsidRPr="004068F6" w:rsidRDefault="00A31D6C" w:rsidP="00C86DA5"/>
    <w:p w14:paraId="3C2E66DA" w14:textId="3653869D" w:rsidR="00A31D6C" w:rsidRPr="004068F6" w:rsidRDefault="007010FB" w:rsidP="009420F5">
      <w:pPr>
        <w:contextualSpacing/>
        <w:rPr>
          <w:rFonts w:eastAsia="Arial" w:cs="Arial"/>
        </w:rPr>
      </w:pPr>
      <w:r w:rsidRPr="004068F6">
        <w:rPr>
          <w:rFonts w:eastAsia="Arial" w:cs="Arial"/>
        </w:rPr>
        <w:t>L</w:t>
      </w:r>
      <w:r w:rsidR="00C161D8" w:rsidRPr="004068F6">
        <w:rPr>
          <w:rFonts w:eastAsia="Arial" w:cs="Arial"/>
        </w:rPr>
        <w:t>os r</w:t>
      </w:r>
      <w:r w:rsidR="00A31D6C" w:rsidRPr="004068F6">
        <w:rPr>
          <w:rFonts w:eastAsia="Arial" w:cs="Arial"/>
        </w:rPr>
        <w:t xml:space="preserve">esultados </w:t>
      </w:r>
      <w:r w:rsidR="008C2580" w:rsidRPr="004068F6">
        <w:rPr>
          <w:rFonts w:eastAsia="Arial" w:cs="Arial"/>
        </w:rPr>
        <w:t xml:space="preserve">de </w:t>
      </w:r>
      <w:r w:rsidR="00D85DE3" w:rsidRPr="004068F6">
        <w:rPr>
          <w:rFonts w:eastAsia="Arial" w:cs="Arial"/>
        </w:rPr>
        <w:t xml:space="preserve">los análisis de amenazas, vulnerabilidad (con los elementos expuestos) y riesgos </w:t>
      </w:r>
      <w:r w:rsidRPr="004068F6">
        <w:rPr>
          <w:rFonts w:eastAsia="Arial" w:cs="Arial"/>
        </w:rPr>
        <w:t xml:space="preserve">que se obtengan </w:t>
      </w:r>
      <w:r w:rsidR="008C2580" w:rsidRPr="004068F6">
        <w:rPr>
          <w:rFonts w:eastAsia="Arial" w:cs="Arial"/>
        </w:rPr>
        <w:t xml:space="preserve">para cada alternativa </w:t>
      </w:r>
      <w:r w:rsidR="00C161D8" w:rsidRPr="004068F6">
        <w:rPr>
          <w:rFonts w:eastAsia="Arial" w:cs="Arial"/>
        </w:rPr>
        <w:t xml:space="preserve">deben </w:t>
      </w:r>
      <w:r w:rsidRPr="004068F6">
        <w:rPr>
          <w:rFonts w:eastAsia="Arial" w:cs="Arial"/>
        </w:rPr>
        <w:t xml:space="preserve">ser </w:t>
      </w:r>
      <w:r w:rsidR="008C2580" w:rsidRPr="004068F6">
        <w:rPr>
          <w:rFonts w:eastAsia="Arial" w:cs="Arial"/>
        </w:rPr>
        <w:t>incorpora</w:t>
      </w:r>
      <w:r w:rsidRPr="004068F6">
        <w:rPr>
          <w:rFonts w:eastAsia="Arial" w:cs="Arial"/>
        </w:rPr>
        <w:t>dos</w:t>
      </w:r>
      <w:r w:rsidR="008C2580" w:rsidRPr="004068F6">
        <w:rPr>
          <w:rFonts w:eastAsia="Arial" w:cs="Arial"/>
        </w:rPr>
        <w:t xml:space="preserve"> al Modelo de Almacenamiento</w:t>
      </w:r>
      <w:r w:rsidRPr="004068F6">
        <w:rPr>
          <w:rFonts w:eastAsia="Arial" w:cs="Arial"/>
        </w:rPr>
        <w:t xml:space="preserve"> Geográfico</w:t>
      </w:r>
      <w:r w:rsidR="007D1592" w:rsidRPr="004068F6">
        <w:rPr>
          <w:rFonts w:eastAsia="Arial" w:cs="Arial"/>
        </w:rPr>
        <w:t xml:space="preserve"> (MAG)</w:t>
      </w:r>
      <w:r w:rsidR="00A31D6C" w:rsidRPr="004068F6">
        <w:rPr>
          <w:rFonts w:eastAsia="Arial" w:cs="Arial"/>
        </w:rPr>
        <w:t>.</w:t>
      </w:r>
    </w:p>
    <w:p w14:paraId="15D040B3" w14:textId="77777777" w:rsidR="00392BF4" w:rsidRPr="004068F6" w:rsidRDefault="00392BF4">
      <w:pPr>
        <w:numPr>
          <w:ilvl w:val="12"/>
          <w:numId w:val="0"/>
        </w:numPr>
        <w:tabs>
          <w:tab w:val="left" w:pos="-2268"/>
        </w:tabs>
        <w:suppressAutoHyphens/>
        <w:rPr>
          <w:spacing w:val="-3"/>
        </w:rPr>
      </w:pPr>
    </w:p>
    <w:p w14:paraId="0CCB6357" w14:textId="77777777" w:rsidR="00DF6D4D" w:rsidRPr="004068F6" w:rsidRDefault="00DF6D4D">
      <w:pPr>
        <w:numPr>
          <w:ilvl w:val="12"/>
          <w:numId w:val="0"/>
        </w:numPr>
        <w:tabs>
          <w:tab w:val="left" w:pos="-2268"/>
        </w:tabs>
        <w:suppressAutoHyphens/>
        <w:rPr>
          <w:spacing w:val="-3"/>
        </w:rPr>
      </w:pPr>
    </w:p>
    <w:p w14:paraId="485E5F20" w14:textId="18238153" w:rsidR="005464E1" w:rsidRPr="004068F6" w:rsidRDefault="005464E1" w:rsidP="00CB4557">
      <w:pPr>
        <w:pStyle w:val="Ttulo1"/>
        <w:numPr>
          <w:ilvl w:val="0"/>
          <w:numId w:val="8"/>
        </w:numPr>
        <w:rPr>
          <w:lang w:val="es-CO"/>
        </w:rPr>
      </w:pPr>
      <w:bookmarkStart w:id="2356" w:name="_Toc437936006"/>
      <w:bookmarkStart w:id="2357" w:name="_Ref230861983"/>
      <w:bookmarkStart w:id="2358" w:name="_Toc230879605"/>
      <w:r w:rsidRPr="004068F6">
        <w:rPr>
          <w:lang w:val="es-CO"/>
        </w:rPr>
        <w:lastRenderedPageBreak/>
        <w:t>ZONIFICACIÓN AMBIENTAL</w:t>
      </w:r>
      <w:r w:rsidRPr="004068F6">
        <w:rPr>
          <w:vertAlign w:val="superscript"/>
          <w:lang w:val="es-CO"/>
        </w:rPr>
        <w:footnoteReference w:id="61"/>
      </w:r>
      <w:bookmarkEnd w:id="2356"/>
      <w:bookmarkEnd w:id="2357"/>
      <w:bookmarkEnd w:id="2358"/>
    </w:p>
    <w:p w14:paraId="6774197A" w14:textId="34B157CA" w:rsidR="005464E1" w:rsidRPr="004068F6" w:rsidRDefault="005464E1">
      <w:pPr>
        <w:numPr>
          <w:ilvl w:val="12"/>
          <w:numId w:val="0"/>
        </w:numPr>
        <w:tabs>
          <w:tab w:val="left" w:pos="-2268"/>
        </w:tabs>
        <w:suppressAutoHyphens/>
        <w:rPr>
          <w:spacing w:val="-3"/>
        </w:rPr>
      </w:pPr>
    </w:p>
    <w:p w14:paraId="2021567A" w14:textId="079367DA" w:rsidR="007242D6" w:rsidRPr="004068F6" w:rsidRDefault="007242D6" w:rsidP="007242D6">
      <w:pPr>
        <w:numPr>
          <w:ilvl w:val="12"/>
          <w:numId w:val="0"/>
        </w:numPr>
        <w:tabs>
          <w:tab w:val="left" w:pos="-2268"/>
        </w:tabs>
        <w:suppressAutoHyphens/>
        <w:rPr>
          <w:b/>
          <w:spacing w:val="-3"/>
        </w:rPr>
      </w:pPr>
      <w:r w:rsidRPr="004068F6">
        <w:rPr>
          <w:spacing w:val="-3"/>
        </w:rPr>
        <w:t>A partir de la información recabada en la caracterización del área de estudio</w:t>
      </w:r>
      <w:r w:rsidRPr="004068F6">
        <w:rPr>
          <w:rFonts w:cs="Arial"/>
          <w:spacing w:val="-3"/>
        </w:rPr>
        <w:t xml:space="preserve">, </w:t>
      </w:r>
      <w:r w:rsidRPr="004068F6">
        <w:rPr>
          <w:spacing w:val="-3"/>
        </w:rPr>
        <w:t xml:space="preserve">se deben espacializar </w:t>
      </w:r>
      <w:r w:rsidRPr="004068F6">
        <w:rPr>
          <w:rFonts w:cs="Arial"/>
          <w:spacing w:val="-3"/>
        </w:rPr>
        <w:t>áreas</w:t>
      </w:r>
      <w:r w:rsidRPr="004068F6">
        <w:rPr>
          <w:spacing w:val="-3"/>
        </w:rPr>
        <w:t xml:space="preserve"> homogéneas de acuerdo con la susceptibilidad a la alteración de los factores ambientales </w:t>
      </w:r>
      <w:r w:rsidRPr="004068F6">
        <w:rPr>
          <w:rFonts w:cs="Arial"/>
          <w:spacing w:val="-3"/>
        </w:rPr>
        <w:t xml:space="preserve">de los componentes de </w:t>
      </w:r>
      <w:r w:rsidR="00E41568" w:rsidRPr="004068F6">
        <w:rPr>
          <w:rFonts w:cs="Arial"/>
          <w:spacing w:val="-3"/>
        </w:rPr>
        <w:t xml:space="preserve">los </w:t>
      </w:r>
      <w:r w:rsidRPr="004068F6">
        <w:rPr>
          <w:rFonts w:cs="Arial"/>
          <w:spacing w:val="-3"/>
        </w:rPr>
        <w:t>medios abiótico, biótico y socioeconómico</w:t>
      </w:r>
      <w:r w:rsidRPr="004068F6">
        <w:rPr>
          <w:spacing w:val="-3"/>
        </w:rPr>
        <w:t>.</w:t>
      </w:r>
    </w:p>
    <w:p w14:paraId="39FF4F87" w14:textId="77777777" w:rsidR="007242D6" w:rsidRPr="004068F6" w:rsidRDefault="007242D6" w:rsidP="007242D6">
      <w:pPr>
        <w:numPr>
          <w:ilvl w:val="12"/>
          <w:numId w:val="0"/>
        </w:numPr>
        <w:tabs>
          <w:tab w:val="left" w:pos="-2268"/>
        </w:tabs>
        <w:suppressAutoHyphens/>
        <w:rPr>
          <w:spacing w:val="-3"/>
        </w:rPr>
      </w:pPr>
    </w:p>
    <w:p w14:paraId="34FA484F" w14:textId="37892D1B" w:rsidR="00573DF8" w:rsidRDefault="00D915C8" w:rsidP="007242D6">
      <w:pPr>
        <w:numPr>
          <w:ilvl w:val="12"/>
          <w:numId w:val="0"/>
        </w:numPr>
        <w:tabs>
          <w:tab w:val="left" w:pos="-2268"/>
        </w:tabs>
        <w:suppressAutoHyphens/>
        <w:rPr>
          <w:rFonts w:cs="Arial"/>
          <w:spacing w:val="-3"/>
        </w:rPr>
      </w:pPr>
      <w:r>
        <w:rPr>
          <w:spacing w:val="-3"/>
        </w:rPr>
        <w:t>Específicamente</w:t>
      </w:r>
      <w:r w:rsidR="004977D5" w:rsidRPr="004068F6">
        <w:rPr>
          <w:spacing w:val="-3"/>
        </w:rPr>
        <w:t xml:space="preserve">, </w:t>
      </w:r>
      <w:r w:rsidR="00F00D8E">
        <w:rPr>
          <w:spacing w:val="-3"/>
        </w:rPr>
        <w:t xml:space="preserve">el </w:t>
      </w:r>
      <w:r w:rsidR="00FB4819" w:rsidRPr="004068F6">
        <w:rPr>
          <w:spacing w:val="-3"/>
        </w:rPr>
        <w:t>área de estudio</w:t>
      </w:r>
      <w:r w:rsidR="0025760C" w:rsidRPr="004068F6">
        <w:rPr>
          <w:spacing w:val="-3"/>
        </w:rPr>
        <w:t xml:space="preserve"> </w:t>
      </w:r>
      <w:r w:rsidR="00B75467">
        <w:rPr>
          <w:spacing w:val="-3"/>
        </w:rPr>
        <w:t xml:space="preserve">del DAA y el área en la que se manifiestan los impactos ambientales significativos </w:t>
      </w:r>
      <w:r w:rsidR="00AE2C02">
        <w:rPr>
          <w:spacing w:val="-3"/>
        </w:rPr>
        <w:t xml:space="preserve">negativos </w:t>
      </w:r>
      <w:r w:rsidR="00B75467">
        <w:rPr>
          <w:spacing w:val="-3"/>
        </w:rPr>
        <w:t xml:space="preserve">de cada alternativa </w:t>
      </w:r>
      <w:r w:rsidR="00C5664B">
        <w:rPr>
          <w:spacing w:val="-3"/>
        </w:rPr>
        <w:t>debe</w:t>
      </w:r>
      <w:r w:rsidR="00B75467">
        <w:rPr>
          <w:spacing w:val="-3"/>
        </w:rPr>
        <w:t>n</w:t>
      </w:r>
      <w:r w:rsidR="00C5664B">
        <w:rPr>
          <w:spacing w:val="-3"/>
        </w:rPr>
        <w:t xml:space="preserve"> subdividirse en </w:t>
      </w:r>
      <w:r w:rsidR="00666DEA" w:rsidRPr="004068F6">
        <w:rPr>
          <w:spacing w:val="-3"/>
        </w:rPr>
        <w:t xml:space="preserve">zonas </w:t>
      </w:r>
      <w:r w:rsidR="00AB5C51" w:rsidRPr="004068F6">
        <w:rPr>
          <w:spacing w:val="-3"/>
        </w:rPr>
        <w:t xml:space="preserve">geográficas </w:t>
      </w:r>
      <w:r w:rsidR="0025760C" w:rsidRPr="004068F6">
        <w:rPr>
          <w:spacing w:val="-3"/>
        </w:rPr>
        <w:t xml:space="preserve">con </w:t>
      </w:r>
      <w:r w:rsidR="009B60E0" w:rsidRPr="004068F6">
        <w:rPr>
          <w:spacing w:val="-3"/>
        </w:rPr>
        <w:t>diferente</w:t>
      </w:r>
      <w:r w:rsidR="008475B2">
        <w:rPr>
          <w:spacing w:val="-3"/>
        </w:rPr>
        <w:t>s</w:t>
      </w:r>
      <w:r w:rsidR="009B60E0" w:rsidRPr="004068F6">
        <w:rPr>
          <w:spacing w:val="-3"/>
        </w:rPr>
        <w:t xml:space="preserve"> </w:t>
      </w:r>
      <w:r w:rsidR="008475B2">
        <w:rPr>
          <w:spacing w:val="-3"/>
        </w:rPr>
        <w:t xml:space="preserve">grados de </w:t>
      </w:r>
      <w:r w:rsidR="0025760C" w:rsidRPr="004068F6">
        <w:rPr>
          <w:spacing w:val="-3"/>
        </w:rPr>
        <w:t>sensibilidad ambiental</w:t>
      </w:r>
      <w:r w:rsidR="00CE210D">
        <w:rPr>
          <w:spacing w:val="-3"/>
        </w:rPr>
        <w:t>.</w:t>
      </w:r>
      <w:r w:rsidR="009B60E0" w:rsidRPr="004068F6">
        <w:rPr>
          <w:spacing w:val="-3"/>
        </w:rPr>
        <w:t xml:space="preserve"> </w:t>
      </w:r>
      <w:r w:rsidR="00CE210D">
        <w:rPr>
          <w:spacing w:val="-3"/>
        </w:rPr>
        <w:t>L</w:t>
      </w:r>
      <w:r w:rsidR="00AF0670" w:rsidRPr="004068F6">
        <w:rPr>
          <w:spacing w:val="-3"/>
        </w:rPr>
        <w:t xml:space="preserve">a </w:t>
      </w:r>
      <w:r w:rsidR="009B60E0" w:rsidRPr="004068F6">
        <w:rPr>
          <w:spacing w:val="-3"/>
        </w:rPr>
        <w:t xml:space="preserve">sensibilidad </w:t>
      </w:r>
      <w:r w:rsidR="00AF0670" w:rsidRPr="004068F6">
        <w:rPr>
          <w:spacing w:val="-3"/>
        </w:rPr>
        <w:t xml:space="preserve">ambiental de cada zona </w:t>
      </w:r>
      <w:r w:rsidR="00996A54" w:rsidRPr="004068F6">
        <w:rPr>
          <w:spacing w:val="-3"/>
        </w:rPr>
        <w:t xml:space="preserve">debe </w:t>
      </w:r>
      <w:r w:rsidR="009B60E0" w:rsidRPr="004068F6">
        <w:rPr>
          <w:spacing w:val="-3"/>
        </w:rPr>
        <w:t xml:space="preserve">ser </w:t>
      </w:r>
      <w:r w:rsidR="00996A54" w:rsidRPr="004068F6">
        <w:rPr>
          <w:spacing w:val="-3"/>
        </w:rPr>
        <w:t xml:space="preserve">clasificada en </w:t>
      </w:r>
      <w:r w:rsidR="00AF0670" w:rsidRPr="004068F6">
        <w:rPr>
          <w:spacing w:val="-3"/>
        </w:rPr>
        <w:t xml:space="preserve">una </w:t>
      </w:r>
      <w:r w:rsidR="00A1405A" w:rsidRPr="004068F6">
        <w:rPr>
          <w:spacing w:val="-3"/>
        </w:rPr>
        <w:t xml:space="preserve">de </w:t>
      </w:r>
      <w:r w:rsidR="00996A54" w:rsidRPr="004068F6">
        <w:rPr>
          <w:spacing w:val="-3"/>
        </w:rPr>
        <w:t xml:space="preserve">las </w:t>
      </w:r>
      <w:r w:rsidR="00A1405A" w:rsidRPr="004068F6">
        <w:rPr>
          <w:spacing w:val="-3"/>
        </w:rPr>
        <w:t xml:space="preserve">siguientes </w:t>
      </w:r>
      <w:r w:rsidR="009B60E0" w:rsidRPr="004068F6">
        <w:rPr>
          <w:rFonts w:cs="Arial"/>
          <w:spacing w:val="-3"/>
        </w:rPr>
        <w:t>categorías</w:t>
      </w:r>
      <w:r w:rsidR="00A1405A" w:rsidRPr="004068F6">
        <w:rPr>
          <w:rFonts w:cs="Arial"/>
          <w:spacing w:val="-3"/>
        </w:rPr>
        <w:t>:</w:t>
      </w:r>
      <w:r w:rsidR="009B60E0" w:rsidRPr="004068F6">
        <w:rPr>
          <w:spacing w:val="-3"/>
        </w:rPr>
        <w:t xml:space="preserve"> </w:t>
      </w:r>
      <w:r w:rsidR="0025760C" w:rsidRPr="004068F6">
        <w:rPr>
          <w:spacing w:val="-3"/>
        </w:rPr>
        <w:t>“</w:t>
      </w:r>
      <w:r w:rsidR="0025760C" w:rsidRPr="004068F6">
        <w:rPr>
          <w:rFonts w:cs="Arial"/>
          <w:spacing w:val="-3"/>
        </w:rPr>
        <w:t xml:space="preserve">muy baja”, “baja”, “media”, “alta” </w:t>
      </w:r>
      <w:r w:rsidR="00A1405A" w:rsidRPr="004068F6">
        <w:rPr>
          <w:rFonts w:cs="Arial"/>
          <w:spacing w:val="-3"/>
        </w:rPr>
        <w:t>y</w:t>
      </w:r>
      <w:r w:rsidR="0025760C" w:rsidRPr="004068F6">
        <w:rPr>
          <w:rFonts w:cs="Arial"/>
          <w:spacing w:val="-3"/>
        </w:rPr>
        <w:t xml:space="preserve"> “muy alta”</w:t>
      </w:r>
      <w:r w:rsidR="00A1405A" w:rsidRPr="004068F6">
        <w:rPr>
          <w:rFonts w:cs="Arial"/>
          <w:spacing w:val="-3"/>
        </w:rPr>
        <w:t>.</w:t>
      </w:r>
    </w:p>
    <w:p w14:paraId="35DE0C8E" w14:textId="77777777" w:rsidR="00573DF8" w:rsidRDefault="00573DF8" w:rsidP="007242D6">
      <w:pPr>
        <w:numPr>
          <w:ilvl w:val="12"/>
          <w:numId w:val="0"/>
        </w:numPr>
        <w:tabs>
          <w:tab w:val="left" w:pos="-2268"/>
        </w:tabs>
        <w:suppressAutoHyphens/>
        <w:rPr>
          <w:rFonts w:cs="Arial"/>
          <w:spacing w:val="-3"/>
        </w:rPr>
      </w:pPr>
    </w:p>
    <w:p w14:paraId="129AB348" w14:textId="29C0AF80" w:rsidR="007242D6" w:rsidRPr="004068F6" w:rsidRDefault="005250C7" w:rsidP="007242D6">
      <w:pPr>
        <w:numPr>
          <w:ilvl w:val="12"/>
          <w:numId w:val="0"/>
        </w:numPr>
        <w:tabs>
          <w:tab w:val="left" w:pos="-2268"/>
        </w:tabs>
        <w:suppressAutoHyphens/>
        <w:rPr>
          <w:spacing w:val="-3"/>
        </w:rPr>
      </w:pPr>
      <w:r>
        <w:rPr>
          <w:rFonts w:cs="Arial"/>
          <w:spacing w:val="-3"/>
        </w:rPr>
        <w:t xml:space="preserve">El proceso para </w:t>
      </w:r>
      <w:r w:rsidR="00BA3F02">
        <w:rPr>
          <w:rFonts w:cs="Arial"/>
          <w:spacing w:val="-3"/>
        </w:rPr>
        <w:t xml:space="preserve">desarrollar esta </w:t>
      </w:r>
      <w:r w:rsidR="00E2275D" w:rsidRPr="004068F6">
        <w:rPr>
          <w:rFonts w:cs="Arial"/>
          <w:spacing w:val="-3"/>
        </w:rPr>
        <w:t>zonifica</w:t>
      </w:r>
      <w:r w:rsidR="00BA3F02">
        <w:rPr>
          <w:rFonts w:cs="Arial"/>
          <w:spacing w:val="-3"/>
        </w:rPr>
        <w:t xml:space="preserve">ción </w:t>
      </w:r>
      <w:r w:rsidR="00C75D60" w:rsidRPr="004068F6">
        <w:rPr>
          <w:rFonts w:cs="Arial"/>
          <w:spacing w:val="-3"/>
        </w:rPr>
        <w:t>de</w:t>
      </w:r>
      <w:r w:rsidR="00185EA9">
        <w:rPr>
          <w:rFonts w:cs="Arial"/>
          <w:spacing w:val="-3"/>
        </w:rPr>
        <w:t xml:space="preserve">be </w:t>
      </w:r>
      <w:r w:rsidR="00977A48">
        <w:rPr>
          <w:rFonts w:cs="Arial"/>
          <w:spacing w:val="-3"/>
        </w:rPr>
        <w:t xml:space="preserve">partir de </w:t>
      </w:r>
      <w:r w:rsidR="00185EA9">
        <w:rPr>
          <w:rFonts w:cs="Arial"/>
          <w:spacing w:val="-3"/>
        </w:rPr>
        <w:t xml:space="preserve">las </w:t>
      </w:r>
      <w:r w:rsidR="00977A48">
        <w:rPr>
          <w:rFonts w:cs="Arial"/>
          <w:spacing w:val="-3"/>
        </w:rPr>
        <w:t xml:space="preserve">características </w:t>
      </w:r>
      <w:r w:rsidR="007317F2">
        <w:rPr>
          <w:rFonts w:cs="Arial"/>
          <w:spacing w:val="-3"/>
        </w:rPr>
        <w:t xml:space="preserve">de las </w:t>
      </w:r>
      <w:r w:rsidR="00CB5766">
        <w:rPr>
          <w:rFonts w:cs="Arial"/>
          <w:spacing w:val="-3"/>
        </w:rPr>
        <w:t xml:space="preserve">unidades de análisis de los componentes </w:t>
      </w:r>
      <w:r w:rsidR="005462D4">
        <w:rPr>
          <w:rFonts w:cs="Arial"/>
          <w:spacing w:val="-3"/>
        </w:rPr>
        <w:t xml:space="preserve">ambientales, establecer </w:t>
      </w:r>
      <w:r w:rsidR="00EB22AA">
        <w:rPr>
          <w:rFonts w:cs="Arial"/>
          <w:spacing w:val="-3"/>
        </w:rPr>
        <w:t xml:space="preserve">el </w:t>
      </w:r>
      <w:r w:rsidR="005462D4">
        <w:rPr>
          <w:rFonts w:cs="Arial"/>
          <w:spacing w:val="-3"/>
        </w:rPr>
        <w:t xml:space="preserve">grado de sensibilidad </w:t>
      </w:r>
      <w:r w:rsidR="00C729B9">
        <w:rPr>
          <w:rFonts w:cs="Arial"/>
          <w:spacing w:val="-3"/>
        </w:rPr>
        <w:t xml:space="preserve">ambiental </w:t>
      </w:r>
      <w:r w:rsidR="00D724CA">
        <w:rPr>
          <w:rFonts w:cs="Arial"/>
          <w:spacing w:val="-3"/>
        </w:rPr>
        <w:t xml:space="preserve">de las unidades de análisis </w:t>
      </w:r>
      <w:r w:rsidR="005462D4">
        <w:rPr>
          <w:rFonts w:cs="Arial"/>
          <w:spacing w:val="-3"/>
        </w:rPr>
        <w:t>a partir de tales características</w:t>
      </w:r>
      <w:r w:rsidR="006F18C0">
        <w:rPr>
          <w:rFonts w:cs="Arial"/>
          <w:spacing w:val="-3"/>
        </w:rPr>
        <w:t xml:space="preserve"> e integrar coherentemente </w:t>
      </w:r>
      <w:r w:rsidR="006C5EDB">
        <w:rPr>
          <w:rFonts w:cs="Arial"/>
          <w:spacing w:val="-3"/>
        </w:rPr>
        <w:t xml:space="preserve">dicha </w:t>
      </w:r>
      <w:r w:rsidR="006F18C0">
        <w:rPr>
          <w:rFonts w:cs="Arial"/>
          <w:spacing w:val="-3"/>
        </w:rPr>
        <w:t xml:space="preserve">información geográfica para </w:t>
      </w:r>
      <w:r w:rsidR="00974A6F">
        <w:rPr>
          <w:rFonts w:cs="Arial"/>
          <w:spacing w:val="-3"/>
        </w:rPr>
        <w:t>establecer</w:t>
      </w:r>
      <w:r w:rsidR="002335AF">
        <w:rPr>
          <w:rFonts w:cs="Arial"/>
          <w:spacing w:val="-3"/>
        </w:rPr>
        <w:t>: i)</w:t>
      </w:r>
      <w:r w:rsidR="00974A6F">
        <w:rPr>
          <w:rFonts w:cs="Arial"/>
          <w:spacing w:val="-3"/>
        </w:rPr>
        <w:t xml:space="preserve"> </w:t>
      </w:r>
      <w:r w:rsidR="0064741B" w:rsidRPr="004068F6">
        <w:rPr>
          <w:rFonts w:cs="Arial"/>
          <w:spacing w:val="-3"/>
        </w:rPr>
        <w:t xml:space="preserve">la </w:t>
      </w:r>
      <w:r w:rsidR="00D03606" w:rsidRPr="004068F6">
        <w:rPr>
          <w:rFonts w:cs="Arial"/>
          <w:spacing w:val="-3"/>
        </w:rPr>
        <w:t xml:space="preserve">zonificación </w:t>
      </w:r>
      <w:r w:rsidR="00284A37">
        <w:rPr>
          <w:rFonts w:cs="Arial"/>
          <w:spacing w:val="-3"/>
        </w:rPr>
        <w:t xml:space="preserve">ambiental del área de manifestación de los impactos significativos negativos </w:t>
      </w:r>
      <w:r w:rsidR="00D03606" w:rsidRPr="004068F6">
        <w:rPr>
          <w:rFonts w:cs="Arial"/>
          <w:spacing w:val="-3"/>
        </w:rPr>
        <w:t xml:space="preserve">de </w:t>
      </w:r>
      <w:r w:rsidR="005E2CC2">
        <w:rPr>
          <w:rFonts w:cs="Arial"/>
          <w:spacing w:val="-3"/>
        </w:rPr>
        <w:t xml:space="preserve">cada </w:t>
      </w:r>
      <w:r w:rsidR="00D03606" w:rsidRPr="004068F6">
        <w:rPr>
          <w:rFonts w:cs="Arial"/>
          <w:spacing w:val="-3"/>
        </w:rPr>
        <w:t xml:space="preserve">alternativa </w:t>
      </w:r>
      <w:r w:rsidR="00A468DC" w:rsidRPr="004068F6">
        <w:rPr>
          <w:rFonts w:cs="Arial"/>
          <w:spacing w:val="-3"/>
        </w:rPr>
        <w:t xml:space="preserve">y </w:t>
      </w:r>
      <w:r w:rsidR="00EF40B7">
        <w:rPr>
          <w:rFonts w:cs="Arial"/>
          <w:spacing w:val="-3"/>
        </w:rPr>
        <w:t xml:space="preserve">ii) </w:t>
      </w:r>
      <w:r w:rsidR="00974A6F">
        <w:rPr>
          <w:rFonts w:cs="Arial"/>
          <w:spacing w:val="-3"/>
        </w:rPr>
        <w:t xml:space="preserve">la </w:t>
      </w:r>
      <w:r w:rsidR="00D03606" w:rsidRPr="004068F6">
        <w:rPr>
          <w:rFonts w:cs="Arial"/>
          <w:spacing w:val="-3"/>
        </w:rPr>
        <w:t>zonificación ambiental del área de estudio del DAA.</w:t>
      </w:r>
    </w:p>
    <w:p w14:paraId="53DC7E56" w14:textId="77777777" w:rsidR="007242D6" w:rsidRPr="004068F6" w:rsidRDefault="007242D6" w:rsidP="007242D6">
      <w:pPr>
        <w:numPr>
          <w:ilvl w:val="12"/>
          <w:numId w:val="0"/>
        </w:numPr>
        <w:tabs>
          <w:tab w:val="left" w:pos="-2268"/>
        </w:tabs>
        <w:suppressAutoHyphens/>
        <w:rPr>
          <w:spacing w:val="-3"/>
        </w:rPr>
      </w:pPr>
    </w:p>
    <w:p w14:paraId="4CE79763" w14:textId="2C543D26" w:rsidR="007242D6" w:rsidRPr="004068F6" w:rsidRDefault="007242D6" w:rsidP="007242D6">
      <w:pPr>
        <w:numPr>
          <w:ilvl w:val="12"/>
          <w:numId w:val="0"/>
        </w:numPr>
        <w:tabs>
          <w:tab w:val="left" w:pos="-2268"/>
        </w:tabs>
        <w:suppressAutoHyphens/>
        <w:rPr>
          <w:spacing w:val="-3"/>
        </w:rPr>
      </w:pPr>
      <w:r w:rsidRPr="004068F6">
        <w:rPr>
          <w:rFonts w:cs="Arial"/>
          <w:spacing w:val="-3"/>
        </w:rPr>
        <w:t xml:space="preserve">Se debe presentar la información documental </w:t>
      </w:r>
      <w:r w:rsidR="005E405D">
        <w:rPr>
          <w:rFonts w:cs="Arial"/>
          <w:spacing w:val="-3"/>
        </w:rPr>
        <w:t xml:space="preserve">y geográfica </w:t>
      </w:r>
      <w:r w:rsidRPr="004068F6">
        <w:rPr>
          <w:rFonts w:cs="Arial"/>
          <w:spacing w:val="-3"/>
        </w:rPr>
        <w:t>asociada a la zonificación ambiental, así como describir</w:t>
      </w:r>
      <w:r w:rsidRPr="004068F6">
        <w:rPr>
          <w:spacing w:val="-3"/>
        </w:rPr>
        <w:t xml:space="preserve"> detalladamente </w:t>
      </w:r>
      <w:r w:rsidR="00747FD9">
        <w:rPr>
          <w:spacing w:val="-3"/>
        </w:rPr>
        <w:t xml:space="preserve">el método </w:t>
      </w:r>
      <w:r w:rsidRPr="004068F6">
        <w:rPr>
          <w:spacing w:val="-3"/>
        </w:rPr>
        <w:t>emplead</w:t>
      </w:r>
      <w:r w:rsidR="00747FD9">
        <w:rPr>
          <w:spacing w:val="-3"/>
        </w:rPr>
        <w:t>o</w:t>
      </w:r>
      <w:r w:rsidRPr="004068F6">
        <w:rPr>
          <w:spacing w:val="-3"/>
        </w:rPr>
        <w:t xml:space="preserve"> para establecer la </w:t>
      </w:r>
      <w:r w:rsidR="00A230D1">
        <w:rPr>
          <w:spacing w:val="-3"/>
        </w:rPr>
        <w:t>sensibilidad ambiental</w:t>
      </w:r>
      <w:r w:rsidR="00A230D1" w:rsidRPr="004068F6">
        <w:rPr>
          <w:spacing w:val="-3"/>
        </w:rPr>
        <w:t xml:space="preserve"> </w:t>
      </w:r>
      <w:r w:rsidRPr="004068F6">
        <w:rPr>
          <w:rFonts w:cs="Arial"/>
        </w:rPr>
        <w:t xml:space="preserve">y para integrar dicha información a fin de obtener la zonificación </w:t>
      </w:r>
      <w:r w:rsidR="004F00C6" w:rsidRPr="004068F6">
        <w:rPr>
          <w:rFonts w:cs="Arial"/>
          <w:spacing w:val="-3"/>
        </w:rPr>
        <w:t>de cada alternativa</w:t>
      </w:r>
      <w:r w:rsidR="004F00C6" w:rsidRPr="004068F6">
        <w:rPr>
          <w:rFonts w:cs="Arial"/>
        </w:rPr>
        <w:t xml:space="preserve"> </w:t>
      </w:r>
      <w:r w:rsidR="004F00C6" w:rsidRPr="004068F6">
        <w:rPr>
          <w:rFonts w:cs="Arial"/>
          <w:spacing w:val="-3"/>
        </w:rPr>
        <w:t>y del área de estudio del DAA</w:t>
      </w:r>
      <w:r w:rsidRPr="004068F6">
        <w:rPr>
          <w:rFonts w:cs="Arial"/>
          <w:spacing w:val="-3"/>
        </w:rPr>
        <w:t>, indicando lo siguiente:</w:t>
      </w:r>
    </w:p>
    <w:p w14:paraId="159611BC" w14:textId="77777777" w:rsidR="007242D6" w:rsidRPr="004068F6" w:rsidRDefault="007242D6" w:rsidP="009420F5">
      <w:pPr>
        <w:tabs>
          <w:tab w:val="left" w:pos="-2268"/>
        </w:tabs>
        <w:suppressAutoHyphens/>
        <w:rPr>
          <w:rFonts w:cs="Arial"/>
          <w:spacing w:val="-3"/>
        </w:rPr>
      </w:pPr>
    </w:p>
    <w:p w14:paraId="393319F6" w14:textId="10FCD3C5" w:rsidR="007242D6" w:rsidRPr="004068F6" w:rsidRDefault="007242D6" w:rsidP="007242D6">
      <w:pPr>
        <w:numPr>
          <w:ilvl w:val="0"/>
          <w:numId w:val="19"/>
        </w:numPr>
        <w:tabs>
          <w:tab w:val="left" w:pos="-2268"/>
        </w:tabs>
        <w:suppressAutoHyphens/>
        <w:ind w:left="567" w:hanging="567"/>
        <w:rPr>
          <w:rFonts w:cs="Arial"/>
          <w:spacing w:val="-3"/>
        </w:rPr>
      </w:pPr>
      <w:r w:rsidRPr="004068F6">
        <w:rPr>
          <w:rFonts w:cs="Arial"/>
          <w:spacing w:val="-3"/>
        </w:rPr>
        <w:t xml:space="preserve">Las unidades de análisis de los </w:t>
      </w:r>
      <w:r w:rsidR="00C10B40" w:rsidRPr="004068F6">
        <w:rPr>
          <w:rFonts w:cs="Arial"/>
          <w:spacing w:val="-3"/>
        </w:rPr>
        <w:t xml:space="preserve">factores o </w:t>
      </w:r>
      <w:r w:rsidRPr="004068F6">
        <w:rPr>
          <w:rFonts w:cs="Arial"/>
          <w:spacing w:val="-3"/>
        </w:rPr>
        <w:t>componentes que se emplearon para la zonificación ambiental de cada medio.</w:t>
      </w:r>
    </w:p>
    <w:p w14:paraId="7877C2D6" w14:textId="77777777" w:rsidR="007242D6" w:rsidRPr="004068F6" w:rsidRDefault="007242D6" w:rsidP="007242D6">
      <w:pPr>
        <w:tabs>
          <w:tab w:val="left" w:pos="-2268"/>
        </w:tabs>
        <w:suppressAutoHyphens/>
        <w:rPr>
          <w:rFonts w:cs="Arial"/>
          <w:spacing w:val="-3"/>
        </w:rPr>
      </w:pPr>
    </w:p>
    <w:p w14:paraId="257A8F18" w14:textId="07C4BE84" w:rsidR="007242D6" w:rsidRPr="004068F6" w:rsidRDefault="007242D6" w:rsidP="007242D6">
      <w:pPr>
        <w:numPr>
          <w:ilvl w:val="0"/>
          <w:numId w:val="19"/>
        </w:numPr>
        <w:tabs>
          <w:tab w:val="left" w:pos="-2268"/>
        </w:tabs>
        <w:suppressAutoHyphens/>
        <w:ind w:left="567" w:hanging="567"/>
        <w:rPr>
          <w:spacing w:val="-3"/>
        </w:rPr>
      </w:pPr>
      <w:r w:rsidRPr="004068F6">
        <w:rPr>
          <w:rFonts w:cs="Arial"/>
          <w:spacing w:val="-3"/>
        </w:rPr>
        <w:t>Los criterios utilizados para valorar cuantitativa</w:t>
      </w:r>
      <w:r w:rsidRPr="004068F6" w:rsidDel="00570397">
        <w:rPr>
          <w:rFonts w:cs="Arial"/>
          <w:spacing w:val="-3"/>
        </w:rPr>
        <w:t xml:space="preserve"> </w:t>
      </w:r>
      <w:r w:rsidRPr="004068F6">
        <w:rPr>
          <w:rFonts w:cs="Arial"/>
          <w:spacing w:val="-3"/>
        </w:rPr>
        <w:t xml:space="preserve">o cualitativamente la sensibilidad ambiental de las unidades de análisis de cada </w:t>
      </w:r>
      <w:r w:rsidR="00F163E2" w:rsidRPr="004068F6">
        <w:rPr>
          <w:rFonts w:cs="Arial"/>
          <w:spacing w:val="-3"/>
        </w:rPr>
        <w:t xml:space="preserve">factor o </w:t>
      </w:r>
      <w:r w:rsidRPr="004068F6">
        <w:rPr>
          <w:rFonts w:cs="Arial"/>
          <w:spacing w:val="-3"/>
        </w:rPr>
        <w:t xml:space="preserve">componente, </w:t>
      </w:r>
      <w:r w:rsidR="00E2275D" w:rsidRPr="004068F6">
        <w:rPr>
          <w:rFonts w:cs="Arial"/>
          <w:spacing w:val="-3"/>
        </w:rPr>
        <w:t xml:space="preserve">a partir de </w:t>
      </w:r>
      <w:r w:rsidRPr="004068F6">
        <w:rPr>
          <w:rFonts w:cs="Arial"/>
          <w:spacing w:val="-3"/>
        </w:rPr>
        <w:t>sus parámetros constitutivos</w:t>
      </w:r>
      <w:r w:rsidRPr="004068F6">
        <w:rPr>
          <w:spacing w:val="-3"/>
        </w:rPr>
        <w:t>.</w:t>
      </w:r>
    </w:p>
    <w:p w14:paraId="69D04F3A" w14:textId="77777777" w:rsidR="007242D6" w:rsidRPr="004068F6" w:rsidRDefault="007242D6" w:rsidP="009420F5">
      <w:pPr>
        <w:rPr>
          <w:spacing w:val="-3"/>
        </w:rPr>
      </w:pPr>
    </w:p>
    <w:p w14:paraId="777C5728" w14:textId="7427F9AA" w:rsidR="007242D6" w:rsidRPr="004068F6" w:rsidRDefault="007242D6" w:rsidP="007242D6">
      <w:pPr>
        <w:numPr>
          <w:ilvl w:val="0"/>
          <w:numId w:val="19"/>
        </w:numPr>
        <w:tabs>
          <w:tab w:val="left" w:pos="-2268"/>
        </w:tabs>
        <w:suppressAutoHyphens/>
        <w:ind w:left="567" w:hanging="567"/>
        <w:rPr>
          <w:spacing w:val="-3"/>
        </w:rPr>
      </w:pPr>
      <w:r w:rsidRPr="004068F6">
        <w:rPr>
          <w:spacing w:val="-3"/>
        </w:rPr>
        <w:t xml:space="preserve">El método de procesamiento de </w:t>
      </w:r>
      <w:r w:rsidRPr="004068F6">
        <w:rPr>
          <w:rFonts w:cs="Arial"/>
          <w:spacing w:val="-3"/>
        </w:rPr>
        <w:t xml:space="preserve">información geográfica señalando los cálculos, funciones, ponderaciones y demás procedimientos ejecutados para establecer la sensibilidad de las unidades de análisis de los </w:t>
      </w:r>
      <w:r w:rsidR="009946E1" w:rsidRPr="004068F6">
        <w:rPr>
          <w:rFonts w:cs="Arial"/>
          <w:spacing w:val="-3"/>
        </w:rPr>
        <w:t xml:space="preserve">factores o </w:t>
      </w:r>
      <w:r w:rsidRPr="004068F6">
        <w:rPr>
          <w:rFonts w:cs="Arial"/>
          <w:spacing w:val="-3"/>
        </w:rPr>
        <w:t xml:space="preserve">componentes, así como para agrupar y obtener áreas homogéneas con diferentes categorías de </w:t>
      </w:r>
      <w:r w:rsidRPr="004068F6">
        <w:rPr>
          <w:rFonts w:cs="Arial"/>
          <w:spacing w:val="-3"/>
        </w:rPr>
        <w:lastRenderedPageBreak/>
        <w:t xml:space="preserve">sensibilidad ambiental </w:t>
      </w:r>
      <w:r w:rsidR="009F67C1" w:rsidRPr="004068F6">
        <w:rPr>
          <w:rFonts w:cs="Arial"/>
          <w:spacing w:val="-3"/>
        </w:rPr>
        <w:t>d</w:t>
      </w:r>
      <w:r w:rsidRPr="004068F6">
        <w:rPr>
          <w:rFonts w:cs="Arial"/>
          <w:spacing w:val="-3"/>
        </w:rPr>
        <w:t xml:space="preserve">el área </w:t>
      </w:r>
      <w:r w:rsidR="00174320">
        <w:rPr>
          <w:rFonts w:cs="Arial"/>
          <w:spacing w:val="-3"/>
        </w:rPr>
        <w:t xml:space="preserve">en la que se manifiestan los impactos significativos negativos </w:t>
      </w:r>
      <w:r w:rsidR="00425DBF" w:rsidRPr="004068F6">
        <w:rPr>
          <w:rFonts w:cs="Arial"/>
          <w:spacing w:val="-3"/>
        </w:rPr>
        <w:t xml:space="preserve">de </w:t>
      </w:r>
      <w:r w:rsidR="007D759E">
        <w:rPr>
          <w:rFonts w:cs="Arial"/>
          <w:spacing w:val="-3"/>
        </w:rPr>
        <w:t>cada</w:t>
      </w:r>
      <w:r w:rsidR="007D759E" w:rsidRPr="004068F6">
        <w:rPr>
          <w:rFonts w:cs="Arial"/>
          <w:spacing w:val="-3"/>
        </w:rPr>
        <w:t xml:space="preserve"> </w:t>
      </w:r>
      <w:r w:rsidR="00425DBF" w:rsidRPr="004068F6">
        <w:rPr>
          <w:rFonts w:cs="Arial"/>
          <w:spacing w:val="-3"/>
        </w:rPr>
        <w:t xml:space="preserve">alternativa </w:t>
      </w:r>
      <w:r w:rsidR="009F67C1" w:rsidRPr="004068F6">
        <w:rPr>
          <w:rFonts w:cs="Arial"/>
          <w:spacing w:val="-3"/>
        </w:rPr>
        <w:t xml:space="preserve">y del área de estudio del </w:t>
      </w:r>
      <w:r w:rsidR="004A2DAA" w:rsidRPr="004068F6">
        <w:rPr>
          <w:rFonts w:cs="Arial"/>
          <w:spacing w:val="-3"/>
        </w:rPr>
        <w:t>DAA</w:t>
      </w:r>
      <w:r w:rsidRPr="004068F6">
        <w:rPr>
          <w:rFonts w:cs="Arial"/>
          <w:spacing w:val="-3"/>
        </w:rPr>
        <w:t>.</w:t>
      </w:r>
    </w:p>
    <w:p w14:paraId="782899BB" w14:textId="77777777" w:rsidR="007242D6" w:rsidRPr="004068F6" w:rsidRDefault="007242D6" w:rsidP="00A5705F">
      <w:pPr>
        <w:rPr>
          <w:spacing w:val="-3"/>
        </w:rPr>
      </w:pPr>
    </w:p>
    <w:p w14:paraId="067BED6F" w14:textId="1DAB43EF" w:rsidR="007242D6" w:rsidRPr="004068F6" w:rsidRDefault="007242D6" w:rsidP="007242D6">
      <w:pPr>
        <w:tabs>
          <w:tab w:val="left" w:pos="-2268"/>
        </w:tabs>
        <w:suppressAutoHyphens/>
        <w:rPr>
          <w:rFonts w:cs="Arial"/>
          <w:spacing w:val="-3"/>
        </w:rPr>
      </w:pPr>
      <w:r w:rsidRPr="004068F6">
        <w:rPr>
          <w:spacing w:val="-3"/>
        </w:rPr>
        <w:t xml:space="preserve">Se debe justificar técnicamente cada uno de los procedimientos ejecutados y la información empleada para </w:t>
      </w:r>
      <w:r w:rsidR="00425DBF" w:rsidRPr="004068F6">
        <w:rPr>
          <w:spacing w:val="-3"/>
        </w:rPr>
        <w:t xml:space="preserve">el desarrollo de esta </w:t>
      </w:r>
      <w:r w:rsidRPr="004068F6">
        <w:rPr>
          <w:spacing w:val="-3"/>
        </w:rPr>
        <w:t>zonificación.</w:t>
      </w:r>
      <w:r w:rsidR="00425DBF" w:rsidRPr="004068F6">
        <w:rPr>
          <w:spacing w:val="-3"/>
        </w:rPr>
        <w:t xml:space="preserve"> </w:t>
      </w:r>
      <w:r w:rsidRPr="004068F6">
        <w:rPr>
          <w:rFonts w:cs="Arial"/>
          <w:spacing w:val="-3"/>
        </w:rPr>
        <w:t>Asimismo, se debe realizar un análisis</w:t>
      </w:r>
      <w:r w:rsidRPr="004068F6">
        <w:rPr>
          <w:spacing w:val="-3"/>
        </w:rPr>
        <w:t xml:space="preserve"> de los resultados obtenidos de la aplicación del método de procesamiento de información geográfica, señalando para el </w:t>
      </w:r>
      <w:r w:rsidR="007D759E">
        <w:rPr>
          <w:spacing w:val="-3"/>
        </w:rPr>
        <w:t xml:space="preserve">área </w:t>
      </w:r>
      <w:r w:rsidR="007D759E">
        <w:rPr>
          <w:rFonts w:cs="Arial"/>
          <w:spacing w:val="-3"/>
        </w:rPr>
        <w:t xml:space="preserve">en la que se manifiestan los impactos significativos negativos </w:t>
      </w:r>
      <w:r w:rsidRPr="004068F6">
        <w:rPr>
          <w:spacing w:val="-3"/>
        </w:rPr>
        <w:t xml:space="preserve">de las alternativas </w:t>
      </w:r>
      <w:r w:rsidR="004F00C6" w:rsidRPr="004068F6">
        <w:rPr>
          <w:spacing w:val="-3"/>
        </w:rPr>
        <w:t>y para el área de estudio del DAA</w:t>
      </w:r>
      <w:r w:rsidRPr="004068F6">
        <w:rPr>
          <w:spacing w:val="-3"/>
        </w:rPr>
        <w:t xml:space="preserve">, la extensión en hectáreas </w:t>
      </w:r>
      <w:r w:rsidRPr="004068F6">
        <w:rPr>
          <w:rFonts w:cs="Arial"/>
          <w:spacing w:val="-3"/>
        </w:rPr>
        <w:t>de cada categoría de sensibilidad ambiental y su participación porcentual con relación a la superficie total del área a la cual corresponde.</w:t>
      </w:r>
    </w:p>
    <w:p w14:paraId="36672F47" w14:textId="77777777" w:rsidR="007242D6" w:rsidRPr="004068F6" w:rsidRDefault="007242D6" w:rsidP="007242D6">
      <w:pPr>
        <w:numPr>
          <w:ilvl w:val="12"/>
          <w:numId w:val="0"/>
        </w:numPr>
        <w:tabs>
          <w:tab w:val="left" w:pos="-2268"/>
        </w:tabs>
        <w:suppressAutoHyphens/>
        <w:rPr>
          <w:spacing w:val="-3"/>
        </w:rPr>
      </w:pPr>
    </w:p>
    <w:p w14:paraId="2F8D7FA0" w14:textId="51679149" w:rsidR="007242D6" w:rsidRPr="004068F6" w:rsidRDefault="007242D6" w:rsidP="007242D6">
      <w:pPr>
        <w:numPr>
          <w:ilvl w:val="12"/>
          <w:numId w:val="0"/>
        </w:numPr>
        <w:tabs>
          <w:tab w:val="left" w:pos="-2268"/>
        </w:tabs>
        <w:suppressAutoHyphens/>
        <w:rPr>
          <w:rFonts w:cs="Arial"/>
          <w:spacing w:val="-3"/>
        </w:rPr>
      </w:pPr>
      <w:r w:rsidRPr="004068F6">
        <w:rPr>
          <w:rFonts w:cs="Arial"/>
          <w:spacing w:val="-3"/>
        </w:rPr>
        <w:t>La</w:t>
      </w:r>
      <w:r w:rsidRPr="004068F6">
        <w:rPr>
          <w:spacing w:val="-3"/>
        </w:rPr>
        <w:t xml:space="preserve"> zonificación ambiental de</w:t>
      </w:r>
      <w:r w:rsidR="00242C97">
        <w:rPr>
          <w:spacing w:val="-3"/>
        </w:rPr>
        <w:t xml:space="preserve">l área </w:t>
      </w:r>
      <w:r w:rsidR="00242C97">
        <w:rPr>
          <w:rFonts w:cs="Arial"/>
          <w:spacing w:val="-3"/>
        </w:rPr>
        <w:t xml:space="preserve">en la que se manifiestan los impactos significativos negativos </w:t>
      </w:r>
      <w:r w:rsidR="00242C97" w:rsidRPr="004068F6">
        <w:rPr>
          <w:spacing w:val="-3"/>
        </w:rPr>
        <w:t>de</w:t>
      </w:r>
      <w:r w:rsidRPr="004068F6">
        <w:rPr>
          <w:spacing w:val="-3"/>
        </w:rPr>
        <w:t xml:space="preserve"> </w:t>
      </w:r>
      <w:r w:rsidRPr="004068F6">
        <w:rPr>
          <w:rFonts w:cs="Arial"/>
          <w:spacing w:val="-3"/>
        </w:rPr>
        <w:t xml:space="preserve">las alternativas </w:t>
      </w:r>
      <w:r w:rsidR="004F00C6" w:rsidRPr="004068F6">
        <w:rPr>
          <w:rFonts w:cs="Arial"/>
          <w:spacing w:val="-3"/>
        </w:rPr>
        <w:t>y la zonificación ambiental del área de estudio del DAA</w:t>
      </w:r>
      <w:r w:rsidRPr="004068F6">
        <w:rPr>
          <w:rFonts w:cs="Arial"/>
          <w:spacing w:val="-3"/>
        </w:rPr>
        <w:t>, deben cartografiarse a la escala que establezcan los respectivos términos de referencia, o a una más detallada de acuerdo con la sensibilidad ambiental de la temática tratada; esta información geográfica debe presentarse en la estructura definida por la Resolución 2182 de 2016 o aquella que la modifique o sustituya</w:t>
      </w:r>
      <w:r w:rsidR="00E2275D" w:rsidRPr="004068F6">
        <w:rPr>
          <w:rFonts w:cs="Arial"/>
          <w:spacing w:val="-3"/>
        </w:rPr>
        <w:t>.</w:t>
      </w:r>
    </w:p>
    <w:p w14:paraId="6265E5E1" w14:textId="77777777" w:rsidR="007242D6" w:rsidRPr="004068F6" w:rsidRDefault="007242D6" w:rsidP="007242D6">
      <w:pPr>
        <w:numPr>
          <w:ilvl w:val="12"/>
          <w:numId w:val="0"/>
        </w:numPr>
        <w:tabs>
          <w:tab w:val="left" w:pos="-2268"/>
        </w:tabs>
        <w:suppressAutoHyphens/>
        <w:rPr>
          <w:rFonts w:cs="Arial"/>
          <w:spacing w:val="-3"/>
        </w:rPr>
      </w:pPr>
    </w:p>
    <w:p w14:paraId="7A30D0E3" w14:textId="13B9BA27" w:rsidR="007242D6" w:rsidRPr="004068F6" w:rsidRDefault="007242D6" w:rsidP="007242D6">
      <w:pPr>
        <w:numPr>
          <w:ilvl w:val="12"/>
          <w:numId w:val="0"/>
        </w:numPr>
        <w:tabs>
          <w:tab w:val="left" w:pos="-2268"/>
        </w:tabs>
        <w:suppressAutoHyphens/>
        <w:rPr>
          <w:spacing w:val="-3"/>
        </w:rPr>
      </w:pPr>
      <w:r w:rsidRPr="004068F6">
        <w:rPr>
          <w:rFonts w:cs="Arial"/>
          <w:spacing w:val="-3"/>
        </w:rPr>
        <w:t xml:space="preserve">Para </w:t>
      </w:r>
      <w:r w:rsidR="00F0568E" w:rsidRPr="004068F6">
        <w:rPr>
          <w:rFonts w:cs="Arial"/>
          <w:spacing w:val="-3"/>
        </w:rPr>
        <w:t>definir</w:t>
      </w:r>
      <w:r w:rsidR="00F0568E" w:rsidRPr="004068F6">
        <w:rPr>
          <w:spacing w:val="-3"/>
        </w:rPr>
        <w:t xml:space="preserve"> </w:t>
      </w:r>
      <w:r w:rsidRPr="004068F6">
        <w:rPr>
          <w:spacing w:val="-3"/>
        </w:rPr>
        <w:t xml:space="preserve">la zonificación </w:t>
      </w:r>
      <w:r w:rsidR="009D2880" w:rsidRPr="004068F6">
        <w:rPr>
          <w:rFonts w:cs="Arial"/>
          <w:spacing w:val="-3"/>
        </w:rPr>
        <w:t xml:space="preserve">es necesario tener en cuenta </w:t>
      </w:r>
      <w:r w:rsidR="00AE5A33" w:rsidRPr="004068F6">
        <w:rPr>
          <w:rFonts w:cs="Arial"/>
          <w:spacing w:val="-3"/>
        </w:rPr>
        <w:t xml:space="preserve">el </w:t>
      </w:r>
      <w:r w:rsidR="00332631" w:rsidRPr="004068F6">
        <w:rPr>
          <w:rFonts w:cs="Arial"/>
          <w:spacing w:val="-3"/>
        </w:rPr>
        <w:t xml:space="preserve">listado de áreas </w:t>
      </w:r>
      <w:r w:rsidR="00AE5A33" w:rsidRPr="004068F6">
        <w:rPr>
          <w:rFonts w:cs="Arial"/>
          <w:spacing w:val="-3"/>
        </w:rPr>
        <w:t xml:space="preserve">y </w:t>
      </w:r>
      <w:r w:rsidR="006D5226" w:rsidRPr="004068F6">
        <w:rPr>
          <w:rFonts w:cs="Arial"/>
          <w:spacing w:val="-3"/>
        </w:rPr>
        <w:t xml:space="preserve">las consideraciones de la </w:t>
      </w:r>
      <w:r w:rsidR="006D5226" w:rsidRPr="004068F6">
        <w:rPr>
          <w:rFonts w:cs="Arial"/>
          <w:spacing w:val="-3"/>
        </w:rPr>
        <w:fldChar w:fldCharType="begin"/>
      </w:r>
      <w:r w:rsidR="006D5226" w:rsidRPr="004068F6">
        <w:rPr>
          <w:rFonts w:cs="Arial"/>
          <w:spacing w:val="-3"/>
        </w:rPr>
        <w:instrText xml:space="preserve"> REF _Ref207724349 \h </w:instrText>
      </w:r>
      <w:r w:rsidR="006D5226" w:rsidRPr="004068F6">
        <w:rPr>
          <w:rFonts w:cs="Arial"/>
          <w:spacing w:val="-3"/>
        </w:rPr>
      </w:r>
      <w:r w:rsidR="006D5226" w:rsidRPr="004068F6">
        <w:rPr>
          <w:rFonts w:cs="Arial"/>
          <w:spacing w:val="-3"/>
        </w:rPr>
        <w:fldChar w:fldCharType="separate"/>
      </w:r>
      <w:r w:rsidR="009C4A81" w:rsidRPr="004068F6">
        <w:t xml:space="preserve">Tabla </w:t>
      </w:r>
      <w:r w:rsidR="009C4A81">
        <w:rPr>
          <w:noProof/>
        </w:rPr>
        <w:t>29</w:t>
      </w:r>
      <w:r w:rsidR="006D5226" w:rsidRPr="004068F6">
        <w:rPr>
          <w:rFonts w:cs="Arial"/>
          <w:spacing w:val="-3"/>
        </w:rPr>
        <w:fldChar w:fldCharType="end"/>
      </w:r>
      <w:r w:rsidR="006D5226" w:rsidRPr="004068F6">
        <w:rPr>
          <w:rFonts w:cs="Arial"/>
          <w:spacing w:val="-3"/>
        </w:rPr>
        <w:t xml:space="preserve"> del </w:t>
      </w:r>
      <w:r w:rsidRPr="004068F6">
        <w:rPr>
          <w:rFonts w:cs="Arial"/>
          <w:spacing w:val="-3"/>
        </w:rPr>
        <w:t xml:space="preserve">numeral </w:t>
      </w:r>
      <w:r w:rsidR="000F569A" w:rsidRPr="004068F6">
        <w:rPr>
          <w:rFonts w:cs="Arial"/>
          <w:spacing w:val="-3"/>
        </w:rPr>
        <w:fldChar w:fldCharType="begin"/>
      </w:r>
      <w:r w:rsidR="000F569A" w:rsidRPr="004068F6">
        <w:rPr>
          <w:rFonts w:cs="Arial"/>
          <w:spacing w:val="-3"/>
        </w:rPr>
        <w:instrText xml:space="preserve"> REF _Ref79297297 \r \h </w:instrText>
      </w:r>
      <w:r w:rsidR="006A4128" w:rsidRPr="004068F6">
        <w:rPr>
          <w:rFonts w:cs="Arial"/>
          <w:spacing w:val="-3"/>
        </w:rPr>
        <w:instrText xml:space="preserve"> \* MERGEFORMAT </w:instrText>
      </w:r>
      <w:r w:rsidR="000F569A" w:rsidRPr="004068F6">
        <w:rPr>
          <w:rFonts w:cs="Arial"/>
          <w:spacing w:val="-3"/>
        </w:rPr>
      </w:r>
      <w:r w:rsidR="000F569A" w:rsidRPr="004068F6">
        <w:rPr>
          <w:rFonts w:cs="Arial"/>
          <w:spacing w:val="-3"/>
        </w:rPr>
        <w:fldChar w:fldCharType="separate"/>
      </w:r>
      <w:r w:rsidR="009C4A81">
        <w:rPr>
          <w:rFonts w:cs="Arial"/>
          <w:spacing w:val="-3"/>
        </w:rPr>
        <w:t>5</w:t>
      </w:r>
      <w:r w:rsidR="000F569A" w:rsidRPr="004068F6">
        <w:rPr>
          <w:rFonts w:cs="Arial"/>
          <w:spacing w:val="-3"/>
        </w:rPr>
        <w:fldChar w:fldCharType="end"/>
      </w:r>
      <w:r w:rsidRPr="004068F6">
        <w:rPr>
          <w:rFonts w:cs="Arial"/>
          <w:spacing w:val="-3"/>
        </w:rPr>
        <w:t xml:space="preserve"> del título III de este documento</w:t>
      </w:r>
      <w:r w:rsidR="00AE5A33" w:rsidRPr="004068F6">
        <w:rPr>
          <w:rFonts w:cs="Arial"/>
          <w:spacing w:val="-3"/>
        </w:rPr>
        <w:t>,</w:t>
      </w:r>
      <w:r w:rsidR="00683F3E" w:rsidRPr="004068F6">
        <w:rPr>
          <w:rFonts w:cs="Arial"/>
          <w:spacing w:val="-3"/>
        </w:rPr>
        <w:t xml:space="preserve"> </w:t>
      </w:r>
      <w:r w:rsidR="000764C9" w:rsidRPr="004068F6">
        <w:rPr>
          <w:rFonts w:cs="Arial"/>
          <w:spacing w:val="-3"/>
        </w:rPr>
        <w:t xml:space="preserve">reconociendo </w:t>
      </w:r>
      <w:r w:rsidR="00683F3E" w:rsidRPr="004068F6">
        <w:rPr>
          <w:rFonts w:cs="Arial"/>
          <w:spacing w:val="-3"/>
        </w:rPr>
        <w:t xml:space="preserve">que </w:t>
      </w:r>
      <w:r w:rsidR="006640A2" w:rsidRPr="004068F6">
        <w:rPr>
          <w:rFonts w:cs="Arial"/>
          <w:spacing w:val="-3"/>
        </w:rPr>
        <w:t xml:space="preserve">el propósito del DAA es evaluar y comparar alternativas </w:t>
      </w:r>
      <w:r w:rsidR="00683F3E" w:rsidRPr="004068F6">
        <w:rPr>
          <w:rFonts w:cs="Arial"/>
          <w:spacing w:val="-3"/>
        </w:rPr>
        <w:t xml:space="preserve">y que </w:t>
      </w:r>
      <w:r w:rsidR="006640A2" w:rsidRPr="004068F6">
        <w:rPr>
          <w:rFonts w:cs="Arial"/>
          <w:spacing w:val="-3"/>
        </w:rPr>
        <w:t xml:space="preserve">este estudio se estructura principalmente a partir de </w:t>
      </w:r>
      <w:r w:rsidR="00683F3E" w:rsidRPr="004068F6">
        <w:rPr>
          <w:rFonts w:cs="Arial"/>
          <w:spacing w:val="-3"/>
        </w:rPr>
        <w:t>información secundaria</w:t>
      </w:r>
      <w:r w:rsidRPr="004068F6">
        <w:rPr>
          <w:rFonts w:cs="Arial"/>
          <w:spacing w:val="-3"/>
        </w:rPr>
        <w:t>.</w:t>
      </w:r>
    </w:p>
    <w:p w14:paraId="71AEB2F4" w14:textId="77777777" w:rsidR="00DF6D4D" w:rsidRPr="004068F6" w:rsidRDefault="00DF6D4D">
      <w:pPr>
        <w:numPr>
          <w:ilvl w:val="12"/>
          <w:numId w:val="0"/>
        </w:numPr>
        <w:tabs>
          <w:tab w:val="left" w:pos="-2268"/>
        </w:tabs>
        <w:suppressAutoHyphens/>
        <w:rPr>
          <w:spacing w:val="-3"/>
        </w:rPr>
      </w:pPr>
    </w:p>
    <w:p w14:paraId="22310F81" w14:textId="77777777" w:rsidR="00A632C7" w:rsidRPr="004068F6" w:rsidRDefault="00A632C7">
      <w:pPr>
        <w:numPr>
          <w:ilvl w:val="12"/>
          <w:numId w:val="0"/>
        </w:numPr>
        <w:tabs>
          <w:tab w:val="left" w:pos="-2268"/>
        </w:tabs>
        <w:suppressAutoHyphens/>
        <w:rPr>
          <w:spacing w:val="-3"/>
        </w:rPr>
      </w:pPr>
    </w:p>
    <w:p w14:paraId="443AC5FB" w14:textId="11971848" w:rsidR="00806693" w:rsidRPr="004068F6" w:rsidRDefault="0009367A" w:rsidP="00CB4557">
      <w:pPr>
        <w:pStyle w:val="Ttulo1"/>
        <w:numPr>
          <w:ilvl w:val="0"/>
          <w:numId w:val="8"/>
        </w:numPr>
        <w:rPr>
          <w:lang w:val="es-CO"/>
        </w:rPr>
      </w:pPr>
      <w:bookmarkStart w:id="2359" w:name="_Ref195687665"/>
      <w:bookmarkStart w:id="2360" w:name="_Toc437936004"/>
      <w:bookmarkStart w:id="2361" w:name="_Ref189034937"/>
      <w:bookmarkStart w:id="2362" w:name="_Toc230879606"/>
      <w:r w:rsidRPr="004068F6">
        <w:rPr>
          <w:lang w:val="es-CO"/>
        </w:rPr>
        <w:t xml:space="preserve">DETERMINACIÓN </w:t>
      </w:r>
      <w:r w:rsidR="003E5ABC" w:rsidRPr="004068F6">
        <w:rPr>
          <w:lang w:val="es-CO"/>
        </w:rPr>
        <w:t xml:space="preserve">Y </w:t>
      </w:r>
      <w:r w:rsidR="00ED5031" w:rsidRPr="004068F6">
        <w:rPr>
          <w:lang w:val="es-CO"/>
        </w:rPr>
        <w:t xml:space="preserve">VALORACIÓN </w:t>
      </w:r>
      <w:r w:rsidR="00806693" w:rsidRPr="004068F6">
        <w:rPr>
          <w:lang w:val="es-CO"/>
        </w:rPr>
        <w:t>DE IMPACTOS</w:t>
      </w:r>
      <w:bookmarkEnd w:id="2359"/>
      <w:bookmarkEnd w:id="2360"/>
      <w:bookmarkEnd w:id="2361"/>
      <w:bookmarkEnd w:id="2362"/>
    </w:p>
    <w:p w14:paraId="0DFDDABE" w14:textId="77777777" w:rsidR="00A310B6" w:rsidRPr="004068F6" w:rsidRDefault="00A310B6">
      <w:pPr>
        <w:numPr>
          <w:ilvl w:val="12"/>
          <w:numId w:val="0"/>
        </w:numPr>
        <w:tabs>
          <w:tab w:val="left" w:pos="-2268"/>
        </w:tabs>
        <w:suppressAutoHyphens/>
        <w:rPr>
          <w:spacing w:val="-3"/>
        </w:rPr>
      </w:pPr>
    </w:p>
    <w:p w14:paraId="3509421C" w14:textId="4BE338F9" w:rsidR="00A9037D" w:rsidRPr="004068F6" w:rsidRDefault="00A9037D" w:rsidP="00C86DA5">
      <w:pPr>
        <w:tabs>
          <w:tab w:val="left" w:pos="-2268"/>
        </w:tabs>
        <w:suppressAutoHyphens/>
        <w:rPr>
          <w:spacing w:val="-3"/>
        </w:rPr>
      </w:pPr>
      <w:r w:rsidRPr="004068F6">
        <w:rPr>
          <w:spacing w:val="-3"/>
        </w:rPr>
        <w:t>A partir de la caracterización del área de estudio</w:t>
      </w:r>
      <w:r w:rsidR="002252AC" w:rsidRPr="004068F6">
        <w:rPr>
          <w:spacing w:val="-3"/>
        </w:rPr>
        <w:t xml:space="preserve"> y de la descripción de las alternativas</w:t>
      </w:r>
      <w:r w:rsidRPr="004068F6">
        <w:rPr>
          <w:spacing w:val="-3"/>
        </w:rPr>
        <w:t xml:space="preserve">, se deben </w:t>
      </w:r>
      <w:r w:rsidR="00E57583" w:rsidRPr="004068F6">
        <w:rPr>
          <w:spacing w:val="-3"/>
        </w:rPr>
        <w:t xml:space="preserve">determinar </w:t>
      </w:r>
      <w:r w:rsidRPr="004068F6">
        <w:rPr>
          <w:spacing w:val="-3"/>
        </w:rPr>
        <w:t xml:space="preserve">los impactos </w:t>
      </w:r>
      <w:r w:rsidRPr="004068F6">
        <w:rPr>
          <w:rFonts w:cs="Arial"/>
          <w:spacing w:val="-3"/>
        </w:rPr>
        <w:t xml:space="preserve">ambientales </w:t>
      </w:r>
      <w:r w:rsidRPr="004068F6">
        <w:rPr>
          <w:spacing w:val="-3"/>
        </w:rPr>
        <w:t>positivos y negativos</w:t>
      </w:r>
      <w:r w:rsidR="00201A43" w:rsidRPr="004068F6">
        <w:rPr>
          <w:spacing w:val="-3"/>
        </w:rPr>
        <w:t xml:space="preserve"> que podrían generarse con la ejecución de cada una de las alternativas propuestas para el proyecto, obra o actividad</w:t>
      </w:r>
      <w:r w:rsidR="000E6A19" w:rsidRPr="004068F6">
        <w:rPr>
          <w:spacing w:val="-3"/>
        </w:rPr>
        <w:t xml:space="preserve">; </w:t>
      </w:r>
      <w:r w:rsidR="00201A43" w:rsidRPr="004068F6">
        <w:rPr>
          <w:spacing w:val="-3"/>
        </w:rPr>
        <w:t xml:space="preserve">esta </w:t>
      </w:r>
      <w:r w:rsidR="000E6A19" w:rsidRPr="004068F6">
        <w:rPr>
          <w:rFonts w:cs="Arial"/>
          <w:spacing w:val="-3"/>
        </w:rPr>
        <w:t>determinación de impactos debe considerar que la</w:t>
      </w:r>
      <w:r w:rsidR="00201A43" w:rsidRPr="004068F6">
        <w:rPr>
          <w:rFonts w:cs="Arial"/>
          <w:spacing w:val="-3"/>
        </w:rPr>
        <w:t xml:space="preserve">s alternativas </w:t>
      </w:r>
      <w:r w:rsidR="000E6A19" w:rsidRPr="004068F6">
        <w:rPr>
          <w:rFonts w:cs="Arial"/>
          <w:spacing w:val="-3"/>
        </w:rPr>
        <w:t>puede</w:t>
      </w:r>
      <w:r w:rsidR="00201A43" w:rsidRPr="004068F6">
        <w:rPr>
          <w:rFonts w:cs="Arial"/>
          <w:spacing w:val="-3"/>
        </w:rPr>
        <w:t>n</w:t>
      </w:r>
      <w:r w:rsidR="000E6A19" w:rsidRPr="004068F6">
        <w:rPr>
          <w:rFonts w:cs="Arial"/>
          <w:spacing w:val="-3"/>
        </w:rPr>
        <w:t xml:space="preserve"> desencadenar impactos </w:t>
      </w:r>
      <w:r w:rsidR="00201A43" w:rsidRPr="004068F6">
        <w:rPr>
          <w:spacing w:val="-3"/>
        </w:rPr>
        <w:t xml:space="preserve">directos e indirectos, así como impactos </w:t>
      </w:r>
      <w:r w:rsidR="000E6A19" w:rsidRPr="004068F6">
        <w:rPr>
          <w:rFonts w:cs="Arial"/>
          <w:spacing w:val="-3"/>
        </w:rPr>
        <w:t xml:space="preserve">sinérgicos e impactos con la capacidad de </w:t>
      </w:r>
      <w:r w:rsidR="000E6A19" w:rsidRPr="004068F6">
        <w:rPr>
          <w:rFonts w:cs="Arial"/>
          <w:iCs/>
          <w:spacing w:val="-3"/>
        </w:rPr>
        <w:t>acumularse en el tiempo</w:t>
      </w:r>
      <w:r w:rsidRPr="004068F6">
        <w:rPr>
          <w:rFonts w:cs="Arial"/>
        </w:rPr>
        <w:t xml:space="preserve">. </w:t>
      </w:r>
      <w:r w:rsidR="00FE5137" w:rsidRPr="004068F6">
        <w:rPr>
          <w:rFonts w:cs="Arial"/>
        </w:rPr>
        <w:t>Asimismo, s</w:t>
      </w:r>
      <w:r w:rsidRPr="004068F6">
        <w:t xml:space="preserve">e </w:t>
      </w:r>
      <w:r w:rsidRPr="004068F6">
        <w:rPr>
          <w:spacing w:val="-3"/>
        </w:rPr>
        <w:t xml:space="preserve">debe señalar cuáles </w:t>
      </w:r>
      <w:r w:rsidR="00402998" w:rsidRPr="004068F6">
        <w:rPr>
          <w:spacing w:val="-3"/>
        </w:rPr>
        <w:t xml:space="preserve">impactos </w:t>
      </w:r>
      <w:r w:rsidRPr="004068F6">
        <w:rPr>
          <w:spacing w:val="-3"/>
        </w:rPr>
        <w:t xml:space="preserve">no se pueden </w:t>
      </w:r>
      <w:r w:rsidR="00DD36F2" w:rsidRPr="004068F6">
        <w:rPr>
          <w:rFonts w:cs="Arial"/>
          <w:spacing w:val="-3"/>
        </w:rPr>
        <w:t xml:space="preserve">prevenir, </w:t>
      </w:r>
      <w:r w:rsidRPr="004068F6">
        <w:rPr>
          <w:spacing w:val="-3"/>
        </w:rPr>
        <w:t>mitigar</w:t>
      </w:r>
      <w:r w:rsidR="00DD36F2" w:rsidRPr="004068F6">
        <w:rPr>
          <w:spacing w:val="-3"/>
        </w:rPr>
        <w:t xml:space="preserve"> ni corregir</w:t>
      </w:r>
      <w:r w:rsidRPr="004068F6">
        <w:rPr>
          <w:spacing w:val="-3"/>
        </w:rPr>
        <w:t>.</w:t>
      </w:r>
    </w:p>
    <w:p w14:paraId="2FED13B0" w14:textId="77777777" w:rsidR="000E6A19" w:rsidRPr="004068F6" w:rsidRDefault="000E6A19">
      <w:pPr>
        <w:numPr>
          <w:ilvl w:val="12"/>
          <w:numId w:val="0"/>
        </w:numPr>
        <w:tabs>
          <w:tab w:val="left" w:pos="-2268"/>
        </w:tabs>
        <w:suppressAutoHyphens/>
        <w:rPr>
          <w:spacing w:val="-3"/>
        </w:rPr>
      </w:pPr>
    </w:p>
    <w:p w14:paraId="4F62ABA4" w14:textId="166369AE" w:rsidR="00402998" w:rsidRPr="004068F6" w:rsidRDefault="00402998">
      <w:pPr>
        <w:numPr>
          <w:ilvl w:val="12"/>
          <w:numId w:val="0"/>
        </w:numPr>
        <w:tabs>
          <w:tab w:val="left" w:pos="-2268"/>
        </w:tabs>
        <w:suppressAutoHyphens/>
        <w:rPr>
          <w:rFonts w:cs="Arial"/>
          <w:spacing w:val="-3"/>
        </w:rPr>
      </w:pPr>
      <w:r w:rsidRPr="004068F6">
        <w:rPr>
          <w:rFonts w:cs="Arial"/>
          <w:spacing w:val="-3"/>
        </w:rPr>
        <w:t xml:space="preserve">A fin de </w:t>
      </w:r>
      <w:r w:rsidR="00E57583" w:rsidRPr="004068F6">
        <w:rPr>
          <w:rFonts w:cs="Arial"/>
          <w:spacing w:val="-3"/>
        </w:rPr>
        <w:t xml:space="preserve">determinar </w:t>
      </w:r>
      <w:r w:rsidR="006A557D">
        <w:rPr>
          <w:rFonts w:cs="Arial"/>
          <w:spacing w:val="-3"/>
        </w:rPr>
        <w:t xml:space="preserve">y valorar </w:t>
      </w:r>
      <w:r w:rsidRPr="004068F6">
        <w:rPr>
          <w:rFonts w:cs="Arial"/>
          <w:spacing w:val="-3"/>
        </w:rPr>
        <w:t>los impactos</w:t>
      </w:r>
      <w:r w:rsidR="00886384">
        <w:rPr>
          <w:rFonts w:cs="Arial"/>
          <w:spacing w:val="-3"/>
        </w:rPr>
        <w:t>, así como de determinar los impactos</w:t>
      </w:r>
      <w:r w:rsidRPr="004068F6">
        <w:rPr>
          <w:rFonts w:cs="Arial"/>
          <w:spacing w:val="-3"/>
        </w:rPr>
        <w:t xml:space="preserve"> </w:t>
      </w:r>
      <w:r w:rsidR="00FD2252" w:rsidRPr="004068F6">
        <w:rPr>
          <w:rFonts w:cs="Arial"/>
          <w:spacing w:val="-3"/>
        </w:rPr>
        <w:t xml:space="preserve">ambientales </w:t>
      </w:r>
      <w:r w:rsidR="00094CF6" w:rsidRPr="004068F6">
        <w:rPr>
          <w:rFonts w:cs="Arial"/>
          <w:spacing w:val="-3"/>
        </w:rPr>
        <w:t>significativos</w:t>
      </w:r>
      <w:r w:rsidRPr="004068F6">
        <w:rPr>
          <w:rFonts w:cs="Arial"/>
          <w:spacing w:val="-3"/>
        </w:rPr>
        <w:t xml:space="preserve"> </w:t>
      </w:r>
      <w:r w:rsidR="00094CF6" w:rsidRPr="004068F6">
        <w:rPr>
          <w:rFonts w:cs="Arial"/>
          <w:spacing w:val="-3"/>
        </w:rPr>
        <w:t xml:space="preserve">que </w:t>
      </w:r>
      <w:r w:rsidR="003E5ABC" w:rsidRPr="004068F6">
        <w:rPr>
          <w:rFonts w:cs="Arial"/>
          <w:spacing w:val="-3"/>
        </w:rPr>
        <w:t>delimita</w:t>
      </w:r>
      <w:r w:rsidR="007949CB" w:rsidRPr="004068F6">
        <w:rPr>
          <w:rFonts w:cs="Arial"/>
          <w:spacing w:val="-3"/>
        </w:rPr>
        <w:t>n</w:t>
      </w:r>
      <w:r w:rsidR="003E5ABC" w:rsidRPr="004068F6">
        <w:rPr>
          <w:rFonts w:cs="Arial"/>
          <w:spacing w:val="-3"/>
        </w:rPr>
        <w:t xml:space="preserve"> el área de estudio, </w:t>
      </w:r>
      <w:r w:rsidRPr="004068F6">
        <w:rPr>
          <w:rFonts w:cs="Arial"/>
          <w:spacing w:val="-3"/>
        </w:rPr>
        <w:t xml:space="preserve">se debe ejecutar un proceso de evaluación ambiental para cada una de las alternativas </w:t>
      </w:r>
      <w:r w:rsidR="003E5ABC" w:rsidRPr="004068F6">
        <w:rPr>
          <w:rFonts w:cs="Arial"/>
          <w:spacing w:val="-3"/>
        </w:rPr>
        <w:t xml:space="preserve">de acuerdo con </w:t>
      </w:r>
      <w:r w:rsidRPr="004068F6">
        <w:rPr>
          <w:rFonts w:cs="Arial"/>
          <w:spacing w:val="-3"/>
        </w:rPr>
        <w:t xml:space="preserve">los lineamientos, procedimientos, </w:t>
      </w:r>
      <w:r w:rsidR="00DD6342" w:rsidRPr="004068F6">
        <w:rPr>
          <w:rFonts w:cs="Arial"/>
          <w:spacing w:val="-3"/>
        </w:rPr>
        <w:t xml:space="preserve">categorías estandarizadas de impactos ambientales, </w:t>
      </w:r>
      <w:r w:rsidRPr="004068F6">
        <w:rPr>
          <w:rFonts w:cs="Arial"/>
          <w:spacing w:val="-3"/>
        </w:rPr>
        <w:t>reglas y categorías de normalización</w:t>
      </w:r>
      <w:r w:rsidR="00DD6342" w:rsidRPr="004068F6">
        <w:rPr>
          <w:rFonts w:cs="Arial"/>
          <w:spacing w:val="-3"/>
        </w:rPr>
        <w:t xml:space="preserve">, </w:t>
      </w:r>
      <w:r w:rsidR="00FE5137" w:rsidRPr="004068F6">
        <w:rPr>
          <w:rFonts w:cs="Arial"/>
          <w:spacing w:val="-3"/>
        </w:rPr>
        <w:t xml:space="preserve">y </w:t>
      </w:r>
      <w:r w:rsidR="00DD6342" w:rsidRPr="004068F6">
        <w:rPr>
          <w:rFonts w:cs="Arial"/>
          <w:spacing w:val="-3"/>
        </w:rPr>
        <w:t>demás herramientas</w:t>
      </w:r>
      <w:r w:rsidRPr="004068F6">
        <w:rPr>
          <w:rFonts w:cs="Arial"/>
          <w:spacing w:val="-3"/>
        </w:rPr>
        <w:t xml:space="preserve"> </w:t>
      </w:r>
      <w:r w:rsidR="00DD6342" w:rsidRPr="004068F6">
        <w:rPr>
          <w:rFonts w:cs="Arial"/>
          <w:spacing w:val="-3"/>
        </w:rPr>
        <w:t xml:space="preserve">de evaluación ambiental </w:t>
      </w:r>
      <w:r w:rsidR="00DD6342" w:rsidRPr="004068F6">
        <w:rPr>
          <w:rFonts w:cs="Arial"/>
          <w:spacing w:val="-3"/>
        </w:rPr>
        <w:lastRenderedPageBreak/>
        <w:t>señaladas</w:t>
      </w:r>
      <w:r w:rsidRPr="004068F6">
        <w:rPr>
          <w:rFonts w:cs="Arial"/>
          <w:spacing w:val="-3"/>
        </w:rPr>
        <w:t xml:space="preserve"> en el numeral </w:t>
      </w:r>
      <w:r w:rsidRPr="004068F6">
        <w:rPr>
          <w:rFonts w:cs="Arial"/>
          <w:spacing w:val="-3"/>
        </w:rPr>
        <w:fldChar w:fldCharType="begin"/>
      </w:r>
      <w:r w:rsidRPr="004068F6">
        <w:rPr>
          <w:rFonts w:cs="Arial"/>
          <w:spacing w:val="-3"/>
        </w:rPr>
        <w:instrText xml:space="preserve"> REF _Ref43356983 \r \h </w:instrText>
      </w:r>
      <w:r w:rsidR="006A4128" w:rsidRPr="004068F6">
        <w:rPr>
          <w:rFonts w:cs="Arial"/>
          <w:spacing w:val="-3"/>
        </w:rPr>
        <w:instrText xml:space="preserve"> \* MERGEFORMAT </w:instrText>
      </w:r>
      <w:r w:rsidRPr="004068F6">
        <w:rPr>
          <w:rFonts w:cs="Arial"/>
          <w:spacing w:val="-3"/>
        </w:rPr>
      </w:r>
      <w:r w:rsidRPr="004068F6">
        <w:rPr>
          <w:rFonts w:cs="Arial"/>
          <w:spacing w:val="-3"/>
        </w:rPr>
        <w:fldChar w:fldCharType="separate"/>
      </w:r>
      <w:r w:rsidR="009C4A81">
        <w:rPr>
          <w:rFonts w:cs="Arial"/>
          <w:spacing w:val="-3"/>
        </w:rPr>
        <w:t>7</w:t>
      </w:r>
      <w:r w:rsidRPr="004068F6">
        <w:rPr>
          <w:rFonts w:cs="Arial"/>
          <w:spacing w:val="-3"/>
        </w:rPr>
        <w:fldChar w:fldCharType="end"/>
      </w:r>
      <w:r w:rsidRPr="004068F6">
        <w:rPr>
          <w:rFonts w:cs="Arial"/>
          <w:spacing w:val="-3"/>
        </w:rPr>
        <w:t xml:space="preserve"> del capítulo III de esta </w:t>
      </w:r>
      <w:r w:rsidR="007949CB" w:rsidRPr="004068F6">
        <w:rPr>
          <w:rFonts w:cs="Arial"/>
          <w:spacing w:val="-3"/>
        </w:rPr>
        <w:t>m</w:t>
      </w:r>
      <w:r w:rsidRPr="004068F6">
        <w:rPr>
          <w:rFonts w:cs="Arial"/>
          <w:spacing w:val="-3"/>
        </w:rPr>
        <w:t>etodología</w:t>
      </w:r>
      <w:r w:rsidR="00DD7790" w:rsidRPr="004068F6">
        <w:rPr>
          <w:rStyle w:val="Refdenotaalpie"/>
          <w:rFonts w:cs="Arial"/>
          <w:spacing w:val="-3"/>
          <w:lang w:val="es-CO"/>
        </w:rPr>
        <w:footnoteReference w:id="62"/>
      </w:r>
      <w:r w:rsidRPr="004068F6">
        <w:rPr>
          <w:rFonts w:cs="Arial"/>
          <w:spacing w:val="-3"/>
        </w:rPr>
        <w:t xml:space="preserve">, </w:t>
      </w:r>
      <w:r w:rsidR="006143F3" w:rsidRPr="004068F6">
        <w:rPr>
          <w:rFonts w:cs="Arial"/>
          <w:spacing w:val="-3"/>
        </w:rPr>
        <w:t xml:space="preserve">considerando </w:t>
      </w:r>
      <w:r w:rsidR="00034D41" w:rsidRPr="004068F6">
        <w:rPr>
          <w:rFonts w:cs="Arial"/>
          <w:spacing w:val="-3"/>
        </w:rPr>
        <w:t xml:space="preserve">que dado </w:t>
      </w:r>
      <w:r w:rsidRPr="004068F6">
        <w:rPr>
          <w:rFonts w:cs="Arial"/>
          <w:spacing w:val="-3"/>
        </w:rPr>
        <w:t xml:space="preserve">el alcance y propósitos del DAA, dicha evaluación ambiental se realiza </w:t>
      </w:r>
      <w:r w:rsidR="007949CB" w:rsidRPr="004068F6">
        <w:rPr>
          <w:rFonts w:cs="Arial"/>
          <w:spacing w:val="-3"/>
        </w:rPr>
        <w:t>fundamentalmente</w:t>
      </w:r>
      <w:r w:rsidR="007949CB" w:rsidRPr="004068F6" w:rsidDel="007949CB">
        <w:rPr>
          <w:rFonts w:cs="Arial"/>
          <w:spacing w:val="-3"/>
        </w:rPr>
        <w:t xml:space="preserve"> </w:t>
      </w:r>
      <w:r w:rsidRPr="004068F6">
        <w:rPr>
          <w:rFonts w:cs="Arial"/>
          <w:spacing w:val="-3"/>
        </w:rPr>
        <w:t>a partir de información secundaria</w:t>
      </w:r>
      <w:r w:rsidR="002252AC" w:rsidRPr="004068F6">
        <w:rPr>
          <w:rStyle w:val="Refdenotaalpie"/>
          <w:rFonts w:cs="Arial"/>
          <w:spacing w:val="-3"/>
          <w:lang w:val="es-CO"/>
        </w:rPr>
        <w:footnoteReference w:id="63"/>
      </w:r>
      <w:r w:rsidR="007949CB" w:rsidRPr="004068F6">
        <w:rPr>
          <w:rFonts w:cs="Arial"/>
          <w:spacing w:val="-3"/>
        </w:rPr>
        <w:t>.</w:t>
      </w:r>
    </w:p>
    <w:p w14:paraId="50E1107C" w14:textId="77777777" w:rsidR="00115643" w:rsidRPr="004068F6" w:rsidRDefault="00115643" w:rsidP="00402998">
      <w:pPr>
        <w:numPr>
          <w:ilvl w:val="12"/>
          <w:numId w:val="0"/>
        </w:numPr>
        <w:tabs>
          <w:tab w:val="left" w:pos="-2268"/>
        </w:tabs>
        <w:suppressAutoHyphens/>
        <w:rPr>
          <w:spacing w:val="-3"/>
        </w:rPr>
      </w:pPr>
    </w:p>
    <w:p w14:paraId="094ABEAE" w14:textId="7DAD76D9" w:rsidR="003479E6" w:rsidRPr="004068F6" w:rsidRDefault="006D1B22">
      <w:pPr>
        <w:numPr>
          <w:ilvl w:val="12"/>
          <w:numId w:val="0"/>
        </w:numPr>
        <w:tabs>
          <w:tab w:val="left" w:pos="-2268"/>
        </w:tabs>
        <w:suppressAutoHyphens/>
        <w:rPr>
          <w:spacing w:val="-3"/>
        </w:rPr>
      </w:pPr>
      <w:r w:rsidRPr="004068F6">
        <w:rPr>
          <w:rFonts w:cs="Arial"/>
          <w:spacing w:val="-3"/>
        </w:rPr>
        <w:t>La evaluación ambiental debe tomar como referencia la información cualitativa y cuantitativa, así como los análisis regionales que ha</w:t>
      </w:r>
      <w:r w:rsidR="00AA0679" w:rsidRPr="004068F6">
        <w:rPr>
          <w:rFonts w:cs="Arial"/>
          <w:spacing w:val="-3"/>
        </w:rPr>
        <w:t>ya</w:t>
      </w:r>
      <w:r w:rsidR="004C2ED2" w:rsidRPr="004068F6">
        <w:rPr>
          <w:rFonts w:cs="Arial"/>
          <w:spacing w:val="-3"/>
        </w:rPr>
        <w:t>n</w:t>
      </w:r>
      <w:r w:rsidRPr="004068F6">
        <w:rPr>
          <w:rFonts w:cs="Arial"/>
          <w:spacing w:val="-3"/>
        </w:rPr>
        <w:t xml:space="preserve"> obtenido y desarrollado las autoridades ambientales para el área de estudio. </w:t>
      </w:r>
      <w:r w:rsidRPr="004068F6">
        <w:rPr>
          <w:spacing w:val="-3"/>
        </w:rPr>
        <w:t xml:space="preserve">Asimismo, es necesario que este proceso contemple </w:t>
      </w:r>
      <w:r w:rsidR="00A9037D" w:rsidRPr="004068F6">
        <w:rPr>
          <w:spacing w:val="-3"/>
        </w:rPr>
        <w:t>las diferentes etapas, fases y actividades necesarias para el desarrollo de</w:t>
      </w:r>
      <w:r w:rsidR="00FE5137" w:rsidRPr="004068F6">
        <w:rPr>
          <w:spacing w:val="-3"/>
        </w:rPr>
        <w:t xml:space="preserve">l proyecto, obra o actividad para el cual se formulan </w:t>
      </w:r>
      <w:r w:rsidR="00A9037D" w:rsidRPr="004068F6">
        <w:rPr>
          <w:spacing w:val="-3"/>
        </w:rPr>
        <w:t xml:space="preserve">las alternativas y la interrelación de éstas con los </w:t>
      </w:r>
      <w:r w:rsidRPr="004068F6">
        <w:rPr>
          <w:spacing w:val="-3"/>
        </w:rPr>
        <w:t xml:space="preserve">factores y </w:t>
      </w:r>
      <w:r w:rsidR="00A9037D" w:rsidRPr="004068F6">
        <w:rPr>
          <w:spacing w:val="-3"/>
        </w:rPr>
        <w:t>componentes del ambiente.</w:t>
      </w:r>
    </w:p>
    <w:p w14:paraId="75CFCB05" w14:textId="77777777" w:rsidR="003479E6" w:rsidRDefault="003479E6">
      <w:pPr>
        <w:numPr>
          <w:ilvl w:val="12"/>
          <w:numId w:val="0"/>
        </w:numPr>
        <w:tabs>
          <w:tab w:val="left" w:pos="-2268"/>
        </w:tabs>
        <w:suppressAutoHyphens/>
        <w:rPr>
          <w:spacing w:val="-3"/>
        </w:rPr>
      </w:pPr>
    </w:p>
    <w:p w14:paraId="65B8613E" w14:textId="7222E398" w:rsidR="00066C94" w:rsidRDefault="00066C94">
      <w:pPr>
        <w:numPr>
          <w:ilvl w:val="12"/>
          <w:numId w:val="0"/>
        </w:numPr>
        <w:tabs>
          <w:tab w:val="left" w:pos="-2268"/>
        </w:tabs>
        <w:suppressAutoHyphens/>
        <w:rPr>
          <w:spacing w:val="-3"/>
        </w:rPr>
      </w:pPr>
      <w:r w:rsidRPr="00F443A2">
        <w:rPr>
          <w:spacing w:val="-3"/>
        </w:rPr>
        <w:t xml:space="preserve">La determinación y valoración de impactos ambientales debe </w:t>
      </w:r>
      <w:r w:rsidR="006A47F0">
        <w:rPr>
          <w:spacing w:val="-3"/>
        </w:rPr>
        <w:t xml:space="preserve">considerar la forma en que </w:t>
      </w:r>
      <w:r w:rsidR="00EF5126">
        <w:rPr>
          <w:spacing w:val="-3"/>
        </w:rPr>
        <w:t xml:space="preserve">éstos </w:t>
      </w:r>
      <w:r w:rsidRPr="00F443A2">
        <w:rPr>
          <w:spacing w:val="-3"/>
        </w:rPr>
        <w:t>inciden</w:t>
      </w:r>
      <w:r w:rsidR="00EF5126">
        <w:rPr>
          <w:spacing w:val="-3"/>
        </w:rPr>
        <w:t xml:space="preserve"> </w:t>
      </w:r>
      <w:r w:rsidRPr="00F443A2">
        <w:rPr>
          <w:spacing w:val="-3"/>
        </w:rPr>
        <w:t>sobre los derechos humanos conex</w:t>
      </w:r>
      <w:r w:rsidR="00EF5126">
        <w:rPr>
          <w:spacing w:val="-3"/>
        </w:rPr>
        <w:t>os a</w:t>
      </w:r>
      <w:r w:rsidRPr="00F443A2">
        <w:rPr>
          <w:spacing w:val="-3"/>
        </w:rPr>
        <w:t xml:space="preserve">l derecho a un ambiente sano. En este sentido, es </w:t>
      </w:r>
      <w:r w:rsidR="00212B93">
        <w:rPr>
          <w:spacing w:val="-3"/>
        </w:rPr>
        <w:t xml:space="preserve">necesario considerar </w:t>
      </w:r>
      <w:r w:rsidR="00822A3C">
        <w:rPr>
          <w:spacing w:val="-3"/>
        </w:rPr>
        <w:t xml:space="preserve">que los impactos pueden </w:t>
      </w:r>
      <w:r w:rsidR="00DD05F7">
        <w:rPr>
          <w:spacing w:val="-3"/>
        </w:rPr>
        <w:t>afectar</w:t>
      </w:r>
      <w:r w:rsidR="00822A3C">
        <w:rPr>
          <w:spacing w:val="-3"/>
        </w:rPr>
        <w:t xml:space="preserve"> de forma </w:t>
      </w:r>
      <w:r w:rsidRPr="00F443A2">
        <w:rPr>
          <w:spacing w:val="-3"/>
        </w:rPr>
        <w:t xml:space="preserve">diferenciada </w:t>
      </w:r>
      <w:r w:rsidR="00DD05F7">
        <w:rPr>
          <w:spacing w:val="-3"/>
        </w:rPr>
        <w:t xml:space="preserve">a </w:t>
      </w:r>
      <w:r w:rsidRPr="00F443A2">
        <w:rPr>
          <w:spacing w:val="-3"/>
        </w:rPr>
        <w:t>comunidades étnicas, rurales y otros grupos en condición de vulnerabilidad.</w:t>
      </w:r>
    </w:p>
    <w:p w14:paraId="33CEA723" w14:textId="77777777" w:rsidR="00066C94" w:rsidRPr="004068F6" w:rsidRDefault="00066C94">
      <w:pPr>
        <w:numPr>
          <w:ilvl w:val="12"/>
          <w:numId w:val="0"/>
        </w:numPr>
        <w:tabs>
          <w:tab w:val="left" w:pos="-2268"/>
        </w:tabs>
        <w:suppressAutoHyphens/>
        <w:rPr>
          <w:spacing w:val="-3"/>
        </w:rPr>
      </w:pPr>
    </w:p>
    <w:p w14:paraId="12012BA9" w14:textId="05DD80FD" w:rsidR="007D3AE1" w:rsidRPr="004068F6" w:rsidRDefault="00832CDD" w:rsidP="005F1170">
      <w:pPr>
        <w:numPr>
          <w:ilvl w:val="12"/>
          <w:numId w:val="0"/>
        </w:numPr>
        <w:tabs>
          <w:tab w:val="left" w:pos="-2268"/>
        </w:tabs>
        <w:suppressAutoHyphens/>
        <w:rPr>
          <w:rFonts w:cs="Arial"/>
          <w:spacing w:val="-3"/>
        </w:rPr>
      </w:pPr>
      <w:r w:rsidRPr="004068F6">
        <w:rPr>
          <w:spacing w:val="-3"/>
        </w:rPr>
        <w:t xml:space="preserve">El método </w:t>
      </w:r>
      <w:r w:rsidRPr="004068F6">
        <w:rPr>
          <w:rFonts w:cs="Arial"/>
          <w:spacing w:val="-3"/>
        </w:rPr>
        <w:t xml:space="preserve">que se </w:t>
      </w:r>
      <w:r w:rsidR="006D6DF4" w:rsidRPr="004068F6">
        <w:rPr>
          <w:rFonts w:cs="Arial"/>
          <w:spacing w:val="-3"/>
        </w:rPr>
        <w:t>emplee</w:t>
      </w:r>
      <w:r w:rsidRPr="004068F6">
        <w:rPr>
          <w:rFonts w:cs="Arial"/>
          <w:spacing w:val="-3"/>
        </w:rPr>
        <w:t xml:space="preserve"> para la valoración de los </w:t>
      </w:r>
      <w:r w:rsidR="00FE5137" w:rsidRPr="004068F6">
        <w:rPr>
          <w:rFonts w:cs="Arial"/>
          <w:spacing w:val="-3"/>
        </w:rPr>
        <w:t>impactos</w:t>
      </w:r>
      <w:r w:rsidRPr="004068F6">
        <w:rPr>
          <w:rFonts w:cs="Arial"/>
          <w:spacing w:val="-3"/>
        </w:rPr>
        <w:t xml:space="preserve"> debe </w:t>
      </w:r>
      <w:r w:rsidR="003479E6" w:rsidRPr="004068F6">
        <w:rPr>
          <w:rFonts w:cs="Arial"/>
          <w:spacing w:val="-3"/>
        </w:rPr>
        <w:t>corresponder a</w:t>
      </w:r>
      <w:r w:rsidRPr="004068F6">
        <w:rPr>
          <w:rFonts w:cs="Arial"/>
          <w:spacing w:val="-3"/>
        </w:rPr>
        <w:t xml:space="preserve">l grado de detalle </w:t>
      </w:r>
      <w:r w:rsidR="006D6DF4" w:rsidRPr="004068F6">
        <w:rPr>
          <w:rFonts w:cs="Arial"/>
          <w:spacing w:val="-3"/>
        </w:rPr>
        <w:t>con e</w:t>
      </w:r>
      <w:r w:rsidRPr="004068F6">
        <w:rPr>
          <w:rFonts w:cs="Arial"/>
          <w:spacing w:val="-3"/>
        </w:rPr>
        <w:t xml:space="preserve">l cual </w:t>
      </w:r>
      <w:r w:rsidR="00160E09" w:rsidRPr="004068F6">
        <w:rPr>
          <w:rFonts w:cs="Arial"/>
          <w:spacing w:val="-3"/>
        </w:rPr>
        <w:t>es posible plantear</w:t>
      </w:r>
      <w:r w:rsidRPr="004068F6">
        <w:rPr>
          <w:rFonts w:cs="Arial"/>
          <w:spacing w:val="-3"/>
        </w:rPr>
        <w:t xml:space="preserve"> las alternativas</w:t>
      </w:r>
      <w:r w:rsidR="005F1170" w:rsidRPr="004068F6">
        <w:rPr>
          <w:rFonts w:cs="Arial"/>
          <w:spacing w:val="-3"/>
        </w:rPr>
        <w:t xml:space="preserve"> </w:t>
      </w:r>
      <w:r w:rsidR="00AC4BDD" w:rsidRPr="004068F6">
        <w:rPr>
          <w:rFonts w:cs="Arial"/>
          <w:spacing w:val="-3"/>
        </w:rPr>
        <w:t xml:space="preserve">y a la información disponible en esta </w:t>
      </w:r>
      <w:r w:rsidR="00136B2D">
        <w:rPr>
          <w:rFonts w:cs="Arial"/>
          <w:spacing w:val="-3"/>
        </w:rPr>
        <w:t>fase</w:t>
      </w:r>
      <w:r w:rsidR="00AC4BDD" w:rsidRPr="004068F6">
        <w:rPr>
          <w:rFonts w:cs="Arial"/>
          <w:spacing w:val="-3"/>
        </w:rPr>
        <w:t xml:space="preserve"> del proceso </w:t>
      </w:r>
      <w:r w:rsidR="00AB541F" w:rsidRPr="004068F6">
        <w:rPr>
          <w:rFonts w:cs="Arial"/>
          <w:spacing w:val="-3"/>
        </w:rPr>
        <w:t xml:space="preserve">de formulación de los proyectos </w:t>
      </w:r>
      <w:r w:rsidR="005F1170" w:rsidRPr="004068F6">
        <w:rPr>
          <w:rFonts w:cs="Arial"/>
          <w:spacing w:val="-3"/>
        </w:rPr>
        <w:t>y</w:t>
      </w:r>
      <w:r w:rsidR="00AB541F" w:rsidRPr="004068F6">
        <w:rPr>
          <w:rFonts w:cs="Arial"/>
          <w:spacing w:val="-3"/>
        </w:rPr>
        <w:t>,</w:t>
      </w:r>
      <w:r w:rsidR="005F1170" w:rsidRPr="004068F6">
        <w:rPr>
          <w:rFonts w:cs="Arial"/>
          <w:spacing w:val="-3"/>
        </w:rPr>
        <w:t xml:space="preserve"> siempre tener en cuenta </w:t>
      </w:r>
      <w:r w:rsidR="007D3AE1" w:rsidRPr="004068F6">
        <w:rPr>
          <w:rFonts w:cs="Arial"/>
          <w:spacing w:val="-3"/>
        </w:rPr>
        <w:t xml:space="preserve">que </w:t>
      </w:r>
      <w:r w:rsidR="005F1170" w:rsidRPr="004068F6">
        <w:rPr>
          <w:rFonts w:cs="Arial"/>
          <w:spacing w:val="-3"/>
        </w:rPr>
        <w:t xml:space="preserve">su </w:t>
      </w:r>
      <w:r w:rsidR="007D3AE1" w:rsidRPr="004068F6">
        <w:rPr>
          <w:rFonts w:cs="Arial"/>
          <w:spacing w:val="-3"/>
        </w:rPr>
        <w:t xml:space="preserve">propósito </w:t>
      </w:r>
      <w:r w:rsidR="00556F02" w:rsidRPr="004068F6">
        <w:rPr>
          <w:rFonts w:cs="Arial"/>
          <w:spacing w:val="-3"/>
        </w:rPr>
        <w:t xml:space="preserve">es </w:t>
      </w:r>
      <w:r w:rsidR="007D3AE1" w:rsidRPr="004068F6">
        <w:rPr>
          <w:rFonts w:cs="Arial"/>
          <w:spacing w:val="-3"/>
        </w:rPr>
        <w:t xml:space="preserve">encontrar las diferencias entre </w:t>
      </w:r>
      <w:r w:rsidR="00556F02" w:rsidRPr="004068F6">
        <w:rPr>
          <w:rFonts w:cs="Arial"/>
          <w:spacing w:val="-3"/>
        </w:rPr>
        <w:t>la alternativas y no determinar su viabilidad ambiental</w:t>
      </w:r>
      <w:r w:rsidR="00251EF0" w:rsidRPr="004068F6">
        <w:rPr>
          <w:rFonts w:cs="Arial"/>
          <w:spacing w:val="-3"/>
        </w:rPr>
        <w:t xml:space="preserve">, de modo que </w:t>
      </w:r>
      <w:r w:rsidR="007D3AE1" w:rsidRPr="004068F6">
        <w:rPr>
          <w:rFonts w:cs="Arial"/>
          <w:spacing w:val="-3"/>
        </w:rPr>
        <w:t xml:space="preserve">el análisis de cada impacto no debe </w:t>
      </w:r>
      <w:r w:rsidR="009D4DC2" w:rsidRPr="004068F6">
        <w:rPr>
          <w:rFonts w:cs="Arial"/>
          <w:spacing w:val="-3"/>
        </w:rPr>
        <w:t xml:space="preserve">ni puede </w:t>
      </w:r>
      <w:r w:rsidR="00C14F93" w:rsidRPr="004068F6">
        <w:rPr>
          <w:rFonts w:cs="Arial"/>
          <w:spacing w:val="-3"/>
        </w:rPr>
        <w:t xml:space="preserve">tener la </w:t>
      </w:r>
      <w:r w:rsidR="007D3AE1" w:rsidRPr="004068F6">
        <w:rPr>
          <w:rFonts w:cs="Arial"/>
          <w:spacing w:val="-3"/>
        </w:rPr>
        <w:t>profund</w:t>
      </w:r>
      <w:r w:rsidR="00C14F93" w:rsidRPr="004068F6">
        <w:rPr>
          <w:rFonts w:cs="Arial"/>
          <w:spacing w:val="-3"/>
        </w:rPr>
        <w:t xml:space="preserve">idad </w:t>
      </w:r>
      <w:r w:rsidR="00BF24EE" w:rsidRPr="004068F6">
        <w:rPr>
          <w:rFonts w:cs="Arial"/>
          <w:spacing w:val="-3"/>
        </w:rPr>
        <w:t>ni</w:t>
      </w:r>
      <w:r w:rsidR="00C14F93" w:rsidRPr="004068F6">
        <w:rPr>
          <w:rFonts w:cs="Arial"/>
          <w:spacing w:val="-3"/>
        </w:rPr>
        <w:t xml:space="preserve"> </w:t>
      </w:r>
      <w:r w:rsidR="007D3AE1" w:rsidRPr="004068F6">
        <w:rPr>
          <w:rFonts w:cs="Arial"/>
          <w:spacing w:val="-3"/>
        </w:rPr>
        <w:t>minucios</w:t>
      </w:r>
      <w:r w:rsidR="00C14F93" w:rsidRPr="004068F6">
        <w:rPr>
          <w:rFonts w:cs="Arial"/>
          <w:spacing w:val="-3"/>
        </w:rPr>
        <w:t xml:space="preserve">idad </w:t>
      </w:r>
      <w:r w:rsidR="0029180C" w:rsidRPr="004068F6">
        <w:rPr>
          <w:rFonts w:cs="Arial"/>
          <w:spacing w:val="-3"/>
        </w:rPr>
        <w:t xml:space="preserve">que se requiere </w:t>
      </w:r>
      <w:r w:rsidR="00C14F93" w:rsidRPr="004068F6">
        <w:rPr>
          <w:rFonts w:cs="Arial"/>
          <w:spacing w:val="-3"/>
        </w:rPr>
        <w:t xml:space="preserve">para </w:t>
      </w:r>
      <w:r w:rsidR="00BF24EE" w:rsidRPr="004068F6">
        <w:rPr>
          <w:rFonts w:cs="Arial"/>
          <w:spacing w:val="-3"/>
        </w:rPr>
        <w:t xml:space="preserve">evidenciar </w:t>
      </w:r>
      <w:r w:rsidR="007D3AE1" w:rsidRPr="004068F6">
        <w:rPr>
          <w:rFonts w:cs="Arial"/>
          <w:spacing w:val="-3"/>
        </w:rPr>
        <w:t>dicha viabilidad ambiental.</w:t>
      </w:r>
    </w:p>
    <w:p w14:paraId="66331830" w14:textId="77777777" w:rsidR="007D3AE1" w:rsidRPr="004068F6" w:rsidRDefault="007D3AE1">
      <w:pPr>
        <w:numPr>
          <w:ilvl w:val="12"/>
          <w:numId w:val="0"/>
        </w:numPr>
        <w:tabs>
          <w:tab w:val="left" w:pos="-2268"/>
        </w:tabs>
        <w:suppressAutoHyphens/>
        <w:rPr>
          <w:rFonts w:cs="Arial"/>
          <w:spacing w:val="-3"/>
        </w:rPr>
      </w:pPr>
    </w:p>
    <w:p w14:paraId="1B663928" w14:textId="28A0C4E1" w:rsidR="00723990" w:rsidRPr="004068F6" w:rsidRDefault="00C817F8">
      <w:pPr>
        <w:numPr>
          <w:ilvl w:val="12"/>
          <w:numId w:val="0"/>
        </w:numPr>
        <w:tabs>
          <w:tab w:val="left" w:pos="-2268"/>
        </w:tabs>
        <w:suppressAutoHyphens/>
        <w:rPr>
          <w:rFonts w:cs="Arial"/>
          <w:spacing w:val="-3"/>
        </w:rPr>
      </w:pPr>
      <w:r w:rsidRPr="004068F6">
        <w:rPr>
          <w:rFonts w:cs="Arial"/>
          <w:spacing w:val="-3"/>
        </w:rPr>
        <w:t>En este sentido</w:t>
      </w:r>
      <w:r w:rsidR="00B40DCF" w:rsidRPr="004068F6">
        <w:rPr>
          <w:rFonts w:cs="Arial"/>
          <w:spacing w:val="-3"/>
        </w:rPr>
        <w:t xml:space="preserve">, </w:t>
      </w:r>
      <w:r w:rsidR="0058242B" w:rsidRPr="004068F6">
        <w:rPr>
          <w:rFonts w:cs="Arial"/>
          <w:spacing w:val="-3"/>
        </w:rPr>
        <w:t xml:space="preserve">el método de </w:t>
      </w:r>
      <w:r w:rsidR="00475E02" w:rsidRPr="004068F6">
        <w:rPr>
          <w:rFonts w:cs="Arial"/>
          <w:spacing w:val="-3"/>
        </w:rPr>
        <w:t xml:space="preserve">valoración de impactos </w:t>
      </w:r>
      <w:r w:rsidR="00AD7BF7" w:rsidRPr="004068F6">
        <w:rPr>
          <w:rFonts w:cs="Arial"/>
          <w:spacing w:val="-3"/>
        </w:rPr>
        <w:t xml:space="preserve">debe </w:t>
      </w:r>
      <w:r w:rsidR="003479E6" w:rsidRPr="004068F6">
        <w:rPr>
          <w:rFonts w:cs="Arial"/>
          <w:spacing w:val="-3"/>
        </w:rPr>
        <w:t>ser</w:t>
      </w:r>
      <w:r w:rsidR="006D6DF4" w:rsidRPr="004068F6">
        <w:rPr>
          <w:rFonts w:cs="Arial"/>
          <w:spacing w:val="-3"/>
        </w:rPr>
        <w:t xml:space="preserve"> </w:t>
      </w:r>
      <w:r w:rsidR="00832CDD" w:rsidRPr="004068F6">
        <w:rPr>
          <w:rFonts w:cs="Arial"/>
          <w:spacing w:val="-3"/>
        </w:rPr>
        <w:t xml:space="preserve">menos intensivo en el uso de información </w:t>
      </w:r>
      <w:r w:rsidR="00B40DCF" w:rsidRPr="004068F6">
        <w:rPr>
          <w:rFonts w:cs="Arial"/>
          <w:spacing w:val="-3"/>
        </w:rPr>
        <w:t xml:space="preserve">pormenorizada </w:t>
      </w:r>
      <w:r w:rsidR="00DB3E17" w:rsidRPr="004068F6">
        <w:rPr>
          <w:rFonts w:cs="Arial"/>
          <w:spacing w:val="-3"/>
        </w:rPr>
        <w:t xml:space="preserve">y específica </w:t>
      </w:r>
      <w:r w:rsidR="003479E6" w:rsidRPr="004068F6">
        <w:rPr>
          <w:rFonts w:cs="Arial"/>
          <w:spacing w:val="-3"/>
        </w:rPr>
        <w:t xml:space="preserve">que los métodos utilizados para la elaboración de un </w:t>
      </w:r>
      <w:r w:rsidR="00832CDD" w:rsidRPr="004068F6">
        <w:rPr>
          <w:rFonts w:cs="Arial"/>
          <w:spacing w:val="-3"/>
        </w:rPr>
        <w:t>EIA</w:t>
      </w:r>
      <w:r w:rsidR="003479E6" w:rsidRPr="004068F6">
        <w:rPr>
          <w:rFonts w:cs="Arial"/>
          <w:spacing w:val="-3"/>
        </w:rPr>
        <w:t>,</w:t>
      </w:r>
      <w:r w:rsidR="00832CDD" w:rsidRPr="004068F6">
        <w:rPr>
          <w:rFonts w:cs="Arial"/>
          <w:spacing w:val="-3"/>
        </w:rPr>
        <w:t xml:space="preserve"> </w:t>
      </w:r>
      <w:r w:rsidR="00FE5137" w:rsidRPr="004068F6">
        <w:rPr>
          <w:rFonts w:cs="Arial"/>
          <w:spacing w:val="-3"/>
        </w:rPr>
        <w:t xml:space="preserve">emplear </w:t>
      </w:r>
      <w:r w:rsidR="003479E6" w:rsidRPr="004068F6">
        <w:rPr>
          <w:rFonts w:cs="Arial"/>
          <w:spacing w:val="-3"/>
        </w:rPr>
        <w:t xml:space="preserve">menos </w:t>
      </w:r>
      <w:r w:rsidR="00832CDD" w:rsidRPr="004068F6">
        <w:rPr>
          <w:rFonts w:cs="Arial"/>
          <w:spacing w:val="-3"/>
        </w:rPr>
        <w:t>atributos de valoración</w:t>
      </w:r>
      <w:r w:rsidR="00B40DCF" w:rsidRPr="004068F6">
        <w:rPr>
          <w:rFonts w:cs="Arial"/>
          <w:spacing w:val="-3"/>
        </w:rPr>
        <w:t xml:space="preserve"> y </w:t>
      </w:r>
      <w:r w:rsidR="00160E09" w:rsidRPr="004068F6">
        <w:rPr>
          <w:rFonts w:cs="Arial"/>
          <w:spacing w:val="-3"/>
        </w:rPr>
        <w:t>enfoc</w:t>
      </w:r>
      <w:r w:rsidR="00B40DCF" w:rsidRPr="004068F6">
        <w:rPr>
          <w:rFonts w:cs="Arial"/>
          <w:spacing w:val="-3"/>
        </w:rPr>
        <w:t xml:space="preserve">arse </w:t>
      </w:r>
      <w:r w:rsidR="00160E09" w:rsidRPr="004068F6">
        <w:rPr>
          <w:rFonts w:cs="Arial"/>
          <w:spacing w:val="-3"/>
        </w:rPr>
        <w:t>en aquell</w:t>
      </w:r>
      <w:r w:rsidR="00DB3E17" w:rsidRPr="004068F6">
        <w:rPr>
          <w:rFonts w:cs="Arial"/>
          <w:spacing w:val="-3"/>
        </w:rPr>
        <w:t xml:space="preserve">os datos </w:t>
      </w:r>
      <w:r w:rsidR="00B40DCF" w:rsidRPr="004068F6">
        <w:rPr>
          <w:rFonts w:cs="Arial"/>
          <w:spacing w:val="-3"/>
        </w:rPr>
        <w:t xml:space="preserve">y atributos </w:t>
      </w:r>
      <w:r w:rsidR="006D6DF4" w:rsidRPr="004068F6">
        <w:rPr>
          <w:rFonts w:cs="Arial"/>
          <w:spacing w:val="-3"/>
        </w:rPr>
        <w:t xml:space="preserve">que resulten </w:t>
      </w:r>
      <w:r w:rsidR="00832CDD" w:rsidRPr="004068F6">
        <w:rPr>
          <w:rFonts w:cs="Arial"/>
          <w:spacing w:val="-3"/>
        </w:rPr>
        <w:t xml:space="preserve">clave para </w:t>
      </w:r>
      <w:r w:rsidR="00B40DCF" w:rsidRPr="004068F6">
        <w:rPr>
          <w:rFonts w:cs="Arial"/>
          <w:spacing w:val="-3"/>
        </w:rPr>
        <w:t xml:space="preserve">encontrar diferencias y </w:t>
      </w:r>
      <w:r w:rsidR="00832CDD" w:rsidRPr="004068F6">
        <w:rPr>
          <w:rFonts w:cs="Arial"/>
          <w:spacing w:val="-3"/>
        </w:rPr>
        <w:t>compara</w:t>
      </w:r>
      <w:r w:rsidR="00B40DCF" w:rsidRPr="004068F6">
        <w:rPr>
          <w:rFonts w:cs="Arial"/>
          <w:spacing w:val="-3"/>
        </w:rPr>
        <w:t xml:space="preserve">r </w:t>
      </w:r>
      <w:r w:rsidR="00832CDD" w:rsidRPr="004068F6">
        <w:rPr>
          <w:rFonts w:cs="Arial"/>
          <w:spacing w:val="-3"/>
        </w:rPr>
        <w:t>las alternativas</w:t>
      </w:r>
      <w:r w:rsidR="00475E02" w:rsidRPr="004068F6">
        <w:rPr>
          <w:rFonts w:cs="Arial"/>
          <w:spacing w:val="-3"/>
        </w:rPr>
        <w:t>; en muchos casos una aproximación general permite determinar las diferencias entre alternativas</w:t>
      </w:r>
      <w:r w:rsidR="00160E09" w:rsidRPr="004068F6">
        <w:rPr>
          <w:rFonts w:cs="Arial"/>
          <w:spacing w:val="-3"/>
        </w:rPr>
        <w:t xml:space="preserve">. </w:t>
      </w:r>
      <w:r w:rsidR="00B40DCF" w:rsidRPr="004068F6">
        <w:rPr>
          <w:rFonts w:cs="Arial"/>
          <w:spacing w:val="-3"/>
        </w:rPr>
        <w:t xml:space="preserve">Lo fundamental es que </w:t>
      </w:r>
      <w:r w:rsidR="00E45A9B" w:rsidRPr="004068F6">
        <w:rPr>
          <w:rFonts w:cs="Arial"/>
          <w:spacing w:val="-3"/>
        </w:rPr>
        <w:t xml:space="preserve">dicho </w:t>
      </w:r>
      <w:r w:rsidR="00160E09" w:rsidRPr="004068F6">
        <w:rPr>
          <w:rFonts w:cs="Arial"/>
          <w:spacing w:val="-3"/>
        </w:rPr>
        <w:t>método asegur</w:t>
      </w:r>
      <w:r w:rsidR="00B40DCF" w:rsidRPr="004068F6">
        <w:rPr>
          <w:rFonts w:cs="Arial"/>
          <w:spacing w:val="-3"/>
        </w:rPr>
        <w:t>e</w:t>
      </w:r>
      <w:r w:rsidR="00160E09" w:rsidRPr="004068F6">
        <w:rPr>
          <w:rFonts w:cs="Arial"/>
          <w:spacing w:val="-3"/>
        </w:rPr>
        <w:t xml:space="preserve"> que mediante la </w:t>
      </w:r>
      <w:r w:rsidR="00832CDD" w:rsidRPr="004068F6">
        <w:rPr>
          <w:rFonts w:cs="Arial"/>
          <w:spacing w:val="-3"/>
        </w:rPr>
        <w:t>evalua</w:t>
      </w:r>
      <w:r w:rsidR="00160E09" w:rsidRPr="004068F6">
        <w:rPr>
          <w:rFonts w:cs="Arial"/>
          <w:spacing w:val="-3"/>
        </w:rPr>
        <w:t xml:space="preserve">ción ambiental se </w:t>
      </w:r>
      <w:r w:rsidR="00B40DCF" w:rsidRPr="004068F6">
        <w:rPr>
          <w:rFonts w:cs="Arial"/>
          <w:spacing w:val="-3"/>
        </w:rPr>
        <w:t xml:space="preserve">puedan </w:t>
      </w:r>
      <w:r w:rsidR="00E57583" w:rsidRPr="004068F6">
        <w:rPr>
          <w:rFonts w:cs="Arial"/>
          <w:spacing w:val="-3"/>
        </w:rPr>
        <w:t xml:space="preserve">establecer </w:t>
      </w:r>
      <w:r w:rsidR="00AD3AB0" w:rsidRPr="004068F6">
        <w:rPr>
          <w:rFonts w:cs="Arial"/>
          <w:spacing w:val="-3"/>
        </w:rPr>
        <w:t xml:space="preserve">las </w:t>
      </w:r>
      <w:r w:rsidR="00160E09" w:rsidRPr="004068F6">
        <w:rPr>
          <w:rFonts w:cs="Arial"/>
          <w:spacing w:val="-3"/>
        </w:rPr>
        <w:t>diferencias</w:t>
      </w:r>
      <w:r w:rsidR="000A1338" w:rsidRPr="004068F6">
        <w:rPr>
          <w:rFonts w:cs="Arial"/>
          <w:spacing w:val="-3"/>
        </w:rPr>
        <w:t>,</w:t>
      </w:r>
      <w:r w:rsidR="00160E09" w:rsidRPr="004068F6">
        <w:rPr>
          <w:rFonts w:cs="Arial"/>
          <w:spacing w:val="-3"/>
        </w:rPr>
        <w:t xml:space="preserve"> </w:t>
      </w:r>
      <w:r w:rsidR="0007439C" w:rsidRPr="004068F6">
        <w:rPr>
          <w:rFonts w:cs="Arial"/>
          <w:spacing w:val="-3"/>
        </w:rPr>
        <w:t>en términos de impactos</w:t>
      </w:r>
      <w:r w:rsidR="000A1338" w:rsidRPr="004068F6">
        <w:rPr>
          <w:rFonts w:cs="Arial"/>
          <w:spacing w:val="-3"/>
        </w:rPr>
        <w:t>,</w:t>
      </w:r>
      <w:r w:rsidR="0007439C" w:rsidRPr="004068F6" w:rsidDel="0007439C">
        <w:rPr>
          <w:rFonts w:cs="Arial"/>
          <w:spacing w:val="-3"/>
        </w:rPr>
        <w:t xml:space="preserve"> </w:t>
      </w:r>
      <w:r w:rsidR="00707D29" w:rsidRPr="004068F6">
        <w:rPr>
          <w:rFonts w:cs="Arial"/>
          <w:spacing w:val="-3"/>
        </w:rPr>
        <w:t>que existen</w:t>
      </w:r>
      <w:r w:rsidR="00AD3AB0" w:rsidRPr="004068F6">
        <w:rPr>
          <w:rFonts w:cs="Arial"/>
          <w:spacing w:val="-3"/>
        </w:rPr>
        <w:t xml:space="preserve"> </w:t>
      </w:r>
      <w:r w:rsidR="00B40DCF" w:rsidRPr="004068F6">
        <w:rPr>
          <w:rFonts w:cs="Arial"/>
          <w:spacing w:val="-3"/>
        </w:rPr>
        <w:t xml:space="preserve">entre </w:t>
      </w:r>
      <w:r w:rsidR="0063640F" w:rsidRPr="004068F6">
        <w:rPr>
          <w:rFonts w:cs="Arial"/>
          <w:spacing w:val="-3"/>
        </w:rPr>
        <w:t>las alternativas</w:t>
      </w:r>
      <w:r w:rsidR="00832CDD" w:rsidRPr="004068F6">
        <w:rPr>
          <w:rFonts w:cs="Arial"/>
          <w:spacing w:val="-3"/>
        </w:rPr>
        <w:t>.</w:t>
      </w:r>
    </w:p>
    <w:p w14:paraId="05F30349" w14:textId="77777777" w:rsidR="00A9037D" w:rsidRPr="004068F6" w:rsidRDefault="00A9037D">
      <w:pPr>
        <w:numPr>
          <w:ilvl w:val="12"/>
          <w:numId w:val="0"/>
        </w:numPr>
        <w:tabs>
          <w:tab w:val="left" w:pos="-2268"/>
        </w:tabs>
        <w:suppressAutoHyphens/>
        <w:rPr>
          <w:spacing w:val="-3"/>
        </w:rPr>
      </w:pPr>
    </w:p>
    <w:p w14:paraId="56D1B812" w14:textId="578D8088" w:rsidR="00A9037D" w:rsidRPr="004068F6" w:rsidRDefault="006D1B22" w:rsidP="00A9037D">
      <w:pPr>
        <w:numPr>
          <w:ilvl w:val="12"/>
          <w:numId w:val="0"/>
        </w:numPr>
        <w:tabs>
          <w:tab w:val="left" w:pos="-2268"/>
        </w:tabs>
        <w:suppressAutoHyphens/>
        <w:rPr>
          <w:rFonts w:cs="Arial"/>
          <w:spacing w:val="-3"/>
        </w:rPr>
      </w:pPr>
      <w:r w:rsidRPr="004068F6">
        <w:rPr>
          <w:rFonts w:cs="Arial"/>
          <w:spacing w:val="-3"/>
        </w:rPr>
        <w:lastRenderedPageBreak/>
        <w:t xml:space="preserve">La información que resulte de </w:t>
      </w:r>
      <w:r w:rsidR="003E5ABC" w:rsidRPr="004068F6">
        <w:rPr>
          <w:rFonts w:cs="Arial"/>
          <w:spacing w:val="-3"/>
        </w:rPr>
        <w:t xml:space="preserve">la </w:t>
      </w:r>
      <w:r w:rsidR="003E661A" w:rsidRPr="004068F6">
        <w:rPr>
          <w:rFonts w:cs="Arial"/>
          <w:spacing w:val="-3"/>
        </w:rPr>
        <w:t xml:space="preserve">evaluación </w:t>
      </w:r>
      <w:r w:rsidR="00A9037D" w:rsidRPr="004068F6">
        <w:rPr>
          <w:rFonts w:cs="Arial"/>
          <w:spacing w:val="-3"/>
        </w:rPr>
        <w:t xml:space="preserve">de impactos </w:t>
      </w:r>
      <w:r w:rsidR="00034D41" w:rsidRPr="004068F6">
        <w:rPr>
          <w:rFonts w:cs="Arial"/>
          <w:spacing w:val="-3"/>
        </w:rPr>
        <w:t xml:space="preserve">ambientales </w:t>
      </w:r>
      <w:r w:rsidR="00A9037D" w:rsidRPr="004068F6">
        <w:rPr>
          <w:rFonts w:cs="Arial"/>
          <w:spacing w:val="-3"/>
        </w:rPr>
        <w:t xml:space="preserve">para cada una de las alternativas </w:t>
      </w:r>
      <w:r w:rsidR="003E661A" w:rsidRPr="004068F6">
        <w:rPr>
          <w:rFonts w:cs="Arial"/>
          <w:spacing w:val="-3"/>
        </w:rPr>
        <w:t xml:space="preserve">debe </w:t>
      </w:r>
      <w:r w:rsidR="00DB3E17" w:rsidRPr="004068F6">
        <w:rPr>
          <w:rFonts w:cs="Arial"/>
          <w:spacing w:val="-3"/>
        </w:rPr>
        <w:t xml:space="preserve">ser </w:t>
      </w:r>
      <w:r w:rsidR="0076241D" w:rsidRPr="004068F6">
        <w:rPr>
          <w:rFonts w:cs="Arial"/>
          <w:spacing w:val="-3"/>
        </w:rPr>
        <w:t>consigna</w:t>
      </w:r>
      <w:r w:rsidR="00DB3E17" w:rsidRPr="004068F6">
        <w:rPr>
          <w:rFonts w:cs="Arial"/>
          <w:spacing w:val="-3"/>
        </w:rPr>
        <w:t>da</w:t>
      </w:r>
      <w:r w:rsidR="0076241D" w:rsidRPr="004068F6">
        <w:rPr>
          <w:rFonts w:cs="Arial"/>
          <w:spacing w:val="-3"/>
        </w:rPr>
        <w:t xml:space="preserve"> </w:t>
      </w:r>
      <w:r w:rsidR="00DB3E17" w:rsidRPr="004068F6">
        <w:rPr>
          <w:rFonts w:cs="Arial"/>
          <w:spacing w:val="-3"/>
        </w:rPr>
        <w:t xml:space="preserve">en una tabla que contenga los campos definidos en </w:t>
      </w:r>
      <w:r w:rsidR="003E661A" w:rsidRPr="004068F6">
        <w:rPr>
          <w:rFonts w:cs="Arial"/>
          <w:spacing w:val="-3"/>
        </w:rPr>
        <w:t xml:space="preserve">la </w:t>
      </w:r>
      <w:r w:rsidR="003E661A" w:rsidRPr="004068F6">
        <w:rPr>
          <w:rFonts w:cs="Arial"/>
          <w:spacing w:val="-3"/>
        </w:rPr>
        <w:fldChar w:fldCharType="begin"/>
      </w:r>
      <w:r w:rsidR="003E661A" w:rsidRPr="004068F6">
        <w:rPr>
          <w:rFonts w:cs="Arial"/>
          <w:spacing w:val="-3"/>
        </w:rPr>
        <w:instrText xml:space="preserve"> REF _Ref488184224 \h  \* MERGEFORMAT </w:instrText>
      </w:r>
      <w:r w:rsidR="003E661A" w:rsidRPr="004068F6">
        <w:rPr>
          <w:rFonts w:cs="Arial"/>
          <w:spacing w:val="-3"/>
        </w:rPr>
      </w:r>
      <w:r w:rsidR="003E661A" w:rsidRPr="004068F6">
        <w:rPr>
          <w:rFonts w:cs="Arial"/>
          <w:spacing w:val="-3"/>
        </w:rPr>
        <w:fldChar w:fldCharType="separate"/>
      </w:r>
      <w:r w:rsidR="009C4A81" w:rsidRPr="009C4A81">
        <w:rPr>
          <w:rFonts w:cs="Arial"/>
          <w:spacing w:val="-3"/>
        </w:rPr>
        <w:t>Tabla 12</w:t>
      </w:r>
      <w:r w:rsidR="003E661A" w:rsidRPr="004068F6">
        <w:rPr>
          <w:rFonts w:cs="Arial"/>
          <w:spacing w:val="-3"/>
        </w:rPr>
        <w:fldChar w:fldCharType="end"/>
      </w:r>
      <w:r w:rsidR="00A9037D" w:rsidRPr="004068F6">
        <w:rPr>
          <w:rFonts w:cs="Arial"/>
          <w:spacing w:val="-3"/>
        </w:rPr>
        <w:t>.</w:t>
      </w:r>
    </w:p>
    <w:p w14:paraId="7FDA7A0D" w14:textId="46AB6EFB" w:rsidR="00A9037D" w:rsidRPr="004068F6" w:rsidRDefault="00A9037D" w:rsidP="00A9037D">
      <w:pPr>
        <w:numPr>
          <w:ilvl w:val="12"/>
          <w:numId w:val="0"/>
        </w:numPr>
        <w:tabs>
          <w:tab w:val="left" w:pos="-2268"/>
        </w:tabs>
        <w:suppressAutoHyphens/>
        <w:rPr>
          <w:rFonts w:cs="Arial"/>
          <w:spacing w:val="-3"/>
        </w:rPr>
      </w:pPr>
    </w:p>
    <w:p w14:paraId="7D5E23BA" w14:textId="361C57B3" w:rsidR="00A9037D" w:rsidRPr="004068F6" w:rsidRDefault="00A9037D" w:rsidP="00A9037D">
      <w:pPr>
        <w:numPr>
          <w:ilvl w:val="12"/>
          <w:numId w:val="0"/>
        </w:numPr>
        <w:tabs>
          <w:tab w:val="left" w:pos="-2268"/>
        </w:tabs>
        <w:suppressAutoHyphens/>
        <w:jc w:val="center"/>
        <w:rPr>
          <w:bCs/>
          <w:spacing w:val="-3"/>
        </w:rPr>
      </w:pPr>
      <w:bookmarkStart w:id="2363" w:name="_Ref488184224"/>
      <w:r w:rsidRPr="004068F6">
        <w:rPr>
          <w:b/>
          <w:spacing w:val="-3"/>
        </w:rPr>
        <w:t xml:space="preserve">Tabla </w:t>
      </w:r>
      <w:r w:rsidRPr="004068F6">
        <w:rPr>
          <w:b/>
          <w:spacing w:val="-3"/>
        </w:rPr>
        <w:fldChar w:fldCharType="begin"/>
      </w:r>
      <w:r w:rsidRPr="004068F6">
        <w:rPr>
          <w:rFonts w:cs="Arial"/>
          <w:b/>
          <w:spacing w:val="-3"/>
        </w:rPr>
        <w:instrText xml:space="preserve"> SEQ Tabla \* ARABIC </w:instrText>
      </w:r>
      <w:r w:rsidRPr="004068F6">
        <w:rPr>
          <w:b/>
          <w:spacing w:val="-3"/>
        </w:rPr>
        <w:fldChar w:fldCharType="separate"/>
      </w:r>
      <w:r w:rsidR="009C4A81">
        <w:rPr>
          <w:rFonts w:cs="Arial"/>
          <w:b/>
          <w:noProof/>
          <w:spacing w:val="-3"/>
        </w:rPr>
        <w:t>12</w:t>
      </w:r>
      <w:r w:rsidRPr="004068F6">
        <w:rPr>
          <w:b/>
          <w:spacing w:val="-3"/>
        </w:rPr>
        <w:fldChar w:fldCharType="end"/>
      </w:r>
      <w:bookmarkEnd w:id="2363"/>
      <w:r w:rsidR="00830F0E" w:rsidRPr="004068F6">
        <w:rPr>
          <w:b/>
          <w:spacing w:val="-3"/>
        </w:rPr>
        <w:t>.</w:t>
      </w:r>
      <w:r w:rsidRPr="004068F6">
        <w:rPr>
          <w:bCs/>
          <w:spacing w:val="-3"/>
        </w:rPr>
        <w:t xml:space="preserve"> </w:t>
      </w:r>
      <w:r w:rsidR="0009367A" w:rsidRPr="004068F6">
        <w:rPr>
          <w:bCs/>
          <w:spacing w:val="-3"/>
        </w:rPr>
        <w:t xml:space="preserve">Determinación </w:t>
      </w:r>
      <w:r w:rsidR="00DB3E17" w:rsidRPr="004068F6">
        <w:rPr>
          <w:bCs/>
          <w:spacing w:val="-3"/>
        </w:rPr>
        <w:t xml:space="preserve">y valoración </w:t>
      </w:r>
      <w:r w:rsidRPr="004068F6">
        <w:rPr>
          <w:bCs/>
          <w:spacing w:val="-3"/>
        </w:rPr>
        <w:t>de impactos</w:t>
      </w:r>
      <w:r w:rsidR="00034D41" w:rsidRPr="004068F6">
        <w:rPr>
          <w:bCs/>
          <w:spacing w:val="-3"/>
        </w:rPr>
        <w:t xml:space="preserve"> ambientales</w:t>
      </w:r>
      <w:r w:rsidRPr="004068F6">
        <w:rPr>
          <w:bCs/>
          <w:spacing w:val="-3"/>
        </w:rPr>
        <w:t xml:space="preserve"> </w:t>
      </w:r>
    </w:p>
    <w:tbl>
      <w:tblPr>
        <w:tblStyle w:val="Tablanormal21"/>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1197"/>
        <w:gridCol w:w="1969"/>
        <w:gridCol w:w="936"/>
        <w:gridCol w:w="2074"/>
        <w:gridCol w:w="1011"/>
        <w:gridCol w:w="1011"/>
        <w:gridCol w:w="1011"/>
        <w:gridCol w:w="1012"/>
      </w:tblGrid>
      <w:tr w:rsidR="009420F5" w:rsidRPr="004068F6" w14:paraId="36AB2B83" w14:textId="77777777" w:rsidTr="004E66A8">
        <w:trPr>
          <w:cnfStyle w:val="100000000000" w:firstRow="1" w:lastRow="0" w:firstColumn="0" w:lastColumn="0" w:oddVBand="0" w:evenVBand="0" w:oddHBand="0" w:evenHBand="0" w:firstRowFirstColumn="0" w:firstRowLastColumn="0" w:lastRowFirstColumn="0" w:lastRowLastColumn="0"/>
          <w:trHeight w:val="1673"/>
          <w:jc w:val="center"/>
        </w:trPr>
        <w:tc>
          <w:tcPr>
            <w:cnfStyle w:val="001000000000" w:firstRow="0" w:lastRow="0" w:firstColumn="1" w:lastColumn="0" w:oddVBand="0" w:evenVBand="0" w:oddHBand="0" w:evenHBand="0" w:firstRowFirstColumn="0" w:firstRowLastColumn="0" w:lastRowFirstColumn="0" w:lastRowLastColumn="0"/>
            <w:tcW w:w="551" w:type="dxa"/>
            <w:tcMar>
              <w:left w:w="28" w:type="dxa"/>
              <w:right w:w="28" w:type="dxa"/>
            </w:tcMar>
            <w:textDirection w:val="btLr"/>
            <w:vAlign w:val="center"/>
          </w:tcPr>
          <w:p w14:paraId="1F8D956D" w14:textId="2EE47416" w:rsidR="006B60AF" w:rsidRPr="004068F6" w:rsidRDefault="006B60AF" w:rsidP="0082127E">
            <w:pPr>
              <w:numPr>
                <w:ilvl w:val="12"/>
                <w:numId w:val="0"/>
              </w:numPr>
              <w:tabs>
                <w:tab w:val="left" w:pos="-2268"/>
              </w:tabs>
              <w:suppressAutoHyphens/>
              <w:jc w:val="center"/>
              <w:rPr>
                <w:spacing w:val="-3"/>
                <w:sz w:val="20"/>
              </w:rPr>
            </w:pPr>
            <w:r w:rsidRPr="004068F6">
              <w:rPr>
                <w:spacing w:val="-3"/>
                <w:sz w:val="20"/>
              </w:rPr>
              <w:t>Medio</w:t>
            </w:r>
            <w:r w:rsidR="00BC6D6A" w:rsidRPr="004068F6">
              <w:rPr>
                <w:spacing w:val="-3"/>
                <w:sz w:val="20"/>
              </w:rPr>
              <w:t xml:space="preserve"> /</w:t>
            </w:r>
            <w:r w:rsidRPr="004068F6">
              <w:rPr>
                <w:spacing w:val="-3"/>
                <w:sz w:val="20"/>
              </w:rPr>
              <w:t xml:space="preserve"> Componente</w:t>
            </w:r>
          </w:p>
        </w:tc>
        <w:tc>
          <w:tcPr>
            <w:tcW w:w="1197" w:type="dxa"/>
            <w:vAlign w:val="center"/>
          </w:tcPr>
          <w:p w14:paraId="15AA3E02" w14:textId="422C4195" w:rsidR="006B60AF" w:rsidRPr="004068F6" w:rsidRDefault="006B60AF" w:rsidP="004F01DD">
            <w:pPr>
              <w:numPr>
                <w:ilvl w:val="12"/>
                <w:numId w:val="0"/>
              </w:numPr>
              <w:tabs>
                <w:tab w:val="left" w:pos="-2268"/>
              </w:tabs>
              <w:suppressAutoHyphens/>
              <w:jc w:val="center"/>
              <w:cnfStyle w:val="100000000000" w:firstRow="1" w:lastRow="0" w:firstColumn="0" w:lastColumn="0" w:oddVBand="0" w:evenVBand="0" w:oddHBand="0" w:evenHBand="0" w:firstRowFirstColumn="0" w:firstRowLastColumn="0" w:lastRowFirstColumn="0" w:lastRowLastColumn="0"/>
              <w:rPr>
                <w:rFonts w:cs="Arial"/>
                <w:spacing w:val="-3"/>
                <w:sz w:val="20"/>
                <w:szCs w:val="20"/>
              </w:rPr>
            </w:pPr>
            <w:r w:rsidRPr="004068F6">
              <w:rPr>
                <w:rFonts w:cs="Arial"/>
                <w:spacing w:val="-3"/>
                <w:sz w:val="20"/>
                <w:szCs w:val="20"/>
              </w:rPr>
              <w:t xml:space="preserve">Categoría </w:t>
            </w:r>
            <w:r w:rsidR="00DB3E17" w:rsidRPr="004068F6">
              <w:rPr>
                <w:rFonts w:cs="Arial"/>
                <w:spacing w:val="-3"/>
                <w:sz w:val="20"/>
                <w:szCs w:val="20"/>
              </w:rPr>
              <w:t>estandarizada</w:t>
            </w:r>
            <w:r w:rsidR="006819D3" w:rsidRPr="004068F6">
              <w:rPr>
                <w:rFonts w:cs="Arial"/>
                <w:spacing w:val="-3"/>
                <w:sz w:val="20"/>
                <w:szCs w:val="20"/>
              </w:rPr>
              <w:t>*</w:t>
            </w:r>
          </w:p>
        </w:tc>
        <w:tc>
          <w:tcPr>
            <w:tcW w:w="1969" w:type="dxa"/>
            <w:vAlign w:val="center"/>
          </w:tcPr>
          <w:p w14:paraId="3F198A2D" w14:textId="2666907E" w:rsidR="006B60AF" w:rsidRPr="004068F6" w:rsidRDefault="006B60AF" w:rsidP="00C86DA5">
            <w:pPr>
              <w:numPr>
                <w:ilvl w:val="12"/>
                <w:numId w:val="0"/>
              </w:numPr>
              <w:tabs>
                <w:tab w:val="left" w:pos="-2268"/>
              </w:tabs>
              <w:suppressAutoHyphens/>
              <w:jc w:val="center"/>
              <w:cnfStyle w:val="100000000000" w:firstRow="1" w:lastRow="0" w:firstColumn="0" w:lastColumn="0" w:oddVBand="0" w:evenVBand="0" w:oddHBand="0" w:evenHBand="0" w:firstRowFirstColumn="0" w:firstRowLastColumn="0" w:lastRowFirstColumn="0" w:lastRowLastColumn="0"/>
              <w:rPr>
                <w:spacing w:val="-3"/>
                <w:sz w:val="20"/>
              </w:rPr>
            </w:pPr>
            <w:r w:rsidRPr="004068F6">
              <w:rPr>
                <w:spacing w:val="-3"/>
                <w:sz w:val="20"/>
              </w:rPr>
              <w:t>Impacto</w:t>
            </w:r>
          </w:p>
        </w:tc>
        <w:tc>
          <w:tcPr>
            <w:tcW w:w="936" w:type="dxa"/>
            <w:vAlign w:val="center"/>
          </w:tcPr>
          <w:p w14:paraId="51D6A3B5" w14:textId="5C98552A" w:rsidR="006B60AF" w:rsidRPr="004068F6" w:rsidRDefault="006B60AF" w:rsidP="004F01DD">
            <w:pPr>
              <w:numPr>
                <w:ilvl w:val="12"/>
                <w:numId w:val="0"/>
              </w:numPr>
              <w:tabs>
                <w:tab w:val="left" w:pos="-2268"/>
              </w:tabs>
              <w:suppressAutoHyphens/>
              <w:ind w:left="-108"/>
              <w:jc w:val="center"/>
              <w:cnfStyle w:val="100000000000" w:firstRow="1" w:lastRow="0" w:firstColumn="0" w:lastColumn="0" w:oddVBand="0" w:evenVBand="0" w:oddHBand="0" w:evenHBand="0" w:firstRowFirstColumn="0" w:firstRowLastColumn="0" w:lastRowFirstColumn="0" w:lastRowLastColumn="0"/>
              <w:rPr>
                <w:spacing w:val="-3"/>
                <w:sz w:val="20"/>
              </w:rPr>
            </w:pPr>
            <w:r w:rsidRPr="004068F6">
              <w:rPr>
                <w:spacing w:val="-3"/>
                <w:sz w:val="20"/>
              </w:rPr>
              <w:t>Carácter</w:t>
            </w:r>
          </w:p>
          <w:p w14:paraId="32533BE9" w14:textId="06354C33" w:rsidR="006B60AF" w:rsidRPr="004068F6" w:rsidRDefault="006B60AF" w:rsidP="004F01DD">
            <w:pPr>
              <w:numPr>
                <w:ilvl w:val="12"/>
                <w:numId w:val="0"/>
              </w:numPr>
              <w:tabs>
                <w:tab w:val="left" w:pos="-2268"/>
              </w:tabs>
              <w:suppressAutoHyphens/>
              <w:ind w:left="-108"/>
              <w:jc w:val="center"/>
              <w:cnfStyle w:val="100000000000" w:firstRow="1" w:lastRow="0" w:firstColumn="0" w:lastColumn="0" w:oddVBand="0" w:evenVBand="0" w:oddHBand="0" w:evenHBand="0" w:firstRowFirstColumn="0" w:firstRowLastColumn="0" w:lastRowFirstColumn="0" w:lastRowLastColumn="0"/>
              <w:rPr>
                <w:spacing w:val="-3"/>
                <w:sz w:val="20"/>
              </w:rPr>
            </w:pPr>
          </w:p>
          <w:p w14:paraId="3E2E155D" w14:textId="516306BF" w:rsidR="006B60AF" w:rsidRPr="004068F6" w:rsidRDefault="006B60AF" w:rsidP="009420F5">
            <w:pPr>
              <w:numPr>
                <w:ilvl w:val="12"/>
                <w:numId w:val="0"/>
              </w:numPr>
              <w:tabs>
                <w:tab w:val="left" w:pos="-2268"/>
              </w:tabs>
              <w:suppressAutoHyphens/>
              <w:ind w:left="-108"/>
              <w:jc w:val="center"/>
              <w:cnfStyle w:val="100000000000" w:firstRow="1" w:lastRow="0" w:firstColumn="0" w:lastColumn="0" w:oddVBand="0" w:evenVBand="0" w:oddHBand="0" w:evenHBand="0" w:firstRowFirstColumn="0" w:firstRowLastColumn="0" w:lastRowFirstColumn="0" w:lastRowLastColumn="0"/>
              <w:rPr>
                <w:spacing w:val="-3"/>
                <w:sz w:val="20"/>
              </w:rPr>
            </w:pPr>
            <w:r w:rsidRPr="004068F6">
              <w:rPr>
                <w:spacing w:val="-3"/>
                <w:sz w:val="20"/>
              </w:rPr>
              <w:t>(+ o -)</w:t>
            </w:r>
          </w:p>
        </w:tc>
        <w:tc>
          <w:tcPr>
            <w:tcW w:w="2074" w:type="dxa"/>
            <w:vAlign w:val="center"/>
          </w:tcPr>
          <w:p w14:paraId="7B3F0BFC" w14:textId="77777777" w:rsidR="00D16E92" w:rsidRPr="004068F6" w:rsidRDefault="006B60AF" w:rsidP="009420F5">
            <w:pPr>
              <w:numPr>
                <w:ilvl w:val="12"/>
                <w:numId w:val="0"/>
              </w:numPr>
              <w:tabs>
                <w:tab w:val="left" w:pos="-2268"/>
              </w:tabs>
              <w:suppressAutoHyphens/>
              <w:jc w:val="center"/>
              <w:cnfStyle w:val="100000000000" w:firstRow="1" w:lastRow="0" w:firstColumn="0" w:lastColumn="0" w:oddVBand="0" w:evenVBand="0" w:oddHBand="0" w:evenHBand="0" w:firstRowFirstColumn="0" w:firstRowLastColumn="0" w:lastRowFirstColumn="0" w:lastRowLastColumn="0"/>
              <w:rPr>
                <w:spacing w:val="-3"/>
                <w:sz w:val="20"/>
              </w:rPr>
            </w:pPr>
            <w:r w:rsidRPr="004068F6">
              <w:rPr>
                <w:spacing w:val="-3"/>
                <w:sz w:val="20"/>
              </w:rPr>
              <w:t>Impacto existente en el área de estudio en el escenario sin proyecto</w:t>
            </w:r>
          </w:p>
          <w:p w14:paraId="0BB7BFA7" w14:textId="77777777" w:rsidR="00D16E92" w:rsidRPr="004068F6" w:rsidRDefault="00D16E92" w:rsidP="009420F5">
            <w:pPr>
              <w:numPr>
                <w:ilvl w:val="12"/>
                <w:numId w:val="0"/>
              </w:numPr>
              <w:tabs>
                <w:tab w:val="left" w:pos="-2268"/>
              </w:tabs>
              <w:suppressAutoHyphens/>
              <w:jc w:val="center"/>
              <w:cnfStyle w:val="100000000000" w:firstRow="1" w:lastRow="0" w:firstColumn="0" w:lastColumn="0" w:oddVBand="0" w:evenVBand="0" w:oddHBand="0" w:evenHBand="0" w:firstRowFirstColumn="0" w:firstRowLastColumn="0" w:lastRowFirstColumn="0" w:lastRowLastColumn="0"/>
              <w:rPr>
                <w:spacing w:val="-3"/>
                <w:sz w:val="20"/>
              </w:rPr>
            </w:pPr>
          </w:p>
          <w:p w14:paraId="08F661B6" w14:textId="1C86B68A" w:rsidR="006B60AF" w:rsidRPr="004068F6" w:rsidRDefault="006B60AF" w:rsidP="009420F5">
            <w:pPr>
              <w:numPr>
                <w:ilvl w:val="12"/>
                <w:numId w:val="0"/>
              </w:numPr>
              <w:tabs>
                <w:tab w:val="left" w:pos="-2268"/>
              </w:tabs>
              <w:suppressAutoHyphens/>
              <w:jc w:val="center"/>
              <w:cnfStyle w:val="100000000000" w:firstRow="1" w:lastRow="0" w:firstColumn="0" w:lastColumn="0" w:oddVBand="0" w:evenVBand="0" w:oddHBand="0" w:evenHBand="0" w:firstRowFirstColumn="0" w:firstRowLastColumn="0" w:lastRowFirstColumn="0" w:lastRowLastColumn="0"/>
              <w:rPr>
                <w:spacing w:val="-3"/>
                <w:sz w:val="20"/>
              </w:rPr>
            </w:pPr>
            <w:r w:rsidRPr="004068F6">
              <w:rPr>
                <w:spacing w:val="-3"/>
                <w:sz w:val="20"/>
              </w:rPr>
              <w:t>(indique con una X</w:t>
            </w:r>
            <w:r w:rsidR="00C4498F" w:rsidRPr="004068F6">
              <w:rPr>
                <w:spacing w:val="-3"/>
                <w:sz w:val="20"/>
              </w:rPr>
              <w:t>**</w:t>
            </w:r>
            <w:r w:rsidRPr="004068F6">
              <w:rPr>
                <w:spacing w:val="-3"/>
                <w:sz w:val="20"/>
              </w:rPr>
              <w:t>)</w:t>
            </w:r>
          </w:p>
        </w:tc>
        <w:tc>
          <w:tcPr>
            <w:tcW w:w="4045" w:type="dxa"/>
            <w:gridSpan w:val="4"/>
            <w:vAlign w:val="center"/>
          </w:tcPr>
          <w:p w14:paraId="23402A68" w14:textId="0D464E08" w:rsidR="00D16E92" w:rsidRPr="004068F6" w:rsidRDefault="006B60AF" w:rsidP="0032671C">
            <w:pPr>
              <w:numPr>
                <w:ilvl w:val="12"/>
                <w:numId w:val="0"/>
              </w:numPr>
              <w:tabs>
                <w:tab w:val="left" w:pos="-2268"/>
              </w:tabs>
              <w:suppressAutoHyphens/>
              <w:jc w:val="center"/>
              <w:cnfStyle w:val="100000000000" w:firstRow="1" w:lastRow="0" w:firstColumn="0" w:lastColumn="0" w:oddVBand="0" w:evenVBand="0" w:oddHBand="0" w:evenHBand="0" w:firstRowFirstColumn="0" w:firstRowLastColumn="0" w:lastRowFirstColumn="0" w:lastRowLastColumn="0"/>
              <w:rPr>
                <w:spacing w:val="-3"/>
                <w:sz w:val="20"/>
              </w:rPr>
            </w:pPr>
            <w:r w:rsidRPr="004068F6">
              <w:rPr>
                <w:spacing w:val="-3"/>
                <w:sz w:val="20"/>
              </w:rPr>
              <w:t xml:space="preserve">Impacto generado por el desarrollo de la alternativa </w:t>
            </w:r>
            <w:r w:rsidR="00E86630" w:rsidRPr="004068F6">
              <w:rPr>
                <w:i/>
                <w:spacing w:val="-3"/>
                <w:sz w:val="20"/>
              </w:rPr>
              <w:t>i</w:t>
            </w:r>
            <w:r w:rsidRPr="004068F6">
              <w:rPr>
                <w:spacing w:val="-3"/>
                <w:sz w:val="20"/>
              </w:rPr>
              <w:t xml:space="preserve"> del proyecto</w:t>
            </w:r>
          </w:p>
          <w:p w14:paraId="0EF9F693" w14:textId="77777777" w:rsidR="00D16E92" w:rsidRPr="004068F6" w:rsidRDefault="00D16E92" w:rsidP="0032671C">
            <w:pPr>
              <w:numPr>
                <w:ilvl w:val="12"/>
                <w:numId w:val="0"/>
              </w:numPr>
              <w:tabs>
                <w:tab w:val="left" w:pos="-2268"/>
              </w:tabs>
              <w:suppressAutoHyphens/>
              <w:jc w:val="center"/>
              <w:cnfStyle w:val="100000000000" w:firstRow="1" w:lastRow="0" w:firstColumn="0" w:lastColumn="0" w:oddVBand="0" w:evenVBand="0" w:oddHBand="0" w:evenHBand="0" w:firstRowFirstColumn="0" w:firstRowLastColumn="0" w:lastRowFirstColumn="0" w:lastRowLastColumn="0"/>
              <w:rPr>
                <w:spacing w:val="-3"/>
                <w:sz w:val="20"/>
              </w:rPr>
            </w:pPr>
          </w:p>
          <w:p w14:paraId="33AF9BA0" w14:textId="47C1EA58" w:rsidR="006B60AF" w:rsidRPr="004068F6" w:rsidRDefault="006B60AF" w:rsidP="0032671C">
            <w:pPr>
              <w:numPr>
                <w:ilvl w:val="12"/>
                <w:numId w:val="0"/>
              </w:numPr>
              <w:tabs>
                <w:tab w:val="left" w:pos="-2268"/>
              </w:tabs>
              <w:suppressAutoHyphens/>
              <w:jc w:val="center"/>
              <w:cnfStyle w:val="100000000000" w:firstRow="1" w:lastRow="0" w:firstColumn="0" w:lastColumn="0" w:oddVBand="0" w:evenVBand="0" w:oddHBand="0" w:evenHBand="0" w:firstRowFirstColumn="0" w:firstRowLastColumn="0" w:lastRowFirstColumn="0" w:lastRowLastColumn="0"/>
              <w:rPr>
                <w:spacing w:val="-3"/>
                <w:sz w:val="20"/>
              </w:rPr>
            </w:pPr>
            <w:r w:rsidRPr="004068F6">
              <w:rPr>
                <w:spacing w:val="-3"/>
                <w:sz w:val="20"/>
              </w:rPr>
              <w:t>(</w:t>
            </w:r>
            <w:r w:rsidR="00DB5F46" w:rsidRPr="004068F6">
              <w:rPr>
                <w:spacing w:val="-3"/>
                <w:sz w:val="20"/>
              </w:rPr>
              <w:t>señal</w:t>
            </w:r>
            <w:r w:rsidR="00F96546" w:rsidRPr="004068F6">
              <w:rPr>
                <w:spacing w:val="-3"/>
                <w:sz w:val="20"/>
              </w:rPr>
              <w:t>e</w:t>
            </w:r>
            <w:r w:rsidR="00DB5F46" w:rsidRPr="004068F6">
              <w:rPr>
                <w:spacing w:val="-3"/>
                <w:sz w:val="20"/>
              </w:rPr>
              <w:t xml:space="preserve"> </w:t>
            </w:r>
            <w:r w:rsidR="005E7447" w:rsidRPr="004068F6">
              <w:rPr>
                <w:spacing w:val="-3"/>
                <w:sz w:val="20"/>
              </w:rPr>
              <w:t xml:space="preserve">en la columna de cada alternativa </w:t>
            </w:r>
            <w:r w:rsidR="00DB5F46" w:rsidRPr="004068F6">
              <w:rPr>
                <w:spacing w:val="-3"/>
                <w:sz w:val="20"/>
              </w:rPr>
              <w:t xml:space="preserve">la categoría de potencial </w:t>
            </w:r>
            <w:r w:rsidR="00F96546" w:rsidRPr="004068F6">
              <w:rPr>
                <w:spacing w:val="-3"/>
                <w:sz w:val="20"/>
              </w:rPr>
              <w:t xml:space="preserve">normalizado </w:t>
            </w:r>
            <w:r w:rsidR="00DB5F46" w:rsidRPr="004068F6">
              <w:rPr>
                <w:spacing w:val="-3"/>
                <w:sz w:val="20"/>
              </w:rPr>
              <w:t>de modificación</w:t>
            </w:r>
            <w:r w:rsidR="005E7447" w:rsidRPr="004068F6">
              <w:rPr>
                <w:spacing w:val="-3"/>
                <w:sz w:val="20"/>
              </w:rPr>
              <w:t xml:space="preserve"> del impacto</w:t>
            </w:r>
            <w:r w:rsidR="006819D3" w:rsidRPr="004068F6">
              <w:rPr>
                <w:spacing w:val="-3"/>
                <w:sz w:val="20"/>
              </w:rPr>
              <w:t>*</w:t>
            </w:r>
            <w:r w:rsidR="00C4498F" w:rsidRPr="004068F6">
              <w:rPr>
                <w:spacing w:val="-3"/>
                <w:sz w:val="20"/>
              </w:rPr>
              <w:t>*</w:t>
            </w:r>
            <w:r w:rsidR="00DB5F46" w:rsidRPr="004068F6">
              <w:rPr>
                <w:spacing w:val="-3"/>
                <w:sz w:val="20"/>
              </w:rPr>
              <w:t>*</w:t>
            </w:r>
            <w:r w:rsidRPr="004068F6">
              <w:rPr>
                <w:spacing w:val="-3"/>
                <w:sz w:val="20"/>
              </w:rPr>
              <w:t>)</w:t>
            </w:r>
          </w:p>
        </w:tc>
      </w:tr>
      <w:tr w:rsidR="001D5925" w:rsidRPr="004068F6" w14:paraId="559FB868" w14:textId="085D048D" w:rsidTr="004E66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 w:type="dxa"/>
          </w:tcPr>
          <w:p w14:paraId="5FB108BF" w14:textId="77777777" w:rsidR="006B60AF" w:rsidRPr="004068F6" w:rsidRDefault="006B60AF">
            <w:pPr>
              <w:numPr>
                <w:ilvl w:val="12"/>
                <w:numId w:val="0"/>
              </w:numPr>
              <w:tabs>
                <w:tab w:val="left" w:pos="-2268"/>
              </w:tabs>
              <w:suppressAutoHyphens/>
              <w:rPr>
                <w:rFonts w:cs="Arial"/>
                <w:b w:val="0"/>
                <w:spacing w:val="-3"/>
              </w:rPr>
            </w:pPr>
          </w:p>
        </w:tc>
        <w:tc>
          <w:tcPr>
            <w:tcW w:w="1197" w:type="dxa"/>
          </w:tcPr>
          <w:p w14:paraId="25A95E28" w14:textId="77777777" w:rsidR="006B60AF" w:rsidRPr="004068F6" w:rsidRDefault="006B60AF">
            <w:pPr>
              <w:numPr>
                <w:ilvl w:val="12"/>
                <w:numId w:val="0"/>
              </w:numPr>
              <w:tabs>
                <w:tab w:val="left" w:pos="-2268"/>
              </w:tabs>
              <w:suppressAutoHyphens/>
              <w:cnfStyle w:val="000000100000" w:firstRow="0" w:lastRow="0" w:firstColumn="0" w:lastColumn="0" w:oddVBand="0" w:evenVBand="0" w:oddHBand="1" w:evenHBand="0" w:firstRowFirstColumn="0" w:firstRowLastColumn="0" w:lastRowFirstColumn="0" w:lastRowLastColumn="0"/>
              <w:rPr>
                <w:spacing w:val="-3"/>
              </w:rPr>
            </w:pPr>
          </w:p>
        </w:tc>
        <w:tc>
          <w:tcPr>
            <w:tcW w:w="1969" w:type="dxa"/>
          </w:tcPr>
          <w:p w14:paraId="6D8DE50B" w14:textId="77777777" w:rsidR="006B60AF" w:rsidRPr="004068F6" w:rsidRDefault="006B60AF">
            <w:pPr>
              <w:numPr>
                <w:ilvl w:val="12"/>
                <w:numId w:val="0"/>
              </w:numPr>
              <w:tabs>
                <w:tab w:val="left" w:pos="-2268"/>
              </w:tabs>
              <w:suppressAutoHyphens/>
              <w:cnfStyle w:val="000000100000" w:firstRow="0" w:lastRow="0" w:firstColumn="0" w:lastColumn="0" w:oddVBand="0" w:evenVBand="0" w:oddHBand="1" w:evenHBand="0" w:firstRowFirstColumn="0" w:firstRowLastColumn="0" w:lastRowFirstColumn="0" w:lastRowLastColumn="0"/>
              <w:rPr>
                <w:spacing w:val="-3"/>
              </w:rPr>
            </w:pPr>
          </w:p>
        </w:tc>
        <w:tc>
          <w:tcPr>
            <w:tcW w:w="936" w:type="dxa"/>
          </w:tcPr>
          <w:p w14:paraId="7798BFE5" w14:textId="1FC8715D" w:rsidR="006B60AF" w:rsidRPr="004068F6" w:rsidRDefault="006B60AF" w:rsidP="00C86DA5">
            <w:pPr>
              <w:numPr>
                <w:ilvl w:val="12"/>
                <w:numId w:val="0"/>
              </w:numPr>
              <w:tabs>
                <w:tab w:val="left" w:pos="-2268"/>
              </w:tabs>
              <w:suppressAutoHyphens/>
              <w:cnfStyle w:val="000000100000" w:firstRow="0" w:lastRow="0" w:firstColumn="0" w:lastColumn="0" w:oddVBand="0" w:evenVBand="0" w:oddHBand="1" w:evenHBand="0" w:firstRowFirstColumn="0" w:firstRowLastColumn="0" w:lastRowFirstColumn="0" w:lastRowLastColumn="0"/>
              <w:rPr>
                <w:rFonts w:cs="Arial"/>
                <w:bCs/>
                <w:spacing w:val="-3"/>
              </w:rPr>
            </w:pPr>
          </w:p>
        </w:tc>
        <w:tc>
          <w:tcPr>
            <w:tcW w:w="2074" w:type="dxa"/>
          </w:tcPr>
          <w:p w14:paraId="3A06996C" w14:textId="5DD6A897" w:rsidR="006B60AF" w:rsidRPr="004068F6" w:rsidRDefault="006B60AF" w:rsidP="00C86DA5">
            <w:pPr>
              <w:numPr>
                <w:ilvl w:val="12"/>
                <w:numId w:val="0"/>
              </w:numPr>
              <w:tabs>
                <w:tab w:val="left" w:pos="-2268"/>
              </w:tabs>
              <w:suppressAutoHyphens/>
              <w:cnfStyle w:val="000000100000" w:firstRow="0" w:lastRow="0" w:firstColumn="0" w:lastColumn="0" w:oddVBand="0" w:evenVBand="0" w:oddHBand="1" w:evenHBand="0" w:firstRowFirstColumn="0" w:firstRowLastColumn="0" w:lastRowFirstColumn="0" w:lastRowLastColumn="0"/>
              <w:rPr>
                <w:spacing w:val="-3"/>
              </w:rPr>
            </w:pPr>
          </w:p>
        </w:tc>
        <w:tc>
          <w:tcPr>
            <w:tcW w:w="1011" w:type="dxa"/>
          </w:tcPr>
          <w:p w14:paraId="0FC7B898" w14:textId="582B24F5" w:rsidR="006B60AF" w:rsidRPr="004068F6" w:rsidRDefault="006B60AF" w:rsidP="003725C8">
            <w:pPr>
              <w:numPr>
                <w:ilvl w:val="12"/>
                <w:numId w:val="0"/>
              </w:numPr>
              <w:tabs>
                <w:tab w:val="left" w:pos="-2268"/>
              </w:tabs>
              <w:suppressAutoHyphens/>
              <w:jc w:val="center"/>
              <w:cnfStyle w:val="000000100000" w:firstRow="0" w:lastRow="0" w:firstColumn="0" w:lastColumn="0" w:oddVBand="0" w:evenVBand="0" w:oddHBand="1" w:evenHBand="0" w:firstRowFirstColumn="0" w:firstRowLastColumn="0" w:lastRowFirstColumn="0" w:lastRowLastColumn="0"/>
              <w:rPr>
                <w:spacing w:val="-3"/>
              </w:rPr>
            </w:pPr>
            <w:r w:rsidRPr="004068F6">
              <w:rPr>
                <w:b/>
                <w:spacing w:val="-3"/>
              </w:rPr>
              <w:t>1</w:t>
            </w:r>
          </w:p>
        </w:tc>
        <w:tc>
          <w:tcPr>
            <w:tcW w:w="1011" w:type="dxa"/>
          </w:tcPr>
          <w:p w14:paraId="5B9E4C51" w14:textId="304D708A" w:rsidR="006B60AF" w:rsidRPr="004068F6" w:rsidRDefault="006B60AF" w:rsidP="00C86DA5">
            <w:pPr>
              <w:numPr>
                <w:ilvl w:val="12"/>
                <w:numId w:val="0"/>
              </w:numPr>
              <w:tabs>
                <w:tab w:val="left" w:pos="-2268"/>
              </w:tabs>
              <w:suppressAutoHyphens/>
              <w:jc w:val="center"/>
              <w:cnfStyle w:val="000000100000" w:firstRow="0" w:lastRow="0" w:firstColumn="0" w:lastColumn="0" w:oddVBand="0" w:evenVBand="0" w:oddHBand="1" w:evenHBand="0" w:firstRowFirstColumn="0" w:firstRowLastColumn="0" w:lastRowFirstColumn="0" w:lastRowLastColumn="0"/>
              <w:rPr>
                <w:b/>
                <w:spacing w:val="-3"/>
              </w:rPr>
            </w:pPr>
            <w:r w:rsidRPr="004068F6">
              <w:rPr>
                <w:b/>
                <w:spacing w:val="-3"/>
              </w:rPr>
              <w:t>2</w:t>
            </w:r>
          </w:p>
        </w:tc>
        <w:tc>
          <w:tcPr>
            <w:tcW w:w="1011" w:type="dxa"/>
          </w:tcPr>
          <w:p w14:paraId="45789658" w14:textId="4270988C" w:rsidR="006B60AF" w:rsidRPr="004068F6" w:rsidRDefault="006B60AF" w:rsidP="00C86DA5">
            <w:pPr>
              <w:numPr>
                <w:ilvl w:val="12"/>
                <w:numId w:val="0"/>
              </w:numPr>
              <w:tabs>
                <w:tab w:val="left" w:pos="-2268"/>
              </w:tabs>
              <w:suppressAutoHyphens/>
              <w:jc w:val="center"/>
              <w:cnfStyle w:val="000000100000" w:firstRow="0" w:lastRow="0" w:firstColumn="0" w:lastColumn="0" w:oddVBand="0" w:evenVBand="0" w:oddHBand="1" w:evenHBand="0" w:firstRowFirstColumn="0" w:firstRowLastColumn="0" w:lastRowFirstColumn="0" w:lastRowLastColumn="0"/>
              <w:rPr>
                <w:b/>
                <w:spacing w:val="-3"/>
              </w:rPr>
            </w:pPr>
            <w:r w:rsidRPr="004068F6">
              <w:rPr>
                <w:b/>
                <w:spacing w:val="-3"/>
              </w:rPr>
              <w:t>3</w:t>
            </w:r>
          </w:p>
        </w:tc>
        <w:tc>
          <w:tcPr>
            <w:tcW w:w="1012" w:type="dxa"/>
          </w:tcPr>
          <w:p w14:paraId="4E03519A" w14:textId="60BF53F6" w:rsidR="006B60AF" w:rsidRPr="004068F6" w:rsidRDefault="006B60AF" w:rsidP="00C86DA5">
            <w:pPr>
              <w:numPr>
                <w:ilvl w:val="12"/>
                <w:numId w:val="0"/>
              </w:numPr>
              <w:tabs>
                <w:tab w:val="left" w:pos="-2268"/>
              </w:tabs>
              <w:suppressAutoHyphens/>
              <w:jc w:val="center"/>
              <w:cnfStyle w:val="000000100000" w:firstRow="0" w:lastRow="0" w:firstColumn="0" w:lastColumn="0" w:oddVBand="0" w:evenVBand="0" w:oddHBand="1" w:evenHBand="0" w:firstRowFirstColumn="0" w:firstRowLastColumn="0" w:lastRowFirstColumn="0" w:lastRowLastColumn="0"/>
              <w:rPr>
                <w:b/>
                <w:spacing w:val="-3"/>
              </w:rPr>
            </w:pPr>
            <w:r w:rsidRPr="004068F6">
              <w:rPr>
                <w:b/>
                <w:spacing w:val="-3"/>
              </w:rPr>
              <w:t>n</w:t>
            </w:r>
          </w:p>
        </w:tc>
      </w:tr>
      <w:tr w:rsidR="001D5925" w:rsidRPr="004068F6" w14:paraId="0F699094" w14:textId="4D01712D" w:rsidTr="004E66A8">
        <w:trPr>
          <w:jc w:val="center"/>
        </w:trPr>
        <w:tc>
          <w:tcPr>
            <w:cnfStyle w:val="001000000000" w:firstRow="0" w:lastRow="0" w:firstColumn="1" w:lastColumn="0" w:oddVBand="0" w:evenVBand="0" w:oddHBand="0" w:evenHBand="0" w:firstRowFirstColumn="0" w:firstRowLastColumn="0" w:lastRowFirstColumn="0" w:lastRowLastColumn="0"/>
            <w:tcW w:w="551" w:type="dxa"/>
          </w:tcPr>
          <w:p w14:paraId="6B724A77" w14:textId="77777777" w:rsidR="006B60AF" w:rsidRPr="004068F6" w:rsidRDefault="006B60AF">
            <w:pPr>
              <w:numPr>
                <w:ilvl w:val="12"/>
                <w:numId w:val="0"/>
              </w:numPr>
              <w:tabs>
                <w:tab w:val="left" w:pos="-2268"/>
              </w:tabs>
              <w:suppressAutoHyphens/>
              <w:rPr>
                <w:rFonts w:cs="Arial"/>
                <w:b w:val="0"/>
                <w:spacing w:val="-3"/>
              </w:rPr>
            </w:pPr>
          </w:p>
        </w:tc>
        <w:tc>
          <w:tcPr>
            <w:tcW w:w="1197" w:type="dxa"/>
          </w:tcPr>
          <w:p w14:paraId="1A9FAB86" w14:textId="77777777" w:rsidR="006B60AF" w:rsidRPr="004068F6" w:rsidRDefault="006B60AF">
            <w:pPr>
              <w:numPr>
                <w:ilvl w:val="12"/>
                <w:numId w:val="0"/>
              </w:numPr>
              <w:tabs>
                <w:tab w:val="left" w:pos="-2268"/>
              </w:tabs>
              <w:suppressAutoHyphens/>
              <w:cnfStyle w:val="000000000000" w:firstRow="0" w:lastRow="0" w:firstColumn="0" w:lastColumn="0" w:oddVBand="0" w:evenVBand="0" w:oddHBand="0" w:evenHBand="0" w:firstRowFirstColumn="0" w:firstRowLastColumn="0" w:lastRowFirstColumn="0" w:lastRowLastColumn="0"/>
              <w:rPr>
                <w:rFonts w:cs="Arial"/>
                <w:spacing w:val="-3"/>
              </w:rPr>
            </w:pPr>
          </w:p>
        </w:tc>
        <w:tc>
          <w:tcPr>
            <w:tcW w:w="1969" w:type="dxa"/>
          </w:tcPr>
          <w:p w14:paraId="7A83E38E" w14:textId="77777777" w:rsidR="006B60AF" w:rsidRPr="004068F6" w:rsidRDefault="006B60AF">
            <w:pPr>
              <w:numPr>
                <w:ilvl w:val="12"/>
                <w:numId w:val="0"/>
              </w:numPr>
              <w:tabs>
                <w:tab w:val="left" w:pos="-2268"/>
              </w:tabs>
              <w:suppressAutoHyphens/>
              <w:cnfStyle w:val="000000000000" w:firstRow="0" w:lastRow="0" w:firstColumn="0" w:lastColumn="0" w:oddVBand="0" w:evenVBand="0" w:oddHBand="0" w:evenHBand="0" w:firstRowFirstColumn="0" w:firstRowLastColumn="0" w:lastRowFirstColumn="0" w:lastRowLastColumn="0"/>
              <w:rPr>
                <w:spacing w:val="-3"/>
              </w:rPr>
            </w:pPr>
          </w:p>
        </w:tc>
        <w:tc>
          <w:tcPr>
            <w:tcW w:w="936" w:type="dxa"/>
          </w:tcPr>
          <w:p w14:paraId="30BDC169" w14:textId="77777777" w:rsidR="006B60AF" w:rsidRPr="004068F6" w:rsidRDefault="006B60AF">
            <w:pPr>
              <w:numPr>
                <w:ilvl w:val="12"/>
                <w:numId w:val="0"/>
              </w:numPr>
              <w:tabs>
                <w:tab w:val="left" w:pos="-2268"/>
              </w:tabs>
              <w:suppressAutoHyphens/>
              <w:cnfStyle w:val="000000000000" w:firstRow="0" w:lastRow="0" w:firstColumn="0" w:lastColumn="0" w:oddVBand="0" w:evenVBand="0" w:oddHBand="0" w:evenHBand="0" w:firstRowFirstColumn="0" w:firstRowLastColumn="0" w:lastRowFirstColumn="0" w:lastRowLastColumn="0"/>
              <w:rPr>
                <w:spacing w:val="-3"/>
              </w:rPr>
            </w:pPr>
          </w:p>
        </w:tc>
        <w:tc>
          <w:tcPr>
            <w:tcW w:w="2074" w:type="dxa"/>
          </w:tcPr>
          <w:p w14:paraId="7AB1B8AD" w14:textId="77777777" w:rsidR="006B60AF" w:rsidRPr="004068F6" w:rsidRDefault="006B60AF">
            <w:pPr>
              <w:numPr>
                <w:ilvl w:val="12"/>
                <w:numId w:val="0"/>
              </w:numPr>
              <w:tabs>
                <w:tab w:val="left" w:pos="-2268"/>
              </w:tabs>
              <w:suppressAutoHyphens/>
              <w:cnfStyle w:val="000000000000" w:firstRow="0" w:lastRow="0" w:firstColumn="0" w:lastColumn="0" w:oddVBand="0" w:evenVBand="0" w:oddHBand="0" w:evenHBand="0" w:firstRowFirstColumn="0" w:firstRowLastColumn="0" w:lastRowFirstColumn="0" w:lastRowLastColumn="0"/>
              <w:rPr>
                <w:rFonts w:cs="Arial"/>
                <w:spacing w:val="-3"/>
              </w:rPr>
            </w:pPr>
          </w:p>
        </w:tc>
        <w:tc>
          <w:tcPr>
            <w:tcW w:w="1011" w:type="dxa"/>
          </w:tcPr>
          <w:p w14:paraId="5CE7A4A4" w14:textId="77777777" w:rsidR="006B60AF" w:rsidRPr="004068F6" w:rsidRDefault="006B60AF">
            <w:pPr>
              <w:numPr>
                <w:ilvl w:val="12"/>
                <w:numId w:val="0"/>
              </w:numPr>
              <w:tabs>
                <w:tab w:val="left" w:pos="-2268"/>
              </w:tabs>
              <w:suppressAutoHyphens/>
              <w:cnfStyle w:val="000000000000" w:firstRow="0" w:lastRow="0" w:firstColumn="0" w:lastColumn="0" w:oddVBand="0" w:evenVBand="0" w:oddHBand="0" w:evenHBand="0" w:firstRowFirstColumn="0" w:firstRowLastColumn="0" w:lastRowFirstColumn="0" w:lastRowLastColumn="0"/>
              <w:rPr>
                <w:rFonts w:cs="Arial"/>
                <w:spacing w:val="-3"/>
              </w:rPr>
            </w:pPr>
          </w:p>
        </w:tc>
        <w:tc>
          <w:tcPr>
            <w:tcW w:w="1011" w:type="dxa"/>
          </w:tcPr>
          <w:p w14:paraId="2E1B0977" w14:textId="77777777" w:rsidR="006B60AF" w:rsidRPr="004068F6" w:rsidRDefault="006B60AF">
            <w:pPr>
              <w:numPr>
                <w:ilvl w:val="12"/>
                <w:numId w:val="0"/>
              </w:numPr>
              <w:tabs>
                <w:tab w:val="left" w:pos="-2268"/>
              </w:tabs>
              <w:suppressAutoHyphens/>
              <w:cnfStyle w:val="000000000000" w:firstRow="0" w:lastRow="0" w:firstColumn="0" w:lastColumn="0" w:oddVBand="0" w:evenVBand="0" w:oddHBand="0" w:evenHBand="0" w:firstRowFirstColumn="0" w:firstRowLastColumn="0" w:lastRowFirstColumn="0" w:lastRowLastColumn="0"/>
              <w:rPr>
                <w:rFonts w:cs="Arial"/>
                <w:spacing w:val="-3"/>
              </w:rPr>
            </w:pPr>
          </w:p>
        </w:tc>
        <w:tc>
          <w:tcPr>
            <w:tcW w:w="1011" w:type="dxa"/>
          </w:tcPr>
          <w:p w14:paraId="4ADC1EF8" w14:textId="77777777" w:rsidR="006B60AF" w:rsidRPr="004068F6" w:rsidRDefault="006B60AF">
            <w:pPr>
              <w:numPr>
                <w:ilvl w:val="12"/>
                <w:numId w:val="0"/>
              </w:numPr>
              <w:tabs>
                <w:tab w:val="left" w:pos="-2268"/>
              </w:tabs>
              <w:suppressAutoHyphens/>
              <w:cnfStyle w:val="000000000000" w:firstRow="0" w:lastRow="0" w:firstColumn="0" w:lastColumn="0" w:oddVBand="0" w:evenVBand="0" w:oddHBand="0" w:evenHBand="0" w:firstRowFirstColumn="0" w:firstRowLastColumn="0" w:lastRowFirstColumn="0" w:lastRowLastColumn="0"/>
              <w:rPr>
                <w:rFonts w:cs="Arial"/>
                <w:spacing w:val="-3"/>
              </w:rPr>
            </w:pPr>
          </w:p>
        </w:tc>
        <w:tc>
          <w:tcPr>
            <w:tcW w:w="1012" w:type="dxa"/>
          </w:tcPr>
          <w:p w14:paraId="6DBF6ED8" w14:textId="3E2C76F3" w:rsidR="006B60AF" w:rsidRPr="004068F6" w:rsidRDefault="006B60AF">
            <w:pPr>
              <w:numPr>
                <w:ilvl w:val="12"/>
                <w:numId w:val="0"/>
              </w:numPr>
              <w:tabs>
                <w:tab w:val="left" w:pos="-2268"/>
              </w:tabs>
              <w:suppressAutoHyphens/>
              <w:cnfStyle w:val="000000000000" w:firstRow="0" w:lastRow="0" w:firstColumn="0" w:lastColumn="0" w:oddVBand="0" w:evenVBand="0" w:oddHBand="0" w:evenHBand="0" w:firstRowFirstColumn="0" w:firstRowLastColumn="0" w:lastRowFirstColumn="0" w:lastRowLastColumn="0"/>
              <w:rPr>
                <w:rFonts w:cs="Arial"/>
                <w:spacing w:val="-3"/>
              </w:rPr>
            </w:pPr>
          </w:p>
        </w:tc>
      </w:tr>
    </w:tbl>
    <w:p w14:paraId="2DFE18F9" w14:textId="04D8EFFE" w:rsidR="006819D3" w:rsidRPr="004068F6" w:rsidRDefault="006819D3" w:rsidP="009420F5">
      <w:pPr>
        <w:numPr>
          <w:ilvl w:val="12"/>
          <w:numId w:val="0"/>
        </w:numPr>
        <w:tabs>
          <w:tab w:val="left" w:pos="-2268"/>
        </w:tabs>
        <w:suppressAutoHyphens/>
        <w:ind w:left="426" w:hanging="426"/>
        <w:rPr>
          <w:spacing w:val="-3"/>
          <w:sz w:val="20"/>
        </w:rPr>
      </w:pPr>
      <w:r w:rsidRPr="004068F6">
        <w:rPr>
          <w:spacing w:val="-3"/>
          <w:sz w:val="20"/>
        </w:rPr>
        <w:t>*</w:t>
      </w:r>
      <w:r w:rsidR="00C4498F" w:rsidRPr="004068F6">
        <w:rPr>
          <w:spacing w:val="-3"/>
          <w:sz w:val="20"/>
        </w:rPr>
        <w:tab/>
      </w:r>
      <w:r w:rsidRPr="004068F6">
        <w:rPr>
          <w:spacing w:val="-3"/>
          <w:sz w:val="20"/>
        </w:rPr>
        <w:t xml:space="preserve">Corresponde a alguna de las categorías </w:t>
      </w:r>
      <w:r w:rsidR="00DB3E17" w:rsidRPr="004068F6">
        <w:rPr>
          <w:spacing w:val="-3"/>
          <w:sz w:val="20"/>
        </w:rPr>
        <w:t>estandarizadas de i</w:t>
      </w:r>
      <w:r w:rsidR="00DB3E17" w:rsidRPr="004068F6">
        <w:rPr>
          <w:spacing w:val="-3"/>
          <w:sz w:val="20"/>
          <w:szCs w:val="20"/>
        </w:rPr>
        <w:t xml:space="preserve">mpactos </w:t>
      </w:r>
      <w:r w:rsidRPr="004068F6">
        <w:rPr>
          <w:spacing w:val="-3"/>
          <w:sz w:val="20"/>
          <w:szCs w:val="20"/>
        </w:rPr>
        <w:t xml:space="preserve">definidas en la </w:t>
      </w:r>
      <w:r w:rsidR="00525999" w:rsidRPr="004068F6">
        <w:rPr>
          <w:rFonts w:cs="Arial"/>
          <w:spacing w:val="-3"/>
          <w:sz w:val="20"/>
          <w:szCs w:val="20"/>
        </w:rPr>
        <w:t>Tabla de categorías estandarizadas de impactos ambientales publicada en la página Web de Minambiente</w:t>
      </w:r>
      <w:r w:rsidR="00525999" w:rsidRPr="004068F6">
        <w:rPr>
          <w:rStyle w:val="Refdenotaalpie"/>
          <w:rFonts w:cs="Arial"/>
          <w:spacing w:val="-3"/>
          <w:sz w:val="20"/>
          <w:szCs w:val="20"/>
          <w:lang w:val="es-CO"/>
        </w:rPr>
        <w:footnoteReference w:id="64"/>
      </w:r>
      <w:r w:rsidRPr="004068F6">
        <w:rPr>
          <w:spacing w:val="-3"/>
          <w:sz w:val="20"/>
          <w:szCs w:val="20"/>
        </w:rPr>
        <w:t xml:space="preserve">, o en caso de que ellas </w:t>
      </w:r>
      <w:r w:rsidRPr="004068F6">
        <w:rPr>
          <w:spacing w:val="-3"/>
          <w:sz w:val="20"/>
        </w:rPr>
        <w:t>no permitan clasificar el impacto, a una categoría establecida por quien elabora el estudio ambiental.</w:t>
      </w:r>
    </w:p>
    <w:p w14:paraId="3CCEAE6F" w14:textId="75481120" w:rsidR="00C4498F" w:rsidRPr="004068F6" w:rsidRDefault="00C4498F" w:rsidP="009420F5">
      <w:pPr>
        <w:numPr>
          <w:ilvl w:val="12"/>
          <w:numId w:val="0"/>
        </w:numPr>
        <w:tabs>
          <w:tab w:val="left" w:pos="-2268"/>
        </w:tabs>
        <w:suppressAutoHyphens/>
        <w:ind w:left="426" w:hanging="426"/>
        <w:rPr>
          <w:spacing w:val="-3"/>
          <w:sz w:val="20"/>
        </w:rPr>
      </w:pPr>
      <w:r w:rsidRPr="004068F6">
        <w:rPr>
          <w:spacing w:val="-3"/>
          <w:sz w:val="20"/>
        </w:rPr>
        <w:t>**</w:t>
      </w:r>
      <w:r w:rsidRPr="004068F6">
        <w:rPr>
          <w:spacing w:val="-3"/>
          <w:sz w:val="20"/>
        </w:rPr>
        <w:tab/>
        <w:t xml:space="preserve">En caso de que el impacto existente se presente exclusivamente en el área de manifestación de los impactos significativos de </w:t>
      </w:r>
      <w:r w:rsidR="00116D34" w:rsidRPr="004068F6">
        <w:rPr>
          <w:spacing w:val="-3"/>
          <w:sz w:val="20"/>
        </w:rPr>
        <w:t xml:space="preserve">una </w:t>
      </w:r>
      <w:r w:rsidRPr="004068F6">
        <w:rPr>
          <w:spacing w:val="-3"/>
          <w:sz w:val="20"/>
        </w:rPr>
        <w:t>de las alternativas, se debe señalar la alternativa a la que corresponde.</w:t>
      </w:r>
    </w:p>
    <w:p w14:paraId="6CEF35B5" w14:textId="2EE5BFBD" w:rsidR="00DB5F46" w:rsidRPr="004068F6" w:rsidRDefault="00C4498F" w:rsidP="009420F5">
      <w:pPr>
        <w:numPr>
          <w:ilvl w:val="12"/>
          <w:numId w:val="0"/>
        </w:numPr>
        <w:tabs>
          <w:tab w:val="left" w:pos="-2268"/>
        </w:tabs>
        <w:suppressAutoHyphens/>
        <w:ind w:left="426" w:hanging="426"/>
        <w:rPr>
          <w:spacing w:val="-3"/>
          <w:sz w:val="20"/>
        </w:rPr>
      </w:pPr>
      <w:r w:rsidRPr="004068F6">
        <w:rPr>
          <w:spacing w:val="-3"/>
          <w:sz w:val="20"/>
        </w:rPr>
        <w:t>**</w:t>
      </w:r>
      <w:r w:rsidR="00DB5F46" w:rsidRPr="004068F6">
        <w:rPr>
          <w:spacing w:val="-3"/>
          <w:sz w:val="20"/>
        </w:rPr>
        <w:t>*</w:t>
      </w:r>
      <w:r w:rsidRPr="004068F6">
        <w:rPr>
          <w:spacing w:val="-3"/>
          <w:sz w:val="20"/>
        </w:rPr>
        <w:tab/>
      </w:r>
      <w:r w:rsidR="00DB5F46" w:rsidRPr="004068F6">
        <w:rPr>
          <w:spacing w:val="-3"/>
          <w:sz w:val="20"/>
        </w:rPr>
        <w:t xml:space="preserve">Potencial que se establece luego de normalizar la valoración realizada para cada impacto </w:t>
      </w:r>
      <w:r w:rsidR="00D16E92" w:rsidRPr="004068F6">
        <w:rPr>
          <w:spacing w:val="-3"/>
          <w:sz w:val="20"/>
        </w:rPr>
        <w:t xml:space="preserve">y </w:t>
      </w:r>
      <w:r w:rsidR="00F96546" w:rsidRPr="004068F6">
        <w:rPr>
          <w:spacing w:val="-3"/>
          <w:sz w:val="20"/>
        </w:rPr>
        <w:t xml:space="preserve">que </w:t>
      </w:r>
      <w:r w:rsidR="00D16E92" w:rsidRPr="004068F6">
        <w:rPr>
          <w:spacing w:val="-3"/>
          <w:sz w:val="20"/>
        </w:rPr>
        <w:t xml:space="preserve">se clasifica en </w:t>
      </w:r>
      <w:r w:rsidR="00DB5F46" w:rsidRPr="004068F6">
        <w:rPr>
          <w:spacing w:val="-3"/>
          <w:sz w:val="20"/>
        </w:rPr>
        <w:t xml:space="preserve">las categorías </w:t>
      </w:r>
      <w:r w:rsidR="00D16E92" w:rsidRPr="004068F6">
        <w:rPr>
          <w:spacing w:val="-3"/>
          <w:sz w:val="20"/>
        </w:rPr>
        <w:t>establecidas</w:t>
      </w:r>
      <w:r w:rsidR="00DB5F46" w:rsidRPr="004068F6">
        <w:rPr>
          <w:spacing w:val="-3"/>
          <w:sz w:val="20"/>
        </w:rPr>
        <w:t xml:space="preserve"> en la </w:t>
      </w:r>
      <w:r w:rsidR="00DB5F46" w:rsidRPr="004068F6">
        <w:rPr>
          <w:spacing w:val="-3"/>
          <w:sz w:val="20"/>
        </w:rPr>
        <w:fldChar w:fldCharType="begin"/>
      </w:r>
      <w:r w:rsidR="00DB5F46" w:rsidRPr="004068F6">
        <w:rPr>
          <w:spacing w:val="-3"/>
          <w:sz w:val="20"/>
        </w:rPr>
        <w:instrText xml:space="preserve"> REF _Ref43476186 \h  \* MERGEFORMAT </w:instrText>
      </w:r>
      <w:r w:rsidR="00DB5F46" w:rsidRPr="004068F6">
        <w:rPr>
          <w:spacing w:val="-3"/>
          <w:sz w:val="20"/>
        </w:rPr>
      </w:r>
      <w:r w:rsidR="00DB5F46" w:rsidRPr="004068F6">
        <w:rPr>
          <w:spacing w:val="-3"/>
          <w:sz w:val="20"/>
        </w:rPr>
        <w:fldChar w:fldCharType="separate"/>
      </w:r>
      <w:r w:rsidR="009C4A81" w:rsidRPr="009C4A81">
        <w:rPr>
          <w:rFonts w:cs="Arial"/>
          <w:spacing w:val="-3"/>
          <w:sz w:val="20"/>
        </w:rPr>
        <w:t>Tabla 34</w:t>
      </w:r>
      <w:r w:rsidR="00DB5F46" w:rsidRPr="004068F6">
        <w:rPr>
          <w:spacing w:val="-3"/>
          <w:sz w:val="20"/>
        </w:rPr>
        <w:fldChar w:fldCharType="end"/>
      </w:r>
      <w:r w:rsidR="00D16E92" w:rsidRPr="004068F6">
        <w:rPr>
          <w:spacing w:val="-3"/>
          <w:sz w:val="20"/>
        </w:rPr>
        <w:t xml:space="preserve"> (Bajo, Medio, Alto y Muy alto</w:t>
      </w:r>
      <w:r w:rsidR="00DB5F46" w:rsidRPr="004068F6">
        <w:rPr>
          <w:spacing w:val="-3"/>
          <w:sz w:val="20"/>
        </w:rPr>
        <w:t>).</w:t>
      </w:r>
    </w:p>
    <w:p w14:paraId="383242F2" w14:textId="77777777" w:rsidR="00D16E92" w:rsidRPr="004068F6" w:rsidRDefault="00D16E92">
      <w:pPr>
        <w:numPr>
          <w:ilvl w:val="12"/>
          <w:numId w:val="0"/>
        </w:numPr>
        <w:tabs>
          <w:tab w:val="left" w:pos="-2268"/>
        </w:tabs>
        <w:suppressAutoHyphens/>
        <w:rPr>
          <w:spacing w:val="-3"/>
        </w:rPr>
      </w:pPr>
    </w:p>
    <w:p w14:paraId="79DB4D00" w14:textId="23992E98" w:rsidR="00A9037D" w:rsidRPr="004068F6" w:rsidRDefault="003E661A">
      <w:pPr>
        <w:numPr>
          <w:ilvl w:val="12"/>
          <w:numId w:val="0"/>
        </w:numPr>
        <w:tabs>
          <w:tab w:val="left" w:pos="-2268"/>
        </w:tabs>
        <w:suppressAutoHyphens/>
        <w:rPr>
          <w:spacing w:val="-3"/>
        </w:rPr>
      </w:pPr>
      <w:r w:rsidRPr="004068F6">
        <w:rPr>
          <w:spacing w:val="-3"/>
        </w:rPr>
        <w:t>Se debe i</w:t>
      </w:r>
      <w:r w:rsidR="00A9037D" w:rsidRPr="004068F6">
        <w:rPr>
          <w:spacing w:val="-3"/>
        </w:rPr>
        <w:t>ndicar la forma en que los impactos</w:t>
      </w:r>
      <w:r w:rsidR="00A9037D" w:rsidRPr="004068F6">
        <w:rPr>
          <w:rFonts w:cs="Arial"/>
          <w:spacing w:val="-3"/>
        </w:rPr>
        <w:t xml:space="preserve"> ambientales</w:t>
      </w:r>
      <w:r w:rsidR="00A9037D" w:rsidRPr="004068F6">
        <w:rPr>
          <w:spacing w:val="-3"/>
        </w:rPr>
        <w:t xml:space="preserve"> </w:t>
      </w:r>
      <w:r w:rsidR="00251C8A" w:rsidRPr="004068F6">
        <w:rPr>
          <w:spacing w:val="-3"/>
        </w:rPr>
        <w:t xml:space="preserve">que ocurrirían en caso de desarrollar las alternativas del proyecto </w:t>
      </w:r>
      <w:r w:rsidR="00A9037D" w:rsidRPr="004068F6">
        <w:rPr>
          <w:spacing w:val="-3"/>
        </w:rPr>
        <w:t>(</w:t>
      </w:r>
      <w:r w:rsidR="00A9037D" w:rsidRPr="004068F6">
        <w:rPr>
          <w:spacing w:val="-3"/>
        </w:rPr>
        <w:fldChar w:fldCharType="begin"/>
      </w:r>
      <w:r w:rsidR="00A9037D" w:rsidRPr="004068F6">
        <w:rPr>
          <w:spacing w:val="-3"/>
        </w:rPr>
        <w:instrText xml:space="preserve"> REF _Ref488184224 \h  \* MERGEFORMAT </w:instrText>
      </w:r>
      <w:r w:rsidR="00A9037D" w:rsidRPr="004068F6">
        <w:rPr>
          <w:spacing w:val="-3"/>
        </w:rPr>
      </w:r>
      <w:r w:rsidR="00A9037D" w:rsidRPr="004068F6">
        <w:rPr>
          <w:spacing w:val="-3"/>
        </w:rPr>
        <w:fldChar w:fldCharType="separate"/>
      </w:r>
      <w:r w:rsidR="009C4A81" w:rsidRPr="009C4A81">
        <w:rPr>
          <w:spacing w:val="-3"/>
        </w:rPr>
        <w:t>Tabla 12</w:t>
      </w:r>
      <w:r w:rsidR="00A9037D" w:rsidRPr="004068F6">
        <w:rPr>
          <w:spacing w:val="-3"/>
        </w:rPr>
        <w:fldChar w:fldCharType="end"/>
      </w:r>
      <w:r w:rsidR="00A9037D" w:rsidRPr="004068F6">
        <w:rPr>
          <w:spacing w:val="-3"/>
        </w:rPr>
        <w:t>) podrían incrementar</w:t>
      </w:r>
      <w:r w:rsidR="00116D34" w:rsidRPr="004068F6">
        <w:rPr>
          <w:spacing w:val="-3"/>
        </w:rPr>
        <w:t xml:space="preserve"> su significancia </w:t>
      </w:r>
      <w:r w:rsidR="00A9037D" w:rsidRPr="004068F6">
        <w:rPr>
          <w:rFonts w:cs="Arial"/>
          <w:spacing w:val="-3"/>
        </w:rPr>
        <w:t>(acumulativos),</w:t>
      </w:r>
      <w:r w:rsidR="00A9037D" w:rsidRPr="004068F6">
        <w:rPr>
          <w:spacing w:val="-3"/>
        </w:rPr>
        <w:t xml:space="preserve"> minimizarse o </w:t>
      </w:r>
      <w:r w:rsidR="00DB5F46" w:rsidRPr="004068F6">
        <w:rPr>
          <w:spacing w:val="-3"/>
        </w:rPr>
        <w:t>generar</w:t>
      </w:r>
      <w:r w:rsidR="00A9037D" w:rsidRPr="004068F6">
        <w:rPr>
          <w:spacing w:val="-3"/>
        </w:rPr>
        <w:t xml:space="preserve"> </w:t>
      </w:r>
      <w:r w:rsidR="00116D34" w:rsidRPr="004068F6">
        <w:rPr>
          <w:spacing w:val="-3"/>
        </w:rPr>
        <w:t xml:space="preserve">procesos de sinergia </w:t>
      </w:r>
      <w:r w:rsidR="00A9037D" w:rsidRPr="004068F6">
        <w:rPr>
          <w:spacing w:val="-3"/>
        </w:rPr>
        <w:t>(impactos sinérgicos)</w:t>
      </w:r>
      <w:r w:rsidR="001F7DC3" w:rsidRPr="004068F6">
        <w:rPr>
          <w:spacing w:val="-3"/>
        </w:rPr>
        <w:t xml:space="preserve"> dadas las condiciones ambientales del área de estudio y las particularidades asociadas a la duración, </w:t>
      </w:r>
      <w:r w:rsidR="004333A0">
        <w:rPr>
          <w:spacing w:val="-3"/>
        </w:rPr>
        <w:t>etapas</w:t>
      </w:r>
      <w:r w:rsidR="001F7DC3" w:rsidRPr="004068F6">
        <w:rPr>
          <w:spacing w:val="-3"/>
        </w:rPr>
        <w:t xml:space="preserve"> de ejecución y características generales de las actividades del proyecto para el cual se plantean las alternativas, entre otras</w:t>
      </w:r>
      <w:r w:rsidR="00A9037D" w:rsidRPr="004068F6">
        <w:rPr>
          <w:spacing w:val="-3"/>
        </w:rPr>
        <w:t>.</w:t>
      </w:r>
    </w:p>
    <w:p w14:paraId="1F57C37D" w14:textId="77777777" w:rsidR="005E2B13" w:rsidRPr="004068F6" w:rsidRDefault="005E2B13">
      <w:pPr>
        <w:numPr>
          <w:ilvl w:val="12"/>
          <w:numId w:val="0"/>
        </w:numPr>
        <w:tabs>
          <w:tab w:val="left" w:pos="-2268"/>
        </w:tabs>
        <w:suppressAutoHyphens/>
        <w:rPr>
          <w:spacing w:val="-3"/>
        </w:rPr>
      </w:pPr>
    </w:p>
    <w:p w14:paraId="62FEA6D8" w14:textId="0715C635" w:rsidR="00A9037D" w:rsidRPr="004068F6" w:rsidRDefault="00A9037D">
      <w:pPr>
        <w:numPr>
          <w:ilvl w:val="12"/>
          <w:numId w:val="0"/>
        </w:numPr>
        <w:tabs>
          <w:tab w:val="left" w:pos="-2268"/>
        </w:tabs>
        <w:suppressAutoHyphens/>
        <w:rPr>
          <w:spacing w:val="-3"/>
        </w:rPr>
      </w:pPr>
      <w:r w:rsidRPr="004068F6">
        <w:rPr>
          <w:spacing w:val="-3"/>
        </w:rPr>
        <w:t xml:space="preserve">Cuando exista </w:t>
      </w:r>
      <w:r w:rsidR="00375430" w:rsidRPr="004068F6">
        <w:rPr>
          <w:spacing w:val="-3"/>
        </w:rPr>
        <w:t xml:space="preserve">gran </w:t>
      </w:r>
      <w:r w:rsidRPr="004068F6">
        <w:rPr>
          <w:rFonts w:cs="Arial"/>
          <w:spacing w:val="-3"/>
        </w:rPr>
        <w:t>incertidumbre</w:t>
      </w:r>
      <w:r w:rsidRPr="004068F6">
        <w:rPr>
          <w:spacing w:val="-3"/>
        </w:rPr>
        <w:t xml:space="preserve"> acerca de la magnitud o el alcance de algún impacto de las alternativas del proyecto</w:t>
      </w:r>
      <w:r w:rsidR="00BC6D6A" w:rsidRPr="004068F6">
        <w:rPr>
          <w:spacing w:val="-3"/>
        </w:rPr>
        <w:t>, obra o actividad</w:t>
      </w:r>
      <w:r w:rsidRPr="004068F6">
        <w:rPr>
          <w:spacing w:val="-3"/>
        </w:rPr>
        <w:t xml:space="preserve"> sobre el ambiente, </w:t>
      </w:r>
      <w:r w:rsidR="003E5ABC" w:rsidRPr="004068F6">
        <w:rPr>
          <w:spacing w:val="-3"/>
        </w:rPr>
        <w:t xml:space="preserve">su valoración </w:t>
      </w:r>
      <w:r w:rsidR="00DD6342" w:rsidRPr="004068F6">
        <w:rPr>
          <w:spacing w:val="-3"/>
        </w:rPr>
        <w:t xml:space="preserve">debe basarse en </w:t>
      </w:r>
      <w:r w:rsidRPr="004068F6">
        <w:rPr>
          <w:spacing w:val="-3"/>
        </w:rPr>
        <w:t>el escenario más crítico</w:t>
      </w:r>
      <w:r w:rsidRPr="004068F6">
        <w:rPr>
          <w:rFonts w:cs="Arial"/>
          <w:spacing w:val="-3"/>
        </w:rPr>
        <w:t xml:space="preserve">, empleando para este caso </w:t>
      </w:r>
      <w:r w:rsidR="00DD6342" w:rsidRPr="004068F6">
        <w:rPr>
          <w:rFonts w:cs="Arial"/>
          <w:spacing w:val="-3"/>
        </w:rPr>
        <w:t xml:space="preserve">las </w:t>
      </w:r>
      <w:r w:rsidRPr="004068F6">
        <w:rPr>
          <w:rFonts w:cs="Arial"/>
          <w:spacing w:val="-3"/>
        </w:rPr>
        <w:t>modelizaciones que permitan justificar los resultados incluidos en el estudio</w:t>
      </w:r>
      <w:r w:rsidRPr="004068F6">
        <w:rPr>
          <w:spacing w:val="-3"/>
        </w:rPr>
        <w:t>.</w:t>
      </w:r>
    </w:p>
    <w:p w14:paraId="5E53A494" w14:textId="77777777" w:rsidR="00A9037D" w:rsidRPr="004068F6" w:rsidRDefault="00A9037D">
      <w:pPr>
        <w:numPr>
          <w:ilvl w:val="12"/>
          <w:numId w:val="0"/>
        </w:numPr>
        <w:tabs>
          <w:tab w:val="left" w:pos="-2268"/>
        </w:tabs>
        <w:suppressAutoHyphens/>
        <w:rPr>
          <w:spacing w:val="-3"/>
        </w:rPr>
      </w:pPr>
    </w:p>
    <w:p w14:paraId="14B27FF0" w14:textId="5CC2FE93" w:rsidR="00DD6342" w:rsidRPr="004068F6" w:rsidRDefault="00D16E92" w:rsidP="00C86DA5">
      <w:pPr>
        <w:tabs>
          <w:tab w:val="left" w:pos="-2268"/>
        </w:tabs>
        <w:suppressAutoHyphens/>
        <w:rPr>
          <w:rFonts w:cs="Arial"/>
          <w:spacing w:val="-3"/>
        </w:rPr>
      </w:pPr>
      <w:r w:rsidRPr="004068F6">
        <w:rPr>
          <w:spacing w:val="-3"/>
        </w:rPr>
        <w:t xml:space="preserve">Finalmente, se debe presentar un listado de las </w:t>
      </w:r>
      <w:r w:rsidRPr="004068F6">
        <w:rPr>
          <w:i/>
          <w:iCs/>
          <w:spacing w:val="-3"/>
        </w:rPr>
        <w:t>posibles</w:t>
      </w:r>
      <w:r w:rsidRPr="004068F6">
        <w:rPr>
          <w:spacing w:val="-3"/>
        </w:rPr>
        <w:t xml:space="preserve"> soluciones y medidas de control y mitigación de cada una de las alternativas propuestas</w:t>
      </w:r>
      <w:r w:rsidR="00E51CED" w:rsidRPr="004068F6">
        <w:rPr>
          <w:spacing w:val="-3"/>
        </w:rPr>
        <w:t xml:space="preserve"> de acuerdo con lo establecido en el artículo </w:t>
      </w:r>
      <w:r w:rsidR="009B60EB">
        <w:rPr>
          <w:spacing w:val="-3"/>
        </w:rPr>
        <w:t>56 de la Ley 99 de 1993</w:t>
      </w:r>
      <w:r w:rsidR="00E51CED" w:rsidRPr="004068F6">
        <w:rPr>
          <w:spacing w:val="-3"/>
        </w:rPr>
        <w:t xml:space="preserve"> o aquel</w:t>
      </w:r>
      <w:r w:rsidR="000665E8">
        <w:rPr>
          <w:spacing w:val="-3"/>
        </w:rPr>
        <w:t>la</w:t>
      </w:r>
      <w:r w:rsidR="00E51CED" w:rsidRPr="004068F6">
        <w:rPr>
          <w:spacing w:val="-3"/>
        </w:rPr>
        <w:t xml:space="preserve"> que l</w:t>
      </w:r>
      <w:r w:rsidR="000665E8">
        <w:rPr>
          <w:spacing w:val="-3"/>
        </w:rPr>
        <w:t>a</w:t>
      </w:r>
      <w:r w:rsidR="00E51CED" w:rsidRPr="004068F6">
        <w:rPr>
          <w:spacing w:val="-3"/>
        </w:rPr>
        <w:t xml:space="preserve"> modifique o sustituya</w:t>
      </w:r>
      <w:r w:rsidR="00DD6342" w:rsidRPr="004068F6">
        <w:rPr>
          <w:rFonts w:cs="Arial"/>
          <w:spacing w:val="-3"/>
        </w:rPr>
        <w:t>.</w:t>
      </w:r>
    </w:p>
    <w:p w14:paraId="6081F493" w14:textId="77777777" w:rsidR="004F38F8" w:rsidRPr="004068F6" w:rsidRDefault="004F38F8" w:rsidP="00A9037D">
      <w:pPr>
        <w:tabs>
          <w:tab w:val="left" w:pos="-2268"/>
        </w:tabs>
        <w:suppressAutoHyphens/>
        <w:rPr>
          <w:rFonts w:cs="Arial"/>
          <w:spacing w:val="-3"/>
        </w:rPr>
      </w:pPr>
    </w:p>
    <w:p w14:paraId="25A0B4BE" w14:textId="18709541" w:rsidR="00F464E8" w:rsidRPr="004068F6" w:rsidRDefault="00375430" w:rsidP="009420F5">
      <w:pPr>
        <w:pStyle w:val="Ttulo2"/>
        <w:rPr>
          <w:lang w:val="es-CO"/>
        </w:rPr>
      </w:pPr>
      <w:bookmarkStart w:id="2364" w:name="_Toc230879607"/>
      <w:r w:rsidRPr="004068F6">
        <w:rPr>
          <w:lang w:val="es-CO"/>
        </w:rPr>
        <w:lastRenderedPageBreak/>
        <w:t>ESCENARIOS PROSPECTIVOS</w:t>
      </w:r>
      <w:bookmarkEnd w:id="2364"/>
    </w:p>
    <w:p w14:paraId="4FDE47AC" w14:textId="77777777" w:rsidR="00F464E8" w:rsidRPr="004068F6" w:rsidRDefault="00F464E8" w:rsidP="00A9037D">
      <w:pPr>
        <w:tabs>
          <w:tab w:val="left" w:pos="-2268"/>
        </w:tabs>
        <w:suppressAutoHyphens/>
        <w:rPr>
          <w:rFonts w:cs="Arial"/>
          <w:spacing w:val="-3"/>
        </w:rPr>
      </w:pPr>
    </w:p>
    <w:p w14:paraId="2F221B07" w14:textId="6241D142" w:rsidR="004E03A6" w:rsidRPr="004068F6" w:rsidRDefault="00F464E8" w:rsidP="00A9037D">
      <w:pPr>
        <w:tabs>
          <w:tab w:val="left" w:pos="-2268"/>
        </w:tabs>
        <w:suppressAutoHyphens/>
        <w:rPr>
          <w:spacing w:val="-3"/>
        </w:rPr>
      </w:pPr>
      <w:r w:rsidRPr="004068F6">
        <w:rPr>
          <w:rFonts w:cs="Arial"/>
          <w:spacing w:val="-3"/>
        </w:rPr>
        <w:t xml:space="preserve">En caso </w:t>
      </w:r>
      <w:r w:rsidR="00AB4BAC" w:rsidRPr="004068F6">
        <w:rPr>
          <w:rFonts w:cs="Arial"/>
          <w:spacing w:val="-3"/>
        </w:rPr>
        <w:t>de que sea necesario y aplique</w:t>
      </w:r>
      <w:r w:rsidR="00C70B12" w:rsidRPr="004068F6">
        <w:rPr>
          <w:rFonts w:cs="Arial"/>
          <w:spacing w:val="-3"/>
        </w:rPr>
        <w:t>,</w:t>
      </w:r>
      <w:r w:rsidR="00990798" w:rsidRPr="004068F6">
        <w:rPr>
          <w:rFonts w:cs="Arial"/>
          <w:spacing w:val="-3"/>
        </w:rPr>
        <w:t xml:space="preserve"> </w:t>
      </w:r>
      <w:r w:rsidR="00244E19" w:rsidRPr="004068F6">
        <w:rPr>
          <w:rFonts w:cs="Arial"/>
          <w:spacing w:val="-3"/>
        </w:rPr>
        <w:t>es posible</w:t>
      </w:r>
      <w:r w:rsidRPr="004068F6">
        <w:rPr>
          <w:rFonts w:cs="Arial"/>
          <w:spacing w:val="-3"/>
        </w:rPr>
        <w:t xml:space="preserve"> estructurar </w:t>
      </w:r>
      <w:r w:rsidR="00771164" w:rsidRPr="004068F6">
        <w:rPr>
          <w:rFonts w:cs="Arial"/>
          <w:spacing w:val="-3"/>
        </w:rPr>
        <w:t xml:space="preserve">escenarios o </w:t>
      </w:r>
      <w:r w:rsidRPr="004068F6">
        <w:rPr>
          <w:rFonts w:cs="Arial"/>
          <w:spacing w:val="-3"/>
        </w:rPr>
        <w:t xml:space="preserve">modelos </w:t>
      </w:r>
      <w:r w:rsidR="00771164" w:rsidRPr="004068F6">
        <w:rPr>
          <w:rFonts w:cs="Arial"/>
          <w:spacing w:val="-3"/>
        </w:rPr>
        <w:t xml:space="preserve">prospectivos </w:t>
      </w:r>
      <w:r w:rsidRPr="004068F6">
        <w:rPr>
          <w:rFonts w:cs="Arial"/>
          <w:spacing w:val="-3"/>
        </w:rPr>
        <w:t xml:space="preserve">que </w:t>
      </w:r>
      <w:r w:rsidR="0031185E" w:rsidRPr="004068F6">
        <w:rPr>
          <w:rFonts w:cs="Arial"/>
          <w:spacing w:val="-3"/>
        </w:rPr>
        <w:t>estimen el comportamiento de los parámetros que pueden</w:t>
      </w:r>
      <w:r w:rsidR="00C00632" w:rsidRPr="004068F6">
        <w:rPr>
          <w:rFonts w:cs="Arial"/>
          <w:spacing w:val="-3"/>
        </w:rPr>
        <w:t xml:space="preserve"> ser</w:t>
      </w:r>
      <w:r w:rsidR="0031185E" w:rsidRPr="004068F6">
        <w:rPr>
          <w:rFonts w:cs="Arial"/>
          <w:spacing w:val="-3"/>
        </w:rPr>
        <w:t xml:space="preserve"> altera</w:t>
      </w:r>
      <w:r w:rsidR="00C00632" w:rsidRPr="004068F6">
        <w:rPr>
          <w:rFonts w:cs="Arial"/>
          <w:spacing w:val="-3"/>
        </w:rPr>
        <w:t>dos por</w:t>
      </w:r>
      <w:r w:rsidR="0031185E" w:rsidRPr="004068F6">
        <w:rPr>
          <w:rFonts w:cs="Arial"/>
          <w:spacing w:val="-3"/>
        </w:rPr>
        <w:t xml:space="preserve"> las alternativas</w:t>
      </w:r>
      <w:r w:rsidR="00375430" w:rsidRPr="004068F6">
        <w:rPr>
          <w:rFonts w:cs="Arial"/>
          <w:spacing w:val="-3"/>
        </w:rPr>
        <w:t xml:space="preserve"> del proyecto, obra o actividad</w:t>
      </w:r>
      <w:r w:rsidR="0031185E" w:rsidRPr="004068F6">
        <w:rPr>
          <w:rFonts w:cs="Arial"/>
          <w:spacing w:val="-3"/>
        </w:rPr>
        <w:t xml:space="preserve">, con el propósito de suministrar </w:t>
      </w:r>
      <w:r w:rsidR="00F15E03" w:rsidRPr="004068F6">
        <w:rPr>
          <w:rFonts w:cs="Arial"/>
          <w:spacing w:val="-3"/>
        </w:rPr>
        <w:t xml:space="preserve">información que </w:t>
      </w:r>
      <w:r w:rsidRPr="004068F6">
        <w:rPr>
          <w:rFonts w:cs="Arial"/>
          <w:spacing w:val="-3"/>
        </w:rPr>
        <w:t>permita</w:t>
      </w:r>
      <w:r w:rsidR="00F15E03" w:rsidRPr="004068F6">
        <w:rPr>
          <w:rFonts w:cs="Arial"/>
          <w:spacing w:val="-3"/>
        </w:rPr>
        <w:t xml:space="preserve"> valorar</w:t>
      </w:r>
      <w:r w:rsidR="0031185E" w:rsidRPr="004068F6">
        <w:rPr>
          <w:rFonts w:cs="Arial"/>
          <w:spacing w:val="-3"/>
        </w:rPr>
        <w:t>, con el alcance esperado para un DAA,</w:t>
      </w:r>
      <w:r w:rsidR="00F15E03" w:rsidRPr="004068F6">
        <w:rPr>
          <w:rFonts w:cs="Arial"/>
          <w:spacing w:val="-3"/>
        </w:rPr>
        <w:t xml:space="preserve"> los impactos ambientales </w:t>
      </w:r>
      <w:r w:rsidR="0031185E" w:rsidRPr="004068F6">
        <w:rPr>
          <w:rFonts w:cs="Arial"/>
          <w:spacing w:val="-3"/>
        </w:rPr>
        <w:t xml:space="preserve">de </w:t>
      </w:r>
      <w:r w:rsidR="00F15E03" w:rsidRPr="004068F6">
        <w:rPr>
          <w:rFonts w:cs="Arial"/>
          <w:spacing w:val="-3"/>
        </w:rPr>
        <w:t>las alternativas planteadas</w:t>
      </w:r>
      <w:r w:rsidR="004E03A6" w:rsidRPr="004068F6">
        <w:rPr>
          <w:rFonts w:cs="Arial"/>
          <w:spacing w:val="-3"/>
        </w:rPr>
        <w:t>.</w:t>
      </w:r>
      <w:r w:rsidR="00F15E03" w:rsidRPr="004068F6">
        <w:rPr>
          <w:rFonts w:cs="Arial"/>
          <w:spacing w:val="-3"/>
        </w:rPr>
        <w:t xml:space="preserve"> </w:t>
      </w:r>
      <w:r w:rsidR="00F20A7A" w:rsidRPr="004068F6">
        <w:rPr>
          <w:rFonts w:cs="Arial"/>
          <w:spacing w:val="-3"/>
        </w:rPr>
        <w:t>La información relacionada con escenarios o modelos a presentar en el DAA es aquella que permita</w:t>
      </w:r>
      <w:r w:rsidR="008F42F1" w:rsidRPr="004068F6">
        <w:rPr>
          <w:rFonts w:cs="Arial"/>
          <w:spacing w:val="-3"/>
        </w:rPr>
        <w:t xml:space="preserve"> </w:t>
      </w:r>
      <w:r w:rsidR="0031185E" w:rsidRPr="004068F6">
        <w:rPr>
          <w:spacing w:val="-3"/>
        </w:rPr>
        <w:t xml:space="preserve">la </w:t>
      </w:r>
      <w:r w:rsidR="0009367A" w:rsidRPr="004068F6">
        <w:rPr>
          <w:spacing w:val="-3"/>
        </w:rPr>
        <w:t xml:space="preserve">determinación </w:t>
      </w:r>
      <w:r w:rsidR="0031185E" w:rsidRPr="004068F6">
        <w:rPr>
          <w:spacing w:val="-3"/>
        </w:rPr>
        <w:t xml:space="preserve">de </w:t>
      </w:r>
      <w:r w:rsidR="00A0393D" w:rsidRPr="004068F6">
        <w:rPr>
          <w:spacing w:val="-3"/>
        </w:rPr>
        <w:t xml:space="preserve">impactos ambientales significativos, así como </w:t>
      </w:r>
      <w:r w:rsidR="005B2475" w:rsidRPr="004068F6">
        <w:rPr>
          <w:spacing w:val="-3"/>
        </w:rPr>
        <w:t xml:space="preserve">la identificación </w:t>
      </w:r>
      <w:r w:rsidR="00A0393D" w:rsidRPr="004068F6">
        <w:rPr>
          <w:spacing w:val="-3"/>
        </w:rPr>
        <w:t xml:space="preserve">de </w:t>
      </w:r>
      <w:r w:rsidR="004E03A6" w:rsidRPr="004068F6">
        <w:rPr>
          <w:spacing w:val="-3"/>
        </w:rPr>
        <w:t>diferencia</w:t>
      </w:r>
      <w:r w:rsidR="00F15E03" w:rsidRPr="004068F6">
        <w:rPr>
          <w:spacing w:val="-3"/>
        </w:rPr>
        <w:t>s entre alternativas</w:t>
      </w:r>
      <w:r w:rsidR="0031185E" w:rsidRPr="004068F6">
        <w:rPr>
          <w:spacing w:val="-3"/>
        </w:rPr>
        <w:t>,</w:t>
      </w:r>
      <w:r w:rsidR="00F15E03" w:rsidRPr="004068F6">
        <w:rPr>
          <w:spacing w:val="-3"/>
        </w:rPr>
        <w:t xml:space="preserve"> </w:t>
      </w:r>
      <w:r w:rsidR="0031185E" w:rsidRPr="004068F6">
        <w:rPr>
          <w:spacing w:val="-3"/>
        </w:rPr>
        <w:t xml:space="preserve">elemento indispensable </w:t>
      </w:r>
      <w:r w:rsidR="00F15E03" w:rsidRPr="004068F6">
        <w:rPr>
          <w:spacing w:val="-3"/>
        </w:rPr>
        <w:t xml:space="preserve">para el proceso de </w:t>
      </w:r>
      <w:r w:rsidR="004E03A6" w:rsidRPr="004068F6">
        <w:rPr>
          <w:spacing w:val="-3"/>
        </w:rPr>
        <w:t xml:space="preserve">comparación </w:t>
      </w:r>
      <w:r w:rsidR="00F15E03" w:rsidRPr="004068F6">
        <w:rPr>
          <w:spacing w:val="-3"/>
        </w:rPr>
        <w:t xml:space="preserve">y selección de </w:t>
      </w:r>
      <w:r w:rsidR="00475BF4" w:rsidRPr="004068F6">
        <w:rPr>
          <w:spacing w:val="-3"/>
        </w:rPr>
        <w:t>éstas</w:t>
      </w:r>
      <w:r w:rsidR="004E03A6" w:rsidRPr="004068F6">
        <w:rPr>
          <w:spacing w:val="-3"/>
        </w:rPr>
        <w:t>.</w:t>
      </w:r>
    </w:p>
    <w:p w14:paraId="52DAF134" w14:textId="77777777" w:rsidR="00C70B12" w:rsidRPr="004068F6" w:rsidRDefault="00C70B12" w:rsidP="00A9037D">
      <w:pPr>
        <w:tabs>
          <w:tab w:val="left" w:pos="-2268"/>
        </w:tabs>
        <w:suppressAutoHyphens/>
        <w:rPr>
          <w:spacing w:val="-3"/>
        </w:rPr>
      </w:pPr>
    </w:p>
    <w:p w14:paraId="2F75B28E" w14:textId="1AAC2872" w:rsidR="00C70B12" w:rsidRPr="004068F6" w:rsidRDefault="00C70B12" w:rsidP="00A9037D">
      <w:pPr>
        <w:tabs>
          <w:tab w:val="left" w:pos="-2268"/>
        </w:tabs>
        <w:suppressAutoHyphens/>
        <w:rPr>
          <w:rFonts w:cs="Arial"/>
          <w:spacing w:val="-3"/>
        </w:rPr>
      </w:pPr>
      <w:r w:rsidRPr="004068F6">
        <w:rPr>
          <w:spacing w:val="-3"/>
        </w:rPr>
        <w:t>A continuación</w:t>
      </w:r>
      <w:r w:rsidR="008B4E79" w:rsidRPr="004068F6">
        <w:rPr>
          <w:spacing w:val="-3"/>
        </w:rPr>
        <w:t>,</w:t>
      </w:r>
      <w:r w:rsidRPr="004068F6">
        <w:rPr>
          <w:spacing w:val="-3"/>
        </w:rPr>
        <w:t xml:space="preserve"> se señalan lineamientos generales para el desarrollo de escenarios y modelos de algunos </w:t>
      </w:r>
      <w:r w:rsidR="00CE6B02" w:rsidRPr="004068F6">
        <w:rPr>
          <w:spacing w:val="-3"/>
        </w:rPr>
        <w:t xml:space="preserve">elementos del ambiente </w:t>
      </w:r>
      <w:r w:rsidRPr="004068F6">
        <w:rPr>
          <w:spacing w:val="-3"/>
        </w:rPr>
        <w:t xml:space="preserve">en el marco del DAA; </w:t>
      </w:r>
      <w:r w:rsidR="00F279A2">
        <w:rPr>
          <w:spacing w:val="-3"/>
        </w:rPr>
        <w:t xml:space="preserve">asimismo, </w:t>
      </w:r>
      <w:r w:rsidR="00141BBD" w:rsidRPr="004068F6">
        <w:rPr>
          <w:spacing w:val="-3"/>
        </w:rPr>
        <w:t>si el estructurador del estudio ambiental lo considera pertinente,</w:t>
      </w:r>
      <w:r w:rsidR="00141BBD">
        <w:rPr>
          <w:spacing w:val="-3"/>
        </w:rPr>
        <w:t xml:space="preserve"> </w:t>
      </w:r>
      <w:r w:rsidRPr="004068F6">
        <w:rPr>
          <w:spacing w:val="-3"/>
        </w:rPr>
        <w:t>es posible aplicar</w:t>
      </w:r>
      <w:r w:rsidR="008674D2" w:rsidRPr="004068F6">
        <w:rPr>
          <w:spacing w:val="-3"/>
        </w:rPr>
        <w:t xml:space="preserve"> para la elaboración de un DAA</w:t>
      </w:r>
      <w:r w:rsidRPr="004068F6">
        <w:rPr>
          <w:spacing w:val="-3"/>
        </w:rPr>
        <w:t xml:space="preserve"> los lineamientos señalados en el numeral </w:t>
      </w:r>
      <w:r w:rsidRPr="004068F6">
        <w:rPr>
          <w:spacing w:val="-3"/>
        </w:rPr>
        <w:fldChar w:fldCharType="begin"/>
      </w:r>
      <w:r w:rsidRPr="004068F6">
        <w:rPr>
          <w:spacing w:val="-3"/>
        </w:rPr>
        <w:instrText xml:space="preserve"> REF _Ref79430805 \r \h </w:instrText>
      </w:r>
      <w:r w:rsidR="006A4128" w:rsidRPr="004068F6">
        <w:rPr>
          <w:spacing w:val="-3"/>
        </w:rPr>
        <w:instrText xml:space="preserve"> \* MERGEFORMAT </w:instrText>
      </w:r>
      <w:r w:rsidRPr="004068F6">
        <w:rPr>
          <w:spacing w:val="-3"/>
        </w:rPr>
      </w:r>
      <w:r w:rsidRPr="004068F6">
        <w:rPr>
          <w:spacing w:val="-3"/>
        </w:rPr>
        <w:fldChar w:fldCharType="separate"/>
      </w:r>
      <w:r w:rsidR="009C4A81">
        <w:rPr>
          <w:spacing w:val="-3"/>
        </w:rPr>
        <w:t>7.5</w:t>
      </w:r>
      <w:r w:rsidRPr="004068F6">
        <w:rPr>
          <w:spacing w:val="-3"/>
        </w:rPr>
        <w:fldChar w:fldCharType="end"/>
      </w:r>
      <w:r w:rsidRPr="004068F6">
        <w:rPr>
          <w:spacing w:val="-3"/>
        </w:rPr>
        <w:t xml:space="preserve"> del capítulo III de este documento.</w:t>
      </w:r>
      <w:r w:rsidR="008B7B40">
        <w:rPr>
          <w:spacing w:val="-3"/>
        </w:rPr>
        <w:t xml:space="preserve"> </w:t>
      </w:r>
      <w:r w:rsidR="00094983">
        <w:rPr>
          <w:spacing w:val="-3"/>
        </w:rPr>
        <w:t>N</w:t>
      </w:r>
      <w:r w:rsidR="008B7B40">
        <w:rPr>
          <w:spacing w:val="-3"/>
        </w:rPr>
        <w:t>o es necesario incorporar al DAA un num</w:t>
      </w:r>
      <w:r w:rsidR="00380F62">
        <w:rPr>
          <w:spacing w:val="-3"/>
        </w:rPr>
        <w:t>eral denominado “Escenarios prospectivos”;</w:t>
      </w:r>
      <w:r w:rsidR="00223D06">
        <w:rPr>
          <w:spacing w:val="-3"/>
        </w:rPr>
        <w:t xml:space="preserve"> </w:t>
      </w:r>
      <w:r w:rsidR="003601C9">
        <w:rPr>
          <w:rFonts w:cs="Arial"/>
          <w:spacing w:val="-3"/>
        </w:rPr>
        <w:t xml:space="preserve">las </w:t>
      </w:r>
      <w:r w:rsidR="00223D06">
        <w:rPr>
          <w:rFonts w:cs="Arial"/>
          <w:spacing w:val="-3"/>
        </w:rPr>
        <w:t xml:space="preserve">orientaciones </w:t>
      </w:r>
      <w:r w:rsidR="003601C9">
        <w:rPr>
          <w:rFonts w:cs="Arial"/>
          <w:spacing w:val="-3"/>
        </w:rPr>
        <w:t>de este numeral</w:t>
      </w:r>
      <w:r w:rsidR="00B05C3A">
        <w:rPr>
          <w:rFonts w:cs="Arial"/>
          <w:spacing w:val="-3"/>
        </w:rPr>
        <w:t>, en caso de aplicar,</w:t>
      </w:r>
      <w:r w:rsidR="003601C9">
        <w:rPr>
          <w:rFonts w:cs="Arial"/>
          <w:spacing w:val="-3"/>
        </w:rPr>
        <w:t xml:space="preserve"> </w:t>
      </w:r>
      <w:r w:rsidR="00AA6C39">
        <w:rPr>
          <w:rFonts w:cs="Arial"/>
          <w:spacing w:val="-3"/>
        </w:rPr>
        <w:t xml:space="preserve">tienen como propósito </w:t>
      </w:r>
      <w:r w:rsidR="001C7501">
        <w:rPr>
          <w:rFonts w:cs="Arial"/>
          <w:spacing w:val="-3"/>
        </w:rPr>
        <w:t xml:space="preserve">exclusivo </w:t>
      </w:r>
      <w:r w:rsidR="00157FFC">
        <w:rPr>
          <w:rFonts w:cs="Arial"/>
          <w:spacing w:val="-3"/>
        </w:rPr>
        <w:t xml:space="preserve">el </w:t>
      </w:r>
      <w:r w:rsidR="00223D06">
        <w:rPr>
          <w:rFonts w:cs="Arial"/>
          <w:spacing w:val="-3"/>
        </w:rPr>
        <w:t>contribuir al desarrollo de la evaluación ambiental.</w:t>
      </w:r>
    </w:p>
    <w:p w14:paraId="28D94C04" w14:textId="77777777" w:rsidR="009F7340" w:rsidRPr="004068F6" w:rsidRDefault="009F7340" w:rsidP="00A9037D">
      <w:pPr>
        <w:tabs>
          <w:tab w:val="left" w:pos="-2268"/>
        </w:tabs>
        <w:suppressAutoHyphens/>
        <w:rPr>
          <w:rFonts w:cs="Arial"/>
          <w:spacing w:val="-3"/>
        </w:rPr>
      </w:pPr>
    </w:p>
    <w:p w14:paraId="4A505EC9" w14:textId="7950C55E" w:rsidR="00E51ED1" w:rsidRPr="004068F6" w:rsidRDefault="00E51ED1" w:rsidP="00A9037D">
      <w:pPr>
        <w:tabs>
          <w:tab w:val="left" w:pos="-2268"/>
        </w:tabs>
        <w:suppressAutoHyphens/>
        <w:rPr>
          <w:rFonts w:cs="Arial"/>
          <w:spacing w:val="-3"/>
          <w:u w:val="single"/>
        </w:rPr>
      </w:pPr>
      <w:r w:rsidRPr="004068F6">
        <w:rPr>
          <w:rFonts w:cs="Arial"/>
          <w:spacing w:val="-3"/>
          <w:u w:val="single"/>
        </w:rPr>
        <w:t>Calidad del aire</w:t>
      </w:r>
    </w:p>
    <w:p w14:paraId="2AB0B00B" w14:textId="77777777" w:rsidR="00E51ED1" w:rsidRPr="004068F6" w:rsidRDefault="00E51ED1" w:rsidP="00A9037D">
      <w:pPr>
        <w:tabs>
          <w:tab w:val="left" w:pos="-2268"/>
        </w:tabs>
        <w:suppressAutoHyphens/>
        <w:rPr>
          <w:rFonts w:cs="Arial"/>
          <w:spacing w:val="-3"/>
        </w:rPr>
      </w:pPr>
    </w:p>
    <w:p w14:paraId="1D7081A8" w14:textId="5394290A" w:rsidR="00F464E8" w:rsidRPr="004068F6" w:rsidRDefault="004E03A6" w:rsidP="009420F5">
      <w:pPr>
        <w:numPr>
          <w:ilvl w:val="12"/>
          <w:numId w:val="0"/>
        </w:numPr>
        <w:tabs>
          <w:tab w:val="left" w:pos="-2268"/>
        </w:tabs>
        <w:suppressAutoHyphens/>
        <w:rPr>
          <w:spacing w:val="-3"/>
        </w:rPr>
      </w:pPr>
      <w:r w:rsidRPr="004068F6">
        <w:rPr>
          <w:spacing w:val="-3"/>
        </w:rPr>
        <w:t xml:space="preserve">Para el caso de </w:t>
      </w:r>
      <w:r w:rsidR="0031185E" w:rsidRPr="004068F6">
        <w:rPr>
          <w:spacing w:val="-3"/>
        </w:rPr>
        <w:t xml:space="preserve">la </w:t>
      </w:r>
      <w:r w:rsidRPr="004068F6">
        <w:rPr>
          <w:spacing w:val="-3"/>
        </w:rPr>
        <w:t xml:space="preserve">calidad del aire, el modelo </w:t>
      </w:r>
      <w:r w:rsidR="00936488" w:rsidRPr="004068F6">
        <w:rPr>
          <w:spacing w:val="-3"/>
        </w:rPr>
        <w:t xml:space="preserve">sobre </w:t>
      </w:r>
      <w:r w:rsidRPr="004068F6">
        <w:rPr>
          <w:spacing w:val="-3"/>
        </w:rPr>
        <w:t xml:space="preserve">los impactos de las fuentes de emisión de las alternativas no </w:t>
      </w:r>
      <w:r w:rsidR="00E51ED1" w:rsidRPr="004068F6">
        <w:rPr>
          <w:spacing w:val="-3"/>
        </w:rPr>
        <w:t xml:space="preserve">debe </w:t>
      </w:r>
      <w:r w:rsidRPr="004068F6">
        <w:rPr>
          <w:spacing w:val="-3"/>
        </w:rPr>
        <w:t>contempla</w:t>
      </w:r>
      <w:r w:rsidR="00E51ED1" w:rsidRPr="004068F6">
        <w:rPr>
          <w:spacing w:val="-3"/>
        </w:rPr>
        <w:t>r</w:t>
      </w:r>
      <w:r w:rsidRPr="004068F6">
        <w:rPr>
          <w:spacing w:val="-3"/>
        </w:rPr>
        <w:t xml:space="preserve"> las </w:t>
      </w:r>
      <w:r w:rsidR="00F464E8" w:rsidRPr="004068F6">
        <w:rPr>
          <w:spacing w:val="-3"/>
        </w:rPr>
        <w:t xml:space="preserve">medidas de </w:t>
      </w:r>
      <w:r w:rsidRPr="004068F6">
        <w:rPr>
          <w:spacing w:val="-3"/>
        </w:rPr>
        <w:t>manejo</w:t>
      </w:r>
      <w:r w:rsidR="00E51ED1" w:rsidRPr="004068F6">
        <w:rPr>
          <w:spacing w:val="-3"/>
        </w:rPr>
        <w:t>.</w:t>
      </w:r>
      <w:r w:rsidRPr="004068F6">
        <w:rPr>
          <w:spacing w:val="-3"/>
        </w:rPr>
        <w:t xml:space="preserve"> </w:t>
      </w:r>
      <w:r w:rsidR="00E51ED1" w:rsidRPr="004068F6">
        <w:rPr>
          <w:spacing w:val="-3"/>
        </w:rPr>
        <w:t xml:space="preserve">Dicho modelo </w:t>
      </w:r>
      <w:r w:rsidRPr="004068F6">
        <w:rPr>
          <w:spacing w:val="-3"/>
        </w:rPr>
        <w:t xml:space="preserve">puede </w:t>
      </w:r>
      <w:r w:rsidR="00E51ED1" w:rsidRPr="004068F6">
        <w:rPr>
          <w:spacing w:val="-3"/>
        </w:rPr>
        <w:t xml:space="preserve">incorporar </w:t>
      </w:r>
      <w:r w:rsidR="00F464E8" w:rsidRPr="004068F6">
        <w:rPr>
          <w:spacing w:val="-3"/>
        </w:rPr>
        <w:t xml:space="preserve">información secundaria del Subsistema de Información sobre la Calidad de Aire (SISAIRE), </w:t>
      </w:r>
      <w:r w:rsidR="00C00632" w:rsidRPr="004068F6">
        <w:rPr>
          <w:spacing w:val="-3"/>
        </w:rPr>
        <w:t xml:space="preserve">de </w:t>
      </w:r>
      <w:r w:rsidR="00F464E8" w:rsidRPr="004068F6">
        <w:rPr>
          <w:spacing w:val="-3"/>
        </w:rPr>
        <w:t xml:space="preserve">monitoreos de campañas de calidad del aire de conocimiento público de laboratorios acreditados por </w:t>
      </w:r>
      <w:r w:rsidR="00A92356" w:rsidRPr="004068F6">
        <w:rPr>
          <w:spacing w:val="-3"/>
        </w:rPr>
        <w:t>Ideam</w:t>
      </w:r>
      <w:r w:rsidR="00F464E8" w:rsidRPr="004068F6">
        <w:rPr>
          <w:spacing w:val="-3"/>
        </w:rPr>
        <w:t xml:space="preserve"> o </w:t>
      </w:r>
      <w:r w:rsidR="0031185E" w:rsidRPr="004068F6">
        <w:rPr>
          <w:spacing w:val="-3"/>
        </w:rPr>
        <w:t xml:space="preserve">de </w:t>
      </w:r>
      <w:r w:rsidR="00F464E8" w:rsidRPr="004068F6">
        <w:rPr>
          <w:spacing w:val="-3"/>
        </w:rPr>
        <w:t>información de inmisión por model</w:t>
      </w:r>
      <w:r w:rsidR="00C74BBB" w:rsidRPr="004068F6">
        <w:rPr>
          <w:spacing w:val="-3"/>
        </w:rPr>
        <w:t>iz</w:t>
      </w:r>
      <w:r w:rsidR="00F464E8" w:rsidRPr="004068F6">
        <w:rPr>
          <w:spacing w:val="-3"/>
        </w:rPr>
        <w:t xml:space="preserve">ación de entidades de reconocida idoneidad científica nacional o internacional, </w:t>
      </w:r>
      <w:r w:rsidRPr="004068F6">
        <w:rPr>
          <w:spacing w:val="-3"/>
        </w:rPr>
        <w:t xml:space="preserve">de forma que sea posible </w:t>
      </w:r>
      <w:r w:rsidR="00271624" w:rsidRPr="004068F6">
        <w:rPr>
          <w:spacing w:val="-3"/>
        </w:rPr>
        <w:t xml:space="preserve">determinar </w:t>
      </w:r>
      <w:r w:rsidR="00F464E8" w:rsidRPr="004068F6">
        <w:rPr>
          <w:spacing w:val="-3"/>
        </w:rPr>
        <w:t>el estado de la calidad del aire en concentración para gases y material particulado sobre los receptores identificados para cada alternativa del proyecto</w:t>
      </w:r>
      <w:r w:rsidR="00A0393D" w:rsidRPr="004068F6">
        <w:rPr>
          <w:spacing w:val="-3"/>
        </w:rPr>
        <w:t>, obra o actividad</w:t>
      </w:r>
      <w:r w:rsidR="00F464E8" w:rsidRPr="004068F6">
        <w:rPr>
          <w:spacing w:val="-3"/>
        </w:rPr>
        <w:t xml:space="preserve">. </w:t>
      </w:r>
      <w:r w:rsidR="00C00632" w:rsidRPr="004068F6">
        <w:rPr>
          <w:spacing w:val="-3"/>
        </w:rPr>
        <w:t>Para su formulación s</w:t>
      </w:r>
      <w:r w:rsidR="00F464E8" w:rsidRPr="004068F6">
        <w:rPr>
          <w:spacing w:val="-3"/>
        </w:rPr>
        <w:t xml:space="preserve">e debe </w:t>
      </w:r>
      <w:r w:rsidR="00C00632" w:rsidRPr="004068F6">
        <w:rPr>
          <w:spacing w:val="-3"/>
        </w:rPr>
        <w:t xml:space="preserve">considerar </w:t>
      </w:r>
      <w:r w:rsidRPr="004068F6">
        <w:rPr>
          <w:spacing w:val="-3"/>
        </w:rPr>
        <w:t xml:space="preserve">como mínimo </w:t>
      </w:r>
      <w:r w:rsidR="00F464E8" w:rsidRPr="004068F6">
        <w:rPr>
          <w:spacing w:val="-3"/>
        </w:rPr>
        <w:t xml:space="preserve">la información de concentraciones y direcciones de viento, con el fin de correlacionarlas y generar un análisis cercano del comportamiento de la dispersión en el área </w:t>
      </w:r>
      <w:r w:rsidR="00117B1E" w:rsidRPr="004068F6">
        <w:rPr>
          <w:spacing w:val="-3"/>
        </w:rPr>
        <w:t>objeto de modelización</w:t>
      </w:r>
      <w:r w:rsidR="00F464E8" w:rsidRPr="004068F6">
        <w:rPr>
          <w:spacing w:val="-3"/>
        </w:rPr>
        <w:t xml:space="preserve">. Se debe </w:t>
      </w:r>
      <w:r w:rsidR="00E51ED1" w:rsidRPr="004068F6">
        <w:rPr>
          <w:spacing w:val="-3"/>
        </w:rPr>
        <w:t>suministrar</w:t>
      </w:r>
      <w:r w:rsidR="00F464E8" w:rsidRPr="004068F6">
        <w:rPr>
          <w:spacing w:val="-3"/>
        </w:rPr>
        <w:t xml:space="preserve"> la georreferenciación de los puntos de levantamiento de información de los parámetros identificados.</w:t>
      </w:r>
    </w:p>
    <w:p w14:paraId="6F08CABE" w14:textId="77777777" w:rsidR="000E3DBB" w:rsidRPr="004068F6" w:rsidRDefault="000E3DBB" w:rsidP="009420F5">
      <w:pPr>
        <w:numPr>
          <w:ilvl w:val="12"/>
          <w:numId w:val="0"/>
        </w:numPr>
        <w:tabs>
          <w:tab w:val="left" w:pos="-2268"/>
        </w:tabs>
        <w:suppressAutoHyphens/>
        <w:rPr>
          <w:spacing w:val="-3"/>
        </w:rPr>
      </w:pPr>
    </w:p>
    <w:p w14:paraId="376075A9" w14:textId="5C263FB9" w:rsidR="00EC0B44" w:rsidRPr="004068F6" w:rsidRDefault="00EC0B44">
      <w:pPr>
        <w:numPr>
          <w:ilvl w:val="12"/>
          <w:numId w:val="0"/>
        </w:numPr>
        <w:tabs>
          <w:tab w:val="left" w:pos="-2268"/>
        </w:tabs>
        <w:suppressAutoHyphens/>
        <w:rPr>
          <w:spacing w:val="-3"/>
          <w:u w:val="single"/>
        </w:rPr>
      </w:pPr>
      <w:r w:rsidRPr="004068F6">
        <w:rPr>
          <w:spacing w:val="-3"/>
          <w:u w:val="single"/>
        </w:rPr>
        <w:t>Ruido</w:t>
      </w:r>
    </w:p>
    <w:p w14:paraId="426791C5" w14:textId="77777777" w:rsidR="00E51ED1" w:rsidRPr="004068F6" w:rsidRDefault="00E51ED1" w:rsidP="009420F5">
      <w:pPr>
        <w:numPr>
          <w:ilvl w:val="12"/>
          <w:numId w:val="0"/>
        </w:numPr>
        <w:tabs>
          <w:tab w:val="left" w:pos="-2268"/>
        </w:tabs>
        <w:suppressAutoHyphens/>
        <w:rPr>
          <w:spacing w:val="-3"/>
        </w:rPr>
      </w:pPr>
    </w:p>
    <w:p w14:paraId="4882C004" w14:textId="279AAB59" w:rsidR="00EC0B44" w:rsidRPr="004068F6" w:rsidRDefault="00990798" w:rsidP="009420F5">
      <w:pPr>
        <w:suppressAutoHyphens/>
        <w:rPr>
          <w:rFonts w:cs="Arial"/>
        </w:rPr>
      </w:pPr>
      <w:r w:rsidRPr="004068F6">
        <w:rPr>
          <w:spacing w:val="-3"/>
        </w:rPr>
        <w:t xml:space="preserve">A fin de </w:t>
      </w:r>
      <w:r w:rsidR="00271624" w:rsidRPr="004068F6">
        <w:rPr>
          <w:spacing w:val="-3"/>
        </w:rPr>
        <w:t xml:space="preserve">determinar </w:t>
      </w:r>
      <w:r w:rsidRPr="004068F6">
        <w:rPr>
          <w:spacing w:val="-3"/>
        </w:rPr>
        <w:t>y evaluar los impactos ambientales sobre el factor ruido, s</w:t>
      </w:r>
      <w:r w:rsidR="00E51ED1" w:rsidRPr="004068F6">
        <w:rPr>
          <w:spacing w:val="-3"/>
        </w:rPr>
        <w:t>e debe i</w:t>
      </w:r>
      <w:r w:rsidR="00EC0B44" w:rsidRPr="004068F6">
        <w:rPr>
          <w:rFonts w:cs="Arial"/>
          <w:spacing w:val="-3"/>
        </w:rPr>
        <w:t>nventari</w:t>
      </w:r>
      <w:r w:rsidR="008674D2" w:rsidRPr="004068F6">
        <w:rPr>
          <w:rFonts w:cs="Arial"/>
          <w:spacing w:val="-3"/>
        </w:rPr>
        <w:t>ar</w:t>
      </w:r>
      <w:r w:rsidR="00EC0B44" w:rsidRPr="004068F6">
        <w:rPr>
          <w:rFonts w:cs="Arial"/>
          <w:spacing w:val="-3"/>
        </w:rPr>
        <w:t xml:space="preserve"> y </w:t>
      </w:r>
      <w:r w:rsidRPr="004068F6">
        <w:rPr>
          <w:rFonts w:cs="Arial"/>
          <w:spacing w:val="-3"/>
        </w:rPr>
        <w:t xml:space="preserve">señalar </w:t>
      </w:r>
      <w:r w:rsidR="00E51ED1" w:rsidRPr="004068F6">
        <w:rPr>
          <w:rFonts w:cs="Arial"/>
          <w:spacing w:val="-3"/>
        </w:rPr>
        <w:t xml:space="preserve">la </w:t>
      </w:r>
      <w:r w:rsidR="00EC0B44" w:rsidRPr="004068F6">
        <w:rPr>
          <w:rFonts w:cs="Arial"/>
          <w:spacing w:val="-3"/>
        </w:rPr>
        <w:t xml:space="preserve">ubicación de </w:t>
      </w:r>
      <w:r w:rsidR="00E51ED1" w:rsidRPr="004068F6">
        <w:rPr>
          <w:rFonts w:cs="Arial"/>
          <w:spacing w:val="-3"/>
        </w:rPr>
        <w:t xml:space="preserve">las </w:t>
      </w:r>
      <w:r w:rsidR="00EC0B44" w:rsidRPr="004068F6">
        <w:rPr>
          <w:rFonts w:cs="Arial"/>
          <w:spacing w:val="-3"/>
        </w:rPr>
        <w:t xml:space="preserve">fuentes proyectadas </w:t>
      </w:r>
      <w:r w:rsidR="00247708" w:rsidRPr="004068F6">
        <w:rPr>
          <w:spacing w:val="-3"/>
        </w:rPr>
        <w:t xml:space="preserve">en las diferentes </w:t>
      </w:r>
      <w:r w:rsidR="00D0624C">
        <w:rPr>
          <w:spacing w:val="-3"/>
        </w:rPr>
        <w:t>etapas</w:t>
      </w:r>
      <w:r w:rsidR="00247708" w:rsidRPr="004068F6">
        <w:rPr>
          <w:spacing w:val="-3"/>
        </w:rPr>
        <w:t xml:space="preserve"> del proyecto, obra o actividad de las </w:t>
      </w:r>
      <w:bookmarkStart w:id="2365" w:name="_Hlk78470756"/>
      <w:r w:rsidR="00247708" w:rsidRPr="004068F6">
        <w:rPr>
          <w:spacing w:val="-3"/>
        </w:rPr>
        <w:t>alternativas</w:t>
      </w:r>
      <w:r w:rsidRPr="004068F6">
        <w:rPr>
          <w:spacing w:val="-3"/>
        </w:rPr>
        <w:t xml:space="preserve"> propuestas</w:t>
      </w:r>
      <w:r w:rsidR="007A3000" w:rsidRPr="004068F6">
        <w:rPr>
          <w:spacing w:val="-3"/>
        </w:rPr>
        <w:t xml:space="preserve">, sin contemplar las </w:t>
      </w:r>
      <w:r w:rsidR="007A3000" w:rsidRPr="004068F6">
        <w:rPr>
          <w:spacing w:val="-3"/>
        </w:rPr>
        <w:lastRenderedPageBreak/>
        <w:t>medidas de manejo</w:t>
      </w:r>
      <w:r w:rsidRPr="004068F6">
        <w:rPr>
          <w:spacing w:val="-3"/>
        </w:rPr>
        <w:t>;</w:t>
      </w:r>
      <w:r w:rsidR="00EC0B44" w:rsidRPr="004068F6">
        <w:rPr>
          <w:rFonts w:cs="Arial"/>
          <w:spacing w:val="-3"/>
        </w:rPr>
        <w:t xml:space="preserve"> </w:t>
      </w:r>
      <w:r w:rsidR="00A03248" w:rsidRPr="004068F6">
        <w:rPr>
          <w:rFonts w:cs="Arial"/>
          <w:spacing w:val="-3"/>
        </w:rPr>
        <w:t>asimismo, se debe mencionar el tráfico proyectado, el número y tipo de fuentes (puntual, área o lineal) y sus características técnicas de orden referencial (potencia, potencia sonora, capacidad, dimensiones, peso, entre otras que puedan aportar información relevante al análisis). La determinación de la potencia sonora puede basarse en bibliotecas de información oficial que tengan sustento y en caso de ser empleadas, sus fuentes de información deben señalarse en el estudio</w:t>
      </w:r>
      <w:bookmarkEnd w:id="2365"/>
      <w:r w:rsidR="00EC0B44" w:rsidRPr="004068F6">
        <w:rPr>
          <w:rFonts w:cs="Arial"/>
          <w:spacing w:val="-3"/>
        </w:rPr>
        <w:t>.</w:t>
      </w:r>
    </w:p>
    <w:p w14:paraId="6211309C" w14:textId="77777777" w:rsidR="00EC0B44" w:rsidRPr="004068F6" w:rsidRDefault="00EC0B44" w:rsidP="009420F5">
      <w:pPr>
        <w:numPr>
          <w:ilvl w:val="12"/>
          <w:numId w:val="0"/>
        </w:numPr>
        <w:tabs>
          <w:tab w:val="left" w:pos="-2268"/>
        </w:tabs>
        <w:suppressAutoHyphens/>
        <w:rPr>
          <w:spacing w:val="-3"/>
        </w:rPr>
      </w:pPr>
    </w:p>
    <w:p w14:paraId="7FDAF269" w14:textId="5B1D4E9D" w:rsidR="00516E58" w:rsidRPr="004068F6" w:rsidRDefault="00516E58" w:rsidP="009420F5">
      <w:pPr>
        <w:numPr>
          <w:ilvl w:val="12"/>
          <w:numId w:val="0"/>
        </w:numPr>
        <w:tabs>
          <w:tab w:val="left" w:pos="-2268"/>
        </w:tabs>
        <w:suppressAutoHyphens/>
        <w:rPr>
          <w:spacing w:val="-3"/>
          <w:u w:val="single"/>
        </w:rPr>
      </w:pPr>
      <w:r w:rsidRPr="004068F6">
        <w:rPr>
          <w:spacing w:val="-3"/>
          <w:u w:val="single"/>
        </w:rPr>
        <w:t>Paisaje</w:t>
      </w:r>
    </w:p>
    <w:p w14:paraId="0D92A9DF" w14:textId="77777777" w:rsidR="00516E58" w:rsidRPr="004068F6" w:rsidRDefault="00516E58" w:rsidP="00A9037D">
      <w:pPr>
        <w:tabs>
          <w:tab w:val="left" w:pos="-2268"/>
        </w:tabs>
        <w:suppressAutoHyphens/>
        <w:rPr>
          <w:rFonts w:cs="Arial"/>
          <w:spacing w:val="-3"/>
        </w:rPr>
      </w:pPr>
    </w:p>
    <w:p w14:paraId="6A9833E5" w14:textId="73AC43EE" w:rsidR="007A3000" w:rsidRPr="004068F6" w:rsidRDefault="00CD6CF7" w:rsidP="00A9037D">
      <w:pPr>
        <w:tabs>
          <w:tab w:val="left" w:pos="-2268"/>
        </w:tabs>
        <w:suppressAutoHyphens/>
        <w:rPr>
          <w:rFonts w:cs="Arial"/>
          <w:spacing w:val="-3"/>
        </w:rPr>
      </w:pPr>
      <w:r w:rsidRPr="004068F6">
        <w:rPr>
          <w:rFonts w:cs="Arial"/>
          <w:spacing w:val="-3"/>
        </w:rPr>
        <w:t xml:space="preserve">A fin de evaluar los impactos ambientales </w:t>
      </w:r>
      <w:r w:rsidR="00A0393D" w:rsidRPr="004068F6">
        <w:rPr>
          <w:rFonts w:cs="Arial"/>
          <w:spacing w:val="-3"/>
        </w:rPr>
        <w:t>al paisaje</w:t>
      </w:r>
      <w:r w:rsidRPr="004068F6">
        <w:rPr>
          <w:rFonts w:cs="Arial"/>
          <w:spacing w:val="-3"/>
        </w:rPr>
        <w:t xml:space="preserve">, </w:t>
      </w:r>
      <w:r w:rsidR="00AB4BAC" w:rsidRPr="004068F6">
        <w:rPr>
          <w:rFonts w:cs="Arial"/>
          <w:spacing w:val="-3"/>
        </w:rPr>
        <w:t xml:space="preserve">cuando se conozca la posible ubicación de obras e infraestructura de las alternativas, </w:t>
      </w:r>
      <w:r w:rsidR="007A3000" w:rsidRPr="004068F6">
        <w:rPr>
          <w:rFonts w:cs="Arial"/>
          <w:spacing w:val="-3"/>
        </w:rPr>
        <w:t>se debe desarrollar un modelo de visibilidad en el escenario con proyecto que considere la localización de la infraestructura o adecuación de espacios asociados a las alternativas del proyecto, obra o actividad, así como las condiciones del relieve y la cobertura de la tierra. Los resultados de este modelo deben analizarse en conjunto con los obtenidos para el modelo de visibilidad del escenario sin proyecto, estableciendo la intervisibilidad de los dos escenarios</w:t>
      </w:r>
    </w:p>
    <w:p w14:paraId="42BD8C8F" w14:textId="77777777" w:rsidR="007A3000" w:rsidRPr="004068F6" w:rsidRDefault="007A3000" w:rsidP="00A9037D">
      <w:pPr>
        <w:tabs>
          <w:tab w:val="left" w:pos="-2268"/>
        </w:tabs>
        <w:suppressAutoHyphens/>
        <w:rPr>
          <w:rFonts w:cs="Arial"/>
          <w:spacing w:val="-3"/>
        </w:rPr>
      </w:pPr>
    </w:p>
    <w:p w14:paraId="276FDC55" w14:textId="16389D05" w:rsidR="00516E58" w:rsidRPr="004068F6" w:rsidRDefault="007A3000" w:rsidP="00A9037D">
      <w:pPr>
        <w:tabs>
          <w:tab w:val="left" w:pos="-2268"/>
        </w:tabs>
        <w:suppressAutoHyphens/>
        <w:rPr>
          <w:rFonts w:cs="Arial"/>
          <w:spacing w:val="-3"/>
        </w:rPr>
      </w:pPr>
      <w:r w:rsidRPr="00127BD4">
        <w:rPr>
          <w:rFonts w:cs="Arial"/>
          <w:spacing w:val="-3"/>
        </w:rPr>
        <w:t>Partiendo de lo anterior se debe</w:t>
      </w:r>
      <w:r w:rsidR="00CD6CF7" w:rsidRPr="004068F6">
        <w:rPr>
          <w:rFonts w:cs="Arial"/>
          <w:spacing w:val="-3"/>
        </w:rPr>
        <w:t xml:space="preserve"> d</w:t>
      </w:r>
      <w:r w:rsidR="00516E58" w:rsidRPr="004068F6">
        <w:rPr>
          <w:rFonts w:cs="Arial"/>
          <w:spacing w:val="-3"/>
        </w:rPr>
        <w:t>escri</w:t>
      </w:r>
      <w:r w:rsidR="00CD6CF7" w:rsidRPr="004068F6">
        <w:rPr>
          <w:rFonts w:cs="Arial"/>
          <w:spacing w:val="-3"/>
        </w:rPr>
        <w:t xml:space="preserve">bir </w:t>
      </w:r>
      <w:r w:rsidR="00516E58" w:rsidRPr="004068F6">
        <w:rPr>
          <w:rFonts w:cs="Arial"/>
          <w:spacing w:val="-3"/>
        </w:rPr>
        <w:t xml:space="preserve">la compatibilidad de las alternativas propuestas con el paisaje </w:t>
      </w:r>
      <w:r w:rsidR="00CD6CF7" w:rsidRPr="004068F6">
        <w:rPr>
          <w:rFonts w:cs="Arial"/>
          <w:spacing w:val="-3"/>
        </w:rPr>
        <w:t>del área de estudio</w:t>
      </w:r>
      <w:r w:rsidR="00516E58" w:rsidRPr="004068F6">
        <w:rPr>
          <w:rFonts w:cs="Arial"/>
          <w:spacing w:val="-3"/>
        </w:rPr>
        <w:t>, haciendo énfasis en los posibles contrastes e impactos a la calida</w:t>
      </w:r>
      <w:r w:rsidR="00CD6CF7" w:rsidRPr="004068F6">
        <w:rPr>
          <w:rFonts w:cs="Arial"/>
          <w:spacing w:val="-3"/>
        </w:rPr>
        <w:t>d visual del paisaje</w:t>
      </w:r>
      <w:r w:rsidR="00516E58" w:rsidRPr="004068F6">
        <w:rPr>
          <w:rFonts w:cs="Arial"/>
          <w:spacing w:val="-3"/>
        </w:rPr>
        <w:t xml:space="preserve"> </w:t>
      </w:r>
      <w:r w:rsidR="00A0393D" w:rsidRPr="004068F6">
        <w:rPr>
          <w:rFonts w:cs="Arial"/>
          <w:spacing w:val="-3"/>
        </w:rPr>
        <w:t xml:space="preserve">que serían </w:t>
      </w:r>
      <w:r w:rsidR="00516E58" w:rsidRPr="004068F6">
        <w:rPr>
          <w:rFonts w:cs="Arial"/>
          <w:spacing w:val="-3"/>
        </w:rPr>
        <w:t>ocasionados por la construcción de infraestructura o adecuación de espacios asociados al proyecto, obra o actividad.</w:t>
      </w:r>
    </w:p>
    <w:p w14:paraId="0964789B" w14:textId="77777777" w:rsidR="00516E58" w:rsidRPr="004068F6" w:rsidRDefault="00516E58" w:rsidP="00A9037D">
      <w:pPr>
        <w:tabs>
          <w:tab w:val="left" w:pos="-2268"/>
        </w:tabs>
        <w:suppressAutoHyphens/>
        <w:rPr>
          <w:rFonts w:cs="Arial"/>
          <w:spacing w:val="-3"/>
        </w:rPr>
      </w:pPr>
    </w:p>
    <w:p w14:paraId="4A8262A6" w14:textId="77777777" w:rsidR="007A3000" w:rsidRPr="004068F6" w:rsidRDefault="007A3000" w:rsidP="00A9037D">
      <w:pPr>
        <w:tabs>
          <w:tab w:val="left" w:pos="-2268"/>
        </w:tabs>
        <w:suppressAutoHyphens/>
        <w:rPr>
          <w:rFonts w:cs="Arial"/>
          <w:spacing w:val="-3"/>
        </w:rPr>
      </w:pPr>
    </w:p>
    <w:p w14:paraId="5922A3EB" w14:textId="7C6B823B" w:rsidR="002D1E38" w:rsidRPr="004068F6" w:rsidRDefault="002D1E38" w:rsidP="00CB4557">
      <w:pPr>
        <w:pStyle w:val="Ttulo1"/>
        <w:numPr>
          <w:ilvl w:val="0"/>
          <w:numId w:val="8"/>
        </w:numPr>
        <w:rPr>
          <w:lang w:val="es-CO"/>
        </w:rPr>
      </w:pPr>
      <w:bookmarkStart w:id="2366" w:name="_Toc43485661"/>
      <w:bookmarkStart w:id="2367" w:name="_Toc43485662"/>
      <w:bookmarkStart w:id="2368" w:name="_Toc43485663"/>
      <w:bookmarkStart w:id="2369" w:name="_Toc230879608"/>
      <w:bookmarkEnd w:id="2366"/>
      <w:bookmarkEnd w:id="2367"/>
      <w:bookmarkEnd w:id="2368"/>
      <w:r w:rsidRPr="004068F6">
        <w:rPr>
          <w:lang w:val="es-CO"/>
        </w:rPr>
        <w:t>ANÁLISIS COSTO BENEFICIO AMBIENTAL DE LAS ALTERNATIVAS</w:t>
      </w:r>
      <w:bookmarkEnd w:id="2369"/>
    </w:p>
    <w:p w14:paraId="20F753E7" w14:textId="77777777" w:rsidR="002D1E38" w:rsidRPr="004068F6" w:rsidRDefault="002D1E38">
      <w:pPr>
        <w:numPr>
          <w:ilvl w:val="12"/>
          <w:numId w:val="0"/>
        </w:numPr>
        <w:tabs>
          <w:tab w:val="left" w:pos="-2268"/>
        </w:tabs>
        <w:suppressAutoHyphens/>
        <w:rPr>
          <w:spacing w:val="-3"/>
        </w:rPr>
      </w:pPr>
    </w:p>
    <w:p w14:paraId="3EBA8CFE" w14:textId="77777777" w:rsidR="006839AA" w:rsidRPr="004068F6" w:rsidRDefault="006839AA" w:rsidP="006839AA">
      <w:pPr>
        <w:tabs>
          <w:tab w:val="left" w:pos="-2268"/>
        </w:tabs>
        <w:suppressAutoHyphens/>
        <w:rPr>
          <w:spacing w:val="-3"/>
        </w:rPr>
      </w:pPr>
      <w:bookmarkStart w:id="2370" w:name="_Hlk208223631"/>
      <w:r w:rsidRPr="004068F6">
        <w:rPr>
          <w:spacing w:val="-3"/>
        </w:rPr>
        <w:t>El Análisis Costo Beneficio ambiental (ACB) de las alternativas constituye un elemento fundamental del Diagnóstico Ambiental de Alternativas (DAA) conforme a lo establecido en el Decreto 1076 de 2015 o en la norma que lo modifique o sustituya. El ACB no debe desarrollar un análisis financiero privado, sino una evaluación comparativa de los costos y beneficios socioambientales y económicos significativos que impactarían a la sociedad si se implementara cada una de las alternativas planteadas para la ejecución del proyecto, obra o actividad (Minambiente &amp; ANLA, 2017).</w:t>
      </w:r>
    </w:p>
    <w:p w14:paraId="72CD4DA7" w14:textId="77777777" w:rsidR="006839AA" w:rsidRPr="004068F6" w:rsidRDefault="006839AA" w:rsidP="006839AA">
      <w:pPr>
        <w:tabs>
          <w:tab w:val="left" w:pos="-2268"/>
        </w:tabs>
        <w:suppressAutoHyphens/>
        <w:rPr>
          <w:spacing w:val="-3"/>
        </w:rPr>
      </w:pPr>
    </w:p>
    <w:p w14:paraId="0693C982" w14:textId="1873BD31" w:rsidR="00CD33DB" w:rsidRPr="004068F6" w:rsidRDefault="006839AA" w:rsidP="00C86DA5">
      <w:pPr>
        <w:tabs>
          <w:tab w:val="left" w:pos="-2268"/>
        </w:tabs>
        <w:suppressAutoHyphens/>
        <w:rPr>
          <w:spacing w:val="-3"/>
        </w:rPr>
      </w:pPr>
      <w:r w:rsidRPr="004068F6">
        <w:rPr>
          <w:spacing w:val="-3"/>
        </w:rPr>
        <w:t>En este sentido</w:t>
      </w:r>
      <w:r w:rsidR="0093166E" w:rsidRPr="004068F6">
        <w:rPr>
          <w:spacing w:val="-3"/>
        </w:rPr>
        <w:t>,</w:t>
      </w:r>
      <w:r w:rsidRPr="004068F6">
        <w:rPr>
          <w:spacing w:val="-3"/>
        </w:rPr>
        <w:t xml:space="preserve"> el análisis de internalización que aproxima el costo de las medidas de manejo ambiental con la prevención y corrección de impactos significativos no hace parte del análisis económico requerido para la etapa del DAA, pues se entiende que en esta etapa no se cuenta con un plan de manejo ambiental ni con los costos asociados a sus medidas o actividades de manejo.</w:t>
      </w:r>
      <w:bookmarkEnd w:id="2370"/>
    </w:p>
    <w:p w14:paraId="6EA6247D" w14:textId="77777777" w:rsidR="00CD33DB" w:rsidRPr="004068F6" w:rsidRDefault="00CD33DB">
      <w:pPr>
        <w:numPr>
          <w:ilvl w:val="12"/>
          <w:numId w:val="0"/>
        </w:numPr>
        <w:tabs>
          <w:tab w:val="left" w:pos="-2268"/>
        </w:tabs>
        <w:suppressAutoHyphens/>
        <w:rPr>
          <w:spacing w:val="-3"/>
        </w:rPr>
      </w:pPr>
    </w:p>
    <w:p w14:paraId="76D2CC50" w14:textId="6ED48CE7" w:rsidR="00CD33DB" w:rsidRPr="004068F6" w:rsidRDefault="00CD33DB" w:rsidP="00C86DA5">
      <w:pPr>
        <w:tabs>
          <w:tab w:val="left" w:pos="-2268"/>
        </w:tabs>
        <w:suppressAutoHyphens/>
        <w:rPr>
          <w:spacing w:val="-3"/>
        </w:rPr>
      </w:pPr>
      <w:r w:rsidRPr="004068F6">
        <w:rPr>
          <w:spacing w:val="-3"/>
        </w:rPr>
        <w:lastRenderedPageBreak/>
        <w:t xml:space="preserve">Dicha comparación entre costos y beneficios constituye </w:t>
      </w:r>
      <w:r w:rsidRPr="004068F6">
        <w:rPr>
          <w:i/>
          <w:spacing w:val="-3"/>
        </w:rPr>
        <w:t>un criterio adicional</w:t>
      </w:r>
      <w:r w:rsidRPr="004068F6">
        <w:rPr>
          <w:spacing w:val="-3"/>
        </w:rPr>
        <w:t xml:space="preserve"> que debe tenerse en cuenta en la Evaluación Multicriterio, proceso que se efectúa para evaluar, comparar y seleccionar las alternativas</w:t>
      </w:r>
      <w:r w:rsidRPr="004068F6">
        <w:rPr>
          <w:rFonts w:cs="Arial"/>
          <w:spacing w:val="-3"/>
        </w:rPr>
        <w:t xml:space="preserve"> más favorables</w:t>
      </w:r>
      <w:r w:rsidRPr="004068F6">
        <w:rPr>
          <w:spacing w:val="-3"/>
        </w:rPr>
        <w:t xml:space="preserve"> desde el punto de vista ambiental, a fin de ponerlas en consideración de la autoridad ambiental, quien decide sobre cuál</w:t>
      </w:r>
      <w:r w:rsidRPr="004068F6">
        <w:rPr>
          <w:rFonts w:cs="Arial"/>
          <w:spacing w:val="-3"/>
        </w:rPr>
        <w:t>, o cuáles</w:t>
      </w:r>
      <w:r w:rsidRPr="004068F6">
        <w:rPr>
          <w:spacing w:val="-3"/>
        </w:rPr>
        <w:t xml:space="preserve"> de ellas se debe elaborar el Estudio de Impacto Ambiental (EIA</w:t>
      </w:r>
      <w:r w:rsidRPr="004068F6">
        <w:rPr>
          <w:rFonts w:cs="Arial"/>
          <w:spacing w:val="-3"/>
        </w:rPr>
        <w:t>), considerando las particularidades del proyecto, obra o actividad, así como las características del área en la cual se pretende desarrollar el mismo.</w:t>
      </w:r>
    </w:p>
    <w:p w14:paraId="662136B9" w14:textId="49DE6DC4" w:rsidR="00E97D60" w:rsidRPr="004068F6" w:rsidRDefault="00E97D60">
      <w:pPr>
        <w:numPr>
          <w:ilvl w:val="12"/>
          <w:numId w:val="0"/>
        </w:numPr>
        <w:tabs>
          <w:tab w:val="left" w:pos="-2268"/>
        </w:tabs>
        <w:suppressAutoHyphens/>
        <w:rPr>
          <w:spacing w:val="-3"/>
        </w:rPr>
      </w:pPr>
    </w:p>
    <w:p w14:paraId="0AED30FE" w14:textId="1D20450A" w:rsidR="00CD33DB" w:rsidRPr="004068F6" w:rsidRDefault="00CD33DB">
      <w:pPr>
        <w:numPr>
          <w:ilvl w:val="12"/>
          <w:numId w:val="0"/>
        </w:numPr>
        <w:tabs>
          <w:tab w:val="left" w:pos="-2268"/>
        </w:tabs>
        <w:suppressAutoHyphens/>
        <w:rPr>
          <w:spacing w:val="-3"/>
        </w:rPr>
      </w:pPr>
      <w:r w:rsidRPr="004068F6">
        <w:rPr>
          <w:spacing w:val="-3"/>
        </w:rPr>
        <w:t xml:space="preserve">La </w:t>
      </w:r>
      <w:r w:rsidR="002738ED" w:rsidRPr="004068F6">
        <w:rPr>
          <w:spacing w:val="-3"/>
        </w:rPr>
        <w:fldChar w:fldCharType="begin"/>
      </w:r>
      <w:r w:rsidR="002738ED" w:rsidRPr="004068F6">
        <w:rPr>
          <w:spacing w:val="-3"/>
        </w:rPr>
        <w:instrText xml:space="preserve"> REF _Ref153817594 \h  \* MERGEFORMAT </w:instrText>
      </w:r>
      <w:r w:rsidR="002738ED" w:rsidRPr="004068F6">
        <w:rPr>
          <w:spacing w:val="-3"/>
        </w:rPr>
      </w:r>
      <w:r w:rsidR="002738ED" w:rsidRPr="004068F6">
        <w:rPr>
          <w:spacing w:val="-3"/>
        </w:rPr>
        <w:fldChar w:fldCharType="separate"/>
      </w:r>
      <w:r w:rsidR="009C4A81" w:rsidRPr="004068F6">
        <w:t xml:space="preserve">Figura </w:t>
      </w:r>
      <w:r w:rsidR="009C4A81">
        <w:t>3</w:t>
      </w:r>
      <w:r w:rsidR="002738ED" w:rsidRPr="004068F6">
        <w:rPr>
          <w:spacing w:val="-3"/>
        </w:rPr>
        <w:fldChar w:fldCharType="end"/>
      </w:r>
      <w:r w:rsidRPr="004068F6">
        <w:rPr>
          <w:spacing w:val="-3"/>
        </w:rPr>
        <w:t xml:space="preserve"> presenta el esquema metodológico para implementar adecuadamente el ACB en el DAA, análisis que debe estar articulado con los demás elementos básicos del DAA (artículo 2.2.2.3.4.3 del Decreto 1076 de 2015), y contemplar todas las alternativas propuestas</w:t>
      </w:r>
      <w:r w:rsidR="007E3C84" w:rsidRPr="004068F6">
        <w:rPr>
          <w:spacing w:val="-3"/>
        </w:rPr>
        <w:t xml:space="preserve"> a fin de establecer el delta o cambio de cada alternativa respecto del escenario sin</w:t>
      </w:r>
      <w:r w:rsidR="007E3C84" w:rsidRPr="004068F6" w:rsidDel="007E3C84">
        <w:rPr>
          <w:spacing w:val="-3"/>
        </w:rPr>
        <w:t xml:space="preserve"> </w:t>
      </w:r>
      <w:r w:rsidRPr="004068F6">
        <w:rPr>
          <w:spacing w:val="-3"/>
        </w:rPr>
        <w:t>proyecto.</w:t>
      </w:r>
    </w:p>
    <w:p w14:paraId="487D291C" w14:textId="77777777" w:rsidR="00CD33DB" w:rsidRPr="004068F6" w:rsidRDefault="00CD33DB">
      <w:pPr>
        <w:numPr>
          <w:ilvl w:val="12"/>
          <w:numId w:val="0"/>
        </w:numPr>
        <w:tabs>
          <w:tab w:val="left" w:pos="-2268"/>
        </w:tabs>
        <w:suppressAutoHyphens/>
        <w:rPr>
          <w:spacing w:val="-3"/>
        </w:rPr>
      </w:pPr>
    </w:p>
    <w:p w14:paraId="21B8081E" w14:textId="2EA6CDA4" w:rsidR="00663FFC" w:rsidRDefault="00CD33DB" w:rsidP="439A4240">
      <w:pPr>
        <w:suppressAutoHyphens/>
        <w:rPr>
          <w:spacing w:val="-3"/>
        </w:rPr>
      </w:pPr>
      <w:r w:rsidRPr="004068F6">
        <w:rPr>
          <w:spacing w:val="-3"/>
        </w:rPr>
        <w:t>Para llevar a cabo el ACB en el DAA se acepta el uso de información secundaria del área de estudio y de las proyecciones establecidas sobre el uso y aprovechamiento de los recursos naturales renovables para cada una de las alternativas a evaluar.</w:t>
      </w:r>
      <w:r w:rsidR="007E3C84" w:rsidRPr="004068F6">
        <w:rPr>
          <w:spacing w:val="-3"/>
        </w:rPr>
        <w:t xml:space="preserve"> </w:t>
      </w:r>
      <w:r w:rsidR="00663FFC" w:rsidRPr="004068F6">
        <w:rPr>
          <w:spacing w:val="-3"/>
        </w:rPr>
        <w:t xml:space="preserve">La estimación de los cambios </w:t>
      </w:r>
      <w:r w:rsidR="0093166E" w:rsidRPr="004068F6">
        <w:rPr>
          <w:spacing w:val="-3"/>
        </w:rPr>
        <w:t xml:space="preserve">biofísicos debe </w:t>
      </w:r>
      <w:r w:rsidR="005A216E" w:rsidRPr="004068F6">
        <w:rPr>
          <w:spacing w:val="-3"/>
        </w:rPr>
        <w:t>toma</w:t>
      </w:r>
      <w:r w:rsidR="0093166E" w:rsidRPr="004068F6">
        <w:rPr>
          <w:spacing w:val="-3"/>
        </w:rPr>
        <w:t>r</w:t>
      </w:r>
      <w:r w:rsidR="005A216E" w:rsidRPr="004068F6">
        <w:rPr>
          <w:spacing w:val="-3"/>
        </w:rPr>
        <w:t xml:space="preserve"> como referencia </w:t>
      </w:r>
      <w:r w:rsidR="0093166E" w:rsidRPr="004068F6">
        <w:rPr>
          <w:spacing w:val="-3"/>
        </w:rPr>
        <w:t xml:space="preserve">la </w:t>
      </w:r>
      <w:r w:rsidR="005A216E" w:rsidRPr="004068F6">
        <w:rPr>
          <w:spacing w:val="-3"/>
        </w:rPr>
        <w:t xml:space="preserve">caracterización </w:t>
      </w:r>
      <w:r w:rsidR="0093166E" w:rsidRPr="004068F6">
        <w:rPr>
          <w:spacing w:val="-3"/>
        </w:rPr>
        <w:t xml:space="preserve">de los medios abiótico, biótico y socioeconómico (numeral </w:t>
      </w:r>
      <w:r w:rsidR="0093166E" w:rsidRPr="004068F6">
        <w:rPr>
          <w:spacing w:val="-3"/>
        </w:rPr>
        <w:fldChar w:fldCharType="begin"/>
      </w:r>
      <w:r w:rsidR="0093166E" w:rsidRPr="004068F6">
        <w:rPr>
          <w:spacing w:val="-3"/>
        </w:rPr>
        <w:instrText xml:space="preserve"> REF _Ref208224588 \r \h </w:instrText>
      </w:r>
      <w:r w:rsidR="0093166E" w:rsidRPr="004068F6">
        <w:rPr>
          <w:spacing w:val="-3"/>
        </w:rPr>
      </w:r>
      <w:r w:rsidR="0093166E" w:rsidRPr="004068F6">
        <w:rPr>
          <w:spacing w:val="-3"/>
        </w:rPr>
        <w:fldChar w:fldCharType="separate"/>
      </w:r>
      <w:r w:rsidR="009C4A81">
        <w:rPr>
          <w:spacing w:val="-3"/>
        </w:rPr>
        <w:t>4</w:t>
      </w:r>
      <w:r w:rsidR="0093166E" w:rsidRPr="004068F6">
        <w:rPr>
          <w:spacing w:val="-3"/>
        </w:rPr>
        <w:fldChar w:fldCharType="end"/>
      </w:r>
      <w:r w:rsidR="0093166E" w:rsidRPr="004068F6">
        <w:rPr>
          <w:spacing w:val="-3"/>
        </w:rPr>
        <w:t xml:space="preserve"> de este capítulo) y la determinación de los impactos ambientales significativo (numeral </w:t>
      </w:r>
      <w:r w:rsidR="0093166E" w:rsidRPr="004068F6">
        <w:rPr>
          <w:spacing w:val="-3"/>
        </w:rPr>
        <w:fldChar w:fldCharType="begin"/>
      </w:r>
      <w:r w:rsidR="0093166E" w:rsidRPr="004068F6">
        <w:rPr>
          <w:spacing w:val="-3"/>
        </w:rPr>
        <w:instrText xml:space="preserve"> REF _Ref195687665 \r \h </w:instrText>
      </w:r>
      <w:r w:rsidR="0093166E" w:rsidRPr="004068F6">
        <w:rPr>
          <w:spacing w:val="-3"/>
        </w:rPr>
      </w:r>
      <w:r w:rsidR="0093166E" w:rsidRPr="004068F6">
        <w:rPr>
          <w:spacing w:val="-3"/>
        </w:rPr>
        <w:fldChar w:fldCharType="separate"/>
      </w:r>
      <w:r w:rsidR="009C4A81">
        <w:rPr>
          <w:spacing w:val="-3"/>
        </w:rPr>
        <w:t>7</w:t>
      </w:r>
      <w:r w:rsidR="0093166E" w:rsidRPr="004068F6">
        <w:rPr>
          <w:spacing w:val="-3"/>
        </w:rPr>
        <w:fldChar w:fldCharType="end"/>
      </w:r>
      <w:r w:rsidR="0093166E" w:rsidRPr="004068F6">
        <w:rPr>
          <w:spacing w:val="-3"/>
        </w:rPr>
        <w:t xml:space="preserve"> de este capítulo)</w:t>
      </w:r>
      <w:r w:rsidR="00370D91" w:rsidRPr="004068F6">
        <w:rPr>
          <w:spacing w:val="-3"/>
        </w:rPr>
        <w:t>.</w:t>
      </w:r>
    </w:p>
    <w:p w14:paraId="5705B4A2" w14:textId="77777777" w:rsidR="002E2AD0" w:rsidRPr="004068F6" w:rsidRDefault="002E2AD0" w:rsidP="439A4240">
      <w:pPr>
        <w:suppressAutoHyphens/>
      </w:pPr>
    </w:p>
    <w:p w14:paraId="310EAE4A" w14:textId="77777777" w:rsidR="002E2AD0" w:rsidRPr="004068F6" w:rsidRDefault="002E2AD0" w:rsidP="002E2AD0">
      <w:pPr>
        <w:numPr>
          <w:ilvl w:val="12"/>
          <w:numId w:val="0"/>
        </w:numPr>
        <w:tabs>
          <w:tab w:val="left" w:pos="-2268"/>
        </w:tabs>
        <w:suppressAutoHyphens/>
        <w:rPr>
          <w:rFonts w:eastAsia="Arial"/>
        </w:rPr>
      </w:pPr>
      <w:r w:rsidRPr="004068F6">
        <w:rPr>
          <w:spacing w:val="-3"/>
        </w:rPr>
        <w:t>Los pasos metodológicos que se deben seguir y las consideraciones generales sobre el método y sobre cómo se incorpora el ACB al proceso de licenciamiento ambiental</w:t>
      </w:r>
      <w:r w:rsidRPr="004068F6">
        <w:rPr>
          <w:rFonts w:cs="Arial"/>
          <w:spacing w:val="-3"/>
        </w:rPr>
        <w:t>,</w:t>
      </w:r>
      <w:r w:rsidRPr="004068F6">
        <w:rPr>
          <w:spacing w:val="-3"/>
        </w:rPr>
        <w:t xml:space="preserve"> son las establecidas en el instructivo A </w:t>
      </w:r>
      <w:r w:rsidRPr="004068F6">
        <w:rPr>
          <w:rFonts w:cs="Arial"/>
          <w:spacing w:val="-3"/>
        </w:rPr>
        <w:t>del documento anexo a la Resolución 1669 de 2017, o aquella que la modifique o sustituya, denominado</w:t>
      </w:r>
      <w:r w:rsidRPr="004068F6">
        <w:rPr>
          <w:spacing w:val="-3"/>
        </w:rPr>
        <w:t xml:space="preserve"> </w:t>
      </w:r>
      <w:r w:rsidRPr="004068F6">
        <w:rPr>
          <w:i/>
          <w:spacing w:val="-3"/>
        </w:rPr>
        <w:t>Criterios técnicos para el uso de herramientas económicas en los proyectos, obras o actividades objeto de licenciamiento ambiental</w:t>
      </w:r>
      <w:r w:rsidRPr="004068F6">
        <w:rPr>
          <w:spacing w:val="-3"/>
        </w:rPr>
        <w:t xml:space="preserve">, el cual amplía y profundiza este análisis a fin </w:t>
      </w:r>
      <w:r w:rsidRPr="004068F6">
        <w:rPr>
          <w:rFonts w:cs="Arial"/>
        </w:rPr>
        <w:t xml:space="preserve">de </w:t>
      </w:r>
      <w:r w:rsidRPr="004068F6">
        <w:rPr>
          <w:spacing w:val="-3"/>
        </w:rPr>
        <w:t>brindar herramientas que permitan un mejor entendimiento y desarrollo del mismo</w:t>
      </w:r>
      <w:r w:rsidRPr="004068F6">
        <w:rPr>
          <w:rFonts w:cs="Arial"/>
          <w:spacing w:val="-3"/>
        </w:rPr>
        <w:t>.</w:t>
      </w:r>
      <w:r w:rsidRPr="004068F6">
        <w:rPr>
          <w:rFonts w:cs="Arial"/>
        </w:rPr>
        <w:t xml:space="preserve"> La evaluación económica para el DAA</w:t>
      </w:r>
      <w:r w:rsidRPr="004068F6">
        <w:rPr>
          <w:rFonts w:eastAsia="Arial" w:cs="Arial"/>
        </w:rPr>
        <w:t xml:space="preserve"> define al ACB como criterio de comparación y selección de alternativas, y no contempla el análisis de internalización</w:t>
      </w:r>
      <w:r w:rsidRPr="004068F6">
        <w:rPr>
          <w:rFonts w:eastAsia="Arial"/>
        </w:rPr>
        <w:t>.</w:t>
      </w:r>
    </w:p>
    <w:p w14:paraId="1B412D05" w14:textId="77777777" w:rsidR="002E2AD0" w:rsidRPr="004068F6" w:rsidRDefault="002E2AD0" w:rsidP="002E2AD0">
      <w:pPr>
        <w:overflowPunct/>
        <w:autoSpaceDE/>
        <w:autoSpaceDN/>
        <w:adjustRightInd/>
        <w:jc w:val="left"/>
        <w:textAlignment w:val="auto"/>
        <w:rPr>
          <w:spacing w:val="-3"/>
        </w:rPr>
      </w:pPr>
    </w:p>
    <w:p w14:paraId="2E68CE04" w14:textId="77777777" w:rsidR="002E2AD0" w:rsidRPr="004068F6" w:rsidRDefault="002E2AD0" w:rsidP="002E2AD0">
      <w:pPr>
        <w:numPr>
          <w:ilvl w:val="12"/>
          <w:numId w:val="0"/>
        </w:numPr>
        <w:tabs>
          <w:tab w:val="left" w:pos="-2268"/>
        </w:tabs>
        <w:suppressAutoHyphens/>
        <w:rPr>
          <w:spacing w:val="-3"/>
        </w:rPr>
      </w:pPr>
      <w:r w:rsidRPr="004068F6">
        <w:rPr>
          <w:spacing w:val="-3"/>
        </w:rPr>
        <w:t xml:space="preserve">Cabe aclarar que la decisión que toma la autoridad ambiental respecto a la alternativa </w:t>
      </w:r>
      <w:r w:rsidRPr="004068F6">
        <w:rPr>
          <w:rFonts w:cs="Arial"/>
          <w:spacing w:val="-3"/>
        </w:rPr>
        <w:t>o alternativas seleccionadas</w:t>
      </w:r>
      <w:r w:rsidRPr="004068F6">
        <w:rPr>
          <w:spacing w:val="-3"/>
        </w:rPr>
        <w:t xml:space="preserve"> para la elaboración del EIA no se basa exclusivamente en los resultados de la evaluación económica realizada mediante el ACB, ésta incorpora criterios adicionales que no son exclusivamente económicos</w:t>
      </w:r>
      <w:r w:rsidRPr="004068F6">
        <w:rPr>
          <w:rFonts w:cs="Arial"/>
          <w:spacing w:val="-3"/>
        </w:rPr>
        <w:t>, siendo este análisis un aporte adicional al proceso de toma de decisión mediante la evaluación multicriterio respecto de la alternativa más favorable</w:t>
      </w:r>
      <w:r w:rsidRPr="004068F6">
        <w:rPr>
          <w:spacing w:val="-3"/>
        </w:rPr>
        <w:t>.</w:t>
      </w:r>
    </w:p>
    <w:p w14:paraId="3908E3F6" w14:textId="77777777" w:rsidR="00CD33DB" w:rsidRDefault="00CD33DB">
      <w:pPr>
        <w:numPr>
          <w:ilvl w:val="12"/>
          <w:numId w:val="0"/>
        </w:numPr>
        <w:tabs>
          <w:tab w:val="left" w:pos="-2268"/>
        </w:tabs>
        <w:suppressAutoHyphens/>
        <w:rPr>
          <w:spacing w:val="-3"/>
        </w:rPr>
      </w:pPr>
    </w:p>
    <w:p w14:paraId="4E7D7A96" w14:textId="77777777" w:rsidR="002E2AD0" w:rsidRDefault="002E2AD0">
      <w:pPr>
        <w:numPr>
          <w:ilvl w:val="12"/>
          <w:numId w:val="0"/>
        </w:numPr>
        <w:tabs>
          <w:tab w:val="left" w:pos="-2268"/>
        </w:tabs>
        <w:suppressAutoHyphens/>
        <w:rPr>
          <w:spacing w:val="-3"/>
        </w:rPr>
      </w:pPr>
    </w:p>
    <w:p w14:paraId="7FB8B424" w14:textId="77777777" w:rsidR="002E2AD0" w:rsidRDefault="002E2AD0">
      <w:pPr>
        <w:numPr>
          <w:ilvl w:val="12"/>
          <w:numId w:val="0"/>
        </w:numPr>
        <w:tabs>
          <w:tab w:val="left" w:pos="-2268"/>
        </w:tabs>
        <w:suppressAutoHyphens/>
        <w:rPr>
          <w:spacing w:val="-3"/>
        </w:rPr>
      </w:pPr>
    </w:p>
    <w:p w14:paraId="274F3AC7" w14:textId="77777777" w:rsidR="002E2AD0" w:rsidRDefault="002E2AD0">
      <w:pPr>
        <w:numPr>
          <w:ilvl w:val="12"/>
          <w:numId w:val="0"/>
        </w:numPr>
        <w:tabs>
          <w:tab w:val="left" w:pos="-2268"/>
        </w:tabs>
        <w:suppressAutoHyphens/>
        <w:rPr>
          <w:spacing w:val="-3"/>
        </w:rPr>
      </w:pPr>
    </w:p>
    <w:p w14:paraId="3414D537" w14:textId="77777777" w:rsidR="002E2AD0" w:rsidRDefault="002E2AD0">
      <w:pPr>
        <w:numPr>
          <w:ilvl w:val="12"/>
          <w:numId w:val="0"/>
        </w:numPr>
        <w:tabs>
          <w:tab w:val="left" w:pos="-2268"/>
        </w:tabs>
        <w:suppressAutoHyphens/>
        <w:rPr>
          <w:spacing w:val="-3"/>
        </w:rPr>
      </w:pPr>
    </w:p>
    <w:p w14:paraId="251E2119" w14:textId="54AB5561" w:rsidR="00CD33DB" w:rsidRPr="004068F6" w:rsidRDefault="00E45CEA" w:rsidP="00E45CEA">
      <w:pPr>
        <w:pStyle w:val="Descripcin"/>
        <w:jc w:val="center"/>
        <w:rPr>
          <w:b w:val="0"/>
          <w:bCs w:val="0"/>
          <w:spacing w:val="-3"/>
        </w:rPr>
      </w:pPr>
      <w:bookmarkStart w:id="2371" w:name="_Ref153817594"/>
      <w:r w:rsidRPr="004068F6">
        <w:lastRenderedPageBreak/>
        <w:t xml:space="preserve">Figura </w:t>
      </w:r>
      <w:fldSimple w:instr=" SEQ Figura \* ARABIC ">
        <w:r w:rsidR="009C4A81">
          <w:rPr>
            <w:noProof/>
          </w:rPr>
          <w:t>3</w:t>
        </w:r>
      </w:fldSimple>
      <w:bookmarkEnd w:id="2371"/>
      <w:r w:rsidR="00CD33DB" w:rsidRPr="004068F6">
        <w:rPr>
          <w:spacing w:val="-3"/>
        </w:rPr>
        <w:t>.</w:t>
      </w:r>
      <w:r w:rsidR="00CD33DB" w:rsidRPr="004068F6">
        <w:rPr>
          <w:b w:val="0"/>
          <w:bCs w:val="0"/>
          <w:spacing w:val="-3"/>
        </w:rPr>
        <w:t xml:space="preserve"> Etapas para el ACB de las alternativas del proyecto</w:t>
      </w:r>
    </w:p>
    <w:p w14:paraId="0FE86F90" w14:textId="57DC52A5" w:rsidR="00CD33DB" w:rsidRPr="004068F6" w:rsidRDefault="00CD33DB" w:rsidP="00CD33DB">
      <w:pPr>
        <w:tabs>
          <w:tab w:val="left" w:pos="-2268"/>
        </w:tabs>
        <w:suppressAutoHyphens/>
        <w:jc w:val="center"/>
        <w:rPr>
          <w:rFonts w:cs="Arial"/>
          <w:spacing w:val="-3"/>
        </w:rPr>
      </w:pPr>
      <w:r w:rsidRPr="00AA2094">
        <w:rPr>
          <w:rFonts w:cs="Arial"/>
          <w:noProof/>
          <w:lang w:eastAsia="es-CO"/>
        </w:rPr>
        <mc:AlternateContent>
          <mc:Choice Requires="wpg">
            <w:drawing>
              <wp:inline distT="0" distB="0" distL="0" distR="0" wp14:anchorId="7461B726" wp14:editId="7D56283E">
                <wp:extent cx="2361063" cy="3998794"/>
                <wp:effectExtent l="0" t="0" r="20320" b="20955"/>
                <wp:docPr id="5" name="Grupo 2"/>
                <wp:cNvGraphicFramePr/>
                <a:graphic xmlns:a="http://schemas.openxmlformats.org/drawingml/2006/main">
                  <a:graphicData uri="http://schemas.microsoft.com/office/word/2010/wordprocessingGroup">
                    <wpg:wgp>
                      <wpg:cNvGrpSpPr/>
                      <wpg:grpSpPr>
                        <a:xfrm>
                          <a:off x="0" y="0"/>
                          <a:ext cx="2361063" cy="3998794"/>
                          <a:chOff x="-29065" y="-91410"/>
                          <a:chExt cx="2543666" cy="5529210"/>
                        </a:xfrm>
                      </wpg:grpSpPr>
                      <wps:wsp>
                        <wps:cNvPr id="6" name="6 Rectángulo"/>
                        <wps:cNvSpPr/>
                        <wps:spPr>
                          <a:xfrm>
                            <a:off x="152386" y="-91410"/>
                            <a:ext cx="2209800" cy="548611"/>
                          </a:xfrm>
                          <a:prstGeom prst="rect">
                            <a:avLst/>
                          </a:prstGeom>
                          <a:ln w="12700">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05B50D4" w14:textId="77777777" w:rsidR="00D55F13" w:rsidRPr="004E4C01" w:rsidRDefault="00D55F13" w:rsidP="00CD33DB">
                              <w:pPr>
                                <w:pStyle w:val="NormalWeb"/>
                                <w:ind w:left="284" w:right="270"/>
                                <w:jc w:val="center"/>
                                <w:rPr>
                                  <w:rFonts w:cs="Arial"/>
                                </w:rPr>
                              </w:pPr>
                              <w:r w:rsidRPr="004E4C01">
                                <w:rPr>
                                  <w:rFonts w:cs="Arial"/>
                                  <w:color w:val="000000" w:themeColor="dark1"/>
                                  <w:kern w:val="24"/>
                                  <w:sz w:val="16"/>
                                  <w:szCs w:val="16"/>
                                </w:rPr>
                                <w:t>Caracterización de alternativas (de la 0 a la n)</w:t>
                              </w:r>
                            </w:p>
                          </w:txbxContent>
                        </wps:txbx>
                        <wps:bodyPr rtlCol="0" anchor="ctr"/>
                      </wps:wsp>
                      <wpg:grpSp>
                        <wpg:cNvPr id="7" name="17 Grupo"/>
                        <wpg:cNvGrpSpPr/>
                        <wpg:grpSpPr>
                          <a:xfrm>
                            <a:off x="304801" y="533401"/>
                            <a:ext cx="2057400" cy="914400"/>
                            <a:chOff x="304801" y="533401"/>
                            <a:chExt cx="1828800" cy="1066800"/>
                          </a:xfrm>
                        </wpg:grpSpPr>
                        <wps:wsp>
                          <wps:cNvPr id="10" name="7 Multidocumento"/>
                          <wps:cNvSpPr/>
                          <wps:spPr>
                            <a:xfrm>
                              <a:off x="304801" y="609601"/>
                              <a:ext cx="1752600" cy="990600"/>
                            </a:xfrm>
                            <a:prstGeom prst="flowChartMultidocument">
                              <a:avLst/>
                            </a:prstGeom>
                            <a:ln w="12700">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55AA124" w14:textId="36661A53" w:rsidR="00D55F13" w:rsidRPr="004E4C01" w:rsidRDefault="00D55F13" w:rsidP="00CD33DB">
                                <w:pPr>
                                  <w:pStyle w:val="NormalWeb"/>
                                  <w:jc w:val="center"/>
                                  <w:rPr>
                                    <w:rFonts w:cs="Arial"/>
                                  </w:rPr>
                                </w:pPr>
                                <w:r w:rsidRPr="004E4C01">
                                  <w:rPr>
                                    <w:rFonts w:cs="Arial"/>
                                    <w:color w:val="000000" w:themeColor="dark1"/>
                                    <w:kern w:val="24"/>
                                    <w:sz w:val="16"/>
                                    <w:szCs w:val="16"/>
                                  </w:rPr>
                                  <w:t>Identificación de impactos significativos</w:t>
                                </w:r>
                              </w:p>
                            </w:txbxContent>
                          </wps:txbx>
                          <wps:bodyPr rtlCol="0" anchor="ctr"/>
                        </wps:wsp>
                        <wps:wsp>
                          <wps:cNvPr id="11" name="13 CuadroTexto"/>
                          <wps:cNvSpPr txBox="1"/>
                          <wps:spPr>
                            <a:xfrm>
                              <a:off x="1752601" y="622757"/>
                              <a:ext cx="228600" cy="215444"/>
                            </a:xfrm>
                            <a:prstGeom prst="rect">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5AA68D23" w14:textId="77777777" w:rsidR="00D55F13" w:rsidRPr="004E4C01" w:rsidRDefault="00D55F13" w:rsidP="00CD33DB">
                                <w:pPr>
                                  <w:pStyle w:val="NormalWeb"/>
                                  <w:rPr>
                                    <w:rFonts w:cs="Arial"/>
                                  </w:rPr>
                                </w:pPr>
                                <w:r w:rsidRPr="004E4C01">
                                  <w:rPr>
                                    <w:rFonts w:cs="Arial"/>
                                    <w:color w:val="000000" w:themeColor="dark1"/>
                                    <w:kern w:val="24"/>
                                    <w:sz w:val="16"/>
                                    <w:szCs w:val="16"/>
                                  </w:rPr>
                                  <w:t>0</w:t>
                                </w:r>
                              </w:p>
                            </w:txbxContent>
                          </wps:txbx>
                          <wps:bodyPr rtlCol="0" anchor="ctr"/>
                        </wps:wsp>
                        <wps:wsp>
                          <wps:cNvPr id="13" name="14 CuadroTexto"/>
                          <wps:cNvSpPr txBox="1"/>
                          <wps:spPr>
                            <a:xfrm>
                              <a:off x="1905001" y="533401"/>
                              <a:ext cx="228600" cy="215444"/>
                            </a:xfrm>
                            <a:prstGeom prst="rect">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79FF653B" w14:textId="77777777" w:rsidR="00D55F13" w:rsidRPr="004E4C01" w:rsidRDefault="00D55F13" w:rsidP="00CD33DB">
                                <w:pPr>
                                  <w:pStyle w:val="NormalWeb"/>
                                  <w:rPr>
                                    <w:rFonts w:cs="Arial"/>
                                  </w:rPr>
                                </w:pPr>
                                <w:r w:rsidRPr="004E4C01">
                                  <w:rPr>
                                    <w:rFonts w:cs="Arial"/>
                                    <w:color w:val="000000" w:themeColor="dark1"/>
                                    <w:kern w:val="24"/>
                                    <w:sz w:val="16"/>
                                    <w:szCs w:val="16"/>
                                  </w:rPr>
                                  <w:t>n</w:t>
                                </w:r>
                              </w:p>
                            </w:txbxContent>
                          </wps:txbx>
                          <wps:bodyPr rtlCol="0" anchor="ctr"/>
                        </wps:wsp>
                      </wpg:grpSp>
                      <wpg:grpSp>
                        <wpg:cNvPr id="14" name="18 Grupo"/>
                        <wpg:cNvGrpSpPr/>
                        <wpg:grpSpPr>
                          <a:xfrm>
                            <a:off x="304801" y="1448926"/>
                            <a:ext cx="2133600" cy="913274"/>
                            <a:chOff x="304801" y="1448926"/>
                            <a:chExt cx="1828800" cy="1066800"/>
                          </a:xfrm>
                        </wpg:grpSpPr>
                        <wps:wsp>
                          <wps:cNvPr id="1" name="19 Multidocumento"/>
                          <wps:cNvSpPr/>
                          <wps:spPr>
                            <a:xfrm>
                              <a:off x="304801" y="1525126"/>
                              <a:ext cx="1752600" cy="990600"/>
                            </a:xfrm>
                            <a:prstGeom prst="flowChartMultidocument">
                              <a:avLst/>
                            </a:prstGeom>
                            <a:ln w="12700">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115D28B" w14:textId="060CA644" w:rsidR="00D55F13" w:rsidRPr="004E4C01" w:rsidRDefault="00D55F13" w:rsidP="00CD33DB">
                                <w:pPr>
                                  <w:pStyle w:val="NormalWeb"/>
                                  <w:jc w:val="center"/>
                                  <w:rPr>
                                    <w:rFonts w:cs="Arial"/>
                                  </w:rPr>
                                </w:pPr>
                                <w:r w:rsidRPr="004E4C01">
                                  <w:rPr>
                                    <w:rFonts w:cs="Arial"/>
                                    <w:color w:val="000000" w:themeColor="dark1"/>
                                    <w:kern w:val="24"/>
                                    <w:sz w:val="16"/>
                                    <w:szCs w:val="16"/>
                                  </w:rPr>
                                  <w:t xml:space="preserve">Cuantificación de los cambios </w:t>
                                </w:r>
                                <w:r w:rsidR="001630E6" w:rsidRPr="004E4C01">
                                  <w:rPr>
                                    <w:rFonts w:cs="Arial"/>
                                    <w:color w:val="000000" w:themeColor="dark1"/>
                                    <w:kern w:val="24"/>
                                    <w:sz w:val="16"/>
                                    <w:szCs w:val="16"/>
                                  </w:rPr>
                                  <w:t>en las unidades biofísicas por componente</w:t>
                                </w:r>
                              </w:p>
                            </w:txbxContent>
                          </wps:txbx>
                          <wps:bodyPr tIns="0" bIns="0" rtlCol="0" anchor="ctr"/>
                        </wps:wsp>
                        <wps:wsp>
                          <wps:cNvPr id="16" name="20 CuadroTexto"/>
                          <wps:cNvSpPr txBox="1"/>
                          <wps:spPr>
                            <a:xfrm>
                              <a:off x="1752601" y="1538282"/>
                              <a:ext cx="228600" cy="215444"/>
                            </a:xfrm>
                            <a:prstGeom prst="rect">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7F943084" w14:textId="77777777" w:rsidR="00D55F13" w:rsidRPr="004E4C01" w:rsidRDefault="00D55F13" w:rsidP="00CD33DB">
                                <w:pPr>
                                  <w:pStyle w:val="NormalWeb"/>
                                  <w:rPr>
                                    <w:rFonts w:cs="Arial"/>
                                  </w:rPr>
                                </w:pPr>
                                <w:r w:rsidRPr="004E4C01">
                                  <w:rPr>
                                    <w:rFonts w:cs="Arial"/>
                                    <w:color w:val="000000" w:themeColor="dark1"/>
                                    <w:kern w:val="24"/>
                                    <w:sz w:val="16"/>
                                    <w:szCs w:val="16"/>
                                  </w:rPr>
                                  <w:t>0</w:t>
                                </w:r>
                              </w:p>
                            </w:txbxContent>
                          </wps:txbx>
                          <wps:bodyPr rtlCol="0" anchor="ctr"/>
                        </wps:wsp>
                        <wps:wsp>
                          <wps:cNvPr id="17" name="21 CuadroTexto"/>
                          <wps:cNvSpPr txBox="1"/>
                          <wps:spPr>
                            <a:xfrm>
                              <a:off x="1905001" y="1448926"/>
                              <a:ext cx="228600" cy="215444"/>
                            </a:xfrm>
                            <a:prstGeom prst="rect">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356F93F9" w14:textId="77777777" w:rsidR="00D55F13" w:rsidRPr="004E4C01" w:rsidRDefault="00D55F13" w:rsidP="00CD33DB">
                                <w:pPr>
                                  <w:pStyle w:val="NormalWeb"/>
                                  <w:rPr>
                                    <w:rFonts w:cs="Arial"/>
                                  </w:rPr>
                                </w:pPr>
                                <w:r w:rsidRPr="004E4C01">
                                  <w:rPr>
                                    <w:rFonts w:cs="Arial"/>
                                    <w:color w:val="000000" w:themeColor="dark1"/>
                                    <w:kern w:val="24"/>
                                    <w:sz w:val="16"/>
                                    <w:szCs w:val="16"/>
                                  </w:rPr>
                                  <w:t>n</w:t>
                                </w:r>
                              </w:p>
                            </w:txbxContent>
                          </wps:txbx>
                          <wps:bodyPr rtlCol="0" anchor="ctr"/>
                        </wps:wsp>
                      </wpg:grpSp>
                      <wpg:grpSp>
                        <wpg:cNvPr id="20" name="24 Grupo"/>
                        <wpg:cNvGrpSpPr/>
                        <wpg:grpSpPr>
                          <a:xfrm>
                            <a:off x="304801" y="2356877"/>
                            <a:ext cx="2057400" cy="1004326"/>
                            <a:chOff x="304801" y="2356875"/>
                            <a:chExt cx="1828800" cy="1066800"/>
                          </a:xfrm>
                        </wpg:grpSpPr>
                        <wps:wsp>
                          <wps:cNvPr id="24" name="25 Multidocumento"/>
                          <wps:cNvSpPr/>
                          <wps:spPr>
                            <a:xfrm>
                              <a:off x="304801" y="2433075"/>
                              <a:ext cx="1752600" cy="990600"/>
                            </a:xfrm>
                            <a:prstGeom prst="flowChartMultidocument">
                              <a:avLst/>
                            </a:prstGeom>
                            <a:ln w="12700">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E55F1CC" w14:textId="2E533674" w:rsidR="00D55F13" w:rsidRPr="004E4C01" w:rsidRDefault="00D55F13" w:rsidP="00CD33DB">
                                <w:pPr>
                                  <w:pStyle w:val="NormalWeb"/>
                                  <w:jc w:val="center"/>
                                  <w:rPr>
                                    <w:rFonts w:cs="Arial"/>
                                  </w:rPr>
                                </w:pPr>
                                <w:r w:rsidRPr="004E4C01">
                                  <w:rPr>
                                    <w:rFonts w:cs="Arial"/>
                                    <w:color w:val="000000" w:themeColor="dark1"/>
                                    <w:kern w:val="24"/>
                                    <w:sz w:val="16"/>
                                    <w:szCs w:val="16"/>
                                  </w:rPr>
                                  <w:t xml:space="preserve">Valoración económica de los cambios en </w:t>
                                </w:r>
                                <w:r w:rsidR="001630E6" w:rsidRPr="004E4C01">
                                  <w:rPr>
                                    <w:rFonts w:cs="Arial"/>
                                    <w:color w:val="000000" w:themeColor="dark1"/>
                                    <w:kern w:val="24"/>
                                    <w:sz w:val="16"/>
                                    <w:szCs w:val="16"/>
                                  </w:rPr>
                                  <w:t>las unidades biofísicas por componente</w:t>
                                </w:r>
                              </w:p>
                            </w:txbxContent>
                          </wps:txbx>
                          <wps:bodyPr tIns="0" bIns="0" rtlCol="0" anchor="ctr"/>
                        </wps:wsp>
                        <wps:wsp>
                          <wps:cNvPr id="25" name="26 CuadroTexto"/>
                          <wps:cNvSpPr txBox="1"/>
                          <wps:spPr>
                            <a:xfrm>
                              <a:off x="1752601" y="2446231"/>
                              <a:ext cx="228600" cy="215444"/>
                            </a:xfrm>
                            <a:prstGeom prst="rect">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544DD9D4" w14:textId="77777777" w:rsidR="00D55F13" w:rsidRPr="004E4C01" w:rsidRDefault="00D55F13" w:rsidP="00CD33DB">
                                <w:pPr>
                                  <w:pStyle w:val="NormalWeb"/>
                                  <w:rPr>
                                    <w:rFonts w:cs="Arial"/>
                                  </w:rPr>
                                </w:pPr>
                                <w:r w:rsidRPr="004E4C01">
                                  <w:rPr>
                                    <w:rFonts w:cs="Arial"/>
                                    <w:color w:val="000000" w:themeColor="dark1"/>
                                    <w:kern w:val="24"/>
                                    <w:sz w:val="16"/>
                                    <w:szCs w:val="16"/>
                                  </w:rPr>
                                  <w:t>0</w:t>
                                </w:r>
                              </w:p>
                            </w:txbxContent>
                          </wps:txbx>
                          <wps:bodyPr rtlCol="0" anchor="ctr"/>
                        </wps:wsp>
                        <wps:wsp>
                          <wps:cNvPr id="26" name="27 CuadroTexto"/>
                          <wps:cNvSpPr txBox="1"/>
                          <wps:spPr>
                            <a:xfrm>
                              <a:off x="1905001" y="2356875"/>
                              <a:ext cx="228600" cy="215444"/>
                            </a:xfrm>
                            <a:prstGeom prst="rect">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2A34355B" w14:textId="77777777" w:rsidR="00D55F13" w:rsidRPr="004E4C01" w:rsidRDefault="00D55F13" w:rsidP="00CD33DB">
                                <w:pPr>
                                  <w:pStyle w:val="NormalWeb"/>
                                  <w:rPr>
                                    <w:rFonts w:cs="Arial"/>
                                  </w:rPr>
                                </w:pPr>
                                <w:r w:rsidRPr="004E4C01">
                                  <w:rPr>
                                    <w:rFonts w:cs="Arial"/>
                                    <w:color w:val="000000" w:themeColor="dark1"/>
                                    <w:kern w:val="24"/>
                                    <w:sz w:val="16"/>
                                    <w:szCs w:val="16"/>
                                  </w:rPr>
                                  <w:t>n</w:t>
                                </w:r>
                              </w:p>
                            </w:txbxContent>
                          </wps:txbx>
                          <wps:bodyPr rtlCol="0" anchor="ctr"/>
                        </wps:wsp>
                      </wpg:grpSp>
                      <wps:wsp>
                        <wps:cNvPr id="27" name="30 Rectángulo"/>
                        <wps:cNvSpPr/>
                        <wps:spPr>
                          <a:xfrm>
                            <a:off x="304801" y="3456600"/>
                            <a:ext cx="2057400" cy="533400"/>
                          </a:xfrm>
                          <a:prstGeom prst="rect">
                            <a:avLst/>
                          </a:prstGeom>
                          <a:ln w="12700">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6E2A571" w14:textId="77777777" w:rsidR="00D55F13" w:rsidRPr="004E4C01" w:rsidRDefault="00D55F13" w:rsidP="00CD33DB">
                              <w:pPr>
                                <w:pStyle w:val="NormalWeb"/>
                                <w:jc w:val="center"/>
                                <w:rPr>
                                  <w:rFonts w:cs="Arial"/>
                                </w:rPr>
                              </w:pPr>
                              <w:r w:rsidRPr="004E4C01">
                                <w:rPr>
                                  <w:rFonts w:cs="Arial"/>
                                  <w:color w:val="000000" w:themeColor="dark1"/>
                                  <w:kern w:val="24"/>
                                  <w:sz w:val="16"/>
                                  <w:szCs w:val="16"/>
                                </w:rPr>
                                <w:t xml:space="preserve">Cálculo y comparación de la relación B/C </w:t>
                              </w:r>
                            </w:p>
                          </w:txbxContent>
                        </wps:txbx>
                        <wps:bodyPr rtlCol="0" anchor="ctr"/>
                      </wps:wsp>
                      <wps:wsp>
                        <wps:cNvPr id="29" name="37 Rectángulo"/>
                        <wps:cNvSpPr/>
                        <wps:spPr>
                          <a:xfrm>
                            <a:off x="304800" y="4170000"/>
                            <a:ext cx="2057401" cy="533400"/>
                          </a:xfrm>
                          <a:prstGeom prst="rect">
                            <a:avLst/>
                          </a:prstGeom>
                          <a:ln w="12700">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4BD90CC" w14:textId="77777777" w:rsidR="00D55F13" w:rsidRPr="004E4C01" w:rsidRDefault="00D55F13" w:rsidP="00CD33DB">
                              <w:pPr>
                                <w:pStyle w:val="NormalWeb"/>
                                <w:jc w:val="center"/>
                                <w:rPr>
                                  <w:rFonts w:cs="Arial"/>
                                </w:rPr>
                              </w:pPr>
                              <w:r w:rsidRPr="004E4C01">
                                <w:rPr>
                                  <w:rFonts w:cs="Arial"/>
                                  <w:color w:val="000000" w:themeColor="dark1"/>
                                  <w:kern w:val="24"/>
                                  <w:sz w:val="16"/>
                                  <w:szCs w:val="16"/>
                                </w:rPr>
                                <w:t>Análisis de sensibilidad e incertidumbres</w:t>
                              </w:r>
                            </w:p>
                          </w:txbxContent>
                        </wps:txbx>
                        <wps:bodyPr rtlCol="0" anchor="ctr"/>
                      </wps:wsp>
                      <wps:wsp>
                        <wps:cNvPr id="31" name="38 Rectángulo"/>
                        <wps:cNvSpPr/>
                        <wps:spPr>
                          <a:xfrm>
                            <a:off x="152401" y="4904400"/>
                            <a:ext cx="2362200" cy="533400"/>
                          </a:xfrm>
                          <a:prstGeom prst="rect">
                            <a:avLst/>
                          </a:prstGeom>
                          <a:ln w="12700">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7E82BFC" w14:textId="77777777" w:rsidR="00D55F13" w:rsidRPr="004E4C01" w:rsidRDefault="00D55F13" w:rsidP="00CD33DB">
                              <w:pPr>
                                <w:pStyle w:val="NormalWeb"/>
                                <w:jc w:val="center"/>
                                <w:rPr>
                                  <w:rFonts w:cs="Arial"/>
                                </w:rPr>
                              </w:pPr>
                              <w:r w:rsidRPr="004E4C01">
                                <w:rPr>
                                  <w:rFonts w:cs="Arial"/>
                                  <w:color w:val="000000" w:themeColor="dark1"/>
                                  <w:kern w:val="24"/>
                                  <w:sz w:val="16"/>
                                  <w:szCs w:val="16"/>
                                </w:rPr>
                                <w:t>Integración de resultados a la selección de alternativas</w:t>
                              </w:r>
                            </w:p>
                          </w:txbxContent>
                        </wps:txbx>
                        <wps:bodyPr rtlCol="0" anchor="ctr"/>
                      </wps:wsp>
                      <wps:wsp>
                        <wps:cNvPr id="2496" name="3 Conector recto de flecha"/>
                        <wps:cNvCnPr/>
                        <wps:spPr>
                          <a:xfrm>
                            <a:off x="1257301" y="465600"/>
                            <a:ext cx="0" cy="1440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97" name="49 Conector recto de flecha"/>
                        <wps:cNvCnPr/>
                        <wps:spPr>
                          <a:xfrm>
                            <a:off x="1381126" y="4703400"/>
                            <a:ext cx="0" cy="1800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98" name="5 Elipse"/>
                        <wps:cNvSpPr/>
                        <wps:spPr>
                          <a:xfrm>
                            <a:off x="1" y="685799"/>
                            <a:ext cx="304800" cy="401761"/>
                          </a:xfrm>
                          <a:prstGeom prst="ellipse">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0F53DB9" w14:textId="77777777" w:rsidR="00D55F13" w:rsidRPr="004E4C01" w:rsidRDefault="00D55F13" w:rsidP="00CD33DB">
                              <w:pPr>
                                <w:pStyle w:val="NormalWeb"/>
                                <w:spacing w:before="0" w:after="0"/>
                                <w:jc w:val="center"/>
                                <w:rPr>
                                  <w:rFonts w:cs="Arial"/>
                                  <w:sz w:val="16"/>
                                  <w:szCs w:val="16"/>
                                </w:rPr>
                              </w:pPr>
                              <w:r w:rsidRPr="004E4C01">
                                <w:rPr>
                                  <w:rFonts w:cs="Arial"/>
                                  <w:b/>
                                  <w:bCs/>
                                  <w:color w:val="000000" w:themeColor="text1"/>
                                  <w:kern w:val="24"/>
                                  <w:sz w:val="16"/>
                                  <w:szCs w:val="16"/>
                                </w:rPr>
                                <w:t>2</w:t>
                              </w:r>
                            </w:p>
                          </w:txbxContent>
                        </wps:txbx>
                        <wps:bodyPr rtlCol="0" anchor="ctr"/>
                      </wps:wsp>
                      <wps:wsp>
                        <wps:cNvPr id="2499" name="50 Elipse"/>
                        <wps:cNvSpPr/>
                        <wps:spPr>
                          <a:xfrm>
                            <a:off x="0" y="25"/>
                            <a:ext cx="304800" cy="412591"/>
                          </a:xfrm>
                          <a:prstGeom prst="ellipse">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25051CB" w14:textId="77777777" w:rsidR="00D55F13" w:rsidRPr="004E4C01" w:rsidRDefault="00D55F13" w:rsidP="00CD33DB">
                              <w:pPr>
                                <w:pStyle w:val="NormalWeb"/>
                                <w:spacing w:before="0" w:after="0"/>
                                <w:jc w:val="center"/>
                                <w:rPr>
                                  <w:rFonts w:cs="Arial"/>
                                  <w:sz w:val="16"/>
                                  <w:szCs w:val="16"/>
                                </w:rPr>
                              </w:pPr>
                              <w:r w:rsidRPr="004E4C01">
                                <w:rPr>
                                  <w:rFonts w:cs="Arial"/>
                                  <w:b/>
                                  <w:bCs/>
                                  <w:color w:val="000000" w:themeColor="text1"/>
                                  <w:kern w:val="24"/>
                                  <w:sz w:val="16"/>
                                  <w:szCs w:val="16"/>
                                </w:rPr>
                                <w:t>1</w:t>
                              </w:r>
                            </w:p>
                          </w:txbxContent>
                        </wps:txbx>
                        <wps:bodyPr rtlCol="0" anchor="ctr"/>
                      </wps:wsp>
                      <wps:wsp>
                        <wps:cNvPr id="2500" name="51 Elipse"/>
                        <wps:cNvSpPr/>
                        <wps:spPr>
                          <a:xfrm>
                            <a:off x="-29063" y="1771867"/>
                            <a:ext cx="343363" cy="391032"/>
                          </a:xfrm>
                          <a:prstGeom prst="ellipse">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1D097D9"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3</w:t>
                              </w:r>
                            </w:p>
                          </w:txbxContent>
                        </wps:txbx>
                        <wps:bodyPr rtlCol="0" anchor="ctr"/>
                      </wps:wsp>
                      <wps:wsp>
                        <wps:cNvPr id="2501" name="52 Elipse"/>
                        <wps:cNvSpPr/>
                        <wps:spPr>
                          <a:xfrm>
                            <a:off x="-29065" y="2468395"/>
                            <a:ext cx="362899" cy="452132"/>
                          </a:xfrm>
                          <a:prstGeom prst="ellipse">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84DD5E4"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4</w:t>
                              </w:r>
                            </w:p>
                          </w:txbxContent>
                        </wps:txbx>
                        <wps:bodyPr rtlCol="0" anchor="ctr"/>
                      </wps:wsp>
                      <wps:wsp>
                        <wps:cNvPr id="2502" name="53 Elipse"/>
                        <wps:cNvSpPr/>
                        <wps:spPr>
                          <a:xfrm>
                            <a:off x="9523" y="3311559"/>
                            <a:ext cx="304800" cy="408110"/>
                          </a:xfrm>
                          <a:prstGeom prst="ellipse">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0F00C3D"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5</w:t>
                              </w:r>
                            </w:p>
                          </w:txbxContent>
                        </wps:txbx>
                        <wps:bodyPr rtlCol="0" anchor="ctr"/>
                      </wps:wsp>
                      <wps:wsp>
                        <wps:cNvPr id="2503" name="54 Elipse"/>
                        <wps:cNvSpPr/>
                        <wps:spPr>
                          <a:xfrm>
                            <a:off x="48440" y="4044746"/>
                            <a:ext cx="304800" cy="379735"/>
                          </a:xfrm>
                          <a:prstGeom prst="ellipse">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E92297D"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6</w:t>
                              </w:r>
                            </w:p>
                          </w:txbxContent>
                        </wps:txbx>
                        <wps:bodyPr rtlCol="0" anchor="ctr"/>
                      </wps:wsp>
                      <wps:wsp>
                        <wps:cNvPr id="2504" name="55 Elipse"/>
                        <wps:cNvSpPr/>
                        <wps:spPr>
                          <a:xfrm>
                            <a:off x="-2" y="4667954"/>
                            <a:ext cx="304800" cy="368822"/>
                          </a:xfrm>
                          <a:prstGeom prst="ellipse">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A6EE479"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7</w:t>
                              </w:r>
                            </w:p>
                          </w:txbxContent>
                        </wps:txbx>
                        <wps:bodyPr rtlCol="0" anchor="ctr"/>
                      </wps:wsp>
                      <wps:wsp>
                        <wps:cNvPr id="2505" name="56 Conector recto de flecha"/>
                        <wps:cNvCnPr/>
                        <wps:spPr>
                          <a:xfrm>
                            <a:off x="1309688" y="1371600"/>
                            <a:ext cx="0" cy="1440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6" name="57 Conector recto de flecha"/>
                        <wps:cNvCnPr/>
                        <wps:spPr>
                          <a:xfrm>
                            <a:off x="1347788" y="2286000"/>
                            <a:ext cx="0" cy="1440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7" name="60 Conector recto de flecha"/>
                        <wps:cNvCnPr/>
                        <wps:spPr>
                          <a:xfrm>
                            <a:off x="1395413" y="3990000"/>
                            <a:ext cx="0" cy="1800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8" name="32 Conector recto de flecha"/>
                        <wps:cNvCnPr/>
                        <wps:spPr>
                          <a:xfrm>
                            <a:off x="1395413" y="3276600"/>
                            <a:ext cx="0" cy="1800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61B726" id="Grupo 2" o:spid="_x0000_s1081" style="width:185.9pt;height:314.85pt;mso-position-horizontal-relative:char;mso-position-vertical-relative:line" coordorigin="-290,-914" coordsize="25436,5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">
                <v:rect id="6 Rectángulo" o:spid="_x0000_s1082" style="position:absolute;left:1523;top:-914;width:2209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" fillcolor="white [3201]" strokecolor="#c4bc96 [2414]" strokeweight="1pt">
                  <v:textbox>
                    <w:txbxContent>
                      <w:p w14:paraId="105B50D4" w14:textId="77777777" w:rsidR="00D55F13" w:rsidRPr="004E4C01" w:rsidRDefault="00D55F13" w:rsidP="00CD33DB">
                        <w:pPr>
                          <w:pStyle w:val="NormalWeb"/>
                          <w:ind w:left="284" w:right="270"/>
                          <w:jc w:val="center"/>
                          <w:rPr>
                            <w:rFonts w:cs="Arial"/>
                          </w:rPr>
                        </w:pPr>
                        <w:r w:rsidRPr="004E4C01">
                          <w:rPr>
                            <w:rFonts w:cs="Arial"/>
                            <w:color w:val="000000" w:themeColor="dark1"/>
                            <w:kern w:val="24"/>
                            <w:sz w:val="16"/>
                            <w:szCs w:val="16"/>
                          </w:rPr>
                          <w:t>Caracterización de alternativas (de la 0 a la n)</w:t>
                        </w:r>
                      </w:p>
                    </w:txbxContent>
                  </v:textbox>
                </v:rect>
                <v:group id="17 Grupo" o:spid="_x0000_s1083" style="position:absolute;left:3048;top:5334;width:20574;height:9144" coordorigin="3048,5334"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7 Multidocumento" o:spid="_x0000_s1084" type="#_x0000_t115" style="position:absolute;left:3048;top:6096;width:1752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" fillcolor="white [3201]" strokecolor="#c4bc96 [2414]" strokeweight="1pt">
                    <v:textbox>
                      <w:txbxContent>
                        <w:p w14:paraId="055AA124" w14:textId="36661A53" w:rsidR="00D55F13" w:rsidRPr="004E4C01" w:rsidRDefault="00D55F13" w:rsidP="00CD33DB">
                          <w:pPr>
                            <w:pStyle w:val="NormalWeb"/>
                            <w:jc w:val="center"/>
                            <w:rPr>
                              <w:rFonts w:cs="Arial"/>
                            </w:rPr>
                          </w:pPr>
                          <w:r w:rsidRPr="004E4C01">
                            <w:rPr>
                              <w:rFonts w:cs="Arial"/>
                              <w:color w:val="000000" w:themeColor="dark1"/>
                              <w:kern w:val="24"/>
                              <w:sz w:val="16"/>
                              <w:szCs w:val="16"/>
                            </w:rPr>
                            <w:t>Identificación de impactos significativos</w:t>
                          </w:r>
                        </w:p>
                      </w:txbxContent>
                    </v:textbox>
                  </v:shape>
                  <v:shape id="13 CuadroTexto" o:spid="_x0000_s1085" type="#_x0000_t202" style="position:absolute;left:17526;top:6227;width:228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" filled="f" stroked="f" strokeweight="1pt">
                    <v:textbox>
                      <w:txbxContent>
                        <w:p w14:paraId="5AA68D23" w14:textId="77777777" w:rsidR="00D55F13" w:rsidRPr="004E4C01" w:rsidRDefault="00D55F13" w:rsidP="00CD33DB">
                          <w:pPr>
                            <w:pStyle w:val="NormalWeb"/>
                            <w:rPr>
                              <w:rFonts w:cs="Arial"/>
                            </w:rPr>
                          </w:pPr>
                          <w:r w:rsidRPr="004E4C01">
                            <w:rPr>
                              <w:rFonts w:cs="Arial"/>
                              <w:color w:val="000000" w:themeColor="dark1"/>
                              <w:kern w:val="24"/>
                              <w:sz w:val="16"/>
                              <w:szCs w:val="16"/>
                            </w:rPr>
                            <w:t>0</w:t>
                          </w:r>
                        </w:p>
                      </w:txbxContent>
                    </v:textbox>
                  </v:shape>
                  <v:shape id="14 CuadroTexto" o:spid="_x0000_s1086" type="#_x0000_t202" style="position:absolute;left:19050;top:5334;width:2286;height:2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" filled="f" stroked="f" strokeweight="1pt">
                    <v:textbox>
                      <w:txbxContent>
                        <w:p w14:paraId="79FF653B" w14:textId="77777777" w:rsidR="00D55F13" w:rsidRPr="004E4C01" w:rsidRDefault="00D55F13" w:rsidP="00CD33DB">
                          <w:pPr>
                            <w:pStyle w:val="NormalWeb"/>
                            <w:rPr>
                              <w:rFonts w:cs="Arial"/>
                            </w:rPr>
                          </w:pPr>
                          <w:r w:rsidRPr="004E4C01">
                            <w:rPr>
                              <w:rFonts w:cs="Arial"/>
                              <w:color w:val="000000" w:themeColor="dark1"/>
                              <w:kern w:val="24"/>
                              <w:sz w:val="16"/>
                              <w:szCs w:val="16"/>
                            </w:rPr>
                            <w:t>n</w:t>
                          </w:r>
                        </w:p>
                      </w:txbxContent>
                    </v:textbox>
                  </v:shape>
                </v:group>
                <v:group id="18 Grupo" o:spid="_x0000_s1087" style="position:absolute;left:3048;top:14489;width:21336;height:9133" coordorigin="3048,14489"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19 Multidocumento" o:spid="_x0000_s1088" type="#_x0000_t115" style="position:absolute;left:3048;top:15251;width:1752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" fillcolor="white [3201]" strokecolor="#c4bc96 [2414]" strokeweight="1pt">
                    <v:textbox inset=",0,,0">
                      <w:txbxContent>
                        <w:p w14:paraId="6115D28B" w14:textId="060CA644" w:rsidR="00D55F13" w:rsidRPr="004E4C01" w:rsidRDefault="00D55F13" w:rsidP="00CD33DB">
                          <w:pPr>
                            <w:pStyle w:val="NormalWeb"/>
                            <w:jc w:val="center"/>
                            <w:rPr>
                              <w:rFonts w:cs="Arial"/>
                            </w:rPr>
                          </w:pPr>
                          <w:r w:rsidRPr="004E4C01">
                            <w:rPr>
                              <w:rFonts w:cs="Arial"/>
                              <w:color w:val="000000" w:themeColor="dark1"/>
                              <w:kern w:val="24"/>
                              <w:sz w:val="16"/>
                              <w:szCs w:val="16"/>
                            </w:rPr>
                            <w:t xml:space="preserve">Cuantificación de los cambios </w:t>
                          </w:r>
                          <w:r w:rsidR="001630E6" w:rsidRPr="004E4C01">
                            <w:rPr>
                              <w:rFonts w:cs="Arial"/>
                              <w:color w:val="000000" w:themeColor="dark1"/>
                              <w:kern w:val="24"/>
                              <w:sz w:val="16"/>
                              <w:szCs w:val="16"/>
                            </w:rPr>
                            <w:t>en las unidades biofísicas por componente</w:t>
                          </w:r>
                        </w:p>
                      </w:txbxContent>
                    </v:textbox>
                  </v:shape>
                  <v:shape id="20 CuadroTexto" o:spid="_x0000_s1089" type="#_x0000_t202" style="position:absolute;left:17526;top:15382;width:228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" filled="f" stroked="f" strokeweight="1pt">
                    <v:textbox>
                      <w:txbxContent>
                        <w:p w14:paraId="7F943084" w14:textId="77777777" w:rsidR="00D55F13" w:rsidRPr="004E4C01" w:rsidRDefault="00D55F13" w:rsidP="00CD33DB">
                          <w:pPr>
                            <w:pStyle w:val="NormalWeb"/>
                            <w:rPr>
                              <w:rFonts w:cs="Arial"/>
                            </w:rPr>
                          </w:pPr>
                          <w:r w:rsidRPr="004E4C01">
                            <w:rPr>
                              <w:rFonts w:cs="Arial"/>
                              <w:color w:val="000000" w:themeColor="dark1"/>
                              <w:kern w:val="24"/>
                              <w:sz w:val="16"/>
                              <w:szCs w:val="16"/>
                            </w:rPr>
                            <w:t>0</w:t>
                          </w:r>
                        </w:p>
                      </w:txbxContent>
                    </v:textbox>
                  </v:shape>
                  <v:shape id="21 CuadroTexto" o:spid="_x0000_s1090" type="#_x0000_t202" style="position:absolute;left:19050;top:14489;width:2286;height:2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" filled="f" stroked="f" strokeweight="1pt">
                    <v:textbox>
                      <w:txbxContent>
                        <w:p w14:paraId="356F93F9" w14:textId="77777777" w:rsidR="00D55F13" w:rsidRPr="004E4C01" w:rsidRDefault="00D55F13" w:rsidP="00CD33DB">
                          <w:pPr>
                            <w:pStyle w:val="NormalWeb"/>
                            <w:rPr>
                              <w:rFonts w:cs="Arial"/>
                            </w:rPr>
                          </w:pPr>
                          <w:r w:rsidRPr="004E4C01">
                            <w:rPr>
                              <w:rFonts w:cs="Arial"/>
                              <w:color w:val="000000" w:themeColor="dark1"/>
                              <w:kern w:val="24"/>
                              <w:sz w:val="16"/>
                              <w:szCs w:val="16"/>
                            </w:rPr>
                            <w:t>n</w:t>
                          </w:r>
                        </w:p>
                      </w:txbxContent>
                    </v:textbox>
                  </v:shape>
                </v:group>
                <v:group id="24 Grupo" o:spid="_x0000_s1091" style="position:absolute;left:3048;top:23568;width:20574;height:10044" coordorigin="3048,23568"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25 Multidocumento" o:spid="_x0000_s1092" type="#_x0000_t115" style="position:absolute;left:3048;top:24330;width:1752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" fillcolor="white [3201]" strokecolor="#c4bc96 [2414]" strokeweight="1pt">
                    <v:textbox inset=",0,,0">
                      <w:txbxContent>
                        <w:p w14:paraId="6E55F1CC" w14:textId="2E533674" w:rsidR="00D55F13" w:rsidRPr="004E4C01" w:rsidRDefault="00D55F13" w:rsidP="00CD33DB">
                          <w:pPr>
                            <w:pStyle w:val="NormalWeb"/>
                            <w:jc w:val="center"/>
                            <w:rPr>
                              <w:rFonts w:cs="Arial"/>
                            </w:rPr>
                          </w:pPr>
                          <w:r w:rsidRPr="004E4C01">
                            <w:rPr>
                              <w:rFonts w:cs="Arial"/>
                              <w:color w:val="000000" w:themeColor="dark1"/>
                              <w:kern w:val="24"/>
                              <w:sz w:val="16"/>
                              <w:szCs w:val="16"/>
                            </w:rPr>
                            <w:t xml:space="preserve">Valoración económica de los cambios en </w:t>
                          </w:r>
                          <w:r w:rsidR="001630E6" w:rsidRPr="004E4C01">
                            <w:rPr>
                              <w:rFonts w:cs="Arial"/>
                              <w:color w:val="000000" w:themeColor="dark1"/>
                              <w:kern w:val="24"/>
                              <w:sz w:val="16"/>
                              <w:szCs w:val="16"/>
                            </w:rPr>
                            <w:t>las unidades biofísicas por componente</w:t>
                          </w:r>
                        </w:p>
                      </w:txbxContent>
                    </v:textbox>
                  </v:shape>
                  <v:shape id="26 CuadroTexto" o:spid="_x0000_s1093" type="#_x0000_t202" style="position:absolute;left:17526;top:24462;width:2286;height:2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" filled="f" stroked="f" strokeweight="1pt">
                    <v:textbox>
                      <w:txbxContent>
                        <w:p w14:paraId="544DD9D4" w14:textId="77777777" w:rsidR="00D55F13" w:rsidRPr="004E4C01" w:rsidRDefault="00D55F13" w:rsidP="00CD33DB">
                          <w:pPr>
                            <w:pStyle w:val="NormalWeb"/>
                            <w:rPr>
                              <w:rFonts w:cs="Arial"/>
                            </w:rPr>
                          </w:pPr>
                          <w:r w:rsidRPr="004E4C01">
                            <w:rPr>
                              <w:rFonts w:cs="Arial"/>
                              <w:color w:val="000000" w:themeColor="dark1"/>
                              <w:kern w:val="24"/>
                              <w:sz w:val="16"/>
                              <w:szCs w:val="16"/>
                            </w:rPr>
                            <w:t>0</w:t>
                          </w:r>
                        </w:p>
                      </w:txbxContent>
                    </v:textbox>
                  </v:shape>
                  <v:shape id="27 CuadroTexto" o:spid="_x0000_s1094" type="#_x0000_t202" style="position:absolute;left:19050;top:23568;width:228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" filled="f" stroked="f" strokeweight="1pt">
                    <v:textbox>
                      <w:txbxContent>
                        <w:p w14:paraId="2A34355B" w14:textId="77777777" w:rsidR="00D55F13" w:rsidRPr="004E4C01" w:rsidRDefault="00D55F13" w:rsidP="00CD33DB">
                          <w:pPr>
                            <w:pStyle w:val="NormalWeb"/>
                            <w:rPr>
                              <w:rFonts w:cs="Arial"/>
                            </w:rPr>
                          </w:pPr>
                          <w:r w:rsidRPr="004E4C01">
                            <w:rPr>
                              <w:rFonts w:cs="Arial"/>
                              <w:color w:val="000000" w:themeColor="dark1"/>
                              <w:kern w:val="24"/>
                              <w:sz w:val="16"/>
                              <w:szCs w:val="16"/>
                            </w:rPr>
                            <w:t>n</w:t>
                          </w:r>
                        </w:p>
                      </w:txbxContent>
                    </v:textbox>
                  </v:shape>
                </v:group>
                <v:rect id="30 Rectángulo" o:spid="_x0000_s1095" style="position:absolute;left:3048;top:34566;width:2057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" fillcolor="white [3201]" strokecolor="#c4bc96 [2414]" strokeweight="1pt">
                  <v:textbox>
                    <w:txbxContent>
                      <w:p w14:paraId="16E2A571" w14:textId="77777777" w:rsidR="00D55F13" w:rsidRPr="004E4C01" w:rsidRDefault="00D55F13" w:rsidP="00CD33DB">
                        <w:pPr>
                          <w:pStyle w:val="NormalWeb"/>
                          <w:jc w:val="center"/>
                          <w:rPr>
                            <w:rFonts w:cs="Arial"/>
                          </w:rPr>
                        </w:pPr>
                        <w:r w:rsidRPr="004E4C01">
                          <w:rPr>
                            <w:rFonts w:cs="Arial"/>
                            <w:color w:val="000000" w:themeColor="dark1"/>
                            <w:kern w:val="24"/>
                            <w:sz w:val="16"/>
                            <w:szCs w:val="16"/>
                          </w:rPr>
                          <w:t xml:space="preserve">Cálculo y comparación de la relación B/C </w:t>
                        </w:r>
                      </w:p>
                    </w:txbxContent>
                  </v:textbox>
                </v:rect>
                <v:rect id="37 Rectángulo" o:spid="_x0000_s1096" style="position:absolute;left:3048;top:41700;width:2057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" fillcolor="white [3201]" strokecolor="#c4bc96 [2414]" strokeweight="1pt">
                  <v:textbox>
                    <w:txbxContent>
                      <w:p w14:paraId="44BD90CC" w14:textId="77777777" w:rsidR="00D55F13" w:rsidRPr="004E4C01" w:rsidRDefault="00D55F13" w:rsidP="00CD33DB">
                        <w:pPr>
                          <w:pStyle w:val="NormalWeb"/>
                          <w:jc w:val="center"/>
                          <w:rPr>
                            <w:rFonts w:cs="Arial"/>
                          </w:rPr>
                        </w:pPr>
                        <w:r w:rsidRPr="004E4C01">
                          <w:rPr>
                            <w:rFonts w:cs="Arial"/>
                            <w:color w:val="000000" w:themeColor="dark1"/>
                            <w:kern w:val="24"/>
                            <w:sz w:val="16"/>
                            <w:szCs w:val="16"/>
                          </w:rPr>
                          <w:t>Análisis de sensibilidad e incertidumbres</w:t>
                        </w:r>
                      </w:p>
                    </w:txbxContent>
                  </v:textbox>
                </v:rect>
                <v:rect id="38 Rectángulo" o:spid="_x0000_s1097" style="position:absolute;left:1524;top:49044;width:2362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" fillcolor="white [3201]" strokecolor="#c4bc96 [2414]" strokeweight="1pt">
                  <v:textbox>
                    <w:txbxContent>
                      <w:p w14:paraId="47E82BFC" w14:textId="77777777" w:rsidR="00D55F13" w:rsidRPr="004E4C01" w:rsidRDefault="00D55F13" w:rsidP="00CD33DB">
                        <w:pPr>
                          <w:pStyle w:val="NormalWeb"/>
                          <w:jc w:val="center"/>
                          <w:rPr>
                            <w:rFonts w:cs="Arial"/>
                          </w:rPr>
                        </w:pPr>
                        <w:r w:rsidRPr="004E4C01">
                          <w:rPr>
                            <w:rFonts w:cs="Arial"/>
                            <w:color w:val="000000" w:themeColor="dark1"/>
                            <w:kern w:val="24"/>
                            <w:sz w:val="16"/>
                            <w:szCs w:val="16"/>
                          </w:rPr>
                          <w:t>Integración de resultados a la selección de alternativas</w:t>
                        </w:r>
                      </w:p>
                    </w:txbxContent>
                  </v:textbox>
                </v:rect>
                <v:shape id="3 Conector recto de flecha" o:spid="_x0000_s1098" type="#_x0000_t32" style="position:absolute;left:12573;top:4656;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" strokecolor="black [3213]" strokeweight="1.5pt">
                  <v:stroke endarrow="block"/>
                </v:shape>
                <v:shape id="49 Conector recto de flecha" o:spid="_x0000_s1099" type="#_x0000_t32" style="position:absolute;left:13811;top:47034;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" strokecolor="black [3213]" strokeweight="1.5pt">
                  <v:stroke endarrow="block"/>
                </v:shape>
                <v:oval id="5 Elipse" o:spid="_x0000_s1100" style="position:absolute;top:6857;width:3048;height:4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" fillcolor="white [3212]" strokecolor="#243f60 [1604]" strokeweight="1.5pt">
                  <v:textbox>
                    <w:txbxContent>
                      <w:p w14:paraId="70F53DB9" w14:textId="77777777" w:rsidR="00D55F13" w:rsidRPr="004E4C01" w:rsidRDefault="00D55F13" w:rsidP="00CD33DB">
                        <w:pPr>
                          <w:pStyle w:val="NormalWeb"/>
                          <w:spacing w:before="0" w:after="0"/>
                          <w:jc w:val="center"/>
                          <w:rPr>
                            <w:rFonts w:cs="Arial"/>
                            <w:sz w:val="16"/>
                            <w:szCs w:val="16"/>
                          </w:rPr>
                        </w:pPr>
                        <w:r w:rsidRPr="004E4C01">
                          <w:rPr>
                            <w:rFonts w:cs="Arial"/>
                            <w:b/>
                            <w:bCs/>
                            <w:color w:val="000000" w:themeColor="text1"/>
                            <w:kern w:val="24"/>
                            <w:sz w:val="16"/>
                            <w:szCs w:val="16"/>
                          </w:rPr>
                          <w:t>2</w:t>
                        </w:r>
                      </w:p>
                    </w:txbxContent>
                  </v:textbox>
                </v:oval>
                <v:oval id="50 Elipse" o:spid="_x0000_s1101" style="position:absolute;width:3048;height:4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" fillcolor="white [3212]" strokecolor="#243f60 [1604]" strokeweight="1.5pt">
                  <v:textbox>
                    <w:txbxContent>
                      <w:p w14:paraId="425051CB" w14:textId="77777777" w:rsidR="00D55F13" w:rsidRPr="004E4C01" w:rsidRDefault="00D55F13" w:rsidP="00CD33DB">
                        <w:pPr>
                          <w:pStyle w:val="NormalWeb"/>
                          <w:spacing w:before="0" w:after="0"/>
                          <w:jc w:val="center"/>
                          <w:rPr>
                            <w:rFonts w:cs="Arial"/>
                            <w:sz w:val="16"/>
                            <w:szCs w:val="16"/>
                          </w:rPr>
                        </w:pPr>
                        <w:r w:rsidRPr="004E4C01">
                          <w:rPr>
                            <w:rFonts w:cs="Arial"/>
                            <w:b/>
                            <w:bCs/>
                            <w:color w:val="000000" w:themeColor="text1"/>
                            <w:kern w:val="24"/>
                            <w:sz w:val="16"/>
                            <w:szCs w:val="16"/>
                          </w:rPr>
                          <w:t>1</w:t>
                        </w:r>
                      </w:p>
                    </w:txbxContent>
                  </v:textbox>
                </v:oval>
                <v:oval id="51 Elipse" o:spid="_x0000_s1102" style="position:absolute;left:-290;top:17718;width:3433;height:3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" fillcolor="white [3212]" strokecolor="#243f60 [1604]" strokeweight="1.5pt">
                  <v:textbox>
                    <w:txbxContent>
                      <w:p w14:paraId="31D097D9"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3</w:t>
                        </w:r>
                      </w:p>
                    </w:txbxContent>
                  </v:textbox>
                </v:oval>
                <v:oval id="52 Elipse" o:spid="_x0000_s1103" style="position:absolute;left:-290;top:24683;width:3628;height:4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" fillcolor="white [3212]" strokecolor="#243f60 [1604]" strokeweight="1.5pt">
                  <v:textbox>
                    <w:txbxContent>
                      <w:p w14:paraId="784DD5E4"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4</w:t>
                        </w:r>
                      </w:p>
                    </w:txbxContent>
                  </v:textbox>
                </v:oval>
                <v:oval id="53 Elipse" o:spid="_x0000_s1104" style="position:absolute;left:95;top:33115;width:3048;height:4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" fillcolor="white [3212]" strokecolor="#243f60 [1604]" strokeweight="1.5pt">
                  <v:textbox>
                    <w:txbxContent>
                      <w:p w14:paraId="50F00C3D"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5</w:t>
                        </w:r>
                      </w:p>
                    </w:txbxContent>
                  </v:textbox>
                </v:oval>
                <v:oval id="54 Elipse" o:spid="_x0000_s1105" style="position:absolute;left:484;top:40447;width:3048;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" fillcolor="white [3212]" strokecolor="#243f60 [1604]" strokeweight="1.5pt">
                  <v:textbox>
                    <w:txbxContent>
                      <w:p w14:paraId="6E92297D"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6</w:t>
                        </w:r>
                      </w:p>
                    </w:txbxContent>
                  </v:textbox>
                </v:oval>
                <v:oval id="55 Elipse" o:spid="_x0000_s1106" style="position:absolute;top:46679;width:3047;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" fillcolor="white [3212]" strokecolor="#243f60 [1604]" strokeweight="1.5pt">
                  <v:textbox>
                    <w:txbxContent>
                      <w:p w14:paraId="7A6EE479" w14:textId="77777777" w:rsidR="00D55F13" w:rsidRPr="004E4C01" w:rsidRDefault="00D55F13" w:rsidP="00CD33DB">
                        <w:pPr>
                          <w:pStyle w:val="NormalWeb"/>
                          <w:spacing w:before="0" w:after="0"/>
                          <w:jc w:val="center"/>
                          <w:rPr>
                            <w:rFonts w:cs="Arial"/>
                          </w:rPr>
                        </w:pPr>
                        <w:r w:rsidRPr="004E4C01">
                          <w:rPr>
                            <w:rFonts w:cs="Arial"/>
                            <w:b/>
                            <w:bCs/>
                            <w:color w:val="000000" w:themeColor="text1"/>
                            <w:kern w:val="24"/>
                            <w:sz w:val="16"/>
                            <w:szCs w:val="16"/>
                          </w:rPr>
                          <w:t>7</w:t>
                        </w:r>
                      </w:p>
                    </w:txbxContent>
                  </v:textbox>
                </v:oval>
                <v:shape id="56 Conector recto de flecha" o:spid="_x0000_s1107" type="#_x0000_t32" style="position:absolute;left:13096;top:13716;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" strokecolor="black [3213]" strokeweight="1.5pt">
                  <v:stroke endarrow="block"/>
                </v:shape>
                <v:shape id="57 Conector recto de flecha" o:spid="_x0000_s1108" type="#_x0000_t32" style="position:absolute;left:13477;top:22860;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" strokecolor="black [3213]" strokeweight="1.5pt">
                  <v:stroke endarrow="block"/>
                </v:shape>
                <v:shape id="60 Conector recto de flecha" o:spid="_x0000_s1109" type="#_x0000_t32" style="position:absolute;left:13954;top:399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" strokecolor="black [3213]" strokeweight="1.5pt">
                  <v:stroke endarrow="block"/>
                </v:shape>
                <v:shape id="32 Conector recto de flecha" o:spid="_x0000_s1110" type="#_x0000_t32" style="position:absolute;left:13954;top:32766;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" strokecolor="black [3213]" strokeweight="1.5pt">
                  <v:stroke endarrow="block"/>
                </v:shape>
                <w10:anchorlock/>
              </v:group>
            </w:pict>
          </mc:Fallback>
        </mc:AlternateContent>
      </w:r>
    </w:p>
    <w:p w14:paraId="630C929F" w14:textId="5932ECCA" w:rsidR="00CD33DB" w:rsidRPr="004068F6" w:rsidRDefault="00CD33DB" w:rsidP="00CD33DB">
      <w:pPr>
        <w:numPr>
          <w:ilvl w:val="12"/>
          <w:numId w:val="0"/>
        </w:numPr>
        <w:tabs>
          <w:tab w:val="left" w:pos="-2268"/>
        </w:tabs>
        <w:suppressAutoHyphens/>
        <w:jc w:val="center"/>
        <w:rPr>
          <w:spacing w:val="-3"/>
          <w:sz w:val="20"/>
        </w:rPr>
      </w:pPr>
      <w:r w:rsidRPr="004068F6">
        <w:rPr>
          <w:b/>
          <w:spacing w:val="-3"/>
          <w:sz w:val="20"/>
        </w:rPr>
        <w:t>Fuente:</w:t>
      </w:r>
      <w:r w:rsidRPr="004068F6">
        <w:rPr>
          <w:spacing w:val="-3"/>
          <w:sz w:val="20"/>
        </w:rPr>
        <w:t xml:space="preserve"> </w:t>
      </w:r>
      <w:r w:rsidR="0084448E" w:rsidRPr="004068F6">
        <w:rPr>
          <w:rFonts w:cs="Arial"/>
          <w:spacing w:val="-3"/>
          <w:sz w:val="20"/>
        </w:rPr>
        <w:t>ANLA</w:t>
      </w:r>
      <w:r w:rsidR="00067514" w:rsidRPr="004068F6">
        <w:rPr>
          <w:rFonts w:cs="Arial"/>
          <w:spacing w:val="-3"/>
          <w:sz w:val="20"/>
        </w:rPr>
        <w:t>.</w:t>
      </w:r>
      <w:r w:rsidR="0084448E" w:rsidRPr="004068F6">
        <w:rPr>
          <w:rFonts w:cs="Arial"/>
          <w:spacing w:val="-3"/>
          <w:sz w:val="20"/>
        </w:rPr>
        <w:t xml:space="preserve"> </w:t>
      </w:r>
      <w:r w:rsidRPr="004068F6">
        <w:rPr>
          <w:spacing w:val="-3"/>
          <w:sz w:val="20"/>
        </w:rPr>
        <w:t>Grupo de Instrumentos</w:t>
      </w:r>
      <w:r w:rsidR="00067514" w:rsidRPr="004068F6">
        <w:rPr>
          <w:rFonts w:cs="Arial"/>
          <w:spacing w:val="-3"/>
          <w:sz w:val="20"/>
        </w:rPr>
        <w:t xml:space="preserve"> -</w:t>
      </w:r>
      <w:r w:rsidRPr="004068F6">
        <w:rPr>
          <w:rFonts w:cs="Arial"/>
          <w:spacing w:val="-3"/>
          <w:sz w:val="20"/>
        </w:rPr>
        <w:t xml:space="preserve"> </w:t>
      </w:r>
      <w:r w:rsidRPr="004068F6">
        <w:rPr>
          <w:spacing w:val="-3"/>
          <w:sz w:val="20"/>
        </w:rPr>
        <w:t>20</w:t>
      </w:r>
      <w:r w:rsidR="001630E6" w:rsidRPr="004068F6">
        <w:rPr>
          <w:spacing w:val="-3"/>
          <w:sz w:val="20"/>
        </w:rPr>
        <w:t>25</w:t>
      </w:r>
      <w:r w:rsidRPr="004068F6">
        <w:rPr>
          <w:spacing w:val="-3"/>
          <w:sz w:val="20"/>
        </w:rPr>
        <w:t>.</w:t>
      </w:r>
    </w:p>
    <w:p w14:paraId="477C8EEA" w14:textId="77777777" w:rsidR="00E97D60" w:rsidRDefault="00E97D60" w:rsidP="00C86DA5">
      <w:pPr>
        <w:overflowPunct/>
        <w:autoSpaceDE/>
        <w:autoSpaceDN/>
        <w:adjustRightInd/>
        <w:jc w:val="left"/>
        <w:textAlignment w:val="auto"/>
        <w:rPr>
          <w:spacing w:val="-3"/>
        </w:rPr>
      </w:pPr>
    </w:p>
    <w:p w14:paraId="617E3E13" w14:textId="77777777" w:rsidR="00DF6D4D" w:rsidRPr="004068F6" w:rsidRDefault="00DF6D4D" w:rsidP="00C86DA5">
      <w:pPr>
        <w:overflowPunct/>
        <w:autoSpaceDE/>
        <w:autoSpaceDN/>
        <w:adjustRightInd/>
        <w:jc w:val="left"/>
        <w:textAlignment w:val="auto"/>
        <w:rPr>
          <w:spacing w:val="-3"/>
        </w:rPr>
      </w:pPr>
    </w:p>
    <w:p w14:paraId="7D83B6F4" w14:textId="13F480DF" w:rsidR="000F2600" w:rsidRPr="004068F6" w:rsidRDefault="00847C7B" w:rsidP="00CB4557">
      <w:pPr>
        <w:pStyle w:val="Ttulo1"/>
        <w:numPr>
          <w:ilvl w:val="0"/>
          <w:numId w:val="8"/>
        </w:numPr>
        <w:rPr>
          <w:lang w:val="es-CO"/>
        </w:rPr>
      </w:pPr>
      <w:bookmarkStart w:id="2372" w:name="_Toc437935997"/>
      <w:bookmarkStart w:id="2373" w:name="_Ref150507458"/>
      <w:bookmarkStart w:id="2374" w:name="_Toc230879609"/>
      <w:r w:rsidRPr="004068F6">
        <w:rPr>
          <w:lang w:val="es-CO"/>
        </w:rPr>
        <w:t xml:space="preserve">EVALUACIÓN </w:t>
      </w:r>
      <w:r w:rsidR="00891BB5" w:rsidRPr="004068F6">
        <w:rPr>
          <w:lang w:val="es-CO"/>
        </w:rPr>
        <w:t xml:space="preserve">Y COMPARACIÓN </w:t>
      </w:r>
      <w:r w:rsidR="000F2600" w:rsidRPr="004068F6">
        <w:rPr>
          <w:lang w:val="es-CO"/>
        </w:rPr>
        <w:t>DE ALTERNATIVAS</w:t>
      </w:r>
      <w:bookmarkEnd w:id="2372"/>
      <w:bookmarkEnd w:id="2373"/>
      <w:bookmarkEnd w:id="2374"/>
    </w:p>
    <w:p w14:paraId="410EAE2B" w14:textId="77777777" w:rsidR="000F2600" w:rsidRPr="004068F6" w:rsidRDefault="000F2600">
      <w:pPr>
        <w:numPr>
          <w:ilvl w:val="12"/>
          <w:numId w:val="0"/>
        </w:numPr>
        <w:tabs>
          <w:tab w:val="left" w:pos="-2268"/>
        </w:tabs>
        <w:suppressAutoHyphens/>
        <w:rPr>
          <w:spacing w:val="-3"/>
        </w:rPr>
      </w:pPr>
    </w:p>
    <w:p w14:paraId="47DB1BBD" w14:textId="7C23F82B" w:rsidR="005D7203" w:rsidRPr="004068F6" w:rsidRDefault="005D7203">
      <w:pPr>
        <w:numPr>
          <w:ilvl w:val="12"/>
          <w:numId w:val="0"/>
        </w:numPr>
        <w:tabs>
          <w:tab w:val="left" w:pos="-2268"/>
        </w:tabs>
        <w:suppressAutoHyphens/>
        <w:rPr>
          <w:spacing w:val="-3"/>
        </w:rPr>
      </w:pPr>
      <w:r w:rsidRPr="004068F6">
        <w:rPr>
          <w:spacing w:val="-3"/>
        </w:rPr>
        <w:t xml:space="preserve">Este capítulo del DAA está destinado </w:t>
      </w:r>
      <w:r w:rsidR="009F38FA" w:rsidRPr="004068F6">
        <w:rPr>
          <w:spacing w:val="-3"/>
        </w:rPr>
        <w:t xml:space="preserve">a </w:t>
      </w:r>
      <w:r w:rsidRPr="004068F6">
        <w:rPr>
          <w:spacing w:val="-3"/>
        </w:rPr>
        <w:t>evaluar (utilizando diversos criterios) y comparar las alternativas que se consideren para el desarrollo del proyecto, obra o actividad.</w:t>
      </w:r>
    </w:p>
    <w:p w14:paraId="6A7FB90E" w14:textId="77777777" w:rsidR="005D7203" w:rsidRPr="004068F6" w:rsidRDefault="005D7203">
      <w:pPr>
        <w:numPr>
          <w:ilvl w:val="12"/>
          <w:numId w:val="0"/>
        </w:numPr>
        <w:tabs>
          <w:tab w:val="left" w:pos="-2268"/>
        </w:tabs>
        <w:suppressAutoHyphens/>
        <w:rPr>
          <w:spacing w:val="-3"/>
        </w:rPr>
      </w:pPr>
    </w:p>
    <w:p w14:paraId="34F188EE" w14:textId="11B2EC4F" w:rsidR="005D7203" w:rsidRPr="004068F6" w:rsidRDefault="005D7203">
      <w:pPr>
        <w:numPr>
          <w:ilvl w:val="12"/>
          <w:numId w:val="0"/>
        </w:numPr>
        <w:tabs>
          <w:tab w:val="left" w:pos="-2268"/>
        </w:tabs>
        <w:suppressAutoHyphens/>
        <w:rPr>
          <w:spacing w:val="-3"/>
        </w:rPr>
      </w:pPr>
      <w:r w:rsidRPr="004068F6">
        <w:rPr>
          <w:spacing w:val="-3"/>
        </w:rPr>
        <w:t>Es preciso recordar que las alternativas no se definen exclusivamente por las opciones de ubicación o trazado, además de éstas, las alternativas se configuran mediante múltiples consideraciones de tecnología y diseño con el propósito de optimizar y racionalizar el uso de recursos y evitar o minimizar los riesgos</w:t>
      </w:r>
      <w:r w:rsidR="00710EA1" w:rsidRPr="004068F6">
        <w:rPr>
          <w:spacing w:val="-3"/>
        </w:rPr>
        <w:t xml:space="preserve"> </w:t>
      </w:r>
      <w:r w:rsidRPr="004068F6">
        <w:rPr>
          <w:spacing w:val="-3"/>
        </w:rPr>
        <w:t xml:space="preserve">e impactos </w:t>
      </w:r>
      <w:r w:rsidRPr="004068F6">
        <w:rPr>
          <w:rFonts w:cs="Arial"/>
          <w:spacing w:val="-3"/>
        </w:rPr>
        <w:t xml:space="preserve">ambientales </w:t>
      </w:r>
      <w:r w:rsidRPr="004068F6">
        <w:rPr>
          <w:spacing w:val="-3"/>
        </w:rPr>
        <w:t xml:space="preserve">negativos; es decir, todas las alternativas deben </w:t>
      </w:r>
      <w:r w:rsidRPr="004068F6">
        <w:rPr>
          <w:rFonts w:cs="Arial"/>
          <w:spacing w:val="-3"/>
        </w:rPr>
        <w:t>incorporar tecnologías</w:t>
      </w:r>
      <w:r w:rsidRPr="004068F6">
        <w:rPr>
          <w:spacing w:val="-3"/>
        </w:rPr>
        <w:t xml:space="preserve"> ambientalmente racionales</w:t>
      </w:r>
      <w:r w:rsidR="00EE2E72" w:rsidRPr="004068F6">
        <w:rPr>
          <w:spacing w:val="-3"/>
        </w:rPr>
        <w:t xml:space="preserve"> y permitir el desarrollo del proyecto para el cual se plantean</w:t>
      </w:r>
      <w:r w:rsidRPr="004068F6">
        <w:rPr>
          <w:spacing w:val="-3"/>
        </w:rPr>
        <w:t>.</w:t>
      </w:r>
    </w:p>
    <w:p w14:paraId="311ED958" w14:textId="77777777" w:rsidR="005D7203" w:rsidRPr="004068F6" w:rsidRDefault="005D7203">
      <w:pPr>
        <w:numPr>
          <w:ilvl w:val="12"/>
          <w:numId w:val="0"/>
        </w:numPr>
        <w:tabs>
          <w:tab w:val="left" w:pos="-2268"/>
        </w:tabs>
        <w:suppressAutoHyphens/>
        <w:rPr>
          <w:spacing w:val="-3"/>
        </w:rPr>
      </w:pPr>
    </w:p>
    <w:p w14:paraId="0784D85E" w14:textId="18204DE5" w:rsidR="005D7203" w:rsidRPr="004068F6" w:rsidRDefault="005D7203" w:rsidP="00C86DA5">
      <w:pPr>
        <w:tabs>
          <w:tab w:val="left" w:pos="-2268"/>
        </w:tabs>
        <w:suppressAutoHyphens/>
        <w:rPr>
          <w:spacing w:val="-3"/>
        </w:rPr>
      </w:pPr>
      <w:r w:rsidRPr="004068F6">
        <w:rPr>
          <w:spacing w:val="-3"/>
        </w:rPr>
        <w:lastRenderedPageBreak/>
        <w:t>La evaluación, comparación y selección de las alternativas presentadas en el DAA se debe llevar a cabo utilizando metodologías de Evaluación Multicriterio (EMC</w:t>
      </w:r>
      <w:r w:rsidRPr="004068F6">
        <w:rPr>
          <w:rFonts w:cs="Arial"/>
          <w:spacing w:val="-3"/>
        </w:rPr>
        <w:t>)</w:t>
      </w:r>
      <w:r w:rsidRPr="004068F6">
        <w:rPr>
          <w:spacing w:val="-3"/>
        </w:rPr>
        <w:t xml:space="preserve"> </w:t>
      </w:r>
      <w:r w:rsidRPr="004068F6">
        <w:rPr>
          <w:rFonts w:cs="Arial"/>
          <w:spacing w:val="-3"/>
        </w:rPr>
        <w:t>con el fin de</w:t>
      </w:r>
      <w:r w:rsidRPr="004068F6">
        <w:rPr>
          <w:spacing w:val="-3"/>
        </w:rPr>
        <w:t xml:space="preserve"> facilitar la selección, entre un grupo de alternativas ambientalmente factibles, </w:t>
      </w:r>
      <w:r w:rsidR="00E166CD" w:rsidRPr="004068F6">
        <w:rPr>
          <w:spacing w:val="-3"/>
        </w:rPr>
        <w:t xml:space="preserve">de </w:t>
      </w:r>
      <w:r w:rsidRPr="004068F6">
        <w:rPr>
          <w:spacing w:val="-3"/>
        </w:rPr>
        <w:t>aquella o aquellas que demuestren optimizar y racionalizar el uso de recursos y evitar o minimizar los riesgos</w:t>
      </w:r>
      <w:r w:rsidR="00710EA1" w:rsidRPr="004068F6">
        <w:rPr>
          <w:spacing w:val="-3"/>
        </w:rPr>
        <w:t xml:space="preserve"> </w:t>
      </w:r>
      <w:r w:rsidRPr="004068F6">
        <w:rPr>
          <w:spacing w:val="-3"/>
        </w:rPr>
        <w:t xml:space="preserve">e impactos negativos. En </w:t>
      </w:r>
      <w:r w:rsidR="00FC38FE" w:rsidRPr="004068F6">
        <w:rPr>
          <w:spacing w:val="-3"/>
        </w:rPr>
        <w:t>el marco de la elaboración del DAA</w:t>
      </w:r>
      <w:r w:rsidRPr="004068F6">
        <w:rPr>
          <w:spacing w:val="-3"/>
        </w:rPr>
        <w:t xml:space="preserve">, la EMC </w:t>
      </w:r>
      <w:r w:rsidRPr="004068F6">
        <w:rPr>
          <w:rFonts w:cs="Arial"/>
          <w:spacing w:val="-3"/>
        </w:rPr>
        <w:t>organiza</w:t>
      </w:r>
      <w:r w:rsidRPr="004068F6">
        <w:rPr>
          <w:spacing w:val="-3"/>
        </w:rPr>
        <w:t xml:space="preserve"> la información ambiental (de </w:t>
      </w:r>
      <w:r w:rsidR="006A1304" w:rsidRPr="004068F6">
        <w:rPr>
          <w:spacing w:val="-3"/>
        </w:rPr>
        <w:t xml:space="preserve">caracterización ambiental, </w:t>
      </w:r>
      <w:r w:rsidRPr="004068F6">
        <w:rPr>
          <w:spacing w:val="-3"/>
        </w:rPr>
        <w:t xml:space="preserve">análisis de riesgos, zonificación ambiental, </w:t>
      </w:r>
      <w:r w:rsidR="0009367A" w:rsidRPr="004068F6">
        <w:rPr>
          <w:spacing w:val="-3"/>
        </w:rPr>
        <w:t xml:space="preserve">determinación </w:t>
      </w:r>
      <w:r w:rsidR="000C7252" w:rsidRPr="004068F6">
        <w:rPr>
          <w:spacing w:val="-3"/>
        </w:rPr>
        <w:t xml:space="preserve">y evaluación </w:t>
      </w:r>
      <w:r w:rsidRPr="004068F6">
        <w:rPr>
          <w:spacing w:val="-3"/>
        </w:rPr>
        <w:t xml:space="preserve">de impactos, análisis costo beneficio, entre otras) asociada a las alternativas y </w:t>
      </w:r>
      <w:r w:rsidRPr="004068F6">
        <w:rPr>
          <w:rFonts w:cs="Arial"/>
          <w:spacing w:val="-3"/>
        </w:rPr>
        <w:t>aplica</w:t>
      </w:r>
      <w:r w:rsidRPr="004068F6">
        <w:rPr>
          <w:spacing w:val="-3"/>
        </w:rPr>
        <w:t xml:space="preserve"> criterios </w:t>
      </w:r>
      <w:r w:rsidR="00710EA1" w:rsidRPr="004068F6">
        <w:rPr>
          <w:spacing w:val="-3"/>
        </w:rPr>
        <w:t>de diversa índole</w:t>
      </w:r>
      <w:r w:rsidR="004F38F8" w:rsidRPr="004068F6">
        <w:rPr>
          <w:spacing w:val="-3"/>
        </w:rPr>
        <w:t>,</w:t>
      </w:r>
      <w:r w:rsidR="00710EA1" w:rsidRPr="004068F6">
        <w:rPr>
          <w:spacing w:val="-3"/>
        </w:rPr>
        <w:t xml:space="preserve"> tanto </w:t>
      </w:r>
      <w:r w:rsidRPr="004068F6">
        <w:rPr>
          <w:spacing w:val="-3"/>
        </w:rPr>
        <w:t>cuantitativos</w:t>
      </w:r>
      <w:r w:rsidRPr="004068F6">
        <w:rPr>
          <w:rFonts w:cs="Arial"/>
          <w:spacing w:val="-3"/>
        </w:rPr>
        <w:t xml:space="preserve"> </w:t>
      </w:r>
      <w:r w:rsidR="00710EA1" w:rsidRPr="004068F6">
        <w:rPr>
          <w:rFonts w:cs="Arial"/>
          <w:spacing w:val="-3"/>
        </w:rPr>
        <w:t>como</w:t>
      </w:r>
      <w:r w:rsidRPr="004068F6">
        <w:rPr>
          <w:spacing w:val="-3"/>
        </w:rPr>
        <w:t xml:space="preserve"> cualitativos</w:t>
      </w:r>
      <w:r w:rsidR="004F38F8" w:rsidRPr="004068F6">
        <w:rPr>
          <w:spacing w:val="-3"/>
        </w:rPr>
        <w:t>,</w:t>
      </w:r>
      <w:r w:rsidRPr="004068F6">
        <w:rPr>
          <w:spacing w:val="-3"/>
        </w:rPr>
        <w:t xml:space="preserve"> para la evaluación de </w:t>
      </w:r>
      <w:r w:rsidR="004F38F8" w:rsidRPr="004068F6">
        <w:rPr>
          <w:spacing w:val="-3"/>
        </w:rPr>
        <w:t>tales alternativas</w:t>
      </w:r>
      <w:r w:rsidRPr="004068F6">
        <w:rPr>
          <w:spacing w:val="-3"/>
        </w:rPr>
        <w:t>.</w:t>
      </w:r>
    </w:p>
    <w:p w14:paraId="0E6D47FF" w14:textId="77777777" w:rsidR="005D7203" w:rsidRPr="004068F6" w:rsidRDefault="005D7203">
      <w:pPr>
        <w:numPr>
          <w:ilvl w:val="12"/>
          <w:numId w:val="0"/>
        </w:numPr>
        <w:tabs>
          <w:tab w:val="left" w:pos="-2268"/>
        </w:tabs>
        <w:suppressAutoHyphens/>
        <w:rPr>
          <w:spacing w:val="-3"/>
        </w:rPr>
      </w:pPr>
    </w:p>
    <w:p w14:paraId="116FBDCF" w14:textId="0E8515A6" w:rsidR="005D7203" w:rsidRPr="004068F6" w:rsidRDefault="005D7203">
      <w:pPr>
        <w:numPr>
          <w:ilvl w:val="12"/>
          <w:numId w:val="0"/>
        </w:numPr>
        <w:tabs>
          <w:tab w:val="left" w:pos="-2268"/>
        </w:tabs>
        <w:suppressAutoHyphens/>
        <w:rPr>
          <w:spacing w:val="-3"/>
        </w:rPr>
      </w:pPr>
      <w:r w:rsidRPr="004068F6">
        <w:rPr>
          <w:spacing w:val="-3"/>
        </w:rPr>
        <w:t xml:space="preserve">De esta forma, a partir de los criterios y de las reglas de evaluación que se establezcan para evaluar y comparar todas las alternativas, se debe presentar </w:t>
      </w:r>
      <w:r w:rsidR="000C7252" w:rsidRPr="004068F6">
        <w:rPr>
          <w:spacing w:val="-3"/>
        </w:rPr>
        <w:t xml:space="preserve">y justificar </w:t>
      </w:r>
      <w:r w:rsidRPr="004068F6">
        <w:rPr>
          <w:spacing w:val="-3"/>
        </w:rPr>
        <w:t xml:space="preserve">la o las alternativas seleccionadas </w:t>
      </w:r>
      <w:r w:rsidR="000C7252" w:rsidRPr="004068F6">
        <w:rPr>
          <w:spacing w:val="-3"/>
        </w:rPr>
        <w:t xml:space="preserve">sobre las que se plantea la elaboración del EIA </w:t>
      </w:r>
      <w:r w:rsidRPr="004068F6">
        <w:rPr>
          <w:spacing w:val="-3"/>
        </w:rPr>
        <w:t>para la ejecución del proyecto, obra o actividad.</w:t>
      </w:r>
    </w:p>
    <w:p w14:paraId="74C32B68" w14:textId="77777777" w:rsidR="006D0970" w:rsidRPr="004068F6" w:rsidRDefault="006D0970">
      <w:pPr>
        <w:numPr>
          <w:ilvl w:val="12"/>
          <w:numId w:val="0"/>
        </w:numPr>
        <w:tabs>
          <w:tab w:val="left" w:pos="-2268"/>
        </w:tabs>
        <w:suppressAutoHyphens/>
        <w:rPr>
          <w:spacing w:val="-3"/>
        </w:rPr>
      </w:pPr>
    </w:p>
    <w:p w14:paraId="28CB24F6" w14:textId="67D13069" w:rsidR="005D7203" w:rsidRPr="004068F6" w:rsidRDefault="00830F0E" w:rsidP="0068149C">
      <w:pPr>
        <w:pStyle w:val="Ttulo2"/>
        <w:rPr>
          <w:lang w:val="es-CO"/>
        </w:rPr>
      </w:pPr>
      <w:bookmarkStart w:id="2375" w:name="_Toc437935998"/>
      <w:bookmarkStart w:id="2376" w:name="_Toc42779204"/>
      <w:bookmarkStart w:id="2377" w:name="_Toc230879610"/>
      <w:r w:rsidRPr="004068F6">
        <w:rPr>
          <w:lang w:val="es-CO"/>
        </w:rPr>
        <w:t xml:space="preserve">GENERALIDADES DE LA </w:t>
      </w:r>
      <w:r w:rsidR="005D7203" w:rsidRPr="004068F6">
        <w:rPr>
          <w:lang w:val="es-CO"/>
        </w:rPr>
        <w:t>EVALUACIÓN MULTICRITERIO</w:t>
      </w:r>
      <w:bookmarkEnd w:id="2375"/>
      <w:bookmarkEnd w:id="2376"/>
      <w:bookmarkEnd w:id="2377"/>
    </w:p>
    <w:p w14:paraId="1455C4B1" w14:textId="77777777" w:rsidR="005D7203" w:rsidRPr="004068F6" w:rsidRDefault="005D7203">
      <w:pPr>
        <w:numPr>
          <w:ilvl w:val="12"/>
          <w:numId w:val="0"/>
        </w:numPr>
        <w:tabs>
          <w:tab w:val="left" w:pos="-2268"/>
        </w:tabs>
        <w:suppressAutoHyphens/>
        <w:rPr>
          <w:spacing w:val="-3"/>
        </w:rPr>
      </w:pPr>
    </w:p>
    <w:p w14:paraId="615A208B" w14:textId="284FCB69" w:rsidR="006A1304" w:rsidRPr="004068F6" w:rsidRDefault="005D7203" w:rsidP="006A1304">
      <w:pPr>
        <w:numPr>
          <w:ilvl w:val="12"/>
          <w:numId w:val="0"/>
        </w:numPr>
        <w:tabs>
          <w:tab w:val="left" w:pos="-2268"/>
        </w:tabs>
        <w:suppressAutoHyphens/>
        <w:rPr>
          <w:spacing w:val="-3"/>
        </w:rPr>
      </w:pPr>
      <w:r w:rsidRPr="004068F6">
        <w:rPr>
          <w:spacing w:val="-3"/>
        </w:rPr>
        <w:t>A continuación</w:t>
      </w:r>
      <w:r w:rsidRPr="004068F6">
        <w:rPr>
          <w:rFonts w:cs="Arial"/>
          <w:spacing w:val="-3"/>
        </w:rPr>
        <w:t>,</w:t>
      </w:r>
      <w:r w:rsidRPr="004068F6">
        <w:rPr>
          <w:spacing w:val="-3"/>
        </w:rPr>
        <w:t xml:space="preserve"> se mencionan las características más importantes </w:t>
      </w:r>
      <w:r w:rsidR="00F247F7" w:rsidRPr="004068F6">
        <w:rPr>
          <w:spacing w:val="-3"/>
        </w:rPr>
        <w:t xml:space="preserve">y los </w:t>
      </w:r>
      <w:r w:rsidRPr="004068F6">
        <w:rPr>
          <w:spacing w:val="-3"/>
        </w:rPr>
        <w:t xml:space="preserve">objetivos </w:t>
      </w:r>
      <w:r w:rsidR="00F247F7" w:rsidRPr="004068F6">
        <w:rPr>
          <w:spacing w:val="-3"/>
        </w:rPr>
        <w:t xml:space="preserve">de la EMC </w:t>
      </w:r>
      <w:r w:rsidRPr="004068F6">
        <w:rPr>
          <w:spacing w:val="-3"/>
        </w:rPr>
        <w:t xml:space="preserve">en el marco del licenciamiento ambiental y </w:t>
      </w:r>
      <w:r w:rsidR="00F247F7" w:rsidRPr="004068F6">
        <w:rPr>
          <w:spacing w:val="-3"/>
        </w:rPr>
        <w:t>s</w:t>
      </w:r>
      <w:r w:rsidR="006A1304" w:rsidRPr="004068F6">
        <w:rPr>
          <w:spacing w:val="-3"/>
        </w:rPr>
        <w:t>e establecen lineamientos para orientar tanto la elección del método más apropiado según el caso particular que se esté considerando, como el desarrollo de la EMC.</w:t>
      </w:r>
    </w:p>
    <w:p w14:paraId="547B286A" w14:textId="77777777" w:rsidR="006A1304" w:rsidRPr="004068F6" w:rsidRDefault="006A1304">
      <w:pPr>
        <w:numPr>
          <w:ilvl w:val="12"/>
          <w:numId w:val="0"/>
        </w:numPr>
        <w:tabs>
          <w:tab w:val="left" w:pos="-2268"/>
        </w:tabs>
        <w:suppressAutoHyphens/>
        <w:rPr>
          <w:spacing w:val="-3"/>
        </w:rPr>
      </w:pPr>
    </w:p>
    <w:p w14:paraId="7A8B4100" w14:textId="2780E408" w:rsidR="00F15672" w:rsidRPr="004068F6" w:rsidRDefault="00F15672" w:rsidP="00F15672">
      <w:pPr>
        <w:numPr>
          <w:ilvl w:val="12"/>
          <w:numId w:val="0"/>
        </w:numPr>
        <w:tabs>
          <w:tab w:val="left" w:pos="-2268"/>
        </w:tabs>
        <w:suppressAutoHyphens/>
        <w:rPr>
          <w:spacing w:val="-3"/>
        </w:rPr>
      </w:pPr>
      <w:r w:rsidRPr="004068F6">
        <w:rPr>
          <w:spacing w:val="-3"/>
        </w:rPr>
        <w:t xml:space="preserve">La Evaluación Multi Criterio (EMC) </w:t>
      </w:r>
      <w:r w:rsidR="00D778D2">
        <w:rPr>
          <w:spacing w:val="-3"/>
        </w:rPr>
        <w:t>constituye</w:t>
      </w:r>
      <w:r w:rsidRPr="004068F6">
        <w:rPr>
          <w:spacing w:val="-3"/>
        </w:rPr>
        <w:t xml:space="preserve"> un conjunto de métodos cuyo propósito es gestionar de forma consistente, las dificultades que surgen de los procesos de toma de decisión cuando hay grandes cantidades de información compleja (DCLG, 2009) y</w:t>
      </w:r>
      <w:r w:rsidR="000F049A">
        <w:rPr>
          <w:spacing w:val="-3"/>
        </w:rPr>
        <w:t>,</w:t>
      </w:r>
      <w:r w:rsidRPr="004068F6">
        <w:rPr>
          <w:spacing w:val="-3"/>
        </w:rPr>
        <w:t xml:space="preserve"> permite en el marco de los DAA, identificar la mejor alternativa, clasificar y calificar las alternativas según su desempeño ambiental, priorizar las alternativas para realizar evaluaciones posteriores más detalladas, o distinguir las alternativas aceptables de las no aceptables.</w:t>
      </w:r>
    </w:p>
    <w:p w14:paraId="4B499389" w14:textId="77777777" w:rsidR="00F15672" w:rsidRPr="004068F6" w:rsidRDefault="00F15672" w:rsidP="00F15672">
      <w:pPr>
        <w:numPr>
          <w:ilvl w:val="12"/>
          <w:numId w:val="0"/>
        </w:numPr>
        <w:tabs>
          <w:tab w:val="left" w:pos="-2268"/>
        </w:tabs>
        <w:suppressAutoHyphens/>
        <w:rPr>
          <w:spacing w:val="-3"/>
        </w:rPr>
      </w:pPr>
    </w:p>
    <w:p w14:paraId="60ADD665" w14:textId="0A36CCAB" w:rsidR="00F15672" w:rsidRPr="004068F6" w:rsidRDefault="00F15672" w:rsidP="00F15672">
      <w:pPr>
        <w:numPr>
          <w:ilvl w:val="12"/>
          <w:numId w:val="0"/>
        </w:numPr>
        <w:tabs>
          <w:tab w:val="left" w:pos="-2268"/>
        </w:tabs>
        <w:suppressAutoHyphens/>
        <w:rPr>
          <w:spacing w:val="-3"/>
        </w:rPr>
      </w:pPr>
      <w:r w:rsidRPr="004068F6">
        <w:rPr>
          <w:spacing w:val="-3"/>
        </w:rPr>
        <w:t>Básicamente, estos métodos evalúan el desempeño de cada alternativa según un conjunto de criterios</w:t>
      </w:r>
      <w:r w:rsidRPr="004068F6">
        <w:rPr>
          <w:rStyle w:val="Refdenotaalpie"/>
          <w:rFonts w:cs="Arial"/>
          <w:spacing w:val="-3"/>
          <w:lang w:val="es-CO"/>
        </w:rPr>
        <w:footnoteReference w:id="65"/>
      </w:r>
      <w:r w:rsidRPr="004068F6">
        <w:rPr>
          <w:spacing w:val="-3"/>
        </w:rPr>
        <w:t xml:space="preserve">, y luego integran dichas evaluaciones a fin de brindar una visión global del problema objeto de decisión; en términos generales, lo que diferencia cada uno de los métodos de EMC es la forma en que agregan las evaluaciones de desempeño y en cómo a partir de ello establecen relaciones entre las alternativas </w:t>
      </w:r>
      <w:bookmarkStart w:id="2378" w:name="_Hlk122502694"/>
      <w:r w:rsidRPr="004068F6">
        <w:rPr>
          <w:spacing w:val="-3"/>
        </w:rPr>
        <w:t>(Guitouni &amp; Martel, 1998; Munda, 2008; DCLG, 2009)</w:t>
      </w:r>
      <w:bookmarkEnd w:id="2378"/>
      <w:r w:rsidRPr="004068F6">
        <w:rPr>
          <w:spacing w:val="-3"/>
        </w:rPr>
        <w:t xml:space="preserve">. A pesar de que la EMC tiene grandes ventajas como la capacidad de incorporar información cuantitativa y cualitativa en el mismo proceso y permite tomar decisiones racionales (Guitouni &amp; Martel, 1998; Eastman, 2005), es preciso tener en cuenta su naturaleza y limitantes </w:t>
      </w:r>
      <w:r w:rsidRPr="004068F6">
        <w:rPr>
          <w:spacing w:val="-3"/>
        </w:rPr>
        <w:lastRenderedPageBreak/>
        <w:t>para emplearla correctamente y llegar a conclusiones argumentadas sólida y transparentemente.</w:t>
      </w:r>
    </w:p>
    <w:p w14:paraId="0806C28D" w14:textId="77777777" w:rsidR="00F15672" w:rsidRPr="004068F6" w:rsidRDefault="00F15672" w:rsidP="00F15672">
      <w:pPr>
        <w:numPr>
          <w:ilvl w:val="12"/>
          <w:numId w:val="0"/>
        </w:numPr>
        <w:tabs>
          <w:tab w:val="left" w:pos="-2268"/>
        </w:tabs>
        <w:suppressAutoHyphens/>
        <w:rPr>
          <w:spacing w:val="-3"/>
        </w:rPr>
      </w:pPr>
    </w:p>
    <w:p w14:paraId="0662573E" w14:textId="77777777" w:rsidR="00F15672" w:rsidRPr="004068F6" w:rsidRDefault="00F15672" w:rsidP="00F15672">
      <w:pPr>
        <w:numPr>
          <w:ilvl w:val="12"/>
          <w:numId w:val="0"/>
        </w:numPr>
        <w:tabs>
          <w:tab w:val="left" w:pos="-2268"/>
        </w:tabs>
        <w:suppressAutoHyphens/>
        <w:rPr>
          <w:spacing w:val="-3"/>
        </w:rPr>
      </w:pPr>
      <w:r w:rsidRPr="004068F6">
        <w:rPr>
          <w:spacing w:val="-3"/>
        </w:rPr>
        <w:t>Dentro de tales condiciones inherentes de la EMC, se encuentran las siguientes:</w:t>
      </w:r>
    </w:p>
    <w:p w14:paraId="05B9ABF6" w14:textId="77777777" w:rsidR="00F15672" w:rsidRPr="004068F6" w:rsidRDefault="00F15672" w:rsidP="00F15672">
      <w:pPr>
        <w:numPr>
          <w:ilvl w:val="12"/>
          <w:numId w:val="0"/>
        </w:numPr>
        <w:tabs>
          <w:tab w:val="left" w:pos="-2268"/>
        </w:tabs>
        <w:suppressAutoHyphens/>
        <w:rPr>
          <w:spacing w:val="-3"/>
        </w:rPr>
      </w:pPr>
    </w:p>
    <w:p w14:paraId="3F06A5F4" w14:textId="53E180B8" w:rsidR="00F15672" w:rsidRPr="004068F6" w:rsidRDefault="00F15672" w:rsidP="00BC06DA">
      <w:pPr>
        <w:numPr>
          <w:ilvl w:val="0"/>
          <w:numId w:val="652"/>
        </w:numPr>
        <w:tabs>
          <w:tab w:val="left" w:pos="-2268"/>
        </w:tabs>
        <w:suppressAutoHyphens/>
        <w:ind w:left="567" w:hanging="567"/>
        <w:rPr>
          <w:spacing w:val="-3"/>
        </w:rPr>
      </w:pPr>
      <w:r w:rsidRPr="004068F6">
        <w:rPr>
          <w:spacing w:val="-3"/>
        </w:rPr>
        <w:t>No es un método exento de subjetividad. Todos los métodos de EMC en mayor o menor grado incorporan dentro de sus procedimientos los juicios de las personas que están desarrollando la evaluación (Guitouni &amp; Martel, 1998; Munda, 2008)</w:t>
      </w:r>
      <w:r w:rsidR="00BC06DA" w:rsidRPr="004068F6">
        <w:rPr>
          <w:spacing w:val="-3"/>
        </w:rPr>
        <w:t>.</w:t>
      </w:r>
    </w:p>
    <w:p w14:paraId="61F49924" w14:textId="77777777" w:rsidR="00BC06DA" w:rsidRPr="004068F6" w:rsidRDefault="00BC06DA" w:rsidP="000D468E">
      <w:pPr>
        <w:tabs>
          <w:tab w:val="left" w:pos="-2268"/>
        </w:tabs>
        <w:suppressAutoHyphens/>
        <w:rPr>
          <w:spacing w:val="-3"/>
        </w:rPr>
      </w:pPr>
    </w:p>
    <w:p w14:paraId="7D195435" w14:textId="77777777" w:rsidR="00F15672" w:rsidRPr="004068F6" w:rsidRDefault="00F15672" w:rsidP="00BC06DA">
      <w:pPr>
        <w:numPr>
          <w:ilvl w:val="0"/>
          <w:numId w:val="652"/>
        </w:numPr>
        <w:tabs>
          <w:tab w:val="left" w:pos="-2268"/>
        </w:tabs>
        <w:suppressAutoHyphens/>
        <w:ind w:left="567" w:hanging="567"/>
        <w:rPr>
          <w:spacing w:val="-3"/>
        </w:rPr>
      </w:pPr>
      <w:r w:rsidRPr="004068F6">
        <w:rPr>
          <w:spacing w:val="-3"/>
        </w:rPr>
        <w:t>No existe una alternativa ideal que demuestre el mejor desempeño para todos los criterios a la vez. El propósito de la EMC es encontrar una decisión que satisfaga al tomador de decisión (Munda, 1995; Guitouni &amp; Martel, 1998).</w:t>
      </w:r>
    </w:p>
    <w:p w14:paraId="460C92EB" w14:textId="77777777" w:rsidR="00BC06DA" w:rsidRPr="004068F6" w:rsidRDefault="00BC06DA" w:rsidP="000D468E">
      <w:pPr>
        <w:tabs>
          <w:tab w:val="left" w:pos="-2268"/>
        </w:tabs>
        <w:suppressAutoHyphens/>
        <w:rPr>
          <w:spacing w:val="-3"/>
        </w:rPr>
      </w:pPr>
    </w:p>
    <w:p w14:paraId="4FC07BE6" w14:textId="3AA8597C" w:rsidR="00F15672" w:rsidRPr="004068F6" w:rsidRDefault="00F15672" w:rsidP="00BC06DA">
      <w:pPr>
        <w:numPr>
          <w:ilvl w:val="0"/>
          <w:numId w:val="652"/>
        </w:numPr>
        <w:tabs>
          <w:tab w:val="left" w:pos="-2268"/>
        </w:tabs>
        <w:suppressAutoHyphens/>
        <w:ind w:left="567" w:hanging="567"/>
        <w:rPr>
          <w:spacing w:val="-3"/>
        </w:rPr>
      </w:pPr>
      <w:r w:rsidRPr="004068F6">
        <w:rPr>
          <w:spacing w:val="-3"/>
        </w:rPr>
        <w:t>La model</w:t>
      </w:r>
      <w:r w:rsidR="0013262F">
        <w:rPr>
          <w:spacing w:val="-3"/>
        </w:rPr>
        <w:t>iz</w:t>
      </w:r>
      <w:r w:rsidRPr="004068F6">
        <w:rPr>
          <w:spacing w:val="-3"/>
        </w:rPr>
        <w:t xml:space="preserve">ación o forma en que se presenta el problema </w:t>
      </w:r>
      <w:r w:rsidR="00EE2E72" w:rsidRPr="004068F6">
        <w:rPr>
          <w:spacing w:val="-3"/>
        </w:rPr>
        <w:t xml:space="preserve">de decisión </w:t>
      </w:r>
      <w:r w:rsidRPr="004068F6">
        <w:rPr>
          <w:spacing w:val="-3"/>
        </w:rPr>
        <w:t>afecta las preferencias de quien ejecuta la EMC (Guitouni &amp; Martel, 1998).</w:t>
      </w:r>
    </w:p>
    <w:p w14:paraId="50CA14CD" w14:textId="77777777" w:rsidR="00BC06DA" w:rsidRPr="004068F6" w:rsidRDefault="00BC06DA" w:rsidP="000D468E">
      <w:pPr>
        <w:tabs>
          <w:tab w:val="left" w:pos="-2268"/>
        </w:tabs>
        <w:suppressAutoHyphens/>
        <w:rPr>
          <w:spacing w:val="-3"/>
        </w:rPr>
      </w:pPr>
    </w:p>
    <w:p w14:paraId="265E1021" w14:textId="16B8C28D" w:rsidR="00F15672" w:rsidRPr="004068F6" w:rsidRDefault="00F15672" w:rsidP="000D468E">
      <w:pPr>
        <w:numPr>
          <w:ilvl w:val="0"/>
          <w:numId w:val="652"/>
        </w:numPr>
        <w:tabs>
          <w:tab w:val="left" w:pos="-2268"/>
        </w:tabs>
        <w:suppressAutoHyphens/>
        <w:ind w:left="567" w:hanging="567"/>
        <w:rPr>
          <w:spacing w:val="-3"/>
        </w:rPr>
      </w:pPr>
      <w:r w:rsidRPr="004068F6">
        <w:rPr>
          <w:spacing w:val="-3"/>
        </w:rPr>
        <w:t xml:space="preserve">Constituye una herramienta que mediante un proceso de aprendizaje iterativo facilita la toma de decisión. No es un algoritmo que identifique el óptimo global de una situación dada, es decir, la EMC </w:t>
      </w:r>
      <w:r w:rsidR="006A241C" w:rsidRPr="004068F6">
        <w:rPr>
          <w:spacing w:val="-3"/>
        </w:rPr>
        <w:t xml:space="preserve">en sí misma </w:t>
      </w:r>
      <w:r w:rsidRPr="004068F6">
        <w:rPr>
          <w:spacing w:val="-3"/>
        </w:rPr>
        <w:t>no toma la decisión; la decisión es de quien ejecuta la evaluación (Munda, 2008; DCLG, 2009).</w:t>
      </w:r>
    </w:p>
    <w:p w14:paraId="019D9935" w14:textId="77777777" w:rsidR="00F15672" w:rsidRPr="004068F6" w:rsidRDefault="00F15672" w:rsidP="00F15672">
      <w:pPr>
        <w:numPr>
          <w:ilvl w:val="12"/>
          <w:numId w:val="0"/>
        </w:numPr>
        <w:tabs>
          <w:tab w:val="left" w:pos="-2268"/>
        </w:tabs>
        <w:suppressAutoHyphens/>
        <w:rPr>
          <w:spacing w:val="-3"/>
        </w:rPr>
      </w:pPr>
    </w:p>
    <w:p w14:paraId="160B4A37" w14:textId="2E74CEB3" w:rsidR="00F15672" w:rsidRPr="004068F6" w:rsidRDefault="00F15672" w:rsidP="00F15672">
      <w:pPr>
        <w:numPr>
          <w:ilvl w:val="12"/>
          <w:numId w:val="0"/>
        </w:numPr>
        <w:tabs>
          <w:tab w:val="left" w:pos="-2268"/>
        </w:tabs>
        <w:suppressAutoHyphens/>
        <w:rPr>
          <w:spacing w:val="-3"/>
        </w:rPr>
      </w:pPr>
      <w:r w:rsidRPr="004068F6">
        <w:rPr>
          <w:spacing w:val="-3"/>
        </w:rPr>
        <w:t>Dadas estas características de la EMC, es fundamental tener en cuenta el contexto en el cual se desarrolla el proceso de toma de decisión. En el marco del licenciamiento ambiental la EMC tiene actores con roles y objetivos diferentes</w:t>
      </w:r>
      <w:r w:rsidR="00533AD7" w:rsidRPr="004068F6">
        <w:rPr>
          <w:spacing w:val="-3"/>
        </w:rPr>
        <w:t>, así como</w:t>
      </w:r>
      <w:r w:rsidRPr="004068F6">
        <w:rPr>
          <w:spacing w:val="-3"/>
        </w:rPr>
        <w:t xml:space="preserve"> el propósito particular de seleccionar la o las alternativas sobre las que se podría desarrollar el Estudio de Impacto Ambiental (EIA).</w:t>
      </w:r>
    </w:p>
    <w:p w14:paraId="4A2AF028" w14:textId="77777777" w:rsidR="00F15672" w:rsidRPr="004068F6" w:rsidRDefault="00F15672" w:rsidP="00F15672">
      <w:pPr>
        <w:numPr>
          <w:ilvl w:val="12"/>
          <w:numId w:val="0"/>
        </w:numPr>
        <w:tabs>
          <w:tab w:val="left" w:pos="-2268"/>
        </w:tabs>
        <w:suppressAutoHyphens/>
        <w:rPr>
          <w:spacing w:val="-3"/>
        </w:rPr>
      </w:pPr>
    </w:p>
    <w:p w14:paraId="6C4BFB25" w14:textId="563BEF18" w:rsidR="00F15672" w:rsidRPr="004068F6" w:rsidRDefault="00F15672" w:rsidP="00F15672">
      <w:pPr>
        <w:numPr>
          <w:ilvl w:val="12"/>
          <w:numId w:val="0"/>
        </w:numPr>
        <w:tabs>
          <w:tab w:val="left" w:pos="-2268"/>
        </w:tabs>
        <w:suppressAutoHyphens/>
        <w:rPr>
          <w:spacing w:val="-3"/>
        </w:rPr>
      </w:pPr>
      <w:r w:rsidRPr="004068F6">
        <w:rPr>
          <w:spacing w:val="-3"/>
        </w:rPr>
        <w:t>Si bien el interesado en obtener una licencia ambiental desarrolla una EMC y elige alternativas, la autoridad ambiental competente es quien toma la decisión final evaluando el DAA y ejecutando, en caso de que así lo considere, otra EMC a partir de múltiples fuentes de información, entre ellas, el propio DAA. El público en general y l</w:t>
      </w:r>
      <w:r w:rsidR="00EE2E72" w:rsidRPr="004068F6">
        <w:rPr>
          <w:spacing w:val="-3"/>
        </w:rPr>
        <w:t>o</w:t>
      </w:r>
      <w:r w:rsidRPr="004068F6">
        <w:rPr>
          <w:spacing w:val="-3"/>
        </w:rPr>
        <w:t xml:space="preserve">s </w:t>
      </w:r>
      <w:r w:rsidR="00EE2E72" w:rsidRPr="004068F6">
        <w:rPr>
          <w:spacing w:val="-3"/>
        </w:rPr>
        <w:t xml:space="preserve">grupos de interés </w:t>
      </w:r>
      <w:r w:rsidRPr="004068F6">
        <w:rPr>
          <w:spacing w:val="-3"/>
        </w:rPr>
        <w:t>que podrían afectarse con el desarrollo de las alternativas también constituyen un actor relevante que puede nutrir y mejorar la calidad de la EMC al brindar información y conocimiento sobre las posibles implicaciones ambientales de las alternativas.</w:t>
      </w:r>
    </w:p>
    <w:p w14:paraId="39EE9D0C" w14:textId="77777777" w:rsidR="00F15672" w:rsidRPr="004068F6" w:rsidRDefault="00F15672" w:rsidP="00F15672">
      <w:pPr>
        <w:numPr>
          <w:ilvl w:val="12"/>
          <w:numId w:val="0"/>
        </w:numPr>
        <w:tabs>
          <w:tab w:val="left" w:pos="-2268"/>
        </w:tabs>
        <w:suppressAutoHyphens/>
        <w:rPr>
          <w:spacing w:val="-3"/>
        </w:rPr>
      </w:pPr>
    </w:p>
    <w:p w14:paraId="120BB0B3" w14:textId="490C652D" w:rsidR="00F15672" w:rsidRPr="004068F6" w:rsidRDefault="00F15672" w:rsidP="00F15672">
      <w:pPr>
        <w:numPr>
          <w:ilvl w:val="12"/>
          <w:numId w:val="0"/>
        </w:numPr>
        <w:tabs>
          <w:tab w:val="left" w:pos="-2268"/>
        </w:tabs>
        <w:suppressAutoHyphens/>
        <w:rPr>
          <w:spacing w:val="-3"/>
        </w:rPr>
      </w:pPr>
      <w:r w:rsidRPr="004068F6">
        <w:rPr>
          <w:spacing w:val="-3"/>
        </w:rPr>
        <w:t xml:space="preserve">Una cuestión muy importante respecto de la EMC es que la forma en que se plantea el problema afecta la evaluación de quien ejecuta la EMC sobre cada alternativa, es decir, las preferencias sobre las alternativas son muy sensibles a cambios aparentemente pequeños en la forma en que se formulan los problemas (Guitouni, 1998). Por ello, es necesario estructurar el problema de decisión (alternativas, </w:t>
      </w:r>
      <w:r w:rsidRPr="004068F6">
        <w:rPr>
          <w:spacing w:val="-3"/>
        </w:rPr>
        <w:lastRenderedPageBreak/>
        <w:t>condiciones ambientales y posibles consecuencias) con la mayor transparencia y con la mejor información disponible en ese momento inicial del proceso del licenciamiento ambiental.</w:t>
      </w:r>
    </w:p>
    <w:p w14:paraId="36EC33A3" w14:textId="77777777" w:rsidR="004567DD" w:rsidRPr="004068F6" w:rsidRDefault="004567DD" w:rsidP="00F15672">
      <w:pPr>
        <w:numPr>
          <w:ilvl w:val="12"/>
          <w:numId w:val="0"/>
        </w:numPr>
        <w:tabs>
          <w:tab w:val="left" w:pos="-2268"/>
        </w:tabs>
        <w:suppressAutoHyphens/>
        <w:rPr>
          <w:spacing w:val="-3"/>
        </w:rPr>
      </w:pPr>
    </w:p>
    <w:p w14:paraId="53361C0A" w14:textId="75B8E37A" w:rsidR="004567DD" w:rsidRPr="004068F6" w:rsidRDefault="004567DD" w:rsidP="004567DD">
      <w:pPr>
        <w:numPr>
          <w:ilvl w:val="12"/>
          <w:numId w:val="0"/>
        </w:numPr>
        <w:tabs>
          <w:tab w:val="left" w:pos="-2268"/>
        </w:tabs>
        <w:suppressAutoHyphens/>
        <w:rPr>
          <w:spacing w:val="-3"/>
        </w:rPr>
      </w:pPr>
      <w:r w:rsidRPr="00127BD4">
        <w:rPr>
          <w:spacing w:val="-3"/>
        </w:rPr>
        <w:t xml:space="preserve">Dado que </w:t>
      </w:r>
      <w:r w:rsidRPr="004068F6">
        <w:rPr>
          <w:spacing w:val="-3"/>
        </w:rPr>
        <w:t xml:space="preserve">el método </w:t>
      </w:r>
      <w:r w:rsidRPr="00127BD4">
        <w:rPr>
          <w:spacing w:val="-3"/>
        </w:rPr>
        <w:t xml:space="preserve">de EMC </w:t>
      </w:r>
      <w:r w:rsidR="00843506">
        <w:rPr>
          <w:spacing w:val="-3"/>
        </w:rPr>
        <w:t xml:space="preserve">elegido </w:t>
      </w:r>
      <w:r w:rsidRPr="004068F6">
        <w:rPr>
          <w:spacing w:val="-3"/>
        </w:rPr>
        <w:t xml:space="preserve">fija una particular forma de pensar </w:t>
      </w:r>
      <w:r w:rsidRPr="00127BD4">
        <w:rPr>
          <w:spacing w:val="-3"/>
        </w:rPr>
        <w:t xml:space="preserve">y </w:t>
      </w:r>
      <w:r w:rsidRPr="004068F6">
        <w:rPr>
          <w:spacing w:val="-3"/>
        </w:rPr>
        <w:t xml:space="preserve">que </w:t>
      </w:r>
      <w:r w:rsidRPr="00127BD4">
        <w:rPr>
          <w:spacing w:val="-3"/>
        </w:rPr>
        <w:t xml:space="preserve">ésta </w:t>
      </w:r>
      <w:r w:rsidRPr="004068F6">
        <w:rPr>
          <w:spacing w:val="-3"/>
        </w:rPr>
        <w:t xml:space="preserve">puede no resultar la mejor para seleccionar las alternativas (Guitouni, 1998), se reitera la necesidad de </w:t>
      </w:r>
      <w:r w:rsidRPr="00127BD4">
        <w:rPr>
          <w:spacing w:val="-3"/>
        </w:rPr>
        <w:t>seleccionar el método de EMC según la situación particular de decisión y no al contrario, es decir, adaptar la situación de toma de decisión a un método en particular</w:t>
      </w:r>
      <w:r w:rsidRPr="004068F6">
        <w:rPr>
          <w:spacing w:val="-3"/>
        </w:rPr>
        <w:t>.</w:t>
      </w:r>
    </w:p>
    <w:p w14:paraId="6586869C" w14:textId="77777777" w:rsidR="00F15672" w:rsidRPr="004068F6" w:rsidRDefault="00F15672" w:rsidP="00F15672">
      <w:pPr>
        <w:numPr>
          <w:ilvl w:val="12"/>
          <w:numId w:val="0"/>
        </w:numPr>
        <w:tabs>
          <w:tab w:val="left" w:pos="-2268"/>
        </w:tabs>
        <w:suppressAutoHyphens/>
        <w:rPr>
          <w:spacing w:val="-3"/>
        </w:rPr>
      </w:pPr>
    </w:p>
    <w:p w14:paraId="74E708BA" w14:textId="26BA0CD0" w:rsidR="00F15672" w:rsidRPr="00127BD4" w:rsidRDefault="00F15672" w:rsidP="008A4FE9">
      <w:pPr>
        <w:pStyle w:val="Ttulo2"/>
        <w:rPr>
          <w:lang w:val="es-CO"/>
        </w:rPr>
      </w:pPr>
      <w:bookmarkStart w:id="2379" w:name="_Ref208931452"/>
      <w:bookmarkStart w:id="2380" w:name="_Toc230879611"/>
      <w:r w:rsidRPr="004068F6">
        <w:rPr>
          <w:lang w:val="es-CO"/>
        </w:rPr>
        <w:t>SELECCI</w:t>
      </w:r>
      <w:r w:rsidR="00AD3BC7" w:rsidRPr="004068F6">
        <w:rPr>
          <w:lang w:val="es-CO"/>
        </w:rPr>
        <w:t>ÓN D</w:t>
      </w:r>
      <w:r w:rsidRPr="004068F6">
        <w:rPr>
          <w:lang w:val="es-CO"/>
        </w:rPr>
        <w:t>EL MÉTODO DE EVALUACIÓN MULTICRITERIO</w:t>
      </w:r>
      <w:bookmarkEnd w:id="2379"/>
      <w:bookmarkEnd w:id="2380"/>
    </w:p>
    <w:p w14:paraId="1A0F96A0" w14:textId="77777777" w:rsidR="00830F0E" w:rsidRPr="004068F6" w:rsidRDefault="00830F0E" w:rsidP="00F15672">
      <w:pPr>
        <w:numPr>
          <w:ilvl w:val="12"/>
          <w:numId w:val="0"/>
        </w:numPr>
        <w:tabs>
          <w:tab w:val="left" w:pos="-2268"/>
        </w:tabs>
        <w:suppressAutoHyphens/>
        <w:rPr>
          <w:spacing w:val="-3"/>
        </w:rPr>
      </w:pPr>
    </w:p>
    <w:p w14:paraId="58A65C05" w14:textId="47CE76CE" w:rsidR="004B3C2E" w:rsidRPr="004068F6" w:rsidRDefault="00E934DE" w:rsidP="00F15672">
      <w:pPr>
        <w:numPr>
          <w:ilvl w:val="12"/>
          <w:numId w:val="0"/>
        </w:numPr>
        <w:tabs>
          <w:tab w:val="left" w:pos="-2268"/>
        </w:tabs>
        <w:suppressAutoHyphens/>
        <w:rPr>
          <w:spacing w:val="-3"/>
        </w:rPr>
      </w:pPr>
      <w:r w:rsidRPr="004068F6">
        <w:rPr>
          <w:spacing w:val="-3"/>
        </w:rPr>
        <w:t xml:space="preserve">Dada la complejidad que implica </w:t>
      </w:r>
      <w:r w:rsidR="00DB1F10" w:rsidRPr="004068F6">
        <w:rPr>
          <w:spacing w:val="-3"/>
        </w:rPr>
        <w:t xml:space="preserve">la selección </w:t>
      </w:r>
      <w:r w:rsidR="003977FB" w:rsidRPr="004068F6">
        <w:rPr>
          <w:spacing w:val="-3"/>
        </w:rPr>
        <w:t xml:space="preserve">e implementación </w:t>
      </w:r>
      <w:r w:rsidR="00DB1F10" w:rsidRPr="004068F6">
        <w:rPr>
          <w:spacing w:val="-3"/>
        </w:rPr>
        <w:t xml:space="preserve">de los métodos de EMC para evaluar las alternativas de un DAA, </w:t>
      </w:r>
      <w:r w:rsidR="004B3C2E" w:rsidRPr="004068F6">
        <w:rPr>
          <w:spacing w:val="-3"/>
        </w:rPr>
        <w:t xml:space="preserve">es necesario tener en cuenta </w:t>
      </w:r>
      <w:r w:rsidR="008E4F85" w:rsidRPr="004068F6">
        <w:rPr>
          <w:spacing w:val="-3"/>
        </w:rPr>
        <w:t xml:space="preserve">una serie de </w:t>
      </w:r>
      <w:r w:rsidR="004B3C2E" w:rsidRPr="004068F6">
        <w:rPr>
          <w:spacing w:val="-3"/>
        </w:rPr>
        <w:t xml:space="preserve">conceptos, términos y características </w:t>
      </w:r>
      <w:r w:rsidR="0029127C" w:rsidRPr="004068F6">
        <w:rPr>
          <w:spacing w:val="-3"/>
        </w:rPr>
        <w:t xml:space="preserve">generales </w:t>
      </w:r>
      <w:r w:rsidR="004B3C2E" w:rsidRPr="004068F6">
        <w:rPr>
          <w:spacing w:val="-3"/>
        </w:rPr>
        <w:t xml:space="preserve">de los métodos de EMC </w:t>
      </w:r>
      <w:r w:rsidR="001D1E34" w:rsidRPr="004068F6">
        <w:rPr>
          <w:spacing w:val="-3"/>
        </w:rPr>
        <w:t xml:space="preserve">y </w:t>
      </w:r>
      <w:r w:rsidR="004B3C2E" w:rsidRPr="004068F6">
        <w:rPr>
          <w:spacing w:val="-3"/>
        </w:rPr>
        <w:t xml:space="preserve">aplicar </w:t>
      </w:r>
      <w:r w:rsidR="00B2420D" w:rsidRPr="004068F6">
        <w:rPr>
          <w:spacing w:val="-3"/>
        </w:rPr>
        <w:t xml:space="preserve">un </w:t>
      </w:r>
      <w:r w:rsidR="00020537" w:rsidRPr="004068F6">
        <w:rPr>
          <w:spacing w:val="-3"/>
        </w:rPr>
        <w:t xml:space="preserve">procedimiento </w:t>
      </w:r>
      <w:r w:rsidR="006B461E" w:rsidRPr="004068F6">
        <w:rPr>
          <w:spacing w:val="-3"/>
        </w:rPr>
        <w:t xml:space="preserve">específico que permita seleccionar el método </w:t>
      </w:r>
      <w:r w:rsidR="008E4F85" w:rsidRPr="004068F6">
        <w:rPr>
          <w:spacing w:val="-3"/>
        </w:rPr>
        <w:t>que más convenga a</w:t>
      </w:r>
      <w:r w:rsidR="006B461E" w:rsidRPr="004068F6">
        <w:rPr>
          <w:spacing w:val="-3"/>
        </w:rPr>
        <w:t>l caso particular de evalu</w:t>
      </w:r>
      <w:r w:rsidR="008E4F85" w:rsidRPr="004068F6">
        <w:rPr>
          <w:spacing w:val="-3"/>
        </w:rPr>
        <w:t>a</w:t>
      </w:r>
      <w:r w:rsidR="006B461E" w:rsidRPr="004068F6">
        <w:rPr>
          <w:spacing w:val="-3"/>
        </w:rPr>
        <w:t>ción</w:t>
      </w:r>
      <w:r w:rsidRPr="004068F6">
        <w:rPr>
          <w:spacing w:val="-3"/>
        </w:rPr>
        <w:t>.</w:t>
      </w:r>
    </w:p>
    <w:p w14:paraId="07DA873A" w14:textId="77777777" w:rsidR="004B3C2E" w:rsidRPr="004068F6" w:rsidRDefault="004B3C2E" w:rsidP="00F15672">
      <w:pPr>
        <w:numPr>
          <w:ilvl w:val="12"/>
          <w:numId w:val="0"/>
        </w:numPr>
        <w:tabs>
          <w:tab w:val="left" w:pos="-2268"/>
        </w:tabs>
        <w:suppressAutoHyphens/>
        <w:rPr>
          <w:spacing w:val="-3"/>
        </w:rPr>
      </w:pPr>
    </w:p>
    <w:p w14:paraId="5DBCFE59" w14:textId="7C1062BC" w:rsidR="003D5BDB" w:rsidRPr="00466E26" w:rsidRDefault="00E12C35" w:rsidP="000A1E20">
      <w:pPr>
        <w:pStyle w:val="Ttulo3"/>
      </w:pPr>
      <w:bookmarkStart w:id="2381" w:name="_Toc230879612"/>
      <w:r w:rsidRPr="00466E26">
        <w:t>Principales características técnicas y teóricas de los métodos de EMC</w:t>
      </w:r>
      <w:bookmarkEnd w:id="2381"/>
    </w:p>
    <w:p w14:paraId="3676841C" w14:textId="77777777" w:rsidR="003D5BDB" w:rsidRPr="00127BD4" w:rsidRDefault="003D5BDB" w:rsidP="003D5BDB">
      <w:pPr>
        <w:numPr>
          <w:ilvl w:val="12"/>
          <w:numId w:val="0"/>
        </w:numPr>
        <w:tabs>
          <w:tab w:val="left" w:pos="-2268"/>
        </w:tabs>
        <w:suppressAutoHyphens/>
        <w:rPr>
          <w:spacing w:val="-3"/>
        </w:rPr>
      </w:pPr>
    </w:p>
    <w:p w14:paraId="7DE318F3" w14:textId="1DD21196" w:rsidR="00ED4254" w:rsidRPr="004068F6" w:rsidRDefault="00412CAE" w:rsidP="00ED4254">
      <w:pPr>
        <w:numPr>
          <w:ilvl w:val="12"/>
          <w:numId w:val="0"/>
        </w:numPr>
        <w:tabs>
          <w:tab w:val="left" w:pos="-2268"/>
        </w:tabs>
        <w:suppressAutoHyphens/>
        <w:rPr>
          <w:spacing w:val="-3"/>
        </w:rPr>
      </w:pPr>
      <w:r w:rsidRPr="004068F6">
        <w:rPr>
          <w:spacing w:val="-3"/>
        </w:rPr>
        <w:t xml:space="preserve">A continuación, se mencionan algunos de los términos y características técnicas y teóricas más relevantes que deben tenerse en cuenta al </w:t>
      </w:r>
      <w:r w:rsidR="00B17BB4" w:rsidRPr="004068F6">
        <w:rPr>
          <w:spacing w:val="-3"/>
        </w:rPr>
        <w:t xml:space="preserve">seleccionar y </w:t>
      </w:r>
      <w:r w:rsidRPr="004068F6">
        <w:rPr>
          <w:spacing w:val="-3"/>
        </w:rPr>
        <w:t>desarrollar una EMC</w:t>
      </w:r>
      <w:r w:rsidRPr="004068F6">
        <w:rPr>
          <w:spacing w:val="-3"/>
          <w:vertAlign w:val="superscript"/>
        </w:rPr>
        <w:footnoteReference w:id="66"/>
      </w:r>
      <w:r w:rsidRPr="004068F6">
        <w:rPr>
          <w:spacing w:val="-3"/>
        </w:rPr>
        <w:t xml:space="preserve"> en el marco del DAA</w:t>
      </w:r>
      <w:r w:rsidR="00EA19A8" w:rsidRPr="004068F6">
        <w:rPr>
          <w:spacing w:val="-3"/>
        </w:rPr>
        <w:t xml:space="preserve">; estos </w:t>
      </w:r>
      <w:r w:rsidR="00ED4254" w:rsidRPr="004068F6">
        <w:rPr>
          <w:spacing w:val="-3"/>
        </w:rPr>
        <w:t>elementos permit</w:t>
      </w:r>
      <w:r w:rsidR="00EA19A8" w:rsidRPr="004068F6">
        <w:rPr>
          <w:spacing w:val="-3"/>
        </w:rPr>
        <w:t>e</w:t>
      </w:r>
      <w:r w:rsidR="00ED4254" w:rsidRPr="004068F6">
        <w:rPr>
          <w:spacing w:val="-3"/>
        </w:rPr>
        <w:t>n comprender, diferenciar y emplear apropiadamente los métodos disponibles.</w:t>
      </w:r>
      <w:r w:rsidR="003D5BDB" w:rsidRPr="004068F6">
        <w:rPr>
          <w:spacing w:val="-3"/>
        </w:rPr>
        <w:t xml:space="preserve"> </w:t>
      </w:r>
      <w:r w:rsidR="007A25FC" w:rsidRPr="004068F6">
        <w:rPr>
          <w:spacing w:val="-3"/>
        </w:rPr>
        <w:t>L</w:t>
      </w:r>
      <w:r w:rsidR="003D5BDB" w:rsidRPr="004068F6">
        <w:rPr>
          <w:spacing w:val="-3"/>
        </w:rPr>
        <w:t xml:space="preserve">a </w:t>
      </w:r>
      <w:r w:rsidR="003D5BDB" w:rsidRPr="004068F6">
        <w:rPr>
          <w:spacing w:val="-3"/>
        </w:rPr>
        <w:fldChar w:fldCharType="begin"/>
      </w:r>
      <w:r w:rsidR="003D5BDB" w:rsidRPr="004068F6">
        <w:rPr>
          <w:spacing w:val="-3"/>
        </w:rPr>
        <w:instrText xml:space="preserve"> REF _Ref138759265 \h  \* MERGEFORMAT </w:instrText>
      </w:r>
      <w:r w:rsidR="003D5BDB" w:rsidRPr="004068F6">
        <w:rPr>
          <w:spacing w:val="-3"/>
        </w:rPr>
      </w:r>
      <w:r w:rsidR="003D5BDB" w:rsidRPr="004068F6">
        <w:rPr>
          <w:spacing w:val="-3"/>
        </w:rPr>
        <w:fldChar w:fldCharType="separate"/>
      </w:r>
      <w:r w:rsidR="009C4A81" w:rsidRPr="004068F6">
        <w:t xml:space="preserve">Tabla </w:t>
      </w:r>
      <w:r w:rsidR="009C4A81">
        <w:t>14</w:t>
      </w:r>
      <w:r w:rsidR="003D5BDB" w:rsidRPr="004068F6">
        <w:rPr>
          <w:spacing w:val="-3"/>
        </w:rPr>
        <w:fldChar w:fldCharType="end"/>
      </w:r>
      <w:r w:rsidR="003D5BDB" w:rsidRPr="004068F6">
        <w:rPr>
          <w:spacing w:val="-3"/>
        </w:rPr>
        <w:t xml:space="preserve"> </w:t>
      </w:r>
      <w:r w:rsidR="00D46C94" w:rsidRPr="004068F6">
        <w:rPr>
          <w:spacing w:val="-3"/>
        </w:rPr>
        <w:t xml:space="preserve">describe </w:t>
      </w:r>
      <w:r w:rsidR="003D5BDB" w:rsidRPr="004068F6">
        <w:rPr>
          <w:spacing w:val="-3"/>
        </w:rPr>
        <w:t>un conjunto de métodos de EMC</w:t>
      </w:r>
      <w:r w:rsidR="00D46C94" w:rsidRPr="004068F6">
        <w:rPr>
          <w:spacing w:val="-3"/>
        </w:rPr>
        <w:t xml:space="preserve"> a partir de estas características</w:t>
      </w:r>
      <w:r w:rsidR="003D5BDB" w:rsidRPr="004068F6">
        <w:rPr>
          <w:spacing w:val="-3"/>
        </w:rPr>
        <w:t>.</w:t>
      </w:r>
    </w:p>
    <w:p w14:paraId="0C410F60" w14:textId="77777777" w:rsidR="00ED4254" w:rsidRPr="004068F6" w:rsidRDefault="00ED4254" w:rsidP="00ED4254">
      <w:pPr>
        <w:numPr>
          <w:ilvl w:val="12"/>
          <w:numId w:val="0"/>
        </w:numPr>
        <w:tabs>
          <w:tab w:val="left" w:pos="-2268"/>
        </w:tabs>
        <w:suppressAutoHyphens/>
        <w:rPr>
          <w:spacing w:val="-3"/>
        </w:rPr>
      </w:pPr>
    </w:p>
    <w:p w14:paraId="36F79B56" w14:textId="12BF361A" w:rsidR="00ED4254" w:rsidRPr="004068F6" w:rsidRDefault="00ED4254" w:rsidP="00ED4254">
      <w:pPr>
        <w:numPr>
          <w:ilvl w:val="0"/>
          <w:numId w:val="651"/>
        </w:numPr>
        <w:tabs>
          <w:tab w:val="left" w:pos="-2268"/>
        </w:tabs>
        <w:suppressAutoHyphens/>
        <w:ind w:left="567" w:hanging="567"/>
        <w:rPr>
          <w:spacing w:val="-3"/>
        </w:rPr>
      </w:pPr>
      <w:r w:rsidRPr="004068F6">
        <w:rPr>
          <w:b/>
          <w:bCs/>
          <w:spacing w:val="-3"/>
        </w:rPr>
        <w:t>Actores involucrados</w:t>
      </w:r>
      <w:r w:rsidRPr="004068F6">
        <w:rPr>
          <w:spacing w:val="-3"/>
        </w:rPr>
        <w:t xml:space="preserve">. Los actores que interactúan en el proceso de </w:t>
      </w:r>
      <w:r w:rsidR="005612F7" w:rsidRPr="004068F6">
        <w:rPr>
          <w:spacing w:val="-3"/>
        </w:rPr>
        <w:t xml:space="preserve">elaboración de </w:t>
      </w:r>
      <w:r w:rsidR="00604C67" w:rsidRPr="004068F6">
        <w:rPr>
          <w:spacing w:val="-3"/>
        </w:rPr>
        <w:t xml:space="preserve">los </w:t>
      </w:r>
      <w:r w:rsidR="005612F7" w:rsidRPr="004068F6">
        <w:rPr>
          <w:spacing w:val="-3"/>
        </w:rPr>
        <w:t xml:space="preserve">estudios </w:t>
      </w:r>
      <w:r w:rsidRPr="004068F6">
        <w:rPr>
          <w:spacing w:val="-3"/>
        </w:rPr>
        <w:t>ambiental</w:t>
      </w:r>
      <w:r w:rsidR="005612F7" w:rsidRPr="004068F6">
        <w:rPr>
          <w:spacing w:val="-3"/>
        </w:rPr>
        <w:t>es</w:t>
      </w:r>
      <w:r w:rsidRPr="004068F6">
        <w:rPr>
          <w:spacing w:val="-3"/>
        </w:rPr>
        <w:t xml:space="preserve"> corresponden fundamentalmente al elaborador del estudio ambiental, los grupos de interés que podrían verse impactados por las alternativas y a otros actores de relevancia como las autoridades en el área de estudio, los institutos de investigación y la academia.</w:t>
      </w:r>
    </w:p>
    <w:p w14:paraId="540EF454" w14:textId="77777777" w:rsidR="00ED4254" w:rsidRPr="004068F6" w:rsidRDefault="00ED4254" w:rsidP="00ED4254">
      <w:pPr>
        <w:numPr>
          <w:ilvl w:val="12"/>
          <w:numId w:val="0"/>
        </w:numPr>
        <w:tabs>
          <w:tab w:val="left" w:pos="-2268"/>
        </w:tabs>
        <w:suppressAutoHyphens/>
        <w:rPr>
          <w:spacing w:val="-3"/>
        </w:rPr>
      </w:pPr>
    </w:p>
    <w:p w14:paraId="5CC01C4C" w14:textId="63FA9606" w:rsidR="00ED4254" w:rsidRPr="004068F6" w:rsidRDefault="00ED4254" w:rsidP="00ED4254">
      <w:pPr>
        <w:numPr>
          <w:ilvl w:val="12"/>
          <w:numId w:val="0"/>
        </w:numPr>
        <w:tabs>
          <w:tab w:val="left" w:pos="-2268"/>
        </w:tabs>
        <w:suppressAutoHyphens/>
        <w:ind w:left="567"/>
        <w:rPr>
          <w:spacing w:val="-3"/>
        </w:rPr>
      </w:pPr>
      <w:r w:rsidRPr="004068F6">
        <w:rPr>
          <w:spacing w:val="-3"/>
        </w:rPr>
        <w:t xml:space="preserve">Para desarrollar la EMC es necesario no sólo determinar cuáles son los actores involucrados en cada caso particular de evaluación, sino también, conocer sus propuestas e inquietudes siguiendo los lineamientos de participación establecidos en el numeral </w:t>
      </w:r>
      <w:r w:rsidRPr="004068F6">
        <w:rPr>
          <w:spacing w:val="-3"/>
        </w:rPr>
        <w:fldChar w:fldCharType="begin"/>
      </w:r>
      <w:r w:rsidRPr="004068F6">
        <w:rPr>
          <w:spacing w:val="-3"/>
        </w:rPr>
        <w:instrText xml:space="preserve"> REF _Ref146530329 \r \h  \* MERGEFORMAT </w:instrText>
      </w:r>
      <w:r w:rsidRPr="004068F6">
        <w:rPr>
          <w:spacing w:val="-3"/>
        </w:rPr>
      </w:r>
      <w:r w:rsidRPr="004068F6">
        <w:rPr>
          <w:spacing w:val="-3"/>
        </w:rPr>
        <w:fldChar w:fldCharType="separate"/>
      </w:r>
      <w:r w:rsidR="009C4A81">
        <w:rPr>
          <w:spacing w:val="-3"/>
        </w:rPr>
        <w:t>3</w:t>
      </w:r>
      <w:r w:rsidRPr="004068F6">
        <w:rPr>
          <w:spacing w:val="-3"/>
        </w:rPr>
        <w:fldChar w:fldCharType="end"/>
      </w:r>
      <w:r w:rsidRPr="004068F6">
        <w:rPr>
          <w:spacing w:val="-3"/>
        </w:rPr>
        <w:t xml:space="preserve"> de este capítulo, dado que los aportes que surgen </w:t>
      </w:r>
      <w:r w:rsidRPr="004068F6">
        <w:rPr>
          <w:spacing w:val="-3"/>
        </w:rPr>
        <w:lastRenderedPageBreak/>
        <w:t>de este proceso permiten evidenciar otros puntos de vista y mejorar la calidad de la información que empleará la EMC.</w:t>
      </w:r>
    </w:p>
    <w:p w14:paraId="510A6B05" w14:textId="77777777" w:rsidR="00ED4254" w:rsidRPr="004068F6" w:rsidRDefault="00ED4254" w:rsidP="00ED4254">
      <w:pPr>
        <w:numPr>
          <w:ilvl w:val="12"/>
          <w:numId w:val="0"/>
        </w:numPr>
        <w:tabs>
          <w:tab w:val="left" w:pos="-2268"/>
        </w:tabs>
        <w:suppressAutoHyphens/>
        <w:rPr>
          <w:spacing w:val="-3"/>
        </w:rPr>
      </w:pPr>
    </w:p>
    <w:p w14:paraId="17B88FBC" w14:textId="33778A3B" w:rsidR="00ED4254" w:rsidRPr="004068F6" w:rsidRDefault="00ED4254" w:rsidP="00ED4254">
      <w:pPr>
        <w:numPr>
          <w:ilvl w:val="0"/>
          <w:numId w:val="651"/>
        </w:numPr>
        <w:tabs>
          <w:tab w:val="left" w:pos="-2268"/>
        </w:tabs>
        <w:suppressAutoHyphens/>
        <w:ind w:left="567" w:hanging="567"/>
        <w:rPr>
          <w:spacing w:val="-3"/>
        </w:rPr>
      </w:pPr>
      <w:r w:rsidRPr="004068F6">
        <w:rPr>
          <w:b/>
          <w:bCs/>
          <w:spacing w:val="-3"/>
        </w:rPr>
        <w:t>Matriz de evaluación</w:t>
      </w:r>
      <w:r w:rsidRPr="004068F6">
        <w:rPr>
          <w:spacing w:val="-3"/>
        </w:rPr>
        <w:t xml:space="preserve">. Una característica estándar que es común a todos los métodos de EMC es la Matriz de evaluación, también conocida como Matriz desempeño o Matriz de impacto (Guitouni &amp; Martel, 1998; Munda, 2008; DCLG, 2009). Esta es una matriz en la cual se disponen las alternativas (generalmente en las columnas) y los criterios de evaluación (generalmente en las filas), de forma que es posible asignar en cada celda, la preferencia o evaluación del desempeño de las alternativas para cada criterio (ver </w:t>
      </w:r>
      <w:r w:rsidRPr="004068F6">
        <w:rPr>
          <w:spacing w:val="-3"/>
        </w:rPr>
        <w:fldChar w:fldCharType="begin"/>
      </w:r>
      <w:r w:rsidRPr="004068F6">
        <w:rPr>
          <w:spacing w:val="-3"/>
        </w:rPr>
        <w:instrText xml:space="preserve"> REF _Ref121128187 \h  \* MERGEFORMAT </w:instrText>
      </w:r>
      <w:r w:rsidRPr="004068F6">
        <w:rPr>
          <w:spacing w:val="-3"/>
        </w:rPr>
      </w:r>
      <w:r w:rsidRPr="004068F6">
        <w:rPr>
          <w:spacing w:val="-3"/>
        </w:rPr>
        <w:fldChar w:fldCharType="separate"/>
      </w:r>
      <w:r w:rsidR="009C4A81" w:rsidRPr="009C4A81">
        <w:rPr>
          <w:spacing w:val="-3"/>
        </w:rPr>
        <w:t>Tabla 13</w:t>
      </w:r>
      <w:r w:rsidRPr="004068F6">
        <w:rPr>
          <w:spacing w:val="-3"/>
        </w:rPr>
        <w:fldChar w:fldCharType="end"/>
      </w:r>
      <w:r w:rsidRPr="004068F6">
        <w:rPr>
          <w:spacing w:val="-3"/>
        </w:rPr>
        <w:t>).</w:t>
      </w:r>
    </w:p>
    <w:p w14:paraId="1E6EEEE0" w14:textId="77777777" w:rsidR="00ED4254" w:rsidRDefault="00ED4254" w:rsidP="00ED4254">
      <w:pPr>
        <w:numPr>
          <w:ilvl w:val="12"/>
          <w:numId w:val="0"/>
        </w:numPr>
        <w:tabs>
          <w:tab w:val="left" w:pos="-2268"/>
        </w:tabs>
        <w:suppressAutoHyphens/>
        <w:rPr>
          <w:spacing w:val="-3"/>
        </w:rPr>
      </w:pPr>
    </w:p>
    <w:p w14:paraId="20CEB71B" w14:textId="59BDF146" w:rsidR="00ED4254" w:rsidRPr="004068F6" w:rsidRDefault="00ED4254" w:rsidP="00ED4254">
      <w:pPr>
        <w:numPr>
          <w:ilvl w:val="12"/>
          <w:numId w:val="0"/>
        </w:numPr>
        <w:tabs>
          <w:tab w:val="left" w:pos="-2268"/>
        </w:tabs>
        <w:suppressAutoHyphens/>
        <w:jc w:val="center"/>
        <w:rPr>
          <w:spacing w:val="-3"/>
        </w:rPr>
      </w:pPr>
      <w:bookmarkStart w:id="2382" w:name="_Ref121128187"/>
      <w:r w:rsidRPr="004068F6">
        <w:rPr>
          <w:b/>
          <w:bCs/>
          <w:spacing w:val="-3"/>
        </w:rPr>
        <w:t xml:space="preserve">Tabla </w:t>
      </w:r>
      <w:r w:rsidRPr="004068F6">
        <w:rPr>
          <w:b/>
          <w:bCs/>
          <w:spacing w:val="-3"/>
        </w:rPr>
        <w:fldChar w:fldCharType="begin"/>
      </w:r>
      <w:r w:rsidRPr="004068F6">
        <w:rPr>
          <w:b/>
          <w:bCs/>
          <w:spacing w:val="-3"/>
        </w:rPr>
        <w:instrText xml:space="preserve"> SEQ Tabla \* ARABIC </w:instrText>
      </w:r>
      <w:r w:rsidRPr="004068F6">
        <w:rPr>
          <w:b/>
          <w:bCs/>
          <w:spacing w:val="-3"/>
        </w:rPr>
        <w:fldChar w:fldCharType="separate"/>
      </w:r>
      <w:r w:rsidR="009C4A81">
        <w:rPr>
          <w:b/>
          <w:bCs/>
          <w:noProof/>
          <w:spacing w:val="-3"/>
        </w:rPr>
        <w:t>13</w:t>
      </w:r>
      <w:r w:rsidRPr="004068F6">
        <w:rPr>
          <w:spacing w:val="-3"/>
        </w:rPr>
        <w:fldChar w:fldCharType="end"/>
      </w:r>
      <w:bookmarkEnd w:id="2382"/>
      <w:r w:rsidRPr="004068F6">
        <w:rPr>
          <w:b/>
          <w:bCs/>
          <w:spacing w:val="-3"/>
        </w:rPr>
        <w:t xml:space="preserve">. </w:t>
      </w:r>
      <w:r w:rsidRPr="004068F6">
        <w:rPr>
          <w:spacing w:val="-3"/>
        </w:rPr>
        <w:t>Ejemplo de Matriz de evaluación de alternativas</w:t>
      </w:r>
    </w:p>
    <w:tbl>
      <w:tblPr>
        <w:tblStyle w:val="Tablaconcuadrcula"/>
        <w:tblW w:w="0" w:type="auto"/>
        <w:jc w:val="center"/>
        <w:tblLook w:val="04A0" w:firstRow="1" w:lastRow="0" w:firstColumn="1" w:lastColumn="0" w:noHBand="0" w:noVBand="1"/>
      </w:tblPr>
      <w:tblGrid>
        <w:gridCol w:w="1713"/>
        <w:gridCol w:w="1661"/>
        <w:gridCol w:w="1662"/>
        <w:gridCol w:w="1661"/>
        <w:gridCol w:w="1662"/>
      </w:tblGrid>
      <w:tr w:rsidR="00ED4254" w:rsidRPr="004068F6" w14:paraId="1908DFD1" w14:textId="77777777" w:rsidTr="004C05FC">
        <w:trPr>
          <w:trHeight w:hRule="exact" w:val="567"/>
          <w:jc w:val="center"/>
        </w:trPr>
        <w:tc>
          <w:tcPr>
            <w:tcW w:w="1713" w:type="dxa"/>
            <w:vAlign w:val="center"/>
          </w:tcPr>
          <w:p w14:paraId="35535556" w14:textId="77777777" w:rsidR="00ED4254" w:rsidRPr="004068F6" w:rsidRDefault="00ED4254" w:rsidP="004C05FC">
            <w:pPr>
              <w:numPr>
                <w:ilvl w:val="12"/>
                <w:numId w:val="0"/>
              </w:numPr>
              <w:tabs>
                <w:tab w:val="left" w:pos="-2268"/>
              </w:tabs>
              <w:suppressAutoHyphens/>
              <w:jc w:val="center"/>
              <w:rPr>
                <w:b/>
                <w:bCs/>
                <w:spacing w:val="-3"/>
                <w:sz w:val="22"/>
                <w:szCs w:val="22"/>
              </w:rPr>
            </w:pPr>
          </w:p>
        </w:tc>
        <w:tc>
          <w:tcPr>
            <w:tcW w:w="1661" w:type="dxa"/>
            <w:vAlign w:val="center"/>
          </w:tcPr>
          <w:p w14:paraId="58FD8581" w14:textId="77777777" w:rsidR="00ED4254" w:rsidRPr="004068F6" w:rsidRDefault="00ED4254" w:rsidP="004C05FC">
            <w:pPr>
              <w:numPr>
                <w:ilvl w:val="12"/>
                <w:numId w:val="0"/>
              </w:numPr>
              <w:tabs>
                <w:tab w:val="left" w:pos="-2268"/>
              </w:tabs>
              <w:suppressAutoHyphens/>
              <w:jc w:val="center"/>
              <w:rPr>
                <w:b/>
                <w:bCs/>
                <w:spacing w:val="-3"/>
                <w:sz w:val="22"/>
                <w:szCs w:val="22"/>
              </w:rPr>
            </w:pPr>
            <w:r w:rsidRPr="004068F6">
              <w:rPr>
                <w:b/>
                <w:bCs/>
                <w:spacing w:val="-3"/>
                <w:sz w:val="22"/>
                <w:szCs w:val="22"/>
              </w:rPr>
              <w:t>Alternativa 1</w:t>
            </w:r>
          </w:p>
        </w:tc>
        <w:tc>
          <w:tcPr>
            <w:tcW w:w="1662" w:type="dxa"/>
            <w:vAlign w:val="center"/>
          </w:tcPr>
          <w:p w14:paraId="10F787B9" w14:textId="77777777" w:rsidR="00ED4254" w:rsidRPr="004068F6" w:rsidRDefault="00ED4254" w:rsidP="004C05FC">
            <w:pPr>
              <w:numPr>
                <w:ilvl w:val="12"/>
                <w:numId w:val="0"/>
              </w:numPr>
              <w:tabs>
                <w:tab w:val="left" w:pos="-2268"/>
              </w:tabs>
              <w:suppressAutoHyphens/>
              <w:jc w:val="center"/>
              <w:rPr>
                <w:b/>
                <w:bCs/>
                <w:spacing w:val="-3"/>
                <w:sz w:val="22"/>
                <w:szCs w:val="22"/>
              </w:rPr>
            </w:pPr>
            <w:r w:rsidRPr="004068F6">
              <w:rPr>
                <w:b/>
                <w:bCs/>
                <w:spacing w:val="-3"/>
                <w:sz w:val="22"/>
                <w:szCs w:val="22"/>
              </w:rPr>
              <w:t>Alternativa 2</w:t>
            </w:r>
          </w:p>
        </w:tc>
        <w:tc>
          <w:tcPr>
            <w:tcW w:w="1661" w:type="dxa"/>
            <w:vAlign w:val="center"/>
          </w:tcPr>
          <w:p w14:paraId="031E803B" w14:textId="77777777" w:rsidR="00ED4254" w:rsidRPr="004068F6" w:rsidRDefault="00ED4254" w:rsidP="004C05FC">
            <w:pPr>
              <w:numPr>
                <w:ilvl w:val="12"/>
                <w:numId w:val="0"/>
              </w:numPr>
              <w:tabs>
                <w:tab w:val="left" w:pos="-2268"/>
              </w:tabs>
              <w:suppressAutoHyphens/>
              <w:jc w:val="center"/>
              <w:rPr>
                <w:b/>
                <w:bCs/>
                <w:spacing w:val="-3"/>
                <w:sz w:val="22"/>
                <w:szCs w:val="22"/>
              </w:rPr>
            </w:pPr>
            <w:r w:rsidRPr="004068F6">
              <w:rPr>
                <w:b/>
                <w:bCs/>
                <w:spacing w:val="-3"/>
                <w:sz w:val="22"/>
                <w:szCs w:val="22"/>
              </w:rPr>
              <w:t>Alternativa 3</w:t>
            </w:r>
          </w:p>
        </w:tc>
        <w:tc>
          <w:tcPr>
            <w:tcW w:w="1662" w:type="dxa"/>
            <w:vAlign w:val="center"/>
          </w:tcPr>
          <w:p w14:paraId="4429F781" w14:textId="77777777" w:rsidR="00ED4254" w:rsidRPr="004068F6" w:rsidRDefault="00ED4254" w:rsidP="004C05FC">
            <w:pPr>
              <w:numPr>
                <w:ilvl w:val="12"/>
                <w:numId w:val="0"/>
              </w:numPr>
              <w:tabs>
                <w:tab w:val="left" w:pos="-2268"/>
              </w:tabs>
              <w:suppressAutoHyphens/>
              <w:jc w:val="center"/>
              <w:rPr>
                <w:b/>
                <w:bCs/>
                <w:spacing w:val="-3"/>
                <w:sz w:val="22"/>
                <w:szCs w:val="22"/>
              </w:rPr>
            </w:pPr>
            <w:r w:rsidRPr="004068F6">
              <w:rPr>
                <w:b/>
                <w:bCs/>
                <w:spacing w:val="-3"/>
                <w:sz w:val="22"/>
                <w:szCs w:val="22"/>
              </w:rPr>
              <w:t>Alternativa n</w:t>
            </w:r>
          </w:p>
        </w:tc>
      </w:tr>
      <w:tr w:rsidR="00ED4254" w:rsidRPr="004068F6" w14:paraId="120742B7" w14:textId="77777777">
        <w:trPr>
          <w:jc w:val="center"/>
        </w:trPr>
        <w:tc>
          <w:tcPr>
            <w:tcW w:w="1713" w:type="dxa"/>
          </w:tcPr>
          <w:p w14:paraId="047F1824" w14:textId="77777777" w:rsidR="00ED4254" w:rsidRPr="004068F6" w:rsidRDefault="00ED4254">
            <w:pPr>
              <w:numPr>
                <w:ilvl w:val="12"/>
                <w:numId w:val="0"/>
              </w:numPr>
              <w:tabs>
                <w:tab w:val="left" w:pos="-2268"/>
              </w:tabs>
              <w:suppressAutoHyphens/>
              <w:rPr>
                <w:b/>
                <w:bCs/>
                <w:spacing w:val="-3"/>
                <w:sz w:val="22"/>
                <w:szCs w:val="22"/>
              </w:rPr>
            </w:pPr>
            <w:r w:rsidRPr="004068F6">
              <w:rPr>
                <w:b/>
                <w:bCs/>
                <w:spacing w:val="-3"/>
                <w:sz w:val="22"/>
                <w:szCs w:val="22"/>
              </w:rPr>
              <w:t>Criterio 1</w:t>
            </w:r>
          </w:p>
        </w:tc>
        <w:tc>
          <w:tcPr>
            <w:tcW w:w="1661" w:type="dxa"/>
          </w:tcPr>
          <w:p w14:paraId="1ACDCDEF"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1</w:t>
            </w:r>
            <w:r w:rsidRPr="004068F6">
              <w:rPr>
                <w:spacing w:val="-3"/>
                <w:sz w:val="22"/>
                <w:szCs w:val="22"/>
              </w:rPr>
              <w:t xml:space="preserve"> C</w:t>
            </w:r>
            <w:r w:rsidRPr="004068F6">
              <w:rPr>
                <w:spacing w:val="-3"/>
                <w:sz w:val="22"/>
                <w:szCs w:val="22"/>
                <w:vertAlign w:val="subscript"/>
              </w:rPr>
              <w:t>1</w:t>
            </w:r>
          </w:p>
        </w:tc>
        <w:tc>
          <w:tcPr>
            <w:tcW w:w="1662" w:type="dxa"/>
          </w:tcPr>
          <w:p w14:paraId="64620DC8"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2</w:t>
            </w:r>
            <w:r w:rsidRPr="004068F6">
              <w:rPr>
                <w:spacing w:val="-3"/>
                <w:sz w:val="22"/>
                <w:szCs w:val="22"/>
              </w:rPr>
              <w:t xml:space="preserve"> C</w:t>
            </w:r>
            <w:r w:rsidRPr="004068F6">
              <w:rPr>
                <w:spacing w:val="-3"/>
                <w:sz w:val="22"/>
                <w:szCs w:val="22"/>
                <w:vertAlign w:val="subscript"/>
              </w:rPr>
              <w:t>1</w:t>
            </w:r>
          </w:p>
        </w:tc>
        <w:tc>
          <w:tcPr>
            <w:tcW w:w="1661" w:type="dxa"/>
          </w:tcPr>
          <w:p w14:paraId="20B7A832"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3</w:t>
            </w:r>
            <w:r w:rsidRPr="004068F6">
              <w:rPr>
                <w:spacing w:val="-3"/>
                <w:sz w:val="22"/>
                <w:szCs w:val="22"/>
              </w:rPr>
              <w:t xml:space="preserve"> C</w:t>
            </w:r>
            <w:r w:rsidRPr="004068F6">
              <w:rPr>
                <w:spacing w:val="-3"/>
                <w:sz w:val="22"/>
                <w:szCs w:val="22"/>
                <w:vertAlign w:val="subscript"/>
              </w:rPr>
              <w:t>1</w:t>
            </w:r>
          </w:p>
        </w:tc>
        <w:tc>
          <w:tcPr>
            <w:tcW w:w="1662" w:type="dxa"/>
          </w:tcPr>
          <w:p w14:paraId="40BC4747"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n</w:t>
            </w:r>
            <w:r w:rsidRPr="004068F6">
              <w:rPr>
                <w:spacing w:val="-3"/>
                <w:sz w:val="22"/>
                <w:szCs w:val="22"/>
              </w:rPr>
              <w:t xml:space="preserve"> C</w:t>
            </w:r>
            <w:r w:rsidRPr="004068F6">
              <w:rPr>
                <w:spacing w:val="-3"/>
                <w:sz w:val="22"/>
                <w:szCs w:val="22"/>
                <w:vertAlign w:val="subscript"/>
              </w:rPr>
              <w:t>1</w:t>
            </w:r>
          </w:p>
        </w:tc>
      </w:tr>
      <w:tr w:rsidR="00ED4254" w:rsidRPr="004068F6" w14:paraId="324F73DD" w14:textId="77777777">
        <w:trPr>
          <w:jc w:val="center"/>
        </w:trPr>
        <w:tc>
          <w:tcPr>
            <w:tcW w:w="1713" w:type="dxa"/>
          </w:tcPr>
          <w:p w14:paraId="3B972ABE" w14:textId="77777777" w:rsidR="00ED4254" w:rsidRPr="004068F6" w:rsidRDefault="00ED4254">
            <w:pPr>
              <w:numPr>
                <w:ilvl w:val="12"/>
                <w:numId w:val="0"/>
              </w:numPr>
              <w:tabs>
                <w:tab w:val="left" w:pos="-2268"/>
              </w:tabs>
              <w:suppressAutoHyphens/>
              <w:rPr>
                <w:b/>
                <w:bCs/>
                <w:spacing w:val="-3"/>
                <w:sz w:val="22"/>
                <w:szCs w:val="22"/>
              </w:rPr>
            </w:pPr>
            <w:r w:rsidRPr="004068F6">
              <w:rPr>
                <w:b/>
                <w:bCs/>
                <w:spacing w:val="-3"/>
                <w:sz w:val="22"/>
                <w:szCs w:val="22"/>
              </w:rPr>
              <w:t>Criterio 2</w:t>
            </w:r>
          </w:p>
        </w:tc>
        <w:tc>
          <w:tcPr>
            <w:tcW w:w="1661" w:type="dxa"/>
          </w:tcPr>
          <w:p w14:paraId="314F80B5"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1</w:t>
            </w:r>
            <w:r w:rsidRPr="004068F6">
              <w:rPr>
                <w:spacing w:val="-3"/>
                <w:sz w:val="22"/>
                <w:szCs w:val="22"/>
              </w:rPr>
              <w:t xml:space="preserve"> C</w:t>
            </w:r>
            <w:r w:rsidRPr="004068F6">
              <w:rPr>
                <w:spacing w:val="-3"/>
                <w:sz w:val="22"/>
                <w:szCs w:val="22"/>
                <w:vertAlign w:val="subscript"/>
              </w:rPr>
              <w:t>2</w:t>
            </w:r>
          </w:p>
        </w:tc>
        <w:tc>
          <w:tcPr>
            <w:tcW w:w="1662" w:type="dxa"/>
          </w:tcPr>
          <w:p w14:paraId="520976BF"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2</w:t>
            </w:r>
            <w:r w:rsidRPr="004068F6">
              <w:rPr>
                <w:spacing w:val="-3"/>
                <w:sz w:val="22"/>
                <w:szCs w:val="22"/>
              </w:rPr>
              <w:t xml:space="preserve"> C</w:t>
            </w:r>
            <w:r w:rsidRPr="004068F6">
              <w:rPr>
                <w:spacing w:val="-3"/>
                <w:sz w:val="22"/>
                <w:szCs w:val="22"/>
                <w:vertAlign w:val="subscript"/>
              </w:rPr>
              <w:t>2</w:t>
            </w:r>
          </w:p>
        </w:tc>
        <w:tc>
          <w:tcPr>
            <w:tcW w:w="1661" w:type="dxa"/>
          </w:tcPr>
          <w:p w14:paraId="501D52CE"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3</w:t>
            </w:r>
            <w:r w:rsidRPr="004068F6">
              <w:rPr>
                <w:spacing w:val="-3"/>
                <w:sz w:val="22"/>
                <w:szCs w:val="22"/>
              </w:rPr>
              <w:t xml:space="preserve"> C</w:t>
            </w:r>
            <w:r w:rsidRPr="004068F6">
              <w:rPr>
                <w:spacing w:val="-3"/>
                <w:sz w:val="22"/>
                <w:szCs w:val="22"/>
                <w:vertAlign w:val="subscript"/>
              </w:rPr>
              <w:t>2</w:t>
            </w:r>
          </w:p>
        </w:tc>
        <w:tc>
          <w:tcPr>
            <w:tcW w:w="1662" w:type="dxa"/>
          </w:tcPr>
          <w:p w14:paraId="0FFE8560"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n</w:t>
            </w:r>
            <w:r w:rsidRPr="004068F6">
              <w:rPr>
                <w:spacing w:val="-3"/>
                <w:sz w:val="22"/>
                <w:szCs w:val="22"/>
              </w:rPr>
              <w:t xml:space="preserve"> C</w:t>
            </w:r>
            <w:r w:rsidRPr="004068F6">
              <w:rPr>
                <w:spacing w:val="-3"/>
                <w:sz w:val="22"/>
                <w:szCs w:val="22"/>
                <w:vertAlign w:val="subscript"/>
              </w:rPr>
              <w:t>2</w:t>
            </w:r>
          </w:p>
        </w:tc>
      </w:tr>
      <w:tr w:rsidR="00ED4254" w:rsidRPr="004068F6" w14:paraId="4DD899D4" w14:textId="77777777">
        <w:trPr>
          <w:jc w:val="center"/>
        </w:trPr>
        <w:tc>
          <w:tcPr>
            <w:tcW w:w="1713" w:type="dxa"/>
          </w:tcPr>
          <w:p w14:paraId="2D1CC3C5" w14:textId="77777777" w:rsidR="00ED4254" w:rsidRPr="004068F6" w:rsidRDefault="00ED4254">
            <w:pPr>
              <w:numPr>
                <w:ilvl w:val="12"/>
                <w:numId w:val="0"/>
              </w:numPr>
              <w:tabs>
                <w:tab w:val="left" w:pos="-2268"/>
              </w:tabs>
              <w:suppressAutoHyphens/>
              <w:rPr>
                <w:b/>
                <w:bCs/>
                <w:spacing w:val="-3"/>
                <w:sz w:val="22"/>
                <w:szCs w:val="22"/>
              </w:rPr>
            </w:pPr>
            <w:r w:rsidRPr="004068F6">
              <w:rPr>
                <w:b/>
                <w:bCs/>
                <w:spacing w:val="-3"/>
                <w:sz w:val="22"/>
                <w:szCs w:val="22"/>
              </w:rPr>
              <w:t>Criterio 3</w:t>
            </w:r>
          </w:p>
        </w:tc>
        <w:tc>
          <w:tcPr>
            <w:tcW w:w="1661" w:type="dxa"/>
          </w:tcPr>
          <w:p w14:paraId="438F3847"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1</w:t>
            </w:r>
            <w:r w:rsidRPr="004068F6">
              <w:rPr>
                <w:spacing w:val="-3"/>
                <w:sz w:val="22"/>
                <w:szCs w:val="22"/>
              </w:rPr>
              <w:t xml:space="preserve"> C</w:t>
            </w:r>
            <w:r w:rsidRPr="004068F6">
              <w:rPr>
                <w:spacing w:val="-3"/>
                <w:sz w:val="22"/>
                <w:szCs w:val="22"/>
                <w:vertAlign w:val="subscript"/>
              </w:rPr>
              <w:t>3</w:t>
            </w:r>
          </w:p>
        </w:tc>
        <w:tc>
          <w:tcPr>
            <w:tcW w:w="1662" w:type="dxa"/>
          </w:tcPr>
          <w:p w14:paraId="686EE238"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2</w:t>
            </w:r>
            <w:r w:rsidRPr="004068F6">
              <w:rPr>
                <w:spacing w:val="-3"/>
                <w:sz w:val="22"/>
                <w:szCs w:val="22"/>
              </w:rPr>
              <w:t xml:space="preserve"> C</w:t>
            </w:r>
            <w:r w:rsidRPr="004068F6">
              <w:rPr>
                <w:spacing w:val="-3"/>
                <w:sz w:val="22"/>
                <w:szCs w:val="22"/>
                <w:vertAlign w:val="subscript"/>
              </w:rPr>
              <w:t>3</w:t>
            </w:r>
          </w:p>
        </w:tc>
        <w:tc>
          <w:tcPr>
            <w:tcW w:w="1661" w:type="dxa"/>
          </w:tcPr>
          <w:p w14:paraId="00E963CD"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3</w:t>
            </w:r>
            <w:r w:rsidRPr="004068F6">
              <w:rPr>
                <w:spacing w:val="-3"/>
                <w:sz w:val="22"/>
                <w:szCs w:val="22"/>
              </w:rPr>
              <w:t xml:space="preserve"> C</w:t>
            </w:r>
            <w:r w:rsidRPr="004068F6">
              <w:rPr>
                <w:spacing w:val="-3"/>
                <w:sz w:val="22"/>
                <w:szCs w:val="22"/>
                <w:vertAlign w:val="subscript"/>
              </w:rPr>
              <w:t>3</w:t>
            </w:r>
          </w:p>
        </w:tc>
        <w:tc>
          <w:tcPr>
            <w:tcW w:w="1662" w:type="dxa"/>
          </w:tcPr>
          <w:p w14:paraId="14A660B4"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n</w:t>
            </w:r>
            <w:r w:rsidRPr="004068F6">
              <w:rPr>
                <w:spacing w:val="-3"/>
                <w:sz w:val="22"/>
                <w:szCs w:val="22"/>
              </w:rPr>
              <w:t xml:space="preserve"> C</w:t>
            </w:r>
            <w:r w:rsidRPr="004068F6">
              <w:rPr>
                <w:spacing w:val="-3"/>
                <w:sz w:val="22"/>
                <w:szCs w:val="22"/>
                <w:vertAlign w:val="subscript"/>
              </w:rPr>
              <w:t>3</w:t>
            </w:r>
          </w:p>
        </w:tc>
      </w:tr>
      <w:tr w:rsidR="00ED4254" w:rsidRPr="004068F6" w14:paraId="696A8E78" w14:textId="77777777">
        <w:trPr>
          <w:jc w:val="center"/>
        </w:trPr>
        <w:tc>
          <w:tcPr>
            <w:tcW w:w="1713" w:type="dxa"/>
          </w:tcPr>
          <w:p w14:paraId="09924774" w14:textId="77777777" w:rsidR="00ED4254" w:rsidRPr="004068F6" w:rsidRDefault="00ED4254">
            <w:pPr>
              <w:numPr>
                <w:ilvl w:val="12"/>
                <w:numId w:val="0"/>
              </w:numPr>
              <w:tabs>
                <w:tab w:val="left" w:pos="-2268"/>
              </w:tabs>
              <w:suppressAutoHyphens/>
              <w:rPr>
                <w:b/>
                <w:bCs/>
                <w:spacing w:val="-3"/>
                <w:sz w:val="22"/>
                <w:szCs w:val="22"/>
              </w:rPr>
            </w:pPr>
            <w:r w:rsidRPr="004068F6">
              <w:rPr>
                <w:b/>
                <w:bCs/>
                <w:spacing w:val="-3"/>
                <w:sz w:val="22"/>
                <w:szCs w:val="22"/>
              </w:rPr>
              <w:t>Criterio 4</w:t>
            </w:r>
          </w:p>
        </w:tc>
        <w:tc>
          <w:tcPr>
            <w:tcW w:w="1661" w:type="dxa"/>
          </w:tcPr>
          <w:p w14:paraId="4BCBD873"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1</w:t>
            </w:r>
            <w:r w:rsidRPr="004068F6">
              <w:rPr>
                <w:spacing w:val="-3"/>
                <w:sz w:val="22"/>
                <w:szCs w:val="22"/>
              </w:rPr>
              <w:t xml:space="preserve"> C</w:t>
            </w:r>
            <w:r w:rsidRPr="004068F6">
              <w:rPr>
                <w:spacing w:val="-3"/>
                <w:sz w:val="22"/>
                <w:szCs w:val="22"/>
                <w:vertAlign w:val="subscript"/>
              </w:rPr>
              <w:t>4</w:t>
            </w:r>
          </w:p>
        </w:tc>
        <w:tc>
          <w:tcPr>
            <w:tcW w:w="1662" w:type="dxa"/>
          </w:tcPr>
          <w:p w14:paraId="663B8D2A"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2</w:t>
            </w:r>
            <w:r w:rsidRPr="004068F6">
              <w:rPr>
                <w:spacing w:val="-3"/>
                <w:sz w:val="22"/>
                <w:szCs w:val="22"/>
              </w:rPr>
              <w:t xml:space="preserve"> C</w:t>
            </w:r>
            <w:r w:rsidRPr="004068F6">
              <w:rPr>
                <w:spacing w:val="-3"/>
                <w:sz w:val="22"/>
                <w:szCs w:val="22"/>
                <w:vertAlign w:val="subscript"/>
              </w:rPr>
              <w:t>4</w:t>
            </w:r>
          </w:p>
        </w:tc>
        <w:tc>
          <w:tcPr>
            <w:tcW w:w="1661" w:type="dxa"/>
          </w:tcPr>
          <w:p w14:paraId="15A378D9"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3</w:t>
            </w:r>
            <w:r w:rsidRPr="004068F6">
              <w:rPr>
                <w:spacing w:val="-3"/>
                <w:sz w:val="22"/>
                <w:szCs w:val="22"/>
              </w:rPr>
              <w:t xml:space="preserve"> C</w:t>
            </w:r>
            <w:r w:rsidRPr="004068F6">
              <w:rPr>
                <w:spacing w:val="-3"/>
                <w:sz w:val="22"/>
                <w:szCs w:val="22"/>
                <w:vertAlign w:val="subscript"/>
              </w:rPr>
              <w:t>4</w:t>
            </w:r>
          </w:p>
        </w:tc>
        <w:tc>
          <w:tcPr>
            <w:tcW w:w="1662" w:type="dxa"/>
          </w:tcPr>
          <w:p w14:paraId="3B5FE896"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n</w:t>
            </w:r>
            <w:r w:rsidRPr="004068F6">
              <w:rPr>
                <w:spacing w:val="-3"/>
                <w:sz w:val="22"/>
                <w:szCs w:val="22"/>
              </w:rPr>
              <w:t xml:space="preserve"> C</w:t>
            </w:r>
            <w:r w:rsidRPr="004068F6">
              <w:rPr>
                <w:spacing w:val="-3"/>
                <w:sz w:val="22"/>
                <w:szCs w:val="22"/>
                <w:vertAlign w:val="subscript"/>
              </w:rPr>
              <w:t>4</w:t>
            </w:r>
          </w:p>
        </w:tc>
      </w:tr>
      <w:tr w:rsidR="00ED4254" w:rsidRPr="004068F6" w14:paraId="06B1EA04" w14:textId="77777777">
        <w:trPr>
          <w:jc w:val="center"/>
        </w:trPr>
        <w:tc>
          <w:tcPr>
            <w:tcW w:w="1713" w:type="dxa"/>
          </w:tcPr>
          <w:p w14:paraId="37E8727A" w14:textId="77777777" w:rsidR="00ED4254" w:rsidRPr="004068F6" w:rsidRDefault="00ED4254">
            <w:pPr>
              <w:numPr>
                <w:ilvl w:val="12"/>
                <w:numId w:val="0"/>
              </w:numPr>
              <w:tabs>
                <w:tab w:val="left" w:pos="-2268"/>
              </w:tabs>
              <w:suppressAutoHyphens/>
              <w:rPr>
                <w:b/>
                <w:bCs/>
                <w:spacing w:val="-3"/>
                <w:sz w:val="22"/>
                <w:szCs w:val="22"/>
              </w:rPr>
            </w:pPr>
            <w:r w:rsidRPr="004068F6">
              <w:rPr>
                <w:b/>
                <w:bCs/>
                <w:spacing w:val="-3"/>
                <w:sz w:val="22"/>
                <w:szCs w:val="22"/>
              </w:rPr>
              <w:t>Criterio 5</w:t>
            </w:r>
          </w:p>
        </w:tc>
        <w:tc>
          <w:tcPr>
            <w:tcW w:w="1661" w:type="dxa"/>
          </w:tcPr>
          <w:p w14:paraId="6B7C86D6"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1</w:t>
            </w:r>
            <w:r w:rsidRPr="004068F6">
              <w:rPr>
                <w:spacing w:val="-3"/>
                <w:sz w:val="22"/>
                <w:szCs w:val="22"/>
              </w:rPr>
              <w:t xml:space="preserve"> C</w:t>
            </w:r>
            <w:r w:rsidRPr="004068F6">
              <w:rPr>
                <w:spacing w:val="-3"/>
                <w:sz w:val="22"/>
                <w:szCs w:val="22"/>
                <w:vertAlign w:val="subscript"/>
              </w:rPr>
              <w:t>5</w:t>
            </w:r>
          </w:p>
        </w:tc>
        <w:tc>
          <w:tcPr>
            <w:tcW w:w="1662" w:type="dxa"/>
          </w:tcPr>
          <w:p w14:paraId="234DBBC0"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2</w:t>
            </w:r>
            <w:r w:rsidRPr="004068F6">
              <w:rPr>
                <w:spacing w:val="-3"/>
                <w:sz w:val="22"/>
                <w:szCs w:val="22"/>
              </w:rPr>
              <w:t xml:space="preserve"> C</w:t>
            </w:r>
            <w:r w:rsidRPr="004068F6">
              <w:rPr>
                <w:spacing w:val="-3"/>
                <w:sz w:val="22"/>
                <w:szCs w:val="22"/>
                <w:vertAlign w:val="subscript"/>
              </w:rPr>
              <w:t>5</w:t>
            </w:r>
          </w:p>
        </w:tc>
        <w:tc>
          <w:tcPr>
            <w:tcW w:w="1661" w:type="dxa"/>
          </w:tcPr>
          <w:p w14:paraId="78287FE6"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3</w:t>
            </w:r>
            <w:r w:rsidRPr="004068F6">
              <w:rPr>
                <w:spacing w:val="-3"/>
                <w:sz w:val="22"/>
                <w:szCs w:val="22"/>
              </w:rPr>
              <w:t xml:space="preserve"> C</w:t>
            </w:r>
            <w:r w:rsidRPr="004068F6">
              <w:rPr>
                <w:spacing w:val="-3"/>
                <w:sz w:val="22"/>
                <w:szCs w:val="22"/>
                <w:vertAlign w:val="subscript"/>
              </w:rPr>
              <w:t>5</w:t>
            </w:r>
          </w:p>
        </w:tc>
        <w:tc>
          <w:tcPr>
            <w:tcW w:w="1662" w:type="dxa"/>
          </w:tcPr>
          <w:p w14:paraId="44BFA1E0"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n</w:t>
            </w:r>
            <w:r w:rsidRPr="004068F6">
              <w:rPr>
                <w:spacing w:val="-3"/>
                <w:sz w:val="22"/>
                <w:szCs w:val="22"/>
              </w:rPr>
              <w:t xml:space="preserve"> C</w:t>
            </w:r>
            <w:r w:rsidRPr="004068F6">
              <w:rPr>
                <w:spacing w:val="-3"/>
                <w:sz w:val="22"/>
                <w:szCs w:val="22"/>
                <w:vertAlign w:val="subscript"/>
              </w:rPr>
              <w:t>5</w:t>
            </w:r>
          </w:p>
        </w:tc>
      </w:tr>
      <w:tr w:rsidR="00ED4254" w:rsidRPr="004068F6" w14:paraId="65B0B986" w14:textId="77777777">
        <w:trPr>
          <w:jc w:val="center"/>
        </w:trPr>
        <w:tc>
          <w:tcPr>
            <w:tcW w:w="1713" w:type="dxa"/>
          </w:tcPr>
          <w:p w14:paraId="726B548C" w14:textId="77777777" w:rsidR="00ED4254" w:rsidRPr="004068F6" w:rsidRDefault="00ED4254">
            <w:pPr>
              <w:numPr>
                <w:ilvl w:val="12"/>
                <w:numId w:val="0"/>
              </w:numPr>
              <w:tabs>
                <w:tab w:val="left" w:pos="-2268"/>
              </w:tabs>
              <w:suppressAutoHyphens/>
              <w:rPr>
                <w:b/>
                <w:bCs/>
                <w:spacing w:val="-3"/>
                <w:sz w:val="22"/>
                <w:szCs w:val="22"/>
              </w:rPr>
            </w:pPr>
            <w:r w:rsidRPr="004068F6">
              <w:rPr>
                <w:b/>
                <w:bCs/>
                <w:spacing w:val="-3"/>
                <w:sz w:val="22"/>
                <w:szCs w:val="22"/>
              </w:rPr>
              <w:t>Criterio n</w:t>
            </w:r>
          </w:p>
        </w:tc>
        <w:tc>
          <w:tcPr>
            <w:tcW w:w="1661" w:type="dxa"/>
          </w:tcPr>
          <w:p w14:paraId="1A976870"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1</w:t>
            </w:r>
            <w:r w:rsidRPr="004068F6">
              <w:rPr>
                <w:spacing w:val="-3"/>
                <w:sz w:val="22"/>
                <w:szCs w:val="22"/>
              </w:rPr>
              <w:t xml:space="preserve"> C</w:t>
            </w:r>
            <w:r w:rsidRPr="004068F6">
              <w:rPr>
                <w:spacing w:val="-3"/>
                <w:sz w:val="22"/>
                <w:szCs w:val="22"/>
                <w:vertAlign w:val="subscript"/>
              </w:rPr>
              <w:t>n</w:t>
            </w:r>
          </w:p>
        </w:tc>
        <w:tc>
          <w:tcPr>
            <w:tcW w:w="1662" w:type="dxa"/>
          </w:tcPr>
          <w:p w14:paraId="3D8E419E"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2</w:t>
            </w:r>
            <w:r w:rsidRPr="004068F6">
              <w:rPr>
                <w:spacing w:val="-3"/>
                <w:sz w:val="22"/>
                <w:szCs w:val="22"/>
              </w:rPr>
              <w:t xml:space="preserve"> C</w:t>
            </w:r>
            <w:r w:rsidRPr="004068F6">
              <w:rPr>
                <w:spacing w:val="-3"/>
                <w:sz w:val="22"/>
                <w:szCs w:val="22"/>
                <w:vertAlign w:val="subscript"/>
              </w:rPr>
              <w:t>n</w:t>
            </w:r>
          </w:p>
        </w:tc>
        <w:tc>
          <w:tcPr>
            <w:tcW w:w="1661" w:type="dxa"/>
          </w:tcPr>
          <w:p w14:paraId="15781554"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3</w:t>
            </w:r>
            <w:r w:rsidRPr="004068F6">
              <w:rPr>
                <w:spacing w:val="-3"/>
                <w:sz w:val="22"/>
                <w:szCs w:val="22"/>
              </w:rPr>
              <w:t xml:space="preserve"> C</w:t>
            </w:r>
            <w:r w:rsidRPr="004068F6">
              <w:rPr>
                <w:spacing w:val="-3"/>
                <w:sz w:val="22"/>
                <w:szCs w:val="22"/>
                <w:vertAlign w:val="subscript"/>
              </w:rPr>
              <w:t>n</w:t>
            </w:r>
          </w:p>
        </w:tc>
        <w:tc>
          <w:tcPr>
            <w:tcW w:w="1662" w:type="dxa"/>
          </w:tcPr>
          <w:p w14:paraId="3AD70392" w14:textId="77777777" w:rsidR="00ED4254" w:rsidRPr="004068F6" w:rsidRDefault="00ED4254">
            <w:pPr>
              <w:numPr>
                <w:ilvl w:val="12"/>
                <w:numId w:val="0"/>
              </w:numPr>
              <w:tabs>
                <w:tab w:val="left" w:pos="-2268"/>
              </w:tabs>
              <w:suppressAutoHyphens/>
              <w:ind w:left="303"/>
              <w:rPr>
                <w:spacing w:val="-3"/>
                <w:sz w:val="22"/>
                <w:szCs w:val="22"/>
              </w:rPr>
            </w:pPr>
            <w:r w:rsidRPr="004068F6">
              <w:rPr>
                <w:i/>
                <w:spacing w:val="-3"/>
                <w:sz w:val="22"/>
                <w:szCs w:val="22"/>
              </w:rPr>
              <w:t>E</w:t>
            </w:r>
            <w:r w:rsidRPr="004068F6">
              <w:rPr>
                <w:spacing w:val="-3"/>
                <w:sz w:val="22"/>
                <w:szCs w:val="22"/>
              </w:rPr>
              <w:t xml:space="preserve"> A</w:t>
            </w:r>
            <w:r w:rsidRPr="004068F6">
              <w:rPr>
                <w:spacing w:val="-3"/>
                <w:sz w:val="22"/>
                <w:szCs w:val="22"/>
                <w:vertAlign w:val="subscript"/>
              </w:rPr>
              <w:t>n</w:t>
            </w:r>
            <w:r w:rsidRPr="004068F6">
              <w:rPr>
                <w:spacing w:val="-3"/>
                <w:sz w:val="22"/>
                <w:szCs w:val="22"/>
              </w:rPr>
              <w:t xml:space="preserve"> C</w:t>
            </w:r>
            <w:r w:rsidRPr="004068F6">
              <w:rPr>
                <w:spacing w:val="-3"/>
                <w:sz w:val="22"/>
                <w:szCs w:val="22"/>
                <w:vertAlign w:val="subscript"/>
              </w:rPr>
              <w:t>n</w:t>
            </w:r>
          </w:p>
        </w:tc>
      </w:tr>
    </w:tbl>
    <w:p w14:paraId="47CA4071" w14:textId="77777777" w:rsidR="00ED4254" w:rsidRPr="004068F6" w:rsidRDefault="00ED4254" w:rsidP="00ED4254">
      <w:pPr>
        <w:numPr>
          <w:ilvl w:val="12"/>
          <w:numId w:val="0"/>
        </w:numPr>
        <w:tabs>
          <w:tab w:val="left" w:pos="-2268"/>
        </w:tabs>
        <w:suppressAutoHyphens/>
        <w:rPr>
          <w:spacing w:val="-3"/>
        </w:rPr>
      </w:pPr>
    </w:p>
    <w:p w14:paraId="35170512" w14:textId="4C8B362C" w:rsidR="00ED4254" w:rsidRPr="004068F6" w:rsidRDefault="00ED4254" w:rsidP="00ED4254">
      <w:pPr>
        <w:numPr>
          <w:ilvl w:val="0"/>
          <w:numId w:val="651"/>
        </w:numPr>
        <w:tabs>
          <w:tab w:val="left" w:pos="-2268"/>
        </w:tabs>
        <w:suppressAutoHyphens/>
        <w:ind w:left="567" w:hanging="567"/>
        <w:rPr>
          <w:spacing w:val="-3"/>
        </w:rPr>
      </w:pPr>
      <w:bookmarkStart w:id="2383" w:name="_Hlk122363449"/>
      <w:r w:rsidRPr="004068F6">
        <w:rPr>
          <w:b/>
          <w:bCs/>
          <w:spacing w:val="-3"/>
        </w:rPr>
        <w:t>Forma de establecer las preferencias</w:t>
      </w:r>
      <w:r w:rsidRPr="004068F6">
        <w:rPr>
          <w:spacing w:val="-3"/>
        </w:rPr>
        <w:t>. La elección de las alternativas en realidad refleja las preferencias de los tomadores de decisión, en este caso, de quienes elaboran el estudio, y tales preferencias al evaluar la matriz de desempeño pueden expresarse según Guitouni &amp; Martel (1998) mediante los siguientes procedimientos:</w:t>
      </w:r>
    </w:p>
    <w:p w14:paraId="4F2A4B18" w14:textId="77777777" w:rsidR="00ED4254" w:rsidRPr="004068F6" w:rsidRDefault="00ED4254" w:rsidP="00ED4254">
      <w:pPr>
        <w:numPr>
          <w:ilvl w:val="12"/>
          <w:numId w:val="0"/>
        </w:numPr>
        <w:tabs>
          <w:tab w:val="left" w:pos="-2268"/>
        </w:tabs>
        <w:suppressAutoHyphens/>
        <w:rPr>
          <w:spacing w:val="-3"/>
        </w:rPr>
      </w:pPr>
    </w:p>
    <w:p w14:paraId="248FC378" w14:textId="77777777" w:rsidR="00ED4254" w:rsidRPr="004068F6" w:rsidRDefault="00ED4254" w:rsidP="00ED4254">
      <w:pPr>
        <w:numPr>
          <w:ilvl w:val="0"/>
          <w:numId w:val="653"/>
        </w:numPr>
        <w:tabs>
          <w:tab w:val="left" w:pos="-2268"/>
        </w:tabs>
        <w:suppressAutoHyphens/>
        <w:ind w:left="1134" w:hanging="567"/>
        <w:rPr>
          <w:iCs/>
          <w:spacing w:val="-3"/>
        </w:rPr>
      </w:pPr>
      <w:r w:rsidRPr="004068F6">
        <w:rPr>
          <w:iCs/>
          <w:spacing w:val="-3"/>
        </w:rPr>
        <w:t>Calificaciones directas.</w:t>
      </w:r>
    </w:p>
    <w:p w14:paraId="3A4A8DB6" w14:textId="77777777" w:rsidR="00ED4254" w:rsidRPr="004068F6" w:rsidRDefault="00ED4254" w:rsidP="00ED4254">
      <w:pPr>
        <w:tabs>
          <w:tab w:val="left" w:pos="-2268"/>
        </w:tabs>
        <w:suppressAutoHyphens/>
        <w:rPr>
          <w:iCs/>
          <w:spacing w:val="-3"/>
        </w:rPr>
      </w:pPr>
    </w:p>
    <w:p w14:paraId="592B6505" w14:textId="77777777" w:rsidR="00ED4254" w:rsidRPr="004068F6" w:rsidRDefault="00ED4254" w:rsidP="00ED4254">
      <w:pPr>
        <w:numPr>
          <w:ilvl w:val="0"/>
          <w:numId w:val="653"/>
        </w:numPr>
        <w:tabs>
          <w:tab w:val="left" w:pos="-2268"/>
        </w:tabs>
        <w:suppressAutoHyphens/>
        <w:ind w:left="1134" w:hanging="567"/>
        <w:rPr>
          <w:iCs/>
          <w:spacing w:val="-3"/>
        </w:rPr>
      </w:pPr>
      <w:r w:rsidRPr="004068F6">
        <w:rPr>
          <w:iCs/>
          <w:spacing w:val="-3"/>
        </w:rPr>
        <w:t>Comparaciones por pares. Cuando el análisis compara las alternativas entre sí por pares y establece, por ejemplo, que una alternativa se prefiere sobre otra.</w:t>
      </w:r>
    </w:p>
    <w:p w14:paraId="70CF4BDA" w14:textId="77777777" w:rsidR="00ED4254" w:rsidRPr="004068F6" w:rsidRDefault="00ED4254" w:rsidP="00ED4254">
      <w:pPr>
        <w:tabs>
          <w:tab w:val="left" w:pos="-2268"/>
        </w:tabs>
        <w:suppressAutoHyphens/>
        <w:rPr>
          <w:iCs/>
          <w:spacing w:val="-3"/>
        </w:rPr>
      </w:pPr>
    </w:p>
    <w:p w14:paraId="5B9DDEA2" w14:textId="77777777" w:rsidR="00ED4254" w:rsidRPr="004068F6" w:rsidRDefault="00ED4254" w:rsidP="00ED4254">
      <w:pPr>
        <w:numPr>
          <w:ilvl w:val="0"/>
          <w:numId w:val="653"/>
        </w:numPr>
        <w:tabs>
          <w:tab w:val="left" w:pos="-2268"/>
        </w:tabs>
        <w:suppressAutoHyphens/>
        <w:ind w:left="1134" w:hanging="567"/>
        <w:rPr>
          <w:iCs/>
          <w:spacing w:val="-3"/>
        </w:rPr>
      </w:pPr>
      <w:r w:rsidRPr="004068F6">
        <w:rPr>
          <w:iCs/>
          <w:spacing w:val="-3"/>
        </w:rPr>
        <w:t>Compensaciones.</w:t>
      </w:r>
    </w:p>
    <w:p w14:paraId="5272D12E" w14:textId="77777777" w:rsidR="00ED4254" w:rsidRPr="004068F6" w:rsidRDefault="00ED4254" w:rsidP="00ED4254">
      <w:pPr>
        <w:tabs>
          <w:tab w:val="left" w:pos="-2268"/>
        </w:tabs>
        <w:suppressAutoHyphens/>
        <w:rPr>
          <w:iCs/>
          <w:spacing w:val="-3"/>
        </w:rPr>
      </w:pPr>
    </w:p>
    <w:p w14:paraId="19CFB3DF" w14:textId="77777777" w:rsidR="00ED4254" w:rsidRPr="004068F6" w:rsidRDefault="00ED4254" w:rsidP="00ED4254">
      <w:pPr>
        <w:numPr>
          <w:ilvl w:val="0"/>
          <w:numId w:val="653"/>
        </w:numPr>
        <w:tabs>
          <w:tab w:val="left" w:pos="-2268"/>
        </w:tabs>
        <w:suppressAutoHyphens/>
        <w:ind w:left="1134" w:hanging="567"/>
        <w:rPr>
          <w:iCs/>
          <w:spacing w:val="-3"/>
        </w:rPr>
      </w:pPr>
      <w:r w:rsidRPr="004068F6">
        <w:rPr>
          <w:iCs/>
          <w:spacing w:val="-3"/>
        </w:rPr>
        <w:t>Loterías.</w:t>
      </w:r>
    </w:p>
    <w:p w14:paraId="5034238A" w14:textId="77777777" w:rsidR="00ED4254" w:rsidRPr="004068F6" w:rsidRDefault="00ED4254" w:rsidP="00ED4254">
      <w:pPr>
        <w:numPr>
          <w:ilvl w:val="12"/>
          <w:numId w:val="0"/>
        </w:numPr>
        <w:tabs>
          <w:tab w:val="left" w:pos="-2268"/>
        </w:tabs>
        <w:suppressAutoHyphens/>
        <w:rPr>
          <w:iCs/>
          <w:spacing w:val="-3"/>
        </w:rPr>
      </w:pPr>
    </w:p>
    <w:p w14:paraId="7B444171" w14:textId="6AA88F42" w:rsidR="00ED4254" w:rsidRPr="004068F6" w:rsidRDefault="00ED4254" w:rsidP="00ED4254">
      <w:pPr>
        <w:numPr>
          <w:ilvl w:val="12"/>
          <w:numId w:val="0"/>
        </w:numPr>
        <w:tabs>
          <w:tab w:val="left" w:pos="-2268"/>
        </w:tabs>
        <w:suppressAutoHyphens/>
        <w:ind w:left="567"/>
        <w:rPr>
          <w:iCs/>
          <w:spacing w:val="-3"/>
        </w:rPr>
      </w:pPr>
      <w:r w:rsidRPr="004068F6">
        <w:rPr>
          <w:iCs/>
          <w:spacing w:val="-3"/>
        </w:rPr>
        <w:t xml:space="preserve">La columna 4 de la </w:t>
      </w:r>
      <w:r w:rsidRPr="004068F6">
        <w:rPr>
          <w:spacing w:val="-3"/>
        </w:rPr>
        <w:fldChar w:fldCharType="begin"/>
      </w:r>
      <w:r w:rsidRPr="004068F6">
        <w:rPr>
          <w:spacing w:val="-3"/>
        </w:rPr>
        <w:instrText xml:space="preserve"> REF _Ref138759265 \h  \* MERGEFORMAT </w:instrText>
      </w:r>
      <w:r w:rsidRPr="004068F6">
        <w:rPr>
          <w:spacing w:val="-3"/>
        </w:rPr>
      </w:r>
      <w:r w:rsidRPr="004068F6">
        <w:rPr>
          <w:spacing w:val="-3"/>
        </w:rPr>
        <w:fldChar w:fldCharType="separate"/>
      </w:r>
      <w:r w:rsidR="009C4A81" w:rsidRPr="004068F6">
        <w:t xml:space="preserve">Tabla </w:t>
      </w:r>
      <w:r w:rsidR="009C4A81">
        <w:t>14</w:t>
      </w:r>
      <w:r w:rsidRPr="004068F6">
        <w:rPr>
          <w:spacing w:val="-3"/>
        </w:rPr>
        <w:fldChar w:fldCharType="end"/>
      </w:r>
      <w:r w:rsidRPr="004068F6">
        <w:rPr>
          <w:iCs/>
          <w:spacing w:val="-3"/>
        </w:rPr>
        <w:t xml:space="preserve"> señala la forma en que cada método establece las preferencias.</w:t>
      </w:r>
    </w:p>
    <w:p w14:paraId="048F83DD" w14:textId="77777777" w:rsidR="00ED4254" w:rsidRPr="004068F6" w:rsidRDefault="00ED4254" w:rsidP="00D34295">
      <w:pPr>
        <w:numPr>
          <w:ilvl w:val="12"/>
          <w:numId w:val="0"/>
        </w:numPr>
        <w:tabs>
          <w:tab w:val="left" w:pos="-2268"/>
        </w:tabs>
        <w:suppressAutoHyphens/>
        <w:rPr>
          <w:spacing w:val="-3"/>
        </w:rPr>
      </w:pPr>
    </w:p>
    <w:p w14:paraId="10C279D9" w14:textId="6302402A" w:rsidR="00ED4254" w:rsidRPr="004068F6" w:rsidRDefault="00ED4254" w:rsidP="00ED4254">
      <w:pPr>
        <w:numPr>
          <w:ilvl w:val="12"/>
          <w:numId w:val="0"/>
        </w:numPr>
        <w:tabs>
          <w:tab w:val="left" w:pos="-2268"/>
        </w:tabs>
        <w:suppressAutoHyphens/>
        <w:ind w:left="567"/>
        <w:rPr>
          <w:spacing w:val="-3"/>
        </w:rPr>
      </w:pPr>
      <w:r w:rsidRPr="004068F6">
        <w:rPr>
          <w:spacing w:val="-3"/>
        </w:rPr>
        <w:t xml:space="preserve">Aunque en general se recomienda emplear un método cuya forma de establecer las preferencias sea familiar para el tomador de decisión (Guitouni &amp; Martel, </w:t>
      </w:r>
      <w:r w:rsidRPr="004068F6">
        <w:rPr>
          <w:spacing w:val="-3"/>
        </w:rPr>
        <w:lastRenderedPageBreak/>
        <w:t>1998), es pertinente contemplar otros mecanismos cuando los métodos conocidos no poseen todas las características deseadas para la evaluación.</w:t>
      </w:r>
      <w:bookmarkEnd w:id="2383"/>
    </w:p>
    <w:p w14:paraId="0FC93507" w14:textId="77777777" w:rsidR="00ED4254" w:rsidRPr="004068F6" w:rsidRDefault="00ED4254" w:rsidP="00D34295">
      <w:pPr>
        <w:numPr>
          <w:ilvl w:val="12"/>
          <w:numId w:val="0"/>
        </w:numPr>
        <w:tabs>
          <w:tab w:val="left" w:pos="-2268"/>
        </w:tabs>
        <w:suppressAutoHyphens/>
        <w:rPr>
          <w:spacing w:val="-3"/>
        </w:rPr>
      </w:pPr>
    </w:p>
    <w:p w14:paraId="3504140D" w14:textId="27711C55" w:rsidR="00ED4254" w:rsidRPr="004068F6" w:rsidRDefault="00ED4254" w:rsidP="00ED4254">
      <w:pPr>
        <w:numPr>
          <w:ilvl w:val="12"/>
          <w:numId w:val="0"/>
        </w:numPr>
        <w:tabs>
          <w:tab w:val="left" w:pos="-2268"/>
        </w:tabs>
        <w:suppressAutoHyphens/>
        <w:ind w:left="567"/>
        <w:rPr>
          <w:spacing w:val="-3"/>
        </w:rPr>
      </w:pPr>
      <w:r w:rsidRPr="004068F6">
        <w:rPr>
          <w:spacing w:val="-3"/>
        </w:rPr>
        <w:t xml:space="preserve">De otra parte, es importante tener en cuenta que existen diferentes relaciones de preferencias entre alternativas y que los métodos de EMC pueden emplear varias de ellas (ver columna 5 de la </w:t>
      </w:r>
      <w:r w:rsidRPr="004068F6">
        <w:rPr>
          <w:spacing w:val="-3"/>
        </w:rPr>
        <w:fldChar w:fldCharType="begin"/>
      </w:r>
      <w:r w:rsidRPr="004068F6">
        <w:rPr>
          <w:spacing w:val="-3"/>
        </w:rPr>
        <w:instrText xml:space="preserve"> REF _Ref138759265 \h  \* MERGEFORMAT </w:instrText>
      </w:r>
      <w:r w:rsidRPr="004068F6">
        <w:rPr>
          <w:spacing w:val="-3"/>
        </w:rPr>
      </w:r>
      <w:r w:rsidRPr="004068F6">
        <w:rPr>
          <w:spacing w:val="-3"/>
        </w:rPr>
        <w:fldChar w:fldCharType="separate"/>
      </w:r>
      <w:r w:rsidR="009C4A81" w:rsidRPr="004068F6">
        <w:t xml:space="preserve">Tabla </w:t>
      </w:r>
      <w:r w:rsidR="009C4A81">
        <w:t>14</w:t>
      </w:r>
      <w:r w:rsidRPr="004068F6">
        <w:rPr>
          <w:spacing w:val="-3"/>
        </w:rPr>
        <w:fldChar w:fldCharType="end"/>
      </w:r>
      <w:r w:rsidRPr="004068F6">
        <w:rPr>
          <w:spacing w:val="-3"/>
        </w:rPr>
        <w:t>). A continuación, se señalan las relaciones de preferencia planteadas por Guitouni &amp; Martel (1998):</w:t>
      </w:r>
    </w:p>
    <w:p w14:paraId="78820DA3" w14:textId="77777777" w:rsidR="00ED4254" w:rsidRPr="004068F6" w:rsidRDefault="00ED4254" w:rsidP="00ED4254">
      <w:pPr>
        <w:numPr>
          <w:ilvl w:val="12"/>
          <w:numId w:val="0"/>
        </w:numPr>
        <w:tabs>
          <w:tab w:val="left" w:pos="-2268"/>
        </w:tabs>
        <w:suppressAutoHyphens/>
        <w:rPr>
          <w:spacing w:val="-3"/>
        </w:rPr>
      </w:pPr>
    </w:p>
    <w:p w14:paraId="30521B08" w14:textId="77777777" w:rsidR="00ED4254" w:rsidRPr="004068F6" w:rsidRDefault="00ED4254" w:rsidP="00ED4254">
      <w:pPr>
        <w:numPr>
          <w:ilvl w:val="1"/>
          <w:numId w:val="654"/>
        </w:numPr>
        <w:tabs>
          <w:tab w:val="left" w:pos="-2268"/>
        </w:tabs>
        <w:suppressAutoHyphens/>
        <w:ind w:left="1134" w:hanging="567"/>
        <w:rPr>
          <w:spacing w:val="-3"/>
        </w:rPr>
      </w:pPr>
      <w:bookmarkStart w:id="2384" w:name="_Hlk122422410"/>
      <w:r w:rsidRPr="004068F6">
        <w:rPr>
          <w:spacing w:val="-3"/>
        </w:rPr>
        <w:t xml:space="preserve">Relación de </w:t>
      </w:r>
      <w:r w:rsidRPr="004068F6">
        <w:rPr>
          <w:b/>
          <w:bCs/>
          <w:spacing w:val="-3"/>
        </w:rPr>
        <w:t>preferencia (P)</w:t>
      </w:r>
      <w:r w:rsidRPr="004068F6">
        <w:rPr>
          <w:spacing w:val="-3"/>
        </w:rPr>
        <w:t xml:space="preserve"> de una alternativa sobre otra. Por ejemplo, la alternativa A se prefiere sobre la alternativa B.</w:t>
      </w:r>
    </w:p>
    <w:p w14:paraId="58E3BC46" w14:textId="77777777" w:rsidR="00ED4254" w:rsidRPr="004068F6" w:rsidRDefault="00ED4254" w:rsidP="00ED4254">
      <w:pPr>
        <w:tabs>
          <w:tab w:val="left" w:pos="-2268"/>
        </w:tabs>
        <w:suppressAutoHyphens/>
        <w:rPr>
          <w:spacing w:val="-3"/>
        </w:rPr>
      </w:pPr>
    </w:p>
    <w:p w14:paraId="33BAB660" w14:textId="77777777" w:rsidR="00ED4254" w:rsidRPr="004068F6" w:rsidRDefault="00ED4254" w:rsidP="00ED4254">
      <w:pPr>
        <w:numPr>
          <w:ilvl w:val="1"/>
          <w:numId w:val="654"/>
        </w:numPr>
        <w:tabs>
          <w:tab w:val="left" w:pos="-2268"/>
        </w:tabs>
        <w:suppressAutoHyphens/>
        <w:ind w:left="1134" w:hanging="567"/>
        <w:rPr>
          <w:spacing w:val="-3"/>
        </w:rPr>
      </w:pPr>
      <w:r w:rsidRPr="004068F6">
        <w:rPr>
          <w:spacing w:val="-3"/>
        </w:rPr>
        <w:t xml:space="preserve">Relación de </w:t>
      </w:r>
      <w:r w:rsidRPr="004068F6">
        <w:rPr>
          <w:b/>
          <w:bCs/>
          <w:spacing w:val="-3"/>
        </w:rPr>
        <w:t>indiferencia (I)</w:t>
      </w:r>
      <w:r w:rsidRPr="004068F6">
        <w:rPr>
          <w:spacing w:val="-3"/>
        </w:rPr>
        <w:t xml:space="preserve"> entre alternativas. Por ejemplo, la alternativa A es indiferente sobre la alternativa B. El tomador de decisión es indiferente o no tiene preferencias sobre las alternativas.</w:t>
      </w:r>
    </w:p>
    <w:p w14:paraId="1CF35EC3" w14:textId="77777777" w:rsidR="00ED4254" w:rsidRPr="004068F6" w:rsidRDefault="00ED4254" w:rsidP="00ED4254">
      <w:pPr>
        <w:tabs>
          <w:tab w:val="left" w:pos="-2268"/>
        </w:tabs>
        <w:suppressAutoHyphens/>
        <w:rPr>
          <w:spacing w:val="-3"/>
        </w:rPr>
      </w:pPr>
    </w:p>
    <w:p w14:paraId="3F87292B" w14:textId="77777777" w:rsidR="00ED4254" w:rsidRPr="004068F6" w:rsidRDefault="00ED4254" w:rsidP="00ED4254">
      <w:pPr>
        <w:numPr>
          <w:ilvl w:val="1"/>
          <w:numId w:val="654"/>
        </w:numPr>
        <w:tabs>
          <w:tab w:val="left" w:pos="-2268"/>
        </w:tabs>
        <w:suppressAutoHyphens/>
        <w:ind w:left="1134" w:hanging="567"/>
        <w:rPr>
          <w:spacing w:val="-3"/>
        </w:rPr>
      </w:pPr>
      <w:r w:rsidRPr="004068F6">
        <w:rPr>
          <w:spacing w:val="-3"/>
        </w:rPr>
        <w:t xml:space="preserve">Relación de </w:t>
      </w:r>
      <w:r w:rsidRPr="004068F6">
        <w:rPr>
          <w:b/>
          <w:bCs/>
          <w:spacing w:val="-3"/>
        </w:rPr>
        <w:t>débil preferencia (Q)</w:t>
      </w:r>
      <w:r w:rsidRPr="004068F6">
        <w:rPr>
          <w:spacing w:val="-3"/>
        </w:rPr>
        <w:t xml:space="preserve"> entre alternativas. Por ejemplo, no es posible establecer si A es indiferente de B, o si A se prefiere sobre B.</w:t>
      </w:r>
    </w:p>
    <w:p w14:paraId="3F4337A7" w14:textId="77777777" w:rsidR="00ED4254" w:rsidRPr="004068F6" w:rsidRDefault="00ED4254" w:rsidP="00ED4254">
      <w:pPr>
        <w:tabs>
          <w:tab w:val="left" w:pos="-2268"/>
        </w:tabs>
        <w:suppressAutoHyphens/>
        <w:rPr>
          <w:spacing w:val="-3"/>
        </w:rPr>
      </w:pPr>
    </w:p>
    <w:p w14:paraId="10BAE421" w14:textId="77777777" w:rsidR="00ED4254" w:rsidRPr="004068F6" w:rsidRDefault="00ED4254" w:rsidP="00ED4254">
      <w:pPr>
        <w:numPr>
          <w:ilvl w:val="1"/>
          <w:numId w:val="654"/>
        </w:numPr>
        <w:tabs>
          <w:tab w:val="left" w:pos="-2268"/>
        </w:tabs>
        <w:suppressAutoHyphens/>
        <w:ind w:left="1134" w:hanging="567"/>
        <w:rPr>
          <w:spacing w:val="-3"/>
        </w:rPr>
      </w:pPr>
      <w:r w:rsidRPr="004068F6">
        <w:rPr>
          <w:spacing w:val="-3"/>
        </w:rPr>
        <w:t xml:space="preserve">Relación de </w:t>
      </w:r>
      <w:r w:rsidRPr="004068F6">
        <w:rPr>
          <w:b/>
          <w:bCs/>
          <w:spacing w:val="-3"/>
        </w:rPr>
        <w:t>incomparabilidad (R)</w:t>
      </w:r>
      <w:r w:rsidRPr="004068F6">
        <w:rPr>
          <w:spacing w:val="-3"/>
        </w:rPr>
        <w:t>. No es posible establecer si A se prefiere sobre B, o si B se prefiere sobre A.</w:t>
      </w:r>
    </w:p>
    <w:p w14:paraId="6CCE6D06" w14:textId="77777777" w:rsidR="00ED4254" w:rsidRPr="004068F6" w:rsidRDefault="00ED4254" w:rsidP="00ED4254">
      <w:pPr>
        <w:tabs>
          <w:tab w:val="left" w:pos="-2268"/>
        </w:tabs>
        <w:suppressAutoHyphens/>
        <w:rPr>
          <w:spacing w:val="-3"/>
        </w:rPr>
      </w:pPr>
    </w:p>
    <w:p w14:paraId="4639715F" w14:textId="77777777" w:rsidR="00ED4254" w:rsidRPr="004068F6" w:rsidRDefault="00ED4254" w:rsidP="00ED4254">
      <w:pPr>
        <w:numPr>
          <w:ilvl w:val="1"/>
          <w:numId w:val="654"/>
        </w:numPr>
        <w:tabs>
          <w:tab w:val="left" w:pos="-2268"/>
        </w:tabs>
        <w:suppressAutoHyphens/>
        <w:ind w:left="1134" w:hanging="567"/>
        <w:rPr>
          <w:spacing w:val="-3"/>
        </w:rPr>
      </w:pPr>
      <w:r w:rsidRPr="004068F6">
        <w:rPr>
          <w:spacing w:val="-3"/>
        </w:rPr>
        <w:t xml:space="preserve">Relación de </w:t>
      </w:r>
      <w:r w:rsidRPr="004068F6">
        <w:rPr>
          <w:b/>
          <w:bCs/>
          <w:spacing w:val="-3"/>
        </w:rPr>
        <w:t>superación (S) (outranking)</w:t>
      </w:r>
      <w:r w:rsidRPr="004068F6">
        <w:rPr>
          <w:spacing w:val="-3"/>
        </w:rPr>
        <w:t>. Por ejemplo, cuando hay una fuerte razón para creer que con respecto a todos los criterios evaluados A es por lo menos tan buena como B (o no peor que B) y no existen razones que impidan aseverarlo.</w:t>
      </w:r>
    </w:p>
    <w:bookmarkEnd w:id="2384"/>
    <w:p w14:paraId="24BF1C76" w14:textId="77777777" w:rsidR="00ED4254" w:rsidRPr="004068F6" w:rsidRDefault="00ED4254" w:rsidP="00ED4254">
      <w:pPr>
        <w:numPr>
          <w:ilvl w:val="12"/>
          <w:numId w:val="0"/>
        </w:numPr>
        <w:tabs>
          <w:tab w:val="left" w:pos="-2268"/>
        </w:tabs>
        <w:suppressAutoHyphens/>
        <w:rPr>
          <w:spacing w:val="-3"/>
        </w:rPr>
      </w:pPr>
    </w:p>
    <w:p w14:paraId="52B39144" w14:textId="77777777" w:rsidR="00ED4254" w:rsidRPr="004068F6" w:rsidRDefault="00ED4254" w:rsidP="00ED4254">
      <w:pPr>
        <w:numPr>
          <w:ilvl w:val="0"/>
          <w:numId w:val="651"/>
        </w:numPr>
        <w:tabs>
          <w:tab w:val="left" w:pos="-2268"/>
        </w:tabs>
        <w:suppressAutoHyphens/>
        <w:ind w:left="567" w:hanging="567"/>
        <w:rPr>
          <w:spacing w:val="-3"/>
        </w:rPr>
      </w:pPr>
      <w:r w:rsidRPr="004068F6">
        <w:rPr>
          <w:b/>
          <w:bCs/>
          <w:spacing w:val="-3"/>
        </w:rPr>
        <w:t>Procedimiento de agregación</w:t>
      </w:r>
      <w:r w:rsidRPr="004068F6">
        <w:rPr>
          <w:spacing w:val="-3"/>
        </w:rPr>
        <w:t>. Define cómo los métodos de EMC integran las evaluaciones individuales de cada criterio para llegar a una conclusión, primero sobre una alternativa, y luego, sobre el conjunto de alternativas evaluadas. Aplicar cada método es cuestión de ejecutar correctamente el procedimiento matemático que lo define (</w:t>
      </w:r>
      <w:bookmarkStart w:id="2385" w:name="_Hlk122505079"/>
      <w:r w:rsidRPr="004068F6">
        <w:rPr>
          <w:spacing w:val="-3"/>
        </w:rPr>
        <w:t>Shmelev, 2012</w:t>
      </w:r>
      <w:bookmarkEnd w:id="2385"/>
      <w:r w:rsidRPr="004068F6">
        <w:rPr>
          <w:spacing w:val="-3"/>
        </w:rPr>
        <w:t xml:space="preserve">), para lo cual, es posible usar programas informáticos. Estos procedimientos de agregación según </w:t>
      </w:r>
      <w:bookmarkStart w:id="2386" w:name="_Hlk122504537"/>
      <w:r w:rsidRPr="004068F6">
        <w:rPr>
          <w:spacing w:val="-3"/>
        </w:rPr>
        <w:t>Guitouni &amp; Martel (1998)</w:t>
      </w:r>
      <w:bookmarkEnd w:id="2386"/>
      <w:r w:rsidRPr="004068F6">
        <w:rPr>
          <w:spacing w:val="-3"/>
        </w:rPr>
        <w:t xml:space="preserve"> pueden clasificarse en:</w:t>
      </w:r>
    </w:p>
    <w:p w14:paraId="4DD8B299" w14:textId="77777777" w:rsidR="00ED4254" w:rsidRPr="004068F6" w:rsidRDefault="00ED4254" w:rsidP="00ED4254">
      <w:pPr>
        <w:numPr>
          <w:ilvl w:val="12"/>
          <w:numId w:val="0"/>
        </w:numPr>
        <w:tabs>
          <w:tab w:val="left" w:pos="-2268"/>
        </w:tabs>
        <w:suppressAutoHyphens/>
        <w:ind w:left="567" w:hanging="567"/>
        <w:rPr>
          <w:spacing w:val="-3"/>
        </w:rPr>
      </w:pPr>
    </w:p>
    <w:p w14:paraId="0D4869B5" w14:textId="77777777" w:rsidR="00ED4254" w:rsidRPr="004068F6" w:rsidRDefault="00ED4254" w:rsidP="00ED4254">
      <w:pPr>
        <w:numPr>
          <w:ilvl w:val="1"/>
          <w:numId w:val="655"/>
        </w:numPr>
        <w:tabs>
          <w:tab w:val="left" w:pos="-2268"/>
        </w:tabs>
        <w:suppressAutoHyphens/>
        <w:ind w:left="1134" w:hanging="567"/>
        <w:rPr>
          <w:spacing w:val="-3"/>
        </w:rPr>
      </w:pPr>
      <w:bookmarkStart w:id="2387" w:name="_Hlk122363343"/>
      <w:r w:rsidRPr="004068F6">
        <w:rPr>
          <w:spacing w:val="-3"/>
        </w:rPr>
        <w:t>Elementales.</w:t>
      </w:r>
    </w:p>
    <w:p w14:paraId="2E0BFB3A" w14:textId="77777777" w:rsidR="00ED4254" w:rsidRPr="004068F6" w:rsidRDefault="00ED4254" w:rsidP="00ED4254">
      <w:pPr>
        <w:tabs>
          <w:tab w:val="left" w:pos="-2268"/>
        </w:tabs>
        <w:suppressAutoHyphens/>
        <w:rPr>
          <w:spacing w:val="-3"/>
        </w:rPr>
      </w:pPr>
    </w:p>
    <w:p w14:paraId="1CB1BBEF" w14:textId="77777777" w:rsidR="00ED4254" w:rsidRPr="004068F6" w:rsidRDefault="00ED4254" w:rsidP="00ED4254">
      <w:pPr>
        <w:numPr>
          <w:ilvl w:val="1"/>
          <w:numId w:val="655"/>
        </w:numPr>
        <w:tabs>
          <w:tab w:val="left" w:pos="-2268"/>
        </w:tabs>
        <w:suppressAutoHyphens/>
        <w:ind w:left="1134" w:hanging="567"/>
        <w:rPr>
          <w:spacing w:val="-3"/>
        </w:rPr>
      </w:pPr>
      <w:r w:rsidRPr="004068F6">
        <w:rPr>
          <w:spacing w:val="-3"/>
        </w:rPr>
        <w:t>De síntesis mediante un criterio único.</w:t>
      </w:r>
    </w:p>
    <w:p w14:paraId="69838DD3" w14:textId="77777777" w:rsidR="00ED4254" w:rsidRPr="004068F6" w:rsidRDefault="00ED4254" w:rsidP="00ED4254">
      <w:pPr>
        <w:tabs>
          <w:tab w:val="left" w:pos="-2268"/>
        </w:tabs>
        <w:suppressAutoHyphens/>
        <w:rPr>
          <w:spacing w:val="-3"/>
        </w:rPr>
      </w:pPr>
    </w:p>
    <w:p w14:paraId="76E4B4DC" w14:textId="77777777" w:rsidR="00ED4254" w:rsidRPr="004068F6" w:rsidRDefault="00ED4254" w:rsidP="00ED4254">
      <w:pPr>
        <w:numPr>
          <w:ilvl w:val="1"/>
          <w:numId w:val="655"/>
        </w:numPr>
        <w:tabs>
          <w:tab w:val="left" w:pos="-2268"/>
        </w:tabs>
        <w:suppressAutoHyphens/>
        <w:ind w:left="1134" w:hanging="567"/>
        <w:rPr>
          <w:spacing w:val="-3"/>
        </w:rPr>
      </w:pPr>
      <w:r w:rsidRPr="004068F6">
        <w:rPr>
          <w:spacing w:val="-3"/>
        </w:rPr>
        <w:t>De síntesis mediante superación (outranking).</w:t>
      </w:r>
    </w:p>
    <w:p w14:paraId="3EFB5AA0" w14:textId="77777777" w:rsidR="00ED4254" w:rsidRPr="004068F6" w:rsidRDefault="00ED4254" w:rsidP="00ED4254">
      <w:pPr>
        <w:tabs>
          <w:tab w:val="left" w:pos="-2268"/>
        </w:tabs>
        <w:suppressAutoHyphens/>
        <w:rPr>
          <w:spacing w:val="-3"/>
        </w:rPr>
      </w:pPr>
    </w:p>
    <w:p w14:paraId="4BD08BF5" w14:textId="77777777" w:rsidR="00ED4254" w:rsidRPr="004068F6" w:rsidRDefault="00ED4254" w:rsidP="00ED4254">
      <w:pPr>
        <w:numPr>
          <w:ilvl w:val="1"/>
          <w:numId w:val="655"/>
        </w:numPr>
        <w:tabs>
          <w:tab w:val="left" w:pos="-2268"/>
        </w:tabs>
        <w:suppressAutoHyphens/>
        <w:ind w:left="1134" w:hanging="567"/>
        <w:rPr>
          <w:spacing w:val="-3"/>
        </w:rPr>
      </w:pPr>
      <w:r w:rsidRPr="004068F6">
        <w:rPr>
          <w:spacing w:val="-3"/>
        </w:rPr>
        <w:t>De juicios interactivos con aproximación de prueba y error.</w:t>
      </w:r>
    </w:p>
    <w:bookmarkEnd w:id="2387"/>
    <w:p w14:paraId="1A961C0F" w14:textId="77777777" w:rsidR="00ED4254" w:rsidRPr="004068F6" w:rsidRDefault="00ED4254" w:rsidP="00ED4254">
      <w:pPr>
        <w:numPr>
          <w:ilvl w:val="12"/>
          <w:numId w:val="0"/>
        </w:numPr>
        <w:tabs>
          <w:tab w:val="left" w:pos="-2268"/>
        </w:tabs>
        <w:suppressAutoHyphens/>
        <w:ind w:left="567" w:hanging="567"/>
        <w:rPr>
          <w:spacing w:val="-3"/>
        </w:rPr>
      </w:pPr>
    </w:p>
    <w:p w14:paraId="0BBF2E10" w14:textId="54B89FCD" w:rsidR="00ED4254" w:rsidRPr="004068F6" w:rsidRDefault="00ED4254" w:rsidP="00ED4254">
      <w:pPr>
        <w:numPr>
          <w:ilvl w:val="12"/>
          <w:numId w:val="0"/>
        </w:numPr>
        <w:tabs>
          <w:tab w:val="left" w:pos="-2268"/>
        </w:tabs>
        <w:suppressAutoHyphens/>
        <w:ind w:left="567"/>
        <w:rPr>
          <w:spacing w:val="-3"/>
        </w:rPr>
      </w:pPr>
      <w:r w:rsidRPr="004068F6">
        <w:rPr>
          <w:spacing w:val="-3"/>
        </w:rPr>
        <w:lastRenderedPageBreak/>
        <w:t xml:space="preserve">La columna 1 de la </w:t>
      </w:r>
      <w:r w:rsidRPr="004068F6">
        <w:rPr>
          <w:spacing w:val="-3"/>
        </w:rPr>
        <w:fldChar w:fldCharType="begin"/>
      </w:r>
      <w:r w:rsidRPr="004068F6">
        <w:rPr>
          <w:spacing w:val="-3"/>
        </w:rPr>
        <w:instrText xml:space="preserve"> REF _Ref138759265 \h  \* MERGEFORMAT </w:instrText>
      </w:r>
      <w:r w:rsidRPr="004068F6">
        <w:rPr>
          <w:spacing w:val="-3"/>
        </w:rPr>
      </w:r>
      <w:r w:rsidRPr="004068F6">
        <w:rPr>
          <w:spacing w:val="-3"/>
        </w:rPr>
        <w:fldChar w:fldCharType="separate"/>
      </w:r>
      <w:r w:rsidR="009C4A81" w:rsidRPr="004068F6">
        <w:t xml:space="preserve">Tabla </w:t>
      </w:r>
      <w:r w:rsidR="009C4A81">
        <w:t>14</w:t>
      </w:r>
      <w:r w:rsidRPr="004068F6">
        <w:rPr>
          <w:spacing w:val="-3"/>
        </w:rPr>
        <w:fldChar w:fldCharType="end"/>
      </w:r>
      <w:r w:rsidRPr="004068F6">
        <w:rPr>
          <w:spacing w:val="-3"/>
        </w:rPr>
        <w:t xml:space="preserve"> señala el tipo de procedimiento de agregación de los métodos de EMC más importantes.</w:t>
      </w:r>
    </w:p>
    <w:p w14:paraId="4056E1A5" w14:textId="77777777" w:rsidR="00ED4254" w:rsidRPr="004068F6" w:rsidRDefault="00ED4254" w:rsidP="00ED4254">
      <w:pPr>
        <w:numPr>
          <w:ilvl w:val="12"/>
          <w:numId w:val="0"/>
        </w:numPr>
        <w:tabs>
          <w:tab w:val="left" w:pos="-2268"/>
        </w:tabs>
        <w:suppressAutoHyphens/>
        <w:rPr>
          <w:spacing w:val="-3"/>
        </w:rPr>
      </w:pPr>
    </w:p>
    <w:p w14:paraId="601B5BDE" w14:textId="77CEE3CC" w:rsidR="00ED4254" w:rsidRPr="004068F6" w:rsidRDefault="00ED4254" w:rsidP="00ED4254">
      <w:pPr>
        <w:numPr>
          <w:ilvl w:val="0"/>
          <w:numId w:val="651"/>
        </w:numPr>
        <w:tabs>
          <w:tab w:val="left" w:pos="-2268"/>
        </w:tabs>
        <w:suppressAutoHyphens/>
        <w:ind w:left="567" w:hanging="567"/>
        <w:rPr>
          <w:spacing w:val="-3"/>
        </w:rPr>
      </w:pPr>
      <w:bookmarkStart w:id="2388" w:name="_Hlk122364078"/>
      <w:r w:rsidRPr="004068F6">
        <w:rPr>
          <w:b/>
          <w:bCs/>
          <w:spacing w:val="-3"/>
        </w:rPr>
        <w:t>Tipo de decisión que se quiere tomar</w:t>
      </w:r>
      <w:r w:rsidRPr="004068F6">
        <w:rPr>
          <w:spacing w:val="-3"/>
        </w:rPr>
        <w:t>. Los métodos de EMC se pueden emplear para tomar diferentes tipos de decisión</w:t>
      </w:r>
      <w:r w:rsidR="002726D5" w:rsidRPr="004068F6">
        <w:rPr>
          <w:spacing w:val="-3"/>
        </w:rPr>
        <w:t>.</w:t>
      </w:r>
      <w:r w:rsidRPr="004068F6">
        <w:rPr>
          <w:spacing w:val="-3"/>
        </w:rPr>
        <w:t xml:space="preserve"> </w:t>
      </w:r>
      <w:r w:rsidR="00EB4DBB" w:rsidRPr="004068F6">
        <w:rPr>
          <w:spacing w:val="-3"/>
        </w:rPr>
        <w:t>E</w:t>
      </w:r>
      <w:r w:rsidRPr="004068F6">
        <w:rPr>
          <w:spacing w:val="-3"/>
        </w:rPr>
        <w:t>ntre e</w:t>
      </w:r>
      <w:r w:rsidR="00EB4DBB" w:rsidRPr="004068F6">
        <w:rPr>
          <w:spacing w:val="-3"/>
        </w:rPr>
        <w:t xml:space="preserve">stos tipos de decisión están la </w:t>
      </w:r>
      <w:r w:rsidRPr="004068F6">
        <w:rPr>
          <w:spacing w:val="-3"/>
        </w:rPr>
        <w:t>ele</w:t>
      </w:r>
      <w:r w:rsidR="00EB4DBB" w:rsidRPr="004068F6">
        <w:rPr>
          <w:spacing w:val="-3"/>
        </w:rPr>
        <w:t>cción</w:t>
      </w:r>
      <w:r w:rsidRPr="004068F6">
        <w:rPr>
          <w:spacing w:val="-3"/>
        </w:rPr>
        <w:t xml:space="preserve">, </w:t>
      </w:r>
      <w:r w:rsidR="00EB4DBB" w:rsidRPr="004068F6">
        <w:rPr>
          <w:spacing w:val="-3"/>
        </w:rPr>
        <w:t xml:space="preserve">la </w:t>
      </w:r>
      <w:r w:rsidRPr="004068F6">
        <w:rPr>
          <w:spacing w:val="-3"/>
        </w:rPr>
        <w:t>ordena</w:t>
      </w:r>
      <w:r w:rsidR="00EB4DBB" w:rsidRPr="004068F6">
        <w:rPr>
          <w:spacing w:val="-3"/>
        </w:rPr>
        <w:t>ción</w:t>
      </w:r>
      <w:r w:rsidRPr="004068F6">
        <w:rPr>
          <w:spacing w:val="-3"/>
        </w:rPr>
        <w:t xml:space="preserve"> (clasifica</w:t>
      </w:r>
      <w:r w:rsidR="00EB4DBB" w:rsidRPr="004068F6">
        <w:rPr>
          <w:spacing w:val="-3"/>
        </w:rPr>
        <w:t>ción</w:t>
      </w:r>
      <w:r w:rsidRPr="004068F6">
        <w:rPr>
          <w:spacing w:val="-3"/>
        </w:rPr>
        <w:t xml:space="preserve">), o </w:t>
      </w:r>
      <w:r w:rsidR="00EB4DBB" w:rsidRPr="004068F6">
        <w:rPr>
          <w:spacing w:val="-3"/>
        </w:rPr>
        <w:t xml:space="preserve">la </w:t>
      </w:r>
      <w:r w:rsidRPr="004068F6">
        <w:rPr>
          <w:spacing w:val="-3"/>
        </w:rPr>
        <w:t>califica</w:t>
      </w:r>
      <w:r w:rsidR="00EB4DBB" w:rsidRPr="004068F6">
        <w:rPr>
          <w:spacing w:val="-3"/>
        </w:rPr>
        <w:t>ción de</w:t>
      </w:r>
      <w:r w:rsidRPr="004068F6">
        <w:rPr>
          <w:spacing w:val="-3"/>
        </w:rPr>
        <w:t xml:space="preserve"> las alternativas (Guitouni &amp; Martel, 1998). Cada método puede soportar uno o varios de estos propósitos, de modo que la forma de establecer la o las alternativas sobre las cuales elaborar el EIA dependerá del método seleccionado</w:t>
      </w:r>
      <w:bookmarkEnd w:id="2388"/>
      <w:r w:rsidRPr="004068F6">
        <w:rPr>
          <w:spacing w:val="-3"/>
        </w:rPr>
        <w:t xml:space="preserve">. Ver columna 6 de la </w:t>
      </w:r>
      <w:r w:rsidRPr="004068F6">
        <w:rPr>
          <w:spacing w:val="-3"/>
        </w:rPr>
        <w:fldChar w:fldCharType="begin"/>
      </w:r>
      <w:r w:rsidRPr="004068F6">
        <w:rPr>
          <w:spacing w:val="-3"/>
        </w:rPr>
        <w:instrText xml:space="preserve"> REF _Ref138759265 \h  \* MERGEFORMAT </w:instrText>
      </w:r>
      <w:r w:rsidRPr="004068F6">
        <w:rPr>
          <w:spacing w:val="-3"/>
        </w:rPr>
      </w:r>
      <w:r w:rsidRPr="004068F6">
        <w:rPr>
          <w:spacing w:val="-3"/>
        </w:rPr>
        <w:fldChar w:fldCharType="separate"/>
      </w:r>
      <w:r w:rsidR="009C4A81" w:rsidRPr="004068F6">
        <w:t xml:space="preserve">Tabla </w:t>
      </w:r>
      <w:r w:rsidR="009C4A81">
        <w:t>14</w:t>
      </w:r>
      <w:r w:rsidRPr="004068F6">
        <w:rPr>
          <w:spacing w:val="-3"/>
        </w:rPr>
        <w:fldChar w:fldCharType="end"/>
      </w:r>
      <w:r w:rsidRPr="004068F6">
        <w:rPr>
          <w:spacing w:val="-3"/>
        </w:rPr>
        <w:t>.</w:t>
      </w:r>
    </w:p>
    <w:p w14:paraId="14A04731" w14:textId="77777777" w:rsidR="00ED4254" w:rsidRPr="004068F6" w:rsidRDefault="00ED4254" w:rsidP="00ED4254">
      <w:pPr>
        <w:numPr>
          <w:ilvl w:val="12"/>
          <w:numId w:val="0"/>
        </w:numPr>
        <w:tabs>
          <w:tab w:val="left" w:pos="-2268"/>
        </w:tabs>
        <w:suppressAutoHyphens/>
        <w:rPr>
          <w:spacing w:val="-3"/>
        </w:rPr>
      </w:pPr>
    </w:p>
    <w:p w14:paraId="63D7D9B9" w14:textId="77777777" w:rsidR="00ED4254" w:rsidRPr="004068F6" w:rsidRDefault="00ED4254" w:rsidP="00ED4254">
      <w:pPr>
        <w:numPr>
          <w:ilvl w:val="12"/>
          <w:numId w:val="0"/>
        </w:numPr>
        <w:tabs>
          <w:tab w:val="left" w:pos="-2268"/>
        </w:tabs>
        <w:suppressAutoHyphens/>
        <w:ind w:left="567"/>
        <w:rPr>
          <w:spacing w:val="-3"/>
        </w:rPr>
      </w:pPr>
      <w:r w:rsidRPr="004068F6">
        <w:rPr>
          <w:spacing w:val="-3"/>
        </w:rPr>
        <w:t>En el caso del licenciamiento ambiental, cualquiera de estas posibilidades es válida, aunque los métodos que permiten ordenar o mejor aún, calificar las alternativas, deberían preferirse en razón a que permiten identificar más claramente las diferencias entre las alternativas y las razones por las cuales se seleccionaron.</w:t>
      </w:r>
    </w:p>
    <w:p w14:paraId="6AC86D83" w14:textId="77777777" w:rsidR="00ED4254" w:rsidRPr="004068F6" w:rsidRDefault="00ED4254" w:rsidP="00ED4254">
      <w:pPr>
        <w:numPr>
          <w:ilvl w:val="12"/>
          <w:numId w:val="0"/>
        </w:numPr>
        <w:tabs>
          <w:tab w:val="left" w:pos="-2268"/>
        </w:tabs>
        <w:suppressAutoHyphens/>
        <w:rPr>
          <w:spacing w:val="-3"/>
        </w:rPr>
      </w:pPr>
    </w:p>
    <w:p w14:paraId="261E3C98" w14:textId="3FD808CB" w:rsidR="00ED4254" w:rsidRPr="004068F6" w:rsidRDefault="00ED4254" w:rsidP="00ED4254">
      <w:pPr>
        <w:numPr>
          <w:ilvl w:val="0"/>
          <w:numId w:val="651"/>
        </w:numPr>
        <w:tabs>
          <w:tab w:val="left" w:pos="-2268"/>
        </w:tabs>
        <w:suppressAutoHyphens/>
        <w:ind w:left="567" w:hanging="567"/>
        <w:rPr>
          <w:spacing w:val="-3"/>
        </w:rPr>
      </w:pPr>
      <w:r w:rsidRPr="004068F6">
        <w:rPr>
          <w:b/>
          <w:bCs/>
          <w:spacing w:val="-3"/>
        </w:rPr>
        <w:t>Tipos de información</w:t>
      </w:r>
      <w:r w:rsidRPr="004068F6">
        <w:rPr>
          <w:spacing w:val="-3"/>
        </w:rPr>
        <w:t xml:space="preserve">. Los métodos de EMC pueden emplear diferentes tipos de información, la cual puede ser ordinal, cardinal o mixta (cuando la EMC usa datos ordinales y cardinales a la vez), y para cualquiera de estos casos, puede ser determinística, no determinística o mixta (Guitouni &amp; Martel, 1998). Para seleccionar el método de EMC apropiado es necesario conocer las características de la información disponible, por lo tanto, se debe considerar la cantidad y calidad de la información </w:t>
      </w:r>
      <w:r w:rsidR="0097602F" w:rsidRPr="004068F6">
        <w:rPr>
          <w:spacing w:val="-3"/>
        </w:rPr>
        <w:t>contenida en el DAA</w:t>
      </w:r>
      <w:r w:rsidRPr="004068F6">
        <w:rPr>
          <w:spacing w:val="-3"/>
        </w:rPr>
        <w:t xml:space="preserve">. Las columnas 7 a 11 de la </w:t>
      </w:r>
      <w:r w:rsidRPr="004068F6">
        <w:rPr>
          <w:spacing w:val="-3"/>
        </w:rPr>
        <w:fldChar w:fldCharType="begin"/>
      </w:r>
      <w:r w:rsidRPr="004068F6">
        <w:rPr>
          <w:spacing w:val="-3"/>
        </w:rPr>
        <w:instrText xml:space="preserve"> REF _Ref138759265 \h  \* MERGEFORMAT </w:instrText>
      </w:r>
      <w:r w:rsidRPr="004068F6">
        <w:rPr>
          <w:spacing w:val="-3"/>
        </w:rPr>
      </w:r>
      <w:r w:rsidRPr="004068F6">
        <w:rPr>
          <w:spacing w:val="-3"/>
        </w:rPr>
        <w:fldChar w:fldCharType="separate"/>
      </w:r>
      <w:r w:rsidR="009C4A81" w:rsidRPr="004068F6">
        <w:t xml:space="preserve">Tabla </w:t>
      </w:r>
      <w:r w:rsidR="009C4A81">
        <w:t>14</w:t>
      </w:r>
      <w:r w:rsidRPr="004068F6">
        <w:rPr>
          <w:spacing w:val="-3"/>
        </w:rPr>
        <w:fldChar w:fldCharType="end"/>
      </w:r>
      <w:r w:rsidRPr="004068F6">
        <w:rPr>
          <w:spacing w:val="-3"/>
        </w:rPr>
        <w:t xml:space="preserve"> señalan los tipos y naturaleza de la información que soporta cada método.</w:t>
      </w:r>
    </w:p>
    <w:p w14:paraId="71074C63" w14:textId="77777777" w:rsidR="00ED4254" w:rsidRPr="004068F6" w:rsidRDefault="00ED4254" w:rsidP="00ED4254">
      <w:pPr>
        <w:numPr>
          <w:ilvl w:val="12"/>
          <w:numId w:val="0"/>
        </w:numPr>
        <w:tabs>
          <w:tab w:val="left" w:pos="-2268"/>
        </w:tabs>
        <w:suppressAutoHyphens/>
        <w:rPr>
          <w:spacing w:val="-3"/>
        </w:rPr>
      </w:pPr>
    </w:p>
    <w:p w14:paraId="400A6282" w14:textId="5FBF9110" w:rsidR="00ED4254" w:rsidRPr="004068F6" w:rsidRDefault="00ED4254" w:rsidP="00ED4254">
      <w:pPr>
        <w:numPr>
          <w:ilvl w:val="0"/>
          <w:numId w:val="651"/>
        </w:numPr>
        <w:tabs>
          <w:tab w:val="left" w:pos="-2268"/>
        </w:tabs>
        <w:suppressAutoHyphens/>
        <w:ind w:left="567" w:hanging="567"/>
        <w:rPr>
          <w:spacing w:val="-3"/>
        </w:rPr>
      </w:pPr>
      <w:r w:rsidRPr="004068F6">
        <w:rPr>
          <w:b/>
          <w:bCs/>
          <w:spacing w:val="-3"/>
        </w:rPr>
        <w:t>Grado de compensación</w:t>
      </w:r>
      <w:r w:rsidRPr="004068F6">
        <w:rPr>
          <w:spacing w:val="-3"/>
        </w:rPr>
        <w:t xml:space="preserve">. La EMC de las alternativas puede permitir que existan diferentes grados de compensación entre las preferencias de cada criterio; es decir, durante la evaluación se puede establecer que una preferencia en un criterio compense las relaciones de preferencia de los demás criterios o bien, que una preferencia en un criterio no compense otras relaciones de preferencias en los demás criterios dado que todos los criterios son lo suficientemente importantes como para no admitir la compensación, tal como sucede en el método lexicográfico (Guitouni &amp; Martel, 1998; Munda, 2008; DCLG, 2009). Ver columna 12 de la </w:t>
      </w:r>
      <w:r w:rsidRPr="004068F6">
        <w:rPr>
          <w:spacing w:val="-3"/>
        </w:rPr>
        <w:fldChar w:fldCharType="begin"/>
      </w:r>
      <w:r w:rsidRPr="004068F6">
        <w:rPr>
          <w:spacing w:val="-3"/>
        </w:rPr>
        <w:instrText xml:space="preserve"> REF _Ref138759265 \h  \* MERGEFORMAT </w:instrText>
      </w:r>
      <w:r w:rsidRPr="004068F6">
        <w:rPr>
          <w:spacing w:val="-3"/>
        </w:rPr>
      </w:r>
      <w:r w:rsidRPr="004068F6">
        <w:rPr>
          <w:spacing w:val="-3"/>
        </w:rPr>
        <w:fldChar w:fldCharType="separate"/>
      </w:r>
      <w:r w:rsidR="009C4A81" w:rsidRPr="004068F6">
        <w:t xml:space="preserve">Tabla </w:t>
      </w:r>
      <w:r w:rsidR="009C4A81">
        <w:t>14</w:t>
      </w:r>
      <w:r w:rsidRPr="004068F6">
        <w:rPr>
          <w:spacing w:val="-3"/>
        </w:rPr>
        <w:fldChar w:fldCharType="end"/>
      </w:r>
      <w:r w:rsidRPr="004068F6">
        <w:rPr>
          <w:spacing w:val="-3"/>
        </w:rPr>
        <w:t>.</w:t>
      </w:r>
    </w:p>
    <w:p w14:paraId="6971E878" w14:textId="77777777" w:rsidR="00ED4254" w:rsidRPr="004068F6" w:rsidRDefault="00ED4254" w:rsidP="00ED4254">
      <w:pPr>
        <w:numPr>
          <w:ilvl w:val="12"/>
          <w:numId w:val="0"/>
        </w:numPr>
        <w:tabs>
          <w:tab w:val="left" w:pos="-2268"/>
        </w:tabs>
        <w:suppressAutoHyphens/>
        <w:rPr>
          <w:spacing w:val="-3"/>
        </w:rPr>
      </w:pPr>
    </w:p>
    <w:p w14:paraId="51F03C3A" w14:textId="77777777" w:rsidR="00ED4254" w:rsidRPr="004068F6" w:rsidRDefault="00ED4254" w:rsidP="00ED4254">
      <w:pPr>
        <w:numPr>
          <w:ilvl w:val="12"/>
          <w:numId w:val="0"/>
        </w:numPr>
        <w:tabs>
          <w:tab w:val="left" w:pos="-2268"/>
        </w:tabs>
        <w:suppressAutoHyphens/>
        <w:ind w:left="567"/>
        <w:rPr>
          <w:spacing w:val="-3"/>
        </w:rPr>
      </w:pPr>
      <w:r w:rsidRPr="004068F6">
        <w:rPr>
          <w:spacing w:val="-3"/>
        </w:rPr>
        <w:t xml:space="preserve">Por ejemplo, el método de las sumas ponderadas permite que las valoraciones de los criterios con mejores calificaciones de desempeño compensen o contrarresten las valoraciones de los criterios con menores calificaciones </w:t>
      </w:r>
      <w:bookmarkStart w:id="2389" w:name="_Hlk122508869"/>
      <w:r w:rsidRPr="004068F6">
        <w:rPr>
          <w:spacing w:val="-3"/>
        </w:rPr>
        <w:t xml:space="preserve">(DCLG, </w:t>
      </w:r>
      <w:r w:rsidRPr="004068F6">
        <w:rPr>
          <w:spacing w:val="-3"/>
        </w:rPr>
        <w:lastRenderedPageBreak/>
        <w:t>2009)</w:t>
      </w:r>
      <w:bookmarkEnd w:id="2389"/>
      <w:r w:rsidRPr="004068F6">
        <w:rPr>
          <w:spacing w:val="-3"/>
        </w:rPr>
        <w:t>, lo que en la práctica permite elevar la puntuación general de la alternativa bajo análisis.</w:t>
      </w:r>
    </w:p>
    <w:p w14:paraId="084367D9" w14:textId="77777777" w:rsidR="00ED4254" w:rsidRPr="004068F6" w:rsidRDefault="00ED4254" w:rsidP="00ED4254">
      <w:pPr>
        <w:numPr>
          <w:ilvl w:val="12"/>
          <w:numId w:val="0"/>
        </w:numPr>
        <w:tabs>
          <w:tab w:val="left" w:pos="-2268"/>
        </w:tabs>
        <w:suppressAutoHyphens/>
        <w:rPr>
          <w:spacing w:val="-3"/>
        </w:rPr>
      </w:pPr>
    </w:p>
    <w:p w14:paraId="1CF39D17" w14:textId="21B47A63" w:rsidR="00ED4254" w:rsidRPr="004068F6" w:rsidRDefault="00ED4254" w:rsidP="00ED4254">
      <w:pPr>
        <w:numPr>
          <w:ilvl w:val="12"/>
          <w:numId w:val="0"/>
        </w:numPr>
        <w:tabs>
          <w:tab w:val="left" w:pos="-2268"/>
        </w:tabs>
        <w:suppressAutoHyphens/>
        <w:ind w:left="567"/>
        <w:rPr>
          <w:spacing w:val="-3"/>
        </w:rPr>
      </w:pPr>
      <w:r w:rsidRPr="004068F6">
        <w:rPr>
          <w:spacing w:val="-3"/>
        </w:rPr>
        <w:t>Dado que usualmente las EMC desarrolladas para evaluar alternativas en los DAA emplean métodos compensatorios (como el de las sumas ponderadas), es fundamental que si se selecciona uno de estos métodos se utilicen criterios que permitan su compensación por otros; por esta razón, al aplicar este método no podría usarse el criterio “afectación a áreas protegidas con restricciones ambientales</w:t>
      </w:r>
      <w:r w:rsidRPr="004068F6">
        <w:rPr>
          <w:i/>
          <w:iCs/>
          <w:spacing w:val="-3"/>
        </w:rPr>
        <w:t xml:space="preserve"> absolutas</w:t>
      </w:r>
      <w:r w:rsidRPr="004068F6">
        <w:rPr>
          <w:spacing w:val="-3"/>
        </w:rPr>
        <w:t xml:space="preserve">” dado que una mala puntuación en este </w:t>
      </w:r>
      <w:r w:rsidR="00FE58D5" w:rsidRPr="004068F6">
        <w:rPr>
          <w:spacing w:val="-3"/>
        </w:rPr>
        <w:t xml:space="preserve">criterio </w:t>
      </w:r>
      <w:r w:rsidRPr="004068F6">
        <w:rPr>
          <w:spacing w:val="-3"/>
        </w:rPr>
        <w:t>no puede compensarse por buenas puntuaciones en otros. Lo anterior no quiere decir que dicho criterio no sea importante, sino que el método empleado no lo admite y, por tanto, que es necesario usar otro método o refinarlo para que después de agregar las puntuaciones de una alternativa, pueda aplicarse este criterio como factor multiplicativo (y no como elemento aditivo) a fin de descartar las alternativas que afecten este tipo de áreas.</w:t>
      </w:r>
    </w:p>
    <w:p w14:paraId="48DE4A1B" w14:textId="77777777" w:rsidR="00ED4254" w:rsidRPr="004068F6" w:rsidRDefault="00ED4254" w:rsidP="00ED4254">
      <w:pPr>
        <w:numPr>
          <w:ilvl w:val="12"/>
          <w:numId w:val="0"/>
        </w:numPr>
        <w:tabs>
          <w:tab w:val="left" w:pos="-2268"/>
        </w:tabs>
        <w:suppressAutoHyphens/>
        <w:rPr>
          <w:spacing w:val="-3"/>
        </w:rPr>
      </w:pPr>
    </w:p>
    <w:p w14:paraId="12CDC3FB" w14:textId="5CE09374" w:rsidR="00ED4254" w:rsidRPr="004068F6" w:rsidRDefault="00ED4254" w:rsidP="00ED4254">
      <w:pPr>
        <w:numPr>
          <w:ilvl w:val="0"/>
          <w:numId w:val="651"/>
        </w:numPr>
        <w:tabs>
          <w:tab w:val="left" w:pos="-2268"/>
        </w:tabs>
        <w:suppressAutoHyphens/>
        <w:ind w:left="567" w:hanging="567"/>
        <w:rPr>
          <w:spacing w:val="-3"/>
        </w:rPr>
      </w:pPr>
      <w:r w:rsidRPr="004068F6">
        <w:rPr>
          <w:b/>
          <w:bCs/>
          <w:spacing w:val="-3"/>
        </w:rPr>
        <w:t>Hipótesis fundamental del método</w:t>
      </w:r>
      <w:r w:rsidRPr="004068F6">
        <w:rPr>
          <w:spacing w:val="-3"/>
        </w:rPr>
        <w:t>. Cada método de EMC se soporta en un conjunto de hipótesis que deben cumplirse para asegurar la coherencia del procedimiento de agregación (Guitouni &amp; Martel, 1998); de modo que, al elegir un método determinado es necesario conocer y asumir sus hipótesis, lo que significa que durante el proceso de ejecución de la evaluación se debe verificar que estas hipótesis se cumplan. Las hipótesis son independencia, conmensurabilidad, invariancia, transitividad, dominancia</w:t>
      </w:r>
      <w:r w:rsidR="007E4DC1" w:rsidRPr="004068F6">
        <w:rPr>
          <w:spacing w:val="-3"/>
        </w:rPr>
        <w:t xml:space="preserve"> y</w:t>
      </w:r>
      <w:r w:rsidRPr="004068F6">
        <w:rPr>
          <w:spacing w:val="-3"/>
        </w:rPr>
        <w:t xml:space="preserve"> coalición. La columna 13 de la </w:t>
      </w:r>
      <w:r w:rsidRPr="004068F6">
        <w:rPr>
          <w:spacing w:val="-3"/>
        </w:rPr>
        <w:fldChar w:fldCharType="begin"/>
      </w:r>
      <w:r w:rsidRPr="004068F6">
        <w:rPr>
          <w:spacing w:val="-3"/>
        </w:rPr>
        <w:instrText xml:space="preserve"> REF _Ref138759265 \h  \* MERGEFORMAT </w:instrText>
      </w:r>
      <w:r w:rsidRPr="004068F6">
        <w:rPr>
          <w:spacing w:val="-3"/>
        </w:rPr>
      </w:r>
      <w:r w:rsidRPr="004068F6">
        <w:rPr>
          <w:spacing w:val="-3"/>
        </w:rPr>
        <w:fldChar w:fldCharType="separate"/>
      </w:r>
      <w:r w:rsidR="009C4A81" w:rsidRPr="004068F6">
        <w:t xml:space="preserve">Tabla </w:t>
      </w:r>
      <w:r w:rsidR="009C4A81">
        <w:t>14</w:t>
      </w:r>
      <w:r w:rsidRPr="004068F6">
        <w:rPr>
          <w:spacing w:val="-3"/>
        </w:rPr>
        <w:fldChar w:fldCharType="end"/>
      </w:r>
      <w:r w:rsidRPr="004068F6">
        <w:rPr>
          <w:spacing w:val="-3"/>
        </w:rPr>
        <w:t xml:space="preserve"> señala las hipótesis de cada método.</w:t>
      </w:r>
    </w:p>
    <w:p w14:paraId="59C56B94" w14:textId="3549B68D" w:rsidR="00F15672" w:rsidRPr="004068F6" w:rsidRDefault="00F15672" w:rsidP="00F15672">
      <w:pPr>
        <w:numPr>
          <w:ilvl w:val="12"/>
          <w:numId w:val="0"/>
        </w:numPr>
        <w:tabs>
          <w:tab w:val="left" w:pos="-2268"/>
        </w:tabs>
        <w:suppressAutoHyphens/>
        <w:rPr>
          <w:spacing w:val="-3"/>
        </w:rPr>
      </w:pPr>
    </w:p>
    <w:p w14:paraId="63DF5ABE" w14:textId="17454500" w:rsidR="00D30C78" w:rsidRPr="00466E26" w:rsidRDefault="001051B6" w:rsidP="000A1E20">
      <w:pPr>
        <w:pStyle w:val="Ttulo3"/>
      </w:pPr>
      <w:bookmarkStart w:id="2390" w:name="_Toc230879613"/>
      <w:r w:rsidRPr="00466E26">
        <w:t>Procedimiento para seleccionar el método de evaluación multicriterio más apropiado al DAA</w:t>
      </w:r>
      <w:bookmarkEnd w:id="2390"/>
    </w:p>
    <w:p w14:paraId="6DF193C2" w14:textId="77777777" w:rsidR="00D30C78" w:rsidRPr="00127BD4" w:rsidRDefault="00D30C78" w:rsidP="00F15672">
      <w:pPr>
        <w:numPr>
          <w:ilvl w:val="12"/>
          <w:numId w:val="0"/>
        </w:numPr>
        <w:tabs>
          <w:tab w:val="left" w:pos="-2268"/>
        </w:tabs>
        <w:suppressAutoHyphens/>
        <w:rPr>
          <w:spacing w:val="-3"/>
        </w:rPr>
      </w:pPr>
    </w:p>
    <w:p w14:paraId="4FC2C802" w14:textId="6CA8B391" w:rsidR="001E57BF" w:rsidRPr="004068F6" w:rsidRDefault="001E57BF" w:rsidP="001E57BF">
      <w:pPr>
        <w:numPr>
          <w:ilvl w:val="12"/>
          <w:numId w:val="0"/>
        </w:numPr>
        <w:tabs>
          <w:tab w:val="left" w:pos="-2268"/>
        </w:tabs>
        <w:suppressAutoHyphens/>
        <w:rPr>
          <w:spacing w:val="-3"/>
        </w:rPr>
      </w:pPr>
      <w:r w:rsidRPr="004068F6">
        <w:rPr>
          <w:spacing w:val="-3"/>
        </w:rPr>
        <w:t xml:space="preserve">A fin de seleccionar un método que sea apropiado al problema de decisión abordado en </w:t>
      </w:r>
      <w:r w:rsidR="00D9286B" w:rsidRPr="004068F6">
        <w:rPr>
          <w:spacing w:val="-3"/>
        </w:rPr>
        <w:t xml:space="preserve">el </w:t>
      </w:r>
      <w:r w:rsidRPr="004068F6">
        <w:rPr>
          <w:spacing w:val="-3"/>
        </w:rPr>
        <w:t>DAA, se debe ejecutar el procedimiento general señalado a continuación</w:t>
      </w:r>
      <w:r w:rsidR="002D417A" w:rsidRPr="004068F6">
        <w:rPr>
          <w:spacing w:val="-3"/>
        </w:rPr>
        <w:t xml:space="preserve"> y considerar</w:t>
      </w:r>
      <w:r w:rsidR="000C4277" w:rsidRPr="004068F6">
        <w:rPr>
          <w:spacing w:val="-3"/>
        </w:rPr>
        <w:t xml:space="preserve"> </w:t>
      </w:r>
      <w:r w:rsidR="00D9286B" w:rsidRPr="004068F6">
        <w:rPr>
          <w:spacing w:val="-3"/>
        </w:rPr>
        <w:t xml:space="preserve">la </w:t>
      </w:r>
      <w:r w:rsidR="00D9286B" w:rsidRPr="004068F6">
        <w:rPr>
          <w:spacing w:val="-3"/>
        </w:rPr>
        <w:fldChar w:fldCharType="begin"/>
      </w:r>
      <w:r w:rsidR="00D9286B" w:rsidRPr="004068F6">
        <w:rPr>
          <w:spacing w:val="-3"/>
        </w:rPr>
        <w:instrText xml:space="preserve"> REF _Ref138759265 \h  \* MERGEFORMAT </w:instrText>
      </w:r>
      <w:r w:rsidR="00D9286B" w:rsidRPr="004068F6">
        <w:rPr>
          <w:spacing w:val="-3"/>
        </w:rPr>
      </w:r>
      <w:r w:rsidR="00D9286B" w:rsidRPr="004068F6">
        <w:rPr>
          <w:spacing w:val="-3"/>
        </w:rPr>
        <w:fldChar w:fldCharType="separate"/>
      </w:r>
      <w:r w:rsidR="009C4A81" w:rsidRPr="004068F6">
        <w:t xml:space="preserve">Tabla </w:t>
      </w:r>
      <w:r w:rsidR="009C4A81">
        <w:t>14</w:t>
      </w:r>
      <w:r w:rsidR="00D9286B" w:rsidRPr="004068F6">
        <w:rPr>
          <w:spacing w:val="-3"/>
        </w:rPr>
        <w:fldChar w:fldCharType="end"/>
      </w:r>
      <w:r w:rsidR="0050361C" w:rsidRPr="004068F6">
        <w:rPr>
          <w:spacing w:val="-3"/>
        </w:rPr>
        <w:t xml:space="preserve"> como referencia para elegir el método de EMC</w:t>
      </w:r>
      <w:r w:rsidR="00D9286B" w:rsidRPr="004068F6">
        <w:rPr>
          <w:spacing w:val="-3"/>
        </w:rPr>
        <w:t>.</w:t>
      </w:r>
    </w:p>
    <w:p w14:paraId="7E7FC652" w14:textId="77777777" w:rsidR="001E57BF" w:rsidRPr="004068F6" w:rsidRDefault="001E57BF" w:rsidP="001E57BF">
      <w:pPr>
        <w:numPr>
          <w:ilvl w:val="12"/>
          <w:numId w:val="0"/>
        </w:numPr>
        <w:tabs>
          <w:tab w:val="left" w:pos="-2268"/>
        </w:tabs>
        <w:suppressAutoHyphens/>
        <w:rPr>
          <w:spacing w:val="-3"/>
        </w:rPr>
      </w:pPr>
    </w:p>
    <w:p w14:paraId="06E83094" w14:textId="77777777" w:rsidR="001E57BF" w:rsidRPr="00FE1B78" w:rsidRDefault="001E57BF" w:rsidP="001E57BF">
      <w:pPr>
        <w:pStyle w:val="Prrafodelista"/>
        <w:numPr>
          <w:ilvl w:val="0"/>
          <w:numId w:val="753"/>
        </w:numPr>
        <w:tabs>
          <w:tab w:val="left" w:pos="-2268"/>
        </w:tabs>
        <w:suppressAutoHyphens/>
        <w:ind w:left="567" w:hanging="567"/>
        <w:rPr>
          <w:spacing w:val="-3"/>
          <w:lang w:val="es-CO"/>
        </w:rPr>
      </w:pPr>
      <w:r w:rsidRPr="00FE1B78">
        <w:rPr>
          <w:spacing w:val="-3"/>
          <w:lang w:val="es-CO"/>
        </w:rPr>
        <w:t>Definir el tipo de método que se desea emplear. Los tipos de métodos son los siguientes:</w:t>
      </w:r>
    </w:p>
    <w:p w14:paraId="149C49C0" w14:textId="77777777" w:rsidR="001E57BF" w:rsidRPr="00673D71" w:rsidRDefault="001E57BF" w:rsidP="00673D71">
      <w:pPr>
        <w:tabs>
          <w:tab w:val="left" w:pos="-2268"/>
        </w:tabs>
        <w:suppressAutoHyphens/>
        <w:rPr>
          <w:spacing w:val="-3"/>
        </w:rPr>
      </w:pPr>
    </w:p>
    <w:p w14:paraId="4AC61621"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Elemental;</w:t>
      </w:r>
    </w:p>
    <w:p w14:paraId="2C4BBF7D" w14:textId="77777777" w:rsidR="001E57BF" w:rsidRPr="00127BD4" w:rsidRDefault="001E57BF" w:rsidP="00127BD4">
      <w:pPr>
        <w:tabs>
          <w:tab w:val="left" w:pos="-2268"/>
        </w:tabs>
        <w:suppressAutoHyphens/>
        <w:rPr>
          <w:spacing w:val="-3"/>
        </w:rPr>
      </w:pPr>
    </w:p>
    <w:p w14:paraId="70FDED88"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Criterio de síntesis único;</w:t>
      </w:r>
    </w:p>
    <w:p w14:paraId="588E736A" w14:textId="77777777" w:rsidR="001E57BF" w:rsidRPr="00127BD4" w:rsidRDefault="001E57BF" w:rsidP="00127BD4">
      <w:pPr>
        <w:tabs>
          <w:tab w:val="left" w:pos="-2268"/>
        </w:tabs>
        <w:suppressAutoHyphens/>
        <w:rPr>
          <w:spacing w:val="-3"/>
        </w:rPr>
      </w:pPr>
    </w:p>
    <w:p w14:paraId="6BEE90D5"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De superación (outranking);</w:t>
      </w:r>
    </w:p>
    <w:p w14:paraId="3A3727BA" w14:textId="77777777" w:rsidR="001E57BF" w:rsidRPr="00127BD4" w:rsidRDefault="001E57BF" w:rsidP="00127BD4">
      <w:pPr>
        <w:tabs>
          <w:tab w:val="left" w:pos="-2268"/>
        </w:tabs>
        <w:suppressAutoHyphens/>
        <w:rPr>
          <w:spacing w:val="-3"/>
        </w:rPr>
      </w:pPr>
    </w:p>
    <w:p w14:paraId="70FBD738"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lastRenderedPageBreak/>
        <w:t>Interactivo y;</w:t>
      </w:r>
    </w:p>
    <w:p w14:paraId="087C7895" w14:textId="77777777" w:rsidR="001E57BF" w:rsidRPr="00127BD4" w:rsidRDefault="001E57BF" w:rsidP="00127BD4">
      <w:pPr>
        <w:tabs>
          <w:tab w:val="left" w:pos="-2268"/>
        </w:tabs>
        <w:suppressAutoHyphens/>
        <w:rPr>
          <w:spacing w:val="-3"/>
        </w:rPr>
      </w:pPr>
    </w:p>
    <w:p w14:paraId="2A2A9BB6"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Mixto.</w:t>
      </w:r>
    </w:p>
    <w:p w14:paraId="3FA455B5" w14:textId="77777777" w:rsidR="001E57BF" w:rsidRPr="004068F6" w:rsidRDefault="001E57BF" w:rsidP="00127BD4">
      <w:pPr>
        <w:tabs>
          <w:tab w:val="left" w:pos="-2268"/>
        </w:tabs>
        <w:suppressAutoHyphens/>
        <w:rPr>
          <w:spacing w:val="-3"/>
        </w:rPr>
      </w:pPr>
    </w:p>
    <w:p w14:paraId="1E78CA43" w14:textId="573885AC" w:rsidR="001E57BF" w:rsidRPr="00127BD4" w:rsidRDefault="001E57BF" w:rsidP="00127BD4">
      <w:pPr>
        <w:tabs>
          <w:tab w:val="left" w:pos="-2268"/>
        </w:tabs>
        <w:suppressAutoHyphens/>
        <w:ind w:left="567"/>
        <w:rPr>
          <w:spacing w:val="-3"/>
        </w:rPr>
      </w:pPr>
      <w:r w:rsidRPr="004068F6">
        <w:rPr>
          <w:spacing w:val="-3"/>
        </w:rPr>
        <w:t>L</w:t>
      </w:r>
      <w:r w:rsidRPr="00127BD4">
        <w:rPr>
          <w:spacing w:val="-3"/>
        </w:rPr>
        <w:t>a columna 1</w:t>
      </w:r>
      <w:r w:rsidRPr="004068F6">
        <w:rPr>
          <w:spacing w:val="-3"/>
        </w:rPr>
        <w:t xml:space="preserve"> de la</w:t>
      </w:r>
      <w:r w:rsidRPr="00127BD4">
        <w:rPr>
          <w:spacing w:val="-3"/>
        </w:rPr>
        <w:t xml:space="preserve"> </w:t>
      </w:r>
      <w:r w:rsidRPr="00127BD4">
        <w:rPr>
          <w:spacing w:val="-3"/>
        </w:rPr>
        <w:fldChar w:fldCharType="begin"/>
      </w:r>
      <w:r w:rsidRPr="00127BD4">
        <w:rPr>
          <w:spacing w:val="-3"/>
        </w:rPr>
        <w:instrText xml:space="preserve"> REF _Ref138759265 \h  \* MERGEFORMAT </w:instrText>
      </w:r>
      <w:r w:rsidRPr="00127BD4">
        <w:rPr>
          <w:spacing w:val="-3"/>
        </w:rPr>
      </w:r>
      <w:r w:rsidRPr="00127BD4">
        <w:rPr>
          <w:spacing w:val="-3"/>
        </w:rPr>
        <w:fldChar w:fldCharType="separate"/>
      </w:r>
      <w:r w:rsidR="009C4A81" w:rsidRPr="004068F6">
        <w:t xml:space="preserve">Tabla </w:t>
      </w:r>
      <w:r w:rsidR="009C4A81">
        <w:t>14</w:t>
      </w:r>
      <w:r w:rsidRPr="00127BD4">
        <w:rPr>
          <w:spacing w:val="-3"/>
        </w:rPr>
        <w:fldChar w:fldCharType="end"/>
      </w:r>
      <w:r w:rsidRPr="004068F6">
        <w:rPr>
          <w:spacing w:val="-3"/>
        </w:rPr>
        <w:t xml:space="preserve"> </w:t>
      </w:r>
      <w:r w:rsidRPr="00127BD4">
        <w:rPr>
          <w:spacing w:val="-3"/>
        </w:rPr>
        <w:t xml:space="preserve">señala el tipo </w:t>
      </w:r>
      <w:r w:rsidR="00761E19" w:rsidRPr="004068F6">
        <w:rPr>
          <w:spacing w:val="-3"/>
        </w:rPr>
        <w:t xml:space="preserve">de </w:t>
      </w:r>
      <w:r w:rsidRPr="004068F6">
        <w:rPr>
          <w:spacing w:val="-3"/>
        </w:rPr>
        <w:t>cada uno de los métodos listados</w:t>
      </w:r>
      <w:r w:rsidRPr="00127BD4">
        <w:rPr>
          <w:spacing w:val="-3"/>
        </w:rPr>
        <w:t>.</w:t>
      </w:r>
    </w:p>
    <w:p w14:paraId="1AF42716" w14:textId="77777777" w:rsidR="001E57BF" w:rsidRPr="004068F6" w:rsidRDefault="001E57BF" w:rsidP="001E57BF">
      <w:pPr>
        <w:numPr>
          <w:ilvl w:val="12"/>
          <w:numId w:val="0"/>
        </w:numPr>
        <w:tabs>
          <w:tab w:val="left" w:pos="-2268"/>
        </w:tabs>
        <w:suppressAutoHyphens/>
        <w:ind w:left="567" w:hanging="567"/>
        <w:rPr>
          <w:spacing w:val="-3"/>
        </w:rPr>
      </w:pPr>
    </w:p>
    <w:p w14:paraId="238C3A0E" w14:textId="61AE9275" w:rsidR="001E57BF" w:rsidRPr="00FE1B78" w:rsidRDefault="001E57BF" w:rsidP="001E57BF">
      <w:pPr>
        <w:pStyle w:val="Prrafodelista"/>
        <w:numPr>
          <w:ilvl w:val="0"/>
          <w:numId w:val="753"/>
        </w:numPr>
        <w:tabs>
          <w:tab w:val="left" w:pos="-2268"/>
        </w:tabs>
        <w:suppressAutoHyphens/>
        <w:ind w:left="567" w:hanging="567"/>
        <w:rPr>
          <w:spacing w:val="-3"/>
          <w:lang w:val="es-CO"/>
        </w:rPr>
      </w:pPr>
      <w:r w:rsidRPr="00FE1B78">
        <w:rPr>
          <w:spacing w:val="-3"/>
          <w:lang w:val="es-CO"/>
        </w:rPr>
        <w:t>Identificar tipo de la información a emplear</w:t>
      </w:r>
      <w:r w:rsidR="004D41A2" w:rsidRPr="00FE1B78">
        <w:rPr>
          <w:spacing w:val="-3"/>
          <w:lang w:val="es-CO"/>
        </w:rPr>
        <w:t xml:space="preserve"> en la EMC</w:t>
      </w:r>
      <w:r w:rsidR="00D24A8E" w:rsidRPr="00FE1B78">
        <w:rPr>
          <w:spacing w:val="-3"/>
          <w:lang w:val="es-CO"/>
        </w:rPr>
        <w:t xml:space="preserve">, considerando </w:t>
      </w:r>
      <w:r w:rsidR="00B61ECC" w:rsidRPr="00FE1B78">
        <w:rPr>
          <w:spacing w:val="-3"/>
          <w:lang w:val="es-CO"/>
        </w:rPr>
        <w:t xml:space="preserve">el tipo de información </w:t>
      </w:r>
      <w:r w:rsidR="009004E4" w:rsidRPr="00FE1B78">
        <w:rPr>
          <w:spacing w:val="-3"/>
          <w:lang w:val="es-CO"/>
        </w:rPr>
        <w:t>incorporada al DAA</w:t>
      </w:r>
      <w:r w:rsidRPr="00FE1B78">
        <w:rPr>
          <w:spacing w:val="-3"/>
          <w:lang w:val="es-CO"/>
        </w:rPr>
        <w:t>. Los tipos de información son los siguientes:</w:t>
      </w:r>
    </w:p>
    <w:p w14:paraId="559BF45D" w14:textId="77777777" w:rsidR="001E57BF" w:rsidRPr="00127BD4" w:rsidRDefault="001E57BF" w:rsidP="00127BD4">
      <w:pPr>
        <w:tabs>
          <w:tab w:val="left" w:pos="-2268"/>
        </w:tabs>
        <w:suppressAutoHyphens/>
        <w:rPr>
          <w:spacing w:val="-3"/>
        </w:rPr>
      </w:pPr>
    </w:p>
    <w:p w14:paraId="5AFA8659"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Ordinal;</w:t>
      </w:r>
    </w:p>
    <w:p w14:paraId="5800FA1E" w14:textId="77777777" w:rsidR="001E57BF" w:rsidRPr="00127BD4" w:rsidRDefault="001E57BF" w:rsidP="00127BD4">
      <w:pPr>
        <w:tabs>
          <w:tab w:val="left" w:pos="-2268"/>
        </w:tabs>
        <w:suppressAutoHyphens/>
        <w:rPr>
          <w:spacing w:val="-3"/>
        </w:rPr>
      </w:pPr>
    </w:p>
    <w:p w14:paraId="38883F6B"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Cardinal o;</w:t>
      </w:r>
    </w:p>
    <w:p w14:paraId="5DF5C2A3" w14:textId="77777777" w:rsidR="001E57BF" w:rsidRPr="00127BD4" w:rsidRDefault="001E57BF" w:rsidP="00127BD4">
      <w:pPr>
        <w:rPr>
          <w:spacing w:val="-3"/>
        </w:rPr>
      </w:pPr>
    </w:p>
    <w:p w14:paraId="3838CE18" w14:textId="074BC7FA"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Mixta.</w:t>
      </w:r>
    </w:p>
    <w:p w14:paraId="76473141" w14:textId="77777777" w:rsidR="001E57BF" w:rsidRPr="00127BD4" w:rsidRDefault="001E57BF" w:rsidP="00127BD4">
      <w:pPr>
        <w:rPr>
          <w:spacing w:val="-3"/>
        </w:rPr>
      </w:pPr>
    </w:p>
    <w:p w14:paraId="24396FD8" w14:textId="0F15B4C0" w:rsidR="001E57BF" w:rsidRPr="00127BD4" w:rsidRDefault="001E57BF" w:rsidP="00127BD4">
      <w:pPr>
        <w:tabs>
          <w:tab w:val="left" w:pos="-2268"/>
        </w:tabs>
        <w:suppressAutoHyphens/>
        <w:ind w:left="567"/>
        <w:rPr>
          <w:spacing w:val="-3"/>
        </w:rPr>
      </w:pPr>
      <w:r w:rsidRPr="004068F6">
        <w:rPr>
          <w:spacing w:val="-3"/>
        </w:rPr>
        <w:t>Las c</w:t>
      </w:r>
      <w:r w:rsidRPr="00127BD4">
        <w:rPr>
          <w:spacing w:val="-3"/>
        </w:rPr>
        <w:t xml:space="preserve">olumnas 7 a 9 </w:t>
      </w:r>
      <w:r w:rsidRPr="004068F6">
        <w:rPr>
          <w:spacing w:val="-3"/>
        </w:rPr>
        <w:t xml:space="preserve">de la </w:t>
      </w:r>
      <w:r w:rsidRPr="00127BD4">
        <w:rPr>
          <w:spacing w:val="-3"/>
        </w:rPr>
        <w:fldChar w:fldCharType="begin"/>
      </w:r>
      <w:r w:rsidRPr="00127BD4">
        <w:rPr>
          <w:spacing w:val="-3"/>
        </w:rPr>
        <w:instrText xml:space="preserve"> REF _Ref138759265 \h  \* MERGEFORMAT </w:instrText>
      </w:r>
      <w:r w:rsidRPr="00127BD4">
        <w:rPr>
          <w:spacing w:val="-3"/>
        </w:rPr>
      </w:r>
      <w:r w:rsidRPr="00127BD4">
        <w:rPr>
          <w:spacing w:val="-3"/>
        </w:rPr>
        <w:fldChar w:fldCharType="separate"/>
      </w:r>
      <w:r w:rsidR="009C4A81" w:rsidRPr="009C4A81">
        <w:rPr>
          <w:spacing w:val="-3"/>
        </w:rPr>
        <w:t>Tabla 14</w:t>
      </w:r>
      <w:r w:rsidRPr="00127BD4">
        <w:rPr>
          <w:spacing w:val="-3"/>
        </w:rPr>
        <w:fldChar w:fldCharType="end"/>
      </w:r>
      <w:r w:rsidRPr="004068F6">
        <w:rPr>
          <w:spacing w:val="-3"/>
        </w:rPr>
        <w:t xml:space="preserve"> señalan el tipo de información que admite cada método listado</w:t>
      </w:r>
      <w:r w:rsidRPr="00127BD4">
        <w:rPr>
          <w:spacing w:val="-3"/>
        </w:rPr>
        <w:t>.</w:t>
      </w:r>
    </w:p>
    <w:p w14:paraId="4A84743B" w14:textId="77777777" w:rsidR="001E57BF" w:rsidRPr="004068F6" w:rsidRDefault="001E57BF" w:rsidP="001E57BF">
      <w:pPr>
        <w:numPr>
          <w:ilvl w:val="12"/>
          <w:numId w:val="0"/>
        </w:numPr>
        <w:tabs>
          <w:tab w:val="left" w:pos="-2268"/>
        </w:tabs>
        <w:suppressAutoHyphens/>
        <w:ind w:left="567" w:hanging="567"/>
        <w:rPr>
          <w:spacing w:val="-3"/>
        </w:rPr>
      </w:pPr>
    </w:p>
    <w:p w14:paraId="566BCF34" w14:textId="3A1E24DC" w:rsidR="001E57BF" w:rsidRPr="00FE1B78" w:rsidRDefault="001E57BF" w:rsidP="001E57BF">
      <w:pPr>
        <w:pStyle w:val="Prrafodelista"/>
        <w:numPr>
          <w:ilvl w:val="0"/>
          <w:numId w:val="753"/>
        </w:numPr>
        <w:tabs>
          <w:tab w:val="left" w:pos="-2268"/>
        </w:tabs>
        <w:suppressAutoHyphens/>
        <w:ind w:left="567" w:hanging="567"/>
        <w:rPr>
          <w:spacing w:val="-3"/>
          <w:lang w:val="es-CO"/>
        </w:rPr>
      </w:pPr>
      <w:r w:rsidRPr="00FE1B78">
        <w:rPr>
          <w:spacing w:val="-3"/>
          <w:lang w:val="es-CO"/>
        </w:rPr>
        <w:t>Identificar</w:t>
      </w:r>
      <w:r w:rsidR="00C114B8" w:rsidRPr="00FE1B78">
        <w:rPr>
          <w:spacing w:val="-3"/>
          <w:lang w:val="es-CO"/>
        </w:rPr>
        <w:t xml:space="preserve"> la</w:t>
      </w:r>
      <w:r w:rsidRPr="00FE1B78">
        <w:rPr>
          <w:spacing w:val="-3"/>
          <w:lang w:val="es-CO"/>
        </w:rPr>
        <w:t xml:space="preserve"> naturaleza de la información a emplear</w:t>
      </w:r>
      <w:r w:rsidR="00C114B8" w:rsidRPr="00FE1B78">
        <w:rPr>
          <w:spacing w:val="-3"/>
          <w:lang w:val="es-CO"/>
        </w:rPr>
        <w:t xml:space="preserve"> en la EMC</w:t>
      </w:r>
      <w:r w:rsidRPr="00FE1B78">
        <w:rPr>
          <w:spacing w:val="-3"/>
          <w:lang w:val="es-CO"/>
        </w:rPr>
        <w:t>. La información puede ser:</w:t>
      </w:r>
    </w:p>
    <w:p w14:paraId="00F8DA95" w14:textId="77777777" w:rsidR="001E57BF" w:rsidRPr="00127BD4" w:rsidRDefault="001E57BF" w:rsidP="00127BD4">
      <w:pPr>
        <w:tabs>
          <w:tab w:val="left" w:pos="-2268"/>
        </w:tabs>
        <w:suppressAutoHyphens/>
        <w:rPr>
          <w:spacing w:val="-3"/>
        </w:rPr>
      </w:pPr>
    </w:p>
    <w:p w14:paraId="65E62DB0"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Determinística;</w:t>
      </w:r>
    </w:p>
    <w:p w14:paraId="4A73B58B" w14:textId="77777777" w:rsidR="001E57BF" w:rsidRPr="00127BD4" w:rsidRDefault="001E57BF" w:rsidP="00127BD4">
      <w:pPr>
        <w:tabs>
          <w:tab w:val="left" w:pos="-2268"/>
        </w:tabs>
        <w:suppressAutoHyphens/>
        <w:rPr>
          <w:spacing w:val="-3"/>
        </w:rPr>
      </w:pPr>
    </w:p>
    <w:p w14:paraId="54087D6C"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No determinística o;</w:t>
      </w:r>
    </w:p>
    <w:p w14:paraId="64C06F99" w14:textId="77777777" w:rsidR="001E57BF" w:rsidRPr="00127BD4" w:rsidRDefault="001E57BF" w:rsidP="00127BD4">
      <w:pPr>
        <w:rPr>
          <w:spacing w:val="-3"/>
        </w:rPr>
      </w:pPr>
    </w:p>
    <w:p w14:paraId="458638D8"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Mixta.</w:t>
      </w:r>
    </w:p>
    <w:p w14:paraId="493F7E66" w14:textId="77777777" w:rsidR="001E57BF" w:rsidRPr="00127BD4" w:rsidRDefault="001E57BF" w:rsidP="00127BD4">
      <w:pPr>
        <w:rPr>
          <w:spacing w:val="-3"/>
        </w:rPr>
      </w:pPr>
    </w:p>
    <w:p w14:paraId="23E0F748" w14:textId="374E3E49" w:rsidR="001E57BF" w:rsidRPr="00127BD4" w:rsidRDefault="001E57BF" w:rsidP="00127BD4">
      <w:pPr>
        <w:tabs>
          <w:tab w:val="left" w:pos="-2268"/>
        </w:tabs>
        <w:suppressAutoHyphens/>
        <w:ind w:left="567"/>
        <w:rPr>
          <w:spacing w:val="-3"/>
        </w:rPr>
      </w:pPr>
      <w:r w:rsidRPr="004068F6">
        <w:rPr>
          <w:spacing w:val="-3"/>
        </w:rPr>
        <w:t>Las c</w:t>
      </w:r>
      <w:r w:rsidRPr="00127BD4">
        <w:rPr>
          <w:spacing w:val="-3"/>
        </w:rPr>
        <w:t xml:space="preserve">olumnas 10 y 11 </w:t>
      </w:r>
      <w:r w:rsidRPr="004068F6">
        <w:rPr>
          <w:spacing w:val="-3"/>
        </w:rPr>
        <w:t xml:space="preserve">de la </w:t>
      </w:r>
      <w:r w:rsidRPr="00127BD4">
        <w:rPr>
          <w:spacing w:val="-3"/>
        </w:rPr>
        <w:fldChar w:fldCharType="begin"/>
      </w:r>
      <w:r w:rsidRPr="00127BD4">
        <w:rPr>
          <w:spacing w:val="-3"/>
        </w:rPr>
        <w:instrText xml:space="preserve"> REF _Ref138759265 \h  \* MERGEFORMAT </w:instrText>
      </w:r>
      <w:r w:rsidRPr="00127BD4">
        <w:rPr>
          <w:spacing w:val="-3"/>
        </w:rPr>
      </w:r>
      <w:r w:rsidRPr="00127BD4">
        <w:rPr>
          <w:spacing w:val="-3"/>
        </w:rPr>
        <w:fldChar w:fldCharType="separate"/>
      </w:r>
      <w:r w:rsidR="009C4A81" w:rsidRPr="009C4A81">
        <w:rPr>
          <w:spacing w:val="-3"/>
        </w:rPr>
        <w:t>Tabla 14</w:t>
      </w:r>
      <w:r w:rsidRPr="00127BD4">
        <w:rPr>
          <w:spacing w:val="-3"/>
        </w:rPr>
        <w:fldChar w:fldCharType="end"/>
      </w:r>
      <w:r w:rsidRPr="004068F6">
        <w:rPr>
          <w:spacing w:val="-3"/>
        </w:rPr>
        <w:t xml:space="preserve"> mencionan qué naturaleza de la información </w:t>
      </w:r>
      <w:r w:rsidR="00A20183" w:rsidRPr="004068F6">
        <w:rPr>
          <w:spacing w:val="-3"/>
        </w:rPr>
        <w:t>que</w:t>
      </w:r>
      <w:r w:rsidR="00CE6886" w:rsidRPr="004068F6">
        <w:rPr>
          <w:spacing w:val="-3"/>
        </w:rPr>
        <w:t xml:space="preserve"> </w:t>
      </w:r>
      <w:r w:rsidRPr="004068F6">
        <w:rPr>
          <w:spacing w:val="-3"/>
        </w:rPr>
        <w:t>admite cada método</w:t>
      </w:r>
      <w:r w:rsidRPr="00127BD4">
        <w:rPr>
          <w:spacing w:val="-3"/>
        </w:rPr>
        <w:t>.</w:t>
      </w:r>
    </w:p>
    <w:p w14:paraId="087B5209" w14:textId="77777777" w:rsidR="001E57BF" w:rsidRPr="004068F6" w:rsidRDefault="001E57BF" w:rsidP="001E57BF">
      <w:pPr>
        <w:numPr>
          <w:ilvl w:val="12"/>
          <w:numId w:val="0"/>
        </w:numPr>
        <w:tabs>
          <w:tab w:val="left" w:pos="-2268"/>
        </w:tabs>
        <w:suppressAutoHyphens/>
        <w:ind w:left="567" w:hanging="567"/>
        <w:rPr>
          <w:spacing w:val="-3"/>
        </w:rPr>
      </w:pPr>
    </w:p>
    <w:p w14:paraId="7E06E4AE" w14:textId="794262EE" w:rsidR="001E57BF" w:rsidRPr="00FE1B78" w:rsidRDefault="001E57BF" w:rsidP="001E57BF">
      <w:pPr>
        <w:pStyle w:val="Prrafodelista"/>
        <w:numPr>
          <w:ilvl w:val="0"/>
          <w:numId w:val="753"/>
        </w:numPr>
        <w:tabs>
          <w:tab w:val="left" w:pos="-2268"/>
        </w:tabs>
        <w:suppressAutoHyphens/>
        <w:ind w:left="567" w:hanging="567"/>
        <w:rPr>
          <w:spacing w:val="-3"/>
          <w:lang w:val="es-CO"/>
        </w:rPr>
      </w:pPr>
      <w:r w:rsidRPr="00FE1B78">
        <w:rPr>
          <w:spacing w:val="-3"/>
          <w:lang w:val="es-CO"/>
        </w:rPr>
        <w:t>Definir tipo de decisión</w:t>
      </w:r>
      <w:r w:rsidR="00562985" w:rsidRPr="00FE1B78">
        <w:rPr>
          <w:spacing w:val="-3"/>
          <w:lang w:val="es-CO"/>
        </w:rPr>
        <w:t xml:space="preserve"> que empleará la EMC</w:t>
      </w:r>
      <w:r w:rsidRPr="00FE1B78">
        <w:rPr>
          <w:spacing w:val="-3"/>
          <w:lang w:val="es-CO"/>
        </w:rPr>
        <w:t>. Los tipos de decisión son:</w:t>
      </w:r>
    </w:p>
    <w:p w14:paraId="697FD700" w14:textId="77777777" w:rsidR="001E57BF" w:rsidRPr="00127BD4" w:rsidRDefault="001E57BF" w:rsidP="00127BD4">
      <w:pPr>
        <w:tabs>
          <w:tab w:val="left" w:pos="-2268"/>
        </w:tabs>
        <w:suppressAutoHyphens/>
        <w:rPr>
          <w:spacing w:val="-3"/>
        </w:rPr>
      </w:pPr>
    </w:p>
    <w:p w14:paraId="68681B80"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Elección;</w:t>
      </w:r>
    </w:p>
    <w:p w14:paraId="7CF3EB0B" w14:textId="77777777" w:rsidR="001E57BF" w:rsidRPr="00127BD4" w:rsidRDefault="001E57BF" w:rsidP="00127BD4">
      <w:pPr>
        <w:tabs>
          <w:tab w:val="left" w:pos="-2268"/>
        </w:tabs>
        <w:suppressAutoHyphens/>
        <w:rPr>
          <w:spacing w:val="-3"/>
        </w:rPr>
      </w:pPr>
    </w:p>
    <w:p w14:paraId="348CF444"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Clasificación;</w:t>
      </w:r>
    </w:p>
    <w:p w14:paraId="1E83A481" w14:textId="77777777" w:rsidR="001E57BF" w:rsidRPr="00127BD4" w:rsidRDefault="001E57BF" w:rsidP="00127BD4">
      <w:pPr>
        <w:rPr>
          <w:spacing w:val="-3"/>
        </w:rPr>
      </w:pPr>
    </w:p>
    <w:p w14:paraId="3B4AAD80" w14:textId="77777777"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Calificación u;</w:t>
      </w:r>
    </w:p>
    <w:p w14:paraId="3AEEC9AA" w14:textId="77777777" w:rsidR="001E57BF" w:rsidRPr="00127BD4" w:rsidRDefault="001E57BF" w:rsidP="00127BD4">
      <w:pPr>
        <w:rPr>
          <w:spacing w:val="-3"/>
        </w:rPr>
      </w:pPr>
    </w:p>
    <w:p w14:paraId="75BB4124" w14:textId="1274C801" w:rsidR="001E57BF" w:rsidRPr="00FE1B78" w:rsidRDefault="001E57BF" w:rsidP="001E57BF">
      <w:pPr>
        <w:pStyle w:val="Prrafodelista"/>
        <w:numPr>
          <w:ilvl w:val="0"/>
          <w:numId w:val="754"/>
        </w:numPr>
        <w:tabs>
          <w:tab w:val="left" w:pos="-2268"/>
        </w:tabs>
        <w:suppressAutoHyphens/>
        <w:ind w:left="1134" w:hanging="567"/>
        <w:rPr>
          <w:spacing w:val="-3"/>
          <w:lang w:val="es-CO"/>
        </w:rPr>
      </w:pPr>
      <w:r w:rsidRPr="00FE1B78">
        <w:rPr>
          <w:spacing w:val="-3"/>
          <w:lang w:val="es-CO"/>
        </w:rPr>
        <w:t>Otro.</w:t>
      </w:r>
    </w:p>
    <w:p w14:paraId="2BBEFFBC" w14:textId="77777777" w:rsidR="001E57BF" w:rsidRPr="00127BD4" w:rsidRDefault="001E57BF" w:rsidP="00127BD4">
      <w:pPr>
        <w:rPr>
          <w:spacing w:val="-3"/>
        </w:rPr>
      </w:pPr>
    </w:p>
    <w:p w14:paraId="59659A4D" w14:textId="4B932555" w:rsidR="001E57BF" w:rsidRPr="00127BD4" w:rsidRDefault="001E57BF" w:rsidP="00127BD4">
      <w:pPr>
        <w:tabs>
          <w:tab w:val="left" w:pos="-2268"/>
        </w:tabs>
        <w:suppressAutoHyphens/>
        <w:ind w:left="567"/>
        <w:rPr>
          <w:spacing w:val="-3"/>
        </w:rPr>
      </w:pPr>
      <w:r w:rsidRPr="004068F6">
        <w:rPr>
          <w:spacing w:val="-3"/>
        </w:rPr>
        <w:t>La c</w:t>
      </w:r>
      <w:r w:rsidRPr="00127BD4">
        <w:rPr>
          <w:spacing w:val="-3"/>
        </w:rPr>
        <w:t xml:space="preserve">olumna 6 </w:t>
      </w:r>
      <w:r w:rsidRPr="004068F6">
        <w:rPr>
          <w:spacing w:val="-3"/>
        </w:rPr>
        <w:t xml:space="preserve">de la </w:t>
      </w:r>
      <w:r w:rsidRPr="00127BD4">
        <w:rPr>
          <w:spacing w:val="-3"/>
        </w:rPr>
        <w:fldChar w:fldCharType="begin"/>
      </w:r>
      <w:r w:rsidRPr="00127BD4">
        <w:rPr>
          <w:spacing w:val="-3"/>
        </w:rPr>
        <w:instrText xml:space="preserve"> REF _Ref138759265 \h  \* MERGEFORMAT </w:instrText>
      </w:r>
      <w:r w:rsidRPr="00127BD4">
        <w:rPr>
          <w:spacing w:val="-3"/>
        </w:rPr>
      </w:r>
      <w:r w:rsidRPr="00127BD4">
        <w:rPr>
          <w:spacing w:val="-3"/>
        </w:rPr>
        <w:fldChar w:fldCharType="separate"/>
      </w:r>
      <w:r w:rsidR="009C4A81" w:rsidRPr="009C4A81">
        <w:rPr>
          <w:spacing w:val="-3"/>
        </w:rPr>
        <w:t>Tabla 14</w:t>
      </w:r>
      <w:r w:rsidRPr="00127BD4">
        <w:rPr>
          <w:spacing w:val="-3"/>
        </w:rPr>
        <w:fldChar w:fldCharType="end"/>
      </w:r>
      <w:r w:rsidRPr="004068F6">
        <w:rPr>
          <w:spacing w:val="-3"/>
        </w:rPr>
        <w:t xml:space="preserve"> señala el tipo de decisión </w:t>
      </w:r>
      <w:r w:rsidR="00CE6886" w:rsidRPr="004068F6">
        <w:rPr>
          <w:spacing w:val="-3"/>
        </w:rPr>
        <w:t xml:space="preserve">que permite </w:t>
      </w:r>
      <w:r w:rsidRPr="004068F6">
        <w:rPr>
          <w:spacing w:val="-3"/>
        </w:rPr>
        <w:t>cada método</w:t>
      </w:r>
      <w:r w:rsidRPr="00127BD4">
        <w:rPr>
          <w:spacing w:val="-3"/>
        </w:rPr>
        <w:t>.</w:t>
      </w:r>
    </w:p>
    <w:p w14:paraId="29DD4EFF" w14:textId="77777777" w:rsidR="001E57BF" w:rsidRPr="004068F6" w:rsidRDefault="001E57BF" w:rsidP="001E57BF">
      <w:pPr>
        <w:numPr>
          <w:ilvl w:val="12"/>
          <w:numId w:val="0"/>
        </w:numPr>
        <w:tabs>
          <w:tab w:val="left" w:pos="-2268"/>
        </w:tabs>
        <w:suppressAutoHyphens/>
        <w:rPr>
          <w:spacing w:val="-3"/>
        </w:rPr>
      </w:pPr>
    </w:p>
    <w:p w14:paraId="05BCE33D" w14:textId="371B4824" w:rsidR="00F15672" w:rsidRPr="004068F6" w:rsidRDefault="001E57BF" w:rsidP="00F15672">
      <w:pPr>
        <w:numPr>
          <w:ilvl w:val="12"/>
          <w:numId w:val="0"/>
        </w:numPr>
        <w:tabs>
          <w:tab w:val="left" w:pos="-2268"/>
        </w:tabs>
        <w:suppressAutoHyphens/>
        <w:rPr>
          <w:spacing w:val="-3"/>
        </w:rPr>
      </w:pPr>
      <w:r w:rsidRPr="004068F6">
        <w:rPr>
          <w:spacing w:val="-3"/>
        </w:rPr>
        <w:t>Es importante tener en cuenta que, para cada una de las posibles opciones de cada paso del procedimiento, es posible seleccionar cualquiera de las posibilidades del siguiente paso; así, si se decide usar un método elemental, es posible emplear información ordinal, cardinal o mixta, ésta a su vez, puede ser de naturaleza determinística, no determinística o mixta, y finalmente, es posible definir cualquiera de los tipos de decisión abordados por los métodos de EMC.</w:t>
      </w:r>
    </w:p>
    <w:p w14:paraId="043BE32D" w14:textId="77777777" w:rsidR="00F247F7" w:rsidRPr="004068F6" w:rsidRDefault="00F247F7">
      <w:pPr>
        <w:numPr>
          <w:ilvl w:val="12"/>
          <w:numId w:val="0"/>
        </w:numPr>
        <w:tabs>
          <w:tab w:val="left" w:pos="-2268"/>
        </w:tabs>
        <w:suppressAutoHyphens/>
        <w:rPr>
          <w:spacing w:val="-3"/>
        </w:rPr>
      </w:pPr>
    </w:p>
    <w:p w14:paraId="0AF24F27" w14:textId="77777777" w:rsidR="00F44F70" w:rsidRPr="004068F6" w:rsidRDefault="00F44F70">
      <w:pPr>
        <w:numPr>
          <w:ilvl w:val="12"/>
          <w:numId w:val="0"/>
        </w:numPr>
        <w:tabs>
          <w:tab w:val="left" w:pos="-2268"/>
        </w:tabs>
        <w:suppressAutoHyphens/>
        <w:rPr>
          <w:spacing w:val="-3"/>
        </w:rPr>
        <w:sectPr w:rsidR="00F44F70" w:rsidRPr="004068F6" w:rsidSect="00C51BA7">
          <w:headerReference w:type="even" r:id="rId30"/>
          <w:headerReference w:type="default" r:id="rId31"/>
          <w:footerReference w:type="default" r:id="rId32"/>
          <w:headerReference w:type="first" r:id="rId33"/>
          <w:footerReference w:type="first" r:id="rId34"/>
          <w:endnotePr>
            <w:numFmt w:val="decimal"/>
          </w:endnotePr>
          <w:pgSz w:w="12242" w:h="15842" w:code="1"/>
          <w:pgMar w:top="2268" w:right="1701" w:bottom="1701" w:left="1701" w:header="1134" w:footer="851" w:gutter="0"/>
          <w:pgNumType w:start="2"/>
          <w:cols w:space="720"/>
          <w:docGrid w:linePitch="326"/>
        </w:sectPr>
      </w:pPr>
    </w:p>
    <w:p w14:paraId="61969BB7" w14:textId="4790A64F" w:rsidR="007D4645" w:rsidRPr="004068F6" w:rsidRDefault="007D4645" w:rsidP="0005570C">
      <w:pPr>
        <w:pStyle w:val="Descripcin"/>
        <w:keepNext/>
        <w:jc w:val="center"/>
      </w:pPr>
      <w:bookmarkStart w:id="2391" w:name="_Ref138759265"/>
      <w:r w:rsidRPr="004068F6">
        <w:lastRenderedPageBreak/>
        <w:t xml:space="preserve">Tabla </w:t>
      </w:r>
      <w:fldSimple w:instr=" SEQ Tabla \* ARABIC ">
        <w:r w:rsidR="009C4A81">
          <w:rPr>
            <w:noProof/>
          </w:rPr>
          <w:t>14</w:t>
        </w:r>
      </w:fldSimple>
      <w:bookmarkEnd w:id="2391"/>
      <w:r w:rsidRPr="004068F6">
        <w:t xml:space="preserve">. </w:t>
      </w:r>
      <w:r w:rsidRPr="004068F6">
        <w:rPr>
          <w:b w:val="0"/>
          <w:bCs w:val="0"/>
        </w:rPr>
        <w:t>Características de los principales métodos de EMC</w:t>
      </w:r>
    </w:p>
    <w:tbl>
      <w:tblPr>
        <w:tblStyle w:val="Tablaconcuadrcula2-nfasis1"/>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3686"/>
        <w:gridCol w:w="992"/>
        <w:gridCol w:w="1134"/>
        <w:gridCol w:w="992"/>
        <w:gridCol w:w="453"/>
        <w:gridCol w:w="454"/>
        <w:gridCol w:w="453"/>
        <w:gridCol w:w="454"/>
        <w:gridCol w:w="454"/>
        <w:gridCol w:w="992"/>
        <w:gridCol w:w="993"/>
        <w:gridCol w:w="1134"/>
        <w:gridCol w:w="567"/>
      </w:tblGrid>
      <w:tr w:rsidR="007245AA" w:rsidRPr="004068F6" w14:paraId="68D62A04" w14:textId="77777777" w:rsidTr="00394E35">
        <w:trPr>
          <w:cnfStyle w:val="100000000000" w:firstRow="1" w:lastRow="0" w:firstColumn="0" w:lastColumn="0" w:oddVBand="0" w:evenVBand="0" w:oddHBand="0" w:evenHBand="0" w:firstRowFirstColumn="0" w:firstRowLastColumn="0" w:lastRowFirstColumn="0" w:lastRowLastColumn="0"/>
          <w:trHeight w:hRule="exact" w:val="397"/>
          <w:tblHeader/>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uto"/>
              <w:bottom w:val="single" w:sz="4" w:space="0" w:color="auto"/>
              <w:right w:val="single" w:sz="4" w:space="0" w:color="auto"/>
            </w:tcBorders>
            <w:vAlign w:val="center"/>
          </w:tcPr>
          <w:p w14:paraId="26521981" w14:textId="719F2E21" w:rsidR="00397D08" w:rsidRPr="00127BD4" w:rsidRDefault="00397D08">
            <w:pPr>
              <w:jc w:val="center"/>
              <w:rPr>
                <w:rFonts w:cs="Arial"/>
                <w:sz w:val="14"/>
                <w:szCs w:val="14"/>
                <w:lang w:val="es-CO" w:eastAsia="es-MX"/>
              </w:rPr>
            </w:pPr>
            <w:r w:rsidRPr="00127BD4">
              <w:rPr>
                <w:rFonts w:cs="Arial"/>
                <w:sz w:val="14"/>
                <w:szCs w:val="14"/>
                <w:lang w:eastAsia="es-MX"/>
              </w:rPr>
              <w:t>Tipo de procedimiento de agregación (1)</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36A92E6C" w14:textId="20A6734B" w:rsidR="00397D08" w:rsidRPr="00127BD4" w:rsidRDefault="00397D08">
            <w:pPr>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Procedimiento de agregación (2)</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1366C6CB" w14:textId="372EF394" w:rsidR="00397D08" w:rsidRPr="00127BD4" w:rsidRDefault="00397D08">
            <w:pPr>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Descripción del procedimiento de agregación (3)</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68E52040" w14:textId="21E5A0A3" w:rsidR="00397D08" w:rsidRPr="00127BD4" w:rsidRDefault="00397D08" w:rsidP="00397D08">
            <w:pPr>
              <w:ind w:left="-57" w:right="-57"/>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Modo de evaluación (4)</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39133488" w14:textId="36956029" w:rsidR="00397D08" w:rsidRPr="00127BD4" w:rsidRDefault="00397D08">
            <w:pPr>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Relaciones de preferencia que soporta* (5)</w:t>
            </w:r>
          </w:p>
        </w:tc>
        <w:tc>
          <w:tcPr>
            <w:tcW w:w="0" w:type="dxa"/>
            <w:vMerge w:val="restart"/>
            <w:tcBorders>
              <w:top w:val="single" w:sz="4" w:space="0" w:color="auto"/>
              <w:left w:val="single" w:sz="4" w:space="0" w:color="auto"/>
              <w:bottom w:val="single" w:sz="12" w:space="0" w:color="95B3D7" w:themeColor="accent1" w:themeTint="99"/>
              <w:right w:val="single" w:sz="4" w:space="0" w:color="auto"/>
            </w:tcBorders>
            <w:vAlign w:val="center"/>
          </w:tcPr>
          <w:p w14:paraId="30D313DC" w14:textId="31FA2A56" w:rsidR="00397D08" w:rsidRPr="00127BD4" w:rsidRDefault="00397D08">
            <w:pPr>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Tipo de problema de soporta (6)</w:t>
            </w:r>
          </w:p>
        </w:tc>
        <w:tc>
          <w:tcPr>
            <w:tcW w:w="0" w:type="dxa"/>
            <w:gridSpan w:val="5"/>
            <w:tcBorders>
              <w:top w:val="single" w:sz="4" w:space="0" w:color="auto"/>
              <w:left w:val="single" w:sz="4" w:space="0" w:color="auto"/>
              <w:bottom w:val="single" w:sz="4" w:space="0" w:color="auto"/>
              <w:right w:val="single" w:sz="4" w:space="0" w:color="auto"/>
            </w:tcBorders>
            <w:vAlign w:val="center"/>
          </w:tcPr>
          <w:p w14:paraId="5ADC6CA0" w14:textId="4C60728D" w:rsidR="00397D08" w:rsidRPr="00127BD4" w:rsidRDefault="00397D08" w:rsidP="00397D08">
            <w:pPr>
              <w:ind w:left="-57"/>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Tipo de información</w:t>
            </w:r>
          </w:p>
        </w:tc>
        <w:tc>
          <w:tcPr>
            <w:tcW w:w="0" w:type="dxa"/>
            <w:vMerge w:val="restart"/>
            <w:tcBorders>
              <w:top w:val="single" w:sz="4" w:space="0" w:color="auto"/>
              <w:left w:val="single" w:sz="4" w:space="0" w:color="auto"/>
              <w:bottom w:val="single" w:sz="12" w:space="0" w:color="95B3D7" w:themeColor="accent1" w:themeTint="99"/>
              <w:right w:val="single" w:sz="4" w:space="0" w:color="auto"/>
            </w:tcBorders>
            <w:vAlign w:val="center"/>
          </w:tcPr>
          <w:p w14:paraId="55400DDD" w14:textId="02042E8B" w:rsidR="00397D08" w:rsidRPr="00127BD4" w:rsidRDefault="00397D08">
            <w:pPr>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Grado de compensación (12)</w:t>
            </w:r>
          </w:p>
        </w:tc>
        <w:tc>
          <w:tcPr>
            <w:tcW w:w="0" w:type="dxa"/>
            <w:vMerge w:val="restart"/>
            <w:tcBorders>
              <w:top w:val="single" w:sz="4" w:space="0" w:color="auto"/>
              <w:left w:val="single" w:sz="4" w:space="0" w:color="auto"/>
              <w:bottom w:val="single" w:sz="12" w:space="0" w:color="95B3D7" w:themeColor="accent1" w:themeTint="99"/>
              <w:right w:val="single" w:sz="4" w:space="0" w:color="auto"/>
            </w:tcBorders>
            <w:vAlign w:val="center"/>
          </w:tcPr>
          <w:p w14:paraId="1560CC07" w14:textId="654DADD8" w:rsidR="00397D08" w:rsidRPr="00127BD4" w:rsidRDefault="00397D08">
            <w:pPr>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Hipótesis** (13)</w:t>
            </w:r>
          </w:p>
        </w:tc>
        <w:tc>
          <w:tcPr>
            <w:tcW w:w="0" w:type="dxa"/>
            <w:vMerge w:val="restart"/>
            <w:tcBorders>
              <w:top w:val="single" w:sz="4" w:space="0" w:color="auto"/>
              <w:left w:val="single" w:sz="4" w:space="0" w:color="auto"/>
              <w:bottom w:val="single" w:sz="12" w:space="0" w:color="95B3D7" w:themeColor="accent1" w:themeTint="99"/>
              <w:right w:val="single" w:sz="4" w:space="0" w:color="auto"/>
            </w:tcBorders>
            <w:vAlign w:val="center"/>
          </w:tcPr>
          <w:p w14:paraId="3D7FDBDF" w14:textId="31549F13" w:rsidR="00397D08" w:rsidRPr="00127BD4" w:rsidRDefault="00397D08">
            <w:pPr>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Tratamiento procedimiento de agregación (14)</w:t>
            </w:r>
          </w:p>
        </w:tc>
        <w:tc>
          <w:tcPr>
            <w:tcW w:w="0" w:type="dxa"/>
            <w:vMerge w:val="restart"/>
            <w:tcBorders>
              <w:top w:val="single" w:sz="4" w:space="0" w:color="auto"/>
              <w:left w:val="single" w:sz="4" w:space="0" w:color="auto"/>
              <w:bottom w:val="single" w:sz="12" w:space="0" w:color="95B3D7" w:themeColor="accent1" w:themeTint="99"/>
              <w:right w:val="single" w:sz="4" w:space="0" w:color="auto"/>
            </w:tcBorders>
            <w:vAlign w:val="center"/>
          </w:tcPr>
          <w:p w14:paraId="6D22BDBF" w14:textId="7D6E9308" w:rsidR="00397D08" w:rsidRPr="00127BD4" w:rsidRDefault="00397D08">
            <w:pPr>
              <w:jc w:val="center"/>
              <w:cnfStyle w:val="100000000000" w:firstRow="1" w:lastRow="0" w:firstColumn="0" w:lastColumn="0" w:oddVBand="0" w:evenVBand="0" w:oddHBand="0" w:evenHBand="0" w:firstRowFirstColumn="0" w:firstRowLastColumn="0" w:lastRowFirstColumn="0" w:lastRowLastColumn="0"/>
              <w:rPr>
                <w:rFonts w:cs="Arial"/>
                <w:sz w:val="14"/>
                <w:szCs w:val="14"/>
                <w:lang w:val="es-CO" w:eastAsia="es-MX"/>
              </w:rPr>
            </w:pPr>
            <w:r w:rsidRPr="00127BD4">
              <w:rPr>
                <w:rFonts w:cs="Arial"/>
                <w:sz w:val="14"/>
                <w:szCs w:val="14"/>
                <w:lang w:eastAsia="es-MX"/>
              </w:rPr>
              <w:t>Ref. (15)</w:t>
            </w:r>
          </w:p>
        </w:tc>
      </w:tr>
      <w:tr w:rsidR="00B11A68" w:rsidRPr="004068F6" w14:paraId="1B92404A" w14:textId="77777777" w:rsidTr="00BD763E">
        <w:trPr>
          <w:cnfStyle w:val="100000000000" w:firstRow="1" w:lastRow="0" w:firstColumn="0" w:lastColumn="0" w:oddVBand="0" w:evenVBand="0" w:oddHBand="0" w:evenHBand="0" w:firstRowFirstColumn="0" w:firstRowLastColumn="0" w:lastRowFirstColumn="0" w:lastRowLastColumn="0"/>
          <w:trHeight w:val="1023"/>
          <w:tblHeader/>
          <w:jc w:val="cent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auto"/>
              <w:bottom w:val="single" w:sz="4" w:space="0" w:color="auto"/>
              <w:right w:val="single" w:sz="4" w:space="0" w:color="auto"/>
            </w:tcBorders>
            <w:vAlign w:val="center"/>
            <w:hideMark/>
          </w:tcPr>
          <w:p w14:paraId="30484C73" w14:textId="6132B6E4" w:rsidR="00397D08" w:rsidRPr="004068F6" w:rsidRDefault="00397D08">
            <w:pPr>
              <w:jc w:val="center"/>
              <w:rPr>
                <w:rFonts w:eastAsia="Times New Roman" w:cs="Arial"/>
                <w:sz w:val="16"/>
                <w:szCs w:val="16"/>
                <w:lang w:val="es-CO" w:eastAsia="es-MX"/>
              </w:rPr>
            </w:pPr>
          </w:p>
        </w:tc>
        <w:tc>
          <w:tcPr>
            <w:tcW w:w="0" w:type="dxa"/>
            <w:vMerge/>
            <w:tcBorders>
              <w:top w:val="single" w:sz="4" w:space="0" w:color="auto"/>
              <w:left w:val="single" w:sz="4" w:space="0" w:color="auto"/>
              <w:bottom w:val="single" w:sz="4" w:space="0" w:color="auto"/>
              <w:right w:val="single" w:sz="4" w:space="0" w:color="auto"/>
            </w:tcBorders>
            <w:vAlign w:val="center"/>
          </w:tcPr>
          <w:p w14:paraId="60A9B49D" w14:textId="1C2DB5DC" w:rsidR="00397D08" w:rsidRPr="004068F6" w:rsidRDefault="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val="es-CO" w:eastAsia="es-MX"/>
              </w:rPr>
            </w:pPr>
          </w:p>
        </w:tc>
        <w:tc>
          <w:tcPr>
            <w:tcW w:w="0" w:type="dxa"/>
            <w:vMerge/>
            <w:tcBorders>
              <w:top w:val="single" w:sz="4" w:space="0" w:color="auto"/>
              <w:left w:val="single" w:sz="4" w:space="0" w:color="auto"/>
              <w:bottom w:val="single" w:sz="4" w:space="0" w:color="auto"/>
              <w:right w:val="single" w:sz="4" w:space="0" w:color="auto"/>
            </w:tcBorders>
            <w:vAlign w:val="center"/>
            <w:hideMark/>
          </w:tcPr>
          <w:p w14:paraId="6982C6E5" w14:textId="1FB67EE6" w:rsidR="00397D08" w:rsidRPr="004068F6" w:rsidRDefault="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val="es-CO" w:eastAsia="es-MX"/>
              </w:rPr>
            </w:pPr>
          </w:p>
        </w:tc>
        <w:tc>
          <w:tcPr>
            <w:tcW w:w="0" w:type="dxa"/>
            <w:vMerge/>
            <w:tcBorders>
              <w:top w:val="single" w:sz="4" w:space="0" w:color="auto"/>
              <w:left w:val="single" w:sz="4" w:space="0" w:color="auto"/>
              <w:bottom w:val="single" w:sz="4" w:space="0" w:color="auto"/>
              <w:right w:val="single" w:sz="4" w:space="0" w:color="auto"/>
            </w:tcBorders>
            <w:vAlign w:val="center"/>
            <w:hideMark/>
          </w:tcPr>
          <w:p w14:paraId="5915338E" w14:textId="4AF130B0" w:rsidR="00397D08" w:rsidRPr="004068F6" w:rsidRDefault="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val="es-CO" w:eastAsia="es-MX"/>
              </w:rPr>
            </w:pPr>
          </w:p>
        </w:tc>
        <w:tc>
          <w:tcPr>
            <w:tcW w:w="0" w:type="dxa"/>
            <w:vMerge/>
            <w:tcBorders>
              <w:top w:val="single" w:sz="4" w:space="0" w:color="auto"/>
              <w:left w:val="single" w:sz="4" w:space="0" w:color="auto"/>
              <w:bottom w:val="single" w:sz="4" w:space="0" w:color="auto"/>
              <w:right w:val="single" w:sz="4" w:space="0" w:color="auto"/>
            </w:tcBorders>
            <w:vAlign w:val="center"/>
            <w:hideMark/>
          </w:tcPr>
          <w:p w14:paraId="1D67ABCD" w14:textId="38D3F61C" w:rsidR="00397D08" w:rsidRPr="004068F6" w:rsidRDefault="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val="es-CO" w:eastAsia="es-MX"/>
              </w:rPr>
            </w:pPr>
          </w:p>
        </w:tc>
        <w:tc>
          <w:tcPr>
            <w:tcW w:w="0" w:type="dxa"/>
            <w:vMerge/>
            <w:tcBorders>
              <w:left w:val="single" w:sz="4" w:space="0" w:color="auto"/>
              <w:bottom w:val="single" w:sz="4" w:space="0" w:color="auto"/>
              <w:right w:val="single" w:sz="4" w:space="0" w:color="auto"/>
            </w:tcBorders>
            <w:vAlign w:val="center"/>
            <w:hideMark/>
          </w:tcPr>
          <w:p w14:paraId="2D368974" w14:textId="06CE4358" w:rsidR="00397D08" w:rsidRPr="004068F6" w:rsidRDefault="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val="es-CO" w:eastAsia="es-MX"/>
              </w:rPr>
            </w:pPr>
          </w:p>
        </w:tc>
        <w:tc>
          <w:tcPr>
            <w:tcW w:w="0" w:type="dxa"/>
            <w:tcBorders>
              <w:top w:val="single" w:sz="4" w:space="0" w:color="auto"/>
              <w:left w:val="single" w:sz="4" w:space="0" w:color="auto"/>
              <w:bottom w:val="single" w:sz="4" w:space="0" w:color="auto"/>
              <w:right w:val="single" w:sz="4" w:space="0" w:color="auto"/>
            </w:tcBorders>
            <w:textDirection w:val="btLr"/>
            <w:vAlign w:val="center"/>
            <w:hideMark/>
          </w:tcPr>
          <w:p w14:paraId="2043E08A" w14:textId="72530EE1" w:rsidR="00397D08" w:rsidRPr="00127BD4" w:rsidRDefault="004534BA">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eastAsia="es-MX"/>
              </w:rPr>
            </w:pPr>
            <w:r w:rsidRPr="00CD4321">
              <w:rPr>
                <w:rFonts w:cs="Arial"/>
                <w:sz w:val="14"/>
                <w:szCs w:val="14"/>
                <w:lang w:eastAsia="es-MX"/>
              </w:rPr>
              <w:t xml:space="preserve">(7) </w:t>
            </w:r>
            <w:r w:rsidR="00397D08" w:rsidRPr="00127BD4">
              <w:rPr>
                <w:rFonts w:cs="Arial"/>
                <w:sz w:val="14"/>
                <w:szCs w:val="14"/>
                <w:lang w:eastAsia="es-MX"/>
              </w:rPr>
              <w:t>Ordinal</w:t>
            </w:r>
          </w:p>
        </w:tc>
        <w:tc>
          <w:tcPr>
            <w:tcW w:w="0" w:type="dxa"/>
            <w:tcBorders>
              <w:top w:val="single" w:sz="4" w:space="0" w:color="auto"/>
              <w:left w:val="single" w:sz="4" w:space="0" w:color="auto"/>
              <w:bottom w:val="single" w:sz="4" w:space="0" w:color="auto"/>
              <w:right w:val="single" w:sz="4" w:space="0" w:color="auto"/>
            </w:tcBorders>
            <w:textDirection w:val="btLr"/>
            <w:vAlign w:val="center"/>
            <w:hideMark/>
          </w:tcPr>
          <w:p w14:paraId="6709C6DA" w14:textId="6D83E9F3" w:rsidR="00397D08" w:rsidRPr="00127BD4" w:rsidRDefault="004534BA">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eastAsia="es-MX"/>
              </w:rPr>
            </w:pPr>
            <w:r w:rsidRPr="00CD4321">
              <w:rPr>
                <w:rFonts w:cs="Arial"/>
                <w:sz w:val="14"/>
                <w:szCs w:val="14"/>
                <w:lang w:eastAsia="es-MX"/>
              </w:rPr>
              <w:t xml:space="preserve">(8) </w:t>
            </w:r>
            <w:r w:rsidR="00397D08" w:rsidRPr="00127BD4">
              <w:rPr>
                <w:rFonts w:cs="Arial"/>
                <w:sz w:val="14"/>
                <w:szCs w:val="14"/>
                <w:lang w:eastAsia="es-MX"/>
              </w:rPr>
              <w:t>Cardinal</w:t>
            </w:r>
          </w:p>
        </w:tc>
        <w:tc>
          <w:tcPr>
            <w:tcW w:w="0" w:type="dxa"/>
            <w:tcBorders>
              <w:top w:val="single" w:sz="4" w:space="0" w:color="auto"/>
              <w:left w:val="single" w:sz="4" w:space="0" w:color="auto"/>
              <w:bottom w:val="single" w:sz="4" w:space="0" w:color="auto"/>
              <w:right w:val="single" w:sz="4" w:space="0" w:color="auto"/>
            </w:tcBorders>
            <w:textDirection w:val="btLr"/>
            <w:vAlign w:val="center"/>
            <w:hideMark/>
          </w:tcPr>
          <w:p w14:paraId="7D1E864A" w14:textId="1D7E211A" w:rsidR="00397D08" w:rsidRPr="00127BD4" w:rsidRDefault="004534BA">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eastAsia="es-MX"/>
              </w:rPr>
            </w:pPr>
            <w:r w:rsidRPr="00CD4321">
              <w:rPr>
                <w:rFonts w:cs="Arial"/>
                <w:sz w:val="14"/>
                <w:szCs w:val="14"/>
                <w:lang w:eastAsia="es-MX"/>
              </w:rPr>
              <w:t xml:space="preserve">(9) </w:t>
            </w:r>
            <w:r w:rsidR="00397D08" w:rsidRPr="00127BD4">
              <w:rPr>
                <w:rFonts w:cs="Arial"/>
                <w:sz w:val="14"/>
                <w:szCs w:val="14"/>
                <w:lang w:eastAsia="es-MX"/>
              </w:rPr>
              <w:t>Mixta</w:t>
            </w:r>
          </w:p>
        </w:tc>
        <w:tc>
          <w:tcPr>
            <w:tcW w:w="0" w:type="dxa"/>
            <w:tcBorders>
              <w:top w:val="single" w:sz="4" w:space="0" w:color="auto"/>
              <w:left w:val="single" w:sz="4" w:space="0" w:color="auto"/>
              <w:bottom w:val="single" w:sz="4" w:space="0" w:color="auto"/>
              <w:right w:val="single" w:sz="4" w:space="0" w:color="auto"/>
            </w:tcBorders>
            <w:textDirection w:val="btLr"/>
            <w:vAlign w:val="center"/>
            <w:hideMark/>
          </w:tcPr>
          <w:p w14:paraId="1712B0B5" w14:textId="536D6F3B" w:rsidR="00397D08" w:rsidRPr="00127BD4" w:rsidRDefault="000F1316" w:rsidP="00397D08">
            <w:pPr>
              <w:ind w:left="-57"/>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eastAsia="es-MX"/>
              </w:rPr>
            </w:pPr>
            <w:r w:rsidRPr="00CD4321">
              <w:rPr>
                <w:rFonts w:cs="Arial"/>
                <w:sz w:val="14"/>
                <w:szCs w:val="14"/>
                <w:lang w:eastAsia="es-MX"/>
              </w:rPr>
              <w:t xml:space="preserve">(10) </w:t>
            </w:r>
            <w:r w:rsidR="00397D08" w:rsidRPr="00127BD4">
              <w:rPr>
                <w:rFonts w:cs="Arial"/>
                <w:sz w:val="14"/>
                <w:szCs w:val="14"/>
                <w:lang w:eastAsia="es-MX"/>
              </w:rPr>
              <w:t>Determinística</w:t>
            </w:r>
          </w:p>
        </w:tc>
        <w:tc>
          <w:tcPr>
            <w:tcW w:w="0" w:type="dxa"/>
            <w:tcBorders>
              <w:top w:val="single" w:sz="4" w:space="0" w:color="auto"/>
              <w:left w:val="single" w:sz="4" w:space="0" w:color="auto"/>
              <w:bottom w:val="single" w:sz="4" w:space="0" w:color="auto"/>
              <w:right w:val="single" w:sz="4" w:space="0" w:color="auto"/>
            </w:tcBorders>
            <w:textDirection w:val="btLr"/>
            <w:vAlign w:val="center"/>
            <w:hideMark/>
          </w:tcPr>
          <w:p w14:paraId="4311D1EA" w14:textId="049721E9" w:rsidR="00397D08" w:rsidRPr="00127BD4" w:rsidRDefault="000F1316" w:rsidP="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eastAsia="es-MX"/>
              </w:rPr>
            </w:pPr>
            <w:r w:rsidRPr="00CD4321">
              <w:rPr>
                <w:rFonts w:cs="Arial"/>
                <w:sz w:val="14"/>
                <w:szCs w:val="14"/>
                <w:lang w:eastAsia="es-MX"/>
              </w:rPr>
              <w:t xml:space="preserve">(11) </w:t>
            </w:r>
            <w:r w:rsidR="00397D08" w:rsidRPr="00127BD4">
              <w:rPr>
                <w:rFonts w:cs="Arial"/>
                <w:sz w:val="14"/>
                <w:szCs w:val="14"/>
                <w:lang w:eastAsia="es-MX"/>
              </w:rPr>
              <w:t>No determinística</w:t>
            </w:r>
          </w:p>
        </w:tc>
        <w:tc>
          <w:tcPr>
            <w:tcW w:w="0" w:type="dxa"/>
            <w:vMerge/>
            <w:tcBorders>
              <w:top w:val="single" w:sz="4" w:space="0" w:color="auto"/>
              <w:left w:val="single" w:sz="4" w:space="0" w:color="auto"/>
              <w:bottom w:val="single" w:sz="4" w:space="0" w:color="auto"/>
              <w:right w:val="single" w:sz="4" w:space="0" w:color="auto"/>
            </w:tcBorders>
            <w:vAlign w:val="center"/>
            <w:hideMark/>
          </w:tcPr>
          <w:p w14:paraId="1DAEE6C3" w14:textId="1CF1C44B" w:rsidR="00397D08" w:rsidRPr="004068F6" w:rsidRDefault="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val="es-CO" w:eastAsia="es-MX"/>
              </w:rPr>
            </w:pPr>
          </w:p>
        </w:tc>
        <w:tc>
          <w:tcPr>
            <w:tcW w:w="0" w:type="dxa"/>
            <w:vMerge/>
            <w:tcBorders>
              <w:top w:val="single" w:sz="4" w:space="0" w:color="auto"/>
              <w:left w:val="single" w:sz="4" w:space="0" w:color="auto"/>
              <w:bottom w:val="single" w:sz="4" w:space="0" w:color="auto"/>
              <w:right w:val="single" w:sz="4" w:space="0" w:color="auto"/>
            </w:tcBorders>
            <w:vAlign w:val="center"/>
            <w:hideMark/>
          </w:tcPr>
          <w:p w14:paraId="59D777C4" w14:textId="6ADE180D" w:rsidR="00397D08" w:rsidRPr="004068F6" w:rsidRDefault="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val="es-CO" w:eastAsia="es-MX"/>
              </w:rPr>
            </w:pPr>
          </w:p>
        </w:tc>
        <w:tc>
          <w:tcPr>
            <w:tcW w:w="0" w:type="dxa"/>
            <w:vMerge/>
            <w:tcBorders>
              <w:top w:val="single" w:sz="4" w:space="0" w:color="auto"/>
              <w:left w:val="single" w:sz="4" w:space="0" w:color="auto"/>
              <w:bottom w:val="single" w:sz="4" w:space="0" w:color="auto"/>
              <w:right w:val="single" w:sz="4" w:space="0" w:color="auto"/>
            </w:tcBorders>
            <w:vAlign w:val="center"/>
            <w:hideMark/>
          </w:tcPr>
          <w:p w14:paraId="3A1A8B7F" w14:textId="04E070D0" w:rsidR="00397D08" w:rsidRPr="004068F6" w:rsidRDefault="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val="es-CO" w:eastAsia="es-MX"/>
              </w:rPr>
            </w:pPr>
          </w:p>
        </w:tc>
        <w:tc>
          <w:tcPr>
            <w:tcW w:w="0" w:type="dxa"/>
            <w:vMerge/>
            <w:tcBorders>
              <w:top w:val="single" w:sz="4" w:space="0" w:color="auto"/>
              <w:left w:val="single" w:sz="4" w:space="0" w:color="auto"/>
              <w:bottom w:val="single" w:sz="4" w:space="0" w:color="auto"/>
              <w:right w:val="single" w:sz="4" w:space="0" w:color="auto"/>
            </w:tcBorders>
            <w:vAlign w:val="center"/>
          </w:tcPr>
          <w:p w14:paraId="27665331" w14:textId="116C2906" w:rsidR="00397D08" w:rsidRPr="004068F6" w:rsidRDefault="00397D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val="es-CO" w:eastAsia="es-MX"/>
              </w:rPr>
            </w:pPr>
          </w:p>
        </w:tc>
      </w:tr>
      <w:tr w:rsidR="007245AA" w:rsidRPr="004068F6" w14:paraId="574A46FB" w14:textId="77777777" w:rsidTr="000F1316">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auto"/>
            <w:vAlign w:val="center"/>
            <w:hideMark/>
          </w:tcPr>
          <w:p w14:paraId="54B92748"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Elemental</w:t>
            </w:r>
          </w:p>
        </w:tc>
        <w:tc>
          <w:tcPr>
            <w:tcW w:w="0" w:type="dxa"/>
            <w:tcBorders>
              <w:top w:val="single" w:sz="4" w:space="0" w:color="auto"/>
            </w:tcBorders>
            <w:shd w:val="clear" w:color="auto" w:fill="auto"/>
            <w:vAlign w:val="center"/>
          </w:tcPr>
          <w:p w14:paraId="5E24CB2C"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Suma ponderada</w:t>
            </w:r>
          </w:p>
        </w:tc>
        <w:tc>
          <w:tcPr>
            <w:tcW w:w="0" w:type="dxa"/>
            <w:tcBorders>
              <w:top w:val="single" w:sz="4" w:space="0" w:color="auto"/>
            </w:tcBorders>
            <w:shd w:val="clear" w:color="auto" w:fill="auto"/>
            <w:vAlign w:val="center"/>
            <w:hideMark/>
          </w:tcPr>
          <w:p w14:paraId="449344E7"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 desempeño global de una alternativa se calcula como la suma ponderada de sus evaluaciones a lo largo de cada criterio. El rendimiento global se utiliza para hacer una elección entre todas las alternativas.</w:t>
            </w:r>
          </w:p>
        </w:tc>
        <w:tc>
          <w:tcPr>
            <w:tcW w:w="0" w:type="dxa"/>
            <w:tcBorders>
              <w:top w:val="single" w:sz="4" w:space="0" w:color="auto"/>
            </w:tcBorders>
            <w:shd w:val="clear" w:color="auto" w:fill="auto"/>
            <w:vAlign w:val="center"/>
            <w:hideMark/>
          </w:tcPr>
          <w:p w14:paraId="60C73DA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 (calificación directa)</w:t>
            </w:r>
          </w:p>
        </w:tc>
        <w:tc>
          <w:tcPr>
            <w:tcW w:w="0" w:type="dxa"/>
            <w:tcBorders>
              <w:top w:val="single" w:sz="4" w:space="0" w:color="auto"/>
            </w:tcBorders>
            <w:shd w:val="clear" w:color="auto" w:fill="auto"/>
            <w:vAlign w:val="center"/>
            <w:hideMark/>
          </w:tcPr>
          <w:p w14:paraId="5695843D"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0" w:type="dxa"/>
            <w:shd w:val="clear" w:color="auto" w:fill="auto"/>
            <w:vAlign w:val="center"/>
            <w:hideMark/>
          </w:tcPr>
          <w:p w14:paraId="40FEFE1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0" w:type="dxa"/>
            <w:shd w:val="clear" w:color="auto" w:fill="auto"/>
            <w:vAlign w:val="center"/>
            <w:hideMark/>
          </w:tcPr>
          <w:p w14:paraId="116586DB"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0" w:type="dxa"/>
            <w:shd w:val="clear" w:color="auto" w:fill="auto"/>
            <w:vAlign w:val="center"/>
            <w:hideMark/>
          </w:tcPr>
          <w:p w14:paraId="7EF32744"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0" w:type="dxa"/>
            <w:shd w:val="clear" w:color="auto" w:fill="auto"/>
            <w:vAlign w:val="center"/>
            <w:hideMark/>
          </w:tcPr>
          <w:p w14:paraId="5136663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0" w:type="dxa"/>
            <w:shd w:val="clear" w:color="auto" w:fill="auto"/>
            <w:vAlign w:val="center"/>
            <w:hideMark/>
          </w:tcPr>
          <w:p w14:paraId="2EFD532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0" w:type="dxa"/>
            <w:shd w:val="clear" w:color="auto" w:fill="auto"/>
            <w:vAlign w:val="center"/>
            <w:hideMark/>
          </w:tcPr>
          <w:p w14:paraId="476CF2D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0" w:type="dxa"/>
            <w:shd w:val="clear" w:color="auto" w:fill="auto"/>
            <w:vAlign w:val="center"/>
            <w:hideMark/>
          </w:tcPr>
          <w:p w14:paraId="39ABED01"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Total</w:t>
            </w:r>
          </w:p>
        </w:tc>
        <w:tc>
          <w:tcPr>
            <w:tcW w:w="0" w:type="dxa"/>
            <w:shd w:val="clear" w:color="auto" w:fill="auto"/>
            <w:vAlign w:val="center"/>
            <w:hideMark/>
          </w:tcPr>
          <w:p w14:paraId="13B0183B" w14:textId="77777777" w:rsidR="007D4645" w:rsidRPr="006C00FC"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sidRPr="006C00FC">
              <w:rPr>
                <w:rFonts w:cs="Arial"/>
                <w:color w:val="000000"/>
                <w:sz w:val="16"/>
                <w:szCs w:val="16"/>
                <w:lang w:val="en-US" w:eastAsia="es-MX"/>
              </w:rPr>
              <w:t>ind., com., inv., tran., dom.</w:t>
            </w:r>
          </w:p>
        </w:tc>
        <w:tc>
          <w:tcPr>
            <w:tcW w:w="0" w:type="dxa"/>
            <w:shd w:val="clear" w:color="auto" w:fill="auto"/>
            <w:vAlign w:val="center"/>
            <w:hideMark/>
          </w:tcPr>
          <w:p w14:paraId="659E533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Suma algebraica</w:t>
            </w:r>
          </w:p>
        </w:tc>
        <w:tc>
          <w:tcPr>
            <w:tcW w:w="0" w:type="dxa"/>
            <w:shd w:val="clear" w:color="auto" w:fill="auto"/>
            <w:vAlign w:val="center"/>
          </w:tcPr>
          <w:p w14:paraId="05EC5A21"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7, 13, 19</w:t>
            </w:r>
          </w:p>
        </w:tc>
      </w:tr>
      <w:tr w:rsidR="007D4645" w:rsidRPr="004068F6" w14:paraId="02D7EFA1"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5791DE5A"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Elemental</w:t>
            </w:r>
          </w:p>
        </w:tc>
        <w:tc>
          <w:tcPr>
            <w:tcW w:w="1276" w:type="dxa"/>
            <w:vAlign w:val="center"/>
          </w:tcPr>
          <w:p w14:paraId="120C145D"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Lexicográfico</w:t>
            </w:r>
          </w:p>
        </w:tc>
        <w:tc>
          <w:tcPr>
            <w:tcW w:w="3686" w:type="dxa"/>
            <w:vAlign w:val="center"/>
            <w:hideMark/>
          </w:tcPr>
          <w:p w14:paraId="7475FC50"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Partiendo de la lógica de que en algunas situaciones de decisión parece predominar un único criterio. El procedimiento consiste en comparar todas las alternativas con respecto al criterio importante, y continuar con la siguiente hasta que solo quede una alternativa</w:t>
            </w:r>
          </w:p>
        </w:tc>
        <w:tc>
          <w:tcPr>
            <w:tcW w:w="992" w:type="dxa"/>
            <w:vAlign w:val="center"/>
            <w:hideMark/>
          </w:tcPr>
          <w:p w14:paraId="6D5D82AB"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 (calificación directa)</w:t>
            </w:r>
          </w:p>
        </w:tc>
        <w:tc>
          <w:tcPr>
            <w:tcW w:w="1134" w:type="dxa"/>
            <w:vAlign w:val="center"/>
            <w:hideMark/>
          </w:tcPr>
          <w:p w14:paraId="376AD2D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vAlign w:val="center"/>
            <w:hideMark/>
          </w:tcPr>
          <w:p w14:paraId="182700D6"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vAlign w:val="center"/>
            <w:hideMark/>
          </w:tcPr>
          <w:p w14:paraId="2B57C1D9"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60B46CD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04C020C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59B5BC9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2C0FFDD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992" w:type="dxa"/>
            <w:vAlign w:val="center"/>
            <w:hideMark/>
          </w:tcPr>
          <w:p w14:paraId="7C88E70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Ninguna</w:t>
            </w:r>
          </w:p>
        </w:tc>
        <w:tc>
          <w:tcPr>
            <w:tcW w:w="993" w:type="dxa"/>
            <w:vAlign w:val="center"/>
            <w:hideMark/>
          </w:tcPr>
          <w:p w14:paraId="2B1503C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tran., dom.</w:t>
            </w:r>
          </w:p>
        </w:tc>
        <w:tc>
          <w:tcPr>
            <w:tcW w:w="1134" w:type="dxa"/>
            <w:vAlign w:val="center"/>
            <w:hideMark/>
          </w:tcPr>
          <w:p w14:paraId="603E3D7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Planos de corte</w:t>
            </w:r>
          </w:p>
        </w:tc>
        <w:tc>
          <w:tcPr>
            <w:tcW w:w="567" w:type="dxa"/>
            <w:vAlign w:val="center"/>
          </w:tcPr>
          <w:p w14:paraId="4EC8A7BD"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13, 29</w:t>
            </w:r>
          </w:p>
        </w:tc>
      </w:tr>
      <w:tr w:rsidR="000D468E" w:rsidRPr="004068F6" w14:paraId="46F5E9AC"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3110B188"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Elemental</w:t>
            </w:r>
          </w:p>
        </w:tc>
        <w:tc>
          <w:tcPr>
            <w:tcW w:w="1276" w:type="dxa"/>
            <w:shd w:val="clear" w:color="auto" w:fill="auto"/>
            <w:vAlign w:val="center"/>
          </w:tcPr>
          <w:p w14:paraId="6877712B"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Conjuntivo</w:t>
            </w:r>
          </w:p>
        </w:tc>
        <w:tc>
          <w:tcPr>
            <w:tcW w:w="3686" w:type="dxa"/>
            <w:shd w:val="clear" w:color="auto" w:fill="auto"/>
            <w:vAlign w:val="center"/>
            <w:hideMark/>
          </w:tcPr>
          <w:p w14:paraId="493D6965"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 rechaza una alternativa que no cumple con el nivel mínimo aceptable para todos los criterios. Los niveles mínimos aceptables para cada criterio se utilizan para descartar alternativas inaceptables.</w:t>
            </w:r>
          </w:p>
        </w:tc>
        <w:tc>
          <w:tcPr>
            <w:tcW w:w="992" w:type="dxa"/>
            <w:shd w:val="clear" w:color="auto" w:fill="auto"/>
            <w:vAlign w:val="center"/>
            <w:hideMark/>
          </w:tcPr>
          <w:p w14:paraId="54011B4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 (calificación directa)</w:t>
            </w:r>
          </w:p>
        </w:tc>
        <w:tc>
          <w:tcPr>
            <w:tcW w:w="1134" w:type="dxa"/>
            <w:shd w:val="clear" w:color="auto" w:fill="auto"/>
            <w:vAlign w:val="center"/>
            <w:hideMark/>
          </w:tcPr>
          <w:p w14:paraId="49819AD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shd w:val="clear" w:color="auto" w:fill="auto"/>
            <w:vAlign w:val="center"/>
            <w:hideMark/>
          </w:tcPr>
          <w:p w14:paraId="0C1CF3B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No aplica</w:t>
            </w:r>
          </w:p>
        </w:tc>
        <w:tc>
          <w:tcPr>
            <w:tcW w:w="453" w:type="dxa"/>
            <w:shd w:val="clear" w:color="auto" w:fill="auto"/>
            <w:vAlign w:val="center"/>
            <w:hideMark/>
          </w:tcPr>
          <w:p w14:paraId="4DBF226D"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3898931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50502EAD"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2F1B81B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4D4BD4F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713519B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Ninguna</w:t>
            </w:r>
          </w:p>
        </w:tc>
        <w:tc>
          <w:tcPr>
            <w:tcW w:w="993" w:type="dxa"/>
            <w:shd w:val="clear" w:color="auto" w:fill="auto"/>
            <w:vAlign w:val="center"/>
            <w:hideMark/>
          </w:tcPr>
          <w:p w14:paraId="1D2928A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tran., dom.</w:t>
            </w:r>
          </w:p>
        </w:tc>
        <w:tc>
          <w:tcPr>
            <w:tcW w:w="1134" w:type="dxa"/>
            <w:shd w:val="clear" w:color="auto" w:fill="auto"/>
            <w:vAlign w:val="center"/>
            <w:hideMark/>
          </w:tcPr>
          <w:p w14:paraId="4F08482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Umbrales</w:t>
            </w:r>
          </w:p>
        </w:tc>
        <w:tc>
          <w:tcPr>
            <w:tcW w:w="567" w:type="dxa"/>
            <w:shd w:val="clear" w:color="auto" w:fill="auto"/>
            <w:vAlign w:val="center"/>
          </w:tcPr>
          <w:p w14:paraId="0BC6068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13, 6</w:t>
            </w:r>
          </w:p>
        </w:tc>
      </w:tr>
      <w:tr w:rsidR="007D4645" w:rsidRPr="004068F6" w14:paraId="7D339860"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631249E4"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Elemental</w:t>
            </w:r>
          </w:p>
        </w:tc>
        <w:tc>
          <w:tcPr>
            <w:tcW w:w="1276" w:type="dxa"/>
            <w:vAlign w:val="center"/>
          </w:tcPr>
          <w:p w14:paraId="4FA9AAEF"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Disyuntivo</w:t>
            </w:r>
          </w:p>
        </w:tc>
        <w:tc>
          <w:tcPr>
            <w:tcW w:w="3686" w:type="dxa"/>
            <w:vAlign w:val="center"/>
            <w:hideMark/>
          </w:tcPr>
          <w:p w14:paraId="3B0F7D5F"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 selecciona una alternativa sobre la base de su puntaje extremo en cualquier criterio. Los niveles deseables para cada atributo se utilizan para seleccionar alternativas que igualan o superan esos niveles en cualquier criterio.</w:t>
            </w:r>
          </w:p>
        </w:tc>
        <w:tc>
          <w:tcPr>
            <w:tcW w:w="992" w:type="dxa"/>
            <w:vAlign w:val="center"/>
            <w:hideMark/>
          </w:tcPr>
          <w:p w14:paraId="5C498A9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 (calificación directa)</w:t>
            </w:r>
          </w:p>
        </w:tc>
        <w:tc>
          <w:tcPr>
            <w:tcW w:w="1134" w:type="dxa"/>
            <w:vAlign w:val="center"/>
            <w:hideMark/>
          </w:tcPr>
          <w:p w14:paraId="0C569DF9"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vAlign w:val="center"/>
            <w:hideMark/>
          </w:tcPr>
          <w:p w14:paraId="71F70822"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No aplica</w:t>
            </w:r>
          </w:p>
        </w:tc>
        <w:tc>
          <w:tcPr>
            <w:tcW w:w="453" w:type="dxa"/>
            <w:vAlign w:val="center"/>
            <w:hideMark/>
          </w:tcPr>
          <w:p w14:paraId="2D0006C6"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7510AEA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1C09E709"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42F10322"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3312186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992" w:type="dxa"/>
            <w:vAlign w:val="center"/>
            <w:hideMark/>
          </w:tcPr>
          <w:p w14:paraId="583EF43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Ninguna</w:t>
            </w:r>
          </w:p>
        </w:tc>
        <w:tc>
          <w:tcPr>
            <w:tcW w:w="993" w:type="dxa"/>
            <w:vAlign w:val="center"/>
            <w:hideMark/>
          </w:tcPr>
          <w:p w14:paraId="022BE92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tran., dom.</w:t>
            </w:r>
          </w:p>
        </w:tc>
        <w:tc>
          <w:tcPr>
            <w:tcW w:w="1134" w:type="dxa"/>
            <w:vAlign w:val="center"/>
            <w:hideMark/>
          </w:tcPr>
          <w:p w14:paraId="699C4AB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Umbrales</w:t>
            </w:r>
          </w:p>
        </w:tc>
        <w:tc>
          <w:tcPr>
            <w:tcW w:w="567" w:type="dxa"/>
            <w:vAlign w:val="center"/>
          </w:tcPr>
          <w:p w14:paraId="2BEB4E9D"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13, 6</w:t>
            </w:r>
          </w:p>
        </w:tc>
      </w:tr>
      <w:tr w:rsidR="000D468E" w:rsidRPr="004068F6" w14:paraId="76059C48"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3F6995AF"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Elemental</w:t>
            </w:r>
          </w:p>
        </w:tc>
        <w:tc>
          <w:tcPr>
            <w:tcW w:w="1276" w:type="dxa"/>
            <w:shd w:val="clear" w:color="auto" w:fill="auto"/>
            <w:vAlign w:val="center"/>
          </w:tcPr>
          <w:p w14:paraId="50A02953"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Maximin</w:t>
            </w:r>
          </w:p>
        </w:tc>
        <w:tc>
          <w:tcPr>
            <w:tcW w:w="3686" w:type="dxa"/>
            <w:shd w:val="clear" w:color="auto" w:fill="auto"/>
            <w:vAlign w:val="center"/>
            <w:hideMark/>
          </w:tcPr>
          <w:p w14:paraId="2B5E2B52"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 desempeño general de una alternativa está determinado por su evaluación más débil o más pobre</w:t>
            </w:r>
          </w:p>
        </w:tc>
        <w:tc>
          <w:tcPr>
            <w:tcW w:w="992" w:type="dxa"/>
            <w:shd w:val="clear" w:color="auto" w:fill="auto"/>
            <w:vAlign w:val="center"/>
            <w:hideMark/>
          </w:tcPr>
          <w:p w14:paraId="56B0BE4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 (calificación directa)</w:t>
            </w:r>
          </w:p>
        </w:tc>
        <w:tc>
          <w:tcPr>
            <w:tcW w:w="1134" w:type="dxa"/>
            <w:shd w:val="clear" w:color="auto" w:fill="auto"/>
            <w:vAlign w:val="center"/>
            <w:hideMark/>
          </w:tcPr>
          <w:p w14:paraId="5580B3A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shd w:val="clear" w:color="auto" w:fill="auto"/>
            <w:vAlign w:val="center"/>
            <w:hideMark/>
          </w:tcPr>
          <w:p w14:paraId="45793CA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shd w:val="clear" w:color="auto" w:fill="auto"/>
            <w:vAlign w:val="center"/>
            <w:hideMark/>
          </w:tcPr>
          <w:p w14:paraId="5717A4F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41212FBD"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3131377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4" w:type="dxa"/>
            <w:shd w:val="clear" w:color="auto" w:fill="auto"/>
            <w:vAlign w:val="center"/>
            <w:hideMark/>
          </w:tcPr>
          <w:p w14:paraId="482A510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1A72A61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3B59F36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Ninguna</w:t>
            </w:r>
          </w:p>
        </w:tc>
        <w:tc>
          <w:tcPr>
            <w:tcW w:w="993" w:type="dxa"/>
            <w:shd w:val="clear" w:color="auto" w:fill="auto"/>
            <w:vAlign w:val="center"/>
            <w:hideMark/>
          </w:tcPr>
          <w:p w14:paraId="04DBA1B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tran., dom.</w:t>
            </w:r>
          </w:p>
        </w:tc>
        <w:tc>
          <w:tcPr>
            <w:tcW w:w="1134" w:type="dxa"/>
            <w:shd w:val="clear" w:color="auto" w:fill="auto"/>
            <w:vAlign w:val="center"/>
            <w:hideMark/>
          </w:tcPr>
          <w:p w14:paraId="78D7C78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Operadores máximos y mínimos</w:t>
            </w:r>
          </w:p>
        </w:tc>
        <w:tc>
          <w:tcPr>
            <w:tcW w:w="567" w:type="dxa"/>
            <w:shd w:val="clear" w:color="auto" w:fill="auto"/>
            <w:vAlign w:val="center"/>
          </w:tcPr>
          <w:p w14:paraId="090DEB3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13</w:t>
            </w:r>
          </w:p>
        </w:tc>
      </w:tr>
      <w:tr w:rsidR="007D4645" w:rsidRPr="004068F6" w14:paraId="36DAA53E"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5049674C"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Criterio de síntesis único</w:t>
            </w:r>
          </w:p>
        </w:tc>
        <w:tc>
          <w:tcPr>
            <w:tcW w:w="1276" w:type="dxa"/>
            <w:vAlign w:val="center"/>
          </w:tcPr>
          <w:p w14:paraId="2B0CB33D"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Suma ponderada difusa</w:t>
            </w:r>
          </w:p>
        </w:tc>
        <w:tc>
          <w:tcPr>
            <w:tcW w:w="3686" w:type="dxa"/>
            <w:vAlign w:val="center"/>
            <w:hideMark/>
          </w:tcPr>
          <w:p w14:paraId="214502D4"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Estos procedimientos utilizan la técnica de un corte. Los conjuntos de un nivel se utilizan para derivar utilidades difusas basadas en el método ponderado aditivo simple</w:t>
            </w:r>
          </w:p>
        </w:tc>
        <w:tc>
          <w:tcPr>
            <w:tcW w:w="992" w:type="dxa"/>
            <w:vAlign w:val="center"/>
            <w:hideMark/>
          </w:tcPr>
          <w:p w14:paraId="6F8A466B"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 (calificación directa)</w:t>
            </w:r>
          </w:p>
        </w:tc>
        <w:tc>
          <w:tcPr>
            <w:tcW w:w="1134" w:type="dxa"/>
            <w:vAlign w:val="center"/>
            <w:hideMark/>
          </w:tcPr>
          <w:p w14:paraId="26BC7B0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Q, I}</w:t>
            </w:r>
          </w:p>
        </w:tc>
        <w:tc>
          <w:tcPr>
            <w:tcW w:w="992" w:type="dxa"/>
            <w:vAlign w:val="center"/>
            <w:hideMark/>
          </w:tcPr>
          <w:p w14:paraId="27C93EB9"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vAlign w:val="center"/>
            <w:hideMark/>
          </w:tcPr>
          <w:p w14:paraId="6E77FDFF"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0C5801B9"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2746C0D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6060DF8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7F6B4B2D"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992" w:type="dxa"/>
            <w:vAlign w:val="center"/>
            <w:hideMark/>
          </w:tcPr>
          <w:p w14:paraId="522FEC1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Total</w:t>
            </w:r>
          </w:p>
        </w:tc>
        <w:tc>
          <w:tcPr>
            <w:tcW w:w="993" w:type="dxa"/>
            <w:vAlign w:val="center"/>
            <w:hideMark/>
          </w:tcPr>
          <w:p w14:paraId="13811A2E" w14:textId="77777777" w:rsidR="007D4645" w:rsidRPr="006C00FC"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sidRPr="006C00FC">
              <w:rPr>
                <w:rFonts w:cs="Arial"/>
                <w:color w:val="000000"/>
                <w:sz w:val="16"/>
                <w:szCs w:val="16"/>
                <w:lang w:val="en-US" w:eastAsia="es-MX"/>
              </w:rPr>
              <w:t>ind., com., inv., tran., dom.</w:t>
            </w:r>
          </w:p>
        </w:tc>
        <w:tc>
          <w:tcPr>
            <w:tcW w:w="1134" w:type="dxa"/>
            <w:vAlign w:val="center"/>
            <w:hideMark/>
          </w:tcPr>
          <w:p w14:paraId="5AD618C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α-cut &amp; aritmética difusa</w:t>
            </w:r>
          </w:p>
        </w:tc>
        <w:tc>
          <w:tcPr>
            <w:tcW w:w="567" w:type="dxa"/>
            <w:vAlign w:val="center"/>
          </w:tcPr>
          <w:p w14:paraId="62822BE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1, 8, 17</w:t>
            </w:r>
          </w:p>
        </w:tc>
      </w:tr>
      <w:tr w:rsidR="000D468E" w:rsidRPr="004068F6" w14:paraId="2AB18983"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7D020613"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Criterio de síntesis único</w:t>
            </w:r>
          </w:p>
        </w:tc>
        <w:tc>
          <w:tcPr>
            <w:tcW w:w="1276" w:type="dxa"/>
            <w:shd w:val="clear" w:color="auto" w:fill="auto"/>
            <w:vAlign w:val="center"/>
          </w:tcPr>
          <w:p w14:paraId="51AFFCD7" w14:textId="77777777" w:rsidR="007D4645" w:rsidRPr="006C00FC"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sidRPr="006C00FC">
              <w:rPr>
                <w:rFonts w:cs="Arial"/>
                <w:color w:val="000000"/>
                <w:sz w:val="16"/>
                <w:szCs w:val="16"/>
                <w:lang w:val="en-US" w:eastAsia="es-MX"/>
              </w:rPr>
              <w:t>TOPSIS (technique for order by similarity to ideal solution)</w:t>
            </w:r>
          </w:p>
        </w:tc>
        <w:tc>
          <w:tcPr>
            <w:tcW w:w="3686" w:type="dxa"/>
            <w:shd w:val="clear" w:color="auto" w:fill="auto"/>
            <w:vAlign w:val="center"/>
            <w:hideMark/>
          </w:tcPr>
          <w:p w14:paraId="67839A59"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La alternativa elegida debe tener el perfil que es el más cercano (distancia) a la solución ideal y el más alejado de la solución ideal negativa</w:t>
            </w:r>
          </w:p>
        </w:tc>
        <w:tc>
          <w:tcPr>
            <w:tcW w:w="992" w:type="dxa"/>
            <w:shd w:val="clear" w:color="auto" w:fill="auto"/>
            <w:vAlign w:val="center"/>
            <w:hideMark/>
          </w:tcPr>
          <w:p w14:paraId="3EC524CB"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 (calificación directa)</w:t>
            </w:r>
          </w:p>
        </w:tc>
        <w:tc>
          <w:tcPr>
            <w:tcW w:w="1134" w:type="dxa"/>
            <w:shd w:val="clear" w:color="auto" w:fill="auto"/>
            <w:vAlign w:val="center"/>
            <w:hideMark/>
          </w:tcPr>
          <w:p w14:paraId="2C215F2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shd w:val="clear" w:color="auto" w:fill="auto"/>
            <w:vAlign w:val="center"/>
            <w:hideMark/>
          </w:tcPr>
          <w:p w14:paraId="174B579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shd w:val="clear" w:color="auto" w:fill="auto"/>
            <w:vAlign w:val="center"/>
            <w:hideMark/>
          </w:tcPr>
          <w:p w14:paraId="406C3D8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4" w:type="dxa"/>
            <w:shd w:val="clear" w:color="auto" w:fill="auto"/>
            <w:vAlign w:val="center"/>
            <w:hideMark/>
          </w:tcPr>
          <w:p w14:paraId="13825A8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0AD80D7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4" w:type="dxa"/>
            <w:shd w:val="clear" w:color="auto" w:fill="auto"/>
            <w:vAlign w:val="center"/>
            <w:hideMark/>
          </w:tcPr>
          <w:p w14:paraId="1D8963F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3ACC335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46D9CD0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Total</w:t>
            </w:r>
          </w:p>
        </w:tc>
        <w:tc>
          <w:tcPr>
            <w:tcW w:w="993" w:type="dxa"/>
            <w:shd w:val="clear" w:color="auto" w:fill="auto"/>
            <w:vAlign w:val="center"/>
            <w:hideMark/>
          </w:tcPr>
          <w:p w14:paraId="2C9B18CD" w14:textId="77777777" w:rsidR="007D4645" w:rsidRPr="006C00FC"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sidRPr="006C00FC">
              <w:rPr>
                <w:rFonts w:cs="Arial"/>
                <w:color w:val="000000"/>
                <w:sz w:val="16"/>
                <w:szCs w:val="16"/>
                <w:lang w:val="en-US" w:eastAsia="es-MX"/>
              </w:rPr>
              <w:t>ind., com., inv., tran., dom.</w:t>
            </w:r>
          </w:p>
        </w:tc>
        <w:tc>
          <w:tcPr>
            <w:tcW w:w="1134" w:type="dxa"/>
            <w:shd w:val="clear" w:color="auto" w:fill="auto"/>
            <w:vAlign w:val="center"/>
            <w:hideMark/>
          </w:tcPr>
          <w:p w14:paraId="55133E1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Distancias euclidianas</w:t>
            </w:r>
          </w:p>
        </w:tc>
        <w:tc>
          <w:tcPr>
            <w:tcW w:w="567" w:type="dxa"/>
            <w:shd w:val="clear" w:color="auto" w:fill="auto"/>
            <w:vAlign w:val="center"/>
          </w:tcPr>
          <w:p w14:paraId="5E4225D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13</w:t>
            </w:r>
          </w:p>
        </w:tc>
      </w:tr>
      <w:tr w:rsidR="007D4645" w:rsidRPr="004068F6" w14:paraId="3C0CF494" w14:textId="77777777" w:rsidTr="00397D08">
        <w:trPr>
          <w:trHeight w:val="407"/>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77F51E1C"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Criterio de síntesis único</w:t>
            </w:r>
          </w:p>
        </w:tc>
        <w:tc>
          <w:tcPr>
            <w:tcW w:w="1276" w:type="dxa"/>
            <w:vAlign w:val="center"/>
          </w:tcPr>
          <w:p w14:paraId="119108DE" w14:textId="77777777" w:rsidR="007D4645" w:rsidRPr="006C00FC"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sidRPr="006C00FC">
              <w:rPr>
                <w:rFonts w:cs="Arial"/>
                <w:color w:val="000000"/>
                <w:sz w:val="16"/>
                <w:szCs w:val="16"/>
                <w:lang w:val="en-US" w:eastAsia="es-MX"/>
              </w:rPr>
              <w:t>MAVT (multi-attribute value theory)</w:t>
            </w:r>
          </w:p>
        </w:tc>
        <w:tc>
          <w:tcPr>
            <w:tcW w:w="3686" w:type="dxa"/>
            <w:vAlign w:val="center"/>
            <w:hideMark/>
          </w:tcPr>
          <w:p w14:paraId="040DE752"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Agregación de los valores obtenidos evaluando funciones de valor parcial en cada criterio para establecer una función de valor global V. Bajo algunas condiciones, dicha V puede obtenerse de forma aditiva, multiplicativa o mixta</w:t>
            </w:r>
          </w:p>
        </w:tc>
        <w:tc>
          <w:tcPr>
            <w:tcW w:w="992" w:type="dxa"/>
            <w:vAlign w:val="center"/>
            <w:hideMark/>
          </w:tcPr>
          <w:p w14:paraId="246FF0E2"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Compensación</w:t>
            </w:r>
          </w:p>
        </w:tc>
        <w:tc>
          <w:tcPr>
            <w:tcW w:w="1134" w:type="dxa"/>
            <w:vAlign w:val="center"/>
            <w:hideMark/>
          </w:tcPr>
          <w:p w14:paraId="7578DB8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vAlign w:val="center"/>
            <w:hideMark/>
          </w:tcPr>
          <w:p w14:paraId="3889AFB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vAlign w:val="center"/>
            <w:hideMark/>
          </w:tcPr>
          <w:p w14:paraId="1525EC4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6AE509A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6FAFFA32"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4D1E48B9"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1DD8C51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992" w:type="dxa"/>
            <w:vAlign w:val="center"/>
            <w:hideMark/>
          </w:tcPr>
          <w:p w14:paraId="200DBBB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vAlign w:val="center"/>
            <w:hideMark/>
          </w:tcPr>
          <w:p w14:paraId="49E6B2A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tran., dom.</w:t>
            </w:r>
          </w:p>
        </w:tc>
        <w:tc>
          <w:tcPr>
            <w:tcW w:w="1134" w:type="dxa"/>
            <w:vAlign w:val="center"/>
            <w:hideMark/>
          </w:tcPr>
          <w:p w14:paraId="32603E02"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Agregación de valor (suma o multiplicación)</w:t>
            </w:r>
          </w:p>
        </w:tc>
        <w:tc>
          <w:tcPr>
            <w:tcW w:w="567" w:type="dxa"/>
            <w:vAlign w:val="center"/>
          </w:tcPr>
          <w:p w14:paraId="313792F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15, 16</w:t>
            </w:r>
          </w:p>
        </w:tc>
      </w:tr>
      <w:tr w:rsidR="000D468E" w:rsidRPr="004068F6" w14:paraId="455470FC"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580FA11D"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lastRenderedPageBreak/>
              <w:t>Criterio de síntesis único</w:t>
            </w:r>
          </w:p>
        </w:tc>
        <w:tc>
          <w:tcPr>
            <w:tcW w:w="1276" w:type="dxa"/>
            <w:shd w:val="clear" w:color="auto" w:fill="auto"/>
            <w:vAlign w:val="center"/>
          </w:tcPr>
          <w:p w14:paraId="6AA4BD15"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UTA (utility theory additive)</w:t>
            </w:r>
          </w:p>
        </w:tc>
        <w:tc>
          <w:tcPr>
            <w:tcW w:w="3686" w:type="dxa"/>
            <w:shd w:val="clear" w:color="auto" w:fill="auto"/>
            <w:vAlign w:val="center"/>
            <w:hideMark/>
          </w:tcPr>
          <w:p w14:paraId="4CF6CFE1"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Estimar las funciones de valor de cada criterio mediante regresión ordinal. La función de valor global se obtiene de forma aditiva</w:t>
            </w:r>
          </w:p>
        </w:tc>
        <w:tc>
          <w:tcPr>
            <w:tcW w:w="992" w:type="dxa"/>
            <w:shd w:val="clear" w:color="auto" w:fill="auto"/>
            <w:vAlign w:val="center"/>
            <w:hideMark/>
          </w:tcPr>
          <w:p w14:paraId="3391D13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Compensación</w:t>
            </w:r>
          </w:p>
        </w:tc>
        <w:tc>
          <w:tcPr>
            <w:tcW w:w="1134" w:type="dxa"/>
            <w:shd w:val="clear" w:color="auto" w:fill="auto"/>
            <w:vAlign w:val="center"/>
            <w:hideMark/>
          </w:tcPr>
          <w:p w14:paraId="7C14FD94"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shd w:val="clear" w:color="auto" w:fill="auto"/>
            <w:vAlign w:val="center"/>
            <w:hideMark/>
          </w:tcPr>
          <w:p w14:paraId="4C51109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shd w:val="clear" w:color="auto" w:fill="auto"/>
            <w:vAlign w:val="center"/>
            <w:hideMark/>
          </w:tcPr>
          <w:p w14:paraId="5CF6A4E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7D2144A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3" w:type="dxa"/>
            <w:shd w:val="clear" w:color="auto" w:fill="auto"/>
            <w:vAlign w:val="center"/>
            <w:hideMark/>
          </w:tcPr>
          <w:p w14:paraId="0052A0F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CO" w:eastAsia="es-MX"/>
              </w:rPr>
            </w:pPr>
          </w:p>
        </w:tc>
        <w:tc>
          <w:tcPr>
            <w:tcW w:w="454" w:type="dxa"/>
            <w:shd w:val="clear" w:color="auto" w:fill="auto"/>
            <w:vAlign w:val="center"/>
            <w:hideMark/>
          </w:tcPr>
          <w:p w14:paraId="7CF6F54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292CB02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326EF76D"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6616E4F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tran., dom.</w:t>
            </w:r>
          </w:p>
        </w:tc>
        <w:tc>
          <w:tcPr>
            <w:tcW w:w="1134" w:type="dxa"/>
            <w:shd w:val="clear" w:color="auto" w:fill="auto"/>
            <w:vAlign w:val="center"/>
            <w:hideMark/>
          </w:tcPr>
          <w:p w14:paraId="175AC5C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Agregación de valor (suma)</w:t>
            </w:r>
          </w:p>
        </w:tc>
        <w:tc>
          <w:tcPr>
            <w:tcW w:w="567" w:type="dxa"/>
            <w:shd w:val="clear" w:color="auto" w:fill="auto"/>
            <w:vAlign w:val="center"/>
          </w:tcPr>
          <w:p w14:paraId="10631CC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14</w:t>
            </w:r>
          </w:p>
        </w:tc>
      </w:tr>
      <w:tr w:rsidR="007D4645" w:rsidRPr="004068F6" w14:paraId="6F5B5359"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537F5A33"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Criterio de síntesis único</w:t>
            </w:r>
          </w:p>
        </w:tc>
        <w:tc>
          <w:tcPr>
            <w:tcW w:w="1276" w:type="dxa"/>
            <w:vAlign w:val="center"/>
          </w:tcPr>
          <w:p w14:paraId="57B42A85" w14:textId="77777777" w:rsidR="007D4645" w:rsidRPr="0007735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sidRPr="00077356">
              <w:rPr>
                <w:rFonts w:cs="Arial"/>
                <w:color w:val="000000"/>
                <w:sz w:val="16"/>
                <w:szCs w:val="16"/>
                <w:lang w:val="en-US" w:eastAsia="es-MX"/>
              </w:rPr>
              <w:t>SMART (simple multi-attribute rating technique)</w:t>
            </w:r>
          </w:p>
        </w:tc>
        <w:tc>
          <w:tcPr>
            <w:tcW w:w="3686" w:type="dxa"/>
            <w:vAlign w:val="center"/>
            <w:hideMark/>
          </w:tcPr>
          <w:p w14:paraId="35D021E9"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Una forma sencilla de implementar la teoría de la utilidad de atributos múltiples mediante el uso de promedios lineales ponderados, que brindan aproximaciones extremadamente cercanas a las funciones de utilidad. Hay muchas mejoras como SMARTS [37], SMARTER [36]</w:t>
            </w:r>
          </w:p>
        </w:tc>
        <w:tc>
          <w:tcPr>
            <w:tcW w:w="992" w:type="dxa"/>
            <w:vAlign w:val="center"/>
            <w:hideMark/>
          </w:tcPr>
          <w:p w14:paraId="0CB1A936"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Compensación &amp; calificación</w:t>
            </w:r>
          </w:p>
        </w:tc>
        <w:tc>
          <w:tcPr>
            <w:tcW w:w="1134" w:type="dxa"/>
            <w:vAlign w:val="center"/>
            <w:hideMark/>
          </w:tcPr>
          <w:p w14:paraId="16B52DA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vAlign w:val="center"/>
            <w:hideMark/>
          </w:tcPr>
          <w:p w14:paraId="3FA3FEA9"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vAlign w:val="center"/>
            <w:hideMark/>
          </w:tcPr>
          <w:p w14:paraId="116D615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2C3B956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04DE771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658C7B4F"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5963757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992" w:type="dxa"/>
            <w:vAlign w:val="center"/>
            <w:hideMark/>
          </w:tcPr>
          <w:p w14:paraId="579F3CE9"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vAlign w:val="center"/>
            <w:hideMark/>
          </w:tcPr>
          <w:p w14:paraId="12F0A431" w14:textId="77777777" w:rsidR="007D4645" w:rsidRPr="006C00FC"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sidRPr="006C00FC">
              <w:rPr>
                <w:rFonts w:cs="Arial"/>
                <w:color w:val="000000"/>
                <w:sz w:val="16"/>
                <w:szCs w:val="16"/>
                <w:lang w:val="en-US" w:eastAsia="es-MX"/>
              </w:rPr>
              <w:t>ind., com., inv., tran., dom.</w:t>
            </w:r>
          </w:p>
        </w:tc>
        <w:tc>
          <w:tcPr>
            <w:tcW w:w="1134" w:type="dxa"/>
            <w:vAlign w:val="center"/>
            <w:hideMark/>
          </w:tcPr>
          <w:p w14:paraId="34D7B4B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Agregación de valor (suma)</w:t>
            </w:r>
          </w:p>
        </w:tc>
        <w:tc>
          <w:tcPr>
            <w:tcW w:w="567" w:type="dxa"/>
            <w:vAlign w:val="center"/>
          </w:tcPr>
          <w:p w14:paraId="523C537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10, 11, 23</w:t>
            </w:r>
          </w:p>
        </w:tc>
      </w:tr>
      <w:tr w:rsidR="000D468E" w:rsidRPr="004068F6" w14:paraId="0FEC78AF"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1D9969FB"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Criterio de síntesis único</w:t>
            </w:r>
          </w:p>
        </w:tc>
        <w:tc>
          <w:tcPr>
            <w:tcW w:w="1276" w:type="dxa"/>
            <w:shd w:val="clear" w:color="auto" w:fill="auto"/>
            <w:vAlign w:val="center"/>
          </w:tcPr>
          <w:p w14:paraId="21838459" w14:textId="77777777" w:rsidR="007D4645" w:rsidRPr="0007735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sidRPr="00077356">
              <w:rPr>
                <w:rFonts w:cs="Arial"/>
                <w:color w:val="000000"/>
                <w:sz w:val="16"/>
                <w:szCs w:val="16"/>
                <w:lang w:val="en-US" w:eastAsia="es-MX"/>
              </w:rPr>
              <w:t>MAUT (multi-attribute utility theory)</w:t>
            </w:r>
          </w:p>
        </w:tc>
        <w:tc>
          <w:tcPr>
            <w:tcW w:w="3686" w:type="dxa"/>
            <w:shd w:val="clear" w:color="auto" w:fill="auto"/>
            <w:vAlign w:val="center"/>
            <w:hideMark/>
          </w:tcPr>
          <w:p w14:paraId="4D790CB8"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Agregación de los valores obtenidos al evaluar funciones de utilidad parcial en cada criterio para establecer una función de utilidad global U. Bajo algunas condiciones, U puede obtenerse de manera aditiva, multiplicativa o distributiva</w:t>
            </w:r>
          </w:p>
        </w:tc>
        <w:tc>
          <w:tcPr>
            <w:tcW w:w="992" w:type="dxa"/>
            <w:shd w:val="clear" w:color="auto" w:fill="auto"/>
            <w:vAlign w:val="center"/>
            <w:hideMark/>
          </w:tcPr>
          <w:p w14:paraId="37E9C62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Compensación &amp; lotería</w:t>
            </w:r>
          </w:p>
        </w:tc>
        <w:tc>
          <w:tcPr>
            <w:tcW w:w="1134" w:type="dxa"/>
            <w:shd w:val="clear" w:color="auto" w:fill="auto"/>
            <w:vAlign w:val="center"/>
            <w:hideMark/>
          </w:tcPr>
          <w:p w14:paraId="1E62F7A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shd w:val="clear" w:color="auto" w:fill="auto"/>
            <w:vAlign w:val="center"/>
            <w:hideMark/>
          </w:tcPr>
          <w:p w14:paraId="55C340F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shd w:val="clear" w:color="auto" w:fill="auto"/>
            <w:vAlign w:val="center"/>
            <w:hideMark/>
          </w:tcPr>
          <w:p w14:paraId="3EA1382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4" w:type="dxa"/>
            <w:shd w:val="clear" w:color="auto" w:fill="auto"/>
            <w:vAlign w:val="center"/>
            <w:hideMark/>
          </w:tcPr>
          <w:p w14:paraId="49F2F406"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0888603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4" w:type="dxa"/>
            <w:shd w:val="clear" w:color="auto" w:fill="auto"/>
            <w:vAlign w:val="center"/>
            <w:hideMark/>
          </w:tcPr>
          <w:p w14:paraId="72DF4C1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CO" w:eastAsia="es-MX"/>
              </w:rPr>
            </w:pPr>
          </w:p>
        </w:tc>
        <w:tc>
          <w:tcPr>
            <w:tcW w:w="454" w:type="dxa"/>
            <w:shd w:val="clear" w:color="auto" w:fill="auto"/>
            <w:vAlign w:val="center"/>
            <w:hideMark/>
          </w:tcPr>
          <w:p w14:paraId="7B76AD5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992" w:type="dxa"/>
            <w:shd w:val="clear" w:color="auto" w:fill="auto"/>
            <w:vAlign w:val="center"/>
            <w:hideMark/>
          </w:tcPr>
          <w:p w14:paraId="12E61D8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2106D1C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tran., dom.</w:t>
            </w:r>
          </w:p>
        </w:tc>
        <w:tc>
          <w:tcPr>
            <w:tcW w:w="1134" w:type="dxa"/>
            <w:shd w:val="clear" w:color="auto" w:fill="auto"/>
            <w:vAlign w:val="center"/>
            <w:hideMark/>
          </w:tcPr>
          <w:p w14:paraId="1DAA990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Agregación de utilidad (suma o multiplicación)</w:t>
            </w:r>
          </w:p>
        </w:tc>
        <w:tc>
          <w:tcPr>
            <w:tcW w:w="567" w:type="dxa"/>
            <w:shd w:val="clear" w:color="auto" w:fill="auto"/>
            <w:vAlign w:val="center"/>
          </w:tcPr>
          <w:p w14:paraId="34BE9F2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5, 15, 33</w:t>
            </w:r>
          </w:p>
        </w:tc>
      </w:tr>
      <w:tr w:rsidR="007D4645" w:rsidRPr="004068F6" w14:paraId="2A91ED9D"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7DDE790F"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Criterio de síntesis único</w:t>
            </w:r>
          </w:p>
        </w:tc>
        <w:tc>
          <w:tcPr>
            <w:tcW w:w="1276" w:type="dxa"/>
            <w:vAlign w:val="center"/>
          </w:tcPr>
          <w:p w14:paraId="5AD72A16"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AHP (analytic hierarchy process)</w:t>
            </w:r>
          </w:p>
        </w:tc>
        <w:tc>
          <w:tcPr>
            <w:tcW w:w="3686" w:type="dxa"/>
            <w:vAlign w:val="center"/>
            <w:hideMark/>
          </w:tcPr>
          <w:p w14:paraId="0B766EBA"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Convertir evaluaciones subjetivas de importancia relativa en un conjunto de pesos. Esta técnica aplica la descomposición, los juicios comparativos sobre elementos comparativos y medidas de importancia relativa a través de matrices de comparación por pares que se recombinan en una calificación general de alternativas.</w:t>
            </w:r>
          </w:p>
        </w:tc>
        <w:tc>
          <w:tcPr>
            <w:tcW w:w="992" w:type="dxa"/>
            <w:vAlign w:val="center"/>
            <w:hideMark/>
          </w:tcPr>
          <w:p w14:paraId="59829C2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vAlign w:val="center"/>
            <w:hideMark/>
          </w:tcPr>
          <w:p w14:paraId="02AD620F"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vAlign w:val="center"/>
            <w:hideMark/>
          </w:tcPr>
          <w:p w14:paraId="50977D6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 Calificación</w:t>
            </w:r>
          </w:p>
        </w:tc>
        <w:tc>
          <w:tcPr>
            <w:tcW w:w="453" w:type="dxa"/>
            <w:vAlign w:val="center"/>
            <w:hideMark/>
          </w:tcPr>
          <w:p w14:paraId="5EB32C8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1AC0A39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6B50C28D"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14448E3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25118D1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992" w:type="dxa"/>
            <w:vAlign w:val="center"/>
            <w:hideMark/>
          </w:tcPr>
          <w:p w14:paraId="2D5F2192"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vAlign w:val="center"/>
            <w:hideMark/>
          </w:tcPr>
          <w:p w14:paraId="3597B2EF" w14:textId="77777777" w:rsidR="007D4645" w:rsidRPr="006C00FC"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sidRPr="006C00FC">
              <w:rPr>
                <w:rFonts w:cs="Arial"/>
                <w:color w:val="000000"/>
                <w:sz w:val="16"/>
                <w:szCs w:val="16"/>
                <w:lang w:val="en-US" w:eastAsia="es-MX"/>
              </w:rPr>
              <w:t>inner and outer ind., inv., dom.</w:t>
            </w:r>
          </w:p>
        </w:tc>
        <w:tc>
          <w:tcPr>
            <w:tcW w:w="1134" w:type="dxa"/>
            <w:vAlign w:val="center"/>
            <w:hideMark/>
          </w:tcPr>
          <w:p w14:paraId="17B84CF3"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Método del eigenvector</w:t>
            </w:r>
          </w:p>
        </w:tc>
        <w:tc>
          <w:tcPr>
            <w:tcW w:w="567" w:type="dxa"/>
            <w:vAlign w:val="center"/>
          </w:tcPr>
          <w:p w14:paraId="146CBCC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31, 32</w:t>
            </w:r>
          </w:p>
        </w:tc>
      </w:tr>
      <w:tr w:rsidR="000D468E" w:rsidRPr="004068F6" w14:paraId="2D6A3693"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3B556E09"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Criterio de síntesis único</w:t>
            </w:r>
          </w:p>
        </w:tc>
        <w:tc>
          <w:tcPr>
            <w:tcW w:w="1276" w:type="dxa"/>
            <w:shd w:val="clear" w:color="auto" w:fill="auto"/>
            <w:vAlign w:val="center"/>
          </w:tcPr>
          <w:p w14:paraId="576B2C7B"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EVAMIX</w:t>
            </w:r>
          </w:p>
        </w:tc>
        <w:tc>
          <w:tcPr>
            <w:tcW w:w="3686" w:type="dxa"/>
            <w:shd w:val="clear" w:color="auto" w:fill="auto"/>
            <w:vAlign w:val="center"/>
            <w:hideMark/>
          </w:tcPr>
          <w:p w14:paraId="45964306"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 calculan dos índices de dominancia: uno para evaluaciones ordinales y otro para evaluaciones cardinales. La combinación de estos dos índices conduce a una medida de la dominancia entre cada par de alternativas.</w:t>
            </w:r>
          </w:p>
        </w:tc>
        <w:tc>
          <w:tcPr>
            <w:tcW w:w="992" w:type="dxa"/>
            <w:shd w:val="clear" w:color="auto" w:fill="auto"/>
            <w:vAlign w:val="center"/>
            <w:hideMark/>
          </w:tcPr>
          <w:p w14:paraId="30961CF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 (calificación directa)</w:t>
            </w:r>
          </w:p>
        </w:tc>
        <w:tc>
          <w:tcPr>
            <w:tcW w:w="1134" w:type="dxa"/>
            <w:shd w:val="clear" w:color="auto" w:fill="auto"/>
            <w:vAlign w:val="center"/>
            <w:hideMark/>
          </w:tcPr>
          <w:p w14:paraId="09E10246"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w:t>
            </w:r>
          </w:p>
        </w:tc>
        <w:tc>
          <w:tcPr>
            <w:tcW w:w="992" w:type="dxa"/>
            <w:shd w:val="clear" w:color="auto" w:fill="auto"/>
            <w:vAlign w:val="center"/>
            <w:hideMark/>
          </w:tcPr>
          <w:p w14:paraId="1820FE2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 Calificación</w:t>
            </w:r>
          </w:p>
        </w:tc>
        <w:tc>
          <w:tcPr>
            <w:tcW w:w="453" w:type="dxa"/>
            <w:shd w:val="clear" w:color="auto" w:fill="auto"/>
            <w:vAlign w:val="center"/>
            <w:hideMark/>
          </w:tcPr>
          <w:p w14:paraId="44C356B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14E292E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532B963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4A2FA3F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20B0F8B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4043609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73DDA3AC" w14:textId="77777777" w:rsidR="007D4645" w:rsidRPr="006C00FC"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sidRPr="006C00FC">
              <w:rPr>
                <w:rFonts w:cs="Arial"/>
                <w:color w:val="000000"/>
                <w:sz w:val="16"/>
                <w:szCs w:val="16"/>
                <w:lang w:val="en-US" w:eastAsia="es-MX"/>
              </w:rPr>
              <w:t>ind., com., inv., tran., dom.</w:t>
            </w:r>
          </w:p>
        </w:tc>
        <w:tc>
          <w:tcPr>
            <w:tcW w:w="1134" w:type="dxa"/>
            <w:shd w:val="clear" w:color="auto" w:fill="auto"/>
            <w:vAlign w:val="center"/>
            <w:hideMark/>
          </w:tcPr>
          <w:p w14:paraId="18DCF26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Suma algebraica</w:t>
            </w:r>
          </w:p>
        </w:tc>
        <w:tc>
          <w:tcPr>
            <w:tcW w:w="567" w:type="dxa"/>
            <w:shd w:val="clear" w:color="auto" w:fill="auto"/>
            <w:vAlign w:val="center"/>
          </w:tcPr>
          <w:p w14:paraId="6F4B0E2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34</w:t>
            </w:r>
          </w:p>
        </w:tc>
      </w:tr>
      <w:tr w:rsidR="007D4645" w:rsidRPr="004068F6" w14:paraId="7A089D5C"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5EBC6191"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Criterio de síntesis único</w:t>
            </w:r>
          </w:p>
        </w:tc>
        <w:tc>
          <w:tcPr>
            <w:tcW w:w="1276" w:type="dxa"/>
            <w:vAlign w:val="center"/>
          </w:tcPr>
          <w:p w14:paraId="7BF7F268"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Maximin difuso</w:t>
            </w:r>
          </w:p>
        </w:tc>
        <w:tc>
          <w:tcPr>
            <w:tcW w:w="3686" w:type="dxa"/>
            <w:vAlign w:val="center"/>
            <w:hideMark/>
          </w:tcPr>
          <w:p w14:paraId="721B6DD9"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Este procedimiento se basa en el mismo principio que el procedimiento maximin estándar. Las valoraciones de las alternativas son números borrosos</w:t>
            </w:r>
          </w:p>
        </w:tc>
        <w:tc>
          <w:tcPr>
            <w:tcW w:w="992" w:type="dxa"/>
            <w:vAlign w:val="center"/>
            <w:hideMark/>
          </w:tcPr>
          <w:p w14:paraId="2152179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 (calificación directa)</w:t>
            </w:r>
          </w:p>
        </w:tc>
        <w:tc>
          <w:tcPr>
            <w:tcW w:w="1134" w:type="dxa"/>
            <w:vAlign w:val="center"/>
            <w:hideMark/>
          </w:tcPr>
          <w:p w14:paraId="655FDC23"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Q, I}</w:t>
            </w:r>
          </w:p>
        </w:tc>
        <w:tc>
          <w:tcPr>
            <w:tcW w:w="992" w:type="dxa"/>
            <w:vAlign w:val="center"/>
            <w:hideMark/>
          </w:tcPr>
          <w:p w14:paraId="298D143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vAlign w:val="center"/>
            <w:hideMark/>
          </w:tcPr>
          <w:p w14:paraId="244D523B"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4558698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6BD4BCC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5B59FCBF"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264213E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992" w:type="dxa"/>
            <w:vAlign w:val="center"/>
            <w:hideMark/>
          </w:tcPr>
          <w:p w14:paraId="5002BA6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Ninguna</w:t>
            </w:r>
          </w:p>
        </w:tc>
        <w:tc>
          <w:tcPr>
            <w:tcW w:w="993" w:type="dxa"/>
            <w:vAlign w:val="center"/>
            <w:hideMark/>
          </w:tcPr>
          <w:p w14:paraId="13B58BF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com., inv., dom.</w:t>
            </w:r>
          </w:p>
        </w:tc>
        <w:tc>
          <w:tcPr>
            <w:tcW w:w="1134" w:type="dxa"/>
            <w:vAlign w:val="center"/>
            <w:hideMark/>
          </w:tcPr>
          <w:p w14:paraId="36C80D7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Operadores máximos y mínimos</w:t>
            </w:r>
          </w:p>
        </w:tc>
        <w:tc>
          <w:tcPr>
            <w:tcW w:w="567" w:type="dxa"/>
            <w:vAlign w:val="center"/>
          </w:tcPr>
          <w:p w14:paraId="33B9CD6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2, 35</w:t>
            </w:r>
          </w:p>
        </w:tc>
      </w:tr>
      <w:tr w:rsidR="000D468E" w:rsidRPr="004068F6" w14:paraId="249D3591"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3789C92F"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shd w:val="clear" w:color="auto" w:fill="auto"/>
            <w:vAlign w:val="center"/>
          </w:tcPr>
          <w:p w14:paraId="3BF7E62B"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ELECTRE I</w:t>
            </w:r>
          </w:p>
        </w:tc>
        <w:tc>
          <w:tcPr>
            <w:tcW w:w="3686" w:type="dxa"/>
            <w:shd w:val="clear" w:color="auto" w:fill="auto"/>
            <w:vAlign w:val="center"/>
            <w:hideMark/>
          </w:tcPr>
          <w:p w14:paraId="3045CE26"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 utiliza el concepto de relación de superación. El procedimiento busca reducir el tamaño del conjunto de alternativas no dominadas (kernel). La idea es que una alternativa puede eliminarse si está dominada por otras alternativas en un grado específico. El procedimiento es el primero en buscar agregar las preferencias en lugar de los desempeños</w:t>
            </w:r>
          </w:p>
        </w:tc>
        <w:tc>
          <w:tcPr>
            <w:tcW w:w="992" w:type="dxa"/>
            <w:shd w:val="clear" w:color="auto" w:fill="auto"/>
            <w:vAlign w:val="center"/>
            <w:hideMark/>
          </w:tcPr>
          <w:p w14:paraId="0102491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shd w:val="clear" w:color="auto" w:fill="auto"/>
            <w:vAlign w:val="center"/>
            <w:hideMark/>
          </w:tcPr>
          <w:p w14:paraId="4FB9F30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 R}</w:t>
            </w:r>
          </w:p>
        </w:tc>
        <w:tc>
          <w:tcPr>
            <w:tcW w:w="992" w:type="dxa"/>
            <w:shd w:val="clear" w:color="auto" w:fill="auto"/>
            <w:vAlign w:val="center"/>
            <w:hideMark/>
          </w:tcPr>
          <w:p w14:paraId="2BAD5C4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shd w:val="clear" w:color="auto" w:fill="auto"/>
            <w:vAlign w:val="center"/>
            <w:hideMark/>
          </w:tcPr>
          <w:p w14:paraId="34BA54C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6B534496"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747B16B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31235DC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34D22391"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7CAB3DF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5074900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shd w:val="clear" w:color="auto" w:fill="auto"/>
            <w:vAlign w:val="center"/>
            <w:hideMark/>
          </w:tcPr>
          <w:p w14:paraId="22C66D6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Teoría de grafos (núcleo)</w:t>
            </w:r>
          </w:p>
        </w:tc>
        <w:tc>
          <w:tcPr>
            <w:tcW w:w="567" w:type="dxa"/>
            <w:shd w:val="clear" w:color="auto" w:fill="auto"/>
            <w:vAlign w:val="center"/>
          </w:tcPr>
          <w:p w14:paraId="315F005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26</w:t>
            </w:r>
          </w:p>
        </w:tc>
      </w:tr>
      <w:tr w:rsidR="007D4645" w:rsidRPr="004068F6" w14:paraId="66E684F8"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3E1CD058"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lastRenderedPageBreak/>
              <w:t>Outranking</w:t>
            </w:r>
          </w:p>
        </w:tc>
        <w:tc>
          <w:tcPr>
            <w:tcW w:w="1276" w:type="dxa"/>
            <w:vAlign w:val="center"/>
          </w:tcPr>
          <w:p w14:paraId="7271A38C"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ELECTRE IS</w:t>
            </w:r>
          </w:p>
        </w:tc>
        <w:tc>
          <w:tcPr>
            <w:tcW w:w="3686" w:type="dxa"/>
            <w:vAlign w:val="center"/>
            <w:hideMark/>
          </w:tcPr>
          <w:p w14:paraId="0C9C1B10"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Este procedimiento es exactamente igual que ELECTRE I, pero introduce el umbral de indiferencia</w:t>
            </w:r>
          </w:p>
        </w:tc>
        <w:tc>
          <w:tcPr>
            <w:tcW w:w="992" w:type="dxa"/>
            <w:vAlign w:val="center"/>
            <w:hideMark/>
          </w:tcPr>
          <w:p w14:paraId="5BC6E93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vAlign w:val="center"/>
            <w:hideMark/>
          </w:tcPr>
          <w:p w14:paraId="78ECAF0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 R}</w:t>
            </w:r>
          </w:p>
        </w:tc>
        <w:tc>
          <w:tcPr>
            <w:tcW w:w="992" w:type="dxa"/>
            <w:vAlign w:val="center"/>
            <w:hideMark/>
          </w:tcPr>
          <w:p w14:paraId="2B0287A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w:t>
            </w:r>
          </w:p>
        </w:tc>
        <w:tc>
          <w:tcPr>
            <w:tcW w:w="453" w:type="dxa"/>
            <w:vAlign w:val="center"/>
            <w:hideMark/>
          </w:tcPr>
          <w:p w14:paraId="1B1B578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02FAB16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6674E64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2DB3298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4D4D1AED"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992" w:type="dxa"/>
            <w:vAlign w:val="center"/>
            <w:hideMark/>
          </w:tcPr>
          <w:p w14:paraId="220ECBB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vAlign w:val="center"/>
            <w:hideMark/>
          </w:tcPr>
          <w:p w14:paraId="2CAB031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vAlign w:val="center"/>
            <w:hideMark/>
          </w:tcPr>
          <w:p w14:paraId="37A2D66F"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Teoría de grafos (núcleo)</w:t>
            </w:r>
          </w:p>
        </w:tc>
        <w:tc>
          <w:tcPr>
            <w:tcW w:w="567" w:type="dxa"/>
            <w:vAlign w:val="center"/>
          </w:tcPr>
          <w:p w14:paraId="7D093FE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29</w:t>
            </w:r>
          </w:p>
        </w:tc>
      </w:tr>
      <w:tr w:rsidR="000D468E" w:rsidRPr="004068F6" w14:paraId="36FFB6C1"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34881382"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shd w:val="clear" w:color="auto" w:fill="auto"/>
            <w:vAlign w:val="center"/>
          </w:tcPr>
          <w:p w14:paraId="63612DE7"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ELECTRE II</w:t>
            </w:r>
          </w:p>
        </w:tc>
        <w:tc>
          <w:tcPr>
            <w:tcW w:w="3686" w:type="dxa"/>
            <w:shd w:val="clear" w:color="auto" w:fill="auto"/>
            <w:vAlign w:val="center"/>
            <w:hideMark/>
          </w:tcPr>
          <w:p w14:paraId="222AE24B"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ELECTRE II utiliza dos relaciones de superación (fuerte y débil)</w:t>
            </w:r>
          </w:p>
        </w:tc>
        <w:tc>
          <w:tcPr>
            <w:tcW w:w="992" w:type="dxa"/>
            <w:shd w:val="clear" w:color="auto" w:fill="auto"/>
            <w:vAlign w:val="center"/>
            <w:hideMark/>
          </w:tcPr>
          <w:p w14:paraId="623815E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shd w:val="clear" w:color="auto" w:fill="auto"/>
            <w:vAlign w:val="center"/>
            <w:hideMark/>
          </w:tcPr>
          <w:p w14:paraId="1CAC799D"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w:t>
            </w:r>
            <w:r w:rsidRPr="00CD4321">
              <w:rPr>
                <w:rFonts w:cs="Arial"/>
                <w:color w:val="000000"/>
                <w:sz w:val="16"/>
                <w:szCs w:val="16"/>
                <w:vertAlign w:val="superscript"/>
              </w:rPr>
              <w:t>F</w:t>
            </w:r>
            <w:r w:rsidRPr="00CD4321">
              <w:rPr>
                <w:rFonts w:cs="Arial"/>
                <w:color w:val="000000"/>
                <w:sz w:val="16"/>
                <w:szCs w:val="16"/>
              </w:rPr>
              <w:t>, S</w:t>
            </w:r>
            <w:r w:rsidRPr="00CD4321">
              <w:rPr>
                <w:rFonts w:cs="Arial"/>
                <w:color w:val="000000"/>
                <w:sz w:val="16"/>
                <w:szCs w:val="16"/>
                <w:vertAlign w:val="subscript"/>
              </w:rPr>
              <w:t>f</w:t>
            </w:r>
            <w:r w:rsidRPr="00CD4321">
              <w:rPr>
                <w:rFonts w:cs="Arial"/>
                <w:color w:val="000000"/>
                <w:sz w:val="16"/>
                <w:szCs w:val="16"/>
              </w:rPr>
              <w:t>, R}</w:t>
            </w:r>
          </w:p>
        </w:tc>
        <w:tc>
          <w:tcPr>
            <w:tcW w:w="992" w:type="dxa"/>
            <w:shd w:val="clear" w:color="auto" w:fill="auto"/>
            <w:vAlign w:val="center"/>
            <w:hideMark/>
          </w:tcPr>
          <w:p w14:paraId="1FC22ED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shd w:val="clear" w:color="auto" w:fill="auto"/>
            <w:vAlign w:val="center"/>
            <w:hideMark/>
          </w:tcPr>
          <w:p w14:paraId="778BA76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43A2D8B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5960AF5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6D333B5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6177CB1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4BB85AB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7A7D4BB6"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shd w:val="clear" w:color="auto" w:fill="auto"/>
            <w:vAlign w:val="center"/>
            <w:hideMark/>
          </w:tcPr>
          <w:p w14:paraId="33CE8386"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Teoría de grafos (destilación)</w:t>
            </w:r>
          </w:p>
        </w:tc>
        <w:tc>
          <w:tcPr>
            <w:tcW w:w="567" w:type="dxa"/>
            <w:shd w:val="clear" w:color="auto" w:fill="auto"/>
            <w:vAlign w:val="center"/>
          </w:tcPr>
          <w:p w14:paraId="14986FA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28</w:t>
            </w:r>
          </w:p>
        </w:tc>
      </w:tr>
      <w:tr w:rsidR="007D4645" w:rsidRPr="004068F6" w14:paraId="18A692A4"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0B12CB3B"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vAlign w:val="center"/>
          </w:tcPr>
          <w:p w14:paraId="6B0B43FD"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ELECTRE III</w:t>
            </w:r>
          </w:p>
        </w:tc>
        <w:tc>
          <w:tcPr>
            <w:tcW w:w="3686" w:type="dxa"/>
            <w:vAlign w:val="center"/>
            <w:hideMark/>
          </w:tcPr>
          <w:p w14:paraId="2A3C2B89"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 outranking se expresa a través de un índice de credibilidad</w:t>
            </w:r>
          </w:p>
        </w:tc>
        <w:tc>
          <w:tcPr>
            <w:tcW w:w="992" w:type="dxa"/>
            <w:vAlign w:val="center"/>
            <w:hideMark/>
          </w:tcPr>
          <w:p w14:paraId="615EEC8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vAlign w:val="center"/>
            <w:hideMark/>
          </w:tcPr>
          <w:p w14:paraId="11A4D502"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 R} valorada</w:t>
            </w:r>
          </w:p>
        </w:tc>
        <w:tc>
          <w:tcPr>
            <w:tcW w:w="992" w:type="dxa"/>
            <w:vAlign w:val="center"/>
            <w:hideMark/>
          </w:tcPr>
          <w:p w14:paraId="7B8C58A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vAlign w:val="center"/>
            <w:hideMark/>
          </w:tcPr>
          <w:p w14:paraId="5232284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69411B2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01BC0A8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25EBAE16"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5D8256D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992" w:type="dxa"/>
            <w:vAlign w:val="center"/>
            <w:hideMark/>
          </w:tcPr>
          <w:p w14:paraId="6C494BB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vAlign w:val="center"/>
            <w:hideMark/>
          </w:tcPr>
          <w:p w14:paraId="52EAA9B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vAlign w:val="center"/>
            <w:hideMark/>
          </w:tcPr>
          <w:p w14:paraId="0F7E6DB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Teoría de grafos (destilación)</w:t>
            </w:r>
          </w:p>
        </w:tc>
        <w:tc>
          <w:tcPr>
            <w:tcW w:w="567" w:type="dxa"/>
            <w:vAlign w:val="center"/>
          </w:tcPr>
          <w:p w14:paraId="0042AAF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27</w:t>
            </w:r>
          </w:p>
        </w:tc>
      </w:tr>
      <w:tr w:rsidR="000D468E" w:rsidRPr="004068F6" w14:paraId="2FFC0282"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4954522E"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shd w:val="clear" w:color="auto" w:fill="auto"/>
            <w:vAlign w:val="center"/>
          </w:tcPr>
          <w:p w14:paraId="42E1842F"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ELECTRE IV</w:t>
            </w:r>
          </w:p>
        </w:tc>
        <w:tc>
          <w:tcPr>
            <w:tcW w:w="3686" w:type="dxa"/>
            <w:shd w:val="clear" w:color="auto" w:fill="auto"/>
            <w:vAlign w:val="center"/>
            <w:hideMark/>
          </w:tcPr>
          <w:p w14:paraId="6098EA72" w14:textId="297613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 xml:space="preserve">Este procedimiento es como ELECTRE </w:t>
            </w:r>
            <w:r w:rsidR="00013A18" w:rsidRPr="00CD4321">
              <w:rPr>
                <w:rFonts w:cs="Arial"/>
                <w:color w:val="000000"/>
                <w:sz w:val="16"/>
                <w:szCs w:val="16"/>
                <w:lang w:eastAsia="es-MX"/>
              </w:rPr>
              <w:t>III,</w:t>
            </w:r>
            <w:r w:rsidRPr="00CD4321">
              <w:rPr>
                <w:rFonts w:cs="Arial"/>
                <w:color w:val="000000"/>
                <w:sz w:val="16"/>
                <w:szCs w:val="16"/>
                <w:lang w:eastAsia="es-MX"/>
              </w:rPr>
              <w:t xml:space="preserve"> pero no usó pesos</w:t>
            </w:r>
          </w:p>
        </w:tc>
        <w:tc>
          <w:tcPr>
            <w:tcW w:w="992" w:type="dxa"/>
            <w:shd w:val="clear" w:color="auto" w:fill="auto"/>
            <w:vAlign w:val="center"/>
            <w:hideMark/>
          </w:tcPr>
          <w:p w14:paraId="6566FC6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shd w:val="clear" w:color="auto" w:fill="auto"/>
            <w:vAlign w:val="center"/>
            <w:hideMark/>
          </w:tcPr>
          <w:p w14:paraId="3AEE6904"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w:t>
            </w:r>
            <w:r w:rsidRPr="00CD4321">
              <w:rPr>
                <w:rFonts w:cs="Arial"/>
                <w:color w:val="000000"/>
                <w:sz w:val="16"/>
                <w:szCs w:val="16"/>
                <w:vertAlign w:val="superscript"/>
              </w:rPr>
              <w:t>1</w:t>
            </w:r>
            <w:r w:rsidRPr="00CD4321">
              <w:rPr>
                <w:rFonts w:cs="Arial"/>
                <w:color w:val="000000"/>
                <w:sz w:val="16"/>
                <w:szCs w:val="16"/>
              </w:rPr>
              <w:t>, S</w:t>
            </w:r>
            <w:r w:rsidRPr="00CD4321">
              <w:rPr>
                <w:rFonts w:cs="Arial"/>
                <w:color w:val="000000"/>
                <w:sz w:val="16"/>
                <w:szCs w:val="16"/>
                <w:vertAlign w:val="superscript"/>
              </w:rPr>
              <w:t>2</w:t>
            </w:r>
            <w:r w:rsidRPr="00CD4321">
              <w:rPr>
                <w:rFonts w:cs="Arial"/>
                <w:color w:val="000000"/>
                <w:sz w:val="16"/>
                <w:szCs w:val="16"/>
              </w:rPr>
              <w:t>, S</w:t>
            </w:r>
            <w:r w:rsidRPr="00CD4321">
              <w:rPr>
                <w:rFonts w:cs="Arial"/>
                <w:color w:val="000000"/>
                <w:sz w:val="16"/>
                <w:szCs w:val="16"/>
                <w:vertAlign w:val="superscript"/>
              </w:rPr>
              <w:t>3</w:t>
            </w:r>
            <w:r w:rsidRPr="00CD4321">
              <w:rPr>
                <w:rFonts w:cs="Arial"/>
                <w:color w:val="000000"/>
                <w:sz w:val="16"/>
                <w:szCs w:val="16"/>
              </w:rPr>
              <w:t>, S</w:t>
            </w:r>
            <w:r w:rsidRPr="00CD4321">
              <w:rPr>
                <w:rFonts w:cs="Arial"/>
                <w:color w:val="000000"/>
                <w:sz w:val="16"/>
                <w:szCs w:val="16"/>
                <w:vertAlign w:val="superscript"/>
              </w:rPr>
              <w:t>4</w:t>
            </w:r>
            <w:r w:rsidRPr="00CD4321">
              <w:rPr>
                <w:rFonts w:cs="Arial"/>
                <w:color w:val="000000"/>
                <w:sz w:val="16"/>
                <w:szCs w:val="16"/>
              </w:rPr>
              <w:t>, S</w:t>
            </w:r>
            <w:r w:rsidRPr="00CD4321">
              <w:rPr>
                <w:rFonts w:cs="Arial"/>
                <w:color w:val="000000"/>
                <w:sz w:val="16"/>
                <w:szCs w:val="16"/>
                <w:vertAlign w:val="superscript"/>
              </w:rPr>
              <w:t>5</w:t>
            </w:r>
            <w:r w:rsidRPr="00CD4321">
              <w:rPr>
                <w:rFonts w:cs="Arial"/>
                <w:color w:val="000000"/>
                <w:sz w:val="16"/>
                <w:szCs w:val="16"/>
              </w:rPr>
              <w:t>, R}</w:t>
            </w:r>
          </w:p>
        </w:tc>
        <w:tc>
          <w:tcPr>
            <w:tcW w:w="992" w:type="dxa"/>
            <w:shd w:val="clear" w:color="auto" w:fill="auto"/>
            <w:vAlign w:val="center"/>
            <w:hideMark/>
          </w:tcPr>
          <w:p w14:paraId="673F979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shd w:val="clear" w:color="auto" w:fill="auto"/>
            <w:vAlign w:val="center"/>
            <w:hideMark/>
          </w:tcPr>
          <w:p w14:paraId="0DA86816"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10ADC5B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7587FB3D"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7CBE3E9B"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2974AC6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7C07D5F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53A96FE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shd w:val="clear" w:color="auto" w:fill="auto"/>
            <w:vAlign w:val="center"/>
            <w:hideMark/>
          </w:tcPr>
          <w:p w14:paraId="2636C9D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Teoría de grafos (destilación)</w:t>
            </w:r>
          </w:p>
        </w:tc>
        <w:tc>
          <w:tcPr>
            <w:tcW w:w="567" w:type="dxa"/>
            <w:shd w:val="clear" w:color="auto" w:fill="auto"/>
            <w:vAlign w:val="center"/>
          </w:tcPr>
          <w:p w14:paraId="1EEAC7B4"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30</w:t>
            </w:r>
          </w:p>
        </w:tc>
      </w:tr>
      <w:tr w:rsidR="007D4645" w:rsidRPr="004068F6" w14:paraId="3A20023A"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71F8FEF4"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vAlign w:val="center"/>
          </w:tcPr>
          <w:p w14:paraId="7859CCA6"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ELECTRE TRI</w:t>
            </w:r>
          </w:p>
        </w:tc>
        <w:tc>
          <w:tcPr>
            <w:tcW w:w="3686" w:type="dxa"/>
            <w:vAlign w:val="center"/>
            <w:hideMark/>
          </w:tcPr>
          <w:p w14:paraId="280CFFCE"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Este procedimiento es como ELECTRE III y utiliza las técnicas conjuntivas y disyuntivas para afectar las alternativas a las diferentes categorías (ordenadas)</w:t>
            </w:r>
          </w:p>
        </w:tc>
        <w:tc>
          <w:tcPr>
            <w:tcW w:w="992" w:type="dxa"/>
            <w:vAlign w:val="center"/>
            <w:hideMark/>
          </w:tcPr>
          <w:p w14:paraId="15BE5349"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vAlign w:val="center"/>
            <w:hideMark/>
          </w:tcPr>
          <w:p w14:paraId="418DDC0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 R}</w:t>
            </w:r>
          </w:p>
        </w:tc>
        <w:tc>
          <w:tcPr>
            <w:tcW w:w="992" w:type="dxa"/>
            <w:vAlign w:val="center"/>
            <w:hideMark/>
          </w:tcPr>
          <w:p w14:paraId="7A3DECF3"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Clasificación</w:t>
            </w:r>
          </w:p>
        </w:tc>
        <w:tc>
          <w:tcPr>
            <w:tcW w:w="453" w:type="dxa"/>
            <w:vAlign w:val="center"/>
            <w:hideMark/>
          </w:tcPr>
          <w:p w14:paraId="34B8174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1561889D"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59C29AA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19B37AD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157C6E36"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992" w:type="dxa"/>
            <w:vAlign w:val="center"/>
            <w:hideMark/>
          </w:tcPr>
          <w:p w14:paraId="619CDAD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vAlign w:val="center"/>
            <w:hideMark/>
          </w:tcPr>
          <w:p w14:paraId="59855AE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vAlign w:val="center"/>
            <w:hideMark/>
          </w:tcPr>
          <w:p w14:paraId="6BFD2B1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Disyuntivo &amp; Conjuntivo</w:t>
            </w:r>
          </w:p>
        </w:tc>
        <w:tc>
          <w:tcPr>
            <w:tcW w:w="567" w:type="dxa"/>
            <w:vAlign w:val="center"/>
          </w:tcPr>
          <w:p w14:paraId="6A6B86D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29</w:t>
            </w:r>
          </w:p>
        </w:tc>
      </w:tr>
      <w:tr w:rsidR="000D468E" w:rsidRPr="004068F6" w14:paraId="1B64E463"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79024009"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shd w:val="clear" w:color="auto" w:fill="auto"/>
            <w:vAlign w:val="center"/>
          </w:tcPr>
          <w:p w14:paraId="665F98B8"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PROMETHEE I</w:t>
            </w:r>
          </w:p>
        </w:tc>
        <w:tc>
          <w:tcPr>
            <w:tcW w:w="3686" w:type="dxa"/>
            <w:shd w:val="clear" w:color="auto" w:fill="auto"/>
            <w:vAlign w:val="center"/>
            <w:hideMark/>
          </w:tcPr>
          <w:p w14:paraId="7C72C9FE"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PROMETHEE I se basa en los mismos principios que ELECTRE e introduce seis funciones para describir las preferencias de DM a lo largo de cada criterio. Este procedimiento proporciona un orden parcial de las alternativas utilizando flujos de entrada y salida.</w:t>
            </w:r>
          </w:p>
        </w:tc>
        <w:tc>
          <w:tcPr>
            <w:tcW w:w="992" w:type="dxa"/>
            <w:shd w:val="clear" w:color="auto" w:fill="auto"/>
            <w:vAlign w:val="center"/>
            <w:hideMark/>
          </w:tcPr>
          <w:p w14:paraId="5ABC1ED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shd w:val="clear" w:color="auto" w:fill="auto"/>
            <w:vAlign w:val="center"/>
            <w:hideMark/>
          </w:tcPr>
          <w:p w14:paraId="7DF80AD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 R} valorada</w:t>
            </w:r>
          </w:p>
        </w:tc>
        <w:tc>
          <w:tcPr>
            <w:tcW w:w="992" w:type="dxa"/>
            <w:shd w:val="clear" w:color="auto" w:fill="auto"/>
            <w:vAlign w:val="center"/>
            <w:hideMark/>
          </w:tcPr>
          <w:p w14:paraId="2FC42FF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shd w:val="clear" w:color="auto" w:fill="auto"/>
            <w:vAlign w:val="center"/>
            <w:hideMark/>
          </w:tcPr>
          <w:p w14:paraId="1472207B"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7954D62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46A8EE0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59C0B4F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50EA946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524C5A9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563BE92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shd w:val="clear" w:color="auto" w:fill="auto"/>
            <w:vAlign w:val="center"/>
            <w:hideMark/>
          </w:tcPr>
          <w:p w14:paraId="536D8ED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Flujos de salida y entrada</w:t>
            </w:r>
          </w:p>
        </w:tc>
        <w:tc>
          <w:tcPr>
            <w:tcW w:w="567" w:type="dxa"/>
            <w:shd w:val="clear" w:color="auto" w:fill="auto"/>
            <w:vAlign w:val="center"/>
          </w:tcPr>
          <w:p w14:paraId="2D0E5F2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4</w:t>
            </w:r>
          </w:p>
        </w:tc>
      </w:tr>
      <w:tr w:rsidR="007D4645" w:rsidRPr="004068F6" w14:paraId="1B42E115"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089A6A8F"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vAlign w:val="center"/>
          </w:tcPr>
          <w:p w14:paraId="26F69318"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PROMETHEE II</w:t>
            </w:r>
          </w:p>
        </w:tc>
        <w:tc>
          <w:tcPr>
            <w:tcW w:w="3686" w:type="dxa"/>
            <w:vAlign w:val="center"/>
            <w:hideMark/>
          </w:tcPr>
          <w:p w14:paraId="5C75BA76"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PROMETHEE II se basa en los mismos principios que PROMETHEE I. Este procedimiento proporciona un preorden total de las alternativas utilizando una agregación de los flujos de entrada y salida.</w:t>
            </w:r>
          </w:p>
        </w:tc>
        <w:tc>
          <w:tcPr>
            <w:tcW w:w="992" w:type="dxa"/>
            <w:vAlign w:val="center"/>
            <w:hideMark/>
          </w:tcPr>
          <w:p w14:paraId="2B7F2A4B"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vAlign w:val="center"/>
            <w:hideMark/>
          </w:tcPr>
          <w:p w14:paraId="4886488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 valorada</w:t>
            </w:r>
          </w:p>
        </w:tc>
        <w:tc>
          <w:tcPr>
            <w:tcW w:w="992" w:type="dxa"/>
            <w:vAlign w:val="center"/>
            <w:hideMark/>
          </w:tcPr>
          <w:p w14:paraId="62992F3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vAlign w:val="center"/>
            <w:hideMark/>
          </w:tcPr>
          <w:p w14:paraId="29B6535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52A6EC3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68C0F71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4DD4D40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78D7B94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992" w:type="dxa"/>
            <w:vAlign w:val="center"/>
            <w:hideMark/>
          </w:tcPr>
          <w:p w14:paraId="06EAFE3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vAlign w:val="center"/>
            <w:hideMark/>
          </w:tcPr>
          <w:p w14:paraId="0026FA0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vAlign w:val="center"/>
            <w:hideMark/>
          </w:tcPr>
          <w:p w14:paraId="72523F3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Flujos de salida y entrada</w:t>
            </w:r>
          </w:p>
        </w:tc>
        <w:tc>
          <w:tcPr>
            <w:tcW w:w="567" w:type="dxa"/>
            <w:vAlign w:val="center"/>
          </w:tcPr>
          <w:p w14:paraId="58504A6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3</w:t>
            </w:r>
          </w:p>
        </w:tc>
      </w:tr>
      <w:tr w:rsidR="000D468E" w:rsidRPr="004068F6" w14:paraId="012E8C07"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6FC194AE"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shd w:val="clear" w:color="auto" w:fill="auto"/>
            <w:vAlign w:val="center"/>
          </w:tcPr>
          <w:p w14:paraId="7071BDEF"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MELCHIOR</w:t>
            </w:r>
          </w:p>
        </w:tc>
        <w:tc>
          <w:tcPr>
            <w:tcW w:w="3686" w:type="dxa"/>
            <w:shd w:val="clear" w:color="auto" w:fill="auto"/>
            <w:vAlign w:val="center"/>
            <w:hideMark/>
          </w:tcPr>
          <w:p w14:paraId="56907B39"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MELCHIOR es una extensión de ELECTRE IV</w:t>
            </w:r>
          </w:p>
        </w:tc>
        <w:tc>
          <w:tcPr>
            <w:tcW w:w="992" w:type="dxa"/>
            <w:shd w:val="clear" w:color="auto" w:fill="auto"/>
            <w:vAlign w:val="center"/>
            <w:hideMark/>
          </w:tcPr>
          <w:p w14:paraId="7FD42E3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shd w:val="clear" w:color="auto" w:fill="auto"/>
            <w:vAlign w:val="center"/>
            <w:hideMark/>
          </w:tcPr>
          <w:p w14:paraId="09FE057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 R} valorada</w:t>
            </w:r>
          </w:p>
        </w:tc>
        <w:tc>
          <w:tcPr>
            <w:tcW w:w="992" w:type="dxa"/>
            <w:shd w:val="clear" w:color="auto" w:fill="auto"/>
            <w:vAlign w:val="center"/>
            <w:hideMark/>
          </w:tcPr>
          <w:p w14:paraId="7125830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shd w:val="clear" w:color="auto" w:fill="auto"/>
            <w:vAlign w:val="center"/>
            <w:hideMark/>
          </w:tcPr>
          <w:p w14:paraId="4720454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3C0DEB4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3" w:type="dxa"/>
            <w:shd w:val="clear" w:color="auto" w:fill="auto"/>
            <w:vAlign w:val="center"/>
            <w:hideMark/>
          </w:tcPr>
          <w:p w14:paraId="7D08487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CO" w:eastAsia="es-MX"/>
              </w:rPr>
            </w:pPr>
          </w:p>
        </w:tc>
        <w:tc>
          <w:tcPr>
            <w:tcW w:w="454" w:type="dxa"/>
            <w:shd w:val="clear" w:color="auto" w:fill="auto"/>
            <w:vAlign w:val="center"/>
            <w:hideMark/>
          </w:tcPr>
          <w:p w14:paraId="41D06A6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738F9AC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6732CE6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2325A2D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w:t>
            </w:r>
          </w:p>
        </w:tc>
        <w:tc>
          <w:tcPr>
            <w:tcW w:w="1134" w:type="dxa"/>
            <w:shd w:val="clear" w:color="auto" w:fill="auto"/>
            <w:vAlign w:val="center"/>
            <w:hideMark/>
          </w:tcPr>
          <w:p w14:paraId="75E4958D"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Teoría de grafos (destilación)</w:t>
            </w:r>
          </w:p>
        </w:tc>
        <w:tc>
          <w:tcPr>
            <w:tcW w:w="567" w:type="dxa"/>
            <w:shd w:val="clear" w:color="auto" w:fill="auto"/>
            <w:vAlign w:val="center"/>
          </w:tcPr>
          <w:p w14:paraId="5D4A29B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18</w:t>
            </w:r>
          </w:p>
        </w:tc>
      </w:tr>
      <w:tr w:rsidR="007D4645" w:rsidRPr="004068F6" w14:paraId="4A3A5058"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71BE8D68"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vAlign w:val="center"/>
          </w:tcPr>
          <w:p w14:paraId="3643B6B5"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ORESTE</w:t>
            </w:r>
          </w:p>
        </w:tc>
        <w:tc>
          <w:tcPr>
            <w:tcW w:w="3686" w:type="dxa"/>
            <w:vAlign w:val="center"/>
            <w:hideMark/>
          </w:tcPr>
          <w:p w14:paraId="5EC520BC"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Este procedimiento necesita solo evaluaciones ordinales de las alternativas y la clasificación de los criterios en términos de importancia.</w:t>
            </w:r>
          </w:p>
        </w:tc>
        <w:tc>
          <w:tcPr>
            <w:tcW w:w="992" w:type="dxa"/>
            <w:vAlign w:val="center"/>
            <w:hideMark/>
          </w:tcPr>
          <w:p w14:paraId="4B85A41D"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vAlign w:val="center"/>
            <w:hideMark/>
          </w:tcPr>
          <w:p w14:paraId="60F5C1E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I, R} valorada</w:t>
            </w:r>
          </w:p>
        </w:tc>
        <w:tc>
          <w:tcPr>
            <w:tcW w:w="992" w:type="dxa"/>
            <w:vAlign w:val="center"/>
            <w:hideMark/>
          </w:tcPr>
          <w:p w14:paraId="4F1BAA4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vAlign w:val="center"/>
            <w:hideMark/>
          </w:tcPr>
          <w:p w14:paraId="73615CC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79324F4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3" w:type="dxa"/>
            <w:vAlign w:val="center"/>
            <w:hideMark/>
          </w:tcPr>
          <w:p w14:paraId="1A1968F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CO" w:eastAsia="es-MX"/>
              </w:rPr>
            </w:pPr>
          </w:p>
        </w:tc>
        <w:tc>
          <w:tcPr>
            <w:tcW w:w="454" w:type="dxa"/>
            <w:vAlign w:val="center"/>
            <w:hideMark/>
          </w:tcPr>
          <w:p w14:paraId="5BDB6D91"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0C073E3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992" w:type="dxa"/>
            <w:vAlign w:val="center"/>
            <w:hideMark/>
          </w:tcPr>
          <w:p w14:paraId="0CEAF5C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vAlign w:val="center"/>
            <w:hideMark/>
          </w:tcPr>
          <w:p w14:paraId="2CE3FB22"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vAlign w:val="center"/>
            <w:hideMark/>
          </w:tcPr>
          <w:p w14:paraId="41261C6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Teoría de grafos</w:t>
            </w:r>
          </w:p>
        </w:tc>
        <w:tc>
          <w:tcPr>
            <w:tcW w:w="567" w:type="dxa"/>
            <w:vAlign w:val="center"/>
          </w:tcPr>
          <w:p w14:paraId="6E1C2EBF"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25</w:t>
            </w:r>
          </w:p>
        </w:tc>
      </w:tr>
      <w:tr w:rsidR="000D468E" w:rsidRPr="004068F6" w14:paraId="0E1600C7"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3A291CA8"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shd w:val="clear" w:color="auto" w:fill="auto"/>
            <w:vAlign w:val="center"/>
          </w:tcPr>
          <w:p w14:paraId="563D26F5"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REGIME</w:t>
            </w:r>
          </w:p>
        </w:tc>
        <w:tc>
          <w:tcPr>
            <w:tcW w:w="3686" w:type="dxa"/>
            <w:shd w:val="clear" w:color="auto" w:fill="auto"/>
            <w:vAlign w:val="center"/>
            <w:hideMark/>
          </w:tcPr>
          <w:p w14:paraId="030C5B40"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 xml:space="preserve">Una matriz de comparación por pares se construye usando +1 si hay dominancia, 0 si las dos alternativas son equivalentes y -1 para la dominancia negativa. La agregación de estas </w:t>
            </w:r>
            <w:r w:rsidRPr="00CD4321">
              <w:rPr>
                <w:rFonts w:cs="Arial"/>
                <w:color w:val="000000"/>
                <w:sz w:val="16"/>
                <w:szCs w:val="16"/>
                <w:lang w:eastAsia="es-MX"/>
              </w:rPr>
              <w:lastRenderedPageBreak/>
              <w:t>puntuaciones ponderadas proporciona un preorden total de las alternativas</w:t>
            </w:r>
          </w:p>
        </w:tc>
        <w:tc>
          <w:tcPr>
            <w:tcW w:w="992" w:type="dxa"/>
            <w:shd w:val="clear" w:color="auto" w:fill="auto"/>
            <w:vAlign w:val="center"/>
            <w:hideMark/>
          </w:tcPr>
          <w:p w14:paraId="0C155C5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lastRenderedPageBreak/>
              <w:t>Comparación por pares</w:t>
            </w:r>
          </w:p>
        </w:tc>
        <w:tc>
          <w:tcPr>
            <w:tcW w:w="1134" w:type="dxa"/>
            <w:shd w:val="clear" w:color="auto" w:fill="auto"/>
            <w:vAlign w:val="center"/>
            <w:hideMark/>
          </w:tcPr>
          <w:p w14:paraId="2A84A1B8"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 R}</w:t>
            </w:r>
          </w:p>
        </w:tc>
        <w:tc>
          <w:tcPr>
            <w:tcW w:w="992" w:type="dxa"/>
            <w:shd w:val="clear" w:color="auto" w:fill="auto"/>
            <w:vAlign w:val="center"/>
            <w:hideMark/>
          </w:tcPr>
          <w:p w14:paraId="3D3CE31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shd w:val="clear" w:color="auto" w:fill="auto"/>
            <w:vAlign w:val="center"/>
            <w:hideMark/>
          </w:tcPr>
          <w:p w14:paraId="63E05FA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31C262A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3" w:type="dxa"/>
            <w:shd w:val="clear" w:color="auto" w:fill="auto"/>
            <w:vAlign w:val="center"/>
            <w:hideMark/>
          </w:tcPr>
          <w:p w14:paraId="0950A553"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CO" w:eastAsia="es-MX"/>
              </w:rPr>
            </w:pPr>
          </w:p>
        </w:tc>
        <w:tc>
          <w:tcPr>
            <w:tcW w:w="454" w:type="dxa"/>
            <w:shd w:val="clear" w:color="auto" w:fill="auto"/>
            <w:vAlign w:val="center"/>
            <w:hideMark/>
          </w:tcPr>
          <w:p w14:paraId="75E31B2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24954AE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0E6798D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375F8C4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w:t>
            </w:r>
          </w:p>
        </w:tc>
        <w:tc>
          <w:tcPr>
            <w:tcW w:w="1134" w:type="dxa"/>
            <w:shd w:val="clear" w:color="auto" w:fill="auto"/>
            <w:vAlign w:val="center"/>
            <w:hideMark/>
          </w:tcPr>
          <w:p w14:paraId="67948821"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Teoría de grafos</w:t>
            </w:r>
          </w:p>
        </w:tc>
        <w:tc>
          <w:tcPr>
            <w:tcW w:w="567" w:type="dxa"/>
            <w:shd w:val="clear" w:color="auto" w:fill="auto"/>
            <w:vAlign w:val="center"/>
          </w:tcPr>
          <w:p w14:paraId="4837571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12</w:t>
            </w:r>
          </w:p>
        </w:tc>
      </w:tr>
      <w:tr w:rsidR="007D4645" w:rsidRPr="004068F6" w14:paraId="0D7257CB"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7D2894D3"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Outranking</w:t>
            </w:r>
          </w:p>
        </w:tc>
        <w:tc>
          <w:tcPr>
            <w:tcW w:w="1276" w:type="dxa"/>
            <w:vAlign w:val="center"/>
          </w:tcPr>
          <w:p w14:paraId="18E26E3F" w14:textId="77777777" w:rsidR="007D4645" w:rsidRPr="006C00FC"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sidRPr="006C00FC">
              <w:rPr>
                <w:rFonts w:cs="Arial"/>
                <w:color w:val="000000"/>
                <w:sz w:val="16"/>
                <w:szCs w:val="16"/>
                <w:lang w:val="en-US" w:eastAsia="es-MX"/>
              </w:rPr>
              <w:t>NAIADE (novel approach to imprecise assessment and decision environments)</w:t>
            </w:r>
          </w:p>
        </w:tc>
        <w:tc>
          <w:tcPr>
            <w:tcW w:w="3686" w:type="dxa"/>
            <w:vAlign w:val="center"/>
            <w:hideMark/>
          </w:tcPr>
          <w:p w14:paraId="41AC29A6"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Este procedimiento utiliza operadores semánticos de distancia para evaluar las comparaciones por pares entre alternativas. Las evaluaciones difusas se transforman en distribuciones de probabilidades y como PROMETHEE, este procedimiento calcula los flujos de entrada y salida</w:t>
            </w:r>
          </w:p>
        </w:tc>
        <w:tc>
          <w:tcPr>
            <w:tcW w:w="992" w:type="dxa"/>
            <w:vAlign w:val="center"/>
            <w:hideMark/>
          </w:tcPr>
          <w:p w14:paraId="04C6991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vAlign w:val="center"/>
            <w:hideMark/>
          </w:tcPr>
          <w:p w14:paraId="51EB4A96"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 R}</w:t>
            </w:r>
          </w:p>
        </w:tc>
        <w:tc>
          <w:tcPr>
            <w:tcW w:w="992" w:type="dxa"/>
            <w:vAlign w:val="center"/>
            <w:hideMark/>
          </w:tcPr>
          <w:p w14:paraId="4A9950C8"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vAlign w:val="center"/>
            <w:hideMark/>
          </w:tcPr>
          <w:p w14:paraId="76BCDEE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46BFFA0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vAlign w:val="center"/>
            <w:hideMark/>
          </w:tcPr>
          <w:p w14:paraId="4DE74AF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3D34961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256EC37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992" w:type="dxa"/>
            <w:vAlign w:val="center"/>
            <w:hideMark/>
          </w:tcPr>
          <w:p w14:paraId="254CFD7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vAlign w:val="center"/>
            <w:hideMark/>
          </w:tcPr>
          <w:p w14:paraId="15A4FDFA"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w:t>
            </w:r>
          </w:p>
        </w:tc>
        <w:tc>
          <w:tcPr>
            <w:tcW w:w="1134" w:type="dxa"/>
            <w:vAlign w:val="center"/>
            <w:hideMark/>
          </w:tcPr>
          <w:p w14:paraId="75B00C53"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Aritmética difusa y flujos de entrada y salida</w:t>
            </w:r>
          </w:p>
        </w:tc>
        <w:tc>
          <w:tcPr>
            <w:tcW w:w="567" w:type="dxa"/>
            <w:vAlign w:val="center"/>
          </w:tcPr>
          <w:p w14:paraId="7DD5C84E"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22</w:t>
            </w:r>
          </w:p>
        </w:tc>
      </w:tr>
      <w:tr w:rsidR="000D468E" w:rsidRPr="004068F6" w14:paraId="31AF72FA"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769EB92B"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Mixto</w:t>
            </w:r>
          </w:p>
        </w:tc>
        <w:tc>
          <w:tcPr>
            <w:tcW w:w="1276" w:type="dxa"/>
            <w:shd w:val="clear" w:color="auto" w:fill="auto"/>
            <w:vAlign w:val="center"/>
          </w:tcPr>
          <w:p w14:paraId="4232B031"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QUALIFLEX</w:t>
            </w:r>
          </w:p>
        </w:tc>
        <w:tc>
          <w:tcPr>
            <w:tcW w:w="3686" w:type="dxa"/>
            <w:shd w:val="clear" w:color="auto" w:fill="auto"/>
            <w:vAlign w:val="center"/>
            <w:hideMark/>
          </w:tcPr>
          <w:p w14:paraId="2D9E0E29"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Este procedimiento utiliza mutaciones sucesivas para proporcionar una clasificación de la alternativa corroborando con la información ordinal.</w:t>
            </w:r>
          </w:p>
        </w:tc>
        <w:tc>
          <w:tcPr>
            <w:tcW w:w="992" w:type="dxa"/>
            <w:shd w:val="clear" w:color="auto" w:fill="auto"/>
            <w:vAlign w:val="center"/>
            <w:hideMark/>
          </w:tcPr>
          <w:p w14:paraId="239203E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shd w:val="clear" w:color="auto" w:fill="auto"/>
            <w:vAlign w:val="center"/>
            <w:hideMark/>
          </w:tcPr>
          <w:p w14:paraId="33AB7F11"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 R}</w:t>
            </w:r>
          </w:p>
        </w:tc>
        <w:tc>
          <w:tcPr>
            <w:tcW w:w="992" w:type="dxa"/>
            <w:shd w:val="clear" w:color="auto" w:fill="auto"/>
            <w:vAlign w:val="center"/>
            <w:hideMark/>
          </w:tcPr>
          <w:p w14:paraId="55368F1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shd w:val="clear" w:color="auto" w:fill="auto"/>
            <w:vAlign w:val="center"/>
            <w:hideMark/>
          </w:tcPr>
          <w:p w14:paraId="291C05A7"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3311962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3" w:type="dxa"/>
            <w:shd w:val="clear" w:color="auto" w:fill="auto"/>
            <w:vAlign w:val="center"/>
            <w:hideMark/>
          </w:tcPr>
          <w:p w14:paraId="44BA691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CO" w:eastAsia="es-MX"/>
              </w:rPr>
            </w:pPr>
          </w:p>
        </w:tc>
        <w:tc>
          <w:tcPr>
            <w:tcW w:w="454" w:type="dxa"/>
            <w:shd w:val="clear" w:color="auto" w:fill="auto"/>
            <w:vAlign w:val="center"/>
            <w:hideMark/>
          </w:tcPr>
          <w:p w14:paraId="3E5EEBD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5A8AE921"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992" w:type="dxa"/>
            <w:shd w:val="clear" w:color="auto" w:fill="auto"/>
            <w:vAlign w:val="center"/>
            <w:hideMark/>
          </w:tcPr>
          <w:p w14:paraId="1E1E7626"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11A75D8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w:t>
            </w:r>
          </w:p>
        </w:tc>
        <w:tc>
          <w:tcPr>
            <w:tcW w:w="1134" w:type="dxa"/>
            <w:shd w:val="clear" w:color="auto" w:fill="auto"/>
            <w:vAlign w:val="center"/>
            <w:hideMark/>
          </w:tcPr>
          <w:p w14:paraId="5CBB059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Análisis de concordancia</w:t>
            </w:r>
          </w:p>
        </w:tc>
        <w:tc>
          <w:tcPr>
            <w:tcW w:w="567" w:type="dxa"/>
            <w:shd w:val="clear" w:color="auto" w:fill="auto"/>
            <w:vAlign w:val="center"/>
          </w:tcPr>
          <w:p w14:paraId="0DD14E24"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24</w:t>
            </w:r>
          </w:p>
        </w:tc>
      </w:tr>
      <w:tr w:rsidR="007D4645" w:rsidRPr="004068F6" w14:paraId="05EEF04E" w14:textId="77777777" w:rsidTr="00397D08">
        <w:trPr>
          <w:trHeight w:val="600"/>
          <w:jc w:val="center"/>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32DAA7A1"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Mixto</w:t>
            </w:r>
          </w:p>
        </w:tc>
        <w:tc>
          <w:tcPr>
            <w:tcW w:w="1276" w:type="dxa"/>
            <w:vAlign w:val="center"/>
          </w:tcPr>
          <w:p w14:paraId="095D97EB"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Conjuntivo/Disyuntivo difuso</w:t>
            </w:r>
          </w:p>
        </w:tc>
        <w:tc>
          <w:tcPr>
            <w:tcW w:w="3686" w:type="dxa"/>
            <w:vAlign w:val="center"/>
            <w:hideMark/>
          </w:tcPr>
          <w:p w14:paraId="6699D056" w14:textId="77777777" w:rsidR="007D4645" w:rsidRPr="004068F6" w:rsidRDefault="007D464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Cuando los datos son confusos, la coincidencia entre los valores y los niveles estándar proporcionados por el DM y las evaluaciones se vuelve vaga y una cuestión de grado. El grado de coincidencia se calcula utilizando la medida de posibilidad y la medida de necesidad. Las alternativas con mayor grado de coincidencia se consideran las mejores</w:t>
            </w:r>
          </w:p>
        </w:tc>
        <w:tc>
          <w:tcPr>
            <w:tcW w:w="992" w:type="dxa"/>
            <w:vAlign w:val="center"/>
            <w:hideMark/>
          </w:tcPr>
          <w:p w14:paraId="35DA5566"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Sencillo</w:t>
            </w:r>
          </w:p>
        </w:tc>
        <w:tc>
          <w:tcPr>
            <w:tcW w:w="1134" w:type="dxa"/>
            <w:vAlign w:val="center"/>
            <w:hideMark/>
          </w:tcPr>
          <w:p w14:paraId="140B01F3"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{P, Q, I}</w:t>
            </w:r>
          </w:p>
        </w:tc>
        <w:tc>
          <w:tcPr>
            <w:tcW w:w="992" w:type="dxa"/>
            <w:vAlign w:val="center"/>
            <w:hideMark/>
          </w:tcPr>
          <w:p w14:paraId="05567D3B"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Elección, Clasificación</w:t>
            </w:r>
          </w:p>
        </w:tc>
        <w:tc>
          <w:tcPr>
            <w:tcW w:w="453" w:type="dxa"/>
            <w:vAlign w:val="center"/>
            <w:hideMark/>
          </w:tcPr>
          <w:p w14:paraId="620EEB84"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716E11CC"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CO" w:eastAsia="es-MX"/>
              </w:rPr>
            </w:pPr>
          </w:p>
        </w:tc>
        <w:tc>
          <w:tcPr>
            <w:tcW w:w="453" w:type="dxa"/>
            <w:vAlign w:val="center"/>
            <w:hideMark/>
          </w:tcPr>
          <w:p w14:paraId="26ADC010"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vAlign w:val="center"/>
            <w:hideMark/>
          </w:tcPr>
          <w:p w14:paraId="72ADF083"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p>
        </w:tc>
        <w:tc>
          <w:tcPr>
            <w:tcW w:w="454" w:type="dxa"/>
            <w:vAlign w:val="center"/>
            <w:hideMark/>
          </w:tcPr>
          <w:p w14:paraId="15F0D577"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992" w:type="dxa"/>
            <w:vAlign w:val="center"/>
            <w:hideMark/>
          </w:tcPr>
          <w:p w14:paraId="533A041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Ninguna</w:t>
            </w:r>
          </w:p>
        </w:tc>
        <w:tc>
          <w:tcPr>
            <w:tcW w:w="993" w:type="dxa"/>
            <w:vAlign w:val="center"/>
            <w:hideMark/>
          </w:tcPr>
          <w:p w14:paraId="73BB68E6"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tran., dom.</w:t>
            </w:r>
          </w:p>
        </w:tc>
        <w:tc>
          <w:tcPr>
            <w:tcW w:w="1134" w:type="dxa"/>
            <w:vAlign w:val="center"/>
            <w:hideMark/>
          </w:tcPr>
          <w:p w14:paraId="77B4467F"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Medidas de posibilidad y necesidad</w:t>
            </w:r>
          </w:p>
        </w:tc>
        <w:tc>
          <w:tcPr>
            <w:tcW w:w="567" w:type="dxa"/>
            <w:vAlign w:val="center"/>
          </w:tcPr>
          <w:p w14:paraId="5A017B95" w14:textId="77777777" w:rsidR="007D4645" w:rsidRPr="004068F6" w:rsidRDefault="007D464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9</w:t>
            </w:r>
          </w:p>
        </w:tc>
      </w:tr>
      <w:tr w:rsidR="000D468E" w:rsidRPr="004068F6" w14:paraId="6407624B" w14:textId="77777777" w:rsidTr="00397D0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hideMark/>
          </w:tcPr>
          <w:p w14:paraId="3A858666" w14:textId="77777777" w:rsidR="007D4645" w:rsidRPr="004068F6" w:rsidRDefault="007D4645">
            <w:pPr>
              <w:rPr>
                <w:rFonts w:eastAsia="Times New Roman" w:cs="Arial"/>
                <w:b w:val="0"/>
                <w:bCs w:val="0"/>
                <w:color w:val="000000"/>
                <w:sz w:val="16"/>
                <w:szCs w:val="16"/>
                <w:lang w:val="es-CO" w:eastAsia="es-MX"/>
              </w:rPr>
            </w:pPr>
            <w:r w:rsidRPr="00CD4321">
              <w:rPr>
                <w:rFonts w:cs="Arial"/>
                <w:color w:val="000000"/>
                <w:sz w:val="16"/>
                <w:szCs w:val="16"/>
              </w:rPr>
              <w:t>Mixto</w:t>
            </w:r>
          </w:p>
        </w:tc>
        <w:tc>
          <w:tcPr>
            <w:tcW w:w="1276" w:type="dxa"/>
            <w:shd w:val="clear" w:color="auto" w:fill="auto"/>
            <w:vAlign w:val="center"/>
          </w:tcPr>
          <w:p w14:paraId="2F81DB63"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Martel &amp; Zaras</w:t>
            </w:r>
          </w:p>
        </w:tc>
        <w:tc>
          <w:tcPr>
            <w:tcW w:w="3686" w:type="dxa"/>
            <w:shd w:val="clear" w:color="auto" w:fill="auto"/>
            <w:vAlign w:val="center"/>
            <w:hideMark/>
          </w:tcPr>
          <w:p w14:paraId="23CA20C2" w14:textId="77777777" w:rsidR="007D4645" w:rsidRPr="004068F6" w:rsidRDefault="007D464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Este procedimiento utiliza la dominancia estocástica para realizar una comparación por pares. Estas comparaciones se utilizan como preferencias parciales y se construye una relación de superación basada en un índice de concordancia y un índice de discordancia.</w:t>
            </w:r>
          </w:p>
        </w:tc>
        <w:tc>
          <w:tcPr>
            <w:tcW w:w="992" w:type="dxa"/>
            <w:shd w:val="clear" w:color="auto" w:fill="auto"/>
            <w:vAlign w:val="center"/>
            <w:hideMark/>
          </w:tcPr>
          <w:p w14:paraId="1C578A5F"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Comparación por pares</w:t>
            </w:r>
          </w:p>
        </w:tc>
        <w:tc>
          <w:tcPr>
            <w:tcW w:w="1134" w:type="dxa"/>
            <w:shd w:val="clear" w:color="auto" w:fill="auto"/>
            <w:vAlign w:val="center"/>
            <w:hideMark/>
          </w:tcPr>
          <w:p w14:paraId="6564147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{S, R}</w:t>
            </w:r>
          </w:p>
        </w:tc>
        <w:tc>
          <w:tcPr>
            <w:tcW w:w="992" w:type="dxa"/>
            <w:shd w:val="clear" w:color="auto" w:fill="auto"/>
            <w:vAlign w:val="center"/>
            <w:hideMark/>
          </w:tcPr>
          <w:p w14:paraId="4B71C45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rPr>
              <w:t>Calificación</w:t>
            </w:r>
          </w:p>
        </w:tc>
        <w:tc>
          <w:tcPr>
            <w:tcW w:w="453" w:type="dxa"/>
            <w:shd w:val="clear" w:color="auto" w:fill="auto"/>
            <w:vAlign w:val="center"/>
            <w:hideMark/>
          </w:tcPr>
          <w:p w14:paraId="66851BE9"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1B8C943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3" w:type="dxa"/>
            <w:shd w:val="clear" w:color="auto" w:fill="auto"/>
            <w:vAlign w:val="center"/>
            <w:hideMark/>
          </w:tcPr>
          <w:p w14:paraId="7B1F8C6C"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454" w:type="dxa"/>
            <w:shd w:val="clear" w:color="auto" w:fill="auto"/>
            <w:vAlign w:val="center"/>
            <w:hideMark/>
          </w:tcPr>
          <w:p w14:paraId="045B0825"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p>
        </w:tc>
        <w:tc>
          <w:tcPr>
            <w:tcW w:w="454" w:type="dxa"/>
            <w:shd w:val="clear" w:color="auto" w:fill="auto"/>
            <w:vAlign w:val="center"/>
            <w:hideMark/>
          </w:tcPr>
          <w:p w14:paraId="33541F20"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X</w:t>
            </w:r>
          </w:p>
        </w:tc>
        <w:tc>
          <w:tcPr>
            <w:tcW w:w="992" w:type="dxa"/>
            <w:shd w:val="clear" w:color="auto" w:fill="auto"/>
            <w:vAlign w:val="center"/>
            <w:hideMark/>
          </w:tcPr>
          <w:p w14:paraId="3D3AE47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Parcial</w:t>
            </w:r>
          </w:p>
        </w:tc>
        <w:tc>
          <w:tcPr>
            <w:tcW w:w="993" w:type="dxa"/>
            <w:shd w:val="clear" w:color="auto" w:fill="auto"/>
            <w:vAlign w:val="center"/>
            <w:hideMark/>
          </w:tcPr>
          <w:p w14:paraId="175C95C2"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ind., inv., coal.</w:t>
            </w:r>
          </w:p>
        </w:tc>
        <w:tc>
          <w:tcPr>
            <w:tcW w:w="1134" w:type="dxa"/>
            <w:shd w:val="clear" w:color="auto" w:fill="auto"/>
            <w:vAlign w:val="center"/>
            <w:hideMark/>
          </w:tcPr>
          <w:p w14:paraId="55EA011A"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Teoría de grafos</w:t>
            </w:r>
          </w:p>
        </w:tc>
        <w:tc>
          <w:tcPr>
            <w:tcW w:w="567" w:type="dxa"/>
            <w:shd w:val="clear" w:color="auto" w:fill="auto"/>
            <w:vAlign w:val="center"/>
          </w:tcPr>
          <w:p w14:paraId="0D39232E" w14:textId="77777777" w:rsidR="007D4645" w:rsidRPr="004068F6" w:rsidRDefault="007D464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eastAsia="es-MX"/>
              </w:rPr>
            </w:pPr>
            <w:r w:rsidRPr="00CD4321">
              <w:rPr>
                <w:rFonts w:cs="Arial"/>
                <w:color w:val="000000"/>
                <w:sz w:val="16"/>
                <w:szCs w:val="16"/>
                <w:lang w:eastAsia="es-MX"/>
              </w:rPr>
              <w:t>20, 21</w:t>
            </w:r>
          </w:p>
        </w:tc>
      </w:tr>
    </w:tbl>
    <w:p w14:paraId="2C754C00" w14:textId="77777777" w:rsidR="0005570C" w:rsidRPr="004068F6" w:rsidRDefault="0005570C" w:rsidP="0005570C">
      <w:pPr>
        <w:numPr>
          <w:ilvl w:val="12"/>
          <w:numId w:val="0"/>
        </w:numPr>
        <w:tabs>
          <w:tab w:val="left" w:pos="-2268"/>
        </w:tabs>
        <w:suppressAutoHyphens/>
        <w:rPr>
          <w:spacing w:val="-3"/>
          <w:sz w:val="20"/>
          <w:szCs w:val="20"/>
        </w:rPr>
      </w:pPr>
      <w:r w:rsidRPr="004068F6">
        <w:rPr>
          <w:spacing w:val="-3"/>
          <w:sz w:val="20"/>
          <w:szCs w:val="20"/>
        </w:rPr>
        <w:t>* (P): preferencia, (I): indiferencia, (Q): débil preferencia, (R): incomparabilidad, (S): superación (outranking).</w:t>
      </w:r>
    </w:p>
    <w:p w14:paraId="2AF16249" w14:textId="77777777" w:rsidR="0005570C" w:rsidRPr="004068F6" w:rsidRDefault="0005570C" w:rsidP="0005570C">
      <w:pPr>
        <w:numPr>
          <w:ilvl w:val="12"/>
          <w:numId w:val="0"/>
        </w:numPr>
        <w:tabs>
          <w:tab w:val="left" w:pos="-2268"/>
        </w:tabs>
        <w:suppressAutoHyphens/>
        <w:rPr>
          <w:spacing w:val="-3"/>
          <w:sz w:val="20"/>
          <w:szCs w:val="20"/>
        </w:rPr>
      </w:pPr>
      <w:r w:rsidRPr="004068F6">
        <w:rPr>
          <w:spacing w:val="-3"/>
          <w:sz w:val="20"/>
          <w:szCs w:val="20"/>
        </w:rPr>
        <w:t>** ind.: Independencia, com.: conmensurabilidad, inv.: invariancia, tran.: transitividad, dom.: dominancia, coal.: coalición (teoría de la elección social).</w:t>
      </w:r>
    </w:p>
    <w:p w14:paraId="2CB01B07" w14:textId="07D164A0" w:rsidR="0005570C" w:rsidRPr="004068F6" w:rsidRDefault="0005570C">
      <w:pPr>
        <w:numPr>
          <w:ilvl w:val="12"/>
          <w:numId w:val="0"/>
        </w:numPr>
        <w:tabs>
          <w:tab w:val="left" w:pos="-2268"/>
        </w:tabs>
        <w:suppressAutoHyphens/>
        <w:rPr>
          <w:spacing w:val="-3"/>
        </w:rPr>
      </w:pPr>
      <w:r w:rsidRPr="004068F6">
        <w:rPr>
          <w:spacing w:val="-3"/>
          <w:sz w:val="20"/>
          <w:szCs w:val="20"/>
        </w:rPr>
        <w:t>Fuente: adaptada de Guitouni &amp; Martel (1998).</w:t>
      </w:r>
    </w:p>
    <w:p w14:paraId="0D3E2AED" w14:textId="2BD1B549" w:rsidR="00F44F70" w:rsidRPr="00127BD4" w:rsidRDefault="0033795D">
      <w:pPr>
        <w:numPr>
          <w:ilvl w:val="12"/>
          <w:numId w:val="0"/>
        </w:numPr>
        <w:tabs>
          <w:tab w:val="left" w:pos="-2268"/>
        </w:tabs>
        <w:suppressAutoHyphens/>
        <w:rPr>
          <w:spacing w:val="-3"/>
          <w:sz w:val="20"/>
          <w:szCs w:val="20"/>
        </w:rPr>
      </w:pPr>
      <w:r w:rsidRPr="00127BD4">
        <w:rPr>
          <w:spacing w:val="-3"/>
          <w:sz w:val="20"/>
          <w:szCs w:val="20"/>
        </w:rPr>
        <w:t xml:space="preserve">Este </w:t>
      </w:r>
      <w:r w:rsidRPr="004068F6">
        <w:rPr>
          <w:spacing w:val="-3"/>
          <w:sz w:val="20"/>
          <w:szCs w:val="20"/>
        </w:rPr>
        <w:t xml:space="preserve">listado de métodos de EMC </w:t>
      </w:r>
      <w:r w:rsidRPr="00127BD4">
        <w:rPr>
          <w:spacing w:val="-3"/>
          <w:sz w:val="20"/>
          <w:szCs w:val="20"/>
        </w:rPr>
        <w:t>no es exh</w:t>
      </w:r>
      <w:r w:rsidRPr="004068F6">
        <w:rPr>
          <w:spacing w:val="-3"/>
          <w:sz w:val="20"/>
          <w:szCs w:val="20"/>
        </w:rPr>
        <w:t>a</w:t>
      </w:r>
      <w:r w:rsidRPr="00127BD4">
        <w:rPr>
          <w:spacing w:val="-3"/>
          <w:sz w:val="20"/>
          <w:szCs w:val="20"/>
        </w:rPr>
        <w:t>ustiv</w:t>
      </w:r>
      <w:r w:rsidRPr="004068F6">
        <w:rPr>
          <w:spacing w:val="-3"/>
          <w:sz w:val="20"/>
          <w:szCs w:val="20"/>
        </w:rPr>
        <w:t>o</w:t>
      </w:r>
      <w:r w:rsidR="0071665B" w:rsidRPr="004068F6">
        <w:rPr>
          <w:spacing w:val="-3"/>
          <w:sz w:val="20"/>
          <w:szCs w:val="20"/>
        </w:rPr>
        <w:t>.</w:t>
      </w:r>
      <w:r w:rsidR="00BD763E" w:rsidRPr="004068F6">
        <w:rPr>
          <w:spacing w:val="-3"/>
          <w:sz w:val="20"/>
          <w:szCs w:val="20"/>
        </w:rPr>
        <w:t xml:space="preserve"> </w:t>
      </w:r>
      <w:r w:rsidR="0071665B" w:rsidRPr="004068F6">
        <w:rPr>
          <w:spacing w:val="-3"/>
          <w:sz w:val="20"/>
          <w:szCs w:val="20"/>
        </w:rPr>
        <w:t>D</w:t>
      </w:r>
      <w:r w:rsidR="002C4F7B" w:rsidRPr="004068F6">
        <w:rPr>
          <w:spacing w:val="-3"/>
          <w:sz w:val="20"/>
          <w:szCs w:val="20"/>
        </w:rPr>
        <w:t>ebe tomarse como referencia dado que existen otro</w:t>
      </w:r>
      <w:r w:rsidR="00F66C6C" w:rsidRPr="004068F6">
        <w:rPr>
          <w:spacing w:val="-3"/>
          <w:sz w:val="20"/>
          <w:szCs w:val="20"/>
        </w:rPr>
        <w:t>s</w:t>
      </w:r>
      <w:r w:rsidR="002C4F7B" w:rsidRPr="004068F6">
        <w:rPr>
          <w:spacing w:val="-3"/>
          <w:sz w:val="20"/>
          <w:szCs w:val="20"/>
        </w:rPr>
        <w:t xml:space="preserve"> </w:t>
      </w:r>
      <w:r w:rsidR="00F36FD3" w:rsidRPr="004068F6">
        <w:rPr>
          <w:spacing w:val="-3"/>
          <w:sz w:val="20"/>
          <w:szCs w:val="20"/>
        </w:rPr>
        <w:t xml:space="preserve">métodos </w:t>
      </w:r>
      <w:r w:rsidR="002C4F7B" w:rsidRPr="004068F6">
        <w:rPr>
          <w:spacing w:val="-3"/>
          <w:sz w:val="20"/>
          <w:szCs w:val="20"/>
        </w:rPr>
        <w:t xml:space="preserve">y </w:t>
      </w:r>
      <w:r w:rsidR="00F36FD3" w:rsidRPr="004068F6">
        <w:rPr>
          <w:spacing w:val="-3"/>
          <w:sz w:val="20"/>
          <w:szCs w:val="20"/>
        </w:rPr>
        <w:t xml:space="preserve">que </w:t>
      </w:r>
      <w:r w:rsidR="002C4F7B" w:rsidRPr="004068F6">
        <w:rPr>
          <w:spacing w:val="-3"/>
          <w:sz w:val="20"/>
          <w:szCs w:val="20"/>
        </w:rPr>
        <w:t>es posible desarrollar nuevos combinando o tomando elementos de varios de ellos.</w:t>
      </w:r>
    </w:p>
    <w:p w14:paraId="6F040D33" w14:textId="77777777" w:rsidR="00B8527E" w:rsidRPr="00127BD4" w:rsidRDefault="00B8527E">
      <w:pPr>
        <w:numPr>
          <w:ilvl w:val="12"/>
          <w:numId w:val="0"/>
        </w:numPr>
        <w:tabs>
          <w:tab w:val="left" w:pos="-2268"/>
        </w:tabs>
        <w:suppressAutoHyphens/>
        <w:rPr>
          <w:spacing w:val="-3"/>
          <w:sz w:val="20"/>
          <w:szCs w:val="20"/>
        </w:rPr>
        <w:sectPr w:rsidR="00B8527E" w:rsidRPr="00127BD4" w:rsidSect="00544833">
          <w:headerReference w:type="even" r:id="rId35"/>
          <w:headerReference w:type="default" r:id="rId36"/>
          <w:footerReference w:type="default" r:id="rId37"/>
          <w:headerReference w:type="first" r:id="rId38"/>
          <w:endnotePr>
            <w:numFmt w:val="decimal"/>
          </w:endnotePr>
          <w:pgSz w:w="15842" w:h="12242" w:orient="landscape" w:code="1"/>
          <w:pgMar w:top="1701" w:right="1134" w:bottom="1134" w:left="1134" w:header="1134" w:footer="851" w:gutter="0"/>
          <w:cols w:space="720"/>
          <w:docGrid w:linePitch="326"/>
        </w:sectPr>
      </w:pPr>
    </w:p>
    <w:p w14:paraId="22BBB168" w14:textId="6C101CA5" w:rsidR="001A4326" w:rsidRPr="004068F6" w:rsidRDefault="001A4326" w:rsidP="001A4326">
      <w:pPr>
        <w:pStyle w:val="Ttulo2"/>
        <w:rPr>
          <w:lang w:val="es-CO"/>
        </w:rPr>
      </w:pPr>
      <w:bookmarkStart w:id="2392" w:name="_Toc230879614"/>
      <w:r w:rsidRPr="004068F6">
        <w:rPr>
          <w:lang w:val="es-CO"/>
        </w:rPr>
        <w:lastRenderedPageBreak/>
        <w:t xml:space="preserve">LINEAMIENTOS PARA LA IMPLEMENTACIÓN DE LAS EVALUACIONES MULTICRITERIO EN EL MARCO DE LOS </w:t>
      </w:r>
      <w:r w:rsidR="009B7EB2" w:rsidRPr="004068F6">
        <w:rPr>
          <w:lang w:val="es-CO"/>
        </w:rPr>
        <w:t>DAA</w:t>
      </w:r>
      <w:bookmarkEnd w:id="2392"/>
    </w:p>
    <w:p w14:paraId="1591A758" w14:textId="77777777" w:rsidR="001A4326" w:rsidRPr="004068F6" w:rsidRDefault="001A4326" w:rsidP="001A4326">
      <w:pPr>
        <w:numPr>
          <w:ilvl w:val="12"/>
          <w:numId w:val="0"/>
        </w:numPr>
        <w:tabs>
          <w:tab w:val="left" w:pos="-2268"/>
        </w:tabs>
        <w:suppressAutoHyphens/>
        <w:rPr>
          <w:spacing w:val="-3"/>
        </w:rPr>
      </w:pPr>
    </w:p>
    <w:p w14:paraId="0FCD962A" w14:textId="493A36D2" w:rsidR="001A4326" w:rsidRPr="004068F6" w:rsidRDefault="001A4326" w:rsidP="001A4326">
      <w:pPr>
        <w:numPr>
          <w:ilvl w:val="12"/>
          <w:numId w:val="0"/>
        </w:numPr>
        <w:tabs>
          <w:tab w:val="left" w:pos="-2268"/>
        </w:tabs>
        <w:suppressAutoHyphens/>
        <w:rPr>
          <w:spacing w:val="-3"/>
        </w:rPr>
      </w:pPr>
      <w:r w:rsidRPr="004068F6">
        <w:rPr>
          <w:spacing w:val="-3"/>
        </w:rPr>
        <w:t xml:space="preserve">Aunque los lineamientos que se desarrollan en los numerales que siguen a continuación tienen énfasis en el método aditivo lineal, particularmente </w:t>
      </w:r>
      <w:r w:rsidR="002175C7" w:rsidRPr="004068F6">
        <w:rPr>
          <w:spacing w:val="-3"/>
        </w:rPr>
        <w:t xml:space="preserve">en </w:t>
      </w:r>
      <w:r w:rsidRPr="004068F6">
        <w:rPr>
          <w:spacing w:val="-3"/>
        </w:rPr>
        <w:t>el de los valores ponderados (suma ponderada), son aplicables a la mayor parte de los métodos de Evaluación Multicriterio. Es importante recordar que la EMC es un proceso iterativo que</w:t>
      </w:r>
      <w:r w:rsidR="00D75D09" w:rsidRPr="004068F6">
        <w:rPr>
          <w:spacing w:val="-3"/>
        </w:rPr>
        <w:t>,</w:t>
      </w:r>
      <w:r w:rsidRPr="004068F6">
        <w:rPr>
          <w:spacing w:val="-3"/>
        </w:rPr>
        <w:t xml:space="preserve"> en el marco del licenciamiento ambiental</w:t>
      </w:r>
      <w:r w:rsidR="00366151" w:rsidRPr="004068F6">
        <w:rPr>
          <w:spacing w:val="-3"/>
        </w:rPr>
        <w:t>, además de permitir seleccionar alternativas,</w:t>
      </w:r>
      <w:r w:rsidRPr="004068F6">
        <w:rPr>
          <w:spacing w:val="-3"/>
        </w:rPr>
        <w:t xml:space="preserve"> puede brindar información para mejorar la estructuración de las alternativas y los proyectos, y que su ejecución constituye una buena práctica para reducir los impactos ambientales significativos (ver </w:t>
      </w:r>
      <w:r w:rsidRPr="004068F6">
        <w:rPr>
          <w:spacing w:val="-3"/>
        </w:rPr>
        <w:fldChar w:fldCharType="begin"/>
      </w:r>
      <w:r w:rsidRPr="004068F6">
        <w:rPr>
          <w:spacing w:val="-3"/>
        </w:rPr>
        <w:instrText xml:space="preserve"> REF _Ref138682570 \h </w:instrText>
      </w:r>
      <w:r w:rsidR="00716177" w:rsidRPr="004068F6">
        <w:rPr>
          <w:spacing w:val="-3"/>
        </w:rPr>
        <w:instrText xml:space="preserve"> \* MERGEFORMAT </w:instrText>
      </w:r>
      <w:r w:rsidRPr="004068F6">
        <w:rPr>
          <w:spacing w:val="-3"/>
        </w:rPr>
      </w:r>
      <w:r w:rsidRPr="004068F6">
        <w:rPr>
          <w:spacing w:val="-3"/>
        </w:rPr>
        <w:fldChar w:fldCharType="separate"/>
      </w:r>
      <w:r w:rsidR="009C4A81" w:rsidRPr="009C4A81">
        <w:rPr>
          <w:spacing w:val="-3"/>
        </w:rPr>
        <w:t>Figura 4</w:t>
      </w:r>
      <w:r w:rsidRPr="004068F6">
        <w:rPr>
          <w:spacing w:val="-3"/>
        </w:rPr>
        <w:fldChar w:fldCharType="end"/>
      </w:r>
      <w:r w:rsidRPr="004068F6">
        <w:rPr>
          <w:spacing w:val="-3"/>
        </w:rPr>
        <w:t>).</w:t>
      </w:r>
    </w:p>
    <w:p w14:paraId="5FC6291E" w14:textId="697CDACC" w:rsidR="001A4326" w:rsidRPr="004068F6" w:rsidRDefault="00103241" w:rsidP="001A4326">
      <w:pPr>
        <w:numPr>
          <w:ilvl w:val="12"/>
          <w:numId w:val="0"/>
        </w:numPr>
        <w:tabs>
          <w:tab w:val="left" w:pos="-2268"/>
        </w:tabs>
        <w:suppressAutoHyphens/>
        <w:rPr>
          <w:spacing w:val="-3"/>
        </w:rPr>
      </w:pPr>
      <w:r w:rsidRPr="00AA2094">
        <w:rPr>
          <w:noProof/>
          <w:spacing w:val="-3"/>
          <w:lang w:eastAsia="es-CO"/>
        </w:rPr>
        <w:drawing>
          <wp:anchor distT="0" distB="0" distL="114300" distR="114300" simplePos="0" relativeHeight="251658240" behindDoc="0" locked="0" layoutInCell="1" allowOverlap="1" wp14:anchorId="700242F7" wp14:editId="6476677D">
            <wp:simplePos x="0" y="0"/>
            <wp:positionH relativeFrom="margin">
              <wp:align>center</wp:align>
            </wp:positionH>
            <wp:positionV relativeFrom="paragraph">
              <wp:posOffset>356870</wp:posOffset>
            </wp:positionV>
            <wp:extent cx="5486400" cy="3200400"/>
            <wp:effectExtent l="0" t="0" r="0" b="0"/>
            <wp:wrapTopAndBottom/>
            <wp:docPr id="663515303" name="Diagrama 663515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14:paraId="502458B6" w14:textId="50AE73FB" w:rsidR="001A4326" w:rsidRPr="004068F6" w:rsidRDefault="00103241" w:rsidP="00103241">
      <w:pPr>
        <w:numPr>
          <w:ilvl w:val="12"/>
          <w:numId w:val="0"/>
        </w:numPr>
        <w:tabs>
          <w:tab w:val="left" w:pos="-2268"/>
        </w:tabs>
        <w:suppressAutoHyphens/>
        <w:jc w:val="center"/>
        <w:rPr>
          <w:spacing w:val="-3"/>
        </w:rPr>
      </w:pPr>
      <w:bookmarkStart w:id="2393" w:name="_Ref138682570"/>
      <w:r w:rsidRPr="00AA2094">
        <w:rPr>
          <w:noProof/>
          <w:spacing w:val="-3"/>
          <w:lang w:eastAsia="es-CO"/>
        </w:rPr>
        <mc:AlternateContent>
          <mc:Choice Requires="wps">
            <w:drawing>
              <wp:anchor distT="0" distB="0" distL="114300" distR="114300" simplePos="0" relativeHeight="251658245" behindDoc="0" locked="0" layoutInCell="1" allowOverlap="1" wp14:anchorId="42F7299A" wp14:editId="1A7B071D">
                <wp:simplePos x="0" y="0"/>
                <wp:positionH relativeFrom="margin">
                  <wp:posOffset>2165985</wp:posOffset>
                </wp:positionH>
                <wp:positionV relativeFrom="paragraph">
                  <wp:posOffset>1278255</wp:posOffset>
                </wp:positionV>
                <wp:extent cx="1722120" cy="647700"/>
                <wp:effectExtent l="0" t="0" r="0" b="0"/>
                <wp:wrapNone/>
                <wp:docPr id="23" name="Rectángulo 23"/>
                <wp:cNvGraphicFramePr/>
                <a:graphic xmlns:a="http://schemas.openxmlformats.org/drawingml/2006/main">
                  <a:graphicData uri="http://schemas.microsoft.com/office/word/2010/wordprocessingShape">
                    <wps:wsp>
                      <wps:cNvSpPr/>
                      <wps:spPr>
                        <a:xfrm>
                          <a:off x="0" y="0"/>
                          <a:ext cx="1722120" cy="6477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61CC40C6" w14:textId="77777777" w:rsidR="001A4326" w:rsidRPr="004E4C01" w:rsidRDefault="001A4326" w:rsidP="001A4326">
                            <w:pPr>
                              <w:jc w:val="center"/>
                              <w:rPr>
                                <w:b/>
                                <w:bCs/>
                                <w:color w:val="365F91" w:themeColor="accent1" w:themeShade="BF"/>
                                <w:sz w:val="18"/>
                                <w:szCs w:val="18"/>
                              </w:rPr>
                            </w:pPr>
                            <w:r w:rsidRPr="004E4C01">
                              <w:rPr>
                                <w:b/>
                                <w:bCs/>
                                <w:color w:val="365F91" w:themeColor="accent1" w:themeShade="BF"/>
                                <w:sz w:val="18"/>
                                <w:szCs w:val="18"/>
                              </w:rPr>
                              <w:t>Proceso iterativo.</w:t>
                            </w:r>
                          </w:p>
                          <w:p w14:paraId="73DDE589" w14:textId="1F889C96" w:rsidR="001A4326" w:rsidRPr="004E4C01" w:rsidRDefault="001A4326" w:rsidP="001A4326">
                            <w:pPr>
                              <w:jc w:val="center"/>
                              <w:rPr>
                                <w:b/>
                                <w:bCs/>
                                <w:color w:val="365F91" w:themeColor="accent1" w:themeShade="BF"/>
                                <w:sz w:val="18"/>
                                <w:szCs w:val="18"/>
                              </w:rPr>
                            </w:pPr>
                            <w:r w:rsidRPr="004E4C01">
                              <w:rPr>
                                <w:b/>
                                <w:bCs/>
                                <w:color w:val="365F91" w:themeColor="accent1" w:themeShade="BF"/>
                                <w:sz w:val="18"/>
                                <w:szCs w:val="18"/>
                              </w:rPr>
                              <w:t>No decide por sí mismo</w:t>
                            </w:r>
                            <w:r w:rsidR="00103241" w:rsidRPr="004E4C01">
                              <w:rPr>
                                <w:b/>
                                <w:bCs/>
                                <w:color w:val="365F91" w:themeColor="accent1" w:themeShade="BF"/>
                                <w:sz w:val="18"/>
                                <w:szCs w:val="18"/>
                              </w:rPr>
                              <w:t>;</w:t>
                            </w:r>
                            <w:r w:rsidRPr="004E4C01">
                              <w:rPr>
                                <w:b/>
                                <w:bCs/>
                                <w:color w:val="365F91" w:themeColor="accent1" w:themeShade="BF"/>
                                <w:sz w:val="18"/>
                                <w:szCs w:val="18"/>
                              </w:rPr>
                              <w:t xml:space="preserve"> ayuda a decidir con transparencia y elementos de juicio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7299A" id="Rectángulo 23" o:spid="_x0000_s1111" style="position:absolute;left:0;text-align:left;margin-left:170.55pt;margin-top:100.65pt;width:135.6pt;height:5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" fillcolor="white [3201]" stroked="f" strokeweight="2pt">
                <v:textbox inset="0,0,0,0">
                  <w:txbxContent>
                    <w:p w14:paraId="61CC40C6" w14:textId="77777777" w:rsidR="001A4326" w:rsidRPr="004E4C01" w:rsidRDefault="001A4326" w:rsidP="001A4326">
                      <w:pPr>
                        <w:jc w:val="center"/>
                        <w:rPr>
                          <w:b/>
                          <w:bCs/>
                          <w:color w:val="365F91" w:themeColor="accent1" w:themeShade="BF"/>
                          <w:sz w:val="18"/>
                          <w:szCs w:val="18"/>
                        </w:rPr>
                      </w:pPr>
                      <w:r w:rsidRPr="004E4C01">
                        <w:rPr>
                          <w:b/>
                          <w:bCs/>
                          <w:color w:val="365F91" w:themeColor="accent1" w:themeShade="BF"/>
                          <w:sz w:val="18"/>
                          <w:szCs w:val="18"/>
                        </w:rPr>
                        <w:t>Proceso iterativo.</w:t>
                      </w:r>
                    </w:p>
                    <w:p w14:paraId="73DDE589" w14:textId="1F889C96" w:rsidR="001A4326" w:rsidRPr="004E4C01" w:rsidRDefault="001A4326" w:rsidP="001A4326">
                      <w:pPr>
                        <w:jc w:val="center"/>
                        <w:rPr>
                          <w:b/>
                          <w:bCs/>
                          <w:color w:val="365F91" w:themeColor="accent1" w:themeShade="BF"/>
                          <w:sz w:val="18"/>
                          <w:szCs w:val="18"/>
                        </w:rPr>
                      </w:pPr>
                      <w:r w:rsidRPr="004E4C01">
                        <w:rPr>
                          <w:b/>
                          <w:bCs/>
                          <w:color w:val="365F91" w:themeColor="accent1" w:themeShade="BF"/>
                          <w:sz w:val="18"/>
                          <w:szCs w:val="18"/>
                        </w:rPr>
                        <w:t>No decide por sí mismo</w:t>
                      </w:r>
                      <w:r w:rsidR="00103241" w:rsidRPr="004E4C01">
                        <w:rPr>
                          <w:b/>
                          <w:bCs/>
                          <w:color w:val="365F91" w:themeColor="accent1" w:themeShade="BF"/>
                          <w:sz w:val="18"/>
                          <w:szCs w:val="18"/>
                        </w:rPr>
                        <w:t>;</w:t>
                      </w:r>
                      <w:r w:rsidRPr="004E4C01">
                        <w:rPr>
                          <w:b/>
                          <w:bCs/>
                          <w:color w:val="365F91" w:themeColor="accent1" w:themeShade="BF"/>
                          <w:sz w:val="18"/>
                          <w:szCs w:val="18"/>
                        </w:rPr>
                        <w:t xml:space="preserve"> ayuda a decidir con transparencia y elementos de juicio</w:t>
                      </w:r>
                    </w:p>
                  </w:txbxContent>
                </v:textbox>
                <w10:wrap anchorx="margin"/>
              </v:rect>
            </w:pict>
          </mc:Fallback>
        </mc:AlternateContent>
      </w:r>
      <w:r w:rsidR="001A4326" w:rsidRPr="004068F6">
        <w:rPr>
          <w:b/>
          <w:bCs/>
          <w:spacing w:val="-3"/>
        </w:rPr>
        <w:t xml:space="preserve">Figura </w:t>
      </w:r>
      <w:r w:rsidR="004647AE">
        <w:rPr>
          <w:b/>
          <w:bCs/>
          <w:spacing w:val="-3"/>
        </w:rPr>
        <w:fldChar w:fldCharType="begin"/>
      </w:r>
      <w:r w:rsidR="004647AE">
        <w:rPr>
          <w:b/>
          <w:bCs/>
          <w:spacing w:val="-3"/>
        </w:rPr>
        <w:instrText xml:space="preserve"> SEQ Figura \* ARABIC </w:instrText>
      </w:r>
      <w:r w:rsidR="004647AE">
        <w:rPr>
          <w:b/>
          <w:bCs/>
          <w:spacing w:val="-3"/>
        </w:rPr>
        <w:fldChar w:fldCharType="separate"/>
      </w:r>
      <w:r w:rsidR="009C4A81">
        <w:rPr>
          <w:b/>
          <w:bCs/>
          <w:noProof/>
          <w:spacing w:val="-3"/>
        </w:rPr>
        <w:t>4</w:t>
      </w:r>
      <w:r w:rsidR="004647AE">
        <w:rPr>
          <w:b/>
          <w:bCs/>
          <w:spacing w:val="-3"/>
        </w:rPr>
        <w:fldChar w:fldCharType="end"/>
      </w:r>
      <w:bookmarkEnd w:id="2393"/>
      <w:r w:rsidR="001A4326" w:rsidRPr="004068F6">
        <w:rPr>
          <w:b/>
          <w:bCs/>
          <w:spacing w:val="-3"/>
        </w:rPr>
        <w:t>.</w:t>
      </w:r>
      <w:r w:rsidR="001A4326" w:rsidRPr="004068F6">
        <w:rPr>
          <w:spacing w:val="-3"/>
        </w:rPr>
        <w:t xml:space="preserve"> Procedimiento general para ejecutar una Evaluación Multicriterio</w:t>
      </w:r>
    </w:p>
    <w:p w14:paraId="57E577E8" w14:textId="29D3AAFC" w:rsidR="001A4326" w:rsidRPr="004068F6" w:rsidRDefault="001A4326" w:rsidP="00673D71">
      <w:pPr>
        <w:numPr>
          <w:ilvl w:val="12"/>
          <w:numId w:val="0"/>
        </w:numPr>
        <w:tabs>
          <w:tab w:val="left" w:pos="-2268"/>
        </w:tabs>
        <w:suppressAutoHyphens/>
        <w:ind w:left="851"/>
        <w:jc w:val="center"/>
        <w:rPr>
          <w:spacing w:val="-3"/>
          <w:sz w:val="20"/>
          <w:szCs w:val="20"/>
        </w:rPr>
      </w:pPr>
      <w:r w:rsidRPr="004068F6">
        <w:rPr>
          <w:b/>
          <w:bCs/>
          <w:spacing w:val="-3"/>
          <w:sz w:val="20"/>
          <w:szCs w:val="20"/>
        </w:rPr>
        <w:t>Fuente:</w:t>
      </w:r>
      <w:r w:rsidRPr="004068F6">
        <w:rPr>
          <w:spacing w:val="-3"/>
          <w:sz w:val="20"/>
          <w:szCs w:val="20"/>
        </w:rPr>
        <w:t xml:space="preserve"> adaptada de (DCLG, 2009).</w:t>
      </w:r>
    </w:p>
    <w:p w14:paraId="1935E14A" w14:textId="77777777" w:rsidR="001A4326" w:rsidRPr="004068F6" w:rsidRDefault="001A4326" w:rsidP="001A4326">
      <w:pPr>
        <w:numPr>
          <w:ilvl w:val="12"/>
          <w:numId w:val="0"/>
        </w:numPr>
        <w:tabs>
          <w:tab w:val="left" w:pos="-2268"/>
        </w:tabs>
        <w:suppressAutoHyphens/>
        <w:rPr>
          <w:spacing w:val="-3"/>
        </w:rPr>
      </w:pPr>
    </w:p>
    <w:p w14:paraId="43109DD6" w14:textId="77777777" w:rsidR="001A4326" w:rsidRPr="00466E26" w:rsidRDefault="001A4326" w:rsidP="000A1E20">
      <w:pPr>
        <w:pStyle w:val="Ttulo3"/>
      </w:pPr>
      <w:bookmarkStart w:id="2394" w:name="_Toc230879615"/>
      <w:r w:rsidRPr="00466E26">
        <w:t>Conocer el contexto del licenciamiento ambiental como proceso de toma de decisiones</w:t>
      </w:r>
      <w:bookmarkEnd w:id="2394"/>
    </w:p>
    <w:p w14:paraId="6F83FF4B" w14:textId="77777777" w:rsidR="001A4326" w:rsidRPr="004068F6" w:rsidRDefault="001A4326" w:rsidP="001A4326">
      <w:pPr>
        <w:numPr>
          <w:ilvl w:val="12"/>
          <w:numId w:val="0"/>
        </w:numPr>
        <w:tabs>
          <w:tab w:val="left" w:pos="-2268"/>
        </w:tabs>
        <w:suppressAutoHyphens/>
        <w:rPr>
          <w:spacing w:val="-3"/>
        </w:rPr>
      </w:pPr>
    </w:p>
    <w:p w14:paraId="35E5D74F" w14:textId="6B65E2EF" w:rsidR="001A4326" w:rsidRPr="004068F6" w:rsidRDefault="001A4326" w:rsidP="001A4326">
      <w:pPr>
        <w:numPr>
          <w:ilvl w:val="12"/>
          <w:numId w:val="0"/>
        </w:numPr>
        <w:tabs>
          <w:tab w:val="left" w:pos="-2268"/>
        </w:tabs>
        <w:suppressAutoHyphens/>
        <w:rPr>
          <w:spacing w:val="-3"/>
        </w:rPr>
      </w:pPr>
      <w:r w:rsidRPr="004068F6">
        <w:rPr>
          <w:spacing w:val="-3"/>
        </w:rPr>
        <w:t xml:space="preserve">El primer paso para desarrollar una EMC en el marco del licenciamiento ambiental es conocer el contexto de este proceso de toma de decisión para formular adecuadamente el problema de decisión </w:t>
      </w:r>
      <w:bookmarkStart w:id="2395" w:name="_Hlk122509143"/>
      <w:r w:rsidRPr="004068F6">
        <w:rPr>
          <w:spacing w:val="-3"/>
        </w:rPr>
        <w:t>(DCLG, 2009)</w:t>
      </w:r>
      <w:bookmarkEnd w:id="2395"/>
      <w:r w:rsidRPr="004068F6">
        <w:rPr>
          <w:spacing w:val="-3"/>
        </w:rPr>
        <w:t>, el cual se articula mediante alternativas, objetivos, criterios, posibles consecuencias ambientales, entre otros.</w:t>
      </w:r>
    </w:p>
    <w:p w14:paraId="4D81BD4D" w14:textId="77777777" w:rsidR="001A4326" w:rsidRPr="004068F6" w:rsidRDefault="001A4326" w:rsidP="001A4326">
      <w:pPr>
        <w:numPr>
          <w:ilvl w:val="12"/>
          <w:numId w:val="0"/>
        </w:numPr>
        <w:tabs>
          <w:tab w:val="left" w:pos="-2268"/>
        </w:tabs>
        <w:suppressAutoHyphens/>
        <w:rPr>
          <w:spacing w:val="-3"/>
        </w:rPr>
      </w:pPr>
    </w:p>
    <w:p w14:paraId="05481761" w14:textId="43E783AC" w:rsidR="001A4326" w:rsidRPr="004068F6" w:rsidRDefault="001A4326" w:rsidP="001A4326">
      <w:pPr>
        <w:numPr>
          <w:ilvl w:val="12"/>
          <w:numId w:val="0"/>
        </w:numPr>
        <w:tabs>
          <w:tab w:val="left" w:pos="-2268"/>
        </w:tabs>
        <w:suppressAutoHyphens/>
        <w:rPr>
          <w:spacing w:val="-3"/>
        </w:rPr>
      </w:pPr>
      <w:r w:rsidRPr="004068F6">
        <w:rPr>
          <w:spacing w:val="-3"/>
        </w:rPr>
        <w:lastRenderedPageBreak/>
        <w:t xml:space="preserve">Por ello, se debe tener claro que el propósito de la EMC en contexto del DAA es usar de la mejor forma posible la información disponible para comparar y seleccionar las alternativas que generen los menores impactos ambientales, de manera que, </w:t>
      </w:r>
      <w:r w:rsidR="00397721">
        <w:rPr>
          <w:spacing w:val="-3"/>
        </w:rPr>
        <w:t>sobre</w:t>
      </w:r>
      <w:r w:rsidR="00397721" w:rsidRPr="004068F6">
        <w:rPr>
          <w:spacing w:val="-3"/>
        </w:rPr>
        <w:t xml:space="preserve"> </w:t>
      </w:r>
      <w:r w:rsidRPr="004068F6">
        <w:rPr>
          <w:spacing w:val="-3"/>
        </w:rPr>
        <w:t xml:space="preserve">ellas se elabore el Estudio de Impacto Ambiental (EIA). También se debe recordar que a pesar de que el formulador selecciona </w:t>
      </w:r>
      <w:r w:rsidR="007F097B" w:rsidRPr="004068F6">
        <w:rPr>
          <w:spacing w:val="-3"/>
        </w:rPr>
        <w:t xml:space="preserve">y presenta </w:t>
      </w:r>
      <w:r w:rsidR="000E3FB8" w:rsidRPr="004068F6">
        <w:rPr>
          <w:spacing w:val="-3"/>
        </w:rPr>
        <w:t>las alternativas</w:t>
      </w:r>
      <w:r w:rsidR="007F097B" w:rsidRPr="004068F6">
        <w:rPr>
          <w:spacing w:val="-3"/>
        </w:rPr>
        <w:t xml:space="preserve"> en el estudio ambiental</w:t>
      </w:r>
      <w:r w:rsidRPr="004068F6">
        <w:rPr>
          <w:spacing w:val="-3"/>
        </w:rPr>
        <w:t xml:space="preserve">, la autoridad ambiental competente es quien decide en última instancia sobre cuál o sobre cuáles alternativas es posible elaborar el EIA o si ninguna de las alternativas presentadas amerita la elaboración de </w:t>
      </w:r>
      <w:r w:rsidR="00C82FBB" w:rsidRPr="004068F6">
        <w:rPr>
          <w:spacing w:val="-3"/>
        </w:rPr>
        <w:t xml:space="preserve">este </w:t>
      </w:r>
      <w:r w:rsidRPr="004068F6">
        <w:rPr>
          <w:spacing w:val="-3"/>
        </w:rPr>
        <w:t>estudio ambiental.</w:t>
      </w:r>
    </w:p>
    <w:p w14:paraId="39B5A700" w14:textId="77777777" w:rsidR="001A4326" w:rsidRPr="004068F6" w:rsidRDefault="001A4326" w:rsidP="001A4326">
      <w:pPr>
        <w:numPr>
          <w:ilvl w:val="12"/>
          <w:numId w:val="0"/>
        </w:numPr>
        <w:tabs>
          <w:tab w:val="left" w:pos="-2268"/>
        </w:tabs>
        <w:suppressAutoHyphens/>
        <w:rPr>
          <w:spacing w:val="-3"/>
        </w:rPr>
      </w:pPr>
    </w:p>
    <w:p w14:paraId="08D47EC6" w14:textId="1E7D96ED" w:rsidR="001A4326" w:rsidRPr="004068F6" w:rsidRDefault="001A4326" w:rsidP="001A4326">
      <w:pPr>
        <w:numPr>
          <w:ilvl w:val="12"/>
          <w:numId w:val="0"/>
        </w:numPr>
        <w:tabs>
          <w:tab w:val="left" w:pos="-2268"/>
        </w:tabs>
        <w:suppressAutoHyphens/>
        <w:rPr>
          <w:spacing w:val="-3"/>
        </w:rPr>
      </w:pPr>
      <w:r w:rsidRPr="004068F6">
        <w:rPr>
          <w:spacing w:val="-3"/>
        </w:rPr>
        <w:t>Igualmente, es importante que l</w:t>
      </w:r>
      <w:r w:rsidR="0063509D" w:rsidRPr="004068F6">
        <w:rPr>
          <w:spacing w:val="-3"/>
        </w:rPr>
        <w:t>o</w:t>
      </w:r>
      <w:r w:rsidRPr="004068F6">
        <w:rPr>
          <w:spacing w:val="-3"/>
        </w:rPr>
        <w:t xml:space="preserve">s </w:t>
      </w:r>
      <w:r w:rsidR="0063509D" w:rsidRPr="004068F6">
        <w:rPr>
          <w:spacing w:val="-3"/>
        </w:rPr>
        <w:t xml:space="preserve">puntos de vista, recomendaciones y otras contribuciones </w:t>
      </w:r>
      <w:r w:rsidRPr="004068F6">
        <w:rPr>
          <w:spacing w:val="-3"/>
        </w:rPr>
        <w:t xml:space="preserve">de las comunidades, organizaciones sociales, entidades, propietarios de predios y demás </w:t>
      </w:r>
      <w:r w:rsidR="00C82FBB" w:rsidRPr="004068F6">
        <w:rPr>
          <w:spacing w:val="-3"/>
        </w:rPr>
        <w:t xml:space="preserve">grupos de interés </w:t>
      </w:r>
      <w:r w:rsidRPr="004068F6">
        <w:rPr>
          <w:spacing w:val="-3"/>
        </w:rPr>
        <w:t xml:space="preserve">involucrados, </w:t>
      </w:r>
      <w:r w:rsidR="009B1544" w:rsidRPr="004068F6">
        <w:rPr>
          <w:spacing w:val="-3"/>
        </w:rPr>
        <w:t xml:space="preserve">se </w:t>
      </w:r>
      <w:r w:rsidR="0063509D" w:rsidRPr="004068F6">
        <w:rPr>
          <w:spacing w:val="-3"/>
        </w:rPr>
        <w:t>anali</w:t>
      </w:r>
      <w:r w:rsidR="009B1544" w:rsidRPr="004068F6">
        <w:rPr>
          <w:spacing w:val="-3"/>
        </w:rPr>
        <w:t xml:space="preserve">cen </w:t>
      </w:r>
      <w:r w:rsidR="0063509D" w:rsidRPr="004068F6">
        <w:rPr>
          <w:spacing w:val="-3"/>
        </w:rPr>
        <w:t xml:space="preserve">e </w:t>
      </w:r>
      <w:r w:rsidRPr="004068F6">
        <w:rPr>
          <w:spacing w:val="-3"/>
        </w:rPr>
        <w:t>incorpor</w:t>
      </w:r>
      <w:r w:rsidR="009B1544" w:rsidRPr="004068F6">
        <w:rPr>
          <w:spacing w:val="-3"/>
        </w:rPr>
        <w:t xml:space="preserve">en </w:t>
      </w:r>
      <w:r w:rsidRPr="004068F6">
        <w:rPr>
          <w:spacing w:val="-3"/>
        </w:rPr>
        <w:t xml:space="preserve">a la evaluación en razón a que, además de aportar consideraciones útiles, </w:t>
      </w:r>
      <w:r w:rsidR="009B1544" w:rsidRPr="004068F6">
        <w:rPr>
          <w:spacing w:val="-3"/>
        </w:rPr>
        <w:t xml:space="preserve">representan la expresión de las personas </w:t>
      </w:r>
      <w:r w:rsidRPr="004068F6">
        <w:rPr>
          <w:spacing w:val="-3"/>
        </w:rPr>
        <w:t xml:space="preserve">a participar de las decisiones que </w:t>
      </w:r>
      <w:r w:rsidR="009B1544" w:rsidRPr="004068F6">
        <w:rPr>
          <w:spacing w:val="-3"/>
        </w:rPr>
        <w:t>pueden afectar su derecho a gozar de un ambiente sano</w:t>
      </w:r>
      <w:r w:rsidRPr="004068F6">
        <w:rPr>
          <w:spacing w:val="-3"/>
        </w:rPr>
        <w:t>.</w:t>
      </w:r>
    </w:p>
    <w:p w14:paraId="5B102840" w14:textId="77777777" w:rsidR="001A4326" w:rsidRPr="004068F6" w:rsidRDefault="001A4326" w:rsidP="001A4326">
      <w:pPr>
        <w:numPr>
          <w:ilvl w:val="12"/>
          <w:numId w:val="0"/>
        </w:numPr>
        <w:tabs>
          <w:tab w:val="left" w:pos="-2268"/>
        </w:tabs>
        <w:suppressAutoHyphens/>
        <w:rPr>
          <w:spacing w:val="-3"/>
        </w:rPr>
      </w:pPr>
    </w:p>
    <w:p w14:paraId="15E5138B" w14:textId="4FB6617F" w:rsidR="001A4326" w:rsidRPr="004068F6" w:rsidRDefault="009B1544" w:rsidP="001A4326">
      <w:pPr>
        <w:numPr>
          <w:ilvl w:val="12"/>
          <w:numId w:val="0"/>
        </w:numPr>
        <w:tabs>
          <w:tab w:val="left" w:pos="-2268"/>
        </w:tabs>
        <w:suppressAutoHyphens/>
        <w:rPr>
          <w:spacing w:val="-3"/>
        </w:rPr>
      </w:pPr>
      <w:r w:rsidRPr="004068F6">
        <w:rPr>
          <w:spacing w:val="-3"/>
        </w:rPr>
        <w:t>En este sentido, p</w:t>
      </w:r>
      <w:r w:rsidR="001A4326" w:rsidRPr="004068F6">
        <w:rPr>
          <w:spacing w:val="-3"/>
        </w:rPr>
        <w:t>ara asegurar un proceso participativo efectivo</w:t>
      </w:r>
      <w:r w:rsidR="005921FE" w:rsidRPr="004068F6">
        <w:rPr>
          <w:spacing w:val="-3"/>
        </w:rPr>
        <w:t xml:space="preserve"> y transparente</w:t>
      </w:r>
      <w:r w:rsidR="001A4326" w:rsidRPr="004068F6">
        <w:rPr>
          <w:spacing w:val="-3"/>
        </w:rPr>
        <w:t xml:space="preserve"> que </w:t>
      </w:r>
      <w:r w:rsidR="005921FE" w:rsidRPr="004068F6">
        <w:rPr>
          <w:spacing w:val="-3"/>
        </w:rPr>
        <w:t xml:space="preserve">evidencie los aportes recibidos, su análisis y las razones que justifican su rechazo o incorporación a la evaluación </w:t>
      </w:r>
      <w:r w:rsidR="006A6E5F" w:rsidRPr="004068F6">
        <w:rPr>
          <w:spacing w:val="-3"/>
        </w:rPr>
        <w:t xml:space="preserve">y selección </w:t>
      </w:r>
      <w:r w:rsidR="005921FE" w:rsidRPr="004068F6">
        <w:rPr>
          <w:spacing w:val="-3"/>
        </w:rPr>
        <w:t>de las alternativas</w:t>
      </w:r>
      <w:r w:rsidR="001A4326" w:rsidRPr="004068F6">
        <w:rPr>
          <w:spacing w:val="-3"/>
        </w:rPr>
        <w:t xml:space="preserve">, se deben seguir los lineamientos sobre participación establecidos en el numeral </w:t>
      </w:r>
      <w:r w:rsidR="00C82FBB" w:rsidRPr="004068F6">
        <w:rPr>
          <w:spacing w:val="-3"/>
        </w:rPr>
        <w:fldChar w:fldCharType="begin"/>
      </w:r>
      <w:r w:rsidR="00C82FBB" w:rsidRPr="004068F6">
        <w:rPr>
          <w:spacing w:val="-3"/>
        </w:rPr>
        <w:instrText xml:space="preserve"> REF _Ref146531665 \r \h </w:instrText>
      </w:r>
      <w:r w:rsidR="00BD1319" w:rsidRPr="004068F6">
        <w:rPr>
          <w:spacing w:val="-3"/>
        </w:rPr>
        <w:instrText xml:space="preserve"> \* MERGEFORMAT </w:instrText>
      </w:r>
      <w:r w:rsidR="00C82FBB" w:rsidRPr="004068F6">
        <w:rPr>
          <w:spacing w:val="-3"/>
        </w:rPr>
      </w:r>
      <w:r w:rsidR="00C82FBB" w:rsidRPr="004068F6">
        <w:rPr>
          <w:spacing w:val="-3"/>
        </w:rPr>
        <w:fldChar w:fldCharType="separate"/>
      </w:r>
      <w:r w:rsidR="009C4A81">
        <w:rPr>
          <w:spacing w:val="-3"/>
        </w:rPr>
        <w:t>3</w:t>
      </w:r>
      <w:r w:rsidR="00C82FBB" w:rsidRPr="004068F6">
        <w:rPr>
          <w:spacing w:val="-3"/>
        </w:rPr>
        <w:fldChar w:fldCharType="end"/>
      </w:r>
      <w:r w:rsidR="001A4326" w:rsidRPr="004068F6">
        <w:rPr>
          <w:spacing w:val="-3"/>
        </w:rPr>
        <w:t xml:space="preserve"> de este capítulo.</w:t>
      </w:r>
    </w:p>
    <w:p w14:paraId="102B6B61" w14:textId="77777777" w:rsidR="001A4326" w:rsidRPr="004068F6" w:rsidRDefault="001A4326" w:rsidP="001A4326">
      <w:pPr>
        <w:numPr>
          <w:ilvl w:val="12"/>
          <w:numId w:val="0"/>
        </w:numPr>
        <w:tabs>
          <w:tab w:val="left" w:pos="-2268"/>
        </w:tabs>
        <w:suppressAutoHyphens/>
        <w:rPr>
          <w:spacing w:val="-3"/>
        </w:rPr>
      </w:pPr>
    </w:p>
    <w:p w14:paraId="6CC31E56" w14:textId="77777777" w:rsidR="001A4326" w:rsidRPr="00466E26" w:rsidRDefault="001A4326" w:rsidP="000A1E20">
      <w:pPr>
        <w:pStyle w:val="Ttulo3"/>
      </w:pPr>
      <w:bookmarkStart w:id="2396" w:name="_Toc230879616"/>
      <w:r w:rsidRPr="00466E26">
        <w:t>Identificar las alternativas</w:t>
      </w:r>
      <w:bookmarkEnd w:id="2396"/>
    </w:p>
    <w:p w14:paraId="146FA8A1" w14:textId="77777777" w:rsidR="001A4326" w:rsidRPr="004068F6" w:rsidRDefault="001A4326" w:rsidP="001A4326">
      <w:pPr>
        <w:numPr>
          <w:ilvl w:val="12"/>
          <w:numId w:val="0"/>
        </w:numPr>
        <w:tabs>
          <w:tab w:val="left" w:pos="-2268"/>
        </w:tabs>
        <w:suppressAutoHyphens/>
        <w:rPr>
          <w:spacing w:val="-3"/>
        </w:rPr>
      </w:pPr>
    </w:p>
    <w:p w14:paraId="1AA4E4CF" w14:textId="2E73A895" w:rsidR="001A4326" w:rsidRPr="004068F6" w:rsidRDefault="001A4326" w:rsidP="001A4326">
      <w:pPr>
        <w:numPr>
          <w:ilvl w:val="12"/>
          <w:numId w:val="0"/>
        </w:numPr>
        <w:tabs>
          <w:tab w:val="left" w:pos="-2268"/>
        </w:tabs>
        <w:suppressAutoHyphens/>
        <w:rPr>
          <w:spacing w:val="-3"/>
        </w:rPr>
      </w:pPr>
      <w:r w:rsidRPr="004068F6">
        <w:rPr>
          <w:spacing w:val="-3"/>
        </w:rPr>
        <w:t>Para ejecutar una EMC debe haber total claridad sobre las características de las alternativas (DCLG, 2009), además, éstas deben ser practicables, racionales desde el punto de vista ambiental y fundamentalmente, generar diferentes consecuencias ambientales (que se evidencian mediante diferentes impactos). No vale la pena ejecutar una EMC sobre alternativas que no pueden ejecutarse, que no son ambientalmente racionales</w:t>
      </w:r>
      <w:r w:rsidRPr="004068F6">
        <w:rPr>
          <w:spacing w:val="-3"/>
          <w:vertAlign w:val="superscript"/>
        </w:rPr>
        <w:footnoteReference w:id="67"/>
      </w:r>
      <w:r w:rsidRPr="004068F6">
        <w:rPr>
          <w:spacing w:val="-3"/>
        </w:rPr>
        <w:t xml:space="preserve">, o que generan el mismo impacto ambiental, pues si </w:t>
      </w:r>
      <w:r w:rsidR="00C82FBB" w:rsidRPr="004068F6">
        <w:rPr>
          <w:spacing w:val="-3"/>
        </w:rPr>
        <w:t xml:space="preserve">esto último </w:t>
      </w:r>
      <w:r w:rsidRPr="004068F6">
        <w:rPr>
          <w:spacing w:val="-3"/>
        </w:rPr>
        <w:t>ocurre se evidenciaría que en realidad no corresponden a alternativas</w:t>
      </w:r>
      <w:r w:rsidR="00E554B5">
        <w:rPr>
          <w:spacing w:val="-3"/>
        </w:rPr>
        <w:t xml:space="preserve"> </w:t>
      </w:r>
      <w:r w:rsidR="00E554B5" w:rsidRPr="004068F6">
        <w:rPr>
          <w:spacing w:val="-3"/>
        </w:rPr>
        <w:t>diferentes</w:t>
      </w:r>
      <w:r w:rsidRPr="004068F6">
        <w:rPr>
          <w:spacing w:val="-3"/>
        </w:rPr>
        <w:t>.</w:t>
      </w:r>
    </w:p>
    <w:p w14:paraId="42EA9524" w14:textId="77777777" w:rsidR="001A4326" w:rsidRPr="004068F6" w:rsidRDefault="001A4326" w:rsidP="001A4326">
      <w:pPr>
        <w:numPr>
          <w:ilvl w:val="12"/>
          <w:numId w:val="0"/>
        </w:numPr>
        <w:tabs>
          <w:tab w:val="left" w:pos="-2268"/>
        </w:tabs>
        <w:suppressAutoHyphens/>
        <w:rPr>
          <w:spacing w:val="-3"/>
        </w:rPr>
      </w:pPr>
    </w:p>
    <w:p w14:paraId="3C686BE8" w14:textId="48236585" w:rsidR="001A4326" w:rsidRPr="004068F6" w:rsidRDefault="001A4326" w:rsidP="001A4326">
      <w:pPr>
        <w:numPr>
          <w:ilvl w:val="12"/>
          <w:numId w:val="0"/>
        </w:numPr>
        <w:tabs>
          <w:tab w:val="left" w:pos="-2268"/>
        </w:tabs>
        <w:suppressAutoHyphens/>
        <w:rPr>
          <w:spacing w:val="-3"/>
        </w:rPr>
      </w:pPr>
      <w:r w:rsidRPr="004068F6">
        <w:rPr>
          <w:spacing w:val="-3"/>
        </w:rPr>
        <w:t xml:space="preserve">Si bien no corresponde a la autoridad ambiental evaluar las alternativas en términos de localización, diseño o ingeniería, y su rol consiste en evaluar las </w:t>
      </w:r>
      <w:r w:rsidRPr="004068F6">
        <w:rPr>
          <w:i/>
          <w:iCs/>
          <w:spacing w:val="-3"/>
        </w:rPr>
        <w:t>consecuencias</w:t>
      </w:r>
      <w:r w:rsidRPr="004068F6">
        <w:rPr>
          <w:spacing w:val="-3"/>
        </w:rPr>
        <w:t xml:space="preserve"> ambientales de dichas alternativas mediante la información contenida principalmente en los DAA, los formuladores de los proyectos tienen la oportunidad de emplear la EMC desde las etapas más tempranas de formulación de éstos para evaluar su </w:t>
      </w:r>
      <w:r w:rsidRPr="004068F6">
        <w:rPr>
          <w:spacing w:val="-3"/>
        </w:rPr>
        <w:lastRenderedPageBreak/>
        <w:t>comportamiento respecto de criterios ambientales clave, y de esta forma, identificar ventajas y desventajas de las alternativas</w:t>
      </w:r>
      <w:r w:rsidR="00306B43" w:rsidRPr="004068F6">
        <w:rPr>
          <w:spacing w:val="-3"/>
        </w:rPr>
        <w:t>,</w:t>
      </w:r>
      <w:r w:rsidRPr="004068F6">
        <w:rPr>
          <w:spacing w:val="-3"/>
        </w:rPr>
        <w:t xml:space="preserve"> con el propósito de reformularlas o de plantear otras diferentes que conformen un buen conjunto que pueda ser presentado ante la autoridad ambiental.</w:t>
      </w:r>
    </w:p>
    <w:p w14:paraId="0D00775B" w14:textId="77777777" w:rsidR="001A4326" w:rsidRPr="004068F6" w:rsidRDefault="001A4326" w:rsidP="001A4326">
      <w:pPr>
        <w:numPr>
          <w:ilvl w:val="12"/>
          <w:numId w:val="0"/>
        </w:numPr>
        <w:tabs>
          <w:tab w:val="left" w:pos="-2268"/>
        </w:tabs>
        <w:suppressAutoHyphens/>
        <w:rPr>
          <w:spacing w:val="-3"/>
        </w:rPr>
      </w:pPr>
    </w:p>
    <w:p w14:paraId="65EF89E4" w14:textId="349D3C85" w:rsidR="001A4326" w:rsidRPr="004068F6" w:rsidRDefault="001A4326" w:rsidP="001A4326">
      <w:pPr>
        <w:numPr>
          <w:ilvl w:val="12"/>
          <w:numId w:val="0"/>
        </w:numPr>
        <w:tabs>
          <w:tab w:val="left" w:pos="-2268"/>
        </w:tabs>
        <w:suppressAutoHyphens/>
        <w:rPr>
          <w:spacing w:val="-3"/>
        </w:rPr>
      </w:pPr>
      <w:r w:rsidRPr="004068F6">
        <w:rPr>
          <w:spacing w:val="-3"/>
        </w:rPr>
        <w:t>Se debe tener en cuenta que para plantear las alternativas debe existir total claridad sobre los objetivos que se persiguen y que, en este marco, corresponden tanto a los objetivos propios del proyecto objeto de formulación (generación de energía eléctrica, extracción de hidrocarburos, construcción de carreteras, producción de animales silvestres en zoocriaderos, entre otros), como al propósito de formular alternativas ambientalmente racionales.</w:t>
      </w:r>
    </w:p>
    <w:p w14:paraId="3189D3A2" w14:textId="77777777" w:rsidR="001A4326" w:rsidRPr="004068F6" w:rsidRDefault="001A4326" w:rsidP="001A4326">
      <w:pPr>
        <w:numPr>
          <w:ilvl w:val="12"/>
          <w:numId w:val="0"/>
        </w:numPr>
        <w:tabs>
          <w:tab w:val="left" w:pos="-2268"/>
        </w:tabs>
        <w:suppressAutoHyphens/>
        <w:rPr>
          <w:spacing w:val="-3"/>
        </w:rPr>
      </w:pPr>
    </w:p>
    <w:p w14:paraId="0F88C599" w14:textId="77777777" w:rsidR="001A4326" w:rsidRPr="00466E26" w:rsidRDefault="001A4326" w:rsidP="000A1E20">
      <w:pPr>
        <w:pStyle w:val="Ttulo3"/>
      </w:pPr>
      <w:bookmarkStart w:id="2397" w:name="_Ref138771421"/>
      <w:bookmarkStart w:id="2398" w:name="_Toc230879617"/>
      <w:r w:rsidRPr="00466E26">
        <w:t>Establecer los criterios de evaluación</w:t>
      </w:r>
      <w:bookmarkEnd w:id="2397"/>
      <w:bookmarkEnd w:id="2398"/>
    </w:p>
    <w:p w14:paraId="0D112699" w14:textId="77777777" w:rsidR="001A4326" w:rsidRPr="004068F6" w:rsidRDefault="001A4326" w:rsidP="001A4326">
      <w:pPr>
        <w:numPr>
          <w:ilvl w:val="12"/>
          <w:numId w:val="0"/>
        </w:numPr>
        <w:tabs>
          <w:tab w:val="left" w:pos="-2268"/>
        </w:tabs>
        <w:suppressAutoHyphens/>
        <w:rPr>
          <w:spacing w:val="-3"/>
        </w:rPr>
      </w:pPr>
    </w:p>
    <w:p w14:paraId="66026EE8" w14:textId="0F278E3D" w:rsidR="001A4326" w:rsidRPr="004068F6" w:rsidRDefault="001A4326" w:rsidP="001A4326">
      <w:pPr>
        <w:numPr>
          <w:ilvl w:val="12"/>
          <w:numId w:val="0"/>
        </w:numPr>
        <w:tabs>
          <w:tab w:val="left" w:pos="-2268"/>
        </w:tabs>
        <w:suppressAutoHyphens/>
        <w:rPr>
          <w:spacing w:val="-3"/>
        </w:rPr>
      </w:pPr>
      <w:r w:rsidRPr="004068F6">
        <w:rPr>
          <w:spacing w:val="-3"/>
        </w:rPr>
        <w:t xml:space="preserve">Para asegurar el éxito de la EMC es primordial formular un conjunto adecuado de criterios (DCLG, 2009). Aun cuando más adelante en este apartado sobre la EMC y en los términos de referencia se establecen criterios </w:t>
      </w:r>
      <w:r w:rsidR="00DB349D" w:rsidRPr="004068F6">
        <w:rPr>
          <w:spacing w:val="-3"/>
        </w:rPr>
        <w:t xml:space="preserve">generales </w:t>
      </w:r>
      <w:r w:rsidRPr="004068F6">
        <w:rPr>
          <w:spacing w:val="-3"/>
        </w:rPr>
        <w:t xml:space="preserve">para evaluar las consecuencias de alternativas ambientalmente racionales, es necesario que en cada caso de elaboración de DAA se determine la aplicabilidad de dichos criterios y se ajusten o formulen criterios adicionales </w:t>
      </w:r>
      <w:r w:rsidR="00237735" w:rsidRPr="004068F6">
        <w:rPr>
          <w:spacing w:val="-3"/>
        </w:rPr>
        <w:t xml:space="preserve">empleando solamente aquellos que permitan evaluar diferencias entre alternativas y </w:t>
      </w:r>
      <w:r w:rsidRPr="004068F6">
        <w:rPr>
          <w:spacing w:val="-3"/>
        </w:rPr>
        <w:t>siguiendo los siguientes lineamientos.</w:t>
      </w:r>
    </w:p>
    <w:p w14:paraId="0665A462" w14:textId="77777777" w:rsidR="001A4326" w:rsidRPr="004068F6" w:rsidRDefault="001A4326" w:rsidP="001A4326">
      <w:pPr>
        <w:numPr>
          <w:ilvl w:val="12"/>
          <w:numId w:val="0"/>
        </w:numPr>
        <w:tabs>
          <w:tab w:val="left" w:pos="-2268"/>
        </w:tabs>
        <w:suppressAutoHyphens/>
        <w:rPr>
          <w:spacing w:val="-3"/>
        </w:rPr>
      </w:pPr>
    </w:p>
    <w:p w14:paraId="045FFEE0" w14:textId="02F38892" w:rsidR="001A4326" w:rsidRPr="004068F6" w:rsidRDefault="001A4326" w:rsidP="001A4326">
      <w:pPr>
        <w:numPr>
          <w:ilvl w:val="12"/>
          <w:numId w:val="0"/>
        </w:numPr>
        <w:tabs>
          <w:tab w:val="left" w:pos="-2268"/>
        </w:tabs>
        <w:suppressAutoHyphens/>
        <w:rPr>
          <w:spacing w:val="-3"/>
        </w:rPr>
      </w:pPr>
      <w:r w:rsidRPr="004068F6">
        <w:rPr>
          <w:spacing w:val="-3"/>
        </w:rPr>
        <w:t xml:space="preserve">Para verificar la aplicabilidad de un criterio, para reformularlo o para establecer uno nuevo es necesario </w:t>
      </w:r>
      <w:r w:rsidR="006824D4" w:rsidRPr="004068F6">
        <w:rPr>
          <w:spacing w:val="-3"/>
        </w:rPr>
        <w:t>determinar</w:t>
      </w:r>
      <w:r w:rsidRPr="004068F6">
        <w:rPr>
          <w:spacing w:val="-3"/>
        </w:rPr>
        <w:t xml:space="preserve">, incluso mediante el proceso de participación contemplado en el numeral </w:t>
      </w:r>
      <w:r w:rsidR="006824D4" w:rsidRPr="004068F6">
        <w:rPr>
          <w:spacing w:val="-3"/>
        </w:rPr>
        <w:fldChar w:fldCharType="begin"/>
      </w:r>
      <w:r w:rsidR="006824D4" w:rsidRPr="004068F6">
        <w:rPr>
          <w:spacing w:val="-3"/>
        </w:rPr>
        <w:instrText xml:space="preserve"> REF _Ref146531665 \r \h </w:instrText>
      </w:r>
      <w:r w:rsidR="00BD1319" w:rsidRPr="004068F6">
        <w:rPr>
          <w:spacing w:val="-3"/>
        </w:rPr>
        <w:instrText xml:space="preserve"> \* MERGEFORMAT </w:instrText>
      </w:r>
      <w:r w:rsidR="006824D4" w:rsidRPr="004068F6">
        <w:rPr>
          <w:spacing w:val="-3"/>
        </w:rPr>
      </w:r>
      <w:r w:rsidR="006824D4" w:rsidRPr="004068F6">
        <w:rPr>
          <w:spacing w:val="-3"/>
        </w:rPr>
        <w:fldChar w:fldCharType="separate"/>
      </w:r>
      <w:r w:rsidR="009C4A81">
        <w:rPr>
          <w:spacing w:val="-3"/>
        </w:rPr>
        <w:t>3</w:t>
      </w:r>
      <w:r w:rsidR="006824D4" w:rsidRPr="004068F6">
        <w:rPr>
          <w:spacing w:val="-3"/>
        </w:rPr>
        <w:fldChar w:fldCharType="end"/>
      </w:r>
      <w:r w:rsidRPr="004068F6">
        <w:rPr>
          <w:spacing w:val="-3"/>
        </w:rPr>
        <w:t xml:space="preserve"> de este capítulo, </w:t>
      </w:r>
      <w:r w:rsidRPr="004068F6">
        <w:rPr>
          <w:i/>
          <w:iCs/>
          <w:spacing w:val="-3"/>
        </w:rPr>
        <w:t>qué características ambientales diferencian una buena alternativa de una mala alternativa</w:t>
      </w:r>
      <w:r w:rsidRPr="004068F6">
        <w:rPr>
          <w:spacing w:val="-3"/>
        </w:rPr>
        <w:t xml:space="preserve"> y a partir de ello, establecer los criterios de la forma más precisa posible, sin ambigüedades y agrupándolos según el medio al cual pertenecen o dado su carácter general, tal como se hace en el numeral </w:t>
      </w:r>
      <w:r w:rsidR="006824D4" w:rsidRPr="004068F6">
        <w:rPr>
          <w:spacing w:val="-3"/>
        </w:rPr>
        <w:fldChar w:fldCharType="begin"/>
      </w:r>
      <w:r w:rsidR="006824D4" w:rsidRPr="004068F6">
        <w:rPr>
          <w:spacing w:val="-3"/>
        </w:rPr>
        <w:instrText xml:space="preserve"> REF _Ref415502137 \r \h </w:instrText>
      </w:r>
      <w:r w:rsidR="00BD1319" w:rsidRPr="004068F6">
        <w:rPr>
          <w:spacing w:val="-3"/>
        </w:rPr>
        <w:instrText xml:space="preserve"> \* MERGEFORMAT </w:instrText>
      </w:r>
      <w:r w:rsidR="006824D4" w:rsidRPr="004068F6">
        <w:rPr>
          <w:spacing w:val="-3"/>
        </w:rPr>
      </w:r>
      <w:r w:rsidR="006824D4" w:rsidRPr="004068F6">
        <w:rPr>
          <w:spacing w:val="-3"/>
        </w:rPr>
        <w:fldChar w:fldCharType="separate"/>
      </w:r>
      <w:r w:rsidR="009C4A81">
        <w:rPr>
          <w:spacing w:val="-3"/>
        </w:rPr>
        <w:t>9.4</w:t>
      </w:r>
      <w:r w:rsidR="006824D4" w:rsidRPr="004068F6">
        <w:rPr>
          <w:spacing w:val="-3"/>
        </w:rPr>
        <w:fldChar w:fldCharType="end"/>
      </w:r>
      <w:r w:rsidRPr="004068F6">
        <w:rPr>
          <w:spacing w:val="-3"/>
        </w:rPr>
        <w:t xml:space="preserve"> de este capítulo. Por ejemplo, si se considera que una alternativa buena se diferencia de una mala por el hecho de no generar impactos en los ecosistemas estratégicos, entonces sería necesario plantear un criterio para abordar dicha característica.</w:t>
      </w:r>
    </w:p>
    <w:p w14:paraId="71C17E7C" w14:textId="77777777" w:rsidR="001A4326" w:rsidRPr="004068F6" w:rsidRDefault="001A4326" w:rsidP="001A4326">
      <w:pPr>
        <w:numPr>
          <w:ilvl w:val="12"/>
          <w:numId w:val="0"/>
        </w:numPr>
        <w:tabs>
          <w:tab w:val="left" w:pos="-2268"/>
        </w:tabs>
        <w:suppressAutoHyphens/>
        <w:rPr>
          <w:spacing w:val="-3"/>
        </w:rPr>
      </w:pPr>
    </w:p>
    <w:p w14:paraId="271E5435" w14:textId="77777777" w:rsidR="001A4326" w:rsidRPr="004068F6" w:rsidRDefault="001A4326" w:rsidP="001A4326">
      <w:pPr>
        <w:numPr>
          <w:ilvl w:val="12"/>
          <w:numId w:val="0"/>
        </w:numPr>
        <w:tabs>
          <w:tab w:val="left" w:pos="-2268"/>
        </w:tabs>
        <w:suppressAutoHyphens/>
        <w:rPr>
          <w:spacing w:val="-3"/>
        </w:rPr>
      </w:pPr>
      <w:r w:rsidRPr="004068F6">
        <w:rPr>
          <w:spacing w:val="-3"/>
        </w:rPr>
        <w:t>En cualquier caso, de acuerdo con DCLG (2009) el conjunto de criterios empleado en una EMC debe tener las siguientes propiedades:</w:t>
      </w:r>
    </w:p>
    <w:p w14:paraId="51914427" w14:textId="77777777" w:rsidR="001A4326" w:rsidRPr="004068F6" w:rsidRDefault="001A4326" w:rsidP="001A4326">
      <w:pPr>
        <w:numPr>
          <w:ilvl w:val="12"/>
          <w:numId w:val="0"/>
        </w:numPr>
        <w:tabs>
          <w:tab w:val="left" w:pos="-2268"/>
        </w:tabs>
        <w:suppressAutoHyphens/>
        <w:rPr>
          <w:spacing w:val="-3"/>
        </w:rPr>
      </w:pPr>
    </w:p>
    <w:p w14:paraId="4CF07046" w14:textId="77777777" w:rsidR="001A4326" w:rsidRPr="004068F6" w:rsidRDefault="001A4326" w:rsidP="00716177">
      <w:pPr>
        <w:numPr>
          <w:ilvl w:val="0"/>
          <w:numId w:val="657"/>
        </w:numPr>
        <w:tabs>
          <w:tab w:val="left" w:pos="-2268"/>
        </w:tabs>
        <w:suppressAutoHyphens/>
        <w:ind w:left="567" w:hanging="567"/>
        <w:rPr>
          <w:spacing w:val="-3"/>
        </w:rPr>
      </w:pPr>
      <w:r w:rsidRPr="004068F6">
        <w:rPr>
          <w:b/>
          <w:bCs/>
          <w:spacing w:val="-3"/>
        </w:rPr>
        <w:t>Completitud</w:t>
      </w:r>
      <w:r w:rsidRPr="004068F6">
        <w:rPr>
          <w:spacing w:val="-3"/>
        </w:rPr>
        <w:t>: debe incorporar todos los criterios importantes que permiten evidenciar las diferencias entre las alternativas y seleccionar cuáles son mejores desde el punto de vista ambiental.</w:t>
      </w:r>
    </w:p>
    <w:p w14:paraId="3F0FFAAE" w14:textId="77777777" w:rsidR="001A4326" w:rsidRPr="004068F6" w:rsidRDefault="001A4326" w:rsidP="00716177">
      <w:pPr>
        <w:numPr>
          <w:ilvl w:val="12"/>
          <w:numId w:val="0"/>
        </w:numPr>
        <w:tabs>
          <w:tab w:val="left" w:pos="-2268"/>
        </w:tabs>
        <w:suppressAutoHyphens/>
        <w:ind w:left="567" w:hanging="567"/>
        <w:rPr>
          <w:spacing w:val="-3"/>
        </w:rPr>
      </w:pPr>
    </w:p>
    <w:p w14:paraId="6310C977" w14:textId="77777777" w:rsidR="001A4326" w:rsidRPr="004068F6" w:rsidRDefault="001A4326" w:rsidP="00716177">
      <w:pPr>
        <w:numPr>
          <w:ilvl w:val="0"/>
          <w:numId w:val="657"/>
        </w:numPr>
        <w:tabs>
          <w:tab w:val="left" w:pos="-2268"/>
        </w:tabs>
        <w:suppressAutoHyphens/>
        <w:ind w:left="567" w:hanging="567"/>
        <w:rPr>
          <w:spacing w:val="-3"/>
        </w:rPr>
      </w:pPr>
      <w:r w:rsidRPr="004068F6">
        <w:rPr>
          <w:b/>
          <w:bCs/>
          <w:spacing w:val="-3"/>
        </w:rPr>
        <w:lastRenderedPageBreak/>
        <w:t>No redundancia</w:t>
      </w:r>
      <w:r w:rsidRPr="004068F6">
        <w:rPr>
          <w:spacing w:val="-3"/>
        </w:rPr>
        <w:t>: no debe incluir criterios innecesarios o poco importantes. Se deben eliminar los criterios para los cuales se espera que las alternativas tengan el mismo desempeño.</w:t>
      </w:r>
    </w:p>
    <w:p w14:paraId="160DB56C" w14:textId="77777777" w:rsidR="001A4326" w:rsidRPr="004068F6" w:rsidRDefault="001A4326" w:rsidP="00716177">
      <w:pPr>
        <w:numPr>
          <w:ilvl w:val="12"/>
          <w:numId w:val="0"/>
        </w:numPr>
        <w:tabs>
          <w:tab w:val="left" w:pos="-2268"/>
        </w:tabs>
        <w:suppressAutoHyphens/>
        <w:ind w:left="567" w:hanging="567"/>
        <w:rPr>
          <w:spacing w:val="-3"/>
        </w:rPr>
      </w:pPr>
    </w:p>
    <w:p w14:paraId="26F5A5E3" w14:textId="77777777" w:rsidR="001A4326" w:rsidRPr="004068F6" w:rsidRDefault="001A4326" w:rsidP="00716177">
      <w:pPr>
        <w:numPr>
          <w:ilvl w:val="0"/>
          <w:numId w:val="657"/>
        </w:numPr>
        <w:tabs>
          <w:tab w:val="left" w:pos="-2268"/>
        </w:tabs>
        <w:suppressAutoHyphens/>
        <w:ind w:left="567" w:hanging="567"/>
        <w:rPr>
          <w:spacing w:val="-3"/>
        </w:rPr>
      </w:pPr>
      <w:r w:rsidRPr="004068F6">
        <w:rPr>
          <w:b/>
          <w:bCs/>
          <w:spacing w:val="-3"/>
        </w:rPr>
        <w:t>Operacionalidad</w:t>
      </w:r>
      <w:r w:rsidRPr="004068F6">
        <w:rPr>
          <w:spacing w:val="-3"/>
        </w:rPr>
        <w:t>: debe asegurar que las alternativas puedan ser evaluadas mediante todos sus criterios (cuantitativos o cualitativos), es decir, que en la práctica sea posible medir o juzgar qué tan bien se desempeñan o que tanto se prefieren las alternativas según el criterio que se evalúe.</w:t>
      </w:r>
    </w:p>
    <w:p w14:paraId="38E9AB0A" w14:textId="77777777" w:rsidR="001A4326" w:rsidRPr="004068F6" w:rsidRDefault="001A4326" w:rsidP="00716177">
      <w:pPr>
        <w:numPr>
          <w:ilvl w:val="12"/>
          <w:numId w:val="0"/>
        </w:numPr>
        <w:tabs>
          <w:tab w:val="left" w:pos="-2268"/>
        </w:tabs>
        <w:suppressAutoHyphens/>
        <w:ind w:left="567" w:hanging="567"/>
        <w:rPr>
          <w:spacing w:val="-3"/>
        </w:rPr>
      </w:pPr>
    </w:p>
    <w:p w14:paraId="77537399" w14:textId="7B887E6B" w:rsidR="001A4326" w:rsidRPr="004068F6" w:rsidRDefault="001A4326" w:rsidP="00716177">
      <w:pPr>
        <w:numPr>
          <w:ilvl w:val="0"/>
          <w:numId w:val="657"/>
        </w:numPr>
        <w:tabs>
          <w:tab w:val="left" w:pos="-2268"/>
        </w:tabs>
        <w:suppressAutoHyphens/>
        <w:ind w:left="567" w:hanging="567"/>
        <w:rPr>
          <w:spacing w:val="-3"/>
        </w:rPr>
      </w:pPr>
      <w:r w:rsidRPr="004068F6">
        <w:rPr>
          <w:b/>
          <w:bCs/>
          <w:spacing w:val="-3"/>
        </w:rPr>
        <w:t>Independencia mutua de preferencias</w:t>
      </w:r>
      <w:r w:rsidRPr="004068F6">
        <w:rPr>
          <w:spacing w:val="-3"/>
        </w:rPr>
        <w:t>: debe asegurar que la asignación de preferencias de una alternativa mediante cualquier criterio se establezca de forma independiente a la asignación de preferencias mediante otro criterio</w:t>
      </w:r>
      <w:r w:rsidR="00B7184A" w:rsidRPr="004068F6">
        <w:rPr>
          <w:spacing w:val="-3"/>
        </w:rPr>
        <w:t>;</w:t>
      </w:r>
      <w:r w:rsidRPr="004068F6">
        <w:rPr>
          <w:spacing w:val="-3"/>
        </w:rPr>
        <w:t xml:space="preserve"> dicho de otro modo, que </w:t>
      </w:r>
      <w:bookmarkStart w:id="2399" w:name="_Hlk118203196"/>
      <w:r w:rsidRPr="004068F6">
        <w:rPr>
          <w:spacing w:val="-3"/>
        </w:rPr>
        <w:t xml:space="preserve">la preferencia evaluada mediante un criterio no puede depender de </w:t>
      </w:r>
      <w:r w:rsidR="006824D4" w:rsidRPr="004068F6">
        <w:rPr>
          <w:spacing w:val="-3"/>
        </w:rPr>
        <w:t>la preferencia evaluada a través de otros criterios</w:t>
      </w:r>
      <w:bookmarkEnd w:id="2399"/>
      <w:r w:rsidRPr="004068F6">
        <w:rPr>
          <w:spacing w:val="-3"/>
        </w:rPr>
        <w:t xml:space="preserve"> (Munda, 2008; DCLG, 2009).</w:t>
      </w:r>
    </w:p>
    <w:p w14:paraId="5786B409" w14:textId="77777777" w:rsidR="001A4326" w:rsidRPr="004068F6" w:rsidRDefault="001A4326" w:rsidP="00716177">
      <w:pPr>
        <w:numPr>
          <w:ilvl w:val="12"/>
          <w:numId w:val="0"/>
        </w:numPr>
        <w:tabs>
          <w:tab w:val="left" w:pos="-2268"/>
        </w:tabs>
        <w:suppressAutoHyphens/>
        <w:ind w:left="567" w:hanging="567"/>
        <w:rPr>
          <w:spacing w:val="-3"/>
        </w:rPr>
      </w:pPr>
    </w:p>
    <w:p w14:paraId="65B5960F" w14:textId="1406B36F" w:rsidR="001A4326" w:rsidRPr="004068F6" w:rsidRDefault="001A4326" w:rsidP="00716177">
      <w:pPr>
        <w:numPr>
          <w:ilvl w:val="12"/>
          <w:numId w:val="0"/>
        </w:numPr>
        <w:tabs>
          <w:tab w:val="left" w:pos="-2268"/>
        </w:tabs>
        <w:suppressAutoHyphens/>
        <w:ind w:left="567"/>
        <w:rPr>
          <w:spacing w:val="-3"/>
        </w:rPr>
      </w:pPr>
      <w:r w:rsidRPr="004068F6">
        <w:rPr>
          <w:spacing w:val="-3"/>
        </w:rPr>
        <w:t>Esta propiedad es fundamental y necesaria para integrar los puntajes de valoración de todos los criterios y así señalar el desempeño global de una alternativa</w:t>
      </w:r>
      <w:r w:rsidR="00E31E6E" w:rsidRPr="004068F6">
        <w:rPr>
          <w:spacing w:val="-3"/>
        </w:rPr>
        <w:t xml:space="preserve"> cuando se emplea el método de la suma de valores ponderados</w:t>
      </w:r>
      <w:r w:rsidR="00D90D70" w:rsidRPr="004068F6">
        <w:rPr>
          <w:spacing w:val="-3"/>
        </w:rPr>
        <w:t>, por ejemplo</w:t>
      </w:r>
      <w:r w:rsidRPr="004068F6">
        <w:rPr>
          <w:spacing w:val="-3"/>
        </w:rPr>
        <w:t>. En caso de que se emplee este método y no exista independencia mutua de preferencias, se deben identificar los criterios que son dependientes entre sí y fusionarlos en uno sólo.</w:t>
      </w:r>
    </w:p>
    <w:p w14:paraId="024AA0A9" w14:textId="77777777" w:rsidR="001A4326" w:rsidRPr="004068F6" w:rsidRDefault="001A4326" w:rsidP="00716177">
      <w:pPr>
        <w:numPr>
          <w:ilvl w:val="12"/>
          <w:numId w:val="0"/>
        </w:numPr>
        <w:tabs>
          <w:tab w:val="left" w:pos="-2268"/>
        </w:tabs>
        <w:suppressAutoHyphens/>
        <w:ind w:left="567"/>
        <w:rPr>
          <w:spacing w:val="-3"/>
        </w:rPr>
      </w:pPr>
    </w:p>
    <w:p w14:paraId="04021365" w14:textId="3E66BAEB" w:rsidR="001A4326" w:rsidRPr="004068F6" w:rsidRDefault="001A4326" w:rsidP="00716177">
      <w:pPr>
        <w:numPr>
          <w:ilvl w:val="12"/>
          <w:numId w:val="0"/>
        </w:numPr>
        <w:tabs>
          <w:tab w:val="left" w:pos="-2268"/>
        </w:tabs>
        <w:suppressAutoHyphens/>
        <w:ind w:left="567"/>
        <w:rPr>
          <w:spacing w:val="-3"/>
        </w:rPr>
      </w:pPr>
      <w:r w:rsidRPr="004068F6">
        <w:rPr>
          <w:spacing w:val="-3"/>
        </w:rPr>
        <w:t xml:space="preserve">No se debe confundir la independencia mutua de preferencias con la correlación entre criterios, pues las preferencias se pueden establecer de forma independiente sin importar si los criterios están correlacionados entre sí; por ejemplo, los criterios asociados a impactos al medio biótico se correlacionan con los criterios asociados a impactos al medio socioeconómico (dado que los impactos al medio biótico pueden generar impactos en el medio socioeconómico), </w:t>
      </w:r>
      <w:r w:rsidR="00823F2D" w:rsidRPr="004068F6">
        <w:rPr>
          <w:spacing w:val="-3"/>
        </w:rPr>
        <w:t xml:space="preserve">sin que ello impida </w:t>
      </w:r>
      <w:r w:rsidRPr="004068F6">
        <w:rPr>
          <w:spacing w:val="-3"/>
        </w:rPr>
        <w:t>evaluar cada uno de estos criterios de forma independiente y sin importar la valoración dada a otros criterios.</w:t>
      </w:r>
    </w:p>
    <w:p w14:paraId="5EAEAC4F" w14:textId="77777777" w:rsidR="001A4326" w:rsidRPr="004068F6" w:rsidRDefault="001A4326" w:rsidP="001A4326">
      <w:pPr>
        <w:numPr>
          <w:ilvl w:val="12"/>
          <w:numId w:val="0"/>
        </w:numPr>
        <w:tabs>
          <w:tab w:val="left" w:pos="-2268"/>
        </w:tabs>
        <w:suppressAutoHyphens/>
        <w:rPr>
          <w:spacing w:val="-3"/>
        </w:rPr>
      </w:pPr>
    </w:p>
    <w:p w14:paraId="6E154062" w14:textId="55FBAC35" w:rsidR="001A4326" w:rsidRPr="004068F6" w:rsidRDefault="001A4326" w:rsidP="00716177">
      <w:pPr>
        <w:numPr>
          <w:ilvl w:val="0"/>
          <w:numId w:val="657"/>
        </w:numPr>
        <w:tabs>
          <w:tab w:val="left" w:pos="-2268"/>
        </w:tabs>
        <w:suppressAutoHyphens/>
        <w:ind w:left="567" w:hanging="567"/>
        <w:rPr>
          <w:spacing w:val="-3"/>
        </w:rPr>
      </w:pPr>
      <w:bookmarkStart w:id="2400" w:name="_Hlk118291857"/>
      <w:r w:rsidRPr="004068F6">
        <w:rPr>
          <w:b/>
          <w:bCs/>
          <w:spacing w:val="-3"/>
        </w:rPr>
        <w:t>Contabilidad única</w:t>
      </w:r>
      <w:bookmarkEnd w:id="2400"/>
      <w:r w:rsidRPr="004068F6">
        <w:rPr>
          <w:spacing w:val="-3"/>
        </w:rPr>
        <w:t>: debe asegurar que no exista doble contabilidad; ello ocurre cuando se incluyen varios criterios asociados a un mismo fenómeno o elemento bajo evaluación</w:t>
      </w:r>
      <w:r w:rsidR="003667C6" w:rsidRPr="004068F6">
        <w:rPr>
          <w:spacing w:val="-3"/>
        </w:rPr>
        <w:t xml:space="preserve"> </w:t>
      </w:r>
      <w:r w:rsidR="00516771" w:rsidRPr="004068F6">
        <w:rPr>
          <w:spacing w:val="-3"/>
        </w:rPr>
        <w:t xml:space="preserve">y </w:t>
      </w:r>
      <w:r w:rsidR="003667C6" w:rsidRPr="004068F6">
        <w:rPr>
          <w:spacing w:val="-3"/>
        </w:rPr>
        <w:t>resulta</w:t>
      </w:r>
      <w:r w:rsidRPr="004068F6">
        <w:rPr>
          <w:spacing w:val="-3"/>
        </w:rPr>
        <w:t xml:space="preserve">, </w:t>
      </w:r>
      <w:r w:rsidR="00733717" w:rsidRPr="004068F6">
        <w:rPr>
          <w:spacing w:val="-3"/>
        </w:rPr>
        <w:t xml:space="preserve">en una </w:t>
      </w:r>
      <w:r w:rsidR="00516771" w:rsidRPr="004068F6">
        <w:rPr>
          <w:spacing w:val="-3"/>
        </w:rPr>
        <w:t xml:space="preserve">sobre </w:t>
      </w:r>
      <w:r w:rsidR="00733717" w:rsidRPr="004068F6">
        <w:rPr>
          <w:spacing w:val="-3"/>
        </w:rPr>
        <w:t xml:space="preserve">valoración </w:t>
      </w:r>
      <w:r w:rsidR="00516771" w:rsidRPr="004068F6">
        <w:rPr>
          <w:spacing w:val="-3"/>
        </w:rPr>
        <w:t>oculta</w:t>
      </w:r>
      <w:r w:rsidR="003B0B7D" w:rsidRPr="004068F6">
        <w:rPr>
          <w:spacing w:val="-3"/>
        </w:rPr>
        <w:t xml:space="preserve"> (al darle </w:t>
      </w:r>
      <w:r w:rsidRPr="004068F6">
        <w:rPr>
          <w:spacing w:val="-3"/>
        </w:rPr>
        <w:t xml:space="preserve">más importancia </w:t>
      </w:r>
      <w:r w:rsidR="003B0B7D" w:rsidRPr="004068F6">
        <w:rPr>
          <w:spacing w:val="-3"/>
        </w:rPr>
        <w:t xml:space="preserve">a dicho fenómeno o elemento) </w:t>
      </w:r>
      <w:r w:rsidRPr="004068F6">
        <w:rPr>
          <w:spacing w:val="-3"/>
        </w:rPr>
        <w:t xml:space="preserve">y </w:t>
      </w:r>
      <w:r w:rsidR="003B0B7D" w:rsidRPr="004068F6">
        <w:rPr>
          <w:spacing w:val="-3"/>
        </w:rPr>
        <w:t xml:space="preserve">en </w:t>
      </w:r>
      <w:r w:rsidR="000A2872" w:rsidRPr="004068F6">
        <w:rPr>
          <w:spacing w:val="-3"/>
        </w:rPr>
        <w:t xml:space="preserve">una violación a </w:t>
      </w:r>
      <w:r w:rsidRPr="004068F6">
        <w:rPr>
          <w:spacing w:val="-3"/>
        </w:rPr>
        <w:t>las reglas fijadas para ponderar o integrar los valores de cada criterio mediante el método de agregación. Generalmente, al verificar que se contemplen los criterios que permiten diferenciar una buena alternativa de una mala, que no exista redundancia de criterios y que éstos tengan independencia mutua de preferencias, es posible garantizar que la contabilidad en la evaluación de preferencias es única.</w:t>
      </w:r>
    </w:p>
    <w:p w14:paraId="4053DD86" w14:textId="77777777" w:rsidR="001A4326" w:rsidRPr="004068F6" w:rsidRDefault="001A4326" w:rsidP="00716177">
      <w:pPr>
        <w:numPr>
          <w:ilvl w:val="12"/>
          <w:numId w:val="0"/>
        </w:numPr>
        <w:tabs>
          <w:tab w:val="left" w:pos="-2268"/>
        </w:tabs>
        <w:suppressAutoHyphens/>
        <w:ind w:left="567" w:hanging="567"/>
        <w:rPr>
          <w:spacing w:val="-3"/>
        </w:rPr>
      </w:pPr>
    </w:p>
    <w:p w14:paraId="6C662323" w14:textId="77777777" w:rsidR="001A4326" w:rsidRPr="004068F6" w:rsidRDefault="001A4326" w:rsidP="00716177">
      <w:pPr>
        <w:numPr>
          <w:ilvl w:val="0"/>
          <w:numId w:val="657"/>
        </w:numPr>
        <w:tabs>
          <w:tab w:val="left" w:pos="-2268"/>
        </w:tabs>
        <w:suppressAutoHyphens/>
        <w:ind w:left="567" w:hanging="567"/>
        <w:rPr>
          <w:spacing w:val="-3"/>
        </w:rPr>
      </w:pPr>
      <w:r w:rsidRPr="004068F6">
        <w:rPr>
          <w:b/>
          <w:bCs/>
          <w:spacing w:val="-3"/>
        </w:rPr>
        <w:t>Tamaño manejable</w:t>
      </w:r>
      <w:r w:rsidRPr="004068F6">
        <w:rPr>
          <w:spacing w:val="-3"/>
        </w:rPr>
        <w:t>: debe estar constituido por una cantidad manejable de criterios, es decir, no deben existir más criterios de los necesarios para cumplir el propósito de comparar e identificar las mejores alternativas desde el punto de vista ambiental. Ello implica también balancear la cantidad de criterios generales y de los referidos a las consecuencias sobre los medios abiótico, biótico y socioeconómico; alternativamente, es posible contrarrestar el desbalance en la cantidad de criterios en cada grupo, estableciendo un método de agregación de preferencias que corrija esta deficiencia.</w:t>
      </w:r>
    </w:p>
    <w:p w14:paraId="255EDE2B" w14:textId="77777777" w:rsidR="001A4326" w:rsidRPr="004068F6" w:rsidRDefault="001A4326" w:rsidP="001A4326">
      <w:pPr>
        <w:numPr>
          <w:ilvl w:val="12"/>
          <w:numId w:val="0"/>
        </w:numPr>
        <w:tabs>
          <w:tab w:val="left" w:pos="-2268"/>
        </w:tabs>
        <w:suppressAutoHyphens/>
        <w:rPr>
          <w:spacing w:val="-3"/>
        </w:rPr>
      </w:pPr>
    </w:p>
    <w:p w14:paraId="437DD330" w14:textId="77777777" w:rsidR="001A4326" w:rsidRPr="00466E26" w:rsidRDefault="001A4326" w:rsidP="000A1E20">
      <w:pPr>
        <w:pStyle w:val="Ttulo3"/>
      </w:pPr>
      <w:bookmarkStart w:id="2401" w:name="_Ref159417340"/>
      <w:bookmarkStart w:id="2402" w:name="_Toc230879618"/>
      <w:r w:rsidRPr="00466E26">
        <w:t>Ejecutar el procedimiento de EMC del método seleccionado</w:t>
      </w:r>
      <w:bookmarkEnd w:id="2401"/>
      <w:bookmarkEnd w:id="2402"/>
    </w:p>
    <w:p w14:paraId="4D1BC1C9" w14:textId="77777777" w:rsidR="001A4326" w:rsidRPr="004068F6" w:rsidRDefault="001A4326" w:rsidP="001A4326">
      <w:pPr>
        <w:numPr>
          <w:ilvl w:val="12"/>
          <w:numId w:val="0"/>
        </w:numPr>
        <w:tabs>
          <w:tab w:val="left" w:pos="-2268"/>
        </w:tabs>
        <w:suppressAutoHyphens/>
        <w:rPr>
          <w:spacing w:val="-3"/>
        </w:rPr>
      </w:pPr>
    </w:p>
    <w:p w14:paraId="3CE624B2" w14:textId="2B971C2A" w:rsidR="001A4326" w:rsidRPr="004068F6" w:rsidRDefault="001A4326" w:rsidP="001A4326">
      <w:pPr>
        <w:numPr>
          <w:ilvl w:val="12"/>
          <w:numId w:val="0"/>
        </w:numPr>
        <w:tabs>
          <w:tab w:val="left" w:pos="-2268"/>
        </w:tabs>
        <w:suppressAutoHyphens/>
        <w:rPr>
          <w:spacing w:val="-3"/>
        </w:rPr>
      </w:pPr>
      <w:r w:rsidRPr="004068F6">
        <w:rPr>
          <w:spacing w:val="-3"/>
        </w:rPr>
        <w:t>Una vez se definan los criterios de evaluación, se debe ejecutar el procedimiento de EMC que se haya seleccionado</w:t>
      </w:r>
      <w:r w:rsidR="00244B5E" w:rsidRPr="004068F6">
        <w:rPr>
          <w:spacing w:val="-3"/>
        </w:rPr>
        <w:t xml:space="preserve"> (la </w:t>
      </w:r>
      <w:r w:rsidR="00244B5E" w:rsidRPr="004068F6">
        <w:rPr>
          <w:spacing w:val="-3"/>
        </w:rPr>
        <w:fldChar w:fldCharType="begin"/>
      </w:r>
      <w:r w:rsidR="00244B5E" w:rsidRPr="004068F6">
        <w:rPr>
          <w:spacing w:val="-3"/>
        </w:rPr>
        <w:instrText xml:space="preserve"> REF _Ref138759265 \h </w:instrText>
      </w:r>
      <w:r w:rsidR="00244B5E" w:rsidRPr="004068F6">
        <w:rPr>
          <w:spacing w:val="-3"/>
        </w:rPr>
      </w:r>
      <w:r w:rsidR="00244B5E" w:rsidRPr="004068F6">
        <w:rPr>
          <w:spacing w:val="-3"/>
        </w:rPr>
        <w:fldChar w:fldCharType="separate"/>
      </w:r>
      <w:r w:rsidR="009C4A81" w:rsidRPr="004068F6">
        <w:t xml:space="preserve">Tabla </w:t>
      </w:r>
      <w:r w:rsidR="009C4A81">
        <w:rPr>
          <w:noProof/>
        </w:rPr>
        <w:t>14</w:t>
      </w:r>
      <w:r w:rsidR="00244B5E" w:rsidRPr="004068F6">
        <w:rPr>
          <w:spacing w:val="-3"/>
        </w:rPr>
        <w:fldChar w:fldCharType="end"/>
      </w:r>
      <w:r w:rsidR="0003209D" w:rsidRPr="004068F6">
        <w:rPr>
          <w:spacing w:val="-3"/>
        </w:rPr>
        <w:t xml:space="preserve"> ofrece un conjunto de métodos que puede ser empleado como referencia para selecci</w:t>
      </w:r>
      <w:r w:rsidR="007D12ED" w:rsidRPr="004068F6">
        <w:rPr>
          <w:spacing w:val="-3"/>
        </w:rPr>
        <w:t>onar el más apropiado al caso de evaluación</w:t>
      </w:r>
      <w:r w:rsidR="00244B5E" w:rsidRPr="004068F6">
        <w:rPr>
          <w:spacing w:val="-3"/>
        </w:rPr>
        <w:t>)</w:t>
      </w:r>
      <w:r w:rsidRPr="004068F6">
        <w:rPr>
          <w:spacing w:val="-3"/>
        </w:rPr>
        <w:t xml:space="preserve"> siguiendo las pautas definidas </w:t>
      </w:r>
      <w:r w:rsidR="00244B5E" w:rsidRPr="004068F6">
        <w:rPr>
          <w:spacing w:val="-3"/>
        </w:rPr>
        <w:t>por su formulador</w:t>
      </w:r>
      <w:r w:rsidRPr="004068F6">
        <w:rPr>
          <w:spacing w:val="-3"/>
        </w:rPr>
        <w:t xml:space="preserve"> y teniendo en cuenta que la forma de establecer las preferencias y de agregar las evaluaciones de cada criterio constituyen los aspectos que mayormente definen cada método.</w:t>
      </w:r>
      <w:r w:rsidR="00283C0C" w:rsidRPr="004068F6">
        <w:rPr>
          <w:spacing w:val="-3"/>
        </w:rPr>
        <w:t xml:space="preserve"> Asimismo, es necesario justificar las razones que llevaron a la elección del método y referenciar las fuentes técnicas que lo soportan.</w:t>
      </w:r>
    </w:p>
    <w:p w14:paraId="641A90FC" w14:textId="77777777" w:rsidR="001A4326" w:rsidRPr="004068F6" w:rsidRDefault="001A4326" w:rsidP="001A4326">
      <w:pPr>
        <w:numPr>
          <w:ilvl w:val="12"/>
          <w:numId w:val="0"/>
        </w:numPr>
        <w:tabs>
          <w:tab w:val="left" w:pos="-2268"/>
        </w:tabs>
        <w:suppressAutoHyphens/>
        <w:rPr>
          <w:spacing w:val="-3"/>
        </w:rPr>
      </w:pPr>
    </w:p>
    <w:p w14:paraId="6A3908F5" w14:textId="5CE3028E" w:rsidR="001A4326" w:rsidRPr="004068F6" w:rsidRDefault="001A4326" w:rsidP="001A4326">
      <w:pPr>
        <w:numPr>
          <w:ilvl w:val="12"/>
          <w:numId w:val="0"/>
        </w:numPr>
        <w:tabs>
          <w:tab w:val="left" w:pos="-2268"/>
        </w:tabs>
        <w:suppressAutoHyphens/>
        <w:rPr>
          <w:spacing w:val="-3"/>
        </w:rPr>
      </w:pPr>
      <w:r w:rsidRPr="004068F6">
        <w:rPr>
          <w:spacing w:val="-3"/>
        </w:rPr>
        <w:t>A continuación, se brindan algunos lineamientos para desarrollar la EMC usando el método de la suma ponderada</w:t>
      </w:r>
      <w:r w:rsidR="006A626B" w:rsidRPr="00127BD4">
        <w:rPr>
          <w:rStyle w:val="Refdenotaalpie"/>
          <w:spacing w:val="-3"/>
          <w:lang w:val="es-CO"/>
        </w:rPr>
        <w:footnoteReference w:id="68"/>
      </w:r>
      <w:r w:rsidRPr="004068F6">
        <w:rPr>
          <w:spacing w:val="-3"/>
        </w:rPr>
        <w:t>, un método elemental que puede usar información cardinal determinística, que es totalmente compensatorio, y que evalúa relaciones de preferencia e indiferencia mediante calificaciones directas del desempeño de cada alternativa.</w:t>
      </w:r>
    </w:p>
    <w:p w14:paraId="2919910C" w14:textId="77777777" w:rsidR="001A4326" w:rsidRPr="004068F6" w:rsidRDefault="001A4326" w:rsidP="001A4326">
      <w:pPr>
        <w:numPr>
          <w:ilvl w:val="12"/>
          <w:numId w:val="0"/>
        </w:numPr>
        <w:tabs>
          <w:tab w:val="left" w:pos="-2268"/>
        </w:tabs>
        <w:suppressAutoHyphens/>
        <w:rPr>
          <w:spacing w:val="-3"/>
        </w:rPr>
      </w:pPr>
    </w:p>
    <w:p w14:paraId="54DE3E5E" w14:textId="77777777" w:rsidR="001A4326" w:rsidRPr="004068F6" w:rsidRDefault="001A4326" w:rsidP="00C64D82">
      <w:pPr>
        <w:pStyle w:val="Ttulo4"/>
        <w:tabs>
          <w:tab w:val="clear" w:pos="1844"/>
          <w:tab w:val="num" w:pos="1134"/>
        </w:tabs>
        <w:ind w:left="0"/>
        <w:rPr>
          <w:lang w:val="es-CO"/>
        </w:rPr>
      </w:pPr>
      <w:r w:rsidRPr="004068F6">
        <w:rPr>
          <w:lang w:val="es-CO"/>
        </w:rPr>
        <w:t>Suma ponderada. Paso 1: evaluar el desempeño de las alternativas</w:t>
      </w:r>
    </w:p>
    <w:p w14:paraId="6D0B8126" w14:textId="77777777" w:rsidR="001A4326" w:rsidRPr="004068F6" w:rsidRDefault="001A4326" w:rsidP="001A4326">
      <w:pPr>
        <w:numPr>
          <w:ilvl w:val="12"/>
          <w:numId w:val="0"/>
        </w:numPr>
        <w:tabs>
          <w:tab w:val="left" w:pos="-2268"/>
        </w:tabs>
        <w:suppressAutoHyphens/>
        <w:rPr>
          <w:spacing w:val="-3"/>
        </w:rPr>
      </w:pPr>
    </w:p>
    <w:p w14:paraId="6D66894F" w14:textId="0F5DEC75" w:rsidR="001A4326" w:rsidRPr="004068F6" w:rsidRDefault="001A4326" w:rsidP="001A4326">
      <w:pPr>
        <w:numPr>
          <w:ilvl w:val="12"/>
          <w:numId w:val="0"/>
        </w:numPr>
        <w:tabs>
          <w:tab w:val="left" w:pos="-2268"/>
        </w:tabs>
        <w:suppressAutoHyphens/>
        <w:rPr>
          <w:spacing w:val="-3"/>
        </w:rPr>
      </w:pPr>
      <w:r w:rsidRPr="004068F6">
        <w:rPr>
          <w:spacing w:val="-3"/>
        </w:rPr>
        <w:t>El desempeño de cada alternativa debe ser evaluado empleando la matriz de evaluación de alternativas, en la cual para cada alternativa (A</w:t>
      </w:r>
      <w:r w:rsidRPr="004068F6">
        <w:rPr>
          <w:spacing w:val="-3"/>
          <w:vertAlign w:val="subscript"/>
        </w:rPr>
        <w:t>i</w:t>
      </w:r>
      <w:r w:rsidRPr="004068F6">
        <w:rPr>
          <w:spacing w:val="-3"/>
        </w:rPr>
        <w:t>) y criterio (C</w:t>
      </w:r>
      <w:r w:rsidRPr="004068F6">
        <w:rPr>
          <w:spacing w:val="-3"/>
          <w:vertAlign w:val="subscript"/>
        </w:rPr>
        <w:t>j</w:t>
      </w:r>
      <w:r w:rsidRPr="004068F6">
        <w:rPr>
          <w:spacing w:val="-3"/>
        </w:rPr>
        <w:t>) se asignan valores de desempeño (</w:t>
      </w:r>
      <w:r w:rsidRPr="004068F6">
        <w:rPr>
          <w:i/>
          <w:iCs/>
          <w:spacing w:val="-3"/>
        </w:rPr>
        <w:t>E</w:t>
      </w:r>
      <w:r w:rsidRPr="004068F6">
        <w:rPr>
          <w:spacing w:val="-3"/>
        </w:rPr>
        <w:t xml:space="preserve"> A</w:t>
      </w:r>
      <w:r w:rsidRPr="004068F6">
        <w:rPr>
          <w:spacing w:val="-3"/>
          <w:vertAlign w:val="subscript"/>
        </w:rPr>
        <w:t>i</w:t>
      </w:r>
      <w:r w:rsidRPr="004068F6">
        <w:rPr>
          <w:spacing w:val="-3"/>
        </w:rPr>
        <w:t xml:space="preserve"> C</w:t>
      </w:r>
      <w:r w:rsidRPr="004068F6">
        <w:rPr>
          <w:spacing w:val="-3"/>
          <w:vertAlign w:val="subscript"/>
        </w:rPr>
        <w:t>j</w:t>
      </w:r>
      <w:r w:rsidRPr="004068F6">
        <w:rPr>
          <w:spacing w:val="-3"/>
        </w:rPr>
        <w:t xml:space="preserve">) (ver </w:t>
      </w:r>
      <w:r w:rsidRPr="004068F6">
        <w:rPr>
          <w:spacing w:val="-3"/>
        </w:rPr>
        <w:fldChar w:fldCharType="begin"/>
      </w:r>
      <w:r w:rsidRPr="004068F6">
        <w:rPr>
          <w:spacing w:val="-3"/>
        </w:rPr>
        <w:instrText xml:space="preserve"> REF _Ref121128187 \h  \* MERGEFORMAT </w:instrText>
      </w:r>
      <w:r w:rsidRPr="004068F6">
        <w:rPr>
          <w:spacing w:val="-3"/>
        </w:rPr>
      </w:r>
      <w:r w:rsidRPr="004068F6">
        <w:rPr>
          <w:spacing w:val="-3"/>
        </w:rPr>
        <w:fldChar w:fldCharType="separate"/>
      </w:r>
      <w:r w:rsidR="009C4A81" w:rsidRPr="009C4A81">
        <w:rPr>
          <w:spacing w:val="-3"/>
        </w:rPr>
        <w:t>Tabla 13</w:t>
      </w:r>
      <w:r w:rsidRPr="004068F6">
        <w:rPr>
          <w:spacing w:val="-3"/>
        </w:rPr>
        <w:fldChar w:fldCharType="end"/>
      </w:r>
      <w:r w:rsidRPr="004068F6">
        <w:rPr>
          <w:spacing w:val="-3"/>
        </w:rPr>
        <w:t xml:space="preserve">). Dicha valoración se asigna usando una escala que permita valorar todas las alternativas a partir de lo que se considera mejor y peor para cada criterio (DCLG, 2009); por ejemplo, al evaluar un criterio asociado al impacto de las alternativas sobre </w:t>
      </w:r>
      <w:r w:rsidR="0086126A" w:rsidRPr="004068F6">
        <w:rPr>
          <w:spacing w:val="-3"/>
        </w:rPr>
        <w:t xml:space="preserve">Áreas </w:t>
      </w:r>
      <w:r w:rsidR="00270D14" w:rsidRPr="004068F6">
        <w:rPr>
          <w:spacing w:val="-3"/>
        </w:rPr>
        <w:t xml:space="preserve">de Especial Interés Ambiental </w:t>
      </w:r>
      <w:r w:rsidRPr="004068F6">
        <w:rPr>
          <w:spacing w:val="-3"/>
        </w:rPr>
        <w:t>(</w:t>
      </w:r>
      <w:r w:rsidR="0086126A" w:rsidRPr="004068F6">
        <w:rPr>
          <w:spacing w:val="-3"/>
        </w:rPr>
        <w:t>A</w:t>
      </w:r>
      <w:r w:rsidR="00270D14" w:rsidRPr="004068F6">
        <w:rPr>
          <w:spacing w:val="-3"/>
        </w:rPr>
        <w:t>EI</w:t>
      </w:r>
      <w:r w:rsidR="0086126A" w:rsidRPr="004068F6">
        <w:rPr>
          <w:spacing w:val="-3"/>
        </w:rPr>
        <w:t>A</w:t>
      </w:r>
      <w:r w:rsidRPr="004068F6">
        <w:rPr>
          <w:spacing w:val="-3"/>
        </w:rPr>
        <w:t>), se debe asignar el máximo valor posible cuando la alternativa no genere impactos sobre estas áreas y el mínimo valor cuando pueda impactarlas totalmente.</w:t>
      </w:r>
    </w:p>
    <w:p w14:paraId="11AE9B4E" w14:textId="77777777" w:rsidR="001A4326" w:rsidRPr="004068F6" w:rsidRDefault="001A4326" w:rsidP="001A4326">
      <w:pPr>
        <w:numPr>
          <w:ilvl w:val="12"/>
          <w:numId w:val="0"/>
        </w:numPr>
        <w:tabs>
          <w:tab w:val="left" w:pos="-2268"/>
        </w:tabs>
        <w:suppressAutoHyphens/>
        <w:rPr>
          <w:spacing w:val="-3"/>
        </w:rPr>
      </w:pPr>
    </w:p>
    <w:p w14:paraId="7288BFB2" w14:textId="77777777" w:rsidR="001A4326" w:rsidRPr="004068F6" w:rsidRDefault="001A4326" w:rsidP="001A4326">
      <w:pPr>
        <w:numPr>
          <w:ilvl w:val="12"/>
          <w:numId w:val="0"/>
        </w:numPr>
        <w:tabs>
          <w:tab w:val="left" w:pos="-2268"/>
        </w:tabs>
        <w:suppressAutoHyphens/>
        <w:rPr>
          <w:spacing w:val="-3"/>
        </w:rPr>
      </w:pPr>
      <w:r w:rsidRPr="004068F6">
        <w:rPr>
          <w:spacing w:val="-3"/>
        </w:rPr>
        <w:t>El propósito de esta escala de valoración es hacer posible la comparación de diferentes unidades de medida y establecer el desempeño global de cada alternativa mediante la agregación de su desempeño para cada criterio (DCLG, 2009); ello permite seleccionar la alternativa mejor puntuada.</w:t>
      </w:r>
    </w:p>
    <w:p w14:paraId="032F10FF" w14:textId="77777777" w:rsidR="001A4326" w:rsidRPr="004068F6" w:rsidRDefault="001A4326" w:rsidP="001A4326">
      <w:pPr>
        <w:numPr>
          <w:ilvl w:val="12"/>
          <w:numId w:val="0"/>
        </w:numPr>
        <w:tabs>
          <w:tab w:val="left" w:pos="-2268"/>
        </w:tabs>
        <w:suppressAutoHyphens/>
        <w:rPr>
          <w:spacing w:val="-3"/>
        </w:rPr>
      </w:pPr>
    </w:p>
    <w:p w14:paraId="3FABA788" w14:textId="77777777" w:rsidR="001A4326" w:rsidRPr="004068F6" w:rsidRDefault="001A4326" w:rsidP="001A4326">
      <w:pPr>
        <w:numPr>
          <w:ilvl w:val="12"/>
          <w:numId w:val="0"/>
        </w:numPr>
        <w:tabs>
          <w:tab w:val="left" w:pos="-2268"/>
        </w:tabs>
        <w:suppressAutoHyphens/>
        <w:rPr>
          <w:spacing w:val="-3"/>
        </w:rPr>
      </w:pPr>
      <w:r w:rsidRPr="004068F6">
        <w:rPr>
          <w:spacing w:val="-3"/>
        </w:rPr>
        <w:t>Las escalas de valoración usadas para el desarrollo de este método generalmente son escalas de intervalo, por ejemplo, entre 0 y 100 (DCLG, 2009). Este tipo de escalas no tienen un punto cero con significado verdadero</w:t>
      </w:r>
      <w:r w:rsidRPr="004068F6">
        <w:rPr>
          <w:spacing w:val="-3"/>
          <w:vertAlign w:val="superscript"/>
        </w:rPr>
        <w:footnoteReference w:id="69"/>
      </w:r>
      <w:r w:rsidRPr="004068F6">
        <w:rPr>
          <w:spacing w:val="-3"/>
        </w:rPr>
        <w:t xml:space="preserve"> y el rango de valoración es definido de forma arbitraria. Existen dos tipos de escalas de intervalo, las absolutas y las relativas.</w:t>
      </w:r>
    </w:p>
    <w:p w14:paraId="3746DC48" w14:textId="77777777" w:rsidR="001A4326" w:rsidRPr="004068F6" w:rsidRDefault="001A4326" w:rsidP="001A4326">
      <w:pPr>
        <w:numPr>
          <w:ilvl w:val="12"/>
          <w:numId w:val="0"/>
        </w:numPr>
        <w:tabs>
          <w:tab w:val="left" w:pos="-2268"/>
        </w:tabs>
        <w:suppressAutoHyphens/>
        <w:rPr>
          <w:spacing w:val="-3"/>
        </w:rPr>
      </w:pPr>
    </w:p>
    <w:p w14:paraId="347D98C3" w14:textId="77777777" w:rsidR="001A4326" w:rsidRPr="004068F6" w:rsidRDefault="001A4326" w:rsidP="001A4326">
      <w:pPr>
        <w:numPr>
          <w:ilvl w:val="12"/>
          <w:numId w:val="0"/>
        </w:numPr>
        <w:tabs>
          <w:tab w:val="left" w:pos="-2268"/>
        </w:tabs>
        <w:suppressAutoHyphens/>
        <w:rPr>
          <w:spacing w:val="-3"/>
        </w:rPr>
      </w:pPr>
      <w:r w:rsidRPr="004068F6">
        <w:rPr>
          <w:spacing w:val="-3"/>
        </w:rPr>
        <w:t xml:space="preserve">En las </w:t>
      </w:r>
      <w:r w:rsidRPr="004068F6">
        <w:rPr>
          <w:i/>
          <w:iCs/>
          <w:spacing w:val="-3"/>
        </w:rPr>
        <w:t>absolutas</w:t>
      </w:r>
      <w:r w:rsidRPr="004068F6">
        <w:rPr>
          <w:spacing w:val="-3"/>
        </w:rPr>
        <w:t xml:space="preserve"> el valor más bajo (0, por ejemplo) corresponde al peor desempeño posible para el criterio que corresponda, y el más alto (100, por ejemplo) al mejor desempeño posible para ese criterio; este tipo de escala define un estándar al definir los desempeños mínimos y máximos posibles. A pesar de que este tipo de escala facilita la definición de los pesos de los criterios, requiere de juicios muy bien sustentados para definir qué es lo que se considera “lo peor posible” y qué es lo que se considera “lo mejor posible”.</w:t>
      </w:r>
    </w:p>
    <w:p w14:paraId="515A4C2D" w14:textId="77777777" w:rsidR="001A4326" w:rsidRPr="004068F6" w:rsidRDefault="001A4326" w:rsidP="001A4326">
      <w:pPr>
        <w:numPr>
          <w:ilvl w:val="12"/>
          <w:numId w:val="0"/>
        </w:numPr>
        <w:tabs>
          <w:tab w:val="left" w:pos="-2268"/>
        </w:tabs>
        <w:suppressAutoHyphens/>
        <w:rPr>
          <w:spacing w:val="-3"/>
        </w:rPr>
      </w:pPr>
    </w:p>
    <w:p w14:paraId="1029444D" w14:textId="77777777" w:rsidR="001A4326" w:rsidRPr="004068F6" w:rsidRDefault="001A4326" w:rsidP="001A4326">
      <w:pPr>
        <w:numPr>
          <w:ilvl w:val="12"/>
          <w:numId w:val="0"/>
        </w:numPr>
        <w:tabs>
          <w:tab w:val="left" w:pos="-2268"/>
        </w:tabs>
        <w:suppressAutoHyphens/>
        <w:rPr>
          <w:spacing w:val="-3"/>
        </w:rPr>
      </w:pPr>
      <w:r w:rsidRPr="004068F6">
        <w:rPr>
          <w:spacing w:val="-3"/>
        </w:rPr>
        <w:t>De otra parte, en las escalas</w:t>
      </w:r>
      <w:r w:rsidRPr="004068F6">
        <w:rPr>
          <w:i/>
          <w:iCs/>
          <w:spacing w:val="-3"/>
        </w:rPr>
        <w:t xml:space="preserve"> relativas</w:t>
      </w:r>
      <w:r w:rsidRPr="004068F6">
        <w:rPr>
          <w:spacing w:val="-3"/>
        </w:rPr>
        <w:t xml:space="preserve"> el valor más bajo de la escala (0, por ejemplo) representa el desempeño de la peor alternativa y el más alto (100, por ejemplo), el de la mejor; es decir, la valoración de las alternativas se hace de forma relativa respecto de la peor y la mejor de ellas.</w:t>
      </w:r>
    </w:p>
    <w:p w14:paraId="1A2DEB4F" w14:textId="77777777" w:rsidR="001A4326" w:rsidRPr="004068F6" w:rsidRDefault="001A4326" w:rsidP="001A4326">
      <w:pPr>
        <w:numPr>
          <w:ilvl w:val="12"/>
          <w:numId w:val="0"/>
        </w:numPr>
        <w:tabs>
          <w:tab w:val="left" w:pos="-2268"/>
        </w:tabs>
        <w:suppressAutoHyphens/>
        <w:rPr>
          <w:spacing w:val="-3"/>
        </w:rPr>
      </w:pPr>
    </w:p>
    <w:p w14:paraId="6EA8E50D" w14:textId="77777777" w:rsidR="001A4326" w:rsidRPr="004068F6" w:rsidRDefault="001A4326" w:rsidP="001A4326">
      <w:pPr>
        <w:numPr>
          <w:ilvl w:val="12"/>
          <w:numId w:val="0"/>
        </w:numPr>
        <w:tabs>
          <w:tab w:val="left" w:pos="-2268"/>
        </w:tabs>
        <w:suppressAutoHyphens/>
        <w:rPr>
          <w:spacing w:val="-3"/>
        </w:rPr>
      </w:pPr>
      <w:r w:rsidRPr="004068F6">
        <w:rPr>
          <w:spacing w:val="-3"/>
        </w:rPr>
        <w:t>Una vez se definen las escalas para cada criterio es posible evaluar las alternativas. Dicha evaluación, dado que emplea escalas de intervalo (cualquier método compensatorio podría usar estas estas escalas), puede realizarse de las siguientes tres formas (DCLG, 2009):</w:t>
      </w:r>
    </w:p>
    <w:p w14:paraId="60681C21" w14:textId="77777777" w:rsidR="001A4326" w:rsidRPr="004068F6" w:rsidRDefault="001A4326" w:rsidP="001A4326">
      <w:pPr>
        <w:numPr>
          <w:ilvl w:val="12"/>
          <w:numId w:val="0"/>
        </w:numPr>
        <w:tabs>
          <w:tab w:val="left" w:pos="-2268"/>
        </w:tabs>
        <w:suppressAutoHyphens/>
        <w:rPr>
          <w:spacing w:val="-3"/>
        </w:rPr>
      </w:pPr>
    </w:p>
    <w:p w14:paraId="150C1A4C" w14:textId="77777777" w:rsidR="001A4326" w:rsidRPr="004068F6" w:rsidRDefault="001A4326" w:rsidP="00716177">
      <w:pPr>
        <w:numPr>
          <w:ilvl w:val="0"/>
          <w:numId w:val="658"/>
        </w:numPr>
        <w:tabs>
          <w:tab w:val="left" w:pos="-2268"/>
        </w:tabs>
        <w:suppressAutoHyphens/>
        <w:ind w:left="567" w:hanging="567"/>
        <w:rPr>
          <w:spacing w:val="-3"/>
        </w:rPr>
      </w:pPr>
      <w:r w:rsidRPr="004068F6">
        <w:rPr>
          <w:spacing w:val="-3"/>
        </w:rPr>
        <w:t>Mediante una función de valor. Para ello, primero se requiere establecer una función no necesariamente lineal que relacione los posibles valores de la escala y lo que se considera bueno o malo; esta función se puede expresar matemática o gráficamente. Una vez se cuente con dicha función, se determina la valoración de cada alternativa. Por ejemplo, la función establece cómo se valoraría la posible emisión de un gas contaminante (supongamos en kg/año) en una escala de 0 a 100, y la valoración de cada alternativa señala, tomando como base dicha función, el puntaje en la escala de 0 a 100 que le corresponde a cada alternativa de acuerdo con el grado emisión previsto.</w:t>
      </w:r>
    </w:p>
    <w:p w14:paraId="0C599633" w14:textId="77777777" w:rsidR="001A4326" w:rsidRPr="004068F6" w:rsidRDefault="001A4326" w:rsidP="00716177">
      <w:pPr>
        <w:numPr>
          <w:ilvl w:val="12"/>
          <w:numId w:val="0"/>
        </w:numPr>
        <w:tabs>
          <w:tab w:val="left" w:pos="-2268"/>
        </w:tabs>
        <w:suppressAutoHyphens/>
        <w:ind w:left="567" w:hanging="567"/>
        <w:rPr>
          <w:spacing w:val="-3"/>
        </w:rPr>
      </w:pPr>
    </w:p>
    <w:p w14:paraId="63E3EC08" w14:textId="2A6854EE" w:rsidR="001A4326" w:rsidRPr="004068F6" w:rsidRDefault="001A4326" w:rsidP="00716177">
      <w:pPr>
        <w:numPr>
          <w:ilvl w:val="0"/>
          <w:numId w:val="658"/>
        </w:numPr>
        <w:tabs>
          <w:tab w:val="left" w:pos="-2268"/>
        </w:tabs>
        <w:suppressAutoHyphens/>
        <w:ind w:left="567" w:hanging="567"/>
        <w:rPr>
          <w:spacing w:val="-3"/>
        </w:rPr>
      </w:pPr>
      <w:r w:rsidRPr="004068F6">
        <w:rPr>
          <w:spacing w:val="-3"/>
        </w:rPr>
        <w:lastRenderedPageBreak/>
        <w:t xml:space="preserve">Mediante opinión de expertos. Consiste en la valoración directa del desempeño que da un experto según su opinión, asignando un valor dentro del intervalo establecido. Se aplica cuando no hay una unidad de medida y se recomienda que sea ejecutada por expertos que no tengan intereses en la decisión que evalúan. Si la evaluación es realizada por varias personas, se deben formular </w:t>
      </w:r>
      <w:r w:rsidR="00573C83" w:rsidRPr="004068F6">
        <w:rPr>
          <w:spacing w:val="-3"/>
        </w:rPr>
        <w:t xml:space="preserve">lineamientos </w:t>
      </w:r>
      <w:r w:rsidRPr="004068F6">
        <w:rPr>
          <w:spacing w:val="-3"/>
        </w:rPr>
        <w:t>sobre cómo valorar el desempeño para que la evaluación obedezca a un mismo patrón. Es importante verificar la consistencia de las valoraciones chequeando que diferencias similares entre el desempeño de las alternativas se reflejen de forma consecuente en su puntuación.</w:t>
      </w:r>
    </w:p>
    <w:p w14:paraId="39E2D004" w14:textId="77777777" w:rsidR="001A4326" w:rsidRPr="004068F6" w:rsidRDefault="001A4326" w:rsidP="00716177">
      <w:pPr>
        <w:numPr>
          <w:ilvl w:val="12"/>
          <w:numId w:val="0"/>
        </w:numPr>
        <w:tabs>
          <w:tab w:val="left" w:pos="-2268"/>
        </w:tabs>
        <w:suppressAutoHyphens/>
        <w:ind w:left="567" w:hanging="567"/>
        <w:rPr>
          <w:spacing w:val="-3"/>
        </w:rPr>
      </w:pPr>
    </w:p>
    <w:p w14:paraId="4D52EC83" w14:textId="77777777" w:rsidR="001A4326" w:rsidRPr="004068F6" w:rsidRDefault="001A4326" w:rsidP="00716177">
      <w:pPr>
        <w:numPr>
          <w:ilvl w:val="0"/>
          <w:numId w:val="658"/>
        </w:numPr>
        <w:tabs>
          <w:tab w:val="left" w:pos="-2268"/>
        </w:tabs>
        <w:suppressAutoHyphens/>
        <w:ind w:left="567" w:hanging="567"/>
        <w:rPr>
          <w:spacing w:val="-3"/>
        </w:rPr>
      </w:pPr>
      <w:r w:rsidRPr="004068F6">
        <w:rPr>
          <w:spacing w:val="-3"/>
        </w:rPr>
        <w:t>Mediante opinión de un experto en pares. Es una valoración indirecta dada por un experto que, mediante categorías lingüísticas señala el desempeño de cada alternativa con respecto a las demás; por ejemplo, establece si entre dos alternativas para un criterio determinado hay diferencias muy débiles, moderadas o extremas entre sus consecuencias. Para procesar los datos y analizar los resultados de este tipo de evaluación, es recomendable emplear programas informáticos especializados.</w:t>
      </w:r>
    </w:p>
    <w:p w14:paraId="01484D3D" w14:textId="77777777" w:rsidR="001A4326" w:rsidRPr="004068F6" w:rsidRDefault="001A4326" w:rsidP="001A4326">
      <w:pPr>
        <w:numPr>
          <w:ilvl w:val="12"/>
          <w:numId w:val="0"/>
        </w:numPr>
        <w:tabs>
          <w:tab w:val="left" w:pos="-2268"/>
        </w:tabs>
        <w:suppressAutoHyphens/>
        <w:rPr>
          <w:spacing w:val="-3"/>
        </w:rPr>
      </w:pPr>
    </w:p>
    <w:p w14:paraId="4DC7C300" w14:textId="7F8EF9C3" w:rsidR="001A4326" w:rsidRPr="004068F6" w:rsidRDefault="001A4326" w:rsidP="001A4326">
      <w:pPr>
        <w:numPr>
          <w:ilvl w:val="12"/>
          <w:numId w:val="0"/>
        </w:numPr>
        <w:tabs>
          <w:tab w:val="left" w:pos="-2268"/>
        </w:tabs>
        <w:suppressAutoHyphens/>
        <w:rPr>
          <w:spacing w:val="-3"/>
        </w:rPr>
      </w:pPr>
      <w:r w:rsidRPr="004068F6">
        <w:rPr>
          <w:spacing w:val="-3"/>
        </w:rPr>
        <w:t>Es importante que cualquier forma de valoración, independientemente del tipo de escala seleccionada, se sustente en una evaluación ambiental juiciosa, bien desarrollada y que permita captar los impactos ambientales de la forma más precisa posible dentro de los alcances que puede tener la evaluación ambiental en un DAA.</w:t>
      </w:r>
    </w:p>
    <w:p w14:paraId="0390A66E" w14:textId="77777777" w:rsidR="001A4326" w:rsidRPr="004068F6" w:rsidRDefault="001A4326" w:rsidP="001A4326">
      <w:pPr>
        <w:numPr>
          <w:ilvl w:val="12"/>
          <w:numId w:val="0"/>
        </w:numPr>
        <w:tabs>
          <w:tab w:val="left" w:pos="-2268"/>
        </w:tabs>
        <w:suppressAutoHyphens/>
        <w:rPr>
          <w:spacing w:val="-3"/>
        </w:rPr>
      </w:pPr>
    </w:p>
    <w:p w14:paraId="5F4D7737" w14:textId="77777777" w:rsidR="001A4326" w:rsidRPr="004068F6" w:rsidRDefault="001A4326" w:rsidP="001A4326">
      <w:pPr>
        <w:numPr>
          <w:ilvl w:val="12"/>
          <w:numId w:val="0"/>
        </w:numPr>
        <w:tabs>
          <w:tab w:val="left" w:pos="-2268"/>
        </w:tabs>
        <w:suppressAutoHyphens/>
        <w:rPr>
          <w:spacing w:val="-3"/>
        </w:rPr>
      </w:pPr>
      <w:r w:rsidRPr="004068F6">
        <w:rPr>
          <w:spacing w:val="-3"/>
        </w:rPr>
        <w:t>Finalmente, se debe chequear la consistencia en la asignación de puntajes verificando el cumplimiento de tres condiciones (DCLG, 2009):</w:t>
      </w:r>
    </w:p>
    <w:p w14:paraId="39E36E18" w14:textId="77777777" w:rsidR="001A4326" w:rsidRPr="004068F6" w:rsidRDefault="001A4326" w:rsidP="001A4326">
      <w:pPr>
        <w:numPr>
          <w:ilvl w:val="12"/>
          <w:numId w:val="0"/>
        </w:numPr>
        <w:tabs>
          <w:tab w:val="left" w:pos="-2268"/>
        </w:tabs>
        <w:suppressAutoHyphens/>
        <w:rPr>
          <w:spacing w:val="-3"/>
        </w:rPr>
      </w:pPr>
    </w:p>
    <w:p w14:paraId="650364E2" w14:textId="77777777" w:rsidR="001A4326" w:rsidRPr="004068F6" w:rsidRDefault="001A4326" w:rsidP="00716177">
      <w:pPr>
        <w:numPr>
          <w:ilvl w:val="0"/>
          <w:numId w:val="660"/>
        </w:numPr>
        <w:tabs>
          <w:tab w:val="left" w:pos="-2268"/>
        </w:tabs>
        <w:suppressAutoHyphens/>
        <w:ind w:left="567" w:hanging="567"/>
        <w:rPr>
          <w:spacing w:val="-3"/>
        </w:rPr>
      </w:pPr>
      <w:r w:rsidRPr="004068F6">
        <w:rPr>
          <w:spacing w:val="-3"/>
        </w:rPr>
        <w:t>Transitividad a través de las alternativas, es decir, si la alternativa A se prefiere sobre la alternativa B, y la B se prefiere sobre la alternativa C, entonces la alternativa A se prefiere sobre la C, lo cual es un requisito en caso de que la EMC se exprese en términos numéricos, como sucede generalmente en el marco del licenciamiento ambiental.</w:t>
      </w:r>
    </w:p>
    <w:p w14:paraId="6F7A0525" w14:textId="77777777" w:rsidR="00716177" w:rsidRPr="004068F6" w:rsidRDefault="00716177" w:rsidP="00716177">
      <w:pPr>
        <w:tabs>
          <w:tab w:val="left" w:pos="-2268"/>
        </w:tabs>
        <w:suppressAutoHyphens/>
        <w:rPr>
          <w:spacing w:val="-3"/>
        </w:rPr>
      </w:pPr>
    </w:p>
    <w:p w14:paraId="4E422DF5" w14:textId="77777777" w:rsidR="001A4326" w:rsidRPr="004068F6" w:rsidRDefault="001A4326" w:rsidP="00716177">
      <w:pPr>
        <w:numPr>
          <w:ilvl w:val="0"/>
          <w:numId w:val="660"/>
        </w:numPr>
        <w:tabs>
          <w:tab w:val="left" w:pos="-2268"/>
        </w:tabs>
        <w:suppressAutoHyphens/>
        <w:ind w:left="567" w:hanging="567"/>
        <w:rPr>
          <w:spacing w:val="-3"/>
        </w:rPr>
      </w:pPr>
      <w:r w:rsidRPr="004068F6">
        <w:rPr>
          <w:spacing w:val="-3"/>
        </w:rPr>
        <w:t>Equivalencia lógica entre preferencias y sistemas numéricos, ósea, que a una preferencia mayor le corresponda un número más alto en la evaluación.</w:t>
      </w:r>
    </w:p>
    <w:p w14:paraId="3F7CA089" w14:textId="77777777" w:rsidR="00716177" w:rsidRPr="004068F6" w:rsidRDefault="00716177" w:rsidP="00716177">
      <w:pPr>
        <w:tabs>
          <w:tab w:val="left" w:pos="-2268"/>
        </w:tabs>
        <w:suppressAutoHyphens/>
        <w:rPr>
          <w:spacing w:val="-3"/>
        </w:rPr>
      </w:pPr>
    </w:p>
    <w:p w14:paraId="5BE9F382" w14:textId="77777777" w:rsidR="001A4326" w:rsidRPr="004068F6" w:rsidRDefault="001A4326" w:rsidP="00716177">
      <w:pPr>
        <w:numPr>
          <w:ilvl w:val="0"/>
          <w:numId w:val="660"/>
        </w:numPr>
        <w:tabs>
          <w:tab w:val="left" w:pos="-2268"/>
        </w:tabs>
        <w:suppressAutoHyphens/>
        <w:ind w:left="567" w:hanging="567"/>
        <w:rPr>
          <w:spacing w:val="-3"/>
        </w:rPr>
      </w:pPr>
      <w:r w:rsidRPr="004068F6">
        <w:rPr>
          <w:spacing w:val="-3"/>
        </w:rPr>
        <w:t>Correspondencia entre valoraciones y funciones empleadas (lineales o no lineales), en caso de aplicar.</w:t>
      </w:r>
    </w:p>
    <w:p w14:paraId="392FA475" w14:textId="77777777" w:rsidR="001A4326" w:rsidRDefault="001A4326" w:rsidP="001A4326">
      <w:pPr>
        <w:numPr>
          <w:ilvl w:val="12"/>
          <w:numId w:val="0"/>
        </w:numPr>
        <w:tabs>
          <w:tab w:val="left" w:pos="-2268"/>
        </w:tabs>
        <w:suppressAutoHyphens/>
        <w:rPr>
          <w:spacing w:val="-3"/>
        </w:rPr>
      </w:pPr>
    </w:p>
    <w:p w14:paraId="25D3EB43" w14:textId="77777777" w:rsidR="003A0E45" w:rsidRDefault="003A0E45" w:rsidP="001A4326">
      <w:pPr>
        <w:numPr>
          <w:ilvl w:val="12"/>
          <w:numId w:val="0"/>
        </w:numPr>
        <w:tabs>
          <w:tab w:val="left" w:pos="-2268"/>
        </w:tabs>
        <w:suppressAutoHyphens/>
        <w:rPr>
          <w:spacing w:val="-3"/>
        </w:rPr>
      </w:pPr>
    </w:p>
    <w:p w14:paraId="5278ABE7" w14:textId="77777777" w:rsidR="003A0E45" w:rsidRDefault="003A0E45" w:rsidP="001A4326">
      <w:pPr>
        <w:numPr>
          <w:ilvl w:val="12"/>
          <w:numId w:val="0"/>
        </w:numPr>
        <w:tabs>
          <w:tab w:val="left" w:pos="-2268"/>
        </w:tabs>
        <w:suppressAutoHyphens/>
        <w:rPr>
          <w:spacing w:val="-3"/>
        </w:rPr>
      </w:pPr>
    </w:p>
    <w:p w14:paraId="75038BA5" w14:textId="77777777" w:rsidR="003A0E45" w:rsidRPr="004068F6" w:rsidRDefault="003A0E45" w:rsidP="001A4326">
      <w:pPr>
        <w:numPr>
          <w:ilvl w:val="12"/>
          <w:numId w:val="0"/>
        </w:numPr>
        <w:tabs>
          <w:tab w:val="left" w:pos="-2268"/>
        </w:tabs>
        <w:suppressAutoHyphens/>
        <w:rPr>
          <w:spacing w:val="-3"/>
        </w:rPr>
      </w:pPr>
    </w:p>
    <w:p w14:paraId="73C4FB5C" w14:textId="1899B6AC" w:rsidR="001A4326" w:rsidRPr="004068F6" w:rsidRDefault="001A4326" w:rsidP="00C64D82">
      <w:pPr>
        <w:pStyle w:val="Ttulo4"/>
        <w:tabs>
          <w:tab w:val="clear" w:pos="1844"/>
          <w:tab w:val="num" w:pos="1134"/>
        </w:tabs>
        <w:ind w:left="0"/>
        <w:rPr>
          <w:lang w:val="es-CO"/>
        </w:rPr>
      </w:pPr>
      <w:r w:rsidRPr="004068F6">
        <w:rPr>
          <w:lang w:val="es-CO"/>
        </w:rPr>
        <w:lastRenderedPageBreak/>
        <w:t>Suma ponderada. Paso 2: establecer la ponderación de cada criterio para que refleje su importancia relativa</w:t>
      </w:r>
    </w:p>
    <w:p w14:paraId="66EBF6F9" w14:textId="77777777" w:rsidR="001A4326" w:rsidRPr="004068F6" w:rsidRDefault="001A4326" w:rsidP="001A4326">
      <w:pPr>
        <w:numPr>
          <w:ilvl w:val="12"/>
          <w:numId w:val="0"/>
        </w:numPr>
        <w:tabs>
          <w:tab w:val="left" w:pos="-2268"/>
        </w:tabs>
        <w:suppressAutoHyphens/>
        <w:rPr>
          <w:spacing w:val="-3"/>
        </w:rPr>
      </w:pPr>
    </w:p>
    <w:p w14:paraId="056EA6B9" w14:textId="77777777" w:rsidR="001A4326" w:rsidRPr="004068F6" w:rsidRDefault="001A4326" w:rsidP="001A4326">
      <w:pPr>
        <w:numPr>
          <w:ilvl w:val="12"/>
          <w:numId w:val="0"/>
        </w:numPr>
        <w:tabs>
          <w:tab w:val="left" w:pos="-2268"/>
        </w:tabs>
        <w:suppressAutoHyphens/>
        <w:rPr>
          <w:spacing w:val="-3"/>
        </w:rPr>
      </w:pPr>
      <w:r w:rsidRPr="004068F6">
        <w:rPr>
          <w:spacing w:val="-3"/>
        </w:rPr>
        <w:t>Antes de combinar las valoraciones dadas a cada alternativa mediante diversos criterios, es necesario ponderar cada criterio según su importancia relativa. El método más común para asignar esta importancia relativa es el Método de ponderación oscilante.</w:t>
      </w:r>
    </w:p>
    <w:p w14:paraId="00FEA8C7" w14:textId="77777777" w:rsidR="001A4326" w:rsidRPr="004068F6" w:rsidRDefault="001A4326" w:rsidP="001A4326">
      <w:pPr>
        <w:numPr>
          <w:ilvl w:val="12"/>
          <w:numId w:val="0"/>
        </w:numPr>
        <w:tabs>
          <w:tab w:val="left" w:pos="-2268"/>
        </w:tabs>
        <w:suppressAutoHyphens/>
        <w:rPr>
          <w:spacing w:val="-3"/>
        </w:rPr>
      </w:pPr>
    </w:p>
    <w:p w14:paraId="449D9C28" w14:textId="3759AB8B" w:rsidR="001A4326" w:rsidRPr="004068F6" w:rsidRDefault="001A4326" w:rsidP="001A4326">
      <w:pPr>
        <w:numPr>
          <w:ilvl w:val="12"/>
          <w:numId w:val="0"/>
        </w:numPr>
        <w:tabs>
          <w:tab w:val="left" w:pos="-2268"/>
        </w:tabs>
        <w:suppressAutoHyphens/>
        <w:rPr>
          <w:spacing w:val="-3"/>
        </w:rPr>
      </w:pPr>
      <w:r w:rsidRPr="004068F6">
        <w:rPr>
          <w:spacing w:val="-3"/>
        </w:rPr>
        <w:t xml:space="preserve">Este método establece el peso de un criterio identificando qué tanto varían sus valoraciones respecto las valoraciones de los demás criterios, y qué tanto importa esa diferencia en el contexto de la toma de decisión (DCLG, 2009). Por ejemplo, se puede suponer que el criterio </w:t>
      </w:r>
      <w:r w:rsidRPr="004068F6">
        <w:rPr>
          <w:i/>
          <w:spacing w:val="-3"/>
        </w:rPr>
        <w:t>impacto sobre los cuerpos de agua</w:t>
      </w:r>
      <w:r w:rsidRPr="004068F6">
        <w:rPr>
          <w:spacing w:val="-3"/>
        </w:rPr>
        <w:t xml:space="preserve"> es muy importante, pero si las diferencias de las valoraciones de las alternativas asociadas a este criterio no son pronunciadas (ósea, las alternativas impactan relativamente igual este componente ambiental), entonces el criterio </w:t>
      </w:r>
      <w:r w:rsidRPr="004068F6">
        <w:rPr>
          <w:i/>
          <w:spacing w:val="-3"/>
        </w:rPr>
        <w:t>impacto sobre los cuerpos de agua</w:t>
      </w:r>
      <w:r w:rsidRPr="004068F6">
        <w:rPr>
          <w:spacing w:val="-3"/>
        </w:rPr>
        <w:t xml:space="preserve"> podría tener menor importancia que uno referido al </w:t>
      </w:r>
      <w:r w:rsidRPr="004068F6">
        <w:rPr>
          <w:i/>
          <w:iCs/>
          <w:spacing w:val="-3"/>
        </w:rPr>
        <w:t>impacto sobre ecosistemas estratégicos</w:t>
      </w:r>
      <w:r w:rsidRPr="004068F6">
        <w:rPr>
          <w:spacing w:val="-3"/>
        </w:rPr>
        <w:t xml:space="preserve"> en los que hay más variación entre alternativas y además, dicha diferencia tiene gran importancia para elegir la mejor alternativa.</w:t>
      </w:r>
    </w:p>
    <w:p w14:paraId="6D7C7768" w14:textId="77777777" w:rsidR="001A4326" w:rsidRPr="004068F6" w:rsidRDefault="001A4326" w:rsidP="001A4326">
      <w:pPr>
        <w:numPr>
          <w:ilvl w:val="12"/>
          <w:numId w:val="0"/>
        </w:numPr>
        <w:tabs>
          <w:tab w:val="left" w:pos="-2268"/>
        </w:tabs>
        <w:suppressAutoHyphens/>
        <w:rPr>
          <w:spacing w:val="-3"/>
        </w:rPr>
      </w:pPr>
    </w:p>
    <w:p w14:paraId="24AF3E39" w14:textId="0DDA93A5" w:rsidR="00BE10DF" w:rsidRPr="004068F6" w:rsidRDefault="001A4326" w:rsidP="001A4326">
      <w:pPr>
        <w:numPr>
          <w:ilvl w:val="12"/>
          <w:numId w:val="0"/>
        </w:numPr>
        <w:tabs>
          <w:tab w:val="left" w:pos="-2268"/>
        </w:tabs>
        <w:suppressAutoHyphens/>
        <w:rPr>
          <w:spacing w:val="-3"/>
        </w:rPr>
      </w:pPr>
      <w:r w:rsidRPr="004068F6">
        <w:rPr>
          <w:spacing w:val="-3"/>
        </w:rPr>
        <w:t xml:space="preserve">De esta forma, se le puede asignar el mayor peso al criterio con mayor oscilación de valoraciones y, a partir de él, establecer los pesos de los demás criterios según la variación de sus valoraciones. Es importante señalar que esta oscilación también puede emplearse para mejorar la </w:t>
      </w:r>
      <w:r w:rsidRPr="00127BD4">
        <w:rPr>
          <w:i/>
          <w:iCs/>
          <w:spacing w:val="-3"/>
        </w:rPr>
        <w:t>formulación</w:t>
      </w:r>
      <w:r w:rsidRPr="004068F6">
        <w:rPr>
          <w:spacing w:val="-3"/>
        </w:rPr>
        <w:t xml:space="preserve"> de las alternativas, </w:t>
      </w:r>
      <w:r w:rsidR="00C14310" w:rsidRPr="004068F6">
        <w:rPr>
          <w:spacing w:val="-3"/>
        </w:rPr>
        <w:t>centrándose</w:t>
      </w:r>
      <w:r w:rsidR="00627607" w:rsidRPr="004068F6">
        <w:rPr>
          <w:spacing w:val="-3"/>
        </w:rPr>
        <w:t xml:space="preserve"> en mejorar </w:t>
      </w:r>
      <w:r w:rsidRPr="004068F6">
        <w:rPr>
          <w:spacing w:val="-3"/>
        </w:rPr>
        <w:t xml:space="preserve">las características </w:t>
      </w:r>
      <w:r w:rsidR="00627607" w:rsidRPr="004068F6">
        <w:rPr>
          <w:spacing w:val="-3"/>
        </w:rPr>
        <w:t xml:space="preserve">de las alternativas </w:t>
      </w:r>
      <w:r w:rsidRPr="004068F6">
        <w:rPr>
          <w:spacing w:val="-3"/>
        </w:rPr>
        <w:t xml:space="preserve">asociadas a criterios calificados como importantes </w:t>
      </w:r>
      <w:r w:rsidR="006628AF" w:rsidRPr="004068F6">
        <w:rPr>
          <w:spacing w:val="-3"/>
        </w:rPr>
        <w:t xml:space="preserve">que tengan </w:t>
      </w:r>
      <w:r w:rsidRPr="004068F6">
        <w:rPr>
          <w:spacing w:val="-3"/>
        </w:rPr>
        <w:t xml:space="preserve">poca variación </w:t>
      </w:r>
      <w:r w:rsidR="000626E6" w:rsidRPr="004068F6">
        <w:rPr>
          <w:spacing w:val="-3"/>
        </w:rPr>
        <w:t xml:space="preserve">entre alternativas </w:t>
      </w:r>
      <w:r w:rsidRPr="004068F6">
        <w:rPr>
          <w:spacing w:val="-3"/>
        </w:rPr>
        <w:t xml:space="preserve">y para los cuales </w:t>
      </w:r>
      <w:r w:rsidR="000626E6" w:rsidRPr="004068F6">
        <w:rPr>
          <w:spacing w:val="-3"/>
        </w:rPr>
        <w:t xml:space="preserve">sea </w:t>
      </w:r>
      <w:r w:rsidRPr="004068F6">
        <w:rPr>
          <w:spacing w:val="-3"/>
        </w:rPr>
        <w:t>posible realizar cambios positivos (DCLG, 2009)</w:t>
      </w:r>
      <w:r w:rsidR="00BE10DF" w:rsidRPr="004068F6">
        <w:rPr>
          <w:spacing w:val="-3"/>
        </w:rPr>
        <w:t>.</w:t>
      </w:r>
    </w:p>
    <w:p w14:paraId="22CBC5F8" w14:textId="77777777" w:rsidR="00BE10DF" w:rsidRPr="004068F6" w:rsidRDefault="00BE10DF" w:rsidP="001A4326">
      <w:pPr>
        <w:numPr>
          <w:ilvl w:val="12"/>
          <w:numId w:val="0"/>
        </w:numPr>
        <w:tabs>
          <w:tab w:val="left" w:pos="-2268"/>
        </w:tabs>
        <w:suppressAutoHyphens/>
        <w:rPr>
          <w:spacing w:val="-3"/>
        </w:rPr>
      </w:pPr>
    </w:p>
    <w:p w14:paraId="5AFDC405" w14:textId="42BFBC28" w:rsidR="001A4326" w:rsidRPr="004068F6" w:rsidRDefault="00BE10DF" w:rsidP="001A4326">
      <w:pPr>
        <w:numPr>
          <w:ilvl w:val="12"/>
          <w:numId w:val="0"/>
        </w:numPr>
        <w:tabs>
          <w:tab w:val="left" w:pos="-2268"/>
        </w:tabs>
        <w:suppressAutoHyphens/>
        <w:rPr>
          <w:spacing w:val="-3"/>
        </w:rPr>
      </w:pPr>
      <w:r w:rsidRPr="004068F6">
        <w:rPr>
          <w:spacing w:val="-3"/>
        </w:rPr>
        <w:t>P</w:t>
      </w:r>
      <w:r w:rsidR="00373DF3" w:rsidRPr="004068F6">
        <w:rPr>
          <w:spacing w:val="-3"/>
        </w:rPr>
        <w:t xml:space="preserve">or ejemplo, si se identifica que </w:t>
      </w:r>
      <w:r w:rsidR="00BC0A95" w:rsidRPr="004068F6">
        <w:rPr>
          <w:spacing w:val="-3"/>
        </w:rPr>
        <w:t xml:space="preserve">el </w:t>
      </w:r>
      <w:r w:rsidR="00ED55BC" w:rsidRPr="004068F6">
        <w:rPr>
          <w:spacing w:val="-3"/>
        </w:rPr>
        <w:t xml:space="preserve">criterio </w:t>
      </w:r>
      <w:r w:rsidR="006803FC" w:rsidRPr="004068F6">
        <w:rPr>
          <w:i/>
          <w:spacing w:val="-3"/>
        </w:rPr>
        <w:t>impacto sobre los cuerpos de agua</w:t>
      </w:r>
      <w:r w:rsidR="006803FC" w:rsidRPr="004068F6">
        <w:rPr>
          <w:spacing w:val="-3"/>
        </w:rPr>
        <w:t xml:space="preserve"> es muy importante</w:t>
      </w:r>
      <w:r w:rsidR="00BC0A95" w:rsidRPr="004068F6">
        <w:rPr>
          <w:spacing w:val="-3"/>
        </w:rPr>
        <w:t xml:space="preserve"> y que las alternativas </w:t>
      </w:r>
      <w:r w:rsidR="00FD5FA9" w:rsidRPr="004068F6">
        <w:rPr>
          <w:spacing w:val="-3"/>
        </w:rPr>
        <w:t xml:space="preserve">se comportan relativamente igual de mal </w:t>
      </w:r>
      <w:r w:rsidR="00B83DEB" w:rsidRPr="004068F6">
        <w:rPr>
          <w:spacing w:val="-3"/>
        </w:rPr>
        <w:t xml:space="preserve">frente a </w:t>
      </w:r>
      <w:r w:rsidR="00A73CC1" w:rsidRPr="004068F6">
        <w:rPr>
          <w:spacing w:val="-3"/>
        </w:rPr>
        <w:t xml:space="preserve">este criterio, es posible modificar las características </w:t>
      </w:r>
      <w:r w:rsidR="00246A67" w:rsidRPr="004068F6">
        <w:rPr>
          <w:spacing w:val="-3"/>
        </w:rPr>
        <w:t xml:space="preserve">de localización, tecnología o diseño de </w:t>
      </w:r>
      <w:r w:rsidR="009524FF" w:rsidRPr="004068F6">
        <w:rPr>
          <w:spacing w:val="-3"/>
        </w:rPr>
        <w:t>l</w:t>
      </w:r>
      <w:r w:rsidR="002E6625" w:rsidRPr="004068F6">
        <w:rPr>
          <w:spacing w:val="-3"/>
        </w:rPr>
        <w:t xml:space="preserve">as </w:t>
      </w:r>
      <w:r w:rsidR="00246A67" w:rsidRPr="004068F6">
        <w:rPr>
          <w:spacing w:val="-3"/>
        </w:rPr>
        <w:t>alternativas</w:t>
      </w:r>
      <w:r w:rsidR="005F4AC9" w:rsidRPr="004068F6">
        <w:rPr>
          <w:spacing w:val="-3"/>
        </w:rPr>
        <w:t xml:space="preserve"> para </w:t>
      </w:r>
      <w:r w:rsidR="006D2F2A" w:rsidRPr="004068F6">
        <w:rPr>
          <w:spacing w:val="-3"/>
        </w:rPr>
        <w:t xml:space="preserve">que </w:t>
      </w:r>
      <w:r w:rsidR="00314A51" w:rsidRPr="004068F6">
        <w:rPr>
          <w:spacing w:val="-3"/>
        </w:rPr>
        <w:t xml:space="preserve">generen un menor </w:t>
      </w:r>
      <w:r w:rsidR="005F4AC9" w:rsidRPr="004068F6">
        <w:rPr>
          <w:spacing w:val="-3"/>
        </w:rPr>
        <w:t xml:space="preserve">impacto a </w:t>
      </w:r>
      <w:r w:rsidR="00314A51" w:rsidRPr="004068F6">
        <w:rPr>
          <w:spacing w:val="-3"/>
        </w:rPr>
        <w:t xml:space="preserve">los </w:t>
      </w:r>
      <w:r w:rsidR="005F4AC9" w:rsidRPr="004068F6">
        <w:rPr>
          <w:spacing w:val="-3"/>
        </w:rPr>
        <w:t>cuerpos de agua</w:t>
      </w:r>
      <w:r w:rsidR="006D2F2A" w:rsidRPr="004068F6">
        <w:rPr>
          <w:spacing w:val="-3"/>
        </w:rPr>
        <w:t xml:space="preserve"> y así mejor</w:t>
      </w:r>
      <w:r w:rsidR="00675F82" w:rsidRPr="004068F6">
        <w:rPr>
          <w:spacing w:val="-3"/>
        </w:rPr>
        <w:t xml:space="preserve">en </w:t>
      </w:r>
      <w:r w:rsidR="006D2F2A" w:rsidRPr="004068F6">
        <w:rPr>
          <w:spacing w:val="-3"/>
        </w:rPr>
        <w:t>su desempeño ambiental</w:t>
      </w:r>
      <w:r w:rsidR="001A4326" w:rsidRPr="004068F6">
        <w:rPr>
          <w:spacing w:val="-3"/>
        </w:rPr>
        <w:t>.</w:t>
      </w:r>
    </w:p>
    <w:p w14:paraId="5455DBBE" w14:textId="77777777" w:rsidR="001A4326" w:rsidRPr="004068F6" w:rsidRDefault="001A4326" w:rsidP="001A4326">
      <w:pPr>
        <w:numPr>
          <w:ilvl w:val="12"/>
          <w:numId w:val="0"/>
        </w:numPr>
        <w:tabs>
          <w:tab w:val="left" w:pos="-2268"/>
        </w:tabs>
        <w:suppressAutoHyphens/>
        <w:rPr>
          <w:spacing w:val="-3"/>
        </w:rPr>
      </w:pPr>
    </w:p>
    <w:p w14:paraId="7CDBDF63" w14:textId="77777777" w:rsidR="001A4326" w:rsidRPr="004068F6" w:rsidRDefault="001A4326" w:rsidP="00C64D82">
      <w:pPr>
        <w:pStyle w:val="Ttulo4"/>
        <w:tabs>
          <w:tab w:val="clear" w:pos="1844"/>
          <w:tab w:val="num" w:pos="1134"/>
        </w:tabs>
        <w:ind w:left="0"/>
        <w:rPr>
          <w:lang w:val="es-CO"/>
        </w:rPr>
      </w:pPr>
      <w:r w:rsidRPr="004068F6">
        <w:rPr>
          <w:lang w:val="es-CO"/>
        </w:rPr>
        <w:t>Suma ponderada. Paso 3: combinar los pesos y puntajes de cada alternativa para obtener un valor general</w:t>
      </w:r>
    </w:p>
    <w:p w14:paraId="1A15D13A" w14:textId="77777777" w:rsidR="001A4326" w:rsidRPr="004068F6" w:rsidRDefault="001A4326" w:rsidP="001A4326">
      <w:pPr>
        <w:numPr>
          <w:ilvl w:val="12"/>
          <w:numId w:val="0"/>
        </w:numPr>
        <w:tabs>
          <w:tab w:val="left" w:pos="-2268"/>
        </w:tabs>
        <w:suppressAutoHyphens/>
        <w:rPr>
          <w:spacing w:val="-3"/>
        </w:rPr>
      </w:pPr>
    </w:p>
    <w:p w14:paraId="52086613" w14:textId="77777777" w:rsidR="001A4326" w:rsidRPr="004068F6" w:rsidRDefault="001A4326" w:rsidP="001A4326">
      <w:pPr>
        <w:numPr>
          <w:ilvl w:val="12"/>
          <w:numId w:val="0"/>
        </w:numPr>
        <w:tabs>
          <w:tab w:val="left" w:pos="-2268"/>
        </w:tabs>
        <w:suppressAutoHyphens/>
        <w:rPr>
          <w:spacing w:val="-3"/>
        </w:rPr>
      </w:pPr>
      <w:r w:rsidRPr="004068F6">
        <w:rPr>
          <w:spacing w:val="-3"/>
        </w:rPr>
        <w:t>Una vez se obtenga la evaluación de desempeño de las alternativas para cada criterio y se establezca la ponderación o importancia relativa de cada uno de ellos, se debe agregar la información por alternativa de acuerdo con el procedimiento de agregación. En el caso del método de suma de promedios ponderados, el puntaje de cada alternativa se obtiene sumando los productos de la evaluación de desempeño de cada criterio por los pesos relativos de éstos (DCLG, 2009).</w:t>
      </w:r>
    </w:p>
    <w:p w14:paraId="2740D619" w14:textId="77777777" w:rsidR="001A4326" w:rsidRPr="004068F6" w:rsidRDefault="001A4326" w:rsidP="001A4326">
      <w:pPr>
        <w:numPr>
          <w:ilvl w:val="12"/>
          <w:numId w:val="0"/>
        </w:numPr>
        <w:tabs>
          <w:tab w:val="left" w:pos="-2268"/>
        </w:tabs>
        <w:suppressAutoHyphens/>
        <w:rPr>
          <w:spacing w:val="-3"/>
        </w:rPr>
      </w:pPr>
    </w:p>
    <w:p w14:paraId="7D6245D5" w14:textId="77777777" w:rsidR="001A4326" w:rsidRPr="004068F6" w:rsidRDefault="001A4326" w:rsidP="001A4326">
      <w:pPr>
        <w:numPr>
          <w:ilvl w:val="12"/>
          <w:numId w:val="0"/>
        </w:numPr>
        <w:tabs>
          <w:tab w:val="left" w:pos="-2268"/>
        </w:tabs>
        <w:suppressAutoHyphens/>
        <w:rPr>
          <w:spacing w:val="-3"/>
        </w:rPr>
      </w:pPr>
      <w:r w:rsidRPr="004068F6">
        <w:rPr>
          <w:spacing w:val="-3"/>
        </w:rPr>
        <w:lastRenderedPageBreak/>
        <w:t>Es importante recalcar que en el caso de emplear el método de promedios ponderados es fundamental y necesaria la independencia mutua de preferencias, es decir, que los criterios se puedan evaluar de forma independiente a los resultados de la evaluación de los demás criterios (Guitouni &amp; Martel, 1998; Munda, 2008; DCLG, 2009).</w:t>
      </w:r>
    </w:p>
    <w:p w14:paraId="3E1E0AE5" w14:textId="77777777" w:rsidR="001A4326" w:rsidRPr="004068F6" w:rsidRDefault="001A4326" w:rsidP="001A4326">
      <w:pPr>
        <w:numPr>
          <w:ilvl w:val="12"/>
          <w:numId w:val="0"/>
        </w:numPr>
        <w:tabs>
          <w:tab w:val="left" w:pos="-2268"/>
        </w:tabs>
        <w:suppressAutoHyphens/>
        <w:rPr>
          <w:spacing w:val="-3"/>
        </w:rPr>
      </w:pPr>
    </w:p>
    <w:p w14:paraId="2194B940" w14:textId="4C1624F6" w:rsidR="001A4326" w:rsidRPr="004068F6" w:rsidRDefault="001A4326" w:rsidP="001A4326">
      <w:pPr>
        <w:numPr>
          <w:ilvl w:val="12"/>
          <w:numId w:val="0"/>
        </w:numPr>
        <w:tabs>
          <w:tab w:val="left" w:pos="-2268"/>
        </w:tabs>
        <w:suppressAutoHyphens/>
        <w:rPr>
          <w:spacing w:val="-3"/>
        </w:rPr>
      </w:pPr>
      <w:r w:rsidRPr="004068F6">
        <w:rPr>
          <w:spacing w:val="-3"/>
        </w:rPr>
        <w:t xml:space="preserve">De forma adicional al método de suma ponderada y con el propósito de incorporar elementos de veto en el modelo de toma de decisión, es posible introducir factores multiplicativos. Por ejemplo, si se encuentra la necesidad de incorporar un criterio que no es compensatorio y que por tanto no es admitido en el método de sumas ponderadas, al finalizar el procedimiento de agregación y </w:t>
      </w:r>
      <w:r w:rsidR="00E37432">
        <w:rPr>
          <w:spacing w:val="-3"/>
        </w:rPr>
        <w:t xml:space="preserve">al </w:t>
      </w:r>
      <w:r w:rsidRPr="004068F6">
        <w:rPr>
          <w:spacing w:val="-3"/>
        </w:rPr>
        <w:t>obtener los puntajes por alternativa, es posible valorar el comportamiento de las alternativas frente a dicho criterio no compensatorio multiplicando por 1 en caso de que la alternativa se comporte satisfactoriamente, o por 0 en caso de que su comportamiento frente al criterio no sea admisible y por tanto la alternativa deba ser descartada.</w:t>
      </w:r>
    </w:p>
    <w:p w14:paraId="61939FB8" w14:textId="77777777" w:rsidR="001A4326" w:rsidRPr="004068F6" w:rsidRDefault="001A4326" w:rsidP="001A4326">
      <w:pPr>
        <w:numPr>
          <w:ilvl w:val="12"/>
          <w:numId w:val="0"/>
        </w:numPr>
        <w:tabs>
          <w:tab w:val="left" w:pos="-2268"/>
        </w:tabs>
        <w:suppressAutoHyphens/>
        <w:rPr>
          <w:spacing w:val="-3"/>
        </w:rPr>
      </w:pPr>
    </w:p>
    <w:p w14:paraId="77633D04" w14:textId="2E095E98" w:rsidR="001A4326" w:rsidRPr="00466E26" w:rsidRDefault="001A4326" w:rsidP="000A1E20">
      <w:pPr>
        <w:pStyle w:val="Ttulo3"/>
      </w:pPr>
      <w:bookmarkStart w:id="2403" w:name="_Toc230879619"/>
      <w:r w:rsidRPr="00466E26">
        <w:t>Ejecutar un análisis de sensibilidad</w:t>
      </w:r>
      <w:bookmarkEnd w:id="2403"/>
    </w:p>
    <w:p w14:paraId="3528C73A" w14:textId="77777777" w:rsidR="001A4326" w:rsidRPr="004068F6" w:rsidRDefault="001A4326" w:rsidP="001A4326">
      <w:pPr>
        <w:numPr>
          <w:ilvl w:val="12"/>
          <w:numId w:val="0"/>
        </w:numPr>
        <w:tabs>
          <w:tab w:val="left" w:pos="-2268"/>
        </w:tabs>
        <w:suppressAutoHyphens/>
        <w:rPr>
          <w:spacing w:val="-3"/>
        </w:rPr>
      </w:pPr>
    </w:p>
    <w:p w14:paraId="786FD0D0" w14:textId="684B370E" w:rsidR="001A4326" w:rsidRPr="004068F6" w:rsidRDefault="00966F17" w:rsidP="001A4326">
      <w:pPr>
        <w:numPr>
          <w:ilvl w:val="12"/>
          <w:numId w:val="0"/>
        </w:numPr>
        <w:tabs>
          <w:tab w:val="left" w:pos="-2268"/>
        </w:tabs>
        <w:suppressAutoHyphens/>
        <w:rPr>
          <w:spacing w:val="-3"/>
        </w:rPr>
      </w:pPr>
      <w:r w:rsidRPr="004068F6">
        <w:rPr>
          <w:spacing w:val="-3"/>
        </w:rPr>
        <w:t>E</w:t>
      </w:r>
      <w:r w:rsidR="001A4326" w:rsidRPr="004068F6">
        <w:rPr>
          <w:spacing w:val="-3"/>
        </w:rPr>
        <w:t>l propósito de este análisis de sensibilidad es verificar qué tan robustas son las alternativas frente a cambios o errores en la información, especialmente en los pesos asignados a los criterios, es decir, determinar cuál es la posibilidad de tomar una decisión errónea y qué tan errónea puede ser. De esta forma, es posible conocer en profundidad los criterios, condiciones ambientales y características de las alternativas que más influyen en la decisión, brindando elementos adicionales para la selección.</w:t>
      </w:r>
    </w:p>
    <w:p w14:paraId="74AAA61C" w14:textId="77777777" w:rsidR="001A4326" w:rsidRPr="004068F6" w:rsidRDefault="001A4326" w:rsidP="001A4326">
      <w:pPr>
        <w:numPr>
          <w:ilvl w:val="12"/>
          <w:numId w:val="0"/>
        </w:numPr>
        <w:tabs>
          <w:tab w:val="left" w:pos="-2268"/>
        </w:tabs>
        <w:suppressAutoHyphens/>
        <w:rPr>
          <w:spacing w:val="-3"/>
        </w:rPr>
      </w:pPr>
    </w:p>
    <w:p w14:paraId="0503F07F" w14:textId="2901CD02" w:rsidR="006037EF" w:rsidRPr="004068F6" w:rsidRDefault="00966F17" w:rsidP="001A4326">
      <w:pPr>
        <w:numPr>
          <w:ilvl w:val="12"/>
          <w:numId w:val="0"/>
        </w:numPr>
        <w:tabs>
          <w:tab w:val="left" w:pos="-2268"/>
        </w:tabs>
        <w:suppressAutoHyphens/>
        <w:rPr>
          <w:spacing w:val="-3"/>
        </w:rPr>
      </w:pPr>
      <w:r w:rsidRPr="004068F6">
        <w:rPr>
          <w:spacing w:val="-3"/>
        </w:rPr>
        <w:t xml:space="preserve">El propósito del </w:t>
      </w:r>
      <w:r w:rsidR="001A4326" w:rsidRPr="004068F6">
        <w:rPr>
          <w:spacing w:val="-3"/>
        </w:rPr>
        <w:t xml:space="preserve">análisis de sensibilidad </w:t>
      </w:r>
      <w:r w:rsidRPr="004068F6">
        <w:rPr>
          <w:spacing w:val="-3"/>
        </w:rPr>
        <w:t xml:space="preserve">es </w:t>
      </w:r>
      <w:r w:rsidR="001A4326" w:rsidRPr="004068F6">
        <w:rPr>
          <w:spacing w:val="-3"/>
        </w:rPr>
        <w:t>establecer hasta qué punto la variación en el desempeño de las alternativas (que en el caso del método de suma ponderada se expresa mediante puntajes y pesos de criterios) afecta los resultados, es decir, la elección, orden o calificación de las alternativas según el método que se emplee (DCLG, 2009)</w:t>
      </w:r>
      <w:r w:rsidRPr="004068F6">
        <w:rPr>
          <w:spacing w:val="-3"/>
        </w:rPr>
        <w:t xml:space="preserve">. </w:t>
      </w:r>
      <w:r w:rsidR="0021037C" w:rsidRPr="004068F6">
        <w:rPr>
          <w:spacing w:val="-3"/>
        </w:rPr>
        <w:t>Por ello, e</w:t>
      </w:r>
      <w:r w:rsidR="00FF4777" w:rsidRPr="004068F6">
        <w:rPr>
          <w:spacing w:val="-3"/>
        </w:rPr>
        <w:t xml:space="preserve">l análisis permite </w:t>
      </w:r>
      <w:r w:rsidRPr="004068F6">
        <w:rPr>
          <w:spacing w:val="-3"/>
        </w:rPr>
        <w:t>conocer en profundidad los criterios, condiciones ambientales y características de las alternativas que más influyen en la decisión, brindando elementos adicionales para la selección</w:t>
      </w:r>
      <w:r w:rsidR="006037EF" w:rsidRPr="004068F6">
        <w:rPr>
          <w:spacing w:val="-3"/>
        </w:rPr>
        <w:t xml:space="preserve"> </w:t>
      </w:r>
      <w:r w:rsidR="0021037C" w:rsidRPr="004068F6">
        <w:rPr>
          <w:spacing w:val="-3"/>
        </w:rPr>
        <w:t xml:space="preserve">de alternativas </w:t>
      </w:r>
      <w:r w:rsidR="006037EF" w:rsidRPr="004068F6">
        <w:rPr>
          <w:spacing w:val="-3"/>
        </w:rPr>
        <w:t xml:space="preserve">al </w:t>
      </w:r>
      <w:r w:rsidR="0021037C" w:rsidRPr="004068F6">
        <w:rPr>
          <w:spacing w:val="-3"/>
        </w:rPr>
        <w:t xml:space="preserve">determinar </w:t>
      </w:r>
      <w:r w:rsidR="006037EF" w:rsidRPr="004068F6">
        <w:rPr>
          <w:spacing w:val="-3"/>
        </w:rPr>
        <w:t>qué tan robustas son frente a cambios o errores en la información.</w:t>
      </w:r>
    </w:p>
    <w:p w14:paraId="1D5A3170" w14:textId="77777777" w:rsidR="006037EF" w:rsidRPr="004068F6" w:rsidRDefault="006037EF" w:rsidP="001A4326">
      <w:pPr>
        <w:numPr>
          <w:ilvl w:val="12"/>
          <w:numId w:val="0"/>
        </w:numPr>
        <w:tabs>
          <w:tab w:val="left" w:pos="-2268"/>
        </w:tabs>
        <w:suppressAutoHyphens/>
        <w:rPr>
          <w:spacing w:val="-3"/>
        </w:rPr>
      </w:pPr>
    </w:p>
    <w:p w14:paraId="16292F7C" w14:textId="0AAD0182" w:rsidR="001A4326" w:rsidRPr="004068F6" w:rsidRDefault="001A4326" w:rsidP="001A4326">
      <w:pPr>
        <w:numPr>
          <w:ilvl w:val="12"/>
          <w:numId w:val="0"/>
        </w:numPr>
        <w:tabs>
          <w:tab w:val="left" w:pos="-2268"/>
        </w:tabs>
        <w:suppressAutoHyphens/>
        <w:rPr>
          <w:spacing w:val="-3"/>
        </w:rPr>
      </w:pPr>
      <w:r w:rsidRPr="004068F6">
        <w:rPr>
          <w:spacing w:val="-3"/>
        </w:rPr>
        <w:t xml:space="preserve">Básicamente este análisis consiste en </w:t>
      </w:r>
      <w:r w:rsidR="0038684D" w:rsidRPr="004068F6">
        <w:rPr>
          <w:spacing w:val="-3"/>
        </w:rPr>
        <w:t xml:space="preserve">modificar </w:t>
      </w:r>
      <w:r w:rsidRPr="004068F6">
        <w:rPr>
          <w:spacing w:val="-3"/>
        </w:rPr>
        <w:t>gradualmente el nivel de desempeño asignado a cada alternativa (para las sumas ponderadas se refiere a los puntajes y a los pesos relativos de los criterios) y en analizar los resultados.</w:t>
      </w:r>
      <w:r w:rsidR="00FC14F9" w:rsidRPr="004068F6">
        <w:rPr>
          <w:spacing w:val="-3"/>
        </w:rPr>
        <w:t xml:space="preserve"> Así, e</w:t>
      </w:r>
      <w:r w:rsidRPr="004068F6">
        <w:rPr>
          <w:spacing w:val="-3"/>
        </w:rPr>
        <w:t>s posible que del análisis de sensibilidad se concluya que es necesario incluir criterios adicionales que no fueron considerados previamente y que pueden resultar decisivos</w:t>
      </w:r>
      <w:r w:rsidR="0060630A" w:rsidRPr="004068F6">
        <w:rPr>
          <w:spacing w:val="-3"/>
        </w:rPr>
        <w:t>.</w:t>
      </w:r>
      <w:r w:rsidRPr="004068F6">
        <w:rPr>
          <w:spacing w:val="-3"/>
        </w:rPr>
        <w:t xml:space="preserve"> </w:t>
      </w:r>
    </w:p>
    <w:p w14:paraId="450F5E5F" w14:textId="77777777" w:rsidR="001A4326" w:rsidRPr="004068F6" w:rsidRDefault="001A4326" w:rsidP="001A4326">
      <w:pPr>
        <w:numPr>
          <w:ilvl w:val="12"/>
          <w:numId w:val="0"/>
        </w:numPr>
        <w:tabs>
          <w:tab w:val="left" w:pos="-2268"/>
        </w:tabs>
        <w:suppressAutoHyphens/>
        <w:rPr>
          <w:spacing w:val="-3"/>
        </w:rPr>
      </w:pPr>
    </w:p>
    <w:p w14:paraId="79A4306F" w14:textId="77777777" w:rsidR="001A4326" w:rsidRPr="004068F6" w:rsidRDefault="001A4326" w:rsidP="001A4326">
      <w:pPr>
        <w:numPr>
          <w:ilvl w:val="12"/>
          <w:numId w:val="0"/>
        </w:numPr>
        <w:tabs>
          <w:tab w:val="left" w:pos="-2268"/>
        </w:tabs>
        <w:suppressAutoHyphens/>
        <w:rPr>
          <w:spacing w:val="-3"/>
        </w:rPr>
      </w:pPr>
      <w:r w:rsidRPr="004068F6">
        <w:rPr>
          <w:spacing w:val="-3"/>
        </w:rPr>
        <w:t xml:space="preserve">Si se evidencia que los resultados son relativamente los mismos sin importar si se han modificado los desempeños (preferencias), o que las diferencias finales entre las preferencias siempre son pequeñas, es posible evaluar la posibilidad de elegir la segunda mejor alternativa dado que puede representar una pequeña pérdida de </w:t>
      </w:r>
      <w:r w:rsidRPr="004068F6">
        <w:rPr>
          <w:spacing w:val="-3"/>
        </w:rPr>
        <w:lastRenderedPageBreak/>
        <w:t>beneficio general pero un beneficio en otros criterios no contemplados o evaluados sólo desde un punto de vista (DCLG, 2009).</w:t>
      </w:r>
    </w:p>
    <w:p w14:paraId="2AE30EEE" w14:textId="77777777" w:rsidR="001A4326" w:rsidRPr="004068F6" w:rsidRDefault="001A4326" w:rsidP="001A4326">
      <w:pPr>
        <w:numPr>
          <w:ilvl w:val="12"/>
          <w:numId w:val="0"/>
        </w:numPr>
        <w:tabs>
          <w:tab w:val="left" w:pos="-2268"/>
        </w:tabs>
        <w:suppressAutoHyphens/>
        <w:rPr>
          <w:spacing w:val="-3"/>
        </w:rPr>
      </w:pPr>
    </w:p>
    <w:p w14:paraId="63C09CFF" w14:textId="3002AF20" w:rsidR="001A4326" w:rsidRPr="004068F6" w:rsidRDefault="001A4326" w:rsidP="001A4326">
      <w:pPr>
        <w:numPr>
          <w:ilvl w:val="12"/>
          <w:numId w:val="0"/>
        </w:numPr>
        <w:tabs>
          <w:tab w:val="left" w:pos="-2268"/>
        </w:tabs>
        <w:suppressAutoHyphens/>
        <w:rPr>
          <w:spacing w:val="-3"/>
        </w:rPr>
      </w:pPr>
      <w:r w:rsidRPr="004068F6">
        <w:rPr>
          <w:spacing w:val="-3"/>
        </w:rPr>
        <w:t xml:space="preserve">En caso de que la EMC se haya desarrollado de forma participativa, el análisis de sensibilidad puede ayudar a superar diferencias entre actores, pues permite evaluar cómo las diferentes preferencias (valoraciones y pesos en caso del método de suma ponderada) soportan o refutan argumentos contrapuestos. Asimismo, es un escenario propicio para mejorar </w:t>
      </w:r>
      <w:r w:rsidR="00185AC1" w:rsidRPr="004068F6">
        <w:rPr>
          <w:spacing w:val="-3"/>
        </w:rPr>
        <w:t xml:space="preserve">la </w:t>
      </w:r>
      <w:r w:rsidR="00185AC1" w:rsidRPr="00127BD4">
        <w:rPr>
          <w:i/>
          <w:iCs/>
          <w:spacing w:val="-3"/>
        </w:rPr>
        <w:t>formulación</w:t>
      </w:r>
      <w:r w:rsidR="00185AC1" w:rsidRPr="004068F6">
        <w:rPr>
          <w:spacing w:val="-3"/>
        </w:rPr>
        <w:t xml:space="preserve"> de </w:t>
      </w:r>
      <w:r w:rsidRPr="004068F6">
        <w:rPr>
          <w:spacing w:val="-3"/>
        </w:rPr>
        <w:t xml:space="preserve">las </w:t>
      </w:r>
      <w:r w:rsidR="007079CF" w:rsidRPr="004068F6">
        <w:rPr>
          <w:spacing w:val="-3"/>
        </w:rPr>
        <w:t xml:space="preserve">condiciones de localización, diseño o tecnología de las </w:t>
      </w:r>
      <w:r w:rsidRPr="004068F6">
        <w:rPr>
          <w:spacing w:val="-3"/>
        </w:rPr>
        <w:t>alternativas dado que estas modificaciones progresivas revelan posibilidades de ajuste, asociadas fundamentalmente a los criterios para los cuales se encontraron diferencias menores entre alternativas y que brindan la posibilidad de introducir mejoras.</w:t>
      </w:r>
    </w:p>
    <w:p w14:paraId="6F53C8FC" w14:textId="77777777" w:rsidR="001A4326" w:rsidRPr="004068F6" w:rsidRDefault="001A4326" w:rsidP="001A4326">
      <w:pPr>
        <w:numPr>
          <w:ilvl w:val="12"/>
          <w:numId w:val="0"/>
        </w:numPr>
        <w:tabs>
          <w:tab w:val="left" w:pos="-2268"/>
        </w:tabs>
        <w:suppressAutoHyphens/>
        <w:rPr>
          <w:spacing w:val="-3"/>
        </w:rPr>
      </w:pPr>
    </w:p>
    <w:p w14:paraId="7C527064" w14:textId="77777777" w:rsidR="001A4326" w:rsidRPr="00466E26" w:rsidRDefault="001A4326" w:rsidP="000A1E20">
      <w:pPr>
        <w:pStyle w:val="Ttulo3"/>
      </w:pPr>
      <w:bookmarkStart w:id="2404" w:name="_Toc230879620"/>
      <w:r w:rsidRPr="00466E26">
        <w:t>Formular ajustes a las alternativas</w:t>
      </w:r>
      <w:bookmarkEnd w:id="2404"/>
    </w:p>
    <w:p w14:paraId="01AEAE7C" w14:textId="77777777" w:rsidR="001A4326" w:rsidRPr="004068F6" w:rsidRDefault="001A4326" w:rsidP="001A4326">
      <w:pPr>
        <w:numPr>
          <w:ilvl w:val="12"/>
          <w:numId w:val="0"/>
        </w:numPr>
        <w:tabs>
          <w:tab w:val="left" w:pos="-2268"/>
        </w:tabs>
        <w:suppressAutoHyphens/>
        <w:rPr>
          <w:spacing w:val="-3"/>
        </w:rPr>
      </w:pPr>
    </w:p>
    <w:p w14:paraId="25686BCB" w14:textId="41BD00A1" w:rsidR="001A4326" w:rsidRPr="004068F6" w:rsidRDefault="001A4326" w:rsidP="001A4326">
      <w:pPr>
        <w:numPr>
          <w:ilvl w:val="12"/>
          <w:numId w:val="0"/>
        </w:numPr>
        <w:tabs>
          <w:tab w:val="left" w:pos="-2268"/>
        </w:tabs>
        <w:suppressAutoHyphens/>
        <w:rPr>
          <w:spacing w:val="-3"/>
        </w:rPr>
      </w:pPr>
      <w:r w:rsidRPr="004068F6">
        <w:rPr>
          <w:spacing w:val="-3"/>
        </w:rPr>
        <w:t>Es conveniente identificar y comparar las ventajas y las desventajas de cada alternativa con el fin de encontrar diferencias clave que permitan mejorar la formulación de las alternativas</w:t>
      </w:r>
      <w:r w:rsidR="003371C0" w:rsidRPr="004068F6">
        <w:rPr>
          <w:spacing w:val="-3"/>
        </w:rPr>
        <w:t>, es decir, su</w:t>
      </w:r>
      <w:r w:rsidR="00F77A4E" w:rsidRPr="004068F6">
        <w:rPr>
          <w:spacing w:val="-3"/>
        </w:rPr>
        <w:t xml:space="preserve">s configuraciones específicas </w:t>
      </w:r>
      <w:r w:rsidR="00A54090" w:rsidRPr="004068F6">
        <w:rPr>
          <w:spacing w:val="-3"/>
        </w:rPr>
        <w:t>en términos de localización, diseño y tecnología</w:t>
      </w:r>
      <w:r w:rsidRPr="004068F6">
        <w:rPr>
          <w:spacing w:val="-3"/>
        </w:rPr>
        <w:t>. Cuando se emplea un método aditivo ponderado las ventajas pueden manifestarse como altos puntajes en criterios de peso elevado, y las desventajas, como bajos puntajes en criterios de peso elevado (DCLG, 2009).</w:t>
      </w:r>
    </w:p>
    <w:p w14:paraId="31FC0CB0" w14:textId="77777777" w:rsidR="001A4326" w:rsidRPr="004068F6" w:rsidRDefault="001A4326" w:rsidP="001A4326">
      <w:pPr>
        <w:numPr>
          <w:ilvl w:val="12"/>
          <w:numId w:val="0"/>
        </w:numPr>
        <w:tabs>
          <w:tab w:val="left" w:pos="-2268"/>
        </w:tabs>
        <w:suppressAutoHyphens/>
        <w:rPr>
          <w:spacing w:val="-3"/>
        </w:rPr>
      </w:pPr>
    </w:p>
    <w:p w14:paraId="2D7F806C" w14:textId="77777777" w:rsidR="001A4326" w:rsidRPr="004068F6" w:rsidRDefault="001A4326" w:rsidP="001A4326">
      <w:pPr>
        <w:numPr>
          <w:ilvl w:val="12"/>
          <w:numId w:val="0"/>
        </w:numPr>
        <w:tabs>
          <w:tab w:val="left" w:pos="-2268"/>
        </w:tabs>
        <w:suppressAutoHyphens/>
        <w:rPr>
          <w:spacing w:val="-3"/>
        </w:rPr>
      </w:pPr>
      <w:r w:rsidRPr="004068F6">
        <w:rPr>
          <w:spacing w:val="-3"/>
        </w:rPr>
        <w:t>El propósito primordial de este proceso es reformular las alternativas para asegurar un mejor balance entre ventajas y desventajas, así como identificar posibilidades de ajuste a partir del desempeño en los criterios; por ejemplo, es posible reformular las alternativas disminuyendo su desempeño en criterios poco importantes y mejorando su rendimiento en los que se consideran más relevantes.</w:t>
      </w:r>
    </w:p>
    <w:p w14:paraId="0F6E89D3" w14:textId="77777777" w:rsidR="001A4326" w:rsidRPr="004068F6" w:rsidRDefault="001A4326" w:rsidP="001A4326">
      <w:pPr>
        <w:numPr>
          <w:ilvl w:val="12"/>
          <w:numId w:val="0"/>
        </w:numPr>
        <w:tabs>
          <w:tab w:val="left" w:pos="-2268"/>
        </w:tabs>
        <w:suppressAutoHyphens/>
        <w:rPr>
          <w:spacing w:val="-3"/>
        </w:rPr>
      </w:pPr>
    </w:p>
    <w:p w14:paraId="1EAA2E49" w14:textId="77777777" w:rsidR="001A4326" w:rsidRPr="00466E26" w:rsidRDefault="001A4326" w:rsidP="000A1E20">
      <w:pPr>
        <w:pStyle w:val="Ttulo3"/>
      </w:pPr>
      <w:bookmarkStart w:id="2405" w:name="_Toc230879621"/>
      <w:r w:rsidRPr="00466E26">
        <w:t>Repetir la EMC hasta obtener una buena evaluación</w:t>
      </w:r>
      <w:bookmarkEnd w:id="2405"/>
    </w:p>
    <w:p w14:paraId="01BE56B4" w14:textId="77777777" w:rsidR="001A4326" w:rsidRPr="004068F6" w:rsidRDefault="001A4326" w:rsidP="001A4326">
      <w:pPr>
        <w:numPr>
          <w:ilvl w:val="12"/>
          <w:numId w:val="0"/>
        </w:numPr>
        <w:tabs>
          <w:tab w:val="left" w:pos="-2268"/>
        </w:tabs>
        <w:suppressAutoHyphens/>
        <w:rPr>
          <w:spacing w:val="-3"/>
        </w:rPr>
      </w:pPr>
    </w:p>
    <w:p w14:paraId="7E10E2FF" w14:textId="153FA116" w:rsidR="001A4326" w:rsidRPr="004068F6" w:rsidRDefault="001A4326" w:rsidP="001A4326">
      <w:pPr>
        <w:numPr>
          <w:ilvl w:val="12"/>
          <w:numId w:val="0"/>
        </w:numPr>
        <w:tabs>
          <w:tab w:val="left" w:pos="-2268"/>
        </w:tabs>
        <w:suppressAutoHyphens/>
        <w:rPr>
          <w:spacing w:val="-3"/>
        </w:rPr>
      </w:pPr>
      <w:r w:rsidRPr="004068F6">
        <w:rPr>
          <w:spacing w:val="-3"/>
        </w:rPr>
        <w:t>Como se mencionó previamente</w:t>
      </w:r>
      <w:r w:rsidR="00CB08AB" w:rsidRPr="004068F6">
        <w:rPr>
          <w:spacing w:val="-3"/>
        </w:rPr>
        <w:t>,</w:t>
      </w:r>
      <w:r w:rsidRPr="004068F6">
        <w:rPr>
          <w:spacing w:val="-3"/>
        </w:rPr>
        <w:t xml:space="preserve"> la EMC es un proceso iterativo en el que la información que provee debe emplearse para retroalimentar </w:t>
      </w:r>
      <w:r w:rsidR="005177E0" w:rsidRPr="004068F6">
        <w:rPr>
          <w:spacing w:val="-3"/>
        </w:rPr>
        <w:t xml:space="preserve">la </w:t>
      </w:r>
      <w:r w:rsidR="005177E0" w:rsidRPr="00127BD4">
        <w:rPr>
          <w:i/>
          <w:iCs/>
          <w:spacing w:val="-3"/>
        </w:rPr>
        <w:t>formulación</w:t>
      </w:r>
      <w:r w:rsidR="005177E0" w:rsidRPr="004068F6">
        <w:rPr>
          <w:spacing w:val="-3"/>
        </w:rPr>
        <w:t xml:space="preserve"> de </w:t>
      </w:r>
      <w:r w:rsidRPr="004068F6">
        <w:rPr>
          <w:spacing w:val="-3"/>
        </w:rPr>
        <w:t>las alternativas, los criterios y los desempeños (preferencias). No obstante, el fin último de la EMC no es ejecutar un análisis exhaustivo mediante información detallada dadas las características y objetivos del DAA, estudio que emplea información principalmente secundaria para comparar y elegir alternativas; es por ello por lo que la iteración debe detenerse cuando se obtenga una EMC lo suficientemente buena para resolver el problema en cuestión (seleccionar alternativas).</w:t>
      </w:r>
    </w:p>
    <w:p w14:paraId="68E145E6" w14:textId="77777777" w:rsidR="001A4326" w:rsidRPr="004068F6" w:rsidRDefault="001A4326" w:rsidP="001A4326">
      <w:pPr>
        <w:numPr>
          <w:ilvl w:val="12"/>
          <w:numId w:val="0"/>
        </w:numPr>
        <w:tabs>
          <w:tab w:val="left" w:pos="-2268"/>
        </w:tabs>
        <w:suppressAutoHyphens/>
        <w:rPr>
          <w:spacing w:val="-3"/>
        </w:rPr>
      </w:pPr>
    </w:p>
    <w:p w14:paraId="254383AA" w14:textId="77777777" w:rsidR="001A4326" w:rsidRPr="004068F6" w:rsidRDefault="001A4326" w:rsidP="001A4326">
      <w:pPr>
        <w:numPr>
          <w:ilvl w:val="12"/>
          <w:numId w:val="0"/>
        </w:numPr>
        <w:tabs>
          <w:tab w:val="left" w:pos="-2268"/>
        </w:tabs>
        <w:suppressAutoHyphens/>
        <w:rPr>
          <w:spacing w:val="-3"/>
        </w:rPr>
      </w:pPr>
      <w:r w:rsidRPr="004068F6">
        <w:rPr>
          <w:spacing w:val="-3"/>
        </w:rPr>
        <w:t xml:space="preserve">Al desarrollar estas iteraciones es importante ejecutar solamente las actividades que independientemente de su resultado tengan implicaciones en la decisión final; si una acción (alternativa, criterio, preferencia) no tiene repercusiones en la decisión, no debería contemplarse en el proceso iterativo. Puede pensarse que esta falta de </w:t>
      </w:r>
      <w:r w:rsidRPr="004068F6">
        <w:rPr>
          <w:spacing w:val="-3"/>
        </w:rPr>
        <w:lastRenderedPageBreak/>
        <w:t>precisión reduce la calidad de la EMC, no obstante, es un método que tolera muy bien la inexactitud en razón a que las preferencias sobre muchos criterios que tienen alta correlación estadística entre sí, pueden distribuirse de múltiples maneras sin modificar los resultados finales, además, los cambios en las preferencias de los criterios influencian y provocan cambios en la valoración de otros criterios, lo que en su conjunto, genera poca sensibilidad a la imprecisión (DCLG, 2009).</w:t>
      </w:r>
    </w:p>
    <w:p w14:paraId="2A1ED4F2" w14:textId="77777777" w:rsidR="001A4326" w:rsidRPr="004068F6" w:rsidRDefault="001A4326" w:rsidP="001A4326">
      <w:pPr>
        <w:numPr>
          <w:ilvl w:val="12"/>
          <w:numId w:val="0"/>
        </w:numPr>
        <w:tabs>
          <w:tab w:val="left" w:pos="-2268"/>
        </w:tabs>
        <w:suppressAutoHyphens/>
        <w:rPr>
          <w:spacing w:val="-3"/>
        </w:rPr>
      </w:pPr>
    </w:p>
    <w:p w14:paraId="7BDC06A0" w14:textId="77777777" w:rsidR="001A4326" w:rsidRPr="004068F6" w:rsidRDefault="001A4326" w:rsidP="001A4326">
      <w:pPr>
        <w:numPr>
          <w:ilvl w:val="12"/>
          <w:numId w:val="0"/>
        </w:numPr>
        <w:tabs>
          <w:tab w:val="left" w:pos="-2268"/>
        </w:tabs>
        <w:suppressAutoHyphens/>
        <w:rPr>
          <w:spacing w:val="-3"/>
        </w:rPr>
      </w:pPr>
      <w:r w:rsidRPr="004068F6">
        <w:rPr>
          <w:spacing w:val="-3"/>
        </w:rPr>
        <w:t>Una cuestión importante que nunca debe olvidarse al ejecutar una EMC es que no es un procedimiento que decide por sí sólo o que constituye un algoritmo para llegar a la mejor decisión posible; es una ayuda que permite que quien esté ejecutando la evaluación decida con más transparencia y elementos de juicio, y encuentre de esta forma una decisión que lo satisfaga teniendo en cuenta los criterios empleados (Munda, 2008; DCLG, 2009).</w:t>
      </w:r>
    </w:p>
    <w:p w14:paraId="27541EFD" w14:textId="77777777" w:rsidR="00F44F70" w:rsidRPr="004068F6" w:rsidRDefault="00F44F70">
      <w:pPr>
        <w:numPr>
          <w:ilvl w:val="12"/>
          <w:numId w:val="0"/>
        </w:numPr>
        <w:tabs>
          <w:tab w:val="left" w:pos="-2268"/>
        </w:tabs>
        <w:suppressAutoHyphens/>
        <w:rPr>
          <w:spacing w:val="-3"/>
        </w:rPr>
      </w:pPr>
    </w:p>
    <w:p w14:paraId="5EE5E5F2" w14:textId="41374BD2" w:rsidR="00302526" w:rsidRPr="004068F6" w:rsidRDefault="005D7203">
      <w:pPr>
        <w:numPr>
          <w:ilvl w:val="12"/>
          <w:numId w:val="0"/>
        </w:numPr>
        <w:tabs>
          <w:tab w:val="left" w:pos="-2268"/>
        </w:tabs>
        <w:suppressAutoHyphens/>
        <w:rPr>
          <w:spacing w:val="-3"/>
        </w:rPr>
      </w:pPr>
      <w:r w:rsidRPr="004068F6">
        <w:rPr>
          <w:spacing w:val="-3"/>
        </w:rPr>
        <w:t>Finalmente, se debe presentar la alternativa o alternativas seleccionadas, argumentando de forma concisa las razones por las cuales se llegó a su elección.</w:t>
      </w:r>
    </w:p>
    <w:p w14:paraId="34B35473" w14:textId="77777777" w:rsidR="005D7203" w:rsidRPr="004068F6" w:rsidRDefault="005D7203">
      <w:pPr>
        <w:numPr>
          <w:ilvl w:val="12"/>
          <w:numId w:val="0"/>
        </w:numPr>
        <w:tabs>
          <w:tab w:val="left" w:pos="-2268"/>
        </w:tabs>
        <w:suppressAutoHyphens/>
        <w:rPr>
          <w:spacing w:val="-3"/>
        </w:rPr>
      </w:pPr>
    </w:p>
    <w:p w14:paraId="5EBB89F4" w14:textId="6026CF30" w:rsidR="005D7203" w:rsidRPr="004068F6" w:rsidRDefault="005D7203" w:rsidP="0068149C">
      <w:pPr>
        <w:pStyle w:val="Ttulo2"/>
        <w:rPr>
          <w:lang w:val="es-CO"/>
        </w:rPr>
      </w:pPr>
      <w:bookmarkStart w:id="2406" w:name="_Toc43485667"/>
      <w:bookmarkStart w:id="2407" w:name="_Toc43485668"/>
      <w:bookmarkStart w:id="2408" w:name="_Toc43485669"/>
      <w:bookmarkStart w:id="2409" w:name="_Ref415502137"/>
      <w:bookmarkStart w:id="2410" w:name="_Toc437935999"/>
      <w:bookmarkStart w:id="2411" w:name="_Toc42779205"/>
      <w:bookmarkStart w:id="2412" w:name="_Toc230879622"/>
      <w:bookmarkEnd w:id="2406"/>
      <w:bookmarkEnd w:id="2407"/>
      <w:bookmarkEnd w:id="2408"/>
      <w:r w:rsidRPr="004068F6">
        <w:rPr>
          <w:lang w:val="es-CO"/>
        </w:rPr>
        <w:t>CRITERIOS PARA LA COMPARACIÓN DE ALTERNATIVAS</w:t>
      </w:r>
      <w:bookmarkEnd w:id="2409"/>
      <w:bookmarkEnd w:id="2410"/>
      <w:bookmarkEnd w:id="2411"/>
      <w:bookmarkEnd w:id="2412"/>
    </w:p>
    <w:p w14:paraId="5BA84F19" w14:textId="77777777" w:rsidR="005D7203" w:rsidRPr="004068F6" w:rsidRDefault="005D7203">
      <w:pPr>
        <w:numPr>
          <w:ilvl w:val="12"/>
          <w:numId w:val="0"/>
        </w:numPr>
        <w:tabs>
          <w:tab w:val="left" w:pos="-2268"/>
        </w:tabs>
        <w:suppressAutoHyphens/>
        <w:rPr>
          <w:spacing w:val="-3"/>
        </w:rPr>
      </w:pPr>
    </w:p>
    <w:p w14:paraId="62EF5CC7" w14:textId="451380AA" w:rsidR="005D7203" w:rsidRPr="004068F6" w:rsidRDefault="005D7203" w:rsidP="00C86DA5">
      <w:pPr>
        <w:tabs>
          <w:tab w:val="left" w:pos="-2268"/>
        </w:tabs>
        <w:suppressAutoHyphens/>
      </w:pPr>
      <w:r w:rsidRPr="004068F6">
        <w:t xml:space="preserve">El proceso de evaluación mediante criterios se debe realizar para cada una de las alternativas contempladas en el DAA, a fin de compararlas y tomar una decisión respecto de las que demuestren un mejor desempeño ambiental. La aplicación de </w:t>
      </w:r>
      <w:r w:rsidR="00CE1AD5" w:rsidRPr="004068F6">
        <w:t>estos</w:t>
      </w:r>
      <w:r w:rsidR="001E01F6" w:rsidRPr="004068F6">
        <w:t xml:space="preserve"> </w:t>
      </w:r>
      <w:r w:rsidRPr="004068F6">
        <w:t xml:space="preserve">criterios exige tener en cuenta el escenario sin proyecto para poder establecer los </w:t>
      </w:r>
      <w:r w:rsidR="002546D8" w:rsidRPr="004068F6">
        <w:t xml:space="preserve">impactos </w:t>
      </w:r>
      <w:r w:rsidRPr="004068F6">
        <w:t>ambientales que ocasionaría cada una de las alternativas formuladas.</w:t>
      </w:r>
    </w:p>
    <w:p w14:paraId="15B4AECC" w14:textId="77777777" w:rsidR="00732730" w:rsidRPr="004068F6" w:rsidRDefault="00732730">
      <w:pPr>
        <w:numPr>
          <w:ilvl w:val="12"/>
          <w:numId w:val="0"/>
        </w:numPr>
        <w:tabs>
          <w:tab w:val="left" w:pos="-2268"/>
        </w:tabs>
        <w:suppressAutoHyphens/>
        <w:rPr>
          <w:spacing w:val="-3"/>
        </w:rPr>
      </w:pPr>
    </w:p>
    <w:p w14:paraId="19F4884F" w14:textId="49F508F8" w:rsidR="00A33FA9" w:rsidRPr="004068F6" w:rsidRDefault="000129D2">
      <w:pPr>
        <w:numPr>
          <w:ilvl w:val="12"/>
          <w:numId w:val="0"/>
        </w:numPr>
        <w:tabs>
          <w:tab w:val="left" w:pos="-2268"/>
        </w:tabs>
        <w:suppressAutoHyphens/>
        <w:rPr>
          <w:spacing w:val="-3"/>
        </w:rPr>
      </w:pPr>
      <w:r w:rsidRPr="004068F6">
        <w:rPr>
          <w:spacing w:val="-3"/>
        </w:rPr>
        <w:t>En los numerales que siguen a</w:t>
      </w:r>
      <w:r w:rsidR="005D7203" w:rsidRPr="004068F6">
        <w:rPr>
          <w:spacing w:val="-3"/>
        </w:rPr>
        <w:t xml:space="preserve"> continuación, se listan los criterios que se deben </w:t>
      </w:r>
      <w:r w:rsidR="003C1339" w:rsidRPr="004068F6">
        <w:rPr>
          <w:spacing w:val="-3"/>
        </w:rPr>
        <w:t xml:space="preserve">considerar </w:t>
      </w:r>
      <w:r w:rsidR="005D7203" w:rsidRPr="004068F6">
        <w:rPr>
          <w:spacing w:val="-3"/>
        </w:rPr>
        <w:t xml:space="preserve">para </w:t>
      </w:r>
      <w:r w:rsidR="00676DE6" w:rsidRPr="004068F6">
        <w:rPr>
          <w:spacing w:val="-3"/>
        </w:rPr>
        <w:t xml:space="preserve">evaluar </w:t>
      </w:r>
      <w:r w:rsidR="005D7203" w:rsidRPr="004068F6">
        <w:rPr>
          <w:spacing w:val="-3"/>
        </w:rPr>
        <w:t xml:space="preserve">y comparar las alternativas </w:t>
      </w:r>
      <w:r w:rsidR="00676DE6" w:rsidRPr="004068F6">
        <w:rPr>
          <w:spacing w:val="-3"/>
        </w:rPr>
        <w:t>en función</w:t>
      </w:r>
      <w:r w:rsidR="005D7203" w:rsidRPr="004068F6">
        <w:rPr>
          <w:spacing w:val="-3"/>
        </w:rPr>
        <w:t xml:space="preserve"> </w:t>
      </w:r>
      <w:r w:rsidR="00676DE6" w:rsidRPr="004068F6">
        <w:rPr>
          <w:rFonts w:cs="Arial"/>
          <w:spacing w:val="-3"/>
        </w:rPr>
        <w:t>de</w:t>
      </w:r>
      <w:r w:rsidR="005D7203" w:rsidRPr="004068F6">
        <w:rPr>
          <w:rFonts w:cs="Arial"/>
          <w:spacing w:val="-3"/>
        </w:rPr>
        <w:t xml:space="preserve"> </w:t>
      </w:r>
      <w:r w:rsidR="00676DE6" w:rsidRPr="004068F6">
        <w:rPr>
          <w:rFonts w:cs="Arial"/>
          <w:spacing w:val="-3"/>
        </w:rPr>
        <w:t>su</w:t>
      </w:r>
      <w:r w:rsidR="005D7203" w:rsidRPr="004068F6">
        <w:rPr>
          <w:rFonts w:cs="Arial"/>
          <w:spacing w:val="-3"/>
        </w:rPr>
        <w:t>s</w:t>
      </w:r>
      <w:r w:rsidR="005D7203" w:rsidRPr="004068F6">
        <w:rPr>
          <w:spacing w:val="-3"/>
        </w:rPr>
        <w:t xml:space="preserve"> implicaciones en </w:t>
      </w:r>
      <w:r w:rsidR="00676DE6" w:rsidRPr="004068F6">
        <w:rPr>
          <w:spacing w:val="-3"/>
        </w:rPr>
        <w:t xml:space="preserve">las condiciones ambientales de </w:t>
      </w:r>
      <w:r w:rsidR="005D7203" w:rsidRPr="004068F6">
        <w:rPr>
          <w:spacing w:val="-3"/>
        </w:rPr>
        <w:t>los medios abiótico, biótico y socioeconómico</w:t>
      </w:r>
      <w:r w:rsidR="00C751BE" w:rsidRPr="004068F6">
        <w:rPr>
          <w:spacing w:val="-3"/>
        </w:rPr>
        <w:t>.</w:t>
      </w:r>
    </w:p>
    <w:p w14:paraId="69393665" w14:textId="77777777" w:rsidR="00A33FA9" w:rsidRPr="004068F6" w:rsidRDefault="00A33FA9">
      <w:pPr>
        <w:numPr>
          <w:ilvl w:val="12"/>
          <w:numId w:val="0"/>
        </w:numPr>
        <w:tabs>
          <w:tab w:val="left" w:pos="-2268"/>
        </w:tabs>
        <w:suppressAutoHyphens/>
        <w:rPr>
          <w:spacing w:val="-3"/>
        </w:rPr>
      </w:pPr>
    </w:p>
    <w:p w14:paraId="5BBB7692" w14:textId="1549646F" w:rsidR="005D7203" w:rsidRPr="004068F6" w:rsidRDefault="00C751BE">
      <w:pPr>
        <w:numPr>
          <w:ilvl w:val="12"/>
          <w:numId w:val="0"/>
        </w:numPr>
        <w:tabs>
          <w:tab w:val="left" w:pos="-2268"/>
        </w:tabs>
        <w:suppressAutoHyphens/>
        <w:rPr>
          <w:spacing w:val="-3"/>
        </w:rPr>
      </w:pPr>
      <w:r w:rsidRPr="004068F6">
        <w:rPr>
          <w:spacing w:val="-3"/>
        </w:rPr>
        <w:t>L</w:t>
      </w:r>
      <w:r w:rsidR="0092407B" w:rsidRPr="004068F6">
        <w:rPr>
          <w:rFonts w:cs="Arial"/>
          <w:spacing w:val="-3"/>
          <w:szCs w:val="20"/>
        </w:rPr>
        <w:t xml:space="preserve">a aplicabilidad de </w:t>
      </w:r>
      <w:r w:rsidRPr="004068F6">
        <w:rPr>
          <w:rFonts w:cs="Arial"/>
          <w:spacing w:val="-3"/>
          <w:szCs w:val="20"/>
        </w:rPr>
        <w:t xml:space="preserve">estos </w:t>
      </w:r>
      <w:r w:rsidR="0092407B" w:rsidRPr="004068F6">
        <w:rPr>
          <w:rFonts w:cs="Arial"/>
          <w:spacing w:val="-3"/>
          <w:szCs w:val="20"/>
        </w:rPr>
        <w:t xml:space="preserve">criterios depende </w:t>
      </w:r>
      <w:r w:rsidR="00046574" w:rsidRPr="004068F6">
        <w:rPr>
          <w:rFonts w:cs="Arial"/>
          <w:spacing w:val="-3"/>
          <w:szCs w:val="20"/>
        </w:rPr>
        <w:t xml:space="preserve">de su capacidad para denotar diferencias entre las alternativas y, por lo tanto, </w:t>
      </w:r>
      <w:r w:rsidR="0092407B" w:rsidRPr="004068F6">
        <w:rPr>
          <w:rFonts w:cs="Arial"/>
          <w:spacing w:val="-3"/>
          <w:szCs w:val="20"/>
        </w:rPr>
        <w:t xml:space="preserve">de las particularidades específicas del proyecto, obra o actividad </w:t>
      </w:r>
      <w:r w:rsidRPr="004068F6">
        <w:rPr>
          <w:rFonts w:cs="Arial"/>
          <w:spacing w:val="-3"/>
          <w:szCs w:val="20"/>
        </w:rPr>
        <w:t xml:space="preserve">para la cual se formula el </w:t>
      </w:r>
      <w:r w:rsidR="0092407B" w:rsidRPr="004068F6">
        <w:rPr>
          <w:rFonts w:cs="Arial"/>
          <w:spacing w:val="-3"/>
          <w:szCs w:val="20"/>
        </w:rPr>
        <w:t>DAA</w:t>
      </w:r>
      <w:r w:rsidRPr="004068F6">
        <w:rPr>
          <w:rFonts w:cs="Arial"/>
          <w:spacing w:val="-3"/>
          <w:szCs w:val="20"/>
        </w:rPr>
        <w:t xml:space="preserve"> y de las condiciones ambientales del área de estudio</w:t>
      </w:r>
      <w:r w:rsidR="00C42895">
        <w:rPr>
          <w:rFonts w:cs="Arial"/>
          <w:spacing w:val="-3"/>
          <w:szCs w:val="20"/>
        </w:rPr>
        <w:t>.</w:t>
      </w:r>
      <w:r w:rsidRPr="004068F6">
        <w:rPr>
          <w:rFonts w:cs="Arial"/>
          <w:spacing w:val="-3"/>
          <w:szCs w:val="20"/>
        </w:rPr>
        <w:t xml:space="preserve"> </w:t>
      </w:r>
      <w:r w:rsidR="00C42895">
        <w:rPr>
          <w:rFonts w:cs="Arial"/>
          <w:spacing w:val="-3"/>
          <w:szCs w:val="20"/>
        </w:rPr>
        <w:t>P</w:t>
      </w:r>
      <w:r w:rsidRPr="004068F6">
        <w:rPr>
          <w:rFonts w:cs="Arial"/>
          <w:spacing w:val="-3"/>
          <w:szCs w:val="20"/>
        </w:rPr>
        <w:t xml:space="preserve">ara establecer </w:t>
      </w:r>
      <w:r w:rsidR="005739D9" w:rsidRPr="004068F6">
        <w:rPr>
          <w:rFonts w:cs="Arial"/>
          <w:spacing w:val="-3"/>
          <w:szCs w:val="20"/>
        </w:rPr>
        <w:t xml:space="preserve">si estos criterios </w:t>
      </w:r>
      <w:r w:rsidRPr="004068F6">
        <w:rPr>
          <w:rFonts w:cs="Arial"/>
          <w:spacing w:val="-3"/>
          <w:szCs w:val="20"/>
        </w:rPr>
        <w:t>aplica</w:t>
      </w:r>
      <w:r w:rsidR="005739D9" w:rsidRPr="004068F6">
        <w:rPr>
          <w:rFonts w:cs="Arial"/>
          <w:spacing w:val="-3"/>
          <w:szCs w:val="20"/>
        </w:rPr>
        <w:t>n o no</w:t>
      </w:r>
      <w:r w:rsidRPr="004068F6">
        <w:rPr>
          <w:rFonts w:cs="Arial"/>
          <w:spacing w:val="-3"/>
          <w:szCs w:val="20"/>
        </w:rPr>
        <w:t xml:space="preserve">, es necesario verificar </w:t>
      </w:r>
      <w:r w:rsidR="005739D9" w:rsidRPr="004068F6">
        <w:rPr>
          <w:rFonts w:cs="Arial"/>
          <w:spacing w:val="-3"/>
          <w:szCs w:val="20"/>
        </w:rPr>
        <w:t xml:space="preserve">si </w:t>
      </w:r>
      <w:r w:rsidRPr="004068F6">
        <w:rPr>
          <w:rFonts w:cs="Arial"/>
          <w:spacing w:val="-3"/>
          <w:szCs w:val="20"/>
        </w:rPr>
        <w:t>cumpl</w:t>
      </w:r>
      <w:r w:rsidR="0058601E" w:rsidRPr="004068F6">
        <w:rPr>
          <w:rFonts w:cs="Arial"/>
          <w:spacing w:val="-3"/>
          <w:szCs w:val="20"/>
        </w:rPr>
        <w:t>e</w:t>
      </w:r>
      <w:r w:rsidRPr="004068F6">
        <w:rPr>
          <w:rFonts w:cs="Arial"/>
          <w:spacing w:val="-3"/>
          <w:szCs w:val="20"/>
        </w:rPr>
        <w:t xml:space="preserve">n </w:t>
      </w:r>
      <w:r w:rsidR="005739D9" w:rsidRPr="004068F6">
        <w:rPr>
          <w:rFonts w:cs="Arial"/>
          <w:spacing w:val="-3"/>
          <w:szCs w:val="20"/>
        </w:rPr>
        <w:t xml:space="preserve">con </w:t>
      </w:r>
      <w:r w:rsidRPr="004068F6">
        <w:rPr>
          <w:rFonts w:cs="Arial"/>
          <w:spacing w:val="-3"/>
          <w:szCs w:val="20"/>
        </w:rPr>
        <w:t xml:space="preserve">las propiedades señaladas en el numeral </w:t>
      </w:r>
      <w:r w:rsidRPr="004068F6">
        <w:rPr>
          <w:rFonts w:cs="Arial"/>
          <w:spacing w:val="-3"/>
          <w:szCs w:val="20"/>
        </w:rPr>
        <w:fldChar w:fldCharType="begin"/>
      </w:r>
      <w:r w:rsidRPr="004068F6">
        <w:rPr>
          <w:rFonts w:cs="Arial"/>
          <w:spacing w:val="-3"/>
          <w:szCs w:val="20"/>
        </w:rPr>
        <w:instrText xml:space="preserve"> REF _Ref138771421 \r \h </w:instrText>
      </w:r>
      <w:r w:rsidR="00BD1319" w:rsidRPr="004068F6">
        <w:rPr>
          <w:rFonts w:cs="Arial"/>
          <w:spacing w:val="-3"/>
          <w:szCs w:val="20"/>
        </w:rPr>
        <w:instrText xml:space="preserve"> \* MERGEFORMAT </w:instrText>
      </w:r>
      <w:r w:rsidRPr="004068F6">
        <w:rPr>
          <w:rFonts w:cs="Arial"/>
          <w:spacing w:val="-3"/>
          <w:szCs w:val="20"/>
        </w:rPr>
      </w:r>
      <w:r w:rsidRPr="004068F6">
        <w:rPr>
          <w:rFonts w:cs="Arial"/>
          <w:spacing w:val="-3"/>
          <w:szCs w:val="20"/>
        </w:rPr>
        <w:fldChar w:fldCharType="separate"/>
      </w:r>
      <w:r w:rsidR="009C4A81">
        <w:rPr>
          <w:rFonts w:cs="Arial"/>
          <w:spacing w:val="-3"/>
          <w:szCs w:val="20"/>
        </w:rPr>
        <w:t>9.3.3</w:t>
      </w:r>
      <w:r w:rsidRPr="004068F6">
        <w:rPr>
          <w:rFonts w:cs="Arial"/>
          <w:spacing w:val="-3"/>
          <w:szCs w:val="20"/>
        </w:rPr>
        <w:fldChar w:fldCharType="end"/>
      </w:r>
      <w:r w:rsidRPr="004068F6">
        <w:rPr>
          <w:rFonts w:cs="Arial"/>
          <w:spacing w:val="-3"/>
          <w:szCs w:val="20"/>
        </w:rPr>
        <w:t xml:space="preserve"> de este capítulo</w:t>
      </w:r>
      <w:r w:rsidR="00046574" w:rsidRPr="004068F6">
        <w:rPr>
          <w:rFonts w:cs="Arial"/>
          <w:spacing w:val="-3"/>
          <w:szCs w:val="20"/>
        </w:rPr>
        <w:t xml:space="preserve"> empleando la información consignada en la descripción del proyecto (</w:t>
      </w:r>
      <w:r w:rsidR="00046574" w:rsidRPr="004068F6">
        <w:rPr>
          <w:rFonts w:cs="Arial"/>
          <w:spacing w:val="-3"/>
          <w:szCs w:val="20"/>
        </w:rPr>
        <w:fldChar w:fldCharType="begin"/>
      </w:r>
      <w:r w:rsidR="00046574" w:rsidRPr="004068F6">
        <w:rPr>
          <w:rFonts w:cs="Arial"/>
          <w:spacing w:val="-3"/>
          <w:szCs w:val="20"/>
        </w:rPr>
        <w:instrText xml:space="preserve"> REF _Ref189034887 \r \h </w:instrText>
      </w:r>
      <w:r w:rsidR="00046574" w:rsidRPr="004068F6">
        <w:rPr>
          <w:rFonts w:cs="Arial"/>
          <w:spacing w:val="-3"/>
          <w:szCs w:val="20"/>
        </w:rPr>
      </w:r>
      <w:r w:rsidR="00046574" w:rsidRPr="004068F6">
        <w:rPr>
          <w:rFonts w:cs="Arial"/>
          <w:spacing w:val="-3"/>
          <w:szCs w:val="20"/>
        </w:rPr>
        <w:fldChar w:fldCharType="separate"/>
      </w:r>
      <w:r w:rsidR="009C4A81">
        <w:rPr>
          <w:rFonts w:cs="Arial"/>
          <w:spacing w:val="-3"/>
          <w:szCs w:val="20"/>
        </w:rPr>
        <w:t>1</w:t>
      </w:r>
      <w:r w:rsidR="00046574" w:rsidRPr="004068F6">
        <w:rPr>
          <w:rFonts w:cs="Arial"/>
          <w:spacing w:val="-3"/>
          <w:szCs w:val="20"/>
        </w:rPr>
        <w:fldChar w:fldCharType="end"/>
      </w:r>
      <w:r w:rsidR="00046574" w:rsidRPr="004068F6">
        <w:rPr>
          <w:rFonts w:cs="Arial"/>
          <w:spacing w:val="-3"/>
          <w:szCs w:val="20"/>
        </w:rPr>
        <w:t>), caracterización ambiental (</w:t>
      </w:r>
      <w:r w:rsidR="00046574" w:rsidRPr="004068F6">
        <w:rPr>
          <w:rFonts w:cs="Arial"/>
          <w:spacing w:val="-3"/>
          <w:szCs w:val="20"/>
        </w:rPr>
        <w:fldChar w:fldCharType="begin"/>
      </w:r>
      <w:r w:rsidR="00046574" w:rsidRPr="004068F6">
        <w:rPr>
          <w:rFonts w:cs="Arial"/>
          <w:spacing w:val="-3"/>
          <w:szCs w:val="20"/>
        </w:rPr>
        <w:instrText xml:space="preserve"> REF _Ref189034907 \r \h </w:instrText>
      </w:r>
      <w:r w:rsidR="00046574" w:rsidRPr="004068F6">
        <w:rPr>
          <w:rFonts w:cs="Arial"/>
          <w:spacing w:val="-3"/>
          <w:szCs w:val="20"/>
        </w:rPr>
      </w:r>
      <w:r w:rsidR="00046574" w:rsidRPr="004068F6">
        <w:rPr>
          <w:rFonts w:cs="Arial"/>
          <w:spacing w:val="-3"/>
          <w:szCs w:val="20"/>
        </w:rPr>
        <w:fldChar w:fldCharType="separate"/>
      </w:r>
      <w:r w:rsidR="009C4A81">
        <w:rPr>
          <w:rFonts w:cs="Arial"/>
          <w:spacing w:val="-3"/>
          <w:szCs w:val="20"/>
        </w:rPr>
        <w:t>4</w:t>
      </w:r>
      <w:r w:rsidR="00046574" w:rsidRPr="004068F6">
        <w:rPr>
          <w:rFonts w:cs="Arial"/>
          <w:spacing w:val="-3"/>
          <w:szCs w:val="20"/>
        </w:rPr>
        <w:fldChar w:fldCharType="end"/>
      </w:r>
      <w:r w:rsidR="00046574" w:rsidRPr="004068F6">
        <w:rPr>
          <w:rFonts w:cs="Arial"/>
          <w:spacing w:val="-3"/>
          <w:szCs w:val="20"/>
        </w:rPr>
        <w:t>) y determinación y valoración de impactos (</w:t>
      </w:r>
      <w:r w:rsidR="00046574" w:rsidRPr="004068F6">
        <w:rPr>
          <w:rFonts w:cs="Arial"/>
          <w:spacing w:val="-3"/>
          <w:szCs w:val="20"/>
        </w:rPr>
        <w:fldChar w:fldCharType="begin"/>
      </w:r>
      <w:r w:rsidR="00046574" w:rsidRPr="004068F6">
        <w:rPr>
          <w:rFonts w:cs="Arial"/>
          <w:spacing w:val="-3"/>
          <w:szCs w:val="20"/>
        </w:rPr>
        <w:instrText xml:space="preserve"> REF _Ref189034937 \r \h </w:instrText>
      </w:r>
      <w:r w:rsidR="00046574" w:rsidRPr="004068F6">
        <w:rPr>
          <w:rFonts w:cs="Arial"/>
          <w:spacing w:val="-3"/>
          <w:szCs w:val="20"/>
        </w:rPr>
      </w:r>
      <w:r w:rsidR="00046574" w:rsidRPr="004068F6">
        <w:rPr>
          <w:rFonts w:cs="Arial"/>
          <w:spacing w:val="-3"/>
          <w:szCs w:val="20"/>
        </w:rPr>
        <w:fldChar w:fldCharType="separate"/>
      </w:r>
      <w:r w:rsidR="009C4A81">
        <w:rPr>
          <w:rFonts w:cs="Arial"/>
          <w:spacing w:val="-3"/>
          <w:szCs w:val="20"/>
        </w:rPr>
        <w:t>7</w:t>
      </w:r>
      <w:r w:rsidR="00046574" w:rsidRPr="004068F6">
        <w:rPr>
          <w:rFonts w:cs="Arial"/>
          <w:spacing w:val="-3"/>
          <w:szCs w:val="20"/>
        </w:rPr>
        <w:fldChar w:fldCharType="end"/>
      </w:r>
      <w:r w:rsidR="00046574" w:rsidRPr="004068F6">
        <w:rPr>
          <w:rFonts w:cs="Arial"/>
          <w:spacing w:val="-3"/>
          <w:szCs w:val="20"/>
        </w:rPr>
        <w:t>), entre otros numerales del estudio ambiental</w:t>
      </w:r>
      <w:r w:rsidR="001417C9" w:rsidRPr="004068F6">
        <w:rPr>
          <w:rFonts w:cs="Arial"/>
          <w:spacing w:val="-3"/>
          <w:szCs w:val="20"/>
        </w:rPr>
        <w:t>.</w:t>
      </w:r>
      <w:r w:rsidRPr="004068F6">
        <w:rPr>
          <w:rFonts w:cs="Arial"/>
          <w:spacing w:val="-3"/>
          <w:szCs w:val="20"/>
        </w:rPr>
        <w:t xml:space="preserve"> </w:t>
      </w:r>
      <w:r w:rsidR="0058601E" w:rsidRPr="004068F6">
        <w:rPr>
          <w:rFonts w:cs="Arial"/>
          <w:spacing w:val="-3"/>
          <w:szCs w:val="20"/>
        </w:rPr>
        <w:t>D</w:t>
      </w:r>
      <w:r w:rsidR="001E01F6" w:rsidRPr="004068F6">
        <w:rPr>
          <w:spacing w:val="-3"/>
        </w:rPr>
        <w:t xml:space="preserve">e </w:t>
      </w:r>
      <w:r w:rsidR="0058601E" w:rsidRPr="004068F6">
        <w:rPr>
          <w:spacing w:val="-3"/>
        </w:rPr>
        <w:t xml:space="preserve">ser </w:t>
      </w:r>
      <w:r w:rsidR="001E01F6" w:rsidRPr="004068F6">
        <w:rPr>
          <w:spacing w:val="-3"/>
        </w:rPr>
        <w:t>necesario</w:t>
      </w:r>
      <w:r w:rsidR="0058601E" w:rsidRPr="004068F6">
        <w:rPr>
          <w:spacing w:val="-3"/>
        </w:rPr>
        <w:t xml:space="preserve"> es posible </w:t>
      </w:r>
      <w:r w:rsidR="001E01F6" w:rsidRPr="004068F6">
        <w:rPr>
          <w:spacing w:val="-3"/>
        </w:rPr>
        <w:t xml:space="preserve">establecer criterios </w:t>
      </w:r>
      <w:r w:rsidR="000063D2" w:rsidRPr="004068F6">
        <w:rPr>
          <w:spacing w:val="-3"/>
        </w:rPr>
        <w:t>complementarios</w:t>
      </w:r>
      <w:r w:rsidR="005D7203" w:rsidRPr="004068F6">
        <w:rPr>
          <w:spacing w:val="-3"/>
        </w:rPr>
        <w:t>.</w:t>
      </w:r>
    </w:p>
    <w:p w14:paraId="4D662799" w14:textId="77777777" w:rsidR="00995E70" w:rsidRPr="004068F6" w:rsidRDefault="00995E70">
      <w:pPr>
        <w:numPr>
          <w:ilvl w:val="12"/>
          <w:numId w:val="0"/>
        </w:numPr>
        <w:tabs>
          <w:tab w:val="left" w:pos="-2268"/>
        </w:tabs>
        <w:suppressAutoHyphens/>
        <w:rPr>
          <w:spacing w:val="-3"/>
        </w:rPr>
      </w:pPr>
    </w:p>
    <w:p w14:paraId="0EBA3584" w14:textId="6735FF40" w:rsidR="00995E70" w:rsidRPr="004068F6" w:rsidRDefault="00995E70">
      <w:pPr>
        <w:numPr>
          <w:ilvl w:val="12"/>
          <w:numId w:val="0"/>
        </w:numPr>
        <w:tabs>
          <w:tab w:val="left" w:pos="-2268"/>
        </w:tabs>
        <w:suppressAutoHyphens/>
        <w:rPr>
          <w:spacing w:val="-3"/>
        </w:rPr>
      </w:pPr>
      <w:r w:rsidRPr="004068F6">
        <w:rPr>
          <w:spacing w:val="-3"/>
        </w:rPr>
        <w:t xml:space="preserve">La información requerida para aplicar los criterios que se seleccionen </w:t>
      </w:r>
      <w:r w:rsidR="00837C57" w:rsidRPr="004068F6">
        <w:rPr>
          <w:spacing w:val="-3"/>
        </w:rPr>
        <w:t xml:space="preserve">debe </w:t>
      </w:r>
      <w:r w:rsidRPr="004068F6">
        <w:rPr>
          <w:spacing w:val="-3"/>
        </w:rPr>
        <w:t>prov</w:t>
      </w:r>
      <w:r w:rsidR="00837C57" w:rsidRPr="004068F6">
        <w:rPr>
          <w:spacing w:val="-3"/>
        </w:rPr>
        <w:t xml:space="preserve">enir </w:t>
      </w:r>
      <w:r w:rsidRPr="004068F6">
        <w:rPr>
          <w:spacing w:val="-3"/>
        </w:rPr>
        <w:t xml:space="preserve">de </w:t>
      </w:r>
      <w:r w:rsidR="00E61E93">
        <w:rPr>
          <w:spacing w:val="-3"/>
        </w:rPr>
        <w:t>los</w:t>
      </w:r>
      <w:r w:rsidRPr="004068F6">
        <w:rPr>
          <w:spacing w:val="-3"/>
        </w:rPr>
        <w:t xml:space="preserve"> numerales del DAA que, como se ha señalado, es un estudio cuya elaboración se basa fundamentalmente en información secundaria </w:t>
      </w:r>
      <w:r w:rsidR="00AA6E87">
        <w:rPr>
          <w:spacing w:val="-3"/>
        </w:rPr>
        <w:t xml:space="preserve">y </w:t>
      </w:r>
      <w:r w:rsidRPr="004068F6">
        <w:rPr>
          <w:spacing w:val="-3"/>
        </w:rPr>
        <w:t>que requiere información primaria sólo en casos excepcionales.</w:t>
      </w:r>
    </w:p>
    <w:p w14:paraId="41C094D5" w14:textId="77777777" w:rsidR="005D7203" w:rsidRPr="004068F6" w:rsidRDefault="005D7203">
      <w:pPr>
        <w:numPr>
          <w:ilvl w:val="12"/>
          <w:numId w:val="0"/>
        </w:numPr>
        <w:tabs>
          <w:tab w:val="left" w:pos="-2268"/>
        </w:tabs>
        <w:suppressAutoHyphens/>
        <w:rPr>
          <w:spacing w:val="-3"/>
        </w:rPr>
      </w:pPr>
    </w:p>
    <w:p w14:paraId="141A8866" w14:textId="1FDCE832" w:rsidR="005D7203" w:rsidRPr="00466E26" w:rsidRDefault="005D7203" w:rsidP="000A1E20">
      <w:pPr>
        <w:pStyle w:val="Ttulo3"/>
      </w:pPr>
      <w:bookmarkStart w:id="2413" w:name="_Toc42779206"/>
      <w:bookmarkStart w:id="2414" w:name="_Toc230879623"/>
      <w:r w:rsidRPr="00466E26">
        <w:t xml:space="preserve">Criterios </w:t>
      </w:r>
      <w:r w:rsidR="0058601E" w:rsidRPr="00466E26">
        <w:t>relacionados con el medio abiótic</w:t>
      </w:r>
      <w:bookmarkEnd w:id="2413"/>
      <w:r w:rsidR="0058601E" w:rsidRPr="00466E26">
        <w:t>o</w:t>
      </w:r>
      <w:bookmarkEnd w:id="2414"/>
    </w:p>
    <w:p w14:paraId="58EF5C70" w14:textId="77777777" w:rsidR="005D7203" w:rsidRPr="004068F6" w:rsidRDefault="005D7203">
      <w:pPr>
        <w:numPr>
          <w:ilvl w:val="12"/>
          <w:numId w:val="0"/>
        </w:numPr>
        <w:tabs>
          <w:tab w:val="left" w:pos="-2268"/>
        </w:tabs>
        <w:suppressAutoHyphens/>
        <w:rPr>
          <w:spacing w:val="-3"/>
        </w:rPr>
      </w:pPr>
    </w:p>
    <w:p w14:paraId="71BA150B" w14:textId="3DC615E5" w:rsidR="005D7203" w:rsidRPr="004068F6" w:rsidRDefault="005D7203" w:rsidP="00C86DA5">
      <w:pPr>
        <w:numPr>
          <w:ilvl w:val="0"/>
          <w:numId w:val="56"/>
        </w:numPr>
        <w:tabs>
          <w:tab w:val="left" w:pos="-2268"/>
        </w:tabs>
        <w:suppressAutoHyphens/>
        <w:ind w:left="567" w:hanging="567"/>
        <w:rPr>
          <w:spacing w:val="-3"/>
        </w:rPr>
      </w:pPr>
      <w:r w:rsidRPr="004068F6">
        <w:rPr>
          <w:spacing w:val="-3"/>
        </w:rPr>
        <w:t xml:space="preserve">Longitud o superficie </w:t>
      </w:r>
      <w:r w:rsidR="00152E7A" w:rsidRPr="004068F6">
        <w:rPr>
          <w:spacing w:val="-3"/>
        </w:rPr>
        <w:t>por</w:t>
      </w:r>
      <w:r w:rsidR="003A0692" w:rsidRPr="004068F6">
        <w:rPr>
          <w:spacing w:val="-3"/>
        </w:rPr>
        <w:t xml:space="preserve"> </w:t>
      </w:r>
      <w:r w:rsidRPr="004068F6">
        <w:rPr>
          <w:spacing w:val="-3"/>
        </w:rPr>
        <w:t>interven</w:t>
      </w:r>
      <w:r w:rsidR="003A0692" w:rsidRPr="004068F6">
        <w:rPr>
          <w:spacing w:val="-3"/>
        </w:rPr>
        <w:t>ir</w:t>
      </w:r>
      <w:r w:rsidR="00A10950" w:rsidRPr="004068F6">
        <w:rPr>
          <w:spacing w:val="-3"/>
        </w:rPr>
        <w:t xml:space="preserve">, incluyendo la ocupada por la </w:t>
      </w:r>
      <w:r w:rsidR="00A10950" w:rsidRPr="004068F6">
        <w:rPr>
          <w:rFonts w:cs="Arial"/>
          <w:spacing w:val="-3"/>
        </w:rPr>
        <w:t>infraestructura requerida e instalaciones de apoyo (campamentos, talleres, plantas industriales, entre otros)</w:t>
      </w:r>
      <w:r w:rsidRPr="004068F6">
        <w:rPr>
          <w:spacing w:val="-3"/>
        </w:rPr>
        <w:t>.</w:t>
      </w:r>
    </w:p>
    <w:p w14:paraId="0AC63778" w14:textId="77777777" w:rsidR="005D7203" w:rsidRPr="004068F6" w:rsidRDefault="005D7203">
      <w:pPr>
        <w:tabs>
          <w:tab w:val="left" w:pos="-2268"/>
        </w:tabs>
        <w:suppressAutoHyphens/>
        <w:rPr>
          <w:spacing w:val="-3"/>
        </w:rPr>
      </w:pPr>
    </w:p>
    <w:p w14:paraId="714A9C6E" w14:textId="21B4323A" w:rsidR="005D7203" w:rsidRPr="004068F6" w:rsidRDefault="005D7203" w:rsidP="00C86DA5">
      <w:pPr>
        <w:numPr>
          <w:ilvl w:val="0"/>
          <w:numId w:val="56"/>
        </w:numPr>
        <w:tabs>
          <w:tab w:val="left" w:pos="-2268"/>
        </w:tabs>
        <w:suppressAutoHyphens/>
        <w:ind w:left="567" w:hanging="567"/>
        <w:rPr>
          <w:spacing w:val="-3"/>
        </w:rPr>
      </w:pPr>
      <w:r w:rsidRPr="004068F6">
        <w:rPr>
          <w:rFonts w:cs="Arial"/>
          <w:spacing w:val="-3"/>
        </w:rPr>
        <w:t>Longi</w:t>
      </w:r>
      <w:r w:rsidRPr="004068F6">
        <w:rPr>
          <w:rFonts w:cs="Arial"/>
        </w:rPr>
        <w:t>tud de vías</w:t>
      </w:r>
      <w:r w:rsidRPr="004068F6">
        <w:t xml:space="preserve"> de acceso a construir.</w:t>
      </w:r>
    </w:p>
    <w:p w14:paraId="56601DBF" w14:textId="77777777" w:rsidR="005D7203" w:rsidRPr="004068F6" w:rsidRDefault="005D7203">
      <w:pPr>
        <w:tabs>
          <w:tab w:val="left" w:pos="-2268"/>
        </w:tabs>
        <w:suppressAutoHyphens/>
        <w:rPr>
          <w:spacing w:val="-3"/>
        </w:rPr>
      </w:pPr>
    </w:p>
    <w:p w14:paraId="406216E8" w14:textId="444F73FC" w:rsidR="005D7203" w:rsidRPr="004068F6" w:rsidRDefault="005D7203" w:rsidP="00C86DA5">
      <w:pPr>
        <w:numPr>
          <w:ilvl w:val="0"/>
          <w:numId w:val="56"/>
        </w:numPr>
        <w:tabs>
          <w:tab w:val="left" w:pos="-2268"/>
        </w:tabs>
        <w:suppressAutoHyphens/>
        <w:ind w:left="567" w:hanging="567"/>
        <w:rPr>
          <w:spacing w:val="-3"/>
        </w:rPr>
      </w:pPr>
      <w:r w:rsidRPr="004068F6">
        <w:rPr>
          <w:spacing w:val="-3"/>
        </w:rPr>
        <w:t>Vol</w:t>
      </w:r>
      <w:r w:rsidR="00046818" w:rsidRPr="004068F6">
        <w:rPr>
          <w:spacing w:val="-3"/>
        </w:rPr>
        <w:t>u</w:t>
      </w:r>
      <w:r w:rsidRPr="004068F6">
        <w:rPr>
          <w:spacing w:val="-3"/>
        </w:rPr>
        <w:t>men estimado de remoción de suelo (descapote, corte, relleno, excavación)</w:t>
      </w:r>
      <w:r w:rsidR="00046818" w:rsidRPr="004068F6">
        <w:rPr>
          <w:spacing w:val="-3"/>
        </w:rPr>
        <w:t>.</w:t>
      </w:r>
    </w:p>
    <w:p w14:paraId="2200075F" w14:textId="77777777" w:rsidR="00046818" w:rsidRPr="004068F6" w:rsidRDefault="00046818" w:rsidP="008A4FE9">
      <w:pPr>
        <w:rPr>
          <w:spacing w:val="-3"/>
        </w:rPr>
      </w:pPr>
    </w:p>
    <w:p w14:paraId="05164F24" w14:textId="43BC6234" w:rsidR="00046818" w:rsidRPr="004068F6" w:rsidRDefault="00046818" w:rsidP="00046818">
      <w:pPr>
        <w:numPr>
          <w:ilvl w:val="0"/>
          <w:numId w:val="56"/>
        </w:numPr>
        <w:tabs>
          <w:tab w:val="left" w:pos="-2268"/>
        </w:tabs>
        <w:suppressAutoHyphens/>
        <w:ind w:left="567" w:hanging="567"/>
        <w:rPr>
          <w:spacing w:val="-3"/>
        </w:rPr>
      </w:pPr>
      <w:r w:rsidRPr="004068F6">
        <w:rPr>
          <w:spacing w:val="-3"/>
        </w:rPr>
        <w:t>Volumen estimado de materiales sobrantes de construcción.</w:t>
      </w:r>
    </w:p>
    <w:p w14:paraId="0E15990D" w14:textId="77777777" w:rsidR="005D7203" w:rsidRPr="004068F6" w:rsidRDefault="005D7203">
      <w:pPr>
        <w:tabs>
          <w:tab w:val="left" w:pos="-2268"/>
        </w:tabs>
        <w:suppressAutoHyphens/>
        <w:rPr>
          <w:spacing w:val="-3"/>
        </w:rPr>
      </w:pPr>
    </w:p>
    <w:p w14:paraId="6D9D483C" w14:textId="6F378CC8" w:rsidR="005D7203" w:rsidRPr="004068F6" w:rsidRDefault="005D7203" w:rsidP="00C86DA5">
      <w:pPr>
        <w:numPr>
          <w:ilvl w:val="0"/>
          <w:numId w:val="56"/>
        </w:numPr>
        <w:tabs>
          <w:tab w:val="left" w:pos="-2268"/>
        </w:tabs>
        <w:suppressAutoHyphens/>
        <w:ind w:left="567" w:hanging="567"/>
        <w:rPr>
          <w:spacing w:val="-3"/>
        </w:rPr>
      </w:pPr>
      <w:r w:rsidRPr="004068F6">
        <w:rPr>
          <w:spacing w:val="-3"/>
        </w:rPr>
        <w:t>Estimado de</w:t>
      </w:r>
      <w:r w:rsidR="005A6AD5" w:rsidRPr="004068F6">
        <w:rPr>
          <w:spacing w:val="-3"/>
        </w:rPr>
        <w:t>l</w:t>
      </w:r>
      <w:r w:rsidRPr="004068F6">
        <w:rPr>
          <w:spacing w:val="-3"/>
        </w:rPr>
        <w:t xml:space="preserve"> uso, aprovechamiento y afectación de recursos naturales renovables</w:t>
      </w:r>
      <w:r w:rsidR="00821371" w:rsidRPr="004068F6">
        <w:rPr>
          <w:spacing w:val="-3"/>
        </w:rPr>
        <w:t xml:space="preserve"> (p. ej. cantidad de ocupaciones de cauce, </w:t>
      </w:r>
      <w:r w:rsidR="008B04E5" w:rsidRPr="004068F6">
        <w:rPr>
          <w:spacing w:val="-3"/>
        </w:rPr>
        <w:t xml:space="preserve">caudal de agua </w:t>
      </w:r>
      <w:r w:rsidR="008C6C89" w:rsidRPr="004068F6">
        <w:rPr>
          <w:spacing w:val="-3"/>
        </w:rPr>
        <w:t>superficial solicitado</w:t>
      </w:r>
      <w:r w:rsidR="004A4A45" w:rsidRPr="004068F6">
        <w:rPr>
          <w:spacing w:val="-3"/>
        </w:rPr>
        <w:t xml:space="preserve"> o</w:t>
      </w:r>
      <w:r w:rsidR="008C6C89" w:rsidRPr="004068F6">
        <w:rPr>
          <w:spacing w:val="-3"/>
        </w:rPr>
        <w:t xml:space="preserve"> caudal de vertimientos</w:t>
      </w:r>
      <w:r w:rsidR="00821371" w:rsidRPr="004068F6">
        <w:rPr>
          <w:spacing w:val="-3"/>
        </w:rPr>
        <w:t>)</w:t>
      </w:r>
      <w:r w:rsidRPr="004068F6">
        <w:rPr>
          <w:rFonts w:cs="Arial"/>
          <w:spacing w:val="-3"/>
        </w:rPr>
        <w:t>.</w:t>
      </w:r>
    </w:p>
    <w:p w14:paraId="6620B005" w14:textId="77777777" w:rsidR="005267B8" w:rsidRPr="004068F6" w:rsidRDefault="005267B8" w:rsidP="009420F5">
      <w:pPr>
        <w:rPr>
          <w:spacing w:val="-3"/>
        </w:rPr>
      </w:pPr>
    </w:p>
    <w:p w14:paraId="3A1581C8" w14:textId="61AEC233" w:rsidR="005267B8" w:rsidRPr="004068F6" w:rsidRDefault="00E22F90">
      <w:pPr>
        <w:numPr>
          <w:ilvl w:val="0"/>
          <w:numId w:val="56"/>
        </w:numPr>
        <w:tabs>
          <w:tab w:val="left" w:pos="-2268"/>
        </w:tabs>
        <w:suppressAutoHyphens/>
        <w:ind w:left="567" w:hanging="567"/>
        <w:rPr>
          <w:spacing w:val="-3"/>
        </w:rPr>
      </w:pPr>
      <w:r w:rsidRPr="004068F6">
        <w:rPr>
          <w:spacing w:val="-3"/>
        </w:rPr>
        <w:t>Alteración del í</w:t>
      </w:r>
      <w:r w:rsidR="005267B8" w:rsidRPr="004068F6">
        <w:rPr>
          <w:spacing w:val="-3"/>
        </w:rPr>
        <w:t>ndice de escasez</w:t>
      </w:r>
      <w:r w:rsidR="00B301F5" w:rsidRPr="004068F6">
        <w:rPr>
          <w:rStyle w:val="Refdenotaalpie"/>
          <w:spacing w:val="-3"/>
          <w:lang w:val="es-CO"/>
        </w:rPr>
        <w:footnoteReference w:id="70"/>
      </w:r>
      <w:r w:rsidR="005267B8" w:rsidRPr="004068F6">
        <w:rPr>
          <w:spacing w:val="-3"/>
        </w:rPr>
        <w:t>.</w:t>
      </w:r>
    </w:p>
    <w:p w14:paraId="45E90EB2" w14:textId="77777777" w:rsidR="005D7203" w:rsidRPr="004068F6" w:rsidRDefault="005D7203" w:rsidP="009420F5">
      <w:pPr>
        <w:rPr>
          <w:spacing w:val="-3"/>
        </w:rPr>
      </w:pPr>
    </w:p>
    <w:p w14:paraId="18E5A7E5" w14:textId="02F0FDFA" w:rsidR="005D7203" w:rsidRPr="004068F6" w:rsidRDefault="00A370C7" w:rsidP="00C86DA5">
      <w:pPr>
        <w:numPr>
          <w:ilvl w:val="0"/>
          <w:numId w:val="56"/>
        </w:numPr>
        <w:tabs>
          <w:tab w:val="left" w:pos="-2268"/>
        </w:tabs>
        <w:suppressAutoHyphens/>
        <w:ind w:left="567" w:hanging="567"/>
        <w:rPr>
          <w:spacing w:val="-3"/>
        </w:rPr>
      </w:pPr>
      <w:r w:rsidRPr="004068F6">
        <w:rPr>
          <w:spacing w:val="-3"/>
        </w:rPr>
        <w:t>Cantidad de c</w:t>
      </w:r>
      <w:r w:rsidR="005D7203" w:rsidRPr="004068F6">
        <w:rPr>
          <w:spacing w:val="-3"/>
        </w:rPr>
        <w:t>ruces de infraestructura con cuerpos de agua lóticos y lénticos.</w:t>
      </w:r>
    </w:p>
    <w:p w14:paraId="3D66BEE1" w14:textId="77777777" w:rsidR="005D7203" w:rsidRPr="004068F6" w:rsidRDefault="005D7203">
      <w:pPr>
        <w:tabs>
          <w:tab w:val="left" w:pos="-2268"/>
        </w:tabs>
        <w:suppressAutoHyphens/>
        <w:rPr>
          <w:spacing w:val="-3"/>
        </w:rPr>
      </w:pPr>
    </w:p>
    <w:p w14:paraId="29B58A8B" w14:textId="085D1BBC" w:rsidR="005D7203" w:rsidRPr="004068F6" w:rsidRDefault="008B4F3A" w:rsidP="00C86DA5">
      <w:pPr>
        <w:numPr>
          <w:ilvl w:val="0"/>
          <w:numId w:val="56"/>
        </w:numPr>
        <w:tabs>
          <w:tab w:val="left" w:pos="-2268"/>
        </w:tabs>
        <w:suppressAutoHyphens/>
        <w:ind w:left="567" w:hanging="567"/>
        <w:rPr>
          <w:spacing w:val="-3"/>
        </w:rPr>
      </w:pPr>
      <w:r w:rsidRPr="004068F6">
        <w:rPr>
          <w:spacing w:val="-3"/>
        </w:rPr>
        <w:t>Impacto</w:t>
      </w:r>
      <w:r w:rsidR="005D7203" w:rsidRPr="004068F6">
        <w:rPr>
          <w:spacing w:val="-3"/>
        </w:rPr>
        <w:t xml:space="preserve"> </w:t>
      </w:r>
      <w:r w:rsidR="007A4922" w:rsidRPr="004068F6">
        <w:rPr>
          <w:spacing w:val="-3"/>
        </w:rPr>
        <w:t>a</w:t>
      </w:r>
      <w:r w:rsidR="005D7203" w:rsidRPr="004068F6">
        <w:rPr>
          <w:spacing w:val="-3"/>
        </w:rPr>
        <w:t xml:space="preserve"> cuerpos de agua lóticos y lénticos.</w:t>
      </w:r>
    </w:p>
    <w:p w14:paraId="3490B0F1" w14:textId="77777777" w:rsidR="005D7203" w:rsidRPr="004068F6" w:rsidRDefault="005D7203">
      <w:pPr>
        <w:tabs>
          <w:tab w:val="left" w:pos="-2268"/>
        </w:tabs>
        <w:suppressAutoHyphens/>
        <w:rPr>
          <w:spacing w:val="-3"/>
        </w:rPr>
      </w:pPr>
    </w:p>
    <w:p w14:paraId="2DE0DB1A" w14:textId="77777777" w:rsidR="005D7203" w:rsidRPr="004068F6" w:rsidRDefault="005D7203" w:rsidP="00C86DA5">
      <w:pPr>
        <w:numPr>
          <w:ilvl w:val="0"/>
          <w:numId w:val="56"/>
        </w:numPr>
        <w:tabs>
          <w:tab w:val="left" w:pos="-2268"/>
        </w:tabs>
        <w:suppressAutoHyphens/>
        <w:ind w:left="567" w:hanging="567"/>
        <w:rPr>
          <w:spacing w:val="-3"/>
        </w:rPr>
      </w:pPr>
      <w:r w:rsidRPr="004068F6">
        <w:rPr>
          <w:spacing w:val="-3"/>
        </w:rPr>
        <w:t>Necesidad de desvío de cauces.</w:t>
      </w:r>
    </w:p>
    <w:p w14:paraId="26424E36" w14:textId="77777777" w:rsidR="005D7203" w:rsidRPr="004068F6" w:rsidRDefault="005D7203">
      <w:pPr>
        <w:tabs>
          <w:tab w:val="left" w:pos="-2268"/>
        </w:tabs>
        <w:suppressAutoHyphens/>
        <w:rPr>
          <w:spacing w:val="-3"/>
        </w:rPr>
      </w:pPr>
    </w:p>
    <w:p w14:paraId="58BF3852" w14:textId="76FDC2C7" w:rsidR="005D7203" w:rsidRPr="004068F6" w:rsidRDefault="008B4F3A" w:rsidP="00C86DA5">
      <w:pPr>
        <w:numPr>
          <w:ilvl w:val="0"/>
          <w:numId w:val="56"/>
        </w:numPr>
        <w:tabs>
          <w:tab w:val="left" w:pos="-2268"/>
        </w:tabs>
        <w:suppressAutoHyphens/>
        <w:ind w:left="567" w:hanging="567"/>
        <w:rPr>
          <w:spacing w:val="-3"/>
        </w:rPr>
      </w:pPr>
      <w:r w:rsidRPr="004068F6">
        <w:rPr>
          <w:spacing w:val="-3"/>
        </w:rPr>
        <w:t xml:space="preserve">Impacto </w:t>
      </w:r>
      <w:r w:rsidR="007A4922" w:rsidRPr="004068F6">
        <w:rPr>
          <w:spacing w:val="-3"/>
        </w:rPr>
        <w:t>a</w:t>
      </w:r>
      <w:r w:rsidR="00913B6E" w:rsidRPr="004068F6">
        <w:rPr>
          <w:spacing w:val="-3"/>
        </w:rPr>
        <w:t xml:space="preserve"> z</w:t>
      </w:r>
      <w:r w:rsidR="005D7203" w:rsidRPr="004068F6">
        <w:rPr>
          <w:spacing w:val="-3"/>
        </w:rPr>
        <w:t>onas susceptibles a eventos hidrometeorológicos y geológicos</w:t>
      </w:r>
      <w:r w:rsidR="00913B6E" w:rsidRPr="004068F6">
        <w:rPr>
          <w:spacing w:val="-3"/>
        </w:rPr>
        <w:t xml:space="preserve"> amenazantes</w:t>
      </w:r>
      <w:r w:rsidR="005D7203" w:rsidRPr="004068F6">
        <w:rPr>
          <w:spacing w:val="-3"/>
        </w:rPr>
        <w:t xml:space="preserve"> </w:t>
      </w:r>
      <w:r w:rsidR="00913B6E" w:rsidRPr="004068F6">
        <w:rPr>
          <w:spacing w:val="-3"/>
        </w:rPr>
        <w:t>(</w:t>
      </w:r>
      <w:r w:rsidR="005D7203" w:rsidRPr="004068F6">
        <w:rPr>
          <w:spacing w:val="-3"/>
        </w:rPr>
        <w:t>inundaciones, movimientos en masa, avenidas torrenciales, sismos, erupciones volcánicas, tsunamis, entre otros</w:t>
      </w:r>
      <w:r w:rsidR="00913B6E" w:rsidRPr="004068F6">
        <w:rPr>
          <w:spacing w:val="-3"/>
        </w:rPr>
        <w:t>)</w:t>
      </w:r>
      <w:r w:rsidR="005D7203" w:rsidRPr="004068F6">
        <w:rPr>
          <w:spacing w:val="-3"/>
        </w:rPr>
        <w:t>, en los ámbitos nacional, regional y local.</w:t>
      </w:r>
    </w:p>
    <w:p w14:paraId="3AE07F4D" w14:textId="77777777" w:rsidR="005D7203" w:rsidRPr="004068F6" w:rsidRDefault="005D7203">
      <w:pPr>
        <w:tabs>
          <w:tab w:val="left" w:pos="-2268"/>
        </w:tabs>
        <w:suppressAutoHyphens/>
        <w:rPr>
          <w:spacing w:val="-3"/>
        </w:rPr>
      </w:pPr>
    </w:p>
    <w:p w14:paraId="25E9F3E9" w14:textId="00263113" w:rsidR="008B4F3A" w:rsidRPr="004068F6" w:rsidRDefault="008B4F3A">
      <w:pPr>
        <w:numPr>
          <w:ilvl w:val="0"/>
          <w:numId w:val="56"/>
        </w:numPr>
        <w:tabs>
          <w:tab w:val="left" w:pos="-2268"/>
        </w:tabs>
        <w:suppressAutoHyphens/>
        <w:ind w:left="567" w:hanging="567"/>
        <w:rPr>
          <w:spacing w:val="-3"/>
        </w:rPr>
      </w:pPr>
      <w:r w:rsidRPr="004068F6">
        <w:rPr>
          <w:spacing w:val="-3"/>
        </w:rPr>
        <w:t xml:space="preserve">Impacto </w:t>
      </w:r>
      <w:r w:rsidR="007A4922" w:rsidRPr="004068F6">
        <w:rPr>
          <w:spacing w:val="-3"/>
        </w:rPr>
        <w:t>a</w:t>
      </w:r>
      <w:r w:rsidR="00A759B9" w:rsidRPr="004068F6">
        <w:rPr>
          <w:spacing w:val="-3"/>
        </w:rPr>
        <w:t xml:space="preserve"> puntos hidrogeológicos de zonas de recarga y descarga de acuíferos</w:t>
      </w:r>
      <w:r w:rsidRPr="004068F6">
        <w:rPr>
          <w:spacing w:val="-3"/>
        </w:rPr>
        <w:t>.</w:t>
      </w:r>
    </w:p>
    <w:p w14:paraId="1B3EEAD1" w14:textId="77777777" w:rsidR="008B4F3A" w:rsidRPr="004068F6" w:rsidRDefault="008B4F3A" w:rsidP="008A4FE9">
      <w:pPr>
        <w:rPr>
          <w:spacing w:val="-3"/>
        </w:rPr>
      </w:pPr>
    </w:p>
    <w:p w14:paraId="4EE155A5" w14:textId="54356537" w:rsidR="00A759B9" w:rsidRPr="004068F6" w:rsidRDefault="008B4F3A">
      <w:pPr>
        <w:numPr>
          <w:ilvl w:val="0"/>
          <w:numId w:val="56"/>
        </w:numPr>
        <w:tabs>
          <w:tab w:val="left" w:pos="-2268"/>
        </w:tabs>
        <w:suppressAutoHyphens/>
        <w:ind w:left="567" w:hanging="567"/>
        <w:rPr>
          <w:spacing w:val="-3"/>
        </w:rPr>
      </w:pPr>
      <w:r w:rsidRPr="004068F6">
        <w:rPr>
          <w:spacing w:val="-3"/>
        </w:rPr>
        <w:t>C</w:t>
      </w:r>
      <w:r w:rsidR="00A759B9" w:rsidRPr="004068F6">
        <w:rPr>
          <w:spacing w:val="-3"/>
        </w:rPr>
        <w:t xml:space="preserve">ontaminación </w:t>
      </w:r>
      <w:r w:rsidR="007A4922" w:rsidRPr="004068F6">
        <w:rPr>
          <w:spacing w:val="-3"/>
        </w:rPr>
        <w:t>a</w:t>
      </w:r>
      <w:r w:rsidR="00A759B9" w:rsidRPr="004068F6">
        <w:rPr>
          <w:spacing w:val="-3"/>
        </w:rPr>
        <w:t xml:space="preserve"> sistemas acuíferos.</w:t>
      </w:r>
    </w:p>
    <w:p w14:paraId="359F8232" w14:textId="77777777" w:rsidR="00A759B9" w:rsidRPr="004068F6" w:rsidRDefault="00A759B9" w:rsidP="009420F5"/>
    <w:p w14:paraId="51807AD3" w14:textId="1F78DB7B" w:rsidR="005D7203" w:rsidRPr="004068F6" w:rsidRDefault="008B4F3A" w:rsidP="00C86DA5">
      <w:pPr>
        <w:numPr>
          <w:ilvl w:val="0"/>
          <w:numId w:val="56"/>
        </w:numPr>
        <w:tabs>
          <w:tab w:val="left" w:pos="-2268"/>
        </w:tabs>
        <w:suppressAutoHyphens/>
        <w:ind w:left="567" w:hanging="567"/>
        <w:rPr>
          <w:rFonts w:eastAsia="Arial"/>
          <w:spacing w:val="-3"/>
        </w:rPr>
      </w:pPr>
      <w:r w:rsidRPr="004068F6">
        <w:t>Impacto a á</w:t>
      </w:r>
      <w:r w:rsidR="005D7203" w:rsidRPr="004068F6">
        <w:t xml:space="preserve">reas en recuperación ambiental o </w:t>
      </w:r>
      <w:r w:rsidRPr="004068F6">
        <w:t xml:space="preserve">a áreas </w:t>
      </w:r>
      <w:r w:rsidR="005D7203" w:rsidRPr="004068F6">
        <w:t>en las que se prevé adelantar acciones de recuperación ambiental.</w:t>
      </w:r>
    </w:p>
    <w:p w14:paraId="48F4BFED" w14:textId="77777777" w:rsidR="005D7203" w:rsidRPr="004068F6" w:rsidRDefault="005D7203">
      <w:pPr>
        <w:tabs>
          <w:tab w:val="left" w:pos="-2268"/>
        </w:tabs>
        <w:suppressAutoHyphens/>
      </w:pPr>
    </w:p>
    <w:p w14:paraId="7073C7AD" w14:textId="7A88C024" w:rsidR="005D7203" w:rsidRPr="004068F6" w:rsidRDefault="008B4F3A" w:rsidP="00C86DA5">
      <w:pPr>
        <w:numPr>
          <w:ilvl w:val="0"/>
          <w:numId w:val="56"/>
        </w:numPr>
        <w:tabs>
          <w:tab w:val="left" w:pos="-2268"/>
        </w:tabs>
        <w:suppressAutoHyphens/>
        <w:ind w:left="567" w:hanging="567"/>
        <w:rPr>
          <w:rFonts w:eastAsia="Arial"/>
          <w:spacing w:val="-3"/>
        </w:rPr>
      </w:pPr>
      <w:r w:rsidRPr="004068F6">
        <w:lastRenderedPageBreak/>
        <w:t>Impacto a á</w:t>
      </w:r>
      <w:r w:rsidR="005D7203" w:rsidRPr="004068F6">
        <w:t>reas afectadas por erosión costera.</w:t>
      </w:r>
    </w:p>
    <w:p w14:paraId="24C03D39" w14:textId="77777777" w:rsidR="005D7203" w:rsidRPr="004068F6" w:rsidRDefault="005D7203">
      <w:pPr>
        <w:tabs>
          <w:tab w:val="left" w:pos="-2268"/>
        </w:tabs>
        <w:suppressAutoHyphens/>
        <w:rPr>
          <w:spacing w:val="-3"/>
        </w:rPr>
      </w:pPr>
    </w:p>
    <w:p w14:paraId="7DF97378" w14:textId="6B4029B3" w:rsidR="005D7203" w:rsidRPr="004068F6" w:rsidRDefault="00156B76" w:rsidP="00C86DA5">
      <w:pPr>
        <w:numPr>
          <w:ilvl w:val="0"/>
          <w:numId w:val="56"/>
        </w:numPr>
        <w:tabs>
          <w:tab w:val="left" w:pos="-2268"/>
        </w:tabs>
        <w:suppressAutoHyphens/>
        <w:ind w:left="567" w:hanging="567"/>
        <w:rPr>
          <w:spacing w:val="-3"/>
        </w:rPr>
      </w:pPr>
      <w:r w:rsidRPr="004068F6">
        <w:rPr>
          <w:spacing w:val="-3"/>
        </w:rPr>
        <w:t>Impacto</w:t>
      </w:r>
      <w:r w:rsidR="008B4F3A" w:rsidRPr="004068F6">
        <w:rPr>
          <w:spacing w:val="-3"/>
        </w:rPr>
        <w:t xml:space="preserve"> </w:t>
      </w:r>
      <w:r w:rsidRPr="004068F6">
        <w:rPr>
          <w:spacing w:val="-3"/>
        </w:rPr>
        <w:t>a</w:t>
      </w:r>
      <w:r w:rsidR="00D61208" w:rsidRPr="004068F6">
        <w:rPr>
          <w:spacing w:val="-3"/>
        </w:rPr>
        <w:t xml:space="preserve"> </w:t>
      </w:r>
      <w:r w:rsidRPr="004068F6">
        <w:rPr>
          <w:spacing w:val="-3"/>
        </w:rPr>
        <w:t>los usos del</w:t>
      </w:r>
      <w:r w:rsidR="00AA591E" w:rsidRPr="004068F6">
        <w:rPr>
          <w:spacing w:val="-3"/>
        </w:rPr>
        <w:t xml:space="preserve"> suelo</w:t>
      </w:r>
      <w:r w:rsidRPr="004068F6">
        <w:rPr>
          <w:spacing w:val="-3"/>
        </w:rPr>
        <w:t>. Es posible emplear la s</w:t>
      </w:r>
      <w:r w:rsidR="005D7203" w:rsidRPr="004068F6">
        <w:rPr>
          <w:spacing w:val="-3"/>
        </w:rPr>
        <w:t>uperficie</w:t>
      </w:r>
      <w:r w:rsidRPr="004068F6">
        <w:rPr>
          <w:spacing w:val="-3"/>
        </w:rPr>
        <w:t xml:space="preserve"> </w:t>
      </w:r>
      <w:r w:rsidR="005D7203" w:rsidRPr="004068F6">
        <w:rPr>
          <w:spacing w:val="-3"/>
        </w:rPr>
        <w:t>según usos del suelo.</w:t>
      </w:r>
    </w:p>
    <w:p w14:paraId="65CFB289" w14:textId="77777777" w:rsidR="005D7203" w:rsidRPr="004068F6" w:rsidRDefault="005D7203">
      <w:pPr>
        <w:tabs>
          <w:tab w:val="left" w:pos="-2268"/>
        </w:tabs>
        <w:suppressAutoHyphens/>
        <w:rPr>
          <w:spacing w:val="-3"/>
        </w:rPr>
      </w:pPr>
    </w:p>
    <w:p w14:paraId="6C0119FE" w14:textId="178CA55A" w:rsidR="005D7203" w:rsidRPr="004068F6" w:rsidRDefault="00156B76" w:rsidP="00C86DA5">
      <w:pPr>
        <w:numPr>
          <w:ilvl w:val="0"/>
          <w:numId w:val="56"/>
        </w:numPr>
        <w:tabs>
          <w:tab w:val="left" w:pos="-2268"/>
        </w:tabs>
        <w:suppressAutoHyphens/>
        <w:ind w:left="567" w:hanging="567"/>
        <w:rPr>
          <w:spacing w:val="-3"/>
        </w:rPr>
      </w:pPr>
      <w:r w:rsidRPr="004068F6">
        <w:rPr>
          <w:spacing w:val="-3"/>
        </w:rPr>
        <w:t>Impacto</w:t>
      </w:r>
      <w:r w:rsidR="003179B7" w:rsidRPr="004068F6">
        <w:rPr>
          <w:spacing w:val="-3"/>
        </w:rPr>
        <w:t xml:space="preserve"> </w:t>
      </w:r>
      <w:r w:rsidRPr="004068F6">
        <w:rPr>
          <w:spacing w:val="-3"/>
        </w:rPr>
        <w:t xml:space="preserve">a </w:t>
      </w:r>
      <w:r w:rsidR="005D7203" w:rsidRPr="004068F6">
        <w:rPr>
          <w:spacing w:val="-3"/>
        </w:rPr>
        <w:t xml:space="preserve">suelos de clases agrológicas </w:t>
      </w:r>
      <w:r w:rsidR="007D7F99" w:rsidRPr="004068F6">
        <w:rPr>
          <w:spacing w:val="-3"/>
        </w:rPr>
        <w:t xml:space="preserve">I, </w:t>
      </w:r>
      <w:r w:rsidR="005D7203" w:rsidRPr="004068F6">
        <w:rPr>
          <w:spacing w:val="-3"/>
        </w:rPr>
        <w:t>II, III y IV.</w:t>
      </w:r>
    </w:p>
    <w:p w14:paraId="014F1884" w14:textId="77777777" w:rsidR="005D7203" w:rsidRPr="004068F6" w:rsidRDefault="005D7203">
      <w:pPr>
        <w:tabs>
          <w:tab w:val="left" w:pos="-2268"/>
        </w:tabs>
        <w:suppressAutoHyphens/>
        <w:rPr>
          <w:spacing w:val="-3"/>
        </w:rPr>
      </w:pPr>
    </w:p>
    <w:p w14:paraId="526C4184" w14:textId="09B021C6" w:rsidR="005D7203" w:rsidRPr="004068F6" w:rsidRDefault="003179B7" w:rsidP="00C86DA5">
      <w:pPr>
        <w:numPr>
          <w:ilvl w:val="0"/>
          <w:numId w:val="56"/>
        </w:numPr>
        <w:tabs>
          <w:tab w:val="left" w:pos="-2268"/>
        </w:tabs>
        <w:suppressAutoHyphens/>
        <w:ind w:left="567" w:hanging="567"/>
        <w:rPr>
          <w:rFonts w:eastAsia="Arial"/>
          <w:spacing w:val="-3"/>
        </w:rPr>
      </w:pPr>
      <w:r w:rsidRPr="004068F6">
        <w:t>Impacto a á</w:t>
      </w:r>
      <w:r w:rsidR="005D7203" w:rsidRPr="004068F6">
        <w:t xml:space="preserve">reas con suelos con potencial o con procesos activos de degradación </w:t>
      </w:r>
      <w:r w:rsidR="007D7F99" w:rsidRPr="004068F6">
        <w:t>(erosión y salinización)</w:t>
      </w:r>
      <w:r w:rsidR="005D7203" w:rsidRPr="004068F6">
        <w:t>.</w:t>
      </w:r>
    </w:p>
    <w:p w14:paraId="1E1A3C53" w14:textId="77777777" w:rsidR="005D7203" w:rsidRPr="004068F6" w:rsidRDefault="005D7203">
      <w:pPr>
        <w:tabs>
          <w:tab w:val="left" w:pos="-2268"/>
        </w:tabs>
        <w:suppressAutoHyphens/>
      </w:pPr>
    </w:p>
    <w:p w14:paraId="2E4F0039" w14:textId="07A3638D" w:rsidR="005D7203" w:rsidRPr="004068F6" w:rsidRDefault="006B0954" w:rsidP="00C86DA5">
      <w:pPr>
        <w:numPr>
          <w:ilvl w:val="0"/>
          <w:numId w:val="56"/>
        </w:numPr>
        <w:tabs>
          <w:tab w:val="left" w:pos="-2268"/>
        </w:tabs>
        <w:suppressAutoHyphens/>
        <w:ind w:left="567" w:hanging="567"/>
        <w:rPr>
          <w:rFonts w:eastAsia="Arial"/>
          <w:spacing w:val="-3"/>
        </w:rPr>
      </w:pPr>
      <w:r w:rsidRPr="004068F6">
        <w:t>G</w:t>
      </w:r>
      <w:r w:rsidR="007A4922" w:rsidRPr="004068F6">
        <w:t xml:space="preserve">eneración o </w:t>
      </w:r>
      <w:r w:rsidR="005F055A" w:rsidRPr="004068F6">
        <w:t xml:space="preserve">dinamización de </w:t>
      </w:r>
      <w:r w:rsidR="005D7203" w:rsidRPr="004068F6">
        <w:t>conflictos por uso del suelo.</w:t>
      </w:r>
    </w:p>
    <w:p w14:paraId="36256A78" w14:textId="77777777" w:rsidR="007D7F99" w:rsidRPr="004068F6" w:rsidRDefault="007D7F99" w:rsidP="0082127E">
      <w:pPr>
        <w:rPr>
          <w:rFonts w:eastAsia="Arial"/>
          <w:spacing w:val="-3"/>
        </w:rPr>
      </w:pPr>
    </w:p>
    <w:p w14:paraId="214A89AD" w14:textId="76FED292" w:rsidR="00A80BBD" w:rsidRPr="004068F6" w:rsidRDefault="006B0954" w:rsidP="00A80BBD">
      <w:pPr>
        <w:numPr>
          <w:ilvl w:val="0"/>
          <w:numId w:val="56"/>
        </w:numPr>
        <w:tabs>
          <w:tab w:val="left" w:pos="-2268"/>
        </w:tabs>
        <w:suppressAutoHyphens/>
        <w:ind w:left="567" w:hanging="567"/>
        <w:rPr>
          <w:rFonts w:eastAsia="Arial"/>
          <w:spacing w:val="-3"/>
        </w:rPr>
      </w:pPr>
      <w:r w:rsidRPr="004068F6">
        <w:t>G</w:t>
      </w:r>
      <w:r w:rsidR="007A4922" w:rsidRPr="004068F6">
        <w:t xml:space="preserve">eneración o </w:t>
      </w:r>
      <w:r w:rsidR="005F055A" w:rsidRPr="004068F6">
        <w:t xml:space="preserve">dinamización de </w:t>
      </w:r>
      <w:r w:rsidR="00A80BBD" w:rsidRPr="004068F6">
        <w:rPr>
          <w:rFonts w:eastAsia="Arial"/>
          <w:spacing w:val="-3"/>
        </w:rPr>
        <w:t>conflicto</w:t>
      </w:r>
      <w:r w:rsidR="005F055A" w:rsidRPr="004068F6">
        <w:rPr>
          <w:rFonts w:eastAsia="Arial"/>
          <w:spacing w:val="-3"/>
        </w:rPr>
        <w:t>s</w:t>
      </w:r>
      <w:r w:rsidR="00A80BBD" w:rsidRPr="004068F6">
        <w:rPr>
          <w:rFonts w:eastAsia="Arial"/>
          <w:spacing w:val="-3"/>
        </w:rPr>
        <w:t xml:space="preserve"> ambiental</w:t>
      </w:r>
      <w:r w:rsidR="005F055A" w:rsidRPr="004068F6">
        <w:rPr>
          <w:rFonts w:eastAsia="Arial"/>
          <w:spacing w:val="-3"/>
        </w:rPr>
        <w:t>es</w:t>
      </w:r>
      <w:r w:rsidR="00A80BBD" w:rsidRPr="004068F6">
        <w:rPr>
          <w:rFonts w:eastAsia="Arial"/>
          <w:spacing w:val="-3"/>
        </w:rPr>
        <w:t xml:space="preserve"> por el uso de las tierras.</w:t>
      </w:r>
    </w:p>
    <w:p w14:paraId="27C84B39" w14:textId="77777777" w:rsidR="005D7203" w:rsidRPr="004068F6" w:rsidRDefault="005D7203">
      <w:pPr>
        <w:tabs>
          <w:tab w:val="left" w:pos="-2268"/>
        </w:tabs>
        <w:suppressAutoHyphens/>
        <w:rPr>
          <w:spacing w:val="-3"/>
        </w:rPr>
      </w:pPr>
    </w:p>
    <w:p w14:paraId="49FA8C3E" w14:textId="5D7C06ED" w:rsidR="005D7203" w:rsidRPr="004068F6" w:rsidRDefault="00422AAB" w:rsidP="00C86DA5">
      <w:pPr>
        <w:numPr>
          <w:ilvl w:val="0"/>
          <w:numId w:val="56"/>
        </w:numPr>
        <w:tabs>
          <w:tab w:val="left" w:pos="-2268"/>
        </w:tabs>
        <w:suppressAutoHyphens/>
        <w:ind w:left="567" w:hanging="567"/>
        <w:rPr>
          <w:spacing w:val="-3"/>
        </w:rPr>
      </w:pPr>
      <w:r w:rsidRPr="004068F6">
        <w:rPr>
          <w:spacing w:val="-3"/>
        </w:rPr>
        <w:t>Impacto a</w:t>
      </w:r>
      <w:r w:rsidR="005D7203" w:rsidRPr="004068F6">
        <w:rPr>
          <w:spacing w:val="-3"/>
        </w:rPr>
        <w:t xml:space="preserve">l recurso hídrico </w:t>
      </w:r>
      <w:r w:rsidR="00BA331D" w:rsidRPr="004068F6">
        <w:rPr>
          <w:spacing w:val="-3"/>
        </w:rPr>
        <w:t xml:space="preserve">por vertimientos </w:t>
      </w:r>
      <w:r w:rsidR="005D7203" w:rsidRPr="004068F6">
        <w:rPr>
          <w:spacing w:val="-3"/>
        </w:rPr>
        <w:t>en áreas continentales e insulares (superficial y subterráneo) en términos de calidad y cantidad.</w:t>
      </w:r>
    </w:p>
    <w:p w14:paraId="2BE30BC1" w14:textId="77777777" w:rsidR="005D7203" w:rsidRPr="004068F6" w:rsidRDefault="005D7203">
      <w:pPr>
        <w:tabs>
          <w:tab w:val="left" w:pos="-2268"/>
        </w:tabs>
        <w:suppressAutoHyphens/>
        <w:rPr>
          <w:spacing w:val="-3"/>
        </w:rPr>
      </w:pPr>
    </w:p>
    <w:p w14:paraId="4046ADCD" w14:textId="7A22A123" w:rsidR="005D7203" w:rsidRPr="004068F6" w:rsidRDefault="00422AAB" w:rsidP="00C86DA5">
      <w:pPr>
        <w:numPr>
          <w:ilvl w:val="0"/>
          <w:numId w:val="56"/>
        </w:numPr>
        <w:tabs>
          <w:tab w:val="left" w:pos="-2268"/>
        </w:tabs>
        <w:suppressAutoHyphens/>
        <w:ind w:left="567" w:hanging="567"/>
        <w:rPr>
          <w:spacing w:val="-3"/>
        </w:rPr>
      </w:pPr>
      <w:r w:rsidRPr="004068F6">
        <w:rPr>
          <w:spacing w:val="-3"/>
        </w:rPr>
        <w:t>Impacto a</w:t>
      </w:r>
      <w:r w:rsidR="005D7203" w:rsidRPr="004068F6">
        <w:rPr>
          <w:spacing w:val="-3"/>
        </w:rPr>
        <w:t>l recurso hídrico marino en términos de calidad y cantidad.</w:t>
      </w:r>
    </w:p>
    <w:p w14:paraId="72865E45" w14:textId="77777777" w:rsidR="005D7203" w:rsidRPr="004068F6" w:rsidRDefault="005D7203">
      <w:pPr>
        <w:tabs>
          <w:tab w:val="left" w:pos="-2268"/>
        </w:tabs>
        <w:suppressAutoHyphens/>
        <w:rPr>
          <w:spacing w:val="-3"/>
        </w:rPr>
      </w:pPr>
    </w:p>
    <w:p w14:paraId="0BB550E3" w14:textId="45760B71" w:rsidR="005D7203" w:rsidRPr="004068F6" w:rsidRDefault="00D3146C" w:rsidP="00C86DA5">
      <w:pPr>
        <w:pStyle w:val="Prrafodelista"/>
        <w:numPr>
          <w:ilvl w:val="0"/>
          <w:numId w:val="56"/>
        </w:numPr>
        <w:ind w:left="567" w:hanging="567"/>
        <w:rPr>
          <w:rFonts w:cs="Arial"/>
          <w:spacing w:val="-3"/>
          <w:lang w:val="es-CO"/>
        </w:rPr>
      </w:pPr>
      <w:r w:rsidRPr="004068F6">
        <w:rPr>
          <w:rFonts w:cs="Arial"/>
          <w:spacing w:val="-3"/>
          <w:lang w:val="es-CO"/>
        </w:rPr>
        <w:t xml:space="preserve">Cantidad </w:t>
      </w:r>
      <w:r w:rsidR="005D7203" w:rsidRPr="004068F6">
        <w:rPr>
          <w:rFonts w:cs="Arial"/>
          <w:spacing w:val="-3"/>
          <w:lang w:val="es-CO"/>
        </w:rPr>
        <w:t xml:space="preserve">de receptores </w:t>
      </w:r>
      <w:r w:rsidRPr="004068F6">
        <w:rPr>
          <w:rFonts w:cs="Arial"/>
          <w:spacing w:val="-3"/>
          <w:lang w:val="es-CO"/>
        </w:rPr>
        <w:t xml:space="preserve">(humanos y de otra clase) </w:t>
      </w:r>
      <w:r w:rsidR="005D7203" w:rsidRPr="004068F6">
        <w:rPr>
          <w:rFonts w:cs="Arial"/>
          <w:spacing w:val="-3"/>
          <w:lang w:val="es-CO"/>
        </w:rPr>
        <w:t>de emisiones atmosféricas y ruido en zonas agropecuarias y en áreas con elementos naturales susceptibles.</w:t>
      </w:r>
    </w:p>
    <w:p w14:paraId="45ECB8CE" w14:textId="77777777" w:rsidR="005D7203" w:rsidRPr="004068F6" w:rsidRDefault="005D7203">
      <w:pPr>
        <w:rPr>
          <w:spacing w:val="-3"/>
        </w:rPr>
      </w:pPr>
    </w:p>
    <w:p w14:paraId="257A9459" w14:textId="7C9319D1" w:rsidR="005D7203" w:rsidRPr="004068F6" w:rsidRDefault="005D7203" w:rsidP="00C86DA5">
      <w:pPr>
        <w:pStyle w:val="Prrafodelista"/>
        <w:numPr>
          <w:ilvl w:val="0"/>
          <w:numId w:val="56"/>
        </w:numPr>
        <w:ind w:left="567" w:hanging="567"/>
        <w:rPr>
          <w:rFonts w:cs="Arial"/>
          <w:spacing w:val="-3"/>
          <w:lang w:val="es-CO"/>
        </w:rPr>
      </w:pPr>
      <w:r w:rsidRPr="004068F6">
        <w:rPr>
          <w:rFonts w:cs="Arial"/>
          <w:spacing w:val="-3"/>
          <w:lang w:val="es-CO"/>
        </w:rPr>
        <w:t>Distanciamiento de receptores (humanos y de otra clase</w:t>
      </w:r>
      <w:r w:rsidR="000F5D36" w:rsidRPr="004068F6">
        <w:rPr>
          <w:rFonts w:cs="Arial"/>
          <w:spacing w:val="-3"/>
          <w:lang w:val="es-CO"/>
        </w:rPr>
        <w:t xml:space="preserve">) </w:t>
      </w:r>
      <w:r w:rsidRPr="004068F6">
        <w:rPr>
          <w:rFonts w:cs="Arial"/>
          <w:spacing w:val="-3"/>
          <w:lang w:val="es-CO"/>
        </w:rPr>
        <w:t>de contaminación atmosférica (aire y ruido)</w:t>
      </w:r>
      <w:r w:rsidR="000F5D36" w:rsidRPr="004068F6">
        <w:rPr>
          <w:rFonts w:cs="Arial"/>
          <w:spacing w:val="-3"/>
          <w:lang w:val="es-CO"/>
        </w:rPr>
        <w:t xml:space="preserve"> en zonas agropecuarias y en áreas con elementos naturales susceptibles).</w:t>
      </w:r>
    </w:p>
    <w:p w14:paraId="34050C12" w14:textId="77777777" w:rsidR="00A10950" w:rsidRPr="004068F6" w:rsidRDefault="00A10950" w:rsidP="008A4FE9">
      <w:pPr>
        <w:rPr>
          <w:rFonts w:cs="Arial"/>
          <w:spacing w:val="-3"/>
        </w:rPr>
      </w:pPr>
    </w:p>
    <w:p w14:paraId="08F68D40" w14:textId="381D6A11" w:rsidR="005D7203" w:rsidRPr="00466E26" w:rsidRDefault="005D7203" w:rsidP="000A1E20">
      <w:pPr>
        <w:pStyle w:val="Ttulo3"/>
      </w:pPr>
      <w:bookmarkStart w:id="2415" w:name="_Toc153811789"/>
      <w:bookmarkStart w:id="2416" w:name="_Toc153812002"/>
      <w:bookmarkStart w:id="2417" w:name="_Toc153812407"/>
      <w:bookmarkStart w:id="2418" w:name="_Toc153817443"/>
      <w:bookmarkStart w:id="2419" w:name="_Toc158907117"/>
      <w:bookmarkStart w:id="2420" w:name="_Toc159826117"/>
      <w:bookmarkStart w:id="2421" w:name="_Toc159826551"/>
      <w:bookmarkStart w:id="2422" w:name="_Toc175326381"/>
      <w:bookmarkStart w:id="2423" w:name="_Toc153811790"/>
      <w:bookmarkStart w:id="2424" w:name="_Toc153812003"/>
      <w:bookmarkStart w:id="2425" w:name="_Toc153812408"/>
      <w:bookmarkStart w:id="2426" w:name="_Toc158907118"/>
      <w:bookmarkStart w:id="2427" w:name="_Toc159826118"/>
      <w:bookmarkStart w:id="2428" w:name="_Toc159826552"/>
      <w:bookmarkStart w:id="2429" w:name="_Toc175326382"/>
      <w:bookmarkStart w:id="2430" w:name="_Toc153811791"/>
      <w:bookmarkStart w:id="2431" w:name="_Toc153812004"/>
      <w:bookmarkStart w:id="2432" w:name="_Toc153812409"/>
      <w:bookmarkStart w:id="2433" w:name="_Toc153817445"/>
      <w:bookmarkStart w:id="2434" w:name="_Toc158907119"/>
      <w:bookmarkStart w:id="2435" w:name="_Toc159826119"/>
      <w:bookmarkStart w:id="2436" w:name="_Toc159826553"/>
      <w:bookmarkStart w:id="2437" w:name="_Toc175326383"/>
      <w:bookmarkStart w:id="2438" w:name="_Toc153811792"/>
      <w:bookmarkStart w:id="2439" w:name="_Toc153812005"/>
      <w:bookmarkStart w:id="2440" w:name="_Toc153812410"/>
      <w:bookmarkStart w:id="2441" w:name="_Toc158907120"/>
      <w:bookmarkStart w:id="2442" w:name="_Toc159826120"/>
      <w:bookmarkStart w:id="2443" w:name="_Toc159826554"/>
      <w:bookmarkStart w:id="2444" w:name="_Toc175326384"/>
      <w:bookmarkStart w:id="2445" w:name="_Toc153811793"/>
      <w:bookmarkStart w:id="2446" w:name="_Toc153812006"/>
      <w:bookmarkStart w:id="2447" w:name="_Toc153812411"/>
      <w:bookmarkStart w:id="2448" w:name="_Toc153817447"/>
      <w:bookmarkStart w:id="2449" w:name="_Toc158907121"/>
      <w:bookmarkStart w:id="2450" w:name="_Toc159826121"/>
      <w:bookmarkStart w:id="2451" w:name="_Toc159826555"/>
      <w:bookmarkStart w:id="2452" w:name="_Toc175326385"/>
      <w:bookmarkStart w:id="2453" w:name="_Toc153811794"/>
      <w:bookmarkStart w:id="2454" w:name="_Toc153812007"/>
      <w:bookmarkStart w:id="2455" w:name="_Toc153812412"/>
      <w:bookmarkStart w:id="2456" w:name="_Toc158907122"/>
      <w:bookmarkStart w:id="2457" w:name="_Toc159826122"/>
      <w:bookmarkStart w:id="2458" w:name="_Toc159826556"/>
      <w:bookmarkStart w:id="2459" w:name="_Toc175326386"/>
      <w:bookmarkStart w:id="2460" w:name="_Toc153811795"/>
      <w:bookmarkStart w:id="2461" w:name="_Toc153812008"/>
      <w:bookmarkStart w:id="2462" w:name="_Toc153812413"/>
      <w:bookmarkStart w:id="2463" w:name="_Toc153817449"/>
      <w:bookmarkStart w:id="2464" w:name="_Toc158907123"/>
      <w:bookmarkStart w:id="2465" w:name="_Toc159826123"/>
      <w:bookmarkStart w:id="2466" w:name="_Toc159826557"/>
      <w:bookmarkStart w:id="2467" w:name="_Toc175326387"/>
      <w:bookmarkStart w:id="2468" w:name="_Toc153811796"/>
      <w:bookmarkStart w:id="2469" w:name="_Toc153812009"/>
      <w:bookmarkStart w:id="2470" w:name="_Toc153812414"/>
      <w:bookmarkStart w:id="2471" w:name="_Toc158907124"/>
      <w:bookmarkStart w:id="2472" w:name="_Toc159826124"/>
      <w:bookmarkStart w:id="2473" w:name="_Toc159826558"/>
      <w:bookmarkStart w:id="2474" w:name="_Toc175326388"/>
      <w:bookmarkStart w:id="2475" w:name="_Toc153811797"/>
      <w:bookmarkStart w:id="2476" w:name="_Toc153812010"/>
      <w:bookmarkStart w:id="2477" w:name="_Toc153812415"/>
      <w:bookmarkStart w:id="2478" w:name="_Toc153817451"/>
      <w:bookmarkStart w:id="2479" w:name="_Toc158907125"/>
      <w:bookmarkStart w:id="2480" w:name="_Toc159826125"/>
      <w:bookmarkStart w:id="2481" w:name="_Toc159826559"/>
      <w:bookmarkStart w:id="2482" w:name="_Toc175326389"/>
      <w:bookmarkStart w:id="2483" w:name="_Toc43485672"/>
      <w:bookmarkStart w:id="2484" w:name="_Toc437936002"/>
      <w:bookmarkStart w:id="2485" w:name="_Toc42779207"/>
      <w:bookmarkStart w:id="2486" w:name="_Toc23087962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r w:rsidRPr="00466E26">
        <w:t xml:space="preserve">Criterios </w:t>
      </w:r>
      <w:bookmarkEnd w:id="2484"/>
      <w:bookmarkEnd w:id="2485"/>
      <w:r w:rsidR="005F1E0B" w:rsidRPr="00466E26">
        <w:t>relacionados con el medio biótico</w:t>
      </w:r>
      <w:bookmarkEnd w:id="2486"/>
    </w:p>
    <w:p w14:paraId="75957736" w14:textId="77777777" w:rsidR="005D7203" w:rsidRPr="004068F6" w:rsidRDefault="005D7203">
      <w:pPr>
        <w:numPr>
          <w:ilvl w:val="12"/>
          <w:numId w:val="0"/>
        </w:numPr>
        <w:tabs>
          <w:tab w:val="left" w:pos="-2268"/>
        </w:tabs>
        <w:suppressAutoHyphens/>
        <w:rPr>
          <w:spacing w:val="-3"/>
        </w:rPr>
      </w:pPr>
    </w:p>
    <w:p w14:paraId="148AAC3F" w14:textId="3529D5B6" w:rsidR="005D7203" w:rsidRPr="004068F6" w:rsidRDefault="001F2DF5" w:rsidP="00C86DA5">
      <w:pPr>
        <w:numPr>
          <w:ilvl w:val="0"/>
          <w:numId w:val="56"/>
        </w:numPr>
        <w:tabs>
          <w:tab w:val="left" w:pos="-2268"/>
        </w:tabs>
        <w:suppressAutoHyphens/>
        <w:ind w:left="567" w:hanging="567"/>
        <w:rPr>
          <w:spacing w:val="-3"/>
        </w:rPr>
      </w:pPr>
      <w:r w:rsidRPr="004068F6">
        <w:t>Impacto a</w:t>
      </w:r>
      <w:r w:rsidR="00167AED" w:rsidRPr="004068F6">
        <w:t xml:space="preserve"> </w:t>
      </w:r>
      <w:r w:rsidR="0086126A" w:rsidRPr="004068F6">
        <w:t xml:space="preserve">Áreas </w:t>
      </w:r>
      <w:r w:rsidR="00270D14" w:rsidRPr="004068F6">
        <w:t xml:space="preserve">de Especial Interés </w:t>
      </w:r>
      <w:r w:rsidR="0086126A" w:rsidRPr="004068F6">
        <w:t>Ambiental</w:t>
      </w:r>
      <w:r w:rsidRPr="004068F6">
        <w:t xml:space="preserve"> (</w:t>
      </w:r>
      <w:r w:rsidR="0086126A" w:rsidRPr="004068F6">
        <w:t>A</w:t>
      </w:r>
      <w:r w:rsidR="00270D14" w:rsidRPr="004068F6">
        <w:t>EI</w:t>
      </w:r>
      <w:r w:rsidR="0086126A" w:rsidRPr="004068F6">
        <w:t>A</w:t>
      </w:r>
      <w:r w:rsidRPr="004068F6">
        <w:t xml:space="preserve">) y a </w:t>
      </w:r>
      <w:r w:rsidR="00167AED" w:rsidRPr="004068F6">
        <w:t xml:space="preserve">áreas </w:t>
      </w:r>
      <w:r w:rsidR="005D7203" w:rsidRPr="004068F6">
        <w:t>de manejo especial del orden nacional y regional</w:t>
      </w:r>
      <w:r w:rsidR="00167AED" w:rsidRPr="004068F6">
        <w:t xml:space="preserve">, </w:t>
      </w:r>
      <w:r w:rsidRPr="004068F6">
        <w:t>considerando especialmente sus</w:t>
      </w:r>
      <w:r w:rsidR="00167AED" w:rsidRPr="004068F6">
        <w:t xml:space="preserve"> </w:t>
      </w:r>
      <w:r w:rsidRPr="004068F6">
        <w:t>áreas de exclusión, en caso de estar definidas</w:t>
      </w:r>
      <w:r w:rsidR="0012566C" w:rsidRPr="004068F6">
        <w:t xml:space="preserve">, así como </w:t>
      </w:r>
      <w:r w:rsidR="0012566C" w:rsidRPr="004068F6">
        <w:rPr>
          <w:spacing w:val="-3"/>
        </w:rPr>
        <w:t>los o</w:t>
      </w:r>
      <w:r w:rsidR="005D7203" w:rsidRPr="004068F6">
        <w:rPr>
          <w:spacing w:val="-3"/>
        </w:rPr>
        <w:t xml:space="preserve">bjetivos </w:t>
      </w:r>
      <w:r w:rsidR="001935E7" w:rsidRPr="004068F6">
        <w:rPr>
          <w:spacing w:val="-3"/>
        </w:rPr>
        <w:t xml:space="preserve">y valores objeto de conservación </w:t>
      </w:r>
      <w:r w:rsidR="005D7203" w:rsidRPr="004068F6">
        <w:rPr>
          <w:spacing w:val="-3"/>
        </w:rPr>
        <w:t xml:space="preserve">de las áreas protegidas del </w:t>
      </w:r>
      <w:r w:rsidR="00830E19" w:rsidRPr="004068F6">
        <w:rPr>
          <w:spacing w:val="-3"/>
        </w:rPr>
        <w:t>Sinap</w:t>
      </w:r>
      <w:r w:rsidR="005D7203" w:rsidRPr="004068F6">
        <w:rPr>
          <w:spacing w:val="-3"/>
        </w:rPr>
        <w:t>.</w:t>
      </w:r>
    </w:p>
    <w:p w14:paraId="26FEB1D0" w14:textId="77777777" w:rsidR="005D7203" w:rsidRPr="004068F6" w:rsidRDefault="005D7203">
      <w:pPr>
        <w:tabs>
          <w:tab w:val="left" w:pos="-2268"/>
        </w:tabs>
        <w:suppressAutoHyphens/>
        <w:rPr>
          <w:spacing w:val="-3"/>
        </w:rPr>
      </w:pPr>
    </w:p>
    <w:p w14:paraId="13F8475A" w14:textId="20F86E00" w:rsidR="005D7203" w:rsidRPr="004068F6" w:rsidRDefault="00B70CAA" w:rsidP="00C86DA5">
      <w:pPr>
        <w:numPr>
          <w:ilvl w:val="0"/>
          <w:numId w:val="56"/>
        </w:numPr>
        <w:tabs>
          <w:tab w:val="left" w:pos="-2268"/>
        </w:tabs>
        <w:suppressAutoHyphens/>
        <w:ind w:left="567" w:hanging="567"/>
        <w:rPr>
          <w:spacing w:val="-3"/>
        </w:rPr>
      </w:pPr>
      <w:r w:rsidRPr="004068F6">
        <w:rPr>
          <w:spacing w:val="-3"/>
        </w:rPr>
        <w:t xml:space="preserve">Impacto a </w:t>
      </w:r>
      <w:r w:rsidR="00C25B26" w:rsidRPr="004068F6">
        <w:rPr>
          <w:spacing w:val="-3"/>
        </w:rPr>
        <w:t xml:space="preserve">zonas de paso de especies migratorias y </w:t>
      </w:r>
      <w:r w:rsidRPr="004068F6">
        <w:rPr>
          <w:spacing w:val="-3"/>
        </w:rPr>
        <w:t>a</w:t>
      </w:r>
      <w:r w:rsidR="00C25B26" w:rsidRPr="004068F6">
        <w:rPr>
          <w:spacing w:val="-3"/>
        </w:rPr>
        <w:t xml:space="preserve"> </w:t>
      </w:r>
      <w:r w:rsidR="005D7203" w:rsidRPr="004068F6">
        <w:rPr>
          <w:spacing w:val="-3"/>
        </w:rPr>
        <w:t xml:space="preserve">áreas de importancia para </w:t>
      </w:r>
      <w:r w:rsidR="001935E7" w:rsidRPr="004068F6">
        <w:rPr>
          <w:spacing w:val="-3"/>
        </w:rPr>
        <w:t xml:space="preserve">la </w:t>
      </w:r>
      <w:r w:rsidR="005D7203" w:rsidRPr="004068F6">
        <w:rPr>
          <w:spacing w:val="-3"/>
        </w:rPr>
        <w:t>cría, reproducción, alimentación y anidación.</w:t>
      </w:r>
    </w:p>
    <w:p w14:paraId="36D60E2B" w14:textId="77777777" w:rsidR="005D7203" w:rsidRPr="004068F6" w:rsidRDefault="005D7203">
      <w:pPr>
        <w:tabs>
          <w:tab w:val="left" w:pos="-2268"/>
        </w:tabs>
        <w:suppressAutoHyphens/>
        <w:rPr>
          <w:spacing w:val="-3"/>
        </w:rPr>
      </w:pPr>
    </w:p>
    <w:p w14:paraId="4CEA47DF" w14:textId="75A0C964" w:rsidR="005D7203" w:rsidRPr="004068F6" w:rsidRDefault="008C165F" w:rsidP="00C86DA5">
      <w:pPr>
        <w:numPr>
          <w:ilvl w:val="0"/>
          <w:numId w:val="56"/>
        </w:numPr>
        <w:tabs>
          <w:tab w:val="left" w:pos="-2268"/>
        </w:tabs>
        <w:suppressAutoHyphens/>
        <w:ind w:left="567" w:hanging="567"/>
        <w:rPr>
          <w:spacing w:val="-3"/>
        </w:rPr>
      </w:pPr>
      <w:r w:rsidRPr="004068F6">
        <w:rPr>
          <w:spacing w:val="-3"/>
        </w:rPr>
        <w:t xml:space="preserve">Impacto a </w:t>
      </w:r>
      <w:r w:rsidR="005D7203" w:rsidRPr="004068F6">
        <w:rPr>
          <w:spacing w:val="-3"/>
        </w:rPr>
        <w:t>especies amenazadas (</w:t>
      </w:r>
      <w:r w:rsidR="00393A0A" w:rsidRPr="004068F6">
        <w:rPr>
          <w:spacing w:val="-3"/>
        </w:rPr>
        <w:t xml:space="preserve">según </w:t>
      </w:r>
      <w:r w:rsidR="005D7203" w:rsidRPr="004068F6">
        <w:rPr>
          <w:spacing w:val="-3"/>
        </w:rPr>
        <w:t xml:space="preserve">la UICN, la </w:t>
      </w:r>
      <w:r w:rsidR="00AC3FD2" w:rsidRPr="004068F6">
        <w:rPr>
          <w:spacing w:val="-3"/>
        </w:rPr>
        <w:t>Resolución 0126 de 2024</w:t>
      </w:r>
      <w:r w:rsidR="005D7203" w:rsidRPr="004068F6">
        <w:rPr>
          <w:spacing w:val="-3"/>
        </w:rPr>
        <w:t xml:space="preserve"> </w:t>
      </w:r>
      <w:r w:rsidR="001935E7" w:rsidRPr="004068F6">
        <w:rPr>
          <w:spacing w:val="-3"/>
        </w:rPr>
        <w:t xml:space="preserve">o la que la modifique o sustituya </w:t>
      </w:r>
      <w:r w:rsidR="005D7203" w:rsidRPr="004068F6">
        <w:rPr>
          <w:spacing w:val="-3"/>
        </w:rPr>
        <w:t>y los libros rojos de especies amenazadas), migratorias, endémicas, vedadas, contempladas en el CITES, de vital importancia para la función y estabilidad de los ecosistemas, entre otras</w:t>
      </w:r>
      <w:r w:rsidRPr="004068F6">
        <w:rPr>
          <w:spacing w:val="-3"/>
        </w:rPr>
        <w:t xml:space="preserve"> reportadas en el área de estudio</w:t>
      </w:r>
      <w:r w:rsidR="005D7203" w:rsidRPr="004068F6">
        <w:rPr>
          <w:spacing w:val="-3"/>
        </w:rPr>
        <w:t>.</w:t>
      </w:r>
    </w:p>
    <w:p w14:paraId="52D419AA" w14:textId="77777777" w:rsidR="005D7203" w:rsidRPr="004068F6" w:rsidRDefault="005D7203">
      <w:pPr>
        <w:tabs>
          <w:tab w:val="left" w:pos="-2268"/>
        </w:tabs>
        <w:suppressAutoHyphens/>
        <w:rPr>
          <w:spacing w:val="-3"/>
        </w:rPr>
      </w:pPr>
    </w:p>
    <w:p w14:paraId="2DE97EED" w14:textId="0B43515D" w:rsidR="005D7203" w:rsidRPr="004068F6" w:rsidRDefault="00D553A7" w:rsidP="00C86DA5">
      <w:pPr>
        <w:numPr>
          <w:ilvl w:val="0"/>
          <w:numId w:val="56"/>
        </w:numPr>
        <w:tabs>
          <w:tab w:val="left" w:pos="-2268"/>
        </w:tabs>
        <w:suppressAutoHyphens/>
        <w:ind w:left="567" w:hanging="567"/>
        <w:rPr>
          <w:spacing w:val="-3"/>
        </w:rPr>
      </w:pPr>
      <w:r w:rsidRPr="004068F6">
        <w:rPr>
          <w:spacing w:val="-3"/>
        </w:rPr>
        <w:lastRenderedPageBreak/>
        <w:t>F</w:t>
      </w:r>
      <w:r w:rsidR="005D7203" w:rsidRPr="004068F6">
        <w:rPr>
          <w:spacing w:val="-3"/>
        </w:rPr>
        <w:t xml:space="preserve">ragmentación </w:t>
      </w:r>
      <w:r w:rsidR="001E30F9" w:rsidRPr="004068F6">
        <w:rPr>
          <w:spacing w:val="-3"/>
        </w:rPr>
        <w:t>o impacto a la</w:t>
      </w:r>
      <w:r w:rsidR="005D7203" w:rsidRPr="004068F6">
        <w:rPr>
          <w:spacing w:val="-3"/>
        </w:rPr>
        <w:t xml:space="preserve"> conectividad de los ecosistemas.</w:t>
      </w:r>
    </w:p>
    <w:p w14:paraId="71B720B6" w14:textId="77777777" w:rsidR="005D7203" w:rsidRPr="004068F6" w:rsidRDefault="005D7203">
      <w:pPr>
        <w:tabs>
          <w:tab w:val="left" w:pos="-2268"/>
        </w:tabs>
        <w:suppressAutoHyphens/>
        <w:rPr>
          <w:spacing w:val="-3"/>
        </w:rPr>
      </w:pPr>
    </w:p>
    <w:p w14:paraId="196EE56C" w14:textId="56BE4970" w:rsidR="005D7203" w:rsidRPr="004068F6" w:rsidRDefault="008E4165" w:rsidP="00C86DA5">
      <w:pPr>
        <w:numPr>
          <w:ilvl w:val="0"/>
          <w:numId w:val="56"/>
        </w:numPr>
        <w:tabs>
          <w:tab w:val="left" w:pos="-2268"/>
        </w:tabs>
        <w:suppressAutoHyphens/>
        <w:ind w:left="567" w:hanging="567"/>
        <w:rPr>
          <w:spacing w:val="-3"/>
        </w:rPr>
      </w:pPr>
      <w:r w:rsidRPr="004068F6">
        <w:rPr>
          <w:spacing w:val="-3"/>
        </w:rPr>
        <w:t xml:space="preserve">Extensión </w:t>
      </w:r>
      <w:r w:rsidR="003B4F83" w:rsidRPr="004068F6">
        <w:rPr>
          <w:spacing w:val="-3"/>
        </w:rPr>
        <w:t xml:space="preserve">impactada </w:t>
      </w:r>
      <w:r w:rsidRPr="004068F6">
        <w:rPr>
          <w:spacing w:val="-3"/>
        </w:rPr>
        <w:t xml:space="preserve">de </w:t>
      </w:r>
      <w:r w:rsidR="005D7203" w:rsidRPr="004068F6">
        <w:rPr>
          <w:spacing w:val="-3"/>
        </w:rPr>
        <w:t>coberturas vegetales</w:t>
      </w:r>
      <w:r w:rsidR="00B12837" w:rsidRPr="004068F6">
        <w:rPr>
          <w:spacing w:val="-3"/>
        </w:rPr>
        <w:t xml:space="preserve"> o ecosistemas</w:t>
      </w:r>
      <w:r w:rsidR="005D7203" w:rsidRPr="004068F6">
        <w:rPr>
          <w:spacing w:val="-3"/>
        </w:rPr>
        <w:t>.</w:t>
      </w:r>
    </w:p>
    <w:p w14:paraId="4E642B16" w14:textId="77777777" w:rsidR="005D7203" w:rsidRPr="004068F6" w:rsidRDefault="005D7203">
      <w:pPr>
        <w:tabs>
          <w:tab w:val="left" w:pos="-2268"/>
        </w:tabs>
        <w:suppressAutoHyphens/>
        <w:rPr>
          <w:spacing w:val="-3"/>
        </w:rPr>
      </w:pPr>
    </w:p>
    <w:p w14:paraId="73D5D670" w14:textId="5D143D7B" w:rsidR="005D7203" w:rsidRPr="004068F6" w:rsidRDefault="00A673A7" w:rsidP="00C86DA5">
      <w:pPr>
        <w:numPr>
          <w:ilvl w:val="0"/>
          <w:numId w:val="56"/>
        </w:numPr>
        <w:tabs>
          <w:tab w:val="left" w:pos="-2268"/>
        </w:tabs>
        <w:suppressAutoHyphens/>
        <w:ind w:left="567" w:hanging="567"/>
        <w:rPr>
          <w:spacing w:val="-3"/>
        </w:rPr>
      </w:pPr>
      <w:r w:rsidRPr="004068F6">
        <w:rPr>
          <w:spacing w:val="-3"/>
        </w:rPr>
        <w:t>Á</w:t>
      </w:r>
      <w:r w:rsidR="005D7203" w:rsidRPr="004068F6">
        <w:rPr>
          <w:spacing w:val="-3"/>
        </w:rPr>
        <w:t>rea de compensación del medio biótico</w:t>
      </w:r>
      <w:r w:rsidR="005D7203" w:rsidRPr="004068F6">
        <w:rPr>
          <w:spacing w:val="-3"/>
          <w:vertAlign w:val="superscript"/>
        </w:rPr>
        <w:footnoteReference w:id="71"/>
      </w:r>
      <w:r w:rsidR="005D7203" w:rsidRPr="004068F6">
        <w:rPr>
          <w:spacing w:val="-3"/>
        </w:rPr>
        <w:t>.</w:t>
      </w:r>
    </w:p>
    <w:p w14:paraId="6D9072A8" w14:textId="77777777" w:rsidR="005D7203" w:rsidRPr="004068F6" w:rsidRDefault="005D7203">
      <w:pPr>
        <w:tabs>
          <w:tab w:val="left" w:pos="-2268"/>
        </w:tabs>
        <w:suppressAutoHyphens/>
        <w:rPr>
          <w:spacing w:val="-3"/>
        </w:rPr>
      </w:pPr>
    </w:p>
    <w:p w14:paraId="598B8D7E" w14:textId="6C8771D2" w:rsidR="005D7203" w:rsidRPr="004068F6" w:rsidRDefault="005D7203" w:rsidP="00C86DA5">
      <w:pPr>
        <w:numPr>
          <w:ilvl w:val="0"/>
          <w:numId w:val="56"/>
        </w:numPr>
        <w:tabs>
          <w:tab w:val="left" w:pos="-2268"/>
        </w:tabs>
        <w:suppressAutoHyphens/>
        <w:ind w:left="567" w:hanging="567"/>
        <w:rPr>
          <w:spacing w:val="-3"/>
        </w:rPr>
      </w:pPr>
      <w:r w:rsidRPr="004068F6">
        <w:rPr>
          <w:spacing w:val="-3"/>
        </w:rPr>
        <w:t>Estima</w:t>
      </w:r>
      <w:r w:rsidR="005A6AD5" w:rsidRPr="004068F6">
        <w:rPr>
          <w:spacing w:val="-3"/>
        </w:rPr>
        <w:t xml:space="preserve">do </w:t>
      </w:r>
      <w:r w:rsidRPr="004068F6">
        <w:rPr>
          <w:spacing w:val="-3"/>
        </w:rPr>
        <w:t>de</w:t>
      </w:r>
      <w:r w:rsidR="00D16E92" w:rsidRPr="004068F6">
        <w:rPr>
          <w:spacing w:val="-3"/>
        </w:rPr>
        <w:t>l</w:t>
      </w:r>
      <w:r w:rsidRPr="004068F6">
        <w:rPr>
          <w:spacing w:val="-3"/>
        </w:rPr>
        <w:t xml:space="preserve"> uso, aprovechamiento y afectación de recursos naturales renovables (</w:t>
      </w:r>
      <w:r w:rsidR="008D2728" w:rsidRPr="004068F6">
        <w:rPr>
          <w:spacing w:val="-3"/>
        </w:rPr>
        <w:t xml:space="preserve">p. ej. </w:t>
      </w:r>
      <w:r w:rsidR="00E22E4D" w:rsidRPr="004068F6">
        <w:rPr>
          <w:spacing w:val="-3"/>
        </w:rPr>
        <w:t xml:space="preserve">estimado del </w:t>
      </w:r>
      <w:r w:rsidR="00F31608" w:rsidRPr="004068F6">
        <w:rPr>
          <w:spacing w:val="-3"/>
        </w:rPr>
        <w:t xml:space="preserve">volumen </w:t>
      </w:r>
      <w:r w:rsidR="00E22E4D" w:rsidRPr="004068F6">
        <w:rPr>
          <w:spacing w:val="-3"/>
        </w:rPr>
        <w:t xml:space="preserve">de </w:t>
      </w:r>
      <w:r w:rsidRPr="004068F6">
        <w:rPr>
          <w:spacing w:val="-3"/>
        </w:rPr>
        <w:t>aprovechamiento forestal</w:t>
      </w:r>
      <w:r w:rsidR="00E22E4D" w:rsidRPr="004068F6">
        <w:rPr>
          <w:spacing w:val="-3"/>
        </w:rPr>
        <w:t xml:space="preserve"> requerido por cobertura o ecosistema</w:t>
      </w:r>
      <w:r w:rsidRPr="004068F6">
        <w:rPr>
          <w:spacing w:val="-3"/>
        </w:rPr>
        <w:t>).</w:t>
      </w:r>
    </w:p>
    <w:p w14:paraId="59BFFB5B" w14:textId="77777777" w:rsidR="005D7203" w:rsidRPr="004068F6" w:rsidRDefault="005D7203">
      <w:pPr>
        <w:tabs>
          <w:tab w:val="left" w:pos="-2268"/>
        </w:tabs>
        <w:suppressAutoHyphens/>
        <w:rPr>
          <w:spacing w:val="-3"/>
        </w:rPr>
      </w:pPr>
    </w:p>
    <w:p w14:paraId="351AB112" w14:textId="151044CD" w:rsidR="005D7203" w:rsidRPr="004068F6" w:rsidRDefault="005A6AD5" w:rsidP="00C86DA5">
      <w:pPr>
        <w:numPr>
          <w:ilvl w:val="0"/>
          <w:numId w:val="56"/>
        </w:numPr>
        <w:tabs>
          <w:tab w:val="left" w:pos="-2268"/>
        </w:tabs>
        <w:suppressAutoHyphens/>
        <w:ind w:left="567" w:hanging="567"/>
        <w:rPr>
          <w:spacing w:val="-3"/>
        </w:rPr>
      </w:pPr>
      <w:r w:rsidRPr="004068F6">
        <w:rPr>
          <w:spacing w:val="-3"/>
        </w:rPr>
        <w:t xml:space="preserve">Impacto a </w:t>
      </w:r>
      <w:r w:rsidR="005D7203" w:rsidRPr="004068F6">
        <w:rPr>
          <w:spacing w:val="-3"/>
        </w:rPr>
        <w:t>ecosistemas acuáticos</w:t>
      </w:r>
      <w:r w:rsidRPr="004068F6">
        <w:rPr>
          <w:spacing w:val="-3"/>
        </w:rPr>
        <w:t xml:space="preserve">, incluyendo </w:t>
      </w:r>
      <w:r w:rsidR="001935E7" w:rsidRPr="004068F6">
        <w:rPr>
          <w:spacing w:val="-3"/>
        </w:rPr>
        <w:t xml:space="preserve">el </w:t>
      </w:r>
      <w:r w:rsidRPr="004068F6">
        <w:rPr>
          <w:spacing w:val="-3"/>
        </w:rPr>
        <w:t xml:space="preserve">que </w:t>
      </w:r>
      <w:r w:rsidR="001935E7" w:rsidRPr="004068F6">
        <w:rPr>
          <w:spacing w:val="-3"/>
        </w:rPr>
        <w:t xml:space="preserve">resulta </w:t>
      </w:r>
      <w:r w:rsidR="005D7203" w:rsidRPr="004068F6">
        <w:rPr>
          <w:spacing w:val="-3"/>
        </w:rPr>
        <w:t xml:space="preserve">de </w:t>
      </w:r>
      <w:r w:rsidR="002546D8" w:rsidRPr="004068F6">
        <w:rPr>
          <w:spacing w:val="-3"/>
        </w:rPr>
        <w:t xml:space="preserve">actividades </w:t>
      </w:r>
      <w:r w:rsidRPr="004068F6">
        <w:rPr>
          <w:spacing w:val="-3"/>
        </w:rPr>
        <w:t xml:space="preserve">como </w:t>
      </w:r>
      <w:r w:rsidR="005D7203" w:rsidRPr="004068F6">
        <w:rPr>
          <w:spacing w:val="-3"/>
        </w:rPr>
        <w:t>la construcción de puentes, alcantarillas y otras estructuras de cruce.</w:t>
      </w:r>
    </w:p>
    <w:p w14:paraId="248D55EE" w14:textId="77777777" w:rsidR="005A65FD" w:rsidRPr="004068F6" w:rsidRDefault="005A65FD" w:rsidP="000D6E21">
      <w:pPr>
        <w:rPr>
          <w:spacing w:val="-3"/>
        </w:rPr>
      </w:pPr>
    </w:p>
    <w:p w14:paraId="5B609DA9" w14:textId="2C2C23C5" w:rsidR="005A65FD" w:rsidRPr="00127BD4" w:rsidRDefault="005A65FD" w:rsidP="000D6E21">
      <w:pPr>
        <w:pStyle w:val="Prrafodelista"/>
        <w:numPr>
          <w:ilvl w:val="0"/>
          <w:numId w:val="56"/>
        </w:numPr>
        <w:tabs>
          <w:tab w:val="left" w:pos="-2268"/>
        </w:tabs>
        <w:suppressAutoHyphens/>
        <w:ind w:left="567" w:hanging="567"/>
        <w:rPr>
          <w:spacing w:val="-3"/>
          <w:lang w:val="es-CO"/>
        </w:rPr>
      </w:pPr>
      <w:r w:rsidRPr="00127BD4">
        <w:rPr>
          <w:spacing w:val="-3"/>
          <w:lang w:val="es-CO"/>
        </w:rPr>
        <w:t xml:space="preserve">Impacto a </w:t>
      </w:r>
      <w:r w:rsidRPr="004068F6">
        <w:rPr>
          <w:spacing w:val="-3"/>
          <w:lang w:val="es-CO"/>
        </w:rPr>
        <w:t>la riqueza de fauna vertebrada y flora.</w:t>
      </w:r>
    </w:p>
    <w:p w14:paraId="5C07BF4D" w14:textId="77777777" w:rsidR="005D7203" w:rsidRPr="004068F6" w:rsidRDefault="005D7203">
      <w:pPr>
        <w:numPr>
          <w:ilvl w:val="12"/>
          <w:numId w:val="0"/>
        </w:numPr>
        <w:tabs>
          <w:tab w:val="left" w:pos="-2268"/>
        </w:tabs>
        <w:suppressAutoHyphens/>
        <w:rPr>
          <w:spacing w:val="-3"/>
        </w:rPr>
      </w:pPr>
      <w:bookmarkStart w:id="2487" w:name="_Toc488244518"/>
      <w:bookmarkStart w:id="2488" w:name="_Toc488247638"/>
      <w:bookmarkStart w:id="2489" w:name="_Toc488248282"/>
      <w:bookmarkStart w:id="2490" w:name="_Toc488248898"/>
      <w:bookmarkStart w:id="2491" w:name="_Toc488249514"/>
      <w:bookmarkStart w:id="2492" w:name="_Toc488330002"/>
      <w:bookmarkStart w:id="2493" w:name="_Toc488386856"/>
      <w:bookmarkStart w:id="2494" w:name="_Toc488402315"/>
      <w:bookmarkStart w:id="2495" w:name="_Toc488403138"/>
      <w:bookmarkStart w:id="2496" w:name="_Toc488403967"/>
      <w:bookmarkStart w:id="2497" w:name="_Toc488404798"/>
      <w:bookmarkStart w:id="2498" w:name="_Toc488405621"/>
      <w:bookmarkStart w:id="2499" w:name="_Toc488406450"/>
      <w:bookmarkStart w:id="2500" w:name="_Toc491409681"/>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14:paraId="3042DCEB" w14:textId="42C0FE13" w:rsidR="005D7203" w:rsidRPr="00466E26" w:rsidRDefault="005D7203" w:rsidP="000A1E20">
      <w:pPr>
        <w:pStyle w:val="Ttulo3"/>
      </w:pPr>
      <w:bookmarkStart w:id="2501" w:name="_Toc42779208"/>
      <w:bookmarkStart w:id="2502" w:name="_Toc230879625"/>
      <w:r w:rsidRPr="00466E26">
        <w:t>Criterios relacionados con el medio socioeconómico</w:t>
      </w:r>
      <w:bookmarkEnd w:id="2501"/>
      <w:bookmarkEnd w:id="2502"/>
    </w:p>
    <w:p w14:paraId="1021E516" w14:textId="77777777" w:rsidR="005D7203" w:rsidRPr="004068F6" w:rsidRDefault="005D7203">
      <w:pPr>
        <w:numPr>
          <w:ilvl w:val="12"/>
          <w:numId w:val="0"/>
        </w:numPr>
        <w:tabs>
          <w:tab w:val="left" w:pos="-2268"/>
        </w:tabs>
        <w:suppressAutoHyphens/>
        <w:rPr>
          <w:spacing w:val="-3"/>
        </w:rPr>
      </w:pPr>
    </w:p>
    <w:p w14:paraId="7F5E3BEE" w14:textId="3465185B" w:rsidR="005D7203" w:rsidRPr="004068F6" w:rsidRDefault="00534937" w:rsidP="00C86DA5">
      <w:pPr>
        <w:numPr>
          <w:ilvl w:val="0"/>
          <w:numId w:val="56"/>
        </w:numPr>
        <w:tabs>
          <w:tab w:val="left" w:pos="-2268"/>
        </w:tabs>
        <w:suppressAutoHyphens/>
        <w:ind w:left="567" w:hanging="567"/>
        <w:rPr>
          <w:spacing w:val="-3"/>
        </w:rPr>
      </w:pPr>
      <w:r w:rsidRPr="004068F6">
        <w:rPr>
          <w:spacing w:val="-3"/>
        </w:rPr>
        <w:t xml:space="preserve">Impacto </w:t>
      </w:r>
      <w:r w:rsidR="005A1645" w:rsidRPr="004068F6">
        <w:rPr>
          <w:spacing w:val="-3"/>
        </w:rPr>
        <w:t>a</w:t>
      </w:r>
      <w:r w:rsidR="005D7203" w:rsidRPr="004068F6">
        <w:rPr>
          <w:spacing w:val="-3"/>
        </w:rPr>
        <w:t>l recurso hídrico superficial y subterráneo</w:t>
      </w:r>
      <w:r w:rsidRPr="004068F6">
        <w:rPr>
          <w:spacing w:val="-3"/>
        </w:rPr>
        <w:t xml:space="preserve"> de</w:t>
      </w:r>
      <w:r w:rsidR="005A1645" w:rsidRPr="004068F6">
        <w:rPr>
          <w:spacing w:val="-3"/>
        </w:rPr>
        <w:t xml:space="preserve">l que dispone </w:t>
      </w:r>
      <w:r w:rsidRPr="004068F6">
        <w:rPr>
          <w:spacing w:val="-3"/>
        </w:rPr>
        <w:t xml:space="preserve">la población, considerando </w:t>
      </w:r>
      <w:r w:rsidR="005A1645" w:rsidRPr="004068F6">
        <w:rPr>
          <w:spacing w:val="-3"/>
        </w:rPr>
        <w:t xml:space="preserve">su </w:t>
      </w:r>
      <w:r w:rsidRPr="004068F6">
        <w:rPr>
          <w:spacing w:val="-3"/>
        </w:rPr>
        <w:t xml:space="preserve">grado de dependencia </w:t>
      </w:r>
      <w:r w:rsidR="005A1645" w:rsidRPr="004068F6">
        <w:rPr>
          <w:spacing w:val="-3"/>
        </w:rPr>
        <w:t xml:space="preserve">al recurso </w:t>
      </w:r>
      <w:r w:rsidRPr="004068F6">
        <w:rPr>
          <w:spacing w:val="-3"/>
        </w:rPr>
        <w:t>(alto, medio y bajo).</w:t>
      </w:r>
    </w:p>
    <w:p w14:paraId="5D2E097A" w14:textId="77777777" w:rsidR="005D7203" w:rsidRPr="004068F6" w:rsidRDefault="005D7203">
      <w:pPr>
        <w:tabs>
          <w:tab w:val="left" w:pos="-2268"/>
        </w:tabs>
        <w:suppressAutoHyphens/>
        <w:rPr>
          <w:spacing w:val="-3"/>
        </w:rPr>
      </w:pPr>
    </w:p>
    <w:p w14:paraId="58EDD87E" w14:textId="0D7CADB1" w:rsidR="009F2580" w:rsidRPr="004068F6" w:rsidRDefault="00AF3A44" w:rsidP="009F2580">
      <w:pPr>
        <w:numPr>
          <w:ilvl w:val="0"/>
          <w:numId w:val="56"/>
        </w:numPr>
        <w:tabs>
          <w:tab w:val="left" w:pos="-2268"/>
        </w:tabs>
        <w:suppressAutoHyphens/>
        <w:ind w:left="567" w:hanging="567"/>
        <w:rPr>
          <w:rFonts w:eastAsia="Arial"/>
          <w:spacing w:val="-3"/>
        </w:rPr>
      </w:pPr>
      <w:r w:rsidRPr="004068F6">
        <w:t>M</w:t>
      </w:r>
      <w:r w:rsidR="005A65FD" w:rsidRPr="004068F6">
        <w:t xml:space="preserve">odificación o generación </w:t>
      </w:r>
      <w:r w:rsidR="009F2580" w:rsidRPr="004068F6">
        <w:t xml:space="preserve">de </w:t>
      </w:r>
      <w:r w:rsidR="009F2580" w:rsidRPr="004068F6">
        <w:rPr>
          <w:rFonts w:eastAsia="Arial"/>
          <w:spacing w:val="-3"/>
        </w:rPr>
        <w:t xml:space="preserve">conflictos </w:t>
      </w:r>
      <w:r w:rsidR="005A65FD" w:rsidRPr="004068F6">
        <w:rPr>
          <w:rFonts w:eastAsia="Arial"/>
          <w:spacing w:val="-3"/>
        </w:rPr>
        <w:t>socio</w:t>
      </w:r>
      <w:r w:rsidR="009F2580" w:rsidRPr="004068F6">
        <w:rPr>
          <w:rFonts w:eastAsia="Arial"/>
          <w:spacing w:val="-3"/>
        </w:rPr>
        <w:t>ambientales.</w:t>
      </w:r>
    </w:p>
    <w:p w14:paraId="273161C6" w14:textId="77777777" w:rsidR="009F2580" w:rsidRPr="004068F6" w:rsidRDefault="009F2580">
      <w:pPr>
        <w:tabs>
          <w:tab w:val="left" w:pos="-2268"/>
        </w:tabs>
        <w:suppressAutoHyphens/>
        <w:rPr>
          <w:spacing w:val="-3"/>
        </w:rPr>
      </w:pPr>
    </w:p>
    <w:p w14:paraId="71214A03" w14:textId="032010E8" w:rsidR="005D7203" w:rsidRPr="004068F6" w:rsidRDefault="009F2580" w:rsidP="00C86DA5">
      <w:pPr>
        <w:numPr>
          <w:ilvl w:val="0"/>
          <w:numId w:val="56"/>
        </w:numPr>
        <w:tabs>
          <w:tab w:val="left" w:pos="-2268"/>
        </w:tabs>
        <w:suppressAutoHyphens/>
        <w:ind w:left="567" w:hanging="567"/>
        <w:rPr>
          <w:spacing w:val="-3"/>
        </w:rPr>
      </w:pPr>
      <w:r w:rsidRPr="004068F6">
        <w:rPr>
          <w:spacing w:val="-3"/>
        </w:rPr>
        <w:t>Cantidad de personas impactadas, considerando la d</w:t>
      </w:r>
      <w:r w:rsidR="005D7203" w:rsidRPr="004068F6">
        <w:rPr>
          <w:spacing w:val="-3"/>
        </w:rPr>
        <w:t xml:space="preserve">ensidad poblacional de las unidades </w:t>
      </w:r>
      <w:r w:rsidR="006D75A2" w:rsidRPr="004068F6">
        <w:rPr>
          <w:spacing w:val="-3"/>
        </w:rPr>
        <w:t xml:space="preserve">de análisis </w:t>
      </w:r>
      <w:r w:rsidR="005D7203" w:rsidRPr="004068F6">
        <w:rPr>
          <w:spacing w:val="-3"/>
        </w:rPr>
        <w:t>territorial.</w:t>
      </w:r>
    </w:p>
    <w:p w14:paraId="25214110" w14:textId="77777777" w:rsidR="005D7203" w:rsidRPr="004068F6" w:rsidRDefault="005D7203">
      <w:pPr>
        <w:tabs>
          <w:tab w:val="left" w:pos="-2268"/>
        </w:tabs>
        <w:suppressAutoHyphens/>
        <w:rPr>
          <w:spacing w:val="-3"/>
        </w:rPr>
      </w:pPr>
    </w:p>
    <w:p w14:paraId="07C9D2EA" w14:textId="00355134" w:rsidR="005D7203" w:rsidRPr="004068F6" w:rsidRDefault="009F2580" w:rsidP="00C86DA5">
      <w:pPr>
        <w:numPr>
          <w:ilvl w:val="0"/>
          <w:numId w:val="56"/>
        </w:numPr>
        <w:tabs>
          <w:tab w:val="left" w:pos="-2268"/>
        </w:tabs>
        <w:suppressAutoHyphens/>
        <w:ind w:left="567" w:hanging="567"/>
        <w:rPr>
          <w:spacing w:val="-3"/>
        </w:rPr>
      </w:pPr>
      <w:r w:rsidRPr="004068F6">
        <w:rPr>
          <w:spacing w:val="-3"/>
        </w:rPr>
        <w:t xml:space="preserve">Impacto a </w:t>
      </w:r>
      <w:r w:rsidR="005D7203" w:rsidRPr="004068F6">
        <w:rPr>
          <w:spacing w:val="-3"/>
        </w:rPr>
        <w:t>sitios de interés histórico, cultural, arquitectónico y arqueológico</w:t>
      </w:r>
      <w:r w:rsidRPr="004068F6">
        <w:rPr>
          <w:spacing w:val="-3"/>
        </w:rPr>
        <w:t>,</w:t>
      </w:r>
      <w:r w:rsidR="005D7203" w:rsidRPr="004068F6">
        <w:rPr>
          <w:spacing w:val="-3"/>
        </w:rPr>
        <w:t xml:space="preserve"> </w:t>
      </w:r>
      <w:r w:rsidRPr="004068F6">
        <w:rPr>
          <w:spacing w:val="-3"/>
        </w:rPr>
        <w:t xml:space="preserve">sitios </w:t>
      </w:r>
      <w:r w:rsidR="005D7203" w:rsidRPr="004068F6">
        <w:rPr>
          <w:spacing w:val="-3"/>
        </w:rPr>
        <w:t>declarados como parques arqueológicos</w:t>
      </w:r>
      <w:r w:rsidRPr="004068F6">
        <w:rPr>
          <w:spacing w:val="-3"/>
        </w:rPr>
        <w:t>,</w:t>
      </w:r>
      <w:r w:rsidR="0051362D" w:rsidRPr="004068F6">
        <w:rPr>
          <w:spacing w:val="-3"/>
        </w:rPr>
        <w:t xml:space="preserve"> </w:t>
      </w:r>
      <w:r w:rsidR="0051362D" w:rsidRPr="004068F6">
        <w:rPr>
          <w:rFonts w:eastAsia="Arial" w:cs="Arial"/>
        </w:rPr>
        <w:t>áreas arqueológicas protegidas</w:t>
      </w:r>
      <w:r w:rsidR="00B22913" w:rsidRPr="004068F6">
        <w:rPr>
          <w:rFonts w:eastAsia="Arial" w:cs="Arial"/>
        </w:rPr>
        <w:t>,</w:t>
      </w:r>
      <w:r w:rsidR="0051362D" w:rsidRPr="004068F6">
        <w:rPr>
          <w:rFonts w:eastAsia="Arial" w:cs="Arial"/>
        </w:rPr>
        <w:t xml:space="preserve"> </w:t>
      </w:r>
      <w:r w:rsidR="005D7203" w:rsidRPr="004068F6">
        <w:rPr>
          <w:spacing w:val="-3"/>
        </w:rPr>
        <w:t xml:space="preserve">patrimonio histórico nacional </w:t>
      </w:r>
      <w:r w:rsidR="0051362D" w:rsidRPr="004068F6">
        <w:rPr>
          <w:spacing w:val="-3"/>
        </w:rPr>
        <w:t>y</w:t>
      </w:r>
      <w:r w:rsidR="005D7203" w:rsidRPr="004068F6">
        <w:rPr>
          <w:spacing w:val="-3"/>
        </w:rPr>
        <w:t xml:space="preserve"> patrimonio histórico de la humanidad, o aquellos yacimientos arqueológicos </w:t>
      </w:r>
      <w:r w:rsidR="0051362D" w:rsidRPr="004068F6">
        <w:rPr>
          <w:rFonts w:eastAsia="Arial" w:cs="Arial"/>
        </w:rPr>
        <w:t>o paleontológicos</w:t>
      </w:r>
      <w:r w:rsidR="0051362D" w:rsidRPr="004068F6">
        <w:rPr>
          <w:rFonts w:eastAsia="Arial"/>
        </w:rPr>
        <w:t xml:space="preserve"> </w:t>
      </w:r>
      <w:r w:rsidR="005D7203" w:rsidRPr="004068F6">
        <w:rPr>
          <w:spacing w:val="-3"/>
        </w:rPr>
        <w:t>que por la singularidad de sus contenidos culturales ameriten ser preservados para la posteridad</w:t>
      </w:r>
      <w:r w:rsidR="0051362D" w:rsidRPr="004068F6">
        <w:rPr>
          <w:spacing w:val="-3"/>
        </w:rPr>
        <w:t xml:space="preserve"> </w:t>
      </w:r>
      <w:r w:rsidR="0051362D" w:rsidRPr="004068F6">
        <w:rPr>
          <w:rFonts w:eastAsia="Arial" w:cs="Arial"/>
        </w:rPr>
        <w:t>(incluido el patrimonio sumergido)</w:t>
      </w:r>
      <w:r w:rsidR="005D7203" w:rsidRPr="004068F6">
        <w:rPr>
          <w:spacing w:val="-3"/>
        </w:rPr>
        <w:t>.</w:t>
      </w:r>
    </w:p>
    <w:p w14:paraId="64AD1526" w14:textId="77777777" w:rsidR="005D7203" w:rsidRPr="004068F6" w:rsidRDefault="005D7203">
      <w:pPr>
        <w:tabs>
          <w:tab w:val="left" w:pos="-2268"/>
        </w:tabs>
        <w:suppressAutoHyphens/>
        <w:rPr>
          <w:spacing w:val="-3"/>
        </w:rPr>
      </w:pPr>
    </w:p>
    <w:p w14:paraId="5F115135" w14:textId="1878DEDC" w:rsidR="005D7203" w:rsidRPr="004068F6" w:rsidRDefault="00AF3A44" w:rsidP="00C86DA5">
      <w:pPr>
        <w:numPr>
          <w:ilvl w:val="0"/>
          <w:numId w:val="56"/>
        </w:numPr>
        <w:tabs>
          <w:tab w:val="left" w:pos="-2268"/>
        </w:tabs>
        <w:suppressAutoHyphens/>
        <w:ind w:left="567" w:hanging="567"/>
        <w:rPr>
          <w:spacing w:val="-3"/>
        </w:rPr>
      </w:pPr>
      <w:r w:rsidRPr="004068F6">
        <w:rPr>
          <w:spacing w:val="-3"/>
        </w:rPr>
        <w:t>G</w:t>
      </w:r>
      <w:r w:rsidR="003A3B28" w:rsidRPr="004068F6">
        <w:rPr>
          <w:spacing w:val="-3"/>
        </w:rPr>
        <w:t>eneración de impactos ambientales acumulativos y de impactos ambientales sinérgicos dada la presencia</w:t>
      </w:r>
      <w:r w:rsidR="00085F6A" w:rsidRPr="004068F6">
        <w:rPr>
          <w:spacing w:val="-3"/>
        </w:rPr>
        <w:t>, planificación</w:t>
      </w:r>
      <w:r w:rsidR="003A3B28" w:rsidRPr="004068F6">
        <w:rPr>
          <w:spacing w:val="-3"/>
        </w:rPr>
        <w:t xml:space="preserve"> o previsible ejecución de p</w:t>
      </w:r>
      <w:r w:rsidR="005D7203" w:rsidRPr="004068F6">
        <w:rPr>
          <w:spacing w:val="-3"/>
        </w:rPr>
        <w:t xml:space="preserve">royectos de </w:t>
      </w:r>
      <w:r w:rsidR="005D7203" w:rsidRPr="004068F6">
        <w:rPr>
          <w:spacing w:val="-3"/>
        </w:rPr>
        <w:lastRenderedPageBreak/>
        <w:t>desarrollo nacional, regional y local, distritos de riego y áreas de expansión urbana.</w:t>
      </w:r>
    </w:p>
    <w:p w14:paraId="4324B726" w14:textId="77777777" w:rsidR="009F2580" w:rsidRPr="004068F6" w:rsidRDefault="009F2580">
      <w:pPr>
        <w:tabs>
          <w:tab w:val="left" w:pos="-2268"/>
        </w:tabs>
        <w:suppressAutoHyphens/>
        <w:rPr>
          <w:spacing w:val="-3"/>
        </w:rPr>
      </w:pPr>
    </w:p>
    <w:p w14:paraId="669B4611" w14:textId="700A536A" w:rsidR="005D7203" w:rsidRPr="004068F6" w:rsidRDefault="00A14F26" w:rsidP="00C86DA5">
      <w:pPr>
        <w:numPr>
          <w:ilvl w:val="0"/>
          <w:numId w:val="56"/>
        </w:numPr>
        <w:tabs>
          <w:tab w:val="left" w:pos="-2268"/>
        </w:tabs>
        <w:suppressAutoHyphens/>
        <w:ind w:left="567" w:hanging="567"/>
        <w:rPr>
          <w:spacing w:val="-3"/>
        </w:rPr>
      </w:pPr>
      <w:r w:rsidRPr="004068F6">
        <w:rPr>
          <w:spacing w:val="-3"/>
        </w:rPr>
        <w:t xml:space="preserve">Impacto a las </w:t>
      </w:r>
      <w:r w:rsidR="005D7203" w:rsidRPr="004068F6">
        <w:rPr>
          <w:spacing w:val="-3"/>
        </w:rPr>
        <w:t>actividades económicas (ganadera, agrícola, minera, forestal, pesquera, industrial, prestación de servicios, entre otras)</w:t>
      </w:r>
      <w:r w:rsidRPr="004068F6">
        <w:rPr>
          <w:spacing w:val="-3"/>
        </w:rPr>
        <w:t>, considerando entre otros indicadores, el área destinada a cada una de ellas</w:t>
      </w:r>
      <w:r w:rsidR="005D7203" w:rsidRPr="004068F6">
        <w:rPr>
          <w:spacing w:val="-3"/>
        </w:rPr>
        <w:t>.</w:t>
      </w:r>
    </w:p>
    <w:p w14:paraId="76B5C6DF" w14:textId="77777777" w:rsidR="00201EB3" w:rsidRPr="004068F6" w:rsidRDefault="00201EB3" w:rsidP="000D6E21">
      <w:pPr>
        <w:tabs>
          <w:tab w:val="left" w:pos="-2268"/>
        </w:tabs>
        <w:suppressAutoHyphens/>
        <w:rPr>
          <w:spacing w:val="-3"/>
        </w:rPr>
      </w:pPr>
    </w:p>
    <w:p w14:paraId="280AB07A" w14:textId="11D4D52D" w:rsidR="005D7203" w:rsidRPr="004068F6" w:rsidRDefault="00F75334" w:rsidP="009420F5">
      <w:pPr>
        <w:numPr>
          <w:ilvl w:val="0"/>
          <w:numId w:val="56"/>
        </w:numPr>
        <w:tabs>
          <w:tab w:val="left" w:pos="-2268"/>
        </w:tabs>
        <w:suppressAutoHyphens/>
        <w:ind w:left="567" w:hanging="567"/>
        <w:rPr>
          <w:spacing w:val="-3"/>
        </w:rPr>
      </w:pPr>
      <w:r w:rsidRPr="004068F6">
        <w:rPr>
          <w:spacing w:val="-3"/>
        </w:rPr>
        <w:t xml:space="preserve">Cantidad de predios con déficit de área </w:t>
      </w:r>
      <w:r w:rsidR="007851D8" w:rsidRPr="004068F6">
        <w:rPr>
          <w:spacing w:val="-3"/>
        </w:rPr>
        <w:t xml:space="preserve">productiva </w:t>
      </w:r>
      <w:r w:rsidRPr="004068F6">
        <w:rPr>
          <w:spacing w:val="-3"/>
        </w:rPr>
        <w:t xml:space="preserve">impactados, considerando la razón entre </w:t>
      </w:r>
      <w:r w:rsidR="007851D8" w:rsidRPr="004068F6">
        <w:rPr>
          <w:spacing w:val="-3"/>
        </w:rPr>
        <w:t xml:space="preserve">la </w:t>
      </w:r>
      <w:r w:rsidRPr="004068F6">
        <w:rPr>
          <w:spacing w:val="-3"/>
        </w:rPr>
        <w:t>p</w:t>
      </w:r>
      <w:r w:rsidR="005D7203" w:rsidRPr="004068F6">
        <w:rPr>
          <w:spacing w:val="-3"/>
        </w:rPr>
        <w:t xml:space="preserve">redominancia </w:t>
      </w:r>
      <w:r w:rsidR="007851D8" w:rsidRPr="004068F6">
        <w:rPr>
          <w:spacing w:val="-3"/>
        </w:rPr>
        <w:t xml:space="preserve">de </w:t>
      </w:r>
      <w:r w:rsidR="005D7203" w:rsidRPr="004068F6">
        <w:rPr>
          <w:spacing w:val="-3"/>
        </w:rPr>
        <w:t>tamaño de predios (</w:t>
      </w:r>
      <w:r w:rsidR="00B22913" w:rsidRPr="004068F6">
        <w:rPr>
          <w:spacing w:val="-3"/>
        </w:rPr>
        <w:t>micro, minifundio, pequeña, mediana y gran propiedad</w:t>
      </w:r>
      <w:r w:rsidR="005D7203" w:rsidRPr="004068F6">
        <w:rPr>
          <w:spacing w:val="-3"/>
          <w:vertAlign w:val="superscript"/>
        </w:rPr>
        <w:footnoteReference w:id="72"/>
      </w:r>
      <w:r w:rsidR="005D7203" w:rsidRPr="004068F6">
        <w:rPr>
          <w:spacing w:val="-3"/>
        </w:rPr>
        <w:t>) y la Unidad Agrícola Familiar (UAF) definida para el municipio.</w:t>
      </w:r>
    </w:p>
    <w:p w14:paraId="3D21002D" w14:textId="77777777" w:rsidR="005D7203" w:rsidRPr="004068F6" w:rsidRDefault="005D7203">
      <w:pPr>
        <w:tabs>
          <w:tab w:val="left" w:pos="-2268"/>
        </w:tabs>
        <w:suppressAutoHyphens/>
        <w:rPr>
          <w:spacing w:val="-3"/>
        </w:rPr>
      </w:pPr>
    </w:p>
    <w:p w14:paraId="36109F9B" w14:textId="60339C43" w:rsidR="005D7203" w:rsidRPr="004068F6" w:rsidRDefault="002E01A5" w:rsidP="00C86DA5">
      <w:pPr>
        <w:pStyle w:val="Prrafodelista"/>
        <w:numPr>
          <w:ilvl w:val="0"/>
          <w:numId w:val="56"/>
        </w:numPr>
        <w:tabs>
          <w:tab w:val="left" w:pos="-2268"/>
        </w:tabs>
        <w:suppressAutoHyphens/>
        <w:ind w:left="567" w:hanging="567"/>
        <w:rPr>
          <w:rFonts w:cs="Arial"/>
          <w:spacing w:val="-3"/>
          <w:lang w:val="es-CO"/>
        </w:rPr>
      </w:pPr>
      <w:r w:rsidRPr="004068F6">
        <w:rPr>
          <w:rFonts w:cs="Arial"/>
          <w:spacing w:val="-3"/>
          <w:lang w:val="es-CO"/>
        </w:rPr>
        <w:t>R</w:t>
      </w:r>
      <w:r w:rsidR="005A65FD" w:rsidRPr="004068F6">
        <w:rPr>
          <w:rFonts w:cs="Arial"/>
          <w:spacing w:val="-3"/>
          <w:lang w:val="es-CO"/>
        </w:rPr>
        <w:t>easentamiento involuntario</w:t>
      </w:r>
      <w:r w:rsidR="00421B03" w:rsidRPr="004068F6">
        <w:rPr>
          <w:rFonts w:cs="Arial"/>
          <w:spacing w:val="-3"/>
          <w:lang w:val="es-CO"/>
        </w:rPr>
        <w:t xml:space="preserve"> de población</w:t>
      </w:r>
      <w:r w:rsidR="005A65FD" w:rsidRPr="004068F6">
        <w:rPr>
          <w:rFonts w:cs="Arial"/>
          <w:spacing w:val="-3"/>
          <w:lang w:val="es-CO"/>
        </w:rPr>
        <w:t xml:space="preserve"> o desplazamiento</w:t>
      </w:r>
      <w:r w:rsidR="00421B03" w:rsidRPr="004068F6">
        <w:rPr>
          <w:rFonts w:cs="Arial"/>
          <w:spacing w:val="-3"/>
          <w:lang w:val="es-CO"/>
        </w:rPr>
        <w:t xml:space="preserve"> de actividades económicas y de instituciones, considerando la cantidad estimada </w:t>
      </w:r>
      <w:r w:rsidR="005D7203" w:rsidRPr="004068F6">
        <w:rPr>
          <w:rFonts w:cs="Arial"/>
          <w:spacing w:val="-3"/>
          <w:lang w:val="es-CO"/>
        </w:rPr>
        <w:t>de unidades sociales (residentes, productivas y mixtas) e infraestructura social y comunitaria susceptible.</w:t>
      </w:r>
    </w:p>
    <w:p w14:paraId="64DD715A" w14:textId="77777777" w:rsidR="003032B6" w:rsidRPr="004068F6" w:rsidRDefault="003032B6" w:rsidP="000D6E21">
      <w:pPr>
        <w:rPr>
          <w:rFonts w:cs="Arial"/>
          <w:spacing w:val="-3"/>
        </w:rPr>
      </w:pPr>
    </w:p>
    <w:p w14:paraId="5086F7CE" w14:textId="38CF73DE" w:rsidR="003032B6" w:rsidRPr="004068F6" w:rsidRDefault="003032B6" w:rsidP="00C86DA5">
      <w:pPr>
        <w:pStyle w:val="Prrafodelista"/>
        <w:numPr>
          <w:ilvl w:val="0"/>
          <w:numId w:val="56"/>
        </w:numPr>
        <w:tabs>
          <w:tab w:val="left" w:pos="-2268"/>
        </w:tabs>
        <w:suppressAutoHyphens/>
        <w:ind w:left="567" w:hanging="567"/>
        <w:rPr>
          <w:rFonts w:cs="Arial"/>
          <w:spacing w:val="-3"/>
          <w:lang w:val="es-CO"/>
        </w:rPr>
      </w:pPr>
      <w:r w:rsidRPr="00127BD4">
        <w:rPr>
          <w:spacing w:val="-3"/>
          <w:lang w:val="es-CO"/>
        </w:rPr>
        <w:t xml:space="preserve">Impacto </w:t>
      </w:r>
      <w:r w:rsidR="005A43A9" w:rsidRPr="00127BD4">
        <w:rPr>
          <w:spacing w:val="-3"/>
          <w:lang w:val="es-CO"/>
        </w:rPr>
        <w:t xml:space="preserve">diferenciado </w:t>
      </w:r>
      <w:r w:rsidRPr="00127BD4">
        <w:rPr>
          <w:spacing w:val="-3"/>
          <w:lang w:val="es-CO"/>
        </w:rPr>
        <w:t xml:space="preserve">a </w:t>
      </w:r>
      <w:r w:rsidRPr="004068F6">
        <w:rPr>
          <w:rFonts w:cs="Arial"/>
          <w:spacing w:val="-3"/>
          <w:lang w:val="es-CO"/>
        </w:rPr>
        <w:t xml:space="preserve">grupos </w:t>
      </w:r>
      <w:r w:rsidR="00C44701" w:rsidRPr="004068F6">
        <w:rPr>
          <w:rFonts w:cs="Arial"/>
          <w:spacing w:val="-3"/>
          <w:lang w:val="es-CO"/>
        </w:rPr>
        <w:t xml:space="preserve">de </w:t>
      </w:r>
      <w:r w:rsidR="002C5B64" w:rsidRPr="00127BD4">
        <w:rPr>
          <w:rFonts w:cs="Arial"/>
          <w:lang w:val="es-CO"/>
        </w:rPr>
        <w:t>personas con mayores dificultades para acceder a la información</w:t>
      </w:r>
      <w:r w:rsidR="002C5B64" w:rsidRPr="00127BD4">
        <w:rPr>
          <w:rStyle w:val="Refdenotaalpie"/>
          <w:rFonts w:cs="Arial"/>
          <w:lang w:val="es-CO"/>
        </w:rPr>
        <w:footnoteReference w:id="73"/>
      </w:r>
      <w:r w:rsidRPr="004068F6">
        <w:rPr>
          <w:rFonts w:cs="Arial"/>
          <w:spacing w:val="-3"/>
          <w:lang w:val="es-CO"/>
        </w:rPr>
        <w:t>, sujetos de especial protección constitucional y a personas y organizaciones defensoras de derechos humanos en asuntos ambientales.</w:t>
      </w:r>
    </w:p>
    <w:p w14:paraId="36C7CE4F" w14:textId="77777777" w:rsidR="005D7203" w:rsidRPr="004068F6" w:rsidRDefault="005D7203">
      <w:pPr>
        <w:tabs>
          <w:tab w:val="left" w:pos="-2268"/>
        </w:tabs>
        <w:suppressAutoHyphens/>
        <w:rPr>
          <w:spacing w:val="-3"/>
        </w:rPr>
      </w:pPr>
    </w:p>
    <w:p w14:paraId="36EC4DF0" w14:textId="1BD3CB93" w:rsidR="003C214D" w:rsidRPr="00DE66F4" w:rsidRDefault="00E860E3" w:rsidP="00127BD4">
      <w:pPr>
        <w:pStyle w:val="Prrafodelista"/>
        <w:numPr>
          <w:ilvl w:val="0"/>
          <w:numId w:val="56"/>
        </w:numPr>
        <w:tabs>
          <w:tab w:val="left" w:pos="-2268"/>
        </w:tabs>
        <w:suppressAutoHyphens/>
        <w:ind w:left="567" w:hanging="567"/>
        <w:rPr>
          <w:spacing w:val="-3"/>
        </w:rPr>
      </w:pPr>
      <w:r w:rsidRPr="00E860E3">
        <w:rPr>
          <w:spacing w:val="-3"/>
          <w:lang w:val="es-CO"/>
        </w:rPr>
        <w:t xml:space="preserve">Incidencia </w:t>
      </w:r>
      <w:r w:rsidR="00D235FC" w:rsidRPr="0036344F">
        <w:rPr>
          <w:spacing w:val="-3"/>
          <w:lang w:val="es-CO"/>
        </w:rPr>
        <w:t>de los impactos ambientales</w:t>
      </w:r>
      <w:r w:rsidR="00D235FC" w:rsidRPr="00E860E3">
        <w:rPr>
          <w:spacing w:val="-3"/>
          <w:lang w:val="es-CO"/>
        </w:rPr>
        <w:t xml:space="preserve"> </w:t>
      </w:r>
      <w:r w:rsidRPr="00E860E3">
        <w:rPr>
          <w:spacing w:val="-3"/>
          <w:lang w:val="es-CO"/>
        </w:rPr>
        <w:t xml:space="preserve">sobre </w:t>
      </w:r>
      <w:r w:rsidR="00580C0D">
        <w:rPr>
          <w:spacing w:val="-3"/>
          <w:lang w:val="es-CO"/>
        </w:rPr>
        <w:t xml:space="preserve">los </w:t>
      </w:r>
      <w:r w:rsidRPr="00E860E3">
        <w:rPr>
          <w:spacing w:val="-3"/>
          <w:lang w:val="es-CO"/>
        </w:rPr>
        <w:t>derechos humanos</w:t>
      </w:r>
      <w:r w:rsidR="003C214D" w:rsidRPr="0036344F">
        <w:rPr>
          <w:spacing w:val="-3"/>
          <w:lang w:val="es-CO"/>
        </w:rPr>
        <w:t>.</w:t>
      </w:r>
    </w:p>
    <w:p w14:paraId="1745297A" w14:textId="77777777" w:rsidR="003C214D" w:rsidRPr="004068F6" w:rsidRDefault="003C214D">
      <w:pPr>
        <w:tabs>
          <w:tab w:val="left" w:pos="-2268"/>
        </w:tabs>
        <w:suppressAutoHyphens/>
        <w:rPr>
          <w:spacing w:val="-3"/>
        </w:rPr>
      </w:pPr>
    </w:p>
    <w:p w14:paraId="2A426DBD" w14:textId="641C9292" w:rsidR="005D7203" w:rsidRPr="004068F6" w:rsidRDefault="00E61C30" w:rsidP="00C86DA5">
      <w:pPr>
        <w:numPr>
          <w:ilvl w:val="0"/>
          <w:numId w:val="56"/>
        </w:numPr>
        <w:tabs>
          <w:tab w:val="left" w:pos="-2268"/>
        </w:tabs>
        <w:suppressAutoHyphens/>
        <w:ind w:left="567" w:hanging="567"/>
        <w:rPr>
          <w:spacing w:val="-3"/>
        </w:rPr>
      </w:pPr>
      <w:r w:rsidRPr="004068F6">
        <w:rPr>
          <w:spacing w:val="-3"/>
        </w:rPr>
        <w:t xml:space="preserve">Impacto </w:t>
      </w:r>
      <w:r w:rsidR="005D7203" w:rsidRPr="004068F6">
        <w:rPr>
          <w:spacing w:val="-3"/>
        </w:rPr>
        <w:t>(alto, medio y bajo) en la conectividad</w:t>
      </w:r>
      <w:r w:rsidR="00070334" w:rsidRPr="004068F6">
        <w:rPr>
          <w:spacing w:val="-3"/>
        </w:rPr>
        <w:t xml:space="preserve"> social</w:t>
      </w:r>
      <w:r w:rsidRPr="004068F6">
        <w:rPr>
          <w:spacing w:val="-3"/>
        </w:rPr>
        <w:t>, considerando la</w:t>
      </w:r>
      <w:r w:rsidR="005D7203" w:rsidRPr="004068F6">
        <w:rPr>
          <w:spacing w:val="-3"/>
        </w:rPr>
        <w:t xml:space="preserve"> movilidad de la población </w:t>
      </w:r>
      <w:r w:rsidRPr="004068F6">
        <w:rPr>
          <w:spacing w:val="-3"/>
        </w:rPr>
        <w:t xml:space="preserve">(inclusive bajo </w:t>
      </w:r>
      <w:r w:rsidR="005D7203" w:rsidRPr="004068F6">
        <w:rPr>
          <w:spacing w:val="-3"/>
        </w:rPr>
        <w:t xml:space="preserve">modalidades tradicionales </w:t>
      </w:r>
      <w:r w:rsidRPr="004068F6">
        <w:rPr>
          <w:spacing w:val="-3"/>
        </w:rPr>
        <w:t xml:space="preserve">como </w:t>
      </w:r>
      <w:r w:rsidR="005D7203" w:rsidRPr="004068F6">
        <w:rPr>
          <w:spacing w:val="-3"/>
        </w:rPr>
        <w:t>vehicular, animal, peatonal) y la accesibilidad a predios, veredas e infraestructura social y comunitaria.</w:t>
      </w:r>
    </w:p>
    <w:p w14:paraId="5178B89C" w14:textId="77777777" w:rsidR="005D7203" w:rsidRPr="004068F6" w:rsidRDefault="005D7203">
      <w:pPr>
        <w:tabs>
          <w:tab w:val="left" w:pos="-2268"/>
        </w:tabs>
        <w:suppressAutoHyphens/>
        <w:rPr>
          <w:spacing w:val="-3"/>
        </w:rPr>
      </w:pPr>
    </w:p>
    <w:p w14:paraId="1F4F276B" w14:textId="338260BB" w:rsidR="005D7203" w:rsidRPr="004068F6" w:rsidRDefault="005D7203" w:rsidP="00C86DA5">
      <w:pPr>
        <w:numPr>
          <w:ilvl w:val="0"/>
          <w:numId w:val="56"/>
        </w:numPr>
        <w:tabs>
          <w:tab w:val="left" w:pos="-2268"/>
        </w:tabs>
        <w:suppressAutoHyphens/>
        <w:ind w:left="567" w:hanging="567"/>
        <w:rPr>
          <w:spacing w:val="-3"/>
        </w:rPr>
      </w:pPr>
      <w:r w:rsidRPr="004068F6">
        <w:rPr>
          <w:spacing w:val="-3"/>
        </w:rPr>
        <w:t>Percepción de l</w:t>
      </w:r>
      <w:r w:rsidR="005A65FD" w:rsidRPr="004068F6">
        <w:rPr>
          <w:spacing w:val="-3"/>
        </w:rPr>
        <w:t xml:space="preserve">os grupos de interés </w:t>
      </w:r>
      <w:r w:rsidR="00743DAF" w:rsidRPr="004068F6">
        <w:rPr>
          <w:spacing w:val="-3"/>
        </w:rPr>
        <w:t>(</w:t>
      </w:r>
      <w:r w:rsidRPr="004068F6">
        <w:rPr>
          <w:spacing w:val="-3"/>
        </w:rPr>
        <w:t>acuerdo, desacuerdo o indiferencia</w:t>
      </w:r>
      <w:r w:rsidR="00743DAF" w:rsidRPr="004068F6">
        <w:rPr>
          <w:spacing w:val="-3"/>
        </w:rPr>
        <w:t>)</w:t>
      </w:r>
      <w:r w:rsidR="005A65FD" w:rsidRPr="004068F6">
        <w:rPr>
          <w:spacing w:val="-3"/>
        </w:rPr>
        <w:t>; esta información debe obtenerse mediante los procesos de participación</w:t>
      </w:r>
      <w:r w:rsidRPr="004068F6">
        <w:rPr>
          <w:spacing w:val="-3"/>
        </w:rPr>
        <w:t>.</w:t>
      </w:r>
    </w:p>
    <w:p w14:paraId="3AA7F92E" w14:textId="77777777" w:rsidR="005D7203" w:rsidRPr="004068F6" w:rsidRDefault="005D7203">
      <w:pPr>
        <w:tabs>
          <w:tab w:val="left" w:pos="-2268"/>
        </w:tabs>
        <w:suppressAutoHyphens/>
        <w:rPr>
          <w:spacing w:val="-3"/>
        </w:rPr>
      </w:pPr>
    </w:p>
    <w:p w14:paraId="137FD89A" w14:textId="04B11B3A" w:rsidR="005D7203" w:rsidRPr="00127BD4" w:rsidRDefault="00467EDB" w:rsidP="00C86DA5">
      <w:pPr>
        <w:numPr>
          <w:ilvl w:val="0"/>
          <w:numId w:val="56"/>
        </w:numPr>
        <w:tabs>
          <w:tab w:val="left" w:pos="-2268"/>
        </w:tabs>
        <w:suppressAutoHyphens/>
        <w:ind w:left="567" w:hanging="567"/>
        <w:rPr>
          <w:spacing w:val="-3"/>
        </w:rPr>
      </w:pPr>
      <w:r w:rsidRPr="00127BD4">
        <w:rPr>
          <w:spacing w:val="-3"/>
        </w:rPr>
        <w:t xml:space="preserve">Impacto a </w:t>
      </w:r>
      <w:r w:rsidR="00ED5601" w:rsidRPr="00127BD4">
        <w:rPr>
          <w:spacing w:val="-3"/>
        </w:rPr>
        <w:t xml:space="preserve">reservas campesinas, </w:t>
      </w:r>
      <w:r w:rsidR="005D7203" w:rsidRPr="00127BD4">
        <w:rPr>
          <w:spacing w:val="-3"/>
        </w:rPr>
        <w:t xml:space="preserve">territorios </w:t>
      </w:r>
      <w:r w:rsidR="005A65FD" w:rsidRPr="00127BD4">
        <w:rPr>
          <w:spacing w:val="-3"/>
        </w:rPr>
        <w:t>de comunidades negras</w:t>
      </w:r>
      <w:r w:rsidR="005D7203" w:rsidRPr="00127BD4">
        <w:rPr>
          <w:spacing w:val="-3"/>
        </w:rPr>
        <w:t xml:space="preserve"> </w:t>
      </w:r>
      <w:r w:rsidR="00ED5601" w:rsidRPr="00127BD4">
        <w:rPr>
          <w:spacing w:val="-3"/>
        </w:rPr>
        <w:t>o resguardos indígenas constituidos o en proceso de constitución o ampliación</w:t>
      </w:r>
      <w:r w:rsidR="005D7203" w:rsidRPr="00127BD4">
        <w:rPr>
          <w:spacing w:val="-3"/>
        </w:rPr>
        <w:t>.</w:t>
      </w:r>
    </w:p>
    <w:p w14:paraId="2AA5372E" w14:textId="77777777" w:rsidR="005D7203" w:rsidRPr="00127BD4" w:rsidRDefault="005D7203">
      <w:pPr>
        <w:tabs>
          <w:tab w:val="left" w:pos="-2268"/>
        </w:tabs>
        <w:suppressAutoHyphens/>
        <w:rPr>
          <w:spacing w:val="-3"/>
        </w:rPr>
      </w:pPr>
    </w:p>
    <w:p w14:paraId="1F42B222" w14:textId="196E338C" w:rsidR="005D7203" w:rsidRPr="00127BD4" w:rsidRDefault="00E268E7" w:rsidP="00C86DA5">
      <w:pPr>
        <w:numPr>
          <w:ilvl w:val="0"/>
          <w:numId w:val="56"/>
        </w:numPr>
        <w:tabs>
          <w:tab w:val="left" w:pos="-2268"/>
        </w:tabs>
        <w:suppressAutoHyphens/>
        <w:ind w:left="567" w:hanging="567"/>
        <w:rPr>
          <w:spacing w:val="-3"/>
        </w:rPr>
      </w:pPr>
      <w:r w:rsidRPr="00127BD4">
        <w:rPr>
          <w:spacing w:val="-3"/>
        </w:rPr>
        <w:t>Impacto a z</w:t>
      </w:r>
      <w:r w:rsidR="005D7203" w:rsidRPr="00127BD4">
        <w:rPr>
          <w:spacing w:val="-3"/>
        </w:rPr>
        <w:t>onas de concesiones especiales (</w:t>
      </w:r>
      <w:r w:rsidR="00041844" w:rsidRPr="00127BD4">
        <w:rPr>
          <w:spacing w:val="-3"/>
        </w:rPr>
        <w:t>p. ej.</w:t>
      </w:r>
      <w:r w:rsidR="005D7203" w:rsidRPr="00127BD4">
        <w:rPr>
          <w:spacing w:val="-3"/>
        </w:rPr>
        <w:t xml:space="preserve"> áreas de playa para turismo)</w:t>
      </w:r>
      <w:r w:rsidRPr="00127BD4">
        <w:rPr>
          <w:spacing w:val="-3"/>
        </w:rPr>
        <w:t>, considerando los usos definidos para éstas</w:t>
      </w:r>
      <w:r w:rsidR="005D7203" w:rsidRPr="00127BD4">
        <w:rPr>
          <w:spacing w:val="-3"/>
        </w:rPr>
        <w:t>.</w:t>
      </w:r>
    </w:p>
    <w:p w14:paraId="5CB894B2" w14:textId="77777777" w:rsidR="005D7203" w:rsidRPr="00127BD4" w:rsidRDefault="005D7203">
      <w:pPr>
        <w:tabs>
          <w:tab w:val="left" w:pos="-2268"/>
        </w:tabs>
        <w:suppressAutoHyphens/>
        <w:rPr>
          <w:spacing w:val="-3"/>
        </w:rPr>
      </w:pPr>
    </w:p>
    <w:p w14:paraId="2D5334EA" w14:textId="79FD9D55" w:rsidR="00514ED9" w:rsidRPr="004068F6" w:rsidRDefault="00B457B3" w:rsidP="00514ED9">
      <w:pPr>
        <w:pStyle w:val="Prrafodelista"/>
        <w:numPr>
          <w:ilvl w:val="0"/>
          <w:numId w:val="56"/>
        </w:numPr>
        <w:ind w:left="567" w:hanging="567"/>
        <w:rPr>
          <w:rFonts w:cs="Arial"/>
          <w:spacing w:val="-3"/>
          <w:lang w:val="es-CO"/>
        </w:rPr>
      </w:pPr>
      <w:r w:rsidRPr="004068F6">
        <w:rPr>
          <w:rFonts w:cs="Arial"/>
          <w:spacing w:val="-3"/>
          <w:lang w:val="es-CO"/>
        </w:rPr>
        <w:t xml:space="preserve">Impacto </w:t>
      </w:r>
      <w:r w:rsidR="00514ED9" w:rsidRPr="004068F6">
        <w:rPr>
          <w:rFonts w:cs="Arial"/>
          <w:spacing w:val="-3"/>
          <w:lang w:val="es-CO"/>
        </w:rPr>
        <w:t>a infraestructura para el desarrollo de las actividades económicas (</w:t>
      </w:r>
      <w:r w:rsidR="009707F3" w:rsidRPr="004068F6">
        <w:rPr>
          <w:rFonts w:cs="Arial"/>
          <w:spacing w:val="-3"/>
          <w:lang w:val="es-CO"/>
        </w:rPr>
        <w:t>p. ej</w:t>
      </w:r>
      <w:r w:rsidR="00314747" w:rsidRPr="004068F6">
        <w:rPr>
          <w:rFonts w:cs="Arial"/>
          <w:spacing w:val="-3"/>
          <w:lang w:val="es-CO"/>
        </w:rPr>
        <w:t xml:space="preserve">. </w:t>
      </w:r>
      <w:r w:rsidR="00514ED9" w:rsidRPr="004068F6">
        <w:rPr>
          <w:rFonts w:cs="Arial"/>
          <w:spacing w:val="-3"/>
          <w:lang w:val="es-CO"/>
        </w:rPr>
        <w:t xml:space="preserve">agropecuarias, mineras, piscícolas, forestales, pesqueras, de conducción y explotación de hidrocarburos, industriales, </w:t>
      </w:r>
      <w:r w:rsidR="00314747" w:rsidRPr="004068F6">
        <w:rPr>
          <w:rFonts w:cs="Arial"/>
          <w:spacing w:val="-3"/>
          <w:lang w:val="es-CO"/>
        </w:rPr>
        <w:t>según aplique</w:t>
      </w:r>
      <w:r w:rsidR="00514ED9" w:rsidRPr="004068F6">
        <w:rPr>
          <w:rFonts w:cs="Arial"/>
          <w:spacing w:val="-3"/>
          <w:lang w:val="es-CO"/>
        </w:rPr>
        <w:t>) y la prestación de servicios públicos (transmisión de energía eléctrica; transporte aéreo, carretero, férreo y fluvial; manejo de residuos sólidos en rellenos sanitarios; acueductos; alcantarillados; de educación y salud; entre otras).</w:t>
      </w:r>
    </w:p>
    <w:p w14:paraId="7CC4483B" w14:textId="77777777" w:rsidR="00514ED9" w:rsidRPr="004068F6" w:rsidRDefault="00514ED9">
      <w:pPr>
        <w:tabs>
          <w:tab w:val="left" w:pos="-2268"/>
        </w:tabs>
        <w:suppressAutoHyphens/>
        <w:rPr>
          <w:spacing w:val="-3"/>
        </w:rPr>
      </w:pPr>
    </w:p>
    <w:p w14:paraId="302D6268" w14:textId="39285048" w:rsidR="005D7203" w:rsidRPr="00466E26" w:rsidRDefault="005D7203" w:rsidP="000A1E20">
      <w:pPr>
        <w:pStyle w:val="Ttulo3"/>
      </w:pPr>
      <w:bookmarkStart w:id="2503" w:name="_Toc42779209"/>
      <w:bookmarkStart w:id="2504" w:name="_Toc230879626"/>
      <w:r w:rsidRPr="00466E26">
        <w:t xml:space="preserve">Criterios </w:t>
      </w:r>
      <w:bookmarkEnd w:id="2503"/>
      <w:r w:rsidR="005F1E0B" w:rsidRPr="00466E26">
        <w:t>de tipo general</w:t>
      </w:r>
      <w:bookmarkEnd w:id="2504"/>
    </w:p>
    <w:p w14:paraId="5824FF47" w14:textId="77777777" w:rsidR="005D7203" w:rsidRPr="004068F6" w:rsidRDefault="005D7203">
      <w:pPr>
        <w:numPr>
          <w:ilvl w:val="12"/>
          <w:numId w:val="0"/>
        </w:numPr>
        <w:tabs>
          <w:tab w:val="left" w:pos="-2268"/>
        </w:tabs>
        <w:suppressAutoHyphens/>
        <w:rPr>
          <w:spacing w:val="-3"/>
        </w:rPr>
      </w:pPr>
    </w:p>
    <w:p w14:paraId="1E623C48" w14:textId="41651FD6" w:rsidR="005D7203" w:rsidRPr="004068F6" w:rsidRDefault="0037720E">
      <w:pPr>
        <w:numPr>
          <w:ilvl w:val="12"/>
          <w:numId w:val="0"/>
        </w:numPr>
        <w:tabs>
          <w:tab w:val="left" w:pos="-2268"/>
        </w:tabs>
        <w:suppressAutoHyphens/>
        <w:rPr>
          <w:spacing w:val="-3"/>
        </w:rPr>
      </w:pPr>
      <w:r w:rsidRPr="004068F6">
        <w:rPr>
          <w:spacing w:val="-3"/>
        </w:rPr>
        <w:t xml:space="preserve">Adicional a los criterios particulares a </w:t>
      </w:r>
      <w:r w:rsidR="005D7203" w:rsidRPr="004068F6">
        <w:rPr>
          <w:spacing w:val="-3"/>
        </w:rPr>
        <w:t>los medios abiótico, biótico y socioeconómico</w:t>
      </w:r>
      <w:r w:rsidRPr="004068F6">
        <w:rPr>
          <w:spacing w:val="-3"/>
        </w:rPr>
        <w:t xml:space="preserve">, la evaluación y comparación de alternativas </w:t>
      </w:r>
      <w:r w:rsidR="00021143" w:rsidRPr="004068F6">
        <w:rPr>
          <w:spacing w:val="-3"/>
        </w:rPr>
        <w:t xml:space="preserve">puede </w:t>
      </w:r>
      <w:r w:rsidRPr="004068F6">
        <w:rPr>
          <w:spacing w:val="-3"/>
        </w:rPr>
        <w:t xml:space="preserve">considerar </w:t>
      </w:r>
      <w:r w:rsidR="005D7203" w:rsidRPr="004068F6">
        <w:rPr>
          <w:spacing w:val="-3"/>
        </w:rPr>
        <w:t>los siguientes criterios</w:t>
      </w:r>
      <w:r w:rsidRPr="004068F6">
        <w:rPr>
          <w:spacing w:val="-3"/>
        </w:rPr>
        <w:t xml:space="preserve"> de carácter general</w:t>
      </w:r>
      <w:r w:rsidR="005D7203" w:rsidRPr="004068F6">
        <w:rPr>
          <w:spacing w:val="-3"/>
        </w:rPr>
        <w:t>:</w:t>
      </w:r>
    </w:p>
    <w:p w14:paraId="39AF68CE" w14:textId="77777777" w:rsidR="005D7203" w:rsidRPr="004068F6" w:rsidRDefault="005D7203">
      <w:pPr>
        <w:numPr>
          <w:ilvl w:val="12"/>
          <w:numId w:val="0"/>
        </w:numPr>
        <w:tabs>
          <w:tab w:val="left" w:pos="-2268"/>
        </w:tabs>
        <w:suppressAutoHyphens/>
        <w:rPr>
          <w:spacing w:val="-3"/>
        </w:rPr>
      </w:pPr>
    </w:p>
    <w:p w14:paraId="6476947C" w14:textId="1189B7FF" w:rsidR="0037720E" w:rsidRPr="004068F6" w:rsidRDefault="0037720E" w:rsidP="0037720E">
      <w:pPr>
        <w:numPr>
          <w:ilvl w:val="0"/>
          <w:numId w:val="56"/>
        </w:numPr>
        <w:tabs>
          <w:tab w:val="left" w:pos="-2268"/>
        </w:tabs>
        <w:suppressAutoHyphens/>
        <w:ind w:left="567" w:hanging="567"/>
        <w:rPr>
          <w:spacing w:val="-3"/>
        </w:rPr>
      </w:pPr>
      <w:r w:rsidRPr="004068F6">
        <w:rPr>
          <w:spacing w:val="-3"/>
        </w:rPr>
        <w:t xml:space="preserve">Incorporación de elementos tecnológicos, constructivos y de diseño para la prevención y </w:t>
      </w:r>
      <w:r w:rsidR="009B3DA0" w:rsidRPr="004068F6">
        <w:rPr>
          <w:spacing w:val="-3"/>
        </w:rPr>
        <w:t xml:space="preserve">mitigación </w:t>
      </w:r>
      <w:r w:rsidRPr="004068F6">
        <w:rPr>
          <w:spacing w:val="-3"/>
        </w:rPr>
        <w:t>de impactos ambientales.</w:t>
      </w:r>
    </w:p>
    <w:p w14:paraId="2CB986D6" w14:textId="77777777" w:rsidR="0037720E" w:rsidRPr="004068F6" w:rsidRDefault="0037720E">
      <w:pPr>
        <w:numPr>
          <w:ilvl w:val="12"/>
          <w:numId w:val="0"/>
        </w:numPr>
        <w:tabs>
          <w:tab w:val="left" w:pos="-2268"/>
        </w:tabs>
        <w:suppressAutoHyphens/>
        <w:rPr>
          <w:spacing w:val="-3"/>
        </w:rPr>
      </w:pPr>
    </w:p>
    <w:p w14:paraId="2B653005" w14:textId="20162DB0" w:rsidR="0037720E" w:rsidRPr="004068F6" w:rsidRDefault="0037720E" w:rsidP="0037720E">
      <w:pPr>
        <w:numPr>
          <w:ilvl w:val="0"/>
          <w:numId w:val="56"/>
        </w:numPr>
        <w:tabs>
          <w:tab w:val="left" w:pos="-2268"/>
        </w:tabs>
        <w:suppressAutoHyphens/>
        <w:ind w:left="567" w:hanging="567"/>
        <w:rPr>
          <w:spacing w:val="-3"/>
        </w:rPr>
      </w:pPr>
      <w:r w:rsidRPr="004068F6">
        <w:rPr>
          <w:spacing w:val="-3"/>
        </w:rPr>
        <w:t>Consonancia con los usos del suelo establecidos en los instrumentos de ordenamiento territorial</w:t>
      </w:r>
      <w:r w:rsidR="00FF2631">
        <w:rPr>
          <w:rStyle w:val="Refdenotaalpie"/>
          <w:spacing w:val="-3"/>
        </w:rPr>
        <w:footnoteReference w:id="74"/>
      </w:r>
      <w:r w:rsidRPr="004068F6">
        <w:rPr>
          <w:spacing w:val="-3"/>
        </w:rPr>
        <w:t xml:space="preserve"> y con los usos del agua señalados en los instrumentos de planificación del recurso hídrico.</w:t>
      </w:r>
    </w:p>
    <w:p w14:paraId="63EFF101" w14:textId="77777777" w:rsidR="0037720E" w:rsidRPr="004068F6" w:rsidRDefault="0037720E" w:rsidP="0037720E">
      <w:pPr>
        <w:tabs>
          <w:tab w:val="left" w:pos="-2268"/>
        </w:tabs>
        <w:suppressAutoHyphens/>
        <w:rPr>
          <w:spacing w:val="-3"/>
        </w:rPr>
      </w:pPr>
    </w:p>
    <w:p w14:paraId="69CD992B" w14:textId="122905EF" w:rsidR="0037720E" w:rsidRPr="004068F6" w:rsidRDefault="000E098F" w:rsidP="0037720E">
      <w:pPr>
        <w:numPr>
          <w:ilvl w:val="0"/>
          <w:numId w:val="56"/>
        </w:numPr>
        <w:tabs>
          <w:tab w:val="left" w:pos="-2268"/>
        </w:tabs>
        <w:suppressAutoHyphens/>
        <w:ind w:left="567" w:hanging="567"/>
        <w:rPr>
          <w:spacing w:val="-3"/>
        </w:rPr>
      </w:pPr>
      <w:r w:rsidRPr="004068F6">
        <w:rPr>
          <w:spacing w:val="-3"/>
        </w:rPr>
        <w:t>Impactos a</w:t>
      </w:r>
      <w:r w:rsidR="0037720E" w:rsidRPr="004068F6">
        <w:rPr>
          <w:spacing w:val="-3"/>
        </w:rPr>
        <w:t xml:space="preserve">l paisaje </w:t>
      </w:r>
      <w:r w:rsidRPr="004068F6">
        <w:rPr>
          <w:spacing w:val="-3"/>
        </w:rPr>
        <w:t xml:space="preserve">relacionados con la </w:t>
      </w:r>
      <w:r w:rsidR="00B74D90" w:rsidRPr="004068F6">
        <w:rPr>
          <w:spacing w:val="-3"/>
        </w:rPr>
        <w:t>visibilidad</w:t>
      </w:r>
      <w:r w:rsidRPr="004068F6">
        <w:rPr>
          <w:spacing w:val="-3"/>
        </w:rPr>
        <w:t xml:space="preserve"> y la </w:t>
      </w:r>
      <w:r w:rsidR="00B74D90" w:rsidRPr="004068F6">
        <w:rPr>
          <w:spacing w:val="-3"/>
        </w:rPr>
        <w:t>calidad y fragilidad visual</w:t>
      </w:r>
      <w:r w:rsidR="0037720E" w:rsidRPr="004068F6">
        <w:rPr>
          <w:spacing w:val="-3"/>
        </w:rPr>
        <w:t>.</w:t>
      </w:r>
    </w:p>
    <w:p w14:paraId="575322A6" w14:textId="77777777" w:rsidR="0037720E" w:rsidRPr="004068F6" w:rsidRDefault="0037720E">
      <w:pPr>
        <w:numPr>
          <w:ilvl w:val="12"/>
          <w:numId w:val="0"/>
        </w:numPr>
        <w:tabs>
          <w:tab w:val="left" w:pos="-2268"/>
        </w:tabs>
        <w:suppressAutoHyphens/>
        <w:rPr>
          <w:spacing w:val="-3"/>
        </w:rPr>
      </w:pPr>
    </w:p>
    <w:p w14:paraId="195467BA" w14:textId="63E33692" w:rsidR="005D7203" w:rsidRPr="004068F6" w:rsidRDefault="008F0FB8" w:rsidP="00C86DA5">
      <w:pPr>
        <w:numPr>
          <w:ilvl w:val="0"/>
          <w:numId w:val="56"/>
        </w:numPr>
        <w:tabs>
          <w:tab w:val="left" w:pos="-2268"/>
        </w:tabs>
        <w:suppressAutoHyphens/>
        <w:ind w:left="567" w:hanging="567"/>
        <w:rPr>
          <w:spacing w:val="-3"/>
        </w:rPr>
      </w:pPr>
      <w:r w:rsidRPr="004068F6">
        <w:rPr>
          <w:spacing w:val="-3"/>
        </w:rPr>
        <w:t>S</w:t>
      </w:r>
      <w:r w:rsidR="00E341BD" w:rsidRPr="004068F6">
        <w:rPr>
          <w:spacing w:val="-3"/>
        </w:rPr>
        <w:t xml:space="preserve">uperficie </w:t>
      </w:r>
      <w:r w:rsidR="00CB1945" w:rsidRPr="004068F6">
        <w:rPr>
          <w:spacing w:val="-3"/>
        </w:rPr>
        <w:t>por</w:t>
      </w:r>
      <w:r w:rsidR="00E341BD" w:rsidRPr="004068F6">
        <w:rPr>
          <w:spacing w:val="-3"/>
        </w:rPr>
        <w:t xml:space="preserve"> intervenir con condiciones de riesgo alto.</w:t>
      </w:r>
    </w:p>
    <w:p w14:paraId="561C0996" w14:textId="77777777" w:rsidR="005D7203" w:rsidRPr="004068F6" w:rsidRDefault="005D7203">
      <w:pPr>
        <w:tabs>
          <w:tab w:val="left" w:pos="-2268"/>
        </w:tabs>
        <w:suppressAutoHyphens/>
        <w:rPr>
          <w:spacing w:val="-3"/>
        </w:rPr>
      </w:pPr>
    </w:p>
    <w:p w14:paraId="0CA8901E" w14:textId="14C28061" w:rsidR="005D7203" w:rsidRPr="004068F6" w:rsidRDefault="00E525DD" w:rsidP="00C86DA5">
      <w:pPr>
        <w:numPr>
          <w:ilvl w:val="0"/>
          <w:numId w:val="56"/>
        </w:numPr>
        <w:tabs>
          <w:tab w:val="left" w:pos="-2268"/>
        </w:tabs>
        <w:suppressAutoHyphens/>
        <w:ind w:left="567" w:hanging="567"/>
        <w:rPr>
          <w:spacing w:val="-3"/>
        </w:rPr>
      </w:pPr>
      <w:r w:rsidRPr="004068F6">
        <w:rPr>
          <w:spacing w:val="-3"/>
        </w:rPr>
        <w:t>Resultados de la z</w:t>
      </w:r>
      <w:r w:rsidR="005D7203" w:rsidRPr="004068F6">
        <w:rPr>
          <w:spacing w:val="-3"/>
        </w:rPr>
        <w:t>onificación ambiental.</w:t>
      </w:r>
      <w:r w:rsidR="006E79BC" w:rsidRPr="004068F6">
        <w:rPr>
          <w:spacing w:val="-3"/>
        </w:rPr>
        <w:t xml:space="preserve"> Por ejemplo, proporción del área de estudio </w:t>
      </w:r>
      <w:r w:rsidR="00D86D4D" w:rsidRPr="004068F6">
        <w:rPr>
          <w:spacing w:val="-3"/>
        </w:rPr>
        <w:t>con categoría “</w:t>
      </w:r>
      <w:r w:rsidR="006E79BC" w:rsidRPr="004068F6">
        <w:rPr>
          <w:rFonts w:cs="Arial"/>
          <w:spacing w:val="-3"/>
        </w:rPr>
        <w:t>alta” y “muy alta</w:t>
      </w:r>
      <w:r w:rsidR="00D86D4D" w:rsidRPr="004068F6">
        <w:rPr>
          <w:rFonts w:cs="Arial"/>
          <w:spacing w:val="-3"/>
        </w:rPr>
        <w:t xml:space="preserve">” </w:t>
      </w:r>
      <w:r w:rsidRPr="004068F6">
        <w:rPr>
          <w:rFonts w:cs="Arial"/>
          <w:spacing w:val="-3"/>
        </w:rPr>
        <w:t xml:space="preserve">ocupada por áreas </w:t>
      </w:r>
      <w:r w:rsidR="00AA2094">
        <w:rPr>
          <w:rFonts w:cs="Arial"/>
          <w:spacing w:val="-3"/>
        </w:rPr>
        <w:t xml:space="preserve">por </w:t>
      </w:r>
      <w:r w:rsidRPr="004068F6">
        <w:rPr>
          <w:rFonts w:cs="Arial"/>
          <w:spacing w:val="-3"/>
        </w:rPr>
        <w:t>intervenir</w:t>
      </w:r>
      <w:r w:rsidR="00D86D4D" w:rsidRPr="004068F6">
        <w:rPr>
          <w:rFonts w:cs="Arial"/>
          <w:spacing w:val="-3"/>
        </w:rPr>
        <w:t>.</w:t>
      </w:r>
    </w:p>
    <w:p w14:paraId="39AD9375" w14:textId="77777777" w:rsidR="005D7203" w:rsidRPr="004068F6" w:rsidRDefault="005D7203">
      <w:pPr>
        <w:tabs>
          <w:tab w:val="left" w:pos="-2268"/>
        </w:tabs>
        <w:suppressAutoHyphens/>
        <w:rPr>
          <w:spacing w:val="-3"/>
        </w:rPr>
      </w:pPr>
    </w:p>
    <w:p w14:paraId="52FED10F" w14:textId="63872057" w:rsidR="005D7203" w:rsidRPr="004068F6" w:rsidRDefault="00DD62C9" w:rsidP="009420F5">
      <w:pPr>
        <w:numPr>
          <w:ilvl w:val="0"/>
          <w:numId w:val="56"/>
        </w:numPr>
        <w:tabs>
          <w:tab w:val="left" w:pos="-2268"/>
        </w:tabs>
        <w:suppressAutoHyphens/>
        <w:ind w:left="567" w:hanging="567"/>
        <w:rPr>
          <w:spacing w:val="-3"/>
        </w:rPr>
      </w:pPr>
      <w:r w:rsidRPr="004068F6">
        <w:rPr>
          <w:spacing w:val="-3"/>
        </w:rPr>
        <w:t xml:space="preserve">Resultado de la </w:t>
      </w:r>
      <w:r w:rsidR="000404AA" w:rsidRPr="004068F6">
        <w:rPr>
          <w:spacing w:val="-3"/>
        </w:rPr>
        <w:t xml:space="preserve">determinación </w:t>
      </w:r>
      <w:r w:rsidRPr="004068F6">
        <w:rPr>
          <w:spacing w:val="-3"/>
        </w:rPr>
        <w:t xml:space="preserve">y evaluación </w:t>
      </w:r>
      <w:r w:rsidR="005D7203" w:rsidRPr="004068F6">
        <w:rPr>
          <w:spacing w:val="-3"/>
        </w:rPr>
        <w:t xml:space="preserve">de impactos </w:t>
      </w:r>
      <w:r w:rsidR="002546D8" w:rsidRPr="004068F6">
        <w:rPr>
          <w:spacing w:val="-3"/>
        </w:rPr>
        <w:t>ambientales</w:t>
      </w:r>
      <w:r w:rsidR="005D7203" w:rsidRPr="004068F6">
        <w:rPr>
          <w:rFonts w:cs="Arial"/>
          <w:spacing w:val="-3"/>
        </w:rPr>
        <w:t>.</w:t>
      </w:r>
      <w:r w:rsidR="000C7252" w:rsidRPr="004068F6">
        <w:rPr>
          <w:rFonts w:cs="Arial"/>
          <w:spacing w:val="-3"/>
        </w:rPr>
        <w:t xml:space="preserve"> Por ejemplo, cantidad</w:t>
      </w:r>
      <w:r w:rsidR="00091B7F" w:rsidRPr="004068F6">
        <w:rPr>
          <w:rFonts w:cs="Arial"/>
          <w:spacing w:val="-3"/>
        </w:rPr>
        <w:t xml:space="preserve"> o</w:t>
      </w:r>
      <w:r w:rsidR="000C7252" w:rsidRPr="004068F6">
        <w:rPr>
          <w:rFonts w:cs="Arial"/>
          <w:spacing w:val="-3"/>
        </w:rPr>
        <w:t xml:space="preserve"> proporción de impacto</w:t>
      </w:r>
      <w:r w:rsidR="00773C63" w:rsidRPr="004068F6">
        <w:rPr>
          <w:rFonts w:cs="Arial"/>
          <w:spacing w:val="-3"/>
        </w:rPr>
        <w:t>s</w:t>
      </w:r>
      <w:r w:rsidR="000C7252" w:rsidRPr="004068F6">
        <w:rPr>
          <w:rFonts w:cs="Arial"/>
          <w:spacing w:val="-3"/>
        </w:rPr>
        <w:t xml:space="preserve"> en cada categoría de </w:t>
      </w:r>
      <w:r w:rsidR="00773C63" w:rsidRPr="004068F6">
        <w:rPr>
          <w:rFonts w:cs="Arial"/>
          <w:spacing w:val="-3"/>
        </w:rPr>
        <w:t>Potencial normalizado de modificación de las condiciones ambientales</w:t>
      </w:r>
      <w:r w:rsidR="00607BB2" w:rsidRPr="004068F6">
        <w:rPr>
          <w:rFonts w:cs="Arial"/>
          <w:spacing w:val="-3"/>
        </w:rPr>
        <w:t xml:space="preserve"> o bien, características de los impactos ambientales residuales (al considerar las posibles medidas de manejo)</w:t>
      </w:r>
      <w:r w:rsidR="000C7252" w:rsidRPr="004068F6">
        <w:rPr>
          <w:rFonts w:cs="Arial"/>
          <w:spacing w:val="-3"/>
        </w:rPr>
        <w:t>.</w:t>
      </w:r>
    </w:p>
    <w:p w14:paraId="14A71953" w14:textId="77777777" w:rsidR="005D7203" w:rsidRPr="004068F6" w:rsidRDefault="005D7203">
      <w:pPr>
        <w:tabs>
          <w:tab w:val="left" w:pos="-2268"/>
        </w:tabs>
        <w:suppressAutoHyphens/>
        <w:rPr>
          <w:spacing w:val="-3"/>
        </w:rPr>
      </w:pPr>
    </w:p>
    <w:p w14:paraId="698335B4" w14:textId="26858366" w:rsidR="005D7203" w:rsidRPr="004068F6" w:rsidRDefault="005D7203" w:rsidP="00C86DA5">
      <w:pPr>
        <w:numPr>
          <w:ilvl w:val="0"/>
          <w:numId w:val="56"/>
        </w:numPr>
        <w:tabs>
          <w:tab w:val="left" w:pos="-2268"/>
        </w:tabs>
        <w:suppressAutoHyphens/>
        <w:ind w:left="567" w:hanging="567"/>
        <w:rPr>
          <w:spacing w:val="-3"/>
        </w:rPr>
      </w:pPr>
      <w:r w:rsidRPr="004068F6">
        <w:rPr>
          <w:spacing w:val="-3"/>
        </w:rPr>
        <w:t>Resultado del análisis costo-beneficio ambiental.</w:t>
      </w:r>
    </w:p>
    <w:p w14:paraId="5C125843" w14:textId="77777777" w:rsidR="00021143" w:rsidRPr="004068F6" w:rsidRDefault="00021143" w:rsidP="000D6E21">
      <w:pPr>
        <w:rPr>
          <w:spacing w:val="-3"/>
        </w:rPr>
      </w:pPr>
    </w:p>
    <w:p w14:paraId="02CD7599" w14:textId="14E68775" w:rsidR="00021143" w:rsidRPr="004068F6" w:rsidRDefault="00021143" w:rsidP="00C86DA5">
      <w:pPr>
        <w:numPr>
          <w:ilvl w:val="0"/>
          <w:numId w:val="56"/>
        </w:numPr>
        <w:tabs>
          <w:tab w:val="left" w:pos="-2268"/>
        </w:tabs>
        <w:suppressAutoHyphens/>
        <w:ind w:left="567" w:hanging="567"/>
        <w:rPr>
          <w:spacing w:val="-3"/>
        </w:rPr>
      </w:pPr>
      <w:r w:rsidRPr="004068F6">
        <w:rPr>
          <w:spacing w:val="-3"/>
        </w:rPr>
        <w:t xml:space="preserve">Impactos ambientales </w:t>
      </w:r>
      <w:r w:rsidR="00641F4E" w:rsidRPr="004068F6">
        <w:rPr>
          <w:spacing w:val="-3"/>
        </w:rPr>
        <w:t xml:space="preserve">asociados al </w:t>
      </w:r>
      <w:r w:rsidRPr="004068F6">
        <w:rPr>
          <w:spacing w:val="-3"/>
        </w:rPr>
        <w:t>cambio climático.</w:t>
      </w:r>
    </w:p>
    <w:p w14:paraId="4D5BD360" w14:textId="68FC4AA7" w:rsidR="00891B13" w:rsidRPr="004068F6" w:rsidRDefault="00891B13">
      <w:pPr>
        <w:numPr>
          <w:ilvl w:val="12"/>
          <w:numId w:val="0"/>
        </w:numPr>
        <w:tabs>
          <w:tab w:val="left" w:pos="-2268"/>
        </w:tabs>
        <w:suppressAutoHyphens/>
        <w:rPr>
          <w:spacing w:val="-3"/>
        </w:rPr>
      </w:pPr>
      <w:r w:rsidRPr="004068F6">
        <w:rPr>
          <w:spacing w:val="-3"/>
        </w:rPr>
        <w:br w:type="page"/>
      </w:r>
    </w:p>
    <w:p w14:paraId="694B4C17" w14:textId="77777777" w:rsidR="0015011A" w:rsidRDefault="0015011A" w:rsidP="000D6E21">
      <w:pPr>
        <w:numPr>
          <w:ilvl w:val="12"/>
          <w:numId w:val="0"/>
        </w:numPr>
        <w:tabs>
          <w:tab w:val="left" w:pos="-2268"/>
        </w:tabs>
        <w:suppressAutoHyphens/>
        <w:rPr>
          <w:spacing w:val="-3"/>
        </w:rPr>
      </w:pPr>
      <w:bookmarkStart w:id="2505" w:name="_Toc43485676"/>
      <w:bookmarkStart w:id="2506" w:name="_Toc437936008"/>
      <w:bookmarkStart w:id="2507" w:name="_Ref26471352"/>
      <w:bookmarkStart w:id="2508" w:name="_Ref26471439"/>
      <w:bookmarkEnd w:id="2505"/>
    </w:p>
    <w:p w14:paraId="79CBA770" w14:textId="1E17080E" w:rsidR="00BF79FC" w:rsidRPr="004068F6" w:rsidRDefault="00BF79FC" w:rsidP="001831AE">
      <w:pPr>
        <w:pStyle w:val="Captulonmero"/>
        <w:rPr>
          <w:lang w:val="es-CO"/>
        </w:rPr>
      </w:pPr>
      <w:bookmarkStart w:id="2509" w:name="_Toc230879627"/>
      <w:r w:rsidRPr="004068F6">
        <w:rPr>
          <w:lang w:val="es-CO"/>
        </w:rPr>
        <w:t>ESPECIFICACIONES TÉCNICAS DEL ESTUDIO DE IMPACTO AMBIENTAL</w:t>
      </w:r>
      <w:bookmarkEnd w:id="2506"/>
      <w:bookmarkEnd w:id="2507"/>
      <w:bookmarkEnd w:id="2508"/>
      <w:bookmarkEnd w:id="2509"/>
    </w:p>
    <w:p w14:paraId="381DE3FC" w14:textId="77777777" w:rsidR="00F142DA" w:rsidRPr="004068F6" w:rsidRDefault="00F142DA" w:rsidP="00BF79FC">
      <w:pPr>
        <w:numPr>
          <w:ilvl w:val="12"/>
          <w:numId w:val="0"/>
        </w:numPr>
        <w:tabs>
          <w:tab w:val="left" w:pos="-2268"/>
        </w:tabs>
        <w:suppressAutoHyphens/>
        <w:rPr>
          <w:rFonts w:cs="Arial"/>
          <w:spacing w:val="-3"/>
        </w:rPr>
      </w:pPr>
      <w:bookmarkStart w:id="2510" w:name="_Toc488244526"/>
      <w:bookmarkStart w:id="2511" w:name="_Toc488247646"/>
      <w:bookmarkStart w:id="2512" w:name="_Toc488248290"/>
      <w:bookmarkStart w:id="2513" w:name="_Toc488248906"/>
      <w:bookmarkStart w:id="2514" w:name="_Toc488249522"/>
      <w:bookmarkStart w:id="2515" w:name="_Toc488330010"/>
      <w:bookmarkStart w:id="2516" w:name="_Toc488386864"/>
      <w:bookmarkStart w:id="2517" w:name="_Toc488402323"/>
      <w:bookmarkStart w:id="2518" w:name="_Toc488403146"/>
      <w:bookmarkStart w:id="2519" w:name="_Toc488403975"/>
      <w:bookmarkStart w:id="2520" w:name="_Toc488404806"/>
      <w:bookmarkStart w:id="2521" w:name="_Toc488405629"/>
      <w:bookmarkStart w:id="2522" w:name="_Toc488406458"/>
      <w:bookmarkStart w:id="2523" w:name="_Toc491409689"/>
      <w:bookmarkStart w:id="2524" w:name="_Toc496018227"/>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14:paraId="15F8CA0C" w14:textId="6AE74E3F" w:rsidR="00F142DA" w:rsidRPr="004068F6" w:rsidRDefault="00F142DA" w:rsidP="00F142DA">
      <w:pPr>
        <w:numPr>
          <w:ilvl w:val="12"/>
          <w:numId w:val="0"/>
        </w:numPr>
        <w:tabs>
          <w:tab w:val="left" w:pos="-2268"/>
        </w:tabs>
        <w:suppressAutoHyphens/>
        <w:rPr>
          <w:rFonts w:cs="Arial"/>
          <w:spacing w:val="-3"/>
        </w:rPr>
      </w:pPr>
      <w:r w:rsidRPr="004068F6">
        <w:rPr>
          <w:rFonts w:cs="Arial"/>
          <w:spacing w:val="-3"/>
        </w:rPr>
        <w:t>El Estudio de Impacto Ambiental (EIA) es el instrumento básico que, mediante un conjunto de información permite a las autoridades ambientales tomar decisiones sobre la viabilidad ambiental de los proyectos, obras o actividades que requieren licencia ambiental para su desarrollo. Este conjunto de información debe ser el necesario y suficiente para describir el proyecto</w:t>
      </w:r>
      <w:r w:rsidR="00BC6D6A" w:rsidRPr="004068F6">
        <w:rPr>
          <w:spacing w:val="-3"/>
        </w:rPr>
        <w:t>, obra o actividad</w:t>
      </w:r>
      <w:r w:rsidRPr="004068F6">
        <w:rPr>
          <w:rFonts w:cs="Arial"/>
          <w:spacing w:val="-3"/>
        </w:rPr>
        <w:t xml:space="preserve"> y caracterizar </w:t>
      </w:r>
      <w:r w:rsidR="00450907" w:rsidRPr="004068F6">
        <w:rPr>
          <w:rFonts w:cs="Arial"/>
          <w:spacing w:val="-3"/>
        </w:rPr>
        <w:t xml:space="preserve">de forma integral </w:t>
      </w:r>
      <w:r w:rsidRPr="004068F6">
        <w:rPr>
          <w:rFonts w:cs="Arial"/>
          <w:spacing w:val="-3"/>
        </w:rPr>
        <w:t xml:space="preserve">el área que podría sufrir deterioro con su ejecución, así como para </w:t>
      </w:r>
      <w:r w:rsidR="00271624" w:rsidRPr="004068F6">
        <w:rPr>
          <w:rFonts w:cs="Arial"/>
          <w:spacing w:val="-3"/>
        </w:rPr>
        <w:t>determinar</w:t>
      </w:r>
      <w:r w:rsidRPr="004068F6">
        <w:rPr>
          <w:rFonts w:cs="Arial"/>
          <w:spacing w:val="-3"/>
        </w:rPr>
        <w:t xml:space="preserve">, calificar y evaluar sus impactos, señalar cuáles no podrían ser </w:t>
      </w:r>
      <w:r w:rsidRPr="004B27DA">
        <w:rPr>
          <w:rFonts w:cs="Arial"/>
          <w:spacing w:val="-3"/>
        </w:rPr>
        <w:t>evitados</w:t>
      </w:r>
      <w:r w:rsidR="004B27DA" w:rsidRPr="004B27DA">
        <w:rPr>
          <w:rFonts w:cs="Arial"/>
          <w:spacing w:val="-3"/>
        </w:rPr>
        <w:t>,</w:t>
      </w:r>
      <w:r w:rsidRPr="004B27DA">
        <w:rPr>
          <w:rFonts w:cs="Arial"/>
          <w:spacing w:val="-3"/>
        </w:rPr>
        <w:t xml:space="preserve"> mitigados</w:t>
      </w:r>
      <w:r w:rsidRPr="004068F6">
        <w:rPr>
          <w:rFonts w:cs="Arial"/>
          <w:spacing w:val="-3"/>
        </w:rPr>
        <w:t xml:space="preserve"> </w:t>
      </w:r>
      <w:r w:rsidR="004B27DA">
        <w:rPr>
          <w:rFonts w:cs="Arial"/>
          <w:spacing w:val="-3"/>
        </w:rPr>
        <w:t xml:space="preserve">o corregidos </w:t>
      </w:r>
      <w:r w:rsidRPr="004068F6">
        <w:rPr>
          <w:rFonts w:cs="Arial"/>
          <w:spacing w:val="-3"/>
        </w:rPr>
        <w:t>y para establecer las medidas de manejo ambiental correspondientes y demás planes requeridos por la Ley y los reglamentos.</w:t>
      </w:r>
    </w:p>
    <w:p w14:paraId="046BF399" w14:textId="77777777" w:rsidR="00F142DA" w:rsidRPr="004068F6" w:rsidRDefault="00F142DA" w:rsidP="00F142DA">
      <w:pPr>
        <w:numPr>
          <w:ilvl w:val="12"/>
          <w:numId w:val="0"/>
        </w:numPr>
        <w:tabs>
          <w:tab w:val="left" w:pos="-2268"/>
        </w:tabs>
        <w:suppressAutoHyphens/>
        <w:rPr>
          <w:rFonts w:cs="Arial"/>
          <w:spacing w:val="-3"/>
        </w:rPr>
      </w:pPr>
    </w:p>
    <w:p w14:paraId="3C6CE1C4" w14:textId="40C97D6A" w:rsidR="00F142DA" w:rsidRPr="004068F6" w:rsidRDefault="00F142DA" w:rsidP="00F142DA">
      <w:pPr>
        <w:overflowPunct/>
        <w:autoSpaceDE/>
        <w:autoSpaceDN/>
        <w:adjustRightInd/>
        <w:rPr>
          <w:rFonts w:ascii="Times New Roman" w:hAnsi="Times New Roman"/>
          <w:lang w:eastAsia="es-CO"/>
        </w:rPr>
      </w:pPr>
      <w:r w:rsidRPr="004068F6">
        <w:rPr>
          <w:rFonts w:cs="Arial"/>
          <w:spacing w:val="-3"/>
        </w:rPr>
        <w:t xml:space="preserve">Para alcanzar estos propósitos, el EIA debe </w:t>
      </w:r>
      <w:r w:rsidR="00450907" w:rsidRPr="004068F6">
        <w:rPr>
          <w:rFonts w:cs="Arial"/>
          <w:spacing w:val="-3"/>
        </w:rPr>
        <w:t xml:space="preserve">desarrollar </w:t>
      </w:r>
      <w:r w:rsidRPr="004068F6">
        <w:rPr>
          <w:rFonts w:cs="Arial"/>
          <w:spacing w:val="-3"/>
        </w:rPr>
        <w:t>los lineamientos</w:t>
      </w:r>
      <w:r w:rsidR="002D1A5F" w:rsidRPr="004068F6">
        <w:rPr>
          <w:rFonts w:cs="Arial"/>
          <w:spacing w:val="-3"/>
        </w:rPr>
        <w:t xml:space="preserve"> </w:t>
      </w:r>
      <w:r w:rsidRPr="004068F6">
        <w:rPr>
          <w:rFonts w:cs="Arial"/>
          <w:spacing w:val="-3"/>
        </w:rPr>
        <w:t xml:space="preserve">y elementos metodológicos generales que se establecen a continuación, </w:t>
      </w:r>
      <w:r w:rsidR="000A347C" w:rsidRPr="004068F6">
        <w:rPr>
          <w:rFonts w:cs="Arial"/>
          <w:spacing w:val="-3"/>
        </w:rPr>
        <w:t xml:space="preserve">según apliquen, </w:t>
      </w:r>
      <w:r w:rsidRPr="004068F6">
        <w:rPr>
          <w:rFonts w:cs="Arial"/>
          <w:spacing w:val="-3"/>
        </w:rPr>
        <w:t>así como las especificaciones técnicas que se indiquen en los respectivos términos de referencia.</w:t>
      </w:r>
      <w:r w:rsidR="001E4ED9" w:rsidRPr="004068F6">
        <w:rPr>
          <w:rFonts w:cs="Arial"/>
          <w:spacing w:val="-3"/>
        </w:rPr>
        <w:t xml:space="preserve"> En todo caso, los requerimientos de información establecidos en los términos de referencia y los lineamientos metodológicos señalados en la metodología deben ser adaptados y considerados de acuerdo con las particularidades del proyecto, obra o actividad para el cual se elabora el estudio.</w:t>
      </w:r>
    </w:p>
    <w:p w14:paraId="7AB6A19A" w14:textId="278B8B8E" w:rsidR="00260078" w:rsidRPr="004068F6" w:rsidRDefault="00260078">
      <w:pPr>
        <w:numPr>
          <w:ilvl w:val="12"/>
          <w:numId w:val="0"/>
        </w:numPr>
        <w:tabs>
          <w:tab w:val="left" w:pos="-2268"/>
        </w:tabs>
        <w:suppressAutoHyphens/>
        <w:rPr>
          <w:spacing w:val="-3"/>
        </w:rPr>
      </w:pPr>
    </w:p>
    <w:p w14:paraId="2F7597CF" w14:textId="3EB6243C" w:rsidR="0064122B" w:rsidRPr="004068F6" w:rsidRDefault="0064122B">
      <w:pPr>
        <w:numPr>
          <w:ilvl w:val="12"/>
          <w:numId w:val="0"/>
        </w:numPr>
        <w:tabs>
          <w:tab w:val="left" w:pos="-2268"/>
        </w:tabs>
        <w:suppressAutoHyphens/>
        <w:rPr>
          <w:spacing w:val="-3"/>
        </w:rPr>
      </w:pPr>
      <w:bookmarkStart w:id="2525" w:name="_Hlk78377849"/>
      <w:r w:rsidRPr="004068F6">
        <w:rPr>
          <w:spacing w:val="-3"/>
        </w:rPr>
        <w:t xml:space="preserve">Para los proyectos, obras o actividades </w:t>
      </w:r>
      <w:r w:rsidR="00B167EB" w:rsidRPr="004068F6">
        <w:rPr>
          <w:spacing w:val="-3"/>
        </w:rPr>
        <w:t xml:space="preserve">a los que se refiere el artículo 2.2.2.3.1.4 del </w:t>
      </w:r>
      <w:r w:rsidR="00EB7334" w:rsidRPr="004068F6">
        <w:rPr>
          <w:spacing w:val="-3"/>
        </w:rPr>
        <w:t>D</w:t>
      </w:r>
      <w:r w:rsidR="00B167EB" w:rsidRPr="004068F6">
        <w:rPr>
          <w:spacing w:val="-3"/>
        </w:rPr>
        <w:t>ecreto 1076 de 2015 o aquel que lo modifique o sustituya</w:t>
      </w:r>
      <w:r w:rsidRPr="004068F6">
        <w:rPr>
          <w:spacing w:val="-3"/>
        </w:rPr>
        <w:t xml:space="preserve">, la elaboración del </w:t>
      </w:r>
      <w:r w:rsidR="00EC20C8" w:rsidRPr="004068F6">
        <w:rPr>
          <w:spacing w:val="-3"/>
        </w:rPr>
        <w:t xml:space="preserve">EIA </w:t>
      </w:r>
      <w:r w:rsidRPr="004068F6">
        <w:rPr>
          <w:spacing w:val="-3"/>
        </w:rPr>
        <w:t xml:space="preserve">debe </w:t>
      </w:r>
      <w:r w:rsidR="00EB7334" w:rsidRPr="004068F6">
        <w:rPr>
          <w:spacing w:val="-3"/>
        </w:rPr>
        <w:t xml:space="preserve">efectuarse a partir de </w:t>
      </w:r>
      <w:r w:rsidR="000B6345" w:rsidRPr="004068F6">
        <w:rPr>
          <w:spacing w:val="-3"/>
        </w:rPr>
        <w:t xml:space="preserve">las </w:t>
      </w:r>
      <w:r w:rsidRPr="004068F6">
        <w:rPr>
          <w:spacing w:val="-3"/>
        </w:rPr>
        <w:t>posibles localizaciones</w:t>
      </w:r>
      <w:bookmarkEnd w:id="2525"/>
      <w:r w:rsidR="000B6345" w:rsidRPr="004068F6">
        <w:rPr>
          <w:spacing w:val="-3"/>
        </w:rPr>
        <w:t xml:space="preserve"> en las que es viable el desarrollo de </w:t>
      </w:r>
      <w:r w:rsidR="002D543B" w:rsidRPr="004068F6">
        <w:rPr>
          <w:spacing w:val="-3"/>
        </w:rPr>
        <w:t xml:space="preserve">sus </w:t>
      </w:r>
      <w:r w:rsidR="000B6345" w:rsidRPr="004068F6">
        <w:rPr>
          <w:spacing w:val="-3"/>
        </w:rPr>
        <w:t>actividades</w:t>
      </w:r>
      <w:r w:rsidR="005B57B0" w:rsidRPr="004068F6">
        <w:rPr>
          <w:spacing w:val="-3"/>
        </w:rPr>
        <w:t xml:space="preserve"> y conforme con ellas, se deben </w:t>
      </w:r>
      <w:r w:rsidR="00680F40" w:rsidRPr="004068F6">
        <w:rPr>
          <w:spacing w:val="-3"/>
        </w:rPr>
        <w:t xml:space="preserve">desarrollar los demás elementos que configuran el </w:t>
      </w:r>
      <w:r w:rsidR="00193F3B" w:rsidRPr="004068F6">
        <w:rPr>
          <w:spacing w:val="-3"/>
        </w:rPr>
        <w:t>estudio ambiental</w:t>
      </w:r>
      <w:r w:rsidRPr="004068F6">
        <w:rPr>
          <w:spacing w:val="-3"/>
        </w:rPr>
        <w:t>.</w:t>
      </w:r>
    </w:p>
    <w:p w14:paraId="32EEDB5F" w14:textId="0A44A6BF" w:rsidR="008B4761" w:rsidRPr="004068F6" w:rsidRDefault="008B4761">
      <w:pPr>
        <w:numPr>
          <w:ilvl w:val="12"/>
          <w:numId w:val="0"/>
        </w:numPr>
        <w:tabs>
          <w:tab w:val="left" w:pos="-2268"/>
        </w:tabs>
        <w:suppressAutoHyphens/>
        <w:rPr>
          <w:spacing w:val="-3"/>
        </w:rPr>
      </w:pPr>
    </w:p>
    <w:p w14:paraId="06BD91BB" w14:textId="20F3FA0B" w:rsidR="00D4527F" w:rsidRPr="004068F6" w:rsidRDefault="00D4527F">
      <w:pPr>
        <w:numPr>
          <w:ilvl w:val="12"/>
          <w:numId w:val="0"/>
        </w:numPr>
        <w:tabs>
          <w:tab w:val="left" w:pos="-2268"/>
        </w:tabs>
        <w:suppressAutoHyphens/>
        <w:rPr>
          <w:spacing w:val="-3"/>
        </w:rPr>
      </w:pPr>
      <w:r w:rsidRPr="004068F6">
        <w:rPr>
          <w:spacing w:val="-3"/>
        </w:rPr>
        <w:t xml:space="preserve">Las especificaciones establecidas en el presente capítulo aplican también </w:t>
      </w:r>
      <w:bookmarkStart w:id="2526" w:name="_Hlk98241887"/>
      <w:r w:rsidRPr="004068F6">
        <w:rPr>
          <w:spacing w:val="-3"/>
        </w:rPr>
        <w:t xml:space="preserve">para </w:t>
      </w:r>
      <w:r w:rsidR="002122E8" w:rsidRPr="004068F6">
        <w:rPr>
          <w:spacing w:val="-3"/>
        </w:rPr>
        <w:t xml:space="preserve">la modificación de </w:t>
      </w:r>
      <w:r w:rsidRPr="004068F6">
        <w:rPr>
          <w:spacing w:val="-3"/>
        </w:rPr>
        <w:t>los planes de manejo ambiental establecidos como instrumento equivalente a la licencia ambiental según lo establecido en el artículo 2.2.2.3.8.9 del Decreto 1076 de 2015</w:t>
      </w:r>
      <w:bookmarkEnd w:id="2526"/>
      <w:r w:rsidRPr="004068F6">
        <w:rPr>
          <w:spacing w:val="-3"/>
        </w:rPr>
        <w:t xml:space="preserve">, o aquel que lo modifique o sustituya, para </w:t>
      </w:r>
      <w:r w:rsidR="00DE424A" w:rsidRPr="004068F6">
        <w:rPr>
          <w:spacing w:val="-3"/>
        </w:rPr>
        <w:t xml:space="preserve">el complemento al EIA que se debe elaborar como requisito para la solicitud de modificación de licencia ambiental de acuerdo con lo establecido en el artículo 2.2.2.3.7.2. de dicho </w:t>
      </w:r>
      <w:r w:rsidR="00C95F82" w:rsidRPr="004068F6">
        <w:rPr>
          <w:spacing w:val="-3"/>
        </w:rPr>
        <w:t>D</w:t>
      </w:r>
      <w:r w:rsidR="00DE424A" w:rsidRPr="004068F6">
        <w:rPr>
          <w:spacing w:val="-3"/>
        </w:rPr>
        <w:t xml:space="preserve">ecreto, para la elaboración del plan de manejo ambiental para la construcción y operación de Proyectos Turísticos Especiales (PTE) de gran escala en suelo rural </w:t>
      </w:r>
      <w:r w:rsidRPr="004068F6">
        <w:rPr>
          <w:spacing w:val="-3"/>
        </w:rPr>
        <w:t xml:space="preserve">a los que se refiere el artículo </w:t>
      </w:r>
      <w:r w:rsidR="00DE424A" w:rsidRPr="004068F6">
        <w:rPr>
          <w:spacing w:val="-3"/>
        </w:rPr>
        <w:t>264</w:t>
      </w:r>
      <w:r w:rsidRPr="004068F6">
        <w:rPr>
          <w:spacing w:val="-3"/>
        </w:rPr>
        <w:t xml:space="preserve"> de la Ley 1955 de 2019</w:t>
      </w:r>
      <w:r w:rsidR="00EF4344" w:rsidRPr="004068F6">
        <w:rPr>
          <w:spacing w:val="-3"/>
        </w:rPr>
        <w:t xml:space="preserve">, </w:t>
      </w:r>
      <w:r w:rsidR="00BF550B" w:rsidRPr="004068F6">
        <w:rPr>
          <w:spacing w:val="-3"/>
        </w:rPr>
        <w:t xml:space="preserve">así como para </w:t>
      </w:r>
      <w:r w:rsidR="00675B5D" w:rsidRPr="004068F6">
        <w:rPr>
          <w:spacing w:val="-3"/>
        </w:rPr>
        <w:t xml:space="preserve">el desarrollo </w:t>
      </w:r>
      <w:r w:rsidR="00BF550B" w:rsidRPr="004068F6">
        <w:rPr>
          <w:spacing w:val="-3"/>
        </w:rPr>
        <w:t xml:space="preserve">de </w:t>
      </w:r>
      <w:r w:rsidR="00175A33" w:rsidRPr="004068F6">
        <w:rPr>
          <w:spacing w:val="-3"/>
        </w:rPr>
        <w:t xml:space="preserve">los </w:t>
      </w:r>
      <w:r w:rsidR="00BF550B" w:rsidRPr="004068F6">
        <w:rPr>
          <w:spacing w:val="-3"/>
        </w:rPr>
        <w:t xml:space="preserve">estudios ambientales que deban </w:t>
      </w:r>
      <w:r w:rsidR="00175A33" w:rsidRPr="004068F6">
        <w:rPr>
          <w:spacing w:val="-3"/>
        </w:rPr>
        <w:t xml:space="preserve">elaborarse en el marco de </w:t>
      </w:r>
      <w:r w:rsidR="004B7954" w:rsidRPr="004068F6">
        <w:rPr>
          <w:spacing w:val="-3"/>
        </w:rPr>
        <w:t>otros</w:t>
      </w:r>
      <w:r w:rsidR="00175A33" w:rsidRPr="004068F6">
        <w:rPr>
          <w:spacing w:val="-3"/>
        </w:rPr>
        <w:t xml:space="preserve"> instrumentos de manejo y control ambiental que establezca </w:t>
      </w:r>
      <w:r w:rsidR="00BF550B" w:rsidRPr="004068F6">
        <w:rPr>
          <w:spacing w:val="-3"/>
        </w:rPr>
        <w:t>la Ley</w:t>
      </w:r>
      <w:r w:rsidR="00DE424A" w:rsidRPr="004068F6">
        <w:rPr>
          <w:spacing w:val="-3"/>
        </w:rPr>
        <w:t>.</w:t>
      </w:r>
    </w:p>
    <w:p w14:paraId="72CE757A" w14:textId="77777777" w:rsidR="00D4527F" w:rsidRDefault="00D4527F">
      <w:pPr>
        <w:numPr>
          <w:ilvl w:val="12"/>
          <w:numId w:val="0"/>
        </w:numPr>
        <w:tabs>
          <w:tab w:val="left" w:pos="-2268"/>
        </w:tabs>
        <w:suppressAutoHyphens/>
        <w:rPr>
          <w:spacing w:val="-3"/>
        </w:rPr>
      </w:pPr>
    </w:p>
    <w:p w14:paraId="55CF89FC" w14:textId="77777777" w:rsidR="00B44C28" w:rsidRDefault="00B44C28">
      <w:pPr>
        <w:numPr>
          <w:ilvl w:val="12"/>
          <w:numId w:val="0"/>
        </w:numPr>
        <w:tabs>
          <w:tab w:val="left" w:pos="-2268"/>
        </w:tabs>
        <w:suppressAutoHyphens/>
        <w:rPr>
          <w:spacing w:val="-3"/>
        </w:rPr>
      </w:pPr>
    </w:p>
    <w:p w14:paraId="1340BCCC" w14:textId="77777777" w:rsidR="00B44C28" w:rsidRPr="004068F6" w:rsidRDefault="00B44C28">
      <w:pPr>
        <w:numPr>
          <w:ilvl w:val="12"/>
          <w:numId w:val="0"/>
        </w:numPr>
        <w:tabs>
          <w:tab w:val="left" w:pos="-2268"/>
        </w:tabs>
        <w:suppressAutoHyphens/>
        <w:rPr>
          <w:spacing w:val="-3"/>
        </w:rPr>
      </w:pPr>
    </w:p>
    <w:p w14:paraId="432054D7" w14:textId="77777777" w:rsidR="00DF6D4D" w:rsidRPr="004068F6" w:rsidRDefault="00DF6D4D">
      <w:pPr>
        <w:numPr>
          <w:ilvl w:val="12"/>
          <w:numId w:val="0"/>
        </w:numPr>
        <w:tabs>
          <w:tab w:val="left" w:pos="-2268"/>
        </w:tabs>
        <w:suppressAutoHyphens/>
        <w:rPr>
          <w:spacing w:val="-3"/>
        </w:rPr>
      </w:pPr>
    </w:p>
    <w:p w14:paraId="4B627BF1" w14:textId="0CDFFD55" w:rsidR="00260078" w:rsidRPr="004068F6" w:rsidRDefault="00260078" w:rsidP="001F5F9B">
      <w:pPr>
        <w:pStyle w:val="Ttulo1"/>
        <w:numPr>
          <w:ilvl w:val="0"/>
          <w:numId w:val="69"/>
        </w:numPr>
        <w:rPr>
          <w:lang w:val="es-CO"/>
        </w:rPr>
      </w:pPr>
      <w:bookmarkStart w:id="2527" w:name="_Ref75276177"/>
      <w:bookmarkStart w:id="2528" w:name="_Toc230879628"/>
      <w:r w:rsidRPr="004068F6">
        <w:rPr>
          <w:lang w:val="es-CO"/>
        </w:rPr>
        <w:lastRenderedPageBreak/>
        <w:t>DESCRIPCIÓN DEL PROYECTO</w:t>
      </w:r>
      <w:bookmarkEnd w:id="2527"/>
      <w:bookmarkEnd w:id="2528"/>
    </w:p>
    <w:p w14:paraId="4BCF7DD5" w14:textId="6E100C26" w:rsidR="00731F02" w:rsidRPr="004068F6" w:rsidRDefault="00731F02" w:rsidP="00C86DA5"/>
    <w:p w14:paraId="09AB1FC2" w14:textId="629A65F0" w:rsidR="00097365" w:rsidRDefault="00AC0EED" w:rsidP="00D87119">
      <w:pPr>
        <w:numPr>
          <w:ilvl w:val="12"/>
          <w:numId w:val="0"/>
        </w:numPr>
        <w:tabs>
          <w:tab w:val="left" w:pos="-2268"/>
        </w:tabs>
        <w:suppressAutoHyphens/>
        <w:rPr>
          <w:rFonts w:cs="Arial"/>
          <w:spacing w:val="-3"/>
        </w:rPr>
      </w:pPr>
      <w:bookmarkStart w:id="2529" w:name="_Hlk144395172"/>
      <w:r>
        <w:rPr>
          <w:rFonts w:cs="Arial"/>
          <w:spacing w:val="-3"/>
        </w:rPr>
        <w:t>S</w:t>
      </w:r>
      <w:r w:rsidR="00FE74D2" w:rsidRPr="004068F6">
        <w:rPr>
          <w:rFonts w:cs="Arial"/>
          <w:spacing w:val="-3"/>
        </w:rPr>
        <w:t xml:space="preserve">e debe presentar </w:t>
      </w:r>
      <w:r w:rsidR="00834E77" w:rsidRPr="004068F6">
        <w:rPr>
          <w:rFonts w:cs="Arial"/>
          <w:spacing w:val="-3"/>
        </w:rPr>
        <w:t xml:space="preserve">una </w:t>
      </w:r>
      <w:r w:rsidR="00FE74D2" w:rsidRPr="004068F6">
        <w:rPr>
          <w:rFonts w:cs="Arial"/>
          <w:spacing w:val="-3"/>
        </w:rPr>
        <w:t xml:space="preserve">descripción </w:t>
      </w:r>
      <w:r w:rsidR="008F546C" w:rsidRPr="004068F6">
        <w:rPr>
          <w:rFonts w:cs="Arial"/>
          <w:spacing w:val="-3"/>
        </w:rPr>
        <w:t xml:space="preserve">general y sintética </w:t>
      </w:r>
      <w:r w:rsidR="00281C64" w:rsidRPr="004068F6">
        <w:rPr>
          <w:rFonts w:cs="Arial"/>
          <w:spacing w:val="-3"/>
        </w:rPr>
        <w:t xml:space="preserve">de </w:t>
      </w:r>
      <w:r w:rsidR="00F90472" w:rsidRPr="004068F6">
        <w:rPr>
          <w:rFonts w:cs="Arial"/>
          <w:spacing w:val="-3"/>
        </w:rPr>
        <w:t xml:space="preserve">los métodos y resultados de </w:t>
      </w:r>
      <w:r w:rsidR="004939E6">
        <w:rPr>
          <w:rFonts w:cs="Arial"/>
          <w:spacing w:val="-3"/>
        </w:rPr>
        <w:t>l</w:t>
      </w:r>
      <w:r w:rsidR="004939E6" w:rsidRPr="004068F6">
        <w:rPr>
          <w:rFonts w:cs="Arial"/>
          <w:spacing w:val="-3"/>
        </w:rPr>
        <w:t xml:space="preserve">a </w:t>
      </w:r>
      <w:r w:rsidR="00AF4046" w:rsidRPr="004068F6">
        <w:rPr>
          <w:rFonts w:cs="Arial"/>
          <w:spacing w:val="-3"/>
        </w:rPr>
        <w:t xml:space="preserve">evaluación de </w:t>
      </w:r>
      <w:r w:rsidR="00281C64" w:rsidRPr="004068F6">
        <w:rPr>
          <w:rFonts w:cs="Arial"/>
          <w:spacing w:val="-3"/>
        </w:rPr>
        <w:t xml:space="preserve">opciones </w:t>
      </w:r>
      <w:r w:rsidR="00F103CF" w:rsidRPr="004068F6">
        <w:rPr>
          <w:rFonts w:cs="Arial"/>
          <w:spacing w:val="-3"/>
        </w:rPr>
        <w:t xml:space="preserve">razonables </w:t>
      </w:r>
      <w:r w:rsidR="00FE74D2" w:rsidRPr="004068F6">
        <w:rPr>
          <w:rFonts w:cs="Arial"/>
          <w:spacing w:val="-3"/>
        </w:rPr>
        <w:t xml:space="preserve">de </w:t>
      </w:r>
      <w:r w:rsidR="00AF4046" w:rsidRPr="004068F6">
        <w:rPr>
          <w:rFonts w:cs="Arial"/>
          <w:spacing w:val="-3"/>
        </w:rPr>
        <w:t>diseño, tecnología y localización</w:t>
      </w:r>
      <w:r w:rsidR="00C026D6" w:rsidRPr="004068F6">
        <w:rPr>
          <w:rFonts w:cs="Arial"/>
          <w:spacing w:val="-3"/>
        </w:rPr>
        <w:t xml:space="preserve"> o trazado</w:t>
      </w:r>
      <w:r w:rsidR="00AF4046" w:rsidRPr="004068F6">
        <w:rPr>
          <w:rFonts w:cs="Arial"/>
          <w:spacing w:val="-3"/>
        </w:rPr>
        <w:t xml:space="preserve"> (esta última, en los casos en los que sea posible) </w:t>
      </w:r>
      <w:r w:rsidR="004939E6">
        <w:rPr>
          <w:rFonts w:cs="Arial"/>
          <w:spacing w:val="-3"/>
        </w:rPr>
        <w:t xml:space="preserve">que se ejecutó </w:t>
      </w:r>
      <w:r w:rsidR="00AF4046" w:rsidRPr="004068F6">
        <w:rPr>
          <w:rFonts w:cs="Arial"/>
          <w:spacing w:val="-3"/>
        </w:rPr>
        <w:t xml:space="preserve">para asegurar que la opción elegida para </w:t>
      </w:r>
      <w:r w:rsidR="00C9064E" w:rsidRPr="004068F6">
        <w:rPr>
          <w:rFonts w:cs="Arial"/>
          <w:spacing w:val="-3"/>
        </w:rPr>
        <w:t xml:space="preserve">la formulación </w:t>
      </w:r>
      <w:r w:rsidR="00AF4046" w:rsidRPr="004068F6">
        <w:rPr>
          <w:rFonts w:cs="Arial"/>
          <w:spacing w:val="-3"/>
        </w:rPr>
        <w:t>del proyecto, obra o actividad</w:t>
      </w:r>
      <w:r w:rsidR="00B41392">
        <w:rPr>
          <w:rFonts w:cs="Arial"/>
          <w:spacing w:val="-3"/>
        </w:rPr>
        <w:t xml:space="preserve">, además de </w:t>
      </w:r>
      <w:r w:rsidR="002A6677">
        <w:rPr>
          <w:rFonts w:cs="Arial"/>
          <w:spacing w:val="-3"/>
        </w:rPr>
        <w:t xml:space="preserve">permitir su objetivo </w:t>
      </w:r>
      <w:r w:rsidR="002A6677" w:rsidRPr="002A6677">
        <w:rPr>
          <w:rFonts w:cs="Arial"/>
          <w:spacing w:val="-3"/>
        </w:rPr>
        <w:t>(p. ej. extraer hidrocarburos o minerales, aprovechar energía hídrica o eólica, construir carreteras, construir y operar rellenos sanitarios o zoocriaderos)</w:t>
      </w:r>
      <w:r w:rsidR="002A6677">
        <w:rPr>
          <w:rFonts w:cs="Arial"/>
          <w:spacing w:val="-3"/>
        </w:rPr>
        <w:t>,</w:t>
      </w:r>
      <w:r w:rsidR="00AF4046" w:rsidRPr="004068F6">
        <w:rPr>
          <w:rFonts w:cs="Arial"/>
          <w:spacing w:val="-3"/>
        </w:rPr>
        <w:t xml:space="preserve"> es la que causa los menores impactos ambientales</w:t>
      </w:r>
      <w:r w:rsidR="00672F0E">
        <w:rPr>
          <w:rFonts w:cs="Arial"/>
          <w:spacing w:val="-3"/>
        </w:rPr>
        <w:t>.</w:t>
      </w:r>
    </w:p>
    <w:p w14:paraId="3AA3ACC5" w14:textId="77777777" w:rsidR="00097365" w:rsidRDefault="00097365" w:rsidP="00D87119">
      <w:pPr>
        <w:numPr>
          <w:ilvl w:val="12"/>
          <w:numId w:val="0"/>
        </w:numPr>
        <w:tabs>
          <w:tab w:val="left" w:pos="-2268"/>
        </w:tabs>
        <w:suppressAutoHyphens/>
        <w:rPr>
          <w:rFonts w:cs="Arial"/>
          <w:spacing w:val="-3"/>
        </w:rPr>
      </w:pPr>
    </w:p>
    <w:p w14:paraId="34FC720B" w14:textId="20CF388B" w:rsidR="005C064D" w:rsidRDefault="00051B2F" w:rsidP="00FE74D2">
      <w:pPr>
        <w:numPr>
          <w:ilvl w:val="12"/>
          <w:numId w:val="0"/>
        </w:numPr>
        <w:tabs>
          <w:tab w:val="left" w:pos="-2268"/>
        </w:tabs>
        <w:suppressAutoHyphens/>
        <w:rPr>
          <w:rFonts w:cs="Arial"/>
          <w:spacing w:val="-3"/>
        </w:rPr>
      </w:pPr>
      <w:r>
        <w:rPr>
          <w:rFonts w:cs="Arial"/>
          <w:spacing w:val="-3"/>
        </w:rPr>
        <w:t>En caso de que no se haya desarrollado un DAA, e</w:t>
      </w:r>
      <w:r w:rsidR="00AC0554" w:rsidRPr="00127BD4">
        <w:rPr>
          <w:rFonts w:cs="Arial"/>
          <w:spacing w:val="-3"/>
        </w:rPr>
        <w:t xml:space="preserve">sta evaluación no requiere de la presentación de información de línea base, </w:t>
      </w:r>
      <w:r w:rsidR="005B5335">
        <w:rPr>
          <w:rFonts w:cs="Arial"/>
          <w:spacing w:val="-3"/>
        </w:rPr>
        <w:t xml:space="preserve">de </w:t>
      </w:r>
      <w:r w:rsidR="00C22EE2">
        <w:rPr>
          <w:rFonts w:cs="Arial"/>
          <w:spacing w:val="-3"/>
        </w:rPr>
        <w:t xml:space="preserve">las </w:t>
      </w:r>
      <w:r w:rsidR="00AC0554" w:rsidRPr="00127BD4">
        <w:rPr>
          <w:rFonts w:cs="Arial"/>
          <w:spacing w:val="-3"/>
        </w:rPr>
        <w:t>model</w:t>
      </w:r>
      <w:r w:rsidR="00755102">
        <w:rPr>
          <w:rFonts w:cs="Arial"/>
          <w:spacing w:val="-3"/>
        </w:rPr>
        <w:t>iz</w:t>
      </w:r>
      <w:r w:rsidR="00AC0554" w:rsidRPr="00127BD4">
        <w:rPr>
          <w:rFonts w:cs="Arial"/>
          <w:spacing w:val="-3"/>
        </w:rPr>
        <w:t>aciones ambientales</w:t>
      </w:r>
      <w:r w:rsidR="00CE4E00">
        <w:rPr>
          <w:rFonts w:cs="Arial"/>
          <w:spacing w:val="-3"/>
        </w:rPr>
        <w:t xml:space="preserve">, </w:t>
      </w:r>
      <w:r w:rsidR="005B5335">
        <w:rPr>
          <w:rFonts w:cs="Arial"/>
          <w:spacing w:val="-3"/>
        </w:rPr>
        <w:t xml:space="preserve">de </w:t>
      </w:r>
      <w:r w:rsidR="00C22EE2">
        <w:rPr>
          <w:rFonts w:cs="Arial"/>
          <w:spacing w:val="-3"/>
        </w:rPr>
        <w:t xml:space="preserve">las </w:t>
      </w:r>
      <w:r w:rsidR="00CE4E00">
        <w:rPr>
          <w:rFonts w:cs="Arial"/>
          <w:spacing w:val="-3"/>
        </w:rPr>
        <w:t>descripciones detalladas de las opciones</w:t>
      </w:r>
      <w:r w:rsidR="00AC0554" w:rsidRPr="00127BD4">
        <w:rPr>
          <w:rFonts w:cs="Arial"/>
          <w:spacing w:val="-3"/>
        </w:rPr>
        <w:t xml:space="preserve"> ni </w:t>
      </w:r>
      <w:r w:rsidR="00F146C0" w:rsidRPr="00127BD4">
        <w:rPr>
          <w:rFonts w:cs="Arial"/>
          <w:spacing w:val="-3"/>
        </w:rPr>
        <w:t xml:space="preserve">de </w:t>
      </w:r>
      <w:r w:rsidR="001F5459">
        <w:rPr>
          <w:rFonts w:cs="Arial"/>
          <w:spacing w:val="-3"/>
        </w:rPr>
        <w:t>l</w:t>
      </w:r>
      <w:r w:rsidR="00F146C0" w:rsidRPr="00127BD4">
        <w:rPr>
          <w:rFonts w:cs="Arial"/>
          <w:spacing w:val="-3"/>
        </w:rPr>
        <w:t xml:space="preserve">os </w:t>
      </w:r>
      <w:r w:rsidR="001F5459">
        <w:rPr>
          <w:rFonts w:cs="Arial"/>
          <w:spacing w:val="-3"/>
        </w:rPr>
        <w:t xml:space="preserve">demás </w:t>
      </w:r>
      <w:r w:rsidR="00F146C0" w:rsidRPr="00127BD4">
        <w:rPr>
          <w:rFonts w:cs="Arial"/>
          <w:spacing w:val="-3"/>
        </w:rPr>
        <w:t xml:space="preserve">análisis </w:t>
      </w:r>
      <w:r w:rsidR="00AC0554" w:rsidRPr="00127BD4">
        <w:rPr>
          <w:rFonts w:cs="Arial"/>
          <w:spacing w:val="-3"/>
        </w:rPr>
        <w:t>contenid</w:t>
      </w:r>
      <w:r w:rsidR="00F146C0" w:rsidRPr="00127BD4">
        <w:rPr>
          <w:rFonts w:cs="Arial"/>
          <w:spacing w:val="-3"/>
        </w:rPr>
        <w:t>os</w:t>
      </w:r>
      <w:r w:rsidR="00AC0554" w:rsidRPr="00127BD4">
        <w:rPr>
          <w:rFonts w:cs="Arial"/>
          <w:spacing w:val="-3"/>
        </w:rPr>
        <w:t xml:space="preserve"> en </w:t>
      </w:r>
      <w:r w:rsidR="0027308B">
        <w:rPr>
          <w:rFonts w:cs="Arial"/>
          <w:spacing w:val="-3"/>
        </w:rPr>
        <w:t xml:space="preserve">tales estudios ambientales </w:t>
      </w:r>
      <w:r w:rsidR="00AC0554" w:rsidRPr="00127BD4">
        <w:rPr>
          <w:rFonts w:cs="Arial"/>
          <w:spacing w:val="-3"/>
        </w:rPr>
        <w:t xml:space="preserve">y puede desarrollarse empleando el método que </w:t>
      </w:r>
      <w:r w:rsidR="00F146C0" w:rsidRPr="00127BD4">
        <w:rPr>
          <w:rFonts w:cs="Arial"/>
          <w:spacing w:val="-3"/>
        </w:rPr>
        <w:t xml:space="preserve">el desarrollador del </w:t>
      </w:r>
      <w:r w:rsidR="00EE24A5">
        <w:rPr>
          <w:rFonts w:cs="Arial"/>
          <w:spacing w:val="-3"/>
        </w:rPr>
        <w:t xml:space="preserve">EIA </w:t>
      </w:r>
      <w:r w:rsidR="00AC0554" w:rsidRPr="00127BD4">
        <w:rPr>
          <w:rFonts w:cs="Arial"/>
          <w:spacing w:val="-3"/>
        </w:rPr>
        <w:t xml:space="preserve">considere más </w:t>
      </w:r>
      <w:r w:rsidR="00F146C0" w:rsidRPr="00127BD4">
        <w:rPr>
          <w:rFonts w:cs="Arial"/>
          <w:spacing w:val="-3"/>
        </w:rPr>
        <w:t>apropiado a</w:t>
      </w:r>
      <w:r w:rsidR="00AC0554" w:rsidRPr="00127BD4">
        <w:rPr>
          <w:rFonts w:cs="Arial"/>
          <w:spacing w:val="-3"/>
        </w:rPr>
        <w:t>l caso particular de estudio</w:t>
      </w:r>
      <w:r w:rsidR="00F146C0" w:rsidRPr="00675859">
        <w:rPr>
          <w:rFonts w:cs="Arial"/>
          <w:spacing w:val="-3"/>
        </w:rPr>
        <w:t xml:space="preserve">, siendo uno de </w:t>
      </w:r>
      <w:r w:rsidR="00491DFF" w:rsidRPr="00675859">
        <w:rPr>
          <w:rFonts w:cs="Arial"/>
          <w:spacing w:val="-3"/>
        </w:rPr>
        <w:t>éstos, la evaluación multicriterio</w:t>
      </w:r>
      <w:r w:rsidR="00AF4046" w:rsidRPr="00533287">
        <w:rPr>
          <w:rFonts w:cs="Arial"/>
          <w:spacing w:val="-3"/>
        </w:rPr>
        <w:t>.</w:t>
      </w:r>
      <w:r w:rsidR="00C639D3" w:rsidRPr="00675859">
        <w:rPr>
          <w:rFonts w:cs="Arial"/>
          <w:spacing w:val="-3"/>
        </w:rPr>
        <w:t xml:space="preserve"> </w:t>
      </w:r>
      <w:r w:rsidR="005D39F2" w:rsidRPr="00127BD4">
        <w:rPr>
          <w:rFonts w:cs="Arial"/>
          <w:spacing w:val="-3"/>
        </w:rPr>
        <w:t>S</w:t>
      </w:r>
      <w:r w:rsidR="00C15DA3">
        <w:rPr>
          <w:rFonts w:cs="Arial"/>
          <w:spacing w:val="-3"/>
        </w:rPr>
        <w:t>e debe señalar clara</w:t>
      </w:r>
      <w:r w:rsidR="00CF2F60">
        <w:rPr>
          <w:rFonts w:cs="Arial"/>
          <w:spacing w:val="-3"/>
        </w:rPr>
        <w:t xml:space="preserve"> y sintéticamente </w:t>
      </w:r>
      <w:r w:rsidR="00F37BAA" w:rsidRPr="00675859">
        <w:rPr>
          <w:rFonts w:cs="Arial"/>
          <w:spacing w:val="-3"/>
        </w:rPr>
        <w:t xml:space="preserve">cómo se </w:t>
      </w:r>
      <w:bookmarkEnd w:id="2529"/>
      <w:r w:rsidR="005C064D" w:rsidRPr="00675859">
        <w:rPr>
          <w:rFonts w:cs="Arial"/>
          <w:spacing w:val="-3"/>
        </w:rPr>
        <w:t>comparar</w:t>
      </w:r>
      <w:r w:rsidR="00F37BAA" w:rsidRPr="00127BD4">
        <w:rPr>
          <w:rFonts w:cs="Arial"/>
          <w:spacing w:val="-3"/>
        </w:rPr>
        <w:t xml:space="preserve">on las </w:t>
      </w:r>
      <w:r w:rsidR="002216B2" w:rsidRPr="00127BD4">
        <w:rPr>
          <w:rFonts w:cs="Arial"/>
          <w:spacing w:val="-3"/>
        </w:rPr>
        <w:t>opciones</w:t>
      </w:r>
      <w:r w:rsidR="00C643EB">
        <w:rPr>
          <w:rFonts w:cs="Arial"/>
          <w:spacing w:val="-3"/>
        </w:rPr>
        <w:t xml:space="preserve"> y</w:t>
      </w:r>
      <w:r w:rsidR="002216B2" w:rsidRPr="00127BD4">
        <w:rPr>
          <w:rFonts w:cs="Arial"/>
          <w:spacing w:val="-3"/>
        </w:rPr>
        <w:t xml:space="preserve"> cómo se llegó a</w:t>
      </w:r>
      <w:r w:rsidR="00C643EB">
        <w:rPr>
          <w:rFonts w:cs="Arial"/>
          <w:spacing w:val="-3"/>
        </w:rPr>
        <w:t xml:space="preserve"> </w:t>
      </w:r>
      <w:r w:rsidR="002216B2" w:rsidRPr="00127BD4">
        <w:rPr>
          <w:rFonts w:cs="Arial"/>
          <w:spacing w:val="-3"/>
        </w:rPr>
        <w:t>l</w:t>
      </w:r>
      <w:r w:rsidR="00C643EB">
        <w:rPr>
          <w:rFonts w:cs="Arial"/>
          <w:spacing w:val="-3"/>
        </w:rPr>
        <w:t>a</w:t>
      </w:r>
      <w:r w:rsidR="002216B2" w:rsidRPr="00127BD4">
        <w:rPr>
          <w:rFonts w:cs="Arial"/>
          <w:spacing w:val="-3"/>
        </w:rPr>
        <w:t xml:space="preserve"> </w:t>
      </w:r>
      <w:r w:rsidR="00C643EB">
        <w:rPr>
          <w:rFonts w:cs="Arial"/>
          <w:spacing w:val="-3"/>
        </w:rPr>
        <w:t xml:space="preserve">conclusión </w:t>
      </w:r>
      <w:r w:rsidR="002216B2" w:rsidRPr="00127BD4">
        <w:rPr>
          <w:rFonts w:cs="Arial"/>
          <w:spacing w:val="-3"/>
        </w:rPr>
        <w:t xml:space="preserve">de que la </w:t>
      </w:r>
      <w:r w:rsidR="005C064D" w:rsidRPr="00675859">
        <w:rPr>
          <w:rFonts w:cs="Arial"/>
          <w:spacing w:val="-3"/>
        </w:rPr>
        <w:t xml:space="preserve">opción </w:t>
      </w:r>
      <w:r w:rsidR="002216B2" w:rsidRPr="00127BD4">
        <w:rPr>
          <w:rFonts w:cs="Arial"/>
          <w:spacing w:val="-3"/>
        </w:rPr>
        <w:t xml:space="preserve">elegida </w:t>
      </w:r>
      <w:r w:rsidR="004F7CE9">
        <w:rPr>
          <w:rFonts w:cs="Arial"/>
          <w:spacing w:val="-3"/>
        </w:rPr>
        <w:t>para el desarrollo d</w:t>
      </w:r>
      <w:r w:rsidR="005C064D" w:rsidRPr="00675859">
        <w:rPr>
          <w:rFonts w:cs="Arial"/>
          <w:spacing w:val="-3"/>
        </w:rPr>
        <w:t xml:space="preserve">el proyecto </w:t>
      </w:r>
      <w:r w:rsidR="004F7CE9">
        <w:rPr>
          <w:rFonts w:cs="Arial"/>
          <w:spacing w:val="-3"/>
        </w:rPr>
        <w:t xml:space="preserve">ocasiona </w:t>
      </w:r>
      <w:r w:rsidR="005C064D" w:rsidRPr="00675859">
        <w:rPr>
          <w:rFonts w:cs="Arial"/>
          <w:spacing w:val="-3"/>
        </w:rPr>
        <w:t xml:space="preserve">los </w:t>
      </w:r>
      <w:r w:rsidR="004F7CE9">
        <w:rPr>
          <w:rFonts w:cs="Arial"/>
          <w:spacing w:val="-3"/>
        </w:rPr>
        <w:t xml:space="preserve">menores </w:t>
      </w:r>
      <w:r w:rsidR="005C064D" w:rsidRPr="00675859">
        <w:rPr>
          <w:rFonts w:cs="Arial"/>
          <w:spacing w:val="-3"/>
        </w:rPr>
        <w:t>impactos ambientales</w:t>
      </w:r>
      <w:r w:rsidR="00675859" w:rsidRPr="00675859">
        <w:rPr>
          <w:rFonts w:cs="Arial"/>
          <w:spacing w:val="-3"/>
        </w:rPr>
        <w:t>.</w:t>
      </w:r>
    </w:p>
    <w:p w14:paraId="2C5FF564" w14:textId="77777777" w:rsidR="009B14FA" w:rsidRDefault="009B14FA" w:rsidP="00FE74D2">
      <w:pPr>
        <w:numPr>
          <w:ilvl w:val="12"/>
          <w:numId w:val="0"/>
        </w:numPr>
        <w:tabs>
          <w:tab w:val="left" w:pos="-2268"/>
        </w:tabs>
        <w:suppressAutoHyphens/>
        <w:rPr>
          <w:rFonts w:cs="Arial"/>
          <w:spacing w:val="-3"/>
        </w:rPr>
      </w:pPr>
    </w:p>
    <w:p w14:paraId="10BC17D4" w14:textId="33A0463B" w:rsidR="009B14FA" w:rsidRDefault="00AD1C28" w:rsidP="00FE74D2">
      <w:pPr>
        <w:numPr>
          <w:ilvl w:val="12"/>
          <w:numId w:val="0"/>
        </w:numPr>
        <w:tabs>
          <w:tab w:val="left" w:pos="-2268"/>
        </w:tabs>
        <w:suppressAutoHyphens/>
        <w:rPr>
          <w:rFonts w:cs="Arial"/>
          <w:spacing w:val="-3"/>
        </w:rPr>
      </w:pPr>
      <w:r>
        <w:rPr>
          <w:rFonts w:cs="Arial"/>
          <w:spacing w:val="-3"/>
        </w:rPr>
        <w:t>E</w:t>
      </w:r>
      <w:r w:rsidR="009B14FA" w:rsidRPr="009B14FA">
        <w:rPr>
          <w:rFonts w:cs="Arial"/>
          <w:spacing w:val="-3"/>
        </w:rPr>
        <w:t xml:space="preserve">sta </w:t>
      </w:r>
      <w:r w:rsidR="00EF1E40">
        <w:rPr>
          <w:rFonts w:cs="Arial"/>
          <w:spacing w:val="-3"/>
        </w:rPr>
        <w:t xml:space="preserve">evaluación </w:t>
      </w:r>
      <w:r w:rsidR="009B14FA" w:rsidRPr="009B14FA">
        <w:rPr>
          <w:rFonts w:cs="Arial"/>
          <w:spacing w:val="-3"/>
        </w:rPr>
        <w:t xml:space="preserve">permite a los formuladores de proyectos </w:t>
      </w:r>
      <w:r w:rsidR="00A134F7">
        <w:rPr>
          <w:rFonts w:cs="Arial"/>
          <w:spacing w:val="-3"/>
        </w:rPr>
        <w:t xml:space="preserve">y de estudios ambientales </w:t>
      </w:r>
      <w:r w:rsidR="009B14FA" w:rsidRPr="009B14FA">
        <w:rPr>
          <w:rFonts w:cs="Arial"/>
          <w:spacing w:val="-3"/>
        </w:rPr>
        <w:t>desarrollar el principio de la Ley ambiental que establece que la protección y recuperación ambiental es una tarea que corresponde también a los actores privados</w:t>
      </w:r>
      <w:r w:rsidR="00146B93">
        <w:rPr>
          <w:rFonts w:cs="Arial"/>
          <w:spacing w:val="-3"/>
        </w:rPr>
        <w:t>;</w:t>
      </w:r>
      <w:r w:rsidR="009B14FA" w:rsidRPr="009B14FA">
        <w:rPr>
          <w:rFonts w:cs="Arial"/>
          <w:spacing w:val="-3"/>
        </w:rPr>
        <w:t xml:space="preserve"> </w:t>
      </w:r>
      <w:r w:rsidR="007C5D86">
        <w:rPr>
          <w:rFonts w:cs="Arial"/>
          <w:spacing w:val="-3"/>
        </w:rPr>
        <w:t xml:space="preserve">asimismo, </w:t>
      </w:r>
      <w:r w:rsidR="009B14FA" w:rsidRPr="009B14FA">
        <w:rPr>
          <w:rFonts w:cs="Arial"/>
          <w:spacing w:val="-3"/>
        </w:rPr>
        <w:t>facilita que los proyectos procuren el desarrollo sostenible del país y permite la implementación del principio de prevención.</w:t>
      </w:r>
    </w:p>
    <w:p w14:paraId="7371C28E" w14:textId="77777777" w:rsidR="009661B3" w:rsidRDefault="009661B3" w:rsidP="00FE74D2">
      <w:pPr>
        <w:numPr>
          <w:ilvl w:val="12"/>
          <w:numId w:val="0"/>
        </w:numPr>
        <w:tabs>
          <w:tab w:val="left" w:pos="-2268"/>
        </w:tabs>
        <w:suppressAutoHyphens/>
        <w:rPr>
          <w:rFonts w:cs="Arial"/>
          <w:spacing w:val="-3"/>
        </w:rPr>
      </w:pPr>
    </w:p>
    <w:p w14:paraId="5C9404F7" w14:textId="2C110F0A" w:rsidR="009661B3" w:rsidRDefault="009661B3" w:rsidP="00FE74D2">
      <w:pPr>
        <w:numPr>
          <w:ilvl w:val="12"/>
          <w:numId w:val="0"/>
        </w:numPr>
        <w:tabs>
          <w:tab w:val="left" w:pos="-2268"/>
        </w:tabs>
        <w:suppressAutoHyphens/>
        <w:rPr>
          <w:rFonts w:cs="Arial"/>
          <w:spacing w:val="-3"/>
        </w:rPr>
      </w:pPr>
      <w:r w:rsidRPr="00D36F23">
        <w:rPr>
          <w:rFonts w:cs="Arial"/>
          <w:spacing w:val="-3"/>
        </w:rPr>
        <w:t xml:space="preserve">En caso de </w:t>
      </w:r>
      <w:r w:rsidR="008949EB" w:rsidRPr="00127BD4">
        <w:rPr>
          <w:rFonts w:cs="Arial"/>
          <w:spacing w:val="-3"/>
        </w:rPr>
        <w:t xml:space="preserve">que se haya </w:t>
      </w:r>
      <w:r w:rsidRPr="00D36F23">
        <w:rPr>
          <w:rFonts w:cs="Arial"/>
          <w:spacing w:val="-3"/>
        </w:rPr>
        <w:t xml:space="preserve">desarrollado </w:t>
      </w:r>
      <w:r w:rsidR="008949EB" w:rsidRPr="00127BD4">
        <w:rPr>
          <w:rFonts w:cs="Arial"/>
          <w:spacing w:val="-3"/>
        </w:rPr>
        <w:t xml:space="preserve">un </w:t>
      </w:r>
      <w:r w:rsidRPr="00D36F23">
        <w:rPr>
          <w:rFonts w:cs="Arial"/>
          <w:spacing w:val="-3"/>
        </w:rPr>
        <w:t>DAA</w:t>
      </w:r>
      <w:r w:rsidR="00012383">
        <w:rPr>
          <w:rFonts w:cs="Arial"/>
          <w:spacing w:val="-3"/>
        </w:rPr>
        <w:t>,</w:t>
      </w:r>
      <w:r w:rsidRPr="00D36F23">
        <w:rPr>
          <w:rFonts w:cs="Arial"/>
          <w:spacing w:val="-3"/>
        </w:rPr>
        <w:t xml:space="preserve"> se debe </w:t>
      </w:r>
      <w:r w:rsidR="00745825" w:rsidRPr="00127BD4">
        <w:rPr>
          <w:rFonts w:cs="Arial"/>
          <w:spacing w:val="-3"/>
        </w:rPr>
        <w:t xml:space="preserve">presentar </w:t>
      </w:r>
      <w:r w:rsidRPr="00D36F23">
        <w:rPr>
          <w:rFonts w:cs="Arial"/>
          <w:spacing w:val="-3"/>
        </w:rPr>
        <w:t xml:space="preserve">una síntesis </w:t>
      </w:r>
      <w:r w:rsidR="008B3F17" w:rsidRPr="00127BD4">
        <w:rPr>
          <w:rFonts w:cs="Arial"/>
          <w:spacing w:val="-3"/>
        </w:rPr>
        <w:t xml:space="preserve">de </w:t>
      </w:r>
      <w:r w:rsidR="00012383">
        <w:rPr>
          <w:rFonts w:cs="Arial"/>
          <w:spacing w:val="-3"/>
        </w:rPr>
        <w:t xml:space="preserve">los </w:t>
      </w:r>
      <w:r w:rsidR="008B3F17" w:rsidRPr="00127BD4">
        <w:rPr>
          <w:rFonts w:cs="Arial"/>
          <w:spacing w:val="-3"/>
        </w:rPr>
        <w:t>resultados</w:t>
      </w:r>
      <w:r w:rsidR="00012383">
        <w:rPr>
          <w:rFonts w:cs="Arial"/>
          <w:spacing w:val="-3"/>
        </w:rPr>
        <w:t xml:space="preserve"> de este estudio ambiental</w:t>
      </w:r>
      <w:r w:rsidR="00F0486C">
        <w:rPr>
          <w:rFonts w:cs="Arial"/>
          <w:spacing w:val="-3"/>
        </w:rPr>
        <w:t>,</w:t>
      </w:r>
      <w:r w:rsidR="008B3F17" w:rsidRPr="00127BD4">
        <w:rPr>
          <w:rFonts w:cs="Arial"/>
          <w:spacing w:val="-3"/>
        </w:rPr>
        <w:t xml:space="preserve"> </w:t>
      </w:r>
      <w:r w:rsidR="000A73D4" w:rsidRPr="00127BD4">
        <w:rPr>
          <w:rFonts w:cs="Arial"/>
          <w:spacing w:val="-3"/>
        </w:rPr>
        <w:t xml:space="preserve">mencionando brevemente </w:t>
      </w:r>
      <w:r w:rsidR="00832A90" w:rsidRPr="00127BD4">
        <w:rPr>
          <w:rFonts w:cs="Arial"/>
          <w:spacing w:val="-3"/>
        </w:rPr>
        <w:t xml:space="preserve">el método </w:t>
      </w:r>
      <w:r w:rsidR="008205FC">
        <w:rPr>
          <w:rFonts w:cs="Arial"/>
          <w:spacing w:val="-3"/>
        </w:rPr>
        <w:t xml:space="preserve">de EMC </w:t>
      </w:r>
      <w:r w:rsidR="00A90C91">
        <w:rPr>
          <w:rFonts w:cs="Arial"/>
          <w:spacing w:val="-3"/>
        </w:rPr>
        <w:t xml:space="preserve">que se </w:t>
      </w:r>
      <w:r w:rsidR="00832A90" w:rsidRPr="00127BD4">
        <w:rPr>
          <w:rFonts w:cs="Arial"/>
          <w:spacing w:val="-3"/>
        </w:rPr>
        <w:t>emple</w:t>
      </w:r>
      <w:r w:rsidR="00A90C91">
        <w:rPr>
          <w:rFonts w:cs="Arial"/>
          <w:spacing w:val="-3"/>
        </w:rPr>
        <w:t>ó</w:t>
      </w:r>
      <w:r w:rsidR="00832A90" w:rsidRPr="00127BD4">
        <w:rPr>
          <w:rFonts w:cs="Arial"/>
          <w:spacing w:val="-3"/>
        </w:rPr>
        <w:t xml:space="preserve">, </w:t>
      </w:r>
      <w:r w:rsidR="009C35F0" w:rsidRPr="00127BD4">
        <w:rPr>
          <w:rFonts w:cs="Arial"/>
          <w:spacing w:val="-3"/>
        </w:rPr>
        <w:t xml:space="preserve">las </w:t>
      </w:r>
      <w:r w:rsidR="005112AE" w:rsidRPr="00127BD4">
        <w:rPr>
          <w:rFonts w:cs="Arial"/>
          <w:spacing w:val="-3"/>
        </w:rPr>
        <w:t xml:space="preserve">características de las alternativas </w:t>
      </w:r>
      <w:r w:rsidR="00CC0373" w:rsidRPr="00127BD4">
        <w:rPr>
          <w:rFonts w:cs="Arial"/>
          <w:spacing w:val="-3"/>
        </w:rPr>
        <w:t xml:space="preserve">evaluadas (en términos de </w:t>
      </w:r>
      <w:r w:rsidR="00AC3E5D" w:rsidRPr="00D36F23">
        <w:rPr>
          <w:rFonts w:cs="Arial"/>
          <w:spacing w:val="-3"/>
        </w:rPr>
        <w:t>diseño, tecnología o localización</w:t>
      </w:r>
      <w:r w:rsidR="00CC0373" w:rsidRPr="00127BD4">
        <w:rPr>
          <w:rFonts w:cs="Arial"/>
          <w:spacing w:val="-3"/>
        </w:rPr>
        <w:t>)</w:t>
      </w:r>
      <w:r w:rsidR="00537804" w:rsidRPr="00127BD4">
        <w:rPr>
          <w:rFonts w:cs="Arial"/>
          <w:spacing w:val="-3"/>
        </w:rPr>
        <w:t xml:space="preserve"> </w:t>
      </w:r>
      <w:r w:rsidR="00E20B19" w:rsidRPr="00127BD4">
        <w:rPr>
          <w:rFonts w:cs="Arial"/>
          <w:spacing w:val="-3"/>
        </w:rPr>
        <w:t xml:space="preserve">y la </w:t>
      </w:r>
      <w:r w:rsidR="00C12A63" w:rsidRPr="00127BD4">
        <w:rPr>
          <w:rFonts w:cs="Arial"/>
          <w:spacing w:val="-3"/>
        </w:rPr>
        <w:t xml:space="preserve">valoración </w:t>
      </w:r>
      <w:r w:rsidR="00E20B19" w:rsidRPr="00127BD4">
        <w:rPr>
          <w:rFonts w:cs="Arial"/>
          <w:spacing w:val="-3"/>
        </w:rPr>
        <w:t xml:space="preserve">de cada una de ellas; </w:t>
      </w:r>
      <w:r w:rsidR="00F64CED">
        <w:rPr>
          <w:rFonts w:cs="Arial"/>
          <w:spacing w:val="-3"/>
        </w:rPr>
        <w:t>adicionalmente</w:t>
      </w:r>
      <w:r w:rsidR="00E20B19" w:rsidRPr="00127BD4">
        <w:rPr>
          <w:rFonts w:cs="Arial"/>
          <w:spacing w:val="-3"/>
        </w:rPr>
        <w:t xml:space="preserve">, se debe señalar qué </w:t>
      </w:r>
      <w:r w:rsidR="00537804" w:rsidRPr="00127BD4">
        <w:rPr>
          <w:rFonts w:cs="Arial"/>
          <w:spacing w:val="-3"/>
        </w:rPr>
        <w:t xml:space="preserve">alternativa </w:t>
      </w:r>
      <w:r w:rsidR="00E20B19" w:rsidRPr="00127BD4">
        <w:rPr>
          <w:rFonts w:cs="Arial"/>
          <w:spacing w:val="-3"/>
        </w:rPr>
        <w:t xml:space="preserve">fue </w:t>
      </w:r>
      <w:r w:rsidR="00AC3E5D" w:rsidRPr="00D36F23">
        <w:rPr>
          <w:rFonts w:cs="Arial"/>
          <w:spacing w:val="-3"/>
        </w:rPr>
        <w:t>seleccionada por la autoridad ambiental para el desarrollo del EIA.</w:t>
      </w:r>
    </w:p>
    <w:p w14:paraId="1EEF8550" w14:textId="77777777" w:rsidR="005C064D" w:rsidRPr="004068F6" w:rsidRDefault="005C064D" w:rsidP="00FE74D2">
      <w:pPr>
        <w:numPr>
          <w:ilvl w:val="12"/>
          <w:numId w:val="0"/>
        </w:numPr>
        <w:tabs>
          <w:tab w:val="left" w:pos="-2268"/>
        </w:tabs>
        <w:suppressAutoHyphens/>
        <w:rPr>
          <w:rFonts w:cs="Arial"/>
          <w:spacing w:val="-3"/>
        </w:rPr>
      </w:pPr>
    </w:p>
    <w:p w14:paraId="6EE5FA68" w14:textId="5DD04343" w:rsidR="0013143D" w:rsidRPr="004068F6" w:rsidRDefault="00F61E65" w:rsidP="004969BC">
      <w:pPr>
        <w:numPr>
          <w:ilvl w:val="12"/>
          <w:numId w:val="0"/>
        </w:numPr>
        <w:tabs>
          <w:tab w:val="left" w:pos="-2268"/>
        </w:tabs>
        <w:suppressAutoHyphens/>
      </w:pPr>
      <w:r>
        <w:t>L</w:t>
      </w:r>
      <w:r w:rsidR="00FA45AF" w:rsidRPr="004068F6">
        <w:t xml:space="preserve">a descripción </w:t>
      </w:r>
      <w:r w:rsidR="000F3840">
        <w:t xml:space="preserve">de las diferentes </w:t>
      </w:r>
      <w:r w:rsidR="00D90304">
        <w:rPr>
          <w:spacing w:val="-3"/>
        </w:rPr>
        <w:t>etapas</w:t>
      </w:r>
      <w:r w:rsidR="00D90304">
        <w:t xml:space="preserve"> </w:t>
      </w:r>
      <w:r w:rsidR="000F3840">
        <w:t xml:space="preserve">de ejecución </w:t>
      </w:r>
      <w:r w:rsidR="00FA45AF" w:rsidRPr="004068F6">
        <w:t xml:space="preserve">del proyecto debe hacer evidente </w:t>
      </w:r>
      <w:r w:rsidR="008E7AF8">
        <w:t xml:space="preserve">y </w:t>
      </w:r>
      <w:r w:rsidR="00FA45AF" w:rsidRPr="004068F6">
        <w:t>de forma concreta</w:t>
      </w:r>
      <w:r w:rsidR="000F3840">
        <w:t xml:space="preserve"> </w:t>
      </w:r>
      <w:r w:rsidR="0013143D" w:rsidRPr="004068F6">
        <w:t>lo siguiente:</w:t>
      </w:r>
    </w:p>
    <w:p w14:paraId="4AFE8116" w14:textId="77777777" w:rsidR="0013143D" w:rsidRPr="004068F6" w:rsidRDefault="0013143D" w:rsidP="004969BC">
      <w:pPr>
        <w:numPr>
          <w:ilvl w:val="12"/>
          <w:numId w:val="0"/>
        </w:numPr>
        <w:tabs>
          <w:tab w:val="left" w:pos="-2268"/>
        </w:tabs>
        <w:suppressAutoHyphens/>
      </w:pPr>
    </w:p>
    <w:p w14:paraId="58CA83C7" w14:textId="66BA3E32" w:rsidR="004969BC" w:rsidRPr="00127BD4" w:rsidRDefault="0013143D" w:rsidP="00127BD4">
      <w:pPr>
        <w:pStyle w:val="Prrafodelista"/>
        <w:numPr>
          <w:ilvl w:val="0"/>
          <w:numId w:val="746"/>
        </w:numPr>
        <w:tabs>
          <w:tab w:val="left" w:pos="-2268"/>
        </w:tabs>
        <w:suppressAutoHyphens/>
        <w:ind w:left="567" w:hanging="567"/>
        <w:rPr>
          <w:rFonts w:cs="Arial"/>
          <w:spacing w:val="-3"/>
        </w:rPr>
      </w:pPr>
      <w:r w:rsidRPr="00DA50C1">
        <w:rPr>
          <w:lang w:val="es-CO"/>
        </w:rPr>
        <w:t>C</w:t>
      </w:r>
      <w:r w:rsidR="00FA45AF" w:rsidRPr="00DA50C1">
        <w:rPr>
          <w:lang w:val="es-CO"/>
        </w:rPr>
        <w:t xml:space="preserve">ómo </w:t>
      </w:r>
      <w:r w:rsidR="00843179" w:rsidRPr="00127BD4">
        <w:rPr>
          <w:rFonts w:cs="Arial"/>
          <w:spacing w:val="-3"/>
          <w:lang w:val="es-CO"/>
        </w:rPr>
        <w:t xml:space="preserve">la configuración específica del proyecto en términos de diseño, tecnología y localización </w:t>
      </w:r>
      <w:r w:rsidR="00843179" w:rsidRPr="00127BD4">
        <w:rPr>
          <w:lang w:val="es-CO"/>
        </w:rPr>
        <w:t>o trazado</w:t>
      </w:r>
      <w:r w:rsidR="00843179" w:rsidRPr="00DA50C1">
        <w:rPr>
          <w:lang w:val="es-CO"/>
        </w:rPr>
        <w:t xml:space="preserve"> </w:t>
      </w:r>
      <w:r w:rsidR="00B40389" w:rsidRPr="00127BD4">
        <w:rPr>
          <w:rFonts w:cs="Arial"/>
          <w:spacing w:val="-3"/>
          <w:lang w:val="es-CO"/>
        </w:rPr>
        <w:t xml:space="preserve">optimiza </w:t>
      </w:r>
      <w:r w:rsidR="00977A85" w:rsidRPr="00DA50C1">
        <w:rPr>
          <w:rFonts w:cs="Arial"/>
          <w:spacing w:val="-3"/>
          <w:lang w:val="es-CO"/>
        </w:rPr>
        <w:t>su</w:t>
      </w:r>
      <w:r w:rsidR="00B40389" w:rsidRPr="00127BD4">
        <w:rPr>
          <w:rFonts w:cs="Arial"/>
          <w:spacing w:val="-3"/>
          <w:lang w:val="es-CO"/>
        </w:rPr>
        <w:t xml:space="preserve"> desempeño ambiental </w:t>
      </w:r>
      <w:r w:rsidR="00977A85" w:rsidRPr="00DA50C1">
        <w:rPr>
          <w:rFonts w:cs="Arial"/>
          <w:spacing w:val="-3"/>
          <w:lang w:val="es-CO"/>
        </w:rPr>
        <w:t xml:space="preserve">al </w:t>
      </w:r>
      <w:r w:rsidR="008C33E8" w:rsidRPr="00127BD4">
        <w:rPr>
          <w:rFonts w:cs="Arial"/>
          <w:spacing w:val="-3"/>
          <w:lang w:val="es-CO"/>
        </w:rPr>
        <w:t xml:space="preserve">procurar </w:t>
      </w:r>
      <w:r w:rsidR="00907F14" w:rsidRPr="00127BD4">
        <w:rPr>
          <w:rFonts w:cs="Arial"/>
          <w:spacing w:val="-3"/>
          <w:lang w:val="es-CO"/>
        </w:rPr>
        <w:t>la recirculación de materiales</w:t>
      </w:r>
      <w:r w:rsidR="00D21AB1" w:rsidRPr="00DA50C1">
        <w:rPr>
          <w:rStyle w:val="Refdenotaalpie"/>
          <w:lang w:val="es-CO"/>
        </w:rPr>
        <w:footnoteReference w:id="75"/>
      </w:r>
      <w:r w:rsidR="007159F1">
        <w:rPr>
          <w:rFonts w:cs="Arial"/>
          <w:spacing w:val="-3"/>
          <w:lang w:val="es-CO"/>
        </w:rPr>
        <w:t>;</w:t>
      </w:r>
      <w:r w:rsidR="00907F14" w:rsidRPr="00127BD4">
        <w:rPr>
          <w:rFonts w:cs="Arial"/>
          <w:spacing w:val="-3"/>
          <w:lang w:val="es-CO"/>
        </w:rPr>
        <w:t xml:space="preserve"> el aprovechamiento de la biomasa</w:t>
      </w:r>
      <w:r w:rsidR="001729C5" w:rsidRPr="00DA50C1">
        <w:rPr>
          <w:rFonts w:cs="Arial"/>
          <w:spacing w:val="-3"/>
          <w:lang w:val="es-CO"/>
        </w:rPr>
        <w:t xml:space="preserve"> y de los residuos</w:t>
      </w:r>
      <w:r w:rsidR="007159F1">
        <w:rPr>
          <w:rFonts w:cs="Arial"/>
          <w:spacing w:val="-3"/>
          <w:lang w:val="es-CO"/>
        </w:rPr>
        <w:t>;</w:t>
      </w:r>
      <w:r w:rsidR="00907F14" w:rsidRPr="00127BD4">
        <w:rPr>
          <w:rFonts w:cs="Arial"/>
          <w:spacing w:val="-3"/>
          <w:lang w:val="es-CO"/>
        </w:rPr>
        <w:t xml:space="preserve"> el uso de fuentes renovables de energía</w:t>
      </w:r>
      <w:r w:rsidR="007159F1">
        <w:rPr>
          <w:rFonts w:cs="Arial"/>
          <w:spacing w:val="-3"/>
          <w:lang w:val="es-CO"/>
        </w:rPr>
        <w:t>;</w:t>
      </w:r>
      <w:r w:rsidR="00907F14" w:rsidRPr="00127BD4">
        <w:rPr>
          <w:rFonts w:cs="Arial"/>
          <w:spacing w:val="-3"/>
          <w:lang w:val="es-CO"/>
        </w:rPr>
        <w:t xml:space="preserve"> </w:t>
      </w:r>
      <w:r w:rsidR="00A82D49" w:rsidRPr="00DA50C1">
        <w:rPr>
          <w:rFonts w:cs="Arial"/>
          <w:spacing w:val="-3"/>
          <w:lang w:val="es-CO"/>
        </w:rPr>
        <w:t xml:space="preserve">la </w:t>
      </w:r>
      <w:r w:rsidR="00A82D49" w:rsidRPr="00DA50C1">
        <w:rPr>
          <w:rFonts w:cs="Arial"/>
          <w:lang w:val="es-CO"/>
        </w:rPr>
        <w:t>optimización del uso de los recursos naturales renovables e insumos</w:t>
      </w:r>
      <w:r w:rsidR="007159F1">
        <w:rPr>
          <w:rFonts w:cs="Arial"/>
          <w:lang w:val="es-CO"/>
        </w:rPr>
        <w:t>;</w:t>
      </w:r>
      <w:r w:rsidR="00A82D49" w:rsidRPr="00DA50C1">
        <w:rPr>
          <w:rFonts w:cs="Arial"/>
          <w:lang w:val="es-CO"/>
        </w:rPr>
        <w:t xml:space="preserve"> </w:t>
      </w:r>
      <w:r w:rsidR="00907F14" w:rsidRPr="00127BD4">
        <w:rPr>
          <w:rFonts w:cs="Arial"/>
          <w:spacing w:val="-3"/>
          <w:lang w:val="es-CO"/>
        </w:rPr>
        <w:t xml:space="preserve">la prevención y mitigación de sus </w:t>
      </w:r>
      <w:r w:rsidR="00907F14" w:rsidRPr="00127BD4">
        <w:rPr>
          <w:rFonts w:cs="Arial"/>
          <w:spacing w:val="-3"/>
          <w:lang w:val="es-CO"/>
        </w:rPr>
        <w:lastRenderedPageBreak/>
        <w:t>impactos a los ecosistemas</w:t>
      </w:r>
      <w:r w:rsidR="007159F1">
        <w:rPr>
          <w:rFonts w:cs="Arial"/>
          <w:spacing w:val="-3"/>
          <w:lang w:val="es-CO"/>
        </w:rPr>
        <w:t>;</w:t>
      </w:r>
      <w:r w:rsidR="00BB5956" w:rsidRPr="00127BD4">
        <w:rPr>
          <w:rFonts w:cs="Arial"/>
          <w:spacing w:val="-3"/>
          <w:lang w:val="es-CO"/>
        </w:rPr>
        <w:t xml:space="preserve"> </w:t>
      </w:r>
      <w:r w:rsidR="00716057" w:rsidRPr="00DA50C1">
        <w:rPr>
          <w:spacing w:val="-3"/>
          <w:lang w:val="es-CO"/>
        </w:rPr>
        <w:t xml:space="preserve">la </w:t>
      </w:r>
      <w:r w:rsidR="007E183B" w:rsidRPr="00DA50C1">
        <w:rPr>
          <w:rFonts w:cs="Arial"/>
          <w:lang w:val="es-CO"/>
        </w:rPr>
        <w:t>implementa</w:t>
      </w:r>
      <w:r w:rsidR="00716057" w:rsidRPr="00DA50C1">
        <w:rPr>
          <w:rFonts w:cs="Arial"/>
          <w:lang w:val="es-CO"/>
        </w:rPr>
        <w:t>ción de</w:t>
      </w:r>
      <w:r w:rsidR="007E183B" w:rsidRPr="00DA50C1">
        <w:rPr>
          <w:rFonts w:cs="Arial"/>
          <w:lang w:val="es-CO"/>
        </w:rPr>
        <w:t xml:space="preserve"> buenas prácticas, tecnologías más limpias</w:t>
      </w:r>
      <w:r w:rsidR="00DE7D51" w:rsidRPr="00DA50C1">
        <w:rPr>
          <w:rFonts w:cs="Arial"/>
          <w:lang w:val="es-CO"/>
        </w:rPr>
        <w:t>,</w:t>
      </w:r>
      <w:r w:rsidR="007E183B" w:rsidRPr="00DA50C1">
        <w:rPr>
          <w:rFonts w:cs="Arial"/>
          <w:lang w:val="es-CO"/>
        </w:rPr>
        <w:t xml:space="preserve"> encadenamientos productivos</w:t>
      </w:r>
      <w:r w:rsidR="007E183B" w:rsidRPr="00DA50C1">
        <w:rPr>
          <w:rStyle w:val="Refdenotaalpie"/>
          <w:rFonts w:cs="Arial"/>
          <w:lang w:val="es-CO"/>
        </w:rPr>
        <w:footnoteReference w:id="76"/>
      </w:r>
      <w:r w:rsidR="007E183B" w:rsidRPr="00DA50C1">
        <w:rPr>
          <w:rFonts w:cs="Arial"/>
          <w:lang w:val="es-CO"/>
        </w:rPr>
        <w:t xml:space="preserve">, </w:t>
      </w:r>
      <w:r w:rsidR="00D060B7">
        <w:rPr>
          <w:rFonts w:cs="Arial"/>
          <w:lang w:val="es-CO"/>
        </w:rPr>
        <w:t xml:space="preserve">soluciones basadas en la </w:t>
      </w:r>
      <w:r w:rsidR="00D060B7" w:rsidRPr="005D3D45">
        <w:rPr>
          <w:rFonts w:cs="Arial"/>
          <w:lang w:val="es-CO"/>
        </w:rPr>
        <w:t xml:space="preserve">naturaleza, </w:t>
      </w:r>
      <w:r w:rsidR="00EB1CA9" w:rsidRPr="005D3D45">
        <w:rPr>
          <w:rFonts w:cs="Arial"/>
          <w:lang w:val="es-CO"/>
        </w:rPr>
        <w:t>integración paisajística</w:t>
      </w:r>
      <w:r w:rsidR="006D1492" w:rsidRPr="00127BD4">
        <w:rPr>
          <w:rStyle w:val="Refdenotaalpie"/>
          <w:rFonts w:cs="Arial"/>
        </w:rPr>
        <w:footnoteReference w:id="77"/>
      </w:r>
      <w:r w:rsidR="00EB1CA9" w:rsidRPr="005D3D45">
        <w:rPr>
          <w:rFonts w:cs="Arial"/>
          <w:lang w:val="es-CO"/>
        </w:rPr>
        <w:t xml:space="preserve">, </w:t>
      </w:r>
      <w:r w:rsidR="007E183B" w:rsidRPr="00DA50C1">
        <w:rPr>
          <w:rFonts w:cs="Arial"/>
          <w:lang w:val="es-CO"/>
        </w:rPr>
        <w:t>así como opciones de infraestructura verde</w:t>
      </w:r>
      <w:r w:rsidR="007E183B" w:rsidRPr="00DA50C1">
        <w:rPr>
          <w:rStyle w:val="Refdenotaalpie"/>
          <w:spacing w:val="-3"/>
          <w:lang w:val="es-CO"/>
        </w:rPr>
        <w:footnoteReference w:id="78"/>
      </w:r>
      <w:r w:rsidR="00DE7D51" w:rsidRPr="00DA50C1">
        <w:rPr>
          <w:rFonts w:cs="Arial"/>
          <w:lang w:val="es-CO"/>
        </w:rPr>
        <w:t xml:space="preserve"> </w:t>
      </w:r>
      <w:r w:rsidR="006259AD" w:rsidRPr="00DA50C1">
        <w:rPr>
          <w:rFonts w:cs="Arial"/>
          <w:spacing w:val="-3"/>
          <w:lang w:val="es-CO"/>
        </w:rPr>
        <w:t>y</w:t>
      </w:r>
      <w:r w:rsidR="006D1492">
        <w:rPr>
          <w:rFonts w:cs="Arial"/>
          <w:spacing w:val="-3"/>
          <w:lang w:val="es-CO"/>
        </w:rPr>
        <w:t>;</w:t>
      </w:r>
      <w:r w:rsidR="006259AD" w:rsidRPr="00DA50C1">
        <w:rPr>
          <w:rFonts w:cs="Arial"/>
          <w:spacing w:val="-3"/>
          <w:lang w:val="es-CO"/>
        </w:rPr>
        <w:t xml:space="preserve"> en general, al </w:t>
      </w:r>
      <w:r w:rsidR="0032608A" w:rsidRPr="00DA50C1">
        <w:rPr>
          <w:rFonts w:cs="Arial"/>
          <w:spacing w:val="-3"/>
          <w:lang w:val="es-CO"/>
        </w:rPr>
        <w:t>reducir el área por intervenir y la generación de impactos</w:t>
      </w:r>
      <w:r w:rsidR="009178E9" w:rsidRPr="00127BD4">
        <w:rPr>
          <w:rFonts w:cs="Arial"/>
          <w:spacing w:val="-3"/>
          <w:lang w:val="es-CO"/>
        </w:rPr>
        <w:t>.</w:t>
      </w:r>
    </w:p>
    <w:p w14:paraId="66008A7E" w14:textId="77777777" w:rsidR="009178E9" w:rsidRPr="00127BD4" w:rsidRDefault="009178E9" w:rsidP="00FE74D2">
      <w:pPr>
        <w:numPr>
          <w:ilvl w:val="12"/>
          <w:numId w:val="0"/>
        </w:numPr>
        <w:tabs>
          <w:tab w:val="left" w:pos="-2268"/>
        </w:tabs>
        <w:suppressAutoHyphens/>
        <w:rPr>
          <w:rFonts w:cs="Arial"/>
          <w:spacing w:val="-3"/>
          <w:highlight w:val="green"/>
        </w:rPr>
      </w:pPr>
    </w:p>
    <w:p w14:paraId="14290128" w14:textId="797C66CE" w:rsidR="00FE74D2" w:rsidRPr="00CD4321" w:rsidRDefault="00735871" w:rsidP="00127BD4">
      <w:pPr>
        <w:pStyle w:val="Prrafodelista"/>
        <w:numPr>
          <w:ilvl w:val="0"/>
          <w:numId w:val="746"/>
        </w:numPr>
        <w:tabs>
          <w:tab w:val="left" w:pos="-2268"/>
        </w:tabs>
        <w:suppressAutoHyphens/>
        <w:ind w:left="567" w:hanging="567"/>
        <w:rPr>
          <w:rFonts w:cs="Arial"/>
        </w:rPr>
      </w:pPr>
      <w:r w:rsidRPr="00F74F45">
        <w:rPr>
          <w:lang w:val="es-CO"/>
        </w:rPr>
        <w:t xml:space="preserve">Cómo </w:t>
      </w:r>
      <w:r w:rsidRPr="00127BD4">
        <w:rPr>
          <w:rFonts w:cs="Arial"/>
          <w:spacing w:val="-3"/>
          <w:lang w:val="es-CO"/>
        </w:rPr>
        <w:t xml:space="preserve">la configuración específica del proyecto en términos de diseño, tecnología y localización </w:t>
      </w:r>
      <w:r w:rsidRPr="00127BD4">
        <w:rPr>
          <w:lang w:val="es-CO"/>
        </w:rPr>
        <w:t>o trazado</w:t>
      </w:r>
      <w:r w:rsidRPr="00F74F45">
        <w:rPr>
          <w:lang w:val="es-CO"/>
        </w:rPr>
        <w:t xml:space="preserve"> </w:t>
      </w:r>
      <w:r w:rsidR="00B40389" w:rsidRPr="00F74F45">
        <w:rPr>
          <w:rFonts w:cs="Arial"/>
          <w:lang w:val="es-CO"/>
        </w:rPr>
        <w:t>redu</w:t>
      </w:r>
      <w:r w:rsidR="009178E9" w:rsidRPr="00F74F45">
        <w:rPr>
          <w:rFonts w:cs="Arial"/>
          <w:lang w:val="es-CO"/>
        </w:rPr>
        <w:t>c</w:t>
      </w:r>
      <w:r w:rsidR="004E2031" w:rsidRPr="00F74F45">
        <w:rPr>
          <w:rFonts w:cs="Arial"/>
          <w:lang w:val="es-CO"/>
        </w:rPr>
        <w:t>e</w:t>
      </w:r>
      <w:r w:rsidR="004E2031" w:rsidRPr="00CD4321">
        <w:rPr>
          <w:rFonts w:cs="Arial"/>
          <w:lang w:val="es-CO"/>
        </w:rPr>
        <w:t xml:space="preserve"> </w:t>
      </w:r>
      <w:r w:rsidR="00B40389" w:rsidRPr="00CD4321">
        <w:rPr>
          <w:rFonts w:cs="Arial"/>
          <w:lang w:val="es-CO"/>
        </w:rPr>
        <w:t>la aparición o exacerbación de conflictos socioambientales</w:t>
      </w:r>
      <w:r w:rsidR="00CA70FA">
        <w:rPr>
          <w:rFonts w:cs="Arial"/>
          <w:lang w:val="es-CO"/>
        </w:rPr>
        <w:t xml:space="preserve">, </w:t>
      </w:r>
      <w:r w:rsidR="000B6402">
        <w:rPr>
          <w:rFonts w:cs="Arial"/>
          <w:lang w:val="es-CO"/>
        </w:rPr>
        <w:t xml:space="preserve">procura </w:t>
      </w:r>
      <w:r w:rsidR="00E00C9F" w:rsidRPr="00CD4321">
        <w:rPr>
          <w:rFonts w:cs="Arial"/>
          <w:lang w:val="es-CO"/>
        </w:rPr>
        <w:t xml:space="preserve">la </w:t>
      </w:r>
      <w:r w:rsidR="003443F7" w:rsidRPr="00127BD4">
        <w:rPr>
          <w:rFonts w:cs="Arial"/>
          <w:lang w:val="es-CO"/>
        </w:rPr>
        <w:t>justicia ambiental</w:t>
      </w:r>
      <w:r w:rsidR="00BF4C09">
        <w:rPr>
          <w:rStyle w:val="Refdenotaalpie"/>
          <w:rFonts w:cs="Arial"/>
        </w:rPr>
        <w:footnoteReference w:id="79"/>
      </w:r>
      <w:r w:rsidR="009178E9" w:rsidRPr="00127BD4">
        <w:rPr>
          <w:rFonts w:cs="Arial"/>
          <w:lang w:val="es-CO"/>
        </w:rPr>
        <w:t xml:space="preserve">, </w:t>
      </w:r>
      <w:r w:rsidR="00E015BE">
        <w:rPr>
          <w:rFonts w:cs="Arial"/>
          <w:lang w:val="es-CO"/>
        </w:rPr>
        <w:t xml:space="preserve">respeta los derechos humanos y previene los riesgos e impactos negativos </w:t>
      </w:r>
      <w:r w:rsidR="00E679A4">
        <w:rPr>
          <w:rFonts w:cs="Arial"/>
          <w:lang w:val="es-CO"/>
        </w:rPr>
        <w:t xml:space="preserve">a los derechos humanos </w:t>
      </w:r>
      <w:r w:rsidR="00EF717F">
        <w:rPr>
          <w:rFonts w:cs="Arial"/>
          <w:lang w:val="es-CO"/>
        </w:rPr>
        <w:t>asociados a los impactos ambientales del proyecto</w:t>
      </w:r>
      <w:r w:rsidR="00907F14" w:rsidRPr="00CD4321">
        <w:rPr>
          <w:rFonts w:cs="Arial"/>
          <w:lang w:val="es-CO"/>
        </w:rPr>
        <w:t>.</w:t>
      </w:r>
    </w:p>
    <w:p w14:paraId="0DA62FF0" w14:textId="77777777" w:rsidR="001E31ED" w:rsidRPr="004068F6" w:rsidRDefault="001E31ED" w:rsidP="00FE74D2">
      <w:pPr>
        <w:numPr>
          <w:ilvl w:val="12"/>
          <w:numId w:val="0"/>
        </w:numPr>
        <w:tabs>
          <w:tab w:val="left" w:pos="-2268"/>
        </w:tabs>
        <w:suppressAutoHyphens/>
        <w:rPr>
          <w:rFonts w:cs="Arial"/>
          <w:spacing w:val="-3"/>
        </w:rPr>
      </w:pPr>
    </w:p>
    <w:p w14:paraId="2627319D" w14:textId="501EAF12" w:rsidR="00BC6A9C" w:rsidRPr="00CD4321" w:rsidRDefault="00800B06" w:rsidP="00127BD4">
      <w:pPr>
        <w:pStyle w:val="Prrafodelista"/>
        <w:numPr>
          <w:ilvl w:val="0"/>
          <w:numId w:val="747"/>
        </w:numPr>
        <w:suppressAutoHyphens/>
        <w:ind w:left="567" w:hanging="567"/>
        <w:rPr>
          <w:rFonts w:cs="Arial"/>
          <w:spacing w:val="-3"/>
        </w:rPr>
      </w:pPr>
      <w:r w:rsidRPr="00CD4321">
        <w:rPr>
          <w:lang w:val="es-CO"/>
        </w:rPr>
        <w:t>C</w:t>
      </w:r>
      <w:r w:rsidR="00906405" w:rsidRPr="00CD4321">
        <w:rPr>
          <w:lang w:val="es-CO"/>
        </w:rPr>
        <w:t xml:space="preserve">ómo la configuración específica de </w:t>
      </w:r>
      <w:r w:rsidR="00906405" w:rsidRPr="00127BD4">
        <w:rPr>
          <w:lang w:val="es-CO"/>
        </w:rPr>
        <w:t xml:space="preserve">diseño, tecnología y localización o trazado </w:t>
      </w:r>
      <w:r w:rsidR="00906405" w:rsidRPr="00CD4321">
        <w:rPr>
          <w:lang w:val="es-CO"/>
        </w:rPr>
        <w:t xml:space="preserve">del proyecto </w:t>
      </w:r>
      <w:r w:rsidR="00906405" w:rsidRPr="00127BD4">
        <w:rPr>
          <w:lang w:val="es-CO"/>
        </w:rPr>
        <w:t>incorpora consideraciones</w:t>
      </w:r>
      <w:r w:rsidR="00906405" w:rsidRPr="00127BD4">
        <w:rPr>
          <w:vertAlign w:val="superscript"/>
          <w:lang w:val="es-CO"/>
        </w:rPr>
        <w:footnoteReference w:id="80"/>
      </w:r>
      <w:r w:rsidR="00906405" w:rsidRPr="00127BD4">
        <w:rPr>
          <w:lang w:val="es-CO"/>
        </w:rPr>
        <w:t xml:space="preserve"> de mitigación de gases de efecto invernadero (GEI) que reduzcan las emisiones netas de GEI a la atmósfera y de adaptación al cambio climático que limiten los riesgos derivados del cambio del clima (según los resultados del numeral</w:t>
      </w:r>
      <w:r w:rsidR="00E60F62" w:rsidRPr="00127BD4">
        <w:rPr>
          <w:lang w:val="es-CO"/>
        </w:rPr>
        <w:t xml:space="preserve"> </w:t>
      </w:r>
      <w:r w:rsidR="00E60F62" w:rsidRPr="00127BD4">
        <w:rPr>
          <w:lang w:val="es-CO"/>
        </w:rPr>
        <w:fldChar w:fldCharType="begin"/>
      </w:r>
      <w:r w:rsidR="00E60F62" w:rsidRPr="00127BD4">
        <w:rPr>
          <w:lang w:val="es-CO"/>
        </w:rPr>
        <w:instrText xml:space="preserve"> REF _Ref208926478 \r \h  \* MERGEFORMAT </w:instrText>
      </w:r>
      <w:r w:rsidR="00E60F62" w:rsidRPr="00127BD4">
        <w:rPr>
          <w:lang w:val="es-CO"/>
        </w:rPr>
      </w:r>
      <w:r w:rsidR="00E60F62" w:rsidRPr="00127BD4">
        <w:rPr>
          <w:lang w:val="es-CO"/>
        </w:rPr>
        <w:fldChar w:fldCharType="separate"/>
      </w:r>
      <w:r w:rsidR="009C4A81">
        <w:rPr>
          <w:lang w:val="es-CO"/>
        </w:rPr>
        <w:t>10.7.3.2</w:t>
      </w:r>
      <w:r w:rsidR="00E60F62" w:rsidRPr="00127BD4">
        <w:rPr>
          <w:lang w:val="es-CO"/>
        </w:rPr>
        <w:fldChar w:fldCharType="end"/>
      </w:r>
      <w:r w:rsidR="00906405" w:rsidRPr="00127BD4">
        <w:rPr>
          <w:lang w:val="es-CO"/>
        </w:rPr>
        <w:t>) al reducir la vulnerabilidad y exposición, tanto del proyecto, como de los elementos del ambiente que éste puede impactar</w:t>
      </w:r>
      <w:r w:rsidR="00906405" w:rsidRPr="0015011A">
        <w:rPr>
          <w:vertAlign w:val="superscript"/>
          <w:lang w:val="es-CO"/>
        </w:rPr>
        <w:footnoteReference w:id="81"/>
      </w:r>
      <w:r w:rsidR="00BC6A9C" w:rsidRPr="00127BD4">
        <w:rPr>
          <w:lang w:val="es-CO"/>
        </w:rPr>
        <w:t>.</w:t>
      </w:r>
    </w:p>
    <w:p w14:paraId="79F7AAF2" w14:textId="77777777" w:rsidR="00707832" w:rsidRPr="004068F6" w:rsidRDefault="00707832" w:rsidP="00FE74D2">
      <w:pPr>
        <w:numPr>
          <w:ilvl w:val="12"/>
          <w:numId w:val="0"/>
        </w:numPr>
        <w:tabs>
          <w:tab w:val="left" w:pos="-2268"/>
        </w:tabs>
        <w:suppressAutoHyphens/>
        <w:rPr>
          <w:rFonts w:cs="Arial"/>
          <w:spacing w:val="-3"/>
        </w:rPr>
      </w:pPr>
    </w:p>
    <w:p w14:paraId="0EF93F80" w14:textId="12C7679C" w:rsidR="00FE74D2" w:rsidRPr="004068F6" w:rsidRDefault="00EC106D">
      <w:pPr>
        <w:numPr>
          <w:ilvl w:val="12"/>
          <w:numId w:val="0"/>
        </w:numPr>
        <w:tabs>
          <w:tab w:val="left" w:pos="-2268"/>
        </w:tabs>
        <w:suppressAutoHyphens/>
        <w:rPr>
          <w:spacing w:val="-3"/>
        </w:rPr>
      </w:pPr>
      <w:r w:rsidRPr="004068F6">
        <w:rPr>
          <w:spacing w:val="-3"/>
        </w:rPr>
        <w:lastRenderedPageBreak/>
        <w:t>Por otra parte, l</w:t>
      </w:r>
      <w:r w:rsidR="00C26181" w:rsidRPr="004068F6">
        <w:rPr>
          <w:spacing w:val="-3"/>
        </w:rPr>
        <w:t>a</w:t>
      </w:r>
      <w:r w:rsidR="00FE74D2" w:rsidRPr="004068F6">
        <w:rPr>
          <w:spacing w:val="-3"/>
        </w:rPr>
        <w:t xml:space="preserve"> descripción del proyecto</w:t>
      </w:r>
      <w:r w:rsidR="00C26181" w:rsidRPr="004068F6">
        <w:rPr>
          <w:spacing w:val="-3"/>
        </w:rPr>
        <w:t xml:space="preserve"> debe </w:t>
      </w:r>
      <w:r w:rsidR="00B151E5" w:rsidRPr="004068F6">
        <w:rPr>
          <w:spacing w:val="-3"/>
        </w:rPr>
        <w:t xml:space="preserve">precisar claramente </w:t>
      </w:r>
      <w:r w:rsidR="00FE74D2" w:rsidRPr="004068F6">
        <w:rPr>
          <w:spacing w:val="-3"/>
        </w:rPr>
        <w:t>su objetivo, localización</w:t>
      </w:r>
      <w:r w:rsidR="00C22947" w:rsidRPr="004068F6">
        <w:rPr>
          <w:rStyle w:val="Refdenotaalpie"/>
          <w:rFonts w:cs="Arial"/>
          <w:spacing w:val="-3"/>
          <w:lang w:val="es-CO"/>
        </w:rPr>
        <w:footnoteReference w:id="82"/>
      </w:r>
      <w:r w:rsidR="00FE74D2" w:rsidRPr="004068F6">
        <w:rPr>
          <w:spacing w:val="-3"/>
        </w:rPr>
        <w:t xml:space="preserve">, diseño y características técnicas, especificando entre otras, </w:t>
      </w:r>
      <w:r w:rsidR="00FE74D2" w:rsidRPr="004068F6">
        <w:rPr>
          <w:rFonts w:cs="Arial"/>
          <w:spacing w:val="-3"/>
        </w:rPr>
        <w:t xml:space="preserve">las </w:t>
      </w:r>
      <w:r w:rsidR="00D90304">
        <w:rPr>
          <w:spacing w:val="-3"/>
        </w:rPr>
        <w:t>etapas</w:t>
      </w:r>
      <w:r w:rsidR="00D90304" w:rsidRPr="004068F6">
        <w:rPr>
          <w:rFonts w:cs="Arial"/>
          <w:spacing w:val="-3"/>
        </w:rPr>
        <w:t xml:space="preserve"> </w:t>
      </w:r>
      <w:r w:rsidR="00D90304">
        <w:rPr>
          <w:rFonts w:cs="Arial"/>
          <w:spacing w:val="-3"/>
        </w:rPr>
        <w:t xml:space="preserve">y </w:t>
      </w:r>
      <w:r w:rsidR="00FE74D2" w:rsidRPr="004068F6">
        <w:rPr>
          <w:rFonts w:cs="Arial"/>
          <w:spacing w:val="-3"/>
        </w:rPr>
        <w:t xml:space="preserve">fases del proyecto, </w:t>
      </w:r>
      <w:r w:rsidR="00FE74D2" w:rsidRPr="004068F6">
        <w:rPr>
          <w:spacing w:val="-3"/>
        </w:rPr>
        <w:t xml:space="preserve">la duración </w:t>
      </w:r>
      <w:r w:rsidR="00FE74D2" w:rsidRPr="004068F6">
        <w:rPr>
          <w:rFonts w:cs="Arial"/>
          <w:spacing w:val="-3"/>
        </w:rPr>
        <w:t>de cada una de ellas</w:t>
      </w:r>
      <w:r w:rsidR="00FE74D2" w:rsidRPr="004068F6">
        <w:rPr>
          <w:spacing w:val="-3"/>
        </w:rPr>
        <w:t xml:space="preserve"> y el cronograma estimado para el desarrollo de sus actividades, las particularidades de cada una de sus fases </w:t>
      </w:r>
      <w:r w:rsidR="00395CF0" w:rsidRPr="004068F6">
        <w:rPr>
          <w:spacing w:val="-3"/>
        </w:rPr>
        <w:t xml:space="preserve">señalando las actividades, </w:t>
      </w:r>
      <w:r w:rsidR="00FE74D2" w:rsidRPr="004068F6">
        <w:rPr>
          <w:spacing w:val="-3"/>
        </w:rPr>
        <w:t>la infraestructura existente</w:t>
      </w:r>
      <w:r w:rsidR="00710437" w:rsidRPr="004068F6">
        <w:rPr>
          <w:spacing w:val="-3"/>
        </w:rPr>
        <w:t xml:space="preserve"> a emplear</w:t>
      </w:r>
      <w:r w:rsidR="00FE74D2" w:rsidRPr="004068F6">
        <w:rPr>
          <w:spacing w:val="-3"/>
        </w:rPr>
        <w:t xml:space="preserve">, </w:t>
      </w:r>
      <w:bookmarkStart w:id="2530" w:name="_Toc341355802"/>
      <w:r w:rsidR="00FE74D2" w:rsidRPr="004068F6">
        <w:rPr>
          <w:spacing w:val="-3"/>
        </w:rPr>
        <w:t>los insumos que requiere, el manejo y forma de disposición de los residuos peligrosos y no peligrosos así como de los materiales que genere</w:t>
      </w:r>
      <w:r w:rsidR="00CA6616" w:rsidRPr="004068F6">
        <w:rPr>
          <w:rStyle w:val="Refdenotaalpie"/>
          <w:spacing w:val="-3"/>
          <w:lang w:val="es-CO"/>
        </w:rPr>
        <w:footnoteReference w:id="83"/>
      </w:r>
      <w:bookmarkEnd w:id="2530"/>
      <w:r w:rsidR="00FE74D2" w:rsidRPr="004068F6">
        <w:rPr>
          <w:spacing w:val="-3"/>
        </w:rPr>
        <w:t xml:space="preserve"> </w:t>
      </w:r>
      <w:r w:rsidR="00CA6616" w:rsidRPr="004068F6">
        <w:rPr>
          <w:spacing w:val="-3"/>
        </w:rPr>
        <w:t>y</w:t>
      </w:r>
      <w:r w:rsidR="00710437" w:rsidRPr="004068F6">
        <w:rPr>
          <w:spacing w:val="-3"/>
        </w:rPr>
        <w:t xml:space="preserve"> </w:t>
      </w:r>
      <w:r w:rsidR="00FE74D2" w:rsidRPr="004068F6">
        <w:rPr>
          <w:spacing w:val="-3"/>
        </w:rPr>
        <w:t>los costos estimados para su ejecución.</w:t>
      </w:r>
    </w:p>
    <w:p w14:paraId="03126658" w14:textId="0E1CABF9" w:rsidR="007374D4" w:rsidRPr="004068F6" w:rsidRDefault="007374D4">
      <w:pPr>
        <w:numPr>
          <w:ilvl w:val="12"/>
          <w:numId w:val="0"/>
        </w:numPr>
        <w:tabs>
          <w:tab w:val="left" w:pos="-2268"/>
        </w:tabs>
        <w:suppressAutoHyphens/>
      </w:pPr>
    </w:p>
    <w:p w14:paraId="166B01A4" w14:textId="5DE9FF5B" w:rsidR="008D4A32" w:rsidRPr="004068F6" w:rsidRDefault="008D4A32">
      <w:pPr>
        <w:numPr>
          <w:ilvl w:val="12"/>
          <w:numId w:val="0"/>
        </w:numPr>
        <w:tabs>
          <w:tab w:val="left" w:pos="-2268"/>
        </w:tabs>
        <w:suppressAutoHyphens/>
        <w:rPr>
          <w:spacing w:val="-3"/>
        </w:rPr>
      </w:pPr>
      <w:r w:rsidRPr="004068F6">
        <w:rPr>
          <w:spacing w:val="-3"/>
        </w:rPr>
        <w:t xml:space="preserve">Es importante </w:t>
      </w:r>
      <w:r w:rsidR="007069F1" w:rsidRPr="004068F6">
        <w:rPr>
          <w:spacing w:val="-3"/>
        </w:rPr>
        <w:t>que la descripción del proyecto se refiera solamente a los elementos que hacen parte de éste y no a las medidas de manejo de los impactos ambientales.</w:t>
      </w:r>
      <w:r w:rsidR="00042C5F" w:rsidRPr="004068F6">
        <w:rPr>
          <w:spacing w:val="-3"/>
        </w:rPr>
        <w:t xml:space="preserve"> </w:t>
      </w:r>
      <w:r w:rsidR="000D251D" w:rsidRPr="004068F6">
        <w:rPr>
          <w:spacing w:val="-3"/>
        </w:rPr>
        <w:t>P</w:t>
      </w:r>
      <w:r w:rsidRPr="004068F6">
        <w:rPr>
          <w:spacing w:val="-3"/>
        </w:rPr>
        <w:t>ara determinar si un elemento, maquinaria o característica específica del proyecto en efecto hace parte de éste, se debe evaluar si la presencia, uso o implementación de tal elemento</w:t>
      </w:r>
      <w:r w:rsidR="00A874CE">
        <w:rPr>
          <w:spacing w:val="-3"/>
        </w:rPr>
        <w:t>,</w:t>
      </w:r>
      <w:r w:rsidRPr="004068F6">
        <w:rPr>
          <w:spacing w:val="-3"/>
        </w:rPr>
        <w:t xml:space="preserve"> maquinaria o característica resulta necesaria para la </w:t>
      </w:r>
      <w:r w:rsidR="00DD555C" w:rsidRPr="004068F6">
        <w:rPr>
          <w:spacing w:val="-3"/>
        </w:rPr>
        <w:t>ejecución</w:t>
      </w:r>
      <w:r w:rsidRPr="004068F6">
        <w:rPr>
          <w:spacing w:val="-3"/>
        </w:rPr>
        <w:t xml:space="preserve"> del proyecto y si es inherente a</w:t>
      </w:r>
      <w:r w:rsidR="00611F95" w:rsidRPr="004068F6">
        <w:rPr>
          <w:spacing w:val="-3"/>
        </w:rPr>
        <w:t xml:space="preserve"> su </w:t>
      </w:r>
      <w:r w:rsidR="00580091" w:rsidRPr="004068F6">
        <w:rPr>
          <w:spacing w:val="-3"/>
        </w:rPr>
        <w:t xml:space="preserve">propósito, </w:t>
      </w:r>
      <w:r w:rsidR="00DD555C" w:rsidRPr="004068F6">
        <w:rPr>
          <w:spacing w:val="-3"/>
        </w:rPr>
        <w:t>naturaleza</w:t>
      </w:r>
      <w:r w:rsidR="00580091" w:rsidRPr="004068F6">
        <w:rPr>
          <w:spacing w:val="-3"/>
        </w:rPr>
        <w:t xml:space="preserve"> y</w:t>
      </w:r>
      <w:r w:rsidR="00DD555C" w:rsidRPr="004068F6">
        <w:rPr>
          <w:spacing w:val="-3"/>
        </w:rPr>
        <w:t xml:space="preserve"> </w:t>
      </w:r>
      <w:r w:rsidRPr="004068F6">
        <w:rPr>
          <w:spacing w:val="-3"/>
        </w:rPr>
        <w:t>desarrollo.</w:t>
      </w:r>
      <w:r w:rsidR="00611F95" w:rsidRPr="004068F6">
        <w:rPr>
          <w:spacing w:val="-3"/>
        </w:rPr>
        <w:t xml:space="preserve"> Si no es así</w:t>
      </w:r>
      <w:r w:rsidR="004B7ADA" w:rsidRPr="004068F6">
        <w:rPr>
          <w:spacing w:val="-3"/>
        </w:rPr>
        <w:t xml:space="preserve"> y su </w:t>
      </w:r>
      <w:r w:rsidR="00AD7E84" w:rsidRPr="004068F6">
        <w:rPr>
          <w:spacing w:val="-3"/>
        </w:rPr>
        <w:t xml:space="preserve">propósito se enfoca en </w:t>
      </w:r>
      <w:r w:rsidR="00A100E8" w:rsidRPr="004068F6">
        <w:rPr>
          <w:spacing w:val="-3"/>
        </w:rPr>
        <w:t xml:space="preserve">la gestión de los </w:t>
      </w:r>
      <w:r w:rsidR="00AD7E84" w:rsidRPr="004068F6">
        <w:rPr>
          <w:spacing w:val="-3"/>
        </w:rPr>
        <w:t>impactos</w:t>
      </w:r>
      <w:r w:rsidR="00611F95" w:rsidRPr="004068F6">
        <w:rPr>
          <w:spacing w:val="-3"/>
        </w:rPr>
        <w:t>, se trata de una medida de manejo</w:t>
      </w:r>
      <w:r w:rsidR="009C114C" w:rsidRPr="004068F6">
        <w:rPr>
          <w:spacing w:val="-3"/>
        </w:rPr>
        <w:t xml:space="preserve"> que no debe ser incorporada ni descrita en este apartado</w:t>
      </w:r>
      <w:r w:rsidR="00611F95" w:rsidRPr="004068F6">
        <w:rPr>
          <w:spacing w:val="-3"/>
        </w:rPr>
        <w:t>.</w:t>
      </w:r>
    </w:p>
    <w:p w14:paraId="73ECEF32" w14:textId="77777777" w:rsidR="007374D4" w:rsidRPr="004068F6" w:rsidRDefault="007374D4">
      <w:pPr>
        <w:numPr>
          <w:ilvl w:val="12"/>
          <w:numId w:val="0"/>
        </w:numPr>
        <w:tabs>
          <w:tab w:val="left" w:pos="-2268"/>
        </w:tabs>
        <w:suppressAutoHyphens/>
        <w:rPr>
          <w:spacing w:val="-3"/>
        </w:rPr>
      </w:pPr>
    </w:p>
    <w:p w14:paraId="75A4F089" w14:textId="3AAE961F" w:rsidR="00FE74D2" w:rsidRPr="004068F6" w:rsidRDefault="00FE74D2">
      <w:pPr>
        <w:numPr>
          <w:ilvl w:val="12"/>
          <w:numId w:val="0"/>
        </w:numPr>
        <w:tabs>
          <w:tab w:val="left" w:pos="-2268"/>
        </w:tabs>
        <w:suppressAutoHyphens/>
        <w:rPr>
          <w:spacing w:val="-3"/>
        </w:rPr>
      </w:pPr>
      <w:r w:rsidRPr="004068F6">
        <w:rPr>
          <w:spacing w:val="-3"/>
        </w:rPr>
        <w:t xml:space="preserve">Es obligación de quien </w:t>
      </w:r>
      <w:r w:rsidRPr="004068F6">
        <w:rPr>
          <w:rFonts w:cs="Arial"/>
          <w:spacing w:val="-3"/>
        </w:rPr>
        <w:t>presenta</w:t>
      </w:r>
      <w:r w:rsidRPr="004068F6">
        <w:rPr>
          <w:spacing w:val="-3"/>
        </w:rPr>
        <w:t xml:space="preserve"> el EIA brindar información que permita a las autoridades ambientales conocer todas las particularidades del proyecto, </w:t>
      </w:r>
      <w:r w:rsidR="00402D2D" w:rsidRPr="004068F6">
        <w:rPr>
          <w:spacing w:val="-3"/>
        </w:rPr>
        <w:t xml:space="preserve">obra o actividad </w:t>
      </w:r>
      <w:r w:rsidRPr="004068F6">
        <w:rPr>
          <w:spacing w:val="-3"/>
        </w:rPr>
        <w:t xml:space="preserve">de forma que más adelante, y de acuerdo </w:t>
      </w:r>
      <w:r w:rsidR="00467CE5" w:rsidRPr="004068F6">
        <w:rPr>
          <w:spacing w:val="-3"/>
        </w:rPr>
        <w:t>con</w:t>
      </w:r>
      <w:r w:rsidRPr="004068F6">
        <w:rPr>
          <w:spacing w:val="-3"/>
        </w:rPr>
        <w:t xml:space="preserve"> las características ambientales del lugar en el que se plantea su desarrollo, tengan total claridad y puedan verificar la </w:t>
      </w:r>
      <w:r w:rsidR="000404AA" w:rsidRPr="004068F6">
        <w:rPr>
          <w:spacing w:val="-3"/>
        </w:rPr>
        <w:t xml:space="preserve">determinación </w:t>
      </w:r>
      <w:r w:rsidRPr="004068F6">
        <w:rPr>
          <w:spacing w:val="-3"/>
        </w:rPr>
        <w:t xml:space="preserve">y valoración de impactos ambientales, la </w:t>
      </w:r>
      <w:r w:rsidR="00D527F5" w:rsidRPr="004068F6">
        <w:rPr>
          <w:spacing w:val="-3"/>
        </w:rPr>
        <w:t xml:space="preserve">delimitación </w:t>
      </w:r>
      <w:r w:rsidRPr="004068F6">
        <w:rPr>
          <w:spacing w:val="-3"/>
        </w:rPr>
        <w:t xml:space="preserve">del área de influencia, el uso y aprovechamiento de recursos naturales, la formulación de planes y demás </w:t>
      </w:r>
      <w:r w:rsidR="00D90C96" w:rsidRPr="004068F6">
        <w:rPr>
          <w:spacing w:val="-3"/>
        </w:rPr>
        <w:t xml:space="preserve">apartados </w:t>
      </w:r>
      <w:r w:rsidRPr="004068F6">
        <w:rPr>
          <w:spacing w:val="-3"/>
        </w:rPr>
        <w:t>del EIA; es decir, se debe proporcionar la información necesaria y suficiente a fin de que las autoridades ambientales tomen una decisión informada sobre la viabilidad ambiental del proyecto. Las particularidades que se deben tener en cuenta para la descripción de cada tipo de proyecto</w:t>
      </w:r>
      <w:r w:rsidR="00BC6D6A" w:rsidRPr="004068F6">
        <w:rPr>
          <w:spacing w:val="-3"/>
        </w:rPr>
        <w:t>, obra o actividad</w:t>
      </w:r>
      <w:r w:rsidRPr="004068F6">
        <w:rPr>
          <w:spacing w:val="-3"/>
        </w:rPr>
        <w:t xml:space="preserve"> se establecen en los términos de referencia.</w:t>
      </w:r>
    </w:p>
    <w:p w14:paraId="4967D320" w14:textId="77777777" w:rsidR="00BE576B" w:rsidRPr="004068F6" w:rsidRDefault="00BE576B">
      <w:pPr>
        <w:numPr>
          <w:ilvl w:val="12"/>
          <w:numId w:val="0"/>
        </w:numPr>
        <w:tabs>
          <w:tab w:val="left" w:pos="-2268"/>
        </w:tabs>
        <w:suppressAutoHyphens/>
        <w:rPr>
          <w:spacing w:val="-3"/>
        </w:rPr>
      </w:pPr>
    </w:p>
    <w:p w14:paraId="5647D02E" w14:textId="312DA445" w:rsidR="00F10E2F" w:rsidRPr="004068F6" w:rsidRDefault="00652148" w:rsidP="009871FB">
      <w:pPr>
        <w:numPr>
          <w:ilvl w:val="12"/>
          <w:numId w:val="0"/>
        </w:numPr>
        <w:tabs>
          <w:tab w:val="left" w:pos="-2268"/>
        </w:tabs>
        <w:suppressAutoHyphens/>
        <w:rPr>
          <w:rFonts w:cs="Arial"/>
        </w:rPr>
      </w:pPr>
      <w:r w:rsidRPr="004068F6">
        <w:rPr>
          <w:spacing w:val="-3"/>
        </w:rPr>
        <w:t xml:space="preserve">En caso de que se plantee suplir la demanda </w:t>
      </w:r>
      <w:r w:rsidR="009871FB" w:rsidRPr="004068F6">
        <w:rPr>
          <w:rFonts w:cs="Arial"/>
        </w:rPr>
        <w:t>de materiales de construcción para la ejecución de las obras civiles</w:t>
      </w:r>
      <w:r w:rsidRPr="004068F6">
        <w:rPr>
          <w:rFonts w:cs="Arial"/>
        </w:rPr>
        <w:t xml:space="preserve"> </w:t>
      </w:r>
      <w:r w:rsidR="00380449" w:rsidRPr="004068F6">
        <w:rPr>
          <w:rFonts w:cs="Arial"/>
        </w:rPr>
        <w:t>asociadas a</w:t>
      </w:r>
      <w:r w:rsidRPr="004068F6">
        <w:rPr>
          <w:rFonts w:cs="Arial"/>
        </w:rPr>
        <w:t xml:space="preserve">l proyecto, obra o actividad </w:t>
      </w:r>
      <w:r w:rsidR="00F10E2F" w:rsidRPr="004068F6">
        <w:rPr>
          <w:spacing w:val="-3"/>
        </w:rPr>
        <w:t xml:space="preserve">mediante un tercero, </w:t>
      </w:r>
      <w:r w:rsidR="000B248C" w:rsidRPr="004068F6">
        <w:rPr>
          <w:spacing w:val="-3"/>
        </w:rPr>
        <w:t xml:space="preserve">éste debe </w:t>
      </w:r>
      <w:r w:rsidR="000B248C" w:rsidRPr="004068F6">
        <w:rPr>
          <w:rFonts w:cs="Arial"/>
        </w:rPr>
        <w:t xml:space="preserve">contar </w:t>
      </w:r>
      <w:r w:rsidR="009871FB" w:rsidRPr="004068F6">
        <w:rPr>
          <w:rFonts w:cs="Arial"/>
        </w:rPr>
        <w:t xml:space="preserve">con </w:t>
      </w:r>
      <w:r w:rsidRPr="004068F6">
        <w:rPr>
          <w:rFonts w:cs="Arial"/>
        </w:rPr>
        <w:t xml:space="preserve">título minero </w:t>
      </w:r>
      <w:r w:rsidR="001C0A9D" w:rsidRPr="004068F6">
        <w:rPr>
          <w:rFonts w:cs="Arial"/>
        </w:rPr>
        <w:t xml:space="preserve">otorgado </w:t>
      </w:r>
      <w:r w:rsidR="00762B14" w:rsidRPr="004068F6">
        <w:rPr>
          <w:rFonts w:cs="Arial"/>
        </w:rPr>
        <w:t xml:space="preserve">por </w:t>
      </w:r>
      <w:r w:rsidR="009871FB" w:rsidRPr="004068F6">
        <w:rPr>
          <w:rFonts w:cs="Arial"/>
        </w:rPr>
        <w:t xml:space="preserve">la Agencia Nacional Minera (ANM) o la entidad que haga sus veces, así como </w:t>
      </w:r>
      <w:r w:rsidRPr="004068F6">
        <w:rPr>
          <w:rFonts w:cs="Arial"/>
        </w:rPr>
        <w:t xml:space="preserve">con </w:t>
      </w:r>
      <w:r w:rsidR="00AB1AAE" w:rsidRPr="004068F6">
        <w:rPr>
          <w:rFonts w:cs="Arial"/>
        </w:rPr>
        <w:t xml:space="preserve">licencia ambiental otorgada </w:t>
      </w:r>
      <w:r w:rsidR="009871FB" w:rsidRPr="004068F6">
        <w:rPr>
          <w:rFonts w:cs="Arial"/>
        </w:rPr>
        <w:t>por la autoridad ambiental competente</w:t>
      </w:r>
      <w:r w:rsidR="00AB1AAE" w:rsidRPr="004068F6">
        <w:rPr>
          <w:rFonts w:cs="Arial"/>
        </w:rPr>
        <w:t>.</w:t>
      </w:r>
      <w:r w:rsidR="00E25DFC" w:rsidRPr="004068F6">
        <w:rPr>
          <w:rFonts w:cs="Arial"/>
        </w:rPr>
        <w:t xml:space="preserve"> Si </w:t>
      </w:r>
      <w:r w:rsidR="000B248C" w:rsidRPr="004068F6">
        <w:rPr>
          <w:rFonts w:cs="Arial"/>
        </w:rPr>
        <w:t xml:space="preserve">se busca suplir la demanda a partir de </w:t>
      </w:r>
      <w:r w:rsidR="00E25DFC" w:rsidRPr="004068F6">
        <w:rPr>
          <w:rFonts w:cs="Arial"/>
        </w:rPr>
        <w:t>una fuente secundaria o de Residuos de Construcción y Demolición (RCD),</w:t>
      </w:r>
      <w:r w:rsidR="00F14D1D" w:rsidRPr="004068F6">
        <w:rPr>
          <w:rFonts w:cs="Arial"/>
        </w:rPr>
        <w:t xml:space="preserve"> se debe </w:t>
      </w:r>
      <w:r w:rsidR="00F14D1D" w:rsidRPr="004068F6">
        <w:rPr>
          <w:spacing w:val="-3"/>
        </w:rPr>
        <w:t xml:space="preserve">suministrar </w:t>
      </w:r>
      <w:r w:rsidR="00F14D1D" w:rsidRPr="004068F6">
        <w:rPr>
          <w:rFonts w:cs="Arial"/>
        </w:rPr>
        <w:t xml:space="preserve">la inscripción o permiso </w:t>
      </w:r>
      <w:r w:rsidR="00CA6616" w:rsidRPr="004068F6">
        <w:rPr>
          <w:rFonts w:cs="Arial"/>
        </w:rPr>
        <w:t xml:space="preserve">para su aprovechamiento que </w:t>
      </w:r>
      <w:r w:rsidR="00F14D1D" w:rsidRPr="004068F6">
        <w:rPr>
          <w:rFonts w:cs="Arial"/>
        </w:rPr>
        <w:t>la autoridad ambiental competente</w:t>
      </w:r>
      <w:r w:rsidR="00E33983" w:rsidRPr="004068F6">
        <w:rPr>
          <w:rFonts w:cs="Arial"/>
        </w:rPr>
        <w:t xml:space="preserve"> haya otorgado al proveedor</w:t>
      </w:r>
      <w:r w:rsidR="00F14D1D" w:rsidRPr="004068F6">
        <w:rPr>
          <w:rFonts w:cs="Arial"/>
        </w:rPr>
        <w:t xml:space="preserve">, o los documentos que defina la reglamentación vigente para </w:t>
      </w:r>
      <w:r w:rsidR="007455CA" w:rsidRPr="004068F6">
        <w:rPr>
          <w:rFonts w:cs="Arial"/>
        </w:rPr>
        <w:t xml:space="preserve">el </w:t>
      </w:r>
      <w:r w:rsidR="00F14D1D" w:rsidRPr="004068F6">
        <w:rPr>
          <w:rFonts w:cs="Arial"/>
        </w:rPr>
        <w:t>aprovechamiento de este tipo de residuos.</w:t>
      </w:r>
    </w:p>
    <w:p w14:paraId="514C3637" w14:textId="6ECA48FC" w:rsidR="00F10E2F" w:rsidRPr="004068F6" w:rsidRDefault="00F10E2F" w:rsidP="009871FB">
      <w:pPr>
        <w:numPr>
          <w:ilvl w:val="12"/>
          <w:numId w:val="0"/>
        </w:numPr>
        <w:tabs>
          <w:tab w:val="left" w:pos="-2268"/>
        </w:tabs>
        <w:suppressAutoHyphens/>
        <w:rPr>
          <w:rFonts w:cs="Arial"/>
        </w:rPr>
      </w:pPr>
    </w:p>
    <w:p w14:paraId="121848FA" w14:textId="07FA1451" w:rsidR="00FF659F" w:rsidRPr="004068F6" w:rsidRDefault="00F10E2F" w:rsidP="00FF659F">
      <w:pPr>
        <w:rPr>
          <w:rFonts w:cs="Arial"/>
          <w:bCs/>
          <w:spacing w:val="-3"/>
        </w:rPr>
      </w:pPr>
      <w:r w:rsidRPr="004068F6">
        <w:rPr>
          <w:rFonts w:cs="Arial"/>
          <w:bCs/>
          <w:spacing w:val="-3"/>
        </w:rPr>
        <w:t xml:space="preserve">Si el proyecto, obra o actividad contempla el desarrollo de actividades </w:t>
      </w:r>
      <w:r w:rsidR="003113AD" w:rsidRPr="004068F6">
        <w:rPr>
          <w:rFonts w:cs="Arial"/>
          <w:bCs/>
          <w:spacing w:val="-3"/>
        </w:rPr>
        <w:t>de</w:t>
      </w:r>
      <w:r w:rsidRPr="004068F6">
        <w:rPr>
          <w:rFonts w:cs="Arial"/>
          <w:bCs/>
          <w:spacing w:val="-3"/>
        </w:rPr>
        <w:t xml:space="preserve"> explota</w:t>
      </w:r>
      <w:r w:rsidR="003113AD" w:rsidRPr="004068F6">
        <w:rPr>
          <w:rFonts w:cs="Arial"/>
          <w:bCs/>
          <w:spacing w:val="-3"/>
        </w:rPr>
        <w:t>ción de</w:t>
      </w:r>
      <w:r w:rsidRPr="004068F6">
        <w:rPr>
          <w:rFonts w:cs="Arial"/>
          <w:bCs/>
          <w:spacing w:val="-3"/>
        </w:rPr>
        <w:t xml:space="preserve"> </w:t>
      </w:r>
      <w:r w:rsidR="003113AD" w:rsidRPr="004068F6">
        <w:rPr>
          <w:rFonts w:cs="Arial"/>
        </w:rPr>
        <w:t xml:space="preserve">materiales de construcción </w:t>
      </w:r>
      <w:r w:rsidR="001C0A9D" w:rsidRPr="004068F6">
        <w:rPr>
          <w:rFonts w:cs="Arial"/>
          <w:bCs/>
          <w:spacing w:val="-3"/>
        </w:rPr>
        <w:t>a fin de suplir su</w:t>
      </w:r>
      <w:r w:rsidR="00762B14" w:rsidRPr="004068F6">
        <w:rPr>
          <w:rFonts w:cs="Arial"/>
          <w:bCs/>
          <w:spacing w:val="-3"/>
        </w:rPr>
        <w:t>s</w:t>
      </w:r>
      <w:r w:rsidR="001C0A9D" w:rsidRPr="004068F6">
        <w:rPr>
          <w:rFonts w:cs="Arial"/>
          <w:bCs/>
          <w:spacing w:val="-3"/>
        </w:rPr>
        <w:t xml:space="preserve"> </w:t>
      </w:r>
      <w:r w:rsidR="00762B14" w:rsidRPr="004068F6">
        <w:rPr>
          <w:rFonts w:cs="Arial"/>
          <w:bCs/>
          <w:spacing w:val="-3"/>
        </w:rPr>
        <w:t>necesidades</w:t>
      </w:r>
      <w:r w:rsidRPr="004068F6">
        <w:rPr>
          <w:rFonts w:cs="Arial"/>
          <w:bCs/>
          <w:spacing w:val="-3"/>
        </w:rPr>
        <w:t xml:space="preserve">, </w:t>
      </w:r>
      <w:r w:rsidR="00762B14" w:rsidRPr="004068F6">
        <w:rPr>
          <w:rFonts w:cs="Arial"/>
          <w:bCs/>
          <w:spacing w:val="-3"/>
        </w:rPr>
        <w:t xml:space="preserve">se deben </w:t>
      </w:r>
      <w:r w:rsidRPr="004068F6">
        <w:rPr>
          <w:rFonts w:cs="Arial"/>
          <w:bCs/>
          <w:spacing w:val="-3"/>
        </w:rPr>
        <w:t xml:space="preserve">describir detalladamente </w:t>
      </w:r>
      <w:r w:rsidR="00402D2D" w:rsidRPr="004068F6">
        <w:rPr>
          <w:rFonts w:cs="Arial"/>
          <w:bCs/>
          <w:spacing w:val="-3"/>
        </w:rPr>
        <w:t xml:space="preserve">dichas </w:t>
      </w:r>
      <w:r w:rsidRPr="004068F6">
        <w:rPr>
          <w:rFonts w:cs="Arial"/>
          <w:bCs/>
          <w:spacing w:val="-3"/>
        </w:rPr>
        <w:t>actividades de explotación</w:t>
      </w:r>
      <w:r w:rsidR="00652148" w:rsidRPr="004068F6">
        <w:rPr>
          <w:rStyle w:val="Refdenotaalpie"/>
          <w:rFonts w:cs="Arial"/>
          <w:bCs/>
          <w:spacing w:val="-3"/>
          <w:lang w:val="es-CO"/>
        </w:rPr>
        <w:footnoteReference w:id="84"/>
      </w:r>
      <w:r w:rsidRPr="004068F6">
        <w:rPr>
          <w:rFonts w:cs="Arial"/>
          <w:bCs/>
          <w:spacing w:val="-3"/>
        </w:rPr>
        <w:t xml:space="preserve">, </w:t>
      </w:r>
      <w:r w:rsidR="006D6481" w:rsidRPr="004068F6">
        <w:rPr>
          <w:rFonts w:cs="Arial"/>
          <w:bCs/>
          <w:spacing w:val="-3"/>
        </w:rPr>
        <w:t>de forma que la autoridad ambiental pueda conocer</w:t>
      </w:r>
      <w:r w:rsidR="000B248C" w:rsidRPr="004068F6">
        <w:rPr>
          <w:rFonts w:cs="Arial"/>
          <w:bCs/>
          <w:spacing w:val="-3"/>
        </w:rPr>
        <w:t xml:space="preserve"> todas sus particularidades.</w:t>
      </w:r>
      <w:r w:rsidR="00AB1AAE" w:rsidRPr="004068F6">
        <w:rPr>
          <w:rFonts w:cs="Arial"/>
          <w:bCs/>
          <w:spacing w:val="-3"/>
        </w:rPr>
        <w:t xml:space="preserve"> </w:t>
      </w:r>
      <w:r w:rsidR="0089273A" w:rsidRPr="004068F6">
        <w:rPr>
          <w:rFonts w:cs="Arial"/>
          <w:bCs/>
          <w:spacing w:val="-3"/>
        </w:rPr>
        <w:t xml:space="preserve">En este caso </w:t>
      </w:r>
      <w:r w:rsidR="00AB1AAE" w:rsidRPr="004068F6">
        <w:rPr>
          <w:rFonts w:cs="Arial"/>
          <w:bCs/>
          <w:spacing w:val="-3"/>
        </w:rPr>
        <w:t xml:space="preserve">se debe </w:t>
      </w:r>
      <w:r w:rsidR="00FF659F" w:rsidRPr="004068F6">
        <w:rPr>
          <w:rFonts w:cs="Arial"/>
          <w:bCs/>
          <w:spacing w:val="-3"/>
        </w:rPr>
        <w:t>contar con título minero o autorización temporal vigente de la ANM.</w:t>
      </w:r>
    </w:p>
    <w:p w14:paraId="47D35C82" w14:textId="77777777" w:rsidR="009E38F9" w:rsidRPr="004068F6" w:rsidRDefault="009E38F9" w:rsidP="00FF659F">
      <w:pPr>
        <w:rPr>
          <w:rFonts w:cs="Arial"/>
          <w:bCs/>
          <w:spacing w:val="-3"/>
        </w:rPr>
      </w:pPr>
    </w:p>
    <w:p w14:paraId="7262657B" w14:textId="223D2C01" w:rsidR="006D0627" w:rsidRPr="004068F6" w:rsidRDefault="006D0627" w:rsidP="006D0627">
      <w:pPr>
        <w:rPr>
          <w:rFonts w:cs="Arial"/>
          <w:bCs/>
          <w:spacing w:val="-3"/>
        </w:rPr>
      </w:pPr>
      <w:r w:rsidRPr="004068F6">
        <w:rPr>
          <w:rFonts w:cs="Arial"/>
          <w:bCs/>
          <w:spacing w:val="-3"/>
        </w:rPr>
        <w:t xml:space="preserve">Si </w:t>
      </w:r>
      <w:r w:rsidR="00B2092A" w:rsidRPr="004068F6">
        <w:rPr>
          <w:rFonts w:cs="Arial"/>
          <w:bCs/>
          <w:spacing w:val="-3"/>
        </w:rPr>
        <w:t xml:space="preserve">como consecuencia de la ejecución del proyecto </w:t>
      </w:r>
      <w:r w:rsidRPr="004068F6">
        <w:rPr>
          <w:rFonts w:cs="Arial"/>
          <w:bCs/>
          <w:spacing w:val="-3"/>
        </w:rPr>
        <w:t xml:space="preserve">se tiene prevista </w:t>
      </w:r>
      <w:r w:rsidR="00455697" w:rsidRPr="004068F6">
        <w:rPr>
          <w:rFonts w:cs="Arial"/>
          <w:bCs/>
          <w:spacing w:val="-3"/>
        </w:rPr>
        <w:t xml:space="preserve">la </w:t>
      </w:r>
      <w:r w:rsidR="008265B9" w:rsidRPr="004068F6">
        <w:rPr>
          <w:rFonts w:cs="Arial"/>
          <w:bCs/>
          <w:spacing w:val="-3"/>
        </w:rPr>
        <w:t xml:space="preserve">generación de Residuos de Construcción y Demolición (RCD), es necesario hacer efectiva la jerarquía en la gestión integral de RCD, describir todas las actividades que se requieran para su </w:t>
      </w:r>
      <w:r w:rsidR="001368F8" w:rsidRPr="004068F6">
        <w:rPr>
          <w:rFonts w:cs="Arial"/>
          <w:bCs/>
          <w:spacing w:val="-3"/>
        </w:rPr>
        <w:t>gestión</w:t>
      </w:r>
      <w:r w:rsidR="008265B9" w:rsidRPr="004068F6">
        <w:rPr>
          <w:rFonts w:cs="Arial"/>
          <w:bCs/>
          <w:spacing w:val="-3"/>
        </w:rPr>
        <w:t>, así como señalar la localización de los lugares de almacenamiento</w:t>
      </w:r>
      <w:r w:rsidR="00A466D3" w:rsidRPr="004068F6">
        <w:rPr>
          <w:rFonts w:cs="Arial"/>
          <w:bCs/>
          <w:spacing w:val="-3"/>
        </w:rPr>
        <w:t>, aprovechamiento</w:t>
      </w:r>
      <w:r w:rsidR="008265B9" w:rsidRPr="004068F6">
        <w:rPr>
          <w:rFonts w:cs="Arial"/>
          <w:bCs/>
          <w:spacing w:val="-3"/>
        </w:rPr>
        <w:t xml:space="preserve"> o disposición</w:t>
      </w:r>
      <w:r w:rsidR="00E660B0" w:rsidRPr="004068F6">
        <w:rPr>
          <w:rFonts w:cs="Arial"/>
          <w:bCs/>
          <w:spacing w:val="-3"/>
        </w:rPr>
        <w:t xml:space="preserve"> </w:t>
      </w:r>
      <w:r w:rsidR="009278F3" w:rsidRPr="004068F6">
        <w:rPr>
          <w:rFonts w:cs="Arial"/>
          <w:bCs/>
          <w:spacing w:val="-3"/>
        </w:rPr>
        <w:t xml:space="preserve">final </w:t>
      </w:r>
      <w:r w:rsidR="00E660B0" w:rsidRPr="004068F6">
        <w:rPr>
          <w:rFonts w:cs="Arial"/>
          <w:bCs/>
          <w:spacing w:val="-3"/>
        </w:rPr>
        <w:t xml:space="preserve">de acuerdo con </w:t>
      </w:r>
      <w:r w:rsidR="009278F3" w:rsidRPr="004068F6">
        <w:rPr>
          <w:rFonts w:cs="Arial"/>
          <w:bCs/>
          <w:spacing w:val="-3"/>
        </w:rPr>
        <w:t xml:space="preserve">lo establecido en </w:t>
      </w:r>
      <w:r w:rsidR="00E660B0" w:rsidRPr="004068F6">
        <w:rPr>
          <w:rFonts w:cs="Arial"/>
          <w:bCs/>
          <w:spacing w:val="-3"/>
        </w:rPr>
        <w:t xml:space="preserve">la normativa </w:t>
      </w:r>
      <w:r w:rsidR="006059CB" w:rsidRPr="004068F6">
        <w:rPr>
          <w:rFonts w:cs="Arial"/>
          <w:bCs/>
          <w:spacing w:val="-3"/>
        </w:rPr>
        <w:t>ambiental vigente</w:t>
      </w:r>
      <w:r w:rsidR="008265B9" w:rsidRPr="004068F6">
        <w:rPr>
          <w:rFonts w:cs="Arial"/>
          <w:bCs/>
          <w:spacing w:val="-3"/>
        </w:rPr>
        <w:t xml:space="preserve">. </w:t>
      </w:r>
      <w:r w:rsidRPr="004068F6">
        <w:rPr>
          <w:rFonts w:cs="Arial"/>
          <w:bCs/>
          <w:spacing w:val="-3"/>
        </w:rPr>
        <w:t>Igualmente, se debe</w:t>
      </w:r>
      <w:r w:rsidR="00855DF9" w:rsidRPr="004068F6">
        <w:rPr>
          <w:rFonts w:cs="Arial"/>
          <w:bCs/>
          <w:spacing w:val="-3"/>
        </w:rPr>
        <w:t>n</w:t>
      </w:r>
      <w:r w:rsidRPr="004068F6">
        <w:rPr>
          <w:rFonts w:cs="Arial"/>
          <w:bCs/>
          <w:spacing w:val="-3"/>
        </w:rPr>
        <w:t xml:space="preserve"> describir las actividades </w:t>
      </w:r>
      <w:r w:rsidR="000E56E9" w:rsidRPr="004068F6">
        <w:rPr>
          <w:rFonts w:cs="Arial"/>
          <w:bCs/>
          <w:spacing w:val="-3"/>
        </w:rPr>
        <w:t>que se tenga previsto ejecutar</w:t>
      </w:r>
      <w:r w:rsidRPr="004068F6">
        <w:rPr>
          <w:rFonts w:cs="Arial"/>
          <w:bCs/>
          <w:spacing w:val="-3"/>
        </w:rPr>
        <w:t xml:space="preserve"> en caso de que se quiera actuar como receptor de RCD </w:t>
      </w:r>
      <w:r w:rsidR="00855DF9" w:rsidRPr="004068F6">
        <w:rPr>
          <w:rFonts w:cs="Arial"/>
          <w:bCs/>
          <w:spacing w:val="-3"/>
        </w:rPr>
        <w:t>con el</w:t>
      </w:r>
      <w:r w:rsidRPr="004068F6">
        <w:rPr>
          <w:rFonts w:cs="Arial"/>
          <w:bCs/>
          <w:spacing w:val="-3"/>
        </w:rPr>
        <w:t xml:space="preserve"> fin de emplear este tipo de materiales para el desarrollo de las actividades del proyecto</w:t>
      </w:r>
      <w:r w:rsidR="0040172B" w:rsidRPr="004068F6">
        <w:rPr>
          <w:rFonts w:cs="Arial"/>
          <w:bCs/>
          <w:spacing w:val="-3"/>
        </w:rPr>
        <w:t>, obra o actividad</w:t>
      </w:r>
      <w:r w:rsidRPr="004068F6">
        <w:rPr>
          <w:rFonts w:cs="Arial"/>
          <w:bCs/>
          <w:spacing w:val="-3"/>
        </w:rPr>
        <w:t>.</w:t>
      </w:r>
    </w:p>
    <w:p w14:paraId="60560888" w14:textId="3F8DC994" w:rsidR="009871FB" w:rsidRPr="004068F6" w:rsidRDefault="009871FB" w:rsidP="000D6E21">
      <w:pPr>
        <w:rPr>
          <w:rFonts w:cs="Arial"/>
          <w:spacing w:val="-3"/>
        </w:rPr>
      </w:pPr>
    </w:p>
    <w:p w14:paraId="7CAE598F" w14:textId="77777777" w:rsidR="00921605" w:rsidRPr="004068F6" w:rsidRDefault="00921605" w:rsidP="009420F5"/>
    <w:p w14:paraId="2FCE5DBF" w14:textId="4588A8D0" w:rsidR="00BF79FC" w:rsidRPr="004068F6" w:rsidRDefault="00BF79FC" w:rsidP="00317B09">
      <w:pPr>
        <w:pStyle w:val="Ttulo1"/>
        <w:numPr>
          <w:ilvl w:val="0"/>
          <w:numId w:val="7"/>
        </w:numPr>
        <w:rPr>
          <w:lang w:val="es-CO"/>
        </w:rPr>
      </w:pPr>
      <w:bookmarkStart w:id="2531" w:name="_Ref415492844"/>
      <w:bookmarkStart w:id="2532" w:name="_Ref415492899"/>
      <w:bookmarkStart w:id="2533" w:name="_Toc437936009"/>
      <w:bookmarkStart w:id="2534" w:name="_Hlk153184728"/>
      <w:bookmarkStart w:id="2535" w:name="_Toc230879629"/>
      <w:r w:rsidRPr="004068F6">
        <w:rPr>
          <w:lang w:val="es-CO"/>
        </w:rPr>
        <w:t>ÁREA DE INFLUENCIA</w:t>
      </w:r>
      <w:bookmarkEnd w:id="2531"/>
      <w:bookmarkEnd w:id="2532"/>
      <w:bookmarkEnd w:id="2533"/>
      <w:bookmarkEnd w:id="2535"/>
    </w:p>
    <w:bookmarkEnd w:id="2534"/>
    <w:p w14:paraId="4B038B0D" w14:textId="5A458F6B" w:rsidR="005957C7" w:rsidRPr="004068F6" w:rsidRDefault="005957C7" w:rsidP="00C86DA5">
      <w:pPr>
        <w:rPr>
          <w:rFonts w:cs="Arial"/>
        </w:rPr>
      </w:pPr>
    </w:p>
    <w:p w14:paraId="3E1A6909" w14:textId="05DCD85C" w:rsidR="00077E48" w:rsidRPr="004068F6" w:rsidRDefault="00077E48" w:rsidP="00077E48">
      <w:pPr>
        <w:numPr>
          <w:ilvl w:val="12"/>
          <w:numId w:val="0"/>
        </w:numPr>
        <w:tabs>
          <w:tab w:val="left" w:pos="-2268"/>
        </w:tabs>
        <w:suppressAutoHyphens/>
        <w:rPr>
          <w:rFonts w:cs="Arial"/>
        </w:rPr>
      </w:pPr>
      <w:r w:rsidRPr="004068F6">
        <w:rPr>
          <w:rFonts w:cs="Arial"/>
        </w:rPr>
        <w:t xml:space="preserve">El área de influencia se define como el área en la cual se manifiestan de manera objetiva y en lo posible cuantificable, los impactos ambientales significativos </w:t>
      </w:r>
      <w:r w:rsidR="007F4556" w:rsidRPr="004068F6">
        <w:rPr>
          <w:rFonts w:cs="Arial"/>
        </w:rPr>
        <w:t xml:space="preserve">negativos </w:t>
      </w:r>
      <w:r w:rsidRPr="004068F6">
        <w:rPr>
          <w:rFonts w:cs="Arial"/>
        </w:rPr>
        <w:t xml:space="preserve">ocasionados por la ejecución de un proyecto, obra o actividad, sobre los medios abiótico, biótico y socioeconómico, en cada uno de los componentes de dichos medios. Debido a que las áreas de los impactos pueden variar dependiendo </w:t>
      </w:r>
      <w:r w:rsidRPr="004068F6">
        <w:rPr>
          <w:rFonts w:cs="Arial"/>
        </w:rPr>
        <w:lastRenderedPageBreak/>
        <w:t>del componente que se analice, el área de influencia podrá corresponder a varios polígonos distintos que se entrecrucen entre sí</w:t>
      </w:r>
      <w:r w:rsidRPr="004068F6">
        <w:rPr>
          <w:rStyle w:val="Refdenotaalpie"/>
          <w:rFonts w:cs="Arial"/>
          <w:lang w:val="es-CO"/>
        </w:rPr>
        <w:footnoteReference w:id="85"/>
      </w:r>
      <w:r w:rsidRPr="004068F6">
        <w:rPr>
          <w:rFonts w:cs="Arial"/>
        </w:rPr>
        <w:t>.</w:t>
      </w:r>
    </w:p>
    <w:p w14:paraId="163C411C" w14:textId="77777777" w:rsidR="00077E48" w:rsidRPr="004068F6" w:rsidRDefault="00077E48" w:rsidP="00077E48">
      <w:pPr>
        <w:numPr>
          <w:ilvl w:val="12"/>
          <w:numId w:val="0"/>
        </w:numPr>
        <w:tabs>
          <w:tab w:val="left" w:pos="-2268"/>
        </w:tabs>
        <w:suppressAutoHyphens/>
        <w:rPr>
          <w:rFonts w:cs="Arial"/>
        </w:rPr>
      </w:pPr>
    </w:p>
    <w:p w14:paraId="209A838D" w14:textId="77777777" w:rsidR="00077E48" w:rsidRPr="004068F6" w:rsidRDefault="00077E48" w:rsidP="00077E48">
      <w:pPr>
        <w:numPr>
          <w:ilvl w:val="12"/>
          <w:numId w:val="0"/>
        </w:numPr>
        <w:tabs>
          <w:tab w:val="left" w:pos="-2268"/>
        </w:tabs>
        <w:suppressAutoHyphens/>
        <w:rPr>
          <w:rFonts w:cs="Arial"/>
        </w:rPr>
      </w:pPr>
      <w:r w:rsidRPr="004068F6">
        <w:rPr>
          <w:rFonts w:cs="Arial"/>
        </w:rPr>
        <w:t>Partiendo de esta definición y con el propósito de orientar el ejercicio de delimitación del área de influencia de un proyecto, obra o actividad, se señalan los conceptos de ambiente y de impacto ambiental significativo:</w:t>
      </w:r>
    </w:p>
    <w:p w14:paraId="62B56A6C" w14:textId="77777777" w:rsidR="00077E48" w:rsidRPr="004068F6" w:rsidRDefault="00077E48" w:rsidP="00077E48">
      <w:pPr>
        <w:numPr>
          <w:ilvl w:val="12"/>
          <w:numId w:val="0"/>
        </w:numPr>
        <w:tabs>
          <w:tab w:val="left" w:pos="-2268"/>
        </w:tabs>
        <w:suppressAutoHyphens/>
        <w:rPr>
          <w:rFonts w:cs="Arial"/>
        </w:rPr>
      </w:pPr>
    </w:p>
    <w:p w14:paraId="64C0A5E5" w14:textId="77777777" w:rsidR="00077E48" w:rsidRPr="004068F6" w:rsidRDefault="00077E48" w:rsidP="00077E48">
      <w:pPr>
        <w:pStyle w:val="Prrafodelista"/>
        <w:numPr>
          <w:ilvl w:val="0"/>
          <w:numId w:val="546"/>
        </w:numPr>
        <w:ind w:left="567" w:hanging="567"/>
        <w:rPr>
          <w:rFonts w:cs="Arial"/>
          <w:lang w:val="es-CO"/>
        </w:rPr>
      </w:pPr>
      <w:r w:rsidRPr="004068F6">
        <w:rPr>
          <w:rFonts w:cs="Arial"/>
          <w:b/>
          <w:lang w:val="es-CO"/>
        </w:rPr>
        <w:t>Ambiente</w:t>
      </w:r>
      <w:r w:rsidRPr="004068F6">
        <w:rPr>
          <w:rFonts w:cs="Arial"/>
          <w:lang w:val="es-CO"/>
        </w:rPr>
        <w:t>:</w:t>
      </w:r>
      <w:r w:rsidRPr="004068F6">
        <w:rPr>
          <w:lang w:val="es-CO"/>
        </w:rPr>
        <w:t xml:space="preserve"> </w:t>
      </w:r>
      <w:r w:rsidRPr="004068F6">
        <w:rPr>
          <w:rFonts w:cs="Arial"/>
          <w:lang w:val="es-CO"/>
        </w:rPr>
        <w:t>comprende los elementos naturales, tanto físicos como biológicos, los elementos artificiales, sociales y culturales, y las interacciones de éstos entre sí.</w:t>
      </w:r>
    </w:p>
    <w:p w14:paraId="4DA93B46" w14:textId="77777777" w:rsidR="00077E48" w:rsidRPr="004068F6" w:rsidRDefault="00077E48" w:rsidP="00077E48">
      <w:pPr>
        <w:tabs>
          <w:tab w:val="left" w:pos="-2268"/>
        </w:tabs>
        <w:suppressAutoHyphens/>
        <w:rPr>
          <w:rFonts w:cs="Arial"/>
        </w:rPr>
      </w:pPr>
    </w:p>
    <w:p w14:paraId="7053DAA6" w14:textId="01A10E5F" w:rsidR="00077E48" w:rsidRPr="004068F6" w:rsidRDefault="00077E48" w:rsidP="00077E48">
      <w:pPr>
        <w:pStyle w:val="Prrafodelista"/>
        <w:numPr>
          <w:ilvl w:val="0"/>
          <w:numId w:val="546"/>
        </w:numPr>
        <w:ind w:left="567" w:hanging="567"/>
        <w:rPr>
          <w:rFonts w:cs="Arial"/>
          <w:lang w:val="es-CO"/>
        </w:rPr>
      </w:pPr>
      <w:r w:rsidRPr="004068F6">
        <w:rPr>
          <w:rFonts w:cs="Arial"/>
          <w:b/>
          <w:lang w:val="es-CO"/>
        </w:rPr>
        <w:t>Impacto ambiental significativo</w:t>
      </w:r>
      <w:r w:rsidR="007F4556" w:rsidRPr="004068F6">
        <w:rPr>
          <w:rFonts w:cs="Arial"/>
          <w:b/>
          <w:lang w:val="es-CO"/>
        </w:rPr>
        <w:t xml:space="preserve"> negativo</w:t>
      </w:r>
      <w:r w:rsidRPr="004068F6">
        <w:rPr>
          <w:rFonts w:cs="Arial"/>
          <w:lang w:val="es-CO"/>
        </w:rPr>
        <w:t xml:space="preserve">: </w:t>
      </w:r>
      <w:r w:rsidR="00D42E4F" w:rsidRPr="004068F6">
        <w:rPr>
          <w:rFonts w:cs="Arial"/>
        </w:rPr>
        <w:t xml:space="preserve">impacto que dada la sensibilidad ambiental del área en la que se manifiesta, </w:t>
      </w:r>
      <w:r w:rsidR="005D6D89" w:rsidRPr="004068F6">
        <w:rPr>
          <w:rFonts w:cs="Arial"/>
        </w:rPr>
        <w:t xml:space="preserve">genera una alteración de las condiciones ambientales que afecta su integridad y </w:t>
      </w:r>
      <w:r w:rsidR="005D6D89">
        <w:rPr>
          <w:rFonts w:cs="Arial"/>
        </w:rPr>
        <w:t xml:space="preserve">limita su </w:t>
      </w:r>
      <w:r w:rsidR="005D6D89" w:rsidRPr="004068F6">
        <w:rPr>
          <w:rFonts w:cs="Arial"/>
        </w:rPr>
        <w:t xml:space="preserve">capacidad </w:t>
      </w:r>
      <w:r w:rsidR="005D6D89">
        <w:rPr>
          <w:rFonts w:cs="Arial"/>
        </w:rPr>
        <w:t xml:space="preserve">para </w:t>
      </w:r>
      <w:r w:rsidR="005D6D89" w:rsidRPr="004068F6">
        <w:rPr>
          <w:rFonts w:cs="Arial"/>
        </w:rPr>
        <w:t xml:space="preserve">mantener </w:t>
      </w:r>
      <w:r w:rsidR="005D6D89">
        <w:rPr>
          <w:rFonts w:cs="Arial"/>
        </w:rPr>
        <w:t xml:space="preserve">la </w:t>
      </w:r>
      <w:r w:rsidR="005D6D89" w:rsidRPr="004068F6">
        <w:rPr>
          <w:rFonts w:cs="Arial"/>
        </w:rPr>
        <w:t>sostenibilidad ambiental</w:t>
      </w:r>
      <w:r w:rsidR="00D42E4F" w:rsidRPr="004068F6">
        <w:rPr>
          <w:rFonts w:cs="Arial"/>
        </w:rPr>
        <w:t>.</w:t>
      </w:r>
      <w:r w:rsidR="00D42E4F" w:rsidRPr="004068F6">
        <w:t xml:space="preserve"> S</w:t>
      </w:r>
      <w:r w:rsidR="00D42E4F" w:rsidRPr="004068F6">
        <w:rPr>
          <w:rFonts w:cs="Arial"/>
        </w:rPr>
        <w:t>e considera como impacto ambiental significativo negativo, a todo impacto negativo clasificado en las tres (3) categorías más altas de Potencial normalizado de modificación de las condiciones ambientales</w:t>
      </w:r>
      <w:r w:rsidR="0020074C" w:rsidRPr="004068F6">
        <w:rPr>
          <w:rFonts w:cs="Arial"/>
          <w:lang w:val="es-CO"/>
        </w:rPr>
        <w:t>.</w:t>
      </w:r>
    </w:p>
    <w:p w14:paraId="5BF7F38F" w14:textId="77777777" w:rsidR="00077E48" w:rsidRPr="004068F6" w:rsidRDefault="00077E48" w:rsidP="00077E48">
      <w:pPr>
        <w:rPr>
          <w:rFonts w:cs="Arial"/>
        </w:rPr>
      </w:pPr>
    </w:p>
    <w:p w14:paraId="5247AC4F" w14:textId="4085698B" w:rsidR="00077E48" w:rsidRPr="004068F6" w:rsidRDefault="00077E48" w:rsidP="00077E48">
      <w:pPr>
        <w:rPr>
          <w:rFonts w:cs="Arial"/>
        </w:rPr>
      </w:pPr>
      <w:r w:rsidRPr="004068F6">
        <w:rPr>
          <w:rFonts w:cs="Arial"/>
        </w:rPr>
        <w:t xml:space="preserve">La correcta delimitación del área de influencia de un proyecto, obra o actividad permite </w:t>
      </w:r>
      <w:r w:rsidR="00271624" w:rsidRPr="004068F6">
        <w:rPr>
          <w:rFonts w:cs="Arial"/>
        </w:rPr>
        <w:t>establ</w:t>
      </w:r>
      <w:r w:rsidR="000404AA" w:rsidRPr="004068F6">
        <w:rPr>
          <w:rFonts w:cs="Arial"/>
        </w:rPr>
        <w:t>e</w:t>
      </w:r>
      <w:r w:rsidR="00271624" w:rsidRPr="004068F6">
        <w:rPr>
          <w:rFonts w:cs="Arial"/>
        </w:rPr>
        <w:t xml:space="preserve">cer </w:t>
      </w:r>
      <w:r w:rsidRPr="004068F6">
        <w:rPr>
          <w:rFonts w:cs="Arial"/>
        </w:rPr>
        <w:t xml:space="preserve">el alcance geográfico de los impactos </w:t>
      </w:r>
      <w:r w:rsidR="001002B6" w:rsidRPr="004068F6">
        <w:rPr>
          <w:rFonts w:cs="Arial"/>
        </w:rPr>
        <w:t xml:space="preserve">ambientales </w:t>
      </w:r>
      <w:r w:rsidRPr="004068F6">
        <w:rPr>
          <w:rFonts w:cs="Arial"/>
        </w:rPr>
        <w:t xml:space="preserve">significativos </w:t>
      </w:r>
      <w:r w:rsidR="001002B6" w:rsidRPr="004068F6">
        <w:rPr>
          <w:rFonts w:cs="Arial"/>
        </w:rPr>
        <w:t xml:space="preserve">negativos </w:t>
      </w:r>
      <w:r w:rsidRPr="004068F6">
        <w:rPr>
          <w:rFonts w:cs="Arial"/>
        </w:rPr>
        <w:t>que éste genera en condiciones normales de desarrollo</w:t>
      </w:r>
      <w:r w:rsidRPr="004068F6">
        <w:rPr>
          <w:rStyle w:val="Refdenotaalpie"/>
          <w:rFonts w:cs="Arial"/>
          <w:lang w:val="es-CO"/>
        </w:rPr>
        <w:footnoteReference w:id="86"/>
      </w:r>
      <w:r w:rsidRPr="004068F6">
        <w:rPr>
          <w:rFonts w:cs="Arial"/>
        </w:rPr>
        <w:t xml:space="preserve">, facilita su evaluación y la subsecuente calificación de viabilidad ambiental, y en caso de ejecutarse, circunscribe el territorio sobre el que debe concentrarse el seguimiento ambiental del mismo. Dicho proceso de </w:t>
      </w:r>
      <w:r w:rsidR="00A51056" w:rsidRPr="004068F6">
        <w:rPr>
          <w:rFonts w:cs="Arial"/>
        </w:rPr>
        <w:t xml:space="preserve">delimitación </w:t>
      </w:r>
      <w:r w:rsidRPr="004068F6">
        <w:rPr>
          <w:rFonts w:cs="Arial"/>
        </w:rPr>
        <w:t xml:space="preserve">del área de influencia requiere de un estudio integral del estado </w:t>
      </w:r>
      <w:r w:rsidR="00D22615" w:rsidRPr="004068F6">
        <w:rPr>
          <w:rFonts w:cs="Arial"/>
        </w:rPr>
        <w:t xml:space="preserve">de las condiciones </w:t>
      </w:r>
      <w:r w:rsidRPr="004068F6">
        <w:rPr>
          <w:rFonts w:cs="Arial"/>
        </w:rPr>
        <w:t>del ambiente previas a la ejecución del proyecto.</w:t>
      </w:r>
    </w:p>
    <w:p w14:paraId="22AA3A1A" w14:textId="77777777" w:rsidR="00077E48" w:rsidRPr="004068F6" w:rsidRDefault="00077E48" w:rsidP="00077E48">
      <w:pPr>
        <w:rPr>
          <w:rFonts w:cs="Arial"/>
        </w:rPr>
      </w:pPr>
    </w:p>
    <w:p w14:paraId="7783C465" w14:textId="325BE8A5" w:rsidR="00077E48" w:rsidRPr="004068F6" w:rsidRDefault="00077E48" w:rsidP="00077E48">
      <w:pPr>
        <w:numPr>
          <w:ilvl w:val="12"/>
          <w:numId w:val="0"/>
        </w:numPr>
        <w:tabs>
          <w:tab w:val="left" w:pos="-2268"/>
        </w:tabs>
        <w:suppressAutoHyphens/>
        <w:rPr>
          <w:rFonts w:cs="Arial"/>
          <w:spacing w:val="-3"/>
        </w:rPr>
      </w:pPr>
      <w:r w:rsidRPr="004068F6">
        <w:rPr>
          <w:rFonts w:cs="Arial"/>
        </w:rPr>
        <w:t xml:space="preserve">La importancia de una adecuada delimitación del área de </w:t>
      </w:r>
      <w:r w:rsidR="008B4E79" w:rsidRPr="004068F6">
        <w:rPr>
          <w:rFonts w:cs="Arial"/>
        </w:rPr>
        <w:t>influencia</w:t>
      </w:r>
      <w:r w:rsidRPr="004068F6">
        <w:rPr>
          <w:rFonts w:cs="Arial"/>
        </w:rPr>
        <w:t xml:space="preserve"> también radica en la estrecha relación que guarda con la caracterización ambiental y la </w:t>
      </w:r>
      <w:r w:rsidRPr="004068F6">
        <w:rPr>
          <w:rFonts w:cs="Arial"/>
          <w:spacing w:val="-3"/>
        </w:rPr>
        <w:t xml:space="preserve">evaluación ambiental, </w:t>
      </w:r>
      <w:r w:rsidRPr="004068F6">
        <w:rPr>
          <w:rFonts w:cs="Arial"/>
        </w:rPr>
        <w:t>procesos que d</w:t>
      </w:r>
      <w:r w:rsidRPr="004068F6">
        <w:rPr>
          <w:rFonts w:cs="Arial"/>
          <w:spacing w:val="-3"/>
        </w:rPr>
        <w:t>ependen los unos de los otros y que han de realizarse de forma conjunta e iterativa hasta determinar una superficie que cumpla con la definición de área de influencia.</w:t>
      </w:r>
    </w:p>
    <w:p w14:paraId="15124570" w14:textId="77777777" w:rsidR="00077E48" w:rsidRPr="004068F6" w:rsidRDefault="00077E48" w:rsidP="00077E48">
      <w:pPr>
        <w:numPr>
          <w:ilvl w:val="12"/>
          <w:numId w:val="0"/>
        </w:numPr>
        <w:tabs>
          <w:tab w:val="left" w:pos="-2268"/>
        </w:tabs>
        <w:suppressAutoHyphens/>
        <w:rPr>
          <w:rFonts w:cs="Arial"/>
          <w:spacing w:val="-3"/>
        </w:rPr>
      </w:pPr>
    </w:p>
    <w:p w14:paraId="78FE9EFE" w14:textId="3DDA17E4" w:rsidR="00077E48" w:rsidRPr="004068F6" w:rsidRDefault="00077E48" w:rsidP="00077E48">
      <w:pPr>
        <w:numPr>
          <w:ilvl w:val="12"/>
          <w:numId w:val="0"/>
        </w:numPr>
        <w:tabs>
          <w:tab w:val="left" w:pos="-2268"/>
        </w:tabs>
        <w:suppressAutoHyphens/>
        <w:rPr>
          <w:rFonts w:cs="Arial"/>
        </w:rPr>
      </w:pPr>
      <w:r w:rsidRPr="004068F6">
        <w:rPr>
          <w:rFonts w:cs="Arial"/>
        </w:rPr>
        <w:t xml:space="preserve">Con el objeto de emprender los procesos de caracterización, zonificación y evaluación ambiental, así como el </w:t>
      </w:r>
      <w:r w:rsidR="00EC6AE2" w:rsidRPr="004068F6">
        <w:rPr>
          <w:rFonts w:cs="Arial"/>
        </w:rPr>
        <w:t xml:space="preserve">de </w:t>
      </w:r>
      <w:r w:rsidRPr="004068F6">
        <w:rPr>
          <w:rFonts w:cs="Arial"/>
        </w:rPr>
        <w:t xml:space="preserve">manejo y seguimiento ambiental del proyecto, obra o actividad durante su ejecución de forma precisa y eficiente, se ha previsto que la delimitación del área de influencia deba realizarse para cada una de las subdivisiones que conforman el ambiente, </w:t>
      </w:r>
      <w:r w:rsidR="00225DFC">
        <w:rPr>
          <w:rFonts w:cs="Arial"/>
        </w:rPr>
        <w:t>por ejemplo</w:t>
      </w:r>
      <w:r w:rsidRPr="004068F6">
        <w:rPr>
          <w:rFonts w:cs="Arial"/>
        </w:rPr>
        <w:t xml:space="preserve">, </w:t>
      </w:r>
      <w:r w:rsidR="00775819" w:rsidRPr="00127BD4">
        <w:rPr>
          <w:rFonts w:cs="Arial"/>
        </w:rPr>
        <w:t xml:space="preserve">factores, </w:t>
      </w:r>
      <w:r w:rsidRPr="004068F6">
        <w:rPr>
          <w:rFonts w:cs="Arial"/>
        </w:rPr>
        <w:t>componentes</w:t>
      </w:r>
      <w:r w:rsidR="0072132F" w:rsidRPr="004068F6">
        <w:rPr>
          <w:rFonts w:cs="Arial"/>
        </w:rPr>
        <w:t xml:space="preserve"> </w:t>
      </w:r>
      <w:r w:rsidRPr="004068F6">
        <w:rPr>
          <w:rFonts w:cs="Arial"/>
        </w:rPr>
        <w:t>y medios.</w:t>
      </w:r>
    </w:p>
    <w:p w14:paraId="5B267726" w14:textId="77777777" w:rsidR="00077E48" w:rsidRPr="004068F6" w:rsidRDefault="00077E48" w:rsidP="00077E48">
      <w:pPr>
        <w:numPr>
          <w:ilvl w:val="12"/>
          <w:numId w:val="0"/>
        </w:numPr>
        <w:tabs>
          <w:tab w:val="left" w:pos="-2268"/>
        </w:tabs>
        <w:suppressAutoHyphens/>
        <w:rPr>
          <w:rFonts w:cs="Arial"/>
        </w:rPr>
      </w:pPr>
    </w:p>
    <w:p w14:paraId="6DB5D6D3" w14:textId="664F9BB6" w:rsidR="00077E48" w:rsidRPr="004068F6" w:rsidRDefault="00077E48" w:rsidP="00077E48">
      <w:pPr>
        <w:numPr>
          <w:ilvl w:val="12"/>
          <w:numId w:val="0"/>
        </w:numPr>
        <w:tabs>
          <w:tab w:val="left" w:pos="-2268"/>
        </w:tabs>
        <w:suppressAutoHyphens/>
        <w:rPr>
          <w:rFonts w:cs="Arial"/>
        </w:rPr>
      </w:pPr>
      <w:r w:rsidRPr="004068F6">
        <w:rPr>
          <w:rFonts w:cs="Arial"/>
        </w:rPr>
        <w:t xml:space="preserve">Esta </w:t>
      </w:r>
      <w:r w:rsidR="00EF477E" w:rsidRPr="004068F6">
        <w:rPr>
          <w:rFonts w:cs="Arial"/>
        </w:rPr>
        <w:t xml:space="preserve">propiedad </w:t>
      </w:r>
      <w:r w:rsidRPr="004068F6">
        <w:rPr>
          <w:rFonts w:cs="Arial"/>
        </w:rPr>
        <w:t xml:space="preserve">tiene la virtud de </w:t>
      </w:r>
      <w:r w:rsidR="00C202A2">
        <w:rPr>
          <w:rFonts w:cs="Arial"/>
        </w:rPr>
        <w:t xml:space="preserve">permitir </w:t>
      </w:r>
      <w:r w:rsidRPr="004068F6">
        <w:rPr>
          <w:rFonts w:cs="Arial"/>
        </w:rPr>
        <w:t>que la caracterización ambiental, así como la formulación de medidas de manejo y, más adelante, en el escenario de ejecución del proyecto, la realización de actividades de manejo y de seguimiento ambiental</w:t>
      </w:r>
      <w:r w:rsidR="00AE3933">
        <w:rPr>
          <w:rFonts w:cs="Arial"/>
        </w:rPr>
        <w:t>,</w:t>
      </w:r>
      <w:r w:rsidRPr="004068F6">
        <w:rPr>
          <w:rFonts w:cs="Arial"/>
        </w:rPr>
        <w:t xml:space="preserve"> se enfoquen en las áreas de influencia de los </w:t>
      </w:r>
      <w:r w:rsidR="008248A2" w:rsidRPr="004068F6">
        <w:rPr>
          <w:rFonts w:cs="Arial"/>
        </w:rPr>
        <w:t xml:space="preserve">factores o de los componentes </w:t>
      </w:r>
      <w:r w:rsidRPr="004068F6">
        <w:rPr>
          <w:rFonts w:cs="Arial"/>
        </w:rPr>
        <w:t>en las que específicamente apliquen.</w:t>
      </w:r>
    </w:p>
    <w:p w14:paraId="73FF5DAD" w14:textId="77777777" w:rsidR="00077E48" w:rsidRPr="004068F6" w:rsidRDefault="00077E48" w:rsidP="00077E48">
      <w:pPr>
        <w:numPr>
          <w:ilvl w:val="12"/>
          <w:numId w:val="0"/>
        </w:numPr>
        <w:tabs>
          <w:tab w:val="left" w:pos="-2268"/>
        </w:tabs>
        <w:suppressAutoHyphens/>
        <w:rPr>
          <w:rFonts w:cs="Arial"/>
        </w:rPr>
      </w:pPr>
    </w:p>
    <w:p w14:paraId="26B9ADCF" w14:textId="2125C792" w:rsidR="00077E48" w:rsidRPr="004068F6" w:rsidRDefault="00077E48" w:rsidP="00077E48">
      <w:pPr>
        <w:numPr>
          <w:ilvl w:val="12"/>
          <w:numId w:val="0"/>
        </w:numPr>
        <w:tabs>
          <w:tab w:val="left" w:pos="-2268"/>
        </w:tabs>
        <w:suppressAutoHyphens/>
        <w:rPr>
          <w:rFonts w:cs="Arial"/>
          <w:spacing w:val="-3"/>
        </w:rPr>
      </w:pPr>
      <w:r w:rsidRPr="004068F6">
        <w:rPr>
          <w:rFonts w:cs="Arial"/>
        </w:rPr>
        <w:t xml:space="preserve">En todo caso, es importante tener presente que el área de </w:t>
      </w:r>
      <w:r w:rsidRPr="004068F6">
        <w:rPr>
          <w:rFonts w:cs="Arial"/>
          <w:i/>
        </w:rPr>
        <w:t>influencia del proyecto, obra o actividad</w:t>
      </w:r>
      <w:r w:rsidRPr="004068F6">
        <w:rPr>
          <w:rFonts w:cs="Arial"/>
        </w:rPr>
        <w:t xml:space="preserve">, es decir, el área en la que se manifiestan los impactos ambientales significativos que ocasionan las actividades que se desarrollan durante todas sus </w:t>
      </w:r>
      <w:r w:rsidR="00834E16">
        <w:rPr>
          <w:spacing w:val="-3"/>
        </w:rPr>
        <w:t>etapas</w:t>
      </w:r>
      <w:r w:rsidR="00834E16" w:rsidRPr="004068F6" w:rsidDel="00834E16">
        <w:rPr>
          <w:rFonts w:cs="Arial"/>
        </w:rPr>
        <w:t xml:space="preserve"> </w:t>
      </w:r>
      <w:r w:rsidRPr="004068F6">
        <w:rPr>
          <w:rFonts w:cs="Arial"/>
        </w:rPr>
        <w:t xml:space="preserve">de </w:t>
      </w:r>
      <w:r w:rsidR="000B248C" w:rsidRPr="004068F6">
        <w:rPr>
          <w:rFonts w:cs="Arial"/>
        </w:rPr>
        <w:t>ejecución</w:t>
      </w:r>
      <w:r w:rsidRPr="004068F6">
        <w:rPr>
          <w:rFonts w:cs="Arial"/>
        </w:rPr>
        <w:t>, espacialmente corresponde a la integración</w:t>
      </w:r>
      <w:r w:rsidRPr="004068F6">
        <w:rPr>
          <w:rStyle w:val="Refdenotaalpie"/>
          <w:rFonts w:cs="Arial"/>
          <w:lang w:val="es-CO"/>
        </w:rPr>
        <w:footnoteReference w:id="87"/>
      </w:r>
      <w:r w:rsidRPr="004068F6" w:rsidDel="008117A5">
        <w:rPr>
          <w:rFonts w:cs="Arial"/>
        </w:rPr>
        <w:t xml:space="preserve"> </w:t>
      </w:r>
      <w:r w:rsidRPr="004068F6">
        <w:rPr>
          <w:rFonts w:cs="Arial"/>
        </w:rPr>
        <w:t xml:space="preserve">de las áreas de influencia de los </w:t>
      </w:r>
      <w:r w:rsidR="008248A2" w:rsidRPr="004068F6">
        <w:rPr>
          <w:rFonts w:cs="Arial"/>
        </w:rPr>
        <w:t xml:space="preserve">factores, </w:t>
      </w:r>
      <w:r w:rsidRPr="004068F6">
        <w:rPr>
          <w:rFonts w:cs="Arial"/>
        </w:rPr>
        <w:t xml:space="preserve">componentes y medios que se identifiquen en cada caso. De </w:t>
      </w:r>
      <w:r w:rsidR="00ED1027" w:rsidRPr="004068F6">
        <w:rPr>
          <w:rFonts w:cs="Arial"/>
        </w:rPr>
        <w:t xml:space="preserve">esta </w:t>
      </w:r>
      <w:r w:rsidRPr="004068F6">
        <w:rPr>
          <w:rFonts w:cs="Arial"/>
        </w:rPr>
        <w:t>forma</w:t>
      </w:r>
      <w:r w:rsidR="00ED1027" w:rsidRPr="004068F6">
        <w:rPr>
          <w:rFonts w:cs="Arial"/>
        </w:rPr>
        <w:t>,</w:t>
      </w:r>
      <w:r w:rsidRPr="004068F6">
        <w:rPr>
          <w:rFonts w:cs="Arial"/>
        </w:rPr>
        <w:t xml:space="preserve"> el área de influencia del proyecto</w:t>
      </w:r>
      <w:r w:rsidR="00BC2EE3" w:rsidRPr="004068F6">
        <w:rPr>
          <w:rFonts w:cs="Arial"/>
        </w:rPr>
        <w:t>, obra o actividad</w:t>
      </w:r>
      <w:r w:rsidRPr="004068F6">
        <w:rPr>
          <w:rFonts w:cs="Arial"/>
        </w:rPr>
        <w:t xml:space="preserve"> es una única área </w:t>
      </w:r>
      <w:r w:rsidRPr="004068F6">
        <w:rPr>
          <w:rFonts w:cs="Arial"/>
          <w:spacing w:val="-3"/>
        </w:rPr>
        <w:t xml:space="preserve">que se obtiene al integrar las áreas de influencia de todos los </w:t>
      </w:r>
      <w:r w:rsidR="00261FF7" w:rsidRPr="004068F6">
        <w:rPr>
          <w:rFonts w:cs="Arial"/>
          <w:spacing w:val="-3"/>
        </w:rPr>
        <w:t xml:space="preserve">factores </w:t>
      </w:r>
      <w:r w:rsidRPr="004068F6">
        <w:rPr>
          <w:rFonts w:cs="Arial"/>
          <w:spacing w:val="-3"/>
        </w:rPr>
        <w:t>ambientales, razón por la cual puede corresponder a un área discontinua conformada por varios polígonos</w:t>
      </w:r>
      <w:r w:rsidR="0070090D" w:rsidRPr="004068F6">
        <w:rPr>
          <w:rFonts w:cs="Arial"/>
          <w:spacing w:val="-3"/>
        </w:rPr>
        <w:t xml:space="preserve"> que incluso puede abarcar zonas fuera de los límites territoriales del país</w:t>
      </w:r>
      <w:r w:rsidRPr="004068F6">
        <w:rPr>
          <w:rFonts w:cs="Arial"/>
          <w:spacing w:val="-3"/>
        </w:rPr>
        <w:t>.</w:t>
      </w:r>
    </w:p>
    <w:p w14:paraId="64831094" w14:textId="77777777" w:rsidR="00B1286D" w:rsidRPr="004068F6" w:rsidRDefault="00B1286D" w:rsidP="00077E48">
      <w:pPr>
        <w:numPr>
          <w:ilvl w:val="12"/>
          <w:numId w:val="0"/>
        </w:numPr>
        <w:tabs>
          <w:tab w:val="left" w:pos="-2268"/>
        </w:tabs>
        <w:suppressAutoHyphens/>
        <w:rPr>
          <w:rFonts w:cs="Arial"/>
          <w:spacing w:val="-3"/>
        </w:rPr>
      </w:pPr>
    </w:p>
    <w:p w14:paraId="170D13D7" w14:textId="673D604D" w:rsidR="005A21EE" w:rsidRPr="004068F6" w:rsidRDefault="003478A4" w:rsidP="00077E48">
      <w:pPr>
        <w:numPr>
          <w:ilvl w:val="12"/>
          <w:numId w:val="0"/>
        </w:numPr>
        <w:tabs>
          <w:tab w:val="left" w:pos="-2268"/>
        </w:tabs>
        <w:suppressAutoHyphens/>
        <w:rPr>
          <w:szCs w:val="20"/>
        </w:rPr>
      </w:pPr>
      <w:r w:rsidRPr="004068F6">
        <w:rPr>
          <w:szCs w:val="20"/>
        </w:rPr>
        <w:t xml:space="preserve">El propósito de </w:t>
      </w:r>
      <w:r w:rsidR="00057967" w:rsidRPr="004068F6">
        <w:rPr>
          <w:szCs w:val="20"/>
        </w:rPr>
        <w:t xml:space="preserve">que el área de influencia </w:t>
      </w:r>
      <w:r w:rsidR="00BB13F9" w:rsidRPr="004068F6">
        <w:rPr>
          <w:szCs w:val="20"/>
        </w:rPr>
        <w:t xml:space="preserve">del proyecto </w:t>
      </w:r>
      <w:r w:rsidR="00057967" w:rsidRPr="004068F6">
        <w:rPr>
          <w:szCs w:val="20"/>
        </w:rPr>
        <w:t>esté co</w:t>
      </w:r>
      <w:r w:rsidR="00BB13F9" w:rsidRPr="004068F6">
        <w:rPr>
          <w:szCs w:val="20"/>
        </w:rPr>
        <w:t xml:space="preserve">nformada </w:t>
      </w:r>
      <w:r w:rsidR="00057967" w:rsidRPr="004068F6">
        <w:rPr>
          <w:szCs w:val="20"/>
        </w:rPr>
        <w:t xml:space="preserve">por las áreas de influencia de </w:t>
      </w:r>
      <w:r w:rsidR="007C79FD" w:rsidRPr="004068F6">
        <w:rPr>
          <w:szCs w:val="20"/>
        </w:rPr>
        <w:t xml:space="preserve">las categorías de </w:t>
      </w:r>
      <w:r w:rsidR="00057967" w:rsidRPr="004068F6">
        <w:rPr>
          <w:szCs w:val="20"/>
        </w:rPr>
        <w:t>los elementos que hacen parte del ambiente (factor</w:t>
      </w:r>
      <w:r w:rsidR="00CA3F76" w:rsidRPr="004068F6">
        <w:rPr>
          <w:szCs w:val="20"/>
        </w:rPr>
        <w:t>es</w:t>
      </w:r>
      <w:r w:rsidR="00057967" w:rsidRPr="004068F6">
        <w:rPr>
          <w:szCs w:val="20"/>
        </w:rPr>
        <w:t>, componente</w:t>
      </w:r>
      <w:r w:rsidR="00CA3F76" w:rsidRPr="004068F6">
        <w:rPr>
          <w:szCs w:val="20"/>
        </w:rPr>
        <w:t xml:space="preserve">s y </w:t>
      </w:r>
      <w:r w:rsidR="00057967" w:rsidRPr="004068F6">
        <w:rPr>
          <w:szCs w:val="20"/>
        </w:rPr>
        <w:t>medio</w:t>
      </w:r>
      <w:r w:rsidR="00CA3F76" w:rsidRPr="004068F6">
        <w:rPr>
          <w:szCs w:val="20"/>
        </w:rPr>
        <w:t>s</w:t>
      </w:r>
      <w:r w:rsidR="00057967" w:rsidRPr="004068F6">
        <w:rPr>
          <w:szCs w:val="20"/>
        </w:rPr>
        <w:t>),</w:t>
      </w:r>
      <w:r w:rsidR="00CA3F76" w:rsidRPr="004068F6">
        <w:rPr>
          <w:szCs w:val="20"/>
        </w:rPr>
        <w:t xml:space="preserve"> es </w:t>
      </w:r>
      <w:r w:rsidR="001C1F84" w:rsidRPr="004068F6">
        <w:rPr>
          <w:szCs w:val="20"/>
        </w:rPr>
        <w:t xml:space="preserve">captar las </w:t>
      </w:r>
      <w:r w:rsidR="00AA2618" w:rsidRPr="004068F6">
        <w:rPr>
          <w:szCs w:val="20"/>
        </w:rPr>
        <w:t xml:space="preserve">características </w:t>
      </w:r>
      <w:r w:rsidR="001C1F84" w:rsidRPr="004068F6">
        <w:rPr>
          <w:szCs w:val="20"/>
        </w:rPr>
        <w:t>de cada un</w:t>
      </w:r>
      <w:r w:rsidR="009C64F6" w:rsidRPr="004068F6">
        <w:rPr>
          <w:szCs w:val="20"/>
        </w:rPr>
        <w:t>a</w:t>
      </w:r>
      <w:r w:rsidR="001C1F84" w:rsidRPr="004068F6">
        <w:rPr>
          <w:szCs w:val="20"/>
        </w:rPr>
        <w:t xml:space="preserve"> de es</w:t>
      </w:r>
      <w:r w:rsidR="009C64F6" w:rsidRPr="004068F6">
        <w:rPr>
          <w:szCs w:val="20"/>
        </w:rPr>
        <w:t>a</w:t>
      </w:r>
      <w:r w:rsidR="001C1F84" w:rsidRPr="004068F6">
        <w:rPr>
          <w:szCs w:val="20"/>
        </w:rPr>
        <w:t xml:space="preserve">s </w:t>
      </w:r>
      <w:r w:rsidR="009C64F6" w:rsidRPr="004068F6">
        <w:rPr>
          <w:szCs w:val="20"/>
        </w:rPr>
        <w:t xml:space="preserve">categorías </w:t>
      </w:r>
      <w:r w:rsidR="001C1F84" w:rsidRPr="004068F6">
        <w:rPr>
          <w:szCs w:val="20"/>
        </w:rPr>
        <w:t xml:space="preserve">y </w:t>
      </w:r>
      <w:r w:rsidR="00AA2618" w:rsidRPr="004068F6">
        <w:rPr>
          <w:szCs w:val="20"/>
        </w:rPr>
        <w:t xml:space="preserve">a partir de ello </w:t>
      </w:r>
      <w:r w:rsidR="00CA3F76" w:rsidRPr="004068F6">
        <w:rPr>
          <w:szCs w:val="20"/>
        </w:rPr>
        <w:t xml:space="preserve">desarrollar un </w:t>
      </w:r>
      <w:r w:rsidR="001C1F84" w:rsidRPr="004068F6">
        <w:rPr>
          <w:szCs w:val="20"/>
        </w:rPr>
        <w:t xml:space="preserve">proceso detallado </w:t>
      </w:r>
      <w:r w:rsidR="003D5DAE" w:rsidRPr="004068F6">
        <w:rPr>
          <w:szCs w:val="20"/>
        </w:rPr>
        <w:t>y particularizado</w:t>
      </w:r>
      <w:r w:rsidR="00083D63" w:rsidRPr="004068F6">
        <w:rPr>
          <w:szCs w:val="20"/>
        </w:rPr>
        <w:t>.</w:t>
      </w:r>
    </w:p>
    <w:p w14:paraId="1F4077AE" w14:textId="77777777" w:rsidR="005A21EE" w:rsidRPr="004068F6" w:rsidRDefault="005A21EE" w:rsidP="00077E48">
      <w:pPr>
        <w:numPr>
          <w:ilvl w:val="12"/>
          <w:numId w:val="0"/>
        </w:numPr>
        <w:tabs>
          <w:tab w:val="left" w:pos="-2268"/>
        </w:tabs>
        <w:suppressAutoHyphens/>
        <w:rPr>
          <w:szCs w:val="20"/>
        </w:rPr>
      </w:pPr>
    </w:p>
    <w:p w14:paraId="28F7AF25" w14:textId="14B7235B" w:rsidR="005A21EE" w:rsidRPr="004068F6" w:rsidRDefault="00CD2A36" w:rsidP="00077E48">
      <w:pPr>
        <w:numPr>
          <w:ilvl w:val="12"/>
          <w:numId w:val="0"/>
        </w:numPr>
        <w:tabs>
          <w:tab w:val="left" w:pos="-2268"/>
        </w:tabs>
        <w:suppressAutoHyphens/>
        <w:rPr>
          <w:szCs w:val="20"/>
        </w:rPr>
      </w:pPr>
      <w:r w:rsidRPr="004068F6">
        <w:rPr>
          <w:szCs w:val="20"/>
        </w:rPr>
        <w:t>M</w:t>
      </w:r>
      <w:r w:rsidR="00B33879" w:rsidRPr="004068F6">
        <w:rPr>
          <w:szCs w:val="20"/>
        </w:rPr>
        <w:t>ediante est</w:t>
      </w:r>
      <w:r w:rsidR="00F60E88" w:rsidRPr="004068F6">
        <w:rPr>
          <w:szCs w:val="20"/>
        </w:rPr>
        <w:t xml:space="preserve">a estructura lógica, </w:t>
      </w:r>
      <w:r w:rsidR="0031075C" w:rsidRPr="004068F6">
        <w:rPr>
          <w:szCs w:val="20"/>
        </w:rPr>
        <w:t xml:space="preserve">el abordaje de </w:t>
      </w:r>
      <w:r w:rsidR="00F60E88" w:rsidRPr="004068F6">
        <w:rPr>
          <w:szCs w:val="20"/>
        </w:rPr>
        <w:t xml:space="preserve">procesos </w:t>
      </w:r>
      <w:r w:rsidR="008F7A25" w:rsidRPr="004068F6">
        <w:rPr>
          <w:szCs w:val="20"/>
        </w:rPr>
        <w:t xml:space="preserve">como la </w:t>
      </w:r>
      <w:r w:rsidR="00F60E88" w:rsidRPr="004068F6">
        <w:rPr>
          <w:szCs w:val="20"/>
        </w:rPr>
        <w:t xml:space="preserve">caracterización ambiental, zonificación ambiental, zonificación de manejo ambiental, </w:t>
      </w:r>
      <w:r w:rsidR="00CE2FC8" w:rsidRPr="004068F6">
        <w:rPr>
          <w:szCs w:val="20"/>
        </w:rPr>
        <w:t>evaluación</w:t>
      </w:r>
      <w:r w:rsidR="00F60E88" w:rsidRPr="004068F6">
        <w:rPr>
          <w:szCs w:val="20"/>
        </w:rPr>
        <w:t xml:space="preserve"> ambiental, formulación de planes </w:t>
      </w:r>
      <w:r w:rsidR="0026370B" w:rsidRPr="004068F6">
        <w:rPr>
          <w:szCs w:val="20"/>
        </w:rPr>
        <w:t>y medidas de manejo</w:t>
      </w:r>
      <w:r w:rsidR="008F7A25" w:rsidRPr="004068F6">
        <w:rPr>
          <w:szCs w:val="20"/>
        </w:rPr>
        <w:t>, entre otr</w:t>
      </w:r>
      <w:r w:rsidR="00954779" w:rsidRPr="004068F6">
        <w:rPr>
          <w:szCs w:val="20"/>
        </w:rPr>
        <w:t>o</w:t>
      </w:r>
      <w:r w:rsidR="008F7A25" w:rsidRPr="004068F6">
        <w:rPr>
          <w:szCs w:val="20"/>
        </w:rPr>
        <w:t xml:space="preserve">s, </w:t>
      </w:r>
      <w:r w:rsidR="00713C09" w:rsidRPr="004068F6">
        <w:rPr>
          <w:szCs w:val="20"/>
        </w:rPr>
        <w:t xml:space="preserve">se </w:t>
      </w:r>
      <w:r w:rsidR="00954779" w:rsidRPr="004068F6">
        <w:rPr>
          <w:szCs w:val="20"/>
        </w:rPr>
        <w:t xml:space="preserve">orienta </w:t>
      </w:r>
      <w:r w:rsidR="0026370B" w:rsidRPr="004068F6">
        <w:rPr>
          <w:szCs w:val="20"/>
        </w:rPr>
        <w:t xml:space="preserve">a un área específica del territorio; por ejemplo, </w:t>
      </w:r>
      <w:r w:rsidR="00FA642E" w:rsidRPr="004068F6">
        <w:rPr>
          <w:szCs w:val="20"/>
        </w:rPr>
        <w:t xml:space="preserve">si los impactos significativos del proyecto se manifiestan </w:t>
      </w:r>
      <w:r w:rsidR="00225AD9" w:rsidRPr="004068F6">
        <w:rPr>
          <w:szCs w:val="20"/>
        </w:rPr>
        <w:t xml:space="preserve">en </w:t>
      </w:r>
      <w:r w:rsidR="00FA642E" w:rsidRPr="004068F6">
        <w:rPr>
          <w:szCs w:val="20"/>
        </w:rPr>
        <w:t>área</w:t>
      </w:r>
      <w:r w:rsidR="00225AD9" w:rsidRPr="004068F6">
        <w:rPr>
          <w:szCs w:val="20"/>
        </w:rPr>
        <w:t>s</w:t>
      </w:r>
      <w:r w:rsidR="00FA642E" w:rsidRPr="004068F6">
        <w:rPr>
          <w:szCs w:val="20"/>
        </w:rPr>
        <w:t xml:space="preserve"> </w:t>
      </w:r>
      <w:r w:rsidR="00225AD9" w:rsidRPr="004068F6">
        <w:rPr>
          <w:szCs w:val="20"/>
        </w:rPr>
        <w:t xml:space="preserve">diferentes para </w:t>
      </w:r>
      <w:r w:rsidR="00A40C3C" w:rsidRPr="004068F6">
        <w:rPr>
          <w:szCs w:val="20"/>
        </w:rPr>
        <w:t xml:space="preserve">los </w:t>
      </w:r>
      <w:r w:rsidR="00FA642E" w:rsidRPr="004068F6">
        <w:rPr>
          <w:szCs w:val="20"/>
        </w:rPr>
        <w:t>factor</w:t>
      </w:r>
      <w:r w:rsidR="00A40C3C" w:rsidRPr="004068F6">
        <w:rPr>
          <w:szCs w:val="20"/>
        </w:rPr>
        <w:t>es</w:t>
      </w:r>
      <w:r w:rsidR="00FA642E" w:rsidRPr="004068F6">
        <w:rPr>
          <w:szCs w:val="20"/>
        </w:rPr>
        <w:t xml:space="preserve"> </w:t>
      </w:r>
      <w:r w:rsidR="00A40C3C" w:rsidRPr="00127BD4">
        <w:rPr>
          <w:i/>
          <w:iCs/>
          <w:szCs w:val="20"/>
        </w:rPr>
        <w:t>fauna</w:t>
      </w:r>
      <w:r w:rsidR="00A40C3C" w:rsidRPr="004068F6">
        <w:rPr>
          <w:szCs w:val="20"/>
        </w:rPr>
        <w:t xml:space="preserve"> y </w:t>
      </w:r>
      <w:r w:rsidR="00A40C3C" w:rsidRPr="00127BD4">
        <w:rPr>
          <w:i/>
          <w:iCs/>
          <w:szCs w:val="20"/>
        </w:rPr>
        <w:t>flora</w:t>
      </w:r>
      <w:r w:rsidR="00A40C3C" w:rsidRPr="004068F6">
        <w:rPr>
          <w:szCs w:val="20"/>
        </w:rPr>
        <w:t xml:space="preserve"> </w:t>
      </w:r>
      <w:r w:rsidR="009D6448" w:rsidRPr="004068F6">
        <w:rPr>
          <w:szCs w:val="20"/>
        </w:rPr>
        <w:t xml:space="preserve">(que hacen parte </w:t>
      </w:r>
      <w:r w:rsidR="00A40C3C" w:rsidRPr="004068F6">
        <w:rPr>
          <w:szCs w:val="20"/>
        </w:rPr>
        <w:t xml:space="preserve">del componente </w:t>
      </w:r>
      <w:r w:rsidR="00A40C3C" w:rsidRPr="00127BD4">
        <w:rPr>
          <w:i/>
          <w:iCs/>
          <w:szCs w:val="20"/>
        </w:rPr>
        <w:t>ecosistemas terrestres</w:t>
      </w:r>
      <w:r w:rsidR="009D6448" w:rsidRPr="00127BD4">
        <w:rPr>
          <w:szCs w:val="20"/>
        </w:rPr>
        <w:t>)</w:t>
      </w:r>
      <w:r w:rsidR="00A40C3C" w:rsidRPr="004068F6">
        <w:rPr>
          <w:szCs w:val="20"/>
        </w:rPr>
        <w:t>, la caracterización de cada uno de ellos</w:t>
      </w:r>
      <w:r w:rsidR="005A21EE" w:rsidRPr="004068F6">
        <w:rPr>
          <w:szCs w:val="20"/>
        </w:rPr>
        <w:t xml:space="preserve">, así como </w:t>
      </w:r>
      <w:r w:rsidR="002B0D82" w:rsidRPr="004068F6">
        <w:rPr>
          <w:szCs w:val="20"/>
        </w:rPr>
        <w:t xml:space="preserve">el desarrollo de </w:t>
      </w:r>
      <w:r w:rsidR="005A21EE" w:rsidRPr="004068F6">
        <w:rPr>
          <w:szCs w:val="20"/>
        </w:rPr>
        <w:t>los demás procedimientos</w:t>
      </w:r>
      <w:r w:rsidR="002B0D82" w:rsidRPr="004068F6">
        <w:rPr>
          <w:szCs w:val="20"/>
        </w:rPr>
        <w:t>,</w:t>
      </w:r>
      <w:r w:rsidR="005A21EE" w:rsidRPr="004068F6">
        <w:rPr>
          <w:szCs w:val="20"/>
        </w:rPr>
        <w:t xml:space="preserve"> puede enfocarse en el área de influencia de cada factor</w:t>
      </w:r>
      <w:r w:rsidR="00E748DA" w:rsidRPr="004068F6">
        <w:rPr>
          <w:szCs w:val="20"/>
        </w:rPr>
        <w:t xml:space="preserve"> y no abarcar toda el área de influencia del componente del cual hacen parte</w:t>
      </w:r>
      <w:r w:rsidR="005A21EE" w:rsidRPr="004068F6">
        <w:rPr>
          <w:szCs w:val="20"/>
        </w:rPr>
        <w:t>.</w:t>
      </w:r>
    </w:p>
    <w:p w14:paraId="5EAD18C5" w14:textId="77777777" w:rsidR="005A21EE" w:rsidRPr="004068F6" w:rsidRDefault="005A21EE" w:rsidP="00077E48">
      <w:pPr>
        <w:numPr>
          <w:ilvl w:val="12"/>
          <w:numId w:val="0"/>
        </w:numPr>
        <w:tabs>
          <w:tab w:val="left" w:pos="-2268"/>
        </w:tabs>
        <w:suppressAutoHyphens/>
        <w:rPr>
          <w:szCs w:val="20"/>
        </w:rPr>
      </w:pPr>
    </w:p>
    <w:p w14:paraId="4C4C64E6" w14:textId="762EF6AE" w:rsidR="00E03305" w:rsidRPr="004068F6" w:rsidRDefault="00B57FB9" w:rsidP="00077E48">
      <w:pPr>
        <w:numPr>
          <w:ilvl w:val="12"/>
          <w:numId w:val="0"/>
        </w:numPr>
        <w:tabs>
          <w:tab w:val="left" w:pos="-2268"/>
        </w:tabs>
        <w:suppressAutoHyphens/>
        <w:rPr>
          <w:szCs w:val="20"/>
        </w:rPr>
      </w:pPr>
      <w:r w:rsidRPr="004068F6">
        <w:rPr>
          <w:szCs w:val="20"/>
        </w:rPr>
        <w:t xml:space="preserve">No obstante, </w:t>
      </w:r>
      <w:r w:rsidR="00E52A40" w:rsidRPr="004068F6">
        <w:rPr>
          <w:szCs w:val="20"/>
        </w:rPr>
        <w:t>es</w:t>
      </w:r>
      <w:r w:rsidRPr="004068F6">
        <w:rPr>
          <w:szCs w:val="20"/>
        </w:rPr>
        <w:t xml:space="preserve"> </w:t>
      </w:r>
      <w:r w:rsidR="00E52A40" w:rsidRPr="004068F6">
        <w:rPr>
          <w:szCs w:val="20"/>
        </w:rPr>
        <w:t xml:space="preserve">posible asumir que </w:t>
      </w:r>
      <w:r w:rsidR="00180560" w:rsidRPr="004068F6">
        <w:rPr>
          <w:szCs w:val="20"/>
        </w:rPr>
        <w:t xml:space="preserve">las </w:t>
      </w:r>
      <w:r w:rsidR="003B1FE7" w:rsidRPr="004068F6">
        <w:rPr>
          <w:szCs w:val="20"/>
        </w:rPr>
        <w:t>área</w:t>
      </w:r>
      <w:r w:rsidR="00180560" w:rsidRPr="004068F6">
        <w:rPr>
          <w:szCs w:val="20"/>
        </w:rPr>
        <w:t>s</w:t>
      </w:r>
      <w:r w:rsidR="003B1FE7" w:rsidRPr="004068F6">
        <w:rPr>
          <w:szCs w:val="20"/>
        </w:rPr>
        <w:t xml:space="preserve"> de influencia de </w:t>
      </w:r>
      <w:r w:rsidR="00653DE1" w:rsidRPr="004068F6">
        <w:rPr>
          <w:szCs w:val="20"/>
        </w:rPr>
        <w:t xml:space="preserve">los factores </w:t>
      </w:r>
      <w:r w:rsidR="003B1FE7" w:rsidRPr="004068F6">
        <w:rPr>
          <w:szCs w:val="20"/>
        </w:rPr>
        <w:t>son</w:t>
      </w:r>
      <w:r w:rsidR="00652A84" w:rsidRPr="004068F6">
        <w:rPr>
          <w:szCs w:val="20"/>
        </w:rPr>
        <w:t xml:space="preserve"> </w:t>
      </w:r>
      <w:r w:rsidR="00F25FDD" w:rsidRPr="004068F6">
        <w:rPr>
          <w:szCs w:val="20"/>
        </w:rPr>
        <w:t xml:space="preserve">exactamente </w:t>
      </w:r>
      <w:r w:rsidR="003B1FE7" w:rsidRPr="004068F6">
        <w:rPr>
          <w:szCs w:val="20"/>
        </w:rPr>
        <w:t xml:space="preserve">iguales al área de influencia </w:t>
      </w:r>
      <w:r w:rsidR="000E71D4" w:rsidRPr="004068F6">
        <w:rPr>
          <w:szCs w:val="20"/>
        </w:rPr>
        <w:t xml:space="preserve">del </w:t>
      </w:r>
      <w:r w:rsidR="00653DE1" w:rsidRPr="004068F6">
        <w:rPr>
          <w:szCs w:val="20"/>
        </w:rPr>
        <w:t xml:space="preserve">componente </w:t>
      </w:r>
      <w:r w:rsidR="000E71D4" w:rsidRPr="004068F6">
        <w:rPr>
          <w:szCs w:val="20"/>
        </w:rPr>
        <w:t xml:space="preserve">del cual hacen parte; es decir, </w:t>
      </w:r>
      <w:r w:rsidR="00A237E6" w:rsidRPr="004068F6">
        <w:rPr>
          <w:szCs w:val="20"/>
        </w:rPr>
        <w:t>se puede</w:t>
      </w:r>
      <w:r w:rsidR="00E748DA" w:rsidRPr="004068F6">
        <w:rPr>
          <w:szCs w:val="20"/>
        </w:rPr>
        <w:t xml:space="preserve"> t</w:t>
      </w:r>
      <w:r w:rsidR="00A237E6" w:rsidRPr="004068F6">
        <w:rPr>
          <w:szCs w:val="20"/>
        </w:rPr>
        <w:t xml:space="preserve">omar al componente y no al factor </w:t>
      </w:r>
      <w:r w:rsidR="00180560" w:rsidRPr="004068F6">
        <w:rPr>
          <w:szCs w:val="20"/>
        </w:rPr>
        <w:t xml:space="preserve">ambiental </w:t>
      </w:r>
      <w:r w:rsidR="00A237E6" w:rsidRPr="004068F6">
        <w:rPr>
          <w:szCs w:val="20"/>
        </w:rPr>
        <w:t xml:space="preserve">como la categoría ambiental </w:t>
      </w:r>
      <w:r w:rsidR="005656EF" w:rsidRPr="004068F6">
        <w:rPr>
          <w:szCs w:val="20"/>
        </w:rPr>
        <w:t xml:space="preserve">base </w:t>
      </w:r>
      <w:r w:rsidR="00180560" w:rsidRPr="004068F6">
        <w:rPr>
          <w:szCs w:val="20"/>
        </w:rPr>
        <w:t xml:space="preserve">para </w:t>
      </w:r>
      <w:r w:rsidR="00E03305" w:rsidRPr="004068F6">
        <w:rPr>
          <w:szCs w:val="20"/>
        </w:rPr>
        <w:t>delimitar el área de influencia.</w:t>
      </w:r>
      <w:r w:rsidR="008F6B38" w:rsidRPr="004068F6">
        <w:rPr>
          <w:szCs w:val="20"/>
        </w:rPr>
        <w:t xml:space="preserve"> </w:t>
      </w:r>
      <w:r w:rsidR="00803855" w:rsidRPr="004068F6">
        <w:rPr>
          <w:szCs w:val="20"/>
        </w:rPr>
        <w:t>S</w:t>
      </w:r>
      <w:r w:rsidR="008C4B4C" w:rsidRPr="004068F6">
        <w:rPr>
          <w:szCs w:val="20"/>
        </w:rPr>
        <w:t xml:space="preserve">i bien </w:t>
      </w:r>
      <w:r w:rsidR="00803855" w:rsidRPr="004068F6">
        <w:rPr>
          <w:szCs w:val="20"/>
        </w:rPr>
        <w:t xml:space="preserve">esta opción </w:t>
      </w:r>
      <w:r w:rsidR="008C4B4C" w:rsidRPr="004068F6">
        <w:rPr>
          <w:szCs w:val="20"/>
        </w:rPr>
        <w:t xml:space="preserve">es </w:t>
      </w:r>
      <w:r w:rsidR="007B0803" w:rsidRPr="004068F6">
        <w:rPr>
          <w:szCs w:val="20"/>
        </w:rPr>
        <w:t xml:space="preserve">procedimentalmente más </w:t>
      </w:r>
      <w:r w:rsidR="004B163E" w:rsidRPr="004068F6">
        <w:rPr>
          <w:szCs w:val="20"/>
        </w:rPr>
        <w:t xml:space="preserve">sencilla al </w:t>
      </w:r>
      <w:r w:rsidR="000C4658" w:rsidRPr="004068F6">
        <w:rPr>
          <w:szCs w:val="20"/>
        </w:rPr>
        <w:t xml:space="preserve">prescindir de </w:t>
      </w:r>
      <w:r w:rsidR="007B0803" w:rsidRPr="004068F6">
        <w:rPr>
          <w:szCs w:val="20"/>
        </w:rPr>
        <w:t xml:space="preserve">la </w:t>
      </w:r>
      <w:r w:rsidR="00CB3347" w:rsidRPr="004068F6">
        <w:rPr>
          <w:szCs w:val="20"/>
        </w:rPr>
        <w:t xml:space="preserve">integración </w:t>
      </w:r>
      <w:r w:rsidR="008C4B4C" w:rsidRPr="004068F6">
        <w:rPr>
          <w:szCs w:val="20"/>
        </w:rPr>
        <w:t xml:space="preserve">de </w:t>
      </w:r>
      <w:r w:rsidR="00B2073D" w:rsidRPr="004068F6">
        <w:rPr>
          <w:szCs w:val="20"/>
        </w:rPr>
        <w:t xml:space="preserve">las </w:t>
      </w:r>
      <w:r w:rsidR="008C4B4C" w:rsidRPr="004068F6">
        <w:rPr>
          <w:szCs w:val="20"/>
        </w:rPr>
        <w:t xml:space="preserve">áreas de influencia </w:t>
      </w:r>
      <w:r w:rsidR="00CB3347" w:rsidRPr="004068F6">
        <w:rPr>
          <w:szCs w:val="20"/>
        </w:rPr>
        <w:t xml:space="preserve">de los </w:t>
      </w:r>
      <w:r w:rsidR="008C4B4C" w:rsidRPr="004068F6">
        <w:rPr>
          <w:szCs w:val="20"/>
        </w:rPr>
        <w:t>factores</w:t>
      </w:r>
      <w:r w:rsidR="00531AEA" w:rsidRPr="004068F6">
        <w:rPr>
          <w:szCs w:val="20"/>
        </w:rPr>
        <w:t xml:space="preserve"> </w:t>
      </w:r>
      <w:r w:rsidR="00E748DA" w:rsidRPr="004068F6">
        <w:rPr>
          <w:szCs w:val="20"/>
        </w:rPr>
        <w:t xml:space="preserve">para </w:t>
      </w:r>
      <w:r w:rsidR="00803855" w:rsidRPr="004068F6">
        <w:rPr>
          <w:szCs w:val="20"/>
        </w:rPr>
        <w:t xml:space="preserve">delimitar las áreas de influencia de los </w:t>
      </w:r>
      <w:r w:rsidR="00531AEA" w:rsidRPr="004068F6">
        <w:rPr>
          <w:szCs w:val="20"/>
        </w:rPr>
        <w:t>componentes</w:t>
      </w:r>
      <w:r w:rsidR="003A6A9B" w:rsidRPr="004068F6">
        <w:rPr>
          <w:szCs w:val="20"/>
        </w:rPr>
        <w:t xml:space="preserve">, puede resultar en </w:t>
      </w:r>
      <w:r w:rsidR="00531AEA" w:rsidRPr="004068F6">
        <w:rPr>
          <w:szCs w:val="20"/>
        </w:rPr>
        <w:t>un incremento d</w:t>
      </w:r>
      <w:r w:rsidR="003A6A9B" w:rsidRPr="004068F6">
        <w:rPr>
          <w:szCs w:val="20"/>
        </w:rPr>
        <w:t xml:space="preserve">el área en la cual se debe desarrollar la </w:t>
      </w:r>
      <w:r w:rsidR="003A6A9B" w:rsidRPr="004068F6">
        <w:rPr>
          <w:szCs w:val="20"/>
        </w:rPr>
        <w:lastRenderedPageBreak/>
        <w:t>caracterización ambiental</w:t>
      </w:r>
      <w:r w:rsidR="00D32D84" w:rsidRPr="004068F6">
        <w:rPr>
          <w:szCs w:val="20"/>
        </w:rPr>
        <w:t xml:space="preserve"> y los demás procedimientos propios de</w:t>
      </w:r>
      <w:r w:rsidR="00E40CFA" w:rsidRPr="004068F6">
        <w:rPr>
          <w:szCs w:val="20"/>
        </w:rPr>
        <w:t xml:space="preserve"> </w:t>
      </w:r>
      <w:r w:rsidR="00D32D84" w:rsidRPr="004068F6">
        <w:rPr>
          <w:szCs w:val="20"/>
        </w:rPr>
        <w:t>l</w:t>
      </w:r>
      <w:r w:rsidR="00E40CFA" w:rsidRPr="004068F6">
        <w:rPr>
          <w:szCs w:val="20"/>
        </w:rPr>
        <w:t>a</w:t>
      </w:r>
      <w:r w:rsidR="00D32D84" w:rsidRPr="004068F6">
        <w:rPr>
          <w:szCs w:val="20"/>
        </w:rPr>
        <w:t xml:space="preserve"> </w:t>
      </w:r>
      <w:r w:rsidR="00E40CFA" w:rsidRPr="004068F6">
        <w:rPr>
          <w:szCs w:val="20"/>
        </w:rPr>
        <w:t>formulación de estudios ambientales</w:t>
      </w:r>
      <w:r w:rsidR="00800945" w:rsidRPr="004068F6">
        <w:rPr>
          <w:szCs w:val="20"/>
        </w:rPr>
        <w:t>.</w:t>
      </w:r>
    </w:p>
    <w:p w14:paraId="2080EFED" w14:textId="77777777" w:rsidR="00077E48" w:rsidRPr="004068F6" w:rsidRDefault="00077E48" w:rsidP="00077E48">
      <w:pPr>
        <w:numPr>
          <w:ilvl w:val="12"/>
          <w:numId w:val="0"/>
        </w:numPr>
        <w:tabs>
          <w:tab w:val="left" w:pos="-2268"/>
        </w:tabs>
        <w:suppressAutoHyphens/>
        <w:rPr>
          <w:rFonts w:cs="Arial"/>
        </w:rPr>
      </w:pPr>
    </w:p>
    <w:p w14:paraId="0D8122B4" w14:textId="7999F186" w:rsidR="00077E48" w:rsidRPr="004068F6" w:rsidRDefault="000B248C" w:rsidP="00077E48">
      <w:pPr>
        <w:pStyle w:val="Descripcin"/>
        <w:keepNext/>
        <w:jc w:val="center"/>
        <w:rPr>
          <w:rFonts w:cs="Arial"/>
          <w:b w:val="0"/>
          <w:szCs w:val="22"/>
          <w:lang w:eastAsia="es-CO"/>
        </w:rPr>
      </w:pPr>
      <w:bookmarkStart w:id="2536" w:name="_Ref38259738"/>
      <w:r w:rsidRPr="00AA2094">
        <w:rPr>
          <w:rFonts w:cs="Arial"/>
          <w:noProof/>
          <w:lang w:eastAsia="es-CO"/>
        </w:rPr>
        <mc:AlternateContent>
          <mc:Choice Requires="wpg">
            <w:drawing>
              <wp:anchor distT="0" distB="0" distL="114300" distR="114300" simplePos="0" relativeHeight="251658241" behindDoc="0" locked="0" layoutInCell="1" allowOverlap="1" wp14:anchorId="610F6BDD" wp14:editId="2D6D159B">
                <wp:simplePos x="0" y="0"/>
                <wp:positionH relativeFrom="column">
                  <wp:posOffset>567690</wp:posOffset>
                </wp:positionH>
                <wp:positionV relativeFrom="paragraph">
                  <wp:posOffset>184785</wp:posOffset>
                </wp:positionV>
                <wp:extent cx="4591050" cy="5759450"/>
                <wp:effectExtent l="0" t="0" r="19050" b="12700"/>
                <wp:wrapTopAndBottom/>
                <wp:docPr id="2817" name="2817 Grupo"/>
                <wp:cNvGraphicFramePr/>
                <a:graphic xmlns:a="http://schemas.openxmlformats.org/drawingml/2006/main">
                  <a:graphicData uri="http://schemas.microsoft.com/office/word/2010/wordprocessingGroup">
                    <wpg:wgp>
                      <wpg:cNvGrpSpPr/>
                      <wpg:grpSpPr>
                        <a:xfrm>
                          <a:off x="0" y="0"/>
                          <a:ext cx="4591050" cy="5759450"/>
                          <a:chOff x="0" y="0"/>
                          <a:chExt cx="4591050" cy="6607175"/>
                        </a:xfrm>
                      </wpg:grpSpPr>
                      <wpg:grpSp>
                        <wpg:cNvPr id="2818" name="2818 Grupo"/>
                        <wpg:cNvGrpSpPr/>
                        <wpg:grpSpPr>
                          <a:xfrm>
                            <a:off x="0" y="3305175"/>
                            <a:ext cx="4591050" cy="3302000"/>
                            <a:chOff x="0" y="0"/>
                            <a:chExt cx="4591050" cy="3302000"/>
                          </a:xfrm>
                        </wpg:grpSpPr>
                        <wpg:grpSp>
                          <wpg:cNvPr id="2819" name="2819 Grupo"/>
                          <wpg:cNvGrpSpPr/>
                          <wpg:grpSpPr>
                            <a:xfrm>
                              <a:off x="0" y="0"/>
                              <a:ext cx="4591050" cy="3302000"/>
                              <a:chOff x="0" y="47625"/>
                              <a:chExt cx="4591050" cy="3302000"/>
                            </a:xfrm>
                          </wpg:grpSpPr>
                          <wps:wsp>
                            <wps:cNvPr id="2820" name="2820 Rectángulo"/>
                            <wps:cNvSpPr/>
                            <wps:spPr>
                              <a:xfrm>
                                <a:off x="0" y="47625"/>
                                <a:ext cx="4591050" cy="330200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21" name="2821 Grupo"/>
                            <wpg:cNvGrpSpPr/>
                            <wpg:grpSpPr>
                              <a:xfrm>
                                <a:off x="104775" y="161925"/>
                                <a:ext cx="4450080" cy="3072639"/>
                                <a:chOff x="0" y="0"/>
                                <a:chExt cx="4450080" cy="3072639"/>
                              </a:xfrm>
                            </wpg:grpSpPr>
                            <wpg:grpSp>
                              <wpg:cNvPr id="2822" name="2658 Grupo"/>
                              <wpg:cNvGrpSpPr/>
                              <wpg:grpSpPr>
                                <a:xfrm>
                                  <a:off x="1289050" y="1130300"/>
                                  <a:ext cx="2206326" cy="677081"/>
                                  <a:chOff x="0" y="0"/>
                                  <a:chExt cx="2450927" cy="752417"/>
                                </a:xfrm>
                              </wpg:grpSpPr>
                              <wps:wsp>
                                <wps:cNvPr id="2823" name="2659 Flecha derecha"/>
                                <wps:cNvSpPr/>
                                <wps:spPr>
                                  <a:xfrm rot="5400000">
                                    <a:off x="866574" y="262572"/>
                                    <a:ext cx="707390" cy="182245"/>
                                  </a:xfrm>
                                  <a:prstGeom prst="rightArrow">
                                    <a:avLst>
                                      <a:gd name="adj1" fmla="val 50000"/>
                                      <a:gd name="adj2" fmla="val 121365"/>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4" name="2660 Flecha derecha"/>
                                <wps:cNvSpPr/>
                                <wps:spPr>
                                  <a:xfrm rot="8047803">
                                    <a:off x="2006110" y="307599"/>
                                    <a:ext cx="707390" cy="182245"/>
                                  </a:xfrm>
                                  <a:prstGeom prst="rightArrow">
                                    <a:avLst>
                                      <a:gd name="adj1" fmla="val 50000"/>
                                      <a:gd name="adj2" fmla="val 121365"/>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5" name="2661 Flecha derecha"/>
                                <wps:cNvSpPr/>
                                <wps:spPr>
                                  <a:xfrm rot="2919613">
                                    <a:off x="-262572" y="304136"/>
                                    <a:ext cx="707390" cy="182245"/>
                                  </a:xfrm>
                                  <a:prstGeom prst="rightArrow">
                                    <a:avLst>
                                      <a:gd name="adj1" fmla="val 50000"/>
                                      <a:gd name="adj2" fmla="val 121365"/>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26" name="2826 Grupo"/>
                              <wpg:cNvGrpSpPr/>
                              <wpg:grpSpPr>
                                <a:xfrm>
                                  <a:off x="101600" y="0"/>
                                  <a:ext cx="4348480" cy="130175"/>
                                  <a:chOff x="0" y="0"/>
                                  <a:chExt cx="4348480" cy="130175"/>
                                </a:xfrm>
                              </wpg:grpSpPr>
                              <wps:wsp>
                                <wps:cNvPr id="2827" name="2669 Rectángulo"/>
                                <wps:cNvSpPr/>
                                <wps:spPr>
                                  <a:xfrm>
                                    <a:off x="1841500" y="0"/>
                                    <a:ext cx="900430" cy="13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7811E" w14:textId="77777777" w:rsidR="00D55F13" w:rsidRPr="004E4C01" w:rsidRDefault="00D55F13" w:rsidP="00077E48">
                                      <w:pPr>
                                        <w:jc w:val="left"/>
                                        <w:rPr>
                                          <w:rFonts w:cs="Arial"/>
                                          <w:b/>
                                          <w:color w:val="365F91" w:themeColor="accent1" w:themeShade="BF"/>
                                          <w:sz w:val="16"/>
                                        </w:rPr>
                                      </w:pPr>
                                      <w:r w:rsidRPr="004E4C01">
                                        <w:rPr>
                                          <w:rFonts w:cs="Arial"/>
                                          <w:b/>
                                          <w:color w:val="365F91" w:themeColor="accent1" w:themeShade="BF"/>
                                          <w:sz w:val="16"/>
                                        </w:rPr>
                                        <w:t>Componente 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28" name="2672 Rectángulo"/>
                                <wps:cNvSpPr/>
                                <wps:spPr>
                                  <a:xfrm>
                                    <a:off x="3448050" y="0"/>
                                    <a:ext cx="900430" cy="13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80D3A" w14:textId="77777777" w:rsidR="00D55F13" w:rsidRPr="004E4C01" w:rsidRDefault="00D55F13" w:rsidP="00077E48">
                                      <w:pPr>
                                        <w:jc w:val="left"/>
                                        <w:rPr>
                                          <w:rFonts w:cs="Arial"/>
                                          <w:b/>
                                          <w:color w:val="FF0000"/>
                                          <w:sz w:val="16"/>
                                        </w:rPr>
                                      </w:pPr>
                                      <w:r w:rsidRPr="004E4C01">
                                        <w:rPr>
                                          <w:rFonts w:cs="Arial"/>
                                          <w:b/>
                                          <w:color w:val="FF0000"/>
                                          <w:sz w:val="16"/>
                                        </w:rPr>
                                        <w:t>Componente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29" name="2675 Rectángulo"/>
                                <wps:cNvSpPr/>
                                <wps:spPr>
                                  <a:xfrm>
                                    <a:off x="0" y="0"/>
                                    <a:ext cx="900430" cy="13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6D3EC" w14:textId="77777777" w:rsidR="00D55F13" w:rsidRPr="004E4C01" w:rsidRDefault="00D55F13" w:rsidP="00077E48">
                                      <w:pPr>
                                        <w:jc w:val="left"/>
                                        <w:rPr>
                                          <w:rFonts w:cs="Arial"/>
                                          <w:b/>
                                          <w:color w:val="00B050"/>
                                          <w:sz w:val="16"/>
                                        </w:rPr>
                                      </w:pPr>
                                      <w:r w:rsidRPr="004E4C01">
                                        <w:rPr>
                                          <w:rFonts w:cs="Arial"/>
                                          <w:b/>
                                          <w:color w:val="00B050"/>
                                          <w:sz w:val="16"/>
                                        </w:rPr>
                                        <w:t>Componente 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830" name="2830 Grupo"/>
                              <wpg:cNvGrpSpPr/>
                              <wpg:grpSpPr>
                                <a:xfrm>
                                  <a:off x="0" y="190500"/>
                                  <a:ext cx="4362913" cy="966272"/>
                                  <a:chOff x="0" y="0"/>
                                  <a:chExt cx="4362913" cy="966272"/>
                                </a:xfrm>
                              </wpg:grpSpPr>
                              <wpg:grpSp>
                                <wpg:cNvPr id="2831" name="2601 Grupo"/>
                                <wpg:cNvGrpSpPr/>
                                <wpg:grpSpPr>
                                  <a:xfrm>
                                    <a:off x="0" y="0"/>
                                    <a:ext cx="816610" cy="878205"/>
                                    <a:chOff x="146512" y="0"/>
                                    <a:chExt cx="909656" cy="976095"/>
                                  </a:xfrm>
                                </wpg:grpSpPr>
                                <wpg:grpSp>
                                  <wpg:cNvPr id="2832" name="2602 Grupo"/>
                                  <wpg:cNvGrpSpPr/>
                                  <wpg:grpSpPr>
                                    <a:xfrm>
                                      <a:off x="146512" y="0"/>
                                      <a:ext cx="909656" cy="976095"/>
                                      <a:chOff x="146512" y="0"/>
                                      <a:chExt cx="909656" cy="976095"/>
                                    </a:xfrm>
                                  </wpg:grpSpPr>
                                  <wps:wsp>
                                    <wps:cNvPr id="2833" name="2603 Forma libre"/>
                                    <wps:cNvSpPr/>
                                    <wps:spPr>
                                      <a:xfrm>
                                        <a:off x="146512" y="0"/>
                                        <a:ext cx="909656" cy="976095"/>
                                      </a:xfrm>
                                      <a:custGeom>
                                        <a:avLst/>
                                        <a:gdLst>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09 w 1585665"/>
                                          <a:gd name="connsiteY6" fmla="*/ 1020111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37 w 1585665"/>
                                          <a:gd name="connsiteY6" fmla="*/ 1029588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30836 w 1551373"/>
                                          <a:gd name="connsiteY0" fmla="*/ 0 h 1215676"/>
                                          <a:gd name="connsiteX1" fmla="*/ 1284452 w 1551373"/>
                                          <a:gd name="connsiteY1" fmla="*/ 594624 h 1215676"/>
                                          <a:gd name="connsiteX2" fmla="*/ 1263310 w 1551373"/>
                                          <a:gd name="connsiteY2" fmla="*/ 652765 h 1215676"/>
                                          <a:gd name="connsiteX3" fmla="*/ 1551373 w 1551373"/>
                                          <a:gd name="connsiteY3" fmla="*/ 924971 h 1215676"/>
                                          <a:gd name="connsiteX4" fmla="*/ 1186670 w 1551373"/>
                                          <a:gd name="connsiteY4" fmla="*/ 1154892 h 1215676"/>
                                          <a:gd name="connsiteX5" fmla="*/ 782325 w 1551373"/>
                                          <a:gd name="connsiteY5" fmla="*/ 1025396 h 1215676"/>
                                          <a:gd name="connsiteX6" fmla="*/ 602645 w 1551373"/>
                                          <a:gd name="connsiteY6" fmla="*/ 1029588 h 1215676"/>
                                          <a:gd name="connsiteX7" fmla="*/ 536547 w 1551373"/>
                                          <a:gd name="connsiteY7" fmla="*/ 1215676 h 1215676"/>
                                          <a:gd name="connsiteX8" fmla="*/ 97847 w 1551373"/>
                                          <a:gd name="connsiteY8" fmla="*/ 1057109 h 1215676"/>
                                          <a:gd name="connsiteX9" fmla="*/ 0 w 1551373"/>
                                          <a:gd name="connsiteY9" fmla="*/ 648008 h 1215676"/>
                                          <a:gd name="connsiteX10" fmla="*/ 161273 w 1551373"/>
                                          <a:gd name="connsiteY10" fmla="*/ 190279 h 1215676"/>
                                          <a:gd name="connsiteX11" fmla="*/ 430836 w 1551373"/>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7854 w 1591380"/>
                                          <a:gd name="connsiteY8" fmla="*/ 1057109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66436 w 1591380"/>
                                          <a:gd name="connsiteY8" fmla="*/ 1020997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70843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64157 w 1591380"/>
                                          <a:gd name="connsiteY10" fmla="*/ 23414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197491 w 1591380"/>
                                          <a:gd name="connsiteY10" fmla="*/ 188473 h 1215676"/>
                                          <a:gd name="connsiteX11" fmla="*/ 467054 w 1591380"/>
                                          <a:gd name="connsiteY11" fmla="*/ 0 h 1215676"/>
                                          <a:gd name="connsiteX0" fmla="*/ 467054 w 1324459"/>
                                          <a:gd name="connsiteY0" fmla="*/ 0 h 1215676"/>
                                          <a:gd name="connsiteX1" fmla="*/ 1324459 w 1324459"/>
                                          <a:gd name="connsiteY1" fmla="*/ 594624 h 1215676"/>
                                          <a:gd name="connsiteX2" fmla="*/ 1303317 w 1324459"/>
                                          <a:gd name="connsiteY2" fmla="*/ 652765 h 1215676"/>
                                          <a:gd name="connsiteX3" fmla="*/ 637769 w 1324459"/>
                                          <a:gd name="connsiteY3" fmla="*/ 626294 h 1215676"/>
                                          <a:gd name="connsiteX4" fmla="*/ 1226677 w 1324459"/>
                                          <a:gd name="connsiteY4" fmla="*/ 1154892 h 1215676"/>
                                          <a:gd name="connsiteX5" fmla="*/ 822332 w 1324459"/>
                                          <a:gd name="connsiteY5" fmla="*/ 1025396 h 1215676"/>
                                          <a:gd name="connsiteX6" fmla="*/ 642652 w 1324459"/>
                                          <a:gd name="connsiteY6" fmla="*/ 1029588 h 1215676"/>
                                          <a:gd name="connsiteX7" fmla="*/ 576554 w 1324459"/>
                                          <a:gd name="connsiteY7" fmla="*/ 1215676 h 1215676"/>
                                          <a:gd name="connsiteX8" fmla="*/ 130247 w 1324459"/>
                                          <a:gd name="connsiteY8" fmla="*/ 1059346 h 1215676"/>
                                          <a:gd name="connsiteX9" fmla="*/ 0 w 1324459"/>
                                          <a:gd name="connsiteY9" fmla="*/ 659593 h 1215676"/>
                                          <a:gd name="connsiteX10" fmla="*/ 197491 w 1324459"/>
                                          <a:gd name="connsiteY10" fmla="*/ 188473 h 1215676"/>
                                          <a:gd name="connsiteX11" fmla="*/ 467054 w 1324459"/>
                                          <a:gd name="connsiteY11" fmla="*/ 0 h 1215676"/>
                                          <a:gd name="connsiteX0" fmla="*/ 467054 w 1324459"/>
                                          <a:gd name="connsiteY0" fmla="*/ 0 h 1215676"/>
                                          <a:gd name="connsiteX1" fmla="*/ 1324459 w 1324459"/>
                                          <a:gd name="connsiteY1" fmla="*/ 594624 h 1215676"/>
                                          <a:gd name="connsiteX2" fmla="*/ 1264956 w 1324459"/>
                                          <a:gd name="connsiteY2" fmla="*/ 733954 h 1215676"/>
                                          <a:gd name="connsiteX3" fmla="*/ 637769 w 1324459"/>
                                          <a:gd name="connsiteY3" fmla="*/ 626294 h 1215676"/>
                                          <a:gd name="connsiteX4" fmla="*/ 1226677 w 1324459"/>
                                          <a:gd name="connsiteY4" fmla="*/ 1154892 h 1215676"/>
                                          <a:gd name="connsiteX5" fmla="*/ 822332 w 1324459"/>
                                          <a:gd name="connsiteY5" fmla="*/ 1025396 h 1215676"/>
                                          <a:gd name="connsiteX6" fmla="*/ 642652 w 1324459"/>
                                          <a:gd name="connsiteY6" fmla="*/ 1029588 h 1215676"/>
                                          <a:gd name="connsiteX7" fmla="*/ 576554 w 1324459"/>
                                          <a:gd name="connsiteY7" fmla="*/ 1215676 h 1215676"/>
                                          <a:gd name="connsiteX8" fmla="*/ 130247 w 1324459"/>
                                          <a:gd name="connsiteY8" fmla="*/ 1059346 h 1215676"/>
                                          <a:gd name="connsiteX9" fmla="*/ 0 w 1324459"/>
                                          <a:gd name="connsiteY9" fmla="*/ 659593 h 1215676"/>
                                          <a:gd name="connsiteX10" fmla="*/ 197491 w 1324459"/>
                                          <a:gd name="connsiteY10" fmla="*/ 188473 h 1215676"/>
                                          <a:gd name="connsiteX11" fmla="*/ 467054 w 1324459"/>
                                          <a:gd name="connsiteY11" fmla="*/ 0 h 1215676"/>
                                          <a:gd name="connsiteX0" fmla="*/ 467054 w 1324459"/>
                                          <a:gd name="connsiteY0" fmla="*/ 0 h 1215676"/>
                                          <a:gd name="connsiteX1" fmla="*/ 1324459 w 1324459"/>
                                          <a:gd name="connsiteY1" fmla="*/ 594624 h 1215676"/>
                                          <a:gd name="connsiteX2" fmla="*/ 1264956 w 1324459"/>
                                          <a:gd name="connsiteY2" fmla="*/ 733954 h 1215676"/>
                                          <a:gd name="connsiteX3" fmla="*/ 637769 w 1324459"/>
                                          <a:gd name="connsiteY3" fmla="*/ 626294 h 1215676"/>
                                          <a:gd name="connsiteX4" fmla="*/ 1226678 w 1324459"/>
                                          <a:gd name="connsiteY4" fmla="*/ 1165367 h 1215676"/>
                                          <a:gd name="connsiteX5" fmla="*/ 822332 w 1324459"/>
                                          <a:gd name="connsiteY5" fmla="*/ 1025396 h 1215676"/>
                                          <a:gd name="connsiteX6" fmla="*/ 642652 w 1324459"/>
                                          <a:gd name="connsiteY6" fmla="*/ 1029588 h 1215676"/>
                                          <a:gd name="connsiteX7" fmla="*/ 576554 w 1324459"/>
                                          <a:gd name="connsiteY7" fmla="*/ 1215676 h 1215676"/>
                                          <a:gd name="connsiteX8" fmla="*/ 130247 w 1324459"/>
                                          <a:gd name="connsiteY8" fmla="*/ 1059346 h 1215676"/>
                                          <a:gd name="connsiteX9" fmla="*/ 0 w 1324459"/>
                                          <a:gd name="connsiteY9" fmla="*/ 659593 h 1215676"/>
                                          <a:gd name="connsiteX10" fmla="*/ 197491 w 1324459"/>
                                          <a:gd name="connsiteY10" fmla="*/ 188473 h 1215676"/>
                                          <a:gd name="connsiteX11" fmla="*/ 467054 w 1324459"/>
                                          <a:gd name="connsiteY11" fmla="*/ 0 h 1215676"/>
                                          <a:gd name="connsiteX0" fmla="*/ 467054 w 1324459"/>
                                          <a:gd name="connsiteY0" fmla="*/ 0 h 1215676"/>
                                          <a:gd name="connsiteX1" fmla="*/ 1324459 w 1324459"/>
                                          <a:gd name="connsiteY1" fmla="*/ 594624 h 1215676"/>
                                          <a:gd name="connsiteX2" fmla="*/ 1264956 w 1324459"/>
                                          <a:gd name="connsiteY2" fmla="*/ 733954 h 1215676"/>
                                          <a:gd name="connsiteX3" fmla="*/ 637769 w 1324459"/>
                                          <a:gd name="connsiteY3" fmla="*/ 626294 h 1215676"/>
                                          <a:gd name="connsiteX4" fmla="*/ 822332 w 1324459"/>
                                          <a:gd name="connsiteY4" fmla="*/ 1025396 h 1215676"/>
                                          <a:gd name="connsiteX5" fmla="*/ 642652 w 1324459"/>
                                          <a:gd name="connsiteY5" fmla="*/ 1029588 h 1215676"/>
                                          <a:gd name="connsiteX6" fmla="*/ 576554 w 1324459"/>
                                          <a:gd name="connsiteY6" fmla="*/ 1215676 h 1215676"/>
                                          <a:gd name="connsiteX7" fmla="*/ 130247 w 1324459"/>
                                          <a:gd name="connsiteY7" fmla="*/ 1059346 h 1215676"/>
                                          <a:gd name="connsiteX8" fmla="*/ 0 w 1324459"/>
                                          <a:gd name="connsiteY8" fmla="*/ 659593 h 1215676"/>
                                          <a:gd name="connsiteX9" fmla="*/ 197491 w 1324459"/>
                                          <a:gd name="connsiteY9" fmla="*/ 188473 h 1215676"/>
                                          <a:gd name="connsiteX10" fmla="*/ 467054 w 1324459"/>
                                          <a:gd name="connsiteY10" fmla="*/ 0 h 1215676"/>
                                          <a:gd name="connsiteX0" fmla="*/ 467054 w 1324459"/>
                                          <a:gd name="connsiteY0" fmla="*/ 0 h 1215676"/>
                                          <a:gd name="connsiteX1" fmla="*/ 1324459 w 1324459"/>
                                          <a:gd name="connsiteY1" fmla="*/ 594624 h 1215676"/>
                                          <a:gd name="connsiteX2" fmla="*/ 1264956 w 1324459"/>
                                          <a:gd name="connsiteY2" fmla="*/ 733954 h 1215676"/>
                                          <a:gd name="connsiteX3" fmla="*/ 637769 w 1324459"/>
                                          <a:gd name="connsiteY3" fmla="*/ 626294 h 1215676"/>
                                          <a:gd name="connsiteX4" fmla="*/ 642652 w 1324459"/>
                                          <a:gd name="connsiteY4" fmla="*/ 1029588 h 1215676"/>
                                          <a:gd name="connsiteX5" fmla="*/ 576554 w 1324459"/>
                                          <a:gd name="connsiteY5" fmla="*/ 1215676 h 1215676"/>
                                          <a:gd name="connsiteX6" fmla="*/ 130247 w 1324459"/>
                                          <a:gd name="connsiteY6" fmla="*/ 1059346 h 1215676"/>
                                          <a:gd name="connsiteX7" fmla="*/ 0 w 1324459"/>
                                          <a:gd name="connsiteY7" fmla="*/ 659593 h 1215676"/>
                                          <a:gd name="connsiteX8" fmla="*/ 197491 w 1324459"/>
                                          <a:gd name="connsiteY8" fmla="*/ 188473 h 1215676"/>
                                          <a:gd name="connsiteX9" fmla="*/ 467054 w 1324459"/>
                                          <a:gd name="connsiteY9" fmla="*/ 0 h 1215676"/>
                                          <a:gd name="connsiteX0" fmla="*/ 467054 w 1324459"/>
                                          <a:gd name="connsiteY0" fmla="*/ 0 h 1131156"/>
                                          <a:gd name="connsiteX1" fmla="*/ 1324459 w 1324459"/>
                                          <a:gd name="connsiteY1" fmla="*/ 594624 h 1131156"/>
                                          <a:gd name="connsiteX2" fmla="*/ 1264956 w 1324459"/>
                                          <a:gd name="connsiteY2" fmla="*/ 733954 h 1131156"/>
                                          <a:gd name="connsiteX3" fmla="*/ 637769 w 1324459"/>
                                          <a:gd name="connsiteY3" fmla="*/ 626294 h 1131156"/>
                                          <a:gd name="connsiteX4" fmla="*/ 642652 w 1324459"/>
                                          <a:gd name="connsiteY4" fmla="*/ 1029588 h 1131156"/>
                                          <a:gd name="connsiteX5" fmla="*/ 356599 w 1324459"/>
                                          <a:gd name="connsiteY5" fmla="*/ 1131156 h 1131156"/>
                                          <a:gd name="connsiteX6" fmla="*/ 130247 w 1324459"/>
                                          <a:gd name="connsiteY6" fmla="*/ 1059346 h 1131156"/>
                                          <a:gd name="connsiteX7" fmla="*/ 0 w 1324459"/>
                                          <a:gd name="connsiteY7" fmla="*/ 659593 h 1131156"/>
                                          <a:gd name="connsiteX8" fmla="*/ 197491 w 1324459"/>
                                          <a:gd name="connsiteY8" fmla="*/ 188473 h 1131156"/>
                                          <a:gd name="connsiteX9" fmla="*/ 467054 w 1324459"/>
                                          <a:gd name="connsiteY9" fmla="*/ 0 h 1131156"/>
                                          <a:gd name="connsiteX0" fmla="*/ 467054 w 1264956"/>
                                          <a:gd name="connsiteY0" fmla="*/ 0 h 1131156"/>
                                          <a:gd name="connsiteX1" fmla="*/ 986882 w 1264956"/>
                                          <a:gd name="connsiteY1" fmla="*/ 357214 h 1131156"/>
                                          <a:gd name="connsiteX2" fmla="*/ 1264956 w 1264956"/>
                                          <a:gd name="connsiteY2" fmla="*/ 733954 h 1131156"/>
                                          <a:gd name="connsiteX3" fmla="*/ 637769 w 1264956"/>
                                          <a:gd name="connsiteY3" fmla="*/ 626294 h 1131156"/>
                                          <a:gd name="connsiteX4" fmla="*/ 642652 w 1264956"/>
                                          <a:gd name="connsiteY4" fmla="*/ 1029588 h 1131156"/>
                                          <a:gd name="connsiteX5" fmla="*/ 356599 w 1264956"/>
                                          <a:gd name="connsiteY5" fmla="*/ 1131156 h 1131156"/>
                                          <a:gd name="connsiteX6" fmla="*/ 130247 w 1264956"/>
                                          <a:gd name="connsiteY6" fmla="*/ 1059346 h 1131156"/>
                                          <a:gd name="connsiteX7" fmla="*/ 0 w 1264956"/>
                                          <a:gd name="connsiteY7" fmla="*/ 659593 h 1131156"/>
                                          <a:gd name="connsiteX8" fmla="*/ 197491 w 1264956"/>
                                          <a:gd name="connsiteY8" fmla="*/ 188473 h 1131156"/>
                                          <a:gd name="connsiteX9" fmla="*/ 467054 w 1264956"/>
                                          <a:gd name="connsiteY9" fmla="*/ 0 h 1131156"/>
                                          <a:gd name="connsiteX0" fmla="*/ 467054 w 986883"/>
                                          <a:gd name="connsiteY0" fmla="*/ 0 h 1131156"/>
                                          <a:gd name="connsiteX1" fmla="*/ 986882 w 986883"/>
                                          <a:gd name="connsiteY1" fmla="*/ 357214 h 1131156"/>
                                          <a:gd name="connsiteX2" fmla="*/ 927379 w 986883"/>
                                          <a:gd name="connsiteY2" fmla="*/ 542495 h 1131156"/>
                                          <a:gd name="connsiteX3" fmla="*/ 637769 w 986883"/>
                                          <a:gd name="connsiteY3" fmla="*/ 626294 h 1131156"/>
                                          <a:gd name="connsiteX4" fmla="*/ 642652 w 986883"/>
                                          <a:gd name="connsiteY4" fmla="*/ 1029588 h 1131156"/>
                                          <a:gd name="connsiteX5" fmla="*/ 356599 w 986883"/>
                                          <a:gd name="connsiteY5" fmla="*/ 1131156 h 1131156"/>
                                          <a:gd name="connsiteX6" fmla="*/ 130247 w 986883"/>
                                          <a:gd name="connsiteY6" fmla="*/ 1059346 h 1131156"/>
                                          <a:gd name="connsiteX7" fmla="*/ 0 w 986883"/>
                                          <a:gd name="connsiteY7" fmla="*/ 659593 h 1131156"/>
                                          <a:gd name="connsiteX8" fmla="*/ 197491 w 986883"/>
                                          <a:gd name="connsiteY8" fmla="*/ 188473 h 1131156"/>
                                          <a:gd name="connsiteX9" fmla="*/ 467054 w 986883"/>
                                          <a:gd name="connsiteY9" fmla="*/ 0 h 1131156"/>
                                          <a:gd name="connsiteX0" fmla="*/ 467054 w 986882"/>
                                          <a:gd name="connsiteY0" fmla="*/ 0 h 1131156"/>
                                          <a:gd name="connsiteX1" fmla="*/ 986882 w 986882"/>
                                          <a:gd name="connsiteY1" fmla="*/ 357214 h 1131156"/>
                                          <a:gd name="connsiteX2" fmla="*/ 927379 w 986882"/>
                                          <a:gd name="connsiteY2" fmla="*/ 542495 h 1131156"/>
                                          <a:gd name="connsiteX3" fmla="*/ 637769 w 986882"/>
                                          <a:gd name="connsiteY3" fmla="*/ 626294 h 1131156"/>
                                          <a:gd name="connsiteX4" fmla="*/ 356599 w 986882"/>
                                          <a:gd name="connsiteY4" fmla="*/ 1131156 h 1131156"/>
                                          <a:gd name="connsiteX5" fmla="*/ 130247 w 986882"/>
                                          <a:gd name="connsiteY5" fmla="*/ 1059346 h 1131156"/>
                                          <a:gd name="connsiteX6" fmla="*/ 0 w 986882"/>
                                          <a:gd name="connsiteY6" fmla="*/ 659593 h 1131156"/>
                                          <a:gd name="connsiteX7" fmla="*/ 197491 w 986882"/>
                                          <a:gd name="connsiteY7" fmla="*/ 188473 h 1131156"/>
                                          <a:gd name="connsiteX8" fmla="*/ 467054 w 986882"/>
                                          <a:gd name="connsiteY8" fmla="*/ 0 h 1131156"/>
                                          <a:gd name="connsiteX0" fmla="*/ 467054 w 986882"/>
                                          <a:gd name="connsiteY0" fmla="*/ 0 h 1131156"/>
                                          <a:gd name="connsiteX1" fmla="*/ 986882 w 986882"/>
                                          <a:gd name="connsiteY1" fmla="*/ 357214 h 1131156"/>
                                          <a:gd name="connsiteX2" fmla="*/ 927379 w 986882"/>
                                          <a:gd name="connsiteY2" fmla="*/ 542495 h 1131156"/>
                                          <a:gd name="connsiteX3" fmla="*/ 637769 w 986882"/>
                                          <a:gd name="connsiteY3" fmla="*/ 626294 h 1131156"/>
                                          <a:gd name="connsiteX4" fmla="*/ 356601 w 986882"/>
                                          <a:gd name="connsiteY4" fmla="*/ 1131156 h 1131156"/>
                                          <a:gd name="connsiteX5" fmla="*/ 130247 w 986882"/>
                                          <a:gd name="connsiteY5" fmla="*/ 1059346 h 1131156"/>
                                          <a:gd name="connsiteX6" fmla="*/ 0 w 986882"/>
                                          <a:gd name="connsiteY6" fmla="*/ 659593 h 1131156"/>
                                          <a:gd name="connsiteX7" fmla="*/ 197491 w 986882"/>
                                          <a:gd name="connsiteY7" fmla="*/ 188473 h 1131156"/>
                                          <a:gd name="connsiteX8" fmla="*/ 467054 w 986882"/>
                                          <a:gd name="connsiteY8" fmla="*/ 0 h 1131156"/>
                                          <a:gd name="connsiteX0" fmla="*/ 467054 w 986882"/>
                                          <a:gd name="connsiteY0" fmla="*/ 0 h 1059346"/>
                                          <a:gd name="connsiteX1" fmla="*/ 986882 w 986882"/>
                                          <a:gd name="connsiteY1" fmla="*/ 357214 h 1059346"/>
                                          <a:gd name="connsiteX2" fmla="*/ 927379 w 986882"/>
                                          <a:gd name="connsiteY2" fmla="*/ 542495 h 1059346"/>
                                          <a:gd name="connsiteX3" fmla="*/ 637769 w 986882"/>
                                          <a:gd name="connsiteY3" fmla="*/ 626294 h 1059346"/>
                                          <a:gd name="connsiteX4" fmla="*/ 130247 w 986882"/>
                                          <a:gd name="connsiteY4" fmla="*/ 1059346 h 1059346"/>
                                          <a:gd name="connsiteX5" fmla="*/ 0 w 986882"/>
                                          <a:gd name="connsiteY5" fmla="*/ 659593 h 1059346"/>
                                          <a:gd name="connsiteX6" fmla="*/ 197491 w 986882"/>
                                          <a:gd name="connsiteY6" fmla="*/ 188473 h 1059346"/>
                                          <a:gd name="connsiteX7" fmla="*/ 467054 w 986882"/>
                                          <a:gd name="connsiteY7" fmla="*/ 0 h 1059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6882" h="1059346">
                                            <a:moveTo>
                                              <a:pt x="467054" y="0"/>
                                            </a:moveTo>
                                            <a:lnTo>
                                              <a:pt x="986882" y="357214"/>
                                            </a:lnTo>
                                            <a:lnTo>
                                              <a:pt x="927379" y="542495"/>
                                            </a:lnTo>
                                            <a:lnTo>
                                              <a:pt x="637769" y="626294"/>
                                            </a:lnTo>
                                            <a:cubicBezTo>
                                              <a:pt x="504914" y="712436"/>
                                              <a:pt x="236542" y="1053796"/>
                                              <a:pt x="130247" y="1059346"/>
                                            </a:cubicBezTo>
                                            <a:lnTo>
                                              <a:pt x="0" y="659593"/>
                                            </a:lnTo>
                                            <a:lnTo>
                                              <a:pt x="197491" y="188473"/>
                                            </a:lnTo>
                                            <a:lnTo>
                                              <a:pt x="467054" y="0"/>
                                            </a:lnTo>
                                            <a:close/>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BDA0C" w14:textId="77777777" w:rsidR="00D55F13" w:rsidRPr="004E4C01" w:rsidRDefault="00D55F13" w:rsidP="00077E48">
                                          <w:pP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4" name="2604 Cuadro de texto"/>
                                    <wps:cNvSpPr txBox="1"/>
                                    <wps:spPr>
                                      <a:xfrm>
                                        <a:off x="664107" y="694854"/>
                                        <a:ext cx="70267" cy="19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E33BF" w14:textId="77777777" w:rsidR="00D55F13" w:rsidRPr="004E4C01" w:rsidRDefault="00D55F13" w:rsidP="00077E48">
                                          <w:pPr>
                                            <w:rPr>
                                              <w:i/>
                                            </w:rPr>
                                          </w:pPr>
                                          <w:r w:rsidRPr="004E4C01">
                                            <w:rPr>
                                              <w:i/>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835" name="2605 Conector"/>
                                  <wps:cNvSpPr/>
                                  <wps:spPr>
                                    <a:xfrm>
                                      <a:off x="762000" y="685800"/>
                                      <a:ext cx="50382" cy="50372"/>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36" name="2611 Grupo"/>
                                <wpg:cNvGrpSpPr/>
                                <wpg:grpSpPr>
                                  <a:xfrm>
                                    <a:off x="3517900" y="0"/>
                                    <a:ext cx="845013" cy="966272"/>
                                    <a:chOff x="-102453" y="0"/>
                                    <a:chExt cx="941070" cy="1073785"/>
                                  </a:xfrm>
                                </wpg:grpSpPr>
                                <wpg:grpSp>
                                  <wpg:cNvPr id="2837" name="2612 Grupo"/>
                                  <wpg:cNvGrpSpPr/>
                                  <wpg:grpSpPr>
                                    <a:xfrm>
                                      <a:off x="-102453" y="0"/>
                                      <a:ext cx="941070" cy="1073785"/>
                                      <a:chOff x="-146464" y="0"/>
                                      <a:chExt cx="1345325" cy="1536065"/>
                                    </a:xfrm>
                                  </wpg:grpSpPr>
                                  <wps:wsp>
                                    <wps:cNvPr id="2838" name="2613 Forma libre"/>
                                    <wps:cNvSpPr/>
                                    <wps:spPr>
                                      <a:xfrm>
                                        <a:off x="-146464" y="0"/>
                                        <a:ext cx="1345325" cy="1536065"/>
                                      </a:xfrm>
                                      <a:custGeom>
                                        <a:avLst/>
                                        <a:gdLst>
                                          <a:gd name="connsiteX0" fmla="*/ 0 w 1345997"/>
                                          <a:gd name="connsiteY0" fmla="*/ 885139 h 1587398"/>
                                          <a:gd name="connsiteX1" fmla="*/ 0 w 1345997"/>
                                          <a:gd name="connsiteY1" fmla="*/ 1221638 h 1587398"/>
                                          <a:gd name="connsiteX2" fmla="*/ 182880 w 1345997"/>
                                          <a:gd name="connsiteY2" fmla="*/ 1338682 h 1587398"/>
                                          <a:gd name="connsiteX3" fmla="*/ 299924 w 1345997"/>
                                          <a:gd name="connsiteY3" fmla="*/ 1514246 h 1587398"/>
                                          <a:gd name="connsiteX4" fmla="*/ 570586 w 1345997"/>
                                          <a:gd name="connsiteY4" fmla="*/ 1587398 h 1587398"/>
                                          <a:gd name="connsiteX5" fmla="*/ 1243584 w 1345997"/>
                                          <a:gd name="connsiteY5" fmla="*/ 1353312 h 1587398"/>
                                          <a:gd name="connsiteX6" fmla="*/ 1345997 w 1345997"/>
                                          <a:gd name="connsiteY6" fmla="*/ 1111910 h 1587398"/>
                                          <a:gd name="connsiteX7" fmla="*/ 1243584 w 1345997"/>
                                          <a:gd name="connsiteY7" fmla="*/ 768096 h 1587398"/>
                                          <a:gd name="connsiteX8" fmla="*/ 1089965 w 1345997"/>
                                          <a:gd name="connsiteY8" fmla="*/ 526694 h 1587398"/>
                                          <a:gd name="connsiteX9" fmla="*/ 1038759 w 1345997"/>
                                          <a:gd name="connsiteY9" fmla="*/ 51206 h 1587398"/>
                                          <a:gd name="connsiteX10" fmla="*/ 519380 w 1345997"/>
                                          <a:gd name="connsiteY10" fmla="*/ 0 h 1587398"/>
                                          <a:gd name="connsiteX11" fmla="*/ 490119 w 1345997"/>
                                          <a:gd name="connsiteY11" fmla="*/ 526694 h 1587398"/>
                                          <a:gd name="connsiteX12" fmla="*/ 482804 w 1345997"/>
                                          <a:gd name="connsiteY12" fmla="*/ 819302 h 1587398"/>
                                          <a:gd name="connsiteX13" fmla="*/ 219456 w 1345997"/>
                                          <a:gd name="connsiteY13" fmla="*/ 768096 h 1587398"/>
                                          <a:gd name="connsiteX14" fmla="*/ 0 w 1345997"/>
                                          <a:gd name="connsiteY14" fmla="*/ 885139 h 1587398"/>
                                          <a:gd name="connsiteX0" fmla="*/ 0 w 1345997"/>
                                          <a:gd name="connsiteY0" fmla="*/ 885139 h 1587398"/>
                                          <a:gd name="connsiteX1" fmla="*/ 0 w 1345997"/>
                                          <a:gd name="connsiteY1" fmla="*/ 1221638 h 1587398"/>
                                          <a:gd name="connsiteX2" fmla="*/ 182880 w 1345997"/>
                                          <a:gd name="connsiteY2" fmla="*/ 1338682 h 1587398"/>
                                          <a:gd name="connsiteX3" fmla="*/ 299924 w 1345997"/>
                                          <a:gd name="connsiteY3" fmla="*/ 1514246 h 1587398"/>
                                          <a:gd name="connsiteX4" fmla="*/ 570586 w 1345997"/>
                                          <a:gd name="connsiteY4" fmla="*/ 1587398 h 1587398"/>
                                          <a:gd name="connsiteX5" fmla="*/ 1243584 w 1345997"/>
                                          <a:gd name="connsiteY5" fmla="*/ 1353312 h 1587398"/>
                                          <a:gd name="connsiteX6" fmla="*/ 1345997 w 1345997"/>
                                          <a:gd name="connsiteY6" fmla="*/ 1111910 h 1587398"/>
                                          <a:gd name="connsiteX7" fmla="*/ 1243584 w 1345997"/>
                                          <a:gd name="connsiteY7" fmla="*/ 768096 h 1587398"/>
                                          <a:gd name="connsiteX8" fmla="*/ 1089965 w 1345997"/>
                                          <a:gd name="connsiteY8" fmla="*/ 526694 h 1587398"/>
                                          <a:gd name="connsiteX9" fmla="*/ 1038759 w 1345997"/>
                                          <a:gd name="connsiteY9" fmla="*/ 51206 h 1587398"/>
                                          <a:gd name="connsiteX10" fmla="*/ 519380 w 1345997"/>
                                          <a:gd name="connsiteY10" fmla="*/ 0 h 1587398"/>
                                          <a:gd name="connsiteX11" fmla="*/ 380513 w 1345997"/>
                                          <a:gd name="connsiteY11" fmla="*/ 380518 h 1587398"/>
                                          <a:gd name="connsiteX12" fmla="*/ 482804 w 1345997"/>
                                          <a:gd name="connsiteY12" fmla="*/ 819302 h 1587398"/>
                                          <a:gd name="connsiteX13" fmla="*/ 219456 w 1345997"/>
                                          <a:gd name="connsiteY13" fmla="*/ 768096 h 1587398"/>
                                          <a:gd name="connsiteX14" fmla="*/ 0 w 1345997"/>
                                          <a:gd name="connsiteY14" fmla="*/ 885139 h 1587398"/>
                                          <a:gd name="connsiteX0" fmla="*/ 0 w 1345997"/>
                                          <a:gd name="connsiteY0" fmla="*/ 833933 h 1536192"/>
                                          <a:gd name="connsiteX1" fmla="*/ 0 w 1345997"/>
                                          <a:gd name="connsiteY1" fmla="*/ 1170432 h 1536192"/>
                                          <a:gd name="connsiteX2" fmla="*/ 182880 w 1345997"/>
                                          <a:gd name="connsiteY2" fmla="*/ 1287476 h 1536192"/>
                                          <a:gd name="connsiteX3" fmla="*/ 299924 w 1345997"/>
                                          <a:gd name="connsiteY3" fmla="*/ 1463040 h 1536192"/>
                                          <a:gd name="connsiteX4" fmla="*/ 570586 w 1345997"/>
                                          <a:gd name="connsiteY4" fmla="*/ 1536192 h 1536192"/>
                                          <a:gd name="connsiteX5" fmla="*/ 1243584 w 1345997"/>
                                          <a:gd name="connsiteY5" fmla="*/ 1302106 h 1536192"/>
                                          <a:gd name="connsiteX6" fmla="*/ 1345997 w 1345997"/>
                                          <a:gd name="connsiteY6" fmla="*/ 1060704 h 1536192"/>
                                          <a:gd name="connsiteX7" fmla="*/ 1243584 w 1345997"/>
                                          <a:gd name="connsiteY7" fmla="*/ 716890 h 1536192"/>
                                          <a:gd name="connsiteX8" fmla="*/ 1089965 w 1345997"/>
                                          <a:gd name="connsiteY8" fmla="*/ 475488 h 1536192"/>
                                          <a:gd name="connsiteX9" fmla="*/ 1038759 w 1345997"/>
                                          <a:gd name="connsiteY9" fmla="*/ 0 h 1536192"/>
                                          <a:gd name="connsiteX10" fmla="*/ 680532 w 1345997"/>
                                          <a:gd name="connsiteY10" fmla="*/ 29288 h 1536192"/>
                                          <a:gd name="connsiteX11" fmla="*/ 380513 w 1345997"/>
                                          <a:gd name="connsiteY11" fmla="*/ 329312 h 1536192"/>
                                          <a:gd name="connsiteX12" fmla="*/ 482804 w 1345997"/>
                                          <a:gd name="connsiteY12" fmla="*/ 768096 h 1536192"/>
                                          <a:gd name="connsiteX13" fmla="*/ 219456 w 1345997"/>
                                          <a:gd name="connsiteY13" fmla="*/ 716890 h 1536192"/>
                                          <a:gd name="connsiteX14" fmla="*/ 0 w 1345997"/>
                                          <a:gd name="connsiteY14" fmla="*/ 833933 h 1536192"/>
                                          <a:gd name="connsiteX0" fmla="*/ 0 w 1345997"/>
                                          <a:gd name="connsiteY0" fmla="*/ 833933 h 1536192"/>
                                          <a:gd name="connsiteX1" fmla="*/ 0 w 1345997"/>
                                          <a:gd name="connsiteY1" fmla="*/ 1170432 h 1536192"/>
                                          <a:gd name="connsiteX2" fmla="*/ 182880 w 1345997"/>
                                          <a:gd name="connsiteY2" fmla="*/ 1287476 h 1536192"/>
                                          <a:gd name="connsiteX3" fmla="*/ 299924 w 1345997"/>
                                          <a:gd name="connsiteY3" fmla="*/ 1463040 h 1536192"/>
                                          <a:gd name="connsiteX4" fmla="*/ 570586 w 1345997"/>
                                          <a:gd name="connsiteY4" fmla="*/ 1536192 h 1536192"/>
                                          <a:gd name="connsiteX5" fmla="*/ 1243584 w 1345997"/>
                                          <a:gd name="connsiteY5" fmla="*/ 1302106 h 1536192"/>
                                          <a:gd name="connsiteX6" fmla="*/ 1345997 w 1345997"/>
                                          <a:gd name="connsiteY6" fmla="*/ 1060704 h 1536192"/>
                                          <a:gd name="connsiteX7" fmla="*/ 1243584 w 1345997"/>
                                          <a:gd name="connsiteY7" fmla="*/ 716890 h 1536192"/>
                                          <a:gd name="connsiteX8" fmla="*/ 1089965 w 1345997"/>
                                          <a:gd name="connsiteY8" fmla="*/ 475488 h 1536192"/>
                                          <a:gd name="connsiteX9" fmla="*/ 1038759 w 1345997"/>
                                          <a:gd name="connsiteY9" fmla="*/ 0 h 1536192"/>
                                          <a:gd name="connsiteX10" fmla="*/ 680532 w 1345997"/>
                                          <a:gd name="connsiteY10" fmla="*/ 29288 h 1536192"/>
                                          <a:gd name="connsiteX11" fmla="*/ 380513 w 1345997"/>
                                          <a:gd name="connsiteY11" fmla="*/ 329312 h 1536192"/>
                                          <a:gd name="connsiteX12" fmla="*/ 446371 w 1345997"/>
                                          <a:gd name="connsiteY12" fmla="*/ 563317 h 1536192"/>
                                          <a:gd name="connsiteX13" fmla="*/ 219456 w 1345997"/>
                                          <a:gd name="connsiteY13" fmla="*/ 716890 h 1536192"/>
                                          <a:gd name="connsiteX14" fmla="*/ 0 w 1345997"/>
                                          <a:gd name="connsiteY14" fmla="*/ 833933 h 153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45997" h="1536192">
                                            <a:moveTo>
                                              <a:pt x="0" y="833933"/>
                                            </a:moveTo>
                                            <a:lnTo>
                                              <a:pt x="0" y="1170432"/>
                                            </a:lnTo>
                                            <a:lnTo>
                                              <a:pt x="182880" y="1287476"/>
                                            </a:lnTo>
                                            <a:lnTo>
                                              <a:pt x="299924" y="1463040"/>
                                            </a:lnTo>
                                            <a:lnTo>
                                              <a:pt x="570586" y="1536192"/>
                                            </a:lnTo>
                                            <a:lnTo>
                                              <a:pt x="1243584" y="1302106"/>
                                            </a:lnTo>
                                            <a:lnTo>
                                              <a:pt x="1345997" y="1060704"/>
                                            </a:lnTo>
                                            <a:lnTo>
                                              <a:pt x="1243584" y="716890"/>
                                            </a:lnTo>
                                            <a:lnTo>
                                              <a:pt x="1089965" y="475488"/>
                                            </a:lnTo>
                                            <a:lnTo>
                                              <a:pt x="1038759" y="0"/>
                                            </a:lnTo>
                                            <a:lnTo>
                                              <a:pt x="680532" y="29288"/>
                                            </a:lnTo>
                                            <a:lnTo>
                                              <a:pt x="380513" y="329312"/>
                                            </a:lnTo>
                                            <a:lnTo>
                                              <a:pt x="446371" y="563317"/>
                                            </a:lnTo>
                                            <a:lnTo>
                                              <a:pt x="219456" y="716890"/>
                                            </a:lnTo>
                                            <a:lnTo>
                                              <a:pt x="0" y="833933"/>
                                            </a:lnTo>
                                            <a:close/>
                                          </a:path>
                                        </a:pathLst>
                                      </a:custGeom>
                                      <a:noFill/>
                                      <a:ln w="1905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7E83F" w14:textId="77777777" w:rsidR="00D55F13" w:rsidRPr="004E4C01" w:rsidRDefault="00D55F13" w:rsidP="00077E48">
                                          <w:pPr>
                                            <w:jc w:val="cente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9" name="2614 Cuadro de texto"/>
                                    <wps:cNvSpPr txBox="1"/>
                                    <wps:spPr>
                                      <a:xfrm>
                                        <a:off x="582964" y="998825"/>
                                        <a:ext cx="94783" cy="337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9B1ED" w14:textId="77777777" w:rsidR="00D55F13" w:rsidRPr="004E4C01" w:rsidRDefault="00D55F13" w:rsidP="00077E48">
                                          <w:pPr>
                                            <w:rPr>
                                              <w:i/>
                                            </w:rPr>
                                          </w:pPr>
                                          <w:r w:rsidRPr="004E4C01">
                                            <w:rPr>
                                              <w:i/>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840" name="2615 Conector"/>
                                  <wps:cNvSpPr/>
                                  <wps:spPr>
                                    <a:xfrm>
                                      <a:off x="495300" y="676275"/>
                                      <a:ext cx="50165" cy="50165"/>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41" name="2841 Grupo"/>
                                <wpg:cNvGrpSpPr/>
                                <wpg:grpSpPr>
                                  <a:xfrm>
                                    <a:off x="1993900" y="209550"/>
                                    <a:ext cx="1216660" cy="607060"/>
                                    <a:chOff x="0" y="0"/>
                                    <a:chExt cx="1217141" cy="607444"/>
                                  </a:xfrm>
                                </wpg:grpSpPr>
                                <wpg:grpSp>
                                  <wpg:cNvPr id="2842" name="2606 Grupo"/>
                                  <wpg:cNvGrpSpPr/>
                                  <wpg:grpSpPr>
                                    <a:xfrm>
                                      <a:off x="0" y="82550"/>
                                      <a:ext cx="742239" cy="524894"/>
                                      <a:chOff x="87863" y="214901"/>
                                      <a:chExt cx="826707" cy="583302"/>
                                    </a:xfrm>
                                  </wpg:grpSpPr>
                                  <wpg:grpSp>
                                    <wpg:cNvPr id="2843" name="2607 Grupo"/>
                                    <wpg:cNvGrpSpPr/>
                                    <wpg:grpSpPr>
                                      <a:xfrm>
                                        <a:off x="87863" y="214901"/>
                                        <a:ext cx="826707" cy="583302"/>
                                        <a:chOff x="87863" y="214901"/>
                                        <a:chExt cx="826707" cy="583302"/>
                                      </a:xfrm>
                                    </wpg:grpSpPr>
                                    <wps:wsp>
                                      <wps:cNvPr id="2844" name="2608 Forma libre"/>
                                      <wps:cNvSpPr/>
                                      <wps:spPr>
                                        <a:xfrm>
                                          <a:off x="87863" y="214901"/>
                                          <a:ext cx="826707" cy="583302"/>
                                        </a:xfrm>
                                        <a:custGeom>
                                          <a:avLst/>
                                          <a:gdLst>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463040 w 1675181"/>
                                            <a:gd name="connsiteY9" fmla="*/ 504749 h 1141171"/>
                                            <a:gd name="connsiteX10" fmla="*/ 1558138 w 1675181"/>
                                            <a:gd name="connsiteY10" fmla="*/ 746150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463040 w 1675181"/>
                                            <a:gd name="connsiteY9" fmla="*/ 504749 h 1141171"/>
                                            <a:gd name="connsiteX10" fmla="*/ 1234564 w 1675181"/>
                                            <a:gd name="connsiteY10" fmla="*/ 614998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119243 w 1675181"/>
                                            <a:gd name="connsiteY9" fmla="*/ 403862 h 1141171"/>
                                            <a:gd name="connsiteX10" fmla="*/ 1234564 w 1675181"/>
                                            <a:gd name="connsiteY10" fmla="*/ 614998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 name="connsiteX0" fmla="*/ 153620 w 1558138"/>
                                            <a:gd name="connsiteY0" fmla="*/ 526694 h 1141171"/>
                                            <a:gd name="connsiteX1" fmla="*/ 292608 w 1558138"/>
                                            <a:gd name="connsiteY1" fmla="*/ 307238 h 1141171"/>
                                            <a:gd name="connsiteX2" fmla="*/ 446228 w 1558138"/>
                                            <a:gd name="connsiteY2" fmla="*/ 424282 h 1141171"/>
                                            <a:gd name="connsiteX3" fmla="*/ 651053 w 1558138"/>
                                            <a:gd name="connsiteY3" fmla="*/ 285293 h 1141171"/>
                                            <a:gd name="connsiteX4" fmla="*/ 811988 w 1558138"/>
                                            <a:gd name="connsiteY4" fmla="*/ 80467 h 1141171"/>
                                            <a:gd name="connsiteX5" fmla="*/ 1272845 w 1558138"/>
                                            <a:gd name="connsiteY5" fmla="*/ 0 h 1141171"/>
                                            <a:gd name="connsiteX6" fmla="*/ 1558138 w 1558138"/>
                                            <a:gd name="connsiteY6" fmla="*/ 29261 h 1141171"/>
                                            <a:gd name="connsiteX7" fmla="*/ 1492301 w 1558138"/>
                                            <a:gd name="connsiteY7" fmla="*/ 321869 h 1141171"/>
                                            <a:gd name="connsiteX8" fmla="*/ 1119243 w 1558138"/>
                                            <a:gd name="connsiteY8" fmla="*/ 403862 h 1141171"/>
                                            <a:gd name="connsiteX9" fmla="*/ 1234564 w 1558138"/>
                                            <a:gd name="connsiteY9" fmla="*/ 614998 h 1141171"/>
                                            <a:gd name="connsiteX10" fmla="*/ 1331367 w 1558138"/>
                                            <a:gd name="connsiteY10" fmla="*/ 892454 h 1141171"/>
                                            <a:gd name="connsiteX11" fmla="*/ 848564 w 1558138"/>
                                            <a:gd name="connsiteY11" fmla="*/ 987552 h 1141171"/>
                                            <a:gd name="connsiteX12" fmla="*/ 548640 w 1558138"/>
                                            <a:gd name="connsiteY12" fmla="*/ 1133856 h 1141171"/>
                                            <a:gd name="connsiteX13" fmla="*/ 58522 w 1558138"/>
                                            <a:gd name="connsiteY13" fmla="*/ 1141171 h 1141171"/>
                                            <a:gd name="connsiteX14" fmla="*/ 0 w 1558138"/>
                                            <a:gd name="connsiteY14" fmla="*/ 716890 h 1141171"/>
                                            <a:gd name="connsiteX15" fmla="*/ 153620 w 1558138"/>
                                            <a:gd name="connsiteY15" fmla="*/ 526694 h 1141171"/>
                                            <a:gd name="connsiteX0" fmla="*/ 153620 w 1492300"/>
                                            <a:gd name="connsiteY0" fmla="*/ 526694 h 1141171"/>
                                            <a:gd name="connsiteX1" fmla="*/ 292608 w 1492300"/>
                                            <a:gd name="connsiteY1" fmla="*/ 307238 h 1141171"/>
                                            <a:gd name="connsiteX2" fmla="*/ 446228 w 1492300"/>
                                            <a:gd name="connsiteY2" fmla="*/ 424282 h 1141171"/>
                                            <a:gd name="connsiteX3" fmla="*/ 651053 w 1492300"/>
                                            <a:gd name="connsiteY3" fmla="*/ 285293 h 1141171"/>
                                            <a:gd name="connsiteX4" fmla="*/ 811988 w 1492300"/>
                                            <a:gd name="connsiteY4" fmla="*/ 80467 h 1141171"/>
                                            <a:gd name="connsiteX5" fmla="*/ 1272845 w 1492300"/>
                                            <a:gd name="connsiteY5" fmla="*/ 0 h 1141171"/>
                                            <a:gd name="connsiteX6" fmla="*/ 1492301 w 1492300"/>
                                            <a:gd name="connsiteY6" fmla="*/ 321869 h 1141171"/>
                                            <a:gd name="connsiteX7" fmla="*/ 1119243 w 1492300"/>
                                            <a:gd name="connsiteY7" fmla="*/ 403862 h 1141171"/>
                                            <a:gd name="connsiteX8" fmla="*/ 1234564 w 1492300"/>
                                            <a:gd name="connsiteY8" fmla="*/ 614998 h 1141171"/>
                                            <a:gd name="connsiteX9" fmla="*/ 1331367 w 1492300"/>
                                            <a:gd name="connsiteY9" fmla="*/ 892454 h 1141171"/>
                                            <a:gd name="connsiteX10" fmla="*/ 848564 w 1492300"/>
                                            <a:gd name="connsiteY10" fmla="*/ 987552 h 1141171"/>
                                            <a:gd name="connsiteX11" fmla="*/ 548640 w 1492300"/>
                                            <a:gd name="connsiteY11" fmla="*/ 1133856 h 1141171"/>
                                            <a:gd name="connsiteX12" fmla="*/ 58522 w 1492300"/>
                                            <a:gd name="connsiteY12" fmla="*/ 1141171 h 1141171"/>
                                            <a:gd name="connsiteX13" fmla="*/ 0 w 1492300"/>
                                            <a:gd name="connsiteY13" fmla="*/ 716890 h 1141171"/>
                                            <a:gd name="connsiteX14" fmla="*/ 153620 w 1492300"/>
                                            <a:gd name="connsiteY14" fmla="*/ 526694 h 1141171"/>
                                            <a:gd name="connsiteX0" fmla="*/ 153620 w 1331366"/>
                                            <a:gd name="connsiteY0" fmla="*/ 526694 h 1141171"/>
                                            <a:gd name="connsiteX1" fmla="*/ 292608 w 1331366"/>
                                            <a:gd name="connsiteY1" fmla="*/ 307238 h 1141171"/>
                                            <a:gd name="connsiteX2" fmla="*/ 446228 w 1331366"/>
                                            <a:gd name="connsiteY2" fmla="*/ 424282 h 1141171"/>
                                            <a:gd name="connsiteX3" fmla="*/ 651053 w 1331366"/>
                                            <a:gd name="connsiteY3" fmla="*/ 285293 h 1141171"/>
                                            <a:gd name="connsiteX4" fmla="*/ 811988 w 1331366"/>
                                            <a:gd name="connsiteY4" fmla="*/ 80467 h 1141171"/>
                                            <a:gd name="connsiteX5" fmla="*/ 1272845 w 1331366"/>
                                            <a:gd name="connsiteY5" fmla="*/ 0 h 1141171"/>
                                            <a:gd name="connsiteX6" fmla="*/ 1119243 w 1331366"/>
                                            <a:gd name="connsiteY6" fmla="*/ 403862 h 1141171"/>
                                            <a:gd name="connsiteX7" fmla="*/ 1234564 w 1331366"/>
                                            <a:gd name="connsiteY7" fmla="*/ 614998 h 1141171"/>
                                            <a:gd name="connsiteX8" fmla="*/ 1331367 w 1331366"/>
                                            <a:gd name="connsiteY8" fmla="*/ 892454 h 1141171"/>
                                            <a:gd name="connsiteX9" fmla="*/ 848564 w 1331366"/>
                                            <a:gd name="connsiteY9" fmla="*/ 987552 h 1141171"/>
                                            <a:gd name="connsiteX10" fmla="*/ 548640 w 1331366"/>
                                            <a:gd name="connsiteY10" fmla="*/ 1133856 h 1141171"/>
                                            <a:gd name="connsiteX11" fmla="*/ 58522 w 1331366"/>
                                            <a:gd name="connsiteY11" fmla="*/ 1141171 h 1141171"/>
                                            <a:gd name="connsiteX12" fmla="*/ 0 w 1331366"/>
                                            <a:gd name="connsiteY12" fmla="*/ 716890 h 1141171"/>
                                            <a:gd name="connsiteX13" fmla="*/ 153620 w 1331366"/>
                                            <a:gd name="connsiteY13" fmla="*/ 526694 h 1141171"/>
                                            <a:gd name="connsiteX0" fmla="*/ 153620 w 1331368"/>
                                            <a:gd name="connsiteY0" fmla="*/ 446226 h 1060703"/>
                                            <a:gd name="connsiteX1" fmla="*/ 292608 w 1331368"/>
                                            <a:gd name="connsiteY1" fmla="*/ 226770 h 1060703"/>
                                            <a:gd name="connsiteX2" fmla="*/ 446228 w 1331368"/>
                                            <a:gd name="connsiteY2" fmla="*/ 343814 h 1060703"/>
                                            <a:gd name="connsiteX3" fmla="*/ 651053 w 1331368"/>
                                            <a:gd name="connsiteY3" fmla="*/ 204825 h 1060703"/>
                                            <a:gd name="connsiteX4" fmla="*/ 811988 w 1331368"/>
                                            <a:gd name="connsiteY4" fmla="*/ -1 h 1060703"/>
                                            <a:gd name="connsiteX5" fmla="*/ 1119243 w 1331368"/>
                                            <a:gd name="connsiteY5" fmla="*/ 323394 h 1060703"/>
                                            <a:gd name="connsiteX6" fmla="*/ 1234564 w 1331368"/>
                                            <a:gd name="connsiteY6" fmla="*/ 534530 h 1060703"/>
                                            <a:gd name="connsiteX7" fmla="*/ 1331367 w 1331368"/>
                                            <a:gd name="connsiteY7" fmla="*/ 811986 h 1060703"/>
                                            <a:gd name="connsiteX8" fmla="*/ 848564 w 1331368"/>
                                            <a:gd name="connsiteY8" fmla="*/ 907084 h 1060703"/>
                                            <a:gd name="connsiteX9" fmla="*/ 548640 w 1331368"/>
                                            <a:gd name="connsiteY9" fmla="*/ 1053388 h 1060703"/>
                                            <a:gd name="connsiteX10" fmla="*/ 58522 w 1331368"/>
                                            <a:gd name="connsiteY10" fmla="*/ 1060703 h 1060703"/>
                                            <a:gd name="connsiteX11" fmla="*/ 0 w 1331368"/>
                                            <a:gd name="connsiteY11" fmla="*/ 636422 h 1060703"/>
                                            <a:gd name="connsiteX12" fmla="*/ 153620 w 1331368"/>
                                            <a:gd name="connsiteY12" fmla="*/ 446226 h 1060703"/>
                                            <a:gd name="connsiteX0" fmla="*/ 153620 w 1331366"/>
                                            <a:gd name="connsiteY0" fmla="*/ 446228 h 1060705"/>
                                            <a:gd name="connsiteX1" fmla="*/ 292608 w 1331366"/>
                                            <a:gd name="connsiteY1" fmla="*/ 226772 h 1060705"/>
                                            <a:gd name="connsiteX2" fmla="*/ 446228 w 1331366"/>
                                            <a:gd name="connsiteY2" fmla="*/ 343816 h 1060705"/>
                                            <a:gd name="connsiteX3" fmla="*/ 651053 w 1331366"/>
                                            <a:gd name="connsiteY3" fmla="*/ 204827 h 1060705"/>
                                            <a:gd name="connsiteX4" fmla="*/ 811988 w 1331366"/>
                                            <a:gd name="connsiteY4" fmla="*/ 1 h 1060705"/>
                                            <a:gd name="connsiteX5" fmla="*/ 1181935 w 1331366"/>
                                            <a:gd name="connsiteY5" fmla="*/ 101445 h 1060705"/>
                                            <a:gd name="connsiteX6" fmla="*/ 1234564 w 1331366"/>
                                            <a:gd name="connsiteY6" fmla="*/ 534532 h 1060705"/>
                                            <a:gd name="connsiteX7" fmla="*/ 1331367 w 1331366"/>
                                            <a:gd name="connsiteY7" fmla="*/ 811988 h 1060705"/>
                                            <a:gd name="connsiteX8" fmla="*/ 848564 w 1331366"/>
                                            <a:gd name="connsiteY8" fmla="*/ 907086 h 1060705"/>
                                            <a:gd name="connsiteX9" fmla="*/ 548640 w 1331366"/>
                                            <a:gd name="connsiteY9" fmla="*/ 1053390 h 1060705"/>
                                            <a:gd name="connsiteX10" fmla="*/ 58522 w 1331366"/>
                                            <a:gd name="connsiteY10" fmla="*/ 1060705 h 1060705"/>
                                            <a:gd name="connsiteX11" fmla="*/ 0 w 1331366"/>
                                            <a:gd name="connsiteY11" fmla="*/ 636424 h 1060705"/>
                                            <a:gd name="connsiteX12" fmla="*/ 153620 w 1331366"/>
                                            <a:gd name="connsiteY12" fmla="*/ 446228 h 1060705"/>
                                            <a:gd name="connsiteX0" fmla="*/ 153620 w 1234564"/>
                                            <a:gd name="connsiteY0" fmla="*/ 446226 h 1060703"/>
                                            <a:gd name="connsiteX1" fmla="*/ 292608 w 1234564"/>
                                            <a:gd name="connsiteY1" fmla="*/ 226770 h 1060703"/>
                                            <a:gd name="connsiteX2" fmla="*/ 446228 w 1234564"/>
                                            <a:gd name="connsiteY2" fmla="*/ 343814 h 1060703"/>
                                            <a:gd name="connsiteX3" fmla="*/ 651053 w 1234564"/>
                                            <a:gd name="connsiteY3" fmla="*/ 204825 h 1060703"/>
                                            <a:gd name="connsiteX4" fmla="*/ 811988 w 1234564"/>
                                            <a:gd name="connsiteY4" fmla="*/ -1 h 1060703"/>
                                            <a:gd name="connsiteX5" fmla="*/ 1181935 w 1234564"/>
                                            <a:gd name="connsiteY5" fmla="*/ 101443 h 1060703"/>
                                            <a:gd name="connsiteX6" fmla="*/ 1234564 w 1234564"/>
                                            <a:gd name="connsiteY6" fmla="*/ 534530 h 1060703"/>
                                            <a:gd name="connsiteX7" fmla="*/ 1181936 w 1234564"/>
                                            <a:gd name="connsiteY7" fmla="*/ 763828 h 1060703"/>
                                            <a:gd name="connsiteX8" fmla="*/ 848564 w 1234564"/>
                                            <a:gd name="connsiteY8" fmla="*/ 907084 h 1060703"/>
                                            <a:gd name="connsiteX9" fmla="*/ 548640 w 1234564"/>
                                            <a:gd name="connsiteY9" fmla="*/ 1053388 h 1060703"/>
                                            <a:gd name="connsiteX10" fmla="*/ 58522 w 1234564"/>
                                            <a:gd name="connsiteY10" fmla="*/ 1060703 h 1060703"/>
                                            <a:gd name="connsiteX11" fmla="*/ 0 w 1234564"/>
                                            <a:gd name="connsiteY11" fmla="*/ 636422 h 1060703"/>
                                            <a:gd name="connsiteX12" fmla="*/ 153620 w 1234564"/>
                                            <a:gd name="connsiteY12" fmla="*/ 446226 h 1060703"/>
                                            <a:gd name="connsiteX0" fmla="*/ 153620 w 1234564"/>
                                            <a:gd name="connsiteY0" fmla="*/ 344783 h 959260"/>
                                            <a:gd name="connsiteX1" fmla="*/ 292608 w 1234564"/>
                                            <a:gd name="connsiteY1" fmla="*/ 125327 h 959260"/>
                                            <a:gd name="connsiteX2" fmla="*/ 446228 w 1234564"/>
                                            <a:gd name="connsiteY2" fmla="*/ 242371 h 959260"/>
                                            <a:gd name="connsiteX3" fmla="*/ 651053 w 1234564"/>
                                            <a:gd name="connsiteY3" fmla="*/ 103382 h 959260"/>
                                            <a:gd name="connsiteX4" fmla="*/ 1181935 w 1234564"/>
                                            <a:gd name="connsiteY4" fmla="*/ 0 h 959260"/>
                                            <a:gd name="connsiteX5" fmla="*/ 1234564 w 1234564"/>
                                            <a:gd name="connsiteY5" fmla="*/ 433087 h 959260"/>
                                            <a:gd name="connsiteX6" fmla="*/ 1181936 w 1234564"/>
                                            <a:gd name="connsiteY6" fmla="*/ 662385 h 959260"/>
                                            <a:gd name="connsiteX7" fmla="*/ 848564 w 1234564"/>
                                            <a:gd name="connsiteY7" fmla="*/ 805641 h 959260"/>
                                            <a:gd name="connsiteX8" fmla="*/ 548640 w 1234564"/>
                                            <a:gd name="connsiteY8" fmla="*/ 951945 h 959260"/>
                                            <a:gd name="connsiteX9" fmla="*/ 58522 w 1234564"/>
                                            <a:gd name="connsiteY9" fmla="*/ 959260 h 959260"/>
                                            <a:gd name="connsiteX10" fmla="*/ 0 w 1234564"/>
                                            <a:gd name="connsiteY10" fmla="*/ 534979 h 959260"/>
                                            <a:gd name="connsiteX11" fmla="*/ 153620 w 1234564"/>
                                            <a:gd name="connsiteY11" fmla="*/ 344783 h 959260"/>
                                            <a:gd name="connsiteX0" fmla="*/ 153620 w 1234564"/>
                                            <a:gd name="connsiteY0" fmla="*/ 241400 h 855877"/>
                                            <a:gd name="connsiteX1" fmla="*/ 292608 w 1234564"/>
                                            <a:gd name="connsiteY1" fmla="*/ 21944 h 855877"/>
                                            <a:gd name="connsiteX2" fmla="*/ 446228 w 1234564"/>
                                            <a:gd name="connsiteY2" fmla="*/ 138988 h 855877"/>
                                            <a:gd name="connsiteX3" fmla="*/ 651053 w 1234564"/>
                                            <a:gd name="connsiteY3" fmla="*/ -1 h 855877"/>
                                            <a:gd name="connsiteX4" fmla="*/ 919032 w 1234564"/>
                                            <a:gd name="connsiteY4" fmla="*/ 290075 h 855877"/>
                                            <a:gd name="connsiteX5" fmla="*/ 1234564 w 1234564"/>
                                            <a:gd name="connsiteY5" fmla="*/ 329704 h 855877"/>
                                            <a:gd name="connsiteX6" fmla="*/ 1181936 w 1234564"/>
                                            <a:gd name="connsiteY6" fmla="*/ 559002 h 855877"/>
                                            <a:gd name="connsiteX7" fmla="*/ 848564 w 1234564"/>
                                            <a:gd name="connsiteY7" fmla="*/ 702258 h 855877"/>
                                            <a:gd name="connsiteX8" fmla="*/ 548640 w 1234564"/>
                                            <a:gd name="connsiteY8" fmla="*/ 848562 h 855877"/>
                                            <a:gd name="connsiteX9" fmla="*/ 58522 w 1234564"/>
                                            <a:gd name="connsiteY9" fmla="*/ 855877 h 855877"/>
                                            <a:gd name="connsiteX10" fmla="*/ 0 w 1234564"/>
                                            <a:gd name="connsiteY10" fmla="*/ 431596 h 855877"/>
                                            <a:gd name="connsiteX11" fmla="*/ 153620 w 1234564"/>
                                            <a:gd name="connsiteY11" fmla="*/ 241400 h 855877"/>
                                            <a:gd name="connsiteX0" fmla="*/ 153620 w 1181936"/>
                                            <a:gd name="connsiteY0" fmla="*/ 241402 h 855879"/>
                                            <a:gd name="connsiteX1" fmla="*/ 292608 w 1181936"/>
                                            <a:gd name="connsiteY1" fmla="*/ 21946 h 855879"/>
                                            <a:gd name="connsiteX2" fmla="*/ 446228 w 1181936"/>
                                            <a:gd name="connsiteY2" fmla="*/ 138990 h 855879"/>
                                            <a:gd name="connsiteX3" fmla="*/ 651053 w 1181936"/>
                                            <a:gd name="connsiteY3" fmla="*/ 1 h 855879"/>
                                            <a:gd name="connsiteX4" fmla="*/ 919032 w 1181936"/>
                                            <a:gd name="connsiteY4" fmla="*/ 290077 h 855879"/>
                                            <a:gd name="connsiteX5" fmla="*/ 1181936 w 1181936"/>
                                            <a:gd name="connsiteY5" fmla="*/ 559004 h 855879"/>
                                            <a:gd name="connsiteX6" fmla="*/ 848564 w 1181936"/>
                                            <a:gd name="connsiteY6" fmla="*/ 702260 h 855879"/>
                                            <a:gd name="connsiteX7" fmla="*/ 548640 w 1181936"/>
                                            <a:gd name="connsiteY7" fmla="*/ 848564 h 855879"/>
                                            <a:gd name="connsiteX8" fmla="*/ 58522 w 1181936"/>
                                            <a:gd name="connsiteY8" fmla="*/ 855879 h 855879"/>
                                            <a:gd name="connsiteX9" fmla="*/ 0 w 1181936"/>
                                            <a:gd name="connsiteY9" fmla="*/ 431598 h 855879"/>
                                            <a:gd name="connsiteX10" fmla="*/ 153620 w 1181936"/>
                                            <a:gd name="connsiteY10" fmla="*/ 241402 h 855879"/>
                                            <a:gd name="connsiteX0" fmla="*/ 153620 w 1181936"/>
                                            <a:gd name="connsiteY0" fmla="*/ 219456 h 833933"/>
                                            <a:gd name="connsiteX1" fmla="*/ 292608 w 1181936"/>
                                            <a:gd name="connsiteY1" fmla="*/ 0 h 833933"/>
                                            <a:gd name="connsiteX2" fmla="*/ 446228 w 1181936"/>
                                            <a:gd name="connsiteY2" fmla="*/ 117044 h 833933"/>
                                            <a:gd name="connsiteX3" fmla="*/ 919032 w 1181936"/>
                                            <a:gd name="connsiteY3" fmla="*/ 268131 h 833933"/>
                                            <a:gd name="connsiteX4" fmla="*/ 1181936 w 1181936"/>
                                            <a:gd name="connsiteY4" fmla="*/ 537058 h 833933"/>
                                            <a:gd name="connsiteX5" fmla="*/ 848564 w 1181936"/>
                                            <a:gd name="connsiteY5" fmla="*/ 680314 h 833933"/>
                                            <a:gd name="connsiteX6" fmla="*/ 548640 w 1181936"/>
                                            <a:gd name="connsiteY6" fmla="*/ 826618 h 833933"/>
                                            <a:gd name="connsiteX7" fmla="*/ 58522 w 1181936"/>
                                            <a:gd name="connsiteY7" fmla="*/ 833933 h 833933"/>
                                            <a:gd name="connsiteX8" fmla="*/ 0 w 1181936"/>
                                            <a:gd name="connsiteY8" fmla="*/ 409652 h 833933"/>
                                            <a:gd name="connsiteX9" fmla="*/ 153620 w 1181936"/>
                                            <a:gd name="connsiteY9" fmla="*/ 219456 h 83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81936" h="833933">
                                              <a:moveTo>
                                                <a:pt x="153620" y="219456"/>
                                              </a:moveTo>
                                              <a:lnTo>
                                                <a:pt x="292608" y="0"/>
                                              </a:lnTo>
                                              <a:lnTo>
                                                <a:pt x="446228" y="117044"/>
                                              </a:lnTo>
                                              <a:lnTo>
                                                <a:pt x="919032" y="268131"/>
                                              </a:lnTo>
                                              <a:lnTo>
                                                <a:pt x="1181936" y="537058"/>
                                              </a:lnTo>
                                              <a:lnTo>
                                                <a:pt x="848564" y="680314"/>
                                              </a:lnTo>
                                              <a:lnTo>
                                                <a:pt x="548640" y="826618"/>
                                              </a:lnTo>
                                              <a:lnTo>
                                                <a:pt x="58522" y="833933"/>
                                              </a:lnTo>
                                              <a:lnTo>
                                                <a:pt x="0" y="409652"/>
                                              </a:lnTo>
                                              <a:lnTo>
                                                <a:pt x="153620" y="219456"/>
                                              </a:lnTo>
                                              <a:close/>
                                            </a:path>
                                          </a:pathLst>
                                        </a:cu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EF7E8" w14:textId="77777777" w:rsidR="00D55F13" w:rsidRPr="004E4C01" w:rsidRDefault="00D55F13" w:rsidP="00077E48">
                                            <w:pPr>
                                              <w:jc w:val="cente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5" name="2609 Cuadro de texto"/>
                                      <wps:cNvSpPr txBox="1"/>
                                      <wps:spPr>
                                        <a:xfrm>
                                          <a:off x="285750" y="590550"/>
                                          <a:ext cx="92119" cy="175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D7E39" w14:textId="77777777" w:rsidR="00D55F13" w:rsidRPr="004E4C01" w:rsidRDefault="00D55F13" w:rsidP="00077E48">
                                            <w:pPr>
                                              <w:rPr>
                                                <w:i/>
                                              </w:rPr>
                                            </w:pPr>
                                            <w:r w:rsidRPr="004E4C01">
                                              <w:rPr>
                                                <w:i/>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846" name="2610 Conector"/>
                                    <wps:cNvSpPr/>
                                    <wps:spPr>
                                      <a:xfrm>
                                        <a:off x="381000" y="571500"/>
                                        <a:ext cx="50367" cy="50367"/>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47" name="2608 Forma libre"/>
                                  <wps:cNvSpPr/>
                                  <wps:spPr>
                                    <a:xfrm>
                                      <a:off x="774700" y="0"/>
                                      <a:ext cx="442441" cy="357289"/>
                                    </a:xfrm>
                                    <a:custGeom>
                                      <a:avLst/>
                                      <a:gdLst>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463040 w 1675181"/>
                                        <a:gd name="connsiteY9" fmla="*/ 504749 h 1141171"/>
                                        <a:gd name="connsiteX10" fmla="*/ 1558138 w 1675181"/>
                                        <a:gd name="connsiteY10" fmla="*/ 746150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463040 w 1675181"/>
                                        <a:gd name="connsiteY9" fmla="*/ 504749 h 1141171"/>
                                        <a:gd name="connsiteX10" fmla="*/ 1234564 w 1675181"/>
                                        <a:gd name="connsiteY10" fmla="*/ 614998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119243 w 1675181"/>
                                        <a:gd name="connsiteY9" fmla="*/ 403862 h 1141171"/>
                                        <a:gd name="connsiteX10" fmla="*/ 1234564 w 1675181"/>
                                        <a:gd name="connsiteY10" fmla="*/ 614998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 name="connsiteX0" fmla="*/ 153620 w 1558138"/>
                                        <a:gd name="connsiteY0" fmla="*/ 526694 h 1141171"/>
                                        <a:gd name="connsiteX1" fmla="*/ 292608 w 1558138"/>
                                        <a:gd name="connsiteY1" fmla="*/ 307238 h 1141171"/>
                                        <a:gd name="connsiteX2" fmla="*/ 446228 w 1558138"/>
                                        <a:gd name="connsiteY2" fmla="*/ 424282 h 1141171"/>
                                        <a:gd name="connsiteX3" fmla="*/ 651053 w 1558138"/>
                                        <a:gd name="connsiteY3" fmla="*/ 285293 h 1141171"/>
                                        <a:gd name="connsiteX4" fmla="*/ 811988 w 1558138"/>
                                        <a:gd name="connsiteY4" fmla="*/ 80467 h 1141171"/>
                                        <a:gd name="connsiteX5" fmla="*/ 1272845 w 1558138"/>
                                        <a:gd name="connsiteY5" fmla="*/ 0 h 1141171"/>
                                        <a:gd name="connsiteX6" fmla="*/ 1558138 w 1558138"/>
                                        <a:gd name="connsiteY6" fmla="*/ 29261 h 1141171"/>
                                        <a:gd name="connsiteX7" fmla="*/ 1492301 w 1558138"/>
                                        <a:gd name="connsiteY7" fmla="*/ 321869 h 1141171"/>
                                        <a:gd name="connsiteX8" fmla="*/ 1119243 w 1558138"/>
                                        <a:gd name="connsiteY8" fmla="*/ 403862 h 1141171"/>
                                        <a:gd name="connsiteX9" fmla="*/ 1234564 w 1558138"/>
                                        <a:gd name="connsiteY9" fmla="*/ 614998 h 1141171"/>
                                        <a:gd name="connsiteX10" fmla="*/ 1331367 w 1558138"/>
                                        <a:gd name="connsiteY10" fmla="*/ 892454 h 1141171"/>
                                        <a:gd name="connsiteX11" fmla="*/ 848564 w 1558138"/>
                                        <a:gd name="connsiteY11" fmla="*/ 987552 h 1141171"/>
                                        <a:gd name="connsiteX12" fmla="*/ 548640 w 1558138"/>
                                        <a:gd name="connsiteY12" fmla="*/ 1133856 h 1141171"/>
                                        <a:gd name="connsiteX13" fmla="*/ 58522 w 1558138"/>
                                        <a:gd name="connsiteY13" fmla="*/ 1141171 h 1141171"/>
                                        <a:gd name="connsiteX14" fmla="*/ 0 w 1558138"/>
                                        <a:gd name="connsiteY14" fmla="*/ 716890 h 1141171"/>
                                        <a:gd name="connsiteX15" fmla="*/ 153620 w 1558138"/>
                                        <a:gd name="connsiteY15" fmla="*/ 526694 h 1141171"/>
                                        <a:gd name="connsiteX0" fmla="*/ 153620 w 1492300"/>
                                        <a:gd name="connsiteY0" fmla="*/ 526694 h 1141171"/>
                                        <a:gd name="connsiteX1" fmla="*/ 292608 w 1492300"/>
                                        <a:gd name="connsiteY1" fmla="*/ 307238 h 1141171"/>
                                        <a:gd name="connsiteX2" fmla="*/ 446228 w 1492300"/>
                                        <a:gd name="connsiteY2" fmla="*/ 424282 h 1141171"/>
                                        <a:gd name="connsiteX3" fmla="*/ 651053 w 1492300"/>
                                        <a:gd name="connsiteY3" fmla="*/ 285293 h 1141171"/>
                                        <a:gd name="connsiteX4" fmla="*/ 811988 w 1492300"/>
                                        <a:gd name="connsiteY4" fmla="*/ 80467 h 1141171"/>
                                        <a:gd name="connsiteX5" fmla="*/ 1272845 w 1492300"/>
                                        <a:gd name="connsiteY5" fmla="*/ 0 h 1141171"/>
                                        <a:gd name="connsiteX6" fmla="*/ 1492301 w 1492300"/>
                                        <a:gd name="connsiteY6" fmla="*/ 321869 h 1141171"/>
                                        <a:gd name="connsiteX7" fmla="*/ 1119243 w 1492300"/>
                                        <a:gd name="connsiteY7" fmla="*/ 403862 h 1141171"/>
                                        <a:gd name="connsiteX8" fmla="*/ 1234564 w 1492300"/>
                                        <a:gd name="connsiteY8" fmla="*/ 614998 h 1141171"/>
                                        <a:gd name="connsiteX9" fmla="*/ 1331367 w 1492300"/>
                                        <a:gd name="connsiteY9" fmla="*/ 892454 h 1141171"/>
                                        <a:gd name="connsiteX10" fmla="*/ 848564 w 1492300"/>
                                        <a:gd name="connsiteY10" fmla="*/ 987552 h 1141171"/>
                                        <a:gd name="connsiteX11" fmla="*/ 548640 w 1492300"/>
                                        <a:gd name="connsiteY11" fmla="*/ 1133856 h 1141171"/>
                                        <a:gd name="connsiteX12" fmla="*/ 58522 w 1492300"/>
                                        <a:gd name="connsiteY12" fmla="*/ 1141171 h 1141171"/>
                                        <a:gd name="connsiteX13" fmla="*/ 0 w 1492300"/>
                                        <a:gd name="connsiteY13" fmla="*/ 716890 h 1141171"/>
                                        <a:gd name="connsiteX14" fmla="*/ 153620 w 1492300"/>
                                        <a:gd name="connsiteY14" fmla="*/ 526694 h 1141171"/>
                                        <a:gd name="connsiteX0" fmla="*/ 153620 w 1331366"/>
                                        <a:gd name="connsiteY0" fmla="*/ 526694 h 1141171"/>
                                        <a:gd name="connsiteX1" fmla="*/ 292608 w 1331366"/>
                                        <a:gd name="connsiteY1" fmla="*/ 307238 h 1141171"/>
                                        <a:gd name="connsiteX2" fmla="*/ 446228 w 1331366"/>
                                        <a:gd name="connsiteY2" fmla="*/ 424282 h 1141171"/>
                                        <a:gd name="connsiteX3" fmla="*/ 651053 w 1331366"/>
                                        <a:gd name="connsiteY3" fmla="*/ 285293 h 1141171"/>
                                        <a:gd name="connsiteX4" fmla="*/ 811988 w 1331366"/>
                                        <a:gd name="connsiteY4" fmla="*/ 80467 h 1141171"/>
                                        <a:gd name="connsiteX5" fmla="*/ 1272845 w 1331366"/>
                                        <a:gd name="connsiteY5" fmla="*/ 0 h 1141171"/>
                                        <a:gd name="connsiteX6" fmla="*/ 1119243 w 1331366"/>
                                        <a:gd name="connsiteY6" fmla="*/ 403862 h 1141171"/>
                                        <a:gd name="connsiteX7" fmla="*/ 1234564 w 1331366"/>
                                        <a:gd name="connsiteY7" fmla="*/ 614998 h 1141171"/>
                                        <a:gd name="connsiteX8" fmla="*/ 1331367 w 1331366"/>
                                        <a:gd name="connsiteY8" fmla="*/ 892454 h 1141171"/>
                                        <a:gd name="connsiteX9" fmla="*/ 848564 w 1331366"/>
                                        <a:gd name="connsiteY9" fmla="*/ 987552 h 1141171"/>
                                        <a:gd name="connsiteX10" fmla="*/ 548640 w 1331366"/>
                                        <a:gd name="connsiteY10" fmla="*/ 1133856 h 1141171"/>
                                        <a:gd name="connsiteX11" fmla="*/ 58522 w 1331366"/>
                                        <a:gd name="connsiteY11" fmla="*/ 1141171 h 1141171"/>
                                        <a:gd name="connsiteX12" fmla="*/ 0 w 1331366"/>
                                        <a:gd name="connsiteY12" fmla="*/ 716890 h 1141171"/>
                                        <a:gd name="connsiteX13" fmla="*/ 153620 w 1331366"/>
                                        <a:gd name="connsiteY13" fmla="*/ 526694 h 1141171"/>
                                        <a:gd name="connsiteX0" fmla="*/ 153620 w 1331368"/>
                                        <a:gd name="connsiteY0" fmla="*/ 446226 h 1060703"/>
                                        <a:gd name="connsiteX1" fmla="*/ 292608 w 1331368"/>
                                        <a:gd name="connsiteY1" fmla="*/ 226770 h 1060703"/>
                                        <a:gd name="connsiteX2" fmla="*/ 446228 w 1331368"/>
                                        <a:gd name="connsiteY2" fmla="*/ 343814 h 1060703"/>
                                        <a:gd name="connsiteX3" fmla="*/ 651053 w 1331368"/>
                                        <a:gd name="connsiteY3" fmla="*/ 204825 h 1060703"/>
                                        <a:gd name="connsiteX4" fmla="*/ 811988 w 1331368"/>
                                        <a:gd name="connsiteY4" fmla="*/ -1 h 1060703"/>
                                        <a:gd name="connsiteX5" fmla="*/ 1119243 w 1331368"/>
                                        <a:gd name="connsiteY5" fmla="*/ 323394 h 1060703"/>
                                        <a:gd name="connsiteX6" fmla="*/ 1234564 w 1331368"/>
                                        <a:gd name="connsiteY6" fmla="*/ 534530 h 1060703"/>
                                        <a:gd name="connsiteX7" fmla="*/ 1331367 w 1331368"/>
                                        <a:gd name="connsiteY7" fmla="*/ 811986 h 1060703"/>
                                        <a:gd name="connsiteX8" fmla="*/ 848564 w 1331368"/>
                                        <a:gd name="connsiteY8" fmla="*/ 907084 h 1060703"/>
                                        <a:gd name="connsiteX9" fmla="*/ 548640 w 1331368"/>
                                        <a:gd name="connsiteY9" fmla="*/ 1053388 h 1060703"/>
                                        <a:gd name="connsiteX10" fmla="*/ 58522 w 1331368"/>
                                        <a:gd name="connsiteY10" fmla="*/ 1060703 h 1060703"/>
                                        <a:gd name="connsiteX11" fmla="*/ 0 w 1331368"/>
                                        <a:gd name="connsiteY11" fmla="*/ 636422 h 1060703"/>
                                        <a:gd name="connsiteX12" fmla="*/ 153620 w 1331368"/>
                                        <a:gd name="connsiteY12" fmla="*/ 446226 h 1060703"/>
                                        <a:gd name="connsiteX0" fmla="*/ 153620 w 1331366"/>
                                        <a:gd name="connsiteY0" fmla="*/ 446228 h 1060705"/>
                                        <a:gd name="connsiteX1" fmla="*/ 292608 w 1331366"/>
                                        <a:gd name="connsiteY1" fmla="*/ 226772 h 1060705"/>
                                        <a:gd name="connsiteX2" fmla="*/ 446228 w 1331366"/>
                                        <a:gd name="connsiteY2" fmla="*/ 343816 h 1060705"/>
                                        <a:gd name="connsiteX3" fmla="*/ 651053 w 1331366"/>
                                        <a:gd name="connsiteY3" fmla="*/ 204827 h 1060705"/>
                                        <a:gd name="connsiteX4" fmla="*/ 811988 w 1331366"/>
                                        <a:gd name="connsiteY4" fmla="*/ 1 h 1060705"/>
                                        <a:gd name="connsiteX5" fmla="*/ 1181935 w 1331366"/>
                                        <a:gd name="connsiteY5" fmla="*/ 101445 h 1060705"/>
                                        <a:gd name="connsiteX6" fmla="*/ 1234564 w 1331366"/>
                                        <a:gd name="connsiteY6" fmla="*/ 534532 h 1060705"/>
                                        <a:gd name="connsiteX7" fmla="*/ 1331367 w 1331366"/>
                                        <a:gd name="connsiteY7" fmla="*/ 811988 h 1060705"/>
                                        <a:gd name="connsiteX8" fmla="*/ 848564 w 1331366"/>
                                        <a:gd name="connsiteY8" fmla="*/ 907086 h 1060705"/>
                                        <a:gd name="connsiteX9" fmla="*/ 548640 w 1331366"/>
                                        <a:gd name="connsiteY9" fmla="*/ 1053390 h 1060705"/>
                                        <a:gd name="connsiteX10" fmla="*/ 58522 w 1331366"/>
                                        <a:gd name="connsiteY10" fmla="*/ 1060705 h 1060705"/>
                                        <a:gd name="connsiteX11" fmla="*/ 0 w 1331366"/>
                                        <a:gd name="connsiteY11" fmla="*/ 636424 h 1060705"/>
                                        <a:gd name="connsiteX12" fmla="*/ 153620 w 1331366"/>
                                        <a:gd name="connsiteY12" fmla="*/ 446228 h 1060705"/>
                                        <a:gd name="connsiteX0" fmla="*/ 153620 w 1234564"/>
                                        <a:gd name="connsiteY0" fmla="*/ 446226 h 1060703"/>
                                        <a:gd name="connsiteX1" fmla="*/ 292608 w 1234564"/>
                                        <a:gd name="connsiteY1" fmla="*/ 226770 h 1060703"/>
                                        <a:gd name="connsiteX2" fmla="*/ 446228 w 1234564"/>
                                        <a:gd name="connsiteY2" fmla="*/ 343814 h 1060703"/>
                                        <a:gd name="connsiteX3" fmla="*/ 651053 w 1234564"/>
                                        <a:gd name="connsiteY3" fmla="*/ 204825 h 1060703"/>
                                        <a:gd name="connsiteX4" fmla="*/ 811988 w 1234564"/>
                                        <a:gd name="connsiteY4" fmla="*/ -1 h 1060703"/>
                                        <a:gd name="connsiteX5" fmla="*/ 1181935 w 1234564"/>
                                        <a:gd name="connsiteY5" fmla="*/ 101443 h 1060703"/>
                                        <a:gd name="connsiteX6" fmla="*/ 1234564 w 1234564"/>
                                        <a:gd name="connsiteY6" fmla="*/ 534530 h 1060703"/>
                                        <a:gd name="connsiteX7" fmla="*/ 1181936 w 1234564"/>
                                        <a:gd name="connsiteY7" fmla="*/ 763828 h 1060703"/>
                                        <a:gd name="connsiteX8" fmla="*/ 848564 w 1234564"/>
                                        <a:gd name="connsiteY8" fmla="*/ 907084 h 1060703"/>
                                        <a:gd name="connsiteX9" fmla="*/ 548640 w 1234564"/>
                                        <a:gd name="connsiteY9" fmla="*/ 1053388 h 1060703"/>
                                        <a:gd name="connsiteX10" fmla="*/ 58522 w 1234564"/>
                                        <a:gd name="connsiteY10" fmla="*/ 1060703 h 1060703"/>
                                        <a:gd name="connsiteX11" fmla="*/ 0 w 1234564"/>
                                        <a:gd name="connsiteY11" fmla="*/ 636422 h 1060703"/>
                                        <a:gd name="connsiteX12" fmla="*/ 153620 w 1234564"/>
                                        <a:gd name="connsiteY12" fmla="*/ 446226 h 1060703"/>
                                        <a:gd name="connsiteX0" fmla="*/ 153620 w 1234564"/>
                                        <a:gd name="connsiteY0" fmla="*/ 344783 h 959260"/>
                                        <a:gd name="connsiteX1" fmla="*/ 292608 w 1234564"/>
                                        <a:gd name="connsiteY1" fmla="*/ 125327 h 959260"/>
                                        <a:gd name="connsiteX2" fmla="*/ 446228 w 1234564"/>
                                        <a:gd name="connsiteY2" fmla="*/ 242371 h 959260"/>
                                        <a:gd name="connsiteX3" fmla="*/ 651053 w 1234564"/>
                                        <a:gd name="connsiteY3" fmla="*/ 103382 h 959260"/>
                                        <a:gd name="connsiteX4" fmla="*/ 1181935 w 1234564"/>
                                        <a:gd name="connsiteY4" fmla="*/ 0 h 959260"/>
                                        <a:gd name="connsiteX5" fmla="*/ 1234564 w 1234564"/>
                                        <a:gd name="connsiteY5" fmla="*/ 433087 h 959260"/>
                                        <a:gd name="connsiteX6" fmla="*/ 1181936 w 1234564"/>
                                        <a:gd name="connsiteY6" fmla="*/ 662385 h 959260"/>
                                        <a:gd name="connsiteX7" fmla="*/ 848564 w 1234564"/>
                                        <a:gd name="connsiteY7" fmla="*/ 805641 h 959260"/>
                                        <a:gd name="connsiteX8" fmla="*/ 548640 w 1234564"/>
                                        <a:gd name="connsiteY8" fmla="*/ 951945 h 959260"/>
                                        <a:gd name="connsiteX9" fmla="*/ 58522 w 1234564"/>
                                        <a:gd name="connsiteY9" fmla="*/ 959260 h 959260"/>
                                        <a:gd name="connsiteX10" fmla="*/ 0 w 1234564"/>
                                        <a:gd name="connsiteY10" fmla="*/ 534979 h 959260"/>
                                        <a:gd name="connsiteX11" fmla="*/ 153620 w 1234564"/>
                                        <a:gd name="connsiteY11" fmla="*/ 344783 h 959260"/>
                                        <a:gd name="connsiteX0" fmla="*/ 153620 w 1234564"/>
                                        <a:gd name="connsiteY0" fmla="*/ 241400 h 855877"/>
                                        <a:gd name="connsiteX1" fmla="*/ 292608 w 1234564"/>
                                        <a:gd name="connsiteY1" fmla="*/ 21944 h 855877"/>
                                        <a:gd name="connsiteX2" fmla="*/ 446228 w 1234564"/>
                                        <a:gd name="connsiteY2" fmla="*/ 138988 h 855877"/>
                                        <a:gd name="connsiteX3" fmla="*/ 651053 w 1234564"/>
                                        <a:gd name="connsiteY3" fmla="*/ -1 h 855877"/>
                                        <a:gd name="connsiteX4" fmla="*/ 919032 w 1234564"/>
                                        <a:gd name="connsiteY4" fmla="*/ 290075 h 855877"/>
                                        <a:gd name="connsiteX5" fmla="*/ 1234564 w 1234564"/>
                                        <a:gd name="connsiteY5" fmla="*/ 329704 h 855877"/>
                                        <a:gd name="connsiteX6" fmla="*/ 1181936 w 1234564"/>
                                        <a:gd name="connsiteY6" fmla="*/ 559002 h 855877"/>
                                        <a:gd name="connsiteX7" fmla="*/ 848564 w 1234564"/>
                                        <a:gd name="connsiteY7" fmla="*/ 702258 h 855877"/>
                                        <a:gd name="connsiteX8" fmla="*/ 548640 w 1234564"/>
                                        <a:gd name="connsiteY8" fmla="*/ 848562 h 855877"/>
                                        <a:gd name="connsiteX9" fmla="*/ 58522 w 1234564"/>
                                        <a:gd name="connsiteY9" fmla="*/ 855877 h 855877"/>
                                        <a:gd name="connsiteX10" fmla="*/ 0 w 1234564"/>
                                        <a:gd name="connsiteY10" fmla="*/ 431596 h 855877"/>
                                        <a:gd name="connsiteX11" fmla="*/ 153620 w 1234564"/>
                                        <a:gd name="connsiteY11" fmla="*/ 241400 h 855877"/>
                                        <a:gd name="connsiteX0" fmla="*/ 153620 w 1181936"/>
                                        <a:gd name="connsiteY0" fmla="*/ 241402 h 855879"/>
                                        <a:gd name="connsiteX1" fmla="*/ 292608 w 1181936"/>
                                        <a:gd name="connsiteY1" fmla="*/ 21946 h 855879"/>
                                        <a:gd name="connsiteX2" fmla="*/ 446228 w 1181936"/>
                                        <a:gd name="connsiteY2" fmla="*/ 138990 h 855879"/>
                                        <a:gd name="connsiteX3" fmla="*/ 651053 w 1181936"/>
                                        <a:gd name="connsiteY3" fmla="*/ 1 h 855879"/>
                                        <a:gd name="connsiteX4" fmla="*/ 919032 w 1181936"/>
                                        <a:gd name="connsiteY4" fmla="*/ 290077 h 855879"/>
                                        <a:gd name="connsiteX5" fmla="*/ 1181936 w 1181936"/>
                                        <a:gd name="connsiteY5" fmla="*/ 559004 h 855879"/>
                                        <a:gd name="connsiteX6" fmla="*/ 848564 w 1181936"/>
                                        <a:gd name="connsiteY6" fmla="*/ 702260 h 855879"/>
                                        <a:gd name="connsiteX7" fmla="*/ 548640 w 1181936"/>
                                        <a:gd name="connsiteY7" fmla="*/ 848564 h 855879"/>
                                        <a:gd name="connsiteX8" fmla="*/ 58522 w 1181936"/>
                                        <a:gd name="connsiteY8" fmla="*/ 855879 h 855879"/>
                                        <a:gd name="connsiteX9" fmla="*/ 0 w 1181936"/>
                                        <a:gd name="connsiteY9" fmla="*/ 431598 h 855879"/>
                                        <a:gd name="connsiteX10" fmla="*/ 153620 w 1181936"/>
                                        <a:gd name="connsiteY10" fmla="*/ 241402 h 855879"/>
                                        <a:gd name="connsiteX0" fmla="*/ 153620 w 1181936"/>
                                        <a:gd name="connsiteY0" fmla="*/ 219456 h 833933"/>
                                        <a:gd name="connsiteX1" fmla="*/ 292608 w 1181936"/>
                                        <a:gd name="connsiteY1" fmla="*/ 0 h 833933"/>
                                        <a:gd name="connsiteX2" fmla="*/ 446228 w 1181936"/>
                                        <a:gd name="connsiteY2" fmla="*/ 117044 h 833933"/>
                                        <a:gd name="connsiteX3" fmla="*/ 919032 w 1181936"/>
                                        <a:gd name="connsiteY3" fmla="*/ 268131 h 833933"/>
                                        <a:gd name="connsiteX4" fmla="*/ 1181936 w 1181936"/>
                                        <a:gd name="connsiteY4" fmla="*/ 537058 h 833933"/>
                                        <a:gd name="connsiteX5" fmla="*/ 848564 w 1181936"/>
                                        <a:gd name="connsiteY5" fmla="*/ 680314 h 833933"/>
                                        <a:gd name="connsiteX6" fmla="*/ 548640 w 1181936"/>
                                        <a:gd name="connsiteY6" fmla="*/ 826618 h 833933"/>
                                        <a:gd name="connsiteX7" fmla="*/ 58522 w 1181936"/>
                                        <a:gd name="connsiteY7" fmla="*/ 833933 h 833933"/>
                                        <a:gd name="connsiteX8" fmla="*/ 0 w 1181936"/>
                                        <a:gd name="connsiteY8" fmla="*/ 409652 h 833933"/>
                                        <a:gd name="connsiteX9" fmla="*/ 153620 w 1181936"/>
                                        <a:gd name="connsiteY9" fmla="*/ 219456 h 833933"/>
                                        <a:gd name="connsiteX0" fmla="*/ 153620 w 919031"/>
                                        <a:gd name="connsiteY0" fmla="*/ 219456 h 833933"/>
                                        <a:gd name="connsiteX1" fmla="*/ 292608 w 919031"/>
                                        <a:gd name="connsiteY1" fmla="*/ 0 h 833933"/>
                                        <a:gd name="connsiteX2" fmla="*/ 446228 w 919031"/>
                                        <a:gd name="connsiteY2" fmla="*/ 117044 h 833933"/>
                                        <a:gd name="connsiteX3" fmla="*/ 919032 w 919031"/>
                                        <a:gd name="connsiteY3" fmla="*/ 268131 h 833933"/>
                                        <a:gd name="connsiteX4" fmla="*/ 655679 w 919031"/>
                                        <a:gd name="connsiteY4" fmla="*/ 426002 h 833933"/>
                                        <a:gd name="connsiteX5" fmla="*/ 848564 w 919031"/>
                                        <a:gd name="connsiteY5" fmla="*/ 680314 h 833933"/>
                                        <a:gd name="connsiteX6" fmla="*/ 548640 w 919031"/>
                                        <a:gd name="connsiteY6" fmla="*/ 826618 h 833933"/>
                                        <a:gd name="connsiteX7" fmla="*/ 58522 w 919031"/>
                                        <a:gd name="connsiteY7" fmla="*/ 833933 h 833933"/>
                                        <a:gd name="connsiteX8" fmla="*/ 0 w 919031"/>
                                        <a:gd name="connsiteY8" fmla="*/ 409652 h 833933"/>
                                        <a:gd name="connsiteX9" fmla="*/ 153620 w 919031"/>
                                        <a:gd name="connsiteY9" fmla="*/ 219456 h 833933"/>
                                        <a:gd name="connsiteX0" fmla="*/ 153620 w 848564"/>
                                        <a:gd name="connsiteY0" fmla="*/ 219456 h 833933"/>
                                        <a:gd name="connsiteX1" fmla="*/ 292608 w 848564"/>
                                        <a:gd name="connsiteY1" fmla="*/ 0 h 833933"/>
                                        <a:gd name="connsiteX2" fmla="*/ 446228 w 848564"/>
                                        <a:gd name="connsiteY2" fmla="*/ 117044 h 833933"/>
                                        <a:gd name="connsiteX3" fmla="*/ 504052 w 848564"/>
                                        <a:gd name="connsiteY3" fmla="*/ 318612 h 833933"/>
                                        <a:gd name="connsiteX4" fmla="*/ 655679 w 848564"/>
                                        <a:gd name="connsiteY4" fmla="*/ 426002 h 833933"/>
                                        <a:gd name="connsiteX5" fmla="*/ 848564 w 848564"/>
                                        <a:gd name="connsiteY5" fmla="*/ 680314 h 833933"/>
                                        <a:gd name="connsiteX6" fmla="*/ 548640 w 848564"/>
                                        <a:gd name="connsiteY6" fmla="*/ 826618 h 833933"/>
                                        <a:gd name="connsiteX7" fmla="*/ 58522 w 848564"/>
                                        <a:gd name="connsiteY7" fmla="*/ 833933 h 833933"/>
                                        <a:gd name="connsiteX8" fmla="*/ 0 w 848564"/>
                                        <a:gd name="connsiteY8" fmla="*/ 409652 h 833933"/>
                                        <a:gd name="connsiteX9" fmla="*/ 153620 w 848564"/>
                                        <a:gd name="connsiteY9" fmla="*/ 219456 h 833933"/>
                                        <a:gd name="connsiteX0" fmla="*/ 153620 w 848564"/>
                                        <a:gd name="connsiteY0" fmla="*/ 219456 h 833933"/>
                                        <a:gd name="connsiteX1" fmla="*/ 292608 w 848564"/>
                                        <a:gd name="connsiteY1" fmla="*/ 0 h 833933"/>
                                        <a:gd name="connsiteX2" fmla="*/ 446228 w 848564"/>
                                        <a:gd name="connsiteY2" fmla="*/ 117044 h 833933"/>
                                        <a:gd name="connsiteX3" fmla="*/ 655679 w 848564"/>
                                        <a:gd name="connsiteY3" fmla="*/ 426002 h 833933"/>
                                        <a:gd name="connsiteX4" fmla="*/ 848564 w 848564"/>
                                        <a:gd name="connsiteY4" fmla="*/ 680314 h 833933"/>
                                        <a:gd name="connsiteX5" fmla="*/ 548640 w 848564"/>
                                        <a:gd name="connsiteY5" fmla="*/ 826618 h 833933"/>
                                        <a:gd name="connsiteX6" fmla="*/ 58522 w 848564"/>
                                        <a:gd name="connsiteY6" fmla="*/ 833933 h 833933"/>
                                        <a:gd name="connsiteX7" fmla="*/ 0 w 848564"/>
                                        <a:gd name="connsiteY7" fmla="*/ 409652 h 833933"/>
                                        <a:gd name="connsiteX8" fmla="*/ 153620 w 848564"/>
                                        <a:gd name="connsiteY8" fmla="*/ 219456 h 833933"/>
                                        <a:gd name="connsiteX0" fmla="*/ 153620 w 848564"/>
                                        <a:gd name="connsiteY0" fmla="*/ 102412 h 716889"/>
                                        <a:gd name="connsiteX1" fmla="*/ 446228 w 848564"/>
                                        <a:gd name="connsiteY1" fmla="*/ 0 h 716889"/>
                                        <a:gd name="connsiteX2" fmla="*/ 655679 w 848564"/>
                                        <a:gd name="connsiteY2" fmla="*/ 308958 h 716889"/>
                                        <a:gd name="connsiteX3" fmla="*/ 848564 w 848564"/>
                                        <a:gd name="connsiteY3" fmla="*/ 563270 h 716889"/>
                                        <a:gd name="connsiteX4" fmla="*/ 548640 w 848564"/>
                                        <a:gd name="connsiteY4" fmla="*/ 709574 h 716889"/>
                                        <a:gd name="connsiteX5" fmla="*/ 58522 w 848564"/>
                                        <a:gd name="connsiteY5" fmla="*/ 716889 h 716889"/>
                                        <a:gd name="connsiteX6" fmla="*/ 0 w 848564"/>
                                        <a:gd name="connsiteY6" fmla="*/ 292608 h 716889"/>
                                        <a:gd name="connsiteX7" fmla="*/ 153620 w 848564"/>
                                        <a:gd name="connsiteY7" fmla="*/ 102412 h 716889"/>
                                        <a:gd name="connsiteX0" fmla="*/ 153620 w 848564"/>
                                        <a:gd name="connsiteY0" fmla="*/ 102412 h 709574"/>
                                        <a:gd name="connsiteX1" fmla="*/ 446228 w 848564"/>
                                        <a:gd name="connsiteY1" fmla="*/ 0 h 709574"/>
                                        <a:gd name="connsiteX2" fmla="*/ 655679 w 848564"/>
                                        <a:gd name="connsiteY2" fmla="*/ 308958 h 709574"/>
                                        <a:gd name="connsiteX3" fmla="*/ 848564 w 848564"/>
                                        <a:gd name="connsiteY3" fmla="*/ 563270 h 709574"/>
                                        <a:gd name="connsiteX4" fmla="*/ 548640 w 848564"/>
                                        <a:gd name="connsiteY4" fmla="*/ 709574 h 709574"/>
                                        <a:gd name="connsiteX5" fmla="*/ 99027 w 848564"/>
                                        <a:gd name="connsiteY5" fmla="*/ 565434 h 709574"/>
                                        <a:gd name="connsiteX6" fmla="*/ 0 w 848564"/>
                                        <a:gd name="connsiteY6" fmla="*/ 292608 h 709574"/>
                                        <a:gd name="connsiteX7" fmla="*/ 153620 w 848564"/>
                                        <a:gd name="connsiteY7" fmla="*/ 102412 h 709574"/>
                                        <a:gd name="connsiteX0" fmla="*/ 386519 w 1081463"/>
                                        <a:gd name="connsiteY0" fmla="*/ 102412 h 709574"/>
                                        <a:gd name="connsiteX1" fmla="*/ 679127 w 1081463"/>
                                        <a:gd name="connsiteY1" fmla="*/ 0 h 709574"/>
                                        <a:gd name="connsiteX2" fmla="*/ 888578 w 1081463"/>
                                        <a:gd name="connsiteY2" fmla="*/ 308958 h 709574"/>
                                        <a:gd name="connsiteX3" fmla="*/ 1081463 w 1081463"/>
                                        <a:gd name="connsiteY3" fmla="*/ 563270 h 709574"/>
                                        <a:gd name="connsiteX4" fmla="*/ 781539 w 1081463"/>
                                        <a:gd name="connsiteY4" fmla="*/ 709574 h 709574"/>
                                        <a:gd name="connsiteX5" fmla="*/ 331926 w 1081463"/>
                                        <a:gd name="connsiteY5" fmla="*/ 565434 h 709574"/>
                                        <a:gd name="connsiteX6" fmla="*/ 0 w 1081463"/>
                                        <a:gd name="connsiteY6" fmla="*/ 343148 h 709574"/>
                                        <a:gd name="connsiteX7" fmla="*/ 386519 w 1081463"/>
                                        <a:gd name="connsiteY7" fmla="*/ 102412 h 709574"/>
                                        <a:gd name="connsiteX0" fmla="*/ 386519 w 1081463"/>
                                        <a:gd name="connsiteY0" fmla="*/ 0 h 607162"/>
                                        <a:gd name="connsiteX1" fmla="*/ 587992 w 1081463"/>
                                        <a:gd name="connsiteY1" fmla="*/ 59314 h 607162"/>
                                        <a:gd name="connsiteX2" fmla="*/ 888578 w 1081463"/>
                                        <a:gd name="connsiteY2" fmla="*/ 206546 h 607162"/>
                                        <a:gd name="connsiteX3" fmla="*/ 1081463 w 1081463"/>
                                        <a:gd name="connsiteY3" fmla="*/ 460858 h 607162"/>
                                        <a:gd name="connsiteX4" fmla="*/ 781539 w 1081463"/>
                                        <a:gd name="connsiteY4" fmla="*/ 607162 h 607162"/>
                                        <a:gd name="connsiteX5" fmla="*/ 331926 w 1081463"/>
                                        <a:gd name="connsiteY5" fmla="*/ 463022 h 607162"/>
                                        <a:gd name="connsiteX6" fmla="*/ 0 w 1081463"/>
                                        <a:gd name="connsiteY6" fmla="*/ 240736 h 607162"/>
                                        <a:gd name="connsiteX7" fmla="*/ 386519 w 1081463"/>
                                        <a:gd name="connsiteY7" fmla="*/ 0 h 607162"/>
                                        <a:gd name="connsiteX0" fmla="*/ 275132 w 1081463"/>
                                        <a:gd name="connsiteY0" fmla="*/ 82121 h 547848"/>
                                        <a:gd name="connsiteX1" fmla="*/ 587992 w 1081463"/>
                                        <a:gd name="connsiteY1" fmla="*/ 0 h 547848"/>
                                        <a:gd name="connsiteX2" fmla="*/ 888578 w 1081463"/>
                                        <a:gd name="connsiteY2" fmla="*/ 147232 h 547848"/>
                                        <a:gd name="connsiteX3" fmla="*/ 1081463 w 1081463"/>
                                        <a:gd name="connsiteY3" fmla="*/ 401544 h 547848"/>
                                        <a:gd name="connsiteX4" fmla="*/ 781539 w 1081463"/>
                                        <a:gd name="connsiteY4" fmla="*/ 547848 h 547848"/>
                                        <a:gd name="connsiteX5" fmla="*/ 331926 w 1081463"/>
                                        <a:gd name="connsiteY5" fmla="*/ 403708 h 547848"/>
                                        <a:gd name="connsiteX6" fmla="*/ 0 w 1081463"/>
                                        <a:gd name="connsiteY6" fmla="*/ 181422 h 547848"/>
                                        <a:gd name="connsiteX7" fmla="*/ 275132 w 1081463"/>
                                        <a:gd name="connsiteY7" fmla="*/ 82121 h 547848"/>
                                        <a:gd name="connsiteX0" fmla="*/ 376393 w 1081463"/>
                                        <a:gd name="connsiteY0" fmla="*/ 173092 h 547848"/>
                                        <a:gd name="connsiteX1" fmla="*/ 587992 w 1081463"/>
                                        <a:gd name="connsiteY1" fmla="*/ 0 h 547848"/>
                                        <a:gd name="connsiteX2" fmla="*/ 888578 w 1081463"/>
                                        <a:gd name="connsiteY2" fmla="*/ 147232 h 547848"/>
                                        <a:gd name="connsiteX3" fmla="*/ 1081463 w 1081463"/>
                                        <a:gd name="connsiteY3" fmla="*/ 401544 h 547848"/>
                                        <a:gd name="connsiteX4" fmla="*/ 781539 w 1081463"/>
                                        <a:gd name="connsiteY4" fmla="*/ 547848 h 547848"/>
                                        <a:gd name="connsiteX5" fmla="*/ 331926 w 1081463"/>
                                        <a:gd name="connsiteY5" fmla="*/ 403708 h 547848"/>
                                        <a:gd name="connsiteX6" fmla="*/ 0 w 1081463"/>
                                        <a:gd name="connsiteY6" fmla="*/ 181422 h 547848"/>
                                        <a:gd name="connsiteX7" fmla="*/ 376393 w 1081463"/>
                                        <a:gd name="connsiteY7" fmla="*/ 173092 h 547848"/>
                                        <a:gd name="connsiteX0" fmla="*/ 376393 w 1081463"/>
                                        <a:gd name="connsiteY0" fmla="*/ 31580 h 406336"/>
                                        <a:gd name="connsiteX1" fmla="*/ 669001 w 1081463"/>
                                        <a:gd name="connsiteY1" fmla="*/ -1 h 406336"/>
                                        <a:gd name="connsiteX2" fmla="*/ 888578 w 1081463"/>
                                        <a:gd name="connsiteY2" fmla="*/ 5720 h 406336"/>
                                        <a:gd name="connsiteX3" fmla="*/ 1081463 w 1081463"/>
                                        <a:gd name="connsiteY3" fmla="*/ 260032 h 406336"/>
                                        <a:gd name="connsiteX4" fmla="*/ 781539 w 1081463"/>
                                        <a:gd name="connsiteY4" fmla="*/ 406336 h 406336"/>
                                        <a:gd name="connsiteX5" fmla="*/ 331926 w 1081463"/>
                                        <a:gd name="connsiteY5" fmla="*/ 262196 h 406336"/>
                                        <a:gd name="connsiteX6" fmla="*/ 0 w 1081463"/>
                                        <a:gd name="connsiteY6" fmla="*/ 39910 h 406336"/>
                                        <a:gd name="connsiteX7" fmla="*/ 376393 w 1081463"/>
                                        <a:gd name="connsiteY7" fmla="*/ 31580 h 406336"/>
                                        <a:gd name="connsiteX0" fmla="*/ 376393 w 1081463"/>
                                        <a:gd name="connsiteY0" fmla="*/ 31582 h 406338"/>
                                        <a:gd name="connsiteX1" fmla="*/ 669001 w 1081463"/>
                                        <a:gd name="connsiteY1" fmla="*/ 1 h 406338"/>
                                        <a:gd name="connsiteX2" fmla="*/ 888578 w 1081463"/>
                                        <a:gd name="connsiteY2" fmla="*/ 5722 h 406338"/>
                                        <a:gd name="connsiteX3" fmla="*/ 1081463 w 1081463"/>
                                        <a:gd name="connsiteY3" fmla="*/ 260034 h 406338"/>
                                        <a:gd name="connsiteX4" fmla="*/ 781539 w 1081463"/>
                                        <a:gd name="connsiteY4" fmla="*/ 406338 h 406338"/>
                                        <a:gd name="connsiteX5" fmla="*/ 626586 w 1081463"/>
                                        <a:gd name="connsiteY5" fmla="*/ 282414 h 406338"/>
                                        <a:gd name="connsiteX6" fmla="*/ 0 w 1081463"/>
                                        <a:gd name="connsiteY6" fmla="*/ 39912 h 406338"/>
                                        <a:gd name="connsiteX7" fmla="*/ 376393 w 1081463"/>
                                        <a:gd name="connsiteY7" fmla="*/ 31582 h 406338"/>
                                        <a:gd name="connsiteX0" fmla="*/ 376393 w 1081463"/>
                                        <a:gd name="connsiteY0" fmla="*/ 31580 h 568064"/>
                                        <a:gd name="connsiteX1" fmla="*/ 669001 w 1081463"/>
                                        <a:gd name="connsiteY1" fmla="*/ -1 h 568064"/>
                                        <a:gd name="connsiteX2" fmla="*/ 888578 w 1081463"/>
                                        <a:gd name="connsiteY2" fmla="*/ 5720 h 568064"/>
                                        <a:gd name="connsiteX3" fmla="*/ 1081463 w 1081463"/>
                                        <a:gd name="connsiteY3" fmla="*/ 260032 h 568064"/>
                                        <a:gd name="connsiteX4" fmla="*/ 770478 w 1081463"/>
                                        <a:gd name="connsiteY4" fmla="*/ 568063 h 568064"/>
                                        <a:gd name="connsiteX5" fmla="*/ 626586 w 1081463"/>
                                        <a:gd name="connsiteY5" fmla="*/ 282412 h 568064"/>
                                        <a:gd name="connsiteX6" fmla="*/ 0 w 1081463"/>
                                        <a:gd name="connsiteY6" fmla="*/ 39910 h 568064"/>
                                        <a:gd name="connsiteX7" fmla="*/ 376393 w 1081463"/>
                                        <a:gd name="connsiteY7" fmla="*/ 31580 h 568064"/>
                                        <a:gd name="connsiteX0" fmla="*/ 1 w 705071"/>
                                        <a:gd name="connsiteY0" fmla="*/ 31582 h 568064"/>
                                        <a:gd name="connsiteX1" fmla="*/ 292609 w 705071"/>
                                        <a:gd name="connsiteY1" fmla="*/ 1 h 568064"/>
                                        <a:gd name="connsiteX2" fmla="*/ 512186 w 705071"/>
                                        <a:gd name="connsiteY2" fmla="*/ 5722 h 568064"/>
                                        <a:gd name="connsiteX3" fmla="*/ 705071 w 705071"/>
                                        <a:gd name="connsiteY3" fmla="*/ 260034 h 568064"/>
                                        <a:gd name="connsiteX4" fmla="*/ 394086 w 705071"/>
                                        <a:gd name="connsiteY4" fmla="*/ 568065 h 568064"/>
                                        <a:gd name="connsiteX5" fmla="*/ 250194 w 705071"/>
                                        <a:gd name="connsiteY5" fmla="*/ 282414 h 568064"/>
                                        <a:gd name="connsiteX6" fmla="*/ 1 w 705071"/>
                                        <a:gd name="connsiteY6" fmla="*/ 31582 h 568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5071" h="568064">
                                          <a:moveTo>
                                            <a:pt x="1" y="31582"/>
                                          </a:moveTo>
                                          <a:lnTo>
                                            <a:pt x="292609" y="1"/>
                                          </a:lnTo>
                                          <a:lnTo>
                                            <a:pt x="512186" y="5722"/>
                                          </a:lnTo>
                                          <a:lnTo>
                                            <a:pt x="705071" y="260034"/>
                                          </a:lnTo>
                                          <a:lnTo>
                                            <a:pt x="394086" y="568065"/>
                                          </a:lnTo>
                                          <a:lnTo>
                                            <a:pt x="250194" y="282414"/>
                                          </a:lnTo>
                                          <a:lnTo>
                                            <a:pt x="1" y="31582"/>
                                          </a:lnTo>
                                          <a:close/>
                                        </a:path>
                                      </a:pathLst>
                                    </a:cu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266B4" w14:textId="77777777" w:rsidR="00D55F13" w:rsidRPr="004E4C01" w:rsidRDefault="00D55F13" w:rsidP="00077E48">
                                        <w:pPr>
                                          <w:jc w:val="cente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48" name="132 Grupo"/>
                              <wpg:cNvGrpSpPr/>
                              <wpg:grpSpPr>
                                <a:xfrm>
                                  <a:off x="1441450" y="1885950"/>
                                  <a:ext cx="2203450" cy="161558"/>
                                  <a:chOff x="-86685" y="0"/>
                                  <a:chExt cx="2448422" cy="179705"/>
                                </a:xfrm>
                              </wpg:grpSpPr>
                              <wps:wsp>
                                <wps:cNvPr id="2849" name="133 Rectángulo redondeado"/>
                                <wps:cNvSpPr/>
                                <wps:spPr>
                                  <a:xfrm>
                                    <a:off x="-86685" y="0"/>
                                    <a:ext cx="359407" cy="17970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FEECA" w14:textId="77777777" w:rsidR="00D55F13" w:rsidRPr="004E4C01" w:rsidRDefault="00D55F13" w:rsidP="00077E48">
                                      <w:pPr>
                                        <w:rPr>
                                          <w:color w:val="0D0D0D" w:themeColor="text1" w:themeTint="F2"/>
                                          <w14:textOutline w14:w="127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 name="134 Rectángulo"/>
                                <wps:cNvSpPr/>
                                <wps:spPr>
                                  <a:xfrm>
                                    <a:off x="387130" y="25232"/>
                                    <a:ext cx="1974607" cy="146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2A7CC" w14:textId="77777777" w:rsidR="00D55F13" w:rsidRPr="004E4C01" w:rsidRDefault="00D55F13" w:rsidP="00077E48">
                                      <w:pPr>
                                        <w:jc w:val="left"/>
                                        <w:rPr>
                                          <w:rFonts w:cs="Arial"/>
                                          <w:b/>
                                          <w:color w:val="000000" w:themeColor="text1"/>
                                          <w:sz w:val="16"/>
                                        </w:rPr>
                                      </w:pPr>
                                      <w:r w:rsidRPr="004E4C01">
                                        <w:rPr>
                                          <w:rFonts w:cs="Arial"/>
                                          <w:b/>
                                          <w:color w:val="000000" w:themeColor="text1"/>
                                          <w:sz w:val="16"/>
                                        </w:rPr>
                                        <w:t>Área de influencia de un medio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851" name="2851 Grupo"/>
                              <wpg:cNvGrpSpPr/>
                              <wpg:grpSpPr>
                                <a:xfrm>
                                  <a:off x="1771650" y="2108200"/>
                                  <a:ext cx="1496060" cy="964439"/>
                                  <a:chOff x="349250" y="0"/>
                                  <a:chExt cx="1496060" cy="964439"/>
                                </a:xfrm>
                              </wpg:grpSpPr>
                              <wpg:grpSp>
                                <wpg:cNvPr id="2852" name="2852 Grupo"/>
                                <wpg:cNvGrpSpPr/>
                                <wpg:grpSpPr>
                                  <a:xfrm>
                                    <a:off x="349250" y="0"/>
                                    <a:ext cx="1496060" cy="964439"/>
                                    <a:chOff x="349250" y="0"/>
                                    <a:chExt cx="1496060" cy="964439"/>
                                  </a:xfrm>
                                </wpg:grpSpPr>
                                <wps:wsp>
                                  <wps:cNvPr id="2853" name="2853 Forma libre"/>
                                  <wps:cNvSpPr/>
                                  <wps:spPr>
                                    <a:xfrm>
                                      <a:off x="1403350" y="222250"/>
                                      <a:ext cx="441960" cy="356870"/>
                                    </a:xfrm>
                                    <a:custGeom>
                                      <a:avLst/>
                                      <a:gdLst>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80006 w 2275027"/>
                                        <a:gd name="connsiteY5" fmla="*/ 128016 h 1598371"/>
                                        <a:gd name="connsiteX6" fmla="*/ 2157984 w 2275027"/>
                                        <a:gd name="connsiteY6" fmla="*/ 157277 h 1598371"/>
                                        <a:gd name="connsiteX7" fmla="*/ 2275027 w 2275027"/>
                                        <a:gd name="connsiteY7" fmla="*/ 376733 h 1598371"/>
                                        <a:gd name="connsiteX8" fmla="*/ 2095805 w 2275027"/>
                                        <a:gd name="connsiteY8" fmla="*/ 446227 h 1598371"/>
                                        <a:gd name="connsiteX9" fmla="*/ 2062886 w 2275027"/>
                                        <a:gd name="connsiteY9" fmla="*/ 643737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5805 w 2275027"/>
                                        <a:gd name="connsiteY8" fmla="*/ 446227 h 1598371"/>
                                        <a:gd name="connsiteX9" fmla="*/ 2062886 w 2275027"/>
                                        <a:gd name="connsiteY9" fmla="*/ 643737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3006 w 2275027"/>
                                        <a:gd name="connsiteY8" fmla="*/ 450058 h 1598371"/>
                                        <a:gd name="connsiteX9" fmla="*/ 2062886 w 2275027"/>
                                        <a:gd name="connsiteY9" fmla="*/ 643737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3006 w 2275027"/>
                                        <a:gd name="connsiteY8" fmla="*/ 450058 h 1598371"/>
                                        <a:gd name="connsiteX9" fmla="*/ 2057584 w 2275027"/>
                                        <a:gd name="connsiteY9" fmla="*/ 626622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3006 w 2275027"/>
                                        <a:gd name="connsiteY8" fmla="*/ 450058 h 1598371"/>
                                        <a:gd name="connsiteX9" fmla="*/ 2057584 w 2275027"/>
                                        <a:gd name="connsiteY9" fmla="*/ 626622 h 1598371"/>
                                        <a:gd name="connsiteX10" fmla="*/ 2154607 w 2275027"/>
                                        <a:gd name="connsiteY10" fmla="*/ 874056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23897 w 2275027"/>
                                        <a:gd name="connsiteY12" fmla="*/ 1026033 h 1600276"/>
                                        <a:gd name="connsiteX13" fmla="*/ 1880006 w 2275027"/>
                                        <a:gd name="connsiteY13" fmla="*/ 1033348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80006 w 2275027"/>
                                        <a:gd name="connsiteY13" fmla="*/ 1033348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89911 w 2275027"/>
                                        <a:gd name="connsiteY13" fmla="*/ 1029587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94101 w 2275027"/>
                                        <a:gd name="connsiteY13" fmla="*/ 1025826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94101 w 2275027"/>
                                        <a:gd name="connsiteY13" fmla="*/ 1025826 h 1600276"/>
                                        <a:gd name="connsiteX14" fmla="*/ 2093006 w 2275027"/>
                                        <a:gd name="connsiteY14" fmla="*/ 1215981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94101 w 2275027"/>
                                        <a:gd name="connsiteY13" fmla="*/ 1025826 h 1600276"/>
                                        <a:gd name="connsiteX14" fmla="*/ 2093006 w 2275027"/>
                                        <a:gd name="connsiteY14" fmla="*/ 1215981 h 1600276"/>
                                        <a:gd name="connsiteX15" fmla="*/ 1609344 w 2275027"/>
                                        <a:gd name="connsiteY15" fmla="*/ 1519809 h 1600276"/>
                                        <a:gd name="connsiteX16" fmla="*/ 1294790 w 2275027"/>
                                        <a:gd name="connsiteY16" fmla="*/ 1417396 h 1600276"/>
                                        <a:gd name="connsiteX17" fmla="*/ 965800 w 2275027"/>
                                        <a:gd name="connsiteY17" fmla="*/ 1534233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6382 w 2276932"/>
                                        <a:gd name="connsiteY0" fmla="*/ 1905 h 1600276"/>
                                        <a:gd name="connsiteX1" fmla="*/ 905332 w 2276932"/>
                                        <a:gd name="connsiteY1" fmla="*/ 199415 h 1600276"/>
                                        <a:gd name="connsiteX2" fmla="*/ 1077239 w 2276932"/>
                                        <a:gd name="connsiteY2" fmla="*/ 27508 h 1600276"/>
                                        <a:gd name="connsiteX3" fmla="*/ 1432161 w 2276932"/>
                                        <a:gd name="connsiteY3" fmla="*/ 0 h 1600276"/>
                                        <a:gd name="connsiteX4" fmla="*/ 1457630 w 2276932"/>
                                        <a:gd name="connsiteY4" fmla="*/ 199415 h 1600276"/>
                                        <a:gd name="connsiteX5" fmla="*/ 1876573 w 2276932"/>
                                        <a:gd name="connsiteY5" fmla="*/ 127870 h 1600276"/>
                                        <a:gd name="connsiteX6" fmla="*/ 2159889 w 2276932"/>
                                        <a:gd name="connsiteY6" fmla="*/ 159182 h 1600276"/>
                                        <a:gd name="connsiteX7" fmla="*/ 2276932 w 2276932"/>
                                        <a:gd name="connsiteY7" fmla="*/ 378638 h 1600276"/>
                                        <a:gd name="connsiteX8" fmla="*/ 2094911 w 2276932"/>
                                        <a:gd name="connsiteY8" fmla="*/ 451963 h 1600276"/>
                                        <a:gd name="connsiteX9" fmla="*/ 2059489 w 2276932"/>
                                        <a:gd name="connsiteY9" fmla="*/ 628527 h 1600276"/>
                                        <a:gd name="connsiteX10" fmla="*/ 2156512 w 2276932"/>
                                        <a:gd name="connsiteY10" fmla="*/ 875961 h 1600276"/>
                                        <a:gd name="connsiteX11" fmla="*/ 1925802 w 2276932"/>
                                        <a:gd name="connsiteY11" fmla="*/ 1026033 h 1600276"/>
                                        <a:gd name="connsiteX12" fmla="*/ 1933810 w 2276932"/>
                                        <a:gd name="connsiteY12" fmla="*/ 1022272 h 1600276"/>
                                        <a:gd name="connsiteX13" fmla="*/ 1896006 w 2276932"/>
                                        <a:gd name="connsiteY13" fmla="*/ 1025826 h 1600276"/>
                                        <a:gd name="connsiteX14" fmla="*/ 2094911 w 2276932"/>
                                        <a:gd name="connsiteY14" fmla="*/ 1215981 h 1600276"/>
                                        <a:gd name="connsiteX15" fmla="*/ 1611249 w 2276932"/>
                                        <a:gd name="connsiteY15" fmla="*/ 1519809 h 1600276"/>
                                        <a:gd name="connsiteX16" fmla="*/ 1296695 w 2276932"/>
                                        <a:gd name="connsiteY16" fmla="*/ 1417396 h 1600276"/>
                                        <a:gd name="connsiteX17" fmla="*/ 967705 w 2276932"/>
                                        <a:gd name="connsiteY17" fmla="*/ 1534233 h 1600276"/>
                                        <a:gd name="connsiteX18" fmla="*/ 799262 w 2276932"/>
                                        <a:gd name="connsiteY18" fmla="*/ 1490548 h 1600276"/>
                                        <a:gd name="connsiteX19" fmla="*/ 759028 w 2276932"/>
                                        <a:gd name="connsiteY19" fmla="*/ 1600276 h 1600276"/>
                                        <a:gd name="connsiteX20" fmla="*/ 173812 w 2276932"/>
                                        <a:gd name="connsiteY20" fmla="*/ 1399108 h 1600276"/>
                                        <a:gd name="connsiteX21" fmla="*/ 0 w 2276932"/>
                                        <a:gd name="connsiteY21" fmla="*/ 870550 h 1600276"/>
                                        <a:gd name="connsiteX22" fmla="*/ 261594 w 2276932"/>
                                        <a:gd name="connsiteY22" fmla="*/ 246964 h 1600276"/>
                                        <a:gd name="connsiteX23" fmla="*/ 616382 w 2276932"/>
                                        <a:gd name="connsiteY23" fmla="*/ 1905 h 1600276"/>
                                        <a:gd name="connsiteX0" fmla="*/ 616382 w 2276932"/>
                                        <a:gd name="connsiteY0" fmla="*/ 1905 h 1600276"/>
                                        <a:gd name="connsiteX1" fmla="*/ 766329 w 2276932"/>
                                        <a:gd name="connsiteY1" fmla="*/ 104129 h 1600276"/>
                                        <a:gd name="connsiteX2" fmla="*/ 1077239 w 2276932"/>
                                        <a:gd name="connsiteY2" fmla="*/ 27508 h 1600276"/>
                                        <a:gd name="connsiteX3" fmla="*/ 1432161 w 2276932"/>
                                        <a:gd name="connsiteY3" fmla="*/ 0 h 1600276"/>
                                        <a:gd name="connsiteX4" fmla="*/ 1457630 w 2276932"/>
                                        <a:gd name="connsiteY4" fmla="*/ 199415 h 1600276"/>
                                        <a:gd name="connsiteX5" fmla="*/ 1876573 w 2276932"/>
                                        <a:gd name="connsiteY5" fmla="*/ 127870 h 1600276"/>
                                        <a:gd name="connsiteX6" fmla="*/ 2159889 w 2276932"/>
                                        <a:gd name="connsiteY6" fmla="*/ 159182 h 1600276"/>
                                        <a:gd name="connsiteX7" fmla="*/ 2276932 w 2276932"/>
                                        <a:gd name="connsiteY7" fmla="*/ 378638 h 1600276"/>
                                        <a:gd name="connsiteX8" fmla="*/ 2094911 w 2276932"/>
                                        <a:gd name="connsiteY8" fmla="*/ 451963 h 1600276"/>
                                        <a:gd name="connsiteX9" fmla="*/ 2059489 w 2276932"/>
                                        <a:gd name="connsiteY9" fmla="*/ 628527 h 1600276"/>
                                        <a:gd name="connsiteX10" fmla="*/ 2156512 w 2276932"/>
                                        <a:gd name="connsiteY10" fmla="*/ 875961 h 1600276"/>
                                        <a:gd name="connsiteX11" fmla="*/ 1925802 w 2276932"/>
                                        <a:gd name="connsiteY11" fmla="*/ 1026033 h 1600276"/>
                                        <a:gd name="connsiteX12" fmla="*/ 1933810 w 2276932"/>
                                        <a:gd name="connsiteY12" fmla="*/ 1022272 h 1600276"/>
                                        <a:gd name="connsiteX13" fmla="*/ 1896006 w 2276932"/>
                                        <a:gd name="connsiteY13" fmla="*/ 1025826 h 1600276"/>
                                        <a:gd name="connsiteX14" fmla="*/ 2094911 w 2276932"/>
                                        <a:gd name="connsiteY14" fmla="*/ 1215981 h 1600276"/>
                                        <a:gd name="connsiteX15" fmla="*/ 1611249 w 2276932"/>
                                        <a:gd name="connsiteY15" fmla="*/ 1519809 h 1600276"/>
                                        <a:gd name="connsiteX16" fmla="*/ 1296695 w 2276932"/>
                                        <a:gd name="connsiteY16" fmla="*/ 1417396 h 1600276"/>
                                        <a:gd name="connsiteX17" fmla="*/ 967705 w 2276932"/>
                                        <a:gd name="connsiteY17" fmla="*/ 1534233 h 1600276"/>
                                        <a:gd name="connsiteX18" fmla="*/ 799262 w 2276932"/>
                                        <a:gd name="connsiteY18" fmla="*/ 1490548 h 1600276"/>
                                        <a:gd name="connsiteX19" fmla="*/ 759028 w 2276932"/>
                                        <a:gd name="connsiteY19" fmla="*/ 1600276 h 1600276"/>
                                        <a:gd name="connsiteX20" fmla="*/ 173812 w 2276932"/>
                                        <a:gd name="connsiteY20" fmla="*/ 1399108 h 1600276"/>
                                        <a:gd name="connsiteX21" fmla="*/ 0 w 2276932"/>
                                        <a:gd name="connsiteY21" fmla="*/ 870550 h 1600276"/>
                                        <a:gd name="connsiteX22" fmla="*/ 261594 w 2276932"/>
                                        <a:gd name="connsiteY22" fmla="*/ 246964 h 1600276"/>
                                        <a:gd name="connsiteX23" fmla="*/ 616382 w 2276932"/>
                                        <a:gd name="connsiteY23" fmla="*/ 1905 h 1600276"/>
                                        <a:gd name="connsiteX0" fmla="*/ 616382 w 2276932"/>
                                        <a:gd name="connsiteY0" fmla="*/ 1905 h 1600276"/>
                                        <a:gd name="connsiteX1" fmla="*/ 766329 w 2276932"/>
                                        <a:gd name="connsiteY1" fmla="*/ 104129 h 1600276"/>
                                        <a:gd name="connsiteX2" fmla="*/ 872873 w 2276932"/>
                                        <a:gd name="connsiteY2" fmla="*/ 0 h 1600276"/>
                                        <a:gd name="connsiteX3" fmla="*/ 1432161 w 2276932"/>
                                        <a:gd name="connsiteY3" fmla="*/ 0 h 1600276"/>
                                        <a:gd name="connsiteX4" fmla="*/ 1457630 w 2276932"/>
                                        <a:gd name="connsiteY4" fmla="*/ 199415 h 1600276"/>
                                        <a:gd name="connsiteX5" fmla="*/ 1876573 w 2276932"/>
                                        <a:gd name="connsiteY5" fmla="*/ 127870 h 1600276"/>
                                        <a:gd name="connsiteX6" fmla="*/ 2159889 w 2276932"/>
                                        <a:gd name="connsiteY6" fmla="*/ 159182 h 1600276"/>
                                        <a:gd name="connsiteX7" fmla="*/ 2276932 w 2276932"/>
                                        <a:gd name="connsiteY7" fmla="*/ 378638 h 1600276"/>
                                        <a:gd name="connsiteX8" fmla="*/ 2094911 w 2276932"/>
                                        <a:gd name="connsiteY8" fmla="*/ 451963 h 1600276"/>
                                        <a:gd name="connsiteX9" fmla="*/ 2059489 w 2276932"/>
                                        <a:gd name="connsiteY9" fmla="*/ 628527 h 1600276"/>
                                        <a:gd name="connsiteX10" fmla="*/ 2156512 w 2276932"/>
                                        <a:gd name="connsiteY10" fmla="*/ 875961 h 1600276"/>
                                        <a:gd name="connsiteX11" fmla="*/ 1925802 w 2276932"/>
                                        <a:gd name="connsiteY11" fmla="*/ 1026033 h 1600276"/>
                                        <a:gd name="connsiteX12" fmla="*/ 1933810 w 2276932"/>
                                        <a:gd name="connsiteY12" fmla="*/ 1022272 h 1600276"/>
                                        <a:gd name="connsiteX13" fmla="*/ 1896006 w 2276932"/>
                                        <a:gd name="connsiteY13" fmla="*/ 1025826 h 1600276"/>
                                        <a:gd name="connsiteX14" fmla="*/ 2094911 w 2276932"/>
                                        <a:gd name="connsiteY14" fmla="*/ 1215981 h 1600276"/>
                                        <a:gd name="connsiteX15" fmla="*/ 1611249 w 2276932"/>
                                        <a:gd name="connsiteY15" fmla="*/ 1519809 h 1600276"/>
                                        <a:gd name="connsiteX16" fmla="*/ 1296695 w 2276932"/>
                                        <a:gd name="connsiteY16" fmla="*/ 1417396 h 1600276"/>
                                        <a:gd name="connsiteX17" fmla="*/ 967705 w 2276932"/>
                                        <a:gd name="connsiteY17" fmla="*/ 1534233 h 1600276"/>
                                        <a:gd name="connsiteX18" fmla="*/ 799262 w 2276932"/>
                                        <a:gd name="connsiteY18" fmla="*/ 1490548 h 1600276"/>
                                        <a:gd name="connsiteX19" fmla="*/ 759028 w 2276932"/>
                                        <a:gd name="connsiteY19" fmla="*/ 1600276 h 1600276"/>
                                        <a:gd name="connsiteX20" fmla="*/ 173812 w 2276932"/>
                                        <a:gd name="connsiteY20" fmla="*/ 1399108 h 1600276"/>
                                        <a:gd name="connsiteX21" fmla="*/ 0 w 2276932"/>
                                        <a:gd name="connsiteY21" fmla="*/ 870550 h 1600276"/>
                                        <a:gd name="connsiteX22" fmla="*/ 261594 w 2276932"/>
                                        <a:gd name="connsiteY22" fmla="*/ 246964 h 1600276"/>
                                        <a:gd name="connsiteX23" fmla="*/ 616382 w 2276932"/>
                                        <a:gd name="connsiteY23" fmla="*/ 1905 h 1600276"/>
                                        <a:gd name="connsiteX0" fmla="*/ 616382 w 2276932"/>
                                        <a:gd name="connsiteY0" fmla="*/ 18135 h 1616506"/>
                                        <a:gd name="connsiteX1" fmla="*/ 766329 w 2276932"/>
                                        <a:gd name="connsiteY1" fmla="*/ 120359 h 1616506"/>
                                        <a:gd name="connsiteX2" fmla="*/ 872873 w 2276932"/>
                                        <a:gd name="connsiteY2" fmla="*/ 16230 h 1616506"/>
                                        <a:gd name="connsiteX3" fmla="*/ 1224658 w 2276932"/>
                                        <a:gd name="connsiteY3" fmla="*/ 0 h 1616506"/>
                                        <a:gd name="connsiteX4" fmla="*/ 1457630 w 2276932"/>
                                        <a:gd name="connsiteY4" fmla="*/ 215645 h 1616506"/>
                                        <a:gd name="connsiteX5" fmla="*/ 1876573 w 2276932"/>
                                        <a:gd name="connsiteY5" fmla="*/ 144100 h 1616506"/>
                                        <a:gd name="connsiteX6" fmla="*/ 2159889 w 2276932"/>
                                        <a:gd name="connsiteY6" fmla="*/ 175412 h 1616506"/>
                                        <a:gd name="connsiteX7" fmla="*/ 2276932 w 2276932"/>
                                        <a:gd name="connsiteY7" fmla="*/ 394868 h 1616506"/>
                                        <a:gd name="connsiteX8" fmla="*/ 2094911 w 2276932"/>
                                        <a:gd name="connsiteY8" fmla="*/ 468193 h 1616506"/>
                                        <a:gd name="connsiteX9" fmla="*/ 2059489 w 2276932"/>
                                        <a:gd name="connsiteY9" fmla="*/ 644757 h 1616506"/>
                                        <a:gd name="connsiteX10" fmla="*/ 2156512 w 2276932"/>
                                        <a:gd name="connsiteY10" fmla="*/ 892191 h 1616506"/>
                                        <a:gd name="connsiteX11" fmla="*/ 1925802 w 2276932"/>
                                        <a:gd name="connsiteY11" fmla="*/ 1042263 h 1616506"/>
                                        <a:gd name="connsiteX12" fmla="*/ 1933810 w 2276932"/>
                                        <a:gd name="connsiteY12" fmla="*/ 1038502 h 1616506"/>
                                        <a:gd name="connsiteX13" fmla="*/ 1896006 w 2276932"/>
                                        <a:gd name="connsiteY13" fmla="*/ 1042056 h 1616506"/>
                                        <a:gd name="connsiteX14" fmla="*/ 2094911 w 2276932"/>
                                        <a:gd name="connsiteY14" fmla="*/ 1232211 h 1616506"/>
                                        <a:gd name="connsiteX15" fmla="*/ 1611249 w 2276932"/>
                                        <a:gd name="connsiteY15" fmla="*/ 1536039 h 1616506"/>
                                        <a:gd name="connsiteX16" fmla="*/ 1296695 w 2276932"/>
                                        <a:gd name="connsiteY16" fmla="*/ 1433626 h 1616506"/>
                                        <a:gd name="connsiteX17" fmla="*/ 967705 w 2276932"/>
                                        <a:gd name="connsiteY17" fmla="*/ 1550463 h 1616506"/>
                                        <a:gd name="connsiteX18" fmla="*/ 799262 w 2276932"/>
                                        <a:gd name="connsiteY18" fmla="*/ 1506778 h 1616506"/>
                                        <a:gd name="connsiteX19" fmla="*/ 759028 w 2276932"/>
                                        <a:gd name="connsiteY19" fmla="*/ 1616506 h 1616506"/>
                                        <a:gd name="connsiteX20" fmla="*/ 173812 w 2276932"/>
                                        <a:gd name="connsiteY20" fmla="*/ 1415338 h 1616506"/>
                                        <a:gd name="connsiteX21" fmla="*/ 0 w 2276932"/>
                                        <a:gd name="connsiteY21" fmla="*/ 886780 h 1616506"/>
                                        <a:gd name="connsiteX22" fmla="*/ 261594 w 2276932"/>
                                        <a:gd name="connsiteY22" fmla="*/ 263194 h 1616506"/>
                                        <a:gd name="connsiteX23" fmla="*/ 616382 w 2276932"/>
                                        <a:gd name="connsiteY23" fmla="*/ 18135 h 1616506"/>
                                        <a:gd name="connsiteX0" fmla="*/ 616382 w 2276932"/>
                                        <a:gd name="connsiteY0" fmla="*/ 18135 h 1616506"/>
                                        <a:gd name="connsiteX1" fmla="*/ 766329 w 2276932"/>
                                        <a:gd name="connsiteY1" fmla="*/ 120359 h 1616506"/>
                                        <a:gd name="connsiteX2" fmla="*/ 872873 w 2276932"/>
                                        <a:gd name="connsiteY2" fmla="*/ 16230 h 1616506"/>
                                        <a:gd name="connsiteX3" fmla="*/ 1224658 w 2276932"/>
                                        <a:gd name="connsiteY3" fmla="*/ 0 h 1616506"/>
                                        <a:gd name="connsiteX4" fmla="*/ 1266952 w 2276932"/>
                                        <a:gd name="connsiteY4" fmla="*/ 470986 h 1616506"/>
                                        <a:gd name="connsiteX5" fmla="*/ 1876573 w 2276932"/>
                                        <a:gd name="connsiteY5" fmla="*/ 144100 h 1616506"/>
                                        <a:gd name="connsiteX6" fmla="*/ 2159889 w 2276932"/>
                                        <a:gd name="connsiteY6" fmla="*/ 175412 h 1616506"/>
                                        <a:gd name="connsiteX7" fmla="*/ 2276932 w 2276932"/>
                                        <a:gd name="connsiteY7" fmla="*/ 394868 h 1616506"/>
                                        <a:gd name="connsiteX8" fmla="*/ 2094911 w 2276932"/>
                                        <a:gd name="connsiteY8" fmla="*/ 468193 h 1616506"/>
                                        <a:gd name="connsiteX9" fmla="*/ 2059489 w 2276932"/>
                                        <a:gd name="connsiteY9" fmla="*/ 644757 h 1616506"/>
                                        <a:gd name="connsiteX10" fmla="*/ 2156512 w 2276932"/>
                                        <a:gd name="connsiteY10" fmla="*/ 892191 h 1616506"/>
                                        <a:gd name="connsiteX11" fmla="*/ 1925802 w 2276932"/>
                                        <a:gd name="connsiteY11" fmla="*/ 1042263 h 1616506"/>
                                        <a:gd name="connsiteX12" fmla="*/ 1933810 w 2276932"/>
                                        <a:gd name="connsiteY12" fmla="*/ 1038502 h 1616506"/>
                                        <a:gd name="connsiteX13" fmla="*/ 1896006 w 2276932"/>
                                        <a:gd name="connsiteY13" fmla="*/ 1042056 h 1616506"/>
                                        <a:gd name="connsiteX14" fmla="*/ 2094911 w 2276932"/>
                                        <a:gd name="connsiteY14" fmla="*/ 1232211 h 1616506"/>
                                        <a:gd name="connsiteX15" fmla="*/ 1611249 w 2276932"/>
                                        <a:gd name="connsiteY15" fmla="*/ 1536039 h 1616506"/>
                                        <a:gd name="connsiteX16" fmla="*/ 1296695 w 2276932"/>
                                        <a:gd name="connsiteY16" fmla="*/ 1433626 h 1616506"/>
                                        <a:gd name="connsiteX17" fmla="*/ 967705 w 2276932"/>
                                        <a:gd name="connsiteY17" fmla="*/ 1550463 h 1616506"/>
                                        <a:gd name="connsiteX18" fmla="*/ 799262 w 2276932"/>
                                        <a:gd name="connsiteY18" fmla="*/ 1506778 h 1616506"/>
                                        <a:gd name="connsiteX19" fmla="*/ 759028 w 2276932"/>
                                        <a:gd name="connsiteY19" fmla="*/ 1616506 h 1616506"/>
                                        <a:gd name="connsiteX20" fmla="*/ 173812 w 2276932"/>
                                        <a:gd name="connsiteY20" fmla="*/ 1415338 h 1616506"/>
                                        <a:gd name="connsiteX21" fmla="*/ 0 w 2276932"/>
                                        <a:gd name="connsiteY21" fmla="*/ 886780 h 1616506"/>
                                        <a:gd name="connsiteX22" fmla="*/ 261594 w 2276932"/>
                                        <a:gd name="connsiteY22" fmla="*/ 263194 h 1616506"/>
                                        <a:gd name="connsiteX23" fmla="*/ 616382 w 2276932"/>
                                        <a:gd name="connsiteY23" fmla="*/ 18135 h 1616506"/>
                                        <a:gd name="connsiteX0" fmla="*/ 616382 w 2276932"/>
                                        <a:gd name="connsiteY0" fmla="*/ 18135 h 1616506"/>
                                        <a:gd name="connsiteX1" fmla="*/ 766329 w 2276932"/>
                                        <a:gd name="connsiteY1" fmla="*/ 120359 h 1616506"/>
                                        <a:gd name="connsiteX2" fmla="*/ 872873 w 2276932"/>
                                        <a:gd name="connsiteY2" fmla="*/ 16230 h 1616506"/>
                                        <a:gd name="connsiteX3" fmla="*/ 1224658 w 2276932"/>
                                        <a:gd name="connsiteY3" fmla="*/ 0 h 1616506"/>
                                        <a:gd name="connsiteX4" fmla="*/ 1266952 w 2276932"/>
                                        <a:gd name="connsiteY4" fmla="*/ 470986 h 1616506"/>
                                        <a:gd name="connsiteX5" fmla="*/ 1296753 w 2276932"/>
                                        <a:gd name="connsiteY5" fmla="*/ 470986 h 1616506"/>
                                        <a:gd name="connsiteX6" fmla="*/ 2159889 w 2276932"/>
                                        <a:gd name="connsiteY6" fmla="*/ 175412 h 1616506"/>
                                        <a:gd name="connsiteX7" fmla="*/ 2276932 w 2276932"/>
                                        <a:gd name="connsiteY7" fmla="*/ 394868 h 1616506"/>
                                        <a:gd name="connsiteX8" fmla="*/ 2094911 w 2276932"/>
                                        <a:gd name="connsiteY8" fmla="*/ 468193 h 1616506"/>
                                        <a:gd name="connsiteX9" fmla="*/ 2059489 w 2276932"/>
                                        <a:gd name="connsiteY9" fmla="*/ 644757 h 1616506"/>
                                        <a:gd name="connsiteX10" fmla="*/ 2156512 w 2276932"/>
                                        <a:gd name="connsiteY10" fmla="*/ 892191 h 1616506"/>
                                        <a:gd name="connsiteX11" fmla="*/ 1925802 w 2276932"/>
                                        <a:gd name="connsiteY11" fmla="*/ 1042263 h 1616506"/>
                                        <a:gd name="connsiteX12" fmla="*/ 1933810 w 2276932"/>
                                        <a:gd name="connsiteY12" fmla="*/ 1038502 h 1616506"/>
                                        <a:gd name="connsiteX13" fmla="*/ 1896006 w 2276932"/>
                                        <a:gd name="connsiteY13" fmla="*/ 1042056 h 1616506"/>
                                        <a:gd name="connsiteX14" fmla="*/ 2094911 w 2276932"/>
                                        <a:gd name="connsiteY14" fmla="*/ 1232211 h 1616506"/>
                                        <a:gd name="connsiteX15" fmla="*/ 1611249 w 2276932"/>
                                        <a:gd name="connsiteY15" fmla="*/ 1536039 h 1616506"/>
                                        <a:gd name="connsiteX16" fmla="*/ 1296695 w 2276932"/>
                                        <a:gd name="connsiteY16" fmla="*/ 1433626 h 1616506"/>
                                        <a:gd name="connsiteX17" fmla="*/ 967705 w 2276932"/>
                                        <a:gd name="connsiteY17" fmla="*/ 1550463 h 1616506"/>
                                        <a:gd name="connsiteX18" fmla="*/ 799262 w 2276932"/>
                                        <a:gd name="connsiteY18" fmla="*/ 1506778 h 1616506"/>
                                        <a:gd name="connsiteX19" fmla="*/ 759028 w 2276932"/>
                                        <a:gd name="connsiteY19" fmla="*/ 1616506 h 1616506"/>
                                        <a:gd name="connsiteX20" fmla="*/ 173812 w 2276932"/>
                                        <a:gd name="connsiteY20" fmla="*/ 1415338 h 1616506"/>
                                        <a:gd name="connsiteX21" fmla="*/ 0 w 2276932"/>
                                        <a:gd name="connsiteY21" fmla="*/ 886780 h 1616506"/>
                                        <a:gd name="connsiteX22" fmla="*/ 261594 w 2276932"/>
                                        <a:gd name="connsiteY22" fmla="*/ 263194 h 1616506"/>
                                        <a:gd name="connsiteX23" fmla="*/ 616382 w 2276932"/>
                                        <a:gd name="connsiteY23" fmla="*/ 18135 h 1616506"/>
                                        <a:gd name="connsiteX0" fmla="*/ 616382 w 2276932"/>
                                        <a:gd name="connsiteY0" fmla="*/ 18135 h 1616506"/>
                                        <a:gd name="connsiteX1" fmla="*/ 766329 w 2276932"/>
                                        <a:gd name="connsiteY1" fmla="*/ 120359 h 1616506"/>
                                        <a:gd name="connsiteX2" fmla="*/ 872873 w 2276932"/>
                                        <a:gd name="connsiteY2" fmla="*/ 16230 h 1616506"/>
                                        <a:gd name="connsiteX3" fmla="*/ 1224658 w 2276932"/>
                                        <a:gd name="connsiteY3" fmla="*/ 0 h 1616506"/>
                                        <a:gd name="connsiteX4" fmla="*/ 1266952 w 2276932"/>
                                        <a:gd name="connsiteY4" fmla="*/ 470986 h 1616506"/>
                                        <a:gd name="connsiteX5" fmla="*/ 1296753 w 2276932"/>
                                        <a:gd name="connsiteY5" fmla="*/ 470986 h 1616506"/>
                                        <a:gd name="connsiteX6" fmla="*/ 1442039 w 2276932"/>
                                        <a:gd name="connsiteY6" fmla="*/ 719379 h 1616506"/>
                                        <a:gd name="connsiteX7" fmla="*/ 2276932 w 2276932"/>
                                        <a:gd name="connsiteY7" fmla="*/ 394868 h 1616506"/>
                                        <a:gd name="connsiteX8" fmla="*/ 2094911 w 2276932"/>
                                        <a:gd name="connsiteY8" fmla="*/ 468193 h 1616506"/>
                                        <a:gd name="connsiteX9" fmla="*/ 2059489 w 2276932"/>
                                        <a:gd name="connsiteY9" fmla="*/ 644757 h 1616506"/>
                                        <a:gd name="connsiteX10" fmla="*/ 2156512 w 2276932"/>
                                        <a:gd name="connsiteY10" fmla="*/ 892191 h 1616506"/>
                                        <a:gd name="connsiteX11" fmla="*/ 1925802 w 2276932"/>
                                        <a:gd name="connsiteY11" fmla="*/ 1042263 h 1616506"/>
                                        <a:gd name="connsiteX12" fmla="*/ 1933810 w 2276932"/>
                                        <a:gd name="connsiteY12" fmla="*/ 1038502 h 1616506"/>
                                        <a:gd name="connsiteX13" fmla="*/ 1896006 w 2276932"/>
                                        <a:gd name="connsiteY13" fmla="*/ 1042056 h 1616506"/>
                                        <a:gd name="connsiteX14" fmla="*/ 2094911 w 2276932"/>
                                        <a:gd name="connsiteY14" fmla="*/ 1232211 h 1616506"/>
                                        <a:gd name="connsiteX15" fmla="*/ 1611249 w 2276932"/>
                                        <a:gd name="connsiteY15" fmla="*/ 1536039 h 1616506"/>
                                        <a:gd name="connsiteX16" fmla="*/ 1296695 w 2276932"/>
                                        <a:gd name="connsiteY16" fmla="*/ 1433626 h 1616506"/>
                                        <a:gd name="connsiteX17" fmla="*/ 967705 w 2276932"/>
                                        <a:gd name="connsiteY17" fmla="*/ 1550463 h 1616506"/>
                                        <a:gd name="connsiteX18" fmla="*/ 799262 w 2276932"/>
                                        <a:gd name="connsiteY18" fmla="*/ 1506778 h 1616506"/>
                                        <a:gd name="connsiteX19" fmla="*/ 759028 w 2276932"/>
                                        <a:gd name="connsiteY19" fmla="*/ 1616506 h 1616506"/>
                                        <a:gd name="connsiteX20" fmla="*/ 173812 w 2276932"/>
                                        <a:gd name="connsiteY20" fmla="*/ 1415338 h 1616506"/>
                                        <a:gd name="connsiteX21" fmla="*/ 0 w 2276932"/>
                                        <a:gd name="connsiteY21" fmla="*/ 886780 h 1616506"/>
                                        <a:gd name="connsiteX22" fmla="*/ 261594 w 2276932"/>
                                        <a:gd name="connsiteY22" fmla="*/ 263194 h 1616506"/>
                                        <a:gd name="connsiteX23" fmla="*/ 616382 w 2276932"/>
                                        <a:gd name="connsiteY23" fmla="*/ 18135 h 1616506"/>
                                        <a:gd name="connsiteX0" fmla="*/ 616382 w 2156511"/>
                                        <a:gd name="connsiteY0" fmla="*/ 18135 h 1616506"/>
                                        <a:gd name="connsiteX1" fmla="*/ 766329 w 2156511"/>
                                        <a:gd name="connsiteY1" fmla="*/ 120359 h 1616506"/>
                                        <a:gd name="connsiteX2" fmla="*/ 872873 w 2156511"/>
                                        <a:gd name="connsiteY2" fmla="*/ 16230 h 1616506"/>
                                        <a:gd name="connsiteX3" fmla="*/ 1224658 w 2156511"/>
                                        <a:gd name="connsiteY3" fmla="*/ 0 h 1616506"/>
                                        <a:gd name="connsiteX4" fmla="*/ 1266952 w 2156511"/>
                                        <a:gd name="connsiteY4" fmla="*/ 470986 h 1616506"/>
                                        <a:gd name="connsiteX5" fmla="*/ 1296753 w 2156511"/>
                                        <a:gd name="connsiteY5" fmla="*/ 470986 h 1616506"/>
                                        <a:gd name="connsiteX6" fmla="*/ 1442039 w 2156511"/>
                                        <a:gd name="connsiteY6" fmla="*/ 719379 h 1616506"/>
                                        <a:gd name="connsiteX7" fmla="*/ 1486177 w 2156511"/>
                                        <a:gd name="connsiteY7" fmla="*/ 871539 h 1616506"/>
                                        <a:gd name="connsiteX8" fmla="*/ 2094911 w 2156511"/>
                                        <a:gd name="connsiteY8" fmla="*/ 468193 h 1616506"/>
                                        <a:gd name="connsiteX9" fmla="*/ 2059489 w 2156511"/>
                                        <a:gd name="connsiteY9" fmla="*/ 644757 h 1616506"/>
                                        <a:gd name="connsiteX10" fmla="*/ 2156512 w 2156511"/>
                                        <a:gd name="connsiteY10" fmla="*/ 892191 h 1616506"/>
                                        <a:gd name="connsiteX11" fmla="*/ 1925802 w 2156511"/>
                                        <a:gd name="connsiteY11" fmla="*/ 1042263 h 1616506"/>
                                        <a:gd name="connsiteX12" fmla="*/ 1933810 w 2156511"/>
                                        <a:gd name="connsiteY12" fmla="*/ 1038502 h 1616506"/>
                                        <a:gd name="connsiteX13" fmla="*/ 1896006 w 2156511"/>
                                        <a:gd name="connsiteY13" fmla="*/ 1042056 h 1616506"/>
                                        <a:gd name="connsiteX14" fmla="*/ 2094911 w 2156511"/>
                                        <a:gd name="connsiteY14" fmla="*/ 1232211 h 1616506"/>
                                        <a:gd name="connsiteX15" fmla="*/ 1611249 w 2156511"/>
                                        <a:gd name="connsiteY15" fmla="*/ 1536039 h 1616506"/>
                                        <a:gd name="connsiteX16" fmla="*/ 1296695 w 2156511"/>
                                        <a:gd name="connsiteY16" fmla="*/ 1433626 h 1616506"/>
                                        <a:gd name="connsiteX17" fmla="*/ 967705 w 2156511"/>
                                        <a:gd name="connsiteY17" fmla="*/ 1550463 h 1616506"/>
                                        <a:gd name="connsiteX18" fmla="*/ 799262 w 2156511"/>
                                        <a:gd name="connsiteY18" fmla="*/ 1506778 h 1616506"/>
                                        <a:gd name="connsiteX19" fmla="*/ 759028 w 2156511"/>
                                        <a:gd name="connsiteY19" fmla="*/ 1616506 h 1616506"/>
                                        <a:gd name="connsiteX20" fmla="*/ 173812 w 2156511"/>
                                        <a:gd name="connsiteY20" fmla="*/ 1415338 h 1616506"/>
                                        <a:gd name="connsiteX21" fmla="*/ 0 w 2156511"/>
                                        <a:gd name="connsiteY21" fmla="*/ 886780 h 1616506"/>
                                        <a:gd name="connsiteX22" fmla="*/ 261594 w 2156511"/>
                                        <a:gd name="connsiteY22" fmla="*/ 263194 h 1616506"/>
                                        <a:gd name="connsiteX23" fmla="*/ 616382 w 2156511"/>
                                        <a:gd name="connsiteY23" fmla="*/ 18135 h 1616506"/>
                                        <a:gd name="connsiteX0" fmla="*/ 616382 w 2156513"/>
                                        <a:gd name="connsiteY0" fmla="*/ 18135 h 1616506"/>
                                        <a:gd name="connsiteX1" fmla="*/ 766329 w 2156513"/>
                                        <a:gd name="connsiteY1" fmla="*/ 120359 h 1616506"/>
                                        <a:gd name="connsiteX2" fmla="*/ 872873 w 2156513"/>
                                        <a:gd name="connsiteY2" fmla="*/ 16230 h 1616506"/>
                                        <a:gd name="connsiteX3" fmla="*/ 1224658 w 2156513"/>
                                        <a:gd name="connsiteY3" fmla="*/ 0 h 1616506"/>
                                        <a:gd name="connsiteX4" fmla="*/ 1266952 w 2156513"/>
                                        <a:gd name="connsiteY4" fmla="*/ 470986 h 1616506"/>
                                        <a:gd name="connsiteX5" fmla="*/ 1296753 w 2156513"/>
                                        <a:gd name="connsiteY5" fmla="*/ 470986 h 1616506"/>
                                        <a:gd name="connsiteX6" fmla="*/ 1442039 w 2156513"/>
                                        <a:gd name="connsiteY6" fmla="*/ 719379 h 1616506"/>
                                        <a:gd name="connsiteX7" fmla="*/ 1486177 w 2156513"/>
                                        <a:gd name="connsiteY7" fmla="*/ 871539 h 1616506"/>
                                        <a:gd name="connsiteX8" fmla="*/ 1620775 w 2156513"/>
                                        <a:gd name="connsiteY8" fmla="*/ 1009098 h 1616506"/>
                                        <a:gd name="connsiteX9" fmla="*/ 2059489 w 2156513"/>
                                        <a:gd name="connsiteY9" fmla="*/ 644757 h 1616506"/>
                                        <a:gd name="connsiteX10" fmla="*/ 2156512 w 2156513"/>
                                        <a:gd name="connsiteY10" fmla="*/ 892191 h 1616506"/>
                                        <a:gd name="connsiteX11" fmla="*/ 1925802 w 2156513"/>
                                        <a:gd name="connsiteY11" fmla="*/ 1042263 h 1616506"/>
                                        <a:gd name="connsiteX12" fmla="*/ 1933810 w 2156513"/>
                                        <a:gd name="connsiteY12" fmla="*/ 1038502 h 1616506"/>
                                        <a:gd name="connsiteX13" fmla="*/ 1896006 w 2156513"/>
                                        <a:gd name="connsiteY13" fmla="*/ 1042056 h 1616506"/>
                                        <a:gd name="connsiteX14" fmla="*/ 2094911 w 2156513"/>
                                        <a:gd name="connsiteY14" fmla="*/ 1232211 h 1616506"/>
                                        <a:gd name="connsiteX15" fmla="*/ 1611249 w 2156513"/>
                                        <a:gd name="connsiteY15" fmla="*/ 1536039 h 1616506"/>
                                        <a:gd name="connsiteX16" fmla="*/ 1296695 w 2156513"/>
                                        <a:gd name="connsiteY16" fmla="*/ 1433626 h 1616506"/>
                                        <a:gd name="connsiteX17" fmla="*/ 967705 w 2156513"/>
                                        <a:gd name="connsiteY17" fmla="*/ 1550463 h 1616506"/>
                                        <a:gd name="connsiteX18" fmla="*/ 799262 w 2156513"/>
                                        <a:gd name="connsiteY18" fmla="*/ 1506778 h 1616506"/>
                                        <a:gd name="connsiteX19" fmla="*/ 759028 w 2156513"/>
                                        <a:gd name="connsiteY19" fmla="*/ 1616506 h 1616506"/>
                                        <a:gd name="connsiteX20" fmla="*/ 173812 w 2156513"/>
                                        <a:gd name="connsiteY20" fmla="*/ 1415338 h 1616506"/>
                                        <a:gd name="connsiteX21" fmla="*/ 0 w 2156513"/>
                                        <a:gd name="connsiteY21" fmla="*/ 886780 h 1616506"/>
                                        <a:gd name="connsiteX22" fmla="*/ 261594 w 2156513"/>
                                        <a:gd name="connsiteY22" fmla="*/ 263194 h 1616506"/>
                                        <a:gd name="connsiteX23" fmla="*/ 616382 w 2156513"/>
                                        <a:gd name="connsiteY23" fmla="*/ 18135 h 1616506"/>
                                        <a:gd name="connsiteX0" fmla="*/ 616382 w 2156511"/>
                                        <a:gd name="connsiteY0" fmla="*/ 18135 h 1616506"/>
                                        <a:gd name="connsiteX1" fmla="*/ 766329 w 2156511"/>
                                        <a:gd name="connsiteY1" fmla="*/ 120359 h 1616506"/>
                                        <a:gd name="connsiteX2" fmla="*/ 872873 w 2156511"/>
                                        <a:gd name="connsiteY2" fmla="*/ 16230 h 1616506"/>
                                        <a:gd name="connsiteX3" fmla="*/ 1224658 w 2156511"/>
                                        <a:gd name="connsiteY3" fmla="*/ 0 h 1616506"/>
                                        <a:gd name="connsiteX4" fmla="*/ 1266952 w 2156511"/>
                                        <a:gd name="connsiteY4" fmla="*/ 470986 h 1616506"/>
                                        <a:gd name="connsiteX5" fmla="*/ 1296753 w 2156511"/>
                                        <a:gd name="connsiteY5" fmla="*/ 470986 h 1616506"/>
                                        <a:gd name="connsiteX6" fmla="*/ 1442039 w 2156511"/>
                                        <a:gd name="connsiteY6" fmla="*/ 719379 h 1616506"/>
                                        <a:gd name="connsiteX7" fmla="*/ 1486177 w 2156511"/>
                                        <a:gd name="connsiteY7" fmla="*/ 871539 h 1616506"/>
                                        <a:gd name="connsiteX8" fmla="*/ 1620775 w 2156511"/>
                                        <a:gd name="connsiteY8" fmla="*/ 1009098 h 1616506"/>
                                        <a:gd name="connsiteX9" fmla="*/ 2059489 w 2156511"/>
                                        <a:gd name="connsiteY9" fmla="*/ 644757 h 1616506"/>
                                        <a:gd name="connsiteX10" fmla="*/ 1531467 w 2156511"/>
                                        <a:gd name="connsiteY10" fmla="*/ 1052752 h 1616506"/>
                                        <a:gd name="connsiteX11" fmla="*/ 2156512 w 2156511"/>
                                        <a:gd name="connsiteY11" fmla="*/ 892191 h 1616506"/>
                                        <a:gd name="connsiteX12" fmla="*/ 1925802 w 2156511"/>
                                        <a:gd name="connsiteY12" fmla="*/ 1042263 h 1616506"/>
                                        <a:gd name="connsiteX13" fmla="*/ 1933810 w 2156511"/>
                                        <a:gd name="connsiteY13" fmla="*/ 1038502 h 1616506"/>
                                        <a:gd name="connsiteX14" fmla="*/ 1896006 w 2156511"/>
                                        <a:gd name="connsiteY14" fmla="*/ 1042056 h 1616506"/>
                                        <a:gd name="connsiteX15" fmla="*/ 2094911 w 2156511"/>
                                        <a:gd name="connsiteY15" fmla="*/ 1232211 h 1616506"/>
                                        <a:gd name="connsiteX16" fmla="*/ 1611249 w 2156511"/>
                                        <a:gd name="connsiteY16" fmla="*/ 1536039 h 1616506"/>
                                        <a:gd name="connsiteX17" fmla="*/ 1296695 w 2156511"/>
                                        <a:gd name="connsiteY17" fmla="*/ 1433626 h 1616506"/>
                                        <a:gd name="connsiteX18" fmla="*/ 967705 w 2156511"/>
                                        <a:gd name="connsiteY18" fmla="*/ 1550463 h 1616506"/>
                                        <a:gd name="connsiteX19" fmla="*/ 799262 w 2156511"/>
                                        <a:gd name="connsiteY19" fmla="*/ 1506778 h 1616506"/>
                                        <a:gd name="connsiteX20" fmla="*/ 759028 w 2156511"/>
                                        <a:gd name="connsiteY20" fmla="*/ 1616506 h 1616506"/>
                                        <a:gd name="connsiteX21" fmla="*/ 173812 w 2156511"/>
                                        <a:gd name="connsiteY21" fmla="*/ 1415338 h 1616506"/>
                                        <a:gd name="connsiteX22" fmla="*/ 0 w 2156511"/>
                                        <a:gd name="connsiteY22" fmla="*/ 886780 h 1616506"/>
                                        <a:gd name="connsiteX23" fmla="*/ 261594 w 2156511"/>
                                        <a:gd name="connsiteY23" fmla="*/ 263194 h 1616506"/>
                                        <a:gd name="connsiteX24" fmla="*/ 616382 w 2156511"/>
                                        <a:gd name="connsiteY24" fmla="*/ 18135 h 1616506"/>
                                        <a:gd name="connsiteX0" fmla="*/ 616382 w 2156513"/>
                                        <a:gd name="connsiteY0" fmla="*/ 18135 h 1616506"/>
                                        <a:gd name="connsiteX1" fmla="*/ 766329 w 2156513"/>
                                        <a:gd name="connsiteY1" fmla="*/ 120359 h 1616506"/>
                                        <a:gd name="connsiteX2" fmla="*/ 872873 w 2156513"/>
                                        <a:gd name="connsiteY2" fmla="*/ 16230 h 1616506"/>
                                        <a:gd name="connsiteX3" fmla="*/ 1224658 w 2156513"/>
                                        <a:gd name="connsiteY3" fmla="*/ 0 h 1616506"/>
                                        <a:gd name="connsiteX4" fmla="*/ 1266952 w 2156513"/>
                                        <a:gd name="connsiteY4" fmla="*/ 470986 h 1616506"/>
                                        <a:gd name="connsiteX5" fmla="*/ 1296753 w 2156513"/>
                                        <a:gd name="connsiteY5" fmla="*/ 470986 h 1616506"/>
                                        <a:gd name="connsiteX6" fmla="*/ 1442039 w 2156513"/>
                                        <a:gd name="connsiteY6" fmla="*/ 719379 h 1616506"/>
                                        <a:gd name="connsiteX7" fmla="*/ 1486177 w 2156513"/>
                                        <a:gd name="connsiteY7" fmla="*/ 871539 h 1616506"/>
                                        <a:gd name="connsiteX8" fmla="*/ 1620775 w 2156513"/>
                                        <a:gd name="connsiteY8" fmla="*/ 1009098 h 1616506"/>
                                        <a:gd name="connsiteX9" fmla="*/ 1531467 w 2156513"/>
                                        <a:gd name="connsiteY9" fmla="*/ 1052752 h 1616506"/>
                                        <a:gd name="connsiteX10" fmla="*/ 2156512 w 2156513"/>
                                        <a:gd name="connsiteY10" fmla="*/ 892191 h 1616506"/>
                                        <a:gd name="connsiteX11" fmla="*/ 1925802 w 2156513"/>
                                        <a:gd name="connsiteY11" fmla="*/ 1042263 h 1616506"/>
                                        <a:gd name="connsiteX12" fmla="*/ 1933810 w 2156513"/>
                                        <a:gd name="connsiteY12" fmla="*/ 1038502 h 1616506"/>
                                        <a:gd name="connsiteX13" fmla="*/ 1896006 w 2156513"/>
                                        <a:gd name="connsiteY13" fmla="*/ 1042056 h 1616506"/>
                                        <a:gd name="connsiteX14" fmla="*/ 2094911 w 2156513"/>
                                        <a:gd name="connsiteY14" fmla="*/ 1232211 h 1616506"/>
                                        <a:gd name="connsiteX15" fmla="*/ 1611249 w 2156513"/>
                                        <a:gd name="connsiteY15" fmla="*/ 1536039 h 1616506"/>
                                        <a:gd name="connsiteX16" fmla="*/ 1296695 w 2156513"/>
                                        <a:gd name="connsiteY16" fmla="*/ 1433626 h 1616506"/>
                                        <a:gd name="connsiteX17" fmla="*/ 967705 w 2156513"/>
                                        <a:gd name="connsiteY17" fmla="*/ 1550463 h 1616506"/>
                                        <a:gd name="connsiteX18" fmla="*/ 799262 w 2156513"/>
                                        <a:gd name="connsiteY18" fmla="*/ 1506778 h 1616506"/>
                                        <a:gd name="connsiteX19" fmla="*/ 759028 w 2156513"/>
                                        <a:gd name="connsiteY19" fmla="*/ 1616506 h 1616506"/>
                                        <a:gd name="connsiteX20" fmla="*/ 173812 w 2156513"/>
                                        <a:gd name="connsiteY20" fmla="*/ 1415338 h 1616506"/>
                                        <a:gd name="connsiteX21" fmla="*/ 0 w 2156513"/>
                                        <a:gd name="connsiteY21" fmla="*/ 886780 h 1616506"/>
                                        <a:gd name="connsiteX22" fmla="*/ 261594 w 2156513"/>
                                        <a:gd name="connsiteY22" fmla="*/ 263194 h 1616506"/>
                                        <a:gd name="connsiteX23" fmla="*/ 616382 w 2156513"/>
                                        <a:gd name="connsiteY23" fmla="*/ 18135 h 1616506"/>
                                        <a:gd name="connsiteX0" fmla="*/ 616382 w 2094911"/>
                                        <a:gd name="connsiteY0" fmla="*/ 18135 h 1616506"/>
                                        <a:gd name="connsiteX1" fmla="*/ 766329 w 2094911"/>
                                        <a:gd name="connsiteY1" fmla="*/ 120359 h 1616506"/>
                                        <a:gd name="connsiteX2" fmla="*/ 872873 w 2094911"/>
                                        <a:gd name="connsiteY2" fmla="*/ 16230 h 1616506"/>
                                        <a:gd name="connsiteX3" fmla="*/ 1224658 w 2094911"/>
                                        <a:gd name="connsiteY3" fmla="*/ 0 h 1616506"/>
                                        <a:gd name="connsiteX4" fmla="*/ 1266952 w 2094911"/>
                                        <a:gd name="connsiteY4" fmla="*/ 470986 h 1616506"/>
                                        <a:gd name="connsiteX5" fmla="*/ 1296753 w 2094911"/>
                                        <a:gd name="connsiteY5" fmla="*/ 470986 h 1616506"/>
                                        <a:gd name="connsiteX6" fmla="*/ 1442039 w 2094911"/>
                                        <a:gd name="connsiteY6" fmla="*/ 719379 h 1616506"/>
                                        <a:gd name="connsiteX7" fmla="*/ 1486177 w 2094911"/>
                                        <a:gd name="connsiteY7" fmla="*/ 871539 h 1616506"/>
                                        <a:gd name="connsiteX8" fmla="*/ 1620775 w 2094911"/>
                                        <a:gd name="connsiteY8" fmla="*/ 1009098 h 1616506"/>
                                        <a:gd name="connsiteX9" fmla="*/ 1531467 w 2094911"/>
                                        <a:gd name="connsiteY9" fmla="*/ 1052752 h 1616506"/>
                                        <a:gd name="connsiteX10" fmla="*/ 1438663 w 2094911"/>
                                        <a:gd name="connsiteY10" fmla="*/ 1304125 h 1616506"/>
                                        <a:gd name="connsiteX11" fmla="*/ 1925802 w 2094911"/>
                                        <a:gd name="connsiteY11" fmla="*/ 1042263 h 1616506"/>
                                        <a:gd name="connsiteX12" fmla="*/ 1933810 w 2094911"/>
                                        <a:gd name="connsiteY12" fmla="*/ 1038502 h 1616506"/>
                                        <a:gd name="connsiteX13" fmla="*/ 1896006 w 2094911"/>
                                        <a:gd name="connsiteY13" fmla="*/ 1042056 h 1616506"/>
                                        <a:gd name="connsiteX14" fmla="*/ 2094911 w 2094911"/>
                                        <a:gd name="connsiteY14" fmla="*/ 1232211 h 1616506"/>
                                        <a:gd name="connsiteX15" fmla="*/ 1611249 w 2094911"/>
                                        <a:gd name="connsiteY15" fmla="*/ 1536039 h 1616506"/>
                                        <a:gd name="connsiteX16" fmla="*/ 1296695 w 2094911"/>
                                        <a:gd name="connsiteY16" fmla="*/ 1433626 h 1616506"/>
                                        <a:gd name="connsiteX17" fmla="*/ 967705 w 2094911"/>
                                        <a:gd name="connsiteY17" fmla="*/ 1550463 h 1616506"/>
                                        <a:gd name="connsiteX18" fmla="*/ 799262 w 2094911"/>
                                        <a:gd name="connsiteY18" fmla="*/ 1506778 h 1616506"/>
                                        <a:gd name="connsiteX19" fmla="*/ 759028 w 2094911"/>
                                        <a:gd name="connsiteY19" fmla="*/ 1616506 h 1616506"/>
                                        <a:gd name="connsiteX20" fmla="*/ 173812 w 2094911"/>
                                        <a:gd name="connsiteY20" fmla="*/ 1415338 h 1616506"/>
                                        <a:gd name="connsiteX21" fmla="*/ 0 w 2094911"/>
                                        <a:gd name="connsiteY21" fmla="*/ 886780 h 1616506"/>
                                        <a:gd name="connsiteX22" fmla="*/ 261594 w 2094911"/>
                                        <a:gd name="connsiteY22" fmla="*/ 263194 h 1616506"/>
                                        <a:gd name="connsiteX23" fmla="*/ 616382 w 2094911"/>
                                        <a:gd name="connsiteY23" fmla="*/ 18135 h 1616506"/>
                                        <a:gd name="connsiteX0" fmla="*/ 616382 w 2104579"/>
                                        <a:gd name="connsiteY0" fmla="*/ 18135 h 1616506"/>
                                        <a:gd name="connsiteX1" fmla="*/ 766329 w 2104579"/>
                                        <a:gd name="connsiteY1" fmla="*/ 120359 h 1616506"/>
                                        <a:gd name="connsiteX2" fmla="*/ 872873 w 2104579"/>
                                        <a:gd name="connsiteY2" fmla="*/ 16230 h 1616506"/>
                                        <a:gd name="connsiteX3" fmla="*/ 1224658 w 2104579"/>
                                        <a:gd name="connsiteY3" fmla="*/ 0 h 1616506"/>
                                        <a:gd name="connsiteX4" fmla="*/ 1266952 w 2104579"/>
                                        <a:gd name="connsiteY4" fmla="*/ 470986 h 1616506"/>
                                        <a:gd name="connsiteX5" fmla="*/ 1296753 w 2104579"/>
                                        <a:gd name="connsiteY5" fmla="*/ 470986 h 1616506"/>
                                        <a:gd name="connsiteX6" fmla="*/ 1442039 w 2104579"/>
                                        <a:gd name="connsiteY6" fmla="*/ 719379 h 1616506"/>
                                        <a:gd name="connsiteX7" fmla="*/ 1486177 w 2104579"/>
                                        <a:gd name="connsiteY7" fmla="*/ 871539 h 1616506"/>
                                        <a:gd name="connsiteX8" fmla="*/ 1620775 w 2104579"/>
                                        <a:gd name="connsiteY8" fmla="*/ 1009098 h 1616506"/>
                                        <a:gd name="connsiteX9" fmla="*/ 1531467 w 2104579"/>
                                        <a:gd name="connsiteY9" fmla="*/ 1052752 h 1616506"/>
                                        <a:gd name="connsiteX10" fmla="*/ 1438663 w 2104579"/>
                                        <a:gd name="connsiteY10" fmla="*/ 1304125 h 1616506"/>
                                        <a:gd name="connsiteX11" fmla="*/ 1925802 w 2104579"/>
                                        <a:gd name="connsiteY11" fmla="*/ 1042263 h 1616506"/>
                                        <a:gd name="connsiteX12" fmla="*/ 1933810 w 2104579"/>
                                        <a:gd name="connsiteY12" fmla="*/ 1038502 h 1616506"/>
                                        <a:gd name="connsiteX13" fmla="*/ 2094911 w 2104579"/>
                                        <a:gd name="connsiteY13" fmla="*/ 1232211 h 1616506"/>
                                        <a:gd name="connsiteX14" fmla="*/ 1611249 w 2104579"/>
                                        <a:gd name="connsiteY14" fmla="*/ 1536039 h 1616506"/>
                                        <a:gd name="connsiteX15" fmla="*/ 1296695 w 2104579"/>
                                        <a:gd name="connsiteY15" fmla="*/ 1433626 h 1616506"/>
                                        <a:gd name="connsiteX16" fmla="*/ 967705 w 2104579"/>
                                        <a:gd name="connsiteY16" fmla="*/ 1550463 h 1616506"/>
                                        <a:gd name="connsiteX17" fmla="*/ 799262 w 2104579"/>
                                        <a:gd name="connsiteY17" fmla="*/ 1506778 h 1616506"/>
                                        <a:gd name="connsiteX18" fmla="*/ 759028 w 2104579"/>
                                        <a:gd name="connsiteY18" fmla="*/ 1616506 h 1616506"/>
                                        <a:gd name="connsiteX19" fmla="*/ 173812 w 2104579"/>
                                        <a:gd name="connsiteY19" fmla="*/ 1415338 h 1616506"/>
                                        <a:gd name="connsiteX20" fmla="*/ 0 w 2104579"/>
                                        <a:gd name="connsiteY20" fmla="*/ 886780 h 1616506"/>
                                        <a:gd name="connsiteX21" fmla="*/ 261594 w 2104579"/>
                                        <a:gd name="connsiteY21" fmla="*/ 263194 h 1616506"/>
                                        <a:gd name="connsiteX22" fmla="*/ 616382 w 2104579"/>
                                        <a:gd name="connsiteY22" fmla="*/ 18135 h 1616506"/>
                                        <a:gd name="connsiteX0" fmla="*/ 616382 w 1949666"/>
                                        <a:gd name="connsiteY0" fmla="*/ 18135 h 1616506"/>
                                        <a:gd name="connsiteX1" fmla="*/ 766329 w 1949666"/>
                                        <a:gd name="connsiteY1" fmla="*/ 120359 h 1616506"/>
                                        <a:gd name="connsiteX2" fmla="*/ 872873 w 1949666"/>
                                        <a:gd name="connsiteY2" fmla="*/ 16230 h 1616506"/>
                                        <a:gd name="connsiteX3" fmla="*/ 1224658 w 1949666"/>
                                        <a:gd name="connsiteY3" fmla="*/ 0 h 1616506"/>
                                        <a:gd name="connsiteX4" fmla="*/ 1266952 w 1949666"/>
                                        <a:gd name="connsiteY4" fmla="*/ 470986 h 1616506"/>
                                        <a:gd name="connsiteX5" fmla="*/ 1296753 w 1949666"/>
                                        <a:gd name="connsiteY5" fmla="*/ 470986 h 1616506"/>
                                        <a:gd name="connsiteX6" fmla="*/ 1442039 w 1949666"/>
                                        <a:gd name="connsiteY6" fmla="*/ 719379 h 1616506"/>
                                        <a:gd name="connsiteX7" fmla="*/ 1486177 w 1949666"/>
                                        <a:gd name="connsiteY7" fmla="*/ 871539 h 1616506"/>
                                        <a:gd name="connsiteX8" fmla="*/ 1620775 w 1949666"/>
                                        <a:gd name="connsiteY8" fmla="*/ 1009098 h 1616506"/>
                                        <a:gd name="connsiteX9" fmla="*/ 1531467 w 1949666"/>
                                        <a:gd name="connsiteY9" fmla="*/ 1052752 h 1616506"/>
                                        <a:gd name="connsiteX10" fmla="*/ 1438663 w 1949666"/>
                                        <a:gd name="connsiteY10" fmla="*/ 1304125 h 1616506"/>
                                        <a:gd name="connsiteX11" fmla="*/ 1925802 w 1949666"/>
                                        <a:gd name="connsiteY11" fmla="*/ 1042263 h 1616506"/>
                                        <a:gd name="connsiteX12" fmla="*/ 1933810 w 1949666"/>
                                        <a:gd name="connsiteY12" fmla="*/ 1038502 h 1616506"/>
                                        <a:gd name="connsiteX13" fmla="*/ 1611249 w 1949666"/>
                                        <a:gd name="connsiteY13" fmla="*/ 1536039 h 1616506"/>
                                        <a:gd name="connsiteX14" fmla="*/ 1296695 w 1949666"/>
                                        <a:gd name="connsiteY14" fmla="*/ 1433626 h 1616506"/>
                                        <a:gd name="connsiteX15" fmla="*/ 967705 w 1949666"/>
                                        <a:gd name="connsiteY15" fmla="*/ 1550463 h 1616506"/>
                                        <a:gd name="connsiteX16" fmla="*/ 799262 w 1949666"/>
                                        <a:gd name="connsiteY16" fmla="*/ 1506778 h 1616506"/>
                                        <a:gd name="connsiteX17" fmla="*/ 759028 w 1949666"/>
                                        <a:gd name="connsiteY17" fmla="*/ 1616506 h 1616506"/>
                                        <a:gd name="connsiteX18" fmla="*/ 173812 w 1949666"/>
                                        <a:gd name="connsiteY18" fmla="*/ 1415338 h 1616506"/>
                                        <a:gd name="connsiteX19" fmla="*/ 0 w 1949666"/>
                                        <a:gd name="connsiteY19" fmla="*/ 886780 h 1616506"/>
                                        <a:gd name="connsiteX20" fmla="*/ 261594 w 1949666"/>
                                        <a:gd name="connsiteY20" fmla="*/ 263194 h 1616506"/>
                                        <a:gd name="connsiteX21" fmla="*/ 616382 w 1949666"/>
                                        <a:gd name="connsiteY21" fmla="*/ 18135 h 1616506"/>
                                        <a:gd name="connsiteX0" fmla="*/ 616382 w 1971708"/>
                                        <a:gd name="connsiteY0" fmla="*/ 18135 h 1616506"/>
                                        <a:gd name="connsiteX1" fmla="*/ 766329 w 1971708"/>
                                        <a:gd name="connsiteY1" fmla="*/ 120359 h 1616506"/>
                                        <a:gd name="connsiteX2" fmla="*/ 872873 w 1971708"/>
                                        <a:gd name="connsiteY2" fmla="*/ 16230 h 1616506"/>
                                        <a:gd name="connsiteX3" fmla="*/ 1224658 w 1971708"/>
                                        <a:gd name="connsiteY3" fmla="*/ 0 h 1616506"/>
                                        <a:gd name="connsiteX4" fmla="*/ 1266952 w 1971708"/>
                                        <a:gd name="connsiteY4" fmla="*/ 470986 h 1616506"/>
                                        <a:gd name="connsiteX5" fmla="*/ 1296753 w 1971708"/>
                                        <a:gd name="connsiteY5" fmla="*/ 470986 h 1616506"/>
                                        <a:gd name="connsiteX6" fmla="*/ 1442039 w 1971708"/>
                                        <a:gd name="connsiteY6" fmla="*/ 719379 h 1616506"/>
                                        <a:gd name="connsiteX7" fmla="*/ 1486177 w 1971708"/>
                                        <a:gd name="connsiteY7" fmla="*/ 871539 h 1616506"/>
                                        <a:gd name="connsiteX8" fmla="*/ 1620775 w 1971708"/>
                                        <a:gd name="connsiteY8" fmla="*/ 1009098 h 1616506"/>
                                        <a:gd name="connsiteX9" fmla="*/ 1531467 w 1971708"/>
                                        <a:gd name="connsiteY9" fmla="*/ 1052752 h 1616506"/>
                                        <a:gd name="connsiteX10" fmla="*/ 1438663 w 1971708"/>
                                        <a:gd name="connsiteY10" fmla="*/ 1304125 h 1616506"/>
                                        <a:gd name="connsiteX11" fmla="*/ 1925802 w 1971708"/>
                                        <a:gd name="connsiteY11" fmla="*/ 1042263 h 1616506"/>
                                        <a:gd name="connsiteX12" fmla="*/ 1933810 w 1971708"/>
                                        <a:gd name="connsiteY12" fmla="*/ 1038502 h 1616506"/>
                                        <a:gd name="connsiteX13" fmla="*/ 1296695 w 1971708"/>
                                        <a:gd name="connsiteY13" fmla="*/ 1433626 h 1616506"/>
                                        <a:gd name="connsiteX14" fmla="*/ 967705 w 1971708"/>
                                        <a:gd name="connsiteY14" fmla="*/ 1550463 h 1616506"/>
                                        <a:gd name="connsiteX15" fmla="*/ 799262 w 1971708"/>
                                        <a:gd name="connsiteY15" fmla="*/ 1506778 h 1616506"/>
                                        <a:gd name="connsiteX16" fmla="*/ 759028 w 1971708"/>
                                        <a:gd name="connsiteY16" fmla="*/ 1616506 h 1616506"/>
                                        <a:gd name="connsiteX17" fmla="*/ 173812 w 1971708"/>
                                        <a:gd name="connsiteY17" fmla="*/ 1415338 h 1616506"/>
                                        <a:gd name="connsiteX18" fmla="*/ 0 w 1971708"/>
                                        <a:gd name="connsiteY18" fmla="*/ 886780 h 1616506"/>
                                        <a:gd name="connsiteX19" fmla="*/ 261594 w 1971708"/>
                                        <a:gd name="connsiteY19" fmla="*/ 263194 h 1616506"/>
                                        <a:gd name="connsiteX20" fmla="*/ 616382 w 1971708"/>
                                        <a:gd name="connsiteY20" fmla="*/ 18135 h 1616506"/>
                                        <a:gd name="connsiteX0" fmla="*/ 616382 w 1925802"/>
                                        <a:gd name="connsiteY0" fmla="*/ 18135 h 1616506"/>
                                        <a:gd name="connsiteX1" fmla="*/ 766329 w 1925802"/>
                                        <a:gd name="connsiteY1" fmla="*/ 120359 h 1616506"/>
                                        <a:gd name="connsiteX2" fmla="*/ 872873 w 1925802"/>
                                        <a:gd name="connsiteY2" fmla="*/ 16230 h 1616506"/>
                                        <a:gd name="connsiteX3" fmla="*/ 1224658 w 1925802"/>
                                        <a:gd name="connsiteY3" fmla="*/ 0 h 1616506"/>
                                        <a:gd name="connsiteX4" fmla="*/ 1266952 w 1925802"/>
                                        <a:gd name="connsiteY4" fmla="*/ 470986 h 1616506"/>
                                        <a:gd name="connsiteX5" fmla="*/ 1296753 w 1925802"/>
                                        <a:gd name="connsiteY5" fmla="*/ 470986 h 1616506"/>
                                        <a:gd name="connsiteX6" fmla="*/ 1442039 w 1925802"/>
                                        <a:gd name="connsiteY6" fmla="*/ 719379 h 1616506"/>
                                        <a:gd name="connsiteX7" fmla="*/ 1486177 w 1925802"/>
                                        <a:gd name="connsiteY7" fmla="*/ 871539 h 1616506"/>
                                        <a:gd name="connsiteX8" fmla="*/ 1620775 w 1925802"/>
                                        <a:gd name="connsiteY8" fmla="*/ 1009098 h 1616506"/>
                                        <a:gd name="connsiteX9" fmla="*/ 1531467 w 1925802"/>
                                        <a:gd name="connsiteY9" fmla="*/ 1052752 h 1616506"/>
                                        <a:gd name="connsiteX10" fmla="*/ 1438663 w 1925802"/>
                                        <a:gd name="connsiteY10" fmla="*/ 1304125 h 1616506"/>
                                        <a:gd name="connsiteX11" fmla="*/ 1925802 w 1925802"/>
                                        <a:gd name="connsiteY11" fmla="*/ 1042263 h 1616506"/>
                                        <a:gd name="connsiteX12" fmla="*/ 1296695 w 1925802"/>
                                        <a:gd name="connsiteY12" fmla="*/ 1433626 h 1616506"/>
                                        <a:gd name="connsiteX13" fmla="*/ 967705 w 1925802"/>
                                        <a:gd name="connsiteY13" fmla="*/ 1550463 h 1616506"/>
                                        <a:gd name="connsiteX14" fmla="*/ 799262 w 1925802"/>
                                        <a:gd name="connsiteY14" fmla="*/ 1506778 h 1616506"/>
                                        <a:gd name="connsiteX15" fmla="*/ 759028 w 1925802"/>
                                        <a:gd name="connsiteY15" fmla="*/ 1616506 h 1616506"/>
                                        <a:gd name="connsiteX16" fmla="*/ 173812 w 1925802"/>
                                        <a:gd name="connsiteY16" fmla="*/ 1415338 h 1616506"/>
                                        <a:gd name="connsiteX17" fmla="*/ 0 w 1925802"/>
                                        <a:gd name="connsiteY17" fmla="*/ 886780 h 1616506"/>
                                        <a:gd name="connsiteX18" fmla="*/ 261594 w 1925802"/>
                                        <a:gd name="connsiteY18" fmla="*/ 263194 h 1616506"/>
                                        <a:gd name="connsiteX19" fmla="*/ 616382 w 1925802"/>
                                        <a:gd name="connsiteY19" fmla="*/ 18135 h 1616506"/>
                                        <a:gd name="connsiteX0" fmla="*/ 616382 w 1620776"/>
                                        <a:gd name="connsiteY0" fmla="*/ 18135 h 1616506"/>
                                        <a:gd name="connsiteX1" fmla="*/ 766329 w 1620776"/>
                                        <a:gd name="connsiteY1" fmla="*/ 120359 h 1616506"/>
                                        <a:gd name="connsiteX2" fmla="*/ 872873 w 1620776"/>
                                        <a:gd name="connsiteY2" fmla="*/ 16230 h 1616506"/>
                                        <a:gd name="connsiteX3" fmla="*/ 1224658 w 1620776"/>
                                        <a:gd name="connsiteY3" fmla="*/ 0 h 1616506"/>
                                        <a:gd name="connsiteX4" fmla="*/ 1266952 w 1620776"/>
                                        <a:gd name="connsiteY4" fmla="*/ 470986 h 1616506"/>
                                        <a:gd name="connsiteX5" fmla="*/ 1296753 w 1620776"/>
                                        <a:gd name="connsiteY5" fmla="*/ 470986 h 1616506"/>
                                        <a:gd name="connsiteX6" fmla="*/ 1442039 w 1620776"/>
                                        <a:gd name="connsiteY6" fmla="*/ 719379 h 1616506"/>
                                        <a:gd name="connsiteX7" fmla="*/ 1486177 w 1620776"/>
                                        <a:gd name="connsiteY7" fmla="*/ 871539 h 1616506"/>
                                        <a:gd name="connsiteX8" fmla="*/ 1620775 w 1620776"/>
                                        <a:gd name="connsiteY8" fmla="*/ 1009098 h 1616506"/>
                                        <a:gd name="connsiteX9" fmla="*/ 1531467 w 1620776"/>
                                        <a:gd name="connsiteY9" fmla="*/ 1052752 h 1616506"/>
                                        <a:gd name="connsiteX10" fmla="*/ 1438663 w 1620776"/>
                                        <a:gd name="connsiteY10" fmla="*/ 1304125 h 1616506"/>
                                        <a:gd name="connsiteX11" fmla="*/ 1296695 w 1620776"/>
                                        <a:gd name="connsiteY11" fmla="*/ 1433626 h 1616506"/>
                                        <a:gd name="connsiteX12" fmla="*/ 967705 w 1620776"/>
                                        <a:gd name="connsiteY12" fmla="*/ 1550463 h 1616506"/>
                                        <a:gd name="connsiteX13" fmla="*/ 799262 w 1620776"/>
                                        <a:gd name="connsiteY13" fmla="*/ 1506778 h 1616506"/>
                                        <a:gd name="connsiteX14" fmla="*/ 759028 w 1620776"/>
                                        <a:gd name="connsiteY14" fmla="*/ 1616506 h 1616506"/>
                                        <a:gd name="connsiteX15" fmla="*/ 173812 w 1620776"/>
                                        <a:gd name="connsiteY15" fmla="*/ 1415338 h 1616506"/>
                                        <a:gd name="connsiteX16" fmla="*/ 0 w 1620776"/>
                                        <a:gd name="connsiteY16" fmla="*/ 886780 h 1616506"/>
                                        <a:gd name="connsiteX17" fmla="*/ 261594 w 1620776"/>
                                        <a:gd name="connsiteY17" fmla="*/ 263194 h 1616506"/>
                                        <a:gd name="connsiteX18" fmla="*/ 616382 w 1620776"/>
                                        <a:gd name="connsiteY18" fmla="*/ 18135 h 1616506"/>
                                        <a:gd name="connsiteX0" fmla="*/ 616382 w 1620774"/>
                                        <a:gd name="connsiteY0" fmla="*/ 18135 h 1616506"/>
                                        <a:gd name="connsiteX1" fmla="*/ 766329 w 1620774"/>
                                        <a:gd name="connsiteY1" fmla="*/ 120359 h 1616506"/>
                                        <a:gd name="connsiteX2" fmla="*/ 872873 w 1620774"/>
                                        <a:gd name="connsiteY2" fmla="*/ 16230 h 1616506"/>
                                        <a:gd name="connsiteX3" fmla="*/ 1224658 w 1620774"/>
                                        <a:gd name="connsiteY3" fmla="*/ 0 h 1616506"/>
                                        <a:gd name="connsiteX4" fmla="*/ 1266952 w 1620774"/>
                                        <a:gd name="connsiteY4" fmla="*/ 470986 h 1616506"/>
                                        <a:gd name="connsiteX5" fmla="*/ 1296753 w 1620774"/>
                                        <a:gd name="connsiteY5" fmla="*/ 470986 h 1616506"/>
                                        <a:gd name="connsiteX6" fmla="*/ 1442039 w 1620774"/>
                                        <a:gd name="connsiteY6" fmla="*/ 719379 h 1616506"/>
                                        <a:gd name="connsiteX7" fmla="*/ 1486177 w 1620774"/>
                                        <a:gd name="connsiteY7" fmla="*/ 871539 h 1616506"/>
                                        <a:gd name="connsiteX8" fmla="*/ 1620775 w 1620774"/>
                                        <a:gd name="connsiteY8" fmla="*/ 1009098 h 1616506"/>
                                        <a:gd name="connsiteX9" fmla="*/ 1531467 w 1620774"/>
                                        <a:gd name="connsiteY9" fmla="*/ 1052752 h 1616506"/>
                                        <a:gd name="connsiteX10" fmla="*/ 1438663 w 1620774"/>
                                        <a:gd name="connsiteY10" fmla="*/ 1304125 h 1616506"/>
                                        <a:gd name="connsiteX11" fmla="*/ 967705 w 1620774"/>
                                        <a:gd name="connsiteY11" fmla="*/ 1550463 h 1616506"/>
                                        <a:gd name="connsiteX12" fmla="*/ 799262 w 1620774"/>
                                        <a:gd name="connsiteY12" fmla="*/ 1506778 h 1616506"/>
                                        <a:gd name="connsiteX13" fmla="*/ 759028 w 1620774"/>
                                        <a:gd name="connsiteY13" fmla="*/ 1616506 h 1616506"/>
                                        <a:gd name="connsiteX14" fmla="*/ 173812 w 1620774"/>
                                        <a:gd name="connsiteY14" fmla="*/ 1415338 h 1616506"/>
                                        <a:gd name="connsiteX15" fmla="*/ 0 w 1620774"/>
                                        <a:gd name="connsiteY15" fmla="*/ 886780 h 1616506"/>
                                        <a:gd name="connsiteX16" fmla="*/ 261594 w 1620774"/>
                                        <a:gd name="connsiteY16" fmla="*/ 263194 h 1616506"/>
                                        <a:gd name="connsiteX17" fmla="*/ 616382 w 1620774"/>
                                        <a:gd name="connsiteY17" fmla="*/ 18135 h 1616506"/>
                                        <a:gd name="connsiteX0" fmla="*/ 616382 w 1620776"/>
                                        <a:gd name="connsiteY0" fmla="*/ 18135 h 1616506"/>
                                        <a:gd name="connsiteX1" fmla="*/ 766329 w 1620776"/>
                                        <a:gd name="connsiteY1" fmla="*/ 120359 h 1616506"/>
                                        <a:gd name="connsiteX2" fmla="*/ 872873 w 1620776"/>
                                        <a:gd name="connsiteY2" fmla="*/ 16230 h 1616506"/>
                                        <a:gd name="connsiteX3" fmla="*/ 1224658 w 1620776"/>
                                        <a:gd name="connsiteY3" fmla="*/ 0 h 1616506"/>
                                        <a:gd name="connsiteX4" fmla="*/ 1266952 w 1620776"/>
                                        <a:gd name="connsiteY4" fmla="*/ 470986 h 1616506"/>
                                        <a:gd name="connsiteX5" fmla="*/ 1296753 w 1620776"/>
                                        <a:gd name="connsiteY5" fmla="*/ 470986 h 1616506"/>
                                        <a:gd name="connsiteX6" fmla="*/ 1442039 w 1620776"/>
                                        <a:gd name="connsiteY6" fmla="*/ 719379 h 1616506"/>
                                        <a:gd name="connsiteX7" fmla="*/ 1486177 w 1620776"/>
                                        <a:gd name="connsiteY7" fmla="*/ 871539 h 1616506"/>
                                        <a:gd name="connsiteX8" fmla="*/ 1620775 w 1620776"/>
                                        <a:gd name="connsiteY8" fmla="*/ 1009098 h 1616506"/>
                                        <a:gd name="connsiteX9" fmla="*/ 1531467 w 1620776"/>
                                        <a:gd name="connsiteY9" fmla="*/ 1052752 h 1616506"/>
                                        <a:gd name="connsiteX10" fmla="*/ 1438663 w 1620776"/>
                                        <a:gd name="connsiteY10" fmla="*/ 1304125 h 1616506"/>
                                        <a:gd name="connsiteX11" fmla="*/ 799262 w 1620776"/>
                                        <a:gd name="connsiteY11" fmla="*/ 1506778 h 1616506"/>
                                        <a:gd name="connsiteX12" fmla="*/ 759028 w 1620776"/>
                                        <a:gd name="connsiteY12" fmla="*/ 1616506 h 1616506"/>
                                        <a:gd name="connsiteX13" fmla="*/ 173812 w 1620776"/>
                                        <a:gd name="connsiteY13" fmla="*/ 1415338 h 1616506"/>
                                        <a:gd name="connsiteX14" fmla="*/ 0 w 1620776"/>
                                        <a:gd name="connsiteY14" fmla="*/ 886780 h 1616506"/>
                                        <a:gd name="connsiteX15" fmla="*/ 261594 w 1620776"/>
                                        <a:gd name="connsiteY15" fmla="*/ 263194 h 1616506"/>
                                        <a:gd name="connsiteX16" fmla="*/ 616382 w 1620776"/>
                                        <a:gd name="connsiteY16" fmla="*/ 18135 h 1616506"/>
                                        <a:gd name="connsiteX0" fmla="*/ 616382 w 1620774"/>
                                        <a:gd name="connsiteY0" fmla="*/ 18135 h 1506779"/>
                                        <a:gd name="connsiteX1" fmla="*/ 766329 w 1620774"/>
                                        <a:gd name="connsiteY1" fmla="*/ 120359 h 1506779"/>
                                        <a:gd name="connsiteX2" fmla="*/ 872873 w 1620774"/>
                                        <a:gd name="connsiteY2" fmla="*/ 16230 h 1506779"/>
                                        <a:gd name="connsiteX3" fmla="*/ 1224658 w 1620774"/>
                                        <a:gd name="connsiteY3" fmla="*/ 0 h 1506779"/>
                                        <a:gd name="connsiteX4" fmla="*/ 1266952 w 1620774"/>
                                        <a:gd name="connsiteY4" fmla="*/ 470986 h 1506779"/>
                                        <a:gd name="connsiteX5" fmla="*/ 1296753 w 1620774"/>
                                        <a:gd name="connsiteY5" fmla="*/ 470986 h 1506779"/>
                                        <a:gd name="connsiteX6" fmla="*/ 1442039 w 1620774"/>
                                        <a:gd name="connsiteY6" fmla="*/ 719379 h 1506779"/>
                                        <a:gd name="connsiteX7" fmla="*/ 1486177 w 1620774"/>
                                        <a:gd name="connsiteY7" fmla="*/ 871539 h 1506779"/>
                                        <a:gd name="connsiteX8" fmla="*/ 1620775 w 1620774"/>
                                        <a:gd name="connsiteY8" fmla="*/ 1009098 h 1506779"/>
                                        <a:gd name="connsiteX9" fmla="*/ 1531467 w 1620774"/>
                                        <a:gd name="connsiteY9" fmla="*/ 1052752 h 1506779"/>
                                        <a:gd name="connsiteX10" fmla="*/ 1438663 w 1620774"/>
                                        <a:gd name="connsiteY10" fmla="*/ 1304125 h 1506779"/>
                                        <a:gd name="connsiteX11" fmla="*/ 799262 w 1620774"/>
                                        <a:gd name="connsiteY11" fmla="*/ 1506778 h 1506779"/>
                                        <a:gd name="connsiteX12" fmla="*/ 473720 w 1620774"/>
                                        <a:gd name="connsiteY12" fmla="*/ 1465094 h 1506779"/>
                                        <a:gd name="connsiteX13" fmla="*/ 173812 w 1620774"/>
                                        <a:gd name="connsiteY13" fmla="*/ 1415338 h 1506779"/>
                                        <a:gd name="connsiteX14" fmla="*/ 0 w 1620774"/>
                                        <a:gd name="connsiteY14" fmla="*/ 886780 h 1506779"/>
                                        <a:gd name="connsiteX15" fmla="*/ 261594 w 1620774"/>
                                        <a:gd name="connsiteY15" fmla="*/ 263194 h 1506779"/>
                                        <a:gd name="connsiteX16" fmla="*/ 616382 w 1620774"/>
                                        <a:gd name="connsiteY16" fmla="*/ 18135 h 1506779"/>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66952 w 1620776"/>
                                        <a:gd name="connsiteY4" fmla="*/ 470986 h 1532570"/>
                                        <a:gd name="connsiteX5" fmla="*/ 1296753 w 1620776"/>
                                        <a:gd name="connsiteY5" fmla="*/ 47098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73720 w 1620776"/>
                                        <a:gd name="connsiteY12" fmla="*/ 1465094 h 1532570"/>
                                        <a:gd name="connsiteX13" fmla="*/ 173812 w 1620776"/>
                                        <a:gd name="connsiteY13" fmla="*/ 1415338 h 1532570"/>
                                        <a:gd name="connsiteX14" fmla="*/ 0 w 1620776"/>
                                        <a:gd name="connsiteY14" fmla="*/ 886780 h 1532570"/>
                                        <a:gd name="connsiteX15" fmla="*/ 261594 w 1620776"/>
                                        <a:gd name="connsiteY15" fmla="*/ 263194 h 1532570"/>
                                        <a:gd name="connsiteX16" fmla="*/ 616382 w 1620776"/>
                                        <a:gd name="connsiteY16"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66952 w 1620774"/>
                                        <a:gd name="connsiteY4" fmla="*/ 470986 h 1532568"/>
                                        <a:gd name="connsiteX5" fmla="*/ 1296753 w 1620774"/>
                                        <a:gd name="connsiteY5" fmla="*/ 47098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73720 w 1620774"/>
                                        <a:gd name="connsiteY12" fmla="*/ 1465094 h 1532568"/>
                                        <a:gd name="connsiteX13" fmla="*/ 324846 w 1620774"/>
                                        <a:gd name="connsiteY13" fmla="*/ 1440376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66952 w 1620776"/>
                                        <a:gd name="connsiteY4" fmla="*/ 470986 h 1532570"/>
                                        <a:gd name="connsiteX5" fmla="*/ 1296753 w 1620776"/>
                                        <a:gd name="connsiteY5" fmla="*/ 47098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73720 w 1620776"/>
                                        <a:gd name="connsiteY12" fmla="*/ 1465094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66952 w 1620774"/>
                                        <a:gd name="connsiteY4" fmla="*/ 470986 h 1532568"/>
                                        <a:gd name="connsiteX5" fmla="*/ 1296753 w 1620774"/>
                                        <a:gd name="connsiteY5" fmla="*/ 47098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73720 w 1620774"/>
                                        <a:gd name="connsiteY12" fmla="*/ 1465094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66952 w 1620776"/>
                                        <a:gd name="connsiteY4" fmla="*/ 470986 h 1532570"/>
                                        <a:gd name="connsiteX5" fmla="*/ 1296753 w 1620776"/>
                                        <a:gd name="connsiteY5" fmla="*/ 47098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73720 w 1620776"/>
                                        <a:gd name="connsiteY12" fmla="*/ 1465094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66952 w 1620774"/>
                                        <a:gd name="connsiteY4" fmla="*/ 470986 h 1532568"/>
                                        <a:gd name="connsiteX5" fmla="*/ 1296753 w 1620774"/>
                                        <a:gd name="connsiteY5" fmla="*/ 47098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73720 w 1620774"/>
                                        <a:gd name="connsiteY12" fmla="*/ 1465094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66952 w 1620776"/>
                                        <a:gd name="connsiteY4" fmla="*/ 470986 h 1532570"/>
                                        <a:gd name="connsiteX5" fmla="*/ 1296753 w 1620776"/>
                                        <a:gd name="connsiteY5" fmla="*/ 47098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66952 w 1620774"/>
                                        <a:gd name="connsiteY4" fmla="*/ 470986 h 1532568"/>
                                        <a:gd name="connsiteX5" fmla="*/ 1417796 w 1620774"/>
                                        <a:gd name="connsiteY5" fmla="*/ 50502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92633 w 1620774"/>
                                        <a:gd name="connsiteY12" fmla="*/ 1457529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376647 w 1620776"/>
                                        <a:gd name="connsiteY4" fmla="*/ 406693 h 1532570"/>
                                        <a:gd name="connsiteX5" fmla="*/ 1417796 w 1620776"/>
                                        <a:gd name="connsiteY5" fmla="*/ 50502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70735 w 1620774"/>
                                        <a:gd name="connsiteY4" fmla="*/ 471096 h 1532568"/>
                                        <a:gd name="connsiteX5" fmla="*/ 1417796 w 1620774"/>
                                        <a:gd name="connsiteY5" fmla="*/ 50502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92633 w 1620774"/>
                                        <a:gd name="connsiteY12" fmla="*/ 1457529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74517 w 1620776"/>
                                        <a:gd name="connsiteY4" fmla="*/ 471096 h 1532570"/>
                                        <a:gd name="connsiteX5" fmla="*/ 1417796 w 1620776"/>
                                        <a:gd name="connsiteY5" fmla="*/ 50502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95485 w 1620774"/>
                                        <a:gd name="connsiteY4" fmla="*/ 471096 h 1532568"/>
                                        <a:gd name="connsiteX5" fmla="*/ 1417796 w 1620774"/>
                                        <a:gd name="connsiteY5" fmla="*/ 50502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92633 w 1620774"/>
                                        <a:gd name="connsiteY12" fmla="*/ 1457529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95486 w 1620776"/>
                                        <a:gd name="connsiteY4" fmla="*/ 471096 h 1532570"/>
                                        <a:gd name="connsiteX5" fmla="*/ 1417796 w 1620776"/>
                                        <a:gd name="connsiteY5" fmla="*/ 50502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76572 w 1620774"/>
                                        <a:gd name="connsiteY4" fmla="*/ 471096 h 1532568"/>
                                        <a:gd name="connsiteX5" fmla="*/ 1417796 w 1620774"/>
                                        <a:gd name="connsiteY5" fmla="*/ 50502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92633 w 1620774"/>
                                        <a:gd name="connsiteY12" fmla="*/ 1457529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337347 w 1620774"/>
                                        <a:gd name="connsiteY6" fmla="*/ 542740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1467 w 1620774"/>
                                        <a:gd name="connsiteY10" fmla="*/ 1052752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6 w 1620776"/>
                                        <a:gd name="connsiteY6" fmla="*/ 508703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1467 w 1620776"/>
                                        <a:gd name="connsiteY10" fmla="*/ 1052752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1467 w 1620774"/>
                                        <a:gd name="connsiteY10" fmla="*/ 1052752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66329 w 1620774"/>
                                        <a:gd name="connsiteY1" fmla="*/ 120359 h 1532568"/>
                                        <a:gd name="connsiteX2" fmla="*/ 872873 w 1620774"/>
                                        <a:gd name="connsiteY2" fmla="*/ 172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72875 w 1620776"/>
                                        <a:gd name="connsiteY2" fmla="*/ 1725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66329 w 1620774"/>
                                        <a:gd name="connsiteY1" fmla="*/ 120359 h 1532568"/>
                                        <a:gd name="connsiteX2" fmla="*/ 872873 w 1620774"/>
                                        <a:gd name="connsiteY2" fmla="*/ 172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72875 w 1620776"/>
                                        <a:gd name="connsiteY2" fmla="*/ 3616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66329 w 1620774"/>
                                        <a:gd name="connsiteY1" fmla="*/ 120359 h 1532568"/>
                                        <a:gd name="connsiteX2" fmla="*/ 865387 w 1620774"/>
                                        <a:gd name="connsiteY2" fmla="*/ 172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67876 w 1620776"/>
                                        <a:gd name="connsiteY2" fmla="*/ 36170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71141 w 1620774"/>
                                        <a:gd name="connsiteY1" fmla="*/ 131706 h 1532568"/>
                                        <a:gd name="connsiteX2" fmla="*/ 867876 w 1620774"/>
                                        <a:gd name="connsiteY2" fmla="*/ 36170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71141 w 1620776"/>
                                        <a:gd name="connsiteY1" fmla="*/ 131706 h 1532570"/>
                                        <a:gd name="connsiteX2" fmla="*/ 872875 w 1620776"/>
                                        <a:gd name="connsiteY2" fmla="*/ 1725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71141 w 1620774"/>
                                        <a:gd name="connsiteY1" fmla="*/ 131706 h 1532568"/>
                                        <a:gd name="connsiteX2" fmla="*/ 872873 w 1620774"/>
                                        <a:gd name="connsiteY2" fmla="*/ 172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71141 w 1620776"/>
                                        <a:gd name="connsiteY1" fmla="*/ 131706 h 1532570"/>
                                        <a:gd name="connsiteX2" fmla="*/ 865388 w 1620776"/>
                                        <a:gd name="connsiteY2" fmla="*/ 1725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71141 w 1620774"/>
                                        <a:gd name="connsiteY1" fmla="*/ 131706 h 1532568"/>
                                        <a:gd name="connsiteX2" fmla="*/ 872873 w 1620774"/>
                                        <a:gd name="connsiteY2" fmla="*/ 15207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71141 w 1620776"/>
                                        <a:gd name="connsiteY1" fmla="*/ 131706 h 1532570"/>
                                        <a:gd name="connsiteX2" fmla="*/ 872875 w 1620776"/>
                                        <a:gd name="connsiteY2" fmla="*/ 15207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71141 w 1620774"/>
                                        <a:gd name="connsiteY1" fmla="*/ 131706 h 1532568"/>
                                        <a:gd name="connsiteX2" fmla="*/ 872873 w 1620774"/>
                                        <a:gd name="connsiteY2" fmla="*/ 309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71141 w 1620776"/>
                                        <a:gd name="connsiteY1" fmla="*/ 131706 h 1532570"/>
                                        <a:gd name="connsiteX2" fmla="*/ 872873 w 1620776"/>
                                        <a:gd name="connsiteY2" fmla="*/ 3095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295192 w 1620776"/>
                                        <a:gd name="connsiteY16" fmla="*/ 662112 h 1532570"/>
                                        <a:gd name="connsiteX17" fmla="*/ 0 w 1620776"/>
                                        <a:gd name="connsiteY17" fmla="*/ 886780 h 1532570"/>
                                        <a:gd name="connsiteX18" fmla="*/ 261594 w 1620776"/>
                                        <a:gd name="connsiteY18" fmla="*/ 263194 h 1532570"/>
                                        <a:gd name="connsiteX19" fmla="*/ 616382 w 1620776"/>
                                        <a:gd name="connsiteY19" fmla="*/ 18135 h 1532570"/>
                                        <a:gd name="connsiteX0" fmla="*/ 616382 w 1620774"/>
                                        <a:gd name="connsiteY0" fmla="*/ 18135 h 1532568"/>
                                        <a:gd name="connsiteX1" fmla="*/ 771141 w 1620774"/>
                                        <a:gd name="connsiteY1" fmla="*/ 131706 h 1532568"/>
                                        <a:gd name="connsiteX2" fmla="*/ 872873 w 1620774"/>
                                        <a:gd name="connsiteY2" fmla="*/ 309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295192 w 1620774"/>
                                        <a:gd name="connsiteY15" fmla="*/ 662112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71141 w 1620776"/>
                                        <a:gd name="connsiteY1" fmla="*/ 131706 h 1532570"/>
                                        <a:gd name="connsiteX2" fmla="*/ 872873 w 1620776"/>
                                        <a:gd name="connsiteY2" fmla="*/ 3095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295192 w 1620776"/>
                                        <a:gd name="connsiteY14" fmla="*/ 662112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71141 w 1620774"/>
                                        <a:gd name="connsiteY1" fmla="*/ 131706 h 1532568"/>
                                        <a:gd name="connsiteX2" fmla="*/ 872873 w 1620774"/>
                                        <a:gd name="connsiteY2" fmla="*/ 309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549401 w 1620774"/>
                                        <a:gd name="connsiteY13" fmla="*/ 912705 h 1532568"/>
                                        <a:gd name="connsiteX14" fmla="*/ 295192 w 1620774"/>
                                        <a:gd name="connsiteY14" fmla="*/ 662112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304125"/>
                                        <a:gd name="connsiteX1" fmla="*/ 771141 w 1620776"/>
                                        <a:gd name="connsiteY1" fmla="*/ 131706 h 1304125"/>
                                        <a:gd name="connsiteX2" fmla="*/ 872873 w 1620776"/>
                                        <a:gd name="connsiteY2" fmla="*/ 30959 h 1304125"/>
                                        <a:gd name="connsiteX3" fmla="*/ 1224658 w 1620776"/>
                                        <a:gd name="connsiteY3" fmla="*/ 0 h 1304125"/>
                                        <a:gd name="connsiteX4" fmla="*/ 1276572 w 1620776"/>
                                        <a:gd name="connsiteY4" fmla="*/ 471096 h 1304125"/>
                                        <a:gd name="connsiteX5" fmla="*/ 1295486 w 1620776"/>
                                        <a:gd name="connsiteY5" fmla="*/ 471096 h 1304125"/>
                                        <a:gd name="connsiteX6" fmla="*/ 1295485 w 1620776"/>
                                        <a:gd name="connsiteY6" fmla="*/ 501138 h 1304125"/>
                                        <a:gd name="connsiteX7" fmla="*/ 1442039 w 1620776"/>
                                        <a:gd name="connsiteY7" fmla="*/ 719379 h 1304125"/>
                                        <a:gd name="connsiteX8" fmla="*/ 1486177 w 1620776"/>
                                        <a:gd name="connsiteY8" fmla="*/ 871539 h 1304125"/>
                                        <a:gd name="connsiteX9" fmla="*/ 1620775 w 1620776"/>
                                        <a:gd name="connsiteY9" fmla="*/ 1009098 h 1304125"/>
                                        <a:gd name="connsiteX10" fmla="*/ 1537097 w 1620776"/>
                                        <a:gd name="connsiteY10" fmla="*/ 1052753 h 1304125"/>
                                        <a:gd name="connsiteX11" fmla="*/ 1438663 w 1620776"/>
                                        <a:gd name="connsiteY11" fmla="*/ 1304125 h 1304125"/>
                                        <a:gd name="connsiteX12" fmla="*/ 681531 w 1620776"/>
                                        <a:gd name="connsiteY12" fmla="*/ 1202647 h 1304125"/>
                                        <a:gd name="connsiteX13" fmla="*/ 549401 w 1620776"/>
                                        <a:gd name="connsiteY13" fmla="*/ 912705 h 1304125"/>
                                        <a:gd name="connsiteX14" fmla="*/ 295192 w 1620776"/>
                                        <a:gd name="connsiteY14" fmla="*/ 662112 h 1304125"/>
                                        <a:gd name="connsiteX15" fmla="*/ 0 w 1620776"/>
                                        <a:gd name="connsiteY15" fmla="*/ 886780 h 1304125"/>
                                        <a:gd name="connsiteX16" fmla="*/ 261594 w 1620776"/>
                                        <a:gd name="connsiteY16" fmla="*/ 263194 h 1304125"/>
                                        <a:gd name="connsiteX17" fmla="*/ 616382 w 1620776"/>
                                        <a:gd name="connsiteY17" fmla="*/ 18135 h 1304125"/>
                                        <a:gd name="connsiteX0" fmla="*/ 616382 w 1620774"/>
                                        <a:gd name="connsiteY0" fmla="*/ 18135 h 1202647"/>
                                        <a:gd name="connsiteX1" fmla="*/ 771141 w 1620774"/>
                                        <a:gd name="connsiteY1" fmla="*/ 131706 h 1202647"/>
                                        <a:gd name="connsiteX2" fmla="*/ 872873 w 1620774"/>
                                        <a:gd name="connsiteY2" fmla="*/ 30959 h 1202647"/>
                                        <a:gd name="connsiteX3" fmla="*/ 1224658 w 1620774"/>
                                        <a:gd name="connsiteY3" fmla="*/ 0 h 1202647"/>
                                        <a:gd name="connsiteX4" fmla="*/ 1276572 w 1620774"/>
                                        <a:gd name="connsiteY4" fmla="*/ 471096 h 1202647"/>
                                        <a:gd name="connsiteX5" fmla="*/ 1295486 w 1620774"/>
                                        <a:gd name="connsiteY5" fmla="*/ 471096 h 1202647"/>
                                        <a:gd name="connsiteX6" fmla="*/ 1295485 w 1620774"/>
                                        <a:gd name="connsiteY6" fmla="*/ 501138 h 1202647"/>
                                        <a:gd name="connsiteX7" fmla="*/ 1442039 w 1620774"/>
                                        <a:gd name="connsiteY7" fmla="*/ 719379 h 1202647"/>
                                        <a:gd name="connsiteX8" fmla="*/ 1486177 w 1620774"/>
                                        <a:gd name="connsiteY8" fmla="*/ 871539 h 1202647"/>
                                        <a:gd name="connsiteX9" fmla="*/ 1620775 w 1620774"/>
                                        <a:gd name="connsiteY9" fmla="*/ 1009098 h 1202647"/>
                                        <a:gd name="connsiteX10" fmla="*/ 1537097 w 1620774"/>
                                        <a:gd name="connsiteY10" fmla="*/ 1052753 h 1202647"/>
                                        <a:gd name="connsiteX11" fmla="*/ 997595 w 1620774"/>
                                        <a:gd name="connsiteY11" fmla="*/ 884293 h 1202647"/>
                                        <a:gd name="connsiteX12" fmla="*/ 681531 w 1620774"/>
                                        <a:gd name="connsiteY12" fmla="*/ 1202647 h 1202647"/>
                                        <a:gd name="connsiteX13" fmla="*/ 549401 w 1620774"/>
                                        <a:gd name="connsiteY13" fmla="*/ 912705 h 1202647"/>
                                        <a:gd name="connsiteX14" fmla="*/ 295192 w 1620774"/>
                                        <a:gd name="connsiteY14" fmla="*/ 662112 h 1202647"/>
                                        <a:gd name="connsiteX15" fmla="*/ 0 w 1620774"/>
                                        <a:gd name="connsiteY15" fmla="*/ 886780 h 1202647"/>
                                        <a:gd name="connsiteX16" fmla="*/ 261594 w 1620774"/>
                                        <a:gd name="connsiteY16" fmla="*/ 263194 h 1202647"/>
                                        <a:gd name="connsiteX17" fmla="*/ 616382 w 1620774"/>
                                        <a:gd name="connsiteY17" fmla="*/ 18135 h 1202647"/>
                                        <a:gd name="connsiteX0" fmla="*/ 616382 w 1620776"/>
                                        <a:gd name="connsiteY0" fmla="*/ 18135 h 1202647"/>
                                        <a:gd name="connsiteX1" fmla="*/ 771141 w 1620776"/>
                                        <a:gd name="connsiteY1" fmla="*/ 131706 h 1202647"/>
                                        <a:gd name="connsiteX2" fmla="*/ 872873 w 1620776"/>
                                        <a:gd name="connsiteY2" fmla="*/ 30959 h 1202647"/>
                                        <a:gd name="connsiteX3" fmla="*/ 1224658 w 1620776"/>
                                        <a:gd name="connsiteY3" fmla="*/ 0 h 1202647"/>
                                        <a:gd name="connsiteX4" fmla="*/ 1276572 w 1620776"/>
                                        <a:gd name="connsiteY4" fmla="*/ 471096 h 1202647"/>
                                        <a:gd name="connsiteX5" fmla="*/ 1295486 w 1620776"/>
                                        <a:gd name="connsiteY5" fmla="*/ 471096 h 1202647"/>
                                        <a:gd name="connsiteX6" fmla="*/ 1295485 w 1620776"/>
                                        <a:gd name="connsiteY6" fmla="*/ 501138 h 1202647"/>
                                        <a:gd name="connsiteX7" fmla="*/ 1442039 w 1620776"/>
                                        <a:gd name="connsiteY7" fmla="*/ 719379 h 1202647"/>
                                        <a:gd name="connsiteX8" fmla="*/ 1486177 w 1620776"/>
                                        <a:gd name="connsiteY8" fmla="*/ 871539 h 1202647"/>
                                        <a:gd name="connsiteX9" fmla="*/ 1620775 w 1620776"/>
                                        <a:gd name="connsiteY9" fmla="*/ 1009098 h 1202647"/>
                                        <a:gd name="connsiteX10" fmla="*/ 997595 w 1620776"/>
                                        <a:gd name="connsiteY10" fmla="*/ 884293 h 1202647"/>
                                        <a:gd name="connsiteX11" fmla="*/ 681531 w 1620776"/>
                                        <a:gd name="connsiteY11" fmla="*/ 1202647 h 1202647"/>
                                        <a:gd name="connsiteX12" fmla="*/ 549401 w 1620776"/>
                                        <a:gd name="connsiteY12" fmla="*/ 912705 h 1202647"/>
                                        <a:gd name="connsiteX13" fmla="*/ 295192 w 1620776"/>
                                        <a:gd name="connsiteY13" fmla="*/ 662112 h 1202647"/>
                                        <a:gd name="connsiteX14" fmla="*/ 0 w 1620776"/>
                                        <a:gd name="connsiteY14" fmla="*/ 886780 h 1202647"/>
                                        <a:gd name="connsiteX15" fmla="*/ 261594 w 1620776"/>
                                        <a:gd name="connsiteY15" fmla="*/ 263194 h 1202647"/>
                                        <a:gd name="connsiteX16" fmla="*/ 616382 w 1620776"/>
                                        <a:gd name="connsiteY16" fmla="*/ 18135 h 1202647"/>
                                        <a:gd name="connsiteX0" fmla="*/ 616382 w 1486176"/>
                                        <a:gd name="connsiteY0" fmla="*/ 18135 h 1202647"/>
                                        <a:gd name="connsiteX1" fmla="*/ 771141 w 1486176"/>
                                        <a:gd name="connsiteY1" fmla="*/ 131706 h 1202647"/>
                                        <a:gd name="connsiteX2" fmla="*/ 872873 w 1486176"/>
                                        <a:gd name="connsiteY2" fmla="*/ 30959 h 1202647"/>
                                        <a:gd name="connsiteX3" fmla="*/ 1224658 w 1486176"/>
                                        <a:gd name="connsiteY3" fmla="*/ 0 h 1202647"/>
                                        <a:gd name="connsiteX4" fmla="*/ 1276572 w 1486176"/>
                                        <a:gd name="connsiteY4" fmla="*/ 471096 h 1202647"/>
                                        <a:gd name="connsiteX5" fmla="*/ 1295486 w 1486176"/>
                                        <a:gd name="connsiteY5" fmla="*/ 471096 h 1202647"/>
                                        <a:gd name="connsiteX6" fmla="*/ 1295485 w 1486176"/>
                                        <a:gd name="connsiteY6" fmla="*/ 501138 h 1202647"/>
                                        <a:gd name="connsiteX7" fmla="*/ 1442039 w 1486176"/>
                                        <a:gd name="connsiteY7" fmla="*/ 719379 h 1202647"/>
                                        <a:gd name="connsiteX8" fmla="*/ 1486177 w 1486176"/>
                                        <a:gd name="connsiteY8" fmla="*/ 871539 h 1202647"/>
                                        <a:gd name="connsiteX9" fmla="*/ 997595 w 1486176"/>
                                        <a:gd name="connsiteY9" fmla="*/ 884293 h 1202647"/>
                                        <a:gd name="connsiteX10" fmla="*/ 681531 w 1486176"/>
                                        <a:gd name="connsiteY10" fmla="*/ 1202647 h 1202647"/>
                                        <a:gd name="connsiteX11" fmla="*/ 549401 w 1486176"/>
                                        <a:gd name="connsiteY11" fmla="*/ 912705 h 1202647"/>
                                        <a:gd name="connsiteX12" fmla="*/ 295192 w 1486176"/>
                                        <a:gd name="connsiteY12" fmla="*/ 662112 h 1202647"/>
                                        <a:gd name="connsiteX13" fmla="*/ 0 w 1486176"/>
                                        <a:gd name="connsiteY13" fmla="*/ 886780 h 1202647"/>
                                        <a:gd name="connsiteX14" fmla="*/ 261594 w 1486176"/>
                                        <a:gd name="connsiteY14" fmla="*/ 263194 h 1202647"/>
                                        <a:gd name="connsiteX15" fmla="*/ 616382 w 1486176"/>
                                        <a:gd name="connsiteY15" fmla="*/ 18135 h 1202647"/>
                                        <a:gd name="connsiteX0" fmla="*/ 616382 w 1442040"/>
                                        <a:gd name="connsiteY0" fmla="*/ 18135 h 1202647"/>
                                        <a:gd name="connsiteX1" fmla="*/ 771141 w 1442040"/>
                                        <a:gd name="connsiteY1" fmla="*/ 131706 h 1202647"/>
                                        <a:gd name="connsiteX2" fmla="*/ 872873 w 1442040"/>
                                        <a:gd name="connsiteY2" fmla="*/ 30959 h 1202647"/>
                                        <a:gd name="connsiteX3" fmla="*/ 1224658 w 1442040"/>
                                        <a:gd name="connsiteY3" fmla="*/ 0 h 1202647"/>
                                        <a:gd name="connsiteX4" fmla="*/ 1276572 w 1442040"/>
                                        <a:gd name="connsiteY4" fmla="*/ 471096 h 1202647"/>
                                        <a:gd name="connsiteX5" fmla="*/ 1295486 w 1442040"/>
                                        <a:gd name="connsiteY5" fmla="*/ 471096 h 1202647"/>
                                        <a:gd name="connsiteX6" fmla="*/ 1295485 w 1442040"/>
                                        <a:gd name="connsiteY6" fmla="*/ 501138 h 1202647"/>
                                        <a:gd name="connsiteX7" fmla="*/ 1442039 w 1442040"/>
                                        <a:gd name="connsiteY7" fmla="*/ 719379 h 1202647"/>
                                        <a:gd name="connsiteX8" fmla="*/ 997595 w 1442040"/>
                                        <a:gd name="connsiteY8" fmla="*/ 884293 h 1202647"/>
                                        <a:gd name="connsiteX9" fmla="*/ 681531 w 1442040"/>
                                        <a:gd name="connsiteY9" fmla="*/ 1202647 h 1202647"/>
                                        <a:gd name="connsiteX10" fmla="*/ 549401 w 1442040"/>
                                        <a:gd name="connsiteY10" fmla="*/ 912705 h 1202647"/>
                                        <a:gd name="connsiteX11" fmla="*/ 295192 w 1442040"/>
                                        <a:gd name="connsiteY11" fmla="*/ 662112 h 1202647"/>
                                        <a:gd name="connsiteX12" fmla="*/ 0 w 1442040"/>
                                        <a:gd name="connsiteY12" fmla="*/ 886780 h 1202647"/>
                                        <a:gd name="connsiteX13" fmla="*/ 261594 w 1442040"/>
                                        <a:gd name="connsiteY13" fmla="*/ 263194 h 1202647"/>
                                        <a:gd name="connsiteX14" fmla="*/ 616382 w 1442040"/>
                                        <a:gd name="connsiteY14" fmla="*/ 18135 h 1202647"/>
                                        <a:gd name="connsiteX0" fmla="*/ 616382 w 1295487"/>
                                        <a:gd name="connsiteY0" fmla="*/ 18135 h 1202647"/>
                                        <a:gd name="connsiteX1" fmla="*/ 771141 w 1295487"/>
                                        <a:gd name="connsiteY1" fmla="*/ 131706 h 1202647"/>
                                        <a:gd name="connsiteX2" fmla="*/ 872873 w 1295487"/>
                                        <a:gd name="connsiteY2" fmla="*/ 30959 h 1202647"/>
                                        <a:gd name="connsiteX3" fmla="*/ 1224658 w 1295487"/>
                                        <a:gd name="connsiteY3" fmla="*/ 0 h 1202647"/>
                                        <a:gd name="connsiteX4" fmla="*/ 1276572 w 1295487"/>
                                        <a:gd name="connsiteY4" fmla="*/ 471096 h 1202647"/>
                                        <a:gd name="connsiteX5" fmla="*/ 1295486 w 1295487"/>
                                        <a:gd name="connsiteY5" fmla="*/ 471096 h 1202647"/>
                                        <a:gd name="connsiteX6" fmla="*/ 1295485 w 1295487"/>
                                        <a:gd name="connsiteY6" fmla="*/ 501138 h 1202647"/>
                                        <a:gd name="connsiteX7" fmla="*/ 997595 w 1295487"/>
                                        <a:gd name="connsiteY7" fmla="*/ 884293 h 1202647"/>
                                        <a:gd name="connsiteX8" fmla="*/ 681531 w 1295487"/>
                                        <a:gd name="connsiteY8" fmla="*/ 1202647 h 1202647"/>
                                        <a:gd name="connsiteX9" fmla="*/ 549401 w 1295487"/>
                                        <a:gd name="connsiteY9" fmla="*/ 912705 h 1202647"/>
                                        <a:gd name="connsiteX10" fmla="*/ 295192 w 1295487"/>
                                        <a:gd name="connsiteY10" fmla="*/ 662112 h 1202647"/>
                                        <a:gd name="connsiteX11" fmla="*/ 0 w 1295487"/>
                                        <a:gd name="connsiteY11" fmla="*/ 886780 h 1202647"/>
                                        <a:gd name="connsiteX12" fmla="*/ 261594 w 1295487"/>
                                        <a:gd name="connsiteY12" fmla="*/ 263194 h 1202647"/>
                                        <a:gd name="connsiteX13" fmla="*/ 616382 w 1295487"/>
                                        <a:gd name="connsiteY13" fmla="*/ 18135 h 1202647"/>
                                        <a:gd name="connsiteX0" fmla="*/ 616382 w 1295485"/>
                                        <a:gd name="connsiteY0" fmla="*/ 18135 h 1202647"/>
                                        <a:gd name="connsiteX1" fmla="*/ 771141 w 1295485"/>
                                        <a:gd name="connsiteY1" fmla="*/ 131706 h 1202647"/>
                                        <a:gd name="connsiteX2" fmla="*/ 872873 w 1295485"/>
                                        <a:gd name="connsiteY2" fmla="*/ 30959 h 1202647"/>
                                        <a:gd name="connsiteX3" fmla="*/ 1224658 w 1295485"/>
                                        <a:gd name="connsiteY3" fmla="*/ 0 h 1202647"/>
                                        <a:gd name="connsiteX4" fmla="*/ 1276572 w 1295485"/>
                                        <a:gd name="connsiteY4" fmla="*/ 471096 h 1202647"/>
                                        <a:gd name="connsiteX5" fmla="*/ 1295486 w 1295485"/>
                                        <a:gd name="connsiteY5" fmla="*/ 471096 h 1202647"/>
                                        <a:gd name="connsiteX6" fmla="*/ 997595 w 1295485"/>
                                        <a:gd name="connsiteY6" fmla="*/ 884293 h 1202647"/>
                                        <a:gd name="connsiteX7" fmla="*/ 681531 w 1295485"/>
                                        <a:gd name="connsiteY7" fmla="*/ 1202647 h 1202647"/>
                                        <a:gd name="connsiteX8" fmla="*/ 549401 w 1295485"/>
                                        <a:gd name="connsiteY8" fmla="*/ 912705 h 1202647"/>
                                        <a:gd name="connsiteX9" fmla="*/ 295192 w 1295485"/>
                                        <a:gd name="connsiteY9" fmla="*/ 662112 h 1202647"/>
                                        <a:gd name="connsiteX10" fmla="*/ 0 w 1295485"/>
                                        <a:gd name="connsiteY10" fmla="*/ 886780 h 1202647"/>
                                        <a:gd name="connsiteX11" fmla="*/ 261594 w 1295485"/>
                                        <a:gd name="connsiteY11" fmla="*/ 263194 h 1202647"/>
                                        <a:gd name="connsiteX12" fmla="*/ 616382 w 1295485"/>
                                        <a:gd name="connsiteY12" fmla="*/ 18135 h 1202647"/>
                                        <a:gd name="connsiteX0" fmla="*/ 616382 w 1276572"/>
                                        <a:gd name="connsiteY0" fmla="*/ 18135 h 1202647"/>
                                        <a:gd name="connsiteX1" fmla="*/ 771141 w 1276572"/>
                                        <a:gd name="connsiteY1" fmla="*/ 131706 h 1202647"/>
                                        <a:gd name="connsiteX2" fmla="*/ 872873 w 1276572"/>
                                        <a:gd name="connsiteY2" fmla="*/ 30959 h 1202647"/>
                                        <a:gd name="connsiteX3" fmla="*/ 1224658 w 1276572"/>
                                        <a:gd name="connsiteY3" fmla="*/ 0 h 1202647"/>
                                        <a:gd name="connsiteX4" fmla="*/ 1276572 w 1276572"/>
                                        <a:gd name="connsiteY4" fmla="*/ 471096 h 1202647"/>
                                        <a:gd name="connsiteX5" fmla="*/ 997595 w 1276572"/>
                                        <a:gd name="connsiteY5" fmla="*/ 884293 h 1202647"/>
                                        <a:gd name="connsiteX6" fmla="*/ 681531 w 1276572"/>
                                        <a:gd name="connsiteY6" fmla="*/ 1202647 h 1202647"/>
                                        <a:gd name="connsiteX7" fmla="*/ 549401 w 1276572"/>
                                        <a:gd name="connsiteY7" fmla="*/ 912705 h 1202647"/>
                                        <a:gd name="connsiteX8" fmla="*/ 295192 w 1276572"/>
                                        <a:gd name="connsiteY8" fmla="*/ 662112 h 1202647"/>
                                        <a:gd name="connsiteX9" fmla="*/ 0 w 1276572"/>
                                        <a:gd name="connsiteY9" fmla="*/ 886780 h 1202647"/>
                                        <a:gd name="connsiteX10" fmla="*/ 261594 w 1276572"/>
                                        <a:gd name="connsiteY10" fmla="*/ 263194 h 1202647"/>
                                        <a:gd name="connsiteX11" fmla="*/ 616382 w 1276572"/>
                                        <a:gd name="connsiteY11" fmla="*/ 18135 h 1202647"/>
                                        <a:gd name="connsiteX0" fmla="*/ 616382 w 1224658"/>
                                        <a:gd name="connsiteY0" fmla="*/ 18135 h 1202647"/>
                                        <a:gd name="connsiteX1" fmla="*/ 771141 w 1224658"/>
                                        <a:gd name="connsiteY1" fmla="*/ 131706 h 1202647"/>
                                        <a:gd name="connsiteX2" fmla="*/ 872873 w 1224658"/>
                                        <a:gd name="connsiteY2" fmla="*/ 30959 h 1202647"/>
                                        <a:gd name="connsiteX3" fmla="*/ 1224658 w 1224658"/>
                                        <a:gd name="connsiteY3" fmla="*/ 0 h 1202647"/>
                                        <a:gd name="connsiteX4" fmla="*/ 997595 w 1224658"/>
                                        <a:gd name="connsiteY4" fmla="*/ 884293 h 1202647"/>
                                        <a:gd name="connsiteX5" fmla="*/ 681531 w 1224658"/>
                                        <a:gd name="connsiteY5" fmla="*/ 1202647 h 1202647"/>
                                        <a:gd name="connsiteX6" fmla="*/ 549401 w 1224658"/>
                                        <a:gd name="connsiteY6" fmla="*/ 912705 h 1202647"/>
                                        <a:gd name="connsiteX7" fmla="*/ 295192 w 1224658"/>
                                        <a:gd name="connsiteY7" fmla="*/ 662112 h 1202647"/>
                                        <a:gd name="connsiteX8" fmla="*/ 0 w 1224658"/>
                                        <a:gd name="connsiteY8" fmla="*/ 886780 h 1202647"/>
                                        <a:gd name="connsiteX9" fmla="*/ 261594 w 1224658"/>
                                        <a:gd name="connsiteY9" fmla="*/ 263194 h 1202647"/>
                                        <a:gd name="connsiteX10" fmla="*/ 616382 w 1224658"/>
                                        <a:gd name="connsiteY10" fmla="*/ 18135 h 1202647"/>
                                        <a:gd name="connsiteX0" fmla="*/ 616382 w 997595"/>
                                        <a:gd name="connsiteY0" fmla="*/ 1 h 1184513"/>
                                        <a:gd name="connsiteX1" fmla="*/ 771141 w 997595"/>
                                        <a:gd name="connsiteY1" fmla="*/ 113572 h 1184513"/>
                                        <a:gd name="connsiteX2" fmla="*/ 872873 w 997595"/>
                                        <a:gd name="connsiteY2" fmla="*/ 12825 h 1184513"/>
                                        <a:gd name="connsiteX3" fmla="*/ 804753 w 997595"/>
                                        <a:gd name="connsiteY3" fmla="*/ 617493 h 1184513"/>
                                        <a:gd name="connsiteX4" fmla="*/ 997595 w 997595"/>
                                        <a:gd name="connsiteY4" fmla="*/ 866159 h 1184513"/>
                                        <a:gd name="connsiteX5" fmla="*/ 681531 w 997595"/>
                                        <a:gd name="connsiteY5" fmla="*/ 1184513 h 1184513"/>
                                        <a:gd name="connsiteX6" fmla="*/ 549401 w 997595"/>
                                        <a:gd name="connsiteY6" fmla="*/ 894571 h 1184513"/>
                                        <a:gd name="connsiteX7" fmla="*/ 295192 w 997595"/>
                                        <a:gd name="connsiteY7" fmla="*/ 643978 h 1184513"/>
                                        <a:gd name="connsiteX8" fmla="*/ 0 w 997595"/>
                                        <a:gd name="connsiteY8" fmla="*/ 868646 h 1184513"/>
                                        <a:gd name="connsiteX9" fmla="*/ 261594 w 997595"/>
                                        <a:gd name="connsiteY9" fmla="*/ 245060 h 1184513"/>
                                        <a:gd name="connsiteX10" fmla="*/ 616382 w 997595"/>
                                        <a:gd name="connsiteY10" fmla="*/ 1 h 1184513"/>
                                        <a:gd name="connsiteX0" fmla="*/ 616382 w 997595"/>
                                        <a:gd name="connsiteY0" fmla="*/ -1 h 1184511"/>
                                        <a:gd name="connsiteX1" fmla="*/ 771141 w 997595"/>
                                        <a:gd name="connsiteY1" fmla="*/ 113570 h 1184511"/>
                                        <a:gd name="connsiteX2" fmla="*/ 804753 w 997595"/>
                                        <a:gd name="connsiteY2" fmla="*/ 617491 h 1184511"/>
                                        <a:gd name="connsiteX3" fmla="*/ 997595 w 997595"/>
                                        <a:gd name="connsiteY3" fmla="*/ 866157 h 1184511"/>
                                        <a:gd name="connsiteX4" fmla="*/ 681531 w 997595"/>
                                        <a:gd name="connsiteY4" fmla="*/ 1184511 h 1184511"/>
                                        <a:gd name="connsiteX5" fmla="*/ 549401 w 997595"/>
                                        <a:gd name="connsiteY5" fmla="*/ 894569 h 1184511"/>
                                        <a:gd name="connsiteX6" fmla="*/ 295192 w 997595"/>
                                        <a:gd name="connsiteY6" fmla="*/ 643976 h 1184511"/>
                                        <a:gd name="connsiteX7" fmla="*/ 0 w 997595"/>
                                        <a:gd name="connsiteY7" fmla="*/ 868644 h 1184511"/>
                                        <a:gd name="connsiteX8" fmla="*/ 261594 w 997595"/>
                                        <a:gd name="connsiteY8" fmla="*/ 245058 h 1184511"/>
                                        <a:gd name="connsiteX9" fmla="*/ 616382 w 997595"/>
                                        <a:gd name="connsiteY9" fmla="*/ -1 h 1184511"/>
                                        <a:gd name="connsiteX0" fmla="*/ 616382 w 997595"/>
                                        <a:gd name="connsiteY0" fmla="*/ 1 h 1184513"/>
                                        <a:gd name="connsiteX1" fmla="*/ 585607 w 997595"/>
                                        <a:gd name="connsiteY1" fmla="*/ 616725 h 1184513"/>
                                        <a:gd name="connsiteX2" fmla="*/ 804753 w 997595"/>
                                        <a:gd name="connsiteY2" fmla="*/ 617493 h 1184513"/>
                                        <a:gd name="connsiteX3" fmla="*/ 997595 w 997595"/>
                                        <a:gd name="connsiteY3" fmla="*/ 866159 h 1184513"/>
                                        <a:gd name="connsiteX4" fmla="*/ 681531 w 997595"/>
                                        <a:gd name="connsiteY4" fmla="*/ 1184513 h 1184513"/>
                                        <a:gd name="connsiteX5" fmla="*/ 549401 w 997595"/>
                                        <a:gd name="connsiteY5" fmla="*/ 894571 h 1184513"/>
                                        <a:gd name="connsiteX6" fmla="*/ 295192 w 997595"/>
                                        <a:gd name="connsiteY6" fmla="*/ 643978 h 1184513"/>
                                        <a:gd name="connsiteX7" fmla="*/ 0 w 997595"/>
                                        <a:gd name="connsiteY7" fmla="*/ 868646 h 1184513"/>
                                        <a:gd name="connsiteX8" fmla="*/ 261594 w 997595"/>
                                        <a:gd name="connsiteY8" fmla="*/ 245060 h 1184513"/>
                                        <a:gd name="connsiteX9" fmla="*/ 616382 w 997595"/>
                                        <a:gd name="connsiteY9" fmla="*/ 1 h 1184513"/>
                                        <a:gd name="connsiteX0" fmla="*/ 261594 w 997595"/>
                                        <a:gd name="connsiteY0" fmla="*/ -1 h 939452"/>
                                        <a:gd name="connsiteX1" fmla="*/ 585607 w 997595"/>
                                        <a:gd name="connsiteY1" fmla="*/ 371664 h 939452"/>
                                        <a:gd name="connsiteX2" fmla="*/ 804753 w 997595"/>
                                        <a:gd name="connsiteY2" fmla="*/ 372432 h 939452"/>
                                        <a:gd name="connsiteX3" fmla="*/ 997595 w 997595"/>
                                        <a:gd name="connsiteY3" fmla="*/ 621098 h 939452"/>
                                        <a:gd name="connsiteX4" fmla="*/ 681531 w 997595"/>
                                        <a:gd name="connsiteY4" fmla="*/ 939452 h 939452"/>
                                        <a:gd name="connsiteX5" fmla="*/ 549401 w 997595"/>
                                        <a:gd name="connsiteY5" fmla="*/ 649510 h 939452"/>
                                        <a:gd name="connsiteX6" fmla="*/ 295192 w 997595"/>
                                        <a:gd name="connsiteY6" fmla="*/ 398917 h 939452"/>
                                        <a:gd name="connsiteX7" fmla="*/ 0 w 997595"/>
                                        <a:gd name="connsiteY7" fmla="*/ 623585 h 939452"/>
                                        <a:gd name="connsiteX8" fmla="*/ 261594 w 997595"/>
                                        <a:gd name="connsiteY8" fmla="*/ -1 h 939452"/>
                                        <a:gd name="connsiteX0" fmla="*/ 60138 w 796139"/>
                                        <a:gd name="connsiteY0" fmla="*/ 1 h 939454"/>
                                        <a:gd name="connsiteX1" fmla="*/ 384151 w 796139"/>
                                        <a:gd name="connsiteY1" fmla="*/ 371666 h 939454"/>
                                        <a:gd name="connsiteX2" fmla="*/ 603297 w 796139"/>
                                        <a:gd name="connsiteY2" fmla="*/ 372434 h 939454"/>
                                        <a:gd name="connsiteX3" fmla="*/ 796139 w 796139"/>
                                        <a:gd name="connsiteY3" fmla="*/ 621100 h 939454"/>
                                        <a:gd name="connsiteX4" fmla="*/ 480075 w 796139"/>
                                        <a:gd name="connsiteY4" fmla="*/ 939454 h 939454"/>
                                        <a:gd name="connsiteX5" fmla="*/ 347945 w 796139"/>
                                        <a:gd name="connsiteY5" fmla="*/ 649512 h 939454"/>
                                        <a:gd name="connsiteX6" fmla="*/ 93736 w 796139"/>
                                        <a:gd name="connsiteY6" fmla="*/ 398919 h 939454"/>
                                        <a:gd name="connsiteX7" fmla="*/ 0 w 796139"/>
                                        <a:gd name="connsiteY7" fmla="*/ 252750 h 939454"/>
                                        <a:gd name="connsiteX8" fmla="*/ 60138 w 796139"/>
                                        <a:gd name="connsiteY8" fmla="*/ 1 h 939454"/>
                                        <a:gd name="connsiteX0" fmla="*/ 1 w 736002"/>
                                        <a:gd name="connsiteY0" fmla="*/ -1 h 939452"/>
                                        <a:gd name="connsiteX1" fmla="*/ 324014 w 736002"/>
                                        <a:gd name="connsiteY1" fmla="*/ 371664 h 939452"/>
                                        <a:gd name="connsiteX2" fmla="*/ 543160 w 736002"/>
                                        <a:gd name="connsiteY2" fmla="*/ 372432 h 939452"/>
                                        <a:gd name="connsiteX3" fmla="*/ 736002 w 736002"/>
                                        <a:gd name="connsiteY3" fmla="*/ 621098 h 939452"/>
                                        <a:gd name="connsiteX4" fmla="*/ 419938 w 736002"/>
                                        <a:gd name="connsiteY4" fmla="*/ 939452 h 939452"/>
                                        <a:gd name="connsiteX5" fmla="*/ 287808 w 736002"/>
                                        <a:gd name="connsiteY5" fmla="*/ 649510 h 939452"/>
                                        <a:gd name="connsiteX6" fmla="*/ 33599 w 736002"/>
                                        <a:gd name="connsiteY6" fmla="*/ 398917 h 939452"/>
                                        <a:gd name="connsiteX7" fmla="*/ 1 w 736002"/>
                                        <a:gd name="connsiteY7" fmla="*/ -1 h 939452"/>
                                        <a:gd name="connsiteX0" fmla="*/ 1 w 702404"/>
                                        <a:gd name="connsiteY0" fmla="*/ 27252 h 567787"/>
                                        <a:gd name="connsiteX1" fmla="*/ 290416 w 702404"/>
                                        <a:gd name="connsiteY1" fmla="*/ -1 h 567787"/>
                                        <a:gd name="connsiteX2" fmla="*/ 509562 w 702404"/>
                                        <a:gd name="connsiteY2" fmla="*/ 767 h 567787"/>
                                        <a:gd name="connsiteX3" fmla="*/ 702404 w 702404"/>
                                        <a:gd name="connsiteY3" fmla="*/ 249433 h 567787"/>
                                        <a:gd name="connsiteX4" fmla="*/ 386340 w 702404"/>
                                        <a:gd name="connsiteY4" fmla="*/ 567787 h 567787"/>
                                        <a:gd name="connsiteX5" fmla="*/ 254210 w 702404"/>
                                        <a:gd name="connsiteY5" fmla="*/ 277845 h 567787"/>
                                        <a:gd name="connsiteX6" fmla="*/ 1 w 702404"/>
                                        <a:gd name="connsiteY6" fmla="*/ 27252 h 567787"/>
                                        <a:gd name="connsiteX0" fmla="*/ -1 w 702402"/>
                                        <a:gd name="connsiteY0" fmla="*/ 27254 h 567789"/>
                                        <a:gd name="connsiteX1" fmla="*/ 290414 w 702402"/>
                                        <a:gd name="connsiteY1" fmla="*/ 1 h 567789"/>
                                        <a:gd name="connsiteX2" fmla="*/ 509560 w 702402"/>
                                        <a:gd name="connsiteY2" fmla="*/ 769 h 567789"/>
                                        <a:gd name="connsiteX3" fmla="*/ 702402 w 702402"/>
                                        <a:gd name="connsiteY3" fmla="*/ 267794 h 567789"/>
                                        <a:gd name="connsiteX4" fmla="*/ 386338 w 702402"/>
                                        <a:gd name="connsiteY4" fmla="*/ 567789 h 567789"/>
                                        <a:gd name="connsiteX5" fmla="*/ 254208 w 702402"/>
                                        <a:gd name="connsiteY5" fmla="*/ 277847 h 567789"/>
                                        <a:gd name="connsiteX6" fmla="*/ -1 w 702402"/>
                                        <a:gd name="connsiteY6" fmla="*/ 27254 h 567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2402" h="567789">
                                          <a:moveTo>
                                            <a:pt x="-1" y="27254"/>
                                          </a:moveTo>
                                          <a:lnTo>
                                            <a:pt x="290414" y="1"/>
                                          </a:lnTo>
                                          <a:lnTo>
                                            <a:pt x="509560" y="769"/>
                                          </a:lnTo>
                                          <a:lnTo>
                                            <a:pt x="702402" y="267794"/>
                                          </a:lnTo>
                                          <a:lnTo>
                                            <a:pt x="386338" y="567789"/>
                                          </a:lnTo>
                                          <a:lnTo>
                                            <a:pt x="254208" y="277847"/>
                                          </a:lnTo>
                                          <a:lnTo>
                                            <a:pt x="-1" y="27254"/>
                                          </a:lnTo>
                                          <a:close/>
                                        </a:path>
                                      </a:pathLst>
                                    </a:cu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4" name="2620 Forma libre"/>
                                  <wps:cNvSpPr/>
                                  <wps:spPr>
                                    <a:xfrm>
                                      <a:off x="457200" y="0"/>
                                      <a:ext cx="847090" cy="963930"/>
                                    </a:xfrm>
                                    <a:custGeom>
                                      <a:avLst/>
                                      <a:gdLst>
                                        <a:gd name="connsiteX0" fmla="*/ 0 w 1345997"/>
                                        <a:gd name="connsiteY0" fmla="*/ 885139 h 1587398"/>
                                        <a:gd name="connsiteX1" fmla="*/ 0 w 1345997"/>
                                        <a:gd name="connsiteY1" fmla="*/ 1221638 h 1587398"/>
                                        <a:gd name="connsiteX2" fmla="*/ 182880 w 1345997"/>
                                        <a:gd name="connsiteY2" fmla="*/ 1338682 h 1587398"/>
                                        <a:gd name="connsiteX3" fmla="*/ 299924 w 1345997"/>
                                        <a:gd name="connsiteY3" fmla="*/ 1514246 h 1587398"/>
                                        <a:gd name="connsiteX4" fmla="*/ 570586 w 1345997"/>
                                        <a:gd name="connsiteY4" fmla="*/ 1587398 h 1587398"/>
                                        <a:gd name="connsiteX5" fmla="*/ 1243584 w 1345997"/>
                                        <a:gd name="connsiteY5" fmla="*/ 1353312 h 1587398"/>
                                        <a:gd name="connsiteX6" fmla="*/ 1345997 w 1345997"/>
                                        <a:gd name="connsiteY6" fmla="*/ 1111910 h 1587398"/>
                                        <a:gd name="connsiteX7" fmla="*/ 1243584 w 1345997"/>
                                        <a:gd name="connsiteY7" fmla="*/ 768096 h 1587398"/>
                                        <a:gd name="connsiteX8" fmla="*/ 1089965 w 1345997"/>
                                        <a:gd name="connsiteY8" fmla="*/ 526694 h 1587398"/>
                                        <a:gd name="connsiteX9" fmla="*/ 1038759 w 1345997"/>
                                        <a:gd name="connsiteY9" fmla="*/ 51206 h 1587398"/>
                                        <a:gd name="connsiteX10" fmla="*/ 519380 w 1345997"/>
                                        <a:gd name="connsiteY10" fmla="*/ 0 h 1587398"/>
                                        <a:gd name="connsiteX11" fmla="*/ 490119 w 1345997"/>
                                        <a:gd name="connsiteY11" fmla="*/ 526694 h 1587398"/>
                                        <a:gd name="connsiteX12" fmla="*/ 482804 w 1345997"/>
                                        <a:gd name="connsiteY12" fmla="*/ 819302 h 1587398"/>
                                        <a:gd name="connsiteX13" fmla="*/ 219456 w 1345997"/>
                                        <a:gd name="connsiteY13" fmla="*/ 768096 h 1587398"/>
                                        <a:gd name="connsiteX14" fmla="*/ 0 w 1345997"/>
                                        <a:gd name="connsiteY14" fmla="*/ 885139 h 1587398"/>
                                        <a:gd name="connsiteX0" fmla="*/ 0 w 1345997"/>
                                        <a:gd name="connsiteY0" fmla="*/ 885139 h 1587398"/>
                                        <a:gd name="connsiteX1" fmla="*/ 0 w 1345997"/>
                                        <a:gd name="connsiteY1" fmla="*/ 1221638 h 1587398"/>
                                        <a:gd name="connsiteX2" fmla="*/ 182880 w 1345997"/>
                                        <a:gd name="connsiteY2" fmla="*/ 1338682 h 1587398"/>
                                        <a:gd name="connsiteX3" fmla="*/ 299924 w 1345997"/>
                                        <a:gd name="connsiteY3" fmla="*/ 1514246 h 1587398"/>
                                        <a:gd name="connsiteX4" fmla="*/ 570586 w 1345997"/>
                                        <a:gd name="connsiteY4" fmla="*/ 1587398 h 1587398"/>
                                        <a:gd name="connsiteX5" fmla="*/ 1243584 w 1345997"/>
                                        <a:gd name="connsiteY5" fmla="*/ 1353312 h 1587398"/>
                                        <a:gd name="connsiteX6" fmla="*/ 1345997 w 1345997"/>
                                        <a:gd name="connsiteY6" fmla="*/ 1111910 h 1587398"/>
                                        <a:gd name="connsiteX7" fmla="*/ 1243584 w 1345997"/>
                                        <a:gd name="connsiteY7" fmla="*/ 768096 h 1587398"/>
                                        <a:gd name="connsiteX8" fmla="*/ 1089965 w 1345997"/>
                                        <a:gd name="connsiteY8" fmla="*/ 526694 h 1587398"/>
                                        <a:gd name="connsiteX9" fmla="*/ 1038759 w 1345997"/>
                                        <a:gd name="connsiteY9" fmla="*/ 51206 h 1587398"/>
                                        <a:gd name="connsiteX10" fmla="*/ 519380 w 1345997"/>
                                        <a:gd name="connsiteY10" fmla="*/ 0 h 1587398"/>
                                        <a:gd name="connsiteX11" fmla="*/ 380513 w 1345997"/>
                                        <a:gd name="connsiteY11" fmla="*/ 380518 h 1587398"/>
                                        <a:gd name="connsiteX12" fmla="*/ 482804 w 1345997"/>
                                        <a:gd name="connsiteY12" fmla="*/ 819302 h 1587398"/>
                                        <a:gd name="connsiteX13" fmla="*/ 219456 w 1345997"/>
                                        <a:gd name="connsiteY13" fmla="*/ 768096 h 1587398"/>
                                        <a:gd name="connsiteX14" fmla="*/ 0 w 1345997"/>
                                        <a:gd name="connsiteY14" fmla="*/ 885139 h 1587398"/>
                                        <a:gd name="connsiteX0" fmla="*/ 0 w 1345997"/>
                                        <a:gd name="connsiteY0" fmla="*/ 833933 h 1536192"/>
                                        <a:gd name="connsiteX1" fmla="*/ 0 w 1345997"/>
                                        <a:gd name="connsiteY1" fmla="*/ 1170432 h 1536192"/>
                                        <a:gd name="connsiteX2" fmla="*/ 182880 w 1345997"/>
                                        <a:gd name="connsiteY2" fmla="*/ 1287476 h 1536192"/>
                                        <a:gd name="connsiteX3" fmla="*/ 299924 w 1345997"/>
                                        <a:gd name="connsiteY3" fmla="*/ 1463040 h 1536192"/>
                                        <a:gd name="connsiteX4" fmla="*/ 570586 w 1345997"/>
                                        <a:gd name="connsiteY4" fmla="*/ 1536192 h 1536192"/>
                                        <a:gd name="connsiteX5" fmla="*/ 1243584 w 1345997"/>
                                        <a:gd name="connsiteY5" fmla="*/ 1302106 h 1536192"/>
                                        <a:gd name="connsiteX6" fmla="*/ 1345997 w 1345997"/>
                                        <a:gd name="connsiteY6" fmla="*/ 1060704 h 1536192"/>
                                        <a:gd name="connsiteX7" fmla="*/ 1243584 w 1345997"/>
                                        <a:gd name="connsiteY7" fmla="*/ 716890 h 1536192"/>
                                        <a:gd name="connsiteX8" fmla="*/ 1089965 w 1345997"/>
                                        <a:gd name="connsiteY8" fmla="*/ 475488 h 1536192"/>
                                        <a:gd name="connsiteX9" fmla="*/ 1038759 w 1345997"/>
                                        <a:gd name="connsiteY9" fmla="*/ 0 h 1536192"/>
                                        <a:gd name="connsiteX10" fmla="*/ 680532 w 1345997"/>
                                        <a:gd name="connsiteY10" fmla="*/ 29288 h 1536192"/>
                                        <a:gd name="connsiteX11" fmla="*/ 380513 w 1345997"/>
                                        <a:gd name="connsiteY11" fmla="*/ 329312 h 1536192"/>
                                        <a:gd name="connsiteX12" fmla="*/ 482804 w 1345997"/>
                                        <a:gd name="connsiteY12" fmla="*/ 768096 h 1536192"/>
                                        <a:gd name="connsiteX13" fmla="*/ 219456 w 1345997"/>
                                        <a:gd name="connsiteY13" fmla="*/ 716890 h 1536192"/>
                                        <a:gd name="connsiteX14" fmla="*/ 0 w 1345997"/>
                                        <a:gd name="connsiteY14" fmla="*/ 833933 h 1536192"/>
                                        <a:gd name="connsiteX0" fmla="*/ 0 w 1345997"/>
                                        <a:gd name="connsiteY0" fmla="*/ 833933 h 1536192"/>
                                        <a:gd name="connsiteX1" fmla="*/ 0 w 1345997"/>
                                        <a:gd name="connsiteY1" fmla="*/ 1170432 h 1536192"/>
                                        <a:gd name="connsiteX2" fmla="*/ 182880 w 1345997"/>
                                        <a:gd name="connsiteY2" fmla="*/ 1287476 h 1536192"/>
                                        <a:gd name="connsiteX3" fmla="*/ 299924 w 1345997"/>
                                        <a:gd name="connsiteY3" fmla="*/ 1463040 h 1536192"/>
                                        <a:gd name="connsiteX4" fmla="*/ 570586 w 1345997"/>
                                        <a:gd name="connsiteY4" fmla="*/ 1536192 h 1536192"/>
                                        <a:gd name="connsiteX5" fmla="*/ 1243584 w 1345997"/>
                                        <a:gd name="connsiteY5" fmla="*/ 1302106 h 1536192"/>
                                        <a:gd name="connsiteX6" fmla="*/ 1345997 w 1345997"/>
                                        <a:gd name="connsiteY6" fmla="*/ 1060704 h 1536192"/>
                                        <a:gd name="connsiteX7" fmla="*/ 1243584 w 1345997"/>
                                        <a:gd name="connsiteY7" fmla="*/ 716890 h 1536192"/>
                                        <a:gd name="connsiteX8" fmla="*/ 1089965 w 1345997"/>
                                        <a:gd name="connsiteY8" fmla="*/ 475488 h 1536192"/>
                                        <a:gd name="connsiteX9" fmla="*/ 1038759 w 1345997"/>
                                        <a:gd name="connsiteY9" fmla="*/ 0 h 1536192"/>
                                        <a:gd name="connsiteX10" fmla="*/ 680532 w 1345997"/>
                                        <a:gd name="connsiteY10" fmla="*/ 29288 h 1536192"/>
                                        <a:gd name="connsiteX11" fmla="*/ 380513 w 1345997"/>
                                        <a:gd name="connsiteY11" fmla="*/ 329312 h 1536192"/>
                                        <a:gd name="connsiteX12" fmla="*/ 446371 w 1345997"/>
                                        <a:gd name="connsiteY12" fmla="*/ 563317 h 1536192"/>
                                        <a:gd name="connsiteX13" fmla="*/ 219456 w 1345997"/>
                                        <a:gd name="connsiteY13" fmla="*/ 716890 h 1536192"/>
                                        <a:gd name="connsiteX14" fmla="*/ 0 w 1345997"/>
                                        <a:gd name="connsiteY14" fmla="*/ 833933 h 153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45997" h="1536192">
                                          <a:moveTo>
                                            <a:pt x="0" y="833933"/>
                                          </a:moveTo>
                                          <a:lnTo>
                                            <a:pt x="0" y="1170432"/>
                                          </a:lnTo>
                                          <a:lnTo>
                                            <a:pt x="182880" y="1287476"/>
                                          </a:lnTo>
                                          <a:lnTo>
                                            <a:pt x="299924" y="1463040"/>
                                          </a:lnTo>
                                          <a:lnTo>
                                            <a:pt x="570586" y="1536192"/>
                                          </a:lnTo>
                                          <a:lnTo>
                                            <a:pt x="1243584" y="1302106"/>
                                          </a:lnTo>
                                          <a:lnTo>
                                            <a:pt x="1345997" y="1060704"/>
                                          </a:lnTo>
                                          <a:lnTo>
                                            <a:pt x="1243584" y="716890"/>
                                          </a:lnTo>
                                          <a:lnTo>
                                            <a:pt x="1089965" y="475488"/>
                                          </a:lnTo>
                                          <a:lnTo>
                                            <a:pt x="1038759" y="0"/>
                                          </a:lnTo>
                                          <a:lnTo>
                                            <a:pt x="680532" y="29288"/>
                                          </a:lnTo>
                                          <a:lnTo>
                                            <a:pt x="380513" y="329312"/>
                                          </a:lnTo>
                                          <a:lnTo>
                                            <a:pt x="446371" y="563317"/>
                                          </a:lnTo>
                                          <a:lnTo>
                                            <a:pt x="219456" y="716890"/>
                                          </a:lnTo>
                                          <a:lnTo>
                                            <a:pt x="0" y="833933"/>
                                          </a:lnTo>
                                          <a:close/>
                                        </a:path>
                                      </a:pathLst>
                                    </a:custGeom>
                                    <a:noFill/>
                                    <a:ln w="1905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0EB36" w14:textId="77777777" w:rsidR="00D55F13" w:rsidRPr="004E4C01" w:rsidRDefault="00D55F13" w:rsidP="00077E48">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5" name="2603 Forma libre"/>
                                  <wps:cNvSpPr/>
                                  <wps:spPr>
                                    <a:xfrm>
                                      <a:off x="349250" y="19050"/>
                                      <a:ext cx="816610" cy="878205"/>
                                    </a:xfrm>
                                    <a:custGeom>
                                      <a:avLst/>
                                      <a:gdLst>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09 w 1585665"/>
                                        <a:gd name="connsiteY6" fmla="*/ 1020111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37 w 1585665"/>
                                        <a:gd name="connsiteY6" fmla="*/ 1029588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30836 w 1551373"/>
                                        <a:gd name="connsiteY0" fmla="*/ 0 h 1215676"/>
                                        <a:gd name="connsiteX1" fmla="*/ 1284452 w 1551373"/>
                                        <a:gd name="connsiteY1" fmla="*/ 594624 h 1215676"/>
                                        <a:gd name="connsiteX2" fmla="*/ 1263310 w 1551373"/>
                                        <a:gd name="connsiteY2" fmla="*/ 652765 h 1215676"/>
                                        <a:gd name="connsiteX3" fmla="*/ 1551373 w 1551373"/>
                                        <a:gd name="connsiteY3" fmla="*/ 924971 h 1215676"/>
                                        <a:gd name="connsiteX4" fmla="*/ 1186670 w 1551373"/>
                                        <a:gd name="connsiteY4" fmla="*/ 1154892 h 1215676"/>
                                        <a:gd name="connsiteX5" fmla="*/ 782325 w 1551373"/>
                                        <a:gd name="connsiteY5" fmla="*/ 1025396 h 1215676"/>
                                        <a:gd name="connsiteX6" fmla="*/ 602645 w 1551373"/>
                                        <a:gd name="connsiteY6" fmla="*/ 1029588 h 1215676"/>
                                        <a:gd name="connsiteX7" fmla="*/ 536547 w 1551373"/>
                                        <a:gd name="connsiteY7" fmla="*/ 1215676 h 1215676"/>
                                        <a:gd name="connsiteX8" fmla="*/ 97847 w 1551373"/>
                                        <a:gd name="connsiteY8" fmla="*/ 1057109 h 1215676"/>
                                        <a:gd name="connsiteX9" fmla="*/ 0 w 1551373"/>
                                        <a:gd name="connsiteY9" fmla="*/ 648008 h 1215676"/>
                                        <a:gd name="connsiteX10" fmla="*/ 161273 w 1551373"/>
                                        <a:gd name="connsiteY10" fmla="*/ 190279 h 1215676"/>
                                        <a:gd name="connsiteX11" fmla="*/ 430836 w 1551373"/>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7854 w 1591380"/>
                                        <a:gd name="connsiteY8" fmla="*/ 1057109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66436 w 1591380"/>
                                        <a:gd name="connsiteY8" fmla="*/ 1020997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70843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64157 w 1591380"/>
                                        <a:gd name="connsiteY10" fmla="*/ 23414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197491 w 1591380"/>
                                        <a:gd name="connsiteY10" fmla="*/ 188473 h 1215676"/>
                                        <a:gd name="connsiteX11" fmla="*/ 467054 w 1591380"/>
                                        <a:gd name="connsiteY11" fmla="*/ 0 h 1215676"/>
                                        <a:gd name="connsiteX0" fmla="*/ 467054 w 1324459"/>
                                        <a:gd name="connsiteY0" fmla="*/ 0 h 1215676"/>
                                        <a:gd name="connsiteX1" fmla="*/ 1324459 w 1324459"/>
                                        <a:gd name="connsiteY1" fmla="*/ 594624 h 1215676"/>
                                        <a:gd name="connsiteX2" fmla="*/ 1303317 w 1324459"/>
                                        <a:gd name="connsiteY2" fmla="*/ 652765 h 1215676"/>
                                        <a:gd name="connsiteX3" fmla="*/ 637769 w 1324459"/>
                                        <a:gd name="connsiteY3" fmla="*/ 626294 h 1215676"/>
                                        <a:gd name="connsiteX4" fmla="*/ 1226677 w 1324459"/>
                                        <a:gd name="connsiteY4" fmla="*/ 1154892 h 1215676"/>
                                        <a:gd name="connsiteX5" fmla="*/ 822332 w 1324459"/>
                                        <a:gd name="connsiteY5" fmla="*/ 1025396 h 1215676"/>
                                        <a:gd name="connsiteX6" fmla="*/ 642652 w 1324459"/>
                                        <a:gd name="connsiteY6" fmla="*/ 1029588 h 1215676"/>
                                        <a:gd name="connsiteX7" fmla="*/ 576554 w 1324459"/>
                                        <a:gd name="connsiteY7" fmla="*/ 1215676 h 1215676"/>
                                        <a:gd name="connsiteX8" fmla="*/ 130247 w 1324459"/>
                                        <a:gd name="connsiteY8" fmla="*/ 1059346 h 1215676"/>
                                        <a:gd name="connsiteX9" fmla="*/ 0 w 1324459"/>
                                        <a:gd name="connsiteY9" fmla="*/ 659593 h 1215676"/>
                                        <a:gd name="connsiteX10" fmla="*/ 197491 w 1324459"/>
                                        <a:gd name="connsiteY10" fmla="*/ 188473 h 1215676"/>
                                        <a:gd name="connsiteX11" fmla="*/ 467054 w 1324459"/>
                                        <a:gd name="connsiteY11" fmla="*/ 0 h 1215676"/>
                                        <a:gd name="connsiteX0" fmla="*/ 467054 w 1324459"/>
                                        <a:gd name="connsiteY0" fmla="*/ 0 h 1215676"/>
                                        <a:gd name="connsiteX1" fmla="*/ 1324459 w 1324459"/>
                                        <a:gd name="connsiteY1" fmla="*/ 594624 h 1215676"/>
                                        <a:gd name="connsiteX2" fmla="*/ 1264956 w 1324459"/>
                                        <a:gd name="connsiteY2" fmla="*/ 733954 h 1215676"/>
                                        <a:gd name="connsiteX3" fmla="*/ 637769 w 1324459"/>
                                        <a:gd name="connsiteY3" fmla="*/ 626294 h 1215676"/>
                                        <a:gd name="connsiteX4" fmla="*/ 1226677 w 1324459"/>
                                        <a:gd name="connsiteY4" fmla="*/ 1154892 h 1215676"/>
                                        <a:gd name="connsiteX5" fmla="*/ 822332 w 1324459"/>
                                        <a:gd name="connsiteY5" fmla="*/ 1025396 h 1215676"/>
                                        <a:gd name="connsiteX6" fmla="*/ 642652 w 1324459"/>
                                        <a:gd name="connsiteY6" fmla="*/ 1029588 h 1215676"/>
                                        <a:gd name="connsiteX7" fmla="*/ 576554 w 1324459"/>
                                        <a:gd name="connsiteY7" fmla="*/ 1215676 h 1215676"/>
                                        <a:gd name="connsiteX8" fmla="*/ 130247 w 1324459"/>
                                        <a:gd name="connsiteY8" fmla="*/ 1059346 h 1215676"/>
                                        <a:gd name="connsiteX9" fmla="*/ 0 w 1324459"/>
                                        <a:gd name="connsiteY9" fmla="*/ 659593 h 1215676"/>
                                        <a:gd name="connsiteX10" fmla="*/ 197491 w 1324459"/>
                                        <a:gd name="connsiteY10" fmla="*/ 188473 h 1215676"/>
                                        <a:gd name="connsiteX11" fmla="*/ 467054 w 1324459"/>
                                        <a:gd name="connsiteY11" fmla="*/ 0 h 1215676"/>
                                        <a:gd name="connsiteX0" fmla="*/ 467054 w 1324459"/>
                                        <a:gd name="connsiteY0" fmla="*/ 0 h 1215676"/>
                                        <a:gd name="connsiteX1" fmla="*/ 1324459 w 1324459"/>
                                        <a:gd name="connsiteY1" fmla="*/ 594624 h 1215676"/>
                                        <a:gd name="connsiteX2" fmla="*/ 1264956 w 1324459"/>
                                        <a:gd name="connsiteY2" fmla="*/ 733954 h 1215676"/>
                                        <a:gd name="connsiteX3" fmla="*/ 637769 w 1324459"/>
                                        <a:gd name="connsiteY3" fmla="*/ 626294 h 1215676"/>
                                        <a:gd name="connsiteX4" fmla="*/ 1226678 w 1324459"/>
                                        <a:gd name="connsiteY4" fmla="*/ 1165367 h 1215676"/>
                                        <a:gd name="connsiteX5" fmla="*/ 822332 w 1324459"/>
                                        <a:gd name="connsiteY5" fmla="*/ 1025396 h 1215676"/>
                                        <a:gd name="connsiteX6" fmla="*/ 642652 w 1324459"/>
                                        <a:gd name="connsiteY6" fmla="*/ 1029588 h 1215676"/>
                                        <a:gd name="connsiteX7" fmla="*/ 576554 w 1324459"/>
                                        <a:gd name="connsiteY7" fmla="*/ 1215676 h 1215676"/>
                                        <a:gd name="connsiteX8" fmla="*/ 130247 w 1324459"/>
                                        <a:gd name="connsiteY8" fmla="*/ 1059346 h 1215676"/>
                                        <a:gd name="connsiteX9" fmla="*/ 0 w 1324459"/>
                                        <a:gd name="connsiteY9" fmla="*/ 659593 h 1215676"/>
                                        <a:gd name="connsiteX10" fmla="*/ 197491 w 1324459"/>
                                        <a:gd name="connsiteY10" fmla="*/ 188473 h 1215676"/>
                                        <a:gd name="connsiteX11" fmla="*/ 467054 w 1324459"/>
                                        <a:gd name="connsiteY11" fmla="*/ 0 h 1215676"/>
                                        <a:gd name="connsiteX0" fmla="*/ 467054 w 1324459"/>
                                        <a:gd name="connsiteY0" fmla="*/ 0 h 1215676"/>
                                        <a:gd name="connsiteX1" fmla="*/ 1324459 w 1324459"/>
                                        <a:gd name="connsiteY1" fmla="*/ 594624 h 1215676"/>
                                        <a:gd name="connsiteX2" fmla="*/ 1264956 w 1324459"/>
                                        <a:gd name="connsiteY2" fmla="*/ 733954 h 1215676"/>
                                        <a:gd name="connsiteX3" fmla="*/ 637769 w 1324459"/>
                                        <a:gd name="connsiteY3" fmla="*/ 626294 h 1215676"/>
                                        <a:gd name="connsiteX4" fmla="*/ 822332 w 1324459"/>
                                        <a:gd name="connsiteY4" fmla="*/ 1025396 h 1215676"/>
                                        <a:gd name="connsiteX5" fmla="*/ 642652 w 1324459"/>
                                        <a:gd name="connsiteY5" fmla="*/ 1029588 h 1215676"/>
                                        <a:gd name="connsiteX6" fmla="*/ 576554 w 1324459"/>
                                        <a:gd name="connsiteY6" fmla="*/ 1215676 h 1215676"/>
                                        <a:gd name="connsiteX7" fmla="*/ 130247 w 1324459"/>
                                        <a:gd name="connsiteY7" fmla="*/ 1059346 h 1215676"/>
                                        <a:gd name="connsiteX8" fmla="*/ 0 w 1324459"/>
                                        <a:gd name="connsiteY8" fmla="*/ 659593 h 1215676"/>
                                        <a:gd name="connsiteX9" fmla="*/ 197491 w 1324459"/>
                                        <a:gd name="connsiteY9" fmla="*/ 188473 h 1215676"/>
                                        <a:gd name="connsiteX10" fmla="*/ 467054 w 1324459"/>
                                        <a:gd name="connsiteY10" fmla="*/ 0 h 1215676"/>
                                        <a:gd name="connsiteX0" fmla="*/ 467054 w 1324459"/>
                                        <a:gd name="connsiteY0" fmla="*/ 0 h 1215676"/>
                                        <a:gd name="connsiteX1" fmla="*/ 1324459 w 1324459"/>
                                        <a:gd name="connsiteY1" fmla="*/ 594624 h 1215676"/>
                                        <a:gd name="connsiteX2" fmla="*/ 1264956 w 1324459"/>
                                        <a:gd name="connsiteY2" fmla="*/ 733954 h 1215676"/>
                                        <a:gd name="connsiteX3" fmla="*/ 637769 w 1324459"/>
                                        <a:gd name="connsiteY3" fmla="*/ 626294 h 1215676"/>
                                        <a:gd name="connsiteX4" fmla="*/ 642652 w 1324459"/>
                                        <a:gd name="connsiteY4" fmla="*/ 1029588 h 1215676"/>
                                        <a:gd name="connsiteX5" fmla="*/ 576554 w 1324459"/>
                                        <a:gd name="connsiteY5" fmla="*/ 1215676 h 1215676"/>
                                        <a:gd name="connsiteX6" fmla="*/ 130247 w 1324459"/>
                                        <a:gd name="connsiteY6" fmla="*/ 1059346 h 1215676"/>
                                        <a:gd name="connsiteX7" fmla="*/ 0 w 1324459"/>
                                        <a:gd name="connsiteY7" fmla="*/ 659593 h 1215676"/>
                                        <a:gd name="connsiteX8" fmla="*/ 197491 w 1324459"/>
                                        <a:gd name="connsiteY8" fmla="*/ 188473 h 1215676"/>
                                        <a:gd name="connsiteX9" fmla="*/ 467054 w 1324459"/>
                                        <a:gd name="connsiteY9" fmla="*/ 0 h 1215676"/>
                                        <a:gd name="connsiteX0" fmla="*/ 467054 w 1324459"/>
                                        <a:gd name="connsiteY0" fmla="*/ 0 h 1131156"/>
                                        <a:gd name="connsiteX1" fmla="*/ 1324459 w 1324459"/>
                                        <a:gd name="connsiteY1" fmla="*/ 594624 h 1131156"/>
                                        <a:gd name="connsiteX2" fmla="*/ 1264956 w 1324459"/>
                                        <a:gd name="connsiteY2" fmla="*/ 733954 h 1131156"/>
                                        <a:gd name="connsiteX3" fmla="*/ 637769 w 1324459"/>
                                        <a:gd name="connsiteY3" fmla="*/ 626294 h 1131156"/>
                                        <a:gd name="connsiteX4" fmla="*/ 642652 w 1324459"/>
                                        <a:gd name="connsiteY4" fmla="*/ 1029588 h 1131156"/>
                                        <a:gd name="connsiteX5" fmla="*/ 356599 w 1324459"/>
                                        <a:gd name="connsiteY5" fmla="*/ 1131156 h 1131156"/>
                                        <a:gd name="connsiteX6" fmla="*/ 130247 w 1324459"/>
                                        <a:gd name="connsiteY6" fmla="*/ 1059346 h 1131156"/>
                                        <a:gd name="connsiteX7" fmla="*/ 0 w 1324459"/>
                                        <a:gd name="connsiteY7" fmla="*/ 659593 h 1131156"/>
                                        <a:gd name="connsiteX8" fmla="*/ 197491 w 1324459"/>
                                        <a:gd name="connsiteY8" fmla="*/ 188473 h 1131156"/>
                                        <a:gd name="connsiteX9" fmla="*/ 467054 w 1324459"/>
                                        <a:gd name="connsiteY9" fmla="*/ 0 h 1131156"/>
                                        <a:gd name="connsiteX0" fmla="*/ 467054 w 1264956"/>
                                        <a:gd name="connsiteY0" fmla="*/ 0 h 1131156"/>
                                        <a:gd name="connsiteX1" fmla="*/ 986882 w 1264956"/>
                                        <a:gd name="connsiteY1" fmla="*/ 357214 h 1131156"/>
                                        <a:gd name="connsiteX2" fmla="*/ 1264956 w 1264956"/>
                                        <a:gd name="connsiteY2" fmla="*/ 733954 h 1131156"/>
                                        <a:gd name="connsiteX3" fmla="*/ 637769 w 1264956"/>
                                        <a:gd name="connsiteY3" fmla="*/ 626294 h 1131156"/>
                                        <a:gd name="connsiteX4" fmla="*/ 642652 w 1264956"/>
                                        <a:gd name="connsiteY4" fmla="*/ 1029588 h 1131156"/>
                                        <a:gd name="connsiteX5" fmla="*/ 356599 w 1264956"/>
                                        <a:gd name="connsiteY5" fmla="*/ 1131156 h 1131156"/>
                                        <a:gd name="connsiteX6" fmla="*/ 130247 w 1264956"/>
                                        <a:gd name="connsiteY6" fmla="*/ 1059346 h 1131156"/>
                                        <a:gd name="connsiteX7" fmla="*/ 0 w 1264956"/>
                                        <a:gd name="connsiteY7" fmla="*/ 659593 h 1131156"/>
                                        <a:gd name="connsiteX8" fmla="*/ 197491 w 1264956"/>
                                        <a:gd name="connsiteY8" fmla="*/ 188473 h 1131156"/>
                                        <a:gd name="connsiteX9" fmla="*/ 467054 w 1264956"/>
                                        <a:gd name="connsiteY9" fmla="*/ 0 h 1131156"/>
                                        <a:gd name="connsiteX0" fmla="*/ 467054 w 986883"/>
                                        <a:gd name="connsiteY0" fmla="*/ 0 h 1131156"/>
                                        <a:gd name="connsiteX1" fmla="*/ 986882 w 986883"/>
                                        <a:gd name="connsiteY1" fmla="*/ 357214 h 1131156"/>
                                        <a:gd name="connsiteX2" fmla="*/ 927379 w 986883"/>
                                        <a:gd name="connsiteY2" fmla="*/ 542495 h 1131156"/>
                                        <a:gd name="connsiteX3" fmla="*/ 637769 w 986883"/>
                                        <a:gd name="connsiteY3" fmla="*/ 626294 h 1131156"/>
                                        <a:gd name="connsiteX4" fmla="*/ 642652 w 986883"/>
                                        <a:gd name="connsiteY4" fmla="*/ 1029588 h 1131156"/>
                                        <a:gd name="connsiteX5" fmla="*/ 356599 w 986883"/>
                                        <a:gd name="connsiteY5" fmla="*/ 1131156 h 1131156"/>
                                        <a:gd name="connsiteX6" fmla="*/ 130247 w 986883"/>
                                        <a:gd name="connsiteY6" fmla="*/ 1059346 h 1131156"/>
                                        <a:gd name="connsiteX7" fmla="*/ 0 w 986883"/>
                                        <a:gd name="connsiteY7" fmla="*/ 659593 h 1131156"/>
                                        <a:gd name="connsiteX8" fmla="*/ 197491 w 986883"/>
                                        <a:gd name="connsiteY8" fmla="*/ 188473 h 1131156"/>
                                        <a:gd name="connsiteX9" fmla="*/ 467054 w 986883"/>
                                        <a:gd name="connsiteY9" fmla="*/ 0 h 1131156"/>
                                        <a:gd name="connsiteX0" fmla="*/ 467054 w 986882"/>
                                        <a:gd name="connsiteY0" fmla="*/ 0 h 1131156"/>
                                        <a:gd name="connsiteX1" fmla="*/ 986882 w 986882"/>
                                        <a:gd name="connsiteY1" fmla="*/ 357214 h 1131156"/>
                                        <a:gd name="connsiteX2" fmla="*/ 927379 w 986882"/>
                                        <a:gd name="connsiteY2" fmla="*/ 542495 h 1131156"/>
                                        <a:gd name="connsiteX3" fmla="*/ 637769 w 986882"/>
                                        <a:gd name="connsiteY3" fmla="*/ 626294 h 1131156"/>
                                        <a:gd name="connsiteX4" fmla="*/ 356599 w 986882"/>
                                        <a:gd name="connsiteY4" fmla="*/ 1131156 h 1131156"/>
                                        <a:gd name="connsiteX5" fmla="*/ 130247 w 986882"/>
                                        <a:gd name="connsiteY5" fmla="*/ 1059346 h 1131156"/>
                                        <a:gd name="connsiteX6" fmla="*/ 0 w 986882"/>
                                        <a:gd name="connsiteY6" fmla="*/ 659593 h 1131156"/>
                                        <a:gd name="connsiteX7" fmla="*/ 197491 w 986882"/>
                                        <a:gd name="connsiteY7" fmla="*/ 188473 h 1131156"/>
                                        <a:gd name="connsiteX8" fmla="*/ 467054 w 986882"/>
                                        <a:gd name="connsiteY8" fmla="*/ 0 h 1131156"/>
                                        <a:gd name="connsiteX0" fmla="*/ 467054 w 986882"/>
                                        <a:gd name="connsiteY0" fmla="*/ 0 h 1131156"/>
                                        <a:gd name="connsiteX1" fmla="*/ 986882 w 986882"/>
                                        <a:gd name="connsiteY1" fmla="*/ 357214 h 1131156"/>
                                        <a:gd name="connsiteX2" fmla="*/ 927379 w 986882"/>
                                        <a:gd name="connsiteY2" fmla="*/ 542495 h 1131156"/>
                                        <a:gd name="connsiteX3" fmla="*/ 637769 w 986882"/>
                                        <a:gd name="connsiteY3" fmla="*/ 626294 h 1131156"/>
                                        <a:gd name="connsiteX4" fmla="*/ 356601 w 986882"/>
                                        <a:gd name="connsiteY4" fmla="*/ 1131156 h 1131156"/>
                                        <a:gd name="connsiteX5" fmla="*/ 130247 w 986882"/>
                                        <a:gd name="connsiteY5" fmla="*/ 1059346 h 1131156"/>
                                        <a:gd name="connsiteX6" fmla="*/ 0 w 986882"/>
                                        <a:gd name="connsiteY6" fmla="*/ 659593 h 1131156"/>
                                        <a:gd name="connsiteX7" fmla="*/ 197491 w 986882"/>
                                        <a:gd name="connsiteY7" fmla="*/ 188473 h 1131156"/>
                                        <a:gd name="connsiteX8" fmla="*/ 467054 w 986882"/>
                                        <a:gd name="connsiteY8" fmla="*/ 0 h 1131156"/>
                                        <a:gd name="connsiteX0" fmla="*/ 467054 w 986882"/>
                                        <a:gd name="connsiteY0" fmla="*/ 0 h 1059346"/>
                                        <a:gd name="connsiteX1" fmla="*/ 986882 w 986882"/>
                                        <a:gd name="connsiteY1" fmla="*/ 357214 h 1059346"/>
                                        <a:gd name="connsiteX2" fmla="*/ 927379 w 986882"/>
                                        <a:gd name="connsiteY2" fmla="*/ 542495 h 1059346"/>
                                        <a:gd name="connsiteX3" fmla="*/ 637769 w 986882"/>
                                        <a:gd name="connsiteY3" fmla="*/ 626294 h 1059346"/>
                                        <a:gd name="connsiteX4" fmla="*/ 130247 w 986882"/>
                                        <a:gd name="connsiteY4" fmla="*/ 1059346 h 1059346"/>
                                        <a:gd name="connsiteX5" fmla="*/ 0 w 986882"/>
                                        <a:gd name="connsiteY5" fmla="*/ 659593 h 1059346"/>
                                        <a:gd name="connsiteX6" fmla="*/ 197491 w 986882"/>
                                        <a:gd name="connsiteY6" fmla="*/ 188473 h 1059346"/>
                                        <a:gd name="connsiteX7" fmla="*/ 467054 w 986882"/>
                                        <a:gd name="connsiteY7" fmla="*/ 0 h 1059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6882" h="1059346">
                                          <a:moveTo>
                                            <a:pt x="467054" y="0"/>
                                          </a:moveTo>
                                          <a:lnTo>
                                            <a:pt x="986882" y="357214"/>
                                          </a:lnTo>
                                          <a:lnTo>
                                            <a:pt x="927379" y="542495"/>
                                          </a:lnTo>
                                          <a:lnTo>
                                            <a:pt x="637769" y="626294"/>
                                          </a:lnTo>
                                          <a:cubicBezTo>
                                            <a:pt x="504914" y="712436"/>
                                            <a:pt x="236542" y="1053796"/>
                                            <a:pt x="130247" y="1059346"/>
                                          </a:cubicBezTo>
                                          <a:lnTo>
                                            <a:pt x="0" y="659593"/>
                                          </a:lnTo>
                                          <a:lnTo>
                                            <a:pt x="197491" y="188473"/>
                                          </a:lnTo>
                                          <a:lnTo>
                                            <a:pt x="467054" y="0"/>
                                          </a:lnTo>
                                          <a:close/>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3D77" w14:textId="77777777" w:rsidR="00D55F13" w:rsidRPr="004E4C01" w:rsidRDefault="00D55F13" w:rsidP="00077E48">
                                        <w:pP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6" name="2608 Forma libre"/>
                                  <wps:cNvSpPr/>
                                  <wps:spPr>
                                    <a:xfrm>
                                      <a:off x="628650" y="304800"/>
                                      <a:ext cx="742239" cy="524894"/>
                                    </a:xfrm>
                                    <a:custGeom>
                                      <a:avLst/>
                                      <a:gdLst>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463040 w 1675181"/>
                                        <a:gd name="connsiteY9" fmla="*/ 504749 h 1141171"/>
                                        <a:gd name="connsiteX10" fmla="*/ 1558138 w 1675181"/>
                                        <a:gd name="connsiteY10" fmla="*/ 746150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463040 w 1675181"/>
                                        <a:gd name="connsiteY9" fmla="*/ 504749 h 1141171"/>
                                        <a:gd name="connsiteX10" fmla="*/ 1234564 w 1675181"/>
                                        <a:gd name="connsiteY10" fmla="*/ 614998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119243 w 1675181"/>
                                        <a:gd name="connsiteY9" fmla="*/ 403862 h 1141171"/>
                                        <a:gd name="connsiteX10" fmla="*/ 1234564 w 1675181"/>
                                        <a:gd name="connsiteY10" fmla="*/ 614998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 name="connsiteX0" fmla="*/ 153620 w 1558138"/>
                                        <a:gd name="connsiteY0" fmla="*/ 526694 h 1141171"/>
                                        <a:gd name="connsiteX1" fmla="*/ 292608 w 1558138"/>
                                        <a:gd name="connsiteY1" fmla="*/ 307238 h 1141171"/>
                                        <a:gd name="connsiteX2" fmla="*/ 446228 w 1558138"/>
                                        <a:gd name="connsiteY2" fmla="*/ 424282 h 1141171"/>
                                        <a:gd name="connsiteX3" fmla="*/ 651053 w 1558138"/>
                                        <a:gd name="connsiteY3" fmla="*/ 285293 h 1141171"/>
                                        <a:gd name="connsiteX4" fmla="*/ 811988 w 1558138"/>
                                        <a:gd name="connsiteY4" fmla="*/ 80467 h 1141171"/>
                                        <a:gd name="connsiteX5" fmla="*/ 1272845 w 1558138"/>
                                        <a:gd name="connsiteY5" fmla="*/ 0 h 1141171"/>
                                        <a:gd name="connsiteX6" fmla="*/ 1558138 w 1558138"/>
                                        <a:gd name="connsiteY6" fmla="*/ 29261 h 1141171"/>
                                        <a:gd name="connsiteX7" fmla="*/ 1492301 w 1558138"/>
                                        <a:gd name="connsiteY7" fmla="*/ 321869 h 1141171"/>
                                        <a:gd name="connsiteX8" fmla="*/ 1119243 w 1558138"/>
                                        <a:gd name="connsiteY8" fmla="*/ 403862 h 1141171"/>
                                        <a:gd name="connsiteX9" fmla="*/ 1234564 w 1558138"/>
                                        <a:gd name="connsiteY9" fmla="*/ 614998 h 1141171"/>
                                        <a:gd name="connsiteX10" fmla="*/ 1331367 w 1558138"/>
                                        <a:gd name="connsiteY10" fmla="*/ 892454 h 1141171"/>
                                        <a:gd name="connsiteX11" fmla="*/ 848564 w 1558138"/>
                                        <a:gd name="connsiteY11" fmla="*/ 987552 h 1141171"/>
                                        <a:gd name="connsiteX12" fmla="*/ 548640 w 1558138"/>
                                        <a:gd name="connsiteY12" fmla="*/ 1133856 h 1141171"/>
                                        <a:gd name="connsiteX13" fmla="*/ 58522 w 1558138"/>
                                        <a:gd name="connsiteY13" fmla="*/ 1141171 h 1141171"/>
                                        <a:gd name="connsiteX14" fmla="*/ 0 w 1558138"/>
                                        <a:gd name="connsiteY14" fmla="*/ 716890 h 1141171"/>
                                        <a:gd name="connsiteX15" fmla="*/ 153620 w 1558138"/>
                                        <a:gd name="connsiteY15" fmla="*/ 526694 h 1141171"/>
                                        <a:gd name="connsiteX0" fmla="*/ 153620 w 1492300"/>
                                        <a:gd name="connsiteY0" fmla="*/ 526694 h 1141171"/>
                                        <a:gd name="connsiteX1" fmla="*/ 292608 w 1492300"/>
                                        <a:gd name="connsiteY1" fmla="*/ 307238 h 1141171"/>
                                        <a:gd name="connsiteX2" fmla="*/ 446228 w 1492300"/>
                                        <a:gd name="connsiteY2" fmla="*/ 424282 h 1141171"/>
                                        <a:gd name="connsiteX3" fmla="*/ 651053 w 1492300"/>
                                        <a:gd name="connsiteY3" fmla="*/ 285293 h 1141171"/>
                                        <a:gd name="connsiteX4" fmla="*/ 811988 w 1492300"/>
                                        <a:gd name="connsiteY4" fmla="*/ 80467 h 1141171"/>
                                        <a:gd name="connsiteX5" fmla="*/ 1272845 w 1492300"/>
                                        <a:gd name="connsiteY5" fmla="*/ 0 h 1141171"/>
                                        <a:gd name="connsiteX6" fmla="*/ 1492301 w 1492300"/>
                                        <a:gd name="connsiteY6" fmla="*/ 321869 h 1141171"/>
                                        <a:gd name="connsiteX7" fmla="*/ 1119243 w 1492300"/>
                                        <a:gd name="connsiteY7" fmla="*/ 403862 h 1141171"/>
                                        <a:gd name="connsiteX8" fmla="*/ 1234564 w 1492300"/>
                                        <a:gd name="connsiteY8" fmla="*/ 614998 h 1141171"/>
                                        <a:gd name="connsiteX9" fmla="*/ 1331367 w 1492300"/>
                                        <a:gd name="connsiteY9" fmla="*/ 892454 h 1141171"/>
                                        <a:gd name="connsiteX10" fmla="*/ 848564 w 1492300"/>
                                        <a:gd name="connsiteY10" fmla="*/ 987552 h 1141171"/>
                                        <a:gd name="connsiteX11" fmla="*/ 548640 w 1492300"/>
                                        <a:gd name="connsiteY11" fmla="*/ 1133856 h 1141171"/>
                                        <a:gd name="connsiteX12" fmla="*/ 58522 w 1492300"/>
                                        <a:gd name="connsiteY12" fmla="*/ 1141171 h 1141171"/>
                                        <a:gd name="connsiteX13" fmla="*/ 0 w 1492300"/>
                                        <a:gd name="connsiteY13" fmla="*/ 716890 h 1141171"/>
                                        <a:gd name="connsiteX14" fmla="*/ 153620 w 1492300"/>
                                        <a:gd name="connsiteY14" fmla="*/ 526694 h 1141171"/>
                                        <a:gd name="connsiteX0" fmla="*/ 153620 w 1331366"/>
                                        <a:gd name="connsiteY0" fmla="*/ 526694 h 1141171"/>
                                        <a:gd name="connsiteX1" fmla="*/ 292608 w 1331366"/>
                                        <a:gd name="connsiteY1" fmla="*/ 307238 h 1141171"/>
                                        <a:gd name="connsiteX2" fmla="*/ 446228 w 1331366"/>
                                        <a:gd name="connsiteY2" fmla="*/ 424282 h 1141171"/>
                                        <a:gd name="connsiteX3" fmla="*/ 651053 w 1331366"/>
                                        <a:gd name="connsiteY3" fmla="*/ 285293 h 1141171"/>
                                        <a:gd name="connsiteX4" fmla="*/ 811988 w 1331366"/>
                                        <a:gd name="connsiteY4" fmla="*/ 80467 h 1141171"/>
                                        <a:gd name="connsiteX5" fmla="*/ 1272845 w 1331366"/>
                                        <a:gd name="connsiteY5" fmla="*/ 0 h 1141171"/>
                                        <a:gd name="connsiteX6" fmla="*/ 1119243 w 1331366"/>
                                        <a:gd name="connsiteY6" fmla="*/ 403862 h 1141171"/>
                                        <a:gd name="connsiteX7" fmla="*/ 1234564 w 1331366"/>
                                        <a:gd name="connsiteY7" fmla="*/ 614998 h 1141171"/>
                                        <a:gd name="connsiteX8" fmla="*/ 1331367 w 1331366"/>
                                        <a:gd name="connsiteY8" fmla="*/ 892454 h 1141171"/>
                                        <a:gd name="connsiteX9" fmla="*/ 848564 w 1331366"/>
                                        <a:gd name="connsiteY9" fmla="*/ 987552 h 1141171"/>
                                        <a:gd name="connsiteX10" fmla="*/ 548640 w 1331366"/>
                                        <a:gd name="connsiteY10" fmla="*/ 1133856 h 1141171"/>
                                        <a:gd name="connsiteX11" fmla="*/ 58522 w 1331366"/>
                                        <a:gd name="connsiteY11" fmla="*/ 1141171 h 1141171"/>
                                        <a:gd name="connsiteX12" fmla="*/ 0 w 1331366"/>
                                        <a:gd name="connsiteY12" fmla="*/ 716890 h 1141171"/>
                                        <a:gd name="connsiteX13" fmla="*/ 153620 w 1331366"/>
                                        <a:gd name="connsiteY13" fmla="*/ 526694 h 1141171"/>
                                        <a:gd name="connsiteX0" fmla="*/ 153620 w 1331368"/>
                                        <a:gd name="connsiteY0" fmla="*/ 446226 h 1060703"/>
                                        <a:gd name="connsiteX1" fmla="*/ 292608 w 1331368"/>
                                        <a:gd name="connsiteY1" fmla="*/ 226770 h 1060703"/>
                                        <a:gd name="connsiteX2" fmla="*/ 446228 w 1331368"/>
                                        <a:gd name="connsiteY2" fmla="*/ 343814 h 1060703"/>
                                        <a:gd name="connsiteX3" fmla="*/ 651053 w 1331368"/>
                                        <a:gd name="connsiteY3" fmla="*/ 204825 h 1060703"/>
                                        <a:gd name="connsiteX4" fmla="*/ 811988 w 1331368"/>
                                        <a:gd name="connsiteY4" fmla="*/ -1 h 1060703"/>
                                        <a:gd name="connsiteX5" fmla="*/ 1119243 w 1331368"/>
                                        <a:gd name="connsiteY5" fmla="*/ 323394 h 1060703"/>
                                        <a:gd name="connsiteX6" fmla="*/ 1234564 w 1331368"/>
                                        <a:gd name="connsiteY6" fmla="*/ 534530 h 1060703"/>
                                        <a:gd name="connsiteX7" fmla="*/ 1331367 w 1331368"/>
                                        <a:gd name="connsiteY7" fmla="*/ 811986 h 1060703"/>
                                        <a:gd name="connsiteX8" fmla="*/ 848564 w 1331368"/>
                                        <a:gd name="connsiteY8" fmla="*/ 907084 h 1060703"/>
                                        <a:gd name="connsiteX9" fmla="*/ 548640 w 1331368"/>
                                        <a:gd name="connsiteY9" fmla="*/ 1053388 h 1060703"/>
                                        <a:gd name="connsiteX10" fmla="*/ 58522 w 1331368"/>
                                        <a:gd name="connsiteY10" fmla="*/ 1060703 h 1060703"/>
                                        <a:gd name="connsiteX11" fmla="*/ 0 w 1331368"/>
                                        <a:gd name="connsiteY11" fmla="*/ 636422 h 1060703"/>
                                        <a:gd name="connsiteX12" fmla="*/ 153620 w 1331368"/>
                                        <a:gd name="connsiteY12" fmla="*/ 446226 h 1060703"/>
                                        <a:gd name="connsiteX0" fmla="*/ 153620 w 1331366"/>
                                        <a:gd name="connsiteY0" fmla="*/ 446228 h 1060705"/>
                                        <a:gd name="connsiteX1" fmla="*/ 292608 w 1331366"/>
                                        <a:gd name="connsiteY1" fmla="*/ 226772 h 1060705"/>
                                        <a:gd name="connsiteX2" fmla="*/ 446228 w 1331366"/>
                                        <a:gd name="connsiteY2" fmla="*/ 343816 h 1060705"/>
                                        <a:gd name="connsiteX3" fmla="*/ 651053 w 1331366"/>
                                        <a:gd name="connsiteY3" fmla="*/ 204827 h 1060705"/>
                                        <a:gd name="connsiteX4" fmla="*/ 811988 w 1331366"/>
                                        <a:gd name="connsiteY4" fmla="*/ 1 h 1060705"/>
                                        <a:gd name="connsiteX5" fmla="*/ 1181935 w 1331366"/>
                                        <a:gd name="connsiteY5" fmla="*/ 101445 h 1060705"/>
                                        <a:gd name="connsiteX6" fmla="*/ 1234564 w 1331366"/>
                                        <a:gd name="connsiteY6" fmla="*/ 534532 h 1060705"/>
                                        <a:gd name="connsiteX7" fmla="*/ 1331367 w 1331366"/>
                                        <a:gd name="connsiteY7" fmla="*/ 811988 h 1060705"/>
                                        <a:gd name="connsiteX8" fmla="*/ 848564 w 1331366"/>
                                        <a:gd name="connsiteY8" fmla="*/ 907086 h 1060705"/>
                                        <a:gd name="connsiteX9" fmla="*/ 548640 w 1331366"/>
                                        <a:gd name="connsiteY9" fmla="*/ 1053390 h 1060705"/>
                                        <a:gd name="connsiteX10" fmla="*/ 58522 w 1331366"/>
                                        <a:gd name="connsiteY10" fmla="*/ 1060705 h 1060705"/>
                                        <a:gd name="connsiteX11" fmla="*/ 0 w 1331366"/>
                                        <a:gd name="connsiteY11" fmla="*/ 636424 h 1060705"/>
                                        <a:gd name="connsiteX12" fmla="*/ 153620 w 1331366"/>
                                        <a:gd name="connsiteY12" fmla="*/ 446228 h 1060705"/>
                                        <a:gd name="connsiteX0" fmla="*/ 153620 w 1234564"/>
                                        <a:gd name="connsiteY0" fmla="*/ 446226 h 1060703"/>
                                        <a:gd name="connsiteX1" fmla="*/ 292608 w 1234564"/>
                                        <a:gd name="connsiteY1" fmla="*/ 226770 h 1060703"/>
                                        <a:gd name="connsiteX2" fmla="*/ 446228 w 1234564"/>
                                        <a:gd name="connsiteY2" fmla="*/ 343814 h 1060703"/>
                                        <a:gd name="connsiteX3" fmla="*/ 651053 w 1234564"/>
                                        <a:gd name="connsiteY3" fmla="*/ 204825 h 1060703"/>
                                        <a:gd name="connsiteX4" fmla="*/ 811988 w 1234564"/>
                                        <a:gd name="connsiteY4" fmla="*/ -1 h 1060703"/>
                                        <a:gd name="connsiteX5" fmla="*/ 1181935 w 1234564"/>
                                        <a:gd name="connsiteY5" fmla="*/ 101443 h 1060703"/>
                                        <a:gd name="connsiteX6" fmla="*/ 1234564 w 1234564"/>
                                        <a:gd name="connsiteY6" fmla="*/ 534530 h 1060703"/>
                                        <a:gd name="connsiteX7" fmla="*/ 1181936 w 1234564"/>
                                        <a:gd name="connsiteY7" fmla="*/ 763828 h 1060703"/>
                                        <a:gd name="connsiteX8" fmla="*/ 848564 w 1234564"/>
                                        <a:gd name="connsiteY8" fmla="*/ 907084 h 1060703"/>
                                        <a:gd name="connsiteX9" fmla="*/ 548640 w 1234564"/>
                                        <a:gd name="connsiteY9" fmla="*/ 1053388 h 1060703"/>
                                        <a:gd name="connsiteX10" fmla="*/ 58522 w 1234564"/>
                                        <a:gd name="connsiteY10" fmla="*/ 1060703 h 1060703"/>
                                        <a:gd name="connsiteX11" fmla="*/ 0 w 1234564"/>
                                        <a:gd name="connsiteY11" fmla="*/ 636422 h 1060703"/>
                                        <a:gd name="connsiteX12" fmla="*/ 153620 w 1234564"/>
                                        <a:gd name="connsiteY12" fmla="*/ 446226 h 1060703"/>
                                        <a:gd name="connsiteX0" fmla="*/ 153620 w 1234564"/>
                                        <a:gd name="connsiteY0" fmla="*/ 344783 h 959260"/>
                                        <a:gd name="connsiteX1" fmla="*/ 292608 w 1234564"/>
                                        <a:gd name="connsiteY1" fmla="*/ 125327 h 959260"/>
                                        <a:gd name="connsiteX2" fmla="*/ 446228 w 1234564"/>
                                        <a:gd name="connsiteY2" fmla="*/ 242371 h 959260"/>
                                        <a:gd name="connsiteX3" fmla="*/ 651053 w 1234564"/>
                                        <a:gd name="connsiteY3" fmla="*/ 103382 h 959260"/>
                                        <a:gd name="connsiteX4" fmla="*/ 1181935 w 1234564"/>
                                        <a:gd name="connsiteY4" fmla="*/ 0 h 959260"/>
                                        <a:gd name="connsiteX5" fmla="*/ 1234564 w 1234564"/>
                                        <a:gd name="connsiteY5" fmla="*/ 433087 h 959260"/>
                                        <a:gd name="connsiteX6" fmla="*/ 1181936 w 1234564"/>
                                        <a:gd name="connsiteY6" fmla="*/ 662385 h 959260"/>
                                        <a:gd name="connsiteX7" fmla="*/ 848564 w 1234564"/>
                                        <a:gd name="connsiteY7" fmla="*/ 805641 h 959260"/>
                                        <a:gd name="connsiteX8" fmla="*/ 548640 w 1234564"/>
                                        <a:gd name="connsiteY8" fmla="*/ 951945 h 959260"/>
                                        <a:gd name="connsiteX9" fmla="*/ 58522 w 1234564"/>
                                        <a:gd name="connsiteY9" fmla="*/ 959260 h 959260"/>
                                        <a:gd name="connsiteX10" fmla="*/ 0 w 1234564"/>
                                        <a:gd name="connsiteY10" fmla="*/ 534979 h 959260"/>
                                        <a:gd name="connsiteX11" fmla="*/ 153620 w 1234564"/>
                                        <a:gd name="connsiteY11" fmla="*/ 344783 h 959260"/>
                                        <a:gd name="connsiteX0" fmla="*/ 153620 w 1234564"/>
                                        <a:gd name="connsiteY0" fmla="*/ 241400 h 855877"/>
                                        <a:gd name="connsiteX1" fmla="*/ 292608 w 1234564"/>
                                        <a:gd name="connsiteY1" fmla="*/ 21944 h 855877"/>
                                        <a:gd name="connsiteX2" fmla="*/ 446228 w 1234564"/>
                                        <a:gd name="connsiteY2" fmla="*/ 138988 h 855877"/>
                                        <a:gd name="connsiteX3" fmla="*/ 651053 w 1234564"/>
                                        <a:gd name="connsiteY3" fmla="*/ -1 h 855877"/>
                                        <a:gd name="connsiteX4" fmla="*/ 919032 w 1234564"/>
                                        <a:gd name="connsiteY4" fmla="*/ 290075 h 855877"/>
                                        <a:gd name="connsiteX5" fmla="*/ 1234564 w 1234564"/>
                                        <a:gd name="connsiteY5" fmla="*/ 329704 h 855877"/>
                                        <a:gd name="connsiteX6" fmla="*/ 1181936 w 1234564"/>
                                        <a:gd name="connsiteY6" fmla="*/ 559002 h 855877"/>
                                        <a:gd name="connsiteX7" fmla="*/ 848564 w 1234564"/>
                                        <a:gd name="connsiteY7" fmla="*/ 702258 h 855877"/>
                                        <a:gd name="connsiteX8" fmla="*/ 548640 w 1234564"/>
                                        <a:gd name="connsiteY8" fmla="*/ 848562 h 855877"/>
                                        <a:gd name="connsiteX9" fmla="*/ 58522 w 1234564"/>
                                        <a:gd name="connsiteY9" fmla="*/ 855877 h 855877"/>
                                        <a:gd name="connsiteX10" fmla="*/ 0 w 1234564"/>
                                        <a:gd name="connsiteY10" fmla="*/ 431596 h 855877"/>
                                        <a:gd name="connsiteX11" fmla="*/ 153620 w 1234564"/>
                                        <a:gd name="connsiteY11" fmla="*/ 241400 h 855877"/>
                                        <a:gd name="connsiteX0" fmla="*/ 153620 w 1181936"/>
                                        <a:gd name="connsiteY0" fmla="*/ 241402 h 855879"/>
                                        <a:gd name="connsiteX1" fmla="*/ 292608 w 1181936"/>
                                        <a:gd name="connsiteY1" fmla="*/ 21946 h 855879"/>
                                        <a:gd name="connsiteX2" fmla="*/ 446228 w 1181936"/>
                                        <a:gd name="connsiteY2" fmla="*/ 138990 h 855879"/>
                                        <a:gd name="connsiteX3" fmla="*/ 651053 w 1181936"/>
                                        <a:gd name="connsiteY3" fmla="*/ 1 h 855879"/>
                                        <a:gd name="connsiteX4" fmla="*/ 919032 w 1181936"/>
                                        <a:gd name="connsiteY4" fmla="*/ 290077 h 855879"/>
                                        <a:gd name="connsiteX5" fmla="*/ 1181936 w 1181936"/>
                                        <a:gd name="connsiteY5" fmla="*/ 559004 h 855879"/>
                                        <a:gd name="connsiteX6" fmla="*/ 848564 w 1181936"/>
                                        <a:gd name="connsiteY6" fmla="*/ 702260 h 855879"/>
                                        <a:gd name="connsiteX7" fmla="*/ 548640 w 1181936"/>
                                        <a:gd name="connsiteY7" fmla="*/ 848564 h 855879"/>
                                        <a:gd name="connsiteX8" fmla="*/ 58522 w 1181936"/>
                                        <a:gd name="connsiteY8" fmla="*/ 855879 h 855879"/>
                                        <a:gd name="connsiteX9" fmla="*/ 0 w 1181936"/>
                                        <a:gd name="connsiteY9" fmla="*/ 431598 h 855879"/>
                                        <a:gd name="connsiteX10" fmla="*/ 153620 w 1181936"/>
                                        <a:gd name="connsiteY10" fmla="*/ 241402 h 855879"/>
                                        <a:gd name="connsiteX0" fmla="*/ 153620 w 1181936"/>
                                        <a:gd name="connsiteY0" fmla="*/ 219456 h 833933"/>
                                        <a:gd name="connsiteX1" fmla="*/ 292608 w 1181936"/>
                                        <a:gd name="connsiteY1" fmla="*/ 0 h 833933"/>
                                        <a:gd name="connsiteX2" fmla="*/ 446228 w 1181936"/>
                                        <a:gd name="connsiteY2" fmla="*/ 117044 h 833933"/>
                                        <a:gd name="connsiteX3" fmla="*/ 919032 w 1181936"/>
                                        <a:gd name="connsiteY3" fmla="*/ 268131 h 833933"/>
                                        <a:gd name="connsiteX4" fmla="*/ 1181936 w 1181936"/>
                                        <a:gd name="connsiteY4" fmla="*/ 537058 h 833933"/>
                                        <a:gd name="connsiteX5" fmla="*/ 848564 w 1181936"/>
                                        <a:gd name="connsiteY5" fmla="*/ 680314 h 833933"/>
                                        <a:gd name="connsiteX6" fmla="*/ 548640 w 1181936"/>
                                        <a:gd name="connsiteY6" fmla="*/ 826618 h 833933"/>
                                        <a:gd name="connsiteX7" fmla="*/ 58522 w 1181936"/>
                                        <a:gd name="connsiteY7" fmla="*/ 833933 h 833933"/>
                                        <a:gd name="connsiteX8" fmla="*/ 0 w 1181936"/>
                                        <a:gd name="connsiteY8" fmla="*/ 409652 h 833933"/>
                                        <a:gd name="connsiteX9" fmla="*/ 153620 w 1181936"/>
                                        <a:gd name="connsiteY9" fmla="*/ 219456 h 83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81936" h="833933">
                                          <a:moveTo>
                                            <a:pt x="153620" y="219456"/>
                                          </a:moveTo>
                                          <a:lnTo>
                                            <a:pt x="292608" y="0"/>
                                          </a:lnTo>
                                          <a:lnTo>
                                            <a:pt x="446228" y="117044"/>
                                          </a:lnTo>
                                          <a:lnTo>
                                            <a:pt x="919032" y="268131"/>
                                          </a:lnTo>
                                          <a:lnTo>
                                            <a:pt x="1181936" y="537058"/>
                                          </a:lnTo>
                                          <a:lnTo>
                                            <a:pt x="848564" y="680314"/>
                                          </a:lnTo>
                                          <a:lnTo>
                                            <a:pt x="548640" y="826618"/>
                                          </a:lnTo>
                                          <a:lnTo>
                                            <a:pt x="58522" y="833933"/>
                                          </a:lnTo>
                                          <a:lnTo>
                                            <a:pt x="0" y="409652"/>
                                          </a:lnTo>
                                          <a:lnTo>
                                            <a:pt x="153620" y="219456"/>
                                          </a:lnTo>
                                          <a:close/>
                                        </a:path>
                                      </a:pathLst>
                                    </a:cu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4AF75" w14:textId="77777777" w:rsidR="00D55F13" w:rsidRPr="004E4C01" w:rsidRDefault="00D55F13" w:rsidP="00077E48">
                                        <w:pPr>
                                          <w:jc w:val="cente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7" name="158 Forma libre"/>
                                  <wps:cNvSpPr/>
                                  <wps:spPr>
                                    <a:xfrm>
                                      <a:off x="349250" y="0"/>
                                      <a:ext cx="1021480" cy="964439"/>
                                    </a:xfrm>
                                    <a:custGeom>
                                      <a:avLst/>
                                      <a:gdLst>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80006 w 2275027"/>
                                        <a:gd name="connsiteY5" fmla="*/ 128016 h 1598371"/>
                                        <a:gd name="connsiteX6" fmla="*/ 2157984 w 2275027"/>
                                        <a:gd name="connsiteY6" fmla="*/ 157277 h 1598371"/>
                                        <a:gd name="connsiteX7" fmla="*/ 2275027 w 2275027"/>
                                        <a:gd name="connsiteY7" fmla="*/ 376733 h 1598371"/>
                                        <a:gd name="connsiteX8" fmla="*/ 2095805 w 2275027"/>
                                        <a:gd name="connsiteY8" fmla="*/ 446227 h 1598371"/>
                                        <a:gd name="connsiteX9" fmla="*/ 2062886 w 2275027"/>
                                        <a:gd name="connsiteY9" fmla="*/ 643737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5805 w 2275027"/>
                                        <a:gd name="connsiteY8" fmla="*/ 446227 h 1598371"/>
                                        <a:gd name="connsiteX9" fmla="*/ 2062886 w 2275027"/>
                                        <a:gd name="connsiteY9" fmla="*/ 643737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3006 w 2275027"/>
                                        <a:gd name="connsiteY8" fmla="*/ 450058 h 1598371"/>
                                        <a:gd name="connsiteX9" fmla="*/ 2062886 w 2275027"/>
                                        <a:gd name="connsiteY9" fmla="*/ 643737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3006 w 2275027"/>
                                        <a:gd name="connsiteY8" fmla="*/ 450058 h 1598371"/>
                                        <a:gd name="connsiteX9" fmla="*/ 2057584 w 2275027"/>
                                        <a:gd name="connsiteY9" fmla="*/ 626622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3006 w 2275027"/>
                                        <a:gd name="connsiteY8" fmla="*/ 450058 h 1598371"/>
                                        <a:gd name="connsiteX9" fmla="*/ 2057584 w 2275027"/>
                                        <a:gd name="connsiteY9" fmla="*/ 626622 h 1598371"/>
                                        <a:gd name="connsiteX10" fmla="*/ 2154607 w 2275027"/>
                                        <a:gd name="connsiteY10" fmla="*/ 874056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23897 w 2275027"/>
                                        <a:gd name="connsiteY12" fmla="*/ 1026033 h 1600276"/>
                                        <a:gd name="connsiteX13" fmla="*/ 1880006 w 2275027"/>
                                        <a:gd name="connsiteY13" fmla="*/ 1033348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80006 w 2275027"/>
                                        <a:gd name="connsiteY13" fmla="*/ 1033348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89911 w 2275027"/>
                                        <a:gd name="connsiteY13" fmla="*/ 1029587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94101 w 2275027"/>
                                        <a:gd name="connsiteY13" fmla="*/ 1025826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94101 w 2275027"/>
                                        <a:gd name="connsiteY13" fmla="*/ 1025826 h 1600276"/>
                                        <a:gd name="connsiteX14" fmla="*/ 2093006 w 2275027"/>
                                        <a:gd name="connsiteY14" fmla="*/ 1215981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94101 w 2275027"/>
                                        <a:gd name="connsiteY13" fmla="*/ 1025826 h 1600276"/>
                                        <a:gd name="connsiteX14" fmla="*/ 2093006 w 2275027"/>
                                        <a:gd name="connsiteY14" fmla="*/ 1215981 h 1600276"/>
                                        <a:gd name="connsiteX15" fmla="*/ 1609344 w 2275027"/>
                                        <a:gd name="connsiteY15" fmla="*/ 1519809 h 1600276"/>
                                        <a:gd name="connsiteX16" fmla="*/ 1294790 w 2275027"/>
                                        <a:gd name="connsiteY16" fmla="*/ 1417396 h 1600276"/>
                                        <a:gd name="connsiteX17" fmla="*/ 965800 w 2275027"/>
                                        <a:gd name="connsiteY17" fmla="*/ 1534233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6382 w 2276932"/>
                                        <a:gd name="connsiteY0" fmla="*/ 1905 h 1600276"/>
                                        <a:gd name="connsiteX1" fmla="*/ 905332 w 2276932"/>
                                        <a:gd name="connsiteY1" fmla="*/ 199415 h 1600276"/>
                                        <a:gd name="connsiteX2" fmla="*/ 1077239 w 2276932"/>
                                        <a:gd name="connsiteY2" fmla="*/ 27508 h 1600276"/>
                                        <a:gd name="connsiteX3" fmla="*/ 1432161 w 2276932"/>
                                        <a:gd name="connsiteY3" fmla="*/ 0 h 1600276"/>
                                        <a:gd name="connsiteX4" fmla="*/ 1457630 w 2276932"/>
                                        <a:gd name="connsiteY4" fmla="*/ 199415 h 1600276"/>
                                        <a:gd name="connsiteX5" fmla="*/ 1876573 w 2276932"/>
                                        <a:gd name="connsiteY5" fmla="*/ 127870 h 1600276"/>
                                        <a:gd name="connsiteX6" fmla="*/ 2159889 w 2276932"/>
                                        <a:gd name="connsiteY6" fmla="*/ 159182 h 1600276"/>
                                        <a:gd name="connsiteX7" fmla="*/ 2276932 w 2276932"/>
                                        <a:gd name="connsiteY7" fmla="*/ 378638 h 1600276"/>
                                        <a:gd name="connsiteX8" fmla="*/ 2094911 w 2276932"/>
                                        <a:gd name="connsiteY8" fmla="*/ 451963 h 1600276"/>
                                        <a:gd name="connsiteX9" fmla="*/ 2059489 w 2276932"/>
                                        <a:gd name="connsiteY9" fmla="*/ 628527 h 1600276"/>
                                        <a:gd name="connsiteX10" fmla="*/ 2156512 w 2276932"/>
                                        <a:gd name="connsiteY10" fmla="*/ 875961 h 1600276"/>
                                        <a:gd name="connsiteX11" fmla="*/ 1925802 w 2276932"/>
                                        <a:gd name="connsiteY11" fmla="*/ 1026033 h 1600276"/>
                                        <a:gd name="connsiteX12" fmla="*/ 1933810 w 2276932"/>
                                        <a:gd name="connsiteY12" fmla="*/ 1022272 h 1600276"/>
                                        <a:gd name="connsiteX13" fmla="*/ 1896006 w 2276932"/>
                                        <a:gd name="connsiteY13" fmla="*/ 1025826 h 1600276"/>
                                        <a:gd name="connsiteX14" fmla="*/ 2094911 w 2276932"/>
                                        <a:gd name="connsiteY14" fmla="*/ 1215981 h 1600276"/>
                                        <a:gd name="connsiteX15" fmla="*/ 1611249 w 2276932"/>
                                        <a:gd name="connsiteY15" fmla="*/ 1519809 h 1600276"/>
                                        <a:gd name="connsiteX16" fmla="*/ 1296695 w 2276932"/>
                                        <a:gd name="connsiteY16" fmla="*/ 1417396 h 1600276"/>
                                        <a:gd name="connsiteX17" fmla="*/ 967705 w 2276932"/>
                                        <a:gd name="connsiteY17" fmla="*/ 1534233 h 1600276"/>
                                        <a:gd name="connsiteX18" fmla="*/ 799262 w 2276932"/>
                                        <a:gd name="connsiteY18" fmla="*/ 1490548 h 1600276"/>
                                        <a:gd name="connsiteX19" fmla="*/ 759028 w 2276932"/>
                                        <a:gd name="connsiteY19" fmla="*/ 1600276 h 1600276"/>
                                        <a:gd name="connsiteX20" fmla="*/ 173812 w 2276932"/>
                                        <a:gd name="connsiteY20" fmla="*/ 1399108 h 1600276"/>
                                        <a:gd name="connsiteX21" fmla="*/ 0 w 2276932"/>
                                        <a:gd name="connsiteY21" fmla="*/ 870550 h 1600276"/>
                                        <a:gd name="connsiteX22" fmla="*/ 261594 w 2276932"/>
                                        <a:gd name="connsiteY22" fmla="*/ 246964 h 1600276"/>
                                        <a:gd name="connsiteX23" fmla="*/ 616382 w 2276932"/>
                                        <a:gd name="connsiteY23" fmla="*/ 1905 h 1600276"/>
                                        <a:gd name="connsiteX0" fmla="*/ 616382 w 2276932"/>
                                        <a:gd name="connsiteY0" fmla="*/ 1905 h 1600276"/>
                                        <a:gd name="connsiteX1" fmla="*/ 766329 w 2276932"/>
                                        <a:gd name="connsiteY1" fmla="*/ 104129 h 1600276"/>
                                        <a:gd name="connsiteX2" fmla="*/ 1077239 w 2276932"/>
                                        <a:gd name="connsiteY2" fmla="*/ 27508 h 1600276"/>
                                        <a:gd name="connsiteX3" fmla="*/ 1432161 w 2276932"/>
                                        <a:gd name="connsiteY3" fmla="*/ 0 h 1600276"/>
                                        <a:gd name="connsiteX4" fmla="*/ 1457630 w 2276932"/>
                                        <a:gd name="connsiteY4" fmla="*/ 199415 h 1600276"/>
                                        <a:gd name="connsiteX5" fmla="*/ 1876573 w 2276932"/>
                                        <a:gd name="connsiteY5" fmla="*/ 127870 h 1600276"/>
                                        <a:gd name="connsiteX6" fmla="*/ 2159889 w 2276932"/>
                                        <a:gd name="connsiteY6" fmla="*/ 159182 h 1600276"/>
                                        <a:gd name="connsiteX7" fmla="*/ 2276932 w 2276932"/>
                                        <a:gd name="connsiteY7" fmla="*/ 378638 h 1600276"/>
                                        <a:gd name="connsiteX8" fmla="*/ 2094911 w 2276932"/>
                                        <a:gd name="connsiteY8" fmla="*/ 451963 h 1600276"/>
                                        <a:gd name="connsiteX9" fmla="*/ 2059489 w 2276932"/>
                                        <a:gd name="connsiteY9" fmla="*/ 628527 h 1600276"/>
                                        <a:gd name="connsiteX10" fmla="*/ 2156512 w 2276932"/>
                                        <a:gd name="connsiteY10" fmla="*/ 875961 h 1600276"/>
                                        <a:gd name="connsiteX11" fmla="*/ 1925802 w 2276932"/>
                                        <a:gd name="connsiteY11" fmla="*/ 1026033 h 1600276"/>
                                        <a:gd name="connsiteX12" fmla="*/ 1933810 w 2276932"/>
                                        <a:gd name="connsiteY12" fmla="*/ 1022272 h 1600276"/>
                                        <a:gd name="connsiteX13" fmla="*/ 1896006 w 2276932"/>
                                        <a:gd name="connsiteY13" fmla="*/ 1025826 h 1600276"/>
                                        <a:gd name="connsiteX14" fmla="*/ 2094911 w 2276932"/>
                                        <a:gd name="connsiteY14" fmla="*/ 1215981 h 1600276"/>
                                        <a:gd name="connsiteX15" fmla="*/ 1611249 w 2276932"/>
                                        <a:gd name="connsiteY15" fmla="*/ 1519809 h 1600276"/>
                                        <a:gd name="connsiteX16" fmla="*/ 1296695 w 2276932"/>
                                        <a:gd name="connsiteY16" fmla="*/ 1417396 h 1600276"/>
                                        <a:gd name="connsiteX17" fmla="*/ 967705 w 2276932"/>
                                        <a:gd name="connsiteY17" fmla="*/ 1534233 h 1600276"/>
                                        <a:gd name="connsiteX18" fmla="*/ 799262 w 2276932"/>
                                        <a:gd name="connsiteY18" fmla="*/ 1490548 h 1600276"/>
                                        <a:gd name="connsiteX19" fmla="*/ 759028 w 2276932"/>
                                        <a:gd name="connsiteY19" fmla="*/ 1600276 h 1600276"/>
                                        <a:gd name="connsiteX20" fmla="*/ 173812 w 2276932"/>
                                        <a:gd name="connsiteY20" fmla="*/ 1399108 h 1600276"/>
                                        <a:gd name="connsiteX21" fmla="*/ 0 w 2276932"/>
                                        <a:gd name="connsiteY21" fmla="*/ 870550 h 1600276"/>
                                        <a:gd name="connsiteX22" fmla="*/ 261594 w 2276932"/>
                                        <a:gd name="connsiteY22" fmla="*/ 246964 h 1600276"/>
                                        <a:gd name="connsiteX23" fmla="*/ 616382 w 2276932"/>
                                        <a:gd name="connsiteY23" fmla="*/ 1905 h 1600276"/>
                                        <a:gd name="connsiteX0" fmla="*/ 616382 w 2276932"/>
                                        <a:gd name="connsiteY0" fmla="*/ 1905 h 1600276"/>
                                        <a:gd name="connsiteX1" fmla="*/ 766329 w 2276932"/>
                                        <a:gd name="connsiteY1" fmla="*/ 104129 h 1600276"/>
                                        <a:gd name="connsiteX2" fmla="*/ 872873 w 2276932"/>
                                        <a:gd name="connsiteY2" fmla="*/ 0 h 1600276"/>
                                        <a:gd name="connsiteX3" fmla="*/ 1432161 w 2276932"/>
                                        <a:gd name="connsiteY3" fmla="*/ 0 h 1600276"/>
                                        <a:gd name="connsiteX4" fmla="*/ 1457630 w 2276932"/>
                                        <a:gd name="connsiteY4" fmla="*/ 199415 h 1600276"/>
                                        <a:gd name="connsiteX5" fmla="*/ 1876573 w 2276932"/>
                                        <a:gd name="connsiteY5" fmla="*/ 127870 h 1600276"/>
                                        <a:gd name="connsiteX6" fmla="*/ 2159889 w 2276932"/>
                                        <a:gd name="connsiteY6" fmla="*/ 159182 h 1600276"/>
                                        <a:gd name="connsiteX7" fmla="*/ 2276932 w 2276932"/>
                                        <a:gd name="connsiteY7" fmla="*/ 378638 h 1600276"/>
                                        <a:gd name="connsiteX8" fmla="*/ 2094911 w 2276932"/>
                                        <a:gd name="connsiteY8" fmla="*/ 451963 h 1600276"/>
                                        <a:gd name="connsiteX9" fmla="*/ 2059489 w 2276932"/>
                                        <a:gd name="connsiteY9" fmla="*/ 628527 h 1600276"/>
                                        <a:gd name="connsiteX10" fmla="*/ 2156512 w 2276932"/>
                                        <a:gd name="connsiteY10" fmla="*/ 875961 h 1600276"/>
                                        <a:gd name="connsiteX11" fmla="*/ 1925802 w 2276932"/>
                                        <a:gd name="connsiteY11" fmla="*/ 1026033 h 1600276"/>
                                        <a:gd name="connsiteX12" fmla="*/ 1933810 w 2276932"/>
                                        <a:gd name="connsiteY12" fmla="*/ 1022272 h 1600276"/>
                                        <a:gd name="connsiteX13" fmla="*/ 1896006 w 2276932"/>
                                        <a:gd name="connsiteY13" fmla="*/ 1025826 h 1600276"/>
                                        <a:gd name="connsiteX14" fmla="*/ 2094911 w 2276932"/>
                                        <a:gd name="connsiteY14" fmla="*/ 1215981 h 1600276"/>
                                        <a:gd name="connsiteX15" fmla="*/ 1611249 w 2276932"/>
                                        <a:gd name="connsiteY15" fmla="*/ 1519809 h 1600276"/>
                                        <a:gd name="connsiteX16" fmla="*/ 1296695 w 2276932"/>
                                        <a:gd name="connsiteY16" fmla="*/ 1417396 h 1600276"/>
                                        <a:gd name="connsiteX17" fmla="*/ 967705 w 2276932"/>
                                        <a:gd name="connsiteY17" fmla="*/ 1534233 h 1600276"/>
                                        <a:gd name="connsiteX18" fmla="*/ 799262 w 2276932"/>
                                        <a:gd name="connsiteY18" fmla="*/ 1490548 h 1600276"/>
                                        <a:gd name="connsiteX19" fmla="*/ 759028 w 2276932"/>
                                        <a:gd name="connsiteY19" fmla="*/ 1600276 h 1600276"/>
                                        <a:gd name="connsiteX20" fmla="*/ 173812 w 2276932"/>
                                        <a:gd name="connsiteY20" fmla="*/ 1399108 h 1600276"/>
                                        <a:gd name="connsiteX21" fmla="*/ 0 w 2276932"/>
                                        <a:gd name="connsiteY21" fmla="*/ 870550 h 1600276"/>
                                        <a:gd name="connsiteX22" fmla="*/ 261594 w 2276932"/>
                                        <a:gd name="connsiteY22" fmla="*/ 246964 h 1600276"/>
                                        <a:gd name="connsiteX23" fmla="*/ 616382 w 2276932"/>
                                        <a:gd name="connsiteY23" fmla="*/ 1905 h 1600276"/>
                                        <a:gd name="connsiteX0" fmla="*/ 616382 w 2276932"/>
                                        <a:gd name="connsiteY0" fmla="*/ 18135 h 1616506"/>
                                        <a:gd name="connsiteX1" fmla="*/ 766329 w 2276932"/>
                                        <a:gd name="connsiteY1" fmla="*/ 120359 h 1616506"/>
                                        <a:gd name="connsiteX2" fmla="*/ 872873 w 2276932"/>
                                        <a:gd name="connsiteY2" fmla="*/ 16230 h 1616506"/>
                                        <a:gd name="connsiteX3" fmla="*/ 1224658 w 2276932"/>
                                        <a:gd name="connsiteY3" fmla="*/ 0 h 1616506"/>
                                        <a:gd name="connsiteX4" fmla="*/ 1457630 w 2276932"/>
                                        <a:gd name="connsiteY4" fmla="*/ 215645 h 1616506"/>
                                        <a:gd name="connsiteX5" fmla="*/ 1876573 w 2276932"/>
                                        <a:gd name="connsiteY5" fmla="*/ 144100 h 1616506"/>
                                        <a:gd name="connsiteX6" fmla="*/ 2159889 w 2276932"/>
                                        <a:gd name="connsiteY6" fmla="*/ 175412 h 1616506"/>
                                        <a:gd name="connsiteX7" fmla="*/ 2276932 w 2276932"/>
                                        <a:gd name="connsiteY7" fmla="*/ 394868 h 1616506"/>
                                        <a:gd name="connsiteX8" fmla="*/ 2094911 w 2276932"/>
                                        <a:gd name="connsiteY8" fmla="*/ 468193 h 1616506"/>
                                        <a:gd name="connsiteX9" fmla="*/ 2059489 w 2276932"/>
                                        <a:gd name="connsiteY9" fmla="*/ 644757 h 1616506"/>
                                        <a:gd name="connsiteX10" fmla="*/ 2156512 w 2276932"/>
                                        <a:gd name="connsiteY10" fmla="*/ 892191 h 1616506"/>
                                        <a:gd name="connsiteX11" fmla="*/ 1925802 w 2276932"/>
                                        <a:gd name="connsiteY11" fmla="*/ 1042263 h 1616506"/>
                                        <a:gd name="connsiteX12" fmla="*/ 1933810 w 2276932"/>
                                        <a:gd name="connsiteY12" fmla="*/ 1038502 h 1616506"/>
                                        <a:gd name="connsiteX13" fmla="*/ 1896006 w 2276932"/>
                                        <a:gd name="connsiteY13" fmla="*/ 1042056 h 1616506"/>
                                        <a:gd name="connsiteX14" fmla="*/ 2094911 w 2276932"/>
                                        <a:gd name="connsiteY14" fmla="*/ 1232211 h 1616506"/>
                                        <a:gd name="connsiteX15" fmla="*/ 1611249 w 2276932"/>
                                        <a:gd name="connsiteY15" fmla="*/ 1536039 h 1616506"/>
                                        <a:gd name="connsiteX16" fmla="*/ 1296695 w 2276932"/>
                                        <a:gd name="connsiteY16" fmla="*/ 1433626 h 1616506"/>
                                        <a:gd name="connsiteX17" fmla="*/ 967705 w 2276932"/>
                                        <a:gd name="connsiteY17" fmla="*/ 1550463 h 1616506"/>
                                        <a:gd name="connsiteX18" fmla="*/ 799262 w 2276932"/>
                                        <a:gd name="connsiteY18" fmla="*/ 1506778 h 1616506"/>
                                        <a:gd name="connsiteX19" fmla="*/ 759028 w 2276932"/>
                                        <a:gd name="connsiteY19" fmla="*/ 1616506 h 1616506"/>
                                        <a:gd name="connsiteX20" fmla="*/ 173812 w 2276932"/>
                                        <a:gd name="connsiteY20" fmla="*/ 1415338 h 1616506"/>
                                        <a:gd name="connsiteX21" fmla="*/ 0 w 2276932"/>
                                        <a:gd name="connsiteY21" fmla="*/ 886780 h 1616506"/>
                                        <a:gd name="connsiteX22" fmla="*/ 261594 w 2276932"/>
                                        <a:gd name="connsiteY22" fmla="*/ 263194 h 1616506"/>
                                        <a:gd name="connsiteX23" fmla="*/ 616382 w 2276932"/>
                                        <a:gd name="connsiteY23" fmla="*/ 18135 h 1616506"/>
                                        <a:gd name="connsiteX0" fmla="*/ 616382 w 2276932"/>
                                        <a:gd name="connsiteY0" fmla="*/ 18135 h 1616506"/>
                                        <a:gd name="connsiteX1" fmla="*/ 766329 w 2276932"/>
                                        <a:gd name="connsiteY1" fmla="*/ 120359 h 1616506"/>
                                        <a:gd name="connsiteX2" fmla="*/ 872873 w 2276932"/>
                                        <a:gd name="connsiteY2" fmla="*/ 16230 h 1616506"/>
                                        <a:gd name="connsiteX3" fmla="*/ 1224658 w 2276932"/>
                                        <a:gd name="connsiteY3" fmla="*/ 0 h 1616506"/>
                                        <a:gd name="connsiteX4" fmla="*/ 1266952 w 2276932"/>
                                        <a:gd name="connsiteY4" fmla="*/ 470986 h 1616506"/>
                                        <a:gd name="connsiteX5" fmla="*/ 1876573 w 2276932"/>
                                        <a:gd name="connsiteY5" fmla="*/ 144100 h 1616506"/>
                                        <a:gd name="connsiteX6" fmla="*/ 2159889 w 2276932"/>
                                        <a:gd name="connsiteY6" fmla="*/ 175412 h 1616506"/>
                                        <a:gd name="connsiteX7" fmla="*/ 2276932 w 2276932"/>
                                        <a:gd name="connsiteY7" fmla="*/ 394868 h 1616506"/>
                                        <a:gd name="connsiteX8" fmla="*/ 2094911 w 2276932"/>
                                        <a:gd name="connsiteY8" fmla="*/ 468193 h 1616506"/>
                                        <a:gd name="connsiteX9" fmla="*/ 2059489 w 2276932"/>
                                        <a:gd name="connsiteY9" fmla="*/ 644757 h 1616506"/>
                                        <a:gd name="connsiteX10" fmla="*/ 2156512 w 2276932"/>
                                        <a:gd name="connsiteY10" fmla="*/ 892191 h 1616506"/>
                                        <a:gd name="connsiteX11" fmla="*/ 1925802 w 2276932"/>
                                        <a:gd name="connsiteY11" fmla="*/ 1042263 h 1616506"/>
                                        <a:gd name="connsiteX12" fmla="*/ 1933810 w 2276932"/>
                                        <a:gd name="connsiteY12" fmla="*/ 1038502 h 1616506"/>
                                        <a:gd name="connsiteX13" fmla="*/ 1896006 w 2276932"/>
                                        <a:gd name="connsiteY13" fmla="*/ 1042056 h 1616506"/>
                                        <a:gd name="connsiteX14" fmla="*/ 2094911 w 2276932"/>
                                        <a:gd name="connsiteY14" fmla="*/ 1232211 h 1616506"/>
                                        <a:gd name="connsiteX15" fmla="*/ 1611249 w 2276932"/>
                                        <a:gd name="connsiteY15" fmla="*/ 1536039 h 1616506"/>
                                        <a:gd name="connsiteX16" fmla="*/ 1296695 w 2276932"/>
                                        <a:gd name="connsiteY16" fmla="*/ 1433626 h 1616506"/>
                                        <a:gd name="connsiteX17" fmla="*/ 967705 w 2276932"/>
                                        <a:gd name="connsiteY17" fmla="*/ 1550463 h 1616506"/>
                                        <a:gd name="connsiteX18" fmla="*/ 799262 w 2276932"/>
                                        <a:gd name="connsiteY18" fmla="*/ 1506778 h 1616506"/>
                                        <a:gd name="connsiteX19" fmla="*/ 759028 w 2276932"/>
                                        <a:gd name="connsiteY19" fmla="*/ 1616506 h 1616506"/>
                                        <a:gd name="connsiteX20" fmla="*/ 173812 w 2276932"/>
                                        <a:gd name="connsiteY20" fmla="*/ 1415338 h 1616506"/>
                                        <a:gd name="connsiteX21" fmla="*/ 0 w 2276932"/>
                                        <a:gd name="connsiteY21" fmla="*/ 886780 h 1616506"/>
                                        <a:gd name="connsiteX22" fmla="*/ 261594 w 2276932"/>
                                        <a:gd name="connsiteY22" fmla="*/ 263194 h 1616506"/>
                                        <a:gd name="connsiteX23" fmla="*/ 616382 w 2276932"/>
                                        <a:gd name="connsiteY23" fmla="*/ 18135 h 1616506"/>
                                        <a:gd name="connsiteX0" fmla="*/ 616382 w 2276932"/>
                                        <a:gd name="connsiteY0" fmla="*/ 18135 h 1616506"/>
                                        <a:gd name="connsiteX1" fmla="*/ 766329 w 2276932"/>
                                        <a:gd name="connsiteY1" fmla="*/ 120359 h 1616506"/>
                                        <a:gd name="connsiteX2" fmla="*/ 872873 w 2276932"/>
                                        <a:gd name="connsiteY2" fmla="*/ 16230 h 1616506"/>
                                        <a:gd name="connsiteX3" fmla="*/ 1224658 w 2276932"/>
                                        <a:gd name="connsiteY3" fmla="*/ 0 h 1616506"/>
                                        <a:gd name="connsiteX4" fmla="*/ 1266952 w 2276932"/>
                                        <a:gd name="connsiteY4" fmla="*/ 470986 h 1616506"/>
                                        <a:gd name="connsiteX5" fmla="*/ 1296753 w 2276932"/>
                                        <a:gd name="connsiteY5" fmla="*/ 470986 h 1616506"/>
                                        <a:gd name="connsiteX6" fmla="*/ 2159889 w 2276932"/>
                                        <a:gd name="connsiteY6" fmla="*/ 175412 h 1616506"/>
                                        <a:gd name="connsiteX7" fmla="*/ 2276932 w 2276932"/>
                                        <a:gd name="connsiteY7" fmla="*/ 394868 h 1616506"/>
                                        <a:gd name="connsiteX8" fmla="*/ 2094911 w 2276932"/>
                                        <a:gd name="connsiteY8" fmla="*/ 468193 h 1616506"/>
                                        <a:gd name="connsiteX9" fmla="*/ 2059489 w 2276932"/>
                                        <a:gd name="connsiteY9" fmla="*/ 644757 h 1616506"/>
                                        <a:gd name="connsiteX10" fmla="*/ 2156512 w 2276932"/>
                                        <a:gd name="connsiteY10" fmla="*/ 892191 h 1616506"/>
                                        <a:gd name="connsiteX11" fmla="*/ 1925802 w 2276932"/>
                                        <a:gd name="connsiteY11" fmla="*/ 1042263 h 1616506"/>
                                        <a:gd name="connsiteX12" fmla="*/ 1933810 w 2276932"/>
                                        <a:gd name="connsiteY12" fmla="*/ 1038502 h 1616506"/>
                                        <a:gd name="connsiteX13" fmla="*/ 1896006 w 2276932"/>
                                        <a:gd name="connsiteY13" fmla="*/ 1042056 h 1616506"/>
                                        <a:gd name="connsiteX14" fmla="*/ 2094911 w 2276932"/>
                                        <a:gd name="connsiteY14" fmla="*/ 1232211 h 1616506"/>
                                        <a:gd name="connsiteX15" fmla="*/ 1611249 w 2276932"/>
                                        <a:gd name="connsiteY15" fmla="*/ 1536039 h 1616506"/>
                                        <a:gd name="connsiteX16" fmla="*/ 1296695 w 2276932"/>
                                        <a:gd name="connsiteY16" fmla="*/ 1433626 h 1616506"/>
                                        <a:gd name="connsiteX17" fmla="*/ 967705 w 2276932"/>
                                        <a:gd name="connsiteY17" fmla="*/ 1550463 h 1616506"/>
                                        <a:gd name="connsiteX18" fmla="*/ 799262 w 2276932"/>
                                        <a:gd name="connsiteY18" fmla="*/ 1506778 h 1616506"/>
                                        <a:gd name="connsiteX19" fmla="*/ 759028 w 2276932"/>
                                        <a:gd name="connsiteY19" fmla="*/ 1616506 h 1616506"/>
                                        <a:gd name="connsiteX20" fmla="*/ 173812 w 2276932"/>
                                        <a:gd name="connsiteY20" fmla="*/ 1415338 h 1616506"/>
                                        <a:gd name="connsiteX21" fmla="*/ 0 w 2276932"/>
                                        <a:gd name="connsiteY21" fmla="*/ 886780 h 1616506"/>
                                        <a:gd name="connsiteX22" fmla="*/ 261594 w 2276932"/>
                                        <a:gd name="connsiteY22" fmla="*/ 263194 h 1616506"/>
                                        <a:gd name="connsiteX23" fmla="*/ 616382 w 2276932"/>
                                        <a:gd name="connsiteY23" fmla="*/ 18135 h 1616506"/>
                                        <a:gd name="connsiteX0" fmla="*/ 616382 w 2276932"/>
                                        <a:gd name="connsiteY0" fmla="*/ 18135 h 1616506"/>
                                        <a:gd name="connsiteX1" fmla="*/ 766329 w 2276932"/>
                                        <a:gd name="connsiteY1" fmla="*/ 120359 h 1616506"/>
                                        <a:gd name="connsiteX2" fmla="*/ 872873 w 2276932"/>
                                        <a:gd name="connsiteY2" fmla="*/ 16230 h 1616506"/>
                                        <a:gd name="connsiteX3" fmla="*/ 1224658 w 2276932"/>
                                        <a:gd name="connsiteY3" fmla="*/ 0 h 1616506"/>
                                        <a:gd name="connsiteX4" fmla="*/ 1266952 w 2276932"/>
                                        <a:gd name="connsiteY4" fmla="*/ 470986 h 1616506"/>
                                        <a:gd name="connsiteX5" fmla="*/ 1296753 w 2276932"/>
                                        <a:gd name="connsiteY5" fmla="*/ 470986 h 1616506"/>
                                        <a:gd name="connsiteX6" fmla="*/ 1442039 w 2276932"/>
                                        <a:gd name="connsiteY6" fmla="*/ 719379 h 1616506"/>
                                        <a:gd name="connsiteX7" fmla="*/ 2276932 w 2276932"/>
                                        <a:gd name="connsiteY7" fmla="*/ 394868 h 1616506"/>
                                        <a:gd name="connsiteX8" fmla="*/ 2094911 w 2276932"/>
                                        <a:gd name="connsiteY8" fmla="*/ 468193 h 1616506"/>
                                        <a:gd name="connsiteX9" fmla="*/ 2059489 w 2276932"/>
                                        <a:gd name="connsiteY9" fmla="*/ 644757 h 1616506"/>
                                        <a:gd name="connsiteX10" fmla="*/ 2156512 w 2276932"/>
                                        <a:gd name="connsiteY10" fmla="*/ 892191 h 1616506"/>
                                        <a:gd name="connsiteX11" fmla="*/ 1925802 w 2276932"/>
                                        <a:gd name="connsiteY11" fmla="*/ 1042263 h 1616506"/>
                                        <a:gd name="connsiteX12" fmla="*/ 1933810 w 2276932"/>
                                        <a:gd name="connsiteY12" fmla="*/ 1038502 h 1616506"/>
                                        <a:gd name="connsiteX13" fmla="*/ 1896006 w 2276932"/>
                                        <a:gd name="connsiteY13" fmla="*/ 1042056 h 1616506"/>
                                        <a:gd name="connsiteX14" fmla="*/ 2094911 w 2276932"/>
                                        <a:gd name="connsiteY14" fmla="*/ 1232211 h 1616506"/>
                                        <a:gd name="connsiteX15" fmla="*/ 1611249 w 2276932"/>
                                        <a:gd name="connsiteY15" fmla="*/ 1536039 h 1616506"/>
                                        <a:gd name="connsiteX16" fmla="*/ 1296695 w 2276932"/>
                                        <a:gd name="connsiteY16" fmla="*/ 1433626 h 1616506"/>
                                        <a:gd name="connsiteX17" fmla="*/ 967705 w 2276932"/>
                                        <a:gd name="connsiteY17" fmla="*/ 1550463 h 1616506"/>
                                        <a:gd name="connsiteX18" fmla="*/ 799262 w 2276932"/>
                                        <a:gd name="connsiteY18" fmla="*/ 1506778 h 1616506"/>
                                        <a:gd name="connsiteX19" fmla="*/ 759028 w 2276932"/>
                                        <a:gd name="connsiteY19" fmla="*/ 1616506 h 1616506"/>
                                        <a:gd name="connsiteX20" fmla="*/ 173812 w 2276932"/>
                                        <a:gd name="connsiteY20" fmla="*/ 1415338 h 1616506"/>
                                        <a:gd name="connsiteX21" fmla="*/ 0 w 2276932"/>
                                        <a:gd name="connsiteY21" fmla="*/ 886780 h 1616506"/>
                                        <a:gd name="connsiteX22" fmla="*/ 261594 w 2276932"/>
                                        <a:gd name="connsiteY22" fmla="*/ 263194 h 1616506"/>
                                        <a:gd name="connsiteX23" fmla="*/ 616382 w 2276932"/>
                                        <a:gd name="connsiteY23" fmla="*/ 18135 h 1616506"/>
                                        <a:gd name="connsiteX0" fmla="*/ 616382 w 2156511"/>
                                        <a:gd name="connsiteY0" fmla="*/ 18135 h 1616506"/>
                                        <a:gd name="connsiteX1" fmla="*/ 766329 w 2156511"/>
                                        <a:gd name="connsiteY1" fmla="*/ 120359 h 1616506"/>
                                        <a:gd name="connsiteX2" fmla="*/ 872873 w 2156511"/>
                                        <a:gd name="connsiteY2" fmla="*/ 16230 h 1616506"/>
                                        <a:gd name="connsiteX3" fmla="*/ 1224658 w 2156511"/>
                                        <a:gd name="connsiteY3" fmla="*/ 0 h 1616506"/>
                                        <a:gd name="connsiteX4" fmla="*/ 1266952 w 2156511"/>
                                        <a:gd name="connsiteY4" fmla="*/ 470986 h 1616506"/>
                                        <a:gd name="connsiteX5" fmla="*/ 1296753 w 2156511"/>
                                        <a:gd name="connsiteY5" fmla="*/ 470986 h 1616506"/>
                                        <a:gd name="connsiteX6" fmla="*/ 1442039 w 2156511"/>
                                        <a:gd name="connsiteY6" fmla="*/ 719379 h 1616506"/>
                                        <a:gd name="connsiteX7" fmla="*/ 1486177 w 2156511"/>
                                        <a:gd name="connsiteY7" fmla="*/ 871539 h 1616506"/>
                                        <a:gd name="connsiteX8" fmla="*/ 2094911 w 2156511"/>
                                        <a:gd name="connsiteY8" fmla="*/ 468193 h 1616506"/>
                                        <a:gd name="connsiteX9" fmla="*/ 2059489 w 2156511"/>
                                        <a:gd name="connsiteY9" fmla="*/ 644757 h 1616506"/>
                                        <a:gd name="connsiteX10" fmla="*/ 2156512 w 2156511"/>
                                        <a:gd name="connsiteY10" fmla="*/ 892191 h 1616506"/>
                                        <a:gd name="connsiteX11" fmla="*/ 1925802 w 2156511"/>
                                        <a:gd name="connsiteY11" fmla="*/ 1042263 h 1616506"/>
                                        <a:gd name="connsiteX12" fmla="*/ 1933810 w 2156511"/>
                                        <a:gd name="connsiteY12" fmla="*/ 1038502 h 1616506"/>
                                        <a:gd name="connsiteX13" fmla="*/ 1896006 w 2156511"/>
                                        <a:gd name="connsiteY13" fmla="*/ 1042056 h 1616506"/>
                                        <a:gd name="connsiteX14" fmla="*/ 2094911 w 2156511"/>
                                        <a:gd name="connsiteY14" fmla="*/ 1232211 h 1616506"/>
                                        <a:gd name="connsiteX15" fmla="*/ 1611249 w 2156511"/>
                                        <a:gd name="connsiteY15" fmla="*/ 1536039 h 1616506"/>
                                        <a:gd name="connsiteX16" fmla="*/ 1296695 w 2156511"/>
                                        <a:gd name="connsiteY16" fmla="*/ 1433626 h 1616506"/>
                                        <a:gd name="connsiteX17" fmla="*/ 967705 w 2156511"/>
                                        <a:gd name="connsiteY17" fmla="*/ 1550463 h 1616506"/>
                                        <a:gd name="connsiteX18" fmla="*/ 799262 w 2156511"/>
                                        <a:gd name="connsiteY18" fmla="*/ 1506778 h 1616506"/>
                                        <a:gd name="connsiteX19" fmla="*/ 759028 w 2156511"/>
                                        <a:gd name="connsiteY19" fmla="*/ 1616506 h 1616506"/>
                                        <a:gd name="connsiteX20" fmla="*/ 173812 w 2156511"/>
                                        <a:gd name="connsiteY20" fmla="*/ 1415338 h 1616506"/>
                                        <a:gd name="connsiteX21" fmla="*/ 0 w 2156511"/>
                                        <a:gd name="connsiteY21" fmla="*/ 886780 h 1616506"/>
                                        <a:gd name="connsiteX22" fmla="*/ 261594 w 2156511"/>
                                        <a:gd name="connsiteY22" fmla="*/ 263194 h 1616506"/>
                                        <a:gd name="connsiteX23" fmla="*/ 616382 w 2156511"/>
                                        <a:gd name="connsiteY23" fmla="*/ 18135 h 1616506"/>
                                        <a:gd name="connsiteX0" fmla="*/ 616382 w 2156513"/>
                                        <a:gd name="connsiteY0" fmla="*/ 18135 h 1616506"/>
                                        <a:gd name="connsiteX1" fmla="*/ 766329 w 2156513"/>
                                        <a:gd name="connsiteY1" fmla="*/ 120359 h 1616506"/>
                                        <a:gd name="connsiteX2" fmla="*/ 872873 w 2156513"/>
                                        <a:gd name="connsiteY2" fmla="*/ 16230 h 1616506"/>
                                        <a:gd name="connsiteX3" fmla="*/ 1224658 w 2156513"/>
                                        <a:gd name="connsiteY3" fmla="*/ 0 h 1616506"/>
                                        <a:gd name="connsiteX4" fmla="*/ 1266952 w 2156513"/>
                                        <a:gd name="connsiteY4" fmla="*/ 470986 h 1616506"/>
                                        <a:gd name="connsiteX5" fmla="*/ 1296753 w 2156513"/>
                                        <a:gd name="connsiteY5" fmla="*/ 470986 h 1616506"/>
                                        <a:gd name="connsiteX6" fmla="*/ 1442039 w 2156513"/>
                                        <a:gd name="connsiteY6" fmla="*/ 719379 h 1616506"/>
                                        <a:gd name="connsiteX7" fmla="*/ 1486177 w 2156513"/>
                                        <a:gd name="connsiteY7" fmla="*/ 871539 h 1616506"/>
                                        <a:gd name="connsiteX8" fmla="*/ 1620775 w 2156513"/>
                                        <a:gd name="connsiteY8" fmla="*/ 1009098 h 1616506"/>
                                        <a:gd name="connsiteX9" fmla="*/ 2059489 w 2156513"/>
                                        <a:gd name="connsiteY9" fmla="*/ 644757 h 1616506"/>
                                        <a:gd name="connsiteX10" fmla="*/ 2156512 w 2156513"/>
                                        <a:gd name="connsiteY10" fmla="*/ 892191 h 1616506"/>
                                        <a:gd name="connsiteX11" fmla="*/ 1925802 w 2156513"/>
                                        <a:gd name="connsiteY11" fmla="*/ 1042263 h 1616506"/>
                                        <a:gd name="connsiteX12" fmla="*/ 1933810 w 2156513"/>
                                        <a:gd name="connsiteY12" fmla="*/ 1038502 h 1616506"/>
                                        <a:gd name="connsiteX13" fmla="*/ 1896006 w 2156513"/>
                                        <a:gd name="connsiteY13" fmla="*/ 1042056 h 1616506"/>
                                        <a:gd name="connsiteX14" fmla="*/ 2094911 w 2156513"/>
                                        <a:gd name="connsiteY14" fmla="*/ 1232211 h 1616506"/>
                                        <a:gd name="connsiteX15" fmla="*/ 1611249 w 2156513"/>
                                        <a:gd name="connsiteY15" fmla="*/ 1536039 h 1616506"/>
                                        <a:gd name="connsiteX16" fmla="*/ 1296695 w 2156513"/>
                                        <a:gd name="connsiteY16" fmla="*/ 1433626 h 1616506"/>
                                        <a:gd name="connsiteX17" fmla="*/ 967705 w 2156513"/>
                                        <a:gd name="connsiteY17" fmla="*/ 1550463 h 1616506"/>
                                        <a:gd name="connsiteX18" fmla="*/ 799262 w 2156513"/>
                                        <a:gd name="connsiteY18" fmla="*/ 1506778 h 1616506"/>
                                        <a:gd name="connsiteX19" fmla="*/ 759028 w 2156513"/>
                                        <a:gd name="connsiteY19" fmla="*/ 1616506 h 1616506"/>
                                        <a:gd name="connsiteX20" fmla="*/ 173812 w 2156513"/>
                                        <a:gd name="connsiteY20" fmla="*/ 1415338 h 1616506"/>
                                        <a:gd name="connsiteX21" fmla="*/ 0 w 2156513"/>
                                        <a:gd name="connsiteY21" fmla="*/ 886780 h 1616506"/>
                                        <a:gd name="connsiteX22" fmla="*/ 261594 w 2156513"/>
                                        <a:gd name="connsiteY22" fmla="*/ 263194 h 1616506"/>
                                        <a:gd name="connsiteX23" fmla="*/ 616382 w 2156513"/>
                                        <a:gd name="connsiteY23" fmla="*/ 18135 h 1616506"/>
                                        <a:gd name="connsiteX0" fmla="*/ 616382 w 2156511"/>
                                        <a:gd name="connsiteY0" fmla="*/ 18135 h 1616506"/>
                                        <a:gd name="connsiteX1" fmla="*/ 766329 w 2156511"/>
                                        <a:gd name="connsiteY1" fmla="*/ 120359 h 1616506"/>
                                        <a:gd name="connsiteX2" fmla="*/ 872873 w 2156511"/>
                                        <a:gd name="connsiteY2" fmla="*/ 16230 h 1616506"/>
                                        <a:gd name="connsiteX3" fmla="*/ 1224658 w 2156511"/>
                                        <a:gd name="connsiteY3" fmla="*/ 0 h 1616506"/>
                                        <a:gd name="connsiteX4" fmla="*/ 1266952 w 2156511"/>
                                        <a:gd name="connsiteY4" fmla="*/ 470986 h 1616506"/>
                                        <a:gd name="connsiteX5" fmla="*/ 1296753 w 2156511"/>
                                        <a:gd name="connsiteY5" fmla="*/ 470986 h 1616506"/>
                                        <a:gd name="connsiteX6" fmla="*/ 1442039 w 2156511"/>
                                        <a:gd name="connsiteY6" fmla="*/ 719379 h 1616506"/>
                                        <a:gd name="connsiteX7" fmla="*/ 1486177 w 2156511"/>
                                        <a:gd name="connsiteY7" fmla="*/ 871539 h 1616506"/>
                                        <a:gd name="connsiteX8" fmla="*/ 1620775 w 2156511"/>
                                        <a:gd name="connsiteY8" fmla="*/ 1009098 h 1616506"/>
                                        <a:gd name="connsiteX9" fmla="*/ 2059489 w 2156511"/>
                                        <a:gd name="connsiteY9" fmla="*/ 644757 h 1616506"/>
                                        <a:gd name="connsiteX10" fmla="*/ 1531467 w 2156511"/>
                                        <a:gd name="connsiteY10" fmla="*/ 1052752 h 1616506"/>
                                        <a:gd name="connsiteX11" fmla="*/ 2156512 w 2156511"/>
                                        <a:gd name="connsiteY11" fmla="*/ 892191 h 1616506"/>
                                        <a:gd name="connsiteX12" fmla="*/ 1925802 w 2156511"/>
                                        <a:gd name="connsiteY12" fmla="*/ 1042263 h 1616506"/>
                                        <a:gd name="connsiteX13" fmla="*/ 1933810 w 2156511"/>
                                        <a:gd name="connsiteY13" fmla="*/ 1038502 h 1616506"/>
                                        <a:gd name="connsiteX14" fmla="*/ 1896006 w 2156511"/>
                                        <a:gd name="connsiteY14" fmla="*/ 1042056 h 1616506"/>
                                        <a:gd name="connsiteX15" fmla="*/ 2094911 w 2156511"/>
                                        <a:gd name="connsiteY15" fmla="*/ 1232211 h 1616506"/>
                                        <a:gd name="connsiteX16" fmla="*/ 1611249 w 2156511"/>
                                        <a:gd name="connsiteY16" fmla="*/ 1536039 h 1616506"/>
                                        <a:gd name="connsiteX17" fmla="*/ 1296695 w 2156511"/>
                                        <a:gd name="connsiteY17" fmla="*/ 1433626 h 1616506"/>
                                        <a:gd name="connsiteX18" fmla="*/ 967705 w 2156511"/>
                                        <a:gd name="connsiteY18" fmla="*/ 1550463 h 1616506"/>
                                        <a:gd name="connsiteX19" fmla="*/ 799262 w 2156511"/>
                                        <a:gd name="connsiteY19" fmla="*/ 1506778 h 1616506"/>
                                        <a:gd name="connsiteX20" fmla="*/ 759028 w 2156511"/>
                                        <a:gd name="connsiteY20" fmla="*/ 1616506 h 1616506"/>
                                        <a:gd name="connsiteX21" fmla="*/ 173812 w 2156511"/>
                                        <a:gd name="connsiteY21" fmla="*/ 1415338 h 1616506"/>
                                        <a:gd name="connsiteX22" fmla="*/ 0 w 2156511"/>
                                        <a:gd name="connsiteY22" fmla="*/ 886780 h 1616506"/>
                                        <a:gd name="connsiteX23" fmla="*/ 261594 w 2156511"/>
                                        <a:gd name="connsiteY23" fmla="*/ 263194 h 1616506"/>
                                        <a:gd name="connsiteX24" fmla="*/ 616382 w 2156511"/>
                                        <a:gd name="connsiteY24" fmla="*/ 18135 h 1616506"/>
                                        <a:gd name="connsiteX0" fmla="*/ 616382 w 2156513"/>
                                        <a:gd name="connsiteY0" fmla="*/ 18135 h 1616506"/>
                                        <a:gd name="connsiteX1" fmla="*/ 766329 w 2156513"/>
                                        <a:gd name="connsiteY1" fmla="*/ 120359 h 1616506"/>
                                        <a:gd name="connsiteX2" fmla="*/ 872873 w 2156513"/>
                                        <a:gd name="connsiteY2" fmla="*/ 16230 h 1616506"/>
                                        <a:gd name="connsiteX3" fmla="*/ 1224658 w 2156513"/>
                                        <a:gd name="connsiteY3" fmla="*/ 0 h 1616506"/>
                                        <a:gd name="connsiteX4" fmla="*/ 1266952 w 2156513"/>
                                        <a:gd name="connsiteY4" fmla="*/ 470986 h 1616506"/>
                                        <a:gd name="connsiteX5" fmla="*/ 1296753 w 2156513"/>
                                        <a:gd name="connsiteY5" fmla="*/ 470986 h 1616506"/>
                                        <a:gd name="connsiteX6" fmla="*/ 1442039 w 2156513"/>
                                        <a:gd name="connsiteY6" fmla="*/ 719379 h 1616506"/>
                                        <a:gd name="connsiteX7" fmla="*/ 1486177 w 2156513"/>
                                        <a:gd name="connsiteY7" fmla="*/ 871539 h 1616506"/>
                                        <a:gd name="connsiteX8" fmla="*/ 1620775 w 2156513"/>
                                        <a:gd name="connsiteY8" fmla="*/ 1009098 h 1616506"/>
                                        <a:gd name="connsiteX9" fmla="*/ 1531467 w 2156513"/>
                                        <a:gd name="connsiteY9" fmla="*/ 1052752 h 1616506"/>
                                        <a:gd name="connsiteX10" fmla="*/ 2156512 w 2156513"/>
                                        <a:gd name="connsiteY10" fmla="*/ 892191 h 1616506"/>
                                        <a:gd name="connsiteX11" fmla="*/ 1925802 w 2156513"/>
                                        <a:gd name="connsiteY11" fmla="*/ 1042263 h 1616506"/>
                                        <a:gd name="connsiteX12" fmla="*/ 1933810 w 2156513"/>
                                        <a:gd name="connsiteY12" fmla="*/ 1038502 h 1616506"/>
                                        <a:gd name="connsiteX13" fmla="*/ 1896006 w 2156513"/>
                                        <a:gd name="connsiteY13" fmla="*/ 1042056 h 1616506"/>
                                        <a:gd name="connsiteX14" fmla="*/ 2094911 w 2156513"/>
                                        <a:gd name="connsiteY14" fmla="*/ 1232211 h 1616506"/>
                                        <a:gd name="connsiteX15" fmla="*/ 1611249 w 2156513"/>
                                        <a:gd name="connsiteY15" fmla="*/ 1536039 h 1616506"/>
                                        <a:gd name="connsiteX16" fmla="*/ 1296695 w 2156513"/>
                                        <a:gd name="connsiteY16" fmla="*/ 1433626 h 1616506"/>
                                        <a:gd name="connsiteX17" fmla="*/ 967705 w 2156513"/>
                                        <a:gd name="connsiteY17" fmla="*/ 1550463 h 1616506"/>
                                        <a:gd name="connsiteX18" fmla="*/ 799262 w 2156513"/>
                                        <a:gd name="connsiteY18" fmla="*/ 1506778 h 1616506"/>
                                        <a:gd name="connsiteX19" fmla="*/ 759028 w 2156513"/>
                                        <a:gd name="connsiteY19" fmla="*/ 1616506 h 1616506"/>
                                        <a:gd name="connsiteX20" fmla="*/ 173812 w 2156513"/>
                                        <a:gd name="connsiteY20" fmla="*/ 1415338 h 1616506"/>
                                        <a:gd name="connsiteX21" fmla="*/ 0 w 2156513"/>
                                        <a:gd name="connsiteY21" fmla="*/ 886780 h 1616506"/>
                                        <a:gd name="connsiteX22" fmla="*/ 261594 w 2156513"/>
                                        <a:gd name="connsiteY22" fmla="*/ 263194 h 1616506"/>
                                        <a:gd name="connsiteX23" fmla="*/ 616382 w 2156513"/>
                                        <a:gd name="connsiteY23" fmla="*/ 18135 h 1616506"/>
                                        <a:gd name="connsiteX0" fmla="*/ 616382 w 2094911"/>
                                        <a:gd name="connsiteY0" fmla="*/ 18135 h 1616506"/>
                                        <a:gd name="connsiteX1" fmla="*/ 766329 w 2094911"/>
                                        <a:gd name="connsiteY1" fmla="*/ 120359 h 1616506"/>
                                        <a:gd name="connsiteX2" fmla="*/ 872873 w 2094911"/>
                                        <a:gd name="connsiteY2" fmla="*/ 16230 h 1616506"/>
                                        <a:gd name="connsiteX3" fmla="*/ 1224658 w 2094911"/>
                                        <a:gd name="connsiteY3" fmla="*/ 0 h 1616506"/>
                                        <a:gd name="connsiteX4" fmla="*/ 1266952 w 2094911"/>
                                        <a:gd name="connsiteY4" fmla="*/ 470986 h 1616506"/>
                                        <a:gd name="connsiteX5" fmla="*/ 1296753 w 2094911"/>
                                        <a:gd name="connsiteY5" fmla="*/ 470986 h 1616506"/>
                                        <a:gd name="connsiteX6" fmla="*/ 1442039 w 2094911"/>
                                        <a:gd name="connsiteY6" fmla="*/ 719379 h 1616506"/>
                                        <a:gd name="connsiteX7" fmla="*/ 1486177 w 2094911"/>
                                        <a:gd name="connsiteY7" fmla="*/ 871539 h 1616506"/>
                                        <a:gd name="connsiteX8" fmla="*/ 1620775 w 2094911"/>
                                        <a:gd name="connsiteY8" fmla="*/ 1009098 h 1616506"/>
                                        <a:gd name="connsiteX9" fmla="*/ 1531467 w 2094911"/>
                                        <a:gd name="connsiteY9" fmla="*/ 1052752 h 1616506"/>
                                        <a:gd name="connsiteX10" fmla="*/ 1438663 w 2094911"/>
                                        <a:gd name="connsiteY10" fmla="*/ 1304125 h 1616506"/>
                                        <a:gd name="connsiteX11" fmla="*/ 1925802 w 2094911"/>
                                        <a:gd name="connsiteY11" fmla="*/ 1042263 h 1616506"/>
                                        <a:gd name="connsiteX12" fmla="*/ 1933810 w 2094911"/>
                                        <a:gd name="connsiteY12" fmla="*/ 1038502 h 1616506"/>
                                        <a:gd name="connsiteX13" fmla="*/ 1896006 w 2094911"/>
                                        <a:gd name="connsiteY13" fmla="*/ 1042056 h 1616506"/>
                                        <a:gd name="connsiteX14" fmla="*/ 2094911 w 2094911"/>
                                        <a:gd name="connsiteY14" fmla="*/ 1232211 h 1616506"/>
                                        <a:gd name="connsiteX15" fmla="*/ 1611249 w 2094911"/>
                                        <a:gd name="connsiteY15" fmla="*/ 1536039 h 1616506"/>
                                        <a:gd name="connsiteX16" fmla="*/ 1296695 w 2094911"/>
                                        <a:gd name="connsiteY16" fmla="*/ 1433626 h 1616506"/>
                                        <a:gd name="connsiteX17" fmla="*/ 967705 w 2094911"/>
                                        <a:gd name="connsiteY17" fmla="*/ 1550463 h 1616506"/>
                                        <a:gd name="connsiteX18" fmla="*/ 799262 w 2094911"/>
                                        <a:gd name="connsiteY18" fmla="*/ 1506778 h 1616506"/>
                                        <a:gd name="connsiteX19" fmla="*/ 759028 w 2094911"/>
                                        <a:gd name="connsiteY19" fmla="*/ 1616506 h 1616506"/>
                                        <a:gd name="connsiteX20" fmla="*/ 173812 w 2094911"/>
                                        <a:gd name="connsiteY20" fmla="*/ 1415338 h 1616506"/>
                                        <a:gd name="connsiteX21" fmla="*/ 0 w 2094911"/>
                                        <a:gd name="connsiteY21" fmla="*/ 886780 h 1616506"/>
                                        <a:gd name="connsiteX22" fmla="*/ 261594 w 2094911"/>
                                        <a:gd name="connsiteY22" fmla="*/ 263194 h 1616506"/>
                                        <a:gd name="connsiteX23" fmla="*/ 616382 w 2094911"/>
                                        <a:gd name="connsiteY23" fmla="*/ 18135 h 1616506"/>
                                        <a:gd name="connsiteX0" fmla="*/ 616382 w 2104579"/>
                                        <a:gd name="connsiteY0" fmla="*/ 18135 h 1616506"/>
                                        <a:gd name="connsiteX1" fmla="*/ 766329 w 2104579"/>
                                        <a:gd name="connsiteY1" fmla="*/ 120359 h 1616506"/>
                                        <a:gd name="connsiteX2" fmla="*/ 872873 w 2104579"/>
                                        <a:gd name="connsiteY2" fmla="*/ 16230 h 1616506"/>
                                        <a:gd name="connsiteX3" fmla="*/ 1224658 w 2104579"/>
                                        <a:gd name="connsiteY3" fmla="*/ 0 h 1616506"/>
                                        <a:gd name="connsiteX4" fmla="*/ 1266952 w 2104579"/>
                                        <a:gd name="connsiteY4" fmla="*/ 470986 h 1616506"/>
                                        <a:gd name="connsiteX5" fmla="*/ 1296753 w 2104579"/>
                                        <a:gd name="connsiteY5" fmla="*/ 470986 h 1616506"/>
                                        <a:gd name="connsiteX6" fmla="*/ 1442039 w 2104579"/>
                                        <a:gd name="connsiteY6" fmla="*/ 719379 h 1616506"/>
                                        <a:gd name="connsiteX7" fmla="*/ 1486177 w 2104579"/>
                                        <a:gd name="connsiteY7" fmla="*/ 871539 h 1616506"/>
                                        <a:gd name="connsiteX8" fmla="*/ 1620775 w 2104579"/>
                                        <a:gd name="connsiteY8" fmla="*/ 1009098 h 1616506"/>
                                        <a:gd name="connsiteX9" fmla="*/ 1531467 w 2104579"/>
                                        <a:gd name="connsiteY9" fmla="*/ 1052752 h 1616506"/>
                                        <a:gd name="connsiteX10" fmla="*/ 1438663 w 2104579"/>
                                        <a:gd name="connsiteY10" fmla="*/ 1304125 h 1616506"/>
                                        <a:gd name="connsiteX11" fmla="*/ 1925802 w 2104579"/>
                                        <a:gd name="connsiteY11" fmla="*/ 1042263 h 1616506"/>
                                        <a:gd name="connsiteX12" fmla="*/ 1933810 w 2104579"/>
                                        <a:gd name="connsiteY12" fmla="*/ 1038502 h 1616506"/>
                                        <a:gd name="connsiteX13" fmla="*/ 2094911 w 2104579"/>
                                        <a:gd name="connsiteY13" fmla="*/ 1232211 h 1616506"/>
                                        <a:gd name="connsiteX14" fmla="*/ 1611249 w 2104579"/>
                                        <a:gd name="connsiteY14" fmla="*/ 1536039 h 1616506"/>
                                        <a:gd name="connsiteX15" fmla="*/ 1296695 w 2104579"/>
                                        <a:gd name="connsiteY15" fmla="*/ 1433626 h 1616506"/>
                                        <a:gd name="connsiteX16" fmla="*/ 967705 w 2104579"/>
                                        <a:gd name="connsiteY16" fmla="*/ 1550463 h 1616506"/>
                                        <a:gd name="connsiteX17" fmla="*/ 799262 w 2104579"/>
                                        <a:gd name="connsiteY17" fmla="*/ 1506778 h 1616506"/>
                                        <a:gd name="connsiteX18" fmla="*/ 759028 w 2104579"/>
                                        <a:gd name="connsiteY18" fmla="*/ 1616506 h 1616506"/>
                                        <a:gd name="connsiteX19" fmla="*/ 173812 w 2104579"/>
                                        <a:gd name="connsiteY19" fmla="*/ 1415338 h 1616506"/>
                                        <a:gd name="connsiteX20" fmla="*/ 0 w 2104579"/>
                                        <a:gd name="connsiteY20" fmla="*/ 886780 h 1616506"/>
                                        <a:gd name="connsiteX21" fmla="*/ 261594 w 2104579"/>
                                        <a:gd name="connsiteY21" fmla="*/ 263194 h 1616506"/>
                                        <a:gd name="connsiteX22" fmla="*/ 616382 w 2104579"/>
                                        <a:gd name="connsiteY22" fmla="*/ 18135 h 1616506"/>
                                        <a:gd name="connsiteX0" fmla="*/ 616382 w 1949666"/>
                                        <a:gd name="connsiteY0" fmla="*/ 18135 h 1616506"/>
                                        <a:gd name="connsiteX1" fmla="*/ 766329 w 1949666"/>
                                        <a:gd name="connsiteY1" fmla="*/ 120359 h 1616506"/>
                                        <a:gd name="connsiteX2" fmla="*/ 872873 w 1949666"/>
                                        <a:gd name="connsiteY2" fmla="*/ 16230 h 1616506"/>
                                        <a:gd name="connsiteX3" fmla="*/ 1224658 w 1949666"/>
                                        <a:gd name="connsiteY3" fmla="*/ 0 h 1616506"/>
                                        <a:gd name="connsiteX4" fmla="*/ 1266952 w 1949666"/>
                                        <a:gd name="connsiteY4" fmla="*/ 470986 h 1616506"/>
                                        <a:gd name="connsiteX5" fmla="*/ 1296753 w 1949666"/>
                                        <a:gd name="connsiteY5" fmla="*/ 470986 h 1616506"/>
                                        <a:gd name="connsiteX6" fmla="*/ 1442039 w 1949666"/>
                                        <a:gd name="connsiteY6" fmla="*/ 719379 h 1616506"/>
                                        <a:gd name="connsiteX7" fmla="*/ 1486177 w 1949666"/>
                                        <a:gd name="connsiteY7" fmla="*/ 871539 h 1616506"/>
                                        <a:gd name="connsiteX8" fmla="*/ 1620775 w 1949666"/>
                                        <a:gd name="connsiteY8" fmla="*/ 1009098 h 1616506"/>
                                        <a:gd name="connsiteX9" fmla="*/ 1531467 w 1949666"/>
                                        <a:gd name="connsiteY9" fmla="*/ 1052752 h 1616506"/>
                                        <a:gd name="connsiteX10" fmla="*/ 1438663 w 1949666"/>
                                        <a:gd name="connsiteY10" fmla="*/ 1304125 h 1616506"/>
                                        <a:gd name="connsiteX11" fmla="*/ 1925802 w 1949666"/>
                                        <a:gd name="connsiteY11" fmla="*/ 1042263 h 1616506"/>
                                        <a:gd name="connsiteX12" fmla="*/ 1933810 w 1949666"/>
                                        <a:gd name="connsiteY12" fmla="*/ 1038502 h 1616506"/>
                                        <a:gd name="connsiteX13" fmla="*/ 1611249 w 1949666"/>
                                        <a:gd name="connsiteY13" fmla="*/ 1536039 h 1616506"/>
                                        <a:gd name="connsiteX14" fmla="*/ 1296695 w 1949666"/>
                                        <a:gd name="connsiteY14" fmla="*/ 1433626 h 1616506"/>
                                        <a:gd name="connsiteX15" fmla="*/ 967705 w 1949666"/>
                                        <a:gd name="connsiteY15" fmla="*/ 1550463 h 1616506"/>
                                        <a:gd name="connsiteX16" fmla="*/ 799262 w 1949666"/>
                                        <a:gd name="connsiteY16" fmla="*/ 1506778 h 1616506"/>
                                        <a:gd name="connsiteX17" fmla="*/ 759028 w 1949666"/>
                                        <a:gd name="connsiteY17" fmla="*/ 1616506 h 1616506"/>
                                        <a:gd name="connsiteX18" fmla="*/ 173812 w 1949666"/>
                                        <a:gd name="connsiteY18" fmla="*/ 1415338 h 1616506"/>
                                        <a:gd name="connsiteX19" fmla="*/ 0 w 1949666"/>
                                        <a:gd name="connsiteY19" fmla="*/ 886780 h 1616506"/>
                                        <a:gd name="connsiteX20" fmla="*/ 261594 w 1949666"/>
                                        <a:gd name="connsiteY20" fmla="*/ 263194 h 1616506"/>
                                        <a:gd name="connsiteX21" fmla="*/ 616382 w 1949666"/>
                                        <a:gd name="connsiteY21" fmla="*/ 18135 h 1616506"/>
                                        <a:gd name="connsiteX0" fmla="*/ 616382 w 1971708"/>
                                        <a:gd name="connsiteY0" fmla="*/ 18135 h 1616506"/>
                                        <a:gd name="connsiteX1" fmla="*/ 766329 w 1971708"/>
                                        <a:gd name="connsiteY1" fmla="*/ 120359 h 1616506"/>
                                        <a:gd name="connsiteX2" fmla="*/ 872873 w 1971708"/>
                                        <a:gd name="connsiteY2" fmla="*/ 16230 h 1616506"/>
                                        <a:gd name="connsiteX3" fmla="*/ 1224658 w 1971708"/>
                                        <a:gd name="connsiteY3" fmla="*/ 0 h 1616506"/>
                                        <a:gd name="connsiteX4" fmla="*/ 1266952 w 1971708"/>
                                        <a:gd name="connsiteY4" fmla="*/ 470986 h 1616506"/>
                                        <a:gd name="connsiteX5" fmla="*/ 1296753 w 1971708"/>
                                        <a:gd name="connsiteY5" fmla="*/ 470986 h 1616506"/>
                                        <a:gd name="connsiteX6" fmla="*/ 1442039 w 1971708"/>
                                        <a:gd name="connsiteY6" fmla="*/ 719379 h 1616506"/>
                                        <a:gd name="connsiteX7" fmla="*/ 1486177 w 1971708"/>
                                        <a:gd name="connsiteY7" fmla="*/ 871539 h 1616506"/>
                                        <a:gd name="connsiteX8" fmla="*/ 1620775 w 1971708"/>
                                        <a:gd name="connsiteY8" fmla="*/ 1009098 h 1616506"/>
                                        <a:gd name="connsiteX9" fmla="*/ 1531467 w 1971708"/>
                                        <a:gd name="connsiteY9" fmla="*/ 1052752 h 1616506"/>
                                        <a:gd name="connsiteX10" fmla="*/ 1438663 w 1971708"/>
                                        <a:gd name="connsiteY10" fmla="*/ 1304125 h 1616506"/>
                                        <a:gd name="connsiteX11" fmla="*/ 1925802 w 1971708"/>
                                        <a:gd name="connsiteY11" fmla="*/ 1042263 h 1616506"/>
                                        <a:gd name="connsiteX12" fmla="*/ 1933810 w 1971708"/>
                                        <a:gd name="connsiteY12" fmla="*/ 1038502 h 1616506"/>
                                        <a:gd name="connsiteX13" fmla="*/ 1296695 w 1971708"/>
                                        <a:gd name="connsiteY13" fmla="*/ 1433626 h 1616506"/>
                                        <a:gd name="connsiteX14" fmla="*/ 967705 w 1971708"/>
                                        <a:gd name="connsiteY14" fmla="*/ 1550463 h 1616506"/>
                                        <a:gd name="connsiteX15" fmla="*/ 799262 w 1971708"/>
                                        <a:gd name="connsiteY15" fmla="*/ 1506778 h 1616506"/>
                                        <a:gd name="connsiteX16" fmla="*/ 759028 w 1971708"/>
                                        <a:gd name="connsiteY16" fmla="*/ 1616506 h 1616506"/>
                                        <a:gd name="connsiteX17" fmla="*/ 173812 w 1971708"/>
                                        <a:gd name="connsiteY17" fmla="*/ 1415338 h 1616506"/>
                                        <a:gd name="connsiteX18" fmla="*/ 0 w 1971708"/>
                                        <a:gd name="connsiteY18" fmla="*/ 886780 h 1616506"/>
                                        <a:gd name="connsiteX19" fmla="*/ 261594 w 1971708"/>
                                        <a:gd name="connsiteY19" fmla="*/ 263194 h 1616506"/>
                                        <a:gd name="connsiteX20" fmla="*/ 616382 w 1971708"/>
                                        <a:gd name="connsiteY20" fmla="*/ 18135 h 1616506"/>
                                        <a:gd name="connsiteX0" fmla="*/ 616382 w 1925802"/>
                                        <a:gd name="connsiteY0" fmla="*/ 18135 h 1616506"/>
                                        <a:gd name="connsiteX1" fmla="*/ 766329 w 1925802"/>
                                        <a:gd name="connsiteY1" fmla="*/ 120359 h 1616506"/>
                                        <a:gd name="connsiteX2" fmla="*/ 872873 w 1925802"/>
                                        <a:gd name="connsiteY2" fmla="*/ 16230 h 1616506"/>
                                        <a:gd name="connsiteX3" fmla="*/ 1224658 w 1925802"/>
                                        <a:gd name="connsiteY3" fmla="*/ 0 h 1616506"/>
                                        <a:gd name="connsiteX4" fmla="*/ 1266952 w 1925802"/>
                                        <a:gd name="connsiteY4" fmla="*/ 470986 h 1616506"/>
                                        <a:gd name="connsiteX5" fmla="*/ 1296753 w 1925802"/>
                                        <a:gd name="connsiteY5" fmla="*/ 470986 h 1616506"/>
                                        <a:gd name="connsiteX6" fmla="*/ 1442039 w 1925802"/>
                                        <a:gd name="connsiteY6" fmla="*/ 719379 h 1616506"/>
                                        <a:gd name="connsiteX7" fmla="*/ 1486177 w 1925802"/>
                                        <a:gd name="connsiteY7" fmla="*/ 871539 h 1616506"/>
                                        <a:gd name="connsiteX8" fmla="*/ 1620775 w 1925802"/>
                                        <a:gd name="connsiteY8" fmla="*/ 1009098 h 1616506"/>
                                        <a:gd name="connsiteX9" fmla="*/ 1531467 w 1925802"/>
                                        <a:gd name="connsiteY9" fmla="*/ 1052752 h 1616506"/>
                                        <a:gd name="connsiteX10" fmla="*/ 1438663 w 1925802"/>
                                        <a:gd name="connsiteY10" fmla="*/ 1304125 h 1616506"/>
                                        <a:gd name="connsiteX11" fmla="*/ 1925802 w 1925802"/>
                                        <a:gd name="connsiteY11" fmla="*/ 1042263 h 1616506"/>
                                        <a:gd name="connsiteX12" fmla="*/ 1296695 w 1925802"/>
                                        <a:gd name="connsiteY12" fmla="*/ 1433626 h 1616506"/>
                                        <a:gd name="connsiteX13" fmla="*/ 967705 w 1925802"/>
                                        <a:gd name="connsiteY13" fmla="*/ 1550463 h 1616506"/>
                                        <a:gd name="connsiteX14" fmla="*/ 799262 w 1925802"/>
                                        <a:gd name="connsiteY14" fmla="*/ 1506778 h 1616506"/>
                                        <a:gd name="connsiteX15" fmla="*/ 759028 w 1925802"/>
                                        <a:gd name="connsiteY15" fmla="*/ 1616506 h 1616506"/>
                                        <a:gd name="connsiteX16" fmla="*/ 173812 w 1925802"/>
                                        <a:gd name="connsiteY16" fmla="*/ 1415338 h 1616506"/>
                                        <a:gd name="connsiteX17" fmla="*/ 0 w 1925802"/>
                                        <a:gd name="connsiteY17" fmla="*/ 886780 h 1616506"/>
                                        <a:gd name="connsiteX18" fmla="*/ 261594 w 1925802"/>
                                        <a:gd name="connsiteY18" fmla="*/ 263194 h 1616506"/>
                                        <a:gd name="connsiteX19" fmla="*/ 616382 w 1925802"/>
                                        <a:gd name="connsiteY19" fmla="*/ 18135 h 1616506"/>
                                        <a:gd name="connsiteX0" fmla="*/ 616382 w 1620776"/>
                                        <a:gd name="connsiteY0" fmla="*/ 18135 h 1616506"/>
                                        <a:gd name="connsiteX1" fmla="*/ 766329 w 1620776"/>
                                        <a:gd name="connsiteY1" fmla="*/ 120359 h 1616506"/>
                                        <a:gd name="connsiteX2" fmla="*/ 872873 w 1620776"/>
                                        <a:gd name="connsiteY2" fmla="*/ 16230 h 1616506"/>
                                        <a:gd name="connsiteX3" fmla="*/ 1224658 w 1620776"/>
                                        <a:gd name="connsiteY3" fmla="*/ 0 h 1616506"/>
                                        <a:gd name="connsiteX4" fmla="*/ 1266952 w 1620776"/>
                                        <a:gd name="connsiteY4" fmla="*/ 470986 h 1616506"/>
                                        <a:gd name="connsiteX5" fmla="*/ 1296753 w 1620776"/>
                                        <a:gd name="connsiteY5" fmla="*/ 470986 h 1616506"/>
                                        <a:gd name="connsiteX6" fmla="*/ 1442039 w 1620776"/>
                                        <a:gd name="connsiteY6" fmla="*/ 719379 h 1616506"/>
                                        <a:gd name="connsiteX7" fmla="*/ 1486177 w 1620776"/>
                                        <a:gd name="connsiteY7" fmla="*/ 871539 h 1616506"/>
                                        <a:gd name="connsiteX8" fmla="*/ 1620775 w 1620776"/>
                                        <a:gd name="connsiteY8" fmla="*/ 1009098 h 1616506"/>
                                        <a:gd name="connsiteX9" fmla="*/ 1531467 w 1620776"/>
                                        <a:gd name="connsiteY9" fmla="*/ 1052752 h 1616506"/>
                                        <a:gd name="connsiteX10" fmla="*/ 1438663 w 1620776"/>
                                        <a:gd name="connsiteY10" fmla="*/ 1304125 h 1616506"/>
                                        <a:gd name="connsiteX11" fmla="*/ 1296695 w 1620776"/>
                                        <a:gd name="connsiteY11" fmla="*/ 1433626 h 1616506"/>
                                        <a:gd name="connsiteX12" fmla="*/ 967705 w 1620776"/>
                                        <a:gd name="connsiteY12" fmla="*/ 1550463 h 1616506"/>
                                        <a:gd name="connsiteX13" fmla="*/ 799262 w 1620776"/>
                                        <a:gd name="connsiteY13" fmla="*/ 1506778 h 1616506"/>
                                        <a:gd name="connsiteX14" fmla="*/ 759028 w 1620776"/>
                                        <a:gd name="connsiteY14" fmla="*/ 1616506 h 1616506"/>
                                        <a:gd name="connsiteX15" fmla="*/ 173812 w 1620776"/>
                                        <a:gd name="connsiteY15" fmla="*/ 1415338 h 1616506"/>
                                        <a:gd name="connsiteX16" fmla="*/ 0 w 1620776"/>
                                        <a:gd name="connsiteY16" fmla="*/ 886780 h 1616506"/>
                                        <a:gd name="connsiteX17" fmla="*/ 261594 w 1620776"/>
                                        <a:gd name="connsiteY17" fmla="*/ 263194 h 1616506"/>
                                        <a:gd name="connsiteX18" fmla="*/ 616382 w 1620776"/>
                                        <a:gd name="connsiteY18" fmla="*/ 18135 h 1616506"/>
                                        <a:gd name="connsiteX0" fmla="*/ 616382 w 1620774"/>
                                        <a:gd name="connsiteY0" fmla="*/ 18135 h 1616506"/>
                                        <a:gd name="connsiteX1" fmla="*/ 766329 w 1620774"/>
                                        <a:gd name="connsiteY1" fmla="*/ 120359 h 1616506"/>
                                        <a:gd name="connsiteX2" fmla="*/ 872873 w 1620774"/>
                                        <a:gd name="connsiteY2" fmla="*/ 16230 h 1616506"/>
                                        <a:gd name="connsiteX3" fmla="*/ 1224658 w 1620774"/>
                                        <a:gd name="connsiteY3" fmla="*/ 0 h 1616506"/>
                                        <a:gd name="connsiteX4" fmla="*/ 1266952 w 1620774"/>
                                        <a:gd name="connsiteY4" fmla="*/ 470986 h 1616506"/>
                                        <a:gd name="connsiteX5" fmla="*/ 1296753 w 1620774"/>
                                        <a:gd name="connsiteY5" fmla="*/ 470986 h 1616506"/>
                                        <a:gd name="connsiteX6" fmla="*/ 1442039 w 1620774"/>
                                        <a:gd name="connsiteY6" fmla="*/ 719379 h 1616506"/>
                                        <a:gd name="connsiteX7" fmla="*/ 1486177 w 1620774"/>
                                        <a:gd name="connsiteY7" fmla="*/ 871539 h 1616506"/>
                                        <a:gd name="connsiteX8" fmla="*/ 1620775 w 1620774"/>
                                        <a:gd name="connsiteY8" fmla="*/ 1009098 h 1616506"/>
                                        <a:gd name="connsiteX9" fmla="*/ 1531467 w 1620774"/>
                                        <a:gd name="connsiteY9" fmla="*/ 1052752 h 1616506"/>
                                        <a:gd name="connsiteX10" fmla="*/ 1438663 w 1620774"/>
                                        <a:gd name="connsiteY10" fmla="*/ 1304125 h 1616506"/>
                                        <a:gd name="connsiteX11" fmla="*/ 967705 w 1620774"/>
                                        <a:gd name="connsiteY11" fmla="*/ 1550463 h 1616506"/>
                                        <a:gd name="connsiteX12" fmla="*/ 799262 w 1620774"/>
                                        <a:gd name="connsiteY12" fmla="*/ 1506778 h 1616506"/>
                                        <a:gd name="connsiteX13" fmla="*/ 759028 w 1620774"/>
                                        <a:gd name="connsiteY13" fmla="*/ 1616506 h 1616506"/>
                                        <a:gd name="connsiteX14" fmla="*/ 173812 w 1620774"/>
                                        <a:gd name="connsiteY14" fmla="*/ 1415338 h 1616506"/>
                                        <a:gd name="connsiteX15" fmla="*/ 0 w 1620774"/>
                                        <a:gd name="connsiteY15" fmla="*/ 886780 h 1616506"/>
                                        <a:gd name="connsiteX16" fmla="*/ 261594 w 1620774"/>
                                        <a:gd name="connsiteY16" fmla="*/ 263194 h 1616506"/>
                                        <a:gd name="connsiteX17" fmla="*/ 616382 w 1620774"/>
                                        <a:gd name="connsiteY17" fmla="*/ 18135 h 1616506"/>
                                        <a:gd name="connsiteX0" fmla="*/ 616382 w 1620776"/>
                                        <a:gd name="connsiteY0" fmla="*/ 18135 h 1616506"/>
                                        <a:gd name="connsiteX1" fmla="*/ 766329 w 1620776"/>
                                        <a:gd name="connsiteY1" fmla="*/ 120359 h 1616506"/>
                                        <a:gd name="connsiteX2" fmla="*/ 872873 w 1620776"/>
                                        <a:gd name="connsiteY2" fmla="*/ 16230 h 1616506"/>
                                        <a:gd name="connsiteX3" fmla="*/ 1224658 w 1620776"/>
                                        <a:gd name="connsiteY3" fmla="*/ 0 h 1616506"/>
                                        <a:gd name="connsiteX4" fmla="*/ 1266952 w 1620776"/>
                                        <a:gd name="connsiteY4" fmla="*/ 470986 h 1616506"/>
                                        <a:gd name="connsiteX5" fmla="*/ 1296753 w 1620776"/>
                                        <a:gd name="connsiteY5" fmla="*/ 470986 h 1616506"/>
                                        <a:gd name="connsiteX6" fmla="*/ 1442039 w 1620776"/>
                                        <a:gd name="connsiteY6" fmla="*/ 719379 h 1616506"/>
                                        <a:gd name="connsiteX7" fmla="*/ 1486177 w 1620776"/>
                                        <a:gd name="connsiteY7" fmla="*/ 871539 h 1616506"/>
                                        <a:gd name="connsiteX8" fmla="*/ 1620775 w 1620776"/>
                                        <a:gd name="connsiteY8" fmla="*/ 1009098 h 1616506"/>
                                        <a:gd name="connsiteX9" fmla="*/ 1531467 w 1620776"/>
                                        <a:gd name="connsiteY9" fmla="*/ 1052752 h 1616506"/>
                                        <a:gd name="connsiteX10" fmla="*/ 1438663 w 1620776"/>
                                        <a:gd name="connsiteY10" fmla="*/ 1304125 h 1616506"/>
                                        <a:gd name="connsiteX11" fmla="*/ 799262 w 1620776"/>
                                        <a:gd name="connsiteY11" fmla="*/ 1506778 h 1616506"/>
                                        <a:gd name="connsiteX12" fmla="*/ 759028 w 1620776"/>
                                        <a:gd name="connsiteY12" fmla="*/ 1616506 h 1616506"/>
                                        <a:gd name="connsiteX13" fmla="*/ 173812 w 1620776"/>
                                        <a:gd name="connsiteY13" fmla="*/ 1415338 h 1616506"/>
                                        <a:gd name="connsiteX14" fmla="*/ 0 w 1620776"/>
                                        <a:gd name="connsiteY14" fmla="*/ 886780 h 1616506"/>
                                        <a:gd name="connsiteX15" fmla="*/ 261594 w 1620776"/>
                                        <a:gd name="connsiteY15" fmla="*/ 263194 h 1616506"/>
                                        <a:gd name="connsiteX16" fmla="*/ 616382 w 1620776"/>
                                        <a:gd name="connsiteY16" fmla="*/ 18135 h 1616506"/>
                                        <a:gd name="connsiteX0" fmla="*/ 616382 w 1620774"/>
                                        <a:gd name="connsiteY0" fmla="*/ 18135 h 1506779"/>
                                        <a:gd name="connsiteX1" fmla="*/ 766329 w 1620774"/>
                                        <a:gd name="connsiteY1" fmla="*/ 120359 h 1506779"/>
                                        <a:gd name="connsiteX2" fmla="*/ 872873 w 1620774"/>
                                        <a:gd name="connsiteY2" fmla="*/ 16230 h 1506779"/>
                                        <a:gd name="connsiteX3" fmla="*/ 1224658 w 1620774"/>
                                        <a:gd name="connsiteY3" fmla="*/ 0 h 1506779"/>
                                        <a:gd name="connsiteX4" fmla="*/ 1266952 w 1620774"/>
                                        <a:gd name="connsiteY4" fmla="*/ 470986 h 1506779"/>
                                        <a:gd name="connsiteX5" fmla="*/ 1296753 w 1620774"/>
                                        <a:gd name="connsiteY5" fmla="*/ 470986 h 1506779"/>
                                        <a:gd name="connsiteX6" fmla="*/ 1442039 w 1620774"/>
                                        <a:gd name="connsiteY6" fmla="*/ 719379 h 1506779"/>
                                        <a:gd name="connsiteX7" fmla="*/ 1486177 w 1620774"/>
                                        <a:gd name="connsiteY7" fmla="*/ 871539 h 1506779"/>
                                        <a:gd name="connsiteX8" fmla="*/ 1620775 w 1620774"/>
                                        <a:gd name="connsiteY8" fmla="*/ 1009098 h 1506779"/>
                                        <a:gd name="connsiteX9" fmla="*/ 1531467 w 1620774"/>
                                        <a:gd name="connsiteY9" fmla="*/ 1052752 h 1506779"/>
                                        <a:gd name="connsiteX10" fmla="*/ 1438663 w 1620774"/>
                                        <a:gd name="connsiteY10" fmla="*/ 1304125 h 1506779"/>
                                        <a:gd name="connsiteX11" fmla="*/ 799262 w 1620774"/>
                                        <a:gd name="connsiteY11" fmla="*/ 1506778 h 1506779"/>
                                        <a:gd name="connsiteX12" fmla="*/ 473720 w 1620774"/>
                                        <a:gd name="connsiteY12" fmla="*/ 1465094 h 1506779"/>
                                        <a:gd name="connsiteX13" fmla="*/ 173812 w 1620774"/>
                                        <a:gd name="connsiteY13" fmla="*/ 1415338 h 1506779"/>
                                        <a:gd name="connsiteX14" fmla="*/ 0 w 1620774"/>
                                        <a:gd name="connsiteY14" fmla="*/ 886780 h 1506779"/>
                                        <a:gd name="connsiteX15" fmla="*/ 261594 w 1620774"/>
                                        <a:gd name="connsiteY15" fmla="*/ 263194 h 1506779"/>
                                        <a:gd name="connsiteX16" fmla="*/ 616382 w 1620774"/>
                                        <a:gd name="connsiteY16" fmla="*/ 18135 h 1506779"/>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66952 w 1620776"/>
                                        <a:gd name="connsiteY4" fmla="*/ 470986 h 1532570"/>
                                        <a:gd name="connsiteX5" fmla="*/ 1296753 w 1620776"/>
                                        <a:gd name="connsiteY5" fmla="*/ 47098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73720 w 1620776"/>
                                        <a:gd name="connsiteY12" fmla="*/ 1465094 h 1532570"/>
                                        <a:gd name="connsiteX13" fmla="*/ 173812 w 1620776"/>
                                        <a:gd name="connsiteY13" fmla="*/ 1415338 h 1532570"/>
                                        <a:gd name="connsiteX14" fmla="*/ 0 w 1620776"/>
                                        <a:gd name="connsiteY14" fmla="*/ 886780 h 1532570"/>
                                        <a:gd name="connsiteX15" fmla="*/ 261594 w 1620776"/>
                                        <a:gd name="connsiteY15" fmla="*/ 263194 h 1532570"/>
                                        <a:gd name="connsiteX16" fmla="*/ 616382 w 1620776"/>
                                        <a:gd name="connsiteY16"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66952 w 1620774"/>
                                        <a:gd name="connsiteY4" fmla="*/ 470986 h 1532568"/>
                                        <a:gd name="connsiteX5" fmla="*/ 1296753 w 1620774"/>
                                        <a:gd name="connsiteY5" fmla="*/ 47098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73720 w 1620774"/>
                                        <a:gd name="connsiteY12" fmla="*/ 1465094 h 1532568"/>
                                        <a:gd name="connsiteX13" fmla="*/ 324846 w 1620774"/>
                                        <a:gd name="connsiteY13" fmla="*/ 1440376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66952 w 1620776"/>
                                        <a:gd name="connsiteY4" fmla="*/ 470986 h 1532570"/>
                                        <a:gd name="connsiteX5" fmla="*/ 1296753 w 1620776"/>
                                        <a:gd name="connsiteY5" fmla="*/ 47098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73720 w 1620776"/>
                                        <a:gd name="connsiteY12" fmla="*/ 1465094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66952 w 1620774"/>
                                        <a:gd name="connsiteY4" fmla="*/ 470986 h 1532568"/>
                                        <a:gd name="connsiteX5" fmla="*/ 1296753 w 1620774"/>
                                        <a:gd name="connsiteY5" fmla="*/ 47098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73720 w 1620774"/>
                                        <a:gd name="connsiteY12" fmla="*/ 1465094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66952 w 1620776"/>
                                        <a:gd name="connsiteY4" fmla="*/ 470986 h 1532570"/>
                                        <a:gd name="connsiteX5" fmla="*/ 1296753 w 1620776"/>
                                        <a:gd name="connsiteY5" fmla="*/ 47098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73720 w 1620776"/>
                                        <a:gd name="connsiteY12" fmla="*/ 1465094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66952 w 1620774"/>
                                        <a:gd name="connsiteY4" fmla="*/ 470986 h 1532568"/>
                                        <a:gd name="connsiteX5" fmla="*/ 1296753 w 1620774"/>
                                        <a:gd name="connsiteY5" fmla="*/ 47098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73720 w 1620774"/>
                                        <a:gd name="connsiteY12" fmla="*/ 1465094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66952 w 1620776"/>
                                        <a:gd name="connsiteY4" fmla="*/ 470986 h 1532570"/>
                                        <a:gd name="connsiteX5" fmla="*/ 1296753 w 1620776"/>
                                        <a:gd name="connsiteY5" fmla="*/ 47098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66952 w 1620774"/>
                                        <a:gd name="connsiteY4" fmla="*/ 470986 h 1532568"/>
                                        <a:gd name="connsiteX5" fmla="*/ 1417796 w 1620774"/>
                                        <a:gd name="connsiteY5" fmla="*/ 50502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92633 w 1620774"/>
                                        <a:gd name="connsiteY12" fmla="*/ 1457529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376647 w 1620776"/>
                                        <a:gd name="connsiteY4" fmla="*/ 406693 h 1532570"/>
                                        <a:gd name="connsiteX5" fmla="*/ 1417796 w 1620776"/>
                                        <a:gd name="connsiteY5" fmla="*/ 50502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70735 w 1620774"/>
                                        <a:gd name="connsiteY4" fmla="*/ 471096 h 1532568"/>
                                        <a:gd name="connsiteX5" fmla="*/ 1417796 w 1620774"/>
                                        <a:gd name="connsiteY5" fmla="*/ 50502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92633 w 1620774"/>
                                        <a:gd name="connsiteY12" fmla="*/ 1457529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74517 w 1620776"/>
                                        <a:gd name="connsiteY4" fmla="*/ 471096 h 1532570"/>
                                        <a:gd name="connsiteX5" fmla="*/ 1417796 w 1620776"/>
                                        <a:gd name="connsiteY5" fmla="*/ 50502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95485 w 1620774"/>
                                        <a:gd name="connsiteY4" fmla="*/ 471096 h 1532568"/>
                                        <a:gd name="connsiteX5" fmla="*/ 1417796 w 1620774"/>
                                        <a:gd name="connsiteY5" fmla="*/ 50502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92633 w 1620774"/>
                                        <a:gd name="connsiteY12" fmla="*/ 1457529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95486 w 1620776"/>
                                        <a:gd name="connsiteY4" fmla="*/ 471096 h 1532570"/>
                                        <a:gd name="connsiteX5" fmla="*/ 1417796 w 1620776"/>
                                        <a:gd name="connsiteY5" fmla="*/ 50502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76572 w 1620774"/>
                                        <a:gd name="connsiteY4" fmla="*/ 471096 h 1532568"/>
                                        <a:gd name="connsiteX5" fmla="*/ 1417796 w 1620774"/>
                                        <a:gd name="connsiteY5" fmla="*/ 505026 h 1532568"/>
                                        <a:gd name="connsiteX6" fmla="*/ 1442039 w 1620774"/>
                                        <a:gd name="connsiteY6" fmla="*/ 719379 h 1532568"/>
                                        <a:gd name="connsiteX7" fmla="*/ 1486177 w 1620774"/>
                                        <a:gd name="connsiteY7" fmla="*/ 871539 h 1532568"/>
                                        <a:gd name="connsiteX8" fmla="*/ 1620775 w 1620774"/>
                                        <a:gd name="connsiteY8" fmla="*/ 1009098 h 1532568"/>
                                        <a:gd name="connsiteX9" fmla="*/ 1531467 w 1620774"/>
                                        <a:gd name="connsiteY9" fmla="*/ 1052752 h 1532568"/>
                                        <a:gd name="connsiteX10" fmla="*/ 1438663 w 1620774"/>
                                        <a:gd name="connsiteY10" fmla="*/ 1304125 h 1532568"/>
                                        <a:gd name="connsiteX11" fmla="*/ 771506 w 1620774"/>
                                        <a:gd name="connsiteY11" fmla="*/ 1532569 h 1532568"/>
                                        <a:gd name="connsiteX12" fmla="*/ 492633 w 1620774"/>
                                        <a:gd name="connsiteY12" fmla="*/ 1457529 h 1532568"/>
                                        <a:gd name="connsiteX13" fmla="*/ 379262 w 1620774"/>
                                        <a:gd name="connsiteY13" fmla="*/ 1283003 h 1532568"/>
                                        <a:gd name="connsiteX14" fmla="*/ 173812 w 1620774"/>
                                        <a:gd name="connsiteY14" fmla="*/ 1415338 h 1532568"/>
                                        <a:gd name="connsiteX15" fmla="*/ 0 w 1620774"/>
                                        <a:gd name="connsiteY15" fmla="*/ 886780 h 1532568"/>
                                        <a:gd name="connsiteX16" fmla="*/ 261594 w 1620774"/>
                                        <a:gd name="connsiteY16" fmla="*/ 263194 h 1532568"/>
                                        <a:gd name="connsiteX17" fmla="*/ 616382 w 1620774"/>
                                        <a:gd name="connsiteY17"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442039 w 1620776"/>
                                        <a:gd name="connsiteY6" fmla="*/ 719379 h 1532570"/>
                                        <a:gd name="connsiteX7" fmla="*/ 1486177 w 1620776"/>
                                        <a:gd name="connsiteY7" fmla="*/ 871539 h 1532570"/>
                                        <a:gd name="connsiteX8" fmla="*/ 1620775 w 1620776"/>
                                        <a:gd name="connsiteY8" fmla="*/ 1009098 h 1532570"/>
                                        <a:gd name="connsiteX9" fmla="*/ 1531467 w 1620776"/>
                                        <a:gd name="connsiteY9" fmla="*/ 1052752 h 1532570"/>
                                        <a:gd name="connsiteX10" fmla="*/ 1438663 w 1620776"/>
                                        <a:gd name="connsiteY10" fmla="*/ 1304125 h 1532570"/>
                                        <a:gd name="connsiteX11" fmla="*/ 771506 w 1620776"/>
                                        <a:gd name="connsiteY11" fmla="*/ 1532569 h 1532570"/>
                                        <a:gd name="connsiteX12" fmla="*/ 492633 w 1620776"/>
                                        <a:gd name="connsiteY12" fmla="*/ 1457529 h 1532570"/>
                                        <a:gd name="connsiteX13" fmla="*/ 379262 w 1620776"/>
                                        <a:gd name="connsiteY13" fmla="*/ 1283003 h 1532570"/>
                                        <a:gd name="connsiteX14" fmla="*/ 173812 w 1620776"/>
                                        <a:gd name="connsiteY14" fmla="*/ 1415338 h 1532570"/>
                                        <a:gd name="connsiteX15" fmla="*/ 0 w 1620776"/>
                                        <a:gd name="connsiteY15" fmla="*/ 886780 h 1532570"/>
                                        <a:gd name="connsiteX16" fmla="*/ 261594 w 1620776"/>
                                        <a:gd name="connsiteY16" fmla="*/ 263194 h 1532570"/>
                                        <a:gd name="connsiteX17" fmla="*/ 616382 w 1620776"/>
                                        <a:gd name="connsiteY17"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337347 w 1620774"/>
                                        <a:gd name="connsiteY6" fmla="*/ 542740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1467 w 1620774"/>
                                        <a:gd name="connsiteY10" fmla="*/ 1052752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6 w 1620776"/>
                                        <a:gd name="connsiteY6" fmla="*/ 508703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1467 w 1620776"/>
                                        <a:gd name="connsiteY10" fmla="*/ 1052752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66329 w 1620774"/>
                                        <a:gd name="connsiteY1" fmla="*/ 120359 h 1532568"/>
                                        <a:gd name="connsiteX2" fmla="*/ 872873 w 1620774"/>
                                        <a:gd name="connsiteY2" fmla="*/ 16230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1467 w 1620774"/>
                                        <a:gd name="connsiteY10" fmla="*/ 1052752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72873 w 1620776"/>
                                        <a:gd name="connsiteY2" fmla="*/ 16230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66329 w 1620774"/>
                                        <a:gd name="connsiteY1" fmla="*/ 120359 h 1532568"/>
                                        <a:gd name="connsiteX2" fmla="*/ 872873 w 1620774"/>
                                        <a:gd name="connsiteY2" fmla="*/ 172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72875 w 1620776"/>
                                        <a:gd name="connsiteY2" fmla="*/ 1725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66329 w 1620774"/>
                                        <a:gd name="connsiteY1" fmla="*/ 120359 h 1532568"/>
                                        <a:gd name="connsiteX2" fmla="*/ 872873 w 1620774"/>
                                        <a:gd name="connsiteY2" fmla="*/ 172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72875 w 1620776"/>
                                        <a:gd name="connsiteY2" fmla="*/ 3616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66329 w 1620774"/>
                                        <a:gd name="connsiteY1" fmla="*/ 120359 h 1532568"/>
                                        <a:gd name="connsiteX2" fmla="*/ 865387 w 1620774"/>
                                        <a:gd name="connsiteY2" fmla="*/ 172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66329 w 1620776"/>
                                        <a:gd name="connsiteY1" fmla="*/ 120359 h 1532570"/>
                                        <a:gd name="connsiteX2" fmla="*/ 867876 w 1620776"/>
                                        <a:gd name="connsiteY2" fmla="*/ 36170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71141 w 1620774"/>
                                        <a:gd name="connsiteY1" fmla="*/ 131706 h 1532568"/>
                                        <a:gd name="connsiteX2" fmla="*/ 867876 w 1620774"/>
                                        <a:gd name="connsiteY2" fmla="*/ 36170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71141 w 1620776"/>
                                        <a:gd name="connsiteY1" fmla="*/ 131706 h 1532570"/>
                                        <a:gd name="connsiteX2" fmla="*/ 872875 w 1620776"/>
                                        <a:gd name="connsiteY2" fmla="*/ 1725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71141 w 1620774"/>
                                        <a:gd name="connsiteY1" fmla="*/ 131706 h 1532568"/>
                                        <a:gd name="connsiteX2" fmla="*/ 872873 w 1620774"/>
                                        <a:gd name="connsiteY2" fmla="*/ 172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71141 w 1620776"/>
                                        <a:gd name="connsiteY1" fmla="*/ 131706 h 1532570"/>
                                        <a:gd name="connsiteX2" fmla="*/ 865388 w 1620776"/>
                                        <a:gd name="connsiteY2" fmla="*/ 17259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71141 w 1620774"/>
                                        <a:gd name="connsiteY1" fmla="*/ 131706 h 1532568"/>
                                        <a:gd name="connsiteX2" fmla="*/ 872873 w 1620774"/>
                                        <a:gd name="connsiteY2" fmla="*/ 15207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616382 w 1620776"/>
                                        <a:gd name="connsiteY0" fmla="*/ 18135 h 1532570"/>
                                        <a:gd name="connsiteX1" fmla="*/ 771141 w 1620776"/>
                                        <a:gd name="connsiteY1" fmla="*/ 131706 h 1532570"/>
                                        <a:gd name="connsiteX2" fmla="*/ 872875 w 1620776"/>
                                        <a:gd name="connsiteY2" fmla="*/ 15207 h 1532570"/>
                                        <a:gd name="connsiteX3" fmla="*/ 1224658 w 1620776"/>
                                        <a:gd name="connsiteY3" fmla="*/ 0 h 1532570"/>
                                        <a:gd name="connsiteX4" fmla="*/ 1276572 w 1620776"/>
                                        <a:gd name="connsiteY4" fmla="*/ 471096 h 1532570"/>
                                        <a:gd name="connsiteX5" fmla="*/ 1295486 w 1620776"/>
                                        <a:gd name="connsiteY5" fmla="*/ 471096 h 1532570"/>
                                        <a:gd name="connsiteX6" fmla="*/ 1295485 w 1620776"/>
                                        <a:gd name="connsiteY6" fmla="*/ 501138 h 1532570"/>
                                        <a:gd name="connsiteX7" fmla="*/ 1442039 w 1620776"/>
                                        <a:gd name="connsiteY7" fmla="*/ 719379 h 1532570"/>
                                        <a:gd name="connsiteX8" fmla="*/ 1486177 w 1620776"/>
                                        <a:gd name="connsiteY8" fmla="*/ 871539 h 1532570"/>
                                        <a:gd name="connsiteX9" fmla="*/ 1620775 w 1620776"/>
                                        <a:gd name="connsiteY9" fmla="*/ 1009098 h 1532570"/>
                                        <a:gd name="connsiteX10" fmla="*/ 1537097 w 1620776"/>
                                        <a:gd name="connsiteY10" fmla="*/ 1052753 h 1532570"/>
                                        <a:gd name="connsiteX11" fmla="*/ 1438663 w 1620776"/>
                                        <a:gd name="connsiteY11" fmla="*/ 1304125 h 1532570"/>
                                        <a:gd name="connsiteX12" fmla="*/ 771506 w 1620776"/>
                                        <a:gd name="connsiteY12" fmla="*/ 1532569 h 1532570"/>
                                        <a:gd name="connsiteX13" fmla="*/ 492633 w 1620776"/>
                                        <a:gd name="connsiteY13" fmla="*/ 1457529 h 1532570"/>
                                        <a:gd name="connsiteX14" fmla="*/ 379262 w 1620776"/>
                                        <a:gd name="connsiteY14" fmla="*/ 1283003 h 1532570"/>
                                        <a:gd name="connsiteX15" fmla="*/ 173812 w 1620776"/>
                                        <a:gd name="connsiteY15" fmla="*/ 1415338 h 1532570"/>
                                        <a:gd name="connsiteX16" fmla="*/ 0 w 1620776"/>
                                        <a:gd name="connsiteY16" fmla="*/ 886780 h 1532570"/>
                                        <a:gd name="connsiteX17" fmla="*/ 261594 w 1620776"/>
                                        <a:gd name="connsiteY17" fmla="*/ 263194 h 1532570"/>
                                        <a:gd name="connsiteX18" fmla="*/ 616382 w 1620776"/>
                                        <a:gd name="connsiteY18" fmla="*/ 18135 h 1532570"/>
                                        <a:gd name="connsiteX0" fmla="*/ 616382 w 1620774"/>
                                        <a:gd name="connsiteY0" fmla="*/ 18135 h 1532568"/>
                                        <a:gd name="connsiteX1" fmla="*/ 771141 w 1620774"/>
                                        <a:gd name="connsiteY1" fmla="*/ 131706 h 1532568"/>
                                        <a:gd name="connsiteX2" fmla="*/ 872873 w 1620774"/>
                                        <a:gd name="connsiteY2" fmla="*/ 30959 h 1532568"/>
                                        <a:gd name="connsiteX3" fmla="*/ 1224658 w 1620774"/>
                                        <a:gd name="connsiteY3" fmla="*/ 0 h 1532568"/>
                                        <a:gd name="connsiteX4" fmla="*/ 1276572 w 1620774"/>
                                        <a:gd name="connsiteY4" fmla="*/ 471096 h 1532568"/>
                                        <a:gd name="connsiteX5" fmla="*/ 1295486 w 1620774"/>
                                        <a:gd name="connsiteY5" fmla="*/ 471096 h 1532568"/>
                                        <a:gd name="connsiteX6" fmla="*/ 1295485 w 1620774"/>
                                        <a:gd name="connsiteY6" fmla="*/ 501138 h 1532568"/>
                                        <a:gd name="connsiteX7" fmla="*/ 1442039 w 1620774"/>
                                        <a:gd name="connsiteY7" fmla="*/ 719379 h 1532568"/>
                                        <a:gd name="connsiteX8" fmla="*/ 1486177 w 1620774"/>
                                        <a:gd name="connsiteY8" fmla="*/ 871539 h 1532568"/>
                                        <a:gd name="connsiteX9" fmla="*/ 1620775 w 1620774"/>
                                        <a:gd name="connsiteY9" fmla="*/ 1009098 h 1532568"/>
                                        <a:gd name="connsiteX10" fmla="*/ 1537097 w 1620774"/>
                                        <a:gd name="connsiteY10" fmla="*/ 1052753 h 1532568"/>
                                        <a:gd name="connsiteX11" fmla="*/ 1438663 w 1620774"/>
                                        <a:gd name="connsiteY11" fmla="*/ 1304125 h 1532568"/>
                                        <a:gd name="connsiteX12" fmla="*/ 771506 w 1620774"/>
                                        <a:gd name="connsiteY12" fmla="*/ 1532569 h 1532568"/>
                                        <a:gd name="connsiteX13" fmla="*/ 492633 w 1620774"/>
                                        <a:gd name="connsiteY13" fmla="*/ 1457529 h 1532568"/>
                                        <a:gd name="connsiteX14" fmla="*/ 379262 w 1620774"/>
                                        <a:gd name="connsiteY14" fmla="*/ 1283003 h 1532568"/>
                                        <a:gd name="connsiteX15" fmla="*/ 173812 w 1620774"/>
                                        <a:gd name="connsiteY15" fmla="*/ 1415338 h 1532568"/>
                                        <a:gd name="connsiteX16" fmla="*/ 0 w 1620774"/>
                                        <a:gd name="connsiteY16" fmla="*/ 886780 h 1532568"/>
                                        <a:gd name="connsiteX17" fmla="*/ 261594 w 1620774"/>
                                        <a:gd name="connsiteY17" fmla="*/ 263194 h 1532568"/>
                                        <a:gd name="connsiteX18" fmla="*/ 616382 w 1620774"/>
                                        <a:gd name="connsiteY18" fmla="*/ 18135 h 1532568"/>
                                        <a:gd name="connsiteX0" fmla="*/ 596332 w 1600725"/>
                                        <a:gd name="connsiteY0" fmla="*/ 18135 h 1532570"/>
                                        <a:gd name="connsiteX1" fmla="*/ 751091 w 1600725"/>
                                        <a:gd name="connsiteY1" fmla="*/ 131706 h 1532570"/>
                                        <a:gd name="connsiteX2" fmla="*/ 852823 w 1600725"/>
                                        <a:gd name="connsiteY2" fmla="*/ 30959 h 1532570"/>
                                        <a:gd name="connsiteX3" fmla="*/ 1204608 w 1600725"/>
                                        <a:gd name="connsiteY3" fmla="*/ 0 h 1532570"/>
                                        <a:gd name="connsiteX4" fmla="*/ 1256522 w 1600725"/>
                                        <a:gd name="connsiteY4" fmla="*/ 471096 h 1532570"/>
                                        <a:gd name="connsiteX5" fmla="*/ 1275436 w 1600725"/>
                                        <a:gd name="connsiteY5" fmla="*/ 471096 h 1532570"/>
                                        <a:gd name="connsiteX6" fmla="*/ 1275435 w 1600725"/>
                                        <a:gd name="connsiteY6" fmla="*/ 501138 h 1532570"/>
                                        <a:gd name="connsiteX7" fmla="*/ 1421989 w 1600725"/>
                                        <a:gd name="connsiteY7" fmla="*/ 719379 h 1532570"/>
                                        <a:gd name="connsiteX8" fmla="*/ 1466127 w 1600725"/>
                                        <a:gd name="connsiteY8" fmla="*/ 871539 h 1532570"/>
                                        <a:gd name="connsiteX9" fmla="*/ 1600725 w 1600725"/>
                                        <a:gd name="connsiteY9" fmla="*/ 1009098 h 1532570"/>
                                        <a:gd name="connsiteX10" fmla="*/ 1517047 w 1600725"/>
                                        <a:gd name="connsiteY10" fmla="*/ 1052753 h 1532570"/>
                                        <a:gd name="connsiteX11" fmla="*/ 1418613 w 1600725"/>
                                        <a:gd name="connsiteY11" fmla="*/ 1304125 h 1532570"/>
                                        <a:gd name="connsiteX12" fmla="*/ 751456 w 1600725"/>
                                        <a:gd name="connsiteY12" fmla="*/ 1532569 h 1532570"/>
                                        <a:gd name="connsiteX13" fmla="*/ 472583 w 1600725"/>
                                        <a:gd name="connsiteY13" fmla="*/ 1457529 h 1532570"/>
                                        <a:gd name="connsiteX14" fmla="*/ 359212 w 1600725"/>
                                        <a:gd name="connsiteY14" fmla="*/ 1283003 h 1532570"/>
                                        <a:gd name="connsiteX15" fmla="*/ 153762 w 1600725"/>
                                        <a:gd name="connsiteY15" fmla="*/ 1415338 h 1532570"/>
                                        <a:gd name="connsiteX16" fmla="*/ 0 w 1600725"/>
                                        <a:gd name="connsiteY16" fmla="*/ 886780 h 1532570"/>
                                        <a:gd name="connsiteX17" fmla="*/ 241544 w 1600725"/>
                                        <a:gd name="connsiteY17" fmla="*/ 263194 h 1532570"/>
                                        <a:gd name="connsiteX18" fmla="*/ 596332 w 1600725"/>
                                        <a:gd name="connsiteY18" fmla="*/ 18135 h 1532570"/>
                                        <a:gd name="connsiteX0" fmla="*/ 596332 w 1600725"/>
                                        <a:gd name="connsiteY0" fmla="*/ 18135 h 1532568"/>
                                        <a:gd name="connsiteX1" fmla="*/ 751091 w 1600725"/>
                                        <a:gd name="connsiteY1" fmla="*/ 131706 h 1532568"/>
                                        <a:gd name="connsiteX2" fmla="*/ 852823 w 1600725"/>
                                        <a:gd name="connsiteY2" fmla="*/ 30959 h 1532568"/>
                                        <a:gd name="connsiteX3" fmla="*/ 1204608 w 1600725"/>
                                        <a:gd name="connsiteY3" fmla="*/ 0 h 1532568"/>
                                        <a:gd name="connsiteX4" fmla="*/ 1256522 w 1600725"/>
                                        <a:gd name="connsiteY4" fmla="*/ 471096 h 1532568"/>
                                        <a:gd name="connsiteX5" fmla="*/ 1275436 w 1600725"/>
                                        <a:gd name="connsiteY5" fmla="*/ 471096 h 1532568"/>
                                        <a:gd name="connsiteX6" fmla="*/ 1275435 w 1600725"/>
                                        <a:gd name="connsiteY6" fmla="*/ 501138 h 1532568"/>
                                        <a:gd name="connsiteX7" fmla="*/ 1421989 w 1600725"/>
                                        <a:gd name="connsiteY7" fmla="*/ 719379 h 1532568"/>
                                        <a:gd name="connsiteX8" fmla="*/ 1466127 w 1600725"/>
                                        <a:gd name="connsiteY8" fmla="*/ 871539 h 1532568"/>
                                        <a:gd name="connsiteX9" fmla="*/ 1600725 w 1600725"/>
                                        <a:gd name="connsiteY9" fmla="*/ 1009098 h 1532568"/>
                                        <a:gd name="connsiteX10" fmla="*/ 1517047 w 1600725"/>
                                        <a:gd name="connsiteY10" fmla="*/ 1052753 h 1532568"/>
                                        <a:gd name="connsiteX11" fmla="*/ 1418613 w 1600725"/>
                                        <a:gd name="connsiteY11" fmla="*/ 1304125 h 1532568"/>
                                        <a:gd name="connsiteX12" fmla="*/ 751456 w 1600725"/>
                                        <a:gd name="connsiteY12" fmla="*/ 1532569 h 1532568"/>
                                        <a:gd name="connsiteX13" fmla="*/ 472583 w 1600725"/>
                                        <a:gd name="connsiteY13" fmla="*/ 1457529 h 1532568"/>
                                        <a:gd name="connsiteX14" fmla="*/ 359212 w 1600725"/>
                                        <a:gd name="connsiteY14" fmla="*/ 1283003 h 1532568"/>
                                        <a:gd name="connsiteX15" fmla="*/ 153762 w 1600725"/>
                                        <a:gd name="connsiteY15" fmla="*/ 1415338 h 1532568"/>
                                        <a:gd name="connsiteX16" fmla="*/ 0 w 1600725"/>
                                        <a:gd name="connsiteY16" fmla="*/ 886780 h 1532568"/>
                                        <a:gd name="connsiteX17" fmla="*/ 255294 w 1600725"/>
                                        <a:gd name="connsiteY17" fmla="*/ 272356 h 1532568"/>
                                        <a:gd name="connsiteX18" fmla="*/ 596332 w 1600725"/>
                                        <a:gd name="connsiteY18" fmla="*/ 18135 h 1532568"/>
                                        <a:gd name="connsiteX0" fmla="*/ 605499 w 1600725"/>
                                        <a:gd name="connsiteY0" fmla="*/ 0 h 1532570"/>
                                        <a:gd name="connsiteX1" fmla="*/ 751091 w 1600725"/>
                                        <a:gd name="connsiteY1" fmla="*/ 131706 h 1532570"/>
                                        <a:gd name="connsiteX2" fmla="*/ 852823 w 1600725"/>
                                        <a:gd name="connsiteY2" fmla="*/ 30959 h 1532570"/>
                                        <a:gd name="connsiteX3" fmla="*/ 1204608 w 1600725"/>
                                        <a:gd name="connsiteY3" fmla="*/ 0 h 1532570"/>
                                        <a:gd name="connsiteX4" fmla="*/ 1256522 w 1600725"/>
                                        <a:gd name="connsiteY4" fmla="*/ 471096 h 1532570"/>
                                        <a:gd name="connsiteX5" fmla="*/ 1275436 w 1600725"/>
                                        <a:gd name="connsiteY5" fmla="*/ 471096 h 1532570"/>
                                        <a:gd name="connsiteX6" fmla="*/ 1275435 w 1600725"/>
                                        <a:gd name="connsiteY6" fmla="*/ 501138 h 1532570"/>
                                        <a:gd name="connsiteX7" fmla="*/ 1421989 w 1600725"/>
                                        <a:gd name="connsiteY7" fmla="*/ 719379 h 1532570"/>
                                        <a:gd name="connsiteX8" fmla="*/ 1466127 w 1600725"/>
                                        <a:gd name="connsiteY8" fmla="*/ 871539 h 1532570"/>
                                        <a:gd name="connsiteX9" fmla="*/ 1600725 w 1600725"/>
                                        <a:gd name="connsiteY9" fmla="*/ 1009098 h 1532570"/>
                                        <a:gd name="connsiteX10" fmla="*/ 1517047 w 1600725"/>
                                        <a:gd name="connsiteY10" fmla="*/ 1052753 h 1532570"/>
                                        <a:gd name="connsiteX11" fmla="*/ 1418613 w 1600725"/>
                                        <a:gd name="connsiteY11" fmla="*/ 1304125 h 1532570"/>
                                        <a:gd name="connsiteX12" fmla="*/ 751456 w 1600725"/>
                                        <a:gd name="connsiteY12" fmla="*/ 1532569 h 1532570"/>
                                        <a:gd name="connsiteX13" fmla="*/ 472583 w 1600725"/>
                                        <a:gd name="connsiteY13" fmla="*/ 1457529 h 1532570"/>
                                        <a:gd name="connsiteX14" fmla="*/ 359212 w 1600725"/>
                                        <a:gd name="connsiteY14" fmla="*/ 1283003 h 1532570"/>
                                        <a:gd name="connsiteX15" fmla="*/ 153762 w 1600725"/>
                                        <a:gd name="connsiteY15" fmla="*/ 1415338 h 1532570"/>
                                        <a:gd name="connsiteX16" fmla="*/ 0 w 1600725"/>
                                        <a:gd name="connsiteY16" fmla="*/ 886780 h 1532570"/>
                                        <a:gd name="connsiteX17" fmla="*/ 255294 w 1600725"/>
                                        <a:gd name="connsiteY17" fmla="*/ 272356 h 1532570"/>
                                        <a:gd name="connsiteX18" fmla="*/ 605499 w 1600725"/>
                                        <a:gd name="connsiteY18" fmla="*/ 0 h 1532570"/>
                                        <a:gd name="connsiteX0" fmla="*/ 635097 w 1600725"/>
                                        <a:gd name="connsiteY0" fmla="*/ 17712 h 1532568"/>
                                        <a:gd name="connsiteX1" fmla="*/ 751091 w 1600725"/>
                                        <a:gd name="connsiteY1" fmla="*/ 131706 h 1532568"/>
                                        <a:gd name="connsiteX2" fmla="*/ 852823 w 1600725"/>
                                        <a:gd name="connsiteY2" fmla="*/ 30959 h 1532568"/>
                                        <a:gd name="connsiteX3" fmla="*/ 1204608 w 1600725"/>
                                        <a:gd name="connsiteY3" fmla="*/ 0 h 1532568"/>
                                        <a:gd name="connsiteX4" fmla="*/ 1256522 w 1600725"/>
                                        <a:gd name="connsiteY4" fmla="*/ 471096 h 1532568"/>
                                        <a:gd name="connsiteX5" fmla="*/ 1275436 w 1600725"/>
                                        <a:gd name="connsiteY5" fmla="*/ 471096 h 1532568"/>
                                        <a:gd name="connsiteX6" fmla="*/ 1275435 w 1600725"/>
                                        <a:gd name="connsiteY6" fmla="*/ 501138 h 1532568"/>
                                        <a:gd name="connsiteX7" fmla="*/ 1421989 w 1600725"/>
                                        <a:gd name="connsiteY7" fmla="*/ 719379 h 1532568"/>
                                        <a:gd name="connsiteX8" fmla="*/ 1466127 w 1600725"/>
                                        <a:gd name="connsiteY8" fmla="*/ 871539 h 1532568"/>
                                        <a:gd name="connsiteX9" fmla="*/ 1600725 w 1600725"/>
                                        <a:gd name="connsiteY9" fmla="*/ 1009098 h 1532568"/>
                                        <a:gd name="connsiteX10" fmla="*/ 1517047 w 1600725"/>
                                        <a:gd name="connsiteY10" fmla="*/ 1052753 h 1532568"/>
                                        <a:gd name="connsiteX11" fmla="*/ 1418613 w 1600725"/>
                                        <a:gd name="connsiteY11" fmla="*/ 1304125 h 1532568"/>
                                        <a:gd name="connsiteX12" fmla="*/ 751456 w 1600725"/>
                                        <a:gd name="connsiteY12" fmla="*/ 1532569 h 1532568"/>
                                        <a:gd name="connsiteX13" fmla="*/ 472583 w 1600725"/>
                                        <a:gd name="connsiteY13" fmla="*/ 1457529 h 1532568"/>
                                        <a:gd name="connsiteX14" fmla="*/ 359212 w 1600725"/>
                                        <a:gd name="connsiteY14" fmla="*/ 1283003 h 1532568"/>
                                        <a:gd name="connsiteX15" fmla="*/ 153762 w 1600725"/>
                                        <a:gd name="connsiteY15" fmla="*/ 1415338 h 1532568"/>
                                        <a:gd name="connsiteX16" fmla="*/ 0 w 1600725"/>
                                        <a:gd name="connsiteY16" fmla="*/ 886780 h 1532568"/>
                                        <a:gd name="connsiteX17" fmla="*/ 255294 w 1600725"/>
                                        <a:gd name="connsiteY17" fmla="*/ 272356 h 1532568"/>
                                        <a:gd name="connsiteX18" fmla="*/ 635097 w 1600725"/>
                                        <a:gd name="connsiteY18" fmla="*/ 17712 h 1532568"/>
                                        <a:gd name="connsiteX0" fmla="*/ 635097 w 1600725"/>
                                        <a:gd name="connsiteY0" fmla="*/ 17712 h 1532570"/>
                                        <a:gd name="connsiteX1" fmla="*/ 751091 w 1600725"/>
                                        <a:gd name="connsiteY1" fmla="*/ 131706 h 1532570"/>
                                        <a:gd name="connsiteX2" fmla="*/ 852823 w 1600725"/>
                                        <a:gd name="connsiteY2" fmla="*/ 30959 h 1532570"/>
                                        <a:gd name="connsiteX3" fmla="*/ 1204608 w 1600725"/>
                                        <a:gd name="connsiteY3" fmla="*/ 0 h 1532570"/>
                                        <a:gd name="connsiteX4" fmla="*/ 1256522 w 1600725"/>
                                        <a:gd name="connsiteY4" fmla="*/ 471096 h 1532570"/>
                                        <a:gd name="connsiteX5" fmla="*/ 1275436 w 1600725"/>
                                        <a:gd name="connsiteY5" fmla="*/ 471096 h 1532570"/>
                                        <a:gd name="connsiteX6" fmla="*/ 1275435 w 1600725"/>
                                        <a:gd name="connsiteY6" fmla="*/ 501138 h 1532570"/>
                                        <a:gd name="connsiteX7" fmla="*/ 1421989 w 1600725"/>
                                        <a:gd name="connsiteY7" fmla="*/ 719379 h 1532570"/>
                                        <a:gd name="connsiteX8" fmla="*/ 1466127 w 1600725"/>
                                        <a:gd name="connsiteY8" fmla="*/ 871539 h 1532570"/>
                                        <a:gd name="connsiteX9" fmla="*/ 1600725 w 1600725"/>
                                        <a:gd name="connsiteY9" fmla="*/ 1009098 h 1532570"/>
                                        <a:gd name="connsiteX10" fmla="*/ 1517047 w 1600725"/>
                                        <a:gd name="connsiteY10" fmla="*/ 1052753 h 1532570"/>
                                        <a:gd name="connsiteX11" fmla="*/ 1418613 w 1600725"/>
                                        <a:gd name="connsiteY11" fmla="*/ 1304125 h 1532570"/>
                                        <a:gd name="connsiteX12" fmla="*/ 751456 w 1600725"/>
                                        <a:gd name="connsiteY12" fmla="*/ 1532569 h 1532570"/>
                                        <a:gd name="connsiteX13" fmla="*/ 472583 w 1600725"/>
                                        <a:gd name="connsiteY13" fmla="*/ 1457529 h 1532570"/>
                                        <a:gd name="connsiteX14" fmla="*/ 359212 w 1600725"/>
                                        <a:gd name="connsiteY14" fmla="*/ 1283003 h 1532570"/>
                                        <a:gd name="connsiteX15" fmla="*/ 188325 w 1600725"/>
                                        <a:gd name="connsiteY15" fmla="*/ 1413449 h 1532570"/>
                                        <a:gd name="connsiteX16" fmla="*/ 0 w 1600725"/>
                                        <a:gd name="connsiteY16" fmla="*/ 886780 h 1532570"/>
                                        <a:gd name="connsiteX17" fmla="*/ 255294 w 1600725"/>
                                        <a:gd name="connsiteY17" fmla="*/ 272356 h 1532570"/>
                                        <a:gd name="connsiteX18" fmla="*/ 635097 w 1600725"/>
                                        <a:gd name="connsiteY18" fmla="*/ 17712 h 1532570"/>
                                        <a:gd name="connsiteX0" fmla="*/ 635097 w 1600725"/>
                                        <a:gd name="connsiteY0" fmla="*/ 17712 h 1532568"/>
                                        <a:gd name="connsiteX1" fmla="*/ 751091 w 1600725"/>
                                        <a:gd name="connsiteY1" fmla="*/ 131706 h 1532568"/>
                                        <a:gd name="connsiteX2" fmla="*/ 852823 w 1600725"/>
                                        <a:gd name="connsiteY2" fmla="*/ 30959 h 1532568"/>
                                        <a:gd name="connsiteX3" fmla="*/ 1204608 w 1600725"/>
                                        <a:gd name="connsiteY3" fmla="*/ 0 h 1532568"/>
                                        <a:gd name="connsiteX4" fmla="*/ 1256522 w 1600725"/>
                                        <a:gd name="connsiteY4" fmla="*/ 471096 h 1532568"/>
                                        <a:gd name="connsiteX5" fmla="*/ 1275436 w 1600725"/>
                                        <a:gd name="connsiteY5" fmla="*/ 471096 h 1532568"/>
                                        <a:gd name="connsiteX6" fmla="*/ 1275435 w 1600725"/>
                                        <a:gd name="connsiteY6" fmla="*/ 501138 h 1532568"/>
                                        <a:gd name="connsiteX7" fmla="*/ 1421989 w 1600725"/>
                                        <a:gd name="connsiteY7" fmla="*/ 719379 h 1532568"/>
                                        <a:gd name="connsiteX8" fmla="*/ 1466127 w 1600725"/>
                                        <a:gd name="connsiteY8" fmla="*/ 871539 h 1532568"/>
                                        <a:gd name="connsiteX9" fmla="*/ 1600725 w 1600725"/>
                                        <a:gd name="connsiteY9" fmla="*/ 1009098 h 1532568"/>
                                        <a:gd name="connsiteX10" fmla="*/ 1517047 w 1600725"/>
                                        <a:gd name="connsiteY10" fmla="*/ 1052753 h 1532568"/>
                                        <a:gd name="connsiteX11" fmla="*/ 1418613 w 1600725"/>
                                        <a:gd name="connsiteY11" fmla="*/ 1304125 h 1532568"/>
                                        <a:gd name="connsiteX12" fmla="*/ 751456 w 1600725"/>
                                        <a:gd name="connsiteY12" fmla="*/ 1532569 h 1532568"/>
                                        <a:gd name="connsiteX13" fmla="*/ 472583 w 1600725"/>
                                        <a:gd name="connsiteY13" fmla="*/ 1457529 h 1532568"/>
                                        <a:gd name="connsiteX14" fmla="*/ 359212 w 1600725"/>
                                        <a:gd name="connsiteY14" fmla="*/ 1283003 h 1532568"/>
                                        <a:gd name="connsiteX15" fmla="*/ 163923 w 1600725"/>
                                        <a:gd name="connsiteY15" fmla="*/ 1412504 h 1532568"/>
                                        <a:gd name="connsiteX16" fmla="*/ 0 w 1600725"/>
                                        <a:gd name="connsiteY16" fmla="*/ 886780 h 1532568"/>
                                        <a:gd name="connsiteX17" fmla="*/ 255294 w 1600725"/>
                                        <a:gd name="connsiteY17" fmla="*/ 272356 h 1532568"/>
                                        <a:gd name="connsiteX18" fmla="*/ 635097 w 1600725"/>
                                        <a:gd name="connsiteY18" fmla="*/ 17712 h 1532568"/>
                                        <a:gd name="connsiteX0" fmla="*/ 635097 w 1600725"/>
                                        <a:gd name="connsiteY0" fmla="*/ 17712 h 1532570"/>
                                        <a:gd name="connsiteX1" fmla="*/ 751091 w 1600725"/>
                                        <a:gd name="connsiteY1" fmla="*/ 131706 h 1532570"/>
                                        <a:gd name="connsiteX2" fmla="*/ 852823 w 1600725"/>
                                        <a:gd name="connsiteY2" fmla="*/ 30959 h 1532570"/>
                                        <a:gd name="connsiteX3" fmla="*/ 1204608 w 1600725"/>
                                        <a:gd name="connsiteY3" fmla="*/ 0 h 1532570"/>
                                        <a:gd name="connsiteX4" fmla="*/ 1256522 w 1600725"/>
                                        <a:gd name="connsiteY4" fmla="*/ 471096 h 1532570"/>
                                        <a:gd name="connsiteX5" fmla="*/ 1275436 w 1600725"/>
                                        <a:gd name="connsiteY5" fmla="*/ 471096 h 1532570"/>
                                        <a:gd name="connsiteX6" fmla="*/ 1275435 w 1600725"/>
                                        <a:gd name="connsiteY6" fmla="*/ 501138 h 1532570"/>
                                        <a:gd name="connsiteX7" fmla="*/ 1421989 w 1600725"/>
                                        <a:gd name="connsiteY7" fmla="*/ 719379 h 1532570"/>
                                        <a:gd name="connsiteX8" fmla="*/ 1466127 w 1600725"/>
                                        <a:gd name="connsiteY8" fmla="*/ 871539 h 1532570"/>
                                        <a:gd name="connsiteX9" fmla="*/ 1600725 w 1600725"/>
                                        <a:gd name="connsiteY9" fmla="*/ 1009098 h 1532570"/>
                                        <a:gd name="connsiteX10" fmla="*/ 1517047 w 1600725"/>
                                        <a:gd name="connsiteY10" fmla="*/ 1052753 h 1532570"/>
                                        <a:gd name="connsiteX11" fmla="*/ 1418613 w 1600725"/>
                                        <a:gd name="connsiteY11" fmla="*/ 1304125 h 1532570"/>
                                        <a:gd name="connsiteX12" fmla="*/ 751456 w 1600725"/>
                                        <a:gd name="connsiteY12" fmla="*/ 1532569 h 1532570"/>
                                        <a:gd name="connsiteX13" fmla="*/ 472583 w 1600725"/>
                                        <a:gd name="connsiteY13" fmla="*/ 1457529 h 1532570"/>
                                        <a:gd name="connsiteX14" fmla="*/ 359212 w 1600725"/>
                                        <a:gd name="connsiteY14" fmla="*/ 1283003 h 1532570"/>
                                        <a:gd name="connsiteX15" fmla="*/ 174850 w 1600725"/>
                                        <a:gd name="connsiteY15" fmla="*/ 1440006 h 1532570"/>
                                        <a:gd name="connsiteX16" fmla="*/ 0 w 1600725"/>
                                        <a:gd name="connsiteY16" fmla="*/ 886780 h 1532570"/>
                                        <a:gd name="connsiteX17" fmla="*/ 255294 w 1600725"/>
                                        <a:gd name="connsiteY17" fmla="*/ 272356 h 1532570"/>
                                        <a:gd name="connsiteX18" fmla="*/ 635097 w 1600725"/>
                                        <a:gd name="connsiteY18" fmla="*/ 17712 h 1532570"/>
                                        <a:gd name="connsiteX0" fmla="*/ 635097 w 1600725"/>
                                        <a:gd name="connsiteY0" fmla="*/ 17712 h 1532568"/>
                                        <a:gd name="connsiteX1" fmla="*/ 751091 w 1600725"/>
                                        <a:gd name="connsiteY1" fmla="*/ 131706 h 1532568"/>
                                        <a:gd name="connsiteX2" fmla="*/ 852823 w 1600725"/>
                                        <a:gd name="connsiteY2" fmla="*/ 30959 h 1532568"/>
                                        <a:gd name="connsiteX3" fmla="*/ 1204608 w 1600725"/>
                                        <a:gd name="connsiteY3" fmla="*/ 0 h 1532568"/>
                                        <a:gd name="connsiteX4" fmla="*/ 1256522 w 1600725"/>
                                        <a:gd name="connsiteY4" fmla="*/ 471096 h 1532568"/>
                                        <a:gd name="connsiteX5" fmla="*/ 1325852 w 1600725"/>
                                        <a:gd name="connsiteY5" fmla="*/ 471262 h 1532568"/>
                                        <a:gd name="connsiteX6" fmla="*/ 1275435 w 1600725"/>
                                        <a:gd name="connsiteY6" fmla="*/ 501138 h 1532568"/>
                                        <a:gd name="connsiteX7" fmla="*/ 1421989 w 1600725"/>
                                        <a:gd name="connsiteY7" fmla="*/ 719379 h 1532568"/>
                                        <a:gd name="connsiteX8" fmla="*/ 1466127 w 1600725"/>
                                        <a:gd name="connsiteY8" fmla="*/ 871539 h 1532568"/>
                                        <a:gd name="connsiteX9" fmla="*/ 1600725 w 1600725"/>
                                        <a:gd name="connsiteY9" fmla="*/ 1009098 h 1532568"/>
                                        <a:gd name="connsiteX10" fmla="*/ 1517047 w 1600725"/>
                                        <a:gd name="connsiteY10" fmla="*/ 1052753 h 1532568"/>
                                        <a:gd name="connsiteX11" fmla="*/ 1418613 w 1600725"/>
                                        <a:gd name="connsiteY11" fmla="*/ 1304125 h 1532568"/>
                                        <a:gd name="connsiteX12" fmla="*/ 751456 w 1600725"/>
                                        <a:gd name="connsiteY12" fmla="*/ 1532569 h 1532568"/>
                                        <a:gd name="connsiteX13" fmla="*/ 472583 w 1600725"/>
                                        <a:gd name="connsiteY13" fmla="*/ 1457529 h 1532568"/>
                                        <a:gd name="connsiteX14" fmla="*/ 359212 w 1600725"/>
                                        <a:gd name="connsiteY14" fmla="*/ 1283003 h 1532568"/>
                                        <a:gd name="connsiteX15" fmla="*/ 174850 w 1600725"/>
                                        <a:gd name="connsiteY15" fmla="*/ 1440006 h 1532568"/>
                                        <a:gd name="connsiteX16" fmla="*/ 0 w 1600725"/>
                                        <a:gd name="connsiteY16" fmla="*/ 886780 h 1532568"/>
                                        <a:gd name="connsiteX17" fmla="*/ 255294 w 1600725"/>
                                        <a:gd name="connsiteY17" fmla="*/ 272356 h 1532568"/>
                                        <a:gd name="connsiteX18" fmla="*/ 635097 w 1600725"/>
                                        <a:gd name="connsiteY18" fmla="*/ 17712 h 1532568"/>
                                        <a:gd name="connsiteX0" fmla="*/ 635097 w 1600725"/>
                                        <a:gd name="connsiteY0" fmla="*/ 17712 h 1532570"/>
                                        <a:gd name="connsiteX1" fmla="*/ 751091 w 1600725"/>
                                        <a:gd name="connsiteY1" fmla="*/ 131706 h 1532570"/>
                                        <a:gd name="connsiteX2" fmla="*/ 852823 w 1600725"/>
                                        <a:gd name="connsiteY2" fmla="*/ 30959 h 1532570"/>
                                        <a:gd name="connsiteX3" fmla="*/ 1204608 w 1600725"/>
                                        <a:gd name="connsiteY3" fmla="*/ 0 h 1532570"/>
                                        <a:gd name="connsiteX4" fmla="*/ 1256522 w 1600725"/>
                                        <a:gd name="connsiteY4" fmla="*/ 471096 h 1532570"/>
                                        <a:gd name="connsiteX5" fmla="*/ 1325852 w 1600725"/>
                                        <a:gd name="connsiteY5" fmla="*/ 471262 h 1532570"/>
                                        <a:gd name="connsiteX6" fmla="*/ 1275435 w 1600725"/>
                                        <a:gd name="connsiteY6" fmla="*/ 501138 h 1532570"/>
                                        <a:gd name="connsiteX7" fmla="*/ 1421989 w 1600725"/>
                                        <a:gd name="connsiteY7" fmla="*/ 719379 h 1532570"/>
                                        <a:gd name="connsiteX8" fmla="*/ 1470711 w 1600725"/>
                                        <a:gd name="connsiteY8" fmla="*/ 848621 h 1532570"/>
                                        <a:gd name="connsiteX9" fmla="*/ 1600725 w 1600725"/>
                                        <a:gd name="connsiteY9" fmla="*/ 1009098 h 1532570"/>
                                        <a:gd name="connsiteX10" fmla="*/ 1517047 w 1600725"/>
                                        <a:gd name="connsiteY10" fmla="*/ 1052753 h 1532570"/>
                                        <a:gd name="connsiteX11" fmla="*/ 1418613 w 1600725"/>
                                        <a:gd name="connsiteY11" fmla="*/ 1304125 h 1532570"/>
                                        <a:gd name="connsiteX12" fmla="*/ 751456 w 1600725"/>
                                        <a:gd name="connsiteY12" fmla="*/ 1532569 h 1532570"/>
                                        <a:gd name="connsiteX13" fmla="*/ 472583 w 1600725"/>
                                        <a:gd name="connsiteY13" fmla="*/ 1457529 h 1532570"/>
                                        <a:gd name="connsiteX14" fmla="*/ 359212 w 1600725"/>
                                        <a:gd name="connsiteY14" fmla="*/ 1283003 h 1532570"/>
                                        <a:gd name="connsiteX15" fmla="*/ 174850 w 1600725"/>
                                        <a:gd name="connsiteY15" fmla="*/ 1440006 h 1532570"/>
                                        <a:gd name="connsiteX16" fmla="*/ 0 w 1600725"/>
                                        <a:gd name="connsiteY16" fmla="*/ 886780 h 1532570"/>
                                        <a:gd name="connsiteX17" fmla="*/ 255294 w 1600725"/>
                                        <a:gd name="connsiteY17" fmla="*/ 272356 h 1532570"/>
                                        <a:gd name="connsiteX18" fmla="*/ 635097 w 1600725"/>
                                        <a:gd name="connsiteY18" fmla="*/ 17712 h 1532570"/>
                                        <a:gd name="connsiteX0" fmla="*/ 635097 w 1623036"/>
                                        <a:gd name="connsiteY0" fmla="*/ 17712 h 1532568"/>
                                        <a:gd name="connsiteX1" fmla="*/ 751091 w 1623036"/>
                                        <a:gd name="connsiteY1" fmla="*/ 131706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9212 w 1623036"/>
                                        <a:gd name="connsiteY14" fmla="*/ 1283003 h 1532568"/>
                                        <a:gd name="connsiteX15" fmla="*/ 174850 w 1623036"/>
                                        <a:gd name="connsiteY15" fmla="*/ 1440006 h 1532568"/>
                                        <a:gd name="connsiteX16" fmla="*/ 0 w 1623036"/>
                                        <a:gd name="connsiteY16" fmla="*/ 886780 h 1532568"/>
                                        <a:gd name="connsiteX17" fmla="*/ 255294 w 1623036"/>
                                        <a:gd name="connsiteY17" fmla="*/ 272356 h 1532568"/>
                                        <a:gd name="connsiteX18" fmla="*/ 635097 w 1623036"/>
                                        <a:gd name="connsiteY18" fmla="*/ 17712 h 1532568"/>
                                        <a:gd name="connsiteX0" fmla="*/ 635097 w 1623036"/>
                                        <a:gd name="connsiteY0" fmla="*/ 17712 h 1532570"/>
                                        <a:gd name="connsiteX1" fmla="*/ 766458 w 1623036"/>
                                        <a:gd name="connsiteY1" fmla="*/ 108788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9212 w 1623036"/>
                                        <a:gd name="connsiteY14" fmla="*/ 1283003 h 1532570"/>
                                        <a:gd name="connsiteX15" fmla="*/ 174850 w 1623036"/>
                                        <a:gd name="connsiteY15" fmla="*/ 1440006 h 1532570"/>
                                        <a:gd name="connsiteX16" fmla="*/ 0 w 1623036"/>
                                        <a:gd name="connsiteY16" fmla="*/ 886780 h 1532570"/>
                                        <a:gd name="connsiteX17" fmla="*/ 255294 w 1623036"/>
                                        <a:gd name="connsiteY17" fmla="*/ 272356 h 1532570"/>
                                        <a:gd name="connsiteX18" fmla="*/ 635097 w 1623036"/>
                                        <a:gd name="connsiteY18" fmla="*/ 17712 h 1532570"/>
                                        <a:gd name="connsiteX0" fmla="*/ 635097 w 1623036"/>
                                        <a:gd name="connsiteY0" fmla="*/ 17712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9212 w 1623036"/>
                                        <a:gd name="connsiteY14" fmla="*/ 1283003 h 1532568"/>
                                        <a:gd name="connsiteX15" fmla="*/ 174850 w 1623036"/>
                                        <a:gd name="connsiteY15" fmla="*/ 1440006 h 1532568"/>
                                        <a:gd name="connsiteX16" fmla="*/ 0 w 1623036"/>
                                        <a:gd name="connsiteY16" fmla="*/ 886780 h 1532568"/>
                                        <a:gd name="connsiteX17" fmla="*/ 255294 w 1623036"/>
                                        <a:gd name="connsiteY17" fmla="*/ 272356 h 1532568"/>
                                        <a:gd name="connsiteX18" fmla="*/ 635097 w 1623036"/>
                                        <a:gd name="connsiteY18" fmla="*/ 17712 h 1532568"/>
                                        <a:gd name="connsiteX0" fmla="*/ 635097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9212 w 1623036"/>
                                        <a:gd name="connsiteY14" fmla="*/ 1283003 h 1532570"/>
                                        <a:gd name="connsiteX15" fmla="*/ 174850 w 1623036"/>
                                        <a:gd name="connsiteY15" fmla="*/ 1440006 h 1532570"/>
                                        <a:gd name="connsiteX16" fmla="*/ 0 w 1623036"/>
                                        <a:gd name="connsiteY16" fmla="*/ 886780 h 1532570"/>
                                        <a:gd name="connsiteX17" fmla="*/ 255294 w 1623036"/>
                                        <a:gd name="connsiteY17" fmla="*/ 272356 h 1532570"/>
                                        <a:gd name="connsiteX18" fmla="*/ 635097 w 1623036"/>
                                        <a:gd name="connsiteY18" fmla="*/ 17912 h 1532570"/>
                                        <a:gd name="connsiteX0" fmla="*/ 635097 w 1623036"/>
                                        <a:gd name="connsiteY0" fmla="*/ 17712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9212 w 1623036"/>
                                        <a:gd name="connsiteY14" fmla="*/ 1283003 h 1532568"/>
                                        <a:gd name="connsiteX15" fmla="*/ 174850 w 1623036"/>
                                        <a:gd name="connsiteY15" fmla="*/ 1440006 h 1532568"/>
                                        <a:gd name="connsiteX16" fmla="*/ 0 w 1623036"/>
                                        <a:gd name="connsiteY16" fmla="*/ 886780 h 1532568"/>
                                        <a:gd name="connsiteX17" fmla="*/ 255294 w 1623036"/>
                                        <a:gd name="connsiteY17" fmla="*/ 272356 h 1532568"/>
                                        <a:gd name="connsiteX18" fmla="*/ 635097 w 1623036"/>
                                        <a:gd name="connsiteY18" fmla="*/ 17712 h 1532568"/>
                                        <a:gd name="connsiteX0" fmla="*/ 635097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9212 w 1623036"/>
                                        <a:gd name="connsiteY14" fmla="*/ 1283003 h 1532570"/>
                                        <a:gd name="connsiteX15" fmla="*/ 174850 w 1623036"/>
                                        <a:gd name="connsiteY15" fmla="*/ 1440006 h 1532570"/>
                                        <a:gd name="connsiteX16" fmla="*/ 0 w 1623036"/>
                                        <a:gd name="connsiteY16" fmla="*/ 886780 h 1532570"/>
                                        <a:gd name="connsiteX17" fmla="*/ 255294 w 1623036"/>
                                        <a:gd name="connsiteY17" fmla="*/ 272356 h 1532570"/>
                                        <a:gd name="connsiteX18" fmla="*/ 635097 w 1623036"/>
                                        <a:gd name="connsiteY18" fmla="*/ 17912 h 1532570"/>
                                        <a:gd name="connsiteX0" fmla="*/ 635097 w 1623036"/>
                                        <a:gd name="connsiteY0" fmla="*/ 17912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9212 w 1623036"/>
                                        <a:gd name="connsiteY14" fmla="*/ 1283003 h 1532568"/>
                                        <a:gd name="connsiteX15" fmla="*/ 174850 w 1623036"/>
                                        <a:gd name="connsiteY15" fmla="*/ 1412504 h 1532568"/>
                                        <a:gd name="connsiteX16" fmla="*/ 0 w 1623036"/>
                                        <a:gd name="connsiteY16" fmla="*/ 886780 h 1532568"/>
                                        <a:gd name="connsiteX17" fmla="*/ 255294 w 1623036"/>
                                        <a:gd name="connsiteY17" fmla="*/ 272356 h 1532568"/>
                                        <a:gd name="connsiteX18" fmla="*/ 635097 w 1623036"/>
                                        <a:gd name="connsiteY18" fmla="*/ 17912 h 1532568"/>
                                        <a:gd name="connsiteX0" fmla="*/ 635097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9212 w 1623036"/>
                                        <a:gd name="connsiteY14" fmla="*/ 1283003 h 1532570"/>
                                        <a:gd name="connsiteX15" fmla="*/ 174850 w 1623036"/>
                                        <a:gd name="connsiteY15" fmla="*/ 1412504 h 1532570"/>
                                        <a:gd name="connsiteX16" fmla="*/ 0 w 1623036"/>
                                        <a:gd name="connsiteY16" fmla="*/ 886780 h 1532570"/>
                                        <a:gd name="connsiteX17" fmla="*/ 255294 w 1623036"/>
                                        <a:gd name="connsiteY17" fmla="*/ 272356 h 1532570"/>
                                        <a:gd name="connsiteX18" fmla="*/ 635097 w 1623036"/>
                                        <a:gd name="connsiteY18" fmla="*/ 17912 h 1532570"/>
                                        <a:gd name="connsiteX0" fmla="*/ 635097 w 1623036"/>
                                        <a:gd name="connsiteY0" fmla="*/ 17912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5600 w 1623036"/>
                                        <a:gd name="connsiteY14" fmla="*/ 1283003 h 1532568"/>
                                        <a:gd name="connsiteX15" fmla="*/ 174850 w 1623036"/>
                                        <a:gd name="connsiteY15" fmla="*/ 1412504 h 1532568"/>
                                        <a:gd name="connsiteX16" fmla="*/ 0 w 1623036"/>
                                        <a:gd name="connsiteY16" fmla="*/ 886780 h 1532568"/>
                                        <a:gd name="connsiteX17" fmla="*/ 255294 w 1623036"/>
                                        <a:gd name="connsiteY17" fmla="*/ 272356 h 1532568"/>
                                        <a:gd name="connsiteX18" fmla="*/ 635097 w 1623036"/>
                                        <a:gd name="connsiteY18" fmla="*/ 17912 h 1532568"/>
                                        <a:gd name="connsiteX0" fmla="*/ 635097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81430 w 1623036"/>
                                        <a:gd name="connsiteY14" fmla="*/ 1283005 h 1532570"/>
                                        <a:gd name="connsiteX15" fmla="*/ 174850 w 1623036"/>
                                        <a:gd name="connsiteY15" fmla="*/ 1412504 h 1532570"/>
                                        <a:gd name="connsiteX16" fmla="*/ 0 w 1623036"/>
                                        <a:gd name="connsiteY16" fmla="*/ 886780 h 1532570"/>
                                        <a:gd name="connsiteX17" fmla="*/ 255294 w 1623036"/>
                                        <a:gd name="connsiteY17" fmla="*/ 272356 h 1532570"/>
                                        <a:gd name="connsiteX18" fmla="*/ 635097 w 1623036"/>
                                        <a:gd name="connsiteY18" fmla="*/ 17912 h 1532570"/>
                                        <a:gd name="connsiteX0" fmla="*/ 635097 w 1623036"/>
                                        <a:gd name="connsiteY0" fmla="*/ 17912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2910 w 1623036"/>
                                        <a:gd name="connsiteY14" fmla="*/ 1304305 h 1532568"/>
                                        <a:gd name="connsiteX15" fmla="*/ 174850 w 1623036"/>
                                        <a:gd name="connsiteY15" fmla="*/ 1412504 h 1532568"/>
                                        <a:gd name="connsiteX16" fmla="*/ 0 w 1623036"/>
                                        <a:gd name="connsiteY16" fmla="*/ 886780 h 1532568"/>
                                        <a:gd name="connsiteX17" fmla="*/ 255294 w 1623036"/>
                                        <a:gd name="connsiteY17" fmla="*/ 272356 h 1532568"/>
                                        <a:gd name="connsiteX18" fmla="*/ 635097 w 1623036"/>
                                        <a:gd name="connsiteY18" fmla="*/ 17912 h 1532568"/>
                                        <a:gd name="connsiteX0" fmla="*/ 635097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2910 w 1623036"/>
                                        <a:gd name="connsiteY14" fmla="*/ 1304305 h 1532570"/>
                                        <a:gd name="connsiteX15" fmla="*/ 174850 w 1623036"/>
                                        <a:gd name="connsiteY15" fmla="*/ 1412504 h 1532570"/>
                                        <a:gd name="connsiteX16" fmla="*/ 0 w 1623036"/>
                                        <a:gd name="connsiteY16" fmla="*/ 886780 h 1532570"/>
                                        <a:gd name="connsiteX17" fmla="*/ 255294 w 1623036"/>
                                        <a:gd name="connsiteY17" fmla="*/ 272356 h 1532570"/>
                                        <a:gd name="connsiteX18" fmla="*/ 635097 w 1623036"/>
                                        <a:gd name="connsiteY18" fmla="*/ 17912 h 1532570"/>
                                        <a:gd name="connsiteX0" fmla="*/ 635097 w 1623036"/>
                                        <a:gd name="connsiteY0" fmla="*/ 17712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2910 w 1623036"/>
                                        <a:gd name="connsiteY14" fmla="*/ 1304305 h 1532568"/>
                                        <a:gd name="connsiteX15" fmla="*/ 174850 w 1623036"/>
                                        <a:gd name="connsiteY15" fmla="*/ 1412504 h 1532568"/>
                                        <a:gd name="connsiteX16" fmla="*/ 0 w 1623036"/>
                                        <a:gd name="connsiteY16" fmla="*/ 886780 h 1532568"/>
                                        <a:gd name="connsiteX17" fmla="*/ 255294 w 1623036"/>
                                        <a:gd name="connsiteY17" fmla="*/ 272356 h 1532568"/>
                                        <a:gd name="connsiteX18" fmla="*/ 635097 w 1623036"/>
                                        <a:gd name="connsiteY18" fmla="*/ 17712 h 1532568"/>
                                        <a:gd name="connsiteX0" fmla="*/ 635097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2910 w 1623036"/>
                                        <a:gd name="connsiteY14" fmla="*/ 1304305 h 1532570"/>
                                        <a:gd name="connsiteX15" fmla="*/ 174850 w 1623036"/>
                                        <a:gd name="connsiteY15" fmla="*/ 1412504 h 1532570"/>
                                        <a:gd name="connsiteX16" fmla="*/ 0 w 1623036"/>
                                        <a:gd name="connsiteY16" fmla="*/ 886780 h 1532570"/>
                                        <a:gd name="connsiteX17" fmla="*/ 255294 w 1623036"/>
                                        <a:gd name="connsiteY17" fmla="*/ 272356 h 1532570"/>
                                        <a:gd name="connsiteX18" fmla="*/ 635097 w 1623036"/>
                                        <a:gd name="connsiteY18" fmla="*/ 17912 h 1532570"/>
                                        <a:gd name="connsiteX0" fmla="*/ 635097 w 1623036"/>
                                        <a:gd name="connsiteY0" fmla="*/ 95794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2910 w 1623036"/>
                                        <a:gd name="connsiteY14" fmla="*/ 1304305 h 1532568"/>
                                        <a:gd name="connsiteX15" fmla="*/ 174850 w 1623036"/>
                                        <a:gd name="connsiteY15" fmla="*/ 1412504 h 1532568"/>
                                        <a:gd name="connsiteX16" fmla="*/ 0 w 1623036"/>
                                        <a:gd name="connsiteY16" fmla="*/ 886780 h 1532568"/>
                                        <a:gd name="connsiteX17" fmla="*/ 255294 w 1623036"/>
                                        <a:gd name="connsiteY17" fmla="*/ 272356 h 1532568"/>
                                        <a:gd name="connsiteX18" fmla="*/ 635097 w 1623036"/>
                                        <a:gd name="connsiteY18" fmla="*/ 95794 h 1532568"/>
                                        <a:gd name="connsiteX0" fmla="*/ 635097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2910 w 1623036"/>
                                        <a:gd name="connsiteY14" fmla="*/ 1304305 h 1532570"/>
                                        <a:gd name="connsiteX15" fmla="*/ 174850 w 1623036"/>
                                        <a:gd name="connsiteY15" fmla="*/ 1412504 h 1532570"/>
                                        <a:gd name="connsiteX16" fmla="*/ 0 w 1623036"/>
                                        <a:gd name="connsiteY16" fmla="*/ 886780 h 1532570"/>
                                        <a:gd name="connsiteX17" fmla="*/ 255294 w 1623036"/>
                                        <a:gd name="connsiteY17" fmla="*/ 272356 h 1532570"/>
                                        <a:gd name="connsiteX18" fmla="*/ 635097 w 1623036"/>
                                        <a:gd name="connsiteY18" fmla="*/ 17912 h 1532570"/>
                                        <a:gd name="connsiteX0" fmla="*/ 635097 w 1623036"/>
                                        <a:gd name="connsiteY0" fmla="*/ 17712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2910 w 1623036"/>
                                        <a:gd name="connsiteY14" fmla="*/ 1304305 h 1532568"/>
                                        <a:gd name="connsiteX15" fmla="*/ 174850 w 1623036"/>
                                        <a:gd name="connsiteY15" fmla="*/ 1412504 h 1532568"/>
                                        <a:gd name="connsiteX16" fmla="*/ 0 w 1623036"/>
                                        <a:gd name="connsiteY16" fmla="*/ 886780 h 1532568"/>
                                        <a:gd name="connsiteX17" fmla="*/ 255294 w 1623036"/>
                                        <a:gd name="connsiteY17" fmla="*/ 272356 h 1532568"/>
                                        <a:gd name="connsiteX18" fmla="*/ 635097 w 1623036"/>
                                        <a:gd name="connsiteY18" fmla="*/ 17712 h 1532568"/>
                                        <a:gd name="connsiteX0" fmla="*/ 635097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2910 w 1623036"/>
                                        <a:gd name="connsiteY14" fmla="*/ 1304305 h 1532570"/>
                                        <a:gd name="connsiteX15" fmla="*/ 174850 w 1623036"/>
                                        <a:gd name="connsiteY15" fmla="*/ 1412504 h 1532570"/>
                                        <a:gd name="connsiteX16" fmla="*/ 0 w 1623036"/>
                                        <a:gd name="connsiteY16" fmla="*/ 886780 h 1532570"/>
                                        <a:gd name="connsiteX17" fmla="*/ 255294 w 1623036"/>
                                        <a:gd name="connsiteY17" fmla="*/ 272356 h 1532570"/>
                                        <a:gd name="connsiteX18" fmla="*/ 635097 w 1623036"/>
                                        <a:gd name="connsiteY18" fmla="*/ 17912 h 1532570"/>
                                        <a:gd name="connsiteX0" fmla="*/ 635097 w 1623036"/>
                                        <a:gd name="connsiteY0" fmla="*/ 17712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2910 w 1623036"/>
                                        <a:gd name="connsiteY14" fmla="*/ 1304305 h 1532568"/>
                                        <a:gd name="connsiteX15" fmla="*/ 174850 w 1623036"/>
                                        <a:gd name="connsiteY15" fmla="*/ 1412504 h 1532568"/>
                                        <a:gd name="connsiteX16" fmla="*/ 0 w 1623036"/>
                                        <a:gd name="connsiteY16" fmla="*/ 886780 h 1532568"/>
                                        <a:gd name="connsiteX17" fmla="*/ 255294 w 1623036"/>
                                        <a:gd name="connsiteY17" fmla="*/ 272356 h 1532568"/>
                                        <a:gd name="connsiteX18" fmla="*/ 635097 w 1623036"/>
                                        <a:gd name="connsiteY18" fmla="*/ 17712 h 1532568"/>
                                        <a:gd name="connsiteX0" fmla="*/ 635097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2910 w 1623036"/>
                                        <a:gd name="connsiteY14" fmla="*/ 1304305 h 1532570"/>
                                        <a:gd name="connsiteX15" fmla="*/ 174850 w 1623036"/>
                                        <a:gd name="connsiteY15" fmla="*/ 1412504 h 1532570"/>
                                        <a:gd name="connsiteX16" fmla="*/ 0 w 1623036"/>
                                        <a:gd name="connsiteY16" fmla="*/ 886780 h 1532570"/>
                                        <a:gd name="connsiteX17" fmla="*/ 255294 w 1623036"/>
                                        <a:gd name="connsiteY17" fmla="*/ 272356 h 1532570"/>
                                        <a:gd name="connsiteX18" fmla="*/ 635097 w 1623036"/>
                                        <a:gd name="connsiteY18" fmla="*/ 17912 h 1532570"/>
                                        <a:gd name="connsiteX0" fmla="*/ 612180 w 1623036"/>
                                        <a:gd name="connsiteY0" fmla="*/ 77469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2910 w 1623036"/>
                                        <a:gd name="connsiteY14" fmla="*/ 1304305 h 1532568"/>
                                        <a:gd name="connsiteX15" fmla="*/ 174850 w 1623036"/>
                                        <a:gd name="connsiteY15" fmla="*/ 1412504 h 1532568"/>
                                        <a:gd name="connsiteX16" fmla="*/ 0 w 1623036"/>
                                        <a:gd name="connsiteY16" fmla="*/ 886780 h 1532568"/>
                                        <a:gd name="connsiteX17" fmla="*/ 255294 w 1623036"/>
                                        <a:gd name="connsiteY17" fmla="*/ 272356 h 1532568"/>
                                        <a:gd name="connsiteX18" fmla="*/ 612180 w 1623036"/>
                                        <a:gd name="connsiteY18" fmla="*/ 77469 h 1532568"/>
                                        <a:gd name="connsiteX0" fmla="*/ 472464 w 1623036"/>
                                        <a:gd name="connsiteY0" fmla="*/ 0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2910 w 1623036"/>
                                        <a:gd name="connsiteY14" fmla="*/ 1304305 h 1532570"/>
                                        <a:gd name="connsiteX15" fmla="*/ 174850 w 1623036"/>
                                        <a:gd name="connsiteY15" fmla="*/ 1412504 h 1532570"/>
                                        <a:gd name="connsiteX16" fmla="*/ 0 w 1623036"/>
                                        <a:gd name="connsiteY16" fmla="*/ 886780 h 1532570"/>
                                        <a:gd name="connsiteX17" fmla="*/ 255294 w 1623036"/>
                                        <a:gd name="connsiteY17" fmla="*/ 272356 h 1532570"/>
                                        <a:gd name="connsiteX18" fmla="*/ 472464 w 1623036"/>
                                        <a:gd name="connsiteY18" fmla="*/ 0 h 1532570"/>
                                        <a:gd name="connsiteX0" fmla="*/ 605380 w 1623036"/>
                                        <a:gd name="connsiteY0" fmla="*/ 3 h 1532568"/>
                                        <a:gd name="connsiteX1" fmla="*/ 766458 w 1623036"/>
                                        <a:gd name="connsiteY1" fmla="*/ 122532 h 1532568"/>
                                        <a:gd name="connsiteX2" fmla="*/ 852823 w 1623036"/>
                                        <a:gd name="connsiteY2" fmla="*/ 30959 h 1532568"/>
                                        <a:gd name="connsiteX3" fmla="*/ 1204608 w 1623036"/>
                                        <a:gd name="connsiteY3" fmla="*/ 0 h 1532568"/>
                                        <a:gd name="connsiteX4" fmla="*/ 1256522 w 1623036"/>
                                        <a:gd name="connsiteY4" fmla="*/ 471096 h 1532568"/>
                                        <a:gd name="connsiteX5" fmla="*/ 1325852 w 1623036"/>
                                        <a:gd name="connsiteY5" fmla="*/ 471262 h 1532568"/>
                                        <a:gd name="connsiteX6" fmla="*/ 1275435 w 1623036"/>
                                        <a:gd name="connsiteY6" fmla="*/ 501138 h 1532568"/>
                                        <a:gd name="connsiteX7" fmla="*/ 1421989 w 1623036"/>
                                        <a:gd name="connsiteY7" fmla="*/ 719379 h 1532568"/>
                                        <a:gd name="connsiteX8" fmla="*/ 1470711 w 1623036"/>
                                        <a:gd name="connsiteY8" fmla="*/ 848621 h 1532568"/>
                                        <a:gd name="connsiteX9" fmla="*/ 1623036 w 1623036"/>
                                        <a:gd name="connsiteY9" fmla="*/ 1009100 h 1532568"/>
                                        <a:gd name="connsiteX10" fmla="*/ 1517047 w 1623036"/>
                                        <a:gd name="connsiteY10" fmla="*/ 1052753 h 1532568"/>
                                        <a:gd name="connsiteX11" fmla="*/ 1418613 w 1623036"/>
                                        <a:gd name="connsiteY11" fmla="*/ 1304125 h 1532568"/>
                                        <a:gd name="connsiteX12" fmla="*/ 751456 w 1623036"/>
                                        <a:gd name="connsiteY12" fmla="*/ 1532569 h 1532568"/>
                                        <a:gd name="connsiteX13" fmla="*/ 472583 w 1623036"/>
                                        <a:gd name="connsiteY13" fmla="*/ 1457529 h 1532568"/>
                                        <a:gd name="connsiteX14" fmla="*/ 352910 w 1623036"/>
                                        <a:gd name="connsiteY14" fmla="*/ 1304305 h 1532568"/>
                                        <a:gd name="connsiteX15" fmla="*/ 174850 w 1623036"/>
                                        <a:gd name="connsiteY15" fmla="*/ 1412504 h 1532568"/>
                                        <a:gd name="connsiteX16" fmla="*/ 0 w 1623036"/>
                                        <a:gd name="connsiteY16" fmla="*/ 886780 h 1532568"/>
                                        <a:gd name="connsiteX17" fmla="*/ 255294 w 1623036"/>
                                        <a:gd name="connsiteY17" fmla="*/ 272356 h 1532568"/>
                                        <a:gd name="connsiteX18" fmla="*/ 605380 w 1623036"/>
                                        <a:gd name="connsiteY18" fmla="*/ 3 h 1532568"/>
                                        <a:gd name="connsiteX0" fmla="*/ 609964 w 1623036"/>
                                        <a:gd name="connsiteY0" fmla="*/ 17912 h 1532570"/>
                                        <a:gd name="connsiteX1" fmla="*/ 766458 w 1623036"/>
                                        <a:gd name="connsiteY1" fmla="*/ 122532 h 1532570"/>
                                        <a:gd name="connsiteX2" fmla="*/ 852823 w 1623036"/>
                                        <a:gd name="connsiteY2" fmla="*/ 30959 h 1532570"/>
                                        <a:gd name="connsiteX3" fmla="*/ 1204608 w 1623036"/>
                                        <a:gd name="connsiteY3" fmla="*/ 0 h 1532570"/>
                                        <a:gd name="connsiteX4" fmla="*/ 1256522 w 1623036"/>
                                        <a:gd name="connsiteY4" fmla="*/ 471096 h 1532570"/>
                                        <a:gd name="connsiteX5" fmla="*/ 1325852 w 1623036"/>
                                        <a:gd name="connsiteY5" fmla="*/ 471262 h 1532570"/>
                                        <a:gd name="connsiteX6" fmla="*/ 1275435 w 1623036"/>
                                        <a:gd name="connsiteY6" fmla="*/ 501138 h 1532570"/>
                                        <a:gd name="connsiteX7" fmla="*/ 1421989 w 1623036"/>
                                        <a:gd name="connsiteY7" fmla="*/ 719379 h 1532570"/>
                                        <a:gd name="connsiteX8" fmla="*/ 1470711 w 1623036"/>
                                        <a:gd name="connsiteY8" fmla="*/ 848621 h 1532570"/>
                                        <a:gd name="connsiteX9" fmla="*/ 1623036 w 1623036"/>
                                        <a:gd name="connsiteY9" fmla="*/ 1009100 h 1532570"/>
                                        <a:gd name="connsiteX10" fmla="*/ 1517047 w 1623036"/>
                                        <a:gd name="connsiteY10" fmla="*/ 1052753 h 1532570"/>
                                        <a:gd name="connsiteX11" fmla="*/ 1418613 w 1623036"/>
                                        <a:gd name="connsiteY11" fmla="*/ 1304125 h 1532570"/>
                                        <a:gd name="connsiteX12" fmla="*/ 751456 w 1623036"/>
                                        <a:gd name="connsiteY12" fmla="*/ 1532569 h 1532570"/>
                                        <a:gd name="connsiteX13" fmla="*/ 472583 w 1623036"/>
                                        <a:gd name="connsiteY13" fmla="*/ 1457529 h 1532570"/>
                                        <a:gd name="connsiteX14" fmla="*/ 352910 w 1623036"/>
                                        <a:gd name="connsiteY14" fmla="*/ 1304305 h 1532570"/>
                                        <a:gd name="connsiteX15" fmla="*/ 174850 w 1623036"/>
                                        <a:gd name="connsiteY15" fmla="*/ 1412504 h 1532570"/>
                                        <a:gd name="connsiteX16" fmla="*/ 0 w 1623036"/>
                                        <a:gd name="connsiteY16" fmla="*/ 886780 h 1532570"/>
                                        <a:gd name="connsiteX17" fmla="*/ 255294 w 1623036"/>
                                        <a:gd name="connsiteY17" fmla="*/ 272356 h 1532570"/>
                                        <a:gd name="connsiteX18" fmla="*/ 609964 w 1623036"/>
                                        <a:gd name="connsiteY18" fmla="*/ 17912 h 1532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23036" h="1532570">
                                          <a:moveTo>
                                            <a:pt x="609964" y="17912"/>
                                          </a:moveTo>
                                          <a:lnTo>
                                            <a:pt x="766458" y="122532"/>
                                          </a:lnTo>
                                          <a:lnTo>
                                            <a:pt x="852823" y="30959"/>
                                          </a:lnTo>
                                          <a:lnTo>
                                            <a:pt x="1204608" y="0"/>
                                          </a:lnTo>
                                          <a:lnTo>
                                            <a:pt x="1256522" y="471096"/>
                                          </a:lnTo>
                                          <a:lnTo>
                                            <a:pt x="1325852" y="471262"/>
                                          </a:lnTo>
                                          <a:cubicBezTo>
                                            <a:pt x="1325852" y="481276"/>
                                            <a:pt x="1275435" y="491124"/>
                                            <a:pt x="1275435" y="501138"/>
                                          </a:cubicBezTo>
                                          <a:lnTo>
                                            <a:pt x="1421989" y="719379"/>
                                          </a:lnTo>
                                          <a:lnTo>
                                            <a:pt x="1470711" y="848621"/>
                                          </a:lnTo>
                                          <a:lnTo>
                                            <a:pt x="1623036" y="1009100"/>
                                          </a:lnTo>
                                          <a:lnTo>
                                            <a:pt x="1517047" y="1052753"/>
                                          </a:lnTo>
                                          <a:lnTo>
                                            <a:pt x="1418613" y="1304125"/>
                                          </a:lnTo>
                                          <a:lnTo>
                                            <a:pt x="751456" y="1532569"/>
                                          </a:lnTo>
                                          <a:lnTo>
                                            <a:pt x="472583" y="1457529"/>
                                          </a:lnTo>
                                          <a:lnTo>
                                            <a:pt x="352910" y="1304305"/>
                                          </a:lnTo>
                                          <a:cubicBezTo>
                                            <a:pt x="186079" y="1439184"/>
                                            <a:pt x="266250" y="1386727"/>
                                            <a:pt x="174850" y="1412504"/>
                                          </a:cubicBezTo>
                                          <a:lnTo>
                                            <a:pt x="0" y="886780"/>
                                          </a:lnTo>
                                          <a:lnTo>
                                            <a:pt x="255294" y="272356"/>
                                          </a:lnTo>
                                          <a:lnTo>
                                            <a:pt x="609964" y="17912"/>
                                          </a:lnTo>
                                          <a:close/>
                                        </a:path>
                                      </a:pathLst>
                                    </a:cu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58" name="2621 Grupo"/>
                                <wpg:cNvGrpSpPr/>
                                <wpg:grpSpPr>
                                  <a:xfrm>
                                    <a:off x="800100" y="622300"/>
                                    <a:ext cx="120018" cy="189796"/>
                                    <a:chOff x="-48441" y="0"/>
                                    <a:chExt cx="195737" cy="304328"/>
                                  </a:xfrm>
                                </wpg:grpSpPr>
                                <wps:wsp>
                                  <wps:cNvPr id="2859" name="2622 Conector"/>
                                  <wps:cNvSpPr/>
                                  <wps:spPr>
                                    <a:xfrm>
                                      <a:off x="75304" y="0"/>
                                      <a:ext cx="71992" cy="71996"/>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0" name="2623 Cuadro de texto"/>
                                  <wps:cNvSpPr txBox="1"/>
                                  <wps:spPr>
                                    <a:xfrm>
                                      <a:off x="-48441" y="27947"/>
                                      <a:ext cx="131430" cy="276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03BB4" w14:textId="77777777" w:rsidR="00D55F13" w:rsidRPr="004E4C01" w:rsidRDefault="00D55F13" w:rsidP="00077E48">
                                        <w:pPr>
                                          <w:rPr>
                                            <w:i/>
                                            <w:color w:val="0D0D0D" w:themeColor="text1" w:themeTint="F2"/>
                                          </w:rPr>
                                        </w:pPr>
                                        <w:r w:rsidRPr="004E4C01">
                                          <w:rPr>
                                            <w:i/>
                                            <w:color w:val="0D0D0D" w:themeColor="text1" w:themeTint="F2"/>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s:wsp>
                          <wps:cNvPr id="2861" name="134 Rectángulo"/>
                          <wps:cNvSpPr/>
                          <wps:spPr>
                            <a:xfrm>
                              <a:off x="149860" y="2847975"/>
                              <a:ext cx="697864" cy="3389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B6A08" w14:textId="6A9EAE63" w:rsidR="00D55F13" w:rsidRPr="004E4C01" w:rsidRDefault="00D55F13" w:rsidP="00077E48">
                                <w:pPr>
                                  <w:jc w:val="center"/>
                                  <w:rPr>
                                    <w:rFonts w:cs="Arial"/>
                                    <w:b/>
                                    <w:color w:val="000000" w:themeColor="text1"/>
                                    <w:sz w:val="20"/>
                                  </w:rPr>
                                </w:pPr>
                                <w:r w:rsidRPr="004E4C01">
                                  <w:rPr>
                                    <w:rFonts w:cs="Arial"/>
                                    <w:b/>
                                    <w:color w:val="000000" w:themeColor="text1"/>
                                    <w:sz w:val="20"/>
                                  </w:rPr>
                                  <w:t>Escenario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862" name="2862 Grupo"/>
                        <wpg:cNvGrpSpPr/>
                        <wpg:grpSpPr>
                          <a:xfrm>
                            <a:off x="0" y="0"/>
                            <a:ext cx="4591050" cy="3302000"/>
                            <a:chOff x="0" y="0"/>
                            <a:chExt cx="4591050" cy="3302000"/>
                          </a:xfrm>
                        </wpg:grpSpPr>
                        <wpg:grpSp>
                          <wpg:cNvPr id="2863" name="2863 Grupo"/>
                          <wpg:cNvGrpSpPr/>
                          <wpg:grpSpPr>
                            <a:xfrm>
                              <a:off x="0" y="0"/>
                              <a:ext cx="4591050" cy="3302000"/>
                              <a:chOff x="0" y="0"/>
                              <a:chExt cx="4591050" cy="3302000"/>
                            </a:xfrm>
                          </wpg:grpSpPr>
                          <wps:wsp>
                            <wps:cNvPr id="2864" name="2864 Rectángulo"/>
                            <wps:cNvSpPr/>
                            <wps:spPr>
                              <a:xfrm>
                                <a:off x="0" y="0"/>
                                <a:ext cx="4591050" cy="330200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65" name="2865 Grupo"/>
                            <wpg:cNvGrpSpPr/>
                            <wpg:grpSpPr>
                              <a:xfrm>
                                <a:off x="112816" y="71252"/>
                                <a:ext cx="4449420" cy="3133428"/>
                                <a:chOff x="0" y="0"/>
                                <a:chExt cx="4449420" cy="3133428"/>
                              </a:xfrm>
                            </wpg:grpSpPr>
                            <wpg:grpSp>
                              <wpg:cNvPr id="2866" name="2866 Grupo"/>
                              <wpg:cNvGrpSpPr/>
                              <wpg:grpSpPr>
                                <a:xfrm>
                                  <a:off x="1626919" y="2119746"/>
                                  <a:ext cx="1433195" cy="1013682"/>
                                  <a:chOff x="0" y="0"/>
                                  <a:chExt cx="1433195" cy="1013682"/>
                                </a:xfrm>
                              </wpg:grpSpPr>
                              <wpg:grpSp>
                                <wpg:cNvPr id="2867" name="2867 Grupo"/>
                                <wpg:cNvGrpSpPr/>
                                <wpg:grpSpPr>
                                  <a:xfrm>
                                    <a:off x="0" y="0"/>
                                    <a:ext cx="1429167" cy="1012397"/>
                                    <a:chOff x="190005" y="0"/>
                                    <a:chExt cx="1429167" cy="1012397"/>
                                  </a:xfrm>
                                </wpg:grpSpPr>
                                <wps:wsp>
                                  <wps:cNvPr id="2868" name="2619 Forma libre"/>
                                  <wps:cNvSpPr/>
                                  <wps:spPr>
                                    <a:xfrm>
                                      <a:off x="564078" y="89065"/>
                                      <a:ext cx="1055094" cy="717133"/>
                                    </a:xfrm>
                                    <a:custGeom>
                                      <a:avLst/>
                                      <a:gdLst>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463040 w 1675181"/>
                                        <a:gd name="connsiteY9" fmla="*/ 504749 h 1141171"/>
                                        <a:gd name="connsiteX10" fmla="*/ 1558138 w 1675181"/>
                                        <a:gd name="connsiteY10" fmla="*/ 746150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75181" h="1141171">
                                          <a:moveTo>
                                            <a:pt x="153620" y="526694"/>
                                          </a:moveTo>
                                          <a:lnTo>
                                            <a:pt x="292608" y="307238"/>
                                          </a:lnTo>
                                          <a:lnTo>
                                            <a:pt x="446228" y="424282"/>
                                          </a:lnTo>
                                          <a:lnTo>
                                            <a:pt x="651053" y="285293"/>
                                          </a:lnTo>
                                          <a:lnTo>
                                            <a:pt x="811988" y="80467"/>
                                          </a:lnTo>
                                          <a:lnTo>
                                            <a:pt x="1272845" y="0"/>
                                          </a:lnTo>
                                          <a:lnTo>
                                            <a:pt x="1558138" y="29261"/>
                                          </a:lnTo>
                                          <a:lnTo>
                                            <a:pt x="1675181" y="248717"/>
                                          </a:lnTo>
                                          <a:lnTo>
                                            <a:pt x="1492301" y="321869"/>
                                          </a:lnTo>
                                          <a:lnTo>
                                            <a:pt x="1463040" y="504749"/>
                                          </a:lnTo>
                                          <a:lnTo>
                                            <a:pt x="1558138" y="746150"/>
                                          </a:lnTo>
                                          <a:lnTo>
                                            <a:pt x="1331367" y="892454"/>
                                          </a:lnTo>
                                          <a:lnTo>
                                            <a:pt x="848564" y="987552"/>
                                          </a:lnTo>
                                          <a:lnTo>
                                            <a:pt x="548640" y="1133856"/>
                                          </a:lnTo>
                                          <a:lnTo>
                                            <a:pt x="58522" y="1141171"/>
                                          </a:lnTo>
                                          <a:lnTo>
                                            <a:pt x="0" y="716890"/>
                                          </a:lnTo>
                                          <a:lnTo>
                                            <a:pt x="153620" y="526694"/>
                                          </a:lnTo>
                                          <a:close/>
                                        </a:path>
                                      </a:pathLst>
                                    </a:cu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E51B8" w14:textId="77777777" w:rsidR="00D55F13" w:rsidRPr="004E4C01" w:rsidRDefault="00D55F13" w:rsidP="00077E48">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9" name="2620 Forma libre"/>
                                  <wps:cNvSpPr/>
                                  <wps:spPr>
                                    <a:xfrm>
                                      <a:off x="439412" y="0"/>
                                      <a:ext cx="847090" cy="965200"/>
                                    </a:xfrm>
                                    <a:custGeom>
                                      <a:avLst/>
                                      <a:gdLst>
                                        <a:gd name="connsiteX0" fmla="*/ 0 w 1345997"/>
                                        <a:gd name="connsiteY0" fmla="*/ 885139 h 1587398"/>
                                        <a:gd name="connsiteX1" fmla="*/ 0 w 1345997"/>
                                        <a:gd name="connsiteY1" fmla="*/ 1221638 h 1587398"/>
                                        <a:gd name="connsiteX2" fmla="*/ 182880 w 1345997"/>
                                        <a:gd name="connsiteY2" fmla="*/ 1338682 h 1587398"/>
                                        <a:gd name="connsiteX3" fmla="*/ 299924 w 1345997"/>
                                        <a:gd name="connsiteY3" fmla="*/ 1514246 h 1587398"/>
                                        <a:gd name="connsiteX4" fmla="*/ 570586 w 1345997"/>
                                        <a:gd name="connsiteY4" fmla="*/ 1587398 h 1587398"/>
                                        <a:gd name="connsiteX5" fmla="*/ 1243584 w 1345997"/>
                                        <a:gd name="connsiteY5" fmla="*/ 1353312 h 1587398"/>
                                        <a:gd name="connsiteX6" fmla="*/ 1345997 w 1345997"/>
                                        <a:gd name="connsiteY6" fmla="*/ 1111910 h 1587398"/>
                                        <a:gd name="connsiteX7" fmla="*/ 1243584 w 1345997"/>
                                        <a:gd name="connsiteY7" fmla="*/ 768096 h 1587398"/>
                                        <a:gd name="connsiteX8" fmla="*/ 1089965 w 1345997"/>
                                        <a:gd name="connsiteY8" fmla="*/ 526694 h 1587398"/>
                                        <a:gd name="connsiteX9" fmla="*/ 1038759 w 1345997"/>
                                        <a:gd name="connsiteY9" fmla="*/ 51206 h 1587398"/>
                                        <a:gd name="connsiteX10" fmla="*/ 519380 w 1345997"/>
                                        <a:gd name="connsiteY10" fmla="*/ 0 h 1587398"/>
                                        <a:gd name="connsiteX11" fmla="*/ 490119 w 1345997"/>
                                        <a:gd name="connsiteY11" fmla="*/ 526694 h 1587398"/>
                                        <a:gd name="connsiteX12" fmla="*/ 482804 w 1345997"/>
                                        <a:gd name="connsiteY12" fmla="*/ 819302 h 1587398"/>
                                        <a:gd name="connsiteX13" fmla="*/ 219456 w 1345997"/>
                                        <a:gd name="connsiteY13" fmla="*/ 768096 h 1587398"/>
                                        <a:gd name="connsiteX14" fmla="*/ 0 w 1345997"/>
                                        <a:gd name="connsiteY14" fmla="*/ 885139 h 1587398"/>
                                        <a:gd name="connsiteX0" fmla="*/ 0 w 1345997"/>
                                        <a:gd name="connsiteY0" fmla="*/ 885139 h 1587398"/>
                                        <a:gd name="connsiteX1" fmla="*/ 0 w 1345997"/>
                                        <a:gd name="connsiteY1" fmla="*/ 1221638 h 1587398"/>
                                        <a:gd name="connsiteX2" fmla="*/ 182880 w 1345997"/>
                                        <a:gd name="connsiteY2" fmla="*/ 1338682 h 1587398"/>
                                        <a:gd name="connsiteX3" fmla="*/ 299924 w 1345997"/>
                                        <a:gd name="connsiteY3" fmla="*/ 1514246 h 1587398"/>
                                        <a:gd name="connsiteX4" fmla="*/ 570586 w 1345997"/>
                                        <a:gd name="connsiteY4" fmla="*/ 1587398 h 1587398"/>
                                        <a:gd name="connsiteX5" fmla="*/ 1243584 w 1345997"/>
                                        <a:gd name="connsiteY5" fmla="*/ 1353312 h 1587398"/>
                                        <a:gd name="connsiteX6" fmla="*/ 1345997 w 1345997"/>
                                        <a:gd name="connsiteY6" fmla="*/ 1111910 h 1587398"/>
                                        <a:gd name="connsiteX7" fmla="*/ 1243584 w 1345997"/>
                                        <a:gd name="connsiteY7" fmla="*/ 768096 h 1587398"/>
                                        <a:gd name="connsiteX8" fmla="*/ 1089965 w 1345997"/>
                                        <a:gd name="connsiteY8" fmla="*/ 526694 h 1587398"/>
                                        <a:gd name="connsiteX9" fmla="*/ 1038759 w 1345997"/>
                                        <a:gd name="connsiteY9" fmla="*/ 51206 h 1587398"/>
                                        <a:gd name="connsiteX10" fmla="*/ 519380 w 1345997"/>
                                        <a:gd name="connsiteY10" fmla="*/ 0 h 1587398"/>
                                        <a:gd name="connsiteX11" fmla="*/ 380513 w 1345997"/>
                                        <a:gd name="connsiteY11" fmla="*/ 380518 h 1587398"/>
                                        <a:gd name="connsiteX12" fmla="*/ 482804 w 1345997"/>
                                        <a:gd name="connsiteY12" fmla="*/ 819302 h 1587398"/>
                                        <a:gd name="connsiteX13" fmla="*/ 219456 w 1345997"/>
                                        <a:gd name="connsiteY13" fmla="*/ 768096 h 1587398"/>
                                        <a:gd name="connsiteX14" fmla="*/ 0 w 1345997"/>
                                        <a:gd name="connsiteY14" fmla="*/ 885139 h 1587398"/>
                                        <a:gd name="connsiteX0" fmla="*/ 0 w 1345997"/>
                                        <a:gd name="connsiteY0" fmla="*/ 833933 h 1536192"/>
                                        <a:gd name="connsiteX1" fmla="*/ 0 w 1345997"/>
                                        <a:gd name="connsiteY1" fmla="*/ 1170432 h 1536192"/>
                                        <a:gd name="connsiteX2" fmla="*/ 182880 w 1345997"/>
                                        <a:gd name="connsiteY2" fmla="*/ 1287476 h 1536192"/>
                                        <a:gd name="connsiteX3" fmla="*/ 299924 w 1345997"/>
                                        <a:gd name="connsiteY3" fmla="*/ 1463040 h 1536192"/>
                                        <a:gd name="connsiteX4" fmla="*/ 570586 w 1345997"/>
                                        <a:gd name="connsiteY4" fmla="*/ 1536192 h 1536192"/>
                                        <a:gd name="connsiteX5" fmla="*/ 1243584 w 1345997"/>
                                        <a:gd name="connsiteY5" fmla="*/ 1302106 h 1536192"/>
                                        <a:gd name="connsiteX6" fmla="*/ 1345997 w 1345997"/>
                                        <a:gd name="connsiteY6" fmla="*/ 1060704 h 1536192"/>
                                        <a:gd name="connsiteX7" fmla="*/ 1243584 w 1345997"/>
                                        <a:gd name="connsiteY7" fmla="*/ 716890 h 1536192"/>
                                        <a:gd name="connsiteX8" fmla="*/ 1089965 w 1345997"/>
                                        <a:gd name="connsiteY8" fmla="*/ 475488 h 1536192"/>
                                        <a:gd name="connsiteX9" fmla="*/ 1038759 w 1345997"/>
                                        <a:gd name="connsiteY9" fmla="*/ 0 h 1536192"/>
                                        <a:gd name="connsiteX10" fmla="*/ 680532 w 1345997"/>
                                        <a:gd name="connsiteY10" fmla="*/ 29288 h 1536192"/>
                                        <a:gd name="connsiteX11" fmla="*/ 380513 w 1345997"/>
                                        <a:gd name="connsiteY11" fmla="*/ 329312 h 1536192"/>
                                        <a:gd name="connsiteX12" fmla="*/ 482804 w 1345997"/>
                                        <a:gd name="connsiteY12" fmla="*/ 768096 h 1536192"/>
                                        <a:gd name="connsiteX13" fmla="*/ 219456 w 1345997"/>
                                        <a:gd name="connsiteY13" fmla="*/ 716890 h 1536192"/>
                                        <a:gd name="connsiteX14" fmla="*/ 0 w 1345997"/>
                                        <a:gd name="connsiteY14" fmla="*/ 833933 h 1536192"/>
                                        <a:gd name="connsiteX0" fmla="*/ 0 w 1345997"/>
                                        <a:gd name="connsiteY0" fmla="*/ 833933 h 1536192"/>
                                        <a:gd name="connsiteX1" fmla="*/ 0 w 1345997"/>
                                        <a:gd name="connsiteY1" fmla="*/ 1170432 h 1536192"/>
                                        <a:gd name="connsiteX2" fmla="*/ 182880 w 1345997"/>
                                        <a:gd name="connsiteY2" fmla="*/ 1287476 h 1536192"/>
                                        <a:gd name="connsiteX3" fmla="*/ 299924 w 1345997"/>
                                        <a:gd name="connsiteY3" fmla="*/ 1463040 h 1536192"/>
                                        <a:gd name="connsiteX4" fmla="*/ 570586 w 1345997"/>
                                        <a:gd name="connsiteY4" fmla="*/ 1536192 h 1536192"/>
                                        <a:gd name="connsiteX5" fmla="*/ 1243584 w 1345997"/>
                                        <a:gd name="connsiteY5" fmla="*/ 1302106 h 1536192"/>
                                        <a:gd name="connsiteX6" fmla="*/ 1345997 w 1345997"/>
                                        <a:gd name="connsiteY6" fmla="*/ 1060704 h 1536192"/>
                                        <a:gd name="connsiteX7" fmla="*/ 1243584 w 1345997"/>
                                        <a:gd name="connsiteY7" fmla="*/ 716890 h 1536192"/>
                                        <a:gd name="connsiteX8" fmla="*/ 1089965 w 1345997"/>
                                        <a:gd name="connsiteY8" fmla="*/ 475488 h 1536192"/>
                                        <a:gd name="connsiteX9" fmla="*/ 1038759 w 1345997"/>
                                        <a:gd name="connsiteY9" fmla="*/ 0 h 1536192"/>
                                        <a:gd name="connsiteX10" fmla="*/ 680532 w 1345997"/>
                                        <a:gd name="connsiteY10" fmla="*/ 29288 h 1536192"/>
                                        <a:gd name="connsiteX11" fmla="*/ 380513 w 1345997"/>
                                        <a:gd name="connsiteY11" fmla="*/ 329312 h 1536192"/>
                                        <a:gd name="connsiteX12" fmla="*/ 446371 w 1345997"/>
                                        <a:gd name="connsiteY12" fmla="*/ 563317 h 1536192"/>
                                        <a:gd name="connsiteX13" fmla="*/ 219456 w 1345997"/>
                                        <a:gd name="connsiteY13" fmla="*/ 716890 h 1536192"/>
                                        <a:gd name="connsiteX14" fmla="*/ 0 w 1345997"/>
                                        <a:gd name="connsiteY14" fmla="*/ 833933 h 153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45997" h="1536192">
                                          <a:moveTo>
                                            <a:pt x="0" y="833933"/>
                                          </a:moveTo>
                                          <a:lnTo>
                                            <a:pt x="0" y="1170432"/>
                                          </a:lnTo>
                                          <a:lnTo>
                                            <a:pt x="182880" y="1287476"/>
                                          </a:lnTo>
                                          <a:lnTo>
                                            <a:pt x="299924" y="1463040"/>
                                          </a:lnTo>
                                          <a:lnTo>
                                            <a:pt x="570586" y="1536192"/>
                                          </a:lnTo>
                                          <a:lnTo>
                                            <a:pt x="1243584" y="1302106"/>
                                          </a:lnTo>
                                          <a:lnTo>
                                            <a:pt x="1345997" y="1060704"/>
                                          </a:lnTo>
                                          <a:lnTo>
                                            <a:pt x="1243584" y="716890"/>
                                          </a:lnTo>
                                          <a:lnTo>
                                            <a:pt x="1089965" y="475488"/>
                                          </a:lnTo>
                                          <a:lnTo>
                                            <a:pt x="1038759" y="0"/>
                                          </a:lnTo>
                                          <a:lnTo>
                                            <a:pt x="680532" y="29288"/>
                                          </a:lnTo>
                                          <a:lnTo>
                                            <a:pt x="380513" y="329312"/>
                                          </a:lnTo>
                                          <a:lnTo>
                                            <a:pt x="446371" y="563317"/>
                                          </a:lnTo>
                                          <a:lnTo>
                                            <a:pt x="219456" y="716890"/>
                                          </a:lnTo>
                                          <a:lnTo>
                                            <a:pt x="0" y="833933"/>
                                          </a:lnTo>
                                          <a:close/>
                                        </a:path>
                                      </a:pathLst>
                                    </a:custGeom>
                                    <a:noFill/>
                                    <a:ln w="1905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CEECB" w14:textId="77777777" w:rsidR="00D55F13" w:rsidRPr="004E4C01" w:rsidRDefault="00D55F13" w:rsidP="00077E48">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0" name="2618 Forma libre"/>
                                  <wps:cNvSpPr/>
                                  <wps:spPr>
                                    <a:xfrm>
                                      <a:off x="190005" y="5937"/>
                                      <a:ext cx="1320666" cy="1006460"/>
                                    </a:xfrm>
                                    <a:custGeom>
                                      <a:avLst/>
                                      <a:gdLst>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09 w 1585665"/>
                                        <a:gd name="connsiteY6" fmla="*/ 1020111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37 w 1585665"/>
                                        <a:gd name="connsiteY6" fmla="*/ 1029588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30836 w 1551373"/>
                                        <a:gd name="connsiteY0" fmla="*/ 0 h 1215676"/>
                                        <a:gd name="connsiteX1" fmla="*/ 1284452 w 1551373"/>
                                        <a:gd name="connsiteY1" fmla="*/ 594624 h 1215676"/>
                                        <a:gd name="connsiteX2" fmla="*/ 1263310 w 1551373"/>
                                        <a:gd name="connsiteY2" fmla="*/ 652765 h 1215676"/>
                                        <a:gd name="connsiteX3" fmla="*/ 1551373 w 1551373"/>
                                        <a:gd name="connsiteY3" fmla="*/ 924971 h 1215676"/>
                                        <a:gd name="connsiteX4" fmla="*/ 1186670 w 1551373"/>
                                        <a:gd name="connsiteY4" fmla="*/ 1154892 h 1215676"/>
                                        <a:gd name="connsiteX5" fmla="*/ 782325 w 1551373"/>
                                        <a:gd name="connsiteY5" fmla="*/ 1025396 h 1215676"/>
                                        <a:gd name="connsiteX6" fmla="*/ 602645 w 1551373"/>
                                        <a:gd name="connsiteY6" fmla="*/ 1029588 h 1215676"/>
                                        <a:gd name="connsiteX7" fmla="*/ 536547 w 1551373"/>
                                        <a:gd name="connsiteY7" fmla="*/ 1215676 h 1215676"/>
                                        <a:gd name="connsiteX8" fmla="*/ 97847 w 1551373"/>
                                        <a:gd name="connsiteY8" fmla="*/ 1057109 h 1215676"/>
                                        <a:gd name="connsiteX9" fmla="*/ 0 w 1551373"/>
                                        <a:gd name="connsiteY9" fmla="*/ 648008 h 1215676"/>
                                        <a:gd name="connsiteX10" fmla="*/ 161273 w 1551373"/>
                                        <a:gd name="connsiteY10" fmla="*/ 190279 h 1215676"/>
                                        <a:gd name="connsiteX11" fmla="*/ 430836 w 1551373"/>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7854 w 1591380"/>
                                        <a:gd name="connsiteY8" fmla="*/ 1057109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66436 w 1591380"/>
                                        <a:gd name="connsiteY8" fmla="*/ 1020997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70843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64157 w 1591380"/>
                                        <a:gd name="connsiteY10" fmla="*/ 23414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197491 w 1591380"/>
                                        <a:gd name="connsiteY10" fmla="*/ 188473 h 1215676"/>
                                        <a:gd name="connsiteX11" fmla="*/ 467054 w 1591380"/>
                                        <a:gd name="connsiteY11" fmla="*/ 0 h 1215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91380" h="1215676">
                                          <a:moveTo>
                                            <a:pt x="467054" y="0"/>
                                          </a:moveTo>
                                          <a:lnTo>
                                            <a:pt x="1324459" y="594624"/>
                                          </a:lnTo>
                                          <a:lnTo>
                                            <a:pt x="1303317" y="652765"/>
                                          </a:lnTo>
                                          <a:lnTo>
                                            <a:pt x="1591380" y="924971"/>
                                          </a:lnTo>
                                          <a:lnTo>
                                            <a:pt x="1226677" y="1154892"/>
                                          </a:lnTo>
                                          <a:lnTo>
                                            <a:pt x="822332" y="1025396"/>
                                          </a:lnTo>
                                          <a:lnTo>
                                            <a:pt x="642652" y="1029588"/>
                                          </a:lnTo>
                                          <a:lnTo>
                                            <a:pt x="576554" y="1215676"/>
                                          </a:lnTo>
                                          <a:lnTo>
                                            <a:pt x="130247" y="1059346"/>
                                          </a:lnTo>
                                          <a:lnTo>
                                            <a:pt x="0" y="659593"/>
                                          </a:lnTo>
                                          <a:lnTo>
                                            <a:pt x="197491" y="188473"/>
                                          </a:lnTo>
                                          <a:lnTo>
                                            <a:pt x="467054" y="0"/>
                                          </a:lnTo>
                                          <a:close/>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27F64" w14:textId="77777777" w:rsidR="00D55F13" w:rsidRPr="004E4C01" w:rsidRDefault="00D55F13" w:rsidP="00077E48">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71" name="2871 Grupo"/>
                                  <wpg:cNvGrpSpPr/>
                                  <wpg:grpSpPr>
                                    <a:xfrm>
                                      <a:off x="789709" y="623454"/>
                                      <a:ext cx="121345" cy="190344"/>
                                      <a:chOff x="0" y="0"/>
                                      <a:chExt cx="121345" cy="190344"/>
                                    </a:xfrm>
                                  </wpg:grpSpPr>
                                  <wps:wsp>
                                    <wps:cNvPr id="2872" name="2622 Conector"/>
                                    <wps:cNvSpPr/>
                                    <wps:spPr>
                                      <a:xfrm>
                                        <a:off x="77190" y="0"/>
                                        <a:ext cx="44155" cy="44944"/>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3" name="2623 Cuadro de texto"/>
                                    <wps:cNvSpPr txBox="1"/>
                                    <wps:spPr>
                                      <a:xfrm>
                                        <a:off x="0" y="17813"/>
                                        <a:ext cx="80610" cy="172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12841" w14:textId="77777777" w:rsidR="00D55F13" w:rsidRPr="004E4C01" w:rsidRDefault="00D55F13" w:rsidP="00077E48">
                                          <w:pPr>
                                            <w:rPr>
                                              <w:i/>
                                              <w:color w:val="0D0D0D" w:themeColor="text1" w:themeTint="F2"/>
                                            </w:rPr>
                                          </w:pPr>
                                          <w:r w:rsidRPr="004E4C01">
                                            <w:rPr>
                                              <w:i/>
                                              <w:color w:val="0D0D0D" w:themeColor="text1" w:themeTint="F2"/>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2874" name="158 Forma libre"/>
                                <wps:cNvSpPr/>
                                <wps:spPr>
                                  <a:xfrm>
                                    <a:off x="0" y="5938"/>
                                    <a:ext cx="1433195" cy="1007744"/>
                                  </a:xfrm>
                                  <a:custGeom>
                                    <a:avLst/>
                                    <a:gdLst>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80006 w 2275027"/>
                                      <a:gd name="connsiteY5" fmla="*/ 128016 h 1598371"/>
                                      <a:gd name="connsiteX6" fmla="*/ 2157984 w 2275027"/>
                                      <a:gd name="connsiteY6" fmla="*/ 157277 h 1598371"/>
                                      <a:gd name="connsiteX7" fmla="*/ 2275027 w 2275027"/>
                                      <a:gd name="connsiteY7" fmla="*/ 376733 h 1598371"/>
                                      <a:gd name="connsiteX8" fmla="*/ 2095805 w 2275027"/>
                                      <a:gd name="connsiteY8" fmla="*/ 446227 h 1598371"/>
                                      <a:gd name="connsiteX9" fmla="*/ 2062886 w 2275027"/>
                                      <a:gd name="connsiteY9" fmla="*/ 643737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5805 w 2275027"/>
                                      <a:gd name="connsiteY8" fmla="*/ 446227 h 1598371"/>
                                      <a:gd name="connsiteX9" fmla="*/ 2062886 w 2275027"/>
                                      <a:gd name="connsiteY9" fmla="*/ 643737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3006 w 2275027"/>
                                      <a:gd name="connsiteY8" fmla="*/ 450058 h 1598371"/>
                                      <a:gd name="connsiteX9" fmla="*/ 2062886 w 2275027"/>
                                      <a:gd name="connsiteY9" fmla="*/ 643737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3006 w 2275027"/>
                                      <a:gd name="connsiteY8" fmla="*/ 450058 h 1598371"/>
                                      <a:gd name="connsiteX9" fmla="*/ 2057584 w 2275027"/>
                                      <a:gd name="connsiteY9" fmla="*/ 626622 h 1598371"/>
                                      <a:gd name="connsiteX10" fmla="*/ 2157984 w 2275027"/>
                                      <a:gd name="connsiteY10" fmla="*/ 877824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0 h 1598371"/>
                                      <a:gd name="connsiteX1" fmla="*/ 903427 w 2275027"/>
                                      <a:gd name="connsiteY1" fmla="*/ 197510 h 1598371"/>
                                      <a:gd name="connsiteX2" fmla="*/ 1075334 w 2275027"/>
                                      <a:gd name="connsiteY2" fmla="*/ 25603 h 1598371"/>
                                      <a:gd name="connsiteX3" fmla="*/ 1433779 w 2275027"/>
                                      <a:gd name="connsiteY3" fmla="*/ 0 h 1598371"/>
                                      <a:gd name="connsiteX4" fmla="*/ 1455725 w 2275027"/>
                                      <a:gd name="connsiteY4" fmla="*/ 197510 h 1598371"/>
                                      <a:gd name="connsiteX5" fmla="*/ 1874668 w 2275027"/>
                                      <a:gd name="connsiteY5" fmla="*/ 125965 h 1598371"/>
                                      <a:gd name="connsiteX6" fmla="*/ 2157984 w 2275027"/>
                                      <a:gd name="connsiteY6" fmla="*/ 157277 h 1598371"/>
                                      <a:gd name="connsiteX7" fmla="*/ 2275027 w 2275027"/>
                                      <a:gd name="connsiteY7" fmla="*/ 376733 h 1598371"/>
                                      <a:gd name="connsiteX8" fmla="*/ 2093006 w 2275027"/>
                                      <a:gd name="connsiteY8" fmla="*/ 450058 h 1598371"/>
                                      <a:gd name="connsiteX9" fmla="*/ 2057584 w 2275027"/>
                                      <a:gd name="connsiteY9" fmla="*/ 626622 h 1598371"/>
                                      <a:gd name="connsiteX10" fmla="*/ 2154607 w 2275027"/>
                                      <a:gd name="connsiteY10" fmla="*/ 874056 h 1598371"/>
                                      <a:gd name="connsiteX11" fmla="*/ 1923897 w 2275027"/>
                                      <a:gd name="connsiteY11" fmla="*/ 1024128 h 1598371"/>
                                      <a:gd name="connsiteX12" fmla="*/ 1923897 w 2275027"/>
                                      <a:gd name="connsiteY12" fmla="*/ 1024128 h 1598371"/>
                                      <a:gd name="connsiteX13" fmla="*/ 1880006 w 2275027"/>
                                      <a:gd name="connsiteY13" fmla="*/ 1031443 h 1598371"/>
                                      <a:gd name="connsiteX14" fmla="*/ 2095805 w 2275027"/>
                                      <a:gd name="connsiteY14" fmla="*/ 1221638 h 1598371"/>
                                      <a:gd name="connsiteX15" fmla="*/ 1609344 w 2275027"/>
                                      <a:gd name="connsiteY15" fmla="*/ 1517904 h 1598371"/>
                                      <a:gd name="connsiteX16" fmla="*/ 1294790 w 2275027"/>
                                      <a:gd name="connsiteY16" fmla="*/ 1415491 h 1598371"/>
                                      <a:gd name="connsiteX17" fmla="*/ 965606 w 2275027"/>
                                      <a:gd name="connsiteY17" fmla="*/ 1536192 h 1598371"/>
                                      <a:gd name="connsiteX18" fmla="*/ 797357 w 2275027"/>
                                      <a:gd name="connsiteY18" fmla="*/ 1488643 h 1598371"/>
                                      <a:gd name="connsiteX19" fmla="*/ 757123 w 2275027"/>
                                      <a:gd name="connsiteY19" fmla="*/ 1598371 h 1598371"/>
                                      <a:gd name="connsiteX20" fmla="*/ 171907 w 2275027"/>
                                      <a:gd name="connsiteY20" fmla="*/ 1397203 h 1598371"/>
                                      <a:gd name="connsiteX21" fmla="*/ 0 w 2275027"/>
                                      <a:gd name="connsiteY21" fmla="*/ 870509 h 1598371"/>
                                      <a:gd name="connsiteX22" fmla="*/ 259689 w 2275027"/>
                                      <a:gd name="connsiteY22" fmla="*/ 245059 h 1598371"/>
                                      <a:gd name="connsiteX23" fmla="*/ 614477 w 2275027"/>
                                      <a:gd name="connsiteY23" fmla="*/ 0 h 1598371"/>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23897 w 2275027"/>
                                      <a:gd name="connsiteY12" fmla="*/ 1026033 h 1600276"/>
                                      <a:gd name="connsiteX13" fmla="*/ 1880006 w 2275027"/>
                                      <a:gd name="connsiteY13" fmla="*/ 1033348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80006 w 2275027"/>
                                      <a:gd name="connsiteY13" fmla="*/ 1033348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89911 w 2275027"/>
                                      <a:gd name="connsiteY13" fmla="*/ 1029587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94101 w 2275027"/>
                                      <a:gd name="connsiteY13" fmla="*/ 1025826 h 1600276"/>
                                      <a:gd name="connsiteX14" fmla="*/ 2095805 w 2275027"/>
                                      <a:gd name="connsiteY14" fmla="*/ 1223543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94101 w 2275027"/>
                                      <a:gd name="connsiteY13" fmla="*/ 1025826 h 1600276"/>
                                      <a:gd name="connsiteX14" fmla="*/ 2093006 w 2275027"/>
                                      <a:gd name="connsiteY14" fmla="*/ 1215981 h 1600276"/>
                                      <a:gd name="connsiteX15" fmla="*/ 1609344 w 2275027"/>
                                      <a:gd name="connsiteY15" fmla="*/ 1519809 h 1600276"/>
                                      <a:gd name="connsiteX16" fmla="*/ 1294790 w 2275027"/>
                                      <a:gd name="connsiteY16" fmla="*/ 1417396 h 1600276"/>
                                      <a:gd name="connsiteX17" fmla="*/ 965606 w 2275027"/>
                                      <a:gd name="connsiteY17" fmla="*/ 1538097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4477 w 2275027"/>
                                      <a:gd name="connsiteY0" fmla="*/ 1905 h 1600276"/>
                                      <a:gd name="connsiteX1" fmla="*/ 903427 w 2275027"/>
                                      <a:gd name="connsiteY1" fmla="*/ 199415 h 1600276"/>
                                      <a:gd name="connsiteX2" fmla="*/ 1075334 w 2275027"/>
                                      <a:gd name="connsiteY2" fmla="*/ 27508 h 1600276"/>
                                      <a:gd name="connsiteX3" fmla="*/ 1430256 w 2275027"/>
                                      <a:gd name="connsiteY3" fmla="*/ 0 h 1600276"/>
                                      <a:gd name="connsiteX4" fmla="*/ 1455725 w 2275027"/>
                                      <a:gd name="connsiteY4" fmla="*/ 199415 h 1600276"/>
                                      <a:gd name="connsiteX5" fmla="*/ 1874668 w 2275027"/>
                                      <a:gd name="connsiteY5" fmla="*/ 127870 h 1600276"/>
                                      <a:gd name="connsiteX6" fmla="*/ 2157984 w 2275027"/>
                                      <a:gd name="connsiteY6" fmla="*/ 159182 h 1600276"/>
                                      <a:gd name="connsiteX7" fmla="*/ 2275027 w 2275027"/>
                                      <a:gd name="connsiteY7" fmla="*/ 378638 h 1600276"/>
                                      <a:gd name="connsiteX8" fmla="*/ 2093006 w 2275027"/>
                                      <a:gd name="connsiteY8" fmla="*/ 451963 h 1600276"/>
                                      <a:gd name="connsiteX9" fmla="*/ 2057584 w 2275027"/>
                                      <a:gd name="connsiteY9" fmla="*/ 628527 h 1600276"/>
                                      <a:gd name="connsiteX10" fmla="*/ 2154607 w 2275027"/>
                                      <a:gd name="connsiteY10" fmla="*/ 875961 h 1600276"/>
                                      <a:gd name="connsiteX11" fmla="*/ 1923897 w 2275027"/>
                                      <a:gd name="connsiteY11" fmla="*/ 1026033 h 1600276"/>
                                      <a:gd name="connsiteX12" fmla="*/ 1931905 w 2275027"/>
                                      <a:gd name="connsiteY12" fmla="*/ 1022272 h 1600276"/>
                                      <a:gd name="connsiteX13" fmla="*/ 1894101 w 2275027"/>
                                      <a:gd name="connsiteY13" fmla="*/ 1025826 h 1600276"/>
                                      <a:gd name="connsiteX14" fmla="*/ 2093006 w 2275027"/>
                                      <a:gd name="connsiteY14" fmla="*/ 1215981 h 1600276"/>
                                      <a:gd name="connsiteX15" fmla="*/ 1609344 w 2275027"/>
                                      <a:gd name="connsiteY15" fmla="*/ 1519809 h 1600276"/>
                                      <a:gd name="connsiteX16" fmla="*/ 1294790 w 2275027"/>
                                      <a:gd name="connsiteY16" fmla="*/ 1417396 h 1600276"/>
                                      <a:gd name="connsiteX17" fmla="*/ 965800 w 2275027"/>
                                      <a:gd name="connsiteY17" fmla="*/ 1534233 h 1600276"/>
                                      <a:gd name="connsiteX18" fmla="*/ 797357 w 2275027"/>
                                      <a:gd name="connsiteY18" fmla="*/ 1490548 h 1600276"/>
                                      <a:gd name="connsiteX19" fmla="*/ 757123 w 2275027"/>
                                      <a:gd name="connsiteY19" fmla="*/ 1600276 h 1600276"/>
                                      <a:gd name="connsiteX20" fmla="*/ 171907 w 2275027"/>
                                      <a:gd name="connsiteY20" fmla="*/ 1399108 h 1600276"/>
                                      <a:gd name="connsiteX21" fmla="*/ 0 w 2275027"/>
                                      <a:gd name="connsiteY21" fmla="*/ 872414 h 1600276"/>
                                      <a:gd name="connsiteX22" fmla="*/ 259689 w 2275027"/>
                                      <a:gd name="connsiteY22" fmla="*/ 246964 h 1600276"/>
                                      <a:gd name="connsiteX23" fmla="*/ 614477 w 2275027"/>
                                      <a:gd name="connsiteY23" fmla="*/ 1905 h 1600276"/>
                                      <a:gd name="connsiteX0" fmla="*/ 616382 w 2276932"/>
                                      <a:gd name="connsiteY0" fmla="*/ 1905 h 1600276"/>
                                      <a:gd name="connsiteX1" fmla="*/ 905332 w 2276932"/>
                                      <a:gd name="connsiteY1" fmla="*/ 199415 h 1600276"/>
                                      <a:gd name="connsiteX2" fmla="*/ 1077239 w 2276932"/>
                                      <a:gd name="connsiteY2" fmla="*/ 27508 h 1600276"/>
                                      <a:gd name="connsiteX3" fmla="*/ 1432161 w 2276932"/>
                                      <a:gd name="connsiteY3" fmla="*/ 0 h 1600276"/>
                                      <a:gd name="connsiteX4" fmla="*/ 1457630 w 2276932"/>
                                      <a:gd name="connsiteY4" fmla="*/ 199415 h 1600276"/>
                                      <a:gd name="connsiteX5" fmla="*/ 1876573 w 2276932"/>
                                      <a:gd name="connsiteY5" fmla="*/ 127870 h 1600276"/>
                                      <a:gd name="connsiteX6" fmla="*/ 2159889 w 2276932"/>
                                      <a:gd name="connsiteY6" fmla="*/ 159182 h 1600276"/>
                                      <a:gd name="connsiteX7" fmla="*/ 2276932 w 2276932"/>
                                      <a:gd name="connsiteY7" fmla="*/ 378638 h 1600276"/>
                                      <a:gd name="connsiteX8" fmla="*/ 2094911 w 2276932"/>
                                      <a:gd name="connsiteY8" fmla="*/ 451963 h 1600276"/>
                                      <a:gd name="connsiteX9" fmla="*/ 2059489 w 2276932"/>
                                      <a:gd name="connsiteY9" fmla="*/ 628527 h 1600276"/>
                                      <a:gd name="connsiteX10" fmla="*/ 2156512 w 2276932"/>
                                      <a:gd name="connsiteY10" fmla="*/ 875961 h 1600276"/>
                                      <a:gd name="connsiteX11" fmla="*/ 1925802 w 2276932"/>
                                      <a:gd name="connsiteY11" fmla="*/ 1026033 h 1600276"/>
                                      <a:gd name="connsiteX12" fmla="*/ 1933810 w 2276932"/>
                                      <a:gd name="connsiteY12" fmla="*/ 1022272 h 1600276"/>
                                      <a:gd name="connsiteX13" fmla="*/ 1896006 w 2276932"/>
                                      <a:gd name="connsiteY13" fmla="*/ 1025826 h 1600276"/>
                                      <a:gd name="connsiteX14" fmla="*/ 2094911 w 2276932"/>
                                      <a:gd name="connsiteY14" fmla="*/ 1215981 h 1600276"/>
                                      <a:gd name="connsiteX15" fmla="*/ 1611249 w 2276932"/>
                                      <a:gd name="connsiteY15" fmla="*/ 1519809 h 1600276"/>
                                      <a:gd name="connsiteX16" fmla="*/ 1296695 w 2276932"/>
                                      <a:gd name="connsiteY16" fmla="*/ 1417396 h 1600276"/>
                                      <a:gd name="connsiteX17" fmla="*/ 967705 w 2276932"/>
                                      <a:gd name="connsiteY17" fmla="*/ 1534233 h 1600276"/>
                                      <a:gd name="connsiteX18" fmla="*/ 799262 w 2276932"/>
                                      <a:gd name="connsiteY18" fmla="*/ 1490548 h 1600276"/>
                                      <a:gd name="connsiteX19" fmla="*/ 759028 w 2276932"/>
                                      <a:gd name="connsiteY19" fmla="*/ 1600276 h 1600276"/>
                                      <a:gd name="connsiteX20" fmla="*/ 173812 w 2276932"/>
                                      <a:gd name="connsiteY20" fmla="*/ 1399108 h 1600276"/>
                                      <a:gd name="connsiteX21" fmla="*/ 0 w 2276932"/>
                                      <a:gd name="connsiteY21" fmla="*/ 870550 h 1600276"/>
                                      <a:gd name="connsiteX22" fmla="*/ 261594 w 2276932"/>
                                      <a:gd name="connsiteY22" fmla="*/ 246964 h 1600276"/>
                                      <a:gd name="connsiteX23" fmla="*/ 616382 w 2276932"/>
                                      <a:gd name="connsiteY23" fmla="*/ 1905 h 1600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276932" h="1600276">
                                        <a:moveTo>
                                          <a:pt x="616382" y="1905"/>
                                        </a:moveTo>
                                        <a:lnTo>
                                          <a:pt x="905332" y="199415"/>
                                        </a:lnTo>
                                        <a:lnTo>
                                          <a:pt x="1077239" y="27508"/>
                                        </a:lnTo>
                                        <a:lnTo>
                                          <a:pt x="1432161" y="0"/>
                                        </a:lnTo>
                                        <a:lnTo>
                                          <a:pt x="1457630" y="199415"/>
                                        </a:lnTo>
                                        <a:lnTo>
                                          <a:pt x="1876573" y="127870"/>
                                        </a:lnTo>
                                        <a:lnTo>
                                          <a:pt x="2159889" y="159182"/>
                                        </a:lnTo>
                                        <a:lnTo>
                                          <a:pt x="2276932" y="378638"/>
                                        </a:lnTo>
                                        <a:lnTo>
                                          <a:pt x="2094911" y="451963"/>
                                        </a:lnTo>
                                        <a:lnTo>
                                          <a:pt x="2059489" y="628527"/>
                                        </a:lnTo>
                                        <a:lnTo>
                                          <a:pt x="2156512" y="875961"/>
                                        </a:lnTo>
                                        <a:lnTo>
                                          <a:pt x="1925802" y="1026033"/>
                                        </a:lnTo>
                                        <a:cubicBezTo>
                                          <a:pt x="1888685" y="1050418"/>
                                          <a:pt x="1938776" y="1022307"/>
                                          <a:pt x="1933810" y="1022272"/>
                                        </a:cubicBezTo>
                                        <a:cubicBezTo>
                                          <a:pt x="1928844" y="1022238"/>
                                          <a:pt x="1910004" y="1023388"/>
                                          <a:pt x="1896006" y="1025826"/>
                                        </a:cubicBezTo>
                                        <a:lnTo>
                                          <a:pt x="2094911" y="1215981"/>
                                        </a:lnTo>
                                        <a:lnTo>
                                          <a:pt x="1611249" y="1519809"/>
                                        </a:lnTo>
                                        <a:lnTo>
                                          <a:pt x="1296695" y="1417396"/>
                                        </a:lnTo>
                                        <a:lnTo>
                                          <a:pt x="967705" y="1534233"/>
                                        </a:lnTo>
                                        <a:lnTo>
                                          <a:pt x="799262" y="1490548"/>
                                        </a:lnTo>
                                        <a:lnTo>
                                          <a:pt x="759028" y="1600276"/>
                                        </a:lnTo>
                                        <a:lnTo>
                                          <a:pt x="173812" y="1399108"/>
                                        </a:lnTo>
                                        <a:lnTo>
                                          <a:pt x="0" y="870550"/>
                                        </a:lnTo>
                                        <a:lnTo>
                                          <a:pt x="261594" y="246964"/>
                                        </a:lnTo>
                                        <a:lnTo>
                                          <a:pt x="616382" y="1905"/>
                                        </a:lnTo>
                                        <a:close/>
                                      </a:path>
                                    </a:pathLst>
                                  </a:cu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5" name="2875 Grupo"/>
                              <wpg:cNvGrpSpPr/>
                              <wpg:grpSpPr>
                                <a:xfrm>
                                  <a:off x="0" y="201881"/>
                                  <a:ext cx="4366047" cy="1007985"/>
                                  <a:chOff x="0" y="0"/>
                                  <a:chExt cx="4366047" cy="1007985"/>
                                </a:xfrm>
                              </wpg:grpSpPr>
                              <wpg:grpSp>
                                <wpg:cNvPr id="2876" name="2876 Grupo"/>
                                <wpg:cNvGrpSpPr/>
                                <wpg:grpSpPr>
                                  <a:xfrm>
                                    <a:off x="0" y="0"/>
                                    <a:ext cx="1317125" cy="1007985"/>
                                    <a:chOff x="0" y="0"/>
                                    <a:chExt cx="1317125" cy="1007985"/>
                                  </a:xfrm>
                                </wpg:grpSpPr>
                                <wps:wsp>
                                  <wps:cNvPr id="2877" name="2603 Forma libre"/>
                                  <wps:cNvSpPr/>
                                  <wps:spPr>
                                    <a:xfrm>
                                      <a:off x="0" y="0"/>
                                      <a:ext cx="1317125" cy="1007985"/>
                                    </a:xfrm>
                                    <a:custGeom>
                                      <a:avLst/>
                                      <a:gdLst>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09 w 1585665"/>
                                        <a:gd name="connsiteY6" fmla="*/ 1020111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37 w 1585665"/>
                                        <a:gd name="connsiteY6" fmla="*/ 1029588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30836 w 1551373"/>
                                        <a:gd name="connsiteY0" fmla="*/ 0 h 1215676"/>
                                        <a:gd name="connsiteX1" fmla="*/ 1284452 w 1551373"/>
                                        <a:gd name="connsiteY1" fmla="*/ 594624 h 1215676"/>
                                        <a:gd name="connsiteX2" fmla="*/ 1263310 w 1551373"/>
                                        <a:gd name="connsiteY2" fmla="*/ 652765 h 1215676"/>
                                        <a:gd name="connsiteX3" fmla="*/ 1551373 w 1551373"/>
                                        <a:gd name="connsiteY3" fmla="*/ 924971 h 1215676"/>
                                        <a:gd name="connsiteX4" fmla="*/ 1186670 w 1551373"/>
                                        <a:gd name="connsiteY4" fmla="*/ 1154892 h 1215676"/>
                                        <a:gd name="connsiteX5" fmla="*/ 782325 w 1551373"/>
                                        <a:gd name="connsiteY5" fmla="*/ 1025396 h 1215676"/>
                                        <a:gd name="connsiteX6" fmla="*/ 602645 w 1551373"/>
                                        <a:gd name="connsiteY6" fmla="*/ 1029588 h 1215676"/>
                                        <a:gd name="connsiteX7" fmla="*/ 536547 w 1551373"/>
                                        <a:gd name="connsiteY7" fmla="*/ 1215676 h 1215676"/>
                                        <a:gd name="connsiteX8" fmla="*/ 97847 w 1551373"/>
                                        <a:gd name="connsiteY8" fmla="*/ 1057109 h 1215676"/>
                                        <a:gd name="connsiteX9" fmla="*/ 0 w 1551373"/>
                                        <a:gd name="connsiteY9" fmla="*/ 648008 h 1215676"/>
                                        <a:gd name="connsiteX10" fmla="*/ 161273 w 1551373"/>
                                        <a:gd name="connsiteY10" fmla="*/ 190279 h 1215676"/>
                                        <a:gd name="connsiteX11" fmla="*/ 430836 w 1551373"/>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7854 w 1591380"/>
                                        <a:gd name="connsiteY8" fmla="*/ 1057109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66436 w 1591380"/>
                                        <a:gd name="connsiteY8" fmla="*/ 1020997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70843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64157 w 1591380"/>
                                        <a:gd name="connsiteY10" fmla="*/ 23414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197491 w 1591380"/>
                                        <a:gd name="connsiteY10" fmla="*/ 188473 h 1215676"/>
                                        <a:gd name="connsiteX11" fmla="*/ 467054 w 1591380"/>
                                        <a:gd name="connsiteY11" fmla="*/ 0 h 1215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91380" h="1215676">
                                          <a:moveTo>
                                            <a:pt x="467054" y="0"/>
                                          </a:moveTo>
                                          <a:lnTo>
                                            <a:pt x="1324459" y="594624"/>
                                          </a:lnTo>
                                          <a:lnTo>
                                            <a:pt x="1303317" y="652765"/>
                                          </a:lnTo>
                                          <a:lnTo>
                                            <a:pt x="1591380" y="924971"/>
                                          </a:lnTo>
                                          <a:lnTo>
                                            <a:pt x="1226677" y="1154892"/>
                                          </a:lnTo>
                                          <a:lnTo>
                                            <a:pt x="822332" y="1025396"/>
                                          </a:lnTo>
                                          <a:lnTo>
                                            <a:pt x="642652" y="1029588"/>
                                          </a:lnTo>
                                          <a:lnTo>
                                            <a:pt x="576554" y="1215676"/>
                                          </a:lnTo>
                                          <a:lnTo>
                                            <a:pt x="130247" y="1059346"/>
                                          </a:lnTo>
                                          <a:lnTo>
                                            <a:pt x="0" y="659593"/>
                                          </a:lnTo>
                                          <a:lnTo>
                                            <a:pt x="197491" y="188473"/>
                                          </a:lnTo>
                                          <a:lnTo>
                                            <a:pt x="467054" y="0"/>
                                          </a:lnTo>
                                          <a:close/>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48AA9" w14:textId="77777777" w:rsidR="00D55F13" w:rsidRPr="004E4C01" w:rsidRDefault="00D55F13" w:rsidP="00077E48">
                                        <w:pP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8" name="2604 Cuadro de texto"/>
                                  <wps:cNvSpPr txBox="1"/>
                                  <wps:spPr>
                                    <a:xfrm>
                                      <a:off x="463138" y="623454"/>
                                      <a:ext cx="63095" cy="171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0081C" w14:textId="77777777" w:rsidR="00D55F13" w:rsidRPr="004E4C01" w:rsidRDefault="00D55F13" w:rsidP="00077E48">
                                        <w:pPr>
                                          <w:rPr>
                                            <w:i/>
                                          </w:rPr>
                                        </w:pPr>
                                        <w:r w:rsidRPr="004E4C01">
                                          <w:rPr>
                                            <w:i/>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9" name="2605 Conector"/>
                                  <wps:cNvSpPr/>
                                  <wps:spPr>
                                    <a:xfrm>
                                      <a:off x="552202" y="617517"/>
                                      <a:ext cx="45239" cy="45328"/>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80" name="2880 Grupo"/>
                                <wpg:cNvGrpSpPr/>
                                <wpg:grpSpPr>
                                  <a:xfrm>
                                    <a:off x="1989117" y="100940"/>
                                    <a:ext cx="1051560" cy="718185"/>
                                    <a:chOff x="0" y="0"/>
                                    <a:chExt cx="1051560" cy="718185"/>
                                  </a:xfrm>
                                </wpg:grpSpPr>
                                <wps:wsp>
                                  <wps:cNvPr id="2881" name="2608 Forma libre"/>
                                  <wps:cNvSpPr/>
                                  <wps:spPr>
                                    <a:xfrm>
                                      <a:off x="0" y="0"/>
                                      <a:ext cx="1051560" cy="718185"/>
                                    </a:xfrm>
                                    <a:custGeom>
                                      <a:avLst/>
                                      <a:gdLst>
                                        <a:gd name="connsiteX0" fmla="*/ 153620 w 1675181"/>
                                        <a:gd name="connsiteY0" fmla="*/ 526694 h 1141171"/>
                                        <a:gd name="connsiteX1" fmla="*/ 292608 w 1675181"/>
                                        <a:gd name="connsiteY1" fmla="*/ 307238 h 1141171"/>
                                        <a:gd name="connsiteX2" fmla="*/ 446228 w 1675181"/>
                                        <a:gd name="connsiteY2" fmla="*/ 424282 h 1141171"/>
                                        <a:gd name="connsiteX3" fmla="*/ 651053 w 1675181"/>
                                        <a:gd name="connsiteY3" fmla="*/ 285293 h 1141171"/>
                                        <a:gd name="connsiteX4" fmla="*/ 811988 w 1675181"/>
                                        <a:gd name="connsiteY4" fmla="*/ 80467 h 1141171"/>
                                        <a:gd name="connsiteX5" fmla="*/ 1272845 w 1675181"/>
                                        <a:gd name="connsiteY5" fmla="*/ 0 h 1141171"/>
                                        <a:gd name="connsiteX6" fmla="*/ 1558138 w 1675181"/>
                                        <a:gd name="connsiteY6" fmla="*/ 29261 h 1141171"/>
                                        <a:gd name="connsiteX7" fmla="*/ 1675181 w 1675181"/>
                                        <a:gd name="connsiteY7" fmla="*/ 248717 h 1141171"/>
                                        <a:gd name="connsiteX8" fmla="*/ 1492301 w 1675181"/>
                                        <a:gd name="connsiteY8" fmla="*/ 321869 h 1141171"/>
                                        <a:gd name="connsiteX9" fmla="*/ 1463040 w 1675181"/>
                                        <a:gd name="connsiteY9" fmla="*/ 504749 h 1141171"/>
                                        <a:gd name="connsiteX10" fmla="*/ 1558138 w 1675181"/>
                                        <a:gd name="connsiteY10" fmla="*/ 746150 h 1141171"/>
                                        <a:gd name="connsiteX11" fmla="*/ 1331367 w 1675181"/>
                                        <a:gd name="connsiteY11" fmla="*/ 892454 h 1141171"/>
                                        <a:gd name="connsiteX12" fmla="*/ 848564 w 1675181"/>
                                        <a:gd name="connsiteY12" fmla="*/ 987552 h 1141171"/>
                                        <a:gd name="connsiteX13" fmla="*/ 548640 w 1675181"/>
                                        <a:gd name="connsiteY13" fmla="*/ 1133856 h 1141171"/>
                                        <a:gd name="connsiteX14" fmla="*/ 58522 w 1675181"/>
                                        <a:gd name="connsiteY14" fmla="*/ 1141171 h 1141171"/>
                                        <a:gd name="connsiteX15" fmla="*/ 0 w 1675181"/>
                                        <a:gd name="connsiteY15" fmla="*/ 716890 h 1141171"/>
                                        <a:gd name="connsiteX16" fmla="*/ 153620 w 1675181"/>
                                        <a:gd name="connsiteY16" fmla="*/ 526694 h 1141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75181" h="1141171">
                                          <a:moveTo>
                                            <a:pt x="153620" y="526694"/>
                                          </a:moveTo>
                                          <a:lnTo>
                                            <a:pt x="292608" y="307238"/>
                                          </a:lnTo>
                                          <a:lnTo>
                                            <a:pt x="446228" y="424282"/>
                                          </a:lnTo>
                                          <a:lnTo>
                                            <a:pt x="651053" y="285293"/>
                                          </a:lnTo>
                                          <a:lnTo>
                                            <a:pt x="811988" y="80467"/>
                                          </a:lnTo>
                                          <a:lnTo>
                                            <a:pt x="1272845" y="0"/>
                                          </a:lnTo>
                                          <a:lnTo>
                                            <a:pt x="1558138" y="29261"/>
                                          </a:lnTo>
                                          <a:lnTo>
                                            <a:pt x="1675181" y="248717"/>
                                          </a:lnTo>
                                          <a:lnTo>
                                            <a:pt x="1492301" y="321869"/>
                                          </a:lnTo>
                                          <a:lnTo>
                                            <a:pt x="1463040" y="504749"/>
                                          </a:lnTo>
                                          <a:lnTo>
                                            <a:pt x="1558138" y="746150"/>
                                          </a:lnTo>
                                          <a:lnTo>
                                            <a:pt x="1331367" y="892454"/>
                                          </a:lnTo>
                                          <a:lnTo>
                                            <a:pt x="848564" y="987552"/>
                                          </a:lnTo>
                                          <a:lnTo>
                                            <a:pt x="548640" y="1133856"/>
                                          </a:lnTo>
                                          <a:lnTo>
                                            <a:pt x="58522" y="1141171"/>
                                          </a:lnTo>
                                          <a:lnTo>
                                            <a:pt x="0" y="716890"/>
                                          </a:lnTo>
                                          <a:lnTo>
                                            <a:pt x="153620" y="526694"/>
                                          </a:lnTo>
                                          <a:close/>
                                        </a:path>
                                      </a:pathLst>
                                    </a:cu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4F510" w14:textId="77777777" w:rsidR="00D55F13" w:rsidRPr="004E4C01" w:rsidRDefault="00D55F13" w:rsidP="00077E48">
                                        <w:pPr>
                                          <w:jc w:val="cente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2" name="2882 Grupo"/>
                                  <wpg:cNvGrpSpPr/>
                                  <wpg:grpSpPr>
                                    <a:xfrm>
                                      <a:off x="184067" y="510639"/>
                                      <a:ext cx="128349" cy="175851"/>
                                      <a:chOff x="0" y="0"/>
                                      <a:chExt cx="128349" cy="175851"/>
                                    </a:xfrm>
                                  </wpg:grpSpPr>
                                  <wps:wsp>
                                    <wps:cNvPr id="2883" name="2609 Cuadro de texto"/>
                                    <wps:cNvSpPr txBox="1"/>
                                    <wps:spPr>
                                      <a:xfrm>
                                        <a:off x="0" y="17813"/>
                                        <a:ext cx="82707" cy="158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B8007" w14:textId="77777777" w:rsidR="00D55F13" w:rsidRPr="004E4C01" w:rsidRDefault="00D55F13" w:rsidP="00077E48">
                                          <w:pPr>
                                            <w:rPr>
                                              <w:i/>
                                            </w:rPr>
                                          </w:pPr>
                                          <w:r w:rsidRPr="004E4C01">
                                            <w:rPr>
                                              <w:i/>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84" name="2610 Conector"/>
                                    <wps:cNvSpPr/>
                                    <wps:spPr>
                                      <a:xfrm>
                                        <a:off x="83128" y="0"/>
                                        <a:ext cx="45221" cy="45324"/>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85" name="2885 Grupo"/>
                                <wpg:cNvGrpSpPr/>
                                <wpg:grpSpPr>
                                  <a:xfrm>
                                    <a:off x="3521034" y="0"/>
                                    <a:ext cx="845013" cy="966271"/>
                                    <a:chOff x="0" y="0"/>
                                    <a:chExt cx="845013" cy="966271"/>
                                  </a:xfrm>
                                </wpg:grpSpPr>
                                <wps:wsp>
                                  <wps:cNvPr id="2886" name="2613 Forma libre"/>
                                  <wps:cNvSpPr/>
                                  <wps:spPr>
                                    <a:xfrm>
                                      <a:off x="0" y="0"/>
                                      <a:ext cx="845013" cy="966271"/>
                                    </a:xfrm>
                                    <a:custGeom>
                                      <a:avLst/>
                                      <a:gdLst>
                                        <a:gd name="connsiteX0" fmla="*/ 0 w 1345997"/>
                                        <a:gd name="connsiteY0" fmla="*/ 885139 h 1587398"/>
                                        <a:gd name="connsiteX1" fmla="*/ 0 w 1345997"/>
                                        <a:gd name="connsiteY1" fmla="*/ 1221638 h 1587398"/>
                                        <a:gd name="connsiteX2" fmla="*/ 182880 w 1345997"/>
                                        <a:gd name="connsiteY2" fmla="*/ 1338682 h 1587398"/>
                                        <a:gd name="connsiteX3" fmla="*/ 299924 w 1345997"/>
                                        <a:gd name="connsiteY3" fmla="*/ 1514246 h 1587398"/>
                                        <a:gd name="connsiteX4" fmla="*/ 570586 w 1345997"/>
                                        <a:gd name="connsiteY4" fmla="*/ 1587398 h 1587398"/>
                                        <a:gd name="connsiteX5" fmla="*/ 1243584 w 1345997"/>
                                        <a:gd name="connsiteY5" fmla="*/ 1353312 h 1587398"/>
                                        <a:gd name="connsiteX6" fmla="*/ 1345997 w 1345997"/>
                                        <a:gd name="connsiteY6" fmla="*/ 1111910 h 1587398"/>
                                        <a:gd name="connsiteX7" fmla="*/ 1243584 w 1345997"/>
                                        <a:gd name="connsiteY7" fmla="*/ 768096 h 1587398"/>
                                        <a:gd name="connsiteX8" fmla="*/ 1089965 w 1345997"/>
                                        <a:gd name="connsiteY8" fmla="*/ 526694 h 1587398"/>
                                        <a:gd name="connsiteX9" fmla="*/ 1038759 w 1345997"/>
                                        <a:gd name="connsiteY9" fmla="*/ 51206 h 1587398"/>
                                        <a:gd name="connsiteX10" fmla="*/ 519380 w 1345997"/>
                                        <a:gd name="connsiteY10" fmla="*/ 0 h 1587398"/>
                                        <a:gd name="connsiteX11" fmla="*/ 490119 w 1345997"/>
                                        <a:gd name="connsiteY11" fmla="*/ 526694 h 1587398"/>
                                        <a:gd name="connsiteX12" fmla="*/ 482804 w 1345997"/>
                                        <a:gd name="connsiteY12" fmla="*/ 819302 h 1587398"/>
                                        <a:gd name="connsiteX13" fmla="*/ 219456 w 1345997"/>
                                        <a:gd name="connsiteY13" fmla="*/ 768096 h 1587398"/>
                                        <a:gd name="connsiteX14" fmla="*/ 0 w 1345997"/>
                                        <a:gd name="connsiteY14" fmla="*/ 885139 h 1587398"/>
                                        <a:gd name="connsiteX0" fmla="*/ 0 w 1345997"/>
                                        <a:gd name="connsiteY0" fmla="*/ 885139 h 1587398"/>
                                        <a:gd name="connsiteX1" fmla="*/ 0 w 1345997"/>
                                        <a:gd name="connsiteY1" fmla="*/ 1221638 h 1587398"/>
                                        <a:gd name="connsiteX2" fmla="*/ 182880 w 1345997"/>
                                        <a:gd name="connsiteY2" fmla="*/ 1338682 h 1587398"/>
                                        <a:gd name="connsiteX3" fmla="*/ 299924 w 1345997"/>
                                        <a:gd name="connsiteY3" fmla="*/ 1514246 h 1587398"/>
                                        <a:gd name="connsiteX4" fmla="*/ 570586 w 1345997"/>
                                        <a:gd name="connsiteY4" fmla="*/ 1587398 h 1587398"/>
                                        <a:gd name="connsiteX5" fmla="*/ 1243584 w 1345997"/>
                                        <a:gd name="connsiteY5" fmla="*/ 1353312 h 1587398"/>
                                        <a:gd name="connsiteX6" fmla="*/ 1345997 w 1345997"/>
                                        <a:gd name="connsiteY6" fmla="*/ 1111910 h 1587398"/>
                                        <a:gd name="connsiteX7" fmla="*/ 1243584 w 1345997"/>
                                        <a:gd name="connsiteY7" fmla="*/ 768096 h 1587398"/>
                                        <a:gd name="connsiteX8" fmla="*/ 1089965 w 1345997"/>
                                        <a:gd name="connsiteY8" fmla="*/ 526694 h 1587398"/>
                                        <a:gd name="connsiteX9" fmla="*/ 1038759 w 1345997"/>
                                        <a:gd name="connsiteY9" fmla="*/ 51206 h 1587398"/>
                                        <a:gd name="connsiteX10" fmla="*/ 519380 w 1345997"/>
                                        <a:gd name="connsiteY10" fmla="*/ 0 h 1587398"/>
                                        <a:gd name="connsiteX11" fmla="*/ 380513 w 1345997"/>
                                        <a:gd name="connsiteY11" fmla="*/ 380518 h 1587398"/>
                                        <a:gd name="connsiteX12" fmla="*/ 482804 w 1345997"/>
                                        <a:gd name="connsiteY12" fmla="*/ 819302 h 1587398"/>
                                        <a:gd name="connsiteX13" fmla="*/ 219456 w 1345997"/>
                                        <a:gd name="connsiteY13" fmla="*/ 768096 h 1587398"/>
                                        <a:gd name="connsiteX14" fmla="*/ 0 w 1345997"/>
                                        <a:gd name="connsiteY14" fmla="*/ 885139 h 1587398"/>
                                        <a:gd name="connsiteX0" fmla="*/ 0 w 1345997"/>
                                        <a:gd name="connsiteY0" fmla="*/ 833933 h 1536192"/>
                                        <a:gd name="connsiteX1" fmla="*/ 0 w 1345997"/>
                                        <a:gd name="connsiteY1" fmla="*/ 1170432 h 1536192"/>
                                        <a:gd name="connsiteX2" fmla="*/ 182880 w 1345997"/>
                                        <a:gd name="connsiteY2" fmla="*/ 1287476 h 1536192"/>
                                        <a:gd name="connsiteX3" fmla="*/ 299924 w 1345997"/>
                                        <a:gd name="connsiteY3" fmla="*/ 1463040 h 1536192"/>
                                        <a:gd name="connsiteX4" fmla="*/ 570586 w 1345997"/>
                                        <a:gd name="connsiteY4" fmla="*/ 1536192 h 1536192"/>
                                        <a:gd name="connsiteX5" fmla="*/ 1243584 w 1345997"/>
                                        <a:gd name="connsiteY5" fmla="*/ 1302106 h 1536192"/>
                                        <a:gd name="connsiteX6" fmla="*/ 1345997 w 1345997"/>
                                        <a:gd name="connsiteY6" fmla="*/ 1060704 h 1536192"/>
                                        <a:gd name="connsiteX7" fmla="*/ 1243584 w 1345997"/>
                                        <a:gd name="connsiteY7" fmla="*/ 716890 h 1536192"/>
                                        <a:gd name="connsiteX8" fmla="*/ 1089965 w 1345997"/>
                                        <a:gd name="connsiteY8" fmla="*/ 475488 h 1536192"/>
                                        <a:gd name="connsiteX9" fmla="*/ 1038759 w 1345997"/>
                                        <a:gd name="connsiteY9" fmla="*/ 0 h 1536192"/>
                                        <a:gd name="connsiteX10" fmla="*/ 680532 w 1345997"/>
                                        <a:gd name="connsiteY10" fmla="*/ 29288 h 1536192"/>
                                        <a:gd name="connsiteX11" fmla="*/ 380513 w 1345997"/>
                                        <a:gd name="connsiteY11" fmla="*/ 329312 h 1536192"/>
                                        <a:gd name="connsiteX12" fmla="*/ 482804 w 1345997"/>
                                        <a:gd name="connsiteY12" fmla="*/ 768096 h 1536192"/>
                                        <a:gd name="connsiteX13" fmla="*/ 219456 w 1345997"/>
                                        <a:gd name="connsiteY13" fmla="*/ 716890 h 1536192"/>
                                        <a:gd name="connsiteX14" fmla="*/ 0 w 1345997"/>
                                        <a:gd name="connsiteY14" fmla="*/ 833933 h 1536192"/>
                                        <a:gd name="connsiteX0" fmla="*/ 0 w 1345997"/>
                                        <a:gd name="connsiteY0" fmla="*/ 833933 h 1536192"/>
                                        <a:gd name="connsiteX1" fmla="*/ 0 w 1345997"/>
                                        <a:gd name="connsiteY1" fmla="*/ 1170432 h 1536192"/>
                                        <a:gd name="connsiteX2" fmla="*/ 182880 w 1345997"/>
                                        <a:gd name="connsiteY2" fmla="*/ 1287476 h 1536192"/>
                                        <a:gd name="connsiteX3" fmla="*/ 299924 w 1345997"/>
                                        <a:gd name="connsiteY3" fmla="*/ 1463040 h 1536192"/>
                                        <a:gd name="connsiteX4" fmla="*/ 570586 w 1345997"/>
                                        <a:gd name="connsiteY4" fmla="*/ 1536192 h 1536192"/>
                                        <a:gd name="connsiteX5" fmla="*/ 1243584 w 1345997"/>
                                        <a:gd name="connsiteY5" fmla="*/ 1302106 h 1536192"/>
                                        <a:gd name="connsiteX6" fmla="*/ 1345997 w 1345997"/>
                                        <a:gd name="connsiteY6" fmla="*/ 1060704 h 1536192"/>
                                        <a:gd name="connsiteX7" fmla="*/ 1243584 w 1345997"/>
                                        <a:gd name="connsiteY7" fmla="*/ 716890 h 1536192"/>
                                        <a:gd name="connsiteX8" fmla="*/ 1089965 w 1345997"/>
                                        <a:gd name="connsiteY8" fmla="*/ 475488 h 1536192"/>
                                        <a:gd name="connsiteX9" fmla="*/ 1038759 w 1345997"/>
                                        <a:gd name="connsiteY9" fmla="*/ 0 h 1536192"/>
                                        <a:gd name="connsiteX10" fmla="*/ 680532 w 1345997"/>
                                        <a:gd name="connsiteY10" fmla="*/ 29288 h 1536192"/>
                                        <a:gd name="connsiteX11" fmla="*/ 380513 w 1345997"/>
                                        <a:gd name="connsiteY11" fmla="*/ 329312 h 1536192"/>
                                        <a:gd name="connsiteX12" fmla="*/ 446371 w 1345997"/>
                                        <a:gd name="connsiteY12" fmla="*/ 563317 h 1536192"/>
                                        <a:gd name="connsiteX13" fmla="*/ 219456 w 1345997"/>
                                        <a:gd name="connsiteY13" fmla="*/ 716890 h 1536192"/>
                                        <a:gd name="connsiteX14" fmla="*/ 0 w 1345997"/>
                                        <a:gd name="connsiteY14" fmla="*/ 833933 h 153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45997" h="1536192">
                                          <a:moveTo>
                                            <a:pt x="0" y="833933"/>
                                          </a:moveTo>
                                          <a:lnTo>
                                            <a:pt x="0" y="1170432"/>
                                          </a:lnTo>
                                          <a:lnTo>
                                            <a:pt x="182880" y="1287476"/>
                                          </a:lnTo>
                                          <a:lnTo>
                                            <a:pt x="299924" y="1463040"/>
                                          </a:lnTo>
                                          <a:lnTo>
                                            <a:pt x="570586" y="1536192"/>
                                          </a:lnTo>
                                          <a:lnTo>
                                            <a:pt x="1243584" y="1302106"/>
                                          </a:lnTo>
                                          <a:lnTo>
                                            <a:pt x="1345997" y="1060704"/>
                                          </a:lnTo>
                                          <a:lnTo>
                                            <a:pt x="1243584" y="716890"/>
                                          </a:lnTo>
                                          <a:lnTo>
                                            <a:pt x="1089965" y="475488"/>
                                          </a:lnTo>
                                          <a:lnTo>
                                            <a:pt x="1038759" y="0"/>
                                          </a:lnTo>
                                          <a:lnTo>
                                            <a:pt x="680532" y="29288"/>
                                          </a:lnTo>
                                          <a:lnTo>
                                            <a:pt x="380513" y="329312"/>
                                          </a:lnTo>
                                          <a:lnTo>
                                            <a:pt x="446371" y="563317"/>
                                          </a:lnTo>
                                          <a:lnTo>
                                            <a:pt x="219456" y="716890"/>
                                          </a:lnTo>
                                          <a:lnTo>
                                            <a:pt x="0" y="833933"/>
                                          </a:lnTo>
                                          <a:close/>
                                        </a:path>
                                      </a:pathLst>
                                    </a:custGeom>
                                    <a:noFill/>
                                    <a:ln w="1905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2DCFC" w14:textId="77777777" w:rsidR="00D55F13" w:rsidRPr="004E4C01" w:rsidRDefault="00D55F13" w:rsidP="00077E48">
                                        <w:pPr>
                                          <w:jc w:val="cente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7" name="2615 Conector"/>
                                  <wps:cNvSpPr/>
                                  <wps:spPr>
                                    <a:xfrm>
                                      <a:off x="534390" y="605641"/>
                                      <a:ext cx="45045" cy="45142"/>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8" name="2614 Cuadro de texto"/>
                                  <wps:cNvSpPr txBox="1"/>
                                  <wps:spPr>
                                    <a:xfrm>
                                      <a:off x="457200" y="629392"/>
                                      <a:ext cx="59534" cy="212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F9606" w14:textId="77777777" w:rsidR="00D55F13" w:rsidRPr="004E4C01" w:rsidRDefault="00D55F13" w:rsidP="00077E48">
                                        <w:pPr>
                                          <w:rPr>
                                            <w:i/>
                                          </w:rPr>
                                        </w:pPr>
                                        <w:r w:rsidRPr="004E4C01">
                                          <w:rPr>
                                            <w:i/>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2889" name="2889 Grupo"/>
                              <wpg:cNvGrpSpPr/>
                              <wpg:grpSpPr>
                                <a:xfrm>
                                  <a:off x="1288473" y="1140032"/>
                                  <a:ext cx="2203644" cy="675157"/>
                                  <a:chOff x="0" y="0"/>
                                  <a:chExt cx="2203644" cy="675157"/>
                                </a:xfrm>
                              </wpg:grpSpPr>
                              <wps:wsp>
                                <wps:cNvPr id="2890" name="2659 Flecha derecha"/>
                                <wps:cNvSpPr/>
                                <wps:spPr>
                                  <a:xfrm rot="5400000">
                                    <a:off x="773151" y="236252"/>
                                    <a:ext cx="636562" cy="164057"/>
                                  </a:xfrm>
                                  <a:prstGeom prst="rightArrow">
                                    <a:avLst>
                                      <a:gd name="adj1" fmla="val 50000"/>
                                      <a:gd name="adj2" fmla="val 121365"/>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1" name="2660 Flecha derecha"/>
                                <wps:cNvSpPr/>
                                <wps:spPr>
                                  <a:xfrm rot="8047803">
                                    <a:off x="1803335" y="274847"/>
                                    <a:ext cx="636562" cy="164057"/>
                                  </a:xfrm>
                                  <a:prstGeom prst="rightArrow">
                                    <a:avLst>
                                      <a:gd name="adj1" fmla="val 50000"/>
                                      <a:gd name="adj2" fmla="val 121365"/>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2" name="2661 Flecha derecha"/>
                                <wps:cNvSpPr/>
                                <wps:spPr>
                                  <a:xfrm rot="2919613">
                                    <a:off x="-236252" y="271879"/>
                                    <a:ext cx="636562" cy="164057"/>
                                  </a:xfrm>
                                  <a:prstGeom prst="rightArrow">
                                    <a:avLst>
                                      <a:gd name="adj1" fmla="val 50000"/>
                                      <a:gd name="adj2" fmla="val 121365"/>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3" name="2893 Grupo"/>
                              <wpg:cNvGrpSpPr/>
                              <wpg:grpSpPr>
                                <a:xfrm>
                                  <a:off x="1436914" y="1900052"/>
                                  <a:ext cx="2216932" cy="161712"/>
                                  <a:chOff x="0" y="0"/>
                                  <a:chExt cx="2216932" cy="161712"/>
                                </a:xfrm>
                              </wpg:grpSpPr>
                              <wps:wsp>
                                <wps:cNvPr id="2894" name="133 Rectángulo redondeado"/>
                                <wps:cNvSpPr/>
                                <wps:spPr>
                                  <a:xfrm>
                                    <a:off x="0" y="0"/>
                                    <a:ext cx="323541" cy="161712"/>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73DD6" w14:textId="77777777" w:rsidR="00D55F13" w:rsidRPr="004E4C01" w:rsidRDefault="00D55F13" w:rsidP="00077E48">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5" name="134 Rectángulo"/>
                                <wps:cNvSpPr/>
                                <wps:spPr>
                                  <a:xfrm>
                                    <a:off x="439387" y="23751"/>
                                    <a:ext cx="1777545" cy="1314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F83AA" w14:textId="77777777" w:rsidR="00D55F13" w:rsidRPr="004E4C01" w:rsidRDefault="00D55F13" w:rsidP="00077E48">
                                      <w:pPr>
                                        <w:jc w:val="left"/>
                                        <w:rPr>
                                          <w:rFonts w:cs="Arial"/>
                                          <w:b/>
                                          <w:color w:val="000000" w:themeColor="text1"/>
                                          <w:sz w:val="16"/>
                                        </w:rPr>
                                      </w:pPr>
                                      <w:r w:rsidRPr="004E4C01">
                                        <w:rPr>
                                          <w:rFonts w:cs="Arial"/>
                                          <w:b/>
                                          <w:color w:val="000000" w:themeColor="text1"/>
                                          <w:sz w:val="16"/>
                                        </w:rPr>
                                        <w:t>Área de influencia de un medio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896" name="2896 Grupo"/>
                              <wpg:cNvGrpSpPr/>
                              <wpg:grpSpPr>
                                <a:xfrm>
                                  <a:off x="100940" y="0"/>
                                  <a:ext cx="4348480" cy="130175"/>
                                  <a:chOff x="0" y="0"/>
                                  <a:chExt cx="4348480" cy="130175"/>
                                </a:xfrm>
                              </wpg:grpSpPr>
                              <wps:wsp>
                                <wps:cNvPr id="2897" name="2669 Rectángulo"/>
                                <wps:cNvSpPr/>
                                <wps:spPr>
                                  <a:xfrm>
                                    <a:off x="1841500" y="0"/>
                                    <a:ext cx="900430" cy="13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E6208" w14:textId="77777777" w:rsidR="00D55F13" w:rsidRPr="004E4C01" w:rsidRDefault="00D55F13" w:rsidP="00077E48">
                                      <w:pPr>
                                        <w:jc w:val="left"/>
                                        <w:rPr>
                                          <w:rFonts w:cs="Arial"/>
                                          <w:b/>
                                          <w:color w:val="365F91" w:themeColor="accent1" w:themeShade="BF"/>
                                          <w:sz w:val="16"/>
                                        </w:rPr>
                                      </w:pPr>
                                      <w:r w:rsidRPr="004E4C01">
                                        <w:rPr>
                                          <w:rFonts w:cs="Arial"/>
                                          <w:b/>
                                          <w:color w:val="365F91" w:themeColor="accent1" w:themeShade="BF"/>
                                          <w:sz w:val="16"/>
                                        </w:rPr>
                                        <w:t>Componente 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98" name="2672 Rectángulo"/>
                                <wps:cNvSpPr/>
                                <wps:spPr>
                                  <a:xfrm>
                                    <a:off x="3448050" y="0"/>
                                    <a:ext cx="900430" cy="13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0938C" w14:textId="77777777" w:rsidR="00D55F13" w:rsidRPr="004E4C01" w:rsidRDefault="00D55F13" w:rsidP="00077E48">
                                      <w:pPr>
                                        <w:jc w:val="left"/>
                                        <w:rPr>
                                          <w:rFonts w:cs="Arial"/>
                                          <w:b/>
                                          <w:color w:val="FF0000"/>
                                          <w:sz w:val="16"/>
                                        </w:rPr>
                                      </w:pPr>
                                      <w:r w:rsidRPr="004E4C01">
                                        <w:rPr>
                                          <w:rFonts w:cs="Arial"/>
                                          <w:b/>
                                          <w:color w:val="FF0000"/>
                                          <w:sz w:val="16"/>
                                        </w:rPr>
                                        <w:t>Componente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99" name="2675 Rectángulo"/>
                                <wps:cNvSpPr/>
                                <wps:spPr>
                                  <a:xfrm>
                                    <a:off x="0" y="0"/>
                                    <a:ext cx="900430" cy="13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99760" w14:textId="77777777" w:rsidR="00D55F13" w:rsidRPr="004E4C01" w:rsidRDefault="00D55F13" w:rsidP="00077E48">
                                      <w:pPr>
                                        <w:jc w:val="left"/>
                                        <w:rPr>
                                          <w:rFonts w:cs="Arial"/>
                                          <w:b/>
                                          <w:color w:val="00B050"/>
                                          <w:sz w:val="16"/>
                                        </w:rPr>
                                      </w:pPr>
                                      <w:r w:rsidRPr="004E4C01">
                                        <w:rPr>
                                          <w:rFonts w:cs="Arial"/>
                                          <w:b/>
                                          <w:color w:val="00B050"/>
                                          <w:sz w:val="16"/>
                                        </w:rPr>
                                        <w:t>Componente 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s:wsp>
                          <wps:cNvPr id="2900" name="134 Rectángulo"/>
                          <wps:cNvSpPr/>
                          <wps:spPr>
                            <a:xfrm>
                              <a:off x="169965" y="2818171"/>
                              <a:ext cx="677759" cy="3389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0DA81" w14:textId="64950113" w:rsidR="00D55F13" w:rsidRPr="004E4C01" w:rsidRDefault="00D55F13" w:rsidP="00077E48">
                                <w:pPr>
                                  <w:jc w:val="center"/>
                                  <w:rPr>
                                    <w:rFonts w:cs="Arial"/>
                                    <w:b/>
                                    <w:color w:val="000000" w:themeColor="text1"/>
                                    <w:sz w:val="20"/>
                                  </w:rPr>
                                </w:pPr>
                                <w:r w:rsidRPr="004E4C01">
                                  <w:rPr>
                                    <w:rFonts w:cs="Arial"/>
                                    <w:b/>
                                    <w:color w:val="000000" w:themeColor="text1"/>
                                    <w:sz w:val="20"/>
                                  </w:rPr>
                                  <w:t>Escenario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10F6BDD" id="2817 Grupo" o:spid="_x0000_s1112" style="position:absolute;left:0;text-align:left;margin-left:44.7pt;margin-top:14.55pt;width:361.5pt;height:453.5pt;z-index:251658241;mso-position-horizontal-relative:text;mso-position-vertical-relative:text" coordsize="45910,6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">
                <v:group id="2818 Grupo" o:spid="_x0000_s1113" style="position:absolute;top:33051;width:45910;height:33020" coordsize="4591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">
                  <v:group id="2819 Grupo" o:spid="_x0000_s1114" style="position:absolute;width:45910;height:33020" coordorigin=",476" coordsize="4591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rect id="2820 Rectángulo" o:spid="_x0000_s1115" style="position:absolute;top:476;width:45910;height:33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" filled="f" strokecolor="black [3213]" strokeweight=".25pt"/>
                    <v:group id="2821 Grupo" o:spid="_x0000_s1116" style="position:absolute;left:1047;top:1619;width:44501;height:30726" coordsize="44500,3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group id="2658 Grupo" o:spid="_x0000_s1117" style="position:absolute;left:12890;top:11303;width:22063;height:6770" coordsize="24509,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659 Flecha derecha" o:spid="_x0000_s1118" type="#_x0000_t13" style="position:absolute;left:8665;top:2626;width:7073;height:18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" adj="14846" fillcolor="#938953 [1614]" strokecolor="#938953 [1614]" strokeweight="2pt"/>
                        <v:shape id="2660 Flecha derecha" o:spid="_x0000_s1119" type="#_x0000_t13" style="position:absolute;left:20061;top:3075;width:7074;height:1823;rotation:87903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" adj="14846" fillcolor="#938953 [1614]" strokecolor="#938953 [1614]" strokeweight="2pt"/>
                        <v:shape id="2661 Flecha derecha" o:spid="_x0000_s1120" type="#_x0000_t13" style="position:absolute;left:-2626;top:3041;width:7074;height:1822;rotation:31889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" adj="14846" fillcolor="#938953 [1614]" strokecolor="#938953 [1614]" strokeweight="2pt"/>
                      </v:group>
                      <v:group id="2826 Grupo" o:spid="_x0000_s1121" style="position:absolute;left:1016;width:43484;height:1301" coordsize="43484,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rect id="2669 Rectángulo" o:spid="_x0000_s1122" style="position:absolute;left:18415;width:9004;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" filled="f" stroked="f" strokeweight="2pt">
                          <v:textbox inset="0,0,0,0">
                            <w:txbxContent>
                              <w:p w14:paraId="4337811E" w14:textId="77777777" w:rsidR="00D55F13" w:rsidRPr="004E4C01" w:rsidRDefault="00D55F13" w:rsidP="00077E48">
                                <w:pPr>
                                  <w:jc w:val="left"/>
                                  <w:rPr>
                                    <w:rFonts w:cs="Arial"/>
                                    <w:b/>
                                    <w:color w:val="365F91" w:themeColor="accent1" w:themeShade="BF"/>
                                    <w:sz w:val="16"/>
                                  </w:rPr>
                                </w:pPr>
                                <w:r w:rsidRPr="004E4C01">
                                  <w:rPr>
                                    <w:rFonts w:cs="Arial"/>
                                    <w:b/>
                                    <w:color w:val="365F91" w:themeColor="accent1" w:themeShade="BF"/>
                                    <w:sz w:val="16"/>
                                  </w:rPr>
                                  <w:t>Componente B</w:t>
                                </w:r>
                              </w:p>
                            </w:txbxContent>
                          </v:textbox>
                        </v:rect>
                        <v:rect id="2672 Rectángulo" o:spid="_x0000_s1123" style="position:absolute;left:34480;width:9004;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" filled="f" stroked="f" strokeweight="2pt">
                          <v:textbox inset="0,0,0,0">
                            <w:txbxContent>
                              <w:p w14:paraId="02A80D3A" w14:textId="77777777" w:rsidR="00D55F13" w:rsidRPr="004E4C01" w:rsidRDefault="00D55F13" w:rsidP="00077E48">
                                <w:pPr>
                                  <w:jc w:val="left"/>
                                  <w:rPr>
                                    <w:rFonts w:cs="Arial"/>
                                    <w:b/>
                                    <w:color w:val="FF0000"/>
                                    <w:sz w:val="16"/>
                                  </w:rPr>
                                </w:pPr>
                                <w:r w:rsidRPr="004E4C01">
                                  <w:rPr>
                                    <w:rFonts w:cs="Arial"/>
                                    <w:b/>
                                    <w:color w:val="FF0000"/>
                                    <w:sz w:val="16"/>
                                  </w:rPr>
                                  <w:t>Componente C</w:t>
                                </w:r>
                              </w:p>
                            </w:txbxContent>
                          </v:textbox>
                        </v:rect>
                        <v:rect id="2675 Rectángulo" o:spid="_x0000_s1124" style="position:absolute;width:9004;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" filled="f" stroked="f" strokeweight="2pt">
                          <v:textbox inset="0,0,0,0">
                            <w:txbxContent>
                              <w:p w14:paraId="76A6D3EC" w14:textId="77777777" w:rsidR="00D55F13" w:rsidRPr="004E4C01" w:rsidRDefault="00D55F13" w:rsidP="00077E48">
                                <w:pPr>
                                  <w:jc w:val="left"/>
                                  <w:rPr>
                                    <w:rFonts w:cs="Arial"/>
                                    <w:b/>
                                    <w:color w:val="00B050"/>
                                    <w:sz w:val="16"/>
                                  </w:rPr>
                                </w:pPr>
                                <w:r w:rsidRPr="004E4C01">
                                  <w:rPr>
                                    <w:rFonts w:cs="Arial"/>
                                    <w:b/>
                                    <w:color w:val="00B050"/>
                                    <w:sz w:val="16"/>
                                  </w:rPr>
                                  <w:t>Componente A</w:t>
                                </w:r>
                              </w:p>
                            </w:txbxContent>
                          </v:textbox>
                        </v:rect>
                      </v:group>
                      <v:group id="2830 Grupo" o:spid="_x0000_s1125" style="position:absolute;top:1905;width:43629;height:9662" coordsize="43629,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">
                        <v:group id="2601 Grupo" o:spid="_x0000_s1126" style="position:absolute;width:8166;height:8782" coordorigin="1465" coordsize="909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group id="2602 Grupo" o:spid="_x0000_s1127" style="position:absolute;left:1465;width:9096;height:9760" coordorigin="1465" coordsize="909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wQ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">
                            <v:shape id="2603 Forma libre" o:spid="_x0000_s1128" style="position:absolute;left:1465;width:9096;height:9760;visibility:visible;mso-wrap-style:square;v-text-anchor:middle" coordsize="986882,10593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" adj="-11796480,,5400" path="m467054,l986882,357214,927379,542495,637769,626294c504914,712436,236542,1053796,130247,1059346l,659593,197491,188473,467054,xe" filled="f" strokecolor="#00b050" strokeweight="1.5pt">
                              <v:stroke joinstyle="miter"/>
                              <v:formulas/>
                              <v:path arrowok="t" o:connecttype="custom" o:connectlocs="430506,0;909656,329142;854809,499862;587862,577075;120055,976095;0,607757;182037,173661;430506,0" o:connectangles="0,0,0,0,0,0,0,0" textboxrect="0,0,986882,1059346"/>
                              <v:textbox>
                                <w:txbxContent>
                                  <w:p w14:paraId="685BDA0C" w14:textId="77777777" w:rsidR="00D55F13" w:rsidRPr="004E4C01" w:rsidRDefault="00D55F13" w:rsidP="00077E48">
                                    <w:pPr>
                                      <w:rPr>
                                        <w:color w:val="0D0D0D" w:themeColor="text1" w:themeTint="F2"/>
                                        <w:sz w:val="18"/>
                                      </w:rPr>
                                    </w:pPr>
                                  </w:p>
                                </w:txbxContent>
                              </v:textbox>
                            </v:shape>
                            <v:shape id="2604 Cuadro de texto" o:spid="_x0000_s1129" type="#_x0000_t202" style="position:absolute;left:6641;top:6948;width:70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" filled="f" stroked="f" strokeweight=".5pt">
                              <v:textbox inset="0,0,0,0">
                                <w:txbxContent>
                                  <w:p w14:paraId="072E33BF" w14:textId="77777777" w:rsidR="00D55F13" w:rsidRPr="004E4C01" w:rsidRDefault="00D55F13" w:rsidP="00077E48">
                                    <w:pPr>
                                      <w:rPr>
                                        <w:i/>
                                      </w:rPr>
                                    </w:pPr>
                                    <w:r w:rsidRPr="004E4C01">
                                      <w:rPr>
                                        <w:i/>
                                      </w:rPr>
                                      <w:t>i</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2605 Conector" o:spid="_x0000_s1130" type="#_x0000_t120" style="position:absolute;left:7620;top:6858;width:503;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" fillcolor="#0d0d0d [3069]" stroked="f" strokeweight="2pt"/>
                        </v:group>
                        <v:group id="2611 Grupo" o:spid="_x0000_s1131" style="position:absolute;left:35179;width:8450;height:9662" coordorigin="-1024" coordsize="9410,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">
                          <v:group id="2612 Grupo" o:spid="_x0000_s1132" style="position:absolute;left:-1024;width:9410;height:10737" coordorigin="-1464" coordsize="13453,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2613 Forma libre" o:spid="_x0000_s1133" style="position:absolute;left:-1464;width:13452;height:15360;visibility:visible;mso-wrap-style:square;v-text-anchor:middle" coordsize="1345997,1536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" adj="-11796480,,5400" path="m,833933r,336499l182880,1287476r117044,175564l570586,1536192r672998,-234086l1345997,1060704,1243584,716890,1089965,475488,1038759,,680532,29288,380513,329312r65858,234005l219456,716890,,833933xe" filled="f" strokecolor="#f30" strokeweight="1.5pt">
                              <v:stroke joinstyle="miter"/>
                              <v:formulas/>
                              <v:path arrowok="t" o:connecttype="custom" o:connectlocs="0,833864;0,1170335;182789,1287370;299774,1462919;570301,1536065;1242963,1301998;1345325,1060616;1242963,716831;1089421,475449;1038240,0;680192,29286;380323,329285;446148,563270;219346,716831;0,833864" o:connectangles="0,0,0,0,0,0,0,0,0,0,0,0,0,0,0" textboxrect="0,0,1345997,1536192"/>
                              <v:textbox>
                                <w:txbxContent>
                                  <w:p w14:paraId="69C7E83F" w14:textId="77777777" w:rsidR="00D55F13" w:rsidRPr="004E4C01" w:rsidRDefault="00D55F13" w:rsidP="00077E48">
                                    <w:pPr>
                                      <w:jc w:val="center"/>
                                      <w:rPr>
                                        <w:color w:val="0D0D0D" w:themeColor="text1" w:themeTint="F2"/>
                                        <w:sz w:val="18"/>
                                      </w:rPr>
                                    </w:pPr>
                                  </w:p>
                                </w:txbxContent>
                              </v:textbox>
                            </v:shape>
                            <v:shape id="2614 Cuadro de texto" o:spid="_x0000_s1134" type="#_x0000_t202" style="position:absolute;left:5829;top:9988;width:94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" filled="f" stroked="f" strokeweight=".5pt">
                              <v:textbox inset="0,0,0,0">
                                <w:txbxContent>
                                  <w:p w14:paraId="7E49B1ED" w14:textId="77777777" w:rsidR="00D55F13" w:rsidRPr="004E4C01" w:rsidRDefault="00D55F13" w:rsidP="00077E48">
                                    <w:pPr>
                                      <w:rPr>
                                        <w:i/>
                                      </w:rPr>
                                    </w:pPr>
                                    <w:r w:rsidRPr="004E4C01">
                                      <w:rPr>
                                        <w:i/>
                                      </w:rPr>
                                      <w:t>i</w:t>
                                    </w:r>
                                  </w:p>
                                </w:txbxContent>
                              </v:textbox>
                            </v:shape>
                          </v:group>
                          <v:shape id="2615 Conector" o:spid="_x0000_s1135" type="#_x0000_t120" style="position:absolute;left:4953;top:6762;width:501;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" fillcolor="#0d0d0d [3069]" stroked="f" strokeweight="2pt"/>
                        </v:group>
                        <v:group id="2841 Grupo" o:spid="_x0000_s1136" style="position:absolute;left:19939;top:2095;width:12166;height:6071" coordsize="12171,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group id="2606 Grupo" o:spid="_x0000_s1137" style="position:absolute;top:825;width:7422;height:5249" coordorigin="878,2149" coordsize="8267,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">
                            <v:group id="2607 Grupo" o:spid="_x0000_s1138" style="position:absolute;left:878;top:2149;width:8267;height:5833" coordorigin="878,2149" coordsize="8267,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2608 Forma libre" o:spid="_x0000_s1139" style="position:absolute;left:878;top:2149;width:8267;height:5833;visibility:visible;mso-wrap-style:square;v-text-anchor:middle" coordsize="1181936,833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" adj="-11796480,,5400" path="m153620,219456l292608,,446228,117044,919032,268131r262904,268927l848564,680314,548640,826618,58522,833933,,409652,153620,219456xe" filled="f" strokecolor="#365f91 [2404]" strokeweight="1.5pt">
                                <v:stroke joinstyle="miter"/>
                                <v:formulas/>
                                <v:path arrowok="t" o:connecttype="custom" o:connectlocs="107450,153500;204665,0;312115,81867;642818,187547;826707,375650;593529,475852;383747,578185;40933,583302;0,286535;107450,153500" o:connectangles="0,0,0,0,0,0,0,0,0,0" textboxrect="0,0,1181936,833933"/>
                                <v:textbox>
                                  <w:txbxContent>
                                    <w:p w14:paraId="4F4EF7E8" w14:textId="77777777" w:rsidR="00D55F13" w:rsidRPr="004E4C01" w:rsidRDefault="00D55F13" w:rsidP="00077E48">
                                      <w:pPr>
                                        <w:jc w:val="center"/>
                                        <w:rPr>
                                          <w:color w:val="0D0D0D" w:themeColor="text1" w:themeTint="F2"/>
                                          <w:sz w:val="18"/>
                                        </w:rPr>
                                      </w:pPr>
                                    </w:p>
                                  </w:txbxContent>
                                </v:textbox>
                              </v:shape>
                              <v:shape id="2609 Cuadro de texto" o:spid="_x0000_s1140" type="#_x0000_t202" style="position:absolute;left:2857;top:5905;width:921;height:1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" filled="f" stroked="f" strokeweight=".5pt">
                                <v:textbox inset="0,0,0,0">
                                  <w:txbxContent>
                                    <w:p w14:paraId="685D7E39" w14:textId="77777777" w:rsidR="00D55F13" w:rsidRPr="004E4C01" w:rsidRDefault="00D55F13" w:rsidP="00077E48">
                                      <w:pPr>
                                        <w:rPr>
                                          <w:i/>
                                        </w:rPr>
                                      </w:pPr>
                                      <w:r w:rsidRPr="004E4C01">
                                        <w:rPr>
                                          <w:i/>
                                        </w:rPr>
                                        <w:t>i</w:t>
                                      </w:r>
                                    </w:p>
                                  </w:txbxContent>
                                </v:textbox>
                              </v:shape>
                            </v:group>
                            <v:shape id="2610 Conector" o:spid="_x0000_s1141" type="#_x0000_t120" style="position:absolute;left:3810;top:5715;width:503;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" fillcolor="#0d0d0d [3069]" stroked="f" strokeweight="2pt"/>
                          </v:group>
                          <v:shape id="2608 Forma libre" o:spid="_x0000_s1142" style="position:absolute;left:7747;width:4424;height:3572;visibility:visible;mso-wrap-style:square;v-text-anchor:middle" coordsize="705071,568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" adj="-11796480,,5400" path="m1,31582l292609,1,512186,5722,705071,260034,394086,568065,250194,282414,1,31582xe" filled="f" strokecolor="#365f91 [2404]" strokeweight="1.5pt">
                            <v:stroke joinstyle="miter"/>
                            <v:formulas/>
                            <v:path arrowok="t" o:connecttype="custom" o:connectlocs="1,19864;183616,1;321403,3599;442441,163551;247294,357290;157000,177627;1,19864" o:connectangles="0,0,0,0,0,0,0" textboxrect="0,0,705071,568064"/>
                            <v:textbox>
                              <w:txbxContent>
                                <w:p w14:paraId="1BA266B4" w14:textId="77777777" w:rsidR="00D55F13" w:rsidRPr="004E4C01" w:rsidRDefault="00D55F13" w:rsidP="00077E48">
                                  <w:pPr>
                                    <w:jc w:val="center"/>
                                    <w:rPr>
                                      <w:color w:val="0D0D0D" w:themeColor="text1" w:themeTint="F2"/>
                                      <w:sz w:val="18"/>
                                    </w:rPr>
                                  </w:pPr>
                                </w:p>
                              </w:txbxContent>
                            </v:textbox>
                          </v:shape>
                        </v:group>
                      </v:group>
                      <v:group id="132 Grupo" o:spid="_x0000_s1143" style="position:absolute;left:14414;top:18859;width:22035;height:1616" coordorigin="-866" coordsize="24484,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">
                        <v:roundrect id="133 Rectángulo redondeado" o:spid="_x0000_s1144" style="position:absolute;left:-866;width:3593;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" filled="f" strokecolor="#ffc000" strokeweight="2.25pt">
                          <v:textbox>
                            <w:txbxContent>
                              <w:p w14:paraId="0D5FEECA" w14:textId="77777777" w:rsidR="00D55F13" w:rsidRPr="004E4C01" w:rsidRDefault="00D55F13" w:rsidP="00077E48">
                                <w:pPr>
                                  <w:rPr>
                                    <w:color w:val="0D0D0D" w:themeColor="text1" w:themeTint="F2"/>
                                    <w14:textOutline w14:w="12700" w14:cap="rnd" w14:cmpd="sng" w14:algn="ctr">
                                      <w14:solidFill>
                                        <w14:srgbClr w14:val="000000"/>
                                      </w14:solidFill>
                                      <w14:prstDash w14:val="solid"/>
                                      <w14:bevel/>
                                    </w14:textOutline>
                                  </w:rPr>
                                </w:pPr>
                              </w:p>
                            </w:txbxContent>
                          </v:textbox>
                        </v:roundrect>
                        <v:rect id="134 Rectángulo" o:spid="_x0000_s1145" style="position:absolute;left:3871;top:252;width:19746;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" filled="f" stroked="f" strokeweight="2pt">
                          <v:textbox inset="0,0,0,0">
                            <w:txbxContent>
                              <w:p w14:paraId="41B2A7CC" w14:textId="77777777" w:rsidR="00D55F13" w:rsidRPr="004E4C01" w:rsidRDefault="00D55F13" w:rsidP="00077E48">
                                <w:pPr>
                                  <w:jc w:val="left"/>
                                  <w:rPr>
                                    <w:rFonts w:cs="Arial"/>
                                    <w:b/>
                                    <w:color w:val="000000" w:themeColor="text1"/>
                                    <w:sz w:val="16"/>
                                  </w:rPr>
                                </w:pPr>
                                <w:r w:rsidRPr="004E4C01">
                                  <w:rPr>
                                    <w:rFonts w:cs="Arial"/>
                                    <w:b/>
                                    <w:color w:val="000000" w:themeColor="text1"/>
                                    <w:sz w:val="16"/>
                                  </w:rPr>
                                  <w:t>Área de influencia de un medio</w:t>
                                </w:r>
                              </w:p>
                            </w:txbxContent>
                          </v:textbox>
                        </v:rect>
                      </v:group>
                      <v:group id="2851 Grupo" o:spid="_x0000_s1146" style="position:absolute;left:17716;top:21082;width:14961;height:9644" coordorigin="3492" coordsize="14960,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group id="2852 Grupo" o:spid="_x0000_s1147" style="position:absolute;left:3492;width:14961;height:9644" coordorigin="3492" coordsize="14960,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mw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TBJ5vwhOQy38AAAD//wMAUEsBAi0AFAAGAAgAAAAhANvh9svuAAAAhQEAABMAAAAAAAAA&#10;AAAAAAAAAAAAAFtDb250ZW50X1R5cGVzXS54bWxQSwECLQAUAAYACAAAACEAWvQsW78AAAAVAQAA&#10;CwAAAAAAAAAAAAAAAAAfAQAAX3JlbHMvLnJlbHNQSwECLQAUAAYACAAAACEArMNZsMYAAADdAAAA&#10;DwAAAAAAAAAAAAAAAAAHAgAAZHJzL2Rvd25yZXYueG1sUEsFBgAAAAADAAMAtwAAAPoCAAAAAA==&#10;">
                          <v:shape id="2853 Forma libre" o:spid="_x0000_s1148" style="position:absolute;left:14033;top:2222;width:4420;height:3569;visibility:visible;mso-wrap-style:square;v-text-anchor:middle" coordsize="702402,56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" path="m-1,27254l290414,1,509560,769,702402,267794,386338,567789,254208,277847,-1,27254xe" filled="f" strokecolor="#ffc000" strokeweight="2.25pt">
                            <v:path arrowok="t" o:connecttype="custom" o:connectlocs="-1,17130;182732,1;320621,483;441960,168315;243089,356870;159951,174634;-1,17130" o:connectangles="0,0,0,0,0,0,0"/>
                          </v:shape>
                          <v:shape id="2620 Forma libre" o:spid="_x0000_s1149" style="position:absolute;left:4572;width:8470;height:9639;visibility:visible;mso-wrap-style:square;v-text-anchor:middle" coordsize="1345997,1536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" adj="-11796480,,5400" path="m,833933r,336499l182880,1287476r117044,175564l570586,1536192r672998,-234086l1345997,1060704,1243584,716890,1089965,475488,1038759,,680532,29288,380513,329312r65858,234005l219456,716890,,833933xe" filled="f" strokecolor="#f30" strokeweight="1.5pt">
                            <v:stroke joinstyle="miter"/>
                            <v:formulas/>
                            <v:path arrowok="t" o:connecttype="custom" o:connectlocs="0,523276;0,734423;115094,807866;188754,918029;359093,963930;782637,817046;847090,665571;782637,449834;685959,298359;653733,0;428286,18378;239472,206637;280919,353470;138112,449834;0,523276" o:connectangles="0,0,0,0,0,0,0,0,0,0,0,0,0,0,0" textboxrect="0,0,1345997,1536192"/>
                            <v:textbox>
                              <w:txbxContent>
                                <w:p w14:paraId="00B0EB36" w14:textId="77777777" w:rsidR="00D55F13" w:rsidRPr="004E4C01" w:rsidRDefault="00D55F13" w:rsidP="00077E48">
                                  <w:pPr>
                                    <w:jc w:val="center"/>
                                    <w:rPr>
                                      <w:color w:val="0D0D0D" w:themeColor="text1" w:themeTint="F2"/>
                                    </w:rPr>
                                  </w:pPr>
                                </w:p>
                              </w:txbxContent>
                            </v:textbox>
                          </v:shape>
                          <v:shape id="2603 Forma libre" o:spid="_x0000_s1150" style="position:absolute;left:3492;top:190;width:8166;height:8782;visibility:visible;mso-wrap-style:square;v-text-anchor:middle" coordsize="986882,10593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" adj="-11796480,,5400" path="m467054,l986882,357214,927379,542495,637769,626294c504914,712436,236542,1053796,130247,1059346l,659593,197491,188473,467054,xe" filled="f" strokecolor="#00b050" strokeweight="1.5pt">
                            <v:stroke joinstyle="miter"/>
                            <v:formulas/>
                            <v:path arrowok="t" o:connecttype="custom" o:connectlocs="386471,0;816610,296133;767373,449732;527731,519202;107775,878205;0,546807;163417,156245;386471,0" o:connectangles="0,0,0,0,0,0,0,0" textboxrect="0,0,986882,1059346"/>
                            <v:textbox>
                              <w:txbxContent>
                                <w:p w14:paraId="03AC3D77" w14:textId="77777777" w:rsidR="00D55F13" w:rsidRPr="004E4C01" w:rsidRDefault="00D55F13" w:rsidP="00077E48">
                                  <w:pPr>
                                    <w:rPr>
                                      <w:color w:val="0D0D0D" w:themeColor="text1" w:themeTint="F2"/>
                                      <w:sz w:val="18"/>
                                    </w:rPr>
                                  </w:pPr>
                                </w:p>
                              </w:txbxContent>
                            </v:textbox>
                          </v:shape>
                          <v:shape id="2608 Forma libre" o:spid="_x0000_s1151" style="position:absolute;left:6286;top:3048;width:7422;height:5248;visibility:visible;mso-wrap-style:square;v-text-anchor:middle" coordsize="1181936,833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" adj="-11796480,,5400" path="m153620,219456l292608,,446228,117044,919032,268131r262904,268927l848564,680314,548640,826618,58522,833933,,409652,153620,219456xe" filled="f" strokecolor="#365f91 [2404]" strokeweight="1.5pt">
                            <v:stroke joinstyle="miter"/>
                            <v:formulas/>
                            <v:path arrowok="t" o:connecttype="custom" o:connectlocs="96471,138130;183754,0;280225,73670;577139,168767;742239,338035;532886,428203;344538,520290;36751,524894;0,257843;96471,138130" o:connectangles="0,0,0,0,0,0,0,0,0,0" textboxrect="0,0,1181936,833933"/>
                            <v:textbox>
                              <w:txbxContent>
                                <w:p w14:paraId="0E64AF75" w14:textId="77777777" w:rsidR="00D55F13" w:rsidRPr="004E4C01" w:rsidRDefault="00D55F13" w:rsidP="00077E48">
                                  <w:pPr>
                                    <w:jc w:val="center"/>
                                    <w:rPr>
                                      <w:color w:val="0D0D0D" w:themeColor="text1" w:themeTint="F2"/>
                                      <w:sz w:val="18"/>
                                    </w:rPr>
                                  </w:pPr>
                                </w:p>
                              </w:txbxContent>
                            </v:textbox>
                          </v:shape>
                          <v:shape id="158 Forma libre" o:spid="_x0000_s1152" style="position:absolute;left:3492;width:10215;height:9644;visibility:visible;mso-wrap-style:square;v-text-anchor:middle" coordsize="1623036,15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" path="m609964,17912l766458,122532,852823,30959,1204608,r51914,471096l1325852,471262v,10014,-50417,19862,-50417,29876l1421989,719379r48722,129242l1623036,1009100r-105989,43653l1418613,1304125,751456,1532569,472583,1457529,352910,1304305v-166831,134879,-86660,82422,-178060,108199l,886780,255294,272356,609964,17912xe" filled="f" strokecolor="#ffc000" strokeweight="2.25pt">
                            <v:path arrowok="t" o:connecttype="custom" o:connectlocs="383889,11272;482381,77109;536736,19482;758137,0;790809,296458;834443,296563;802713,315364;894948,452702;925612,534033;1021480,635022;954774,662492;892824,820680;472939,964438;297427,917216;222109,820793;110044,888882;0,558046;160673,171392;383889,11272" o:connectangles="0,0,0,0,0,0,0,0,0,0,0,0,0,0,0,0,0,0,0"/>
                          </v:shape>
                        </v:group>
                        <v:group id="2621 Grupo" o:spid="_x0000_s1153" style="position:absolute;left:8001;top:6223;width:1200;height:1897" coordorigin="-48441" coordsize="195737,3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shape id="2622 Conector" o:spid="_x0000_s1154" type="#_x0000_t120" style="position:absolute;left:75304;width:71992;height:71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" fillcolor="#0d0d0d [3069]" stroked="f" strokeweight="2pt"/>
                          <v:shape id="2623 Cuadro de texto" o:spid="_x0000_s1155" type="#_x0000_t202" style="position:absolute;left:-48441;top:27947;width:131430;height:27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" filled="f" stroked="f" strokeweight=".5pt">
                            <v:textbox inset="0,0,0,0">
                              <w:txbxContent>
                                <w:p w14:paraId="23D03BB4" w14:textId="77777777" w:rsidR="00D55F13" w:rsidRPr="004E4C01" w:rsidRDefault="00D55F13" w:rsidP="00077E48">
                                  <w:pPr>
                                    <w:rPr>
                                      <w:i/>
                                      <w:color w:val="0D0D0D" w:themeColor="text1" w:themeTint="F2"/>
                                    </w:rPr>
                                  </w:pPr>
                                  <w:r w:rsidRPr="004E4C01">
                                    <w:rPr>
                                      <w:i/>
                                      <w:color w:val="0D0D0D" w:themeColor="text1" w:themeTint="F2"/>
                                    </w:rPr>
                                    <w:t>i</w:t>
                                  </w:r>
                                </w:p>
                              </w:txbxContent>
                            </v:textbox>
                          </v:shape>
                        </v:group>
                      </v:group>
                    </v:group>
                  </v:group>
                  <v:rect id="134 Rectángulo" o:spid="_x0000_s1156" style="position:absolute;left:1498;top:28479;width:6979;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" filled="f" stroked="f" strokeweight="2pt">
                    <v:textbox inset="0,0,0,0">
                      <w:txbxContent>
                        <w:p w14:paraId="3D8B6A08" w14:textId="6A9EAE63" w:rsidR="00D55F13" w:rsidRPr="004E4C01" w:rsidRDefault="00D55F13" w:rsidP="00077E48">
                          <w:pPr>
                            <w:jc w:val="center"/>
                            <w:rPr>
                              <w:rFonts w:cs="Arial"/>
                              <w:b/>
                              <w:color w:val="000000" w:themeColor="text1"/>
                              <w:sz w:val="20"/>
                            </w:rPr>
                          </w:pPr>
                          <w:r w:rsidRPr="004E4C01">
                            <w:rPr>
                              <w:rFonts w:cs="Arial"/>
                              <w:b/>
                              <w:color w:val="000000" w:themeColor="text1"/>
                              <w:sz w:val="20"/>
                            </w:rPr>
                            <w:t>Escenario 2</w:t>
                          </w:r>
                        </w:p>
                      </w:txbxContent>
                    </v:textbox>
                  </v:rect>
                </v:group>
                <v:group id="2862 Grupo" o:spid="_x0000_s1157" style="position:absolute;width:45910;height:33020" coordsize="4591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">
                  <v:group id="2863 Grupo" o:spid="_x0000_s1158" style="position:absolute;width:45910;height:33020" coordsize="4591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rect id="2864 Rectángulo" o:spid="_x0000_s1159" style="position:absolute;width:45910;height:33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" filled="f" strokecolor="black [3213]" strokeweight=".25pt"/>
                    <v:group id="2865 Grupo" o:spid="_x0000_s1160" style="position:absolute;left:1128;top:712;width:44494;height:31334" coordsize="44494,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group id="2866 Grupo" o:spid="_x0000_s1161" style="position:absolute;left:16269;top:21197;width:14332;height:10137" coordsize="14331,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UO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J0nCbzehCcgl08AAAD//wMAUEsBAi0AFAAGAAgAAAAhANvh9svuAAAAhQEAABMAAAAAAAAA&#10;AAAAAAAAAAAAAFtDb250ZW50X1R5cGVzXS54bWxQSwECLQAUAAYACAAAACEAWvQsW78AAAAVAQAA&#10;CwAAAAAAAAAAAAAAAAAfAQAAX3JlbHMvLnJlbHNQSwECLQAUAAYACAAAACEAHZSVDsYAAADdAAAA&#10;DwAAAAAAAAAAAAAAAAAHAgAAZHJzL2Rvd25yZXYueG1sUEsFBgAAAAADAAMAtwAAAPoCAAAAAA==&#10;">
                        <v:group id="2867 Grupo" o:spid="_x0000_s1162" style="position:absolute;width:14291;height:10123" coordorigin="1900" coordsize="14291,1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2619 Forma libre" o:spid="_x0000_s1163" style="position:absolute;left:5640;top:890;width:10551;height:7171;visibility:visible;mso-wrap-style:square;v-text-anchor:middle" coordsize="1675181,1141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" adj="-11796480,,5400" path="m153620,526694l292608,307238,446228,424282,651053,285293,811988,80467,1272845,r285293,29261l1675181,248717r-182880,73152l1463040,504749r95098,241401l1331367,892454,848564,987552,548640,1133856r-490118,7315l,716890,153620,526694xe" filled="f" strokecolor="#365f91 [2404]" strokeweight="1.5pt">
                            <v:stroke joinstyle="miter"/>
                            <v:formulas/>
                            <v:path arrowok="t" o:connecttype="custom" o:connectlocs="96756,330984;184296,193074;281052,266627;410058,179283;511422,50567;801687,0;981376,18388;1055094,156298;939909,202268;921479,317194;981376,468894;838547,560835;534459,620596;345555,712536;36859,717133;0,450507;96756,330984" o:connectangles="0,0,0,0,0,0,0,0,0,0,0,0,0,0,0,0,0" textboxrect="0,0,1675181,1141171"/>
                            <v:textbox>
                              <w:txbxContent>
                                <w:p w14:paraId="5C9E51B8" w14:textId="77777777" w:rsidR="00D55F13" w:rsidRPr="004E4C01" w:rsidRDefault="00D55F13" w:rsidP="00077E48">
                                  <w:pPr>
                                    <w:jc w:val="center"/>
                                    <w:rPr>
                                      <w:color w:val="0D0D0D" w:themeColor="text1" w:themeTint="F2"/>
                                    </w:rPr>
                                  </w:pPr>
                                </w:p>
                              </w:txbxContent>
                            </v:textbox>
                          </v:shape>
                          <v:shape id="2620 Forma libre" o:spid="_x0000_s1164" style="position:absolute;left:4394;width:8471;height:9652;visibility:visible;mso-wrap-style:square;v-text-anchor:middle" coordsize="1345997,1536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" adj="-11796480,,5400" path="m,833933r,336499l182880,1287476r117044,175564l570586,1536192r672998,-234086l1345997,1060704,1243584,716890,1089965,475488,1038759,,680532,29288,380513,329312r65858,234005l219456,716890,,833933xe" filled="f" strokecolor="#f30" strokeweight="1.5pt">
                            <v:stroke joinstyle="miter"/>
                            <v:formulas/>
                            <v:path arrowok="t" o:connecttype="custom" o:connectlocs="0,523966;0,735390;115094,808930;188754,919238;359093,965200;782637,818122;847090,666448;782637,450427;685959,298752;653733,0;428286,18402;239472,206909;280919,353936;138112,450427;0,523966" o:connectangles="0,0,0,0,0,0,0,0,0,0,0,0,0,0,0" textboxrect="0,0,1345997,1536192"/>
                            <v:textbox>
                              <w:txbxContent>
                                <w:p w14:paraId="037CEECB" w14:textId="77777777" w:rsidR="00D55F13" w:rsidRPr="004E4C01" w:rsidRDefault="00D55F13" w:rsidP="00077E48">
                                  <w:pPr>
                                    <w:jc w:val="center"/>
                                    <w:rPr>
                                      <w:color w:val="0D0D0D" w:themeColor="text1" w:themeTint="F2"/>
                                    </w:rPr>
                                  </w:pPr>
                                </w:p>
                              </w:txbxContent>
                            </v:textbox>
                          </v:shape>
                          <v:shape id="2618 Forma libre" o:spid="_x0000_s1165" style="position:absolute;left:1900;top:59;width:13206;height:10064;visibility:visible;mso-wrap-style:square;v-text-anchor:middle" coordsize="1591380,1215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" adj="-11796480,,5400" path="m467054,r857405,594624l1303317,652765r288063,272206l1226677,1154892,822332,1025396r-179680,4192l576554,1215676,130247,1059346,,659593,197491,188473,467054,xe" filled="f" strokecolor="#00b050" strokeweight="1.5pt">
                            <v:stroke joinstyle="miter"/>
                            <v:formulas/>
                            <v:path arrowok="t" o:connecttype="custom" o:connectlocs="387602,0;1099152,492290;1081606,540425;1320666,765785;1018004,956137;682443,848927;533329,852397;478475,1006460;108090,877034;0,546078;163895,156037;387602,0" o:connectangles="0,0,0,0,0,0,0,0,0,0,0,0" textboxrect="0,0,1591380,1215676"/>
                            <v:textbox>
                              <w:txbxContent>
                                <w:p w14:paraId="68327F64" w14:textId="77777777" w:rsidR="00D55F13" w:rsidRPr="004E4C01" w:rsidRDefault="00D55F13" w:rsidP="00077E48">
                                  <w:pPr>
                                    <w:rPr>
                                      <w:color w:val="0D0D0D" w:themeColor="text1" w:themeTint="F2"/>
                                    </w:rPr>
                                  </w:pPr>
                                </w:p>
                              </w:txbxContent>
                            </v:textbox>
                          </v:shape>
                          <v:group id="2871 Grupo" o:spid="_x0000_s1166" style="position:absolute;left:7897;top:6234;width:1213;height:1903" coordsize="121345,19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shape id="2622 Conector" o:spid="_x0000_s1167" type="#_x0000_t120" style="position:absolute;left:77190;width:44155;height:44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" fillcolor="#0d0d0d [3069]" stroked="f" strokeweight="2pt"/>
                            <v:shape id="2623 Cuadro de texto" o:spid="_x0000_s1168" type="#_x0000_t202" style="position:absolute;top:17813;width:80610;height:17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" filled="f" stroked="f" strokeweight=".5pt">
                              <v:textbox inset="0,0,0,0">
                                <w:txbxContent>
                                  <w:p w14:paraId="6FC12841" w14:textId="77777777" w:rsidR="00D55F13" w:rsidRPr="004E4C01" w:rsidRDefault="00D55F13" w:rsidP="00077E48">
                                    <w:pPr>
                                      <w:rPr>
                                        <w:i/>
                                        <w:color w:val="0D0D0D" w:themeColor="text1" w:themeTint="F2"/>
                                      </w:rPr>
                                    </w:pPr>
                                    <w:r w:rsidRPr="004E4C01">
                                      <w:rPr>
                                        <w:i/>
                                        <w:color w:val="0D0D0D" w:themeColor="text1" w:themeTint="F2"/>
                                      </w:rPr>
                                      <w:t>i</w:t>
                                    </w:r>
                                  </w:p>
                                </w:txbxContent>
                              </v:textbox>
                            </v:shape>
                          </v:group>
                        </v:group>
                        <v:shape id="158 Forma libre" o:spid="_x0000_s1169" style="position:absolute;top:59;width:14331;height:10077;visibility:visible;mso-wrap-style:square;v-text-anchor:middle" coordsize="2276932,16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" path="m616382,1905l905332,199415,1077239,27508,1432161,r25469,199415l1876573,127870r283316,31312l2276932,378638r-182021,73325l2059489,628527r97023,247434l1925802,1026033v-37117,24385,12974,-3726,8008,-3761c1928844,1022238,1910004,1023388,1896006,1025826r198905,190155l1611249,1519809,1296695,1417396,967705,1534233,799262,1490548r-40234,109728l173812,1399108,,870550,261594,246964,616382,1905xe" filled="f" strokecolor="#ffc000" strokeweight="2.25pt">
                          <v:path arrowok="t" o:connecttype="custom" o:connectlocs="387976,1200;569853,125578;678059,17323;901461,0;917492,125578;1181193,80524;1359523,100242;1433195,238440;1318623,284615;1296327,395803;1357398,551620;1212179,646125;1217220,643757;1193424,645995;1318623,765741;1014187,957071;816193,892579;609113,966155;503088,938645;477764,1007744;109404,881062;0,548213;164658,155521;387976,1200" o:connectangles="0,0,0,0,0,0,0,0,0,0,0,0,0,0,0,0,0,0,0,0,0,0,0,0"/>
                        </v:shape>
                      </v:group>
                      <v:group id="2875 Grupo" o:spid="_x0000_s1170" style="position:absolute;top:2018;width:43660;height:10080" coordsize="43660,1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group id="2876 Grupo" o:spid="_x0000_s1171" style="position:absolute;width:13171;height:10079" coordsize="13171,1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shape id="2603 Forma libre" o:spid="_x0000_s1172" style="position:absolute;width:13171;height:10079;visibility:visible;mso-wrap-style:square;v-text-anchor:middle" coordsize="1591380,1215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" adj="-11796480,,5400" path="m467054,r857405,594624l1303317,652765r288063,272206l1226677,1154892,822332,1025396r-179680,4192l576554,1215676,130247,1059346,,659593,197491,188473,467054,xe" filled="f" strokecolor="#00b050" strokeweight="1.5pt">
                            <v:stroke joinstyle="miter"/>
                            <v:formulas/>
                            <v:path arrowok="t" o:connecttype="custom" o:connectlocs="386563,0;1096205,493036;1078706,541244;1317125,766945;1015274,957586;680613,850213;531899,853689;477192,1007985;107801,878363;0,546905;163456,156274;386563,0" o:connectangles="0,0,0,0,0,0,0,0,0,0,0,0" textboxrect="0,0,1591380,1215676"/>
                            <v:textbox>
                              <w:txbxContent>
                                <w:p w14:paraId="01C48AA9" w14:textId="77777777" w:rsidR="00D55F13" w:rsidRPr="004E4C01" w:rsidRDefault="00D55F13" w:rsidP="00077E48">
                                  <w:pPr>
                                    <w:rPr>
                                      <w:color w:val="0D0D0D" w:themeColor="text1" w:themeTint="F2"/>
                                      <w:sz w:val="18"/>
                                    </w:rPr>
                                  </w:pPr>
                                </w:p>
                              </w:txbxContent>
                            </v:textbox>
                          </v:shape>
                          <v:shape id="2604 Cuadro de texto" o:spid="_x0000_s1173" type="#_x0000_t202" style="position:absolute;left:4631;top:6234;width:631;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" filled="f" stroked="f" strokeweight=".5pt">
                            <v:textbox inset="0,0,0,0">
                              <w:txbxContent>
                                <w:p w14:paraId="1290081C" w14:textId="77777777" w:rsidR="00D55F13" w:rsidRPr="004E4C01" w:rsidRDefault="00D55F13" w:rsidP="00077E48">
                                  <w:pPr>
                                    <w:rPr>
                                      <w:i/>
                                    </w:rPr>
                                  </w:pPr>
                                  <w:r w:rsidRPr="004E4C01">
                                    <w:rPr>
                                      <w:i/>
                                    </w:rPr>
                                    <w:t>i</w:t>
                                  </w:r>
                                </w:p>
                              </w:txbxContent>
                            </v:textbox>
                          </v:shape>
                          <v:shape id="2605 Conector" o:spid="_x0000_s1174" type="#_x0000_t120" style="position:absolute;left:5522;top:6175;width:452;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" fillcolor="#0d0d0d [3069]" stroked="f" strokeweight="2pt"/>
                        </v:group>
                        <v:group id="2880 Grupo" o:spid="_x0000_s1175" style="position:absolute;left:19891;top:1009;width:10515;height:7182" coordsize="10515,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">
                          <v:shape id="2608 Forma libre" o:spid="_x0000_s1176" style="position:absolute;width:10515;height:7181;visibility:visible;mso-wrap-style:square;v-text-anchor:middle" coordsize="1675181,1141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" adj="-11796480,,5400" path="m153620,526694l292608,307238,446228,424282,651053,285293,811988,80467,1272845,r285293,29261l1675181,248717r-182880,73152l1463040,504749r95098,241401l1331367,892454,848564,987552,548640,1133856r-490118,7315l,716890,153620,526694xe" filled="f" strokecolor="#365f91 [2404]" strokeweight="1.5pt">
                            <v:stroke joinstyle="miter"/>
                            <v:formulas/>
                            <v:path arrowok="t" o:connecttype="custom" o:connectlocs="96432,331470;183679,193357;280110,267018;408685,179546;509709,50641;799002,0;978089,18415;1051560,156528;936761,202565;918393,317659;978089,469582;835738,561657;532668,621506;344397,713581;36736,718185;0,451168;96432,331470" o:connectangles="0,0,0,0,0,0,0,0,0,0,0,0,0,0,0,0,0" textboxrect="0,0,1675181,1141171"/>
                            <v:textbox>
                              <w:txbxContent>
                                <w:p w14:paraId="5264F510" w14:textId="77777777" w:rsidR="00D55F13" w:rsidRPr="004E4C01" w:rsidRDefault="00D55F13" w:rsidP="00077E48">
                                  <w:pPr>
                                    <w:jc w:val="center"/>
                                    <w:rPr>
                                      <w:color w:val="0D0D0D" w:themeColor="text1" w:themeTint="F2"/>
                                      <w:sz w:val="18"/>
                                    </w:rPr>
                                  </w:pPr>
                                </w:p>
                              </w:txbxContent>
                            </v:textbox>
                          </v:shape>
                          <v:group id="2882 Grupo" o:spid="_x0000_s1177" style="position:absolute;left:1840;top:5106;width:1284;height:1758" coordsize="128349,17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">
                            <v:shape id="2609 Cuadro de texto" o:spid="_x0000_s1178" type="#_x0000_t202" style="position:absolute;top:17813;width:82707;height:158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" filled="f" stroked="f" strokeweight=".5pt">
                              <v:textbox inset="0,0,0,0">
                                <w:txbxContent>
                                  <w:p w14:paraId="3A4B8007" w14:textId="77777777" w:rsidR="00D55F13" w:rsidRPr="004E4C01" w:rsidRDefault="00D55F13" w:rsidP="00077E48">
                                    <w:pPr>
                                      <w:rPr>
                                        <w:i/>
                                      </w:rPr>
                                    </w:pPr>
                                    <w:r w:rsidRPr="004E4C01">
                                      <w:rPr>
                                        <w:i/>
                                      </w:rPr>
                                      <w:t>i</w:t>
                                    </w:r>
                                  </w:p>
                                </w:txbxContent>
                              </v:textbox>
                            </v:shape>
                            <v:shape id="2610 Conector" o:spid="_x0000_s1179" type="#_x0000_t120" style="position:absolute;left:83128;width:45221;height:4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" fillcolor="#0d0d0d [3069]" stroked="f" strokeweight="2pt"/>
                          </v:group>
                        </v:group>
                        <v:group id="2885 Grupo" o:spid="_x0000_s1180" style="position:absolute;left:35210;width:8450;height:9662" coordsize="8450,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">
                          <v:shape id="2613 Forma libre" o:spid="_x0000_s1181" style="position:absolute;width:8450;height:9662;visibility:visible;mso-wrap-style:square;v-text-anchor:middle" coordsize="1345997,1536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" adj="-11796480,,5400" path="m,833933r,336499l182880,1287476r117044,175564l570586,1536192r672998,-234086l1345997,1060704,1243584,716890,1089965,475488,1038759,,680532,29288,380513,329312r65858,234005l219456,716890,,833933xe" filled="f" strokecolor="#f30" strokeweight="1.5pt">
                            <v:stroke joinstyle="miter"/>
                            <v:formulas/>
                            <v:path arrowok="t" o:connecttype="custom" o:connectlocs="0,524547;0,736206;114812,809828;188291,920258;358212,966271;780718,819030;845013,667187;780718,450927;684277,299084;652130,0;427236,18422;238885,207139;280230,354329;137774,450927;0,524547" o:connectangles="0,0,0,0,0,0,0,0,0,0,0,0,0,0,0" textboxrect="0,0,1345997,1536192"/>
                            <v:textbox>
                              <w:txbxContent>
                                <w:p w14:paraId="00E2DCFC" w14:textId="77777777" w:rsidR="00D55F13" w:rsidRPr="004E4C01" w:rsidRDefault="00D55F13" w:rsidP="00077E48">
                                  <w:pPr>
                                    <w:jc w:val="center"/>
                                    <w:rPr>
                                      <w:color w:val="0D0D0D" w:themeColor="text1" w:themeTint="F2"/>
                                      <w:sz w:val="18"/>
                                    </w:rPr>
                                  </w:pPr>
                                </w:p>
                              </w:txbxContent>
                            </v:textbox>
                          </v:shape>
                          <v:shape id="2615 Conector" o:spid="_x0000_s1182" type="#_x0000_t120" style="position:absolute;left:5343;top:605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" fillcolor="#0d0d0d [3069]" stroked="f" strokeweight="2pt"/>
                          <v:shape id="2614 Cuadro de texto" o:spid="_x0000_s1183" type="#_x0000_t202" style="position:absolute;left:4572;top:6293;width:595;height: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" filled="f" stroked="f" strokeweight=".5pt">
                            <v:textbox inset="0,0,0,0">
                              <w:txbxContent>
                                <w:p w14:paraId="4EBF9606" w14:textId="77777777" w:rsidR="00D55F13" w:rsidRPr="004E4C01" w:rsidRDefault="00D55F13" w:rsidP="00077E48">
                                  <w:pPr>
                                    <w:rPr>
                                      <w:i/>
                                    </w:rPr>
                                  </w:pPr>
                                  <w:r w:rsidRPr="004E4C01">
                                    <w:rPr>
                                      <w:i/>
                                    </w:rPr>
                                    <w:t>i</w:t>
                                  </w:r>
                                </w:p>
                              </w:txbxContent>
                            </v:textbox>
                          </v:shape>
                        </v:group>
                      </v:group>
                      <v:group id="2889 Grupo" o:spid="_x0000_s1184" style="position:absolute;left:12884;top:11400;width:22037;height:6751" coordsize="22036,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2659 Flecha derecha" o:spid="_x0000_s1185" type="#_x0000_t13" style="position:absolute;left:7731;top:2363;width:6365;height:1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" adj="14844" fillcolor="#938953 [1614]" strokecolor="#938953 [1614]" strokeweight="2pt"/>
                        <v:shape id="2660 Flecha derecha" o:spid="_x0000_s1186" type="#_x0000_t13" style="position:absolute;left:18033;top:2747;width:6366;height:1641;rotation:87903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" adj="14844" fillcolor="#938953 [1614]" strokecolor="#938953 [1614]" strokeweight="2pt"/>
                        <v:shape id="2661 Flecha derecha" o:spid="_x0000_s1187" type="#_x0000_t13" style="position:absolute;left:-2363;top:2719;width:6365;height:1640;rotation:31889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" adj="14844" fillcolor="#938953 [1614]" strokecolor="#938953 [1614]" strokeweight="2pt"/>
                      </v:group>
                      <v:group id="2893 Grupo" o:spid="_x0000_s1188" style="position:absolute;left:14369;top:19000;width:22169;height:1617" coordsize="2216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roundrect id="133 Rectángulo redondeado" o:spid="_x0000_s1189" style="position:absolute;width:3235;height:1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" filled="f" strokecolor="#ffc000" strokeweight="2.25pt">
                          <v:textbox>
                            <w:txbxContent>
                              <w:p w14:paraId="27C73DD6" w14:textId="77777777" w:rsidR="00D55F13" w:rsidRPr="004E4C01" w:rsidRDefault="00D55F13" w:rsidP="00077E48">
                                <w:pPr>
                                  <w:rPr>
                                    <w:color w:val="0D0D0D" w:themeColor="text1" w:themeTint="F2"/>
                                  </w:rPr>
                                </w:pPr>
                              </w:p>
                            </w:txbxContent>
                          </v:textbox>
                        </v:roundrect>
                        <v:rect id="134 Rectángulo" o:spid="_x0000_s1190" style="position:absolute;left:4393;top:237;width:17776;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" filled="f" stroked="f" strokeweight="2pt">
                          <v:textbox inset="0,0,0,0">
                            <w:txbxContent>
                              <w:p w14:paraId="798F83AA" w14:textId="77777777" w:rsidR="00D55F13" w:rsidRPr="004E4C01" w:rsidRDefault="00D55F13" w:rsidP="00077E48">
                                <w:pPr>
                                  <w:jc w:val="left"/>
                                  <w:rPr>
                                    <w:rFonts w:cs="Arial"/>
                                    <w:b/>
                                    <w:color w:val="000000" w:themeColor="text1"/>
                                    <w:sz w:val="16"/>
                                  </w:rPr>
                                </w:pPr>
                                <w:r w:rsidRPr="004E4C01">
                                  <w:rPr>
                                    <w:rFonts w:cs="Arial"/>
                                    <w:b/>
                                    <w:color w:val="000000" w:themeColor="text1"/>
                                    <w:sz w:val="16"/>
                                  </w:rPr>
                                  <w:t>Área de influencia de un medio</w:t>
                                </w:r>
                              </w:p>
                            </w:txbxContent>
                          </v:textbox>
                        </v:rect>
                      </v:group>
                      <v:group id="2896 Grupo" o:spid="_x0000_s1191" style="position:absolute;left:1009;width:43485;height:1301" coordsize="43484,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rect id="2669 Rectángulo" o:spid="_x0000_s1192" style="position:absolute;left:18415;width:9004;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" filled="f" stroked="f" strokeweight="2pt">
                          <v:textbox inset="0,0,0,0">
                            <w:txbxContent>
                              <w:p w14:paraId="4D7E6208" w14:textId="77777777" w:rsidR="00D55F13" w:rsidRPr="004E4C01" w:rsidRDefault="00D55F13" w:rsidP="00077E48">
                                <w:pPr>
                                  <w:jc w:val="left"/>
                                  <w:rPr>
                                    <w:rFonts w:cs="Arial"/>
                                    <w:b/>
                                    <w:color w:val="365F91" w:themeColor="accent1" w:themeShade="BF"/>
                                    <w:sz w:val="16"/>
                                  </w:rPr>
                                </w:pPr>
                                <w:r w:rsidRPr="004E4C01">
                                  <w:rPr>
                                    <w:rFonts w:cs="Arial"/>
                                    <w:b/>
                                    <w:color w:val="365F91" w:themeColor="accent1" w:themeShade="BF"/>
                                    <w:sz w:val="16"/>
                                  </w:rPr>
                                  <w:t>Componente B</w:t>
                                </w:r>
                              </w:p>
                            </w:txbxContent>
                          </v:textbox>
                        </v:rect>
                        <v:rect id="2672 Rectángulo" o:spid="_x0000_s1193" style="position:absolute;left:34480;width:9004;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" filled="f" stroked="f" strokeweight="2pt">
                          <v:textbox inset="0,0,0,0">
                            <w:txbxContent>
                              <w:p w14:paraId="4AA0938C" w14:textId="77777777" w:rsidR="00D55F13" w:rsidRPr="004E4C01" w:rsidRDefault="00D55F13" w:rsidP="00077E48">
                                <w:pPr>
                                  <w:jc w:val="left"/>
                                  <w:rPr>
                                    <w:rFonts w:cs="Arial"/>
                                    <w:b/>
                                    <w:color w:val="FF0000"/>
                                    <w:sz w:val="16"/>
                                  </w:rPr>
                                </w:pPr>
                                <w:r w:rsidRPr="004E4C01">
                                  <w:rPr>
                                    <w:rFonts w:cs="Arial"/>
                                    <w:b/>
                                    <w:color w:val="FF0000"/>
                                    <w:sz w:val="16"/>
                                  </w:rPr>
                                  <w:t>Componente C</w:t>
                                </w:r>
                              </w:p>
                            </w:txbxContent>
                          </v:textbox>
                        </v:rect>
                        <v:rect id="2675 Rectángulo" o:spid="_x0000_s1194" style="position:absolute;width:9004;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" filled="f" stroked="f" strokeweight="2pt">
                          <v:textbox inset="0,0,0,0">
                            <w:txbxContent>
                              <w:p w14:paraId="4FF99760" w14:textId="77777777" w:rsidR="00D55F13" w:rsidRPr="004E4C01" w:rsidRDefault="00D55F13" w:rsidP="00077E48">
                                <w:pPr>
                                  <w:jc w:val="left"/>
                                  <w:rPr>
                                    <w:rFonts w:cs="Arial"/>
                                    <w:b/>
                                    <w:color w:val="00B050"/>
                                    <w:sz w:val="16"/>
                                  </w:rPr>
                                </w:pPr>
                                <w:r w:rsidRPr="004E4C01">
                                  <w:rPr>
                                    <w:rFonts w:cs="Arial"/>
                                    <w:b/>
                                    <w:color w:val="00B050"/>
                                    <w:sz w:val="16"/>
                                  </w:rPr>
                                  <w:t>Componente A</w:t>
                                </w:r>
                              </w:p>
                            </w:txbxContent>
                          </v:textbox>
                        </v:rect>
                      </v:group>
                    </v:group>
                  </v:group>
                  <v:rect id="134 Rectángulo" o:spid="_x0000_s1195" style="position:absolute;left:1699;top:28181;width:6778;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" filled="f" stroked="f" strokeweight="2pt">
                    <v:textbox inset="0,0,0,0">
                      <w:txbxContent>
                        <w:p w14:paraId="3A10DA81" w14:textId="64950113" w:rsidR="00D55F13" w:rsidRPr="004E4C01" w:rsidRDefault="00D55F13" w:rsidP="00077E48">
                          <w:pPr>
                            <w:jc w:val="center"/>
                            <w:rPr>
                              <w:rFonts w:cs="Arial"/>
                              <w:b/>
                              <w:color w:val="000000" w:themeColor="text1"/>
                              <w:sz w:val="20"/>
                            </w:rPr>
                          </w:pPr>
                          <w:r w:rsidRPr="004E4C01">
                            <w:rPr>
                              <w:rFonts w:cs="Arial"/>
                              <w:b/>
                              <w:color w:val="000000" w:themeColor="text1"/>
                              <w:sz w:val="20"/>
                            </w:rPr>
                            <w:t>Escenario 1</w:t>
                          </w:r>
                        </w:p>
                      </w:txbxContent>
                    </v:textbox>
                  </v:rect>
                </v:group>
                <w10:wrap type="topAndBottom"/>
              </v:group>
            </w:pict>
          </mc:Fallback>
        </mc:AlternateContent>
      </w:r>
      <w:r w:rsidR="00077E48" w:rsidRPr="004068F6">
        <w:rPr>
          <w:rFonts w:cs="Arial"/>
          <w:szCs w:val="22"/>
        </w:rPr>
        <w:t xml:space="preserve">Figura </w:t>
      </w:r>
      <w:r w:rsidR="004647AE">
        <w:rPr>
          <w:rFonts w:cs="Arial"/>
          <w:szCs w:val="22"/>
        </w:rPr>
        <w:fldChar w:fldCharType="begin"/>
      </w:r>
      <w:r w:rsidR="004647AE">
        <w:rPr>
          <w:rFonts w:cs="Arial"/>
          <w:szCs w:val="22"/>
        </w:rPr>
        <w:instrText xml:space="preserve"> SEQ Figura \* ARABIC </w:instrText>
      </w:r>
      <w:r w:rsidR="004647AE">
        <w:rPr>
          <w:rFonts w:cs="Arial"/>
          <w:szCs w:val="22"/>
        </w:rPr>
        <w:fldChar w:fldCharType="separate"/>
      </w:r>
      <w:r w:rsidR="009C4A81">
        <w:rPr>
          <w:rFonts w:cs="Arial"/>
          <w:noProof/>
          <w:szCs w:val="22"/>
        </w:rPr>
        <w:t>5</w:t>
      </w:r>
      <w:r w:rsidR="004647AE">
        <w:rPr>
          <w:rFonts w:cs="Arial"/>
          <w:szCs w:val="22"/>
        </w:rPr>
        <w:fldChar w:fldCharType="end"/>
      </w:r>
      <w:bookmarkEnd w:id="2536"/>
      <w:r w:rsidR="00077E48" w:rsidRPr="004068F6">
        <w:rPr>
          <w:rFonts w:cs="Arial"/>
          <w:szCs w:val="22"/>
        </w:rPr>
        <w:t>.</w:t>
      </w:r>
      <w:r w:rsidR="00077E48" w:rsidRPr="004068F6">
        <w:rPr>
          <w:rFonts w:cs="Arial"/>
          <w:b w:val="0"/>
          <w:szCs w:val="22"/>
        </w:rPr>
        <w:t xml:space="preserve"> </w:t>
      </w:r>
      <w:r w:rsidR="00077E48" w:rsidRPr="004068F6">
        <w:rPr>
          <w:rFonts w:cs="Arial"/>
          <w:b w:val="0"/>
          <w:szCs w:val="22"/>
          <w:lang w:eastAsia="es-CO"/>
        </w:rPr>
        <w:t>Área de influencia de un medio</w:t>
      </w:r>
    </w:p>
    <w:p w14:paraId="2E1D116F" w14:textId="6FC58CCF" w:rsidR="00077E48" w:rsidRPr="004068F6" w:rsidRDefault="00077E48" w:rsidP="0015011A">
      <w:pPr>
        <w:ind w:left="567" w:right="476"/>
        <w:rPr>
          <w:sz w:val="20"/>
          <w:szCs w:val="20"/>
        </w:rPr>
      </w:pPr>
      <w:r w:rsidRPr="004068F6">
        <w:rPr>
          <w:sz w:val="20"/>
          <w:szCs w:val="20"/>
        </w:rPr>
        <w:t>En l</w:t>
      </w:r>
      <w:r w:rsidR="000B248C" w:rsidRPr="004068F6">
        <w:rPr>
          <w:sz w:val="20"/>
          <w:szCs w:val="20"/>
        </w:rPr>
        <w:t>o</w:t>
      </w:r>
      <w:r w:rsidRPr="004068F6">
        <w:rPr>
          <w:sz w:val="20"/>
          <w:szCs w:val="20"/>
        </w:rPr>
        <w:t xml:space="preserve">s dos </w:t>
      </w:r>
      <w:r w:rsidR="000B248C" w:rsidRPr="004068F6">
        <w:rPr>
          <w:sz w:val="20"/>
          <w:szCs w:val="20"/>
        </w:rPr>
        <w:t>escenarios</w:t>
      </w:r>
      <w:r w:rsidRPr="004068F6">
        <w:rPr>
          <w:sz w:val="20"/>
          <w:szCs w:val="20"/>
        </w:rPr>
        <w:t xml:space="preserve">, la ejecución del proyecto ubicado en el punto </w:t>
      </w:r>
      <w:r w:rsidRPr="004068F6">
        <w:rPr>
          <w:i/>
          <w:sz w:val="20"/>
          <w:szCs w:val="20"/>
        </w:rPr>
        <w:t>i</w:t>
      </w:r>
      <w:r w:rsidRPr="004068F6">
        <w:rPr>
          <w:sz w:val="20"/>
          <w:szCs w:val="20"/>
        </w:rPr>
        <w:t xml:space="preserve"> genera impactos ambientales significativos en los componentes A, B y C, que se manifiestan, respectivamente, en las áreas de influencia delimitadas con los colores verde, azul y rojo. El área de influencia del medio conformado por tales componentes está dada por la integración de dichas áreas de influencia, que en la figura se delimita con color amarillo. De forma análoga, la delimitación del área de influencia de un proyecto está dada por la integración de las áreas de influencia de los medios abiótico, biótico y socioeconómico.</w:t>
      </w:r>
    </w:p>
    <w:p w14:paraId="4C1DFA87" w14:textId="77777777" w:rsidR="00077E48" w:rsidRPr="004068F6" w:rsidRDefault="00077E48" w:rsidP="00077E48">
      <w:pPr>
        <w:numPr>
          <w:ilvl w:val="12"/>
          <w:numId w:val="0"/>
        </w:numPr>
        <w:tabs>
          <w:tab w:val="left" w:pos="-2268"/>
        </w:tabs>
        <w:suppressAutoHyphens/>
        <w:rPr>
          <w:rFonts w:cs="Arial"/>
          <w:spacing w:val="-3"/>
        </w:rPr>
      </w:pPr>
    </w:p>
    <w:p w14:paraId="0547FA5F" w14:textId="11B27114" w:rsidR="00E94060" w:rsidRPr="004068F6" w:rsidRDefault="00E94060" w:rsidP="00E94060">
      <w:pPr>
        <w:numPr>
          <w:ilvl w:val="12"/>
          <w:numId w:val="0"/>
        </w:numPr>
        <w:tabs>
          <w:tab w:val="left" w:pos="-2268"/>
        </w:tabs>
        <w:suppressAutoHyphens/>
        <w:rPr>
          <w:rFonts w:cs="Arial"/>
          <w:spacing w:val="-3"/>
        </w:rPr>
      </w:pPr>
      <w:r w:rsidRPr="004068F6">
        <w:rPr>
          <w:rFonts w:cs="Arial"/>
        </w:rPr>
        <w:t>En l</w:t>
      </w:r>
      <w:r w:rsidRPr="004068F6">
        <w:rPr>
          <w:rFonts w:cs="Arial"/>
          <w:spacing w:val="-3"/>
        </w:rPr>
        <w:t xml:space="preserve">a </w:t>
      </w:r>
      <w:r w:rsidRPr="004068F6">
        <w:rPr>
          <w:rFonts w:cs="Arial"/>
          <w:spacing w:val="-3"/>
        </w:rPr>
        <w:fldChar w:fldCharType="begin"/>
      </w:r>
      <w:r w:rsidRPr="004068F6">
        <w:rPr>
          <w:rFonts w:cs="Arial"/>
          <w:spacing w:val="-3"/>
        </w:rPr>
        <w:instrText xml:space="preserve"> REF _Ref38259738 \h  \* MERGEFORMAT </w:instrText>
      </w:r>
      <w:r w:rsidRPr="004068F6">
        <w:rPr>
          <w:rFonts w:cs="Arial"/>
          <w:spacing w:val="-3"/>
        </w:rPr>
      </w:r>
      <w:r w:rsidRPr="004068F6">
        <w:rPr>
          <w:rFonts w:cs="Arial"/>
          <w:spacing w:val="-3"/>
        </w:rPr>
        <w:fldChar w:fldCharType="separate"/>
      </w:r>
      <w:r w:rsidR="009C4A81" w:rsidRPr="004068F6">
        <w:rPr>
          <w:rFonts w:cs="Arial"/>
          <w:szCs w:val="22"/>
        </w:rPr>
        <w:t xml:space="preserve">Figura </w:t>
      </w:r>
      <w:r w:rsidR="009C4A81">
        <w:rPr>
          <w:rFonts w:cs="Arial"/>
          <w:szCs w:val="22"/>
        </w:rPr>
        <w:t>5</w:t>
      </w:r>
      <w:r w:rsidRPr="004068F6">
        <w:rPr>
          <w:rFonts w:cs="Arial"/>
          <w:spacing w:val="-3"/>
        </w:rPr>
        <w:fldChar w:fldCharType="end"/>
      </w:r>
      <w:r w:rsidRPr="004068F6">
        <w:rPr>
          <w:rFonts w:cs="Arial"/>
          <w:spacing w:val="-3"/>
        </w:rPr>
        <w:t xml:space="preserve"> se ilustra de forma esquemática, la manera en que se integran espacialmente las áreas de influencia de una categoría ambiental para conformar el área de influencia de una categoría ambiental de mayor jerarquía, por ejemplo, cómo se integran las áreas de influencia de tres componentes para delimitar el área de influencia de un medio. Este esquema también aplica para la conformación de las áreas de influencia de los componentes a partir de la integración de las áreas de influencia de sus factores ambientales, así como para la delimitación del área de influencia del proyecto, obra o actividad a partir de las áreas de influencia de sus medios.</w:t>
      </w:r>
    </w:p>
    <w:p w14:paraId="355CBBFF" w14:textId="77777777" w:rsidR="00E94060" w:rsidRPr="004068F6" w:rsidRDefault="00E94060" w:rsidP="00E94060">
      <w:pPr>
        <w:numPr>
          <w:ilvl w:val="12"/>
          <w:numId w:val="0"/>
        </w:numPr>
        <w:tabs>
          <w:tab w:val="left" w:pos="-2268"/>
        </w:tabs>
        <w:suppressAutoHyphens/>
        <w:rPr>
          <w:rFonts w:cs="Arial"/>
          <w:spacing w:val="-3"/>
        </w:rPr>
      </w:pPr>
    </w:p>
    <w:p w14:paraId="3A3674F9" w14:textId="2BB00A72" w:rsidR="00B80256" w:rsidRPr="004068F6" w:rsidRDefault="00E94060" w:rsidP="00E94060">
      <w:pPr>
        <w:numPr>
          <w:ilvl w:val="12"/>
          <w:numId w:val="0"/>
        </w:numPr>
        <w:tabs>
          <w:tab w:val="left" w:pos="-2268"/>
        </w:tabs>
        <w:suppressAutoHyphens/>
        <w:rPr>
          <w:rFonts w:cs="Arial"/>
          <w:spacing w:val="-3"/>
        </w:rPr>
      </w:pPr>
      <w:r w:rsidRPr="004068F6">
        <w:rPr>
          <w:rFonts w:cs="Arial"/>
          <w:spacing w:val="-3"/>
        </w:rPr>
        <w:t>La delimitación del área de influencia es un proceso iterativo que inicia delimitando un área de influencia del proyecto, obra o actividad preliminar</w:t>
      </w:r>
      <w:r w:rsidRPr="004068F6">
        <w:rPr>
          <w:rStyle w:val="Refdenotaalpie"/>
          <w:rFonts w:cs="Arial"/>
          <w:lang w:val="es-CO"/>
        </w:rPr>
        <w:footnoteReference w:id="88"/>
      </w:r>
      <w:r w:rsidRPr="004068F6">
        <w:rPr>
          <w:rFonts w:cs="Arial"/>
          <w:spacing w:val="-3"/>
        </w:rPr>
        <w:t xml:space="preserve">, soportada en una evaluación ambiental también preliminar, que toma como fundamento la información primaria y secundaria, de tipo cualitativo o cuantitativo, que en esta </w:t>
      </w:r>
      <w:r w:rsidR="00A425C8">
        <w:rPr>
          <w:rFonts w:cs="Arial"/>
          <w:spacing w:val="-3"/>
        </w:rPr>
        <w:t>fase</w:t>
      </w:r>
      <w:r w:rsidRPr="004068F6">
        <w:rPr>
          <w:rFonts w:cs="Arial"/>
          <w:spacing w:val="-3"/>
        </w:rPr>
        <w:t xml:space="preserve"> esté disponible.</w:t>
      </w:r>
    </w:p>
    <w:p w14:paraId="60DBE356" w14:textId="77777777" w:rsidR="00B80256" w:rsidRPr="004068F6" w:rsidRDefault="00B80256" w:rsidP="00E94060">
      <w:pPr>
        <w:numPr>
          <w:ilvl w:val="12"/>
          <w:numId w:val="0"/>
        </w:numPr>
        <w:tabs>
          <w:tab w:val="left" w:pos="-2268"/>
        </w:tabs>
        <w:suppressAutoHyphens/>
        <w:rPr>
          <w:rFonts w:cs="Arial"/>
          <w:spacing w:val="-3"/>
        </w:rPr>
      </w:pPr>
    </w:p>
    <w:p w14:paraId="3520DAF8" w14:textId="5239E571" w:rsidR="00077E48" w:rsidRPr="004068F6" w:rsidRDefault="00077E48" w:rsidP="00E94060">
      <w:pPr>
        <w:numPr>
          <w:ilvl w:val="12"/>
          <w:numId w:val="0"/>
        </w:numPr>
        <w:tabs>
          <w:tab w:val="left" w:pos="-2268"/>
        </w:tabs>
        <w:suppressAutoHyphens/>
        <w:rPr>
          <w:rFonts w:cs="Arial"/>
          <w:spacing w:val="-3"/>
        </w:rPr>
      </w:pPr>
      <w:r w:rsidRPr="004068F6">
        <w:rPr>
          <w:rFonts w:cs="Arial"/>
          <w:spacing w:val="-3"/>
        </w:rPr>
        <w:t xml:space="preserve">El proceso continúa con la incorporación de información más detallada y precisa, y con el ajuste de las características de ubicación, trazado, ingeniería, tecnología y diseño del proyecto a fin de </w:t>
      </w:r>
      <w:r w:rsidR="005935D1" w:rsidRPr="004068F6">
        <w:rPr>
          <w:rFonts w:cs="Arial"/>
          <w:spacing w:val="-3"/>
        </w:rPr>
        <w:t xml:space="preserve">prevenir </w:t>
      </w:r>
      <w:r w:rsidRPr="004068F6">
        <w:rPr>
          <w:rFonts w:cs="Arial"/>
          <w:spacing w:val="-3"/>
        </w:rPr>
        <w:t xml:space="preserve">la generación de ciertos impactos, verificando de forma simultánea la manifestación espacial de los impactos ambientales significativos </w:t>
      </w:r>
      <w:r w:rsidR="00ED1027" w:rsidRPr="004068F6">
        <w:rPr>
          <w:rFonts w:cs="Arial"/>
          <w:spacing w:val="-3"/>
        </w:rPr>
        <w:t xml:space="preserve">previstos </w:t>
      </w:r>
      <w:r w:rsidRPr="004068F6">
        <w:rPr>
          <w:rFonts w:cs="Arial"/>
          <w:spacing w:val="-3"/>
        </w:rPr>
        <w:t xml:space="preserve">en cada uno de los escenarios </w:t>
      </w:r>
      <w:r w:rsidR="0069169A" w:rsidRPr="004068F6">
        <w:rPr>
          <w:rFonts w:cs="Arial"/>
          <w:spacing w:val="-3"/>
        </w:rPr>
        <w:t xml:space="preserve">contemplados </w:t>
      </w:r>
      <w:r w:rsidRPr="004068F6">
        <w:rPr>
          <w:rFonts w:cs="Arial"/>
          <w:spacing w:val="-3"/>
        </w:rPr>
        <w:t xml:space="preserve">en el proceso iterativo, afinando gradualmente, la delimitación del área de influencia. Durante este proceso iterativo se </w:t>
      </w:r>
      <w:r w:rsidR="00CE1754">
        <w:rPr>
          <w:rFonts w:cs="Arial"/>
          <w:spacing w:val="-3"/>
        </w:rPr>
        <w:t>verifica</w:t>
      </w:r>
      <w:r w:rsidR="00CE1754" w:rsidRPr="004068F6">
        <w:rPr>
          <w:rFonts w:cs="Arial"/>
          <w:spacing w:val="-3"/>
        </w:rPr>
        <w:t xml:space="preserve"> </w:t>
      </w:r>
      <w:r w:rsidRPr="004068F6">
        <w:rPr>
          <w:rFonts w:cs="Arial"/>
          <w:spacing w:val="-3"/>
        </w:rPr>
        <w:t xml:space="preserve">la significancia de los impactos identificados previamente, se descartan impactos que finalmente no tienen la significancia inicialmente considerada y se identifican nuevos impactos significativos que no fueron contemplados en </w:t>
      </w:r>
      <w:r w:rsidR="00B55C27">
        <w:rPr>
          <w:rFonts w:cs="Arial"/>
          <w:spacing w:val="-3"/>
        </w:rPr>
        <w:t>fases</w:t>
      </w:r>
      <w:r w:rsidRPr="004068F6">
        <w:rPr>
          <w:rFonts w:cs="Arial"/>
          <w:spacing w:val="-3"/>
        </w:rPr>
        <w:t xml:space="preserve"> previas, y resultado de ello, se ajusta la ubicación, extensión y forma del área de influencia que se delimitó de manera preliminar.</w:t>
      </w:r>
    </w:p>
    <w:p w14:paraId="487D3256" w14:textId="77777777" w:rsidR="00077E48" w:rsidRPr="004068F6" w:rsidRDefault="00077E48" w:rsidP="00077E48">
      <w:pPr>
        <w:numPr>
          <w:ilvl w:val="12"/>
          <w:numId w:val="0"/>
        </w:numPr>
        <w:tabs>
          <w:tab w:val="left" w:pos="-2268"/>
        </w:tabs>
        <w:suppressAutoHyphens/>
        <w:rPr>
          <w:rFonts w:cs="Arial"/>
          <w:spacing w:val="-3"/>
        </w:rPr>
      </w:pPr>
    </w:p>
    <w:p w14:paraId="0600E9B5" w14:textId="1ACF3665"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 xml:space="preserve">Esta sucesión de eventos de delimitación, caracterización y evaluación culmina cuando se delimita una única superficie que satisface tanto la definición de área de influencia de un proyecto, obra o actividad, como el objetivo del proyecto en estructuración, en la medida en que </w:t>
      </w:r>
      <w:r w:rsidR="0069169A" w:rsidRPr="004068F6">
        <w:rPr>
          <w:rFonts w:cs="Arial"/>
          <w:spacing w:val="-3"/>
        </w:rPr>
        <w:t xml:space="preserve">el área de influencia </w:t>
      </w:r>
      <w:r w:rsidRPr="004068F6">
        <w:rPr>
          <w:rFonts w:cs="Arial"/>
          <w:spacing w:val="-3"/>
        </w:rPr>
        <w:t>depende de las características propias de éste y de las condiciones ambientales específicas de la zona en la que se plantea su ejecución.</w:t>
      </w:r>
    </w:p>
    <w:p w14:paraId="6C127DC6" w14:textId="77777777" w:rsidR="00077E48" w:rsidRPr="004068F6" w:rsidRDefault="00077E48" w:rsidP="00077E48">
      <w:pPr>
        <w:numPr>
          <w:ilvl w:val="12"/>
          <w:numId w:val="0"/>
        </w:numPr>
        <w:tabs>
          <w:tab w:val="left" w:pos="-2268"/>
        </w:tabs>
        <w:suppressAutoHyphens/>
        <w:rPr>
          <w:rFonts w:cs="Arial"/>
          <w:spacing w:val="-3"/>
        </w:rPr>
      </w:pPr>
    </w:p>
    <w:p w14:paraId="1EFF8D0A" w14:textId="573DEB4C" w:rsidR="007F623C" w:rsidRPr="004068F6" w:rsidRDefault="007F623C" w:rsidP="007F623C">
      <w:pPr>
        <w:numPr>
          <w:ilvl w:val="12"/>
          <w:numId w:val="0"/>
        </w:numPr>
        <w:tabs>
          <w:tab w:val="left" w:pos="-2268"/>
        </w:tabs>
        <w:suppressAutoHyphens/>
        <w:rPr>
          <w:rFonts w:cs="Arial"/>
          <w:spacing w:val="-3"/>
        </w:rPr>
      </w:pPr>
      <w:r w:rsidRPr="00127BD4">
        <w:rPr>
          <w:rFonts w:cs="Arial"/>
          <w:spacing w:val="-3"/>
        </w:rPr>
        <w:t>La de</w:t>
      </w:r>
      <w:r w:rsidR="00C01259" w:rsidRPr="00127BD4">
        <w:rPr>
          <w:rFonts w:cs="Arial"/>
          <w:spacing w:val="-3"/>
        </w:rPr>
        <w:t xml:space="preserve">limitación del área de influencia de </w:t>
      </w:r>
      <w:r w:rsidRPr="00127BD4">
        <w:rPr>
          <w:rFonts w:cs="Arial"/>
          <w:spacing w:val="-3"/>
        </w:rPr>
        <w:t>proyectos para los cuales al momento de la elaboración del EIA se desconoce la localización definitiva de las infraestructuras, obras y actividades, debe abordarse contemplando todos los posibles lugares de emplazamiento de tales infraestructuras, obras y actividades.</w:t>
      </w:r>
    </w:p>
    <w:p w14:paraId="465B8BA3" w14:textId="77777777" w:rsidR="007F623C" w:rsidRPr="004068F6" w:rsidRDefault="007F623C" w:rsidP="00077E48">
      <w:pPr>
        <w:numPr>
          <w:ilvl w:val="12"/>
          <w:numId w:val="0"/>
        </w:numPr>
        <w:tabs>
          <w:tab w:val="left" w:pos="-2268"/>
        </w:tabs>
        <w:suppressAutoHyphens/>
        <w:rPr>
          <w:rFonts w:cs="Arial"/>
          <w:spacing w:val="-3"/>
        </w:rPr>
      </w:pPr>
    </w:p>
    <w:p w14:paraId="1C6FF78A" w14:textId="3B59C202"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 xml:space="preserve">Con el propósito de orientar la obtención de una primera aproximación a la delimitación del área de influencia, en la </w:t>
      </w:r>
      <w:r w:rsidR="004F3A8E" w:rsidRPr="004068F6">
        <w:rPr>
          <w:rFonts w:cs="Arial"/>
          <w:spacing w:val="-3"/>
        </w:rPr>
        <w:fldChar w:fldCharType="begin"/>
      </w:r>
      <w:r w:rsidR="004F3A8E" w:rsidRPr="004068F6">
        <w:rPr>
          <w:rFonts w:cs="Arial"/>
          <w:spacing w:val="-3"/>
        </w:rPr>
        <w:instrText xml:space="preserve"> REF _Ref79429661 \h </w:instrText>
      </w:r>
      <w:r w:rsidR="006A4128" w:rsidRPr="004068F6">
        <w:rPr>
          <w:rFonts w:cs="Arial"/>
          <w:spacing w:val="-3"/>
        </w:rPr>
        <w:instrText xml:space="preserve"> \* MERGEFORMAT </w:instrText>
      </w:r>
      <w:r w:rsidR="004F3A8E" w:rsidRPr="004068F6">
        <w:rPr>
          <w:rFonts w:cs="Arial"/>
          <w:spacing w:val="-3"/>
        </w:rPr>
      </w:r>
      <w:r w:rsidR="004F3A8E" w:rsidRPr="004068F6">
        <w:rPr>
          <w:rFonts w:cs="Arial"/>
          <w:spacing w:val="-3"/>
        </w:rPr>
        <w:fldChar w:fldCharType="separate"/>
      </w:r>
      <w:r w:rsidR="009C4A81" w:rsidRPr="004068F6">
        <w:t xml:space="preserve">Tabla </w:t>
      </w:r>
      <w:r w:rsidR="009C4A81">
        <w:t>15</w:t>
      </w:r>
      <w:r w:rsidR="004F3A8E" w:rsidRPr="004068F6">
        <w:rPr>
          <w:rFonts w:cs="Arial"/>
          <w:spacing w:val="-3"/>
        </w:rPr>
        <w:fldChar w:fldCharType="end"/>
      </w:r>
      <w:r w:rsidR="00B923F5" w:rsidRPr="004068F6">
        <w:rPr>
          <w:rFonts w:cs="Arial"/>
          <w:spacing w:val="-3"/>
        </w:rPr>
        <w:t xml:space="preserve"> </w:t>
      </w:r>
      <w:r w:rsidRPr="004068F6">
        <w:rPr>
          <w:rFonts w:cs="Arial"/>
          <w:spacing w:val="-3"/>
        </w:rPr>
        <w:t>se relacionan algunas fuentes de información secundaria oficial, de uso generalizado para dicho fin, las cuales están clasificadas según el medio o el componente con el cual están relacionadas. Este listado de información no es exhaustivo, de manera que es posible emplear otras fuentes de información oficial que se consideren pertinentes para cada caso particular.</w:t>
      </w:r>
    </w:p>
    <w:p w14:paraId="0E781E1C" w14:textId="77777777" w:rsidR="00077E48" w:rsidRPr="004068F6" w:rsidRDefault="00077E48" w:rsidP="00077E48">
      <w:pPr>
        <w:numPr>
          <w:ilvl w:val="12"/>
          <w:numId w:val="0"/>
        </w:numPr>
        <w:tabs>
          <w:tab w:val="left" w:pos="-2268"/>
        </w:tabs>
        <w:suppressAutoHyphens/>
        <w:rPr>
          <w:rFonts w:cs="Arial"/>
          <w:spacing w:val="-3"/>
        </w:rPr>
      </w:pPr>
    </w:p>
    <w:p w14:paraId="3127DBC2" w14:textId="63289BCE" w:rsidR="00077E48" w:rsidRPr="004068F6" w:rsidRDefault="00077E48" w:rsidP="00077E48">
      <w:pPr>
        <w:pStyle w:val="Descripcin"/>
        <w:jc w:val="center"/>
        <w:rPr>
          <w:b w:val="0"/>
        </w:rPr>
      </w:pPr>
      <w:bookmarkStart w:id="2537" w:name="_Ref79429661"/>
      <w:r w:rsidRPr="004068F6">
        <w:t xml:space="preserve">Tabla </w:t>
      </w:r>
      <w:fldSimple w:instr=" SEQ Tabla \* ARABIC ">
        <w:r w:rsidR="009C4A81">
          <w:rPr>
            <w:noProof/>
          </w:rPr>
          <w:t>15</w:t>
        </w:r>
      </w:fldSimple>
      <w:bookmarkEnd w:id="2537"/>
      <w:r w:rsidR="004F3A8E" w:rsidRPr="004068F6">
        <w:t>.</w:t>
      </w:r>
      <w:r w:rsidRPr="004068F6">
        <w:rPr>
          <w:b w:val="0"/>
        </w:rPr>
        <w:t xml:space="preserve"> Fuentes de información secundaria por medio o componente</w:t>
      </w:r>
    </w:p>
    <w:tbl>
      <w:tblPr>
        <w:tblStyle w:val="Tablaconcuadrcula"/>
        <w:tblW w:w="0" w:type="auto"/>
        <w:jc w:val="center"/>
        <w:tblLook w:val="04A0" w:firstRow="1" w:lastRow="0" w:firstColumn="1" w:lastColumn="0" w:noHBand="0" w:noVBand="1"/>
      </w:tblPr>
      <w:tblGrid>
        <w:gridCol w:w="2830"/>
        <w:gridCol w:w="5991"/>
      </w:tblGrid>
      <w:tr w:rsidR="00077E48" w:rsidRPr="004068F6" w14:paraId="49F74170" w14:textId="77777777" w:rsidTr="007F45D3">
        <w:trPr>
          <w:trHeight w:val="661"/>
          <w:tblHeader/>
          <w:jc w:val="center"/>
        </w:trPr>
        <w:tc>
          <w:tcPr>
            <w:tcW w:w="2830" w:type="dxa"/>
            <w:vAlign w:val="center"/>
          </w:tcPr>
          <w:p w14:paraId="6126752B" w14:textId="77777777" w:rsidR="00077E48" w:rsidRPr="004068F6" w:rsidRDefault="00077E48" w:rsidP="007F45D3">
            <w:pPr>
              <w:numPr>
                <w:ilvl w:val="12"/>
                <w:numId w:val="0"/>
              </w:numPr>
              <w:tabs>
                <w:tab w:val="left" w:pos="-2268"/>
              </w:tabs>
              <w:suppressAutoHyphens/>
              <w:jc w:val="center"/>
              <w:rPr>
                <w:rFonts w:cs="Arial"/>
                <w:b/>
                <w:spacing w:val="-3"/>
                <w:sz w:val="20"/>
                <w:szCs w:val="20"/>
              </w:rPr>
            </w:pPr>
            <w:r w:rsidRPr="004068F6">
              <w:rPr>
                <w:rFonts w:cs="Arial"/>
                <w:b/>
                <w:spacing w:val="-3"/>
                <w:sz w:val="20"/>
                <w:szCs w:val="20"/>
              </w:rPr>
              <w:t>Medio o componente</w:t>
            </w:r>
          </w:p>
        </w:tc>
        <w:tc>
          <w:tcPr>
            <w:tcW w:w="5991" w:type="dxa"/>
            <w:vAlign w:val="center"/>
          </w:tcPr>
          <w:p w14:paraId="1B69EEB4" w14:textId="77777777" w:rsidR="00077E48" w:rsidRPr="004068F6" w:rsidRDefault="00077E48" w:rsidP="007F45D3">
            <w:pPr>
              <w:numPr>
                <w:ilvl w:val="12"/>
                <w:numId w:val="0"/>
              </w:numPr>
              <w:tabs>
                <w:tab w:val="left" w:pos="-2268"/>
              </w:tabs>
              <w:suppressAutoHyphens/>
              <w:jc w:val="center"/>
              <w:rPr>
                <w:rFonts w:cs="Arial"/>
                <w:b/>
                <w:spacing w:val="-3"/>
                <w:sz w:val="20"/>
                <w:szCs w:val="20"/>
              </w:rPr>
            </w:pPr>
            <w:r w:rsidRPr="004068F6">
              <w:rPr>
                <w:rFonts w:cs="Arial"/>
                <w:b/>
                <w:spacing w:val="-3"/>
                <w:sz w:val="20"/>
                <w:szCs w:val="20"/>
              </w:rPr>
              <w:t>Fuente de información secundaria</w:t>
            </w:r>
          </w:p>
        </w:tc>
      </w:tr>
      <w:tr w:rsidR="00077E48" w:rsidRPr="004068F6" w14:paraId="41D82CAA" w14:textId="77777777" w:rsidTr="007F45D3">
        <w:trPr>
          <w:trHeight w:hRule="exact" w:val="567"/>
          <w:jc w:val="center"/>
        </w:trPr>
        <w:tc>
          <w:tcPr>
            <w:tcW w:w="2830" w:type="dxa"/>
            <w:vAlign w:val="center"/>
          </w:tcPr>
          <w:p w14:paraId="2D963B8F" w14:textId="77777777" w:rsidR="00077E48" w:rsidRPr="004068F6" w:rsidRDefault="00077E48" w:rsidP="007F45D3">
            <w:pPr>
              <w:numPr>
                <w:ilvl w:val="12"/>
                <w:numId w:val="0"/>
              </w:numPr>
              <w:tabs>
                <w:tab w:val="left" w:pos="-2268"/>
              </w:tabs>
              <w:suppressAutoHyphens/>
              <w:jc w:val="center"/>
              <w:rPr>
                <w:rFonts w:cs="Arial"/>
                <w:spacing w:val="-3"/>
                <w:sz w:val="20"/>
                <w:szCs w:val="20"/>
              </w:rPr>
            </w:pPr>
            <w:r w:rsidRPr="004068F6">
              <w:rPr>
                <w:rFonts w:cs="Arial"/>
                <w:spacing w:val="-3"/>
                <w:sz w:val="20"/>
                <w:szCs w:val="20"/>
              </w:rPr>
              <w:t>Geológico</w:t>
            </w:r>
          </w:p>
        </w:tc>
        <w:tc>
          <w:tcPr>
            <w:tcW w:w="5991" w:type="dxa"/>
            <w:vAlign w:val="center"/>
          </w:tcPr>
          <w:p w14:paraId="77779691" w14:textId="77777777"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Mapa Geológico Colombia. Escala 1:100.000. Servicio Geológico Colombiano (SGC).</w:t>
            </w:r>
          </w:p>
        </w:tc>
      </w:tr>
      <w:tr w:rsidR="00077E48" w:rsidRPr="004068F6" w14:paraId="5FB20EF1" w14:textId="77777777" w:rsidTr="007F45D3">
        <w:trPr>
          <w:trHeight w:hRule="exact" w:val="1138"/>
          <w:jc w:val="center"/>
        </w:trPr>
        <w:tc>
          <w:tcPr>
            <w:tcW w:w="2830" w:type="dxa"/>
            <w:vAlign w:val="center"/>
          </w:tcPr>
          <w:p w14:paraId="1D36567E" w14:textId="77777777" w:rsidR="00077E48" w:rsidRPr="004068F6" w:rsidRDefault="00077E48" w:rsidP="007F45D3">
            <w:pPr>
              <w:numPr>
                <w:ilvl w:val="12"/>
                <w:numId w:val="0"/>
              </w:numPr>
              <w:tabs>
                <w:tab w:val="left" w:pos="-2268"/>
              </w:tabs>
              <w:suppressAutoHyphens/>
              <w:jc w:val="center"/>
              <w:rPr>
                <w:rFonts w:cs="Arial"/>
                <w:spacing w:val="-3"/>
                <w:sz w:val="20"/>
                <w:szCs w:val="20"/>
              </w:rPr>
            </w:pPr>
            <w:r w:rsidRPr="004068F6">
              <w:rPr>
                <w:rFonts w:cs="Arial"/>
                <w:spacing w:val="-3"/>
                <w:sz w:val="20"/>
                <w:szCs w:val="20"/>
              </w:rPr>
              <w:t>Geomorfológico</w:t>
            </w:r>
          </w:p>
        </w:tc>
        <w:tc>
          <w:tcPr>
            <w:tcW w:w="5991" w:type="dxa"/>
            <w:vAlign w:val="center"/>
          </w:tcPr>
          <w:p w14:paraId="48A0E65B" w14:textId="77777777"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Mapa de Geomorfología de Colombia. Instituto Geográfico Agustín Codazzi (IGAC). Disponible en el Sistema de Información Geográfica para la Planeación y el Ordenamiento Territorial Nacional (SIGOT).</w:t>
            </w:r>
          </w:p>
        </w:tc>
      </w:tr>
      <w:tr w:rsidR="00077E48" w:rsidRPr="004068F6" w14:paraId="42D60D0B" w14:textId="77777777" w:rsidTr="007F45D3">
        <w:trPr>
          <w:trHeight w:hRule="exact" w:val="884"/>
          <w:jc w:val="center"/>
        </w:trPr>
        <w:tc>
          <w:tcPr>
            <w:tcW w:w="2830" w:type="dxa"/>
            <w:vAlign w:val="center"/>
          </w:tcPr>
          <w:p w14:paraId="4CF4243E" w14:textId="77777777" w:rsidR="00077E48" w:rsidRPr="004068F6" w:rsidRDefault="00077E48" w:rsidP="007F45D3">
            <w:pPr>
              <w:numPr>
                <w:ilvl w:val="12"/>
                <w:numId w:val="0"/>
              </w:numPr>
              <w:tabs>
                <w:tab w:val="left" w:pos="-2268"/>
              </w:tabs>
              <w:suppressAutoHyphens/>
              <w:jc w:val="center"/>
              <w:rPr>
                <w:rFonts w:cs="Arial"/>
                <w:spacing w:val="-3"/>
                <w:sz w:val="20"/>
                <w:szCs w:val="20"/>
              </w:rPr>
            </w:pPr>
            <w:r w:rsidRPr="004068F6">
              <w:rPr>
                <w:rFonts w:cs="Arial"/>
                <w:spacing w:val="-3"/>
                <w:sz w:val="20"/>
                <w:szCs w:val="20"/>
              </w:rPr>
              <w:t>Edafológico</w:t>
            </w:r>
          </w:p>
        </w:tc>
        <w:tc>
          <w:tcPr>
            <w:tcW w:w="5991" w:type="dxa"/>
            <w:vAlign w:val="center"/>
          </w:tcPr>
          <w:p w14:paraId="4D1F3F8E" w14:textId="77777777"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Mapa de Suelos del Territorio Colombiano. Escala 1:100.000, 1:25.000 y 1:10.000. Instituto Geográfico Agustín Codazzi (IGAC).</w:t>
            </w:r>
          </w:p>
        </w:tc>
      </w:tr>
      <w:tr w:rsidR="00077E48" w:rsidRPr="004068F6" w14:paraId="14EF810D" w14:textId="77777777" w:rsidTr="007F45D3">
        <w:trPr>
          <w:trHeight w:hRule="exact" w:val="794"/>
          <w:jc w:val="center"/>
        </w:trPr>
        <w:tc>
          <w:tcPr>
            <w:tcW w:w="2830" w:type="dxa"/>
            <w:vAlign w:val="center"/>
          </w:tcPr>
          <w:p w14:paraId="28BF2C66" w14:textId="77777777" w:rsidR="00077E48" w:rsidRPr="004068F6" w:rsidRDefault="00077E48" w:rsidP="007F45D3">
            <w:pPr>
              <w:numPr>
                <w:ilvl w:val="12"/>
                <w:numId w:val="0"/>
              </w:numPr>
              <w:tabs>
                <w:tab w:val="left" w:pos="-2268"/>
              </w:tabs>
              <w:suppressAutoHyphens/>
              <w:jc w:val="center"/>
              <w:rPr>
                <w:rFonts w:cs="Arial"/>
                <w:spacing w:val="-3"/>
                <w:sz w:val="20"/>
                <w:szCs w:val="20"/>
              </w:rPr>
            </w:pPr>
            <w:r w:rsidRPr="004068F6">
              <w:rPr>
                <w:rFonts w:cs="Arial"/>
                <w:spacing w:val="-3"/>
                <w:sz w:val="20"/>
                <w:szCs w:val="20"/>
              </w:rPr>
              <w:t>Hidrológico</w:t>
            </w:r>
          </w:p>
        </w:tc>
        <w:tc>
          <w:tcPr>
            <w:tcW w:w="5991" w:type="dxa"/>
            <w:vAlign w:val="center"/>
          </w:tcPr>
          <w:p w14:paraId="491710E2" w14:textId="0FA9FF26"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Zonificación y codificación de cuencas hidrográficas e hidrogeológicas de Colombia. Escala 1:100.000. Instituto de Hidrología, Meteorología y Estudios Ambientales (</w:t>
            </w:r>
            <w:r w:rsidR="00A92356" w:rsidRPr="004068F6">
              <w:rPr>
                <w:rFonts w:cs="Arial"/>
                <w:spacing w:val="-3"/>
                <w:sz w:val="20"/>
                <w:szCs w:val="20"/>
              </w:rPr>
              <w:t>Ideam</w:t>
            </w:r>
            <w:r w:rsidRPr="004068F6">
              <w:rPr>
                <w:rFonts w:cs="Arial"/>
                <w:spacing w:val="-3"/>
                <w:sz w:val="20"/>
                <w:szCs w:val="20"/>
              </w:rPr>
              <w:t>).</w:t>
            </w:r>
          </w:p>
        </w:tc>
      </w:tr>
      <w:tr w:rsidR="00077E48" w:rsidRPr="004068F6" w14:paraId="38FFBFBA" w14:textId="77777777" w:rsidTr="007F45D3">
        <w:trPr>
          <w:trHeight w:hRule="exact" w:val="1496"/>
          <w:jc w:val="center"/>
        </w:trPr>
        <w:tc>
          <w:tcPr>
            <w:tcW w:w="2830" w:type="dxa"/>
            <w:vAlign w:val="center"/>
          </w:tcPr>
          <w:p w14:paraId="4336861F" w14:textId="77777777" w:rsidR="00077E48" w:rsidRPr="004068F6" w:rsidRDefault="00077E48" w:rsidP="007F45D3">
            <w:pPr>
              <w:numPr>
                <w:ilvl w:val="12"/>
                <w:numId w:val="0"/>
              </w:numPr>
              <w:tabs>
                <w:tab w:val="left" w:pos="-2268"/>
              </w:tabs>
              <w:suppressAutoHyphens/>
              <w:jc w:val="center"/>
              <w:rPr>
                <w:rFonts w:cs="Arial"/>
                <w:spacing w:val="-3"/>
                <w:sz w:val="20"/>
                <w:szCs w:val="20"/>
              </w:rPr>
            </w:pPr>
            <w:r w:rsidRPr="004068F6">
              <w:rPr>
                <w:rFonts w:cs="Arial"/>
                <w:spacing w:val="-3"/>
                <w:sz w:val="20"/>
                <w:szCs w:val="20"/>
              </w:rPr>
              <w:t>Hidrogeológico</w:t>
            </w:r>
          </w:p>
        </w:tc>
        <w:tc>
          <w:tcPr>
            <w:tcW w:w="5991" w:type="dxa"/>
            <w:vAlign w:val="center"/>
          </w:tcPr>
          <w:p w14:paraId="1DC42828" w14:textId="07AE1AB7"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Estudio Nacional del Agua. Escala 1:100.000. Instituto de Hidrología, Meteorología y Estudios Ambientales (</w:t>
            </w:r>
            <w:r w:rsidR="00A92356" w:rsidRPr="004068F6">
              <w:rPr>
                <w:rFonts w:cs="Arial"/>
                <w:spacing w:val="-3"/>
                <w:sz w:val="20"/>
                <w:szCs w:val="20"/>
              </w:rPr>
              <w:t>Ideam</w:t>
            </w:r>
            <w:r w:rsidRPr="004068F6">
              <w:rPr>
                <w:rFonts w:cs="Arial"/>
                <w:spacing w:val="-3"/>
                <w:sz w:val="20"/>
                <w:szCs w:val="20"/>
              </w:rPr>
              <w:t>).</w:t>
            </w:r>
          </w:p>
          <w:p w14:paraId="094558A8" w14:textId="77777777" w:rsidR="00077E48" w:rsidRPr="004068F6" w:rsidRDefault="00077E48" w:rsidP="007F45D3">
            <w:pPr>
              <w:numPr>
                <w:ilvl w:val="12"/>
                <w:numId w:val="0"/>
              </w:numPr>
              <w:tabs>
                <w:tab w:val="left" w:pos="-2268"/>
              </w:tabs>
              <w:suppressAutoHyphens/>
              <w:rPr>
                <w:rFonts w:cs="Arial"/>
                <w:spacing w:val="-3"/>
                <w:sz w:val="20"/>
                <w:szCs w:val="20"/>
              </w:rPr>
            </w:pPr>
          </w:p>
          <w:p w14:paraId="4466DB81" w14:textId="3D43A404"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Zonificación y codificación de unidades hidrográficas e hidrogeológicas de Colombia. Instituto de Hidrología, Meteorología y Estudios Ambientales (</w:t>
            </w:r>
            <w:r w:rsidR="00A92356" w:rsidRPr="004068F6">
              <w:rPr>
                <w:rFonts w:cs="Arial"/>
                <w:spacing w:val="-3"/>
                <w:sz w:val="20"/>
                <w:szCs w:val="20"/>
              </w:rPr>
              <w:t>Ideam</w:t>
            </w:r>
            <w:r w:rsidRPr="004068F6">
              <w:rPr>
                <w:rFonts w:cs="Arial"/>
                <w:spacing w:val="-3"/>
                <w:sz w:val="20"/>
                <w:szCs w:val="20"/>
              </w:rPr>
              <w:t>).</w:t>
            </w:r>
          </w:p>
        </w:tc>
      </w:tr>
      <w:tr w:rsidR="00077E48" w:rsidRPr="004068F6" w14:paraId="388FD31F" w14:textId="77777777" w:rsidTr="001A59FB">
        <w:trPr>
          <w:trHeight w:hRule="exact" w:val="2296"/>
          <w:jc w:val="center"/>
        </w:trPr>
        <w:tc>
          <w:tcPr>
            <w:tcW w:w="2830" w:type="dxa"/>
            <w:vAlign w:val="center"/>
          </w:tcPr>
          <w:p w14:paraId="466B1092" w14:textId="77777777" w:rsidR="00077E48" w:rsidRPr="004068F6" w:rsidRDefault="00077E48" w:rsidP="007F45D3">
            <w:pPr>
              <w:numPr>
                <w:ilvl w:val="12"/>
                <w:numId w:val="0"/>
              </w:numPr>
              <w:tabs>
                <w:tab w:val="left" w:pos="-2268"/>
              </w:tabs>
              <w:suppressAutoHyphens/>
              <w:jc w:val="center"/>
              <w:rPr>
                <w:rFonts w:cs="Arial"/>
                <w:spacing w:val="-3"/>
                <w:sz w:val="20"/>
                <w:szCs w:val="20"/>
              </w:rPr>
            </w:pPr>
            <w:r w:rsidRPr="004068F6">
              <w:rPr>
                <w:rFonts w:cs="Arial"/>
                <w:spacing w:val="-3"/>
                <w:sz w:val="20"/>
                <w:szCs w:val="20"/>
              </w:rPr>
              <w:t>Medio biótico</w:t>
            </w:r>
          </w:p>
        </w:tc>
        <w:tc>
          <w:tcPr>
            <w:tcW w:w="5991" w:type="dxa"/>
            <w:vAlign w:val="center"/>
          </w:tcPr>
          <w:p w14:paraId="14678E41" w14:textId="66F7F682"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 xml:space="preserve">Mapa de Ecosistemas Continentales, Costeros y Marinos de Colombia (MEC) [mapa], Versión 2.1, escala 1:100.000, 2017. </w:t>
            </w:r>
            <w:r w:rsidR="00A92356" w:rsidRPr="004068F6">
              <w:rPr>
                <w:rFonts w:cs="Arial"/>
                <w:spacing w:val="-3"/>
                <w:sz w:val="20"/>
                <w:szCs w:val="20"/>
              </w:rPr>
              <w:t>Ideam</w:t>
            </w:r>
            <w:r w:rsidRPr="004068F6">
              <w:rPr>
                <w:rFonts w:cs="Arial"/>
                <w:spacing w:val="-3"/>
                <w:sz w:val="20"/>
                <w:szCs w:val="20"/>
              </w:rPr>
              <w:t>, Instituto Humboldt, IGAC, Invemar, Sinchi, IIAP, PNN &amp; Minambiente.</w:t>
            </w:r>
          </w:p>
          <w:p w14:paraId="63C90597" w14:textId="77777777" w:rsidR="00077E48" w:rsidRPr="004068F6" w:rsidRDefault="00077E48" w:rsidP="007F45D3">
            <w:pPr>
              <w:numPr>
                <w:ilvl w:val="12"/>
                <w:numId w:val="0"/>
              </w:numPr>
              <w:tabs>
                <w:tab w:val="left" w:pos="-2268"/>
              </w:tabs>
              <w:suppressAutoHyphens/>
              <w:rPr>
                <w:rFonts w:cs="Arial"/>
                <w:spacing w:val="-3"/>
                <w:sz w:val="20"/>
                <w:szCs w:val="20"/>
              </w:rPr>
            </w:pPr>
          </w:p>
          <w:p w14:paraId="0323F700" w14:textId="77777777"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Sistema de Información Ambiental Marina (SIAM). Invemar.</w:t>
            </w:r>
          </w:p>
          <w:p w14:paraId="1B5098A6" w14:textId="77777777" w:rsidR="001A59FB" w:rsidRPr="004068F6" w:rsidRDefault="001A59FB" w:rsidP="007F45D3">
            <w:pPr>
              <w:numPr>
                <w:ilvl w:val="12"/>
                <w:numId w:val="0"/>
              </w:numPr>
              <w:tabs>
                <w:tab w:val="left" w:pos="-2268"/>
              </w:tabs>
              <w:suppressAutoHyphens/>
              <w:rPr>
                <w:rFonts w:cs="Arial"/>
                <w:spacing w:val="-3"/>
                <w:sz w:val="20"/>
                <w:szCs w:val="20"/>
              </w:rPr>
            </w:pPr>
          </w:p>
          <w:p w14:paraId="31E8519D" w14:textId="7E3C2FC6" w:rsidR="001A59FB" w:rsidRPr="004068F6" w:rsidRDefault="001A59FB" w:rsidP="007F45D3">
            <w:pPr>
              <w:numPr>
                <w:ilvl w:val="12"/>
                <w:numId w:val="0"/>
              </w:numPr>
              <w:tabs>
                <w:tab w:val="left" w:pos="-2268"/>
              </w:tabs>
              <w:suppressAutoHyphens/>
              <w:rPr>
                <w:rFonts w:cs="Arial"/>
                <w:spacing w:val="-3"/>
                <w:sz w:val="20"/>
                <w:szCs w:val="20"/>
              </w:rPr>
            </w:pPr>
            <w:r w:rsidRPr="004068F6">
              <w:rPr>
                <w:rFonts w:cs="Arial"/>
                <w:spacing w:val="-3"/>
                <w:sz w:val="20"/>
                <w:szCs w:val="20"/>
              </w:rPr>
              <w:t>Mapa de coberturas de la tierra. Escala 1:100.000. Ideam, Sinchi, PNN, IGAC, Minambiente.</w:t>
            </w:r>
          </w:p>
        </w:tc>
      </w:tr>
      <w:tr w:rsidR="00077E48" w:rsidRPr="004068F6" w14:paraId="60FE7F0F" w14:textId="77777777" w:rsidTr="00E64F04">
        <w:trPr>
          <w:trHeight w:hRule="exact" w:val="4298"/>
          <w:jc w:val="center"/>
        </w:trPr>
        <w:tc>
          <w:tcPr>
            <w:tcW w:w="2830" w:type="dxa"/>
            <w:vAlign w:val="center"/>
          </w:tcPr>
          <w:p w14:paraId="258B71E8" w14:textId="77777777" w:rsidR="00077E48" w:rsidRPr="004068F6" w:rsidRDefault="00077E48" w:rsidP="007F45D3">
            <w:pPr>
              <w:numPr>
                <w:ilvl w:val="12"/>
                <w:numId w:val="0"/>
              </w:numPr>
              <w:tabs>
                <w:tab w:val="left" w:pos="-2268"/>
              </w:tabs>
              <w:suppressAutoHyphens/>
              <w:jc w:val="center"/>
              <w:rPr>
                <w:rFonts w:cs="Arial"/>
                <w:spacing w:val="-3"/>
                <w:sz w:val="20"/>
                <w:szCs w:val="20"/>
              </w:rPr>
            </w:pPr>
            <w:r w:rsidRPr="004068F6">
              <w:rPr>
                <w:rFonts w:cs="Arial"/>
                <w:spacing w:val="-3"/>
                <w:sz w:val="20"/>
                <w:szCs w:val="20"/>
              </w:rPr>
              <w:lastRenderedPageBreak/>
              <w:t>Medio socioeconómico (aplica también para la información de contexto)</w:t>
            </w:r>
          </w:p>
        </w:tc>
        <w:tc>
          <w:tcPr>
            <w:tcW w:w="5991" w:type="dxa"/>
            <w:vAlign w:val="center"/>
          </w:tcPr>
          <w:p w14:paraId="719D9504" w14:textId="364CFE41"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 xml:space="preserve">Instrumentos de ordenamiento territorial, ordenamiento y gestión ambiental (EOT, PBOT, POT, </w:t>
            </w:r>
            <w:r w:rsidR="003C70CD" w:rsidRPr="004068F6">
              <w:rPr>
                <w:rFonts w:cs="Arial"/>
                <w:spacing w:val="-3"/>
                <w:sz w:val="20"/>
                <w:szCs w:val="20"/>
              </w:rPr>
              <w:t>Pomca</w:t>
            </w:r>
            <w:r w:rsidRPr="004068F6">
              <w:rPr>
                <w:rFonts w:cs="Arial"/>
                <w:spacing w:val="-3"/>
                <w:sz w:val="20"/>
                <w:szCs w:val="20"/>
              </w:rPr>
              <w:t xml:space="preserve">, </w:t>
            </w:r>
            <w:r w:rsidR="0069169A" w:rsidRPr="004068F6">
              <w:rPr>
                <w:rFonts w:cs="Arial"/>
                <w:spacing w:val="-3"/>
                <w:sz w:val="20"/>
                <w:szCs w:val="20"/>
              </w:rPr>
              <w:t>Pomiuac</w:t>
            </w:r>
            <w:r w:rsidRPr="004068F6">
              <w:rPr>
                <w:rFonts w:cs="Arial"/>
                <w:spacing w:val="-3"/>
                <w:sz w:val="20"/>
                <w:szCs w:val="20"/>
              </w:rPr>
              <w:t>, entre otros).</w:t>
            </w:r>
          </w:p>
          <w:p w14:paraId="456A9C16" w14:textId="77777777" w:rsidR="00077E48" w:rsidRPr="004068F6" w:rsidRDefault="00077E48" w:rsidP="007F45D3">
            <w:pPr>
              <w:numPr>
                <w:ilvl w:val="12"/>
                <w:numId w:val="0"/>
              </w:numPr>
              <w:tabs>
                <w:tab w:val="left" w:pos="-2268"/>
              </w:tabs>
              <w:suppressAutoHyphens/>
              <w:rPr>
                <w:rFonts w:cs="Arial"/>
                <w:spacing w:val="-3"/>
                <w:sz w:val="20"/>
                <w:szCs w:val="20"/>
              </w:rPr>
            </w:pPr>
          </w:p>
          <w:p w14:paraId="25F2C58B" w14:textId="77777777"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Sistema de estadísticas territoriales. Departamento Nacional de Planeación (DNP).</w:t>
            </w:r>
          </w:p>
          <w:p w14:paraId="6D913F42" w14:textId="77777777" w:rsidR="00077E48" w:rsidRPr="004068F6" w:rsidRDefault="00077E48" w:rsidP="007F45D3">
            <w:pPr>
              <w:numPr>
                <w:ilvl w:val="12"/>
                <w:numId w:val="0"/>
              </w:numPr>
              <w:tabs>
                <w:tab w:val="left" w:pos="-2268"/>
              </w:tabs>
              <w:suppressAutoHyphens/>
              <w:rPr>
                <w:rFonts w:cs="Arial"/>
                <w:spacing w:val="-3"/>
                <w:sz w:val="20"/>
                <w:szCs w:val="20"/>
              </w:rPr>
            </w:pPr>
          </w:p>
          <w:p w14:paraId="7834B80A" w14:textId="77777777"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Bases de datos de información socioeconómica. Departamento Administrativo Nacional de Estadística (DANE).</w:t>
            </w:r>
          </w:p>
          <w:p w14:paraId="19855B96" w14:textId="77777777" w:rsidR="00077E48" w:rsidRPr="004068F6" w:rsidRDefault="00077E48" w:rsidP="007F45D3">
            <w:pPr>
              <w:numPr>
                <w:ilvl w:val="12"/>
                <w:numId w:val="0"/>
              </w:numPr>
              <w:tabs>
                <w:tab w:val="left" w:pos="-2268"/>
              </w:tabs>
              <w:suppressAutoHyphens/>
              <w:rPr>
                <w:rFonts w:cs="Arial"/>
                <w:spacing w:val="-3"/>
                <w:sz w:val="20"/>
                <w:szCs w:val="20"/>
              </w:rPr>
            </w:pPr>
          </w:p>
          <w:p w14:paraId="2C173806" w14:textId="42C2CAA5"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 xml:space="preserve">Planes de manejo de áreas protegidas del </w:t>
            </w:r>
            <w:r w:rsidR="00830E19" w:rsidRPr="004068F6">
              <w:rPr>
                <w:rFonts w:cs="Arial"/>
                <w:spacing w:val="-3"/>
                <w:sz w:val="20"/>
                <w:szCs w:val="20"/>
              </w:rPr>
              <w:t>Sinap</w:t>
            </w:r>
            <w:r w:rsidRPr="004068F6">
              <w:rPr>
                <w:rFonts w:cs="Arial"/>
                <w:spacing w:val="-3"/>
                <w:sz w:val="20"/>
                <w:szCs w:val="20"/>
              </w:rPr>
              <w:t>.</w:t>
            </w:r>
          </w:p>
          <w:p w14:paraId="11CD104E" w14:textId="77777777" w:rsidR="00077E48" w:rsidRPr="004068F6" w:rsidRDefault="00077E48" w:rsidP="007F45D3">
            <w:pPr>
              <w:numPr>
                <w:ilvl w:val="12"/>
                <w:numId w:val="0"/>
              </w:numPr>
              <w:tabs>
                <w:tab w:val="left" w:pos="-2268"/>
              </w:tabs>
              <w:suppressAutoHyphens/>
              <w:rPr>
                <w:rFonts w:cs="Arial"/>
                <w:spacing w:val="-3"/>
                <w:sz w:val="20"/>
                <w:szCs w:val="20"/>
              </w:rPr>
            </w:pPr>
          </w:p>
          <w:p w14:paraId="12D0A105" w14:textId="77777777" w:rsidR="00077E48" w:rsidRPr="004068F6" w:rsidRDefault="00077E48" w:rsidP="007F45D3">
            <w:pPr>
              <w:numPr>
                <w:ilvl w:val="12"/>
                <w:numId w:val="0"/>
              </w:numPr>
              <w:tabs>
                <w:tab w:val="left" w:pos="-2268"/>
              </w:tabs>
              <w:suppressAutoHyphens/>
              <w:rPr>
                <w:rFonts w:cs="Arial"/>
                <w:spacing w:val="-3"/>
                <w:sz w:val="20"/>
                <w:szCs w:val="20"/>
              </w:rPr>
            </w:pPr>
            <w:r w:rsidRPr="004068F6">
              <w:rPr>
                <w:rFonts w:cs="Arial"/>
                <w:spacing w:val="-3"/>
                <w:sz w:val="20"/>
                <w:szCs w:val="20"/>
              </w:rPr>
              <w:t>Planes de manejo de ecosistemas estratégicos.</w:t>
            </w:r>
          </w:p>
          <w:p w14:paraId="4FC56718" w14:textId="77777777" w:rsidR="005D2471" w:rsidRPr="004068F6" w:rsidRDefault="005D2471" w:rsidP="007F45D3">
            <w:pPr>
              <w:numPr>
                <w:ilvl w:val="12"/>
                <w:numId w:val="0"/>
              </w:numPr>
              <w:tabs>
                <w:tab w:val="left" w:pos="-2268"/>
              </w:tabs>
              <w:suppressAutoHyphens/>
              <w:rPr>
                <w:rFonts w:cs="Arial"/>
                <w:spacing w:val="-3"/>
                <w:sz w:val="20"/>
                <w:szCs w:val="20"/>
              </w:rPr>
            </w:pPr>
          </w:p>
          <w:p w14:paraId="2F053B4E" w14:textId="77777777" w:rsidR="005D2471" w:rsidRDefault="005D2471" w:rsidP="005D2471">
            <w:pPr>
              <w:numPr>
                <w:ilvl w:val="12"/>
                <w:numId w:val="0"/>
              </w:numPr>
              <w:tabs>
                <w:tab w:val="left" w:pos="-2268"/>
              </w:tabs>
              <w:suppressAutoHyphens/>
              <w:rPr>
                <w:rFonts w:cs="Arial"/>
                <w:spacing w:val="-3"/>
                <w:sz w:val="20"/>
                <w:szCs w:val="20"/>
              </w:rPr>
            </w:pPr>
            <w:r w:rsidRPr="004068F6">
              <w:rPr>
                <w:rFonts w:cs="Arial"/>
                <w:spacing w:val="-3"/>
                <w:sz w:val="20"/>
                <w:szCs w:val="20"/>
              </w:rPr>
              <w:t>Documentos y bases de datos de organizaciones internacionales como OCDE, CEPAL y ONU.</w:t>
            </w:r>
          </w:p>
          <w:p w14:paraId="782CE15A" w14:textId="77777777" w:rsidR="0000317D" w:rsidRDefault="0000317D" w:rsidP="005D2471">
            <w:pPr>
              <w:numPr>
                <w:ilvl w:val="12"/>
                <w:numId w:val="0"/>
              </w:numPr>
              <w:tabs>
                <w:tab w:val="left" w:pos="-2268"/>
              </w:tabs>
              <w:suppressAutoHyphens/>
              <w:rPr>
                <w:rFonts w:cs="Arial"/>
                <w:spacing w:val="-3"/>
                <w:sz w:val="20"/>
                <w:szCs w:val="20"/>
              </w:rPr>
            </w:pPr>
          </w:p>
          <w:p w14:paraId="02F736D0" w14:textId="00A425FF" w:rsidR="0000317D" w:rsidRPr="004068F6" w:rsidRDefault="0000317D" w:rsidP="0000317D">
            <w:pPr>
              <w:numPr>
                <w:ilvl w:val="12"/>
                <w:numId w:val="0"/>
              </w:numPr>
              <w:tabs>
                <w:tab w:val="left" w:pos="-2268"/>
              </w:tabs>
              <w:suppressAutoHyphens/>
              <w:rPr>
                <w:rFonts w:cs="Arial"/>
                <w:spacing w:val="-3"/>
                <w:sz w:val="20"/>
                <w:szCs w:val="20"/>
              </w:rPr>
            </w:pPr>
            <w:r w:rsidRPr="00E64F04">
              <w:rPr>
                <w:rFonts w:cs="Arial"/>
                <w:spacing w:val="-3"/>
                <w:sz w:val="20"/>
                <w:szCs w:val="20"/>
              </w:rPr>
              <w:t>Agencia Nacional de Tierras (ANT).</w:t>
            </w:r>
          </w:p>
        </w:tc>
      </w:tr>
    </w:tbl>
    <w:p w14:paraId="39C98F66" w14:textId="77777777" w:rsidR="000424B9" w:rsidRPr="004068F6" w:rsidRDefault="000424B9" w:rsidP="00077E48">
      <w:pPr>
        <w:numPr>
          <w:ilvl w:val="12"/>
          <w:numId w:val="0"/>
        </w:numPr>
        <w:tabs>
          <w:tab w:val="left" w:pos="-2268"/>
        </w:tabs>
        <w:suppressAutoHyphens/>
        <w:rPr>
          <w:rFonts w:cs="Arial"/>
          <w:spacing w:val="-3"/>
        </w:rPr>
      </w:pPr>
    </w:p>
    <w:p w14:paraId="5ECCE5B9" w14:textId="6EC8C8F4" w:rsidR="00077E48" w:rsidRPr="004068F6" w:rsidRDefault="00967E10" w:rsidP="009420F5">
      <w:pPr>
        <w:pStyle w:val="Ttulo2"/>
        <w:rPr>
          <w:lang w:val="es-CO"/>
        </w:rPr>
      </w:pPr>
      <w:bookmarkStart w:id="2538" w:name="_Toc230879630"/>
      <w:r w:rsidRPr="004068F6">
        <w:rPr>
          <w:lang w:val="es-CO"/>
        </w:rPr>
        <w:t>PROCEDIMIENTO GENERAL PARA LA DELIMITACIÓN DEL ÁREA DE INFLUENCIA</w:t>
      </w:r>
      <w:bookmarkEnd w:id="2538"/>
    </w:p>
    <w:p w14:paraId="763DCB52" w14:textId="77777777" w:rsidR="003D26C3" w:rsidRPr="004068F6" w:rsidRDefault="003D26C3" w:rsidP="00077E48">
      <w:pPr>
        <w:numPr>
          <w:ilvl w:val="12"/>
          <w:numId w:val="0"/>
        </w:numPr>
        <w:tabs>
          <w:tab w:val="left" w:pos="-2268"/>
        </w:tabs>
        <w:suppressAutoHyphens/>
        <w:rPr>
          <w:rFonts w:cs="Arial"/>
          <w:spacing w:val="-3"/>
        </w:rPr>
      </w:pPr>
    </w:p>
    <w:p w14:paraId="7DD85DC6" w14:textId="45E4FD46" w:rsidR="00077E48" w:rsidRPr="004068F6" w:rsidRDefault="00077E48" w:rsidP="00077E48">
      <w:pPr>
        <w:numPr>
          <w:ilvl w:val="12"/>
          <w:numId w:val="0"/>
        </w:numPr>
        <w:tabs>
          <w:tab w:val="left" w:pos="-2268"/>
        </w:tabs>
        <w:suppressAutoHyphens/>
        <w:rPr>
          <w:rFonts w:cs="Arial"/>
        </w:rPr>
      </w:pPr>
      <w:r w:rsidRPr="004068F6">
        <w:rPr>
          <w:rFonts w:cs="Arial"/>
        </w:rPr>
        <w:t>A continuación</w:t>
      </w:r>
      <w:r w:rsidR="003012E7" w:rsidRPr="004068F6">
        <w:rPr>
          <w:rFonts w:cs="Arial"/>
        </w:rPr>
        <w:t>,</w:t>
      </w:r>
      <w:r w:rsidRPr="004068F6">
        <w:rPr>
          <w:rFonts w:cs="Arial"/>
        </w:rPr>
        <w:t xml:space="preserve"> se presentan los detalles del procedimiento general para delimitar el área de influencia del proyecto, obra o actividad; es importante señalar que es posible emplear cualquier otro procedimiento que se considere conveniente dadas las condiciones particulares del proyecto que se está estructurando y del ambiente que se vería afectado con su ejecución.</w:t>
      </w:r>
    </w:p>
    <w:p w14:paraId="70926A91" w14:textId="77777777" w:rsidR="00077E48" w:rsidRPr="004068F6" w:rsidRDefault="00077E48" w:rsidP="00077E48">
      <w:pPr>
        <w:numPr>
          <w:ilvl w:val="12"/>
          <w:numId w:val="0"/>
        </w:numPr>
        <w:tabs>
          <w:tab w:val="left" w:pos="-2268"/>
        </w:tabs>
        <w:suppressAutoHyphens/>
        <w:rPr>
          <w:rFonts w:cs="Arial"/>
        </w:rPr>
      </w:pPr>
    </w:p>
    <w:p w14:paraId="3C0F1D42" w14:textId="235EEA5C" w:rsidR="00077E48" w:rsidRPr="004068F6" w:rsidRDefault="00077E48" w:rsidP="00127BD4">
      <w:pPr>
        <w:pStyle w:val="Prrafodelista"/>
        <w:numPr>
          <w:ilvl w:val="0"/>
          <w:numId w:val="744"/>
        </w:numPr>
        <w:contextualSpacing/>
        <w:rPr>
          <w:rFonts w:cs="Arial"/>
          <w:lang w:val="es-CO"/>
        </w:rPr>
      </w:pPr>
      <w:r w:rsidRPr="004068F6">
        <w:rPr>
          <w:rFonts w:cs="Arial"/>
          <w:lang w:val="es-CO"/>
        </w:rPr>
        <w:t xml:space="preserve">Localizar espacialmente el área </w:t>
      </w:r>
      <w:r w:rsidR="00F53A6E" w:rsidRPr="004068F6">
        <w:rPr>
          <w:rFonts w:cs="Arial"/>
          <w:lang w:val="es-CO"/>
        </w:rPr>
        <w:t>por</w:t>
      </w:r>
      <w:r w:rsidRPr="004068F6">
        <w:rPr>
          <w:rFonts w:cs="Arial"/>
          <w:lang w:val="es-CO"/>
        </w:rPr>
        <w:t xml:space="preserve"> intervenir</w:t>
      </w:r>
      <w:r w:rsidRPr="004068F6">
        <w:rPr>
          <w:rStyle w:val="Refdenotaalpie"/>
          <w:rFonts w:cs="Arial"/>
          <w:spacing w:val="-3"/>
          <w:lang w:val="es-CO"/>
        </w:rPr>
        <w:footnoteReference w:id="89"/>
      </w:r>
      <w:r w:rsidRPr="004068F6">
        <w:rPr>
          <w:rFonts w:cs="Arial"/>
          <w:lang w:val="es-CO"/>
        </w:rPr>
        <w:t>.</w:t>
      </w:r>
    </w:p>
    <w:p w14:paraId="2AE24C10" w14:textId="77777777" w:rsidR="00077E48" w:rsidRPr="004068F6" w:rsidRDefault="00077E48" w:rsidP="00077E48">
      <w:pPr>
        <w:contextualSpacing/>
        <w:rPr>
          <w:rFonts w:cs="Arial"/>
        </w:rPr>
      </w:pPr>
    </w:p>
    <w:p w14:paraId="468CC88B" w14:textId="5A9E0422" w:rsidR="00077E48" w:rsidRPr="004068F6" w:rsidRDefault="00271624" w:rsidP="00077E48">
      <w:pPr>
        <w:pStyle w:val="Prrafodelista"/>
        <w:numPr>
          <w:ilvl w:val="0"/>
          <w:numId w:val="18"/>
        </w:numPr>
        <w:ind w:left="1134" w:hanging="567"/>
        <w:contextualSpacing/>
        <w:rPr>
          <w:lang w:val="es-CO"/>
        </w:rPr>
      </w:pPr>
      <w:r w:rsidRPr="004068F6">
        <w:rPr>
          <w:rFonts w:cs="Arial"/>
          <w:lang w:val="es-CO"/>
        </w:rPr>
        <w:t>L</w:t>
      </w:r>
      <w:r w:rsidR="00077E48" w:rsidRPr="004068F6">
        <w:rPr>
          <w:rFonts w:cs="Arial"/>
          <w:lang w:val="es-CO"/>
        </w:rPr>
        <w:t>ocalizar espacialmente toda la infraestructura, obras y actividades asociadas y relacionadas c</w:t>
      </w:r>
      <w:r w:rsidR="00077E48" w:rsidRPr="004068F6">
        <w:rPr>
          <w:rFonts w:cs="Arial"/>
          <w:spacing w:val="-3"/>
          <w:lang w:val="es-CO"/>
        </w:rPr>
        <w:t xml:space="preserve">on la </w:t>
      </w:r>
      <w:r w:rsidR="001E68BB" w:rsidRPr="004068F6">
        <w:rPr>
          <w:rFonts w:cs="Arial"/>
          <w:spacing w:val="-3"/>
          <w:lang w:val="es-CO"/>
        </w:rPr>
        <w:t>preconstrucción (planeación, emplazamiento y adecuación), construcción, operación</w:t>
      </w:r>
      <w:r w:rsidR="00600911">
        <w:rPr>
          <w:rFonts w:cs="Arial"/>
          <w:spacing w:val="-3"/>
          <w:lang w:val="es-CO"/>
        </w:rPr>
        <w:t xml:space="preserve"> y</w:t>
      </w:r>
      <w:r w:rsidR="001E68BB" w:rsidRPr="004068F6">
        <w:rPr>
          <w:rFonts w:cs="Arial"/>
          <w:spacing w:val="-3"/>
          <w:lang w:val="es-CO"/>
        </w:rPr>
        <w:t xml:space="preserve"> desmantelamiento y cierre ambiental</w:t>
      </w:r>
      <w:r w:rsidR="001E68BB" w:rsidRPr="004068F6" w:rsidDel="001E68BB">
        <w:rPr>
          <w:rFonts w:cs="Arial"/>
          <w:spacing w:val="-3"/>
          <w:lang w:val="es-CO"/>
        </w:rPr>
        <w:t xml:space="preserve"> </w:t>
      </w:r>
      <w:r w:rsidR="00077E48" w:rsidRPr="004068F6">
        <w:rPr>
          <w:rFonts w:cs="Arial"/>
          <w:spacing w:val="-3"/>
          <w:lang w:val="es-CO"/>
        </w:rPr>
        <w:t>del proyecto</w:t>
      </w:r>
      <w:r w:rsidR="00077E48" w:rsidRPr="004068F6">
        <w:rPr>
          <w:rFonts w:cs="Arial"/>
          <w:lang w:val="es-CO"/>
        </w:rPr>
        <w:t>.</w:t>
      </w:r>
    </w:p>
    <w:p w14:paraId="21F66852" w14:textId="77777777" w:rsidR="00077E48" w:rsidRPr="004068F6" w:rsidRDefault="00077E48" w:rsidP="00077E48">
      <w:pPr>
        <w:contextualSpacing/>
      </w:pPr>
    </w:p>
    <w:p w14:paraId="050CD3E1" w14:textId="7B116703" w:rsidR="00077E48" w:rsidRPr="004068F6" w:rsidRDefault="00271624" w:rsidP="00077E48">
      <w:pPr>
        <w:pStyle w:val="Prrafodelista"/>
        <w:numPr>
          <w:ilvl w:val="0"/>
          <w:numId w:val="18"/>
        </w:numPr>
        <w:ind w:left="1134" w:hanging="567"/>
        <w:contextualSpacing/>
        <w:rPr>
          <w:rFonts w:cs="Arial"/>
          <w:lang w:val="es-CO"/>
        </w:rPr>
      </w:pPr>
      <w:r w:rsidRPr="004068F6">
        <w:rPr>
          <w:rFonts w:cs="Arial"/>
          <w:lang w:val="es-CO"/>
        </w:rPr>
        <w:t>L</w:t>
      </w:r>
      <w:r w:rsidR="00077E48" w:rsidRPr="004068F6">
        <w:rPr>
          <w:rFonts w:cs="Arial"/>
          <w:lang w:val="es-CO"/>
        </w:rPr>
        <w:t xml:space="preserve">ocalizar espacialmente, </w:t>
      </w:r>
      <w:r w:rsidR="00467CE5" w:rsidRPr="004068F6">
        <w:rPr>
          <w:rFonts w:cs="Arial"/>
          <w:lang w:val="es-CO"/>
        </w:rPr>
        <w:t>de acuerdo con</w:t>
      </w:r>
      <w:r w:rsidR="00077E48" w:rsidRPr="004068F6">
        <w:rPr>
          <w:rFonts w:cs="Arial"/>
          <w:lang w:val="es-CO"/>
        </w:rPr>
        <w:t xml:space="preserve"> la demanda de recursos naturales renovables del proyecto, obra o actividad, los lugares de emplazamiento de infraestructura y otras obras y de la ejecución de todas las actividades asociadas con el uso y aprovechamiento de </w:t>
      </w:r>
      <w:r w:rsidR="001D09EE">
        <w:rPr>
          <w:rFonts w:cs="Arial"/>
          <w:lang w:val="es-CO"/>
        </w:rPr>
        <w:t>é</w:t>
      </w:r>
      <w:r w:rsidR="004A21E7" w:rsidRPr="004068F6">
        <w:rPr>
          <w:rFonts w:cs="Arial"/>
          <w:lang w:val="es-CO"/>
        </w:rPr>
        <w:t>stos</w:t>
      </w:r>
      <w:r w:rsidR="00077E48" w:rsidRPr="004068F6">
        <w:rPr>
          <w:rFonts w:cs="Arial"/>
          <w:lang w:val="es-CO"/>
        </w:rPr>
        <w:t xml:space="preserve">, de </w:t>
      </w:r>
      <w:r w:rsidR="00077E48" w:rsidRPr="004068F6">
        <w:rPr>
          <w:rFonts w:cs="Arial"/>
          <w:lang w:val="es-CO"/>
        </w:rPr>
        <w:lastRenderedPageBreak/>
        <w:t>acuerdo con los permisos, concesiones y autorizaciones ambientales que resulte necesario solicitar a la autoridad ambiental.</w:t>
      </w:r>
    </w:p>
    <w:p w14:paraId="6B56E9A8" w14:textId="77777777" w:rsidR="007C139A" w:rsidRPr="004068F6" w:rsidRDefault="007C139A" w:rsidP="00077E48">
      <w:pPr>
        <w:numPr>
          <w:ilvl w:val="12"/>
          <w:numId w:val="0"/>
        </w:numPr>
        <w:tabs>
          <w:tab w:val="left" w:pos="-2268"/>
        </w:tabs>
        <w:suppressAutoHyphens/>
        <w:rPr>
          <w:rFonts w:cs="Arial"/>
        </w:rPr>
      </w:pPr>
    </w:p>
    <w:p w14:paraId="3BDD4BF2" w14:textId="3D122AA1" w:rsidR="00077E48" w:rsidRPr="004068F6" w:rsidRDefault="00271624" w:rsidP="00127BD4">
      <w:pPr>
        <w:pStyle w:val="Prrafodelista"/>
        <w:numPr>
          <w:ilvl w:val="0"/>
          <w:numId w:val="744"/>
        </w:numPr>
        <w:ind w:left="567" w:hanging="567"/>
        <w:contextualSpacing/>
        <w:rPr>
          <w:rFonts w:cs="Arial"/>
          <w:lang w:val="es-CO"/>
        </w:rPr>
      </w:pPr>
      <w:r w:rsidRPr="004068F6">
        <w:rPr>
          <w:rFonts w:cs="Arial"/>
          <w:lang w:val="es-CO"/>
        </w:rPr>
        <w:t xml:space="preserve">Determinar </w:t>
      </w:r>
      <w:r w:rsidR="00077E48" w:rsidRPr="004068F6">
        <w:rPr>
          <w:rFonts w:cs="Arial"/>
          <w:lang w:val="es-CO"/>
        </w:rPr>
        <w:t xml:space="preserve">para cada </w:t>
      </w:r>
      <w:r w:rsidR="00D54710" w:rsidRPr="004068F6">
        <w:rPr>
          <w:rFonts w:cs="Arial"/>
          <w:lang w:val="es-CO"/>
        </w:rPr>
        <w:t xml:space="preserve">factor o </w:t>
      </w:r>
      <w:r w:rsidR="00077E48" w:rsidRPr="004068F6">
        <w:rPr>
          <w:rFonts w:cs="Arial"/>
          <w:lang w:val="es-CO"/>
        </w:rPr>
        <w:t>componente impactado</w:t>
      </w:r>
      <w:r w:rsidR="00E46FF2" w:rsidRPr="00127BD4">
        <w:rPr>
          <w:rStyle w:val="Refdenotaalpie"/>
          <w:rFonts w:cs="Arial"/>
          <w:lang w:val="es-CO"/>
        </w:rPr>
        <w:footnoteReference w:id="90"/>
      </w:r>
      <w:r w:rsidR="00077E48" w:rsidRPr="004068F6">
        <w:rPr>
          <w:rFonts w:cs="Arial"/>
          <w:lang w:val="es-CO"/>
        </w:rPr>
        <w:t>, el tipo de unidad de análisis</w:t>
      </w:r>
      <w:r w:rsidR="00077E48" w:rsidRPr="004068F6">
        <w:rPr>
          <w:rStyle w:val="Refdenotaalpie"/>
          <w:rFonts w:cs="Arial"/>
          <w:lang w:val="es-CO"/>
        </w:rPr>
        <w:footnoteReference w:id="91"/>
      </w:r>
      <w:r w:rsidR="00077E48" w:rsidRPr="004068F6">
        <w:rPr>
          <w:rFonts w:cs="Arial"/>
          <w:lang w:val="es-CO"/>
        </w:rPr>
        <w:t xml:space="preserve"> en el que se verificará la manifestación de los impactos </w:t>
      </w:r>
      <w:r w:rsidR="002B7A9B" w:rsidRPr="004068F6">
        <w:rPr>
          <w:rFonts w:cs="Arial"/>
          <w:lang w:val="es-CO"/>
        </w:rPr>
        <w:t xml:space="preserve">negativos </w:t>
      </w:r>
      <w:r w:rsidR="00077E48" w:rsidRPr="004068F6">
        <w:rPr>
          <w:rFonts w:cs="Arial"/>
          <w:lang w:val="es-CO"/>
        </w:rPr>
        <w:t>del proyecto, obra o actividad. El tipo de unidad de análisis que se emplee depende del detalle de la información disponible; para el caso del componente hidrológico, son ejemplos de tipo de unidad de análisis, las áreas hidrográficas, las zonas hidrográficas</w:t>
      </w:r>
      <w:r w:rsidR="003012E7" w:rsidRPr="004068F6">
        <w:rPr>
          <w:rFonts w:cs="Arial"/>
          <w:lang w:val="es-CO"/>
        </w:rPr>
        <w:t>,</w:t>
      </w:r>
      <w:r w:rsidR="00077E48" w:rsidRPr="004068F6">
        <w:rPr>
          <w:rFonts w:cs="Arial"/>
          <w:lang w:val="es-CO"/>
        </w:rPr>
        <w:t xml:space="preserve"> las subzonas hidrográficas</w:t>
      </w:r>
      <w:r w:rsidR="003012E7" w:rsidRPr="004068F6">
        <w:rPr>
          <w:rFonts w:cs="Arial"/>
          <w:lang w:val="es-CO"/>
        </w:rPr>
        <w:t>, las cuencas, las subcuencas y las microcuencas</w:t>
      </w:r>
      <w:r w:rsidR="00077E48" w:rsidRPr="004068F6">
        <w:rPr>
          <w:rFonts w:cs="Arial"/>
          <w:lang w:val="es-CO"/>
        </w:rPr>
        <w:t xml:space="preserve"> (ver </w:t>
      </w:r>
      <w:r w:rsidR="00077E48" w:rsidRPr="004068F6">
        <w:rPr>
          <w:rFonts w:cs="Arial"/>
          <w:lang w:val="es-CO"/>
        </w:rPr>
        <w:fldChar w:fldCharType="begin"/>
      </w:r>
      <w:r w:rsidR="00077E48" w:rsidRPr="004068F6">
        <w:rPr>
          <w:rFonts w:cs="Arial"/>
          <w:lang w:val="es-CO"/>
        </w:rPr>
        <w:instrText xml:space="preserve"> REF _Ref68274180 \h </w:instrText>
      </w:r>
      <w:r w:rsidR="006A4128" w:rsidRPr="004068F6">
        <w:rPr>
          <w:rFonts w:cs="Arial"/>
          <w:lang w:val="es-CO"/>
        </w:rPr>
        <w:instrText xml:space="preserve"> \* MERGEFORMAT </w:instrText>
      </w:r>
      <w:r w:rsidR="00077E48" w:rsidRPr="004068F6">
        <w:rPr>
          <w:rFonts w:cs="Arial"/>
          <w:lang w:val="es-CO"/>
        </w:rPr>
      </w:r>
      <w:r w:rsidR="00077E48" w:rsidRPr="004068F6">
        <w:rPr>
          <w:rFonts w:cs="Arial"/>
          <w:lang w:val="es-CO"/>
        </w:rPr>
        <w:fldChar w:fldCharType="separate"/>
      </w:r>
      <w:r w:rsidR="009C4A81" w:rsidRPr="009C4A81">
        <w:rPr>
          <w:rFonts w:cs="Arial"/>
          <w:szCs w:val="22"/>
          <w:lang w:val="es-CO"/>
        </w:rPr>
        <w:t>Figura 6</w:t>
      </w:r>
      <w:r w:rsidR="00077E48" w:rsidRPr="004068F6">
        <w:rPr>
          <w:rFonts w:cs="Arial"/>
          <w:lang w:val="es-CO"/>
        </w:rPr>
        <w:fldChar w:fldCharType="end"/>
      </w:r>
      <w:r w:rsidR="00077E48" w:rsidRPr="004068F6">
        <w:rPr>
          <w:rFonts w:cs="Arial"/>
          <w:lang w:val="es-CO"/>
        </w:rPr>
        <w:t>).</w:t>
      </w:r>
    </w:p>
    <w:p w14:paraId="59275C8B" w14:textId="77777777" w:rsidR="003012E7" w:rsidRPr="004068F6" w:rsidRDefault="003012E7" w:rsidP="003012E7">
      <w:pPr>
        <w:contextualSpacing/>
        <w:rPr>
          <w:rFonts w:cs="Arial"/>
        </w:rPr>
      </w:pPr>
    </w:p>
    <w:p w14:paraId="7A23A9E8" w14:textId="5A5E7BD0" w:rsidR="003012E7" w:rsidRPr="004068F6" w:rsidRDefault="003012E7" w:rsidP="003012E7">
      <w:pPr>
        <w:pStyle w:val="Descripcin"/>
        <w:keepNext/>
        <w:jc w:val="center"/>
        <w:rPr>
          <w:rFonts w:cs="Arial"/>
        </w:rPr>
      </w:pPr>
      <w:bookmarkStart w:id="2539" w:name="_Ref68274180"/>
      <w:r w:rsidRPr="004068F6">
        <w:rPr>
          <w:rFonts w:cs="Arial"/>
          <w:szCs w:val="22"/>
        </w:rPr>
        <w:t xml:space="preserve">Figura </w:t>
      </w:r>
      <w:r w:rsidR="004647AE">
        <w:rPr>
          <w:rFonts w:cs="Arial"/>
          <w:szCs w:val="22"/>
        </w:rPr>
        <w:fldChar w:fldCharType="begin"/>
      </w:r>
      <w:r w:rsidR="004647AE">
        <w:rPr>
          <w:rFonts w:cs="Arial"/>
          <w:szCs w:val="22"/>
        </w:rPr>
        <w:instrText xml:space="preserve"> SEQ Figura \* ARABIC </w:instrText>
      </w:r>
      <w:r w:rsidR="004647AE">
        <w:rPr>
          <w:rFonts w:cs="Arial"/>
          <w:szCs w:val="22"/>
        </w:rPr>
        <w:fldChar w:fldCharType="separate"/>
      </w:r>
      <w:r w:rsidR="009C4A81">
        <w:rPr>
          <w:rFonts w:cs="Arial"/>
          <w:noProof/>
          <w:szCs w:val="22"/>
        </w:rPr>
        <w:t>6</w:t>
      </w:r>
      <w:r w:rsidR="004647AE">
        <w:rPr>
          <w:rFonts w:cs="Arial"/>
          <w:szCs w:val="22"/>
        </w:rPr>
        <w:fldChar w:fldCharType="end"/>
      </w:r>
      <w:bookmarkEnd w:id="2539"/>
      <w:r w:rsidRPr="004068F6">
        <w:rPr>
          <w:rFonts w:cs="Arial"/>
          <w:szCs w:val="22"/>
        </w:rPr>
        <w:t xml:space="preserve">. </w:t>
      </w:r>
      <w:r w:rsidRPr="00AA2094">
        <w:rPr>
          <w:rFonts w:cs="Arial"/>
          <w:b w:val="0"/>
          <w:bCs w:val="0"/>
          <w:noProof/>
          <w:lang w:eastAsia="es-CO"/>
        </w:rPr>
        <mc:AlternateContent>
          <mc:Choice Requires="wpg">
            <w:drawing>
              <wp:anchor distT="0" distB="0" distL="114300" distR="114300" simplePos="0" relativeHeight="251658243" behindDoc="0" locked="0" layoutInCell="1" allowOverlap="1" wp14:anchorId="453A2DFB" wp14:editId="2DBCE1F7">
                <wp:simplePos x="0" y="0"/>
                <wp:positionH relativeFrom="column">
                  <wp:posOffset>450850</wp:posOffset>
                </wp:positionH>
                <wp:positionV relativeFrom="paragraph">
                  <wp:posOffset>201295</wp:posOffset>
                </wp:positionV>
                <wp:extent cx="5304790" cy="2743200"/>
                <wp:effectExtent l="0" t="0" r="10160" b="19050"/>
                <wp:wrapTopAndBottom/>
                <wp:docPr id="2776" name="2776 Grupo"/>
                <wp:cNvGraphicFramePr/>
                <a:graphic xmlns:a="http://schemas.openxmlformats.org/drawingml/2006/main">
                  <a:graphicData uri="http://schemas.microsoft.com/office/word/2010/wordprocessingGroup">
                    <wpg:wgp>
                      <wpg:cNvGrpSpPr/>
                      <wpg:grpSpPr>
                        <a:xfrm>
                          <a:off x="0" y="0"/>
                          <a:ext cx="5304790" cy="2743200"/>
                          <a:chOff x="0" y="0"/>
                          <a:chExt cx="5304790" cy="2743200"/>
                        </a:xfrm>
                      </wpg:grpSpPr>
                      <wpg:grpSp>
                        <wpg:cNvPr id="2777" name="2777 Grupo"/>
                        <wpg:cNvGrpSpPr/>
                        <wpg:grpSpPr>
                          <a:xfrm>
                            <a:off x="0" y="0"/>
                            <a:ext cx="5304790" cy="2743200"/>
                            <a:chOff x="0" y="0"/>
                            <a:chExt cx="5304790" cy="2743200"/>
                          </a:xfrm>
                        </wpg:grpSpPr>
                        <wpg:grpSp>
                          <wpg:cNvPr id="2778" name="Grupo 145"/>
                          <wpg:cNvGrpSpPr>
                            <a:grpSpLocks noChangeAspect="1"/>
                          </wpg:cNvGrpSpPr>
                          <wpg:grpSpPr bwMode="auto">
                            <a:xfrm>
                              <a:off x="74427" y="10632"/>
                              <a:ext cx="5151600" cy="2174400"/>
                              <a:chOff x="2191" y="1997"/>
                              <a:chExt cx="7080" cy="2989"/>
                            </a:xfrm>
                          </wpg:grpSpPr>
                          <pic:pic xmlns:pic="http://schemas.openxmlformats.org/drawingml/2006/picture">
                            <pic:nvPicPr>
                              <pic:cNvPr id="2779" name="Picture 3" descr="C:\Users\CAMILO\AppData\Local\Microsoft\Windows\INetCache\Content.Word\AH.JPG"/>
                              <pic:cNvPicPr>
                                <a:picLocks noChangeAspect="1" noChangeArrowheads="1"/>
                              </pic:cNvPicPr>
                            </pic:nvPicPr>
                            <pic:blipFill>
                              <a:blip r:embed="rId44">
                                <a:extLst>
                                  <a:ext uri="{28A0092B-C50C-407E-A947-70E740481C1C}">
                                    <a14:useLocalDpi xmlns:a14="http://schemas.microsoft.com/office/drawing/2010/main" val="0"/>
                                  </a:ext>
                                </a:extLst>
                              </a:blip>
                              <a:srcRect l="28741" r="21695"/>
                              <a:stretch>
                                <a:fillRect/>
                              </a:stretch>
                            </pic:blipFill>
                            <pic:spPr bwMode="auto">
                              <a:xfrm>
                                <a:off x="2191" y="1999"/>
                                <a:ext cx="2194"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0" name="Picture 4" descr="C:\Users\CAMILO\AppData\Local\Microsoft\Windows\INetCache\Content.Word\SZH.JPG"/>
                              <pic:cNvPicPr>
                                <a:picLocks noChangeAspect="1" noChangeArrowheads="1"/>
                              </pic:cNvPicPr>
                            </pic:nvPicPr>
                            <pic:blipFill>
                              <a:blip r:embed="rId45">
                                <a:extLst>
                                  <a:ext uri="{28A0092B-C50C-407E-A947-70E740481C1C}">
                                    <a14:useLocalDpi xmlns:a14="http://schemas.microsoft.com/office/drawing/2010/main" val="0"/>
                                  </a:ext>
                                </a:extLst>
                              </a:blip>
                              <a:srcRect l="28741" r="21695"/>
                              <a:stretch>
                                <a:fillRect/>
                              </a:stretch>
                            </pic:blipFill>
                            <pic:spPr bwMode="auto">
                              <a:xfrm>
                                <a:off x="7084" y="1997"/>
                                <a:ext cx="218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1" name="Picture 5" descr="C:\Users\CAMILO\AppData\Local\Microsoft\Windows\INetCache\Content.Word\ZH.JPG"/>
                              <pic:cNvPicPr>
                                <a:picLocks noChangeAspect="1" noChangeArrowheads="1"/>
                              </pic:cNvPicPr>
                            </pic:nvPicPr>
                            <pic:blipFill>
                              <a:blip r:embed="rId46">
                                <a:extLst>
                                  <a:ext uri="{28A0092B-C50C-407E-A947-70E740481C1C}">
                                    <a14:useLocalDpi xmlns:a14="http://schemas.microsoft.com/office/drawing/2010/main" val="0"/>
                                  </a:ext>
                                </a:extLst>
                              </a:blip>
                              <a:srcRect l="28741" t="3514" r="21695"/>
                              <a:stretch>
                                <a:fillRect/>
                              </a:stretch>
                            </pic:blipFill>
                            <pic:spPr bwMode="auto">
                              <a:xfrm>
                                <a:off x="4641" y="2051"/>
                                <a:ext cx="218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782" name="2782 Rectángulo"/>
                          <wps:cNvSpPr/>
                          <wps:spPr>
                            <a:xfrm>
                              <a:off x="0" y="0"/>
                              <a:ext cx="5304790" cy="274320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83" name="2783 Cuadro de texto"/>
                        <wps:cNvSpPr txBox="1"/>
                        <wps:spPr>
                          <a:xfrm>
                            <a:off x="395786" y="2320120"/>
                            <a:ext cx="829310"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B8BB3" w14:textId="77777777" w:rsidR="00D55F13" w:rsidRPr="004E4C01" w:rsidRDefault="00D55F13" w:rsidP="003012E7">
                              <w:pPr>
                                <w:jc w:val="center"/>
                                <w:rPr>
                                  <w:b/>
                                  <w:sz w:val="20"/>
                                  <w:szCs w:val="20"/>
                                </w:rPr>
                              </w:pPr>
                              <w:r w:rsidRPr="004E4C01">
                                <w:rPr>
                                  <w:b/>
                                  <w:sz w:val="20"/>
                                  <w:szCs w:val="20"/>
                                </w:rPr>
                                <w:t>Área hidrográfica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40 Cuadro de texto"/>
                        <wps:cNvSpPr txBox="1"/>
                        <wps:spPr>
                          <a:xfrm>
                            <a:off x="2197290" y="2320120"/>
                            <a:ext cx="829310"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B4617" w14:textId="77777777" w:rsidR="00D55F13" w:rsidRPr="004E4C01" w:rsidRDefault="00D55F13" w:rsidP="003012E7">
                              <w:pPr>
                                <w:jc w:val="center"/>
                                <w:rPr>
                                  <w:b/>
                                  <w:sz w:val="20"/>
                                  <w:szCs w:val="20"/>
                                </w:rPr>
                              </w:pPr>
                              <w:r w:rsidRPr="004E4C01">
                                <w:rPr>
                                  <w:b/>
                                  <w:sz w:val="20"/>
                                  <w:szCs w:val="20"/>
                                </w:rPr>
                                <w:t>Zona hidrográfica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43 Cuadro de texto"/>
                        <wps:cNvSpPr txBox="1"/>
                        <wps:spPr>
                          <a:xfrm>
                            <a:off x="4005618" y="2320120"/>
                            <a:ext cx="829310"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CC80E" w14:textId="6EF59342" w:rsidR="00D55F13" w:rsidRPr="004E4C01" w:rsidRDefault="00D55F13" w:rsidP="003012E7">
                              <w:pPr>
                                <w:jc w:val="center"/>
                                <w:rPr>
                                  <w:b/>
                                  <w:sz w:val="20"/>
                                  <w:szCs w:val="20"/>
                                </w:rPr>
                              </w:pPr>
                              <w:r w:rsidRPr="004E4C01">
                                <w:rPr>
                                  <w:b/>
                                  <w:sz w:val="20"/>
                                  <w:szCs w:val="20"/>
                                </w:rPr>
                                <w:t>Subzona hidrográfica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3A2DFB" id="2776 Grupo" o:spid="_x0000_s1196" style="position:absolute;left:0;text-align:left;margin-left:35.5pt;margin-top:15.85pt;width:417.7pt;height:3in;z-index:251658243;mso-position-horizontal-relative:text;mso-position-vertical-relative:text" coordsize="53047,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KACiiigAooooAK8/+KXwn+Fnxx8Ca&#10;78LfjX8NPh/8YPhl4o/sz/hJfh18UvBvhz4geBPEX9iaxp/iLRv7d8I+LNN1fw/q/wDZHiDSNK13&#10;TP7Q0+4+waxpmn6na+Ve2VtPH6BRQBz/AIT8J+FfAXhXw14F8C+GvD/gvwT4L8P6N4T8HeDvCeja&#10;d4c8K+E/CvhzTrbR/D3hrw14e0e2s9I0Lw/oWkWdppejaNpdpa6dpenWttY2NtBbQRRL0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KAAAAAAAAACEAaVkURFMMAgBTDAIA&#10;FQAAAGRycy9tZWRpYS9pbWFnZTIuanBlZ//Y/+AAEEpGSUYAAQEBAGAAYAAA/9sAQwABAQEBAQEB&#10;AQEBAQEBAQEBAQEBAQEBAQEBAQEBAQEBAQEBAQEBAQEBAQEBAQEBAQEBAQEBAQEBAQEBAQEBAQEB&#10;/9sAQwEBAQEBAQEBAQEBAQEBAQEBAQEBAQEBAQEBAQEBAQEBAQEBAQEBAQEBAQEBAQEBAQEBAQEB&#10;AQEBAQEBAQEBAQEB/8AAEQgCVQN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MP6hIbfhwEA34cBABUAAABkcnMvbWVkaWEv&#10;aW1hZ2UzLmpwZWf/2P/gABBKRklGAAEBAQBgAGAAAP/bAEMAAQEBAQEBAQEBAQEBAQEBAQEBAQEB&#10;AQEBAQEBAQEBAQEBAQEBAQEBAQEBAQEBAQEBAQEBAQEBAQEBAQEBAQEBAf/bAEMBAQEBAQEBAQEB&#10;AQEBAQEBAQEBAQEBAQEBAQEBAQEBAQEBAQEBAQEBAQEBAQEBAQEBAQEBAQEBAQEBAQEBAQEBAf/A&#10;ABEIAlUD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">
                <v:group id="2777 Grupo" o:spid="_x0000_s1197" style="position:absolute;width:53047;height:27432" coordsize="5304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group id="Grupo 145" o:spid="_x0000_s1198" style="position:absolute;left:744;top:106;width:51516;height:21744" coordorigin="2191,1997" coordsize="708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99" type="#_x0000_t75" style="position:absolute;left:2191;top:1999;width:2194;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">
                      <v:imagedata r:id="rId47" o:title="AH" cropleft="18836f" cropright="14218f"/>
                    </v:shape>
                    <v:shape id="Picture 4" o:spid="_x0000_s1200" type="#_x0000_t75" style="position:absolute;left:7084;top:1997;width:2187;height: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">
                      <v:imagedata r:id="rId48" o:title="SZH" cropleft="18836f" cropright="14218f"/>
                    </v:shape>
                    <v:shape id="Picture 5" o:spid="_x0000_s1201" type="#_x0000_t75" style="position:absolute;left:4641;top:2051;width:2187;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">
                      <v:imagedata r:id="rId49" o:title="ZH" croptop="2303f" cropleft="18836f" cropright="14218f"/>
                    </v:shape>
                  </v:group>
                  <v:rect id="2782 Rectángulo" o:spid="_x0000_s1202" style="position:absolute;width:53047;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" filled="f" strokecolor="black [3213]" strokeweight=".25pt"/>
                </v:group>
                <v:shape id="2783 Cuadro de texto" o:spid="_x0000_s1203" type="#_x0000_t202" style="position:absolute;left:3957;top:23201;width:829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" filled="f" stroked="f" strokeweight=".5pt">
                  <v:textbox inset="0,0,0,0">
                    <w:txbxContent>
                      <w:p w14:paraId="5F9B8BB3" w14:textId="77777777" w:rsidR="00D55F13" w:rsidRPr="004E4C01" w:rsidRDefault="00D55F13" w:rsidP="003012E7">
                        <w:pPr>
                          <w:jc w:val="center"/>
                          <w:rPr>
                            <w:b/>
                            <w:sz w:val="20"/>
                            <w:szCs w:val="20"/>
                          </w:rPr>
                        </w:pPr>
                        <w:r w:rsidRPr="004E4C01">
                          <w:rPr>
                            <w:b/>
                            <w:sz w:val="20"/>
                            <w:szCs w:val="20"/>
                          </w:rPr>
                          <w:t>Área hidrográfica</w:t>
                        </w:r>
                      </w:p>
                    </w:txbxContent>
                  </v:textbox>
                </v:shape>
                <v:shape id="40 Cuadro de texto" o:spid="_x0000_s1204" type="#_x0000_t202" style="position:absolute;left:21972;top:23201;width:829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6D4B4617" w14:textId="77777777" w:rsidR="00D55F13" w:rsidRPr="004E4C01" w:rsidRDefault="00D55F13" w:rsidP="003012E7">
                        <w:pPr>
                          <w:jc w:val="center"/>
                          <w:rPr>
                            <w:b/>
                            <w:sz w:val="20"/>
                            <w:szCs w:val="20"/>
                          </w:rPr>
                        </w:pPr>
                        <w:r w:rsidRPr="004E4C01">
                          <w:rPr>
                            <w:b/>
                            <w:sz w:val="20"/>
                            <w:szCs w:val="20"/>
                          </w:rPr>
                          <w:t>Zona hidrográfica</w:t>
                        </w:r>
                      </w:p>
                    </w:txbxContent>
                  </v:textbox>
                </v:shape>
                <v:shape id="43 Cuadro de texto" o:spid="_x0000_s1205" type="#_x0000_t202" style="position:absolute;left:40056;top:23201;width:829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7BCCC80E" w14:textId="6EF59342" w:rsidR="00D55F13" w:rsidRPr="004E4C01" w:rsidRDefault="00D55F13" w:rsidP="003012E7">
                        <w:pPr>
                          <w:jc w:val="center"/>
                          <w:rPr>
                            <w:b/>
                            <w:sz w:val="20"/>
                            <w:szCs w:val="20"/>
                          </w:rPr>
                        </w:pPr>
                        <w:r w:rsidRPr="004E4C01">
                          <w:rPr>
                            <w:b/>
                            <w:sz w:val="20"/>
                            <w:szCs w:val="20"/>
                          </w:rPr>
                          <w:t>Subzona hidrográfica</w:t>
                        </w:r>
                      </w:p>
                    </w:txbxContent>
                  </v:textbox>
                </v:shape>
                <w10:wrap type="topAndBottom"/>
              </v:group>
            </w:pict>
          </mc:Fallback>
        </mc:AlternateContent>
      </w:r>
      <w:r w:rsidRPr="004068F6">
        <w:rPr>
          <w:rFonts w:cs="Arial"/>
          <w:b w:val="0"/>
          <w:bCs w:val="0"/>
          <w:szCs w:val="22"/>
          <w:lang w:eastAsia="es-CO"/>
        </w:rPr>
        <w:t>Ejemplo de tipos de unidad de análisis</w:t>
      </w:r>
    </w:p>
    <w:p w14:paraId="1BD6A775" w14:textId="37EA0659" w:rsidR="00077E48" w:rsidRPr="004068F6" w:rsidRDefault="00077E48" w:rsidP="00A5705F">
      <w:pPr>
        <w:contextualSpacing/>
        <w:rPr>
          <w:rFonts w:cs="Arial"/>
        </w:rPr>
      </w:pPr>
    </w:p>
    <w:p w14:paraId="7B70EBD9" w14:textId="05B6C9AC" w:rsidR="00E93324" w:rsidRPr="004068F6" w:rsidRDefault="00E93324" w:rsidP="00E93324">
      <w:pPr>
        <w:pStyle w:val="Prrafodelista"/>
        <w:ind w:left="567"/>
        <w:contextualSpacing/>
        <w:rPr>
          <w:rFonts w:cs="Arial"/>
          <w:lang w:val="es-CO"/>
        </w:rPr>
      </w:pPr>
      <w:r w:rsidRPr="004068F6">
        <w:rPr>
          <w:rFonts w:cs="Arial"/>
          <w:lang w:val="es-CO"/>
        </w:rPr>
        <w:t xml:space="preserve">Adicionalmente, para el tipo de unidad de análisis seleccionado, se deben </w:t>
      </w:r>
      <w:r w:rsidR="005040A0" w:rsidRPr="004068F6">
        <w:rPr>
          <w:rFonts w:cs="Arial"/>
          <w:lang w:val="es-CO"/>
        </w:rPr>
        <w:t xml:space="preserve">determinar </w:t>
      </w:r>
      <w:r w:rsidRPr="004068F6">
        <w:rPr>
          <w:rFonts w:cs="Arial"/>
          <w:lang w:val="es-CO"/>
        </w:rPr>
        <w:t xml:space="preserve">las unidades </w:t>
      </w:r>
      <w:r w:rsidR="00E748DA" w:rsidRPr="004068F6">
        <w:rPr>
          <w:rFonts w:cs="Arial"/>
          <w:lang w:val="es-CO"/>
        </w:rPr>
        <w:t>d</w:t>
      </w:r>
      <w:r w:rsidRPr="004068F6">
        <w:rPr>
          <w:rFonts w:cs="Arial"/>
          <w:lang w:val="es-CO"/>
        </w:rPr>
        <w:t xml:space="preserve">el </w:t>
      </w:r>
      <w:r w:rsidR="00D13AA8" w:rsidRPr="004068F6">
        <w:rPr>
          <w:rFonts w:cs="Arial"/>
          <w:lang w:val="es-CO"/>
        </w:rPr>
        <w:t xml:space="preserve">factor o </w:t>
      </w:r>
      <w:r w:rsidR="00E748DA" w:rsidRPr="004068F6">
        <w:rPr>
          <w:rFonts w:cs="Arial"/>
          <w:lang w:val="es-CO"/>
        </w:rPr>
        <w:t>d</w:t>
      </w:r>
      <w:r w:rsidR="00D13AA8" w:rsidRPr="004068F6">
        <w:rPr>
          <w:rFonts w:cs="Arial"/>
          <w:lang w:val="es-CO"/>
        </w:rPr>
        <w:t xml:space="preserve">el </w:t>
      </w:r>
      <w:r w:rsidRPr="004068F6">
        <w:rPr>
          <w:rFonts w:cs="Arial"/>
          <w:lang w:val="es-CO"/>
        </w:rPr>
        <w:t xml:space="preserve">componente que </w:t>
      </w:r>
      <w:r w:rsidR="00E748DA" w:rsidRPr="004068F6">
        <w:rPr>
          <w:rFonts w:cs="Arial"/>
          <w:lang w:val="es-CO"/>
        </w:rPr>
        <w:t xml:space="preserve">serán objeto de estudio y harán </w:t>
      </w:r>
      <w:r w:rsidRPr="004068F6">
        <w:rPr>
          <w:rFonts w:cs="Arial"/>
          <w:lang w:val="es-CO"/>
        </w:rPr>
        <w:t xml:space="preserve">parte del procedimiento de delimitación del área de influencia (ver </w:t>
      </w:r>
      <w:r w:rsidRPr="004068F6">
        <w:rPr>
          <w:rFonts w:cs="Arial"/>
          <w:lang w:val="es-CO"/>
        </w:rPr>
        <w:fldChar w:fldCharType="begin"/>
      </w:r>
      <w:r w:rsidRPr="004068F6">
        <w:rPr>
          <w:rFonts w:cs="Arial"/>
          <w:lang w:val="es-CO"/>
        </w:rPr>
        <w:instrText xml:space="preserve"> REF _Ref37426624 \h  \* MERGEFORMAT </w:instrText>
      </w:r>
      <w:r w:rsidRPr="004068F6">
        <w:rPr>
          <w:rFonts w:cs="Arial"/>
          <w:lang w:val="es-CO"/>
        </w:rPr>
      </w:r>
      <w:r w:rsidRPr="004068F6">
        <w:rPr>
          <w:rFonts w:cs="Arial"/>
          <w:lang w:val="es-CO"/>
        </w:rPr>
        <w:fldChar w:fldCharType="separate"/>
      </w:r>
      <w:r w:rsidR="009C4A81" w:rsidRPr="009C4A81">
        <w:rPr>
          <w:rFonts w:eastAsiaTheme="minorHAnsi" w:cs="Arial"/>
          <w:bCs/>
          <w:szCs w:val="22"/>
          <w:lang w:val="es-CO" w:eastAsia="en-US"/>
        </w:rPr>
        <w:t>Figura 7</w:t>
      </w:r>
      <w:r w:rsidRPr="004068F6">
        <w:rPr>
          <w:rFonts w:cs="Arial"/>
          <w:lang w:val="es-CO"/>
        </w:rPr>
        <w:fldChar w:fldCharType="end"/>
      </w:r>
      <w:r w:rsidRPr="004068F6">
        <w:rPr>
          <w:rFonts w:cs="Arial"/>
          <w:lang w:val="es-CO"/>
        </w:rPr>
        <w:t>, recuadro 1).</w:t>
      </w:r>
    </w:p>
    <w:p w14:paraId="3614CD42" w14:textId="77777777" w:rsidR="00E93324" w:rsidRPr="004068F6" w:rsidRDefault="00E93324" w:rsidP="00E93324">
      <w:pPr>
        <w:contextualSpacing/>
        <w:rPr>
          <w:rFonts w:cs="Arial"/>
        </w:rPr>
      </w:pPr>
    </w:p>
    <w:p w14:paraId="57132655" w14:textId="2A55A6DD" w:rsidR="00E93324" w:rsidRPr="004068F6" w:rsidRDefault="00E93324" w:rsidP="00E93324">
      <w:pPr>
        <w:pStyle w:val="Prrafodelista"/>
        <w:ind w:left="567"/>
        <w:contextualSpacing/>
        <w:rPr>
          <w:rFonts w:cs="Arial"/>
          <w:lang w:val="es-CO"/>
        </w:rPr>
      </w:pPr>
      <w:r w:rsidRPr="004068F6">
        <w:rPr>
          <w:rFonts w:cs="Arial"/>
          <w:lang w:val="es-CO"/>
        </w:rPr>
        <w:t xml:space="preserve">En la </w:t>
      </w:r>
      <w:r w:rsidRPr="004068F6">
        <w:rPr>
          <w:rFonts w:cs="Arial"/>
          <w:lang w:val="es-CO"/>
        </w:rPr>
        <w:fldChar w:fldCharType="begin"/>
      </w:r>
      <w:r w:rsidRPr="004068F6">
        <w:rPr>
          <w:rFonts w:cs="Arial"/>
          <w:lang w:val="es-CO"/>
        </w:rPr>
        <w:instrText xml:space="preserve"> REF _Ref68252303 \h  \* MERGEFORMAT </w:instrText>
      </w:r>
      <w:r w:rsidRPr="004068F6">
        <w:rPr>
          <w:rFonts w:cs="Arial"/>
          <w:lang w:val="es-CO"/>
        </w:rPr>
      </w:r>
      <w:r w:rsidRPr="004068F6">
        <w:rPr>
          <w:rFonts w:cs="Arial"/>
          <w:lang w:val="es-CO"/>
        </w:rPr>
        <w:fldChar w:fldCharType="separate"/>
      </w:r>
      <w:r w:rsidR="009C4A81" w:rsidRPr="009C4A81">
        <w:rPr>
          <w:lang w:val="es-CO"/>
        </w:rPr>
        <w:t>Tabla 16</w:t>
      </w:r>
      <w:r w:rsidRPr="004068F6">
        <w:rPr>
          <w:rFonts w:cs="Arial"/>
          <w:lang w:val="es-CO"/>
        </w:rPr>
        <w:fldChar w:fldCharType="end"/>
      </w:r>
      <w:r w:rsidRPr="004068F6">
        <w:rPr>
          <w:rFonts w:cs="Arial"/>
          <w:lang w:val="es-CO"/>
        </w:rPr>
        <w:t xml:space="preserve"> se mencionan ejemplos de tipos de unidades de análisis para diferentes componentes, y sus posibles fuentes de información secundaria.</w:t>
      </w:r>
    </w:p>
    <w:p w14:paraId="28024DD7" w14:textId="77777777" w:rsidR="00E93324" w:rsidRPr="004068F6" w:rsidRDefault="00E93324" w:rsidP="00A5705F">
      <w:pPr>
        <w:contextualSpacing/>
        <w:rPr>
          <w:rFonts w:cs="Arial"/>
        </w:rPr>
      </w:pPr>
    </w:p>
    <w:p w14:paraId="4BD33C14" w14:textId="7EC6C774" w:rsidR="00F81CD7" w:rsidRPr="004068F6" w:rsidRDefault="00077E48" w:rsidP="00127BD4">
      <w:pPr>
        <w:pStyle w:val="Prrafodelista"/>
        <w:numPr>
          <w:ilvl w:val="0"/>
          <w:numId w:val="744"/>
        </w:numPr>
        <w:ind w:left="567" w:hanging="567"/>
        <w:contextualSpacing/>
        <w:rPr>
          <w:rFonts w:cs="Arial"/>
          <w:lang w:val="es-CO"/>
        </w:rPr>
      </w:pPr>
      <w:r w:rsidRPr="004068F6">
        <w:rPr>
          <w:rFonts w:cs="Arial"/>
          <w:lang w:val="es-CO"/>
        </w:rPr>
        <w:lastRenderedPageBreak/>
        <w:t xml:space="preserve">Conformar, en caso de que ello resulte posible, unidades de análisis de menor tamaño que </w:t>
      </w:r>
      <w:r w:rsidR="00946CFA" w:rsidRPr="004068F6">
        <w:rPr>
          <w:rFonts w:cs="Arial"/>
          <w:lang w:val="es-CO"/>
        </w:rPr>
        <w:t xml:space="preserve">permitan delimitar </w:t>
      </w:r>
      <w:r w:rsidRPr="004068F6">
        <w:rPr>
          <w:rFonts w:cs="Arial"/>
          <w:lang w:val="es-CO"/>
        </w:rPr>
        <w:t>con la mayor precisión posible el área en la cual se manifiestan los impactos ambientales significativos ocasionados por la ejecución del proyecto, obra o actividad.</w:t>
      </w:r>
    </w:p>
    <w:p w14:paraId="1AD92727" w14:textId="77777777" w:rsidR="00F81CD7" w:rsidRPr="004068F6" w:rsidRDefault="00F81CD7" w:rsidP="00F81CD7">
      <w:pPr>
        <w:pStyle w:val="Prrafodelista"/>
        <w:ind w:left="567"/>
        <w:contextualSpacing/>
        <w:rPr>
          <w:rFonts w:cs="Arial"/>
          <w:lang w:val="es-CO"/>
        </w:rPr>
      </w:pPr>
    </w:p>
    <w:p w14:paraId="45F3A633" w14:textId="0F9E2A2B" w:rsidR="00471B21" w:rsidRPr="004068F6" w:rsidRDefault="00F706CC" w:rsidP="00534D89">
      <w:pPr>
        <w:pStyle w:val="Prrafodelista"/>
        <w:ind w:left="567"/>
        <w:contextualSpacing/>
        <w:rPr>
          <w:rFonts w:cs="Arial"/>
          <w:bCs/>
          <w:lang w:val="es-CO"/>
        </w:rPr>
      </w:pPr>
      <w:r w:rsidRPr="004068F6">
        <w:rPr>
          <w:rFonts w:cs="Arial"/>
          <w:lang w:val="es-CO"/>
        </w:rPr>
        <w:t xml:space="preserve">Para establecer unidades de análisis de menor tamaño </w:t>
      </w:r>
      <w:r w:rsidR="00685EC1" w:rsidRPr="004068F6">
        <w:rPr>
          <w:rFonts w:cs="Arial"/>
          <w:lang w:val="es-CO"/>
        </w:rPr>
        <w:t>se debe</w:t>
      </w:r>
      <w:r w:rsidR="0062089C" w:rsidRPr="004068F6">
        <w:rPr>
          <w:rFonts w:cs="Arial"/>
          <w:lang w:val="es-CO"/>
        </w:rPr>
        <w:t xml:space="preserve">n emplear </w:t>
      </w:r>
      <w:r w:rsidR="00534D89" w:rsidRPr="00127BD4">
        <w:rPr>
          <w:rFonts w:cs="Arial"/>
          <w:i/>
          <w:iCs/>
          <w:lang w:val="es-CO"/>
        </w:rPr>
        <w:t>criterios de conformación</w:t>
      </w:r>
      <w:r w:rsidR="00534D89" w:rsidRPr="004068F6">
        <w:rPr>
          <w:rFonts w:cs="Arial"/>
          <w:lang w:val="es-CO"/>
        </w:rPr>
        <w:t xml:space="preserve"> válidos </w:t>
      </w:r>
      <w:r w:rsidR="00534D89" w:rsidRPr="004068F6">
        <w:rPr>
          <w:rFonts w:cs="Arial"/>
          <w:bCs/>
          <w:lang w:val="es-CO"/>
        </w:rPr>
        <w:t xml:space="preserve">para </w:t>
      </w:r>
      <w:r w:rsidR="00F43C9D" w:rsidRPr="004068F6">
        <w:rPr>
          <w:rFonts w:cs="Arial"/>
          <w:bCs/>
          <w:lang w:val="es-CO"/>
        </w:rPr>
        <w:t>cada unidad de análisis</w:t>
      </w:r>
      <w:r w:rsidR="00534D89" w:rsidRPr="004068F6">
        <w:rPr>
          <w:rFonts w:cs="Arial"/>
          <w:bCs/>
          <w:lang w:val="es-CO"/>
        </w:rPr>
        <w:t xml:space="preserve">. </w:t>
      </w:r>
      <w:r w:rsidR="000D5854" w:rsidRPr="004068F6">
        <w:rPr>
          <w:rFonts w:cs="Arial"/>
          <w:bCs/>
          <w:lang w:val="es-CO"/>
        </w:rPr>
        <w:t xml:space="preserve">Los </w:t>
      </w:r>
      <w:r w:rsidR="003E564B" w:rsidRPr="004068F6">
        <w:rPr>
          <w:rFonts w:cs="Arial"/>
          <w:bCs/>
          <w:lang w:val="es-CO"/>
        </w:rPr>
        <w:t xml:space="preserve">criterios </w:t>
      </w:r>
      <w:r w:rsidR="000D5854" w:rsidRPr="004068F6">
        <w:rPr>
          <w:rFonts w:cs="Arial"/>
          <w:bCs/>
          <w:lang w:val="es-CO"/>
        </w:rPr>
        <w:t xml:space="preserve">de conformación </w:t>
      </w:r>
      <w:r w:rsidR="003E564B" w:rsidRPr="004068F6">
        <w:rPr>
          <w:rFonts w:cs="Arial"/>
          <w:bCs/>
          <w:lang w:val="es-CO"/>
        </w:rPr>
        <w:t xml:space="preserve">son elementos </w:t>
      </w:r>
      <w:r w:rsidR="00BC5A2F" w:rsidRPr="004068F6">
        <w:rPr>
          <w:rFonts w:cs="Arial"/>
          <w:bCs/>
          <w:lang w:val="es-CO"/>
        </w:rPr>
        <w:t>del ambiente que</w:t>
      </w:r>
      <w:r w:rsidR="00B50DEC" w:rsidRPr="004068F6">
        <w:rPr>
          <w:rFonts w:cs="Arial"/>
          <w:bCs/>
          <w:lang w:val="es-CO"/>
        </w:rPr>
        <w:t xml:space="preserve"> </w:t>
      </w:r>
      <w:r w:rsidR="00861EE8" w:rsidRPr="004068F6">
        <w:rPr>
          <w:rFonts w:cs="Arial"/>
          <w:bCs/>
          <w:lang w:val="es-CO"/>
        </w:rPr>
        <w:t xml:space="preserve">pueden constituir </w:t>
      </w:r>
      <w:r w:rsidR="00B50DEC" w:rsidRPr="004068F6">
        <w:rPr>
          <w:rFonts w:cs="Arial"/>
          <w:bCs/>
          <w:lang w:val="es-CO"/>
        </w:rPr>
        <w:t>una barrera a la manifestación de los impactos ambientales</w:t>
      </w:r>
      <w:r w:rsidR="00904CA5" w:rsidRPr="004068F6">
        <w:rPr>
          <w:rFonts w:cs="Arial"/>
          <w:bCs/>
          <w:lang w:val="es-CO"/>
        </w:rPr>
        <w:t xml:space="preserve"> o </w:t>
      </w:r>
      <w:r w:rsidR="00861EE8" w:rsidRPr="004068F6">
        <w:rPr>
          <w:rFonts w:cs="Arial"/>
          <w:bCs/>
          <w:lang w:val="es-CO"/>
        </w:rPr>
        <w:t xml:space="preserve">bien, elementos del ambiente </w:t>
      </w:r>
      <w:r w:rsidR="00904CA5" w:rsidRPr="004068F6">
        <w:rPr>
          <w:rFonts w:cs="Arial"/>
          <w:bCs/>
          <w:lang w:val="es-CO"/>
        </w:rPr>
        <w:t xml:space="preserve">que </w:t>
      </w:r>
      <w:r w:rsidR="00881011" w:rsidRPr="004068F6">
        <w:rPr>
          <w:rFonts w:cs="Arial"/>
          <w:bCs/>
          <w:lang w:val="es-CO"/>
        </w:rPr>
        <w:t xml:space="preserve">pueden </w:t>
      </w:r>
      <w:r w:rsidR="002D1996" w:rsidRPr="004068F6">
        <w:rPr>
          <w:rFonts w:cs="Arial"/>
          <w:bCs/>
          <w:lang w:val="es-CO"/>
        </w:rPr>
        <w:t>delimita</w:t>
      </w:r>
      <w:r w:rsidR="00881011" w:rsidRPr="004068F6">
        <w:rPr>
          <w:rFonts w:cs="Arial"/>
          <w:bCs/>
          <w:lang w:val="es-CO"/>
        </w:rPr>
        <w:t>r</w:t>
      </w:r>
      <w:r w:rsidR="002D1996" w:rsidRPr="004068F6">
        <w:rPr>
          <w:rFonts w:cs="Arial"/>
          <w:bCs/>
          <w:lang w:val="es-CO"/>
        </w:rPr>
        <w:t xml:space="preserve"> zonas </w:t>
      </w:r>
      <w:r w:rsidR="00952ECA" w:rsidRPr="004068F6">
        <w:rPr>
          <w:rFonts w:cs="Arial"/>
          <w:bCs/>
          <w:lang w:val="es-CO"/>
        </w:rPr>
        <w:t xml:space="preserve">con condiciones ambientales diferentes </w:t>
      </w:r>
      <w:r w:rsidR="008033F9" w:rsidRPr="004068F6">
        <w:rPr>
          <w:rFonts w:cs="Arial"/>
          <w:bCs/>
          <w:lang w:val="es-CO"/>
        </w:rPr>
        <w:t xml:space="preserve">dentro </w:t>
      </w:r>
      <w:r w:rsidR="002D1996" w:rsidRPr="004068F6">
        <w:rPr>
          <w:rFonts w:cs="Arial"/>
          <w:bCs/>
          <w:lang w:val="es-CO"/>
        </w:rPr>
        <w:t xml:space="preserve">de </w:t>
      </w:r>
      <w:r w:rsidR="008033F9" w:rsidRPr="004068F6">
        <w:rPr>
          <w:rFonts w:cs="Arial"/>
          <w:bCs/>
          <w:lang w:val="es-CO"/>
        </w:rPr>
        <w:t xml:space="preserve">una misma </w:t>
      </w:r>
      <w:r w:rsidR="002D1996" w:rsidRPr="004068F6">
        <w:rPr>
          <w:rFonts w:cs="Arial"/>
          <w:bCs/>
          <w:lang w:val="es-CO"/>
        </w:rPr>
        <w:t>unidad de análisis</w:t>
      </w:r>
      <w:r w:rsidR="00CB4C98" w:rsidRPr="004068F6">
        <w:rPr>
          <w:rFonts w:cs="Arial"/>
          <w:bCs/>
          <w:lang w:val="es-CO"/>
        </w:rPr>
        <w:t>.</w:t>
      </w:r>
    </w:p>
    <w:p w14:paraId="5348419A" w14:textId="77777777" w:rsidR="00471B21" w:rsidRPr="004068F6" w:rsidRDefault="00471B21" w:rsidP="00534D89">
      <w:pPr>
        <w:pStyle w:val="Prrafodelista"/>
        <w:ind w:left="567"/>
        <w:contextualSpacing/>
        <w:rPr>
          <w:rFonts w:cs="Arial"/>
          <w:bCs/>
          <w:lang w:val="es-CO"/>
        </w:rPr>
      </w:pPr>
    </w:p>
    <w:p w14:paraId="7B40E209" w14:textId="1D5014F3" w:rsidR="00534D89" w:rsidRPr="004068F6" w:rsidRDefault="00847761" w:rsidP="00534D89">
      <w:pPr>
        <w:pStyle w:val="Prrafodelista"/>
        <w:ind w:left="567"/>
        <w:contextualSpacing/>
        <w:rPr>
          <w:rFonts w:cs="Arial"/>
          <w:lang w:val="es-CO"/>
        </w:rPr>
      </w:pPr>
      <w:r w:rsidRPr="004068F6">
        <w:rPr>
          <w:rFonts w:cs="Arial"/>
          <w:bCs/>
          <w:lang w:val="es-CO"/>
        </w:rPr>
        <w:t xml:space="preserve">Los </w:t>
      </w:r>
      <w:r w:rsidR="00B640B9" w:rsidRPr="004068F6">
        <w:rPr>
          <w:rFonts w:cs="Arial"/>
          <w:bCs/>
          <w:lang w:val="es-CO"/>
        </w:rPr>
        <w:t xml:space="preserve">criterios de conformación </w:t>
      </w:r>
      <w:r w:rsidRPr="004068F6">
        <w:rPr>
          <w:rFonts w:cs="Arial"/>
          <w:bCs/>
          <w:lang w:val="es-CO"/>
        </w:rPr>
        <w:t xml:space="preserve">deben </w:t>
      </w:r>
      <w:r w:rsidR="00102276" w:rsidRPr="004068F6">
        <w:rPr>
          <w:rFonts w:cs="Arial"/>
          <w:bCs/>
          <w:lang w:val="es-CO"/>
        </w:rPr>
        <w:t xml:space="preserve">establecerse a partir de </w:t>
      </w:r>
      <w:r w:rsidR="00FD08C2" w:rsidRPr="004068F6">
        <w:rPr>
          <w:rFonts w:cs="Arial"/>
          <w:bCs/>
          <w:lang w:val="es-CO"/>
        </w:rPr>
        <w:t>estudios</w:t>
      </w:r>
      <w:r w:rsidR="00614A8F" w:rsidRPr="004068F6">
        <w:rPr>
          <w:rFonts w:cs="Arial"/>
          <w:bCs/>
          <w:lang w:val="es-CO"/>
        </w:rPr>
        <w:t xml:space="preserve"> </w:t>
      </w:r>
      <w:r w:rsidR="00A029A0" w:rsidRPr="004068F6">
        <w:rPr>
          <w:rFonts w:cs="Arial"/>
          <w:bCs/>
          <w:lang w:val="es-CO"/>
        </w:rPr>
        <w:t xml:space="preserve">detallados </w:t>
      </w:r>
      <w:r w:rsidR="00614A8F" w:rsidRPr="004068F6">
        <w:rPr>
          <w:rFonts w:cs="Arial"/>
          <w:bCs/>
          <w:lang w:val="es-CO"/>
        </w:rPr>
        <w:t>de</w:t>
      </w:r>
      <w:r w:rsidR="00F200DF" w:rsidRPr="004068F6">
        <w:rPr>
          <w:rFonts w:cs="Arial"/>
          <w:bCs/>
          <w:lang w:val="es-CO"/>
        </w:rPr>
        <w:t xml:space="preserve"> </w:t>
      </w:r>
      <w:r w:rsidR="00102276" w:rsidRPr="004068F6">
        <w:rPr>
          <w:rFonts w:cs="Arial"/>
          <w:bCs/>
          <w:lang w:val="es-CO"/>
        </w:rPr>
        <w:t xml:space="preserve">las </w:t>
      </w:r>
      <w:r w:rsidR="00F200DF" w:rsidRPr="004068F6">
        <w:rPr>
          <w:rFonts w:cs="Arial"/>
          <w:bCs/>
          <w:lang w:val="es-CO"/>
        </w:rPr>
        <w:t>unidad</w:t>
      </w:r>
      <w:r w:rsidR="00102276" w:rsidRPr="004068F6">
        <w:rPr>
          <w:rFonts w:cs="Arial"/>
          <w:bCs/>
          <w:lang w:val="es-CO"/>
        </w:rPr>
        <w:t>es</w:t>
      </w:r>
      <w:r w:rsidR="00F200DF" w:rsidRPr="004068F6">
        <w:rPr>
          <w:rFonts w:cs="Arial"/>
          <w:bCs/>
          <w:lang w:val="es-CO"/>
        </w:rPr>
        <w:t xml:space="preserve"> </w:t>
      </w:r>
      <w:r w:rsidR="00155547" w:rsidRPr="004068F6">
        <w:rPr>
          <w:rFonts w:cs="Arial"/>
          <w:bCs/>
          <w:lang w:val="es-CO"/>
        </w:rPr>
        <w:t xml:space="preserve">de análisis </w:t>
      </w:r>
      <w:r w:rsidR="00614A8F" w:rsidRPr="004068F6">
        <w:rPr>
          <w:rFonts w:cs="Arial"/>
          <w:bCs/>
          <w:lang w:val="es-CO"/>
        </w:rPr>
        <w:t>soport</w:t>
      </w:r>
      <w:r w:rsidR="00E50762">
        <w:rPr>
          <w:rFonts w:cs="Arial"/>
          <w:bCs/>
          <w:lang w:val="es-CO"/>
        </w:rPr>
        <w:t>ados</w:t>
      </w:r>
      <w:r w:rsidR="00264E8A" w:rsidRPr="004068F6">
        <w:rPr>
          <w:rFonts w:cs="Arial"/>
          <w:bCs/>
          <w:lang w:val="es-CO"/>
        </w:rPr>
        <w:t xml:space="preserve"> </w:t>
      </w:r>
      <w:r w:rsidR="00614A8F" w:rsidRPr="004068F6">
        <w:rPr>
          <w:rFonts w:cs="Arial"/>
          <w:bCs/>
          <w:lang w:val="es-CO"/>
        </w:rPr>
        <w:t xml:space="preserve">en la </w:t>
      </w:r>
      <w:r w:rsidR="00534D89" w:rsidRPr="004068F6">
        <w:rPr>
          <w:rFonts w:cs="Arial"/>
          <w:bCs/>
          <w:lang w:val="es-CO"/>
        </w:rPr>
        <w:t xml:space="preserve">obtención y procesamiento de información </w:t>
      </w:r>
      <w:r w:rsidR="00A029A0" w:rsidRPr="004068F6">
        <w:rPr>
          <w:rFonts w:cs="Arial"/>
          <w:bCs/>
          <w:lang w:val="es-CO"/>
        </w:rPr>
        <w:t xml:space="preserve">primaria </w:t>
      </w:r>
      <w:r w:rsidR="00264E8A" w:rsidRPr="004068F6">
        <w:rPr>
          <w:rFonts w:cs="Arial"/>
          <w:bCs/>
          <w:lang w:val="es-CO"/>
        </w:rPr>
        <w:t xml:space="preserve">y </w:t>
      </w:r>
      <w:r w:rsidR="00534D89" w:rsidRPr="004068F6">
        <w:rPr>
          <w:rFonts w:cs="Arial"/>
          <w:bCs/>
          <w:lang w:val="es-CO"/>
        </w:rPr>
        <w:t>secundaria</w:t>
      </w:r>
      <w:r w:rsidR="00614A8F" w:rsidRPr="004068F6">
        <w:rPr>
          <w:rFonts w:cs="Arial"/>
          <w:bCs/>
          <w:lang w:val="es-CO"/>
        </w:rPr>
        <w:t>.</w:t>
      </w:r>
      <w:r w:rsidR="00456555" w:rsidRPr="004068F6">
        <w:rPr>
          <w:rFonts w:cs="Arial"/>
          <w:lang w:val="es-CO"/>
        </w:rPr>
        <w:t xml:space="preserve"> </w:t>
      </w:r>
      <w:r w:rsidR="00534D89" w:rsidRPr="004068F6">
        <w:rPr>
          <w:rFonts w:cs="Arial"/>
          <w:lang w:val="es-CO"/>
        </w:rPr>
        <w:t xml:space="preserve">En la </w:t>
      </w:r>
      <w:r w:rsidR="00534D89" w:rsidRPr="004068F6">
        <w:rPr>
          <w:rFonts w:cs="Arial"/>
          <w:lang w:val="es-CO"/>
        </w:rPr>
        <w:fldChar w:fldCharType="begin"/>
      </w:r>
      <w:r w:rsidR="00534D89" w:rsidRPr="004068F6">
        <w:rPr>
          <w:rFonts w:cs="Arial"/>
          <w:lang w:val="es-CO"/>
        </w:rPr>
        <w:instrText xml:space="preserve"> REF _Ref68252303 \h  \* MERGEFORMAT </w:instrText>
      </w:r>
      <w:r w:rsidR="00534D89" w:rsidRPr="004068F6">
        <w:rPr>
          <w:rFonts w:cs="Arial"/>
          <w:lang w:val="es-CO"/>
        </w:rPr>
      </w:r>
      <w:r w:rsidR="00534D89" w:rsidRPr="004068F6">
        <w:rPr>
          <w:rFonts w:cs="Arial"/>
          <w:lang w:val="es-CO"/>
        </w:rPr>
        <w:fldChar w:fldCharType="separate"/>
      </w:r>
      <w:r w:rsidR="009C4A81" w:rsidRPr="009C4A81">
        <w:rPr>
          <w:lang w:val="es-CO"/>
        </w:rPr>
        <w:t>Tabla 16</w:t>
      </w:r>
      <w:r w:rsidR="00534D89" w:rsidRPr="004068F6">
        <w:rPr>
          <w:rFonts w:cs="Arial"/>
          <w:lang w:val="es-CO"/>
        </w:rPr>
        <w:fldChar w:fldCharType="end"/>
      </w:r>
      <w:r w:rsidR="00534D89" w:rsidRPr="004068F6">
        <w:rPr>
          <w:rFonts w:cs="Arial"/>
          <w:lang w:val="es-CO"/>
        </w:rPr>
        <w:t xml:space="preserve"> se mencionan ejemplos de criterios que pueden, de forma consistente, </w:t>
      </w:r>
      <w:r w:rsidR="00F24956">
        <w:rPr>
          <w:rFonts w:cs="Arial"/>
          <w:lang w:val="es-CO"/>
        </w:rPr>
        <w:t>sustentar</w:t>
      </w:r>
      <w:r w:rsidR="00534D89" w:rsidRPr="004068F6">
        <w:rPr>
          <w:rFonts w:cs="Arial"/>
          <w:lang w:val="es-CO"/>
        </w:rPr>
        <w:t xml:space="preserve"> la conformación de unidades de análisis más precisas.</w:t>
      </w:r>
    </w:p>
    <w:p w14:paraId="5D0CB34C" w14:textId="77777777" w:rsidR="00534D89" w:rsidRPr="004068F6" w:rsidRDefault="00534D89" w:rsidP="00F81CD7">
      <w:pPr>
        <w:pStyle w:val="Prrafodelista"/>
        <w:ind w:left="567"/>
        <w:contextualSpacing/>
        <w:rPr>
          <w:rFonts w:cs="Arial"/>
          <w:lang w:val="es-CO"/>
        </w:rPr>
      </w:pPr>
    </w:p>
    <w:p w14:paraId="7DC871AC" w14:textId="7BB2F45F" w:rsidR="00077E48" w:rsidRPr="004068F6" w:rsidRDefault="00077E48" w:rsidP="00127BD4">
      <w:pPr>
        <w:pStyle w:val="Prrafodelista"/>
        <w:ind w:left="567"/>
        <w:contextualSpacing/>
        <w:rPr>
          <w:rFonts w:cs="Arial"/>
          <w:lang w:val="es-CO"/>
        </w:rPr>
      </w:pPr>
      <w:r w:rsidRPr="004068F6">
        <w:rPr>
          <w:rFonts w:cs="Arial"/>
          <w:lang w:val="es-CO"/>
        </w:rPr>
        <w:t>El éxito de</w:t>
      </w:r>
      <w:r w:rsidR="0013198A" w:rsidRPr="004068F6">
        <w:rPr>
          <w:rFonts w:cs="Arial"/>
          <w:lang w:val="es-CO"/>
        </w:rPr>
        <w:t xml:space="preserve"> este </w:t>
      </w:r>
      <w:r w:rsidRPr="004068F6">
        <w:rPr>
          <w:rFonts w:cs="Arial"/>
          <w:lang w:val="es-CO"/>
        </w:rPr>
        <w:t xml:space="preserve">procedimiento no se refleja en la reducción del área </w:t>
      </w:r>
      <w:r w:rsidRPr="004068F6">
        <w:rPr>
          <w:rFonts w:cs="Arial"/>
          <w:i/>
          <w:lang w:val="es-CO"/>
        </w:rPr>
        <w:t>per se</w:t>
      </w:r>
      <w:r w:rsidRPr="004068F6">
        <w:rPr>
          <w:rFonts w:cs="Arial"/>
          <w:lang w:val="es-CO"/>
        </w:rPr>
        <w:t xml:space="preserve">, sino en el </w:t>
      </w:r>
      <w:r w:rsidR="00701A4E" w:rsidRPr="004068F6">
        <w:rPr>
          <w:rFonts w:cs="Arial"/>
          <w:lang w:val="es-CO"/>
        </w:rPr>
        <w:t>incre</w:t>
      </w:r>
      <w:r w:rsidR="00122C10" w:rsidRPr="004068F6">
        <w:rPr>
          <w:rFonts w:cs="Arial"/>
          <w:lang w:val="es-CO"/>
        </w:rPr>
        <w:t xml:space="preserve">mento de la </w:t>
      </w:r>
      <w:r w:rsidRPr="004068F6">
        <w:rPr>
          <w:rFonts w:cs="Arial"/>
          <w:lang w:val="es-CO"/>
        </w:rPr>
        <w:t xml:space="preserve">precisión </w:t>
      </w:r>
      <w:r w:rsidR="00701A4E" w:rsidRPr="004068F6">
        <w:rPr>
          <w:rFonts w:cs="Arial"/>
          <w:lang w:val="es-CO"/>
        </w:rPr>
        <w:t>de</w:t>
      </w:r>
      <w:r w:rsidRPr="004068F6">
        <w:rPr>
          <w:rFonts w:cs="Arial"/>
          <w:lang w:val="es-CO"/>
        </w:rPr>
        <w:t xml:space="preserve"> la representación </w:t>
      </w:r>
      <w:r w:rsidR="00701A4E" w:rsidRPr="004068F6">
        <w:rPr>
          <w:rFonts w:cs="Arial"/>
          <w:lang w:val="es-CO"/>
        </w:rPr>
        <w:t xml:space="preserve">geográfica </w:t>
      </w:r>
      <w:r w:rsidRPr="004068F6">
        <w:rPr>
          <w:rFonts w:cs="Arial"/>
          <w:lang w:val="es-CO"/>
        </w:rPr>
        <w:t xml:space="preserve">de la manifestación de los impactos (ver </w:t>
      </w:r>
      <w:r w:rsidR="00296BD3" w:rsidRPr="004068F6">
        <w:rPr>
          <w:rFonts w:cs="Arial"/>
          <w:lang w:val="es-CO"/>
        </w:rPr>
        <w:fldChar w:fldCharType="begin"/>
      </w:r>
      <w:r w:rsidR="00296BD3" w:rsidRPr="004068F6">
        <w:rPr>
          <w:rFonts w:cs="Arial"/>
          <w:lang w:val="es-CO"/>
        </w:rPr>
        <w:instrText xml:space="preserve"> REF _Ref37426624 \h  \* MERGEFORMAT </w:instrText>
      </w:r>
      <w:r w:rsidR="00296BD3" w:rsidRPr="004068F6">
        <w:rPr>
          <w:rFonts w:cs="Arial"/>
          <w:lang w:val="es-CO"/>
        </w:rPr>
      </w:r>
      <w:r w:rsidR="00296BD3" w:rsidRPr="004068F6">
        <w:rPr>
          <w:rFonts w:cs="Arial"/>
          <w:lang w:val="es-CO"/>
        </w:rPr>
        <w:fldChar w:fldCharType="separate"/>
      </w:r>
      <w:r w:rsidR="009C4A81" w:rsidRPr="009C4A81">
        <w:rPr>
          <w:rFonts w:eastAsiaTheme="minorHAnsi" w:cs="Arial"/>
          <w:bCs/>
          <w:szCs w:val="22"/>
          <w:lang w:val="es-CO" w:eastAsia="en-US"/>
        </w:rPr>
        <w:t>Figura 7</w:t>
      </w:r>
      <w:r w:rsidR="00296BD3" w:rsidRPr="004068F6">
        <w:rPr>
          <w:rFonts w:cs="Arial"/>
          <w:lang w:val="es-CO"/>
        </w:rPr>
        <w:fldChar w:fldCharType="end"/>
      </w:r>
      <w:r w:rsidRPr="004068F6">
        <w:rPr>
          <w:rFonts w:cs="Arial"/>
          <w:lang w:val="es-CO"/>
        </w:rPr>
        <w:t>, recuadro 2).</w:t>
      </w:r>
    </w:p>
    <w:p w14:paraId="0DBDDEDB" w14:textId="77777777" w:rsidR="00077E48" w:rsidRPr="004068F6" w:rsidRDefault="00077E48" w:rsidP="00A5705F">
      <w:pPr>
        <w:contextualSpacing/>
        <w:rPr>
          <w:rFonts w:cs="Arial"/>
        </w:rPr>
      </w:pPr>
    </w:p>
    <w:p w14:paraId="481B2557" w14:textId="28D74C5A" w:rsidR="00077E48" w:rsidRPr="004068F6" w:rsidRDefault="00271624" w:rsidP="00127BD4">
      <w:pPr>
        <w:pStyle w:val="Prrafodelista"/>
        <w:numPr>
          <w:ilvl w:val="0"/>
          <w:numId w:val="744"/>
        </w:numPr>
        <w:ind w:left="567" w:hanging="567"/>
        <w:contextualSpacing/>
        <w:rPr>
          <w:rFonts w:cs="Arial"/>
          <w:lang w:val="es-CO"/>
        </w:rPr>
      </w:pPr>
      <w:r w:rsidRPr="004068F6">
        <w:rPr>
          <w:rFonts w:cs="Arial"/>
          <w:lang w:val="es-CO"/>
        </w:rPr>
        <w:t xml:space="preserve">Determinar </w:t>
      </w:r>
      <w:r w:rsidR="00077E48" w:rsidRPr="004068F6">
        <w:rPr>
          <w:rFonts w:cs="Arial"/>
          <w:lang w:val="es-CO"/>
        </w:rPr>
        <w:t>el conjunto de unidades de análisis en el que se manifiestan los impactos ambientales significativos</w:t>
      </w:r>
      <w:r w:rsidR="00627974" w:rsidRPr="004068F6">
        <w:rPr>
          <w:rFonts w:cs="Arial"/>
          <w:lang w:val="es-CO"/>
        </w:rPr>
        <w:t xml:space="preserve"> negativos</w:t>
      </w:r>
      <w:r w:rsidR="00077E48" w:rsidRPr="004068F6">
        <w:rPr>
          <w:rFonts w:cs="Arial"/>
          <w:lang w:val="es-CO"/>
        </w:rPr>
        <w:t xml:space="preserve">, teniendo en cuenta los resultados de la evaluación ambiental (ver </w:t>
      </w:r>
      <w:r w:rsidR="00077E48" w:rsidRPr="004068F6">
        <w:rPr>
          <w:rFonts w:cs="Arial"/>
          <w:lang w:val="es-CO"/>
        </w:rPr>
        <w:fldChar w:fldCharType="begin"/>
      </w:r>
      <w:r w:rsidR="00077E48" w:rsidRPr="004068F6">
        <w:rPr>
          <w:rFonts w:cs="Arial"/>
          <w:lang w:val="es-CO"/>
        </w:rPr>
        <w:instrText xml:space="preserve"> REF _Ref37426624 \h  \* MERGEFORMAT </w:instrText>
      </w:r>
      <w:r w:rsidR="00077E48" w:rsidRPr="004068F6">
        <w:rPr>
          <w:rFonts w:cs="Arial"/>
          <w:lang w:val="es-CO"/>
        </w:rPr>
      </w:r>
      <w:r w:rsidR="00077E48" w:rsidRPr="004068F6">
        <w:rPr>
          <w:rFonts w:cs="Arial"/>
          <w:lang w:val="es-CO"/>
        </w:rPr>
        <w:fldChar w:fldCharType="separate"/>
      </w:r>
      <w:r w:rsidR="009C4A81" w:rsidRPr="009C4A81">
        <w:rPr>
          <w:rFonts w:eastAsiaTheme="minorHAnsi" w:cs="Arial"/>
          <w:bCs/>
          <w:szCs w:val="22"/>
          <w:lang w:val="es-CO" w:eastAsia="en-US"/>
        </w:rPr>
        <w:t>Figura 7</w:t>
      </w:r>
      <w:r w:rsidR="00077E48" w:rsidRPr="004068F6">
        <w:rPr>
          <w:rFonts w:cs="Arial"/>
          <w:lang w:val="es-CO"/>
        </w:rPr>
        <w:fldChar w:fldCharType="end"/>
      </w:r>
      <w:r w:rsidR="00077E48" w:rsidRPr="004068F6">
        <w:rPr>
          <w:rFonts w:cs="Arial"/>
          <w:lang w:val="es-CO"/>
        </w:rPr>
        <w:t>, recuadro 3). En este punto resulta especialmente importante tener presente, que la manifestación de los impactos depende de la sensibilidad ambiental de cada unidad y de las características de las presiones (</w:t>
      </w:r>
      <w:r w:rsidR="00E41568" w:rsidRPr="004068F6">
        <w:rPr>
          <w:rFonts w:cs="Arial"/>
          <w:lang w:val="es-CO"/>
        </w:rPr>
        <w:t xml:space="preserve">aspectos </w:t>
      </w:r>
      <w:r w:rsidR="00077E48" w:rsidRPr="004068F6">
        <w:rPr>
          <w:rFonts w:cs="Arial"/>
          <w:lang w:val="es-CO"/>
        </w:rPr>
        <w:t>ambientales) que se ejercen sobre ellas.</w:t>
      </w:r>
      <w:r w:rsidR="00077E48" w:rsidRPr="004068F6">
        <w:rPr>
          <w:rFonts w:cs="Arial"/>
          <w:spacing w:val="-3"/>
          <w:lang w:val="es-CO"/>
        </w:rPr>
        <w:t xml:space="preserve"> La manifestación de los impactos ambientales significativos no se limita exclusivamente al área </w:t>
      </w:r>
      <w:r w:rsidR="00F53A6E" w:rsidRPr="004068F6">
        <w:rPr>
          <w:rFonts w:cs="Arial"/>
          <w:spacing w:val="-3"/>
          <w:lang w:val="es-CO"/>
        </w:rPr>
        <w:t>por</w:t>
      </w:r>
      <w:r w:rsidR="00077E48" w:rsidRPr="004068F6">
        <w:rPr>
          <w:rFonts w:cs="Arial"/>
          <w:spacing w:val="-3"/>
          <w:lang w:val="es-CO"/>
        </w:rPr>
        <w:t xml:space="preserve"> intervenir, donde los impactos pueden evidenciarse de modo directo e inmediato, sino que ésta generalmente trasciende a otras áreas, actuando de manera indirecta, acumulativa y sinérgica, y </w:t>
      </w:r>
      <w:r w:rsidR="003012E7" w:rsidRPr="004068F6">
        <w:rPr>
          <w:rFonts w:cs="Arial"/>
          <w:spacing w:val="-3"/>
          <w:lang w:val="es-CO"/>
        </w:rPr>
        <w:t xml:space="preserve">prolongada </w:t>
      </w:r>
      <w:r w:rsidR="00077E48" w:rsidRPr="004068F6">
        <w:rPr>
          <w:rFonts w:cs="Arial"/>
          <w:spacing w:val="-3"/>
          <w:lang w:val="es-CO"/>
        </w:rPr>
        <w:t>en el tiempo.</w:t>
      </w:r>
    </w:p>
    <w:p w14:paraId="62174B5D" w14:textId="77777777" w:rsidR="00077E48" w:rsidRPr="004068F6" w:rsidRDefault="00077E48" w:rsidP="00077E48"/>
    <w:p w14:paraId="46F58063" w14:textId="0EB69C15" w:rsidR="00077E48" w:rsidRPr="004068F6" w:rsidRDefault="0065023A" w:rsidP="00077E48">
      <w:pPr>
        <w:keepNext/>
        <w:overflowPunct/>
        <w:autoSpaceDE/>
        <w:autoSpaceDN/>
        <w:adjustRightInd/>
        <w:jc w:val="center"/>
        <w:textAlignment w:val="auto"/>
        <w:rPr>
          <w:rFonts w:eastAsiaTheme="minorHAnsi" w:cs="Arial"/>
          <w:b/>
          <w:bCs/>
          <w:szCs w:val="22"/>
          <w:lang w:eastAsia="en-US"/>
        </w:rPr>
      </w:pPr>
      <w:bookmarkStart w:id="2540" w:name="_Ref37426624"/>
      <w:r w:rsidRPr="00AA2094">
        <w:rPr>
          <w:noProof/>
          <w:lang w:eastAsia="es-CO"/>
        </w:rPr>
        <w:lastRenderedPageBreak/>
        <mc:AlternateContent>
          <mc:Choice Requires="wpg">
            <w:drawing>
              <wp:anchor distT="0" distB="0" distL="114300" distR="114300" simplePos="0" relativeHeight="251658242" behindDoc="0" locked="0" layoutInCell="1" allowOverlap="1" wp14:anchorId="3E6CAE89" wp14:editId="4CE2A410">
                <wp:simplePos x="0" y="0"/>
                <wp:positionH relativeFrom="column">
                  <wp:posOffset>443230</wp:posOffset>
                </wp:positionH>
                <wp:positionV relativeFrom="paragraph">
                  <wp:posOffset>235585</wp:posOffset>
                </wp:positionV>
                <wp:extent cx="5200650" cy="4044315"/>
                <wp:effectExtent l="0" t="0" r="19050" b="13335"/>
                <wp:wrapTopAndBottom/>
                <wp:docPr id="2675" name="2675 Grupo"/>
                <wp:cNvGraphicFramePr/>
                <a:graphic xmlns:a="http://schemas.openxmlformats.org/drawingml/2006/main">
                  <a:graphicData uri="http://schemas.microsoft.com/office/word/2010/wordprocessingGroup">
                    <wpg:wgp>
                      <wpg:cNvGrpSpPr/>
                      <wpg:grpSpPr>
                        <a:xfrm>
                          <a:off x="0" y="0"/>
                          <a:ext cx="5200650" cy="4044315"/>
                          <a:chOff x="0" y="0"/>
                          <a:chExt cx="5201213" cy="4044553"/>
                        </a:xfrm>
                      </wpg:grpSpPr>
                      <wpg:grpSp>
                        <wpg:cNvPr id="2676" name="2676 Grupo"/>
                        <wpg:cNvGrpSpPr/>
                        <wpg:grpSpPr>
                          <a:xfrm>
                            <a:off x="0" y="0"/>
                            <a:ext cx="5201213" cy="4044553"/>
                            <a:chOff x="0" y="0"/>
                            <a:chExt cx="5201213" cy="4044553"/>
                          </a:xfrm>
                        </wpg:grpSpPr>
                        <wpg:grpSp>
                          <wpg:cNvPr id="2677" name="2677 Grupo"/>
                          <wpg:cNvGrpSpPr/>
                          <wpg:grpSpPr>
                            <a:xfrm>
                              <a:off x="0" y="0"/>
                              <a:ext cx="5201213" cy="4044553"/>
                              <a:chOff x="0" y="0"/>
                              <a:chExt cx="5201213" cy="4044553"/>
                            </a:xfrm>
                          </wpg:grpSpPr>
                          <wpg:grpSp>
                            <wpg:cNvPr id="2678" name="2678 Grupo"/>
                            <wpg:cNvGrpSpPr/>
                            <wpg:grpSpPr>
                              <a:xfrm>
                                <a:off x="0" y="0"/>
                                <a:ext cx="5201213" cy="4044553"/>
                                <a:chOff x="0" y="0"/>
                                <a:chExt cx="5201213" cy="4044553"/>
                              </a:xfrm>
                            </wpg:grpSpPr>
                            <wpg:grpSp>
                              <wpg:cNvPr id="2679" name="2679 Grupo"/>
                              <wpg:cNvGrpSpPr/>
                              <wpg:grpSpPr>
                                <a:xfrm>
                                  <a:off x="0" y="0"/>
                                  <a:ext cx="5201213" cy="4044553"/>
                                  <a:chOff x="0" y="0"/>
                                  <a:chExt cx="5201213" cy="4044553"/>
                                </a:xfrm>
                              </wpg:grpSpPr>
                              <wpg:grpSp>
                                <wpg:cNvPr id="2680" name="2680 Grupo"/>
                                <wpg:cNvGrpSpPr/>
                                <wpg:grpSpPr>
                                  <a:xfrm>
                                    <a:off x="0" y="0"/>
                                    <a:ext cx="5201213" cy="4044553"/>
                                    <a:chOff x="0" y="0"/>
                                    <a:chExt cx="5201213" cy="4044553"/>
                                  </a:xfrm>
                                </wpg:grpSpPr>
                                <wpg:grpSp>
                                  <wpg:cNvPr id="2681" name="2681 Grupo"/>
                                  <wpg:cNvGrpSpPr/>
                                  <wpg:grpSpPr>
                                    <a:xfrm>
                                      <a:off x="0" y="0"/>
                                      <a:ext cx="5201213" cy="4044553"/>
                                      <a:chOff x="0" y="0"/>
                                      <a:chExt cx="5201213" cy="4044553"/>
                                    </a:xfrm>
                                  </wpg:grpSpPr>
                                  <wps:wsp>
                                    <wps:cNvPr id="2682" name="2682 Rectángulo"/>
                                    <wps:cNvSpPr/>
                                    <wps:spPr>
                                      <a:xfrm>
                                        <a:off x="0" y="2085975"/>
                                        <a:ext cx="2552748" cy="1958578"/>
                                      </a:xfrm>
                                      <a:prstGeom prst="rect">
                                        <a:avLst/>
                                      </a:prstGeom>
                                      <a:noFill/>
                                      <a:ln w="6350" cap="flat" cmpd="sng" algn="ctr">
                                        <a:solidFill>
                                          <a:sysClr val="windowText" lastClr="000000">
                                            <a:lumMod val="95000"/>
                                            <a:lumOff val="5000"/>
                                          </a:sysClr>
                                        </a:solidFill>
                                        <a:prstDash val="solid"/>
                                      </a:ln>
                                      <a:effectLst/>
                                    </wps:spPr>
                                    <wps:txbx>
                                      <w:txbxContent>
                                        <w:p w14:paraId="45511191" w14:textId="77777777" w:rsidR="00D55F13" w:rsidRPr="004E4C01" w:rsidRDefault="00D55F13" w:rsidP="0065023A">
                                          <w:pPr>
                                            <w:rPr>
                                              <w:b/>
                                              <w:color w:val="0D0D0D" w:themeColor="text1" w:themeTint="F2"/>
                                            </w:rPr>
                                          </w:pPr>
                                          <w:r w:rsidRPr="004E4C01">
                                            <w:rPr>
                                              <w:color w:val="0D0D0D" w:themeColor="text1" w:themeTint="F2"/>
                                            </w:rPr>
                                            <w:t xml:space="preserve">  </w:t>
                                          </w:r>
                                          <w:r w:rsidRPr="004E4C01">
                                            <w:rPr>
                                              <w:b/>
                                              <w:color w:val="0D0D0D" w:themeColor="text1" w:themeTint="F2"/>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683" name="2683 Rectángulo"/>
                                    <wps:cNvSpPr/>
                                    <wps:spPr>
                                      <a:xfrm>
                                        <a:off x="2647950" y="2085975"/>
                                        <a:ext cx="2552748" cy="1958578"/>
                                      </a:xfrm>
                                      <a:prstGeom prst="rect">
                                        <a:avLst/>
                                      </a:prstGeom>
                                      <a:noFill/>
                                      <a:ln w="6350" cap="flat" cmpd="sng" algn="ctr">
                                        <a:solidFill>
                                          <a:sysClr val="windowText" lastClr="000000">
                                            <a:lumMod val="95000"/>
                                            <a:lumOff val="5000"/>
                                          </a:sysClr>
                                        </a:solidFill>
                                        <a:prstDash val="solid"/>
                                      </a:ln>
                                      <a:effectLst/>
                                    </wps:spPr>
                                    <wps:txbx>
                                      <w:txbxContent>
                                        <w:p w14:paraId="521BD1B3" w14:textId="77777777" w:rsidR="00D55F13" w:rsidRPr="004E4C01" w:rsidRDefault="00D55F13" w:rsidP="0065023A">
                                          <w:pPr>
                                            <w:rPr>
                                              <w:b/>
                                              <w:color w:val="0D0D0D" w:themeColor="text1" w:themeTint="F2"/>
                                            </w:rPr>
                                          </w:pPr>
                                          <w:r w:rsidRPr="004E4C01">
                                            <w:rPr>
                                              <w:color w:val="0D0D0D" w:themeColor="text1" w:themeTint="F2"/>
                                            </w:rPr>
                                            <w:t xml:space="preserve">  </w:t>
                                          </w:r>
                                          <w:r w:rsidRPr="004E4C01">
                                            <w:rPr>
                                              <w:b/>
                                              <w:color w:val="0D0D0D" w:themeColor="text1" w:themeTint="F2"/>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cNvPr id="2684" name="2684 Grupo"/>
                                    <wpg:cNvGrpSpPr/>
                                    <wpg:grpSpPr>
                                      <a:xfrm>
                                        <a:off x="0" y="0"/>
                                        <a:ext cx="5201213" cy="1959292"/>
                                        <a:chOff x="0" y="0"/>
                                        <a:chExt cx="5201213" cy="1959292"/>
                                      </a:xfrm>
                                    </wpg:grpSpPr>
                                    <wpg:grpSp>
                                      <wpg:cNvPr id="2685" name="2685 Grupo"/>
                                      <wpg:cNvGrpSpPr/>
                                      <wpg:grpSpPr>
                                        <a:xfrm>
                                          <a:off x="0" y="0"/>
                                          <a:ext cx="2553263" cy="1959292"/>
                                          <a:chOff x="0" y="0"/>
                                          <a:chExt cx="2554681" cy="1960962"/>
                                        </a:xfrm>
                                      </wpg:grpSpPr>
                                      <wps:wsp>
                                        <wps:cNvPr id="2686" name="2686 Rectángulo"/>
                                        <wps:cNvSpPr/>
                                        <wps:spPr>
                                          <a:xfrm>
                                            <a:off x="0" y="0"/>
                                            <a:ext cx="2554681" cy="1960962"/>
                                          </a:xfrm>
                                          <a:prstGeom prst="rect">
                                            <a:avLst/>
                                          </a:prstGeom>
                                          <a:noFill/>
                                          <a:ln w="6350" cap="flat" cmpd="sng" algn="ctr">
                                            <a:solidFill>
                                              <a:sysClr val="windowText" lastClr="000000">
                                                <a:lumMod val="95000"/>
                                                <a:lumOff val="5000"/>
                                              </a:sysClr>
                                            </a:solidFill>
                                            <a:prstDash val="solid"/>
                                          </a:ln>
                                          <a:effectLst/>
                                        </wps:spPr>
                                        <wps:txbx>
                                          <w:txbxContent>
                                            <w:p w14:paraId="10489AB2" w14:textId="77777777" w:rsidR="00D55F13" w:rsidRPr="004E4C01" w:rsidRDefault="00D55F13" w:rsidP="0065023A">
                                              <w:pPr>
                                                <w:rPr>
                                                  <w:b/>
                                                  <w:color w:val="0D0D0D" w:themeColor="text1" w:themeTint="F2"/>
                                                </w:rPr>
                                              </w:pPr>
                                              <w:r w:rsidRPr="004E4C01">
                                                <w:rPr>
                                                  <w:color w:val="0D0D0D" w:themeColor="text1" w:themeTint="F2"/>
                                                </w:rPr>
                                                <w:t xml:space="preserve">  </w:t>
                                              </w:r>
                                              <w:r w:rsidRPr="004E4C01">
                                                <w:rPr>
                                                  <w:b/>
                                                  <w:color w:val="0D0D0D" w:themeColor="text1" w:themeTint="F2"/>
                                                </w:rPr>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cNvPr id="2687" name="2687 Grupo"/>
                                        <wpg:cNvGrpSpPr/>
                                        <wpg:grpSpPr>
                                          <a:xfrm>
                                            <a:off x="54591" y="47768"/>
                                            <a:ext cx="2457861" cy="1724850"/>
                                            <a:chOff x="0" y="0"/>
                                            <a:chExt cx="1863725" cy="1307826"/>
                                          </a:xfrm>
                                        </wpg:grpSpPr>
                                        <wps:wsp>
                                          <wps:cNvPr id="2752" name="2752 Forma libre"/>
                                          <wps:cNvSpPr/>
                                          <wps:spPr>
                                            <a:xfrm>
                                              <a:off x="600186" y="374234"/>
                                              <a:ext cx="771525" cy="600075"/>
                                            </a:xfrm>
                                            <a:custGeom>
                                              <a:avLst/>
                                              <a:gdLst>
                                                <a:gd name="connsiteX0" fmla="*/ 0 w 771525"/>
                                                <a:gd name="connsiteY0" fmla="*/ 0 h 600075"/>
                                                <a:gd name="connsiteX1" fmla="*/ 365760 w 771525"/>
                                                <a:gd name="connsiteY1" fmla="*/ 171450 h 600075"/>
                                                <a:gd name="connsiteX2" fmla="*/ 771525 w 771525"/>
                                                <a:gd name="connsiteY2" fmla="*/ 129540 h 600075"/>
                                                <a:gd name="connsiteX3" fmla="*/ 706755 w 771525"/>
                                                <a:gd name="connsiteY3" fmla="*/ 365760 h 600075"/>
                                                <a:gd name="connsiteX4" fmla="*/ 93345 w 771525"/>
                                                <a:gd name="connsiteY4" fmla="*/ 600075 h 600075"/>
                                                <a:gd name="connsiteX5" fmla="*/ 0 w 771525"/>
                                                <a:gd name="connsiteY5" fmla="*/ 0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600075">
                                                  <a:moveTo>
                                                    <a:pt x="0" y="0"/>
                                                  </a:moveTo>
                                                  <a:lnTo>
                                                    <a:pt x="365760" y="171450"/>
                                                  </a:lnTo>
                                                  <a:lnTo>
                                                    <a:pt x="771525" y="129540"/>
                                                  </a:lnTo>
                                                  <a:lnTo>
                                                    <a:pt x="706755" y="365760"/>
                                                  </a:lnTo>
                                                  <a:lnTo>
                                                    <a:pt x="93345" y="600075"/>
                                                  </a:lnTo>
                                                  <a:lnTo>
                                                    <a:pt x="0" y="0"/>
                                                  </a:lnTo>
                                                  <a:close/>
                                                </a:path>
                                              </a:pathLst>
                                            </a:custGeom>
                                            <a:solidFill>
                                              <a:srgbClr val="00B0F0"/>
                                            </a:solidFill>
                                            <a:ln w="25400" cap="flat" cmpd="sng" algn="ctr">
                                              <a:noFill/>
                                              <a:prstDash val="solid"/>
                                            </a:ln>
                                            <a:effectLst/>
                                          </wps:spPr>
                                          <wps:txbx>
                                            <w:txbxContent>
                                              <w:p w14:paraId="4C6349E6" w14:textId="77777777" w:rsidR="00D55F13" w:rsidRPr="004E4C01" w:rsidRDefault="00D55F13" w:rsidP="0065023A">
                                                <w:pPr>
                                                  <w:jc w:val="center"/>
                                                  <w:rPr>
                                                    <w:color w:val="0D0D0D" w:themeColor="text1" w:themeTint="F2"/>
                                                    <w:sz w:val="20"/>
                                                    <w:szCs w:val="16"/>
                                                  </w:rPr>
                                                </w:pPr>
                                                <w:r w:rsidRPr="004E4C01">
                                                  <w:rPr>
                                                    <w:color w:val="0D0D0D" w:themeColor="text1" w:themeTint="F2"/>
                                                    <w:sz w:val="20"/>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3" name="2753 Grupo"/>
                                          <wpg:cNvGrpSpPr/>
                                          <wpg:grpSpPr>
                                            <a:xfrm>
                                              <a:off x="0" y="0"/>
                                              <a:ext cx="1863725" cy="1307826"/>
                                              <a:chOff x="0" y="0"/>
                                              <a:chExt cx="1863725" cy="1307826"/>
                                            </a:xfrm>
                                          </wpg:grpSpPr>
                                          <wpg:grpSp>
                                            <wpg:cNvPr id="2754" name="2754 Grupo"/>
                                            <wpg:cNvGrpSpPr/>
                                            <wpg:grpSpPr>
                                              <a:xfrm>
                                                <a:off x="0" y="0"/>
                                                <a:ext cx="1863725" cy="1307465"/>
                                                <a:chOff x="0" y="0"/>
                                                <a:chExt cx="1864287" cy="1307467"/>
                                              </a:xfrm>
                                            </wpg:grpSpPr>
                                            <wps:wsp>
                                              <wps:cNvPr id="2755" name="2755 Forma libre"/>
                                              <wps:cNvSpPr/>
                                              <wps:spPr>
                                                <a:xfrm>
                                                  <a:off x="574895" y="1"/>
                                                  <a:ext cx="1086259" cy="547408"/>
                                                </a:xfrm>
                                                <a:custGeom>
                                                  <a:avLst/>
                                                  <a:gdLst>
                                                    <a:gd name="connsiteX0" fmla="*/ 0 w 1050939"/>
                                                    <a:gd name="connsiteY0" fmla="*/ 372380 h 537882"/>
                                                    <a:gd name="connsiteX1" fmla="*/ 351692 w 1050939"/>
                                                    <a:gd name="connsiteY1" fmla="*/ 537882 h 537882"/>
                                                    <a:gd name="connsiteX2" fmla="*/ 761310 w 1050939"/>
                                                    <a:gd name="connsiteY2" fmla="*/ 504782 h 537882"/>
                                                    <a:gd name="connsiteX3" fmla="*/ 798548 w 1050939"/>
                                                    <a:gd name="connsiteY3" fmla="*/ 206877 h 537882"/>
                                                    <a:gd name="connsiteX4" fmla="*/ 1050939 w 1050939"/>
                                                    <a:gd name="connsiteY4" fmla="*/ 99301 h 537882"/>
                                                    <a:gd name="connsiteX5" fmla="*/ 384793 w 1050939"/>
                                                    <a:gd name="connsiteY5" fmla="*/ 0 h 537882"/>
                                                    <a:gd name="connsiteX6" fmla="*/ 0 w 1050939"/>
                                                    <a:gd name="connsiteY6" fmla="*/ 372380 h 537882"/>
                                                    <a:gd name="connsiteX0" fmla="*/ 0 w 1063639"/>
                                                    <a:gd name="connsiteY0" fmla="*/ 368171 h 537882"/>
                                                    <a:gd name="connsiteX1" fmla="*/ 36439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68171 h 537882"/>
                                                    <a:gd name="connsiteX0" fmla="*/ 0 w 1063639"/>
                                                    <a:gd name="connsiteY0" fmla="*/ 371501 h 537882"/>
                                                    <a:gd name="connsiteX1" fmla="*/ 36439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37882"/>
                                                    <a:gd name="connsiteX1" fmla="*/ 364507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37882"/>
                                                    <a:gd name="connsiteX1" fmla="*/ 36462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47446"/>
                                                    <a:gd name="connsiteX1" fmla="*/ 362831 w 1063639"/>
                                                    <a:gd name="connsiteY1" fmla="*/ 547446 h 547446"/>
                                                    <a:gd name="connsiteX2" fmla="*/ 774010 w 1063639"/>
                                                    <a:gd name="connsiteY2" fmla="*/ 504782 h 547446"/>
                                                    <a:gd name="connsiteX3" fmla="*/ 811248 w 1063639"/>
                                                    <a:gd name="connsiteY3" fmla="*/ 206877 h 547446"/>
                                                    <a:gd name="connsiteX4" fmla="*/ 1063639 w 1063639"/>
                                                    <a:gd name="connsiteY4" fmla="*/ 99301 h 547446"/>
                                                    <a:gd name="connsiteX5" fmla="*/ 397493 w 1063639"/>
                                                    <a:gd name="connsiteY5" fmla="*/ 0 h 547446"/>
                                                    <a:gd name="connsiteX6" fmla="*/ 0 w 1063639"/>
                                                    <a:gd name="connsiteY6" fmla="*/ 371501 h 547446"/>
                                                    <a:gd name="connsiteX0" fmla="*/ 0 w 1086273"/>
                                                    <a:gd name="connsiteY0" fmla="*/ 371216 h 547446"/>
                                                    <a:gd name="connsiteX1" fmla="*/ 385465 w 1086273"/>
                                                    <a:gd name="connsiteY1" fmla="*/ 547446 h 547446"/>
                                                    <a:gd name="connsiteX2" fmla="*/ 796644 w 1086273"/>
                                                    <a:gd name="connsiteY2" fmla="*/ 504782 h 547446"/>
                                                    <a:gd name="connsiteX3" fmla="*/ 833882 w 1086273"/>
                                                    <a:gd name="connsiteY3" fmla="*/ 206877 h 547446"/>
                                                    <a:gd name="connsiteX4" fmla="*/ 1086273 w 1086273"/>
                                                    <a:gd name="connsiteY4" fmla="*/ 99301 h 547446"/>
                                                    <a:gd name="connsiteX5" fmla="*/ 420127 w 1086273"/>
                                                    <a:gd name="connsiteY5" fmla="*/ 0 h 547446"/>
                                                    <a:gd name="connsiteX6" fmla="*/ 0 w 1086273"/>
                                                    <a:gd name="connsiteY6" fmla="*/ 371216 h 547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6273" h="547446">
                                                      <a:moveTo>
                                                        <a:pt x="0" y="371216"/>
                                                      </a:moveTo>
                                                      <a:lnTo>
                                                        <a:pt x="385465" y="547446"/>
                                                      </a:lnTo>
                                                      <a:lnTo>
                                                        <a:pt x="796644" y="504782"/>
                                                      </a:lnTo>
                                                      <a:lnTo>
                                                        <a:pt x="833882" y="206877"/>
                                                      </a:lnTo>
                                                      <a:lnTo>
                                                        <a:pt x="1086273" y="99301"/>
                                                      </a:lnTo>
                                                      <a:lnTo>
                                                        <a:pt x="420127" y="0"/>
                                                      </a:lnTo>
                                                      <a:lnTo>
                                                        <a:pt x="0" y="371216"/>
                                                      </a:lnTo>
                                                      <a:close/>
                                                    </a:path>
                                                  </a:pathLst>
                                                </a:custGeom>
                                                <a:solidFill>
                                                  <a:srgbClr val="FFC000"/>
                                                </a:solidFill>
                                                <a:ln w="25400" cap="flat" cmpd="sng" algn="ctr">
                                                  <a:noFill/>
                                                  <a:prstDash val="solid"/>
                                                </a:ln>
                                                <a:effectLst/>
                                              </wps:spPr>
                                              <wps:txbx>
                                                <w:txbxContent>
                                                  <w:p w14:paraId="1816CEFB" w14:textId="77777777" w:rsidR="00D55F13" w:rsidRPr="004E4C01" w:rsidRDefault="00D55F13" w:rsidP="0065023A">
                                                    <w:pPr>
                                                      <w:rPr>
                                                        <w:color w:val="0D0D0D" w:themeColor="text1" w:themeTint="F2"/>
                                                        <w:sz w:val="20"/>
                                                        <w:szCs w:val="16"/>
                                                      </w:rPr>
                                                    </w:pPr>
                                                    <w:r w:rsidRPr="004E4C01">
                                                      <w:rPr>
                                                        <w:color w:val="0D0D0D" w:themeColor="text1" w:themeTint="F2"/>
                                                        <w:sz w:val="20"/>
                                                        <w:szCs w:val="16"/>
                                                      </w:rPr>
                                                      <w:t xml:space="preserv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6" name="2756 Forma libre"/>
                                              <wps:cNvSpPr/>
                                              <wps:spPr>
                                                <a:xfrm>
                                                  <a:off x="0" y="0"/>
                                                  <a:ext cx="993014" cy="1307467"/>
                                                </a:xfrm>
                                                <a:custGeom>
                                                  <a:avLst/>
                                                  <a:gdLst>
                                                    <a:gd name="connsiteX0" fmla="*/ 471682 w 993014"/>
                                                    <a:gd name="connsiteY0" fmla="*/ 86888 h 1307467"/>
                                                    <a:gd name="connsiteX1" fmla="*/ 198603 w 993014"/>
                                                    <a:gd name="connsiteY1" fmla="*/ 281353 h 1307467"/>
                                                    <a:gd name="connsiteX2" fmla="*/ 0 w 993014"/>
                                                    <a:gd name="connsiteY2" fmla="*/ 753035 h 1307467"/>
                                                    <a:gd name="connsiteX3" fmla="*/ 132402 w 993014"/>
                                                    <a:gd name="connsiteY3" fmla="*/ 1150240 h 1307467"/>
                                                    <a:gd name="connsiteX4" fmla="*/ 575121 w 993014"/>
                                                    <a:gd name="connsiteY4" fmla="*/ 1307467 h 1307467"/>
                                                    <a:gd name="connsiteX5" fmla="*/ 695110 w 993014"/>
                                                    <a:gd name="connsiteY5" fmla="*/ 976463 h 1307467"/>
                                                    <a:gd name="connsiteX6" fmla="*/ 599946 w 993014"/>
                                                    <a:gd name="connsiteY6" fmla="*/ 368242 h 1307467"/>
                                                    <a:gd name="connsiteX7" fmla="*/ 993014 w 993014"/>
                                                    <a:gd name="connsiteY7" fmla="*/ 0 h 1307467"/>
                                                    <a:gd name="connsiteX8" fmla="*/ 471682 w 993014"/>
                                                    <a:gd name="connsiteY8" fmla="*/ 86888 h 1307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93014" h="1307467">
                                                      <a:moveTo>
                                                        <a:pt x="471682" y="86888"/>
                                                      </a:moveTo>
                                                      <a:lnTo>
                                                        <a:pt x="198603" y="281353"/>
                                                      </a:lnTo>
                                                      <a:lnTo>
                                                        <a:pt x="0" y="753035"/>
                                                      </a:lnTo>
                                                      <a:lnTo>
                                                        <a:pt x="132402" y="1150240"/>
                                                      </a:lnTo>
                                                      <a:lnTo>
                                                        <a:pt x="575121" y="1307467"/>
                                                      </a:lnTo>
                                                      <a:lnTo>
                                                        <a:pt x="695110" y="976463"/>
                                                      </a:lnTo>
                                                      <a:lnTo>
                                                        <a:pt x="599946" y="368242"/>
                                                      </a:lnTo>
                                                      <a:lnTo>
                                                        <a:pt x="993014" y="0"/>
                                                      </a:lnTo>
                                                      <a:lnTo>
                                                        <a:pt x="471682" y="86888"/>
                                                      </a:lnTo>
                                                      <a:close/>
                                                    </a:path>
                                                  </a:pathLst>
                                                </a:custGeom>
                                                <a:solidFill>
                                                  <a:srgbClr val="FF3300"/>
                                                </a:solidFill>
                                                <a:ln w="25400" cap="flat" cmpd="sng" algn="ctr">
                                                  <a:noFill/>
                                                  <a:prstDash val="solid"/>
                                                </a:ln>
                                                <a:effectLst/>
                                              </wps:spPr>
                                              <wps:txbx>
                                                <w:txbxContent>
                                                  <w:p w14:paraId="3E0F1F2B" w14:textId="77777777" w:rsidR="00D55F13" w:rsidRPr="004E4C01" w:rsidRDefault="00D55F13" w:rsidP="0065023A">
                                                    <w:pPr>
                                                      <w:rPr>
                                                        <w:color w:val="0D0D0D" w:themeColor="text1" w:themeTint="F2"/>
                                                        <w:sz w:val="20"/>
                                                        <w:szCs w:val="16"/>
                                                      </w:rPr>
                                                    </w:pPr>
                                                    <w:r w:rsidRPr="004E4C01">
                                                      <w:rPr>
                                                        <w:color w:val="0D0D0D" w:themeColor="text1" w:themeTint="F2"/>
                                                        <w:sz w:val="20"/>
                                                        <w:szCs w:val="16"/>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2757 Forma libre"/>
                                              <wps:cNvSpPr/>
                                              <wps:spPr>
                                                <a:xfrm>
                                                  <a:off x="1303084" y="95061"/>
                                                  <a:ext cx="561203" cy="929372"/>
                                                </a:xfrm>
                                                <a:custGeom>
                                                  <a:avLst/>
                                                  <a:gdLst>
                                                    <a:gd name="connsiteX0" fmla="*/ 345621 w 547007"/>
                                                    <a:gd name="connsiteY0" fmla="*/ 0 h 919843"/>
                                                    <a:gd name="connsiteX1" fmla="*/ 547007 w 547007"/>
                                                    <a:gd name="connsiteY1" fmla="*/ 462643 h 919843"/>
                                                    <a:gd name="connsiteX2" fmla="*/ 277586 w 547007"/>
                                                    <a:gd name="connsiteY2" fmla="*/ 919843 h 919843"/>
                                                    <a:gd name="connsiteX3" fmla="*/ 0 w 547007"/>
                                                    <a:gd name="connsiteY3" fmla="*/ 636814 h 919843"/>
                                                    <a:gd name="connsiteX4" fmla="*/ 51707 w 547007"/>
                                                    <a:gd name="connsiteY4" fmla="*/ 400050 h 919843"/>
                                                    <a:gd name="connsiteX5" fmla="*/ 89807 w 547007"/>
                                                    <a:gd name="connsiteY5" fmla="*/ 106136 h 919843"/>
                                                    <a:gd name="connsiteX6" fmla="*/ 345621 w 547007"/>
                                                    <a:gd name="connsiteY6" fmla="*/ 0 h 919843"/>
                                                    <a:gd name="connsiteX0" fmla="*/ 343706 w 547007"/>
                                                    <a:gd name="connsiteY0" fmla="*/ 0 h 919843"/>
                                                    <a:gd name="connsiteX1" fmla="*/ 547007 w 547007"/>
                                                    <a:gd name="connsiteY1" fmla="*/ 462643 h 919843"/>
                                                    <a:gd name="connsiteX2" fmla="*/ 277586 w 547007"/>
                                                    <a:gd name="connsiteY2" fmla="*/ 919843 h 919843"/>
                                                    <a:gd name="connsiteX3" fmla="*/ 0 w 547007"/>
                                                    <a:gd name="connsiteY3" fmla="*/ 636814 h 919843"/>
                                                    <a:gd name="connsiteX4" fmla="*/ 51707 w 547007"/>
                                                    <a:gd name="connsiteY4" fmla="*/ 400050 h 919843"/>
                                                    <a:gd name="connsiteX5" fmla="*/ 89807 w 547007"/>
                                                    <a:gd name="connsiteY5" fmla="*/ 106136 h 919843"/>
                                                    <a:gd name="connsiteX6" fmla="*/ 343706 w 547007"/>
                                                    <a:gd name="connsiteY6" fmla="*/ 0 h 919843"/>
                                                    <a:gd name="connsiteX0" fmla="*/ 343706 w 547007"/>
                                                    <a:gd name="connsiteY0" fmla="*/ 0 h 929372"/>
                                                    <a:gd name="connsiteX1" fmla="*/ 547007 w 547007"/>
                                                    <a:gd name="connsiteY1" fmla="*/ 472172 h 929372"/>
                                                    <a:gd name="connsiteX2" fmla="*/ 277586 w 547007"/>
                                                    <a:gd name="connsiteY2" fmla="*/ 929372 h 929372"/>
                                                    <a:gd name="connsiteX3" fmla="*/ 0 w 547007"/>
                                                    <a:gd name="connsiteY3" fmla="*/ 646343 h 929372"/>
                                                    <a:gd name="connsiteX4" fmla="*/ 51707 w 547007"/>
                                                    <a:gd name="connsiteY4" fmla="*/ 409579 h 929372"/>
                                                    <a:gd name="connsiteX5" fmla="*/ 89807 w 547007"/>
                                                    <a:gd name="connsiteY5" fmla="*/ 115665 h 929372"/>
                                                    <a:gd name="connsiteX6" fmla="*/ 343706 w 547007"/>
                                                    <a:gd name="connsiteY6" fmla="*/ 0 h 929372"/>
                                                    <a:gd name="connsiteX0" fmla="*/ 343706 w 547007"/>
                                                    <a:gd name="connsiteY0" fmla="*/ 0 h 929372"/>
                                                    <a:gd name="connsiteX1" fmla="*/ 547007 w 547007"/>
                                                    <a:gd name="connsiteY1" fmla="*/ 472172 h 929372"/>
                                                    <a:gd name="connsiteX2" fmla="*/ 277586 w 547007"/>
                                                    <a:gd name="connsiteY2" fmla="*/ 929372 h 929372"/>
                                                    <a:gd name="connsiteX3" fmla="*/ 0 w 547007"/>
                                                    <a:gd name="connsiteY3" fmla="*/ 646343 h 929372"/>
                                                    <a:gd name="connsiteX4" fmla="*/ 51707 w 547007"/>
                                                    <a:gd name="connsiteY4" fmla="*/ 409579 h 929372"/>
                                                    <a:gd name="connsiteX5" fmla="*/ 89834 w 547007"/>
                                                    <a:gd name="connsiteY5" fmla="*/ 105528 h 929372"/>
                                                    <a:gd name="connsiteX6" fmla="*/ 343706 w 547007"/>
                                                    <a:gd name="connsiteY6" fmla="*/ 0 h 929372"/>
                                                    <a:gd name="connsiteX0" fmla="*/ 357902 w 561203"/>
                                                    <a:gd name="connsiteY0" fmla="*/ 0 h 929372"/>
                                                    <a:gd name="connsiteX1" fmla="*/ 561203 w 561203"/>
                                                    <a:gd name="connsiteY1" fmla="*/ 472172 h 929372"/>
                                                    <a:gd name="connsiteX2" fmla="*/ 291782 w 561203"/>
                                                    <a:gd name="connsiteY2" fmla="*/ 929372 h 929372"/>
                                                    <a:gd name="connsiteX3" fmla="*/ 0 w 561203"/>
                                                    <a:gd name="connsiteY3" fmla="*/ 644317 h 929372"/>
                                                    <a:gd name="connsiteX4" fmla="*/ 65903 w 561203"/>
                                                    <a:gd name="connsiteY4" fmla="*/ 409579 h 929372"/>
                                                    <a:gd name="connsiteX5" fmla="*/ 104030 w 561203"/>
                                                    <a:gd name="connsiteY5" fmla="*/ 105528 h 929372"/>
                                                    <a:gd name="connsiteX6" fmla="*/ 357902 w 561203"/>
                                                    <a:gd name="connsiteY6" fmla="*/ 0 h 929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203" h="929372">
                                                      <a:moveTo>
                                                        <a:pt x="357902" y="0"/>
                                                      </a:moveTo>
                                                      <a:lnTo>
                                                        <a:pt x="561203" y="472172"/>
                                                      </a:lnTo>
                                                      <a:lnTo>
                                                        <a:pt x="291782" y="929372"/>
                                                      </a:lnTo>
                                                      <a:lnTo>
                                                        <a:pt x="0" y="644317"/>
                                                      </a:lnTo>
                                                      <a:lnTo>
                                                        <a:pt x="65903" y="409579"/>
                                                      </a:lnTo>
                                                      <a:lnTo>
                                                        <a:pt x="104030" y="105528"/>
                                                      </a:lnTo>
                                                      <a:lnTo>
                                                        <a:pt x="357902" y="0"/>
                                                      </a:lnTo>
                                                      <a:close/>
                                                    </a:path>
                                                  </a:pathLst>
                                                </a:custGeom>
                                                <a:solidFill>
                                                  <a:srgbClr val="D60093"/>
                                                </a:solidFill>
                                                <a:ln w="25400" cap="flat" cmpd="sng" algn="ctr">
                                                  <a:noFill/>
                                                  <a:prstDash val="solid"/>
                                                </a:ln>
                                                <a:effectLst/>
                                              </wps:spPr>
                                              <wps:txbx>
                                                <w:txbxContent>
                                                  <w:p w14:paraId="652B7FFF" w14:textId="77777777" w:rsidR="00D55F13" w:rsidRPr="004E4C01" w:rsidRDefault="00D55F13" w:rsidP="0065023A">
                                                    <w:pPr>
                                                      <w:jc w:val="center"/>
                                                      <w:rPr>
                                                        <w:color w:val="0D0D0D" w:themeColor="text1" w:themeTint="F2"/>
                                                        <w:sz w:val="20"/>
                                                        <w:szCs w:val="16"/>
                                                      </w:rPr>
                                                    </w:pPr>
                                                    <w:r w:rsidRPr="004E4C01">
                                                      <w:rPr>
                                                        <w:color w:val="0D0D0D" w:themeColor="text1" w:themeTint="F2"/>
                                                        <w:sz w:val="20"/>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58" name="2758 Forma libre"/>
                                            <wps:cNvSpPr/>
                                            <wps:spPr>
                                              <a:xfrm>
                                                <a:off x="571941" y="741406"/>
                                                <a:ext cx="1019763" cy="566420"/>
                                              </a:xfrm>
                                              <a:custGeom>
                                                <a:avLst/>
                                                <a:gdLst>
                                                  <a:gd name="connsiteX0" fmla="*/ 0 w 1017270"/>
                                                  <a:gd name="connsiteY0" fmla="*/ 567690 h 567690"/>
                                                  <a:gd name="connsiteX1" fmla="*/ 120015 w 1017270"/>
                                                  <a:gd name="connsiteY1" fmla="*/ 230505 h 567690"/>
                                                  <a:gd name="connsiteX2" fmla="*/ 729615 w 1017270"/>
                                                  <a:gd name="connsiteY2" fmla="*/ 0 h 567690"/>
                                                  <a:gd name="connsiteX3" fmla="*/ 1017270 w 1017270"/>
                                                  <a:gd name="connsiteY3" fmla="*/ 281940 h 567690"/>
                                                  <a:gd name="connsiteX4" fmla="*/ 575310 w 1017270"/>
                                                  <a:gd name="connsiteY4" fmla="*/ 550545 h 567690"/>
                                                  <a:gd name="connsiteX5" fmla="*/ 0 w 1017270"/>
                                                  <a:gd name="connsiteY5" fmla="*/ 567690 h 567690"/>
                                                  <a:gd name="connsiteX0" fmla="*/ 0 w 1019763"/>
                                                  <a:gd name="connsiteY0" fmla="*/ 566420 h 566420"/>
                                                  <a:gd name="connsiteX1" fmla="*/ 122508 w 1019763"/>
                                                  <a:gd name="connsiteY1" fmla="*/ 230505 h 566420"/>
                                                  <a:gd name="connsiteX2" fmla="*/ 732108 w 1019763"/>
                                                  <a:gd name="connsiteY2" fmla="*/ 0 h 566420"/>
                                                  <a:gd name="connsiteX3" fmla="*/ 1019763 w 1019763"/>
                                                  <a:gd name="connsiteY3" fmla="*/ 281940 h 566420"/>
                                                  <a:gd name="connsiteX4" fmla="*/ 577803 w 1019763"/>
                                                  <a:gd name="connsiteY4" fmla="*/ 550545 h 566420"/>
                                                  <a:gd name="connsiteX5" fmla="*/ 0 w 1019763"/>
                                                  <a:gd name="connsiteY5" fmla="*/ 566420 h 566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19763" h="566420">
                                                    <a:moveTo>
                                                      <a:pt x="0" y="566420"/>
                                                    </a:moveTo>
                                                    <a:lnTo>
                                                      <a:pt x="122508" y="230505"/>
                                                    </a:lnTo>
                                                    <a:lnTo>
                                                      <a:pt x="732108" y="0"/>
                                                    </a:lnTo>
                                                    <a:lnTo>
                                                      <a:pt x="1019763" y="281940"/>
                                                    </a:lnTo>
                                                    <a:lnTo>
                                                      <a:pt x="577803" y="550545"/>
                                                    </a:lnTo>
                                                    <a:lnTo>
                                                      <a:pt x="0" y="566420"/>
                                                    </a:lnTo>
                                                    <a:close/>
                                                  </a:path>
                                                </a:pathLst>
                                              </a:custGeom>
                                              <a:solidFill>
                                                <a:srgbClr val="92D050"/>
                                              </a:solidFill>
                                              <a:ln w="25400" cap="flat" cmpd="sng" algn="ctr">
                                                <a:noFill/>
                                                <a:prstDash val="solid"/>
                                              </a:ln>
                                              <a:effectLst/>
                                            </wps:spPr>
                                            <wps:txbx>
                                              <w:txbxContent>
                                                <w:p w14:paraId="50DA4F80" w14:textId="77777777" w:rsidR="00D55F13" w:rsidRPr="004E4C01" w:rsidRDefault="00D55F13" w:rsidP="0065023A">
                                                  <w:pPr>
                                                    <w:jc w:val="center"/>
                                                    <w:rPr>
                                                      <w:color w:val="0D0D0D" w:themeColor="text1" w:themeTint="F2"/>
                                                      <w:sz w:val="20"/>
                                                      <w:szCs w:val="16"/>
                                                    </w:rPr>
                                                  </w:pPr>
                                                  <w:r w:rsidRPr="004E4C01">
                                                    <w:rPr>
                                                      <w:color w:val="0D0D0D" w:themeColor="text1" w:themeTint="F2"/>
                                                      <w:sz w:val="20"/>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759" name="2759 Grupo"/>
                                      <wpg:cNvGrpSpPr/>
                                      <wpg:grpSpPr>
                                        <a:xfrm>
                                          <a:off x="2647950" y="0"/>
                                          <a:ext cx="2553263" cy="1959292"/>
                                          <a:chOff x="0" y="0"/>
                                          <a:chExt cx="2554681" cy="1960962"/>
                                        </a:xfrm>
                                      </wpg:grpSpPr>
                                      <wps:wsp>
                                        <wps:cNvPr id="2760" name="2760 Rectángulo"/>
                                        <wps:cNvSpPr/>
                                        <wps:spPr>
                                          <a:xfrm>
                                            <a:off x="0" y="0"/>
                                            <a:ext cx="2554681" cy="1960962"/>
                                          </a:xfrm>
                                          <a:prstGeom prst="rect">
                                            <a:avLst/>
                                          </a:prstGeom>
                                          <a:noFill/>
                                          <a:ln w="6350" cap="flat" cmpd="sng" algn="ctr">
                                            <a:solidFill>
                                              <a:sysClr val="windowText" lastClr="000000">
                                                <a:lumMod val="95000"/>
                                                <a:lumOff val="5000"/>
                                              </a:sysClr>
                                            </a:solidFill>
                                            <a:prstDash val="solid"/>
                                          </a:ln>
                                          <a:effectLst/>
                                        </wps:spPr>
                                        <wps:txbx>
                                          <w:txbxContent>
                                            <w:p w14:paraId="6228B09F" w14:textId="77777777" w:rsidR="00D55F13" w:rsidRPr="004E4C01" w:rsidRDefault="00D55F13" w:rsidP="0065023A">
                                              <w:pPr>
                                                <w:rPr>
                                                  <w:b/>
                                                  <w:color w:val="0D0D0D" w:themeColor="text1" w:themeTint="F2"/>
                                                </w:rPr>
                                              </w:pPr>
                                              <w:r w:rsidRPr="004E4C01">
                                                <w:rPr>
                                                  <w:color w:val="0D0D0D" w:themeColor="text1" w:themeTint="F2"/>
                                                </w:rPr>
                                                <w:t xml:space="preserve">  </w:t>
                                              </w:r>
                                              <w:r w:rsidRPr="004E4C01">
                                                <w:rPr>
                                                  <w:b/>
                                                  <w:color w:val="0D0D0D" w:themeColor="text1" w:themeTint="F2"/>
                                                </w:rPr>
                                                <w:t>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cNvPr id="2761" name="2761 Grupo"/>
                                        <wpg:cNvGrpSpPr/>
                                        <wpg:grpSpPr>
                                          <a:xfrm>
                                            <a:off x="54429" y="54428"/>
                                            <a:ext cx="2457861" cy="1724850"/>
                                            <a:chOff x="0" y="0"/>
                                            <a:chExt cx="2457861" cy="1724850"/>
                                          </a:xfrm>
                                        </wpg:grpSpPr>
                                        <wpg:grpSp>
                                          <wpg:cNvPr id="2762" name="2762 Grupo"/>
                                          <wpg:cNvGrpSpPr/>
                                          <wpg:grpSpPr>
                                            <a:xfrm>
                                              <a:off x="0" y="0"/>
                                              <a:ext cx="2457861" cy="1724850"/>
                                              <a:chOff x="0" y="0"/>
                                              <a:chExt cx="1863725" cy="1307465"/>
                                            </a:xfrm>
                                          </wpg:grpSpPr>
                                          <wpg:grpSp>
                                            <wpg:cNvPr id="2763" name="2763 Grupo"/>
                                            <wpg:cNvGrpSpPr/>
                                            <wpg:grpSpPr>
                                              <a:xfrm>
                                                <a:off x="0" y="0"/>
                                                <a:ext cx="1863725" cy="1307465"/>
                                                <a:chOff x="0" y="0"/>
                                                <a:chExt cx="1863725" cy="1307826"/>
                                              </a:xfrm>
                                            </wpg:grpSpPr>
                                            <wps:wsp>
                                              <wps:cNvPr id="2764" name="2764 Forma libre"/>
                                              <wps:cNvSpPr/>
                                              <wps:spPr>
                                                <a:xfrm>
                                                  <a:off x="600186" y="374234"/>
                                                  <a:ext cx="771525" cy="600075"/>
                                                </a:xfrm>
                                                <a:custGeom>
                                                  <a:avLst/>
                                                  <a:gdLst>
                                                    <a:gd name="connsiteX0" fmla="*/ 0 w 771525"/>
                                                    <a:gd name="connsiteY0" fmla="*/ 0 h 600075"/>
                                                    <a:gd name="connsiteX1" fmla="*/ 365760 w 771525"/>
                                                    <a:gd name="connsiteY1" fmla="*/ 171450 h 600075"/>
                                                    <a:gd name="connsiteX2" fmla="*/ 771525 w 771525"/>
                                                    <a:gd name="connsiteY2" fmla="*/ 129540 h 600075"/>
                                                    <a:gd name="connsiteX3" fmla="*/ 706755 w 771525"/>
                                                    <a:gd name="connsiteY3" fmla="*/ 365760 h 600075"/>
                                                    <a:gd name="connsiteX4" fmla="*/ 93345 w 771525"/>
                                                    <a:gd name="connsiteY4" fmla="*/ 600075 h 600075"/>
                                                    <a:gd name="connsiteX5" fmla="*/ 0 w 771525"/>
                                                    <a:gd name="connsiteY5" fmla="*/ 0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600075">
                                                      <a:moveTo>
                                                        <a:pt x="0" y="0"/>
                                                      </a:moveTo>
                                                      <a:lnTo>
                                                        <a:pt x="365760" y="171450"/>
                                                      </a:lnTo>
                                                      <a:lnTo>
                                                        <a:pt x="771525" y="129540"/>
                                                      </a:lnTo>
                                                      <a:lnTo>
                                                        <a:pt x="706755" y="365760"/>
                                                      </a:lnTo>
                                                      <a:lnTo>
                                                        <a:pt x="93345" y="600075"/>
                                                      </a:lnTo>
                                                      <a:lnTo>
                                                        <a:pt x="0" y="0"/>
                                                      </a:lnTo>
                                                      <a:close/>
                                                    </a:path>
                                                  </a:pathLst>
                                                </a:custGeom>
                                                <a:solidFill>
                                                  <a:srgbClr val="00B0F0"/>
                                                </a:solidFill>
                                                <a:ln w="25400" cap="flat" cmpd="sng" algn="ctr">
                                                  <a:noFill/>
                                                  <a:prstDash val="solid"/>
                                                </a:ln>
                                                <a:effectLst/>
                                              </wps:spPr>
                                              <wps:txbx>
                                                <w:txbxContent>
                                                  <w:p w14:paraId="4E0CBCC5"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D</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65" name="2765 Grupo"/>
                                              <wpg:cNvGrpSpPr/>
                                              <wpg:grpSpPr>
                                                <a:xfrm>
                                                  <a:off x="0" y="0"/>
                                                  <a:ext cx="1863725" cy="1307826"/>
                                                  <a:chOff x="0" y="0"/>
                                                  <a:chExt cx="1863725" cy="1307826"/>
                                                </a:xfrm>
                                              </wpg:grpSpPr>
                                              <wpg:grpSp>
                                                <wpg:cNvPr id="2766" name="2766 Grupo"/>
                                                <wpg:cNvGrpSpPr/>
                                                <wpg:grpSpPr>
                                                  <a:xfrm>
                                                    <a:off x="0" y="0"/>
                                                    <a:ext cx="1863725" cy="1307465"/>
                                                    <a:chOff x="0" y="0"/>
                                                    <a:chExt cx="1864287" cy="1307467"/>
                                                  </a:xfrm>
                                                </wpg:grpSpPr>
                                                <wps:wsp>
                                                  <wps:cNvPr id="2767" name="2767 Forma libre"/>
                                                  <wps:cNvSpPr/>
                                                  <wps:spPr>
                                                    <a:xfrm>
                                                      <a:off x="1303084" y="95061"/>
                                                      <a:ext cx="561203" cy="929372"/>
                                                    </a:xfrm>
                                                    <a:custGeom>
                                                      <a:avLst/>
                                                      <a:gdLst>
                                                        <a:gd name="connsiteX0" fmla="*/ 345621 w 547007"/>
                                                        <a:gd name="connsiteY0" fmla="*/ 0 h 919843"/>
                                                        <a:gd name="connsiteX1" fmla="*/ 547007 w 547007"/>
                                                        <a:gd name="connsiteY1" fmla="*/ 462643 h 919843"/>
                                                        <a:gd name="connsiteX2" fmla="*/ 277586 w 547007"/>
                                                        <a:gd name="connsiteY2" fmla="*/ 919843 h 919843"/>
                                                        <a:gd name="connsiteX3" fmla="*/ 0 w 547007"/>
                                                        <a:gd name="connsiteY3" fmla="*/ 636814 h 919843"/>
                                                        <a:gd name="connsiteX4" fmla="*/ 51707 w 547007"/>
                                                        <a:gd name="connsiteY4" fmla="*/ 400050 h 919843"/>
                                                        <a:gd name="connsiteX5" fmla="*/ 89807 w 547007"/>
                                                        <a:gd name="connsiteY5" fmla="*/ 106136 h 919843"/>
                                                        <a:gd name="connsiteX6" fmla="*/ 345621 w 547007"/>
                                                        <a:gd name="connsiteY6" fmla="*/ 0 h 919843"/>
                                                        <a:gd name="connsiteX0" fmla="*/ 343706 w 547007"/>
                                                        <a:gd name="connsiteY0" fmla="*/ 0 h 919843"/>
                                                        <a:gd name="connsiteX1" fmla="*/ 547007 w 547007"/>
                                                        <a:gd name="connsiteY1" fmla="*/ 462643 h 919843"/>
                                                        <a:gd name="connsiteX2" fmla="*/ 277586 w 547007"/>
                                                        <a:gd name="connsiteY2" fmla="*/ 919843 h 919843"/>
                                                        <a:gd name="connsiteX3" fmla="*/ 0 w 547007"/>
                                                        <a:gd name="connsiteY3" fmla="*/ 636814 h 919843"/>
                                                        <a:gd name="connsiteX4" fmla="*/ 51707 w 547007"/>
                                                        <a:gd name="connsiteY4" fmla="*/ 400050 h 919843"/>
                                                        <a:gd name="connsiteX5" fmla="*/ 89807 w 547007"/>
                                                        <a:gd name="connsiteY5" fmla="*/ 106136 h 919843"/>
                                                        <a:gd name="connsiteX6" fmla="*/ 343706 w 547007"/>
                                                        <a:gd name="connsiteY6" fmla="*/ 0 h 919843"/>
                                                        <a:gd name="connsiteX0" fmla="*/ 343706 w 547007"/>
                                                        <a:gd name="connsiteY0" fmla="*/ 0 h 929372"/>
                                                        <a:gd name="connsiteX1" fmla="*/ 547007 w 547007"/>
                                                        <a:gd name="connsiteY1" fmla="*/ 472172 h 929372"/>
                                                        <a:gd name="connsiteX2" fmla="*/ 277586 w 547007"/>
                                                        <a:gd name="connsiteY2" fmla="*/ 929372 h 929372"/>
                                                        <a:gd name="connsiteX3" fmla="*/ 0 w 547007"/>
                                                        <a:gd name="connsiteY3" fmla="*/ 646343 h 929372"/>
                                                        <a:gd name="connsiteX4" fmla="*/ 51707 w 547007"/>
                                                        <a:gd name="connsiteY4" fmla="*/ 409579 h 929372"/>
                                                        <a:gd name="connsiteX5" fmla="*/ 89807 w 547007"/>
                                                        <a:gd name="connsiteY5" fmla="*/ 115665 h 929372"/>
                                                        <a:gd name="connsiteX6" fmla="*/ 343706 w 547007"/>
                                                        <a:gd name="connsiteY6" fmla="*/ 0 h 929372"/>
                                                        <a:gd name="connsiteX0" fmla="*/ 343706 w 547007"/>
                                                        <a:gd name="connsiteY0" fmla="*/ 0 h 929372"/>
                                                        <a:gd name="connsiteX1" fmla="*/ 547007 w 547007"/>
                                                        <a:gd name="connsiteY1" fmla="*/ 472172 h 929372"/>
                                                        <a:gd name="connsiteX2" fmla="*/ 277586 w 547007"/>
                                                        <a:gd name="connsiteY2" fmla="*/ 929372 h 929372"/>
                                                        <a:gd name="connsiteX3" fmla="*/ 0 w 547007"/>
                                                        <a:gd name="connsiteY3" fmla="*/ 646343 h 929372"/>
                                                        <a:gd name="connsiteX4" fmla="*/ 51707 w 547007"/>
                                                        <a:gd name="connsiteY4" fmla="*/ 409579 h 929372"/>
                                                        <a:gd name="connsiteX5" fmla="*/ 89834 w 547007"/>
                                                        <a:gd name="connsiteY5" fmla="*/ 105528 h 929372"/>
                                                        <a:gd name="connsiteX6" fmla="*/ 343706 w 547007"/>
                                                        <a:gd name="connsiteY6" fmla="*/ 0 h 929372"/>
                                                        <a:gd name="connsiteX0" fmla="*/ 357902 w 561203"/>
                                                        <a:gd name="connsiteY0" fmla="*/ 0 h 929372"/>
                                                        <a:gd name="connsiteX1" fmla="*/ 561203 w 561203"/>
                                                        <a:gd name="connsiteY1" fmla="*/ 472172 h 929372"/>
                                                        <a:gd name="connsiteX2" fmla="*/ 291782 w 561203"/>
                                                        <a:gd name="connsiteY2" fmla="*/ 929372 h 929372"/>
                                                        <a:gd name="connsiteX3" fmla="*/ 0 w 561203"/>
                                                        <a:gd name="connsiteY3" fmla="*/ 644317 h 929372"/>
                                                        <a:gd name="connsiteX4" fmla="*/ 65903 w 561203"/>
                                                        <a:gd name="connsiteY4" fmla="*/ 409579 h 929372"/>
                                                        <a:gd name="connsiteX5" fmla="*/ 104030 w 561203"/>
                                                        <a:gd name="connsiteY5" fmla="*/ 105528 h 929372"/>
                                                        <a:gd name="connsiteX6" fmla="*/ 357902 w 561203"/>
                                                        <a:gd name="connsiteY6" fmla="*/ 0 h 929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203" h="929372">
                                                          <a:moveTo>
                                                            <a:pt x="357902" y="0"/>
                                                          </a:moveTo>
                                                          <a:lnTo>
                                                            <a:pt x="561203" y="472172"/>
                                                          </a:lnTo>
                                                          <a:lnTo>
                                                            <a:pt x="291782" y="929372"/>
                                                          </a:lnTo>
                                                          <a:lnTo>
                                                            <a:pt x="0" y="644317"/>
                                                          </a:lnTo>
                                                          <a:lnTo>
                                                            <a:pt x="65903" y="409579"/>
                                                          </a:lnTo>
                                                          <a:lnTo>
                                                            <a:pt x="104030" y="105528"/>
                                                          </a:lnTo>
                                                          <a:lnTo>
                                                            <a:pt x="357902" y="0"/>
                                                          </a:lnTo>
                                                          <a:close/>
                                                        </a:path>
                                                      </a:pathLst>
                                                    </a:custGeom>
                                                    <a:solidFill>
                                                      <a:srgbClr val="D60093"/>
                                                    </a:solidFill>
                                                    <a:ln w="25400" cap="flat" cmpd="sng" algn="ctr">
                                                      <a:noFill/>
                                                      <a:prstDash val="solid"/>
                                                    </a:ln>
                                                    <a:effectLst/>
                                                  </wps:spPr>
                                                  <wps:txbx>
                                                    <w:txbxContent>
                                                      <w:p w14:paraId="59B2B8D1"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8" name="2768 Forma libre"/>
                                                  <wps:cNvSpPr/>
                                                  <wps:spPr>
                                                    <a:xfrm>
                                                      <a:off x="574895" y="1"/>
                                                      <a:ext cx="1086259" cy="547408"/>
                                                    </a:xfrm>
                                                    <a:custGeom>
                                                      <a:avLst/>
                                                      <a:gdLst>
                                                        <a:gd name="connsiteX0" fmla="*/ 0 w 1050939"/>
                                                        <a:gd name="connsiteY0" fmla="*/ 372380 h 537882"/>
                                                        <a:gd name="connsiteX1" fmla="*/ 351692 w 1050939"/>
                                                        <a:gd name="connsiteY1" fmla="*/ 537882 h 537882"/>
                                                        <a:gd name="connsiteX2" fmla="*/ 761310 w 1050939"/>
                                                        <a:gd name="connsiteY2" fmla="*/ 504782 h 537882"/>
                                                        <a:gd name="connsiteX3" fmla="*/ 798548 w 1050939"/>
                                                        <a:gd name="connsiteY3" fmla="*/ 206877 h 537882"/>
                                                        <a:gd name="connsiteX4" fmla="*/ 1050939 w 1050939"/>
                                                        <a:gd name="connsiteY4" fmla="*/ 99301 h 537882"/>
                                                        <a:gd name="connsiteX5" fmla="*/ 384793 w 1050939"/>
                                                        <a:gd name="connsiteY5" fmla="*/ 0 h 537882"/>
                                                        <a:gd name="connsiteX6" fmla="*/ 0 w 1050939"/>
                                                        <a:gd name="connsiteY6" fmla="*/ 372380 h 537882"/>
                                                        <a:gd name="connsiteX0" fmla="*/ 0 w 1063639"/>
                                                        <a:gd name="connsiteY0" fmla="*/ 368171 h 537882"/>
                                                        <a:gd name="connsiteX1" fmla="*/ 36439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68171 h 537882"/>
                                                        <a:gd name="connsiteX0" fmla="*/ 0 w 1063639"/>
                                                        <a:gd name="connsiteY0" fmla="*/ 371501 h 537882"/>
                                                        <a:gd name="connsiteX1" fmla="*/ 36439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37882"/>
                                                        <a:gd name="connsiteX1" fmla="*/ 364507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37882"/>
                                                        <a:gd name="connsiteX1" fmla="*/ 36462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47446"/>
                                                        <a:gd name="connsiteX1" fmla="*/ 362831 w 1063639"/>
                                                        <a:gd name="connsiteY1" fmla="*/ 547446 h 547446"/>
                                                        <a:gd name="connsiteX2" fmla="*/ 774010 w 1063639"/>
                                                        <a:gd name="connsiteY2" fmla="*/ 504782 h 547446"/>
                                                        <a:gd name="connsiteX3" fmla="*/ 811248 w 1063639"/>
                                                        <a:gd name="connsiteY3" fmla="*/ 206877 h 547446"/>
                                                        <a:gd name="connsiteX4" fmla="*/ 1063639 w 1063639"/>
                                                        <a:gd name="connsiteY4" fmla="*/ 99301 h 547446"/>
                                                        <a:gd name="connsiteX5" fmla="*/ 397493 w 1063639"/>
                                                        <a:gd name="connsiteY5" fmla="*/ 0 h 547446"/>
                                                        <a:gd name="connsiteX6" fmla="*/ 0 w 1063639"/>
                                                        <a:gd name="connsiteY6" fmla="*/ 371501 h 547446"/>
                                                        <a:gd name="connsiteX0" fmla="*/ 0 w 1086273"/>
                                                        <a:gd name="connsiteY0" fmla="*/ 371216 h 547446"/>
                                                        <a:gd name="connsiteX1" fmla="*/ 385465 w 1086273"/>
                                                        <a:gd name="connsiteY1" fmla="*/ 547446 h 547446"/>
                                                        <a:gd name="connsiteX2" fmla="*/ 796644 w 1086273"/>
                                                        <a:gd name="connsiteY2" fmla="*/ 504782 h 547446"/>
                                                        <a:gd name="connsiteX3" fmla="*/ 833882 w 1086273"/>
                                                        <a:gd name="connsiteY3" fmla="*/ 206877 h 547446"/>
                                                        <a:gd name="connsiteX4" fmla="*/ 1086273 w 1086273"/>
                                                        <a:gd name="connsiteY4" fmla="*/ 99301 h 547446"/>
                                                        <a:gd name="connsiteX5" fmla="*/ 420127 w 1086273"/>
                                                        <a:gd name="connsiteY5" fmla="*/ 0 h 547446"/>
                                                        <a:gd name="connsiteX6" fmla="*/ 0 w 1086273"/>
                                                        <a:gd name="connsiteY6" fmla="*/ 371216 h 547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6273" h="547446">
                                                          <a:moveTo>
                                                            <a:pt x="0" y="371216"/>
                                                          </a:moveTo>
                                                          <a:lnTo>
                                                            <a:pt x="385465" y="547446"/>
                                                          </a:lnTo>
                                                          <a:lnTo>
                                                            <a:pt x="796644" y="504782"/>
                                                          </a:lnTo>
                                                          <a:lnTo>
                                                            <a:pt x="833882" y="206877"/>
                                                          </a:lnTo>
                                                          <a:lnTo>
                                                            <a:pt x="1086273" y="99301"/>
                                                          </a:lnTo>
                                                          <a:lnTo>
                                                            <a:pt x="420127" y="0"/>
                                                          </a:lnTo>
                                                          <a:lnTo>
                                                            <a:pt x="0" y="371216"/>
                                                          </a:lnTo>
                                                          <a:close/>
                                                        </a:path>
                                                      </a:pathLst>
                                                    </a:custGeom>
                                                    <a:solidFill>
                                                      <a:srgbClr val="FFC000"/>
                                                    </a:solidFill>
                                                    <a:ln w="25400" cap="flat" cmpd="sng" algn="ctr">
                                                      <a:noFill/>
                                                      <a:prstDash val="solid"/>
                                                    </a:ln>
                                                    <a:effectLst/>
                                                  </wps:spPr>
                                                  <wps:txbx>
                                                    <w:txbxContent>
                                                      <w:p w14:paraId="38690F4E"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B</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9" name="2769 Forma libre"/>
                                                  <wps:cNvSpPr/>
                                                  <wps:spPr>
                                                    <a:xfrm>
                                                      <a:off x="0" y="0"/>
                                                      <a:ext cx="993014" cy="1307467"/>
                                                    </a:xfrm>
                                                    <a:custGeom>
                                                      <a:avLst/>
                                                      <a:gdLst>
                                                        <a:gd name="connsiteX0" fmla="*/ 471682 w 993014"/>
                                                        <a:gd name="connsiteY0" fmla="*/ 86888 h 1307467"/>
                                                        <a:gd name="connsiteX1" fmla="*/ 198603 w 993014"/>
                                                        <a:gd name="connsiteY1" fmla="*/ 281353 h 1307467"/>
                                                        <a:gd name="connsiteX2" fmla="*/ 0 w 993014"/>
                                                        <a:gd name="connsiteY2" fmla="*/ 753035 h 1307467"/>
                                                        <a:gd name="connsiteX3" fmla="*/ 132402 w 993014"/>
                                                        <a:gd name="connsiteY3" fmla="*/ 1150240 h 1307467"/>
                                                        <a:gd name="connsiteX4" fmla="*/ 575121 w 993014"/>
                                                        <a:gd name="connsiteY4" fmla="*/ 1307467 h 1307467"/>
                                                        <a:gd name="connsiteX5" fmla="*/ 695110 w 993014"/>
                                                        <a:gd name="connsiteY5" fmla="*/ 976463 h 1307467"/>
                                                        <a:gd name="connsiteX6" fmla="*/ 599946 w 993014"/>
                                                        <a:gd name="connsiteY6" fmla="*/ 368242 h 1307467"/>
                                                        <a:gd name="connsiteX7" fmla="*/ 993014 w 993014"/>
                                                        <a:gd name="connsiteY7" fmla="*/ 0 h 1307467"/>
                                                        <a:gd name="connsiteX8" fmla="*/ 471682 w 993014"/>
                                                        <a:gd name="connsiteY8" fmla="*/ 86888 h 1307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93014" h="1307467">
                                                          <a:moveTo>
                                                            <a:pt x="471682" y="86888"/>
                                                          </a:moveTo>
                                                          <a:lnTo>
                                                            <a:pt x="198603" y="281353"/>
                                                          </a:lnTo>
                                                          <a:lnTo>
                                                            <a:pt x="0" y="753035"/>
                                                          </a:lnTo>
                                                          <a:lnTo>
                                                            <a:pt x="132402" y="1150240"/>
                                                          </a:lnTo>
                                                          <a:lnTo>
                                                            <a:pt x="575121" y="1307467"/>
                                                          </a:lnTo>
                                                          <a:lnTo>
                                                            <a:pt x="695110" y="976463"/>
                                                          </a:lnTo>
                                                          <a:lnTo>
                                                            <a:pt x="599946" y="368242"/>
                                                          </a:lnTo>
                                                          <a:lnTo>
                                                            <a:pt x="993014" y="0"/>
                                                          </a:lnTo>
                                                          <a:lnTo>
                                                            <a:pt x="471682" y="86888"/>
                                                          </a:lnTo>
                                                          <a:close/>
                                                        </a:path>
                                                      </a:pathLst>
                                                    </a:custGeom>
                                                    <a:solidFill>
                                                      <a:srgbClr val="FF3300"/>
                                                    </a:solidFill>
                                                    <a:ln w="25400" cap="flat" cmpd="sng" algn="ctr">
                                                      <a:noFill/>
                                                      <a:prstDash val="solid"/>
                                                    </a:ln>
                                                    <a:effectLst/>
                                                  </wps:spPr>
                                                  <wps:txbx>
                                                    <w:txbxContent>
                                                      <w:p w14:paraId="317CF3F6"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A</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70" name="2770 Forma libre"/>
                                                <wps:cNvSpPr/>
                                                <wps:spPr>
                                                  <a:xfrm>
                                                    <a:off x="571941" y="741406"/>
                                                    <a:ext cx="1019763" cy="566420"/>
                                                  </a:xfrm>
                                                  <a:custGeom>
                                                    <a:avLst/>
                                                    <a:gdLst>
                                                      <a:gd name="connsiteX0" fmla="*/ 0 w 1017270"/>
                                                      <a:gd name="connsiteY0" fmla="*/ 567690 h 567690"/>
                                                      <a:gd name="connsiteX1" fmla="*/ 120015 w 1017270"/>
                                                      <a:gd name="connsiteY1" fmla="*/ 230505 h 567690"/>
                                                      <a:gd name="connsiteX2" fmla="*/ 729615 w 1017270"/>
                                                      <a:gd name="connsiteY2" fmla="*/ 0 h 567690"/>
                                                      <a:gd name="connsiteX3" fmla="*/ 1017270 w 1017270"/>
                                                      <a:gd name="connsiteY3" fmla="*/ 281940 h 567690"/>
                                                      <a:gd name="connsiteX4" fmla="*/ 575310 w 1017270"/>
                                                      <a:gd name="connsiteY4" fmla="*/ 550545 h 567690"/>
                                                      <a:gd name="connsiteX5" fmla="*/ 0 w 1017270"/>
                                                      <a:gd name="connsiteY5" fmla="*/ 567690 h 567690"/>
                                                      <a:gd name="connsiteX0" fmla="*/ 0 w 1019763"/>
                                                      <a:gd name="connsiteY0" fmla="*/ 566420 h 566420"/>
                                                      <a:gd name="connsiteX1" fmla="*/ 122508 w 1019763"/>
                                                      <a:gd name="connsiteY1" fmla="*/ 230505 h 566420"/>
                                                      <a:gd name="connsiteX2" fmla="*/ 732108 w 1019763"/>
                                                      <a:gd name="connsiteY2" fmla="*/ 0 h 566420"/>
                                                      <a:gd name="connsiteX3" fmla="*/ 1019763 w 1019763"/>
                                                      <a:gd name="connsiteY3" fmla="*/ 281940 h 566420"/>
                                                      <a:gd name="connsiteX4" fmla="*/ 577803 w 1019763"/>
                                                      <a:gd name="connsiteY4" fmla="*/ 550545 h 566420"/>
                                                      <a:gd name="connsiteX5" fmla="*/ 0 w 1019763"/>
                                                      <a:gd name="connsiteY5" fmla="*/ 566420 h 566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19763" h="566420">
                                                        <a:moveTo>
                                                          <a:pt x="0" y="566420"/>
                                                        </a:moveTo>
                                                        <a:lnTo>
                                                          <a:pt x="122508" y="230505"/>
                                                        </a:lnTo>
                                                        <a:lnTo>
                                                          <a:pt x="732108" y="0"/>
                                                        </a:lnTo>
                                                        <a:lnTo>
                                                          <a:pt x="1019763" y="281940"/>
                                                        </a:lnTo>
                                                        <a:lnTo>
                                                          <a:pt x="577803" y="550545"/>
                                                        </a:lnTo>
                                                        <a:lnTo>
                                                          <a:pt x="0" y="566420"/>
                                                        </a:lnTo>
                                                        <a:close/>
                                                      </a:path>
                                                    </a:pathLst>
                                                  </a:custGeom>
                                                  <a:solidFill>
                                                    <a:srgbClr val="92D050"/>
                                                  </a:solidFill>
                                                  <a:ln w="25400" cap="flat" cmpd="sng" algn="ctr">
                                                    <a:noFill/>
                                                    <a:prstDash val="solid"/>
                                                  </a:ln>
                                                  <a:effectLst/>
                                                </wps:spPr>
                                                <wps:txbx>
                                                  <w:txbxContent>
                                                    <w:p w14:paraId="21A7E8EE"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71" name="2771 Grupo"/>
                                            <wpg:cNvGrpSpPr/>
                                            <wpg:grpSpPr>
                                              <a:xfrm>
                                                <a:off x="420364" y="60671"/>
                                                <a:ext cx="1046242" cy="1238250"/>
                                                <a:chOff x="23813" y="0"/>
                                                <a:chExt cx="904557" cy="1137740"/>
                                              </a:xfrm>
                                            </wpg:grpSpPr>
                                            <wps:wsp>
                                              <wps:cNvPr id="2772" name="2772 Cuadro de texto"/>
                                              <wps:cNvSpPr txBox="1"/>
                                              <wps:spPr>
                                                <a:xfrm>
                                                  <a:off x="286603" y="975815"/>
                                                  <a:ext cx="152400" cy="161925"/>
                                                </a:xfrm>
                                                <a:prstGeom prst="rect">
                                                  <a:avLst/>
                                                </a:prstGeom>
                                                <a:noFill/>
                                                <a:ln w="6350">
                                                  <a:noFill/>
                                                </a:ln>
                                                <a:effectLst/>
                                              </wps:spPr>
                                              <wps:txbx>
                                                <w:txbxContent>
                                                  <w:p w14:paraId="419FADA8" w14:textId="77777777" w:rsidR="00D55F13" w:rsidRPr="004E4C01" w:rsidRDefault="00D55F13" w:rsidP="0065023A">
                                                    <w:pPr>
                                                      <w:jc w:val="center"/>
                                                      <w:rPr>
                                                        <w:sz w:val="20"/>
                                                        <w:szCs w:val="20"/>
                                                      </w:rPr>
                                                    </w:pPr>
                                                    <w:r w:rsidRPr="004E4C01">
                                                      <w:rPr>
                                                        <w:sz w:val="20"/>
                                                        <w:szCs w:val="20"/>
                                                      </w:rPr>
                                                      <w:t>E</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773" name="2773 Grupo"/>
                                              <wpg:cNvGrpSpPr/>
                                              <wpg:grpSpPr>
                                                <a:xfrm>
                                                  <a:off x="23813" y="0"/>
                                                  <a:ext cx="904557" cy="1106013"/>
                                                  <a:chOff x="23813" y="0"/>
                                                  <a:chExt cx="904557" cy="1106013"/>
                                                </a:xfrm>
                                              </wpg:grpSpPr>
                                              <wpg:grpSp>
                                                <wpg:cNvPr id="2774" name="2774 Grupo"/>
                                                <wpg:cNvGrpSpPr/>
                                                <wpg:grpSpPr>
                                                  <a:xfrm>
                                                    <a:off x="23813" y="0"/>
                                                    <a:ext cx="904557" cy="1106013"/>
                                                    <a:chOff x="23813" y="0"/>
                                                    <a:chExt cx="904557" cy="1106013"/>
                                                  </a:xfrm>
                                                </wpg:grpSpPr>
                                                <wpg:grpSp>
                                                  <wpg:cNvPr id="2775" name="2775 Grupo"/>
                                                  <wpg:cNvGrpSpPr/>
                                                  <wpg:grpSpPr>
                                                    <a:xfrm>
                                                      <a:off x="23813" y="0"/>
                                                      <a:ext cx="904557" cy="1106013"/>
                                                      <a:chOff x="0" y="-162470"/>
                                                      <a:chExt cx="905057" cy="1106473"/>
                                                    </a:xfrm>
                                                  </wpg:grpSpPr>
                                                  <wps:wsp>
                                                    <wps:cNvPr id="1724092572" name="1724092572 Conector recto"/>
                                                    <wps:cNvCnPr/>
                                                    <wps:spPr>
                                                      <a:xfrm>
                                                        <a:off x="0" y="-162470"/>
                                                        <a:ext cx="905057" cy="666739"/>
                                                      </a:xfrm>
                                                      <a:prstGeom prst="line">
                                                        <a:avLst/>
                                                      </a:prstGeom>
                                                      <a:noFill/>
                                                      <a:ln w="9525" cap="flat" cmpd="sng" algn="ctr">
                                                        <a:solidFill>
                                                          <a:sysClr val="windowText" lastClr="000000"/>
                                                        </a:solidFill>
                                                        <a:prstDash val="sysDash"/>
                                                      </a:ln>
                                                      <a:effectLst/>
                                                    </wps:spPr>
                                                    <wps:bodyPr/>
                                                  </wps:wsp>
                                                  <wps:wsp>
                                                    <wps:cNvPr id="1025908669" name="1025908669 Forma libre"/>
                                                    <wps:cNvSpPr/>
                                                    <wps:spPr>
                                                      <a:xfrm>
                                                        <a:off x="0" y="805856"/>
                                                        <a:ext cx="726915" cy="138147"/>
                                                      </a:xfrm>
                                                      <a:custGeom>
                                                        <a:avLst/>
                                                        <a:gdLst>
                                                          <a:gd name="connsiteX0" fmla="*/ 0 w 726915"/>
                                                          <a:gd name="connsiteY0" fmla="*/ 3289 h 138147"/>
                                                          <a:gd name="connsiteX1" fmla="*/ 348656 w 726915"/>
                                                          <a:gd name="connsiteY1" fmla="*/ 0 h 138147"/>
                                                          <a:gd name="connsiteX2" fmla="*/ 621660 w 726915"/>
                                                          <a:gd name="connsiteY2" fmla="*/ 88808 h 138147"/>
                                                          <a:gd name="connsiteX3" fmla="*/ 726915 w 726915"/>
                                                          <a:gd name="connsiteY3" fmla="*/ 138147 h 138147"/>
                                                        </a:gdLst>
                                                        <a:ahLst/>
                                                        <a:cxnLst>
                                                          <a:cxn ang="0">
                                                            <a:pos x="connsiteX0" y="connsiteY0"/>
                                                          </a:cxn>
                                                          <a:cxn ang="0">
                                                            <a:pos x="connsiteX1" y="connsiteY1"/>
                                                          </a:cxn>
                                                          <a:cxn ang="0">
                                                            <a:pos x="connsiteX2" y="connsiteY2"/>
                                                          </a:cxn>
                                                          <a:cxn ang="0">
                                                            <a:pos x="connsiteX3" y="connsiteY3"/>
                                                          </a:cxn>
                                                        </a:cxnLst>
                                                        <a:rect l="l" t="t" r="r" b="b"/>
                                                        <a:pathLst>
                                                          <a:path w="726915" h="138147">
                                                            <a:moveTo>
                                                              <a:pt x="0" y="3289"/>
                                                            </a:moveTo>
                                                            <a:lnTo>
                                                              <a:pt x="348656" y="0"/>
                                                            </a:lnTo>
                                                            <a:lnTo>
                                                              <a:pt x="621660" y="88808"/>
                                                            </a:lnTo>
                                                            <a:lnTo>
                                                              <a:pt x="726915" y="138147"/>
                                                            </a:lnTo>
                                                          </a:path>
                                                        </a:pathLst>
                                                      </a:custGeom>
                                                      <a:noFill/>
                                                      <a:ln w="9525" cap="flat" cmpd="sng" algn="ctr">
                                                        <a:solidFill>
                                                          <a:sysClr val="windowText" lastClr="000000"/>
                                                        </a:solidFill>
                                                        <a:prstDash val="lg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4449728" name="714449728 Cuadro de texto"/>
                                                  <wps:cNvSpPr txBox="1"/>
                                                  <wps:spPr>
                                                    <a:xfrm>
                                                      <a:off x="254700" y="221352"/>
                                                      <a:ext cx="152400" cy="161925"/>
                                                    </a:xfrm>
                                                    <a:prstGeom prst="rect">
                                                      <a:avLst/>
                                                    </a:prstGeom>
                                                    <a:noFill/>
                                                    <a:ln w="6350">
                                                      <a:noFill/>
                                                    </a:ln>
                                                    <a:effectLst/>
                                                  </wps:spPr>
                                                  <wps:txbx>
                                                    <w:txbxContent>
                                                      <w:p w14:paraId="25D5CC8A" w14:textId="77777777" w:rsidR="00D55F13" w:rsidRPr="004E4C01" w:rsidRDefault="00D55F13" w:rsidP="0065023A">
                                                        <w:pPr>
                                                          <w:jc w:val="center"/>
                                                          <w:rPr>
                                                            <w:sz w:val="20"/>
                                                            <w:szCs w:val="20"/>
                                                          </w:rPr>
                                                        </w:pPr>
                                                        <w:r w:rsidRPr="004E4C01">
                                                          <w:rPr>
                                                            <w:sz w:val="20"/>
                                                            <w:szCs w:val="20"/>
                                                          </w:rPr>
                                                          <w:t>B</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14449729" name="714449729 Cuadro de texto"/>
                                                <wps:cNvSpPr txBox="1"/>
                                                <wps:spPr>
                                                  <a:xfrm>
                                                    <a:off x="688912" y="387818"/>
                                                    <a:ext cx="152400" cy="161925"/>
                                                  </a:xfrm>
                                                  <a:prstGeom prst="rect">
                                                    <a:avLst/>
                                                  </a:prstGeom>
                                                  <a:noFill/>
                                                  <a:ln w="6350">
                                                    <a:noFill/>
                                                  </a:ln>
                                                  <a:effectLst/>
                                                </wps:spPr>
                                                <wps:txbx>
                                                  <w:txbxContent>
                                                    <w:p w14:paraId="1614A10D" w14:textId="77777777" w:rsidR="00D55F13" w:rsidRPr="004E4C01" w:rsidRDefault="00D55F13" w:rsidP="0065023A">
                                                      <w:pPr>
                                                        <w:jc w:val="center"/>
                                                        <w:rPr>
                                                          <w:sz w:val="20"/>
                                                          <w:szCs w:val="20"/>
                                                        </w:rPr>
                                                      </w:pPr>
                                                      <w:r w:rsidRPr="004E4C01">
                                                        <w:rPr>
                                                          <w:sz w:val="20"/>
                                                          <w:szCs w:val="20"/>
                                                        </w:rPr>
                                                        <w:t>D</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s:wsp>
                                          <wps:cNvPr id="714449748" name="714449748 Cuadro de texto"/>
                                          <wps:cNvSpPr txBox="1"/>
                                          <wps:spPr>
                                            <a:xfrm>
                                              <a:off x="856342" y="61686"/>
                                              <a:ext cx="231968" cy="232046"/>
                                            </a:xfrm>
                                            <a:prstGeom prst="rect">
                                              <a:avLst/>
                                            </a:prstGeom>
                                            <a:noFill/>
                                            <a:ln w="6350">
                                              <a:noFill/>
                                            </a:ln>
                                            <a:effectLst/>
                                          </wps:spPr>
                                          <wps:txbx>
                                            <w:txbxContent>
                                              <w:p w14:paraId="30733E2D" w14:textId="77777777" w:rsidR="00D55F13" w:rsidRPr="004E4C01" w:rsidRDefault="00D55F13" w:rsidP="0065023A">
                                                <w:pPr>
                                                  <w:jc w:val="center"/>
                                                  <w:rPr>
                                                    <w:sz w:val="20"/>
                                                    <w:szCs w:val="20"/>
                                                  </w:rPr>
                                                </w:pPr>
                                                <w:r w:rsidRPr="004E4C01">
                                                  <w:rPr>
                                                    <w:sz w:val="20"/>
                                                    <w:szCs w:val="20"/>
                                                  </w:rPr>
                                                  <w:t>A</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grpSp>
                                  <wpg:cNvPr id="568110921" name="568110921 Grupo"/>
                                  <wpg:cNvGrpSpPr/>
                                  <wpg:grpSpPr>
                                    <a:xfrm>
                                      <a:off x="47625" y="2114550"/>
                                      <a:ext cx="5104130" cy="1732280"/>
                                      <a:chOff x="0" y="0"/>
                                      <a:chExt cx="5104130" cy="1732280"/>
                                    </a:xfrm>
                                  </wpg:grpSpPr>
                                  <wpg:grpSp>
                                    <wpg:cNvPr id="568110925" name="568110925 Grupo"/>
                                    <wpg:cNvGrpSpPr/>
                                    <wpg:grpSpPr>
                                      <a:xfrm>
                                        <a:off x="0" y="9525"/>
                                        <a:ext cx="2456180" cy="1722755"/>
                                        <a:chOff x="0" y="0"/>
                                        <a:chExt cx="2456180" cy="1722755"/>
                                      </a:xfrm>
                                    </wpg:grpSpPr>
                                    <wpg:grpSp>
                                      <wpg:cNvPr id="568110926" name="568110926 Grupo"/>
                                      <wpg:cNvGrpSpPr/>
                                      <wpg:grpSpPr>
                                        <a:xfrm>
                                          <a:off x="0" y="0"/>
                                          <a:ext cx="2456180" cy="1722755"/>
                                          <a:chOff x="0" y="0"/>
                                          <a:chExt cx="1863725" cy="1307464"/>
                                        </a:xfrm>
                                      </wpg:grpSpPr>
                                      <wpg:grpSp>
                                        <wpg:cNvPr id="568110927" name="568110927 Grupo"/>
                                        <wpg:cNvGrpSpPr/>
                                        <wpg:grpSpPr>
                                          <a:xfrm>
                                            <a:off x="0" y="0"/>
                                            <a:ext cx="1863725" cy="1307464"/>
                                            <a:chOff x="0" y="0"/>
                                            <a:chExt cx="1863725" cy="1307825"/>
                                          </a:xfrm>
                                        </wpg:grpSpPr>
                                        <wps:wsp>
                                          <wps:cNvPr id="568110928" name="568110928 Forma libre"/>
                                          <wps:cNvSpPr/>
                                          <wps:spPr>
                                            <a:xfrm>
                                              <a:off x="600186" y="374234"/>
                                              <a:ext cx="771525" cy="600075"/>
                                            </a:xfrm>
                                            <a:custGeom>
                                              <a:avLst/>
                                              <a:gdLst>
                                                <a:gd name="connsiteX0" fmla="*/ 0 w 771525"/>
                                                <a:gd name="connsiteY0" fmla="*/ 0 h 600075"/>
                                                <a:gd name="connsiteX1" fmla="*/ 365760 w 771525"/>
                                                <a:gd name="connsiteY1" fmla="*/ 171450 h 600075"/>
                                                <a:gd name="connsiteX2" fmla="*/ 771525 w 771525"/>
                                                <a:gd name="connsiteY2" fmla="*/ 129540 h 600075"/>
                                                <a:gd name="connsiteX3" fmla="*/ 706755 w 771525"/>
                                                <a:gd name="connsiteY3" fmla="*/ 365760 h 600075"/>
                                                <a:gd name="connsiteX4" fmla="*/ 93345 w 771525"/>
                                                <a:gd name="connsiteY4" fmla="*/ 600075 h 600075"/>
                                                <a:gd name="connsiteX5" fmla="*/ 0 w 771525"/>
                                                <a:gd name="connsiteY5" fmla="*/ 0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600075">
                                                  <a:moveTo>
                                                    <a:pt x="0" y="0"/>
                                                  </a:moveTo>
                                                  <a:lnTo>
                                                    <a:pt x="365760" y="171450"/>
                                                  </a:lnTo>
                                                  <a:lnTo>
                                                    <a:pt x="771525" y="129540"/>
                                                  </a:lnTo>
                                                  <a:lnTo>
                                                    <a:pt x="706755" y="365760"/>
                                                  </a:lnTo>
                                                  <a:lnTo>
                                                    <a:pt x="93345" y="600075"/>
                                                  </a:lnTo>
                                                  <a:lnTo>
                                                    <a:pt x="0" y="0"/>
                                                  </a:lnTo>
                                                  <a:close/>
                                                </a:path>
                                              </a:pathLst>
                                            </a:custGeom>
                                            <a:solidFill>
                                              <a:srgbClr val="00B0F0"/>
                                            </a:solidFill>
                                            <a:ln w="25400" cap="flat" cmpd="sng" algn="ctr">
                                              <a:noFill/>
                                              <a:prstDash val="solid"/>
                                            </a:ln>
                                            <a:effectLst/>
                                          </wps:spPr>
                                          <wps:txbx>
                                            <w:txbxContent>
                                              <w:p w14:paraId="5024FEA4"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D</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8110929" name="568110929 Grupo"/>
                                          <wpg:cNvGrpSpPr/>
                                          <wpg:grpSpPr>
                                            <a:xfrm>
                                              <a:off x="0" y="0"/>
                                              <a:ext cx="1863725" cy="1307825"/>
                                              <a:chOff x="0" y="0"/>
                                              <a:chExt cx="1863725" cy="1307825"/>
                                            </a:xfrm>
                                          </wpg:grpSpPr>
                                          <wps:wsp>
                                            <wps:cNvPr id="568110930" name="568110930 Forma libre"/>
                                            <wps:cNvSpPr/>
                                            <wps:spPr>
                                              <a:xfrm>
                                                <a:off x="571941" y="741405"/>
                                                <a:ext cx="1019763" cy="566420"/>
                                              </a:xfrm>
                                              <a:custGeom>
                                                <a:avLst/>
                                                <a:gdLst>
                                                  <a:gd name="connsiteX0" fmla="*/ 0 w 1017270"/>
                                                  <a:gd name="connsiteY0" fmla="*/ 567690 h 567690"/>
                                                  <a:gd name="connsiteX1" fmla="*/ 120015 w 1017270"/>
                                                  <a:gd name="connsiteY1" fmla="*/ 230505 h 567690"/>
                                                  <a:gd name="connsiteX2" fmla="*/ 729615 w 1017270"/>
                                                  <a:gd name="connsiteY2" fmla="*/ 0 h 567690"/>
                                                  <a:gd name="connsiteX3" fmla="*/ 1017270 w 1017270"/>
                                                  <a:gd name="connsiteY3" fmla="*/ 281940 h 567690"/>
                                                  <a:gd name="connsiteX4" fmla="*/ 575310 w 1017270"/>
                                                  <a:gd name="connsiteY4" fmla="*/ 550545 h 567690"/>
                                                  <a:gd name="connsiteX5" fmla="*/ 0 w 1017270"/>
                                                  <a:gd name="connsiteY5" fmla="*/ 567690 h 567690"/>
                                                  <a:gd name="connsiteX0" fmla="*/ 0 w 1019763"/>
                                                  <a:gd name="connsiteY0" fmla="*/ 566420 h 566420"/>
                                                  <a:gd name="connsiteX1" fmla="*/ 122508 w 1019763"/>
                                                  <a:gd name="connsiteY1" fmla="*/ 230505 h 566420"/>
                                                  <a:gd name="connsiteX2" fmla="*/ 732108 w 1019763"/>
                                                  <a:gd name="connsiteY2" fmla="*/ 0 h 566420"/>
                                                  <a:gd name="connsiteX3" fmla="*/ 1019763 w 1019763"/>
                                                  <a:gd name="connsiteY3" fmla="*/ 281940 h 566420"/>
                                                  <a:gd name="connsiteX4" fmla="*/ 577803 w 1019763"/>
                                                  <a:gd name="connsiteY4" fmla="*/ 550545 h 566420"/>
                                                  <a:gd name="connsiteX5" fmla="*/ 0 w 1019763"/>
                                                  <a:gd name="connsiteY5" fmla="*/ 566420 h 566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19763" h="566420">
                                                    <a:moveTo>
                                                      <a:pt x="0" y="566420"/>
                                                    </a:moveTo>
                                                    <a:lnTo>
                                                      <a:pt x="122508" y="230505"/>
                                                    </a:lnTo>
                                                    <a:lnTo>
                                                      <a:pt x="732108" y="0"/>
                                                    </a:lnTo>
                                                    <a:lnTo>
                                                      <a:pt x="1019763" y="281940"/>
                                                    </a:lnTo>
                                                    <a:lnTo>
                                                      <a:pt x="577803" y="550545"/>
                                                    </a:lnTo>
                                                    <a:lnTo>
                                                      <a:pt x="0" y="566420"/>
                                                    </a:lnTo>
                                                    <a:close/>
                                                  </a:path>
                                                </a:pathLst>
                                              </a:custGeom>
                                              <a:solidFill>
                                                <a:srgbClr val="92D050"/>
                                              </a:solidFill>
                                              <a:ln w="25400" cap="flat" cmpd="sng" algn="ctr">
                                                <a:noFill/>
                                                <a:prstDash val="solid"/>
                                              </a:ln>
                                              <a:effectLst/>
                                            </wps:spPr>
                                            <wps:txbx>
                                              <w:txbxContent>
                                                <w:p w14:paraId="3649BF8E"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8110941" name="568110941 Grupo"/>
                                            <wpg:cNvGrpSpPr/>
                                            <wpg:grpSpPr>
                                              <a:xfrm>
                                                <a:off x="0" y="0"/>
                                                <a:ext cx="1863725" cy="1307465"/>
                                                <a:chOff x="0" y="0"/>
                                                <a:chExt cx="1864287" cy="1307467"/>
                                              </a:xfrm>
                                            </wpg:grpSpPr>
                                            <wps:wsp>
                                              <wps:cNvPr id="568110942" name="568110942 Forma libre"/>
                                              <wps:cNvSpPr/>
                                              <wps:spPr>
                                                <a:xfrm>
                                                  <a:off x="1303084" y="95061"/>
                                                  <a:ext cx="561203" cy="929372"/>
                                                </a:xfrm>
                                                <a:custGeom>
                                                  <a:avLst/>
                                                  <a:gdLst>
                                                    <a:gd name="connsiteX0" fmla="*/ 345621 w 547007"/>
                                                    <a:gd name="connsiteY0" fmla="*/ 0 h 919843"/>
                                                    <a:gd name="connsiteX1" fmla="*/ 547007 w 547007"/>
                                                    <a:gd name="connsiteY1" fmla="*/ 462643 h 919843"/>
                                                    <a:gd name="connsiteX2" fmla="*/ 277586 w 547007"/>
                                                    <a:gd name="connsiteY2" fmla="*/ 919843 h 919843"/>
                                                    <a:gd name="connsiteX3" fmla="*/ 0 w 547007"/>
                                                    <a:gd name="connsiteY3" fmla="*/ 636814 h 919843"/>
                                                    <a:gd name="connsiteX4" fmla="*/ 51707 w 547007"/>
                                                    <a:gd name="connsiteY4" fmla="*/ 400050 h 919843"/>
                                                    <a:gd name="connsiteX5" fmla="*/ 89807 w 547007"/>
                                                    <a:gd name="connsiteY5" fmla="*/ 106136 h 919843"/>
                                                    <a:gd name="connsiteX6" fmla="*/ 345621 w 547007"/>
                                                    <a:gd name="connsiteY6" fmla="*/ 0 h 919843"/>
                                                    <a:gd name="connsiteX0" fmla="*/ 343706 w 547007"/>
                                                    <a:gd name="connsiteY0" fmla="*/ 0 h 919843"/>
                                                    <a:gd name="connsiteX1" fmla="*/ 547007 w 547007"/>
                                                    <a:gd name="connsiteY1" fmla="*/ 462643 h 919843"/>
                                                    <a:gd name="connsiteX2" fmla="*/ 277586 w 547007"/>
                                                    <a:gd name="connsiteY2" fmla="*/ 919843 h 919843"/>
                                                    <a:gd name="connsiteX3" fmla="*/ 0 w 547007"/>
                                                    <a:gd name="connsiteY3" fmla="*/ 636814 h 919843"/>
                                                    <a:gd name="connsiteX4" fmla="*/ 51707 w 547007"/>
                                                    <a:gd name="connsiteY4" fmla="*/ 400050 h 919843"/>
                                                    <a:gd name="connsiteX5" fmla="*/ 89807 w 547007"/>
                                                    <a:gd name="connsiteY5" fmla="*/ 106136 h 919843"/>
                                                    <a:gd name="connsiteX6" fmla="*/ 343706 w 547007"/>
                                                    <a:gd name="connsiteY6" fmla="*/ 0 h 919843"/>
                                                    <a:gd name="connsiteX0" fmla="*/ 343706 w 547007"/>
                                                    <a:gd name="connsiteY0" fmla="*/ 0 h 929372"/>
                                                    <a:gd name="connsiteX1" fmla="*/ 547007 w 547007"/>
                                                    <a:gd name="connsiteY1" fmla="*/ 472172 h 929372"/>
                                                    <a:gd name="connsiteX2" fmla="*/ 277586 w 547007"/>
                                                    <a:gd name="connsiteY2" fmla="*/ 929372 h 929372"/>
                                                    <a:gd name="connsiteX3" fmla="*/ 0 w 547007"/>
                                                    <a:gd name="connsiteY3" fmla="*/ 646343 h 929372"/>
                                                    <a:gd name="connsiteX4" fmla="*/ 51707 w 547007"/>
                                                    <a:gd name="connsiteY4" fmla="*/ 409579 h 929372"/>
                                                    <a:gd name="connsiteX5" fmla="*/ 89807 w 547007"/>
                                                    <a:gd name="connsiteY5" fmla="*/ 115665 h 929372"/>
                                                    <a:gd name="connsiteX6" fmla="*/ 343706 w 547007"/>
                                                    <a:gd name="connsiteY6" fmla="*/ 0 h 929372"/>
                                                    <a:gd name="connsiteX0" fmla="*/ 343706 w 547007"/>
                                                    <a:gd name="connsiteY0" fmla="*/ 0 h 929372"/>
                                                    <a:gd name="connsiteX1" fmla="*/ 547007 w 547007"/>
                                                    <a:gd name="connsiteY1" fmla="*/ 472172 h 929372"/>
                                                    <a:gd name="connsiteX2" fmla="*/ 277586 w 547007"/>
                                                    <a:gd name="connsiteY2" fmla="*/ 929372 h 929372"/>
                                                    <a:gd name="connsiteX3" fmla="*/ 0 w 547007"/>
                                                    <a:gd name="connsiteY3" fmla="*/ 646343 h 929372"/>
                                                    <a:gd name="connsiteX4" fmla="*/ 51707 w 547007"/>
                                                    <a:gd name="connsiteY4" fmla="*/ 409579 h 929372"/>
                                                    <a:gd name="connsiteX5" fmla="*/ 89834 w 547007"/>
                                                    <a:gd name="connsiteY5" fmla="*/ 105528 h 929372"/>
                                                    <a:gd name="connsiteX6" fmla="*/ 343706 w 547007"/>
                                                    <a:gd name="connsiteY6" fmla="*/ 0 h 929372"/>
                                                    <a:gd name="connsiteX0" fmla="*/ 357902 w 561203"/>
                                                    <a:gd name="connsiteY0" fmla="*/ 0 h 929372"/>
                                                    <a:gd name="connsiteX1" fmla="*/ 561203 w 561203"/>
                                                    <a:gd name="connsiteY1" fmla="*/ 472172 h 929372"/>
                                                    <a:gd name="connsiteX2" fmla="*/ 291782 w 561203"/>
                                                    <a:gd name="connsiteY2" fmla="*/ 929372 h 929372"/>
                                                    <a:gd name="connsiteX3" fmla="*/ 0 w 561203"/>
                                                    <a:gd name="connsiteY3" fmla="*/ 644317 h 929372"/>
                                                    <a:gd name="connsiteX4" fmla="*/ 65903 w 561203"/>
                                                    <a:gd name="connsiteY4" fmla="*/ 409579 h 929372"/>
                                                    <a:gd name="connsiteX5" fmla="*/ 104030 w 561203"/>
                                                    <a:gd name="connsiteY5" fmla="*/ 105528 h 929372"/>
                                                    <a:gd name="connsiteX6" fmla="*/ 357902 w 561203"/>
                                                    <a:gd name="connsiteY6" fmla="*/ 0 h 929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203" h="929372">
                                                      <a:moveTo>
                                                        <a:pt x="357902" y="0"/>
                                                      </a:moveTo>
                                                      <a:lnTo>
                                                        <a:pt x="561203" y="472172"/>
                                                      </a:lnTo>
                                                      <a:lnTo>
                                                        <a:pt x="291782" y="929372"/>
                                                      </a:lnTo>
                                                      <a:lnTo>
                                                        <a:pt x="0" y="644317"/>
                                                      </a:lnTo>
                                                      <a:lnTo>
                                                        <a:pt x="65903" y="409579"/>
                                                      </a:lnTo>
                                                      <a:lnTo>
                                                        <a:pt x="104030" y="105528"/>
                                                      </a:lnTo>
                                                      <a:lnTo>
                                                        <a:pt x="357902" y="0"/>
                                                      </a:lnTo>
                                                      <a:close/>
                                                    </a:path>
                                                  </a:pathLst>
                                                </a:custGeom>
                                                <a:solidFill>
                                                  <a:srgbClr val="D60093"/>
                                                </a:solidFill>
                                                <a:ln w="25400" cap="flat" cmpd="sng" algn="ctr">
                                                  <a:noFill/>
                                                  <a:prstDash val="solid"/>
                                                </a:ln>
                                                <a:effectLst/>
                                              </wps:spPr>
                                              <wps:txbx>
                                                <w:txbxContent>
                                                  <w:p w14:paraId="46468C98"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110943" name="568110943 Forma libre"/>
                                              <wps:cNvSpPr/>
                                              <wps:spPr>
                                                <a:xfrm>
                                                  <a:off x="574895" y="1"/>
                                                  <a:ext cx="1086259" cy="547408"/>
                                                </a:xfrm>
                                                <a:custGeom>
                                                  <a:avLst/>
                                                  <a:gdLst>
                                                    <a:gd name="connsiteX0" fmla="*/ 0 w 1050939"/>
                                                    <a:gd name="connsiteY0" fmla="*/ 372380 h 537882"/>
                                                    <a:gd name="connsiteX1" fmla="*/ 351692 w 1050939"/>
                                                    <a:gd name="connsiteY1" fmla="*/ 537882 h 537882"/>
                                                    <a:gd name="connsiteX2" fmla="*/ 761310 w 1050939"/>
                                                    <a:gd name="connsiteY2" fmla="*/ 504782 h 537882"/>
                                                    <a:gd name="connsiteX3" fmla="*/ 798548 w 1050939"/>
                                                    <a:gd name="connsiteY3" fmla="*/ 206877 h 537882"/>
                                                    <a:gd name="connsiteX4" fmla="*/ 1050939 w 1050939"/>
                                                    <a:gd name="connsiteY4" fmla="*/ 99301 h 537882"/>
                                                    <a:gd name="connsiteX5" fmla="*/ 384793 w 1050939"/>
                                                    <a:gd name="connsiteY5" fmla="*/ 0 h 537882"/>
                                                    <a:gd name="connsiteX6" fmla="*/ 0 w 1050939"/>
                                                    <a:gd name="connsiteY6" fmla="*/ 372380 h 537882"/>
                                                    <a:gd name="connsiteX0" fmla="*/ 0 w 1063639"/>
                                                    <a:gd name="connsiteY0" fmla="*/ 368171 h 537882"/>
                                                    <a:gd name="connsiteX1" fmla="*/ 36439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68171 h 537882"/>
                                                    <a:gd name="connsiteX0" fmla="*/ 0 w 1063639"/>
                                                    <a:gd name="connsiteY0" fmla="*/ 371501 h 537882"/>
                                                    <a:gd name="connsiteX1" fmla="*/ 36439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37882"/>
                                                    <a:gd name="connsiteX1" fmla="*/ 364507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37882"/>
                                                    <a:gd name="connsiteX1" fmla="*/ 36462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47446"/>
                                                    <a:gd name="connsiteX1" fmla="*/ 362831 w 1063639"/>
                                                    <a:gd name="connsiteY1" fmla="*/ 547446 h 547446"/>
                                                    <a:gd name="connsiteX2" fmla="*/ 774010 w 1063639"/>
                                                    <a:gd name="connsiteY2" fmla="*/ 504782 h 547446"/>
                                                    <a:gd name="connsiteX3" fmla="*/ 811248 w 1063639"/>
                                                    <a:gd name="connsiteY3" fmla="*/ 206877 h 547446"/>
                                                    <a:gd name="connsiteX4" fmla="*/ 1063639 w 1063639"/>
                                                    <a:gd name="connsiteY4" fmla="*/ 99301 h 547446"/>
                                                    <a:gd name="connsiteX5" fmla="*/ 397493 w 1063639"/>
                                                    <a:gd name="connsiteY5" fmla="*/ 0 h 547446"/>
                                                    <a:gd name="connsiteX6" fmla="*/ 0 w 1063639"/>
                                                    <a:gd name="connsiteY6" fmla="*/ 371501 h 547446"/>
                                                    <a:gd name="connsiteX0" fmla="*/ 0 w 1086273"/>
                                                    <a:gd name="connsiteY0" fmla="*/ 371216 h 547446"/>
                                                    <a:gd name="connsiteX1" fmla="*/ 385465 w 1086273"/>
                                                    <a:gd name="connsiteY1" fmla="*/ 547446 h 547446"/>
                                                    <a:gd name="connsiteX2" fmla="*/ 796644 w 1086273"/>
                                                    <a:gd name="connsiteY2" fmla="*/ 504782 h 547446"/>
                                                    <a:gd name="connsiteX3" fmla="*/ 833882 w 1086273"/>
                                                    <a:gd name="connsiteY3" fmla="*/ 206877 h 547446"/>
                                                    <a:gd name="connsiteX4" fmla="*/ 1086273 w 1086273"/>
                                                    <a:gd name="connsiteY4" fmla="*/ 99301 h 547446"/>
                                                    <a:gd name="connsiteX5" fmla="*/ 420127 w 1086273"/>
                                                    <a:gd name="connsiteY5" fmla="*/ 0 h 547446"/>
                                                    <a:gd name="connsiteX6" fmla="*/ 0 w 1086273"/>
                                                    <a:gd name="connsiteY6" fmla="*/ 371216 h 547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6273" h="547446">
                                                      <a:moveTo>
                                                        <a:pt x="0" y="371216"/>
                                                      </a:moveTo>
                                                      <a:lnTo>
                                                        <a:pt x="385465" y="547446"/>
                                                      </a:lnTo>
                                                      <a:lnTo>
                                                        <a:pt x="796644" y="504782"/>
                                                      </a:lnTo>
                                                      <a:lnTo>
                                                        <a:pt x="833882" y="206877"/>
                                                      </a:lnTo>
                                                      <a:lnTo>
                                                        <a:pt x="1086273" y="99301"/>
                                                      </a:lnTo>
                                                      <a:lnTo>
                                                        <a:pt x="420127" y="0"/>
                                                      </a:lnTo>
                                                      <a:lnTo>
                                                        <a:pt x="0" y="371216"/>
                                                      </a:lnTo>
                                                      <a:close/>
                                                    </a:path>
                                                  </a:pathLst>
                                                </a:custGeom>
                                                <a:solidFill>
                                                  <a:srgbClr val="FFC000"/>
                                                </a:solidFill>
                                                <a:ln w="25400" cap="flat" cmpd="sng" algn="ctr">
                                                  <a:noFill/>
                                                  <a:prstDash val="solid"/>
                                                </a:ln>
                                                <a:effectLst/>
                                              </wps:spPr>
                                              <wps:txbx>
                                                <w:txbxContent>
                                                  <w:p w14:paraId="1B8C6D2D"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B</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634880" name="2078634880 Forma libre"/>
                                              <wps:cNvSpPr/>
                                              <wps:spPr>
                                                <a:xfrm>
                                                  <a:off x="0" y="0"/>
                                                  <a:ext cx="993014" cy="1307467"/>
                                                </a:xfrm>
                                                <a:custGeom>
                                                  <a:avLst/>
                                                  <a:gdLst>
                                                    <a:gd name="connsiteX0" fmla="*/ 471682 w 993014"/>
                                                    <a:gd name="connsiteY0" fmla="*/ 86888 h 1307467"/>
                                                    <a:gd name="connsiteX1" fmla="*/ 198603 w 993014"/>
                                                    <a:gd name="connsiteY1" fmla="*/ 281353 h 1307467"/>
                                                    <a:gd name="connsiteX2" fmla="*/ 0 w 993014"/>
                                                    <a:gd name="connsiteY2" fmla="*/ 753035 h 1307467"/>
                                                    <a:gd name="connsiteX3" fmla="*/ 132402 w 993014"/>
                                                    <a:gd name="connsiteY3" fmla="*/ 1150240 h 1307467"/>
                                                    <a:gd name="connsiteX4" fmla="*/ 575121 w 993014"/>
                                                    <a:gd name="connsiteY4" fmla="*/ 1307467 h 1307467"/>
                                                    <a:gd name="connsiteX5" fmla="*/ 695110 w 993014"/>
                                                    <a:gd name="connsiteY5" fmla="*/ 976463 h 1307467"/>
                                                    <a:gd name="connsiteX6" fmla="*/ 599946 w 993014"/>
                                                    <a:gd name="connsiteY6" fmla="*/ 368242 h 1307467"/>
                                                    <a:gd name="connsiteX7" fmla="*/ 993014 w 993014"/>
                                                    <a:gd name="connsiteY7" fmla="*/ 0 h 1307467"/>
                                                    <a:gd name="connsiteX8" fmla="*/ 471682 w 993014"/>
                                                    <a:gd name="connsiteY8" fmla="*/ 86888 h 1307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93014" h="1307467">
                                                      <a:moveTo>
                                                        <a:pt x="471682" y="86888"/>
                                                      </a:moveTo>
                                                      <a:lnTo>
                                                        <a:pt x="198603" y="281353"/>
                                                      </a:lnTo>
                                                      <a:lnTo>
                                                        <a:pt x="0" y="753035"/>
                                                      </a:lnTo>
                                                      <a:lnTo>
                                                        <a:pt x="132402" y="1150240"/>
                                                      </a:lnTo>
                                                      <a:lnTo>
                                                        <a:pt x="575121" y="1307467"/>
                                                      </a:lnTo>
                                                      <a:lnTo>
                                                        <a:pt x="695110" y="976463"/>
                                                      </a:lnTo>
                                                      <a:lnTo>
                                                        <a:pt x="599946" y="368242"/>
                                                      </a:lnTo>
                                                      <a:lnTo>
                                                        <a:pt x="993014" y="0"/>
                                                      </a:lnTo>
                                                      <a:lnTo>
                                                        <a:pt x="471682" y="86888"/>
                                                      </a:lnTo>
                                                      <a:close/>
                                                    </a:path>
                                                  </a:pathLst>
                                                </a:custGeom>
                                                <a:solidFill>
                                                  <a:srgbClr val="FF3300"/>
                                                </a:solidFill>
                                                <a:ln w="25400" cap="flat" cmpd="sng" algn="ctr">
                                                  <a:noFill/>
                                                  <a:prstDash val="solid"/>
                                                </a:ln>
                                                <a:effectLst/>
                                              </wps:spPr>
                                              <wps:txbx>
                                                <w:txbxContent>
                                                  <w:p w14:paraId="75451589"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A</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78634881" name="2078634881 Grupo"/>
                                        <wpg:cNvGrpSpPr/>
                                        <wpg:grpSpPr>
                                          <a:xfrm>
                                            <a:off x="420364" y="60671"/>
                                            <a:ext cx="1046242" cy="1238250"/>
                                            <a:chOff x="23813" y="0"/>
                                            <a:chExt cx="904557" cy="1137740"/>
                                          </a:xfrm>
                                        </wpg:grpSpPr>
                                        <wps:wsp>
                                          <wps:cNvPr id="2078634882" name="2078634882 Cuadro de texto"/>
                                          <wps:cNvSpPr txBox="1"/>
                                          <wps:spPr>
                                            <a:xfrm>
                                              <a:off x="286603" y="975815"/>
                                              <a:ext cx="152400" cy="161925"/>
                                            </a:xfrm>
                                            <a:prstGeom prst="rect">
                                              <a:avLst/>
                                            </a:prstGeom>
                                            <a:noFill/>
                                            <a:ln w="6350">
                                              <a:noFill/>
                                            </a:ln>
                                            <a:effectLst/>
                                          </wps:spPr>
                                          <wps:txbx>
                                            <w:txbxContent>
                                              <w:p w14:paraId="76581FD4" w14:textId="77777777" w:rsidR="00D55F13" w:rsidRPr="004E4C01" w:rsidRDefault="00D55F13" w:rsidP="0065023A">
                                                <w:pPr>
                                                  <w:jc w:val="center"/>
                                                  <w:rPr>
                                                    <w:sz w:val="20"/>
                                                    <w:szCs w:val="20"/>
                                                  </w:rPr>
                                                </w:pPr>
                                                <w:r w:rsidRPr="004E4C01">
                                                  <w:rPr>
                                                    <w:sz w:val="20"/>
                                                    <w:szCs w:val="20"/>
                                                  </w:rPr>
                                                  <w:t>E</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78634883" name="2078634883 Grupo"/>
                                          <wpg:cNvGrpSpPr/>
                                          <wpg:grpSpPr>
                                            <a:xfrm>
                                              <a:off x="23813" y="0"/>
                                              <a:ext cx="904557" cy="1106013"/>
                                              <a:chOff x="23813" y="0"/>
                                              <a:chExt cx="904557" cy="1106013"/>
                                            </a:xfrm>
                                          </wpg:grpSpPr>
                                          <wpg:grpSp>
                                            <wpg:cNvPr id="2078634884" name="2078634884 Grupo"/>
                                            <wpg:cNvGrpSpPr/>
                                            <wpg:grpSpPr>
                                              <a:xfrm>
                                                <a:off x="23813" y="0"/>
                                                <a:ext cx="904557" cy="1106013"/>
                                                <a:chOff x="23813" y="0"/>
                                                <a:chExt cx="904557" cy="1106013"/>
                                              </a:xfrm>
                                            </wpg:grpSpPr>
                                            <wpg:grpSp>
                                              <wpg:cNvPr id="2078634885" name="2078634885 Grupo"/>
                                              <wpg:cNvGrpSpPr/>
                                              <wpg:grpSpPr>
                                                <a:xfrm>
                                                  <a:off x="23813" y="0"/>
                                                  <a:ext cx="904557" cy="1106013"/>
                                                  <a:chOff x="0" y="-162470"/>
                                                  <a:chExt cx="905057" cy="1106473"/>
                                                </a:xfrm>
                                              </wpg:grpSpPr>
                                              <wps:wsp>
                                                <wps:cNvPr id="2078634886" name="2078634886 Conector recto"/>
                                                <wps:cNvCnPr/>
                                                <wps:spPr>
                                                  <a:xfrm>
                                                    <a:off x="0" y="-162470"/>
                                                    <a:ext cx="905057" cy="666739"/>
                                                  </a:xfrm>
                                                  <a:prstGeom prst="line">
                                                    <a:avLst/>
                                                  </a:prstGeom>
                                                  <a:noFill/>
                                                  <a:ln w="9525" cap="flat" cmpd="sng" algn="ctr">
                                                    <a:solidFill>
                                                      <a:sysClr val="windowText" lastClr="000000"/>
                                                    </a:solidFill>
                                                    <a:prstDash val="sysDash"/>
                                                  </a:ln>
                                                  <a:effectLst/>
                                                </wps:spPr>
                                                <wps:bodyPr/>
                                              </wps:wsp>
                                              <wps:wsp>
                                                <wps:cNvPr id="2078634887" name="2078634887 Forma libre"/>
                                                <wps:cNvSpPr/>
                                                <wps:spPr>
                                                  <a:xfrm>
                                                    <a:off x="0" y="805856"/>
                                                    <a:ext cx="726915" cy="138147"/>
                                                  </a:xfrm>
                                                  <a:custGeom>
                                                    <a:avLst/>
                                                    <a:gdLst>
                                                      <a:gd name="connsiteX0" fmla="*/ 0 w 726915"/>
                                                      <a:gd name="connsiteY0" fmla="*/ 3289 h 138147"/>
                                                      <a:gd name="connsiteX1" fmla="*/ 348656 w 726915"/>
                                                      <a:gd name="connsiteY1" fmla="*/ 0 h 138147"/>
                                                      <a:gd name="connsiteX2" fmla="*/ 621660 w 726915"/>
                                                      <a:gd name="connsiteY2" fmla="*/ 88808 h 138147"/>
                                                      <a:gd name="connsiteX3" fmla="*/ 726915 w 726915"/>
                                                      <a:gd name="connsiteY3" fmla="*/ 138147 h 138147"/>
                                                    </a:gdLst>
                                                    <a:ahLst/>
                                                    <a:cxnLst>
                                                      <a:cxn ang="0">
                                                        <a:pos x="connsiteX0" y="connsiteY0"/>
                                                      </a:cxn>
                                                      <a:cxn ang="0">
                                                        <a:pos x="connsiteX1" y="connsiteY1"/>
                                                      </a:cxn>
                                                      <a:cxn ang="0">
                                                        <a:pos x="connsiteX2" y="connsiteY2"/>
                                                      </a:cxn>
                                                      <a:cxn ang="0">
                                                        <a:pos x="connsiteX3" y="connsiteY3"/>
                                                      </a:cxn>
                                                    </a:cxnLst>
                                                    <a:rect l="l" t="t" r="r" b="b"/>
                                                    <a:pathLst>
                                                      <a:path w="726915" h="138147">
                                                        <a:moveTo>
                                                          <a:pt x="0" y="3289"/>
                                                        </a:moveTo>
                                                        <a:lnTo>
                                                          <a:pt x="348656" y="0"/>
                                                        </a:lnTo>
                                                        <a:lnTo>
                                                          <a:pt x="621660" y="88808"/>
                                                        </a:lnTo>
                                                        <a:lnTo>
                                                          <a:pt x="726915" y="138147"/>
                                                        </a:lnTo>
                                                      </a:path>
                                                    </a:pathLst>
                                                  </a:custGeom>
                                                  <a:noFill/>
                                                  <a:ln w="9525" cap="flat" cmpd="sng" algn="ctr">
                                                    <a:solidFill>
                                                      <a:sysClr val="windowText" lastClr="000000"/>
                                                    </a:solidFill>
                                                    <a:prstDash val="lg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8634888" name="2078634888 Cuadro de texto"/>
                                              <wps:cNvSpPr txBox="1"/>
                                              <wps:spPr>
                                                <a:xfrm>
                                                  <a:off x="254700" y="221352"/>
                                                  <a:ext cx="152400" cy="161925"/>
                                                </a:xfrm>
                                                <a:prstGeom prst="rect">
                                                  <a:avLst/>
                                                </a:prstGeom>
                                                <a:noFill/>
                                                <a:ln w="6350">
                                                  <a:noFill/>
                                                </a:ln>
                                                <a:effectLst/>
                                              </wps:spPr>
                                              <wps:txbx>
                                                <w:txbxContent>
                                                  <w:p w14:paraId="2DC9F9FC" w14:textId="77777777" w:rsidR="00D55F13" w:rsidRPr="004E4C01" w:rsidRDefault="00D55F13" w:rsidP="0065023A">
                                                    <w:pPr>
                                                      <w:jc w:val="center"/>
                                                      <w:rPr>
                                                        <w:sz w:val="20"/>
                                                        <w:szCs w:val="20"/>
                                                      </w:rPr>
                                                    </w:pPr>
                                                    <w:r w:rsidRPr="004E4C01">
                                                      <w:rPr>
                                                        <w:sz w:val="20"/>
                                                        <w:szCs w:val="20"/>
                                                      </w:rPr>
                                                      <w:t>B</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078634889" name="2078634889 Cuadro de texto"/>
                                            <wps:cNvSpPr txBox="1"/>
                                            <wps:spPr>
                                              <a:xfrm>
                                                <a:off x="688912" y="387818"/>
                                                <a:ext cx="152400" cy="161925"/>
                                              </a:xfrm>
                                              <a:prstGeom prst="rect">
                                                <a:avLst/>
                                              </a:prstGeom>
                                              <a:noFill/>
                                              <a:ln w="6350">
                                                <a:noFill/>
                                              </a:ln>
                                              <a:effectLst/>
                                            </wps:spPr>
                                            <wps:txbx>
                                              <w:txbxContent>
                                                <w:p w14:paraId="3887F6AA" w14:textId="77777777" w:rsidR="00D55F13" w:rsidRPr="004E4C01" w:rsidRDefault="00D55F13" w:rsidP="0065023A">
                                                  <w:pPr>
                                                    <w:jc w:val="center"/>
                                                    <w:rPr>
                                                      <w:sz w:val="20"/>
                                                      <w:szCs w:val="20"/>
                                                    </w:rPr>
                                                  </w:pPr>
                                                  <w:r w:rsidRPr="004E4C01">
                                                    <w:rPr>
                                                      <w:sz w:val="20"/>
                                                      <w:szCs w:val="20"/>
                                                    </w:rPr>
                                                    <w:t>D</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s:wsp>
                                      <wps:cNvPr id="2078634890" name="2078634890 Cuadro de texto"/>
                                      <wps:cNvSpPr txBox="1"/>
                                      <wps:spPr>
                                        <a:xfrm>
                                          <a:off x="852692" y="61708"/>
                                          <a:ext cx="231775" cy="231775"/>
                                        </a:xfrm>
                                        <a:prstGeom prst="rect">
                                          <a:avLst/>
                                        </a:prstGeom>
                                        <a:noFill/>
                                        <a:ln w="6350">
                                          <a:noFill/>
                                        </a:ln>
                                        <a:effectLst/>
                                      </wps:spPr>
                                      <wps:txbx>
                                        <w:txbxContent>
                                          <w:p w14:paraId="530EA17D" w14:textId="77777777" w:rsidR="00D55F13" w:rsidRPr="004E4C01" w:rsidRDefault="00D55F13" w:rsidP="0065023A">
                                            <w:pPr>
                                              <w:jc w:val="center"/>
                                              <w:rPr>
                                                <w:sz w:val="20"/>
                                                <w:szCs w:val="20"/>
                                              </w:rPr>
                                            </w:pPr>
                                            <w:r w:rsidRPr="004E4C01">
                                              <w:rPr>
                                                <w:sz w:val="20"/>
                                                <w:szCs w:val="20"/>
                                              </w:rPr>
                                              <w:t>A</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8634891" name="2078634891 Conector"/>
                                      <wps:cNvSpPr>
                                        <a:spLocks noChangeAspect="1"/>
                                      </wps:cNvSpPr>
                                      <wps:spPr>
                                        <a:xfrm>
                                          <a:off x="1077084" y="1088304"/>
                                          <a:ext cx="66040" cy="66040"/>
                                        </a:xfrm>
                                        <a:prstGeom prst="flowChartConnector">
                                          <a:avLst/>
                                        </a:prstGeom>
                                        <a:solidFill>
                                          <a:sysClr val="windowText" lastClr="000000">
                                            <a:lumMod val="95000"/>
                                            <a:lumOff val="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634892" name="2078634892 Conector recto de flecha"/>
                                      <wps:cNvCnPr/>
                                      <wps:spPr>
                                        <a:xfrm flipV="1">
                                          <a:off x="1116353" y="572201"/>
                                          <a:ext cx="0" cy="495935"/>
                                        </a:xfrm>
                                        <a:prstGeom prst="straightConnector1">
                                          <a:avLst/>
                                        </a:prstGeom>
                                        <a:noFill/>
                                        <a:ln w="12700" cap="flat" cmpd="sng" algn="ctr">
                                          <a:solidFill>
                                            <a:sysClr val="windowText" lastClr="000000">
                                              <a:lumMod val="65000"/>
                                              <a:lumOff val="35000"/>
                                            </a:sysClr>
                                          </a:solidFill>
                                          <a:prstDash val="solid"/>
                                          <a:headEnd type="none" w="med" len="med"/>
                                          <a:tailEnd type="triangle" w="med" len="sm"/>
                                        </a:ln>
                                        <a:effectLst/>
                                      </wps:spPr>
                                      <wps:bodyPr/>
                                    </wps:wsp>
                                    <wps:wsp>
                                      <wps:cNvPr id="2078634893" name="2078634893 Conector recto de flecha"/>
                                      <wps:cNvCnPr/>
                                      <wps:spPr>
                                        <a:xfrm flipV="1">
                                          <a:off x="1172451" y="931229"/>
                                          <a:ext cx="401320" cy="165100"/>
                                        </a:xfrm>
                                        <a:prstGeom prst="straightConnector1">
                                          <a:avLst/>
                                        </a:prstGeom>
                                        <a:noFill/>
                                        <a:ln w="12700" cap="flat" cmpd="sng" algn="ctr">
                                          <a:solidFill>
                                            <a:sysClr val="windowText" lastClr="000000">
                                              <a:lumMod val="65000"/>
                                              <a:lumOff val="35000"/>
                                            </a:sysClr>
                                          </a:solidFill>
                                          <a:prstDash val="solid"/>
                                          <a:headEnd type="none" w="med" len="med"/>
                                          <a:tailEnd type="triangle" w="med" len="sm"/>
                                        </a:ln>
                                        <a:effectLst/>
                                      </wps:spPr>
                                      <wps:bodyPr/>
                                    </wps:wsp>
                                    <wps:wsp>
                                      <wps:cNvPr id="2078634894" name="2078634894 Conector recto de flecha"/>
                                      <wps:cNvCnPr/>
                                      <wps:spPr>
                                        <a:xfrm>
                                          <a:off x="1144402" y="1172451"/>
                                          <a:ext cx="128905" cy="448310"/>
                                        </a:xfrm>
                                        <a:prstGeom prst="straightConnector1">
                                          <a:avLst/>
                                        </a:prstGeom>
                                        <a:noFill/>
                                        <a:ln w="12700" cap="flat" cmpd="sng" algn="ctr">
                                          <a:solidFill>
                                            <a:sysClr val="windowText" lastClr="000000">
                                              <a:lumMod val="65000"/>
                                              <a:lumOff val="35000"/>
                                            </a:sysClr>
                                          </a:solidFill>
                                          <a:prstDash val="solid"/>
                                          <a:headEnd type="none" w="med" len="med"/>
                                          <a:tailEnd type="triangle" w="med" len="sm"/>
                                        </a:ln>
                                        <a:effectLst/>
                                      </wps:spPr>
                                      <wps:bodyPr/>
                                    </wps:wsp>
                                    <wps:wsp>
                                      <wps:cNvPr id="2078634895" name="2078634895 Conector recto de flecha"/>
                                      <wps:cNvCnPr/>
                                      <wps:spPr>
                                        <a:xfrm flipH="1" flipV="1">
                                          <a:off x="420736" y="1088304"/>
                                          <a:ext cx="637540" cy="32385"/>
                                        </a:xfrm>
                                        <a:prstGeom prst="straightConnector1">
                                          <a:avLst/>
                                        </a:prstGeom>
                                        <a:noFill/>
                                        <a:ln w="12700" cap="flat" cmpd="sng" algn="ctr">
                                          <a:solidFill>
                                            <a:sysClr val="windowText" lastClr="000000">
                                              <a:lumMod val="65000"/>
                                              <a:lumOff val="35000"/>
                                            </a:sysClr>
                                          </a:solidFill>
                                          <a:prstDash val="solid"/>
                                          <a:headEnd type="none" w="med" len="med"/>
                                          <a:tailEnd type="triangle" w="med" len="sm"/>
                                        </a:ln>
                                        <a:effectLst/>
                                      </wps:spPr>
                                      <wps:bodyPr/>
                                    </wps:wsp>
                                  </wpg:grpSp>
                                  <wpg:grpSp>
                                    <wpg:cNvPr id="2078634896" name="2078634896 Grupo"/>
                                    <wpg:cNvGrpSpPr/>
                                    <wpg:grpSpPr>
                                      <a:xfrm>
                                        <a:off x="2647950" y="0"/>
                                        <a:ext cx="2456180" cy="1724660"/>
                                        <a:chOff x="0" y="0"/>
                                        <a:chExt cx="1863725" cy="1308942"/>
                                      </a:xfrm>
                                    </wpg:grpSpPr>
                                    <wpg:grpSp>
                                      <wpg:cNvPr id="2078634897" name="2078634897 Grupo"/>
                                      <wpg:cNvGrpSpPr/>
                                      <wpg:grpSpPr>
                                        <a:xfrm>
                                          <a:off x="0" y="0"/>
                                          <a:ext cx="1863725" cy="1307465"/>
                                          <a:chOff x="0" y="0"/>
                                          <a:chExt cx="1863725" cy="1307465"/>
                                        </a:xfrm>
                                      </wpg:grpSpPr>
                                      <wpg:grpSp>
                                        <wpg:cNvPr id="2078634898" name="2078634898 Grupo"/>
                                        <wpg:cNvGrpSpPr/>
                                        <wpg:grpSpPr>
                                          <a:xfrm>
                                            <a:off x="0" y="0"/>
                                            <a:ext cx="1863725" cy="1307465"/>
                                            <a:chOff x="0" y="0"/>
                                            <a:chExt cx="1863725" cy="1307465"/>
                                          </a:xfrm>
                                        </wpg:grpSpPr>
                                        <wpg:grpSp>
                                          <wpg:cNvPr id="2078634899" name="2078634899 Grupo"/>
                                          <wpg:cNvGrpSpPr/>
                                          <wpg:grpSpPr>
                                            <a:xfrm>
                                              <a:off x="0" y="0"/>
                                              <a:ext cx="1863725" cy="1307465"/>
                                              <a:chOff x="0" y="0"/>
                                              <a:chExt cx="1863725" cy="1307826"/>
                                            </a:xfrm>
                                          </wpg:grpSpPr>
                                          <wps:wsp>
                                            <wps:cNvPr id="2078634900" name="2078634900 Forma libre"/>
                                            <wps:cNvSpPr/>
                                            <wps:spPr>
                                              <a:xfrm>
                                                <a:off x="600186" y="374234"/>
                                                <a:ext cx="771525" cy="600074"/>
                                              </a:xfrm>
                                              <a:custGeom>
                                                <a:avLst/>
                                                <a:gdLst>
                                                  <a:gd name="connsiteX0" fmla="*/ 0 w 771525"/>
                                                  <a:gd name="connsiteY0" fmla="*/ 0 h 600075"/>
                                                  <a:gd name="connsiteX1" fmla="*/ 365760 w 771525"/>
                                                  <a:gd name="connsiteY1" fmla="*/ 171450 h 600075"/>
                                                  <a:gd name="connsiteX2" fmla="*/ 771525 w 771525"/>
                                                  <a:gd name="connsiteY2" fmla="*/ 129540 h 600075"/>
                                                  <a:gd name="connsiteX3" fmla="*/ 706755 w 771525"/>
                                                  <a:gd name="connsiteY3" fmla="*/ 365760 h 600075"/>
                                                  <a:gd name="connsiteX4" fmla="*/ 93345 w 771525"/>
                                                  <a:gd name="connsiteY4" fmla="*/ 600075 h 600075"/>
                                                  <a:gd name="connsiteX5" fmla="*/ 0 w 771525"/>
                                                  <a:gd name="connsiteY5" fmla="*/ 0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600075">
                                                    <a:moveTo>
                                                      <a:pt x="0" y="0"/>
                                                    </a:moveTo>
                                                    <a:lnTo>
                                                      <a:pt x="365760" y="171450"/>
                                                    </a:lnTo>
                                                    <a:lnTo>
                                                      <a:pt x="771525" y="129540"/>
                                                    </a:lnTo>
                                                    <a:lnTo>
                                                      <a:pt x="706755" y="365760"/>
                                                    </a:lnTo>
                                                    <a:lnTo>
                                                      <a:pt x="93345" y="600075"/>
                                                    </a:lnTo>
                                                    <a:lnTo>
                                                      <a:pt x="0" y="0"/>
                                                    </a:lnTo>
                                                    <a:close/>
                                                  </a:path>
                                                </a:pathLst>
                                              </a:custGeom>
                                              <a:solidFill>
                                                <a:srgbClr val="00B0F0"/>
                                              </a:solidFill>
                                              <a:ln w="25400" cap="flat" cmpd="sng" algn="ctr">
                                                <a:noFill/>
                                                <a:prstDash val="solid"/>
                                              </a:ln>
                                              <a:effectLst/>
                                            </wps:spPr>
                                            <wps:txbx>
                                              <w:txbxContent>
                                                <w:p w14:paraId="7356080E"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D</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8634901" name="2078634901 Grupo"/>
                                            <wpg:cNvGrpSpPr/>
                                            <wpg:grpSpPr>
                                              <a:xfrm>
                                                <a:off x="0" y="0"/>
                                                <a:ext cx="1863725" cy="1307826"/>
                                                <a:chOff x="0" y="0"/>
                                                <a:chExt cx="1863725" cy="1307826"/>
                                              </a:xfrm>
                                            </wpg:grpSpPr>
                                            <wps:wsp>
                                              <wps:cNvPr id="2078634902" name="2078634902 Forma libre"/>
                                              <wps:cNvSpPr/>
                                              <wps:spPr>
                                                <a:xfrm>
                                                  <a:off x="571941" y="741406"/>
                                                  <a:ext cx="1019763" cy="566420"/>
                                                </a:xfrm>
                                                <a:custGeom>
                                                  <a:avLst/>
                                                  <a:gdLst>
                                                    <a:gd name="connsiteX0" fmla="*/ 0 w 1017270"/>
                                                    <a:gd name="connsiteY0" fmla="*/ 567690 h 567690"/>
                                                    <a:gd name="connsiteX1" fmla="*/ 120015 w 1017270"/>
                                                    <a:gd name="connsiteY1" fmla="*/ 230505 h 567690"/>
                                                    <a:gd name="connsiteX2" fmla="*/ 729615 w 1017270"/>
                                                    <a:gd name="connsiteY2" fmla="*/ 0 h 567690"/>
                                                    <a:gd name="connsiteX3" fmla="*/ 1017270 w 1017270"/>
                                                    <a:gd name="connsiteY3" fmla="*/ 281940 h 567690"/>
                                                    <a:gd name="connsiteX4" fmla="*/ 575310 w 1017270"/>
                                                    <a:gd name="connsiteY4" fmla="*/ 550545 h 567690"/>
                                                    <a:gd name="connsiteX5" fmla="*/ 0 w 1017270"/>
                                                    <a:gd name="connsiteY5" fmla="*/ 567690 h 567690"/>
                                                    <a:gd name="connsiteX0" fmla="*/ 0 w 1019763"/>
                                                    <a:gd name="connsiteY0" fmla="*/ 566420 h 566420"/>
                                                    <a:gd name="connsiteX1" fmla="*/ 122508 w 1019763"/>
                                                    <a:gd name="connsiteY1" fmla="*/ 230505 h 566420"/>
                                                    <a:gd name="connsiteX2" fmla="*/ 732108 w 1019763"/>
                                                    <a:gd name="connsiteY2" fmla="*/ 0 h 566420"/>
                                                    <a:gd name="connsiteX3" fmla="*/ 1019763 w 1019763"/>
                                                    <a:gd name="connsiteY3" fmla="*/ 281940 h 566420"/>
                                                    <a:gd name="connsiteX4" fmla="*/ 577803 w 1019763"/>
                                                    <a:gd name="connsiteY4" fmla="*/ 550545 h 566420"/>
                                                    <a:gd name="connsiteX5" fmla="*/ 0 w 1019763"/>
                                                    <a:gd name="connsiteY5" fmla="*/ 566420 h 566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19763" h="566420">
                                                      <a:moveTo>
                                                        <a:pt x="0" y="566420"/>
                                                      </a:moveTo>
                                                      <a:lnTo>
                                                        <a:pt x="122508" y="230505"/>
                                                      </a:lnTo>
                                                      <a:lnTo>
                                                        <a:pt x="732108" y="0"/>
                                                      </a:lnTo>
                                                      <a:lnTo>
                                                        <a:pt x="1019763" y="281940"/>
                                                      </a:lnTo>
                                                      <a:lnTo>
                                                        <a:pt x="577803" y="550545"/>
                                                      </a:lnTo>
                                                      <a:lnTo>
                                                        <a:pt x="0" y="566420"/>
                                                      </a:lnTo>
                                                      <a:close/>
                                                    </a:path>
                                                  </a:pathLst>
                                                </a:custGeom>
                                                <a:solidFill>
                                                  <a:srgbClr val="92D050"/>
                                                </a:solidFill>
                                                <a:ln w="25400" cap="flat" cmpd="sng" algn="ctr">
                                                  <a:noFill/>
                                                  <a:prstDash val="solid"/>
                                                </a:ln>
                                                <a:effectLst/>
                                              </wps:spPr>
                                              <wps:txbx>
                                                <w:txbxContent>
                                                  <w:p w14:paraId="46800483"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8634903" name="2078634903 Grupo"/>
                                              <wpg:cNvGrpSpPr/>
                                              <wpg:grpSpPr>
                                                <a:xfrm>
                                                  <a:off x="0" y="0"/>
                                                  <a:ext cx="1863725" cy="1307465"/>
                                                  <a:chOff x="0" y="0"/>
                                                  <a:chExt cx="1864287" cy="1307467"/>
                                                </a:xfrm>
                                              </wpg:grpSpPr>
                                              <wps:wsp>
                                                <wps:cNvPr id="2078634904" name="2078634904 Forma libre"/>
                                                <wps:cNvSpPr/>
                                                <wps:spPr>
                                                  <a:xfrm>
                                                    <a:off x="1303084" y="95061"/>
                                                    <a:ext cx="561203" cy="929372"/>
                                                  </a:xfrm>
                                                  <a:custGeom>
                                                    <a:avLst/>
                                                    <a:gdLst>
                                                      <a:gd name="connsiteX0" fmla="*/ 345621 w 547007"/>
                                                      <a:gd name="connsiteY0" fmla="*/ 0 h 919843"/>
                                                      <a:gd name="connsiteX1" fmla="*/ 547007 w 547007"/>
                                                      <a:gd name="connsiteY1" fmla="*/ 462643 h 919843"/>
                                                      <a:gd name="connsiteX2" fmla="*/ 277586 w 547007"/>
                                                      <a:gd name="connsiteY2" fmla="*/ 919843 h 919843"/>
                                                      <a:gd name="connsiteX3" fmla="*/ 0 w 547007"/>
                                                      <a:gd name="connsiteY3" fmla="*/ 636814 h 919843"/>
                                                      <a:gd name="connsiteX4" fmla="*/ 51707 w 547007"/>
                                                      <a:gd name="connsiteY4" fmla="*/ 400050 h 919843"/>
                                                      <a:gd name="connsiteX5" fmla="*/ 89807 w 547007"/>
                                                      <a:gd name="connsiteY5" fmla="*/ 106136 h 919843"/>
                                                      <a:gd name="connsiteX6" fmla="*/ 345621 w 547007"/>
                                                      <a:gd name="connsiteY6" fmla="*/ 0 h 919843"/>
                                                      <a:gd name="connsiteX0" fmla="*/ 343706 w 547007"/>
                                                      <a:gd name="connsiteY0" fmla="*/ 0 h 919843"/>
                                                      <a:gd name="connsiteX1" fmla="*/ 547007 w 547007"/>
                                                      <a:gd name="connsiteY1" fmla="*/ 462643 h 919843"/>
                                                      <a:gd name="connsiteX2" fmla="*/ 277586 w 547007"/>
                                                      <a:gd name="connsiteY2" fmla="*/ 919843 h 919843"/>
                                                      <a:gd name="connsiteX3" fmla="*/ 0 w 547007"/>
                                                      <a:gd name="connsiteY3" fmla="*/ 636814 h 919843"/>
                                                      <a:gd name="connsiteX4" fmla="*/ 51707 w 547007"/>
                                                      <a:gd name="connsiteY4" fmla="*/ 400050 h 919843"/>
                                                      <a:gd name="connsiteX5" fmla="*/ 89807 w 547007"/>
                                                      <a:gd name="connsiteY5" fmla="*/ 106136 h 919843"/>
                                                      <a:gd name="connsiteX6" fmla="*/ 343706 w 547007"/>
                                                      <a:gd name="connsiteY6" fmla="*/ 0 h 919843"/>
                                                      <a:gd name="connsiteX0" fmla="*/ 343706 w 547007"/>
                                                      <a:gd name="connsiteY0" fmla="*/ 0 h 929372"/>
                                                      <a:gd name="connsiteX1" fmla="*/ 547007 w 547007"/>
                                                      <a:gd name="connsiteY1" fmla="*/ 472172 h 929372"/>
                                                      <a:gd name="connsiteX2" fmla="*/ 277586 w 547007"/>
                                                      <a:gd name="connsiteY2" fmla="*/ 929372 h 929372"/>
                                                      <a:gd name="connsiteX3" fmla="*/ 0 w 547007"/>
                                                      <a:gd name="connsiteY3" fmla="*/ 646343 h 929372"/>
                                                      <a:gd name="connsiteX4" fmla="*/ 51707 w 547007"/>
                                                      <a:gd name="connsiteY4" fmla="*/ 409579 h 929372"/>
                                                      <a:gd name="connsiteX5" fmla="*/ 89807 w 547007"/>
                                                      <a:gd name="connsiteY5" fmla="*/ 115665 h 929372"/>
                                                      <a:gd name="connsiteX6" fmla="*/ 343706 w 547007"/>
                                                      <a:gd name="connsiteY6" fmla="*/ 0 h 929372"/>
                                                      <a:gd name="connsiteX0" fmla="*/ 343706 w 547007"/>
                                                      <a:gd name="connsiteY0" fmla="*/ 0 h 929372"/>
                                                      <a:gd name="connsiteX1" fmla="*/ 547007 w 547007"/>
                                                      <a:gd name="connsiteY1" fmla="*/ 472172 h 929372"/>
                                                      <a:gd name="connsiteX2" fmla="*/ 277586 w 547007"/>
                                                      <a:gd name="connsiteY2" fmla="*/ 929372 h 929372"/>
                                                      <a:gd name="connsiteX3" fmla="*/ 0 w 547007"/>
                                                      <a:gd name="connsiteY3" fmla="*/ 646343 h 929372"/>
                                                      <a:gd name="connsiteX4" fmla="*/ 51707 w 547007"/>
                                                      <a:gd name="connsiteY4" fmla="*/ 409579 h 929372"/>
                                                      <a:gd name="connsiteX5" fmla="*/ 89834 w 547007"/>
                                                      <a:gd name="connsiteY5" fmla="*/ 105528 h 929372"/>
                                                      <a:gd name="connsiteX6" fmla="*/ 343706 w 547007"/>
                                                      <a:gd name="connsiteY6" fmla="*/ 0 h 929372"/>
                                                      <a:gd name="connsiteX0" fmla="*/ 357902 w 561203"/>
                                                      <a:gd name="connsiteY0" fmla="*/ 0 h 929372"/>
                                                      <a:gd name="connsiteX1" fmla="*/ 561203 w 561203"/>
                                                      <a:gd name="connsiteY1" fmla="*/ 472172 h 929372"/>
                                                      <a:gd name="connsiteX2" fmla="*/ 291782 w 561203"/>
                                                      <a:gd name="connsiteY2" fmla="*/ 929372 h 929372"/>
                                                      <a:gd name="connsiteX3" fmla="*/ 0 w 561203"/>
                                                      <a:gd name="connsiteY3" fmla="*/ 644317 h 929372"/>
                                                      <a:gd name="connsiteX4" fmla="*/ 65903 w 561203"/>
                                                      <a:gd name="connsiteY4" fmla="*/ 409579 h 929372"/>
                                                      <a:gd name="connsiteX5" fmla="*/ 104030 w 561203"/>
                                                      <a:gd name="connsiteY5" fmla="*/ 105528 h 929372"/>
                                                      <a:gd name="connsiteX6" fmla="*/ 357902 w 561203"/>
                                                      <a:gd name="connsiteY6" fmla="*/ 0 h 929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203" h="929372">
                                                        <a:moveTo>
                                                          <a:pt x="357902" y="0"/>
                                                        </a:moveTo>
                                                        <a:lnTo>
                                                          <a:pt x="561203" y="472172"/>
                                                        </a:lnTo>
                                                        <a:lnTo>
                                                          <a:pt x="291782" y="929372"/>
                                                        </a:lnTo>
                                                        <a:lnTo>
                                                          <a:pt x="0" y="644317"/>
                                                        </a:lnTo>
                                                        <a:lnTo>
                                                          <a:pt x="65903" y="409579"/>
                                                        </a:lnTo>
                                                        <a:lnTo>
                                                          <a:pt x="104030" y="105528"/>
                                                        </a:lnTo>
                                                        <a:lnTo>
                                                          <a:pt x="357902" y="0"/>
                                                        </a:lnTo>
                                                        <a:close/>
                                                      </a:path>
                                                    </a:pathLst>
                                                  </a:custGeom>
                                                  <a:solidFill>
                                                    <a:srgbClr val="D60093"/>
                                                  </a:solidFill>
                                                  <a:ln w="25400" cap="flat" cmpd="sng" algn="ctr">
                                                    <a:noFill/>
                                                    <a:prstDash val="solid"/>
                                                  </a:ln>
                                                  <a:effectLst/>
                                                </wps:spPr>
                                                <wps:txbx>
                                                  <w:txbxContent>
                                                    <w:p w14:paraId="3839DFFF"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634905" name="2078634905 Forma libre"/>
                                                <wps:cNvSpPr/>
                                                <wps:spPr>
                                                  <a:xfrm>
                                                    <a:off x="574895" y="1"/>
                                                    <a:ext cx="1086259" cy="547408"/>
                                                  </a:xfrm>
                                                  <a:custGeom>
                                                    <a:avLst/>
                                                    <a:gdLst>
                                                      <a:gd name="connsiteX0" fmla="*/ 0 w 1050939"/>
                                                      <a:gd name="connsiteY0" fmla="*/ 372380 h 537882"/>
                                                      <a:gd name="connsiteX1" fmla="*/ 351692 w 1050939"/>
                                                      <a:gd name="connsiteY1" fmla="*/ 537882 h 537882"/>
                                                      <a:gd name="connsiteX2" fmla="*/ 761310 w 1050939"/>
                                                      <a:gd name="connsiteY2" fmla="*/ 504782 h 537882"/>
                                                      <a:gd name="connsiteX3" fmla="*/ 798548 w 1050939"/>
                                                      <a:gd name="connsiteY3" fmla="*/ 206877 h 537882"/>
                                                      <a:gd name="connsiteX4" fmla="*/ 1050939 w 1050939"/>
                                                      <a:gd name="connsiteY4" fmla="*/ 99301 h 537882"/>
                                                      <a:gd name="connsiteX5" fmla="*/ 384793 w 1050939"/>
                                                      <a:gd name="connsiteY5" fmla="*/ 0 h 537882"/>
                                                      <a:gd name="connsiteX6" fmla="*/ 0 w 1050939"/>
                                                      <a:gd name="connsiteY6" fmla="*/ 372380 h 537882"/>
                                                      <a:gd name="connsiteX0" fmla="*/ 0 w 1063639"/>
                                                      <a:gd name="connsiteY0" fmla="*/ 368171 h 537882"/>
                                                      <a:gd name="connsiteX1" fmla="*/ 36439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68171 h 537882"/>
                                                      <a:gd name="connsiteX0" fmla="*/ 0 w 1063639"/>
                                                      <a:gd name="connsiteY0" fmla="*/ 371501 h 537882"/>
                                                      <a:gd name="connsiteX1" fmla="*/ 36439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37882"/>
                                                      <a:gd name="connsiteX1" fmla="*/ 364507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37882"/>
                                                      <a:gd name="connsiteX1" fmla="*/ 364622 w 1063639"/>
                                                      <a:gd name="connsiteY1" fmla="*/ 537882 h 537882"/>
                                                      <a:gd name="connsiteX2" fmla="*/ 774010 w 1063639"/>
                                                      <a:gd name="connsiteY2" fmla="*/ 504782 h 537882"/>
                                                      <a:gd name="connsiteX3" fmla="*/ 811248 w 1063639"/>
                                                      <a:gd name="connsiteY3" fmla="*/ 206877 h 537882"/>
                                                      <a:gd name="connsiteX4" fmla="*/ 1063639 w 1063639"/>
                                                      <a:gd name="connsiteY4" fmla="*/ 99301 h 537882"/>
                                                      <a:gd name="connsiteX5" fmla="*/ 397493 w 1063639"/>
                                                      <a:gd name="connsiteY5" fmla="*/ 0 h 537882"/>
                                                      <a:gd name="connsiteX6" fmla="*/ 0 w 1063639"/>
                                                      <a:gd name="connsiteY6" fmla="*/ 371501 h 537882"/>
                                                      <a:gd name="connsiteX0" fmla="*/ 0 w 1063639"/>
                                                      <a:gd name="connsiteY0" fmla="*/ 371501 h 547446"/>
                                                      <a:gd name="connsiteX1" fmla="*/ 362831 w 1063639"/>
                                                      <a:gd name="connsiteY1" fmla="*/ 547446 h 547446"/>
                                                      <a:gd name="connsiteX2" fmla="*/ 774010 w 1063639"/>
                                                      <a:gd name="connsiteY2" fmla="*/ 504782 h 547446"/>
                                                      <a:gd name="connsiteX3" fmla="*/ 811248 w 1063639"/>
                                                      <a:gd name="connsiteY3" fmla="*/ 206877 h 547446"/>
                                                      <a:gd name="connsiteX4" fmla="*/ 1063639 w 1063639"/>
                                                      <a:gd name="connsiteY4" fmla="*/ 99301 h 547446"/>
                                                      <a:gd name="connsiteX5" fmla="*/ 397493 w 1063639"/>
                                                      <a:gd name="connsiteY5" fmla="*/ 0 h 547446"/>
                                                      <a:gd name="connsiteX6" fmla="*/ 0 w 1063639"/>
                                                      <a:gd name="connsiteY6" fmla="*/ 371501 h 547446"/>
                                                      <a:gd name="connsiteX0" fmla="*/ 0 w 1086273"/>
                                                      <a:gd name="connsiteY0" fmla="*/ 371216 h 547446"/>
                                                      <a:gd name="connsiteX1" fmla="*/ 385465 w 1086273"/>
                                                      <a:gd name="connsiteY1" fmla="*/ 547446 h 547446"/>
                                                      <a:gd name="connsiteX2" fmla="*/ 796644 w 1086273"/>
                                                      <a:gd name="connsiteY2" fmla="*/ 504782 h 547446"/>
                                                      <a:gd name="connsiteX3" fmla="*/ 833882 w 1086273"/>
                                                      <a:gd name="connsiteY3" fmla="*/ 206877 h 547446"/>
                                                      <a:gd name="connsiteX4" fmla="*/ 1086273 w 1086273"/>
                                                      <a:gd name="connsiteY4" fmla="*/ 99301 h 547446"/>
                                                      <a:gd name="connsiteX5" fmla="*/ 420127 w 1086273"/>
                                                      <a:gd name="connsiteY5" fmla="*/ 0 h 547446"/>
                                                      <a:gd name="connsiteX6" fmla="*/ 0 w 1086273"/>
                                                      <a:gd name="connsiteY6" fmla="*/ 371216 h 547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6273" h="547446">
                                                        <a:moveTo>
                                                          <a:pt x="0" y="371216"/>
                                                        </a:moveTo>
                                                        <a:lnTo>
                                                          <a:pt x="385465" y="547446"/>
                                                        </a:lnTo>
                                                        <a:lnTo>
                                                          <a:pt x="796644" y="504782"/>
                                                        </a:lnTo>
                                                        <a:lnTo>
                                                          <a:pt x="833882" y="206877"/>
                                                        </a:lnTo>
                                                        <a:lnTo>
                                                          <a:pt x="1086273" y="99301"/>
                                                        </a:lnTo>
                                                        <a:lnTo>
                                                          <a:pt x="420127" y="0"/>
                                                        </a:lnTo>
                                                        <a:lnTo>
                                                          <a:pt x="0" y="371216"/>
                                                        </a:lnTo>
                                                        <a:close/>
                                                      </a:path>
                                                    </a:pathLst>
                                                  </a:custGeom>
                                                  <a:solidFill>
                                                    <a:srgbClr val="FFC000"/>
                                                  </a:solidFill>
                                                  <a:ln w="25400" cap="flat" cmpd="sng" algn="ctr">
                                                    <a:noFill/>
                                                    <a:prstDash val="solid"/>
                                                  </a:ln>
                                                  <a:effectLst/>
                                                </wps:spPr>
                                                <wps:txbx>
                                                  <w:txbxContent>
                                                    <w:p w14:paraId="1F52FB47"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B</w:t>
                                                      </w:r>
                                                      <w:r w:rsidRPr="004E4C01">
                                                        <w:rPr>
                                                          <w:color w:val="0D0D0D" w:themeColor="text1" w:themeTint="F2"/>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634906" name="2078634906 Forma libre"/>
                                                <wps:cNvSpPr/>
                                                <wps:spPr>
                                                  <a:xfrm>
                                                    <a:off x="0" y="0"/>
                                                    <a:ext cx="993014" cy="1307467"/>
                                                  </a:xfrm>
                                                  <a:custGeom>
                                                    <a:avLst/>
                                                    <a:gdLst>
                                                      <a:gd name="connsiteX0" fmla="*/ 471682 w 993014"/>
                                                      <a:gd name="connsiteY0" fmla="*/ 86888 h 1307467"/>
                                                      <a:gd name="connsiteX1" fmla="*/ 198603 w 993014"/>
                                                      <a:gd name="connsiteY1" fmla="*/ 281353 h 1307467"/>
                                                      <a:gd name="connsiteX2" fmla="*/ 0 w 993014"/>
                                                      <a:gd name="connsiteY2" fmla="*/ 753035 h 1307467"/>
                                                      <a:gd name="connsiteX3" fmla="*/ 132402 w 993014"/>
                                                      <a:gd name="connsiteY3" fmla="*/ 1150240 h 1307467"/>
                                                      <a:gd name="connsiteX4" fmla="*/ 575121 w 993014"/>
                                                      <a:gd name="connsiteY4" fmla="*/ 1307467 h 1307467"/>
                                                      <a:gd name="connsiteX5" fmla="*/ 695110 w 993014"/>
                                                      <a:gd name="connsiteY5" fmla="*/ 976463 h 1307467"/>
                                                      <a:gd name="connsiteX6" fmla="*/ 599946 w 993014"/>
                                                      <a:gd name="connsiteY6" fmla="*/ 368242 h 1307467"/>
                                                      <a:gd name="connsiteX7" fmla="*/ 993014 w 993014"/>
                                                      <a:gd name="connsiteY7" fmla="*/ 0 h 1307467"/>
                                                      <a:gd name="connsiteX8" fmla="*/ 471682 w 993014"/>
                                                      <a:gd name="connsiteY8" fmla="*/ 86888 h 1307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93014" h="1307467">
                                                        <a:moveTo>
                                                          <a:pt x="471682" y="86888"/>
                                                        </a:moveTo>
                                                        <a:lnTo>
                                                          <a:pt x="198603" y="281353"/>
                                                        </a:lnTo>
                                                        <a:lnTo>
                                                          <a:pt x="0" y="753035"/>
                                                        </a:lnTo>
                                                        <a:lnTo>
                                                          <a:pt x="132402" y="1150240"/>
                                                        </a:lnTo>
                                                        <a:lnTo>
                                                          <a:pt x="575121" y="1307467"/>
                                                        </a:lnTo>
                                                        <a:lnTo>
                                                          <a:pt x="695110" y="976463"/>
                                                        </a:lnTo>
                                                        <a:lnTo>
                                                          <a:pt x="599946" y="368242"/>
                                                        </a:lnTo>
                                                        <a:lnTo>
                                                          <a:pt x="993014" y="0"/>
                                                        </a:lnTo>
                                                        <a:lnTo>
                                                          <a:pt x="471682" y="86888"/>
                                                        </a:lnTo>
                                                        <a:close/>
                                                      </a:path>
                                                    </a:pathLst>
                                                  </a:custGeom>
                                                  <a:solidFill>
                                                    <a:srgbClr val="FF3300"/>
                                                  </a:solidFill>
                                                  <a:ln w="25400" cap="flat" cmpd="sng" algn="ctr">
                                                    <a:noFill/>
                                                    <a:prstDash val="solid"/>
                                                  </a:ln>
                                                  <a:effectLst/>
                                                </wps:spPr>
                                                <wps:txbx>
                                                  <w:txbxContent>
                                                    <w:p w14:paraId="4D7E8AC4"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78634907" name="2078634907 Grupo"/>
                                          <wpg:cNvGrpSpPr/>
                                          <wpg:grpSpPr>
                                            <a:xfrm>
                                              <a:off x="420364" y="60671"/>
                                              <a:ext cx="1046242" cy="1238250"/>
                                              <a:chOff x="23813" y="0"/>
                                              <a:chExt cx="904557" cy="1137740"/>
                                            </a:xfrm>
                                          </wpg:grpSpPr>
                                          <wps:wsp>
                                            <wps:cNvPr id="2078634908" name="2078634908 Cuadro de texto"/>
                                            <wps:cNvSpPr txBox="1"/>
                                            <wps:spPr>
                                              <a:xfrm>
                                                <a:off x="286603" y="975815"/>
                                                <a:ext cx="152400" cy="161925"/>
                                              </a:xfrm>
                                              <a:prstGeom prst="rect">
                                                <a:avLst/>
                                              </a:prstGeom>
                                              <a:noFill/>
                                              <a:ln w="6350">
                                                <a:noFill/>
                                              </a:ln>
                                              <a:effectLst/>
                                            </wps:spPr>
                                            <wps:txbx>
                                              <w:txbxContent>
                                                <w:p w14:paraId="0A9E4EFB" w14:textId="77777777" w:rsidR="00D55F13" w:rsidRPr="004E4C01" w:rsidRDefault="00D55F13" w:rsidP="0065023A">
                                                  <w:pPr>
                                                    <w:jc w:val="center"/>
                                                    <w:rPr>
                                                      <w:sz w:val="20"/>
                                                      <w:szCs w:val="20"/>
                                                    </w:rPr>
                                                  </w:pPr>
                                                  <w:r w:rsidRPr="004E4C01">
                                                    <w:rPr>
                                                      <w:sz w:val="20"/>
                                                      <w:szCs w:val="20"/>
                                                    </w:rPr>
                                                    <w:t>E</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78634909" name="2078634909 Grupo"/>
                                            <wpg:cNvGrpSpPr/>
                                            <wpg:grpSpPr>
                                              <a:xfrm>
                                                <a:off x="23813" y="0"/>
                                                <a:ext cx="904557" cy="1106013"/>
                                                <a:chOff x="23813" y="0"/>
                                                <a:chExt cx="904557" cy="1106013"/>
                                              </a:xfrm>
                                            </wpg:grpSpPr>
                                            <wpg:grpSp>
                                              <wpg:cNvPr id="2078634910" name="2078634910 Grupo"/>
                                              <wpg:cNvGrpSpPr/>
                                              <wpg:grpSpPr>
                                                <a:xfrm>
                                                  <a:off x="23813" y="0"/>
                                                  <a:ext cx="904557" cy="1106013"/>
                                                  <a:chOff x="23813" y="0"/>
                                                  <a:chExt cx="904557" cy="1106013"/>
                                                </a:xfrm>
                                              </wpg:grpSpPr>
                                              <wpg:grpSp>
                                                <wpg:cNvPr id="2078634911" name="2078634911 Grupo"/>
                                                <wpg:cNvGrpSpPr/>
                                                <wpg:grpSpPr>
                                                  <a:xfrm>
                                                    <a:off x="23813" y="0"/>
                                                    <a:ext cx="904557" cy="1106013"/>
                                                    <a:chOff x="0" y="-162470"/>
                                                    <a:chExt cx="905057" cy="1106473"/>
                                                  </a:xfrm>
                                                </wpg:grpSpPr>
                                                <wps:wsp>
                                                  <wps:cNvPr id="2078634912" name="2078634912 Conector recto"/>
                                                  <wps:cNvCnPr/>
                                                  <wps:spPr>
                                                    <a:xfrm>
                                                      <a:off x="0" y="-162470"/>
                                                      <a:ext cx="905057" cy="666739"/>
                                                    </a:xfrm>
                                                    <a:prstGeom prst="line">
                                                      <a:avLst/>
                                                    </a:prstGeom>
                                                    <a:noFill/>
                                                    <a:ln w="9525" cap="flat" cmpd="sng" algn="ctr">
                                                      <a:solidFill>
                                                        <a:sysClr val="windowText" lastClr="000000"/>
                                                      </a:solidFill>
                                                      <a:prstDash val="sysDash"/>
                                                    </a:ln>
                                                    <a:effectLst/>
                                                  </wps:spPr>
                                                  <wps:bodyPr/>
                                                </wps:wsp>
                                                <wps:wsp>
                                                  <wps:cNvPr id="2078634913" name="2078634913 Forma libre"/>
                                                  <wps:cNvSpPr/>
                                                  <wps:spPr>
                                                    <a:xfrm>
                                                      <a:off x="0" y="805856"/>
                                                      <a:ext cx="726915" cy="138147"/>
                                                    </a:xfrm>
                                                    <a:custGeom>
                                                      <a:avLst/>
                                                      <a:gdLst>
                                                        <a:gd name="connsiteX0" fmla="*/ 0 w 726915"/>
                                                        <a:gd name="connsiteY0" fmla="*/ 3289 h 138147"/>
                                                        <a:gd name="connsiteX1" fmla="*/ 348656 w 726915"/>
                                                        <a:gd name="connsiteY1" fmla="*/ 0 h 138147"/>
                                                        <a:gd name="connsiteX2" fmla="*/ 621660 w 726915"/>
                                                        <a:gd name="connsiteY2" fmla="*/ 88808 h 138147"/>
                                                        <a:gd name="connsiteX3" fmla="*/ 726915 w 726915"/>
                                                        <a:gd name="connsiteY3" fmla="*/ 138147 h 138147"/>
                                                      </a:gdLst>
                                                      <a:ahLst/>
                                                      <a:cxnLst>
                                                        <a:cxn ang="0">
                                                          <a:pos x="connsiteX0" y="connsiteY0"/>
                                                        </a:cxn>
                                                        <a:cxn ang="0">
                                                          <a:pos x="connsiteX1" y="connsiteY1"/>
                                                        </a:cxn>
                                                        <a:cxn ang="0">
                                                          <a:pos x="connsiteX2" y="connsiteY2"/>
                                                        </a:cxn>
                                                        <a:cxn ang="0">
                                                          <a:pos x="connsiteX3" y="connsiteY3"/>
                                                        </a:cxn>
                                                      </a:cxnLst>
                                                      <a:rect l="l" t="t" r="r" b="b"/>
                                                      <a:pathLst>
                                                        <a:path w="726915" h="138147">
                                                          <a:moveTo>
                                                            <a:pt x="0" y="3289"/>
                                                          </a:moveTo>
                                                          <a:lnTo>
                                                            <a:pt x="348656" y="0"/>
                                                          </a:lnTo>
                                                          <a:lnTo>
                                                            <a:pt x="621660" y="88808"/>
                                                          </a:lnTo>
                                                          <a:lnTo>
                                                            <a:pt x="726915" y="138147"/>
                                                          </a:lnTo>
                                                        </a:path>
                                                      </a:pathLst>
                                                    </a:custGeom>
                                                    <a:noFill/>
                                                    <a:ln w="9525" cap="flat" cmpd="sng" algn="ctr">
                                                      <a:solidFill>
                                                        <a:sysClr val="windowText" lastClr="000000"/>
                                                      </a:solidFill>
                                                      <a:prstDash val="lg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8634914" name="2078634914 Cuadro de texto"/>
                                                <wps:cNvSpPr txBox="1"/>
                                                <wps:spPr>
                                                  <a:xfrm>
                                                    <a:off x="254700" y="221352"/>
                                                    <a:ext cx="152400" cy="161925"/>
                                                  </a:xfrm>
                                                  <a:prstGeom prst="rect">
                                                    <a:avLst/>
                                                  </a:prstGeom>
                                                  <a:noFill/>
                                                  <a:ln w="6350">
                                                    <a:noFill/>
                                                  </a:ln>
                                                  <a:effectLst/>
                                                </wps:spPr>
                                                <wps:txbx>
                                                  <w:txbxContent>
                                                    <w:p w14:paraId="7648BB7D" w14:textId="77777777" w:rsidR="00D55F13" w:rsidRPr="004E4C01" w:rsidRDefault="00D55F13" w:rsidP="0065023A">
                                                      <w:pPr>
                                                        <w:jc w:val="center"/>
                                                        <w:rPr>
                                                          <w:sz w:val="20"/>
                                                          <w:szCs w:val="20"/>
                                                        </w:rPr>
                                                      </w:pPr>
                                                      <w:r w:rsidRPr="004E4C01">
                                                        <w:rPr>
                                                          <w:sz w:val="20"/>
                                                          <w:szCs w:val="20"/>
                                                        </w:rPr>
                                                        <w:t>B</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078634915" name="2078634915 Cuadro de texto"/>
                                              <wps:cNvSpPr txBox="1"/>
                                              <wps:spPr>
                                                <a:xfrm>
                                                  <a:off x="688912" y="387818"/>
                                                  <a:ext cx="152400" cy="161925"/>
                                                </a:xfrm>
                                                <a:prstGeom prst="rect">
                                                  <a:avLst/>
                                                </a:prstGeom>
                                                <a:noFill/>
                                                <a:ln w="6350">
                                                  <a:noFill/>
                                                </a:ln>
                                                <a:effectLst/>
                                              </wps:spPr>
                                              <wps:txbx>
                                                <w:txbxContent>
                                                  <w:p w14:paraId="5F4D8F1D" w14:textId="77777777" w:rsidR="00D55F13" w:rsidRPr="004E4C01" w:rsidRDefault="00D55F13" w:rsidP="0065023A">
                                                    <w:pPr>
                                                      <w:jc w:val="center"/>
                                                      <w:rPr>
                                                        <w:sz w:val="20"/>
                                                        <w:szCs w:val="20"/>
                                                      </w:rPr>
                                                    </w:pPr>
                                                    <w:r w:rsidRPr="004E4C01">
                                                      <w:rPr>
                                                        <w:sz w:val="20"/>
                                                        <w:szCs w:val="20"/>
                                                      </w:rPr>
                                                      <w:t>D</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s:wsp>
                                        <wps:cNvPr id="2078634916" name="2078634916 Cuadro de texto"/>
                                        <wps:cNvSpPr txBox="1"/>
                                        <wps:spPr>
                                          <a:xfrm>
                                            <a:off x="645714" y="47670"/>
                                            <a:ext cx="175895" cy="175895"/>
                                          </a:xfrm>
                                          <a:prstGeom prst="rect">
                                            <a:avLst/>
                                          </a:prstGeom>
                                          <a:noFill/>
                                          <a:ln w="6350">
                                            <a:noFill/>
                                          </a:ln>
                                          <a:effectLst/>
                                        </wps:spPr>
                                        <wps:txbx>
                                          <w:txbxContent>
                                            <w:p w14:paraId="3D782A2C" w14:textId="77777777" w:rsidR="00D55F13" w:rsidRPr="004E4C01" w:rsidRDefault="00D55F13" w:rsidP="0065023A">
                                              <w:pPr>
                                                <w:jc w:val="center"/>
                                                <w:rPr>
                                                  <w:sz w:val="20"/>
                                                  <w:szCs w:val="20"/>
                                                </w:rPr>
                                              </w:pPr>
                                              <w:r w:rsidRPr="004E4C01">
                                                <w:rPr>
                                                  <w:sz w:val="20"/>
                                                  <w:szCs w:val="20"/>
                                                </w:rPr>
                                                <w:t>A</w:t>
                                              </w:r>
                                              <w:r w:rsidRPr="004E4C01">
                                                <w:rPr>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078634917" name="2078634917 Grupo"/>
                                      <wpg:cNvGrpSpPr/>
                                      <wpg:grpSpPr>
                                        <a:xfrm>
                                          <a:off x="0" y="93552"/>
                                          <a:ext cx="1591310" cy="1215390"/>
                                          <a:chOff x="0" y="0"/>
                                          <a:chExt cx="1591380" cy="1215676"/>
                                        </a:xfrm>
                                      </wpg:grpSpPr>
                                      <wps:wsp>
                                        <wps:cNvPr id="2078634918" name="2078634918 Forma libre"/>
                                        <wps:cNvSpPr/>
                                        <wps:spPr>
                                          <a:xfrm>
                                            <a:off x="0" y="0"/>
                                            <a:ext cx="1591380" cy="1215676"/>
                                          </a:xfrm>
                                          <a:custGeom>
                                            <a:avLst/>
                                            <a:gdLst>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09 w 1585665"/>
                                              <a:gd name="connsiteY6" fmla="*/ 1020111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65128 w 1585665"/>
                                              <a:gd name="connsiteY0" fmla="*/ 0 h 1215676"/>
                                              <a:gd name="connsiteX1" fmla="*/ 1318744 w 1585665"/>
                                              <a:gd name="connsiteY1" fmla="*/ 594624 h 1215676"/>
                                              <a:gd name="connsiteX2" fmla="*/ 1297602 w 1585665"/>
                                              <a:gd name="connsiteY2" fmla="*/ 652765 h 1215676"/>
                                              <a:gd name="connsiteX3" fmla="*/ 1585665 w 1585665"/>
                                              <a:gd name="connsiteY3" fmla="*/ 924971 h 1215676"/>
                                              <a:gd name="connsiteX4" fmla="*/ 1220962 w 1585665"/>
                                              <a:gd name="connsiteY4" fmla="*/ 1154892 h 1215676"/>
                                              <a:gd name="connsiteX5" fmla="*/ 816617 w 1585665"/>
                                              <a:gd name="connsiteY5" fmla="*/ 1025396 h 1215676"/>
                                              <a:gd name="connsiteX6" fmla="*/ 636937 w 1585665"/>
                                              <a:gd name="connsiteY6" fmla="*/ 1029588 h 1215676"/>
                                              <a:gd name="connsiteX7" fmla="*/ 570839 w 1585665"/>
                                              <a:gd name="connsiteY7" fmla="*/ 1215676 h 1215676"/>
                                              <a:gd name="connsiteX8" fmla="*/ 132139 w 1585665"/>
                                              <a:gd name="connsiteY8" fmla="*/ 1057109 h 1215676"/>
                                              <a:gd name="connsiteX9" fmla="*/ 0 w 1585665"/>
                                              <a:gd name="connsiteY9" fmla="*/ 658050 h 1215676"/>
                                              <a:gd name="connsiteX10" fmla="*/ 195565 w 1585665"/>
                                              <a:gd name="connsiteY10" fmla="*/ 190279 h 1215676"/>
                                              <a:gd name="connsiteX11" fmla="*/ 465128 w 1585665"/>
                                              <a:gd name="connsiteY11" fmla="*/ 0 h 1215676"/>
                                              <a:gd name="connsiteX0" fmla="*/ 430836 w 1551373"/>
                                              <a:gd name="connsiteY0" fmla="*/ 0 h 1215676"/>
                                              <a:gd name="connsiteX1" fmla="*/ 1284452 w 1551373"/>
                                              <a:gd name="connsiteY1" fmla="*/ 594624 h 1215676"/>
                                              <a:gd name="connsiteX2" fmla="*/ 1263310 w 1551373"/>
                                              <a:gd name="connsiteY2" fmla="*/ 652765 h 1215676"/>
                                              <a:gd name="connsiteX3" fmla="*/ 1551373 w 1551373"/>
                                              <a:gd name="connsiteY3" fmla="*/ 924971 h 1215676"/>
                                              <a:gd name="connsiteX4" fmla="*/ 1186670 w 1551373"/>
                                              <a:gd name="connsiteY4" fmla="*/ 1154892 h 1215676"/>
                                              <a:gd name="connsiteX5" fmla="*/ 782325 w 1551373"/>
                                              <a:gd name="connsiteY5" fmla="*/ 1025396 h 1215676"/>
                                              <a:gd name="connsiteX6" fmla="*/ 602645 w 1551373"/>
                                              <a:gd name="connsiteY6" fmla="*/ 1029588 h 1215676"/>
                                              <a:gd name="connsiteX7" fmla="*/ 536547 w 1551373"/>
                                              <a:gd name="connsiteY7" fmla="*/ 1215676 h 1215676"/>
                                              <a:gd name="connsiteX8" fmla="*/ 97847 w 1551373"/>
                                              <a:gd name="connsiteY8" fmla="*/ 1057109 h 1215676"/>
                                              <a:gd name="connsiteX9" fmla="*/ 0 w 1551373"/>
                                              <a:gd name="connsiteY9" fmla="*/ 648008 h 1215676"/>
                                              <a:gd name="connsiteX10" fmla="*/ 161273 w 1551373"/>
                                              <a:gd name="connsiteY10" fmla="*/ 190279 h 1215676"/>
                                              <a:gd name="connsiteX11" fmla="*/ 430836 w 1551373"/>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7854 w 1591380"/>
                                              <a:gd name="connsiteY8" fmla="*/ 1057109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66436 w 1591380"/>
                                              <a:gd name="connsiteY8" fmla="*/ 1020997 h 1215676"/>
                                              <a:gd name="connsiteX9" fmla="*/ 0 w 1591380"/>
                                              <a:gd name="connsiteY9" fmla="*/ 659593 h 1215676"/>
                                              <a:gd name="connsiteX10" fmla="*/ 201280 w 1591380"/>
                                              <a:gd name="connsiteY10" fmla="*/ 190279 h 1215676"/>
                                              <a:gd name="connsiteX11" fmla="*/ 470843 w 1591380"/>
                                              <a:gd name="connsiteY11" fmla="*/ 0 h 1215676"/>
                                              <a:gd name="connsiteX0" fmla="*/ 470843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70843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01280 w 1591380"/>
                                              <a:gd name="connsiteY10" fmla="*/ 19027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264157 w 1591380"/>
                                              <a:gd name="connsiteY10" fmla="*/ 234149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642652 w 1591380"/>
                                              <a:gd name="connsiteY6" fmla="*/ 1029588 h 1215676"/>
                                              <a:gd name="connsiteX7" fmla="*/ 576554 w 1591380"/>
                                              <a:gd name="connsiteY7" fmla="*/ 1215676 h 1215676"/>
                                              <a:gd name="connsiteX8" fmla="*/ 130247 w 1591380"/>
                                              <a:gd name="connsiteY8" fmla="*/ 1059346 h 1215676"/>
                                              <a:gd name="connsiteX9" fmla="*/ 0 w 1591380"/>
                                              <a:gd name="connsiteY9" fmla="*/ 659593 h 1215676"/>
                                              <a:gd name="connsiteX10" fmla="*/ 197491 w 1591380"/>
                                              <a:gd name="connsiteY10" fmla="*/ 188473 h 1215676"/>
                                              <a:gd name="connsiteX11" fmla="*/ 467054 w 1591380"/>
                                              <a:gd name="connsiteY11"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822332 w 1591380"/>
                                              <a:gd name="connsiteY5" fmla="*/ 1025396 h 1215676"/>
                                              <a:gd name="connsiteX6" fmla="*/ 576554 w 1591380"/>
                                              <a:gd name="connsiteY6" fmla="*/ 1215676 h 1215676"/>
                                              <a:gd name="connsiteX7" fmla="*/ 130247 w 1591380"/>
                                              <a:gd name="connsiteY7" fmla="*/ 1059346 h 1215676"/>
                                              <a:gd name="connsiteX8" fmla="*/ 0 w 1591380"/>
                                              <a:gd name="connsiteY8" fmla="*/ 659593 h 1215676"/>
                                              <a:gd name="connsiteX9" fmla="*/ 197491 w 1591380"/>
                                              <a:gd name="connsiteY9" fmla="*/ 188473 h 1215676"/>
                                              <a:gd name="connsiteX10" fmla="*/ 467054 w 1591380"/>
                                              <a:gd name="connsiteY10" fmla="*/ 0 h 1215676"/>
                                              <a:gd name="connsiteX0" fmla="*/ 467054 w 1591380"/>
                                              <a:gd name="connsiteY0" fmla="*/ 0 h 1215676"/>
                                              <a:gd name="connsiteX1" fmla="*/ 1324459 w 1591380"/>
                                              <a:gd name="connsiteY1" fmla="*/ 594624 h 1215676"/>
                                              <a:gd name="connsiteX2" fmla="*/ 1303317 w 1591380"/>
                                              <a:gd name="connsiteY2" fmla="*/ 652765 h 1215676"/>
                                              <a:gd name="connsiteX3" fmla="*/ 1591380 w 1591380"/>
                                              <a:gd name="connsiteY3" fmla="*/ 924971 h 1215676"/>
                                              <a:gd name="connsiteX4" fmla="*/ 1226677 w 1591380"/>
                                              <a:gd name="connsiteY4" fmla="*/ 1154892 h 1215676"/>
                                              <a:gd name="connsiteX5" fmla="*/ 1152745 w 1591380"/>
                                              <a:gd name="connsiteY5" fmla="*/ 1194802 h 1215676"/>
                                              <a:gd name="connsiteX6" fmla="*/ 576554 w 1591380"/>
                                              <a:gd name="connsiteY6" fmla="*/ 1215676 h 1215676"/>
                                              <a:gd name="connsiteX7" fmla="*/ 130247 w 1591380"/>
                                              <a:gd name="connsiteY7" fmla="*/ 1059346 h 1215676"/>
                                              <a:gd name="connsiteX8" fmla="*/ 0 w 1591380"/>
                                              <a:gd name="connsiteY8" fmla="*/ 659593 h 1215676"/>
                                              <a:gd name="connsiteX9" fmla="*/ 197491 w 1591380"/>
                                              <a:gd name="connsiteY9" fmla="*/ 188473 h 1215676"/>
                                              <a:gd name="connsiteX10" fmla="*/ 467054 w 1591380"/>
                                              <a:gd name="connsiteY10" fmla="*/ 0 h 1215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91380" h="1215676">
                                                <a:moveTo>
                                                  <a:pt x="467054" y="0"/>
                                                </a:moveTo>
                                                <a:lnTo>
                                                  <a:pt x="1324459" y="594624"/>
                                                </a:lnTo>
                                                <a:lnTo>
                                                  <a:pt x="1303317" y="652765"/>
                                                </a:lnTo>
                                                <a:lnTo>
                                                  <a:pt x="1591380" y="924971"/>
                                                </a:lnTo>
                                                <a:lnTo>
                                                  <a:pt x="1226677" y="1154892"/>
                                                </a:lnTo>
                                                <a:lnTo>
                                                  <a:pt x="1152745" y="1194802"/>
                                                </a:lnTo>
                                                <a:lnTo>
                                                  <a:pt x="576554" y="1215676"/>
                                                </a:lnTo>
                                                <a:lnTo>
                                                  <a:pt x="130247" y="1059346"/>
                                                </a:lnTo>
                                                <a:lnTo>
                                                  <a:pt x="0" y="659593"/>
                                                </a:lnTo>
                                                <a:lnTo>
                                                  <a:pt x="197491" y="188473"/>
                                                </a:lnTo>
                                                <a:lnTo>
                                                  <a:pt x="467054" y="0"/>
                                                </a:lnTo>
                                                <a:close/>
                                              </a:path>
                                            </a:pathLst>
                                          </a:custGeom>
                                          <a:pattFill prst="pct20">
                                            <a:fgClr>
                                              <a:sysClr val="windowText" lastClr="000000">
                                                <a:lumMod val="50000"/>
                                                <a:lumOff val="50000"/>
                                              </a:sysClr>
                                            </a:fgClr>
                                            <a:bgClr>
                                              <a:srgbClr val="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8634919" name="2078634919 Grupo"/>
                                        <wpg:cNvGrpSpPr/>
                                        <wpg:grpSpPr>
                                          <a:xfrm>
                                            <a:off x="178130" y="201881"/>
                                            <a:ext cx="987635" cy="810936"/>
                                            <a:chOff x="-93345" y="-51142"/>
                                            <a:chExt cx="987635" cy="810936"/>
                                          </a:xfrm>
                                        </wpg:grpSpPr>
                                        <wps:wsp>
                                          <wps:cNvPr id="2078634920" name="2078634920 Cuadro de texto"/>
                                          <wps:cNvSpPr txBox="1"/>
                                          <wps:spPr>
                                            <a:xfrm>
                                              <a:off x="-93345" y="216217"/>
                                              <a:ext cx="175895" cy="175895"/>
                                            </a:xfrm>
                                            <a:prstGeom prst="rect">
                                              <a:avLst/>
                                            </a:prstGeom>
                                            <a:noFill/>
                                            <a:ln w="6350">
                                              <a:noFill/>
                                            </a:ln>
                                            <a:effectLst/>
                                          </wps:spPr>
                                          <wps:txbx>
                                            <w:txbxContent>
                                              <w:p w14:paraId="45F69D45"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A</w:t>
                                                </w:r>
                                                <w:r w:rsidRPr="004E4C01">
                                                  <w:rPr>
                                                    <w:color w:val="0D0D0D" w:themeColor="text1" w:themeTint="F2"/>
                                                    <w:sz w:val="20"/>
                                                    <w:szCs w:val="20"/>
                                                    <w:vertAlign w:val="subscript"/>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78634921" name="2078634921 Grupo"/>
                                          <wpg:cNvGrpSpPr/>
                                          <wpg:grpSpPr>
                                            <a:xfrm>
                                              <a:off x="622935" y="235267"/>
                                              <a:ext cx="271355" cy="524527"/>
                                              <a:chOff x="241935" y="-26670"/>
                                              <a:chExt cx="271355" cy="524527"/>
                                            </a:xfrm>
                                          </wpg:grpSpPr>
                                          <wps:wsp>
                                            <wps:cNvPr id="2078634922" name="2078634922 Cuadro de texto"/>
                                            <wps:cNvSpPr txBox="1"/>
                                            <wps:spPr>
                                              <a:xfrm>
                                                <a:off x="337395" y="321962"/>
                                                <a:ext cx="175895" cy="175895"/>
                                              </a:xfrm>
                                              <a:prstGeom prst="rect">
                                                <a:avLst/>
                                              </a:prstGeom>
                                              <a:noFill/>
                                              <a:ln w="6350">
                                                <a:noFill/>
                                              </a:ln>
                                              <a:effectLst/>
                                            </wps:spPr>
                                            <wps:txbx>
                                              <w:txbxContent>
                                                <w:p w14:paraId="20FC3E41"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8634923" name="2078634923 Cuadro de texto"/>
                                            <wps:cNvSpPr txBox="1"/>
                                            <wps:spPr>
                                              <a:xfrm>
                                                <a:off x="241935" y="-26670"/>
                                                <a:ext cx="175895" cy="175895"/>
                                              </a:xfrm>
                                              <a:prstGeom prst="rect">
                                                <a:avLst/>
                                              </a:prstGeom>
                                              <a:noFill/>
                                              <a:ln w="6350">
                                                <a:noFill/>
                                              </a:ln>
                                              <a:effectLst/>
                                            </wps:spPr>
                                            <wps:txbx>
                                              <w:txbxContent>
                                                <w:p w14:paraId="07ED0375"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D</w:t>
                                                  </w:r>
                                                  <w:r w:rsidRPr="004E4C01">
                                                    <w:rPr>
                                                      <w:color w:val="0D0D0D" w:themeColor="text1" w:themeTint="F2"/>
                                                      <w:sz w:val="20"/>
                                                      <w:szCs w:val="20"/>
                                                      <w:vertAlign w:val="subscript"/>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078634924" name="2078634924 Cuadro de texto"/>
                                          <wps:cNvSpPr txBox="1"/>
                                          <wps:spPr>
                                            <a:xfrm>
                                              <a:off x="412356" y="-51142"/>
                                              <a:ext cx="175895" cy="175895"/>
                                            </a:xfrm>
                                            <a:prstGeom prst="rect">
                                              <a:avLst/>
                                            </a:prstGeom>
                                            <a:noFill/>
                                            <a:ln w="6350">
                                              <a:noFill/>
                                            </a:ln>
                                            <a:effectLst/>
                                          </wps:spPr>
                                          <wps:txbx>
                                            <w:txbxContent>
                                              <w:p w14:paraId="2AAA49B1"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B</w:t>
                                                </w:r>
                                                <w:r w:rsidRPr="004E4C01">
                                                  <w:rPr>
                                                    <w:color w:val="0D0D0D" w:themeColor="text1" w:themeTint="F2"/>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grpSp>
                              <wpg:grpSp>
                                <wpg:cNvPr id="2078634925" name="2078634925 Grupo"/>
                                <wpg:cNvGrpSpPr/>
                                <wpg:grpSpPr>
                                  <a:xfrm>
                                    <a:off x="1063256" y="956931"/>
                                    <a:ext cx="137287" cy="210380"/>
                                    <a:chOff x="0" y="0"/>
                                    <a:chExt cx="137287" cy="210439"/>
                                  </a:xfrm>
                                </wpg:grpSpPr>
                                <wps:wsp>
                                  <wps:cNvPr id="2078634926" name="2605 Conector"/>
                                  <wps:cNvSpPr/>
                                  <wps:spPr>
                                    <a:xfrm>
                                      <a:off x="73152" y="146304"/>
                                      <a:ext cx="64135" cy="64135"/>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634927" name="2604 Cuadro de texto"/>
                                  <wps:cNvSpPr txBox="1"/>
                                  <wps:spPr>
                                    <a:xfrm>
                                      <a:off x="0" y="0"/>
                                      <a:ext cx="62865" cy="148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9C8E4" w14:textId="77777777" w:rsidR="00D55F13" w:rsidRPr="004E4C01" w:rsidRDefault="00D55F13" w:rsidP="0065023A">
                                        <w:pPr>
                                          <w:rPr>
                                            <w:i/>
                                          </w:rPr>
                                        </w:pPr>
                                        <w:r w:rsidRPr="004E4C01">
                                          <w:rPr>
                                            <w:i/>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2078634928" name="2078634928 Grupo"/>
                              <wpg:cNvGrpSpPr/>
                              <wpg:grpSpPr>
                                <a:xfrm>
                                  <a:off x="3700130" y="988828"/>
                                  <a:ext cx="137287" cy="210380"/>
                                  <a:chOff x="0" y="0"/>
                                  <a:chExt cx="137287" cy="210439"/>
                                </a:xfrm>
                              </wpg:grpSpPr>
                              <wps:wsp>
                                <wps:cNvPr id="2078634929" name="2605 Conector"/>
                                <wps:cNvSpPr/>
                                <wps:spPr>
                                  <a:xfrm>
                                    <a:off x="73152" y="146304"/>
                                    <a:ext cx="64135" cy="64135"/>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634930" name="2604 Cuadro de texto"/>
                                <wps:cNvSpPr txBox="1"/>
                                <wps:spPr>
                                  <a:xfrm>
                                    <a:off x="0" y="0"/>
                                    <a:ext cx="62865" cy="148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CB881" w14:textId="77777777" w:rsidR="00D55F13" w:rsidRPr="004E4C01" w:rsidRDefault="00D55F13" w:rsidP="0065023A">
                                      <w:pPr>
                                        <w:rPr>
                                          <w:i/>
                                        </w:rPr>
                                      </w:pPr>
                                      <w:r w:rsidRPr="004E4C01">
                                        <w:rPr>
                                          <w:i/>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2078634931" name="2078634931 Grupo"/>
                            <wpg:cNvGrpSpPr/>
                            <wpg:grpSpPr>
                              <a:xfrm>
                                <a:off x="3657600" y="3083442"/>
                                <a:ext cx="137287" cy="203067"/>
                                <a:chOff x="0" y="0"/>
                                <a:chExt cx="137287" cy="203124"/>
                              </a:xfrm>
                            </wpg:grpSpPr>
                            <wps:wsp>
                              <wps:cNvPr id="2078634932" name="2605 Conector"/>
                              <wps:cNvSpPr/>
                              <wps:spPr>
                                <a:xfrm>
                                  <a:off x="73152" y="138989"/>
                                  <a:ext cx="64135" cy="64135"/>
                                </a:xfrm>
                                <a:prstGeom prst="flowChartConnector">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634933" name="2604 Cuadro de texto"/>
                              <wps:cNvSpPr txBox="1"/>
                              <wps:spPr>
                                <a:xfrm>
                                  <a:off x="0" y="0"/>
                                  <a:ext cx="62865" cy="148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F195C" w14:textId="77777777" w:rsidR="00D55F13" w:rsidRPr="004E4C01" w:rsidRDefault="00D55F13" w:rsidP="0065023A">
                                    <w:pPr>
                                      <w:rPr>
                                        <w:i/>
                                      </w:rPr>
                                    </w:pPr>
                                    <w:r w:rsidRPr="004E4C01">
                                      <w:rPr>
                                        <w:i/>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2078634934" name="2078634934 Cuadro de texto"/>
                          <wps:cNvSpPr txBox="1"/>
                          <wps:spPr>
                            <a:xfrm>
                              <a:off x="978196" y="3062177"/>
                              <a:ext cx="212725" cy="171396"/>
                            </a:xfrm>
                            <a:prstGeom prst="rect">
                              <a:avLst/>
                            </a:prstGeom>
                            <a:noFill/>
                            <a:ln w="6350">
                              <a:noFill/>
                            </a:ln>
                            <a:effectLst/>
                          </wps:spPr>
                          <wps:txbx>
                            <w:txbxContent>
                              <w:p w14:paraId="2BBCB8DD" w14:textId="77777777" w:rsidR="00D55F13" w:rsidRPr="004E4C01" w:rsidRDefault="00D55F13" w:rsidP="0065023A">
                                <w:pPr>
                                  <w:jc w:val="center"/>
                                  <w:rPr>
                                    <w:i/>
                                  </w:rPr>
                                </w:pPr>
                                <w:r w:rsidRPr="004E4C01">
                                  <w:rPr>
                                    <w:i/>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78634935" name="2078634935 Cuadro de texto"/>
                        <wps:cNvSpPr txBox="1"/>
                        <wps:spPr>
                          <a:xfrm>
                            <a:off x="3625703" y="3583172"/>
                            <a:ext cx="231800" cy="231705"/>
                          </a:xfrm>
                          <a:prstGeom prst="rect">
                            <a:avLst/>
                          </a:prstGeom>
                          <a:noFill/>
                          <a:ln w="6350">
                            <a:noFill/>
                          </a:ln>
                          <a:effectLst/>
                        </wps:spPr>
                        <wps:txbx>
                          <w:txbxContent>
                            <w:p w14:paraId="020CB2FB"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E6CAE89" id="2675 Grupo" o:spid="_x0000_s1206" style="position:absolute;left:0;text-align:left;margin-left:34.9pt;margin-top:18.55pt;width:409.5pt;height:318.45pt;z-index:251658242;mso-position-horizontal-relative:text;mso-position-vertical-relative:text" coordsize="52012,4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">
                <v:group id="2676 Grupo" o:spid="_x0000_s1207" style="position:absolute;width:52012;height:40445" coordsize="52012,4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">
                  <v:group id="2677 Grupo" o:spid="_x0000_s1208" style="position:absolute;width:52012;height:40445" coordsize="52012,4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group id="2678 Grupo" o:spid="_x0000_s1209" style="position:absolute;width:52012;height:40445" coordsize="52012,4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">
                      <v:group id="2679 Grupo" o:spid="_x0000_s1210" style="position:absolute;width:52012;height:40445" coordsize="52012,4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group id="2680 Grupo" o:spid="_x0000_s1211" style="position:absolute;width:52012;height:40445" coordsize="52012,4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group id="2681 Grupo" o:spid="_x0000_s1212" style="position:absolute;width:52012;height:40445" coordsize="52012,4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rect id="2682 Rectángulo" o:spid="_x0000_s1213" style="position:absolute;top:20859;width:25527;height:195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" filled="f" strokecolor="#0d0d0d" strokeweight=".5pt">
                              <v:textbox inset="0,0,0,0">
                                <w:txbxContent>
                                  <w:p w14:paraId="45511191" w14:textId="77777777" w:rsidR="00D55F13" w:rsidRPr="004E4C01" w:rsidRDefault="00D55F13" w:rsidP="0065023A">
                                    <w:pPr>
                                      <w:rPr>
                                        <w:b/>
                                        <w:color w:val="0D0D0D" w:themeColor="text1" w:themeTint="F2"/>
                                      </w:rPr>
                                    </w:pPr>
                                    <w:r w:rsidRPr="004E4C01">
                                      <w:rPr>
                                        <w:color w:val="0D0D0D" w:themeColor="text1" w:themeTint="F2"/>
                                      </w:rPr>
                                      <w:t xml:space="preserve">  </w:t>
                                    </w:r>
                                    <w:r w:rsidRPr="004E4C01">
                                      <w:rPr>
                                        <w:b/>
                                        <w:color w:val="0D0D0D" w:themeColor="text1" w:themeTint="F2"/>
                                      </w:rPr>
                                      <w:t>3</w:t>
                                    </w:r>
                                  </w:p>
                                </w:txbxContent>
                              </v:textbox>
                            </v:rect>
                            <v:rect id="2683 Rectángulo" o:spid="_x0000_s1214" style="position:absolute;left:26479;top:20859;width:25527;height:195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" filled="f" strokecolor="#0d0d0d" strokeweight=".5pt">
                              <v:textbox inset="0,0,0,0">
                                <w:txbxContent>
                                  <w:p w14:paraId="521BD1B3" w14:textId="77777777" w:rsidR="00D55F13" w:rsidRPr="004E4C01" w:rsidRDefault="00D55F13" w:rsidP="0065023A">
                                    <w:pPr>
                                      <w:rPr>
                                        <w:b/>
                                        <w:color w:val="0D0D0D" w:themeColor="text1" w:themeTint="F2"/>
                                      </w:rPr>
                                    </w:pPr>
                                    <w:r w:rsidRPr="004E4C01">
                                      <w:rPr>
                                        <w:color w:val="0D0D0D" w:themeColor="text1" w:themeTint="F2"/>
                                      </w:rPr>
                                      <w:t xml:space="preserve">  </w:t>
                                    </w:r>
                                    <w:r w:rsidRPr="004E4C01">
                                      <w:rPr>
                                        <w:b/>
                                        <w:color w:val="0D0D0D" w:themeColor="text1" w:themeTint="F2"/>
                                      </w:rPr>
                                      <w:t>4</w:t>
                                    </w:r>
                                  </w:p>
                                </w:txbxContent>
                              </v:textbox>
                            </v:rect>
                            <v:group id="2684 Grupo" o:spid="_x0000_s1215" style="position:absolute;width:52012;height:19592" coordsize="52012,1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">
                              <v:group id="2685 Grupo" o:spid="_x0000_s1216" style="position:absolute;width:25532;height:19592" coordsize="25546,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rect id="2686 Rectángulo" o:spid="_x0000_s1217" style="position:absolute;width:25546;height:1960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" filled="f" strokecolor="#0d0d0d" strokeweight=".5pt">
                                  <v:textbox inset="0,0,0,0">
                                    <w:txbxContent>
                                      <w:p w14:paraId="10489AB2" w14:textId="77777777" w:rsidR="00D55F13" w:rsidRPr="004E4C01" w:rsidRDefault="00D55F13" w:rsidP="0065023A">
                                        <w:pPr>
                                          <w:rPr>
                                            <w:b/>
                                            <w:color w:val="0D0D0D" w:themeColor="text1" w:themeTint="F2"/>
                                          </w:rPr>
                                        </w:pPr>
                                        <w:r w:rsidRPr="004E4C01">
                                          <w:rPr>
                                            <w:color w:val="0D0D0D" w:themeColor="text1" w:themeTint="F2"/>
                                          </w:rPr>
                                          <w:t xml:space="preserve">  </w:t>
                                        </w:r>
                                        <w:r w:rsidRPr="004E4C01">
                                          <w:rPr>
                                            <w:b/>
                                            <w:color w:val="0D0D0D" w:themeColor="text1" w:themeTint="F2"/>
                                          </w:rPr>
                                          <w:t>1</w:t>
                                        </w:r>
                                      </w:p>
                                    </w:txbxContent>
                                  </v:textbox>
                                </v:rect>
                                <v:group id="2687 Grupo" o:spid="_x0000_s1218" style="position:absolute;left:545;top:477;width:24579;height:17249" coordsize="18637,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2752 Forma libre" o:spid="_x0000_s1219" style="position:absolute;left:6001;top:3742;width:7716;height:6001;visibility:visible;mso-wrap-style:square;v-text-anchor:middle" coordsize="771525,600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" adj="-11796480,,5400" path="m,l365760,171450,771525,129540,706755,365760,93345,600075,,xe" fillcolor="#00b0f0" stroked="f" strokeweight="2pt">
                                    <v:stroke joinstyle="miter"/>
                                    <v:formulas/>
                                    <v:path arrowok="t" o:connecttype="custom" o:connectlocs="0,0;365760,171450;771525,129540;706755,365760;93345,600075;0,0" o:connectangles="0,0,0,0,0,0" textboxrect="0,0,771525,600075"/>
                                    <v:textbox>
                                      <w:txbxContent>
                                        <w:p w14:paraId="4C6349E6" w14:textId="77777777" w:rsidR="00D55F13" w:rsidRPr="004E4C01" w:rsidRDefault="00D55F13" w:rsidP="0065023A">
                                          <w:pPr>
                                            <w:jc w:val="center"/>
                                            <w:rPr>
                                              <w:color w:val="0D0D0D" w:themeColor="text1" w:themeTint="F2"/>
                                              <w:sz w:val="20"/>
                                              <w:szCs w:val="16"/>
                                            </w:rPr>
                                          </w:pPr>
                                          <w:r w:rsidRPr="004E4C01">
                                            <w:rPr>
                                              <w:color w:val="0D0D0D" w:themeColor="text1" w:themeTint="F2"/>
                                              <w:sz w:val="20"/>
                                              <w:szCs w:val="16"/>
                                            </w:rPr>
                                            <w:t>D</w:t>
                                          </w:r>
                                        </w:p>
                                      </w:txbxContent>
                                    </v:textbox>
                                  </v:shape>
                                  <v:group id="2753 Grupo" o:spid="_x0000_s1220" style="position:absolute;width:18637;height:13078" coordsize="18637,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group id="2754 Grupo" o:spid="_x0000_s1221" style="position:absolute;width:18637;height:13074" coordsize="18642,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shape id="2755 Forma libre" o:spid="_x0000_s1222" style="position:absolute;left:5748;width:10863;height:5474;visibility:visible;mso-wrap-style:square;v-text-anchor:middle" coordsize="1086273,5474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" adj="-11796480,,5400" path="m,371216l385465,547446,796644,504782,833882,206877,1086273,99301,420127,,,371216xe" fillcolor="#ffc000" stroked="f" strokeweight="2pt">
                                        <v:stroke joinstyle="miter"/>
                                        <v:formulas/>
                                        <v:path arrowok="t" o:connecttype="custom" o:connectlocs="0,371190;385460,547408;796634,504747;833871,206863;1086259,99294;420122,0;0,371190" o:connectangles="0,0,0,0,0,0,0" textboxrect="0,0,1086273,547446"/>
                                        <v:textbox>
                                          <w:txbxContent>
                                            <w:p w14:paraId="1816CEFB" w14:textId="77777777" w:rsidR="00D55F13" w:rsidRPr="004E4C01" w:rsidRDefault="00D55F13" w:rsidP="0065023A">
                                              <w:pPr>
                                                <w:rPr>
                                                  <w:color w:val="0D0D0D" w:themeColor="text1" w:themeTint="F2"/>
                                                  <w:sz w:val="20"/>
                                                  <w:szCs w:val="16"/>
                                                </w:rPr>
                                              </w:pPr>
                                              <w:r w:rsidRPr="004E4C01">
                                                <w:rPr>
                                                  <w:color w:val="0D0D0D" w:themeColor="text1" w:themeTint="F2"/>
                                                  <w:sz w:val="20"/>
                                                  <w:szCs w:val="16"/>
                                                </w:rPr>
                                                <w:t xml:space="preserve">           B</w:t>
                                              </w:r>
                                            </w:p>
                                          </w:txbxContent>
                                        </v:textbox>
                                      </v:shape>
                                      <v:shape id="2756 Forma libre" o:spid="_x0000_s1223" style="position:absolute;width:9930;height:13074;visibility:visible;mso-wrap-style:square;v-text-anchor:middle" coordsize="993014,1307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" adj="-11796480,,5400" path="m471682,86888l198603,281353,,753035r132402,397205l575121,1307467,695110,976463,599946,368242,993014,,471682,86888xe" fillcolor="#f30" stroked="f" strokeweight="2pt">
                                        <v:stroke joinstyle="miter"/>
                                        <v:formulas/>
                                        <v:path arrowok="t" o:connecttype="custom" o:connectlocs="471682,86888;198603,281353;0,753035;132402,1150240;575121,1307467;695110,976463;599946,368242;993014,0;471682,86888" o:connectangles="0,0,0,0,0,0,0,0,0" textboxrect="0,0,993014,1307467"/>
                                        <v:textbox>
                                          <w:txbxContent>
                                            <w:p w14:paraId="3E0F1F2B" w14:textId="77777777" w:rsidR="00D55F13" w:rsidRPr="004E4C01" w:rsidRDefault="00D55F13" w:rsidP="0065023A">
                                              <w:pPr>
                                                <w:rPr>
                                                  <w:color w:val="0D0D0D" w:themeColor="text1" w:themeTint="F2"/>
                                                  <w:sz w:val="20"/>
                                                  <w:szCs w:val="16"/>
                                                </w:rPr>
                                              </w:pPr>
                                              <w:r w:rsidRPr="004E4C01">
                                                <w:rPr>
                                                  <w:color w:val="0D0D0D" w:themeColor="text1" w:themeTint="F2"/>
                                                  <w:sz w:val="20"/>
                                                  <w:szCs w:val="16"/>
                                                </w:rPr>
                                                <w:t xml:space="preserve">      A</w:t>
                                              </w:r>
                                            </w:p>
                                          </w:txbxContent>
                                        </v:textbox>
                                      </v:shape>
                                      <v:shape id="2757 Forma libre" o:spid="_x0000_s1224" style="position:absolute;left:13030;top:950;width:5612;height:9294;visibility:visible;mso-wrap-style:square;v-text-anchor:middle" coordsize="561203,929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" adj="-11796480,,5400" path="m357902,l561203,472172,291782,929372,,644317,65903,409579,104030,105528,357902,xe" fillcolor="#d60093" stroked="f" strokeweight="2pt">
                                        <v:stroke joinstyle="miter"/>
                                        <v:formulas/>
                                        <v:path arrowok="t" o:connecttype="custom" o:connectlocs="357902,0;561203,472172;291782,929372;0,644317;65903,409579;104030,105528;357902,0" o:connectangles="0,0,0,0,0,0,0" textboxrect="0,0,561203,929372"/>
                                        <v:textbox>
                                          <w:txbxContent>
                                            <w:p w14:paraId="652B7FFF" w14:textId="77777777" w:rsidR="00D55F13" w:rsidRPr="004E4C01" w:rsidRDefault="00D55F13" w:rsidP="0065023A">
                                              <w:pPr>
                                                <w:jc w:val="center"/>
                                                <w:rPr>
                                                  <w:color w:val="0D0D0D" w:themeColor="text1" w:themeTint="F2"/>
                                                  <w:sz w:val="20"/>
                                                  <w:szCs w:val="16"/>
                                                </w:rPr>
                                              </w:pPr>
                                              <w:r w:rsidRPr="004E4C01">
                                                <w:rPr>
                                                  <w:color w:val="0D0D0D" w:themeColor="text1" w:themeTint="F2"/>
                                                  <w:sz w:val="20"/>
                                                  <w:szCs w:val="16"/>
                                                </w:rPr>
                                                <w:t>C</w:t>
                                              </w:r>
                                            </w:p>
                                          </w:txbxContent>
                                        </v:textbox>
                                      </v:shape>
                                    </v:group>
                                    <v:shape id="2758 Forma libre" o:spid="_x0000_s1225" style="position:absolute;left:5719;top:7414;width:10198;height:5664;visibility:visible;mso-wrap-style:square;v-text-anchor:middle" coordsize="1019763,566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" adj="-11796480,,5400" path="m,566420l122508,230505,732108,r287655,281940l577803,550545,,566420xe" fillcolor="#92d050" stroked="f" strokeweight="2pt">
                                      <v:stroke joinstyle="miter"/>
                                      <v:formulas/>
                                      <v:path arrowok="t" o:connecttype="custom" o:connectlocs="0,566420;122508,230505;732108,0;1019763,281940;577803,550545;0,566420" o:connectangles="0,0,0,0,0,0" textboxrect="0,0,1019763,566420"/>
                                      <v:textbox>
                                        <w:txbxContent>
                                          <w:p w14:paraId="50DA4F80" w14:textId="77777777" w:rsidR="00D55F13" w:rsidRPr="004E4C01" w:rsidRDefault="00D55F13" w:rsidP="0065023A">
                                            <w:pPr>
                                              <w:jc w:val="center"/>
                                              <w:rPr>
                                                <w:color w:val="0D0D0D" w:themeColor="text1" w:themeTint="F2"/>
                                                <w:sz w:val="20"/>
                                                <w:szCs w:val="16"/>
                                              </w:rPr>
                                            </w:pPr>
                                            <w:r w:rsidRPr="004E4C01">
                                              <w:rPr>
                                                <w:color w:val="0D0D0D" w:themeColor="text1" w:themeTint="F2"/>
                                                <w:sz w:val="20"/>
                                                <w:szCs w:val="16"/>
                                              </w:rPr>
                                              <w:t>E</w:t>
                                            </w:r>
                                          </w:p>
                                        </w:txbxContent>
                                      </v:textbox>
                                    </v:shape>
                                  </v:group>
                                </v:group>
                              </v:group>
                              <v:group id="2759 Grupo" o:spid="_x0000_s1226" style="position:absolute;left:26479;width:25533;height:19592" coordsize="25546,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rect id="2760 Rectángulo" o:spid="_x0000_s1227" style="position:absolute;width:25546;height:1960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" filled="f" strokecolor="#0d0d0d" strokeweight=".5pt">
                                  <v:textbox inset="0,0,0,0">
                                    <w:txbxContent>
                                      <w:p w14:paraId="6228B09F" w14:textId="77777777" w:rsidR="00D55F13" w:rsidRPr="004E4C01" w:rsidRDefault="00D55F13" w:rsidP="0065023A">
                                        <w:pPr>
                                          <w:rPr>
                                            <w:b/>
                                            <w:color w:val="0D0D0D" w:themeColor="text1" w:themeTint="F2"/>
                                          </w:rPr>
                                        </w:pPr>
                                        <w:r w:rsidRPr="004E4C01">
                                          <w:rPr>
                                            <w:color w:val="0D0D0D" w:themeColor="text1" w:themeTint="F2"/>
                                          </w:rPr>
                                          <w:t xml:space="preserve">  </w:t>
                                        </w:r>
                                        <w:r w:rsidRPr="004E4C01">
                                          <w:rPr>
                                            <w:b/>
                                            <w:color w:val="0D0D0D" w:themeColor="text1" w:themeTint="F2"/>
                                          </w:rPr>
                                          <w:t>2</w:t>
                                        </w:r>
                                      </w:p>
                                    </w:txbxContent>
                                  </v:textbox>
                                </v:rect>
                                <v:group id="2761 Grupo" o:spid="_x0000_s1228" style="position:absolute;left:544;top:544;width:24578;height:17248" coordsize="24578,1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group id="2762 Grupo" o:spid="_x0000_s1229" style="position:absolute;width:24578;height:17248" coordsize="18637,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">
                                    <v:group id="2763 Grupo" o:spid="_x0000_s1230" style="position:absolute;width:18637;height:13074" coordsize="18637,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2764 Forma libre" o:spid="_x0000_s1231" style="position:absolute;left:6001;top:3742;width:7716;height:6001;visibility:visible;mso-wrap-style:square;v-text-anchor:middle" coordsize="771525,600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" adj="-11796480,,5400" path="m,l365760,171450,771525,129540,706755,365760,93345,600075,,xe" fillcolor="#00b0f0" stroked="f" strokeweight="2pt">
                                        <v:stroke joinstyle="miter"/>
                                        <v:formulas/>
                                        <v:path arrowok="t" o:connecttype="custom" o:connectlocs="0,0;365760,171450;771525,129540;706755,365760;93345,600075;0,0" o:connectangles="0,0,0,0,0,0" textboxrect="0,0,771525,600075"/>
                                        <v:textbox>
                                          <w:txbxContent>
                                            <w:p w14:paraId="4E0CBCC5"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D</w:t>
                                              </w:r>
                                              <w:r w:rsidRPr="004E4C01">
                                                <w:rPr>
                                                  <w:color w:val="0D0D0D" w:themeColor="text1" w:themeTint="F2"/>
                                                  <w:sz w:val="20"/>
                                                  <w:szCs w:val="20"/>
                                                  <w:vertAlign w:val="subscript"/>
                                                </w:rPr>
                                                <w:t>1</w:t>
                                              </w:r>
                                            </w:p>
                                          </w:txbxContent>
                                        </v:textbox>
                                      </v:shape>
                                      <v:group id="2765 Grupo" o:spid="_x0000_s1232" style="position:absolute;width:18637;height:13078" coordsize="18637,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group id="2766 Grupo" o:spid="_x0000_s1233" style="position:absolute;width:18637;height:13074" coordsize="18642,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2767 Forma libre" o:spid="_x0000_s1234" style="position:absolute;left:13030;top:950;width:5612;height:9294;visibility:visible;mso-wrap-style:square;v-text-anchor:middle" coordsize="561203,929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" adj="-11796480,,5400" path="m357902,l561203,472172,291782,929372,,644317,65903,409579,104030,105528,357902,xe" fillcolor="#d60093" stroked="f" strokeweight="2pt">
                                            <v:stroke joinstyle="miter"/>
                                            <v:formulas/>
                                            <v:path arrowok="t" o:connecttype="custom" o:connectlocs="357902,0;561203,472172;291782,929372;0,644317;65903,409579;104030,105528;357902,0" o:connectangles="0,0,0,0,0,0,0" textboxrect="0,0,561203,929372"/>
                                            <v:textbox>
                                              <w:txbxContent>
                                                <w:p w14:paraId="59B2B8D1"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C</w:t>
                                                  </w:r>
                                                </w:p>
                                              </w:txbxContent>
                                            </v:textbox>
                                          </v:shape>
                                          <v:shape id="2768 Forma libre" o:spid="_x0000_s1235" style="position:absolute;left:5748;width:10863;height:5474;visibility:visible;mso-wrap-style:square;v-text-anchor:middle" coordsize="1086273,5474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" adj="-11796480,,5400" path="m,371216l385465,547446,796644,504782,833882,206877,1086273,99301,420127,,,371216xe" fillcolor="#ffc000" stroked="f" strokeweight="2pt">
                                            <v:stroke joinstyle="miter"/>
                                            <v:formulas/>
                                            <v:path arrowok="t" o:connecttype="custom" o:connectlocs="0,371190;385460,547408;796634,504747;833871,206863;1086259,99294;420122,0;0,371190" o:connectangles="0,0,0,0,0,0,0" textboxrect="0,0,1086273,547446"/>
                                            <v:textbox>
                                              <w:txbxContent>
                                                <w:p w14:paraId="38690F4E"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B</w:t>
                                                  </w:r>
                                                  <w:r w:rsidRPr="004E4C01">
                                                    <w:rPr>
                                                      <w:color w:val="0D0D0D" w:themeColor="text1" w:themeTint="F2"/>
                                                      <w:sz w:val="20"/>
                                                      <w:szCs w:val="20"/>
                                                      <w:vertAlign w:val="subscript"/>
                                                    </w:rPr>
                                                    <w:t>1</w:t>
                                                  </w:r>
                                                </w:p>
                                              </w:txbxContent>
                                            </v:textbox>
                                          </v:shape>
                                          <v:shape id="2769 Forma libre" o:spid="_x0000_s1236" style="position:absolute;width:9930;height:13074;visibility:visible;mso-wrap-style:square;v-text-anchor:middle" coordsize="993014,1307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" adj="-11796480,,5400" path="m471682,86888l198603,281353,,753035r132402,397205l575121,1307467,695110,976463,599946,368242,993014,,471682,86888xe" fillcolor="#f30" stroked="f" strokeweight="2pt">
                                            <v:stroke joinstyle="miter"/>
                                            <v:formulas/>
                                            <v:path arrowok="t" o:connecttype="custom" o:connectlocs="471682,86888;198603,281353;0,753035;132402,1150240;575121,1307467;695110,976463;599946,368242;993014,0;471682,86888" o:connectangles="0,0,0,0,0,0,0,0,0" textboxrect="0,0,993014,1307467"/>
                                            <v:textbox>
                                              <w:txbxContent>
                                                <w:p w14:paraId="317CF3F6"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A</w:t>
                                                  </w:r>
                                                  <w:r w:rsidRPr="004E4C01">
                                                    <w:rPr>
                                                      <w:color w:val="0D0D0D" w:themeColor="text1" w:themeTint="F2"/>
                                                      <w:sz w:val="20"/>
                                                      <w:szCs w:val="20"/>
                                                      <w:vertAlign w:val="subscript"/>
                                                    </w:rPr>
                                                    <w:t>1</w:t>
                                                  </w:r>
                                                </w:p>
                                              </w:txbxContent>
                                            </v:textbox>
                                          </v:shape>
                                        </v:group>
                                        <v:shape id="2770 Forma libre" o:spid="_x0000_s1237" style="position:absolute;left:5719;top:7414;width:10198;height:5664;visibility:visible;mso-wrap-style:square;v-text-anchor:middle" coordsize="1019763,566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" adj="-11796480,,5400" path="m,566420l122508,230505,732108,r287655,281940l577803,550545,,566420xe" fillcolor="#92d050" stroked="f" strokeweight="2pt">
                                          <v:stroke joinstyle="miter"/>
                                          <v:formulas/>
                                          <v:path arrowok="t" o:connecttype="custom" o:connectlocs="0,566420;122508,230505;732108,0;1019763,281940;577803,550545;0,566420" o:connectangles="0,0,0,0,0,0" textboxrect="0,0,1019763,566420"/>
                                          <v:textbox>
                                            <w:txbxContent>
                                              <w:p w14:paraId="21A7E8EE"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1</w:t>
                                                </w:r>
                                              </w:p>
                                            </w:txbxContent>
                                          </v:textbox>
                                        </v:shape>
                                      </v:group>
                                    </v:group>
                                    <v:group id="2771 Grupo" o:spid="_x0000_s1238" style="position:absolute;left:4203;top:606;width:10463;height:12383" coordorigin="238" coordsize="9045,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2772 Cuadro de texto" o:spid="_x0000_s1239" type="#_x0000_t202" style="position:absolute;left:2866;top:9758;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" filled="f" stroked="f" strokeweight=".5pt">
                                        <v:textbox inset="0,0,0,0">
                                          <w:txbxContent>
                                            <w:p w14:paraId="419FADA8" w14:textId="77777777" w:rsidR="00D55F13" w:rsidRPr="004E4C01" w:rsidRDefault="00D55F13" w:rsidP="0065023A">
                                              <w:pPr>
                                                <w:jc w:val="center"/>
                                                <w:rPr>
                                                  <w:sz w:val="20"/>
                                                  <w:szCs w:val="20"/>
                                                </w:rPr>
                                              </w:pPr>
                                              <w:r w:rsidRPr="004E4C01">
                                                <w:rPr>
                                                  <w:sz w:val="20"/>
                                                  <w:szCs w:val="20"/>
                                                </w:rPr>
                                                <w:t>E</w:t>
                                              </w:r>
                                              <w:r w:rsidRPr="004E4C01">
                                                <w:rPr>
                                                  <w:sz w:val="20"/>
                                                  <w:szCs w:val="20"/>
                                                  <w:vertAlign w:val="subscript"/>
                                                </w:rPr>
                                                <w:t>2</w:t>
                                              </w:r>
                                            </w:p>
                                          </w:txbxContent>
                                        </v:textbox>
                                      </v:shape>
                                      <v:group id="2773 Grupo" o:spid="_x0000_s1240" style="position:absolute;left:238;width:9045;height:11060" coordorigin="238" coordsize="9045,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group id="2774 Grupo" o:spid="_x0000_s1241" style="position:absolute;left:238;width:9045;height:11060" coordorigin="238" coordsize="9045,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xpxwAAAN0AAAAPAAAAZHJzL2Rvd25yZXYueG1sRI9Pa8JA&#10;FMTvBb/D8oTedBPbqkRXEdHSgwj+AfH2yD6TYPZtyK5J/PbdgtDjMDO/YebLzpSiodoVlhXEwwgE&#10;cWp1wZmC82k7mIJ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PFnrGnHAAAA3QAA&#10;AA8AAAAAAAAAAAAAAAAABwIAAGRycy9kb3ducmV2LnhtbFBLBQYAAAAAAwADALcAAAD7AgAAAAA=&#10;">
                                          <v:group id="2775 Grupo" o:spid="_x0000_s1242" style="position:absolute;left:238;width:9045;height:11060" coordorigin=",-1624" coordsize="9050,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line id="1724092572 Conector recto" o:spid="_x0000_s1243" style="position:absolute;visibility:visible;mso-wrap-style:square" from="0,-1624" to="9050,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" strokecolor="windowText">
                                              <v:stroke dashstyle="3 1"/>
                                            </v:line>
                                            <v:shape id="1025908669 Forma libre" o:spid="_x0000_s1244" style="position:absolute;top:8058;width:7269;height:1382;visibility:visible;mso-wrap-style:square;v-text-anchor:middle" coordsize="726915,1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" path="m,3289l348656,,621660,88808r105255,49339e" filled="f" strokecolor="windowText">
                                              <v:stroke dashstyle="longDashDot"/>
                                              <v:path arrowok="t" o:connecttype="custom" o:connectlocs="0,3289;348656,0;621660,88808;726915,138147" o:connectangles="0,0,0,0"/>
                                            </v:shape>
                                          </v:group>
                                          <v:shape id="714449728 Cuadro de texto" o:spid="_x0000_s1245" type="#_x0000_t202" style="position:absolute;left:2547;top:2213;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" filled="f" stroked="f" strokeweight=".5pt">
                                            <v:textbox inset="0,0,0,0">
                                              <w:txbxContent>
                                                <w:p w14:paraId="25D5CC8A" w14:textId="77777777" w:rsidR="00D55F13" w:rsidRPr="004E4C01" w:rsidRDefault="00D55F13" w:rsidP="0065023A">
                                                  <w:pPr>
                                                    <w:jc w:val="center"/>
                                                    <w:rPr>
                                                      <w:sz w:val="20"/>
                                                      <w:szCs w:val="20"/>
                                                    </w:rPr>
                                                  </w:pPr>
                                                  <w:r w:rsidRPr="004E4C01">
                                                    <w:rPr>
                                                      <w:sz w:val="20"/>
                                                      <w:szCs w:val="20"/>
                                                    </w:rPr>
                                                    <w:t>B</w:t>
                                                  </w:r>
                                                  <w:r w:rsidRPr="004E4C01">
                                                    <w:rPr>
                                                      <w:sz w:val="20"/>
                                                      <w:szCs w:val="20"/>
                                                      <w:vertAlign w:val="subscript"/>
                                                    </w:rPr>
                                                    <w:t>2</w:t>
                                                  </w:r>
                                                </w:p>
                                              </w:txbxContent>
                                            </v:textbox>
                                          </v:shape>
                                        </v:group>
                                        <v:shape id="714449729 Cuadro de texto" o:spid="_x0000_s1246" type="#_x0000_t202" style="position:absolute;left:6889;top:3878;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" filled="f" stroked="f" strokeweight=".5pt">
                                          <v:textbox inset="0,0,0,0">
                                            <w:txbxContent>
                                              <w:p w14:paraId="1614A10D" w14:textId="77777777" w:rsidR="00D55F13" w:rsidRPr="004E4C01" w:rsidRDefault="00D55F13" w:rsidP="0065023A">
                                                <w:pPr>
                                                  <w:jc w:val="center"/>
                                                  <w:rPr>
                                                    <w:sz w:val="20"/>
                                                    <w:szCs w:val="20"/>
                                                  </w:rPr>
                                                </w:pPr>
                                                <w:r w:rsidRPr="004E4C01">
                                                  <w:rPr>
                                                    <w:sz w:val="20"/>
                                                    <w:szCs w:val="20"/>
                                                  </w:rPr>
                                                  <w:t>D</w:t>
                                                </w:r>
                                                <w:r w:rsidRPr="004E4C01">
                                                  <w:rPr>
                                                    <w:sz w:val="20"/>
                                                    <w:szCs w:val="20"/>
                                                    <w:vertAlign w:val="subscript"/>
                                                  </w:rPr>
                                                  <w:t>2</w:t>
                                                </w:r>
                                              </w:p>
                                            </w:txbxContent>
                                          </v:textbox>
                                        </v:shape>
                                      </v:group>
                                    </v:group>
                                  </v:group>
                                  <v:shape id="714449748 Cuadro de texto" o:spid="_x0000_s1247" type="#_x0000_t202" style="position:absolute;left:8563;top:616;width:2320;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" filled="f" stroked="f" strokeweight=".5pt">
                                    <v:textbox inset="0,0,0,0">
                                      <w:txbxContent>
                                        <w:p w14:paraId="30733E2D" w14:textId="77777777" w:rsidR="00D55F13" w:rsidRPr="004E4C01" w:rsidRDefault="00D55F13" w:rsidP="0065023A">
                                          <w:pPr>
                                            <w:jc w:val="center"/>
                                            <w:rPr>
                                              <w:sz w:val="20"/>
                                              <w:szCs w:val="20"/>
                                            </w:rPr>
                                          </w:pPr>
                                          <w:r w:rsidRPr="004E4C01">
                                            <w:rPr>
                                              <w:sz w:val="20"/>
                                              <w:szCs w:val="20"/>
                                            </w:rPr>
                                            <w:t>A</w:t>
                                          </w:r>
                                          <w:r w:rsidRPr="004E4C01">
                                            <w:rPr>
                                              <w:sz w:val="20"/>
                                              <w:szCs w:val="20"/>
                                              <w:vertAlign w:val="subscript"/>
                                            </w:rPr>
                                            <w:t>2</w:t>
                                          </w:r>
                                        </w:p>
                                      </w:txbxContent>
                                    </v:textbox>
                                  </v:shape>
                                </v:group>
                              </v:group>
                            </v:group>
                          </v:group>
                          <v:group id="568110921 Grupo" o:spid="_x0000_s1248" style="position:absolute;left:476;top:21145;width:51041;height:17323" coordsize="51041,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">
                            <v:group id="568110925 Grupo" o:spid="_x0000_s1249" style="position:absolute;top:95;width:24561;height:17227" coordsize="24561,1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">
                              <v:group id="568110926 Grupo" o:spid="_x0000_s1250" style="position:absolute;width:24561;height:17227" coordsize="18637,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">
                                <v:group id="568110927 Grupo" o:spid="_x0000_s1251" style="position:absolute;width:18637;height:13074" coordsize="18637,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">
                                  <v:shape id="568110928 Forma libre" o:spid="_x0000_s1252" style="position:absolute;left:6001;top:3742;width:7716;height:6001;visibility:visible;mso-wrap-style:square;v-text-anchor:middle" coordsize="771525,600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" adj="-11796480,,5400" path="m,l365760,171450,771525,129540,706755,365760,93345,600075,,xe" fillcolor="#00b0f0" stroked="f" strokeweight="2pt">
                                    <v:stroke joinstyle="miter"/>
                                    <v:formulas/>
                                    <v:path arrowok="t" o:connecttype="custom" o:connectlocs="0,0;365760,171450;771525,129540;706755,365760;93345,600075;0,0" o:connectangles="0,0,0,0,0,0" textboxrect="0,0,771525,600075"/>
                                    <v:textbox>
                                      <w:txbxContent>
                                        <w:p w14:paraId="5024FEA4"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D</w:t>
                                          </w:r>
                                          <w:r w:rsidRPr="004E4C01">
                                            <w:rPr>
                                              <w:color w:val="0D0D0D" w:themeColor="text1" w:themeTint="F2"/>
                                              <w:sz w:val="20"/>
                                              <w:szCs w:val="20"/>
                                              <w:vertAlign w:val="subscript"/>
                                            </w:rPr>
                                            <w:t>1</w:t>
                                          </w:r>
                                        </w:p>
                                      </w:txbxContent>
                                    </v:textbox>
                                  </v:shape>
                                  <v:group id="568110929 Grupo" o:spid="_x0000_s1253" style="position:absolute;width:18637;height:13078" coordsize="18637,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">
                                    <v:shape id="568110930 Forma libre" o:spid="_x0000_s1254" style="position:absolute;left:5719;top:7414;width:10198;height:5664;visibility:visible;mso-wrap-style:square;v-text-anchor:middle" coordsize="1019763,566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" adj="-11796480,,5400" path="m,566420l122508,230505,732108,r287655,281940l577803,550545,,566420xe" fillcolor="#92d050" stroked="f" strokeweight="2pt">
                                      <v:stroke joinstyle="miter"/>
                                      <v:formulas/>
                                      <v:path arrowok="t" o:connecttype="custom" o:connectlocs="0,566420;122508,230505;732108,0;1019763,281940;577803,550545;0,566420" o:connectangles="0,0,0,0,0,0" textboxrect="0,0,1019763,566420"/>
                                      <v:textbox>
                                        <w:txbxContent>
                                          <w:p w14:paraId="3649BF8E"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1</w:t>
                                            </w:r>
                                          </w:p>
                                        </w:txbxContent>
                                      </v:textbox>
                                    </v:shape>
                                    <v:group id="568110941 Grupo" o:spid="_x0000_s1255" style="position:absolute;width:18637;height:13074" coordsize="18642,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">
                                      <v:shape id="568110942 Forma libre" o:spid="_x0000_s1256" style="position:absolute;left:13030;top:950;width:5612;height:9294;visibility:visible;mso-wrap-style:square;v-text-anchor:middle" coordsize="561203,929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" adj="-11796480,,5400" path="m357902,l561203,472172,291782,929372,,644317,65903,409579,104030,105528,357902,xe" fillcolor="#d60093" stroked="f" strokeweight="2pt">
                                        <v:stroke joinstyle="miter"/>
                                        <v:formulas/>
                                        <v:path arrowok="t" o:connecttype="custom" o:connectlocs="357902,0;561203,472172;291782,929372;0,644317;65903,409579;104030,105528;357902,0" o:connectangles="0,0,0,0,0,0,0" textboxrect="0,0,561203,929372"/>
                                        <v:textbox>
                                          <w:txbxContent>
                                            <w:p w14:paraId="46468C98"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C</w:t>
                                              </w:r>
                                            </w:p>
                                          </w:txbxContent>
                                        </v:textbox>
                                      </v:shape>
                                      <v:shape id="568110943 Forma libre" o:spid="_x0000_s1257" style="position:absolute;left:5748;width:10863;height:5474;visibility:visible;mso-wrap-style:square;v-text-anchor:middle" coordsize="1086273,5474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" adj="-11796480,,5400" path="m,371216l385465,547446,796644,504782,833882,206877,1086273,99301,420127,,,371216xe" fillcolor="#ffc000" stroked="f" strokeweight="2pt">
                                        <v:stroke joinstyle="miter"/>
                                        <v:formulas/>
                                        <v:path arrowok="t" o:connecttype="custom" o:connectlocs="0,371190;385460,547408;796634,504747;833871,206863;1086259,99294;420122,0;0,371190" o:connectangles="0,0,0,0,0,0,0" textboxrect="0,0,1086273,547446"/>
                                        <v:textbox>
                                          <w:txbxContent>
                                            <w:p w14:paraId="1B8C6D2D"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B</w:t>
                                              </w:r>
                                              <w:r w:rsidRPr="004E4C01">
                                                <w:rPr>
                                                  <w:color w:val="0D0D0D" w:themeColor="text1" w:themeTint="F2"/>
                                                  <w:sz w:val="20"/>
                                                  <w:szCs w:val="20"/>
                                                  <w:vertAlign w:val="subscript"/>
                                                </w:rPr>
                                                <w:t>1</w:t>
                                              </w:r>
                                            </w:p>
                                          </w:txbxContent>
                                        </v:textbox>
                                      </v:shape>
                                      <v:shape id="2078634880 Forma libre" o:spid="_x0000_s1258" style="position:absolute;width:9930;height:13074;visibility:visible;mso-wrap-style:square;v-text-anchor:middle" coordsize="993014,1307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" adj="-11796480,,5400" path="m471682,86888l198603,281353,,753035r132402,397205l575121,1307467,695110,976463,599946,368242,993014,,471682,86888xe" fillcolor="#f30" stroked="f" strokeweight="2pt">
                                        <v:stroke joinstyle="miter"/>
                                        <v:formulas/>
                                        <v:path arrowok="t" o:connecttype="custom" o:connectlocs="471682,86888;198603,281353;0,753035;132402,1150240;575121,1307467;695110,976463;599946,368242;993014,0;471682,86888" o:connectangles="0,0,0,0,0,0,0,0,0" textboxrect="0,0,993014,1307467"/>
                                        <v:textbox>
                                          <w:txbxContent>
                                            <w:p w14:paraId="75451589"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A</w:t>
                                              </w:r>
                                              <w:r w:rsidRPr="004E4C01">
                                                <w:rPr>
                                                  <w:color w:val="0D0D0D" w:themeColor="text1" w:themeTint="F2"/>
                                                  <w:sz w:val="20"/>
                                                  <w:szCs w:val="20"/>
                                                  <w:vertAlign w:val="subscript"/>
                                                </w:rPr>
                                                <w:t>1</w:t>
                                              </w:r>
                                            </w:p>
                                          </w:txbxContent>
                                        </v:textbox>
                                      </v:shape>
                                    </v:group>
                                  </v:group>
                                </v:group>
                                <v:group id="2078634881 Grupo" o:spid="_x0000_s1259" style="position:absolute;left:4203;top:606;width:10463;height:12383" coordorigin="238" coordsize="9045,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">
                                  <v:shape id="2078634882 Cuadro de texto" o:spid="_x0000_s1260" type="#_x0000_t202" style="position:absolute;left:2866;top:9758;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" filled="f" stroked="f" strokeweight=".5pt">
                                    <v:textbox inset="0,0,0,0">
                                      <w:txbxContent>
                                        <w:p w14:paraId="76581FD4" w14:textId="77777777" w:rsidR="00D55F13" w:rsidRPr="004E4C01" w:rsidRDefault="00D55F13" w:rsidP="0065023A">
                                          <w:pPr>
                                            <w:jc w:val="center"/>
                                            <w:rPr>
                                              <w:sz w:val="20"/>
                                              <w:szCs w:val="20"/>
                                            </w:rPr>
                                          </w:pPr>
                                          <w:r w:rsidRPr="004E4C01">
                                            <w:rPr>
                                              <w:sz w:val="20"/>
                                              <w:szCs w:val="20"/>
                                            </w:rPr>
                                            <w:t>E</w:t>
                                          </w:r>
                                          <w:r w:rsidRPr="004E4C01">
                                            <w:rPr>
                                              <w:sz w:val="20"/>
                                              <w:szCs w:val="20"/>
                                              <w:vertAlign w:val="subscript"/>
                                            </w:rPr>
                                            <w:t>2</w:t>
                                          </w:r>
                                        </w:p>
                                      </w:txbxContent>
                                    </v:textbox>
                                  </v:shape>
                                  <v:group id="2078634883 Grupo" o:spid="_x0000_s1261" style="position:absolute;left:238;width:9045;height:11060" coordorigin="238" coordsize="9045,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">
                                    <v:group id="2078634884 Grupo" o:spid="_x0000_s1262" style="position:absolute;left:238;width:9045;height:11060" coordorigin="238" coordsize="9045,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">
                                      <v:group id="2078634885 Grupo" o:spid="_x0000_s1263" style="position:absolute;left:238;width:9045;height:11060" coordorigin=",-1624" coordsize="9050,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">
                                        <v:line id="2078634886 Conector recto" o:spid="_x0000_s1264" style="position:absolute;visibility:visible;mso-wrap-style:square" from="0,-1624" to="9050,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" strokecolor="windowText">
                                          <v:stroke dashstyle="3 1"/>
                                        </v:line>
                                        <v:shape id="2078634887 Forma libre" o:spid="_x0000_s1265" style="position:absolute;top:8058;width:7269;height:1382;visibility:visible;mso-wrap-style:square;v-text-anchor:middle" coordsize="726915,1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" path="m,3289l348656,,621660,88808r105255,49339e" filled="f" strokecolor="windowText">
                                          <v:stroke dashstyle="longDashDot"/>
                                          <v:path arrowok="t" o:connecttype="custom" o:connectlocs="0,3289;348656,0;621660,88808;726915,138147" o:connectangles="0,0,0,0"/>
                                        </v:shape>
                                      </v:group>
                                      <v:shape id="2078634888 Cuadro de texto" o:spid="_x0000_s1266" type="#_x0000_t202" style="position:absolute;left:2547;top:2213;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" filled="f" stroked="f" strokeweight=".5pt">
                                        <v:textbox inset="0,0,0,0">
                                          <w:txbxContent>
                                            <w:p w14:paraId="2DC9F9FC" w14:textId="77777777" w:rsidR="00D55F13" w:rsidRPr="004E4C01" w:rsidRDefault="00D55F13" w:rsidP="0065023A">
                                              <w:pPr>
                                                <w:jc w:val="center"/>
                                                <w:rPr>
                                                  <w:sz w:val="20"/>
                                                  <w:szCs w:val="20"/>
                                                </w:rPr>
                                              </w:pPr>
                                              <w:r w:rsidRPr="004E4C01">
                                                <w:rPr>
                                                  <w:sz w:val="20"/>
                                                  <w:szCs w:val="20"/>
                                                </w:rPr>
                                                <w:t>B</w:t>
                                              </w:r>
                                              <w:r w:rsidRPr="004E4C01">
                                                <w:rPr>
                                                  <w:sz w:val="20"/>
                                                  <w:szCs w:val="20"/>
                                                  <w:vertAlign w:val="subscript"/>
                                                </w:rPr>
                                                <w:t>2</w:t>
                                              </w:r>
                                            </w:p>
                                          </w:txbxContent>
                                        </v:textbox>
                                      </v:shape>
                                    </v:group>
                                    <v:shape id="2078634889 Cuadro de texto" o:spid="_x0000_s1267" type="#_x0000_t202" style="position:absolute;left:6889;top:3878;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" filled="f" stroked="f" strokeweight=".5pt">
                                      <v:textbox inset="0,0,0,0">
                                        <w:txbxContent>
                                          <w:p w14:paraId="3887F6AA" w14:textId="77777777" w:rsidR="00D55F13" w:rsidRPr="004E4C01" w:rsidRDefault="00D55F13" w:rsidP="0065023A">
                                            <w:pPr>
                                              <w:jc w:val="center"/>
                                              <w:rPr>
                                                <w:sz w:val="20"/>
                                                <w:szCs w:val="20"/>
                                              </w:rPr>
                                            </w:pPr>
                                            <w:r w:rsidRPr="004E4C01">
                                              <w:rPr>
                                                <w:sz w:val="20"/>
                                                <w:szCs w:val="20"/>
                                              </w:rPr>
                                              <w:t>D</w:t>
                                            </w:r>
                                            <w:r w:rsidRPr="004E4C01">
                                              <w:rPr>
                                                <w:sz w:val="20"/>
                                                <w:szCs w:val="20"/>
                                                <w:vertAlign w:val="subscript"/>
                                              </w:rPr>
                                              <w:t>2</w:t>
                                            </w:r>
                                          </w:p>
                                        </w:txbxContent>
                                      </v:textbox>
                                    </v:shape>
                                  </v:group>
                                </v:group>
                              </v:group>
                              <v:shape id="2078634890 Cuadro de texto" o:spid="_x0000_s1268" type="#_x0000_t202" style="position:absolute;left:8526;top:617;width:2318;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" filled="f" stroked="f" strokeweight=".5pt">
                                <v:textbox inset="0,0,0,0">
                                  <w:txbxContent>
                                    <w:p w14:paraId="530EA17D" w14:textId="77777777" w:rsidR="00D55F13" w:rsidRPr="004E4C01" w:rsidRDefault="00D55F13" w:rsidP="0065023A">
                                      <w:pPr>
                                        <w:jc w:val="center"/>
                                        <w:rPr>
                                          <w:sz w:val="20"/>
                                          <w:szCs w:val="20"/>
                                        </w:rPr>
                                      </w:pPr>
                                      <w:r w:rsidRPr="004E4C01">
                                        <w:rPr>
                                          <w:sz w:val="20"/>
                                          <w:szCs w:val="20"/>
                                        </w:rPr>
                                        <w:t>A</w:t>
                                      </w:r>
                                      <w:r w:rsidRPr="004E4C01">
                                        <w:rPr>
                                          <w:sz w:val="20"/>
                                          <w:szCs w:val="20"/>
                                          <w:vertAlign w:val="subscript"/>
                                        </w:rPr>
                                        <w:t>2</w:t>
                                      </w:r>
                                    </w:p>
                                  </w:txbxContent>
                                </v:textbox>
                              </v:shape>
                              <v:shape id="2078634891 Conector" o:spid="_x0000_s1269" type="#_x0000_t120" style="position:absolute;left:10770;top:10883;width:661;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" fillcolor="#0d0d0d" stroked="f" strokeweight="2pt">
                                <o:lock v:ext="edit" aspectratio="t"/>
                              </v:shape>
                              <v:shape id="2078634892 Conector recto de flecha" o:spid="_x0000_s1270" type="#_x0000_t32" style="position:absolute;left:11163;top:5722;width:0;height:49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" strokecolor="#595959" strokeweight="1pt">
                                <v:stroke endarrow="block" endarrowlength="short"/>
                              </v:shape>
                              <v:shape id="2078634893 Conector recto de flecha" o:spid="_x0000_s1271" type="#_x0000_t32" style="position:absolute;left:11724;top:9312;width:4013;height:1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" strokecolor="#595959" strokeweight="1pt">
                                <v:stroke endarrow="block" endarrowlength="short"/>
                              </v:shape>
                              <v:shape id="2078634894 Conector recto de flecha" o:spid="_x0000_s1272" type="#_x0000_t32" style="position:absolute;left:11444;top:11724;width:1289;height:4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" strokecolor="#595959" strokeweight="1pt">
                                <v:stroke endarrow="block" endarrowlength="short"/>
                              </v:shape>
                              <v:shape id="2078634895 Conector recto de flecha" o:spid="_x0000_s1273" type="#_x0000_t32" style="position:absolute;left:4207;top:10883;width:6375;height:3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" strokecolor="#595959" strokeweight="1pt">
                                <v:stroke endarrow="block" endarrowlength="short"/>
                              </v:shape>
                            </v:group>
                            <v:group id="2078634896 Grupo" o:spid="_x0000_s1274" style="position:absolute;left:26479;width:24562;height:17246" coordsize="18637,1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">
                              <v:group id="2078634897 Grupo" o:spid="_x0000_s1275" style="position:absolute;width:18637;height:13074" coordsize="18637,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">
                                <v:group id="2078634898 Grupo" o:spid="_x0000_s1276" style="position:absolute;width:18637;height:13074" coordsize="18637,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">
                                  <v:group id="2078634899 Grupo" o:spid="_x0000_s1277" style="position:absolute;width:18637;height:13074" coordsize="18637,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">
                                    <v:shape id="2078634900 Forma libre" o:spid="_x0000_s1278" style="position:absolute;left:6001;top:3742;width:7716;height:6001;visibility:visible;mso-wrap-style:square;v-text-anchor:middle" coordsize="771525,600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" adj="-11796480,,5400" path="m,l365760,171450,771525,129540,706755,365760,93345,600075,,xe" fillcolor="#00b0f0" stroked="f" strokeweight="2pt">
                                      <v:stroke joinstyle="miter"/>
                                      <v:formulas/>
                                      <v:path arrowok="t" o:connecttype="custom" o:connectlocs="0,0;365760,171450;771525,129540;706755,365759;93345,600074;0,0" o:connectangles="0,0,0,0,0,0" textboxrect="0,0,771525,600075"/>
                                      <v:textbox>
                                        <w:txbxContent>
                                          <w:p w14:paraId="7356080E"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D</w:t>
                                            </w:r>
                                            <w:r w:rsidRPr="004E4C01">
                                              <w:rPr>
                                                <w:color w:val="0D0D0D" w:themeColor="text1" w:themeTint="F2"/>
                                                <w:sz w:val="20"/>
                                                <w:szCs w:val="20"/>
                                                <w:vertAlign w:val="subscript"/>
                                              </w:rPr>
                                              <w:t>1</w:t>
                                            </w:r>
                                          </w:p>
                                        </w:txbxContent>
                                      </v:textbox>
                                    </v:shape>
                                    <v:group id="2078634901 Grupo" o:spid="_x0000_s1279" style="position:absolute;width:18637;height:13078" coordsize="18637,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">
                                      <v:shape id="2078634902 Forma libre" o:spid="_x0000_s1280" style="position:absolute;left:5719;top:7414;width:10198;height:5664;visibility:visible;mso-wrap-style:square;v-text-anchor:middle" coordsize="1019763,566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" adj="-11796480,,5400" path="m,566420l122508,230505,732108,r287655,281940l577803,550545,,566420xe" fillcolor="#92d050" stroked="f" strokeweight="2pt">
                                        <v:stroke joinstyle="miter"/>
                                        <v:formulas/>
                                        <v:path arrowok="t" o:connecttype="custom" o:connectlocs="0,566420;122508,230505;732108,0;1019763,281940;577803,550545;0,566420" o:connectangles="0,0,0,0,0,0" textboxrect="0,0,1019763,566420"/>
                                        <v:textbox>
                                          <w:txbxContent>
                                            <w:p w14:paraId="46800483"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1</w:t>
                                              </w:r>
                                            </w:p>
                                          </w:txbxContent>
                                        </v:textbox>
                                      </v:shape>
                                      <v:group id="2078634903 Grupo" o:spid="_x0000_s1281" style="position:absolute;width:18637;height:13074" coordsize="18642,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">
                                        <v:shape id="2078634904 Forma libre" o:spid="_x0000_s1282" style="position:absolute;left:13030;top:950;width:5612;height:9294;visibility:visible;mso-wrap-style:square;v-text-anchor:middle" coordsize="561203,929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" adj="-11796480,,5400" path="m357902,l561203,472172,291782,929372,,644317,65903,409579,104030,105528,357902,xe" fillcolor="#d60093" stroked="f" strokeweight="2pt">
                                          <v:stroke joinstyle="miter"/>
                                          <v:formulas/>
                                          <v:path arrowok="t" o:connecttype="custom" o:connectlocs="357902,0;561203,472172;291782,929372;0,644317;65903,409579;104030,105528;357902,0" o:connectangles="0,0,0,0,0,0,0" textboxrect="0,0,561203,929372"/>
                                          <v:textbox>
                                            <w:txbxContent>
                                              <w:p w14:paraId="3839DFFF"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C</w:t>
                                                </w:r>
                                              </w:p>
                                            </w:txbxContent>
                                          </v:textbox>
                                        </v:shape>
                                        <v:shape id="2078634905 Forma libre" o:spid="_x0000_s1283" style="position:absolute;left:5748;width:10863;height:5474;visibility:visible;mso-wrap-style:square;v-text-anchor:middle" coordsize="1086273,5474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" adj="-11796480,,5400" path="m,371216l385465,547446,796644,504782,833882,206877,1086273,99301,420127,,,371216xe" fillcolor="#ffc000" stroked="f" strokeweight="2pt">
                                          <v:stroke joinstyle="miter"/>
                                          <v:formulas/>
                                          <v:path arrowok="t" o:connecttype="custom" o:connectlocs="0,371190;385460,547408;796634,504747;833871,206863;1086259,99294;420122,0;0,371190" o:connectangles="0,0,0,0,0,0,0" textboxrect="0,0,1086273,547446"/>
                                          <v:textbox>
                                            <w:txbxContent>
                                              <w:p w14:paraId="1F52FB47"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B</w:t>
                                                </w:r>
                                                <w:r w:rsidRPr="004E4C01">
                                                  <w:rPr>
                                                    <w:color w:val="0D0D0D" w:themeColor="text1" w:themeTint="F2"/>
                                                    <w:sz w:val="20"/>
                                                    <w:szCs w:val="20"/>
                                                    <w:vertAlign w:val="subscript"/>
                                                  </w:rPr>
                                                  <w:t>1</w:t>
                                                </w:r>
                                              </w:p>
                                            </w:txbxContent>
                                          </v:textbox>
                                        </v:shape>
                                        <v:shape id="2078634906 Forma libre" o:spid="_x0000_s1284" style="position:absolute;width:9930;height:13074;visibility:visible;mso-wrap-style:square;v-text-anchor:middle" coordsize="993014,1307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" adj="-11796480,,5400" path="m471682,86888l198603,281353,,753035r132402,397205l575121,1307467,695110,976463,599946,368242,993014,,471682,86888xe" fillcolor="#f30" stroked="f" strokeweight="2pt">
                                          <v:stroke joinstyle="miter"/>
                                          <v:formulas/>
                                          <v:path arrowok="t" o:connecttype="custom" o:connectlocs="471682,86888;198603,281353;0,753035;132402,1150240;575121,1307467;695110,976463;599946,368242;993014,0;471682,86888" o:connectangles="0,0,0,0,0,0,0,0,0" textboxrect="0,0,993014,1307467"/>
                                          <v:textbox>
                                            <w:txbxContent>
                                              <w:p w14:paraId="4D7E8AC4" w14:textId="77777777" w:rsidR="00D55F13" w:rsidRPr="004E4C01" w:rsidRDefault="00D55F13" w:rsidP="0065023A">
                                                <w:pPr>
                                                  <w:rPr>
                                                    <w:color w:val="0D0D0D" w:themeColor="text1" w:themeTint="F2"/>
                                                    <w:sz w:val="20"/>
                                                    <w:szCs w:val="20"/>
                                                  </w:rPr>
                                                </w:pPr>
                                                <w:r w:rsidRPr="004E4C01">
                                                  <w:rPr>
                                                    <w:color w:val="0D0D0D" w:themeColor="text1" w:themeTint="F2"/>
                                                    <w:sz w:val="20"/>
                                                    <w:szCs w:val="20"/>
                                                  </w:rPr>
                                                  <w:t xml:space="preserve">      A</w:t>
                                                </w:r>
                                              </w:p>
                                            </w:txbxContent>
                                          </v:textbox>
                                        </v:shape>
                                      </v:group>
                                    </v:group>
                                  </v:group>
                                  <v:group id="2078634907 Grupo" o:spid="_x0000_s1285" style="position:absolute;left:4203;top:606;width:10463;height:12383" coordorigin="238" coordsize="9045,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">
                                    <v:shape id="2078634908 Cuadro de texto" o:spid="_x0000_s1286" type="#_x0000_t202" style="position:absolute;left:2866;top:9758;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" filled="f" stroked="f" strokeweight=".5pt">
                                      <v:textbox inset="0,0,0,0">
                                        <w:txbxContent>
                                          <w:p w14:paraId="0A9E4EFB" w14:textId="77777777" w:rsidR="00D55F13" w:rsidRPr="004E4C01" w:rsidRDefault="00D55F13" w:rsidP="0065023A">
                                            <w:pPr>
                                              <w:jc w:val="center"/>
                                              <w:rPr>
                                                <w:sz w:val="20"/>
                                                <w:szCs w:val="20"/>
                                              </w:rPr>
                                            </w:pPr>
                                            <w:r w:rsidRPr="004E4C01">
                                              <w:rPr>
                                                <w:sz w:val="20"/>
                                                <w:szCs w:val="20"/>
                                              </w:rPr>
                                              <w:t>E</w:t>
                                            </w:r>
                                            <w:r w:rsidRPr="004E4C01">
                                              <w:rPr>
                                                <w:sz w:val="20"/>
                                                <w:szCs w:val="20"/>
                                                <w:vertAlign w:val="subscript"/>
                                              </w:rPr>
                                              <w:t>2</w:t>
                                            </w:r>
                                          </w:p>
                                        </w:txbxContent>
                                      </v:textbox>
                                    </v:shape>
                                    <v:group id="2078634909 Grupo" o:spid="_x0000_s1287" style="position:absolute;left:238;width:9045;height:11060" coordorigin="238" coordsize="9045,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">
                                      <v:group id="2078634910 Grupo" o:spid="_x0000_s1288" style="position:absolute;left:238;width:9045;height:11060" coordorigin="238" coordsize="9045,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">
                                        <v:group id="2078634911 Grupo" o:spid="_x0000_s1289" style="position:absolute;left:238;width:9045;height:11060" coordorigin=",-1624" coordsize="9050,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">
                                          <v:line id="2078634912 Conector recto" o:spid="_x0000_s1290" style="position:absolute;visibility:visible;mso-wrap-style:square" from="0,-1624" to="9050,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" strokecolor="windowText">
                                            <v:stroke dashstyle="3 1"/>
                                          </v:line>
                                          <v:shape id="2078634913 Forma libre" o:spid="_x0000_s1291" style="position:absolute;top:8058;width:7269;height:1382;visibility:visible;mso-wrap-style:square;v-text-anchor:middle" coordsize="726915,1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" path="m,3289l348656,,621660,88808r105255,49339e" filled="f" strokecolor="windowText">
                                            <v:stroke dashstyle="longDashDot"/>
                                            <v:path arrowok="t" o:connecttype="custom" o:connectlocs="0,3289;348656,0;621660,88808;726915,138147" o:connectangles="0,0,0,0"/>
                                          </v:shape>
                                        </v:group>
                                        <v:shape id="2078634914 Cuadro de texto" o:spid="_x0000_s1292" type="#_x0000_t202" style="position:absolute;left:2547;top:2213;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" filled="f" stroked="f" strokeweight=".5pt">
                                          <v:textbox inset="0,0,0,0">
                                            <w:txbxContent>
                                              <w:p w14:paraId="7648BB7D" w14:textId="77777777" w:rsidR="00D55F13" w:rsidRPr="004E4C01" w:rsidRDefault="00D55F13" w:rsidP="0065023A">
                                                <w:pPr>
                                                  <w:jc w:val="center"/>
                                                  <w:rPr>
                                                    <w:sz w:val="20"/>
                                                    <w:szCs w:val="20"/>
                                                  </w:rPr>
                                                </w:pPr>
                                                <w:r w:rsidRPr="004E4C01">
                                                  <w:rPr>
                                                    <w:sz w:val="20"/>
                                                    <w:szCs w:val="20"/>
                                                  </w:rPr>
                                                  <w:t>B</w:t>
                                                </w:r>
                                                <w:r w:rsidRPr="004E4C01">
                                                  <w:rPr>
                                                    <w:sz w:val="20"/>
                                                    <w:szCs w:val="20"/>
                                                    <w:vertAlign w:val="subscript"/>
                                                  </w:rPr>
                                                  <w:t>2</w:t>
                                                </w:r>
                                              </w:p>
                                            </w:txbxContent>
                                          </v:textbox>
                                        </v:shape>
                                      </v:group>
                                      <v:shape id="2078634915 Cuadro de texto" o:spid="_x0000_s1293" type="#_x0000_t202" style="position:absolute;left:6889;top:3878;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" filled="f" stroked="f" strokeweight=".5pt">
                                        <v:textbox inset="0,0,0,0">
                                          <w:txbxContent>
                                            <w:p w14:paraId="5F4D8F1D" w14:textId="77777777" w:rsidR="00D55F13" w:rsidRPr="004E4C01" w:rsidRDefault="00D55F13" w:rsidP="0065023A">
                                              <w:pPr>
                                                <w:jc w:val="center"/>
                                                <w:rPr>
                                                  <w:sz w:val="20"/>
                                                  <w:szCs w:val="20"/>
                                                </w:rPr>
                                              </w:pPr>
                                              <w:r w:rsidRPr="004E4C01">
                                                <w:rPr>
                                                  <w:sz w:val="20"/>
                                                  <w:szCs w:val="20"/>
                                                </w:rPr>
                                                <w:t>D</w:t>
                                              </w:r>
                                              <w:r w:rsidRPr="004E4C01">
                                                <w:rPr>
                                                  <w:sz w:val="20"/>
                                                  <w:szCs w:val="20"/>
                                                  <w:vertAlign w:val="subscript"/>
                                                </w:rPr>
                                                <w:t>2</w:t>
                                              </w:r>
                                            </w:p>
                                          </w:txbxContent>
                                        </v:textbox>
                                      </v:shape>
                                    </v:group>
                                  </v:group>
                                </v:group>
                                <v:shape id="2078634916 Cuadro de texto" o:spid="_x0000_s1294" type="#_x0000_t202" style="position:absolute;left:6457;top:476;width:1759;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" filled="f" stroked="f" strokeweight=".5pt">
                                  <v:textbox inset="0,0,0,0">
                                    <w:txbxContent>
                                      <w:p w14:paraId="3D782A2C" w14:textId="77777777" w:rsidR="00D55F13" w:rsidRPr="004E4C01" w:rsidRDefault="00D55F13" w:rsidP="0065023A">
                                        <w:pPr>
                                          <w:jc w:val="center"/>
                                          <w:rPr>
                                            <w:sz w:val="20"/>
                                            <w:szCs w:val="20"/>
                                          </w:rPr>
                                        </w:pPr>
                                        <w:r w:rsidRPr="004E4C01">
                                          <w:rPr>
                                            <w:sz w:val="20"/>
                                            <w:szCs w:val="20"/>
                                          </w:rPr>
                                          <w:t>A</w:t>
                                        </w:r>
                                        <w:r w:rsidRPr="004E4C01">
                                          <w:rPr>
                                            <w:sz w:val="20"/>
                                            <w:szCs w:val="20"/>
                                            <w:vertAlign w:val="subscript"/>
                                          </w:rPr>
                                          <w:t>2</w:t>
                                        </w:r>
                                      </w:p>
                                    </w:txbxContent>
                                  </v:textbox>
                                </v:shape>
                              </v:group>
                              <v:group id="2078634917 Grupo" o:spid="_x0000_s1295" style="position:absolute;top:935;width:15913;height:12154" coordsize="15913,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">
                                <v:shape id="2078634918 Forma libre" o:spid="_x0000_s1296" style="position:absolute;width:15913;height:12156;visibility:visible;mso-wrap-style:square;v-text-anchor:middle" coordsize="1591380,121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" path="m467054,r857405,594624l1303317,652765r288063,272206l1226677,1154892r-73932,39910l576554,1215676,130247,1059346,,659593,197491,188473,467054,xe" fillcolor="#7f7f7f" strokecolor="windowText" strokeweight="1pt">
                                  <v:fill r:id="rId50" o:title="" type="pattern"/>
                                  <v:path arrowok="t" o:connecttype="custom" o:connectlocs="467054,0;1324459,594624;1303317,652765;1591380,924971;1226677,1154892;1152745,1194802;576554,1215676;130247,1059346;0,659593;197491,188473;467054,0" o:connectangles="0,0,0,0,0,0,0,0,0,0,0"/>
                                </v:shape>
                                <v:group id="2078634919 Grupo" o:spid="_x0000_s1297" style="position:absolute;left:1781;top:2018;width:9876;height:8110" coordorigin="-933,-511" coordsize="9876,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">
                                  <v:shape id="2078634920 Cuadro de texto" o:spid="_x0000_s1298" type="#_x0000_t202" style="position:absolute;left:-933;top:216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" filled="f" stroked="f" strokeweight=".5pt">
                                    <v:textbox inset="0,0,0,0">
                                      <w:txbxContent>
                                        <w:p w14:paraId="45F69D45"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A</w:t>
                                          </w:r>
                                          <w:r w:rsidRPr="004E4C01">
                                            <w:rPr>
                                              <w:color w:val="0D0D0D" w:themeColor="text1" w:themeTint="F2"/>
                                              <w:sz w:val="20"/>
                                              <w:szCs w:val="20"/>
                                              <w:vertAlign w:val="subscript"/>
                                            </w:rPr>
                                            <w:t>1</w:t>
                                          </w:r>
                                        </w:p>
                                      </w:txbxContent>
                                    </v:textbox>
                                  </v:shape>
                                  <v:group id="2078634921 Grupo" o:spid="_x0000_s1299" style="position:absolute;left:6229;top:2352;width:2713;height:5245" coordorigin="2419,-266" coordsize="271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">
                                    <v:shape id="2078634922 Cuadro de texto" o:spid="_x0000_s1300" type="#_x0000_t202" style="position:absolute;left:3373;top:3219;width:1759;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" filled="f" stroked="f" strokeweight=".5pt">
                                      <v:textbox inset="0,0,0,0">
                                        <w:txbxContent>
                                          <w:p w14:paraId="20FC3E41"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1</w:t>
                                            </w:r>
                                          </w:p>
                                        </w:txbxContent>
                                      </v:textbox>
                                    </v:shape>
                                    <v:shape id="2078634923 Cuadro de texto" o:spid="_x0000_s1301" type="#_x0000_t202" style="position:absolute;left:2419;top:-266;width:1759;height:1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" filled="f" stroked="f" strokeweight=".5pt">
                                      <v:textbox inset="0,0,0,0">
                                        <w:txbxContent>
                                          <w:p w14:paraId="07ED0375"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D</w:t>
                                            </w:r>
                                            <w:r w:rsidRPr="004E4C01">
                                              <w:rPr>
                                                <w:color w:val="0D0D0D" w:themeColor="text1" w:themeTint="F2"/>
                                                <w:sz w:val="20"/>
                                                <w:szCs w:val="20"/>
                                                <w:vertAlign w:val="subscript"/>
                                              </w:rPr>
                                              <w:t>1</w:t>
                                            </w:r>
                                          </w:p>
                                        </w:txbxContent>
                                      </v:textbox>
                                    </v:shape>
                                  </v:group>
                                  <v:shape id="2078634924 Cuadro de texto" o:spid="_x0000_s1302" type="#_x0000_t202" style="position:absolute;left:4123;top:-511;width:1759;height:1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" filled="f" stroked="f" strokeweight=".5pt">
                                    <v:textbox inset="0,0,0,0">
                                      <w:txbxContent>
                                        <w:p w14:paraId="2AAA49B1"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B</w:t>
                                          </w:r>
                                          <w:r w:rsidRPr="004E4C01">
                                            <w:rPr>
                                              <w:color w:val="0D0D0D" w:themeColor="text1" w:themeTint="F2"/>
                                              <w:sz w:val="20"/>
                                              <w:szCs w:val="20"/>
                                              <w:vertAlign w:val="subscript"/>
                                            </w:rPr>
                                            <w:t>2</w:t>
                                          </w:r>
                                        </w:p>
                                      </w:txbxContent>
                                    </v:textbox>
                                  </v:shape>
                                </v:group>
                              </v:group>
                            </v:group>
                          </v:group>
                        </v:group>
                        <v:group id="2078634925 Grupo" o:spid="_x0000_s1303" style="position:absolute;left:10632;top:9569;width:1373;height:2104" coordsize="137287,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">
                          <v:shape id="2605 Conector" o:spid="_x0000_s1304" type="#_x0000_t120" style="position:absolute;left:73152;top:146304;width:64135;height:6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" fillcolor="#0d0d0d [3069]" stroked="f" strokeweight="2pt"/>
                          <v:shape id="2604 Cuadro de texto" o:spid="_x0000_s1305" type="#_x0000_t202" style="position:absolute;width:62865;height:14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" filled="f" stroked="f" strokeweight=".5pt">
                            <v:textbox inset="0,0,0,0">
                              <w:txbxContent>
                                <w:p w14:paraId="61D9C8E4" w14:textId="77777777" w:rsidR="00D55F13" w:rsidRPr="004E4C01" w:rsidRDefault="00D55F13" w:rsidP="0065023A">
                                  <w:pPr>
                                    <w:rPr>
                                      <w:i/>
                                    </w:rPr>
                                  </w:pPr>
                                  <w:r w:rsidRPr="004E4C01">
                                    <w:rPr>
                                      <w:i/>
                                    </w:rPr>
                                    <w:t>i</w:t>
                                  </w:r>
                                </w:p>
                              </w:txbxContent>
                            </v:textbox>
                          </v:shape>
                        </v:group>
                      </v:group>
                      <v:group id="2078634928 Grupo" o:spid="_x0000_s1306" style="position:absolute;left:37001;top:9888;width:1373;height:2104" coordsize="137287,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">
                        <v:shape id="2605 Conector" o:spid="_x0000_s1307" type="#_x0000_t120" style="position:absolute;left:73152;top:146304;width:64135;height:6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" fillcolor="#0d0d0d [3069]" stroked="f" strokeweight="2pt"/>
                        <v:shape id="2604 Cuadro de texto" o:spid="_x0000_s1308" type="#_x0000_t202" style="position:absolute;width:62865;height:14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" filled="f" stroked="f" strokeweight=".5pt">
                          <v:textbox inset="0,0,0,0">
                            <w:txbxContent>
                              <w:p w14:paraId="7AFCB881" w14:textId="77777777" w:rsidR="00D55F13" w:rsidRPr="004E4C01" w:rsidRDefault="00D55F13" w:rsidP="0065023A">
                                <w:pPr>
                                  <w:rPr>
                                    <w:i/>
                                  </w:rPr>
                                </w:pPr>
                                <w:r w:rsidRPr="004E4C01">
                                  <w:rPr>
                                    <w:i/>
                                  </w:rPr>
                                  <w:t>i</w:t>
                                </w:r>
                              </w:p>
                            </w:txbxContent>
                          </v:textbox>
                        </v:shape>
                      </v:group>
                    </v:group>
                    <v:group id="2078634931 Grupo" o:spid="_x0000_s1309" style="position:absolute;left:36576;top:30834;width:1372;height:2031" coordsize="137287,20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">
                      <v:shape id="2605 Conector" o:spid="_x0000_s1310" type="#_x0000_t120" style="position:absolute;left:73152;top:138989;width:64135;height:6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" fillcolor="#0d0d0d [3069]" stroked="f" strokeweight="2pt"/>
                      <v:shape id="2604 Cuadro de texto" o:spid="_x0000_s1311" type="#_x0000_t202" style="position:absolute;width:62865;height:14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" filled="f" stroked="f" strokeweight=".5pt">
                        <v:textbox inset="0,0,0,0">
                          <w:txbxContent>
                            <w:p w14:paraId="4C3F195C" w14:textId="77777777" w:rsidR="00D55F13" w:rsidRPr="004E4C01" w:rsidRDefault="00D55F13" w:rsidP="0065023A">
                              <w:pPr>
                                <w:rPr>
                                  <w:i/>
                                </w:rPr>
                              </w:pPr>
                              <w:r w:rsidRPr="004E4C01">
                                <w:rPr>
                                  <w:i/>
                                </w:rPr>
                                <w:t>i</w:t>
                              </w:r>
                            </w:p>
                          </w:txbxContent>
                        </v:textbox>
                      </v:shape>
                    </v:group>
                  </v:group>
                  <v:shape id="2078634934 Cuadro de texto" o:spid="_x0000_s1312" type="#_x0000_t202" style="position:absolute;left:9781;top:30621;width:212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" filled="f" stroked="f" strokeweight=".5pt">
                    <v:textbox inset="0,0,0,0">
                      <w:txbxContent>
                        <w:p w14:paraId="2BBCB8DD" w14:textId="77777777" w:rsidR="00D55F13" w:rsidRPr="004E4C01" w:rsidRDefault="00D55F13" w:rsidP="0065023A">
                          <w:pPr>
                            <w:jc w:val="center"/>
                            <w:rPr>
                              <w:i/>
                            </w:rPr>
                          </w:pPr>
                          <w:r w:rsidRPr="004E4C01">
                            <w:rPr>
                              <w:i/>
                            </w:rPr>
                            <w:t>i</w:t>
                          </w:r>
                        </w:p>
                      </w:txbxContent>
                    </v:textbox>
                  </v:shape>
                </v:group>
                <v:shape id="2078634935 Cuadro de texto" o:spid="_x0000_s1313" type="#_x0000_t202" style="position:absolute;left:36257;top:35831;width:2318;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" filled="f" stroked="f" strokeweight=".5pt">
                  <v:textbox inset="0,0,0,0">
                    <w:txbxContent>
                      <w:p w14:paraId="020CB2FB" w14:textId="77777777" w:rsidR="00D55F13" w:rsidRPr="004E4C01" w:rsidRDefault="00D55F13" w:rsidP="0065023A">
                        <w:pPr>
                          <w:jc w:val="center"/>
                          <w:rPr>
                            <w:color w:val="0D0D0D" w:themeColor="text1" w:themeTint="F2"/>
                            <w:sz w:val="20"/>
                            <w:szCs w:val="20"/>
                          </w:rPr>
                        </w:pPr>
                        <w:r w:rsidRPr="004E4C01">
                          <w:rPr>
                            <w:color w:val="0D0D0D" w:themeColor="text1" w:themeTint="F2"/>
                            <w:sz w:val="20"/>
                            <w:szCs w:val="20"/>
                          </w:rPr>
                          <w:t>E</w:t>
                        </w:r>
                        <w:r w:rsidRPr="004E4C01">
                          <w:rPr>
                            <w:color w:val="0D0D0D" w:themeColor="text1" w:themeTint="F2"/>
                            <w:sz w:val="20"/>
                            <w:szCs w:val="20"/>
                            <w:vertAlign w:val="subscript"/>
                          </w:rPr>
                          <w:t>2</w:t>
                        </w:r>
                      </w:p>
                    </w:txbxContent>
                  </v:textbox>
                </v:shape>
                <w10:wrap type="topAndBottom"/>
              </v:group>
            </w:pict>
          </mc:Fallback>
        </mc:AlternateContent>
      </w:r>
      <w:r w:rsidR="00077E48" w:rsidRPr="004068F6">
        <w:rPr>
          <w:rFonts w:eastAsiaTheme="minorHAnsi" w:cs="Arial"/>
          <w:b/>
          <w:bCs/>
          <w:szCs w:val="22"/>
          <w:lang w:eastAsia="en-US"/>
        </w:rPr>
        <w:t xml:space="preserve">Figura </w:t>
      </w:r>
      <w:r w:rsidR="004647AE">
        <w:rPr>
          <w:rFonts w:eastAsiaTheme="minorHAnsi" w:cs="Arial"/>
          <w:b/>
          <w:bCs/>
          <w:szCs w:val="22"/>
          <w:lang w:eastAsia="en-US"/>
        </w:rPr>
        <w:fldChar w:fldCharType="begin"/>
      </w:r>
      <w:r w:rsidR="004647AE">
        <w:rPr>
          <w:rFonts w:eastAsiaTheme="minorHAnsi" w:cs="Arial"/>
          <w:b/>
          <w:bCs/>
          <w:szCs w:val="22"/>
          <w:lang w:eastAsia="en-US"/>
        </w:rPr>
        <w:instrText xml:space="preserve"> SEQ Figura \* ARABIC </w:instrText>
      </w:r>
      <w:r w:rsidR="004647AE">
        <w:rPr>
          <w:rFonts w:eastAsiaTheme="minorHAnsi" w:cs="Arial"/>
          <w:b/>
          <w:bCs/>
          <w:szCs w:val="22"/>
          <w:lang w:eastAsia="en-US"/>
        </w:rPr>
        <w:fldChar w:fldCharType="separate"/>
      </w:r>
      <w:r w:rsidR="009C4A81">
        <w:rPr>
          <w:rFonts w:eastAsiaTheme="minorHAnsi" w:cs="Arial"/>
          <w:b/>
          <w:bCs/>
          <w:noProof/>
          <w:szCs w:val="22"/>
          <w:lang w:eastAsia="en-US"/>
        </w:rPr>
        <w:t>7</w:t>
      </w:r>
      <w:r w:rsidR="004647AE">
        <w:rPr>
          <w:rFonts w:eastAsiaTheme="minorHAnsi" w:cs="Arial"/>
          <w:b/>
          <w:bCs/>
          <w:szCs w:val="22"/>
          <w:lang w:eastAsia="en-US"/>
        </w:rPr>
        <w:fldChar w:fldCharType="end"/>
      </w:r>
      <w:bookmarkEnd w:id="2540"/>
      <w:r w:rsidR="00077E48" w:rsidRPr="004068F6">
        <w:rPr>
          <w:rFonts w:eastAsiaTheme="minorHAnsi" w:cs="Arial"/>
          <w:b/>
          <w:bCs/>
          <w:szCs w:val="22"/>
          <w:lang w:eastAsia="en-US"/>
        </w:rPr>
        <w:t xml:space="preserve">. </w:t>
      </w:r>
      <w:r w:rsidR="00077E48" w:rsidRPr="004068F6">
        <w:rPr>
          <w:rFonts w:eastAsiaTheme="minorHAnsi" w:cs="Arial"/>
          <w:szCs w:val="22"/>
          <w:lang w:eastAsia="es-CO"/>
        </w:rPr>
        <w:t>Delimitación del área de influencia de un componente</w:t>
      </w:r>
    </w:p>
    <w:p w14:paraId="534B25FD" w14:textId="488EB837" w:rsidR="00077E48" w:rsidRPr="004068F6" w:rsidRDefault="00077E48" w:rsidP="0065023A">
      <w:pPr>
        <w:overflowPunct/>
        <w:autoSpaceDE/>
        <w:autoSpaceDN/>
        <w:adjustRightInd/>
        <w:ind w:left="709" w:right="476"/>
        <w:textAlignment w:val="auto"/>
        <w:rPr>
          <w:rFonts w:eastAsiaTheme="minorHAnsi" w:cs="Arial"/>
          <w:sz w:val="20"/>
          <w:szCs w:val="20"/>
          <w:lang w:eastAsia="es-CO"/>
        </w:rPr>
      </w:pPr>
      <w:r w:rsidRPr="004068F6">
        <w:rPr>
          <w:rFonts w:eastAsiaTheme="minorHAnsi" w:cs="Arial"/>
          <w:b/>
          <w:sz w:val="20"/>
          <w:szCs w:val="20"/>
          <w:lang w:eastAsia="es-CO"/>
        </w:rPr>
        <w:t>1.</w:t>
      </w:r>
      <w:r w:rsidRPr="004068F6">
        <w:rPr>
          <w:rFonts w:eastAsiaTheme="minorHAnsi" w:cs="Arial"/>
          <w:sz w:val="20"/>
          <w:szCs w:val="20"/>
          <w:lang w:eastAsia="es-CO"/>
        </w:rPr>
        <w:t xml:space="preserve"> Unidades de análisis (A, B, C, D y E) de un componente; </w:t>
      </w:r>
      <w:r w:rsidRPr="004068F6">
        <w:rPr>
          <w:rFonts w:eastAsiaTheme="minorHAnsi" w:cs="Arial"/>
          <w:b/>
          <w:sz w:val="20"/>
          <w:szCs w:val="20"/>
          <w:lang w:eastAsia="es-CO"/>
        </w:rPr>
        <w:t>2.</w:t>
      </w:r>
      <w:r w:rsidRPr="004068F6">
        <w:rPr>
          <w:rFonts w:eastAsiaTheme="minorHAnsi" w:cs="Arial"/>
          <w:sz w:val="20"/>
          <w:szCs w:val="20"/>
          <w:lang w:eastAsia="es-CO"/>
        </w:rPr>
        <w:t xml:space="preserve"> Unidades de análisis divididas de forma objetiva en las unidades de análisis A</w:t>
      </w:r>
      <w:r w:rsidRPr="004068F6">
        <w:rPr>
          <w:rFonts w:eastAsiaTheme="minorHAnsi" w:cs="Arial"/>
          <w:sz w:val="20"/>
          <w:szCs w:val="20"/>
          <w:vertAlign w:val="subscript"/>
          <w:lang w:eastAsia="es-CO"/>
        </w:rPr>
        <w:t>1</w:t>
      </w:r>
      <w:r w:rsidRPr="004068F6">
        <w:rPr>
          <w:rFonts w:eastAsiaTheme="minorHAnsi" w:cs="Arial"/>
          <w:sz w:val="20"/>
          <w:szCs w:val="20"/>
          <w:lang w:eastAsia="es-CO"/>
        </w:rPr>
        <w:t>, A</w:t>
      </w:r>
      <w:r w:rsidRPr="004068F6">
        <w:rPr>
          <w:rFonts w:eastAsiaTheme="minorHAnsi" w:cs="Arial"/>
          <w:sz w:val="20"/>
          <w:szCs w:val="20"/>
          <w:vertAlign w:val="subscript"/>
          <w:lang w:eastAsia="es-CO"/>
        </w:rPr>
        <w:t>2</w:t>
      </w:r>
      <w:r w:rsidRPr="004068F6">
        <w:rPr>
          <w:rFonts w:eastAsiaTheme="minorHAnsi" w:cs="Arial"/>
          <w:sz w:val="20"/>
          <w:szCs w:val="20"/>
          <w:lang w:eastAsia="es-CO"/>
        </w:rPr>
        <w:t>, B</w:t>
      </w:r>
      <w:r w:rsidRPr="004068F6">
        <w:rPr>
          <w:rFonts w:eastAsiaTheme="minorHAnsi" w:cs="Arial"/>
          <w:sz w:val="20"/>
          <w:szCs w:val="20"/>
          <w:vertAlign w:val="subscript"/>
          <w:lang w:eastAsia="es-CO"/>
        </w:rPr>
        <w:t>1</w:t>
      </w:r>
      <w:r w:rsidRPr="004068F6">
        <w:rPr>
          <w:rFonts w:eastAsiaTheme="minorHAnsi" w:cs="Arial"/>
          <w:sz w:val="20"/>
          <w:szCs w:val="20"/>
          <w:lang w:eastAsia="es-CO"/>
        </w:rPr>
        <w:t>, B</w:t>
      </w:r>
      <w:r w:rsidRPr="004068F6">
        <w:rPr>
          <w:rFonts w:eastAsiaTheme="minorHAnsi" w:cs="Arial"/>
          <w:sz w:val="20"/>
          <w:szCs w:val="20"/>
          <w:vertAlign w:val="subscript"/>
          <w:lang w:eastAsia="es-CO"/>
        </w:rPr>
        <w:t>2</w:t>
      </w:r>
      <w:r w:rsidRPr="004068F6">
        <w:rPr>
          <w:rFonts w:eastAsiaTheme="minorHAnsi" w:cs="Arial"/>
          <w:sz w:val="20"/>
          <w:szCs w:val="20"/>
          <w:lang w:eastAsia="es-CO"/>
        </w:rPr>
        <w:t>, C, D</w:t>
      </w:r>
      <w:r w:rsidRPr="004068F6">
        <w:rPr>
          <w:rFonts w:eastAsiaTheme="minorHAnsi" w:cs="Arial"/>
          <w:sz w:val="20"/>
          <w:szCs w:val="20"/>
          <w:vertAlign w:val="subscript"/>
          <w:lang w:eastAsia="es-CO"/>
        </w:rPr>
        <w:t>1</w:t>
      </w:r>
      <w:r w:rsidRPr="004068F6">
        <w:rPr>
          <w:rFonts w:eastAsiaTheme="minorHAnsi" w:cs="Arial"/>
          <w:sz w:val="20"/>
          <w:szCs w:val="20"/>
          <w:lang w:eastAsia="es-CO"/>
        </w:rPr>
        <w:t>, D</w:t>
      </w:r>
      <w:r w:rsidRPr="004068F6">
        <w:rPr>
          <w:rFonts w:eastAsiaTheme="minorHAnsi" w:cs="Arial"/>
          <w:sz w:val="20"/>
          <w:szCs w:val="20"/>
          <w:vertAlign w:val="subscript"/>
          <w:lang w:eastAsia="es-CO"/>
        </w:rPr>
        <w:t>2</w:t>
      </w:r>
      <w:r w:rsidRPr="004068F6">
        <w:rPr>
          <w:rFonts w:eastAsiaTheme="minorHAnsi" w:cs="Arial"/>
          <w:sz w:val="20"/>
          <w:szCs w:val="20"/>
          <w:lang w:eastAsia="es-CO"/>
        </w:rPr>
        <w:t>, E</w:t>
      </w:r>
      <w:r w:rsidRPr="004068F6">
        <w:rPr>
          <w:rFonts w:eastAsiaTheme="minorHAnsi" w:cs="Arial"/>
          <w:sz w:val="20"/>
          <w:szCs w:val="20"/>
          <w:vertAlign w:val="subscript"/>
          <w:lang w:eastAsia="es-CO"/>
        </w:rPr>
        <w:t>1</w:t>
      </w:r>
      <w:r w:rsidRPr="004068F6">
        <w:rPr>
          <w:rFonts w:eastAsiaTheme="minorHAnsi" w:cs="Arial"/>
          <w:sz w:val="20"/>
          <w:szCs w:val="20"/>
          <w:lang w:eastAsia="es-CO"/>
        </w:rPr>
        <w:t xml:space="preserve"> y E</w:t>
      </w:r>
      <w:r w:rsidRPr="004068F6">
        <w:rPr>
          <w:rFonts w:eastAsiaTheme="minorHAnsi" w:cs="Arial"/>
          <w:sz w:val="20"/>
          <w:szCs w:val="20"/>
          <w:vertAlign w:val="subscript"/>
          <w:lang w:eastAsia="es-CO"/>
        </w:rPr>
        <w:t xml:space="preserve">2 </w:t>
      </w:r>
      <w:r w:rsidRPr="004068F6">
        <w:rPr>
          <w:rFonts w:eastAsiaTheme="minorHAnsi" w:cs="Arial"/>
          <w:sz w:val="20"/>
          <w:szCs w:val="20"/>
          <w:lang w:eastAsia="es-CO"/>
        </w:rPr>
        <w:t xml:space="preserve">mediante diversos criterios de conformación (líneas discontinuas); </w:t>
      </w:r>
      <w:r w:rsidRPr="004068F6">
        <w:rPr>
          <w:rFonts w:eastAsiaTheme="minorHAnsi" w:cs="Arial"/>
          <w:b/>
          <w:sz w:val="20"/>
          <w:szCs w:val="20"/>
          <w:lang w:eastAsia="es-CO"/>
        </w:rPr>
        <w:t>3.</w:t>
      </w:r>
      <w:r w:rsidRPr="004068F6">
        <w:rPr>
          <w:rFonts w:eastAsiaTheme="minorHAnsi" w:cs="Arial"/>
          <w:sz w:val="20"/>
          <w:szCs w:val="20"/>
          <w:lang w:eastAsia="es-CO"/>
        </w:rPr>
        <w:t xml:space="preserve"> </w:t>
      </w:r>
      <w:r w:rsidR="00A51056" w:rsidRPr="004068F6">
        <w:rPr>
          <w:rFonts w:eastAsiaTheme="minorHAnsi" w:cs="Arial"/>
          <w:sz w:val="20"/>
          <w:szCs w:val="20"/>
          <w:lang w:eastAsia="es-CO"/>
        </w:rPr>
        <w:t xml:space="preserve">Determinación </w:t>
      </w:r>
      <w:r w:rsidRPr="004068F6">
        <w:rPr>
          <w:rFonts w:eastAsiaTheme="minorHAnsi" w:cs="Arial"/>
          <w:sz w:val="20"/>
          <w:szCs w:val="20"/>
          <w:lang w:eastAsia="es-CO"/>
        </w:rPr>
        <w:t xml:space="preserve">de las unidades de análisis en las que se manifiestan los impactos ambientales significativos de un proyecto, obra o actividad localizado en el punto </w:t>
      </w:r>
      <w:r w:rsidRPr="004068F6">
        <w:rPr>
          <w:rFonts w:eastAsiaTheme="minorHAnsi" w:cs="Arial"/>
          <w:i/>
          <w:sz w:val="20"/>
          <w:szCs w:val="20"/>
          <w:lang w:eastAsia="es-CO"/>
        </w:rPr>
        <w:t>i</w:t>
      </w:r>
      <w:r w:rsidRPr="004068F6">
        <w:rPr>
          <w:rFonts w:eastAsiaTheme="minorHAnsi" w:cs="Arial"/>
          <w:sz w:val="20"/>
          <w:szCs w:val="20"/>
          <w:lang w:eastAsia="es-CO"/>
        </w:rPr>
        <w:t xml:space="preserve">; </w:t>
      </w:r>
      <w:r w:rsidRPr="004068F6">
        <w:rPr>
          <w:rFonts w:eastAsiaTheme="minorHAnsi" w:cs="Arial"/>
          <w:b/>
          <w:sz w:val="20"/>
          <w:szCs w:val="20"/>
          <w:lang w:eastAsia="es-CO"/>
        </w:rPr>
        <w:t>4.</w:t>
      </w:r>
      <w:r w:rsidRPr="004068F6">
        <w:rPr>
          <w:rFonts w:eastAsiaTheme="minorHAnsi" w:cs="Arial"/>
          <w:sz w:val="20"/>
          <w:szCs w:val="20"/>
          <w:lang w:eastAsia="es-CO"/>
        </w:rPr>
        <w:t xml:space="preserve"> Representación cartográfica de las unidades de análisis en las cuales se manifiestan los impactos ambientales significativos (A</w:t>
      </w:r>
      <w:r w:rsidRPr="004068F6">
        <w:rPr>
          <w:rFonts w:eastAsiaTheme="minorHAnsi" w:cs="Arial"/>
          <w:sz w:val="20"/>
          <w:szCs w:val="20"/>
          <w:vertAlign w:val="subscript"/>
          <w:lang w:eastAsia="es-CO"/>
        </w:rPr>
        <w:t>1</w:t>
      </w:r>
      <w:r w:rsidRPr="004068F6">
        <w:rPr>
          <w:rFonts w:eastAsiaTheme="minorHAnsi" w:cs="Arial"/>
          <w:sz w:val="20"/>
          <w:szCs w:val="20"/>
          <w:lang w:eastAsia="es-CO"/>
        </w:rPr>
        <w:t>, B</w:t>
      </w:r>
      <w:r w:rsidRPr="004068F6">
        <w:rPr>
          <w:rFonts w:eastAsiaTheme="minorHAnsi" w:cs="Arial"/>
          <w:sz w:val="20"/>
          <w:szCs w:val="20"/>
          <w:vertAlign w:val="subscript"/>
          <w:lang w:eastAsia="es-CO"/>
        </w:rPr>
        <w:t>2</w:t>
      </w:r>
      <w:r w:rsidRPr="004068F6">
        <w:rPr>
          <w:rFonts w:eastAsiaTheme="minorHAnsi" w:cs="Arial"/>
          <w:sz w:val="20"/>
          <w:szCs w:val="20"/>
          <w:lang w:eastAsia="es-CO"/>
        </w:rPr>
        <w:t>, D</w:t>
      </w:r>
      <w:r w:rsidRPr="004068F6">
        <w:rPr>
          <w:rFonts w:eastAsiaTheme="minorHAnsi" w:cs="Arial"/>
          <w:sz w:val="20"/>
          <w:szCs w:val="20"/>
          <w:vertAlign w:val="subscript"/>
          <w:lang w:eastAsia="es-CO"/>
        </w:rPr>
        <w:t>1</w:t>
      </w:r>
      <w:r w:rsidR="0065023A" w:rsidRPr="004068F6">
        <w:rPr>
          <w:rFonts w:eastAsiaTheme="minorHAnsi" w:cs="Arial"/>
          <w:sz w:val="20"/>
          <w:szCs w:val="20"/>
          <w:vertAlign w:val="subscript"/>
          <w:lang w:eastAsia="es-CO"/>
        </w:rPr>
        <w:t>,</w:t>
      </w:r>
      <w:r w:rsidRPr="004068F6">
        <w:rPr>
          <w:rFonts w:eastAsiaTheme="minorHAnsi" w:cs="Arial"/>
          <w:sz w:val="20"/>
          <w:szCs w:val="20"/>
          <w:lang w:eastAsia="es-CO"/>
        </w:rPr>
        <w:t xml:space="preserve"> E</w:t>
      </w:r>
      <w:r w:rsidRPr="004068F6">
        <w:rPr>
          <w:rFonts w:eastAsiaTheme="minorHAnsi" w:cs="Arial"/>
          <w:sz w:val="20"/>
          <w:szCs w:val="20"/>
          <w:vertAlign w:val="subscript"/>
          <w:lang w:eastAsia="es-CO"/>
        </w:rPr>
        <w:t>1</w:t>
      </w:r>
      <w:r w:rsidR="0065023A" w:rsidRPr="004068F6">
        <w:rPr>
          <w:rFonts w:eastAsiaTheme="minorHAnsi" w:cs="Arial"/>
          <w:sz w:val="20"/>
          <w:szCs w:val="20"/>
          <w:lang w:eastAsia="es-CO"/>
        </w:rPr>
        <w:t xml:space="preserve"> y E</w:t>
      </w:r>
      <w:r w:rsidR="0065023A" w:rsidRPr="004068F6">
        <w:rPr>
          <w:rFonts w:eastAsiaTheme="minorHAnsi" w:cs="Arial"/>
          <w:sz w:val="20"/>
          <w:szCs w:val="20"/>
          <w:vertAlign w:val="subscript"/>
          <w:lang w:eastAsia="es-CO"/>
        </w:rPr>
        <w:t>2</w:t>
      </w:r>
      <w:r w:rsidRPr="004068F6">
        <w:rPr>
          <w:rFonts w:eastAsiaTheme="minorHAnsi" w:cs="Arial"/>
          <w:sz w:val="20"/>
          <w:szCs w:val="20"/>
          <w:lang w:eastAsia="es-CO"/>
        </w:rPr>
        <w:t>), es decir, del área de influencia del componente.</w:t>
      </w:r>
    </w:p>
    <w:p w14:paraId="04FD3474" w14:textId="77777777" w:rsidR="00077E48" w:rsidRPr="004068F6" w:rsidRDefault="00077E48" w:rsidP="00077E48">
      <w:pPr>
        <w:rPr>
          <w:rFonts w:cs="Arial"/>
        </w:rPr>
      </w:pPr>
    </w:p>
    <w:p w14:paraId="7FD08F4F" w14:textId="33DD16BD" w:rsidR="007C139A" w:rsidRPr="004068F6" w:rsidRDefault="007C139A" w:rsidP="007C139A">
      <w:pPr>
        <w:pStyle w:val="Prrafodelista"/>
        <w:ind w:left="567"/>
        <w:contextualSpacing/>
        <w:rPr>
          <w:rFonts w:cs="Arial"/>
          <w:lang w:val="es-CO"/>
        </w:rPr>
      </w:pPr>
      <w:r w:rsidRPr="004068F6">
        <w:rPr>
          <w:rFonts w:cs="Arial"/>
          <w:spacing w:val="-3"/>
          <w:lang w:val="es-CO"/>
        </w:rPr>
        <w:t xml:space="preserve">Resulta necesario verificar </w:t>
      </w:r>
      <w:r w:rsidRPr="004068F6">
        <w:rPr>
          <w:rFonts w:cs="Arial"/>
          <w:lang w:val="es-CO"/>
        </w:rPr>
        <w:t xml:space="preserve">que los límites de las unidades de análisis constituyan una barrera y que circunscriban a un entorno limitado la manifestación de los impactos ambientales significativos, recordando que tales unidades pudieron ser conformadas por criterios que señalan la existencia de elementos o fenómenos que </w:t>
      </w:r>
      <w:r w:rsidR="00C303E4" w:rsidRPr="004068F6">
        <w:rPr>
          <w:rFonts w:cs="Arial"/>
          <w:lang w:val="es-CO"/>
        </w:rPr>
        <w:t>constituyen</w:t>
      </w:r>
      <w:r w:rsidRPr="004068F6">
        <w:rPr>
          <w:rFonts w:cs="Arial"/>
          <w:lang w:val="es-CO"/>
        </w:rPr>
        <w:t xml:space="preserve"> obstáculos a la difusión de dichos impactos. Por ejemplo, un río empleado como criterio para afinar las unidades de análisis de un componente del medio biótico, puede limitar la manifestación de impactos en tal medio, pero podría no impedir la manifestación de cierto impacto soci</w:t>
      </w:r>
      <w:r w:rsidR="003012E7" w:rsidRPr="004068F6">
        <w:rPr>
          <w:rFonts w:cs="Arial"/>
          <w:lang w:val="es-CO"/>
        </w:rPr>
        <w:t>o</w:t>
      </w:r>
      <w:r w:rsidRPr="004068F6">
        <w:rPr>
          <w:rFonts w:cs="Arial"/>
          <w:lang w:val="es-CO"/>
        </w:rPr>
        <w:t>económico en ambos costados de su corriente, a pesar de que tal río separe dos sectores de una misma vereda.</w:t>
      </w:r>
    </w:p>
    <w:p w14:paraId="432CF4EB" w14:textId="77777777" w:rsidR="007C139A" w:rsidRPr="004068F6" w:rsidRDefault="007C139A" w:rsidP="00077E48">
      <w:pPr>
        <w:rPr>
          <w:rFonts w:cs="Arial"/>
        </w:rPr>
      </w:pPr>
    </w:p>
    <w:p w14:paraId="5D66A9AE" w14:textId="7FC59960" w:rsidR="007C139A" w:rsidRPr="004068F6" w:rsidRDefault="007C139A" w:rsidP="00127BD4">
      <w:pPr>
        <w:pStyle w:val="Prrafodelista"/>
        <w:numPr>
          <w:ilvl w:val="0"/>
          <w:numId w:val="744"/>
        </w:numPr>
        <w:ind w:left="567" w:hanging="567"/>
        <w:contextualSpacing/>
        <w:rPr>
          <w:rFonts w:cs="Arial"/>
          <w:lang w:val="es-CO"/>
        </w:rPr>
      </w:pPr>
      <w:r w:rsidRPr="004068F6">
        <w:rPr>
          <w:rFonts w:cs="Arial"/>
          <w:lang w:val="es-CO"/>
        </w:rPr>
        <w:t>Representar cartográficamente</w:t>
      </w:r>
      <w:r w:rsidRPr="004068F6">
        <w:rPr>
          <w:rStyle w:val="Refdenotaalpie"/>
          <w:rFonts w:cs="Arial"/>
          <w:lang w:val="es-CO"/>
        </w:rPr>
        <w:footnoteReference w:id="92"/>
      </w:r>
      <w:r w:rsidRPr="004068F6">
        <w:rPr>
          <w:rFonts w:cs="Arial"/>
          <w:lang w:val="es-CO"/>
        </w:rPr>
        <w:t xml:space="preserve"> el área en la que se manifiestan los impactos ambientales significativos de cada </w:t>
      </w:r>
      <w:r w:rsidR="00E16370" w:rsidRPr="004068F6">
        <w:rPr>
          <w:rFonts w:cs="Arial"/>
          <w:lang w:val="es-CO"/>
        </w:rPr>
        <w:t xml:space="preserve">factor o </w:t>
      </w:r>
      <w:r w:rsidRPr="004068F6">
        <w:rPr>
          <w:rFonts w:cs="Arial"/>
          <w:lang w:val="es-CO"/>
        </w:rPr>
        <w:t xml:space="preserve">componente, integrando las superficies de las unidades de análisis en las que se identificó la manifestación de dichos impactos (ver </w:t>
      </w:r>
      <w:r w:rsidRPr="004068F6">
        <w:rPr>
          <w:rFonts w:cs="Arial"/>
          <w:lang w:val="es-CO"/>
        </w:rPr>
        <w:fldChar w:fldCharType="begin"/>
      </w:r>
      <w:r w:rsidRPr="004068F6">
        <w:rPr>
          <w:rFonts w:cs="Arial"/>
          <w:lang w:val="es-CO"/>
        </w:rPr>
        <w:instrText xml:space="preserve"> REF _Ref37426624 \h  \* MERGEFORMAT </w:instrText>
      </w:r>
      <w:r w:rsidRPr="004068F6">
        <w:rPr>
          <w:rFonts w:cs="Arial"/>
          <w:lang w:val="es-CO"/>
        </w:rPr>
      </w:r>
      <w:r w:rsidRPr="004068F6">
        <w:rPr>
          <w:rFonts w:cs="Arial"/>
          <w:lang w:val="es-CO"/>
        </w:rPr>
        <w:fldChar w:fldCharType="separate"/>
      </w:r>
      <w:r w:rsidR="009C4A81" w:rsidRPr="009C4A81">
        <w:rPr>
          <w:rFonts w:eastAsiaTheme="minorHAnsi" w:cs="Arial"/>
          <w:bCs/>
          <w:szCs w:val="22"/>
          <w:lang w:val="es-CO" w:eastAsia="en-US"/>
        </w:rPr>
        <w:t>Figura 7</w:t>
      </w:r>
      <w:r w:rsidRPr="004068F6">
        <w:rPr>
          <w:rFonts w:cs="Arial"/>
          <w:lang w:val="es-CO"/>
        </w:rPr>
        <w:fldChar w:fldCharType="end"/>
      </w:r>
      <w:r w:rsidRPr="004068F6">
        <w:rPr>
          <w:rFonts w:cs="Arial"/>
          <w:lang w:val="es-CO"/>
        </w:rPr>
        <w:t xml:space="preserve">, recuadro 4). En caso de que para un </w:t>
      </w:r>
      <w:r w:rsidR="00E16370" w:rsidRPr="004068F6">
        <w:rPr>
          <w:rFonts w:cs="Arial"/>
          <w:lang w:val="es-CO"/>
        </w:rPr>
        <w:t xml:space="preserve">factor o </w:t>
      </w:r>
      <w:r w:rsidRPr="004068F6">
        <w:rPr>
          <w:rFonts w:cs="Arial"/>
          <w:lang w:val="es-CO"/>
        </w:rPr>
        <w:t xml:space="preserve">componente se haya seleccionado más de un tipo de unidad de análisis, se debe asegurar que la delimitación contemple todas las unidades de análisis en las que se identificó </w:t>
      </w:r>
      <w:r w:rsidR="00B71AF3" w:rsidRPr="004068F6">
        <w:rPr>
          <w:rFonts w:cs="Arial"/>
          <w:lang w:val="es-CO"/>
        </w:rPr>
        <w:t>l</w:t>
      </w:r>
      <w:r w:rsidRPr="004068F6">
        <w:rPr>
          <w:rFonts w:cs="Arial"/>
          <w:lang w:val="es-CO"/>
        </w:rPr>
        <w:t>a manifestación de impactos significativos.</w:t>
      </w:r>
    </w:p>
    <w:p w14:paraId="47713763" w14:textId="77777777" w:rsidR="007C139A" w:rsidRPr="00CD4321" w:rsidRDefault="007C139A" w:rsidP="00127BD4">
      <w:pPr>
        <w:pStyle w:val="Prrafodelista"/>
        <w:ind w:left="567"/>
        <w:contextualSpacing/>
        <w:rPr>
          <w:rFonts w:cs="Arial"/>
        </w:rPr>
      </w:pPr>
    </w:p>
    <w:p w14:paraId="14970E50" w14:textId="0592D61D" w:rsidR="009D2D5C" w:rsidRPr="004068F6" w:rsidRDefault="009D2D5C">
      <w:pPr>
        <w:pStyle w:val="Prrafodelista"/>
        <w:numPr>
          <w:ilvl w:val="0"/>
          <w:numId w:val="744"/>
        </w:numPr>
        <w:ind w:left="567" w:hanging="567"/>
        <w:contextualSpacing/>
        <w:rPr>
          <w:rFonts w:cs="Arial"/>
          <w:lang w:val="es-CO"/>
        </w:rPr>
      </w:pPr>
      <w:r w:rsidRPr="004068F6">
        <w:rPr>
          <w:rFonts w:cs="Arial"/>
          <w:lang w:val="es-CO"/>
        </w:rPr>
        <w:t xml:space="preserve">Representar cartográficamente el área de influencia de cada uno de los componentes, integrando las superficies de las áreas de influencia de todos los factores que apliquen a cada caso. </w:t>
      </w:r>
      <w:r w:rsidR="00973BC8" w:rsidRPr="004068F6">
        <w:rPr>
          <w:rFonts w:cs="Arial"/>
          <w:lang w:val="es-CO"/>
        </w:rPr>
        <w:t xml:space="preserve">Esta actividad </w:t>
      </w:r>
      <w:r w:rsidR="00523EFA" w:rsidRPr="004068F6">
        <w:rPr>
          <w:rFonts w:cs="Arial"/>
          <w:lang w:val="es-CO"/>
        </w:rPr>
        <w:t xml:space="preserve">debe desarrollarse solamente cuando el procedimiento </w:t>
      </w:r>
      <w:r w:rsidR="00E54BAF" w:rsidRPr="004068F6">
        <w:rPr>
          <w:rFonts w:cs="Arial"/>
          <w:lang w:val="es-CO"/>
        </w:rPr>
        <w:t xml:space="preserve">se </w:t>
      </w:r>
      <w:r w:rsidRPr="004068F6">
        <w:rPr>
          <w:rFonts w:cs="Arial"/>
          <w:lang w:val="es-CO"/>
        </w:rPr>
        <w:t>basa en factores ambientales</w:t>
      </w:r>
      <w:r w:rsidR="00E54BAF" w:rsidRPr="004068F6">
        <w:rPr>
          <w:rFonts w:cs="Arial"/>
          <w:lang w:val="es-CO"/>
        </w:rPr>
        <w:t xml:space="preserve">; si el procedimiento se </w:t>
      </w:r>
      <w:r w:rsidR="00650362" w:rsidRPr="004068F6">
        <w:rPr>
          <w:rFonts w:cs="Arial"/>
          <w:lang w:val="es-CO"/>
        </w:rPr>
        <w:t xml:space="preserve">basa </w:t>
      </w:r>
      <w:r w:rsidR="00E54BAF" w:rsidRPr="004068F6">
        <w:rPr>
          <w:rFonts w:cs="Arial"/>
          <w:lang w:val="es-CO"/>
        </w:rPr>
        <w:t>en componentes ambientales</w:t>
      </w:r>
      <w:r w:rsidR="00650362" w:rsidRPr="004068F6">
        <w:rPr>
          <w:rFonts w:cs="Arial"/>
          <w:lang w:val="es-CO"/>
        </w:rPr>
        <w:t>, se debe obviar esta actividad.</w:t>
      </w:r>
    </w:p>
    <w:p w14:paraId="4DCD8236" w14:textId="77777777" w:rsidR="009D2D5C" w:rsidRPr="004068F6" w:rsidRDefault="009D2D5C" w:rsidP="00127BD4">
      <w:pPr>
        <w:pStyle w:val="Prrafodelista"/>
        <w:ind w:left="567"/>
        <w:contextualSpacing/>
        <w:rPr>
          <w:rFonts w:cs="Arial"/>
          <w:lang w:val="es-CO"/>
        </w:rPr>
      </w:pPr>
    </w:p>
    <w:p w14:paraId="00D1FBF1" w14:textId="7289C609" w:rsidR="00077E48" w:rsidRPr="004068F6" w:rsidRDefault="00077E48" w:rsidP="00127BD4">
      <w:pPr>
        <w:pStyle w:val="Prrafodelista"/>
        <w:numPr>
          <w:ilvl w:val="0"/>
          <w:numId w:val="744"/>
        </w:numPr>
        <w:ind w:left="567" w:hanging="567"/>
        <w:contextualSpacing/>
        <w:rPr>
          <w:rFonts w:cs="Arial"/>
          <w:lang w:val="es-CO"/>
        </w:rPr>
      </w:pPr>
      <w:r w:rsidRPr="004068F6">
        <w:rPr>
          <w:rFonts w:cs="Arial"/>
          <w:lang w:val="es-CO"/>
        </w:rPr>
        <w:t xml:space="preserve">Representar cartográficamente el área de influencia de cada uno de los medios, integrando las superficies de las áreas de influencia de todos los componentes que apliquen a cada caso (ver </w:t>
      </w:r>
      <w:r w:rsidRPr="004068F6">
        <w:rPr>
          <w:rFonts w:cs="Arial"/>
          <w:lang w:val="es-CO"/>
        </w:rPr>
        <w:fldChar w:fldCharType="begin"/>
      </w:r>
      <w:r w:rsidRPr="004068F6">
        <w:rPr>
          <w:rFonts w:cs="Arial"/>
          <w:lang w:val="es-CO"/>
        </w:rPr>
        <w:instrText xml:space="preserve"> REF _Ref38259738 \h </w:instrText>
      </w:r>
      <w:r w:rsidR="006A4128" w:rsidRPr="004068F6">
        <w:rPr>
          <w:rFonts w:cs="Arial"/>
          <w:lang w:val="es-CO"/>
        </w:rPr>
        <w:instrText xml:space="preserve"> \* MERGEFORMAT </w:instrText>
      </w:r>
      <w:r w:rsidRPr="004068F6">
        <w:rPr>
          <w:rFonts w:cs="Arial"/>
          <w:lang w:val="es-CO"/>
        </w:rPr>
      </w:r>
      <w:r w:rsidRPr="004068F6">
        <w:rPr>
          <w:rFonts w:cs="Arial"/>
          <w:lang w:val="es-CO"/>
        </w:rPr>
        <w:fldChar w:fldCharType="separate"/>
      </w:r>
      <w:r w:rsidR="009C4A81" w:rsidRPr="009C4A81">
        <w:rPr>
          <w:rFonts w:cs="Arial"/>
          <w:szCs w:val="22"/>
          <w:lang w:val="es-CO"/>
        </w:rPr>
        <w:t>Figura 5</w:t>
      </w:r>
      <w:r w:rsidRPr="004068F6">
        <w:rPr>
          <w:rFonts w:cs="Arial"/>
          <w:lang w:val="es-CO"/>
        </w:rPr>
        <w:fldChar w:fldCharType="end"/>
      </w:r>
      <w:r w:rsidRPr="004068F6">
        <w:rPr>
          <w:rFonts w:cs="Arial"/>
          <w:lang w:val="es-CO"/>
        </w:rPr>
        <w:t>).</w:t>
      </w:r>
    </w:p>
    <w:p w14:paraId="12BB1010" w14:textId="77777777" w:rsidR="00077E48" w:rsidRPr="004068F6" w:rsidRDefault="00077E48" w:rsidP="00E93324">
      <w:pPr>
        <w:contextualSpacing/>
        <w:rPr>
          <w:rFonts w:cs="Arial"/>
        </w:rPr>
      </w:pPr>
    </w:p>
    <w:p w14:paraId="2D64028B" w14:textId="5AFE3031" w:rsidR="00077E48" w:rsidRPr="004068F6" w:rsidRDefault="00077E48" w:rsidP="00127BD4">
      <w:pPr>
        <w:pStyle w:val="Prrafodelista"/>
        <w:numPr>
          <w:ilvl w:val="0"/>
          <w:numId w:val="744"/>
        </w:numPr>
        <w:ind w:left="567" w:hanging="567"/>
        <w:contextualSpacing/>
        <w:rPr>
          <w:rFonts w:cs="Arial"/>
          <w:lang w:val="es-CO"/>
        </w:rPr>
      </w:pPr>
      <w:r w:rsidRPr="004068F6">
        <w:rPr>
          <w:rFonts w:cs="Arial"/>
          <w:lang w:val="es-CO"/>
        </w:rPr>
        <w:t xml:space="preserve">Representar cartográficamente el área de influencia del proyecto, </w:t>
      </w:r>
      <w:r w:rsidR="00BC2EE3" w:rsidRPr="004068F6">
        <w:rPr>
          <w:rFonts w:cs="Arial"/>
          <w:lang w:val="es-CO"/>
        </w:rPr>
        <w:t xml:space="preserve">obra o actividad, </w:t>
      </w:r>
      <w:r w:rsidRPr="004068F6">
        <w:rPr>
          <w:rFonts w:cs="Arial"/>
          <w:lang w:val="es-CO"/>
        </w:rPr>
        <w:t>integrando las superficies de las áreas de influencia de los medios abiótico, biótico y socioeconómico.</w:t>
      </w:r>
    </w:p>
    <w:p w14:paraId="70C24D78" w14:textId="77777777" w:rsidR="00077E48" w:rsidRPr="004068F6" w:rsidRDefault="00077E48" w:rsidP="00077E48"/>
    <w:p w14:paraId="6922FB46" w14:textId="288A3159"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El proceso de delimitación del área de influencia debe estar apoyado en el uso de software de procesamiento geoespacial, la model</w:t>
      </w:r>
      <w:r w:rsidR="00C74BBB" w:rsidRPr="004068F6">
        <w:rPr>
          <w:rFonts w:cs="Arial"/>
          <w:spacing w:val="-3"/>
        </w:rPr>
        <w:t>iz</w:t>
      </w:r>
      <w:r w:rsidRPr="004068F6">
        <w:rPr>
          <w:rFonts w:cs="Arial"/>
          <w:spacing w:val="-3"/>
        </w:rPr>
        <w:t>ación de sistemas, la validación de dichos modelos, los estudios de caso y el conocimiento de expertos, entre otras herramientas. En el estudio ambiental, se debe describir de forma clara y concisa el método empleado para delimitar el área de influencia, indicando los cálculos, funciones, ponderaciones y otras consideraciones o procesos de transformación de información geográfica que se utilizaron.</w:t>
      </w:r>
    </w:p>
    <w:p w14:paraId="7E0EACA1" w14:textId="77777777" w:rsidR="00077E48" w:rsidRPr="004068F6" w:rsidRDefault="00077E48" w:rsidP="00077E48">
      <w:pPr>
        <w:numPr>
          <w:ilvl w:val="12"/>
          <w:numId w:val="0"/>
        </w:numPr>
        <w:tabs>
          <w:tab w:val="left" w:pos="-2268"/>
        </w:tabs>
        <w:suppressAutoHyphens/>
        <w:rPr>
          <w:rFonts w:cs="Arial"/>
          <w:spacing w:val="-3"/>
        </w:rPr>
      </w:pPr>
    </w:p>
    <w:p w14:paraId="14019487" w14:textId="02E90752" w:rsidR="00077E48" w:rsidRPr="004068F6" w:rsidRDefault="00077E48" w:rsidP="00077E48">
      <w:pPr>
        <w:numPr>
          <w:ilvl w:val="12"/>
          <w:numId w:val="0"/>
        </w:numPr>
        <w:tabs>
          <w:tab w:val="left" w:pos="-2268"/>
        </w:tabs>
        <w:suppressAutoHyphens/>
        <w:rPr>
          <w:spacing w:val="-3"/>
        </w:rPr>
      </w:pPr>
      <w:r w:rsidRPr="004068F6">
        <w:rPr>
          <w:spacing w:val="-3"/>
        </w:rPr>
        <w:t xml:space="preserve">Para sintetizar mapas con diferentes unidades de análisis es posible aplicar operaciones espaciales como agregación, desagregación y estadística espacial, </w:t>
      </w:r>
      <w:r w:rsidR="003012E7" w:rsidRPr="004068F6">
        <w:rPr>
          <w:spacing w:val="-3"/>
        </w:rPr>
        <w:t xml:space="preserve">así como </w:t>
      </w:r>
      <w:r w:rsidRPr="004068F6">
        <w:rPr>
          <w:spacing w:val="-3"/>
        </w:rPr>
        <w:t>otras herramientas que permitan integrar información cuantitativa y cualitativa.</w:t>
      </w:r>
    </w:p>
    <w:p w14:paraId="1BABB212" w14:textId="77777777" w:rsidR="00077E48" w:rsidRPr="004068F6" w:rsidRDefault="00077E48" w:rsidP="00077E48">
      <w:pPr>
        <w:numPr>
          <w:ilvl w:val="12"/>
          <w:numId w:val="0"/>
        </w:numPr>
        <w:tabs>
          <w:tab w:val="left" w:pos="-2268"/>
        </w:tabs>
        <w:suppressAutoHyphens/>
        <w:rPr>
          <w:rFonts w:cs="Arial"/>
          <w:spacing w:val="-3"/>
        </w:rPr>
      </w:pPr>
    </w:p>
    <w:p w14:paraId="24DB2AC4" w14:textId="701B318F" w:rsidR="00077E48" w:rsidRPr="004068F6" w:rsidRDefault="00077E48" w:rsidP="00077E48">
      <w:pPr>
        <w:numPr>
          <w:ilvl w:val="12"/>
          <w:numId w:val="0"/>
        </w:numPr>
        <w:tabs>
          <w:tab w:val="left" w:pos="-2268"/>
        </w:tabs>
        <w:suppressAutoHyphens/>
      </w:pPr>
      <w:r w:rsidRPr="004068F6">
        <w:rPr>
          <w:rFonts w:cs="Arial"/>
          <w:spacing w:val="-3"/>
        </w:rPr>
        <w:t>El estudio ambiental debe presentar, además del área de influencia</w:t>
      </w:r>
      <w:r w:rsidRPr="004068F6">
        <w:rPr>
          <w:rFonts w:cs="Arial"/>
          <w:i/>
          <w:spacing w:val="-3"/>
        </w:rPr>
        <w:t xml:space="preserve"> </w:t>
      </w:r>
      <w:r w:rsidRPr="004068F6">
        <w:rPr>
          <w:rFonts w:cs="Arial"/>
          <w:spacing w:val="-3"/>
        </w:rPr>
        <w:t xml:space="preserve">del proyecto, obra o actividad, el área de influencia de cada </w:t>
      </w:r>
      <w:r w:rsidR="00683DFD" w:rsidRPr="004068F6">
        <w:rPr>
          <w:rFonts w:cs="Arial"/>
          <w:spacing w:val="-3"/>
        </w:rPr>
        <w:t xml:space="preserve">factor o </w:t>
      </w:r>
      <w:r w:rsidRPr="004068F6">
        <w:rPr>
          <w:rFonts w:cs="Arial"/>
          <w:spacing w:val="-3"/>
        </w:rPr>
        <w:t xml:space="preserve">componente y medio; tales áreas </w:t>
      </w:r>
      <w:r w:rsidRPr="004068F6">
        <w:rPr>
          <w:rFonts w:cs="Arial"/>
          <w:spacing w:val="-3"/>
        </w:rPr>
        <w:lastRenderedPageBreak/>
        <w:t>deben estar debidamente sustentadas y cartografiadas a partir del procedimiento que se ejecute para su delimitación.</w:t>
      </w:r>
    </w:p>
    <w:p w14:paraId="07046CF6" w14:textId="77777777" w:rsidR="00077E48" w:rsidRPr="004068F6" w:rsidRDefault="00077E48" w:rsidP="00077E48">
      <w:pPr>
        <w:numPr>
          <w:ilvl w:val="12"/>
          <w:numId w:val="0"/>
        </w:numPr>
        <w:tabs>
          <w:tab w:val="left" w:pos="-2268"/>
        </w:tabs>
        <w:suppressAutoHyphens/>
      </w:pPr>
    </w:p>
    <w:p w14:paraId="4FD4BEFB" w14:textId="391EC81F"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 xml:space="preserve">En el estudio ambiental y en el </w:t>
      </w:r>
      <w:r w:rsidR="007A2FC3" w:rsidRPr="004068F6">
        <w:rPr>
          <w:rFonts w:cs="Arial"/>
          <w:spacing w:val="-3"/>
        </w:rPr>
        <w:t xml:space="preserve">MAG </w:t>
      </w:r>
      <w:r w:rsidRPr="004068F6">
        <w:rPr>
          <w:rFonts w:cs="Arial"/>
          <w:spacing w:val="-3"/>
        </w:rPr>
        <w:t>que se presenten ante la autoridad ambiental, no se debe incorporar la información preliminar que se utilice, analice o genere durante el proceso de delimitación del área de influencia; en dicho documento y modelo, se debe estructurar únicamente la información referida al área de influencia definitiva</w:t>
      </w:r>
      <w:r w:rsidR="007A2FC3" w:rsidRPr="004068F6">
        <w:rPr>
          <w:rFonts w:cs="Arial"/>
          <w:spacing w:val="-3"/>
        </w:rPr>
        <w:t xml:space="preserve"> de cada </w:t>
      </w:r>
      <w:r w:rsidR="00B939E4" w:rsidRPr="004068F6">
        <w:rPr>
          <w:rFonts w:cs="Arial"/>
          <w:spacing w:val="-3"/>
        </w:rPr>
        <w:t xml:space="preserve">factor, </w:t>
      </w:r>
      <w:r w:rsidR="007A2FC3" w:rsidRPr="004068F6">
        <w:rPr>
          <w:rFonts w:cs="Arial"/>
          <w:spacing w:val="-3"/>
        </w:rPr>
        <w:t xml:space="preserve">componente, medio y </w:t>
      </w:r>
      <w:r w:rsidR="00D3618D" w:rsidRPr="004068F6">
        <w:rPr>
          <w:rFonts w:cs="Arial"/>
          <w:spacing w:val="-3"/>
        </w:rPr>
        <w:t xml:space="preserve">del </w:t>
      </w:r>
      <w:r w:rsidR="007A2FC3" w:rsidRPr="004068F6">
        <w:rPr>
          <w:rFonts w:cs="Arial"/>
          <w:spacing w:val="-3"/>
        </w:rPr>
        <w:t>proyecto, obra o actividad</w:t>
      </w:r>
      <w:r w:rsidRPr="004068F6">
        <w:rPr>
          <w:rFonts w:cs="Arial"/>
          <w:spacing w:val="-3"/>
        </w:rPr>
        <w:t>.</w:t>
      </w:r>
      <w:r w:rsidR="001C1394" w:rsidRPr="004068F6">
        <w:rPr>
          <w:rFonts w:cs="Arial"/>
          <w:spacing w:val="-3"/>
        </w:rPr>
        <w:t xml:space="preserve"> No obstante, es necesario </w:t>
      </w:r>
      <w:r w:rsidR="00B42629" w:rsidRPr="004068F6">
        <w:rPr>
          <w:rFonts w:cs="Arial"/>
          <w:spacing w:val="-3"/>
        </w:rPr>
        <w:t xml:space="preserve">argumentar técnicamente </w:t>
      </w:r>
      <w:r w:rsidR="00AC240D" w:rsidRPr="004068F6">
        <w:rPr>
          <w:rFonts w:cs="Arial"/>
          <w:spacing w:val="-3"/>
        </w:rPr>
        <w:t>por</w:t>
      </w:r>
      <w:r w:rsidR="00600C95" w:rsidRPr="004068F6">
        <w:rPr>
          <w:rFonts w:cs="Arial"/>
          <w:spacing w:val="-3"/>
        </w:rPr>
        <w:t xml:space="preserve"> </w:t>
      </w:r>
      <w:r w:rsidR="00633B77" w:rsidRPr="004068F6">
        <w:rPr>
          <w:rFonts w:cs="Arial"/>
          <w:spacing w:val="-3"/>
        </w:rPr>
        <w:t xml:space="preserve">qué </w:t>
      </w:r>
      <w:r w:rsidR="00AC240D" w:rsidRPr="004068F6">
        <w:rPr>
          <w:rFonts w:cs="Arial"/>
          <w:spacing w:val="-3"/>
        </w:rPr>
        <w:t xml:space="preserve">los impactos ambientales significativos se manifiestan </w:t>
      </w:r>
      <w:r w:rsidR="002C5AC5" w:rsidRPr="004068F6">
        <w:rPr>
          <w:rFonts w:cs="Arial"/>
          <w:spacing w:val="-3"/>
        </w:rPr>
        <w:t xml:space="preserve">únicamente </w:t>
      </w:r>
      <w:r w:rsidR="00AC240D" w:rsidRPr="004068F6">
        <w:rPr>
          <w:rFonts w:cs="Arial"/>
          <w:spacing w:val="-3"/>
        </w:rPr>
        <w:t xml:space="preserve">en las unidades de análisis seleccionadas, por qué no trascienden más allá de ellas y por qué los criterios de delimitación constituyen barreras que impiden que </w:t>
      </w:r>
      <w:r w:rsidR="00B939E4" w:rsidRPr="004068F6">
        <w:rPr>
          <w:rFonts w:cs="Arial"/>
          <w:spacing w:val="-3"/>
        </w:rPr>
        <w:t xml:space="preserve">en </w:t>
      </w:r>
      <w:r w:rsidR="00AC240D" w:rsidRPr="004068F6">
        <w:rPr>
          <w:rFonts w:cs="Arial"/>
          <w:spacing w:val="-3"/>
        </w:rPr>
        <w:t xml:space="preserve">otras unidades de análisis </w:t>
      </w:r>
      <w:r w:rsidR="00B939E4" w:rsidRPr="004068F6">
        <w:rPr>
          <w:rFonts w:cs="Arial"/>
          <w:spacing w:val="-3"/>
        </w:rPr>
        <w:t xml:space="preserve">se manifiesten </w:t>
      </w:r>
      <w:r w:rsidR="00AC240D" w:rsidRPr="004068F6">
        <w:rPr>
          <w:rFonts w:cs="Arial"/>
          <w:spacing w:val="-3"/>
        </w:rPr>
        <w:t>impactos ambientales significativos.</w:t>
      </w:r>
    </w:p>
    <w:p w14:paraId="2FAF8411" w14:textId="77777777" w:rsidR="00077E48" w:rsidRPr="004068F6" w:rsidRDefault="00077E48" w:rsidP="00077E48">
      <w:pPr>
        <w:numPr>
          <w:ilvl w:val="12"/>
          <w:numId w:val="0"/>
        </w:numPr>
        <w:tabs>
          <w:tab w:val="left" w:pos="-2268"/>
        </w:tabs>
        <w:suppressAutoHyphens/>
        <w:rPr>
          <w:rFonts w:cs="Arial"/>
          <w:spacing w:val="-3"/>
        </w:rPr>
      </w:pPr>
    </w:p>
    <w:p w14:paraId="7B6A54B1" w14:textId="7C6662BE"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En la siguiente tabla</w:t>
      </w:r>
      <w:r w:rsidR="00831AD1" w:rsidRPr="004068F6">
        <w:rPr>
          <w:rFonts w:cs="Arial"/>
          <w:spacing w:val="-3"/>
        </w:rPr>
        <w:t>, de forma ilustrativa,</w:t>
      </w:r>
      <w:r w:rsidRPr="004068F6">
        <w:rPr>
          <w:rFonts w:cs="Arial"/>
          <w:spacing w:val="-3"/>
        </w:rPr>
        <w:t xml:space="preserve"> se señalan algunos tipos de unidades de análisis clasificados por componente y medio, ejemplos de criterios que pueden ser empleados para conformar unidades de análisis de menor tamaño y las fuentes de información secundaria o métodos a los que se puede abocar para delimitar el área de influencia.</w:t>
      </w:r>
    </w:p>
    <w:p w14:paraId="3940064F" w14:textId="77777777" w:rsidR="00077E48" w:rsidRPr="004068F6" w:rsidRDefault="00077E48" w:rsidP="00077E48">
      <w:pPr>
        <w:numPr>
          <w:ilvl w:val="12"/>
          <w:numId w:val="0"/>
        </w:numPr>
        <w:tabs>
          <w:tab w:val="left" w:pos="-2268"/>
        </w:tabs>
        <w:suppressAutoHyphens/>
        <w:rPr>
          <w:rFonts w:cs="Arial"/>
          <w:spacing w:val="-3"/>
        </w:rPr>
      </w:pPr>
    </w:p>
    <w:p w14:paraId="683ECFDA" w14:textId="6F0A6D8C" w:rsidR="00077E48" w:rsidRPr="004068F6" w:rsidRDefault="00077E48" w:rsidP="00077E48">
      <w:pPr>
        <w:pStyle w:val="Descripcin"/>
        <w:jc w:val="center"/>
        <w:rPr>
          <w:b w:val="0"/>
        </w:rPr>
      </w:pPr>
      <w:bookmarkStart w:id="2541" w:name="_Ref68252303"/>
      <w:r w:rsidRPr="004068F6">
        <w:t xml:space="preserve">Tabla </w:t>
      </w:r>
      <w:fldSimple w:instr=" SEQ Tabla \* ARABIC ">
        <w:r w:rsidR="009C4A81">
          <w:rPr>
            <w:noProof/>
          </w:rPr>
          <w:t>16</w:t>
        </w:r>
      </w:fldSimple>
      <w:bookmarkEnd w:id="2541"/>
      <w:r w:rsidRPr="004068F6">
        <w:t>.</w:t>
      </w:r>
      <w:r w:rsidRPr="004068F6">
        <w:rPr>
          <w:b w:val="0"/>
        </w:rPr>
        <w:t xml:space="preserve"> Tipos de unidades de análisis, criterios de conformación y fuentes de información secundaria y métodos de definición</w:t>
      </w:r>
    </w:p>
    <w:tbl>
      <w:tblPr>
        <w:tblW w:w="10565" w:type="dxa"/>
        <w:jc w:val="center"/>
        <w:tblLayout w:type="fixed"/>
        <w:tblCellMar>
          <w:left w:w="70" w:type="dxa"/>
          <w:right w:w="70" w:type="dxa"/>
        </w:tblCellMar>
        <w:tblLook w:val="04A0" w:firstRow="1" w:lastRow="0" w:firstColumn="1" w:lastColumn="0" w:noHBand="0" w:noVBand="1"/>
      </w:tblPr>
      <w:tblGrid>
        <w:gridCol w:w="993"/>
        <w:gridCol w:w="1617"/>
        <w:gridCol w:w="2630"/>
        <w:gridCol w:w="2873"/>
        <w:gridCol w:w="2452"/>
      </w:tblGrid>
      <w:tr w:rsidR="00077E48" w:rsidRPr="004068F6" w14:paraId="4895C573" w14:textId="77777777" w:rsidTr="007F45D3">
        <w:trPr>
          <w:trHeight w:val="900"/>
          <w:tblHeade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4CB8BF27" w14:textId="77777777" w:rsidR="00077E48" w:rsidRPr="004068F6" w:rsidRDefault="00077E48" w:rsidP="007F45D3">
            <w:pPr>
              <w:overflowPunct/>
              <w:autoSpaceDE/>
              <w:autoSpaceDN/>
              <w:adjustRightInd/>
              <w:jc w:val="center"/>
              <w:textAlignment w:val="auto"/>
              <w:rPr>
                <w:rFonts w:cs="Arial"/>
                <w:b/>
                <w:bCs/>
                <w:color w:val="000000"/>
                <w:sz w:val="20"/>
                <w:szCs w:val="20"/>
                <w:lang w:eastAsia="es-CO"/>
              </w:rPr>
            </w:pPr>
            <w:r w:rsidRPr="004068F6">
              <w:rPr>
                <w:rFonts w:cs="Arial"/>
                <w:b/>
                <w:bCs/>
                <w:color w:val="000000"/>
                <w:sz w:val="20"/>
                <w:szCs w:val="20"/>
                <w:lang w:eastAsia="es-CO"/>
              </w:rPr>
              <w:t>Medio</w:t>
            </w:r>
          </w:p>
        </w:tc>
        <w:tc>
          <w:tcPr>
            <w:tcW w:w="1617" w:type="dxa"/>
            <w:tcBorders>
              <w:top w:val="single" w:sz="4" w:space="0" w:color="auto"/>
              <w:left w:val="nil"/>
              <w:bottom w:val="single" w:sz="4" w:space="0" w:color="auto"/>
              <w:right w:val="single" w:sz="4" w:space="0" w:color="auto"/>
            </w:tcBorders>
            <w:vAlign w:val="center"/>
            <w:hideMark/>
          </w:tcPr>
          <w:p w14:paraId="668A16A7" w14:textId="77777777" w:rsidR="00077E48" w:rsidRPr="004068F6" w:rsidRDefault="00077E48" w:rsidP="007F45D3">
            <w:pPr>
              <w:overflowPunct/>
              <w:autoSpaceDE/>
              <w:autoSpaceDN/>
              <w:adjustRightInd/>
              <w:jc w:val="center"/>
              <w:textAlignment w:val="auto"/>
              <w:rPr>
                <w:rFonts w:cs="Arial"/>
                <w:b/>
                <w:bCs/>
                <w:color w:val="000000"/>
                <w:sz w:val="20"/>
                <w:szCs w:val="20"/>
                <w:lang w:eastAsia="es-CO"/>
              </w:rPr>
            </w:pPr>
            <w:r w:rsidRPr="004068F6">
              <w:rPr>
                <w:rFonts w:cs="Arial"/>
                <w:b/>
                <w:bCs/>
                <w:color w:val="000000"/>
                <w:sz w:val="20"/>
                <w:szCs w:val="20"/>
                <w:lang w:eastAsia="es-CO"/>
              </w:rPr>
              <w:t>Componente</w:t>
            </w:r>
          </w:p>
        </w:tc>
        <w:tc>
          <w:tcPr>
            <w:tcW w:w="2630" w:type="dxa"/>
            <w:tcBorders>
              <w:top w:val="single" w:sz="4" w:space="0" w:color="auto"/>
              <w:left w:val="nil"/>
              <w:bottom w:val="single" w:sz="4" w:space="0" w:color="auto"/>
              <w:right w:val="single" w:sz="4" w:space="0" w:color="auto"/>
            </w:tcBorders>
            <w:vAlign w:val="center"/>
            <w:hideMark/>
          </w:tcPr>
          <w:p w14:paraId="5A93FC8D" w14:textId="77777777" w:rsidR="00077E48" w:rsidRPr="004068F6" w:rsidRDefault="00077E48" w:rsidP="00AC1C93">
            <w:pPr>
              <w:overflowPunct/>
              <w:autoSpaceDE/>
              <w:autoSpaceDN/>
              <w:adjustRightInd/>
              <w:jc w:val="center"/>
              <w:textAlignment w:val="auto"/>
              <w:rPr>
                <w:rFonts w:cs="Arial"/>
                <w:b/>
                <w:bCs/>
                <w:color w:val="000000"/>
                <w:sz w:val="20"/>
                <w:szCs w:val="20"/>
                <w:lang w:eastAsia="es-CO"/>
              </w:rPr>
            </w:pPr>
            <w:r w:rsidRPr="004068F6">
              <w:rPr>
                <w:rFonts w:cs="Arial"/>
                <w:b/>
                <w:bCs/>
                <w:color w:val="000000"/>
                <w:sz w:val="20"/>
                <w:szCs w:val="20"/>
                <w:lang w:eastAsia="es-CO"/>
              </w:rPr>
              <w:t>Tipo de unidad de análisis</w:t>
            </w:r>
          </w:p>
        </w:tc>
        <w:tc>
          <w:tcPr>
            <w:tcW w:w="2873" w:type="dxa"/>
            <w:tcBorders>
              <w:top w:val="single" w:sz="4" w:space="0" w:color="auto"/>
              <w:left w:val="nil"/>
              <w:bottom w:val="single" w:sz="4" w:space="0" w:color="auto"/>
              <w:right w:val="single" w:sz="4" w:space="0" w:color="auto"/>
            </w:tcBorders>
            <w:vAlign w:val="center"/>
            <w:hideMark/>
          </w:tcPr>
          <w:p w14:paraId="7A4C9F09" w14:textId="77777777" w:rsidR="00077E48" w:rsidRPr="004068F6" w:rsidRDefault="00077E48" w:rsidP="005B57B0">
            <w:pPr>
              <w:overflowPunct/>
              <w:autoSpaceDE/>
              <w:autoSpaceDN/>
              <w:adjustRightInd/>
              <w:jc w:val="center"/>
              <w:textAlignment w:val="auto"/>
              <w:rPr>
                <w:rFonts w:cs="Arial"/>
                <w:b/>
                <w:bCs/>
                <w:color w:val="000000"/>
                <w:sz w:val="20"/>
                <w:szCs w:val="20"/>
                <w:lang w:eastAsia="es-CO"/>
              </w:rPr>
            </w:pPr>
            <w:r w:rsidRPr="004068F6">
              <w:rPr>
                <w:rFonts w:cs="Arial"/>
                <w:b/>
                <w:bCs/>
                <w:color w:val="000000"/>
                <w:sz w:val="20"/>
                <w:szCs w:val="20"/>
                <w:lang w:eastAsia="es-CO"/>
              </w:rPr>
              <w:t>Criterios para conformar unidades de análisis de menor tamaño</w:t>
            </w:r>
          </w:p>
        </w:tc>
        <w:tc>
          <w:tcPr>
            <w:tcW w:w="2452" w:type="dxa"/>
            <w:tcBorders>
              <w:top w:val="single" w:sz="4" w:space="0" w:color="auto"/>
              <w:left w:val="nil"/>
              <w:bottom w:val="single" w:sz="4" w:space="0" w:color="auto"/>
              <w:right w:val="single" w:sz="4" w:space="0" w:color="auto"/>
            </w:tcBorders>
            <w:shd w:val="clear" w:color="000000" w:fill="auto"/>
            <w:vAlign w:val="center"/>
            <w:hideMark/>
          </w:tcPr>
          <w:p w14:paraId="687E1919" w14:textId="77777777" w:rsidR="00077E48" w:rsidRPr="004068F6" w:rsidRDefault="00077E48">
            <w:pPr>
              <w:overflowPunct/>
              <w:autoSpaceDE/>
              <w:autoSpaceDN/>
              <w:adjustRightInd/>
              <w:jc w:val="center"/>
              <w:textAlignment w:val="auto"/>
              <w:rPr>
                <w:rFonts w:cs="Arial"/>
                <w:b/>
                <w:bCs/>
                <w:color w:val="000000"/>
                <w:sz w:val="20"/>
                <w:szCs w:val="20"/>
                <w:lang w:eastAsia="es-CO"/>
              </w:rPr>
            </w:pPr>
            <w:r w:rsidRPr="004068F6">
              <w:rPr>
                <w:rFonts w:cs="Arial"/>
                <w:b/>
                <w:bCs/>
                <w:color w:val="000000"/>
                <w:sz w:val="20"/>
                <w:szCs w:val="20"/>
                <w:lang w:eastAsia="es-CO"/>
              </w:rPr>
              <w:t>Fuentes de información secundaria / métodos de definición</w:t>
            </w:r>
          </w:p>
        </w:tc>
      </w:tr>
      <w:tr w:rsidR="00077E48" w:rsidRPr="004068F6" w14:paraId="42D074CB" w14:textId="77777777" w:rsidTr="007F45D3">
        <w:trPr>
          <w:trHeight w:val="600"/>
          <w:jc w:val="center"/>
        </w:trPr>
        <w:tc>
          <w:tcPr>
            <w:tcW w:w="993" w:type="dxa"/>
            <w:vMerge w:val="restart"/>
            <w:tcBorders>
              <w:top w:val="nil"/>
              <w:left w:val="single" w:sz="4" w:space="0" w:color="auto"/>
              <w:bottom w:val="single" w:sz="4" w:space="0" w:color="000000"/>
              <w:right w:val="single" w:sz="4" w:space="0" w:color="auto"/>
            </w:tcBorders>
            <w:vAlign w:val="center"/>
            <w:hideMark/>
          </w:tcPr>
          <w:p w14:paraId="34C49FCD" w14:textId="77777777" w:rsidR="00077E48" w:rsidRPr="004068F6" w:rsidRDefault="00077E48" w:rsidP="007F45D3">
            <w:pPr>
              <w:overflowPunct/>
              <w:autoSpaceDE/>
              <w:autoSpaceDN/>
              <w:adjustRightInd/>
              <w:jc w:val="center"/>
              <w:textAlignment w:val="auto"/>
              <w:rPr>
                <w:rFonts w:cs="Arial"/>
                <w:color w:val="000000"/>
                <w:sz w:val="20"/>
                <w:szCs w:val="20"/>
                <w:lang w:eastAsia="es-CO"/>
              </w:rPr>
            </w:pPr>
            <w:r w:rsidRPr="004068F6">
              <w:rPr>
                <w:rFonts w:cs="Arial"/>
                <w:color w:val="000000"/>
                <w:sz w:val="20"/>
                <w:szCs w:val="20"/>
                <w:lang w:eastAsia="es-CO"/>
              </w:rPr>
              <w:t>Abiótico</w:t>
            </w:r>
          </w:p>
        </w:tc>
        <w:tc>
          <w:tcPr>
            <w:tcW w:w="1617" w:type="dxa"/>
            <w:tcBorders>
              <w:top w:val="nil"/>
              <w:left w:val="nil"/>
              <w:bottom w:val="dashed" w:sz="4" w:space="0" w:color="auto"/>
              <w:right w:val="single" w:sz="4" w:space="0" w:color="auto"/>
            </w:tcBorders>
            <w:vAlign w:val="center"/>
            <w:hideMark/>
          </w:tcPr>
          <w:p w14:paraId="763338D6"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Geológico</w:t>
            </w:r>
          </w:p>
        </w:tc>
        <w:tc>
          <w:tcPr>
            <w:tcW w:w="2630" w:type="dxa"/>
            <w:tcBorders>
              <w:top w:val="nil"/>
              <w:left w:val="nil"/>
              <w:bottom w:val="dashed" w:sz="4" w:space="0" w:color="auto"/>
              <w:right w:val="single" w:sz="4" w:space="0" w:color="auto"/>
            </w:tcBorders>
            <w:vAlign w:val="center"/>
            <w:hideMark/>
          </w:tcPr>
          <w:p w14:paraId="261860E1" w14:textId="77777777"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Unidad geológica</w:t>
            </w:r>
          </w:p>
        </w:tc>
        <w:tc>
          <w:tcPr>
            <w:tcW w:w="2873" w:type="dxa"/>
            <w:tcBorders>
              <w:top w:val="nil"/>
              <w:left w:val="nil"/>
              <w:bottom w:val="dashed" w:sz="4" w:space="0" w:color="auto"/>
              <w:right w:val="single" w:sz="4" w:space="0" w:color="auto"/>
            </w:tcBorders>
            <w:vAlign w:val="center"/>
            <w:hideMark/>
          </w:tcPr>
          <w:p w14:paraId="10496A3D" w14:textId="6CF02407" w:rsidR="00077E48" w:rsidRPr="004068F6" w:rsidRDefault="006B00CA"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F</w:t>
            </w:r>
            <w:r w:rsidR="00077E48" w:rsidRPr="004068F6">
              <w:rPr>
                <w:rFonts w:cs="Arial"/>
                <w:color w:val="000000"/>
                <w:sz w:val="20"/>
                <w:szCs w:val="20"/>
                <w:lang w:eastAsia="es-CO"/>
              </w:rPr>
              <w:t>allas geológicas, contactos, pliegues.</w:t>
            </w:r>
          </w:p>
        </w:tc>
        <w:tc>
          <w:tcPr>
            <w:tcW w:w="2452" w:type="dxa"/>
            <w:tcBorders>
              <w:top w:val="nil"/>
              <w:left w:val="nil"/>
              <w:bottom w:val="dashed" w:sz="4" w:space="0" w:color="auto"/>
              <w:right w:val="single" w:sz="4" w:space="0" w:color="auto"/>
            </w:tcBorders>
            <w:vAlign w:val="center"/>
            <w:hideMark/>
          </w:tcPr>
          <w:p w14:paraId="6B7D591C" w14:textId="77777777"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SGC</w:t>
            </w:r>
          </w:p>
        </w:tc>
      </w:tr>
      <w:tr w:rsidR="00077E48" w:rsidRPr="004068F6" w14:paraId="34F939CA" w14:textId="77777777" w:rsidTr="007F45D3">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521D5FB2"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dashed" w:sz="4" w:space="0" w:color="auto"/>
              <w:left w:val="nil"/>
              <w:bottom w:val="single" w:sz="4" w:space="0" w:color="auto"/>
              <w:right w:val="single" w:sz="4" w:space="0" w:color="auto"/>
            </w:tcBorders>
            <w:vAlign w:val="center"/>
            <w:hideMark/>
          </w:tcPr>
          <w:p w14:paraId="4BED023C" w14:textId="77777777" w:rsidR="00077E48" w:rsidRPr="004068F6" w:rsidRDefault="00077E48" w:rsidP="007F45D3">
            <w:pPr>
              <w:overflowPunct/>
              <w:autoSpaceDE/>
              <w:autoSpaceDN/>
              <w:adjustRightInd/>
              <w:ind w:firstLineChars="65" w:firstLine="130"/>
              <w:jc w:val="left"/>
              <w:textAlignment w:val="auto"/>
              <w:rPr>
                <w:rFonts w:cs="Arial"/>
                <w:color w:val="000000"/>
                <w:sz w:val="20"/>
                <w:szCs w:val="20"/>
                <w:lang w:eastAsia="es-CO"/>
              </w:rPr>
            </w:pPr>
            <w:r w:rsidRPr="004068F6">
              <w:rPr>
                <w:rFonts w:cs="Arial"/>
                <w:color w:val="000000"/>
                <w:sz w:val="20"/>
                <w:szCs w:val="20"/>
                <w:lang w:eastAsia="es-CO"/>
              </w:rPr>
              <w:t>Geomorfología</w:t>
            </w:r>
          </w:p>
        </w:tc>
        <w:tc>
          <w:tcPr>
            <w:tcW w:w="2630" w:type="dxa"/>
            <w:tcBorders>
              <w:top w:val="dashed" w:sz="4" w:space="0" w:color="auto"/>
              <w:left w:val="nil"/>
              <w:bottom w:val="single" w:sz="4" w:space="0" w:color="auto"/>
              <w:right w:val="single" w:sz="4" w:space="0" w:color="auto"/>
            </w:tcBorders>
            <w:vAlign w:val="center"/>
            <w:hideMark/>
          </w:tcPr>
          <w:p w14:paraId="5E7B9814" w14:textId="77777777"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Geoformas, Unidades geomorfológicas</w:t>
            </w:r>
          </w:p>
        </w:tc>
        <w:tc>
          <w:tcPr>
            <w:tcW w:w="2873" w:type="dxa"/>
            <w:tcBorders>
              <w:top w:val="dashed" w:sz="4" w:space="0" w:color="auto"/>
              <w:left w:val="nil"/>
              <w:bottom w:val="single" w:sz="4" w:space="0" w:color="auto"/>
              <w:right w:val="single" w:sz="4" w:space="0" w:color="auto"/>
            </w:tcBorders>
            <w:vAlign w:val="center"/>
            <w:hideMark/>
          </w:tcPr>
          <w:p w14:paraId="468620C4" w14:textId="53A3076B" w:rsidR="00077E48" w:rsidRPr="004068F6" w:rsidRDefault="002675A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C</w:t>
            </w:r>
            <w:r w:rsidR="00077E48" w:rsidRPr="004068F6">
              <w:rPr>
                <w:rFonts w:cs="Arial"/>
                <w:color w:val="000000"/>
                <w:sz w:val="20"/>
                <w:szCs w:val="20"/>
                <w:lang w:eastAsia="es-CO"/>
              </w:rPr>
              <w:t>uerpos de agua, vías, tejido urbano.</w:t>
            </w:r>
          </w:p>
        </w:tc>
        <w:tc>
          <w:tcPr>
            <w:tcW w:w="2452" w:type="dxa"/>
            <w:tcBorders>
              <w:top w:val="dashed" w:sz="4" w:space="0" w:color="auto"/>
              <w:left w:val="nil"/>
              <w:bottom w:val="single" w:sz="4" w:space="0" w:color="auto"/>
              <w:right w:val="single" w:sz="4" w:space="0" w:color="auto"/>
            </w:tcBorders>
            <w:vAlign w:val="center"/>
            <w:hideMark/>
          </w:tcPr>
          <w:p w14:paraId="22A3CF74" w14:textId="5634D580" w:rsidR="00077E48" w:rsidRPr="004068F6" w:rsidRDefault="00077E48" w:rsidP="0082127E">
            <w:pPr>
              <w:overflowPunct/>
              <w:autoSpaceDE/>
              <w:autoSpaceDN/>
              <w:adjustRightInd/>
              <w:textAlignment w:val="auto"/>
              <w:rPr>
                <w:rFonts w:cs="Arial"/>
                <w:sz w:val="20"/>
                <w:szCs w:val="20"/>
                <w:lang w:eastAsia="es-CO"/>
              </w:rPr>
            </w:pPr>
            <w:r w:rsidRPr="004068F6">
              <w:rPr>
                <w:rFonts w:cs="Arial"/>
                <w:sz w:val="20"/>
                <w:szCs w:val="20"/>
                <w:lang w:eastAsia="es-CO"/>
              </w:rPr>
              <w:t xml:space="preserve">IGAC, SGC, </w:t>
            </w:r>
            <w:r w:rsidR="00A92356" w:rsidRPr="004068F6">
              <w:rPr>
                <w:rFonts w:cs="Arial"/>
                <w:sz w:val="20"/>
                <w:szCs w:val="20"/>
                <w:lang w:eastAsia="es-CO"/>
              </w:rPr>
              <w:t>Ideam</w:t>
            </w:r>
          </w:p>
          <w:p w14:paraId="015A5D3A" w14:textId="77777777" w:rsidR="00077E48" w:rsidRPr="004068F6" w:rsidRDefault="00077E48" w:rsidP="0082127E">
            <w:pPr>
              <w:overflowPunct/>
              <w:autoSpaceDE/>
              <w:autoSpaceDN/>
              <w:adjustRightInd/>
              <w:textAlignment w:val="auto"/>
              <w:rPr>
                <w:rFonts w:cs="Arial"/>
                <w:sz w:val="20"/>
                <w:szCs w:val="20"/>
                <w:lang w:eastAsia="es-CO"/>
              </w:rPr>
            </w:pPr>
          </w:p>
          <w:p w14:paraId="02B72382" w14:textId="3CEC23FC" w:rsidR="00077E48" w:rsidRPr="004068F6" w:rsidRDefault="00077E48" w:rsidP="0082127E">
            <w:pPr>
              <w:overflowPunct/>
              <w:autoSpaceDE/>
              <w:autoSpaceDN/>
              <w:adjustRightInd/>
              <w:textAlignment w:val="auto"/>
              <w:rPr>
                <w:rFonts w:cs="Arial"/>
                <w:sz w:val="20"/>
                <w:szCs w:val="20"/>
                <w:lang w:eastAsia="es-CO"/>
              </w:rPr>
            </w:pPr>
            <w:r w:rsidRPr="004068F6">
              <w:rPr>
                <w:rFonts w:cs="Arial"/>
                <w:sz w:val="20"/>
                <w:szCs w:val="20"/>
                <w:lang w:eastAsia="es-CO"/>
              </w:rPr>
              <w:t>M</w:t>
            </w:r>
            <w:r w:rsidR="00F62C9A" w:rsidRPr="004068F6">
              <w:rPr>
                <w:rFonts w:cs="Arial"/>
                <w:sz w:val="20"/>
                <w:szCs w:val="20"/>
                <w:lang w:eastAsia="es-CO"/>
              </w:rPr>
              <w:t xml:space="preserve">étodos </w:t>
            </w:r>
            <w:r w:rsidRPr="004068F6">
              <w:rPr>
                <w:rFonts w:cs="Arial"/>
                <w:sz w:val="20"/>
                <w:szCs w:val="20"/>
                <w:lang w:eastAsia="es-CO"/>
              </w:rPr>
              <w:t>de identificación y clasificación geo</w:t>
            </w:r>
            <w:r w:rsidR="00F62C9A" w:rsidRPr="004068F6">
              <w:rPr>
                <w:rFonts w:cs="Arial"/>
                <w:sz w:val="20"/>
                <w:szCs w:val="20"/>
                <w:lang w:eastAsia="es-CO"/>
              </w:rPr>
              <w:t xml:space="preserve">morfológica </w:t>
            </w:r>
            <w:r w:rsidR="00A842D9" w:rsidRPr="004068F6">
              <w:rPr>
                <w:rFonts w:cs="Arial"/>
                <w:sz w:val="20"/>
                <w:szCs w:val="20"/>
                <w:lang w:eastAsia="es-CO"/>
              </w:rPr>
              <w:t>–</w:t>
            </w:r>
            <w:r w:rsidRPr="004068F6">
              <w:rPr>
                <w:rFonts w:cs="Arial"/>
                <w:sz w:val="20"/>
                <w:szCs w:val="20"/>
                <w:lang w:eastAsia="es-CO"/>
              </w:rPr>
              <w:t>IGAC</w:t>
            </w:r>
          </w:p>
          <w:p w14:paraId="46D9F6DD" w14:textId="77777777" w:rsidR="00077E48" w:rsidRPr="004068F6" w:rsidRDefault="00077E48" w:rsidP="0082127E">
            <w:pPr>
              <w:overflowPunct/>
              <w:autoSpaceDE/>
              <w:autoSpaceDN/>
              <w:adjustRightInd/>
              <w:textAlignment w:val="auto"/>
              <w:rPr>
                <w:rFonts w:cs="Arial"/>
                <w:sz w:val="20"/>
                <w:szCs w:val="20"/>
                <w:lang w:eastAsia="es-CO"/>
              </w:rPr>
            </w:pPr>
          </w:p>
          <w:p w14:paraId="32E049F2" w14:textId="3D0C8838" w:rsidR="00077E48" w:rsidRPr="004068F6" w:rsidRDefault="00A842D9" w:rsidP="0082127E">
            <w:pPr>
              <w:overflowPunct/>
              <w:autoSpaceDE/>
              <w:autoSpaceDN/>
              <w:adjustRightInd/>
              <w:textAlignment w:val="auto"/>
              <w:rPr>
                <w:rFonts w:cs="Arial"/>
                <w:sz w:val="20"/>
                <w:szCs w:val="20"/>
                <w:lang w:eastAsia="es-CO"/>
              </w:rPr>
            </w:pPr>
            <w:r w:rsidRPr="004068F6">
              <w:rPr>
                <w:rFonts w:cs="Arial"/>
                <w:sz w:val="20"/>
                <w:szCs w:val="20"/>
                <w:lang w:eastAsia="es-CO"/>
              </w:rPr>
              <w:t>Propuesta de estandarización de la cartografía geomorfológica en Colombia</w:t>
            </w:r>
            <w:r w:rsidR="00077E48" w:rsidRPr="004068F6">
              <w:rPr>
                <w:rFonts w:cs="Arial"/>
                <w:sz w:val="20"/>
                <w:szCs w:val="20"/>
                <w:lang w:eastAsia="es-CO"/>
              </w:rPr>
              <w:t xml:space="preserve"> </w:t>
            </w:r>
            <w:r w:rsidRPr="004068F6">
              <w:rPr>
                <w:rFonts w:cs="Arial"/>
                <w:sz w:val="20"/>
                <w:szCs w:val="20"/>
                <w:lang w:eastAsia="es-CO"/>
              </w:rPr>
              <w:t>–Carvajal (</w:t>
            </w:r>
            <w:r w:rsidR="00077E48" w:rsidRPr="004068F6">
              <w:rPr>
                <w:rFonts w:cs="Arial"/>
                <w:sz w:val="20"/>
                <w:szCs w:val="20"/>
                <w:lang w:eastAsia="es-CO"/>
              </w:rPr>
              <w:t>2012)</w:t>
            </w:r>
          </w:p>
          <w:p w14:paraId="6181A958" w14:textId="77777777" w:rsidR="00077E48" w:rsidRPr="004068F6" w:rsidRDefault="00077E48" w:rsidP="0082127E">
            <w:pPr>
              <w:overflowPunct/>
              <w:autoSpaceDE/>
              <w:autoSpaceDN/>
              <w:adjustRightInd/>
              <w:textAlignment w:val="auto"/>
              <w:rPr>
                <w:rFonts w:cs="Arial"/>
                <w:sz w:val="20"/>
                <w:szCs w:val="20"/>
                <w:lang w:eastAsia="es-CO"/>
              </w:rPr>
            </w:pPr>
          </w:p>
          <w:p w14:paraId="464A8C68" w14:textId="04AA95F9" w:rsidR="00077E48" w:rsidRPr="004068F6" w:rsidRDefault="00A842D9" w:rsidP="0082127E">
            <w:pPr>
              <w:overflowPunct/>
              <w:autoSpaceDE/>
              <w:autoSpaceDN/>
              <w:adjustRightInd/>
              <w:textAlignment w:val="auto"/>
              <w:rPr>
                <w:rFonts w:cs="Arial"/>
                <w:sz w:val="20"/>
                <w:szCs w:val="20"/>
                <w:lang w:eastAsia="es-CO"/>
              </w:rPr>
            </w:pPr>
            <w:r w:rsidRPr="004068F6">
              <w:rPr>
                <w:rFonts w:cs="Arial"/>
                <w:sz w:val="20"/>
                <w:szCs w:val="20"/>
                <w:lang w:eastAsia="es-CO"/>
              </w:rPr>
              <w:t>Guía metodológica para la elaboración de mapas</w:t>
            </w:r>
            <w:r w:rsidR="00453F6A" w:rsidRPr="004068F6">
              <w:rPr>
                <w:rFonts w:cs="Arial"/>
                <w:sz w:val="20"/>
                <w:szCs w:val="20"/>
                <w:lang w:eastAsia="es-CO"/>
              </w:rPr>
              <w:t xml:space="preserve"> </w:t>
            </w:r>
            <w:r w:rsidRPr="004068F6">
              <w:rPr>
                <w:rFonts w:cs="Arial"/>
                <w:sz w:val="20"/>
                <w:szCs w:val="20"/>
                <w:lang w:eastAsia="es-CO"/>
              </w:rPr>
              <w:t xml:space="preserve">geomorfológicos </w:t>
            </w:r>
            <w:r w:rsidR="00453F6A" w:rsidRPr="004068F6">
              <w:rPr>
                <w:rFonts w:cs="Arial"/>
                <w:sz w:val="20"/>
                <w:szCs w:val="20"/>
                <w:lang w:eastAsia="es-CO"/>
              </w:rPr>
              <w:t>–</w:t>
            </w:r>
            <w:r w:rsidR="00A92356" w:rsidRPr="004068F6">
              <w:rPr>
                <w:rFonts w:cs="Arial"/>
                <w:sz w:val="20"/>
                <w:szCs w:val="20"/>
                <w:lang w:eastAsia="es-CO"/>
              </w:rPr>
              <w:t>Ideam</w:t>
            </w:r>
            <w:r w:rsidR="006F4FD7" w:rsidRPr="004068F6">
              <w:rPr>
                <w:rFonts w:cs="Arial"/>
                <w:sz w:val="20"/>
                <w:szCs w:val="20"/>
                <w:lang w:eastAsia="es-CO"/>
              </w:rPr>
              <w:t xml:space="preserve"> </w:t>
            </w:r>
            <w:r w:rsidR="00F62C9A" w:rsidRPr="004068F6">
              <w:rPr>
                <w:rFonts w:cs="Arial"/>
                <w:sz w:val="20"/>
                <w:szCs w:val="20"/>
                <w:lang w:eastAsia="es-CO"/>
              </w:rPr>
              <w:t>(2013)</w:t>
            </w:r>
          </w:p>
        </w:tc>
      </w:tr>
      <w:tr w:rsidR="00077E48" w:rsidRPr="004068F6" w14:paraId="75ECF602" w14:textId="77777777" w:rsidTr="007F45D3">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582AC336"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nil"/>
              <w:left w:val="nil"/>
              <w:bottom w:val="single" w:sz="4" w:space="0" w:color="auto"/>
              <w:right w:val="single" w:sz="4" w:space="0" w:color="auto"/>
            </w:tcBorders>
            <w:vAlign w:val="center"/>
            <w:hideMark/>
          </w:tcPr>
          <w:p w14:paraId="7B8FDDBC"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Suelos y uso de las tierras</w:t>
            </w:r>
          </w:p>
        </w:tc>
        <w:tc>
          <w:tcPr>
            <w:tcW w:w="2630" w:type="dxa"/>
            <w:tcBorders>
              <w:top w:val="nil"/>
              <w:left w:val="nil"/>
              <w:bottom w:val="single" w:sz="4" w:space="0" w:color="auto"/>
              <w:right w:val="single" w:sz="4" w:space="0" w:color="auto"/>
            </w:tcBorders>
            <w:vAlign w:val="center"/>
            <w:hideMark/>
          </w:tcPr>
          <w:p w14:paraId="593A5D72" w14:textId="77777777" w:rsidR="00077E48" w:rsidRPr="004068F6" w:rsidRDefault="00077E48" w:rsidP="0082127E">
            <w:pPr>
              <w:overflowPunct/>
              <w:autoSpaceDE/>
              <w:autoSpaceDN/>
              <w:adjustRightInd/>
              <w:textAlignment w:val="auto"/>
              <w:rPr>
                <w:rFonts w:cs="Arial"/>
                <w:color w:val="0070C0"/>
                <w:sz w:val="20"/>
                <w:szCs w:val="20"/>
                <w:lang w:eastAsia="es-CO"/>
              </w:rPr>
            </w:pPr>
            <w:r w:rsidRPr="004068F6">
              <w:rPr>
                <w:rFonts w:cs="Arial"/>
                <w:sz w:val="20"/>
                <w:szCs w:val="20"/>
                <w:lang w:eastAsia="es-CO"/>
              </w:rPr>
              <w:t>Unidades cartográficas de suelos.</w:t>
            </w:r>
          </w:p>
        </w:tc>
        <w:tc>
          <w:tcPr>
            <w:tcW w:w="2873" w:type="dxa"/>
            <w:tcBorders>
              <w:top w:val="nil"/>
              <w:left w:val="nil"/>
              <w:bottom w:val="single" w:sz="4" w:space="0" w:color="auto"/>
              <w:right w:val="single" w:sz="4" w:space="0" w:color="auto"/>
            </w:tcBorders>
            <w:vAlign w:val="center"/>
            <w:hideMark/>
          </w:tcPr>
          <w:p w14:paraId="2F1FCAB0" w14:textId="4ED4E864"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Cambios en el tipo de suelo asociado</w:t>
            </w:r>
            <w:r w:rsidR="002A1A21" w:rsidRPr="004068F6">
              <w:rPr>
                <w:rFonts w:cs="Arial"/>
                <w:color w:val="000000"/>
                <w:sz w:val="20"/>
                <w:szCs w:val="20"/>
                <w:lang w:eastAsia="es-CO"/>
              </w:rPr>
              <w:t>s</w:t>
            </w:r>
            <w:r w:rsidRPr="004068F6">
              <w:rPr>
                <w:rFonts w:cs="Arial"/>
                <w:color w:val="000000"/>
                <w:sz w:val="20"/>
                <w:szCs w:val="20"/>
                <w:lang w:eastAsia="es-CO"/>
              </w:rPr>
              <w:t xml:space="preserve"> con la degradación, vocación, uso permitido y conflictos de uso</w:t>
            </w:r>
            <w:r w:rsidR="00AD502B" w:rsidRPr="004068F6">
              <w:rPr>
                <w:rFonts w:cs="Arial"/>
                <w:color w:val="000000"/>
                <w:sz w:val="20"/>
                <w:szCs w:val="20"/>
                <w:lang w:eastAsia="es-CO"/>
              </w:rPr>
              <w:t>; modelos matemáticos sobre movilidad del agua al interior del perfil</w:t>
            </w:r>
            <w:r w:rsidRPr="004068F6">
              <w:rPr>
                <w:rFonts w:cs="Arial"/>
                <w:color w:val="000000"/>
                <w:sz w:val="20"/>
                <w:szCs w:val="20"/>
                <w:lang w:eastAsia="es-CO"/>
              </w:rPr>
              <w:t>.</w:t>
            </w:r>
          </w:p>
        </w:tc>
        <w:tc>
          <w:tcPr>
            <w:tcW w:w="2452" w:type="dxa"/>
            <w:tcBorders>
              <w:top w:val="nil"/>
              <w:left w:val="nil"/>
              <w:bottom w:val="single" w:sz="4" w:space="0" w:color="auto"/>
              <w:right w:val="single" w:sz="4" w:space="0" w:color="auto"/>
            </w:tcBorders>
            <w:vAlign w:val="center"/>
            <w:hideMark/>
          </w:tcPr>
          <w:p w14:paraId="71AF8778" w14:textId="77777777"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IGAC</w:t>
            </w:r>
          </w:p>
        </w:tc>
      </w:tr>
      <w:tr w:rsidR="00077E48" w:rsidRPr="004068F6" w14:paraId="1B9F8516" w14:textId="77777777" w:rsidTr="007F45D3">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1EA6AED4"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nil"/>
              <w:left w:val="nil"/>
              <w:bottom w:val="single" w:sz="4" w:space="0" w:color="auto"/>
              <w:right w:val="single" w:sz="4" w:space="0" w:color="auto"/>
            </w:tcBorders>
            <w:vAlign w:val="center"/>
            <w:hideMark/>
          </w:tcPr>
          <w:p w14:paraId="7B8DB77B"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Hidrológico</w:t>
            </w:r>
          </w:p>
        </w:tc>
        <w:tc>
          <w:tcPr>
            <w:tcW w:w="2630" w:type="dxa"/>
            <w:tcBorders>
              <w:top w:val="nil"/>
              <w:left w:val="nil"/>
              <w:bottom w:val="single" w:sz="4" w:space="0" w:color="auto"/>
              <w:right w:val="single" w:sz="4" w:space="0" w:color="auto"/>
            </w:tcBorders>
            <w:vAlign w:val="center"/>
            <w:hideMark/>
          </w:tcPr>
          <w:p w14:paraId="06C4D9EE" w14:textId="77777777"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Áreas hidrográficas, Zonas hidrográficas, Subzonas hidrográficas, otras unidades hidrológicas más detalladas.</w:t>
            </w:r>
          </w:p>
        </w:tc>
        <w:tc>
          <w:tcPr>
            <w:tcW w:w="2873" w:type="dxa"/>
            <w:tcBorders>
              <w:top w:val="nil"/>
              <w:left w:val="nil"/>
              <w:bottom w:val="single" w:sz="4" w:space="0" w:color="auto"/>
              <w:right w:val="single" w:sz="4" w:space="0" w:color="auto"/>
            </w:tcBorders>
            <w:vAlign w:val="center"/>
            <w:hideMark/>
          </w:tcPr>
          <w:p w14:paraId="3A1B475C" w14:textId="7934CFF5" w:rsidR="007A2FC3" w:rsidRPr="004068F6" w:rsidRDefault="00077E48" w:rsidP="0082127E">
            <w:pPr>
              <w:overflowPunct/>
              <w:autoSpaceDE/>
              <w:autoSpaceDN/>
              <w:adjustRightInd/>
              <w:textAlignment w:val="auto"/>
              <w:rPr>
                <w:rFonts w:cs="Arial"/>
                <w:sz w:val="20"/>
                <w:szCs w:val="20"/>
                <w:lang w:eastAsia="es-CO"/>
              </w:rPr>
            </w:pPr>
            <w:r w:rsidRPr="004068F6">
              <w:rPr>
                <w:rFonts w:cs="Arial"/>
                <w:sz w:val="20"/>
                <w:szCs w:val="20"/>
                <w:lang w:eastAsia="es-CO"/>
              </w:rPr>
              <w:t>Comportamiento de la pluma de dilución.</w:t>
            </w:r>
          </w:p>
          <w:p w14:paraId="438D6A37" w14:textId="77777777" w:rsidR="007A2FC3" w:rsidRPr="004068F6" w:rsidRDefault="007A2FC3" w:rsidP="0082127E">
            <w:pPr>
              <w:overflowPunct/>
              <w:autoSpaceDE/>
              <w:autoSpaceDN/>
              <w:adjustRightInd/>
              <w:textAlignment w:val="auto"/>
              <w:rPr>
                <w:rFonts w:cs="Arial"/>
                <w:sz w:val="20"/>
                <w:szCs w:val="20"/>
                <w:lang w:eastAsia="es-CO"/>
              </w:rPr>
            </w:pPr>
            <w:r w:rsidRPr="004068F6">
              <w:rPr>
                <w:rFonts w:cs="Arial"/>
                <w:sz w:val="20"/>
                <w:szCs w:val="20"/>
                <w:lang w:eastAsia="es-CO"/>
              </w:rPr>
              <w:t>Cuerpos de agua aferentes.</w:t>
            </w:r>
          </w:p>
          <w:p w14:paraId="48E936AF" w14:textId="233098FF" w:rsidR="00077E48" w:rsidRPr="004068F6" w:rsidRDefault="007A2FC3" w:rsidP="0082127E">
            <w:pPr>
              <w:overflowPunct/>
              <w:autoSpaceDE/>
              <w:autoSpaceDN/>
              <w:adjustRightInd/>
              <w:textAlignment w:val="auto"/>
              <w:rPr>
                <w:rFonts w:cs="Arial"/>
                <w:color w:val="000000"/>
                <w:sz w:val="20"/>
                <w:szCs w:val="20"/>
                <w:lang w:eastAsia="es-CO"/>
              </w:rPr>
            </w:pPr>
            <w:r w:rsidRPr="004068F6">
              <w:rPr>
                <w:rFonts w:cs="Arial"/>
                <w:sz w:val="20"/>
                <w:szCs w:val="20"/>
                <w:lang w:eastAsia="es-CO"/>
              </w:rPr>
              <w:t>Divisorias de aguas.</w:t>
            </w:r>
          </w:p>
        </w:tc>
        <w:tc>
          <w:tcPr>
            <w:tcW w:w="2452" w:type="dxa"/>
            <w:tcBorders>
              <w:top w:val="nil"/>
              <w:left w:val="nil"/>
              <w:bottom w:val="single" w:sz="4" w:space="0" w:color="auto"/>
              <w:right w:val="single" w:sz="4" w:space="0" w:color="auto"/>
            </w:tcBorders>
            <w:vAlign w:val="center"/>
            <w:hideMark/>
          </w:tcPr>
          <w:p w14:paraId="35E3AC65" w14:textId="642F29A6" w:rsidR="00077E48" w:rsidRPr="004068F6" w:rsidRDefault="00A92356"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Ideam</w:t>
            </w:r>
          </w:p>
          <w:p w14:paraId="7A5969D7" w14:textId="77777777" w:rsidR="00077E48" w:rsidRPr="004068F6" w:rsidRDefault="00077E48" w:rsidP="0082127E">
            <w:pPr>
              <w:overflowPunct/>
              <w:autoSpaceDE/>
              <w:autoSpaceDN/>
              <w:adjustRightInd/>
              <w:textAlignment w:val="auto"/>
              <w:rPr>
                <w:rFonts w:cs="Arial"/>
                <w:color w:val="000000"/>
                <w:sz w:val="20"/>
                <w:szCs w:val="20"/>
                <w:lang w:eastAsia="es-CO"/>
              </w:rPr>
            </w:pPr>
          </w:p>
          <w:p w14:paraId="533E646D" w14:textId="77777777"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Procedimiento de delimitación de unidades hidrológicas</w:t>
            </w:r>
          </w:p>
        </w:tc>
      </w:tr>
      <w:tr w:rsidR="00077E48" w:rsidRPr="004068F6" w14:paraId="162A6196" w14:textId="77777777" w:rsidTr="007F45D3">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51C16E83"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nil"/>
              <w:left w:val="nil"/>
              <w:bottom w:val="single" w:sz="4" w:space="0" w:color="auto"/>
              <w:right w:val="single" w:sz="4" w:space="0" w:color="auto"/>
            </w:tcBorders>
            <w:vAlign w:val="center"/>
            <w:hideMark/>
          </w:tcPr>
          <w:p w14:paraId="04B98969"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Hidrogeológico</w:t>
            </w:r>
          </w:p>
        </w:tc>
        <w:tc>
          <w:tcPr>
            <w:tcW w:w="2630" w:type="dxa"/>
            <w:tcBorders>
              <w:top w:val="nil"/>
              <w:left w:val="nil"/>
              <w:bottom w:val="single" w:sz="4" w:space="0" w:color="auto"/>
              <w:right w:val="single" w:sz="4" w:space="0" w:color="auto"/>
            </w:tcBorders>
            <w:vAlign w:val="center"/>
            <w:hideMark/>
          </w:tcPr>
          <w:p w14:paraId="5CD9313F" w14:textId="77777777"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Provincias hidrogeológicas, acuíferos hidrogeológicos.</w:t>
            </w:r>
          </w:p>
        </w:tc>
        <w:tc>
          <w:tcPr>
            <w:tcW w:w="2873" w:type="dxa"/>
            <w:tcBorders>
              <w:top w:val="nil"/>
              <w:left w:val="nil"/>
              <w:bottom w:val="single" w:sz="4" w:space="0" w:color="auto"/>
              <w:right w:val="single" w:sz="4" w:space="0" w:color="auto"/>
            </w:tcBorders>
            <w:vAlign w:val="center"/>
            <w:hideMark/>
          </w:tcPr>
          <w:p w14:paraId="13432F42" w14:textId="22F41D03" w:rsidR="00077E48" w:rsidRPr="004068F6" w:rsidRDefault="007A2FC3"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 xml:space="preserve">Divisorias </w:t>
            </w:r>
            <w:r w:rsidR="00077E48" w:rsidRPr="004068F6">
              <w:rPr>
                <w:rFonts w:cs="Arial"/>
                <w:color w:val="000000"/>
                <w:sz w:val="20"/>
                <w:szCs w:val="20"/>
                <w:lang w:eastAsia="es-CO"/>
              </w:rPr>
              <w:t>de aguas subterráneas, cuerpos de agua lóticos, litología y geología estructural (fallas geológicas y pliegues), y resultados de procesos de model</w:t>
            </w:r>
            <w:r w:rsidR="00C74BBB" w:rsidRPr="004068F6">
              <w:rPr>
                <w:rFonts w:cs="Arial"/>
                <w:color w:val="000000"/>
                <w:sz w:val="20"/>
                <w:szCs w:val="20"/>
                <w:lang w:eastAsia="es-CO"/>
              </w:rPr>
              <w:t>iz</w:t>
            </w:r>
            <w:r w:rsidR="00077E48" w:rsidRPr="004068F6">
              <w:rPr>
                <w:rFonts w:cs="Arial"/>
                <w:color w:val="000000"/>
                <w:sz w:val="20"/>
                <w:szCs w:val="20"/>
                <w:lang w:eastAsia="es-CO"/>
              </w:rPr>
              <w:t>ación numérica.</w:t>
            </w:r>
          </w:p>
        </w:tc>
        <w:tc>
          <w:tcPr>
            <w:tcW w:w="2452" w:type="dxa"/>
            <w:tcBorders>
              <w:top w:val="nil"/>
              <w:left w:val="nil"/>
              <w:bottom w:val="single" w:sz="4" w:space="0" w:color="auto"/>
              <w:right w:val="single" w:sz="4" w:space="0" w:color="auto"/>
            </w:tcBorders>
            <w:vAlign w:val="center"/>
            <w:hideMark/>
          </w:tcPr>
          <w:p w14:paraId="1378A3A3" w14:textId="0A09BF4E" w:rsidR="00077E48" w:rsidRPr="004068F6" w:rsidRDefault="00A92356"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Ideam</w:t>
            </w:r>
          </w:p>
        </w:tc>
      </w:tr>
      <w:tr w:rsidR="00077E48" w:rsidRPr="004068F6" w14:paraId="5229CD1F" w14:textId="77777777" w:rsidTr="009420F5">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72EE61E6"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nil"/>
              <w:left w:val="nil"/>
              <w:bottom w:val="single" w:sz="4" w:space="0" w:color="auto"/>
              <w:right w:val="single" w:sz="4" w:space="0" w:color="auto"/>
            </w:tcBorders>
            <w:vAlign w:val="center"/>
            <w:hideMark/>
          </w:tcPr>
          <w:p w14:paraId="3E2EAD6A"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Oceanográfico</w:t>
            </w:r>
          </w:p>
        </w:tc>
        <w:tc>
          <w:tcPr>
            <w:tcW w:w="2630" w:type="dxa"/>
            <w:tcBorders>
              <w:top w:val="nil"/>
              <w:left w:val="nil"/>
              <w:bottom w:val="single" w:sz="4" w:space="0" w:color="auto"/>
              <w:right w:val="single" w:sz="4" w:space="0" w:color="auto"/>
            </w:tcBorders>
            <w:vAlign w:val="center"/>
            <w:hideMark/>
          </w:tcPr>
          <w:p w14:paraId="1FBF94E6" w14:textId="77777777"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Determinadas a partir de modelización (no sólo en superficie -línea de marea- sino también en la columna de agua y sustrato marino).</w:t>
            </w:r>
          </w:p>
        </w:tc>
        <w:tc>
          <w:tcPr>
            <w:tcW w:w="2873" w:type="dxa"/>
            <w:tcBorders>
              <w:top w:val="nil"/>
              <w:left w:val="nil"/>
              <w:bottom w:val="single" w:sz="4" w:space="0" w:color="auto"/>
              <w:right w:val="single" w:sz="4" w:space="0" w:color="auto"/>
            </w:tcBorders>
            <w:vAlign w:val="center"/>
            <w:hideMark/>
          </w:tcPr>
          <w:p w14:paraId="13C009C8" w14:textId="2CD4D1A9" w:rsidR="00077E48" w:rsidRPr="004068F6" w:rsidRDefault="00340B64"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Oleaje, c</w:t>
            </w:r>
            <w:r w:rsidR="00077E48" w:rsidRPr="004068F6">
              <w:rPr>
                <w:rFonts w:cs="Arial"/>
                <w:color w:val="000000"/>
                <w:sz w:val="20"/>
                <w:szCs w:val="20"/>
                <w:lang w:eastAsia="es-CO"/>
              </w:rPr>
              <w:t>orrientes marinas</w:t>
            </w:r>
            <w:r w:rsidRPr="004068F6">
              <w:rPr>
                <w:rFonts w:cs="Arial"/>
                <w:color w:val="000000"/>
                <w:sz w:val="20"/>
                <w:szCs w:val="20"/>
                <w:lang w:eastAsia="es-CO"/>
              </w:rPr>
              <w:t xml:space="preserve"> y </w:t>
            </w:r>
            <w:r w:rsidR="00077E48" w:rsidRPr="004068F6">
              <w:rPr>
                <w:rFonts w:cs="Arial"/>
                <w:color w:val="000000"/>
                <w:sz w:val="20"/>
                <w:szCs w:val="20"/>
                <w:lang w:eastAsia="es-CO"/>
              </w:rPr>
              <w:t>mareas.</w:t>
            </w:r>
          </w:p>
        </w:tc>
        <w:tc>
          <w:tcPr>
            <w:tcW w:w="2452" w:type="dxa"/>
            <w:tcBorders>
              <w:top w:val="nil"/>
              <w:left w:val="nil"/>
              <w:bottom w:val="single" w:sz="4" w:space="0" w:color="auto"/>
              <w:right w:val="single" w:sz="4" w:space="0" w:color="auto"/>
            </w:tcBorders>
            <w:vAlign w:val="center"/>
            <w:hideMark/>
          </w:tcPr>
          <w:p w14:paraId="49440969" w14:textId="63A53CF3" w:rsidR="00077E48" w:rsidRPr="004068F6" w:rsidRDefault="00340B64"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Dimar (CIOH y CCCP), NO</w:t>
            </w:r>
            <w:r w:rsidR="00EE0C69" w:rsidRPr="004068F6">
              <w:rPr>
                <w:rFonts w:cs="Arial"/>
                <w:color w:val="000000"/>
                <w:sz w:val="20"/>
                <w:szCs w:val="20"/>
                <w:lang w:eastAsia="es-CO"/>
              </w:rPr>
              <w:t>A</w:t>
            </w:r>
            <w:r w:rsidRPr="004068F6">
              <w:rPr>
                <w:rFonts w:cs="Arial"/>
                <w:color w:val="000000"/>
                <w:sz w:val="20"/>
                <w:szCs w:val="20"/>
                <w:lang w:eastAsia="es-CO"/>
              </w:rPr>
              <w:t>A</w:t>
            </w:r>
            <w:r w:rsidR="00EE0C69" w:rsidRPr="004068F6">
              <w:rPr>
                <w:rFonts w:cs="Arial"/>
                <w:color w:val="000000"/>
                <w:sz w:val="20"/>
                <w:szCs w:val="20"/>
                <w:lang w:eastAsia="es-CO"/>
              </w:rPr>
              <w:t>, NASA.</w:t>
            </w:r>
          </w:p>
        </w:tc>
      </w:tr>
      <w:tr w:rsidR="00077E48" w:rsidRPr="004068F6" w14:paraId="56C34E48" w14:textId="77777777" w:rsidTr="009420F5">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28AEFF25"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nil"/>
              <w:left w:val="nil"/>
              <w:bottom w:val="single" w:sz="4" w:space="0" w:color="auto"/>
              <w:right w:val="single" w:sz="4" w:space="0" w:color="auto"/>
            </w:tcBorders>
            <w:vAlign w:val="center"/>
            <w:hideMark/>
          </w:tcPr>
          <w:p w14:paraId="5C7F02F6"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Atmosférico</w:t>
            </w:r>
          </w:p>
        </w:tc>
        <w:tc>
          <w:tcPr>
            <w:tcW w:w="2630" w:type="dxa"/>
            <w:tcBorders>
              <w:top w:val="nil"/>
              <w:left w:val="nil"/>
              <w:bottom w:val="single" w:sz="4" w:space="0" w:color="auto"/>
              <w:right w:val="single" w:sz="4" w:space="0" w:color="auto"/>
            </w:tcBorders>
            <w:vAlign w:val="center"/>
            <w:hideMark/>
          </w:tcPr>
          <w:p w14:paraId="0FA16D03" w14:textId="77777777"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Determinadas a partir de modelización.</w:t>
            </w:r>
          </w:p>
        </w:tc>
        <w:tc>
          <w:tcPr>
            <w:tcW w:w="2873" w:type="dxa"/>
            <w:tcBorders>
              <w:top w:val="nil"/>
              <w:left w:val="nil"/>
              <w:bottom w:val="single" w:sz="4" w:space="0" w:color="auto"/>
              <w:right w:val="single" w:sz="4" w:space="0" w:color="auto"/>
            </w:tcBorders>
            <w:vAlign w:val="center"/>
            <w:hideMark/>
          </w:tcPr>
          <w:p w14:paraId="57281B56" w14:textId="6B677467" w:rsidR="00F62C9A" w:rsidRPr="004068F6" w:rsidRDefault="00711336" w:rsidP="0082127E">
            <w:pPr>
              <w:overflowPunct/>
              <w:autoSpaceDE/>
              <w:autoSpaceDN/>
              <w:adjustRightInd/>
              <w:textAlignment w:val="auto"/>
              <w:rPr>
                <w:rFonts w:cs="Arial"/>
                <w:sz w:val="20"/>
                <w:szCs w:val="20"/>
                <w:lang w:eastAsia="es-CO"/>
              </w:rPr>
            </w:pPr>
            <w:r w:rsidRPr="004068F6">
              <w:rPr>
                <w:rFonts w:cs="Arial"/>
                <w:sz w:val="20"/>
                <w:szCs w:val="20"/>
                <w:lang w:eastAsia="es-CO"/>
              </w:rPr>
              <w:t xml:space="preserve">Calidad del aire: </w:t>
            </w:r>
            <w:r w:rsidR="00F20A7A" w:rsidRPr="004068F6">
              <w:rPr>
                <w:rFonts w:cs="Arial"/>
                <w:sz w:val="20"/>
                <w:szCs w:val="20"/>
                <w:lang w:eastAsia="es-CO"/>
              </w:rPr>
              <w:t>c</w:t>
            </w:r>
            <w:r w:rsidR="00F62C9A" w:rsidRPr="004068F6">
              <w:rPr>
                <w:rFonts w:cs="Arial"/>
                <w:sz w:val="20"/>
                <w:szCs w:val="20"/>
                <w:lang w:eastAsia="es-CO"/>
              </w:rPr>
              <w:t>ondiciones meteorológicas, características de la emisión, receptores sensibles, condiciones iniciales del entorno y de frontera: concentración de fondo, topografía, usos del suelo y coberturas, entre otros</w:t>
            </w:r>
            <w:r w:rsidR="00721EB1" w:rsidRPr="004068F6">
              <w:rPr>
                <w:rFonts w:cs="Arial"/>
                <w:sz w:val="20"/>
                <w:szCs w:val="20"/>
                <w:lang w:eastAsia="es-CO"/>
              </w:rPr>
              <w:t xml:space="preserve"> que afectan la dispersión de los contaminantes y, por ende, las isolíneas utilizadas para la delimitación del área de influencia</w:t>
            </w:r>
            <w:r w:rsidR="00F62C9A" w:rsidRPr="004068F6">
              <w:rPr>
                <w:rFonts w:cs="Arial"/>
                <w:sz w:val="20"/>
                <w:szCs w:val="20"/>
                <w:lang w:eastAsia="es-CO"/>
              </w:rPr>
              <w:t>.</w:t>
            </w:r>
          </w:p>
          <w:p w14:paraId="38AD8437" w14:textId="77777777" w:rsidR="00711336" w:rsidRPr="004068F6" w:rsidRDefault="00711336" w:rsidP="0082127E">
            <w:pPr>
              <w:overflowPunct/>
              <w:autoSpaceDE/>
              <w:autoSpaceDN/>
              <w:adjustRightInd/>
              <w:textAlignment w:val="auto"/>
              <w:rPr>
                <w:rFonts w:cs="Arial"/>
                <w:sz w:val="20"/>
                <w:szCs w:val="20"/>
                <w:lang w:eastAsia="es-CO"/>
              </w:rPr>
            </w:pPr>
          </w:p>
          <w:p w14:paraId="3EDFD72B" w14:textId="6F6A2430" w:rsidR="00711336" w:rsidRPr="004068F6" w:rsidRDefault="00711336" w:rsidP="0082127E">
            <w:pPr>
              <w:overflowPunct/>
              <w:autoSpaceDE/>
              <w:autoSpaceDN/>
              <w:adjustRightInd/>
              <w:textAlignment w:val="auto"/>
              <w:rPr>
                <w:rFonts w:cs="Arial"/>
                <w:sz w:val="20"/>
                <w:szCs w:val="20"/>
                <w:lang w:eastAsia="es-CO"/>
              </w:rPr>
            </w:pPr>
            <w:r w:rsidRPr="004068F6">
              <w:rPr>
                <w:rFonts w:cs="Arial"/>
                <w:sz w:val="20"/>
                <w:szCs w:val="20"/>
                <w:lang w:eastAsia="es-CO"/>
              </w:rPr>
              <w:t>Ruido: cantidad, tipo y ubicación de fuentes, sus principales características, potencia sonora, meteorología, topografía, inventario de fuentes, receptores de interés, entre otr</w:t>
            </w:r>
            <w:r w:rsidR="00721EB1" w:rsidRPr="004068F6">
              <w:rPr>
                <w:rFonts w:cs="Arial"/>
                <w:sz w:val="20"/>
                <w:szCs w:val="20"/>
                <w:lang w:eastAsia="es-CO"/>
              </w:rPr>
              <w:t>a</w:t>
            </w:r>
            <w:r w:rsidRPr="004068F6">
              <w:rPr>
                <w:rFonts w:cs="Arial"/>
                <w:sz w:val="20"/>
                <w:szCs w:val="20"/>
                <w:lang w:eastAsia="es-CO"/>
              </w:rPr>
              <w:t>s</w:t>
            </w:r>
            <w:r w:rsidR="00721EB1" w:rsidRPr="004068F6">
              <w:rPr>
                <w:rFonts w:cs="Arial"/>
                <w:sz w:val="20"/>
                <w:szCs w:val="20"/>
                <w:lang w:eastAsia="es-CO"/>
              </w:rPr>
              <w:t xml:space="preserve"> variables que afectan la propagación de ruido y, por ende, las isófonas </w:t>
            </w:r>
            <w:r w:rsidR="00721EB1" w:rsidRPr="004068F6">
              <w:rPr>
                <w:rFonts w:cs="Arial"/>
                <w:sz w:val="20"/>
                <w:szCs w:val="20"/>
                <w:lang w:eastAsia="es-CO"/>
              </w:rPr>
              <w:lastRenderedPageBreak/>
              <w:t xml:space="preserve">(ver lineamientos del numeral </w:t>
            </w:r>
            <w:r w:rsidR="00721EB1" w:rsidRPr="004068F6">
              <w:rPr>
                <w:rFonts w:cs="Arial"/>
                <w:sz w:val="20"/>
                <w:szCs w:val="20"/>
                <w:lang w:eastAsia="es-CO"/>
              </w:rPr>
              <w:fldChar w:fldCharType="begin"/>
            </w:r>
            <w:r w:rsidR="00721EB1" w:rsidRPr="004068F6">
              <w:rPr>
                <w:rFonts w:cs="Arial"/>
                <w:sz w:val="20"/>
                <w:szCs w:val="20"/>
                <w:lang w:eastAsia="es-CO"/>
              </w:rPr>
              <w:instrText xml:space="preserve"> REF _Ref208231084 \r \h </w:instrText>
            </w:r>
            <w:r w:rsidR="00721EB1" w:rsidRPr="004068F6">
              <w:rPr>
                <w:rFonts w:cs="Arial"/>
                <w:sz w:val="20"/>
                <w:szCs w:val="20"/>
                <w:lang w:eastAsia="es-CO"/>
              </w:rPr>
            </w:r>
            <w:r w:rsidR="00721EB1" w:rsidRPr="004068F6">
              <w:rPr>
                <w:rFonts w:cs="Arial"/>
                <w:sz w:val="20"/>
                <w:szCs w:val="20"/>
                <w:lang w:eastAsia="es-CO"/>
              </w:rPr>
              <w:fldChar w:fldCharType="separate"/>
            </w:r>
            <w:r w:rsidR="009C4A81">
              <w:rPr>
                <w:rFonts w:cs="Arial"/>
                <w:sz w:val="20"/>
                <w:szCs w:val="20"/>
                <w:lang w:eastAsia="es-CO"/>
              </w:rPr>
              <w:t>2.2.2</w:t>
            </w:r>
            <w:r w:rsidR="00721EB1" w:rsidRPr="004068F6">
              <w:rPr>
                <w:rFonts w:cs="Arial"/>
                <w:sz w:val="20"/>
                <w:szCs w:val="20"/>
                <w:lang w:eastAsia="es-CO"/>
              </w:rPr>
              <w:fldChar w:fldCharType="end"/>
            </w:r>
            <w:r w:rsidR="00721EB1" w:rsidRPr="004068F6">
              <w:rPr>
                <w:rFonts w:cs="Arial"/>
                <w:sz w:val="20"/>
                <w:szCs w:val="20"/>
                <w:lang w:eastAsia="es-CO"/>
              </w:rPr>
              <w:t>)</w:t>
            </w:r>
            <w:r w:rsidR="005D091E" w:rsidRPr="004068F6">
              <w:rPr>
                <w:rFonts w:cs="Arial"/>
                <w:sz w:val="20"/>
                <w:szCs w:val="20"/>
                <w:lang w:eastAsia="es-CO"/>
              </w:rPr>
              <w:t>.</w:t>
            </w:r>
          </w:p>
        </w:tc>
        <w:tc>
          <w:tcPr>
            <w:tcW w:w="2452" w:type="dxa"/>
            <w:tcBorders>
              <w:top w:val="nil"/>
              <w:left w:val="nil"/>
              <w:bottom w:val="single" w:sz="4" w:space="0" w:color="auto"/>
              <w:right w:val="single" w:sz="4" w:space="0" w:color="auto"/>
            </w:tcBorders>
            <w:vAlign w:val="center"/>
            <w:hideMark/>
          </w:tcPr>
          <w:p w14:paraId="2C4E669D" w14:textId="32FCD294"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lastRenderedPageBreak/>
              <w:t xml:space="preserve">Redes de monitoreo, CAR, </w:t>
            </w:r>
            <w:r w:rsidR="00A92356" w:rsidRPr="004068F6">
              <w:rPr>
                <w:rFonts w:cs="Arial"/>
                <w:color w:val="000000"/>
                <w:sz w:val="20"/>
                <w:szCs w:val="20"/>
                <w:lang w:eastAsia="es-CO"/>
              </w:rPr>
              <w:t>Ideam</w:t>
            </w:r>
            <w:r w:rsidRPr="004068F6">
              <w:rPr>
                <w:rFonts w:cs="Arial"/>
                <w:color w:val="000000"/>
                <w:sz w:val="20"/>
                <w:szCs w:val="20"/>
                <w:lang w:eastAsia="es-CO"/>
              </w:rPr>
              <w:t>, I</w:t>
            </w:r>
            <w:r w:rsidR="00F20A7A" w:rsidRPr="004068F6">
              <w:rPr>
                <w:rFonts w:cs="Arial"/>
                <w:color w:val="000000"/>
                <w:sz w:val="20"/>
                <w:szCs w:val="20"/>
                <w:lang w:eastAsia="es-CO"/>
              </w:rPr>
              <w:t xml:space="preserve">nformes de Cumplimiento Ambiental (ICA) </w:t>
            </w:r>
            <w:r w:rsidRPr="004068F6">
              <w:rPr>
                <w:rFonts w:cs="Arial"/>
                <w:color w:val="000000"/>
                <w:sz w:val="20"/>
                <w:szCs w:val="20"/>
                <w:lang w:eastAsia="es-CO"/>
              </w:rPr>
              <w:t>de proyectos licenciados</w:t>
            </w:r>
          </w:p>
        </w:tc>
      </w:tr>
      <w:tr w:rsidR="00077E48" w:rsidRPr="00755498" w14:paraId="34732CD1" w14:textId="77777777" w:rsidTr="007F45D3">
        <w:trPr>
          <w:trHeight w:val="855"/>
          <w:jc w:val="center"/>
        </w:trPr>
        <w:tc>
          <w:tcPr>
            <w:tcW w:w="993" w:type="dxa"/>
            <w:vMerge w:val="restart"/>
            <w:tcBorders>
              <w:top w:val="nil"/>
              <w:left w:val="single" w:sz="4" w:space="0" w:color="auto"/>
              <w:bottom w:val="single" w:sz="4" w:space="0" w:color="000000"/>
              <w:right w:val="single" w:sz="4" w:space="0" w:color="auto"/>
            </w:tcBorders>
            <w:vAlign w:val="center"/>
            <w:hideMark/>
          </w:tcPr>
          <w:p w14:paraId="1D9EF14E" w14:textId="77777777" w:rsidR="00077E48" w:rsidRPr="004068F6" w:rsidRDefault="00077E48" w:rsidP="007F45D3">
            <w:pPr>
              <w:overflowPunct/>
              <w:autoSpaceDE/>
              <w:autoSpaceDN/>
              <w:adjustRightInd/>
              <w:jc w:val="center"/>
              <w:textAlignment w:val="auto"/>
              <w:rPr>
                <w:rFonts w:cs="Arial"/>
                <w:color w:val="000000"/>
                <w:sz w:val="20"/>
                <w:szCs w:val="20"/>
                <w:lang w:eastAsia="es-CO"/>
              </w:rPr>
            </w:pPr>
            <w:r w:rsidRPr="004068F6">
              <w:rPr>
                <w:rFonts w:cs="Arial"/>
                <w:color w:val="000000"/>
                <w:sz w:val="20"/>
                <w:szCs w:val="20"/>
                <w:lang w:eastAsia="es-CO"/>
              </w:rPr>
              <w:t>Biótico</w:t>
            </w:r>
          </w:p>
        </w:tc>
        <w:tc>
          <w:tcPr>
            <w:tcW w:w="1617" w:type="dxa"/>
            <w:tcBorders>
              <w:top w:val="nil"/>
              <w:left w:val="nil"/>
              <w:bottom w:val="single" w:sz="4" w:space="0" w:color="auto"/>
              <w:right w:val="single" w:sz="4" w:space="0" w:color="auto"/>
            </w:tcBorders>
            <w:vAlign w:val="center"/>
            <w:hideMark/>
          </w:tcPr>
          <w:p w14:paraId="759C0C4F"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Ecosistemas terrestres</w:t>
            </w:r>
          </w:p>
        </w:tc>
        <w:tc>
          <w:tcPr>
            <w:tcW w:w="2630" w:type="dxa"/>
            <w:tcBorders>
              <w:top w:val="nil"/>
              <w:left w:val="nil"/>
              <w:bottom w:val="single" w:sz="4" w:space="0" w:color="auto"/>
              <w:right w:val="single" w:sz="4" w:space="0" w:color="auto"/>
            </w:tcBorders>
            <w:vAlign w:val="center"/>
            <w:hideMark/>
          </w:tcPr>
          <w:p w14:paraId="7E911DC5" w14:textId="6169902C"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Biomas, ecosistemas, coberturas de la tierra.</w:t>
            </w:r>
          </w:p>
        </w:tc>
        <w:tc>
          <w:tcPr>
            <w:tcW w:w="2873" w:type="dxa"/>
            <w:tcBorders>
              <w:top w:val="nil"/>
              <w:left w:val="nil"/>
              <w:bottom w:val="single" w:sz="4" w:space="0" w:color="auto"/>
              <w:right w:val="single" w:sz="4" w:space="0" w:color="auto"/>
            </w:tcBorders>
            <w:vAlign w:val="center"/>
            <w:hideMark/>
          </w:tcPr>
          <w:p w14:paraId="202FFE23" w14:textId="77777777" w:rsidR="00077E48" w:rsidRPr="004068F6" w:rsidRDefault="00077E48" w:rsidP="0082127E">
            <w:pPr>
              <w:overflowPunct/>
              <w:autoSpaceDE/>
              <w:autoSpaceDN/>
              <w:adjustRightInd/>
              <w:textAlignment w:val="auto"/>
              <w:rPr>
                <w:rFonts w:cs="Arial"/>
                <w:sz w:val="20"/>
                <w:szCs w:val="20"/>
                <w:lang w:eastAsia="es-CO"/>
              </w:rPr>
            </w:pPr>
            <w:r w:rsidRPr="004068F6">
              <w:rPr>
                <w:rFonts w:cs="Arial"/>
                <w:sz w:val="20"/>
                <w:szCs w:val="20"/>
                <w:lang w:eastAsia="es-CO"/>
              </w:rPr>
              <w:t>Vías, caminos, cercas vivas, cercas, mallas o estructuras similares.</w:t>
            </w:r>
          </w:p>
          <w:p w14:paraId="6C354A05" w14:textId="77777777" w:rsidR="00077E48" w:rsidRPr="004068F6" w:rsidRDefault="00077E48" w:rsidP="0082127E">
            <w:pPr>
              <w:overflowPunct/>
              <w:autoSpaceDE/>
              <w:autoSpaceDN/>
              <w:adjustRightInd/>
              <w:textAlignment w:val="auto"/>
              <w:rPr>
                <w:rFonts w:cs="Arial"/>
                <w:sz w:val="20"/>
                <w:szCs w:val="20"/>
                <w:lang w:eastAsia="es-CO"/>
              </w:rPr>
            </w:pPr>
          </w:p>
          <w:p w14:paraId="5365A2B1" w14:textId="4CC7465A" w:rsidR="00077E48" w:rsidRPr="004068F6" w:rsidRDefault="00077E48" w:rsidP="0082127E">
            <w:pPr>
              <w:overflowPunct/>
              <w:autoSpaceDE/>
              <w:autoSpaceDN/>
              <w:adjustRightInd/>
              <w:textAlignment w:val="auto"/>
              <w:rPr>
                <w:rFonts w:cs="Arial"/>
                <w:sz w:val="20"/>
                <w:szCs w:val="20"/>
                <w:lang w:eastAsia="es-CO"/>
              </w:rPr>
            </w:pPr>
            <w:r w:rsidRPr="004068F6">
              <w:rPr>
                <w:rFonts w:cs="Arial"/>
                <w:sz w:val="20"/>
                <w:szCs w:val="20"/>
                <w:lang w:eastAsia="es-CO"/>
              </w:rPr>
              <w:t>Cuerpos de agua</w:t>
            </w:r>
            <w:r w:rsidR="0005780C" w:rsidRPr="004068F6">
              <w:rPr>
                <w:rFonts w:cs="Arial"/>
                <w:sz w:val="20"/>
                <w:szCs w:val="20"/>
                <w:lang w:eastAsia="es-CO"/>
              </w:rPr>
              <w:t xml:space="preserve"> (lóticos o lénticos)</w:t>
            </w:r>
            <w:r w:rsidR="007A2FC3" w:rsidRPr="004068F6">
              <w:rPr>
                <w:rFonts w:cs="Arial"/>
                <w:sz w:val="20"/>
                <w:szCs w:val="20"/>
                <w:lang w:eastAsia="es-CO"/>
              </w:rPr>
              <w:t>.</w:t>
            </w:r>
          </w:p>
        </w:tc>
        <w:tc>
          <w:tcPr>
            <w:tcW w:w="2452" w:type="dxa"/>
            <w:tcBorders>
              <w:top w:val="nil"/>
              <w:left w:val="nil"/>
              <w:bottom w:val="single" w:sz="4" w:space="0" w:color="auto"/>
              <w:right w:val="single" w:sz="4" w:space="0" w:color="auto"/>
            </w:tcBorders>
            <w:vAlign w:val="center"/>
            <w:hideMark/>
          </w:tcPr>
          <w:p w14:paraId="7D1F4A52" w14:textId="03732706" w:rsidR="00077E48" w:rsidRPr="006C00FC" w:rsidRDefault="00A92356" w:rsidP="0082127E">
            <w:pPr>
              <w:overflowPunct/>
              <w:autoSpaceDE/>
              <w:autoSpaceDN/>
              <w:adjustRightInd/>
              <w:textAlignment w:val="auto"/>
              <w:rPr>
                <w:rFonts w:cs="Arial"/>
                <w:color w:val="000000"/>
                <w:sz w:val="20"/>
                <w:szCs w:val="20"/>
                <w:lang w:val="en-US" w:eastAsia="es-CO"/>
              </w:rPr>
            </w:pPr>
            <w:r w:rsidRPr="006C00FC">
              <w:rPr>
                <w:rFonts w:cs="Arial"/>
                <w:color w:val="000000"/>
                <w:sz w:val="20"/>
                <w:szCs w:val="20"/>
                <w:lang w:val="en-US" w:eastAsia="es-CO"/>
              </w:rPr>
              <w:t>Ideam</w:t>
            </w:r>
            <w:r w:rsidR="00077E48" w:rsidRPr="006C00FC">
              <w:rPr>
                <w:rFonts w:cs="Arial"/>
                <w:color w:val="000000"/>
                <w:sz w:val="20"/>
                <w:szCs w:val="20"/>
                <w:lang w:val="en-US" w:eastAsia="es-CO"/>
              </w:rPr>
              <w:t>, Instituto Humboldt, CAR, IGAC</w:t>
            </w:r>
          </w:p>
        </w:tc>
      </w:tr>
      <w:tr w:rsidR="00077E48" w:rsidRPr="004068F6" w14:paraId="6BAAF5BF" w14:textId="77777777" w:rsidTr="007F45D3">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418B1F86" w14:textId="77777777" w:rsidR="00077E48" w:rsidRPr="00AA2094" w:rsidRDefault="00077E48" w:rsidP="007F45D3">
            <w:pPr>
              <w:overflowPunct/>
              <w:autoSpaceDE/>
              <w:autoSpaceDN/>
              <w:adjustRightInd/>
              <w:jc w:val="left"/>
              <w:textAlignment w:val="auto"/>
              <w:rPr>
                <w:rFonts w:cs="Arial"/>
                <w:color w:val="000000"/>
                <w:sz w:val="20"/>
                <w:szCs w:val="20"/>
                <w:lang w:val="en-US" w:eastAsia="es-CO"/>
              </w:rPr>
            </w:pPr>
          </w:p>
        </w:tc>
        <w:tc>
          <w:tcPr>
            <w:tcW w:w="1617" w:type="dxa"/>
            <w:tcBorders>
              <w:top w:val="nil"/>
              <w:left w:val="nil"/>
              <w:bottom w:val="single" w:sz="4" w:space="0" w:color="auto"/>
              <w:right w:val="single" w:sz="4" w:space="0" w:color="auto"/>
            </w:tcBorders>
            <w:vAlign w:val="center"/>
            <w:hideMark/>
          </w:tcPr>
          <w:p w14:paraId="11452A1B"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Ecosistemas acuáticos continentales y marino-costeros</w:t>
            </w:r>
          </w:p>
        </w:tc>
        <w:tc>
          <w:tcPr>
            <w:tcW w:w="2630" w:type="dxa"/>
            <w:tcBorders>
              <w:top w:val="nil"/>
              <w:left w:val="nil"/>
              <w:bottom w:val="single" w:sz="4" w:space="0" w:color="auto"/>
              <w:right w:val="single" w:sz="4" w:space="0" w:color="auto"/>
            </w:tcBorders>
            <w:vAlign w:val="center"/>
            <w:hideMark/>
          </w:tcPr>
          <w:p w14:paraId="256CF9CB" w14:textId="482A4C8A"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Ecosistemas</w:t>
            </w:r>
            <w:r w:rsidR="00243653" w:rsidRPr="004068F6">
              <w:rPr>
                <w:rFonts w:cs="Arial"/>
                <w:color w:val="000000"/>
                <w:sz w:val="20"/>
                <w:szCs w:val="20"/>
                <w:lang w:eastAsia="es-CO"/>
              </w:rPr>
              <w:t xml:space="preserve"> en áreas continentales y marinas</w:t>
            </w:r>
            <w:r w:rsidRPr="004068F6">
              <w:rPr>
                <w:rFonts w:cs="Arial"/>
                <w:color w:val="000000"/>
                <w:sz w:val="20"/>
                <w:szCs w:val="20"/>
                <w:lang w:eastAsia="es-CO"/>
              </w:rPr>
              <w:t>, coberturas de la tierra</w:t>
            </w:r>
            <w:r w:rsidR="00461D01" w:rsidRPr="004068F6">
              <w:rPr>
                <w:rFonts w:cs="Arial"/>
                <w:color w:val="000000"/>
                <w:sz w:val="20"/>
                <w:szCs w:val="20"/>
                <w:lang w:eastAsia="es-CO"/>
              </w:rPr>
              <w:t xml:space="preserve"> en áreas continentales</w:t>
            </w:r>
            <w:r w:rsidRPr="004068F6">
              <w:rPr>
                <w:rFonts w:cs="Arial"/>
                <w:color w:val="000000"/>
                <w:sz w:val="20"/>
                <w:szCs w:val="20"/>
                <w:lang w:eastAsia="es-CO"/>
              </w:rPr>
              <w:t xml:space="preserve">, </w:t>
            </w:r>
            <w:r w:rsidR="00F67CCF" w:rsidRPr="004068F6">
              <w:rPr>
                <w:rFonts w:cs="Arial"/>
                <w:color w:val="000000"/>
                <w:sz w:val="20"/>
                <w:szCs w:val="20"/>
                <w:lang w:eastAsia="es-CO"/>
              </w:rPr>
              <w:t xml:space="preserve">cuerpos de agua (lóticos o lénticos), </w:t>
            </w:r>
            <w:r w:rsidR="00407347" w:rsidRPr="004068F6">
              <w:rPr>
                <w:rFonts w:cs="Arial"/>
                <w:color w:val="000000"/>
                <w:sz w:val="20"/>
                <w:szCs w:val="20"/>
                <w:lang w:eastAsia="es-CO"/>
              </w:rPr>
              <w:t xml:space="preserve">Áreas hidrográficas, Zonas hidrográficas, Subzonas hidrográficas, otras unidades hidrológicas más detalladas, </w:t>
            </w:r>
            <w:r w:rsidRPr="004068F6">
              <w:rPr>
                <w:rFonts w:cs="Arial"/>
                <w:color w:val="000000"/>
                <w:sz w:val="20"/>
                <w:szCs w:val="20"/>
                <w:lang w:eastAsia="es-CO"/>
              </w:rPr>
              <w:t>otras unidades d</w:t>
            </w:r>
            <w:r w:rsidRPr="004068F6">
              <w:rPr>
                <w:rFonts w:cs="Arial"/>
                <w:sz w:val="20"/>
                <w:szCs w:val="20"/>
                <w:lang w:eastAsia="es-CO"/>
              </w:rPr>
              <w:t>eterminadas a partir de modelización</w:t>
            </w:r>
            <w:r w:rsidR="00F67CCF" w:rsidRPr="004068F6">
              <w:rPr>
                <w:rFonts w:cs="Arial"/>
                <w:sz w:val="20"/>
                <w:szCs w:val="20"/>
                <w:lang w:eastAsia="es-CO"/>
              </w:rPr>
              <w:t>.</w:t>
            </w:r>
          </w:p>
        </w:tc>
        <w:tc>
          <w:tcPr>
            <w:tcW w:w="2873" w:type="dxa"/>
            <w:tcBorders>
              <w:top w:val="nil"/>
              <w:left w:val="nil"/>
              <w:bottom w:val="single" w:sz="4" w:space="0" w:color="auto"/>
              <w:right w:val="single" w:sz="4" w:space="0" w:color="auto"/>
            </w:tcBorders>
            <w:vAlign w:val="center"/>
            <w:hideMark/>
          </w:tcPr>
          <w:p w14:paraId="3B5AACC9" w14:textId="77777777" w:rsidR="00A16806" w:rsidRPr="004068F6" w:rsidRDefault="00A16806" w:rsidP="00A16806">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Comportamiento de la pluma de dilución.</w:t>
            </w:r>
          </w:p>
          <w:p w14:paraId="09935264" w14:textId="77777777" w:rsidR="00A16806" w:rsidRPr="004068F6" w:rsidRDefault="00A16806" w:rsidP="00A16806">
            <w:pPr>
              <w:overflowPunct/>
              <w:autoSpaceDE/>
              <w:autoSpaceDN/>
              <w:adjustRightInd/>
              <w:textAlignment w:val="auto"/>
              <w:rPr>
                <w:rFonts w:cs="Arial"/>
                <w:color w:val="000000"/>
                <w:sz w:val="20"/>
                <w:szCs w:val="20"/>
                <w:lang w:eastAsia="es-CO"/>
              </w:rPr>
            </w:pPr>
          </w:p>
          <w:p w14:paraId="20A36AA2" w14:textId="77777777" w:rsidR="00A16806" w:rsidRPr="004068F6" w:rsidRDefault="00A16806" w:rsidP="00A16806">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Cuerpos de agua aferentes.</w:t>
            </w:r>
          </w:p>
          <w:p w14:paraId="09328570" w14:textId="77777777" w:rsidR="00A16806" w:rsidRPr="004068F6" w:rsidRDefault="00A16806" w:rsidP="00A16806">
            <w:pPr>
              <w:overflowPunct/>
              <w:autoSpaceDE/>
              <w:autoSpaceDN/>
              <w:adjustRightInd/>
              <w:textAlignment w:val="auto"/>
              <w:rPr>
                <w:rFonts w:cs="Arial"/>
                <w:color w:val="000000"/>
                <w:sz w:val="20"/>
                <w:szCs w:val="20"/>
                <w:lang w:eastAsia="es-CO"/>
              </w:rPr>
            </w:pPr>
          </w:p>
          <w:p w14:paraId="60B7AC1F" w14:textId="383E8F49" w:rsidR="00077E48" w:rsidRPr="004068F6" w:rsidRDefault="00A16806" w:rsidP="00A16806">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Divisorias de aguas.</w:t>
            </w:r>
          </w:p>
        </w:tc>
        <w:tc>
          <w:tcPr>
            <w:tcW w:w="2452" w:type="dxa"/>
            <w:tcBorders>
              <w:top w:val="nil"/>
              <w:left w:val="nil"/>
              <w:bottom w:val="single" w:sz="4" w:space="0" w:color="auto"/>
              <w:right w:val="single" w:sz="4" w:space="0" w:color="auto"/>
            </w:tcBorders>
            <w:vAlign w:val="center"/>
            <w:hideMark/>
          </w:tcPr>
          <w:p w14:paraId="01531721" w14:textId="5DD57657" w:rsidR="00077E48" w:rsidRPr="004068F6" w:rsidRDefault="00A92356"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Ideam</w:t>
            </w:r>
            <w:r w:rsidR="00077E48" w:rsidRPr="004068F6">
              <w:rPr>
                <w:rFonts w:cs="Arial"/>
                <w:color w:val="000000"/>
                <w:sz w:val="20"/>
                <w:szCs w:val="20"/>
                <w:lang w:eastAsia="es-CO"/>
              </w:rPr>
              <w:t xml:space="preserve">, Instituto Humboldt, </w:t>
            </w:r>
            <w:r w:rsidR="00602EF5" w:rsidRPr="004068F6">
              <w:rPr>
                <w:rFonts w:cs="Arial"/>
                <w:color w:val="000000"/>
                <w:sz w:val="20"/>
                <w:szCs w:val="20"/>
                <w:lang w:eastAsia="es-CO"/>
              </w:rPr>
              <w:t xml:space="preserve">Invemar, </w:t>
            </w:r>
            <w:r w:rsidR="000F6349" w:rsidRPr="004068F6">
              <w:rPr>
                <w:rFonts w:cs="Arial"/>
                <w:color w:val="000000"/>
                <w:sz w:val="20"/>
                <w:szCs w:val="20"/>
                <w:lang w:eastAsia="es-CO"/>
              </w:rPr>
              <w:t>Dimar</w:t>
            </w:r>
            <w:r w:rsidR="00077E48" w:rsidRPr="004068F6">
              <w:rPr>
                <w:rFonts w:cs="Arial"/>
                <w:color w:val="000000"/>
                <w:sz w:val="20"/>
                <w:szCs w:val="20"/>
                <w:lang w:eastAsia="es-CO"/>
              </w:rPr>
              <w:t>, CAR, IGAC</w:t>
            </w:r>
          </w:p>
        </w:tc>
      </w:tr>
      <w:tr w:rsidR="00077E48" w:rsidRPr="004068F6" w14:paraId="6743253C" w14:textId="77777777" w:rsidTr="007F45D3">
        <w:trPr>
          <w:trHeight w:val="600"/>
          <w:jc w:val="center"/>
        </w:trPr>
        <w:tc>
          <w:tcPr>
            <w:tcW w:w="993" w:type="dxa"/>
            <w:vMerge w:val="restart"/>
            <w:tcBorders>
              <w:top w:val="nil"/>
              <w:left w:val="single" w:sz="4" w:space="0" w:color="auto"/>
              <w:bottom w:val="single" w:sz="4" w:space="0" w:color="000000"/>
              <w:right w:val="single" w:sz="4" w:space="0" w:color="auto"/>
            </w:tcBorders>
            <w:vAlign w:val="center"/>
            <w:hideMark/>
          </w:tcPr>
          <w:p w14:paraId="18A29966" w14:textId="77777777" w:rsidR="00077E48" w:rsidRPr="004068F6" w:rsidRDefault="00077E48" w:rsidP="007F45D3">
            <w:pPr>
              <w:overflowPunct/>
              <w:autoSpaceDE/>
              <w:autoSpaceDN/>
              <w:adjustRightInd/>
              <w:jc w:val="center"/>
              <w:textAlignment w:val="auto"/>
              <w:rPr>
                <w:rFonts w:cs="Arial"/>
                <w:color w:val="000000"/>
                <w:sz w:val="20"/>
                <w:szCs w:val="20"/>
                <w:lang w:eastAsia="es-CO"/>
              </w:rPr>
            </w:pPr>
            <w:r w:rsidRPr="004068F6">
              <w:rPr>
                <w:rFonts w:cs="Arial"/>
                <w:color w:val="000000"/>
                <w:sz w:val="20"/>
                <w:szCs w:val="20"/>
                <w:lang w:eastAsia="es-CO"/>
              </w:rPr>
              <w:t>Socioeconómico</w:t>
            </w:r>
          </w:p>
        </w:tc>
        <w:tc>
          <w:tcPr>
            <w:tcW w:w="1617" w:type="dxa"/>
            <w:tcBorders>
              <w:top w:val="nil"/>
              <w:left w:val="nil"/>
              <w:bottom w:val="single" w:sz="4" w:space="0" w:color="auto"/>
              <w:right w:val="single" w:sz="4" w:space="0" w:color="auto"/>
            </w:tcBorders>
            <w:vAlign w:val="center"/>
            <w:hideMark/>
          </w:tcPr>
          <w:p w14:paraId="30E3AA68"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Demográfico</w:t>
            </w:r>
          </w:p>
        </w:tc>
        <w:tc>
          <w:tcPr>
            <w:tcW w:w="2630" w:type="dxa"/>
            <w:vMerge w:val="restart"/>
            <w:tcBorders>
              <w:top w:val="nil"/>
              <w:left w:val="single" w:sz="4" w:space="0" w:color="auto"/>
              <w:bottom w:val="single" w:sz="4" w:space="0" w:color="000000"/>
              <w:right w:val="single" w:sz="4" w:space="0" w:color="auto"/>
            </w:tcBorders>
            <w:vAlign w:val="center"/>
            <w:hideMark/>
          </w:tcPr>
          <w:p w14:paraId="290D3525" w14:textId="0C887774" w:rsidR="00077E48" w:rsidRPr="004068F6" w:rsidRDefault="00077E48"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Unidades territoriales (municipios, corregimientos, veredas, sectores de vereda, barrios, inspecciones de policía, resguardos indígenas, territorios colectivos u otras unidades reconocidas administrativa o socialmente)</w:t>
            </w:r>
            <w:r w:rsidR="00BD2BC3">
              <w:rPr>
                <w:rFonts w:cs="Arial"/>
                <w:color w:val="000000"/>
                <w:sz w:val="20"/>
                <w:szCs w:val="20"/>
                <w:lang w:eastAsia="es-CO"/>
              </w:rPr>
              <w:t>.</w:t>
            </w:r>
          </w:p>
        </w:tc>
        <w:tc>
          <w:tcPr>
            <w:tcW w:w="2873" w:type="dxa"/>
            <w:vMerge w:val="restart"/>
            <w:tcBorders>
              <w:top w:val="nil"/>
              <w:left w:val="single" w:sz="4" w:space="0" w:color="auto"/>
              <w:bottom w:val="single" w:sz="4" w:space="0" w:color="000000"/>
              <w:right w:val="single" w:sz="4" w:space="0" w:color="auto"/>
            </w:tcBorders>
            <w:vAlign w:val="center"/>
            <w:hideMark/>
          </w:tcPr>
          <w:p w14:paraId="67C71746" w14:textId="77777777" w:rsidR="00077E48" w:rsidRPr="004068F6" w:rsidRDefault="00077E48" w:rsidP="0082127E">
            <w:pPr>
              <w:overflowPunct/>
              <w:autoSpaceDE/>
              <w:autoSpaceDN/>
              <w:adjustRightInd/>
              <w:textAlignment w:val="auto"/>
              <w:rPr>
                <w:rFonts w:cs="Arial"/>
                <w:sz w:val="20"/>
                <w:szCs w:val="20"/>
                <w:lang w:eastAsia="es-CO"/>
              </w:rPr>
            </w:pPr>
            <w:r w:rsidRPr="004068F6">
              <w:rPr>
                <w:rFonts w:cs="Arial"/>
                <w:sz w:val="20"/>
                <w:szCs w:val="20"/>
                <w:lang w:eastAsia="es-CO"/>
              </w:rPr>
              <w:t>Fisiografía (ríos, divisorias de aguas), vías principales.</w:t>
            </w:r>
          </w:p>
          <w:p w14:paraId="4B4E0F8D" w14:textId="77777777" w:rsidR="007A2FC3" w:rsidRDefault="007A2FC3" w:rsidP="0082127E">
            <w:pPr>
              <w:overflowPunct/>
              <w:autoSpaceDE/>
              <w:autoSpaceDN/>
              <w:adjustRightInd/>
              <w:textAlignment w:val="auto"/>
              <w:rPr>
                <w:rFonts w:cs="Arial"/>
                <w:color w:val="000000"/>
                <w:sz w:val="20"/>
                <w:szCs w:val="20"/>
                <w:lang w:eastAsia="es-CO"/>
              </w:rPr>
            </w:pPr>
            <w:r w:rsidRPr="004068F6">
              <w:rPr>
                <w:rFonts w:cs="Arial"/>
                <w:color w:val="000000"/>
                <w:sz w:val="20"/>
                <w:szCs w:val="20"/>
                <w:lang w:eastAsia="es-CO"/>
              </w:rPr>
              <w:t>Organizaciones sociales preexistentes legalmente reconocidas y con reconocimiento social (para definir sectores de vereda).</w:t>
            </w:r>
          </w:p>
          <w:p w14:paraId="7ABC8C5A" w14:textId="5675C363" w:rsidR="006148E4" w:rsidRPr="004068F6" w:rsidRDefault="006148E4" w:rsidP="0082127E">
            <w:pPr>
              <w:overflowPunct/>
              <w:autoSpaceDE/>
              <w:autoSpaceDN/>
              <w:adjustRightInd/>
              <w:textAlignment w:val="auto"/>
              <w:rPr>
                <w:rFonts w:cs="Arial"/>
                <w:color w:val="000000"/>
                <w:sz w:val="20"/>
                <w:szCs w:val="20"/>
                <w:lang w:eastAsia="es-CO"/>
              </w:rPr>
            </w:pPr>
            <w:r w:rsidRPr="006148E4">
              <w:rPr>
                <w:rFonts w:cs="Arial"/>
                <w:color w:val="000000"/>
                <w:sz w:val="20"/>
                <w:szCs w:val="20"/>
                <w:lang w:eastAsia="es-CO"/>
              </w:rPr>
              <w:t>Dinámicas relacionales con el territorio desde los grupos de interés.</w:t>
            </w:r>
          </w:p>
        </w:tc>
        <w:tc>
          <w:tcPr>
            <w:tcW w:w="2452" w:type="dxa"/>
            <w:vMerge w:val="restart"/>
            <w:tcBorders>
              <w:top w:val="nil"/>
              <w:left w:val="single" w:sz="4" w:space="0" w:color="auto"/>
              <w:bottom w:val="single" w:sz="4" w:space="0" w:color="000000"/>
              <w:right w:val="single" w:sz="4" w:space="0" w:color="auto"/>
            </w:tcBorders>
            <w:vAlign w:val="center"/>
            <w:hideMark/>
          </w:tcPr>
          <w:p w14:paraId="2E615694" w14:textId="2CFED91E" w:rsidR="00077E48" w:rsidRPr="004068F6" w:rsidRDefault="00077E48" w:rsidP="0082127E">
            <w:pPr>
              <w:overflowPunct/>
              <w:autoSpaceDE/>
              <w:autoSpaceDN/>
              <w:adjustRightInd/>
              <w:textAlignment w:val="auto"/>
              <w:rPr>
                <w:rFonts w:cs="Arial"/>
                <w:color w:val="0070C0"/>
                <w:sz w:val="20"/>
                <w:szCs w:val="20"/>
                <w:lang w:eastAsia="es-CO"/>
              </w:rPr>
            </w:pPr>
            <w:r w:rsidRPr="004068F6">
              <w:rPr>
                <w:rFonts w:cs="Arial"/>
                <w:sz w:val="20"/>
                <w:szCs w:val="20"/>
                <w:lang w:eastAsia="es-CO"/>
              </w:rPr>
              <w:t>DANE, IGAC, Mininterior</w:t>
            </w:r>
            <w:r w:rsidR="00C457F9" w:rsidRPr="004068F6">
              <w:rPr>
                <w:rFonts w:cs="Arial"/>
                <w:sz w:val="20"/>
                <w:szCs w:val="20"/>
                <w:lang w:eastAsia="es-CO"/>
              </w:rPr>
              <w:t xml:space="preserve">, Planes de desarrollo (municipal y departamental), </w:t>
            </w:r>
            <w:r w:rsidR="00154354" w:rsidRPr="004068F6">
              <w:rPr>
                <w:rFonts w:cs="Arial"/>
                <w:sz w:val="20"/>
                <w:szCs w:val="20"/>
                <w:lang w:eastAsia="es-CO"/>
              </w:rPr>
              <w:t>Instrumentos de ordenamiento territorial</w:t>
            </w:r>
            <w:r w:rsidR="00C457F9" w:rsidRPr="004068F6">
              <w:rPr>
                <w:rFonts w:cs="Arial"/>
                <w:sz w:val="20"/>
                <w:szCs w:val="20"/>
                <w:lang w:eastAsia="es-CO"/>
              </w:rPr>
              <w:t xml:space="preserve">, </w:t>
            </w:r>
            <w:r w:rsidR="003C70CD" w:rsidRPr="004068F6">
              <w:rPr>
                <w:rFonts w:cs="Arial"/>
                <w:sz w:val="20"/>
                <w:szCs w:val="20"/>
                <w:lang w:eastAsia="es-CO"/>
              </w:rPr>
              <w:t>Pomca</w:t>
            </w:r>
            <w:r w:rsidR="00C457F9" w:rsidRPr="004068F6">
              <w:rPr>
                <w:rFonts w:cs="Arial"/>
                <w:sz w:val="20"/>
                <w:szCs w:val="20"/>
                <w:lang w:eastAsia="es-CO"/>
              </w:rPr>
              <w:t xml:space="preserve">, </w:t>
            </w:r>
            <w:r w:rsidR="00733FEA" w:rsidRPr="004068F6">
              <w:rPr>
                <w:rFonts w:cs="Arial"/>
                <w:sz w:val="20"/>
                <w:szCs w:val="20"/>
                <w:lang w:eastAsia="es-CO"/>
              </w:rPr>
              <w:t>Pomiuac</w:t>
            </w:r>
            <w:r w:rsidR="00C457F9" w:rsidRPr="004068F6">
              <w:rPr>
                <w:rFonts w:cs="Arial"/>
                <w:sz w:val="20"/>
                <w:szCs w:val="20"/>
                <w:lang w:eastAsia="es-CO"/>
              </w:rPr>
              <w:t>, cartografía social.</w:t>
            </w:r>
          </w:p>
        </w:tc>
      </w:tr>
      <w:tr w:rsidR="00077E48" w:rsidRPr="004068F6" w14:paraId="64786187" w14:textId="77777777" w:rsidTr="007F45D3">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15F854DA"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nil"/>
              <w:left w:val="nil"/>
              <w:bottom w:val="single" w:sz="4" w:space="0" w:color="auto"/>
              <w:right w:val="single" w:sz="4" w:space="0" w:color="auto"/>
            </w:tcBorders>
            <w:vAlign w:val="center"/>
            <w:hideMark/>
          </w:tcPr>
          <w:p w14:paraId="72DBF1CE"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Espacial</w:t>
            </w:r>
          </w:p>
        </w:tc>
        <w:tc>
          <w:tcPr>
            <w:tcW w:w="2630" w:type="dxa"/>
            <w:vMerge/>
            <w:tcBorders>
              <w:top w:val="nil"/>
              <w:left w:val="single" w:sz="4" w:space="0" w:color="auto"/>
              <w:bottom w:val="single" w:sz="4" w:space="0" w:color="000000"/>
              <w:right w:val="single" w:sz="4" w:space="0" w:color="auto"/>
            </w:tcBorders>
            <w:vAlign w:val="center"/>
            <w:hideMark/>
          </w:tcPr>
          <w:p w14:paraId="7AD85807" w14:textId="77777777" w:rsidR="00077E48" w:rsidRPr="004068F6" w:rsidRDefault="00077E48" w:rsidP="0082127E">
            <w:pPr>
              <w:overflowPunct/>
              <w:autoSpaceDE/>
              <w:autoSpaceDN/>
              <w:adjustRightInd/>
              <w:textAlignment w:val="auto"/>
              <w:rPr>
                <w:rFonts w:cs="Arial"/>
                <w:color w:val="000000"/>
                <w:sz w:val="20"/>
                <w:szCs w:val="20"/>
                <w:lang w:eastAsia="es-CO"/>
              </w:rPr>
            </w:pPr>
          </w:p>
        </w:tc>
        <w:tc>
          <w:tcPr>
            <w:tcW w:w="2873" w:type="dxa"/>
            <w:vMerge/>
            <w:tcBorders>
              <w:top w:val="nil"/>
              <w:left w:val="single" w:sz="4" w:space="0" w:color="auto"/>
              <w:bottom w:val="single" w:sz="4" w:space="0" w:color="000000"/>
              <w:right w:val="single" w:sz="4" w:space="0" w:color="auto"/>
            </w:tcBorders>
            <w:vAlign w:val="center"/>
            <w:hideMark/>
          </w:tcPr>
          <w:p w14:paraId="58B60FD5" w14:textId="77777777" w:rsidR="00077E48" w:rsidRPr="004068F6" w:rsidRDefault="00077E48" w:rsidP="0082127E">
            <w:pPr>
              <w:overflowPunct/>
              <w:autoSpaceDE/>
              <w:autoSpaceDN/>
              <w:adjustRightInd/>
              <w:textAlignment w:val="auto"/>
              <w:rPr>
                <w:rFonts w:cs="Arial"/>
                <w:color w:val="000000"/>
                <w:sz w:val="20"/>
                <w:szCs w:val="20"/>
                <w:lang w:eastAsia="es-CO"/>
              </w:rPr>
            </w:pPr>
          </w:p>
        </w:tc>
        <w:tc>
          <w:tcPr>
            <w:tcW w:w="2452" w:type="dxa"/>
            <w:vMerge/>
            <w:tcBorders>
              <w:top w:val="nil"/>
              <w:left w:val="single" w:sz="4" w:space="0" w:color="auto"/>
              <w:bottom w:val="single" w:sz="4" w:space="0" w:color="000000"/>
              <w:right w:val="single" w:sz="4" w:space="0" w:color="auto"/>
            </w:tcBorders>
            <w:vAlign w:val="center"/>
            <w:hideMark/>
          </w:tcPr>
          <w:p w14:paraId="5B8A51FE" w14:textId="77777777" w:rsidR="00077E48" w:rsidRPr="004068F6" w:rsidRDefault="00077E48" w:rsidP="0082127E">
            <w:pPr>
              <w:overflowPunct/>
              <w:autoSpaceDE/>
              <w:autoSpaceDN/>
              <w:adjustRightInd/>
              <w:textAlignment w:val="auto"/>
              <w:rPr>
                <w:rFonts w:cs="Arial"/>
                <w:color w:val="0070C0"/>
                <w:sz w:val="20"/>
                <w:szCs w:val="20"/>
                <w:lang w:eastAsia="es-CO"/>
              </w:rPr>
            </w:pPr>
          </w:p>
        </w:tc>
      </w:tr>
      <w:tr w:rsidR="000B21E5" w:rsidRPr="004068F6" w14:paraId="1A0009C5" w14:textId="77777777" w:rsidTr="007F45D3">
        <w:trPr>
          <w:trHeight w:val="600"/>
          <w:jc w:val="center"/>
        </w:trPr>
        <w:tc>
          <w:tcPr>
            <w:tcW w:w="993" w:type="dxa"/>
            <w:vMerge/>
            <w:tcBorders>
              <w:top w:val="nil"/>
              <w:left w:val="single" w:sz="4" w:space="0" w:color="auto"/>
              <w:bottom w:val="single" w:sz="4" w:space="0" w:color="000000"/>
              <w:right w:val="single" w:sz="4" w:space="0" w:color="auto"/>
            </w:tcBorders>
            <w:vAlign w:val="center"/>
          </w:tcPr>
          <w:p w14:paraId="17DEC1E3" w14:textId="77777777" w:rsidR="000B21E5" w:rsidRPr="004068F6" w:rsidRDefault="000B21E5" w:rsidP="007F45D3">
            <w:pPr>
              <w:overflowPunct/>
              <w:autoSpaceDE/>
              <w:autoSpaceDN/>
              <w:adjustRightInd/>
              <w:jc w:val="left"/>
              <w:textAlignment w:val="auto"/>
              <w:rPr>
                <w:rFonts w:cs="Arial"/>
                <w:color w:val="000000"/>
                <w:sz w:val="20"/>
                <w:szCs w:val="20"/>
                <w:lang w:eastAsia="es-CO"/>
              </w:rPr>
            </w:pPr>
          </w:p>
        </w:tc>
        <w:tc>
          <w:tcPr>
            <w:tcW w:w="1617" w:type="dxa"/>
            <w:tcBorders>
              <w:top w:val="nil"/>
              <w:left w:val="nil"/>
              <w:bottom w:val="single" w:sz="4" w:space="0" w:color="auto"/>
              <w:right w:val="single" w:sz="4" w:space="0" w:color="auto"/>
            </w:tcBorders>
            <w:vAlign w:val="center"/>
          </w:tcPr>
          <w:p w14:paraId="57C0CDE5" w14:textId="5ACD1DA7" w:rsidR="000B21E5" w:rsidRPr="004068F6" w:rsidRDefault="007125E2" w:rsidP="007F45D3">
            <w:pPr>
              <w:overflowPunct/>
              <w:autoSpaceDE/>
              <w:autoSpaceDN/>
              <w:adjustRightInd/>
              <w:jc w:val="left"/>
              <w:textAlignment w:val="auto"/>
              <w:rPr>
                <w:rFonts w:cs="Arial"/>
                <w:color w:val="000000"/>
                <w:sz w:val="20"/>
                <w:szCs w:val="20"/>
                <w:lang w:eastAsia="es-CO"/>
              </w:rPr>
            </w:pPr>
            <w:r w:rsidRPr="007125E2">
              <w:rPr>
                <w:rFonts w:cs="Arial"/>
                <w:color w:val="000000"/>
                <w:sz w:val="20"/>
                <w:szCs w:val="20"/>
                <w:lang w:eastAsia="es-CO"/>
              </w:rPr>
              <w:t>Político-organizativo</w:t>
            </w:r>
          </w:p>
        </w:tc>
        <w:tc>
          <w:tcPr>
            <w:tcW w:w="2630" w:type="dxa"/>
            <w:vMerge/>
            <w:tcBorders>
              <w:top w:val="nil"/>
              <w:left w:val="single" w:sz="4" w:space="0" w:color="auto"/>
              <w:bottom w:val="single" w:sz="4" w:space="0" w:color="000000"/>
              <w:right w:val="single" w:sz="4" w:space="0" w:color="auto"/>
            </w:tcBorders>
            <w:vAlign w:val="center"/>
          </w:tcPr>
          <w:p w14:paraId="1AA7BF62" w14:textId="77777777" w:rsidR="000B21E5" w:rsidRPr="004068F6" w:rsidRDefault="000B21E5" w:rsidP="0082127E">
            <w:pPr>
              <w:overflowPunct/>
              <w:autoSpaceDE/>
              <w:autoSpaceDN/>
              <w:adjustRightInd/>
              <w:textAlignment w:val="auto"/>
              <w:rPr>
                <w:rFonts w:cs="Arial"/>
                <w:color w:val="000000"/>
                <w:sz w:val="20"/>
                <w:szCs w:val="20"/>
                <w:lang w:eastAsia="es-CO"/>
              </w:rPr>
            </w:pPr>
          </w:p>
        </w:tc>
        <w:tc>
          <w:tcPr>
            <w:tcW w:w="2873" w:type="dxa"/>
            <w:vMerge/>
            <w:tcBorders>
              <w:top w:val="nil"/>
              <w:left w:val="single" w:sz="4" w:space="0" w:color="auto"/>
              <w:bottom w:val="single" w:sz="4" w:space="0" w:color="000000"/>
              <w:right w:val="single" w:sz="4" w:space="0" w:color="auto"/>
            </w:tcBorders>
            <w:vAlign w:val="center"/>
          </w:tcPr>
          <w:p w14:paraId="3065C960" w14:textId="77777777" w:rsidR="000B21E5" w:rsidRPr="004068F6" w:rsidRDefault="000B21E5" w:rsidP="0082127E">
            <w:pPr>
              <w:overflowPunct/>
              <w:autoSpaceDE/>
              <w:autoSpaceDN/>
              <w:adjustRightInd/>
              <w:textAlignment w:val="auto"/>
              <w:rPr>
                <w:rFonts w:cs="Arial"/>
                <w:color w:val="000000"/>
                <w:sz w:val="20"/>
                <w:szCs w:val="20"/>
                <w:lang w:eastAsia="es-CO"/>
              </w:rPr>
            </w:pPr>
          </w:p>
        </w:tc>
        <w:tc>
          <w:tcPr>
            <w:tcW w:w="2452" w:type="dxa"/>
            <w:vMerge/>
            <w:tcBorders>
              <w:top w:val="nil"/>
              <w:left w:val="single" w:sz="4" w:space="0" w:color="auto"/>
              <w:bottom w:val="single" w:sz="4" w:space="0" w:color="000000"/>
              <w:right w:val="single" w:sz="4" w:space="0" w:color="auto"/>
            </w:tcBorders>
            <w:vAlign w:val="center"/>
          </w:tcPr>
          <w:p w14:paraId="4BEB393F" w14:textId="77777777" w:rsidR="000B21E5" w:rsidRPr="004068F6" w:rsidRDefault="000B21E5" w:rsidP="0082127E">
            <w:pPr>
              <w:overflowPunct/>
              <w:autoSpaceDE/>
              <w:autoSpaceDN/>
              <w:adjustRightInd/>
              <w:textAlignment w:val="auto"/>
              <w:rPr>
                <w:rFonts w:cs="Arial"/>
                <w:color w:val="0070C0"/>
                <w:sz w:val="20"/>
                <w:szCs w:val="20"/>
                <w:lang w:eastAsia="es-CO"/>
              </w:rPr>
            </w:pPr>
          </w:p>
        </w:tc>
      </w:tr>
      <w:tr w:rsidR="00077E48" w:rsidRPr="004068F6" w14:paraId="76683BC2" w14:textId="77777777" w:rsidTr="007F45D3">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7942533A"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nil"/>
              <w:left w:val="nil"/>
              <w:bottom w:val="single" w:sz="4" w:space="0" w:color="auto"/>
              <w:right w:val="single" w:sz="4" w:space="0" w:color="auto"/>
            </w:tcBorders>
            <w:vAlign w:val="center"/>
            <w:hideMark/>
          </w:tcPr>
          <w:p w14:paraId="007FDA73"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Económico</w:t>
            </w:r>
          </w:p>
        </w:tc>
        <w:tc>
          <w:tcPr>
            <w:tcW w:w="2630" w:type="dxa"/>
            <w:vMerge/>
            <w:tcBorders>
              <w:top w:val="nil"/>
              <w:left w:val="single" w:sz="4" w:space="0" w:color="auto"/>
              <w:bottom w:val="single" w:sz="4" w:space="0" w:color="000000"/>
              <w:right w:val="single" w:sz="4" w:space="0" w:color="auto"/>
            </w:tcBorders>
            <w:vAlign w:val="center"/>
            <w:hideMark/>
          </w:tcPr>
          <w:p w14:paraId="43EC235A" w14:textId="77777777" w:rsidR="00077E48" w:rsidRPr="004068F6" w:rsidRDefault="00077E48" w:rsidP="0082127E">
            <w:pPr>
              <w:overflowPunct/>
              <w:autoSpaceDE/>
              <w:autoSpaceDN/>
              <w:adjustRightInd/>
              <w:textAlignment w:val="auto"/>
              <w:rPr>
                <w:rFonts w:cs="Arial"/>
                <w:color w:val="000000"/>
                <w:sz w:val="20"/>
                <w:szCs w:val="20"/>
                <w:lang w:eastAsia="es-CO"/>
              </w:rPr>
            </w:pPr>
          </w:p>
        </w:tc>
        <w:tc>
          <w:tcPr>
            <w:tcW w:w="2873" w:type="dxa"/>
            <w:vMerge/>
            <w:tcBorders>
              <w:top w:val="nil"/>
              <w:left w:val="single" w:sz="4" w:space="0" w:color="auto"/>
              <w:bottom w:val="single" w:sz="4" w:space="0" w:color="000000"/>
              <w:right w:val="single" w:sz="4" w:space="0" w:color="auto"/>
            </w:tcBorders>
            <w:vAlign w:val="center"/>
            <w:hideMark/>
          </w:tcPr>
          <w:p w14:paraId="551508AA" w14:textId="77777777" w:rsidR="00077E48" w:rsidRPr="004068F6" w:rsidRDefault="00077E48" w:rsidP="0082127E">
            <w:pPr>
              <w:overflowPunct/>
              <w:autoSpaceDE/>
              <w:autoSpaceDN/>
              <w:adjustRightInd/>
              <w:textAlignment w:val="auto"/>
              <w:rPr>
                <w:rFonts w:cs="Arial"/>
                <w:color w:val="000000"/>
                <w:sz w:val="20"/>
                <w:szCs w:val="20"/>
                <w:lang w:eastAsia="es-CO"/>
              </w:rPr>
            </w:pPr>
          </w:p>
        </w:tc>
        <w:tc>
          <w:tcPr>
            <w:tcW w:w="2452" w:type="dxa"/>
            <w:vMerge/>
            <w:tcBorders>
              <w:top w:val="nil"/>
              <w:left w:val="single" w:sz="4" w:space="0" w:color="auto"/>
              <w:bottom w:val="single" w:sz="4" w:space="0" w:color="000000"/>
              <w:right w:val="single" w:sz="4" w:space="0" w:color="auto"/>
            </w:tcBorders>
            <w:vAlign w:val="center"/>
            <w:hideMark/>
          </w:tcPr>
          <w:p w14:paraId="22FA4650" w14:textId="77777777" w:rsidR="00077E48" w:rsidRPr="004068F6" w:rsidRDefault="00077E48" w:rsidP="0082127E">
            <w:pPr>
              <w:overflowPunct/>
              <w:autoSpaceDE/>
              <w:autoSpaceDN/>
              <w:adjustRightInd/>
              <w:textAlignment w:val="auto"/>
              <w:rPr>
                <w:rFonts w:cs="Arial"/>
                <w:color w:val="0070C0"/>
                <w:sz w:val="20"/>
                <w:szCs w:val="20"/>
                <w:lang w:eastAsia="es-CO"/>
              </w:rPr>
            </w:pPr>
          </w:p>
        </w:tc>
      </w:tr>
      <w:tr w:rsidR="00077E48" w:rsidRPr="004068F6" w14:paraId="2C1CDFF6" w14:textId="77777777" w:rsidTr="00E64F04">
        <w:trPr>
          <w:trHeight w:val="600"/>
          <w:jc w:val="center"/>
        </w:trPr>
        <w:tc>
          <w:tcPr>
            <w:tcW w:w="993" w:type="dxa"/>
            <w:vMerge/>
            <w:tcBorders>
              <w:top w:val="nil"/>
              <w:left w:val="single" w:sz="4" w:space="0" w:color="auto"/>
              <w:bottom w:val="single" w:sz="4" w:space="0" w:color="000000"/>
              <w:right w:val="single" w:sz="4" w:space="0" w:color="auto"/>
            </w:tcBorders>
            <w:vAlign w:val="center"/>
            <w:hideMark/>
          </w:tcPr>
          <w:p w14:paraId="17C9735F"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nil"/>
              <w:left w:val="nil"/>
              <w:bottom w:val="single" w:sz="4" w:space="0" w:color="auto"/>
              <w:right w:val="single" w:sz="4" w:space="0" w:color="auto"/>
            </w:tcBorders>
            <w:vAlign w:val="center"/>
            <w:hideMark/>
          </w:tcPr>
          <w:p w14:paraId="265BBA96"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Cultural</w:t>
            </w:r>
          </w:p>
        </w:tc>
        <w:tc>
          <w:tcPr>
            <w:tcW w:w="2630" w:type="dxa"/>
            <w:vMerge/>
            <w:tcBorders>
              <w:top w:val="nil"/>
              <w:left w:val="single" w:sz="4" w:space="0" w:color="auto"/>
              <w:bottom w:val="single" w:sz="4" w:space="0" w:color="000000"/>
              <w:right w:val="single" w:sz="4" w:space="0" w:color="auto"/>
            </w:tcBorders>
            <w:vAlign w:val="center"/>
            <w:hideMark/>
          </w:tcPr>
          <w:p w14:paraId="2811D360" w14:textId="77777777" w:rsidR="00077E48" w:rsidRPr="004068F6" w:rsidRDefault="00077E48" w:rsidP="0082127E">
            <w:pPr>
              <w:overflowPunct/>
              <w:autoSpaceDE/>
              <w:autoSpaceDN/>
              <w:adjustRightInd/>
              <w:textAlignment w:val="auto"/>
              <w:rPr>
                <w:rFonts w:cs="Arial"/>
                <w:color w:val="000000"/>
                <w:sz w:val="20"/>
                <w:szCs w:val="20"/>
                <w:lang w:eastAsia="es-CO"/>
              </w:rPr>
            </w:pPr>
          </w:p>
        </w:tc>
        <w:tc>
          <w:tcPr>
            <w:tcW w:w="2873" w:type="dxa"/>
            <w:vMerge/>
            <w:tcBorders>
              <w:top w:val="nil"/>
              <w:left w:val="single" w:sz="4" w:space="0" w:color="auto"/>
              <w:bottom w:val="single" w:sz="4" w:space="0" w:color="000000"/>
              <w:right w:val="single" w:sz="4" w:space="0" w:color="auto"/>
            </w:tcBorders>
            <w:vAlign w:val="center"/>
            <w:hideMark/>
          </w:tcPr>
          <w:p w14:paraId="4EE6DD45" w14:textId="77777777" w:rsidR="00077E48" w:rsidRPr="004068F6" w:rsidRDefault="00077E48" w:rsidP="0082127E">
            <w:pPr>
              <w:overflowPunct/>
              <w:autoSpaceDE/>
              <w:autoSpaceDN/>
              <w:adjustRightInd/>
              <w:textAlignment w:val="auto"/>
              <w:rPr>
                <w:rFonts w:cs="Arial"/>
                <w:color w:val="000000"/>
                <w:sz w:val="20"/>
                <w:szCs w:val="20"/>
                <w:lang w:eastAsia="es-CO"/>
              </w:rPr>
            </w:pPr>
          </w:p>
        </w:tc>
        <w:tc>
          <w:tcPr>
            <w:tcW w:w="2452" w:type="dxa"/>
            <w:vMerge/>
            <w:tcBorders>
              <w:top w:val="nil"/>
              <w:left w:val="single" w:sz="4" w:space="0" w:color="auto"/>
              <w:bottom w:val="single" w:sz="4" w:space="0" w:color="000000"/>
              <w:right w:val="single" w:sz="4" w:space="0" w:color="auto"/>
            </w:tcBorders>
            <w:vAlign w:val="center"/>
            <w:hideMark/>
          </w:tcPr>
          <w:p w14:paraId="09C38047" w14:textId="77777777" w:rsidR="00077E48" w:rsidRPr="004068F6" w:rsidRDefault="00077E48" w:rsidP="0082127E">
            <w:pPr>
              <w:overflowPunct/>
              <w:autoSpaceDE/>
              <w:autoSpaceDN/>
              <w:adjustRightInd/>
              <w:textAlignment w:val="auto"/>
              <w:rPr>
                <w:rFonts w:cs="Arial"/>
                <w:color w:val="0070C0"/>
                <w:sz w:val="20"/>
                <w:szCs w:val="20"/>
                <w:lang w:eastAsia="es-CO"/>
              </w:rPr>
            </w:pPr>
          </w:p>
        </w:tc>
      </w:tr>
      <w:tr w:rsidR="00077E48" w:rsidRPr="004068F6" w14:paraId="0518801C" w14:textId="77777777" w:rsidTr="00E64F04">
        <w:trPr>
          <w:trHeight w:val="600"/>
          <w:jc w:val="center"/>
        </w:trPr>
        <w:tc>
          <w:tcPr>
            <w:tcW w:w="993" w:type="dxa"/>
            <w:vMerge/>
            <w:tcBorders>
              <w:top w:val="nil"/>
              <w:left w:val="single" w:sz="4" w:space="0" w:color="auto"/>
              <w:bottom w:val="nil"/>
              <w:right w:val="single" w:sz="4" w:space="0" w:color="auto"/>
            </w:tcBorders>
            <w:vAlign w:val="center"/>
            <w:hideMark/>
          </w:tcPr>
          <w:p w14:paraId="6AC8B4BC"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p>
        </w:tc>
        <w:tc>
          <w:tcPr>
            <w:tcW w:w="1617" w:type="dxa"/>
            <w:tcBorders>
              <w:top w:val="single" w:sz="4" w:space="0" w:color="auto"/>
              <w:left w:val="nil"/>
              <w:bottom w:val="single" w:sz="4" w:space="0" w:color="auto"/>
              <w:right w:val="single" w:sz="4" w:space="0" w:color="auto"/>
            </w:tcBorders>
            <w:vAlign w:val="center"/>
            <w:hideMark/>
          </w:tcPr>
          <w:p w14:paraId="30CA7E5E" w14:textId="77777777" w:rsidR="00077E48" w:rsidRPr="004068F6" w:rsidRDefault="00077E48" w:rsidP="007F45D3">
            <w:pPr>
              <w:overflowPunct/>
              <w:autoSpaceDE/>
              <w:autoSpaceDN/>
              <w:adjustRightInd/>
              <w:jc w:val="left"/>
              <w:textAlignment w:val="auto"/>
              <w:rPr>
                <w:rFonts w:cs="Arial"/>
                <w:color w:val="000000"/>
                <w:sz w:val="20"/>
                <w:szCs w:val="20"/>
                <w:lang w:eastAsia="es-CO"/>
              </w:rPr>
            </w:pPr>
            <w:r w:rsidRPr="004068F6">
              <w:rPr>
                <w:rFonts w:cs="Arial"/>
                <w:color w:val="000000"/>
                <w:sz w:val="20"/>
                <w:szCs w:val="20"/>
                <w:lang w:eastAsia="es-CO"/>
              </w:rPr>
              <w:t>Tendencias del desarrollo</w:t>
            </w:r>
          </w:p>
        </w:tc>
        <w:tc>
          <w:tcPr>
            <w:tcW w:w="2630" w:type="dxa"/>
            <w:vMerge/>
            <w:tcBorders>
              <w:top w:val="nil"/>
              <w:left w:val="single" w:sz="4" w:space="0" w:color="auto"/>
              <w:bottom w:val="nil"/>
              <w:right w:val="single" w:sz="4" w:space="0" w:color="auto"/>
            </w:tcBorders>
            <w:vAlign w:val="center"/>
            <w:hideMark/>
          </w:tcPr>
          <w:p w14:paraId="635EAF8B" w14:textId="77777777" w:rsidR="00077E48" w:rsidRPr="004068F6" w:rsidRDefault="00077E48" w:rsidP="0082127E">
            <w:pPr>
              <w:overflowPunct/>
              <w:autoSpaceDE/>
              <w:autoSpaceDN/>
              <w:adjustRightInd/>
              <w:textAlignment w:val="auto"/>
              <w:rPr>
                <w:rFonts w:cs="Arial"/>
                <w:color w:val="000000"/>
                <w:sz w:val="20"/>
                <w:szCs w:val="20"/>
                <w:lang w:eastAsia="es-CO"/>
              </w:rPr>
            </w:pPr>
          </w:p>
        </w:tc>
        <w:tc>
          <w:tcPr>
            <w:tcW w:w="2873" w:type="dxa"/>
            <w:vMerge/>
            <w:tcBorders>
              <w:top w:val="nil"/>
              <w:left w:val="single" w:sz="4" w:space="0" w:color="auto"/>
              <w:bottom w:val="nil"/>
              <w:right w:val="single" w:sz="4" w:space="0" w:color="auto"/>
            </w:tcBorders>
            <w:vAlign w:val="center"/>
            <w:hideMark/>
          </w:tcPr>
          <w:p w14:paraId="428147B4" w14:textId="77777777" w:rsidR="00077E48" w:rsidRPr="004068F6" w:rsidRDefault="00077E48" w:rsidP="0082127E">
            <w:pPr>
              <w:overflowPunct/>
              <w:autoSpaceDE/>
              <w:autoSpaceDN/>
              <w:adjustRightInd/>
              <w:textAlignment w:val="auto"/>
              <w:rPr>
                <w:rFonts w:cs="Arial"/>
                <w:color w:val="000000"/>
                <w:sz w:val="20"/>
                <w:szCs w:val="20"/>
                <w:lang w:eastAsia="es-CO"/>
              </w:rPr>
            </w:pPr>
          </w:p>
        </w:tc>
        <w:tc>
          <w:tcPr>
            <w:tcW w:w="2452" w:type="dxa"/>
            <w:vMerge/>
            <w:tcBorders>
              <w:top w:val="nil"/>
              <w:left w:val="single" w:sz="4" w:space="0" w:color="auto"/>
              <w:bottom w:val="nil"/>
              <w:right w:val="single" w:sz="4" w:space="0" w:color="auto"/>
            </w:tcBorders>
            <w:vAlign w:val="center"/>
            <w:hideMark/>
          </w:tcPr>
          <w:p w14:paraId="74A8A6EB" w14:textId="77777777" w:rsidR="00077E48" w:rsidRPr="004068F6" w:rsidRDefault="00077E48" w:rsidP="0082127E">
            <w:pPr>
              <w:overflowPunct/>
              <w:autoSpaceDE/>
              <w:autoSpaceDN/>
              <w:adjustRightInd/>
              <w:textAlignment w:val="auto"/>
              <w:rPr>
                <w:rFonts w:cs="Arial"/>
                <w:color w:val="0070C0"/>
                <w:sz w:val="20"/>
                <w:szCs w:val="20"/>
                <w:lang w:eastAsia="es-CO"/>
              </w:rPr>
            </w:pPr>
          </w:p>
        </w:tc>
      </w:tr>
      <w:tr w:rsidR="00067CF3" w:rsidRPr="004068F6" w14:paraId="11FEA122" w14:textId="77777777" w:rsidTr="00E64F04">
        <w:trPr>
          <w:trHeight w:val="600"/>
          <w:jc w:val="center"/>
        </w:trPr>
        <w:tc>
          <w:tcPr>
            <w:tcW w:w="993" w:type="dxa"/>
            <w:tcBorders>
              <w:top w:val="nil"/>
              <w:left w:val="single" w:sz="4" w:space="0" w:color="auto"/>
              <w:bottom w:val="single" w:sz="4" w:space="0" w:color="000000"/>
              <w:right w:val="single" w:sz="4" w:space="0" w:color="auto"/>
            </w:tcBorders>
            <w:vAlign w:val="center"/>
          </w:tcPr>
          <w:p w14:paraId="79CF3999" w14:textId="77777777" w:rsidR="00067CF3" w:rsidRPr="004068F6" w:rsidRDefault="00067CF3" w:rsidP="007F45D3">
            <w:pPr>
              <w:overflowPunct/>
              <w:autoSpaceDE/>
              <w:autoSpaceDN/>
              <w:adjustRightInd/>
              <w:jc w:val="left"/>
              <w:textAlignment w:val="auto"/>
              <w:rPr>
                <w:rFonts w:cs="Arial"/>
                <w:color w:val="000000"/>
                <w:sz w:val="20"/>
                <w:szCs w:val="20"/>
                <w:lang w:eastAsia="es-CO"/>
              </w:rPr>
            </w:pPr>
          </w:p>
        </w:tc>
        <w:tc>
          <w:tcPr>
            <w:tcW w:w="1617" w:type="dxa"/>
            <w:tcBorders>
              <w:top w:val="single" w:sz="4" w:space="0" w:color="auto"/>
              <w:left w:val="nil"/>
              <w:bottom w:val="single" w:sz="4" w:space="0" w:color="auto"/>
              <w:right w:val="single" w:sz="4" w:space="0" w:color="auto"/>
            </w:tcBorders>
            <w:vAlign w:val="center"/>
          </w:tcPr>
          <w:p w14:paraId="1DE197B3" w14:textId="6194F345" w:rsidR="00067CF3" w:rsidRPr="004068F6" w:rsidRDefault="00A17A41" w:rsidP="007F45D3">
            <w:pPr>
              <w:overflowPunct/>
              <w:autoSpaceDE/>
              <w:autoSpaceDN/>
              <w:adjustRightInd/>
              <w:jc w:val="left"/>
              <w:textAlignment w:val="auto"/>
              <w:rPr>
                <w:rFonts w:cs="Arial"/>
                <w:color w:val="000000"/>
                <w:sz w:val="20"/>
                <w:szCs w:val="20"/>
                <w:lang w:eastAsia="es-CO"/>
              </w:rPr>
            </w:pPr>
            <w:r w:rsidRPr="00A17A41">
              <w:rPr>
                <w:rFonts w:cs="Arial"/>
                <w:color w:val="000000"/>
                <w:sz w:val="20"/>
                <w:szCs w:val="20"/>
                <w:lang w:eastAsia="es-CO"/>
              </w:rPr>
              <w:t>Conflictividad socioambiental</w:t>
            </w:r>
          </w:p>
        </w:tc>
        <w:tc>
          <w:tcPr>
            <w:tcW w:w="2630" w:type="dxa"/>
            <w:tcBorders>
              <w:top w:val="nil"/>
              <w:left w:val="single" w:sz="4" w:space="0" w:color="auto"/>
              <w:bottom w:val="single" w:sz="4" w:space="0" w:color="000000"/>
              <w:right w:val="single" w:sz="4" w:space="0" w:color="auto"/>
            </w:tcBorders>
            <w:vAlign w:val="center"/>
          </w:tcPr>
          <w:p w14:paraId="72855DE7" w14:textId="77777777" w:rsidR="00067CF3" w:rsidRPr="004068F6" w:rsidRDefault="00067CF3" w:rsidP="0082127E">
            <w:pPr>
              <w:overflowPunct/>
              <w:autoSpaceDE/>
              <w:autoSpaceDN/>
              <w:adjustRightInd/>
              <w:textAlignment w:val="auto"/>
              <w:rPr>
                <w:rFonts w:cs="Arial"/>
                <w:color w:val="000000"/>
                <w:sz w:val="20"/>
                <w:szCs w:val="20"/>
                <w:lang w:eastAsia="es-CO"/>
              </w:rPr>
            </w:pPr>
          </w:p>
        </w:tc>
        <w:tc>
          <w:tcPr>
            <w:tcW w:w="2873" w:type="dxa"/>
            <w:tcBorders>
              <w:top w:val="nil"/>
              <w:left w:val="single" w:sz="4" w:space="0" w:color="auto"/>
              <w:bottom w:val="single" w:sz="4" w:space="0" w:color="000000"/>
              <w:right w:val="single" w:sz="4" w:space="0" w:color="auto"/>
            </w:tcBorders>
            <w:vAlign w:val="center"/>
          </w:tcPr>
          <w:p w14:paraId="017069BF" w14:textId="77777777" w:rsidR="00067CF3" w:rsidRPr="004068F6" w:rsidRDefault="00067CF3" w:rsidP="0082127E">
            <w:pPr>
              <w:overflowPunct/>
              <w:autoSpaceDE/>
              <w:autoSpaceDN/>
              <w:adjustRightInd/>
              <w:textAlignment w:val="auto"/>
              <w:rPr>
                <w:rFonts w:cs="Arial"/>
                <w:color w:val="000000"/>
                <w:sz w:val="20"/>
                <w:szCs w:val="20"/>
                <w:lang w:eastAsia="es-CO"/>
              </w:rPr>
            </w:pPr>
          </w:p>
        </w:tc>
        <w:tc>
          <w:tcPr>
            <w:tcW w:w="2452" w:type="dxa"/>
            <w:tcBorders>
              <w:top w:val="nil"/>
              <w:left w:val="single" w:sz="4" w:space="0" w:color="auto"/>
              <w:bottom w:val="single" w:sz="4" w:space="0" w:color="000000"/>
              <w:right w:val="single" w:sz="4" w:space="0" w:color="auto"/>
            </w:tcBorders>
            <w:vAlign w:val="center"/>
          </w:tcPr>
          <w:p w14:paraId="50957D8E" w14:textId="77777777" w:rsidR="00067CF3" w:rsidRPr="004068F6" w:rsidRDefault="00067CF3" w:rsidP="0082127E">
            <w:pPr>
              <w:overflowPunct/>
              <w:autoSpaceDE/>
              <w:autoSpaceDN/>
              <w:adjustRightInd/>
              <w:textAlignment w:val="auto"/>
              <w:rPr>
                <w:rFonts w:cs="Arial"/>
                <w:color w:val="0070C0"/>
                <w:sz w:val="20"/>
                <w:szCs w:val="20"/>
                <w:lang w:eastAsia="es-CO"/>
              </w:rPr>
            </w:pPr>
          </w:p>
        </w:tc>
      </w:tr>
    </w:tbl>
    <w:p w14:paraId="17F75385" w14:textId="6152A5AE" w:rsidR="00077E48" w:rsidRPr="004068F6" w:rsidRDefault="00077E48" w:rsidP="00077E48">
      <w:pPr>
        <w:numPr>
          <w:ilvl w:val="12"/>
          <w:numId w:val="0"/>
        </w:numPr>
        <w:tabs>
          <w:tab w:val="left" w:pos="-2268"/>
        </w:tabs>
        <w:suppressAutoHyphens/>
        <w:rPr>
          <w:rFonts w:cs="Arial"/>
          <w:spacing w:val="-3"/>
          <w:sz w:val="20"/>
          <w:szCs w:val="20"/>
        </w:rPr>
      </w:pPr>
      <w:r w:rsidRPr="004068F6">
        <w:rPr>
          <w:rFonts w:cs="Arial"/>
          <w:spacing w:val="-3"/>
          <w:sz w:val="20"/>
          <w:szCs w:val="20"/>
        </w:rPr>
        <w:t>Las fuentes de información secundaria pueden emplearse para delimitar el área de influencia preliminar o para delimitar el</w:t>
      </w:r>
      <w:r w:rsidR="0072054C" w:rsidRPr="004068F6">
        <w:rPr>
          <w:rFonts w:cs="Arial"/>
          <w:spacing w:val="-3"/>
          <w:sz w:val="20"/>
          <w:szCs w:val="20"/>
        </w:rPr>
        <w:t xml:space="preserve"> </w:t>
      </w:r>
      <w:r w:rsidRPr="004068F6">
        <w:rPr>
          <w:rFonts w:cs="Arial"/>
          <w:spacing w:val="-3"/>
          <w:sz w:val="20"/>
          <w:szCs w:val="20"/>
        </w:rPr>
        <w:t xml:space="preserve">área de influencia definitiva en caso de que su información presente la calidad requerida en los términos de referencia. </w:t>
      </w:r>
      <w:r w:rsidR="001470C2" w:rsidRPr="004068F6">
        <w:rPr>
          <w:rFonts w:cs="Arial"/>
          <w:spacing w:val="-3"/>
          <w:sz w:val="20"/>
          <w:szCs w:val="20"/>
        </w:rPr>
        <w:t xml:space="preserve">Si la información secundaria no cumple </w:t>
      </w:r>
      <w:r w:rsidR="008A01AA" w:rsidRPr="004068F6">
        <w:rPr>
          <w:rFonts w:cs="Arial"/>
          <w:spacing w:val="-3"/>
          <w:sz w:val="20"/>
          <w:szCs w:val="20"/>
        </w:rPr>
        <w:t>con l</w:t>
      </w:r>
      <w:r w:rsidR="00330081" w:rsidRPr="004068F6">
        <w:rPr>
          <w:rFonts w:cs="Arial"/>
          <w:spacing w:val="-3"/>
          <w:sz w:val="20"/>
          <w:szCs w:val="20"/>
        </w:rPr>
        <w:t>os</w:t>
      </w:r>
      <w:r w:rsidR="008A01AA" w:rsidRPr="004068F6">
        <w:rPr>
          <w:rFonts w:cs="Arial"/>
          <w:spacing w:val="-3"/>
          <w:sz w:val="20"/>
          <w:szCs w:val="20"/>
        </w:rPr>
        <w:t xml:space="preserve"> requerimientos de calidad</w:t>
      </w:r>
      <w:r w:rsidRPr="004068F6">
        <w:rPr>
          <w:rFonts w:cs="Arial"/>
          <w:spacing w:val="-3"/>
          <w:sz w:val="20"/>
          <w:szCs w:val="20"/>
        </w:rPr>
        <w:t>, las unidades de análisis y criterios de conformación (elementos espaciales que permiten conformar unidades de análisis) deben ser establecidos mediante información primaria revisada, procesada y verificada.</w:t>
      </w:r>
    </w:p>
    <w:p w14:paraId="064BC247" w14:textId="77777777" w:rsidR="00077E48" w:rsidRPr="004068F6" w:rsidRDefault="00077E48" w:rsidP="00077E48">
      <w:pPr>
        <w:numPr>
          <w:ilvl w:val="12"/>
          <w:numId w:val="0"/>
        </w:numPr>
        <w:tabs>
          <w:tab w:val="left" w:pos="-2268"/>
        </w:tabs>
        <w:suppressAutoHyphens/>
        <w:rPr>
          <w:rFonts w:cs="Arial"/>
          <w:spacing w:val="-3"/>
        </w:rPr>
      </w:pPr>
    </w:p>
    <w:p w14:paraId="6913D3C8" w14:textId="4E08526A" w:rsidR="00BC4E0B" w:rsidRPr="004068F6" w:rsidRDefault="00965EC6" w:rsidP="00077E48">
      <w:pPr>
        <w:numPr>
          <w:ilvl w:val="12"/>
          <w:numId w:val="0"/>
        </w:numPr>
        <w:tabs>
          <w:tab w:val="left" w:pos="-2268"/>
        </w:tabs>
        <w:suppressAutoHyphens/>
        <w:rPr>
          <w:rFonts w:cs="Arial"/>
          <w:spacing w:val="-3"/>
        </w:rPr>
      </w:pPr>
      <w:r w:rsidRPr="004068F6">
        <w:rPr>
          <w:rFonts w:cs="Arial"/>
          <w:spacing w:val="-3"/>
        </w:rPr>
        <w:lastRenderedPageBreak/>
        <w:t xml:space="preserve">No todos los componentes del ambiente tienen unidades de análisis cuyos límites geográficos puedan definirse </w:t>
      </w:r>
      <w:r w:rsidR="0038519D" w:rsidRPr="004068F6">
        <w:rPr>
          <w:rFonts w:cs="Arial"/>
          <w:spacing w:val="-3"/>
        </w:rPr>
        <w:t>a primera vista</w:t>
      </w:r>
      <w:r w:rsidRPr="004068F6">
        <w:rPr>
          <w:rFonts w:cs="Arial"/>
          <w:spacing w:val="-3"/>
        </w:rPr>
        <w:t xml:space="preserve"> o referirse a accidentes geográficos o </w:t>
      </w:r>
      <w:r w:rsidR="00232098" w:rsidRPr="004068F6">
        <w:rPr>
          <w:rFonts w:cs="Arial"/>
          <w:spacing w:val="-3"/>
        </w:rPr>
        <w:t xml:space="preserve">a </w:t>
      </w:r>
      <w:r w:rsidRPr="004068F6">
        <w:rPr>
          <w:rFonts w:cs="Arial"/>
          <w:spacing w:val="-3"/>
        </w:rPr>
        <w:t xml:space="preserve">límites </w:t>
      </w:r>
      <w:r w:rsidR="0038519D" w:rsidRPr="004068F6">
        <w:rPr>
          <w:rFonts w:cs="Arial"/>
          <w:spacing w:val="-3"/>
        </w:rPr>
        <w:t xml:space="preserve">socialmente </w:t>
      </w:r>
      <w:r w:rsidRPr="004068F6">
        <w:rPr>
          <w:rFonts w:cs="Arial"/>
          <w:spacing w:val="-3"/>
        </w:rPr>
        <w:t xml:space="preserve">establecidos, pues </w:t>
      </w:r>
      <w:r w:rsidR="00232098" w:rsidRPr="004068F6">
        <w:rPr>
          <w:rFonts w:cs="Arial"/>
          <w:spacing w:val="-3"/>
        </w:rPr>
        <w:t xml:space="preserve">algunos de ellos </w:t>
      </w:r>
      <w:r w:rsidR="0038519D" w:rsidRPr="004068F6">
        <w:rPr>
          <w:rFonts w:cs="Arial"/>
          <w:spacing w:val="-3"/>
        </w:rPr>
        <w:t xml:space="preserve">no son </w:t>
      </w:r>
      <w:r w:rsidRPr="004068F6">
        <w:rPr>
          <w:rFonts w:cs="Arial"/>
          <w:spacing w:val="-3"/>
        </w:rPr>
        <w:t>temporal ni espacialmente estáticos y</w:t>
      </w:r>
      <w:r w:rsidR="0038519D" w:rsidRPr="004068F6">
        <w:rPr>
          <w:rFonts w:cs="Arial"/>
          <w:spacing w:val="-3"/>
        </w:rPr>
        <w:t>,</w:t>
      </w:r>
      <w:r w:rsidRPr="004068F6">
        <w:rPr>
          <w:rFonts w:cs="Arial"/>
          <w:spacing w:val="-3"/>
        </w:rPr>
        <w:t xml:space="preserve"> por el contrario</w:t>
      </w:r>
      <w:r w:rsidR="0038519D" w:rsidRPr="004068F6">
        <w:rPr>
          <w:rFonts w:cs="Arial"/>
          <w:spacing w:val="-3"/>
        </w:rPr>
        <w:t>,</w:t>
      </w:r>
      <w:r w:rsidRPr="004068F6">
        <w:rPr>
          <w:rFonts w:cs="Arial"/>
          <w:spacing w:val="-3"/>
        </w:rPr>
        <w:t xml:space="preserve"> cambian rápidamente</w:t>
      </w:r>
      <w:r w:rsidR="00D82247" w:rsidRPr="004068F6">
        <w:rPr>
          <w:rFonts w:cs="Arial"/>
          <w:spacing w:val="-3"/>
        </w:rPr>
        <w:t>, tal</w:t>
      </w:r>
      <w:r w:rsidRPr="004068F6">
        <w:rPr>
          <w:rFonts w:cs="Arial"/>
          <w:spacing w:val="-3"/>
        </w:rPr>
        <w:t xml:space="preserve"> como </w:t>
      </w:r>
      <w:r w:rsidR="0038519D" w:rsidRPr="004068F6">
        <w:rPr>
          <w:rFonts w:cs="Arial"/>
          <w:spacing w:val="-3"/>
        </w:rPr>
        <w:t xml:space="preserve">sucede con la </w:t>
      </w:r>
      <w:r w:rsidRPr="004068F6">
        <w:rPr>
          <w:rFonts w:cs="Arial"/>
          <w:spacing w:val="-3"/>
        </w:rPr>
        <w:t>atmósfera o los cuerpos de agua</w:t>
      </w:r>
      <w:r w:rsidR="0038519D" w:rsidRPr="004068F6">
        <w:rPr>
          <w:rFonts w:cs="Arial"/>
          <w:spacing w:val="-3"/>
        </w:rPr>
        <w:t>, por ejemplo</w:t>
      </w:r>
      <w:r w:rsidRPr="004068F6">
        <w:rPr>
          <w:rFonts w:cs="Arial"/>
          <w:spacing w:val="-3"/>
        </w:rPr>
        <w:t xml:space="preserve">. En tales casos, la </w:t>
      </w:r>
      <w:r w:rsidR="004109BE" w:rsidRPr="004068F6">
        <w:rPr>
          <w:rFonts w:cs="Arial"/>
          <w:spacing w:val="-3"/>
        </w:rPr>
        <w:t>determinación del tipo de unidad de análisis</w:t>
      </w:r>
      <w:r w:rsidR="00232098" w:rsidRPr="004068F6">
        <w:rPr>
          <w:rFonts w:cs="Arial"/>
          <w:spacing w:val="-3"/>
        </w:rPr>
        <w:t>,</w:t>
      </w:r>
      <w:r w:rsidR="004109BE" w:rsidRPr="004068F6">
        <w:rPr>
          <w:rFonts w:cs="Arial"/>
          <w:spacing w:val="-3"/>
        </w:rPr>
        <w:t xml:space="preserve"> </w:t>
      </w:r>
      <w:r w:rsidR="007F5A26" w:rsidRPr="004068F6">
        <w:rPr>
          <w:rFonts w:cs="Arial"/>
          <w:spacing w:val="-3"/>
        </w:rPr>
        <w:t xml:space="preserve">la </w:t>
      </w:r>
      <w:r w:rsidR="004109BE" w:rsidRPr="004068F6">
        <w:rPr>
          <w:rFonts w:cs="Arial"/>
          <w:spacing w:val="-3"/>
        </w:rPr>
        <w:t xml:space="preserve">conformación </w:t>
      </w:r>
      <w:r w:rsidR="007F5A26" w:rsidRPr="004068F6">
        <w:rPr>
          <w:rFonts w:cs="Arial"/>
          <w:spacing w:val="-3"/>
        </w:rPr>
        <w:t xml:space="preserve">de éstas </w:t>
      </w:r>
      <w:r w:rsidR="004109BE" w:rsidRPr="004068F6">
        <w:rPr>
          <w:rFonts w:cs="Arial"/>
          <w:spacing w:val="-3"/>
        </w:rPr>
        <w:t xml:space="preserve">mediante criterios y la identificación de </w:t>
      </w:r>
      <w:r w:rsidR="00232098" w:rsidRPr="004068F6">
        <w:rPr>
          <w:rFonts w:cs="Arial"/>
          <w:spacing w:val="-3"/>
        </w:rPr>
        <w:t xml:space="preserve">las </w:t>
      </w:r>
      <w:r w:rsidR="004109BE" w:rsidRPr="004068F6">
        <w:rPr>
          <w:rFonts w:cs="Arial"/>
          <w:spacing w:val="-3"/>
        </w:rPr>
        <w:t>unidades de análisis en las que se manifiestan los impactos ambientales significativos</w:t>
      </w:r>
      <w:r w:rsidR="007F5A26" w:rsidRPr="004068F6">
        <w:rPr>
          <w:rFonts w:cs="Arial"/>
          <w:spacing w:val="-3"/>
        </w:rPr>
        <w:t xml:space="preserve">, pasos b), c) y d) del procedimiento descrito anteriormente, son actividades que </w:t>
      </w:r>
      <w:r w:rsidR="004109BE" w:rsidRPr="004068F6">
        <w:rPr>
          <w:rFonts w:cs="Arial"/>
          <w:spacing w:val="-3"/>
        </w:rPr>
        <w:t>se realiza</w:t>
      </w:r>
      <w:r w:rsidR="007F5A26" w:rsidRPr="004068F6">
        <w:rPr>
          <w:rFonts w:cs="Arial"/>
          <w:spacing w:val="-3"/>
        </w:rPr>
        <w:t>n</w:t>
      </w:r>
      <w:r w:rsidR="004109BE" w:rsidRPr="004068F6">
        <w:rPr>
          <w:rFonts w:cs="Arial"/>
          <w:spacing w:val="-3"/>
        </w:rPr>
        <w:t xml:space="preserve"> a la vez mediante modelizaciones</w:t>
      </w:r>
      <w:r w:rsidR="007F5A26" w:rsidRPr="004068F6">
        <w:rPr>
          <w:rFonts w:cs="Arial"/>
          <w:spacing w:val="-3"/>
        </w:rPr>
        <w:t>.</w:t>
      </w:r>
    </w:p>
    <w:p w14:paraId="0A8D70FE" w14:textId="77777777" w:rsidR="00BC4E0B" w:rsidRPr="004068F6" w:rsidRDefault="00BC4E0B" w:rsidP="00077E48">
      <w:pPr>
        <w:numPr>
          <w:ilvl w:val="12"/>
          <w:numId w:val="0"/>
        </w:numPr>
        <w:tabs>
          <w:tab w:val="left" w:pos="-2268"/>
        </w:tabs>
        <w:suppressAutoHyphens/>
        <w:rPr>
          <w:rFonts w:cs="Arial"/>
          <w:spacing w:val="-3"/>
        </w:rPr>
      </w:pPr>
    </w:p>
    <w:p w14:paraId="3E0ED812" w14:textId="5723AD68" w:rsidR="00965EC6" w:rsidRPr="004068F6" w:rsidRDefault="00BC4E0B" w:rsidP="00077E48">
      <w:pPr>
        <w:numPr>
          <w:ilvl w:val="12"/>
          <w:numId w:val="0"/>
        </w:numPr>
        <w:tabs>
          <w:tab w:val="left" w:pos="-2268"/>
        </w:tabs>
        <w:suppressAutoHyphens/>
        <w:rPr>
          <w:rFonts w:cs="Arial"/>
          <w:spacing w:val="-3"/>
        </w:rPr>
      </w:pPr>
      <w:r w:rsidRPr="004068F6">
        <w:rPr>
          <w:rFonts w:cs="Arial"/>
          <w:spacing w:val="-3"/>
        </w:rPr>
        <w:t>Est</w:t>
      </w:r>
      <w:r w:rsidR="007F5A26" w:rsidRPr="004068F6">
        <w:rPr>
          <w:rFonts w:cs="Arial"/>
          <w:spacing w:val="-3"/>
        </w:rPr>
        <w:t>os</w:t>
      </w:r>
      <w:r w:rsidRPr="004068F6">
        <w:rPr>
          <w:rFonts w:cs="Arial"/>
          <w:spacing w:val="-3"/>
        </w:rPr>
        <w:t xml:space="preserve"> </w:t>
      </w:r>
      <w:r w:rsidR="00232098" w:rsidRPr="004068F6">
        <w:rPr>
          <w:rFonts w:cs="Arial"/>
          <w:spacing w:val="-3"/>
        </w:rPr>
        <w:t>proceso</w:t>
      </w:r>
      <w:r w:rsidR="007F5A26" w:rsidRPr="004068F6">
        <w:rPr>
          <w:rFonts w:cs="Arial"/>
          <w:spacing w:val="-3"/>
        </w:rPr>
        <w:t>s</w:t>
      </w:r>
      <w:r w:rsidR="00232098" w:rsidRPr="004068F6">
        <w:rPr>
          <w:rFonts w:cs="Arial"/>
          <w:spacing w:val="-3"/>
        </w:rPr>
        <w:t xml:space="preserve"> de modelización debe</w:t>
      </w:r>
      <w:r w:rsidR="007F5A26" w:rsidRPr="004068F6">
        <w:rPr>
          <w:rFonts w:cs="Arial"/>
          <w:spacing w:val="-3"/>
        </w:rPr>
        <w:t>n</w:t>
      </w:r>
      <w:r w:rsidR="00232098" w:rsidRPr="004068F6">
        <w:rPr>
          <w:rFonts w:cs="Arial"/>
          <w:spacing w:val="-3"/>
        </w:rPr>
        <w:t xml:space="preserve"> </w:t>
      </w:r>
      <w:r w:rsidR="004109BE" w:rsidRPr="004068F6">
        <w:rPr>
          <w:rFonts w:cs="Arial"/>
          <w:spacing w:val="-3"/>
        </w:rPr>
        <w:t>emple</w:t>
      </w:r>
      <w:r w:rsidR="00232098" w:rsidRPr="004068F6">
        <w:rPr>
          <w:rFonts w:cs="Arial"/>
          <w:spacing w:val="-3"/>
        </w:rPr>
        <w:t xml:space="preserve">ar </w:t>
      </w:r>
      <w:r w:rsidR="004109BE" w:rsidRPr="004068F6">
        <w:rPr>
          <w:rFonts w:cs="Arial"/>
          <w:spacing w:val="-3"/>
        </w:rPr>
        <w:t xml:space="preserve">variables que </w:t>
      </w:r>
      <w:r w:rsidR="00232098" w:rsidRPr="004068F6">
        <w:rPr>
          <w:rFonts w:cs="Arial"/>
          <w:spacing w:val="-3"/>
        </w:rPr>
        <w:t>capturen el dinamismo de los elementos del ambiente en cuestión y</w:t>
      </w:r>
      <w:r w:rsidR="003F430A" w:rsidRPr="004068F6">
        <w:rPr>
          <w:rFonts w:cs="Arial"/>
          <w:spacing w:val="-3"/>
        </w:rPr>
        <w:t>,</w:t>
      </w:r>
      <w:r w:rsidR="00232098" w:rsidRPr="004068F6">
        <w:rPr>
          <w:rFonts w:cs="Arial"/>
          <w:spacing w:val="-3"/>
        </w:rPr>
        <w:t xml:space="preserve"> a partir de éste</w:t>
      </w:r>
      <w:r w:rsidRPr="004068F6">
        <w:rPr>
          <w:rFonts w:cs="Arial"/>
          <w:spacing w:val="-3"/>
        </w:rPr>
        <w:t xml:space="preserve"> y de las características y localización otros elementos del ambiente relacionados y de las actividades</w:t>
      </w:r>
      <w:r w:rsidR="007F5A26" w:rsidRPr="004068F6">
        <w:rPr>
          <w:rFonts w:cs="Arial"/>
          <w:spacing w:val="-3"/>
        </w:rPr>
        <w:t>, obras</w:t>
      </w:r>
      <w:r w:rsidRPr="004068F6">
        <w:rPr>
          <w:rFonts w:cs="Arial"/>
          <w:spacing w:val="-3"/>
        </w:rPr>
        <w:t xml:space="preserve"> e infraestructuras del proyecto</w:t>
      </w:r>
      <w:r w:rsidR="00232098" w:rsidRPr="004068F6">
        <w:rPr>
          <w:rFonts w:cs="Arial"/>
          <w:spacing w:val="-3"/>
        </w:rPr>
        <w:t xml:space="preserve">, </w:t>
      </w:r>
      <w:r w:rsidR="007F5A26" w:rsidRPr="004068F6">
        <w:rPr>
          <w:rFonts w:cs="Arial"/>
          <w:spacing w:val="-3"/>
        </w:rPr>
        <w:t xml:space="preserve">permitan </w:t>
      </w:r>
      <w:r w:rsidR="00232098" w:rsidRPr="004068F6">
        <w:rPr>
          <w:rFonts w:cs="Arial"/>
          <w:spacing w:val="-3"/>
        </w:rPr>
        <w:t>señal</w:t>
      </w:r>
      <w:r w:rsidR="007F5A26" w:rsidRPr="004068F6">
        <w:rPr>
          <w:rFonts w:cs="Arial"/>
          <w:spacing w:val="-3"/>
        </w:rPr>
        <w:t>ar</w:t>
      </w:r>
      <w:r w:rsidR="00232098" w:rsidRPr="004068F6">
        <w:rPr>
          <w:rFonts w:cs="Arial"/>
          <w:spacing w:val="-3"/>
        </w:rPr>
        <w:t xml:space="preserve"> en dónde se manifiestan los impactos </w:t>
      </w:r>
      <w:r w:rsidR="007F5A26" w:rsidRPr="004068F6">
        <w:rPr>
          <w:rFonts w:cs="Arial"/>
          <w:spacing w:val="-3"/>
        </w:rPr>
        <w:t xml:space="preserve">ambientales </w:t>
      </w:r>
      <w:r w:rsidR="00232098" w:rsidRPr="004068F6">
        <w:rPr>
          <w:rFonts w:cs="Arial"/>
          <w:spacing w:val="-3"/>
        </w:rPr>
        <w:t>significativos</w:t>
      </w:r>
      <w:r w:rsidR="004109BE" w:rsidRPr="004068F6">
        <w:rPr>
          <w:rFonts w:cs="Arial"/>
          <w:spacing w:val="-3"/>
        </w:rPr>
        <w:t>.</w:t>
      </w:r>
    </w:p>
    <w:p w14:paraId="13FC822F" w14:textId="77777777" w:rsidR="00965EC6" w:rsidRPr="004068F6" w:rsidRDefault="00965EC6" w:rsidP="00077E48">
      <w:pPr>
        <w:numPr>
          <w:ilvl w:val="12"/>
          <w:numId w:val="0"/>
        </w:numPr>
        <w:tabs>
          <w:tab w:val="left" w:pos="-2268"/>
        </w:tabs>
        <w:suppressAutoHyphens/>
        <w:rPr>
          <w:rFonts w:cs="Arial"/>
          <w:spacing w:val="-3"/>
        </w:rPr>
      </w:pPr>
    </w:p>
    <w:p w14:paraId="2368D0AC" w14:textId="5A83F936" w:rsidR="00077E48" w:rsidRPr="004068F6" w:rsidRDefault="00077E48" w:rsidP="00077E48">
      <w:pPr>
        <w:numPr>
          <w:ilvl w:val="12"/>
          <w:numId w:val="0"/>
        </w:numPr>
        <w:tabs>
          <w:tab w:val="left" w:pos="-2268"/>
        </w:tabs>
        <w:suppressAutoHyphens/>
        <w:rPr>
          <w:rFonts w:cs="Arial"/>
        </w:rPr>
      </w:pPr>
      <w:r w:rsidRPr="004068F6">
        <w:rPr>
          <w:rFonts w:cs="Arial"/>
          <w:spacing w:val="-3"/>
        </w:rPr>
        <w:t xml:space="preserve">En los numerales que siguen a continuación, se presentan lineamientos que orientan la </w:t>
      </w:r>
      <w:r w:rsidR="00A51056" w:rsidRPr="004068F6">
        <w:rPr>
          <w:rFonts w:cs="Arial"/>
          <w:spacing w:val="-3"/>
        </w:rPr>
        <w:t xml:space="preserve">determinación </w:t>
      </w:r>
      <w:r w:rsidRPr="004068F6">
        <w:rPr>
          <w:rFonts w:cs="Arial"/>
          <w:spacing w:val="-3"/>
        </w:rPr>
        <w:t xml:space="preserve">de las unidades de análisis de algunos de los componentes de los medios abiótico, biótico y socioeconómico en las que se presentan impactos ambientales significativos, teniendo en cuenta que siempre se debe tomar como punto de referencia los escenarios más críticos de manifestación y trascendencia de los impactos ambientales significativos asociados </w:t>
      </w:r>
      <w:r w:rsidR="00733FEA" w:rsidRPr="004068F6">
        <w:rPr>
          <w:rFonts w:cs="Arial"/>
          <w:spacing w:val="-3"/>
        </w:rPr>
        <w:t>a</w:t>
      </w:r>
      <w:r w:rsidRPr="004068F6">
        <w:rPr>
          <w:rFonts w:cs="Arial"/>
          <w:spacing w:val="-3"/>
        </w:rPr>
        <w:t>l proyecto, obra o actividad.</w:t>
      </w:r>
    </w:p>
    <w:p w14:paraId="274544EA" w14:textId="77777777" w:rsidR="006C337B" w:rsidRPr="004068F6" w:rsidRDefault="006C337B" w:rsidP="009420F5">
      <w:pPr>
        <w:numPr>
          <w:ilvl w:val="12"/>
          <w:numId w:val="0"/>
        </w:numPr>
        <w:tabs>
          <w:tab w:val="left" w:pos="-2268"/>
        </w:tabs>
        <w:suppressAutoHyphens/>
        <w:rPr>
          <w:rFonts w:cs="Arial"/>
          <w:spacing w:val="-3"/>
        </w:rPr>
      </w:pPr>
    </w:p>
    <w:p w14:paraId="0833B854" w14:textId="710101E1" w:rsidR="00077E48" w:rsidRPr="004068F6" w:rsidRDefault="007F45D3" w:rsidP="009420F5">
      <w:pPr>
        <w:pStyle w:val="Ttulo2"/>
        <w:rPr>
          <w:lang w:val="es-CO"/>
        </w:rPr>
      </w:pPr>
      <w:bookmarkStart w:id="2542" w:name="_Toc230879631"/>
      <w:r w:rsidRPr="004068F6">
        <w:rPr>
          <w:lang w:val="es-CO"/>
        </w:rPr>
        <w:t xml:space="preserve">LINEAMIENTOS PARA LA DELIMITACIÓN DEL ÁREA DE INFLUENCIA DEL </w:t>
      </w:r>
      <w:r w:rsidR="00077E48" w:rsidRPr="004068F6">
        <w:rPr>
          <w:lang w:val="es-CO"/>
        </w:rPr>
        <w:t>MEDIO ABIÓTICO</w:t>
      </w:r>
      <w:bookmarkEnd w:id="2542"/>
    </w:p>
    <w:p w14:paraId="43333014" w14:textId="77777777" w:rsidR="00077E48" w:rsidRPr="004068F6" w:rsidRDefault="00077E48" w:rsidP="00077E48">
      <w:pPr>
        <w:numPr>
          <w:ilvl w:val="12"/>
          <w:numId w:val="0"/>
        </w:numPr>
        <w:tabs>
          <w:tab w:val="left" w:pos="-2268"/>
        </w:tabs>
        <w:suppressAutoHyphens/>
        <w:rPr>
          <w:rFonts w:cs="Arial"/>
          <w:spacing w:val="-3"/>
        </w:rPr>
      </w:pPr>
    </w:p>
    <w:p w14:paraId="1DC846A2" w14:textId="10FD8308"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 xml:space="preserve">La delimitación del área de </w:t>
      </w:r>
      <w:r w:rsidR="007A2FC3" w:rsidRPr="004068F6">
        <w:rPr>
          <w:rFonts w:cs="Arial"/>
          <w:spacing w:val="-3"/>
        </w:rPr>
        <w:t xml:space="preserve">influencia de </w:t>
      </w:r>
      <w:r w:rsidRPr="004068F6">
        <w:rPr>
          <w:rFonts w:cs="Arial"/>
          <w:spacing w:val="-3"/>
        </w:rPr>
        <w:t>este medio debe considerar el análisis de la información primaria y secundaria que se deriva de la caracterización ambiental</w:t>
      </w:r>
      <w:r w:rsidR="00602631" w:rsidRPr="004068F6">
        <w:rPr>
          <w:rFonts w:cs="Arial"/>
          <w:spacing w:val="-3"/>
        </w:rPr>
        <w:t xml:space="preserve"> y</w:t>
      </w:r>
      <w:r w:rsidRPr="004068F6">
        <w:rPr>
          <w:rFonts w:cs="Arial"/>
          <w:spacing w:val="-3"/>
        </w:rPr>
        <w:t>,</w:t>
      </w:r>
      <w:r w:rsidR="00DB165F" w:rsidRPr="004068F6">
        <w:rPr>
          <w:rFonts w:cs="Arial"/>
          <w:spacing w:val="-3"/>
        </w:rPr>
        <w:t xml:space="preserve"> </w:t>
      </w:r>
      <w:r w:rsidR="003D18D0" w:rsidRPr="004068F6">
        <w:rPr>
          <w:rFonts w:cs="Arial"/>
          <w:spacing w:val="-3"/>
        </w:rPr>
        <w:t>en caso de aplicar,</w:t>
      </w:r>
      <w:r w:rsidRPr="004068F6">
        <w:rPr>
          <w:rFonts w:cs="Arial"/>
          <w:spacing w:val="-3"/>
        </w:rPr>
        <w:t xml:space="preserve"> </w:t>
      </w:r>
      <w:r w:rsidR="004A47DC" w:rsidRPr="004068F6">
        <w:rPr>
          <w:rFonts w:cs="Arial"/>
          <w:spacing w:val="-3"/>
        </w:rPr>
        <w:t xml:space="preserve">el desarrollo de </w:t>
      </w:r>
      <w:r w:rsidRPr="004068F6">
        <w:rPr>
          <w:rFonts w:cs="Arial"/>
          <w:spacing w:val="-3"/>
        </w:rPr>
        <w:t xml:space="preserve">modelos analíticos, numéricos o estocásticos </w:t>
      </w:r>
      <w:r w:rsidR="00916D07" w:rsidRPr="004068F6">
        <w:rPr>
          <w:rFonts w:cs="Arial"/>
          <w:spacing w:val="-3"/>
        </w:rPr>
        <w:t xml:space="preserve">que permitan </w:t>
      </w:r>
      <w:r w:rsidRPr="004068F6">
        <w:rPr>
          <w:rFonts w:cs="Arial"/>
          <w:spacing w:val="-3"/>
        </w:rPr>
        <w:t xml:space="preserve">simular </w:t>
      </w:r>
      <w:r w:rsidR="00C87C17" w:rsidRPr="004068F6">
        <w:rPr>
          <w:rFonts w:cs="Arial"/>
          <w:spacing w:val="-3"/>
        </w:rPr>
        <w:t xml:space="preserve">la </w:t>
      </w:r>
      <w:r w:rsidR="0005299C" w:rsidRPr="004068F6">
        <w:rPr>
          <w:rFonts w:cs="Arial"/>
          <w:spacing w:val="-3"/>
        </w:rPr>
        <w:t xml:space="preserve">distribución espacial de </w:t>
      </w:r>
      <w:r w:rsidRPr="004068F6">
        <w:rPr>
          <w:rFonts w:cs="Arial"/>
          <w:spacing w:val="-3"/>
        </w:rPr>
        <w:t xml:space="preserve">los impactos que se generan en todas las </w:t>
      </w:r>
      <w:r w:rsidR="00C36726">
        <w:rPr>
          <w:spacing w:val="-3"/>
        </w:rPr>
        <w:t>etapas</w:t>
      </w:r>
      <w:r w:rsidR="00C36726" w:rsidRPr="004068F6" w:rsidDel="00C36726">
        <w:rPr>
          <w:rFonts w:cs="Arial"/>
          <w:spacing w:val="-3"/>
        </w:rPr>
        <w:t xml:space="preserve"> </w:t>
      </w:r>
      <w:r w:rsidRPr="004068F6">
        <w:rPr>
          <w:rFonts w:cs="Arial"/>
          <w:spacing w:val="-3"/>
        </w:rPr>
        <w:t xml:space="preserve">del </w:t>
      </w:r>
      <w:r w:rsidRPr="004068F6">
        <w:rPr>
          <w:rFonts w:cs="Arial"/>
        </w:rPr>
        <w:t>proyecto, obra o actividad</w:t>
      </w:r>
      <w:r w:rsidRPr="004068F6">
        <w:rPr>
          <w:rFonts w:cs="Arial"/>
          <w:spacing w:val="-3"/>
        </w:rPr>
        <w:t xml:space="preserve"> sobre los diferentes </w:t>
      </w:r>
      <w:r w:rsidR="00B36997" w:rsidRPr="004068F6">
        <w:rPr>
          <w:rFonts w:cs="Arial"/>
          <w:spacing w:val="-3"/>
        </w:rPr>
        <w:t xml:space="preserve">factores o </w:t>
      </w:r>
      <w:r w:rsidRPr="004068F6">
        <w:rPr>
          <w:rFonts w:cs="Arial"/>
          <w:spacing w:val="-3"/>
        </w:rPr>
        <w:t>componentes que hacen parte de este medio.</w:t>
      </w:r>
    </w:p>
    <w:p w14:paraId="274A86C0" w14:textId="77777777" w:rsidR="00077E48" w:rsidRPr="004068F6" w:rsidRDefault="00077E48" w:rsidP="00077E48">
      <w:pPr>
        <w:numPr>
          <w:ilvl w:val="12"/>
          <w:numId w:val="0"/>
        </w:numPr>
        <w:tabs>
          <w:tab w:val="left" w:pos="-2268"/>
        </w:tabs>
        <w:suppressAutoHyphens/>
        <w:rPr>
          <w:rFonts w:cs="Arial"/>
          <w:spacing w:val="-3"/>
        </w:rPr>
      </w:pPr>
    </w:p>
    <w:p w14:paraId="71203BAE" w14:textId="3ED515D7"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La delimitación del área de influencia se debe adelantar a partir del escenario de model</w:t>
      </w:r>
      <w:r w:rsidR="00C74BBB" w:rsidRPr="004068F6">
        <w:rPr>
          <w:rFonts w:cs="Arial"/>
          <w:spacing w:val="-3"/>
        </w:rPr>
        <w:t>iz</w:t>
      </w:r>
      <w:r w:rsidRPr="004068F6">
        <w:rPr>
          <w:rFonts w:cs="Arial"/>
          <w:spacing w:val="-3"/>
        </w:rPr>
        <w:t xml:space="preserve">ación más crítico para el </w:t>
      </w:r>
      <w:r w:rsidR="00B36997" w:rsidRPr="004068F6">
        <w:rPr>
          <w:rFonts w:cs="Arial"/>
          <w:spacing w:val="-3"/>
        </w:rPr>
        <w:t xml:space="preserve">factor o </w:t>
      </w:r>
      <w:r w:rsidRPr="004068F6">
        <w:rPr>
          <w:rFonts w:cs="Arial"/>
          <w:spacing w:val="-3"/>
        </w:rPr>
        <w:t>componente analizado, es decir, de la simulación que contenga el impacto de mayor significancia</w:t>
      </w:r>
      <w:r w:rsidR="00845B39" w:rsidRPr="004068F6">
        <w:rPr>
          <w:rFonts w:cs="Arial"/>
          <w:spacing w:val="-3"/>
        </w:rPr>
        <w:t>;</w:t>
      </w:r>
      <w:r w:rsidR="00654045" w:rsidRPr="004068F6">
        <w:rPr>
          <w:rFonts w:cs="Arial"/>
          <w:spacing w:val="-3"/>
        </w:rPr>
        <w:t xml:space="preserve"> </w:t>
      </w:r>
      <w:r w:rsidR="004C0AD7" w:rsidRPr="004068F6">
        <w:rPr>
          <w:rFonts w:cs="Arial"/>
          <w:spacing w:val="-3"/>
        </w:rPr>
        <w:t xml:space="preserve">tal </w:t>
      </w:r>
      <w:r w:rsidR="00BA672A" w:rsidRPr="004068F6">
        <w:rPr>
          <w:rFonts w:cs="Arial"/>
          <w:spacing w:val="-3"/>
        </w:rPr>
        <w:t xml:space="preserve">modelización debe tomar </w:t>
      </w:r>
      <w:r w:rsidRPr="004068F6">
        <w:rPr>
          <w:rFonts w:cs="Arial"/>
          <w:spacing w:val="-3"/>
        </w:rPr>
        <w:t xml:space="preserve">como referencia la normativa ambiental </w:t>
      </w:r>
      <w:r w:rsidR="00C65004" w:rsidRPr="004068F6">
        <w:rPr>
          <w:rFonts w:cs="Arial"/>
          <w:spacing w:val="-3"/>
        </w:rPr>
        <w:t xml:space="preserve">sobre niveles máximos permisibles </w:t>
      </w:r>
      <w:r w:rsidR="003156CA" w:rsidRPr="004068F6">
        <w:rPr>
          <w:rFonts w:cs="Arial"/>
          <w:spacing w:val="-3"/>
        </w:rPr>
        <w:t xml:space="preserve">de contaminación </w:t>
      </w:r>
      <w:r w:rsidR="008E0064" w:rsidRPr="004068F6">
        <w:rPr>
          <w:rFonts w:cs="Arial"/>
          <w:spacing w:val="-3"/>
        </w:rPr>
        <w:t xml:space="preserve">que esté </w:t>
      </w:r>
      <w:r w:rsidRPr="004068F6">
        <w:rPr>
          <w:rFonts w:cs="Arial"/>
          <w:spacing w:val="-3"/>
        </w:rPr>
        <w:t>vigente</w:t>
      </w:r>
      <w:r w:rsidR="00654045" w:rsidRPr="004068F6">
        <w:rPr>
          <w:rFonts w:cs="Arial"/>
          <w:spacing w:val="-3"/>
        </w:rPr>
        <w:t>, en caso de existir</w:t>
      </w:r>
      <w:r w:rsidR="00C457F9" w:rsidRPr="004068F6">
        <w:rPr>
          <w:rFonts w:cs="Arial"/>
          <w:spacing w:val="-3"/>
        </w:rPr>
        <w:t>.</w:t>
      </w:r>
    </w:p>
    <w:p w14:paraId="7C9E6A6F" w14:textId="77777777" w:rsidR="00077E48" w:rsidRPr="004068F6" w:rsidRDefault="00077E48" w:rsidP="00077E48">
      <w:pPr>
        <w:numPr>
          <w:ilvl w:val="12"/>
          <w:numId w:val="0"/>
        </w:numPr>
        <w:tabs>
          <w:tab w:val="left" w:pos="-2268"/>
        </w:tabs>
        <w:suppressAutoHyphens/>
        <w:rPr>
          <w:rFonts w:cs="Arial"/>
          <w:spacing w:val="-3"/>
        </w:rPr>
      </w:pPr>
    </w:p>
    <w:p w14:paraId="646617A3" w14:textId="2216D830" w:rsidR="00077E48" w:rsidRPr="004068F6" w:rsidRDefault="00077E48" w:rsidP="00077E48">
      <w:pPr>
        <w:tabs>
          <w:tab w:val="left" w:pos="-2268"/>
        </w:tabs>
        <w:suppressAutoHyphens/>
        <w:rPr>
          <w:rFonts w:cs="Arial"/>
          <w:spacing w:val="-3"/>
        </w:rPr>
      </w:pPr>
      <w:r w:rsidRPr="004068F6">
        <w:rPr>
          <w:rFonts w:cs="Arial"/>
          <w:spacing w:val="-3"/>
        </w:rPr>
        <w:t xml:space="preserve">La decisión de cuáles son </w:t>
      </w:r>
      <w:r w:rsidR="00262C6C" w:rsidRPr="004068F6">
        <w:rPr>
          <w:rFonts w:cs="Arial"/>
          <w:spacing w:val="-3"/>
        </w:rPr>
        <w:t>los fenómenos y situaciones por modelizar</w:t>
      </w:r>
      <w:r w:rsidRPr="004068F6">
        <w:rPr>
          <w:rFonts w:cs="Arial"/>
          <w:spacing w:val="-3"/>
        </w:rPr>
        <w:t xml:space="preserve">, está dada por la </w:t>
      </w:r>
      <w:r w:rsidR="00A51056" w:rsidRPr="004068F6">
        <w:rPr>
          <w:rFonts w:cs="Arial"/>
          <w:spacing w:val="-3"/>
        </w:rPr>
        <w:t xml:space="preserve">determinación </w:t>
      </w:r>
      <w:r w:rsidRPr="004068F6">
        <w:rPr>
          <w:rFonts w:cs="Arial"/>
          <w:spacing w:val="-3"/>
        </w:rPr>
        <w:t xml:space="preserve">y evaluación de los impactos ambientales; se debe argumentar por qué se realiza o no un modelo determinado. En los casos en que no exista una norma de referencia nacional como punto de comparación, la </w:t>
      </w:r>
      <w:r w:rsidR="008534D5" w:rsidRPr="004068F6">
        <w:rPr>
          <w:rFonts w:cs="Arial"/>
          <w:spacing w:val="-3"/>
        </w:rPr>
        <w:t xml:space="preserve">delimitación de las áreas en las </w:t>
      </w:r>
      <w:r w:rsidR="008534D5" w:rsidRPr="004068F6">
        <w:rPr>
          <w:rFonts w:cs="Arial"/>
          <w:spacing w:val="-3"/>
        </w:rPr>
        <w:lastRenderedPageBreak/>
        <w:t xml:space="preserve">cuales se manifiestan los </w:t>
      </w:r>
      <w:r w:rsidRPr="004068F6">
        <w:rPr>
          <w:rFonts w:cs="Arial"/>
          <w:spacing w:val="-3"/>
        </w:rPr>
        <w:t>impacto</w:t>
      </w:r>
      <w:r w:rsidR="008534D5" w:rsidRPr="004068F6">
        <w:rPr>
          <w:rFonts w:cs="Arial"/>
          <w:spacing w:val="-3"/>
        </w:rPr>
        <w:t>s significativos</w:t>
      </w:r>
      <w:r w:rsidR="00AA5FE6" w:rsidRPr="004068F6">
        <w:rPr>
          <w:rFonts w:cs="Arial"/>
          <w:spacing w:val="-3"/>
        </w:rPr>
        <w:t>,</w:t>
      </w:r>
      <w:r w:rsidR="008534D5" w:rsidRPr="004068F6">
        <w:rPr>
          <w:rFonts w:cs="Arial"/>
          <w:spacing w:val="-3"/>
        </w:rPr>
        <w:t xml:space="preserve"> </w:t>
      </w:r>
      <w:r w:rsidR="00D14F02" w:rsidRPr="004068F6">
        <w:rPr>
          <w:rFonts w:cs="Arial"/>
          <w:spacing w:val="-3"/>
        </w:rPr>
        <w:t xml:space="preserve">debe </w:t>
      </w:r>
      <w:r w:rsidR="00DC6AAD" w:rsidRPr="004068F6">
        <w:rPr>
          <w:rFonts w:cs="Arial"/>
          <w:spacing w:val="-3"/>
        </w:rPr>
        <w:t xml:space="preserve">realizarse a partir </w:t>
      </w:r>
      <w:r w:rsidR="00B05826" w:rsidRPr="004068F6">
        <w:rPr>
          <w:rFonts w:cs="Arial"/>
          <w:spacing w:val="-3"/>
        </w:rPr>
        <w:t>de los</w:t>
      </w:r>
      <w:r w:rsidR="00C33DA7" w:rsidRPr="004068F6">
        <w:rPr>
          <w:rFonts w:cs="Arial"/>
          <w:spacing w:val="-3"/>
        </w:rPr>
        <w:t xml:space="preserve"> atributos o procedimientos fijados en </w:t>
      </w:r>
      <w:r w:rsidR="00A25CCD" w:rsidRPr="004068F6">
        <w:rPr>
          <w:rFonts w:cs="Arial"/>
          <w:spacing w:val="-3"/>
        </w:rPr>
        <w:t xml:space="preserve">el método </w:t>
      </w:r>
      <w:r w:rsidR="001842C4" w:rsidRPr="004068F6">
        <w:rPr>
          <w:rFonts w:cs="Arial"/>
          <w:spacing w:val="-3"/>
        </w:rPr>
        <w:t xml:space="preserve">de evaluación ambiental </w:t>
      </w:r>
      <w:r w:rsidR="00B53A0A" w:rsidRPr="004068F6">
        <w:rPr>
          <w:rFonts w:cs="Arial"/>
          <w:spacing w:val="-3"/>
        </w:rPr>
        <w:t xml:space="preserve">de los </w:t>
      </w:r>
      <w:r w:rsidRPr="004068F6">
        <w:rPr>
          <w:rFonts w:cs="Arial"/>
          <w:spacing w:val="-3"/>
        </w:rPr>
        <w:t>impacto</w:t>
      </w:r>
      <w:r w:rsidR="00B53A0A" w:rsidRPr="004068F6">
        <w:rPr>
          <w:rFonts w:cs="Arial"/>
          <w:spacing w:val="-3"/>
        </w:rPr>
        <w:t>s</w:t>
      </w:r>
      <w:r w:rsidRPr="004068F6">
        <w:rPr>
          <w:rFonts w:cs="Arial"/>
          <w:spacing w:val="-3"/>
        </w:rPr>
        <w:t xml:space="preserve"> </w:t>
      </w:r>
      <w:r w:rsidR="001D6B42" w:rsidRPr="004068F6">
        <w:rPr>
          <w:rFonts w:cs="Arial"/>
          <w:spacing w:val="-3"/>
        </w:rPr>
        <w:t xml:space="preserve">que haya sido </w:t>
      </w:r>
      <w:r w:rsidR="00E5730B" w:rsidRPr="004068F6">
        <w:rPr>
          <w:rFonts w:cs="Arial"/>
          <w:spacing w:val="-3"/>
        </w:rPr>
        <w:t>establecido para el estudio ambiental</w:t>
      </w:r>
      <w:r w:rsidR="00534F53" w:rsidRPr="004068F6">
        <w:rPr>
          <w:rFonts w:cs="Arial"/>
          <w:spacing w:val="-3"/>
        </w:rPr>
        <w:t>, o bien, empleando como referencia estándares internacionales</w:t>
      </w:r>
      <w:r w:rsidRPr="004068F6">
        <w:rPr>
          <w:rFonts w:cs="Arial"/>
          <w:spacing w:val="-3"/>
        </w:rPr>
        <w:t>.</w:t>
      </w:r>
    </w:p>
    <w:p w14:paraId="3BA5B709" w14:textId="77777777" w:rsidR="00077E48" w:rsidRPr="004068F6" w:rsidRDefault="00077E48" w:rsidP="00077E48">
      <w:pPr>
        <w:numPr>
          <w:ilvl w:val="12"/>
          <w:numId w:val="0"/>
        </w:numPr>
        <w:tabs>
          <w:tab w:val="left" w:pos="-2268"/>
        </w:tabs>
        <w:suppressAutoHyphens/>
        <w:rPr>
          <w:rFonts w:cs="Arial"/>
          <w:spacing w:val="-3"/>
        </w:rPr>
      </w:pPr>
    </w:p>
    <w:p w14:paraId="5F6BA08C" w14:textId="61707364" w:rsidR="00077E48" w:rsidRPr="004068F6" w:rsidRDefault="00077E48" w:rsidP="00077E48">
      <w:pPr>
        <w:tabs>
          <w:tab w:val="left" w:pos="-2268"/>
        </w:tabs>
        <w:suppressAutoHyphens/>
        <w:rPr>
          <w:rFonts w:cs="Arial"/>
          <w:spacing w:val="-3"/>
        </w:rPr>
      </w:pPr>
      <w:r w:rsidRPr="004068F6">
        <w:rPr>
          <w:rFonts w:cs="Arial"/>
          <w:spacing w:val="-3"/>
        </w:rPr>
        <w:t xml:space="preserve">Algunos ejemplos de modelizaciones numéricas aplicables </w:t>
      </w:r>
      <w:r w:rsidR="00F2525D" w:rsidRPr="004068F6">
        <w:rPr>
          <w:rFonts w:cs="Arial"/>
          <w:spacing w:val="-3"/>
        </w:rPr>
        <w:t xml:space="preserve">a </w:t>
      </w:r>
      <w:r w:rsidR="00B15A55" w:rsidRPr="004068F6">
        <w:rPr>
          <w:rFonts w:cs="Arial"/>
          <w:spacing w:val="-3"/>
        </w:rPr>
        <w:t xml:space="preserve">la </w:t>
      </w:r>
      <w:r w:rsidR="00B237E9" w:rsidRPr="004068F6">
        <w:rPr>
          <w:rFonts w:cs="Arial"/>
          <w:spacing w:val="-3"/>
        </w:rPr>
        <w:t>delimitación del área de influencia de</w:t>
      </w:r>
      <w:r w:rsidRPr="004068F6">
        <w:rPr>
          <w:rFonts w:cs="Arial"/>
          <w:spacing w:val="-3"/>
        </w:rPr>
        <w:t xml:space="preserve">l medio abiótico son, </w:t>
      </w:r>
      <w:r w:rsidR="00C74BBB" w:rsidRPr="004068F6">
        <w:rPr>
          <w:rFonts w:cs="Arial"/>
          <w:spacing w:val="-3"/>
        </w:rPr>
        <w:t xml:space="preserve">la </w:t>
      </w:r>
      <w:r w:rsidRPr="004068F6">
        <w:rPr>
          <w:rFonts w:cs="Arial"/>
          <w:spacing w:val="-3"/>
        </w:rPr>
        <w:t>model</w:t>
      </w:r>
      <w:r w:rsidR="00C74BBB" w:rsidRPr="004068F6">
        <w:rPr>
          <w:rFonts w:cs="Arial"/>
          <w:spacing w:val="-3"/>
        </w:rPr>
        <w:t xml:space="preserve">ización </w:t>
      </w:r>
      <w:r w:rsidRPr="004068F6">
        <w:rPr>
          <w:rFonts w:cs="Arial"/>
          <w:spacing w:val="-3"/>
        </w:rPr>
        <w:t xml:space="preserve">de dispersión de las emisiones generadas por las fuentes asociadas al </w:t>
      </w:r>
      <w:r w:rsidRPr="004068F6">
        <w:rPr>
          <w:rFonts w:cs="Arial"/>
        </w:rPr>
        <w:t>proyecto, obra o actividad</w:t>
      </w:r>
      <w:r w:rsidRPr="004068F6">
        <w:rPr>
          <w:rFonts w:cs="Arial"/>
          <w:spacing w:val="-3"/>
        </w:rPr>
        <w:t xml:space="preserve"> y </w:t>
      </w:r>
      <w:r w:rsidR="00C74BBB" w:rsidRPr="004068F6">
        <w:rPr>
          <w:rFonts w:cs="Arial"/>
          <w:spacing w:val="-3"/>
        </w:rPr>
        <w:t xml:space="preserve">la </w:t>
      </w:r>
      <w:r w:rsidRPr="004068F6">
        <w:rPr>
          <w:rFonts w:cs="Arial"/>
          <w:spacing w:val="-3"/>
        </w:rPr>
        <w:t>model</w:t>
      </w:r>
      <w:r w:rsidR="00C74BBB" w:rsidRPr="004068F6">
        <w:rPr>
          <w:rFonts w:cs="Arial"/>
          <w:spacing w:val="-3"/>
        </w:rPr>
        <w:t xml:space="preserve">ización </w:t>
      </w:r>
      <w:r w:rsidRPr="004068F6">
        <w:rPr>
          <w:rFonts w:cs="Arial"/>
          <w:spacing w:val="-3"/>
        </w:rPr>
        <w:t xml:space="preserve">de los niveles de ruido ambiental para el componente atmosférico; </w:t>
      </w:r>
      <w:r w:rsidR="00C74BBB" w:rsidRPr="004068F6">
        <w:rPr>
          <w:rFonts w:cs="Arial"/>
          <w:spacing w:val="-3"/>
        </w:rPr>
        <w:t>la modelización</w:t>
      </w:r>
      <w:r w:rsidRPr="004068F6">
        <w:rPr>
          <w:rFonts w:cs="Arial"/>
          <w:spacing w:val="-3"/>
        </w:rPr>
        <w:t xml:space="preserve"> de los vertimientos en agua superficial para el componente hidrológico y; </w:t>
      </w:r>
      <w:r w:rsidR="00C74BBB" w:rsidRPr="004068F6">
        <w:rPr>
          <w:rFonts w:cs="Arial"/>
          <w:spacing w:val="-3"/>
        </w:rPr>
        <w:t xml:space="preserve">la modelización </w:t>
      </w:r>
      <w:r w:rsidRPr="004068F6">
        <w:rPr>
          <w:rFonts w:cs="Arial"/>
          <w:spacing w:val="-3"/>
        </w:rPr>
        <w:t>para determinar el abatimiento o la calidad del agua subterránea para el componente hidrogeológico. Estos modelos deben ser formulados utilizando software especializado.</w:t>
      </w:r>
    </w:p>
    <w:p w14:paraId="3EFAF141" w14:textId="77777777" w:rsidR="00077E48" w:rsidRPr="004068F6" w:rsidRDefault="00077E48" w:rsidP="00077E48">
      <w:pPr>
        <w:numPr>
          <w:ilvl w:val="12"/>
          <w:numId w:val="0"/>
        </w:numPr>
        <w:tabs>
          <w:tab w:val="left" w:pos="-2268"/>
        </w:tabs>
        <w:suppressAutoHyphens/>
        <w:rPr>
          <w:rFonts w:cs="Arial"/>
          <w:spacing w:val="-3"/>
        </w:rPr>
      </w:pPr>
    </w:p>
    <w:p w14:paraId="3C060EA6" w14:textId="2C91E440" w:rsidR="00077E48" w:rsidRPr="004068F6" w:rsidRDefault="007A2FC3" w:rsidP="00077E48">
      <w:pPr>
        <w:numPr>
          <w:ilvl w:val="12"/>
          <w:numId w:val="0"/>
        </w:numPr>
        <w:tabs>
          <w:tab w:val="left" w:pos="-2268"/>
        </w:tabs>
        <w:suppressAutoHyphens/>
        <w:rPr>
          <w:rFonts w:cs="Arial"/>
          <w:spacing w:val="-3"/>
        </w:rPr>
      </w:pPr>
      <w:r w:rsidRPr="004068F6">
        <w:rPr>
          <w:rFonts w:cs="Arial"/>
          <w:spacing w:val="-3"/>
        </w:rPr>
        <w:t>Adicional a las unidades de análisis y criterios señalados en la</w:t>
      </w:r>
      <w:r w:rsidR="00733FEA" w:rsidRPr="004068F6">
        <w:rPr>
          <w:rFonts w:cs="Arial"/>
          <w:spacing w:val="-3"/>
        </w:rPr>
        <w:t xml:space="preserve"> </w:t>
      </w:r>
      <w:r w:rsidRPr="004068F6">
        <w:rPr>
          <w:rFonts w:cs="Arial"/>
          <w:spacing w:val="-3"/>
        </w:rPr>
        <w:fldChar w:fldCharType="begin"/>
      </w:r>
      <w:r w:rsidRPr="004068F6">
        <w:rPr>
          <w:rFonts w:cs="Arial"/>
          <w:spacing w:val="-3"/>
        </w:rPr>
        <w:instrText xml:space="preserve"> REF _Ref68252303 \h </w:instrText>
      </w:r>
      <w:r w:rsidR="00BD1319" w:rsidRPr="004068F6">
        <w:rPr>
          <w:rFonts w:cs="Arial"/>
          <w:spacing w:val="-3"/>
        </w:rPr>
        <w:instrText xml:space="preserve"> \* MERGEFORMAT </w:instrText>
      </w:r>
      <w:r w:rsidRPr="004068F6">
        <w:rPr>
          <w:rFonts w:cs="Arial"/>
          <w:spacing w:val="-3"/>
        </w:rPr>
      </w:r>
      <w:r w:rsidRPr="004068F6">
        <w:rPr>
          <w:rFonts w:cs="Arial"/>
          <w:spacing w:val="-3"/>
        </w:rPr>
        <w:fldChar w:fldCharType="separate"/>
      </w:r>
      <w:r w:rsidR="009C4A81" w:rsidRPr="004068F6">
        <w:t xml:space="preserve">Tabla </w:t>
      </w:r>
      <w:r w:rsidR="009C4A81">
        <w:t>16</w:t>
      </w:r>
      <w:r w:rsidRPr="004068F6">
        <w:rPr>
          <w:rFonts w:cs="Arial"/>
          <w:spacing w:val="-3"/>
        </w:rPr>
        <w:fldChar w:fldCharType="end"/>
      </w:r>
      <w:r w:rsidR="008753DA" w:rsidRPr="004068F6">
        <w:rPr>
          <w:rFonts w:cs="Arial"/>
          <w:spacing w:val="-3"/>
        </w:rPr>
        <w:t>,</w:t>
      </w:r>
      <w:r w:rsidRPr="004068F6">
        <w:rPr>
          <w:rFonts w:cs="Arial"/>
          <w:spacing w:val="-3"/>
        </w:rPr>
        <w:t xml:space="preserve"> a</w:t>
      </w:r>
      <w:r w:rsidRPr="004068F6" w:rsidDel="007A2FC3">
        <w:rPr>
          <w:rFonts w:cs="Arial"/>
          <w:spacing w:val="-3"/>
        </w:rPr>
        <w:t xml:space="preserve"> </w:t>
      </w:r>
      <w:r w:rsidR="00077E48" w:rsidRPr="004068F6">
        <w:rPr>
          <w:rFonts w:cs="Arial"/>
          <w:spacing w:val="-3"/>
        </w:rPr>
        <w:t>continuación</w:t>
      </w:r>
      <w:r w:rsidR="008B4E79" w:rsidRPr="004068F6">
        <w:rPr>
          <w:rFonts w:cs="Arial"/>
          <w:spacing w:val="-3"/>
        </w:rPr>
        <w:t>,</w:t>
      </w:r>
      <w:r w:rsidR="00077E48" w:rsidRPr="004068F6">
        <w:rPr>
          <w:rFonts w:cs="Arial"/>
          <w:spacing w:val="-3"/>
        </w:rPr>
        <w:t xml:space="preserve"> se presentan consideraciones particulares que se deben tener en cuenta para delimitar el área de influencia de algunos de los componentes del medio abiótico.</w:t>
      </w:r>
    </w:p>
    <w:p w14:paraId="4F6CCD72" w14:textId="77777777" w:rsidR="00077E48" w:rsidRPr="004068F6" w:rsidRDefault="00077E48" w:rsidP="00077E48">
      <w:pPr>
        <w:numPr>
          <w:ilvl w:val="12"/>
          <w:numId w:val="0"/>
        </w:numPr>
        <w:tabs>
          <w:tab w:val="left" w:pos="-2268"/>
        </w:tabs>
        <w:suppressAutoHyphens/>
        <w:rPr>
          <w:rFonts w:cs="Arial"/>
          <w:spacing w:val="-3"/>
        </w:rPr>
      </w:pPr>
    </w:p>
    <w:p w14:paraId="1C1271C6" w14:textId="599AC8A2" w:rsidR="00077E48" w:rsidRPr="00466E26" w:rsidRDefault="00077E48" w:rsidP="000A1E20">
      <w:pPr>
        <w:pStyle w:val="Ttulo3"/>
      </w:pPr>
      <w:bookmarkStart w:id="2543" w:name="_Toc230879632"/>
      <w:r w:rsidRPr="00466E26">
        <w:t>Hidrológico</w:t>
      </w:r>
      <w:bookmarkEnd w:id="2543"/>
    </w:p>
    <w:p w14:paraId="0AA366DD" w14:textId="77777777" w:rsidR="00077E48" w:rsidRPr="004068F6" w:rsidRDefault="00077E48" w:rsidP="00077E48">
      <w:pPr>
        <w:numPr>
          <w:ilvl w:val="12"/>
          <w:numId w:val="0"/>
        </w:numPr>
        <w:tabs>
          <w:tab w:val="left" w:pos="-2268"/>
        </w:tabs>
        <w:suppressAutoHyphens/>
        <w:rPr>
          <w:rFonts w:cs="Arial"/>
          <w:spacing w:val="-3"/>
        </w:rPr>
      </w:pPr>
    </w:p>
    <w:p w14:paraId="1E83DB67" w14:textId="7530494D" w:rsidR="005B7378" w:rsidRPr="004068F6" w:rsidRDefault="00077E48" w:rsidP="00077E48">
      <w:pPr>
        <w:rPr>
          <w:rFonts w:cs="Arial"/>
          <w:spacing w:val="-3"/>
        </w:rPr>
      </w:pPr>
      <w:r w:rsidRPr="004068F6">
        <w:rPr>
          <w:rFonts w:cs="Arial"/>
          <w:spacing w:val="-3"/>
        </w:rPr>
        <w:t xml:space="preserve">Para </w:t>
      </w:r>
      <w:r w:rsidR="008A633A">
        <w:rPr>
          <w:rFonts w:cs="Arial"/>
          <w:spacing w:val="-3"/>
        </w:rPr>
        <w:t xml:space="preserve">la </w:t>
      </w:r>
      <w:r w:rsidRPr="004068F6">
        <w:rPr>
          <w:rFonts w:cs="Arial"/>
          <w:spacing w:val="-3"/>
        </w:rPr>
        <w:t>delimitación del área de influencia de este componente</w:t>
      </w:r>
      <w:r w:rsidR="00721EB1" w:rsidRPr="004068F6">
        <w:rPr>
          <w:rFonts w:cs="Arial"/>
          <w:spacing w:val="-3"/>
        </w:rPr>
        <w:t xml:space="preserve"> dada la manifestación de un impacto significativo ocasionado por una captación de agua, </w:t>
      </w:r>
      <w:r w:rsidR="00C9511A" w:rsidRPr="004068F6">
        <w:rPr>
          <w:rFonts w:cs="Arial"/>
          <w:spacing w:val="-3"/>
        </w:rPr>
        <w:t xml:space="preserve">independiente si el agua que se capta es retornada parcial o totalmente al cuerpo de agua del cual ha sido extraída, </w:t>
      </w:r>
      <w:r w:rsidR="00721EB1" w:rsidRPr="004068F6">
        <w:rPr>
          <w:rFonts w:cs="Arial"/>
          <w:spacing w:val="-3"/>
        </w:rPr>
        <w:t xml:space="preserve">el procedimiento debe </w:t>
      </w:r>
      <w:r w:rsidRPr="004068F6">
        <w:rPr>
          <w:rFonts w:cs="Arial"/>
          <w:spacing w:val="-3"/>
        </w:rPr>
        <w:t>inclu</w:t>
      </w:r>
      <w:r w:rsidR="00721EB1" w:rsidRPr="004068F6">
        <w:rPr>
          <w:rFonts w:cs="Arial"/>
          <w:spacing w:val="-3"/>
        </w:rPr>
        <w:t>ir</w:t>
      </w:r>
      <w:r w:rsidRPr="004068F6">
        <w:rPr>
          <w:rFonts w:cs="Arial"/>
          <w:spacing w:val="-3"/>
        </w:rPr>
        <w:t xml:space="preserve"> la totalidad del tramo o sección afectada</w:t>
      </w:r>
      <w:r w:rsidR="000162B9">
        <w:rPr>
          <w:rFonts w:cs="Arial"/>
          <w:spacing w:val="-3"/>
        </w:rPr>
        <w:t xml:space="preserve"> (ello puede </w:t>
      </w:r>
      <w:r w:rsidR="00AA262A">
        <w:rPr>
          <w:rFonts w:cs="Arial"/>
          <w:spacing w:val="-3"/>
        </w:rPr>
        <w:t xml:space="preserve">significar incluso una afectación </w:t>
      </w:r>
      <w:r w:rsidR="000162B9" w:rsidRPr="000162B9">
        <w:rPr>
          <w:rFonts w:cs="Arial"/>
          <w:spacing w:val="-3"/>
        </w:rPr>
        <w:t>aguas arriba</w:t>
      </w:r>
      <w:r w:rsidR="000162B9">
        <w:rPr>
          <w:rFonts w:cs="Arial"/>
          <w:spacing w:val="-3"/>
        </w:rPr>
        <w:t>)</w:t>
      </w:r>
      <w:r w:rsidRPr="004068F6">
        <w:rPr>
          <w:rFonts w:cs="Arial"/>
          <w:spacing w:val="-3"/>
        </w:rPr>
        <w:t xml:space="preserve">, es decir, para una concesión de agua superficial, el área de influencia </w:t>
      </w:r>
      <w:r w:rsidR="003372C3" w:rsidRPr="004068F6">
        <w:rPr>
          <w:rFonts w:cs="Arial"/>
          <w:spacing w:val="-3"/>
        </w:rPr>
        <w:t xml:space="preserve">debe considerar </w:t>
      </w:r>
      <w:r w:rsidR="00FC65FA" w:rsidRPr="004068F6">
        <w:rPr>
          <w:rFonts w:cs="Arial"/>
          <w:spacing w:val="-3"/>
        </w:rPr>
        <w:t xml:space="preserve">las zonas </w:t>
      </w:r>
      <w:r w:rsidR="004B4EFD" w:rsidRPr="004068F6">
        <w:rPr>
          <w:rFonts w:cs="Arial"/>
          <w:spacing w:val="-3"/>
        </w:rPr>
        <w:t xml:space="preserve">en las </w:t>
      </w:r>
      <w:r w:rsidR="00FC65FA" w:rsidRPr="004068F6">
        <w:rPr>
          <w:rFonts w:cs="Arial"/>
          <w:spacing w:val="-3"/>
        </w:rPr>
        <w:t xml:space="preserve">que </w:t>
      </w:r>
      <w:r w:rsidR="004B4EFD" w:rsidRPr="004068F6">
        <w:rPr>
          <w:rFonts w:cs="Arial"/>
          <w:spacing w:val="-3"/>
        </w:rPr>
        <w:t xml:space="preserve">se manifiestan </w:t>
      </w:r>
      <w:r w:rsidR="006E5AC8" w:rsidRPr="004068F6">
        <w:rPr>
          <w:rFonts w:cs="Arial"/>
          <w:spacing w:val="-3"/>
        </w:rPr>
        <w:t xml:space="preserve">los impactos </w:t>
      </w:r>
      <w:r w:rsidR="00FC65FA" w:rsidRPr="004068F6">
        <w:rPr>
          <w:rFonts w:cs="Arial"/>
          <w:spacing w:val="-3"/>
        </w:rPr>
        <w:t xml:space="preserve">ambientales </w:t>
      </w:r>
      <w:r w:rsidR="006E5AC8" w:rsidRPr="004068F6">
        <w:rPr>
          <w:rFonts w:cs="Arial"/>
          <w:spacing w:val="-3"/>
        </w:rPr>
        <w:t>significativos</w:t>
      </w:r>
      <w:r w:rsidR="00EB6C9E" w:rsidRPr="004068F6">
        <w:rPr>
          <w:rFonts w:cs="Arial"/>
          <w:spacing w:val="-3"/>
        </w:rPr>
        <w:t xml:space="preserve"> (especialmente aguas abajo</w:t>
      </w:r>
      <w:r w:rsidR="00CF3674" w:rsidRPr="004068F6">
        <w:rPr>
          <w:rFonts w:cs="Arial"/>
          <w:spacing w:val="-3"/>
        </w:rPr>
        <w:t xml:space="preserve"> del punto </w:t>
      </w:r>
      <w:r w:rsidR="00810C1C" w:rsidRPr="004068F6">
        <w:rPr>
          <w:rFonts w:cs="Arial"/>
          <w:spacing w:val="-3"/>
        </w:rPr>
        <w:t xml:space="preserve">en el que se proyecta el </w:t>
      </w:r>
      <w:r w:rsidR="00CF3674" w:rsidRPr="004068F6">
        <w:rPr>
          <w:rFonts w:cs="Arial"/>
          <w:spacing w:val="-3"/>
        </w:rPr>
        <w:t>aprovechamiento</w:t>
      </w:r>
      <w:r w:rsidR="00EB6C9E" w:rsidRPr="004068F6">
        <w:rPr>
          <w:rFonts w:cs="Arial"/>
          <w:spacing w:val="-3"/>
        </w:rPr>
        <w:t>)</w:t>
      </w:r>
      <w:r w:rsidR="000D2AE4" w:rsidRPr="004068F6">
        <w:rPr>
          <w:rFonts w:cs="Arial"/>
          <w:spacing w:val="-3"/>
        </w:rPr>
        <w:t xml:space="preserve">; </w:t>
      </w:r>
      <w:r w:rsidR="000D2AE4" w:rsidRPr="00127BD4">
        <w:rPr>
          <w:rFonts w:cs="Arial"/>
          <w:spacing w:val="-3"/>
        </w:rPr>
        <w:t>se debe</w:t>
      </w:r>
      <w:r w:rsidR="000D2AE4" w:rsidRPr="004068F6">
        <w:rPr>
          <w:rFonts w:cs="Arial"/>
          <w:spacing w:val="-3"/>
        </w:rPr>
        <w:t>n</w:t>
      </w:r>
      <w:r w:rsidR="000D2AE4" w:rsidRPr="00127BD4">
        <w:rPr>
          <w:rFonts w:cs="Arial"/>
          <w:spacing w:val="-3"/>
        </w:rPr>
        <w:t xml:space="preserve"> justificar los criterios empleados para determinar dicha área de manifestación.</w:t>
      </w:r>
    </w:p>
    <w:p w14:paraId="4E745096" w14:textId="77777777" w:rsidR="005B7378" w:rsidRPr="004068F6" w:rsidRDefault="005B7378" w:rsidP="00077E48">
      <w:pPr>
        <w:rPr>
          <w:rFonts w:cs="Arial"/>
          <w:spacing w:val="-3"/>
        </w:rPr>
      </w:pPr>
    </w:p>
    <w:p w14:paraId="39ADED06" w14:textId="37A3FEF5" w:rsidR="00077E48" w:rsidRPr="004068F6" w:rsidRDefault="00E31DB8" w:rsidP="00077E48">
      <w:pPr>
        <w:rPr>
          <w:rFonts w:cs="Arial"/>
          <w:spacing w:val="-3"/>
        </w:rPr>
      </w:pPr>
      <w:r w:rsidRPr="004068F6">
        <w:rPr>
          <w:rFonts w:cs="Arial"/>
          <w:spacing w:val="-3"/>
        </w:rPr>
        <w:t>E</w:t>
      </w:r>
      <w:r w:rsidR="003372C3" w:rsidRPr="004068F6">
        <w:rPr>
          <w:rFonts w:cs="Arial"/>
          <w:spacing w:val="-3"/>
        </w:rPr>
        <w:t>l área de influencia puede delimitarse mediante el análisis de los aportes de flujo base sumado a los aportes de otros drenajes, con el fin de establecer el tramo (aguas abajo) en el cual el cuerpo de agua recupera el caudal de interés a captar</w:t>
      </w:r>
      <w:r w:rsidR="007A2FC3" w:rsidRPr="004068F6">
        <w:rPr>
          <w:rFonts w:cs="Arial"/>
          <w:spacing w:val="-3"/>
        </w:rPr>
        <w:t>;</w:t>
      </w:r>
      <w:r w:rsidR="00077E48" w:rsidRPr="004068F6">
        <w:rPr>
          <w:rFonts w:cs="Arial"/>
          <w:spacing w:val="-3"/>
        </w:rPr>
        <w:t xml:space="preserve"> </w:t>
      </w:r>
      <w:r w:rsidR="007A2FC3" w:rsidRPr="004068F6">
        <w:rPr>
          <w:rFonts w:cs="Arial"/>
          <w:spacing w:val="-3"/>
        </w:rPr>
        <w:t>p</w:t>
      </w:r>
      <w:r w:rsidR="00077E48" w:rsidRPr="004068F6">
        <w:rPr>
          <w:rFonts w:cs="Arial"/>
          <w:spacing w:val="-3"/>
        </w:rPr>
        <w:t>ara lo cual se debe tener como criterio, la variación de la curva de duración de caudales del cuerpo de agua, en su condición sin y con aprovechamiento aguas abajo de la concesión proyectada.</w:t>
      </w:r>
    </w:p>
    <w:p w14:paraId="606AD69F" w14:textId="77777777" w:rsidR="00077E48" w:rsidRPr="004068F6" w:rsidRDefault="00077E48" w:rsidP="00077E48">
      <w:pPr>
        <w:numPr>
          <w:ilvl w:val="12"/>
          <w:numId w:val="0"/>
        </w:numPr>
        <w:tabs>
          <w:tab w:val="left" w:pos="-2268"/>
        </w:tabs>
        <w:suppressAutoHyphens/>
        <w:rPr>
          <w:rFonts w:cs="Arial"/>
          <w:spacing w:val="-3"/>
        </w:rPr>
      </w:pPr>
    </w:p>
    <w:p w14:paraId="7DB86AA0" w14:textId="2978CC94"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 xml:space="preserve">En el caso de un punto o franja de vertimiento, se debe incluir el punto </w:t>
      </w:r>
      <w:r w:rsidR="00AD7346" w:rsidRPr="004068F6">
        <w:rPr>
          <w:rFonts w:cs="Arial"/>
          <w:spacing w:val="-3"/>
        </w:rPr>
        <w:t>o f</w:t>
      </w:r>
      <w:r w:rsidR="00D9731D" w:rsidRPr="004068F6">
        <w:rPr>
          <w:rFonts w:cs="Arial"/>
          <w:spacing w:val="-3"/>
        </w:rPr>
        <w:t xml:space="preserve">ranja </w:t>
      </w:r>
      <w:r w:rsidRPr="004068F6">
        <w:rPr>
          <w:rFonts w:cs="Arial"/>
          <w:spacing w:val="-3"/>
        </w:rPr>
        <w:t xml:space="preserve">de la descarga, además de la zona de dispersión del contaminante derivado por las actividades del proyecto, obra o actividad, reconociendo que las intervenciones afectan potencialmente la sección de ambos costados. En todo caso, para actividades de vertimiento, el área de influencia corresponde a la pluma de dilución definida mediante procesos de modelización, </w:t>
      </w:r>
      <w:r w:rsidR="003515EC" w:rsidRPr="00127BD4">
        <w:rPr>
          <w:rFonts w:cs="Arial"/>
          <w:spacing w:val="-3"/>
        </w:rPr>
        <w:t xml:space="preserve">hasta donde la concentración de contaminantes </w:t>
      </w:r>
      <w:r w:rsidR="003515EC" w:rsidRPr="00127BD4">
        <w:rPr>
          <w:rFonts w:cs="Arial"/>
          <w:spacing w:val="-3"/>
        </w:rPr>
        <w:lastRenderedPageBreak/>
        <w:t>deje de ser significativa</w:t>
      </w:r>
      <w:r w:rsidR="0000317E" w:rsidRPr="004068F6">
        <w:t xml:space="preserve"> </w:t>
      </w:r>
      <w:r w:rsidR="0000317E" w:rsidRPr="004068F6">
        <w:rPr>
          <w:rFonts w:cs="Arial"/>
          <w:spacing w:val="-3"/>
        </w:rPr>
        <w:t xml:space="preserve">y cumpla </w:t>
      </w:r>
      <w:r w:rsidR="003515EC" w:rsidRPr="00127BD4">
        <w:rPr>
          <w:rFonts w:cs="Arial"/>
          <w:spacing w:val="-3"/>
        </w:rPr>
        <w:t xml:space="preserve">con la normativa de calidad del medio </w:t>
      </w:r>
      <w:r w:rsidR="003515EC" w:rsidRPr="004068F6">
        <w:rPr>
          <w:rFonts w:cs="Arial"/>
          <w:spacing w:val="-3"/>
        </w:rPr>
        <w:t xml:space="preserve">vigente </w:t>
      </w:r>
      <w:r w:rsidR="003515EC" w:rsidRPr="00127BD4">
        <w:rPr>
          <w:rFonts w:cs="Arial"/>
          <w:spacing w:val="-3"/>
        </w:rPr>
        <w:t>o, si la calidad del medio no cumple con la misma, de acuerdo con las características actuales del cuerpo de agua</w:t>
      </w:r>
      <w:r w:rsidRPr="004068F6">
        <w:rPr>
          <w:rFonts w:cs="Arial"/>
          <w:spacing w:val="-3"/>
        </w:rPr>
        <w:t>.</w:t>
      </w:r>
    </w:p>
    <w:p w14:paraId="26DF664D" w14:textId="77777777" w:rsidR="00077E48" w:rsidRPr="004068F6" w:rsidRDefault="00077E48" w:rsidP="00077E48">
      <w:pPr>
        <w:numPr>
          <w:ilvl w:val="12"/>
          <w:numId w:val="0"/>
        </w:numPr>
        <w:tabs>
          <w:tab w:val="left" w:pos="-2268"/>
        </w:tabs>
        <w:suppressAutoHyphens/>
        <w:rPr>
          <w:rFonts w:cs="Arial"/>
          <w:spacing w:val="-3"/>
        </w:rPr>
      </w:pPr>
    </w:p>
    <w:p w14:paraId="63645A48" w14:textId="3EF552C0" w:rsidR="00077E48" w:rsidRPr="00466E26" w:rsidRDefault="00077E48" w:rsidP="000A1E20">
      <w:pPr>
        <w:pStyle w:val="Ttulo3"/>
      </w:pPr>
      <w:bookmarkStart w:id="2544" w:name="_Ref208231084"/>
      <w:bookmarkStart w:id="2545" w:name="_Toc230879633"/>
      <w:r w:rsidRPr="00466E26">
        <w:t>Atmosférico</w:t>
      </w:r>
      <w:bookmarkEnd w:id="2544"/>
      <w:bookmarkEnd w:id="2545"/>
    </w:p>
    <w:p w14:paraId="1BE872D8" w14:textId="77777777" w:rsidR="00077E48" w:rsidRPr="004068F6" w:rsidRDefault="00077E48" w:rsidP="00077E48">
      <w:pPr>
        <w:tabs>
          <w:tab w:val="left" w:pos="-2268"/>
        </w:tabs>
        <w:suppressAutoHyphens/>
        <w:rPr>
          <w:rFonts w:cs="Arial"/>
          <w:spacing w:val="-3"/>
        </w:rPr>
      </w:pPr>
    </w:p>
    <w:p w14:paraId="3F8A9785" w14:textId="7BABCCFA" w:rsidR="00077E48" w:rsidRPr="004068F6" w:rsidRDefault="003515EC" w:rsidP="00127BD4">
      <w:pPr>
        <w:numPr>
          <w:ilvl w:val="12"/>
          <w:numId w:val="0"/>
        </w:numPr>
        <w:tabs>
          <w:tab w:val="left" w:pos="-2268"/>
        </w:tabs>
        <w:suppressAutoHyphens/>
        <w:rPr>
          <w:rFonts w:cs="Arial"/>
        </w:rPr>
      </w:pPr>
      <w:r w:rsidRPr="004068F6">
        <w:t xml:space="preserve">En las </w:t>
      </w:r>
      <w:r w:rsidR="00C54876" w:rsidRPr="004068F6">
        <w:t>áreas continentales y/o zonas costeras</w:t>
      </w:r>
      <w:r w:rsidRPr="004068F6">
        <w:t xml:space="preserve">, el </w:t>
      </w:r>
      <w:r w:rsidR="00077E48" w:rsidRPr="004068F6">
        <w:t xml:space="preserve">área de influencia para el </w:t>
      </w:r>
      <w:r w:rsidR="00077E48" w:rsidRPr="004068F6">
        <w:rPr>
          <w:rFonts w:cs="Arial"/>
        </w:rPr>
        <w:t xml:space="preserve">factor de calidad de aire corresponde al área </w:t>
      </w:r>
      <w:r w:rsidR="00F53A6E" w:rsidRPr="004068F6">
        <w:rPr>
          <w:rFonts w:cs="Arial"/>
        </w:rPr>
        <w:t>por</w:t>
      </w:r>
      <w:r w:rsidR="000259C6" w:rsidRPr="004068F6">
        <w:rPr>
          <w:rFonts w:cs="Arial"/>
        </w:rPr>
        <w:t xml:space="preserve"> intervenir </w:t>
      </w:r>
      <w:r w:rsidR="00077E48" w:rsidRPr="004068F6">
        <w:rPr>
          <w:rFonts w:cs="Arial"/>
        </w:rPr>
        <w:t>del proyecto, obra o actividad en el cual se localizan las fuentes de emisión (fuentes fijas puntuales, dispersas de área y/o lineales), unida al área o región que debido al desarrollo de sus actividades pueda presentar excedencia de los niveles máximos permisibles definidos en la norma de calidad del aire (ver</w:t>
      </w:r>
      <w:r w:rsidR="00F84D48">
        <w:rPr>
          <w:rFonts w:cs="Arial"/>
        </w:rPr>
        <w:t xml:space="preserve"> </w:t>
      </w:r>
      <w:r w:rsidR="00F84D48">
        <w:rPr>
          <w:rFonts w:cs="Arial"/>
        </w:rPr>
        <w:fldChar w:fldCharType="begin"/>
      </w:r>
      <w:r w:rsidR="00F84D48">
        <w:rPr>
          <w:rFonts w:cs="Arial"/>
        </w:rPr>
        <w:instrText xml:space="preserve"> REF _Ref222928049 \h </w:instrText>
      </w:r>
      <w:r w:rsidR="00F84D48">
        <w:rPr>
          <w:rFonts w:cs="Arial"/>
        </w:rPr>
      </w:r>
      <w:r w:rsidR="00F84D48">
        <w:rPr>
          <w:rFonts w:cs="Arial"/>
        </w:rPr>
        <w:fldChar w:fldCharType="separate"/>
      </w:r>
      <w:r w:rsidR="009C4A81" w:rsidRPr="004068F6">
        <w:rPr>
          <w:rFonts w:cs="Arial"/>
        </w:rPr>
        <w:t xml:space="preserve">Figura </w:t>
      </w:r>
      <w:r w:rsidR="009C4A81">
        <w:rPr>
          <w:rFonts w:cs="Arial"/>
          <w:noProof/>
        </w:rPr>
        <w:t>8</w:t>
      </w:r>
      <w:r w:rsidR="00F84D48">
        <w:rPr>
          <w:rFonts w:cs="Arial"/>
        </w:rPr>
        <w:fldChar w:fldCharType="end"/>
      </w:r>
      <w:r w:rsidR="00077E48" w:rsidRPr="004068F6">
        <w:rPr>
          <w:rFonts w:cs="Arial"/>
        </w:rPr>
        <w:t>).</w:t>
      </w:r>
    </w:p>
    <w:p w14:paraId="42E394FE" w14:textId="77777777" w:rsidR="00077E48" w:rsidRPr="004068F6" w:rsidRDefault="00077E48" w:rsidP="00077E48"/>
    <w:p w14:paraId="2FD7BFA6" w14:textId="47526DEB" w:rsidR="00077E48" w:rsidRPr="004068F6" w:rsidRDefault="00077E48" w:rsidP="00077E48">
      <w:pPr>
        <w:rPr>
          <w:rFonts w:cs="Arial"/>
        </w:rPr>
      </w:pPr>
      <w:r w:rsidRPr="004068F6">
        <w:rPr>
          <w:rFonts w:cs="Arial"/>
        </w:rPr>
        <w:t>El área o región de potencial excedencia se debe determinar mediante un modelo de dispersión de emisiones</w:t>
      </w:r>
      <w:r w:rsidR="003515EC" w:rsidRPr="00127BD4">
        <w:rPr>
          <w:rFonts w:cs="Arial"/>
          <w:vertAlign w:val="superscript"/>
        </w:rPr>
        <w:footnoteReference w:id="93"/>
      </w:r>
      <w:r w:rsidR="003515EC" w:rsidRPr="004068F6">
        <w:rPr>
          <w:rFonts w:cs="Arial"/>
        </w:rPr>
        <w:t xml:space="preserve"> </w:t>
      </w:r>
      <w:r w:rsidRPr="004068F6">
        <w:rPr>
          <w:rFonts w:cs="Arial"/>
        </w:rPr>
        <w:t xml:space="preserve">de las fuentes a ser emplazadas durante las diferentes </w:t>
      </w:r>
      <w:r w:rsidR="00C36726">
        <w:rPr>
          <w:spacing w:val="-3"/>
        </w:rPr>
        <w:t>etapas</w:t>
      </w:r>
      <w:r w:rsidR="00C36726" w:rsidRPr="004068F6" w:rsidDel="00C36726">
        <w:rPr>
          <w:rFonts w:cs="Arial"/>
        </w:rPr>
        <w:t xml:space="preserve"> </w:t>
      </w:r>
      <w:r w:rsidRPr="004068F6">
        <w:rPr>
          <w:rFonts w:cs="Arial"/>
        </w:rPr>
        <w:t xml:space="preserve">de ejecución del proyecto sin medidas de </w:t>
      </w:r>
      <w:r w:rsidR="00DB5F4B" w:rsidRPr="004068F6">
        <w:rPr>
          <w:rFonts w:cs="Arial"/>
        </w:rPr>
        <w:t>manejo</w:t>
      </w:r>
      <w:r w:rsidRPr="004068F6">
        <w:rPr>
          <w:rFonts w:cs="Arial"/>
        </w:rPr>
        <w:t>, considerando el escenario más crítico, bien sea por mayor operación, por condiciones meteorológicas adversas u otros que se identifiquen.</w:t>
      </w:r>
    </w:p>
    <w:p w14:paraId="02E001F3" w14:textId="77777777" w:rsidR="00077E48" w:rsidRDefault="00077E48" w:rsidP="00077E48">
      <w:pPr>
        <w:rPr>
          <w:rFonts w:cs="Arial"/>
        </w:rPr>
      </w:pPr>
    </w:p>
    <w:p w14:paraId="57B44FF4" w14:textId="77777777" w:rsidR="006706DF" w:rsidRPr="004068F6" w:rsidRDefault="006706DF" w:rsidP="006706DF">
      <w:bookmarkStart w:id="2546" w:name="_Hlk72341092"/>
      <w:r w:rsidRPr="004068F6">
        <w:rPr>
          <w:rFonts w:cs="Arial"/>
        </w:rPr>
        <w:t>La delimitación del área o región de potencial excedencia corresponde al área que resulte de la isopleta (isolínea de concentración) de mayor extensión entre los contaminantes modelizados que iguale el nivel máximo permisible vigente (</w:t>
      </w:r>
      <w:bookmarkStart w:id="2547" w:name="_Hlk72337832"/>
      <w:r w:rsidRPr="004068F6">
        <w:rPr>
          <w:rFonts w:cs="Arial"/>
        </w:rPr>
        <w:t xml:space="preserve">Resolución 2254 de 2017 y Resolución 1541 de 2013, </w:t>
      </w:r>
      <w:bookmarkEnd w:id="2547"/>
      <w:r w:rsidRPr="004068F6">
        <w:rPr>
          <w:rFonts w:cs="Arial"/>
        </w:rPr>
        <w:t>o aquellas que las modifiquen o sustituyan), incluyendo la concentración de fondo</w:t>
      </w:r>
      <w:r w:rsidRPr="00127BD4">
        <w:rPr>
          <w:rFonts w:cs="Arial"/>
          <w:vertAlign w:val="superscript"/>
        </w:rPr>
        <w:footnoteReference w:id="94"/>
      </w:r>
      <w:r w:rsidRPr="004068F6">
        <w:rPr>
          <w:rFonts w:cs="Arial"/>
        </w:rPr>
        <w:t xml:space="preserve"> para los periodos de exposición anual o de mayor tiempo de exposición</w:t>
      </w:r>
      <w:bookmarkEnd w:id="2546"/>
      <w:r w:rsidRPr="004068F6">
        <w:rPr>
          <w:rFonts w:cs="Arial"/>
        </w:rPr>
        <w:t>. Los contaminantes que se deben considerar como mínimo en la modelización son PM</w:t>
      </w:r>
      <w:r w:rsidRPr="004068F6">
        <w:rPr>
          <w:rFonts w:cs="Arial"/>
          <w:vertAlign w:val="subscript"/>
        </w:rPr>
        <w:t>10</w:t>
      </w:r>
      <w:r w:rsidRPr="004068F6">
        <w:rPr>
          <w:rFonts w:cs="Arial"/>
        </w:rPr>
        <w:t>, PM</w:t>
      </w:r>
      <w:r w:rsidRPr="004068F6">
        <w:rPr>
          <w:rFonts w:cs="Arial"/>
          <w:vertAlign w:val="subscript"/>
        </w:rPr>
        <w:t>2.5</w:t>
      </w:r>
      <w:r w:rsidRPr="004068F6">
        <w:rPr>
          <w:rFonts w:cs="Arial"/>
        </w:rPr>
        <w:t>, NO</w:t>
      </w:r>
      <w:r w:rsidRPr="004068F6">
        <w:rPr>
          <w:rFonts w:cs="Arial"/>
          <w:vertAlign w:val="subscript"/>
        </w:rPr>
        <w:t>2</w:t>
      </w:r>
      <w:r w:rsidRPr="004068F6">
        <w:rPr>
          <w:rFonts w:cs="Arial"/>
        </w:rPr>
        <w:t xml:space="preserve"> y aquellos que se relacionen en los términos de referencia. El SO</w:t>
      </w:r>
      <w:r w:rsidRPr="00127BD4">
        <w:rPr>
          <w:rFonts w:cs="Arial"/>
          <w:vertAlign w:val="subscript"/>
        </w:rPr>
        <w:t>2</w:t>
      </w:r>
      <w:r w:rsidRPr="004068F6">
        <w:rPr>
          <w:rFonts w:cs="Arial"/>
        </w:rPr>
        <w:t xml:space="preserve">, metales, las sustancias o mezclas de sustancias generadoras de olores ofensivos establecidas en la Resolución 1541 de 2013, modificada por la Resolución 672 de 2014, u otros contaminantes emitidos por las fuentes del proyecto en cada una de sus </w:t>
      </w:r>
      <w:r>
        <w:rPr>
          <w:spacing w:val="-3"/>
        </w:rPr>
        <w:t>etapas</w:t>
      </w:r>
      <w:r w:rsidRPr="004068F6">
        <w:rPr>
          <w:rFonts w:cs="Arial"/>
        </w:rPr>
        <w:t>,</w:t>
      </w:r>
      <w:r w:rsidRPr="004068F6">
        <w:rPr>
          <w:rFonts w:cs="Arial"/>
          <w:color w:val="92D050"/>
        </w:rPr>
        <w:t xml:space="preserve"> </w:t>
      </w:r>
      <w:r w:rsidRPr="004068F6">
        <w:rPr>
          <w:rFonts w:cs="Arial"/>
        </w:rPr>
        <w:t>deben ser incluidos de acuerdo con las actividades del proyecto y la valoración de impactos.</w:t>
      </w:r>
    </w:p>
    <w:p w14:paraId="35CB6A28" w14:textId="77777777" w:rsidR="006706DF" w:rsidRDefault="006706DF" w:rsidP="00077E48">
      <w:pPr>
        <w:rPr>
          <w:rFonts w:cs="Arial"/>
        </w:rPr>
      </w:pPr>
    </w:p>
    <w:p w14:paraId="516C85DB" w14:textId="69C6F870" w:rsidR="002F0466" w:rsidRPr="004068F6" w:rsidRDefault="002F0466" w:rsidP="002F0466">
      <w:pPr>
        <w:pStyle w:val="Descripcin"/>
        <w:jc w:val="center"/>
        <w:rPr>
          <w:rFonts w:cs="Arial"/>
          <w:b w:val="0"/>
          <w:spacing w:val="-3"/>
        </w:rPr>
      </w:pPr>
      <w:bookmarkStart w:id="2548" w:name="_Ref222928049"/>
      <w:r w:rsidRPr="004068F6">
        <w:rPr>
          <w:rFonts w:cs="Arial"/>
        </w:rPr>
        <w:t xml:space="preserve">Figura </w:t>
      </w:r>
      <w:r w:rsidR="004647AE">
        <w:rPr>
          <w:rFonts w:cs="Arial"/>
        </w:rPr>
        <w:fldChar w:fldCharType="begin"/>
      </w:r>
      <w:r w:rsidR="004647AE">
        <w:rPr>
          <w:rFonts w:cs="Arial"/>
        </w:rPr>
        <w:instrText xml:space="preserve"> SEQ Figura \* ARABIC </w:instrText>
      </w:r>
      <w:r w:rsidR="004647AE">
        <w:rPr>
          <w:rFonts w:cs="Arial"/>
        </w:rPr>
        <w:fldChar w:fldCharType="separate"/>
      </w:r>
      <w:r w:rsidR="009C4A81">
        <w:rPr>
          <w:rFonts w:cs="Arial"/>
          <w:noProof/>
        </w:rPr>
        <w:t>8</w:t>
      </w:r>
      <w:r w:rsidR="004647AE">
        <w:rPr>
          <w:rFonts w:cs="Arial"/>
        </w:rPr>
        <w:fldChar w:fldCharType="end"/>
      </w:r>
      <w:bookmarkEnd w:id="2548"/>
      <w:r w:rsidRPr="004068F6">
        <w:rPr>
          <w:rFonts w:cs="Arial"/>
        </w:rPr>
        <w:t>.</w:t>
      </w:r>
      <w:r w:rsidRPr="004068F6">
        <w:rPr>
          <w:rFonts w:cs="Arial"/>
          <w:b w:val="0"/>
        </w:rPr>
        <w:t xml:space="preserve"> Delimitación del área de influencia para calidad</w:t>
      </w:r>
      <w:r w:rsidRPr="004068F6">
        <w:rPr>
          <w:b w:val="0"/>
        </w:rPr>
        <w:t xml:space="preserve"> del </w:t>
      </w:r>
      <w:r w:rsidRPr="004068F6">
        <w:rPr>
          <w:rFonts w:cs="Arial"/>
          <w:b w:val="0"/>
        </w:rPr>
        <w:t>aire</w:t>
      </w:r>
    </w:p>
    <w:p w14:paraId="4B581007" w14:textId="77777777" w:rsidR="002F0466" w:rsidRPr="004068F6" w:rsidRDefault="002F0466" w:rsidP="002F0466">
      <w:pPr>
        <w:tabs>
          <w:tab w:val="left" w:pos="-2268"/>
        </w:tabs>
        <w:suppressAutoHyphens/>
        <w:jc w:val="center"/>
        <w:rPr>
          <w:rFonts w:cs="Arial"/>
          <w:spacing w:val="-3"/>
        </w:rPr>
      </w:pPr>
      <w:r w:rsidRPr="00AA2094">
        <w:rPr>
          <w:rFonts w:cs="Arial"/>
          <w:noProof/>
          <w:spacing w:val="-3"/>
          <w:lang w:eastAsia="es-CO"/>
        </w:rPr>
        <w:drawing>
          <wp:inline distT="0" distB="0" distL="0" distR="0" wp14:anchorId="1D6B6651" wp14:editId="3C40EEB8">
            <wp:extent cx="5249334" cy="2821412"/>
            <wp:effectExtent l="0" t="0" r="8890" b="0"/>
            <wp:docPr id="568110920" name="Imagen 568110920"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ma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0647" cy="2838242"/>
                    </a:xfrm>
                    <a:prstGeom prst="rect">
                      <a:avLst/>
                    </a:prstGeom>
                    <a:noFill/>
                    <a:ln>
                      <a:noFill/>
                    </a:ln>
                  </pic:spPr>
                </pic:pic>
              </a:graphicData>
            </a:graphic>
          </wp:inline>
        </w:drawing>
      </w:r>
    </w:p>
    <w:p w14:paraId="0C6BC4D9" w14:textId="77777777" w:rsidR="002F0466" w:rsidRPr="004068F6" w:rsidRDefault="002F0466" w:rsidP="002F0466">
      <w:pPr>
        <w:numPr>
          <w:ilvl w:val="12"/>
          <w:numId w:val="0"/>
        </w:numPr>
        <w:tabs>
          <w:tab w:val="left" w:pos="-2268"/>
        </w:tabs>
        <w:suppressAutoHyphens/>
        <w:jc w:val="center"/>
        <w:rPr>
          <w:rFonts w:cs="Arial"/>
          <w:spacing w:val="-3"/>
          <w:sz w:val="20"/>
          <w:szCs w:val="28"/>
        </w:rPr>
      </w:pPr>
      <w:r w:rsidRPr="004068F6">
        <w:rPr>
          <w:rFonts w:cs="Arial"/>
          <w:b/>
          <w:spacing w:val="-3"/>
          <w:sz w:val="20"/>
          <w:szCs w:val="28"/>
        </w:rPr>
        <w:t>Fuente:</w:t>
      </w:r>
      <w:r w:rsidRPr="004068F6">
        <w:rPr>
          <w:rFonts w:cs="Arial"/>
          <w:spacing w:val="-3"/>
          <w:sz w:val="20"/>
          <w:szCs w:val="28"/>
        </w:rPr>
        <w:t xml:space="preserve"> </w:t>
      </w:r>
      <w:r>
        <w:rPr>
          <w:rFonts w:cs="Arial"/>
          <w:spacing w:val="-3"/>
          <w:sz w:val="20"/>
          <w:szCs w:val="28"/>
        </w:rPr>
        <w:t>ANLA</w:t>
      </w:r>
      <w:r w:rsidRPr="004068F6">
        <w:rPr>
          <w:rFonts w:cs="Arial"/>
          <w:spacing w:val="-3"/>
          <w:sz w:val="20"/>
          <w:szCs w:val="28"/>
        </w:rPr>
        <w:t xml:space="preserve"> -202</w:t>
      </w:r>
      <w:r>
        <w:rPr>
          <w:rFonts w:cs="Arial"/>
          <w:spacing w:val="-3"/>
          <w:sz w:val="20"/>
          <w:szCs w:val="28"/>
        </w:rPr>
        <w:t>5</w:t>
      </w:r>
      <w:r w:rsidRPr="004068F6">
        <w:rPr>
          <w:rFonts w:cs="Arial"/>
          <w:spacing w:val="-3"/>
          <w:sz w:val="20"/>
          <w:szCs w:val="28"/>
        </w:rPr>
        <w:t>.</w:t>
      </w:r>
    </w:p>
    <w:p w14:paraId="2988825F" w14:textId="77777777" w:rsidR="002F0466" w:rsidRPr="004068F6" w:rsidRDefault="002F0466" w:rsidP="00077E48">
      <w:pPr>
        <w:rPr>
          <w:rFonts w:cs="Arial"/>
        </w:rPr>
      </w:pPr>
    </w:p>
    <w:p w14:paraId="7F72053F" w14:textId="1F6389B8" w:rsidR="00C00981" w:rsidRPr="004068F6" w:rsidRDefault="00C00981" w:rsidP="00C00981">
      <w:pPr>
        <w:numPr>
          <w:ilvl w:val="12"/>
          <w:numId w:val="0"/>
        </w:numPr>
        <w:tabs>
          <w:tab w:val="left" w:pos="-2268"/>
        </w:tabs>
        <w:suppressAutoHyphens/>
        <w:rPr>
          <w:rFonts w:cs="Arial"/>
          <w:spacing w:val="-3"/>
        </w:rPr>
      </w:pPr>
      <w:r w:rsidRPr="004068F6">
        <w:rPr>
          <w:rFonts w:cs="Arial"/>
          <w:spacing w:val="-3"/>
        </w:rPr>
        <w:t xml:space="preserve">Por su parte, la delimitación del área de influencia del factor ambiental ruido se debe basar en modelos de emisiones sonoras formulados a partir de las fuentes involucradas en el proyecto, obra o actividad de acuerdo con lo establecido en el numeral </w:t>
      </w:r>
      <w:r w:rsidRPr="004068F6">
        <w:rPr>
          <w:rFonts w:cs="Arial"/>
          <w:spacing w:val="-3"/>
        </w:rPr>
        <w:fldChar w:fldCharType="begin"/>
      </w:r>
      <w:r w:rsidRPr="004068F6">
        <w:rPr>
          <w:rFonts w:cs="Arial"/>
          <w:spacing w:val="-3"/>
        </w:rPr>
        <w:instrText xml:space="preserve"> REF _Ref79430805 \r \h  \* MERGEFORMAT </w:instrText>
      </w:r>
      <w:r w:rsidRPr="004068F6">
        <w:rPr>
          <w:rFonts w:cs="Arial"/>
          <w:spacing w:val="-3"/>
        </w:rPr>
      </w:r>
      <w:r w:rsidRPr="004068F6">
        <w:rPr>
          <w:rFonts w:cs="Arial"/>
          <w:spacing w:val="-3"/>
        </w:rPr>
        <w:fldChar w:fldCharType="separate"/>
      </w:r>
      <w:r w:rsidR="009C4A81">
        <w:rPr>
          <w:rFonts w:cs="Arial"/>
          <w:spacing w:val="-3"/>
        </w:rPr>
        <w:t>7.5</w:t>
      </w:r>
      <w:r w:rsidRPr="004068F6">
        <w:rPr>
          <w:rFonts w:cs="Arial"/>
          <w:spacing w:val="-3"/>
        </w:rPr>
        <w:fldChar w:fldCharType="end"/>
      </w:r>
      <w:r w:rsidRPr="004068F6">
        <w:rPr>
          <w:rFonts w:cs="Arial"/>
          <w:spacing w:val="-3"/>
        </w:rPr>
        <w:t xml:space="preserve"> de este capítulo.</w:t>
      </w:r>
    </w:p>
    <w:p w14:paraId="5440313B" w14:textId="77777777" w:rsidR="00C00981" w:rsidRDefault="00C00981" w:rsidP="00C00981">
      <w:pPr>
        <w:numPr>
          <w:ilvl w:val="12"/>
          <w:numId w:val="0"/>
        </w:numPr>
        <w:tabs>
          <w:tab w:val="left" w:pos="-2268"/>
        </w:tabs>
        <w:suppressAutoHyphens/>
        <w:rPr>
          <w:rFonts w:cs="Arial"/>
          <w:spacing w:val="-3"/>
        </w:rPr>
      </w:pPr>
    </w:p>
    <w:p w14:paraId="7498309F" w14:textId="77777777" w:rsidR="00F13592" w:rsidRPr="004068F6" w:rsidRDefault="00F13592" w:rsidP="00F13592">
      <w:pPr>
        <w:numPr>
          <w:ilvl w:val="12"/>
          <w:numId w:val="0"/>
        </w:numPr>
        <w:tabs>
          <w:tab w:val="left" w:pos="-2268"/>
        </w:tabs>
        <w:suppressAutoHyphens/>
        <w:rPr>
          <w:rFonts w:cs="Arial"/>
          <w:spacing w:val="-3"/>
        </w:rPr>
      </w:pPr>
      <w:r w:rsidRPr="004068F6">
        <w:rPr>
          <w:rFonts w:cs="Arial"/>
          <w:spacing w:val="-3"/>
        </w:rPr>
        <w:t xml:space="preserve">La delimitación del área de influencia del factor ruido, corresponde a la isófona generada para los indicadores LAeq,día y LAeq,noche para el escenario crítico del proyecto que represente el estándar máximo permisible más estricto menos 6 dB(A) en relación con el uso de suelo oficial donde se plantea emplazar el proyecto, obra o actividad. Por ejemplo, para un límite máximo de 75 dB(A), la isófona que delimita el área de influencia debe ser la asociada a la de 69 dB(A); la </w:t>
      </w:r>
      <w:r w:rsidRPr="004068F6">
        <w:rPr>
          <w:rFonts w:cs="Arial"/>
          <w:spacing w:val="-3"/>
        </w:rPr>
        <w:fldChar w:fldCharType="begin"/>
      </w:r>
      <w:r w:rsidRPr="004068F6">
        <w:rPr>
          <w:rFonts w:cs="Arial"/>
          <w:spacing w:val="-3"/>
        </w:rPr>
        <w:instrText xml:space="preserve"> REF _Ref79396375 \h  \* MERGEFORMAT </w:instrText>
      </w:r>
      <w:r w:rsidRPr="004068F6">
        <w:rPr>
          <w:rFonts w:cs="Arial"/>
          <w:spacing w:val="-3"/>
        </w:rPr>
      </w:r>
      <w:r w:rsidRPr="004068F6">
        <w:rPr>
          <w:rFonts w:cs="Arial"/>
          <w:spacing w:val="-3"/>
        </w:rPr>
        <w:fldChar w:fldCharType="separate"/>
      </w:r>
      <w:r w:rsidRPr="004068F6">
        <w:t xml:space="preserve">Figura </w:t>
      </w:r>
      <w:r>
        <w:t>9</w:t>
      </w:r>
      <w:r w:rsidRPr="004068F6">
        <w:rPr>
          <w:rFonts w:cs="Arial"/>
          <w:spacing w:val="-3"/>
        </w:rPr>
        <w:fldChar w:fldCharType="end"/>
      </w:r>
      <w:r w:rsidRPr="004068F6">
        <w:rPr>
          <w:rFonts w:cs="Arial"/>
          <w:spacing w:val="-3"/>
        </w:rPr>
        <w:t xml:space="preserve"> ejemplifica dicha situación. Lo anterior teniendo en cuenta que, para un límite máximo establecido, un nivel de ruido igual o superior a éste ya presenta un aporte de energía sonora en el entorno, reflejado en la manifestación de un impacto ambiental.</w:t>
      </w:r>
    </w:p>
    <w:p w14:paraId="0D8E3116" w14:textId="77777777" w:rsidR="00F13592" w:rsidRDefault="00F13592" w:rsidP="00F13592">
      <w:pPr>
        <w:numPr>
          <w:ilvl w:val="12"/>
          <w:numId w:val="0"/>
        </w:numPr>
        <w:tabs>
          <w:tab w:val="left" w:pos="-2268"/>
        </w:tabs>
        <w:suppressAutoHyphens/>
        <w:rPr>
          <w:rFonts w:cs="Arial"/>
          <w:spacing w:val="-3"/>
        </w:rPr>
      </w:pPr>
    </w:p>
    <w:p w14:paraId="192AAB46" w14:textId="77777777" w:rsidR="006706DF" w:rsidRDefault="006706DF" w:rsidP="00F13592">
      <w:pPr>
        <w:numPr>
          <w:ilvl w:val="12"/>
          <w:numId w:val="0"/>
        </w:numPr>
        <w:tabs>
          <w:tab w:val="left" w:pos="-2268"/>
        </w:tabs>
        <w:suppressAutoHyphens/>
        <w:rPr>
          <w:rFonts w:cs="Arial"/>
          <w:spacing w:val="-3"/>
        </w:rPr>
      </w:pPr>
    </w:p>
    <w:p w14:paraId="3DBD0EF6" w14:textId="77777777" w:rsidR="006706DF" w:rsidRDefault="006706DF" w:rsidP="00F13592">
      <w:pPr>
        <w:numPr>
          <w:ilvl w:val="12"/>
          <w:numId w:val="0"/>
        </w:numPr>
        <w:tabs>
          <w:tab w:val="left" w:pos="-2268"/>
        </w:tabs>
        <w:suppressAutoHyphens/>
        <w:rPr>
          <w:rFonts w:cs="Arial"/>
          <w:spacing w:val="-3"/>
        </w:rPr>
      </w:pPr>
    </w:p>
    <w:p w14:paraId="2BC14AEE" w14:textId="77777777" w:rsidR="006706DF" w:rsidRDefault="006706DF" w:rsidP="00F13592">
      <w:pPr>
        <w:numPr>
          <w:ilvl w:val="12"/>
          <w:numId w:val="0"/>
        </w:numPr>
        <w:tabs>
          <w:tab w:val="left" w:pos="-2268"/>
        </w:tabs>
        <w:suppressAutoHyphens/>
        <w:rPr>
          <w:rFonts w:cs="Arial"/>
          <w:spacing w:val="-3"/>
        </w:rPr>
      </w:pPr>
    </w:p>
    <w:p w14:paraId="52896E39" w14:textId="77777777" w:rsidR="006706DF" w:rsidRDefault="006706DF" w:rsidP="00F13592">
      <w:pPr>
        <w:numPr>
          <w:ilvl w:val="12"/>
          <w:numId w:val="0"/>
        </w:numPr>
        <w:tabs>
          <w:tab w:val="left" w:pos="-2268"/>
        </w:tabs>
        <w:suppressAutoHyphens/>
        <w:rPr>
          <w:rFonts w:cs="Arial"/>
          <w:spacing w:val="-3"/>
        </w:rPr>
      </w:pPr>
    </w:p>
    <w:p w14:paraId="0EEC3074" w14:textId="77777777" w:rsidR="006706DF" w:rsidRDefault="006706DF" w:rsidP="00F13592">
      <w:pPr>
        <w:numPr>
          <w:ilvl w:val="12"/>
          <w:numId w:val="0"/>
        </w:numPr>
        <w:tabs>
          <w:tab w:val="left" w:pos="-2268"/>
        </w:tabs>
        <w:suppressAutoHyphens/>
        <w:rPr>
          <w:rFonts w:cs="Arial"/>
          <w:spacing w:val="-3"/>
        </w:rPr>
      </w:pPr>
    </w:p>
    <w:p w14:paraId="28BBDCDE" w14:textId="77777777" w:rsidR="006706DF" w:rsidRDefault="006706DF" w:rsidP="00F13592">
      <w:pPr>
        <w:numPr>
          <w:ilvl w:val="12"/>
          <w:numId w:val="0"/>
        </w:numPr>
        <w:tabs>
          <w:tab w:val="left" w:pos="-2268"/>
        </w:tabs>
        <w:suppressAutoHyphens/>
        <w:rPr>
          <w:rFonts w:cs="Arial"/>
          <w:spacing w:val="-3"/>
        </w:rPr>
      </w:pPr>
    </w:p>
    <w:p w14:paraId="65922F81" w14:textId="77777777" w:rsidR="006706DF" w:rsidRDefault="006706DF" w:rsidP="00F13592">
      <w:pPr>
        <w:numPr>
          <w:ilvl w:val="12"/>
          <w:numId w:val="0"/>
        </w:numPr>
        <w:tabs>
          <w:tab w:val="left" w:pos="-2268"/>
        </w:tabs>
        <w:suppressAutoHyphens/>
        <w:rPr>
          <w:rFonts w:cs="Arial"/>
          <w:spacing w:val="-3"/>
        </w:rPr>
      </w:pPr>
    </w:p>
    <w:p w14:paraId="7998E82C" w14:textId="77777777" w:rsidR="006706DF" w:rsidRPr="004068F6" w:rsidRDefault="006706DF" w:rsidP="00F13592">
      <w:pPr>
        <w:numPr>
          <w:ilvl w:val="12"/>
          <w:numId w:val="0"/>
        </w:numPr>
        <w:tabs>
          <w:tab w:val="left" w:pos="-2268"/>
        </w:tabs>
        <w:suppressAutoHyphens/>
        <w:rPr>
          <w:rFonts w:cs="Arial"/>
          <w:spacing w:val="-3"/>
        </w:rPr>
      </w:pPr>
    </w:p>
    <w:p w14:paraId="3B0F6C66" w14:textId="143B2D96" w:rsidR="00077E48" w:rsidRPr="004068F6" w:rsidRDefault="00077E48" w:rsidP="00077E48">
      <w:pPr>
        <w:pStyle w:val="Descripcin"/>
        <w:jc w:val="center"/>
        <w:rPr>
          <w:rFonts w:cs="Arial"/>
          <w:b w:val="0"/>
          <w:spacing w:val="-3"/>
        </w:rPr>
      </w:pPr>
      <w:bookmarkStart w:id="2549" w:name="_Ref79396375"/>
      <w:r w:rsidRPr="004068F6">
        <w:lastRenderedPageBreak/>
        <w:t xml:space="preserve">Figura </w:t>
      </w:r>
      <w:fldSimple w:instr=" SEQ Figura \* ARABIC ">
        <w:r w:rsidR="009C4A81">
          <w:rPr>
            <w:noProof/>
          </w:rPr>
          <w:t>9</w:t>
        </w:r>
      </w:fldSimple>
      <w:bookmarkEnd w:id="2549"/>
      <w:r w:rsidR="00C75DF7" w:rsidRPr="004068F6">
        <w:t>.</w:t>
      </w:r>
      <w:r w:rsidRPr="004068F6">
        <w:rPr>
          <w:b w:val="0"/>
        </w:rPr>
        <w:t xml:space="preserve"> </w:t>
      </w:r>
      <w:r w:rsidRPr="004068F6">
        <w:rPr>
          <w:rFonts w:cs="Arial"/>
          <w:b w:val="0"/>
        </w:rPr>
        <w:t>Determinación del área de influencia para ruido</w:t>
      </w:r>
    </w:p>
    <w:p w14:paraId="59BE5E98" w14:textId="4FFC94AF" w:rsidR="00077E48" w:rsidRPr="004068F6" w:rsidRDefault="00AE66AF" w:rsidP="00127BD4">
      <w:pPr>
        <w:numPr>
          <w:ilvl w:val="12"/>
          <w:numId w:val="0"/>
        </w:numPr>
        <w:tabs>
          <w:tab w:val="left" w:pos="-2268"/>
        </w:tabs>
        <w:suppressAutoHyphens/>
        <w:jc w:val="center"/>
        <w:rPr>
          <w:rFonts w:cs="Arial"/>
          <w:spacing w:val="-3"/>
        </w:rPr>
      </w:pPr>
      <w:r w:rsidRPr="00AA2094">
        <w:rPr>
          <w:rFonts w:cs="Arial"/>
          <w:noProof/>
          <w:spacing w:val="-3"/>
        </w:rPr>
        <w:drawing>
          <wp:inline distT="0" distB="0" distL="0" distR="0" wp14:anchorId="6933531C" wp14:editId="0C272114">
            <wp:extent cx="3686175" cy="3335589"/>
            <wp:effectExtent l="0" t="0" r="0" b="0"/>
            <wp:docPr id="1058164331"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2243" cy="3431569"/>
                    </a:xfrm>
                    <a:prstGeom prst="rect">
                      <a:avLst/>
                    </a:prstGeom>
                    <a:noFill/>
                    <a:ln>
                      <a:noFill/>
                    </a:ln>
                  </pic:spPr>
                </pic:pic>
              </a:graphicData>
            </a:graphic>
          </wp:inline>
        </w:drawing>
      </w:r>
    </w:p>
    <w:p w14:paraId="773FC961" w14:textId="231E1EA6" w:rsidR="00077E48" w:rsidRPr="004068F6" w:rsidRDefault="00077E48" w:rsidP="00077E48">
      <w:pPr>
        <w:numPr>
          <w:ilvl w:val="12"/>
          <w:numId w:val="0"/>
        </w:numPr>
        <w:tabs>
          <w:tab w:val="left" w:pos="-2268"/>
        </w:tabs>
        <w:suppressAutoHyphens/>
        <w:jc w:val="center"/>
        <w:rPr>
          <w:rFonts w:cs="Arial"/>
          <w:spacing w:val="-3"/>
          <w:sz w:val="20"/>
          <w:szCs w:val="28"/>
        </w:rPr>
      </w:pPr>
      <w:r w:rsidRPr="004068F6">
        <w:rPr>
          <w:rFonts w:cs="Arial"/>
          <w:b/>
          <w:spacing w:val="-3"/>
          <w:sz w:val="20"/>
          <w:szCs w:val="28"/>
        </w:rPr>
        <w:t>Fuente:</w:t>
      </w:r>
      <w:r w:rsidRPr="004068F6">
        <w:rPr>
          <w:rFonts w:cs="Arial"/>
          <w:spacing w:val="-3"/>
          <w:sz w:val="20"/>
          <w:szCs w:val="28"/>
        </w:rPr>
        <w:t xml:space="preserve"> </w:t>
      </w:r>
      <w:r w:rsidR="001A36C8">
        <w:rPr>
          <w:rFonts w:cs="Arial"/>
          <w:spacing w:val="-3"/>
          <w:sz w:val="20"/>
          <w:szCs w:val="28"/>
        </w:rPr>
        <w:t>ANLA</w:t>
      </w:r>
      <w:r w:rsidR="001A36C8" w:rsidRPr="004068F6">
        <w:rPr>
          <w:rFonts w:cs="Arial"/>
          <w:spacing w:val="-3"/>
          <w:sz w:val="20"/>
          <w:szCs w:val="28"/>
        </w:rPr>
        <w:t xml:space="preserve"> </w:t>
      </w:r>
      <w:r w:rsidR="00067514" w:rsidRPr="004068F6">
        <w:rPr>
          <w:rFonts w:cs="Arial"/>
          <w:spacing w:val="-3"/>
          <w:sz w:val="20"/>
          <w:szCs w:val="28"/>
        </w:rPr>
        <w:t>-202</w:t>
      </w:r>
      <w:r w:rsidR="001A36C8">
        <w:rPr>
          <w:rFonts w:cs="Arial"/>
          <w:spacing w:val="-3"/>
          <w:sz w:val="20"/>
          <w:szCs w:val="28"/>
        </w:rPr>
        <w:t>5</w:t>
      </w:r>
      <w:r w:rsidRPr="004068F6">
        <w:rPr>
          <w:rFonts w:cs="Arial"/>
          <w:spacing w:val="-3"/>
          <w:sz w:val="20"/>
          <w:szCs w:val="28"/>
        </w:rPr>
        <w:t>.</w:t>
      </w:r>
    </w:p>
    <w:p w14:paraId="6B4DA26A" w14:textId="77777777" w:rsidR="00AF0B7F" w:rsidRDefault="00AF0B7F" w:rsidP="00AF0B7F">
      <w:pPr>
        <w:numPr>
          <w:ilvl w:val="12"/>
          <w:numId w:val="0"/>
        </w:numPr>
        <w:tabs>
          <w:tab w:val="left" w:pos="-2268"/>
        </w:tabs>
        <w:suppressAutoHyphens/>
        <w:rPr>
          <w:rFonts w:cs="Arial"/>
          <w:spacing w:val="-3"/>
        </w:rPr>
      </w:pPr>
    </w:p>
    <w:p w14:paraId="3695BD56" w14:textId="4EB830BF" w:rsidR="00077E48" w:rsidRPr="004068F6" w:rsidRDefault="007F45D3" w:rsidP="009420F5">
      <w:pPr>
        <w:pStyle w:val="Ttulo2"/>
        <w:rPr>
          <w:lang w:val="es-CO"/>
        </w:rPr>
      </w:pPr>
      <w:bookmarkStart w:id="2550" w:name="_Hlk153184690"/>
      <w:bookmarkStart w:id="2551" w:name="_Toc230879634"/>
      <w:r w:rsidRPr="004068F6">
        <w:rPr>
          <w:lang w:val="es-CO"/>
        </w:rPr>
        <w:t xml:space="preserve">LINEAMIENTOS PARA LA DELIMITACIÓN DEL ÁREA DE INFLUENCIA DEL </w:t>
      </w:r>
      <w:r w:rsidR="00077E48" w:rsidRPr="004068F6">
        <w:rPr>
          <w:lang w:val="es-CO"/>
        </w:rPr>
        <w:t>MEDIO BIÓTICO</w:t>
      </w:r>
      <w:bookmarkEnd w:id="2551"/>
    </w:p>
    <w:bookmarkEnd w:id="2550"/>
    <w:p w14:paraId="298D6D0D" w14:textId="77777777" w:rsidR="00077E48" w:rsidRPr="004068F6" w:rsidRDefault="00077E48" w:rsidP="00077E48">
      <w:pPr>
        <w:numPr>
          <w:ilvl w:val="12"/>
          <w:numId w:val="0"/>
        </w:numPr>
        <w:tabs>
          <w:tab w:val="left" w:pos="-2268"/>
        </w:tabs>
        <w:suppressAutoHyphens/>
        <w:rPr>
          <w:rFonts w:cs="Arial"/>
          <w:spacing w:val="-3"/>
        </w:rPr>
      </w:pPr>
    </w:p>
    <w:p w14:paraId="2FD6359E" w14:textId="0BCEF470" w:rsidR="00AD5499" w:rsidRPr="004068F6" w:rsidRDefault="00077E48" w:rsidP="00077E48">
      <w:pPr>
        <w:numPr>
          <w:ilvl w:val="12"/>
          <w:numId w:val="0"/>
        </w:numPr>
        <w:tabs>
          <w:tab w:val="left" w:pos="-2268"/>
        </w:tabs>
        <w:suppressAutoHyphens/>
        <w:rPr>
          <w:rFonts w:cs="Arial"/>
          <w:spacing w:val="-3"/>
        </w:rPr>
      </w:pPr>
      <w:bookmarkStart w:id="2552" w:name="_Hlk153184761"/>
      <w:r w:rsidRPr="004068F6">
        <w:rPr>
          <w:rFonts w:cs="Arial"/>
          <w:spacing w:val="-3"/>
        </w:rPr>
        <w:t xml:space="preserve">Este numeral brinda orientaciones para </w:t>
      </w:r>
      <w:r w:rsidR="00574400" w:rsidRPr="004068F6">
        <w:rPr>
          <w:rFonts w:cs="Arial"/>
          <w:spacing w:val="-3"/>
        </w:rPr>
        <w:t xml:space="preserve">determinar </w:t>
      </w:r>
      <w:r w:rsidRPr="004068F6">
        <w:rPr>
          <w:rFonts w:cs="Arial"/>
          <w:spacing w:val="-3"/>
        </w:rPr>
        <w:t xml:space="preserve">las unidades de análisis de los </w:t>
      </w:r>
      <w:r w:rsidR="001459D0" w:rsidRPr="004068F6">
        <w:rPr>
          <w:rFonts w:cs="Arial"/>
          <w:spacing w:val="-3"/>
        </w:rPr>
        <w:t xml:space="preserve">factores o </w:t>
      </w:r>
      <w:r w:rsidRPr="004068F6">
        <w:rPr>
          <w:rFonts w:cs="Arial"/>
          <w:spacing w:val="-3"/>
        </w:rPr>
        <w:t>componentes del medio biótico que pueden ser impactadas de forma significativa por un proyecto, obra o actividad.</w:t>
      </w:r>
    </w:p>
    <w:p w14:paraId="15874192" w14:textId="77777777" w:rsidR="00AD5499" w:rsidRPr="004068F6" w:rsidRDefault="00AD5499" w:rsidP="00077E48">
      <w:pPr>
        <w:numPr>
          <w:ilvl w:val="12"/>
          <w:numId w:val="0"/>
        </w:numPr>
        <w:tabs>
          <w:tab w:val="left" w:pos="-2268"/>
        </w:tabs>
        <w:suppressAutoHyphens/>
        <w:rPr>
          <w:rFonts w:cs="Arial"/>
          <w:spacing w:val="-3"/>
        </w:rPr>
      </w:pPr>
    </w:p>
    <w:p w14:paraId="319D5946" w14:textId="47648356" w:rsidR="00077E48" w:rsidRPr="00127BD4" w:rsidRDefault="00077E48" w:rsidP="00077E48">
      <w:pPr>
        <w:numPr>
          <w:ilvl w:val="12"/>
          <w:numId w:val="0"/>
        </w:numPr>
        <w:tabs>
          <w:tab w:val="left" w:pos="-2268"/>
        </w:tabs>
        <w:suppressAutoHyphens/>
        <w:rPr>
          <w:rFonts w:cs="Arial"/>
          <w:spacing w:val="-3"/>
        </w:rPr>
      </w:pPr>
      <w:r w:rsidRPr="004068F6">
        <w:rPr>
          <w:rFonts w:cs="Arial"/>
          <w:spacing w:val="-3"/>
        </w:rPr>
        <w:t xml:space="preserve">Tales orientaciones, ordenadas procedimentalmente, corresponden a: i) verificación de la posibilidad de que una unidad de análisis sea impactada dadas sus condiciones intrínsecas, ii) </w:t>
      </w:r>
      <w:r w:rsidR="00AD5499" w:rsidRPr="004068F6">
        <w:rPr>
          <w:rFonts w:cs="Arial"/>
          <w:spacing w:val="-3"/>
        </w:rPr>
        <w:t>determinación del alcance de la manifestación de los impactos</w:t>
      </w:r>
      <w:r w:rsidR="003D3805" w:rsidRPr="004068F6">
        <w:rPr>
          <w:rFonts w:cs="Arial"/>
          <w:spacing w:val="-3"/>
        </w:rPr>
        <w:t xml:space="preserve"> y</w:t>
      </w:r>
      <w:r w:rsidRPr="004068F6">
        <w:rPr>
          <w:rFonts w:cs="Arial"/>
          <w:spacing w:val="-3"/>
        </w:rPr>
        <w:t xml:space="preserve">, iii) consideración de </w:t>
      </w:r>
      <w:r w:rsidRPr="004068F6">
        <w:rPr>
          <w:rFonts w:cs="Arial"/>
        </w:rPr>
        <w:t xml:space="preserve">la conectividad ecológica como elemento para </w:t>
      </w:r>
      <w:r w:rsidR="00A51056" w:rsidRPr="004068F6">
        <w:rPr>
          <w:rFonts w:cs="Arial"/>
        </w:rPr>
        <w:t xml:space="preserve">determinar </w:t>
      </w:r>
      <w:r w:rsidRPr="004068F6">
        <w:rPr>
          <w:rFonts w:cs="Arial"/>
        </w:rPr>
        <w:t>impactos significativos</w:t>
      </w:r>
      <w:r w:rsidR="00E243AA" w:rsidRPr="004068F6">
        <w:rPr>
          <w:rFonts w:cs="Arial"/>
        </w:rPr>
        <w:t>, en caso de aplicar</w:t>
      </w:r>
      <w:r w:rsidR="006D6296" w:rsidRPr="004068F6">
        <w:rPr>
          <w:rFonts w:cs="Arial"/>
        </w:rPr>
        <w:t>.</w:t>
      </w:r>
    </w:p>
    <w:p w14:paraId="7C76AC31" w14:textId="77777777" w:rsidR="00077E48" w:rsidRPr="004068F6" w:rsidRDefault="00077E48" w:rsidP="00077E48">
      <w:pPr>
        <w:numPr>
          <w:ilvl w:val="12"/>
          <w:numId w:val="0"/>
        </w:numPr>
        <w:tabs>
          <w:tab w:val="left" w:pos="-2268"/>
        </w:tabs>
        <w:suppressAutoHyphens/>
        <w:rPr>
          <w:rFonts w:cs="Arial"/>
          <w:spacing w:val="-3"/>
        </w:rPr>
      </w:pPr>
    </w:p>
    <w:p w14:paraId="6FB8C4DD" w14:textId="6637DEBE"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Antes de mencionar estas orientaciones</w:t>
      </w:r>
      <w:r w:rsidR="00CC511D" w:rsidRPr="004068F6">
        <w:rPr>
          <w:rFonts w:cs="Arial"/>
          <w:spacing w:val="-3"/>
        </w:rPr>
        <w:t>,</w:t>
      </w:r>
      <w:r w:rsidRPr="004068F6">
        <w:rPr>
          <w:rFonts w:cs="Arial"/>
          <w:spacing w:val="-3"/>
        </w:rPr>
        <w:t xml:space="preserve"> es importante reconocer que los impactos que un proyecto, obra o actividad puede </w:t>
      </w:r>
      <w:r w:rsidR="00BD4398" w:rsidRPr="004068F6">
        <w:rPr>
          <w:rFonts w:cs="Arial"/>
          <w:spacing w:val="-3"/>
        </w:rPr>
        <w:t xml:space="preserve">generar </w:t>
      </w:r>
      <w:r w:rsidRPr="004068F6">
        <w:rPr>
          <w:rFonts w:cs="Arial"/>
          <w:spacing w:val="-3"/>
        </w:rPr>
        <w:t xml:space="preserve">sobre un ecosistema no son solamente los que se evidencian de manera inmediata por la intervención o cambio de una cobertura vegetal en el área </w:t>
      </w:r>
      <w:r w:rsidR="00F53A6E" w:rsidRPr="004068F6">
        <w:rPr>
          <w:rFonts w:cs="Arial"/>
          <w:spacing w:val="-3"/>
        </w:rPr>
        <w:t>por</w:t>
      </w:r>
      <w:r w:rsidRPr="004068F6">
        <w:rPr>
          <w:rFonts w:cs="Arial"/>
          <w:spacing w:val="-3"/>
        </w:rPr>
        <w:t xml:space="preserve"> intervenir, sino que dadas las relaciones </w:t>
      </w:r>
      <w:r w:rsidR="00A7560A" w:rsidRPr="004068F6">
        <w:rPr>
          <w:rFonts w:cs="Arial"/>
          <w:spacing w:val="-3"/>
        </w:rPr>
        <w:t xml:space="preserve">complejas de sus elementos </w:t>
      </w:r>
      <w:r w:rsidRPr="004068F6">
        <w:rPr>
          <w:rFonts w:cs="Arial"/>
          <w:spacing w:val="-3"/>
        </w:rPr>
        <w:t xml:space="preserve">y procesos ecológicos, </w:t>
      </w:r>
      <w:r w:rsidR="00A7560A" w:rsidRPr="004068F6">
        <w:rPr>
          <w:rFonts w:cs="Arial"/>
          <w:spacing w:val="-3"/>
        </w:rPr>
        <w:t xml:space="preserve">los impactos </w:t>
      </w:r>
      <w:r w:rsidRPr="004068F6">
        <w:rPr>
          <w:rFonts w:cs="Arial"/>
          <w:spacing w:val="-3"/>
        </w:rPr>
        <w:t xml:space="preserve">también pueden ser indirectos </w:t>
      </w:r>
      <w:r w:rsidR="007B5EC5" w:rsidRPr="004068F6">
        <w:rPr>
          <w:rFonts w:cs="Arial"/>
          <w:spacing w:val="-3"/>
        </w:rPr>
        <w:t xml:space="preserve">y sinérgicos </w:t>
      </w:r>
      <w:r w:rsidRPr="004068F6">
        <w:rPr>
          <w:rFonts w:cs="Arial"/>
          <w:spacing w:val="-3"/>
        </w:rPr>
        <w:t>y alterar por ejemplo, la conectividad ecológica, la distribución de especies de fauna silvestre en áreas aledañas y en general, el flujo de materia e información a través de los ecosistemas.</w:t>
      </w:r>
    </w:p>
    <w:p w14:paraId="1E65563C" w14:textId="77777777" w:rsidR="00077E48" w:rsidRPr="004068F6" w:rsidRDefault="00077E48" w:rsidP="00077E48"/>
    <w:p w14:paraId="30AA10B1" w14:textId="0AA8E8C0" w:rsidR="00077E48" w:rsidRPr="004068F6" w:rsidRDefault="00077E48" w:rsidP="00077E48">
      <w:pPr>
        <w:rPr>
          <w:rFonts w:cs="Arial"/>
          <w:spacing w:val="-3"/>
        </w:rPr>
      </w:pPr>
      <w:r w:rsidRPr="004068F6">
        <w:rPr>
          <w:rFonts w:cs="Arial"/>
          <w:spacing w:val="-3"/>
        </w:rPr>
        <w:t xml:space="preserve">Por lo anterior, resulta fundamental que las unidades de análisis que se seleccionen para la delimitación del área de </w:t>
      </w:r>
      <w:r w:rsidR="008B4E79" w:rsidRPr="004068F6">
        <w:rPr>
          <w:rFonts w:cs="Arial"/>
          <w:spacing w:val="-3"/>
        </w:rPr>
        <w:t>influencia</w:t>
      </w:r>
      <w:r w:rsidRPr="004068F6">
        <w:rPr>
          <w:rFonts w:cs="Arial"/>
          <w:spacing w:val="-3"/>
        </w:rPr>
        <w:t xml:space="preserve"> permitan evidenciar las características de composición, estructura y función de los </w:t>
      </w:r>
      <w:r w:rsidR="00B35779" w:rsidRPr="004068F6">
        <w:rPr>
          <w:rFonts w:cs="Arial"/>
          <w:spacing w:val="-3"/>
        </w:rPr>
        <w:t>ecosistemas</w:t>
      </w:r>
      <w:r w:rsidRPr="004068F6">
        <w:rPr>
          <w:rFonts w:cs="Arial"/>
          <w:spacing w:val="-3"/>
        </w:rPr>
        <w:t xml:space="preserve">, especialmente de elementos </w:t>
      </w:r>
      <w:r w:rsidR="00B35779" w:rsidRPr="004068F6">
        <w:rPr>
          <w:rFonts w:cs="Arial"/>
          <w:spacing w:val="-3"/>
        </w:rPr>
        <w:t xml:space="preserve">que los hacen </w:t>
      </w:r>
      <w:r w:rsidRPr="004068F6">
        <w:rPr>
          <w:rFonts w:cs="Arial"/>
          <w:spacing w:val="-3"/>
        </w:rPr>
        <w:t xml:space="preserve">sensibles como las especies con distribución restringida o hábitats </w:t>
      </w:r>
      <w:r w:rsidR="00B35779" w:rsidRPr="004068F6">
        <w:rPr>
          <w:rFonts w:cs="Arial"/>
          <w:spacing w:val="-3"/>
        </w:rPr>
        <w:t xml:space="preserve">con condiciones muy peculiares </w:t>
      </w:r>
      <w:r w:rsidRPr="004068F6">
        <w:rPr>
          <w:rFonts w:cs="Arial"/>
          <w:spacing w:val="-3"/>
        </w:rPr>
        <w:t>que puedan resultar impactad</w:t>
      </w:r>
      <w:r w:rsidR="00B35779" w:rsidRPr="004068F6">
        <w:rPr>
          <w:rFonts w:cs="Arial"/>
          <w:spacing w:val="-3"/>
        </w:rPr>
        <w:t>o</w:t>
      </w:r>
      <w:r w:rsidRPr="004068F6">
        <w:rPr>
          <w:rFonts w:cs="Arial"/>
          <w:spacing w:val="-3"/>
        </w:rPr>
        <w:t>s.</w:t>
      </w:r>
    </w:p>
    <w:p w14:paraId="074F286D" w14:textId="77777777" w:rsidR="00077E48" w:rsidRPr="004068F6" w:rsidRDefault="00077E48" w:rsidP="00077E48">
      <w:pPr>
        <w:rPr>
          <w:rFonts w:cs="Arial"/>
          <w:spacing w:val="-3"/>
        </w:rPr>
      </w:pPr>
    </w:p>
    <w:p w14:paraId="02CE9413" w14:textId="5CBEA0B5"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 xml:space="preserve">A este respecto, es importante tener en cuenta que las comunidades faunísticas se relacionan con las coberturas de la tierra y los ecosistemas </w:t>
      </w:r>
      <w:r w:rsidR="007B5EC5" w:rsidRPr="004068F6">
        <w:rPr>
          <w:rFonts w:cs="Arial"/>
          <w:spacing w:val="-3"/>
        </w:rPr>
        <w:t>terrestres y acuáticos</w:t>
      </w:r>
      <w:r w:rsidR="00EF0B88" w:rsidRPr="004068F6">
        <w:rPr>
          <w:rFonts w:cs="Arial"/>
          <w:spacing w:val="-3"/>
        </w:rPr>
        <w:t>,</w:t>
      </w:r>
      <w:r w:rsidR="007B5EC5" w:rsidRPr="004068F6">
        <w:rPr>
          <w:rFonts w:cs="Arial"/>
          <w:spacing w:val="-3"/>
        </w:rPr>
        <w:t xml:space="preserve"> </w:t>
      </w:r>
      <w:r w:rsidRPr="004068F6">
        <w:rPr>
          <w:rFonts w:cs="Arial"/>
          <w:spacing w:val="-3"/>
        </w:rPr>
        <w:t>de acuerdo con la oferta de alimento y la posibilidad de desplazamiento que ést</w:t>
      </w:r>
      <w:r w:rsidR="00EF0B88" w:rsidRPr="004068F6">
        <w:rPr>
          <w:rFonts w:cs="Arial"/>
          <w:spacing w:val="-3"/>
        </w:rPr>
        <w:t>o</w:t>
      </w:r>
      <w:r w:rsidRPr="004068F6">
        <w:rPr>
          <w:rFonts w:cs="Arial"/>
          <w:spacing w:val="-3"/>
        </w:rPr>
        <w:t xml:space="preserve">s proveen y que son esenciales para su subsistencia; por ello, la delimitación del área de influencia del medio biótico debe considerar </w:t>
      </w:r>
      <w:r w:rsidR="00C173CD" w:rsidRPr="004068F6">
        <w:rPr>
          <w:rFonts w:cs="Arial"/>
          <w:spacing w:val="-3"/>
        </w:rPr>
        <w:t xml:space="preserve">la forma en que el proyecto </w:t>
      </w:r>
      <w:r w:rsidR="00D07D94" w:rsidRPr="004068F6">
        <w:rPr>
          <w:rFonts w:cs="Arial"/>
          <w:spacing w:val="-3"/>
        </w:rPr>
        <w:t xml:space="preserve">altera </w:t>
      </w:r>
      <w:r w:rsidRPr="004068F6">
        <w:rPr>
          <w:rFonts w:cs="Arial"/>
          <w:spacing w:val="-3"/>
        </w:rPr>
        <w:t xml:space="preserve">las relaciones entre la continuidad de las coberturas y ecosistemas presentes, los rangos de hogar de las especies de fauna </w:t>
      </w:r>
      <w:r w:rsidRPr="004068F6">
        <w:rPr>
          <w:rFonts w:cs="Arial"/>
        </w:rPr>
        <w:t>silvestre de mayor importancia</w:t>
      </w:r>
      <w:r w:rsidRPr="004068F6">
        <w:rPr>
          <w:rFonts w:cs="Arial"/>
          <w:spacing w:val="-3"/>
        </w:rPr>
        <w:t xml:space="preserve"> y </w:t>
      </w:r>
      <w:r w:rsidR="006B76C3" w:rsidRPr="004068F6">
        <w:rPr>
          <w:rFonts w:cs="Arial"/>
          <w:spacing w:val="-3"/>
        </w:rPr>
        <w:t xml:space="preserve">los </w:t>
      </w:r>
      <w:r w:rsidRPr="004068F6">
        <w:rPr>
          <w:rFonts w:cs="Arial"/>
          <w:spacing w:val="-3"/>
        </w:rPr>
        <w:t>corredores de movilidad para las especies</w:t>
      </w:r>
      <w:r w:rsidR="00241966">
        <w:rPr>
          <w:rFonts w:cs="Arial"/>
          <w:spacing w:val="-3"/>
        </w:rPr>
        <w:t>, entre otros</w:t>
      </w:r>
      <w:r w:rsidRPr="004068F6">
        <w:rPr>
          <w:rFonts w:cs="Arial"/>
          <w:spacing w:val="-3"/>
        </w:rPr>
        <w:t>.</w:t>
      </w:r>
    </w:p>
    <w:p w14:paraId="4A135267" w14:textId="77777777" w:rsidR="00077E48" w:rsidRPr="004068F6" w:rsidRDefault="00077E48" w:rsidP="00077E48">
      <w:pPr>
        <w:rPr>
          <w:rFonts w:cs="Arial"/>
          <w:spacing w:val="-3"/>
        </w:rPr>
      </w:pPr>
    </w:p>
    <w:p w14:paraId="624D076B" w14:textId="0A222ADB" w:rsidR="00077E48" w:rsidRPr="004068F6" w:rsidRDefault="00077E48" w:rsidP="00077E48">
      <w:pPr>
        <w:rPr>
          <w:rFonts w:cs="Arial"/>
          <w:spacing w:val="-3"/>
        </w:rPr>
      </w:pPr>
      <w:r w:rsidRPr="004068F6">
        <w:rPr>
          <w:rFonts w:cs="Arial"/>
          <w:spacing w:val="-3"/>
        </w:rPr>
        <w:t>A continuación</w:t>
      </w:r>
      <w:r w:rsidR="00C07B4E" w:rsidRPr="004068F6">
        <w:rPr>
          <w:rFonts w:cs="Arial"/>
          <w:spacing w:val="-3"/>
        </w:rPr>
        <w:t>,</w:t>
      </w:r>
      <w:r w:rsidRPr="004068F6">
        <w:rPr>
          <w:rFonts w:cs="Arial"/>
          <w:spacing w:val="-3"/>
        </w:rPr>
        <w:t xml:space="preserve"> se </w:t>
      </w:r>
      <w:r w:rsidR="00CC511D" w:rsidRPr="004068F6">
        <w:rPr>
          <w:rFonts w:cs="Arial"/>
          <w:spacing w:val="-3"/>
        </w:rPr>
        <w:t xml:space="preserve">señalan </w:t>
      </w:r>
      <w:r w:rsidRPr="004068F6">
        <w:rPr>
          <w:rFonts w:cs="Arial"/>
          <w:spacing w:val="-3"/>
        </w:rPr>
        <w:t>las orientaciones que se deben tener en cuenta para seleccionar las unidades de análisis que harán parte del área de influencia:</w:t>
      </w:r>
    </w:p>
    <w:bookmarkEnd w:id="2552"/>
    <w:p w14:paraId="40228816" w14:textId="77777777" w:rsidR="00077E48" w:rsidRPr="004068F6" w:rsidRDefault="00077E48" w:rsidP="00077E48">
      <w:pPr>
        <w:rPr>
          <w:rFonts w:cs="Arial"/>
          <w:spacing w:val="-3"/>
        </w:rPr>
      </w:pPr>
    </w:p>
    <w:p w14:paraId="07CB8345" w14:textId="69B825E0" w:rsidR="00077E48" w:rsidRPr="00466E26" w:rsidRDefault="00077E48" w:rsidP="000A1E20">
      <w:pPr>
        <w:pStyle w:val="Ttulo3"/>
      </w:pPr>
      <w:bookmarkStart w:id="2553" w:name="_Toc230879635"/>
      <w:r w:rsidRPr="00466E26">
        <w:t>Verificación de la posibilidad de que una unidad de análisis sea impactada</w:t>
      </w:r>
      <w:bookmarkEnd w:id="2553"/>
    </w:p>
    <w:p w14:paraId="2577A84A" w14:textId="77777777" w:rsidR="00077E48" w:rsidRPr="004068F6" w:rsidRDefault="00077E48" w:rsidP="00077E48">
      <w:pPr>
        <w:rPr>
          <w:rFonts w:cs="Arial"/>
          <w:spacing w:val="-3"/>
        </w:rPr>
      </w:pPr>
    </w:p>
    <w:p w14:paraId="7A7FD786" w14:textId="7C14667A" w:rsidR="00077E48" w:rsidRPr="004068F6" w:rsidRDefault="00077E48" w:rsidP="00077E48">
      <w:pPr>
        <w:rPr>
          <w:rFonts w:cs="Arial"/>
        </w:rPr>
      </w:pPr>
      <w:r w:rsidRPr="004068F6">
        <w:rPr>
          <w:rFonts w:cs="Arial"/>
          <w:spacing w:val="-3"/>
        </w:rPr>
        <w:t>Una vez se seleccionan y dividen</w:t>
      </w:r>
      <w:r w:rsidR="009A5D47" w:rsidRPr="004068F6">
        <w:rPr>
          <w:rFonts w:cs="Arial"/>
          <w:spacing w:val="-3"/>
        </w:rPr>
        <w:t xml:space="preserve"> </w:t>
      </w:r>
      <w:r w:rsidRPr="004068F6">
        <w:rPr>
          <w:rFonts w:cs="Arial"/>
          <w:spacing w:val="-3"/>
        </w:rPr>
        <w:t>las unidades de análisis (que como se m</w:t>
      </w:r>
      <w:r w:rsidR="0020169D" w:rsidRPr="004068F6">
        <w:rPr>
          <w:rFonts w:cs="Arial"/>
          <w:spacing w:val="-3"/>
        </w:rPr>
        <w:t xml:space="preserve">uestra </w:t>
      </w:r>
      <w:r w:rsidRPr="004068F6">
        <w:rPr>
          <w:rFonts w:cs="Arial"/>
          <w:spacing w:val="-3"/>
        </w:rPr>
        <w:t xml:space="preserve">en la </w:t>
      </w:r>
      <w:r w:rsidR="00F20A7A" w:rsidRPr="004068F6">
        <w:rPr>
          <w:rFonts w:cs="Arial"/>
          <w:spacing w:val="-3"/>
        </w:rPr>
        <w:fldChar w:fldCharType="begin"/>
      </w:r>
      <w:r w:rsidR="00F20A7A" w:rsidRPr="004068F6">
        <w:rPr>
          <w:rFonts w:cs="Arial"/>
          <w:spacing w:val="-3"/>
        </w:rPr>
        <w:instrText xml:space="preserve"> REF _Ref68252303 \h </w:instrText>
      </w:r>
      <w:r w:rsidR="00063E02" w:rsidRPr="004068F6">
        <w:rPr>
          <w:rFonts w:cs="Arial"/>
          <w:spacing w:val="-3"/>
        </w:rPr>
        <w:instrText xml:space="preserve"> \* MERGEFORMAT </w:instrText>
      </w:r>
      <w:r w:rsidR="00F20A7A" w:rsidRPr="004068F6">
        <w:rPr>
          <w:rFonts w:cs="Arial"/>
          <w:spacing w:val="-3"/>
        </w:rPr>
      </w:r>
      <w:r w:rsidR="00F20A7A" w:rsidRPr="004068F6">
        <w:rPr>
          <w:rFonts w:cs="Arial"/>
          <w:spacing w:val="-3"/>
        </w:rPr>
        <w:fldChar w:fldCharType="separate"/>
      </w:r>
      <w:r w:rsidR="009C4A81" w:rsidRPr="004068F6">
        <w:t xml:space="preserve">Tabla </w:t>
      </w:r>
      <w:r w:rsidR="009C4A81">
        <w:t>16</w:t>
      </w:r>
      <w:r w:rsidR="00F20A7A" w:rsidRPr="004068F6">
        <w:rPr>
          <w:rFonts w:cs="Arial"/>
          <w:spacing w:val="-3"/>
        </w:rPr>
        <w:fldChar w:fldCharType="end"/>
      </w:r>
      <w:r w:rsidR="00F20A7A" w:rsidRPr="004068F6">
        <w:rPr>
          <w:rFonts w:cs="Arial"/>
          <w:spacing w:val="-3"/>
        </w:rPr>
        <w:t xml:space="preserve"> </w:t>
      </w:r>
      <w:r w:rsidRPr="004068F6">
        <w:rPr>
          <w:rFonts w:cs="Arial"/>
          <w:spacing w:val="-3"/>
        </w:rPr>
        <w:t>pueden se</w:t>
      </w:r>
      <w:r w:rsidR="00C07B4E" w:rsidRPr="004068F6">
        <w:rPr>
          <w:rFonts w:cs="Arial"/>
          <w:spacing w:val="-3"/>
        </w:rPr>
        <w:t>r</w:t>
      </w:r>
      <w:r w:rsidRPr="004068F6">
        <w:rPr>
          <w:rFonts w:cs="Arial"/>
          <w:spacing w:val="-3"/>
        </w:rPr>
        <w:t xml:space="preserve"> ecosistemas o unidades de cobertura de la tierra) en unidades más pequeñas</w:t>
      </w:r>
      <w:r w:rsidRPr="004068F6">
        <w:rPr>
          <w:rFonts w:cs="Arial"/>
        </w:rPr>
        <w:t xml:space="preserve">, </w:t>
      </w:r>
      <w:r w:rsidR="009A5D47" w:rsidRPr="004068F6">
        <w:rPr>
          <w:rFonts w:cs="Arial"/>
          <w:spacing w:val="-3"/>
        </w:rPr>
        <w:t xml:space="preserve">si ello es posible, </w:t>
      </w:r>
      <w:r w:rsidRPr="004068F6">
        <w:rPr>
          <w:rFonts w:cs="Arial"/>
        </w:rPr>
        <w:t xml:space="preserve">se debe </w:t>
      </w:r>
      <w:r w:rsidR="00574400" w:rsidRPr="004068F6">
        <w:rPr>
          <w:rFonts w:cs="Arial"/>
        </w:rPr>
        <w:t xml:space="preserve">determinar </w:t>
      </w:r>
      <w:r w:rsidRPr="004068F6">
        <w:rPr>
          <w:rFonts w:cs="Arial"/>
        </w:rPr>
        <w:t xml:space="preserve">si dada la naturaleza de tales unidades es posible que en ellas se presente el impacto ambiental objeto de estudio; por ejemplo, una alteración en la distribución de cierta especie silvestre </w:t>
      </w:r>
      <w:r w:rsidR="009A5D47" w:rsidRPr="004068F6">
        <w:rPr>
          <w:rFonts w:cs="Arial"/>
        </w:rPr>
        <w:t xml:space="preserve">podría </w:t>
      </w:r>
      <w:r w:rsidRPr="004068F6">
        <w:rPr>
          <w:rFonts w:cs="Arial"/>
        </w:rPr>
        <w:t>presentarse en áreas con coberturas naturales o poco intervenidas, pero no en áreas urbanas o muy alteradas.</w:t>
      </w:r>
    </w:p>
    <w:p w14:paraId="157C3C2C" w14:textId="77777777" w:rsidR="00077E48" w:rsidRPr="004068F6" w:rsidRDefault="00077E48" w:rsidP="00077E48">
      <w:pPr>
        <w:rPr>
          <w:rFonts w:cs="Arial"/>
        </w:rPr>
      </w:pPr>
    </w:p>
    <w:p w14:paraId="5A1D2DA3" w14:textId="4EF4CE67" w:rsidR="00077E48" w:rsidRPr="00466E26" w:rsidRDefault="00D534E3" w:rsidP="000A1E20">
      <w:pPr>
        <w:pStyle w:val="Ttulo3"/>
      </w:pPr>
      <w:bookmarkStart w:id="2554" w:name="_Toc230879636"/>
      <w:r w:rsidRPr="00466E26">
        <w:t xml:space="preserve">Determinación </w:t>
      </w:r>
      <w:r w:rsidR="00077E48" w:rsidRPr="00466E26">
        <w:t>de</w:t>
      </w:r>
      <w:r w:rsidR="00B825F5" w:rsidRPr="00466E26">
        <w:t>l</w:t>
      </w:r>
      <w:r w:rsidR="00077E48" w:rsidRPr="00466E26">
        <w:t xml:space="preserve"> </w:t>
      </w:r>
      <w:r w:rsidR="00B825F5" w:rsidRPr="00466E26">
        <w:t xml:space="preserve">alcance de la manifestación de </w:t>
      </w:r>
      <w:r w:rsidR="00077E48" w:rsidRPr="00466E26">
        <w:t>los impactos</w:t>
      </w:r>
      <w:bookmarkEnd w:id="2554"/>
    </w:p>
    <w:p w14:paraId="2C6CB543" w14:textId="77777777" w:rsidR="00077E48" w:rsidRPr="004068F6" w:rsidRDefault="00077E48" w:rsidP="00077E48">
      <w:pPr>
        <w:rPr>
          <w:rFonts w:cs="Arial"/>
        </w:rPr>
      </w:pPr>
    </w:p>
    <w:p w14:paraId="61728628" w14:textId="20AB504A" w:rsidR="00077E48" w:rsidRPr="004068F6" w:rsidRDefault="00077E48" w:rsidP="00077E48">
      <w:pPr>
        <w:rPr>
          <w:rFonts w:cs="Arial"/>
        </w:rPr>
      </w:pPr>
      <w:r w:rsidRPr="004068F6">
        <w:rPr>
          <w:rFonts w:cs="Arial"/>
        </w:rPr>
        <w:t>Es necesario verificar que en las unidades de análisis que por su naturaleza pueden ser impactadas, efectivamente se presente el impacto que genera el proyecto, obra o actividad evaluando la capacidad del impacto de trascender de una unidad a otra</w:t>
      </w:r>
      <w:r w:rsidR="00B825F5" w:rsidRPr="004068F6">
        <w:rPr>
          <w:rFonts w:cs="Arial"/>
        </w:rPr>
        <w:t>,</w:t>
      </w:r>
      <w:r w:rsidRPr="004068F6">
        <w:rPr>
          <w:rFonts w:cs="Arial"/>
        </w:rPr>
        <w:t xml:space="preserve"> </w:t>
      </w:r>
      <w:r w:rsidR="00135EFD" w:rsidRPr="004068F6">
        <w:rPr>
          <w:rFonts w:cs="Arial"/>
        </w:rPr>
        <w:t xml:space="preserve">considerando para ello </w:t>
      </w:r>
      <w:r w:rsidRPr="004068F6">
        <w:rPr>
          <w:rFonts w:cs="Arial"/>
        </w:rPr>
        <w:t>las barreras que pueden impedir su manifestación</w:t>
      </w:r>
      <w:r w:rsidR="00B825F5" w:rsidRPr="004068F6">
        <w:rPr>
          <w:rFonts w:cs="Arial"/>
        </w:rPr>
        <w:t xml:space="preserve"> y la forma en que se d</w:t>
      </w:r>
      <w:r w:rsidR="00B825F5" w:rsidRPr="004068F6">
        <w:t>ispersan o absorben</w:t>
      </w:r>
      <w:r w:rsidRPr="004068F6">
        <w:rPr>
          <w:rFonts w:cs="Arial"/>
        </w:rPr>
        <w:t>.</w:t>
      </w:r>
    </w:p>
    <w:p w14:paraId="01919CEE" w14:textId="77777777" w:rsidR="00077E48" w:rsidRPr="004068F6" w:rsidRDefault="00077E48" w:rsidP="00077E48">
      <w:pPr>
        <w:rPr>
          <w:rFonts w:cs="Arial"/>
        </w:rPr>
      </w:pPr>
    </w:p>
    <w:p w14:paraId="4A3DF542" w14:textId="5AB411DD" w:rsidR="00077E48" w:rsidRPr="004068F6" w:rsidRDefault="00077E48" w:rsidP="00077E48">
      <w:pPr>
        <w:rPr>
          <w:rFonts w:cs="Arial"/>
        </w:rPr>
      </w:pPr>
      <w:r w:rsidRPr="004068F6">
        <w:rPr>
          <w:rFonts w:cs="Arial"/>
        </w:rPr>
        <w:lastRenderedPageBreak/>
        <w:t>Tales barreras que limitan la manifestación de los impactos pueden ser unidades de análisis que no pueden ser alteradas por tales impactos</w:t>
      </w:r>
      <w:r w:rsidRPr="004068F6">
        <w:rPr>
          <w:rStyle w:val="Refdenotaalpie"/>
          <w:rFonts w:cs="Arial"/>
          <w:lang w:val="es-CO"/>
        </w:rPr>
        <w:footnoteReference w:id="95"/>
      </w:r>
      <w:r w:rsidR="00A928E6" w:rsidRPr="004068F6">
        <w:rPr>
          <w:rFonts w:cs="Arial"/>
        </w:rPr>
        <w:t xml:space="preserve"> </w:t>
      </w:r>
      <w:r w:rsidRPr="004068F6">
        <w:rPr>
          <w:rFonts w:cs="Arial"/>
        </w:rPr>
        <w:t>o elementos calificados como criterios de conformación (</w:t>
      </w:r>
      <w:r w:rsidR="00A928E6" w:rsidRPr="004068F6">
        <w:rPr>
          <w:rFonts w:cs="Arial"/>
        </w:rPr>
        <w:t xml:space="preserve">elementos que tienen la capacidad de </w:t>
      </w:r>
      <w:r w:rsidRPr="004068F6">
        <w:rPr>
          <w:rFonts w:cs="Arial"/>
        </w:rPr>
        <w:t>divid</w:t>
      </w:r>
      <w:r w:rsidR="00A928E6" w:rsidRPr="004068F6">
        <w:rPr>
          <w:rFonts w:cs="Arial"/>
        </w:rPr>
        <w:t xml:space="preserve">ir </w:t>
      </w:r>
      <w:r w:rsidRPr="004068F6">
        <w:rPr>
          <w:rFonts w:cs="Arial"/>
        </w:rPr>
        <w:t xml:space="preserve">unidades de análisis y </w:t>
      </w:r>
      <w:r w:rsidR="00A928E6" w:rsidRPr="004068F6">
        <w:rPr>
          <w:rFonts w:cs="Arial"/>
        </w:rPr>
        <w:t>de esta forma re</w:t>
      </w:r>
      <w:r w:rsidRPr="004068F6">
        <w:rPr>
          <w:rFonts w:cs="Arial"/>
        </w:rPr>
        <w:t>conf</w:t>
      </w:r>
      <w:r w:rsidR="00A928E6" w:rsidRPr="004068F6">
        <w:rPr>
          <w:rFonts w:cs="Arial"/>
        </w:rPr>
        <w:t>igurarlas</w:t>
      </w:r>
      <w:r w:rsidRPr="004068F6">
        <w:rPr>
          <w:rFonts w:cs="Arial"/>
        </w:rPr>
        <w:t>, por ejemplo vías, su infraestructura asociada, o drenajes permanentes)</w:t>
      </w:r>
      <w:r w:rsidR="00A928E6" w:rsidRPr="004068F6">
        <w:rPr>
          <w:rFonts w:cs="Arial"/>
        </w:rPr>
        <w:t>,</w:t>
      </w:r>
      <w:r w:rsidRPr="004068F6">
        <w:rPr>
          <w:rFonts w:cs="Arial"/>
        </w:rPr>
        <w:t xml:space="preserve"> que dada su ubicación</w:t>
      </w:r>
      <w:r w:rsidR="00C07B4E" w:rsidRPr="004068F6">
        <w:rPr>
          <w:rFonts w:cs="Arial"/>
        </w:rPr>
        <w:t xml:space="preserve"> y características</w:t>
      </w:r>
      <w:r w:rsidRPr="004068F6">
        <w:rPr>
          <w:rFonts w:cs="Arial"/>
        </w:rPr>
        <w:t xml:space="preserve"> actúan como obstáculos y pueden impedir la manifestación del impacto en unidades de análisis </w:t>
      </w:r>
      <w:r w:rsidR="00A928E6" w:rsidRPr="004068F6">
        <w:rPr>
          <w:rFonts w:cs="Arial"/>
        </w:rPr>
        <w:t xml:space="preserve">adyacentes </w:t>
      </w:r>
      <w:r w:rsidRPr="004068F6">
        <w:rPr>
          <w:rFonts w:cs="Arial"/>
        </w:rPr>
        <w:t>(</w:t>
      </w:r>
      <w:r w:rsidR="00B90900" w:rsidRPr="004068F6">
        <w:rPr>
          <w:rFonts w:cs="Arial"/>
        </w:rPr>
        <w:t xml:space="preserve">ver </w:t>
      </w:r>
      <w:r w:rsidRPr="004068F6">
        <w:rPr>
          <w:rFonts w:cs="Arial"/>
        </w:rPr>
        <w:fldChar w:fldCharType="begin"/>
      </w:r>
      <w:r w:rsidRPr="004068F6">
        <w:rPr>
          <w:rFonts w:cs="Arial"/>
        </w:rPr>
        <w:instrText xml:space="preserve"> REF _Ref78954423 \h </w:instrText>
      </w:r>
      <w:r w:rsidR="006A4128" w:rsidRPr="004068F6">
        <w:rPr>
          <w:rFonts w:cs="Arial"/>
        </w:rPr>
        <w:instrText xml:space="preserve"> \* MERGEFORMAT </w:instrText>
      </w:r>
      <w:r w:rsidRPr="004068F6">
        <w:rPr>
          <w:rFonts w:cs="Arial"/>
        </w:rPr>
      </w:r>
      <w:r w:rsidRPr="004068F6">
        <w:rPr>
          <w:rFonts w:cs="Arial"/>
        </w:rPr>
        <w:fldChar w:fldCharType="separate"/>
      </w:r>
      <w:r w:rsidR="009C4A81" w:rsidRPr="004068F6">
        <w:t xml:space="preserve">Figura </w:t>
      </w:r>
      <w:r w:rsidR="009C4A81">
        <w:t>10</w:t>
      </w:r>
      <w:r w:rsidRPr="004068F6">
        <w:rPr>
          <w:rFonts w:cs="Arial"/>
        </w:rPr>
        <w:fldChar w:fldCharType="end"/>
      </w:r>
      <w:r w:rsidR="00A53510" w:rsidRPr="004068F6">
        <w:rPr>
          <w:rFonts w:cs="Arial"/>
        </w:rPr>
        <w:t xml:space="preserve"> y </w:t>
      </w:r>
      <w:r w:rsidR="00A53510" w:rsidRPr="004068F6">
        <w:rPr>
          <w:rFonts w:cs="Arial"/>
          <w:spacing w:val="-3"/>
        </w:rPr>
        <w:fldChar w:fldCharType="begin"/>
      </w:r>
      <w:r w:rsidR="00A53510" w:rsidRPr="004068F6">
        <w:rPr>
          <w:rFonts w:cs="Arial"/>
          <w:spacing w:val="-3"/>
        </w:rPr>
        <w:instrText xml:space="preserve"> REF _Ref78960243 \h  \* MERGEFORMAT </w:instrText>
      </w:r>
      <w:r w:rsidR="00A53510" w:rsidRPr="004068F6">
        <w:rPr>
          <w:rFonts w:cs="Arial"/>
          <w:spacing w:val="-3"/>
        </w:rPr>
      </w:r>
      <w:r w:rsidR="00A53510" w:rsidRPr="004068F6">
        <w:rPr>
          <w:rFonts w:cs="Arial"/>
          <w:spacing w:val="-3"/>
        </w:rPr>
        <w:fldChar w:fldCharType="separate"/>
      </w:r>
      <w:r w:rsidR="009C4A81" w:rsidRPr="004068F6">
        <w:t xml:space="preserve">Figura </w:t>
      </w:r>
      <w:r w:rsidR="009C4A81">
        <w:t>11</w:t>
      </w:r>
      <w:r w:rsidR="00A53510" w:rsidRPr="004068F6">
        <w:rPr>
          <w:rFonts w:cs="Arial"/>
          <w:spacing w:val="-3"/>
        </w:rPr>
        <w:fldChar w:fldCharType="end"/>
      </w:r>
      <w:r w:rsidRPr="004068F6">
        <w:rPr>
          <w:rFonts w:cs="Arial"/>
        </w:rPr>
        <w:t>).</w:t>
      </w:r>
    </w:p>
    <w:p w14:paraId="45F6B18E" w14:textId="77777777" w:rsidR="00077E48" w:rsidRPr="004068F6" w:rsidRDefault="00077E48" w:rsidP="00077E48">
      <w:pPr>
        <w:rPr>
          <w:rFonts w:cs="Arial"/>
        </w:rPr>
      </w:pPr>
    </w:p>
    <w:p w14:paraId="24066BF4" w14:textId="0FB7C1CA" w:rsidR="00077E48" w:rsidRPr="004068F6" w:rsidRDefault="00077E48" w:rsidP="0082127E">
      <w:pPr>
        <w:pStyle w:val="Descripcin"/>
        <w:keepNext/>
        <w:jc w:val="center"/>
        <w:rPr>
          <w:b w:val="0"/>
          <w:bCs w:val="0"/>
        </w:rPr>
      </w:pPr>
      <w:bookmarkStart w:id="2555" w:name="_Ref78954423"/>
      <w:r w:rsidRPr="004068F6">
        <w:t xml:space="preserve">Figura </w:t>
      </w:r>
      <w:fldSimple w:instr=" SEQ Figura \* ARABIC ">
        <w:r w:rsidR="009C4A81">
          <w:rPr>
            <w:noProof/>
          </w:rPr>
          <w:t>10</w:t>
        </w:r>
      </w:fldSimple>
      <w:bookmarkEnd w:id="2555"/>
      <w:r w:rsidRPr="004068F6">
        <w:t>.</w:t>
      </w:r>
      <w:r w:rsidRPr="004068F6">
        <w:rPr>
          <w:b w:val="0"/>
        </w:rPr>
        <w:t xml:space="preserve"> </w:t>
      </w:r>
      <w:r w:rsidRPr="004068F6">
        <w:rPr>
          <w:b w:val="0"/>
          <w:bCs w:val="0"/>
        </w:rPr>
        <w:t>Cambios de cobertura de la tierra que interrumpen la manifestación de un impacto ambiental</w:t>
      </w:r>
    </w:p>
    <w:p w14:paraId="2568418A" w14:textId="183E6A69" w:rsidR="00077E48" w:rsidRPr="004068F6" w:rsidRDefault="00077E48" w:rsidP="0082127E">
      <w:pPr>
        <w:jc w:val="center"/>
        <w:rPr>
          <w:rFonts w:cs="Arial"/>
        </w:rPr>
      </w:pPr>
      <w:r w:rsidRPr="00AA2094">
        <w:rPr>
          <w:noProof/>
          <w:lang w:eastAsia="es-CO"/>
        </w:rPr>
        <w:drawing>
          <wp:inline distT="0" distB="0" distL="0" distR="0" wp14:anchorId="4A70129D" wp14:editId="4886E362">
            <wp:extent cx="5612130" cy="3219447"/>
            <wp:effectExtent l="0" t="0" r="7620" b="635"/>
            <wp:docPr id="2789" name="Imagen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tretch>
                      <a:fillRect/>
                    </a:stretch>
                  </pic:blipFill>
                  <pic:spPr bwMode="auto">
                    <a:xfrm>
                      <a:off x="0" y="0"/>
                      <a:ext cx="5612130" cy="3219447"/>
                    </a:xfrm>
                    <a:prstGeom prst="rect">
                      <a:avLst/>
                    </a:prstGeom>
                    <a:noFill/>
                    <a:ln>
                      <a:noFill/>
                    </a:ln>
                  </pic:spPr>
                </pic:pic>
              </a:graphicData>
            </a:graphic>
          </wp:inline>
        </w:drawing>
      </w:r>
    </w:p>
    <w:p w14:paraId="2BA71311" w14:textId="39C02AA6" w:rsidR="00077E48" w:rsidRPr="004068F6" w:rsidRDefault="00077E48" w:rsidP="00077E48">
      <w:pPr>
        <w:numPr>
          <w:ilvl w:val="12"/>
          <w:numId w:val="0"/>
        </w:numPr>
        <w:tabs>
          <w:tab w:val="left" w:pos="-2268"/>
        </w:tabs>
        <w:suppressAutoHyphens/>
        <w:jc w:val="center"/>
        <w:rPr>
          <w:rFonts w:cs="Arial"/>
          <w:spacing w:val="-3"/>
          <w:sz w:val="20"/>
          <w:szCs w:val="28"/>
        </w:rPr>
      </w:pPr>
      <w:r w:rsidRPr="004068F6">
        <w:rPr>
          <w:rFonts w:cs="Arial"/>
          <w:b/>
          <w:spacing w:val="-3"/>
          <w:sz w:val="20"/>
          <w:szCs w:val="28"/>
        </w:rPr>
        <w:t>Fuente:</w:t>
      </w:r>
      <w:r w:rsidRPr="004068F6">
        <w:rPr>
          <w:rFonts w:cs="Arial"/>
          <w:spacing w:val="-3"/>
          <w:sz w:val="20"/>
          <w:szCs w:val="28"/>
        </w:rPr>
        <w:t xml:space="preserve"> ANLA</w:t>
      </w:r>
      <w:r w:rsidR="00067514" w:rsidRPr="004068F6">
        <w:rPr>
          <w:rFonts w:cs="Arial"/>
          <w:spacing w:val="-3"/>
          <w:sz w:val="20"/>
          <w:szCs w:val="28"/>
        </w:rPr>
        <w:t xml:space="preserve">. </w:t>
      </w:r>
      <w:r w:rsidR="00067514" w:rsidRPr="004068F6">
        <w:rPr>
          <w:rFonts w:cs="Arial"/>
          <w:spacing w:val="-3"/>
          <w:sz w:val="20"/>
        </w:rPr>
        <w:t>Subdirección de Instrumentos, Permisos y Trámites Ambientales</w:t>
      </w:r>
      <w:r w:rsidRPr="004068F6">
        <w:rPr>
          <w:rFonts w:cs="Arial"/>
          <w:spacing w:val="-3"/>
          <w:sz w:val="20"/>
          <w:szCs w:val="28"/>
        </w:rPr>
        <w:t xml:space="preserve"> –</w:t>
      </w:r>
      <w:r w:rsidR="00067514" w:rsidRPr="004068F6">
        <w:rPr>
          <w:rFonts w:cs="Arial"/>
          <w:spacing w:val="-3"/>
          <w:sz w:val="20"/>
          <w:szCs w:val="28"/>
        </w:rPr>
        <w:t xml:space="preserve"> </w:t>
      </w:r>
      <w:r w:rsidRPr="004068F6">
        <w:rPr>
          <w:rFonts w:cs="Arial"/>
          <w:spacing w:val="-3"/>
          <w:sz w:val="20"/>
          <w:szCs w:val="28"/>
        </w:rPr>
        <w:t>2020.</w:t>
      </w:r>
    </w:p>
    <w:p w14:paraId="4393350A" w14:textId="77777777" w:rsidR="00077E48" w:rsidRPr="004068F6" w:rsidRDefault="00077E48" w:rsidP="00077E48">
      <w:pPr>
        <w:rPr>
          <w:rFonts w:cs="Arial"/>
        </w:rPr>
      </w:pPr>
    </w:p>
    <w:p w14:paraId="01668D83" w14:textId="2D5C2248" w:rsidR="00077E48" w:rsidRPr="004068F6" w:rsidRDefault="00077E48" w:rsidP="00077E48">
      <w:pPr>
        <w:rPr>
          <w:rFonts w:cs="Arial"/>
        </w:rPr>
      </w:pPr>
      <w:r w:rsidRPr="004068F6">
        <w:rPr>
          <w:rFonts w:cs="Arial"/>
        </w:rPr>
        <w:t xml:space="preserve">Siempre se debe evaluar que el cambio de una unidad de análisis a otra implique realmente una interrupción del impacto ambiental, pues a pesar de que exista un cambio de coberturas o ecosistemas, </w:t>
      </w:r>
      <w:r w:rsidR="009A5D47" w:rsidRPr="004068F6">
        <w:rPr>
          <w:rFonts w:cs="Arial"/>
        </w:rPr>
        <w:t xml:space="preserve">es posible que </w:t>
      </w:r>
      <w:r w:rsidRPr="004068F6">
        <w:rPr>
          <w:rFonts w:cs="Arial"/>
        </w:rPr>
        <w:t xml:space="preserve">el impacto ambiental se </w:t>
      </w:r>
      <w:r w:rsidR="00254640" w:rsidRPr="004068F6">
        <w:rPr>
          <w:rFonts w:cs="Arial"/>
        </w:rPr>
        <w:t xml:space="preserve">manifieste </w:t>
      </w:r>
      <w:r w:rsidRPr="004068F6">
        <w:rPr>
          <w:rFonts w:cs="Arial"/>
        </w:rPr>
        <w:t>en ambas unidades. De allí la importancia de estudiar</w:t>
      </w:r>
      <w:r w:rsidR="00254640" w:rsidRPr="004068F6">
        <w:rPr>
          <w:rFonts w:cs="Arial"/>
        </w:rPr>
        <w:t xml:space="preserve"> en cada </w:t>
      </w:r>
      <w:r w:rsidRPr="004068F6">
        <w:rPr>
          <w:rFonts w:cs="Arial"/>
        </w:rPr>
        <w:t xml:space="preserve">unidad las relaciones que </w:t>
      </w:r>
      <w:r w:rsidR="00254640" w:rsidRPr="004068F6">
        <w:rPr>
          <w:rFonts w:cs="Arial"/>
        </w:rPr>
        <w:t xml:space="preserve">existen </w:t>
      </w:r>
      <w:r w:rsidRPr="004068F6">
        <w:rPr>
          <w:rFonts w:cs="Arial"/>
        </w:rPr>
        <w:t>entre sus condiciones ambientales y las presiones que generan las actividades impactantes (aspectos ambientales)</w:t>
      </w:r>
      <w:r w:rsidR="00254640" w:rsidRPr="004068F6">
        <w:rPr>
          <w:rFonts w:cs="Arial"/>
        </w:rPr>
        <w:t xml:space="preserve">; es necesario argumentar </w:t>
      </w:r>
      <w:r w:rsidRPr="004068F6">
        <w:rPr>
          <w:rFonts w:cs="Arial"/>
        </w:rPr>
        <w:t xml:space="preserve">las razones por las cuales se </w:t>
      </w:r>
      <w:r w:rsidR="00EE4EF9" w:rsidRPr="004068F6">
        <w:rPr>
          <w:rFonts w:cs="Arial"/>
        </w:rPr>
        <w:t>determin</w:t>
      </w:r>
      <w:r w:rsidR="00CE41A8" w:rsidRPr="004068F6">
        <w:rPr>
          <w:rFonts w:cs="Arial"/>
        </w:rPr>
        <w:t>a</w:t>
      </w:r>
      <w:r w:rsidR="00EE4EF9" w:rsidRPr="004068F6">
        <w:rPr>
          <w:rFonts w:cs="Arial"/>
        </w:rPr>
        <w:t xml:space="preserve"> </w:t>
      </w:r>
      <w:r w:rsidRPr="004068F6">
        <w:rPr>
          <w:rFonts w:cs="Arial"/>
        </w:rPr>
        <w:t xml:space="preserve">que un cambio de unidad o la </w:t>
      </w:r>
      <w:r w:rsidRPr="004068F6">
        <w:rPr>
          <w:rFonts w:cs="Arial"/>
        </w:rPr>
        <w:lastRenderedPageBreak/>
        <w:t>presencia de un criterio de conformación</w:t>
      </w:r>
      <w:r w:rsidR="00CE41A8" w:rsidRPr="004068F6">
        <w:rPr>
          <w:rFonts w:cs="Arial"/>
        </w:rPr>
        <w:t xml:space="preserve"> implica </w:t>
      </w:r>
      <w:r w:rsidR="00DC2391" w:rsidRPr="004068F6">
        <w:rPr>
          <w:rFonts w:cs="Arial"/>
        </w:rPr>
        <w:t xml:space="preserve">la </w:t>
      </w:r>
      <w:r w:rsidR="00CE41A8" w:rsidRPr="004068F6">
        <w:rPr>
          <w:rFonts w:cs="Arial"/>
        </w:rPr>
        <w:t xml:space="preserve">interrupción </w:t>
      </w:r>
      <w:r w:rsidR="00DC2391" w:rsidRPr="004068F6">
        <w:rPr>
          <w:rFonts w:cs="Arial"/>
        </w:rPr>
        <w:t>del impacto</w:t>
      </w:r>
      <w:r w:rsidR="00E847A1" w:rsidRPr="004068F6">
        <w:rPr>
          <w:rFonts w:cs="Arial"/>
        </w:rPr>
        <w:t xml:space="preserve"> analizado</w:t>
      </w:r>
      <w:r w:rsidRPr="004068F6">
        <w:rPr>
          <w:rFonts w:cs="Arial"/>
        </w:rPr>
        <w:t>.</w:t>
      </w:r>
    </w:p>
    <w:p w14:paraId="564F9C00" w14:textId="77777777" w:rsidR="00077E48" w:rsidRPr="004068F6" w:rsidRDefault="00077E48" w:rsidP="00077E48">
      <w:pPr>
        <w:numPr>
          <w:ilvl w:val="12"/>
          <w:numId w:val="0"/>
        </w:numPr>
        <w:tabs>
          <w:tab w:val="left" w:pos="-2268"/>
        </w:tabs>
        <w:suppressAutoHyphens/>
        <w:rPr>
          <w:rFonts w:cs="Arial"/>
          <w:spacing w:val="-3"/>
        </w:rPr>
      </w:pPr>
    </w:p>
    <w:p w14:paraId="0DD3072E" w14:textId="7D33CC15" w:rsidR="00A53510" w:rsidRPr="004068F6" w:rsidRDefault="00D663F1" w:rsidP="00A53510">
      <w:pPr>
        <w:numPr>
          <w:ilvl w:val="12"/>
          <w:numId w:val="0"/>
        </w:numPr>
        <w:tabs>
          <w:tab w:val="left" w:pos="-2268"/>
        </w:tabs>
        <w:suppressAutoHyphens/>
        <w:rPr>
          <w:rFonts w:cs="Arial"/>
          <w:spacing w:val="-3"/>
        </w:rPr>
      </w:pPr>
      <w:r w:rsidRPr="004068F6">
        <w:rPr>
          <w:rFonts w:cs="Arial"/>
          <w:spacing w:val="-3"/>
        </w:rPr>
        <w:t>Asimismo, a</w:t>
      </w:r>
      <w:r w:rsidR="00A53510" w:rsidRPr="004068F6">
        <w:rPr>
          <w:rFonts w:cs="Arial"/>
          <w:spacing w:val="-3"/>
        </w:rPr>
        <w:t xml:space="preserve">l estudiar el alcance de manifestación de los impactos es importante establecer la forma en que una misma cobertura o ecosistema se comporta como un filtro que dispersa o absorbe los impactos ocasionados por un proyecto, obra o actividad, y definir cómo dicha propiedad de reducción progresiva del impacto se conjuga con cambios de coberturas o ecosistemas y con la presencia de criterios de conformación para </w:t>
      </w:r>
      <w:r w:rsidRPr="004068F6">
        <w:rPr>
          <w:rFonts w:cs="Arial"/>
          <w:spacing w:val="-3"/>
        </w:rPr>
        <w:t xml:space="preserve">acotar </w:t>
      </w:r>
      <w:r w:rsidR="00A53510" w:rsidRPr="004068F6">
        <w:rPr>
          <w:rFonts w:cs="Arial"/>
          <w:spacing w:val="-3"/>
        </w:rPr>
        <w:t xml:space="preserve">la manifestación de impactos o reducir su significancia (ver </w:t>
      </w:r>
      <w:r w:rsidR="00A53510" w:rsidRPr="004068F6">
        <w:rPr>
          <w:rFonts w:cs="Arial"/>
          <w:spacing w:val="-3"/>
        </w:rPr>
        <w:fldChar w:fldCharType="begin"/>
      </w:r>
      <w:r w:rsidR="00A53510" w:rsidRPr="004068F6">
        <w:rPr>
          <w:rFonts w:cs="Arial"/>
          <w:spacing w:val="-3"/>
        </w:rPr>
        <w:instrText xml:space="preserve"> REF _Ref78960243 \h  \* MERGEFORMAT </w:instrText>
      </w:r>
      <w:r w:rsidR="00A53510" w:rsidRPr="004068F6">
        <w:rPr>
          <w:rFonts w:cs="Arial"/>
          <w:spacing w:val="-3"/>
        </w:rPr>
      </w:r>
      <w:r w:rsidR="00A53510" w:rsidRPr="004068F6">
        <w:rPr>
          <w:rFonts w:cs="Arial"/>
          <w:spacing w:val="-3"/>
        </w:rPr>
        <w:fldChar w:fldCharType="separate"/>
      </w:r>
      <w:r w:rsidR="009C4A81" w:rsidRPr="004068F6">
        <w:t xml:space="preserve">Figura </w:t>
      </w:r>
      <w:r w:rsidR="009C4A81">
        <w:t>11</w:t>
      </w:r>
      <w:r w:rsidR="00A53510" w:rsidRPr="004068F6">
        <w:rPr>
          <w:rFonts w:cs="Arial"/>
          <w:spacing w:val="-3"/>
        </w:rPr>
        <w:fldChar w:fldCharType="end"/>
      </w:r>
      <w:r w:rsidR="00A53510" w:rsidRPr="004068F6">
        <w:rPr>
          <w:rFonts w:cs="Arial"/>
          <w:spacing w:val="-3"/>
        </w:rPr>
        <w:t>).</w:t>
      </w:r>
    </w:p>
    <w:p w14:paraId="48BCCB60" w14:textId="77777777" w:rsidR="00A53510" w:rsidRPr="004068F6" w:rsidRDefault="00A53510" w:rsidP="00077E48">
      <w:pPr>
        <w:numPr>
          <w:ilvl w:val="12"/>
          <w:numId w:val="0"/>
        </w:numPr>
        <w:tabs>
          <w:tab w:val="left" w:pos="-2268"/>
        </w:tabs>
        <w:suppressAutoHyphens/>
        <w:rPr>
          <w:rFonts w:cs="Arial"/>
          <w:spacing w:val="-3"/>
        </w:rPr>
      </w:pPr>
    </w:p>
    <w:p w14:paraId="0B4FB430" w14:textId="47887139" w:rsidR="00077E48" w:rsidRPr="004068F6" w:rsidRDefault="0066309F" w:rsidP="0082127E">
      <w:pPr>
        <w:pStyle w:val="Descripcin"/>
        <w:keepNext/>
        <w:jc w:val="center"/>
        <w:rPr>
          <w:b w:val="0"/>
          <w:bCs w:val="0"/>
        </w:rPr>
      </w:pPr>
      <w:bookmarkStart w:id="2556" w:name="_Ref78960243"/>
      <w:r>
        <w:rPr>
          <w:noProof/>
        </w:rPr>
        <mc:AlternateContent>
          <mc:Choice Requires="wpg">
            <w:drawing>
              <wp:anchor distT="0" distB="0" distL="114300" distR="114300" simplePos="0" relativeHeight="251658248" behindDoc="0" locked="0" layoutInCell="1" allowOverlap="1" wp14:anchorId="69830CA2" wp14:editId="276875E4">
                <wp:simplePos x="0" y="0"/>
                <wp:positionH relativeFrom="column">
                  <wp:posOffset>245745</wp:posOffset>
                </wp:positionH>
                <wp:positionV relativeFrom="paragraph">
                  <wp:posOffset>365760</wp:posOffset>
                </wp:positionV>
                <wp:extent cx="5486400" cy="3592195"/>
                <wp:effectExtent l="0" t="0" r="0" b="8255"/>
                <wp:wrapTopAndBottom/>
                <wp:docPr id="1667711608" name="Grupo 412"/>
                <wp:cNvGraphicFramePr/>
                <a:graphic xmlns:a="http://schemas.openxmlformats.org/drawingml/2006/main">
                  <a:graphicData uri="http://schemas.microsoft.com/office/word/2010/wordprocessingGroup">
                    <wpg:wgp>
                      <wpg:cNvGrpSpPr/>
                      <wpg:grpSpPr>
                        <a:xfrm>
                          <a:off x="0" y="0"/>
                          <a:ext cx="5486400" cy="3592195"/>
                          <a:chOff x="0" y="0"/>
                          <a:chExt cx="5486400" cy="3592195"/>
                        </a:xfrm>
                      </wpg:grpSpPr>
                      <wpg:grpSp>
                        <wpg:cNvPr id="1777963856" name="32 Grupo"/>
                        <wpg:cNvGrpSpPr/>
                        <wpg:grpSpPr>
                          <a:xfrm>
                            <a:off x="0" y="0"/>
                            <a:ext cx="5486400" cy="3592195"/>
                            <a:chOff x="0" y="0"/>
                            <a:chExt cx="5486400" cy="3592800"/>
                          </a:xfrm>
                        </wpg:grpSpPr>
                        <wpg:grpSp>
                          <wpg:cNvPr id="2068940884" name="28 Grupo"/>
                          <wpg:cNvGrpSpPr/>
                          <wpg:grpSpPr>
                            <a:xfrm>
                              <a:off x="0" y="0"/>
                              <a:ext cx="5486400" cy="3592800"/>
                              <a:chOff x="0" y="0"/>
                              <a:chExt cx="5486400" cy="3592800"/>
                            </a:xfrm>
                          </wpg:grpSpPr>
                          <wpg:grpSp>
                            <wpg:cNvPr id="337176420" name="568110917 Grupo"/>
                            <wpg:cNvGrpSpPr/>
                            <wpg:grpSpPr>
                              <a:xfrm>
                                <a:off x="0" y="0"/>
                                <a:ext cx="5486400" cy="3592800"/>
                                <a:chOff x="0" y="0"/>
                                <a:chExt cx="5486400" cy="3593805"/>
                              </a:xfrm>
                            </wpg:grpSpPr>
                            <pic:pic xmlns:pic="http://schemas.openxmlformats.org/drawingml/2006/picture">
                              <pic:nvPicPr>
                                <pic:cNvPr id="239816191" name="Imagen 2526"/>
                                <pic:cNvPicPr>
                                  <a:picLocks noChangeAspect="1"/>
                                </pic:cNvPicPr>
                              </pic:nvPicPr>
                              <pic:blipFill rotWithShape="1">
                                <a:blip r:embed="rId54">
                                  <a:extLst>
                                    <a:ext uri="{28A0092B-C50C-407E-A947-70E740481C1C}">
                                      <a14:useLocalDpi xmlns:a14="http://schemas.microsoft.com/office/drawing/2010/main" val="0"/>
                                    </a:ext>
                                  </a:extLst>
                                </a:blip>
                                <a:srcRect l="30134" t="28969" r="11132" b="31132"/>
                                <a:stretch/>
                              </pic:blipFill>
                              <pic:spPr bwMode="auto">
                                <a:xfrm>
                                  <a:off x="0" y="0"/>
                                  <a:ext cx="4710224" cy="179690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3986113" name="Imagen 30"/>
                                <pic:cNvPicPr>
                                  <a:picLocks noChangeAspect="1"/>
                                </pic:cNvPicPr>
                              </pic:nvPicPr>
                              <pic:blipFill rotWithShape="1">
                                <a:blip r:embed="rId55">
                                  <a:extLst>
                                    <a:ext uri="{28A0092B-C50C-407E-A947-70E740481C1C}">
                                      <a14:useLocalDpi xmlns:a14="http://schemas.microsoft.com/office/drawing/2010/main" val="0"/>
                                    </a:ext>
                                  </a:extLst>
                                </a:blip>
                                <a:srcRect l="21981" t="29521" r="11924" b="31929"/>
                                <a:stretch/>
                              </pic:blipFill>
                              <pic:spPr bwMode="auto">
                                <a:xfrm>
                                  <a:off x="0" y="1796902"/>
                                  <a:ext cx="5486400" cy="1796903"/>
                                </a:xfrm>
                                <a:prstGeom prst="rect">
                                  <a:avLst/>
                                </a:prstGeom>
                                <a:ln>
                                  <a:noFill/>
                                </a:ln>
                                <a:extLst>
                                  <a:ext uri="{53640926-AAD7-44D8-BBD7-CCE9431645EC}">
                                    <a14:shadowObscured xmlns:a14="http://schemas.microsoft.com/office/drawing/2010/main"/>
                                  </a:ext>
                                </a:extLst>
                              </pic:spPr>
                            </pic:pic>
                          </wpg:grpSp>
                          <wps:wsp>
                            <wps:cNvPr id="1529313732" name="Cuadro de texto 2"/>
                            <wps:cNvSpPr txBox="1">
                              <a:spLocks noChangeArrowheads="1"/>
                            </wps:cNvSpPr>
                            <wps:spPr bwMode="auto">
                              <a:xfrm>
                                <a:off x="1362075" y="165763"/>
                                <a:ext cx="821054" cy="240705"/>
                              </a:xfrm>
                              <a:prstGeom prst="rect">
                                <a:avLst/>
                              </a:prstGeom>
                              <a:solidFill>
                                <a:srgbClr val="FFFFFF"/>
                              </a:solidFill>
                              <a:ln w="9525">
                                <a:noFill/>
                                <a:miter lim="800000"/>
                                <a:headEnd/>
                                <a:tailEnd/>
                              </a:ln>
                            </wps:spPr>
                            <wps:txbx>
                              <w:txbxContent>
                                <w:p w14:paraId="3B9B1D18" w14:textId="2ED47B88" w:rsidR="00D55F13" w:rsidRPr="00127BD4" w:rsidRDefault="00D55F13">
                                  <w:pPr>
                                    <w:rPr>
                                      <w:rFonts w:asciiTheme="minorHAnsi" w:hAnsiTheme="minorHAnsi" w:cstheme="minorHAnsi"/>
                                      <w:b/>
                                      <w:color w:val="595959" w:themeColor="text1" w:themeTint="A6"/>
                                      <w:sz w:val="18"/>
                                      <w:szCs w:val="17"/>
                                    </w:rPr>
                                  </w:pPr>
                                  <w:r w:rsidRPr="00127BD4">
                                    <w:rPr>
                                      <w:rFonts w:asciiTheme="minorHAnsi" w:hAnsiTheme="minorHAnsi" w:cstheme="minorHAnsi"/>
                                      <w:b/>
                                      <w:color w:val="595959" w:themeColor="text1" w:themeTint="A6"/>
                                      <w:sz w:val="18"/>
                                      <w:szCs w:val="17"/>
                                    </w:rPr>
                                    <w:t>del impacto</w:t>
                                  </w:r>
                                </w:p>
                              </w:txbxContent>
                            </wps:txbx>
                            <wps:bodyPr rot="0" vert="horz" wrap="square" lIns="0" tIns="45720" rIns="0" bIns="45720" anchor="t" anchorCtr="0">
                              <a:spAutoFit/>
                            </wps:bodyPr>
                          </wps:wsp>
                        </wpg:grpSp>
                        <wps:wsp>
                          <wps:cNvPr id="1503087011" name="30 Rectángulo"/>
                          <wps:cNvSpPr/>
                          <wps:spPr>
                            <a:xfrm>
                              <a:off x="819150" y="371475"/>
                              <a:ext cx="600075" cy="102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7627185" name="Cuadro de texto 2"/>
                        <wps:cNvSpPr txBox="1">
                          <a:spLocks noChangeArrowheads="1"/>
                        </wps:cNvSpPr>
                        <wps:spPr bwMode="auto">
                          <a:xfrm>
                            <a:off x="1508760" y="1811337"/>
                            <a:ext cx="518794" cy="240664"/>
                          </a:xfrm>
                          <a:prstGeom prst="rect">
                            <a:avLst/>
                          </a:prstGeom>
                          <a:solidFill>
                            <a:srgbClr val="FFFFFF"/>
                          </a:solidFill>
                          <a:ln w="9525">
                            <a:noFill/>
                            <a:miter lim="800000"/>
                            <a:headEnd/>
                            <a:tailEnd/>
                          </a:ln>
                        </wps:spPr>
                        <wps:txbx>
                          <w:txbxContent>
                            <w:p w14:paraId="1F3BD17A" w14:textId="495CB903" w:rsidR="0066309F" w:rsidRPr="00127BD4" w:rsidRDefault="00596726" w:rsidP="00127BD4">
                              <w:pPr>
                                <w:jc w:val="right"/>
                                <w:rPr>
                                  <w:rFonts w:asciiTheme="minorHAnsi" w:hAnsiTheme="minorHAnsi" w:cstheme="minorHAnsi"/>
                                  <w:b/>
                                  <w:color w:val="595959" w:themeColor="text1" w:themeTint="A6"/>
                                  <w:sz w:val="18"/>
                                  <w:szCs w:val="17"/>
                                </w:rPr>
                              </w:pPr>
                              <w:r w:rsidRPr="00127BD4">
                                <w:rPr>
                                  <w:rFonts w:asciiTheme="minorHAnsi" w:hAnsiTheme="minorHAnsi" w:cstheme="minorHAnsi"/>
                                  <w:b/>
                                  <w:color w:val="595959" w:themeColor="text1" w:themeTint="A6"/>
                                  <w:sz w:val="18"/>
                                  <w:szCs w:val="17"/>
                                </w:rPr>
                                <w:t>Elemento</w:t>
                              </w:r>
                            </w:p>
                          </w:txbxContent>
                        </wps:txbx>
                        <wps:bodyPr rot="0" vert="horz" wrap="square" lIns="0" tIns="45720" rIns="0" bIns="45720" anchor="t" anchorCtr="0">
                          <a:spAutoFit/>
                        </wps:bodyPr>
                      </wps:wsp>
                    </wpg:wgp>
                  </a:graphicData>
                </a:graphic>
              </wp:anchor>
            </w:drawing>
          </mc:Choice>
          <mc:Fallback>
            <w:pict>
              <v:group w14:anchorId="69830CA2" id="Grupo 412" o:spid="_x0000_s1314" style="position:absolute;left:0;text-align:left;margin-left:19.35pt;margin-top:28.8pt;width:6in;height:282.85pt;z-index:251658248;mso-position-horizontal-relative:text;mso-position-vertical-relative:text" coordsize="54864,35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">
                <v:group id="32 Grupo" o:spid="_x0000_s1315" style="position:absolute;width:54864;height:35921" coordsize="54864,3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">
                  <v:group id="28 Grupo" o:spid="_x0000_s1316" style="position:absolute;width:54864;height:35928" coordsize="54864,3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">
                    <v:group id="568110917 Grupo" o:spid="_x0000_s1317" style="position:absolute;width:54864;height:35928" coordsize="54864,3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">
                      <v:shape id="Imagen 2526" o:spid="_x0000_s1318" type="#_x0000_t75" style="position:absolute;width:47102;height:1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">
                        <v:imagedata r:id="rId56" o:title="" croptop="18985f" cropbottom="20403f" cropleft="19749f" cropright="7295f"/>
                      </v:shape>
                      <v:shape id="Imagen 30" o:spid="_x0000_s1319" type="#_x0000_t75" style="position:absolute;top:17969;width:54864;height:1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">
                        <v:imagedata r:id="rId57" o:title="" croptop="19347f" cropbottom="20925f" cropleft="14405f" cropright="7815f"/>
                      </v:shape>
                    </v:group>
                    <v:shape id="Cuadro de texto 2" o:spid="_x0000_s1320" type="#_x0000_t202" style="position:absolute;left:13620;top:1657;width:821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" stroked="f">
                      <v:textbox style="mso-fit-shape-to-text:t" inset="0,,0">
                        <w:txbxContent>
                          <w:p w14:paraId="3B9B1D18" w14:textId="2ED47B88" w:rsidR="00D55F13" w:rsidRPr="00127BD4" w:rsidRDefault="00D55F13">
                            <w:pPr>
                              <w:rPr>
                                <w:rFonts w:asciiTheme="minorHAnsi" w:hAnsiTheme="minorHAnsi" w:cstheme="minorHAnsi"/>
                                <w:b/>
                                <w:color w:val="595959" w:themeColor="text1" w:themeTint="A6"/>
                                <w:sz w:val="18"/>
                                <w:szCs w:val="17"/>
                              </w:rPr>
                            </w:pPr>
                            <w:r w:rsidRPr="00127BD4">
                              <w:rPr>
                                <w:rFonts w:asciiTheme="minorHAnsi" w:hAnsiTheme="minorHAnsi" w:cstheme="minorHAnsi"/>
                                <w:b/>
                                <w:color w:val="595959" w:themeColor="text1" w:themeTint="A6"/>
                                <w:sz w:val="18"/>
                                <w:szCs w:val="17"/>
                              </w:rPr>
                              <w:t>del impacto</w:t>
                            </w:r>
                          </w:p>
                        </w:txbxContent>
                      </v:textbox>
                    </v:shape>
                  </v:group>
                  <v:rect id="30 Rectángulo" o:spid="_x0000_s1321" style="position:absolute;left:8191;top:3714;width:6001;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" fillcolor="white [3212]" stroked="f" strokeweight="2pt"/>
                </v:group>
                <v:shape id="Cuadro de texto 2" o:spid="_x0000_s1322" type="#_x0000_t202" style="position:absolute;left:15087;top:18113;width:518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" stroked="f">
                  <v:textbox style="mso-fit-shape-to-text:t" inset="0,,0">
                    <w:txbxContent>
                      <w:p w14:paraId="1F3BD17A" w14:textId="495CB903" w:rsidR="0066309F" w:rsidRPr="00127BD4" w:rsidRDefault="00596726" w:rsidP="00127BD4">
                        <w:pPr>
                          <w:jc w:val="right"/>
                          <w:rPr>
                            <w:rFonts w:asciiTheme="minorHAnsi" w:hAnsiTheme="minorHAnsi" w:cstheme="minorHAnsi"/>
                            <w:b/>
                            <w:color w:val="595959" w:themeColor="text1" w:themeTint="A6"/>
                            <w:sz w:val="18"/>
                            <w:szCs w:val="17"/>
                          </w:rPr>
                        </w:pPr>
                        <w:r w:rsidRPr="00127BD4">
                          <w:rPr>
                            <w:rFonts w:asciiTheme="minorHAnsi" w:hAnsiTheme="minorHAnsi" w:cstheme="minorHAnsi"/>
                            <w:b/>
                            <w:color w:val="595959" w:themeColor="text1" w:themeTint="A6"/>
                            <w:sz w:val="18"/>
                            <w:szCs w:val="17"/>
                          </w:rPr>
                          <w:t>Elemento</w:t>
                        </w:r>
                      </w:p>
                    </w:txbxContent>
                  </v:textbox>
                </v:shape>
                <w10:wrap type="topAndBottom"/>
              </v:group>
            </w:pict>
          </mc:Fallback>
        </mc:AlternateContent>
      </w:r>
      <w:r w:rsidR="00077E48" w:rsidRPr="004068F6">
        <w:t xml:space="preserve">Figura </w:t>
      </w:r>
      <w:fldSimple w:instr=" SEQ Figura \* ARABIC ">
        <w:r w:rsidR="009C4A81">
          <w:rPr>
            <w:noProof/>
          </w:rPr>
          <w:t>11</w:t>
        </w:r>
      </w:fldSimple>
      <w:bookmarkEnd w:id="2556"/>
      <w:r w:rsidR="00077E48" w:rsidRPr="004068F6">
        <w:t xml:space="preserve">. </w:t>
      </w:r>
      <w:r w:rsidR="00077E48" w:rsidRPr="004068F6">
        <w:rPr>
          <w:b w:val="0"/>
          <w:bCs w:val="0"/>
        </w:rPr>
        <w:t>Dispersión</w:t>
      </w:r>
      <w:r w:rsidR="007D108E" w:rsidRPr="004068F6">
        <w:rPr>
          <w:b w:val="0"/>
          <w:bCs w:val="0"/>
        </w:rPr>
        <w:t xml:space="preserve"> y</w:t>
      </w:r>
      <w:r w:rsidR="00077E48" w:rsidRPr="004068F6">
        <w:rPr>
          <w:b w:val="0"/>
          <w:bCs w:val="0"/>
        </w:rPr>
        <w:t xml:space="preserve"> absorción de impactos</w:t>
      </w:r>
      <w:r w:rsidR="00EE4EF9" w:rsidRPr="004068F6">
        <w:rPr>
          <w:b w:val="0"/>
          <w:bCs w:val="0"/>
        </w:rPr>
        <w:t>,</w:t>
      </w:r>
      <w:r w:rsidR="00077E48" w:rsidRPr="004068F6">
        <w:rPr>
          <w:b w:val="0"/>
          <w:bCs w:val="0"/>
        </w:rPr>
        <w:t xml:space="preserve"> y </w:t>
      </w:r>
      <w:r w:rsidR="00A53510" w:rsidRPr="004068F6">
        <w:rPr>
          <w:b w:val="0"/>
          <w:bCs w:val="0"/>
        </w:rPr>
        <w:t>C</w:t>
      </w:r>
      <w:r w:rsidR="00077E48" w:rsidRPr="004068F6">
        <w:rPr>
          <w:b w:val="0"/>
          <w:bCs w:val="0"/>
        </w:rPr>
        <w:t>riterios de conformación que limitan la manifestación de impactos</w:t>
      </w:r>
    </w:p>
    <w:p w14:paraId="41511EE9" w14:textId="12E4A4C8" w:rsidR="00077E48" w:rsidRPr="004068F6" w:rsidRDefault="00077E48" w:rsidP="008A5763">
      <w:pPr>
        <w:jc w:val="center"/>
        <w:rPr>
          <w:rFonts w:cs="Arial"/>
          <w:sz w:val="28"/>
          <w:szCs w:val="28"/>
        </w:rPr>
      </w:pPr>
      <w:r w:rsidRPr="004068F6">
        <w:rPr>
          <w:rFonts w:cs="Arial"/>
          <w:b/>
          <w:spacing w:val="-3"/>
          <w:sz w:val="20"/>
          <w:szCs w:val="28"/>
        </w:rPr>
        <w:t>Fuente:</w:t>
      </w:r>
      <w:r w:rsidRPr="004068F6">
        <w:rPr>
          <w:rFonts w:cs="Arial"/>
          <w:spacing w:val="-3"/>
          <w:sz w:val="20"/>
          <w:szCs w:val="28"/>
        </w:rPr>
        <w:t xml:space="preserve"> ANLA</w:t>
      </w:r>
      <w:r w:rsidR="00067514" w:rsidRPr="004068F6">
        <w:rPr>
          <w:rFonts w:cs="Arial"/>
          <w:spacing w:val="-3"/>
          <w:sz w:val="20"/>
          <w:szCs w:val="28"/>
        </w:rPr>
        <w:t xml:space="preserve">. </w:t>
      </w:r>
      <w:r w:rsidR="00067514" w:rsidRPr="004068F6">
        <w:rPr>
          <w:rFonts w:cs="Arial"/>
          <w:spacing w:val="-3"/>
          <w:sz w:val="20"/>
        </w:rPr>
        <w:t>Subdirección de Instrumentos, Permisos y Trámites Ambientales</w:t>
      </w:r>
      <w:r w:rsidRPr="004068F6">
        <w:rPr>
          <w:rFonts w:cs="Arial"/>
          <w:spacing w:val="-3"/>
          <w:sz w:val="20"/>
          <w:szCs w:val="28"/>
        </w:rPr>
        <w:t xml:space="preserve"> –</w:t>
      </w:r>
      <w:r w:rsidR="00067514" w:rsidRPr="004068F6">
        <w:rPr>
          <w:rFonts w:cs="Arial"/>
          <w:spacing w:val="-3"/>
          <w:sz w:val="20"/>
          <w:szCs w:val="28"/>
        </w:rPr>
        <w:t xml:space="preserve"> </w:t>
      </w:r>
      <w:r w:rsidRPr="004068F6">
        <w:rPr>
          <w:rFonts w:cs="Arial"/>
          <w:spacing w:val="-3"/>
          <w:sz w:val="20"/>
          <w:szCs w:val="28"/>
        </w:rPr>
        <w:t>2021.</w:t>
      </w:r>
    </w:p>
    <w:p w14:paraId="0942093B" w14:textId="77777777" w:rsidR="00921605" w:rsidRDefault="00921605" w:rsidP="00077E48">
      <w:pPr>
        <w:numPr>
          <w:ilvl w:val="12"/>
          <w:numId w:val="0"/>
        </w:numPr>
        <w:tabs>
          <w:tab w:val="left" w:pos="-2268"/>
        </w:tabs>
        <w:suppressAutoHyphens/>
        <w:rPr>
          <w:rFonts w:cs="Arial"/>
          <w:spacing w:val="-3"/>
        </w:rPr>
      </w:pPr>
    </w:p>
    <w:p w14:paraId="7EE2B20C" w14:textId="77777777" w:rsidR="006706DF" w:rsidRPr="004068F6" w:rsidRDefault="006706DF" w:rsidP="006706DF">
      <w:pPr>
        <w:rPr>
          <w:rFonts w:cs="Arial"/>
        </w:rPr>
      </w:pPr>
      <w:r w:rsidRPr="004068F6">
        <w:rPr>
          <w:rFonts w:cs="Arial"/>
        </w:rPr>
        <w:t xml:space="preserve">Tanto para unidades de coberturas como para unidades de ecosistemas, las cuales pueden ser terrestres o acuáticas (continentales, marinas o marino-costeras), es posible iniciar el proceso estudiando las unidades de análisis localizadas en el área por intervenir, la cual corresponde a la zona en la que ocurre el disturbio de forma directa, y a partir de allí establecer la continuidad de las diferentes unidades que conforman los factores o componentes del medio y determinar cuáles de ellas efectivamente se impactan considerando sus características y las del proyecto, obra </w:t>
      </w:r>
      <w:r w:rsidRPr="004068F6">
        <w:rPr>
          <w:rFonts w:cs="Arial"/>
        </w:rPr>
        <w:lastRenderedPageBreak/>
        <w:t>o actividad; en otras palabras, definiendo el alcance espacial de los impactos ambientales.</w:t>
      </w:r>
    </w:p>
    <w:p w14:paraId="2D9FE7FB" w14:textId="77777777" w:rsidR="006706DF" w:rsidRPr="004068F6" w:rsidRDefault="006706DF" w:rsidP="00077E48">
      <w:pPr>
        <w:numPr>
          <w:ilvl w:val="12"/>
          <w:numId w:val="0"/>
        </w:numPr>
        <w:tabs>
          <w:tab w:val="left" w:pos="-2268"/>
        </w:tabs>
        <w:suppressAutoHyphens/>
        <w:rPr>
          <w:rFonts w:cs="Arial"/>
          <w:spacing w:val="-3"/>
        </w:rPr>
      </w:pPr>
    </w:p>
    <w:p w14:paraId="0117CDE2" w14:textId="684BE9D4" w:rsidR="00921605" w:rsidRPr="004068F6" w:rsidRDefault="00921605" w:rsidP="00921605">
      <w:pPr>
        <w:rPr>
          <w:rFonts w:cs="Arial"/>
        </w:rPr>
      </w:pPr>
      <w:r w:rsidRPr="004068F6">
        <w:rPr>
          <w:rFonts w:cs="Arial"/>
        </w:rPr>
        <w:t xml:space="preserve">En </w:t>
      </w:r>
      <w:r w:rsidR="00A53510" w:rsidRPr="004068F6">
        <w:rPr>
          <w:rFonts w:cs="Arial"/>
        </w:rPr>
        <w:t xml:space="preserve">contextos </w:t>
      </w:r>
      <w:r w:rsidRPr="004068F6">
        <w:rPr>
          <w:rFonts w:cs="Arial"/>
        </w:rPr>
        <w:t>marin</w:t>
      </w:r>
      <w:r w:rsidR="00A53510" w:rsidRPr="004068F6">
        <w:rPr>
          <w:rFonts w:cs="Arial"/>
        </w:rPr>
        <w:t>o</w:t>
      </w:r>
      <w:r w:rsidRPr="004068F6">
        <w:rPr>
          <w:rFonts w:cs="Arial"/>
        </w:rPr>
        <w:t>s</w:t>
      </w:r>
      <w:r w:rsidR="003D5C6F" w:rsidRPr="004068F6">
        <w:rPr>
          <w:rFonts w:cs="Arial"/>
        </w:rPr>
        <w:t xml:space="preserve"> y oceánicos</w:t>
      </w:r>
      <w:r w:rsidRPr="004068F6">
        <w:rPr>
          <w:rFonts w:cs="Arial"/>
        </w:rPr>
        <w:t xml:space="preserve"> </w:t>
      </w:r>
      <w:r w:rsidR="00991C38" w:rsidRPr="004068F6">
        <w:rPr>
          <w:rFonts w:cs="Arial"/>
        </w:rPr>
        <w:t>se debe considerar que el área de influencia correspond</w:t>
      </w:r>
      <w:r w:rsidR="00D7080B" w:rsidRPr="004068F6">
        <w:rPr>
          <w:rFonts w:cs="Arial"/>
        </w:rPr>
        <w:t>e</w:t>
      </w:r>
      <w:r w:rsidR="00991C38" w:rsidRPr="004068F6">
        <w:rPr>
          <w:rFonts w:cs="Arial"/>
        </w:rPr>
        <w:t xml:space="preserve"> a la proyección en la superficie de los impactos que suceden a diferentes profundidades</w:t>
      </w:r>
      <w:r w:rsidRPr="004068F6">
        <w:rPr>
          <w:rFonts w:cs="Arial"/>
        </w:rPr>
        <w:t xml:space="preserve">, </w:t>
      </w:r>
      <w:r w:rsidR="0042488E" w:rsidRPr="004068F6">
        <w:rPr>
          <w:rFonts w:cs="Arial"/>
        </w:rPr>
        <w:t xml:space="preserve">es decir, </w:t>
      </w:r>
      <w:r w:rsidR="00E10D13" w:rsidRPr="004068F6">
        <w:rPr>
          <w:rFonts w:cs="Arial"/>
        </w:rPr>
        <w:t xml:space="preserve">de </w:t>
      </w:r>
      <w:r w:rsidR="0042488E" w:rsidRPr="004068F6">
        <w:rPr>
          <w:rFonts w:cs="Arial"/>
        </w:rPr>
        <w:t xml:space="preserve">los impactos que ocurren </w:t>
      </w:r>
      <w:r w:rsidR="0091571B" w:rsidRPr="004068F6">
        <w:rPr>
          <w:rFonts w:cs="Arial"/>
        </w:rPr>
        <w:t xml:space="preserve">tanto </w:t>
      </w:r>
      <w:r w:rsidR="0042488E" w:rsidRPr="004068F6">
        <w:rPr>
          <w:rFonts w:cs="Arial"/>
        </w:rPr>
        <w:t xml:space="preserve">en </w:t>
      </w:r>
      <w:r w:rsidR="0091571B" w:rsidRPr="004068F6">
        <w:rPr>
          <w:rFonts w:cs="Arial"/>
        </w:rPr>
        <w:t xml:space="preserve">la columna de agua, donde se presenta una variación en la distribución de las poblaciones y comunidades, como </w:t>
      </w:r>
      <w:r w:rsidR="00CD29A9" w:rsidRPr="004068F6">
        <w:rPr>
          <w:rFonts w:cs="Arial"/>
        </w:rPr>
        <w:t xml:space="preserve">en los </w:t>
      </w:r>
      <w:r w:rsidR="00653922" w:rsidRPr="004068F6">
        <w:rPr>
          <w:rFonts w:cs="Arial"/>
        </w:rPr>
        <w:t xml:space="preserve">ecosistemas </w:t>
      </w:r>
      <w:r w:rsidR="00CD29A9" w:rsidRPr="004068F6">
        <w:rPr>
          <w:rFonts w:cs="Arial"/>
        </w:rPr>
        <w:t xml:space="preserve">del lecho marino </w:t>
      </w:r>
      <w:r w:rsidR="00EA7940" w:rsidRPr="004068F6">
        <w:rPr>
          <w:rFonts w:cs="Arial"/>
        </w:rPr>
        <w:t>(</w:t>
      </w:r>
      <w:r w:rsidR="00E10D13" w:rsidRPr="004068F6">
        <w:rPr>
          <w:rFonts w:cs="Arial"/>
        </w:rPr>
        <w:t xml:space="preserve">por ejemplo, </w:t>
      </w:r>
      <w:r w:rsidR="00EA7940" w:rsidRPr="004068F6">
        <w:rPr>
          <w:rFonts w:cs="Arial"/>
        </w:rPr>
        <w:t>pastos</w:t>
      </w:r>
      <w:r w:rsidR="00FD3369" w:rsidRPr="004068F6">
        <w:rPr>
          <w:rFonts w:cs="Arial"/>
        </w:rPr>
        <w:t xml:space="preserve"> </w:t>
      </w:r>
      <w:r w:rsidR="00214751" w:rsidRPr="004068F6">
        <w:rPr>
          <w:rFonts w:cs="Arial"/>
        </w:rPr>
        <w:t xml:space="preserve">marinos </w:t>
      </w:r>
      <w:r w:rsidR="00FD3369" w:rsidRPr="004068F6">
        <w:rPr>
          <w:rFonts w:cs="Arial"/>
        </w:rPr>
        <w:t>y</w:t>
      </w:r>
      <w:r w:rsidR="00EA7940" w:rsidRPr="004068F6">
        <w:rPr>
          <w:rFonts w:cs="Arial"/>
        </w:rPr>
        <w:t xml:space="preserve"> corales)</w:t>
      </w:r>
      <w:r w:rsidR="00653922" w:rsidRPr="004068F6">
        <w:rPr>
          <w:rFonts w:cs="Arial"/>
        </w:rPr>
        <w:t>.</w:t>
      </w:r>
      <w:r w:rsidRPr="004068F6">
        <w:rPr>
          <w:rFonts w:cs="Arial"/>
        </w:rPr>
        <w:t xml:space="preserve"> La </w:t>
      </w:r>
      <w:r w:rsidR="00A51056" w:rsidRPr="004068F6">
        <w:rPr>
          <w:rFonts w:cs="Arial"/>
        </w:rPr>
        <w:t xml:space="preserve">determinación </w:t>
      </w:r>
      <w:r w:rsidRPr="004068F6">
        <w:rPr>
          <w:rFonts w:cs="Arial"/>
        </w:rPr>
        <w:t xml:space="preserve">de impactos ambientales en estos </w:t>
      </w:r>
      <w:r w:rsidR="00054945" w:rsidRPr="004068F6">
        <w:rPr>
          <w:rFonts w:cs="Arial"/>
        </w:rPr>
        <w:t>ambientes</w:t>
      </w:r>
      <w:r w:rsidRPr="004068F6">
        <w:rPr>
          <w:rFonts w:cs="Arial"/>
        </w:rPr>
        <w:t xml:space="preserve"> puede </w:t>
      </w:r>
      <w:r w:rsidR="00403F24" w:rsidRPr="004068F6">
        <w:rPr>
          <w:rFonts w:cs="Arial"/>
        </w:rPr>
        <w:t>basarse,</w:t>
      </w:r>
      <w:r w:rsidRPr="004068F6">
        <w:rPr>
          <w:rFonts w:cs="Arial"/>
        </w:rPr>
        <w:t xml:space="preserve"> por ejemplo, en modelos de dispersión de contaminantes y de </w:t>
      </w:r>
      <w:r w:rsidR="00B80946" w:rsidRPr="004068F6">
        <w:rPr>
          <w:rFonts w:cs="Arial"/>
        </w:rPr>
        <w:t xml:space="preserve">sus </w:t>
      </w:r>
      <w:r w:rsidR="006C6BDE" w:rsidRPr="004068F6">
        <w:rPr>
          <w:rFonts w:cs="Arial"/>
        </w:rPr>
        <w:t xml:space="preserve">impactos </w:t>
      </w:r>
      <w:r w:rsidRPr="004068F6">
        <w:rPr>
          <w:rFonts w:cs="Arial"/>
        </w:rPr>
        <w:t xml:space="preserve">sobre </w:t>
      </w:r>
      <w:r w:rsidR="0088357D" w:rsidRPr="004068F6">
        <w:rPr>
          <w:rFonts w:cs="Arial"/>
        </w:rPr>
        <w:t>lo</w:t>
      </w:r>
      <w:r w:rsidRPr="004068F6">
        <w:rPr>
          <w:rFonts w:cs="Arial"/>
        </w:rPr>
        <w:t>s ecosistemas y comunidades.</w:t>
      </w:r>
    </w:p>
    <w:p w14:paraId="57DAD485" w14:textId="77777777" w:rsidR="00921605" w:rsidRPr="004068F6" w:rsidRDefault="00921605" w:rsidP="00077E48">
      <w:pPr>
        <w:numPr>
          <w:ilvl w:val="12"/>
          <w:numId w:val="0"/>
        </w:numPr>
        <w:tabs>
          <w:tab w:val="left" w:pos="-2268"/>
        </w:tabs>
        <w:suppressAutoHyphens/>
        <w:rPr>
          <w:rFonts w:cs="Arial"/>
          <w:spacing w:val="-3"/>
        </w:rPr>
      </w:pPr>
    </w:p>
    <w:p w14:paraId="44B56C85" w14:textId="43566366" w:rsidR="00585C1C" w:rsidRPr="004068F6" w:rsidRDefault="006D417A" w:rsidP="00585C1C">
      <w:pPr>
        <w:rPr>
          <w:rFonts w:cs="Arial"/>
        </w:rPr>
      </w:pPr>
      <w:bookmarkStart w:id="2557" w:name="_Hlk198803620"/>
      <w:r w:rsidRPr="004068F6">
        <w:rPr>
          <w:rFonts w:cs="Arial"/>
        </w:rPr>
        <w:t xml:space="preserve">En el caso de la </w:t>
      </w:r>
      <w:r w:rsidR="00585C1C" w:rsidRPr="004068F6">
        <w:rPr>
          <w:rFonts w:cs="Arial"/>
        </w:rPr>
        <w:t>hidrobiota</w:t>
      </w:r>
      <w:r w:rsidRPr="004068F6">
        <w:rPr>
          <w:rFonts w:cs="Arial"/>
        </w:rPr>
        <w:t xml:space="preserve">, la </w:t>
      </w:r>
      <w:r w:rsidR="00FD1FED" w:rsidRPr="004068F6">
        <w:rPr>
          <w:rFonts w:cs="Arial"/>
        </w:rPr>
        <w:t xml:space="preserve">determinación del alcance de los impactos para </w:t>
      </w:r>
      <w:r w:rsidRPr="004068F6">
        <w:rPr>
          <w:rFonts w:cs="Arial"/>
        </w:rPr>
        <w:t>delimita</w:t>
      </w:r>
      <w:r w:rsidR="00FD1FED" w:rsidRPr="004068F6">
        <w:rPr>
          <w:rFonts w:cs="Arial"/>
        </w:rPr>
        <w:t xml:space="preserve">r </w:t>
      </w:r>
      <w:r w:rsidRPr="004068F6">
        <w:rPr>
          <w:rFonts w:cs="Arial"/>
        </w:rPr>
        <w:t xml:space="preserve">del área de influencia </w:t>
      </w:r>
      <w:r w:rsidR="00585C1C" w:rsidRPr="004068F6">
        <w:rPr>
          <w:rFonts w:cs="Arial"/>
        </w:rPr>
        <w:t xml:space="preserve">debe considerar lugares de relevancia según la comunidad analizada; por ejemplo, para la ictiofauna </w:t>
      </w:r>
      <w:r w:rsidR="00906FEE" w:rsidRPr="004068F6">
        <w:rPr>
          <w:rFonts w:cs="Arial"/>
        </w:rPr>
        <w:t>e</w:t>
      </w:r>
      <w:r w:rsidR="00585C1C" w:rsidRPr="004068F6">
        <w:rPr>
          <w:rFonts w:cs="Arial"/>
        </w:rPr>
        <w:t xml:space="preserve">stos </w:t>
      </w:r>
      <w:r w:rsidR="00906FEE" w:rsidRPr="004068F6">
        <w:rPr>
          <w:rFonts w:cs="Arial"/>
        </w:rPr>
        <w:t xml:space="preserve">lugares </w:t>
      </w:r>
      <w:r w:rsidR="00585C1C" w:rsidRPr="004068F6">
        <w:rPr>
          <w:rFonts w:cs="Arial"/>
        </w:rPr>
        <w:t>pueden corresponder a sitios de desove, zonas vivero y de alimentación. De otra parte, y teniendo en cuenta que las características de la hidrobiota están ligadas a las condiciones de los ecosistemas acuáticos, la delimitación del área de influencia debe basarse principalmente en las alteraciones al hábitat, dados los cambios en las condiciones fisicoquímicas y en la oferta hídrica para el desarrollo de las comunidades hidrobiológicas que genera el proyecto, obra o actividad.</w:t>
      </w:r>
    </w:p>
    <w:p w14:paraId="7F10F5D7" w14:textId="77777777" w:rsidR="00585C1C" w:rsidRPr="004068F6" w:rsidRDefault="00585C1C" w:rsidP="00585C1C">
      <w:pPr>
        <w:rPr>
          <w:rFonts w:cs="Arial"/>
        </w:rPr>
      </w:pPr>
    </w:p>
    <w:p w14:paraId="48B43CE7" w14:textId="643023C8" w:rsidR="00585C1C" w:rsidRPr="004068F6" w:rsidRDefault="00585C1C" w:rsidP="00585C1C">
      <w:pPr>
        <w:rPr>
          <w:rFonts w:cs="Arial"/>
        </w:rPr>
      </w:pPr>
      <w:r w:rsidRPr="004068F6">
        <w:rPr>
          <w:rFonts w:cs="Arial"/>
        </w:rPr>
        <w:t xml:space="preserve">Así, </w:t>
      </w:r>
      <w:r w:rsidR="00601612" w:rsidRPr="004068F6">
        <w:rPr>
          <w:rFonts w:cs="Arial"/>
        </w:rPr>
        <w:t xml:space="preserve">el alcance de los impactos sobre </w:t>
      </w:r>
      <w:r w:rsidRPr="004068F6">
        <w:rPr>
          <w:rFonts w:cs="Arial"/>
        </w:rPr>
        <w:t>la hidrobiota puede ser determinad</w:t>
      </w:r>
      <w:r w:rsidR="00F36D50" w:rsidRPr="004068F6">
        <w:rPr>
          <w:rFonts w:cs="Arial"/>
        </w:rPr>
        <w:t>o</w:t>
      </w:r>
      <w:r w:rsidRPr="004068F6">
        <w:rPr>
          <w:rFonts w:cs="Arial"/>
        </w:rPr>
        <w:t xml:space="preserve"> </w:t>
      </w:r>
      <w:r w:rsidR="00F36D50" w:rsidRPr="004068F6">
        <w:rPr>
          <w:rFonts w:cs="Arial"/>
        </w:rPr>
        <w:t xml:space="preserve">a través de </w:t>
      </w:r>
      <w:r w:rsidRPr="004068F6">
        <w:rPr>
          <w:rFonts w:cs="Arial"/>
        </w:rPr>
        <w:t>la alteración de la calidad de hábitat, la alteración de calidad de</w:t>
      </w:r>
      <w:r w:rsidR="00F859A5">
        <w:rPr>
          <w:rFonts w:cs="Arial"/>
        </w:rPr>
        <w:t>l</w:t>
      </w:r>
      <w:r w:rsidRPr="004068F6">
        <w:rPr>
          <w:rFonts w:cs="Arial"/>
        </w:rPr>
        <w:t xml:space="preserve"> agua, el cambio en la dinámica hidrológica de los cuerpos de agua (p. ej. variación de caudales o niveles de agua), los cambios morfológicos, la alteración de la vegetación riparia, la modificación de las relaciones con los ecosistemas aledaños, la alteración de su distribución y cobertura espacial, entre otras. Estos cambios se evidencian, por ejemplo, mediante indicadores biológicos para el ecosistema acuático analizado.</w:t>
      </w:r>
    </w:p>
    <w:bookmarkEnd w:id="2557"/>
    <w:p w14:paraId="4B277B63" w14:textId="77777777" w:rsidR="00585C1C" w:rsidRPr="004068F6" w:rsidRDefault="00585C1C" w:rsidP="008A4FE9">
      <w:pPr>
        <w:rPr>
          <w:rFonts w:cs="Arial"/>
          <w:spacing w:val="-3"/>
        </w:rPr>
      </w:pPr>
    </w:p>
    <w:p w14:paraId="601BA8C2" w14:textId="553C2714" w:rsidR="00077E48" w:rsidRPr="004068F6" w:rsidRDefault="00077E48" w:rsidP="008A4FE9">
      <w:pPr>
        <w:rPr>
          <w:rFonts w:cs="Arial"/>
          <w:spacing w:val="-3"/>
        </w:rPr>
      </w:pPr>
      <w:r w:rsidRPr="004068F6">
        <w:rPr>
          <w:rFonts w:cs="Arial"/>
          <w:spacing w:val="-3"/>
        </w:rPr>
        <w:t xml:space="preserve">De otra parte, para </w:t>
      </w:r>
      <w:r w:rsidR="00574400" w:rsidRPr="004068F6">
        <w:rPr>
          <w:rFonts w:cs="Arial"/>
          <w:spacing w:val="-3"/>
        </w:rPr>
        <w:t xml:space="preserve">determinar </w:t>
      </w:r>
      <w:r w:rsidRPr="004068F6">
        <w:rPr>
          <w:rFonts w:cs="Arial"/>
          <w:spacing w:val="-3"/>
        </w:rPr>
        <w:t>las unidades de análisis en las cuales se presentan impactos ambientales significativos, además de elementos como la distribución espacial de coberturas o ecosistemas, es importante considerar variable</w:t>
      </w:r>
      <w:r w:rsidR="00B80946" w:rsidRPr="004068F6">
        <w:rPr>
          <w:rFonts w:cs="Arial"/>
          <w:spacing w:val="-3"/>
        </w:rPr>
        <w:t>s como</w:t>
      </w:r>
      <w:r w:rsidRPr="004068F6">
        <w:rPr>
          <w:rFonts w:cs="Arial"/>
          <w:spacing w:val="-3"/>
        </w:rPr>
        <w:t xml:space="preserve"> </w:t>
      </w:r>
      <w:r w:rsidR="007B079C" w:rsidRPr="004068F6">
        <w:rPr>
          <w:rFonts w:cs="Arial"/>
          <w:spacing w:val="-3"/>
        </w:rPr>
        <w:t xml:space="preserve">la </w:t>
      </w:r>
      <w:r w:rsidR="00BF790D" w:rsidRPr="004068F6">
        <w:rPr>
          <w:rFonts w:cs="Arial"/>
          <w:spacing w:val="-3"/>
        </w:rPr>
        <w:t>conectividad ecológica</w:t>
      </w:r>
      <w:r w:rsidRPr="004068F6">
        <w:rPr>
          <w:rFonts w:cs="Arial"/>
          <w:spacing w:val="-3"/>
        </w:rPr>
        <w:t>.</w:t>
      </w:r>
    </w:p>
    <w:p w14:paraId="20260BB2" w14:textId="77777777" w:rsidR="00077E48" w:rsidRPr="004068F6" w:rsidRDefault="00077E48" w:rsidP="00077E48">
      <w:pPr>
        <w:rPr>
          <w:rFonts w:cs="Arial"/>
          <w:spacing w:val="-3"/>
        </w:rPr>
      </w:pPr>
    </w:p>
    <w:p w14:paraId="6E9B70BF" w14:textId="0273FFAB" w:rsidR="00077E48" w:rsidRPr="004068F6" w:rsidRDefault="00E46B33" w:rsidP="00077E48">
      <w:pPr>
        <w:rPr>
          <w:rFonts w:cs="Arial"/>
        </w:rPr>
      </w:pPr>
      <w:r w:rsidRPr="004068F6">
        <w:t xml:space="preserve">La </w:t>
      </w:r>
      <w:r w:rsidRPr="00127BD4">
        <w:rPr>
          <w:i/>
          <w:iCs/>
        </w:rPr>
        <w:t>conectividad ecológica es un elemento complementario que debe emplearse,</w:t>
      </w:r>
      <w:r w:rsidRPr="00127BD4">
        <w:rPr>
          <w:rFonts w:cs="Arial"/>
          <w:i/>
          <w:iCs/>
        </w:rPr>
        <w:t xml:space="preserve"> en caso de aplicar</w:t>
      </w:r>
      <w:r w:rsidRPr="004068F6">
        <w:rPr>
          <w:rFonts w:cs="Arial"/>
        </w:rPr>
        <w:t xml:space="preserve">, </w:t>
      </w:r>
      <w:r w:rsidRPr="004068F6">
        <w:t xml:space="preserve">dado que señala condiciones importantes sobre la sensibilidad del área </w:t>
      </w:r>
      <w:r w:rsidR="00E402A6" w:rsidRPr="004068F6">
        <w:t xml:space="preserve">objeto de estudio </w:t>
      </w:r>
      <w:r w:rsidRPr="004068F6">
        <w:t xml:space="preserve">al </w:t>
      </w:r>
      <w:r w:rsidR="00B35779" w:rsidRPr="004068F6">
        <w:rPr>
          <w:rFonts w:cs="Arial"/>
        </w:rPr>
        <w:t>incorpora</w:t>
      </w:r>
      <w:r w:rsidRPr="004068F6">
        <w:rPr>
          <w:rFonts w:cs="Arial"/>
        </w:rPr>
        <w:t>r</w:t>
      </w:r>
      <w:r w:rsidR="00B35779" w:rsidRPr="004068F6">
        <w:rPr>
          <w:rFonts w:cs="Arial"/>
        </w:rPr>
        <w:t xml:space="preserve"> dentro de sí elementos como la distribución potencial de las especies</w:t>
      </w:r>
      <w:r w:rsidRPr="004068F6">
        <w:rPr>
          <w:rFonts w:cs="Arial"/>
        </w:rPr>
        <w:t xml:space="preserve"> y posibilitar la </w:t>
      </w:r>
      <w:r w:rsidR="00046B3E" w:rsidRPr="004068F6">
        <w:rPr>
          <w:rFonts w:cs="Arial"/>
        </w:rPr>
        <w:t>determina</w:t>
      </w:r>
      <w:r w:rsidRPr="004068F6">
        <w:rPr>
          <w:rFonts w:cs="Arial"/>
        </w:rPr>
        <w:t xml:space="preserve">ción de </w:t>
      </w:r>
      <w:r w:rsidR="00077E48" w:rsidRPr="004068F6">
        <w:rPr>
          <w:rFonts w:cs="Arial"/>
        </w:rPr>
        <w:t>áreas de importancia para la movilidad de las especies de fauna silvestre.</w:t>
      </w:r>
    </w:p>
    <w:p w14:paraId="5C413B5B" w14:textId="77777777" w:rsidR="00077E48" w:rsidRPr="004068F6" w:rsidRDefault="00077E48" w:rsidP="00077E48">
      <w:pPr>
        <w:rPr>
          <w:rFonts w:cs="Arial"/>
        </w:rPr>
      </w:pPr>
    </w:p>
    <w:p w14:paraId="4D8F0885" w14:textId="40EDB4A2" w:rsidR="00077E48" w:rsidRPr="004068F6" w:rsidRDefault="00BE2B45" w:rsidP="00077E48">
      <w:pPr>
        <w:rPr>
          <w:rFonts w:cs="Arial"/>
        </w:rPr>
      </w:pPr>
      <w:r w:rsidRPr="004068F6">
        <w:rPr>
          <w:rFonts w:cs="Arial"/>
        </w:rPr>
        <w:t>L</w:t>
      </w:r>
      <w:r w:rsidR="00077E48" w:rsidRPr="004068F6">
        <w:rPr>
          <w:rFonts w:cs="Arial"/>
        </w:rPr>
        <w:t xml:space="preserve">a conectividad ecológica permite </w:t>
      </w:r>
      <w:r w:rsidR="00046B3E" w:rsidRPr="004068F6">
        <w:rPr>
          <w:rFonts w:cs="Arial"/>
        </w:rPr>
        <w:t xml:space="preserve">determinar </w:t>
      </w:r>
      <w:r w:rsidR="00077E48" w:rsidRPr="004068F6">
        <w:rPr>
          <w:rFonts w:cs="Arial"/>
        </w:rPr>
        <w:t>unidades de análisis que aun cuando a primera vista pare</w:t>
      </w:r>
      <w:r w:rsidR="00FD44D0" w:rsidRPr="004068F6">
        <w:rPr>
          <w:rFonts w:cs="Arial"/>
        </w:rPr>
        <w:t xml:space="preserve">zcan </w:t>
      </w:r>
      <w:r w:rsidR="00077E48" w:rsidRPr="004068F6">
        <w:rPr>
          <w:rFonts w:cs="Arial"/>
        </w:rPr>
        <w:t>aisladas o inconexas, en realidad forman una unidad que</w:t>
      </w:r>
      <w:r w:rsidR="00403F24" w:rsidRPr="004068F6">
        <w:rPr>
          <w:rFonts w:cs="Arial"/>
        </w:rPr>
        <w:t>,</w:t>
      </w:r>
      <w:r w:rsidR="00077E48" w:rsidRPr="004068F6">
        <w:rPr>
          <w:rFonts w:cs="Arial"/>
        </w:rPr>
        <w:t xml:space="preserve"> </w:t>
      </w:r>
      <w:r w:rsidR="00077E48" w:rsidRPr="004068F6">
        <w:rPr>
          <w:rFonts w:cs="Arial"/>
        </w:rPr>
        <w:lastRenderedPageBreak/>
        <w:t>si resulta impactada de forma significativa, debe incorporarse en su totalidad al área de influencia.</w:t>
      </w:r>
    </w:p>
    <w:p w14:paraId="0346B6D4" w14:textId="77777777" w:rsidR="00077E48" w:rsidRPr="004068F6" w:rsidRDefault="00077E48" w:rsidP="00077E48">
      <w:pPr>
        <w:rPr>
          <w:rFonts w:cs="Arial"/>
        </w:rPr>
      </w:pPr>
    </w:p>
    <w:p w14:paraId="6ED2C03A" w14:textId="7A37751A" w:rsidR="00211736" w:rsidRPr="004068F6" w:rsidRDefault="00077E48" w:rsidP="00077E48">
      <w:pPr>
        <w:rPr>
          <w:rFonts w:cs="Arial"/>
        </w:rPr>
      </w:pPr>
      <w:r w:rsidRPr="004068F6">
        <w:rPr>
          <w:rFonts w:cs="Arial"/>
        </w:rPr>
        <w:t xml:space="preserve">Es decir, </w:t>
      </w:r>
      <w:r w:rsidR="00070BF8" w:rsidRPr="004068F6">
        <w:rPr>
          <w:rFonts w:cs="Arial"/>
        </w:rPr>
        <w:t xml:space="preserve">esta variable </w:t>
      </w:r>
      <w:r w:rsidRPr="004068F6">
        <w:rPr>
          <w:rFonts w:cs="Arial"/>
        </w:rPr>
        <w:t>constituye un tipo de información que ayuda a establecer qué unidades de coberturas de la tierra o de ecosistemas hacen parte del área de influencia en función de especies que posiblemente habiten allí y de la importancia de tales unidades para la conectividad ecológica de la zona.</w:t>
      </w:r>
    </w:p>
    <w:p w14:paraId="4862C49F" w14:textId="77777777" w:rsidR="00B921A0" w:rsidRPr="004068F6" w:rsidRDefault="00B921A0" w:rsidP="00077E48">
      <w:pPr>
        <w:rPr>
          <w:rFonts w:cs="Arial"/>
        </w:rPr>
      </w:pPr>
    </w:p>
    <w:p w14:paraId="4AE094B1" w14:textId="3F695C24" w:rsidR="00077E48" w:rsidRPr="004068F6" w:rsidRDefault="00077E48" w:rsidP="00077E48">
      <w:pPr>
        <w:rPr>
          <w:rFonts w:cs="Arial"/>
        </w:rPr>
      </w:pPr>
      <w:r w:rsidRPr="004068F6">
        <w:rPr>
          <w:rFonts w:cs="Arial"/>
        </w:rPr>
        <w:t>A continuación</w:t>
      </w:r>
      <w:r w:rsidR="00BF790D" w:rsidRPr="004068F6">
        <w:rPr>
          <w:rFonts w:cs="Arial"/>
        </w:rPr>
        <w:t>,</w:t>
      </w:r>
      <w:r w:rsidRPr="004068F6">
        <w:rPr>
          <w:rFonts w:cs="Arial"/>
        </w:rPr>
        <w:t xml:space="preserve"> se señalan algunos lineamientos generales para incorporar </w:t>
      </w:r>
      <w:r w:rsidR="009A38CC" w:rsidRPr="004068F6">
        <w:rPr>
          <w:rFonts w:cs="Arial"/>
        </w:rPr>
        <w:t xml:space="preserve">la conectividad ecológica </w:t>
      </w:r>
      <w:r w:rsidRPr="004068F6">
        <w:rPr>
          <w:rFonts w:cs="Arial"/>
        </w:rPr>
        <w:t>al proceso de delimitación del área de influencia.</w:t>
      </w:r>
    </w:p>
    <w:p w14:paraId="1BD4F1CA" w14:textId="037DEE4A" w:rsidR="00077E48" w:rsidRDefault="00077E48" w:rsidP="00077E48">
      <w:pPr>
        <w:rPr>
          <w:rFonts w:cs="Arial"/>
        </w:rPr>
      </w:pPr>
    </w:p>
    <w:p w14:paraId="534C9538" w14:textId="112B3D4A" w:rsidR="00077E48" w:rsidRPr="00466E26" w:rsidRDefault="00077E48" w:rsidP="000A1E20">
      <w:pPr>
        <w:pStyle w:val="Ttulo3"/>
      </w:pPr>
      <w:bookmarkStart w:id="2558" w:name="_Ref144114879"/>
      <w:bookmarkStart w:id="2559" w:name="_Toc230879637"/>
      <w:r w:rsidRPr="00466E26">
        <w:t>Conectividad ecológica</w:t>
      </w:r>
      <w:bookmarkEnd w:id="2558"/>
      <w:bookmarkEnd w:id="2559"/>
    </w:p>
    <w:p w14:paraId="3C056015" w14:textId="77777777" w:rsidR="00077E48" w:rsidRPr="004068F6" w:rsidRDefault="00077E48" w:rsidP="00077E48">
      <w:pPr>
        <w:rPr>
          <w:rFonts w:cs="Arial"/>
        </w:rPr>
      </w:pPr>
    </w:p>
    <w:p w14:paraId="3543DE32" w14:textId="66E76E0F" w:rsidR="00077E48" w:rsidRPr="004068F6" w:rsidRDefault="00077E48" w:rsidP="00077E48">
      <w:pPr>
        <w:rPr>
          <w:rFonts w:cs="Arial"/>
          <w:spacing w:val="-3"/>
        </w:rPr>
      </w:pPr>
      <w:r w:rsidRPr="004068F6">
        <w:rPr>
          <w:rFonts w:cs="Arial"/>
          <w:spacing w:val="-3"/>
        </w:rPr>
        <w:t xml:space="preserve">La conectividad ecológica es un criterio </w:t>
      </w:r>
      <w:r w:rsidR="00EE6587" w:rsidRPr="004068F6">
        <w:rPr>
          <w:rFonts w:cs="Arial"/>
          <w:spacing w:val="-3"/>
        </w:rPr>
        <w:t xml:space="preserve">complementario </w:t>
      </w:r>
      <w:r w:rsidRPr="004068F6">
        <w:rPr>
          <w:rFonts w:cs="Arial"/>
          <w:spacing w:val="-3"/>
        </w:rPr>
        <w:t>para la delimitación del área de influencia</w:t>
      </w:r>
      <w:r w:rsidR="002A52D1" w:rsidRPr="004068F6">
        <w:rPr>
          <w:rFonts w:cs="Arial"/>
          <w:spacing w:val="-3"/>
        </w:rPr>
        <w:t xml:space="preserve"> </w:t>
      </w:r>
      <w:r w:rsidR="00E578FC" w:rsidRPr="004068F6">
        <w:rPr>
          <w:rFonts w:cs="Arial"/>
          <w:spacing w:val="-3"/>
        </w:rPr>
        <w:t xml:space="preserve">que debe aplicarse </w:t>
      </w:r>
      <w:r w:rsidR="002A52D1" w:rsidRPr="004068F6">
        <w:rPr>
          <w:rFonts w:cs="Arial"/>
          <w:spacing w:val="-3"/>
        </w:rPr>
        <w:t xml:space="preserve">en caso de que se prevean impactos significativos </w:t>
      </w:r>
      <w:r w:rsidR="00497739" w:rsidRPr="004068F6">
        <w:rPr>
          <w:rFonts w:cs="Arial"/>
          <w:spacing w:val="-3"/>
        </w:rPr>
        <w:t>sobre esta cualidad del territorio</w:t>
      </w:r>
      <w:r w:rsidR="00390F04">
        <w:rPr>
          <w:rFonts w:cs="Arial"/>
          <w:spacing w:val="-3"/>
        </w:rPr>
        <w:t>. La conectividad</w:t>
      </w:r>
      <w:r w:rsidRPr="004068F6">
        <w:rPr>
          <w:rFonts w:cs="Arial"/>
          <w:spacing w:val="-3"/>
        </w:rPr>
        <w:t xml:space="preserve"> permite </w:t>
      </w:r>
      <w:r w:rsidR="00046B3E" w:rsidRPr="004068F6">
        <w:rPr>
          <w:rFonts w:cs="Arial"/>
          <w:spacing w:val="-3"/>
        </w:rPr>
        <w:t xml:space="preserve">determinar </w:t>
      </w:r>
      <w:r w:rsidRPr="004068F6">
        <w:rPr>
          <w:rFonts w:cs="Arial"/>
          <w:spacing w:val="-3"/>
        </w:rPr>
        <w:t>zonas que se comportan como una unidad a pesar de que espacialmente</w:t>
      </w:r>
      <w:r w:rsidR="00AF08B6" w:rsidRPr="004068F6">
        <w:rPr>
          <w:rFonts w:cs="Arial"/>
          <w:spacing w:val="-3"/>
        </w:rPr>
        <w:t>,</w:t>
      </w:r>
      <w:r w:rsidRPr="004068F6">
        <w:rPr>
          <w:rFonts w:cs="Arial"/>
          <w:spacing w:val="-3"/>
        </w:rPr>
        <w:t xml:space="preserve"> </w:t>
      </w:r>
      <w:r w:rsidR="00AF08B6" w:rsidRPr="004068F6">
        <w:rPr>
          <w:rFonts w:cs="Arial"/>
          <w:spacing w:val="-3"/>
        </w:rPr>
        <w:t>a simp</w:t>
      </w:r>
      <w:r w:rsidR="00153A03" w:rsidRPr="004068F6">
        <w:rPr>
          <w:rFonts w:cs="Arial"/>
          <w:spacing w:val="-3"/>
        </w:rPr>
        <w:t>l</w:t>
      </w:r>
      <w:r w:rsidR="00AF08B6" w:rsidRPr="004068F6">
        <w:rPr>
          <w:rFonts w:cs="Arial"/>
          <w:spacing w:val="-3"/>
        </w:rPr>
        <w:t xml:space="preserve">e vista, </w:t>
      </w:r>
      <w:r w:rsidRPr="004068F6">
        <w:rPr>
          <w:rFonts w:cs="Arial"/>
          <w:spacing w:val="-3"/>
        </w:rPr>
        <w:t>se evidenci</w:t>
      </w:r>
      <w:r w:rsidR="00054945" w:rsidRPr="004068F6">
        <w:rPr>
          <w:rFonts w:cs="Arial"/>
          <w:spacing w:val="-3"/>
        </w:rPr>
        <w:t>e</w:t>
      </w:r>
      <w:r w:rsidRPr="004068F6">
        <w:rPr>
          <w:rFonts w:cs="Arial"/>
          <w:spacing w:val="-3"/>
        </w:rPr>
        <w:t>n como unidades independientes</w:t>
      </w:r>
      <w:r w:rsidR="00AF08B6" w:rsidRPr="004068F6">
        <w:rPr>
          <w:rFonts w:cs="Arial"/>
          <w:spacing w:val="-3"/>
        </w:rPr>
        <w:t>;</w:t>
      </w:r>
      <w:r w:rsidRPr="004068F6">
        <w:rPr>
          <w:rFonts w:cs="Arial"/>
          <w:spacing w:val="-3"/>
        </w:rPr>
        <w:t xml:space="preserve"> además, facilita la </w:t>
      </w:r>
      <w:r w:rsidR="00A51056" w:rsidRPr="004068F6">
        <w:rPr>
          <w:rFonts w:cs="Arial"/>
          <w:spacing w:val="-3"/>
        </w:rPr>
        <w:t xml:space="preserve">determinación </w:t>
      </w:r>
      <w:r w:rsidRPr="004068F6">
        <w:rPr>
          <w:rFonts w:cs="Arial"/>
          <w:spacing w:val="-3"/>
        </w:rPr>
        <w:t xml:space="preserve">de impactos ambientales significativos al hacer evidentes áreas </w:t>
      </w:r>
      <w:r w:rsidR="00A714C2" w:rsidRPr="004068F6">
        <w:rPr>
          <w:rFonts w:cs="Arial"/>
          <w:spacing w:val="-3"/>
        </w:rPr>
        <w:t>de importancia</w:t>
      </w:r>
      <w:r w:rsidRPr="004068F6">
        <w:rPr>
          <w:rFonts w:cs="Arial"/>
          <w:spacing w:val="-3"/>
        </w:rPr>
        <w:t xml:space="preserve"> para la conectividad ecológica. Es decir, permite afinar la delimitación de unidades de análisis y establecer en cuáles de ellas se presentan impactos ambientales significativos dadas las características </w:t>
      </w:r>
      <w:r w:rsidR="00B40C66">
        <w:rPr>
          <w:rFonts w:cs="Arial"/>
          <w:spacing w:val="-3"/>
        </w:rPr>
        <w:t xml:space="preserve">y </w:t>
      </w:r>
      <w:r w:rsidRPr="004068F6">
        <w:rPr>
          <w:rFonts w:cs="Arial"/>
          <w:spacing w:val="-3"/>
        </w:rPr>
        <w:t xml:space="preserve">actividades </w:t>
      </w:r>
      <w:r w:rsidR="00AF08B6" w:rsidRPr="004068F6">
        <w:rPr>
          <w:rFonts w:cs="Arial"/>
          <w:spacing w:val="-3"/>
        </w:rPr>
        <w:t>del proyecto</w:t>
      </w:r>
      <w:r w:rsidRPr="004068F6">
        <w:rPr>
          <w:rFonts w:cs="Arial"/>
          <w:spacing w:val="-3"/>
        </w:rPr>
        <w:t>.</w:t>
      </w:r>
    </w:p>
    <w:p w14:paraId="339BFD13" w14:textId="77777777" w:rsidR="00EA636F" w:rsidRPr="004068F6" w:rsidRDefault="00EA636F" w:rsidP="00077E48">
      <w:pPr>
        <w:rPr>
          <w:rFonts w:cs="Arial"/>
        </w:rPr>
      </w:pPr>
    </w:p>
    <w:p w14:paraId="03F591F5" w14:textId="4A77FD81" w:rsidR="00077E48" w:rsidRPr="004068F6" w:rsidRDefault="00A714C2" w:rsidP="00077E48">
      <w:pPr>
        <w:rPr>
          <w:rFonts w:cs="Arial"/>
        </w:rPr>
      </w:pPr>
      <w:r w:rsidRPr="004068F6">
        <w:rPr>
          <w:rFonts w:cs="Arial"/>
        </w:rPr>
        <w:t>Debe existir claridad en que l</w:t>
      </w:r>
      <w:r w:rsidR="007D09F8" w:rsidRPr="004068F6">
        <w:rPr>
          <w:rFonts w:cs="Arial"/>
        </w:rPr>
        <w:t>a determinación de l</w:t>
      </w:r>
      <w:r w:rsidR="00077E48" w:rsidRPr="004068F6">
        <w:rPr>
          <w:rFonts w:cs="Arial"/>
        </w:rPr>
        <w:t xml:space="preserve">a conectividad ecológica en el marco del licenciamiento ambiental no se desarrolla mediante estudios exhaustivos de las relaciones funcionales en los ecosistemas; </w:t>
      </w:r>
      <w:r w:rsidR="007D09F8" w:rsidRPr="004068F6">
        <w:rPr>
          <w:rFonts w:cs="Arial"/>
        </w:rPr>
        <w:t xml:space="preserve">la aproximación propia de </w:t>
      </w:r>
      <w:r w:rsidR="00077E48" w:rsidRPr="004068F6">
        <w:rPr>
          <w:rFonts w:cs="Arial"/>
        </w:rPr>
        <w:t xml:space="preserve">este ámbito se </w:t>
      </w:r>
      <w:r w:rsidR="00BE10A1" w:rsidRPr="004068F6">
        <w:rPr>
          <w:rFonts w:cs="Arial"/>
        </w:rPr>
        <w:t xml:space="preserve">basa en </w:t>
      </w:r>
      <w:r w:rsidR="00077E48" w:rsidRPr="004068F6">
        <w:rPr>
          <w:rFonts w:cs="Arial"/>
        </w:rPr>
        <w:t xml:space="preserve">información </w:t>
      </w:r>
      <w:r w:rsidR="008E5665">
        <w:rPr>
          <w:rFonts w:cs="Arial"/>
        </w:rPr>
        <w:t>registrada</w:t>
      </w:r>
      <w:r w:rsidR="008E5665" w:rsidRPr="004068F6">
        <w:rPr>
          <w:rFonts w:cs="Arial"/>
        </w:rPr>
        <w:t xml:space="preserve"> </w:t>
      </w:r>
      <w:r w:rsidR="006C3098" w:rsidRPr="004068F6">
        <w:rPr>
          <w:rFonts w:cs="Arial"/>
        </w:rPr>
        <w:t>en la caracterización ambiental</w:t>
      </w:r>
      <w:r w:rsidR="00E479DA">
        <w:rPr>
          <w:rFonts w:cs="Arial"/>
        </w:rPr>
        <w:t>, tal</w:t>
      </w:r>
      <w:r w:rsidR="006C3098" w:rsidRPr="004068F6">
        <w:rPr>
          <w:rFonts w:cs="Arial"/>
        </w:rPr>
        <w:t xml:space="preserve"> </w:t>
      </w:r>
      <w:r w:rsidR="00A32CD3" w:rsidRPr="004068F6">
        <w:rPr>
          <w:rFonts w:cs="Arial"/>
        </w:rPr>
        <w:t xml:space="preserve">como </w:t>
      </w:r>
      <w:r w:rsidR="00BE10A1" w:rsidRPr="004068F6">
        <w:rPr>
          <w:rFonts w:cs="Arial"/>
        </w:rPr>
        <w:t xml:space="preserve">la </w:t>
      </w:r>
      <w:r w:rsidR="00077E48" w:rsidRPr="004068F6">
        <w:rPr>
          <w:rFonts w:cs="Arial"/>
        </w:rPr>
        <w:t xml:space="preserve">referida a </w:t>
      </w:r>
      <w:r w:rsidR="00C5728C">
        <w:rPr>
          <w:rFonts w:cs="Arial"/>
        </w:rPr>
        <w:t xml:space="preserve">modelos de </w:t>
      </w:r>
      <w:r w:rsidR="00EA636F" w:rsidRPr="004068F6">
        <w:rPr>
          <w:rFonts w:cs="Arial"/>
        </w:rPr>
        <w:t>distribución de especies (</w:t>
      </w:r>
      <w:r w:rsidR="00B34B11" w:rsidRPr="004068F6">
        <w:rPr>
          <w:rFonts w:cs="Arial"/>
        </w:rPr>
        <w:t>cuando estén disponibles</w:t>
      </w:r>
      <w:r w:rsidR="00C5728C">
        <w:rPr>
          <w:rFonts w:cs="Arial"/>
        </w:rPr>
        <w:t>)</w:t>
      </w:r>
      <w:r w:rsidR="00EA636F" w:rsidRPr="004068F6">
        <w:rPr>
          <w:rFonts w:cs="Arial"/>
        </w:rPr>
        <w:t xml:space="preserve">, </w:t>
      </w:r>
      <w:r w:rsidR="00077E48" w:rsidRPr="004068F6">
        <w:rPr>
          <w:rFonts w:cs="Arial"/>
        </w:rPr>
        <w:t>coberturas de la tierra, presencia de especies de fauna y flora silvestre y preferencias de hábitat</w:t>
      </w:r>
      <w:r w:rsidR="00A32CD3" w:rsidRPr="004068F6">
        <w:rPr>
          <w:rFonts w:cs="Arial"/>
        </w:rPr>
        <w:t>.</w:t>
      </w:r>
      <w:r w:rsidR="00077E48" w:rsidRPr="004068F6">
        <w:rPr>
          <w:rFonts w:cs="Arial"/>
        </w:rPr>
        <w:t xml:space="preserve"> </w:t>
      </w:r>
      <w:r w:rsidR="00A32CD3" w:rsidRPr="004068F6">
        <w:rPr>
          <w:rFonts w:cs="Arial"/>
        </w:rPr>
        <w:t>E</w:t>
      </w:r>
      <w:r w:rsidR="00077E48" w:rsidRPr="004068F6">
        <w:rPr>
          <w:rFonts w:cs="Arial"/>
        </w:rPr>
        <w:t>s esta conectividad ecológica</w:t>
      </w:r>
      <w:r w:rsidR="00077E48" w:rsidRPr="004068F6">
        <w:rPr>
          <w:rStyle w:val="Refdenotaalpie"/>
          <w:rFonts w:cs="Arial"/>
          <w:lang w:val="es-CO"/>
        </w:rPr>
        <w:footnoteReference w:id="96"/>
      </w:r>
      <w:r w:rsidR="00077E48" w:rsidRPr="004068F6">
        <w:rPr>
          <w:rFonts w:cs="Arial"/>
        </w:rPr>
        <w:t xml:space="preserve"> </w:t>
      </w:r>
      <w:r w:rsidR="00B560C8">
        <w:rPr>
          <w:rFonts w:cs="Arial"/>
        </w:rPr>
        <w:t xml:space="preserve">es </w:t>
      </w:r>
      <w:r w:rsidR="007C139A" w:rsidRPr="004068F6">
        <w:rPr>
          <w:rFonts w:cs="Arial"/>
        </w:rPr>
        <w:t xml:space="preserve">a </w:t>
      </w:r>
      <w:r w:rsidR="00077E48" w:rsidRPr="004068F6">
        <w:rPr>
          <w:rFonts w:cs="Arial"/>
        </w:rPr>
        <w:t xml:space="preserve">la que se </w:t>
      </w:r>
      <w:r w:rsidR="007C139A" w:rsidRPr="004068F6">
        <w:rPr>
          <w:rFonts w:cs="Arial"/>
        </w:rPr>
        <w:t>deben referir los estudios ambientales</w:t>
      </w:r>
      <w:r w:rsidR="00077E48" w:rsidRPr="004068F6">
        <w:rPr>
          <w:rFonts w:cs="Arial"/>
        </w:rPr>
        <w:t>.</w:t>
      </w:r>
    </w:p>
    <w:p w14:paraId="7EED057E" w14:textId="77777777" w:rsidR="00077E48" w:rsidRPr="004068F6" w:rsidRDefault="00077E48" w:rsidP="00077E48">
      <w:pPr>
        <w:rPr>
          <w:rFonts w:cs="Arial"/>
        </w:rPr>
      </w:pPr>
    </w:p>
    <w:p w14:paraId="74D7D3E8" w14:textId="0A79CBAF" w:rsidR="00A32CD3" w:rsidRPr="004068F6" w:rsidRDefault="00A32CD3" w:rsidP="00A32CD3">
      <w:r w:rsidRPr="004068F6">
        <w:t xml:space="preserve">Como punto de partida, </w:t>
      </w:r>
      <w:r w:rsidR="000C0556" w:rsidRPr="004068F6">
        <w:t xml:space="preserve">se debe </w:t>
      </w:r>
      <w:r w:rsidRPr="004068F6">
        <w:t xml:space="preserve">desarrollar </w:t>
      </w:r>
      <w:r w:rsidR="00D72086" w:rsidRPr="004068F6">
        <w:t xml:space="preserve">o aplicar </w:t>
      </w:r>
      <w:r w:rsidRPr="004068F6">
        <w:t>un modelo que estime las áreas en las que potencialmente puede encontrarse una especie de importancia, relacionando los registros sobre su avistamiento con información sobre la localización espacial de los hábitats que le resulten óptimos</w:t>
      </w:r>
      <w:r w:rsidRPr="004068F6">
        <w:rPr>
          <w:rStyle w:val="Refdenotaalpie"/>
          <w:lang w:val="es-CO"/>
        </w:rPr>
        <w:footnoteReference w:id="97"/>
      </w:r>
      <w:r w:rsidRPr="004068F6">
        <w:t>.</w:t>
      </w:r>
    </w:p>
    <w:p w14:paraId="16E970CF" w14:textId="77777777" w:rsidR="00A32CD3" w:rsidRPr="004068F6" w:rsidRDefault="00A32CD3" w:rsidP="00A32CD3">
      <w:pPr>
        <w:rPr>
          <w:rFonts w:cs="Arial"/>
        </w:rPr>
      </w:pPr>
    </w:p>
    <w:p w14:paraId="1499739E" w14:textId="77777777" w:rsidR="00A32CD3" w:rsidRPr="004068F6" w:rsidRDefault="00A32CD3" w:rsidP="00A32CD3">
      <w:r w:rsidRPr="004068F6">
        <w:lastRenderedPageBreak/>
        <w:t>Para ello, se requiere información geográfica primaria o secundaria</w:t>
      </w:r>
      <w:r w:rsidRPr="004068F6">
        <w:rPr>
          <w:rStyle w:val="Refdenotaalpie"/>
          <w:lang w:val="es-CO"/>
        </w:rPr>
        <w:footnoteReference w:id="98"/>
      </w:r>
      <w:r w:rsidRPr="004068F6">
        <w:t xml:space="preserve"> sobre el avistamiento de la especie o del grupo de especies seleccionado para la elaboración del modelo, así como sobre variables ambientales que permitan localizar sus hábitats idóneos (p. ej. clima, coberturas de la tierra, topografía, conectividad ecológica, distribución de presas) y que, por tanto, puedan emplearse como predictores de su distribución.</w:t>
      </w:r>
    </w:p>
    <w:p w14:paraId="02724543" w14:textId="77777777" w:rsidR="00A32CD3" w:rsidRPr="004068F6" w:rsidRDefault="00A32CD3" w:rsidP="00077E48">
      <w:pPr>
        <w:rPr>
          <w:rFonts w:cs="Arial"/>
        </w:rPr>
      </w:pPr>
    </w:p>
    <w:p w14:paraId="4E95B450" w14:textId="15E06DEB" w:rsidR="007C139A" w:rsidRPr="004068F6" w:rsidRDefault="002364BA" w:rsidP="007C139A">
      <w:pPr>
        <w:rPr>
          <w:rFonts w:cs="Arial"/>
        </w:rPr>
      </w:pPr>
      <w:r w:rsidRPr="004068F6">
        <w:rPr>
          <w:rFonts w:eastAsiaTheme="minorHAnsi" w:cs="Arial"/>
          <w:szCs w:val="22"/>
          <w:lang w:eastAsia="en-US"/>
        </w:rPr>
        <w:t>E</w:t>
      </w:r>
      <w:r w:rsidRPr="004068F6">
        <w:rPr>
          <w:rFonts w:cs="Arial"/>
        </w:rPr>
        <w:t xml:space="preserve">n el numeral </w:t>
      </w:r>
      <w:r w:rsidRPr="004068F6">
        <w:rPr>
          <w:rFonts w:cs="Arial"/>
        </w:rPr>
        <w:fldChar w:fldCharType="begin"/>
      </w:r>
      <w:r w:rsidRPr="004068F6">
        <w:rPr>
          <w:rFonts w:cs="Arial"/>
        </w:rPr>
        <w:instrText xml:space="preserve"> REF _Ref79492801 \r \h </w:instrText>
      </w:r>
      <w:r w:rsidR="006A4128" w:rsidRPr="004068F6">
        <w:rPr>
          <w:rFonts w:cs="Arial"/>
        </w:rPr>
        <w:instrText xml:space="preserve"> \* MERGEFORMAT </w:instrText>
      </w:r>
      <w:r w:rsidRPr="004068F6">
        <w:rPr>
          <w:rFonts w:cs="Arial"/>
        </w:rPr>
      </w:r>
      <w:r w:rsidRPr="004068F6">
        <w:rPr>
          <w:rFonts w:cs="Arial"/>
        </w:rPr>
        <w:fldChar w:fldCharType="separate"/>
      </w:r>
      <w:r w:rsidR="009C4A81">
        <w:rPr>
          <w:rFonts w:cs="Arial"/>
        </w:rPr>
        <w:t>4.2.2.3.2</w:t>
      </w:r>
      <w:r w:rsidRPr="004068F6">
        <w:rPr>
          <w:rFonts w:cs="Arial"/>
        </w:rPr>
        <w:fldChar w:fldCharType="end"/>
      </w:r>
      <w:r w:rsidRPr="004068F6">
        <w:rPr>
          <w:rFonts w:cs="Arial"/>
        </w:rPr>
        <w:t xml:space="preserve"> del capítulo III de este documento, se desarrollan de forma detallada </w:t>
      </w:r>
      <w:r w:rsidR="004A19AD" w:rsidRPr="004068F6">
        <w:rPr>
          <w:rFonts w:cs="Arial"/>
        </w:rPr>
        <w:t xml:space="preserve">los </w:t>
      </w:r>
      <w:r w:rsidRPr="004068F6">
        <w:rPr>
          <w:rFonts w:cs="Arial"/>
        </w:rPr>
        <w:t xml:space="preserve">lineamientos </w:t>
      </w:r>
      <w:r w:rsidR="00A32CD3" w:rsidRPr="004068F6">
        <w:rPr>
          <w:rFonts w:cs="Arial"/>
        </w:rPr>
        <w:t>para determinar las especies con mayor importancia, las coberturas de la tierra que resultan fundamentales para el desarrollo de los procesos ecológicos de tales especies y la permeabilidad del paisaje en relación con la movilidad de éstas</w:t>
      </w:r>
      <w:r w:rsidR="004A19AD" w:rsidRPr="004068F6">
        <w:rPr>
          <w:rFonts w:cs="Arial"/>
        </w:rPr>
        <w:t xml:space="preserve">, así como </w:t>
      </w:r>
      <w:r w:rsidRPr="004068F6">
        <w:rPr>
          <w:rFonts w:cs="Arial"/>
        </w:rPr>
        <w:t xml:space="preserve">el procedimiento </w:t>
      </w:r>
      <w:r w:rsidR="004A19AD" w:rsidRPr="004068F6">
        <w:rPr>
          <w:rFonts w:cs="Arial"/>
        </w:rPr>
        <w:t xml:space="preserve">general </w:t>
      </w:r>
      <w:r w:rsidRPr="004068F6">
        <w:rPr>
          <w:rFonts w:cs="Arial"/>
        </w:rPr>
        <w:t xml:space="preserve">para establecer la conectividad ecológica, </w:t>
      </w:r>
      <w:r w:rsidR="004A19AD" w:rsidRPr="004068F6">
        <w:rPr>
          <w:rFonts w:cs="Arial"/>
        </w:rPr>
        <w:t xml:space="preserve">y se brindan algunos </w:t>
      </w:r>
      <w:r w:rsidRPr="004068F6">
        <w:rPr>
          <w:rFonts w:cs="Arial"/>
        </w:rPr>
        <w:t xml:space="preserve">elementos para </w:t>
      </w:r>
      <w:r w:rsidRPr="004068F6">
        <w:rPr>
          <w:rFonts w:eastAsiaTheme="minorHAnsi" w:cs="Arial"/>
          <w:szCs w:val="22"/>
          <w:lang w:eastAsia="en-US"/>
        </w:rPr>
        <w:t xml:space="preserve">seleccionar </w:t>
      </w:r>
      <w:r w:rsidR="00557AD3" w:rsidRPr="004068F6">
        <w:rPr>
          <w:rFonts w:eastAsiaTheme="minorHAnsi" w:cs="Arial"/>
          <w:szCs w:val="22"/>
          <w:lang w:eastAsia="en-US"/>
        </w:rPr>
        <w:t xml:space="preserve">los </w:t>
      </w:r>
      <w:r w:rsidRPr="004068F6">
        <w:rPr>
          <w:rFonts w:eastAsiaTheme="minorHAnsi" w:cs="Arial"/>
          <w:szCs w:val="22"/>
          <w:lang w:eastAsia="en-US"/>
        </w:rPr>
        <w:t xml:space="preserve">índices de cuantificación </w:t>
      </w:r>
      <w:r w:rsidR="004A19AD" w:rsidRPr="004068F6">
        <w:rPr>
          <w:rFonts w:eastAsiaTheme="minorHAnsi" w:cs="Arial"/>
          <w:szCs w:val="22"/>
          <w:lang w:eastAsia="en-US"/>
        </w:rPr>
        <w:t xml:space="preserve">y </w:t>
      </w:r>
      <w:r w:rsidR="00557AD3" w:rsidRPr="004068F6">
        <w:rPr>
          <w:rFonts w:eastAsiaTheme="minorHAnsi" w:cs="Arial"/>
          <w:szCs w:val="22"/>
          <w:lang w:eastAsia="en-US"/>
        </w:rPr>
        <w:t xml:space="preserve">para </w:t>
      </w:r>
      <w:r w:rsidRPr="004068F6">
        <w:rPr>
          <w:rFonts w:eastAsiaTheme="minorHAnsi" w:cs="Arial"/>
          <w:szCs w:val="22"/>
          <w:lang w:eastAsia="en-US"/>
        </w:rPr>
        <w:t>interpretar espacialmente la información generada (matriz de resistencia, teoría de grafos, análisis de redes, entre otros).</w:t>
      </w:r>
    </w:p>
    <w:p w14:paraId="514D21B6" w14:textId="77777777" w:rsidR="00077E48" w:rsidRPr="004068F6" w:rsidRDefault="00077E48" w:rsidP="00077E48">
      <w:pPr>
        <w:rPr>
          <w:rFonts w:cs="Arial"/>
        </w:rPr>
      </w:pPr>
    </w:p>
    <w:p w14:paraId="48073872" w14:textId="7556B831" w:rsidR="00077E48" w:rsidRPr="004068F6" w:rsidRDefault="00306730" w:rsidP="004A19AD">
      <w:pPr>
        <w:rPr>
          <w:rFonts w:cs="Arial"/>
        </w:rPr>
      </w:pPr>
      <w:r w:rsidRPr="004068F6">
        <w:rPr>
          <w:rFonts w:cs="Arial"/>
        </w:rPr>
        <w:t>Se debe tener en cuenta que l</w:t>
      </w:r>
      <w:r w:rsidR="00987F8D" w:rsidRPr="004068F6">
        <w:rPr>
          <w:rFonts w:cs="Arial"/>
        </w:rPr>
        <w:t xml:space="preserve">os índices que </w:t>
      </w:r>
      <w:r w:rsidR="00077E48" w:rsidRPr="004068F6">
        <w:rPr>
          <w:rFonts w:cs="Arial"/>
        </w:rPr>
        <w:t>resultan de</w:t>
      </w:r>
      <w:r w:rsidR="00987F8D" w:rsidRPr="004068F6">
        <w:rPr>
          <w:rFonts w:cs="Arial"/>
        </w:rPr>
        <w:t xml:space="preserve">l </w:t>
      </w:r>
      <w:r w:rsidR="00077E48" w:rsidRPr="004068F6">
        <w:rPr>
          <w:rFonts w:cs="Arial"/>
        </w:rPr>
        <w:t xml:space="preserve">modelo de conectividad </w:t>
      </w:r>
      <w:r w:rsidR="00987F8D" w:rsidRPr="004068F6">
        <w:rPr>
          <w:rFonts w:cs="Arial"/>
        </w:rPr>
        <w:t xml:space="preserve">ecológica </w:t>
      </w:r>
      <w:r w:rsidR="00077E48" w:rsidRPr="004068F6">
        <w:rPr>
          <w:rFonts w:cs="Arial"/>
        </w:rPr>
        <w:t xml:space="preserve">informan </w:t>
      </w:r>
      <w:r w:rsidR="00987F8D" w:rsidRPr="004068F6">
        <w:rPr>
          <w:rFonts w:cs="Arial"/>
        </w:rPr>
        <w:t xml:space="preserve">y permiten </w:t>
      </w:r>
      <w:r w:rsidR="00046B3E" w:rsidRPr="004068F6">
        <w:rPr>
          <w:rFonts w:cs="Arial"/>
        </w:rPr>
        <w:t xml:space="preserve">determinar </w:t>
      </w:r>
      <w:r w:rsidR="00987F8D" w:rsidRPr="004068F6">
        <w:rPr>
          <w:rFonts w:cs="Arial"/>
        </w:rPr>
        <w:t xml:space="preserve">espacialmente </w:t>
      </w:r>
      <w:r w:rsidR="00077E48" w:rsidRPr="004068F6">
        <w:rPr>
          <w:rFonts w:cs="Arial"/>
        </w:rPr>
        <w:t xml:space="preserve">diferentes cualidades de las áreas o </w:t>
      </w:r>
      <w:r w:rsidR="00077E48" w:rsidRPr="004068F6">
        <w:rPr>
          <w:rFonts w:cs="Arial"/>
          <w:spacing w:val="-3"/>
        </w:rPr>
        <w:t xml:space="preserve">parches de importancia para </w:t>
      </w:r>
      <w:r w:rsidR="004A19AD" w:rsidRPr="004068F6">
        <w:rPr>
          <w:rFonts w:cs="Arial"/>
          <w:spacing w:val="-3"/>
        </w:rPr>
        <w:t>la</w:t>
      </w:r>
      <w:r w:rsidR="00987F8D" w:rsidRPr="004068F6">
        <w:rPr>
          <w:rFonts w:cs="Arial"/>
          <w:spacing w:val="-3"/>
        </w:rPr>
        <w:t xml:space="preserve"> </w:t>
      </w:r>
      <w:r w:rsidR="00077E48" w:rsidRPr="004068F6">
        <w:rPr>
          <w:rFonts w:cs="Arial"/>
          <w:spacing w:val="-3"/>
        </w:rPr>
        <w:t>conectividad</w:t>
      </w:r>
      <w:r w:rsidR="00EA56B7">
        <w:rPr>
          <w:rFonts w:cs="Arial"/>
          <w:spacing w:val="-3"/>
        </w:rPr>
        <w:t xml:space="preserve">; </w:t>
      </w:r>
      <w:r w:rsidR="00077E48" w:rsidRPr="004068F6">
        <w:rPr>
          <w:rFonts w:cs="Arial"/>
          <w:spacing w:val="-3"/>
        </w:rPr>
        <w:t xml:space="preserve">por ejemplo, </w:t>
      </w:r>
      <w:r w:rsidR="00EA56B7">
        <w:rPr>
          <w:rFonts w:cs="Arial"/>
          <w:spacing w:val="-3"/>
        </w:rPr>
        <w:t xml:space="preserve">señalan </w:t>
      </w:r>
      <w:r w:rsidR="00077E48" w:rsidRPr="004068F6">
        <w:rPr>
          <w:rFonts w:cs="Arial"/>
          <w:spacing w:val="-3"/>
        </w:rPr>
        <w:t xml:space="preserve">si </w:t>
      </w:r>
      <w:r w:rsidR="00B56645">
        <w:rPr>
          <w:rFonts w:cs="Arial"/>
          <w:spacing w:val="-3"/>
        </w:rPr>
        <w:t xml:space="preserve">los parches </w:t>
      </w:r>
      <w:r w:rsidR="00077E48" w:rsidRPr="004068F6">
        <w:rPr>
          <w:rFonts w:cs="Arial"/>
          <w:spacing w:val="-3"/>
        </w:rPr>
        <w:t>configuran un hábitat, si son receptores de fauna, o si constituyen áreas fuente o puntos de paso</w:t>
      </w:r>
      <w:r w:rsidR="00B56645">
        <w:rPr>
          <w:rFonts w:cs="Arial"/>
          <w:spacing w:val="-3"/>
        </w:rPr>
        <w:t xml:space="preserve">. Esta </w:t>
      </w:r>
      <w:r w:rsidR="009F33EC" w:rsidRPr="004068F6">
        <w:rPr>
          <w:rFonts w:cs="Arial"/>
        </w:rPr>
        <w:t>i</w:t>
      </w:r>
      <w:r w:rsidR="004A19AD" w:rsidRPr="004068F6">
        <w:rPr>
          <w:rFonts w:cs="Arial"/>
        </w:rPr>
        <w:t xml:space="preserve">nformación </w:t>
      </w:r>
      <w:r w:rsidR="004A19AD" w:rsidRPr="004068F6">
        <w:rPr>
          <w:rStyle w:val="Refdecomentario"/>
          <w:bCs/>
          <w:sz w:val="24"/>
          <w:szCs w:val="24"/>
        </w:rPr>
        <w:t xml:space="preserve">puede complementarse </w:t>
      </w:r>
      <w:r w:rsidR="004A19AD" w:rsidRPr="004068F6">
        <w:rPr>
          <w:rFonts w:cs="Arial"/>
        </w:rPr>
        <w:t xml:space="preserve">con datos </w:t>
      </w:r>
      <w:r w:rsidR="00077E48" w:rsidRPr="004068F6">
        <w:rPr>
          <w:rFonts w:cs="Arial"/>
        </w:rPr>
        <w:t xml:space="preserve">sobre el desplazamiento de la fauna silvestre y </w:t>
      </w:r>
      <w:r w:rsidR="004A19AD" w:rsidRPr="004068F6">
        <w:rPr>
          <w:rFonts w:cs="Arial"/>
        </w:rPr>
        <w:t xml:space="preserve">la </w:t>
      </w:r>
      <w:r w:rsidR="00077E48" w:rsidRPr="004068F6">
        <w:rPr>
          <w:rFonts w:cs="Arial"/>
        </w:rPr>
        <w:t xml:space="preserve">resistencia de las superficies </w:t>
      </w:r>
      <w:r w:rsidR="004A19AD" w:rsidRPr="004068F6">
        <w:rPr>
          <w:rFonts w:cs="Arial"/>
        </w:rPr>
        <w:t xml:space="preserve">a fin de </w:t>
      </w:r>
      <w:r w:rsidR="00046B3E" w:rsidRPr="004068F6">
        <w:rPr>
          <w:rFonts w:cs="Arial"/>
        </w:rPr>
        <w:t xml:space="preserve">determinar </w:t>
      </w:r>
      <w:r w:rsidR="00C07B4E" w:rsidRPr="004068F6">
        <w:rPr>
          <w:rFonts w:cs="Arial"/>
        </w:rPr>
        <w:t xml:space="preserve">zonas </w:t>
      </w:r>
      <w:r w:rsidR="00077E48" w:rsidRPr="004068F6">
        <w:rPr>
          <w:rFonts w:cs="Arial"/>
        </w:rPr>
        <w:t>“embudos”</w:t>
      </w:r>
      <w:r w:rsidR="00C07B4E" w:rsidRPr="004068F6">
        <w:rPr>
          <w:rFonts w:cs="Arial"/>
        </w:rPr>
        <w:t xml:space="preserve"> (zonas donde la movilidad se restringe por elementos </w:t>
      </w:r>
      <w:r w:rsidR="003E160E" w:rsidRPr="004068F6">
        <w:rPr>
          <w:rFonts w:cs="Arial"/>
        </w:rPr>
        <w:t>d</w:t>
      </w:r>
      <w:r w:rsidR="00C07B4E" w:rsidRPr="004068F6">
        <w:rPr>
          <w:rFonts w:cs="Arial"/>
        </w:rPr>
        <w:t>el paisaje)</w:t>
      </w:r>
      <w:r w:rsidR="00077E48" w:rsidRPr="004068F6">
        <w:rPr>
          <w:rFonts w:cs="Arial"/>
        </w:rPr>
        <w:t xml:space="preserve"> </w:t>
      </w:r>
      <w:r w:rsidR="004A19AD" w:rsidRPr="004068F6">
        <w:rPr>
          <w:rFonts w:cs="Arial"/>
        </w:rPr>
        <w:t xml:space="preserve">que </w:t>
      </w:r>
      <w:r w:rsidR="00077E48" w:rsidRPr="004068F6">
        <w:rPr>
          <w:rFonts w:cs="Arial"/>
        </w:rPr>
        <w:t>eviden</w:t>
      </w:r>
      <w:r w:rsidR="004A19AD" w:rsidRPr="004068F6">
        <w:rPr>
          <w:rFonts w:cs="Arial"/>
        </w:rPr>
        <w:t xml:space="preserve">cien </w:t>
      </w:r>
      <w:r w:rsidR="00077E48" w:rsidRPr="004068F6">
        <w:rPr>
          <w:rFonts w:cs="Arial"/>
        </w:rPr>
        <w:t xml:space="preserve">las dinámicas de </w:t>
      </w:r>
      <w:r w:rsidR="00C07B4E" w:rsidRPr="004068F6">
        <w:rPr>
          <w:rFonts w:cs="Arial"/>
        </w:rPr>
        <w:t xml:space="preserve">la </w:t>
      </w:r>
      <w:r w:rsidR="00077E48" w:rsidRPr="004068F6">
        <w:rPr>
          <w:rFonts w:cs="Arial"/>
        </w:rPr>
        <w:t>fauna</w:t>
      </w:r>
      <w:r w:rsidR="004A19AD" w:rsidRPr="004068F6">
        <w:rPr>
          <w:rFonts w:cs="Arial"/>
        </w:rPr>
        <w:t xml:space="preserve">, </w:t>
      </w:r>
      <w:r w:rsidR="00077E48" w:rsidRPr="004068F6">
        <w:rPr>
          <w:rFonts w:cs="Arial"/>
        </w:rPr>
        <w:t>los lugares que pueden representar barreras para su desplazamiento</w:t>
      </w:r>
      <w:r w:rsidR="00C07B4E" w:rsidRPr="004068F6">
        <w:rPr>
          <w:rFonts w:cs="Arial"/>
        </w:rPr>
        <w:t xml:space="preserve"> </w:t>
      </w:r>
      <w:r w:rsidR="004A19AD" w:rsidRPr="004068F6">
        <w:rPr>
          <w:rFonts w:cs="Arial"/>
        </w:rPr>
        <w:t xml:space="preserve">y </w:t>
      </w:r>
      <w:r w:rsidR="00987F8D" w:rsidRPr="004068F6">
        <w:rPr>
          <w:rFonts w:cs="Arial"/>
        </w:rPr>
        <w:t>los</w:t>
      </w:r>
      <w:r w:rsidR="00077E48" w:rsidRPr="004068F6">
        <w:rPr>
          <w:rFonts w:cs="Arial"/>
        </w:rPr>
        <w:t xml:space="preserve"> corredores con mayor potencial de conectividad ecológica (ver </w:t>
      </w:r>
      <w:r w:rsidR="00077E48" w:rsidRPr="004068F6">
        <w:rPr>
          <w:rFonts w:cs="Arial"/>
        </w:rPr>
        <w:fldChar w:fldCharType="begin"/>
      </w:r>
      <w:r w:rsidR="00077E48" w:rsidRPr="004068F6">
        <w:rPr>
          <w:rFonts w:cs="Arial"/>
        </w:rPr>
        <w:instrText xml:space="preserve"> REF _Ref79077628 \h </w:instrText>
      </w:r>
      <w:r w:rsidR="006A4128" w:rsidRPr="004068F6">
        <w:rPr>
          <w:rFonts w:cs="Arial"/>
        </w:rPr>
        <w:instrText xml:space="preserve"> \* MERGEFORMAT </w:instrText>
      </w:r>
      <w:r w:rsidR="00077E48" w:rsidRPr="004068F6">
        <w:rPr>
          <w:rFonts w:cs="Arial"/>
        </w:rPr>
      </w:r>
      <w:r w:rsidR="00077E48" w:rsidRPr="004068F6">
        <w:rPr>
          <w:rFonts w:cs="Arial"/>
        </w:rPr>
        <w:fldChar w:fldCharType="separate"/>
      </w:r>
      <w:r w:rsidR="009C4A81" w:rsidRPr="004068F6">
        <w:t xml:space="preserve">Figura </w:t>
      </w:r>
      <w:r w:rsidR="009C4A81">
        <w:t>12</w:t>
      </w:r>
      <w:r w:rsidR="00077E48" w:rsidRPr="004068F6">
        <w:rPr>
          <w:rFonts w:cs="Arial"/>
        </w:rPr>
        <w:fldChar w:fldCharType="end"/>
      </w:r>
      <w:r w:rsidR="00077E48" w:rsidRPr="004068F6">
        <w:rPr>
          <w:rFonts w:cs="Arial"/>
        </w:rPr>
        <w:t>).</w:t>
      </w:r>
    </w:p>
    <w:p w14:paraId="580D3E69" w14:textId="309F45E0" w:rsidR="00077E48" w:rsidRDefault="00077E48" w:rsidP="00077E48">
      <w:pPr>
        <w:overflowPunct/>
        <w:autoSpaceDE/>
        <w:autoSpaceDN/>
        <w:adjustRightInd/>
        <w:textAlignment w:val="auto"/>
        <w:rPr>
          <w:rFonts w:cs="Arial"/>
        </w:rPr>
      </w:pPr>
    </w:p>
    <w:p w14:paraId="770FAFB6" w14:textId="77777777" w:rsidR="003C65C2" w:rsidRPr="004068F6" w:rsidRDefault="003C65C2" w:rsidP="003C65C2">
      <w:pPr>
        <w:rPr>
          <w:rFonts w:cs="Arial"/>
        </w:rPr>
      </w:pPr>
      <w:r w:rsidRPr="004068F6">
        <w:rPr>
          <w:rFonts w:cs="Arial"/>
        </w:rPr>
        <w:t>Asimismo, es necesario prever de qué manera las actividades e infraestructuras del proyecto, obra o actividad, de acuerdo con la forma en que se ejecutan y emplazan en el paisaje, alteran de forma directa o indirecta las áreas de importancia para la conectividad ecológica, así como estimar si tales alteraciones constituyen un impacto ambiental significativo según como modifican la resistividad general del paisaje e impiden el tránsito y desarrollo normal de los procesos ecológicos de la fauna y flora silvestres.</w:t>
      </w:r>
    </w:p>
    <w:p w14:paraId="12D10093" w14:textId="77777777" w:rsidR="003C65C2" w:rsidRDefault="003C65C2" w:rsidP="00077E48">
      <w:pPr>
        <w:overflowPunct/>
        <w:autoSpaceDE/>
        <w:autoSpaceDN/>
        <w:adjustRightInd/>
        <w:textAlignment w:val="auto"/>
        <w:rPr>
          <w:rFonts w:cs="Arial"/>
        </w:rPr>
      </w:pPr>
    </w:p>
    <w:p w14:paraId="5D4ED6A0" w14:textId="77777777" w:rsidR="003C65C2" w:rsidRPr="004068F6" w:rsidRDefault="003C65C2" w:rsidP="003C65C2">
      <w:pPr>
        <w:rPr>
          <w:rFonts w:cs="Arial"/>
        </w:rPr>
      </w:pPr>
      <w:r w:rsidRPr="004068F6">
        <w:rPr>
          <w:rFonts w:cs="Arial"/>
        </w:rPr>
        <w:t>Si se identifica un área de importancia para la conectividad impactada de forma significativa, ésta debe ser incorporada totalmente al área de influencia, aun cuando en análisis preliminares basados en la afectación de coberturas o ecosistemas y en la verificación de barreras a los impactos se haya reconocido un área diferente.</w:t>
      </w:r>
    </w:p>
    <w:p w14:paraId="18D92435" w14:textId="77777777" w:rsidR="003C65C2" w:rsidRPr="004068F6" w:rsidRDefault="003C65C2" w:rsidP="00077E48">
      <w:pPr>
        <w:overflowPunct/>
        <w:autoSpaceDE/>
        <w:autoSpaceDN/>
        <w:adjustRightInd/>
        <w:textAlignment w:val="auto"/>
        <w:rPr>
          <w:rFonts w:cs="Arial"/>
        </w:rPr>
      </w:pPr>
    </w:p>
    <w:p w14:paraId="1C596116" w14:textId="49E0D60C" w:rsidR="007D2B8F" w:rsidRPr="004068F6" w:rsidRDefault="007D2B8F" w:rsidP="007D2B8F">
      <w:pPr>
        <w:pStyle w:val="Descripcin"/>
        <w:jc w:val="center"/>
      </w:pPr>
      <w:bookmarkStart w:id="2560" w:name="_Ref81911149"/>
      <w:bookmarkStart w:id="2561" w:name="_Ref79077628"/>
      <w:r w:rsidRPr="004068F6">
        <w:lastRenderedPageBreak/>
        <w:t xml:space="preserve">Figura </w:t>
      </w:r>
      <w:fldSimple w:instr=" SEQ Figura \* ARABIC ">
        <w:r w:rsidR="009C4A81">
          <w:rPr>
            <w:noProof/>
          </w:rPr>
          <w:t>12</w:t>
        </w:r>
      </w:fldSimple>
      <w:bookmarkEnd w:id="2560"/>
      <w:bookmarkEnd w:id="2561"/>
      <w:r w:rsidRPr="004068F6">
        <w:t xml:space="preserve">. </w:t>
      </w:r>
      <w:r w:rsidRPr="004068F6">
        <w:rPr>
          <w:b w:val="0"/>
          <w:bCs w:val="0"/>
        </w:rPr>
        <w:t>Áreas de importancia para la conectividad funcional potencial</w:t>
      </w:r>
    </w:p>
    <w:p w14:paraId="2BEE4FA7" w14:textId="4352D228" w:rsidR="007D2B8F" w:rsidRPr="004068F6" w:rsidRDefault="007D2B8F" w:rsidP="007D2B8F">
      <w:pPr>
        <w:jc w:val="center"/>
        <w:rPr>
          <w:rFonts w:cs="Arial"/>
        </w:rPr>
      </w:pPr>
      <w:r w:rsidRPr="00AA2094">
        <w:rPr>
          <w:rFonts w:cs="Arial"/>
          <w:noProof/>
          <w:lang w:eastAsia="es-CO"/>
        </w:rPr>
        <w:drawing>
          <wp:inline distT="0" distB="0" distL="0" distR="0" wp14:anchorId="72788319" wp14:editId="23E56747">
            <wp:extent cx="4758266" cy="3108436"/>
            <wp:effectExtent l="0" t="0" r="4445" b="0"/>
            <wp:docPr id="568110922" name="Imagen 5681109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10922" name="Imagen 568110922" descr="Diagrama&#10;&#10;Descripción generada automáticamente"/>
                    <pic:cNvPicPr>
                      <a:picLocks noChangeAspect="1" noChangeArrowheads="1"/>
                    </pic:cNvPicPr>
                  </pic:nvPicPr>
                  <pic:blipFill rotWithShape="1">
                    <a:blip r:embed="rId58">
                      <a:extLst>
                        <a:ext uri="{28A0092B-C50C-407E-A947-70E740481C1C}">
                          <a14:useLocalDpi xmlns:a14="http://schemas.microsoft.com/office/drawing/2010/main" val="0"/>
                        </a:ext>
                      </a:extLst>
                    </a:blip>
                    <a:srcRect l="3426" t="6958" r="16418"/>
                    <a:stretch/>
                  </pic:blipFill>
                  <pic:spPr bwMode="auto">
                    <a:xfrm>
                      <a:off x="0" y="0"/>
                      <a:ext cx="4794343" cy="3132004"/>
                    </a:xfrm>
                    <a:prstGeom prst="rect">
                      <a:avLst/>
                    </a:prstGeom>
                    <a:noFill/>
                    <a:ln>
                      <a:noFill/>
                    </a:ln>
                    <a:extLst>
                      <a:ext uri="{53640926-AAD7-44D8-BBD7-CCE9431645EC}">
                        <a14:shadowObscured xmlns:a14="http://schemas.microsoft.com/office/drawing/2010/main"/>
                      </a:ext>
                    </a:extLst>
                  </pic:spPr>
                </pic:pic>
              </a:graphicData>
            </a:graphic>
          </wp:inline>
        </w:drawing>
      </w:r>
    </w:p>
    <w:p w14:paraId="70727828" w14:textId="77777777" w:rsidR="007D2B8F" w:rsidRPr="004068F6" w:rsidRDefault="007D2B8F" w:rsidP="007D2B8F">
      <w:pPr>
        <w:pStyle w:val="Prrafodelista"/>
        <w:jc w:val="center"/>
        <w:rPr>
          <w:rFonts w:cs="Arial"/>
          <w:sz w:val="28"/>
          <w:szCs w:val="28"/>
          <w:lang w:val="es-CO"/>
        </w:rPr>
      </w:pPr>
      <w:r w:rsidRPr="004068F6">
        <w:rPr>
          <w:rFonts w:cs="Arial"/>
          <w:b/>
          <w:spacing w:val="-3"/>
          <w:sz w:val="20"/>
          <w:szCs w:val="28"/>
          <w:lang w:val="es-CO"/>
        </w:rPr>
        <w:t>Fuente:</w:t>
      </w:r>
      <w:r w:rsidRPr="004068F6">
        <w:rPr>
          <w:rFonts w:cs="Arial"/>
          <w:spacing w:val="-3"/>
          <w:sz w:val="20"/>
          <w:szCs w:val="28"/>
          <w:lang w:val="es-CO"/>
        </w:rPr>
        <w:t xml:space="preserve"> ANLA. </w:t>
      </w:r>
      <w:r w:rsidRPr="004068F6">
        <w:rPr>
          <w:rFonts w:cs="Arial"/>
          <w:spacing w:val="-3"/>
          <w:sz w:val="20"/>
          <w:lang w:val="es-CO"/>
        </w:rPr>
        <w:t>Subdirección de Instrumentos, Permisos y Trámites Ambientales</w:t>
      </w:r>
      <w:r w:rsidRPr="004068F6">
        <w:rPr>
          <w:rFonts w:cs="Arial"/>
          <w:spacing w:val="-3"/>
          <w:sz w:val="20"/>
          <w:szCs w:val="28"/>
          <w:lang w:val="es-CO"/>
        </w:rPr>
        <w:t xml:space="preserve"> – 2020.</w:t>
      </w:r>
    </w:p>
    <w:p w14:paraId="63F208F9" w14:textId="77777777" w:rsidR="00A714C2" w:rsidRPr="004068F6" w:rsidRDefault="00A714C2" w:rsidP="00077E48">
      <w:pPr>
        <w:rPr>
          <w:rFonts w:cs="Arial"/>
        </w:rPr>
      </w:pPr>
    </w:p>
    <w:p w14:paraId="089BCE78" w14:textId="14E69F1B" w:rsidR="007D2B8F" w:rsidRPr="004068F6" w:rsidRDefault="007D2B8F" w:rsidP="007D2B8F">
      <w:pPr>
        <w:rPr>
          <w:rFonts w:cs="Arial"/>
          <w:spacing w:val="-3"/>
        </w:rPr>
      </w:pPr>
      <w:r w:rsidRPr="004068F6">
        <w:rPr>
          <w:rFonts w:cs="Arial"/>
          <w:spacing w:val="-3"/>
        </w:rPr>
        <w:t xml:space="preserve">En textos especializados se pueden encontrar herramientas adicionales para la </w:t>
      </w:r>
      <w:r w:rsidR="00A51056" w:rsidRPr="004068F6">
        <w:rPr>
          <w:rFonts w:cs="Arial"/>
          <w:spacing w:val="-3"/>
        </w:rPr>
        <w:t xml:space="preserve">determinación </w:t>
      </w:r>
      <w:r w:rsidRPr="004068F6">
        <w:rPr>
          <w:rFonts w:cs="Arial"/>
          <w:spacing w:val="-3"/>
        </w:rPr>
        <w:t xml:space="preserve">y evaluación de impactos, tales como los modelos espaciales que estudian </w:t>
      </w:r>
      <w:r w:rsidR="00EB219F" w:rsidRPr="004068F6">
        <w:rPr>
          <w:rFonts w:cs="Arial"/>
          <w:spacing w:val="-3"/>
        </w:rPr>
        <w:t xml:space="preserve">los </w:t>
      </w:r>
      <w:r w:rsidR="00806106" w:rsidRPr="004068F6">
        <w:rPr>
          <w:rFonts w:cs="Arial"/>
          <w:spacing w:val="-3"/>
        </w:rPr>
        <w:t xml:space="preserve">impactos </w:t>
      </w:r>
      <w:r w:rsidR="00DD0FEE" w:rsidRPr="004068F6">
        <w:rPr>
          <w:rFonts w:cs="Arial"/>
          <w:spacing w:val="-3"/>
        </w:rPr>
        <w:t xml:space="preserve">en fauna silvestre </w:t>
      </w:r>
      <w:r w:rsidR="00806106" w:rsidRPr="004068F6">
        <w:rPr>
          <w:rFonts w:cs="Arial"/>
          <w:spacing w:val="-3"/>
        </w:rPr>
        <w:t>por</w:t>
      </w:r>
      <w:r w:rsidR="00901779">
        <w:rPr>
          <w:rFonts w:cs="Arial"/>
          <w:spacing w:val="-3"/>
        </w:rPr>
        <w:t xml:space="preserve"> </w:t>
      </w:r>
      <w:r w:rsidR="00443BFE" w:rsidRPr="004068F6">
        <w:rPr>
          <w:rFonts w:cs="Arial"/>
          <w:spacing w:val="-3"/>
        </w:rPr>
        <w:t>el efecto de borde, la fragmentación, la luz, el ruido</w:t>
      </w:r>
      <w:r w:rsidR="007945AB" w:rsidRPr="004068F6">
        <w:rPr>
          <w:rFonts w:cs="Arial"/>
          <w:spacing w:val="-3"/>
        </w:rPr>
        <w:t xml:space="preserve"> y</w:t>
      </w:r>
      <w:r w:rsidR="003031C6" w:rsidRPr="004068F6">
        <w:rPr>
          <w:rFonts w:cs="Arial"/>
          <w:spacing w:val="-3"/>
        </w:rPr>
        <w:t xml:space="preserve"> las</w:t>
      </w:r>
      <w:r w:rsidR="00443BFE" w:rsidRPr="004068F6">
        <w:rPr>
          <w:rFonts w:cs="Arial"/>
          <w:spacing w:val="-3"/>
        </w:rPr>
        <w:t xml:space="preserve"> vibraciones antropogénicas, </w:t>
      </w:r>
      <w:r w:rsidR="003031C6" w:rsidRPr="004068F6">
        <w:rPr>
          <w:rFonts w:cs="Arial"/>
          <w:spacing w:val="-3"/>
        </w:rPr>
        <w:t xml:space="preserve">la </w:t>
      </w:r>
      <w:r w:rsidR="00443BFE" w:rsidRPr="004068F6">
        <w:rPr>
          <w:rFonts w:cs="Arial"/>
          <w:spacing w:val="-3"/>
        </w:rPr>
        <w:t>colisión</w:t>
      </w:r>
      <w:r w:rsidR="00EB219F" w:rsidRPr="004068F6">
        <w:rPr>
          <w:rFonts w:cs="Arial"/>
          <w:spacing w:val="-3"/>
        </w:rPr>
        <w:t xml:space="preserve"> y</w:t>
      </w:r>
      <w:r w:rsidR="00443BFE" w:rsidRPr="004068F6">
        <w:rPr>
          <w:rFonts w:cs="Arial"/>
          <w:spacing w:val="-3"/>
        </w:rPr>
        <w:t xml:space="preserve"> </w:t>
      </w:r>
      <w:r w:rsidR="003031C6" w:rsidRPr="004068F6">
        <w:rPr>
          <w:rFonts w:cs="Arial"/>
          <w:spacing w:val="-3"/>
        </w:rPr>
        <w:t xml:space="preserve">el </w:t>
      </w:r>
      <w:r w:rsidR="00443BFE" w:rsidRPr="004068F6">
        <w:rPr>
          <w:rFonts w:cs="Arial"/>
          <w:spacing w:val="-3"/>
        </w:rPr>
        <w:t>atrope</w:t>
      </w:r>
      <w:r w:rsidR="003031C6" w:rsidRPr="004068F6">
        <w:rPr>
          <w:rFonts w:cs="Arial"/>
          <w:spacing w:val="-3"/>
        </w:rPr>
        <w:t>ll</w:t>
      </w:r>
      <w:r w:rsidR="00443BFE" w:rsidRPr="004068F6">
        <w:rPr>
          <w:rFonts w:cs="Arial"/>
          <w:spacing w:val="-3"/>
        </w:rPr>
        <w:t>amiento</w:t>
      </w:r>
      <w:r w:rsidRPr="004068F6">
        <w:rPr>
          <w:rStyle w:val="Refdenotaalpie"/>
          <w:rFonts w:cs="Arial"/>
          <w:spacing w:val="-3"/>
          <w:lang w:val="es-CO"/>
        </w:rPr>
        <w:footnoteReference w:id="99"/>
      </w:r>
      <w:r w:rsidR="00901779" w:rsidRPr="004068F6">
        <w:rPr>
          <w:rFonts w:cs="Arial"/>
          <w:spacing w:val="-3"/>
        </w:rPr>
        <w:t>, entre otros</w:t>
      </w:r>
      <w:r w:rsidRPr="004068F6">
        <w:rPr>
          <w:rFonts w:cs="Arial"/>
          <w:spacing w:val="-3"/>
        </w:rPr>
        <w:t>.</w:t>
      </w:r>
    </w:p>
    <w:p w14:paraId="279FAB5F" w14:textId="77777777" w:rsidR="007D2B8F" w:rsidRPr="004068F6" w:rsidRDefault="007D2B8F" w:rsidP="007D2B8F">
      <w:pPr>
        <w:overflowPunct/>
        <w:autoSpaceDE/>
        <w:autoSpaceDN/>
        <w:adjustRightInd/>
        <w:textAlignment w:val="auto"/>
        <w:rPr>
          <w:rFonts w:cs="Arial"/>
        </w:rPr>
      </w:pPr>
    </w:p>
    <w:p w14:paraId="7E99B3C9" w14:textId="0EF84D60" w:rsidR="007D2B8F" w:rsidRPr="004068F6" w:rsidRDefault="007D2B8F" w:rsidP="007D2B8F">
      <w:pPr>
        <w:rPr>
          <w:rFonts w:cs="Arial"/>
        </w:rPr>
      </w:pPr>
      <w:r w:rsidRPr="004068F6">
        <w:rPr>
          <w:rFonts w:cs="Arial"/>
        </w:rPr>
        <w:t xml:space="preserve">En las figuras </w:t>
      </w:r>
      <w:r w:rsidRPr="004068F6">
        <w:rPr>
          <w:rFonts w:cs="Arial"/>
        </w:rPr>
        <w:fldChar w:fldCharType="begin"/>
      </w:r>
      <w:r w:rsidRPr="004068F6">
        <w:rPr>
          <w:rFonts w:cs="Arial"/>
        </w:rPr>
        <w:instrText xml:space="preserve"> REF _Ref81911152 \h </w:instrText>
      </w:r>
      <w:r w:rsidR="00BD1319" w:rsidRPr="004068F6">
        <w:rPr>
          <w:rFonts w:cs="Arial"/>
        </w:rPr>
        <w:instrText xml:space="preserve"> \* MERGEFORMAT </w:instrText>
      </w:r>
      <w:r w:rsidRPr="004068F6">
        <w:rPr>
          <w:rFonts w:cs="Arial"/>
        </w:rPr>
      </w:r>
      <w:r w:rsidRPr="004068F6">
        <w:rPr>
          <w:rFonts w:cs="Arial"/>
        </w:rPr>
        <w:fldChar w:fldCharType="separate"/>
      </w:r>
      <w:r w:rsidR="009C4A81" w:rsidRPr="004068F6">
        <w:t xml:space="preserve">Figura </w:t>
      </w:r>
      <w:r w:rsidR="009C4A81">
        <w:rPr>
          <w:noProof/>
        </w:rPr>
        <w:t>13</w:t>
      </w:r>
      <w:r w:rsidRPr="004068F6">
        <w:rPr>
          <w:rFonts w:cs="Arial"/>
        </w:rPr>
        <w:fldChar w:fldCharType="end"/>
      </w:r>
      <w:r w:rsidRPr="004068F6">
        <w:rPr>
          <w:rFonts w:cs="Arial"/>
        </w:rPr>
        <w:t xml:space="preserve"> y </w:t>
      </w:r>
      <w:r w:rsidRPr="004068F6">
        <w:rPr>
          <w:rFonts w:cs="Arial"/>
        </w:rPr>
        <w:fldChar w:fldCharType="begin"/>
      </w:r>
      <w:r w:rsidRPr="004068F6">
        <w:rPr>
          <w:rFonts w:cs="Arial"/>
        </w:rPr>
        <w:instrText xml:space="preserve"> REF _Ref81911307 \h </w:instrText>
      </w:r>
      <w:r w:rsidR="00BD1319" w:rsidRPr="004068F6">
        <w:rPr>
          <w:rFonts w:cs="Arial"/>
        </w:rPr>
        <w:instrText xml:space="preserve"> \* MERGEFORMAT </w:instrText>
      </w:r>
      <w:r w:rsidRPr="004068F6">
        <w:rPr>
          <w:rFonts w:cs="Arial"/>
        </w:rPr>
      </w:r>
      <w:r w:rsidRPr="004068F6">
        <w:rPr>
          <w:rFonts w:cs="Arial"/>
        </w:rPr>
        <w:fldChar w:fldCharType="separate"/>
      </w:r>
      <w:r w:rsidR="009C4A81" w:rsidRPr="004068F6">
        <w:t xml:space="preserve">Figura </w:t>
      </w:r>
      <w:r w:rsidR="009C4A81">
        <w:rPr>
          <w:noProof/>
        </w:rPr>
        <w:t>14</w:t>
      </w:r>
      <w:r w:rsidRPr="004068F6">
        <w:rPr>
          <w:rFonts w:cs="Arial"/>
        </w:rPr>
        <w:fldChar w:fldCharType="end"/>
      </w:r>
      <w:r w:rsidRPr="004068F6">
        <w:rPr>
          <w:rFonts w:cs="Arial"/>
        </w:rPr>
        <w:t xml:space="preserve">, es posible evidenciar cómo la </w:t>
      </w:r>
      <w:r w:rsidR="0040253F" w:rsidRPr="004068F6">
        <w:rPr>
          <w:rFonts w:cs="Arial"/>
        </w:rPr>
        <w:t xml:space="preserve">determinación </w:t>
      </w:r>
      <w:r w:rsidRPr="004068F6">
        <w:rPr>
          <w:rFonts w:cs="Arial"/>
        </w:rPr>
        <w:t>de áreas de importancia para la conectividad ecológica permite delimitar un área de influencia de forma más consistente con los procesos funcionales de los ecosistemas (abordados de forma aproximada), donde de no haber contemplado el criterio de conectividad ecológica potencial, una zona importante para la conectividad ecológica</w:t>
      </w:r>
      <w:r w:rsidR="007C0582" w:rsidRPr="004068F6">
        <w:rPr>
          <w:rFonts w:cs="Arial"/>
        </w:rPr>
        <w:t xml:space="preserve"> habría quedado fuera del área de influencia</w:t>
      </w:r>
      <w:r w:rsidRPr="004068F6">
        <w:rPr>
          <w:rFonts w:cs="Arial"/>
        </w:rPr>
        <w:t>.</w:t>
      </w:r>
    </w:p>
    <w:p w14:paraId="040AA66F" w14:textId="5B76CBCC" w:rsidR="0037365E" w:rsidRDefault="0037365E">
      <w:pPr>
        <w:overflowPunct/>
        <w:autoSpaceDE/>
        <w:autoSpaceDN/>
        <w:adjustRightInd/>
        <w:jc w:val="left"/>
        <w:textAlignment w:val="auto"/>
        <w:rPr>
          <w:rFonts w:cs="Arial"/>
        </w:rPr>
      </w:pPr>
      <w:r>
        <w:rPr>
          <w:rFonts w:cs="Arial"/>
        </w:rPr>
        <w:br w:type="page"/>
      </w:r>
    </w:p>
    <w:p w14:paraId="3A6BD77F" w14:textId="051EB69F" w:rsidR="007D2B8F" w:rsidRPr="004068F6" w:rsidRDefault="007D2B8F" w:rsidP="007D2B8F">
      <w:pPr>
        <w:pStyle w:val="Descripcin"/>
        <w:jc w:val="center"/>
      </w:pPr>
      <w:bookmarkStart w:id="2562" w:name="_Ref81911152"/>
      <w:r w:rsidRPr="004068F6">
        <w:lastRenderedPageBreak/>
        <w:t xml:space="preserve">Figura </w:t>
      </w:r>
      <w:fldSimple w:instr=" SEQ Figura \* ARABIC ">
        <w:r w:rsidR="009C4A81">
          <w:rPr>
            <w:noProof/>
          </w:rPr>
          <w:t>13</w:t>
        </w:r>
      </w:fldSimple>
      <w:bookmarkEnd w:id="2562"/>
      <w:r w:rsidRPr="004068F6">
        <w:t xml:space="preserve">. </w:t>
      </w:r>
      <w:r w:rsidRPr="004068F6">
        <w:rPr>
          <w:b w:val="0"/>
          <w:bCs w:val="0"/>
        </w:rPr>
        <w:t>Área de influencia preliminar y fragmentos de importancia para la conectividad ecológica potencial</w:t>
      </w:r>
    </w:p>
    <w:p w14:paraId="5636EC44" w14:textId="46689759" w:rsidR="007D2B8F" w:rsidRPr="004068F6" w:rsidRDefault="007D2B8F" w:rsidP="007D2B8F">
      <w:pPr>
        <w:jc w:val="center"/>
        <w:rPr>
          <w:rFonts w:cs="Arial"/>
        </w:rPr>
      </w:pPr>
      <w:r w:rsidRPr="00AA2094">
        <w:rPr>
          <w:rFonts w:cs="Arial"/>
          <w:noProof/>
          <w:lang w:eastAsia="es-CO"/>
        </w:rPr>
        <w:drawing>
          <wp:inline distT="0" distB="0" distL="0" distR="0" wp14:anchorId="55779F44" wp14:editId="6925D183">
            <wp:extent cx="5321300" cy="2994811"/>
            <wp:effectExtent l="0" t="0" r="0" b="2540"/>
            <wp:docPr id="568110923" name="Imagen 3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10923" name="Imagen 39" descr="Mapa&#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5321300" cy="2994811"/>
                    </a:xfrm>
                    <a:prstGeom prst="rect">
                      <a:avLst/>
                    </a:prstGeom>
                  </pic:spPr>
                </pic:pic>
              </a:graphicData>
            </a:graphic>
          </wp:inline>
        </w:drawing>
      </w:r>
    </w:p>
    <w:p w14:paraId="1412D156" w14:textId="77777777" w:rsidR="007D2B8F" w:rsidRPr="004068F6" w:rsidRDefault="007D2B8F" w:rsidP="007D2B8F">
      <w:pPr>
        <w:pStyle w:val="Prrafodelista"/>
        <w:jc w:val="center"/>
        <w:rPr>
          <w:rFonts w:cs="Arial"/>
          <w:sz w:val="28"/>
          <w:szCs w:val="28"/>
          <w:lang w:val="es-CO"/>
        </w:rPr>
      </w:pPr>
      <w:r w:rsidRPr="004068F6">
        <w:rPr>
          <w:rFonts w:cs="Arial"/>
          <w:b/>
          <w:spacing w:val="-3"/>
          <w:sz w:val="20"/>
          <w:szCs w:val="28"/>
          <w:lang w:val="es-CO"/>
        </w:rPr>
        <w:t>Fuente:</w:t>
      </w:r>
      <w:r w:rsidRPr="004068F6">
        <w:rPr>
          <w:rFonts w:cs="Arial"/>
          <w:spacing w:val="-3"/>
          <w:sz w:val="20"/>
          <w:szCs w:val="28"/>
          <w:lang w:val="es-CO"/>
        </w:rPr>
        <w:t xml:space="preserve"> ANLA. </w:t>
      </w:r>
      <w:r w:rsidRPr="004068F6">
        <w:rPr>
          <w:rFonts w:cs="Arial"/>
          <w:spacing w:val="-3"/>
          <w:sz w:val="20"/>
          <w:lang w:val="es-CO"/>
        </w:rPr>
        <w:t>Subdirección de Instrumentos, Permisos y Trámites Ambientales</w:t>
      </w:r>
      <w:r w:rsidRPr="004068F6">
        <w:rPr>
          <w:rFonts w:cs="Arial"/>
          <w:spacing w:val="-3"/>
          <w:sz w:val="20"/>
          <w:szCs w:val="28"/>
          <w:lang w:val="es-CO"/>
        </w:rPr>
        <w:t xml:space="preserve"> – 2020.</w:t>
      </w:r>
    </w:p>
    <w:p w14:paraId="30F5818C" w14:textId="3F378690" w:rsidR="00C70AAE" w:rsidRPr="004068F6" w:rsidRDefault="00C70AAE">
      <w:pPr>
        <w:overflowPunct/>
        <w:autoSpaceDE/>
        <w:autoSpaceDN/>
        <w:adjustRightInd/>
        <w:jc w:val="left"/>
        <w:textAlignment w:val="auto"/>
        <w:rPr>
          <w:rFonts w:cs="Arial"/>
          <w:spacing w:val="-3"/>
        </w:rPr>
      </w:pPr>
    </w:p>
    <w:p w14:paraId="5C2D9B0A" w14:textId="5C5844AC" w:rsidR="00077E48" w:rsidRPr="004068F6" w:rsidRDefault="00077E48" w:rsidP="00077E48">
      <w:pPr>
        <w:pStyle w:val="Descripcin"/>
        <w:jc w:val="center"/>
        <w:rPr>
          <w:b w:val="0"/>
          <w:bCs w:val="0"/>
        </w:rPr>
      </w:pPr>
      <w:bookmarkStart w:id="2563" w:name="_Ref81911307"/>
      <w:r w:rsidRPr="004068F6">
        <w:t xml:space="preserve">Figura </w:t>
      </w:r>
      <w:fldSimple w:instr=" SEQ Figura \* ARABIC ">
        <w:r w:rsidR="009C4A81">
          <w:rPr>
            <w:noProof/>
          </w:rPr>
          <w:t>14</w:t>
        </w:r>
      </w:fldSimple>
      <w:bookmarkEnd w:id="2563"/>
      <w:r w:rsidR="0052738C" w:rsidRPr="004068F6">
        <w:t>.</w:t>
      </w:r>
      <w:r w:rsidRPr="004068F6">
        <w:rPr>
          <w:b w:val="0"/>
          <w:bCs w:val="0"/>
        </w:rPr>
        <w:t xml:space="preserve"> Área de influencia resultante de la integración del criterio de conectividad ecológica potencial</w:t>
      </w:r>
    </w:p>
    <w:p w14:paraId="5CA1A792" w14:textId="7E30BB7E" w:rsidR="00077E48" w:rsidRPr="004068F6" w:rsidRDefault="00077E48" w:rsidP="007D2B8F">
      <w:pPr>
        <w:jc w:val="center"/>
        <w:rPr>
          <w:rFonts w:cs="Arial"/>
        </w:rPr>
      </w:pPr>
      <w:r w:rsidRPr="00AA2094">
        <w:rPr>
          <w:rFonts w:cs="Arial"/>
          <w:noProof/>
          <w:lang w:eastAsia="es-CO"/>
        </w:rPr>
        <w:drawing>
          <wp:inline distT="0" distB="0" distL="0" distR="0" wp14:anchorId="659096EE" wp14:editId="0D0FDFEE">
            <wp:extent cx="4139601" cy="3196271"/>
            <wp:effectExtent l="0" t="0" r="635" b="4445"/>
            <wp:docPr id="56811092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39601" cy="3196271"/>
                    </a:xfrm>
                    <a:prstGeom prst="rect">
                      <a:avLst/>
                    </a:prstGeom>
                  </pic:spPr>
                </pic:pic>
              </a:graphicData>
            </a:graphic>
          </wp:inline>
        </w:drawing>
      </w:r>
    </w:p>
    <w:p w14:paraId="40A67D2E" w14:textId="7DF8D07D" w:rsidR="00077E48" w:rsidRPr="004068F6" w:rsidRDefault="00077E48" w:rsidP="00077E48">
      <w:pPr>
        <w:pStyle w:val="Prrafodelista"/>
        <w:jc w:val="center"/>
        <w:rPr>
          <w:rFonts w:cs="Arial"/>
          <w:sz w:val="28"/>
          <w:szCs w:val="28"/>
          <w:lang w:val="es-CO"/>
        </w:rPr>
      </w:pPr>
      <w:r w:rsidRPr="004068F6">
        <w:rPr>
          <w:rFonts w:cs="Arial"/>
          <w:b/>
          <w:spacing w:val="-3"/>
          <w:sz w:val="20"/>
          <w:szCs w:val="28"/>
          <w:lang w:val="es-CO"/>
        </w:rPr>
        <w:t>Fuente:</w:t>
      </w:r>
      <w:r w:rsidRPr="004068F6">
        <w:rPr>
          <w:rFonts w:cs="Arial"/>
          <w:spacing w:val="-3"/>
          <w:sz w:val="20"/>
          <w:szCs w:val="28"/>
          <w:lang w:val="es-CO"/>
        </w:rPr>
        <w:t xml:space="preserve"> ANLA</w:t>
      </w:r>
      <w:r w:rsidR="00067514" w:rsidRPr="004068F6">
        <w:rPr>
          <w:rFonts w:cs="Arial"/>
          <w:spacing w:val="-3"/>
          <w:sz w:val="20"/>
          <w:szCs w:val="28"/>
          <w:lang w:val="es-CO"/>
        </w:rPr>
        <w:t xml:space="preserve">. </w:t>
      </w:r>
      <w:r w:rsidR="00067514" w:rsidRPr="004068F6">
        <w:rPr>
          <w:rFonts w:cs="Arial"/>
          <w:spacing w:val="-3"/>
          <w:sz w:val="20"/>
          <w:lang w:val="es-CO"/>
        </w:rPr>
        <w:t>Subdirección de Instrumentos, Permisos y Trámites Ambientales</w:t>
      </w:r>
      <w:r w:rsidRPr="004068F6">
        <w:rPr>
          <w:rFonts w:cs="Arial"/>
          <w:spacing w:val="-3"/>
          <w:sz w:val="20"/>
          <w:szCs w:val="28"/>
          <w:lang w:val="es-CO"/>
        </w:rPr>
        <w:t xml:space="preserve"> – 2020</w:t>
      </w:r>
    </w:p>
    <w:p w14:paraId="21760726" w14:textId="77777777" w:rsidR="002E43B7" w:rsidRPr="00127BD4" w:rsidRDefault="002E43B7" w:rsidP="00127BD4">
      <w:pPr>
        <w:rPr>
          <w:rFonts w:cs="Arial"/>
          <w:spacing w:val="-3"/>
        </w:rPr>
      </w:pPr>
      <w:bookmarkStart w:id="2564" w:name="_Hlk153184674"/>
    </w:p>
    <w:p w14:paraId="35D731EC" w14:textId="160805F3" w:rsidR="00077E48" w:rsidRPr="004068F6" w:rsidRDefault="007F45D3" w:rsidP="009420F5">
      <w:pPr>
        <w:pStyle w:val="Ttulo2"/>
        <w:rPr>
          <w:lang w:val="es-CO"/>
        </w:rPr>
      </w:pPr>
      <w:bookmarkStart w:id="2565" w:name="_Toc230879638"/>
      <w:bookmarkEnd w:id="2564"/>
      <w:r w:rsidRPr="004068F6">
        <w:rPr>
          <w:lang w:val="es-CO"/>
        </w:rPr>
        <w:t xml:space="preserve">LINEAMIENTOS PARA LA DELIMITACIÓN DEL ÁREA DE INFLUENCIA DEL </w:t>
      </w:r>
      <w:r w:rsidR="00077E48" w:rsidRPr="004068F6">
        <w:rPr>
          <w:lang w:val="es-CO"/>
        </w:rPr>
        <w:t>MEDIO SOCIOECONÓMICO</w:t>
      </w:r>
      <w:bookmarkEnd w:id="2565"/>
    </w:p>
    <w:p w14:paraId="4C6A3BFE" w14:textId="77777777" w:rsidR="00550C76" w:rsidRPr="004068F6" w:rsidRDefault="00550C76" w:rsidP="00077E48">
      <w:pPr>
        <w:numPr>
          <w:ilvl w:val="12"/>
          <w:numId w:val="0"/>
        </w:numPr>
        <w:tabs>
          <w:tab w:val="left" w:pos="-2268"/>
        </w:tabs>
        <w:suppressAutoHyphens/>
        <w:rPr>
          <w:rFonts w:cs="Arial"/>
          <w:spacing w:val="-3"/>
        </w:rPr>
      </w:pPr>
    </w:p>
    <w:p w14:paraId="58BC8405" w14:textId="10DF16EC" w:rsidR="00077E48" w:rsidRPr="004068F6" w:rsidRDefault="00077E48" w:rsidP="00077E48">
      <w:pPr>
        <w:rPr>
          <w:rFonts w:cs="Arial"/>
        </w:rPr>
      </w:pPr>
      <w:r w:rsidRPr="004068F6">
        <w:rPr>
          <w:rFonts w:cs="Arial"/>
        </w:rPr>
        <w:t xml:space="preserve">Para la delimitación del área de influencia del medio socioeconómico es preciso tener en cuenta que la unidad de análisis propia de este medio es la unidad de análisis territorial, y que ésta es aplicable a todos los </w:t>
      </w:r>
      <w:r w:rsidR="00046F53" w:rsidRPr="004068F6">
        <w:rPr>
          <w:rFonts w:cs="Arial"/>
        </w:rPr>
        <w:t xml:space="preserve">factores o </w:t>
      </w:r>
      <w:r w:rsidRPr="004068F6">
        <w:rPr>
          <w:rFonts w:cs="Arial"/>
        </w:rPr>
        <w:t>componentes del medio (demográfico, espacial, económico, cultural</w:t>
      </w:r>
      <w:r w:rsidR="00C70AAE" w:rsidRPr="004068F6">
        <w:rPr>
          <w:rFonts w:cs="Arial"/>
        </w:rPr>
        <w:t xml:space="preserve">, </w:t>
      </w:r>
      <w:r w:rsidRPr="004068F6">
        <w:rPr>
          <w:rFonts w:cs="Arial"/>
        </w:rPr>
        <w:t>político organizativo</w:t>
      </w:r>
      <w:r w:rsidR="00C70AAE" w:rsidRPr="004068F6">
        <w:rPr>
          <w:rFonts w:cs="Arial"/>
        </w:rPr>
        <w:t>,</w:t>
      </w:r>
      <w:r w:rsidRPr="004068F6">
        <w:rPr>
          <w:rFonts w:cs="Arial"/>
        </w:rPr>
        <w:t xml:space="preserve"> tendencias de desarrollo</w:t>
      </w:r>
      <w:r w:rsidR="00C70AAE" w:rsidRPr="004068F6">
        <w:rPr>
          <w:rFonts w:cs="Arial"/>
        </w:rPr>
        <w:t xml:space="preserve"> y conflictividad socioambiental</w:t>
      </w:r>
      <w:r w:rsidRPr="004068F6">
        <w:rPr>
          <w:rFonts w:cs="Arial"/>
        </w:rPr>
        <w:t xml:space="preserve">), de modo que </w:t>
      </w:r>
      <w:r w:rsidR="009A1F24" w:rsidRPr="004068F6">
        <w:rPr>
          <w:rFonts w:cs="Arial"/>
        </w:rPr>
        <w:t xml:space="preserve">puede </w:t>
      </w:r>
      <w:r w:rsidRPr="004068F6">
        <w:rPr>
          <w:rFonts w:cs="Arial"/>
        </w:rPr>
        <w:t>hab</w:t>
      </w:r>
      <w:r w:rsidR="009A1F24" w:rsidRPr="004068F6">
        <w:rPr>
          <w:rFonts w:cs="Arial"/>
        </w:rPr>
        <w:t>e</w:t>
      </w:r>
      <w:r w:rsidRPr="004068F6">
        <w:rPr>
          <w:rFonts w:cs="Arial"/>
        </w:rPr>
        <w:t xml:space="preserve">r coincidencia entre las áreas de influencia de sus </w:t>
      </w:r>
      <w:r w:rsidR="00046F53" w:rsidRPr="004068F6">
        <w:rPr>
          <w:rFonts w:cs="Arial"/>
        </w:rPr>
        <w:t xml:space="preserve">factores o </w:t>
      </w:r>
      <w:r w:rsidRPr="004068F6">
        <w:rPr>
          <w:rFonts w:cs="Arial"/>
        </w:rPr>
        <w:t>componentes.</w:t>
      </w:r>
    </w:p>
    <w:p w14:paraId="53219FA3" w14:textId="77777777" w:rsidR="00077E48" w:rsidRPr="004068F6" w:rsidRDefault="00077E48" w:rsidP="00077E48">
      <w:pPr>
        <w:rPr>
          <w:rFonts w:cs="Arial"/>
        </w:rPr>
      </w:pPr>
    </w:p>
    <w:p w14:paraId="3F721C0B" w14:textId="7BC1ED6A" w:rsidR="00B1504E" w:rsidRPr="004068F6" w:rsidRDefault="00077E48" w:rsidP="00077E48">
      <w:pPr>
        <w:rPr>
          <w:rFonts w:cs="Arial"/>
        </w:rPr>
      </w:pPr>
      <w:r w:rsidRPr="004068F6">
        <w:rPr>
          <w:rFonts w:cs="Arial"/>
        </w:rPr>
        <w:t>Las unidades de análisis del medio socioeconómico corresponden entonces</w:t>
      </w:r>
      <w:r w:rsidR="00B001E6" w:rsidRPr="004068F6">
        <w:rPr>
          <w:rFonts w:cs="Arial"/>
        </w:rPr>
        <w:t xml:space="preserve"> (en áreas terrestres)</w:t>
      </w:r>
      <w:r w:rsidRPr="004068F6">
        <w:rPr>
          <w:rFonts w:cs="Arial"/>
        </w:rPr>
        <w:t xml:space="preserve">, a veredas, sectores de vereda, barrios, corregimientos municipales, resguardos indígenas, territorios colectivos, </w:t>
      </w:r>
      <w:r w:rsidRPr="004068F6">
        <w:rPr>
          <w:rFonts w:cs="Arial"/>
          <w:color w:val="000000"/>
        </w:rPr>
        <w:t>rancherías</w:t>
      </w:r>
      <w:r w:rsidRPr="004068F6">
        <w:rPr>
          <w:rStyle w:val="Refdenotaalpie"/>
          <w:rFonts w:cs="Arial"/>
          <w:color w:val="000000"/>
          <w:lang w:val="es-CO"/>
        </w:rPr>
        <w:footnoteReference w:id="100"/>
      </w:r>
      <w:r w:rsidRPr="004068F6">
        <w:rPr>
          <w:rFonts w:cs="Arial"/>
          <w:color w:val="000000"/>
        </w:rPr>
        <w:t>, parcialidades indígenas</w:t>
      </w:r>
      <w:r w:rsidRPr="004068F6">
        <w:rPr>
          <w:rStyle w:val="Refdenotaalpie"/>
          <w:rFonts w:cs="Arial"/>
          <w:color w:val="000000"/>
          <w:lang w:val="es-CO"/>
        </w:rPr>
        <w:footnoteReference w:id="101"/>
      </w:r>
      <w:r w:rsidR="00322C37" w:rsidRPr="004068F6">
        <w:rPr>
          <w:rFonts w:cs="Arial"/>
          <w:color w:val="000000"/>
        </w:rPr>
        <w:t xml:space="preserve">, </w:t>
      </w:r>
      <w:r w:rsidR="00E229D0" w:rsidRPr="004068F6">
        <w:rPr>
          <w:rFonts w:cs="Arial"/>
          <w:color w:val="000000"/>
        </w:rPr>
        <w:t>formas de ocupación étnica reconocidas legal y constitucionalmente</w:t>
      </w:r>
      <w:r w:rsidR="00E229D0" w:rsidRPr="00127BD4">
        <w:rPr>
          <w:rFonts w:cs="Arial"/>
          <w:color w:val="000000"/>
          <w:vertAlign w:val="superscript"/>
        </w:rPr>
        <w:footnoteReference w:id="102"/>
      </w:r>
      <w:r w:rsidRPr="004068F6">
        <w:rPr>
          <w:rFonts w:cs="Arial"/>
          <w:color w:val="000000"/>
        </w:rPr>
        <w:t xml:space="preserve"> </w:t>
      </w:r>
      <w:r w:rsidRPr="004068F6">
        <w:rPr>
          <w:rFonts w:cs="Arial"/>
        </w:rPr>
        <w:t>u otras unidades reconocidas administrativa o socialmente</w:t>
      </w:r>
      <w:r w:rsidR="00EC0922" w:rsidRPr="004068F6">
        <w:rPr>
          <w:rFonts w:cs="Arial"/>
        </w:rPr>
        <w:t xml:space="preserve"> (p. ej. zonas de reserva campesina o territorios campesinos agroalimentarios)</w:t>
      </w:r>
      <w:r w:rsidRPr="004068F6">
        <w:rPr>
          <w:rFonts w:cs="Arial"/>
        </w:rPr>
        <w:t xml:space="preserve">. </w:t>
      </w:r>
    </w:p>
    <w:p w14:paraId="7CB81B2C" w14:textId="77777777" w:rsidR="00B1504E" w:rsidRPr="004068F6" w:rsidRDefault="00B1504E" w:rsidP="00077E48">
      <w:pPr>
        <w:rPr>
          <w:rFonts w:cs="Arial"/>
        </w:rPr>
      </w:pPr>
    </w:p>
    <w:p w14:paraId="4BF618AA" w14:textId="3564F281" w:rsidR="00077E48" w:rsidRPr="004068F6" w:rsidRDefault="00077E48" w:rsidP="00077E48">
      <w:pPr>
        <w:rPr>
          <w:rFonts w:cs="Arial"/>
        </w:rPr>
      </w:pPr>
      <w:r w:rsidRPr="004068F6">
        <w:rPr>
          <w:rFonts w:cs="Arial"/>
        </w:rPr>
        <w:t xml:space="preserve">Asimismo, de acuerdo con las características del proyecto, obra o actividad, es posible que los impactos ambientales que éste genera sobre el medio socioeconómico se manifiesten en la totalidad del municipio, en cuyo caso es posible considerar esta entidad territorial en su totalidad como unidad de análisis para la delimitación del área de influencia. Así las cosas, el área de influencia </w:t>
      </w:r>
      <w:r w:rsidRPr="004068F6" w:rsidDel="004C76B9">
        <w:rPr>
          <w:rFonts w:cs="Arial"/>
        </w:rPr>
        <w:t>d</w:t>
      </w:r>
      <w:r w:rsidRPr="004068F6">
        <w:rPr>
          <w:rFonts w:cs="Arial"/>
        </w:rPr>
        <w:t>el</w:t>
      </w:r>
      <w:r w:rsidR="0072054C" w:rsidRPr="004068F6">
        <w:rPr>
          <w:rFonts w:cs="Arial"/>
        </w:rPr>
        <w:t xml:space="preserve"> </w:t>
      </w:r>
      <w:r w:rsidRPr="004068F6">
        <w:rPr>
          <w:rFonts w:cs="Arial"/>
        </w:rPr>
        <w:t>medio socioeconómico puede coincidir con la división político-administrativa de los entes territoriales reconocidos legalmente (veredas, sectores de vereda, barrios, corregimientos municipales o municipios</w:t>
      </w:r>
      <w:r w:rsidRPr="004068F6">
        <w:rPr>
          <w:rStyle w:val="Refdenotaalpie"/>
          <w:rFonts w:cs="Arial"/>
          <w:lang w:val="es-CO"/>
        </w:rPr>
        <w:footnoteReference w:id="103"/>
      </w:r>
      <w:r w:rsidRPr="004068F6">
        <w:rPr>
          <w:rFonts w:cs="Arial"/>
        </w:rPr>
        <w:t>).</w:t>
      </w:r>
    </w:p>
    <w:p w14:paraId="3B1D138A" w14:textId="77777777" w:rsidR="00077E48" w:rsidRPr="004068F6" w:rsidRDefault="00077E48" w:rsidP="00077E48">
      <w:pPr>
        <w:rPr>
          <w:rFonts w:cs="Arial"/>
        </w:rPr>
      </w:pPr>
    </w:p>
    <w:p w14:paraId="4653C76F" w14:textId="59BDEDB3" w:rsidR="00B11A68" w:rsidRPr="004068F6" w:rsidRDefault="00B11A68" w:rsidP="00B11A68">
      <w:pPr>
        <w:rPr>
          <w:rFonts w:cs="Arial"/>
        </w:rPr>
      </w:pPr>
      <w:r w:rsidRPr="004068F6">
        <w:rPr>
          <w:rFonts w:cs="Arial"/>
        </w:rPr>
        <w:t xml:space="preserve">Cuando la información no tenga la claridad o calidad suficiente, es posible delimitar las unidades de análisis territorial a partir de criterios socioeconómicos, teniendo en cuenta las condiciones fisiográficas de la zona, siempre y cuando las áreas que resulten de dicha delimitación </w:t>
      </w:r>
      <w:r w:rsidR="007200C5" w:rsidRPr="004068F6">
        <w:rPr>
          <w:rFonts w:cs="Arial"/>
        </w:rPr>
        <w:t>correspondan</w:t>
      </w:r>
      <w:r w:rsidRPr="004068F6">
        <w:rPr>
          <w:rFonts w:cs="Arial"/>
        </w:rPr>
        <w:t xml:space="preserve"> a unidades</w:t>
      </w:r>
      <w:r w:rsidR="00D30831" w:rsidRPr="004068F6">
        <w:rPr>
          <w:rFonts w:cs="Arial"/>
        </w:rPr>
        <w:t xml:space="preserve"> territoriales</w:t>
      </w:r>
      <w:r w:rsidRPr="004068F6">
        <w:rPr>
          <w:rFonts w:cs="Arial"/>
        </w:rPr>
        <w:t xml:space="preserve"> </w:t>
      </w:r>
      <w:r w:rsidR="003B7B64" w:rsidRPr="004068F6">
        <w:rPr>
          <w:rFonts w:cs="Arial"/>
        </w:rPr>
        <w:t>ya sea</w:t>
      </w:r>
      <w:r w:rsidR="00AD778F" w:rsidRPr="004068F6">
        <w:rPr>
          <w:rFonts w:cs="Arial"/>
        </w:rPr>
        <w:t>,</w:t>
      </w:r>
      <w:r w:rsidR="003B7B64" w:rsidRPr="004068F6">
        <w:rPr>
          <w:rFonts w:cs="Arial"/>
        </w:rPr>
        <w:t xml:space="preserve"> </w:t>
      </w:r>
      <w:r w:rsidR="001A1116" w:rsidRPr="004068F6">
        <w:rPr>
          <w:rFonts w:cs="Arial"/>
        </w:rPr>
        <w:t xml:space="preserve">con </w:t>
      </w:r>
      <w:r w:rsidRPr="004068F6">
        <w:rPr>
          <w:rFonts w:cs="Arial"/>
        </w:rPr>
        <w:lastRenderedPageBreak/>
        <w:t>reconoci</w:t>
      </w:r>
      <w:r w:rsidR="001A1116" w:rsidRPr="004068F6">
        <w:rPr>
          <w:rFonts w:cs="Arial"/>
        </w:rPr>
        <w:t xml:space="preserve">miento legal </w:t>
      </w:r>
      <w:r w:rsidRPr="004068F6">
        <w:rPr>
          <w:rFonts w:cs="Arial"/>
        </w:rPr>
        <w:t>previ</w:t>
      </w:r>
      <w:r w:rsidR="001A1116" w:rsidRPr="004068F6">
        <w:rPr>
          <w:rFonts w:cs="Arial"/>
        </w:rPr>
        <w:t>o</w:t>
      </w:r>
      <w:r w:rsidRPr="004068F6">
        <w:rPr>
          <w:rFonts w:cs="Arial"/>
        </w:rPr>
        <w:t xml:space="preserve"> a la elaboración del EIA, o con reconocimiento social de los pobladores del sector previ</w:t>
      </w:r>
      <w:r w:rsidR="00EB1FCA" w:rsidRPr="004068F6">
        <w:rPr>
          <w:rFonts w:cs="Arial"/>
        </w:rPr>
        <w:t>o</w:t>
      </w:r>
      <w:r w:rsidRPr="004068F6">
        <w:rPr>
          <w:rFonts w:cs="Arial"/>
        </w:rPr>
        <w:t xml:space="preserve"> a la elaboración del EIA.</w:t>
      </w:r>
    </w:p>
    <w:p w14:paraId="42C04E38" w14:textId="77777777" w:rsidR="00077E48" w:rsidRPr="004068F6" w:rsidRDefault="00077E48" w:rsidP="00077E48">
      <w:pPr>
        <w:rPr>
          <w:rFonts w:cs="Arial"/>
        </w:rPr>
      </w:pPr>
    </w:p>
    <w:p w14:paraId="668580C6" w14:textId="7C16AD73" w:rsidR="00077E48" w:rsidRPr="004068F6" w:rsidRDefault="00077E48" w:rsidP="00077E48">
      <w:pPr>
        <w:rPr>
          <w:rFonts w:cs="Arial"/>
        </w:rPr>
      </w:pPr>
      <w:r w:rsidRPr="004068F6">
        <w:rPr>
          <w:rFonts w:cs="Arial"/>
        </w:rPr>
        <w:t>Se debe señalar que el predio no puede ser considerado como una unidad de análisis territorial, por cuanto es un inmueble perteneciente a personas naturales o jurídicas, en el que no se establecen relaciones de tipo comunitario, ni se promueven la organización y el desarrollo social</w:t>
      </w:r>
      <w:r w:rsidR="00E72C93" w:rsidRPr="004068F6">
        <w:rPr>
          <w:rFonts w:cs="Arial"/>
        </w:rPr>
        <w:t>.</w:t>
      </w:r>
      <w:r w:rsidRPr="004068F6">
        <w:rPr>
          <w:rFonts w:cs="Arial"/>
        </w:rPr>
        <w:t xml:space="preserve"> </w:t>
      </w:r>
      <w:r w:rsidR="00E72C93" w:rsidRPr="004068F6">
        <w:rPr>
          <w:rFonts w:cs="Arial"/>
        </w:rPr>
        <w:t>P</w:t>
      </w:r>
      <w:r w:rsidRPr="004068F6">
        <w:rPr>
          <w:rFonts w:cs="Arial"/>
        </w:rPr>
        <w:t xml:space="preserve">or tanto, </w:t>
      </w:r>
      <w:r w:rsidR="00E72C93" w:rsidRPr="004068F6">
        <w:rPr>
          <w:rFonts w:cs="Arial"/>
        </w:rPr>
        <w:t xml:space="preserve">el </w:t>
      </w:r>
      <w:r w:rsidRPr="004068F6">
        <w:rPr>
          <w:rFonts w:cs="Arial"/>
        </w:rPr>
        <w:t xml:space="preserve">estudio </w:t>
      </w:r>
      <w:r w:rsidR="00E72C93" w:rsidRPr="004068F6">
        <w:rPr>
          <w:rFonts w:cs="Arial"/>
        </w:rPr>
        <w:t>de los predios está asociado al de la unidad de análisis territorial que los contiene y debe referirse</w:t>
      </w:r>
      <w:r w:rsidRPr="004068F6">
        <w:rPr>
          <w:rFonts w:cs="Arial"/>
        </w:rPr>
        <w:t xml:space="preserve"> únicamente a sus características y </w:t>
      </w:r>
      <w:r w:rsidR="00E72C93" w:rsidRPr="004068F6">
        <w:rPr>
          <w:rFonts w:cs="Arial"/>
        </w:rPr>
        <w:t xml:space="preserve">a </w:t>
      </w:r>
      <w:r w:rsidRPr="004068F6">
        <w:rPr>
          <w:rFonts w:cs="Arial"/>
        </w:rPr>
        <w:t xml:space="preserve">las de las personas o familias que en </w:t>
      </w:r>
      <w:r w:rsidR="00E72C93" w:rsidRPr="004068F6">
        <w:rPr>
          <w:rFonts w:cs="Arial"/>
        </w:rPr>
        <w:t>ellos</w:t>
      </w:r>
      <w:r w:rsidRPr="004068F6">
        <w:rPr>
          <w:rFonts w:cs="Arial"/>
        </w:rPr>
        <w:t xml:space="preserve"> habiten, así como a los impactos que pueda</w:t>
      </w:r>
      <w:r w:rsidR="00E72C93" w:rsidRPr="004068F6">
        <w:rPr>
          <w:rFonts w:cs="Arial"/>
        </w:rPr>
        <w:t>n</w:t>
      </w:r>
      <w:r w:rsidRPr="004068F6">
        <w:rPr>
          <w:rFonts w:cs="Arial"/>
        </w:rPr>
        <w:t xml:space="preserve"> experimentar dada la ejecución del proyecto, obra o actividad.</w:t>
      </w:r>
    </w:p>
    <w:p w14:paraId="2AAA223E" w14:textId="77777777" w:rsidR="00077E48" w:rsidRPr="004068F6" w:rsidRDefault="00077E48" w:rsidP="00077E48">
      <w:pPr>
        <w:rPr>
          <w:rFonts w:cs="Arial"/>
        </w:rPr>
      </w:pPr>
    </w:p>
    <w:p w14:paraId="5BF07718" w14:textId="4098C72C" w:rsidR="00077E48" w:rsidRPr="004068F6" w:rsidRDefault="00CE539F" w:rsidP="00077E48">
      <w:pPr>
        <w:rPr>
          <w:rFonts w:cs="Arial"/>
        </w:rPr>
      </w:pPr>
      <w:r w:rsidRPr="004068F6">
        <w:rPr>
          <w:rFonts w:cs="Arial"/>
        </w:rPr>
        <w:t>E</w:t>
      </w:r>
      <w:r w:rsidR="00077E48" w:rsidRPr="004068F6">
        <w:rPr>
          <w:rFonts w:cs="Arial"/>
        </w:rPr>
        <w:t xml:space="preserve">s posible delimitar las unidades de análisis territorial teniendo en cuenta criterios asociados a las condiciones fisiográficas de la zona, siempre y cuando las áreas que resulten de dicha delimitación estén asociadas a </w:t>
      </w:r>
      <w:r w:rsidR="00E72C93" w:rsidRPr="004068F6">
        <w:rPr>
          <w:rFonts w:cs="Arial"/>
        </w:rPr>
        <w:t xml:space="preserve">expresiones </w:t>
      </w:r>
      <w:r w:rsidR="00077E48" w:rsidRPr="004068F6">
        <w:rPr>
          <w:rFonts w:cs="Arial"/>
        </w:rPr>
        <w:t>sociales, como la presencia de organizaciones orientadas al desarrollo social, económico y cultural y al mejoramiento de la calidad de vida de la población.</w:t>
      </w:r>
    </w:p>
    <w:p w14:paraId="3315B401" w14:textId="77777777" w:rsidR="00077E48" w:rsidRPr="004068F6" w:rsidRDefault="00077E48" w:rsidP="00077E48">
      <w:pPr>
        <w:rPr>
          <w:rFonts w:cs="Arial"/>
        </w:rPr>
      </w:pPr>
    </w:p>
    <w:p w14:paraId="62A74D7F" w14:textId="2E90F719" w:rsidR="00077E48" w:rsidRPr="004068F6" w:rsidRDefault="00077E48" w:rsidP="00077E48">
      <w:pPr>
        <w:contextualSpacing/>
        <w:rPr>
          <w:rFonts w:cs="Arial"/>
        </w:rPr>
      </w:pPr>
      <w:r w:rsidRPr="004068F6">
        <w:rPr>
          <w:rFonts w:cs="Arial"/>
        </w:rPr>
        <w:t>Asimismo, en caso de que la información oficial esté desactualizada, o de que existan otras características de su calidad que limiten la determinación objetiva de las unidades de análisis territorial, se deben emplear estrategias participativas como la cartografía social a fin de obtener información detallada y actualizada sobre límites territoriales para la representación cartográfica del área de influencia. La cartografía social permite validar de manera colectiva y comunitaria límites territoriales, así como establecer las dinámicas poblacionales, económicas y culturales del territorio.</w:t>
      </w:r>
    </w:p>
    <w:p w14:paraId="6D2AD939" w14:textId="77777777" w:rsidR="00077E48" w:rsidRPr="004068F6" w:rsidRDefault="00077E48" w:rsidP="00077E48">
      <w:pPr>
        <w:contextualSpacing/>
        <w:rPr>
          <w:rFonts w:cs="Arial"/>
        </w:rPr>
      </w:pPr>
    </w:p>
    <w:p w14:paraId="1FDC49BC" w14:textId="44E61109" w:rsidR="00077E48" w:rsidRPr="004068F6" w:rsidRDefault="00077E48" w:rsidP="00077E48">
      <w:pPr>
        <w:rPr>
          <w:rFonts w:cs="Arial"/>
        </w:rPr>
      </w:pPr>
      <w:r w:rsidRPr="004068F6">
        <w:rPr>
          <w:rFonts w:cs="Arial"/>
        </w:rPr>
        <w:t>En caso de emplear ejercicios de cartografía social para definir las unidades de análisis del medio socioeconómico, éstos deben estar debidamente soportados en el estudio ambiental.</w:t>
      </w:r>
    </w:p>
    <w:p w14:paraId="610565AC" w14:textId="77777777" w:rsidR="00077E48" w:rsidRPr="004068F6" w:rsidRDefault="00077E48" w:rsidP="00077E48">
      <w:pPr>
        <w:rPr>
          <w:rFonts w:cs="Arial"/>
        </w:rPr>
      </w:pPr>
    </w:p>
    <w:p w14:paraId="271A500D" w14:textId="794D26AA" w:rsidR="00077E48" w:rsidRPr="004068F6" w:rsidRDefault="00077E48" w:rsidP="00077E48">
      <w:pPr>
        <w:numPr>
          <w:ilvl w:val="12"/>
          <w:numId w:val="0"/>
        </w:numPr>
        <w:tabs>
          <w:tab w:val="left" w:pos="-2268"/>
        </w:tabs>
        <w:suppressAutoHyphens/>
        <w:rPr>
          <w:rFonts w:cs="Arial"/>
        </w:rPr>
      </w:pPr>
      <w:r w:rsidRPr="004068F6">
        <w:rPr>
          <w:rFonts w:cs="Arial"/>
          <w:spacing w:val="-3"/>
        </w:rPr>
        <w:t xml:space="preserve">De otra parte y </w:t>
      </w:r>
      <w:r w:rsidR="00CE6378" w:rsidRPr="004068F6">
        <w:rPr>
          <w:rFonts w:cs="Arial"/>
          <w:spacing w:val="-3"/>
        </w:rPr>
        <w:t xml:space="preserve">con </w:t>
      </w:r>
      <w:r w:rsidRPr="004068F6">
        <w:rPr>
          <w:rFonts w:cs="Arial"/>
          <w:spacing w:val="-3"/>
        </w:rPr>
        <w:t xml:space="preserve">el propósito de </w:t>
      </w:r>
      <w:r w:rsidR="0063193B" w:rsidRPr="004068F6">
        <w:rPr>
          <w:rFonts w:cs="Arial"/>
          <w:spacing w:val="-3"/>
        </w:rPr>
        <w:t xml:space="preserve">determinar </w:t>
      </w:r>
      <w:r w:rsidRPr="004068F6">
        <w:rPr>
          <w:rFonts w:cs="Arial"/>
          <w:spacing w:val="-3"/>
        </w:rPr>
        <w:t xml:space="preserve">qué unidades de análisis territorial pueden resultar alteradas dada la ejecución de un proyecto, obra o actividad, es necesario analizar y evaluar la forma en que los impactos ambientales que éste genera en los factores o componentes de los medios abiótico, biótico y socioeconómico inciden sobre los factores o componentes socioeconómicos, así como </w:t>
      </w:r>
      <w:r w:rsidRPr="004068F6">
        <w:rPr>
          <w:rFonts w:cs="Arial"/>
        </w:rPr>
        <w:t>tener en cuenta las relaciones existentes y dinámicas propias de los territorios que se verían alterados por las nuevas relaciones sociales, económicas y culturales que se con</w:t>
      </w:r>
      <w:r w:rsidR="00F53A6E" w:rsidRPr="004068F6">
        <w:rPr>
          <w:rFonts w:cs="Arial"/>
        </w:rPr>
        <w:t>forma</w:t>
      </w:r>
      <w:r w:rsidRPr="004068F6">
        <w:rPr>
          <w:rFonts w:cs="Arial"/>
        </w:rPr>
        <w:t>rían</w:t>
      </w:r>
      <w:r w:rsidR="00CF5805" w:rsidRPr="004068F6">
        <w:rPr>
          <w:rFonts w:cs="Arial"/>
        </w:rPr>
        <w:t>.</w:t>
      </w:r>
      <w:r w:rsidRPr="004068F6">
        <w:rPr>
          <w:rFonts w:cs="Arial"/>
        </w:rPr>
        <w:t xml:space="preserve"> </w:t>
      </w:r>
      <w:r w:rsidR="00CF5805" w:rsidRPr="004068F6">
        <w:rPr>
          <w:rFonts w:cs="Arial"/>
        </w:rPr>
        <w:t>L</w:t>
      </w:r>
      <w:r w:rsidRPr="004068F6">
        <w:rPr>
          <w:rFonts w:cs="Arial"/>
        </w:rPr>
        <w:t>o anterior permite desarrollar un estudio integral de las condiciones de las unidades territoriales del medio socioeconómico que pueden conformar del área de influencia.</w:t>
      </w:r>
    </w:p>
    <w:p w14:paraId="40CFBB08" w14:textId="77777777" w:rsidR="006003DF" w:rsidRPr="004068F6" w:rsidRDefault="006003DF" w:rsidP="00077E48">
      <w:pPr>
        <w:numPr>
          <w:ilvl w:val="12"/>
          <w:numId w:val="0"/>
        </w:numPr>
        <w:tabs>
          <w:tab w:val="left" w:pos="-2268"/>
        </w:tabs>
        <w:suppressAutoHyphens/>
        <w:rPr>
          <w:rFonts w:cs="Arial"/>
        </w:rPr>
      </w:pPr>
    </w:p>
    <w:p w14:paraId="70C8A5E6" w14:textId="3D927234" w:rsidR="00077E48" w:rsidRPr="004068F6" w:rsidRDefault="00077E48" w:rsidP="00077E48">
      <w:pPr>
        <w:numPr>
          <w:ilvl w:val="12"/>
          <w:numId w:val="0"/>
        </w:numPr>
        <w:tabs>
          <w:tab w:val="left" w:pos="-2268"/>
        </w:tabs>
        <w:suppressAutoHyphens/>
        <w:rPr>
          <w:rFonts w:cs="Arial"/>
        </w:rPr>
      </w:pPr>
      <w:r w:rsidRPr="004068F6">
        <w:rPr>
          <w:rFonts w:cs="Arial"/>
        </w:rPr>
        <w:lastRenderedPageBreak/>
        <w:t xml:space="preserve">Se debe tener en cuenta que no siempre es posible representar cartográficamente los impactos que un proyecto, obra o actividad puede generar sobre los </w:t>
      </w:r>
      <w:r w:rsidR="00B657C4" w:rsidRPr="004068F6">
        <w:rPr>
          <w:rFonts w:cs="Arial"/>
        </w:rPr>
        <w:t xml:space="preserve">factores o </w:t>
      </w:r>
      <w:r w:rsidRPr="004068F6">
        <w:rPr>
          <w:rFonts w:cs="Arial"/>
        </w:rPr>
        <w:t xml:space="preserve">componentes del medio socioeconómico. Es el caso de la generación de expectativas y de algunos tipos </w:t>
      </w:r>
      <w:r w:rsidR="00054945" w:rsidRPr="004068F6">
        <w:rPr>
          <w:rFonts w:cs="Arial"/>
        </w:rPr>
        <w:t xml:space="preserve">de </w:t>
      </w:r>
      <w:r w:rsidRPr="004068F6">
        <w:rPr>
          <w:rFonts w:cs="Arial"/>
        </w:rPr>
        <w:t>conflictos que</w:t>
      </w:r>
      <w:r w:rsidR="00054945" w:rsidRPr="004068F6">
        <w:rPr>
          <w:rFonts w:cs="Arial"/>
        </w:rPr>
        <w:t>,</w:t>
      </w:r>
      <w:r w:rsidRPr="004068F6">
        <w:rPr>
          <w:rFonts w:cs="Arial"/>
        </w:rPr>
        <w:t xml:space="preserve"> si bien no tienen una clara correspondencia geográfica, deben circunscri</w:t>
      </w:r>
      <w:r w:rsidR="00CF5805" w:rsidRPr="004068F6">
        <w:rPr>
          <w:rFonts w:cs="Arial"/>
        </w:rPr>
        <w:t xml:space="preserve">birse </w:t>
      </w:r>
      <w:r w:rsidRPr="004068F6">
        <w:rPr>
          <w:rFonts w:cs="Arial"/>
        </w:rPr>
        <w:t>a una unidad de análisis que permita espacializarlos en conjunto y de forma coherente con los demás impactos de este medio</w:t>
      </w:r>
      <w:r w:rsidR="00CF5805" w:rsidRPr="004068F6">
        <w:rPr>
          <w:rFonts w:cs="Arial"/>
        </w:rPr>
        <w:t>.</w:t>
      </w:r>
    </w:p>
    <w:p w14:paraId="5C9156C6" w14:textId="77777777" w:rsidR="00077E48" w:rsidRPr="004068F6" w:rsidRDefault="00077E48" w:rsidP="00077E48">
      <w:pPr>
        <w:numPr>
          <w:ilvl w:val="12"/>
          <w:numId w:val="0"/>
        </w:numPr>
        <w:tabs>
          <w:tab w:val="left" w:pos="-2268"/>
        </w:tabs>
        <w:suppressAutoHyphens/>
        <w:rPr>
          <w:rFonts w:cs="Arial"/>
        </w:rPr>
      </w:pPr>
    </w:p>
    <w:p w14:paraId="4EBACB43" w14:textId="7B81199F" w:rsidR="00077E48" w:rsidRPr="004068F6" w:rsidRDefault="00077E48" w:rsidP="00077E48">
      <w:pPr>
        <w:rPr>
          <w:rFonts w:cs="Arial"/>
        </w:rPr>
      </w:pPr>
      <w:r w:rsidRPr="004068F6">
        <w:rPr>
          <w:rFonts w:cs="Arial"/>
        </w:rPr>
        <w:t>Una vez se identifiquen las unidades de análisis territorial que se prevea pueden ser impactadas por el proyecto, obra o actividad se debe aplicar un conjunto de consideraciones que permita establecer si los impactos que allí se manifiestan resultan ser significativos y</w:t>
      </w:r>
      <w:r w:rsidR="00054945" w:rsidRPr="004068F6">
        <w:rPr>
          <w:rFonts w:cs="Arial"/>
        </w:rPr>
        <w:t>,</w:t>
      </w:r>
      <w:r w:rsidRPr="004068F6">
        <w:rPr>
          <w:rFonts w:cs="Arial"/>
        </w:rPr>
        <w:t xml:space="preserve"> por tanto, definitorios del área de influencia de cada </w:t>
      </w:r>
      <w:r w:rsidR="00C211B3" w:rsidRPr="004068F6">
        <w:rPr>
          <w:rFonts w:cs="Arial"/>
        </w:rPr>
        <w:t xml:space="preserve">factor o </w:t>
      </w:r>
      <w:r w:rsidRPr="004068F6">
        <w:rPr>
          <w:rFonts w:cs="Arial"/>
        </w:rPr>
        <w:t xml:space="preserve">componente. A continuación, se presentan las consideraciones generales para </w:t>
      </w:r>
      <w:r w:rsidR="0063193B" w:rsidRPr="004068F6">
        <w:rPr>
          <w:rFonts w:cs="Arial"/>
        </w:rPr>
        <w:t xml:space="preserve">determinar </w:t>
      </w:r>
      <w:r w:rsidRPr="004068F6">
        <w:rPr>
          <w:rFonts w:cs="Arial"/>
        </w:rPr>
        <w:t xml:space="preserve">tales unidades de análisis territorial y así delimitar el área de influencia de los </w:t>
      </w:r>
      <w:r w:rsidR="00C211B3" w:rsidRPr="004068F6">
        <w:rPr>
          <w:rFonts w:cs="Arial"/>
        </w:rPr>
        <w:t xml:space="preserve">factores o </w:t>
      </w:r>
      <w:r w:rsidRPr="004068F6">
        <w:rPr>
          <w:rFonts w:cs="Arial"/>
        </w:rPr>
        <w:t>componentes del medio socioeconómico:</w:t>
      </w:r>
    </w:p>
    <w:p w14:paraId="6F14A14E" w14:textId="77777777" w:rsidR="00077E48" w:rsidRPr="004068F6" w:rsidRDefault="00077E48" w:rsidP="00077E48">
      <w:pPr>
        <w:rPr>
          <w:rFonts w:cs="Arial"/>
        </w:rPr>
      </w:pPr>
    </w:p>
    <w:p w14:paraId="057D109F" w14:textId="3BB6CF0C" w:rsidR="00077E48" w:rsidRPr="004068F6" w:rsidRDefault="00077E48" w:rsidP="00077E48">
      <w:pPr>
        <w:pStyle w:val="Prrafodelista"/>
        <w:numPr>
          <w:ilvl w:val="0"/>
          <w:numId w:val="13"/>
        </w:numPr>
        <w:ind w:left="567" w:hanging="567"/>
        <w:contextualSpacing/>
        <w:rPr>
          <w:rFonts w:cs="Arial"/>
          <w:lang w:val="es-CO"/>
        </w:rPr>
      </w:pPr>
      <w:r w:rsidRPr="004068F6">
        <w:rPr>
          <w:rFonts w:cs="Arial"/>
          <w:lang w:val="es-CO"/>
        </w:rPr>
        <w:t>Manera en que los impactos ambientales previstos para los medios abiótico y biótico afectan a la población</w:t>
      </w:r>
      <w:r w:rsidR="00CA3333" w:rsidRPr="004068F6">
        <w:rPr>
          <w:rFonts w:cs="Arial"/>
          <w:lang w:val="es-CO"/>
        </w:rPr>
        <w:t>,</w:t>
      </w:r>
      <w:r w:rsidRPr="004068F6">
        <w:rPr>
          <w:rFonts w:cs="Arial"/>
          <w:lang w:val="es-CO"/>
        </w:rPr>
        <w:t xml:space="preserve"> sus relaciones económicas, sociales y culturales </w:t>
      </w:r>
      <w:r w:rsidR="00CA3333" w:rsidRPr="004068F6">
        <w:rPr>
          <w:rFonts w:cs="Arial"/>
          <w:lang w:val="es-CO"/>
        </w:rPr>
        <w:t>y la conflictividad so</w:t>
      </w:r>
      <w:r w:rsidR="003C7E49" w:rsidRPr="004068F6">
        <w:rPr>
          <w:rFonts w:cs="Arial"/>
          <w:lang w:val="es-CO"/>
        </w:rPr>
        <w:t xml:space="preserve">cioambiental </w:t>
      </w:r>
      <w:r w:rsidRPr="004068F6">
        <w:rPr>
          <w:rFonts w:cs="Arial"/>
          <w:lang w:val="es-CO"/>
        </w:rPr>
        <w:t>presentes en una o varias unidades de análisis territorial, según sea el caso. Por regla general, los impactos ambientales significativos del medio abiótico y biótico están contenidos dentro de las unidades de análisis territorial identificadas para el medio socioeconómico.</w:t>
      </w:r>
    </w:p>
    <w:p w14:paraId="29F34ACD" w14:textId="77777777" w:rsidR="00077E48" w:rsidRPr="004068F6" w:rsidRDefault="00077E48" w:rsidP="00077E48">
      <w:pPr>
        <w:rPr>
          <w:rFonts w:cs="Arial"/>
        </w:rPr>
      </w:pPr>
    </w:p>
    <w:p w14:paraId="7589664C" w14:textId="0D9AF9A5" w:rsidR="00077E48" w:rsidRPr="004068F6" w:rsidRDefault="00077E48" w:rsidP="00077E48">
      <w:pPr>
        <w:pStyle w:val="Prrafodelista"/>
        <w:numPr>
          <w:ilvl w:val="0"/>
          <w:numId w:val="13"/>
        </w:numPr>
        <w:ind w:left="567" w:hanging="567"/>
        <w:contextualSpacing/>
        <w:rPr>
          <w:rFonts w:cs="Arial"/>
          <w:lang w:val="es-CO"/>
        </w:rPr>
      </w:pPr>
      <w:r w:rsidRPr="004068F6">
        <w:rPr>
          <w:rFonts w:cs="Arial"/>
          <w:lang w:val="es-CO"/>
        </w:rPr>
        <w:t xml:space="preserve">Formas de división </w:t>
      </w:r>
      <w:r w:rsidR="00054945" w:rsidRPr="004068F6">
        <w:rPr>
          <w:rFonts w:cs="Arial"/>
          <w:lang w:val="es-CO"/>
        </w:rPr>
        <w:t>político-administrativa</w:t>
      </w:r>
      <w:r w:rsidRPr="004068F6">
        <w:rPr>
          <w:rFonts w:cs="Arial"/>
          <w:lang w:val="es-CO"/>
        </w:rPr>
        <w:t xml:space="preserve"> del territorio, así como organizaciones sociales con referencia territorial reconocida.</w:t>
      </w:r>
    </w:p>
    <w:p w14:paraId="33266AEB" w14:textId="77777777" w:rsidR="00077E48" w:rsidRPr="004068F6" w:rsidRDefault="00077E48" w:rsidP="0082127E">
      <w:pPr>
        <w:rPr>
          <w:rFonts w:cs="Arial"/>
        </w:rPr>
      </w:pPr>
    </w:p>
    <w:p w14:paraId="63E09635" w14:textId="77777777" w:rsidR="00077E48" w:rsidRPr="004068F6" w:rsidRDefault="00077E48" w:rsidP="00077E48">
      <w:pPr>
        <w:pStyle w:val="Prrafodelista"/>
        <w:numPr>
          <w:ilvl w:val="0"/>
          <w:numId w:val="13"/>
        </w:numPr>
        <w:ind w:left="567" w:hanging="567"/>
        <w:contextualSpacing/>
        <w:rPr>
          <w:rFonts w:cs="Arial"/>
          <w:lang w:val="es-CO"/>
        </w:rPr>
      </w:pPr>
      <w:r w:rsidRPr="004068F6">
        <w:rPr>
          <w:rFonts w:cs="Arial"/>
          <w:lang w:val="es-CO"/>
        </w:rPr>
        <w:t>Manifestación de impactos ambientales sobre las formas de asentamiento de la población (nucleada o dispersa).</w:t>
      </w:r>
    </w:p>
    <w:p w14:paraId="39EF4B1E" w14:textId="77777777" w:rsidR="00077E48" w:rsidRPr="004068F6" w:rsidRDefault="00077E48" w:rsidP="00077E48">
      <w:pPr>
        <w:contextualSpacing/>
        <w:rPr>
          <w:rFonts w:cs="Arial"/>
        </w:rPr>
      </w:pPr>
    </w:p>
    <w:p w14:paraId="2C218BE6" w14:textId="1D31DEB7" w:rsidR="00077E48" w:rsidRPr="004068F6" w:rsidRDefault="00077E48" w:rsidP="00077E48">
      <w:pPr>
        <w:pStyle w:val="Prrafodelista"/>
        <w:numPr>
          <w:ilvl w:val="0"/>
          <w:numId w:val="13"/>
        </w:numPr>
        <w:ind w:left="567" w:hanging="567"/>
        <w:contextualSpacing/>
        <w:rPr>
          <w:rFonts w:cs="Arial"/>
          <w:lang w:val="es-CO"/>
        </w:rPr>
      </w:pPr>
      <w:r w:rsidRPr="004068F6">
        <w:rPr>
          <w:rFonts w:cs="Arial"/>
          <w:lang w:val="es-CO"/>
        </w:rPr>
        <w:t xml:space="preserve">Manifestación de impactos ambientales sobre </w:t>
      </w:r>
      <w:r w:rsidR="00CF5805" w:rsidRPr="004068F6">
        <w:rPr>
          <w:rFonts w:cs="Arial"/>
          <w:lang w:val="es-CO"/>
        </w:rPr>
        <w:t xml:space="preserve">la </w:t>
      </w:r>
      <w:r w:rsidRPr="004068F6">
        <w:rPr>
          <w:rFonts w:cs="Arial"/>
          <w:lang w:val="es-CO"/>
        </w:rPr>
        <w:t xml:space="preserve">infraestructura socioeconómica </w:t>
      </w:r>
      <w:r w:rsidR="00CF5805" w:rsidRPr="004068F6">
        <w:rPr>
          <w:rFonts w:cs="Arial"/>
          <w:lang w:val="es-CO"/>
        </w:rPr>
        <w:t xml:space="preserve">para la prestación </w:t>
      </w:r>
      <w:r w:rsidRPr="004068F6">
        <w:rPr>
          <w:rFonts w:cs="Arial"/>
          <w:lang w:val="es-CO"/>
        </w:rPr>
        <w:t>de servicios públicos (abastecimiento de agua, saneamiento básico, energía), servicios sociales (educación, salud, recreación), entre otr</w:t>
      </w:r>
      <w:r w:rsidR="00CF5805" w:rsidRPr="004068F6">
        <w:rPr>
          <w:rFonts w:cs="Arial"/>
          <w:lang w:val="es-CO"/>
        </w:rPr>
        <w:t>o</w:t>
      </w:r>
      <w:r w:rsidRPr="004068F6">
        <w:rPr>
          <w:rFonts w:cs="Arial"/>
          <w:lang w:val="es-CO"/>
        </w:rPr>
        <w:t>s.</w:t>
      </w:r>
    </w:p>
    <w:p w14:paraId="1E00D3C5" w14:textId="77777777" w:rsidR="00077E48" w:rsidRPr="004068F6" w:rsidRDefault="00077E48" w:rsidP="0082127E">
      <w:pPr>
        <w:contextualSpacing/>
        <w:rPr>
          <w:rFonts w:cs="Arial"/>
        </w:rPr>
      </w:pPr>
    </w:p>
    <w:p w14:paraId="20C8DE8C" w14:textId="77777777" w:rsidR="00077E48" w:rsidRPr="004068F6" w:rsidRDefault="00077E48" w:rsidP="00077E48">
      <w:pPr>
        <w:pStyle w:val="Prrafodelista"/>
        <w:numPr>
          <w:ilvl w:val="0"/>
          <w:numId w:val="13"/>
        </w:numPr>
        <w:ind w:left="567" w:hanging="567"/>
        <w:contextualSpacing/>
        <w:rPr>
          <w:rFonts w:cs="Arial"/>
          <w:lang w:val="es-CO"/>
        </w:rPr>
      </w:pPr>
      <w:r w:rsidRPr="004068F6">
        <w:rPr>
          <w:rFonts w:cs="Arial"/>
          <w:lang w:val="es-CO"/>
        </w:rPr>
        <w:t>Manifestación de impactos ambientales sobre sitios y prácticas de interés cultural, religioso, turístico y recreativo.</w:t>
      </w:r>
    </w:p>
    <w:p w14:paraId="550E5A41" w14:textId="77777777" w:rsidR="00077E48" w:rsidRPr="004068F6" w:rsidRDefault="00077E48" w:rsidP="0082127E">
      <w:pPr>
        <w:contextualSpacing/>
        <w:rPr>
          <w:rFonts w:cs="Arial"/>
        </w:rPr>
      </w:pPr>
    </w:p>
    <w:p w14:paraId="22A94EB3" w14:textId="77777777" w:rsidR="00077E48" w:rsidRPr="004068F6" w:rsidRDefault="00077E48" w:rsidP="00077E48">
      <w:pPr>
        <w:pStyle w:val="Prrafodelista"/>
        <w:numPr>
          <w:ilvl w:val="0"/>
          <w:numId w:val="13"/>
        </w:numPr>
        <w:ind w:left="567" w:hanging="567"/>
        <w:contextualSpacing/>
        <w:rPr>
          <w:rFonts w:cs="Arial"/>
          <w:lang w:val="es-CO"/>
        </w:rPr>
      </w:pPr>
      <w:r w:rsidRPr="004068F6">
        <w:rPr>
          <w:rFonts w:cs="Arial"/>
          <w:lang w:val="es-CO"/>
        </w:rPr>
        <w:t>Manifestación de impactos ambientales sobre puntos clave para el desarrollo de actividades económicas (sitios de comercialización, provisión de insumos, servicios técnicos, entre otros).</w:t>
      </w:r>
    </w:p>
    <w:p w14:paraId="543CEFC2" w14:textId="77777777" w:rsidR="00077E48" w:rsidRPr="004068F6" w:rsidRDefault="00077E48" w:rsidP="0082127E">
      <w:pPr>
        <w:contextualSpacing/>
        <w:rPr>
          <w:rFonts w:cs="Arial"/>
        </w:rPr>
      </w:pPr>
    </w:p>
    <w:p w14:paraId="40C6D14C" w14:textId="58BAAD2D" w:rsidR="00077E48" w:rsidRPr="004068F6" w:rsidRDefault="00077E48" w:rsidP="00077E48">
      <w:pPr>
        <w:pStyle w:val="Prrafodelista"/>
        <w:numPr>
          <w:ilvl w:val="0"/>
          <w:numId w:val="13"/>
        </w:numPr>
        <w:ind w:left="567" w:hanging="567"/>
        <w:contextualSpacing/>
        <w:rPr>
          <w:rFonts w:cs="Arial"/>
          <w:lang w:val="es-CO"/>
        </w:rPr>
      </w:pPr>
      <w:r w:rsidRPr="004068F6">
        <w:rPr>
          <w:rFonts w:cs="Arial"/>
          <w:lang w:val="es-CO"/>
        </w:rPr>
        <w:lastRenderedPageBreak/>
        <w:t xml:space="preserve">Formas de uso y aprovechamiento de los recursos naturales por parte de </w:t>
      </w:r>
      <w:r w:rsidR="00B13AB2" w:rsidRPr="004068F6">
        <w:rPr>
          <w:rFonts w:cs="Arial"/>
          <w:lang w:val="es-CO"/>
        </w:rPr>
        <w:t>los grupos de interés</w:t>
      </w:r>
      <w:r w:rsidRPr="004068F6">
        <w:rPr>
          <w:rFonts w:cs="Arial"/>
          <w:lang w:val="es-CO"/>
        </w:rPr>
        <w:t xml:space="preserve"> y dependencia de las actividades locales a </w:t>
      </w:r>
      <w:r w:rsidR="005F2800" w:rsidRPr="004068F6">
        <w:rPr>
          <w:rFonts w:cs="Arial"/>
          <w:lang w:val="es-CO"/>
        </w:rPr>
        <w:t>tales recursos</w:t>
      </w:r>
      <w:r w:rsidRPr="004068F6">
        <w:rPr>
          <w:rFonts w:cs="Arial"/>
          <w:lang w:val="es-CO"/>
        </w:rPr>
        <w:t>.</w:t>
      </w:r>
    </w:p>
    <w:p w14:paraId="26583910" w14:textId="77777777" w:rsidR="00077E48" w:rsidRPr="004068F6" w:rsidRDefault="00077E48" w:rsidP="0082127E">
      <w:pPr>
        <w:contextualSpacing/>
        <w:rPr>
          <w:rFonts w:cs="Arial"/>
        </w:rPr>
      </w:pPr>
    </w:p>
    <w:p w14:paraId="2191D63C" w14:textId="53FEEB77" w:rsidR="00077E48" w:rsidRPr="004068F6" w:rsidRDefault="00077E48" w:rsidP="00077E48">
      <w:pPr>
        <w:pStyle w:val="Prrafodelista"/>
        <w:numPr>
          <w:ilvl w:val="0"/>
          <w:numId w:val="13"/>
        </w:numPr>
        <w:ind w:left="567" w:hanging="567"/>
        <w:contextualSpacing/>
        <w:rPr>
          <w:rFonts w:cs="Arial"/>
          <w:lang w:val="es-CO"/>
        </w:rPr>
      </w:pPr>
      <w:r w:rsidRPr="004068F6">
        <w:rPr>
          <w:rFonts w:cs="Arial"/>
          <w:lang w:val="es-CO"/>
        </w:rPr>
        <w:t xml:space="preserve">Existencia de impactos ambientales en los medios abiótico, biótico y socioeconómico que </w:t>
      </w:r>
      <w:r w:rsidR="00BF790D" w:rsidRPr="004068F6">
        <w:rPr>
          <w:rFonts w:cs="Arial"/>
          <w:lang w:val="es-CO"/>
        </w:rPr>
        <w:t>se identifiquen en áreas con presencia de comunidades étnicas que deban ser considerados dentro de la evaluación ambiental.</w:t>
      </w:r>
    </w:p>
    <w:p w14:paraId="72D470D8" w14:textId="77777777" w:rsidR="00077E48" w:rsidRPr="004068F6" w:rsidRDefault="00077E48" w:rsidP="0082127E">
      <w:pPr>
        <w:contextualSpacing/>
        <w:rPr>
          <w:rFonts w:cs="Arial"/>
        </w:rPr>
      </w:pPr>
    </w:p>
    <w:p w14:paraId="5AF9FF62" w14:textId="200B69D5" w:rsidR="00077E48" w:rsidRPr="004068F6" w:rsidRDefault="00586644" w:rsidP="00077E48">
      <w:pPr>
        <w:pStyle w:val="Prrafodelista"/>
        <w:numPr>
          <w:ilvl w:val="0"/>
          <w:numId w:val="13"/>
        </w:numPr>
        <w:ind w:left="567" w:hanging="567"/>
        <w:contextualSpacing/>
        <w:rPr>
          <w:rFonts w:cs="Arial"/>
          <w:lang w:val="es-CO"/>
        </w:rPr>
      </w:pPr>
      <w:r w:rsidRPr="004068F6">
        <w:rPr>
          <w:rFonts w:cs="Arial"/>
          <w:lang w:val="es-CO"/>
        </w:rPr>
        <w:t xml:space="preserve">En el ámbito marino, donde no existen </w:t>
      </w:r>
      <w:r w:rsidR="002A50C2" w:rsidRPr="00127BD4">
        <w:rPr>
          <w:rFonts w:cs="Arial"/>
          <w:color w:val="000000"/>
          <w:lang w:val="es-CO"/>
        </w:rPr>
        <w:t>figuras de división territorial como municipios, corregimientos municipales</w:t>
      </w:r>
      <w:r w:rsidR="00ED01B1" w:rsidRPr="00127BD4">
        <w:rPr>
          <w:rFonts w:cs="Arial"/>
          <w:color w:val="000000"/>
          <w:lang w:val="es-CO"/>
        </w:rPr>
        <w:t xml:space="preserve"> o</w:t>
      </w:r>
      <w:r w:rsidR="002A50C2" w:rsidRPr="00127BD4">
        <w:rPr>
          <w:rFonts w:cs="Arial"/>
          <w:color w:val="000000"/>
          <w:lang w:val="es-CO"/>
        </w:rPr>
        <w:t xml:space="preserve"> barrios</w:t>
      </w:r>
      <w:r w:rsidR="00ED01B1" w:rsidRPr="00127BD4">
        <w:rPr>
          <w:rFonts w:cs="Arial"/>
          <w:color w:val="000000"/>
          <w:lang w:val="es-CO"/>
        </w:rPr>
        <w:t>,</w:t>
      </w:r>
      <w:r w:rsidR="002A50C2" w:rsidRPr="004068F6">
        <w:rPr>
          <w:rFonts w:cs="Arial"/>
          <w:lang w:val="es-CO"/>
        </w:rPr>
        <w:t xml:space="preserve"> </w:t>
      </w:r>
      <w:r w:rsidRPr="004068F6">
        <w:rPr>
          <w:rFonts w:cs="Arial"/>
          <w:lang w:val="es-CO"/>
        </w:rPr>
        <w:t xml:space="preserve">se deben considerar como unidades de análisis </w:t>
      </w:r>
      <w:r w:rsidR="008C3E6F" w:rsidRPr="004068F6">
        <w:rPr>
          <w:rFonts w:cs="Arial"/>
          <w:lang w:val="es-CO"/>
        </w:rPr>
        <w:t xml:space="preserve">territorial </w:t>
      </w:r>
      <w:r w:rsidRPr="004068F6">
        <w:rPr>
          <w:rFonts w:cs="Arial"/>
          <w:lang w:val="es-CO"/>
        </w:rPr>
        <w:t xml:space="preserve">para la delimitación del área de influencia aquellas zonas en las que se desarrollan actividades económicas de subsistencia (como la pesca artesanal o el turismo local), rutas de navegación, dinámicas culturales o sociales asociadas al mar y otros usos del espacio marítimo por parte de las comunidades que puedan resultar impactados por </w:t>
      </w:r>
      <w:r w:rsidR="0085774B">
        <w:rPr>
          <w:rFonts w:cs="Arial"/>
          <w:lang w:val="es-CO"/>
        </w:rPr>
        <w:t xml:space="preserve">el </w:t>
      </w:r>
      <w:r w:rsidRPr="004068F6">
        <w:rPr>
          <w:rFonts w:cs="Arial"/>
          <w:lang w:val="es-CO"/>
        </w:rPr>
        <w:t>proyecto, obra o actividad</w:t>
      </w:r>
      <w:r w:rsidR="0085774B">
        <w:rPr>
          <w:rFonts w:cs="Arial"/>
          <w:lang w:val="es-CO"/>
        </w:rPr>
        <w:t>.</w:t>
      </w:r>
      <w:r w:rsidRPr="004068F6">
        <w:rPr>
          <w:rFonts w:cs="Arial"/>
          <w:lang w:val="es-CO"/>
        </w:rPr>
        <w:t xml:space="preserve"> Para delimitar estas áreas, </w:t>
      </w:r>
      <w:r w:rsidR="0085774B">
        <w:rPr>
          <w:rFonts w:cs="Arial"/>
          <w:lang w:val="es-CO"/>
        </w:rPr>
        <w:t xml:space="preserve">es posible </w:t>
      </w:r>
      <w:r w:rsidRPr="004068F6">
        <w:rPr>
          <w:rFonts w:cs="Arial"/>
          <w:lang w:val="es-CO"/>
        </w:rPr>
        <w:t>utilizar información oficial de entidades competentes (Aunap, Dimar, Invemar, entre otras), así como herramientas participativas como la cartografía social marina.</w:t>
      </w:r>
    </w:p>
    <w:p w14:paraId="43C7489D" w14:textId="77777777" w:rsidR="00077E48" w:rsidRPr="004068F6" w:rsidRDefault="00077E48" w:rsidP="001E5D96">
      <w:pPr>
        <w:rPr>
          <w:rFonts w:cs="Arial"/>
        </w:rPr>
      </w:pPr>
    </w:p>
    <w:p w14:paraId="4F398C18" w14:textId="5108F587" w:rsidR="00077E48" w:rsidRPr="004068F6" w:rsidRDefault="007F45D3" w:rsidP="009420F5">
      <w:pPr>
        <w:pStyle w:val="Ttulo2"/>
        <w:rPr>
          <w:lang w:val="es-CO"/>
        </w:rPr>
      </w:pPr>
      <w:bookmarkStart w:id="2566" w:name="_Toc230879639"/>
      <w:r w:rsidRPr="004068F6">
        <w:rPr>
          <w:lang w:val="es-CO"/>
        </w:rPr>
        <w:t xml:space="preserve">LINEAMIENTOS PARA LA DELIMITACIÓN DEL ÁREA DE INFLUENCIA REFERIDA AL </w:t>
      </w:r>
      <w:r w:rsidR="00077E48" w:rsidRPr="004068F6">
        <w:rPr>
          <w:lang w:val="es-CO"/>
        </w:rPr>
        <w:t>PAISAJE</w:t>
      </w:r>
      <w:bookmarkEnd w:id="2566"/>
    </w:p>
    <w:p w14:paraId="6DC0657C" w14:textId="77777777" w:rsidR="00077E48" w:rsidRPr="004068F6" w:rsidRDefault="00077E48" w:rsidP="00077E48">
      <w:pPr>
        <w:pStyle w:val="Diamante"/>
        <w:numPr>
          <w:ilvl w:val="0"/>
          <w:numId w:val="0"/>
        </w:numPr>
        <w:rPr>
          <w:rFonts w:cs="Arial"/>
          <w:b w:val="0"/>
        </w:rPr>
      </w:pPr>
    </w:p>
    <w:p w14:paraId="09022E0D" w14:textId="0B4B8AFA" w:rsidR="00077E48" w:rsidRPr="004068F6" w:rsidRDefault="00077E48" w:rsidP="00077E48">
      <w:pPr>
        <w:numPr>
          <w:ilvl w:val="12"/>
          <w:numId w:val="0"/>
        </w:numPr>
        <w:tabs>
          <w:tab w:val="left" w:pos="-2268"/>
        </w:tabs>
        <w:suppressAutoHyphens/>
        <w:rPr>
          <w:rFonts w:cs="Arial"/>
          <w:spacing w:val="-3"/>
        </w:rPr>
      </w:pPr>
      <w:r w:rsidRPr="004068F6">
        <w:rPr>
          <w:rFonts w:cs="Arial"/>
          <w:spacing w:val="-3"/>
        </w:rPr>
        <w:t xml:space="preserve">Para la delimitación del área de influencia del paisaje, que integra elementos de los medios abiótico, biótico y socioeconómico, se debe tomar como base </w:t>
      </w:r>
      <w:r w:rsidR="000E098F" w:rsidRPr="004068F6">
        <w:rPr>
          <w:rFonts w:cs="Arial"/>
          <w:spacing w:val="-3"/>
        </w:rPr>
        <w:t xml:space="preserve">las unidades de paisaje </w:t>
      </w:r>
      <w:r w:rsidRPr="004068F6">
        <w:rPr>
          <w:rFonts w:cs="Arial"/>
          <w:spacing w:val="-3"/>
        </w:rPr>
        <w:t>y sobre ést</w:t>
      </w:r>
      <w:r w:rsidR="000E098F" w:rsidRPr="004068F6">
        <w:rPr>
          <w:rFonts w:cs="Arial"/>
          <w:spacing w:val="-3"/>
        </w:rPr>
        <w:t>as</w:t>
      </w:r>
      <w:r w:rsidRPr="004068F6">
        <w:rPr>
          <w:rFonts w:cs="Arial"/>
          <w:spacing w:val="-3"/>
        </w:rPr>
        <w:t>, integrar los demás elementos que lo conforman.</w:t>
      </w:r>
    </w:p>
    <w:p w14:paraId="33AD60B2" w14:textId="77777777" w:rsidR="00077E48" w:rsidRPr="004068F6" w:rsidRDefault="00077E48" w:rsidP="00077E48">
      <w:pPr>
        <w:numPr>
          <w:ilvl w:val="12"/>
          <w:numId w:val="0"/>
        </w:numPr>
        <w:tabs>
          <w:tab w:val="left" w:pos="-2268"/>
        </w:tabs>
        <w:suppressAutoHyphens/>
        <w:rPr>
          <w:rFonts w:cs="Arial"/>
          <w:spacing w:val="-3"/>
        </w:rPr>
      </w:pPr>
    </w:p>
    <w:p w14:paraId="0DDA11A9" w14:textId="084E4358" w:rsidR="00C70AAE" w:rsidRPr="004068F6" w:rsidRDefault="009B46BE" w:rsidP="00077E48">
      <w:pPr>
        <w:numPr>
          <w:ilvl w:val="12"/>
          <w:numId w:val="0"/>
        </w:numPr>
        <w:tabs>
          <w:tab w:val="left" w:pos="-2268"/>
        </w:tabs>
        <w:suppressAutoHyphens/>
        <w:rPr>
          <w:rFonts w:cs="Arial"/>
          <w:spacing w:val="-3"/>
        </w:rPr>
      </w:pPr>
      <w:r w:rsidRPr="004068F6">
        <w:rPr>
          <w:rFonts w:cs="Arial"/>
          <w:spacing w:val="-3"/>
        </w:rPr>
        <w:t>En primer lugar, se deben determinar las áreas en las que se materializan los impactos visuales a través de un análisis de visibilidad, tomando como referencia la ubicación espacial de las actividades, obras e infraestructuras asociadas al proyecto, considerando la escala visual o plano</w:t>
      </w:r>
      <w:r w:rsidR="00170A3B" w:rsidRPr="00127BD4">
        <w:rPr>
          <w:rFonts w:cs="Arial"/>
          <w:spacing w:val="-3"/>
          <w:vertAlign w:val="superscript"/>
        </w:rPr>
        <w:footnoteReference w:id="104"/>
      </w:r>
      <w:r w:rsidRPr="004068F6">
        <w:rPr>
          <w:rFonts w:cs="Arial"/>
          <w:spacing w:val="-3"/>
        </w:rPr>
        <w:t xml:space="preserve"> donde se pueden presentar los impactos significativos </w:t>
      </w:r>
      <w:r w:rsidR="00170A3B" w:rsidRPr="004068F6">
        <w:rPr>
          <w:rFonts w:cs="Arial"/>
          <w:spacing w:val="-3"/>
        </w:rPr>
        <w:t>a</w:t>
      </w:r>
      <w:r w:rsidRPr="004068F6">
        <w:rPr>
          <w:rFonts w:cs="Arial"/>
          <w:spacing w:val="-3"/>
        </w:rPr>
        <w:t>l paisaje.</w:t>
      </w:r>
    </w:p>
    <w:p w14:paraId="0791695C" w14:textId="71629A30" w:rsidR="00077E48" w:rsidRPr="004068F6" w:rsidRDefault="00077E48" w:rsidP="00077E48">
      <w:pPr>
        <w:numPr>
          <w:ilvl w:val="12"/>
          <w:numId w:val="0"/>
        </w:numPr>
        <w:tabs>
          <w:tab w:val="left" w:pos="-2268"/>
        </w:tabs>
        <w:suppressAutoHyphens/>
        <w:rPr>
          <w:rFonts w:cs="Arial"/>
          <w:spacing w:val="-3"/>
        </w:rPr>
      </w:pPr>
    </w:p>
    <w:p w14:paraId="7083ACC2" w14:textId="7776479A" w:rsidR="00077E48" w:rsidRPr="004068F6" w:rsidRDefault="009B46BE" w:rsidP="00077E48">
      <w:pPr>
        <w:numPr>
          <w:ilvl w:val="12"/>
          <w:numId w:val="0"/>
        </w:numPr>
        <w:tabs>
          <w:tab w:val="left" w:pos="-2268"/>
        </w:tabs>
        <w:suppressAutoHyphens/>
        <w:rPr>
          <w:rFonts w:cs="Arial"/>
          <w:spacing w:val="-3"/>
        </w:rPr>
      </w:pPr>
      <w:r w:rsidRPr="004068F6">
        <w:rPr>
          <w:rFonts w:cs="Arial"/>
          <w:spacing w:val="-3"/>
        </w:rPr>
        <w:t>Posteriormente, se debe determinar el área visible desde diferentes puntos de observación, contenidos en el área definida previamente, estableciendo la localización del observador de acuerdo con la información sobre posibles sitios de tránsito de personas, sitios de interés paisajístico, entre otros</w:t>
      </w:r>
      <w:r w:rsidR="00077E48" w:rsidRPr="004068F6">
        <w:rPr>
          <w:rFonts w:cs="Arial"/>
          <w:spacing w:val="-3"/>
        </w:rPr>
        <w:t>.</w:t>
      </w:r>
    </w:p>
    <w:p w14:paraId="0687937A" w14:textId="77777777" w:rsidR="00077E48" w:rsidRPr="004068F6" w:rsidRDefault="00077E48" w:rsidP="00077E48">
      <w:pPr>
        <w:numPr>
          <w:ilvl w:val="12"/>
          <w:numId w:val="0"/>
        </w:numPr>
        <w:tabs>
          <w:tab w:val="left" w:pos="-2268"/>
        </w:tabs>
        <w:suppressAutoHyphens/>
        <w:rPr>
          <w:rFonts w:cs="Arial"/>
          <w:spacing w:val="-3"/>
        </w:rPr>
      </w:pPr>
    </w:p>
    <w:p w14:paraId="2FA59639" w14:textId="3374A6FC" w:rsidR="009B46BE" w:rsidRPr="004068F6" w:rsidRDefault="009B46BE" w:rsidP="009B46BE">
      <w:pPr>
        <w:numPr>
          <w:ilvl w:val="12"/>
          <w:numId w:val="0"/>
        </w:numPr>
        <w:tabs>
          <w:tab w:val="left" w:pos="-2268"/>
        </w:tabs>
        <w:suppressAutoHyphens/>
        <w:rPr>
          <w:rFonts w:cs="Arial"/>
          <w:spacing w:val="-3"/>
        </w:rPr>
      </w:pPr>
      <w:r w:rsidRPr="004068F6">
        <w:rPr>
          <w:rFonts w:cs="Arial"/>
          <w:spacing w:val="-3"/>
        </w:rPr>
        <w:t xml:space="preserve">Los modelos empleados para el análisis de visibilidad en los dos escenarios deben contemplar las condiciones físicas y bióticas del área, incluyendo como mínimo el relieve </w:t>
      </w:r>
      <w:r w:rsidR="00170A3B" w:rsidRPr="004068F6">
        <w:rPr>
          <w:rFonts w:cs="Arial"/>
          <w:spacing w:val="-3"/>
        </w:rPr>
        <w:t xml:space="preserve">(p. ej. a partir de modelos de digitales de terreno) </w:t>
      </w:r>
      <w:r w:rsidRPr="004068F6">
        <w:rPr>
          <w:rFonts w:cs="Arial"/>
          <w:spacing w:val="-3"/>
        </w:rPr>
        <w:t>y la cobertura de la tierra.</w:t>
      </w:r>
    </w:p>
    <w:p w14:paraId="7E80DAE6" w14:textId="77777777" w:rsidR="009B46BE" w:rsidRPr="004068F6" w:rsidRDefault="009B46BE" w:rsidP="009B46BE">
      <w:pPr>
        <w:numPr>
          <w:ilvl w:val="12"/>
          <w:numId w:val="0"/>
        </w:numPr>
        <w:tabs>
          <w:tab w:val="left" w:pos="-2268"/>
        </w:tabs>
        <w:suppressAutoHyphens/>
        <w:rPr>
          <w:rFonts w:cs="Arial"/>
          <w:spacing w:val="-3"/>
        </w:rPr>
      </w:pPr>
    </w:p>
    <w:p w14:paraId="5F147A52" w14:textId="3D7A398C" w:rsidR="009B46BE" w:rsidRPr="004068F6" w:rsidRDefault="009B46BE" w:rsidP="00077E48">
      <w:pPr>
        <w:numPr>
          <w:ilvl w:val="12"/>
          <w:numId w:val="0"/>
        </w:numPr>
        <w:tabs>
          <w:tab w:val="left" w:pos="-2268"/>
        </w:tabs>
        <w:suppressAutoHyphens/>
        <w:rPr>
          <w:rFonts w:cs="Arial"/>
          <w:spacing w:val="-3"/>
        </w:rPr>
      </w:pPr>
      <w:r w:rsidRPr="004068F6">
        <w:rPr>
          <w:rFonts w:cs="Arial"/>
          <w:spacing w:val="-3"/>
        </w:rPr>
        <w:t>Los resultados de las model</w:t>
      </w:r>
      <w:r w:rsidR="003169E2">
        <w:rPr>
          <w:rFonts w:cs="Arial"/>
          <w:spacing w:val="-3"/>
        </w:rPr>
        <w:t>iz</w:t>
      </w:r>
      <w:r w:rsidRPr="004068F6">
        <w:rPr>
          <w:rFonts w:cs="Arial"/>
          <w:spacing w:val="-3"/>
        </w:rPr>
        <w:t>aciones deben integrarse en un análisis de intervisibilidad que identifique las áreas donde una determinada acción del proyecto, obra o actividad es visible desde los puntos de observación.</w:t>
      </w:r>
    </w:p>
    <w:p w14:paraId="3F205961" w14:textId="77777777" w:rsidR="009B46BE" w:rsidRPr="004068F6" w:rsidRDefault="009B46BE" w:rsidP="00077E48">
      <w:pPr>
        <w:numPr>
          <w:ilvl w:val="12"/>
          <w:numId w:val="0"/>
        </w:numPr>
        <w:tabs>
          <w:tab w:val="left" w:pos="-2268"/>
        </w:tabs>
        <w:suppressAutoHyphens/>
        <w:rPr>
          <w:rFonts w:cs="Arial"/>
          <w:spacing w:val="-3"/>
        </w:rPr>
      </w:pPr>
    </w:p>
    <w:p w14:paraId="382F1DAF" w14:textId="1B079254" w:rsidR="00135C66" w:rsidRPr="004068F6" w:rsidRDefault="00077E48" w:rsidP="001C3F10">
      <w:pPr>
        <w:rPr>
          <w:rFonts w:cs="Arial"/>
        </w:rPr>
      </w:pPr>
      <w:r w:rsidRPr="004068F6">
        <w:rPr>
          <w:rFonts w:cs="Arial"/>
          <w:spacing w:val="-3"/>
        </w:rPr>
        <w:t xml:space="preserve">La modelización de todos los posibles puntos de observación desde donde una determinada acción del proyecto, obra o actividad es visible, constituye el principal insumo para la delimitación del área de influencia para el paisaje, el cual debe ser </w:t>
      </w:r>
      <w:r w:rsidR="000F6A29">
        <w:rPr>
          <w:rFonts w:cs="Arial"/>
          <w:spacing w:val="-3"/>
        </w:rPr>
        <w:t>refinado</w:t>
      </w:r>
      <w:r w:rsidR="000F6A29" w:rsidRPr="004068F6">
        <w:rPr>
          <w:rFonts w:cs="Arial"/>
          <w:spacing w:val="-3"/>
        </w:rPr>
        <w:t xml:space="preserve"> </w:t>
      </w:r>
      <w:r w:rsidRPr="004068F6">
        <w:rPr>
          <w:rFonts w:cs="Arial"/>
          <w:spacing w:val="-3"/>
        </w:rPr>
        <w:t xml:space="preserve">a partir de los resultados de la evaluación ambiental relacionados con el grado de significancia de los impactos sobre el paisaje fisiográfico y geomorfológico, las coberturas de la tierra, la calidad y fragilidad del paisaje, el atractivo escénico del paisaje y la percepción social del </w:t>
      </w:r>
      <w:r w:rsidRPr="00DD16BB">
        <w:rPr>
          <w:rFonts w:cs="Arial"/>
          <w:spacing w:val="-3"/>
        </w:rPr>
        <w:t>paisaje</w:t>
      </w:r>
      <w:r w:rsidR="00EF7AB7">
        <w:rPr>
          <w:rFonts w:cs="Arial"/>
          <w:spacing w:val="-3"/>
        </w:rPr>
        <w:t xml:space="preserve"> de los grupos de interés</w:t>
      </w:r>
      <w:r w:rsidR="001C3F10" w:rsidRPr="00DD16BB">
        <w:rPr>
          <w:rFonts w:cs="Arial"/>
          <w:spacing w:val="-3"/>
        </w:rPr>
        <w:t xml:space="preserve"> </w:t>
      </w:r>
      <w:bookmarkStart w:id="2567" w:name="_Toc43485680"/>
      <w:bookmarkStart w:id="2568" w:name="_Toc43485681"/>
      <w:bookmarkEnd w:id="2567"/>
      <w:bookmarkEnd w:id="2568"/>
      <w:r w:rsidR="001C3F10" w:rsidRPr="00DD16BB">
        <w:rPr>
          <w:rFonts w:cs="Arial"/>
          <w:spacing w:val="-3"/>
        </w:rPr>
        <w:t>(</w:t>
      </w:r>
      <w:r w:rsidR="001C3F10" w:rsidRPr="00127BD4">
        <w:rPr>
          <w:rFonts w:cs="Arial"/>
        </w:rPr>
        <w:t xml:space="preserve">que </w:t>
      </w:r>
      <w:r w:rsidR="00BA660E">
        <w:rPr>
          <w:rFonts w:cs="Arial"/>
        </w:rPr>
        <w:t>depende</w:t>
      </w:r>
      <w:r w:rsidR="001C3F10" w:rsidRPr="00127BD4">
        <w:rPr>
          <w:rFonts w:cs="Arial"/>
        </w:rPr>
        <w:t>, entre otros</w:t>
      </w:r>
      <w:r w:rsidR="00AE31C0" w:rsidRPr="00127BD4">
        <w:rPr>
          <w:rFonts w:cs="Arial"/>
        </w:rPr>
        <w:t>,</w:t>
      </w:r>
      <w:r w:rsidR="001C3F10" w:rsidRPr="00127BD4">
        <w:rPr>
          <w:rFonts w:cs="Arial"/>
        </w:rPr>
        <w:t xml:space="preserve"> </w:t>
      </w:r>
      <w:r w:rsidR="000C32FF">
        <w:rPr>
          <w:rFonts w:cs="Arial"/>
        </w:rPr>
        <w:t xml:space="preserve">de los </w:t>
      </w:r>
      <w:r w:rsidR="000C32FF" w:rsidRPr="000C32FF">
        <w:rPr>
          <w:rFonts w:cs="Arial"/>
        </w:rPr>
        <w:t xml:space="preserve">valores simbólicos, históricos e identitarios </w:t>
      </w:r>
      <w:r w:rsidR="00135C66" w:rsidRPr="00DD16BB">
        <w:rPr>
          <w:rFonts w:cs="Arial"/>
        </w:rPr>
        <w:t>del territorio</w:t>
      </w:r>
      <w:r w:rsidR="001C3F10" w:rsidRPr="00127BD4">
        <w:rPr>
          <w:rFonts w:cs="Arial"/>
        </w:rPr>
        <w:t>)</w:t>
      </w:r>
      <w:r w:rsidR="00135C66" w:rsidRPr="00DD16BB">
        <w:rPr>
          <w:rFonts w:cs="Arial"/>
        </w:rPr>
        <w:t>.</w:t>
      </w:r>
    </w:p>
    <w:p w14:paraId="41023652" w14:textId="77777777" w:rsidR="00C75DF7" w:rsidRPr="004068F6" w:rsidRDefault="00C75DF7">
      <w:pPr>
        <w:rPr>
          <w:rFonts w:cs="Arial"/>
        </w:rPr>
      </w:pPr>
    </w:p>
    <w:p w14:paraId="3E099C5D" w14:textId="77777777" w:rsidR="00C70AAE" w:rsidRPr="004068F6" w:rsidRDefault="00C70AAE">
      <w:pPr>
        <w:rPr>
          <w:rFonts w:cs="Arial"/>
        </w:rPr>
      </w:pPr>
    </w:p>
    <w:p w14:paraId="7033DA8F" w14:textId="3025707C" w:rsidR="00D760E3" w:rsidRPr="004068F6" w:rsidRDefault="0013627D" w:rsidP="00C86DA5">
      <w:pPr>
        <w:pStyle w:val="Ttulo1"/>
        <w:numPr>
          <w:ilvl w:val="0"/>
          <w:numId w:val="7"/>
        </w:numPr>
        <w:rPr>
          <w:lang w:val="es-CO"/>
        </w:rPr>
      </w:pPr>
      <w:bookmarkStart w:id="2569" w:name="_Toc393967324"/>
      <w:bookmarkStart w:id="2570" w:name="_Toc405366840"/>
      <w:bookmarkStart w:id="2571" w:name="_Toc405372387"/>
      <w:bookmarkStart w:id="2572" w:name="_Toc412803190"/>
      <w:bookmarkStart w:id="2573" w:name="_Toc414285587"/>
      <w:bookmarkStart w:id="2574" w:name="_Toc437936030"/>
      <w:bookmarkStart w:id="2575" w:name="_Ref75276648"/>
      <w:bookmarkStart w:id="2576" w:name="_Toc230879640"/>
      <w:r w:rsidRPr="004068F6">
        <w:rPr>
          <w:lang w:val="es-CO"/>
        </w:rPr>
        <w:t xml:space="preserve">LINEAMIENTOS DE </w:t>
      </w:r>
      <w:r w:rsidR="00D760E3" w:rsidRPr="004068F6">
        <w:rPr>
          <w:lang w:val="es-CO"/>
        </w:rPr>
        <w:t xml:space="preserve">PARTICIPACIÓN </w:t>
      </w:r>
      <w:r w:rsidRPr="004068F6">
        <w:rPr>
          <w:lang w:val="es-CO"/>
        </w:rPr>
        <w:t xml:space="preserve">CON </w:t>
      </w:r>
      <w:bookmarkEnd w:id="2569"/>
      <w:bookmarkEnd w:id="2570"/>
      <w:bookmarkEnd w:id="2571"/>
      <w:r w:rsidR="00837398" w:rsidRPr="004068F6">
        <w:rPr>
          <w:lang w:val="es-CO"/>
        </w:rPr>
        <w:t>LOS GRUPOS DE INTERÉS</w:t>
      </w:r>
      <w:bookmarkEnd w:id="2572"/>
      <w:bookmarkEnd w:id="2573"/>
      <w:bookmarkEnd w:id="2574"/>
      <w:bookmarkEnd w:id="2575"/>
      <w:bookmarkEnd w:id="2576"/>
    </w:p>
    <w:p w14:paraId="10548F39" w14:textId="3B7A7133" w:rsidR="00D760E3" w:rsidRPr="004068F6" w:rsidRDefault="00D760E3">
      <w:pPr>
        <w:numPr>
          <w:ilvl w:val="12"/>
          <w:numId w:val="0"/>
        </w:numPr>
        <w:tabs>
          <w:tab w:val="left" w:pos="-2268"/>
        </w:tabs>
        <w:suppressAutoHyphens/>
        <w:rPr>
          <w:spacing w:val="-3"/>
        </w:rPr>
      </w:pPr>
    </w:p>
    <w:p w14:paraId="6814E08E" w14:textId="77777777" w:rsidR="00CB70CF" w:rsidRPr="004068F6" w:rsidRDefault="00CB70CF" w:rsidP="00CB70CF">
      <w:pPr>
        <w:numPr>
          <w:ilvl w:val="12"/>
          <w:numId w:val="0"/>
        </w:numPr>
        <w:tabs>
          <w:tab w:val="left" w:pos="-2268"/>
        </w:tabs>
        <w:suppressAutoHyphens/>
      </w:pPr>
      <w:r w:rsidRPr="004068F6">
        <w:t xml:space="preserve">Los lineamientos de participación que se establecen en este apartado desarrollan las directrices definidas en la Constitución Política, en los acuerdos internacionales </w:t>
      </w:r>
      <w:r>
        <w:t xml:space="preserve">ratificados por </w:t>
      </w:r>
      <w:r w:rsidRPr="004068F6">
        <w:t>Colombia y en la normativa vigente</w:t>
      </w:r>
      <w:r>
        <w:t xml:space="preserve"> </w:t>
      </w:r>
      <w:r w:rsidRPr="0028722A">
        <w:t>en materia de derechos humanos, acceso a la información, participación ambiental y enfoque diferencial</w:t>
      </w:r>
      <w:r w:rsidRPr="004068F6">
        <w:t xml:space="preserve">. Fundamentalmente, los acuerdos internacionales y normas que se toman en consideración son </w:t>
      </w:r>
      <w:r w:rsidRPr="004068F6">
        <w:rPr>
          <w:rFonts w:cs="Arial"/>
        </w:rPr>
        <w:t>la Convención Americana sobre Derechos Humanos</w:t>
      </w:r>
      <w:r w:rsidRPr="004068F6">
        <w:rPr>
          <w:rStyle w:val="Refdenotaalpie"/>
          <w:lang w:val="es-CO"/>
        </w:rPr>
        <w:footnoteReference w:id="105"/>
      </w:r>
      <w:r w:rsidRPr="004068F6">
        <w:rPr>
          <w:rFonts w:cs="Arial"/>
        </w:rPr>
        <w:t xml:space="preserve">, </w:t>
      </w:r>
      <w:r w:rsidRPr="004068F6">
        <w:t>la Carta mundial de la naturaleza</w:t>
      </w:r>
      <w:r w:rsidRPr="004068F6">
        <w:rPr>
          <w:rStyle w:val="Refdenotaalpie"/>
          <w:lang w:val="es-CO"/>
        </w:rPr>
        <w:footnoteReference w:id="106"/>
      </w:r>
      <w:r w:rsidRPr="004068F6">
        <w:t xml:space="preserve">, el </w:t>
      </w:r>
      <w:r w:rsidRPr="004068F6">
        <w:rPr>
          <w:rFonts w:cs="Arial"/>
        </w:rPr>
        <w:t>principio 10 de la Declaración de Río sobre el medio ambiente y el desarrollo de 1992</w:t>
      </w:r>
      <w:r w:rsidRPr="004068F6">
        <w:rPr>
          <w:rStyle w:val="Refdenotaalpie"/>
          <w:lang w:val="es-CO"/>
        </w:rPr>
        <w:footnoteReference w:id="107"/>
      </w:r>
      <w:r w:rsidRPr="004068F6">
        <w:rPr>
          <w:rFonts w:cs="Arial"/>
        </w:rPr>
        <w:t>, el Programa 21</w:t>
      </w:r>
      <w:r w:rsidRPr="004068F6">
        <w:rPr>
          <w:rStyle w:val="Refdenotaalpie"/>
          <w:lang w:val="es-CO"/>
        </w:rPr>
        <w:footnoteReference w:id="108"/>
      </w:r>
      <w:r w:rsidRPr="004068F6">
        <w:rPr>
          <w:rFonts w:cs="Arial"/>
        </w:rPr>
        <w:t xml:space="preserve">, </w:t>
      </w:r>
      <w:r w:rsidRPr="004068F6">
        <w:t xml:space="preserve">la </w:t>
      </w:r>
      <w:r w:rsidRPr="00D56BC7">
        <w:rPr>
          <w:rFonts w:cs="Arial"/>
        </w:rPr>
        <w:t xml:space="preserve">Convención sobre la </w:t>
      </w:r>
      <w:r w:rsidRPr="00D56BC7">
        <w:rPr>
          <w:rFonts w:cs="Arial"/>
        </w:rPr>
        <w:lastRenderedPageBreak/>
        <w:t xml:space="preserve">Eliminación de Todas las Formas de Discriminación contra la Mujer (CEDAW), la Convención sobre los Derechos del Niño, </w:t>
      </w:r>
      <w:r w:rsidRPr="004068F6">
        <w:rPr>
          <w:rFonts w:cs="Arial"/>
        </w:rPr>
        <w:t>el Convenio 169 de la OIT, la Declaración de las Naciones Unidas sobre Derechos de los Pueblos Indígenas</w:t>
      </w:r>
      <w:r>
        <w:rPr>
          <w:rFonts w:cs="Arial"/>
        </w:rPr>
        <w:t xml:space="preserve">, </w:t>
      </w:r>
      <w:r w:rsidRPr="004068F6">
        <w:t xml:space="preserve">la </w:t>
      </w:r>
      <w:r w:rsidRPr="004068F6">
        <w:rPr>
          <w:rFonts w:cs="Arial"/>
        </w:rPr>
        <w:t>Ley 99 de 1993</w:t>
      </w:r>
      <w:r w:rsidRPr="004068F6">
        <w:rPr>
          <w:vertAlign w:val="superscript"/>
        </w:rPr>
        <w:footnoteReference w:id="109"/>
      </w:r>
      <w:r w:rsidRPr="004068F6">
        <w:rPr>
          <w:rFonts w:cs="Arial"/>
        </w:rPr>
        <w:t>, la Ley 1437 de 2011</w:t>
      </w:r>
      <w:r w:rsidRPr="004068F6">
        <w:rPr>
          <w:rStyle w:val="Refdenotaalpie"/>
          <w:lang w:val="es-CO"/>
        </w:rPr>
        <w:footnoteReference w:id="110"/>
      </w:r>
      <w:r w:rsidRPr="004068F6">
        <w:rPr>
          <w:rFonts w:cs="Arial"/>
        </w:rPr>
        <w:t>, la Ley Estatutaria 1712 de 2014</w:t>
      </w:r>
      <w:r w:rsidRPr="004068F6">
        <w:rPr>
          <w:vertAlign w:val="superscript"/>
        </w:rPr>
        <w:footnoteReference w:id="111"/>
      </w:r>
      <w:r w:rsidRPr="004068F6">
        <w:rPr>
          <w:rFonts w:cs="Arial"/>
        </w:rPr>
        <w:t>, la Ley 1755 de 2015</w:t>
      </w:r>
      <w:r w:rsidRPr="004068F6">
        <w:rPr>
          <w:vertAlign w:val="superscript"/>
        </w:rPr>
        <w:footnoteReference w:id="112"/>
      </w:r>
      <w:r w:rsidRPr="004068F6">
        <w:rPr>
          <w:rFonts w:cs="Arial"/>
        </w:rPr>
        <w:t>, la Ley 2273 de 2022</w:t>
      </w:r>
      <w:r w:rsidRPr="004068F6">
        <w:rPr>
          <w:rFonts w:cs="Arial"/>
          <w:vertAlign w:val="superscript"/>
        </w:rPr>
        <w:footnoteReference w:id="113"/>
      </w:r>
      <w:r w:rsidRPr="004068F6">
        <w:rPr>
          <w:rFonts w:cs="Arial"/>
        </w:rPr>
        <w:t xml:space="preserve">, </w:t>
      </w:r>
      <w:r w:rsidRPr="000D5504">
        <w:rPr>
          <w:rFonts w:cs="Arial"/>
        </w:rPr>
        <w:t>el Decreto 1094 de 2024</w:t>
      </w:r>
      <w:r w:rsidRPr="000D5504">
        <w:rPr>
          <w:rFonts w:cs="Arial"/>
          <w:vertAlign w:val="superscript"/>
          <w:lang w:val="en-US"/>
        </w:rPr>
        <w:footnoteReference w:id="114"/>
      </w:r>
      <w:r w:rsidRPr="000D5504">
        <w:rPr>
          <w:rFonts w:cs="Arial"/>
        </w:rPr>
        <w:t xml:space="preserve"> </w:t>
      </w:r>
      <w:r>
        <w:rPr>
          <w:rFonts w:cs="Arial"/>
        </w:rPr>
        <w:t xml:space="preserve">y </w:t>
      </w:r>
      <w:r w:rsidRPr="004068F6">
        <w:rPr>
          <w:rFonts w:cs="Arial"/>
        </w:rPr>
        <w:t>el Decreto 1275</w:t>
      </w:r>
      <w:r w:rsidRPr="000D5504">
        <w:rPr>
          <w:rFonts w:cs="Arial"/>
          <w:vertAlign w:val="superscript"/>
          <w:lang w:val="en-US"/>
        </w:rPr>
        <w:footnoteReference w:id="115"/>
      </w:r>
      <w:r w:rsidRPr="004068F6">
        <w:rPr>
          <w:rFonts w:cs="Arial"/>
        </w:rPr>
        <w:t xml:space="preserve"> de 2024, o aquellas que las modifiquen o sustituyan.</w:t>
      </w:r>
    </w:p>
    <w:p w14:paraId="03F78C38" w14:textId="77777777" w:rsidR="00CB70CF" w:rsidRPr="004068F6" w:rsidRDefault="00CB70CF" w:rsidP="00CB70CF">
      <w:pPr>
        <w:numPr>
          <w:ilvl w:val="12"/>
          <w:numId w:val="0"/>
        </w:numPr>
        <w:tabs>
          <w:tab w:val="left" w:pos="-2268"/>
        </w:tabs>
        <w:suppressAutoHyphens/>
        <w:rPr>
          <w:rFonts w:cs="Arial"/>
        </w:rPr>
      </w:pPr>
    </w:p>
    <w:p w14:paraId="4ACAF1A5" w14:textId="77777777" w:rsidR="00CB70CF" w:rsidRDefault="00CB70CF" w:rsidP="00CB70CF">
      <w:pPr>
        <w:numPr>
          <w:ilvl w:val="12"/>
          <w:numId w:val="0"/>
        </w:numPr>
        <w:tabs>
          <w:tab w:val="left" w:pos="-2268"/>
        </w:tabs>
        <w:suppressAutoHyphens/>
        <w:rPr>
          <w:rFonts w:cs="Arial"/>
        </w:rPr>
      </w:pPr>
      <w:r w:rsidRPr="000D5504">
        <w:rPr>
          <w:rFonts w:cs="Arial"/>
        </w:rPr>
        <w:t xml:space="preserve">Este marco </w:t>
      </w:r>
      <w:r w:rsidRPr="00A42F65">
        <w:rPr>
          <w:rFonts w:cs="Arial"/>
        </w:rPr>
        <w:t>determina las</w:t>
      </w:r>
      <w:r w:rsidRPr="000D5504">
        <w:rPr>
          <w:rFonts w:cs="Arial"/>
        </w:rPr>
        <w:t xml:space="preserve"> disposiciones constitucionales, legales y jurisprudenciales que reconocen la participación como derecho fundamental y garantizan la intervención de</w:t>
      </w:r>
      <w:r w:rsidRPr="00A42F65">
        <w:rPr>
          <w:rFonts w:cs="Arial"/>
        </w:rPr>
        <w:t xml:space="preserve"> los </w:t>
      </w:r>
      <w:r w:rsidRPr="000D5504">
        <w:rPr>
          <w:rFonts w:cs="Arial"/>
        </w:rPr>
        <w:t>grupos de interés en las decisiones sobre el ambiente, el territorio y sus medios de vida</w:t>
      </w:r>
      <w:r w:rsidRPr="00A42F65">
        <w:rPr>
          <w:rFonts w:cs="Arial"/>
        </w:rPr>
        <w:t xml:space="preserve">, atendiendo </w:t>
      </w:r>
      <w:r w:rsidRPr="000D5504">
        <w:rPr>
          <w:rFonts w:cs="Arial"/>
        </w:rPr>
        <w:t>los principios de igualdad material, no discriminación, diversidad étnica y cultural, equidad de género, interculturalidad, transparencia, buena fe y debida diligencia en derechos humanos</w:t>
      </w:r>
      <w:r>
        <w:rPr>
          <w:rFonts w:cs="Arial"/>
        </w:rPr>
        <w:t>.</w:t>
      </w:r>
    </w:p>
    <w:p w14:paraId="66A534B6" w14:textId="77777777" w:rsidR="00CB70CF" w:rsidRDefault="00CB70CF" w:rsidP="00CB70CF">
      <w:pPr>
        <w:numPr>
          <w:ilvl w:val="12"/>
          <w:numId w:val="0"/>
        </w:numPr>
        <w:tabs>
          <w:tab w:val="left" w:pos="-2268"/>
        </w:tabs>
        <w:suppressAutoHyphens/>
        <w:rPr>
          <w:rFonts w:cs="Arial"/>
        </w:rPr>
      </w:pPr>
    </w:p>
    <w:p w14:paraId="57A3E4B3" w14:textId="00D0A27A" w:rsidR="00533295" w:rsidRPr="004068F6" w:rsidRDefault="00CB70CF" w:rsidP="00533295">
      <w:pPr>
        <w:numPr>
          <w:ilvl w:val="12"/>
          <w:numId w:val="0"/>
        </w:numPr>
        <w:tabs>
          <w:tab w:val="left" w:pos="-2268"/>
        </w:tabs>
        <w:suppressAutoHyphens/>
        <w:rPr>
          <w:spacing w:val="-3"/>
        </w:rPr>
      </w:pPr>
      <w:r>
        <w:rPr>
          <w:rFonts w:cs="Arial"/>
        </w:rPr>
        <w:lastRenderedPageBreak/>
        <w:t>Así, e</w:t>
      </w:r>
      <w:r w:rsidRPr="004068F6">
        <w:rPr>
          <w:rFonts w:cs="Arial"/>
        </w:rPr>
        <w:t xml:space="preserve">l proceso de participación pública para la elaboración de estudios ambientales desarrolla múltiples </w:t>
      </w:r>
      <w:r w:rsidRPr="004068F6">
        <w:t>disposiciones de la Constitución Política de Colombia</w:t>
      </w:r>
      <w:r w:rsidRPr="004068F6">
        <w:rPr>
          <w:rFonts w:cs="Arial"/>
        </w:rPr>
        <w:t xml:space="preserve">, </w:t>
      </w:r>
      <w:r w:rsidRPr="00E8426E">
        <w:rPr>
          <w:rFonts w:cs="Arial"/>
        </w:rPr>
        <w:t>entre ellas que la Ley garantizará la participación de todos los colombianos en las decisiones que puedan afectar su derecho a gozar de un ambiente sano</w:t>
      </w:r>
      <w:r w:rsidRPr="004068F6">
        <w:rPr>
          <w:rFonts w:cs="Arial"/>
          <w:spacing w:val="-3"/>
        </w:rPr>
        <w:t>. Este</w:t>
      </w:r>
      <w:r w:rsidRPr="004068F6">
        <w:rPr>
          <w:spacing w:val="-3"/>
        </w:rPr>
        <w:t xml:space="preserve"> mandato </w:t>
      </w:r>
      <w:r w:rsidRPr="004068F6">
        <w:rPr>
          <w:rFonts w:cs="Arial"/>
          <w:spacing w:val="-3"/>
        </w:rPr>
        <w:t>ha sido interpretado por</w:t>
      </w:r>
      <w:r w:rsidRPr="004068F6">
        <w:rPr>
          <w:spacing w:val="-3"/>
        </w:rPr>
        <w:t xml:space="preserve"> la </w:t>
      </w:r>
      <w:r w:rsidRPr="004068F6">
        <w:rPr>
          <w:rFonts w:cs="Arial"/>
          <w:spacing w:val="-3"/>
        </w:rPr>
        <w:t>Corte Constitucional</w:t>
      </w:r>
      <w:r w:rsidRPr="00127BD4">
        <w:rPr>
          <w:rStyle w:val="Refdenotaalpie"/>
          <w:rFonts w:cs="Arial"/>
          <w:spacing w:val="-3"/>
          <w:lang w:val="es-CO"/>
        </w:rPr>
        <w:footnoteReference w:id="116"/>
      </w:r>
      <w:r w:rsidRPr="004068F6">
        <w:rPr>
          <w:rFonts w:cs="Arial"/>
          <w:spacing w:val="-3"/>
        </w:rPr>
        <w:t xml:space="preserve"> y reglamentado en la legislación nacional, haciendo posible que </w:t>
      </w:r>
      <w:r w:rsidRPr="004068F6">
        <w:rPr>
          <w:rFonts w:cs="Arial"/>
        </w:rPr>
        <w:t>el</w:t>
      </w:r>
      <w:r w:rsidRPr="004068F6">
        <w:t xml:space="preserve"> derecho de acceso a la participación </w:t>
      </w:r>
      <w:r w:rsidRPr="004068F6">
        <w:rPr>
          <w:rFonts w:cs="Arial"/>
        </w:rPr>
        <w:t>sea pleno y efectivo en todos los procesos</w:t>
      </w:r>
      <w:r w:rsidRPr="004068F6">
        <w:t xml:space="preserve"> de toma de decisión en cuestiones ambientales</w:t>
      </w:r>
      <w:r w:rsidRPr="004068F6">
        <w:rPr>
          <w:rFonts w:cs="Arial"/>
        </w:rPr>
        <w:t>.</w:t>
      </w:r>
      <w:r>
        <w:rPr>
          <w:spacing w:val="-3"/>
        </w:rPr>
        <w:t xml:space="preserve"> </w:t>
      </w:r>
      <w:r>
        <w:rPr>
          <w:rFonts w:cs="Arial"/>
        </w:rPr>
        <w:t>E</w:t>
      </w:r>
      <w:r w:rsidRPr="004068F6">
        <w:rPr>
          <w:rFonts w:cs="Arial"/>
        </w:rPr>
        <w:t>stas disposiciones permiten que el proceso de toma de decisiones del licenciamiento ambiental goce de legitimidad, se incremente la confianza entre las partes y se promueva la transparencia.</w:t>
      </w:r>
    </w:p>
    <w:p w14:paraId="45899C24" w14:textId="77777777" w:rsidR="00533295" w:rsidRDefault="00533295" w:rsidP="00533295">
      <w:pPr>
        <w:numPr>
          <w:ilvl w:val="12"/>
          <w:numId w:val="0"/>
        </w:numPr>
        <w:tabs>
          <w:tab w:val="left" w:pos="-2268"/>
        </w:tabs>
        <w:suppressAutoHyphens/>
      </w:pPr>
    </w:p>
    <w:p w14:paraId="5DA35A40" w14:textId="498DCFE5" w:rsidR="00746DB6" w:rsidRPr="00746DB6" w:rsidRDefault="00746DB6" w:rsidP="00746DB6">
      <w:pPr>
        <w:numPr>
          <w:ilvl w:val="12"/>
          <w:numId w:val="0"/>
        </w:numPr>
        <w:tabs>
          <w:tab w:val="left" w:pos="-2268"/>
        </w:tabs>
        <w:suppressAutoHyphens/>
      </w:pPr>
      <w:r>
        <w:t>L</w:t>
      </w:r>
      <w:r w:rsidRPr="00E64F04">
        <w:t>os lineamientos de participación con los grupos de interés incorporan un enfoque de derechos humanos que reconoce a las personas y comunidades como titulares de derechos y actores centrales en los procesos de toma de decisiones ambientales.</w:t>
      </w:r>
      <w:r w:rsidRPr="00746DB6">
        <w:t xml:space="preserve"> </w:t>
      </w:r>
      <w:r w:rsidRPr="00E64F04">
        <w:t xml:space="preserve">Este enfoque </w:t>
      </w:r>
      <w:r w:rsidRPr="00746DB6">
        <w:t xml:space="preserve">se fundamenta en la interdependencia entre los derechos humanos y el derecho a un ambiente sano, </w:t>
      </w:r>
      <w:r w:rsidR="00D52577">
        <w:t>de modo que su énfasis está en los impactos ambientales de los proyectos</w:t>
      </w:r>
      <w:r w:rsidR="00931432">
        <w:t xml:space="preserve">, </w:t>
      </w:r>
      <w:r w:rsidR="00ED02AD">
        <w:t xml:space="preserve">lo que </w:t>
      </w:r>
      <w:r w:rsidR="00931432">
        <w:t>acent</w:t>
      </w:r>
      <w:r w:rsidR="00ED02AD">
        <w:t xml:space="preserve">úa aún más </w:t>
      </w:r>
      <w:r w:rsidR="009E58D2">
        <w:t xml:space="preserve">la importancia de una </w:t>
      </w:r>
      <w:r w:rsidRPr="00746DB6">
        <w:t xml:space="preserve">adecuada </w:t>
      </w:r>
      <w:r w:rsidR="009E58D2">
        <w:t xml:space="preserve">determinación </w:t>
      </w:r>
      <w:r w:rsidRPr="00746DB6">
        <w:t xml:space="preserve">y valoración de </w:t>
      </w:r>
      <w:r w:rsidR="00991D88">
        <w:t>éstos</w:t>
      </w:r>
      <w:r w:rsidRPr="00746DB6">
        <w:t>.</w:t>
      </w:r>
    </w:p>
    <w:p w14:paraId="5ECA379E" w14:textId="77777777" w:rsidR="00746DB6" w:rsidRPr="00746DB6" w:rsidRDefault="00746DB6" w:rsidP="00746DB6">
      <w:pPr>
        <w:numPr>
          <w:ilvl w:val="12"/>
          <w:numId w:val="0"/>
        </w:numPr>
        <w:tabs>
          <w:tab w:val="left" w:pos="-2268"/>
        </w:tabs>
        <w:suppressAutoHyphens/>
      </w:pPr>
    </w:p>
    <w:p w14:paraId="0EC49798" w14:textId="03A144BB" w:rsidR="00746DB6" w:rsidRPr="00746DB6" w:rsidRDefault="0020459F" w:rsidP="00746DB6">
      <w:pPr>
        <w:numPr>
          <w:ilvl w:val="12"/>
          <w:numId w:val="0"/>
        </w:numPr>
        <w:tabs>
          <w:tab w:val="left" w:pos="-2268"/>
        </w:tabs>
        <w:suppressAutoHyphens/>
      </w:pPr>
      <w:r>
        <w:t>L</w:t>
      </w:r>
      <w:r w:rsidR="00746DB6" w:rsidRPr="00746DB6">
        <w:t xml:space="preserve">a participación </w:t>
      </w:r>
      <w:r>
        <w:t xml:space="preserve">es </w:t>
      </w:r>
      <w:r w:rsidR="00746DB6" w:rsidRPr="00746DB6">
        <w:t xml:space="preserve">transversal </w:t>
      </w:r>
      <w:r w:rsidR="00C555F8">
        <w:t>a</w:t>
      </w:r>
      <w:r>
        <w:t xml:space="preserve">l </w:t>
      </w:r>
      <w:r w:rsidRPr="00746DB6">
        <w:t xml:space="preserve">proceso </w:t>
      </w:r>
      <w:r>
        <w:t xml:space="preserve">del licenciamiento ambiental </w:t>
      </w:r>
      <w:r w:rsidR="00746DB6" w:rsidRPr="00746DB6">
        <w:t>y se orienta a</w:t>
      </w:r>
      <w:r w:rsidR="00746DB6" w:rsidRPr="00E64F04">
        <w:t xml:space="preserve"> garantizar, sin discriminación, el acceso efectivo a la información, la participación </w:t>
      </w:r>
      <w:r w:rsidR="00746DB6" w:rsidRPr="00746DB6">
        <w:t>incidente</w:t>
      </w:r>
      <w:r w:rsidR="00746DB6" w:rsidRPr="00E64F04">
        <w:t xml:space="preserve"> y el acceso a la justicia, con especial atención a</w:t>
      </w:r>
      <w:r w:rsidR="00746DB6" w:rsidRPr="00746DB6">
        <w:t xml:space="preserve"> sujetos de especial protección constitucional. De esta manera, la participación no se limita a un requisito procedimental, sino que se constituye en un mecanismo para la garantía de derechos y la prevención de conflictos socioambientales. </w:t>
      </w:r>
    </w:p>
    <w:p w14:paraId="26F86AFA" w14:textId="77777777" w:rsidR="00746DB6" w:rsidRPr="00746DB6" w:rsidRDefault="00746DB6" w:rsidP="00746DB6">
      <w:pPr>
        <w:numPr>
          <w:ilvl w:val="12"/>
          <w:numId w:val="0"/>
        </w:numPr>
        <w:tabs>
          <w:tab w:val="left" w:pos="-2268"/>
        </w:tabs>
        <w:suppressAutoHyphens/>
      </w:pPr>
    </w:p>
    <w:p w14:paraId="0B53A9EE" w14:textId="2210BC96" w:rsidR="00AE126F" w:rsidRDefault="00E511E1" w:rsidP="00AE126F">
      <w:pPr>
        <w:numPr>
          <w:ilvl w:val="12"/>
          <w:numId w:val="0"/>
        </w:numPr>
        <w:tabs>
          <w:tab w:val="left" w:pos="-2268"/>
        </w:tabs>
        <w:suppressAutoHyphens/>
        <w:rPr>
          <w:lang w:val="es-ES_tradnl"/>
        </w:rPr>
      </w:pPr>
      <w:r>
        <w:t>En síntesis</w:t>
      </w:r>
      <w:r w:rsidR="00746DB6" w:rsidRPr="00746DB6">
        <w:t xml:space="preserve">, el proceso de participación </w:t>
      </w:r>
      <w:r>
        <w:t xml:space="preserve">pública </w:t>
      </w:r>
      <w:r w:rsidR="00D14E13">
        <w:t xml:space="preserve">aplica </w:t>
      </w:r>
      <w:r w:rsidR="00D14E13" w:rsidRPr="00D14E13">
        <w:t xml:space="preserve">enfoques diferenciales, territoriales, étnicos y de género </w:t>
      </w:r>
      <w:r w:rsidR="00D14E13">
        <w:t>para</w:t>
      </w:r>
      <w:r w:rsidR="004F3FBE">
        <w:t>:</w:t>
      </w:r>
      <w:r w:rsidR="00D14E13">
        <w:t xml:space="preserve"> </w:t>
      </w:r>
      <w:r w:rsidR="004F3FBE">
        <w:t xml:space="preserve">i) </w:t>
      </w:r>
      <w:r w:rsidR="00D14E13">
        <w:t>planear el proceso de participación</w:t>
      </w:r>
      <w:r w:rsidR="0061664B">
        <w:t>,</w:t>
      </w:r>
      <w:r w:rsidR="00D14E13">
        <w:t xml:space="preserve"> definiendo </w:t>
      </w:r>
      <w:r w:rsidR="00E1462F">
        <w:rPr>
          <w:lang w:val="es-ES_tradnl"/>
        </w:rPr>
        <w:t>métodos</w:t>
      </w:r>
      <w:r w:rsidR="009144CC">
        <w:rPr>
          <w:lang w:val="es-ES_tradnl"/>
        </w:rPr>
        <w:t xml:space="preserve"> y </w:t>
      </w:r>
      <w:r w:rsidR="00484237" w:rsidRPr="00746DB6">
        <w:rPr>
          <w:lang w:val="es-ES_tradnl"/>
        </w:rPr>
        <w:t xml:space="preserve">mecanismos </w:t>
      </w:r>
      <w:r w:rsidR="005508D2">
        <w:rPr>
          <w:lang w:val="es-ES_tradnl"/>
        </w:rPr>
        <w:t xml:space="preserve">que se adecúen a </w:t>
      </w:r>
      <w:r w:rsidR="00746DB6" w:rsidRPr="00746DB6">
        <w:rPr>
          <w:lang w:val="es-ES_tradnl"/>
        </w:rPr>
        <w:t>las características territorial</w:t>
      </w:r>
      <w:r w:rsidR="0061664B">
        <w:rPr>
          <w:lang w:val="es-ES_tradnl"/>
        </w:rPr>
        <w:t>es</w:t>
      </w:r>
      <w:r w:rsidR="00746DB6" w:rsidRPr="00746DB6">
        <w:rPr>
          <w:lang w:val="es-ES_tradnl"/>
        </w:rPr>
        <w:t>, social</w:t>
      </w:r>
      <w:r w:rsidR="0061664B">
        <w:rPr>
          <w:lang w:val="es-ES_tradnl"/>
        </w:rPr>
        <w:t>es</w:t>
      </w:r>
      <w:r w:rsidR="00746DB6" w:rsidRPr="00746DB6">
        <w:rPr>
          <w:lang w:val="es-ES_tradnl"/>
        </w:rPr>
        <w:t xml:space="preserve"> y de derechos humanos del área de influencia</w:t>
      </w:r>
      <w:r w:rsidR="0061664B">
        <w:rPr>
          <w:lang w:val="es-ES_tradnl"/>
        </w:rPr>
        <w:t>; ii)</w:t>
      </w:r>
      <w:r w:rsidR="006D76EC">
        <w:rPr>
          <w:lang w:val="es-ES_tradnl"/>
        </w:rPr>
        <w:t xml:space="preserve"> ejecutar el proceso de participación con el fin de informar </w:t>
      </w:r>
      <w:r w:rsidR="00CF5641">
        <w:rPr>
          <w:lang w:val="es-ES_tradnl"/>
        </w:rPr>
        <w:t xml:space="preserve">sobre el proyecto y de recopilar, </w:t>
      </w:r>
      <w:r w:rsidR="00271670" w:rsidRPr="00746DB6">
        <w:rPr>
          <w:lang w:val="es-ES_tradnl"/>
        </w:rPr>
        <w:t>documenta</w:t>
      </w:r>
      <w:r w:rsidR="00CF5641">
        <w:rPr>
          <w:lang w:val="es-ES_tradnl"/>
        </w:rPr>
        <w:t>r</w:t>
      </w:r>
      <w:r w:rsidR="00271670">
        <w:rPr>
          <w:lang w:val="es-ES_tradnl"/>
        </w:rPr>
        <w:t xml:space="preserve"> </w:t>
      </w:r>
      <w:r w:rsidR="00271670" w:rsidRPr="00746DB6">
        <w:rPr>
          <w:lang w:val="es-ES_tradnl"/>
        </w:rPr>
        <w:t>y sistematiza</w:t>
      </w:r>
      <w:r w:rsidR="00E208FA">
        <w:rPr>
          <w:lang w:val="es-ES_tradnl"/>
        </w:rPr>
        <w:t>r</w:t>
      </w:r>
      <w:r w:rsidR="00271670">
        <w:rPr>
          <w:lang w:val="es-ES_tradnl"/>
        </w:rPr>
        <w:t xml:space="preserve"> </w:t>
      </w:r>
      <w:r w:rsidR="00746DB6" w:rsidRPr="00746DB6">
        <w:rPr>
          <w:lang w:val="es-ES_tradnl"/>
        </w:rPr>
        <w:t>aportes</w:t>
      </w:r>
      <w:r w:rsidR="00CF5641">
        <w:rPr>
          <w:lang w:val="es-ES_tradnl"/>
        </w:rPr>
        <w:t xml:space="preserve"> de los grupos de interés </w:t>
      </w:r>
      <w:r w:rsidR="00625187">
        <w:rPr>
          <w:lang w:val="es-ES_tradnl"/>
        </w:rPr>
        <w:t>y</w:t>
      </w:r>
      <w:r w:rsidR="00E208FA">
        <w:rPr>
          <w:lang w:val="es-ES_tradnl"/>
        </w:rPr>
        <w:t>;</w:t>
      </w:r>
      <w:r w:rsidR="00625187">
        <w:rPr>
          <w:lang w:val="es-ES_tradnl"/>
        </w:rPr>
        <w:t xml:space="preserve"> </w:t>
      </w:r>
      <w:r w:rsidR="00E208FA">
        <w:rPr>
          <w:lang w:val="es-ES_tradnl"/>
        </w:rPr>
        <w:t xml:space="preserve">iii) </w:t>
      </w:r>
      <w:r w:rsidR="00625187">
        <w:rPr>
          <w:lang w:val="es-ES_tradnl"/>
        </w:rPr>
        <w:t>analiza</w:t>
      </w:r>
      <w:r w:rsidR="00E208FA">
        <w:rPr>
          <w:lang w:val="es-ES_tradnl"/>
        </w:rPr>
        <w:t>r</w:t>
      </w:r>
      <w:r w:rsidR="00625187">
        <w:rPr>
          <w:lang w:val="es-ES_tradnl"/>
        </w:rPr>
        <w:t xml:space="preserve"> los aportes, incorpora</w:t>
      </w:r>
      <w:r w:rsidR="00E208FA">
        <w:rPr>
          <w:lang w:val="es-ES_tradnl"/>
        </w:rPr>
        <w:t>r</w:t>
      </w:r>
      <w:r w:rsidR="00625187">
        <w:rPr>
          <w:lang w:val="es-ES_tradnl"/>
        </w:rPr>
        <w:t xml:space="preserve"> </w:t>
      </w:r>
      <w:r w:rsidR="008171F9">
        <w:rPr>
          <w:lang w:val="es-ES_tradnl"/>
        </w:rPr>
        <w:t xml:space="preserve">aquellos </w:t>
      </w:r>
      <w:r w:rsidR="00625187">
        <w:rPr>
          <w:lang w:val="es-ES_tradnl"/>
        </w:rPr>
        <w:t>consider</w:t>
      </w:r>
      <w:r w:rsidR="008171F9">
        <w:rPr>
          <w:lang w:val="es-ES_tradnl"/>
        </w:rPr>
        <w:t xml:space="preserve">ados como </w:t>
      </w:r>
      <w:r w:rsidR="00625187">
        <w:rPr>
          <w:lang w:val="es-ES_tradnl"/>
        </w:rPr>
        <w:t>pertinentes y comunica</w:t>
      </w:r>
      <w:r w:rsidR="00E208FA">
        <w:rPr>
          <w:lang w:val="es-ES_tradnl"/>
        </w:rPr>
        <w:t>r</w:t>
      </w:r>
      <w:r w:rsidR="00625187">
        <w:rPr>
          <w:lang w:val="es-ES_tradnl"/>
        </w:rPr>
        <w:t xml:space="preserve"> los resultados de forma </w:t>
      </w:r>
      <w:r w:rsidR="00F3263C">
        <w:rPr>
          <w:lang w:val="es-ES_tradnl"/>
        </w:rPr>
        <w:t xml:space="preserve">justificada, </w:t>
      </w:r>
      <w:r w:rsidR="00625187">
        <w:rPr>
          <w:lang w:val="es-ES_tradnl"/>
        </w:rPr>
        <w:t xml:space="preserve">transparente </w:t>
      </w:r>
      <w:r w:rsidR="00AE126F">
        <w:rPr>
          <w:lang w:val="es-ES_tradnl"/>
        </w:rPr>
        <w:t>y trazable a los grupos de interés</w:t>
      </w:r>
      <w:r w:rsidR="00267C8C">
        <w:rPr>
          <w:lang w:val="es-ES_tradnl"/>
        </w:rPr>
        <w:t>.</w:t>
      </w:r>
    </w:p>
    <w:p w14:paraId="23849C41" w14:textId="77777777" w:rsidR="00717796" w:rsidRPr="004068F6" w:rsidRDefault="00717796" w:rsidP="00533295">
      <w:pPr>
        <w:numPr>
          <w:ilvl w:val="12"/>
          <w:numId w:val="0"/>
        </w:numPr>
        <w:tabs>
          <w:tab w:val="left" w:pos="-2268"/>
        </w:tabs>
        <w:suppressAutoHyphens/>
      </w:pPr>
    </w:p>
    <w:p w14:paraId="1E966C8D" w14:textId="2A64376F" w:rsidR="00533295" w:rsidRPr="00127BD4" w:rsidRDefault="00533295" w:rsidP="00533295">
      <w:pPr>
        <w:pStyle w:val="Ttulo2"/>
        <w:rPr>
          <w:lang w:val="es-CO"/>
        </w:rPr>
      </w:pPr>
      <w:bookmarkStart w:id="2577" w:name="_Toc153811817"/>
      <w:bookmarkStart w:id="2578" w:name="_Toc153812030"/>
      <w:bookmarkStart w:id="2579" w:name="_Toc153812435"/>
      <w:bookmarkStart w:id="2580" w:name="_Toc158907145"/>
      <w:bookmarkStart w:id="2581" w:name="_Toc159826145"/>
      <w:bookmarkStart w:id="2582" w:name="_Toc159826579"/>
      <w:bookmarkStart w:id="2583" w:name="_Toc175326409"/>
      <w:bookmarkStart w:id="2584" w:name="_Toc153811818"/>
      <w:bookmarkStart w:id="2585" w:name="_Toc153812031"/>
      <w:bookmarkStart w:id="2586" w:name="_Toc153812436"/>
      <w:bookmarkStart w:id="2587" w:name="_Toc158907146"/>
      <w:bookmarkStart w:id="2588" w:name="_Toc159826146"/>
      <w:bookmarkStart w:id="2589" w:name="_Toc159826580"/>
      <w:bookmarkStart w:id="2590" w:name="_Toc175326410"/>
      <w:bookmarkStart w:id="2591" w:name="_Toc230879641"/>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r w:rsidRPr="004068F6">
        <w:rPr>
          <w:lang w:val="es-CO"/>
        </w:rPr>
        <w:t>CARACTERÍSTICAS Y ALCANCES DE LA PARTICIPACIÓN</w:t>
      </w:r>
      <w:bookmarkEnd w:id="2591"/>
    </w:p>
    <w:p w14:paraId="0BCF1619" w14:textId="77777777" w:rsidR="00533295" w:rsidRPr="004068F6" w:rsidRDefault="00533295" w:rsidP="00533295">
      <w:pPr>
        <w:overflowPunct/>
        <w:autoSpaceDE/>
        <w:autoSpaceDN/>
        <w:adjustRightInd/>
        <w:ind w:right="57"/>
        <w:textAlignment w:val="auto"/>
        <w:rPr>
          <w:rFonts w:cs="Arial"/>
        </w:rPr>
      </w:pPr>
    </w:p>
    <w:p w14:paraId="228F6B64" w14:textId="447E1ECA" w:rsidR="00533295" w:rsidRPr="004068F6" w:rsidRDefault="00533295" w:rsidP="00533295">
      <w:pPr>
        <w:overflowPunct/>
        <w:autoSpaceDE/>
        <w:autoSpaceDN/>
        <w:adjustRightInd/>
        <w:ind w:right="57"/>
        <w:textAlignment w:val="auto"/>
        <w:rPr>
          <w:rFonts w:cs="Arial"/>
        </w:rPr>
      </w:pPr>
      <w:r w:rsidRPr="004068F6">
        <w:rPr>
          <w:rFonts w:cs="Arial"/>
        </w:rPr>
        <w:t xml:space="preserve">La participación en el licenciamiento ambiental, incluido el proceso de elaboración de estudios ambientales, debe ser efectiva. Ello quiere decir que ésta debe ser abierta e inclusiva, debe abordarse </w:t>
      </w:r>
      <w:r w:rsidRPr="004068F6">
        <w:t xml:space="preserve">desde las primeras etapas del proceso de toma de decisión, debe ocuparse de informar tempranamente a la ciudadanía sobre la </w:t>
      </w:r>
      <w:r w:rsidRPr="004068F6">
        <w:lastRenderedPageBreak/>
        <w:t>posibilidad de participar en él y debe</w:t>
      </w:r>
      <w:r w:rsidR="00E44A1B" w:rsidRPr="004068F6">
        <w:t>n analizarse</w:t>
      </w:r>
      <w:r w:rsidRPr="004068F6">
        <w:t xml:space="preserve"> las </w:t>
      </w:r>
      <w:r w:rsidR="003531A9" w:rsidRPr="004068F6">
        <w:t xml:space="preserve">consideraciones, inquietudes, observaciones </w:t>
      </w:r>
      <w:r w:rsidRPr="004068F6">
        <w:t>y el conocimiento y saberes de</w:t>
      </w:r>
      <w:r w:rsidR="00FD7687" w:rsidRPr="004068F6">
        <w:t xml:space="preserve"> </w:t>
      </w:r>
      <w:r w:rsidRPr="004068F6">
        <w:t>l</w:t>
      </w:r>
      <w:r w:rsidR="00FD7687" w:rsidRPr="004068F6">
        <w:t>os</w:t>
      </w:r>
      <w:r w:rsidRPr="004068F6">
        <w:t xml:space="preserve"> </w:t>
      </w:r>
      <w:r w:rsidR="00FD7687" w:rsidRPr="004068F6">
        <w:t xml:space="preserve">grupos de interés </w:t>
      </w:r>
      <w:r w:rsidRPr="004068F6">
        <w:t>en las decisiones sobre los proyectos que generan impactos ambientales significativos</w:t>
      </w:r>
      <w:r w:rsidR="00D57665">
        <w:rPr>
          <w:rFonts w:cs="Arial"/>
        </w:rPr>
        <w:t>;</w:t>
      </w:r>
      <w:r w:rsidRPr="004068F6">
        <w:rPr>
          <w:rFonts w:cs="Arial"/>
        </w:rPr>
        <w:t xml:space="preserve"> es decir, debe brindar la posibilidad de que </w:t>
      </w:r>
      <w:r w:rsidR="00151015" w:rsidRPr="004068F6">
        <w:rPr>
          <w:rFonts w:cs="Arial"/>
        </w:rPr>
        <w:t xml:space="preserve">los grupos de interés </w:t>
      </w:r>
      <w:r w:rsidRPr="004068F6">
        <w:rPr>
          <w:rFonts w:cs="Arial"/>
        </w:rPr>
        <w:t>incida</w:t>
      </w:r>
      <w:r w:rsidR="00317D8C" w:rsidRPr="004068F6">
        <w:rPr>
          <w:rFonts w:cs="Arial"/>
        </w:rPr>
        <w:t>n</w:t>
      </w:r>
      <w:r w:rsidRPr="004068F6">
        <w:rPr>
          <w:rFonts w:cs="Arial"/>
        </w:rPr>
        <w:t xml:space="preserve"> en la</w:t>
      </w:r>
      <w:r w:rsidR="00B46E69" w:rsidRPr="004068F6">
        <w:rPr>
          <w:rFonts w:cs="Arial"/>
        </w:rPr>
        <w:t>s decisiones a través</w:t>
      </w:r>
      <w:r w:rsidR="000E3647" w:rsidRPr="004068F6">
        <w:rPr>
          <w:rFonts w:cs="Arial"/>
        </w:rPr>
        <w:t xml:space="preserve"> de la</w:t>
      </w:r>
      <w:r w:rsidR="00CB0B73" w:rsidRPr="004068F6">
        <w:rPr>
          <w:rFonts w:cs="Arial"/>
        </w:rPr>
        <w:t xml:space="preserve"> determinación de impactos del proyecto</w:t>
      </w:r>
      <w:r w:rsidR="00AB4184" w:rsidRPr="004068F6">
        <w:rPr>
          <w:rFonts w:cs="Arial"/>
        </w:rPr>
        <w:t>,</w:t>
      </w:r>
      <w:r w:rsidR="00CB0B73" w:rsidRPr="004068F6">
        <w:rPr>
          <w:rFonts w:cs="Arial"/>
        </w:rPr>
        <w:t xml:space="preserve"> la formulación del plan de manejo ambiental</w:t>
      </w:r>
      <w:r w:rsidR="00AB4184" w:rsidRPr="004068F6">
        <w:rPr>
          <w:rFonts w:cs="Arial"/>
        </w:rPr>
        <w:t>, entre otros</w:t>
      </w:r>
      <w:r w:rsidRPr="004068F6">
        <w:rPr>
          <w:rFonts w:cs="Arial"/>
        </w:rPr>
        <w:t>.</w:t>
      </w:r>
    </w:p>
    <w:p w14:paraId="7317988B" w14:textId="77777777" w:rsidR="00533295" w:rsidRPr="004068F6" w:rsidRDefault="00533295" w:rsidP="00533295">
      <w:pPr>
        <w:overflowPunct/>
        <w:autoSpaceDE/>
        <w:autoSpaceDN/>
        <w:adjustRightInd/>
        <w:ind w:right="57"/>
        <w:textAlignment w:val="auto"/>
        <w:rPr>
          <w:rFonts w:cs="Arial"/>
        </w:rPr>
      </w:pPr>
    </w:p>
    <w:p w14:paraId="6B43F5B1" w14:textId="5BAB8E44" w:rsidR="00533295" w:rsidRPr="004068F6" w:rsidRDefault="00533295" w:rsidP="00533295">
      <w:pPr>
        <w:overflowPunct/>
        <w:autoSpaceDE/>
        <w:autoSpaceDN/>
        <w:adjustRightInd/>
        <w:ind w:right="57"/>
        <w:textAlignment w:val="auto"/>
        <w:rPr>
          <w:rFonts w:cs="Arial"/>
        </w:rPr>
      </w:pPr>
      <w:r w:rsidRPr="004068F6">
        <w:rPr>
          <w:rFonts w:cs="Arial"/>
        </w:rPr>
        <w:t>La efectividad de la participación también depende de que se ejecute aplicando los principios de máxima publicidad y transparencia, sin discriminación, de manera clara, oportuna y equitativa y de que involucre activamente a</w:t>
      </w:r>
      <w:r w:rsidR="007113DF" w:rsidRPr="004068F6">
        <w:rPr>
          <w:rFonts w:cs="Arial"/>
        </w:rPr>
        <w:t xml:space="preserve"> </w:t>
      </w:r>
      <w:r w:rsidRPr="004068F6">
        <w:rPr>
          <w:rFonts w:cs="Arial"/>
        </w:rPr>
        <w:t>l</w:t>
      </w:r>
      <w:r w:rsidR="007113DF" w:rsidRPr="004068F6">
        <w:rPr>
          <w:rFonts w:cs="Arial"/>
        </w:rPr>
        <w:t>os grupos de interés</w:t>
      </w:r>
      <w:r w:rsidRPr="004068F6">
        <w:rPr>
          <w:rFonts w:cs="Arial"/>
        </w:rPr>
        <w:t xml:space="preserve"> mediante espacios de diálogo, deliberación y concertación</w:t>
      </w:r>
      <w:r w:rsidR="005D18C9" w:rsidRPr="004068F6">
        <w:rPr>
          <w:rFonts w:cs="Arial"/>
        </w:rPr>
        <w:t xml:space="preserve"> para garantizar que, especialmente, las personas o grupos que encuentran mayores dificultades para acceder a la información</w:t>
      </w:r>
      <w:r w:rsidR="005D18C9" w:rsidRPr="00127BD4">
        <w:rPr>
          <w:rStyle w:val="Refdenotaalpie"/>
          <w:rFonts w:cs="Arial"/>
          <w:lang w:val="es-CO"/>
        </w:rPr>
        <w:footnoteReference w:id="117"/>
      </w:r>
      <w:r w:rsidR="005D18C9" w:rsidRPr="004068F6">
        <w:rPr>
          <w:rFonts w:cs="Arial"/>
        </w:rPr>
        <w:t xml:space="preserve"> puedan ejercer su derecho a la participación</w:t>
      </w:r>
      <w:r w:rsidRPr="004068F6">
        <w:rPr>
          <w:rFonts w:cs="Arial"/>
        </w:rPr>
        <w:t>.</w:t>
      </w:r>
    </w:p>
    <w:p w14:paraId="29358867" w14:textId="77777777" w:rsidR="00533295" w:rsidRPr="004068F6" w:rsidRDefault="00533295" w:rsidP="00533295">
      <w:pPr>
        <w:numPr>
          <w:ilvl w:val="12"/>
          <w:numId w:val="0"/>
        </w:numPr>
        <w:tabs>
          <w:tab w:val="left" w:pos="-2268"/>
        </w:tabs>
        <w:suppressAutoHyphens/>
        <w:rPr>
          <w:rFonts w:cs="Arial"/>
        </w:rPr>
      </w:pPr>
    </w:p>
    <w:p w14:paraId="05BEB010" w14:textId="694A513D" w:rsidR="00533295" w:rsidRPr="004068F6" w:rsidRDefault="00533295" w:rsidP="00533295">
      <w:pPr>
        <w:numPr>
          <w:ilvl w:val="12"/>
          <w:numId w:val="0"/>
        </w:numPr>
        <w:tabs>
          <w:tab w:val="left" w:pos="-2268"/>
        </w:tabs>
        <w:suppressAutoHyphens/>
        <w:rPr>
          <w:rFonts w:cs="Arial"/>
        </w:rPr>
      </w:pPr>
      <w:r w:rsidRPr="004068F6">
        <w:rPr>
          <w:rFonts w:cs="Arial"/>
        </w:rPr>
        <w:t xml:space="preserve">Para </w:t>
      </w:r>
      <w:r w:rsidRPr="004068F6">
        <w:rPr>
          <w:spacing w:val="-3"/>
        </w:rPr>
        <w:t xml:space="preserve">satisfacer y garantizar el derecho de </w:t>
      </w:r>
      <w:r w:rsidRPr="004068F6">
        <w:rPr>
          <w:rFonts w:cs="Arial"/>
          <w:spacing w:val="-3"/>
        </w:rPr>
        <w:t>acceso a la participación de</w:t>
      </w:r>
      <w:r w:rsidR="00AC1555" w:rsidRPr="004068F6">
        <w:rPr>
          <w:rFonts w:cs="Arial"/>
          <w:spacing w:val="-3"/>
        </w:rPr>
        <w:t xml:space="preserve"> </w:t>
      </w:r>
      <w:r w:rsidRPr="004068F6">
        <w:rPr>
          <w:rFonts w:cs="Arial"/>
          <w:spacing w:val="-3"/>
        </w:rPr>
        <w:t>los grupos de interés</w:t>
      </w:r>
      <w:r w:rsidRPr="004068F6">
        <w:rPr>
          <w:spacing w:val="-3"/>
        </w:rPr>
        <w:t xml:space="preserve"> del área de influencia del medio socioeconómico</w:t>
      </w:r>
      <w:r w:rsidRPr="004068F6">
        <w:rPr>
          <w:rFonts w:cs="Arial"/>
          <w:spacing w:val="-3"/>
        </w:rPr>
        <w:t xml:space="preserve"> y </w:t>
      </w:r>
      <w:r w:rsidRPr="004068F6">
        <w:rPr>
          <w:rFonts w:cs="Arial"/>
        </w:rPr>
        <w:t xml:space="preserve">asegurar espacios amplios y suficientes de participación, </w:t>
      </w:r>
      <w:r w:rsidR="00DF10A4" w:rsidRPr="004068F6">
        <w:rPr>
          <w:rFonts w:cs="Arial"/>
        </w:rPr>
        <w:t xml:space="preserve">la convocatoria debe realizarse con antelación y los espacios deben </w:t>
      </w:r>
      <w:r w:rsidRPr="004068F6">
        <w:rPr>
          <w:rFonts w:cs="Arial"/>
        </w:rPr>
        <w:t>reali</w:t>
      </w:r>
      <w:r w:rsidR="00EB2D79" w:rsidRPr="004068F6">
        <w:rPr>
          <w:rFonts w:cs="Arial"/>
        </w:rPr>
        <w:t>zars</w:t>
      </w:r>
      <w:r w:rsidRPr="004068F6">
        <w:rPr>
          <w:rFonts w:cs="Arial"/>
        </w:rPr>
        <w:t xml:space="preserve">e mediante un diálogo que contemple aspectos de tipo </w:t>
      </w:r>
      <w:r w:rsidR="00183442" w:rsidRPr="004068F6">
        <w:rPr>
          <w:rFonts w:cs="Arial"/>
        </w:rPr>
        <w:t xml:space="preserve">técnico y enfoques diferenciales </w:t>
      </w:r>
      <w:r w:rsidRPr="004068F6">
        <w:rPr>
          <w:rFonts w:cs="Arial"/>
        </w:rPr>
        <w:t>que asegure</w:t>
      </w:r>
      <w:r w:rsidR="00C74E94" w:rsidRPr="004068F6">
        <w:rPr>
          <w:rFonts w:cs="Arial"/>
        </w:rPr>
        <w:t>n</w:t>
      </w:r>
      <w:r w:rsidRPr="004068F6">
        <w:rPr>
          <w:rFonts w:cs="Arial"/>
        </w:rPr>
        <w:t xml:space="preserve"> la participación de personas </w:t>
      </w:r>
      <w:r w:rsidR="002C5B64" w:rsidRPr="004068F6">
        <w:rPr>
          <w:rFonts w:cs="Arial"/>
        </w:rPr>
        <w:t>o grupos con mayores dificultades para acceder a la información</w:t>
      </w:r>
      <w:r w:rsidRPr="004068F6">
        <w:rPr>
          <w:rFonts w:cs="Arial"/>
        </w:rPr>
        <w:t xml:space="preserve">, sujetos de especial protección </w:t>
      </w:r>
      <w:r w:rsidR="002C5B64" w:rsidRPr="004068F6">
        <w:rPr>
          <w:rFonts w:cs="Arial"/>
        </w:rPr>
        <w:t xml:space="preserve">constitucional </w:t>
      </w:r>
      <w:r w:rsidRPr="004068F6">
        <w:rPr>
          <w:rFonts w:cs="Arial"/>
        </w:rPr>
        <w:t xml:space="preserve">y personas u organizaciones defensoras de derechos humanos en materia ambiental, </w:t>
      </w:r>
      <w:r w:rsidR="005F12C8" w:rsidRPr="004068F6">
        <w:rPr>
          <w:rFonts w:cs="Arial"/>
        </w:rPr>
        <w:t xml:space="preserve">así </w:t>
      </w:r>
      <w:r w:rsidRPr="004068F6">
        <w:rPr>
          <w:rFonts w:cs="Arial"/>
        </w:rPr>
        <w:t xml:space="preserve">como también las dimensiones </w:t>
      </w:r>
      <w:r w:rsidR="00512FD0" w:rsidRPr="004068F6">
        <w:rPr>
          <w:rFonts w:cs="Arial"/>
        </w:rPr>
        <w:t xml:space="preserve">sugeridas </w:t>
      </w:r>
      <w:r w:rsidR="000A2579" w:rsidRPr="004068F6">
        <w:rPr>
          <w:rFonts w:cs="Arial"/>
        </w:rPr>
        <w:t xml:space="preserve">a continuación, siguiendo a </w:t>
      </w:r>
      <w:r w:rsidRPr="004068F6">
        <w:rPr>
          <w:rFonts w:cs="Arial"/>
        </w:rPr>
        <w:t>Prada et al. (2014):</w:t>
      </w:r>
    </w:p>
    <w:p w14:paraId="7F7504B7" w14:textId="77777777" w:rsidR="00533295" w:rsidRPr="004068F6" w:rsidRDefault="00533295" w:rsidP="00533295">
      <w:pPr>
        <w:numPr>
          <w:ilvl w:val="12"/>
          <w:numId w:val="0"/>
        </w:numPr>
        <w:tabs>
          <w:tab w:val="left" w:pos="-2268"/>
          <w:tab w:val="left" w:pos="3315"/>
        </w:tabs>
        <w:suppressAutoHyphens/>
        <w:rPr>
          <w:rFonts w:cs="Arial"/>
        </w:rPr>
      </w:pPr>
    </w:p>
    <w:p w14:paraId="4742D572" w14:textId="77777777" w:rsidR="00533295" w:rsidRPr="004068F6" w:rsidRDefault="00533295" w:rsidP="00533295">
      <w:pPr>
        <w:numPr>
          <w:ilvl w:val="0"/>
          <w:numId w:val="82"/>
        </w:numPr>
        <w:overflowPunct/>
        <w:autoSpaceDE/>
        <w:autoSpaceDN/>
        <w:adjustRightInd/>
        <w:ind w:left="567" w:hanging="567"/>
        <w:textAlignment w:val="auto"/>
        <w:rPr>
          <w:rFonts w:cs="Arial"/>
        </w:rPr>
      </w:pPr>
      <w:r w:rsidRPr="004068F6">
        <w:rPr>
          <w:rFonts w:cs="Arial"/>
        </w:rPr>
        <w:t>Dimensión del contenido: generalmente es la primera (y a veces la única) en la que se piensa. Tiene que ver con los temas sobre los que versa el diálogo.</w:t>
      </w:r>
    </w:p>
    <w:p w14:paraId="6A033EB8" w14:textId="77777777" w:rsidR="00533295" w:rsidRPr="004068F6" w:rsidRDefault="00533295" w:rsidP="00533295">
      <w:pPr>
        <w:overflowPunct/>
        <w:autoSpaceDE/>
        <w:autoSpaceDN/>
        <w:adjustRightInd/>
        <w:ind w:left="567" w:hanging="567"/>
        <w:textAlignment w:val="auto"/>
        <w:rPr>
          <w:rFonts w:cs="Arial"/>
        </w:rPr>
      </w:pPr>
    </w:p>
    <w:p w14:paraId="1989FD8D" w14:textId="4EDAE50C" w:rsidR="00533295" w:rsidRPr="004068F6" w:rsidRDefault="00533295" w:rsidP="00533295">
      <w:pPr>
        <w:numPr>
          <w:ilvl w:val="0"/>
          <w:numId w:val="82"/>
        </w:numPr>
        <w:overflowPunct/>
        <w:autoSpaceDE/>
        <w:autoSpaceDN/>
        <w:adjustRightInd/>
        <w:ind w:left="567" w:hanging="567"/>
        <w:textAlignment w:val="auto"/>
        <w:rPr>
          <w:rFonts w:cs="Arial"/>
        </w:rPr>
      </w:pPr>
      <w:r w:rsidRPr="004068F6">
        <w:rPr>
          <w:rFonts w:cs="Arial"/>
        </w:rPr>
        <w:t>Dimensión social: aborda las relaciones entre los actores y su entorno humano.</w:t>
      </w:r>
    </w:p>
    <w:p w14:paraId="5DD0C27E" w14:textId="77777777" w:rsidR="00533295" w:rsidRPr="004068F6" w:rsidRDefault="00533295" w:rsidP="00533295">
      <w:pPr>
        <w:overflowPunct/>
        <w:autoSpaceDE/>
        <w:autoSpaceDN/>
        <w:adjustRightInd/>
        <w:textAlignment w:val="auto"/>
        <w:rPr>
          <w:rFonts w:cs="Arial"/>
        </w:rPr>
      </w:pPr>
    </w:p>
    <w:p w14:paraId="2CC2456C" w14:textId="77777777" w:rsidR="00533295" w:rsidRPr="004068F6" w:rsidRDefault="00533295" w:rsidP="00533295">
      <w:pPr>
        <w:numPr>
          <w:ilvl w:val="0"/>
          <w:numId w:val="82"/>
        </w:numPr>
        <w:overflowPunct/>
        <w:autoSpaceDE/>
        <w:autoSpaceDN/>
        <w:adjustRightInd/>
        <w:ind w:left="567" w:hanging="567"/>
        <w:textAlignment w:val="auto"/>
        <w:rPr>
          <w:rFonts w:cs="Arial"/>
        </w:rPr>
      </w:pPr>
      <w:r w:rsidRPr="004068F6">
        <w:rPr>
          <w:rFonts w:cs="Arial"/>
        </w:rPr>
        <w:t>Dimensión espacial: se refiere a los lugares, sedes y entornos físicos del diálogo.</w:t>
      </w:r>
    </w:p>
    <w:p w14:paraId="33EE1E6C" w14:textId="77777777" w:rsidR="00533295" w:rsidRPr="004068F6" w:rsidRDefault="00533295" w:rsidP="00533295">
      <w:pPr>
        <w:overflowPunct/>
        <w:autoSpaceDE/>
        <w:autoSpaceDN/>
        <w:adjustRightInd/>
        <w:textAlignment w:val="auto"/>
        <w:rPr>
          <w:rFonts w:cs="Arial"/>
        </w:rPr>
      </w:pPr>
    </w:p>
    <w:p w14:paraId="5111D513" w14:textId="3E91E715" w:rsidR="00533295" w:rsidRPr="004068F6" w:rsidRDefault="00533295" w:rsidP="00533295">
      <w:pPr>
        <w:numPr>
          <w:ilvl w:val="0"/>
          <w:numId w:val="82"/>
        </w:numPr>
        <w:overflowPunct/>
        <w:autoSpaceDE/>
        <w:autoSpaceDN/>
        <w:adjustRightInd/>
        <w:ind w:left="567" w:hanging="567"/>
        <w:textAlignment w:val="auto"/>
        <w:rPr>
          <w:rFonts w:cs="Arial"/>
        </w:rPr>
      </w:pPr>
      <w:r w:rsidRPr="004068F6">
        <w:rPr>
          <w:rFonts w:cs="Arial"/>
        </w:rPr>
        <w:t>Dimensión temporal: los tiempos, momentos, horarios y cronología del diálogo.</w:t>
      </w:r>
    </w:p>
    <w:p w14:paraId="34280A74" w14:textId="77777777" w:rsidR="00533295" w:rsidRPr="004068F6" w:rsidRDefault="00533295" w:rsidP="00533295">
      <w:pPr>
        <w:overflowPunct/>
        <w:autoSpaceDE/>
        <w:autoSpaceDN/>
        <w:adjustRightInd/>
        <w:textAlignment w:val="auto"/>
        <w:rPr>
          <w:rFonts w:cs="Arial"/>
        </w:rPr>
      </w:pPr>
    </w:p>
    <w:p w14:paraId="7F25C1BA" w14:textId="7E5AF5C7" w:rsidR="00533295" w:rsidRPr="004068F6" w:rsidRDefault="00533295" w:rsidP="00533295">
      <w:pPr>
        <w:numPr>
          <w:ilvl w:val="0"/>
          <w:numId w:val="82"/>
        </w:numPr>
        <w:overflowPunct/>
        <w:autoSpaceDE/>
        <w:autoSpaceDN/>
        <w:adjustRightInd/>
        <w:ind w:left="567" w:hanging="567"/>
        <w:textAlignment w:val="auto"/>
        <w:rPr>
          <w:rFonts w:cs="Arial"/>
        </w:rPr>
      </w:pPr>
      <w:r w:rsidRPr="004068F6">
        <w:rPr>
          <w:rFonts w:cs="Arial"/>
        </w:rPr>
        <w:t>Dimensión simbólica: relacionada con signos, símbolos e íconos presentes en espacios de diálogo, que pueden ayudar o dificultar el diálogo mismo.</w:t>
      </w:r>
    </w:p>
    <w:p w14:paraId="6686089C" w14:textId="77777777" w:rsidR="00533295" w:rsidRPr="004068F6" w:rsidRDefault="00533295" w:rsidP="00533295">
      <w:pPr>
        <w:overflowPunct/>
        <w:autoSpaceDE/>
        <w:autoSpaceDN/>
        <w:adjustRightInd/>
        <w:textAlignment w:val="auto"/>
        <w:rPr>
          <w:rFonts w:cs="Arial"/>
        </w:rPr>
      </w:pPr>
    </w:p>
    <w:p w14:paraId="3F05353E" w14:textId="77777777" w:rsidR="00533295" w:rsidRPr="004068F6" w:rsidRDefault="00533295" w:rsidP="00533295">
      <w:pPr>
        <w:numPr>
          <w:ilvl w:val="0"/>
          <w:numId w:val="82"/>
        </w:numPr>
        <w:overflowPunct/>
        <w:autoSpaceDE/>
        <w:autoSpaceDN/>
        <w:adjustRightInd/>
        <w:ind w:left="567" w:hanging="567"/>
        <w:textAlignment w:val="auto"/>
        <w:rPr>
          <w:rFonts w:cs="Arial"/>
        </w:rPr>
      </w:pPr>
      <w:r w:rsidRPr="004068F6">
        <w:rPr>
          <w:rFonts w:cs="Arial"/>
        </w:rPr>
        <w:lastRenderedPageBreak/>
        <w:t>Dimensión cultural: relacionada con la anterior y enfocada en los valores, sistemas de creencias de las personas y sus implicaciones en el diálogo.</w:t>
      </w:r>
    </w:p>
    <w:p w14:paraId="45D86CEE" w14:textId="77777777" w:rsidR="00533295" w:rsidRPr="004068F6" w:rsidRDefault="00533295" w:rsidP="00533295">
      <w:pPr>
        <w:numPr>
          <w:ilvl w:val="12"/>
          <w:numId w:val="0"/>
        </w:numPr>
        <w:tabs>
          <w:tab w:val="left" w:pos="-2268"/>
        </w:tabs>
        <w:suppressAutoHyphens/>
        <w:rPr>
          <w:rFonts w:cs="Arial"/>
          <w:spacing w:val="-3"/>
        </w:rPr>
      </w:pPr>
    </w:p>
    <w:p w14:paraId="1AD7C566" w14:textId="15DFDBB4" w:rsidR="00533295" w:rsidRPr="004068F6" w:rsidRDefault="00533295" w:rsidP="00533295">
      <w:pPr>
        <w:numPr>
          <w:ilvl w:val="12"/>
          <w:numId w:val="0"/>
        </w:numPr>
        <w:tabs>
          <w:tab w:val="left" w:pos="-2268"/>
        </w:tabs>
        <w:suppressAutoHyphens/>
        <w:rPr>
          <w:rFonts w:cs="Arial"/>
        </w:rPr>
      </w:pPr>
      <w:r w:rsidRPr="004068F6">
        <w:rPr>
          <w:spacing w:val="-3"/>
        </w:rPr>
        <w:t xml:space="preserve">La participación no debe entenderse solamente como un proceso del que toman parte varios actores para diseñar, ejecutar y hacer seguimiento a decisiones públicas, sino como un mecanismo que permite que se reflejen las demandas sociales en términos de la exigencia de derechos (Velásquez et al., 2020). Así, </w:t>
      </w:r>
      <w:r w:rsidRPr="004068F6">
        <w:rPr>
          <w:rFonts w:cs="Arial"/>
        </w:rPr>
        <w:t>la participación en el ámbito del licenciamiento ambiental se constituye en una forma de intervención social que involucra y permite a los grupos de interés incidir en las decisiones que se toman frente al alcance de un proyecto, obra o actividad, a la determinación y valoración de sus impactos ambientales y a la formulación de medidas de manejo, entre otros aspectos</w:t>
      </w:r>
      <w:r w:rsidR="001E2244">
        <w:rPr>
          <w:rFonts w:cs="Arial"/>
        </w:rPr>
        <w:t>; a</w:t>
      </w:r>
      <w:r w:rsidR="001E2244" w:rsidRPr="001E2244">
        <w:rPr>
          <w:rFonts w:cs="Arial"/>
        </w:rPr>
        <w:t>simismo, permite fomentar la confianza entre las comunidades y el desarrollador del proyecto</w:t>
      </w:r>
      <w:r w:rsidR="0052496D">
        <w:rPr>
          <w:rFonts w:cs="Arial"/>
        </w:rPr>
        <w:t xml:space="preserve"> y</w:t>
      </w:r>
      <w:r w:rsidR="001E2244" w:rsidRPr="001E2244">
        <w:rPr>
          <w:rFonts w:cs="Arial"/>
        </w:rPr>
        <w:t xml:space="preserve"> favorecer el respeto por el territorio, la cultura, el ambiente y los derechos humanos</w:t>
      </w:r>
      <w:r w:rsidRPr="004068F6">
        <w:rPr>
          <w:rFonts w:cs="Arial"/>
        </w:rPr>
        <w:t>.</w:t>
      </w:r>
    </w:p>
    <w:p w14:paraId="62BC92D9" w14:textId="77777777" w:rsidR="00533295" w:rsidRPr="004068F6" w:rsidRDefault="00533295" w:rsidP="00533295">
      <w:pPr>
        <w:numPr>
          <w:ilvl w:val="12"/>
          <w:numId w:val="0"/>
        </w:numPr>
        <w:tabs>
          <w:tab w:val="left" w:pos="-2268"/>
        </w:tabs>
        <w:suppressAutoHyphens/>
        <w:rPr>
          <w:rFonts w:cs="Arial"/>
        </w:rPr>
      </w:pPr>
    </w:p>
    <w:p w14:paraId="775A82E5" w14:textId="56B5B6F3" w:rsidR="00533295" w:rsidRPr="004068F6" w:rsidRDefault="00533295" w:rsidP="00533295">
      <w:pPr>
        <w:numPr>
          <w:ilvl w:val="12"/>
          <w:numId w:val="0"/>
        </w:numPr>
        <w:tabs>
          <w:tab w:val="left" w:pos="-2268"/>
        </w:tabs>
        <w:suppressAutoHyphens/>
        <w:rPr>
          <w:spacing w:val="-3"/>
        </w:rPr>
      </w:pPr>
      <w:r w:rsidRPr="004068F6">
        <w:rPr>
          <w:spacing w:val="-3"/>
        </w:rPr>
        <w:t xml:space="preserve">Por lo tanto, para </w:t>
      </w:r>
      <w:r w:rsidRPr="004068F6">
        <w:rPr>
          <w:rFonts w:cs="Arial"/>
          <w:spacing w:val="-3"/>
        </w:rPr>
        <w:t xml:space="preserve">procurar </w:t>
      </w:r>
      <w:r w:rsidRPr="004068F6">
        <w:rPr>
          <w:spacing w:val="-3"/>
        </w:rPr>
        <w:t xml:space="preserve">que el proceso de participación en el marco de la elaboración </w:t>
      </w:r>
      <w:r w:rsidRPr="004068F6">
        <w:rPr>
          <w:rFonts w:cs="Arial"/>
          <w:spacing w:val="-3"/>
        </w:rPr>
        <w:t>del</w:t>
      </w:r>
      <w:r w:rsidRPr="004068F6">
        <w:rPr>
          <w:spacing w:val="-3"/>
        </w:rPr>
        <w:t xml:space="preserve"> EIA sea efectivo es necesario que:</w:t>
      </w:r>
    </w:p>
    <w:p w14:paraId="665C72E4" w14:textId="77777777" w:rsidR="00533295" w:rsidRPr="004068F6" w:rsidRDefault="00533295" w:rsidP="00533295">
      <w:pPr>
        <w:numPr>
          <w:ilvl w:val="12"/>
          <w:numId w:val="0"/>
        </w:numPr>
        <w:tabs>
          <w:tab w:val="left" w:pos="-2268"/>
        </w:tabs>
        <w:suppressAutoHyphens/>
        <w:rPr>
          <w:spacing w:val="-3"/>
        </w:rPr>
      </w:pPr>
    </w:p>
    <w:p w14:paraId="03B07DA8" w14:textId="14387992" w:rsidR="00533295" w:rsidRPr="004068F6" w:rsidRDefault="00533295" w:rsidP="00533295">
      <w:pPr>
        <w:numPr>
          <w:ilvl w:val="0"/>
          <w:numId w:val="360"/>
        </w:numPr>
        <w:tabs>
          <w:tab w:val="left" w:pos="-2268"/>
        </w:tabs>
        <w:suppressAutoHyphens/>
        <w:ind w:left="567" w:hanging="567"/>
        <w:rPr>
          <w:spacing w:val="-3"/>
        </w:rPr>
      </w:pPr>
      <w:r w:rsidRPr="004068F6">
        <w:rPr>
          <w:spacing w:val="-3"/>
        </w:rPr>
        <w:t xml:space="preserve">Se reconozca a las comunidades en la construcción del </w:t>
      </w:r>
      <w:r w:rsidRPr="004068F6">
        <w:rPr>
          <w:rFonts w:cs="Arial"/>
          <w:spacing w:val="-3"/>
        </w:rPr>
        <w:t>EIA</w:t>
      </w:r>
      <w:r w:rsidRPr="004068F6">
        <w:rPr>
          <w:spacing w:val="-3"/>
        </w:rPr>
        <w:t>.</w:t>
      </w:r>
    </w:p>
    <w:p w14:paraId="24D14DEE" w14:textId="77777777" w:rsidR="00533295" w:rsidRPr="004068F6" w:rsidRDefault="00533295" w:rsidP="00533295">
      <w:pPr>
        <w:tabs>
          <w:tab w:val="left" w:pos="-2268"/>
        </w:tabs>
        <w:suppressAutoHyphens/>
        <w:rPr>
          <w:spacing w:val="-3"/>
        </w:rPr>
      </w:pPr>
    </w:p>
    <w:p w14:paraId="0CA76A46" w14:textId="71D59247" w:rsidR="00533295" w:rsidRPr="004068F6" w:rsidRDefault="00533295" w:rsidP="00533295">
      <w:pPr>
        <w:numPr>
          <w:ilvl w:val="0"/>
          <w:numId w:val="360"/>
        </w:numPr>
        <w:tabs>
          <w:tab w:val="left" w:pos="-2268"/>
        </w:tabs>
        <w:suppressAutoHyphens/>
        <w:ind w:left="567" w:hanging="567"/>
        <w:rPr>
          <w:spacing w:val="-3"/>
        </w:rPr>
      </w:pPr>
      <w:r w:rsidRPr="004068F6">
        <w:rPr>
          <w:spacing w:val="-3"/>
        </w:rPr>
        <w:t>Se valore el conocimiento local, el diálogo y la interacción de las diferentes visiones y saberes</w:t>
      </w:r>
      <w:r w:rsidR="00053DD6" w:rsidRPr="004068F6">
        <w:rPr>
          <w:spacing w:val="-3"/>
        </w:rPr>
        <w:t xml:space="preserve"> </w:t>
      </w:r>
      <w:r w:rsidR="00F30515" w:rsidRPr="004068F6">
        <w:rPr>
          <w:spacing w:val="-3"/>
        </w:rPr>
        <w:t>aportados mediante el proceso de participación</w:t>
      </w:r>
      <w:r w:rsidR="00712641" w:rsidRPr="004068F6">
        <w:rPr>
          <w:spacing w:val="-3"/>
        </w:rPr>
        <w:t xml:space="preserve"> con respecto a</w:t>
      </w:r>
      <w:r w:rsidR="009D1454" w:rsidRPr="004068F6">
        <w:rPr>
          <w:spacing w:val="-3"/>
        </w:rPr>
        <w:t xml:space="preserve"> </w:t>
      </w:r>
      <w:r w:rsidRPr="004068F6">
        <w:rPr>
          <w:spacing w:val="-3"/>
        </w:rPr>
        <w:t>la caracterización ambiental del área de influencia del proyecto, obra o actividad, la determinación y valoración de los impactos ambientales y en la definición de las medidas de manejo.</w:t>
      </w:r>
      <w:r w:rsidR="003A54EB" w:rsidRPr="004068F6">
        <w:rPr>
          <w:spacing w:val="-3"/>
        </w:rPr>
        <w:t xml:space="preserve"> La inclusión de la información debe procurar mantener el contenido textual de las intervenciones</w:t>
      </w:r>
      <w:r w:rsidR="0098143D">
        <w:rPr>
          <w:spacing w:val="-3"/>
        </w:rPr>
        <w:t>,</w:t>
      </w:r>
      <w:r w:rsidR="003A54EB" w:rsidRPr="004068F6">
        <w:rPr>
          <w:spacing w:val="-3"/>
        </w:rPr>
        <w:t xml:space="preserve"> señalar la forma </w:t>
      </w:r>
      <w:r w:rsidR="003A54EB" w:rsidRPr="00127BD4">
        <w:rPr>
          <w:spacing w:val="-3"/>
        </w:rPr>
        <w:t xml:space="preserve">cómo se incorporan al EIA los </w:t>
      </w:r>
      <w:r w:rsidR="003A54EB" w:rsidRPr="004068F6">
        <w:rPr>
          <w:spacing w:val="-3"/>
        </w:rPr>
        <w:t>aportes</w:t>
      </w:r>
      <w:r w:rsidR="003A54EB" w:rsidRPr="00127BD4">
        <w:rPr>
          <w:spacing w:val="-3"/>
        </w:rPr>
        <w:t xml:space="preserve"> e insumos obtenidos en el proceso participativo, </w:t>
      </w:r>
      <w:r w:rsidR="003A54EB" w:rsidRPr="004068F6">
        <w:rPr>
          <w:spacing w:val="-3"/>
        </w:rPr>
        <w:t>cuáles de éstos no se incorporan y las razones que llevaron a prescindir de tales insumos.</w:t>
      </w:r>
    </w:p>
    <w:p w14:paraId="0DA4A57F" w14:textId="77777777" w:rsidR="00533295" w:rsidRPr="004068F6" w:rsidRDefault="00533295" w:rsidP="00533295">
      <w:pPr>
        <w:tabs>
          <w:tab w:val="left" w:pos="-2268"/>
        </w:tabs>
        <w:suppressAutoHyphens/>
        <w:rPr>
          <w:spacing w:val="-3"/>
        </w:rPr>
      </w:pPr>
    </w:p>
    <w:p w14:paraId="006DB71B" w14:textId="0F3DCDC4" w:rsidR="00533295" w:rsidRPr="004068F6" w:rsidRDefault="00533295" w:rsidP="00533295">
      <w:pPr>
        <w:numPr>
          <w:ilvl w:val="0"/>
          <w:numId w:val="360"/>
        </w:numPr>
        <w:tabs>
          <w:tab w:val="left" w:pos="-2268"/>
        </w:tabs>
        <w:suppressAutoHyphens/>
        <w:ind w:left="567" w:hanging="567"/>
        <w:rPr>
          <w:spacing w:val="-3"/>
        </w:rPr>
      </w:pPr>
      <w:r w:rsidRPr="004068F6">
        <w:rPr>
          <w:spacing w:val="-3"/>
        </w:rPr>
        <w:t xml:space="preserve">Se haga uso de estrategias comunicativas, pedagógicas y tecnológicas para facilitar el acceso </w:t>
      </w:r>
      <w:r w:rsidRPr="004068F6">
        <w:rPr>
          <w:rFonts w:cs="Arial"/>
        </w:rPr>
        <w:t>comprensible,</w:t>
      </w:r>
      <w:r w:rsidRPr="004068F6">
        <w:rPr>
          <w:spacing w:val="-3"/>
        </w:rPr>
        <w:t xml:space="preserve"> suficiente y oportuno de información asociada al EIA y al proyecto, obra o actividad.</w:t>
      </w:r>
    </w:p>
    <w:p w14:paraId="0C16429B" w14:textId="77777777" w:rsidR="00533295" w:rsidRPr="004068F6" w:rsidRDefault="00533295" w:rsidP="00533295">
      <w:pPr>
        <w:numPr>
          <w:ilvl w:val="12"/>
          <w:numId w:val="0"/>
        </w:numPr>
        <w:tabs>
          <w:tab w:val="left" w:pos="-2268"/>
        </w:tabs>
        <w:suppressAutoHyphens/>
        <w:rPr>
          <w:spacing w:val="-3"/>
        </w:rPr>
      </w:pPr>
    </w:p>
    <w:p w14:paraId="4D05E5D6" w14:textId="41485769" w:rsidR="00533295" w:rsidRPr="004068F6" w:rsidRDefault="00533295" w:rsidP="00533295">
      <w:pPr>
        <w:numPr>
          <w:ilvl w:val="12"/>
          <w:numId w:val="0"/>
        </w:numPr>
        <w:tabs>
          <w:tab w:val="left" w:pos="-2268"/>
        </w:tabs>
        <w:suppressAutoHyphens/>
        <w:rPr>
          <w:spacing w:val="-3"/>
        </w:rPr>
      </w:pPr>
      <w:r w:rsidRPr="004068F6">
        <w:rPr>
          <w:rFonts w:cs="Arial"/>
          <w:spacing w:val="-3"/>
        </w:rPr>
        <w:t>Adicional a la efectividad del</w:t>
      </w:r>
      <w:r w:rsidRPr="004068F6">
        <w:rPr>
          <w:spacing w:val="-3"/>
        </w:rPr>
        <w:t xml:space="preserve"> proceso de participación en la elaboración del EIA</w:t>
      </w:r>
      <w:r w:rsidRPr="004068F6">
        <w:rPr>
          <w:rFonts w:cs="Arial"/>
          <w:spacing w:val="-3"/>
        </w:rPr>
        <w:t>, es necesario considerar que éste</w:t>
      </w:r>
      <w:r w:rsidRPr="004068F6">
        <w:rPr>
          <w:spacing w:val="-3"/>
        </w:rPr>
        <w:t xml:space="preserve"> se dirige a diferentes </w:t>
      </w:r>
      <w:r w:rsidRPr="004068F6">
        <w:rPr>
          <w:rFonts w:cs="Arial"/>
          <w:spacing w:val="-3"/>
        </w:rPr>
        <w:t>grupos de interés</w:t>
      </w:r>
      <w:r w:rsidRPr="004068F6">
        <w:rPr>
          <w:spacing w:val="-3"/>
        </w:rPr>
        <w:t xml:space="preserve"> públicos o privados presentes en el área de influencia del medio socioeconómico, que actúan según sus propósitos particulares y representan algún grado de interés o incidencia frente al desarrollo del proyecto, obra </w:t>
      </w:r>
      <w:r w:rsidRPr="004068F6">
        <w:rPr>
          <w:rFonts w:cs="Arial"/>
          <w:spacing w:val="-3"/>
        </w:rPr>
        <w:t xml:space="preserve">o </w:t>
      </w:r>
      <w:r w:rsidRPr="004068F6">
        <w:rPr>
          <w:spacing w:val="-3"/>
        </w:rPr>
        <w:t>actividad.</w:t>
      </w:r>
    </w:p>
    <w:p w14:paraId="3481B3B0" w14:textId="77777777" w:rsidR="00533295" w:rsidRPr="004068F6" w:rsidRDefault="00533295" w:rsidP="00533295">
      <w:pPr>
        <w:numPr>
          <w:ilvl w:val="12"/>
          <w:numId w:val="0"/>
        </w:numPr>
        <w:tabs>
          <w:tab w:val="left" w:pos="-2268"/>
        </w:tabs>
        <w:suppressAutoHyphens/>
        <w:rPr>
          <w:spacing w:val="-3"/>
        </w:rPr>
      </w:pPr>
    </w:p>
    <w:p w14:paraId="6ED72B1F" w14:textId="7FD9B2A4" w:rsidR="00533295" w:rsidRPr="004068F6" w:rsidRDefault="00965D9B" w:rsidP="00533295">
      <w:pPr>
        <w:numPr>
          <w:ilvl w:val="12"/>
          <w:numId w:val="0"/>
        </w:numPr>
        <w:tabs>
          <w:tab w:val="left" w:pos="-2268"/>
        </w:tabs>
        <w:suppressAutoHyphens/>
        <w:rPr>
          <w:spacing w:val="-3"/>
        </w:rPr>
      </w:pPr>
      <w:r w:rsidRPr="004068F6">
        <w:rPr>
          <w:rFonts w:cs="Arial"/>
          <w:spacing w:val="-3"/>
        </w:rPr>
        <w:t>D</w:t>
      </w:r>
      <w:r w:rsidR="00533295" w:rsidRPr="004068F6">
        <w:rPr>
          <w:rFonts w:cs="Arial"/>
          <w:spacing w:val="-3"/>
        </w:rPr>
        <w:t>e</w:t>
      </w:r>
      <w:r w:rsidR="00533295" w:rsidRPr="004068F6">
        <w:rPr>
          <w:spacing w:val="-3"/>
        </w:rPr>
        <w:t xml:space="preserve"> acuerdo con el alcance del proyecto, obra o actividad, </w:t>
      </w:r>
      <w:r w:rsidR="00684E78" w:rsidRPr="004068F6">
        <w:rPr>
          <w:spacing w:val="-3"/>
        </w:rPr>
        <w:t xml:space="preserve">se debe informar e invitar a los procesos de </w:t>
      </w:r>
      <w:r w:rsidR="00533295" w:rsidRPr="004068F6">
        <w:rPr>
          <w:spacing w:val="-3"/>
        </w:rPr>
        <w:t xml:space="preserve">participación </w:t>
      </w:r>
      <w:r w:rsidR="001620E7" w:rsidRPr="004068F6">
        <w:rPr>
          <w:spacing w:val="-3"/>
        </w:rPr>
        <w:t xml:space="preserve">con las comunidades </w:t>
      </w:r>
      <w:r w:rsidR="00533295" w:rsidRPr="004068F6">
        <w:rPr>
          <w:spacing w:val="-3"/>
        </w:rPr>
        <w:t xml:space="preserve">a las autoridades nacionales en </w:t>
      </w:r>
      <w:r w:rsidR="00533295" w:rsidRPr="004068F6">
        <w:rPr>
          <w:spacing w:val="-3"/>
        </w:rPr>
        <w:lastRenderedPageBreak/>
        <w:t>caso de que afecte las áreas del Sistema de Parques Nacionales Naturales (SPNN), a las autoridades regionales o departamentales en los casos en que el proyecto, obra o actividad sea considerado de interés regional o el área de influencia se circunscriba a unidades de análisis territorial que comprendan más de un departamento, y a las autoridades municipales en todos los casos</w:t>
      </w:r>
      <w:r w:rsidR="00533295" w:rsidRPr="004068F6">
        <w:rPr>
          <w:rFonts w:cs="Arial"/>
          <w:bCs/>
          <w:spacing w:val="-3"/>
        </w:rPr>
        <w:t>, es</w:t>
      </w:r>
      <w:r w:rsidR="00533295" w:rsidRPr="004068F6">
        <w:rPr>
          <w:spacing w:val="-3"/>
        </w:rPr>
        <w:t xml:space="preserve"> decir, a las autoridades de los municipios en los que se ubica el área de influencia del proyecto, obra o actividad.</w:t>
      </w:r>
    </w:p>
    <w:p w14:paraId="4F9E2957" w14:textId="77777777" w:rsidR="00533295" w:rsidRPr="004068F6" w:rsidRDefault="00533295" w:rsidP="00533295">
      <w:pPr>
        <w:numPr>
          <w:ilvl w:val="12"/>
          <w:numId w:val="0"/>
        </w:numPr>
        <w:tabs>
          <w:tab w:val="left" w:pos="-2268"/>
        </w:tabs>
        <w:suppressAutoHyphens/>
        <w:rPr>
          <w:spacing w:val="-3"/>
        </w:rPr>
      </w:pPr>
    </w:p>
    <w:p w14:paraId="01A4C9CC" w14:textId="551C3A4A" w:rsidR="00533295" w:rsidRPr="004068F6" w:rsidRDefault="00533295" w:rsidP="00533295">
      <w:pPr>
        <w:numPr>
          <w:ilvl w:val="12"/>
          <w:numId w:val="0"/>
        </w:numPr>
        <w:tabs>
          <w:tab w:val="left" w:pos="-2268"/>
        </w:tabs>
        <w:suppressAutoHyphens/>
        <w:rPr>
          <w:spacing w:val="-3"/>
        </w:rPr>
      </w:pPr>
      <w:r w:rsidRPr="004068F6">
        <w:rPr>
          <w:spacing w:val="-3"/>
        </w:rPr>
        <w:t>Por otra parte, la información que se ponga a disposición de los grupos de interés durante los espacios de participación debe estar relacionada tanto con el proceso mismo de participación (señalando cuestiones sobre su metodología, alcance, condiciones de intervención, entre otras), como con las características ambientales del área de influencia, las particularidades del proyecto, obra o actividad, los impactos que supondría su ejecución</w:t>
      </w:r>
      <w:r w:rsidR="00431149">
        <w:rPr>
          <w:spacing w:val="-3"/>
        </w:rPr>
        <w:t xml:space="preserve"> </w:t>
      </w:r>
      <w:r w:rsidRPr="004068F6">
        <w:rPr>
          <w:spacing w:val="-3"/>
        </w:rPr>
        <w:t>y las medidas que se proponen para manejarlos, entre otros contenidos del EIA en elaboración</w:t>
      </w:r>
      <w:r w:rsidRPr="00127BD4">
        <w:rPr>
          <w:rStyle w:val="Refdenotaalpie"/>
          <w:spacing w:val="-3"/>
          <w:lang w:val="es-CO"/>
        </w:rPr>
        <w:footnoteReference w:id="118"/>
      </w:r>
      <w:r w:rsidRPr="004068F6">
        <w:rPr>
          <w:spacing w:val="-3"/>
        </w:rPr>
        <w:t>.</w:t>
      </w:r>
    </w:p>
    <w:p w14:paraId="308EECCF" w14:textId="77777777" w:rsidR="000327D8" w:rsidRPr="004068F6" w:rsidRDefault="000327D8" w:rsidP="00533295">
      <w:pPr>
        <w:numPr>
          <w:ilvl w:val="12"/>
          <w:numId w:val="0"/>
        </w:numPr>
        <w:tabs>
          <w:tab w:val="left" w:pos="-2268"/>
        </w:tabs>
        <w:suppressAutoHyphens/>
        <w:rPr>
          <w:spacing w:val="-3"/>
        </w:rPr>
      </w:pPr>
    </w:p>
    <w:p w14:paraId="50338A6A" w14:textId="1BD27A33" w:rsidR="00533295" w:rsidRPr="004068F6" w:rsidRDefault="00533295" w:rsidP="00533295">
      <w:pPr>
        <w:numPr>
          <w:ilvl w:val="12"/>
          <w:numId w:val="0"/>
        </w:numPr>
        <w:tabs>
          <w:tab w:val="left" w:pos="-2268"/>
        </w:tabs>
        <w:suppressAutoHyphens/>
        <w:rPr>
          <w:spacing w:val="-3"/>
        </w:rPr>
      </w:pPr>
      <w:r w:rsidRPr="004068F6">
        <w:rPr>
          <w:spacing w:val="-3"/>
        </w:rPr>
        <w:t xml:space="preserve">Toda la información que se comunique de forma oral, escrita o visual ya sea en los espacios de diálogo o al emplear medios de difusión electrónicos o magnéticos, debe </w:t>
      </w:r>
      <w:r w:rsidR="002E2106" w:rsidRPr="004068F6">
        <w:rPr>
          <w:spacing w:val="-3"/>
        </w:rPr>
        <w:t xml:space="preserve">utilizar un lenguaje claro e incluyente y </w:t>
      </w:r>
      <w:r w:rsidRPr="004068F6">
        <w:rPr>
          <w:spacing w:val="-3"/>
        </w:rPr>
        <w:t>ser transparente y tener características que permitan que los grupos de interés accedan efectivamente a ésta. Por ello, es necesario implementar enfoques y estrategias diferenciales acordes con las características sociales y culturales de los grupos de interés, bajo los cuales la información:</w:t>
      </w:r>
    </w:p>
    <w:p w14:paraId="6451E4FA" w14:textId="77777777" w:rsidR="00533295" w:rsidRPr="004068F6" w:rsidRDefault="00533295" w:rsidP="00C70AAE">
      <w:pPr>
        <w:tabs>
          <w:tab w:val="left" w:pos="-2268"/>
        </w:tabs>
        <w:suppressAutoHyphens/>
        <w:rPr>
          <w:spacing w:val="-3"/>
        </w:rPr>
      </w:pPr>
    </w:p>
    <w:p w14:paraId="34CA3286" w14:textId="36F51288" w:rsidR="00533295" w:rsidRPr="004068F6" w:rsidRDefault="006F407A" w:rsidP="00533295">
      <w:pPr>
        <w:numPr>
          <w:ilvl w:val="0"/>
          <w:numId w:val="360"/>
        </w:numPr>
        <w:tabs>
          <w:tab w:val="left" w:pos="-2268"/>
        </w:tabs>
        <w:suppressAutoHyphens/>
        <w:ind w:left="567" w:hanging="567"/>
        <w:rPr>
          <w:rFonts w:cs="Arial"/>
          <w:spacing w:val="-3"/>
        </w:rPr>
      </w:pPr>
      <w:r w:rsidRPr="004068F6">
        <w:rPr>
          <w:rFonts w:cs="Arial"/>
          <w:spacing w:val="-3"/>
        </w:rPr>
        <w:t>Se p</w:t>
      </w:r>
      <w:r w:rsidR="00533295" w:rsidRPr="004068F6">
        <w:rPr>
          <w:rFonts w:cs="Arial"/>
          <w:spacing w:val="-3"/>
        </w:rPr>
        <w:t>rovea en un lenguaje y formato que facilite tanto su comprensión y uso (por ejemplo, haciendo uso de la lengua de señas o interpretando conceptos técnicos para que sean compresibles y puedan ser analizados), como su divulgación a través de diversos canales complementarios.</w:t>
      </w:r>
    </w:p>
    <w:p w14:paraId="4C010124" w14:textId="77777777" w:rsidR="00533295" w:rsidRPr="004068F6" w:rsidRDefault="00533295" w:rsidP="00533295">
      <w:pPr>
        <w:tabs>
          <w:tab w:val="left" w:pos="-2268"/>
        </w:tabs>
        <w:suppressAutoHyphens/>
        <w:rPr>
          <w:spacing w:val="-3"/>
        </w:rPr>
      </w:pPr>
    </w:p>
    <w:p w14:paraId="5D95A056" w14:textId="72D4C997" w:rsidR="00533295" w:rsidRPr="004068F6" w:rsidRDefault="006F407A" w:rsidP="00533295">
      <w:pPr>
        <w:numPr>
          <w:ilvl w:val="0"/>
          <w:numId w:val="360"/>
        </w:numPr>
        <w:tabs>
          <w:tab w:val="left" w:pos="-2268"/>
        </w:tabs>
        <w:suppressAutoHyphens/>
        <w:ind w:left="567" w:hanging="567"/>
        <w:rPr>
          <w:rFonts w:cs="Arial"/>
          <w:spacing w:val="-3"/>
        </w:rPr>
      </w:pPr>
      <w:r w:rsidRPr="004068F6">
        <w:rPr>
          <w:rFonts w:cs="Arial"/>
          <w:spacing w:val="-3"/>
        </w:rPr>
        <w:t>Se d</w:t>
      </w:r>
      <w:r w:rsidR="00533295" w:rsidRPr="004068F6">
        <w:rPr>
          <w:rFonts w:cs="Arial"/>
          <w:spacing w:val="-3"/>
        </w:rPr>
        <w:t>ifunda en el idioma o lengua propia de los grupos de interés para facilitar su comprensión, así como para garantizar que puedan participar de forma efectiva</w:t>
      </w:r>
    </w:p>
    <w:p w14:paraId="5034F069" w14:textId="77777777" w:rsidR="00533295" w:rsidRPr="004068F6" w:rsidRDefault="00533295" w:rsidP="00533295">
      <w:pPr>
        <w:tabs>
          <w:tab w:val="left" w:pos="-2268"/>
        </w:tabs>
        <w:suppressAutoHyphens/>
        <w:rPr>
          <w:spacing w:val="-3"/>
        </w:rPr>
      </w:pPr>
    </w:p>
    <w:p w14:paraId="19F7DEF0" w14:textId="68468C0E" w:rsidR="00533295" w:rsidRPr="004068F6" w:rsidRDefault="006F407A" w:rsidP="00533295">
      <w:pPr>
        <w:numPr>
          <w:ilvl w:val="0"/>
          <w:numId w:val="360"/>
        </w:numPr>
        <w:tabs>
          <w:tab w:val="left" w:pos="-2268"/>
        </w:tabs>
        <w:suppressAutoHyphens/>
        <w:ind w:left="567" w:hanging="567"/>
        <w:rPr>
          <w:rFonts w:cs="Arial"/>
          <w:spacing w:val="-3"/>
        </w:rPr>
      </w:pPr>
      <w:r w:rsidRPr="004068F6">
        <w:rPr>
          <w:rFonts w:cs="Arial"/>
          <w:spacing w:val="-3"/>
        </w:rPr>
        <w:t>Se d</w:t>
      </w:r>
      <w:r w:rsidR="00533295" w:rsidRPr="004068F6">
        <w:rPr>
          <w:rFonts w:cs="Arial"/>
          <w:spacing w:val="-3"/>
        </w:rPr>
        <w:t>ivulgue mediante piezas gráficas cortas que puedan ser publicadas constantemente a través de la página web y las redes sociales disponibles, carteleras dispuestas en lugares públicos de gran afluencia, o puntos itinerantes de información que permitan a los interesados acercarse a consultar y despejar dudas, entre otros medios.</w:t>
      </w:r>
    </w:p>
    <w:p w14:paraId="55305B27" w14:textId="77777777" w:rsidR="00533295" w:rsidRPr="004068F6" w:rsidRDefault="00533295" w:rsidP="00533295">
      <w:pPr>
        <w:rPr>
          <w:spacing w:val="-3"/>
        </w:rPr>
      </w:pPr>
    </w:p>
    <w:p w14:paraId="3B25C953" w14:textId="6433BCA4" w:rsidR="00533295" w:rsidRPr="004068F6" w:rsidRDefault="00533295" w:rsidP="00533295">
      <w:pPr>
        <w:tabs>
          <w:tab w:val="left" w:pos="-2268"/>
        </w:tabs>
        <w:suppressAutoHyphens/>
        <w:rPr>
          <w:rFonts w:cs="Arial"/>
          <w:spacing w:val="-3"/>
        </w:rPr>
      </w:pPr>
      <w:r w:rsidRPr="004068F6">
        <w:rPr>
          <w:rFonts w:cs="Arial"/>
          <w:spacing w:val="-3"/>
        </w:rPr>
        <w:t>Adicional a la estrategia para comunicar información</w:t>
      </w:r>
      <w:r w:rsidR="00135C41" w:rsidRPr="004068F6">
        <w:rPr>
          <w:rFonts w:cs="Arial"/>
          <w:spacing w:val="-3"/>
        </w:rPr>
        <w:t>, durante la elaboración del EIA</w:t>
      </w:r>
      <w:r w:rsidRPr="004068F6">
        <w:rPr>
          <w:rFonts w:cs="Arial"/>
          <w:spacing w:val="-3"/>
        </w:rPr>
        <w:t xml:space="preserve">, es necesario establecer mecanismos y medios adicionales a los espacios de diálogo </w:t>
      </w:r>
      <w:r w:rsidRPr="004068F6">
        <w:rPr>
          <w:rFonts w:cs="Arial"/>
          <w:spacing w:val="-3"/>
        </w:rPr>
        <w:lastRenderedPageBreak/>
        <w:t>que posibiliten la recepción y respuesta a inquietudes u observaciones relacionadas con el proceso de participación y con las características del área de influencia, el proyecto, obra o actividad, sus impactos ambientales y las medidas de manejo propuestas, entre otros elementos del EIA en elaboración.</w:t>
      </w:r>
    </w:p>
    <w:p w14:paraId="6BE82A2B" w14:textId="77777777" w:rsidR="00CF4300" w:rsidRPr="004068F6" w:rsidRDefault="00CF4300" w:rsidP="00533295">
      <w:pPr>
        <w:numPr>
          <w:ilvl w:val="12"/>
          <w:numId w:val="0"/>
        </w:numPr>
        <w:tabs>
          <w:tab w:val="left" w:pos="-2268"/>
        </w:tabs>
        <w:suppressAutoHyphens/>
        <w:rPr>
          <w:spacing w:val="-3"/>
        </w:rPr>
      </w:pPr>
    </w:p>
    <w:p w14:paraId="00FD7B50" w14:textId="71D84D38" w:rsidR="00533295" w:rsidRPr="004068F6" w:rsidRDefault="00533295" w:rsidP="00533295">
      <w:pPr>
        <w:numPr>
          <w:ilvl w:val="12"/>
          <w:numId w:val="0"/>
        </w:numPr>
        <w:tabs>
          <w:tab w:val="left" w:pos="-2268"/>
        </w:tabs>
        <w:suppressAutoHyphens/>
        <w:rPr>
          <w:spacing w:val="-3"/>
        </w:rPr>
      </w:pPr>
      <w:r w:rsidRPr="004068F6">
        <w:rPr>
          <w:rFonts w:cs="Arial"/>
          <w:spacing w:val="-3"/>
        </w:rPr>
        <w:t>Por todo lo anterior, la</w:t>
      </w:r>
      <w:r w:rsidRPr="004068F6">
        <w:rPr>
          <w:spacing w:val="-3"/>
        </w:rPr>
        <w:t xml:space="preserve"> participación en el marco de la elaboración de los EIA debe garantizar los siguientes propósitos:</w:t>
      </w:r>
    </w:p>
    <w:p w14:paraId="17705726" w14:textId="77777777" w:rsidR="00533295" w:rsidRPr="004068F6" w:rsidRDefault="00533295" w:rsidP="00533295">
      <w:pPr>
        <w:numPr>
          <w:ilvl w:val="12"/>
          <w:numId w:val="0"/>
        </w:numPr>
        <w:tabs>
          <w:tab w:val="left" w:pos="-2268"/>
        </w:tabs>
        <w:suppressAutoHyphens/>
        <w:rPr>
          <w:spacing w:val="-3"/>
        </w:rPr>
      </w:pPr>
    </w:p>
    <w:p w14:paraId="4BCC114A" w14:textId="23BAC3F2" w:rsidR="00533295" w:rsidRPr="004068F6" w:rsidRDefault="00533295" w:rsidP="000D6E21">
      <w:pPr>
        <w:numPr>
          <w:ilvl w:val="0"/>
          <w:numId w:val="360"/>
        </w:numPr>
        <w:tabs>
          <w:tab w:val="left" w:pos="-2268"/>
        </w:tabs>
        <w:suppressAutoHyphens/>
        <w:ind w:left="567" w:hanging="567"/>
        <w:rPr>
          <w:spacing w:val="-3"/>
        </w:rPr>
      </w:pPr>
      <w:r w:rsidRPr="004068F6">
        <w:rPr>
          <w:spacing w:val="-3"/>
        </w:rPr>
        <w:t>Proporcionar información pertinente</w:t>
      </w:r>
      <w:r w:rsidRPr="004068F6">
        <w:rPr>
          <w:rFonts w:cs="Arial"/>
          <w:spacing w:val="-3"/>
        </w:rPr>
        <w:t xml:space="preserve"> mediante enfoques diferenciales</w:t>
      </w:r>
      <w:r w:rsidR="00DA3987" w:rsidRPr="00DA3987">
        <w:t xml:space="preserve"> </w:t>
      </w:r>
      <w:r w:rsidR="00DA3987" w:rsidRPr="00DA3987">
        <w:rPr>
          <w:rFonts w:cs="Arial"/>
          <w:spacing w:val="-3"/>
        </w:rPr>
        <w:t xml:space="preserve">y </w:t>
      </w:r>
      <w:r w:rsidR="00DA3987">
        <w:rPr>
          <w:rFonts w:cs="Arial"/>
          <w:spacing w:val="-3"/>
        </w:rPr>
        <w:t xml:space="preserve">de </w:t>
      </w:r>
      <w:r w:rsidR="00DA3987" w:rsidRPr="00DA3987">
        <w:rPr>
          <w:rFonts w:cs="Arial"/>
          <w:spacing w:val="-3"/>
        </w:rPr>
        <w:t>derechos humanos</w:t>
      </w:r>
      <w:r w:rsidRPr="004068F6">
        <w:rPr>
          <w:spacing w:val="-3"/>
        </w:rPr>
        <w:t xml:space="preserve">, de manera equitativa, transparente, oportuna y comprensible para la participación libre y efectiva de los </w:t>
      </w:r>
      <w:r w:rsidRPr="004068F6">
        <w:rPr>
          <w:rFonts w:cs="Arial"/>
          <w:spacing w:val="-3"/>
        </w:rPr>
        <w:t>grupos de interés</w:t>
      </w:r>
      <w:r w:rsidRPr="004068F6">
        <w:rPr>
          <w:spacing w:val="-3"/>
        </w:rPr>
        <w:t xml:space="preserve"> del área de influencia del medio socioeconómico.</w:t>
      </w:r>
    </w:p>
    <w:p w14:paraId="6EC029F8" w14:textId="77777777" w:rsidR="00533295" w:rsidRPr="004068F6" w:rsidRDefault="00533295" w:rsidP="000D6E21">
      <w:pPr>
        <w:tabs>
          <w:tab w:val="left" w:pos="-2268"/>
        </w:tabs>
        <w:suppressAutoHyphens/>
        <w:rPr>
          <w:spacing w:val="-3"/>
        </w:rPr>
      </w:pPr>
    </w:p>
    <w:p w14:paraId="5D170EC5" w14:textId="2CE89A85" w:rsidR="00533295" w:rsidRPr="004068F6" w:rsidRDefault="00533295" w:rsidP="00533295">
      <w:pPr>
        <w:numPr>
          <w:ilvl w:val="0"/>
          <w:numId w:val="360"/>
        </w:numPr>
        <w:tabs>
          <w:tab w:val="left" w:pos="-2268"/>
        </w:tabs>
        <w:suppressAutoHyphens/>
        <w:ind w:left="567" w:hanging="567"/>
        <w:rPr>
          <w:rFonts w:cs="Arial"/>
          <w:spacing w:val="-3"/>
        </w:rPr>
      </w:pPr>
      <w:r w:rsidRPr="004068F6">
        <w:rPr>
          <w:rFonts w:cs="Arial"/>
          <w:spacing w:val="-3"/>
        </w:rPr>
        <w:t xml:space="preserve">Promover la deliberación, argumentación, formulación de aportes entre los actores involucrados, en especial sobre la determinación y valoración de los impactos ambientales que pueden generar las actividades previstas en cada una de las </w:t>
      </w:r>
      <w:r w:rsidR="001800B7">
        <w:rPr>
          <w:spacing w:val="-3"/>
        </w:rPr>
        <w:t>etapas</w:t>
      </w:r>
      <w:r w:rsidR="001800B7" w:rsidRPr="004068F6" w:rsidDel="001800B7">
        <w:rPr>
          <w:rFonts w:cs="Arial"/>
          <w:spacing w:val="-3"/>
        </w:rPr>
        <w:t xml:space="preserve"> </w:t>
      </w:r>
      <w:r w:rsidRPr="004068F6">
        <w:rPr>
          <w:rFonts w:cs="Arial"/>
          <w:spacing w:val="-3"/>
        </w:rPr>
        <w:t>del proyecto, obra o actividad, y sobre las medidas de manejo ambiental encaminadas a prevenir, mitigar, corregir o compensar tales impactos</w:t>
      </w:r>
      <w:r w:rsidR="00083BEE" w:rsidRPr="004068F6">
        <w:rPr>
          <w:rFonts w:cs="Arial"/>
          <w:spacing w:val="-3"/>
        </w:rPr>
        <w:t>, guardando correspondencia con criterios de razonabilidad, proporcionalidad y objetividad</w:t>
      </w:r>
      <w:r w:rsidRPr="004068F6">
        <w:rPr>
          <w:rFonts w:cs="Arial"/>
          <w:spacing w:val="-3"/>
        </w:rPr>
        <w:t>.</w:t>
      </w:r>
    </w:p>
    <w:p w14:paraId="589E892F" w14:textId="77777777" w:rsidR="00533295" w:rsidRPr="004068F6" w:rsidRDefault="00533295" w:rsidP="00533295">
      <w:pPr>
        <w:tabs>
          <w:tab w:val="left" w:pos="-2268"/>
        </w:tabs>
        <w:suppressAutoHyphens/>
        <w:rPr>
          <w:rFonts w:cs="Arial"/>
          <w:spacing w:val="-3"/>
        </w:rPr>
      </w:pPr>
    </w:p>
    <w:p w14:paraId="5501C64F" w14:textId="117C63E5" w:rsidR="00533295" w:rsidRPr="004068F6" w:rsidRDefault="00533295" w:rsidP="000D6E21">
      <w:pPr>
        <w:numPr>
          <w:ilvl w:val="0"/>
          <w:numId w:val="360"/>
        </w:numPr>
        <w:tabs>
          <w:tab w:val="left" w:pos="-2268"/>
        </w:tabs>
        <w:suppressAutoHyphens/>
        <w:ind w:left="567" w:hanging="567"/>
        <w:rPr>
          <w:spacing w:val="-3"/>
        </w:rPr>
      </w:pPr>
      <w:r w:rsidRPr="004068F6">
        <w:rPr>
          <w:spacing w:val="-3"/>
        </w:rPr>
        <w:t xml:space="preserve">Informar a los </w:t>
      </w:r>
      <w:r w:rsidR="00A26E64" w:rsidRPr="00A26E64">
        <w:rPr>
          <w:spacing w:val="-3"/>
        </w:rPr>
        <w:t xml:space="preserve">grupos de interés </w:t>
      </w:r>
      <w:r w:rsidRPr="004068F6">
        <w:rPr>
          <w:spacing w:val="-3"/>
        </w:rPr>
        <w:t>los resultados del EIA de manera previa a la radicación ante la autoridad ambiental competente. En estos espacios se deben presentar las recomendaciones y propuestas formuladas durante el proceso de participación que se incluyeron en el estudio ambiental, las que no se consideraron pertinentes y los argumentos que llevaron a apartar estas últimas del estudio.</w:t>
      </w:r>
    </w:p>
    <w:p w14:paraId="4021B6AA" w14:textId="77777777" w:rsidR="00533295" w:rsidRPr="004068F6" w:rsidRDefault="00533295" w:rsidP="00533295">
      <w:pPr>
        <w:numPr>
          <w:ilvl w:val="12"/>
          <w:numId w:val="0"/>
        </w:numPr>
        <w:tabs>
          <w:tab w:val="left" w:pos="-2268"/>
        </w:tabs>
        <w:suppressAutoHyphens/>
        <w:rPr>
          <w:spacing w:val="-3"/>
        </w:rPr>
      </w:pPr>
    </w:p>
    <w:p w14:paraId="68697C29" w14:textId="7CF931D0" w:rsidR="00533295" w:rsidRPr="004068F6" w:rsidRDefault="00533295" w:rsidP="00533295">
      <w:r w:rsidRPr="004068F6">
        <w:t>En síntesis, el proceso de participación pública ambiental debe enfocarse en dar acceso a información suficiente y permanente sobre el proyecto, obra o actividad y el EIA</w:t>
      </w:r>
      <w:r w:rsidR="007D7E89">
        <w:rPr>
          <w:rStyle w:val="Refdenotaalpie"/>
        </w:rPr>
        <w:footnoteReference w:id="119"/>
      </w:r>
      <w:r w:rsidRPr="004068F6">
        <w:t>, en asegurar un diálogo en doble vía que permita la interacción de las partes, en asegurar que la participación sea efectiva con capacidad de incidencia en la elaboración del EIA y en informar sobre los resultados del EIA.</w:t>
      </w:r>
    </w:p>
    <w:p w14:paraId="31CD1A05" w14:textId="77777777" w:rsidR="00533295" w:rsidRPr="004068F6" w:rsidRDefault="00533295" w:rsidP="00533295">
      <w:pPr>
        <w:numPr>
          <w:ilvl w:val="12"/>
          <w:numId w:val="0"/>
        </w:numPr>
        <w:tabs>
          <w:tab w:val="left" w:pos="-2268"/>
        </w:tabs>
        <w:suppressAutoHyphens/>
        <w:rPr>
          <w:rFonts w:cs="Arial"/>
          <w:spacing w:val="-3"/>
        </w:rPr>
      </w:pPr>
    </w:p>
    <w:p w14:paraId="151243ED" w14:textId="079287F5" w:rsidR="00D31551" w:rsidRDefault="003D3CF7" w:rsidP="00533295">
      <w:pPr>
        <w:numPr>
          <w:ilvl w:val="12"/>
          <w:numId w:val="0"/>
        </w:numPr>
        <w:tabs>
          <w:tab w:val="left" w:pos="-2268"/>
        </w:tabs>
        <w:suppressAutoHyphens/>
        <w:rPr>
          <w:rFonts w:cs="Arial"/>
          <w:spacing w:val="-3"/>
        </w:rPr>
      </w:pPr>
      <w:r w:rsidRPr="004068F6">
        <w:rPr>
          <w:rFonts w:cs="Arial"/>
          <w:spacing w:val="-3"/>
        </w:rPr>
        <w:t xml:space="preserve">El proceso de participación constituye un escenario propicio para obtener información que permita implementar el principio de debida diligencia, con el fin de prevenir potenciales riesgos </w:t>
      </w:r>
      <w:r w:rsidR="007726E1">
        <w:rPr>
          <w:rFonts w:cs="Arial"/>
          <w:spacing w:val="-3"/>
        </w:rPr>
        <w:t xml:space="preserve">e impactos negativos </w:t>
      </w:r>
      <w:r w:rsidRPr="004068F6">
        <w:rPr>
          <w:rFonts w:cs="Arial"/>
          <w:spacing w:val="-3"/>
        </w:rPr>
        <w:t xml:space="preserve">a los derechos humanos </w:t>
      </w:r>
      <w:r w:rsidR="0004696E">
        <w:rPr>
          <w:rFonts w:cs="Arial"/>
          <w:spacing w:val="-3"/>
        </w:rPr>
        <w:t xml:space="preserve">derivados de </w:t>
      </w:r>
      <w:r w:rsidRPr="004068F6">
        <w:rPr>
          <w:rFonts w:cs="Arial"/>
          <w:spacing w:val="-3"/>
        </w:rPr>
        <w:t>los impactos ambientales del proyecto, obra o actividad.</w:t>
      </w:r>
    </w:p>
    <w:p w14:paraId="44F71CA8" w14:textId="77777777" w:rsidR="00E818FA" w:rsidRDefault="00E818FA" w:rsidP="00533295">
      <w:pPr>
        <w:numPr>
          <w:ilvl w:val="12"/>
          <w:numId w:val="0"/>
        </w:numPr>
        <w:tabs>
          <w:tab w:val="left" w:pos="-2268"/>
        </w:tabs>
        <w:suppressAutoHyphens/>
        <w:rPr>
          <w:spacing w:val="-3"/>
        </w:rPr>
      </w:pPr>
    </w:p>
    <w:p w14:paraId="18B9D775" w14:textId="1B766CCA" w:rsidR="00547C49" w:rsidRPr="004068F6" w:rsidRDefault="00547C49" w:rsidP="00547C49">
      <w:pPr>
        <w:numPr>
          <w:ilvl w:val="12"/>
          <w:numId w:val="0"/>
        </w:numPr>
        <w:tabs>
          <w:tab w:val="left" w:pos="-2268"/>
        </w:tabs>
        <w:suppressAutoHyphens/>
        <w:rPr>
          <w:rFonts w:cs="Arial"/>
          <w:spacing w:val="-3"/>
        </w:rPr>
      </w:pPr>
      <w:r>
        <w:rPr>
          <w:spacing w:val="-3"/>
        </w:rPr>
        <w:lastRenderedPageBreak/>
        <w:t xml:space="preserve">En caso de que se determine la existencia de </w:t>
      </w:r>
      <w:r w:rsidRPr="00AD540C">
        <w:rPr>
          <w:spacing w:val="-3"/>
        </w:rPr>
        <w:t>sujetos de reparación colectiva</w:t>
      </w:r>
      <w:r>
        <w:rPr>
          <w:spacing w:val="-3"/>
        </w:rPr>
        <w:t xml:space="preserve">, se debe consultar a </w:t>
      </w:r>
      <w:r w:rsidRPr="00AD540C">
        <w:rPr>
          <w:spacing w:val="-3"/>
        </w:rPr>
        <w:t xml:space="preserve">la </w:t>
      </w:r>
      <w:r w:rsidRPr="00263B8D">
        <w:rPr>
          <w:spacing w:val="-3"/>
        </w:rPr>
        <w:t xml:space="preserve">Unidad para la Atención y Reparación Integral a las Víctimas </w:t>
      </w:r>
      <w:r>
        <w:rPr>
          <w:spacing w:val="-3"/>
        </w:rPr>
        <w:t>(Unidad para las víctimas) sobre la pertinencia de adelantar un proceso de participación diferenciado para este grupo y, en caso de que así se considere, tal proceso debe abordarse de acuerdo con las directrices e indicaciones que fije dicha entidad</w:t>
      </w:r>
      <w:r w:rsidRPr="00AD540C">
        <w:rPr>
          <w:spacing w:val="-3"/>
        </w:rPr>
        <w:t xml:space="preserve">. </w:t>
      </w:r>
      <w:r w:rsidRPr="00065BF7">
        <w:rPr>
          <w:rFonts w:cs="Arial"/>
          <w:spacing w:val="-3"/>
        </w:rPr>
        <w:t xml:space="preserve">Con el propósito de </w:t>
      </w:r>
      <w:r w:rsidR="001F4DFE">
        <w:rPr>
          <w:rFonts w:cs="Arial"/>
          <w:spacing w:val="-3"/>
        </w:rPr>
        <w:t>prevenir</w:t>
      </w:r>
      <w:r w:rsidRPr="00065BF7">
        <w:rPr>
          <w:rFonts w:cs="Arial"/>
          <w:spacing w:val="-3"/>
        </w:rPr>
        <w:t xml:space="preserve"> riesgos a las personas que </w:t>
      </w:r>
      <w:r>
        <w:rPr>
          <w:rFonts w:cs="Arial"/>
          <w:spacing w:val="-3"/>
        </w:rPr>
        <w:t xml:space="preserve">se involucren al proceso de </w:t>
      </w:r>
      <w:r w:rsidRPr="00065BF7">
        <w:rPr>
          <w:rFonts w:cs="Arial"/>
          <w:spacing w:val="-3"/>
        </w:rPr>
        <w:t>participación</w:t>
      </w:r>
      <w:r>
        <w:rPr>
          <w:spacing w:val="-3"/>
        </w:rPr>
        <w:t xml:space="preserve"> (no sólo cuando se trata de </w:t>
      </w:r>
      <w:r w:rsidRPr="00AD540C">
        <w:rPr>
          <w:spacing w:val="-3"/>
        </w:rPr>
        <w:t>sujetos de reparación colectiva</w:t>
      </w:r>
      <w:r>
        <w:rPr>
          <w:spacing w:val="-3"/>
        </w:rPr>
        <w:t xml:space="preserve">), </w:t>
      </w:r>
      <w:r w:rsidR="0033685B">
        <w:rPr>
          <w:spacing w:val="-3"/>
        </w:rPr>
        <w:t>e</w:t>
      </w:r>
      <w:r>
        <w:rPr>
          <w:spacing w:val="-3"/>
        </w:rPr>
        <w:t xml:space="preserve">ste proceso debe dirigirse a los grupos </w:t>
      </w:r>
      <w:r>
        <w:rPr>
          <w:rFonts w:cs="Arial"/>
          <w:spacing w:val="-3"/>
        </w:rPr>
        <w:t>de interés identificados procurando no exacerbar los riesgos preexistentes.</w:t>
      </w:r>
    </w:p>
    <w:p w14:paraId="52C79B8A" w14:textId="77777777" w:rsidR="00FB7128" w:rsidRPr="004068F6" w:rsidRDefault="00FB7128" w:rsidP="00533295">
      <w:pPr>
        <w:numPr>
          <w:ilvl w:val="12"/>
          <w:numId w:val="0"/>
        </w:numPr>
        <w:tabs>
          <w:tab w:val="left" w:pos="-2268"/>
        </w:tabs>
        <w:suppressAutoHyphens/>
        <w:rPr>
          <w:rFonts w:cs="Arial"/>
          <w:spacing w:val="-3"/>
        </w:rPr>
      </w:pPr>
    </w:p>
    <w:p w14:paraId="246C0597" w14:textId="77777777" w:rsidR="00533295" w:rsidRPr="004068F6" w:rsidRDefault="00533295" w:rsidP="00533295">
      <w:pPr>
        <w:numPr>
          <w:ilvl w:val="12"/>
          <w:numId w:val="0"/>
        </w:numPr>
        <w:tabs>
          <w:tab w:val="left" w:pos="-2268"/>
        </w:tabs>
        <w:suppressAutoHyphens/>
        <w:rPr>
          <w:rFonts w:cs="Arial"/>
          <w:spacing w:val="-3"/>
        </w:rPr>
      </w:pPr>
      <w:r w:rsidRPr="004068F6">
        <w:rPr>
          <w:spacing w:val="-3"/>
        </w:rPr>
        <w:t>De otra parte, e</w:t>
      </w:r>
      <w:r w:rsidRPr="004068F6">
        <w:rPr>
          <w:rFonts w:cs="Arial"/>
          <w:spacing w:val="-3"/>
        </w:rPr>
        <w:t>n caso de presentarse dificultades durante el proceso de participación, incluso cuando se emplean mecanismos virtuales, se deben especificar y soportar de manera detallada las situaciones que impiden el desarrollo de un adecuado proceso participativo de los grupos de interés, así como las acciones adelantadas para garantizar la efectividad de éste.</w:t>
      </w:r>
    </w:p>
    <w:p w14:paraId="5F1F282D" w14:textId="77777777" w:rsidR="00533295" w:rsidRPr="004068F6" w:rsidRDefault="00533295" w:rsidP="00533295">
      <w:pPr>
        <w:numPr>
          <w:ilvl w:val="12"/>
          <w:numId w:val="0"/>
        </w:numPr>
        <w:tabs>
          <w:tab w:val="left" w:pos="-2268"/>
          <w:tab w:val="left" w:pos="1306"/>
        </w:tabs>
        <w:suppressAutoHyphens/>
        <w:rPr>
          <w:rFonts w:cs="Arial"/>
          <w:spacing w:val="-3"/>
        </w:rPr>
      </w:pPr>
    </w:p>
    <w:p w14:paraId="455645F7" w14:textId="77777777" w:rsidR="00533295" w:rsidRPr="004068F6" w:rsidRDefault="00533295" w:rsidP="00533295">
      <w:pPr>
        <w:numPr>
          <w:ilvl w:val="12"/>
          <w:numId w:val="0"/>
        </w:numPr>
        <w:tabs>
          <w:tab w:val="left" w:pos="-2268"/>
        </w:tabs>
        <w:suppressAutoHyphens/>
        <w:rPr>
          <w:spacing w:val="-3"/>
        </w:rPr>
      </w:pPr>
      <w:r w:rsidRPr="004068F6">
        <w:rPr>
          <w:spacing w:val="-3"/>
        </w:rPr>
        <w:t xml:space="preserve">En caso de que se determine la procedencia y oportunidad de la consulta previa, de acuerdo con </w:t>
      </w:r>
      <w:r w:rsidRPr="004068F6">
        <w:rPr>
          <w:rFonts w:cs="Arial"/>
          <w:spacing w:val="-3"/>
        </w:rPr>
        <w:t>lo establecido por la normativa vigente, se debe dar cumplimiento a lo establecido por el Ministerio del Interior - Dirección de la Autoridad Nacional de Consulta Previa (DANCP), o quién haga sus veces</w:t>
      </w:r>
      <w:r w:rsidRPr="004068F6">
        <w:rPr>
          <w:spacing w:val="-3"/>
        </w:rPr>
        <w:t xml:space="preserve"> para adelantar este proceso de consulta.</w:t>
      </w:r>
    </w:p>
    <w:p w14:paraId="19C6F41E" w14:textId="77777777" w:rsidR="00533295" w:rsidRPr="004068F6" w:rsidRDefault="00533295" w:rsidP="00533295">
      <w:pPr>
        <w:numPr>
          <w:ilvl w:val="12"/>
          <w:numId w:val="0"/>
        </w:numPr>
        <w:tabs>
          <w:tab w:val="left" w:pos="-2268"/>
        </w:tabs>
        <w:suppressAutoHyphens/>
        <w:rPr>
          <w:spacing w:val="-3"/>
        </w:rPr>
      </w:pPr>
    </w:p>
    <w:p w14:paraId="008FDF25" w14:textId="1A2D8485" w:rsidR="00533295" w:rsidRPr="004068F6" w:rsidRDefault="00533295" w:rsidP="00533295">
      <w:pPr>
        <w:numPr>
          <w:ilvl w:val="12"/>
          <w:numId w:val="0"/>
        </w:numPr>
        <w:tabs>
          <w:tab w:val="left" w:pos="-2268"/>
        </w:tabs>
        <w:suppressAutoHyphens/>
        <w:rPr>
          <w:spacing w:val="-3"/>
        </w:rPr>
      </w:pPr>
      <w:r w:rsidRPr="004068F6">
        <w:rPr>
          <w:spacing w:val="-3"/>
        </w:rPr>
        <w:t>Cuando se prevea la ocurrencia de impactos ambientales significativos transfronterizos, esta situación debe ser informada a la autoridad ambiental competente</w:t>
      </w:r>
      <w:r w:rsidR="00107B6E">
        <w:rPr>
          <w:spacing w:val="-3"/>
        </w:rPr>
        <w:t xml:space="preserve"> de forma previa a la radicación del EIA</w:t>
      </w:r>
      <w:r w:rsidR="00E43698" w:rsidRPr="004068F6">
        <w:rPr>
          <w:spacing w:val="-3"/>
        </w:rPr>
        <w:t xml:space="preserve">; </w:t>
      </w:r>
      <w:r w:rsidR="00800750">
        <w:rPr>
          <w:spacing w:val="-3"/>
        </w:rPr>
        <w:t>en es</w:t>
      </w:r>
      <w:r w:rsidR="007A4AA3">
        <w:rPr>
          <w:spacing w:val="-3"/>
        </w:rPr>
        <w:t>a</w:t>
      </w:r>
      <w:r w:rsidR="00800750">
        <w:rPr>
          <w:spacing w:val="-3"/>
        </w:rPr>
        <w:t xml:space="preserve"> </w:t>
      </w:r>
      <w:r w:rsidR="007A4AA3">
        <w:rPr>
          <w:spacing w:val="-3"/>
        </w:rPr>
        <w:t>comunicación</w:t>
      </w:r>
      <w:r w:rsidR="00C252D7">
        <w:rPr>
          <w:spacing w:val="-3"/>
        </w:rPr>
        <w:t xml:space="preserve"> previa</w:t>
      </w:r>
      <w:r w:rsidR="00E43698" w:rsidRPr="004068F6">
        <w:rPr>
          <w:spacing w:val="-3"/>
        </w:rPr>
        <w:t xml:space="preserve">, </w:t>
      </w:r>
      <w:r w:rsidR="00C252D7">
        <w:rPr>
          <w:spacing w:val="-3"/>
        </w:rPr>
        <w:t xml:space="preserve">también </w:t>
      </w:r>
      <w:r w:rsidR="00C51BC6">
        <w:rPr>
          <w:spacing w:val="-3"/>
        </w:rPr>
        <w:t xml:space="preserve">se </w:t>
      </w:r>
      <w:r w:rsidR="00E43698" w:rsidRPr="004068F6">
        <w:rPr>
          <w:spacing w:val="-3"/>
        </w:rPr>
        <w:t>debe</w:t>
      </w:r>
      <w:r w:rsidRPr="004068F6">
        <w:rPr>
          <w:spacing w:val="-3"/>
        </w:rPr>
        <w:t xml:space="preserve"> </w:t>
      </w:r>
      <w:r w:rsidR="003869C5" w:rsidRPr="004068F6">
        <w:rPr>
          <w:spacing w:val="-3"/>
        </w:rPr>
        <w:t>incluir información básica sobre las características del proyecto, los impactos ambientales que puede ocasionar</w:t>
      </w:r>
      <w:r w:rsidR="00A41A3A">
        <w:rPr>
          <w:spacing w:val="-3"/>
        </w:rPr>
        <w:t xml:space="preserve">, </w:t>
      </w:r>
      <w:r w:rsidR="003869C5" w:rsidRPr="004068F6">
        <w:rPr>
          <w:spacing w:val="-3"/>
        </w:rPr>
        <w:t>las medidas que se plantean para manejarlos</w:t>
      </w:r>
      <w:r w:rsidR="00A41A3A">
        <w:rPr>
          <w:spacing w:val="-3"/>
        </w:rPr>
        <w:t xml:space="preserve">, así como </w:t>
      </w:r>
      <w:r w:rsidR="00F5168C">
        <w:rPr>
          <w:spacing w:val="-3"/>
        </w:rPr>
        <w:t xml:space="preserve">una propuesta de </w:t>
      </w:r>
      <w:r w:rsidRPr="004068F6">
        <w:rPr>
          <w:spacing w:val="-3"/>
        </w:rPr>
        <w:t>los lugares y fechas para la ejecución de las reuniones y audiencias públicas que se planee convocar</w:t>
      </w:r>
      <w:r w:rsidR="00A10D91">
        <w:rPr>
          <w:spacing w:val="-3"/>
        </w:rPr>
        <w:t xml:space="preserve"> para socializar</w:t>
      </w:r>
      <w:r w:rsidR="009D60B7">
        <w:rPr>
          <w:spacing w:val="-3"/>
        </w:rPr>
        <w:t xml:space="preserve"> el proyecto </w:t>
      </w:r>
      <w:r w:rsidR="00A10D91">
        <w:rPr>
          <w:spacing w:val="-3"/>
        </w:rPr>
        <w:t xml:space="preserve">a los grupos de interés de los países </w:t>
      </w:r>
      <w:r w:rsidR="00D01FD0">
        <w:rPr>
          <w:spacing w:val="-3"/>
        </w:rPr>
        <w:t xml:space="preserve">que podrían </w:t>
      </w:r>
      <w:r w:rsidR="00A10D91">
        <w:rPr>
          <w:spacing w:val="-3"/>
        </w:rPr>
        <w:t>afecta</w:t>
      </w:r>
      <w:r w:rsidR="00D01FD0">
        <w:rPr>
          <w:spacing w:val="-3"/>
        </w:rPr>
        <w:t>rse</w:t>
      </w:r>
      <w:r w:rsidR="00FB2FEE">
        <w:rPr>
          <w:rStyle w:val="Refdenotaalpie"/>
          <w:spacing w:val="-3"/>
        </w:rPr>
        <w:footnoteReference w:id="120"/>
      </w:r>
      <w:r w:rsidRPr="004068F6">
        <w:rPr>
          <w:spacing w:val="-3"/>
        </w:rPr>
        <w:t>.</w:t>
      </w:r>
    </w:p>
    <w:p w14:paraId="2A70436B" w14:textId="77777777" w:rsidR="00533295" w:rsidRPr="004068F6" w:rsidRDefault="00533295" w:rsidP="00533295">
      <w:pPr>
        <w:numPr>
          <w:ilvl w:val="12"/>
          <w:numId w:val="0"/>
        </w:numPr>
        <w:tabs>
          <w:tab w:val="left" w:pos="-2268"/>
        </w:tabs>
        <w:suppressAutoHyphens/>
        <w:rPr>
          <w:spacing w:val="-3"/>
        </w:rPr>
      </w:pPr>
    </w:p>
    <w:p w14:paraId="7A3E9D64" w14:textId="0F8AAD98" w:rsidR="00533295" w:rsidRPr="004068F6" w:rsidRDefault="00533295" w:rsidP="00533295">
      <w:pPr>
        <w:numPr>
          <w:ilvl w:val="12"/>
          <w:numId w:val="0"/>
        </w:numPr>
        <w:tabs>
          <w:tab w:val="left" w:pos="-2268"/>
        </w:tabs>
        <w:suppressAutoHyphens/>
        <w:rPr>
          <w:rFonts w:cs="Arial"/>
          <w:spacing w:val="-3"/>
        </w:rPr>
      </w:pPr>
      <w:r w:rsidRPr="004068F6">
        <w:rPr>
          <w:spacing w:val="-3"/>
        </w:rPr>
        <w:t xml:space="preserve">Para asegurar que el proceso de participación </w:t>
      </w:r>
      <w:r w:rsidRPr="004068F6">
        <w:rPr>
          <w:rFonts w:cs="Arial"/>
          <w:spacing w:val="-3"/>
        </w:rPr>
        <w:t xml:space="preserve">con los grupos de interés del área de influencia </w:t>
      </w:r>
      <w:r w:rsidRPr="004068F6">
        <w:rPr>
          <w:spacing w:val="-3"/>
        </w:rPr>
        <w:t xml:space="preserve">se ejecute con las características señaladas en este numeral y para </w:t>
      </w:r>
      <w:r w:rsidRPr="004068F6">
        <w:rPr>
          <w:rFonts w:cs="Arial"/>
          <w:spacing w:val="-3"/>
        </w:rPr>
        <w:t>que cumpla con sus propósitos, es necesario desarrollar el procedimiento que se describe a continuación.</w:t>
      </w:r>
      <w:r w:rsidR="0053375A">
        <w:rPr>
          <w:rFonts w:cs="Arial"/>
          <w:spacing w:val="-3"/>
        </w:rPr>
        <w:t xml:space="preserve"> </w:t>
      </w:r>
      <w:r w:rsidR="00B706EF">
        <w:rPr>
          <w:rFonts w:cs="Arial"/>
          <w:spacing w:val="-3"/>
        </w:rPr>
        <w:t>E</w:t>
      </w:r>
      <w:r w:rsidR="00B706EF" w:rsidRPr="0053375A">
        <w:rPr>
          <w:rFonts w:cs="Arial"/>
          <w:spacing w:val="-3"/>
        </w:rPr>
        <w:t>n caso de que se le conceda licencia ambiental</w:t>
      </w:r>
      <w:r w:rsidR="00B706EF">
        <w:rPr>
          <w:rFonts w:cs="Arial"/>
          <w:spacing w:val="-3"/>
        </w:rPr>
        <w:t xml:space="preserve"> a un proyecto, obra o actividad, este </w:t>
      </w:r>
      <w:r w:rsidR="00B706EF" w:rsidRPr="0053375A">
        <w:rPr>
          <w:rFonts w:cs="Arial"/>
          <w:spacing w:val="-3"/>
        </w:rPr>
        <w:t xml:space="preserve">procedimiento </w:t>
      </w:r>
      <w:r w:rsidR="00B706EF">
        <w:rPr>
          <w:rFonts w:cs="Arial"/>
          <w:spacing w:val="-3"/>
        </w:rPr>
        <w:t xml:space="preserve">debe ser considerado </w:t>
      </w:r>
      <w:r w:rsidR="00B706EF" w:rsidRPr="0053375A">
        <w:rPr>
          <w:rFonts w:cs="Arial"/>
          <w:spacing w:val="-3"/>
        </w:rPr>
        <w:t xml:space="preserve">para </w:t>
      </w:r>
      <w:r w:rsidR="00B706EF">
        <w:rPr>
          <w:rFonts w:cs="Arial"/>
          <w:spacing w:val="-3"/>
        </w:rPr>
        <w:t xml:space="preserve">abordar los </w:t>
      </w:r>
      <w:r w:rsidR="00B706EF" w:rsidRPr="0053375A">
        <w:rPr>
          <w:rFonts w:cs="Arial"/>
          <w:spacing w:val="-3"/>
        </w:rPr>
        <w:t xml:space="preserve">espacios de participación </w:t>
      </w:r>
      <w:r w:rsidR="00B706EF">
        <w:rPr>
          <w:rFonts w:cs="Arial"/>
          <w:spacing w:val="-3"/>
        </w:rPr>
        <w:t xml:space="preserve">durante sus </w:t>
      </w:r>
      <w:r w:rsidR="00B706EF" w:rsidRPr="0053375A">
        <w:rPr>
          <w:rFonts w:cs="Arial"/>
          <w:spacing w:val="-3"/>
        </w:rPr>
        <w:t>diferentes etapas de ejecución</w:t>
      </w:r>
      <w:r w:rsidR="00B706EF">
        <w:rPr>
          <w:rFonts w:cs="Arial"/>
          <w:spacing w:val="-3"/>
        </w:rPr>
        <w:t xml:space="preserve"> (las cuales son objeto de seguimiento ambiental).</w:t>
      </w:r>
    </w:p>
    <w:p w14:paraId="4F28FE30" w14:textId="77777777" w:rsidR="00533295" w:rsidRPr="004068F6" w:rsidRDefault="00533295" w:rsidP="00533295">
      <w:pPr>
        <w:numPr>
          <w:ilvl w:val="12"/>
          <w:numId w:val="0"/>
        </w:numPr>
        <w:tabs>
          <w:tab w:val="left" w:pos="-2268"/>
        </w:tabs>
        <w:suppressAutoHyphens/>
        <w:rPr>
          <w:spacing w:val="-3"/>
        </w:rPr>
      </w:pPr>
    </w:p>
    <w:p w14:paraId="72AC50D3" w14:textId="6C984D69" w:rsidR="00533295" w:rsidRPr="00127BD4" w:rsidRDefault="00B55C27" w:rsidP="00533295">
      <w:pPr>
        <w:pStyle w:val="Ttulo2"/>
        <w:rPr>
          <w:bCs/>
          <w:spacing w:val="-3"/>
          <w:lang w:val="es-CO"/>
        </w:rPr>
      </w:pPr>
      <w:bookmarkStart w:id="2592" w:name="_Toc230879642"/>
      <w:r>
        <w:rPr>
          <w:bCs/>
          <w:spacing w:val="-3"/>
          <w:lang w:val="es-CO"/>
        </w:rPr>
        <w:t>FASES</w:t>
      </w:r>
      <w:r w:rsidR="00533295" w:rsidRPr="00127BD4">
        <w:rPr>
          <w:bCs/>
          <w:spacing w:val="-3"/>
          <w:lang w:val="es-CO"/>
        </w:rPr>
        <w:t xml:space="preserve"> DEL PROCESO DE PARTICIPACIÓN</w:t>
      </w:r>
      <w:bookmarkEnd w:id="2592"/>
    </w:p>
    <w:p w14:paraId="57A5A33D" w14:textId="77777777" w:rsidR="00533295" w:rsidRPr="004068F6" w:rsidRDefault="00533295" w:rsidP="00533295">
      <w:pPr>
        <w:numPr>
          <w:ilvl w:val="12"/>
          <w:numId w:val="0"/>
        </w:numPr>
        <w:tabs>
          <w:tab w:val="left" w:pos="-2268"/>
        </w:tabs>
        <w:suppressAutoHyphens/>
        <w:rPr>
          <w:spacing w:val="-3"/>
        </w:rPr>
      </w:pPr>
    </w:p>
    <w:p w14:paraId="08744D48" w14:textId="1A5D26C8" w:rsidR="00533295" w:rsidRPr="00127BD4" w:rsidRDefault="00533295" w:rsidP="00533295">
      <w:pPr>
        <w:numPr>
          <w:ilvl w:val="12"/>
          <w:numId w:val="0"/>
        </w:numPr>
        <w:tabs>
          <w:tab w:val="left" w:pos="-2268"/>
        </w:tabs>
        <w:suppressAutoHyphens/>
        <w:rPr>
          <w:spacing w:val="-3"/>
        </w:rPr>
      </w:pPr>
      <w:r w:rsidRPr="00127BD4">
        <w:rPr>
          <w:spacing w:val="-3"/>
        </w:rPr>
        <w:t xml:space="preserve">A continuación, se presentan los lineamientos que deben aplicarse para desarrollar el proceso de participación mediante tres </w:t>
      </w:r>
      <w:r w:rsidR="00B55C27">
        <w:rPr>
          <w:spacing w:val="-3"/>
        </w:rPr>
        <w:t>fases</w:t>
      </w:r>
      <w:r w:rsidRPr="00127BD4">
        <w:rPr>
          <w:spacing w:val="-3"/>
        </w:rPr>
        <w:t xml:space="preserve"> diferenciadas, a saber: planeación, ejecución de los espacios de participación y, análisis y comunicación de resultados.</w:t>
      </w:r>
    </w:p>
    <w:p w14:paraId="70C568C5" w14:textId="77777777" w:rsidR="00533295" w:rsidRPr="00127BD4" w:rsidRDefault="00533295" w:rsidP="00533295">
      <w:pPr>
        <w:numPr>
          <w:ilvl w:val="12"/>
          <w:numId w:val="0"/>
        </w:numPr>
        <w:tabs>
          <w:tab w:val="left" w:pos="-2268"/>
        </w:tabs>
        <w:suppressAutoHyphens/>
        <w:rPr>
          <w:spacing w:val="-3"/>
        </w:rPr>
      </w:pPr>
    </w:p>
    <w:p w14:paraId="60512E72" w14:textId="77777777" w:rsidR="00533295" w:rsidRPr="00466E26" w:rsidRDefault="00533295" w:rsidP="000A1E20">
      <w:pPr>
        <w:pStyle w:val="Ttulo3"/>
      </w:pPr>
      <w:bookmarkStart w:id="2593" w:name="_Ref213933073"/>
      <w:bookmarkStart w:id="2594" w:name="_Ref216345935"/>
      <w:bookmarkStart w:id="2595" w:name="_Toc230879643"/>
      <w:r w:rsidRPr="00466E26">
        <w:t>Planeación</w:t>
      </w:r>
      <w:bookmarkEnd w:id="2593"/>
      <w:bookmarkEnd w:id="2594"/>
      <w:bookmarkEnd w:id="2595"/>
    </w:p>
    <w:p w14:paraId="256FC660" w14:textId="77777777" w:rsidR="00533295" w:rsidRPr="004068F6" w:rsidRDefault="00533295" w:rsidP="00533295">
      <w:pPr>
        <w:numPr>
          <w:ilvl w:val="12"/>
          <w:numId w:val="0"/>
        </w:numPr>
        <w:tabs>
          <w:tab w:val="left" w:pos="-2268"/>
        </w:tabs>
        <w:suppressAutoHyphens/>
        <w:rPr>
          <w:spacing w:val="-3"/>
        </w:rPr>
      </w:pPr>
    </w:p>
    <w:p w14:paraId="4C1A071F" w14:textId="6477BED7" w:rsidR="00533295" w:rsidRPr="004068F6" w:rsidRDefault="00533295" w:rsidP="00533295">
      <w:pPr>
        <w:numPr>
          <w:ilvl w:val="12"/>
          <w:numId w:val="0"/>
        </w:numPr>
        <w:tabs>
          <w:tab w:val="left" w:pos="-2268"/>
        </w:tabs>
        <w:suppressAutoHyphens/>
        <w:rPr>
          <w:spacing w:val="-3"/>
        </w:rPr>
      </w:pPr>
      <w:r w:rsidRPr="004068F6">
        <w:rPr>
          <w:spacing w:val="-3"/>
        </w:rPr>
        <w:t xml:space="preserve">En esta </w:t>
      </w:r>
      <w:r w:rsidR="004150D7">
        <w:rPr>
          <w:spacing w:val="-3"/>
        </w:rPr>
        <w:t>fase</w:t>
      </w:r>
      <w:r w:rsidRPr="004068F6">
        <w:rPr>
          <w:spacing w:val="-3"/>
        </w:rPr>
        <w:t xml:space="preserve"> del proceso de participación pública ambiental</w:t>
      </w:r>
      <w:r w:rsidR="00941891">
        <w:rPr>
          <w:spacing w:val="-3"/>
        </w:rPr>
        <w:t xml:space="preserve">, que debe abordarse de forma previa </w:t>
      </w:r>
      <w:r w:rsidR="00941891" w:rsidRPr="00015378">
        <w:rPr>
          <w:spacing w:val="-3"/>
        </w:rPr>
        <w:t xml:space="preserve">o </w:t>
      </w:r>
      <w:r w:rsidR="00941891">
        <w:rPr>
          <w:spacing w:val="-3"/>
        </w:rPr>
        <w:t xml:space="preserve">en las </w:t>
      </w:r>
      <w:r w:rsidR="00941891" w:rsidRPr="00015378">
        <w:rPr>
          <w:spacing w:val="-3"/>
        </w:rPr>
        <w:t>primeras fases de la elaboración del estudio ambiental</w:t>
      </w:r>
      <w:r w:rsidR="00941891">
        <w:rPr>
          <w:spacing w:val="-3"/>
        </w:rPr>
        <w:t>,</w:t>
      </w:r>
      <w:r w:rsidR="00941891" w:rsidRPr="004068F6">
        <w:rPr>
          <w:spacing w:val="-3"/>
        </w:rPr>
        <w:t xml:space="preserve"> </w:t>
      </w:r>
      <w:r w:rsidRPr="004068F6">
        <w:rPr>
          <w:spacing w:val="-3"/>
        </w:rPr>
        <w:t xml:space="preserve">se debe analizar la información </w:t>
      </w:r>
      <w:r w:rsidR="00BC1FAE" w:rsidRPr="004068F6">
        <w:rPr>
          <w:spacing w:val="-3"/>
        </w:rPr>
        <w:t xml:space="preserve">disponible </w:t>
      </w:r>
      <w:r w:rsidRPr="004068F6">
        <w:rPr>
          <w:spacing w:val="-3"/>
        </w:rPr>
        <w:t>recopilada en la caracterización ambiental, fundamentalmente la que señala las particularidades sociales, económicas y culturales de los grupos de interés del área de influencia con el fin de establecer estrategias con enfoque diferencial a la medida de cada situación, mecanismos, medios de comunicación y demás elementos que se deben conjugar para desarrollar un proceso de participación efectivo que garantice tanto sus características y propósitos, como la legitimidad del proceso de toma de decisión.</w:t>
      </w:r>
    </w:p>
    <w:p w14:paraId="1D901D96" w14:textId="77777777" w:rsidR="00533295" w:rsidRPr="004068F6" w:rsidRDefault="00533295" w:rsidP="00533295">
      <w:pPr>
        <w:numPr>
          <w:ilvl w:val="12"/>
          <w:numId w:val="0"/>
        </w:numPr>
        <w:tabs>
          <w:tab w:val="left" w:pos="-2268"/>
        </w:tabs>
        <w:suppressAutoHyphens/>
        <w:rPr>
          <w:spacing w:val="-3"/>
        </w:rPr>
      </w:pPr>
    </w:p>
    <w:p w14:paraId="3CCBB77E" w14:textId="0EA30666" w:rsidR="00533295" w:rsidRPr="004068F6" w:rsidRDefault="00533295" w:rsidP="00533295">
      <w:pPr>
        <w:numPr>
          <w:ilvl w:val="12"/>
          <w:numId w:val="0"/>
        </w:numPr>
        <w:tabs>
          <w:tab w:val="left" w:pos="-2268"/>
        </w:tabs>
        <w:suppressAutoHyphens/>
        <w:rPr>
          <w:spacing w:val="-3"/>
        </w:rPr>
      </w:pPr>
      <w:r w:rsidRPr="004068F6">
        <w:rPr>
          <w:spacing w:val="-3"/>
        </w:rPr>
        <w:t>Para ello es necesario adelantar acciones de identificación de los participantes del proceso, aprestamiento para ejecutar el proceso de participación, preparación de los espacios de participación y realización de la convocatoria.</w:t>
      </w:r>
      <w:r w:rsidR="00A87E09" w:rsidRPr="004068F6">
        <w:t xml:space="preserve"> </w:t>
      </w:r>
      <w:r w:rsidR="00A87E09" w:rsidRPr="004068F6">
        <w:rPr>
          <w:spacing w:val="-3"/>
        </w:rPr>
        <w:t xml:space="preserve">Asimismo, a partir de esta etapa, se debe formular y aplicar </w:t>
      </w:r>
      <w:r w:rsidR="006A53D9" w:rsidRPr="004068F6">
        <w:rPr>
          <w:spacing w:val="-3"/>
        </w:rPr>
        <w:t xml:space="preserve">coordinadamente, </w:t>
      </w:r>
      <w:r w:rsidR="00A87E09" w:rsidRPr="004068F6">
        <w:rPr>
          <w:spacing w:val="-3"/>
        </w:rPr>
        <w:t xml:space="preserve">un </w:t>
      </w:r>
      <w:r w:rsidR="005B1299" w:rsidRPr="00127BD4">
        <w:rPr>
          <w:i/>
          <w:iCs/>
          <w:spacing w:val="-3"/>
        </w:rPr>
        <w:t xml:space="preserve">conjunto de </w:t>
      </w:r>
      <w:r w:rsidR="00A87E09" w:rsidRPr="00127BD4">
        <w:rPr>
          <w:i/>
          <w:iCs/>
          <w:spacing w:val="-3"/>
        </w:rPr>
        <w:t>acci</w:t>
      </w:r>
      <w:r w:rsidR="005B1299" w:rsidRPr="00127BD4">
        <w:rPr>
          <w:i/>
          <w:iCs/>
          <w:spacing w:val="-3"/>
        </w:rPr>
        <w:t xml:space="preserve">ones </w:t>
      </w:r>
      <w:r w:rsidR="00A87E09" w:rsidRPr="00127BD4">
        <w:rPr>
          <w:i/>
          <w:iCs/>
          <w:spacing w:val="-3"/>
        </w:rPr>
        <w:t>para la atención de conflictos socioambientales</w:t>
      </w:r>
      <w:r w:rsidR="00A87E09" w:rsidRPr="004068F6">
        <w:rPr>
          <w:spacing w:val="-3"/>
        </w:rPr>
        <w:t xml:space="preserve"> que se puedan presentar en el proceso de elaboración del EIA. </w:t>
      </w:r>
      <w:r w:rsidR="007D7C5A" w:rsidRPr="004068F6">
        <w:rPr>
          <w:spacing w:val="-3"/>
        </w:rPr>
        <w:t>Con este fin</w:t>
      </w:r>
      <w:r w:rsidR="00A87E09" w:rsidRPr="004068F6">
        <w:rPr>
          <w:spacing w:val="-3"/>
        </w:rPr>
        <w:t>, se debe tener en cuenta los conflictos existentes asociados uso, acceso, apropiación de los recursos naturales en el territorio que podrían verse acentuados con la expectativa del desarrollo proyecto. Est</w:t>
      </w:r>
      <w:r w:rsidR="0012261C" w:rsidRPr="004068F6">
        <w:rPr>
          <w:spacing w:val="-3"/>
        </w:rPr>
        <w:t xml:space="preserve">as acciones </w:t>
      </w:r>
      <w:r w:rsidR="00A87E09" w:rsidRPr="004068F6">
        <w:rPr>
          <w:spacing w:val="-3"/>
        </w:rPr>
        <w:t>debe</w:t>
      </w:r>
      <w:r w:rsidR="0012261C" w:rsidRPr="004068F6">
        <w:rPr>
          <w:spacing w:val="-3"/>
        </w:rPr>
        <w:t>n</w:t>
      </w:r>
      <w:r w:rsidR="00A87E09" w:rsidRPr="004068F6">
        <w:rPr>
          <w:spacing w:val="-3"/>
        </w:rPr>
        <w:t xml:space="preserve"> ser objeto de mejora permanentemente según los resultados de los espacios de participación.</w:t>
      </w:r>
    </w:p>
    <w:p w14:paraId="6E4B38DC" w14:textId="77777777" w:rsidR="00533295" w:rsidRPr="004068F6" w:rsidRDefault="00533295" w:rsidP="00533295">
      <w:pPr>
        <w:numPr>
          <w:ilvl w:val="12"/>
          <w:numId w:val="0"/>
        </w:numPr>
        <w:tabs>
          <w:tab w:val="left" w:pos="-2268"/>
        </w:tabs>
        <w:suppressAutoHyphens/>
        <w:rPr>
          <w:spacing w:val="-3"/>
        </w:rPr>
      </w:pPr>
    </w:p>
    <w:p w14:paraId="56D132D3" w14:textId="77777777" w:rsidR="00533295" w:rsidRPr="004068F6" w:rsidRDefault="00533295" w:rsidP="00533295">
      <w:pPr>
        <w:pStyle w:val="Ttulo4"/>
        <w:tabs>
          <w:tab w:val="clear" w:pos="1844"/>
          <w:tab w:val="num" w:pos="1134"/>
        </w:tabs>
        <w:ind w:left="0"/>
        <w:rPr>
          <w:lang w:val="es-CO"/>
        </w:rPr>
      </w:pPr>
      <w:bookmarkStart w:id="2596" w:name="_Ref214023722"/>
      <w:r w:rsidRPr="004068F6">
        <w:rPr>
          <w:lang w:val="es-CO"/>
        </w:rPr>
        <w:t>Identificación de los participantes del proceso y de sus características</w:t>
      </w:r>
      <w:bookmarkEnd w:id="2596"/>
    </w:p>
    <w:p w14:paraId="3297BFDD" w14:textId="77777777" w:rsidR="00533295" w:rsidRPr="004068F6" w:rsidRDefault="00533295" w:rsidP="00533295">
      <w:pPr>
        <w:tabs>
          <w:tab w:val="left" w:pos="-2268"/>
        </w:tabs>
        <w:suppressAutoHyphens/>
        <w:rPr>
          <w:spacing w:val="-3"/>
        </w:rPr>
      </w:pPr>
    </w:p>
    <w:p w14:paraId="700E3A6C" w14:textId="77777777" w:rsidR="0014122F" w:rsidRPr="004068F6" w:rsidRDefault="00533295" w:rsidP="0014122F">
      <w:pPr>
        <w:tabs>
          <w:tab w:val="left" w:pos="-2268"/>
        </w:tabs>
        <w:suppressAutoHyphens/>
        <w:rPr>
          <w:spacing w:val="-3"/>
        </w:rPr>
      </w:pPr>
      <w:r w:rsidRPr="004068F6">
        <w:rPr>
          <w:spacing w:val="-3"/>
        </w:rPr>
        <w:t>Se deben identificar los grupos de interés localizados en el área de influencia del proyecto, obra o actividad, y determinar tanto sus principales características sociales, económicas y culturales</w:t>
      </w:r>
      <w:r w:rsidRPr="00127BD4">
        <w:rPr>
          <w:rStyle w:val="Refdenotaalpie"/>
          <w:spacing w:val="-3"/>
          <w:lang w:val="es-CO"/>
        </w:rPr>
        <w:footnoteReference w:id="121"/>
      </w:r>
      <w:r w:rsidRPr="004068F6">
        <w:rPr>
          <w:spacing w:val="-3"/>
        </w:rPr>
        <w:t>, como el contexto socioeconómico y político y la organización político-administrativa del área de influencia.</w:t>
      </w:r>
      <w:r w:rsidR="0014122F" w:rsidRPr="004068F6">
        <w:rPr>
          <w:spacing w:val="-3"/>
        </w:rPr>
        <w:t xml:space="preserve"> Se deben tener en cuenta enfoques diferenciales para fomentar la participación de personas o grupos con mayores dificultades para acceder a la información y a la participación.</w:t>
      </w:r>
    </w:p>
    <w:p w14:paraId="6CE43B4A" w14:textId="77777777" w:rsidR="0014122F" w:rsidRPr="004068F6" w:rsidRDefault="0014122F" w:rsidP="0014122F">
      <w:pPr>
        <w:tabs>
          <w:tab w:val="left" w:pos="-2268"/>
        </w:tabs>
        <w:suppressAutoHyphens/>
        <w:rPr>
          <w:spacing w:val="-3"/>
        </w:rPr>
      </w:pPr>
    </w:p>
    <w:p w14:paraId="18009F55" w14:textId="1F394236" w:rsidR="005300FF" w:rsidRPr="004068F6" w:rsidRDefault="005300FF" w:rsidP="0014122F">
      <w:pPr>
        <w:tabs>
          <w:tab w:val="left" w:pos="-2268"/>
        </w:tabs>
        <w:suppressAutoHyphens/>
        <w:rPr>
          <w:spacing w:val="-3"/>
        </w:rPr>
      </w:pPr>
      <w:r w:rsidRPr="004068F6">
        <w:rPr>
          <w:spacing w:val="-3"/>
        </w:rPr>
        <w:t xml:space="preserve">Se deben identificar las características del entorno en </w:t>
      </w:r>
      <w:r w:rsidR="00E90732">
        <w:rPr>
          <w:spacing w:val="-3"/>
        </w:rPr>
        <w:t xml:space="preserve">el </w:t>
      </w:r>
      <w:r w:rsidRPr="004068F6">
        <w:rPr>
          <w:spacing w:val="-3"/>
        </w:rPr>
        <w:t>que se efectúa el proceso participativo</w:t>
      </w:r>
      <w:r w:rsidR="006D13A5" w:rsidRPr="004068F6">
        <w:rPr>
          <w:spacing w:val="-3"/>
        </w:rPr>
        <w:t>,</w:t>
      </w:r>
      <w:r w:rsidRPr="004068F6">
        <w:rPr>
          <w:spacing w:val="-3"/>
        </w:rPr>
        <w:t xml:space="preserve"> en particular, si </w:t>
      </w:r>
      <w:r w:rsidR="006D13A5" w:rsidRPr="004068F6">
        <w:rPr>
          <w:spacing w:val="-3"/>
        </w:rPr>
        <w:t xml:space="preserve">las entidades territoriales </w:t>
      </w:r>
      <w:r w:rsidRPr="004068F6">
        <w:rPr>
          <w:spacing w:val="-3"/>
        </w:rPr>
        <w:t>en l</w:t>
      </w:r>
      <w:r w:rsidR="004F40B9" w:rsidRPr="004068F6">
        <w:rPr>
          <w:spacing w:val="-3"/>
        </w:rPr>
        <w:t>a</w:t>
      </w:r>
      <w:r w:rsidRPr="004068F6">
        <w:rPr>
          <w:spacing w:val="-3"/>
        </w:rPr>
        <w:t xml:space="preserve">s cuales van a tener lugar los espacios participativos </w:t>
      </w:r>
      <w:r w:rsidR="004F40B9" w:rsidRPr="004068F6">
        <w:rPr>
          <w:spacing w:val="-3"/>
        </w:rPr>
        <w:t xml:space="preserve">presentan </w:t>
      </w:r>
      <w:r w:rsidRPr="004068F6">
        <w:rPr>
          <w:spacing w:val="-3"/>
        </w:rPr>
        <w:t>un riesgo medio, alto o extremo para la labor de las personas, grupos u organizaciones defensoras de derechos humanos en asuntos ambientales, de acuerdo con las alertas tempranas de la Defensoría del Pueblo</w:t>
      </w:r>
      <w:r w:rsidR="005E4631" w:rsidRPr="004068F6">
        <w:rPr>
          <w:spacing w:val="-3"/>
        </w:rPr>
        <w:t xml:space="preserve"> </w:t>
      </w:r>
      <w:r w:rsidR="005E4631" w:rsidRPr="004068F6">
        <w:rPr>
          <w:rFonts w:cs="Arial"/>
          <w:spacing w:val="-3"/>
        </w:rPr>
        <w:t>que hagan una valoración riesgo para su labor</w:t>
      </w:r>
      <w:r w:rsidR="005E4631" w:rsidRPr="00127BD4">
        <w:rPr>
          <w:rStyle w:val="Refdenotaalpie"/>
          <w:rFonts w:cs="Arial"/>
          <w:spacing w:val="-3"/>
          <w:lang w:val="es-CO"/>
        </w:rPr>
        <w:footnoteReference w:id="122"/>
      </w:r>
      <w:r w:rsidR="005B6A33" w:rsidRPr="004068F6">
        <w:rPr>
          <w:rFonts w:cs="Arial"/>
          <w:spacing w:val="-3"/>
        </w:rPr>
        <w:t>.</w:t>
      </w:r>
    </w:p>
    <w:p w14:paraId="5C90F0F5" w14:textId="77777777" w:rsidR="005300FF" w:rsidRPr="004068F6" w:rsidRDefault="005300FF" w:rsidP="0014122F">
      <w:pPr>
        <w:tabs>
          <w:tab w:val="left" w:pos="-2268"/>
        </w:tabs>
        <w:suppressAutoHyphens/>
        <w:rPr>
          <w:spacing w:val="-3"/>
        </w:rPr>
      </w:pPr>
    </w:p>
    <w:p w14:paraId="592B6644" w14:textId="10800F1C" w:rsidR="0030663B" w:rsidRDefault="0014122F" w:rsidP="00764A12">
      <w:pPr>
        <w:tabs>
          <w:tab w:val="left" w:pos="-2268"/>
        </w:tabs>
        <w:suppressAutoHyphens/>
        <w:rPr>
          <w:spacing w:val="-3"/>
        </w:rPr>
      </w:pPr>
      <w:r w:rsidRPr="004068F6">
        <w:rPr>
          <w:spacing w:val="-3"/>
        </w:rPr>
        <w:t>Para contexto</w:t>
      </w:r>
      <w:r w:rsidR="00014F3F" w:rsidRPr="004068F6">
        <w:rPr>
          <w:spacing w:val="-3"/>
        </w:rPr>
        <w:t>s</w:t>
      </w:r>
      <w:r w:rsidRPr="004068F6">
        <w:rPr>
          <w:spacing w:val="-3"/>
        </w:rPr>
        <w:t xml:space="preserve"> de riesgo medio, alto o extremo, se deben formular e implementar </w:t>
      </w:r>
      <w:r w:rsidR="00350DEE" w:rsidRPr="004068F6">
        <w:rPr>
          <w:spacing w:val="-3"/>
        </w:rPr>
        <w:t>acciones</w:t>
      </w:r>
      <w:r w:rsidRPr="004068F6">
        <w:rPr>
          <w:spacing w:val="-3"/>
        </w:rPr>
        <w:t xml:space="preserve"> diferenciadas orientadas al relacionamiento con personas, grupos y organizaciones defensoras de </w:t>
      </w:r>
      <w:r w:rsidR="00421FA9" w:rsidRPr="004068F6">
        <w:rPr>
          <w:spacing w:val="-3"/>
        </w:rPr>
        <w:t xml:space="preserve">derechos humanos </w:t>
      </w:r>
      <w:r w:rsidRPr="004068F6">
        <w:rPr>
          <w:spacing w:val="-3"/>
        </w:rPr>
        <w:t>en asuntos ambientales.</w:t>
      </w:r>
      <w:r w:rsidR="00762975" w:rsidRPr="004068F6">
        <w:rPr>
          <w:spacing w:val="-3"/>
        </w:rPr>
        <w:t xml:space="preserve"> </w:t>
      </w:r>
      <w:r w:rsidR="00764A12">
        <w:rPr>
          <w:spacing w:val="-3"/>
        </w:rPr>
        <w:t xml:space="preserve">Estas </w:t>
      </w:r>
      <w:r w:rsidR="005005F3">
        <w:rPr>
          <w:spacing w:val="-3"/>
        </w:rPr>
        <w:t xml:space="preserve">acciones </w:t>
      </w:r>
      <w:r w:rsidR="00764A12">
        <w:rPr>
          <w:spacing w:val="-3"/>
        </w:rPr>
        <w:t>deben contemplar la posibilidad de formular solicitudes de acompañamiento del Ministerio Público y Fuerza pública, Unidad Nacional de Protección, entre otras, para el desarrollo de espacios participativos, medios para difundir información relacionada con el proyecto y estrategias para que las personas pued</w:t>
      </w:r>
      <w:r w:rsidR="008F14E5">
        <w:rPr>
          <w:spacing w:val="-3"/>
        </w:rPr>
        <w:t>a</w:t>
      </w:r>
      <w:r w:rsidR="00764A12">
        <w:rPr>
          <w:spacing w:val="-3"/>
        </w:rPr>
        <w:t>n aportar sus inquietudes, sugerencias o preocupaciones de manera anónima.</w:t>
      </w:r>
    </w:p>
    <w:p w14:paraId="055D5E2C" w14:textId="77777777" w:rsidR="0030663B" w:rsidRDefault="0030663B" w:rsidP="00764A12">
      <w:pPr>
        <w:tabs>
          <w:tab w:val="left" w:pos="-2268"/>
        </w:tabs>
        <w:suppressAutoHyphens/>
        <w:rPr>
          <w:spacing w:val="-3"/>
        </w:rPr>
      </w:pPr>
    </w:p>
    <w:p w14:paraId="02A85AC1" w14:textId="1BD05068" w:rsidR="00533295" w:rsidRPr="004068F6" w:rsidRDefault="00764A12" w:rsidP="00764A12">
      <w:pPr>
        <w:tabs>
          <w:tab w:val="left" w:pos="-2268"/>
        </w:tabs>
        <w:suppressAutoHyphens/>
        <w:rPr>
          <w:spacing w:val="-3"/>
        </w:rPr>
      </w:pPr>
      <w:r>
        <w:rPr>
          <w:spacing w:val="-3"/>
        </w:rPr>
        <w:t xml:space="preserve">En el desarrollo de espacios participativos y, en general en el relacionamiento con personas, grupos y organizaciones defensoras de </w:t>
      </w:r>
      <w:r w:rsidR="00260E7A">
        <w:rPr>
          <w:spacing w:val="-3"/>
        </w:rPr>
        <w:t xml:space="preserve">derechos humanos </w:t>
      </w:r>
      <w:r>
        <w:rPr>
          <w:spacing w:val="-3"/>
        </w:rPr>
        <w:t>en asuntos ambientales, se debe evitar el uso de expresiones, pronunciamientos o calificación de posiciones que puedan generar o acentuar el riesgo para su vida o integridad</w:t>
      </w:r>
      <w:r w:rsidR="00623177">
        <w:rPr>
          <w:spacing w:val="-3"/>
        </w:rPr>
        <w:t xml:space="preserve">; </w:t>
      </w:r>
      <w:r w:rsidR="001C57C5">
        <w:rPr>
          <w:spacing w:val="-3"/>
        </w:rPr>
        <w:t xml:space="preserve">implementar un relacionamiento </w:t>
      </w:r>
      <w:r w:rsidR="00623177" w:rsidRPr="004068F6">
        <w:rPr>
          <w:spacing w:val="-3"/>
        </w:rPr>
        <w:t xml:space="preserve">asertivo con las comunidades y </w:t>
      </w:r>
      <w:r w:rsidR="00333B26">
        <w:rPr>
          <w:spacing w:val="-3"/>
        </w:rPr>
        <w:t xml:space="preserve">un mecanismo de </w:t>
      </w:r>
      <w:r w:rsidR="00623177" w:rsidRPr="004068F6">
        <w:rPr>
          <w:spacing w:val="-3"/>
        </w:rPr>
        <w:t>tratamiento de datos personales, especialmente respecto a la calificación de las posiciones, comunicados públicos y dialogo, con el objeto de evitar la exposición y/o perfilamiento</w:t>
      </w:r>
      <w:r w:rsidR="00004E4F">
        <w:rPr>
          <w:spacing w:val="-3"/>
        </w:rPr>
        <w:t xml:space="preserve">; </w:t>
      </w:r>
      <w:r w:rsidR="005814A4">
        <w:rPr>
          <w:spacing w:val="-3"/>
        </w:rPr>
        <w:t>plantear a</w:t>
      </w:r>
      <w:r w:rsidR="005814A4" w:rsidRPr="005814A4">
        <w:rPr>
          <w:spacing w:val="-3"/>
        </w:rPr>
        <w:t>lternativas semipresenciales, semiprivadas u otras para desarrollo de los espacios de participación cuando se advierta que el espacio colectivo puede acentuar el riesgo de las personas asistentes</w:t>
      </w:r>
      <w:r w:rsidR="00762975" w:rsidRPr="004068F6">
        <w:rPr>
          <w:spacing w:val="-3"/>
        </w:rPr>
        <w:t>.</w:t>
      </w:r>
    </w:p>
    <w:p w14:paraId="0FAE4CF2" w14:textId="77777777" w:rsidR="00533295" w:rsidRPr="004068F6" w:rsidRDefault="00533295" w:rsidP="00533295">
      <w:pPr>
        <w:tabs>
          <w:tab w:val="left" w:pos="-2268"/>
        </w:tabs>
        <w:suppressAutoHyphens/>
        <w:rPr>
          <w:spacing w:val="-3"/>
        </w:rPr>
      </w:pPr>
    </w:p>
    <w:p w14:paraId="2CCAA78D" w14:textId="77777777" w:rsidR="00533295" w:rsidRPr="004068F6" w:rsidRDefault="00533295" w:rsidP="00533295">
      <w:pPr>
        <w:pStyle w:val="Ttulo4"/>
        <w:tabs>
          <w:tab w:val="clear" w:pos="1844"/>
          <w:tab w:val="num" w:pos="1134"/>
        </w:tabs>
        <w:ind w:left="0"/>
        <w:rPr>
          <w:lang w:val="es-CO"/>
        </w:rPr>
      </w:pPr>
      <w:r w:rsidRPr="004068F6">
        <w:rPr>
          <w:lang w:val="es-CO"/>
        </w:rPr>
        <w:t>Aprestamiento</w:t>
      </w:r>
    </w:p>
    <w:p w14:paraId="758A8936" w14:textId="77777777" w:rsidR="00533295" w:rsidRPr="004068F6" w:rsidRDefault="00533295" w:rsidP="00533295">
      <w:pPr>
        <w:tabs>
          <w:tab w:val="left" w:pos="-2268"/>
        </w:tabs>
        <w:suppressAutoHyphens/>
        <w:rPr>
          <w:spacing w:val="-3"/>
        </w:rPr>
      </w:pPr>
    </w:p>
    <w:p w14:paraId="5EBED746" w14:textId="73E67A8E" w:rsidR="00533295" w:rsidRPr="004068F6" w:rsidRDefault="00533295" w:rsidP="000D6E21">
      <w:pPr>
        <w:tabs>
          <w:tab w:val="left" w:pos="-2268"/>
        </w:tabs>
        <w:suppressAutoHyphens/>
        <w:rPr>
          <w:spacing w:val="-3"/>
        </w:rPr>
      </w:pPr>
      <w:r w:rsidRPr="004068F6">
        <w:rPr>
          <w:rFonts w:cs="Arial"/>
          <w:spacing w:val="-3"/>
        </w:rPr>
        <w:t xml:space="preserve">Se debe elaborar y </w:t>
      </w:r>
      <w:r w:rsidRPr="004068F6">
        <w:rPr>
          <w:spacing w:val="-3"/>
        </w:rPr>
        <w:t>publicar (en la página web del interesado</w:t>
      </w:r>
      <w:r w:rsidR="00DF29E5" w:rsidRPr="004068F6">
        <w:rPr>
          <w:spacing w:val="-3"/>
        </w:rPr>
        <w:t>,</w:t>
      </w:r>
      <w:r w:rsidRPr="004068F6">
        <w:rPr>
          <w:spacing w:val="-3"/>
        </w:rPr>
        <w:t xml:space="preserve"> en medios de amplia circulación</w:t>
      </w:r>
      <w:r w:rsidR="000C00E9" w:rsidRPr="004068F6">
        <w:rPr>
          <w:spacing w:val="-3"/>
        </w:rPr>
        <w:t xml:space="preserve"> o</w:t>
      </w:r>
      <w:r w:rsidR="000C00E9" w:rsidRPr="00127BD4">
        <w:rPr>
          <w:spacing w:val="-3"/>
        </w:rPr>
        <w:t xml:space="preserve"> </w:t>
      </w:r>
      <w:r w:rsidR="00203508" w:rsidRPr="004068F6">
        <w:rPr>
          <w:spacing w:val="-3"/>
        </w:rPr>
        <w:t xml:space="preserve">en </w:t>
      </w:r>
      <w:r w:rsidR="000C00E9" w:rsidRPr="00127BD4">
        <w:rPr>
          <w:spacing w:val="-3"/>
        </w:rPr>
        <w:t>medios locales, entre otros medios</w:t>
      </w:r>
      <w:r w:rsidR="000C00E9" w:rsidRPr="004068F6">
        <w:rPr>
          <w:spacing w:val="-3"/>
        </w:rPr>
        <w:t xml:space="preserve"> idóneos</w:t>
      </w:r>
      <w:r w:rsidRPr="004068F6">
        <w:rPr>
          <w:spacing w:val="-3"/>
        </w:rPr>
        <w:t xml:space="preserve">) </w:t>
      </w:r>
      <w:r w:rsidRPr="004068F6">
        <w:rPr>
          <w:rFonts w:cs="Arial"/>
          <w:spacing w:val="-3"/>
        </w:rPr>
        <w:t xml:space="preserve">un resumen </w:t>
      </w:r>
      <w:r w:rsidR="00A52653" w:rsidRPr="004068F6">
        <w:rPr>
          <w:rFonts w:cs="Arial"/>
          <w:spacing w:val="-3"/>
        </w:rPr>
        <w:t xml:space="preserve">preliminar </w:t>
      </w:r>
      <w:r w:rsidR="00AE008C">
        <w:rPr>
          <w:rFonts w:cs="Arial"/>
          <w:spacing w:val="-3"/>
        </w:rPr>
        <w:t xml:space="preserve">del EIA </w:t>
      </w:r>
      <w:r w:rsidRPr="004068F6">
        <w:rPr>
          <w:rFonts w:cs="Arial"/>
          <w:spacing w:val="-3"/>
        </w:rPr>
        <w:t xml:space="preserve">en lenguaje </w:t>
      </w:r>
      <w:r w:rsidR="002A57E5" w:rsidRPr="004068F6">
        <w:rPr>
          <w:rFonts w:cs="Arial"/>
          <w:spacing w:val="-3"/>
        </w:rPr>
        <w:t xml:space="preserve">claro </w:t>
      </w:r>
      <w:r w:rsidRPr="004068F6">
        <w:rPr>
          <w:rFonts w:cs="Arial"/>
          <w:spacing w:val="-3"/>
        </w:rPr>
        <w:t>y comprensible para los grupos de interés que aborde</w:t>
      </w:r>
      <w:r w:rsidR="0095587A" w:rsidRPr="004068F6">
        <w:rPr>
          <w:rFonts w:cs="Arial"/>
          <w:spacing w:val="-3"/>
        </w:rPr>
        <w:t>,</w:t>
      </w:r>
      <w:r w:rsidRPr="004068F6">
        <w:rPr>
          <w:rFonts w:cs="Arial"/>
          <w:spacing w:val="-3"/>
        </w:rPr>
        <w:t xml:space="preserve"> </w:t>
      </w:r>
      <w:r w:rsidR="0095587A" w:rsidRPr="004068F6">
        <w:rPr>
          <w:rFonts w:cs="Arial"/>
          <w:spacing w:val="-3"/>
        </w:rPr>
        <w:t xml:space="preserve">de acuerdo con el avance en la elaboración del </w:t>
      </w:r>
      <w:r w:rsidR="00AE008C">
        <w:rPr>
          <w:rFonts w:cs="Arial"/>
          <w:spacing w:val="-3"/>
        </w:rPr>
        <w:t>estudio</w:t>
      </w:r>
      <w:r w:rsidR="0095587A" w:rsidRPr="004068F6">
        <w:rPr>
          <w:rFonts w:cs="Arial"/>
          <w:spacing w:val="-3"/>
        </w:rPr>
        <w:t xml:space="preserve">: </w:t>
      </w:r>
      <w:r w:rsidRPr="004068F6">
        <w:rPr>
          <w:rFonts w:cs="Arial"/>
          <w:spacing w:val="-3"/>
        </w:rPr>
        <w:t>la descripción del proyecto, los impactos ambientales que puede ocasionar y las medidas de manejo planteadas y que, además, aclare que la decisión frente a la viabilidad ambiental o no del proyecto la toma la autoridad ambiental competente mediante acto administrativo una vez evalúa la información del EIA</w:t>
      </w:r>
      <w:r w:rsidRPr="004068F6">
        <w:rPr>
          <w:spacing w:val="-3"/>
        </w:rPr>
        <w:t>.</w:t>
      </w:r>
    </w:p>
    <w:p w14:paraId="665E9DD8" w14:textId="77777777" w:rsidR="00B51861" w:rsidRPr="004068F6" w:rsidRDefault="00B51861" w:rsidP="000D6E21">
      <w:pPr>
        <w:tabs>
          <w:tab w:val="left" w:pos="-2268"/>
        </w:tabs>
        <w:suppressAutoHyphens/>
        <w:rPr>
          <w:spacing w:val="-3"/>
        </w:rPr>
      </w:pPr>
    </w:p>
    <w:p w14:paraId="7258BCF3" w14:textId="383EBB93" w:rsidR="00665B96" w:rsidRDefault="00533295" w:rsidP="00533295">
      <w:pPr>
        <w:tabs>
          <w:tab w:val="left" w:pos="-2268"/>
        </w:tabs>
        <w:suppressAutoHyphens/>
        <w:rPr>
          <w:spacing w:val="-3"/>
        </w:rPr>
      </w:pPr>
      <w:r w:rsidRPr="004068F6">
        <w:rPr>
          <w:spacing w:val="-3"/>
        </w:rPr>
        <w:t xml:space="preserve">Con el propósito de </w:t>
      </w:r>
      <w:r w:rsidRPr="004068F6">
        <w:rPr>
          <w:rFonts w:cs="Arial"/>
          <w:spacing w:val="-3"/>
        </w:rPr>
        <w:t xml:space="preserve">garantizar el acceso a la información de los grupos de interés del área de influencia y, por tanto, posibilitar que cuenten con elementos de tipo técnico </w:t>
      </w:r>
      <w:r w:rsidRPr="004068F6">
        <w:rPr>
          <w:rFonts w:cs="Arial"/>
          <w:spacing w:val="-3"/>
        </w:rPr>
        <w:lastRenderedPageBreak/>
        <w:t xml:space="preserve">para expresar inquietudes frente al proceso de participación y el EIA, se deben establecer </w:t>
      </w:r>
      <w:r w:rsidR="00A04C89">
        <w:rPr>
          <w:rFonts w:cs="Arial"/>
          <w:spacing w:val="-3"/>
        </w:rPr>
        <w:t xml:space="preserve">y difundir </w:t>
      </w:r>
      <w:r w:rsidRPr="004068F6">
        <w:rPr>
          <w:rFonts w:cs="Arial"/>
          <w:spacing w:val="-3"/>
        </w:rPr>
        <w:t>mecanismos y medios eficaces</w:t>
      </w:r>
      <w:r w:rsidR="00426341">
        <w:rPr>
          <w:rFonts w:cs="Arial"/>
          <w:spacing w:val="-3"/>
        </w:rPr>
        <w:t xml:space="preserve">, </w:t>
      </w:r>
      <w:r w:rsidR="00426341" w:rsidRPr="004B286A">
        <w:rPr>
          <w:rFonts w:cs="Arial"/>
          <w:spacing w:val="-3"/>
        </w:rPr>
        <w:t>participativos e incluyentes</w:t>
      </w:r>
      <w:r w:rsidRPr="004068F6">
        <w:rPr>
          <w:rFonts w:cs="Arial"/>
          <w:spacing w:val="-3"/>
        </w:rPr>
        <w:t xml:space="preserve"> para que, de forma permanente, </w:t>
      </w:r>
      <w:r w:rsidR="00F41762" w:rsidRPr="004068F6">
        <w:rPr>
          <w:rFonts w:cs="Arial"/>
          <w:spacing w:val="-3"/>
        </w:rPr>
        <w:t xml:space="preserve">se brinde </w:t>
      </w:r>
      <w:r w:rsidRPr="004068F6">
        <w:rPr>
          <w:rFonts w:cs="Arial"/>
          <w:spacing w:val="-3"/>
        </w:rPr>
        <w:t xml:space="preserve">información, </w:t>
      </w:r>
      <w:r w:rsidR="00E624D9" w:rsidRPr="004068F6">
        <w:rPr>
          <w:rFonts w:cs="Arial"/>
          <w:spacing w:val="-3"/>
        </w:rPr>
        <w:t xml:space="preserve">se </w:t>
      </w:r>
      <w:r w:rsidRPr="004068F6">
        <w:rPr>
          <w:rFonts w:cs="Arial"/>
          <w:spacing w:val="-3"/>
        </w:rPr>
        <w:t>recib</w:t>
      </w:r>
      <w:r w:rsidR="00E624D9" w:rsidRPr="004068F6">
        <w:rPr>
          <w:rFonts w:cs="Arial"/>
          <w:spacing w:val="-3"/>
        </w:rPr>
        <w:t xml:space="preserve">an </w:t>
      </w:r>
      <w:r w:rsidRPr="004068F6">
        <w:rPr>
          <w:rFonts w:cs="Arial"/>
          <w:spacing w:val="-3"/>
        </w:rPr>
        <w:t xml:space="preserve">inquietudes, </w:t>
      </w:r>
      <w:r w:rsidRPr="004068F6">
        <w:rPr>
          <w:spacing w:val="-3"/>
        </w:rPr>
        <w:t>observaciones, aportes, peticiones, quejas, reclamos, sugerencias</w:t>
      </w:r>
      <w:r w:rsidR="002C34B1" w:rsidRPr="004068F6">
        <w:rPr>
          <w:spacing w:val="-3"/>
        </w:rPr>
        <w:t xml:space="preserve"> y se dé </w:t>
      </w:r>
      <w:r w:rsidRPr="004068F6">
        <w:rPr>
          <w:rFonts w:cs="Arial"/>
          <w:spacing w:val="-3"/>
        </w:rPr>
        <w:t>respuesta a éstas.</w:t>
      </w:r>
      <w:r w:rsidR="00CB5DE5">
        <w:rPr>
          <w:rFonts w:cs="Arial"/>
          <w:spacing w:val="-3"/>
        </w:rPr>
        <w:t xml:space="preserve"> </w:t>
      </w:r>
      <w:r w:rsidR="008A2BA5">
        <w:rPr>
          <w:rFonts w:cs="Arial"/>
          <w:spacing w:val="-3"/>
        </w:rPr>
        <w:t xml:space="preserve">Los </w:t>
      </w:r>
      <w:r w:rsidR="00CB5DE5">
        <w:rPr>
          <w:rFonts w:cs="Arial"/>
          <w:spacing w:val="-3"/>
        </w:rPr>
        <w:t xml:space="preserve">mecanismos deben estructurarse </w:t>
      </w:r>
      <w:r w:rsidR="00387035" w:rsidRPr="00387035">
        <w:rPr>
          <w:rFonts w:cs="Arial"/>
          <w:spacing w:val="-3"/>
        </w:rPr>
        <w:t xml:space="preserve">en lenguaje claro, sencillo y concreto </w:t>
      </w:r>
      <w:r w:rsidR="00387035">
        <w:rPr>
          <w:rFonts w:cs="Arial"/>
          <w:spacing w:val="-3"/>
        </w:rPr>
        <w:t xml:space="preserve">y </w:t>
      </w:r>
      <w:r w:rsidR="00CB5DE5">
        <w:rPr>
          <w:rFonts w:cs="Arial"/>
          <w:spacing w:val="-3"/>
        </w:rPr>
        <w:t xml:space="preserve">de forma tal que permitan evidenciar </w:t>
      </w:r>
      <w:r w:rsidR="00CB5DE5" w:rsidRPr="00CB5E1F">
        <w:rPr>
          <w:rFonts w:cs="Arial"/>
          <w:spacing w:val="-3"/>
        </w:rPr>
        <w:t>clara</w:t>
      </w:r>
      <w:r w:rsidR="00CB5DE5">
        <w:rPr>
          <w:rFonts w:cs="Arial"/>
          <w:spacing w:val="-3"/>
        </w:rPr>
        <w:t xml:space="preserve">mente cómo los aportes </w:t>
      </w:r>
      <w:r w:rsidR="00CB5DE5" w:rsidRPr="00CB5E1F">
        <w:rPr>
          <w:rFonts w:cs="Arial"/>
          <w:spacing w:val="-3"/>
        </w:rPr>
        <w:t>son tenidos en cuenta o no en el proceso de</w:t>
      </w:r>
      <w:r w:rsidR="00CB5DE5">
        <w:rPr>
          <w:rFonts w:cs="Arial"/>
          <w:spacing w:val="-3"/>
        </w:rPr>
        <w:t xml:space="preserve"> elaboración del </w:t>
      </w:r>
      <w:r w:rsidR="00387035">
        <w:rPr>
          <w:rFonts w:cs="Arial"/>
          <w:spacing w:val="-3"/>
        </w:rPr>
        <w:t>EIA</w:t>
      </w:r>
      <w:r w:rsidR="00CB5DE5" w:rsidRPr="00CB5E1F">
        <w:rPr>
          <w:rFonts w:cs="Arial"/>
          <w:spacing w:val="-3"/>
        </w:rPr>
        <w:t>.</w:t>
      </w:r>
    </w:p>
    <w:p w14:paraId="38FADF95" w14:textId="77777777" w:rsidR="00665B96" w:rsidRPr="004068F6" w:rsidRDefault="00665B96" w:rsidP="00533295">
      <w:pPr>
        <w:tabs>
          <w:tab w:val="left" w:pos="-2268"/>
        </w:tabs>
        <w:suppressAutoHyphens/>
        <w:rPr>
          <w:spacing w:val="-3"/>
        </w:rPr>
      </w:pPr>
    </w:p>
    <w:p w14:paraId="04448E98" w14:textId="403B50A6" w:rsidR="00657099" w:rsidRPr="004068F6" w:rsidRDefault="00657099" w:rsidP="00657099">
      <w:pPr>
        <w:numPr>
          <w:ilvl w:val="12"/>
          <w:numId w:val="0"/>
        </w:numPr>
        <w:tabs>
          <w:tab w:val="left" w:pos="-2268"/>
        </w:tabs>
        <w:suppressAutoHyphens/>
        <w:rPr>
          <w:spacing w:val="-3"/>
        </w:rPr>
      </w:pPr>
      <w:r w:rsidRPr="004068F6">
        <w:rPr>
          <w:spacing w:val="-3"/>
        </w:rPr>
        <w:t>En la fase de planeación se deben diseñar métodos e instrumentos, con enfoque diferencial, para que las primeras etapas de interacción entre los diferentes actores se realicen de acuerdo con la realidad de las comunidades. En caso de comunidades étnicas, se deben diseñar instrumentos adecuados, de ser necesario, en su propia lengua para facilitar la comprensión de los temas.</w:t>
      </w:r>
    </w:p>
    <w:p w14:paraId="29C5D4D9" w14:textId="77777777" w:rsidR="00706EA8" w:rsidRPr="004068F6" w:rsidRDefault="00706EA8" w:rsidP="00706EA8">
      <w:pPr>
        <w:numPr>
          <w:ilvl w:val="12"/>
          <w:numId w:val="0"/>
        </w:numPr>
        <w:tabs>
          <w:tab w:val="left" w:pos="-2268"/>
        </w:tabs>
        <w:suppressAutoHyphens/>
        <w:rPr>
          <w:spacing w:val="-3"/>
        </w:rPr>
      </w:pPr>
    </w:p>
    <w:p w14:paraId="25835138" w14:textId="59AEC0BB" w:rsidR="00706EA8" w:rsidRPr="004068F6" w:rsidRDefault="00037994" w:rsidP="00706EA8">
      <w:pPr>
        <w:numPr>
          <w:ilvl w:val="12"/>
          <w:numId w:val="0"/>
        </w:numPr>
        <w:tabs>
          <w:tab w:val="left" w:pos="-2268"/>
        </w:tabs>
        <w:suppressAutoHyphens/>
        <w:rPr>
          <w:spacing w:val="-3"/>
        </w:rPr>
      </w:pPr>
      <w:r>
        <w:rPr>
          <w:spacing w:val="-3"/>
        </w:rPr>
        <w:t>D</w:t>
      </w:r>
      <w:r w:rsidR="00706EA8" w:rsidRPr="004068F6">
        <w:rPr>
          <w:spacing w:val="-3"/>
        </w:rPr>
        <w:t>e forma previa a la primera interacción y a partir de los fundamentos culturales</w:t>
      </w:r>
      <w:r w:rsidR="00592A37" w:rsidRPr="004068F6">
        <w:rPr>
          <w:spacing w:val="-3"/>
        </w:rPr>
        <w:t xml:space="preserve">, </w:t>
      </w:r>
      <w:r w:rsidR="00706EA8" w:rsidRPr="004068F6">
        <w:rPr>
          <w:spacing w:val="-3"/>
        </w:rPr>
        <w:t>es necesario establecer las estrategias y procedimientos para iniciar y mantener la interlocución y diálogo con cada uno de los grupos de interés</w:t>
      </w:r>
      <w:r w:rsidR="00C80AB6">
        <w:rPr>
          <w:spacing w:val="-3"/>
        </w:rPr>
        <w:t xml:space="preserve">, </w:t>
      </w:r>
      <w:r w:rsidR="00C80AB6">
        <w:rPr>
          <w:lang w:val="es-ES_tradnl"/>
        </w:rPr>
        <w:t xml:space="preserve">así como para prevenir </w:t>
      </w:r>
      <w:r w:rsidR="00C80AB6" w:rsidRPr="00746DB6">
        <w:rPr>
          <w:lang w:val="es-ES_tradnl"/>
        </w:rPr>
        <w:t xml:space="preserve">afectaciones y cambios en </w:t>
      </w:r>
      <w:r>
        <w:rPr>
          <w:lang w:val="es-ES_tradnl"/>
        </w:rPr>
        <w:t xml:space="preserve">tales grupos </w:t>
      </w:r>
      <w:r w:rsidR="00C80AB6">
        <w:rPr>
          <w:lang w:val="es-ES_tradnl"/>
        </w:rPr>
        <w:t xml:space="preserve">y en </w:t>
      </w:r>
      <w:r w:rsidR="00C80AB6" w:rsidRPr="00746DB6">
        <w:rPr>
          <w:lang w:val="es-ES_tradnl"/>
        </w:rPr>
        <w:t>las dinámicas territoriales del área de influencia</w:t>
      </w:r>
      <w:r w:rsidR="00706EA8" w:rsidRPr="004068F6">
        <w:rPr>
          <w:spacing w:val="-3"/>
        </w:rPr>
        <w:t>. En los casos en los que el proceso de participación deba abordar comunidades étnicas, es necesario recurrir a los mecanismos de coordinación establecidos entre éstas y el Ministerio del Interior</w:t>
      </w:r>
      <w:r w:rsidR="00984EF4" w:rsidRPr="00127BD4">
        <w:rPr>
          <w:spacing w:val="-3"/>
          <w:vertAlign w:val="superscript"/>
        </w:rPr>
        <w:footnoteReference w:id="123"/>
      </w:r>
      <w:r w:rsidR="00984EF4" w:rsidRPr="004068F6">
        <w:rPr>
          <w:spacing w:val="-3"/>
        </w:rPr>
        <w:t>. Esta información de la planeación debe estar adecuadamente descrita en el EIA</w:t>
      </w:r>
      <w:r w:rsidR="00706EA8" w:rsidRPr="004068F6">
        <w:rPr>
          <w:spacing w:val="-3"/>
        </w:rPr>
        <w:t>.</w:t>
      </w:r>
    </w:p>
    <w:p w14:paraId="40061BB6" w14:textId="77777777" w:rsidR="00533295" w:rsidRPr="004068F6" w:rsidRDefault="00533295" w:rsidP="00533295">
      <w:pPr>
        <w:tabs>
          <w:tab w:val="left" w:pos="-2268"/>
        </w:tabs>
        <w:suppressAutoHyphens/>
        <w:rPr>
          <w:spacing w:val="-3"/>
        </w:rPr>
      </w:pPr>
    </w:p>
    <w:p w14:paraId="4561F03B" w14:textId="77777777" w:rsidR="00533295" w:rsidRPr="004068F6" w:rsidRDefault="00533295" w:rsidP="00533295">
      <w:pPr>
        <w:pStyle w:val="Ttulo4"/>
        <w:tabs>
          <w:tab w:val="clear" w:pos="1844"/>
          <w:tab w:val="num" w:pos="1134"/>
        </w:tabs>
        <w:ind w:left="0"/>
        <w:rPr>
          <w:lang w:val="es-CO"/>
        </w:rPr>
      </w:pPr>
      <w:r w:rsidRPr="004068F6">
        <w:rPr>
          <w:lang w:val="es-CO"/>
        </w:rPr>
        <w:t>Preparación de los espacios participativos</w:t>
      </w:r>
    </w:p>
    <w:p w14:paraId="5949DC7A" w14:textId="77777777" w:rsidR="00533295" w:rsidRPr="004068F6" w:rsidRDefault="00533295" w:rsidP="00533295">
      <w:pPr>
        <w:numPr>
          <w:ilvl w:val="12"/>
          <w:numId w:val="0"/>
        </w:numPr>
        <w:tabs>
          <w:tab w:val="left" w:pos="-2268"/>
        </w:tabs>
        <w:suppressAutoHyphens/>
        <w:rPr>
          <w:spacing w:val="-3"/>
        </w:rPr>
      </w:pPr>
    </w:p>
    <w:p w14:paraId="019C1462" w14:textId="0D096E91" w:rsidR="00533295" w:rsidRPr="004068F6" w:rsidRDefault="00533295" w:rsidP="00533295">
      <w:pPr>
        <w:tabs>
          <w:tab w:val="left" w:pos="-2268"/>
        </w:tabs>
        <w:suppressAutoHyphens/>
        <w:rPr>
          <w:spacing w:val="-3"/>
        </w:rPr>
      </w:pPr>
      <w:r w:rsidRPr="004068F6">
        <w:rPr>
          <w:rFonts w:cs="Arial"/>
          <w:spacing w:val="-3"/>
        </w:rPr>
        <w:t>Se deben preparar e</w:t>
      </w:r>
      <w:r w:rsidRPr="004068F6">
        <w:rPr>
          <w:spacing w:val="-3"/>
        </w:rPr>
        <w:t xml:space="preserve">strategias comunicativas y procedimientos metodológicos que permitan comunicar adecuadamente </w:t>
      </w:r>
      <w:r w:rsidR="002073E9" w:rsidRPr="004068F6">
        <w:rPr>
          <w:spacing w:val="-3"/>
        </w:rPr>
        <w:t xml:space="preserve">y en lenguaje claro </w:t>
      </w:r>
      <w:r w:rsidRPr="004068F6">
        <w:rPr>
          <w:spacing w:val="-3"/>
        </w:rPr>
        <w:t xml:space="preserve">la información (sobre el proceso de participación, el EIA y el licenciamiento ambiental), </w:t>
      </w:r>
      <w:r w:rsidR="009A049C" w:rsidRPr="004068F6">
        <w:rPr>
          <w:spacing w:val="-3"/>
        </w:rPr>
        <w:t xml:space="preserve">hacer comprensible el contenido </w:t>
      </w:r>
      <w:r w:rsidRPr="004068F6">
        <w:rPr>
          <w:spacing w:val="-3"/>
        </w:rPr>
        <w:t>y promover la participación y generación de aportes de los asistentes respecto de temas como la caracterización ambiental, los impactos ambientales que puede generar el proyecto, obra o actividad y las medidas que se proponen para manejarlos.</w:t>
      </w:r>
    </w:p>
    <w:p w14:paraId="5BC6A1D5" w14:textId="77777777" w:rsidR="00533295" w:rsidRPr="004068F6" w:rsidRDefault="00533295" w:rsidP="00533295">
      <w:pPr>
        <w:tabs>
          <w:tab w:val="left" w:pos="-2268"/>
        </w:tabs>
        <w:suppressAutoHyphens/>
        <w:rPr>
          <w:spacing w:val="-3"/>
        </w:rPr>
      </w:pPr>
    </w:p>
    <w:p w14:paraId="6E3B44FD" w14:textId="77777777" w:rsidR="00533295" w:rsidRPr="004068F6" w:rsidRDefault="00533295" w:rsidP="00533295">
      <w:pPr>
        <w:rPr>
          <w:rFonts w:cs="Arial"/>
          <w:spacing w:val="-3"/>
        </w:rPr>
      </w:pPr>
      <w:r w:rsidRPr="004068F6">
        <w:rPr>
          <w:rFonts w:cs="Arial"/>
          <w:spacing w:val="-3"/>
        </w:rPr>
        <w:t>Con el fin de preparar estos espacios participativos es necesario considerar dinámicas sociales como días y horarios con mayor disponibilidad de tiempo, vías de acceso, medios de transporte y lugares que faciliten la asistencia y movilidad de los grupos de interés.</w:t>
      </w:r>
    </w:p>
    <w:p w14:paraId="72D296B1" w14:textId="77777777" w:rsidR="00533295" w:rsidRPr="004068F6" w:rsidRDefault="00533295" w:rsidP="00533295">
      <w:pPr>
        <w:tabs>
          <w:tab w:val="left" w:pos="-2268"/>
        </w:tabs>
        <w:suppressAutoHyphens/>
        <w:rPr>
          <w:spacing w:val="-3"/>
        </w:rPr>
      </w:pPr>
    </w:p>
    <w:p w14:paraId="13EBFD03" w14:textId="634BD5B7" w:rsidR="00533295" w:rsidRPr="004068F6" w:rsidRDefault="00533295" w:rsidP="00533295">
      <w:pPr>
        <w:rPr>
          <w:rFonts w:cs="Arial"/>
          <w:spacing w:val="-3"/>
        </w:rPr>
      </w:pPr>
      <w:r w:rsidRPr="004068F6">
        <w:rPr>
          <w:spacing w:val="-3"/>
        </w:rPr>
        <w:t xml:space="preserve">Tales estrategias y procedimientos metodológicos deben </w:t>
      </w:r>
      <w:r w:rsidR="00AA37FB" w:rsidRPr="004068F6">
        <w:rPr>
          <w:spacing w:val="-3"/>
        </w:rPr>
        <w:t xml:space="preserve">tener en cuenta enfoques diferenciales, </w:t>
      </w:r>
      <w:r w:rsidRPr="004068F6">
        <w:rPr>
          <w:spacing w:val="-3"/>
        </w:rPr>
        <w:t xml:space="preserve">establecer espacios que sean </w:t>
      </w:r>
      <w:r w:rsidRPr="004068F6">
        <w:rPr>
          <w:rFonts w:cs="Arial"/>
          <w:spacing w:val="-3"/>
        </w:rPr>
        <w:t xml:space="preserve">suficientes y apropiados a las </w:t>
      </w:r>
      <w:r w:rsidRPr="004068F6">
        <w:rPr>
          <w:rFonts w:cs="Arial"/>
          <w:spacing w:val="-3"/>
        </w:rPr>
        <w:lastRenderedPageBreak/>
        <w:t xml:space="preserve">características de los grupos de interés del área de influencia </w:t>
      </w:r>
      <w:r w:rsidRPr="004068F6">
        <w:rPr>
          <w:spacing w:val="-3"/>
        </w:rPr>
        <w:t>(p. ej. reuniones, talleres, entrevistas)</w:t>
      </w:r>
      <w:r w:rsidRPr="004068F6">
        <w:rPr>
          <w:rFonts w:cs="Arial"/>
          <w:spacing w:val="-3"/>
        </w:rPr>
        <w:t xml:space="preserve">, detallando entre otras particularidades, su </w:t>
      </w:r>
      <w:r w:rsidRPr="004068F6">
        <w:rPr>
          <w:rFonts w:cs="Arial"/>
        </w:rPr>
        <w:t>ubicación, el mobiliario y recursos de apoyo tecnológico, pedagógico y didáctico</w:t>
      </w:r>
      <w:r w:rsidRPr="004068F6">
        <w:t xml:space="preserve"> (plegables, cartillas, audiovisuales, video, entre otros) previstos, </w:t>
      </w:r>
      <w:r w:rsidRPr="004068F6">
        <w:rPr>
          <w:rFonts w:cs="Arial"/>
          <w:spacing w:val="-3"/>
        </w:rPr>
        <w:t xml:space="preserve">la </w:t>
      </w:r>
      <w:r w:rsidRPr="004068F6">
        <w:rPr>
          <w:spacing w:val="-3"/>
        </w:rPr>
        <w:t xml:space="preserve">cantidad </w:t>
      </w:r>
      <w:r w:rsidRPr="004068F6">
        <w:rPr>
          <w:rFonts w:cs="Arial"/>
          <w:spacing w:val="-3"/>
        </w:rPr>
        <w:t xml:space="preserve">de encuentros necesarios, la duración </w:t>
      </w:r>
      <w:r w:rsidRPr="004068F6">
        <w:rPr>
          <w:spacing w:val="-3"/>
        </w:rPr>
        <w:t xml:space="preserve">de cada espacio y </w:t>
      </w:r>
      <w:r w:rsidRPr="004068F6">
        <w:rPr>
          <w:rFonts w:cs="Arial"/>
          <w:spacing w:val="-3"/>
        </w:rPr>
        <w:t>los periodos de tiempo</w:t>
      </w:r>
      <w:r w:rsidRPr="004068F6">
        <w:rPr>
          <w:spacing w:val="-3"/>
        </w:rPr>
        <w:t xml:space="preserve"> entre uno y otro que permitan tanto al formulador del estudio </w:t>
      </w:r>
      <w:r w:rsidRPr="004068F6">
        <w:rPr>
          <w:rFonts w:cs="Arial"/>
          <w:spacing w:val="-3"/>
        </w:rPr>
        <w:t xml:space="preserve">informar y recopilar datos, como a los grupos de interés </w:t>
      </w:r>
      <w:r w:rsidRPr="004068F6">
        <w:rPr>
          <w:spacing w:val="-3"/>
        </w:rPr>
        <w:t xml:space="preserve">analizar la información y </w:t>
      </w:r>
      <w:r w:rsidRPr="004068F6">
        <w:rPr>
          <w:rFonts w:cs="Arial"/>
          <w:spacing w:val="-3"/>
        </w:rPr>
        <w:t>participar de forma efectiva.</w:t>
      </w:r>
    </w:p>
    <w:p w14:paraId="5F56278B" w14:textId="77777777" w:rsidR="00533295" w:rsidRPr="004068F6" w:rsidRDefault="00533295" w:rsidP="00533295">
      <w:pPr>
        <w:tabs>
          <w:tab w:val="left" w:pos="-2268"/>
        </w:tabs>
        <w:suppressAutoHyphens/>
        <w:rPr>
          <w:spacing w:val="-3"/>
        </w:rPr>
      </w:pPr>
    </w:p>
    <w:p w14:paraId="0737D5F8" w14:textId="77777777" w:rsidR="00533295" w:rsidRPr="004068F6" w:rsidRDefault="00533295" w:rsidP="00533295">
      <w:pPr>
        <w:pStyle w:val="Ttulo4"/>
        <w:tabs>
          <w:tab w:val="clear" w:pos="1844"/>
          <w:tab w:val="num" w:pos="1134"/>
        </w:tabs>
        <w:ind w:left="0"/>
        <w:rPr>
          <w:lang w:val="es-CO"/>
        </w:rPr>
      </w:pPr>
      <w:r w:rsidRPr="004068F6">
        <w:rPr>
          <w:lang w:val="es-CO"/>
        </w:rPr>
        <w:t>Convocatoria</w:t>
      </w:r>
    </w:p>
    <w:p w14:paraId="04182FBD" w14:textId="77777777" w:rsidR="00533295" w:rsidRPr="004068F6" w:rsidRDefault="00533295" w:rsidP="00533295">
      <w:pPr>
        <w:tabs>
          <w:tab w:val="left" w:pos="-2268"/>
        </w:tabs>
        <w:suppressAutoHyphens/>
        <w:rPr>
          <w:spacing w:val="-3"/>
        </w:rPr>
      </w:pPr>
    </w:p>
    <w:p w14:paraId="2EEC1252" w14:textId="3DE35BE9" w:rsidR="00533295" w:rsidRPr="004068F6" w:rsidRDefault="00533295" w:rsidP="00533295">
      <w:pPr>
        <w:numPr>
          <w:ilvl w:val="12"/>
          <w:numId w:val="0"/>
        </w:numPr>
        <w:tabs>
          <w:tab w:val="left" w:pos="-2268"/>
        </w:tabs>
        <w:suppressAutoHyphens/>
        <w:rPr>
          <w:spacing w:val="-3"/>
        </w:rPr>
      </w:pPr>
      <w:r w:rsidRPr="00127BD4">
        <w:rPr>
          <w:rFonts w:cs="Arial"/>
          <w:spacing w:val="-3"/>
        </w:rPr>
        <w:t>Las convocatorias a los espacios de participación deben realizarse con suficiente antelación a éstos</w:t>
      </w:r>
      <w:r w:rsidRPr="004068F6">
        <w:rPr>
          <w:rStyle w:val="Refdenotaalpie"/>
          <w:rFonts w:cs="Arial"/>
          <w:lang w:val="es-CO"/>
        </w:rPr>
        <w:footnoteReference w:id="124"/>
      </w:r>
      <w:r w:rsidRPr="00127BD4">
        <w:rPr>
          <w:rFonts w:cs="Arial"/>
          <w:spacing w:val="-3"/>
        </w:rPr>
        <w:t xml:space="preserve">, tener cobertura </w:t>
      </w:r>
      <w:r w:rsidRPr="004068F6">
        <w:rPr>
          <w:rFonts w:cs="Arial"/>
          <w:spacing w:val="-3"/>
        </w:rPr>
        <w:t xml:space="preserve">adecuada </w:t>
      </w:r>
      <w:r w:rsidRPr="00127BD4">
        <w:rPr>
          <w:rFonts w:cs="Arial"/>
          <w:spacing w:val="-3"/>
        </w:rPr>
        <w:t>y señalar su objeto</w:t>
      </w:r>
      <w:r w:rsidRPr="004068F6">
        <w:rPr>
          <w:rFonts w:cs="Arial"/>
          <w:spacing w:val="-3"/>
        </w:rPr>
        <w:t xml:space="preserve">, </w:t>
      </w:r>
      <w:r w:rsidRPr="004068F6">
        <w:rPr>
          <w:spacing w:val="-3"/>
        </w:rPr>
        <w:t>fecha y lugar de ejecución, así como las instancias e instrumentos de apoyo a la participación. Se deben realizar empleando medios de comunicación como correo postal certificado, correo electrónico, internet, redes sociales, radio, televisión, volantes, afiches en lugares públicos (parroquias, alcaldías y escuelas) y medios de difusión locales.</w:t>
      </w:r>
    </w:p>
    <w:p w14:paraId="31879128" w14:textId="77777777" w:rsidR="00533295" w:rsidRPr="004068F6" w:rsidRDefault="00533295" w:rsidP="00533295">
      <w:pPr>
        <w:tabs>
          <w:tab w:val="left" w:pos="-2268"/>
        </w:tabs>
        <w:suppressAutoHyphens/>
        <w:rPr>
          <w:rFonts w:cs="Arial"/>
          <w:spacing w:val="-3"/>
        </w:rPr>
      </w:pPr>
    </w:p>
    <w:p w14:paraId="38D87C4E" w14:textId="0B8838F4" w:rsidR="00533295" w:rsidRPr="004068F6" w:rsidRDefault="00533295" w:rsidP="00533295">
      <w:pPr>
        <w:tabs>
          <w:tab w:val="left" w:pos="-2268"/>
        </w:tabs>
        <w:suppressAutoHyphens/>
        <w:rPr>
          <w:rFonts w:cs="Arial"/>
          <w:spacing w:val="-3"/>
        </w:rPr>
      </w:pPr>
      <w:r w:rsidRPr="004068F6">
        <w:rPr>
          <w:rFonts w:cs="Arial"/>
          <w:spacing w:val="-3"/>
        </w:rPr>
        <w:t>Durante la convocatoria</w:t>
      </w:r>
      <w:r w:rsidRPr="004068F6">
        <w:rPr>
          <w:spacing w:val="-3"/>
        </w:rPr>
        <w:t xml:space="preserve"> se debe poner en conocimiento de los grupos de interés el resumen </w:t>
      </w:r>
      <w:r w:rsidR="008125D2" w:rsidRPr="004068F6">
        <w:rPr>
          <w:spacing w:val="-3"/>
        </w:rPr>
        <w:t xml:space="preserve">preliminar de los elementos constitutivos </w:t>
      </w:r>
      <w:r w:rsidRPr="004068F6">
        <w:rPr>
          <w:spacing w:val="-3"/>
        </w:rPr>
        <w:t xml:space="preserve">del EIA elaborado en el aprestamiento, publicándolo en internet </w:t>
      </w:r>
      <w:r w:rsidR="00076B32" w:rsidRPr="004068F6">
        <w:rPr>
          <w:spacing w:val="-3"/>
        </w:rPr>
        <w:t xml:space="preserve">o </w:t>
      </w:r>
      <w:r w:rsidRPr="004068F6">
        <w:rPr>
          <w:spacing w:val="-3"/>
        </w:rPr>
        <w:t xml:space="preserve">empleando medios de amplia circulación </w:t>
      </w:r>
      <w:r w:rsidR="000134D3" w:rsidRPr="004068F6">
        <w:rPr>
          <w:spacing w:val="-3"/>
        </w:rPr>
        <w:t>que informen donde puede ser consultado. Para la divulgación del resumen también se pueden usar mecanismos complementarios</w:t>
      </w:r>
      <w:r w:rsidRPr="004068F6">
        <w:rPr>
          <w:spacing w:val="-3"/>
        </w:rPr>
        <w:t xml:space="preserve"> que se ajusten a </w:t>
      </w:r>
      <w:r w:rsidR="00F8020E" w:rsidRPr="004068F6">
        <w:rPr>
          <w:spacing w:val="-3"/>
        </w:rPr>
        <w:t>la</w:t>
      </w:r>
      <w:r w:rsidRPr="004068F6">
        <w:rPr>
          <w:spacing w:val="-3"/>
        </w:rPr>
        <w:t>s características socioeconómicas y culturales</w:t>
      </w:r>
      <w:r w:rsidR="002E32DB" w:rsidRPr="004068F6">
        <w:rPr>
          <w:spacing w:val="-3"/>
        </w:rPr>
        <w:t xml:space="preserve"> de los grupos de interés</w:t>
      </w:r>
      <w:r w:rsidRPr="004068F6">
        <w:rPr>
          <w:spacing w:val="-3"/>
        </w:rPr>
        <w:t xml:space="preserve">, así como a sus posibilidades de acceso a la información. Asimismo, la convocatoria </w:t>
      </w:r>
      <w:r w:rsidRPr="004068F6">
        <w:rPr>
          <w:rFonts w:cs="Arial"/>
          <w:spacing w:val="-3"/>
        </w:rPr>
        <w:t>debe informar dónde y cómo se puede consultar la información del proyecto, la cual debe estar disponible de forma gratuita.</w:t>
      </w:r>
      <w:r w:rsidR="00F2616F" w:rsidRPr="004068F6">
        <w:rPr>
          <w:rFonts w:cs="Arial"/>
          <w:spacing w:val="-3"/>
        </w:rPr>
        <w:t xml:space="preserve"> </w:t>
      </w:r>
      <w:r w:rsidR="002B062E" w:rsidRPr="004068F6">
        <w:rPr>
          <w:rFonts w:cs="Arial"/>
          <w:spacing w:val="-3"/>
        </w:rPr>
        <w:t>Se debe justificar adecuadamente</w:t>
      </w:r>
      <w:r w:rsidR="002B062E" w:rsidRPr="00127BD4">
        <w:rPr>
          <w:rFonts w:cs="Arial"/>
          <w:spacing w:val="-3"/>
        </w:rPr>
        <w:t xml:space="preserve"> cualquier </w:t>
      </w:r>
      <w:r w:rsidR="002B062E" w:rsidRPr="004068F6">
        <w:rPr>
          <w:rFonts w:cs="Arial"/>
          <w:spacing w:val="-3"/>
        </w:rPr>
        <w:t>restricción de acceso a la información cuando ésta sea solicitada en el marco del proceso participativo</w:t>
      </w:r>
      <w:r w:rsidR="002B062E" w:rsidRPr="00127BD4">
        <w:rPr>
          <w:rFonts w:cs="Arial"/>
          <w:spacing w:val="-3"/>
          <w:vertAlign w:val="superscript"/>
        </w:rPr>
        <w:footnoteReference w:id="125"/>
      </w:r>
      <w:r w:rsidR="00281711" w:rsidRPr="004068F6">
        <w:rPr>
          <w:rFonts w:cs="Arial"/>
          <w:spacing w:val="-3"/>
        </w:rPr>
        <w:t>.</w:t>
      </w:r>
    </w:p>
    <w:p w14:paraId="64258ED5" w14:textId="77777777" w:rsidR="00533295" w:rsidRPr="004068F6" w:rsidRDefault="00533295" w:rsidP="00533295">
      <w:pPr>
        <w:tabs>
          <w:tab w:val="left" w:pos="-2268"/>
        </w:tabs>
        <w:suppressAutoHyphens/>
        <w:rPr>
          <w:rFonts w:cs="Arial"/>
          <w:spacing w:val="-3"/>
        </w:rPr>
      </w:pPr>
    </w:p>
    <w:p w14:paraId="0FE55AB2" w14:textId="31BFEF11" w:rsidR="00533295" w:rsidRPr="004068F6" w:rsidRDefault="00533295" w:rsidP="00533295">
      <w:pPr>
        <w:numPr>
          <w:ilvl w:val="12"/>
          <w:numId w:val="0"/>
        </w:numPr>
        <w:tabs>
          <w:tab w:val="left" w:pos="-2268"/>
        </w:tabs>
        <w:suppressAutoHyphens/>
        <w:rPr>
          <w:spacing w:val="-3"/>
        </w:rPr>
      </w:pPr>
      <w:r w:rsidRPr="004068F6">
        <w:rPr>
          <w:spacing w:val="-3"/>
        </w:rPr>
        <w:t>Cuando se prevea la ocurrencia de impactos ambientales significativos transfronterizos, se debe informar inmediatamente a la autoridad ambiental que</w:t>
      </w:r>
      <w:r w:rsidR="00596CD1" w:rsidRPr="004068F6">
        <w:rPr>
          <w:spacing w:val="-3"/>
        </w:rPr>
        <w:t>, tanto</w:t>
      </w:r>
      <w:r w:rsidRPr="004068F6">
        <w:rPr>
          <w:spacing w:val="-3"/>
        </w:rPr>
        <w:t xml:space="preserve"> el resumen del proyecto</w:t>
      </w:r>
      <w:r w:rsidR="00A5238F" w:rsidRPr="004068F6">
        <w:rPr>
          <w:spacing w:val="-3"/>
        </w:rPr>
        <w:t xml:space="preserve">, como </w:t>
      </w:r>
      <w:r w:rsidRPr="004068F6">
        <w:rPr>
          <w:spacing w:val="-3"/>
        </w:rPr>
        <w:t xml:space="preserve">los lugares y fechas para la ejecución de las reuniones y audiencias públicas planeadas se encuentran publicados en internet, con el fin de que </w:t>
      </w:r>
      <w:r w:rsidR="009B78A5" w:rsidRPr="004068F6">
        <w:rPr>
          <w:spacing w:val="-3"/>
        </w:rPr>
        <w:t xml:space="preserve">la autoridad </w:t>
      </w:r>
      <w:r w:rsidRPr="004068F6">
        <w:rPr>
          <w:spacing w:val="-3"/>
        </w:rPr>
        <w:t>transmita dicha información al Ministerio de Relaciones Exteriores.</w:t>
      </w:r>
    </w:p>
    <w:p w14:paraId="6CD525EB" w14:textId="77777777" w:rsidR="00533295" w:rsidRDefault="00533295" w:rsidP="00533295">
      <w:pPr>
        <w:numPr>
          <w:ilvl w:val="12"/>
          <w:numId w:val="0"/>
        </w:numPr>
        <w:tabs>
          <w:tab w:val="left" w:pos="-2268"/>
        </w:tabs>
        <w:suppressAutoHyphens/>
        <w:rPr>
          <w:spacing w:val="-3"/>
        </w:rPr>
      </w:pPr>
    </w:p>
    <w:p w14:paraId="0E2268D9" w14:textId="77777777" w:rsidR="0043166F" w:rsidRDefault="0043166F" w:rsidP="00533295">
      <w:pPr>
        <w:numPr>
          <w:ilvl w:val="12"/>
          <w:numId w:val="0"/>
        </w:numPr>
        <w:tabs>
          <w:tab w:val="left" w:pos="-2268"/>
        </w:tabs>
        <w:suppressAutoHyphens/>
        <w:rPr>
          <w:spacing w:val="-3"/>
        </w:rPr>
      </w:pPr>
    </w:p>
    <w:p w14:paraId="48D845EA" w14:textId="77777777" w:rsidR="0043166F" w:rsidRDefault="0043166F" w:rsidP="00533295">
      <w:pPr>
        <w:numPr>
          <w:ilvl w:val="12"/>
          <w:numId w:val="0"/>
        </w:numPr>
        <w:tabs>
          <w:tab w:val="left" w:pos="-2268"/>
        </w:tabs>
        <w:suppressAutoHyphens/>
        <w:rPr>
          <w:spacing w:val="-3"/>
        </w:rPr>
      </w:pPr>
    </w:p>
    <w:p w14:paraId="4338F50D" w14:textId="77777777" w:rsidR="0043166F" w:rsidRPr="004068F6" w:rsidRDefault="0043166F" w:rsidP="00533295">
      <w:pPr>
        <w:numPr>
          <w:ilvl w:val="12"/>
          <w:numId w:val="0"/>
        </w:numPr>
        <w:tabs>
          <w:tab w:val="left" w:pos="-2268"/>
        </w:tabs>
        <w:suppressAutoHyphens/>
        <w:rPr>
          <w:spacing w:val="-3"/>
        </w:rPr>
      </w:pPr>
    </w:p>
    <w:p w14:paraId="481C9E9C" w14:textId="77777777" w:rsidR="00533295" w:rsidRPr="00466E26" w:rsidRDefault="00533295" w:rsidP="000A1E20">
      <w:pPr>
        <w:pStyle w:val="Ttulo3"/>
      </w:pPr>
      <w:bookmarkStart w:id="2597" w:name="_Toc230879644"/>
      <w:r w:rsidRPr="00466E26">
        <w:lastRenderedPageBreak/>
        <w:t>Ejecución de los espacios de participación</w:t>
      </w:r>
      <w:bookmarkEnd w:id="2597"/>
    </w:p>
    <w:p w14:paraId="0CFD926E" w14:textId="77777777" w:rsidR="00533295" w:rsidRPr="004068F6" w:rsidRDefault="00533295" w:rsidP="00533295">
      <w:pPr>
        <w:numPr>
          <w:ilvl w:val="12"/>
          <w:numId w:val="0"/>
        </w:numPr>
        <w:tabs>
          <w:tab w:val="left" w:pos="-2268"/>
        </w:tabs>
        <w:suppressAutoHyphens/>
        <w:rPr>
          <w:spacing w:val="-3"/>
        </w:rPr>
      </w:pPr>
    </w:p>
    <w:p w14:paraId="76E72B92" w14:textId="5465525E" w:rsidR="00533295" w:rsidRPr="004068F6" w:rsidRDefault="00533295" w:rsidP="00533295">
      <w:pPr>
        <w:numPr>
          <w:ilvl w:val="12"/>
          <w:numId w:val="0"/>
        </w:numPr>
        <w:tabs>
          <w:tab w:val="left" w:pos="-2268"/>
        </w:tabs>
        <w:suppressAutoHyphens/>
        <w:rPr>
          <w:spacing w:val="-3"/>
        </w:rPr>
      </w:pPr>
      <w:r w:rsidRPr="004068F6">
        <w:rPr>
          <w:spacing w:val="-3"/>
        </w:rPr>
        <w:t xml:space="preserve">Los espacios de participación deben ejecutarse según lo planeado en la </w:t>
      </w:r>
      <w:r w:rsidR="00387ABF">
        <w:rPr>
          <w:spacing w:val="-3"/>
        </w:rPr>
        <w:t>fase</w:t>
      </w:r>
      <w:r w:rsidRPr="004068F6">
        <w:rPr>
          <w:spacing w:val="-3"/>
        </w:rPr>
        <w:t xml:space="preserve"> anterior, asegurando que la comunicación sea efectiva al permitir el suministro y recepción de información y promover la deliberación, </w:t>
      </w:r>
      <w:r w:rsidR="00DF0F45" w:rsidRPr="004068F6">
        <w:rPr>
          <w:spacing w:val="-3"/>
        </w:rPr>
        <w:t>la argumentación</w:t>
      </w:r>
      <w:r w:rsidR="00F639C8" w:rsidRPr="004068F6">
        <w:rPr>
          <w:spacing w:val="-3"/>
        </w:rPr>
        <w:t xml:space="preserve"> </w:t>
      </w:r>
      <w:r w:rsidR="00DF0F45" w:rsidRPr="004068F6">
        <w:rPr>
          <w:spacing w:val="-3"/>
        </w:rPr>
        <w:t xml:space="preserve">y la generación </w:t>
      </w:r>
      <w:r w:rsidRPr="004068F6">
        <w:rPr>
          <w:spacing w:val="-3"/>
        </w:rPr>
        <w:t xml:space="preserve">de aportes </w:t>
      </w:r>
      <w:r w:rsidR="00626995" w:rsidRPr="004068F6">
        <w:rPr>
          <w:spacing w:val="-3"/>
        </w:rPr>
        <w:t>e insumos para ser analizados en la elaboración del EIA</w:t>
      </w:r>
      <w:r w:rsidRPr="004068F6">
        <w:rPr>
          <w:spacing w:val="-3"/>
        </w:rPr>
        <w:t>. Adicionalmente, estos espacios deben generar un ambiente de confianza entre las partes intervinientes y tener la capacidad de adaptarse a las situaciones o condiciones que se presenten o identifiquen durante su ejecución.</w:t>
      </w:r>
    </w:p>
    <w:p w14:paraId="1D7F8749" w14:textId="77777777" w:rsidR="00533295" w:rsidRPr="004068F6" w:rsidRDefault="00533295" w:rsidP="00533295">
      <w:pPr>
        <w:numPr>
          <w:ilvl w:val="12"/>
          <w:numId w:val="0"/>
        </w:numPr>
        <w:tabs>
          <w:tab w:val="left" w:pos="-2268"/>
        </w:tabs>
        <w:suppressAutoHyphens/>
        <w:rPr>
          <w:spacing w:val="-3"/>
        </w:rPr>
      </w:pPr>
    </w:p>
    <w:p w14:paraId="4075D01D" w14:textId="77777777" w:rsidR="00533295" w:rsidRPr="004068F6" w:rsidRDefault="00533295" w:rsidP="00533295">
      <w:pPr>
        <w:pStyle w:val="Ttulo4"/>
        <w:tabs>
          <w:tab w:val="clear" w:pos="1844"/>
          <w:tab w:val="num" w:pos="1134"/>
        </w:tabs>
        <w:ind w:left="0"/>
        <w:rPr>
          <w:lang w:val="es-CO"/>
        </w:rPr>
      </w:pPr>
      <w:bookmarkStart w:id="2598" w:name="_Ref216345722"/>
      <w:r w:rsidRPr="004068F6">
        <w:rPr>
          <w:lang w:val="es-CO"/>
        </w:rPr>
        <w:t>Apertura</w:t>
      </w:r>
      <w:bookmarkEnd w:id="2598"/>
    </w:p>
    <w:p w14:paraId="02BDC527" w14:textId="77777777" w:rsidR="00533295" w:rsidRPr="004068F6" w:rsidRDefault="00533295" w:rsidP="00533295">
      <w:pPr>
        <w:tabs>
          <w:tab w:val="left" w:pos="-2268"/>
        </w:tabs>
        <w:suppressAutoHyphens/>
        <w:rPr>
          <w:spacing w:val="-3"/>
        </w:rPr>
      </w:pPr>
    </w:p>
    <w:p w14:paraId="454109C3" w14:textId="27A82758" w:rsidR="00533295" w:rsidRPr="004068F6" w:rsidRDefault="00533295" w:rsidP="00533295">
      <w:pPr>
        <w:rPr>
          <w:rFonts w:cs="Arial"/>
        </w:rPr>
      </w:pPr>
      <w:r w:rsidRPr="004068F6">
        <w:rPr>
          <w:rFonts w:cs="Arial"/>
        </w:rPr>
        <w:t xml:space="preserve">Al inicio de cada espacio de diálogo se debe brindar información sobre el procedimiento previsto para ejecutar el proceso de participación en su conjunto </w:t>
      </w:r>
      <w:r w:rsidRPr="004068F6">
        <w:rPr>
          <w:spacing w:val="-3"/>
        </w:rPr>
        <w:t>y el espacio de diálogo particular que se está ejecutando</w:t>
      </w:r>
      <w:r w:rsidRPr="004068F6">
        <w:rPr>
          <w:rFonts w:cs="Arial"/>
        </w:rPr>
        <w:t xml:space="preserve">, </w:t>
      </w:r>
      <w:r w:rsidRPr="004068F6">
        <w:rPr>
          <w:spacing w:val="-3"/>
        </w:rPr>
        <w:t xml:space="preserve">haciendo uso de una agenda clara y señalando los objetivos, </w:t>
      </w:r>
      <w:r w:rsidR="00A52931" w:rsidRPr="004068F6">
        <w:rPr>
          <w:rFonts w:cs="Arial"/>
        </w:rPr>
        <w:t xml:space="preserve">un cronograma </w:t>
      </w:r>
      <w:r w:rsidRPr="004068F6">
        <w:rPr>
          <w:rFonts w:cs="Arial"/>
        </w:rPr>
        <w:t xml:space="preserve">del proceso, los mecanismos y </w:t>
      </w:r>
      <w:r w:rsidRPr="004068F6">
        <w:rPr>
          <w:spacing w:val="-3"/>
        </w:rPr>
        <w:t xml:space="preserve">modalidades </w:t>
      </w:r>
      <w:r w:rsidRPr="004068F6">
        <w:rPr>
          <w:rFonts w:cs="Arial"/>
        </w:rPr>
        <w:t>previstos para su ejecución</w:t>
      </w:r>
      <w:r w:rsidR="007804BE" w:rsidRPr="004068F6">
        <w:rPr>
          <w:rFonts w:cs="Arial"/>
        </w:rPr>
        <w:t>.</w:t>
      </w:r>
      <w:r w:rsidRPr="004068F6">
        <w:rPr>
          <w:rFonts w:cs="Arial"/>
        </w:rPr>
        <w:t xml:space="preserve"> </w:t>
      </w:r>
      <w:r w:rsidRPr="004068F6">
        <w:rPr>
          <w:spacing w:val="-3"/>
        </w:rPr>
        <w:t>Asimismo, se</w:t>
      </w:r>
      <w:r w:rsidRPr="00127BD4">
        <w:rPr>
          <w:spacing w:val="-3"/>
        </w:rPr>
        <w:t xml:space="preserve"> debe dar a conocer el </w:t>
      </w:r>
      <w:r w:rsidRPr="004068F6">
        <w:rPr>
          <w:spacing w:val="-3"/>
        </w:rPr>
        <w:t xml:space="preserve">procedimiento para la </w:t>
      </w:r>
      <w:r w:rsidRPr="00127BD4">
        <w:rPr>
          <w:spacing w:val="-3"/>
        </w:rPr>
        <w:t xml:space="preserve">recolección, sistematización y análisis de los </w:t>
      </w:r>
      <w:r w:rsidRPr="004068F6">
        <w:rPr>
          <w:spacing w:val="-3"/>
        </w:rPr>
        <w:t>aportes</w:t>
      </w:r>
      <w:r w:rsidRPr="00127BD4">
        <w:rPr>
          <w:spacing w:val="-3"/>
        </w:rPr>
        <w:t xml:space="preserve"> de los grupos de interés.</w:t>
      </w:r>
    </w:p>
    <w:p w14:paraId="6B205834" w14:textId="77777777" w:rsidR="00533295" w:rsidRPr="004068F6" w:rsidRDefault="00533295" w:rsidP="00533295">
      <w:pPr>
        <w:numPr>
          <w:ilvl w:val="12"/>
          <w:numId w:val="0"/>
        </w:numPr>
        <w:tabs>
          <w:tab w:val="left" w:pos="-2268"/>
        </w:tabs>
        <w:suppressAutoHyphens/>
      </w:pPr>
    </w:p>
    <w:p w14:paraId="52E4B5FB" w14:textId="77777777" w:rsidR="00533295" w:rsidRPr="00127BD4" w:rsidRDefault="00533295" w:rsidP="00533295">
      <w:pPr>
        <w:pStyle w:val="Prrafodelista"/>
        <w:tabs>
          <w:tab w:val="left" w:pos="-2268"/>
        </w:tabs>
        <w:suppressAutoHyphens/>
        <w:ind w:left="0"/>
        <w:rPr>
          <w:spacing w:val="-3"/>
          <w:lang w:val="es-CO"/>
        </w:rPr>
      </w:pPr>
      <w:r w:rsidRPr="00127BD4">
        <w:rPr>
          <w:spacing w:val="-3"/>
          <w:lang w:val="es-CO"/>
        </w:rPr>
        <w:t xml:space="preserve">Se debe comunicar que el EIA en elaboración debe ser socializado antes de radicarlo ante la autoridad ambiental competente, que en dicha socialización se menciona cómo se incorporaron los aportes o las razones por las cuales éstos no se consideran pertinentes y </w:t>
      </w:r>
      <w:r w:rsidRPr="00127BD4">
        <w:rPr>
          <w:lang w:val="es-CO"/>
        </w:rPr>
        <w:t>que la autoridad ambiental competente es quien decide si es posible desarrollar el proyecto, obra o actividad mediante acto administrativo y considerando entre otra información, las evidencias del proceso de participación y demás contenido del EIA.</w:t>
      </w:r>
    </w:p>
    <w:p w14:paraId="2B263806" w14:textId="77777777" w:rsidR="00533295" w:rsidRPr="004068F6" w:rsidRDefault="00533295" w:rsidP="00533295">
      <w:pPr>
        <w:numPr>
          <w:ilvl w:val="12"/>
          <w:numId w:val="0"/>
        </w:numPr>
        <w:tabs>
          <w:tab w:val="left" w:pos="-2268"/>
        </w:tabs>
        <w:suppressAutoHyphens/>
        <w:rPr>
          <w:spacing w:val="-3"/>
        </w:rPr>
      </w:pPr>
    </w:p>
    <w:p w14:paraId="74400FD9" w14:textId="77777777" w:rsidR="00533295" w:rsidRPr="004068F6" w:rsidRDefault="00533295" w:rsidP="00533295">
      <w:pPr>
        <w:pStyle w:val="Ttulo4"/>
        <w:tabs>
          <w:tab w:val="clear" w:pos="1844"/>
          <w:tab w:val="num" w:pos="1134"/>
        </w:tabs>
        <w:ind w:left="0"/>
        <w:rPr>
          <w:lang w:val="es-CO"/>
        </w:rPr>
      </w:pPr>
      <w:r w:rsidRPr="004068F6">
        <w:rPr>
          <w:lang w:val="es-CO"/>
        </w:rPr>
        <w:t>Desarrollo de los espacios participativos</w:t>
      </w:r>
    </w:p>
    <w:p w14:paraId="58ACF795" w14:textId="77777777" w:rsidR="00533295" w:rsidRPr="004068F6" w:rsidRDefault="00533295" w:rsidP="00533295">
      <w:pPr>
        <w:tabs>
          <w:tab w:val="left" w:pos="-2268"/>
        </w:tabs>
        <w:suppressAutoHyphens/>
        <w:rPr>
          <w:spacing w:val="-3"/>
        </w:rPr>
      </w:pPr>
    </w:p>
    <w:p w14:paraId="7EA303CA" w14:textId="24B1FBC1" w:rsidR="00533295" w:rsidRPr="00127BD4" w:rsidRDefault="00533295" w:rsidP="000D6E21">
      <w:pPr>
        <w:pStyle w:val="Prrafodelista"/>
        <w:tabs>
          <w:tab w:val="left" w:pos="-2268"/>
        </w:tabs>
        <w:suppressAutoHyphens/>
        <w:ind w:left="0"/>
        <w:rPr>
          <w:spacing w:val="-3"/>
          <w:lang w:val="es-CO"/>
        </w:rPr>
      </w:pPr>
      <w:r w:rsidRPr="004068F6">
        <w:rPr>
          <w:spacing w:val="-3"/>
          <w:lang w:val="es-CO"/>
        </w:rPr>
        <w:t>Durante el desarrollo de los espacios de diálogo se debe promover un ambiente de confianza que además de facilitar la difusión de información</w:t>
      </w:r>
      <w:r w:rsidR="00B67444" w:rsidRPr="004068F6">
        <w:rPr>
          <w:spacing w:val="-3"/>
          <w:lang w:val="es-CO"/>
        </w:rPr>
        <w:t xml:space="preserve"> en lenguaje claro</w:t>
      </w:r>
      <w:r w:rsidRPr="004068F6">
        <w:rPr>
          <w:spacing w:val="-3"/>
          <w:lang w:val="es-CO"/>
        </w:rPr>
        <w:t>, propicie la deliberación, argumentación y debate de los grupos de interés involucrados y les permita expresar con libertad sus observaciones, inquietudes y aportes.</w:t>
      </w:r>
    </w:p>
    <w:p w14:paraId="4ED55577" w14:textId="77777777" w:rsidR="00533295" w:rsidRPr="004068F6" w:rsidRDefault="00533295" w:rsidP="000D6E21">
      <w:pPr>
        <w:tabs>
          <w:tab w:val="left" w:pos="-2268"/>
        </w:tabs>
        <w:suppressAutoHyphens/>
        <w:rPr>
          <w:spacing w:val="-3"/>
        </w:rPr>
      </w:pPr>
    </w:p>
    <w:p w14:paraId="693CA473" w14:textId="77777777" w:rsidR="00533295" w:rsidRPr="004068F6" w:rsidRDefault="00533295" w:rsidP="00533295">
      <w:pPr>
        <w:pStyle w:val="Prrafodelista"/>
        <w:tabs>
          <w:tab w:val="left" w:pos="-2268"/>
        </w:tabs>
        <w:suppressAutoHyphens/>
        <w:ind w:left="0"/>
        <w:rPr>
          <w:spacing w:val="-3"/>
          <w:lang w:val="es-CO"/>
        </w:rPr>
      </w:pPr>
      <w:r w:rsidRPr="004068F6">
        <w:rPr>
          <w:spacing w:val="-3"/>
          <w:lang w:val="es-CO"/>
        </w:rPr>
        <w:t>En estos espacios se debe brindar información como mínimo sobre los siguientes contenidos:</w:t>
      </w:r>
    </w:p>
    <w:p w14:paraId="567DB109" w14:textId="77777777" w:rsidR="00533295" w:rsidRPr="004068F6" w:rsidRDefault="00533295" w:rsidP="00533295">
      <w:pPr>
        <w:numPr>
          <w:ilvl w:val="12"/>
          <w:numId w:val="0"/>
        </w:numPr>
        <w:tabs>
          <w:tab w:val="left" w:pos="-2268"/>
        </w:tabs>
        <w:suppressAutoHyphens/>
        <w:rPr>
          <w:spacing w:val="-3"/>
        </w:rPr>
      </w:pPr>
    </w:p>
    <w:p w14:paraId="2EFD7745" w14:textId="77777777" w:rsidR="00533295" w:rsidRPr="004068F6" w:rsidRDefault="00533295" w:rsidP="000D6E21">
      <w:pPr>
        <w:numPr>
          <w:ilvl w:val="0"/>
          <w:numId w:val="40"/>
        </w:numPr>
        <w:tabs>
          <w:tab w:val="left" w:pos="-2268"/>
        </w:tabs>
        <w:suppressAutoHyphens/>
        <w:ind w:left="567" w:hanging="567"/>
        <w:rPr>
          <w:spacing w:val="-3"/>
        </w:rPr>
      </w:pPr>
      <w:r w:rsidRPr="004068F6">
        <w:rPr>
          <w:spacing w:val="-3"/>
        </w:rPr>
        <w:t>Objetivo y alcance del EIA en elaboración.</w:t>
      </w:r>
    </w:p>
    <w:p w14:paraId="4CD5531B" w14:textId="77777777" w:rsidR="00533295" w:rsidRPr="004068F6" w:rsidRDefault="00533295" w:rsidP="000D6E21">
      <w:pPr>
        <w:numPr>
          <w:ilvl w:val="12"/>
          <w:numId w:val="0"/>
        </w:numPr>
        <w:tabs>
          <w:tab w:val="left" w:pos="-2268"/>
        </w:tabs>
        <w:suppressAutoHyphens/>
        <w:rPr>
          <w:spacing w:val="-3"/>
        </w:rPr>
      </w:pPr>
    </w:p>
    <w:p w14:paraId="1F31E405" w14:textId="77777777" w:rsidR="00533295" w:rsidRPr="004068F6" w:rsidRDefault="00533295" w:rsidP="000D6E21">
      <w:pPr>
        <w:numPr>
          <w:ilvl w:val="0"/>
          <w:numId w:val="40"/>
        </w:numPr>
        <w:tabs>
          <w:tab w:val="left" w:pos="-2268"/>
        </w:tabs>
        <w:suppressAutoHyphens/>
        <w:ind w:left="567" w:hanging="567"/>
        <w:rPr>
          <w:spacing w:val="-3"/>
        </w:rPr>
      </w:pPr>
      <w:r w:rsidRPr="004068F6">
        <w:rPr>
          <w:spacing w:val="-3"/>
        </w:rPr>
        <w:t>Características técnicas, actividades, infraestructura planteada y alcance del proyecto</w:t>
      </w:r>
      <w:r w:rsidRPr="004068F6">
        <w:rPr>
          <w:iCs/>
          <w:spacing w:val="-3"/>
        </w:rPr>
        <w:t>, obra o actividad</w:t>
      </w:r>
      <w:r w:rsidRPr="004068F6">
        <w:rPr>
          <w:spacing w:val="-3"/>
        </w:rPr>
        <w:t>.</w:t>
      </w:r>
    </w:p>
    <w:p w14:paraId="580547F7" w14:textId="77777777" w:rsidR="00533295" w:rsidRPr="004068F6" w:rsidRDefault="00533295" w:rsidP="00533295"/>
    <w:p w14:paraId="5DA6B8C1" w14:textId="77777777" w:rsidR="00533295" w:rsidRPr="004068F6" w:rsidRDefault="00533295" w:rsidP="000D6E21">
      <w:pPr>
        <w:numPr>
          <w:ilvl w:val="0"/>
          <w:numId w:val="40"/>
        </w:numPr>
        <w:tabs>
          <w:tab w:val="left" w:pos="-2268"/>
        </w:tabs>
        <w:suppressAutoHyphens/>
        <w:ind w:left="567" w:hanging="567"/>
        <w:rPr>
          <w:spacing w:val="-3"/>
        </w:rPr>
      </w:pPr>
      <w:r w:rsidRPr="004068F6">
        <w:rPr>
          <w:spacing w:val="-3"/>
        </w:rPr>
        <w:t>Características y diferencias de cada una de las etapas del proyecto, obra o actividad, cuando aplique.</w:t>
      </w:r>
    </w:p>
    <w:p w14:paraId="600A9EC6" w14:textId="77777777" w:rsidR="00533295" w:rsidRPr="004068F6" w:rsidRDefault="00533295" w:rsidP="00533295">
      <w:pPr>
        <w:rPr>
          <w:rFonts w:cs="Arial"/>
        </w:rPr>
      </w:pPr>
    </w:p>
    <w:p w14:paraId="5BBB4666" w14:textId="2024A6F8" w:rsidR="00533295" w:rsidRPr="004068F6" w:rsidRDefault="00533295" w:rsidP="000D6E21">
      <w:pPr>
        <w:numPr>
          <w:ilvl w:val="0"/>
          <w:numId w:val="40"/>
        </w:numPr>
        <w:tabs>
          <w:tab w:val="left" w:pos="-2268"/>
        </w:tabs>
        <w:suppressAutoHyphens/>
        <w:ind w:left="567" w:hanging="567"/>
        <w:rPr>
          <w:spacing w:val="-3"/>
        </w:rPr>
      </w:pPr>
      <w:r w:rsidRPr="004068F6">
        <w:rPr>
          <w:spacing w:val="-3"/>
        </w:rPr>
        <w:t xml:space="preserve">Normativa ambiental aplicable (p. </w:t>
      </w:r>
      <w:r w:rsidRPr="004068F6">
        <w:rPr>
          <w:iCs/>
          <w:spacing w:val="-3"/>
        </w:rPr>
        <w:t>ej</w:t>
      </w:r>
      <w:r w:rsidRPr="004068F6">
        <w:rPr>
          <w:spacing w:val="-3"/>
        </w:rPr>
        <w:t>. sobre el proceso de licenciamiento ambiental</w:t>
      </w:r>
      <w:r w:rsidRPr="004068F6">
        <w:rPr>
          <w:iCs/>
          <w:spacing w:val="-3"/>
        </w:rPr>
        <w:t>, participación</w:t>
      </w:r>
      <w:r w:rsidR="006B6DF8">
        <w:rPr>
          <w:iCs/>
          <w:spacing w:val="-3"/>
        </w:rPr>
        <w:t>,</w:t>
      </w:r>
      <w:r w:rsidRPr="004068F6">
        <w:rPr>
          <w:iCs/>
          <w:spacing w:val="-3"/>
        </w:rPr>
        <w:t xml:space="preserve"> derechos humanos</w:t>
      </w:r>
      <w:r w:rsidRPr="004068F6">
        <w:rPr>
          <w:spacing w:val="-3"/>
        </w:rPr>
        <w:t xml:space="preserve"> y sobre el uso, aprovechamiento y afectación de los recursos naturales).</w:t>
      </w:r>
    </w:p>
    <w:p w14:paraId="3A889012" w14:textId="77777777" w:rsidR="00533295" w:rsidRPr="004068F6" w:rsidRDefault="00533295" w:rsidP="00533295"/>
    <w:p w14:paraId="240BD44A" w14:textId="77777777" w:rsidR="00533295" w:rsidRPr="004068F6" w:rsidRDefault="00533295" w:rsidP="000D6E21">
      <w:pPr>
        <w:numPr>
          <w:ilvl w:val="0"/>
          <w:numId w:val="40"/>
        </w:numPr>
        <w:tabs>
          <w:tab w:val="left" w:pos="-2268"/>
        </w:tabs>
        <w:suppressAutoHyphens/>
        <w:ind w:left="567" w:hanging="567"/>
        <w:rPr>
          <w:spacing w:val="-3"/>
        </w:rPr>
      </w:pPr>
      <w:r w:rsidRPr="004068F6">
        <w:rPr>
          <w:spacing w:val="-3"/>
        </w:rPr>
        <w:t>Autoridad ambiental responsable del proceso de toma de decisiones y otras autoridades e instituciones involucradas</w:t>
      </w:r>
      <w:r w:rsidRPr="004068F6">
        <w:rPr>
          <w:iCs/>
          <w:spacing w:val="-3"/>
        </w:rPr>
        <w:t xml:space="preserve"> (p. ej. a las que se les pueda requerir información complementaria); procedimiento para solicitar información a tales entidades</w:t>
      </w:r>
      <w:r w:rsidRPr="004068F6">
        <w:rPr>
          <w:spacing w:val="-3"/>
        </w:rPr>
        <w:t>.</w:t>
      </w:r>
    </w:p>
    <w:p w14:paraId="74DBD4E0" w14:textId="77777777" w:rsidR="00533295" w:rsidRPr="004068F6" w:rsidRDefault="00533295" w:rsidP="00533295"/>
    <w:p w14:paraId="59AEE1F5" w14:textId="7C3FEF42" w:rsidR="00533295" w:rsidRPr="004068F6" w:rsidRDefault="00533295" w:rsidP="000D6E21">
      <w:r w:rsidRPr="004068F6">
        <w:rPr>
          <w:rFonts w:cs="Arial"/>
        </w:rPr>
        <w:t>Asimismo, durante la ejecución de estos espacios se debe brindar información y propiciar</w:t>
      </w:r>
      <w:r w:rsidRPr="004068F6">
        <w:t xml:space="preserve"> la deliberación</w:t>
      </w:r>
      <w:r w:rsidRPr="004068F6">
        <w:rPr>
          <w:rFonts w:cs="Arial"/>
        </w:rPr>
        <w:t xml:space="preserve"> para recibir </w:t>
      </w:r>
      <w:r w:rsidR="009B7504" w:rsidRPr="004068F6">
        <w:rPr>
          <w:rFonts w:cs="Arial"/>
        </w:rPr>
        <w:t xml:space="preserve">retroalimentación </w:t>
      </w:r>
      <w:r w:rsidR="00744EDF" w:rsidRPr="004068F6">
        <w:rPr>
          <w:rFonts w:cs="Arial"/>
        </w:rPr>
        <w:t>(</w:t>
      </w:r>
      <w:r w:rsidR="009B7504" w:rsidRPr="004068F6">
        <w:rPr>
          <w:rFonts w:cs="Arial"/>
        </w:rPr>
        <w:t>que puede corresponder a inquietudes, sugerencias, conocimientos, argumentos y saberes diversos</w:t>
      </w:r>
      <w:r w:rsidR="00744EDF" w:rsidRPr="004068F6">
        <w:rPr>
          <w:rFonts w:cs="Arial"/>
        </w:rPr>
        <w:t>)</w:t>
      </w:r>
      <w:r w:rsidR="009B7504" w:rsidRPr="004068F6">
        <w:rPr>
          <w:rFonts w:cs="Arial"/>
        </w:rPr>
        <w:t>, como mínimo, sobre los siguientes contenidos:</w:t>
      </w:r>
    </w:p>
    <w:p w14:paraId="251F47C7" w14:textId="77777777" w:rsidR="00533295" w:rsidRPr="004068F6" w:rsidRDefault="00533295" w:rsidP="000D6E21"/>
    <w:p w14:paraId="3C11539E" w14:textId="77777777" w:rsidR="00533295" w:rsidRPr="004068F6" w:rsidRDefault="00533295" w:rsidP="000D6E21">
      <w:pPr>
        <w:numPr>
          <w:ilvl w:val="0"/>
          <w:numId w:val="40"/>
        </w:numPr>
        <w:tabs>
          <w:tab w:val="left" w:pos="-2268"/>
        </w:tabs>
        <w:suppressAutoHyphens/>
        <w:ind w:left="567" w:hanging="567"/>
        <w:rPr>
          <w:spacing w:val="-3"/>
        </w:rPr>
      </w:pPr>
      <w:r w:rsidRPr="004068F6">
        <w:rPr>
          <w:spacing w:val="-3"/>
        </w:rPr>
        <w:t>Delimitación del área de influencia de cada medio y del proyecto</w:t>
      </w:r>
      <w:r w:rsidRPr="004068F6">
        <w:rPr>
          <w:iCs/>
          <w:spacing w:val="-3"/>
        </w:rPr>
        <w:t>, obra o actividad</w:t>
      </w:r>
      <w:r w:rsidRPr="004068F6">
        <w:rPr>
          <w:spacing w:val="-3"/>
        </w:rPr>
        <w:t>.</w:t>
      </w:r>
    </w:p>
    <w:p w14:paraId="7FC1A252" w14:textId="77777777" w:rsidR="00533295" w:rsidRPr="004068F6" w:rsidRDefault="00533295" w:rsidP="00533295">
      <w:pPr>
        <w:rPr>
          <w:rFonts w:cs="Arial"/>
        </w:rPr>
      </w:pPr>
    </w:p>
    <w:p w14:paraId="427D2065" w14:textId="1E4B56BA" w:rsidR="00533295" w:rsidRPr="004068F6" w:rsidRDefault="00533295" w:rsidP="000D6E21">
      <w:pPr>
        <w:numPr>
          <w:ilvl w:val="0"/>
          <w:numId w:val="40"/>
        </w:numPr>
        <w:tabs>
          <w:tab w:val="left" w:pos="-2268"/>
        </w:tabs>
        <w:suppressAutoHyphens/>
        <w:ind w:left="567" w:hanging="567"/>
        <w:rPr>
          <w:spacing w:val="-3"/>
        </w:rPr>
      </w:pPr>
      <w:r w:rsidRPr="004068F6">
        <w:rPr>
          <w:iCs/>
          <w:spacing w:val="-3"/>
        </w:rPr>
        <w:t>Caracterización</w:t>
      </w:r>
      <w:r w:rsidRPr="004068F6">
        <w:rPr>
          <w:spacing w:val="-3"/>
        </w:rPr>
        <w:t xml:space="preserve"> ambiental </w:t>
      </w:r>
      <w:r w:rsidRPr="004068F6">
        <w:rPr>
          <w:iCs/>
          <w:spacing w:val="-3"/>
        </w:rPr>
        <w:t xml:space="preserve">del área de influencia </w:t>
      </w:r>
      <w:r w:rsidRPr="004068F6">
        <w:rPr>
          <w:spacing w:val="-3"/>
        </w:rPr>
        <w:t>de cada medio</w:t>
      </w:r>
      <w:r w:rsidR="00344AFD" w:rsidRPr="004068F6">
        <w:rPr>
          <w:spacing w:val="-3"/>
        </w:rPr>
        <w:t xml:space="preserve">, </w:t>
      </w:r>
      <w:r w:rsidR="004D3BBF" w:rsidRPr="004068F6">
        <w:rPr>
          <w:spacing w:val="-3"/>
        </w:rPr>
        <w:t>del área de influencia asociada a los servicios ecosistémicos y el paisaje</w:t>
      </w:r>
      <w:r w:rsidR="000264AA">
        <w:rPr>
          <w:rStyle w:val="Refdenotaalpie"/>
          <w:spacing w:val="-3"/>
        </w:rPr>
        <w:footnoteReference w:id="126"/>
      </w:r>
      <w:r w:rsidRPr="004068F6">
        <w:rPr>
          <w:iCs/>
          <w:spacing w:val="-3"/>
        </w:rPr>
        <w:t xml:space="preserve"> y del área de influencia del proyecto, obra o actividad</w:t>
      </w:r>
      <w:r w:rsidRPr="004068F6">
        <w:rPr>
          <w:spacing w:val="-3"/>
        </w:rPr>
        <w:t>.</w:t>
      </w:r>
    </w:p>
    <w:p w14:paraId="55509F3A" w14:textId="77777777" w:rsidR="00533295" w:rsidRPr="004068F6" w:rsidRDefault="00533295" w:rsidP="00533295">
      <w:pPr>
        <w:rPr>
          <w:rFonts w:cs="Arial"/>
        </w:rPr>
      </w:pPr>
    </w:p>
    <w:p w14:paraId="10F95A6D" w14:textId="64D86847" w:rsidR="00533295" w:rsidRPr="004068F6" w:rsidRDefault="00533295" w:rsidP="00533295">
      <w:pPr>
        <w:numPr>
          <w:ilvl w:val="0"/>
          <w:numId w:val="40"/>
        </w:numPr>
        <w:tabs>
          <w:tab w:val="left" w:pos="-2268"/>
        </w:tabs>
        <w:suppressAutoHyphens/>
        <w:ind w:left="567" w:hanging="567"/>
        <w:rPr>
          <w:iCs/>
          <w:spacing w:val="-3"/>
        </w:rPr>
      </w:pPr>
      <w:r w:rsidRPr="004068F6">
        <w:rPr>
          <w:iCs/>
          <w:spacing w:val="-3"/>
        </w:rPr>
        <w:t>Zonificación ambiental y zonificación de manejo ambiental.</w:t>
      </w:r>
    </w:p>
    <w:p w14:paraId="490EBFB8" w14:textId="77777777" w:rsidR="00533295" w:rsidRPr="004068F6" w:rsidRDefault="00533295" w:rsidP="00533295">
      <w:pPr>
        <w:rPr>
          <w:rFonts w:cs="Arial"/>
        </w:rPr>
      </w:pPr>
    </w:p>
    <w:p w14:paraId="25EB35A1" w14:textId="56D8AA8E" w:rsidR="000922A6" w:rsidRDefault="00533295" w:rsidP="000D6E21">
      <w:pPr>
        <w:numPr>
          <w:ilvl w:val="0"/>
          <w:numId w:val="40"/>
        </w:numPr>
        <w:tabs>
          <w:tab w:val="left" w:pos="-2268"/>
        </w:tabs>
        <w:suppressAutoHyphens/>
        <w:ind w:left="567" w:hanging="567"/>
        <w:rPr>
          <w:spacing w:val="-3"/>
        </w:rPr>
      </w:pPr>
      <w:r w:rsidRPr="004068F6">
        <w:rPr>
          <w:iCs/>
          <w:spacing w:val="-3"/>
        </w:rPr>
        <w:t>Determinación y valoración de impactos</w:t>
      </w:r>
      <w:r w:rsidRPr="004068F6">
        <w:rPr>
          <w:spacing w:val="-3"/>
        </w:rPr>
        <w:t xml:space="preserve"> ambientales del proyecto, obra o actividad</w:t>
      </w:r>
      <w:r w:rsidR="000C293E">
        <w:rPr>
          <w:spacing w:val="-3"/>
        </w:rPr>
        <w:t>.</w:t>
      </w:r>
    </w:p>
    <w:p w14:paraId="4B753303" w14:textId="77777777" w:rsidR="000922A6" w:rsidRPr="00127BD4" w:rsidRDefault="000922A6" w:rsidP="00127BD4">
      <w:pPr>
        <w:rPr>
          <w:spacing w:val="-3"/>
        </w:rPr>
      </w:pPr>
    </w:p>
    <w:p w14:paraId="55DDD18E" w14:textId="4C57DC04" w:rsidR="00533295" w:rsidRPr="004068F6" w:rsidRDefault="00F501F9" w:rsidP="000D6E21">
      <w:pPr>
        <w:numPr>
          <w:ilvl w:val="0"/>
          <w:numId w:val="40"/>
        </w:numPr>
        <w:tabs>
          <w:tab w:val="left" w:pos="-2268"/>
        </w:tabs>
        <w:suppressAutoHyphens/>
        <w:ind w:left="567" w:hanging="567"/>
        <w:rPr>
          <w:spacing w:val="-3"/>
        </w:rPr>
      </w:pPr>
      <w:r>
        <w:rPr>
          <w:spacing w:val="-3"/>
        </w:rPr>
        <w:t>R</w:t>
      </w:r>
      <w:r w:rsidR="00023DF4">
        <w:rPr>
          <w:spacing w:val="-3"/>
        </w:rPr>
        <w:t xml:space="preserve">iesgos e impactos negativos a los derechos humanos </w:t>
      </w:r>
      <w:r w:rsidR="00280FBD">
        <w:rPr>
          <w:spacing w:val="-3"/>
        </w:rPr>
        <w:t xml:space="preserve">que pueden </w:t>
      </w:r>
      <w:r w:rsidR="00023DF4">
        <w:rPr>
          <w:spacing w:val="-3"/>
        </w:rPr>
        <w:t>derivar</w:t>
      </w:r>
      <w:r w:rsidR="00864D4E">
        <w:rPr>
          <w:spacing w:val="-3"/>
        </w:rPr>
        <w:t>se</w:t>
      </w:r>
      <w:r w:rsidR="00023DF4">
        <w:rPr>
          <w:spacing w:val="-3"/>
        </w:rPr>
        <w:t xml:space="preserve"> de </w:t>
      </w:r>
      <w:r w:rsidR="00280FBD">
        <w:rPr>
          <w:spacing w:val="-3"/>
        </w:rPr>
        <w:t xml:space="preserve">los </w:t>
      </w:r>
      <w:r w:rsidR="00023DF4">
        <w:rPr>
          <w:spacing w:val="-3"/>
        </w:rPr>
        <w:t>impactos</w:t>
      </w:r>
      <w:r w:rsidR="00280FBD">
        <w:rPr>
          <w:spacing w:val="-3"/>
        </w:rPr>
        <w:t xml:space="preserve"> ambientales.</w:t>
      </w:r>
    </w:p>
    <w:p w14:paraId="39BD1B03" w14:textId="77777777" w:rsidR="00533295" w:rsidRPr="004068F6" w:rsidRDefault="00533295" w:rsidP="00533295">
      <w:pPr>
        <w:rPr>
          <w:rFonts w:cs="Arial"/>
        </w:rPr>
      </w:pPr>
    </w:p>
    <w:p w14:paraId="26C2278B" w14:textId="62BC17AA" w:rsidR="00533295" w:rsidRPr="004068F6" w:rsidRDefault="00533295" w:rsidP="000D6E21">
      <w:pPr>
        <w:numPr>
          <w:ilvl w:val="0"/>
          <w:numId w:val="40"/>
        </w:numPr>
        <w:tabs>
          <w:tab w:val="left" w:pos="-2268"/>
        </w:tabs>
        <w:suppressAutoHyphens/>
        <w:ind w:left="567" w:hanging="567"/>
        <w:rPr>
          <w:spacing w:val="-3"/>
        </w:rPr>
      </w:pPr>
      <w:r w:rsidRPr="004068F6">
        <w:rPr>
          <w:iCs/>
          <w:spacing w:val="-3"/>
        </w:rPr>
        <w:t xml:space="preserve">Medidas de manejo (de prevención, mitigación, corrección y compensación) de impactos </w:t>
      </w:r>
      <w:r w:rsidR="00DB7E5A">
        <w:rPr>
          <w:iCs/>
          <w:spacing w:val="-3"/>
        </w:rPr>
        <w:t>incorporadas a</w:t>
      </w:r>
      <w:r w:rsidRPr="004068F6">
        <w:rPr>
          <w:iCs/>
          <w:spacing w:val="-3"/>
        </w:rPr>
        <w:t>l plan</w:t>
      </w:r>
      <w:r w:rsidRPr="004068F6">
        <w:rPr>
          <w:spacing w:val="-3"/>
        </w:rPr>
        <w:t xml:space="preserve"> de manejo ambiental.</w:t>
      </w:r>
      <w:r w:rsidR="00913A71">
        <w:rPr>
          <w:spacing w:val="-3"/>
        </w:rPr>
        <w:t xml:space="preserve"> </w:t>
      </w:r>
      <w:r w:rsidR="00D04EE0">
        <w:rPr>
          <w:spacing w:val="-3"/>
        </w:rPr>
        <w:t>En caso de aplicar, s</w:t>
      </w:r>
      <w:r w:rsidR="0016496C">
        <w:rPr>
          <w:spacing w:val="-3"/>
        </w:rPr>
        <w:t xml:space="preserve">e debe señalar </w:t>
      </w:r>
      <w:r w:rsidR="00020B81">
        <w:rPr>
          <w:spacing w:val="-3"/>
        </w:rPr>
        <w:t xml:space="preserve">cómo </w:t>
      </w:r>
      <w:r w:rsidR="00D04EE0">
        <w:rPr>
          <w:spacing w:val="-3"/>
        </w:rPr>
        <w:t xml:space="preserve">las medidas </w:t>
      </w:r>
      <w:r w:rsidR="00020B81">
        <w:rPr>
          <w:spacing w:val="-3"/>
        </w:rPr>
        <w:t xml:space="preserve">previenen los riesgos e impactos negativos a los derechos humanos derivados de </w:t>
      </w:r>
      <w:r w:rsidR="005545DD">
        <w:rPr>
          <w:spacing w:val="-3"/>
        </w:rPr>
        <w:t xml:space="preserve">los </w:t>
      </w:r>
      <w:r w:rsidR="00020B81">
        <w:rPr>
          <w:spacing w:val="-3"/>
        </w:rPr>
        <w:t>impactos ambientales</w:t>
      </w:r>
      <w:r w:rsidR="00F07A1D">
        <w:rPr>
          <w:spacing w:val="-3"/>
        </w:rPr>
        <w:t>.</w:t>
      </w:r>
    </w:p>
    <w:p w14:paraId="63749093" w14:textId="77777777" w:rsidR="00F35F2E" w:rsidRPr="00127BD4" w:rsidRDefault="00F35F2E" w:rsidP="00127BD4">
      <w:pPr>
        <w:rPr>
          <w:spacing w:val="-3"/>
        </w:rPr>
      </w:pPr>
    </w:p>
    <w:p w14:paraId="1C8CDFDB" w14:textId="7E726A8F" w:rsidR="00F35F2E" w:rsidRPr="004068F6" w:rsidRDefault="000712AC" w:rsidP="000D6E21">
      <w:pPr>
        <w:numPr>
          <w:ilvl w:val="0"/>
          <w:numId w:val="40"/>
        </w:numPr>
        <w:tabs>
          <w:tab w:val="left" w:pos="-2268"/>
        </w:tabs>
        <w:suppressAutoHyphens/>
        <w:ind w:left="567" w:hanging="567"/>
        <w:rPr>
          <w:spacing w:val="-3"/>
        </w:rPr>
      </w:pPr>
      <w:r w:rsidRPr="004068F6">
        <w:rPr>
          <w:spacing w:val="-3"/>
        </w:rPr>
        <w:lastRenderedPageBreak/>
        <w:t>Objetivos</w:t>
      </w:r>
      <w:r w:rsidR="00713F19" w:rsidRPr="004068F6">
        <w:rPr>
          <w:spacing w:val="-3"/>
        </w:rPr>
        <w:t xml:space="preserve"> programáticos</w:t>
      </w:r>
      <w:r w:rsidRPr="004068F6">
        <w:rPr>
          <w:spacing w:val="-3"/>
        </w:rPr>
        <w:t>, prioridades o necesidades de planeación</w:t>
      </w:r>
      <w:r w:rsidR="00EB2B41" w:rsidRPr="004068F6">
        <w:rPr>
          <w:spacing w:val="-3"/>
        </w:rPr>
        <w:t xml:space="preserve"> de las comunidades</w:t>
      </w:r>
      <w:r w:rsidRPr="004068F6">
        <w:rPr>
          <w:spacing w:val="-3"/>
        </w:rPr>
        <w:t>.</w:t>
      </w:r>
    </w:p>
    <w:p w14:paraId="0173D717" w14:textId="77777777" w:rsidR="00533295" w:rsidRPr="004068F6" w:rsidRDefault="00533295" w:rsidP="00533295">
      <w:pPr>
        <w:rPr>
          <w:rFonts w:cs="Arial"/>
        </w:rPr>
      </w:pPr>
    </w:p>
    <w:p w14:paraId="540F4DCB" w14:textId="77777777" w:rsidR="00533295" w:rsidRPr="004068F6" w:rsidRDefault="00533295" w:rsidP="000D6E21">
      <w:pPr>
        <w:numPr>
          <w:ilvl w:val="0"/>
          <w:numId w:val="40"/>
        </w:numPr>
        <w:tabs>
          <w:tab w:val="left" w:pos="-2268"/>
        </w:tabs>
        <w:suppressAutoHyphens/>
        <w:ind w:left="567" w:hanging="567"/>
        <w:rPr>
          <w:spacing w:val="-3"/>
        </w:rPr>
      </w:pPr>
      <w:r w:rsidRPr="004068F6">
        <w:rPr>
          <w:spacing w:val="-3"/>
        </w:rPr>
        <w:t>Plan de seguimiento y monitoreo.</w:t>
      </w:r>
    </w:p>
    <w:p w14:paraId="6A2846AD" w14:textId="77777777" w:rsidR="00533295" w:rsidRPr="004068F6" w:rsidRDefault="00533295" w:rsidP="00533295">
      <w:pPr>
        <w:rPr>
          <w:rFonts w:cs="Arial"/>
        </w:rPr>
      </w:pPr>
    </w:p>
    <w:p w14:paraId="0CF8E70E" w14:textId="77777777" w:rsidR="00533295" w:rsidRPr="004068F6" w:rsidRDefault="00533295" w:rsidP="000D6E21">
      <w:pPr>
        <w:numPr>
          <w:ilvl w:val="0"/>
          <w:numId w:val="40"/>
        </w:numPr>
        <w:tabs>
          <w:tab w:val="left" w:pos="-2268"/>
        </w:tabs>
        <w:suppressAutoHyphens/>
        <w:ind w:left="567" w:hanging="567"/>
        <w:rPr>
          <w:spacing w:val="-3"/>
        </w:rPr>
      </w:pPr>
      <w:r w:rsidRPr="004068F6">
        <w:rPr>
          <w:spacing w:val="-3"/>
        </w:rPr>
        <w:t>Permisos requeridos para el uso y aprovechamiento de los recursos naturales (captaciones, vertimientos, emisiones, aprovechamiento forestal, entre otros).</w:t>
      </w:r>
    </w:p>
    <w:p w14:paraId="43C4C3B3" w14:textId="77777777" w:rsidR="00533295" w:rsidRPr="004068F6" w:rsidRDefault="00533295" w:rsidP="00533295">
      <w:pPr>
        <w:rPr>
          <w:rFonts w:cs="Arial"/>
        </w:rPr>
      </w:pPr>
    </w:p>
    <w:p w14:paraId="24246634" w14:textId="3516493A" w:rsidR="00533295" w:rsidRPr="004068F6" w:rsidRDefault="00064C78" w:rsidP="000D6E21">
      <w:pPr>
        <w:numPr>
          <w:ilvl w:val="0"/>
          <w:numId w:val="40"/>
        </w:numPr>
        <w:tabs>
          <w:tab w:val="left" w:pos="-2268"/>
        </w:tabs>
        <w:suppressAutoHyphens/>
        <w:ind w:left="567" w:hanging="567"/>
        <w:rPr>
          <w:spacing w:val="-3"/>
        </w:rPr>
      </w:pPr>
      <w:r w:rsidRPr="004068F6">
        <w:rPr>
          <w:iCs/>
          <w:spacing w:val="-3"/>
        </w:rPr>
        <w:t>Dimensión</w:t>
      </w:r>
      <w:r w:rsidRPr="00127BD4">
        <w:rPr>
          <w:spacing w:val="-3"/>
        </w:rPr>
        <w:t xml:space="preserve"> </w:t>
      </w:r>
      <w:r w:rsidR="00533295" w:rsidRPr="00127BD4">
        <w:rPr>
          <w:spacing w:val="-3"/>
        </w:rPr>
        <w:t>ambiental</w:t>
      </w:r>
      <w:r w:rsidR="00533295" w:rsidRPr="004068F6">
        <w:rPr>
          <w:iCs/>
          <w:spacing w:val="-3"/>
        </w:rPr>
        <w:t xml:space="preserve"> del plan</w:t>
      </w:r>
      <w:r w:rsidR="00533295" w:rsidRPr="004068F6">
        <w:rPr>
          <w:spacing w:val="-3"/>
        </w:rPr>
        <w:t xml:space="preserve"> de </w:t>
      </w:r>
      <w:r w:rsidR="00533295" w:rsidRPr="004068F6">
        <w:rPr>
          <w:iCs/>
          <w:spacing w:val="-3"/>
        </w:rPr>
        <w:t>gestión del riesgo</w:t>
      </w:r>
      <w:r w:rsidR="00533295" w:rsidRPr="004068F6">
        <w:rPr>
          <w:spacing w:val="-3"/>
        </w:rPr>
        <w:t>.</w:t>
      </w:r>
    </w:p>
    <w:p w14:paraId="23719E47" w14:textId="77777777" w:rsidR="00533295" w:rsidRPr="004068F6" w:rsidRDefault="00533295" w:rsidP="00533295">
      <w:pPr>
        <w:rPr>
          <w:rFonts w:cs="Arial"/>
        </w:rPr>
      </w:pPr>
    </w:p>
    <w:p w14:paraId="58D1C4E9" w14:textId="77777777" w:rsidR="00533295" w:rsidRPr="004068F6" w:rsidRDefault="00533295" w:rsidP="000D6E21">
      <w:pPr>
        <w:numPr>
          <w:ilvl w:val="0"/>
          <w:numId w:val="40"/>
        </w:numPr>
        <w:tabs>
          <w:tab w:val="left" w:pos="-2268"/>
        </w:tabs>
        <w:suppressAutoHyphens/>
        <w:ind w:left="567" w:hanging="567"/>
        <w:rPr>
          <w:spacing w:val="-3"/>
        </w:rPr>
      </w:pPr>
      <w:r w:rsidRPr="004068F6">
        <w:rPr>
          <w:spacing w:val="-3"/>
        </w:rPr>
        <w:t>Plan de compensación por pérdida de biodiversidad.</w:t>
      </w:r>
    </w:p>
    <w:p w14:paraId="027C048D" w14:textId="77777777" w:rsidR="00533295" w:rsidRPr="004068F6" w:rsidRDefault="00533295" w:rsidP="00533295">
      <w:pPr>
        <w:rPr>
          <w:rFonts w:cs="Arial"/>
        </w:rPr>
      </w:pPr>
    </w:p>
    <w:p w14:paraId="6AC749E5" w14:textId="77777777" w:rsidR="00533295" w:rsidRPr="004068F6" w:rsidRDefault="00533295" w:rsidP="000D6E21">
      <w:pPr>
        <w:numPr>
          <w:ilvl w:val="0"/>
          <w:numId w:val="40"/>
        </w:numPr>
        <w:tabs>
          <w:tab w:val="left" w:pos="-2268"/>
        </w:tabs>
        <w:suppressAutoHyphens/>
        <w:ind w:left="567" w:hanging="567"/>
        <w:rPr>
          <w:spacing w:val="-3"/>
        </w:rPr>
      </w:pPr>
      <w:r w:rsidRPr="004068F6">
        <w:rPr>
          <w:spacing w:val="-3"/>
        </w:rPr>
        <w:t>Plan de inversión de no menos del 1%.</w:t>
      </w:r>
    </w:p>
    <w:p w14:paraId="485E1780" w14:textId="77777777" w:rsidR="00367E79" w:rsidRPr="00127BD4" w:rsidRDefault="00367E79" w:rsidP="00127BD4">
      <w:pPr>
        <w:rPr>
          <w:spacing w:val="-3"/>
        </w:rPr>
      </w:pPr>
    </w:p>
    <w:p w14:paraId="5CB856AD" w14:textId="1170824F" w:rsidR="00367E79" w:rsidRPr="004068F6" w:rsidRDefault="00367E79" w:rsidP="00367E79">
      <w:pPr>
        <w:numPr>
          <w:ilvl w:val="0"/>
          <w:numId w:val="40"/>
        </w:numPr>
        <w:tabs>
          <w:tab w:val="left" w:pos="-2268"/>
        </w:tabs>
        <w:suppressAutoHyphens/>
        <w:ind w:left="567" w:hanging="567"/>
        <w:rPr>
          <w:spacing w:val="-3"/>
        </w:rPr>
      </w:pPr>
      <w:r w:rsidRPr="004068F6">
        <w:rPr>
          <w:spacing w:val="-3"/>
        </w:rPr>
        <w:t>Plan de desmantelamiento y cierre ambiental.</w:t>
      </w:r>
    </w:p>
    <w:p w14:paraId="5F2E2441" w14:textId="77777777" w:rsidR="00652FC4" w:rsidRPr="00127BD4" w:rsidRDefault="00652FC4" w:rsidP="00127BD4">
      <w:pPr>
        <w:rPr>
          <w:spacing w:val="-3"/>
        </w:rPr>
      </w:pPr>
    </w:p>
    <w:p w14:paraId="51EBD3EE" w14:textId="5976D1B4" w:rsidR="00652FC4" w:rsidRPr="004068F6" w:rsidRDefault="00652FC4" w:rsidP="00367E79">
      <w:pPr>
        <w:numPr>
          <w:ilvl w:val="0"/>
          <w:numId w:val="40"/>
        </w:numPr>
        <w:tabs>
          <w:tab w:val="left" w:pos="-2268"/>
        </w:tabs>
        <w:suppressAutoHyphens/>
        <w:ind w:left="567" w:hanging="567"/>
        <w:rPr>
          <w:spacing w:val="-3"/>
        </w:rPr>
      </w:pPr>
      <w:r w:rsidRPr="00127BD4">
        <w:rPr>
          <w:spacing w:val="-3"/>
        </w:rPr>
        <w:t xml:space="preserve">Plan </w:t>
      </w:r>
      <w:r w:rsidR="007D609A" w:rsidRPr="00127BD4">
        <w:rPr>
          <w:spacing w:val="-3"/>
        </w:rPr>
        <w:t>de gestión de cambio climático</w:t>
      </w:r>
    </w:p>
    <w:p w14:paraId="7A6ACAA1" w14:textId="77777777" w:rsidR="00533295" w:rsidRPr="004068F6" w:rsidRDefault="00533295" w:rsidP="000D6E21">
      <w:pPr>
        <w:numPr>
          <w:ilvl w:val="12"/>
          <w:numId w:val="0"/>
        </w:numPr>
        <w:tabs>
          <w:tab w:val="left" w:pos="-2268"/>
        </w:tabs>
        <w:suppressAutoHyphens/>
        <w:rPr>
          <w:spacing w:val="-3"/>
        </w:rPr>
      </w:pPr>
    </w:p>
    <w:p w14:paraId="1E88F67B" w14:textId="44C588CE" w:rsidR="00533295" w:rsidRPr="00127BD4" w:rsidRDefault="00533295" w:rsidP="000D6E21">
      <w:pPr>
        <w:pStyle w:val="Prrafodelista"/>
        <w:tabs>
          <w:tab w:val="left" w:pos="-2268"/>
        </w:tabs>
        <w:suppressAutoHyphens/>
        <w:ind w:left="0"/>
        <w:rPr>
          <w:spacing w:val="-3"/>
          <w:lang w:val="es-CO"/>
        </w:rPr>
      </w:pPr>
      <w:r w:rsidRPr="00127BD4">
        <w:rPr>
          <w:rFonts w:cs="Arial"/>
          <w:spacing w:val="-3"/>
          <w:lang w:val="es-CO"/>
        </w:rPr>
        <w:t>Para lograr una adecuada retroalimentación</w:t>
      </w:r>
      <w:r w:rsidR="009B3C7A">
        <w:rPr>
          <w:rFonts w:cs="Arial"/>
          <w:spacing w:val="-3"/>
          <w:lang w:val="es-CO"/>
        </w:rPr>
        <w:t>,</w:t>
      </w:r>
      <w:r w:rsidRPr="00127BD4">
        <w:rPr>
          <w:rFonts w:cs="Arial"/>
          <w:spacing w:val="-3"/>
          <w:lang w:val="es-CO"/>
        </w:rPr>
        <w:t xml:space="preserve"> </w:t>
      </w:r>
      <w:r w:rsidRPr="004068F6">
        <w:rPr>
          <w:rFonts w:cs="Arial"/>
          <w:spacing w:val="-3"/>
          <w:lang w:val="es-CO"/>
        </w:rPr>
        <w:t xml:space="preserve">enriquecer el EIA </w:t>
      </w:r>
      <w:r w:rsidR="00C92887">
        <w:rPr>
          <w:rFonts w:cs="Arial"/>
          <w:spacing w:val="-3"/>
          <w:lang w:val="es-CO"/>
        </w:rPr>
        <w:t xml:space="preserve">en numerales como caracterización ambiental, </w:t>
      </w:r>
      <w:r w:rsidR="00695612">
        <w:rPr>
          <w:rFonts w:cs="Arial"/>
          <w:spacing w:val="-3"/>
          <w:lang w:val="es-CO"/>
        </w:rPr>
        <w:t xml:space="preserve">área de influencia, </w:t>
      </w:r>
      <w:r w:rsidR="00C92887">
        <w:rPr>
          <w:rFonts w:cs="Arial"/>
          <w:spacing w:val="-3"/>
          <w:lang w:val="es-CO"/>
        </w:rPr>
        <w:t xml:space="preserve">evaluación ambiental </w:t>
      </w:r>
      <w:r w:rsidR="00247B14">
        <w:rPr>
          <w:rFonts w:cs="Arial"/>
          <w:spacing w:val="-3"/>
          <w:lang w:val="es-CO"/>
        </w:rPr>
        <w:t>o planes y programas</w:t>
      </w:r>
      <w:r w:rsidR="00140BBA">
        <w:rPr>
          <w:rFonts w:cs="Arial"/>
          <w:spacing w:val="-3"/>
          <w:lang w:val="es-CO"/>
        </w:rPr>
        <w:t xml:space="preserve">, así como </w:t>
      </w:r>
      <w:r w:rsidR="00BB37AF">
        <w:rPr>
          <w:rFonts w:cs="Arial"/>
          <w:spacing w:val="-3"/>
          <w:lang w:val="es-CO"/>
        </w:rPr>
        <w:t xml:space="preserve">para </w:t>
      </w:r>
      <w:r w:rsidRPr="004068F6">
        <w:rPr>
          <w:rFonts w:cs="Arial"/>
          <w:spacing w:val="-3"/>
          <w:lang w:val="es-CO"/>
        </w:rPr>
        <w:t>mejorar el relacionamiento del responsable del proyecto, obra o actividad (en caso de que se otorgue la licencia) con los grupos de interés, es necesario que en estos espacios se consideren los saberes de los grupos de interés sobre el entorno.</w:t>
      </w:r>
    </w:p>
    <w:p w14:paraId="0764972B" w14:textId="77777777" w:rsidR="00533295" w:rsidRPr="004068F6" w:rsidRDefault="00533295" w:rsidP="000D6E21">
      <w:pPr>
        <w:numPr>
          <w:ilvl w:val="12"/>
          <w:numId w:val="0"/>
        </w:numPr>
        <w:tabs>
          <w:tab w:val="left" w:pos="-2268"/>
        </w:tabs>
        <w:suppressAutoHyphens/>
        <w:rPr>
          <w:spacing w:val="-3"/>
        </w:rPr>
      </w:pPr>
    </w:p>
    <w:p w14:paraId="3907EEDD" w14:textId="77777777" w:rsidR="00533295" w:rsidRPr="004068F6" w:rsidRDefault="00533295" w:rsidP="00533295">
      <w:pPr>
        <w:pStyle w:val="Ttulo4"/>
        <w:tabs>
          <w:tab w:val="clear" w:pos="1844"/>
          <w:tab w:val="num" w:pos="1134"/>
        </w:tabs>
        <w:ind w:left="0"/>
        <w:rPr>
          <w:lang w:val="es-CO"/>
        </w:rPr>
      </w:pPr>
      <w:r w:rsidRPr="004068F6">
        <w:rPr>
          <w:lang w:val="es-CO"/>
        </w:rPr>
        <w:t>Cierre de los espacios participativos</w:t>
      </w:r>
    </w:p>
    <w:p w14:paraId="00636E81" w14:textId="77777777" w:rsidR="00533295" w:rsidRPr="004068F6" w:rsidRDefault="00533295" w:rsidP="00533295">
      <w:pPr>
        <w:tabs>
          <w:tab w:val="left" w:pos="-2268"/>
        </w:tabs>
        <w:suppressAutoHyphens/>
        <w:rPr>
          <w:spacing w:val="-3"/>
        </w:rPr>
      </w:pPr>
    </w:p>
    <w:p w14:paraId="0192F2A8" w14:textId="746549B5" w:rsidR="00533295" w:rsidRPr="00127BD4" w:rsidRDefault="00533295" w:rsidP="00533295">
      <w:pPr>
        <w:pStyle w:val="Prrafodelista"/>
        <w:tabs>
          <w:tab w:val="left" w:pos="-2268"/>
        </w:tabs>
        <w:suppressAutoHyphens/>
        <w:ind w:left="0"/>
        <w:rPr>
          <w:spacing w:val="-3"/>
          <w:lang w:val="es-CO"/>
        </w:rPr>
      </w:pPr>
      <w:r w:rsidRPr="00127BD4">
        <w:rPr>
          <w:spacing w:val="-3"/>
          <w:lang w:val="es-CO"/>
        </w:rPr>
        <w:t xml:space="preserve">Al finalizar cada jornada se debe </w:t>
      </w:r>
      <w:r w:rsidR="002177BD">
        <w:rPr>
          <w:spacing w:val="-3"/>
          <w:lang w:val="es-CO"/>
        </w:rPr>
        <w:t>presentar</w:t>
      </w:r>
      <w:r w:rsidR="002177BD" w:rsidRPr="00127BD4">
        <w:rPr>
          <w:spacing w:val="-3"/>
          <w:lang w:val="es-CO"/>
        </w:rPr>
        <w:t xml:space="preserve"> </w:t>
      </w:r>
      <w:r w:rsidRPr="00127BD4">
        <w:rPr>
          <w:spacing w:val="-3"/>
          <w:lang w:val="es-CO"/>
        </w:rPr>
        <w:t>un balance sintético de los temas abordados, de las inquietudes manifestadas y de los aportes recibidos</w:t>
      </w:r>
      <w:r w:rsidR="00E66DF0" w:rsidRPr="00127BD4">
        <w:rPr>
          <w:spacing w:val="-3"/>
          <w:lang w:val="es-CO"/>
        </w:rPr>
        <w:t xml:space="preserve">; </w:t>
      </w:r>
      <w:r w:rsidR="00B3474D" w:rsidRPr="00127BD4">
        <w:rPr>
          <w:spacing w:val="-3"/>
          <w:lang w:val="es-CO"/>
        </w:rPr>
        <w:t xml:space="preserve">asimismo, </w:t>
      </w:r>
      <w:r w:rsidRPr="00127BD4">
        <w:rPr>
          <w:spacing w:val="-3"/>
          <w:lang w:val="es-CO"/>
        </w:rPr>
        <w:t>se debe señalar que las demás consideraciones, observaciones y aportes son sujetos de análisis para determinar su pertinencia.</w:t>
      </w:r>
      <w:r w:rsidR="00D06653" w:rsidRPr="00127BD4">
        <w:rPr>
          <w:spacing w:val="-3"/>
          <w:lang w:val="es-CO"/>
        </w:rPr>
        <w:t xml:space="preserve"> Esta información debe ser consignada en el acta.</w:t>
      </w:r>
    </w:p>
    <w:p w14:paraId="6CF84503" w14:textId="77777777" w:rsidR="00C609B4" w:rsidRPr="004068F6" w:rsidRDefault="00C609B4" w:rsidP="00533295">
      <w:pPr>
        <w:numPr>
          <w:ilvl w:val="12"/>
          <w:numId w:val="0"/>
        </w:numPr>
        <w:tabs>
          <w:tab w:val="left" w:pos="-2268"/>
        </w:tabs>
        <w:suppressAutoHyphens/>
        <w:rPr>
          <w:spacing w:val="-3"/>
        </w:rPr>
      </w:pPr>
    </w:p>
    <w:p w14:paraId="5B05019C" w14:textId="77777777" w:rsidR="00533295" w:rsidRPr="00466E26" w:rsidRDefault="00533295" w:rsidP="000A1E20">
      <w:pPr>
        <w:pStyle w:val="Ttulo3"/>
      </w:pPr>
      <w:bookmarkStart w:id="2599" w:name="_Toc141714231"/>
      <w:bookmarkStart w:id="2600" w:name="_Toc230879645"/>
      <w:r w:rsidRPr="00466E26">
        <w:t>Análisis y comunicación de resultados</w:t>
      </w:r>
      <w:bookmarkEnd w:id="2599"/>
      <w:bookmarkEnd w:id="2600"/>
    </w:p>
    <w:p w14:paraId="6A1BB46E" w14:textId="77777777" w:rsidR="00533295" w:rsidRPr="00127BD4" w:rsidRDefault="00533295" w:rsidP="00533295"/>
    <w:p w14:paraId="43E5DC58" w14:textId="627B06F1" w:rsidR="00533295" w:rsidRPr="00127BD4" w:rsidRDefault="00533295" w:rsidP="00533295">
      <w:r w:rsidRPr="00127BD4">
        <w:t xml:space="preserve">En esta </w:t>
      </w:r>
      <w:r w:rsidR="00387ABF">
        <w:t>fase</w:t>
      </w:r>
      <w:r w:rsidRPr="00127BD4">
        <w:t xml:space="preserve"> del proceso de participación, la información obtenida en los espacios de diálogo se consolida, analiza e incorpora al EIA según su pertinencia dadas las características ambientales del área de influencia y las particularidades del proyecto, obra o actividad. Asimismo, durante esta </w:t>
      </w:r>
      <w:r w:rsidR="00387ABF">
        <w:t>fase</w:t>
      </w:r>
      <w:r w:rsidRPr="00127BD4">
        <w:t xml:space="preserve"> se comunica el resultado del proceso de participación y el contenido final del EIA de forma previa a la radicación del estudio ante la autoridad ambiental.</w:t>
      </w:r>
    </w:p>
    <w:p w14:paraId="6442E386" w14:textId="77777777" w:rsidR="00533295" w:rsidRPr="00127BD4" w:rsidRDefault="00533295" w:rsidP="00533295"/>
    <w:p w14:paraId="751F776C" w14:textId="77777777" w:rsidR="00533295" w:rsidRPr="004068F6" w:rsidRDefault="00533295" w:rsidP="00533295">
      <w:pPr>
        <w:pStyle w:val="Ttulo4"/>
        <w:tabs>
          <w:tab w:val="clear" w:pos="1844"/>
          <w:tab w:val="num" w:pos="1134"/>
        </w:tabs>
        <w:ind w:left="0"/>
        <w:rPr>
          <w:lang w:val="es-CO"/>
        </w:rPr>
      </w:pPr>
      <w:r w:rsidRPr="004068F6">
        <w:rPr>
          <w:lang w:val="es-CO"/>
        </w:rPr>
        <w:lastRenderedPageBreak/>
        <w:t>Consolidación, análisis e incorporación de aportes al EIA</w:t>
      </w:r>
    </w:p>
    <w:p w14:paraId="53357214" w14:textId="77777777" w:rsidR="00533295" w:rsidRPr="00127BD4" w:rsidRDefault="00533295" w:rsidP="000D6E21"/>
    <w:p w14:paraId="7A42EA85" w14:textId="247CAF10" w:rsidR="00533295" w:rsidRPr="004068F6" w:rsidRDefault="00533295" w:rsidP="00533295">
      <w:pPr>
        <w:suppressAutoHyphens/>
        <w:overflowPunct/>
        <w:autoSpaceDE/>
        <w:autoSpaceDN/>
        <w:adjustRightInd/>
        <w:textAlignment w:val="auto"/>
        <w:rPr>
          <w:spacing w:val="-3"/>
        </w:rPr>
      </w:pPr>
      <w:r w:rsidRPr="004068F6">
        <w:rPr>
          <w:spacing w:val="-3"/>
        </w:rPr>
        <w:t>Se debe consolidar el conjunto de posiciones, puntos de vista y propuestas de los grupos de interés, procurando mantener el contenido textual de las intervenciones y señalando la forma en que tales opiniones son interpretadas por el elaborador del estudio.</w:t>
      </w:r>
    </w:p>
    <w:p w14:paraId="742BF7EF" w14:textId="77777777" w:rsidR="00533295" w:rsidRPr="004068F6" w:rsidRDefault="00533295" w:rsidP="00533295">
      <w:pPr>
        <w:rPr>
          <w:spacing w:val="-3"/>
        </w:rPr>
      </w:pPr>
    </w:p>
    <w:p w14:paraId="55D38355" w14:textId="77777777" w:rsidR="00533295" w:rsidRPr="00127BD4" w:rsidRDefault="00533295" w:rsidP="00533295">
      <w:pPr>
        <w:suppressAutoHyphens/>
        <w:overflowPunct/>
        <w:autoSpaceDE/>
        <w:autoSpaceDN/>
        <w:adjustRightInd/>
        <w:textAlignment w:val="auto"/>
      </w:pPr>
      <w:r w:rsidRPr="004068F6">
        <w:rPr>
          <w:spacing w:val="-3"/>
        </w:rPr>
        <w:t>Igualmente, se debe analizar a la luz de las singularidades del proyecto, obra o actividad propuesto, de la información técnica y científica de caracterización ambiental obtenida, así como de las posiciones y puntos de vista de los grupos de interés, la pertinencia de las propuestas de éstos sobre la caracterización ambiental, los impactos y riesgos inherentes a las actividades del proyecto, las medidas para su manejo y gestión, entre otros temas abordados en los espacios de participación.</w:t>
      </w:r>
    </w:p>
    <w:p w14:paraId="2E62494B" w14:textId="77777777" w:rsidR="00533295" w:rsidRPr="00127BD4" w:rsidRDefault="00533295" w:rsidP="00C70AAE"/>
    <w:p w14:paraId="0BA28DED" w14:textId="0C3ABA3E" w:rsidR="00533295" w:rsidRPr="004068F6" w:rsidRDefault="00533295" w:rsidP="000D6E21">
      <w:pPr>
        <w:tabs>
          <w:tab w:val="left" w:pos="-2268"/>
        </w:tabs>
        <w:suppressAutoHyphens/>
        <w:overflowPunct/>
        <w:autoSpaceDE/>
        <w:autoSpaceDN/>
        <w:adjustRightInd/>
        <w:textAlignment w:val="auto"/>
        <w:rPr>
          <w:spacing w:val="-3"/>
        </w:rPr>
      </w:pPr>
      <w:r w:rsidRPr="00127BD4">
        <w:t xml:space="preserve">Asimismo, se debe indicar cómo se incorporan al EIA </w:t>
      </w:r>
      <w:r w:rsidR="00571EA1" w:rsidRPr="00127BD4">
        <w:t xml:space="preserve">los aportes recibidos </w:t>
      </w:r>
      <w:r w:rsidRPr="00127BD4">
        <w:t xml:space="preserve">en los espacios de participación, </w:t>
      </w:r>
      <w:r w:rsidRPr="004068F6">
        <w:rPr>
          <w:rFonts w:cs="Arial"/>
          <w:spacing w:val="-3"/>
        </w:rPr>
        <w:t xml:space="preserve">qué comentarios, </w:t>
      </w:r>
      <w:r w:rsidR="0001647C" w:rsidRPr="004068F6">
        <w:rPr>
          <w:rFonts w:cs="Arial"/>
          <w:spacing w:val="-3"/>
        </w:rPr>
        <w:t xml:space="preserve">contribuciones </w:t>
      </w:r>
      <w:r w:rsidRPr="004068F6">
        <w:rPr>
          <w:rFonts w:cs="Arial"/>
          <w:spacing w:val="-3"/>
        </w:rPr>
        <w:t>o sugerencias fueron acogidos en el EIA y cuáles de éstos no se incorporan al estudio, así como las razones que llevaron a tomar tal decisión.</w:t>
      </w:r>
    </w:p>
    <w:p w14:paraId="762B821B" w14:textId="77777777" w:rsidR="00533295" w:rsidRPr="004068F6" w:rsidRDefault="00533295" w:rsidP="000D6E21"/>
    <w:p w14:paraId="7E2B2ACF" w14:textId="77777777" w:rsidR="00533295" w:rsidRPr="004068F6" w:rsidRDefault="00533295" w:rsidP="00533295">
      <w:pPr>
        <w:pStyle w:val="Ttulo4"/>
        <w:tabs>
          <w:tab w:val="clear" w:pos="1844"/>
          <w:tab w:val="num" w:pos="1134"/>
        </w:tabs>
        <w:ind w:left="0"/>
        <w:rPr>
          <w:lang w:val="es-CO"/>
        </w:rPr>
      </w:pPr>
      <w:r w:rsidRPr="004068F6">
        <w:rPr>
          <w:lang w:val="es-CO"/>
        </w:rPr>
        <w:t>Presentación del abordaje de los aportes en el EIA y del estudio ambiental definitivo a los grupos de interés</w:t>
      </w:r>
    </w:p>
    <w:p w14:paraId="591641B5" w14:textId="77777777" w:rsidR="00533295" w:rsidRPr="004068F6" w:rsidRDefault="00533295" w:rsidP="00533295"/>
    <w:p w14:paraId="45E395FE" w14:textId="0F5A535F" w:rsidR="00533295" w:rsidRPr="00127BD4" w:rsidRDefault="00533295" w:rsidP="00533295">
      <w:pPr>
        <w:pStyle w:val="Prrafodelista"/>
        <w:suppressAutoHyphens/>
        <w:ind w:left="0"/>
        <w:rPr>
          <w:lang w:val="es-CO"/>
        </w:rPr>
      </w:pPr>
      <w:r w:rsidRPr="00127BD4">
        <w:rPr>
          <w:lang w:val="es-CO"/>
        </w:rPr>
        <w:t>Una vez culminado el proceso de análisis de los insumos recibidos, así como de elaboración del EIA y de forma previa a su radicación ante la autoridad ambiental, se debe informar</w:t>
      </w:r>
      <w:r w:rsidR="00165497">
        <w:rPr>
          <w:rStyle w:val="Refdenotaalpie"/>
        </w:rPr>
        <w:footnoteReference w:id="127"/>
      </w:r>
      <w:r w:rsidRPr="00127BD4">
        <w:rPr>
          <w:lang w:val="es-CO"/>
        </w:rPr>
        <w:t xml:space="preserve"> a los grupos de interés la </w:t>
      </w:r>
      <w:r w:rsidR="00551221">
        <w:rPr>
          <w:lang w:val="es-CO"/>
        </w:rPr>
        <w:t>manera</w:t>
      </w:r>
      <w:r w:rsidR="00551221" w:rsidRPr="00127BD4">
        <w:rPr>
          <w:lang w:val="es-CO"/>
        </w:rPr>
        <w:t xml:space="preserve"> </w:t>
      </w:r>
      <w:r w:rsidRPr="00127BD4">
        <w:rPr>
          <w:lang w:val="es-CO"/>
        </w:rPr>
        <w:t>en que se incorporaron los aportes del proceso de participación en el EIA y el contenido final del estudio.</w:t>
      </w:r>
    </w:p>
    <w:p w14:paraId="46FE17ED" w14:textId="77777777" w:rsidR="00533295" w:rsidRPr="004068F6" w:rsidRDefault="00533295" w:rsidP="00533295"/>
    <w:p w14:paraId="1CE8B318" w14:textId="77777777" w:rsidR="00533295" w:rsidRPr="00127BD4" w:rsidRDefault="00533295" w:rsidP="00533295">
      <w:pPr>
        <w:pStyle w:val="Prrafodelista"/>
        <w:suppressAutoHyphens/>
        <w:ind w:left="0"/>
        <w:rPr>
          <w:lang w:val="es-CO"/>
        </w:rPr>
      </w:pPr>
      <w:r w:rsidRPr="00127BD4">
        <w:rPr>
          <w:lang w:val="es-CO"/>
        </w:rPr>
        <w:t>Con este fin es necesario actualizar el resumen del estudio que se elaboró en la fase de planeación a partir los aportes fruto del proceso de participación y elaborar piezas gráficas informativas sobre el estudio y un escrito que especifique tanto los aportes que se incorporaron, como las razones que justifican el no haber integrado al estudio algunos de ellos.</w:t>
      </w:r>
    </w:p>
    <w:p w14:paraId="262B6AF3" w14:textId="77777777" w:rsidR="00533295" w:rsidRPr="00127BD4" w:rsidRDefault="00533295" w:rsidP="00533295">
      <w:pPr>
        <w:pStyle w:val="Prrafodelista"/>
        <w:ind w:left="0"/>
        <w:rPr>
          <w:lang w:val="es-CO"/>
        </w:rPr>
      </w:pPr>
    </w:p>
    <w:p w14:paraId="6AB2ADD6" w14:textId="77777777" w:rsidR="00533295" w:rsidRPr="00127BD4" w:rsidRDefault="00533295" w:rsidP="00533295">
      <w:pPr>
        <w:pStyle w:val="Prrafodelista"/>
        <w:suppressAutoHyphens/>
        <w:ind w:left="0"/>
        <w:rPr>
          <w:lang w:val="es-CO"/>
        </w:rPr>
      </w:pPr>
      <w:r w:rsidRPr="00127BD4">
        <w:rPr>
          <w:lang w:val="es-CO"/>
        </w:rPr>
        <w:t>El contenido de estos documentos debe socializarse mediante espacios presenciales y complementariamente, empleando medios de comunicación masiva como redes sociales, páginas web, canales comunitarios o con cobertura en el territorio o puntos itinerantes de información.</w:t>
      </w:r>
      <w:bookmarkStart w:id="2601" w:name="_Hlk147829423"/>
      <w:r w:rsidRPr="00127BD4">
        <w:rPr>
          <w:lang w:val="es-CO"/>
        </w:rPr>
        <w:t xml:space="preserve"> En estos espacios se debe informar claramente que el contenido del EIA está sujeto a evaluación por parte de la </w:t>
      </w:r>
      <w:r w:rsidRPr="00127BD4">
        <w:rPr>
          <w:lang w:val="es-CO"/>
        </w:rPr>
        <w:lastRenderedPageBreak/>
        <w:t>autoridad ambiental y es ésta quien toma la decisión, mediante acto administrativo, frente a la viabilidad ambiental del proyecto y otorga o niega la licencia ambiental.</w:t>
      </w:r>
    </w:p>
    <w:bookmarkEnd w:id="2601"/>
    <w:p w14:paraId="63C3E878" w14:textId="77777777" w:rsidR="00533295" w:rsidRPr="00127BD4" w:rsidRDefault="00533295" w:rsidP="00533295"/>
    <w:p w14:paraId="6DBA3BDA" w14:textId="5EA166CE" w:rsidR="00533295" w:rsidRPr="00127BD4" w:rsidRDefault="00533295" w:rsidP="00533295">
      <w:r w:rsidRPr="00127BD4">
        <w:t xml:space="preserve">Los resultados de cada una de las </w:t>
      </w:r>
      <w:r w:rsidR="000B594D">
        <w:t>fases</w:t>
      </w:r>
      <w:r w:rsidRPr="00127BD4">
        <w:t xml:space="preserve"> del proceso participativo (planeación, ejecución y análisis y comunicación) se deben incorporar al EIA, evidenciando en ellos la información presentada a los grupos de interés, lo expuesto y manifestado por dichos grupos y la forma en que tales aportes se abordan en el estudio ambiental.</w:t>
      </w:r>
    </w:p>
    <w:p w14:paraId="1C97087E" w14:textId="77777777" w:rsidR="00533295" w:rsidRPr="00127BD4" w:rsidRDefault="00533295" w:rsidP="00533295"/>
    <w:p w14:paraId="692D8BA2" w14:textId="77777777" w:rsidR="00533295" w:rsidRPr="00127BD4" w:rsidRDefault="00533295" w:rsidP="00533295">
      <w:pPr>
        <w:pStyle w:val="Ttulo2"/>
        <w:rPr>
          <w:lang w:val="es-CO"/>
        </w:rPr>
      </w:pPr>
      <w:bookmarkStart w:id="2602" w:name="_Toc141714232"/>
      <w:bookmarkStart w:id="2603" w:name="_Toc230879646"/>
      <w:r w:rsidRPr="00127BD4">
        <w:rPr>
          <w:lang w:val="es-CO"/>
        </w:rPr>
        <w:t>SOPORTES Y EVIDENCIAS DEL PROCESO DE PARTICIPACIÓN</w:t>
      </w:r>
      <w:bookmarkEnd w:id="2602"/>
      <w:bookmarkEnd w:id="2603"/>
    </w:p>
    <w:p w14:paraId="1352B918" w14:textId="77777777" w:rsidR="00533295" w:rsidRPr="00127BD4" w:rsidRDefault="00533295" w:rsidP="00533295"/>
    <w:p w14:paraId="67938F21" w14:textId="77777777" w:rsidR="00533295" w:rsidRPr="00127BD4" w:rsidRDefault="00533295" w:rsidP="00533295">
      <w:r w:rsidRPr="00127BD4">
        <w:t xml:space="preserve">En aras de dar transparencia, trazabilidad y confianza al proceso de participación, </w:t>
      </w:r>
      <w:r w:rsidRPr="004068F6">
        <w:rPr>
          <w:rFonts w:cs="Arial"/>
          <w:spacing w:val="-3"/>
        </w:rPr>
        <w:t>deben anexarse al EIA como mínimo los siguientes soportes.</w:t>
      </w:r>
    </w:p>
    <w:p w14:paraId="22E6D4C9" w14:textId="77777777" w:rsidR="00533295" w:rsidRPr="00127BD4" w:rsidRDefault="00533295" w:rsidP="00533295"/>
    <w:p w14:paraId="0C7DD6CC" w14:textId="77777777" w:rsidR="00533295" w:rsidRPr="004068F6" w:rsidRDefault="00533295" w:rsidP="00533295">
      <w:pPr>
        <w:pStyle w:val="Prrafodelista"/>
        <w:numPr>
          <w:ilvl w:val="0"/>
          <w:numId w:val="680"/>
        </w:numPr>
        <w:tabs>
          <w:tab w:val="left" w:pos="-2268"/>
        </w:tabs>
        <w:suppressAutoHyphens/>
        <w:ind w:left="567" w:hanging="567"/>
        <w:rPr>
          <w:spacing w:val="-3"/>
          <w:lang w:val="es-CO"/>
        </w:rPr>
      </w:pPr>
      <w:r w:rsidRPr="004068F6">
        <w:rPr>
          <w:spacing w:val="-3"/>
          <w:lang w:val="es-CO"/>
        </w:rPr>
        <w:t>Correspondencia u otros soportes de los mecanismos empleados para realizar las convocatorias.</w:t>
      </w:r>
    </w:p>
    <w:p w14:paraId="52A6174A" w14:textId="77777777" w:rsidR="00533295" w:rsidRPr="004068F6" w:rsidRDefault="00533295" w:rsidP="00533295">
      <w:pPr>
        <w:tabs>
          <w:tab w:val="left" w:pos="-2268"/>
        </w:tabs>
        <w:suppressAutoHyphens/>
        <w:rPr>
          <w:spacing w:val="-3"/>
        </w:rPr>
      </w:pPr>
    </w:p>
    <w:p w14:paraId="5B5B57C7" w14:textId="790A5E24" w:rsidR="00820816" w:rsidRPr="004068F6" w:rsidRDefault="00820816" w:rsidP="00820816">
      <w:pPr>
        <w:pStyle w:val="Prrafodelista"/>
        <w:numPr>
          <w:ilvl w:val="0"/>
          <w:numId w:val="680"/>
        </w:numPr>
        <w:tabs>
          <w:tab w:val="left" w:pos="-2268"/>
        </w:tabs>
        <w:suppressAutoHyphens/>
        <w:ind w:left="567" w:hanging="567"/>
        <w:rPr>
          <w:spacing w:val="-3"/>
          <w:lang w:val="es-CO"/>
        </w:rPr>
      </w:pPr>
      <w:r w:rsidRPr="004068F6">
        <w:rPr>
          <w:spacing w:val="-3"/>
          <w:lang w:val="es-CO"/>
        </w:rPr>
        <w:t>Documentos, archivos, comunicaciones u otros soportes de la puesta en disposición a los grupos de interés de la información disponible sobre el proyecto, especificando, lugares, fechas</w:t>
      </w:r>
      <w:r w:rsidRPr="00FE1B78">
        <w:rPr>
          <w:lang w:val="es-CO"/>
        </w:rPr>
        <w:t xml:space="preserve"> y periodos en que ésta pudo ser consultada.</w:t>
      </w:r>
    </w:p>
    <w:p w14:paraId="02BE58A5" w14:textId="77777777" w:rsidR="00820816" w:rsidRPr="004068F6" w:rsidRDefault="00820816" w:rsidP="00533295">
      <w:pPr>
        <w:tabs>
          <w:tab w:val="left" w:pos="-2268"/>
        </w:tabs>
        <w:suppressAutoHyphens/>
        <w:rPr>
          <w:spacing w:val="-3"/>
        </w:rPr>
      </w:pPr>
    </w:p>
    <w:p w14:paraId="41A0257D" w14:textId="0141877F" w:rsidR="00DA2699" w:rsidRPr="00FE1B78" w:rsidRDefault="00DA2699" w:rsidP="00DA2699">
      <w:pPr>
        <w:pStyle w:val="Prrafodelista"/>
        <w:numPr>
          <w:ilvl w:val="0"/>
          <w:numId w:val="680"/>
        </w:numPr>
        <w:tabs>
          <w:tab w:val="left" w:pos="-2268"/>
        </w:tabs>
        <w:suppressAutoHyphens/>
        <w:ind w:left="567" w:hanging="567"/>
        <w:rPr>
          <w:spacing w:val="-3"/>
          <w:lang w:val="es-CO"/>
        </w:rPr>
      </w:pPr>
      <w:r w:rsidRPr="004068F6">
        <w:rPr>
          <w:spacing w:val="-3"/>
          <w:lang w:val="es-CO"/>
        </w:rPr>
        <w:t xml:space="preserve">Instrumentos y métodos de participación diseñados (numeral </w:t>
      </w:r>
      <w:r w:rsidR="00483C81" w:rsidRPr="004068F6">
        <w:rPr>
          <w:spacing w:val="-3"/>
          <w:highlight w:val="green"/>
          <w:lang w:val="es-CO"/>
        </w:rPr>
        <w:fldChar w:fldCharType="begin"/>
      </w:r>
      <w:r w:rsidR="00483C81" w:rsidRPr="004068F6">
        <w:rPr>
          <w:spacing w:val="-3"/>
          <w:lang w:val="es-CO"/>
        </w:rPr>
        <w:instrText xml:space="preserve"> REF _Ref213933073 \r \h </w:instrText>
      </w:r>
      <w:r w:rsidR="00483C81" w:rsidRPr="004068F6">
        <w:rPr>
          <w:spacing w:val="-3"/>
          <w:highlight w:val="green"/>
          <w:lang w:val="es-CO"/>
        </w:rPr>
      </w:r>
      <w:r w:rsidR="00483C81" w:rsidRPr="004068F6">
        <w:rPr>
          <w:spacing w:val="-3"/>
          <w:highlight w:val="green"/>
          <w:lang w:val="es-CO"/>
        </w:rPr>
        <w:fldChar w:fldCharType="separate"/>
      </w:r>
      <w:r w:rsidR="009C4A81">
        <w:rPr>
          <w:spacing w:val="-3"/>
          <w:lang w:val="es-CO"/>
        </w:rPr>
        <w:t>3.2.1</w:t>
      </w:r>
      <w:r w:rsidR="00483C81" w:rsidRPr="004068F6">
        <w:rPr>
          <w:spacing w:val="-3"/>
          <w:highlight w:val="green"/>
          <w:lang w:val="es-CO"/>
        </w:rPr>
        <w:fldChar w:fldCharType="end"/>
      </w:r>
      <w:r w:rsidRPr="004068F6">
        <w:rPr>
          <w:spacing w:val="-3"/>
          <w:lang w:val="es-CO"/>
        </w:rPr>
        <w:t>) para la comunidad en general y para la población vulnerable.</w:t>
      </w:r>
    </w:p>
    <w:p w14:paraId="597D93E9" w14:textId="77777777" w:rsidR="00DA2699" w:rsidRDefault="00DA2699" w:rsidP="00533295">
      <w:pPr>
        <w:tabs>
          <w:tab w:val="left" w:pos="-2268"/>
        </w:tabs>
        <w:suppressAutoHyphens/>
        <w:rPr>
          <w:spacing w:val="-3"/>
        </w:rPr>
      </w:pPr>
    </w:p>
    <w:p w14:paraId="668F1A46" w14:textId="39263430" w:rsidR="00F83D99" w:rsidRPr="003F55A7" w:rsidRDefault="00F83D99" w:rsidP="00F83D99">
      <w:pPr>
        <w:pStyle w:val="Prrafodelista"/>
        <w:numPr>
          <w:ilvl w:val="0"/>
          <w:numId w:val="680"/>
        </w:numPr>
        <w:tabs>
          <w:tab w:val="left" w:pos="-2268"/>
        </w:tabs>
        <w:suppressAutoHyphens/>
        <w:ind w:left="567" w:hanging="567"/>
        <w:rPr>
          <w:spacing w:val="-3"/>
          <w:lang w:val="es-CO"/>
        </w:rPr>
      </w:pPr>
      <w:r w:rsidRPr="003F55A7">
        <w:rPr>
          <w:spacing w:val="-3"/>
          <w:lang w:val="es-CO"/>
        </w:rPr>
        <w:t>Sistematización de las inquietudes, consideraciones, observaciones, aportes y comentarios realizados por los grupos de interés</w:t>
      </w:r>
      <w:r>
        <w:rPr>
          <w:spacing w:val="-3"/>
          <w:lang w:val="es-CO"/>
        </w:rPr>
        <w:t xml:space="preserve"> </w:t>
      </w:r>
      <w:r w:rsidRPr="003F55A7">
        <w:rPr>
          <w:spacing w:val="-3"/>
          <w:lang w:val="es-CO"/>
        </w:rPr>
        <w:t>durante los espacios de participación</w:t>
      </w:r>
      <w:r>
        <w:rPr>
          <w:spacing w:val="-3"/>
          <w:lang w:val="es-CO"/>
        </w:rPr>
        <w:t xml:space="preserve">. Estos </w:t>
      </w:r>
      <w:r w:rsidRPr="003F55A7">
        <w:rPr>
          <w:spacing w:val="-3"/>
          <w:lang w:val="es-CO"/>
        </w:rPr>
        <w:t xml:space="preserve">insumos </w:t>
      </w:r>
      <w:r>
        <w:rPr>
          <w:spacing w:val="-3"/>
          <w:lang w:val="es-CO"/>
        </w:rPr>
        <w:t xml:space="preserve">deben ser analizados </w:t>
      </w:r>
      <w:r w:rsidRPr="003F55A7">
        <w:rPr>
          <w:spacing w:val="-3"/>
          <w:lang w:val="es-CO"/>
        </w:rPr>
        <w:t xml:space="preserve">indicando cómo y cuáles se incorporan o no al </w:t>
      </w:r>
      <w:r w:rsidR="00AE5CC4">
        <w:rPr>
          <w:spacing w:val="-3"/>
          <w:lang w:val="es-CO"/>
        </w:rPr>
        <w:t>EIA</w:t>
      </w:r>
      <w:r w:rsidRPr="003F55A7">
        <w:rPr>
          <w:spacing w:val="-3"/>
          <w:lang w:val="es-CO"/>
        </w:rPr>
        <w:t xml:space="preserve"> y las razones que llevan a prescindir de </w:t>
      </w:r>
      <w:r>
        <w:rPr>
          <w:spacing w:val="-3"/>
          <w:lang w:val="es-CO"/>
        </w:rPr>
        <w:t>ellos</w:t>
      </w:r>
      <w:r w:rsidRPr="003F55A7">
        <w:rPr>
          <w:spacing w:val="-3"/>
          <w:lang w:val="es-CO"/>
        </w:rPr>
        <w:t>.</w:t>
      </w:r>
      <w:r>
        <w:rPr>
          <w:spacing w:val="-3"/>
          <w:lang w:val="es-CO"/>
        </w:rPr>
        <w:t xml:space="preserve"> Esta sistematización y análisis debe tener un </w:t>
      </w:r>
      <w:r w:rsidRPr="003F55A7">
        <w:rPr>
          <w:spacing w:val="-3"/>
          <w:lang w:val="es-CO"/>
        </w:rPr>
        <w:t xml:space="preserve">formato de fácil comprensión y </w:t>
      </w:r>
      <w:r>
        <w:rPr>
          <w:spacing w:val="-3"/>
          <w:lang w:val="es-CO"/>
        </w:rPr>
        <w:t xml:space="preserve">un </w:t>
      </w:r>
      <w:r w:rsidRPr="003F55A7">
        <w:rPr>
          <w:spacing w:val="-3"/>
          <w:lang w:val="es-CO"/>
        </w:rPr>
        <w:t>lenguaje</w:t>
      </w:r>
      <w:r>
        <w:rPr>
          <w:spacing w:val="-3"/>
          <w:lang w:val="es-CO"/>
        </w:rPr>
        <w:t xml:space="preserve"> sencillo.</w:t>
      </w:r>
    </w:p>
    <w:p w14:paraId="3E8A0E8A" w14:textId="77777777" w:rsidR="00F83D99" w:rsidRPr="004068F6" w:rsidRDefault="00F83D99" w:rsidP="00533295">
      <w:pPr>
        <w:tabs>
          <w:tab w:val="left" w:pos="-2268"/>
        </w:tabs>
        <w:suppressAutoHyphens/>
        <w:rPr>
          <w:spacing w:val="-3"/>
        </w:rPr>
      </w:pPr>
    </w:p>
    <w:p w14:paraId="48D86127" w14:textId="77777777" w:rsidR="00533295" w:rsidRPr="00127BD4" w:rsidRDefault="00533295" w:rsidP="00533295">
      <w:pPr>
        <w:pStyle w:val="Prrafodelista"/>
        <w:numPr>
          <w:ilvl w:val="0"/>
          <w:numId w:val="680"/>
        </w:numPr>
        <w:tabs>
          <w:tab w:val="left" w:pos="-2268"/>
        </w:tabs>
        <w:suppressAutoHyphens/>
        <w:ind w:left="567" w:hanging="567"/>
        <w:rPr>
          <w:lang w:val="es-CO"/>
        </w:rPr>
      </w:pPr>
      <w:r w:rsidRPr="004068F6">
        <w:rPr>
          <w:spacing w:val="-3"/>
          <w:lang w:val="es-CO"/>
        </w:rPr>
        <w:t xml:space="preserve">Actas y ayudas de memoria de las reuniones, talleres y demás espacios participativos. Estos documentos </w:t>
      </w:r>
      <w:r w:rsidRPr="00127BD4">
        <w:rPr>
          <w:lang w:val="es-CO"/>
        </w:rPr>
        <w:t>deben señalar por lo menos lo siguiente:</w:t>
      </w:r>
    </w:p>
    <w:p w14:paraId="3013E4E5" w14:textId="77777777" w:rsidR="00533295" w:rsidRPr="00127BD4" w:rsidRDefault="00533295" w:rsidP="000D6E21"/>
    <w:p w14:paraId="0640E2DC" w14:textId="77777777" w:rsidR="00533295" w:rsidRPr="004068F6" w:rsidRDefault="00533295" w:rsidP="00533295">
      <w:pPr>
        <w:pStyle w:val="Prrafodelista"/>
        <w:numPr>
          <w:ilvl w:val="0"/>
          <w:numId w:val="363"/>
        </w:numPr>
        <w:ind w:left="1134" w:hanging="567"/>
        <w:rPr>
          <w:rFonts w:cs="Arial"/>
          <w:lang w:val="es-CO"/>
        </w:rPr>
      </w:pPr>
      <w:r w:rsidRPr="004068F6">
        <w:rPr>
          <w:lang w:val="es-CO"/>
        </w:rPr>
        <w:t xml:space="preserve">Fecha </w:t>
      </w:r>
      <w:r w:rsidRPr="004068F6">
        <w:rPr>
          <w:rFonts w:cs="Arial"/>
          <w:lang w:val="es-CO"/>
        </w:rPr>
        <w:t>y lugar de realización del evento.</w:t>
      </w:r>
    </w:p>
    <w:p w14:paraId="024BD835" w14:textId="77777777" w:rsidR="00533295" w:rsidRPr="004068F6" w:rsidRDefault="00533295" w:rsidP="00533295"/>
    <w:p w14:paraId="32B22B44" w14:textId="53CD56B1" w:rsidR="00533295" w:rsidRPr="004068F6" w:rsidRDefault="00533295" w:rsidP="00533295">
      <w:pPr>
        <w:pStyle w:val="Prrafodelista"/>
        <w:numPr>
          <w:ilvl w:val="0"/>
          <w:numId w:val="363"/>
        </w:numPr>
        <w:ind w:left="1134" w:hanging="567"/>
        <w:rPr>
          <w:rFonts w:cs="Arial"/>
          <w:lang w:val="es-CO"/>
        </w:rPr>
      </w:pPr>
      <w:r w:rsidRPr="004068F6">
        <w:rPr>
          <w:lang w:val="es-CO"/>
        </w:rPr>
        <w:t xml:space="preserve">Objetivo </w:t>
      </w:r>
      <w:r w:rsidRPr="004068F6">
        <w:rPr>
          <w:rFonts w:cs="Arial"/>
          <w:lang w:val="es-CO"/>
        </w:rPr>
        <w:t>del espacio participativo.</w:t>
      </w:r>
    </w:p>
    <w:p w14:paraId="7832AA84" w14:textId="77777777" w:rsidR="00533295" w:rsidRPr="004068F6" w:rsidRDefault="00533295" w:rsidP="00533295">
      <w:pPr>
        <w:rPr>
          <w:rFonts w:cs="Arial"/>
        </w:rPr>
      </w:pPr>
    </w:p>
    <w:p w14:paraId="2153E1FC" w14:textId="77777777" w:rsidR="00051AC6" w:rsidRPr="004068F6" w:rsidRDefault="00051AC6" w:rsidP="00051AC6">
      <w:pPr>
        <w:pStyle w:val="Prrafodelista"/>
        <w:numPr>
          <w:ilvl w:val="0"/>
          <w:numId w:val="363"/>
        </w:numPr>
        <w:ind w:left="1134" w:hanging="567"/>
        <w:rPr>
          <w:lang w:val="es-CO"/>
        </w:rPr>
      </w:pPr>
      <w:r w:rsidRPr="004068F6">
        <w:rPr>
          <w:lang w:val="es-CO"/>
        </w:rPr>
        <w:t>Cantidad de participantes y características generales de la población, considerando enfoques diferenciales.</w:t>
      </w:r>
    </w:p>
    <w:p w14:paraId="585DCB7A" w14:textId="77777777" w:rsidR="00051AC6" w:rsidRPr="004068F6" w:rsidRDefault="00051AC6" w:rsidP="00533295">
      <w:pPr>
        <w:rPr>
          <w:rFonts w:cs="Arial"/>
        </w:rPr>
      </w:pPr>
    </w:p>
    <w:p w14:paraId="4AC4807D" w14:textId="77777777" w:rsidR="00533295" w:rsidRPr="004068F6" w:rsidRDefault="00533295" w:rsidP="00533295">
      <w:pPr>
        <w:pStyle w:val="Prrafodelista"/>
        <w:numPr>
          <w:ilvl w:val="0"/>
          <w:numId w:val="363"/>
        </w:numPr>
        <w:ind w:left="1134" w:hanging="567"/>
        <w:rPr>
          <w:rFonts w:cs="Arial"/>
          <w:lang w:val="es-CO"/>
        </w:rPr>
      </w:pPr>
      <w:r w:rsidRPr="004068F6">
        <w:rPr>
          <w:rFonts w:cs="Arial"/>
          <w:lang w:val="es-CO"/>
        </w:rPr>
        <w:t>Temas abordados.</w:t>
      </w:r>
    </w:p>
    <w:p w14:paraId="6F822309" w14:textId="77777777" w:rsidR="00533295" w:rsidRPr="004068F6" w:rsidRDefault="00533295" w:rsidP="00533295">
      <w:pPr>
        <w:rPr>
          <w:rFonts w:cs="Arial"/>
        </w:rPr>
      </w:pPr>
    </w:p>
    <w:p w14:paraId="6E86F220" w14:textId="77777777" w:rsidR="00533295" w:rsidRPr="004068F6" w:rsidRDefault="00533295" w:rsidP="00533295">
      <w:pPr>
        <w:pStyle w:val="Prrafodelista"/>
        <w:numPr>
          <w:ilvl w:val="0"/>
          <w:numId w:val="363"/>
        </w:numPr>
        <w:ind w:left="1134" w:hanging="567"/>
        <w:rPr>
          <w:rFonts w:cs="Arial"/>
          <w:lang w:val="es-CO"/>
        </w:rPr>
      </w:pPr>
      <w:r w:rsidRPr="004068F6">
        <w:rPr>
          <w:rFonts w:cs="Arial"/>
          <w:lang w:val="es-CO"/>
        </w:rPr>
        <w:t>Inquietudes, comentarios, sugerencias o aportes de los participantes, así como las respuestas o aclaraciones realizadas por el equipo elaborador del estudio.</w:t>
      </w:r>
    </w:p>
    <w:p w14:paraId="4A039828" w14:textId="77777777" w:rsidR="00533295" w:rsidRPr="004068F6" w:rsidRDefault="00533295" w:rsidP="00533295">
      <w:pPr>
        <w:rPr>
          <w:rFonts w:cs="Arial"/>
        </w:rPr>
      </w:pPr>
    </w:p>
    <w:p w14:paraId="06F10AFB" w14:textId="77777777" w:rsidR="00533295" w:rsidRPr="004068F6" w:rsidRDefault="00533295" w:rsidP="00533295">
      <w:pPr>
        <w:pStyle w:val="Prrafodelista"/>
        <w:numPr>
          <w:ilvl w:val="0"/>
          <w:numId w:val="363"/>
        </w:numPr>
        <w:ind w:left="1134" w:hanging="567"/>
        <w:rPr>
          <w:rFonts w:cs="Arial"/>
          <w:lang w:val="es-CO"/>
        </w:rPr>
      </w:pPr>
      <w:r w:rsidRPr="004068F6">
        <w:rPr>
          <w:rFonts w:cs="Arial"/>
          <w:lang w:val="es-CO"/>
        </w:rPr>
        <w:t>Compromisos adquiridos y acuerdos, si hay lugar a ello.</w:t>
      </w:r>
    </w:p>
    <w:p w14:paraId="683EE77E" w14:textId="77777777" w:rsidR="00533295" w:rsidRPr="004068F6" w:rsidRDefault="00533295" w:rsidP="00533295">
      <w:pPr>
        <w:rPr>
          <w:rFonts w:cs="Arial"/>
        </w:rPr>
      </w:pPr>
    </w:p>
    <w:p w14:paraId="5043C256" w14:textId="77777777" w:rsidR="00533295" w:rsidRPr="004068F6" w:rsidRDefault="00533295" w:rsidP="00533295">
      <w:pPr>
        <w:pStyle w:val="Prrafodelista"/>
        <w:numPr>
          <w:ilvl w:val="0"/>
          <w:numId w:val="363"/>
        </w:numPr>
        <w:ind w:left="1134" w:hanging="567"/>
        <w:rPr>
          <w:rFonts w:cs="Arial"/>
          <w:lang w:val="es-CO"/>
        </w:rPr>
      </w:pPr>
      <w:r w:rsidRPr="004068F6">
        <w:rPr>
          <w:rFonts w:cs="Arial"/>
          <w:lang w:val="es-CO"/>
        </w:rPr>
        <w:t>Firma de los representantes de los grupos de interés, del delegado de la autoridad municipal, del Ministerio Público (Personería, Procuraduría, Defensoría del Pueblo) y del representante de la empresa responsable del proyecto, obra o actividad.</w:t>
      </w:r>
    </w:p>
    <w:p w14:paraId="528336DB" w14:textId="77777777" w:rsidR="00533295" w:rsidRPr="004068F6" w:rsidRDefault="00533295" w:rsidP="00533295">
      <w:pPr>
        <w:rPr>
          <w:rFonts w:cs="Arial"/>
        </w:rPr>
      </w:pPr>
    </w:p>
    <w:p w14:paraId="0EDC52B1" w14:textId="09F3B5CF" w:rsidR="00533295" w:rsidRPr="004068F6" w:rsidRDefault="00533295" w:rsidP="00533295">
      <w:pPr>
        <w:pStyle w:val="Prrafodelista"/>
        <w:ind w:left="1134"/>
        <w:rPr>
          <w:rFonts w:cs="Arial"/>
          <w:lang w:val="es-CO"/>
        </w:rPr>
      </w:pPr>
      <w:r w:rsidRPr="004068F6">
        <w:rPr>
          <w:rFonts w:cs="Arial"/>
          <w:lang w:val="es-CO"/>
        </w:rPr>
        <w:t xml:space="preserve">Esto </w:t>
      </w:r>
      <w:r w:rsidRPr="004068F6">
        <w:rPr>
          <w:lang w:val="es-CO"/>
        </w:rPr>
        <w:t xml:space="preserve">no es exigible en los casos en que los representantes de los grupos de interés se abstengan de firmar o cuando no hagan presencia las autoridades señaladas. En ambos casos se </w:t>
      </w:r>
      <w:r w:rsidR="000559C3">
        <w:rPr>
          <w:lang w:val="es-CO"/>
        </w:rPr>
        <w:t xml:space="preserve">debe </w:t>
      </w:r>
      <w:r w:rsidRPr="004068F6">
        <w:rPr>
          <w:lang w:val="es-CO"/>
        </w:rPr>
        <w:t>deja</w:t>
      </w:r>
      <w:r w:rsidR="00D907CF">
        <w:rPr>
          <w:lang w:val="es-CO"/>
        </w:rPr>
        <w:t>r</w:t>
      </w:r>
      <w:r w:rsidRPr="004068F6">
        <w:rPr>
          <w:lang w:val="es-CO"/>
        </w:rPr>
        <w:t xml:space="preserve"> constancia en el acta; cuando los representantes de los grupos de interés se abstengan de firmar, es posible emplear como respaldo las firmas del representante de la autoridad municipal o del Ministerio público que asistan a la reunión.</w:t>
      </w:r>
      <w:r w:rsidR="00846917" w:rsidRPr="004068F6">
        <w:rPr>
          <w:lang w:val="es-CO"/>
        </w:rPr>
        <w:t xml:space="preserve"> En cualquier caso, se deben incluir los soportes de las gestiones y debida diligencia realizada para el proceso de participación.</w:t>
      </w:r>
    </w:p>
    <w:p w14:paraId="355D0FB1" w14:textId="77777777" w:rsidR="00533295" w:rsidRPr="004068F6" w:rsidRDefault="00533295" w:rsidP="00533295">
      <w:pPr>
        <w:tabs>
          <w:tab w:val="left" w:pos="-2268"/>
        </w:tabs>
        <w:suppressAutoHyphens/>
        <w:rPr>
          <w:spacing w:val="-3"/>
        </w:rPr>
      </w:pPr>
    </w:p>
    <w:p w14:paraId="4E2FC667" w14:textId="65927E52" w:rsidR="00533295" w:rsidRPr="004068F6" w:rsidRDefault="00533295" w:rsidP="00533295">
      <w:pPr>
        <w:numPr>
          <w:ilvl w:val="12"/>
          <w:numId w:val="0"/>
        </w:numPr>
        <w:tabs>
          <w:tab w:val="left" w:pos="-2268"/>
        </w:tabs>
        <w:suppressAutoHyphens/>
        <w:ind w:left="567"/>
        <w:rPr>
          <w:spacing w:val="-3"/>
        </w:rPr>
      </w:pPr>
      <w:r w:rsidRPr="004068F6">
        <w:rPr>
          <w:spacing w:val="-3"/>
        </w:rPr>
        <w:t xml:space="preserve">Es necesario que las actas </w:t>
      </w:r>
      <w:r w:rsidRPr="004068F6">
        <w:rPr>
          <w:rFonts w:cs="Arial"/>
          <w:spacing w:val="-3"/>
        </w:rPr>
        <w:t>y demás soportes</w:t>
      </w:r>
      <w:r w:rsidRPr="004068F6">
        <w:rPr>
          <w:spacing w:val="-3"/>
        </w:rPr>
        <w:t xml:space="preserve"> sean elaborados </w:t>
      </w:r>
      <w:r w:rsidRPr="004068F6">
        <w:rPr>
          <w:i/>
          <w:spacing w:val="-3"/>
        </w:rPr>
        <w:t>in situ</w:t>
      </w:r>
      <w:r w:rsidRPr="004068F6">
        <w:rPr>
          <w:spacing w:val="-3"/>
        </w:rPr>
        <w:t xml:space="preserve">, </w:t>
      </w:r>
      <w:r w:rsidR="00FF1015" w:rsidRPr="004068F6">
        <w:rPr>
          <w:spacing w:val="-3"/>
        </w:rPr>
        <w:t>con lenguaje claro e incluyente y letra clara y legible</w:t>
      </w:r>
      <w:r w:rsidRPr="004068F6">
        <w:rPr>
          <w:spacing w:val="-3"/>
        </w:rPr>
        <w:t>, de manera que puedan ser suscritos por sus participantes y entregados a las autoridades presentes y a los representantes de los grupos de interés una vez finalicen los espacios para los cuales se elaboran.</w:t>
      </w:r>
    </w:p>
    <w:p w14:paraId="19DB33BD" w14:textId="77777777" w:rsidR="00533295" w:rsidRPr="004068F6" w:rsidRDefault="00533295" w:rsidP="00533295">
      <w:pPr>
        <w:numPr>
          <w:ilvl w:val="12"/>
          <w:numId w:val="0"/>
        </w:numPr>
        <w:tabs>
          <w:tab w:val="left" w:pos="-2268"/>
        </w:tabs>
        <w:suppressAutoHyphens/>
        <w:rPr>
          <w:spacing w:val="-3"/>
        </w:rPr>
      </w:pPr>
    </w:p>
    <w:p w14:paraId="095C96BB" w14:textId="4004EB80" w:rsidR="00533295" w:rsidRPr="004068F6" w:rsidRDefault="003D37DF" w:rsidP="00533295">
      <w:pPr>
        <w:numPr>
          <w:ilvl w:val="12"/>
          <w:numId w:val="0"/>
        </w:numPr>
        <w:tabs>
          <w:tab w:val="left" w:pos="-2268"/>
        </w:tabs>
        <w:suppressAutoHyphens/>
        <w:ind w:left="567"/>
        <w:rPr>
          <w:spacing w:val="-3"/>
        </w:rPr>
      </w:pPr>
      <w:r w:rsidRPr="004068F6">
        <w:rPr>
          <w:spacing w:val="-3"/>
        </w:rPr>
        <w:t>Solo en caso excepcional, cuando se presente alguna situación que impida la entrega inmediata de estos soportes, se debe acordar con la comunidad el tiempo límite de entrega de los soportes</w:t>
      </w:r>
      <w:r w:rsidR="00533295" w:rsidRPr="004068F6">
        <w:rPr>
          <w:spacing w:val="-3"/>
        </w:rPr>
        <w:t>.</w:t>
      </w:r>
    </w:p>
    <w:p w14:paraId="400F38D5" w14:textId="77777777" w:rsidR="00533295" w:rsidRPr="004068F6" w:rsidRDefault="00533295" w:rsidP="000D6E21">
      <w:pPr>
        <w:tabs>
          <w:tab w:val="left" w:pos="-2268"/>
        </w:tabs>
        <w:suppressAutoHyphens/>
        <w:rPr>
          <w:spacing w:val="-3"/>
        </w:rPr>
      </w:pPr>
    </w:p>
    <w:p w14:paraId="4FF84C81" w14:textId="271575B8" w:rsidR="00533295" w:rsidRPr="00127BD4" w:rsidRDefault="00533295" w:rsidP="000D6E21">
      <w:pPr>
        <w:pStyle w:val="Prrafodelista"/>
        <w:numPr>
          <w:ilvl w:val="0"/>
          <w:numId w:val="680"/>
        </w:numPr>
        <w:tabs>
          <w:tab w:val="left" w:pos="-2268"/>
        </w:tabs>
        <w:suppressAutoHyphens/>
        <w:ind w:left="567" w:hanging="567"/>
        <w:rPr>
          <w:spacing w:val="-3"/>
          <w:lang w:val="es-CO"/>
        </w:rPr>
      </w:pPr>
      <w:r w:rsidRPr="00127BD4">
        <w:rPr>
          <w:spacing w:val="-3"/>
          <w:lang w:val="es-CO"/>
        </w:rPr>
        <w:t>Listados de asistencia o soportes documentales pertinentes que evidencien a qué grupo de interés pertenece cada participante</w:t>
      </w:r>
      <w:r w:rsidRPr="004068F6">
        <w:rPr>
          <w:spacing w:val="-3"/>
          <w:lang w:val="es-CO"/>
        </w:rPr>
        <w:t xml:space="preserve"> y descripción de las personas participantes con carácter de enfoque diferencial que señale los sectores sociales a los cuales pertenecen, representantes de organizaciones, instancias de participación, entre otras.</w:t>
      </w:r>
    </w:p>
    <w:p w14:paraId="039BC683" w14:textId="77777777" w:rsidR="00533295" w:rsidRPr="004068F6" w:rsidRDefault="00533295" w:rsidP="00533295">
      <w:pPr>
        <w:tabs>
          <w:tab w:val="left" w:pos="-2268"/>
        </w:tabs>
        <w:suppressAutoHyphens/>
        <w:rPr>
          <w:spacing w:val="-3"/>
        </w:rPr>
      </w:pPr>
    </w:p>
    <w:p w14:paraId="7BF66DD3" w14:textId="77777777" w:rsidR="00F312A4" w:rsidRPr="00FE1B78" w:rsidRDefault="00F312A4" w:rsidP="00127BD4">
      <w:pPr>
        <w:pStyle w:val="Prrafodelista"/>
        <w:numPr>
          <w:ilvl w:val="0"/>
          <w:numId w:val="680"/>
        </w:numPr>
        <w:ind w:left="567" w:hanging="567"/>
        <w:rPr>
          <w:spacing w:val="-3"/>
          <w:lang w:val="es-CO"/>
        </w:rPr>
      </w:pPr>
      <w:r w:rsidRPr="00FE1B78">
        <w:rPr>
          <w:spacing w:val="-3"/>
          <w:lang w:val="es-CO"/>
        </w:rPr>
        <w:t xml:space="preserve">Registro fotográfico, de audio o de video, preferiblemente, que evidencie fecha y coordenadas del lugar del evento con el cumplimiento de las leyes de protección y manejo de datos que determinan la utilización y administración de datos personales; con este fin se debe dar a conocer en el espacio de participación la política de uso y tratamiento de datos personales y el propósito con el que se </w:t>
      </w:r>
      <w:r w:rsidRPr="00FE1B78">
        <w:rPr>
          <w:spacing w:val="-3"/>
          <w:lang w:val="es-CO"/>
        </w:rPr>
        <w:lastRenderedPageBreak/>
        <w:t>emplearán estos registros. En el caso de que la toma del registro fotográfico, de audio o de video no haya sido aprobado o aceptado por la comunidad, se debe presentar la justificación indicando la imposibilidad de obtenerlo.</w:t>
      </w:r>
    </w:p>
    <w:p w14:paraId="0A1B344F" w14:textId="732B308C" w:rsidR="00533295" w:rsidRPr="00127BD4" w:rsidRDefault="00533295" w:rsidP="00127BD4">
      <w:pPr>
        <w:tabs>
          <w:tab w:val="left" w:pos="-2268"/>
        </w:tabs>
        <w:suppressAutoHyphens/>
        <w:rPr>
          <w:spacing w:val="-3"/>
        </w:rPr>
      </w:pPr>
    </w:p>
    <w:p w14:paraId="3B19DDAB" w14:textId="7BE7E395" w:rsidR="00F869B2" w:rsidRPr="004068F6" w:rsidRDefault="00B93370" w:rsidP="00F869B2">
      <w:pPr>
        <w:pStyle w:val="Prrafodelista"/>
        <w:numPr>
          <w:ilvl w:val="0"/>
          <w:numId w:val="680"/>
        </w:numPr>
        <w:tabs>
          <w:tab w:val="left" w:pos="-2268"/>
        </w:tabs>
        <w:suppressAutoHyphens/>
        <w:ind w:left="567" w:hanging="567"/>
        <w:rPr>
          <w:spacing w:val="-3"/>
          <w:lang w:val="es-CO"/>
        </w:rPr>
      </w:pPr>
      <w:r>
        <w:rPr>
          <w:spacing w:val="-3"/>
          <w:lang w:val="es-CO"/>
        </w:rPr>
        <w:t xml:space="preserve">Descripción </w:t>
      </w:r>
      <w:r w:rsidR="00F869B2" w:rsidRPr="004068F6">
        <w:rPr>
          <w:spacing w:val="-3"/>
          <w:lang w:val="es-CO"/>
        </w:rPr>
        <w:t>de</w:t>
      </w:r>
      <w:r w:rsidR="004B7AE7">
        <w:rPr>
          <w:spacing w:val="-3"/>
          <w:lang w:val="es-CO"/>
        </w:rPr>
        <w:t xml:space="preserve">l conjunto de </w:t>
      </w:r>
      <w:r>
        <w:rPr>
          <w:spacing w:val="-3"/>
          <w:lang w:val="es-CO"/>
        </w:rPr>
        <w:t xml:space="preserve">medidas </w:t>
      </w:r>
      <w:r w:rsidR="00F869B2" w:rsidRPr="004068F6">
        <w:rPr>
          <w:spacing w:val="-3"/>
          <w:lang w:val="es-CO"/>
        </w:rPr>
        <w:t xml:space="preserve">para la gestión y atención de la conflictividad en el proceso de elaboración del </w:t>
      </w:r>
      <w:r w:rsidR="00F810CA" w:rsidRPr="004068F6">
        <w:rPr>
          <w:spacing w:val="-3"/>
          <w:lang w:val="es-CO"/>
        </w:rPr>
        <w:t>EIA</w:t>
      </w:r>
      <w:r w:rsidR="00F869B2" w:rsidRPr="004068F6">
        <w:rPr>
          <w:spacing w:val="-3"/>
          <w:lang w:val="es-CO"/>
        </w:rPr>
        <w:t>.</w:t>
      </w:r>
    </w:p>
    <w:p w14:paraId="50B26E53" w14:textId="77777777" w:rsidR="00533295" w:rsidRPr="00127BD4" w:rsidRDefault="00533295" w:rsidP="00533295"/>
    <w:p w14:paraId="683F45C2" w14:textId="77777777" w:rsidR="00533295" w:rsidRPr="00127BD4" w:rsidRDefault="00533295" w:rsidP="00533295">
      <w:pPr>
        <w:pStyle w:val="Ttulo2"/>
        <w:rPr>
          <w:bCs/>
          <w:spacing w:val="-3"/>
          <w:lang w:val="es-CO"/>
        </w:rPr>
      </w:pPr>
      <w:bookmarkStart w:id="2604" w:name="_Toc230879647"/>
      <w:r w:rsidRPr="00127BD4">
        <w:rPr>
          <w:spacing w:val="-3"/>
          <w:lang w:val="es-CO"/>
        </w:rPr>
        <w:t>MECANISMOS VIRTUALES PARA LA PARTICIPACIÓN</w:t>
      </w:r>
      <w:bookmarkEnd w:id="2604"/>
    </w:p>
    <w:p w14:paraId="5E641AFC" w14:textId="77777777" w:rsidR="00533295" w:rsidRPr="004068F6" w:rsidRDefault="00533295" w:rsidP="00533295">
      <w:pPr>
        <w:numPr>
          <w:ilvl w:val="12"/>
          <w:numId w:val="0"/>
        </w:numPr>
        <w:tabs>
          <w:tab w:val="left" w:pos="-2268"/>
        </w:tabs>
        <w:suppressAutoHyphens/>
        <w:rPr>
          <w:spacing w:val="-3"/>
        </w:rPr>
      </w:pPr>
    </w:p>
    <w:p w14:paraId="416C2AE3" w14:textId="14616F3D" w:rsidR="00533295" w:rsidRPr="004068F6" w:rsidRDefault="00347759" w:rsidP="00533295">
      <w:pPr>
        <w:overflowPunct/>
        <w:autoSpaceDE/>
        <w:autoSpaceDN/>
        <w:adjustRightInd/>
      </w:pPr>
      <w:r w:rsidRPr="004068F6">
        <w:t>Es posible ejecutar el proceso de participación empleando mecanismos virtuales, previo análisis de los medios logísticos y tecnológicos de los que disponen las personas o grupos de interés a los cuales se dirigen tales mecanismos, con el fin de que éstos, sean idóneos para garantizar una participación ambiental efectiva</w:t>
      </w:r>
      <w:r w:rsidR="00533295" w:rsidRPr="004068F6">
        <w:t xml:space="preserve">. Estos </w:t>
      </w:r>
      <w:r w:rsidR="00533295" w:rsidRPr="004068F6">
        <w:rPr>
          <w:rFonts w:cs="Arial"/>
          <w:lang w:eastAsia="es-CO"/>
        </w:rPr>
        <w:t>mecanismos</w:t>
      </w:r>
      <w:r w:rsidR="00533295" w:rsidRPr="004068F6">
        <w:t xml:space="preserve"> incluyen las tecnologías de la información y las comunicaciones (TIC), las cuales de acuerdo con la Ley 1978 de 2019 o aquella que la modifique o sustituya, comprenden el conjunto de recursos, herramientas, equipos, programas informáticos, aplicaciones, redes y medios que permiten la compilación, procesamiento, almacenamiento, transmisión de información como voz, datos, texto, video e imágenes.</w:t>
      </w:r>
    </w:p>
    <w:p w14:paraId="6DB60B2C" w14:textId="77777777" w:rsidR="00533295" w:rsidRPr="004068F6" w:rsidRDefault="00533295" w:rsidP="00533295">
      <w:pPr>
        <w:numPr>
          <w:ilvl w:val="12"/>
          <w:numId w:val="0"/>
        </w:numPr>
        <w:tabs>
          <w:tab w:val="left" w:pos="-2268"/>
        </w:tabs>
        <w:suppressAutoHyphens/>
        <w:rPr>
          <w:spacing w:val="-3"/>
        </w:rPr>
      </w:pPr>
    </w:p>
    <w:p w14:paraId="7BD78679" w14:textId="315407EE" w:rsidR="00533295" w:rsidRPr="004068F6" w:rsidRDefault="00533295" w:rsidP="00533295">
      <w:pPr>
        <w:numPr>
          <w:ilvl w:val="12"/>
          <w:numId w:val="0"/>
        </w:numPr>
        <w:tabs>
          <w:tab w:val="left" w:pos="-2268"/>
        </w:tabs>
        <w:suppressAutoHyphens/>
        <w:rPr>
          <w:spacing w:val="-3"/>
        </w:rPr>
      </w:pPr>
      <w:r w:rsidRPr="004068F6">
        <w:rPr>
          <w:spacing w:val="-3"/>
        </w:rPr>
        <w:t xml:space="preserve">Si se plantea incorporar al proceso de participación pública mecanismos virtuales, además de dar cumplimiento a los propósitos de la participación y a los lineamientos que se señalaron previamente </w:t>
      </w:r>
      <w:r w:rsidR="00F6196D" w:rsidRPr="004068F6">
        <w:rPr>
          <w:spacing w:val="-3"/>
        </w:rPr>
        <w:t xml:space="preserve">en las </w:t>
      </w:r>
      <w:r w:rsidR="000B594D">
        <w:rPr>
          <w:spacing w:val="-3"/>
        </w:rPr>
        <w:t>fases</w:t>
      </w:r>
      <w:r w:rsidR="00F6196D" w:rsidRPr="004068F6">
        <w:rPr>
          <w:spacing w:val="-3"/>
        </w:rPr>
        <w:t xml:space="preserve"> del proceso de participación</w:t>
      </w:r>
      <w:r w:rsidR="00477E08" w:rsidRPr="004068F6">
        <w:rPr>
          <w:spacing w:val="-3"/>
        </w:rPr>
        <w:t xml:space="preserve"> </w:t>
      </w:r>
      <w:r w:rsidRPr="004068F6">
        <w:rPr>
          <w:spacing w:val="-3"/>
        </w:rPr>
        <w:t>para su implementación, es necesario garantizar lo siguiente:</w:t>
      </w:r>
    </w:p>
    <w:p w14:paraId="164EDAF4" w14:textId="77777777" w:rsidR="00533295" w:rsidRPr="004068F6" w:rsidRDefault="00533295" w:rsidP="00533295">
      <w:pPr>
        <w:numPr>
          <w:ilvl w:val="12"/>
          <w:numId w:val="0"/>
        </w:numPr>
        <w:tabs>
          <w:tab w:val="left" w:pos="-2268"/>
        </w:tabs>
        <w:suppressAutoHyphens/>
        <w:rPr>
          <w:spacing w:val="-3"/>
        </w:rPr>
      </w:pPr>
    </w:p>
    <w:p w14:paraId="6A327404" w14:textId="1CF6E39E" w:rsidR="00533295" w:rsidRPr="004068F6" w:rsidRDefault="00533295" w:rsidP="000D6E21">
      <w:pPr>
        <w:pStyle w:val="Prrafodelista"/>
        <w:numPr>
          <w:ilvl w:val="0"/>
          <w:numId w:val="680"/>
        </w:numPr>
        <w:tabs>
          <w:tab w:val="left" w:pos="-2268"/>
        </w:tabs>
        <w:suppressAutoHyphens/>
        <w:ind w:left="567" w:hanging="567"/>
        <w:rPr>
          <w:spacing w:val="-3"/>
          <w:lang w:val="es-CO"/>
        </w:rPr>
      </w:pPr>
      <w:r w:rsidRPr="004068F6">
        <w:rPr>
          <w:spacing w:val="-3"/>
          <w:lang w:val="es-CO"/>
        </w:rPr>
        <w:t>Disponibilidad tecnológica con acceso gratuito para los grupos de interés del área de influencia a los cuales se dirigen estos mecanismos, a plataformas digitales que tengan la capacidad de establecer comunicación visual y oral simultánea y que posibiliten la participación ambiental efectiva.</w:t>
      </w:r>
    </w:p>
    <w:p w14:paraId="2C99B231" w14:textId="77777777" w:rsidR="00533295" w:rsidRPr="004068F6" w:rsidRDefault="00533295" w:rsidP="00533295">
      <w:pPr>
        <w:overflowPunct/>
        <w:autoSpaceDE/>
        <w:autoSpaceDN/>
        <w:adjustRightInd/>
        <w:ind w:left="567" w:hanging="567"/>
      </w:pPr>
    </w:p>
    <w:p w14:paraId="1F55DB7E" w14:textId="77777777" w:rsidR="00533295" w:rsidRPr="004068F6" w:rsidRDefault="00533295" w:rsidP="000D6E21">
      <w:pPr>
        <w:pStyle w:val="Prrafodelista"/>
        <w:numPr>
          <w:ilvl w:val="0"/>
          <w:numId w:val="680"/>
        </w:numPr>
        <w:tabs>
          <w:tab w:val="left" w:pos="-2268"/>
        </w:tabs>
        <w:suppressAutoHyphens/>
        <w:ind w:left="567" w:hanging="567"/>
        <w:rPr>
          <w:spacing w:val="-3"/>
          <w:lang w:val="es-CO"/>
        </w:rPr>
      </w:pPr>
      <w:r w:rsidRPr="004068F6">
        <w:rPr>
          <w:spacing w:val="-3"/>
          <w:lang w:val="es-CO"/>
        </w:rPr>
        <w:t>Aplicación de una convocatoria adecuada y oportuna que permita garantizar una participación amplia e inclusiva de conformidad con los medios tecnológicos a ser utilizados.</w:t>
      </w:r>
    </w:p>
    <w:p w14:paraId="3BD23482" w14:textId="77777777" w:rsidR="00533295" w:rsidRPr="004068F6" w:rsidRDefault="00533295" w:rsidP="00533295">
      <w:pPr>
        <w:overflowPunct/>
        <w:autoSpaceDE/>
        <w:autoSpaceDN/>
        <w:adjustRightInd/>
        <w:ind w:left="567" w:hanging="567"/>
      </w:pPr>
    </w:p>
    <w:p w14:paraId="0A3540DD" w14:textId="6FBE841E" w:rsidR="00533295" w:rsidRPr="004068F6" w:rsidRDefault="00533295" w:rsidP="000D6E21">
      <w:pPr>
        <w:pStyle w:val="Prrafodelista"/>
        <w:numPr>
          <w:ilvl w:val="0"/>
          <w:numId w:val="680"/>
        </w:numPr>
        <w:tabs>
          <w:tab w:val="left" w:pos="-2268"/>
        </w:tabs>
        <w:suppressAutoHyphens/>
        <w:ind w:left="567" w:hanging="567"/>
        <w:rPr>
          <w:spacing w:val="-3"/>
          <w:lang w:val="es-CO"/>
        </w:rPr>
      </w:pPr>
      <w:r w:rsidRPr="004068F6">
        <w:rPr>
          <w:spacing w:val="-3"/>
          <w:lang w:val="es-CO"/>
        </w:rPr>
        <w:t>Acceso a la información relacionada con el proyecto, obra o actividad y con el EIA, ya sea mediante fuentes digitales o físicas, que permitan una participación informada. Adicionalmente, se deben desarrollar piezas pedagógicas que aborden con rigor técnico y lenguaje sencillo los contenidos del estudio ambiental.</w:t>
      </w:r>
    </w:p>
    <w:p w14:paraId="38060566" w14:textId="77777777" w:rsidR="00533295" w:rsidRPr="004068F6" w:rsidRDefault="00533295" w:rsidP="00533295">
      <w:pPr>
        <w:overflowPunct/>
        <w:autoSpaceDE/>
        <w:autoSpaceDN/>
        <w:adjustRightInd/>
        <w:ind w:left="567" w:hanging="567"/>
      </w:pPr>
    </w:p>
    <w:p w14:paraId="5A09ECD9" w14:textId="7ADF59EC" w:rsidR="00533295" w:rsidRPr="004068F6" w:rsidRDefault="00533295" w:rsidP="000D6E21">
      <w:pPr>
        <w:pStyle w:val="Prrafodelista"/>
        <w:numPr>
          <w:ilvl w:val="0"/>
          <w:numId w:val="680"/>
        </w:numPr>
        <w:tabs>
          <w:tab w:val="left" w:pos="-2268"/>
        </w:tabs>
        <w:suppressAutoHyphens/>
        <w:ind w:left="567" w:hanging="567"/>
        <w:rPr>
          <w:spacing w:val="-3"/>
          <w:lang w:val="es-CO"/>
        </w:rPr>
      </w:pPr>
      <w:r w:rsidRPr="004068F6">
        <w:rPr>
          <w:spacing w:val="-3"/>
          <w:lang w:val="es-CO"/>
        </w:rPr>
        <w:t xml:space="preserve">Desarrollo de un diálogo genuino en doble vía con garantía de intervención de los participantes, en donde los grupos de interés del área de influencia puedan </w:t>
      </w:r>
      <w:r w:rsidRPr="004068F6">
        <w:rPr>
          <w:spacing w:val="-3"/>
          <w:lang w:val="es-CO"/>
        </w:rPr>
        <w:lastRenderedPageBreak/>
        <w:t>exponer sus opiniones y argumentaciones sin intermediario alguno y de manera directa, con posibilidades reales de incidir en las decisiones que se adopten y de obtener retroalimentación.</w:t>
      </w:r>
    </w:p>
    <w:p w14:paraId="53B53AF4" w14:textId="7F04D0BC" w:rsidR="00533295" w:rsidRPr="004068F6" w:rsidRDefault="00533295" w:rsidP="00533295">
      <w:pPr>
        <w:tabs>
          <w:tab w:val="left" w:pos="-2268"/>
        </w:tabs>
        <w:suppressAutoHyphens/>
        <w:jc w:val="left"/>
        <w:rPr>
          <w:rFonts w:cs="Arial"/>
          <w:lang w:eastAsia="es-CO"/>
        </w:rPr>
      </w:pPr>
    </w:p>
    <w:p w14:paraId="5CC85ACD" w14:textId="2F437F14" w:rsidR="00533295" w:rsidRPr="004068F6" w:rsidRDefault="00533295" w:rsidP="00533295">
      <w:pPr>
        <w:tabs>
          <w:tab w:val="left" w:pos="5685"/>
        </w:tabs>
        <w:rPr>
          <w:rFonts w:cs="Arial"/>
        </w:rPr>
      </w:pPr>
      <w:r w:rsidRPr="004068F6">
        <w:rPr>
          <w:rFonts w:cs="Arial"/>
        </w:rPr>
        <w:t>El cumplimiento</w:t>
      </w:r>
      <w:r w:rsidRPr="00127BD4">
        <w:t xml:space="preserve"> de </w:t>
      </w:r>
      <w:r w:rsidRPr="004068F6">
        <w:rPr>
          <w:rFonts w:cs="Arial"/>
        </w:rPr>
        <w:t>estas condiciones y la consideración de complementariedad entre diferentes tecnologías deben permitir que la participación de los grupos de interés del área de influencia del proyecto, obra o actividad a los cuales se dirigen estos mecanismos, se materialice en la posibilidad de intervenir e incidir en la elaboración del EIA y en las decisiones que puedan afectarlos.</w:t>
      </w:r>
    </w:p>
    <w:p w14:paraId="0796FE74" w14:textId="44CD9E3E" w:rsidR="00533295" w:rsidRPr="004068F6" w:rsidRDefault="00533295" w:rsidP="000D6E21">
      <w:pPr>
        <w:tabs>
          <w:tab w:val="left" w:pos="5685"/>
        </w:tabs>
        <w:rPr>
          <w:rFonts w:cs="Arial"/>
        </w:rPr>
      </w:pPr>
    </w:p>
    <w:p w14:paraId="46AC4ECE" w14:textId="72B86AA8" w:rsidR="00533295" w:rsidRPr="004068F6" w:rsidRDefault="00533295" w:rsidP="00533295">
      <w:pPr>
        <w:rPr>
          <w:rFonts w:cs="Century Gothic"/>
        </w:rPr>
      </w:pPr>
      <w:r w:rsidRPr="004068F6">
        <w:t xml:space="preserve">De </w:t>
      </w:r>
      <w:r w:rsidRPr="004068F6">
        <w:rPr>
          <w:rFonts w:cs="Arial"/>
        </w:rPr>
        <w:t>igual manera, se deben tener en cuenta las habilidades de los grupos de interés para el uso de las TIC, identificando las capacidades que requieren ser fortalecidas a fin de que puedan participar e interactuar de forma eficaz y de que se reduzca la brecha digital</w:t>
      </w:r>
      <w:r w:rsidR="009649D6" w:rsidRPr="004068F6">
        <w:rPr>
          <w:rFonts w:cs="Arial"/>
        </w:rPr>
        <w:t>.</w:t>
      </w:r>
      <w:r w:rsidR="009649D6" w:rsidRPr="004068F6">
        <w:t xml:space="preserve"> En caso de ser necesario, se debe facilitar apoyo </w:t>
      </w:r>
      <w:r w:rsidR="002B50AA" w:rsidRPr="004068F6">
        <w:t xml:space="preserve">en la </w:t>
      </w:r>
      <w:r w:rsidR="009649D6" w:rsidRPr="004068F6">
        <w:t>conexión y logística para el uso de los mecanismos virtuales, así como suministrar la información y orientación suficiente sobre el uso de los mecanismos virtuales que vayan a emplearse</w:t>
      </w:r>
      <w:r w:rsidR="009649D6" w:rsidRPr="004068F6">
        <w:rPr>
          <w:spacing w:val="-3"/>
        </w:rPr>
        <w:t xml:space="preserve"> para la participación</w:t>
      </w:r>
      <w:r w:rsidR="00960107">
        <w:rPr>
          <w:spacing w:val="-3"/>
        </w:rPr>
        <w:t>. Asimismo, se debe</w:t>
      </w:r>
      <w:r w:rsidRPr="004068F6">
        <w:t xml:space="preserve"> acordar con los grupos de interés la implementación del uso de estos mecanismos virtuales</w:t>
      </w:r>
      <w:r w:rsidRPr="004068F6">
        <w:rPr>
          <w:rFonts w:cs="Arial"/>
        </w:rPr>
        <w:t>.</w:t>
      </w:r>
    </w:p>
    <w:p w14:paraId="5B58042F" w14:textId="77777777" w:rsidR="00533295" w:rsidRPr="004068F6" w:rsidRDefault="00533295" w:rsidP="00533295">
      <w:pPr>
        <w:rPr>
          <w:rFonts w:ascii="Times New Roman" w:hAnsi="Times New Roman"/>
          <w:lang w:eastAsia="es-CO"/>
        </w:rPr>
      </w:pPr>
    </w:p>
    <w:p w14:paraId="5AA566A0" w14:textId="5D4A16DC" w:rsidR="00533295" w:rsidRPr="004068F6" w:rsidRDefault="00533295" w:rsidP="00533295">
      <w:pPr>
        <w:numPr>
          <w:ilvl w:val="12"/>
          <w:numId w:val="0"/>
        </w:numPr>
        <w:tabs>
          <w:tab w:val="left" w:pos="-2268"/>
        </w:tabs>
        <w:suppressAutoHyphens/>
        <w:rPr>
          <w:spacing w:val="-3"/>
        </w:rPr>
      </w:pPr>
      <w:r w:rsidRPr="004068F6">
        <w:rPr>
          <w:spacing w:val="-3"/>
        </w:rPr>
        <w:t>A fin de documentar el proceso de participación para la elaboración del EIA, en el caso de uso de mecanismos virtuales, se deben generar e incluir las evidencias que den cuenta del proceso de participación, de acuerdo con los lineamientos señalados anteriormente sobre este aspecto.</w:t>
      </w:r>
    </w:p>
    <w:p w14:paraId="59B1A59E" w14:textId="725B0F05" w:rsidR="002568D1" w:rsidRPr="004068F6" w:rsidRDefault="002568D1">
      <w:pPr>
        <w:numPr>
          <w:ilvl w:val="12"/>
          <w:numId w:val="0"/>
        </w:numPr>
        <w:tabs>
          <w:tab w:val="left" w:pos="-2268"/>
        </w:tabs>
        <w:suppressAutoHyphens/>
        <w:rPr>
          <w:spacing w:val="-3"/>
        </w:rPr>
      </w:pPr>
      <w:bookmarkStart w:id="2605" w:name="_Toc405366820"/>
      <w:bookmarkStart w:id="2606" w:name="_Toc405372366"/>
    </w:p>
    <w:p w14:paraId="32480CC2" w14:textId="77777777" w:rsidR="001E5D96" w:rsidRPr="004068F6" w:rsidRDefault="001E5D96">
      <w:pPr>
        <w:numPr>
          <w:ilvl w:val="12"/>
          <w:numId w:val="0"/>
        </w:numPr>
        <w:tabs>
          <w:tab w:val="left" w:pos="-2268"/>
        </w:tabs>
        <w:suppressAutoHyphens/>
        <w:rPr>
          <w:spacing w:val="-3"/>
        </w:rPr>
      </w:pPr>
    </w:p>
    <w:p w14:paraId="1AD92E36" w14:textId="77777777" w:rsidR="00437042" w:rsidRPr="004068F6" w:rsidRDefault="00437042" w:rsidP="00437042">
      <w:pPr>
        <w:pStyle w:val="Ttulo1"/>
        <w:numPr>
          <w:ilvl w:val="0"/>
          <w:numId w:val="7"/>
        </w:numPr>
        <w:rPr>
          <w:lang w:val="es-CO"/>
        </w:rPr>
      </w:pPr>
      <w:bookmarkStart w:id="2607" w:name="_Toc437936014"/>
      <w:bookmarkStart w:id="2608" w:name="_Ref510090213"/>
      <w:bookmarkStart w:id="2609" w:name="_Ref515428723"/>
      <w:bookmarkStart w:id="2610" w:name="_Ref515434170"/>
      <w:bookmarkStart w:id="2611" w:name="_Toc42764342"/>
      <w:bookmarkStart w:id="2612" w:name="_Ref205990138"/>
      <w:bookmarkStart w:id="2613" w:name="_Hlk78275349"/>
      <w:bookmarkStart w:id="2614" w:name="_Toc230879648"/>
      <w:r w:rsidRPr="004068F6">
        <w:rPr>
          <w:lang w:val="es-CO"/>
        </w:rPr>
        <w:t>CARACTERIZACIÓN DEL ÁREA DE INFLUENCIA</w:t>
      </w:r>
      <w:bookmarkEnd w:id="2605"/>
      <w:bookmarkEnd w:id="2606"/>
      <w:bookmarkEnd w:id="2607"/>
      <w:bookmarkEnd w:id="2608"/>
      <w:bookmarkEnd w:id="2609"/>
      <w:bookmarkEnd w:id="2610"/>
      <w:bookmarkEnd w:id="2611"/>
      <w:bookmarkEnd w:id="2612"/>
      <w:bookmarkEnd w:id="2614"/>
    </w:p>
    <w:bookmarkEnd w:id="2613"/>
    <w:p w14:paraId="18CE87EA" w14:textId="77777777" w:rsidR="00437042" w:rsidRPr="004068F6" w:rsidRDefault="00437042">
      <w:pPr>
        <w:numPr>
          <w:ilvl w:val="12"/>
          <w:numId w:val="0"/>
        </w:numPr>
        <w:tabs>
          <w:tab w:val="left" w:pos="-2268"/>
        </w:tabs>
        <w:suppressAutoHyphens/>
        <w:rPr>
          <w:spacing w:val="-3"/>
        </w:rPr>
      </w:pPr>
    </w:p>
    <w:p w14:paraId="4640DB9F" w14:textId="27E0AC17" w:rsidR="00437042" w:rsidRPr="004068F6" w:rsidRDefault="00437042" w:rsidP="00437042">
      <w:pPr>
        <w:tabs>
          <w:tab w:val="left" w:pos="-2268"/>
          <w:tab w:val="left" w:pos="567"/>
        </w:tabs>
        <w:suppressAutoHyphens/>
        <w:rPr>
          <w:rFonts w:cs="Arial"/>
        </w:rPr>
      </w:pPr>
      <w:r w:rsidRPr="004068F6">
        <w:rPr>
          <w:spacing w:val="-3"/>
        </w:rPr>
        <w:t>En este capítulo se</w:t>
      </w:r>
      <w:r w:rsidRPr="004068F6" w:rsidDel="006B12D3">
        <w:rPr>
          <w:spacing w:val="-3"/>
        </w:rPr>
        <w:t xml:space="preserve"> </w:t>
      </w:r>
      <w:r w:rsidRPr="004068F6">
        <w:rPr>
          <w:spacing w:val="-3"/>
        </w:rPr>
        <w:t xml:space="preserve">debe aportar información primaria y secundaria de carácter cuantitativo </w:t>
      </w:r>
      <w:r w:rsidR="00571B66" w:rsidRPr="004068F6">
        <w:rPr>
          <w:spacing w:val="-3"/>
        </w:rPr>
        <w:t>y</w:t>
      </w:r>
      <w:r w:rsidRPr="004068F6">
        <w:rPr>
          <w:spacing w:val="-3"/>
        </w:rPr>
        <w:t xml:space="preserve"> cualitativo, con el propósito de conocer las características ambientales </w:t>
      </w:r>
      <w:r w:rsidR="001F5788" w:rsidRPr="004068F6">
        <w:rPr>
          <w:spacing w:val="-3"/>
        </w:rPr>
        <w:t xml:space="preserve">previas a </w:t>
      </w:r>
      <w:r w:rsidR="001F5788" w:rsidRPr="004068F6">
        <w:rPr>
          <w:rFonts w:cs="Arial"/>
          <w:spacing w:val="-3"/>
        </w:rPr>
        <w:t>la</w:t>
      </w:r>
      <w:r w:rsidR="001F5788" w:rsidRPr="004068F6">
        <w:rPr>
          <w:spacing w:val="-3"/>
        </w:rPr>
        <w:t xml:space="preserve"> ejecución</w:t>
      </w:r>
      <w:r w:rsidR="001F5788" w:rsidRPr="004068F6">
        <w:rPr>
          <w:rFonts w:cs="Arial"/>
          <w:spacing w:val="-3"/>
        </w:rPr>
        <w:t xml:space="preserve"> del proyecto, obra o actividad,</w:t>
      </w:r>
      <w:r w:rsidR="001F5788" w:rsidRPr="004068F6">
        <w:rPr>
          <w:spacing w:val="-3"/>
        </w:rPr>
        <w:t xml:space="preserve"> de los </w:t>
      </w:r>
      <w:r w:rsidR="00A862CB" w:rsidRPr="004068F6">
        <w:rPr>
          <w:spacing w:val="-3"/>
        </w:rPr>
        <w:t xml:space="preserve">factores </w:t>
      </w:r>
      <w:r w:rsidRPr="004068F6">
        <w:rPr>
          <w:spacing w:val="-3"/>
        </w:rPr>
        <w:t xml:space="preserve">del área de influencia </w:t>
      </w:r>
      <w:r w:rsidRPr="004068F6">
        <w:rPr>
          <w:rFonts w:cs="Arial"/>
          <w:spacing w:val="-3"/>
        </w:rPr>
        <w:t>de los medios abiótico, biótico y socioeconómico</w:t>
      </w:r>
      <w:r w:rsidR="00E336DA" w:rsidRPr="004068F6">
        <w:rPr>
          <w:rFonts w:cs="Arial"/>
          <w:spacing w:val="-3"/>
        </w:rPr>
        <w:t xml:space="preserve"> que pueden ser impactados</w:t>
      </w:r>
      <w:r w:rsidRPr="004068F6">
        <w:rPr>
          <w:rFonts w:cs="Arial"/>
          <w:spacing w:val="-3"/>
        </w:rPr>
        <w:t xml:space="preserve">. </w:t>
      </w:r>
      <w:r w:rsidR="001F1086" w:rsidRPr="004068F6">
        <w:rPr>
          <w:rFonts w:cs="Arial"/>
          <w:spacing w:val="-3"/>
        </w:rPr>
        <w:t>Esta</w:t>
      </w:r>
      <w:r w:rsidR="004F44E5" w:rsidRPr="004068F6">
        <w:rPr>
          <w:rFonts w:cs="Arial"/>
          <w:spacing w:val="-3"/>
        </w:rPr>
        <w:t xml:space="preserve"> caracterización </w:t>
      </w:r>
      <w:r w:rsidR="00064ED7" w:rsidRPr="004068F6">
        <w:t xml:space="preserve">comprende </w:t>
      </w:r>
      <w:r w:rsidR="001F1086" w:rsidRPr="004068F6">
        <w:t xml:space="preserve">adicionalmente, </w:t>
      </w:r>
      <w:r w:rsidR="00064ED7" w:rsidRPr="004068F6">
        <w:t>a</w:t>
      </w:r>
      <w:r w:rsidR="004F44E5" w:rsidRPr="004068F6">
        <w:t xml:space="preserve">l paisaje y los servicios ecosistémicos, elementos transversales que </w:t>
      </w:r>
      <w:r w:rsidR="00064ED7" w:rsidRPr="004068F6">
        <w:t xml:space="preserve">deben </w:t>
      </w:r>
      <w:r w:rsidR="004F44E5" w:rsidRPr="004068F6">
        <w:t>ser estudiados mediante la integración de la información de tales medios.</w:t>
      </w:r>
    </w:p>
    <w:p w14:paraId="413644C5" w14:textId="77777777" w:rsidR="00437042" w:rsidRPr="004068F6" w:rsidRDefault="00437042" w:rsidP="00437042">
      <w:pPr>
        <w:tabs>
          <w:tab w:val="left" w:pos="-2268"/>
          <w:tab w:val="left" w:pos="567"/>
        </w:tabs>
        <w:suppressAutoHyphens/>
        <w:rPr>
          <w:rFonts w:cs="Arial"/>
        </w:rPr>
      </w:pPr>
    </w:p>
    <w:p w14:paraId="59F90385" w14:textId="27AD7D64" w:rsidR="00437042" w:rsidRPr="004068F6" w:rsidRDefault="00437042" w:rsidP="00C86DA5">
      <w:pPr>
        <w:tabs>
          <w:tab w:val="left" w:pos="-2268"/>
          <w:tab w:val="left" w:pos="567"/>
        </w:tabs>
        <w:suppressAutoHyphens/>
        <w:rPr>
          <w:spacing w:val="-3"/>
        </w:rPr>
      </w:pPr>
      <w:r w:rsidRPr="004068F6">
        <w:rPr>
          <w:rFonts w:cs="Arial"/>
          <w:spacing w:val="-3"/>
        </w:rPr>
        <w:t>La</w:t>
      </w:r>
      <w:r w:rsidRPr="004068F6">
        <w:rPr>
          <w:spacing w:val="-3"/>
        </w:rPr>
        <w:t xml:space="preserve"> caracterización ambiental brinda elementos que permiten establecer la zonificación ambiental</w:t>
      </w:r>
      <w:r w:rsidR="002A3527" w:rsidRPr="004068F6">
        <w:rPr>
          <w:spacing w:val="-3"/>
        </w:rPr>
        <w:t xml:space="preserve"> y </w:t>
      </w:r>
      <w:r w:rsidRPr="004068F6">
        <w:rPr>
          <w:spacing w:val="-3"/>
        </w:rPr>
        <w:t>estimar la forma en que el proyecto</w:t>
      </w:r>
      <w:r w:rsidR="00C92C16" w:rsidRPr="004068F6">
        <w:rPr>
          <w:spacing w:val="-3"/>
        </w:rPr>
        <w:t>, obra o actividad</w:t>
      </w:r>
      <w:r w:rsidR="0037359C" w:rsidRPr="004068F6">
        <w:rPr>
          <w:spacing w:val="-3"/>
        </w:rPr>
        <w:t>, en caso de ejecutarse,</w:t>
      </w:r>
      <w:r w:rsidRPr="004068F6">
        <w:rPr>
          <w:spacing w:val="-3"/>
        </w:rPr>
        <w:t xml:space="preserve"> impactaría las condiciones ambientales, </w:t>
      </w:r>
      <w:r w:rsidR="007E15A5" w:rsidRPr="004068F6">
        <w:rPr>
          <w:spacing w:val="-3"/>
        </w:rPr>
        <w:t xml:space="preserve">elementos fundamentales del EIA </w:t>
      </w:r>
      <w:r w:rsidRPr="004068F6">
        <w:rPr>
          <w:spacing w:val="-3"/>
        </w:rPr>
        <w:t>para que la autoridad ambiental tome una decisión respecto de la viabilidad ambiental del proyecto</w:t>
      </w:r>
      <w:r w:rsidR="002A3527" w:rsidRPr="004068F6">
        <w:rPr>
          <w:spacing w:val="-3"/>
        </w:rPr>
        <w:t>.</w:t>
      </w:r>
      <w:r w:rsidRPr="004068F6">
        <w:rPr>
          <w:spacing w:val="-3"/>
        </w:rPr>
        <w:t xml:space="preserve"> </w:t>
      </w:r>
      <w:r w:rsidR="002A3527" w:rsidRPr="004068F6">
        <w:rPr>
          <w:spacing w:val="-3"/>
        </w:rPr>
        <w:t>I</w:t>
      </w:r>
      <w:r w:rsidRPr="004068F6">
        <w:rPr>
          <w:spacing w:val="-3"/>
        </w:rPr>
        <w:t xml:space="preserve">gualmente, </w:t>
      </w:r>
      <w:r w:rsidR="002A3527" w:rsidRPr="004068F6">
        <w:rPr>
          <w:spacing w:val="-3"/>
        </w:rPr>
        <w:t>durante la ejecución del proyecto (en caso</w:t>
      </w:r>
      <w:r w:rsidR="001C346D" w:rsidRPr="004068F6">
        <w:rPr>
          <w:spacing w:val="-3"/>
        </w:rPr>
        <w:t xml:space="preserve"> de</w:t>
      </w:r>
      <w:r w:rsidR="002A3527" w:rsidRPr="004068F6">
        <w:rPr>
          <w:spacing w:val="-3"/>
        </w:rPr>
        <w:t xml:space="preserve"> que se otorgue licencia ambiental), </w:t>
      </w:r>
      <w:r w:rsidRPr="004068F6">
        <w:rPr>
          <w:spacing w:val="-3"/>
        </w:rPr>
        <w:t xml:space="preserve">esta información constituye el patrón básico de comparación que permite </w:t>
      </w:r>
      <w:r w:rsidR="00056196" w:rsidRPr="004068F6">
        <w:rPr>
          <w:spacing w:val="-3"/>
        </w:rPr>
        <w:t xml:space="preserve">que en la etapa de seguimiento </w:t>
      </w:r>
      <w:r w:rsidR="0033628A" w:rsidRPr="004068F6">
        <w:rPr>
          <w:spacing w:val="-3"/>
        </w:rPr>
        <w:t xml:space="preserve">y control </w:t>
      </w:r>
      <w:r w:rsidR="00056196" w:rsidRPr="004068F6">
        <w:rPr>
          <w:spacing w:val="-3"/>
        </w:rPr>
        <w:t xml:space="preserve">ambiental se </w:t>
      </w:r>
      <w:r w:rsidR="00700B13" w:rsidRPr="004068F6">
        <w:rPr>
          <w:spacing w:val="-3"/>
        </w:rPr>
        <w:t xml:space="preserve">determine la efectividad </w:t>
      </w:r>
      <w:r w:rsidR="00700B13" w:rsidRPr="004068F6">
        <w:rPr>
          <w:spacing w:val="-3"/>
        </w:rPr>
        <w:lastRenderedPageBreak/>
        <w:t>de las medidas de manejo</w:t>
      </w:r>
      <w:r w:rsidR="00C65E5C" w:rsidRPr="004068F6">
        <w:rPr>
          <w:spacing w:val="-3"/>
        </w:rPr>
        <w:t xml:space="preserve"> al </w:t>
      </w:r>
      <w:r w:rsidRPr="004068F6">
        <w:rPr>
          <w:spacing w:val="-3"/>
        </w:rPr>
        <w:t>contrast</w:t>
      </w:r>
      <w:r w:rsidR="00C65E5C" w:rsidRPr="004068F6">
        <w:rPr>
          <w:spacing w:val="-3"/>
        </w:rPr>
        <w:t>ar</w:t>
      </w:r>
      <w:r w:rsidR="00700B13" w:rsidRPr="004068F6">
        <w:rPr>
          <w:spacing w:val="-3"/>
        </w:rPr>
        <w:t xml:space="preserve"> las condiciones ambientales de línea base</w:t>
      </w:r>
      <w:r w:rsidRPr="004068F6">
        <w:rPr>
          <w:spacing w:val="-3"/>
        </w:rPr>
        <w:t xml:space="preserve"> con los </w:t>
      </w:r>
      <w:r w:rsidRPr="004068F6">
        <w:rPr>
          <w:rFonts w:cs="Arial"/>
          <w:spacing w:val="-3"/>
        </w:rPr>
        <w:t>cambios</w:t>
      </w:r>
      <w:r w:rsidRPr="004068F6">
        <w:rPr>
          <w:spacing w:val="-3"/>
        </w:rPr>
        <w:t xml:space="preserve"> que realmente experimentan los </w:t>
      </w:r>
      <w:r w:rsidR="0033628A" w:rsidRPr="004068F6">
        <w:rPr>
          <w:rFonts w:cs="Arial"/>
          <w:spacing w:val="-3"/>
        </w:rPr>
        <w:t>factores</w:t>
      </w:r>
      <w:r w:rsidR="0033628A" w:rsidRPr="004068F6">
        <w:rPr>
          <w:spacing w:val="-3"/>
        </w:rPr>
        <w:t xml:space="preserve"> </w:t>
      </w:r>
      <w:r w:rsidRPr="004068F6">
        <w:rPr>
          <w:spacing w:val="-3"/>
        </w:rPr>
        <w:t>ambientales.</w:t>
      </w:r>
    </w:p>
    <w:p w14:paraId="4108E9DF" w14:textId="77777777" w:rsidR="00437042" w:rsidRPr="004068F6" w:rsidRDefault="00437042">
      <w:pPr>
        <w:numPr>
          <w:ilvl w:val="12"/>
          <w:numId w:val="0"/>
        </w:numPr>
        <w:tabs>
          <w:tab w:val="left" w:pos="-2268"/>
        </w:tabs>
        <w:suppressAutoHyphens/>
        <w:rPr>
          <w:spacing w:val="-3"/>
        </w:rPr>
      </w:pPr>
    </w:p>
    <w:p w14:paraId="6131AD34" w14:textId="00CE271A" w:rsidR="00457AAE" w:rsidRPr="004068F6" w:rsidRDefault="00457AAE" w:rsidP="001162D4">
      <w:pPr>
        <w:numPr>
          <w:ilvl w:val="12"/>
          <w:numId w:val="0"/>
        </w:numPr>
        <w:tabs>
          <w:tab w:val="left" w:pos="-2268"/>
        </w:tabs>
        <w:suppressAutoHyphens/>
        <w:rPr>
          <w:spacing w:val="-3"/>
        </w:rPr>
      </w:pPr>
      <w:r w:rsidRPr="004068F6">
        <w:rPr>
          <w:spacing w:val="-3"/>
        </w:rPr>
        <w:t xml:space="preserve">La caracterización ambiental del EIA que se presente ante la autoridad ambiental competente debe </w:t>
      </w:r>
      <w:r w:rsidR="00B1451F" w:rsidRPr="004068F6">
        <w:rPr>
          <w:spacing w:val="-3"/>
        </w:rPr>
        <w:t xml:space="preserve">contener información sobre </w:t>
      </w:r>
      <w:r w:rsidRPr="004068F6">
        <w:rPr>
          <w:spacing w:val="-3"/>
        </w:rPr>
        <w:t xml:space="preserve">aquellos </w:t>
      </w:r>
      <w:r w:rsidR="00BD12D2" w:rsidRPr="004068F6">
        <w:rPr>
          <w:spacing w:val="-3"/>
        </w:rPr>
        <w:t xml:space="preserve">parámetros </w:t>
      </w:r>
      <w:r w:rsidRPr="004068F6">
        <w:rPr>
          <w:spacing w:val="-3"/>
        </w:rPr>
        <w:t>ambientales que result</w:t>
      </w:r>
      <w:r w:rsidR="001F5788" w:rsidRPr="004068F6">
        <w:rPr>
          <w:spacing w:val="-3"/>
        </w:rPr>
        <w:t xml:space="preserve">arían </w:t>
      </w:r>
      <w:r w:rsidRPr="004068F6">
        <w:rPr>
          <w:spacing w:val="-3"/>
        </w:rPr>
        <w:t>impactados como consecuencia de la ejecución del proyecto, obra o actividad</w:t>
      </w:r>
      <w:r w:rsidR="00372C22" w:rsidRPr="004068F6">
        <w:rPr>
          <w:spacing w:val="-3"/>
        </w:rPr>
        <w:t>, ya sea por impactos significativos como por impactos no significativos</w:t>
      </w:r>
      <w:r w:rsidR="00A677FB" w:rsidRPr="004068F6">
        <w:rPr>
          <w:spacing w:val="-3"/>
        </w:rPr>
        <w:t>.</w:t>
      </w:r>
      <w:r w:rsidR="00340C53" w:rsidRPr="004068F6">
        <w:rPr>
          <w:spacing w:val="-3"/>
        </w:rPr>
        <w:t xml:space="preserve"> </w:t>
      </w:r>
      <w:r w:rsidR="00D36576" w:rsidRPr="004068F6">
        <w:rPr>
          <w:spacing w:val="-3"/>
        </w:rPr>
        <w:t>L</w:t>
      </w:r>
      <w:r w:rsidR="001F5788" w:rsidRPr="004068F6">
        <w:rPr>
          <w:rFonts w:cs="Arial"/>
        </w:rPr>
        <w:t xml:space="preserve">a </w:t>
      </w:r>
      <w:r w:rsidR="00B84F55" w:rsidRPr="004068F6">
        <w:rPr>
          <w:rFonts w:cs="Arial"/>
        </w:rPr>
        <w:t xml:space="preserve">caracterización de </w:t>
      </w:r>
      <w:r w:rsidR="008953AB" w:rsidRPr="004068F6">
        <w:rPr>
          <w:rFonts w:cs="Arial"/>
        </w:rPr>
        <w:t xml:space="preserve">cada </w:t>
      </w:r>
      <w:r w:rsidR="00B84F55" w:rsidRPr="004068F6">
        <w:rPr>
          <w:rFonts w:cs="Arial"/>
        </w:rPr>
        <w:t>parámetro</w:t>
      </w:r>
      <w:r w:rsidR="008953AB" w:rsidRPr="004068F6">
        <w:rPr>
          <w:rFonts w:cs="Arial"/>
        </w:rPr>
        <w:t xml:space="preserve"> impactado</w:t>
      </w:r>
      <w:r w:rsidR="00B84F55" w:rsidRPr="004068F6">
        <w:rPr>
          <w:rFonts w:cs="Arial"/>
        </w:rPr>
        <w:t xml:space="preserve"> </w:t>
      </w:r>
      <w:r w:rsidR="00402DB3" w:rsidRPr="004068F6">
        <w:rPr>
          <w:rFonts w:cs="Arial"/>
        </w:rPr>
        <w:t>debe referirse</w:t>
      </w:r>
      <w:r w:rsidR="00AF04DB" w:rsidRPr="004068F6">
        <w:rPr>
          <w:rFonts w:cs="Arial"/>
        </w:rPr>
        <w:t>, como mínimo,</w:t>
      </w:r>
      <w:r w:rsidR="00402DB3" w:rsidRPr="004068F6">
        <w:rPr>
          <w:rFonts w:cs="Arial"/>
        </w:rPr>
        <w:t xml:space="preserve"> </w:t>
      </w:r>
      <w:r w:rsidR="001F5788" w:rsidRPr="004068F6">
        <w:rPr>
          <w:rFonts w:cs="Arial"/>
        </w:rPr>
        <w:t xml:space="preserve">al área de influencia del </w:t>
      </w:r>
      <w:r w:rsidR="00DA335D" w:rsidRPr="004068F6">
        <w:rPr>
          <w:rFonts w:cs="Arial"/>
        </w:rPr>
        <w:t xml:space="preserve">factor </w:t>
      </w:r>
      <w:r w:rsidR="001F5788" w:rsidRPr="004068F6">
        <w:rPr>
          <w:rFonts w:cs="Arial"/>
        </w:rPr>
        <w:t>al cual pertenece</w:t>
      </w:r>
      <w:r w:rsidR="00C74A37" w:rsidRPr="004068F6">
        <w:rPr>
          <w:rFonts w:cs="Arial"/>
        </w:rPr>
        <w:t xml:space="preserve">; </w:t>
      </w:r>
      <w:r w:rsidR="00C74A37" w:rsidRPr="004068F6">
        <w:rPr>
          <w:spacing w:val="-3"/>
        </w:rPr>
        <w:t>p</w:t>
      </w:r>
      <w:r w:rsidR="004318F7" w:rsidRPr="004068F6">
        <w:rPr>
          <w:spacing w:val="-3"/>
        </w:rPr>
        <w:t xml:space="preserve">or ejemplo, si se determina que </w:t>
      </w:r>
      <w:r w:rsidR="004B0DA7" w:rsidRPr="004068F6">
        <w:rPr>
          <w:spacing w:val="-3"/>
        </w:rPr>
        <w:t xml:space="preserve">el parámetro </w:t>
      </w:r>
      <w:r w:rsidR="0090203E" w:rsidRPr="00127BD4">
        <w:rPr>
          <w:i/>
          <w:iCs/>
          <w:spacing w:val="-3"/>
        </w:rPr>
        <w:t>concentración de material particulado</w:t>
      </w:r>
      <w:r w:rsidR="0090203E" w:rsidRPr="004068F6">
        <w:rPr>
          <w:spacing w:val="-3"/>
        </w:rPr>
        <w:t xml:space="preserve"> </w:t>
      </w:r>
      <w:r w:rsidR="004318F7" w:rsidRPr="004068F6">
        <w:rPr>
          <w:spacing w:val="-3"/>
        </w:rPr>
        <w:t xml:space="preserve">podría ser impactado, </w:t>
      </w:r>
      <w:r w:rsidR="005947A9" w:rsidRPr="004068F6">
        <w:rPr>
          <w:spacing w:val="-3"/>
        </w:rPr>
        <w:t xml:space="preserve">su </w:t>
      </w:r>
      <w:r w:rsidR="004318F7" w:rsidRPr="004068F6">
        <w:rPr>
          <w:spacing w:val="-3"/>
        </w:rPr>
        <w:t>caracteriza</w:t>
      </w:r>
      <w:r w:rsidR="005947A9" w:rsidRPr="004068F6">
        <w:rPr>
          <w:spacing w:val="-3"/>
        </w:rPr>
        <w:t xml:space="preserve">ción debe referirse </w:t>
      </w:r>
      <w:r w:rsidR="000078E0" w:rsidRPr="004068F6">
        <w:rPr>
          <w:spacing w:val="-3"/>
        </w:rPr>
        <w:t xml:space="preserve">mínimamente </w:t>
      </w:r>
      <w:r w:rsidR="005947A9" w:rsidRPr="004068F6">
        <w:rPr>
          <w:spacing w:val="-3"/>
        </w:rPr>
        <w:t>a</w:t>
      </w:r>
      <w:r w:rsidR="004318F7" w:rsidRPr="004068F6">
        <w:rPr>
          <w:spacing w:val="-3"/>
        </w:rPr>
        <w:t xml:space="preserve">l área de influencia del </w:t>
      </w:r>
      <w:r w:rsidR="00DA335D" w:rsidRPr="004068F6">
        <w:rPr>
          <w:spacing w:val="-3"/>
        </w:rPr>
        <w:t>factor calidad del aire</w:t>
      </w:r>
      <w:r w:rsidR="00B1451F" w:rsidRPr="004068F6">
        <w:rPr>
          <w:spacing w:val="-3"/>
        </w:rPr>
        <w:t>.</w:t>
      </w:r>
    </w:p>
    <w:p w14:paraId="6E0071AD" w14:textId="77777777" w:rsidR="00412BB2" w:rsidRPr="004068F6" w:rsidRDefault="00412BB2" w:rsidP="001162D4">
      <w:pPr>
        <w:numPr>
          <w:ilvl w:val="12"/>
          <w:numId w:val="0"/>
        </w:numPr>
        <w:tabs>
          <w:tab w:val="left" w:pos="-2268"/>
        </w:tabs>
        <w:suppressAutoHyphens/>
        <w:rPr>
          <w:spacing w:val="-3"/>
        </w:rPr>
      </w:pPr>
    </w:p>
    <w:p w14:paraId="42A47696" w14:textId="2BBC1110" w:rsidR="00412BB2" w:rsidRPr="004068F6" w:rsidRDefault="00A542EB" w:rsidP="001162D4">
      <w:pPr>
        <w:numPr>
          <w:ilvl w:val="12"/>
          <w:numId w:val="0"/>
        </w:numPr>
        <w:tabs>
          <w:tab w:val="left" w:pos="-2268"/>
        </w:tabs>
        <w:suppressAutoHyphens/>
        <w:rPr>
          <w:spacing w:val="-3"/>
        </w:rPr>
      </w:pPr>
      <w:r w:rsidRPr="004068F6">
        <w:rPr>
          <w:spacing w:val="-3"/>
        </w:rPr>
        <w:t>E</w:t>
      </w:r>
      <w:r w:rsidR="00412BB2" w:rsidRPr="004068F6">
        <w:rPr>
          <w:spacing w:val="-3"/>
        </w:rPr>
        <w:t xml:space="preserve">s posible caracterizar los parámetros ambientales en toda la extensión del área de influencia del componente </w:t>
      </w:r>
      <w:r w:rsidR="00304342" w:rsidRPr="004068F6">
        <w:rPr>
          <w:spacing w:val="-3"/>
        </w:rPr>
        <w:t xml:space="preserve">o del medio </w:t>
      </w:r>
      <w:r w:rsidR="00412BB2" w:rsidRPr="004068F6">
        <w:rPr>
          <w:spacing w:val="-3"/>
        </w:rPr>
        <w:t xml:space="preserve">al cual pertenecen y no </w:t>
      </w:r>
      <w:r w:rsidR="00112D07" w:rsidRPr="004068F6">
        <w:rPr>
          <w:spacing w:val="-3"/>
        </w:rPr>
        <w:t>úni</w:t>
      </w:r>
      <w:r w:rsidR="005E4F3B" w:rsidRPr="004068F6">
        <w:rPr>
          <w:spacing w:val="-3"/>
        </w:rPr>
        <w:t xml:space="preserve">camente </w:t>
      </w:r>
      <w:r w:rsidR="00412BB2" w:rsidRPr="004068F6">
        <w:rPr>
          <w:spacing w:val="-3"/>
        </w:rPr>
        <w:t>en el área de influencia de su factor ambiental</w:t>
      </w:r>
      <w:r w:rsidR="003768D0" w:rsidRPr="004068F6">
        <w:rPr>
          <w:spacing w:val="-3"/>
        </w:rPr>
        <w:t>,</w:t>
      </w:r>
      <w:r w:rsidR="00412BB2" w:rsidRPr="004068F6">
        <w:rPr>
          <w:spacing w:val="-3"/>
        </w:rPr>
        <w:t xml:space="preserve"> si </w:t>
      </w:r>
      <w:r w:rsidR="003768D0" w:rsidRPr="004068F6">
        <w:rPr>
          <w:spacing w:val="-3"/>
        </w:rPr>
        <w:t xml:space="preserve">es que </w:t>
      </w:r>
      <w:r w:rsidR="00412BB2" w:rsidRPr="004068F6">
        <w:rPr>
          <w:spacing w:val="-3"/>
        </w:rPr>
        <w:t xml:space="preserve">ello </w:t>
      </w:r>
      <w:r w:rsidR="00122D4D" w:rsidRPr="004068F6">
        <w:rPr>
          <w:spacing w:val="-3"/>
        </w:rPr>
        <w:t>se considera pertinente</w:t>
      </w:r>
      <w:r w:rsidR="001543DA" w:rsidRPr="004068F6">
        <w:rPr>
          <w:spacing w:val="-3"/>
        </w:rPr>
        <w:t xml:space="preserve">; </w:t>
      </w:r>
      <w:r w:rsidR="00975428" w:rsidRPr="004068F6">
        <w:rPr>
          <w:spacing w:val="-3"/>
        </w:rPr>
        <w:t>p</w:t>
      </w:r>
      <w:r w:rsidR="00412BB2" w:rsidRPr="004068F6">
        <w:rPr>
          <w:spacing w:val="-3"/>
        </w:rPr>
        <w:t xml:space="preserve">or ejemplo, en el caso del parámetro </w:t>
      </w:r>
      <w:r w:rsidR="00412BB2" w:rsidRPr="004068F6">
        <w:rPr>
          <w:i/>
          <w:iCs/>
          <w:spacing w:val="-3"/>
        </w:rPr>
        <w:t>c</w:t>
      </w:r>
      <w:r w:rsidR="00412BB2" w:rsidRPr="00127BD4">
        <w:rPr>
          <w:i/>
          <w:iCs/>
          <w:spacing w:val="-3"/>
        </w:rPr>
        <w:t>oncentración de material particulado</w:t>
      </w:r>
      <w:r w:rsidR="00412BB2" w:rsidRPr="004068F6">
        <w:rPr>
          <w:spacing w:val="-3"/>
        </w:rPr>
        <w:t xml:space="preserve">, su caracterización podría referirse al área de influencia del componente atmosférico </w:t>
      </w:r>
      <w:r w:rsidR="00C91A49" w:rsidRPr="004068F6">
        <w:rPr>
          <w:spacing w:val="-3"/>
        </w:rPr>
        <w:t xml:space="preserve">o, incluso, al área de influencia del medio abiótico </w:t>
      </w:r>
      <w:r w:rsidR="00412BB2" w:rsidRPr="004068F6">
        <w:rPr>
          <w:spacing w:val="-3"/>
        </w:rPr>
        <w:t xml:space="preserve">si </w:t>
      </w:r>
      <w:r w:rsidR="00E87612" w:rsidRPr="004068F6">
        <w:rPr>
          <w:spacing w:val="-3"/>
        </w:rPr>
        <w:t xml:space="preserve">ello </w:t>
      </w:r>
      <w:r w:rsidR="00C91A49" w:rsidRPr="004068F6">
        <w:rPr>
          <w:spacing w:val="-3"/>
        </w:rPr>
        <w:t xml:space="preserve">se considera </w:t>
      </w:r>
      <w:r w:rsidR="00FA1727" w:rsidRPr="004068F6">
        <w:rPr>
          <w:spacing w:val="-3"/>
        </w:rPr>
        <w:t>necesario</w:t>
      </w:r>
      <w:r w:rsidR="00412BB2" w:rsidRPr="004068F6">
        <w:rPr>
          <w:spacing w:val="-3"/>
        </w:rPr>
        <w:t>.</w:t>
      </w:r>
    </w:p>
    <w:p w14:paraId="0DCF788B" w14:textId="77777777" w:rsidR="003C1B55" w:rsidRPr="004068F6" w:rsidRDefault="003C1B55" w:rsidP="001162D4">
      <w:pPr>
        <w:numPr>
          <w:ilvl w:val="12"/>
          <w:numId w:val="0"/>
        </w:numPr>
        <w:tabs>
          <w:tab w:val="left" w:pos="-2268"/>
        </w:tabs>
        <w:suppressAutoHyphens/>
        <w:rPr>
          <w:spacing w:val="-3"/>
        </w:rPr>
      </w:pPr>
    </w:p>
    <w:p w14:paraId="3491C5B8" w14:textId="6E1EA975" w:rsidR="00CA20BF" w:rsidRPr="004068F6" w:rsidRDefault="00DE68A5" w:rsidP="003A03B6">
      <w:pPr>
        <w:numPr>
          <w:ilvl w:val="12"/>
          <w:numId w:val="0"/>
        </w:numPr>
        <w:tabs>
          <w:tab w:val="left" w:pos="-2268"/>
        </w:tabs>
        <w:suppressAutoHyphens/>
        <w:rPr>
          <w:spacing w:val="-3"/>
        </w:rPr>
      </w:pPr>
      <w:r w:rsidRPr="004068F6">
        <w:rPr>
          <w:spacing w:val="-3"/>
        </w:rPr>
        <w:t>A</w:t>
      </w:r>
      <w:r w:rsidR="000C3DFB" w:rsidRPr="004068F6">
        <w:rPr>
          <w:spacing w:val="-3"/>
        </w:rPr>
        <w:t>simismo</w:t>
      </w:r>
      <w:r w:rsidRPr="004068F6">
        <w:rPr>
          <w:spacing w:val="-3"/>
        </w:rPr>
        <w:t xml:space="preserve">, </w:t>
      </w:r>
      <w:r w:rsidR="00E65D3A" w:rsidRPr="004068F6">
        <w:rPr>
          <w:spacing w:val="-3"/>
        </w:rPr>
        <w:t xml:space="preserve">la caracterización ambiental del EIA </w:t>
      </w:r>
      <w:r w:rsidR="00F82251" w:rsidRPr="004068F6">
        <w:rPr>
          <w:spacing w:val="-3"/>
        </w:rPr>
        <w:t>puede</w:t>
      </w:r>
      <w:r w:rsidR="00D12AAC" w:rsidRPr="004068F6">
        <w:rPr>
          <w:spacing w:val="-3"/>
        </w:rPr>
        <w:t xml:space="preserve"> contener información sobre aquellos parámetros ambientales </w:t>
      </w:r>
      <w:r w:rsidRPr="004068F6">
        <w:rPr>
          <w:spacing w:val="-3"/>
        </w:rPr>
        <w:t>que</w:t>
      </w:r>
      <w:r w:rsidR="008E5723" w:rsidRPr="004068F6">
        <w:rPr>
          <w:spacing w:val="-3"/>
        </w:rPr>
        <w:t xml:space="preserve">, </w:t>
      </w:r>
      <w:r w:rsidR="00E277A0" w:rsidRPr="004068F6">
        <w:rPr>
          <w:spacing w:val="-3"/>
        </w:rPr>
        <w:t>aún sin resultar impactados</w:t>
      </w:r>
      <w:r w:rsidR="00437C92" w:rsidRPr="004068F6">
        <w:rPr>
          <w:spacing w:val="-3"/>
        </w:rPr>
        <w:t>,</w:t>
      </w:r>
      <w:r w:rsidR="00E277A0" w:rsidRPr="004068F6">
        <w:rPr>
          <w:spacing w:val="-3"/>
        </w:rPr>
        <w:t xml:space="preserve"> </w:t>
      </w:r>
      <w:r w:rsidR="00ED333B" w:rsidRPr="004068F6">
        <w:rPr>
          <w:spacing w:val="-3"/>
        </w:rPr>
        <w:t>son</w:t>
      </w:r>
      <w:r w:rsidRPr="004068F6">
        <w:rPr>
          <w:spacing w:val="-3"/>
        </w:rPr>
        <w:t xml:space="preserve"> necesarios para conocer el estado de las condiciones ambientales </w:t>
      </w:r>
      <w:r w:rsidR="00FC058C" w:rsidRPr="004068F6">
        <w:rPr>
          <w:spacing w:val="-3"/>
        </w:rPr>
        <w:t>de factores o componentes de otros medios</w:t>
      </w:r>
      <w:r w:rsidR="003A1131" w:rsidRPr="004068F6">
        <w:rPr>
          <w:spacing w:val="-3"/>
        </w:rPr>
        <w:t xml:space="preserve"> que sí resultarían impactados </w:t>
      </w:r>
      <w:r w:rsidR="00ED333B" w:rsidRPr="004068F6">
        <w:rPr>
          <w:spacing w:val="-3"/>
        </w:rPr>
        <w:t xml:space="preserve">por la </w:t>
      </w:r>
      <w:r w:rsidR="003A1131" w:rsidRPr="004068F6">
        <w:rPr>
          <w:spacing w:val="-3"/>
        </w:rPr>
        <w:t>ejecu</w:t>
      </w:r>
      <w:r w:rsidR="00ED333B" w:rsidRPr="004068F6">
        <w:rPr>
          <w:spacing w:val="-3"/>
        </w:rPr>
        <w:t>ción d</w:t>
      </w:r>
      <w:r w:rsidR="003A1131" w:rsidRPr="004068F6">
        <w:rPr>
          <w:spacing w:val="-3"/>
        </w:rPr>
        <w:t>el proyecto</w:t>
      </w:r>
      <w:r w:rsidRPr="004068F6">
        <w:rPr>
          <w:spacing w:val="-3"/>
        </w:rPr>
        <w:t>.</w:t>
      </w:r>
    </w:p>
    <w:p w14:paraId="57CE9F3D" w14:textId="77777777" w:rsidR="00CA20BF" w:rsidRPr="004068F6" w:rsidRDefault="00CA20BF" w:rsidP="003A03B6">
      <w:pPr>
        <w:numPr>
          <w:ilvl w:val="12"/>
          <w:numId w:val="0"/>
        </w:numPr>
        <w:tabs>
          <w:tab w:val="left" w:pos="-2268"/>
        </w:tabs>
        <w:suppressAutoHyphens/>
        <w:rPr>
          <w:spacing w:val="-3"/>
        </w:rPr>
      </w:pPr>
    </w:p>
    <w:p w14:paraId="3FA2FB16" w14:textId="68E76049" w:rsidR="003A03B6" w:rsidRPr="004068F6" w:rsidRDefault="00A04B13" w:rsidP="003A03B6">
      <w:pPr>
        <w:numPr>
          <w:ilvl w:val="12"/>
          <w:numId w:val="0"/>
        </w:numPr>
        <w:tabs>
          <w:tab w:val="left" w:pos="-2268"/>
        </w:tabs>
        <w:suppressAutoHyphens/>
        <w:rPr>
          <w:spacing w:val="-3"/>
        </w:rPr>
      </w:pPr>
      <w:r w:rsidRPr="004068F6">
        <w:rPr>
          <w:spacing w:val="-3"/>
        </w:rPr>
        <w:t xml:space="preserve">Por ejemplo, </w:t>
      </w:r>
      <w:r w:rsidR="005C690E" w:rsidRPr="004068F6">
        <w:rPr>
          <w:spacing w:val="-3"/>
        </w:rPr>
        <w:t xml:space="preserve">dado que </w:t>
      </w:r>
      <w:r w:rsidR="008F005E" w:rsidRPr="004068F6">
        <w:rPr>
          <w:spacing w:val="-3"/>
        </w:rPr>
        <w:t xml:space="preserve">el </w:t>
      </w:r>
      <w:r w:rsidR="003A03B6" w:rsidRPr="004068F6">
        <w:rPr>
          <w:spacing w:val="-3"/>
        </w:rPr>
        <w:t>factor</w:t>
      </w:r>
      <w:r w:rsidR="008F005E" w:rsidRPr="004068F6">
        <w:rPr>
          <w:spacing w:val="-3"/>
        </w:rPr>
        <w:t xml:space="preserve"> </w:t>
      </w:r>
      <w:r w:rsidR="003A03B6" w:rsidRPr="00127BD4">
        <w:rPr>
          <w:i/>
          <w:iCs/>
          <w:spacing w:val="-3"/>
        </w:rPr>
        <w:t>calidad del agua</w:t>
      </w:r>
      <w:r w:rsidR="003A03B6" w:rsidRPr="004068F6">
        <w:rPr>
          <w:spacing w:val="-3"/>
        </w:rPr>
        <w:t xml:space="preserve"> </w:t>
      </w:r>
      <w:r w:rsidR="008C7E28" w:rsidRPr="004068F6">
        <w:rPr>
          <w:spacing w:val="-3"/>
        </w:rPr>
        <w:t>d</w:t>
      </w:r>
      <w:r w:rsidR="003A03B6" w:rsidRPr="004068F6">
        <w:rPr>
          <w:spacing w:val="-3"/>
        </w:rPr>
        <w:t xml:space="preserve">el componente hidrológico del medio abiótico, guarda </w:t>
      </w:r>
      <w:r w:rsidR="008F005E" w:rsidRPr="004068F6">
        <w:rPr>
          <w:spacing w:val="-3"/>
        </w:rPr>
        <w:t xml:space="preserve">una </w:t>
      </w:r>
      <w:r w:rsidR="00946762" w:rsidRPr="004068F6">
        <w:rPr>
          <w:spacing w:val="-3"/>
        </w:rPr>
        <w:t xml:space="preserve">fuerte </w:t>
      </w:r>
      <w:r w:rsidR="003A03B6" w:rsidRPr="004068F6">
        <w:rPr>
          <w:spacing w:val="-3"/>
        </w:rPr>
        <w:t xml:space="preserve">relación con las comunidades hidrobiológicas </w:t>
      </w:r>
      <w:r w:rsidR="00C15E48" w:rsidRPr="004068F6">
        <w:rPr>
          <w:spacing w:val="-3"/>
        </w:rPr>
        <w:t>(</w:t>
      </w:r>
      <w:r w:rsidR="001B228B" w:rsidRPr="004068F6">
        <w:rPr>
          <w:spacing w:val="-3"/>
        </w:rPr>
        <w:t>el</w:t>
      </w:r>
      <w:r w:rsidR="004F70C4" w:rsidRPr="004068F6">
        <w:rPr>
          <w:spacing w:val="-3"/>
        </w:rPr>
        <w:t>e</w:t>
      </w:r>
      <w:r w:rsidR="001B228B" w:rsidRPr="004068F6">
        <w:rPr>
          <w:spacing w:val="-3"/>
        </w:rPr>
        <w:t xml:space="preserve">mento del </w:t>
      </w:r>
      <w:r w:rsidR="00C15E48" w:rsidRPr="004068F6">
        <w:rPr>
          <w:spacing w:val="-3"/>
        </w:rPr>
        <w:t>medio biótico)</w:t>
      </w:r>
      <w:r w:rsidR="003A03B6" w:rsidRPr="004068F6">
        <w:rPr>
          <w:spacing w:val="-3"/>
        </w:rPr>
        <w:t xml:space="preserve">, la caracterización </w:t>
      </w:r>
      <w:r w:rsidR="003F7E2F" w:rsidRPr="004068F6">
        <w:rPr>
          <w:spacing w:val="-3"/>
        </w:rPr>
        <w:t xml:space="preserve">del medio abiótico </w:t>
      </w:r>
      <w:r w:rsidR="003A03B6" w:rsidRPr="004068F6">
        <w:rPr>
          <w:spacing w:val="-3"/>
        </w:rPr>
        <w:t xml:space="preserve">debe </w:t>
      </w:r>
      <w:r w:rsidR="00352B9D" w:rsidRPr="004068F6">
        <w:rPr>
          <w:spacing w:val="-3"/>
        </w:rPr>
        <w:t xml:space="preserve">contener </w:t>
      </w:r>
      <w:r w:rsidR="003A03B6" w:rsidRPr="004068F6">
        <w:rPr>
          <w:spacing w:val="-3"/>
        </w:rPr>
        <w:t xml:space="preserve">información complementaria </w:t>
      </w:r>
      <w:r w:rsidR="003F7E2F" w:rsidRPr="004068F6">
        <w:rPr>
          <w:spacing w:val="-3"/>
        </w:rPr>
        <w:t>sobre calidad del agua</w:t>
      </w:r>
      <w:r w:rsidR="009F3288" w:rsidRPr="004068F6">
        <w:rPr>
          <w:spacing w:val="-3"/>
        </w:rPr>
        <w:t xml:space="preserve"> </w:t>
      </w:r>
      <w:r w:rsidR="0066331D" w:rsidRPr="004068F6">
        <w:rPr>
          <w:spacing w:val="-3"/>
        </w:rPr>
        <w:t>así el proyecto no la altere</w:t>
      </w:r>
      <w:r w:rsidR="004B162F" w:rsidRPr="004068F6">
        <w:rPr>
          <w:spacing w:val="-3"/>
        </w:rPr>
        <w:t>,</w:t>
      </w:r>
      <w:r w:rsidR="0066331D" w:rsidRPr="004068F6">
        <w:rPr>
          <w:spacing w:val="-3"/>
        </w:rPr>
        <w:t xml:space="preserve"> </w:t>
      </w:r>
      <w:r w:rsidR="00816E2B" w:rsidRPr="004068F6">
        <w:rPr>
          <w:spacing w:val="-3"/>
        </w:rPr>
        <w:t xml:space="preserve">con el fin de brindar </w:t>
      </w:r>
      <w:r w:rsidR="009056F0" w:rsidRPr="004068F6">
        <w:rPr>
          <w:spacing w:val="-3"/>
        </w:rPr>
        <w:t>un conocimiento integral del estado de</w:t>
      </w:r>
      <w:r w:rsidR="009F3288" w:rsidRPr="004068F6">
        <w:rPr>
          <w:spacing w:val="-3"/>
        </w:rPr>
        <w:t xml:space="preserve"> las comunidades hidrobiológicas</w:t>
      </w:r>
      <w:r w:rsidR="00E01C05" w:rsidRPr="004068F6">
        <w:rPr>
          <w:spacing w:val="-3"/>
        </w:rPr>
        <w:t xml:space="preserve"> (elemento que sí impacta)</w:t>
      </w:r>
      <w:r w:rsidR="002B2E29" w:rsidRPr="004068F6">
        <w:rPr>
          <w:spacing w:val="-3"/>
        </w:rPr>
        <w:t xml:space="preserve">. La </w:t>
      </w:r>
      <w:r w:rsidR="00352B9D" w:rsidRPr="004068F6">
        <w:rPr>
          <w:spacing w:val="-3"/>
        </w:rPr>
        <w:t xml:space="preserve">caracterización </w:t>
      </w:r>
      <w:r w:rsidR="00871B1D" w:rsidRPr="004068F6">
        <w:rPr>
          <w:spacing w:val="-3"/>
        </w:rPr>
        <w:t>abiótica</w:t>
      </w:r>
      <w:r w:rsidR="002B2E29" w:rsidRPr="004068F6">
        <w:rPr>
          <w:spacing w:val="-3"/>
        </w:rPr>
        <w:t xml:space="preserve"> </w:t>
      </w:r>
      <w:r w:rsidR="00B146DC" w:rsidRPr="004068F6">
        <w:rPr>
          <w:spacing w:val="-3"/>
        </w:rPr>
        <w:t xml:space="preserve">sobre calidad del agua </w:t>
      </w:r>
      <w:r w:rsidR="00234F8B" w:rsidRPr="004068F6">
        <w:rPr>
          <w:spacing w:val="-3"/>
        </w:rPr>
        <w:t>en este caso</w:t>
      </w:r>
      <w:r w:rsidR="002B2E29" w:rsidRPr="004068F6">
        <w:rPr>
          <w:spacing w:val="-3"/>
        </w:rPr>
        <w:t xml:space="preserve"> </w:t>
      </w:r>
      <w:r w:rsidR="00352B9D" w:rsidRPr="004068F6">
        <w:rPr>
          <w:spacing w:val="-3"/>
        </w:rPr>
        <w:t xml:space="preserve">debe corresponder espacialmente al área de influencia </w:t>
      </w:r>
      <w:r w:rsidR="000C78D4" w:rsidRPr="004068F6">
        <w:rPr>
          <w:spacing w:val="-3"/>
        </w:rPr>
        <w:t xml:space="preserve">en la cual se caracterizan </w:t>
      </w:r>
      <w:r w:rsidR="00352B9D" w:rsidRPr="004068F6">
        <w:rPr>
          <w:spacing w:val="-3"/>
        </w:rPr>
        <w:t>las comunidades hidrobiológicas</w:t>
      </w:r>
      <w:r w:rsidR="00177527" w:rsidRPr="00127BD4">
        <w:rPr>
          <w:rStyle w:val="Refdenotaalpie"/>
          <w:spacing w:val="-3"/>
          <w:lang w:val="es-CO"/>
        </w:rPr>
        <w:footnoteReference w:id="128"/>
      </w:r>
      <w:r w:rsidR="000C78D4" w:rsidRPr="004068F6">
        <w:rPr>
          <w:spacing w:val="-3"/>
        </w:rPr>
        <w:t>.</w:t>
      </w:r>
    </w:p>
    <w:p w14:paraId="55627ADF" w14:textId="77777777" w:rsidR="00DE68A5" w:rsidRPr="004068F6" w:rsidRDefault="00DE68A5" w:rsidP="001162D4">
      <w:pPr>
        <w:numPr>
          <w:ilvl w:val="12"/>
          <w:numId w:val="0"/>
        </w:numPr>
        <w:tabs>
          <w:tab w:val="left" w:pos="-2268"/>
        </w:tabs>
        <w:suppressAutoHyphens/>
        <w:rPr>
          <w:spacing w:val="-3"/>
        </w:rPr>
      </w:pPr>
    </w:p>
    <w:p w14:paraId="7D5FF42F" w14:textId="381683B8" w:rsidR="003C1B55" w:rsidRPr="004068F6" w:rsidRDefault="00F23313" w:rsidP="001162D4">
      <w:pPr>
        <w:numPr>
          <w:ilvl w:val="12"/>
          <w:numId w:val="0"/>
        </w:numPr>
        <w:tabs>
          <w:tab w:val="left" w:pos="-2268"/>
        </w:tabs>
        <w:suppressAutoHyphens/>
        <w:rPr>
          <w:spacing w:val="-3"/>
        </w:rPr>
      </w:pPr>
      <w:r w:rsidRPr="004068F6">
        <w:rPr>
          <w:spacing w:val="-3"/>
        </w:rPr>
        <w:t xml:space="preserve">En este sentido, las orientaciones sobre caracterización ambiental que se señalan en los siguientes numerales </w:t>
      </w:r>
      <w:r w:rsidR="00C21BBD" w:rsidRPr="004068F6">
        <w:rPr>
          <w:spacing w:val="-3"/>
        </w:rPr>
        <w:t xml:space="preserve">no </w:t>
      </w:r>
      <w:r w:rsidR="00E70D5E" w:rsidRPr="004068F6">
        <w:rPr>
          <w:spacing w:val="-3"/>
        </w:rPr>
        <w:t xml:space="preserve">se refieren </w:t>
      </w:r>
      <w:r w:rsidR="00AB4563" w:rsidRPr="004068F6">
        <w:rPr>
          <w:spacing w:val="-3"/>
        </w:rPr>
        <w:t xml:space="preserve">específicamente </w:t>
      </w:r>
      <w:r w:rsidR="00800567" w:rsidRPr="004068F6">
        <w:rPr>
          <w:spacing w:val="-3"/>
        </w:rPr>
        <w:t>al</w:t>
      </w:r>
      <w:r w:rsidR="00C21BBD" w:rsidRPr="004068F6">
        <w:rPr>
          <w:spacing w:val="-3"/>
        </w:rPr>
        <w:t xml:space="preserve"> </w:t>
      </w:r>
      <w:r w:rsidR="00F71E23" w:rsidRPr="004068F6">
        <w:rPr>
          <w:spacing w:val="-3"/>
        </w:rPr>
        <w:t xml:space="preserve">área de influencia </w:t>
      </w:r>
      <w:r w:rsidR="00800567" w:rsidRPr="004068F6">
        <w:rPr>
          <w:spacing w:val="-3"/>
        </w:rPr>
        <w:t>de alguno de los niveles jerárquicos en los que se organiza el ambiente</w:t>
      </w:r>
      <w:r w:rsidR="00BF51AC" w:rsidRPr="004068F6">
        <w:rPr>
          <w:spacing w:val="-3"/>
        </w:rPr>
        <w:t xml:space="preserve"> (factores, componentes o medios)</w:t>
      </w:r>
      <w:r w:rsidR="00A7570B" w:rsidRPr="004068F6">
        <w:rPr>
          <w:spacing w:val="-3"/>
        </w:rPr>
        <w:t>;</w:t>
      </w:r>
      <w:r w:rsidR="00C21BBD" w:rsidRPr="004068F6">
        <w:rPr>
          <w:spacing w:val="-3"/>
        </w:rPr>
        <w:t xml:space="preserve"> e</w:t>
      </w:r>
      <w:r w:rsidR="006D4132" w:rsidRPr="004068F6">
        <w:rPr>
          <w:spacing w:val="-3"/>
        </w:rPr>
        <w:t xml:space="preserve">s el elaborador del estudio </w:t>
      </w:r>
      <w:r w:rsidR="00CE6833" w:rsidRPr="004068F6">
        <w:rPr>
          <w:spacing w:val="-3"/>
        </w:rPr>
        <w:t xml:space="preserve">ambiental </w:t>
      </w:r>
      <w:r w:rsidR="006D4132" w:rsidRPr="004068F6">
        <w:rPr>
          <w:spacing w:val="-3"/>
        </w:rPr>
        <w:t xml:space="preserve">quien </w:t>
      </w:r>
      <w:r w:rsidR="00CE6833" w:rsidRPr="004068F6">
        <w:rPr>
          <w:spacing w:val="-3"/>
        </w:rPr>
        <w:t xml:space="preserve">define </w:t>
      </w:r>
      <w:r w:rsidR="00673E0A" w:rsidRPr="004068F6">
        <w:rPr>
          <w:spacing w:val="-3"/>
        </w:rPr>
        <w:t xml:space="preserve">si </w:t>
      </w:r>
      <w:r w:rsidR="00F53415" w:rsidRPr="004068F6">
        <w:rPr>
          <w:spacing w:val="-3"/>
        </w:rPr>
        <w:t xml:space="preserve">la caracterización de </w:t>
      </w:r>
      <w:r w:rsidR="00470A56" w:rsidRPr="004068F6">
        <w:rPr>
          <w:spacing w:val="-3"/>
        </w:rPr>
        <w:t xml:space="preserve">un </w:t>
      </w:r>
      <w:r w:rsidR="00673E0A" w:rsidRPr="004068F6">
        <w:rPr>
          <w:spacing w:val="-3"/>
        </w:rPr>
        <w:t>parámetro ambiental espec</w:t>
      </w:r>
      <w:r w:rsidR="00F7335D" w:rsidRPr="004068F6">
        <w:rPr>
          <w:spacing w:val="-3"/>
        </w:rPr>
        <w:t xml:space="preserve">ífico </w:t>
      </w:r>
      <w:r w:rsidR="00F53415" w:rsidRPr="004068F6">
        <w:rPr>
          <w:spacing w:val="-3"/>
        </w:rPr>
        <w:t xml:space="preserve">se </w:t>
      </w:r>
      <w:r w:rsidR="00DD4021" w:rsidRPr="004068F6">
        <w:rPr>
          <w:spacing w:val="-3"/>
        </w:rPr>
        <w:t xml:space="preserve">desarrolla en </w:t>
      </w:r>
      <w:r w:rsidR="00F7335D" w:rsidRPr="004068F6">
        <w:rPr>
          <w:spacing w:val="-3"/>
        </w:rPr>
        <w:t xml:space="preserve">el área de </w:t>
      </w:r>
      <w:r w:rsidR="00F7335D" w:rsidRPr="004068F6">
        <w:rPr>
          <w:spacing w:val="-3"/>
        </w:rPr>
        <w:lastRenderedPageBreak/>
        <w:t>influencia del factor ambiental</w:t>
      </w:r>
      <w:r w:rsidR="00A314CB" w:rsidRPr="004068F6">
        <w:rPr>
          <w:spacing w:val="-3"/>
        </w:rPr>
        <w:t xml:space="preserve">, </w:t>
      </w:r>
      <w:r w:rsidR="002369B5" w:rsidRPr="004068F6">
        <w:rPr>
          <w:spacing w:val="-3"/>
        </w:rPr>
        <w:t>d</w:t>
      </w:r>
      <w:r w:rsidR="00A314CB" w:rsidRPr="004068F6">
        <w:rPr>
          <w:spacing w:val="-3"/>
        </w:rPr>
        <w:t xml:space="preserve">el componente ambiental o </w:t>
      </w:r>
      <w:r w:rsidR="002369B5" w:rsidRPr="004068F6">
        <w:rPr>
          <w:spacing w:val="-3"/>
        </w:rPr>
        <w:t>d</w:t>
      </w:r>
      <w:r w:rsidR="00A314CB" w:rsidRPr="004068F6">
        <w:rPr>
          <w:spacing w:val="-3"/>
        </w:rPr>
        <w:t xml:space="preserve">el medio </w:t>
      </w:r>
      <w:r w:rsidR="00F7335D" w:rsidRPr="004068F6">
        <w:rPr>
          <w:spacing w:val="-3"/>
        </w:rPr>
        <w:t>al cual pertenece</w:t>
      </w:r>
      <w:r w:rsidR="00B80408" w:rsidRPr="004068F6">
        <w:rPr>
          <w:spacing w:val="-3"/>
        </w:rPr>
        <w:t xml:space="preserve">, o incluso, </w:t>
      </w:r>
      <w:r w:rsidR="00B15A06" w:rsidRPr="00127BD4">
        <w:rPr>
          <w:spacing w:val="-3"/>
        </w:rPr>
        <w:t xml:space="preserve">si </w:t>
      </w:r>
      <w:r w:rsidR="00FE59B6" w:rsidRPr="00127BD4">
        <w:rPr>
          <w:spacing w:val="-3"/>
        </w:rPr>
        <w:t xml:space="preserve">se </w:t>
      </w:r>
      <w:r w:rsidR="00B15A06" w:rsidRPr="00127BD4">
        <w:rPr>
          <w:spacing w:val="-3"/>
        </w:rPr>
        <w:t xml:space="preserve">refiere </w:t>
      </w:r>
      <w:r w:rsidR="00B80408" w:rsidRPr="004068F6">
        <w:rPr>
          <w:spacing w:val="-3"/>
        </w:rPr>
        <w:t xml:space="preserve">al área de influencia de los </w:t>
      </w:r>
      <w:r w:rsidR="00997C7F" w:rsidRPr="00127BD4">
        <w:rPr>
          <w:spacing w:val="-3"/>
        </w:rPr>
        <w:t xml:space="preserve">factores, </w:t>
      </w:r>
      <w:r w:rsidR="00B80408" w:rsidRPr="004068F6">
        <w:rPr>
          <w:spacing w:val="-3"/>
        </w:rPr>
        <w:t>componentes o medios con los cuales se relaciona.</w:t>
      </w:r>
    </w:p>
    <w:p w14:paraId="52B971A5" w14:textId="273D4144" w:rsidR="00437042" w:rsidRPr="004068F6" w:rsidRDefault="00437042" w:rsidP="009420F5">
      <w:pPr>
        <w:tabs>
          <w:tab w:val="left" w:pos="-2268"/>
        </w:tabs>
        <w:suppressAutoHyphens/>
        <w:rPr>
          <w:spacing w:val="-3"/>
        </w:rPr>
      </w:pPr>
    </w:p>
    <w:p w14:paraId="79ACB4D8" w14:textId="4EF6E709" w:rsidR="009A54ED" w:rsidRPr="004068F6" w:rsidRDefault="009E4318" w:rsidP="009420F5">
      <w:pPr>
        <w:tabs>
          <w:tab w:val="left" w:pos="-2268"/>
        </w:tabs>
        <w:suppressAutoHyphens/>
        <w:rPr>
          <w:spacing w:val="-3"/>
        </w:rPr>
      </w:pPr>
      <w:r w:rsidRPr="004068F6">
        <w:rPr>
          <w:spacing w:val="-3"/>
        </w:rPr>
        <w:t xml:space="preserve">Por </w:t>
      </w:r>
      <w:r w:rsidR="00E32EC9" w:rsidRPr="004068F6">
        <w:rPr>
          <w:spacing w:val="-3"/>
        </w:rPr>
        <w:t xml:space="preserve">otra parte, </w:t>
      </w:r>
      <w:r w:rsidR="0043561F" w:rsidRPr="004068F6">
        <w:rPr>
          <w:spacing w:val="-3"/>
        </w:rPr>
        <w:t xml:space="preserve">en la caracterización </w:t>
      </w:r>
      <w:r w:rsidR="00E32EC9" w:rsidRPr="004068F6">
        <w:rPr>
          <w:spacing w:val="-3"/>
        </w:rPr>
        <w:t>s</w:t>
      </w:r>
      <w:r w:rsidR="00811AC1" w:rsidRPr="004068F6">
        <w:rPr>
          <w:spacing w:val="-3"/>
        </w:rPr>
        <w:t xml:space="preserve">e deben incorporar los insumos, saberes, sugerencias, recomendaciones o alertas </w:t>
      </w:r>
      <w:r w:rsidR="00811AC1" w:rsidRPr="00127BD4">
        <w:rPr>
          <w:i/>
          <w:iCs/>
          <w:spacing w:val="-3"/>
        </w:rPr>
        <w:t>pertinentes</w:t>
      </w:r>
      <w:r w:rsidR="00811AC1" w:rsidRPr="004068F6">
        <w:rPr>
          <w:spacing w:val="-3"/>
        </w:rPr>
        <w:t xml:space="preserve"> que resulten de los procesos de información y participación con los grupos de interés del área de influencia. </w:t>
      </w:r>
      <w:r w:rsidR="009A54ED" w:rsidRPr="004068F6">
        <w:rPr>
          <w:rFonts w:cs="Arial"/>
          <w:spacing w:val="-3"/>
        </w:rPr>
        <w:t>La pertinencia de los aportes debe evaluarse</w:t>
      </w:r>
      <w:r w:rsidR="00ED0C57" w:rsidRPr="004068F6">
        <w:rPr>
          <w:rFonts w:cs="Arial"/>
          <w:spacing w:val="-3"/>
        </w:rPr>
        <w:t xml:space="preserve"> y documentarse</w:t>
      </w:r>
      <w:r w:rsidR="009A54ED" w:rsidRPr="004068F6">
        <w:rPr>
          <w:rFonts w:cs="Arial"/>
          <w:spacing w:val="-3"/>
        </w:rPr>
        <w:t xml:space="preserve"> a partir de su complementariedad respecto de los datos técnicos y científicos obtenidos mediante fuentes secundarias o primarias; de su congruencia con el estado y tendencia de elementos del ambiente con los cuales tenga una relación estrecha</w:t>
      </w:r>
      <w:r w:rsidR="009A54ED" w:rsidRPr="00127BD4">
        <w:rPr>
          <w:rStyle w:val="Refdenotaalpie"/>
          <w:rFonts w:cs="Arial"/>
          <w:spacing w:val="-3"/>
          <w:lang w:val="es-CO"/>
        </w:rPr>
        <w:footnoteReference w:id="129"/>
      </w:r>
      <w:r w:rsidR="009A54ED" w:rsidRPr="004068F6">
        <w:rPr>
          <w:rFonts w:cs="Arial"/>
          <w:spacing w:val="-3"/>
        </w:rPr>
        <w:t xml:space="preserve"> y; de su capacidad para revelar elementos del ambiente sobre los cuales la ejecución del proyecto puede exacerbar o generar impactos no considerados previamente. Esta evaluación e incorporación de los aportes contribuye constructivamente a la elaboración del estudio.</w:t>
      </w:r>
    </w:p>
    <w:p w14:paraId="29B91D49" w14:textId="77777777" w:rsidR="009A54ED" w:rsidRPr="004068F6" w:rsidRDefault="009A54ED" w:rsidP="009420F5">
      <w:pPr>
        <w:tabs>
          <w:tab w:val="left" w:pos="-2268"/>
        </w:tabs>
        <w:suppressAutoHyphens/>
        <w:rPr>
          <w:spacing w:val="-3"/>
        </w:rPr>
      </w:pPr>
    </w:p>
    <w:p w14:paraId="4110D759" w14:textId="710A2167" w:rsidR="00811AC1" w:rsidRPr="004068F6" w:rsidRDefault="00811AC1" w:rsidP="009420F5">
      <w:pPr>
        <w:tabs>
          <w:tab w:val="left" w:pos="-2268"/>
        </w:tabs>
        <w:suppressAutoHyphens/>
        <w:rPr>
          <w:spacing w:val="-3"/>
        </w:rPr>
      </w:pPr>
      <w:r w:rsidRPr="004068F6">
        <w:rPr>
          <w:spacing w:val="-3"/>
        </w:rPr>
        <w:t>Dichos aportes deben ser incorporados de manera expresa en el documento, de tal forma que se evidencie su incidencia en el resultado de este numeral y, en caso de estimarlos como no pertinentes, se deben indicar y sustentar las razones por las cuales no se incluyen en la caracterización.</w:t>
      </w:r>
      <w:r w:rsidR="00B30AEF" w:rsidRPr="004068F6">
        <w:rPr>
          <w:spacing w:val="-3"/>
        </w:rPr>
        <w:t xml:space="preserve"> </w:t>
      </w:r>
      <w:r w:rsidR="00B30AEF" w:rsidRPr="004068F6">
        <w:rPr>
          <w:rFonts w:cs="Arial"/>
          <w:spacing w:val="-3"/>
        </w:rPr>
        <w:t>En caso de que los grupos de interés no brinden insumos, saberes, sugerencias, recomendaciones o alertas, esta situación debe consignarse y documentarse en el estudio ambiental.</w:t>
      </w:r>
    </w:p>
    <w:p w14:paraId="75EEE93F" w14:textId="77777777" w:rsidR="00811AC1" w:rsidRPr="004068F6" w:rsidRDefault="00811AC1" w:rsidP="009420F5">
      <w:pPr>
        <w:tabs>
          <w:tab w:val="left" w:pos="-2268"/>
        </w:tabs>
        <w:suppressAutoHyphens/>
        <w:rPr>
          <w:spacing w:val="-3"/>
        </w:rPr>
      </w:pPr>
    </w:p>
    <w:p w14:paraId="66B45589" w14:textId="2CB06428" w:rsidR="00E52053" w:rsidRPr="004068F6" w:rsidRDefault="00340C53" w:rsidP="00E52053">
      <w:pPr>
        <w:numPr>
          <w:ilvl w:val="12"/>
          <w:numId w:val="0"/>
        </w:numPr>
        <w:tabs>
          <w:tab w:val="left" w:pos="-2268"/>
        </w:tabs>
        <w:suppressAutoHyphens/>
        <w:rPr>
          <w:spacing w:val="-3"/>
        </w:rPr>
      </w:pPr>
      <w:r w:rsidRPr="004068F6">
        <w:rPr>
          <w:spacing w:val="-3"/>
        </w:rPr>
        <w:t xml:space="preserve">En cualquier caso, la caracterización por parámetros ambientales debe permitir un conocimiento integral del área de influencia de acuerdo con lo señalado en el literal </w:t>
      </w:r>
      <w:r w:rsidR="004C0827">
        <w:rPr>
          <w:spacing w:val="-3"/>
        </w:rPr>
        <w:t>f</w:t>
      </w:r>
      <w:r w:rsidRPr="004068F6">
        <w:rPr>
          <w:spacing w:val="-3"/>
        </w:rPr>
        <w:t xml:space="preserve">) del numeral 1 del capítulo I de esta metodología, </w:t>
      </w:r>
      <w:r w:rsidR="00BD12D2" w:rsidRPr="004068F6">
        <w:rPr>
          <w:spacing w:val="-3"/>
        </w:rPr>
        <w:t xml:space="preserve">a fin </w:t>
      </w:r>
      <w:r w:rsidR="00E52053" w:rsidRPr="004068F6">
        <w:rPr>
          <w:spacing w:val="-3"/>
        </w:rPr>
        <w:t>de reducir</w:t>
      </w:r>
      <w:r w:rsidRPr="004068F6">
        <w:rPr>
          <w:spacing w:val="-3"/>
        </w:rPr>
        <w:t xml:space="preserve"> la incertidumbre sobre las </w:t>
      </w:r>
      <w:r w:rsidR="003F1884" w:rsidRPr="004068F6">
        <w:rPr>
          <w:spacing w:val="-3"/>
        </w:rPr>
        <w:t xml:space="preserve">características </w:t>
      </w:r>
      <w:r w:rsidRPr="004068F6">
        <w:rPr>
          <w:spacing w:val="-3"/>
        </w:rPr>
        <w:t xml:space="preserve">ambientales de dicha área y </w:t>
      </w:r>
      <w:r w:rsidR="00BD12D2" w:rsidRPr="004068F6">
        <w:rPr>
          <w:spacing w:val="-3"/>
        </w:rPr>
        <w:t xml:space="preserve">de </w:t>
      </w:r>
      <w:r w:rsidRPr="004068F6">
        <w:rPr>
          <w:spacing w:val="-3"/>
        </w:rPr>
        <w:t xml:space="preserve">los impactos ambientales que </w:t>
      </w:r>
      <w:r w:rsidR="003F1884" w:rsidRPr="004068F6">
        <w:rPr>
          <w:spacing w:val="-3"/>
        </w:rPr>
        <w:t xml:space="preserve">se puedan generar </w:t>
      </w:r>
      <w:r w:rsidRPr="004068F6">
        <w:rPr>
          <w:spacing w:val="-3"/>
        </w:rPr>
        <w:t>con la ejecución del proyecto, obra o actividad</w:t>
      </w:r>
      <w:r w:rsidR="00BD12D2" w:rsidRPr="004068F6">
        <w:rPr>
          <w:spacing w:val="-3"/>
        </w:rPr>
        <w:t xml:space="preserve"> y reducir, de esta forma,</w:t>
      </w:r>
      <w:r w:rsidR="003F1884" w:rsidRPr="004068F6">
        <w:rPr>
          <w:spacing w:val="-3"/>
        </w:rPr>
        <w:t xml:space="preserve"> </w:t>
      </w:r>
      <w:r w:rsidR="00E52053" w:rsidRPr="004068F6">
        <w:rPr>
          <w:spacing w:val="-3"/>
        </w:rPr>
        <w:t>la posibilidad de que ante la ocurrencia de impactos no previstos, el titular de la licencia (</w:t>
      </w:r>
      <w:r w:rsidR="003F1884" w:rsidRPr="004068F6">
        <w:rPr>
          <w:spacing w:val="-3"/>
        </w:rPr>
        <w:t xml:space="preserve">en caso de </w:t>
      </w:r>
      <w:r w:rsidR="00E52053" w:rsidRPr="004068F6">
        <w:rPr>
          <w:spacing w:val="-3"/>
        </w:rPr>
        <w:t xml:space="preserve">que ésta </w:t>
      </w:r>
      <w:r w:rsidR="003F1884" w:rsidRPr="004068F6">
        <w:rPr>
          <w:spacing w:val="-3"/>
        </w:rPr>
        <w:t xml:space="preserve">sea </w:t>
      </w:r>
      <w:r w:rsidR="00E52053" w:rsidRPr="004068F6">
        <w:rPr>
          <w:spacing w:val="-3"/>
        </w:rPr>
        <w:t>otorgada) deba demostrar que tales impactos no están asociados a la ejecución de las actividades del proyecto, obra o actividad</w:t>
      </w:r>
      <w:r w:rsidR="003F1884" w:rsidRPr="004068F6">
        <w:rPr>
          <w:spacing w:val="-3"/>
        </w:rPr>
        <w:t xml:space="preserve">, </w:t>
      </w:r>
      <w:r w:rsidR="003F1884" w:rsidRPr="004068F6">
        <w:rPr>
          <w:rFonts w:cs="Arial"/>
          <w:shd w:val="clear" w:color="auto" w:fill="FFFFFF"/>
        </w:rPr>
        <w:t>o deba generar y presentar información adicional para evidenciar la adecuada gestión de dichos impactos</w:t>
      </w:r>
      <w:r w:rsidR="00E52053" w:rsidRPr="004068F6">
        <w:rPr>
          <w:spacing w:val="-3"/>
        </w:rPr>
        <w:t>.</w:t>
      </w:r>
    </w:p>
    <w:p w14:paraId="0C7E782F" w14:textId="77777777" w:rsidR="00340C53" w:rsidRPr="004068F6" w:rsidRDefault="00340C53" w:rsidP="009420F5">
      <w:pPr>
        <w:tabs>
          <w:tab w:val="left" w:pos="-2268"/>
        </w:tabs>
        <w:suppressAutoHyphens/>
        <w:rPr>
          <w:spacing w:val="-3"/>
        </w:rPr>
      </w:pPr>
    </w:p>
    <w:p w14:paraId="1CC35AAD" w14:textId="251D3AD0" w:rsidR="001F5788" w:rsidRPr="004068F6" w:rsidRDefault="00437042">
      <w:pPr>
        <w:numPr>
          <w:ilvl w:val="12"/>
          <w:numId w:val="0"/>
        </w:numPr>
        <w:tabs>
          <w:tab w:val="left" w:pos="-2268"/>
        </w:tabs>
        <w:suppressAutoHyphens/>
        <w:rPr>
          <w:spacing w:val="-3"/>
        </w:rPr>
      </w:pPr>
      <w:r w:rsidRPr="004068F6">
        <w:rPr>
          <w:spacing w:val="-3"/>
        </w:rPr>
        <w:t>Es importante que</w:t>
      </w:r>
      <w:r w:rsidRPr="004068F6">
        <w:rPr>
          <w:rFonts w:cs="Arial"/>
          <w:spacing w:val="-3"/>
        </w:rPr>
        <w:t>,</w:t>
      </w:r>
      <w:r w:rsidRPr="004068F6">
        <w:rPr>
          <w:spacing w:val="-3"/>
        </w:rPr>
        <w:t xml:space="preserve"> al adaptar los </w:t>
      </w:r>
      <w:r w:rsidR="00D64EC2" w:rsidRPr="004068F6">
        <w:rPr>
          <w:spacing w:val="-3"/>
        </w:rPr>
        <w:t xml:space="preserve">lineamientos </w:t>
      </w:r>
      <w:r w:rsidRPr="004068F6">
        <w:rPr>
          <w:spacing w:val="-3"/>
        </w:rPr>
        <w:t xml:space="preserve">de la metodología y los </w:t>
      </w:r>
      <w:r w:rsidR="00D64EC2" w:rsidRPr="004068F6">
        <w:rPr>
          <w:spacing w:val="-3"/>
        </w:rPr>
        <w:t xml:space="preserve">requerimientos de información de los </w:t>
      </w:r>
      <w:r w:rsidRPr="004068F6">
        <w:rPr>
          <w:spacing w:val="-3"/>
        </w:rPr>
        <w:t xml:space="preserve">términos de referencia a las condiciones particulares de cada proyecto, </w:t>
      </w:r>
      <w:r w:rsidR="007E5D29" w:rsidRPr="004068F6">
        <w:rPr>
          <w:spacing w:val="-3"/>
        </w:rPr>
        <w:t xml:space="preserve">obra o actividad, </w:t>
      </w:r>
      <w:r w:rsidRPr="004068F6">
        <w:rPr>
          <w:spacing w:val="-3"/>
        </w:rPr>
        <w:t xml:space="preserve">se incorporen parámetros e indicadores que brinden información </w:t>
      </w:r>
      <w:r w:rsidRPr="004068F6">
        <w:rPr>
          <w:rFonts w:cs="Arial"/>
          <w:spacing w:val="-3"/>
        </w:rPr>
        <w:t>relevante</w:t>
      </w:r>
      <w:r w:rsidRPr="004068F6">
        <w:rPr>
          <w:spacing w:val="-3"/>
        </w:rPr>
        <w:t xml:space="preserve"> sobre las características ambientales que permitan monitorear los cambios que ocasione </w:t>
      </w:r>
      <w:r w:rsidR="007E5D29" w:rsidRPr="004068F6">
        <w:rPr>
          <w:spacing w:val="-3"/>
        </w:rPr>
        <w:t xml:space="preserve">su posible </w:t>
      </w:r>
      <w:r w:rsidRPr="004068F6">
        <w:rPr>
          <w:spacing w:val="-3"/>
        </w:rPr>
        <w:t xml:space="preserve">ejecución sobre los </w:t>
      </w:r>
      <w:r w:rsidRPr="004068F6">
        <w:rPr>
          <w:rFonts w:cs="Arial"/>
          <w:spacing w:val="-3"/>
        </w:rPr>
        <w:t xml:space="preserve">diversos </w:t>
      </w:r>
      <w:r w:rsidR="00D172D5" w:rsidRPr="004068F6">
        <w:rPr>
          <w:rFonts w:cs="Arial"/>
          <w:spacing w:val="-3"/>
        </w:rPr>
        <w:t>factores</w:t>
      </w:r>
      <w:r w:rsidR="00D172D5" w:rsidRPr="004068F6">
        <w:rPr>
          <w:spacing w:val="-3"/>
        </w:rPr>
        <w:t xml:space="preserve"> </w:t>
      </w:r>
      <w:r w:rsidRPr="004068F6">
        <w:rPr>
          <w:spacing w:val="-3"/>
        </w:rPr>
        <w:t xml:space="preserve">ambientales. </w:t>
      </w:r>
      <w:r w:rsidR="001F5788" w:rsidRPr="004068F6">
        <w:rPr>
          <w:spacing w:val="-3"/>
        </w:rPr>
        <w:t xml:space="preserve">Cuando se identifique que cierto lineamiento </w:t>
      </w:r>
      <w:r w:rsidR="00D64EC2" w:rsidRPr="004068F6">
        <w:rPr>
          <w:spacing w:val="-3"/>
        </w:rPr>
        <w:t xml:space="preserve">metodológico o </w:t>
      </w:r>
      <w:r w:rsidR="00D64EC2" w:rsidRPr="004068F6">
        <w:rPr>
          <w:spacing w:val="-3"/>
        </w:rPr>
        <w:lastRenderedPageBreak/>
        <w:t xml:space="preserve">requerimiento de información </w:t>
      </w:r>
      <w:r w:rsidR="001F5788" w:rsidRPr="004068F6">
        <w:rPr>
          <w:spacing w:val="-3"/>
        </w:rPr>
        <w:t>no es aplicable al proyecto, obra o actividad, se debe justificar técnicamente las razones por las cuales no se desarrolla.</w:t>
      </w:r>
    </w:p>
    <w:p w14:paraId="2B2E87E9" w14:textId="77777777" w:rsidR="00BA762C" w:rsidRPr="004068F6" w:rsidRDefault="00BA762C">
      <w:pPr>
        <w:numPr>
          <w:ilvl w:val="12"/>
          <w:numId w:val="0"/>
        </w:numPr>
        <w:tabs>
          <w:tab w:val="left" w:pos="-2268"/>
        </w:tabs>
        <w:suppressAutoHyphens/>
        <w:rPr>
          <w:spacing w:val="-3"/>
        </w:rPr>
      </w:pPr>
    </w:p>
    <w:p w14:paraId="6132B6E4" w14:textId="2136A02C" w:rsidR="00FE472C" w:rsidRPr="004068F6" w:rsidRDefault="00FE472C" w:rsidP="00FE472C">
      <w:pPr>
        <w:numPr>
          <w:ilvl w:val="12"/>
          <w:numId w:val="0"/>
        </w:numPr>
        <w:tabs>
          <w:tab w:val="left" w:pos="-2268"/>
        </w:tabs>
        <w:suppressAutoHyphens/>
        <w:rPr>
          <w:spacing w:val="-3"/>
        </w:rPr>
      </w:pPr>
      <w:r w:rsidRPr="004068F6">
        <w:rPr>
          <w:spacing w:val="-3"/>
        </w:rPr>
        <w:t>Asimismo, cuando el desarrollo de un procedimiento en particular dependa de información secundaria de competencia exclusiva de las autoridades ambientales (p. ej. mapas de zonificación de áreas protegidas o de ecosistemas estratégicos) y dicha información no sea recibida a pesar de haberla solicitado con antelación o no tenga la calidad necesaria, su escala sea menos detallada que la escala de trabajo, no exista o no esté disponible, es necesario que en el estudio ambiental se mencione y documente esta situación.</w:t>
      </w:r>
    </w:p>
    <w:p w14:paraId="4E98C1FB" w14:textId="77777777" w:rsidR="00FE472C" w:rsidRPr="004068F6" w:rsidRDefault="00FE472C">
      <w:pPr>
        <w:numPr>
          <w:ilvl w:val="12"/>
          <w:numId w:val="0"/>
        </w:numPr>
        <w:tabs>
          <w:tab w:val="left" w:pos="-2268"/>
        </w:tabs>
        <w:suppressAutoHyphens/>
        <w:rPr>
          <w:spacing w:val="-3"/>
        </w:rPr>
      </w:pPr>
    </w:p>
    <w:p w14:paraId="2F49A461" w14:textId="5030EBAD" w:rsidR="00437042" w:rsidRPr="004068F6" w:rsidRDefault="00437042" w:rsidP="0016F5AC">
      <w:pPr>
        <w:suppressAutoHyphens/>
      </w:pPr>
      <w:r w:rsidRPr="004068F6">
        <w:rPr>
          <w:spacing w:val="-3"/>
        </w:rPr>
        <w:t>En caso de existir</w:t>
      </w:r>
      <w:r w:rsidR="00DD493C" w:rsidRPr="004068F6">
        <w:rPr>
          <w:spacing w:val="-3"/>
        </w:rPr>
        <w:t xml:space="preserve"> y de ser aplicable en términos temáticos y de escala</w:t>
      </w:r>
      <w:r w:rsidRPr="004068F6">
        <w:rPr>
          <w:spacing w:val="-3"/>
        </w:rPr>
        <w:t xml:space="preserve">, se debe </w:t>
      </w:r>
      <w:r w:rsidR="001F5788" w:rsidRPr="004068F6">
        <w:rPr>
          <w:spacing w:val="-3"/>
        </w:rPr>
        <w:t xml:space="preserve">emplear </w:t>
      </w:r>
      <w:r w:rsidR="00BD12D2" w:rsidRPr="004068F6">
        <w:t xml:space="preserve">la información y </w:t>
      </w:r>
      <w:r w:rsidRPr="004068F6">
        <w:rPr>
          <w:spacing w:val="-3"/>
        </w:rPr>
        <w:t xml:space="preserve">los indicadores ambientales </w:t>
      </w:r>
      <w:r w:rsidR="00BD12D2" w:rsidRPr="004068F6">
        <w:t>desarrollados por</w:t>
      </w:r>
      <w:r w:rsidRPr="004068F6">
        <w:rPr>
          <w:spacing w:val="-3"/>
        </w:rPr>
        <w:t xml:space="preserve"> los institutos de investigación del SINA (</w:t>
      </w:r>
      <w:r w:rsidR="00A92356" w:rsidRPr="004068F6">
        <w:t>Ideam</w:t>
      </w:r>
      <w:r w:rsidRPr="004068F6">
        <w:rPr>
          <w:spacing w:val="-3"/>
        </w:rPr>
        <w:t xml:space="preserve">, </w:t>
      </w:r>
      <w:r w:rsidR="00A92356" w:rsidRPr="004068F6">
        <w:t>Invemar</w:t>
      </w:r>
      <w:r w:rsidRPr="004068F6">
        <w:rPr>
          <w:spacing w:val="-3"/>
        </w:rPr>
        <w:t xml:space="preserve">, </w:t>
      </w:r>
      <w:r w:rsidR="00831CC8" w:rsidRPr="004068F6">
        <w:rPr>
          <w:spacing w:val="-3"/>
        </w:rPr>
        <w:t>Instituto Humboldt</w:t>
      </w:r>
      <w:r w:rsidRPr="004068F6">
        <w:rPr>
          <w:spacing w:val="-3"/>
        </w:rPr>
        <w:t xml:space="preserve">, IIAP y Sinchi), PNN y </w:t>
      </w:r>
      <w:r w:rsidR="00DD493C" w:rsidRPr="004068F6">
        <w:rPr>
          <w:spacing w:val="-3"/>
        </w:rPr>
        <w:t xml:space="preserve">las autoridades ambientales en el marco de la caracterización de </w:t>
      </w:r>
      <w:r w:rsidRPr="004068F6">
        <w:rPr>
          <w:spacing w:val="-3"/>
        </w:rPr>
        <w:t xml:space="preserve">la línea base de los </w:t>
      </w:r>
      <w:r w:rsidR="003C70CD" w:rsidRPr="004068F6">
        <w:t>Pomca</w:t>
      </w:r>
      <w:r w:rsidRPr="004068F6">
        <w:rPr>
          <w:spacing w:val="-3"/>
        </w:rPr>
        <w:t xml:space="preserve"> </w:t>
      </w:r>
      <w:r w:rsidRPr="004068F6">
        <w:rPr>
          <w:rFonts w:cs="Arial"/>
          <w:spacing w:val="-3"/>
        </w:rPr>
        <w:t xml:space="preserve">y los </w:t>
      </w:r>
      <w:r w:rsidR="000A43B6" w:rsidRPr="004068F6">
        <w:rPr>
          <w:rFonts w:cs="Arial"/>
          <w:spacing w:val="-3"/>
        </w:rPr>
        <w:t>Pomiuac</w:t>
      </w:r>
      <w:r w:rsidRPr="004068F6">
        <w:rPr>
          <w:spacing w:val="-3"/>
        </w:rPr>
        <w:t>.</w:t>
      </w:r>
    </w:p>
    <w:p w14:paraId="75FE71DA" w14:textId="2410A601" w:rsidR="00577E3F" w:rsidRPr="004068F6" w:rsidRDefault="00577E3F">
      <w:pPr>
        <w:numPr>
          <w:ilvl w:val="12"/>
          <w:numId w:val="0"/>
        </w:numPr>
        <w:tabs>
          <w:tab w:val="left" w:pos="-2268"/>
        </w:tabs>
        <w:suppressAutoHyphens/>
        <w:rPr>
          <w:spacing w:val="-3"/>
        </w:rPr>
      </w:pPr>
    </w:p>
    <w:p w14:paraId="4E9C9E88" w14:textId="0E45AD05" w:rsidR="00BA762C" w:rsidRPr="004068F6" w:rsidRDefault="00BA762C" w:rsidP="00BA762C">
      <w:pPr>
        <w:numPr>
          <w:ilvl w:val="12"/>
          <w:numId w:val="0"/>
        </w:numPr>
        <w:tabs>
          <w:tab w:val="left" w:pos="-2268"/>
        </w:tabs>
        <w:suppressAutoHyphens/>
        <w:rPr>
          <w:rFonts w:cs="Arial"/>
          <w:spacing w:val="-3"/>
        </w:rPr>
      </w:pPr>
      <w:r w:rsidRPr="004068F6">
        <w:rPr>
          <w:rFonts w:cs="Arial"/>
          <w:spacing w:val="-3"/>
        </w:rPr>
        <w:t xml:space="preserve">Asimismo, cuando la autoridad ambiental competente cuente con información de caracterización ambiental para el ámbito regional, se debe </w:t>
      </w:r>
      <w:r w:rsidR="008A321C" w:rsidRPr="004068F6">
        <w:rPr>
          <w:rFonts w:cs="Arial"/>
          <w:spacing w:val="-3"/>
        </w:rPr>
        <w:t xml:space="preserve">procurar el </w:t>
      </w:r>
      <w:r w:rsidR="00DB4927" w:rsidRPr="004068F6">
        <w:rPr>
          <w:rFonts w:cs="Arial"/>
          <w:spacing w:val="-3"/>
        </w:rPr>
        <w:t>uso</w:t>
      </w:r>
      <w:r w:rsidR="008A321C" w:rsidRPr="004068F6">
        <w:rPr>
          <w:rFonts w:cs="Arial"/>
          <w:spacing w:val="-3"/>
        </w:rPr>
        <w:t xml:space="preserve"> </w:t>
      </w:r>
      <w:r w:rsidRPr="004068F6">
        <w:rPr>
          <w:rFonts w:cs="Arial"/>
          <w:spacing w:val="-3"/>
        </w:rPr>
        <w:t>de dicho insumo en la elaboración del EIA.</w:t>
      </w:r>
    </w:p>
    <w:p w14:paraId="75A05CAF" w14:textId="77777777" w:rsidR="00BA762C" w:rsidRPr="004068F6" w:rsidRDefault="00BA762C">
      <w:pPr>
        <w:numPr>
          <w:ilvl w:val="12"/>
          <w:numId w:val="0"/>
        </w:numPr>
        <w:tabs>
          <w:tab w:val="left" w:pos="-2268"/>
        </w:tabs>
        <w:suppressAutoHyphens/>
        <w:rPr>
          <w:spacing w:val="-3"/>
        </w:rPr>
      </w:pPr>
    </w:p>
    <w:p w14:paraId="5CC34CA8" w14:textId="7549AD57" w:rsidR="00437042" w:rsidRPr="004068F6" w:rsidRDefault="006D75A2">
      <w:pPr>
        <w:numPr>
          <w:ilvl w:val="12"/>
          <w:numId w:val="0"/>
        </w:numPr>
        <w:tabs>
          <w:tab w:val="left" w:pos="-2268"/>
        </w:tabs>
        <w:suppressAutoHyphens/>
        <w:rPr>
          <w:spacing w:val="-3"/>
        </w:rPr>
      </w:pPr>
      <w:r w:rsidRPr="004068F6">
        <w:rPr>
          <w:spacing w:val="-3"/>
        </w:rPr>
        <w:t>P</w:t>
      </w:r>
      <w:r w:rsidR="00437042" w:rsidRPr="004068F6">
        <w:rPr>
          <w:spacing w:val="-3"/>
        </w:rPr>
        <w:t xml:space="preserve">ara el medio socioeconómico se debe presentar información </w:t>
      </w:r>
      <w:r w:rsidRPr="004068F6">
        <w:rPr>
          <w:spacing w:val="-3"/>
        </w:rPr>
        <w:t xml:space="preserve">general </w:t>
      </w:r>
      <w:r w:rsidR="00437042" w:rsidRPr="004068F6">
        <w:rPr>
          <w:spacing w:val="-3"/>
        </w:rPr>
        <w:t xml:space="preserve">de línea base </w:t>
      </w:r>
      <w:r w:rsidRPr="004068F6">
        <w:rPr>
          <w:spacing w:val="-3"/>
        </w:rPr>
        <w:t>sobre</w:t>
      </w:r>
      <w:r w:rsidR="00437042" w:rsidRPr="004068F6">
        <w:rPr>
          <w:spacing w:val="-3"/>
        </w:rPr>
        <w:t xml:space="preserve"> e</w:t>
      </w:r>
      <w:r w:rsidRPr="004068F6">
        <w:rPr>
          <w:spacing w:val="-3"/>
        </w:rPr>
        <w:t>l</w:t>
      </w:r>
      <w:r w:rsidR="00437042" w:rsidRPr="004068F6">
        <w:rPr>
          <w:spacing w:val="-3"/>
        </w:rPr>
        <w:t xml:space="preserve"> contexto de los municipios en cuya jurisdicción se ubiquen las unidades </w:t>
      </w:r>
      <w:r w:rsidRPr="004068F6">
        <w:rPr>
          <w:spacing w:val="-3"/>
        </w:rPr>
        <w:t xml:space="preserve">de análisis </w:t>
      </w:r>
      <w:r w:rsidR="00437042" w:rsidRPr="004068F6">
        <w:rPr>
          <w:spacing w:val="-3"/>
        </w:rPr>
        <w:t xml:space="preserve">territorial seleccionadas. </w:t>
      </w:r>
      <w:r w:rsidR="00A01691" w:rsidRPr="004068F6">
        <w:rPr>
          <w:spacing w:val="-3"/>
        </w:rPr>
        <w:t>Si</w:t>
      </w:r>
      <w:r w:rsidR="00437042" w:rsidRPr="004068F6">
        <w:rPr>
          <w:spacing w:val="-3"/>
        </w:rPr>
        <w:t xml:space="preserve"> se decid</w:t>
      </w:r>
      <w:r w:rsidR="00A01691" w:rsidRPr="004068F6">
        <w:rPr>
          <w:spacing w:val="-3"/>
        </w:rPr>
        <w:t>e</w:t>
      </w:r>
      <w:r w:rsidR="00437042" w:rsidRPr="004068F6">
        <w:rPr>
          <w:spacing w:val="-3"/>
        </w:rPr>
        <w:t xml:space="preserve"> considerar al municipio en su totalidad como unidad </w:t>
      </w:r>
      <w:r w:rsidR="00437042" w:rsidRPr="004068F6">
        <w:rPr>
          <w:rFonts w:cs="Arial"/>
          <w:spacing w:val="-3"/>
        </w:rPr>
        <w:t xml:space="preserve">de análisis </w:t>
      </w:r>
      <w:r w:rsidR="00437042" w:rsidRPr="004068F6">
        <w:rPr>
          <w:spacing w:val="-3"/>
        </w:rPr>
        <w:t>territorial, adicional a la información básica de contexto, se debe realizar la caracterización para el municipio según lo establecido en los numerales correspondientes a los componentes del medio socioeconómico</w:t>
      </w:r>
      <w:r w:rsidR="003C70CD" w:rsidRPr="004068F6">
        <w:rPr>
          <w:spacing w:val="-3"/>
        </w:rPr>
        <w:t>, según aplique</w:t>
      </w:r>
      <w:r w:rsidR="00437042" w:rsidRPr="004068F6">
        <w:rPr>
          <w:spacing w:val="-3"/>
        </w:rPr>
        <w:t>.</w:t>
      </w:r>
    </w:p>
    <w:p w14:paraId="5582DD31" w14:textId="77777777" w:rsidR="00973C7F" w:rsidRPr="004068F6" w:rsidRDefault="00973C7F">
      <w:pPr>
        <w:numPr>
          <w:ilvl w:val="12"/>
          <w:numId w:val="0"/>
        </w:numPr>
        <w:tabs>
          <w:tab w:val="left" w:pos="-2268"/>
        </w:tabs>
        <w:suppressAutoHyphens/>
        <w:rPr>
          <w:spacing w:val="-3"/>
        </w:rPr>
      </w:pPr>
    </w:p>
    <w:p w14:paraId="024A0DA3" w14:textId="44ABB16E" w:rsidR="00973C7F" w:rsidRPr="004068F6" w:rsidRDefault="00973C7F" w:rsidP="00973C7F">
      <w:pPr>
        <w:numPr>
          <w:ilvl w:val="12"/>
          <w:numId w:val="0"/>
        </w:numPr>
        <w:tabs>
          <w:tab w:val="left" w:pos="-2268"/>
        </w:tabs>
        <w:suppressAutoHyphens/>
        <w:rPr>
          <w:spacing w:val="-3"/>
        </w:rPr>
      </w:pPr>
      <w:r w:rsidRPr="004068F6">
        <w:rPr>
          <w:spacing w:val="-3"/>
        </w:rPr>
        <w:t xml:space="preserve">Toda la información geográfica de caracterización ambiental debe ser almacenada y presentada de acuerdo con el Modelo de </w:t>
      </w:r>
      <w:r w:rsidRPr="004068F6">
        <w:rPr>
          <w:rFonts w:cs="Arial"/>
          <w:spacing w:val="-3"/>
        </w:rPr>
        <w:t xml:space="preserve">Almacenamiento Geográfico (MAG) </w:t>
      </w:r>
      <w:r w:rsidRPr="004068F6">
        <w:rPr>
          <w:spacing w:val="-3"/>
        </w:rPr>
        <w:t xml:space="preserve">adoptado por Minambiente; los datos espaciales deben tener la estructura de capas geográficas, tablas asociadas, dominios, definiciones, clasificaciones o categorías, estándares, </w:t>
      </w:r>
      <w:r w:rsidR="009707FF" w:rsidRPr="004068F6">
        <w:rPr>
          <w:spacing w:val="-3"/>
        </w:rPr>
        <w:t xml:space="preserve">documento léame, </w:t>
      </w:r>
      <w:r w:rsidRPr="004068F6">
        <w:rPr>
          <w:spacing w:val="-3"/>
        </w:rPr>
        <w:t>entre otros lineamientos definidos en la Resolución 2182 de 2016 o aquella que la modifique</w:t>
      </w:r>
      <w:r w:rsidRPr="004068F6">
        <w:rPr>
          <w:rFonts w:cs="Arial"/>
          <w:spacing w:val="-3"/>
        </w:rPr>
        <w:t xml:space="preserve"> o</w:t>
      </w:r>
      <w:r w:rsidRPr="004068F6">
        <w:rPr>
          <w:spacing w:val="-3"/>
        </w:rPr>
        <w:t xml:space="preserve"> sustituya.</w:t>
      </w:r>
    </w:p>
    <w:p w14:paraId="5143E9A0" w14:textId="77777777" w:rsidR="00330ADD" w:rsidRPr="004068F6" w:rsidRDefault="00330ADD" w:rsidP="00973C7F">
      <w:pPr>
        <w:numPr>
          <w:ilvl w:val="12"/>
          <w:numId w:val="0"/>
        </w:numPr>
        <w:tabs>
          <w:tab w:val="left" w:pos="-2268"/>
        </w:tabs>
        <w:suppressAutoHyphens/>
        <w:rPr>
          <w:spacing w:val="-3"/>
        </w:rPr>
      </w:pPr>
    </w:p>
    <w:p w14:paraId="369D5484" w14:textId="436B511C" w:rsidR="00330ADD" w:rsidRPr="004068F6" w:rsidRDefault="00330ADD" w:rsidP="00973C7F">
      <w:pPr>
        <w:numPr>
          <w:ilvl w:val="12"/>
          <w:numId w:val="0"/>
        </w:numPr>
        <w:tabs>
          <w:tab w:val="left" w:pos="-2268"/>
        </w:tabs>
        <w:suppressAutoHyphens/>
        <w:rPr>
          <w:spacing w:val="-3"/>
        </w:rPr>
      </w:pPr>
      <w:r w:rsidRPr="004068F6">
        <w:rPr>
          <w:rFonts w:cs="Arial"/>
          <w:spacing w:val="-3"/>
        </w:rPr>
        <w:t xml:space="preserve">Previo a la obtención de cualquier tipo de información primaria, sea que ésta sea obtenida por expertos o recopilada mediante la consulta a los grupos de interés, es necesario </w:t>
      </w:r>
      <w:r w:rsidR="009B2CE5" w:rsidRPr="004068F6">
        <w:rPr>
          <w:rFonts w:cs="Arial"/>
          <w:spacing w:val="-3"/>
        </w:rPr>
        <w:t xml:space="preserve">implementar el </w:t>
      </w:r>
      <w:r w:rsidR="009B2CE5" w:rsidRPr="00B93370">
        <w:rPr>
          <w:rFonts w:cs="Arial"/>
          <w:spacing w:val="-3"/>
        </w:rPr>
        <w:t xml:space="preserve">conjunto de </w:t>
      </w:r>
      <w:r w:rsidR="0058589B" w:rsidRPr="00B93370">
        <w:rPr>
          <w:rFonts w:cs="Arial"/>
          <w:spacing w:val="-3"/>
        </w:rPr>
        <w:t>medidas</w:t>
      </w:r>
      <w:r w:rsidR="009B2CE5" w:rsidRPr="00B93370">
        <w:rPr>
          <w:rFonts w:cs="Arial"/>
          <w:spacing w:val="-3"/>
        </w:rPr>
        <w:t xml:space="preserve"> para</w:t>
      </w:r>
      <w:r w:rsidR="009B2CE5" w:rsidRPr="004068F6">
        <w:rPr>
          <w:rFonts w:cs="Arial"/>
          <w:spacing w:val="-3"/>
        </w:rPr>
        <w:t xml:space="preserve"> la atención de la conflictividad </w:t>
      </w:r>
      <w:r w:rsidRPr="004068F6">
        <w:rPr>
          <w:rFonts w:cs="Arial"/>
          <w:spacing w:val="-3"/>
        </w:rPr>
        <w:t>a</w:t>
      </w:r>
      <w:r w:rsidR="00E174BE" w:rsidRPr="004068F6">
        <w:rPr>
          <w:rFonts w:cs="Arial"/>
          <w:spacing w:val="-3"/>
        </w:rPr>
        <w:t>l</w:t>
      </w:r>
      <w:r w:rsidRPr="004068F6">
        <w:rPr>
          <w:rFonts w:cs="Arial"/>
          <w:spacing w:val="-3"/>
        </w:rPr>
        <w:t xml:space="preserve"> que hace referencia en el numeral </w:t>
      </w:r>
      <w:r w:rsidRPr="004068F6">
        <w:rPr>
          <w:rFonts w:cs="Arial"/>
          <w:spacing w:val="-3"/>
        </w:rPr>
        <w:fldChar w:fldCharType="begin"/>
      </w:r>
      <w:r w:rsidRPr="004068F6">
        <w:rPr>
          <w:rFonts w:cs="Arial"/>
          <w:spacing w:val="-3"/>
        </w:rPr>
        <w:instrText xml:space="preserve"> REF _Ref161829324 \r \h  \* MERGEFORMAT </w:instrText>
      </w:r>
      <w:r w:rsidRPr="004068F6">
        <w:rPr>
          <w:rFonts w:cs="Arial"/>
          <w:spacing w:val="-3"/>
        </w:rPr>
      </w:r>
      <w:r w:rsidRPr="004068F6">
        <w:rPr>
          <w:rFonts w:cs="Arial"/>
          <w:spacing w:val="-3"/>
        </w:rPr>
        <w:fldChar w:fldCharType="separate"/>
      </w:r>
      <w:r w:rsidR="009C4A81">
        <w:rPr>
          <w:rFonts w:cs="Arial"/>
          <w:spacing w:val="-3"/>
        </w:rPr>
        <w:t>3.2.1</w:t>
      </w:r>
      <w:r w:rsidRPr="004068F6">
        <w:rPr>
          <w:rFonts w:cs="Arial"/>
          <w:spacing w:val="-3"/>
        </w:rPr>
        <w:fldChar w:fldCharType="end"/>
      </w:r>
      <w:r w:rsidRPr="004068F6">
        <w:rPr>
          <w:rFonts w:cs="Arial"/>
          <w:spacing w:val="-3"/>
        </w:rPr>
        <w:t xml:space="preserve"> de este capítulo, a fin de </w:t>
      </w:r>
      <w:r w:rsidR="00C6721F">
        <w:rPr>
          <w:rFonts w:cs="Arial"/>
          <w:spacing w:val="-3"/>
        </w:rPr>
        <w:t>prevenir</w:t>
      </w:r>
      <w:r w:rsidR="00C6721F" w:rsidRPr="004068F6">
        <w:rPr>
          <w:rFonts w:cs="Arial"/>
          <w:spacing w:val="-3"/>
        </w:rPr>
        <w:t xml:space="preserve"> </w:t>
      </w:r>
      <w:r w:rsidRPr="004068F6">
        <w:rPr>
          <w:rFonts w:cs="Arial"/>
          <w:spacing w:val="-3"/>
        </w:rPr>
        <w:t>los malentendidos</w:t>
      </w:r>
      <w:r w:rsidR="00B66AA2" w:rsidRPr="004068F6">
        <w:rPr>
          <w:rFonts w:cs="Arial"/>
          <w:spacing w:val="-3"/>
        </w:rPr>
        <w:t>, situaciones conflictivas</w:t>
      </w:r>
      <w:r w:rsidRPr="004068F6">
        <w:rPr>
          <w:rFonts w:cs="Arial"/>
          <w:spacing w:val="-3"/>
        </w:rPr>
        <w:t xml:space="preserve"> e impactos que pueden surgir con la interacción entre formuladores y grupos de interés.</w:t>
      </w:r>
    </w:p>
    <w:p w14:paraId="56496BB1" w14:textId="45451FFE" w:rsidR="00437042" w:rsidRPr="004068F6" w:rsidRDefault="00437042" w:rsidP="00437042">
      <w:pPr>
        <w:numPr>
          <w:ilvl w:val="12"/>
          <w:numId w:val="0"/>
        </w:numPr>
        <w:tabs>
          <w:tab w:val="left" w:pos="-2268"/>
        </w:tabs>
        <w:suppressAutoHyphens/>
        <w:rPr>
          <w:rFonts w:cs="Arial"/>
          <w:spacing w:val="-3"/>
        </w:rPr>
      </w:pPr>
    </w:p>
    <w:p w14:paraId="7A552B9E" w14:textId="11E8FB2A" w:rsidR="008C2D45" w:rsidRPr="004068F6" w:rsidRDefault="008C2D45" w:rsidP="0068149C">
      <w:pPr>
        <w:pStyle w:val="Ttulo2"/>
        <w:rPr>
          <w:lang w:val="es-CO"/>
        </w:rPr>
      </w:pPr>
      <w:bookmarkStart w:id="2615" w:name="_Toc79443047"/>
      <w:bookmarkStart w:id="2616" w:name="_Toc79443049"/>
      <w:bookmarkStart w:id="2617" w:name="_Toc79443051"/>
      <w:bookmarkStart w:id="2618" w:name="_Toc79443052"/>
      <w:bookmarkStart w:id="2619" w:name="_Toc79443053"/>
      <w:bookmarkStart w:id="2620" w:name="_Ref144301989"/>
      <w:bookmarkStart w:id="2621" w:name="_Toc230879649"/>
      <w:bookmarkEnd w:id="2615"/>
      <w:bookmarkEnd w:id="2616"/>
      <w:bookmarkEnd w:id="2617"/>
      <w:bookmarkEnd w:id="2618"/>
      <w:bookmarkEnd w:id="2619"/>
      <w:r w:rsidRPr="004068F6">
        <w:rPr>
          <w:lang w:val="es-CO"/>
        </w:rPr>
        <w:lastRenderedPageBreak/>
        <w:t>MEDIO ABIÓTICO</w:t>
      </w:r>
      <w:bookmarkEnd w:id="2620"/>
      <w:bookmarkEnd w:id="2621"/>
    </w:p>
    <w:p w14:paraId="30773680" w14:textId="77777777" w:rsidR="008C2D45" w:rsidRPr="004068F6" w:rsidRDefault="008C2D45">
      <w:pPr>
        <w:numPr>
          <w:ilvl w:val="12"/>
          <w:numId w:val="0"/>
        </w:numPr>
        <w:tabs>
          <w:tab w:val="left" w:pos="-2268"/>
        </w:tabs>
        <w:suppressAutoHyphens/>
        <w:rPr>
          <w:spacing w:val="-3"/>
        </w:rPr>
      </w:pPr>
    </w:p>
    <w:p w14:paraId="39701AF5" w14:textId="07133927" w:rsidR="009707FF" w:rsidRPr="004068F6" w:rsidRDefault="009D132B">
      <w:pPr>
        <w:numPr>
          <w:ilvl w:val="12"/>
          <w:numId w:val="0"/>
        </w:numPr>
        <w:tabs>
          <w:tab w:val="left" w:pos="-2268"/>
        </w:tabs>
        <w:suppressAutoHyphens/>
        <w:rPr>
          <w:spacing w:val="-3"/>
        </w:rPr>
      </w:pPr>
      <w:bookmarkStart w:id="2622" w:name="_Toc405366834"/>
      <w:bookmarkStart w:id="2623" w:name="_Toc405372381"/>
      <w:r w:rsidRPr="004068F6">
        <w:rPr>
          <w:spacing w:val="-3"/>
        </w:rPr>
        <w:t xml:space="preserve">La información de caracterización de este medio debe permitir conocer las condiciones </w:t>
      </w:r>
      <w:r w:rsidRPr="004068F6">
        <w:rPr>
          <w:rFonts w:cs="Arial"/>
          <w:spacing w:val="-3"/>
        </w:rPr>
        <w:t>abióticas</w:t>
      </w:r>
      <w:r w:rsidRPr="004068F6">
        <w:rPr>
          <w:spacing w:val="-3"/>
        </w:rPr>
        <w:t xml:space="preserve"> </w:t>
      </w:r>
      <w:r w:rsidRPr="004068F6">
        <w:rPr>
          <w:rFonts w:cs="Arial"/>
          <w:spacing w:val="-3"/>
        </w:rPr>
        <w:t>existentes</w:t>
      </w:r>
      <w:r w:rsidRPr="004068F6">
        <w:rPr>
          <w:spacing w:val="-3"/>
        </w:rPr>
        <w:t xml:space="preserve"> antes de la ejecución del proyecto</w:t>
      </w:r>
      <w:r w:rsidR="009707FF" w:rsidRPr="004068F6">
        <w:rPr>
          <w:rFonts w:cs="Arial"/>
          <w:spacing w:val="-3"/>
        </w:rPr>
        <w:t>.</w:t>
      </w:r>
      <w:r w:rsidR="009707FF" w:rsidRPr="004068F6">
        <w:rPr>
          <w:spacing w:val="-3"/>
        </w:rPr>
        <w:t xml:space="preserve"> El proceso de obtención, procesamiento y análisis de los factores, parámetros, indicadores y demás, debe ser integral con el fin de determinar las características de los componentes del medio abiótico</w:t>
      </w:r>
      <w:r w:rsidR="009508BB" w:rsidRPr="004068F6">
        <w:rPr>
          <w:spacing w:val="-3"/>
        </w:rPr>
        <w:t xml:space="preserve"> que se señalan a continuación:</w:t>
      </w:r>
    </w:p>
    <w:p w14:paraId="4C21F629" w14:textId="77777777" w:rsidR="009707FF" w:rsidRPr="004068F6" w:rsidRDefault="009707FF">
      <w:pPr>
        <w:numPr>
          <w:ilvl w:val="12"/>
          <w:numId w:val="0"/>
        </w:numPr>
        <w:tabs>
          <w:tab w:val="left" w:pos="-2268"/>
        </w:tabs>
        <w:suppressAutoHyphens/>
        <w:rPr>
          <w:spacing w:val="-3"/>
        </w:rPr>
      </w:pPr>
    </w:p>
    <w:p w14:paraId="0DF4630C" w14:textId="77777777" w:rsidR="009D132B" w:rsidRPr="00466E26" w:rsidRDefault="009D132B" w:rsidP="000A1E20">
      <w:pPr>
        <w:pStyle w:val="Ttulo3"/>
      </w:pPr>
      <w:bookmarkStart w:id="2624" w:name="_Toc412812760"/>
      <w:bookmarkStart w:id="2625" w:name="_Toc437936016"/>
      <w:bookmarkStart w:id="2626" w:name="_Toc42764344"/>
      <w:bookmarkStart w:id="2627" w:name="_Ref78816980"/>
      <w:bookmarkStart w:id="2628" w:name="_Toc230879650"/>
      <w:r w:rsidRPr="00466E26">
        <w:t>Geológico</w:t>
      </w:r>
      <w:bookmarkEnd w:id="2624"/>
      <w:bookmarkEnd w:id="2625"/>
      <w:bookmarkEnd w:id="2626"/>
      <w:bookmarkEnd w:id="2627"/>
      <w:bookmarkEnd w:id="2628"/>
    </w:p>
    <w:p w14:paraId="738887AF" w14:textId="77777777" w:rsidR="009D132B" w:rsidRPr="004068F6" w:rsidRDefault="009D132B">
      <w:pPr>
        <w:numPr>
          <w:ilvl w:val="12"/>
          <w:numId w:val="0"/>
        </w:numPr>
        <w:tabs>
          <w:tab w:val="left" w:pos="-2268"/>
        </w:tabs>
        <w:suppressAutoHyphens/>
        <w:rPr>
          <w:spacing w:val="-3"/>
        </w:rPr>
      </w:pPr>
    </w:p>
    <w:p w14:paraId="57CA4AD3" w14:textId="7EE4D07D" w:rsidR="009D132B" w:rsidRPr="004068F6" w:rsidRDefault="00900A47">
      <w:pPr>
        <w:numPr>
          <w:ilvl w:val="12"/>
          <w:numId w:val="0"/>
        </w:numPr>
        <w:tabs>
          <w:tab w:val="left" w:pos="-2268"/>
        </w:tabs>
        <w:suppressAutoHyphens/>
        <w:rPr>
          <w:spacing w:val="-3"/>
        </w:rPr>
      </w:pPr>
      <w:r w:rsidRPr="004068F6">
        <w:rPr>
          <w:spacing w:val="-2"/>
        </w:rPr>
        <w:t>Determinar</w:t>
      </w:r>
      <w:r w:rsidR="009D132B" w:rsidRPr="004068F6">
        <w:rPr>
          <w:spacing w:val="-2"/>
        </w:rPr>
        <w:t xml:space="preserve"> las unidades geológicas aflorantes y de la geología estructural del área regional (orientación de estratos, fallas, pliegues, entre otras), con base en información secundaria verificada y ajustada con control de campo</w:t>
      </w:r>
      <w:r w:rsidR="009D132B" w:rsidRPr="004068F6">
        <w:rPr>
          <w:spacing w:val="-3"/>
        </w:rPr>
        <w:t>.</w:t>
      </w:r>
    </w:p>
    <w:p w14:paraId="06A5759F" w14:textId="77777777" w:rsidR="009D132B" w:rsidRPr="004068F6" w:rsidRDefault="009D132B">
      <w:pPr>
        <w:numPr>
          <w:ilvl w:val="12"/>
          <w:numId w:val="0"/>
        </w:numPr>
        <w:tabs>
          <w:tab w:val="left" w:pos="-2268"/>
        </w:tabs>
        <w:suppressAutoHyphens/>
        <w:rPr>
          <w:spacing w:val="-3"/>
        </w:rPr>
      </w:pPr>
    </w:p>
    <w:p w14:paraId="166F8B09" w14:textId="21D41EED" w:rsidR="009707FF" w:rsidRPr="004068F6" w:rsidRDefault="009D132B" w:rsidP="009707FF">
      <w:pPr>
        <w:numPr>
          <w:ilvl w:val="12"/>
          <w:numId w:val="0"/>
        </w:numPr>
        <w:tabs>
          <w:tab w:val="left" w:pos="-2268"/>
        </w:tabs>
        <w:suppressAutoHyphens/>
        <w:rPr>
          <w:spacing w:val="-2"/>
        </w:rPr>
      </w:pPr>
      <w:r w:rsidRPr="004068F6">
        <w:rPr>
          <w:spacing w:val="-2"/>
        </w:rPr>
        <w:t>Presentar la cartografía geológica con fotointerpretación y control de campo. Se debe complementar la información con planos en planta y en secciones transversales, incluyendo la cartografía de elementos geológicos de carácter local, insumos fundamentales para la formulación de los modelos geotécnicos, hidrogeológicos y sismotectónicos</w:t>
      </w:r>
      <w:r w:rsidRPr="004068F6">
        <w:rPr>
          <w:rFonts w:cs="Arial"/>
          <w:spacing w:val="-2"/>
        </w:rPr>
        <w:t xml:space="preserve"> de acuerdo con las particularidades del proyecto</w:t>
      </w:r>
      <w:r w:rsidRPr="004068F6">
        <w:rPr>
          <w:spacing w:val="-2"/>
        </w:rPr>
        <w:t>.</w:t>
      </w:r>
    </w:p>
    <w:p w14:paraId="5035A658" w14:textId="77777777" w:rsidR="009707FF" w:rsidRPr="004068F6" w:rsidRDefault="009707FF" w:rsidP="009707FF">
      <w:pPr>
        <w:numPr>
          <w:ilvl w:val="12"/>
          <w:numId w:val="0"/>
        </w:numPr>
        <w:tabs>
          <w:tab w:val="left" w:pos="-2268"/>
        </w:tabs>
        <w:suppressAutoHyphens/>
        <w:rPr>
          <w:spacing w:val="-2"/>
        </w:rPr>
      </w:pPr>
    </w:p>
    <w:p w14:paraId="353B6226" w14:textId="2F48E4A9" w:rsidR="009707FF" w:rsidRPr="004068F6" w:rsidRDefault="006F2C23" w:rsidP="009707FF">
      <w:pPr>
        <w:numPr>
          <w:ilvl w:val="12"/>
          <w:numId w:val="0"/>
        </w:numPr>
        <w:tabs>
          <w:tab w:val="left" w:pos="-2268"/>
        </w:tabs>
        <w:suppressAutoHyphens/>
        <w:rPr>
          <w:spacing w:val="-2"/>
        </w:rPr>
      </w:pPr>
      <w:r w:rsidRPr="004068F6">
        <w:rPr>
          <w:spacing w:val="-2"/>
        </w:rPr>
        <w:t>L</w:t>
      </w:r>
      <w:r w:rsidR="009707FF" w:rsidRPr="004068F6">
        <w:rPr>
          <w:spacing w:val="-2"/>
        </w:rPr>
        <w:t xml:space="preserve">a caracterización de las unidades geológicas superficiales en </w:t>
      </w:r>
      <w:r w:rsidRPr="004068F6">
        <w:rPr>
          <w:spacing w:val="-2"/>
        </w:rPr>
        <w:t xml:space="preserve">áreas </w:t>
      </w:r>
      <w:r w:rsidR="009707FF" w:rsidRPr="004068F6">
        <w:rPr>
          <w:spacing w:val="-2"/>
        </w:rPr>
        <w:t>marin</w:t>
      </w:r>
      <w:r w:rsidRPr="004068F6">
        <w:rPr>
          <w:spacing w:val="-2"/>
        </w:rPr>
        <w:t>as</w:t>
      </w:r>
      <w:r w:rsidR="009707FF" w:rsidRPr="004068F6">
        <w:rPr>
          <w:spacing w:val="-2"/>
        </w:rPr>
        <w:t xml:space="preserve"> debe emplear información geológica oficial y estudios de referencia, complementados con técnicas geofísicas y muestreo de sedimentos. El alcance de la cartografía geológica y de los modelos a elaborar se establec</w:t>
      </w:r>
      <w:r w:rsidRPr="004068F6">
        <w:rPr>
          <w:spacing w:val="-2"/>
        </w:rPr>
        <w:t xml:space="preserve">e </w:t>
      </w:r>
      <w:r w:rsidR="009707FF" w:rsidRPr="004068F6">
        <w:rPr>
          <w:spacing w:val="-2"/>
        </w:rPr>
        <w:t>en los términos de r</w:t>
      </w:r>
      <w:r w:rsidRPr="004068F6">
        <w:rPr>
          <w:spacing w:val="-2"/>
        </w:rPr>
        <w:t>eferencia</w:t>
      </w:r>
      <w:r w:rsidR="009707FF" w:rsidRPr="004068F6">
        <w:rPr>
          <w:spacing w:val="-2"/>
        </w:rPr>
        <w:t>.</w:t>
      </w:r>
    </w:p>
    <w:p w14:paraId="0B0B5C3A" w14:textId="77777777" w:rsidR="009D132B" w:rsidRPr="004068F6" w:rsidRDefault="009D132B">
      <w:pPr>
        <w:numPr>
          <w:ilvl w:val="12"/>
          <w:numId w:val="0"/>
        </w:numPr>
        <w:tabs>
          <w:tab w:val="left" w:pos="-2268"/>
        </w:tabs>
        <w:suppressAutoHyphens/>
        <w:rPr>
          <w:spacing w:val="-3"/>
        </w:rPr>
      </w:pPr>
    </w:p>
    <w:p w14:paraId="4DDDD976" w14:textId="5F9BFD49" w:rsidR="009D132B" w:rsidRPr="004068F6" w:rsidRDefault="009D132B">
      <w:pPr>
        <w:numPr>
          <w:ilvl w:val="12"/>
          <w:numId w:val="0"/>
        </w:numPr>
        <w:tabs>
          <w:tab w:val="left" w:pos="-2268"/>
        </w:tabs>
        <w:suppressAutoHyphens/>
        <w:rPr>
          <w:spacing w:val="-3"/>
        </w:rPr>
      </w:pPr>
      <w:r w:rsidRPr="004068F6">
        <w:rPr>
          <w:spacing w:val="-3"/>
        </w:rPr>
        <w:t>Ajustar esta información a partir de datos existentes utilizando técnicas disponibles cartográficas y de sensores remotos; este proceso de ajuste debe ser consistente con la nomenclatura geológica nacional, establecida por el Servicio Geológico Colombiano</w:t>
      </w:r>
      <w:r w:rsidR="00104B0D" w:rsidRPr="004068F6">
        <w:rPr>
          <w:spacing w:val="-3"/>
        </w:rPr>
        <w:t xml:space="preserve"> (SGC)</w:t>
      </w:r>
      <w:r w:rsidRPr="004068F6">
        <w:rPr>
          <w:spacing w:val="-3"/>
        </w:rPr>
        <w:t>.</w:t>
      </w:r>
    </w:p>
    <w:p w14:paraId="52EC6D24" w14:textId="77777777" w:rsidR="009D132B" w:rsidRPr="004068F6" w:rsidRDefault="009D132B">
      <w:pPr>
        <w:numPr>
          <w:ilvl w:val="12"/>
          <w:numId w:val="0"/>
        </w:numPr>
        <w:tabs>
          <w:tab w:val="left" w:pos="-2268"/>
        </w:tabs>
        <w:suppressAutoHyphens/>
        <w:rPr>
          <w:spacing w:val="-3"/>
        </w:rPr>
      </w:pPr>
    </w:p>
    <w:p w14:paraId="5323DFC9" w14:textId="1ED30FF8" w:rsidR="009D132B" w:rsidRPr="004068F6" w:rsidRDefault="009D132B">
      <w:pPr>
        <w:numPr>
          <w:ilvl w:val="12"/>
          <w:numId w:val="0"/>
        </w:numPr>
        <w:tabs>
          <w:tab w:val="left" w:pos="-2268"/>
        </w:tabs>
        <w:suppressAutoHyphens/>
        <w:rPr>
          <w:spacing w:val="-3"/>
        </w:rPr>
      </w:pPr>
      <w:r w:rsidRPr="004068F6">
        <w:rPr>
          <w:spacing w:val="-3"/>
        </w:rPr>
        <w:t>Generar la información a la escala que establezcan los términos de referencia, o a una más detallada si el análisis lo requiere, de acuerdo con las condiciones particulares del</w:t>
      </w:r>
      <w:r w:rsidR="00104B0D" w:rsidRPr="004068F6">
        <w:rPr>
          <w:spacing w:val="-3"/>
        </w:rPr>
        <w:t xml:space="preserve"> </w:t>
      </w:r>
      <w:r w:rsidRPr="004068F6">
        <w:rPr>
          <w:spacing w:val="-3"/>
        </w:rPr>
        <w:t>proyecto</w:t>
      </w:r>
      <w:r w:rsidR="006F2C23" w:rsidRPr="004068F6">
        <w:rPr>
          <w:spacing w:val="-3"/>
        </w:rPr>
        <w:t xml:space="preserve"> y su </w:t>
      </w:r>
      <w:r w:rsidR="007E13BB">
        <w:rPr>
          <w:spacing w:val="-3"/>
        </w:rPr>
        <w:t>etapa</w:t>
      </w:r>
      <w:r w:rsidR="007E13BB" w:rsidRPr="004068F6" w:rsidDel="007E13BB">
        <w:rPr>
          <w:spacing w:val="-3"/>
        </w:rPr>
        <w:t xml:space="preserve"> </w:t>
      </w:r>
      <w:r w:rsidR="006F2C23" w:rsidRPr="004068F6">
        <w:rPr>
          <w:spacing w:val="-3"/>
        </w:rPr>
        <w:t xml:space="preserve">de </w:t>
      </w:r>
      <w:r w:rsidR="009E2BD2">
        <w:rPr>
          <w:spacing w:val="-3"/>
        </w:rPr>
        <w:t>opera</w:t>
      </w:r>
      <w:r w:rsidR="006F2C23" w:rsidRPr="004068F6">
        <w:rPr>
          <w:spacing w:val="-3"/>
        </w:rPr>
        <w:t>ción</w:t>
      </w:r>
      <w:r w:rsidRPr="004068F6">
        <w:rPr>
          <w:spacing w:val="-3"/>
        </w:rPr>
        <w:t xml:space="preserve">; se debe </w:t>
      </w:r>
      <w:r w:rsidR="00293C77" w:rsidRPr="004068F6">
        <w:rPr>
          <w:spacing w:val="-3"/>
        </w:rPr>
        <w:t xml:space="preserve">representar cartográficamente </w:t>
      </w:r>
      <w:r w:rsidR="00104B0D" w:rsidRPr="004068F6">
        <w:rPr>
          <w:spacing w:val="-3"/>
        </w:rPr>
        <w:t xml:space="preserve">con </w:t>
      </w:r>
      <w:r w:rsidRPr="004068F6">
        <w:rPr>
          <w:spacing w:val="-3"/>
        </w:rPr>
        <w:t>una escala de presentación que permita su lectura.</w:t>
      </w:r>
    </w:p>
    <w:p w14:paraId="224CF677" w14:textId="77777777" w:rsidR="009D132B" w:rsidRPr="004068F6" w:rsidRDefault="009D132B">
      <w:pPr>
        <w:numPr>
          <w:ilvl w:val="12"/>
          <w:numId w:val="0"/>
        </w:numPr>
        <w:tabs>
          <w:tab w:val="left" w:pos="-2268"/>
        </w:tabs>
        <w:suppressAutoHyphens/>
        <w:rPr>
          <w:spacing w:val="-3"/>
        </w:rPr>
      </w:pPr>
    </w:p>
    <w:p w14:paraId="7D9801E7" w14:textId="6B45908A" w:rsidR="009D132B" w:rsidRPr="004068F6" w:rsidRDefault="009D132B">
      <w:pPr>
        <w:numPr>
          <w:ilvl w:val="12"/>
          <w:numId w:val="0"/>
        </w:numPr>
        <w:tabs>
          <w:tab w:val="left" w:pos="-2268"/>
        </w:tabs>
        <w:suppressAutoHyphens/>
        <w:rPr>
          <w:spacing w:val="-3"/>
        </w:rPr>
      </w:pPr>
      <w:r w:rsidRPr="004068F6">
        <w:rPr>
          <w:spacing w:val="-3"/>
        </w:rPr>
        <w:t xml:space="preserve">La </w:t>
      </w:r>
      <w:r w:rsidR="00900A47" w:rsidRPr="004068F6">
        <w:rPr>
          <w:spacing w:val="-3"/>
        </w:rPr>
        <w:t xml:space="preserve">información </w:t>
      </w:r>
      <w:r w:rsidRPr="004068F6">
        <w:rPr>
          <w:spacing w:val="-3"/>
        </w:rPr>
        <w:t xml:space="preserve">geológica debe contener </w:t>
      </w:r>
      <w:r w:rsidR="00900A47" w:rsidRPr="004068F6">
        <w:rPr>
          <w:spacing w:val="-3"/>
        </w:rPr>
        <w:t>lo señalado en</w:t>
      </w:r>
      <w:r w:rsidR="00900A47" w:rsidRPr="004068F6" w:rsidDel="00900A47">
        <w:rPr>
          <w:spacing w:val="-3"/>
        </w:rPr>
        <w:t xml:space="preserve"> </w:t>
      </w:r>
      <w:r w:rsidRPr="004068F6">
        <w:rPr>
          <w:spacing w:val="-3"/>
        </w:rPr>
        <w:t>lo</w:t>
      </w:r>
      <w:r w:rsidR="00104B0D" w:rsidRPr="004068F6">
        <w:rPr>
          <w:spacing w:val="-3"/>
        </w:rPr>
        <w:t>s</w:t>
      </w:r>
      <w:r w:rsidRPr="004068F6">
        <w:rPr>
          <w:spacing w:val="-3"/>
        </w:rPr>
        <w:t xml:space="preserve"> siguiente</w:t>
      </w:r>
      <w:r w:rsidR="00104B0D" w:rsidRPr="004068F6">
        <w:rPr>
          <w:spacing w:val="-3"/>
        </w:rPr>
        <w:t>s ítems</w:t>
      </w:r>
      <w:r w:rsidRPr="004068F6">
        <w:rPr>
          <w:spacing w:val="-3"/>
        </w:rPr>
        <w:t>:</w:t>
      </w:r>
    </w:p>
    <w:p w14:paraId="4B8DF07B" w14:textId="77777777" w:rsidR="009D132B" w:rsidRPr="004068F6" w:rsidRDefault="009D132B">
      <w:pPr>
        <w:numPr>
          <w:ilvl w:val="12"/>
          <w:numId w:val="0"/>
        </w:numPr>
        <w:tabs>
          <w:tab w:val="left" w:pos="-2268"/>
        </w:tabs>
        <w:suppressAutoHyphens/>
        <w:rPr>
          <w:spacing w:val="-3"/>
        </w:rPr>
      </w:pPr>
    </w:p>
    <w:p w14:paraId="1F4F7860" w14:textId="77777777" w:rsidR="009D132B" w:rsidRPr="004068F6" w:rsidRDefault="009D132B" w:rsidP="009420F5">
      <w:pPr>
        <w:pStyle w:val="Ttulo4"/>
        <w:tabs>
          <w:tab w:val="clear" w:pos="1844"/>
          <w:tab w:val="num" w:pos="1134"/>
        </w:tabs>
        <w:ind w:left="0"/>
        <w:rPr>
          <w:lang w:val="es-CO"/>
        </w:rPr>
      </w:pPr>
      <w:r w:rsidRPr="004068F6">
        <w:rPr>
          <w:lang w:val="es-CO"/>
        </w:rPr>
        <w:t>Estratigrafía</w:t>
      </w:r>
    </w:p>
    <w:p w14:paraId="46C9BE9C" w14:textId="77777777" w:rsidR="009D132B" w:rsidRPr="004068F6" w:rsidRDefault="009D132B">
      <w:pPr>
        <w:numPr>
          <w:ilvl w:val="12"/>
          <w:numId w:val="0"/>
        </w:numPr>
        <w:tabs>
          <w:tab w:val="left" w:pos="-2268"/>
        </w:tabs>
        <w:suppressAutoHyphens/>
        <w:rPr>
          <w:spacing w:val="-3"/>
        </w:rPr>
      </w:pPr>
    </w:p>
    <w:p w14:paraId="44A2484E" w14:textId="66C6DDE4" w:rsidR="009D132B" w:rsidRPr="004068F6" w:rsidRDefault="00900A47">
      <w:pPr>
        <w:numPr>
          <w:ilvl w:val="12"/>
          <w:numId w:val="0"/>
        </w:numPr>
        <w:tabs>
          <w:tab w:val="left" w:pos="-2268"/>
        </w:tabs>
        <w:suppressAutoHyphens/>
        <w:rPr>
          <w:spacing w:val="-3"/>
        </w:rPr>
      </w:pPr>
      <w:r w:rsidRPr="004068F6">
        <w:rPr>
          <w:spacing w:val="-2"/>
        </w:rPr>
        <w:t xml:space="preserve">Definir </w:t>
      </w:r>
      <w:r w:rsidR="009D132B" w:rsidRPr="004068F6">
        <w:rPr>
          <w:spacing w:val="-2"/>
        </w:rPr>
        <w:t>las unidades litológicas referenciando su edad, origen, espesor, distribución y posición en la secuencia estratigráfica.</w:t>
      </w:r>
    </w:p>
    <w:p w14:paraId="20BCA5D0" w14:textId="77777777" w:rsidR="009D132B" w:rsidRPr="004068F6" w:rsidRDefault="009D132B">
      <w:pPr>
        <w:numPr>
          <w:ilvl w:val="12"/>
          <w:numId w:val="0"/>
        </w:numPr>
        <w:tabs>
          <w:tab w:val="left" w:pos="-2268"/>
        </w:tabs>
        <w:suppressAutoHyphens/>
        <w:rPr>
          <w:spacing w:val="-3"/>
        </w:rPr>
      </w:pPr>
    </w:p>
    <w:p w14:paraId="0031EF5D" w14:textId="3C40EC47" w:rsidR="009D132B" w:rsidRPr="004068F6" w:rsidRDefault="009D132B">
      <w:pPr>
        <w:numPr>
          <w:ilvl w:val="12"/>
          <w:numId w:val="0"/>
        </w:numPr>
        <w:tabs>
          <w:tab w:val="left" w:pos="-2268"/>
        </w:tabs>
        <w:suppressAutoHyphens/>
        <w:rPr>
          <w:spacing w:val="-3"/>
        </w:rPr>
      </w:pPr>
      <w:r w:rsidRPr="004068F6">
        <w:rPr>
          <w:spacing w:val="-3"/>
        </w:rPr>
        <w:lastRenderedPageBreak/>
        <w:t xml:space="preserve">Soportar la caracterización de las unidades geológicas superficiales </w:t>
      </w:r>
      <w:r w:rsidRPr="004068F6">
        <w:rPr>
          <w:rFonts w:cs="Arial"/>
          <w:spacing w:val="-3"/>
        </w:rPr>
        <w:t>empleando</w:t>
      </w:r>
      <w:r w:rsidRPr="004068F6">
        <w:rPr>
          <w:spacing w:val="-3"/>
        </w:rPr>
        <w:t xml:space="preserve"> información geológica oficial y estudios de referencia. Se deben caracterizar y cartografiar los depósitos superficiales, incluyendo información sobre porosidad y permeabilidad, espesor, textura, estado de meteorización, color, relación fragmentos/matriz, tamaño y forma de los fragmentos, textura de la matriz, humedad y demás características que permitan determinar los modelos hidrogeológicos y geotécnicos.</w:t>
      </w:r>
    </w:p>
    <w:p w14:paraId="16B86B40" w14:textId="77777777" w:rsidR="009D132B" w:rsidRPr="004068F6" w:rsidRDefault="009D132B">
      <w:pPr>
        <w:numPr>
          <w:ilvl w:val="12"/>
          <w:numId w:val="0"/>
        </w:numPr>
        <w:tabs>
          <w:tab w:val="left" w:pos="-2268"/>
        </w:tabs>
        <w:suppressAutoHyphens/>
        <w:rPr>
          <w:spacing w:val="-3"/>
        </w:rPr>
      </w:pPr>
    </w:p>
    <w:p w14:paraId="6F4E3E7D" w14:textId="3FF4D46C" w:rsidR="006F2C23" w:rsidRPr="004068F6" w:rsidRDefault="006F2C23" w:rsidP="006F2C23">
      <w:pPr>
        <w:numPr>
          <w:ilvl w:val="12"/>
          <w:numId w:val="0"/>
        </w:numPr>
        <w:tabs>
          <w:tab w:val="left" w:pos="-2268"/>
        </w:tabs>
        <w:suppressAutoHyphens/>
        <w:rPr>
          <w:spacing w:val="-3"/>
        </w:rPr>
      </w:pPr>
      <w:r w:rsidRPr="004068F6">
        <w:rPr>
          <w:spacing w:val="-3"/>
        </w:rPr>
        <w:t>En áreas marinas, se deben caracterizar los depósitos superficiales en términos de su espesor, profundidad de capas, textura, tamaño y forma de los fragmentos, composición y color, grado de consolidación y estructura sedimentaria, considerando su influencia en la estabilidad geotécnica y en la interacción con el medio marino.</w:t>
      </w:r>
    </w:p>
    <w:p w14:paraId="0490510F" w14:textId="77777777" w:rsidR="006F2C23" w:rsidRPr="004068F6" w:rsidRDefault="006F2C23">
      <w:pPr>
        <w:numPr>
          <w:ilvl w:val="12"/>
          <w:numId w:val="0"/>
        </w:numPr>
        <w:tabs>
          <w:tab w:val="left" w:pos="-2268"/>
        </w:tabs>
        <w:suppressAutoHyphens/>
        <w:rPr>
          <w:spacing w:val="-3"/>
        </w:rPr>
      </w:pPr>
    </w:p>
    <w:p w14:paraId="3BF72D06" w14:textId="275F2A6D" w:rsidR="009D132B" w:rsidRPr="004068F6" w:rsidRDefault="009D132B">
      <w:pPr>
        <w:numPr>
          <w:ilvl w:val="12"/>
          <w:numId w:val="0"/>
        </w:numPr>
        <w:tabs>
          <w:tab w:val="left" w:pos="-2268"/>
        </w:tabs>
        <w:suppressAutoHyphens/>
        <w:rPr>
          <w:spacing w:val="-3"/>
        </w:rPr>
      </w:pPr>
      <w:r w:rsidRPr="004068F6">
        <w:rPr>
          <w:spacing w:val="-3"/>
        </w:rPr>
        <w:t xml:space="preserve">Presentar las columnas estratigráficas de las rocas sedimentarias y/o en depósitos superficiales, </w:t>
      </w:r>
      <w:r w:rsidR="0074166A" w:rsidRPr="004068F6">
        <w:rPr>
          <w:spacing w:val="-3"/>
        </w:rPr>
        <w:t xml:space="preserve">incluyendo los aluviales, </w:t>
      </w:r>
      <w:r w:rsidRPr="004068F6">
        <w:rPr>
          <w:spacing w:val="-3"/>
        </w:rPr>
        <w:t>en una escala cartográfica de mayor detalle que la escala del mapa geológico del proyecto.</w:t>
      </w:r>
    </w:p>
    <w:p w14:paraId="14871EEC" w14:textId="77777777" w:rsidR="009D132B" w:rsidRPr="004068F6" w:rsidRDefault="009D132B">
      <w:pPr>
        <w:numPr>
          <w:ilvl w:val="12"/>
          <w:numId w:val="0"/>
        </w:numPr>
        <w:tabs>
          <w:tab w:val="left" w:pos="-2268"/>
        </w:tabs>
        <w:suppressAutoHyphens/>
        <w:rPr>
          <w:spacing w:val="-3"/>
        </w:rPr>
      </w:pPr>
    </w:p>
    <w:p w14:paraId="1EBA0453" w14:textId="1315E2BF" w:rsidR="009D132B" w:rsidRPr="004068F6" w:rsidRDefault="009D132B">
      <w:pPr>
        <w:numPr>
          <w:ilvl w:val="12"/>
          <w:numId w:val="0"/>
        </w:numPr>
        <w:tabs>
          <w:tab w:val="left" w:pos="-2268"/>
        </w:tabs>
        <w:suppressAutoHyphens/>
        <w:rPr>
          <w:spacing w:val="-3"/>
        </w:rPr>
      </w:pPr>
      <w:r w:rsidRPr="004068F6">
        <w:rPr>
          <w:rFonts w:cs="Arial"/>
          <w:spacing w:val="-3"/>
        </w:rPr>
        <w:t>En</w:t>
      </w:r>
      <w:r w:rsidRPr="004068F6">
        <w:rPr>
          <w:spacing w:val="-3"/>
        </w:rPr>
        <w:t xml:space="preserve"> el caso de </w:t>
      </w:r>
      <w:r w:rsidRPr="004068F6">
        <w:rPr>
          <w:rFonts w:cs="Arial"/>
          <w:spacing w:val="-3"/>
        </w:rPr>
        <w:t xml:space="preserve">evidenciar </w:t>
      </w:r>
      <w:r w:rsidRPr="004068F6">
        <w:rPr>
          <w:spacing w:val="-3"/>
        </w:rPr>
        <w:t>la presencia de rocas sedimentarias conformadas por partículas tamaño arcilla (arcillolitas / lodolitas)</w:t>
      </w:r>
      <w:r w:rsidR="00104B0D" w:rsidRPr="004068F6">
        <w:rPr>
          <w:spacing w:val="-3"/>
        </w:rPr>
        <w:t xml:space="preserve"> y cuando este tipo de rocas constituyan elementos estructurales de soporte,</w:t>
      </w:r>
      <w:r w:rsidRPr="004068F6">
        <w:rPr>
          <w:spacing w:val="-3"/>
        </w:rPr>
        <w:t xml:space="preserve"> </w:t>
      </w:r>
      <w:r w:rsidRPr="004068F6">
        <w:rPr>
          <w:rFonts w:cs="Arial"/>
          <w:spacing w:val="-3"/>
        </w:rPr>
        <w:t xml:space="preserve">se deben presentar los </w:t>
      </w:r>
      <w:r w:rsidRPr="004068F6">
        <w:rPr>
          <w:spacing w:val="-3"/>
        </w:rPr>
        <w:t>resultados de análisis mineralógicos que identifiquen la presencia o no de arcillas con propiedades expansivas</w:t>
      </w:r>
      <w:r w:rsidR="00DF234E" w:rsidRPr="004068F6">
        <w:rPr>
          <w:spacing w:val="-3"/>
        </w:rPr>
        <w:t xml:space="preserve">, </w:t>
      </w:r>
      <w:r w:rsidR="00104B0D" w:rsidRPr="004068F6">
        <w:rPr>
          <w:spacing w:val="-3"/>
        </w:rPr>
        <w:t xml:space="preserve">siguiendo los lineamientos establecidos </w:t>
      </w:r>
      <w:r w:rsidR="002F020E" w:rsidRPr="004068F6">
        <w:rPr>
          <w:spacing w:val="-3"/>
        </w:rPr>
        <w:t xml:space="preserve">en el numeral </w:t>
      </w:r>
      <w:r w:rsidR="00104B0D" w:rsidRPr="004068F6">
        <w:rPr>
          <w:spacing w:val="-3"/>
        </w:rPr>
        <w:fldChar w:fldCharType="begin"/>
      </w:r>
      <w:r w:rsidR="00104B0D" w:rsidRPr="004068F6">
        <w:rPr>
          <w:spacing w:val="-3"/>
        </w:rPr>
        <w:instrText xml:space="preserve"> REF _Ref76195919 \r \h </w:instrText>
      </w:r>
      <w:r w:rsidR="006A4128" w:rsidRPr="004068F6">
        <w:rPr>
          <w:spacing w:val="-3"/>
        </w:rPr>
        <w:instrText xml:space="preserve"> \* MERGEFORMAT </w:instrText>
      </w:r>
      <w:r w:rsidR="00104B0D" w:rsidRPr="004068F6">
        <w:rPr>
          <w:spacing w:val="-3"/>
        </w:rPr>
      </w:r>
      <w:r w:rsidR="00104B0D" w:rsidRPr="004068F6">
        <w:rPr>
          <w:spacing w:val="-3"/>
        </w:rPr>
        <w:fldChar w:fldCharType="separate"/>
      </w:r>
      <w:r w:rsidR="009C4A81">
        <w:rPr>
          <w:spacing w:val="-3"/>
        </w:rPr>
        <w:t>4.1.1.5</w:t>
      </w:r>
      <w:r w:rsidR="00104B0D" w:rsidRPr="004068F6">
        <w:rPr>
          <w:spacing w:val="-3"/>
        </w:rPr>
        <w:fldChar w:fldCharType="end"/>
      </w:r>
      <w:r w:rsidR="00104B0D" w:rsidRPr="004068F6">
        <w:rPr>
          <w:spacing w:val="-3"/>
        </w:rPr>
        <w:t xml:space="preserve"> (</w:t>
      </w:r>
      <w:r w:rsidR="002F020E" w:rsidRPr="004068F6">
        <w:rPr>
          <w:spacing w:val="-3"/>
        </w:rPr>
        <w:t>Geotecnia</w:t>
      </w:r>
      <w:r w:rsidR="00104B0D" w:rsidRPr="004068F6">
        <w:rPr>
          <w:spacing w:val="-3"/>
        </w:rPr>
        <w:t>)</w:t>
      </w:r>
      <w:r w:rsidR="002F020E" w:rsidRPr="004068F6">
        <w:rPr>
          <w:spacing w:val="-3"/>
        </w:rPr>
        <w:t>.</w:t>
      </w:r>
    </w:p>
    <w:p w14:paraId="41771DEC" w14:textId="77777777" w:rsidR="00D9202E" w:rsidRPr="004068F6" w:rsidRDefault="00D9202E">
      <w:pPr>
        <w:numPr>
          <w:ilvl w:val="12"/>
          <w:numId w:val="0"/>
        </w:numPr>
        <w:tabs>
          <w:tab w:val="left" w:pos="-2268"/>
        </w:tabs>
        <w:suppressAutoHyphens/>
        <w:rPr>
          <w:spacing w:val="-3"/>
        </w:rPr>
      </w:pPr>
    </w:p>
    <w:p w14:paraId="0BDED101" w14:textId="56392D67" w:rsidR="00D9202E" w:rsidRPr="004068F6" w:rsidRDefault="00D9202E">
      <w:pPr>
        <w:numPr>
          <w:ilvl w:val="12"/>
          <w:numId w:val="0"/>
        </w:numPr>
        <w:tabs>
          <w:tab w:val="left" w:pos="-2268"/>
        </w:tabs>
        <w:suppressAutoHyphens/>
        <w:rPr>
          <w:spacing w:val="-3"/>
        </w:rPr>
      </w:pPr>
      <w:r w:rsidRPr="004068F6">
        <w:rPr>
          <w:spacing w:val="-3"/>
        </w:rPr>
        <w:t>En áreas marinas, la viabilidad de la caracterización del sustrato rocoso depende, entre otros factores, del tipo de proyecto, la profundidad de la columna de agua y el alcance requerido en el subsuelo. Por lo tanto, su aplicación debe evaluarse en función de las condiciones ambientales específicas y del tipo de proyecto, obra o actividad.</w:t>
      </w:r>
    </w:p>
    <w:p w14:paraId="6144ADA8" w14:textId="77777777" w:rsidR="009D132B" w:rsidRPr="004068F6" w:rsidRDefault="009D132B">
      <w:pPr>
        <w:numPr>
          <w:ilvl w:val="12"/>
          <w:numId w:val="0"/>
        </w:numPr>
        <w:tabs>
          <w:tab w:val="left" w:pos="-2268"/>
        </w:tabs>
        <w:suppressAutoHyphens/>
        <w:rPr>
          <w:spacing w:val="-3"/>
        </w:rPr>
      </w:pPr>
    </w:p>
    <w:p w14:paraId="22C6E724" w14:textId="77777777" w:rsidR="009D132B" w:rsidRPr="004068F6" w:rsidRDefault="009D132B" w:rsidP="009420F5">
      <w:pPr>
        <w:pStyle w:val="Ttulo4"/>
        <w:tabs>
          <w:tab w:val="clear" w:pos="1844"/>
          <w:tab w:val="num" w:pos="1134"/>
        </w:tabs>
        <w:ind w:left="0"/>
        <w:rPr>
          <w:lang w:val="es-CO"/>
        </w:rPr>
      </w:pPr>
      <w:r w:rsidRPr="004068F6">
        <w:rPr>
          <w:lang w:val="es-CO"/>
        </w:rPr>
        <w:t>Geología estructural</w:t>
      </w:r>
    </w:p>
    <w:p w14:paraId="439E1324" w14:textId="77777777" w:rsidR="009D132B" w:rsidRPr="004068F6" w:rsidRDefault="009D132B">
      <w:pPr>
        <w:numPr>
          <w:ilvl w:val="12"/>
          <w:numId w:val="0"/>
        </w:numPr>
        <w:tabs>
          <w:tab w:val="left" w:pos="-2268"/>
        </w:tabs>
        <w:suppressAutoHyphens/>
        <w:rPr>
          <w:spacing w:val="-3"/>
        </w:rPr>
      </w:pPr>
    </w:p>
    <w:p w14:paraId="2251155C" w14:textId="763B52E9" w:rsidR="009D132B" w:rsidRPr="004068F6" w:rsidRDefault="009D132B">
      <w:pPr>
        <w:numPr>
          <w:ilvl w:val="12"/>
          <w:numId w:val="0"/>
        </w:numPr>
        <w:tabs>
          <w:tab w:val="left" w:pos="-2268"/>
        </w:tabs>
        <w:suppressAutoHyphens/>
        <w:rPr>
          <w:spacing w:val="-3"/>
        </w:rPr>
      </w:pPr>
      <w:r w:rsidRPr="004068F6">
        <w:rPr>
          <w:spacing w:val="-3"/>
        </w:rPr>
        <w:t xml:space="preserve">Presentar </w:t>
      </w:r>
      <w:r w:rsidR="00900A47" w:rsidRPr="004068F6">
        <w:rPr>
          <w:spacing w:val="-3"/>
        </w:rPr>
        <w:t xml:space="preserve">la </w:t>
      </w:r>
      <w:r w:rsidRPr="004068F6">
        <w:rPr>
          <w:spacing w:val="-3"/>
        </w:rPr>
        <w:t>caracterización de las estructuras geológicas regionales y locales, así como los lineamientos fotogeológicos y diaclasas.</w:t>
      </w:r>
    </w:p>
    <w:p w14:paraId="1BAD36A0" w14:textId="77777777" w:rsidR="009D132B" w:rsidRPr="004068F6" w:rsidRDefault="009D132B">
      <w:pPr>
        <w:numPr>
          <w:ilvl w:val="12"/>
          <w:numId w:val="0"/>
        </w:numPr>
        <w:tabs>
          <w:tab w:val="left" w:pos="-2268"/>
        </w:tabs>
        <w:suppressAutoHyphens/>
        <w:rPr>
          <w:spacing w:val="-3"/>
        </w:rPr>
      </w:pPr>
    </w:p>
    <w:p w14:paraId="5F15678C" w14:textId="77777777" w:rsidR="009D132B" w:rsidRPr="004068F6" w:rsidRDefault="009D132B">
      <w:pPr>
        <w:numPr>
          <w:ilvl w:val="12"/>
          <w:numId w:val="0"/>
        </w:numPr>
        <w:tabs>
          <w:tab w:val="left" w:pos="-2268"/>
        </w:tabs>
        <w:suppressAutoHyphens/>
        <w:rPr>
          <w:spacing w:val="-3"/>
        </w:rPr>
      </w:pPr>
      <w:r w:rsidRPr="004068F6">
        <w:rPr>
          <w:spacing w:val="-3"/>
        </w:rPr>
        <w:t>Elaborar y presentar el análisis de rasgos tectónicos con base en la interpretación de imágenes de sensores remotos y fotografías aéreas, indicando las frecuencias de direcciones y las zonas de máxima densidad de lineamientos.</w:t>
      </w:r>
    </w:p>
    <w:p w14:paraId="53325461" w14:textId="77777777" w:rsidR="009D132B" w:rsidRPr="004068F6" w:rsidRDefault="009D132B">
      <w:pPr>
        <w:numPr>
          <w:ilvl w:val="12"/>
          <w:numId w:val="0"/>
        </w:numPr>
        <w:tabs>
          <w:tab w:val="left" w:pos="-2268"/>
        </w:tabs>
        <w:suppressAutoHyphens/>
        <w:rPr>
          <w:spacing w:val="-3"/>
        </w:rPr>
      </w:pPr>
    </w:p>
    <w:p w14:paraId="4CDBE401" w14:textId="77777777" w:rsidR="009D132B" w:rsidRPr="004068F6" w:rsidRDefault="009D132B">
      <w:pPr>
        <w:numPr>
          <w:ilvl w:val="12"/>
          <w:numId w:val="0"/>
        </w:numPr>
        <w:tabs>
          <w:tab w:val="left" w:pos="-2268"/>
        </w:tabs>
        <w:suppressAutoHyphens/>
        <w:rPr>
          <w:spacing w:val="-3"/>
        </w:rPr>
      </w:pPr>
      <w:r w:rsidRPr="004068F6">
        <w:rPr>
          <w:spacing w:val="-3"/>
        </w:rPr>
        <w:t>Entregar la localización cartográfica y la caracterización de las fallas locales indicando su orientación, sentido, ancho de la zona de falla, presencia de brechas, entre otras características.</w:t>
      </w:r>
    </w:p>
    <w:p w14:paraId="2AC6E13E" w14:textId="77777777" w:rsidR="009D132B" w:rsidRPr="004068F6" w:rsidRDefault="009D132B">
      <w:pPr>
        <w:numPr>
          <w:ilvl w:val="12"/>
          <w:numId w:val="0"/>
        </w:numPr>
        <w:tabs>
          <w:tab w:val="left" w:pos="-2268"/>
        </w:tabs>
        <w:suppressAutoHyphens/>
        <w:rPr>
          <w:spacing w:val="-3"/>
        </w:rPr>
      </w:pPr>
    </w:p>
    <w:p w14:paraId="2ABBCA10" w14:textId="77777777" w:rsidR="009D132B" w:rsidRPr="004068F6" w:rsidRDefault="009D132B">
      <w:pPr>
        <w:numPr>
          <w:ilvl w:val="12"/>
          <w:numId w:val="0"/>
        </w:numPr>
        <w:tabs>
          <w:tab w:val="left" w:pos="-2268"/>
        </w:tabs>
        <w:suppressAutoHyphens/>
        <w:rPr>
          <w:spacing w:val="-3"/>
        </w:rPr>
      </w:pPr>
      <w:r w:rsidRPr="004068F6">
        <w:rPr>
          <w:spacing w:val="-3"/>
        </w:rPr>
        <w:lastRenderedPageBreak/>
        <w:t>Presentar información de la caracterización de las fracturas, incluyendo datos de los planos de fracturamiento y los resultados de los diagramas de paleoesfuerzos, con el fin de establecer fuentes de sismogeneración.</w:t>
      </w:r>
    </w:p>
    <w:p w14:paraId="014386AE" w14:textId="77777777" w:rsidR="009D132B" w:rsidRPr="004068F6" w:rsidRDefault="009D132B">
      <w:pPr>
        <w:numPr>
          <w:ilvl w:val="12"/>
          <w:numId w:val="0"/>
        </w:numPr>
        <w:tabs>
          <w:tab w:val="left" w:pos="-2268"/>
        </w:tabs>
        <w:suppressAutoHyphens/>
        <w:rPr>
          <w:spacing w:val="-3"/>
        </w:rPr>
      </w:pPr>
    </w:p>
    <w:p w14:paraId="169283E6" w14:textId="22185884" w:rsidR="009D132B" w:rsidRPr="004068F6" w:rsidRDefault="00D9202E">
      <w:pPr>
        <w:numPr>
          <w:ilvl w:val="12"/>
          <w:numId w:val="0"/>
        </w:numPr>
        <w:tabs>
          <w:tab w:val="left" w:pos="-2268"/>
        </w:tabs>
        <w:suppressAutoHyphens/>
        <w:rPr>
          <w:spacing w:val="-3"/>
        </w:rPr>
      </w:pPr>
      <w:r w:rsidRPr="004068F6">
        <w:rPr>
          <w:spacing w:val="-3"/>
        </w:rPr>
        <w:t>En áreas terrestres, l</w:t>
      </w:r>
      <w:r w:rsidR="009D132B" w:rsidRPr="004068F6">
        <w:rPr>
          <w:spacing w:val="-3"/>
        </w:rPr>
        <w:t xml:space="preserve">a información relacionada con las unidades estratigráficas y los rasgos estructurales, que está soportada en perfiles estratigráficos, debe tener </w:t>
      </w:r>
      <w:r w:rsidR="00104B0D" w:rsidRPr="004068F6">
        <w:rPr>
          <w:spacing w:val="-3"/>
        </w:rPr>
        <w:t xml:space="preserve">un </w:t>
      </w:r>
      <w:r w:rsidR="009D132B" w:rsidRPr="004068F6">
        <w:rPr>
          <w:spacing w:val="-3"/>
        </w:rPr>
        <w:t>registro fotográfico debidamente fechado, identificado y georreferenciado.</w:t>
      </w:r>
      <w:r w:rsidRPr="004068F6">
        <w:rPr>
          <w:spacing w:val="-3"/>
        </w:rPr>
        <w:t xml:space="preserve"> Para áreas marinas, esa misma información puede basarse en otras fuentes, que deben ser referenciadas en el estudio ambiental.</w:t>
      </w:r>
    </w:p>
    <w:p w14:paraId="0DDADB5C" w14:textId="77777777" w:rsidR="009D132B" w:rsidRPr="004068F6" w:rsidRDefault="009D132B">
      <w:pPr>
        <w:numPr>
          <w:ilvl w:val="12"/>
          <w:numId w:val="0"/>
        </w:numPr>
        <w:tabs>
          <w:tab w:val="left" w:pos="-2268"/>
        </w:tabs>
        <w:suppressAutoHyphens/>
        <w:rPr>
          <w:spacing w:val="-3"/>
        </w:rPr>
      </w:pPr>
    </w:p>
    <w:p w14:paraId="201E1E5F" w14:textId="09F4DC30" w:rsidR="009D132B" w:rsidRPr="004068F6" w:rsidRDefault="00A01691">
      <w:pPr>
        <w:numPr>
          <w:ilvl w:val="12"/>
          <w:numId w:val="0"/>
        </w:numPr>
        <w:tabs>
          <w:tab w:val="left" w:pos="-2268"/>
        </w:tabs>
        <w:suppressAutoHyphens/>
        <w:rPr>
          <w:spacing w:val="-3"/>
        </w:rPr>
      </w:pPr>
      <w:r w:rsidRPr="004068F6">
        <w:rPr>
          <w:spacing w:val="-3"/>
        </w:rPr>
        <w:t>Si</w:t>
      </w:r>
      <w:r w:rsidR="009D132B" w:rsidRPr="004068F6">
        <w:rPr>
          <w:spacing w:val="-3"/>
        </w:rPr>
        <w:t xml:space="preserve"> </w:t>
      </w:r>
      <w:r w:rsidR="009D132B" w:rsidRPr="004068F6">
        <w:rPr>
          <w:rFonts w:cs="Arial"/>
          <w:spacing w:val="-3"/>
        </w:rPr>
        <w:t xml:space="preserve">el </w:t>
      </w:r>
      <w:r w:rsidR="00676DE6" w:rsidRPr="004068F6">
        <w:rPr>
          <w:rFonts w:cs="Arial"/>
          <w:spacing w:val="-3"/>
        </w:rPr>
        <w:t>proyecto, obra o actividad</w:t>
      </w:r>
      <w:r w:rsidR="009D132B" w:rsidRPr="004068F6">
        <w:rPr>
          <w:rFonts w:cs="Arial"/>
          <w:spacing w:val="-3"/>
        </w:rPr>
        <w:t xml:space="preserve"> contempl</w:t>
      </w:r>
      <w:r w:rsidRPr="004068F6">
        <w:rPr>
          <w:rFonts w:cs="Arial"/>
          <w:spacing w:val="-3"/>
        </w:rPr>
        <w:t>a</w:t>
      </w:r>
      <w:r w:rsidR="009D132B" w:rsidRPr="004068F6">
        <w:rPr>
          <w:spacing w:val="-3"/>
        </w:rPr>
        <w:t xml:space="preserve"> la construcción de túneles,</w:t>
      </w:r>
      <w:r w:rsidR="009D132B" w:rsidRPr="004068F6">
        <w:rPr>
          <w:rFonts w:cs="Arial"/>
          <w:spacing w:val="-3"/>
        </w:rPr>
        <w:t xml:space="preserve"> represas, viaductos, actividades mineras</w:t>
      </w:r>
      <w:r w:rsidR="001C2B01" w:rsidRPr="004068F6">
        <w:rPr>
          <w:rFonts w:cs="Arial"/>
          <w:spacing w:val="-3"/>
        </w:rPr>
        <w:t>, actividades de exploración o explotación de hidrocarburos</w:t>
      </w:r>
      <w:r w:rsidR="009D132B" w:rsidRPr="004068F6">
        <w:rPr>
          <w:rFonts w:cs="Arial"/>
          <w:spacing w:val="-3"/>
        </w:rPr>
        <w:t xml:space="preserve"> o</w:t>
      </w:r>
      <w:r w:rsidR="00A812E2">
        <w:rPr>
          <w:rFonts w:cs="Arial"/>
          <w:spacing w:val="-3"/>
        </w:rPr>
        <w:t>,</w:t>
      </w:r>
      <w:r w:rsidR="009D132B" w:rsidRPr="004068F6">
        <w:rPr>
          <w:rFonts w:cs="Arial"/>
          <w:spacing w:val="-3"/>
        </w:rPr>
        <w:t xml:space="preserve"> </w:t>
      </w:r>
      <w:r w:rsidR="00B86C91">
        <w:rPr>
          <w:rFonts w:cs="Arial"/>
          <w:spacing w:val="-3"/>
        </w:rPr>
        <w:t xml:space="preserve">si </w:t>
      </w:r>
      <w:r w:rsidR="004C3D4F">
        <w:rPr>
          <w:rFonts w:cs="Arial"/>
          <w:spacing w:val="-3"/>
        </w:rPr>
        <w:t xml:space="preserve">genera </w:t>
      </w:r>
      <w:r w:rsidR="008950DC">
        <w:rPr>
          <w:rFonts w:cs="Arial"/>
          <w:spacing w:val="-3"/>
        </w:rPr>
        <w:t xml:space="preserve">impactos </w:t>
      </w:r>
      <w:r w:rsidR="008950DC" w:rsidRPr="008950DC">
        <w:rPr>
          <w:rFonts w:cs="Arial"/>
          <w:spacing w:val="-3"/>
        </w:rPr>
        <w:t>irreversible</w:t>
      </w:r>
      <w:r w:rsidR="008950DC">
        <w:rPr>
          <w:rFonts w:cs="Arial"/>
          <w:spacing w:val="-3"/>
        </w:rPr>
        <w:t>s</w:t>
      </w:r>
      <w:r w:rsidR="008950DC" w:rsidRPr="008950DC">
        <w:rPr>
          <w:rFonts w:cs="Arial"/>
          <w:spacing w:val="-3"/>
        </w:rPr>
        <w:t xml:space="preserve"> o </w:t>
      </w:r>
      <w:r w:rsidR="00537992">
        <w:rPr>
          <w:rFonts w:cs="Arial"/>
          <w:spacing w:val="-3"/>
        </w:rPr>
        <w:t xml:space="preserve">significativos </w:t>
      </w:r>
      <w:r w:rsidR="002B46D5">
        <w:rPr>
          <w:rFonts w:cs="Arial"/>
          <w:spacing w:val="-3"/>
        </w:rPr>
        <w:t xml:space="preserve">a </w:t>
      </w:r>
      <w:r w:rsidR="008950DC" w:rsidRPr="008950DC">
        <w:rPr>
          <w:rFonts w:cs="Arial"/>
          <w:spacing w:val="-3"/>
        </w:rPr>
        <w:t xml:space="preserve">la </w:t>
      </w:r>
      <w:r w:rsidR="002B46D5">
        <w:rPr>
          <w:rFonts w:cs="Arial"/>
          <w:spacing w:val="-3"/>
        </w:rPr>
        <w:t xml:space="preserve">estructura </w:t>
      </w:r>
      <w:r w:rsidR="00767EA6">
        <w:rPr>
          <w:rFonts w:cs="Arial"/>
          <w:spacing w:val="-3"/>
        </w:rPr>
        <w:t xml:space="preserve">geológica </w:t>
      </w:r>
      <w:r w:rsidR="00537992">
        <w:rPr>
          <w:rFonts w:cs="Arial"/>
          <w:spacing w:val="-3"/>
        </w:rPr>
        <w:t xml:space="preserve">en </w:t>
      </w:r>
      <w:r w:rsidR="00651FC5">
        <w:rPr>
          <w:rFonts w:cs="Arial"/>
          <w:spacing w:val="-3"/>
        </w:rPr>
        <w:t>el área de influencia</w:t>
      </w:r>
      <w:r w:rsidR="009D132B" w:rsidRPr="004068F6">
        <w:rPr>
          <w:rFonts w:cs="Arial"/>
          <w:spacing w:val="-3"/>
        </w:rPr>
        <w:t>, se debe</w:t>
      </w:r>
      <w:r w:rsidR="009D132B" w:rsidRPr="004068F6">
        <w:rPr>
          <w:spacing w:val="-3"/>
        </w:rPr>
        <w:t xml:space="preserve"> presentar el modelo geológico prospectado y técnicamente sustentado, del cual se obtenga la siguiente información:</w:t>
      </w:r>
    </w:p>
    <w:p w14:paraId="3E7FD859" w14:textId="77777777" w:rsidR="009D132B" w:rsidRPr="004068F6" w:rsidRDefault="009D132B">
      <w:pPr>
        <w:numPr>
          <w:ilvl w:val="12"/>
          <w:numId w:val="0"/>
        </w:numPr>
        <w:tabs>
          <w:tab w:val="left" w:pos="-2268"/>
        </w:tabs>
        <w:suppressAutoHyphens/>
        <w:rPr>
          <w:spacing w:val="-3"/>
        </w:rPr>
      </w:pPr>
    </w:p>
    <w:p w14:paraId="499BA882" w14:textId="77777777" w:rsidR="009D132B" w:rsidRPr="004068F6" w:rsidRDefault="009D132B" w:rsidP="00C86DA5">
      <w:pPr>
        <w:numPr>
          <w:ilvl w:val="0"/>
          <w:numId w:val="116"/>
        </w:numPr>
        <w:tabs>
          <w:tab w:val="clear" w:pos="360"/>
        </w:tabs>
        <w:suppressAutoHyphens/>
        <w:ind w:left="567" w:hanging="567"/>
        <w:rPr>
          <w:spacing w:val="-3"/>
        </w:rPr>
      </w:pPr>
      <w:r w:rsidRPr="004068F6">
        <w:rPr>
          <w:spacing w:val="-3"/>
        </w:rPr>
        <w:t>Definición, localización y cuantificación de las actividades de exploración geológica directa por medio de perforaciones con recuperación de núcleo, e indirecta por medio de prospección geofísica y sus respectivos registros, realizadas sobre los corredores y áreas de las obras subterráneas a construir, tales como túneles de desviación del proyecto, casas de máquinas, pozos, entre otras.</w:t>
      </w:r>
    </w:p>
    <w:p w14:paraId="739C6109" w14:textId="77777777" w:rsidR="009D132B" w:rsidRPr="004068F6" w:rsidRDefault="009D132B">
      <w:pPr>
        <w:suppressAutoHyphens/>
        <w:rPr>
          <w:spacing w:val="-3"/>
        </w:rPr>
      </w:pPr>
    </w:p>
    <w:p w14:paraId="51437FFE" w14:textId="5CE8A1BD" w:rsidR="009D132B" w:rsidRPr="004068F6" w:rsidRDefault="00900A47" w:rsidP="00C86DA5">
      <w:pPr>
        <w:numPr>
          <w:ilvl w:val="0"/>
          <w:numId w:val="116"/>
        </w:numPr>
        <w:tabs>
          <w:tab w:val="clear" w:pos="360"/>
        </w:tabs>
        <w:suppressAutoHyphens/>
        <w:ind w:left="567" w:hanging="567"/>
        <w:rPr>
          <w:spacing w:val="-3"/>
        </w:rPr>
      </w:pPr>
      <w:r w:rsidRPr="004068F6">
        <w:rPr>
          <w:spacing w:val="-3"/>
        </w:rPr>
        <w:t xml:space="preserve">Determinación </w:t>
      </w:r>
      <w:r w:rsidR="009D132B" w:rsidRPr="004068F6">
        <w:rPr>
          <w:spacing w:val="-3"/>
        </w:rPr>
        <w:t>de las unidades litológicas y situación geológico-estructural a lo largo del corredor del túnel, que permita conocer la condición geológica del macizo rocoso. Para este propósito se requiere esquematizar el modelo en planta y perfiles longitudinales y transversales a la escala que establezcan los términos de referencia, o a una más detallada si el análisis lo requiere, dependiendo de la longitud del túnel, considerando siempre que se debe brindar la suficiente claridad e ilustración para una adecuada comprensión de las condiciones geológicas de</w:t>
      </w:r>
      <w:r w:rsidR="00AF156E" w:rsidRPr="004068F6">
        <w:rPr>
          <w:spacing w:val="-3"/>
        </w:rPr>
        <w:t xml:space="preserve"> la zona del </w:t>
      </w:r>
      <w:r w:rsidR="009D132B" w:rsidRPr="004068F6">
        <w:rPr>
          <w:spacing w:val="-3"/>
        </w:rPr>
        <w:t>túnel propuesto.</w:t>
      </w:r>
    </w:p>
    <w:p w14:paraId="25921881" w14:textId="77777777" w:rsidR="009D132B" w:rsidRPr="004068F6" w:rsidRDefault="009D132B">
      <w:pPr>
        <w:suppressAutoHyphens/>
        <w:rPr>
          <w:spacing w:val="-3"/>
        </w:rPr>
      </w:pPr>
    </w:p>
    <w:p w14:paraId="70C2CF8C" w14:textId="73FADF80" w:rsidR="009D132B" w:rsidRPr="004068F6" w:rsidRDefault="009D132B" w:rsidP="00C86DA5">
      <w:pPr>
        <w:numPr>
          <w:ilvl w:val="0"/>
          <w:numId w:val="116"/>
        </w:numPr>
        <w:tabs>
          <w:tab w:val="clear" w:pos="360"/>
        </w:tabs>
        <w:suppressAutoHyphens/>
        <w:ind w:left="567" w:hanging="567"/>
        <w:rPr>
          <w:spacing w:val="-3"/>
        </w:rPr>
      </w:pPr>
      <w:r w:rsidRPr="004068F6">
        <w:rPr>
          <w:spacing w:val="-3"/>
        </w:rPr>
        <w:t xml:space="preserve">Caracterización del macizo rocoso, </w:t>
      </w:r>
      <w:r w:rsidR="002A6D28" w:rsidRPr="004068F6">
        <w:rPr>
          <w:spacing w:val="-3"/>
        </w:rPr>
        <w:t xml:space="preserve">determinación </w:t>
      </w:r>
      <w:r w:rsidRPr="004068F6">
        <w:rPr>
          <w:spacing w:val="-3"/>
        </w:rPr>
        <w:t xml:space="preserve">del estado de las discontinuidades y análisis cinemático del macizo para establecer la posibilidad de falla por la alteración del contorno del túnel. La caracterización del macizo rocoso debe diferenciar los dominios estructurales y la capacidad hidrogeológica; asimismo, se debe anexar el registro de </w:t>
      </w:r>
      <w:r w:rsidR="003C70CD" w:rsidRPr="004068F6">
        <w:rPr>
          <w:spacing w:val="-3"/>
        </w:rPr>
        <w:t xml:space="preserve">los </w:t>
      </w:r>
      <w:r w:rsidRPr="004068F6">
        <w:rPr>
          <w:spacing w:val="-3"/>
        </w:rPr>
        <w:t>datos</w:t>
      </w:r>
      <w:r w:rsidR="00AF156E" w:rsidRPr="004068F6">
        <w:rPr>
          <w:spacing w:val="-3"/>
        </w:rPr>
        <w:t xml:space="preserve"> </w:t>
      </w:r>
      <w:r w:rsidRPr="004068F6">
        <w:rPr>
          <w:spacing w:val="-3"/>
        </w:rPr>
        <w:t>estructurales levantados en campo.</w:t>
      </w:r>
    </w:p>
    <w:p w14:paraId="7CA12105" w14:textId="77777777" w:rsidR="009D132B" w:rsidRPr="004068F6" w:rsidRDefault="009D132B">
      <w:pPr>
        <w:suppressAutoHyphens/>
        <w:rPr>
          <w:spacing w:val="-3"/>
        </w:rPr>
      </w:pPr>
    </w:p>
    <w:p w14:paraId="4C7CC410" w14:textId="607CBBC3" w:rsidR="009D132B" w:rsidRPr="004068F6" w:rsidRDefault="00900A47" w:rsidP="00C86DA5">
      <w:pPr>
        <w:numPr>
          <w:ilvl w:val="0"/>
          <w:numId w:val="116"/>
        </w:numPr>
        <w:tabs>
          <w:tab w:val="clear" w:pos="360"/>
        </w:tabs>
        <w:suppressAutoHyphens/>
        <w:ind w:left="567" w:hanging="567"/>
        <w:rPr>
          <w:spacing w:val="-3"/>
        </w:rPr>
      </w:pPr>
      <w:r w:rsidRPr="004068F6">
        <w:rPr>
          <w:spacing w:val="-3"/>
        </w:rPr>
        <w:t xml:space="preserve">Determinación </w:t>
      </w:r>
      <w:r w:rsidR="009D132B" w:rsidRPr="004068F6">
        <w:rPr>
          <w:spacing w:val="-3"/>
        </w:rPr>
        <w:t xml:space="preserve">de tramos con diferentes calidades de roca y zonificación geológica a lo largo de los ejes de los túneles y en el contorno de las casas de máquinas, dependiendo del estado del macizo (roca sana, roca parcialmente </w:t>
      </w:r>
      <w:r w:rsidR="009D132B" w:rsidRPr="004068F6">
        <w:rPr>
          <w:spacing w:val="-3"/>
        </w:rPr>
        <w:lastRenderedPageBreak/>
        <w:t>meteorizada, roca fracturada, roca alterada hidrotermalmente, corredores de falla, entre otras).</w:t>
      </w:r>
    </w:p>
    <w:p w14:paraId="697A6E68" w14:textId="77777777" w:rsidR="009D132B" w:rsidRPr="004068F6" w:rsidRDefault="009D132B">
      <w:pPr>
        <w:suppressAutoHyphens/>
        <w:rPr>
          <w:spacing w:val="-3"/>
        </w:rPr>
      </w:pPr>
    </w:p>
    <w:p w14:paraId="18EA6865" w14:textId="77777777" w:rsidR="009D132B" w:rsidRPr="004068F6" w:rsidRDefault="009D132B" w:rsidP="00C86DA5">
      <w:pPr>
        <w:numPr>
          <w:ilvl w:val="0"/>
          <w:numId w:val="116"/>
        </w:numPr>
        <w:tabs>
          <w:tab w:val="clear" w:pos="360"/>
        </w:tabs>
        <w:suppressAutoHyphens/>
        <w:ind w:left="567" w:hanging="567"/>
        <w:rPr>
          <w:spacing w:val="-3"/>
        </w:rPr>
      </w:pPr>
      <w:r w:rsidRPr="004068F6">
        <w:rPr>
          <w:spacing w:val="-3"/>
        </w:rPr>
        <w:t>Mapa de formaciones superficiales en términos del origen y estado de material aflorante y su condición como material de ingeniería, diferenciándolo entre suelo depositado, suelo residual, roca meteorizada, saprolito, rellenos antrópicos, entre otros.</w:t>
      </w:r>
    </w:p>
    <w:p w14:paraId="73B3B1A5" w14:textId="77777777" w:rsidR="009D132B" w:rsidRPr="004068F6" w:rsidRDefault="009D132B">
      <w:pPr>
        <w:numPr>
          <w:ilvl w:val="12"/>
          <w:numId w:val="0"/>
        </w:numPr>
        <w:tabs>
          <w:tab w:val="left" w:pos="-2268"/>
        </w:tabs>
        <w:suppressAutoHyphens/>
        <w:rPr>
          <w:spacing w:val="-3"/>
        </w:rPr>
      </w:pPr>
    </w:p>
    <w:p w14:paraId="4FB307AB" w14:textId="2807CD00" w:rsidR="009D132B" w:rsidRPr="004068F6" w:rsidRDefault="009D132B">
      <w:pPr>
        <w:numPr>
          <w:ilvl w:val="12"/>
          <w:numId w:val="0"/>
        </w:numPr>
        <w:tabs>
          <w:tab w:val="left" w:pos="-2268"/>
        </w:tabs>
        <w:suppressAutoHyphens/>
        <w:rPr>
          <w:spacing w:val="-3"/>
        </w:rPr>
      </w:pPr>
      <w:r w:rsidRPr="004068F6">
        <w:rPr>
          <w:spacing w:val="-3"/>
        </w:rPr>
        <w:t xml:space="preserve">Esta información debe ser ajustada a partir de datos existentes, utilizando las técnicas disponibles y </w:t>
      </w:r>
      <w:r w:rsidRPr="004068F6">
        <w:rPr>
          <w:rFonts w:cs="Arial"/>
          <w:spacing w:val="-3"/>
        </w:rPr>
        <w:t xml:space="preserve">manteniendo </w:t>
      </w:r>
      <w:r w:rsidRPr="004068F6">
        <w:rPr>
          <w:spacing w:val="-3"/>
        </w:rPr>
        <w:t xml:space="preserve">consistencia con la nomenclatura geológica nacional establecida por el SGC, así como con la establecida en los rangos de dominio </w:t>
      </w:r>
      <w:r w:rsidRPr="004068F6">
        <w:rPr>
          <w:rFonts w:cs="Arial"/>
          <w:spacing w:val="-3"/>
        </w:rPr>
        <w:t xml:space="preserve">del Modelo </w:t>
      </w:r>
      <w:r w:rsidRPr="004068F6">
        <w:rPr>
          <w:spacing w:val="-3"/>
        </w:rPr>
        <w:t xml:space="preserve">de </w:t>
      </w:r>
      <w:r w:rsidRPr="004068F6">
        <w:rPr>
          <w:rFonts w:cs="Arial"/>
          <w:spacing w:val="-3"/>
        </w:rPr>
        <w:t>Almacenamiento Geográfico.</w:t>
      </w:r>
      <w:r w:rsidRPr="004068F6">
        <w:rPr>
          <w:spacing w:val="-3"/>
        </w:rPr>
        <w:t xml:space="preserve"> La información cartográfica general del proyecto</w:t>
      </w:r>
      <w:r w:rsidR="00C92C16" w:rsidRPr="004068F6">
        <w:rPr>
          <w:spacing w:val="-3"/>
        </w:rPr>
        <w:t>, obra o actividad</w:t>
      </w:r>
      <w:r w:rsidRPr="004068F6">
        <w:rPr>
          <w:spacing w:val="-3"/>
        </w:rPr>
        <w:t xml:space="preserve"> debe presentarse a la escala que establezcan los términos de referencia, o a una más detallada si las características </w:t>
      </w:r>
      <w:r w:rsidR="004A21E7" w:rsidRPr="004068F6">
        <w:rPr>
          <w:spacing w:val="-3"/>
        </w:rPr>
        <w:t>de este</w:t>
      </w:r>
      <w:r w:rsidRPr="004068F6">
        <w:rPr>
          <w:spacing w:val="-3"/>
        </w:rPr>
        <w:t xml:space="preserve"> así lo requieren.</w:t>
      </w:r>
    </w:p>
    <w:p w14:paraId="223A075C" w14:textId="77777777" w:rsidR="009D132B" w:rsidRPr="004068F6" w:rsidRDefault="009D132B">
      <w:pPr>
        <w:numPr>
          <w:ilvl w:val="12"/>
          <w:numId w:val="0"/>
        </w:numPr>
        <w:tabs>
          <w:tab w:val="left" w:pos="-2268"/>
        </w:tabs>
        <w:suppressAutoHyphens/>
        <w:rPr>
          <w:spacing w:val="-3"/>
        </w:rPr>
      </w:pPr>
    </w:p>
    <w:p w14:paraId="27391EE7" w14:textId="77777777" w:rsidR="009D132B" w:rsidRPr="004068F6" w:rsidRDefault="009D132B" w:rsidP="009420F5">
      <w:pPr>
        <w:pStyle w:val="Ttulo4"/>
        <w:tabs>
          <w:tab w:val="clear" w:pos="1844"/>
          <w:tab w:val="num" w:pos="1134"/>
        </w:tabs>
        <w:ind w:left="0"/>
        <w:rPr>
          <w:lang w:val="es-CO"/>
        </w:rPr>
      </w:pPr>
      <w:r w:rsidRPr="004068F6">
        <w:rPr>
          <w:lang w:val="es-CO"/>
        </w:rPr>
        <w:t>Sismicidad</w:t>
      </w:r>
    </w:p>
    <w:p w14:paraId="55634C86" w14:textId="77777777" w:rsidR="009D132B" w:rsidRPr="004068F6" w:rsidRDefault="009D132B">
      <w:pPr>
        <w:numPr>
          <w:ilvl w:val="12"/>
          <w:numId w:val="0"/>
        </w:numPr>
        <w:tabs>
          <w:tab w:val="left" w:pos="-2268"/>
        </w:tabs>
        <w:suppressAutoHyphens/>
        <w:rPr>
          <w:spacing w:val="-3"/>
        </w:rPr>
      </w:pPr>
    </w:p>
    <w:p w14:paraId="5D7B8AE4" w14:textId="2E7D71EB" w:rsidR="009D132B" w:rsidRPr="004068F6" w:rsidRDefault="009D132B">
      <w:pPr>
        <w:numPr>
          <w:ilvl w:val="12"/>
          <w:numId w:val="0"/>
        </w:numPr>
        <w:tabs>
          <w:tab w:val="left" w:pos="-2268"/>
        </w:tabs>
        <w:suppressAutoHyphens/>
        <w:rPr>
          <w:spacing w:val="-3"/>
        </w:rPr>
      </w:pPr>
      <w:r w:rsidRPr="004068F6">
        <w:rPr>
          <w:spacing w:val="-3"/>
        </w:rPr>
        <w:t>Presentar una descripción de la sismicidad, a partir de la información evaluada para definir el emplazamiento, diseño, construcción y operación del proyecto</w:t>
      </w:r>
      <w:r w:rsidR="00D6783F" w:rsidRPr="004068F6">
        <w:rPr>
          <w:spacing w:val="-3"/>
        </w:rPr>
        <w:t>, obra o actividad</w:t>
      </w:r>
      <w:r w:rsidRPr="004068F6">
        <w:rPr>
          <w:spacing w:val="-3"/>
        </w:rPr>
        <w:t>.</w:t>
      </w:r>
    </w:p>
    <w:p w14:paraId="678C4157" w14:textId="77777777" w:rsidR="009D132B" w:rsidRPr="004068F6" w:rsidRDefault="009D132B">
      <w:pPr>
        <w:numPr>
          <w:ilvl w:val="12"/>
          <w:numId w:val="0"/>
        </w:numPr>
        <w:tabs>
          <w:tab w:val="left" w:pos="-2268"/>
        </w:tabs>
        <w:suppressAutoHyphens/>
        <w:rPr>
          <w:spacing w:val="-3"/>
        </w:rPr>
      </w:pPr>
    </w:p>
    <w:p w14:paraId="0AB391C2" w14:textId="3CA48B4D" w:rsidR="009D132B" w:rsidRPr="004068F6" w:rsidRDefault="009D132B">
      <w:pPr>
        <w:numPr>
          <w:ilvl w:val="12"/>
          <w:numId w:val="0"/>
        </w:numPr>
        <w:tabs>
          <w:tab w:val="left" w:pos="-2268"/>
        </w:tabs>
        <w:suppressAutoHyphens/>
        <w:rPr>
          <w:spacing w:val="-3"/>
        </w:rPr>
      </w:pPr>
      <w:r w:rsidRPr="004068F6">
        <w:rPr>
          <w:spacing w:val="-3"/>
        </w:rPr>
        <w:t xml:space="preserve">Presentar el análisis de la información de sismos históricos y su relación con las fallas geológicas cartografiadas, el desarrollo de deslizamientos, los flujos torrenciales, o en general con </w:t>
      </w:r>
      <w:r w:rsidR="00D6783F" w:rsidRPr="004068F6">
        <w:rPr>
          <w:spacing w:val="-3"/>
        </w:rPr>
        <w:t xml:space="preserve">los </w:t>
      </w:r>
      <w:r w:rsidRPr="004068F6">
        <w:rPr>
          <w:spacing w:val="-3"/>
        </w:rPr>
        <w:t>procesos denudativos o de transporte de masas.</w:t>
      </w:r>
    </w:p>
    <w:p w14:paraId="25EB6937" w14:textId="77777777" w:rsidR="009D132B" w:rsidRPr="004068F6" w:rsidRDefault="009D132B">
      <w:pPr>
        <w:numPr>
          <w:ilvl w:val="12"/>
          <w:numId w:val="0"/>
        </w:numPr>
        <w:tabs>
          <w:tab w:val="left" w:pos="-2268"/>
        </w:tabs>
        <w:suppressAutoHyphens/>
        <w:rPr>
          <w:spacing w:val="-3"/>
        </w:rPr>
      </w:pPr>
    </w:p>
    <w:p w14:paraId="53301D20" w14:textId="1D8813F3" w:rsidR="009D132B" w:rsidRPr="004068F6" w:rsidRDefault="009D132B">
      <w:pPr>
        <w:numPr>
          <w:ilvl w:val="12"/>
          <w:numId w:val="0"/>
        </w:numPr>
        <w:tabs>
          <w:tab w:val="left" w:pos="-2268"/>
        </w:tabs>
        <w:suppressAutoHyphens/>
        <w:rPr>
          <w:spacing w:val="-3"/>
        </w:rPr>
      </w:pPr>
      <w:r w:rsidRPr="004068F6">
        <w:rPr>
          <w:spacing w:val="-3"/>
        </w:rPr>
        <w:t>Considerar, para la información de eventos sísmicos históricos</w:t>
      </w:r>
      <w:r w:rsidRPr="004068F6">
        <w:rPr>
          <w:rFonts w:cs="Arial"/>
          <w:spacing w:val="-3"/>
        </w:rPr>
        <w:t xml:space="preserve"> a nivel regional</w:t>
      </w:r>
      <w:r w:rsidRPr="004068F6">
        <w:rPr>
          <w:spacing w:val="-3"/>
        </w:rPr>
        <w:t>, el registro existente en el catálogo de la Red Sismológica Nacional de Colombia (RSNC</w:t>
      </w:r>
      <w:r w:rsidRPr="004068F6">
        <w:rPr>
          <w:rFonts w:cs="Arial"/>
          <w:spacing w:val="-3"/>
        </w:rPr>
        <w:t>),</w:t>
      </w:r>
      <w:r w:rsidRPr="004068F6">
        <w:rPr>
          <w:spacing w:val="-3"/>
        </w:rPr>
        <w:t xml:space="preserve"> </w:t>
      </w:r>
      <w:r w:rsidR="00033A3B" w:rsidRPr="004068F6">
        <w:rPr>
          <w:spacing w:val="-3"/>
        </w:rPr>
        <w:t xml:space="preserve">el modelo nacional de amenaza sísmica y </w:t>
      </w:r>
      <w:r w:rsidRPr="004068F6">
        <w:rPr>
          <w:spacing w:val="-3"/>
        </w:rPr>
        <w:t>la Norma Colombiana de Construcción Sismo Resistente de 2010 (NSR-10).</w:t>
      </w:r>
    </w:p>
    <w:p w14:paraId="77DA2CAA" w14:textId="77777777" w:rsidR="009D132B" w:rsidRPr="004068F6" w:rsidRDefault="009D132B">
      <w:pPr>
        <w:numPr>
          <w:ilvl w:val="12"/>
          <w:numId w:val="0"/>
        </w:numPr>
        <w:tabs>
          <w:tab w:val="left" w:pos="-2268"/>
        </w:tabs>
        <w:suppressAutoHyphens/>
        <w:rPr>
          <w:spacing w:val="-3"/>
        </w:rPr>
      </w:pPr>
    </w:p>
    <w:p w14:paraId="07F06003" w14:textId="77777777" w:rsidR="009D132B" w:rsidRPr="004068F6" w:rsidRDefault="009D132B" w:rsidP="009420F5">
      <w:pPr>
        <w:pStyle w:val="Ttulo4"/>
        <w:tabs>
          <w:tab w:val="clear" w:pos="1844"/>
          <w:tab w:val="num" w:pos="1134"/>
        </w:tabs>
        <w:ind w:left="0"/>
        <w:rPr>
          <w:lang w:val="es-CO"/>
        </w:rPr>
      </w:pPr>
      <w:bookmarkStart w:id="2629" w:name="_Toc515793407"/>
      <w:bookmarkStart w:id="2630" w:name="_Toc515794312"/>
      <w:bookmarkStart w:id="2631" w:name="_Toc515793408"/>
      <w:bookmarkStart w:id="2632" w:name="_Toc515794313"/>
      <w:bookmarkStart w:id="2633" w:name="_Toc515793409"/>
      <w:bookmarkStart w:id="2634" w:name="_Toc515794314"/>
      <w:bookmarkStart w:id="2635" w:name="_Toc515793410"/>
      <w:bookmarkStart w:id="2636" w:name="_Toc515794315"/>
      <w:bookmarkStart w:id="2637" w:name="_Toc515793411"/>
      <w:bookmarkStart w:id="2638" w:name="_Toc515794316"/>
      <w:bookmarkStart w:id="2639" w:name="_Toc515793412"/>
      <w:bookmarkStart w:id="2640" w:name="_Toc515794317"/>
      <w:bookmarkStart w:id="2641" w:name="_Toc515793413"/>
      <w:bookmarkStart w:id="2642" w:name="_Toc515794318"/>
      <w:bookmarkStart w:id="2643" w:name="_Toc515793414"/>
      <w:bookmarkStart w:id="2644" w:name="_Toc515794319"/>
      <w:bookmarkStart w:id="2645" w:name="_Toc515793415"/>
      <w:bookmarkStart w:id="2646" w:name="_Toc515794320"/>
      <w:bookmarkStart w:id="2647" w:name="_Toc515793416"/>
      <w:bookmarkStart w:id="2648" w:name="_Toc515794321"/>
      <w:bookmarkStart w:id="2649" w:name="_Toc515793417"/>
      <w:bookmarkStart w:id="2650" w:name="_Toc515794322"/>
      <w:bookmarkStart w:id="2651" w:name="_Toc515793418"/>
      <w:bookmarkStart w:id="2652" w:name="_Toc515794323"/>
      <w:bookmarkStart w:id="2653" w:name="_Toc515793419"/>
      <w:bookmarkStart w:id="2654" w:name="_Toc515794324"/>
      <w:bookmarkStart w:id="2655" w:name="_Toc515793420"/>
      <w:bookmarkStart w:id="2656" w:name="_Toc515794325"/>
      <w:bookmarkStart w:id="2657" w:name="_Toc412812761"/>
      <w:bookmarkStart w:id="2658" w:name="_Toc437936017"/>
      <w:bookmarkStart w:id="2659" w:name="_Ref32416087"/>
      <w:bookmarkStart w:id="2660" w:name="_Ref32416090"/>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r w:rsidRPr="004068F6">
        <w:rPr>
          <w:lang w:val="es-CO"/>
        </w:rPr>
        <w:t>Geomorfología</w:t>
      </w:r>
      <w:bookmarkEnd w:id="2657"/>
      <w:bookmarkEnd w:id="2658"/>
      <w:bookmarkEnd w:id="2659"/>
      <w:bookmarkEnd w:id="2660"/>
    </w:p>
    <w:p w14:paraId="2B9FF615" w14:textId="77777777" w:rsidR="009D132B" w:rsidRPr="004068F6" w:rsidRDefault="009D132B">
      <w:pPr>
        <w:numPr>
          <w:ilvl w:val="12"/>
          <w:numId w:val="0"/>
        </w:numPr>
        <w:tabs>
          <w:tab w:val="left" w:pos="-2268"/>
        </w:tabs>
        <w:suppressAutoHyphens/>
        <w:rPr>
          <w:b/>
          <w:spacing w:val="-3"/>
        </w:rPr>
      </w:pPr>
    </w:p>
    <w:p w14:paraId="32B056CD" w14:textId="39969B27" w:rsidR="009D132B" w:rsidRPr="004068F6" w:rsidRDefault="009D132B">
      <w:pPr>
        <w:numPr>
          <w:ilvl w:val="12"/>
          <w:numId w:val="0"/>
        </w:numPr>
        <w:tabs>
          <w:tab w:val="left" w:pos="-2268"/>
        </w:tabs>
        <w:suppressAutoHyphens/>
        <w:rPr>
          <w:spacing w:val="-3"/>
        </w:rPr>
      </w:pPr>
      <w:r w:rsidRPr="004068F6">
        <w:rPr>
          <w:spacing w:val="-3"/>
        </w:rPr>
        <w:t xml:space="preserve">Efectuar una caracterización de las geoformas y su </w:t>
      </w:r>
      <w:r w:rsidRPr="004068F6">
        <w:rPr>
          <w:rFonts w:cs="Arial"/>
          <w:spacing w:val="-3"/>
        </w:rPr>
        <w:t>análisis morfodinámico</w:t>
      </w:r>
      <w:r w:rsidR="004A257E" w:rsidRPr="004068F6">
        <w:rPr>
          <w:rFonts w:cs="Arial"/>
          <w:spacing w:val="-3"/>
        </w:rPr>
        <w:t>.</w:t>
      </w:r>
      <w:r w:rsidR="004A257E" w:rsidRPr="004068F6">
        <w:rPr>
          <w:spacing w:val="-3"/>
        </w:rPr>
        <w:t xml:space="preserve"> Se debe incluir</w:t>
      </w:r>
      <w:r w:rsidRPr="004068F6">
        <w:rPr>
          <w:spacing w:val="-3"/>
        </w:rPr>
        <w:t xml:space="preserve"> incluyendo la génesis de las diferentes unidades y su evolución, rangos de pendientes, patrón y densidad de drenaje, entre otr</w:t>
      </w:r>
      <w:r w:rsidR="00D6783F" w:rsidRPr="004068F6">
        <w:rPr>
          <w:spacing w:val="-3"/>
        </w:rPr>
        <w:t>a</w:t>
      </w:r>
      <w:r w:rsidRPr="004068F6">
        <w:rPr>
          <w:spacing w:val="-3"/>
        </w:rPr>
        <w:t>s</w:t>
      </w:r>
      <w:r w:rsidR="00D6783F" w:rsidRPr="004068F6">
        <w:rPr>
          <w:spacing w:val="-3"/>
        </w:rPr>
        <w:t xml:space="preserve"> propiedades</w:t>
      </w:r>
      <w:r w:rsidRPr="004068F6">
        <w:rPr>
          <w:spacing w:val="-3"/>
        </w:rPr>
        <w:t>.</w:t>
      </w:r>
      <w:r w:rsidRPr="004068F6">
        <w:rPr>
          <w:rFonts w:cs="Arial"/>
          <w:spacing w:val="-3"/>
        </w:rPr>
        <w:t xml:space="preserve"> Definir las formas del terreno, aplicando el nivel jerárquico de información </w:t>
      </w:r>
      <w:r w:rsidR="00D6783F" w:rsidRPr="004068F6">
        <w:rPr>
          <w:rFonts w:cs="Arial"/>
          <w:spacing w:val="-3"/>
        </w:rPr>
        <w:t xml:space="preserve">establecido </w:t>
      </w:r>
      <w:r w:rsidRPr="004068F6">
        <w:rPr>
          <w:rFonts w:cs="Arial"/>
          <w:spacing w:val="-3"/>
        </w:rPr>
        <w:t>por alguna de las metodologías vigentes (IGAC</w:t>
      </w:r>
      <w:r w:rsidR="00C817D4" w:rsidRPr="004068F6">
        <w:rPr>
          <w:rFonts w:cs="Arial"/>
          <w:spacing w:val="-3"/>
        </w:rPr>
        <w:t xml:space="preserve"> o</w:t>
      </w:r>
      <w:r w:rsidRPr="004068F6">
        <w:rPr>
          <w:rFonts w:cs="Arial"/>
          <w:spacing w:val="-3"/>
        </w:rPr>
        <w:t xml:space="preserve"> SGC) o aquellas que las modifiquen o sustituyan. Se debe tener en cuenta la escala requerida en los términos de referencia.</w:t>
      </w:r>
    </w:p>
    <w:p w14:paraId="31FEC1C7" w14:textId="77777777" w:rsidR="009D132B" w:rsidRPr="004068F6" w:rsidRDefault="009D132B">
      <w:pPr>
        <w:numPr>
          <w:ilvl w:val="12"/>
          <w:numId w:val="0"/>
        </w:numPr>
        <w:tabs>
          <w:tab w:val="left" w:pos="-2268"/>
        </w:tabs>
        <w:suppressAutoHyphens/>
        <w:rPr>
          <w:spacing w:val="-3"/>
        </w:rPr>
      </w:pPr>
    </w:p>
    <w:p w14:paraId="155CB7D4" w14:textId="4616B048" w:rsidR="009D132B" w:rsidRPr="004068F6" w:rsidRDefault="009D132B">
      <w:pPr>
        <w:numPr>
          <w:ilvl w:val="12"/>
          <w:numId w:val="0"/>
        </w:numPr>
        <w:tabs>
          <w:tab w:val="left" w:pos="-2268"/>
        </w:tabs>
        <w:suppressAutoHyphens/>
        <w:rPr>
          <w:spacing w:val="-3"/>
        </w:rPr>
      </w:pPr>
      <w:r w:rsidRPr="004068F6">
        <w:rPr>
          <w:spacing w:val="-3"/>
        </w:rPr>
        <w:t>Cartografiar de manera precisa los procesos erosivos y</w:t>
      </w:r>
      <w:r w:rsidRPr="004068F6">
        <w:rPr>
          <w:rFonts w:cs="Arial"/>
          <w:spacing w:val="-3"/>
        </w:rPr>
        <w:t xml:space="preserve"> morfodinámicos (antrópicos y naturales), así como los procesos</w:t>
      </w:r>
      <w:r w:rsidRPr="004068F6">
        <w:rPr>
          <w:spacing w:val="-3"/>
        </w:rPr>
        <w:t xml:space="preserve"> de inestabilidad por movimientos en masa e intervención antrópica (</w:t>
      </w:r>
      <w:r w:rsidR="00041844" w:rsidRPr="004068F6">
        <w:rPr>
          <w:spacing w:val="-3"/>
        </w:rPr>
        <w:t>p. ej.</w:t>
      </w:r>
      <w:r w:rsidRPr="004068F6">
        <w:rPr>
          <w:spacing w:val="-3"/>
        </w:rPr>
        <w:t xml:space="preserve"> vías, rellenos, adecuaciones urbanísticas)</w:t>
      </w:r>
      <w:r w:rsidRPr="004068F6">
        <w:rPr>
          <w:rFonts w:cs="Arial"/>
          <w:spacing w:val="-3"/>
        </w:rPr>
        <w:t xml:space="preserve">; para este </w:t>
      </w:r>
      <w:r w:rsidRPr="004068F6">
        <w:rPr>
          <w:rFonts w:cs="Arial"/>
          <w:spacing w:val="-3"/>
        </w:rPr>
        <w:lastRenderedPageBreak/>
        <w:t xml:space="preserve">propósito, </w:t>
      </w:r>
      <w:r w:rsidR="004A257E" w:rsidRPr="004068F6">
        <w:rPr>
          <w:rFonts w:cs="Arial"/>
          <w:spacing w:val="-3"/>
        </w:rPr>
        <w:t xml:space="preserve">en áreas terrestres, incluyendo líneas de costa, se </w:t>
      </w:r>
      <w:r w:rsidRPr="004068F6">
        <w:rPr>
          <w:spacing w:val="-3"/>
        </w:rPr>
        <w:t>debe efectuar un análisis multitemporal con base en interpretación de fotografías aéreas e imágenes de sensores remotos que permita evaluar la dinámica de dichos procesos</w:t>
      </w:r>
      <w:r w:rsidR="00F863C9" w:rsidRPr="004068F6">
        <w:rPr>
          <w:spacing w:val="-3"/>
        </w:rPr>
        <w:t xml:space="preserve">, </w:t>
      </w:r>
      <w:r w:rsidR="00F863C9" w:rsidRPr="004068F6">
        <w:rPr>
          <w:rFonts w:cs="Arial"/>
          <w:spacing w:val="-3"/>
        </w:rPr>
        <w:t>utilizando un rango de tiempo no inferior a 50 años de acuerdo con la información disponible, para lo cual se debe presentar el soporte de la gestión adelantada frente a la autoridad competente</w:t>
      </w:r>
      <w:r w:rsidRPr="004068F6">
        <w:rPr>
          <w:spacing w:val="-3"/>
        </w:rPr>
        <w:t>.</w:t>
      </w:r>
      <w:r w:rsidR="004A257E" w:rsidRPr="004068F6">
        <w:rPr>
          <w:spacing w:val="-3"/>
        </w:rPr>
        <w:t xml:space="preserve"> En el medio marino, el análisis se debe basar en el tipo de unidades geomorfológicas y rangos de pendientes identificados en las imágenes o datos batimétricos y acústicos disponibles.</w:t>
      </w:r>
    </w:p>
    <w:p w14:paraId="2104ECE6" w14:textId="77777777" w:rsidR="009D132B" w:rsidRPr="004068F6" w:rsidRDefault="009D132B">
      <w:pPr>
        <w:numPr>
          <w:ilvl w:val="12"/>
          <w:numId w:val="0"/>
        </w:numPr>
        <w:tabs>
          <w:tab w:val="left" w:pos="-2268"/>
        </w:tabs>
        <w:suppressAutoHyphens/>
        <w:rPr>
          <w:spacing w:val="-3"/>
        </w:rPr>
      </w:pPr>
    </w:p>
    <w:p w14:paraId="550105D3" w14:textId="4CD381A3" w:rsidR="009D132B" w:rsidRPr="004068F6" w:rsidRDefault="009D132B">
      <w:pPr>
        <w:numPr>
          <w:ilvl w:val="12"/>
          <w:numId w:val="0"/>
        </w:numPr>
        <w:tabs>
          <w:tab w:val="left" w:pos="-2268"/>
        </w:tabs>
        <w:suppressAutoHyphens/>
        <w:rPr>
          <w:spacing w:val="-3"/>
        </w:rPr>
      </w:pPr>
      <w:r w:rsidRPr="004068F6">
        <w:rPr>
          <w:rFonts w:cs="Arial"/>
          <w:spacing w:val="-3"/>
        </w:rPr>
        <w:t>En</w:t>
      </w:r>
      <w:r w:rsidRPr="004068F6">
        <w:rPr>
          <w:spacing w:val="-3"/>
        </w:rPr>
        <w:t xml:space="preserve"> el análisis geomorfológico</w:t>
      </w:r>
      <w:r w:rsidRPr="004068F6">
        <w:rPr>
          <w:rFonts w:cs="Arial"/>
          <w:spacing w:val="-3"/>
        </w:rPr>
        <w:t xml:space="preserve"> se deben incluir</w:t>
      </w:r>
      <w:r w:rsidRPr="004068F6">
        <w:rPr>
          <w:spacing w:val="-3"/>
        </w:rPr>
        <w:t xml:space="preserve"> las siguientes variables:</w:t>
      </w:r>
    </w:p>
    <w:p w14:paraId="23495A6D" w14:textId="77777777" w:rsidR="009D132B" w:rsidRPr="004068F6" w:rsidRDefault="009D132B">
      <w:pPr>
        <w:numPr>
          <w:ilvl w:val="12"/>
          <w:numId w:val="0"/>
        </w:numPr>
        <w:tabs>
          <w:tab w:val="left" w:pos="-2268"/>
        </w:tabs>
        <w:suppressAutoHyphens/>
        <w:rPr>
          <w:spacing w:val="-3"/>
        </w:rPr>
      </w:pPr>
    </w:p>
    <w:p w14:paraId="501EDB38" w14:textId="68EC6FA0" w:rsidR="009D132B" w:rsidRPr="004068F6" w:rsidRDefault="009D132B" w:rsidP="00C86DA5">
      <w:pPr>
        <w:numPr>
          <w:ilvl w:val="0"/>
          <w:numId w:val="19"/>
        </w:numPr>
        <w:tabs>
          <w:tab w:val="left" w:pos="-2268"/>
        </w:tabs>
        <w:suppressAutoHyphens/>
        <w:ind w:left="567" w:hanging="567"/>
        <w:rPr>
          <w:spacing w:val="-3"/>
        </w:rPr>
      </w:pPr>
      <w:r w:rsidRPr="004068F6">
        <w:rPr>
          <w:spacing w:val="-3"/>
        </w:rPr>
        <w:t xml:space="preserve">Pendientes de acuerdo con los dominios establecidos en </w:t>
      </w:r>
      <w:r w:rsidRPr="004068F6">
        <w:rPr>
          <w:rFonts w:cs="Arial"/>
          <w:spacing w:val="-3"/>
        </w:rPr>
        <w:t xml:space="preserve">el </w:t>
      </w:r>
      <w:r w:rsidR="008904E9" w:rsidRPr="004068F6">
        <w:rPr>
          <w:rFonts w:cs="Arial"/>
          <w:spacing w:val="-3"/>
        </w:rPr>
        <w:t>M</w:t>
      </w:r>
      <w:r w:rsidRPr="004068F6">
        <w:rPr>
          <w:rFonts w:cs="Arial"/>
          <w:spacing w:val="-3"/>
        </w:rPr>
        <w:t xml:space="preserve">odelo de </w:t>
      </w:r>
      <w:r w:rsidR="008904E9" w:rsidRPr="004068F6">
        <w:rPr>
          <w:rFonts w:cs="Arial"/>
          <w:spacing w:val="-3"/>
        </w:rPr>
        <w:t>Almacenamiento Geográfico (</w:t>
      </w:r>
      <w:r w:rsidRPr="004068F6">
        <w:rPr>
          <w:rFonts w:cs="Arial"/>
          <w:spacing w:val="-3"/>
        </w:rPr>
        <w:t>MAG</w:t>
      </w:r>
      <w:r w:rsidR="008904E9" w:rsidRPr="004068F6">
        <w:rPr>
          <w:rFonts w:cs="Arial"/>
          <w:spacing w:val="-3"/>
        </w:rPr>
        <w:t>)</w:t>
      </w:r>
      <w:r w:rsidRPr="004068F6">
        <w:rPr>
          <w:spacing w:val="-3"/>
        </w:rPr>
        <w:t>.</w:t>
      </w:r>
    </w:p>
    <w:p w14:paraId="4ACCC218" w14:textId="77777777" w:rsidR="009D132B" w:rsidRPr="004068F6" w:rsidRDefault="009D132B">
      <w:pPr>
        <w:tabs>
          <w:tab w:val="left" w:pos="-2268"/>
        </w:tabs>
        <w:suppressAutoHyphens/>
        <w:rPr>
          <w:spacing w:val="-3"/>
        </w:rPr>
      </w:pPr>
    </w:p>
    <w:p w14:paraId="2C3EE8E3" w14:textId="77777777" w:rsidR="009D132B" w:rsidRPr="004068F6" w:rsidRDefault="009D132B" w:rsidP="00C86DA5">
      <w:pPr>
        <w:numPr>
          <w:ilvl w:val="0"/>
          <w:numId w:val="19"/>
        </w:numPr>
        <w:tabs>
          <w:tab w:val="left" w:pos="-2268"/>
        </w:tabs>
        <w:suppressAutoHyphens/>
        <w:ind w:left="567" w:hanging="567"/>
        <w:rPr>
          <w:spacing w:val="-3"/>
        </w:rPr>
      </w:pPr>
      <w:r w:rsidRPr="004068F6">
        <w:rPr>
          <w:spacing w:val="-3"/>
        </w:rPr>
        <w:t>Áreas de erosión activa (erosión laminar, erosión lineal, cárcavas, cicatrices, grietas, canales, surcos, entre otros tipos).</w:t>
      </w:r>
    </w:p>
    <w:p w14:paraId="047921F6" w14:textId="77777777" w:rsidR="009D132B" w:rsidRPr="004068F6" w:rsidRDefault="009D132B">
      <w:pPr>
        <w:tabs>
          <w:tab w:val="left" w:pos="-2268"/>
        </w:tabs>
        <w:suppressAutoHyphens/>
        <w:rPr>
          <w:spacing w:val="-3"/>
        </w:rPr>
      </w:pPr>
    </w:p>
    <w:p w14:paraId="36189782" w14:textId="77777777" w:rsidR="009D132B" w:rsidRPr="004068F6" w:rsidRDefault="009D132B" w:rsidP="00C86DA5">
      <w:pPr>
        <w:numPr>
          <w:ilvl w:val="0"/>
          <w:numId w:val="19"/>
        </w:numPr>
        <w:tabs>
          <w:tab w:val="left" w:pos="-2268"/>
        </w:tabs>
        <w:suppressAutoHyphens/>
        <w:ind w:left="567" w:hanging="567"/>
        <w:rPr>
          <w:spacing w:val="-3"/>
        </w:rPr>
      </w:pPr>
      <w:r w:rsidRPr="004068F6">
        <w:rPr>
          <w:spacing w:val="-3"/>
        </w:rPr>
        <w:t>Áreas de sedimentación activa (conos de talud, abanicos aluviales activos, lóbulos de sedimentación, barras de sedimentación activas, deltas y áreas en subsidencia relativa con acumulación de sedimentos).</w:t>
      </w:r>
    </w:p>
    <w:p w14:paraId="68793875" w14:textId="77777777" w:rsidR="009D132B" w:rsidRPr="004068F6" w:rsidRDefault="009D132B">
      <w:pPr>
        <w:tabs>
          <w:tab w:val="left" w:pos="-2268"/>
        </w:tabs>
        <w:suppressAutoHyphens/>
        <w:rPr>
          <w:spacing w:val="-3"/>
        </w:rPr>
      </w:pPr>
    </w:p>
    <w:p w14:paraId="0D77BF5E" w14:textId="3D22194D" w:rsidR="009D132B" w:rsidRPr="004068F6" w:rsidRDefault="009D132B" w:rsidP="00C86DA5">
      <w:pPr>
        <w:numPr>
          <w:ilvl w:val="0"/>
          <w:numId w:val="19"/>
        </w:numPr>
        <w:tabs>
          <w:tab w:val="left" w:pos="-2268"/>
        </w:tabs>
        <w:suppressAutoHyphens/>
        <w:ind w:left="567" w:hanging="567"/>
        <w:rPr>
          <w:spacing w:val="-3"/>
        </w:rPr>
      </w:pPr>
      <w:r w:rsidRPr="004068F6">
        <w:rPr>
          <w:spacing w:val="-3"/>
        </w:rPr>
        <w:t xml:space="preserve">Clasificación geomorfológica que contemple las formaciones </w:t>
      </w:r>
      <w:r w:rsidR="00DB4A1D" w:rsidRPr="004068F6">
        <w:rPr>
          <w:spacing w:val="-3"/>
        </w:rPr>
        <w:t>geológicas superficiales, formas, procesos morfodinámicos dominantes (incluidos los erosivos), unidades geomorfológicas, unidades de paisaje y sub-paisaje, según aplique, de acuerdo con el método emplead</w:t>
      </w:r>
      <w:r w:rsidR="0061514C">
        <w:rPr>
          <w:spacing w:val="-3"/>
        </w:rPr>
        <w:t>o</w:t>
      </w:r>
      <w:r w:rsidRPr="004068F6">
        <w:rPr>
          <w:spacing w:val="-3"/>
        </w:rPr>
        <w:t>.</w:t>
      </w:r>
    </w:p>
    <w:p w14:paraId="45F52AFA" w14:textId="77777777" w:rsidR="009D132B" w:rsidRPr="004068F6" w:rsidRDefault="009D132B">
      <w:pPr>
        <w:numPr>
          <w:ilvl w:val="12"/>
          <w:numId w:val="0"/>
        </w:numPr>
        <w:tabs>
          <w:tab w:val="left" w:pos="-2268"/>
        </w:tabs>
        <w:suppressAutoHyphens/>
        <w:rPr>
          <w:spacing w:val="-3"/>
        </w:rPr>
      </w:pPr>
    </w:p>
    <w:p w14:paraId="697E8AA4" w14:textId="01ECE43E" w:rsidR="009D132B" w:rsidRPr="004068F6" w:rsidRDefault="009D132B" w:rsidP="00C86DA5">
      <w:pPr>
        <w:numPr>
          <w:ilvl w:val="12"/>
          <w:numId w:val="0"/>
        </w:numPr>
        <w:tabs>
          <w:tab w:val="left" w:pos="-2268"/>
        </w:tabs>
        <w:suppressAutoHyphens/>
        <w:rPr>
          <w:spacing w:val="-3"/>
        </w:rPr>
      </w:pPr>
      <w:r w:rsidRPr="004068F6">
        <w:rPr>
          <w:spacing w:val="-3"/>
        </w:rPr>
        <w:t xml:space="preserve">Con la anterior información se debe </w:t>
      </w:r>
      <w:r w:rsidRPr="004068F6">
        <w:rPr>
          <w:rFonts w:cs="Arial"/>
          <w:spacing w:val="-3"/>
        </w:rPr>
        <w:t>generar la</w:t>
      </w:r>
      <w:r w:rsidRPr="004068F6">
        <w:rPr>
          <w:spacing w:val="-3"/>
        </w:rPr>
        <w:t xml:space="preserve"> siguiente</w:t>
      </w:r>
      <w:r w:rsidRPr="004068F6">
        <w:rPr>
          <w:rFonts w:cs="Arial"/>
          <w:spacing w:val="-3"/>
        </w:rPr>
        <w:t xml:space="preserve"> cartografía temática</w:t>
      </w:r>
      <w:r w:rsidRPr="004068F6">
        <w:rPr>
          <w:spacing w:val="-3"/>
        </w:rPr>
        <w:t>:</w:t>
      </w:r>
    </w:p>
    <w:p w14:paraId="36999CE8" w14:textId="77777777" w:rsidR="009D132B" w:rsidRPr="004068F6" w:rsidRDefault="009D132B" w:rsidP="00C86DA5">
      <w:pPr>
        <w:numPr>
          <w:ilvl w:val="12"/>
          <w:numId w:val="0"/>
        </w:numPr>
        <w:tabs>
          <w:tab w:val="left" w:pos="-2268"/>
        </w:tabs>
        <w:suppressAutoHyphens/>
        <w:ind w:left="567" w:hanging="567"/>
        <w:rPr>
          <w:spacing w:val="-3"/>
        </w:rPr>
      </w:pPr>
    </w:p>
    <w:p w14:paraId="3E253644" w14:textId="312FB9B8" w:rsidR="009D132B" w:rsidRPr="004068F6" w:rsidRDefault="009D132B" w:rsidP="009D132B">
      <w:pPr>
        <w:numPr>
          <w:ilvl w:val="0"/>
          <w:numId w:val="19"/>
        </w:numPr>
        <w:tabs>
          <w:tab w:val="left" w:pos="-2268"/>
        </w:tabs>
        <w:suppressAutoHyphens/>
        <w:ind w:left="567" w:hanging="567"/>
        <w:rPr>
          <w:rFonts w:cs="Arial"/>
          <w:spacing w:val="-3"/>
        </w:rPr>
      </w:pPr>
      <w:r w:rsidRPr="004068F6">
        <w:rPr>
          <w:rFonts w:cs="Arial"/>
          <w:spacing w:val="-3"/>
        </w:rPr>
        <w:t>Mapa de pendientes</w:t>
      </w:r>
      <w:r w:rsidR="00F863C9" w:rsidRPr="004068F6">
        <w:rPr>
          <w:rFonts w:cs="Arial"/>
          <w:spacing w:val="-3"/>
        </w:rPr>
        <w:t xml:space="preserve"> de acuerdo con los rangos definidos</w:t>
      </w:r>
      <w:r w:rsidR="00F863C9" w:rsidRPr="004068F6">
        <w:rPr>
          <w:spacing w:val="-3"/>
        </w:rPr>
        <w:t xml:space="preserve"> en el M</w:t>
      </w:r>
      <w:r w:rsidR="008904E9" w:rsidRPr="004068F6">
        <w:rPr>
          <w:spacing w:val="-3"/>
        </w:rPr>
        <w:t xml:space="preserve">AG </w:t>
      </w:r>
      <w:r w:rsidR="00F863C9" w:rsidRPr="004068F6">
        <w:rPr>
          <w:spacing w:val="-3"/>
        </w:rPr>
        <w:t>acogido por la Resolución 2182 de 2016 o aquella que la modifique o sustituya</w:t>
      </w:r>
      <w:r w:rsidRPr="004068F6">
        <w:rPr>
          <w:rFonts w:cs="Arial"/>
          <w:spacing w:val="-3"/>
        </w:rPr>
        <w:t>.</w:t>
      </w:r>
    </w:p>
    <w:p w14:paraId="349F9B35" w14:textId="77777777" w:rsidR="009D132B" w:rsidRPr="004068F6" w:rsidRDefault="009D132B" w:rsidP="009420F5">
      <w:pPr>
        <w:numPr>
          <w:ilvl w:val="12"/>
          <w:numId w:val="0"/>
        </w:numPr>
        <w:tabs>
          <w:tab w:val="left" w:pos="-2268"/>
        </w:tabs>
        <w:suppressAutoHyphens/>
        <w:rPr>
          <w:rFonts w:cs="Arial"/>
          <w:spacing w:val="-3"/>
        </w:rPr>
      </w:pPr>
    </w:p>
    <w:p w14:paraId="6A120530" w14:textId="06F5E070" w:rsidR="009D132B" w:rsidRPr="004068F6" w:rsidRDefault="009D132B" w:rsidP="00C86DA5">
      <w:pPr>
        <w:numPr>
          <w:ilvl w:val="0"/>
          <w:numId w:val="19"/>
        </w:numPr>
        <w:tabs>
          <w:tab w:val="left" w:pos="-2268"/>
        </w:tabs>
        <w:suppressAutoHyphens/>
        <w:ind w:left="567" w:hanging="567"/>
        <w:rPr>
          <w:spacing w:val="-3"/>
        </w:rPr>
      </w:pPr>
      <w:r w:rsidRPr="004068F6">
        <w:rPr>
          <w:rFonts w:cs="Arial"/>
          <w:spacing w:val="-3"/>
        </w:rPr>
        <w:t>Mapa morfodinámico que presente la</w:t>
      </w:r>
      <w:r w:rsidRPr="004068F6">
        <w:rPr>
          <w:spacing w:val="-3"/>
        </w:rPr>
        <w:t xml:space="preserve"> caracterización de los procesos </w:t>
      </w:r>
      <w:r w:rsidRPr="004068F6">
        <w:rPr>
          <w:rFonts w:cs="Arial"/>
          <w:spacing w:val="-3"/>
        </w:rPr>
        <w:t>erosivos y denudativos</w:t>
      </w:r>
      <w:r w:rsidRPr="004068F6">
        <w:rPr>
          <w:spacing w:val="-3"/>
        </w:rPr>
        <w:t>: área, volumen, pendiente, material afectado (unidad geológica), descripción del material desplazado, humedad natural, presencia del nivel freático, tipo (deslizamientos, flujos, reptación), causas, fuente de la información (fotografías aéreas, im</w:t>
      </w:r>
      <w:r w:rsidR="008904E9" w:rsidRPr="004068F6">
        <w:rPr>
          <w:spacing w:val="-3"/>
        </w:rPr>
        <w:t>á</w:t>
      </w:r>
      <w:r w:rsidRPr="004068F6">
        <w:rPr>
          <w:spacing w:val="-3"/>
        </w:rPr>
        <w:t>gen</w:t>
      </w:r>
      <w:r w:rsidR="008904E9" w:rsidRPr="004068F6">
        <w:rPr>
          <w:spacing w:val="-3"/>
        </w:rPr>
        <w:t>es</w:t>
      </w:r>
      <w:r w:rsidRPr="004068F6">
        <w:rPr>
          <w:spacing w:val="-3"/>
        </w:rPr>
        <w:t xml:space="preserve"> satelital</w:t>
      </w:r>
      <w:r w:rsidR="008904E9" w:rsidRPr="004068F6">
        <w:rPr>
          <w:spacing w:val="-3"/>
        </w:rPr>
        <w:t>es</w:t>
      </w:r>
      <w:r w:rsidRPr="004068F6">
        <w:rPr>
          <w:spacing w:val="-3"/>
        </w:rPr>
        <w:t>, modelo</w:t>
      </w:r>
      <w:r w:rsidR="008904E9" w:rsidRPr="004068F6">
        <w:rPr>
          <w:spacing w:val="-3"/>
        </w:rPr>
        <w:t>s</w:t>
      </w:r>
      <w:r w:rsidRPr="004068F6">
        <w:rPr>
          <w:spacing w:val="-3"/>
        </w:rPr>
        <w:t xml:space="preserve"> de elevación digital, o información de campo), año de </w:t>
      </w:r>
      <w:r w:rsidR="002A6D28" w:rsidRPr="004068F6">
        <w:rPr>
          <w:spacing w:val="-3"/>
        </w:rPr>
        <w:t>determinación</w:t>
      </w:r>
      <w:r w:rsidRPr="004068F6">
        <w:rPr>
          <w:spacing w:val="-3"/>
        </w:rPr>
        <w:t xml:space="preserve">, año de ocurrencia y una calificación de acuerdo </w:t>
      </w:r>
      <w:r w:rsidRPr="004068F6">
        <w:rPr>
          <w:rFonts w:cs="Arial"/>
          <w:spacing w:val="-3"/>
        </w:rPr>
        <w:t>con</w:t>
      </w:r>
      <w:r w:rsidRPr="004068F6">
        <w:rPr>
          <w:spacing w:val="-3"/>
        </w:rPr>
        <w:t xml:space="preserve"> su actividad </w:t>
      </w:r>
      <w:r w:rsidR="008904E9" w:rsidRPr="004068F6">
        <w:rPr>
          <w:spacing w:val="-3"/>
        </w:rPr>
        <w:t>(</w:t>
      </w:r>
      <w:r w:rsidRPr="004068F6">
        <w:rPr>
          <w:spacing w:val="-3"/>
        </w:rPr>
        <w:t>antiguo o reciente</w:t>
      </w:r>
      <w:r w:rsidR="008904E9" w:rsidRPr="004068F6">
        <w:rPr>
          <w:spacing w:val="-3"/>
        </w:rPr>
        <w:t>,</w:t>
      </w:r>
      <w:r w:rsidRPr="004068F6">
        <w:rPr>
          <w:spacing w:val="-3"/>
        </w:rPr>
        <w:t xml:space="preserve"> activo o latente</w:t>
      </w:r>
      <w:r w:rsidR="008904E9" w:rsidRPr="004068F6">
        <w:rPr>
          <w:spacing w:val="-3"/>
        </w:rPr>
        <w:t>)</w:t>
      </w:r>
      <w:r w:rsidRPr="004068F6">
        <w:rPr>
          <w:spacing w:val="-3"/>
        </w:rPr>
        <w:t xml:space="preserve">. Para aquellos procesos </w:t>
      </w:r>
      <w:r w:rsidR="002A6D28" w:rsidRPr="004068F6">
        <w:rPr>
          <w:spacing w:val="-3"/>
        </w:rPr>
        <w:t xml:space="preserve">determinados </w:t>
      </w:r>
      <w:r w:rsidRPr="004068F6">
        <w:rPr>
          <w:spacing w:val="-3"/>
        </w:rPr>
        <w:t>únicamente en las fotografías aéreas antiguas</w:t>
      </w:r>
      <w:r w:rsidR="008904E9" w:rsidRPr="004068F6">
        <w:rPr>
          <w:spacing w:val="-3"/>
        </w:rPr>
        <w:t>,</w:t>
      </w:r>
      <w:r w:rsidRPr="004068F6">
        <w:rPr>
          <w:spacing w:val="-3"/>
        </w:rPr>
        <w:t xml:space="preserve"> la caracterización debe incluir al menos al área afectada.</w:t>
      </w:r>
    </w:p>
    <w:p w14:paraId="505DE079" w14:textId="77777777" w:rsidR="009D132B" w:rsidRPr="004068F6" w:rsidRDefault="009D132B" w:rsidP="009420F5">
      <w:pPr>
        <w:numPr>
          <w:ilvl w:val="12"/>
          <w:numId w:val="0"/>
        </w:numPr>
        <w:tabs>
          <w:tab w:val="left" w:pos="-2268"/>
        </w:tabs>
        <w:suppressAutoHyphens/>
        <w:rPr>
          <w:spacing w:val="-3"/>
        </w:rPr>
      </w:pPr>
    </w:p>
    <w:p w14:paraId="3C795A39" w14:textId="2BD48D63" w:rsidR="009D132B" w:rsidRPr="004068F6" w:rsidRDefault="009D132B" w:rsidP="00C86DA5">
      <w:pPr>
        <w:numPr>
          <w:ilvl w:val="12"/>
          <w:numId w:val="0"/>
        </w:numPr>
        <w:tabs>
          <w:tab w:val="left" w:pos="-2268"/>
        </w:tabs>
        <w:suppressAutoHyphens/>
        <w:ind w:left="567"/>
        <w:rPr>
          <w:spacing w:val="-3"/>
        </w:rPr>
      </w:pPr>
      <w:r w:rsidRPr="004068F6">
        <w:rPr>
          <w:spacing w:val="-3"/>
        </w:rPr>
        <w:lastRenderedPageBreak/>
        <w:t>Un análisis de las causas de los procesos morfodinámicos</w:t>
      </w:r>
      <w:r w:rsidRPr="004068F6">
        <w:rPr>
          <w:rFonts w:cs="Arial"/>
          <w:spacing w:val="-3"/>
        </w:rPr>
        <w:t xml:space="preserve"> y factores detonantes</w:t>
      </w:r>
      <w:r w:rsidRPr="004068F6">
        <w:rPr>
          <w:spacing w:val="-3"/>
        </w:rPr>
        <w:t xml:space="preserve"> de </w:t>
      </w:r>
      <w:r w:rsidR="008904E9" w:rsidRPr="004068F6">
        <w:rPr>
          <w:spacing w:val="-3"/>
        </w:rPr>
        <w:t xml:space="preserve">la </w:t>
      </w:r>
      <w:r w:rsidRPr="004068F6">
        <w:rPr>
          <w:rFonts w:cs="Arial"/>
          <w:spacing w:val="-3"/>
        </w:rPr>
        <w:t>genera</w:t>
      </w:r>
      <w:r w:rsidR="008904E9" w:rsidRPr="004068F6">
        <w:rPr>
          <w:rFonts w:cs="Arial"/>
          <w:spacing w:val="-3"/>
        </w:rPr>
        <w:t>ción de</w:t>
      </w:r>
      <w:r w:rsidR="008904E9" w:rsidRPr="004068F6">
        <w:rPr>
          <w:spacing w:val="-3"/>
        </w:rPr>
        <w:t xml:space="preserve"> </w:t>
      </w:r>
      <w:r w:rsidRPr="004068F6">
        <w:rPr>
          <w:spacing w:val="-3"/>
        </w:rPr>
        <w:t xml:space="preserve">zonas susceptibles a presentar </w:t>
      </w:r>
      <w:r w:rsidRPr="004068F6">
        <w:rPr>
          <w:rFonts w:cs="Arial"/>
          <w:spacing w:val="-3"/>
        </w:rPr>
        <w:t>fenómenos</w:t>
      </w:r>
      <w:r w:rsidRPr="004068F6">
        <w:rPr>
          <w:spacing w:val="-3"/>
        </w:rPr>
        <w:t xml:space="preserve"> de movimientos en masa.</w:t>
      </w:r>
      <w:r w:rsidRPr="004068F6">
        <w:rPr>
          <w:rFonts w:cs="Arial"/>
          <w:spacing w:val="-3"/>
        </w:rPr>
        <w:t xml:space="preserve"> </w:t>
      </w:r>
    </w:p>
    <w:p w14:paraId="16871580" w14:textId="77777777" w:rsidR="009D132B" w:rsidRPr="004068F6" w:rsidRDefault="009D132B" w:rsidP="009420F5">
      <w:pPr>
        <w:numPr>
          <w:ilvl w:val="12"/>
          <w:numId w:val="0"/>
        </w:numPr>
        <w:tabs>
          <w:tab w:val="left" w:pos="-2268"/>
        </w:tabs>
        <w:suppressAutoHyphens/>
        <w:rPr>
          <w:spacing w:val="-3"/>
        </w:rPr>
      </w:pPr>
    </w:p>
    <w:p w14:paraId="57508C57" w14:textId="5A5B4AC4" w:rsidR="009D132B" w:rsidRPr="004068F6" w:rsidRDefault="009D132B" w:rsidP="00C86DA5">
      <w:pPr>
        <w:numPr>
          <w:ilvl w:val="12"/>
          <w:numId w:val="0"/>
        </w:numPr>
        <w:tabs>
          <w:tab w:val="left" w:pos="-2268"/>
        </w:tabs>
        <w:suppressAutoHyphens/>
        <w:ind w:left="567"/>
        <w:rPr>
          <w:spacing w:val="-3"/>
        </w:rPr>
      </w:pPr>
      <w:r w:rsidRPr="004068F6">
        <w:rPr>
          <w:spacing w:val="-3"/>
        </w:rPr>
        <w:t>Un análisis</w:t>
      </w:r>
      <w:r w:rsidR="00C1503A" w:rsidRPr="004068F6">
        <w:rPr>
          <w:spacing w:val="-3"/>
        </w:rPr>
        <w:t xml:space="preserve"> </w:t>
      </w:r>
      <w:r w:rsidRPr="004068F6">
        <w:rPr>
          <w:spacing w:val="-3"/>
        </w:rPr>
        <w:t xml:space="preserve">de los eventos de torrencialidad con base en la caracterización morfométrica de las unidades de análisis hidrográficas y </w:t>
      </w:r>
      <w:r w:rsidR="008904E9" w:rsidRPr="004068F6">
        <w:rPr>
          <w:spacing w:val="-3"/>
        </w:rPr>
        <w:t xml:space="preserve">de </w:t>
      </w:r>
      <w:r w:rsidRPr="004068F6">
        <w:rPr>
          <w:spacing w:val="-3"/>
        </w:rPr>
        <w:t>avenidas torrenciales</w:t>
      </w:r>
      <w:r w:rsidR="00DB4A1D" w:rsidRPr="004068F6">
        <w:rPr>
          <w:spacing w:val="-3"/>
        </w:rPr>
        <w:t>, en caso de aplicar</w:t>
      </w:r>
      <w:r w:rsidRPr="004068F6">
        <w:rPr>
          <w:spacing w:val="-3"/>
        </w:rPr>
        <w:t xml:space="preserve">. La caracterización debe estar relacionada con la velocidad del movimiento, </w:t>
      </w:r>
      <w:r w:rsidR="008904E9" w:rsidRPr="004068F6">
        <w:rPr>
          <w:spacing w:val="-3"/>
        </w:rPr>
        <w:t xml:space="preserve">el </w:t>
      </w:r>
      <w:r w:rsidRPr="004068F6">
        <w:rPr>
          <w:spacing w:val="-3"/>
        </w:rPr>
        <w:t xml:space="preserve">volumen de material removido, </w:t>
      </w:r>
      <w:r w:rsidR="008904E9" w:rsidRPr="004068F6">
        <w:rPr>
          <w:spacing w:val="-3"/>
        </w:rPr>
        <w:t xml:space="preserve">la </w:t>
      </w:r>
      <w:r w:rsidRPr="004068F6">
        <w:rPr>
          <w:spacing w:val="-3"/>
        </w:rPr>
        <w:t xml:space="preserve">distancia recorrida, </w:t>
      </w:r>
      <w:r w:rsidR="008904E9" w:rsidRPr="004068F6">
        <w:rPr>
          <w:spacing w:val="-3"/>
        </w:rPr>
        <w:t xml:space="preserve">la </w:t>
      </w:r>
      <w:r w:rsidRPr="004068F6">
        <w:rPr>
          <w:spacing w:val="-3"/>
        </w:rPr>
        <w:t>granulometría</w:t>
      </w:r>
      <w:r w:rsidRPr="004068F6">
        <w:rPr>
          <w:rFonts w:cs="Arial"/>
          <w:spacing w:val="-3"/>
        </w:rPr>
        <w:t xml:space="preserve"> y </w:t>
      </w:r>
      <w:r w:rsidR="008904E9" w:rsidRPr="004068F6">
        <w:rPr>
          <w:rFonts w:cs="Arial"/>
          <w:spacing w:val="-3"/>
        </w:rPr>
        <w:t xml:space="preserve">los </w:t>
      </w:r>
      <w:r w:rsidRPr="004068F6">
        <w:rPr>
          <w:rFonts w:cs="Arial"/>
          <w:spacing w:val="-3"/>
        </w:rPr>
        <w:t>factores detonantes</w:t>
      </w:r>
      <w:r w:rsidRPr="004068F6">
        <w:rPr>
          <w:spacing w:val="-3"/>
        </w:rPr>
        <w:t xml:space="preserve"> del material transportado.</w:t>
      </w:r>
    </w:p>
    <w:p w14:paraId="4824D254" w14:textId="77777777" w:rsidR="009D132B" w:rsidRPr="004068F6" w:rsidRDefault="009D132B" w:rsidP="009420F5">
      <w:pPr>
        <w:numPr>
          <w:ilvl w:val="12"/>
          <w:numId w:val="0"/>
        </w:numPr>
        <w:tabs>
          <w:tab w:val="left" w:pos="-2268"/>
        </w:tabs>
        <w:suppressAutoHyphens/>
        <w:rPr>
          <w:spacing w:val="-3"/>
        </w:rPr>
      </w:pPr>
    </w:p>
    <w:p w14:paraId="47A5A97F" w14:textId="7B501C63" w:rsidR="009D132B" w:rsidRPr="004068F6" w:rsidRDefault="00DB4A1D" w:rsidP="00C86DA5">
      <w:pPr>
        <w:numPr>
          <w:ilvl w:val="12"/>
          <w:numId w:val="0"/>
        </w:numPr>
        <w:tabs>
          <w:tab w:val="left" w:pos="-2268"/>
        </w:tabs>
        <w:suppressAutoHyphens/>
        <w:ind w:left="567"/>
        <w:rPr>
          <w:spacing w:val="-3"/>
        </w:rPr>
      </w:pPr>
      <w:r w:rsidRPr="004068F6">
        <w:rPr>
          <w:spacing w:val="-3"/>
        </w:rPr>
        <w:t>En áreas terrestres y líneas de costa, l</w:t>
      </w:r>
      <w:r w:rsidR="009D132B" w:rsidRPr="004068F6">
        <w:rPr>
          <w:spacing w:val="-3"/>
        </w:rPr>
        <w:t>a presentación del mapa de procesos morfodinámicos debe realizarse para cada período analizado. Es decir</w:t>
      </w:r>
      <w:r w:rsidR="00C817D4" w:rsidRPr="004068F6">
        <w:rPr>
          <w:spacing w:val="-3"/>
        </w:rPr>
        <w:t>,</w:t>
      </w:r>
      <w:r w:rsidR="009D132B" w:rsidRPr="004068F6">
        <w:rPr>
          <w:spacing w:val="-3"/>
        </w:rPr>
        <w:t xml:space="preserve"> si se interpretan tres décadas, deben entregarse tres mapas de procesos morfodinámicos. </w:t>
      </w:r>
      <w:r w:rsidR="008904E9" w:rsidRPr="004068F6">
        <w:rPr>
          <w:rFonts w:cs="Arial"/>
          <w:spacing w:val="-3"/>
        </w:rPr>
        <w:t>En todo caso</w:t>
      </w:r>
      <w:r w:rsidR="009D132B" w:rsidRPr="004068F6">
        <w:rPr>
          <w:spacing w:val="-3"/>
        </w:rPr>
        <w:t>, se debe presentar un mapa que evidencie el estado actual.</w:t>
      </w:r>
      <w:r w:rsidRPr="004068F6">
        <w:rPr>
          <w:spacing w:val="-3"/>
        </w:rPr>
        <w:t xml:space="preserve"> En áreas marinas, se debe generar un mapa de procesos morfodinámicos que tenga en cuenta los procesos actuales.</w:t>
      </w:r>
    </w:p>
    <w:p w14:paraId="396443D4" w14:textId="77777777" w:rsidR="009D132B" w:rsidRPr="004068F6" w:rsidRDefault="009D132B">
      <w:pPr>
        <w:numPr>
          <w:ilvl w:val="12"/>
          <w:numId w:val="0"/>
        </w:numPr>
        <w:tabs>
          <w:tab w:val="left" w:pos="-2268"/>
        </w:tabs>
        <w:suppressAutoHyphens/>
        <w:rPr>
          <w:spacing w:val="-3"/>
        </w:rPr>
      </w:pPr>
    </w:p>
    <w:p w14:paraId="568AFBEC" w14:textId="5A959655" w:rsidR="009D132B" w:rsidRPr="004068F6" w:rsidRDefault="009D132B" w:rsidP="00C86DA5">
      <w:pPr>
        <w:numPr>
          <w:ilvl w:val="0"/>
          <w:numId w:val="115"/>
        </w:numPr>
        <w:tabs>
          <w:tab w:val="left" w:pos="-2268"/>
        </w:tabs>
        <w:suppressAutoHyphens/>
        <w:ind w:left="567" w:hanging="567"/>
        <w:rPr>
          <w:spacing w:val="-3"/>
        </w:rPr>
      </w:pPr>
      <w:r w:rsidRPr="004068F6">
        <w:rPr>
          <w:rFonts w:cs="Arial"/>
          <w:spacing w:val="-3"/>
        </w:rPr>
        <w:t>Mapa de</w:t>
      </w:r>
      <w:r w:rsidRPr="004068F6">
        <w:rPr>
          <w:spacing w:val="-3"/>
        </w:rPr>
        <w:t xml:space="preserve"> unidades geomorfológicas con énfasis en la morfogénesis.</w:t>
      </w:r>
    </w:p>
    <w:p w14:paraId="2CEF79C2" w14:textId="77777777" w:rsidR="009D132B" w:rsidRPr="004068F6" w:rsidRDefault="009D132B">
      <w:pPr>
        <w:tabs>
          <w:tab w:val="left" w:pos="-2268"/>
        </w:tabs>
        <w:suppressAutoHyphens/>
        <w:rPr>
          <w:spacing w:val="-3"/>
        </w:rPr>
      </w:pPr>
    </w:p>
    <w:p w14:paraId="7A1EC5F7" w14:textId="5958E070" w:rsidR="009D132B" w:rsidRPr="004068F6" w:rsidRDefault="009D132B" w:rsidP="00C86DA5">
      <w:pPr>
        <w:numPr>
          <w:ilvl w:val="0"/>
          <w:numId w:val="115"/>
        </w:numPr>
        <w:tabs>
          <w:tab w:val="left" w:pos="-2268"/>
        </w:tabs>
        <w:suppressAutoHyphens/>
        <w:ind w:left="567" w:hanging="567"/>
        <w:rPr>
          <w:spacing w:val="-3"/>
        </w:rPr>
      </w:pPr>
      <w:r w:rsidRPr="004068F6">
        <w:rPr>
          <w:rFonts w:cs="Arial"/>
          <w:spacing w:val="-3"/>
        </w:rPr>
        <w:t>Mapa de</w:t>
      </w:r>
      <w:r w:rsidRPr="004068F6">
        <w:rPr>
          <w:spacing w:val="-3"/>
        </w:rPr>
        <w:t xml:space="preserve"> susceptibilidad por la ocurrencia de procesos erosivos y de susceptibilidad ante procesos de movimientos en masa</w:t>
      </w:r>
      <w:r w:rsidR="00574A5D" w:rsidRPr="004068F6">
        <w:rPr>
          <w:spacing w:val="-3"/>
        </w:rPr>
        <w:t xml:space="preserve"> aplicables a los resultados del análisis de procesos morfodinámicos</w:t>
      </w:r>
      <w:r w:rsidRPr="004068F6">
        <w:rPr>
          <w:spacing w:val="-3"/>
        </w:rPr>
        <w:t>.</w:t>
      </w:r>
    </w:p>
    <w:p w14:paraId="099D814E" w14:textId="77777777" w:rsidR="009D132B" w:rsidRPr="004068F6" w:rsidRDefault="009D132B" w:rsidP="009420F5">
      <w:pPr>
        <w:rPr>
          <w:spacing w:val="-3"/>
        </w:rPr>
      </w:pPr>
    </w:p>
    <w:p w14:paraId="7A764873" w14:textId="1E11863F" w:rsidR="009D132B" w:rsidRPr="004068F6" w:rsidRDefault="00235986" w:rsidP="00B52C49">
      <w:pPr>
        <w:numPr>
          <w:ilvl w:val="0"/>
          <w:numId w:val="115"/>
        </w:numPr>
        <w:tabs>
          <w:tab w:val="left" w:pos="-2268"/>
        </w:tabs>
        <w:suppressAutoHyphens/>
        <w:ind w:left="567" w:hanging="567"/>
        <w:rPr>
          <w:rFonts w:cs="Arial"/>
          <w:spacing w:val="-3"/>
        </w:rPr>
      </w:pPr>
      <w:r w:rsidRPr="004068F6">
        <w:rPr>
          <w:rFonts w:cs="Arial"/>
          <w:spacing w:val="-3"/>
        </w:rPr>
        <w:t>Mapa de unidades fisiográficas.</w:t>
      </w:r>
    </w:p>
    <w:p w14:paraId="18F6F459" w14:textId="77777777" w:rsidR="009D132B" w:rsidRPr="004068F6" w:rsidRDefault="009D132B" w:rsidP="009D132B">
      <w:pPr>
        <w:numPr>
          <w:ilvl w:val="12"/>
          <w:numId w:val="0"/>
        </w:numPr>
        <w:tabs>
          <w:tab w:val="left" w:pos="-2268"/>
        </w:tabs>
        <w:suppressAutoHyphens/>
        <w:rPr>
          <w:rFonts w:cs="Arial"/>
          <w:spacing w:val="-3"/>
        </w:rPr>
      </w:pPr>
    </w:p>
    <w:p w14:paraId="5508B826" w14:textId="4F71CA46" w:rsidR="009D132B" w:rsidRPr="004068F6" w:rsidRDefault="009D132B">
      <w:pPr>
        <w:numPr>
          <w:ilvl w:val="12"/>
          <w:numId w:val="0"/>
        </w:numPr>
        <w:tabs>
          <w:tab w:val="left" w:pos="-2268"/>
        </w:tabs>
        <w:suppressAutoHyphens/>
        <w:rPr>
          <w:spacing w:val="-3"/>
        </w:rPr>
      </w:pPr>
      <w:r w:rsidRPr="004068F6">
        <w:rPr>
          <w:spacing w:val="-3"/>
        </w:rPr>
        <w:t xml:space="preserve">Presentar la información a la escala que establezcan los términos de referencia, o a una más detallada si el análisis lo requiere, teniendo en cuenta los dominios establecidos en </w:t>
      </w:r>
      <w:r w:rsidRPr="004068F6">
        <w:rPr>
          <w:rFonts w:cs="Arial"/>
          <w:spacing w:val="-3"/>
        </w:rPr>
        <w:t xml:space="preserve">el </w:t>
      </w:r>
      <w:r w:rsidR="00293C77" w:rsidRPr="004068F6">
        <w:rPr>
          <w:rFonts w:cs="Arial"/>
          <w:spacing w:val="-3"/>
        </w:rPr>
        <w:t>MAG</w:t>
      </w:r>
      <w:r w:rsidRPr="004068F6">
        <w:rPr>
          <w:rFonts w:cs="Arial"/>
          <w:spacing w:val="-3"/>
        </w:rPr>
        <w:t>.</w:t>
      </w:r>
      <w:r w:rsidRPr="004068F6">
        <w:rPr>
          <w:spacing w:val="-3"/>
        </w:rPr>
        <w:t xml:space="preserve"> Esta información debe </w:t>
      </w:r>
      <w:r w:rsidR="00293C77" w:rsidRPr="004068F6">
        <w:rPr>
          <w:spacing w:val="-3"/>
        </w:rPr>
        <w:t xml:space="preserve">representarse cartográficamente con </w:t>
      </w:r>
      <w:r w:rsidRPr="004068F6">
        <w:rPr>
          <w:spacing w:val="-3"/>
        </w:rPr>
        <w:t xml:space="preserve">una escala de presentación que permita su lectura. </w:t>
      </w:r>
      <w:r w:rsidR="00900A47" w:rsidRPr="004068F6">
        <w:rPr>
          <w:spacing w:val="-3"/>
        </w:rPr>
        <w:t xml:space="preserve">Se </w:t>
      </w:r>
      <w:r w:rsidRPr="004068F6">
        <w:rPr>
          <w:spacing w:val="-3"/>
        </w:rPr>
        <w:t>debe</w:t>
      </w:r>
      <w:r w:rsidR="00900A47" w:rsidRPr="004068F6">
        <w:rPr>
          <w:spacing w:val="-3"/>
        </w:rPr>
        <w:t>n</w:t>
      </w:r>
      <w:r w:rsidRPr="004068F6">
        <w:rPr>
          <w:spacing w:val="-3"/>
        </w:rPr>
        <w:t xml:space="preserve"> adjuntar las imágenes interpretadas.</w:t>
      </w:r>
    </w:p>
    <w:p w14:paraId="41202344" w14:textId="77777777" w:rsidR="00293C77" w:rsidRPr="004068F6" w:rsidRDefault="00293C77">
      <w:pPr>
        <w:numPr>
          <w:ilvl w:val="12"/>
          <w:numId w:val="0"/>
        </w:numPr>
        <w:tabs>
          <w:tab w:val="left" w:pos="-2268"/>
        </w:tabs>
        <w:suppressAutoHyphens/>
        <w:rPr>
          <w:spacing w:val="-3"/>
        </w:rPr>
      </w:pPr>
    </w:p>
    <w:p w14:paraId="2C5CEC50" w14:textId="75DC97D2" w:rsidR="009D132B" w:rsidRPr="004068F6" w:rsidRDefault="00197B76">
      <w:pPr>
        <w:numPr>
          <w:ilvl w:val="12"/>
          <w:numId w:val="0"/>
        </w:numPr>
        <w:tabs>
          <w:tab w:val="left" w:pos="-2268"/>
        </w:tabs>
        <w:suppressAutoHyphens/>
        <w:rPr>
          <w:spacing w:val="-3"/>
        </w:rPr>
      </w:pPr>
      <w:r w:rsidRPr="004068F6">
        <w:rPr>
          <w:spacing w:val="-3"/>
        </w:rPr>
        <w:t>Para el caso de la geomorfología submarina, la información debe ser obtenida de datos batimétricos en las zonas en donde se vayan a realizar las obras o actividades relacionadas con el proyecto, de forma que sea posible determinar las diferentes geoformas del relieve submarino teniendo en cuenta el grado de detalle establecido en los términos de referencia. Fuera de las áreas de intervención, la información de batimetría puede ser primaria u obtenida de fuentes batimétricas secundarias oficiales, cartas náuticas, modelos batimétricos digitales descargados de bases de datos confiables.</w:t>
      </w:r>
    </w:p>
    <w:p w14:paraId="03E294A1" w14:textId="77777777" w:rsidR="009D132B" w:rsidRPr="004068F6" w:rsidRDefault="009D132B">
      <w:pPr>
        <w:numPr>
          <w:ilvl w:val="12"/>
          <w:numId w:val="0"/>
        </w:numPr>
        <w:tabs>
          <w:tab w:val="left" w:pos="-2268"/>
        </w:tabs>
        <w:suppressAutoHyphens/>
        <w:rPr>
          <w:spacing w:val="-3"/>
        </w:rPr>
      </w:pPr>
    </w:p>
    <w:p w14:paraId="266C969E" w14:textId="14D51C37" w:rsidR="009D132B" w:rsidRPr="004068F6" w:rsidRDefault="009D132B">
      <w:pPr>
        <w:numPr>
          <w:ilvl w:val="12"/>
          <w:numId w:val="0"/>
        </w:numPr>
        <w:tabs>
          <w:tab w:val="left" w:pos="-2268"/>
        </w:tabs>
        <w:suppressAutoHyphens/>
        <w:rPr>
          <w:spacing w:val="-3"/>
        </w:rPr>
      </w:pPr>
      <w:r w:rsidRPr="004068F6">
        <w:rPr>
          <w:spacing w:val="-3"/>
        </w:rPr>
        <w:t xml:space="preserve">Para el caso de la geomorfología costera, la información debe ser obtenida de la interpretación imágenes de sensores remotos, que permita la caracterización de las </w:t>
      </w:r>
      <w:r w:rsidRPr="004068F6">
        <w:rPr>
          <w:spacing w:val="-3"/>
        </w:rPr>
        <w:lastRenderedPageBreak/>
        <w:t xml:space="preserve">unidades y rasgos geomorfológicos costeros; asimismo, se debe realizar un levantamiento de la línea de costa </w:t>
      </w:r>
      <w:r w:rsidR="00574A5D" w:rsidRPr="004068F6">
        <w:rPr>
          <w:spacing w:val="-3"/>
        </w:rPr>
        <w:t xml:space="preserve">mediante </w:t>
      </w:r>
      <w:r w:rsidR="00574A5D" w:rsidRPr="004068F6">
        <w:rPr>
          <w:rFonts w:cs="Arial"/>
          <w:spacing w:val="-3"/>
        </w:rPr>
        <w:t xml:space="preserve">métodos como los recorridos de línea de costa o toma de imágenes con sensores remotos o drones, </w:t>
      </w:r>
      <w:r w:rsidR="00574A5D" w:rsidRPr="004068F6">
        <w:rPr>
          <w:spacing w:val="-3"/>
        </w:rPr>
        <w:t xml:space="preserve">a fin de </w:t>
      </w:r>
      <w:r w:rsidRPr="004068F6">
        <w:rPr>
          <w:spacing w:val="-3"/>
        </w:rPr>
        <w:t>desarroll</w:t>
      </w:r>
      <w:r w:rsidR="00574A5D" w:rsidRPr="004068F6">
        <w:rPr>
          <w:spacing w:val="-3"/>
        </w:rPr>
        <w:t>ar</w:t>
      </w:r>
      <w:r w:rsidRPr="004068F6">
        <w:rPr>
          <w:spacing w:val="-3"/>
        </w:rPr>
        <w:t xml:space="preserve"> un análisis multitemporal que utilice fotografías aéreas e imágenes de satélite para determinar tasas de erosión y acreción sedimentaria que incluya perfiles de playa.</w:t>
      </w:r>
    </w:p>
    <w:p w14:paraId="2EDAF2BB" w14:textId="071E747C" w:rsidR="009D132B" w:rsidRPr="004068F6" w:rsidRDefault="009D132B" w:rsidP="009D132B">
      <w:pPr>
        <w:numPr>
          <w:ilvl w:val="12"/>
          <w:numId w:val="0"/>
        </w:numPr>
        <w:tabs>
          <w:tab w:val="left" w:pos="-2268"/>
        </w:tabs>
        <w:suppressAutoHyphens/>
        <w:rPr>
          <w:rFonts w:cs="Arial"/>
          <w:spacing w:val="-3"/>
        </w:rPr>
      </w:pPr>
    </w:p>
    <w:p w14:paraId="209EC6C7" w14:textId="3654BC06" w:rsidR="009D132B" w:rsidRPr="004068F6" w:rsidRDefault="009D132B" w:rsidP="009D132B">
      <w:pPr>
        <w:numPr>
          <w:ilvl w:val="12"/>
          <w:numId w:val="0"/>
        </w:numPr>
        <w:tabs>
          <w:tab w:val="left" w:pos="-2268"/>
        </w:tabs>
        <w:suppressAutoHyphens/>
        <w:rPr>
          <w:rFonts w:cs="Arial"/>
          <w:spacing w:val="-3"/>
        </w:rPr>
      </w:pPr>
      <w:r w:rsidRPr="004068F6">
        <w:rPr>
          <w:rFonts w:cs="Arial"/>
          <w:spacing w:val="-3"/>
        </w:rPr>
        <w:t xml:space="preserve">Para el caso de la geomorfología fluvial </w:t>
      </w:r>
      <w:r w:rsidR="00293C77" w:rsidRPr="004068F6">
        <w:rPr>
          <w:rFonts w:cs="Arial"/>
          <w:spacing w:val="-3"/>
        </w:rPr>
        <w:t>en</w:t>
      </w:r>
      <w:r w:rsidRPr="004068F6">
        <w:rPr>
          <w:rFonts w:cs="Arial"/>
          <w:spacing w:val="-3"/>
        </w:rPr>
        <w:t xml:space="preserve"> proyectos</w:t>
      </w:r>
      <w:r w:rsidR="00293C77" w:rsidRPr="004068F6">
        <w:rPr>
          <w:rFonts w:cs="Arial"/>
          <w:spacing w:val="-3"/>
        </w:rPr>
        <w:t>, obras o actividades en los</w:t>
      </w:r>
      <w:r w:rsidRPr="004068F6">
        <w:rPr>
          <w:rFonts w:cs="Arial"/>
          <w:spacing w:val="-3"/>
        </w:rPr>
        <w:t xml:space="preserve"> que su desarrollo implique la intervención y la alteración de corrientes hídricas</w:t>
      </w:r>
      <w:r w:rsidR="009005B7" w:rsidRPr="004068F6">
        <w:rPr>
          <w:rFonts w:cs="Arial"/>
          <w:spacing w:val="-3"/>
        </w:rPr>
        <w:t xml:space="preserve"> (es posible indicar cuales son susceptibles a análisis presentando el sustento técnico pertinente), es importante la determinación y análisis completo de la dinámica fluvial, estableciendo la envolvente de divagación a través de un análisis multitemporal que emplee imágenes e información disponible de sensores remotos de mínimo 3 épocas (se debe presentar el soporte de la gestión adelantada frente a la autoridad ambiental competente o la argumentación referente a la representatividad de las imágenes y el periodo seleccionado)</w:t>
      </w:r>
      <w:r w:rsidRPr="004068F6">
        <w:rPr>
          <w:rFonts w:cs="Arial"/>
          <w:spacing w:val="-3"/>
        </w:rPr>
        <w:t xml:space="preserve">; </w:t>
      </w:r>
      <w:r w:rsidR="00F47D32" w:rsidRPr="004068F6">
        <w:rPr>
          <w:rFonts w:cs="Arial"/>
          <w:spacing w:val="-3"/>
        </w:rPr>
        <w:t xml:space="preserve">asimismo, se deben </w:t>
      </w:r>
      <w:r w:rsidRPr="004068F6">
        <w:rPr>
          <w:rFonts w:cs="Arial"/>
          <w:spacing w:val="-3"/>
        </w:rPr>
        <w:t>an</w:t>
      </w:r>
      <w:r w:rsidR="00F47D32" w:rsidRPr="004068F6">
        <w:rPr>
          <w:rFonts w:cs="Arial"/>
          <w:spacing w:val="-3"/>
        </w:rPr>
        <w:t xml:space="preserve">alizar los </w:t>
      </w:r>
      <w:r w:rsidRPr="004068F6">
        <w:rPr>
          <w:rFonts w:cs="Arial"/>
          <w:spacing w:val="-3"/>
        </w:rPr>
        <w:t xml:space="preserve">eventos de crecientes máximas y </w:t>
      </w:r>
      <w:r w:rsidR="00B21E31" w:rsidRPr="004068F6">
        <w:rPr>
          <w:rFonts w:cs="Arial"/>
          <w:spacing w:val="-3"/>
        </w:rPr>
        <w:t xml:space="preserve">eventos </w:t>
      </w:r>
      <w:r w:rsidRPr="004068F6">
        <w:rPr>
          <w:rFonts w:cs="Arial"/>
          <w:spacing w:val="-3"/>
        </w:rPr>
        <w:t>mínim</w:t>
      </w:r>
      <w:r w:rsidR="00B21E31" w:rsidRPr="004068F6">
        <w:rPr>
          <w:rFonts w:cs="Arial"/>
          <w:spacing w:val="-3"/>
        </w:rPr>
        <w:t>o</w:t>
      </w:r>
      <w:r w:rsidRPr="004068F6">
        <w:rPr>
          <w:rFonts w:cs="Arial"/>
          <w:spacing w:val="-3"/>
        </w:rPr>
        <w:t>s para los periodos de retorno de 5,10, 20, 50 y 100 años y presentar las inundaciones máximas en un mapa a escala detallada.</w:t>
      </w:r>
    </w:p>
    <w:p w14:paraId="063C87C7" w14:textId="77777777" w:rsidR="009D132B" w:rsidRPr="004068F6" w:rsidRDefault="009D132B">
      <w:pPr>
        <w:numPr>
          <w:ilvl w:val="12"/>
          <w:numId w:val="0"/>
        </w:numPr>
        <w:tabs>
          <w:tab w:val="left" w:pos="-2268"/>
        </w:tabs>
        <w:suppressAutoHyphens/>
        <w:rPr>
          <w:spacing w:val="-3"/>
        </w:rPr>
      </w:pPr>
    </w:p>
    <w:p w14:paraId="1AF729A1" w14:textId="0A433452" w:rsidR="00B21E31" w:rsidRPr="00127BD4" w:rsidRDefault="00B21E31" w:rsidP="00B21E31">
      <w:pPr>
        <w:numPr>
          <w:ilvl w:val="12"/>
          <w:numId w:val="0"/>
        </w:numPr>
        <w:tabs>
          <w:tab w:val="left" w:pos="-2268"/>
        </w:tabs>
        <w:suppressAutoHyphens/>
        <w:rPr>
          <w:spacing w:val="-3"/>
        </w:rPr>
      </w:pPr>
      <w:r w:rsidRPr="00127BD4">
        <w:rPr>
          <w:spacing w:val="-3"/>
        </w:rPr>
        <w:t xml:space="preserve">Para el análisis de crecientes máximas y eventos mínimos se debe modelizar la hidrodinámica y el transporte de sedimentos para los periodos de retorno mencionados mediante paquetes informáticos que solucionen modelos en una o dos dimensiones. </w:t>
      </w:r>
      <w:r w:rsidR="00802A27" w:rsidRPr="00127BD4">
        <w:rPr>
          <w:spacing w:val="-3"/>
        </w:rPr>
        <w:t>Al desarrollar modelos de una dimensión se debe considerar que la mayoría de</w:t>
      </w:r>
      <w:r w:rsidRPr="00127BD4">
        <w:rPr>
          <w:spacing w:val="-3"/>
        </w:rPr>
        <w:t xml:space="preserve"> programas informáticos </w:t>
      </w:r>
      <w:r w:rsidR="00802A27" w:rsidRPr="00127BD4">
        <w:rPr>
          <w:spacing w:val="-3"/>
        </w:rPr>
        <w:t xml:space="preserve">realizan </w:t>
      </w:r>
      <w:r w:rsidRPr="00127BD4">
        <w:rPr>
          <w:spacing w:val="-3"/>
        </w:rPr>
        <w:t>soluciones numéricas de las ecuaciones de Saint-Venant 1D (no estacionario), flujo gradualmente variado (estacionario) y flujo gradualmente variado para diferentes condiciones hidrológicas (cuasi-estacionario)</w:t>
      </w:r>
      <w:r w:rsidR="00802A27" w:rsidRPr="00127BD4">
        <w:rPr>
          <w:spacing w:val="-3"/>
        </w:rPr>
        <w:t>; p</w:t>
      </w:r>
      <w:r w:rsidRPr="00127BD4">
        <w:rPr>
          <w:spacing w:val="-3"/>
        </w:rPr>
        <w:t xml:space="preserve">or otra parte, </w:t>
      </w:r>
      <w:r w:rsidR="00D12D37" w:rsidRPr="00127BD4">
        <w:rPr>
          <w:spacing w:val="-3"/>
        </w:rPr>
        <w:t xml:space="preserve">para </w:t>
      </w:r>
      <w:r w:rsidRPr="00127BD4">
        <w:rPr>
          <w:spacing w:val="-3"/>
        </w:rPr>
        <w:t>los modelos en dos dimensiones</w:t>
      </w:r>
      <w:r w:rsidR="00D12D37" w:rsidRPr="00127BD4">
        <w:rPr>
          <w:spacing w:val="-3"/>
        </w:rPr>
        <w:t>, los programas</w:t>
      </w:r>
      <w:r w:rsidRPr="00127BD4">
        <w:rPr>
          <w:spacing w:val="-3"/>
        </w:rPr>
        <w:t xml:space="preserve"> normalmente solucionan las ecuaciones de Saint Venant 2D o Shalow Water Equations (mayor costo computacional) u onda difusiva (menor costo computacional).</w:t>
      </w:r>
    </w:p>
    <w:p w14:paraId="52081DC4" w14:textId="77777777" w:rsidR="00EB436C" w:rsidRPr="00127BD4" w:rsidRDefault="00EB436C" w:rsidP="00B21E31">
      <w:pPr>
        <w:numPr>
          <w:ilvl w:val="12"/>
          <w:numId w:val="0"/>
        </w:numPr>
        <w:tabs>
          <w:tab w:val="left" w:pos="-2268"/>
        </w:tabs>
        <w:suppressAutoHyphens/>
        <w:rPr>
          <w:spacing w:val="-3"/>
        </w:rPr>
      </w:pPr>
    </w:p>
    <w:p w14:paraId="633119AE" w14:textId="73EC107B" w:rsidR="00EB436C" w:rsidRPr="004068F6" w:rsidRDefault="00EB436C" w:rsidP="00EB436C">
      <w:pPr>
        <w:numPr>
          <w:ilvl w:val="12"/>
          <w:numId w:val="0"/>
        </w:numPr>
        <w:tabs>
          <w:tab w:val="left" w:pos="-2268"/>
        </w:tabs>
        <w:suppressAutoHyphens/>
        <w:rPr>
          <w:spacing w:val="-3"/>
        </w:rPr>
      </w:pPr>
      <w:r w:rsidRPr="00127BD4">
        <w:rPr>
          <w:spacing w:val="-3"/>
        </w:rPr>
        <w:t xml:space="preserve">Siempre se debe incluir la justificación del modelo y las ecuaciones empleadas. </w:t>
      </w:r>
      <w:r w:rsidRPr="004068F6">
        <w:rPr>
          <w:spacing w:val="-3"/>
        </w:rPr>
        <w:t>No obstante, en proyectos donde se demuestre técnicamente que el cuerpo de agua no presenta antecedentes de desplazamientos históricos relevantes, procesos activos de inestabilidad ni condiciones de aporte significativas de sedimentos, el análisis de transporte de sedimentos puede realizarse de forma cualitativa o simplificada, siempre que se sustente adecuadamente. Esta justificación debe incluir evidencia de campo o cartográfica.</w:t>
      </w:r>
    </w:p>
    <w:p w14:paraId="1704B61F" w14:textId="77777777" w:rsidR="00B21E31" w:rsidRPr="00127BD4" w:rsidRDefault="00B21E31" w:rsidP="00B21E31">
      <w:pPr>
        <w:numPr>
          <w:ilvl w:val="12"/>
          <w:numId w:val="0"/>
        </w:numPr>
        <w:tabs>
          <w:tab w:val="left" w:pos="-2268"/>
        </w:tabs>
        <w:suppressAutoHyphens/>
        <w:rPr>
          <w:spacing w:val="-3"/>
        </w:rPr>
      </w:pPr>
    </w:p>
    <w:p w14:paraId="2ACB7251" w14:textId="1165B622" w:rsidR="00B21E31" w:rsidRPr="00127BD4" w:rsidRDefault="00B21E31" w:rsidP="004E5795">
      <w:pPr>
        <w:numPr>
          <w:ilvl w:val="12"/>
          <w:numId w:val="0"/>
        </w:numPr>
        <w:tabs>
          <w:tab w:val="left" w:pos="-2268"/>
        </w:tabs>
        <w:suppressAutoHyphens/>
        <w:jc w:val="center"/>
        <w:rPr>
          <w:spacing w:val="-3"/>
        </w:rPr>
      </w:pPr>
      <w:r w:rsidRPr="00127BD4">
        <w:rPr>
          <w:b/>
          <w:bCs/>
          <w:spacing w:val="-3"/>
        </w:rPr>
        <w:t xml:space="preserve">Tabla </w:t>
      </w:r>
      <w:r w:rsidRPr="004068F6">
        <w:rPr>
          <w:b/>
          <w:bCs/>
          <w:spacing w:val="-3"/>
        </w:rPr>
        <w:fldChar w:fldCharType="begin"/>
      </w:r>
      <w:r w:rsidRPr="00127BD4">
        <w:rPr>
          <w:b/>
          <w:bCs/>
          <w:spacing w:val="-3"/>
        </w:rPr>
        <w:instrText xml:space="preserve"> SEQ Tabla \* ARABIC </w:instrText>
      </w:r>
      <w:r w:rsidRPr="004068F6">
        <w:rPr>
          <w:b/>
          <w:bCs/>
          <w:spacing w:val="-3"/>
        </w:rPr>
        <w:fldChar w:fldCharType="separate"/>
      </w:r>
      <w:r w:rsidR="009C4A81">
        <w:rPr>
          <w:b/>
          <w:bCs/>
          <w:noProof/>
          <w:spacing w:val="-3"/>
        </w:rPr>
        <w:t>17</w:t>
      </w:r>
      <w:r w:rsidRPr="004068F6">
        <w:rPr>
          <w:b/>
          <w:bCs/>
          <w:spacing w:val="-3"/>
        </w:rPr>
        <w:fldChar w:fldCharType="end"/>
      </w:r>
      <w:r w:rsidRPr="00127BD4">
        <w:rPr>
          <w:b/>
          <w:bCs/>
          <w:spacing w:val="-3"/>
        </w:rPr>
        <w:t>.</w:t>
      </w:r>
      <w:r w:rsidRPr="00127BD4">
        <w:rPr>
          <w:spacing w:val="-3"/>
        </w:rPr>
        <w:t xml:space="preserve"> </w:t>
      </w:r>
      <w:r w:rsidR="00FD4615" w:rsidRPr="00127BD4">
        <w:rPr>
          <w:spacing w:val="-3"/>
        </w:rPr>
        <w:t>Ecuaciones por solucionar</w:t>
      </w:r>
      <w:r w:rsidRPr="00127BD4">
        <w:rPr>
          <w:spacing w:val="-3"/>
        </w:rPr>
        <w:t xml:space="preserve"> según cuerpo de agua a model</w:t>
      </w:r>
      <w:r w:rsidR="006139F2" w:rsidRPr="00127BD4">
        <w:rPr>
          <w:spacing w:val="-3"/>
        </w:rPr>
        <w:t>iz</w:t>
      </w:r>
      <w:r w:rsidRPr="00127BD4">
        <w:rPr>
          <w:spacing w:val="-3"/>
        </w:rPr>
        <w:t>ar</w:t>
      </w:r>
    </w:p>
    <w:tbl>
      <w:tblPr>
        <w:tblStyle w:val="Tablaconcuadrcula"/>
        <w:tblW w:w="0" w:type="auto"/>
        <w:jc w:val="center"/>
        <w:tblLook w:val="04A0" w:firstRow="1" w:lastRow="0" w:firstColumn="1" w:lastColumn="0" w:noHBand="0" w:noVBand="1"/>
      </w:tblPr>
      <w:tblGrid>
        <w:gridCol w:w="2263"/>
        <w:gridCol w:w="6567"/>
      </w:tblGrid>
      <w:tr w:rsidR="00B21E31" w:rsidRPr="00805B3D" w14:paraId="181AB955" w14:textId="77777777" w:rsidTr="00805B3D">
        <w:trPr>
          <w:trHeight w:hRule="exact" w:val="567"/>
          <w:tblHeader/>
          <w:jc w:val="center"/>
        </w:trPr>
        <w:tc>
          <w:tcPr>
            <w:tcW w:w="2263" w:type="dxa"/>
            <w:vAlign w:val="center"/>
          </w:tcPr>
          <w:p w14:paraId="59ED69F6" w14:textId="77777777" w:rsidR="00B21E31" w:rsidRPr="00805B3D" w:rsidRDefault="00B21E31" w:rsidP="000D6E21">
            <w:pPr>
              <w:numPr>
                <w:ilvl w:val="12"/>
                <w:numId w:val="0"/>
              </w:numPr>
              <w:tabs>
                <w:tab w:val="left" w:pos="-2268"/>
              </w:tabs>
              <w:suppressAutoHyphens/>
              <w:jc w:val="center"/>
              <w:rPr>
                <w:b/>
                <w:spacing w:val="-3"/>
                <w:sz w:val="22"/>
                <w:szCs w:val="22"/>
              </w:rPr>
            </w:pPr>
            <w:r w:rsidRPr="00805B3D">
              <w:rPr>
                <w:b/>
                <w:spacing w:val="-3"/>
                <w:sz w:val="22"/>
                <w:szCs w:val="22"/>
              </w:rPr>
              <w:t>Tipo</w:t>
            </w:r>
          </w:p>
        </w:tc>
        <w:tc>
          <w:tcPr>
            <w:tcW w:w="6567" w:type="dxa"/>
            <w:vAlign w:val="center"/>
          </w:tcPr>
          <w:p w14:paraId="0406E8B9" w14:textId="77777777" w:rsidR="00B21E31" w:rsidRPr="00805B3D" w:rsidRDefault="00B21E31" w:rsidP="000D6E21">
            <w:pPr>
              <w:numPr>
                <w:ilvl w:val="12"/>
                <w:numId w:val="0"/>
              </w:numPr>
              <w:tabs>
                <w:tab w:val="left" w:pos="-2268"/>
              </w:tabs>
              <w:suppressAutoHyphens/>
              <w:jc w:val="center"/>
              <w:rPr>
                <w:b/>
                <w:spacing w:val="-3"/>
                <w:sz w:val="22"/>
                <w:szCs w:val="22"/>
              </w:rPr>
            </w:pPr>
            <w:r w:rsidRPr="00805B3D">
              <w:rPr>
                <w:b/>
                <w:spacing w:val="-3"/>
                <w:sz w:val="22"/>
                <w:szCs w:val="22"/>
              </w:rPr>
              <w:t>Ecuación</w:t>
            </w:r>
          </w:p>
        </w:tc>
      </w:tr>
      <w:tr w:rsidR="00B21E31" w:rsidRPr="00755498" w14:paraId="1893E798" w14:textId="77777777" w:rsidTr="00FA6EDC">
        <w:trPr>
          <w:trHeight w:hRule="exact" w:val="567"/>
          <w:jc w:val="center"/>
        </w:trPr>
        <w:tc>
          <w:tcPr>
            <w:tcW w:w="2263" w:type="dxa"/>
            <w:vAlign w:val="center"/>
          </w:tcPr>
          <w:p w14:paraId="5444A73A" w14:textId="77777777" w:rsidR="00B21E31" w:rsidRPr="00127BD4" w:rsidRDefault="00B21E31" w:rsidP="00B21E31">
            <w:pPr>
              <w:numPr>
                <w:ilvl w:val="12"/>
                <w:numId w:val="0"/>
              </w:numPr>
              <w:tabs>
                <w:tab w:val="left" w:pos="-2268"/>
              </w:tabs>
              <w:suppressAutoHyphens/>
              <w:rPr>
                <w:spacing w:val="-3"/>
                <w:sz w:val="20"/>
                <w:szCs w:val="20"/>
              </w:rPr>
            </w:pPr>
            <w:r w:rsidRPr="00127BD4">
              <w:rPr>
                <w:spacing w:val="-3"/>
                <w:sz w:val="20"/>
                <w:szCs w:val="20"/>
              </w:rPr>
              <w:t>Ríos sinuosos o meándricos</w:t>
            </w:r>
          </w:p>
        </w:tc>
        <w:tc>
          <w:tcPr>
            <w:tcW w:w="6567" w:type="dxa"/>
            <w:vAlign w:val="center"/>
          </w:tcPr>
          <w:p w14:paraId="68D0427F" w14:textId="693E2228" w:rsidR="00B21E31" w:rsidRPr="006C00FC" w:rsidRDefault="00B21E31" w:rsidP="00B21E31">
            <w:pPr>
              <w:numPr>
                <w:ilvl w:val="12"/>
                <w:numId w:val="0"/>
              </w:numPr>
              <w:tabs>
                <w:tab w:val="left" w:pos="-2268"/>
              </w:tabs>
              <w:suppressAutoHyphens/>
              <w:rPr>
                <w:spacing w:val="-3"/>
                <w:sz w:val="20"/>
                <w:szCs w:val="20"/>
                <w:lang w:val="fr-FR"/>
              </w:rPr>
            </w:pPr>
            <w:r w:rsidRPr="006C00FC">
              <w:rPr>
                <w:spacing w:val="-3"/>
                <w:sz w:val="20"/>
                <w:szCs w:val="20"/>
                <w:lang w:val="fr-FR"/>
              </w:rPr>
              <w:t xml:space="preserve">Saint-Venant 2D u </w:t>
            </w:r>
            <w:r w:rsidR="006139F2" w:rsidRPr="006C00FC">
              <w:rPr>
                <w:spacing w:val="-3"/>
                <w:sz w:val="20"/>
                <w:szCs w:val="20"/>
                <w:lang w:val="fr-FR"/>
              </w:rPr>
              <w:t>o</w:t>
            </w:r>
            <w:r w:rsidRPr="006C00FC">
              <w:rPr>
                <w:spacing w:val="-3"/>
                <w:sz w:val="20"/>
                <w:szCs w:val="20"/>
                <w:lang w:val="fr-FR"/>
              </w:rPr>
              <w:t xml:space="preserve">nda </w:t>
            </w:r>
            <w:r w:rsidR="006139F2" w:rsidRPr="006C00FC">
              <w:rPr>
                <w:spacing w:val="-3"/>
                <w:sz w:val="20"/>
                <w:szCs w:val="20"/>
                <w:lang w:val="fr-FR"/>
              </w:rPr>
              <w:t>difusiva</w:t>
            </w:r>
          </w:p>
        </w:tc>
      </w:tr>
      <w:tr w:rsidR="00B21E31" w:rsidRPr="00755498" w14:paraId="5B2E66E9" w14:textId="77777777" w:rsidTr="00FA6EDC">
        <w:trPr>
          <w:trHeight w:hRule="exact" w:val="567"/>
          <w:jc w:val="center"/>
        </w:trPr>
        <w:tc>
          <w:tcPr>
            <w:tcW w:w="2263" w:type="dxa"/>
            <w:vAlign w:val="center"/>
          </w:tcPr>
          <w:p w14:paraId="7D286371" w14:textId="77777777" w:rsidR="00B21E31" w:rsidRPr="00127BD4" w:rsidRDefault="00B21E31" w:rsidP="00B21E31">
            <w:pPr>
              <w:numPr>
                <w:ilvl w:val="12"/>
                <w:numId w:val="0"/>
              </w:numPr>
              <w:tabs>
                <w:tab w:val="left" w:pos="-2268"/>
              </w:tabs>
              <w:suppressAutoHyphens/>
              <w:rPr>
                <w:spacing w:val="-3"/>
                <w:sz w:val="20"/>
                <w:szCs w:val="20"/>
              </w:rPr>
            </w:pPr>
            <w:r w:rsidRPr="00127BD4">
              <w:rPr>
                <w:spacing w:val="-3"/>
                <w:sz w:val="20"/>
                <w:szCs w:val="20"/>
              </w:rPr>
              <w:lastRenderedPageBreak/>
              <w:t>Ríos rectilíneos</w:t>
            </w:r>
          </w:p>
        </w:tc>
        <w:tc>
          <w:tcPr>
            <w:tcW w:w="6567" w:type="dxa"/>
            <w:vAlign w:val="center"/>
          </w:tcPr>
          <w:p w14:paraId="117BF338" w14:textId="77777777" w:rsidR="00B21E31" w:rsidRPr="006C00FC" w:rsidRDefault="00B21E31" w:rsidP="00B21E31">
            <w:pPr>
              <w:numPr>
                <w:ilvl w:val="12"/>
                <w:numId w:val="0"/>
              </w:numPr>
              <w:tabs>
                <w:tab w:val="left" w:pos="-2268"/>
              </w:tabs>
              <w:suppressAutoHyphens/>
              <w:rPr>
                <w:spacing w:val="-3"/>
                <w:sz w:val="20"/>
                <w:szCs w:val="20"/>
                <w:lang w:val="fr-FR"/>
              </w:rPr>
            </w:pPr>
            <w:r w:rsidRPr="006C00FC">
              <w:rPr>
                <w:spacing w:val="-3"/>
                <w:sz w:val="20"/>
                <w:szCs w:val="20"/>
                <w:lang w:val="fr-FR"/>
              </w:rPr>
              <w:t>Saint-Venant 1D o FGV</w:t>
            </w:r>
          </w:p>
        </w:tc>
      </w:tr>
      <w:tr w:rsidR="00B21E31" w:rsidRPr="00755498" w14:paraId="3B70FB9A" w14:textId="77777777" w:rsidTr="00FA6EDC">
        <w:trPr>
          <w:trHeight w:hRule="exact" w:val="567"/>
          <w:jc w:val="center"/>
        </w:trPr>
        <w:tc>
          <w:tcPr>
            <w:tcW w:w="2263" w:type="dxa"/>
            <w:vAlign w:val="center"/>
          </w:tcPr>
          <w:p w14:paraId="1E2EE1FF" w14:textId="77777777" w:rsidR="00B21E31" w:rsidRPr="00127BD4" w:rsidRDefault="00B21E31" w:rsidP="00B21E31">
            <w:pPr>
              <w:numPr>
                <w:ilvl w:val="12"/>
                <w:numId w:val="0"/>
              </w:numPr>
              <w:tabs>
                <w:tab w:val="left" w:pos="-2268"/>
              </w:tabs>
              <w:suppressAutoHyphens/>
              <w:rPr>
                <w:spacing w:val="-3"/>
                <w:sz w:val="20"/>
                <w:szCs w:val="20"/>
              </w:rPr>
            </w:pPr>
            <w:r w:rsidRPr="00127BD4">
              <w:rPr>
                <w:spacing w:val="-3"/>
                <w:sz w:val="20"/>
                <w:szCs w:val="20"/>
              </w:rPr>
              <w:t>Ciénagas</w:t>
            </w:r>
          </w:p>
        </w:tc>
        <w:tc>
          <w:tcPr>
            <w:tcW w:w="6567" w:type="dxa"/>
            <w:vAlign w:val="center"/>
          </w:tcPr>
          <w:p w14:paraId="07A0B5F4" w14:textId="035AA35D" w:rsidR="00B21E31" w:rsidRPr="006C00FC" w:rsidRDefault="00B21E31" w:rsidP="00B21E31">
            <w:pPr>
              <w:numPr>
                <w:ilvl w:val="12"/>
                <w:numId w:val="0"/>
              </w:numPr>
              <w:tabs>
                <w:tab w:val="left" w:pos="-2268"/>
              </w:tabs>
              <w:suppressAutoHyphens/>
              <w:rPr>
                <w:spacing w:val="-3"/>
                <w:sz w:val="20"/>
                <w:szCs w:val="20"/>
                <w:lang w:val="fr-FR"/>
              </w:rPr>
            </w:pPr>
            <w:r w:rsidRPr="006C00FC">
              <w:rPr>
                <w:spacing w:val="-3"/>
                <w:sz w:val="20"/>
                <w:szCs w:val="20"/>
                <w:lang w:val="fr-FR"/>
              </w:rPr>
              <w:t xml:space="preserve">Saint-Venant 2D u </w:t>
            </w:r>
            <w:r w:rsidR="006139F2" w:rsidRPr="006C00FC">
              <w:rPr>
                <w:spacing w:val="-3"/>
                <w:sz w:val="20"/>
                <w:szCs w:val="20"/>
                <w:lang w:val="fr-FR"/>
              </w:rPr>
              <w:t>onda difusiva</w:t>
            </w:r>
          </w:p>
        </w:tc>
      </w:tr>
      <w:tr w:rsidR="00B21E31" w:rsidRPr="00755498" w14:paraId="483FFB96" w14:textId="77777777" w:rsidTr="00FA6EDC">
        <w:trPr>
          <w:trHeight w:hRule="exact" w:val="567"/>
          <w:jc w:val="center"/>
        </w:trPr>
        <w:tc>
          <w:tcPr>
            <w:tcW w:w="2263" w:type="dxa"/>
            <w:vAlign w:val="center"/>
          </w:tcPr>
          <w:p w14:paraId="787111FE" w14:textId="77777777" w:rsidR="00B21E31" w:rsidRPr="00127BD4" w:rsidRDefault="00B21E31" w:rsidP="00B21E31">
            <w:pPr>
              <w:numPr>
                <w:ilvl w:val="12"/>
                <w:numId w:val="0"/>
              </w:numPr>
              <w:tabs>
                <w:tab w:val="left" w:pos="-2268"/>
              </w:tabs>
              <w:suppressAutoHyphens/>
              <w:rPr>
                <w:spacing w:val="-3"/>
                <w:sz w:val="20"/>
                <w:szCs w:val="20"/>
              </w:rPr>
            </w:pPr>
            <w:r w:rsidRPr="00127BD4">
              <w:rPr>
                <w:spacing w:val="-3"/>
                <w:sz w:val="20"/>
                <w:szCs w:val="20"/>
              </w:rPr>
              <w:t>Zonas estuarinas</w:t>
            </w:r>
          </w:p>
        </w:tc>
        <w:tc>
          <w:tcPr>
            <w:tcW w:w="6567" w:type="dxa"/>
            <w:vAlign w:val="center"/>
          </w:tcPr>
          <w:p w14:paraId="24CC2F51" w14:textId="3757DD33" w:rsidR="00B21E31" w:rsidRPr="006C00FC" w:rsidRDefault="00B21E31" w:rsidP="00B21E31">
            <w:pPr>
              <w:numPr>
                <w:ilvl w:val="12"/>
                <w:numId w:val="0"/>
              </w:numPr>
              <w:tabs>
                <w:tab w:val="left" w:pos="-2268"/>
              </w:tabs>
              <w:suppressAutoHyphens/>
              <w:rPr>
                <w:spacing w:val="-3"/>
                <w:sz w:val="20"/>
                <w:szCs w:val="20"/>
                <w:lang w:val="fr-FR"/>
              </w:rPr>
            </w:pPr>
            <w:r w:rsidRPr="006C00FC">
              <w:rPr>
                <w:spacing w:val="-3"/>
                <w:sz w:val="20"/>
                <w:szCs w:val="20"/>
                <w:lang w:val="fr-FR"/>
              </w:rPr>
              <w:t xml:space="preserve">Saint-Venant 2D u </w:t>
            </w:r>
            <w:r w:rsidR="006139F2" w:rsidRPr="006C00FC">
              <w:rPr>
                <w:spacing w:val="-3"/>
                <w:sz w:val="20"/>
                <w:szCs w:val="20"/>
                <w:lang w:val="fr-FR"/>
              </w:rPr>
              <w:t>onda difusiva</w:t>
            </w:r>
          </w:p>
        </w:tc>
      </w:tr>
      <w:tr w:rsidR="00B21E31" w:rsidRPr="00755498" w14:paraId="55E834F7" w14:textId="77777777" w:rsidTr="00FA6EDC">
        <w:trPr>
          <w:trHeight w:hRule="exact" w:val="567"/>
          <w:jc w:val="center"/>
        </w:trPr>
        <w:tc>
          <w:tcPr>
            <w:tcW w:w="2263" w:type="dxa"/>
            <w:vAlign w:val="center"/>
          </w:tcPr>
          <w:p w14:paraId="59A37611" w14:textId="77777777" w:rsidR="00B21E31" w:rsidRPr="00127BD4" w:rsidRDefault="00B21E31" w:rsidP="00B21E31">
            <w:pPr>
              <w:numPr>
                <w:ilvl w:val="12"/>
                <w:numId w:val="0"/>
              </w:numPr>
              <w:tabs>
                <w:tab w:val="left" w:pos="-2268"/>
              </w:tabs>
              <w:suppressAutoHyphens/>
              <w:rPr>
                <w:spacing w:val="-3"/>
                <w:sz w:val="20"/>
                <w:szCs w:val="20"/>
              </w:rPr>
            </w:pPr>
            <w:r w:rsidRPr="00127BD4">
              <w:rPr>
                <w:spacing w:val="-3"/>
                <w:sz w:val="20"/>
                <w:szCs w:val="20"/>
              </w:rPr>
              <w:t>Canales rectilíneos</w:t>
            </w:r>
          </w:p>
        </w:tc>
        <w:tc>
          <w:tcPr>
            <w:tcW w:w="6567" w:type="dxa"/>
            <w:vAlign w:val="center"/>
          </w:tcPr>
          <w:p w14:paraId="6EF55C70" w14:textId="77777777" w:rsidR="00B21E31" w:rsidRPr="006C00FC" w:rsidRDefault="00B21E31" w:rsidP="00B21E31">
            <w:pPr>
              <w:numPr>
                <w:ilvl w:val="12"/>
                <w:numId w:val="0"/>
              </w:numPr>
              <w:tabs>
                <w:tab w:val="left" w:pos="-2268"/>
              </w:tabs>
              <w:suppressAutoHyphens/>
              <w:rPr>
                <w:spacing w:val="-3"/>
                <w:sz w:val="20"/>
                <w:szCs w:val="20"/>
                <w:lang w:val="fr-FR"/>
              </w:rPr>
            </w:pPr>
            <w:r w:rsidRPr="006C00FC">
              <w:rPr>
                <w:spacing w:val="-3"/>
                <w:sz w:val="20"/>
                <w:szCs w:val="20"/>
                <w:lang w:val="fr-FR"/>
              </w:rPr>
              <w:t>Saint-Venant 1D o FGV</w:t>
            </w:r>
          </w:p>
        </w:tc>
      </w:tr>
      <w:tr w:rsidR="00B21E31" w:rsidRPr="004068F6" w14:paraId="3840B442" w14:textId="77777777" w:rsidTr="00FA6EDC">
        <w:trPr>
          <w:trHeight w:hRule="exact" w:val="567"/>
          <w:jc w:val="center"/>
        </w:trPr>
        <w:tc>
          <w:tcPr>
            <w:tcW w:w="2263" w:type="dxa"/>
            <w:vAlign w:val="center"/>
          </w:tcPr>
          <w:p w14:paraId="4844C05F" w14:textId="77777777" w:rsidR="00B21E31" w:rsidRPr="00127BD4" w:rsidRDefault="00B21E31" w:rsidP="00B21E31">
            <w:pPr>
              <w:numPr>
                <w:ilvl w:val="12"/>
                <w:numId w:val="0"/>
              </w:numPr>
              <w:tabs>
                <w:tab w:val="left" w:pos="-2268"/>
              </w:tabs>
              <w:suppressAutoHyphens/>
              <w:rPr>
                <w:spacing w:val="-3"/>
                <w:sz w:val="20"/>
                <w:szCs w:val="20"/>
              </w:rPr>
            </w:pPr>
            <w:r w:rsidRPr="00127BD4">
              <w:rPr>
                <w:spacing w:val="-3"/>
                <w:sz w:val="20"/>
                <w:szCs w:val="20"/>
              </w:rPr>
              <w:t>Modelos hidrológicos distribuidos</w:t>
            </w:r>
          </w:p>
        </w:tc>
        <w:tc>
          <w:tcPr>
            <w:tcW w:w="6567" w:type="dxa"/>
            <w:vAlign w:val="center"/>
          </w:tcPr>
          <w:p w14:paraId="1094D1C9" w14:textId="5D230C8E" w:rsidR="00B21E31" w:rsidRPr="00127BD4" w:rsidRDefault="006139F2" w:rsidP="00B21E31">
            <w:pPr>
              <w:numPr>
                <w:ilvl w:val="12"/>
                <w:numId w:val="0"/>
              </w:numPr>
              <w:tabs>
                <w:tab w:val="left" w:pos="-2268"/>
              </w:tabs>
              <w:suppressAutoHyphens/>
              <w:rPr>
                <w:spacing w:val="-3"/>
                <w:sz w:val="20"/>
                <w:szCs w:val="20"/>
              </w:rPr>
            </w:pPr>
            <w:r w:rsidRPr="00127BD4">
              <w:rPr>
                <w:spacing w:val="-3"/>
                <w:sz w:val="20"/>
                <w:szCs w:val="20"/>
              </w:rPr>
              <w:t>Onda difusiva</w:t>
            </w:r>
          </w:p>
        </w:tc>
      </w:tr>
      <w:tr w:rsidR="00EB436C" w:rsidRPr="004068F6" w14:paraId="07FFF9AD" w14:textId="77777777" w:rsidTr="00FA6EDC">
        <w:trPr>
          <w:trHeight w:hRule="exact" w:val="567"/>
          <w:jc w:val="center"/>
        </w:trPr>
        <w:tc>
          <w:tcPr>
            <w:tcW w:w="2263" w:type="dxa"/>
            <w:vAlign w:val="center"/>
          </w:tcPr>
          <w:p w14:paraId="2BB40564" w14:textId="0B4328A3" w:rsidR="00EB436C" w:rsidRPr="00127BD4" w:rsidRDefault="00EB436C" w:rsidP="00EB436C">
            <w:pPr>
              <w:numPr>
                <w:ilvl w:val="12"/>
                <w:numId w:val="0"/>
              </w:numPr>
              <w:tabs>
                <w:tab w:val="left" w:pos="-2268"/>
              </w:tabs>
              <w:suppressAutoHyphens/>
              <w:rPr>
                <w:spacing w:val="-3"/>
                <w:sz w:val="20"/>
                <w:szCs w:val="20"/>
              </w:rPr>
            </w:pPr>
            <w:r w:rsidRPr="00127BD4">
              <w:rPr>
                <w:spacing w:val="-3"/>
                <w:sz w:val="20"/>
                <w:szCs w:val="20"/>
              </w:rPr>
              <w:t>Modelos de oleaje</w:t>
            </w:r>
          </w:p>
        </w:tc>
        <w:tc>
          <w:tcPr>
            <w:tcW w:w="6567" w:type="dxa"/>
            <w:vAlign w:val="center"/>
          </w:tcPr>
          <w:p w14:paraId="343FA093" w14:textId="33CC6462" w:rsidR="00EB436C" w:rsidRPr="00127BD4" w:rsidRDefault="00EB436C" w:rsidP="00EB436C">
            <w:pPr>
              <w:numPr>
                <w:ilvl w:val="12"/>
                <w:numId w:val="0"/>
              </w:numPr>
              <w:tabs>
                <w:tab w:val="left" w:pos="-2268"/>
              </w:tabs>
              <w:suppressAutoHyphens/>
              <w:rPr>
                <w:spacing w:val="-3"/>
                <w:sz w:val="20"/>
                <w:szCs w:val="20"/>
                <w:lang w:val="es-MX"/>
              </w:rPr>
            </w:pPr>
            <w:r w:rsidRPr="00127BD4">
              <w:rPr>
                <w:spacing w:val="-3"/>
                <w:sz w:val="20"/>
                <w:szCs w:val="20"/>
              </w:rPr>
              <w:t>Ecuación de acción de onda, ecuación de la pendiente suave y/o Shallow Water Equations.</w:t>
            </w:r>
          </w:p>
        </w:tc>
      </w:tr>
      <w:tr w:rsidR="00EB436C" w:rsidRPr="00755498" w14:paraId="7E873629" w14:textId="77777777" w:rsidTr="00FA6EDC">
        <w:trPr>
          <w:trHeight w:hRule="exact" w:val="567"/>
          <w:jc w:val="center"/>
        </w:trPr>
        <w:tc>
          <w:tcPr>
            <w:tcW w:w="2263" w:type="dxa"/>
            <w:vAlign w:val="center"/>
          </w:tcPr>
          <w:p w14:paraId="354CF040" w14:textId="41CB3BC3" w:rsidR="00EB436C" w:rsidRPr="00127BD4" w:rsidRDefault="00EB436C" w:rsidP="00EB436C">
            <w:pPr>
              <w:numPr>
                <w:ilvl w:val="12"/>
                <w:numId w:val="0"/>
              </w:numPr>
              <w:tabs>
                <w:tab w:val="left" w:pos="-2268"/>
              </w:tabs>
              <w:suppressAutoHyphens/>
              <w:rPr>
                <w:spacing w:val="-3"/>
                <w:sz w:val="20"/>
                <w:szCs w:val="20"/>
              </w:rPr>
            </w:pPr>
            <w:r w:rsidRPr="00127BD4">
              <w:rPr>
                <w:spacing w:val="-3"/>
                <w:sz w:val="20"/>
                <w:szCs w:val="20"/>
              </w:rPr>
              <w:t>Modelos de corrientes en el océano</w:t>
            </w:r>
          </w:p>
        </w:tc>
        <w:tc>
          <w:tcPr>
            <w:tcW w:w="6567" w:type="dxa"/>
            <w:vAlign w:val="center"/>
          </w:tcPr>
          <w:p w14:paraId="63A9A762" w14:textId="6FB787D4" w:rsidR="00EB436C" w:rsidRPr="006C00FC" w:rsidRDefault="00EB436C" w:rsidP="00EB436C">
            <w:pPr>
              <w:numPr>
                <w:ilvl w:val="12"/>
                <w:numId w:val="0"/>
              </w:numPr>
              <w:tabs>
                <w:tab w:val="left" w:pos="-2268"/>
              </w:tabs>
              <w:suppressAutoHyphens/>
              <w:rPr>
                <w:spacing w:val="-3"/>
                <w:sz w:val="20"/>
                <w:szCs w:val="20"/>
                <w:lang w:val="fr-FR"/>
              </w:rPr>
            </w:pPr>
            <w:r w:rsidRPr="006C00FC">
              <w:rPr>
                <w:spacing w:val="-3"/>
                <w:sz w:val="20"/>
                <w:szCs w:val="20"/>
                <w:lang w:val="fr-FR"/>
              </w:rPr>
              <w:t>Saint-Venant 2D u onda difusiva</w:t>
            </w:r>
          </w:p>
        </w:tc>
      </w:tr>
    </w:tbl>
    <w:p w14:paraId="0AD1EB4F" w14:textId="3517FDDE" w:rsidR="006139F2" w:rsidRPr="004068F6" w:rsidRDefault="006139F2" w:rsidP="006139F2">
      <w:pPr>
        <w:tabs>
          <w:tab w:val="left" w:pos="-2268"/>
        </w:tabs>
        <w:suppressAutoHyphens/>
        <w:ind w:left="1701" w:right="1752"/>
        <w:jc w:val="center"/>
        <w:rPr>
          <w:rFonts w:cs="Arial"/>
          <w:spacing w:val="-3"/>
          <w:sz w:val="20"/>
        </w:rPr>
      </w:pPr>
      <w:r w:rsidRPr="004068F6">
        <w:rPr>
          <w:rFonts w:cs="Arial"/>
          <w:b/>
          <w:spacing w:val="-3"/>
          <w:sz w:val="20"/>
        </w:rPr>
        <w:t>Fuente:</w:t>
      </w:r>
      <w:r w:rsidRPr="004068F6">
        <w:rPr>
          <w:rFonts w:cs="Arial"/>
          <w:spacing w:val="-3"/>
          <w:sz w:val="20"/>
        </w:rPr>
        <w:t xml:space="preserve"> ANLA -2020.</w:t>
      </w:r>
    </w:p>
    <w:p w14:paraId="0C4FE559" w14:textId="77777777" w:rsidR="00B21E31" w:rsidRPr="004068F6" w:rsidRDefault="00B21E31">
      <w:pPr>
        <w:numPr>
          <w:ilvl w:val="12"/>
          <w:numId w:val="0"/>
        </w:numPr>
        <w:tabs>
          <w:tab w:val="left" w:pos="-2268"/>
        </w:tabs>
        <w:suppressAutoHyphens/>
        <w:rPr>
          <w:spacing w:val="-3"/>
        </w:rPr>
      </w:pPr>
    </w:p>
    <w:p w14:paraId="5B319BB5" w14:textId="77777777" w:rsidR="009D132B" w:rsidRPr="004068F6" w:rsidRDefault="009D132B" w:rsidP="009420F5">
      <w:pPr>
        <w:pStyle w:val="Ttulo4"/>
        <w:tabs>
          <w:tab w:val="clear" w:pos="1844"/>
          <w:tab w:val="num" w:pos="1134"/>
        </w:tabs>
        <w:ind w:left="0"/>
        <w:rPr>
          <w:lang w:val="es-CO"/>
        </w:rPr>
      </w:pPr>
      <w:bookmarkStart w:id="2661" w:name="_Toc488954499"/>
      <w:bookmarkStart w:id="2662" w:name="_Ref76195919"/>
      <w:r w:rsidRPr="004068F6">
        <w:rPr>
          <w:lang w:val="es-CO"/>
        </w:rPr>
        <w:t>Geotecnia</w:t>
      </w:r>
      <w:bookmarkEnd w:id="2661"/>
      <w:bookmarkEnd w:id="2662"/>
    </w:p>
    <w:p w14:paraId="192F545C" w14:textId="77777777" w:rsidR="009D132B" w:rsidRPr="004068F6" w:rsidRDefault="009D132B">
      <w:pPr>
        <w:numPr>
          <w:ilvl w:val="12"/>
          <w:numId w:val="0"/>
        </w:numPr>
        <w:tabs>
          <w:tab w:val="left" w:pos="-2268"/>
        </w:tabs>
        <w:suppressAutoHyphens/>
        <w:rPr>
          <w:spacing w:val="-3"/>
        </w:rPr>
      </w:pPr>
    </w:p>
    <w:p w14:paraId="47C40C96" w14:textId="3F33761A" w:rsidR="009D132B" w:rsidRPr="004068F6" w:rsidRDefault="00EB436C">
      <w:pPr>
        <w:numPr>
          <w:ilvl w:val="12"/>
          <w:numId w:val="0"/>
        </w:numPr>
        <w:tabs>
          <w:tab w:val="left" w:pos="-2268"/>
        </w:tabs>
        <w:suppressAutoHyphens/>
        <w:rPr>
          <w:spacing w:val="-3"/>
        </w:rPr>
      </w:pPr>
      <w:r w:rsidRPr="004068F6">
        <w:rPr>
          <w:spacing w:val="-3"/>
        </w:rPr>
        <w:t>Realizar una descripción y zonificación geotécnica mediante el uso de información primaria y secundaria disponible, incluyendo las condiciones existentes con base en la información geológica, geomorfológica, de pendientes, edafológica, hidrogeológica, hidrológica, de coberturas de la tierra, usos del suelo y atmosférica, e indicando los diferentes grados de amenaza ante eventos como: sísmica (sismo, licuefacción, fallas entre otros), hidrológicos (inundación</w:t>
      </w:r>
      <w:r w:rsidR="00A528A3" w:rsidRPr="004068F6">
        <w:rPr>
          <w:spacing w:val="-3"/>
        </w:rPr>
        <w:t>,</w:t>
      </w:r>
      <w:r w:rsidRPr="004068F6">
        <w:rPr>
          <w:spacing w:val="-3"/>
        </w:rPr>
        <w:t xml:space="preserve"> erosión, sedimentación, entre otras), volcánicos, geológica/hidrogeológica (movimientos en masa, desplazamientos, desprendimientos de roca, hundimientos, expansividad</w:t>
      </w:r>
      <w:r w:rsidR="00A528A3" w:rsidRPr="004068F6">
        <w:rPr>
          <w:spacing w:val="-3"/>
        </w:rPr>
        <w:t>,</w:t>
      </w:r>
      <w:r w:rsidRPr="004068F6">
        <w:rPr>
          <w:spacing w:val="-3"/>
        </w:rPr>
        <w:t xml:space="preserve"> entre otros) y demás condiciones particulares del sitio.</w:t>
      </w:r>
    </w:p>
    <w:p w14:paraId="4723B50D" w14:textId="77777777" w:rsidR="009D132B" w:rsidRPr="004068F6" w:rsidRDefault="009D132B" w:rsidP="009D132B">
      <w:pPr>
        <w:numPr>
          <w:ilvl w:val="12"/>
          <w:numId w:val="0"/>
        </w:numPr>
        <w:tabs>
          <w:tab w:val="left" w:pos="-2268"/>
        </w:tabs>
        <w:suppressAutoHyphens/>
        <w:rPr>
          <w:rFonts w:cs="Arial"/>
          <w:spacing w:val="-3"/>
        </w:rPr>
      </w:pPr>
    </w:p>
    <w:p w14:paraId="08A13EB9" w14:textId="23464FA7" w:rsidR="00A528A3" w:rsidRPr="004068F6" w:rsidRDefault="007D7C02" w:rsidP="00A528A3">
      <w:pPr>
        <w:numPr>
          <w:ilvl w:val="12"/>
          <w:numId w:val="0"/>
        </w:numPr>
        <w:tabs>
          <w:tab w:val="left" w:pos="-2268"/>
        </w:tabs>
        <w:suppressAutoHyphens/>
        <w:rPr>
          <w:rFonts w:cs="Arial"/>
          <w:spacing w:val="-3"/>
        </w:rPr>
      </w:pPr>
      <w:bookmarkStart w:id="2663" w:name="_Hlk208239160"/>
      <w:r w:rsidRPr="004068F6">
        <w:rPr>
          <w:rFonts w:cs="Arial"/>
          <w:spacing w:val="-3"/>
        </w:rPr>
        <w:t>De conformidad con las particularidades del proyecto, obra o actividad, se debe incluir la caracterización geotécnica de los materiales para determinar índices de resistencia y de deformabilidad, así como las propiedades hidráulicas de los suelos, rocas y macizo rocoso. Esta información constituye el fundamento para la construcción del modelo geológico geotécnico, el análisis de estabilidad, la determinación de la capacidad de saturación en el perfil de los suelos, la evaluación de la capacidad portante y los procesos de licuefacción, así como la valoración de la amenaza geotécnica por las intervenciones propuestas;</w:t>
      </w:r>
      <w:r w:rsidR="00A528A3" w:rsidRPr="004068F6">
        <w:rPr>
          <w:rFonts w:cs="Arial"/>
          <w:spacing w:val="-3"/>
        </w:rPr>
        <w:t xml:space="preserve"> </w:t>
      </w:r>
      <w:r w:rsidR="009E1483" w:rsidRPr="004068F6">
        <w:rPr>
          <w:rFonts w:cs="Arial"/>
          <w:spacing w:val="-3"/>
        </w:rPr>
        <w:t>para ello, es</w:t>
      </w:r>
      <w:r w:rsidR="00A528A3" w:rsidRPr="004068F6">
        <w:rPr>
          <w:rFonts w:cs="Arial"/>
          <w:spacing w:val="-3"/>
        </w:rPr>
        <w:t xml:space="preserve"> </w:t>
      </w:r>
      <w:r w:rsidR="009E1483" w:rsidRPr="004068F6">
        <w:rPr>
          <w:rFonts w:cs="Arial"/>
          <w:spacing w:val="-3"/>
        </w:rPr>
        <w:t xml:space="preserve">posible emplear </w:t>
      </w:r>
      <w:r w:rsidR="00A528A3" w:rsidRPr="004068F6">
        <w:rPr>
          <w:rFonts w:cs="Arial"/>
          <w:spacing w:val="-3"/>
        </w:rPr>
        <w:t>las guías del Servicio Geológico Colombiano.</w:t>
      </w:r>
    </w:p>
    <w:bookmarkEnd w:id="2663"/>
    <w:p w14:paraId="65C7CFB9" w14:textId="78E94733" w:rsidR="009D132B" w:rsidRPr="004068F6" w:rsidRDefault="009D132B" w:rsidP="009D132B">
      <w:pPr>
        <w:numPr>
          <w:ilvl w:val="12"/>
          <w:numId w:val="0"/>
        </w:numPr>
        <w:tabs>
          <w:tab w:val="left" w:pos="-2268"/>
        </w:tabs>
        <w:suppressAutoHyphens/>
        <w:rPr>
          <w:rFonts w:cs="Arial"/>
          <w:spacing w:val="-3"/>
        </w:rPr>
      </w:pPr>
    </w:p>
    <w:p w14:paraId="526FF369" w14:textId="088E5A50" w:rsidR="00574A5D" w:rsidRPr="004068F6" w:rsidRDefault="00574A5D" w:rsidP="009D132B">
      <w:pPr>
        <w:numPr>
          <w:ilvl w:val="12"/>
          <w:numId w:val="0"/>
        </w:numPr>
        <w:tabs>
          <w:tab w:val="left" w:pos="-2268"/>
        </w:tabs>
        <w:suppressAutoHyphens/>
        <w:rPr>
          <w:rFonts w:cs="Arial"/>
          <w:spacing w:val="-3"/>
        </w:rPr>
      </w:pPr>
      <w:r w:rsidRPr="004068F6">
        <w:rPr>
          <w:rFonts w:cs="Arial"/>
          <w:spacing w:val="-3"/>
        </w:rPr>
        <w:lastRenderedPageBreak/>
        <w:t xml:space="preserve">De la misma manera, se debe analizar </w:t>
      </w:r>
      <w:r w:rsidR="009E1483" w:rsidRPr="004068F6">
        <w:rPr>
          <w:rFonts w:cs="Arial"/>
          <w:spacing w:val="-3"/>
        </w:rPr>
        <w:t xml:space="preserve">la </w:t>
      </w:r>
      <w:r w:rsidRPr="004068F6">
        <w:rPr>
          <w:rFonts w:cs="Arial"/>
          <w:spacing w:val="-3"/>
        </w:rPr>
        <w:t xml:space="preserve">información de proyectos o estudios que </w:t>
      </w:r>
      <w:r w:rsidR="00693F4E" w:rsidRPr="004068F6">
        <w:rPr>
          <w:rFonts w:cs="Arial"/>
          <w:spacing w:val="-3"/>
        </w:rPr>
        <w:t>den</w:t>
      </w:r>
      <w:r w:rsidRPr="004068F6">
        <w:rPr>
          <w:rFonts w:cs="Arial"/>
          <w:spacing w:val="-3"/>
        </w:rPr>
        <w:t xml:space="preserve"> mayor claridad del comportamiento de las rocas y su interacción con el proyecto</w:t>
      </w:r>
      <w:r w:rsidR="00693F4E" w:rsidRPr="004068F6">
        <w:rPr>
          <w:rFonts w:cs="Arial"/>
          <w:spacing w:val="-3"/>
        </w:rPr>
        <w:t>, obra o actividad</w:t>
      </w:r>
      <w:r w:rsidR="009E1483" w:rsidRPr="004068F6">
        <w:rPr>
          <w:rFonts w:cs="Arial"/>
          <w:spacing w:val="-3"/>
        </w:rPr>
        <w:t>, de acuerdo con las particularidades y magnitud éste</w:t>
      </w:r>
      <w:r w:rsidRPr="004068F6">
        <w:rPr>
          <w:rFonts w:cs="Arial"/>
          <w:spacing w:val="-3"/>
        </w:rPr>
        <w:t>.</w:t>
      </w:r>
    </w:p>
    <w:p w14:paraId="2D9E04F6" w14:textId="77777777" w:rsidR="00693F4E" w:rsidRPr="004068F6" w:rsidRDefault="00693F4E" w:rsidP="009D132B">
      <w:pPr>
        <w:numPr>
          <w:ilvl w:val="12"/>
          <w:numId w:val="0"/>
        </w:numPr>
        <w:tabs>
          <w:tab w:val="left" w:pos="-2268"/>
        </w:tabs>
        <w:suppressAutoHyphens/>
        <w:rPr>
          <w:rFonts w:cs="Arial"/>
          <w:spacing w:val="-3"/>
        </w:rPr>
      </w:pPr>
    </w:p>
    <w:p w14:paraId="2ED516CE" w14:textId="270E0059" w:rsidR="009D132B" w:rsidRPr="004068F6" w:rsidRDefault="009D132B" w:rsidP="009D132B">
      <w:pPr>
        <w:numPr>
          <w:ilvl w:val="12"/>
          <w:numId w:val="0"/>
        </w:numPr>
        <w:tabs>
          <w:tab w:val="left" w:pos="-2268"/>
        </w:tabs>
        <w:suppressAutoHyphens/>
        <w:rPr>
          <w:rFonts w:cs="Arial"/>
          <w:spacing w:val="-3"/>
        </w:rPr>
      </w:pPr>
      <w:r w:rsidRPr="004068F6">
        <w:rPr>
          <w:rFonts w:cs="Arial"/>
          <w:spacing w:val="-3"/>
        </w:rPr>
        <w:t>Mostrar para la caracterización de las rocas y depósitos, la descripción macroscópica y petrográfica de las muestras analizadas</w:t>
      </w:r>
      <w:r w:rsidR="005D3409" w:rsidRPr="004068F6">
        <w:rPr>
          <w:rFonts w:cs="Arial"/>
          <w:spacing w:val="-3"/>
        </w:rPr>
        <w:t xml:space="preserve"> en roca</w:t>
      </w:r>
      <w:r w:rsidRPr="004068F6">
        <w:rPr>
          <w:rFonts w:cs="Arial"/>
          <w:spacing w:val="-3"/>
        </w:rPr>
        <w:t xml:space="preserve">, así como los resultados de ensayos geoquímicos de laboratorio con </w:t>
      </w:r>
      <w:r w:rsidR="00693F4E" w:rsidRPr="004068F6">
        <w:rPr>
          <w:rFonts w:cs="Arial"/>
          <w:spacing w:val="-3"/>
        </w:rPr>
        <w:t xml:space="preserve">la </w:t>
      </w:r>
      <w:r w:rsidRPr="004068F6">
        <w:rPr>
          <w:rFonts w:cs="Arial"/>
          <w:spacing w:val="-3"/>
        </w:rPr>
        <w:t>información que esté disponible, indicando la composición de los materiales y su potencial uso como fuente de materiales de construcción, en caso de se</w:t>
      </w:r>
      <w:r w:rsidR="00A01691" w:rsidRPr="004068F6">
        <w:rPr>
          <w:rFonts w:cs="Arial"/>
          <w:spacing w:val="-3"/>
        </w:rPr>
        <w:t>r</w:t>
      </w:r>
      <w:r w:rsidRPr="004068F6">
        <w:rPr>
          <w:rFonts w:cs="Arial"/>
          <w:spacing w:val="-3"/>
        </w:rPr>
        <w:t xml:space="preserve"> requerido por el proyecto</w:t>
      </w:r>
      <w:r w:rsidR="00693F4E" w:rsidRPr="004068F6">
        <w:rPr>
          <w:rFonts w:cs="Arial"/>
          <w:spacing w:val="-3"/>
        </w:rPr>
        <w:t>, obra o actividad</w:t>
      </w:r>
      <w:r w:rsidRPr="004068F6">
        <w:rPr>
          <w:rFonts w:cs="Arial"/>
          <w:spacing w:val="-3"/>
        </w:rPr>
        <w:t>.</w:t>
      </w:r>
    </w:p>
    <w:p w14:paraId="3FD89A47" w14:textId="77777777" w:rsidR="009D132B" w:rsidRPr="004068F6" w:rsidRDefault="009D132B">
      <w:pPr>
        <w:numPr>
          <w:ilvl w:val="12"/>
          <w:numId w:val="0"/>
        </w:numPr>
        <w:tabs>
          <w:tab w:val="left" w:pos="-2268"/>
        </w:tabs>
        <w:suppressAutoHyphens/>
        <w:rPr>
          <w:spacing w:val="-3"/>
        </w:rPr>
      </w:pPr>
    </w:p>
    <w:p w14:paraId="73A36D88" w14:textId="30B3D0F0" w:rsidR="009D132B" w:rsidRPr="004068F6" w:rsidRDefault="009D132B">
      <w:pPr>
        <w:numPr>
          <w:ilvl w:val="12"/>
          <w:numId w:val="0"/>
        </w:numPr>
        <w:tabs>
          <w:tab w:val="left" w:pos="-2268"/>
        </w:tabs>
        <w:suppressAutoHyphens/>
        <w:rPr>
          <w:spacing w:val="-3"/>
        </w:rPr>
      </w:pPr>
      <w:r w:rsidRPr="004068F6">
        <w:rPr>
          <w:spacing w:val="-3"/>
        </w:rPr>
        <w:t xml:space="preserve">Evaluar la presencia de depósitos no consolidados o de coberturas de suelos cuyo comportamiento geotécnico </w:t>
      </w:r>
      <w:r w:rsidR="00AD154B" w:rsidRPr="004068F6">
        <w:rPr>
          <w:spacing w:val="-3"/>
        </w:rPr>
        <w:t xml:space="preserve">incida </w:t>
      </w:r>
      <w:r w:rsidRPr="004068F6">
        <w:rPr>
          <w:spacing w:val="-3"/>
        </w:rPr>
        <w:t>en la estabilidad de las laderas y taludes.</w:t>
      </w:r>
    </w:p>
    <w:p w14:paraId="5FADEF25" w14:textId="77777777" w:rsidR="009D132B" w:rsidRPr="004068F6" w:rsidRDefault="009D132B">
      <w:pPr>
        <w:numPr>
          <w:ilvl w:val="12"/>
          <w:numId w:val="0"/>
        </w:numPr>
        <w:tabs>
          <w:tab w:val="left" w:pos="-2268"/>
        </w:tabs>
        <w:suppressAutoHyphens/>
        <w:rPr>
          <w:spacing w:val="-3"/>
        </w:rPr>
      </w:pPr>
    </w:p>
    <w:p w14:paraId="2EBC3848" w14:textId="667A5323" w:rsidR="009D132B" w:rsidRPr="004068F6" w:rsidRDefault="009D132B">
      <w:pPr>
        <w:numPr>
          <w:ilvl w:val="12"/>
          <w:numId w:val="0"/>
        </w:numPr>
        <w:tabs>
          <w:tab w:val="left" w:pos="-2268"/>
        </w:tabs>
        <w:suppressAutoHyphens/>
        <w:rPr>
          <w:spacing w:val="-3"/>
        </w:rPr>
      </w:pPr>
      <w:r w:rsidRPr="004068F6">
        <w:rPr>
          <w:spacing w:val="-3"/>
        </w:rPr>
        <w:t xml:space="preserve">Presentar el mapa de zonificación geotécnica con la información obtenida en planta y en perfil a la escala que establezcan los términos de referencia, o a una más detallada si el análisis lo requiere, de acuerdo con las </w:t>
      </w:r>
      <w:r w:rsidRPr="004068F6">
        <w:rPr>
          <w:rFonts w:cs="Arial"/>
          <w:spacing w:val="-3"/>
        </w:rPr>
        <w:t>características</w:t>
      </w:r>
      <w:r w:rsidRPr="004068F6">
        <w:rPr>
          <w:spacing w:val="-3"/>
        </w:rPr>
        <w:t xml:space="preserve"> del proyecto, </w:t>
      </w:r>
      <w:r w:rsidR="00693F4E" w:rsidRPr="004068F6">
        <w:rPr>
          <w:spacing w:val="-3"/>
        </w:rPr>
        <w:t xml:space="preserve">obra o actividad </w:t>
      </w:r>
      <w:r w:rsidRPr="004068F6">
        <w:rPr>
          <w:spacing w:val="-3"/>
        </w:rPr>
        <w:t xml:space="preserve">y con las condiciones particulares del </w:t>
      </w:r>
      <w:r w:rsidR="00585A7D" w:rsidRPr="004068F6">
        <w:rPr>
          <w:spacing w:val="-3"/>
        </w:rPr>
        <w:t>territorio</w:t>
      </w:r>
      <w:r w:rsidRPr="004068F6">
        <w:rPr>
          <w:spacing w:val="-3"/>
        </w:rPr>
        <w:t>.</w:t>
      </w:r>
    </w:p>
    <w:p w14:paraId="05C7F3D5" w14:textId="77777777" w:rsidR="009D132B" w:rsidRPr="004068F6" w:rsidRDefault="009D132B">
      <w:pPr>
        <w:numPr>
          <w:ilvl w:val="12"/>
          <w:numId w:val="0"/>
        </w:numPr>
        <w:tabs>
          <w:tab w:val="left" w:pos="-2268"/>
        </w:tabs>
        <w:suppressAutoHyphens/>
        <w:rPr>
          <w:spacing w:val="-3"/>
        </w:rPr>
      </w:pPr>
    </w:p>
    <w:p w14:paraId="62E1E567" w14:textId="0A9E49EA" w:rsidR="009D132B" w:rsidRPr="00466E26" w:rsidRDefault="00E03439" w:rsidP="000A1E20">
      <w:pPr>
        <w:pStyle w:val="Ttulo3"/>
      </w:pPr>
      <w:bookmarkStart w:id="2664" w:name="_Toc43485688"/>
      <w:bookmarkStart w:id="2665" w:name="_Toc43485689"/>
      <w:bookmarkStart w:id="2666" w:name="_Toc43485690"/>
      <w:bookmarkStart w:id="2667" w:name="_Toc43485691"/>
      <w:bookmarkStart w:id="2668" w:name="_Toc43485692"/>
      <w:bookmarkStart w:id="2669" w:name="_Toc43485693"/>
      <w:bookmarkStart w:id="2670" w:name="_Toc43485694"/>
      <w:bookmarkStart w:id="2671" w:name="_Toc43485695"/>
      <w:bookmarkStart w:id="2672" w:name="_Toc43485696"/>
      <w:bookmarkStart w:id="2673" w:name="_Toc43485697"/>
      <w:bookmarkStart w:id="2674" w:name="_Toc43485698"/>
      <w:bookmarkStart w:id="2675" w:name="_Toc43485699"/>
      <w:bookmarkStart w:id="2676" w:name="_Toc43485700"/>
      <w:bookmarkStart w:id="2677" w:name="_Toc43485701"/>
      <w:bookmarkStart w:id="2678" w:name="_Ref81911641"/>
      <w:bookmarkStart w:id="2679" w:name="_Toc230879651"/>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r w:rsidRPr="00466E26">
        <w:t>Edafológico</w:t>
      </w:r>
      <w:bookmarkEnd w:id="2678"/>
      <w:bookmarkEnd w:id="2679"/>
    </w:p>
    <w:p w14:paraId="0F2A9502" w14:textId="77777777" w:rsidR="009D132B" w:rsidRPr="004068F6" w:rsidRDefault="009D132B" w:rsidP="009D132B">
      <w:pPr>
        <w:numPr>
          <w:ilvl w:val="12"/>
          <w:numId w:val="0"/>
        </w:numPr>
        <w:tabs>
          <w:tab w:val="left" w:pos="-2268"/>
        </w:tabs>
        <w:suppressAutoHyphens/>
        <w:rPr>
          <w:rFonts w:cs="Arial"/>
          <w:spacing w:val="-3"/>
        </w:rPr>
      </w:pPr>
    </w:p>
    <w:p w14:paraId="09DDC945" w14:textId="509F668C" w:rsidR="00F9317B" w:rsidRPr="004068F6" w:rsidRDefault="00446630" w:rsidP="00F9317B">
      <w:pPr>
        <w:numPr>
          <w:ilvl w:val="12"/>
          <w:numId w:val="0"/>
        </w:numPr>
        <w:tabs>
          <w:tab w:val="left" w:pos="-2268"/>
        </w:tabs>
        <w:suppressAutoHyphens/>
        <w:rPr>
          <w:rFonts w:cs="Arial"/>
          <w:spacing w:val="-3"/>
        </w:rPr>
      </w:pPr>
      <w:r w:rsidRPr="004068F6">
        <w:rPr>
          <w:rFonts w:cs="Arial"/>
          <w:spacing w:val="-3"/>
        </w:rPr>
        <w:t xml:space="preserve">La </w:t>
      </w:r>
      <w:r w:rsidR="00F9317B" w:rsidRPr="004068F6">
        <w:rPr>
          <w:rFonts w:cs="Arial"/>
          <w:spacing w:val="-3"/>
        </w:rPr>
        <w:t>caracteriza</w:t>
      </w:r>
      <w:r w:rsidRPr="004068F6">
        <w:rPr>
          <w:rFonts w:cs="Arial"/>
          <w:spacing w:val="-3"/>
        </w:rPr>
        <w:t>ción del componente edafológico</w:t>
      </w:r>
      <w:r w:rsidR="00F9317B" w:rsidRPr="004068F6">
        <w:rPr>
          <w:rFonts w:cs="Arial"/>
          <w:spacing w:val="-3"/>
        </w:rPr>
        <w:t xml:space="preserve"> debe </w:t>
      </w:r>
      <w:r w:rsidRPr="004068F6">
        <w:rPr>
          <w:rFonts w:cs="Arial"/>
          <w:spacing w:val="-3"/>
        </w:rPr>
        <w:t xml:space="preserve">emplear la información </w:t>
      </w:r>
      <w:r w:rsidR="00F9317B" w:rsidRPr="004068F6">
        <w:rPr>
          <w:rFonts w:cs="Arial"/>
          <w:spacing w:val="-3"/>
        </w:rPr>
        <w:t xml:space="preserve">de estudios detallados o semidetallados de suelos; en caso de que </w:t>
      </w:r>
      <w:r w:rsidR="00A01691" w:rsidRPr="004068F6">
        <w:rPr>
          <w:rFonts w:cs="Arial"/>
          <w:spacing w:val="-3"/>
        </w:rPr>
        <w:t xml:space="preserve">éstos </w:t>
      </w:r>
      <w:r w:rsidR="00F9317B" w:rsidRPr="004068F6">
        <w:rPr>
          <w:rFonts w:cs="Arial"/>
          <w:spacing w:val="-3"/>
        </w:rPr>
        <w:t xml:space="preserve">no </w:t>
      </w:r>
      <w:r w:rsidR="00A01691" w:rsidRPr="004068F6">
        <w:rPr>
          <w:rFonts w:cs="Arial"/>
          <w:spacing w:val="-3"/>
        </w:rPr>
        <w:t>existan</w:t>
      </w:r>
      <w:r w:rsidR="00F9317B" w:rsidRPr="004068F6">
        <w:rPr>
          <w:rFonts w:cs="Arial"/>
          <w:spacing w:val="-3"/>
        </w:rPr>
        <w:t>, se debe realizar un levantamiento de suelos</w:t>
      </w:r>
      <w:r w:rsidR="007B3FA1" w:rsidRPr="004068F6">
        <w:rPr>
          <w:rFonts w:cs="Arial"/>
          <w:spacing w:val="-3"/>
        </w:rPr>
        <w:t xml:space="preserve"> </w:t>
      </w:r>
      <w:r w:rsidR="00DA57B4" w:rsidRPr="004068F6">
        <w:rPr>
          <w:rFonts w:cs="Arial"/>
          <w:spacing w:val="-3"/>
        </w:rPr>
        <w:t xml:space="preserve">y establecer su capacidad de uso </w:t>
      </w:r>
      <w:r w:rsidR="007B3FA1" w:rsidRPr="004068F6">
        <w:rPr>
          <w:rFonts w:cs="Arial"/>
          <w:spacing w:val="-3"/>
        </w:rPr>
        <w:t xml:space="preserve">siguiendo </w:t>
      </w:r>
      <w:r w:rsidR="00F9317B" w:rsidRPr="004068F6">
        <w:rPr>
          <w:rFonts w:cs="Arial"/>
          <w:spacing w:val="-3"/>
        </w:rPr>
        <w:t>las metodologías oficiales del IGAC</w:t>
      </w:r>
      <w:r w:rsidR="005C4860" w:rsidRPr="004068F6">
        <w:rPr>
          <w:rFonts w:cs="Arial"/>
          <w:spacing w:val="-3"/>
        </w:rPr>
        <w:t xml:space="preserve">, </w:t>
      </w:r>
      <w:r w:rsidR="00DA57B4" w:rsidRPr="004068F6">
        <w:rPr>
          <w:rFonts w:cs="Arial"/>
          <w:spacing w:val="-3"/>
        </w:rPr>
        <w:t xml:space="preserve">así como </w:t>
      </w:r>
      <w:r w:rsidR="00F9317B" w:rsidRPr="004068F6">
        <w:rPr>
          <w:rFonts w:cs="Arial"/>
          <w:spacing w:val="-3"/>
        </w:rPr>
        <w:t>realizar un análisis de</w:t>
      </w:r>
      <w:r w:rsidR="005C4860" w:rsidRPr="004068F6">
        <w:rPr>
          <w:rFonts w:cs="Arial"/>
          <w:spacing w:val="-3"/>
        </w:rPr>
        <w:t xml:space="preserve"> su</w:t>
      </w:r>
      <w:r w:rsidR="00F9317B" w:rsidRPr="004068F6">
        <w:rPr>
          <w:rFonts w:cs="Arial"/>
          <w:spacing w:val="-3"/>
        </w:rPr>
        <w:t xml:space="preserve"> estado de conservación o degradación</w:t>
      </w:r>
      <w:r w:rsidR="00927D20" w:rsidRPr="004068F6">
        <w:rPr>
          <w:rFonts w:cs="Arial"/>
          <w:spacing w:val="-3"/>
        </w:rPr>
        <w:t xml:space="preserve"> conforme a los protocolos que para tales fines disponga el IDEAM o las instituciones responsables</w:t>
      </w:r>
      <w:r w:rsidR="00F9317B" w:rsidRPr="004068F6">
        <w:rPr>
          <w:rFonts w:cs="Arial"/>
          <w:spacing w:val="-3"/>
        </w:rPr>
        <w:t>. Est</w:t>
      </w:r>
      <w:r w:rsidR="007B1C91" w:rsidRPr="004068F6">
        <w:rPr>
          <w:rFonts w:cs="Arial"/>
          <w:spacing w:val="-3"/>
        </w:rPr>
        <w:t>a información, que considera el sistema suelo como parte integral de los ecosistemas,</w:t>
      </w:r>
      <w:r w:rsidR="00F9317B" w:rsidRPr="004068F6">
        <w:rPr>
          <w:rFonts w:cs="Arial"/>
          <w:spacing w:val="-3"/>
        </w:rPr>
        <w:t xml:space="preserve"> </w:t>
      </w:r>
      <w:r w:rsidR="00DD7515" w:rsidRPr="004068F6">
        <w:rPr>
          <w:rFonts w:cs="Arial"/>
          <w:spacing w:val="-3"/>
        </w:rPr>
        <w:t xml:space="preserve">además de brindar elementos para la caracterización ambiental, </w:t>
      </w:r>
      <w:r w:rsidR="00F9317B" w:rsidRPr="004068F6">
        <w:rPr>
          <w:rFonts w:cs="Arial"/>
          <w:spacing w:val="-3"/>
        </w:rPr>
        <w:t xml:space="preserve">permite </w:t>
      </w:r>
      <w:r w:rsidR="00DD7515" w:rsidRPr="004068F6">
        <w:rPr>
          <w:rFonts w:cs="Arial"/>
          <w:spacing w:val="-3"/>
        </w:rPr>
        <w:t xml:space="preserve">el desarrollo del numeral sobre evaluación </w:t>
      </w:r>
      <w:r w:rsidR="00F9317B" w:rsidRPr="004068F6">
        <w:rPr>
          <w:rFonts w:cs="Arial"/>
          <w:spacing w:val="-3"/>
        </w:rPr>
        <w:t>ambiental.</w:t>
      </w:r>
    </w:p>
    <w:p w14:paraId="1C7F080D" w14:textId="77777777" w:rsidR="00F9317B" w:rsidRPr="004068F6" w:rsidRDefault="00F9317B" w:rsidP="00F9317B">
      <w:pPr>
        <w:numPr>
          <w:ilvl w:val="12"/>
          <w:numId w:val="0"/>
        </w:numPr>
        <w:tabs>
          <w:tab w:val="left" w:pos="-2268"/>
        </w:tabs>
        <w:suppressAutoHyphens/>
        <w:rPr>
          <w:rFonts w:cs="Arial"/>
          <w:spacing w:val="-3"/>
        </w:rPr>
      </w:pPr>
    </w:p>
    <w:p w14:paraId="5064A61A" w14:textId="4E2C0AC4" w:rsidR="00F9317B" w:rsidRPr="004068F6" w:rsidRDefault="00F9317B" w:rsidP="00F9317B">
      <w:pPr>
        <w:numPr>
          <w:ilvl w:val="12"/>
          <w:numId w:val="0"/>
        </w:numPr>
        <w:tabs>
          <w:tab w:val="left" w:pos="-2268"/>
        </w:tabs>
        <w:suppressAutoHyphens/>
        <w:rPr>
          <w:rFonts w:cs="Arial"/>
          <w:spacing w:val="-3"/>
        </w:rPr>
      </w:pPr>
      <w:r w:rsidRPr="004068F6">
        <w:rPr>
          <w:rFonts w:cs="Arial"/>
          <w:spacing w:val="-3"/>
        </w:rPr>
        <w:t>Para el levantamiento de suelos se debe</w:t>
      </w:r>
      <w:r w:rsidR="00CB2B11" w:rsidRPr="004068F6">
        <w:rPr>
          <w:rFonts w:cs="Arial"/>
          <w:spacing w:val="-3"/>
        </w:rPr>
        <w:t>n</w:t>
      </w:r>
      <w:r w:rsidRPr="004068F6">
        <w:rPr>
          <w:rFonts w:cs="Arial"/>
          <w:spacing w:val="-3"/>
        </w:rPr>
        <w:t xml:space="preserve"> delimitar las unidades cartográficas de suelos y determinar en cada una de ellas el contenido pedológico a nivel de familia, considerando sus características físicas, químicas, biológicas y morfológicas, </w:t>
      </w:r>
      <w:r w:rsidR="00712B3A" w:rsidRPr="004068F6">
        <w:rPr>
          <w:rFonts w:cs="Arial"/>
          <w:spacing w:val="-3"/>
        </w:rPr>
        <w:t xml:space="preserve">siguiendo </w:t>
      </w:r>
      <w:r w:rsidRPr="004068F6">
        <w:rPr>
          <w:rFonts w:cs="Arial"/>
          <w:spacing w:val="-3"/>
        </w:rPr>
        <w:t>las metodologías de las etapas de precampo, campo y poscampo del IGAC</w:t>
      </w:r>
      <w:r w:rsidR="00712B3A" w:rsidRPr="004068F6">
        <w:rPr>
          <w:rFonts w:cs="Arial"/>
          <w:spacing w:val="-3"/>
        </w:rPr>
        <w:t xml:space="preserve"> que se encuentren vigentes</w:t>
      </w:r>
      <w:r w:rsidR="00285A5A" w:rsidRPr="004068F6">
        <w:rPr>
          <w:rFonts w:cs="Arial"/>
          <w:spacing w:val="-3"/>
        </w:rPr>
        <w:t xml:space="preserve"> para el levantamiento de información sobre suelos</w:t>
      </w:r>
      <w:r w:rsidRPr="004068F6">
        <w:rPr>
          <w:rFonts w:cs="Arial"/>
          <w:spacing w:val="-3"/>
        </w:rPr>
        <w:t xml:space="preserve">, </w:t>
      </w:r>
      <w:r w:rsidR="00CB2B11" w:rsidRPr="004068F6">
        <w:rPr>
          <w:rFonts w:cs="Arial"/>
          <w:spacing w:val="-3"/>
        </w:rPr>
        <w:t xml:space="preserve">y </w:t>
      </w:r>
      <w:r w:rsidR="00D364BD" w:rsidRPr="004068F6">
        <w:rPr>
          <w:rFonts w:cs="Arial"/>
          <w:spacing w:val="-3"/>
        </w:rPr>
        <w:t xml:space="preserve">desarrollando </w:t>
      </w:r>
      <w:r w:rsidRPr="004068F6">
        <w:rPr>
          <w:rFonts w:cs="Arial"/>
          <w:spacing w:val="-3"/>
        </w:rPr>
        <w:t>observaciones de identificación y caracterización</w:t>
      </w:r>
      <w:r w:rsidR="00CB2B11" w:rsidRPr="004068F6">
        <w:rPr>
          <w:rFonts w:cs="Arial"/>
          <w:spacing w:val="-3"/>
        </w:rPr>
        <w:t xml:space="preserve"> de suelos (cajuelas con barrenadas y calicatas, respectivamente)</w:t>
      </w:r>
      <w:r w:rsidR="00CE6B5F" w:rsidRPr="004068F6">
        <w:rPr>
          <w:rFonts w:cs="Arial"/>
          <w:spacing w:val="-3"/>
        </w:rPr>
        <w:t>.</w:t>
      </w:r>
    </w:p>
    <w:p w14:paraId="404502F2" w14:textId="77777777" w:rsidR="00F9317B" w:rsidRPr="004068F6" w:rsidRDefault="00F9317B" w:rsidP="00F9317B">
      <w:pPr>
        <w:numPr>
          <w:ilvl w:val="12"/>
          <w:numId w:val="0"/>
        </w:numPr>
        <w:tabs>
          <w:tab w:val="left" w:pos="-2268"/>
        </w:tabs>
        <w:suppressAutoHyphens/>
        <w:rPr>
          <w:rFonts w:cs="Arial"/>
          <w:spacing w:val="-3"/>
        </w:rPr>
      </w:pPr>
    </w:p>
    <w:p w14:paraId="7E92C84C" w14:textId="413A3E23" w:rsidR="00FA6EDC" w:rsidRDefault="00F9317B" w:rsidP="00C14E17">
      <w:pPr>
        <w:rPr>
          <w:rFonts w:cs="Arial"/>
          <w:spacing w:val="-3"/>
        </w:rPr>
      </w:pPr>
      <w:r w:rsidRPr="004068F6">
        <w:rPr>
          <w:rFonts w:cs="Arial"/>
          <w:spacing w:val="-3"/>
        </w:rPr>
        <w:t xml:space="preserve">La </w:t>
      </w:r>
      <w:r w:rsidRPr="004068F6">
        <w:rPr>
          <w:rFonts w:cs="Arial"/>
          <w:spacing w:val="-3"/>
        </w:rPr>
        <w:fldChar w:fldCharType="begin"/>
      </w:r>
      <w:r w:rsidRPr="004068F6">
        <w:rPr>
          <w:rFonts w:cs="Arial"/>
          <w:spacing w:val="-3"/>
        </w:rPr>
        <w:instrText xml:space="preserve"> REF _Ref43364703 \h  \* MERGEFORMAT </w:instrText>
      </w:r>
      <w:r w:rsidRPr="004068F6">
        <w:rPr>
          <w:rFonts w:cs="Arial"/>
          <w:spacing w:val="-3"/>
        </w:rPr>
      </w:r>
      <w:r w:rsidRPr="004068F6">
        <w:rPr>
          <w:rFonts w:cs="Arial"/>
          <w:spacing w:val="-3"/>
        </w:rPr>
        <w:fldChar w:fldCharType="separate"/>
      </w:r>
      <w:r w:rsidR="009C4A81" w:rsidRPr="009C4A81">
        <w:rPr>
          <w:rFonts w:cs="Arial"/>
          <w:bCs/>
          <w:spacing w:val="-3"/>
        </w:rPr>
        <w:t>Tabla 18</w:t>
      </w:r>
      <w:r w:rsidRPr="004068F6">
        <w:rPr>
          <w:rFonts w:cs="Arial"/>
          <w:spacing w:val="-3"/>
        </w:rPr>
        <w:fldChar w:fldCharType="end"/>
      </w:r>
      <w:r w:rsidRPr="004068F6">
        <w:rPr>
          <w:rFonts w:cs="Arial"/>
          <w:spacing w:val="-3"/>
        </w:rPr>
        <w:t xml:space="preserve"> señala los parámetros que </w:t>
      </w:r>
      <w:r w:rsidR="00CB2B11" w:rsidRPr="004068F6">
        <w:rPr>
          <w:rFonts w:cs="Arial"/>
          <w:spacing w:val="-3"/>
        </w:rPr>
        <w:t xml:space="preserve">se </w:t>
      </w:r>
      <w:r w:rsidRPr="004068F6">
        <w:rPr>
          <w:rFonts w:cs="Arial"/>
          <w:spacing w:val="-3"/>
        </w:rPr>
        <w:t xml:space="preserve">deben </w:t>
      </w:r>
      <w:r w:rsidR="00CB2B11" w:rsidRPr="004068F6">
        <w:rPr>
          <w:rFonts w:cs="Arial"/>
          <w:spacing w:val="-3"/>
        </w:rPr>
        <w:t xml:space="preserve">considerar </w:t>
      </w:r>
      <w:r w:rsidRPr="004068F6">
        <w:rPr>
          <w:rFonts w:cs="Arial"/>
          <w:spacing w:val="-3"/>
        </w:rPr>
        <w:t xml:space="preserve">para la caracterización </w:t>
      </w:r>
      <w:r w:rsidR="00CB2B11" w:rsidRPr="004068F6">
        <w:rPr>
          <w:rFonts w:cs="Arial"/>
          <w:spacing w:val="-3"/>
        </w:rPr>
        <w:t xml:space="preserve">ambiental </w:t>
      </w:r>
      <w:r w:rsidRPr="004068F6">
        <w:rPr>
          <w:rFonts w:cs="Arial"/>
          <w:spacing w:val="-3"/>
        </w:rPr>
        <w:t>de los suelos</w:t>
      </w:r>
      <w:r w:rsidR="00087295" w:rsidRPr="004068F6">
        <w:rPr>
          <w:rFonts w:cs="Arial"/>
          <w:spacing w:val="-3"/>
        </w:rPr>
        <w:t>; estos parámetros</w:t>
      </w:r>
      <w:r w:rsidR="005A4F4E" w:rsidRPr="004068F6">
        <w:rPr>
          <w:rFonts w:cs="Arial"/>
          <w:spacing w:val="-3"/>
        </w:rPr>
        <w:t xml:space="preserve"> </w:t>
      </w:r>
      <w:r w:rsidR="00CB2B11" w:rsidRPr="004068F6">
        <w:rPr>
          <w:rFonts w:cs="Arial"/>
          <w:spacing w:val="-3"/>
        </w:rPr>
        <w:t xml:space="preserve">deben ser analizados en caso de que </w:t>
      </w:r>
      <w:r w:rsidR="00E01C3B" w:rsidRPr="004068F6">
        <w:rPr>
          <w:rFonts w:cs="Arial"/>
          <w:spacing w:val="-3"/>
        </w:rPr>
        <w:t>las acti</w:t>
      </w:r>
      <w:r w:rsidR="00154B99" w:rsidRPr="004068F6">
        <w:rPr>
          <w:rFonts w:cs="Arial"/>
          <w:spacing w:val="-3"/>
        </w:rPr>
        <w:t xml:space="preserve">vidades que </w:t>
      </w:r>
      <w:r w:rsidR="006E01E9" w:rsidRPr="004068F6">
        <w:rPr>
          <w:rFonts w:cs="Arial"/>
          <w:spacing w:val="-3"/>
        </w:rPr>
        <w:t xml:space="preserve">comprende </w:t>
      </w:r>
      <w:r w:rsidR="00265D43" w:rsidRPr="004068F6">
        <w:rPr>
          <w:rFonts w:cs="Arial"/>
          <w:spacing w:val="-3"/>
        </w:rPr>
        <w:t>el proyecto, obra o actividad</w:t>
      </w:r>
      <w:r w:rsidR="006C25C6" w:rsidRPr="004068F6">
        <w:rPr>
          <w:rFonts w:cs="Arial"/>
          <w:spacing w:val="-3"/>
        </w:rPr>
        <w:t xml:space="preserve"> </w:t>
      </w:r>
      <w:r w:rsidR="00265D43" w:rsidRPr="004068F6">
        <w:rPr>
          <w:rFonts w:cs="Arial"/>
          <w:spacing w:val="-3"/>
        </w:rPr>
        <w:t>produ</w:t>
      </w:r>
      <w:r w:rsidR="00C02A1F" w:rsidRPr="004068F6">
        <w:rPr>
          <w:rFonts w:cs="Arial"/>
          <w:spacing w:val="-3"/>
        </w:rPr>
        <w:t>z</w:t>
      </w:r>
      <w:r w:rsidR="006C25C6" w:rsidRPr="004068F6">
        <w:rPr>
          <w:rFonts w:cs="Arial"/>
          <w:spacing w:val="-3"/>
        </w:rPr>
        <w:t>c</w:t>
      </w:r>
      <w:r w:rsidR="00C02A1F" w:rsidRPr="004068F6">
        <w:rPr>
          <w:rFonts w:cs="Arial"/>
          <w:spacing w:val="-3"/>
        </w:rPr>
        <w:t>a</w:t>
      </w:r>
      <w:r w:rsidR="00210D98" w:rsidRPr="004068F6">
        <w:rPr>
          <w:rFonts w:cs="Arial"/>
          <w:spacing w:val="-3"/>
        </w:rPr>
        <w:t>n</w:t>
      </w:r>
      <w:r w:rsidR="006C25C6" w:rsidRPr="004068F6">
        <w:rPr>
          <w:rFonts w:cs="Arial"/>
          <w:spacing w:val="-3"/>
        </w:rPr>
        <w:t xml:space="preserve"> </w:t>
      </w:r>
      <w:r w:rsidR="00B74B98" w:rsidRPr="004068F6">
        <w:rPr>
          <w:rFonts w:cs="Arial"/>
          <w:spacing w:val="-3"/>
        </w:rPr>
        <w:t xml:space="preserve">de forma directa o indirecta </w:t>
      </w:r>
      <w:r w:rsidR="006C25C6" w:rsidRPr="004068F6">
        <w:rPr>
          <w:rFonts w:cs="Arial"/>
          <w:spacing w:val="-3"/>
        </w:rPr>
        <w:t>modificaciones</w:t>
      </w:r>
      <w:r w:rsidR="00265D43" w:rsidRPr="004068F6">
        <w:rPr>
          <w:rFonts w:cs="Arial"/>
          <w:spacing w:val="-3"/>
        </w:rPr>
        <w:t xml:space="preserve"> </w:t>
      </w:r>
      <w:r w:rsidR="00C02A1F" w:rsidRPr="004068F6">
        <w:rPr>
          <w:rFonts w:cs="Arial"/>
          <w:spacing w:val="-3"/>
        </w:rPr>
        <w:t xml:space="preserve">en </w:t>
      </w:r>
      <w:r w:rsidR="005F0419" w:rsidRPr="004068F6">
        <w:rPr>
          <w:rFonts w:cs="Arial"/>
          <w:spacing w:val="-3"/>
        </w:rPr>
        <w:t>la condición de línea base de tales parámetros</w:t>
      </w:r>
      <w:r w:rsidR="00265D43" w:rsidRPr="004068F6">
        <w:rPr>
          <w:rFonts w:cs="Arial"/>
          <w:spacing w:val="-3"/>
        </w:rPr>
        <w:t>.</w:t>
      </w:r>
      <w:r w:rsidR="00A80BBD" w:rsidRPr="004068F6">
        <w:rPr>
          <w:rFonts w:cs="Arial"/>
          <w:spacing w:val="-3"/>
        </w:rPr>
        <w:t xml:space="preserve"> Cuando exista sospecha de la presencia de sustancias que puedan afectar el suelo por el </w:t>
      </w:r>
      <w:r w:rsidR="00A80BBD" w:rsidRPr="004068F6">
        <w:rPr>
          <w:rFonts w:cs="Arial"/>
          <w:spacing w:val="-3"/>
        </w:rPr>
        <w:lastRenderedPageBreak/>
        <w:t xml:space="preserve">desarrollo de actividades previas, </w:t>
      </w:r>
      <w:r w:rsidR="00A80BBD" w:rsidRPr="004068F6">
        <w:rPr>
          <w:rFonts w:cs="Arial"/>
          <w:szCs w:val="20"/>
        </w:rPr>
        <w:t>resulta conveniente medir los parámetros relacionados a fin de tener elementos que permitan probar durante la etapa de seguimiento (si es que la autoridad ambiental otorga la licencia al proyecto), que tales condiciones no son consecuencia de la ejecución del proyecto, obra o actividad</w:t>
      </w:r>
      <w:r w:rsidR="00A80BBD" w:rsidRPr="004068F6">
        <w:rPr>
          <w:rFonts w:cs="Arial"/>
          <w:spacing w:val="-3"/>
        </w:rPr>
        <w:t>.</w:t>
      </w:r>
    </w:p>
    <w:p w14:paraId="159523FD" w14:textId="77777777" w:rsidR="00C14E17" w:rsidRDefault="00C14E17" w:rsidP="00C14E17">
      <w:pPr>
        <w:rPr>
          <w:rFonts w:cs="Arial"/>
          <w:spacing w:val="-3"/>
        </w:rPr>
      </w:pPr>
    </w:p>
    <w:p w14:paraId="1C88CC80" w14:textId="41AF5FC4" w:rsidR="00F9317B" w:rsidRPr="004068F6" w:rsidRDefault="00F9317B" w:rsidP="00CF79AD">
      <w:pPr>
        <w:numPr>
          <w:ilvl w:val="12"/>
          <w:numId w:val="0"/>
        </w:numPr>
        <w:tabs>
          <w:tab w:val="left" w:pos="-2268"/>
        </w:tabs>
        <w:suppressAutoHyphens/>
        <w:jc w:val="center"/>
        <w:rPr>
          <w:rFonts w:cs="Arial"/>
          <w:bCs/>
          <w:spacing w:val="-3"/>
        </w:rPr>
      </w:pPr>
      <w:bookmarkStart w:id="2680" w:name="_Ref43364703"/>
      <w:r w:rsidRPr="004068F6">
        <w:rPr>
          <w:rFonts w:cs="Arial"/>
          <w:b/>
          <w:bCs/>
          <w:spacing w:val="-3"/>
        </w:rPr>
        <w:t xml:space="preserve">Tabla </w:t>
      </w:r>
      <w:r w:rsidRPr="004068F6">
        <w:rPr>
          <w:rFonts w:cs="Arial"/>
          <w:b/>
          <w:bCs/>
          <w:spacing w:val="-3"/>
        </w:rPr>
        <w:fldChar w:fldCharType="begin"/>
      </w:r>
      <w:r w:rsidRPr="004068F6">
        <w:rPr>
          <w:rFonts w:cs="Arial"/>
          <w:b/>
          <w:bCs/>
          <w:spacing w:val="-3"/>
        </w:rPr>
        <w:instrText xml:space="preserve"> SEQ Tabla \* ARABIC </w:instrText>
      </w:r>
      <w:r w:rsidRPr="004068F6">
        <w:rPr>
          <w:rFonts w:cs="Arial"/>
          <w:b/>
          <w:bCs/>
          <w:spacing w:val="-3"/>
        </w:rPr>
        <w:fldChar w:fldCharType="separate"/>
      </w:r>
      <w:r w:rsidR="009C4A81">
        <w:rPr>
          <w:rFonts w:cs="Arial"/>
          <w:b/>
          <w:bCs/>
          <w:noProof/>
          <w:spacing w:val="-3"/>
        </w:rPr>
        <w:t>18</w:t>
      </w:r>
      <w:r w:rsidRPr="004068F6">
        <w:rPr>
          <w:rFonts w:cs="Arial"/>
          <w:spacing w:val="-3"/>
        </w:rPr>
        <w:fldChar w:fldCharType="end"/>
      </w:r>
      <w:bookmarkEnd w:id="2680"/>
      <w:r w:rsidR="001D3EEA" w:rsidRPr="004068F6">
        <w:rPr>
          <w:rFonts w:cs="Arial"/>
          <w:b/>
          <w:spacing w:val="-3"/>
        </w:rPr>
        <w:t>.</w:t>
      </w:r>
      <w:r w:rsidRPr="004068F6">
        <w:rPr>
          <w:rFonts w:cs="Arial"/>
          <w:spacing w:val="-3"/>
        </w:rPr>
        <w:t xml:space="preserve"> Parámetros fisicoquímicos y biológicos </w:t>
      </w:r>
      <w:r w:rsidR="00262C6C" w:rsidRPr="004068F6">
        <w:rPr>
          <w:rFonts w:cs="Arial"/>
          <w:spacing w:val="-3"/>
        </w:rPr>
        <w:t>por</w:t>
      </w:r>
      <w:r w:rsidRPr="004068F6">
        <w:rPr>
          <w:rFonts w:cs="Arial"/>
          <w:spacing w:val="-3"/>
        </w:rPr>
        <w:t xml:space="preserve"> caracterizar en línea base de suelos</w:t>
      </w:r>
    </w:p>
    <w:tbl>
      <w:tblPr>
        <w:tblStyle w:val="Tablaconcuadrcula"/>
        <w:tblW w:w="0" w:type="auto"/>
        <w:jc w:val="center"/>
        <w:tblLook w:val="04A0" w:firstRow="1" w:lastRow="0" w:firstColumn="1" w:lastColumn="0" w:noHBand="0" w:noVBand="1"/>
      </w:tblPr>
      <w:tblGrid>
        <w:gridCol w:w="1495"/>
        <w:gridCol w:w="3038"/>
        <w:gridCol w:w="1228"/>
        <w:gridCol w:w="3069"/>
      </w:tblGrid>
      <w:tr w:rsidR="00FF1FED" w:rsidRPr="004068F6" w14:paraId="6E9A1C39" w14:textId="77777777" w:rsidTr="00D42A3B">
        <w:trPr>
          <w:trHeight w:hRule="exact" w:val="680"/>
          <w:tblHeader/>
          <w:jc w:val="center"/>
        </w:trPr>
        <w:tc>
          <w:tcPr>
            <w:tcW w:w="1633" w:type="dxa"/>
            <w:vAlign w:val="center"/>
          </w:tcPr>
          <w:p w14:paraId="318D3FC3" w14:textId="17E14121" w:rsidR="00FF1FED" w:rsidRPr="004068F6" w:rsidRDefault="00FF1FED" w:rsidP="00FF1FED">
            <w:pPr>
              <w:numPr>
                <w:ilvl w:val="12"/>
                <w:numId w:val="0"/>
              </w:numPr>
              <w:tabs>
                <w:tab w:val="left" w:pos="-2268"/>
              </w:tabs>
              <w:suppressAutoHyphens/>
              <w:jc w:val="center"/>
              <w:rPr>
                <w:rFonts w:cs="Arial"/>
                <w:b/>
                <w:bCs/>
                <w:spacing w:val="-3"/>
                <w:sz w:val="20"/>
                <w:szCs w:val="20"/>
              </w:rPr>
            </w:pPr>
            <w:r w:rsidRPr="004068F6">
              <w:rPr>
                <w:rFonts w:cs="Arial"/>
                <w:b/>
                <w:bCs/>
                <w:spacing w:val="-3"/>
                <w:sz w:val="20"/>
                <w:szCs w:val="20"/>
              </w:rPr>
              <w:t>Tipo</w:t>
            </w:r>
          </w:p>
        </w:tc>
        <w:tc>
          <w:tcPr>
            <w:tcW w:w="3038" w:type="dxa"/>
            <w:noWrap/>
            <w:vAlign w:val="center"/>
            <w:hideMark/>
          </w:tcPr>
          <w:p w14:paraId="40B3A892" w14:textId="40344D7B" w:rsidR="00FF1FED" w:rsidRPr="004068F6" w:rsidRDefault="00FF1FED" w:rsidP="00224F4F">
            <w:pPr>
              <w:numPr>
                <w:ilvl w:val="12"/>
                <w:numId w:val="0"/>
              </w:numPr>
              <w:tabs>
                <w:tab w:val="left" w:pos="-2268"/>
              </w:tabs>
              <w:suppressAutoHyphens/>
              <w:jc w:val="center"/>
              <w:rPr>
                <w:rFonts w:cs="Arial"/>
                <w:b/>
                <w:bCs/>
                <w:spacing w:val="-3"/>
                <w:sz w:val="20"/>
                <w:szCs w:val="20"/>
              </w:rPr>
            </w:pPr>
            <w:r w:rsidRPr="004068F6">
              <w:rPr>
                <w:rFonts w:cs="Arial"/>
                <w:b/>
                <w:bCs/>
                <w:spacing w:val="-3"/>
                <w:sz w:val="20"/>
                <w:szCs w:val="20"/>
              </w:rPr>
              <w:t>Parámetro</w:t>
            </w:r>
          </w:p>
        </w:tc>
        <w:tc>
          <w:tcPr>
            <w:tcW w:w="1090" w:type="dxa"/>
            <w:vAlign w:val="center"/>
            <w:hideMark/>
          </w:tcPr>
          <w:p w14:paraId="4756C893" w14:textId="0FC9BC4E" w:rsidR="00FF1FED" w:rsidRPr="004068F6" w:rsidRDefault="00FF1FED" w:rsidP="00B07BDF">
            <w:pPr>
              <w:numPr>
                <w:ilvl w:val="12"/>
                <w:numId w:val="0"/>
              </w:numPr>
              <w:tabs>
                <w:tab w:val="left" w:pos="-2268"/>
              </w:tabs>
              <w:suppressAutoHyphens/>
              <w:jc w:val="center"/>
              <w:rPr>
                <w:rFonts w:cs="Arial"/>
                <w:b/>
                <w:bCs/>
                <w:spacing w:val="-3"/>
                <w:sz w:val="20"/>
                <w:szCs w:val="20"/>
              </w:rPr>
            </w:pPr>
            <w:r w:rsidRPr="004068F6">
              <w:rPr>
                <w:rFonts w:cs="Arial"/>
                <w:b/>
                <w:bCs/>
                <w:spacing w:val="-3"/>
                <w:sz w:val="20"/>
                <w:szCs w:val="20"/>
              </w:rPr>
              <w:t>Unidad</w:t>
            </w:r>
          </w:p>
        </w:tc>
        <w:tc>
          <w:tcPr>
            <w:tcW w:w="3069" w:type="dxa"/>
            <w:noWrap/>
            <w:vAlign w:val="center"/>
            <w:hideMark/>
          </w:tcPr>
          <w:p w14:paraId="67597994" w14:textId="4E26AC14" w:rsidR="00FF1FED" w:rsidRPr="004068F6" w:rsidRDefault="00FF1FED" w:rsidP="00224F4F">
            <w:pPr>
              <w:numPr>
                <w:ilvl w:val="12"/>
                <w:numId w:val="0"/>
              </w:numPr>
              <w:tabs>
                <w:tab w:val="left" w:pos="-2268"/>
              </w:tabs>
              <w:suppressAutoHyphens/>
              <w:jc w:val="center"/>
              <w:rPr>
                <w:rFonts w:cs="Arial"/>
                <w:b/>
                <w:bCs/>
                <w:spacing w:val="-3"/>
                <w:sz w:val="20"/>
                <w:szCs w:val="20"/>
              </w:rPr>
            </w:pPr>
            <w:r w:rsidRPr="004068F6">
              <w:rPr>
                <w:rFonts w:cs="Arial"/>
                <w:b/>
                <w:bCs/>
                <w:spacing w:val="-3"/>
                <w:sz w:val="20"/>
                <w:szCs w:val="20"/>
              </w:rPr>
              <w:t>Técnica o principio</w:t>
            </w:r>
            <w:r w:rsidR="00E82655" w:rsidRPr="004068F6">
              <w:rPr>
                <w:rStyle w:val="Refdenotaalpie"/>
                <w:rFonts w:cs="Arial"/>
                <w:b/>
                <w:bCs/>
                <w:spacing w:val="-3"/>
                <w:szCs w:val="20"/>
                <w:lang w:val="es-CO"/>
              </w:rPr>
              <w:footnoteReference w:id="130"/>
            </w:r>
          </w:p>
        </w:tc>
      </w:tr>
      <w:tr w:rsidR="00FF1FED" w:rsidRPr="004068F6" w14:paraId="3AD66490" w14:textId="77777777" w:rsidTr="00D42A3B">
        <w:trPr>
          <w:trHeight w:hRule="exact" w:val="680"/>
          <w:jc w:val="center"/>
        </w:trPr>
        <w:tc>
          <w:tcPr>
            <w:tcW w:w="1633" w:type="dxa"/>
            <w:vMerge w:val="restart"/>
            <w:vAlign w:val="center"/>
          </w:tcPr>
          <w:p w14:paraId="13A61A07" w14:textId="5BA673DA" w:rsidR="00FF1FED" w:rsidRPr="004068F6" w:rsidRDefault="00FF1FED" w:rsidP="00FF1FED">
            <w:pPr>
              <w:numPr>
                <w:ilvl w:val="12"/>
                <w:numId w:val="0"/>
              </w:numPr>
              <w:tabs>
                <w:tab w:val="left" w:pos="-2268"/>
              </w:tabs>
              <w:suppressAutoHyphens/>
              <w:jc w:val="center"/>
              <w:rPr>
                <w:rFonts w:cs="Arial"/>
                <w:b/>
                <w:spacing w:val="-3"/>
                <w:sz w:val="20"/>
                <w:szCs w:val="20"/>
              </w:rPr>
            </w:pPr>
            <w:r w:rsidRPr="004068F6">
              <w:rPr>
                <w:rFonts w:cs="Arial"/>
                <w:b/>
                <w:spacing w:val="-3"/>
                <w:sz w:val="20"/>
                <w:szCs w:val="20"/>
              </w:rPr>
              <w:t>Físico</w:t>
            </w:r>
          </w:p>
        </w:tc>
        <w:tc>
          <w:tcPr>
            <w:tcW w:w="3038" w:type="dxa"/>
            <w:vAlign w:val="center"/>
            <w:hideMark/>
          </w:tcPr>
          <w:p w14:paraId="34157832" w14:textId="2A841F94" w:rsidR="00FF1FED" w:rsidRPr="004068F6" w:rsidRDefault="00FF1FED">
            <w:pPr>
              <w:numPr>
                <w:ilvl w:val="12"/>
                <w:numId w:val="0"/>
              </w:numPr>
              <w:tabs>
                <w:tab w:val="left" w:pos="-2268"/>
              </w:tabs>
              <w:suppressAutoHyphens/>
              <w:rPr>
                <w:rFonts w:cs="Arial"/>
                <w:spacing w:val="-3"/>
                <w:sz w:val="20"/>
                <w:szCs w:val="20"/>
              </w:rPr>
            </w:pPr>
            <w:r w:rsidRPr="004068F6">
              <w:rPr>
                <w:rFonts w:cs="Arial"/>
                <w:spacing w:val="-3"/>
                <w:sz w:val="20"/>
                <w:szCs w:val="20"/>
              </w:rPr>
              <w:t xml:space="preserve">Color (debe establecerse </w:t>
            </w:r>
            <w:r w:rsidR="00363643" w:rsidRPr="004068F6">
              <w:rPr>
                <w:rFonts w:cs="Arial"/>
                <w:spacing w:val="-3"/>
                <w:sz w:val="20"/>
                <w:szCs w:val="20"/>
              </w:rPr>
              <w:t>i</w:t>
            </w:r>
            <w:r w:rsidRPr="004068F6">
              <w:rPr>
                <w:rFonts w:cs="Arial"/>
                <w:spacing w:val="-3"/>
                <w:sz w:val="20"/>
                <w:szCs w:val="20"/>
              </w:rPr>
              <w:t>n situ)</w:t>
            </w:r>
          </w:p>
        </w:tc>
        <w:tc>
          <w:tcPr>
            <w:tcW w:w="1090" w:type="dxa"/>
            <w:vAlign w:val="center"/>
            <w:hideMark/>
          </w:tcPr>
          <w:p w14:paraId="36B0EBF5" w14:textId="23AC3185" w:rsidR="00FF1FED" w:rsidRPr="004068F6" w:rsidRDefault="00FF1FED" w:rsidP="00B07BDF">
            <w:pPr>
              <w:numPr>
                <w:ilvl w:val="12"/>
                <w:numId w:val="0"/>
              </w:numPr>
              <w:tabs>
                <w:tab w:val="left" w:pos="-2268"/>
              </w:tabs>
              <w:suppressAutoHyphens/>
              <w:jc w:val="center"/>
              <w:rPr>
                <w:rFonts w:cs="Arial"/>
                <w:spacing w:val="-3"/>
                <w:sz w:val="20"/>
                <w:szCs w:val="20"/>
              </w:rPr>
            </w:pPr>
            <w:r w:rsidRPr="004068F6">
              <w:rPr>
                <w:rFonts w:cs="Arial"/>
                <w:spacing w:val="-3"/>
                <w:sz w:val="20"/>
                <w:szCs w:val="20"/>
              </w:rPr>
              <w:t>Intensidad, valor/croma</w:t>
            </w:r>
          </w:p>
        </w:tc>
        <w:tc>
          <w:tcPr>
            <w:tcW w:w="3069" w:type="dxa"/>
            <w:vAlign w:val="center"/>
            <w:hideMark/>
          </w:tcPr>
          <w:p w14:paraId="3C58EF05" w14:textId="29BC2AD6"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Tabla Munsell</w:t>
            </w:r>
          </w:p>
        </w:tc>
      </w:tr>
      <w:tr w:rsidR="00FF1FED" w:rsidRPr="004068F6" w14:paraId="4C3FC001" w14:textId="77777777" w:rsidTr="00D42A3B">
        <w:trPr>
          <w:trHeight w:hRule="exact" w:val="680"/>
          <w:jc w:val="center"/>
        </w:trPr>
        <w:tc>
          <w:tcPr>
            <w:tcW w:w="1633" w:type="dxa"/>
            <w:vMerge/>
            <w:vAlign w:val="center"/>
          </w:tcPr>
          <w:p w14:paraId="7244CC27"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4DDCC8AB" w14:textId="6523DBE9"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Velocidad de infiltración (debe establecerse In situ)</w:t>
            </w:r>
          </w:p>
        </w:tc>
        <w:tc>
          <w:tcPr>
            <w:tcW w:w="1090" w:type="dxa"/>
            <w:vAlign w:val="center"/>
            <w:hideMark/>
          </w:tcPr>
          <w:p w14:paraId="2A0B3897"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cm/h</w:t>
            </w:r>
          </w:p>
        </w:tc>
        <w:tc>
          <w:tcPr>
            <w:tcW w:w="3069" w:type="dxa"/>
            <w:vAlign w:val="center"/>
            <w:hideMark/>
          </w:tcPr>
          <w:p w14:paraId="0B86C4FC"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Anillos infiltrómetros</w:t>
            </w:r>
          </w:p>
        </w:tc>
      </w:tr>
      <w:tr w:rsidR="00FF1FED" w:rsidRPr="004068F6" w14:paraId="19CFC715" w14:textId="77777777" w:rsidTr="00D42A3B">
        <w:trPr>
          <w:trHeight w:hRule="exact" w:val="680"/>
          <w:jc w:val="center"/>
        </w:trPr>
        <w:tc>
          <w:tcPr>
            <w:tcW w:w="1633" w:type="dxa"/>
            <w:vMerge/>
            <w:vAlign w:val="center"/>
          </w:tcPr>
          <w:p w14:paraId="1D530149"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6A71FB7D" w14:textId="0BC4F0B5"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Textura (porcentaje de arena, limo y arcilla)</w:t>
            </w:r>
          </w:p>
        </w:tc>
        <w:tc>
          <w:tcPr>
            <w:tcW w:w="1090" w:type="dxa"/>
            <w:vAlign w:val="center"/>
            <w:hideMark/>
          </w:tcPr>
          <w:p w14:paraId="31C9E7EB"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w:t>
            </w:r>
          </w:p>
        </w:tc>
        <w:tc>
          <w:tcPr>
            <w:tcW w:w="3069" w:type="dxa"/>
            <w:vAlign w:val="center"/>
            <w:hideMark/>
          </w:tcPr>
          <w:p w14:paraId="29D2DF5D"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Método de Bouyoucos</w:t>
            </w:r>
          </w:p>
        </w:tc>
      </w:tr>
      <w:tr w:rsidR="00FF1FED" w:rsidRPr="004068F6" w14:paraId="47D07C04" w14:textId="77777777" w:rsidTr="00D42A3B">
        <w:trPr>
          <w:trHeight w:hRule="exact" w:val="680"/>
          <w:jc w:val="center"/>
        </w:trPr>
        <w:tc>
          <w:tcPr>
            <w:tcW w:w="1633" w:type="dxa"/>
            <w:vMerge/>
            <w:vAlign w:val="center"/>
          </w:tcPr>
          <w:p w14:paraId="0242E40B"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5315315E" w14:textId="033D0F00"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Densidad</w:t>
            </w:r>
            <w:r w:rsidR="0072054C" w:rsidRPr="004068F6">
              <w:rPr>
                <w:rFonts w:cs="Arial"/>
                <w:spacing w:val="-3"/>
                <w:sz w:val="20"/>
                <w:szCs w:val="20"/>
              </w:rPr>
              <w:t xml:space="preserve"> </w:t>
            </w:r>
            <w:r w:rsidRPr="004068F6">
              <w:rPr>
                <w:rFonts w:cs="Arial"/>
                <w:spacing w:val="-3"/>
                <w:sz w:val="20"/>
                <w:szCs w:val="20"/>
              </w:rPr>
              <w:t>real</w:t>
            </w:r>
          </w:p>
        </w:tc>
        <w:tc>
          <w:tcPr>
            <w:tcW w:w="1090" w:type="dxa"/>
            <w:vAlign w:val="center"/>
            <w:hideMark/>
          </w:tcPr>
          <w:p w14:paraId="6F13BA96"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g/cc</w:t>
            </w:r>
          </w:p>
        </w:tc>
        <w:tc>
          <w:tcPr>
            <w:tcW w:w="3069" w:type="dxa"/>
            <w:vAlign w:val="center"/>
            <w:hideMark/>
          </w:tcPr>
          <w:p w14:paraId="62EA0BB8" w14:textId="238CDFCA"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Picn</w:t>
            </w:r>
            <w:r w:rsidR="00AE05F2" w:rsidRPr="004068F6">
              <w:rPr>
                <w:rFonts w:cs="Arial"/>
                <w:spacing w:val="-3"/>
                <w:sz w:val="20"/>
                <w:szCs w:val="20"/>
              </w:rPr>
              <w:t>ó</w:t>
            </w:r>
            <w:r w:rsidRPr="004068F6">
              <w:rPr>
                <w:rFonts w:cs="Arial"/>
                <w:spacing w:val="-3"/>
                <w:sz w:val="20"/>
                <w:szCs w:val="20"/>
              </w:rPr>
              <w:t>metro</w:t>
            </w:r>
          </w:p>
        </w:tc>
      </w:tr>
      <w:tr w:rsidR="00FF1FED" w:rsidRPr="004068F6" w14:paraId="77270802" w14:textId="77777777" w:rsidTr="00D42A3B">
        <w:trPr>
          <w:trHeight w:hRule="exact" w:val="680"/>
          <w:jc w:val="center"/>
        </w:trPr>
        <w:tc>
          <w:tcPr>
            <w:tcW w:w="1633" w:type="dxa"/>
            <w:vMerge/>
            <w:vAlign w:val="center"/>
          </w:tcPr>
          <w:p w14:paraId="57F0CF46"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24328E0E" w14:textId="5B333E7B"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Densidad aparente</w:t>
            </w:r>
          </w:p>
        </w:tc>
        <w:tc>
          <w:tcPr>
            <w:tcW w:w="1090" w:type="dxa"/>
            <w:vAlign w:val="center"/>
            <w:hideMark/>
          </w:tcPr>
          <w:p w14:paraId="42807871"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g/cc</w:t>
            </w:r>
          </w:p>
        </w:tc>
        <w:tc>
          <w:tcPr>
            <w:tcW w:w="3069" w:type="dxa"/>
            <w:vAlign w:val="center"/>
            <w:hideMark/>
          </w:tcPr>
          <w:p w14:paraId="55995A38" w14:textId="0B4BCB56"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Cilindro de volumen constante</w:t>
            </w:r>
            <w:r w:rsidR="00927D20" w:rsidRPr="004068F6">
              <w:rPr>
                <w:rFonts w:cs="Arial"/>
                <w:spacing w:val="-3"/>
                <w:sz w:val="20"/>
                <w:szCs w:val="20"/>
              </w:rPr>
              <w:t xml:space="preserve"> o terrón parafinado, conforme a recomendación técnica</w:t>
            </w:r>
          </w:p>
        </w:tc>
      </w:tr>
      <w:tr w:rsidR="00FF1FED" w:rsidRPr="004068F6" w14:paraId="52ECD569" w14:textId="77777777" w:rsidTr="00D42A3B">
        <w:trPr>
          <w:trHeight w:hRule="exact" w:val="680"/>
          <w:jc w:val="center"/>
        </w:trPr>
        <w:tc>
          <w:tcPr>
            <w:tcW w:w="1633" w:type="dxa"/>
            <w:vMerge/>
            <w:vAlign w:val="center"/>
          </w:tcPr>
          <w:p w14:paraId="308C3D4A"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2F6B239F" w14:textId="4C4C9210"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Porosidad</w:t>
            </w:r>
          </w:p>
        </w:tc>
        <w:tc>
          <w:tcPr>
            <w:tcW w:w="1090" w:type="dxa"/>
            <w:vAlign w:val="center"/>
            <w:hideMark/>
          </w:tcPr>
          <w:p w14:paraId="3C425E02"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w:t>
            </w:r>
          </w:p>
        </w:tc>
        <w:tc>
          <w:tcPr>
            <w:tcW w:w="3069" w:type="dxa"/>
            <w:vAlign w:val="center"/>
            <w:hideMark/>
          </w:tcPr>
          <w:p w14:paraId="591D44FF"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Cálculo</w:t>
            </w:r>
          </w:p>
        </w:tc>
      </w:tr>
      <w:tr w:rsidR="00FF1FED" w:rsidRPr="004068F6" w14:paraId="2CEBEDB2" w14:textId="77777777" w:rsidTr="00D42A3B">
        <w:trPr>
          <w:trHeight w:hRule="exact" w:val="680"/>
          <w:jc w:val="center"/>
        </w:trPr>
        <w:tc>
          <w:tcPr>
            <w:tcW w:w="1633" w:type="dxa"/>
            <w:vMerge/>
            <w:vAlign w:val="center"/>
          </w:tcPr>
          <w:p w14:paraId="29916C0A"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1C06607A" w14:textId="0F1812AF"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 xml:space="preserve">Retención de humedad </w:t>
            </w:r>
          </w:p>
          <w:p w14:paraId="62C3F0C3" w14:textId="3BAFDF05"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 xml:space="preserve">(3 puntos/horizonte) </w:t>
            </w:r>
          </w:p>
        </w:tc>
        <w:tc>
          <w:tcPr>
            <w:tcW w:w="1090" w:type="dxa"/>
            <w:vAlign w:val="center"/>
            <w:hideMark/>
          </w:tcPr>
          <w:p w14:paraId="11F85DF5"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w:t>
            </w:r>
          </w:p>
        </w:tc>
        <w:tc>
          <w:tcPr>
            <w:tcW w:w="3069" w:type="dxa"/>
            <w:vAlign w:val="center"/>
            <w:hideMark/>
          </w:tcPr>
          <w:p w14:paraId="00392FD0"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Gravimétrico</w:t>
            </w:r>
          </w:p>
        </w:tc>
      </w:tr>
      <w:tr w:rsidR="00FF1FED" w:rsidRPr="004068F6" w14:paraId="25F86E57" w14:textId="77777777" w:rsidTr="00D42A3B">
        <w:trPr>
          <w:trHeight w:hRule="exact" w:val="680"/>
          <w:jc w:val="center"/>
        </w:trPr>
        <w:tc>
          <w:tcPr>
            <w:tcW w:w="1633" w:type="dxa"/>
            <w:vMerge/>
            <w:vAlign w:val="center"/>
          </w:tcPr>
          <w:p w14:paraId="1F33D128"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720A82CE" w14:textId="4AEA7268"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Estabilidad estructural</w:t>
            </w:r>
          </w:p>
        </w:tc>
        <w:tc>
          <w:tcPr>
            <w:tcW w:w="1090" w:type="dxa"/>
            <w:vAlign w:val="center"/>
            <w:hideMark/>
          </w:tcPr>
          <w:p w14:paraId="18490975"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w:t>
            </w:r>
          </w:p>
        </w:tc>
        <w:tc>
          <w:tcPr>
            <w:tcW w:w="3069" w:type="dxa"/>
            <w:vAlign w:val="center"/>
            <w:hideMark/>
          </w:tcPr>
          <w:p w14:paraId="44FC8148"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Gravimétrico</w:t>
            </w:r>
          </w:p>
        </w:tc>
      </w:tr>
      <w:tr w:rsidR="00FF1FED" w:rsidRPr="004068F6" w14:paraId="310ABD01" w14:textId="77777777" w:rsidTr="00D42A3B">
        <w:trPr>
          <w:trHeight w:hRule="exact" w:val="680"/>
          <w:jc w:val="center"/>
        </w:trPr>
        <w:tc>
          <w:tcPr>
            <w:tcW w:w="1633" w:type="dxa"/>
            <w:vMerge/>
            <w:vAlign w:val="center"/>
          </w:tcPr>
          <w:p w14:paraId="68C11011"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46ADC883" w14:textId="21EBA90D"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Resistencia a la penetración</w:t>
            </w:r>
          </w:p>
        </w:tc>
        <w:tc>
          <w:tcPr>
            <w:tcW w:w="1090" w:type="dxa"/>
            <w:vAlign w:val="center"/>
            <w:hideMark/>
          </w:tcPr>
          <w:p w14:paraId="13F21951"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Mpa</w:t>
            </w:r>
          </w:p>
        </w:tc>
        <w:tc>
          <w:tcPr>
            <w:tcW w:w="3069" w:type="dxa"/>
            <w:vAlign w:val="center"/>
            <w:hideMark/>
          </w:tcPr>
          <w:p w14:paraId="49C1F617"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Penetrómetro</w:t>
            </w:r>
          </w:p>
        </w:tc>
      </w:tr>
      <w:tr w:rsidR="00FF1FED" w:rsidRPr="004068F6" w14:paraId="1178ADE6" w14:textId="77777777" w:rsidTr="00D42A3B">
        <w:trPr>
          <w:trHeight w:hRule="exact" w:val="680"/>
          <w:jc w:val="center"/>
        </w:trPr>
        <w:tc>
          <w:tcPr>
            <w:tcW w:w="1633" w:type="dxa"/>
            <w:vMerge w:val="restart"/>
            <w:vAlign w:val="center"/>
          </w:tcPr>
          <w:p w14:paraId="4826A765" w14:textId="061A4CD9" w:rsidR="00FF1FED" w:rsidRPr="004068F6" w:rsidRDefault="00FF1FED" w:rsidP="00FF1FED">
            <w:pPr>
              <w:numPr>
                <w:ilvl w:val="12"/>
                <w:numId w:val="0"/>
              </w:numPr>
              <w:tabs>
                <w:tab w:val="left" w:pos="-2268"/>
              </w:tabs>
              <w:suppressAutoHyphens/>
              <w:jc w:val="center"/>
              <w:rPr>
                <w:rFonts w:cs="Arial"/>
                <w:b/>
                <w:spacing w:val="-3"/>
                <w:sz w:val="20"/>
                <w:szCs w:val="20"/>
              </w:rPr>
            </w:pPr>
            <w:r w:rsidRPr="004068F6">
              <w:rPr>
                <w:rFonts w:cs="Arial"/>
                <w:b/>
                <w:spacing w:val="-3"/>
                <w:sz w:val="20"/>
                <w:szCs w:val="20"/>
              </w:rPr>
              <w:t>Químico</w:t>
            </w:r>
          </w:p>
        </w:tc>
        <w:tc>
          <w:tcPr>
            <w:tcW w:w="3038" w:type="dxa"/>
            <w:vAlign w:val="center"/>
            <w:hideMark/>
          </w:tcPr>
          <w:p w14:paraId="7B624178" w14:textId="281BA8C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pH</w:t>
            </w:r>
          </w:p>
        </w:tc>
        <w:tc>
          <w:tcPr>
            <w:tcW w:w="1090" w:type="dxa"/>
            <w:vAlign w:val="center"/>
            <w:hideMark/>
          </w:tcPr>
          <w:p w14:paraId="03768924"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Unidades de pH</w:t>
            </w:r>
          </w:p>
        </w:tc>
        <w:tc>
          <w:tcPr>
            <w:tcW w:w="3069" w:type="dxa"/>
            <w:vAlign w:val="center"/>
            <w:hideMark/>
          </w:tcPr>
          <w:p w14:paraId="7577D6CF"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Electrométrico</w:t>
            </w:r>
          </w:p>
        </w:tc>
      </w:tr>
      <w:tr w:rsidR="00FF1FED" w:rsidRPr="004068F6" w14:paraId="6785F039" w14:textId="77777777" w:rsidTr="00D42A3B">
        <w:trPr>
          <w:trHeight w:hRule="exact" w:val="680"/>
          <w:jc w:val="center"/>
        </w:trPr>
        <w:tc>
          <w:tcPr>
            <w:tcW w:w="1633" w:type="dxa"/>
            <w:vMerge/>
            <w:vAlign w:val="center"/>
          </w:tcPr>
          <w:p w14:paraId="78D807B9"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06057D37" w14:textId="5B020DCB"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Nitrógeno disponible</w:t>
            </w:r>
          </w:p>
        </w:tc>
        <w:tc>
          <w:tcPr>
            <w:tcW w:w="1090" w:type="dxa"/>
            <w:vAlign w:val="center"/>
            <w:hideMark/>
          </w:tcPr>
          <w:p w14:paraId="1BA160FA"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191220ED"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Volumetría</w:t>
            </w:r>
          </w:p>
        </w:tc>
      </w:tr>
      <w:tr w:rsidR="00FF1FED" w:rsidRPr="004068F6" w14:paraId="06EA3B1D" w14:textId="77777777" w:rsidTr="00D42A3B">
        <w:trPr>
          <w:trHeight w:hRule="exact" w:val="680"/>
          <w:jc w:val="center"/>
        </w:trPr>
        <w:tc>
          <w:tcPr>
            <w:tcW w:w="1633" w:type="dxa"/>
            <w:vMerge/>
            <w:vAlign w:val="center"/>
          </w:tcPr>
          <w:p w14:paraId="1BD8A550"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185DA987" w14:textId="12AD4264"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Fósforo disponible</w:t>
            </w:r>
          </w:p>
        </w:tc>
        <w:tc>
          <w:tcPr>
            <w:tcW w:w="1090" w:type="dxa"/>
            <w:vAlign w:val="center"/>
            <w:hideMark/>
          </w:tcPr>
          <w:p w14:paraId="5C3D6C52"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3B715C2F"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Colorimetría</w:t>
            </w:r>
          </w:p>
        </w:tc>
      </w:tr>
      <w:tr w:rsidR="00FF1FED" w:rsidRPr="004068F6" w14:paraId="0599B35D" w14:textId="77777777" w:rsidTr="00D42A3B">
        <w:trPr>
          <w:trHeight w:hRule="exact" w:val="680"/>
          <w:jc w:val="center"/>
        </w:trPr>
        <w:tc>
          <w:tcPr>
            <w:tcW w:w="1633" w:type="dxa"/>
            <w:vMerge/>
            <w:vAlign w:val="center"/>
          </w:tcPr>
          <w:p w14:paraId="0680242E"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62EA7850" w14:textId="614A9D44"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Potasio disponible</w:t>
            </w:r>
          </w:p>
        </w:tc>
        <w:tc>
          <w:tcPr>
            <w:tcW w:w="1090" w:type="dxa"/>
            <w:vAlign w:val="center"/>
            <w:hideMark/>
          </w:tcPr>
          <w:p w14:paraId="5816786B"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7116752A"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416DE06C" w14:textId="77777777" w:rsidTr="00D42A3B">
        <w:trPr>
          <w:trHeight w:hRule="exact" w:val="680"/>
          <w:jc w:val="center"/>
        </w:trPr>
        <w:tc>
          <w:tcPr>
            <w:tcW w:w="1633" w:type="dxa"/>
            <w:vMerge/>
            <w:vAlign w:val="center"/>
          </w:tcPr>
          <w:p w14:paraId="6B9657BC"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7482A7DC" w14:textId="7CF8B074"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Nitrógeno total</w:t>
            </w:r>
          </w:p>
        </w:tc>
        <w:tc>
          <w:tcPr>
            <w:tcW w:w="1090" w:type="dxa"/>
            <w:vAlign w:val="center"/>
            <w:hideMark/>
          </w:tcPr>
          <w:p w14:paraId="536EA226"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564F75FA"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Volumetría</w:t>
            </w:r>
          </w:p>
        </w:tc>
      </w:tr>
      <w:tr w:rsidR="00FF1FED" w:rsidRPr="004068F6" w14:paraId="35BD345D" w14:textId="77777777" w:rsidTr="00D42A3B">
        <w:trPr>
          <w:trHeight w:hRule="exact" w:val="680"/>
          <w:jc w:val="center"/>
        </w:trPr>
        <w:tc>
          <w:tcPr>
            <w:tcW w:w="1633" w:type="dxa"/>
            <w:vMerge/>
            <w:vAlign w:val="center"/>
          </w:tcPr>
          <w:p w14:paraId="751ED40A"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2F475897" w14:textId="01B0C268"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Fósforo total</w:t>
            </w:r>
          </w:p>
        </w:tc>
        <w:tc>
          <w:tcPr>
            <w:tcW w:w="1090" w:type="dxa"/>
            <w:vAlign w:val="center"/>
            <w:hideMark/>
          </w:tcPr>
          <w:p w14:paraId="5F1E6C06"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2D2313D9"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Colorimetría</w:t>
            </w:r>
          </w:p>
        </w:tc>
      </w:tr>
      <w:tr w:rsidR="00FF1FED" w:rsidRPr="004068F6" w14:paraId="57400DE1" w14:textId="77777777" w:rsidTr="00D42A3B">
        <w:trPr>
          <w:trHeight w:hRule="exact" w:val="680"/>
          <w:jc w:val="center"/>
        </w:trPr>
        <w:tc>
          <w:tcPr>
            <w:tcW w:w="1633" w:type="dxa"/>
            <w:vMerge/>
            <w:vAlign w:val="center"/>
          </w:tcPr>
          <w:p w14:paraId="76FE5421"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368EA708" w14:textId="3AB96FAF"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Cloruros</w:t>
            </w:r>
          </w:p>
        </w:tc>
        <w:tc>
          <w:tcPr>
            <w:tcW w:w="1090" w:type="dxa"/>
            <w:vAlign w:val="center"/>
            <w:hideMark/>
          </w:tcPr>
          <w:p w14:paraId="19AAB02E"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4435991F"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Colorimetría</w:t>
            </w:r>
          </w:p>
        </w:tc>
      </w:tr>
      <w:tr w:rsidR="00FF1FED" w:rsidRPr="004068F6" w14:paraId="7DD55A4B" w14:textId="77777777" w:rsidTr="00D42A3B">
        <w:trPr>
          <w:trHeight w:hRule="exact" w:val="680"/>
          <w:jc w:val="center"/>
        </w:trPr>
        <w:tc>
          <w:tcPr>
            <w:tcW w:w="1633" w:type="dxa"/>
            <w:vMerge/>
            <w:vAlign w:val="center"/>
          </w:tcPr>
          <w:p w14:paraId="75284AC7"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4F6165DA" w14:textId="15EE61BD"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Conductividad eléctrica</w:t>
            </w:r>
          </w:p>
        </w:tc>
        <w:tc>
          <w:tcPr>
            <w:tcW w:w="1090" w:type="dxa"/>
            <w:vAlign w:val="center"/>
            <w:hideMark/>
          </w:tcPr>
          <w:p w14:paraId="668D325C" w14:textId="23C0FE02" w:rsidR="00FF1FED" w:rsidRPr="004068F6" w:rsidRDefault="00FF1FED" w:rsidP="00C46A58">
            <w:pPr>
              <w:numPr>
                <w:ilvl w:val="12"/>
                <w:numId w:val="0"/>
              </w:numPr>
              <w:tabs>
                <w:tab w:val="left" w:pos="-2268"/>
              </w:tabs>
              <w:suppressAutoHyphens/>
              <w:jc w:val="center"/>
              <w:rPr>
                <w:rFonts w:cs="Arial"/>
                <w:spacing w:val="-3"/>
                <w:sz w:val="20"/>
                <w:szCs w:val="20"/>
              </w:rPr>
            </w:pPr>
            <w:r w:rsidRPr="004068F6">
              <w:rPr>
                <w:rFonts w:cs="Arial"/>
                <w:spacing w:val="-3"/>
                <w:sz w:val="20"/>
                <w:szCs w:val="20"/>
              </w:rPr>
              <w:t>mS/cm o µS/cm</w:t>
            </w:r>
          </w:p>
        </w:tc>
        <w:tc>
          <w:tcPr>
            <w:tcW w:w="3069" w:type="dxa"/>
            <w:vAlign w:val="center"/>
            <w:hideMark/>
          </w:tcPr>
          <w:p w14:paraId="51D1EF47"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Electrométrico</w:t>
            </w:r>
          </w:p>
        </w:tc>
      </w:tr>
      <w:tr w:rsidR="00FF1FED" w:rsidRPr="004068F6" w14:paraId="09822153" w14:textId="77777777" w:rsidTr="00D42A3B">
        <w:trPr>
          <w:trHeight w:hRule="exact" w:val="680"/>
          <w:jc w:val="center"/>
        </w:trPr>
        <w:tc>
          <w:tcPr>
            <w:tcW w:w="1633" w:type="dxa"/>
            <w:vMerge/>
            <w:vAlign w:val="center"/>
          </w:tcPr>
          <w:p w14:paraId="422D4B34"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7CF5F7D6" w14:textId="25C99A33"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Capacidad de intercambio catiónico</w:t>
            </w:r>
          </w:p>
        </w:tc>
        <w:tc>
          <w:tcPr>
            <w:tcW w:w="1090" w:type="dxa"/>
            <w:vAlign w:val="center"/>
            <w:hideMark/>
          </w:tcPr>
          <w:p w14:paraId="0331D20B"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meq/ 100g</w:t>
            </w:r>
          </w:p>
        </w:tc>
        <w:tc>
          <w:tcPr>
            <w:tcW w:w="3069" w:type="dxa"/>
            <w:vAlign w:val="center"/>
            <w:hideMark/>
          </w:tcPr>
          <w:p w14:paraId="2953A8DE"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Volumétrico</w:t>
            </w:r>
          </w:p>
        </w:tc>
      </w:tr>
      <w:tr w:rsidR="00FF1FED" w:rsidRPr="004068F6" w14:paraId="325C278A" w14:textId="77777777" w:rsidTr="00D42A3B">
        <w:trPr>
          <w:trHeight w:hRule="exact" w:val="680"/>
          <w:jc w:val="center"/>
        </w:trPr>
        <w:tc>
          <w:tcPr>
            <w:tcW w:w="1633" w:type="dxa"/>
            <w:vMerge/>
            <w:vAlign w:val="center"/>
          </w:tcPr>
          <w:p w14:paraId="5B2C02E9"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60451B02" w14:textId="5EAAD7F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Bases intercambiables (calcio, magnesio, potasio y sodio)</w:t>
            </w:r>
          </w:p>
        </w:tc>
        <w:tc>
          <w:tcPr>
            <w:tcW w:w="1090" w:type="dxa"/>
            <w:vAlign w:val="center"/>
            <w:hideMark/>
          </w:tcPr>
          <w:p w14:paraId="5629FBDC"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meq/100g</w:t>
            </w:r>
          </w:p>
        </w:tc>
        <w:tc>
          <w:tcPr>
            <w:tcW w:w="3069" w:type="dxa"/>
            <w:vAlign w:val="center"/>
            <w:hideMark/>
          </w:tcPr>
          <w:p w14:paraId="23B0027C"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3095E062" w14:textId="77777777" w:rsidTr="00D42A3B">
        <w:trPr>
          <w:trHeight w:hRule="exact" w:val="680"/>
          <w:jc w:val="center"/>
        </w:trPr>
        <w:tc>
          <w:tcPr>
            <w:tcW w:w="1633" w:type="dxa"/>
            <w:vMerge/>
            <w:vAlign w:val="center"/>
          </w:tcPr>
          <w:p w14:paraId="22C1966C"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1465A078" w14:textId="427878DD"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Acidez intercambiable</w:t>
            </w:r>
          </w:p>
        </w:tc>
        <w:tc>
          <w:tcPr>
            <w:tcW w:w="1090" w:type="dxa"/>
            <w:vAlign w:val="center"/>
            <w:hideMark/>
          </w:tcPr>
          <w:p w14:paraId="19C9CC13"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meq/100g</w:t>
            </w:r>
          </w:p>
        </w:tc>
        <w:tc>
          <w:tcPr>
            <w:tcW w:w="3069" w:type="dxa"/>
            <w:vAlign w:val="center"/>
            <w:hideMark/>
          </w:tcPr>
          <w:p w14:paraId="6DA6BC62"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Volumétrico</w:t>
            </w:r>
          </w:p>
        </w:tc>
      </w:tr>
      <w:tr w:rsidR="00FF1FED" w:rsidRPr="004068F6" w14:paraId="5D2F367E" w14:textId="77777777" w:rsidTr="00D42A3B">
        <w:trPr>
          <w:trHeight w:hRule="exact" w:val="680"/>
          <w:jc w:val="center"/>
        </w:trPr>
        <w:tc>
          <w:tcPr>
            <w:tcW w:w="1633" w:type="dxa"/>
            <w:vMerge/>
            <w:vAlign w:val="center"/>
          </w:tcPr>
          <w:p w14:paraId="5E3114D0"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00CDCEEC" w14:textId="77B4626E"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Contenido de carbono orgánico</w:t>
            </w:r>
          </w:p>
        </w:tc>
        <w:tc>
          <w:tcPr>
            <w:tcW w:w="1090" w:type="dxa"/>
            <w:vAlign w:val="center"/>
            <w:hideMark/>
          </w:tcPr>
          <w:p w14:paraId="7287D380"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5FC9D64D" w14:textId="15FF959A" w:rsidR="00FF1FED" w:rsidRPr="004068F6" w:rsidRDefault="00FF1FED">
            <w:pPr>
              <w:numPr>
                <w:ilvl w:val="12"/>
                <w:numId w:val="0"/>
              </w:numPr>
              <w:tabs>
                <w:tab w:val="left" w:pos="-2268"/>
              </w:tabs>
              <w:suppressAutoHyphens/>
              <w:rPr>
                <w:rFonts w:cs="Arial"/>
                <w:spacing w:val="-3"/>
                <w:sz w:val="20"/>
                <w:szCs w:val="20"/>
              </w:rPr>
            </w:pPr>
            <w:r w:rsidRPr="004068F6">
              <w:rPr>
                <w:rFonts w:cs="Arial"/>
                <w:spacing w:val="-3"/>
                <w:sz w:val="20"/>
                <w:szCs w:val="20"/>
              </w:rPr>
              <w:t>Colorimétrico</w:t>
            </w:r>
            <w:r w:rsidR="00362036" w:rsidRPr="004068F6">
              <w:rPr>
                <w:rFonts w:cs="Arial"/>
                <w:spacing w:val="-3"/>
                <w:sz w:val="20"/>
                <w:szCs w:val="20"/>
              </w:rPr>
              <w:t xml:space="preserve">, </w:t>
            </w:r>
            <w:r w:rsidR="007B1C91" w:rsidRPr="004068F6">
              <w:rPr>
                <w:rFonts w:cs="Arial"/>
                <w:spacing w:val="-3"/>
                <w:sz w:val="20"/>
                <w:szCs w:val="20"/>
              </w:rPr>
              <w:t>v</w:t>
            </w:r>
            <w:r w:rsidRPr="004068F6">
              <w:rPr>
                <w:rFonts w:cs="Arial"/>
                <w:spacing w:val="-3"/>
                <w:sz w:val="20"/>
                <w:szCs w:val="20"/>
              </w:rPr>
              <w:t>olumétrico</w:t>
            </w:r>
            <w:r w:rsidR="00362036" w:rsidRPr="004068F6">
              <w:rPr>
                <w:rFonts w:cs="Arial"/>
                <w:spacing w:val="-3"/>
                <w:sz w:val="20"/>
                <w:szCs w:val="20"/>
              </w:rPr>
              <w:t xml:space="preserve"> o </w:t>
            </w:r>
            <w:r w:rsidR="007B1C91" w:rsidRPr="004068F6">
              <w:rPr>
                <w:rFonts w:cs="Arial"/>
                <w:spacing w:val="-3"/>
                <w:sz w:val="20"/>
                <w:szCs w:val="20"/>
              </w:rPr>
              <w:t>c</w:t>
            </w:r>
            <w:r w:rsidRPr="004068F6">
              <w:rPr>
                <w:rFonts w:cs="Arial"/>
                <w:spacing w:val="-3"/>
                <w:sz w:val="20"/>
                <w:szCs w:val="20"/>
              </w:rPr>
              <w:t>ombustión</w:t>
            </w:r>
          </w:p>
        </w:tc>
      </w:tr>
      <w:tr w:rsidR="00FF1FED" w:rsidRPr="004068F6" w14:paraId="71D4AB4C" w14:textId="77777777" w:rsidTr="00D42A3B">
        <w:trPr>
          <w:trHeight w:hRule="exact" w:val="680"/>
          <w:jc w:val="center"/>
        </w:trPr>
        <w:tc>
          <w:tcPr>
            <w:tcW w:w="1633" w:type="dxa"/>
            <w:vMerge/>
            <w:vAlign w:val="center"/>
          </w:tcPr>
          <w:p w14:paraId="222163B1"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774A568A" w14:textId="1BF85D56"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Grasas y aceites</w:t>
            </w:r>
          </w:p>
        </w:tc>
        <w:tc>
          <w:tcPr>
            <w:tcW w:w="1090" w:type="dxa"/>
            <w:vAlign w:val="center"/>
            <w:hideMark/>
          </w:tcPr>
          <w:p w14:paraId="79E6D302"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2739DCB4" w14:textId="6C1BFD52"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Gravimétrico</w:t>
            </w:r>
            <w:r w:rsidR="00362036" w:rsidRPr="004068F6">
              <w:rPr>
                <w:rFonts w:cs="Arial"/>
                <w:spacing w:val="-3"/>
                <w:sz w:val="20"/>
                <w:szCs w:val="20"/>
              </w:rPr>
              <w:t xml:space="preserve"> o</w:t>
            </w:r>
            <w:r w:rsidR="00AE05F2" w:rsidRPr="004068F6">
              <w:rPr>
                <w:rFonts w:cs="Arial"/>
                <w:spacing w:val="-3"/>
                <w:sz w:val="20"/>
                <w:szCs w:val="20"/>
              </w:rPr>
              <w:t xml:space="preserve"> método i</w:t>
            </w:r>
            <w:r w:rsidRPr="004068F6">
              <w:rPr>
                <w:rFonts w:cs="Arial"/>
                <w:spacing w:val="-3"/>
                <w:sz w:val="20"/>
                <w:szCs w:val="20"/>
              </w:rPr>
              <w:t>nfrarrojo de partición</w:t>
            </w:r>
          </w:p>
        </w:tc>
      </w:tr>
      <w:tr w:rsidR="00FF1FED" w:rsidRPr="004068F6" w14:paraId="51B562B6" w14:textId="77777777" w:rsidTr="00D42A3B">
        <w:trPr>
          <w:trHeight w:hRule="exact" w:val="680"/>
          <w:jc w:val="center"/>
        </w:trPr>
        <w:tc>
          <w:tcPr>
            <w:tcW w:w="1633" w:type="dxa"/>
            <w:vMerge/>
            <w:vAlign w:val="center"/>
          </w:tcPr>
          <w:p w14:paraId="1C8F788D"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06BC6E83" w14:textId="08D22AD4"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Relación de A</w:t>
            </w:r>
            <w:r w:rsidR="00362036" w:rsidRPr="004068F6">
              <w:rPr>
                <w:rFonts w:cs="Arial"/>
                <w:spacing w:val="-3"/>
                <w:sz w:val="20"/>
                <w:szCs w:val="20"/>
              </w:rPr>
              <w:t>d</w:t>
            </w:r>
            <w:r w:rsidRPr="004068F6">
              <w:rPr>
                <w:rFonts w:cs="Arial"/>
                <w:spacing w:val="-3"/>
                <w:sz w:val="20"/>
                <w:szCs w:val="20"/>
              </w:rPr>
              <w:t>sorción del Sodio (RAS)</w:t>
            </w:r>
          </w:p>
        </w:tc>
        <w:tc>
          <w:tcPr>
            <w:tcW w:w="1090" w:type="dxa"/>
            <w:vAlign w:val="center"/>
            <w:hideMark/>
          </w:tcPr>
          <w:p w14:paraId="05E83A49"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meq/L</w:t>
            </w:r>
          </w:p>
        </w:tc>
        <w:tc>
          <w:tcPr>
            <w:tcW w:w="3069" w:type="dxa"/>
            <w:vAlign w:val="center"/>
            <w:hideMark/>
          </w:tcPr>
          <w:p w14:paraId="3910B9D1" w14:textId="4949A339"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Cálculo</w:t>
            </w:r>
          </w:p>
        </w:tc>
      </w:tr>
      <w:tr w:rsidR="00FF1FED" w:rsidRPr="004068F6" w14:paraId="562D0A4E" w14:textId="77777777" w:rsidTr="00D42A3B">
        <w:trPr>
          <w:trHeight w:hRule="exact" w:val="680"/>
          <w:jc w:val="center"/>
        </w:trPr>
        <w:tc>
          <w:tcPr>
            <w:tcW w:w="1633" w:type="dxa"/>
            <w:vMerge/>
            <w:vAlign w:val="center"/>
          </w:tcPr>
          <w:p w14:paraId="5D631279"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3698CD83" w14:textId="471074F1"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Porcentaje de Sodio Intercambiable (PSI)</w:t>
            </w:r>
          </w:p>
        </w:tc>
        <w:tc>
          <w:tcPr>
            <w:tcW w:w="1090" w:type="dxa"/>
            <w:vAlign w:val="center"/>
            <w:hideMark/>
          </w:tcPr>
          <w:p w14:paraId="1F10FBED"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699D64B3"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Cálculo</w:t>
            </w:r>
          </w:p>
        </w:tc>
      </w:tr>
      <w:tr w:rsidR="00FF1FED" w:rsidRPr="004068F6" w14:paraId="3455566F" w14:textId="77777777" w:rsidTr="00D42A3B">
        <w:trPr>
          <w:trHeight w:hRule="exact" w:val="680"/>
          <w:jc w:val="center"/>
        </w:trPr>
        <w:tc>
          <w:tcPr>
            <w:tcW w:w="1633" w:type="dxa"/>
            <w:vMerge/>
            <w:vAlign w:val="center"/>
          </w:tcPr>
          <w:p w14:paraId="74BEA966"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18F14607" w14:textId="3CC88C64"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Arsénico</w:t>
            </w:r>
          </w:p>
        </w:tc>
        <w:tc>
          <w:tcPr>
            <w:tcW w:w="1090" w:type="dxa"/>
            <w:vAlign w:val="center"/>
            <w:hideMark/>
          </w:tcPr>
          <w:p w14:paraId="7B183F66"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6C45297B"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49470AC5" w14:textId="77777777" w:rsidTr="00D42A3B">
        <w:trPr>
          <w:trHeight w:hRule="exact" w:val="680"/>
          <w:jc w:val="center"/>
        </w:trPr>
        <w:tc>
          <w:tcPr>
            <w:tcW w:w="1633" w:type="dxa"/>
            <w:vMerge/>
            <w:vAlign w:val="center"/>
          </w:tcPr>
          <w:p w14:paraId="27FECA81"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48E1B8D0" w14:textId="51759C6C"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Bario</w:t>
            </w:r>
          </w:p>
        </w:tc>
        <w:tc>
          <w:tcPr>
            <w:tcW w:w="1090" w:type="dxa"/>
            <w:vAlign w:val="center"/>
            <w:hideMark/>
          </w:tcPr>
          <w:p w14:paraId="167BF143"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2BE347D2"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04CD403D" w14:textId="77777777" w:rsidTr="00D42A3B">
        <w:trPr>
          <w:trHeight w:hRule="exact" w:val="680"/>
          <w:jc w:val="center"/>
        </w:trPr>
        <w:tc>
          <w:tcPr>
            <w:tcW w:w="1633" w:type="dxa"/>
            <w:vMerge/>
            <w:vAlign w:val="center"/>
          </w:tcPr>
          <w:p w14:paraId="73570C85"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45750C58" w14:textId="74AB8696"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Cadmio</w:t>
            </w:r>
          </w:p>
        </w:tc>
        <w:tc>
          <w:tcPr>
            <w:tcW w:w="1090" w:type="dxa"/>
            <w:vAlign w:val="center"/>
            <w:hideMark/>
          </w:tcPr>
          <w:p w14:paraId="36677193"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397CD391"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52E901B6" w14:textId="77777777" w:rsidTr="00D42A3B">
        <w:trPr>
          <w:trHeight w:hRule="exact" w:val="680"/>
          <w:jc w:val="center"/>
        </w:trPr>
        <w:tc>
          <w:tcPr>
            <w:tcW w:w="1633" w:type="dxa"/>
            <w:vMerge/>
            <w:vAlign w:val="center"/>
          </w:tcPr>
          <w:p w14:paraId="1DB443B1"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5126207A" w14:textId="6D883709"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Cromo</w:t>
            </w:r>
          </w:p>
        </w:tc>
        <w:tc>
          <w:tcPr>
            <w:tcW w:w="1090" w:type="dxa"/>
            <w:vAlign w:val="center"/>
            <w:hideMark/>
          </w:tcPr>
          <w:p w14:paraId="3EB8CAA0"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524241F4"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49151FB4" w14:textId="77777777" w:rsidTr="00D42A3B">
        <w:trPr>
          <w:trHeight w:hRule="exact" w:val="680"/>
          <w:jc w:val="center"/>
        </w:trPr>
        <w:tc>
          <w:tcPr>
            <w:tcW w:w="1633" w:type="dxa"/>
            <w:vMerge/>
            <w:vAlign w:val="center"/>
          </w:tcPr>
          <w:p w14:paraId="30756D3E"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4FF37550" w14:textId="279594AD"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Cobre</w:t>
            </w:r>
          </w:p>
        </w:tc>
        <w:tc>
          <w:tcPr>
            <w:tcW w:w="1090" w:type="dxa"/>
            <w:vAlign w:val="center"/>
            <w:hideMark/>
          </w:tcPr>
          <w:p w14:paraId="49E861DE"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72FF5963"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5BBA226C" w14:textId="77777777" w:rsidTr="00D42A3B">
        <w:trPr>
          <w:trHeight w:hRule="exact" w:val="680"/>
          <w:jc w:val="center"/>
        </w:trPr>
        <w:tc>
          <w:tcPr>
            <w:tcW w:w="1633" w:type="dxa"/>
            <w:vMerge/>
            <w:vAlign w:val="center"/>
          </w:tcPr>
          <w:p w14:paraId="48B9D208"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4A6E1614" w14:textId="23ECA670"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Hierro</w:t>
            </w:r>
          </w:p>
        </w:tc>
        <w:tc>
          <w:tcPr>
            <w:tcW w:w="1090" w:type="dxa"/>
            <w:vAlign w:val="center"/>
            <w:hideMark/>
          </w:tcPr>
          <w:p w14:paraId="7C51E75C"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6D25BC6A"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722202F8" w14:textId="77777777" w:rsidTr="00D42A3B">
        <w:trPr>
          <w:trHeight w:hRule="exact" w:val="680"/>
          <w:jc w:val="center"/>
        </w:trPr>
        <w:tc>
          <w:tcPr>
            <w:tcW w:w="1633" w:type="dxa"/>
            <w:vMerge/>
            <w:vAlign w:val="center"/>
          </w:tcPr>
          <w:p w14:paraId="7C2CB85E"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0EC76314" w14:textId="1BBB515A"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Manganeso</w:t>
            </w:r>
          </w:p>
        </w:tc>
        <w:tc>
          <w:tcPr>
            <w:tcW w:w="1090" w:type="dxa"/>
            <w:vAlign w:val="center"/>
            <w:hideMark/>
          </w:tcPr>
          <w:p w14:paraId="1230A194"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6EB35DCA"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1AA494DC" w14:textId="77777777" w:rsidTr="00D42A3B">
        <w:trPr>
          <w:trHeight w:hRule="exact" w:val="680"/>
          <w:jc w:val="center"/>
        </w:trPr>
        <w:tc>
          <w:tcPr>
            <w:tcW w:w="1633" w:type="dxa"/>
            <w:vMerge/>
            <w:vAlign w:val="center"/>
          </w:tcPr>
          <w:p w14:paraId="429196CE"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1DD8D636" w14:textId="5AA9E3B6"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Mercurio</w:t>
            </w:r>
          </w:p>
        </w:tc>
        <w:tc>
          <w:tcPr>
            <w:tcW w:w="1090" w:type="dxa"/>
            <w:vAlign w:val="center"/>
            <w:hideMark/>
          </w:tcPr>
          <w:p w14:paraId="229EA1AC"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3AAD04F9"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68C01E40" w14:textId="77777777" w:rsidTr="00D42A3B">
        <w:trPr>
          <w:trHeight w:hRule="exact" w:val="680"/>
          <w:jc w:val="center"/>
        </w:trPr>
        <w:tc>
          <w:tcPr>
            <w:tcW w:w="1633" w:type="dxa"/>
            <w:vMerge/>
            <w:vAlign w:val="center"/>
          </w:tcPr>
          <w:p w14:paraId="23D52075"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36EF6B94" w14:textId="665346EF"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Plomo</w:t>
            </w:r>
          </w:p>
        </w:tc>
        <w:tc>
          <w:tcPr>
            <w:tcW w:w="1090" w:type="dxa"/>
            <w:vAlign w:val="center"/>
            <w:hideMark/>
          </w:tcPr>
          <w:p w14:paraId="19FED453"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60243989"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53D557B2" w14:textId="77777777" w:rsidTr="00D42A3B">
        <w:trPr>
          <w:trHeight w:hRule="exact" w:val="680"/>
          <w:jc w:val="center"/>
        </w:trPr>
        <w:tc>
          <w:tcPr>
            <w:tcW w:w="1633" w:type="dxa"/>
            <w:vMerge/>
            <w:vAlign w:val="center"/>
          </w:tcPr>
          <w:p w14:paraId="50CB70FB"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2D556327" w14:textId="424AF5FB"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Selenio</w:t>
            </w:r>
          </w:p>
        </w:tc>
        <w:tc>
          <w:tcPr>
            <w:tcW w:w="1090" w:type="dxa"/>
            <w:vAlign w:val="center"/>
            <w:hideMark/>
          </w:tcPr>
          <w:p w14:paraId="3FC9AA35"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36938155"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572C2BE9" w14:textId="77777777" w:rsidTr="00D42A3B">
        <w:trPr>
          <w:trHeight w:hRule="exact" w:val="680"/>
          <w:jc w:val="center"/>
        </w:trPr>
        <w:tc>
          <w:tcPr>
            <w:tcW w:w="1633" w:type="dxa"/>
            <w:vMerge/>
            <w:vAlign w:val="center"/>
          </w:tcPr>
          <w:p w14:paraId="29D155DD"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3A921BE2" w14:textId="27BA1C03"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Silicio</w:t>
            </w:r>
          </w:p>
        </w:tc>
        <w:tc>
          <w:tcPr>
            <w:tcW w:w="1090" w:type="dxa"/>
            <w:vAlign w:val="center"/>
            <w:hideMark/>
          </w:tcPr>
          <w:p w14:paraId="12448D3D"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6AEB125B"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2F7862F6" w14:textId="77777777" w:rsidTr="00D42A3B">
        <w:trPr>
          <w:trHeight w:hRule="exact" w:val="680"/>
          <w:jc w:val="center"/>
        </w:trPr>
        <w:tc>
          <w:tcPr>
            <w:tcW w:w="1633" w:type="dxa"/>
            <w:vMerge/>
            <w:vAlign w:val="center"/>
          </w:tcPr>
          <w:p w14:paraId="186CA0EA"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549D776A" w14:textId="5ED7D0A8"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Zinc</w:t>
            </w:r>
          </w:p>
        </w:tc>
        <w:tc>
          <w:tcPr>
            <w:tcW w:w="1090" w:type="dxa"/>
            <w:vAlign w:val="center"/>
            <w:hideMark/>
          </w:tcPr>
          <w:p w14:paraId="37FAFB52" w14:textId="77777777"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mg/kg</w:t>
            </w:r>
          </w:p>
        </w:tc>
        <w:tc>
          <w:tcPr>
            <w:tcW w:w="3069" w:type="dxa"/>
            <w:vAlign w:val="center"/>
            <w:hideMark/>
          </w:tcPr>
          <w:p w14:paraId="32883C27" w14:textId="77777777"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Espectrometría</w:t>
            </w:r>
          </w:p>
        </w:tc>
      </w:tr>
      <w:tr w:rsidR="00FF1FED" w:rsidRPr="004068F6" w14:paraId="33BFFEC2" w14:textId="77777777" w:rsidTr="00D42A3B">
        <w:trPr>
          <w:trHeight w:hRule="exact" w:val="680"/>
          <w:jc w:val="center"/>
        </w:trPr>
        <w:tc>
          <w:tcPr>
            <w:tcW w:w="1633" w:type="dxa"/>
            <w:vMerge w:val="restart"/>
            <w:vAlign w:val="center"/>
          </w:tcPr>
          <w:p w14:paraId="6D3FEF33" w14:textId="374507BB" w:rsidR="00FF1FED" w:rsidRPr="004068F6" w:rsidRDefault="00FF1FED" w:rsidP="00FF1FED">
            <w:pPr>
              <w:numPr>
                <w:ilvl w:val="12"/>
                <w:numId w:val="0"/>
              </w:numPr>
              <w:tabs>
                <w:tab w:val="left" w:pos="-2268"/>
              </w:tabs>
              <w:suppressAutoHyphens/>
              <w:jc w:val="center"/>
              <w:rPr>
                <w:rFonts w:cs="Arial"/>
                <w:spacing w:val="-3"/>
                <w:sz w:val="20"/>
                <w:szCs w:val="20"/>
              </w:rPr>
            </w:pPr>
            <w:r w:rsidRPr="004068F6">
              <w:rPr>
                <w:rFonts w:cs="Arial"/>
                <w:b/>
                <w:bCs/>
                <w:spacing w:val="-3"/>
                <w:sz w:val="20"/>
                <w:szCs w:val="20"/>
              </w:rPr>
              <w:t>Biológico</w:t>
            </w:r>
            <w:r w:rsidRPr="004068F6">
              <w:rPr>
                <w:rStyle w:val="Refdenotaalpie"/>
                <w:rFonts w:cs="Arial"/>
                <w:b/>
                <w:bCs/>
                <w:spacing w:val="-3"/>
                <w:szCs w:val="20"/>
                <w:lang w:val="es-CO"/>
              </w:rPr>
              <w:footnoteReference w:id="131"/>
            </w:r>
          </w:p>
        </w:tc>
        <w:tc>
          <w:tcPr>
            <w:tcW w:w="3038" w:type="dxa"/>
            <w:vAlign w:val="center"/>
            <w:hideMark/>
          </w:tcPr>
          <w:p w14:paraId="33022871" w14:textId="2DE96121"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Cuantificación de microorganismos solubilizadores de fosfato</w:t>
            </w:r>
          </w:p>
        </w:tc>
        <w:tc>
          <w:tcPr>
            <w:tcW w:w="1090" w:type="dxa"/>
            <w:vAlign w:val="center"/>
            <w:hideMark/>
          </w:tcPr>
          <w:p w14:paraId="74D6481F" w14:textId="7F357B9D" w:rsidR="00FF1FED" w:rsidRPr="004068F6" w:rsidRDefault="00FF1FED" w:rsidP="009F3226">
            <w:pPr>
              <w:numPr>
                <w:ilvl w:val="12"/>
                <w:numId w:val="0"/>
              </w:numPr>
              <w:tabs>
                <w:tab w:val="left" w:pos="-2268"/>
              </w:tabs>
              <w:suppressAutoHyphens/>
              <w:jc w:val="center"/>
              <w:rPr>
                <w:rFonts w:cs="Arial"/>
                <w:spacing w:val="-3"/>
                <w:sz w:val="20"/>
                <w:szCs w:val="20"/>
              </w:rPr>
            </w:pPr>
            <w:r w:rsidRPr="004068F6">
              <w:rPr>
                <w:rFonts w:cs="Arial"/>
                <w:spacing w:val="-3"/>
                <w:sz w:val="20"/>
                <w:szCs w:val="20"/>
              </w:rPr>
              <w:t>UFC/g suelo seco</w:t>
            </w:r>
          </w:p>
        </w:tc>
        <w:tc>
          <w:tcPr>
            <w:tcW w:w="3069" w:type="dxa"/>
            <w:vAlign w:val="center"/>
            <w:hideMark/>
          </w:tcPr>
          <w:p w14:paraId="5B99BBA1" w14:textId="3BF3765A"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 xml:space="preserve">Recuento en placa </w:t>
            </w:r>
            <w:r w:rsidR="00362036" w:rsidRPr="004068F6">
              <w:rPr>
                <w:rFonts w:cs="Arial"/>
                <w:spacing w:val="-3"/>
                <w:sz w:val="20"/>
                <w:szCs w:val="20"/>
              </w:rPr>
              <w:t>por s</w:t>
            </w:r>
            <w:r w:rsidRPr="004068F6">
              <w:rPr>
                <w:rFonts w:cs="Arial"/>
                <w:spacing w:val="-3"/>
                <w:sz w:val="20"/>
                <w:szCs w:val="20"/>
              </w:rPr>
              <w:t>iembra en superficie</w:t>
            </w:r>
          </w:p>
        </w:tc>
      </w:tr>
      <w:tr w:rsidR="00FF1FED" w:rsidRPr="004068F6" w14:paraId="331333CF" w14:textId="77777777" w:rsidTr="00D42A3B">
        <w:trPr>
          <w:trHeight w:hRule="exact" w:val="680"/>
          <w:jc w:val="center"/>
        </w:trPr>
        <w:tc>
          <w:tcPr>
            <w:tcW w:w="1633" w:type="dxa"/>
            <w:vMerge/>
            <w:vAlign w:val="center"/>
          </w:tcPr>
          <w:p w14:paraId="4BBA88B8"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679D2833" w14:textId="48C86AEB"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Cuantificación de microorganismos celulolíticos aerobios</w:t>
            </w:r>
          </w:p>
        </w:tc>
        <w:tc>
          <w:tcPr>
            <w:tcW w:w="1090" w:type="dxa"/>
            <w:vAlign w:val="center"/>
            <w:hideMark/>
          </w:tcPr>
          <w:p w14:paraId="131C108F" w14:textId="223157DB"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UFC/g suelo seco</w:t>
            </w:r>
          </w:p>
        </w:tc>
        <w:tc>
          <w:tcPr>
            <w:tcW w:w="3069" w:type="dxa"/>
            <w:vAlign w:val="center"/>
            <w:hideMark/>
          </w:tcPr>
          <w:p w14:paraId="36B4043C" w14:textId="0C49F7D1"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 xml:space="preserve">Recuento en placa </w:t>
            </w:r>
            <w:r w:rsidR="00AE05F2" w:rsidRPr="004068F6">
              <w:rPr>
                <w:rFonts w:cs="Arial"/>
                <w:spacing w:val="-3"/>
                <w:sz w:val="20"/>
                <w:szCs w:val="20"/>
              </w:rPr>
              <w:t>por s</w:t>
            </w:r>
            <w:r w:rsidRPr="004068F6">
              <w:rPr>
                <w:rFonts w:cs="Arial"/>
                <w:spacing w:val="-3"/>
                <w:sz w:val="20"/>
                <w:szCs w:val="20"/>
              </w:rPr>
              <w:t>iembra en superficie</w:t>
            </w:r>
          </w:p>
        </w:tc>
      </w:tr>
      <w:tr w:rsidR="00FF1FED" w:rsidRPr="004068F6" w14:paraId="6898336F" w14:textId="77777777" w:rsidTr="00D42A3B">
        <w:trPr>
          <w:trHeight w:hRule="exact" w:val="680"/>
          <w:jc w:val="center"/>
        </w:trPr>
        <w:tc>
          <w:tcPr>
            <w:tcW w:w="1633" w:type="dxa"/>
            <w:vMerge/>
            <w:vAlign w:val="center"/>
          </w:tcPr>
          <w:p w14:paraId="1EC91795"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02B76704" w14:textId="4E1BE265"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Cuantificación de hongos y bacterias</w:t>
            </w:r>
          </w:p>
        </w:tc>
        <w:tc>
          <w:tcPr>
            <w:tcW w:w="1090" w:type="dxa"/>
            <w:vAlign w:val="center"/>
            <w:hideMark/>
          </w:tcPr>
          <w:p w14:paraId="50F7BD9F" w14:textId="65DEB742"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UFC/g suelo seco</w:t>
            </w:r>
          </w:p>
        </w:tc>
        <w:tc>
          <w:tcPr>
            <w:tcW w:w="3069" w:type="dxa"/>
            <w:vAlign w:val="center"/>
            <w:hideMark/>
          </w:tcPr>
          <w:p w14:paraId="4B326D4E" w14:textId="6105A2AF" w:rsidR="00FF1FED" w:rsidRPr="004068F6" w:rsidRDefault="00AE05F2" w:rsidP="00B07BDF">
            <w:pPr>
              <w:numPr>
                <w:ilvl w:val="12"/>
                <w:numId w:val="0"/>
              </w:numPr>
              <w:tabs>
                <w:tab w:val="left" w:pos="-2268"/>
              </w:tabs>
              <w:suppressAutoHyphens/>
              <w:rPr>
                <w:rFonts w:cs="Arial"/>
                <w:spacing w:val="-3"/>
                <w:sz w:val="20"/>
                <w:szCs w:val="20"/>
              </w:rPr>
            </w:pPr>
            <w:r w:rsidRPr="004068F6">
              <w:rPr>
                <w:rFonts w:cs="Arial"/>
                <w:spacing w:val="-3"/>
                <w:sz w:val="20"/>
                <w:szCs w:val="20"/>
              </w:rPr>
              <w:t>Recuento en placa por siembra en superficie</w:t>
            </w:r>
          </w:p>
        </w:tc>
      </w:tr>
      <w:tr w:rsidR="00FF1FED" w:rsidRPr="004068F6" w14:paraId="0D26B083" w14:textId="77777777" w:rsidTr="00D42A3B">
        <w:trPr>
          <w:trHeight w:hRule="exact" w:val="680"/>
          <w:jc w:val="center"/>
        </w:trPr>
        <w:tc>
          <w:tcPr>
            <w:tcW w:w="1633" w:type="dxa"/>
            <w:vMerge/>
            <w:vAlign w:val="center"/>
          </w:tcPr>
          <w:p w14:paraId="76AB701F" w14:textId="77777777" w:rsidR="00FF1FED" w:rsidRPr="004068F6" w:rsidRDefault="00FF1FED" w:rsidP="00FF1FED">
            <w:pPr>
              <w:numPr>
                <w:ilvl w:val="12"/>
                <w:numId w:val="0"/>
              </w:numPr>
              <w:tabs>
                <w:tab w:val="left" w:pos="-2268"/>
              </w:tabs>
              <w:suppressAutoHyphens/>
              <w:jc w:val="center"/>
              <w:rPr>
                <w:rFonts w:cs="Arial"/>
                <w:spacing w:val="-3"/>
                <w:sz w:val="20"/>
                <w:szCs w:val="20"/>
              </w:rPr>
            </w:pPr>
          </w:p>
        </w:tc>
        <w:tc>
          <w:tcPr>
            <w:tcW w:w="3038" w:type="dxa"/>
            <w:vAlign w:val="center"/>
            <w:hideMark/>
          </w:tcPr>
          <w:p w14:paraId="31FA0AF5" w14:textId="239A6F45" w:rsidR="00FF1FED" w:rsidRPr="004068F6" w:rsidRDefault="00FF1FED" w:rsidP="00B07BDF">
            <w:pPr>
              <w:numPr>
                <w:ilvl w:val="12"/>
                <w:numId w:val="0"/>
              </w:numPr>
              <w:tabs>
                <w:tab w:val="left" w:pos="-2268"/>
              </w:tabs>
              <w:suppressAutoHyphens/>
              <w:rPr>
                <w:rFonts w:cs="Arial"/>
                <w:spacing w:val="-3"/>
                <w:sz w:val="20"/>
                <w:szCs w:val="20"/>
              </w:rPr>
            </w:pPr>
            <w:r w:rsidRPr="004068F6">
              <w:rPr>
                <w:rFonts w:cs="Arial"/>
                <w:spacing w:val="-3"/>
                <w:sz w:val="20"/>
                <w:szCs w:val="20"/>
              </w:rPr>
              <w:t>Cuantificación de microorganismos del ciclo del nitrógeno (fijadores de nitrógeno)</w:t>
            </w:r>
          </w:p>
        </w:tc>
        <w:tc>
          <w:tcPr>
            <w:tcW w:w="1090" w:type="dxa"/>
            <w:vAlign w:val="center"/>
            <w:hideMark/>
          </w:tcPr>
          <w:p w14:paraId="6083267A" w14:textId="4760CAB0" w:rsidR="00FF1FED" w:rsidRPr="004068F6" w:rsidRDefault="00FF1FED" w:rsidP="00224F4F">
            <w:pPr>
              <w:numPr>
                <w:ilvl w:val="12"/>
                <w:numId w:val="0"/>
              </w:numPr>
              <w:tabs>
                <w:tab w:val="left" w:pos="-2268"/>
              </w:tabs>
              <w:suppressAutoHyphens/>
              <w:jc w:val="center"/>
              <w:rPr>
                <w:rFonts w:cs="Arial"/>
                <w:spacing w:val="-3"/>
                <w:sz w:val="20"/>
                <w:szCs w:val="20"/>
              </w:rPr>
            </w:pPr>
            <w:r w:rsidRPr="004068F6">
              <w:rPr>
                <w:rFonts w:cs="Arial"/>
                <w:spacing w:val="-3"/>
                <w:sz w:val="20"/>
                <w:szCs w:val="20"/>
              </w:rPr>
              <w:t>UFC/g suelo seco</w:t>
            </w:r>
          </w:p>
        </w:tc>
        <w:tc>
          <w:tcPr>
            <w:tcW w:w="3069" w:type="dxa"/>
            <w:vAlign w:val="center"/>
            <w:hideMark/>
          </w:tcPr>
          <w:p w14:paraId="22680F7B" w14:textId="5C4FFA8B" w:rsidR="00FF1FED" w:rsidRPr="004068F6" w:rsidRDefault="00AE05F2" w:rsidP="00B07BDF">
            <w:pPr>
              <w:numPr>
                <w:ilvl w:val="12"/>
                <w:numId w:val="0"/>
              </w:numPr>
              <w:tabs>
                <w:tab w:val="left" w:pos="-2268"/>
              </w:tabs>
              <w:suppressAutoHyphens/>
              <w:rPr>
                <w:rFonts w:cs="Arial"/>
                <w:spacing w:val="-3"/>
                <w:sz w:val="20"/>
                <w:szCs w:val="20"/>
              </w:rPr>
            </w:pPr>
            <w:r w:rsidRPr="004068F6">
              <w:rPr>
                <w:rFonts w:cs="Arial"/>
                <w:spacing w:val="-3"/>
                <w:sz w:val="20"/>
                <w:szCs w:val="20"/>
              </w:rPr>
              <w:t>Recuento en placa por siembra en superficie</w:t>
            </w:r>
          </w:p>
        </w:tc>
      </w:tr>
    </w:tbl>
    <w:p w14:paraId="2DB8E39A" w14:textId="77777777" w:rsidR="00224F4F" w:rsidRPr="004068F6" w:rsidRDefault="00224F4F" w:rsidP="00F9317B">
      <w:pPr>
        <w:numPr>
          <w:ilvl w:val="12"/>
          <w:numId w:val="0"/>
        </w:numPr>
        <w:tabs>
          <w:tab w:val="left" w:pos="-2268"/>
        </w:tabs>
        <w:suppressAutoHyphens/>
        <w:rPr>
          <w:rFonts w:cs="Arial"/>
          <w:spacing w:val="-3"/>
        </w:rPr>
      </w:pPr>
    </w:p>
    <w:p w14:paraId="44A35220" w14:textId="30381485" w:rsidR="00F9317B" w:rsidRPr="004068F6" w:rsidRDefault="00F9317B" w:rsidP="00F9317B">
      <w:pPr>
        <w:numPr>
          <w:ilvl w:val="12"/>
          <w:numId w:val="0"/>
        </w:numPr>
        <w:tabs>
          <w:tab w:val="left" w:pos="-2268"/>
        </w:tabs>
        <w:suppressAutoHyphens/>
        <w:rPr>
          <w:rFonts w:cs="Arial"/>
          <w:spacing w:val="-3"/>
        </w:rPr>
      </w:pPr>
      <w:r w:rsidRPr="004068F6">
        <w:rPr>
          <w:rFonts w:cs="Arial"/>
          <w:spacing w:val="-3"/>
        </w:rPr>
        <w:t xml:space="preserve">En el reporte del análisis precisar para cada parámetro la técnica utilizada, </w:t>
      </w:r>
      <w:r w:rsidR="007B1C91" w:rsidRPr="004068F6">
        <w:rPr>
          <w:rFonts w:cs="Arial"/>
          <w:spacing w:val="-3"/>
        </w:rPr>
        <w:t>su</w:t>
      </w:r>
      <w:r w:rsidRPr="004068F6">
        <w:rPr>
          <w:rFonts w:cs="Arial"/>
          <w:spacing w:val="-3"/>
        </w:rPr>
        <w:t xml:space="preserve">s límites de </w:t>
      </w:r>
      <w:r w:rsidR="0072073A" w:rsidRPr="004068F6">
        <w:rPr>
          <w:rFonts w:cs="Arial"/>
          <w:spacing w:val="-3"/>
        </w:rPr>
        <w:t xml:space="preserve">cuantificación y </w:t>
      </w:r>
      <w:r w:rsidRPr="004068F6">
        <w:rPr>
          <w:rFonts w:cs="Arial"/>
          <w:spacing w:val="-3"/>
        </w:rPr>
        <w:t>detección</w:t>
      </w:r>
      <w:r w:rsidR="0072073A" w:rsidRPr="004068F6">
        <w:rPr>
          <w:rFonts w:cs="Arial"/>
          <w:spacing w:val="-3"/>
        </w:rPr>
        <w:t>, así como</w:t>
      </w:r>
      <w:r w:rsidRPr="004068F6">
        <w:rPr>
          <w:rFonts w:cs="Arial"/>
          <w:spacing w:val="-3"/>
        </w:rPr>
        <w:t xml:space="preserve"> las observaciones pertinentes</w:t>
      </w:r>
      <w:r w:rsidR="00A242A5" w:rsidRPr="004068F6">
        <w:rPr>
          <w:rFonts w:cs="Arial"/>
          <w:spacing w:val="-3"/>
        </w:rPr>
        <w:t>,</w:t>
      </w:r>
      <w:r w:rsidRPr="004068F6">
        <w:rPr>
          <w:rFonts w:cs="Arial"/>
          <w:spacing w:val="-3"/>
        </w:rPr>
        <w:t xml:space="preserve"> </w:t>
      </w:r>
      <w:r w:rsidR="00A242A5" w:rsidRPr="004068F6">
        <w:rPr>
          <w:rFonts w:cs="Arial"/>
          <w:spacing w:val="-3"/>
        </w:rPr>
        <w:t xml:space="preserve">adicionalmente, incluir los valores de referencia </w:t>
      </w:r>
      <w:r w:rsidR="005A4F4E" w:rsidRPr="004068F6">
        <w:rPr>
          <w:rFonts w:cs="Arial"/>
          <w:spacing w:val="-3"/>
        </w:rPr>
        <w:t xml:space="preserve">vigentes </w:t>
      </w:r>
      <w:r w:rsidR="00A242A5" w:rsidRPr="004068F6">
        <w:rPr>
          <w:rFonts w:cs="Arial"/>
          <w:spacing w:val="-3"/>
        </w:rPr>
        <w:t>EPA</w:t>
      </w:r>
      <w:r w:rsidRPr="004068F6">
        <w:rPr>
          <w:rFonts w:cs="Arial"/>
          <w:spacing w:val="-3"/>
        </w:rPr>
        <w:t xml:space="preserve"> </w:t>
      </w:r>
      <w:r w:rsidR="005A4F4E" w:rsidRPr="004068F6">
        <w:rPr>
          <w:rFonts w:cs="Arial"/>
          <w:spacing w:val="-3"/>
        </w:rPr>
        <w:t>de los Regional Screening Levels (RSLs)</w:t>
      </w:r>
      <w:r w:rsidR="005A4F4E" w:rsidRPr="004068F6">
        <w:rPr>
          <w:rFonts w:cs="Arial"/>
          <w:spacing w:val="-3"/>
          <w:vertAlign w:val="superscript"/>
        </w:rPr>
        <w:t xml:space="preserve"> </w:t>
      </w:r>
      <w:r w:rsidR="005A4F4E" w:rsidRPr="004068F6">
        <w:rPr>
          <w:rFonts w:cs="Arial"/>
          <w:spacing w:val="-3"/>
          <w:vertAlign w:val="superscript"/>
        </w:rPr>
        <w:lastRenderedPageBreak/>
        <w:footnoteReference w:id="132"/>
      </w:r>
      <w:r w:rsidR="005A4F4E" w:rsidRPr="004068F6">
        <w:rPr>
          <w:rFonts w:cs="Arial"/>
          <w:spacing w:val="-3"/>
        </w:rPr>
        <w:t xml:space="preserve"> </w:t>
      </w:r>
      <w:r w:rsidR="00A242A5" w:rsidRPr="004068F6">
        <w:rPr>
          <w:rFonts w:cs="Arial"/>
          <w:spacing w:val="-3"/>
        </w:rPr>
        <w:t>para cada uno de los compuestos medidos</w:t>
      </w:r>
      <w:r w:rsidR="006C01F4" w:rsidRPr="004068F6">
        <w:rPr>
          <w:rFonts w:cs="Arial"/>
          <w:spacing w:val="-3"/>
        </w:rPr>
        <w:t>, destacando los valores que resulten mayores a los establecidos en dicha norma</w:t>
      </w:r>
      <w:r w:rsidR="00A242A5" w:rsidRPr="004068F6">
        <w:rPr>
          <w:rFonts w:cs="Arial"/>
          <w:spacing w:val="-3"/>
        </w:rPr>
        <w:t>.</w:t>
      </w:r>
      <w:r w:rsidRPr="004068F6">
        <w:rPr>
          <w:rFonts w:cs="Arial"/>
          <w:spacing w:val="-3"/>
        </w:rPr>
        <w:t xml:space="preserve"> </w:t>
      </w:r>
      <w:r w:rsidR="00A242A5" w:rsidRPr="004068F6">
        <w:rPr>
          <w:rFonts w:cs="Arial"/>
          <w:spacing w:val="-3"/>
        </w:rPr>
        <w:t>S</w:t>
      </w:r>
      <w:r w:rsidR="006C01F4" w:rsidRPr="004068F6">
        <w:rPr>
          <w:rFonts w:cs="Arial"/>
          <w:spacing w:val="-3"/>
        </w:rPr>
        <w:t xml:space="preserve">i </w:t>
      </w:r>
      <w:r w:rsidRPr="004068F6">
        <w:rPr>
          <w:rFonts w:cs="Arial"/>
          <w:spacing w:val="-3"/>
        </w:rPr>
        <w:t>con posterioridad a la adopción de esta metodología, Minambiente</w:t>
      </w:r>
      <w:r w:rsidR="006C01F4" w:rsidRPr="004068F6">
        <w:rPr>
          <w:rFonts w:cs="Arial"/>
          <w:spacing w:val="-3"/>
        </w:rPr>
        <w:t xml:space="preserve"> establece una norma nacional sobre Límites Genéricos Basados en Riesgo (LGBR), la comparación de los valores de línea base deberá realizarse con los </w:t>
      </w:r>
      <w:r w:rsidR="00950540" w:rsidRPr="004068F6">
        <w:rPr>
          <w:rFonts w:cs="Arial"/>
          <w:spacing w:val="-3"/>
        </w:rPr>
        <w:t xml:space="preserve">límites </w:t>
      </w:r>
      <w:r w:rsidR="00C549BD" w:rsidRPr="004068F6">
        <w:rPr>
          <w:rFonts w:cs="Arial"/>
          <w:spacing w:val="-3"/>
        </w:rPr>
        <w:t xml:space="preserve">que </w:t>
      </w:r>
      <w:r w:rsidR="006C01F4" w:rsidRPr="004068F6">
        <w:rPr>
          <w:rFonts w:cs="Arial"/>
          <w:spacing w:val="-3"/>
        </w:rPr>
        <w:t>en ella</w:t>
      </w:r>
      <w:r w:rsidR="00950540" w:rsidRPr="004068F6">
        <w:rPr>
          <w:rFonts w:cs="Arial"/>
          <w:spacing w:val="-3"/>
        </w:rPr>
        <w:t xml:space="preserve"> </w:t>
      </w:r>
      <w:r w:rsidR="00C549BD" w:rsidRPr="004068F6">
        <w:rPr>
          <w:rFonts w:cs="Arial"/>
          <w:spacing w:val="-3"/>
        </w:rPr>
        <w:t xml:space="preserve">se </w:t>
      </w:r>
      <w:r w:rsidR="00AC62B5" w:rsidRPr="004068F6">
        <w:rPr>
          <w:rFonts w:cs="Arial"/>
          <w:spacing w:val="-3"/>
        </w:rPr>
        <w:t>estable</w:t>
      </w:r>
      <w:r w:rsidR="00C549BD" w:rsidRPr="004068F6">
        <w:rPr>
          <w:rFonts w:cs="Arial"/>
          <w:spacing w:val="-3"/>
        </w:rPr>
        <w:t>zcan</w:t>
      </w:r>
      <w:r w:rsidRPr="004068F6">
        <w:rPr>
          <w:rFonts w:cs="Arial"/>
          <w:spacing w:val="-3"/>
        </w:rPr>
        <w:t>.</w:t>
      </w:r>
    </w:p>
    <w:p w14:paraId="2F007DCA" w14:textId="77777777" w:rsidR="00F9317B" w:rsidRPr="004068F6" w:rsidRDefault="00F9317B" w:rsidP="00F9317B">
      <w:pPr>
        <w:numPr>
          <w:ilvl w:val="12"/>
          <w:numId w:val="0"/>
        </w:numPr>
        <w:tabs>
          <w:tab w:val="left" w:pos="-2268"/>
        </w:tabs>
        <w:suppressAutoHyphens/>
        <w:rPr>
          <w:rFonts w:cs="Arial"/>
          <w:spacing w:val="-3"/>
        </w:rPr>
      </w:pPr>
    </w:p>
    <w:p w14:paraId="0C48BB79" w14:textId="7A1BB9AA" w:rsidR="00A04D65" w:rsidRPr="004068F6" w:rsidRDefault="00F9317B" w:rsidP="00D17738">
      <w:pPr>
        <w:numPr>
          <w:ilvl w:val="12"/>
          <w:numId w:val="0"/>
        </w:numPr>
        <w:tabs>
          <w:tab w:val="left" w:pos="-2268"/>
        </w:tabs>
        <w:suppressAutoHyphens/>
        <w:rPr>
          <w:rFonts w:cs="Arial"/>
          <w:spacing w:val="-3"/>
        </w:rPr>
      </w:pPr>
      <w:r w:rsidRPr="004068F6">
        <w:rPr>
          <w:rFonts w:cs="Arial"/>
          <w:spacing w:val="-3"/>
        </w:rPr>
        <w:t xml:space="preserve">Si los resultados analíticos </w:t>
      </w:r>
      <w:r w:rsidR="00A242A5" w:rsidRPr="004068F6">
        <w:rPr>
          <w:rFonts w:cs="Arial"/>
          <w:spacing w:val="-3"/>
        </w:rPr>
        <w:t>arroja</w:t>
      </w:r>
      <w:r w:rsidR="00900A47" w:rsidRPr="004068F6">
        <w:rPr>
          <w:rFonts w:cs="Arial"/>
          <w:spacing w:val="-3"/>
        </w:rPr>
        <w:t>n</w:t>
      </w:r>
      <w:r w:rsidR="00A242A5" w:rsidRPr="004068F6">
        <w:rPr>
          <w:rFonts w:cs="Arial"/>
          <w:spacing w:val="-3"/>
        </w:rPr>
        <w:t xml:space="preserve"> valores vinculados a la presencia de sustancias </w:t>
      </w:r>
      <w:r w:rsidR="00C70AAE" w:rsidRPr="004068F6">
        <w:rPr>
          <w:rFonts w:cs="Arial"/>
          <w:spacing w:val="-3"/>
        </w:rPr>
        <w:t xml:space="preserve">o con condiciones físicas </w:t>
      </w:r>
      <w:r w:rsidR="00A242A5" w:rsidRPr="004068F6">
        <w:rPr>
          <w:rFonts w:cs="Arial"/>
          <w:spacing w:val="-3"/>
        </w:rPr>
        <w:t xml:space="preserve">que puedan </w:t>
      </w:r>
      <w:r w:rsidR="00C70AAE" w:rsidRPr="004068F6">
        <w:rPr>
          <w:rFonts w:cs="Arial"/>
          <w:spacing w:val="-3"/>
        </w:rPr>
        <w:t xml:space="preserve">ser el resultado del </w:t>
      </w:r>
      <w:r w:rsidR="00A242A5" w:rsidRPr="004068F6">
        <w:rPr>
          <w:rFonts w:cs="Arial"/>
          <w:spacing w:val="-3"/>
        </w:rPr>
        <w:t>desarrollo de actividades industriales previas</w:t>
      </w:r>
      <w:r w:rsidRPr="004068F6">
        <w:rPr>
          <w:rFonts w:cs="Arial"/>
          <w:spacing w:val="-3"/>
        </w:rPr>
        <w:t xml:space="preserve">, esta situación debe ser informada </w:t>
      </w:r>
      <w:r w:rsidR="00D17738" w:rsidRPr="004068F6">
        <w:rPr>
          <w:rFonts w:cs="Arial"/>
          <w:spacing w:val="-3"/>
        </w:rPr>
        <w:t xml:space="preserve">de inmediato </w:t>
      </w:r>
      <w:r w:rsidRPr="004068F6">
        <w:rPr>
          <w:rFonts w:cs="Arial"/>
          <w:spacing w:val="-3"/>
        </w:rPr>
        <w:t xml:space="preserve">a la autoridad ambiental. </w:t>
      </w:r>
      <w:r w:rsidR="00D17738" w:rsidRPr="004068F6">
        <w:rPr>
          <w:rFonts w:cs="Arial"/>
          <w:spacing w:val="-3"/>
        </w:rPr>
        <w:t>En todo caso, tales resultados deben ser incorporados en el estudio ambiental</w:t>
      </w:r>
      <w:r w:rsidR="00AB3AEA" w:rsidRPr="004068F6">
        <w:rPr>
          <w:rFonts w:cs="Arial"/>
          <w:spacing w:val="-3"/>
        </w:rPr>
        <w:t>.</w:t>
      </w:r>
    </w:p>
    <w:p w14:paraId="6521DA1B" w14:textId="77777777" w:rsidR="00F9317B" w:rsidRPr="004068F6" w:rsidRDefault="00F9317B" w:rsidP="00F9317B">
      <w:pPr>
        <w:numPr>
          <w:ilvl w:val="12"/>
          <w:numId w:val="0"/>
        </w:numPr>
        <w:tabs>
          <w:tab w:val="left" w:pos="-2268"/>
        </w:tabs>
        <w:suppressAutoHyphens/>
        <w:rPr>
          <w:rFonts w:cs="Arial"/>
          <w:spacing w:val="-3"/>
        </w:rPr>
      </w:pPr>
    </w:p>
    <w:p w14:paraId="5EB918FF" w14:textId="0E36C89A" w:rsidR="00F9317B" w:rsidRPr="004068F6" w:rsidRDefault="00041D0A" w:rsidP="00F9317B">
      <w:pPr>
        <w:numPr>
          <w:ilvl w:val="12"/>
          <w:numId w:val="0"/>
        </w:numPr>
        <w:tabs>
          <w:tab w:val="left" w:pos="-2268"/>
        </w:tabs>
        <w:suppressAutoHyphens/>
        <w:rPr>
          <w:rFonts w:cs="Arial"/>
          <w:spacing w:val="-3"/>
        </w:rPr>
      </w:pPr>
      <w:r w:rsidRPr="004068F6">
        <w:rPr>
          <w:rFonts w:cs="Arial"/>
          <w:spacing w:val="-3"/>
        </w:rPr>
        <w:t>E</w:t>
      </w:r>
      <w:r w:rsidR="00F9317B" w:rsidRPr="004068F6">
        <w:rPr>
          <w:rFonts w:cs="Arial"/>
          <w:spacing w:val="-3"/>
        </w:rPr>
        <w:t xml:space="preserve">l análisis del estado actual de degradación de los suelos </w:t>
      </w:r>
      <w:r w:rsidRPr="004068F6">
        <w:rPr>
          <w:rFonts w:cs="Arial"/>
          <w:spacing w:val="-3"/>
        </w:rPr>
        <w:t xml:space="preserve">se debe realizar </w:t>
      </w:r>
      <w:r w:rsidR="006452CA" w:rsidRPr="004068F6">
        <w:rPr>
          <w:rFonts w:cs="Arial"/>
          <w:spacing w:val="-3"/>
        </w:rPr>
        <w:t>empleando como referencia</w:t>
      </w:r>
      <w:r w:rsidR="00F9317B" w:rsidRPr="004068F6">
        <w:rPr>
          <w:rFonts w:cs="Arial"/>
          <w:spacing w:val="-3"/>
        </w:rPr>
        <w:t xml:space="preserve"> los protocolos de identificación y evaluación de la degradación de los suelos por erosión (</w:t>
      </w:r>
      <w:r w:rsidR="00A92356" w:rsidRPr="004068F6">
        <w:rPr>
          <w:rFonts w:cs="Arial"/>
          <w:spacing w:val="-3"/>
        </w:rPr>
        <w:t>Ideam,</w:t>
      </w:r>
      <w:r w:rsidR="00F9317B" w:rsidRPr="004068F6">
        <w:rPr>
          <w:rFonts w:cs="Arial"/>
          <w:spacing w:val="-3"/>
        </w:rPr>
        <w:t xml:space="preserve"> 2015), salinización (</w:t>
      </w:r>
      <w:r w:rsidR="00A92356" w:rsidRPr="004068F6">
        <w:rPr>
          <w:rFonts w:cs="Arial"/>
          <w:spacing w:val="-3"/>
        </w:rPr>
        <w:t>Ideam,</w:t>
      </w:r>
      <w:r w:rsidR="00F9317B" w:rsidRPr="004068F6">
        <w:rPr>
          <w:rFonts w:cs="Arial"/>
          <w:spacing w:val="-3"/>
        </w:rPr>
        <w:t xml:space="preserve"> 2017) y desertificación (en zonas secas) (</w:t>
      </w:r>
      <w:r w:rsidR="00A92356" w:rsidRPr="004068F6">
        <w:rPr>
          <w:rFonts w:cs="Arial"/>
          <w:spacing w:val="-3"/>
        </w:rPr>
        <w:t>Ideam,</w:t>
      </w:r>
      <w:r w:rsidR="00F9317B" w:rsidRPr="004068F6">
        <w:rPr>
          <w:rFonts w:cs="Arial"/>
          <w:spacing w:val="-3"/>
        </w:rPr>
        <w:t xml:space="preserve"> 201</w:t>
      </w:r>
      <w:r w:rsidR="00CC1729" w:rsidRPr="004068F6">
        <w:rPr>
          <w:rFonts w:cs="Arial"/>
          <w:spacing w:val="-3"/>
        </w:rPr>
        <w:t>0</w:t>
      </w:r>
      <w:r w:rsidR="00F9317B" w:rsidRPr="004068F6">
        <w:rPr>
          <w:rFonts w:cs="Arial"/>
          <w:spacing w:val="-3"/>
        </w:rPr>
        <w:t>), a nivel local</w:t>
      </w:r>
      <w:r w:rsidRPr="004068F6">
        <w:rPr>
          <w:rFonts w:cs="Arial"/>
          <w:spacing w:val="-3"/>
        </w:rPr>
        <w:t xml:space="preserve">, </w:t>
      </w:r>
      <w:r w:rsidR="00F0355C" w:rsidRPr="004068F6">
        <w:rPr>
          <w:rFonts w:cs="Arial"/>
          <w:spacing w:val="-3"/>
        </w:rPr>
        <w:t>determina</w:t>
      </w:r>
      <w:r w:rsidRPr="004068F6">
        <w:rPr>
          <w:rFonts w:cs="Arial"/>
          <w:spacing w:val="-3"/>
        </w:rPr>
        <w:t>ndo</w:t>
      </w:r>
      <w:r w:rsidR="00F0355C" w:rsidRPr="004068F6">
        <w:rPr>
          <w:rFonts w:cs="Arial"/>
          <w:spacing w:val="-3"/>
        </w:rPr>
        <w:t xml:space="preserve"> </w:t>
      </w:r>
      <w:r w:rsidR="00F9317B" w:rsidRPr="004068F6">
        <w:rPr>
          <w:rFonts w:cs="Arial"/>
          <w:spacing w:val="-3"/>
        </w:rPr>
        <w:t>las zonas con diferentes grados de erosión, salinización o desertificación, las causas de la degradación y los impactos ocasionado</w:t>
      </w:r>
      <w:r w:rsidR="00A242A5" w:rsidRPr="004068F6">
        <w:rPr>
          <w:rFonts w:cs="Arial"/>
          <w:spacing w:val="-3"/>
        </w:rPr>
        <w:t>s</w:t>
      </w:r>
      <w:r w:rsidR="00F9317B" w:rsidRPr="004068F6">
        <w:rPr>
          <w:rFonts w:cs="Arial"/>
          <w:spacing w:val="-3"/>
        </w:rPr>
        <w:t>.</w:t>
      </w:r>
    </w:p>
    <w:p w14:paraId="2C777322" w14:textId="77777777" w:rsidR="006F1432" w:rsidRPr="004068F6" w:rsidRDefault="006F1432" w:rsidP="009D132B">
      <w:pPr>
        <w:numPr>
          <w:ilvl w:val="12"/>
          <w:numId w:val="0"/>
        </w:numPr>
        <w:tabs>
          <w:tab w:val="left" w:pos="-2268"/>
        </w:tabs>
        <w:suppressAutoHyphens/>
        <w:rPr>
          <w:rFonts w:cs="Arial"/>
          <w:spacing w:val="-3"/>
        </w:rPr>
      </w:pPr>
    </w:p>
    <w:p w14:paraId="1D54FF6D" w14:textId="3FCE3AEF" w:rsidR="006F1432" w:rsidRPr="00466E26" w:rsidRDefault="006F1432" w:rsidP="000A1E20">
      <w:pPr>
        <w:pStyle w:val="Ttulo3"/>
      </w:pPr>
      <w:bookmarkStart w:id="2681" w:name="_Toc32507263"/>
      <w:bookmarkStart w:id="2682" w:name="_Toc230879652"/>
      <w:r w:rsidRPr="00466E26">
        <w:t>Uso de las tierras</w:t>
      </w:r>
      <w:bookmarkEnd w:id="2681"/>
      <w:bookmarkEnd w:id="2682"/>
    </w:p>
    <w:p w14:paraId="3E71584B" w14:textId="77777777" w:rsidR="006F1432" w:rsidRPr="004068F6" w:rsidRDefault="006F1432" w:rsidP="009D132B">
      <w:pPr>
        <w:numPr>
          <w:ilvl w:val="12"/>
          <w:numId w:val="0"/>
        </w:numPr>
        <w:tabs>
          <w:tab w:val="left" w:pos="-2268"/>
        </w:tabs>
        <w:suppressAutoHyphens/>
        <w:rPr>
          <w:rFonts w:cs="Arial"/>
          <w:spacing w:val="-3"/>
        </w:rPr>
      </w:pPr>
    </w:p>
    <w:p w14:paraId="223AF395" w14:textId="15950929" w:rsidR="006F1432" w:rsidRPr="004068F6" w:rsidRDefault="00DA41B3" w:rsidP="006F1432">
      <w:pPr>
        <w:numPr>
          <w:ilvl w:val="12"/>
          <w:numId w:val="0"/>
        </w:numPr>
        <w:tabs>
          <w:tab w:val="left" w:pos="-2268"/>
        </w:tabs>
        <w:suppressAutoHyphens/>
        <w:rPr>
          <w:rFonts w:cs="Arial"/>
          <w:spacing w:val="-3"/>
        </w:rPr>
      </w:pPr>
      <w:r w:rsidRPr="004068F6">
        <w:rPr>
          <w:rFonts w:cs="Arial"/>
          <w:spacing w:val="-3"/>
        </w:rPr>
        <w:t xml:space="preserve">La caracterización sobre uso de las tierras se debe realizar a partir de </w:t>
      </w:r>
      <w:r w:rsidR="006F1432" w:rsidRPr="004068F6">
        <w:rPr>
          <w:rFonts w:cs="Arial"/>
          <w:spacing w:val="-3"/>
        </w:rPr>
        <w:t xml:space="preserve">la información </w:t>
      </w:r>
      <w:r w:rsidR="00F40399" w:rsidRPr="004068F6">
        <w:rPr>
          <w:rFonts w:cs="Arial"/>
          <w:spacing w:val="-3"/>
        </w:rPr>
        <w:t>que se señala a continuación</w:t>
      </w:r>
      <w:r w:rsidRPr="004068F6">
        <w:rPr>
          <w:rFonts w:cs="Arial"/>
          <w:spacing w:val="-3"/>
        </w:rPr>
        <w:t>,</w:t>
      </w:r>
      <w:r w:rsidR="00F40399" w:rsidRPr="004068F6">
        <w:rPr>
          <w:rFonts w:cs="Arial"/>
          <w:spacing w:val="-3"/>
        </w:rPr>
        <w:t xml:space="preserve"> </w:t>
      </w:r>
      <w:r w:rsidR="006F1432" w:rsidRPr="004068F6">
        <w:rPr>
          <w:rFonts w:cs="Arial"/>
          <w:spacing w:val="-3"/>
        </w:rPr>
        <w:t xml:space="preserve">a </w:t>
      </w:r>
      <w:r w:rsidR="00EE3F79" w:rsidRPr="004068F6">
        <w:rPr>
          <w:rFonts w:cs="Arial"/>
          <w:spacing w:val="-3"/>
        </w:rPr>
        <w:t xml:space="preserve">la escala que </w:t>
      </w:r>
      <w:r w:rsidR="00900A47" w:rsidRPr="004068F6">
        <w:rPr>
          <w:rFonts w:cs="Arial"/>
          <w:spacing w:val="-3"/>
        </w:rPr>
        <w:t>definan</w:t>
      </w:r>
      <w:r w:rsidR="00C817D4" w:rsidRPr="004068F6">
        <w:rPr>
          <w:rFonts w:cs="Arial"/>
          <w:spacing w:val="-3"/>
        </w:rPr>
        <w:t xml:space="preserve"> los términos de referencia </w:t>
      </w:r>
      <w:r w:rsidR="00900A47" w:rsidRPr="004068F6">
        <w:rPr>
          <w:rFonts w:cs="Arial"/>
          <w:spacing w:val="-3"/>
        </w:rPr>
        <w:t xml:space="preserve">o </w:t>
      </w:r>
      <w:r w:rsidR="00C817D4" w:rsidRPr="004068F6">
        <w:rPr>
          <w:rFonts w:cs="Arial"/>
          <w:spacing w:val="-3"/>
        </w:rPr>
        <w:t xml:space="preserve">a una más detallada si </w:t>
      </w:r>
      <w:r w:rsidR="00EE3F79" w:rsidRPr="004068F6">
        <w:rPr>
          <w:rFonts w:cs="Arial"/>
          <w:spacing w:val="-3"/>
        </w:rPr>
        <w:t>el análisis</w:t>
      </w:r>
      <w:r w:rsidR="00C817D4" w:rsidRPr="004068F6">
        <w:rPr>
          <w:rFonts w:cs="Arial"/>
          <w:spacing w:val="-3"/>
        </w:rPr>
        <w:t xml:space="preserve"> así lo exige</w:t>
      </w:r>
      <w:r w:rsidR="006F1432" w:rsidRPr="004068F6">
        <w:rPr>
          <w:rFonts w:cs="Arial"/>
          <w:spacing w:val="-3"/>
          <w:vertAlign w:val="superscript"/>
        </w:rPr>
        <w:footnoteReference w:id="133"/>
      </w:r>
      <w:r w:rsidR="006F1432" w:rsidRPr="004068F6">
        <w:rPr>
          <w:rFonts w:cs="Arial"/>
          <w:spacing w:val="-3"/>
        </w:rPr>
        <w:t>.</w:t>
      </w:r>
    </w:p>
    <w:p w14:paraId="4A9F6C6D" w14:textId="77777777" w:rsidR="006F1432" w:rsidRPr="004068F6" w:rsidRDefault="006F1432" w:rsidP="006F1432">
      <w:pPr>
        <w:numPr>
          <w:ilvl w:val="12"/>
          <w:numId w:val="0"/>
        </w:numPr>
        <w:tabs>
          <w:tab w:val="left" w:pos="-2268"/>
        </w:tabs>
        <w:suppressAutoHyphens/>
        <w:rPr>
          <w:rFonts w:cs="Arial"/>
          <w:spacing w:val="-3"/>
        </w:rPr>
      </w:pPr>
    </w:p>
    <w:p w14:paraId="610F6E82" w14:textId="60524C7F" w:rsidR="006F1432" w:rsidRPr="004068F6" w:rsidRDefault="006F1432" w:rsidP="006F1432">
      <w:pPr>
        <w:numPr>
          <w:ilvl w:val="0"/>
          <w:numId w:val="369"/>
        </w:numPr>
        <w:tabs>
          <w:tab w:val="left" w:pos="-2268"/>
        </w:tabs>
        <w:suppressAutoHyphens/>
        <w:ind w:left="567" w:hanging="567"/>
        <w:rPr>
          <w:rFonts w:cs="Arial"/>
          <w:spacing w:val="-3"/>
        </w:rPr>
      </w:pPr>
      <w:r w:rsidRPr="004068F6">
        <w:rPr>
          <w:rFonts w:cs="Arial"/>
          <w:spacing w:val="-3"/>
        </w:rPr>
        <w:t xml:space="preserve">Mapa digital de capacidad de uso de la tierra (IGAC): este mapa debe elaborarse con la información obtenida en el numeral </w:t>
      </w:r>
      <w:r w:rsidR="002C01F4" w:rsidRPr="004068F6">
        <w:rPr>
          <w:rFonts w:cs="Arial"/>
          <w:spacing w:val="-3"/>
        </w:rPr>
        <w:fldChar w:fldCharType="begin"/>
      </w:r>
      <w:r w:rsidR="002C01F4" w:rsidRPr="004068F6">
        <w:rPr>
          <w:rFonts w:cs="Arial"/>
          <w:spacing w:val="-3"/>
        </w:rPr>
        <w:instrText xml:space="preserve"> REF _Ref81911641 \r \h </w:instrText>
      </w:r>
      <w:r w:rsidR="006E49D4" w:rsidRPr="004068F6">
        <w:rPr>
          <w:rFonts w:cs="Arial"/>
          <w:spacing w:val="-3"/>
        </w:rPr>
        <w:instrText xml:space="preserve"> \* MERGEFORMAT </w:instrText>
      </w:r>
      <w:r w:rsidR="002C01F4" w:rsidRPr="004068F6">
        <w:rPr>
          <w:rFonts w:cs="Arial"/>
          <w:spacing w:val="-3"/>
        </w:rPr>
      </w:r>
      <w:r w:rsidR="002C01F4" w:rsidRPr="004068F6">
        <w:rPr>
          <w:rFonts w:cs="Arial"/>
          <w:spacing w:val="-3"/>
        </w:rPr>
        <w:fldChar w:fldCharType="separate"/>
      </w:r>
      <w:r w:rsidR="009C4A81">
        <w:rPr>
          <w:rFonts w:cs="Arial"/>
          <w:spacing w:val="-3"/>
        </w:rPr>
        <w:t>4.1.2</w:t>
      </w:r>
      <w:r w:rsidR="002C01F4" w:rsidRPr="004068F6">
        <w:rPr>
          <w:rFonts w:cs="Arial"/>
          <w:spacing w:val="-3"/>
        </w:rPr>
        <w:fldChar w:fldCharType="end"/>
      </w:r>
      <w:r w:rsidR="002C01F4" w:rsidRPr="004068F6">
        <w:rPr>
          <w:rFonts w:cs="Arial"/>
          <w:spacing w:val="-3"/>
        </w:rPr>
        <w:t xml:space="preserve"> </w:t>
      </w:r>
      <w:r w:rsidRPr="004068F6">
        <w:rPr>
          <w:rFonts w:cs="Arial"/>
          <w:spacing w:val="-3"/>
        </w:rPr>
        <w:t xml:space="preserve">de </w:t>
      </w:r>
      <w:r w:rsidR="002C01F4" w:rsidRPr="004068F6">
        <w:rPr>
          <w:rFonts w:cs="Arial"/>
          <w:spacing w:val="-3"/>
        </w:rPr>
        <w:t>este capítulo</w:t>
      </w:r>
      <w:r w:rsidRPr="004068F6">
        <w:rPr>
          <w:rFonts w:cs="Arial"/>
          <w:spacing w:val="-3"/>
        </w:rPr>
        <w:t xml:space="preserve">, y </w:t>
      </w:r>
      <w:r w:rsidR="00DA41B3" w:rsidRPr="004068F6">
        <w:rPr>
          <w:rFonts w:cs="Arial"/>
          <w:spacing w:val="-3"/>
        </w:rPr>
        <w:t xml:space="preserve">en él se deben </w:t>
      </w:r>
      <w:r w:rsidRPr="004068F6">
        <w:rPr>
          <w:rFonts w:cs="Arial"/>
          <w:spacing w:val="-3"/>
        </w:rPr>
        <w:t xml:space="preserve">establecer </w:t>
      </w:r>
      <w:r w:rsidR="00EF0F48" w:rsidRPr="004068F6">
        <w:rPr>
          <w:rFonts w:cs="Arial"/>
          <w:spacing w:val="-3"/>
        </w:rPr>
        <w:t>unidades cartográficas de suelos</w:t>
      </w:r>
      <w:r w:rsidRPr="004068F6">
        <w:rPr>
          <w:rFonts w:cs="Arial"/>
          <w:spacing w:val="-3"/>
        </w:rPr>
        <w:t xml:space="preserve"> que incluyan la clase, subclase y grupo de manejo, siguiendo la </w:t>
      </w:r>
      <w:r w:rsidR="006452CA" w:rsidRPr="004068F6">
        <w:rPr>
          <w:rFonts w:cs="Arial"/>
          <w:spacing w:val="-3"/>
        </w:rPr>
        <w:t xml:space="preserve">versión vigente de la </w:t>
      </w:r>
      <w:r w:rsidRPr="004068F6">
        <w:rPr>
          <w:rFonts w:cs="Arial"/>
          <w:spacing w:val="-3"/>
        </w:rPr>
        <w:t xml:space="preserve">Metodología para la clasificación de las tierras por su capacidad de uso del IGAC, con el fin de </w:t>
      </w:r>
      <w:r w:rsidR="00F0355C" w:rsidRPr="004068F6">
        <w:rPr>
          <w:rFonts w:cs="Arial"/>
          <w:spacing w:val="-3"/>
        </w:rPr>
        <w:t xml:space="preserve">determinar </w:t>
      </w:r>
      <w:r w:rsidRPr="004068F6">
        <w:rPr>
          <w:rFonts w:cs="Arial"/>
          <w:spacing w:val="-3"/>
        </w:rPr>
        <w:t>las principales limitantes del suelo que los hacen más vulnerables a la degradación.</w:t>
      </w:r>
    </w:p>
    <w:p w14:paraId="280F540F" w14:textId="77777777" w:rsidR="006F1432" w:rsidRPr="004068F6" w:rsidRDefault="006F1432" w:rsidP="006F1432">
      <w:pPr>
        <w:numPr>
          <w:ilvl w:val="12"/>
          <w:numId w:val="0"/>
        </w:numPr>
        <w:tabs>
          <w:tab w:val="left" w:pos="-2268"/>
        </w:tabs>
        <w:suppressAutoHyphens/>
        <w:ind w:left="567" w:hanging="567"/>
        <w:rPr>
          <w:rFonts w:cs="Arial"/>
          <w:spacing w:val="-3"/>
        </w:rPr>
      </w:pPr>
    </w:p>
    <w:p w14:paraId="6F188D53" w14:textId="45B999F7" w:rsidR="006F1432" w:rsidRPr="004068F6" w:rsidRDefault="006F1432" w:rsidP="006F1432">
      <w:pPr>
        <w:numPr>
          <w:ilvl w:val="0"/>
          <w:numId w:val="369"/>
        </w:numPr>
        <w:tabs>
          <w:tab w:val="left" w:pos="-2268"/>
        </w:tabs>
        <w:suppressAutoHyphens/>
        <w:ind w:left="567" w:hanging="567"/>
        <w:rPr>
          <w:rFonts w:cs="Arial"/>
          <w:spacing w:val="-3"/>
        </w:rPr>
      </w:pPr>
      <w:r w:rsidRPr="004068F6">
        <w:rPr>
          <w:rFonts w:cs="Arial"/>
          <w:spacing w:val="-3"/>
        </w:rPr>
        <w:t xml:space="preserve">Mapa de uso actual: debe elaborarse </w:t>
      </w:r>
      <w:r w:rsidR="009654DC" w:rsidRPr="004068F6">
        <w:rPr>
          <w:rFonts w:cs="Arial"/>
          <w:spacing w:val="-3"/>
        </w:rPr>
        <w:t xml:space="preserve">a partir de </w:t>
      </w:r>
      <w:r w:rsidRPr="004068F6">
        <w:rPr>
          <w:rFonts w:cs="Arial"/>
          <w:spacing w:val="-3"/>
        </w:rPr>
        <w:t>la</w:t>
      </w:r>
      <w:r w:rsidR="00C817D4" w:rsidRPr="004068F6">
        <w:rPr>
          <w:rFonts w:cs="Arial"/>
          <w:spacing w:val="-3"/>
        </w:rPr>
        <w:t>s coberturas de la tierra identificadas mediante la aplicación de la</w:t>
      </w:r>
      <w:r w:rsidRPr="004068F6">
        <w:rPr>
          <w:rFonts w:cs="Arial"/>
          <w:spacing w:val="-3"/>
        </w:rPr>
        <w:t xml:space="preserve"> metodología Corine Land Cover adaptada para Colombia (</w:t>
      </w:r>
      <w:r w:rsidR="00A92356" w:rsidRPr="004068F6">
        <w:rPr>
          <w:rFonts w:cs="Arial"/>
          <w:spacing w:val="-3"/>
        </w:rPr>
        <w:t>Ideam</w:t>
      </w:r>
      <w:r w:rsidRPr="004068F6">
        <w:rPr>
          <w:rFonts w:cs="Arial"/>
          <w:spacing w:val="-3"/>
        </w:rPr>
        <w:t>, 2010)</w:t>
      </w:r>
      <w:r w:rsidR="00B876CD" w:rsidRPr="004068F6">
        <w:rPr>
          <w:rFonts w:cs="Arial"/>
          <w:spacing w:val="-3"/>
        </w:rPr>
        <w:t xml:space="preserve"> o sus versiones oficiales posteriores</w:t>
      </w:r>
      <w:r w:rsidRPr="004068F6">
        <w:rPr>
          <w:rFonts w:cs="Arial"/>
          <w:spacing w:val="-3"/>
        </w:rPr>
        <w:t xml:space="preserve">, la fotointerpretación e interpretación de imágenes de satélite (sensores remotos) y del control de campo. Asimismo, el mapa debe </w:t>
      </w:r>
      <w:r w:rsidR="00DA41B3" w:rsidRPr="004068F6">
        <w:rPr>
          <w:rFonts w:cs="Arial"/>
          <w:spacing w:val="-3"/>
        </w:rPr>
        <w:t xml:space="preserve">incorporar </w:t>
      </w:r>
      <w:r w:rsidRPr="004068F6">
        <w:rPr>
          <w:rFonts w:cs="Arial"/>
          <w:spacing w:val="-3"/>
        </w:rPr>
        <w:t xml:space="preserve">información sobre el </w:t>
      </w:r>
      <w:r w:rsidRPr="004068F6">
        <w:rPr>
          <w:rFonts w:cs="Arial"/>
          <w:spacing w:val="-3"/>
        </w:rPr>
        <w:lastRenderedPageBreak/>
        <w:t>estado actual de los suelos (degradación por erosión, salinización, desertificación, entre otros) con base en información primaria y secundaria.</w:t>
      </w:r>
    </w:p>
    <w:p w14:paraId="1BF2AD1B" w14:textId="77777777" w:rsidR="006F1432" w:rsidRPr="004068F6" w:rsidRDefault="006F1432" w:rsidP="006F1432">
      <w:pPr>
        <w:numPr>
          <w:ilvl w:val="12"/>
          <w:numId w:val="0"/>
        </w:numPr>
        <w:tabs>
          <w:tab w:val="left" w:pos="-2268"/>
        </w:tabs>
        <w:suppressAutoHyphens/>
        <w:ind w:left="567" w:hanging="567"/>
        <w:rPr>
          <w:rFonts w:cs="Arial"/>
          <w:spacing w:val="-3"/>
        </w:rPr>
      </w:pPr>
    </w:p>
    <w:p w14:paraId="47E79357" w14:textId="5AD5B729" w:rsidR="006F1432" w:rsidRPr="004068F6" w:rsidRDefault="006F1432" w:rsidP="006F1432">
      <w:pPr>
        <w:numPr>
          <w:ilvl w:val="0"/>
          <w:numId w:val="369"/>
        </w:numPr>
        <w:tabs>
          <w:tab w:val="left" w:pos="-2268"/>
        </w:tabs>
        <w:suppressAutoHyphens/>
        <w:ind w:left="567" w:hanging="567"/>
        <w:rPr>
          <w:rFonts w:cs="Arial"/>
          <w:spacing w:val="-3"/>
        </w:rPr>
      </w:pPr>
      <w:r w:rsidRPr="004068F6">
        <w:rPr>
          <w:rFonts w:cs="Arial"/>
          <w:spacing w:val="-3"/>
        </w:rPr>
        <w:t xml:space="preserve">Mapa de uso </w:t>
      </w:r>
      <w:r w:rsidR="002C3A82" w:rsidRPr="004068F6">
        <w:rPr>
          <w:rFonts w:cs="Arial"/>
          <w:spacing w:val="-3"/>
        </w:rPr>
        <w:t>del suelo:</w:t>
      </w:r>
      <w:r w:rsidRPr="004068F6">
        <w:rPr>
          <w:rFonts w:cs="Arial"/>
          <w:spacing w:val="-3"/>
        </w:rPr>
        <w:t xml:space="preserve"> </w:t>
      </w:r>
      <w:r w:rsidR="00966407" w:rsidRPr="004068F6">
        <w:rPr>
          <w:rFonts w:cs="Arial"/>
          <w:spacing w:val="-3"/>
        </w:rPr>
        <w:t xml:space="preserve">este mapa </w:t>
      </w:r>
      <w:r w:rsidRPr="004068F6">
        <w:rPr>
          <w:rFonts w:cs="Arial"/>
          <w:spacing w:val="-3"/>
        </w:rPr>
        <w:t>debe</w:t>
      </w:r>
      <w:r w:rsidR="007B24D9" w:rsidRPr="004068F6">
        <w:rPr>
          <w:rFonts w:cs="Arial"/>
          <w:spacing w:val="-3"/>
        </w:rPr>
        <w:t xml:space="preserve"> </w:t>
      </w:r>
      <w:r w:rsidR="00233EB9" w:rsidRPr="004068F6">
        <w:rPr>
          <w:rFonts w:cs="Arial"/>
          <w:spacing w:val="-3"/>
        </w:rPr>
        <w:t xml:space="preserve">presentarse </w:t>
      </w:r>
      <w:r w:rsidR="007B24D9" w:rsidRPr="004068F6">
        <w:rPr>
          <w:rFonts w:cs="Arial"/>
          <w:spacing w:val="-3"/>
        </w:rPr>
        <w:t xml:space="preserve">a partir de </w:t>
      </w:r>
      <w:r w:rsidR="004B2B31" w:rsidRPr="004068F6">
        <w:rPr>
          <w:rFonts w:cs="Arial"/>
          <w:spacing w:val="-3"/>
        </w:rPr>
        <w:t xml:space="preserve">la consulta de </w:t>
      </w:r>
      <w:r w:rsidRPr="004068F6">
        <w:rPr>
          <w:rFonts w:cs="Arial"/>
          <w:spacing w:val="-3"/>
        </w:rPr>
        <w:t xml:space="preserve">los usos </w:t>
      </w:r>
      <w:r w:rsidR="000E0F1F" w:rsidRPr="004068F6">
        <w:rPr>
          <w:rFonts w:cs="Arial"/>
          <w:spacing w:val="-3"/>
        </w:rPr>
        <w:t xml:space="preserve">principales, compatibles, complementarios, restringidos y prohibidos del suelo </w:t>
      </w:r>
      <w:r w:rsidRPr="004068F6">
        <w:rPr>
          <w:rFonts w:cs="Arial"/>
          <w:spacing w:val="-3"/>
        </w:rPr>
        <w:t>establecido</w:t>
      </w:r>
      <w:r w:rsidR="007B24D9" w:rsidRPr="004068F6">
        <w:rPr>
          <w:rFonts w:cs="Arial"/>
          <w:spacing w:val="-3"/>
        </w:rPr>
        <w:t>s</w:t>
      </w:r>
      <w:r w:rsidRPr="004068F6">
        <w:rPr>
          <w:rFonts w:cs="Arial"/>
          <w:spacing w:val="-3"/>
        </w:rPr>
        <w:t xml:space="preserve"> en los instrumentos de ordenamiento territorial</w:t>
      </w:r>
      <w:r w:rsidR="00F6128C">
        <w:rPr>
          <w:rStyle w:val="Refdenotaalpie"/>
          <w:rFonts w:cs="Arial"/>
          <w:spacing w:val="-3"/>
        </w:rPr>
        <w:footnoteReference w:id="134"/>
      </w:r>
      <w:r w:rsidR="000A43B6" w:rsidRPr="004068F6">
        <w:rPr>
          <w:rFonts w:cs="Arial"/>
          <w:spacing w:val="-3"/>
        </w:rPr>
        <w:t>.</w:t>
      </w:r>
    </w:p>
    <w:p w14:paraId="053C26D6" w14:textId="77777777" w:rsidR="003C2090" w:rsidRPr="004068F6" w:rsidRDefault="003C2090" w:rsidP="009420F5">
      <w:pPr>
        <w:rPr>
          <w:rFonts w:cs="Arial"/>
          <w:spacing w:val="-3"/>
        </w:rPr>
      </w:pPr>
    </w:p>
    <w:p w14:paraId="2AF20F5E" w14:textId="767D522B" w:rsidR="003C2090" w:rsidRPr="004068F6" w:rsidRDefault="003C2090" w:rsidP="009420F5">
      <w:pPr>
        <w:pStyle w:val="Prrafodelista"/>
        <w:numPr>
          <w:ilvl w:val="0"/>
          <w:numId w:val="369"/>
        </w:numPr>
        <w:ind w:left="567" w:hanging="567"/>
        <w:rPr>
          <w:rFonts w:cs="Arial"/>
          <w:spacing w:val="-3"/>
          <w:lang w:val="es-CO"/>
        </w:rPr>
      </w:pPr>
      <w:r w:rsidRPr="004068F6">
        <w:rPr>
          <w:rFonts w:cs="Arial"/>
          <w:spacing w:val="-3"/>
          <w:lang w:val="es-CO"/>
        </w:rPr>
        <w:t>Mapa de zonificación de manejo de áreas protegidas y mapa de zonificación de manejo de ecosistemas estratégicos</w:t>
      </w:r>
      <w:r w:rsidR="009654DC" w:rsidRPr="004068F6">
        <w:rPr>
          <w:rFonts w:cs="Arial"/>
          <w:spacing w:val="-3"/>
          <w:lang w:val="es-CO"/>
        </w:rPr>
        <w:t xml:space="preserve"> para las áreas protegidas o los ecosistemas estratégicos identificados en el área de </w:t>
      </w:r>
      <w:r w:rsidR="000A6427" w:rsidRPr="004068F6">
        <w:rPr>
          <w:rFonts w:cs="Arial"/>
          <w:spacing w:val="-3"/>
          <w:lang w:val="es-CO"/>
        </w:rPr>
        <w:t>influencia</w:t>
      </w:r>
      <w:r w:rsidR="009654DC" w:rsidRPr="004068F6">
        <w:rPr>
          <w:rStyle w:val="Refdenotaalpie"/>
          <w:rFonts w:cs="Arial"/>
          <w:spacing w:val="-3"/>
          <w:lang w:val="es-CO"/>
        </w:rPr>
        <w:footnoteReference w:id="135"/>
      </w:r>
      <w:r w:rsidR="009654DC" w:rsidRPr="004068F6">
        <w:rPr>
          <w:rFonts w:cs="Arial"/>
          <w:spacing w:val="-3"/>
          <w:lang w:val="es-CO"/>
        </w:rPr>
        <w:t>.</w:t>
      </w:r>
    </w:p>
    <w:p w14:paraId="5CC43263" w14:textId="77777777" w:rsidR="0099788E" w:rsidRPr="004068F6" w:rsidRDefault="0099788E" w:rsidP="008A4FE9">
      <w:pPr>
        <w:rPr>
          <w:rFonts w:cs="Arial"/>
          <w:spacing w:val="-3"/>
        </w:rPr>
      </w:pPr>
    </w:p>
    <w:p w14:paraId="6279D2BF" w14:textId="17C3B025" w:rsidR="00A524CE" w:rsidRPr="004068F6" w:rsidRDefault="00A524CE" w:rsidP="00A524CE">
      <w:pPr>
        <w:pStyle w:val="Prrafodelista"/>
        <w:numPr>
          <w:ilvl w:val="0"/>
          <w:numId w:val="345"/>
        </w:numPr>
        <w:ind w:left="567" w:hanging="567"/>
        <w:rPr>
          <w:szCs w:val="23"/>
          <w:lang w:val="es-CO" w:eastAsia="es-CO"/>
        </w:rPr>
      </w:pPr>
      <w:r w:rsidRPr="004068F6">
        <w:rPr>
          <w:szCs w:val="23"/>
          <w:lang w:val="es-CO" w:eastAsia="es-CO"/>
        </w:rPr>
        <w:t xml:space="preserve">Mapa digital de </w:t>
      </w:r>
      <w:r w:rsidR="00FD0353" w:rsidRPr="004068F6">
        <w:rPr>
          <w:szCs w:val="23"/>
          <w:lang w:val="es-CO" w:eastAsia="es-CO"/>
        </w:rPr>
        <w:t xml:space="preserve">clasificación de las tierras por su </w:t>
      </w:r>
      <w:r w:rsidRPr="004068F6">
        <w:rPr>
          <w:szCs w:val="23"/>
          <w:lang w:val="es-CO" w:eastAsia="es-CO"/>
        </w:rPr>
        <w:t>oferta ambiental: representa las áreas de oferta ambiental que resulta de la suma de los bienes, funciones y servicios provistos por los sistemas naturales, transformados y los sistemas antrópicos, determinados a partir del levantamiento general de suelos a escala 1:100.000. Contiene la clasificación de las áreas de conservación y protección ambiental, las áreas de producción agrícola, ganadera y explotación de recursos naturales, las áreas de susceptibilidad y amenazas y las áreas consideradas como de patrimonio cultural de la Nación.</w:t>
      </w:r>
    </w:p>
    <w:p w14:paraId="44EA1022" w14:textId="77777777" w:rsidR="00A524CE" w:rsidRPr="004068F6" w:rsidRDefault="00A524CE" w:rsidP="00A524CE">
      <w:pPr>
        <w:rPr>
          <w:rFonts w:cs="Arial"/>
          <w:spacing w:val="-3"/>
        </w:rPr>
      </w:pPr>
    </w:p>
    <w:p w14:paraId="52DB9693" w14:textId="5BF100A3" w:rsidR="00A524CE" w:rsidRPr="004068F6" w:rsidRDefault="00A524CE" w:rsidP="00A524CE">
      <w:pPr>
        <w:pStyle w:val="Prrafodelista"/>
        <w:numPr>
          <w:ilvl w:val="0"/>
          <w:numId w:val="345"/>
        </w:numPr>
        <w:ind w:left="567" w:hanging="567"/>
        <w:rPr>
          <w:szCs w:val="23"/>
          <w:lang w:val="es-CO" w:eastAsia="es-CO"/>
        </w:rPr>
      </w:pPr>
      <w:r w:rsidRPr="004068F6">
        <w:rPr>
          <w:szCs w:val="23"/>
          <w:lang w:val="es-CO" w:eastAsia="es-CO"/>
        </w:rPr>
        <w:t>Mapa digital de conflictos de uso: representa la distribución de los tipos de conflictos de uso del territorio, generados a partir del análisis de oferta y demanda ambientales, expresados como una correspondencia entre el uso actual y el potencial recomendado, o como la discrepancia entre éstos por sub o sobreutilización del medio natural.</w:t>
      </w:r>
    </w:p>
    <w:p w14:paraId="2F90BAF7" w14:textId="3D7912A2" w:rsidR="009D132B" w:rsidRPr="004068F6" w:rsidRDefault="009D132B" w:rsidP="009D132B">
      <w:pPr>
        <w:numPr>
          <w:ilvl w:val="12"/>
          <w:numId w:val="0"/>
        </w:numPr>
        <w:tabs>
          <w:tab w:val="left" w:pos="-2268"/>
        </w:tabs>
        <w:suppressAutoHyphens/>
        <w:rPr>
          <w:rFonts w:cs="Arial"/>
          <w:spacing w:val="-3"/>
        </w:rPr>
      </w:pPr>
    </w:p>
    <w:p w14:paraId="56A3D805" w14:textId="77777777" w:rsidR="009D132B" w:rsidRPr="00466E26" w:rsidRDefault="009D132B" w:rsidP="000A1E20">
      <w:pPr>
        <w:pStyle w:val="Ttulo3"/>
      </w:pPr>
      <w:bookmarkStart w:id="2683" w:name="_Toc43485704"/>
      <w:bookmarkStart w:id="2684" w:name="_Toc412812764"/>
      <w:bookmarkStart w:id="2685" w:name="_Toc437936020"/>
      <w:bookmarkStart w:id="2686" w:name="_Toc42764346"/>
      <w:bookmarkStart w:id="2687" w:name="_Ref152580729"/>
      <w:bookmarkStart w:id="2688" w:name="_Ref152580735"/>
      <w:bookmarkStart w:id="2689" w:name="_Toc230879653"/>
      <w:bookmarkEnd w:id="2683"/>
      <w:r w:rsidRPr="00466E26">
        <w:t>Hidrológico</w:t>
      </w:r>
      <w:bookmarkEnd w:id="2684"/>
      <w:bookmarkEnd w:id="2685"/>
      <w:bookmarkEnd w:id="2686"/>
      <w:bookmarkEnd w:id="2687"/>
      <w:bookmarkEnd w:id="2688"/>
      <w:bookmarkEnd w:id="2689"/>
    </w:p>
    <w:p w14:paraId="66A30909" w14:textId="77777777" w:rsidR="009D132B" w:rsidRPr="004068F6" w:rsidRDefault="009D132B">
      <w:pPr>
        <w:numPr>
          <w:ilvl w:val="12"/>
          <w:numId w:val="0"/>
        </w:numPr>
        <w:tabs>
          <w:tab w:val="left" w:pos="-2268"/>
        </w:tabs>
        <w:suppressAutoHyphens/>
        <w:rPr>
          <w:spacing w:val="-3"/>
        </w:rPr>
      </w:pPr>
    </w:p>
    <w:p w14:paraId="179E9A94" w14:textId="77AC1A08" w:rsidR="009D132B" w:rsidRPr="004068F6" w:rsidRDefault="006B60F6">
      <w:pPr>
        <w:tabs>
          <w:tab w:val="left" w:pos="-2268"/>
        </w:tabs>
        <w:suppressAutoHyphens/>
        <w:rPr>
          <w:spacing w:val="-3"/>
        </w:rPr>
      </w:pPr>
      <w:r w:rsidRPr="004068F6">
        <w:rPr>
          <w:rFonts w:cs="Arial"/>
          <w:spacing w:val="-3"/>
        </w:rPr>
        <w:t xml:space="preserve">Señalar las áreas, las zonas, las subzonas y los niveles hidrográficos subsiguientes (de acuerdo con la zonificación hidrográfica nacional del Ideam y Minambiente), así como los niveles subsiguientes definidos por las autoridades ambientales competentes, en caso de existir, en los que se localiza el área que se está caracterizando; se debe señalar también su toponimia y distinguir los sistemas lénticos y lóticos. En caso de no existir niveles subsiguientes, se deben definir unidades </w:t>
      </w:r>
      <w:r w:rsidRPr="004068F6">
        <w:rPr>
          <w:rFonts w:cs="Arial"/>
          <w:spacing w:val="-3"/>
        </w:rPr>
        <w:lastRenderedPageBreak/>
        <w:t>hidrográficas de análisis a la escala establecida en los respectivos términos de referencia</w:t>
      </w:r>
      <w:r w:rsidR="009D132B" w:rsidRPr="004068F6">
        <w:rPr>
          <w:spacing w:val="-3"/>
        </w:rPr>
        <w:t>, o a una de mayor detalle utilizando la cartografía oficial disponible.</w:t>
      </w:r>
    </w:p>
    <w:p w14:paraId="3A9CE05B" w14:textId="77777777" w:rsidR="009D132B" w:rsidRPr="004068F6" w:rsidRDefault="009D132B">
      <w:pPr>
        <w:tabs>
          <w:tab w:val="left" w:pos="-2268"/>
        </w:tabs>
        <w:suppressAutoHyphens/>
        <w:rPr>
          <w:spacing w:val="-3"/>
        </w:rPr>
      </w:pPr>
    </w:p>
    <w:p w14:paraId="2F57CC91" w14:textId="63739D23" w:rsidR="009D132B" w:rsidRPr="004068F6" w:rsidRDefault="00900A47">
      <w:pPr>
        <w:tabs>
          <w:tab w:val="left" w:pos="-2268"/>
        </w:tabs>
        <w:suppressAutoHyphens/>
        <w:rPr>
          <w:spacing w:val="-3"/>
        </w:rPr>
      </w:pPr>
      <w:r w:rsidRPr="004068F6">
        <w:rPr>
          <w:spacing w:val="-3"/>
        </w:rPr>
        <w:t>Compilar</w:t>
      </w:r>
      <w:r w:rsidR="009D132B" w:rsidRPr="004068F6">
        <w:rPr>
          <w:spacing w:val="-3"/>
        </w:rPr>
        <w:t xml:space="preserve"> para las subzonas hidrográficas, los datos hidroclimáticos disponibles de la red nacional de referencia del </w:t>
      </w:r>
      <w:r w:rsidR="00A92356" w:rsidRPr="004068F6">
        <w:rPr>
          <w:spacing w:val="-3"/>
        </w:rPr>
        <w:t>Ideam</w:t>
      </w:r>
      <w:r w:rsidR="009D132B" w:rsidRPr="004068F6">
        <w:rPr>
          <w:spacing w:val="-3"/>
        </w:rPr>
        <w:t xml:space="preserve">, así como de otras redes existentes en el ámbito regional. La escala temporal de los datos debe ser diaria y la longitud mínima de la serie debe ser de </w:t>
      </w:r>
      <w:r w:rsidR="000C5D88" w:rsidRPr="004068F6">
        <w:rPr>
          <w:rFonts w:cs="Arial"/>
          <w:spacing w:val="-3"/>
        </w:rPr>
        <w:t xml:space="preserve">diez </w:t>
      </w:r>
      <w:r w:rsidR="009D132B" w:rsidRPr="004068F6">
        <w:rPr>
          <w:rFonts w:cs="Arial"/>
          <w:spacing w:val="-3"/>
        </w:rPr>
        <w:t>(1</w:t>
      </w:r>
      <w:r w:rsidR="000C5D88" w:rsidRPr="004068F6">
        <w:rPr>
          <w:rFonts w:cs="Arial"/>
          <w:spacing w:val="-3"/>
        </w:rPr>
        <w:t>0</w:t>
      </w:r>
      <w:r w:rsidR="009D132B" w:rsidRPr="004068F6">
        <w:rPr>
          <w:spacing w:val="-3"/>
        </w:rPr>
        <w:t>) años. Debe indicarse la longitud temporal de datos disponibles y el análisis de incertidumbre derivado de su uso y tratamiento con el objetivo de concluir si las series hidrológicas a utilizar son adecuadas para los objetivos del proyecto.</w:t>
      </w:r>
    </w:p>
    <w:p w14:paraId="564F916B" w14:textId="77777777" w:rsidR="009D132B" w:rsidRPr="004068F6" w:rsidRDefault="009D132B">
      <w:pPr>
        <w:tabs>
          <w:tab w:val="left" w:pos="-2268"/>
        </w:tabs>
        <w:suppressAutoHyphens/>
        <w:rPr>
          <w:spacing w:val="-3"/>
        </w:rPr>
      </w:pPr>
    </w:p>
    <w:p w14:paraId="7B2264E1" w14:textId="37AB8B74" w:rsidR="001C3F22" w:rsidRPr="004068F6" w:rsidRDefault="001C3F22">
      <w:pPr>
        <w:tabs>
          <w:tab w:val="left" w:pos="-2268"/>
        </w:tabs>
        <w:suppressAutoHyphens/>
        <w:rPr>
          <w:rFonts w:cs="Arial"/>
          <w:lang w:eastAsia="es-CO"/>
        </w:rPr>
      </w:pPr>
      <w:r w:rsidRPr="004068F6">
        <w:rPr>
          <w:rFonts w:cs="Arial"/>
          <w:lang w:eastAsia="es-CO"/>
        </w:rPr>
        <w:t xml:space="preserve">Cuando no exista información disponible de estaciones </w:t>
      </w:r>
      <w:r w:rsidR="003E7745" w:rsidRPr="004068F6">
        <w:rPr>
          <w:rFonts w:cs="Arial"/>
          <w:lang w:eastAsia="es-CO"/>
        </w:rPr>
        <w:t>d</w:t>
      </w:r>
      <w:r w:rsidRPr="004068F6">
        <w:rPr>
          <w:rFonts w:cs="Arial"/>
          <w:lang w:eastAsia="es-CO"/>
        </w:rPr>
        <w:t xml:space="preserve">el </w:t>
      </w:r>
      <w:r w:rsidR="00A92356" w:rsidRPr="004068F6">
        <w:rPr>
          <w:rFonts w:cs="Arial"/>
          <w:lang w:eastAsia="es-CO"/>
        </w:rPr>
        <w:t>Ideam</w:t>
      </w:r>
      <w:r w:rsidRPr="004068F6">
        <w:rPr>
          <w:rFonts w:cs="Arial"/>
          <w:lang w:eastAsia="es-CO"/>
        </w:rPr>
        <w:t xml:space="preserve"> </w:t>
      </w:r>
      <w:r w:rsidR="008947C3" w:rsidRPr="004068F6">
        <w:rPr>
          <w:rFonts w:cs="Arial"/>
          <w:lang w:eastAsia="es-CO"/>
        </w:rPr>
        <w:t xml:space="preserve">o de las autoridades ambientales </w:t>
      </w:r>
      <w:r w:rsidRPr="004068F6">
        <w:rPr>
          <w:rFonts w:cs="Arial"/>
          <w:lang w:eastAsia="es-CO"/>
        </w:rPr>
        <w:t xml:space="preserve">con adecuada representatividad sobre el área </w:t>
      </w:r>
      <w:r w:rsidR="007315F1" w:rsidRPr="004068F6">
        <w:rPr>
          <w:rFonts w:cs="Arial"/>
          <w:lang w:eastAsia="es-CO"/>
        </w:rPr>
        <w:t>objeto de caracterización</w:t>
      </w:r>
      <w:r w:rsidRPr="004068F6">
        <w:rPr>
          <w:rFonts w:cs="Arial"/>
          <w:lang w:eastAsia="es-CO"/>
        </w:rPr>
        <w:t>, la información para la obtención de los datos hidroclimáticos puede ser tomada de los modelos globales o de re-análisis global, obtenidos de fuentes de adecuada idoneidad científica y que puedan ser validadas y procesadas para obtener una adecuada resolución sobre el área de influencia. Ejemplos de modelos de clima o tiempo son CFRS, ERA 40, CAM y WRF.</w:t>
      </w:r>
    </w:p>
    <w:p w14:paraId="188F69A5" w14:textId="77777777" w:rsidR="001C3F22" w:rsidRPr="004068F6" w:rsidRDefault="001C3F22">
      <w:pPr>
        <w:tabs>
          <w:tab w:val="left" w:pos="-2268"/>
        </w:tabs>
        <w:suppressAutoHyphens/>
        <w:rPr>
          <w:spacing w:val="-3"/>
        </w:rPr>
      </w:pPr>
    </w:p>
    <w:p w14:paraId="458A9F4C" w14:textId="2BC799FE" w:rsidR="009D132B" w:rsidRPr="004068F6" w:rsidRDefault="009D132B">
      <w:pPr>
        <w:tabs>
          <w:tab w:val="left" w:pos="-2268"/>
        </w:tabs>
        <w:suppressAutoHyphens/>
        <w:rPr>
          <w:spacing w:val="-3"/>
        </w:rPr>
      </w:pPr>
      <w:r w:rsidRPr="004068F6">
        <w:rPr>
          <w:spacing w:val="-3"/>
        </w:rPr>
        <w:t xml:space="preserve">Efectuar un análisis objetivo de la calidad y consistencia de los datos hidroclimáticos que incluya pruebas estadísticas paramétricas y/o no paramétricas sobre homogeneidad, consistencia </w:t>
      </w:r>
      <w:r w:rsidR="002A6D28" w:rsidRPr="004068F6">
        <w:rPr>
          <w:spacing w:val="-3"/>
        </w:rPr>
        <w:t>y determinación</w:t>
      </w:r>
      <w:r w:rsidRPr="004068F6">
        <w:rPr>
          <w:spacing w:val="-3"/>
        </w:rPr>
        <w:t xml:space="preserve"> de datos anómalos; de ser posible, hacer el completado de las series, indicando claramente el método adoptado y efectuar la caracterización estadística básica de las series de tiempo tratadas.</w:t>
      </w:r>
    </w:p>
    <w:p w14:paraId="720DEFE3" w14:textId="77777777" w:rsidR="009D132B" w:rsidRPr="004068F6" w:rsidRDefault="009D132B">
      <w:pPr>
        <w:tabs>
          <w:tab w:val="left" w:pos="-2268"/>
        </w:tabs>
        <w:suppressAutoHyphens/>
        <w:rPr>
          <w:spacing w:val="-3"/>
        </w:rPr>
      </w:pPr>
    </w:p>
    <w:p w14:paraId="1BB8CA08" w14:textId="236B7CB8" w:rsidR="009D132B" w:rsidRPr="004068F6" w:rsidRDefault="009D132B">
      <w:pPr>
        <w:tabs>
          <w:tab w:val="left" w:pos="-2268"/>
        </w:tabs>
        <w:suppressAutoHyphens/>
        <w:rPr>
          <w:rFonts w:cs="Arial"/>
        </w:rPr>
      </w:pPr>
      <w:r w:rsidRPr="004068F6">
        <w:rPr>
          <w:spacing w:val="-3"/>
        </w:rPr>
        <w:t>Realizar una correlación de las series temporales, a escala mensual, con la de indicadores de ocurrencia de fenómenos macroclimáticos con influencia en la hidroclimatología colombiana (</w:t>
      </w:r>
      <w:r w:rsidR="00041844" w:rsidRPr="004068F6">
        <w:rPr>
          <w:spacing w:val="-3"/>
        </w:rPr>
        <w:t>p. ej.</w:t>
      </w:r>
      <w:r w:rsidRPr="004068F6">
        <w:rPr>
          <w:spacing w:val="-3"/>
        </w:rPr>
        <w:t xml:space="preserve"> El Niño-Oscilación del Sur, Oscilación del Atlántico Norte, Oscilación Quasi-Bienal, Oscilación Decadal del Pacífico). En los casos de encontrarse correlación en las variables, principalmente de precipitación y caudal, clasificar los períodos hidrológicos en húmedos, normales y seco, considerando el concepto de año hidrológico</w:t>
      </w:r>
      <w:r w:rsidRPr="004068F6">
        <w:rPr>
          <w:rFonts w:cs="Arial"/>
          <w:spacing w:val="-3"/>
        </w:rPr>
        <w:t>.</w:t>
      </w:r>
    </w:p>
    <w:p w14:paraId="21108A5C" w14:textId="77777777" w:rsidR="009C2865" w:rsidRPr="004068F6" w:rsidRDefault="009C2865">
      <w:pPr>
        <w:tabs>
          <w:tab w:val="left" w:pos="-2268"/>
        </w:tabs>
        <w:suppressAutoHyphens/>
        <w:rPr>
          <w:rFonts w:cs="Arial"/>
        </w:rPr>
      </w:pPr>
    </w:p>
    <w:p w14:paraId="1298BFCB" w14:textId="3EB736AD" w:rsidR="009C2865" w:rsidRPr="004068F6" w:rsidRDefault="005C7894">
      <w:pPr>
        <w:tabs>
          <w:tab w:val="left" w:pos="-2268"/>
        </w:tabs>
        <w:suppressAutoHyphens/>
        <w:rPr>
          <w:spacing w:val="-3"/>
        </w:rPr>
      </w:pPr>
      <w:r w:rsidRPr="004068F6">
        <w:rPr>
          <w:spacing w:val="-3"/>
        </w:rPr>
        <w:t>Dicha información debe complementarse con el análisis de tasa de cambio de la precipitación</w:t>
      </w:r>
      <w:r w:rsidR="004C34BE" w:rsidRPr="004068F6">
        <w:rPr>
          <w:spacing w:val="-3"/>
        </w:rPr>
        <w:t xml:space="preserve"> y</w:t>
      </w:r>
      <w:r w:rsidRPr="004068F6">
        <w:rPr>
          <w:spacing w:val="-3"/>
        </w:rPr>
        <w:t xml:space="preserve"> temperatura teniendo en cuenta el efecto de los escenarios de cambio climático generados por el Ideam o cualquier información de las Trayectorias Socioeconómicas Compartidas (SSP por sus siglas en inglés) definidas y validadas técnica o científicamente por una entidad con conocimientos climatológicos, usando al menos el valor máximo y mínimo de cada variable para un período de mínimo 20 años en el intervalo de tiempo comprendido entre los años 2021 y 2100. El análisis permite asociar los posibles efectos en la oferta hídrica, incidencia en la ocurrencia de eventos de amenaza y con ello en la planificación de aprovechamiento del recurso o la inclusión de medidas manejo ante posibles contingencias</w:t>
      </w:r>
      <w:r w:rsidR="009C2865" w:rsidRPr="004068F6">
        <w:rPr>
          <w:spacing w:val="-3"/>
        </w:rPr>
        <w:t>.</w:t>
      </w:r>
    </w:p>
    <w:p w14:paraId="1B2B6468" w14:textId="77777777" w:rsidR="009D132B" w:rsidRPr="004068F6" w:rsidRDefault="009D132B">
      <w:pPr>
        <w:tabs>
          <w:tab w:val="left" w:pos="-2268"/>
        </w:tabs>
        <w:suppressAutoHyphens/>
        <w:rPr>
          <w:spacing w:val="-3"/>
        </w:rPr>
      </w:pPr>
    </w:p>
    <w:p w14:paraId="6AB7B8E7" w14:textId="04194875" w:rsidR="009D132B" w:rsidRPr="004068F6" w:rsidRDefault="009D132B">
      <w:pPr>
        <w:tabs>
          <w:tab w:val="left" w:pos="-2268"/>
        </w:tabs>
        <w:suppressAutoHyphens/>
        <w:rPr>
          <w:spacing w:val="-3"/>
        </w:rPr>
      </w:pPr>
      <w:r w:rsidRPr="004068F6">
        <w:rPr>
          <w:spacing w:val="-3"/>
        </w:rPr>
        <w:t>Presentar las principales características morfométricas (área, perímetro, pendiente media, índice de compacidad, factor de forma, tiempos de concentración, índice de sinuosidad, densidad de drenaje y corrientes, patrones de drenaje regionales y locales) de las unidades de análisis hidrográficas asociadas a los puntos de intervención por captación, vertimiento u ocupación de cauce</w:t>
      </w:r>
      <w:r w:rsidR="00064ED7" w:rsidRPr="004068F6">
        <w:rPr>
          <w:spacing w:val="-3"/>
        </w:rPr>
        <w:t xml:space="preserve">, </w:t>
      </w:r>
      <w:r w:rsidRPr="004068F6">
        <w:rPr>
          <w:spacing w:val="-3"/>
        </w:rPr>
        <w:t xml:space="preserve">así como de la unidad hidrográfica de análisis (como mínimo niveles subsiguientes de las subzonas en la que se encuentra localizada el área </w:t>
      </w:r>
      <w:r w:rsidR="008402B6" w:rsidRPr="004068F6">
        <w:rPr>
          <w:spacing w:val="-3"/>
        </w:rPr>
        <w:t>objeto de caracterización</w:t>
      </w:r>
      <w:r w:rsidRPr="004068F6">
        <w:rPr>
          <w:spacing w:val="-3"/>
        </w:rPr>
        <w:t>).</w:t>
      </w:r>
    </w:p>
    <w:p w14:paraId="253D6EEE" w14:textId="77777777" w:rsidR="009D132B" w:rsidRPr="004068F6" w:rsidRDefault="009D132B">
      <w:pPr>
        <w:tabs>
          <w:tab w:val="left" w:pos="-2268"/>
        </w:tabs>
        <w:suppressAutoHyphens/>
        <w:rPr>
          <w:spacing w:val="-3"/>
        </w:rPr>
      </w:pPr>
    </w:p>
    <w:p w14:paraId="40D56159" w14:textId="32F997A8" w:rsidR="009D132B" w:rsidRPr="004068F6" w:rsidRDefault="009D132B">
      <w:pPr>
        <w:tabs>
          <w:tab w:val="left" w:pos="-2268"/>
        </w:tabs>
        <w:suppressAutoHyphens/>
        <w:rPr>
          <w:spacing w:val="-3"/>
        </w:rPr>
      </w:pPr>
      <w:r w:rsidRPr="004068F6">
        <w:rPr>
          <w:spacing w:val="-3"/>
        </w:rPr>
        <w:t xml:space="preserve">Caracterizar </w:t>
      </w:r>
      <w:r w:rsidRPr="004068F6">
        <w:rPr>
          <w:rFonts w:cs="Arial"/>
          <w:spacing w:val="-3"/>
        </w:rPr>
        <w:t>el</w:t>
      </w:r>
      <w:r w:rsidRPr="004068F6">
        <w:rPr>
          <w:spacing w:val="-3"/>
        </w:rPr>
        <w:t xml:space="preserve"> régimen hidrológico</w:t>
      </w:r>
      <w:r w:rsidR="006D0002" w:rsidRPr="004068F6">
        <w:t xml:space="preserve"> </w:t>
      </w:r>
      <w:r w:rsidR="006D0002" w:rsidRPr="004068F6">
        <w:rPr>
          <w:spacing w:val="-3"/>
        </w:rPr>
        <w:t>de las unidades de análisis hidrográficas asociadas a los puntos de intervención por captación, vertimiento u ocupación de cauce</w:t>
      </w:r>
      <w:r w:rsidRPr="004068F6">
        <w:rPr>
          <w:spacing w:val="-3"/>
        </w:rPr>
        <w:t xml:space="preserve">, en los casos que la información hidrológica lo permita, considerando en el análisis los valores normales (anuales, mensuales y diarios), así como los extremos (máximos y mínimos), frecuencia de presentación, duración, momento de ocurrencia, tasa de cambio. Para el análisis de eventos extremos (máximos y mínimos) se deben considerar los efectos de la variabilidad climática en el régimen, por tanto, se deben realizar análisis no estacionarios (los períodos de retorno mínimos a considerar deben ser: en caudales máximos, 2, </w:t>
      </w:r>
      <w:r w:rsidR="004C7C9D" w:rsidRPr="004068F6">
        <w:rPr>
          <w:spacing w:val="-3"/>
        </w:rPr>
        <w:t xml:space="preserve">2.33, </w:t>
      </w:r>
      <w:r w:rsidRPr="004068F6">
        <w:rPr>
          <w:spacing w:val="-3"/>
        </w:rPr>
        <w:t>5, 10, 15, 25, 50 y 100 años; en caudales mínimos, 2, 5, 10, 15 y 20 años).</w:t>
      </w:r>
      <w:r w:rsidR="001F4EE3" w:rsidRPr="004068F6">
        <w:rPr>
          <w:spacing w:val="-3"/>
        </w:rPr>
        <w:t xml:space="preserve"> Lo anterior a partir de registros diarios.</w:t>
      </w:r>
    </w:p>
    <w:p w14:paraId="550478B6" w14:textId="77777777" w:rsidR="009D132B" w:rsidRPr="004068F6" w:rsidRDefault="009D132B">
      <w:pPr>
        <w:tabs>
          <w:tab w:val="left" w:pos="-2268"/>
        </w:tabs>
        <w:suppressAutoHyphens/>
        <w:rPr>
          <w:spacing w:val="-3"/>
        </w:rPr>
      </w:pPr>
    </w:p>
    <w:p w14:paraId="2797AEBE" w14:textId="505FD044" w:rsidR="009D132B" w:rsidRPr="004068F6" w:rsidRDefault="009D132B">
      <w:pPr>
        <w:tabs>
          <w:tab w:val="left" w:pos="-2268"/>
        </w:tabs>
        <w:suppressAutoHyphens/>
        <w:rPr>
          <w:spacing w:val="-3"/>
        </w:rPr>
      </w:pPr>
      <w:r w:rsidRPr="004068F6">
        <w:rPr>
          <w:spacing w:val="-3"/>
        </w:rPr>
        <w:t xml:space="preserve">Generar series sintéticas a escala diaria en los cauces susceptibles de intervención con ausencia de información (series de datos con periodos temporales inferiores a 10 años o con series cuyo análisis indique una incertidumbre importante en los resultados obtenidos), a partir de metodologías de transformación de la lluvia en escorrentía que consideren la variabilidad de las características fisiográficas y climáticas de la cuenca hidrográfica y sus unidades hidrográficas de análisis, considerando igualmente cuando aplique: interacciones agua superficial – agua subterránea (incluidos cambios en el nivel freático y </w:t>
      </w:r>
      <w:r w:rsidR="00E4020E" w:rsidRPr="004068F6">
        <w:rPr>
          <w:spacing w:val="-3"/>
        </w:rPr>
        <w:t>flujo base</w:t>
      </w:r>
      <w:r w:rsidRPr="004068F6">
        <w:rPr>
          <w:spacing w:val="-3"/>
        </w:rPr>
        <w:t>) y las de los sistemas léntico–lótico</w:t>
      </w:r>
      <w:r w:rsidR="00E4020E" w:rsidRPr="004068F6">
        <w:rPr>
          <w:spacing w:val="-3"/>
        </w:rPr>
        <w:t>.</w:t>
      </w:r>
      <w:r w:rsidRPr="004068F6">
        <w:rPr>
          <w:spacing w:val="-3"/>
        </w:rPr>
        <w:t xml:space="preserve"> Se debe establecer claramente el modelo conceptual, sus parámetros, la información utilizada, la metodología de implementación, y la estrategia de calibración y validación en función de la información utilizada, considerando la representatividad de los procesos hidrológicos predominantes en la </w:t>
      </w:r>
      <w:r w:rsidRPr="004068F6">
        <w:rPr>
          <w:rFonts w:cs="Arial"/>
          <w:spacing w:val="-3"/>
        </w:rPr>
        <w:t>unidad</w:t>
      </w:r>
      <w:r w:rsidRPr="004068F6">
        <w:rPr>
          <w:spacing w:val="-3"/>
        </w:rPr>
        <w:t xml:space="preserve"> hidrográfica </w:t>
      </w:r>
      <w:r w:rsidRPr="004068F6">
        <w:rPr>
          <w:rFonts w:cs="Arial"/>
          <w:spacing w:val="-3"/>
        </w:rPr>
        <w:t>analizada</w:t>
      </w:r>
      <w:r w:rsidRPr="004068F6">
        <w:rPr>
          <w:spacing w:val="-3"/>
        </w:rPr>
        <w:t>.</w:t>
      </w:r>
    </w:p>
    <w:p w14:paraId="01177396" w14:textId="77777777" w:rsidR="009D132B" w:rsidRPr="004068F6" w:rsidRDefault="009D132B">
      <w:pPr>
        <w:tabs>
          <w:tab w:val="left" w:pos="-2268"/>
        </w:tabs>
        <w:suppressAutoHyphens/>
        <w:rPr>
          <w:spacing w:val="-3"/>
        </w:rPr>
      </w:pPr>
    </w:p>
    <w:p w14:paraId="2807C120" w14:textId="0E85FBCF" w:rsidR="004B3222" w:rsidRPr="004068F6" w:rsidRDefault="004B3222" w:rsidP="004B3222">
      <w:pPr>
        <w:tabs>
          <w:tab w:val="left" w:pos="-2268"/>
        </w:tabs>
        <w:suppressAutoHyphens/>
        <w:rPr>
          <w:rFonts w:cs="Arial"/>
          <w:spacing w:val="-3"/>
        </w:rPr>
      </w:pPr>
      <w:r w:rsidRPr="004068F6">
        <w:rPr>
          <w:rFonts w:cs="Arial"/>
          <w:spacing w:val="-3"/>
        </w:rPr>
        <w:t>Conforme a lo mencionado, la calibración y validación se debe realizar mediante pruebas de bondad de ajuste usando 2/3 de la información diaria o mensual para calibrar y el 1/3 restante para validar, resaltando que la información debe contar con registros de mínimo 10 años. En ese contexto se debe</w:t>
      </w:r>
      <w:r w:rsidR="00AD67CF">
        <w:rPr>
          <w:rFonts w:cs="Arial"/>
          <w:spacing w:val="-3"/>
        </w:rPr>
        <w:t>n</w:t>
      </w:r>
      <w:r w:rsidRPr="004068F6">
        <w:rPr>
          <w:rFonts w:cs="Arial"/>
          <w:spacing w:val="-3"/>
        </w:rPr>
        <w:t xml:space="preserve"> realizar pruebas de coeficiente de correlación y de Nash-Sutcliffe para la serie de caudales medios diarios, según las recomendaciones de Molnar (2011). En lo posible no emplear datos cuya prueba de calibración y validación haya resultado como mínimo en la categoría “malo” o “insuficiente” conforme a los rangos de ajuste que se presentan en la </w:t>
      </w:r>
      <w:r w:rsidR="00D57702" w:rsidRPr="004068F6">
        <w:rPr>
          <w:rFonts w:cs="Arial"/>
          <w:spacing w:val="-3"/>
        </w:rPr>
        <w:fldChar w:fldCharType="begin"/>
      </w:r>
      <w:r w:rsidR="00D57702" w:rsidRPr="004068F6">
        <w:rPr>
          <w:rFonts w:cs="Arial"/>
          <w:spacing w:val="-3"/>
        </w:rPr>
        <w:instrText xml:space="preserve"> REF _Ref145062422 \h  \* MERGEFORMAT </w:instrText>
      </w:r>
      <w:r w:rsidR="00D57702" w:rsidRPr="004068F6">
        <w:rPr>
          <w:rFonts w:cs="Arial"/>
          <w:spacing w:val="-3"/>
        </w:rPr>
      </w:r>
      <w:r w:rsidR="00D57702" w:rsidRPr="004068F6">
        <w:rPr>
          <w:rFonts w:cs="Arial"/>
          <w:spacing w:val="-3"/>
        </w:rPr>
        <w:fldChar w:fldCharType="separate"/>
      </w:r>
      <w:r w:rsidR="009C4A81" w:rsidRPr="004068F6">
        <w:t xml:space="preserve">Tabla </w:t>
      </w:r>
      <w:r w:rsidR="009C4A81">
        <w:t>19</w:t>
      </w:r>
      <w:r w:rsidR="00D57702" w:rsidRPr="004068F6">
        <w:rPr>
          <w:rFonts w:cs="Arial"/>
          <w:spacing w:val="-3"/>
        </w:rPr>
        <w:fldChar w:fldCharType="end"/>
      </w:r>
      <w:r w:rsidR="00036672" w:rsidRPr="00127BD4">
        <w:t xml:space="preserve"> </w:t>
      </w:r>
      <w:r w:rsidRPr="004068F6">
        <w:rPr>
          <w:rFonts w:cs="Arial"/>
          <w:spacing w:val="-3"/>
        </w:rPr>
        <w:t xml:space="preserve">y </w:t>
      </w:r>
      <w:r w:rsidR="00036672" w:rsidRPr="004068F6">
        <w:rPr>
          <w:rFonts w:cs="Arial"/>
          <w:spacing w:val="-3"/>
        </w:rPr>
        <w:t xml:space="preserve">en la </w:t>
      </w:r>
      <w:r w:rsidR="007C4D8D" w:rsidRPr="004068F6">
        <w:rPr>
          <w:rFonts w:cs="Arial"/>
          <w:spacing w:val="-3"/>
        </w:rPr>
        <w:fldChar w:fldCharType="begin"/>
      </w:r>
      <w:r w:rsidR="007C4D8D" w:rsidRPr="004068F6">
        <w:rPr>
          <w:rFonts w:cs="Arial"/>
          <w:spacing w:val="-3"/>
        </w:rPr>
        <w:instrText xml:space="preserve"> REF _Ref145062427 \h  \* MERGEFORMAT </w:instrText>
      </w:r>
      <w:r w:rsidR="007C4D8D" w:rsidRPr="004068F6">
        <w:rPr>
          <w:rFonts w:cs="Arial"/>
          <w:spacing w:val="-3"/>
        </w:rPr>
      </w:r>
      <w:r w:rsidR="007C4D8D" w:rsidRPr="004068F6">
        <w:rPr>
          <w:rFonts w:cs="Arial"/>
          <w:spacing w:val="-3"/>
        </w:rPr>
        <w:fldChar w:fldCharType="separate"/>
      </w:r>
      <w:r w:rsidR="009C4A81" w:rsidRPr="004068F6">
        <w:t xml:space="preserve">Tabla </w:t>
      </w:r>
      <w:r w:rsidR="009C4A81">
        <w:t>20</w:t>
      </w:r>
      <w:r w:rsidR="007C4D8D" w:rsidRPr="004068F6">
        <w:rPr>
          <w:rFonts w:cs="Arial"/>
          <w:spacing w:val="-3"/>
        </w:rPr>
        <w:fldChar w:fldCharType="end"/>
      </w:r>
      <w:r w:rsidRPr="004068F6">
        <w:rPr>
          <w:rFonts w:cs="Arial"/>
          <w:spacing w:val="-3"/>
        </w:rPr>
        <w:t xml:space="preserve">. En caso de no lograr la categoría recomendada (por ejemplo, por falta de </w:t>
      </w:r>
      <w:r w:rsidRPr="004068F6">
        <w:rPr>
          <w:rFonts w:cs="Arial"/>
          <w:spacing w:val="-3"/>
        </w:rPr>
        <w:lastRenderedPageBreak/>
        <w:t xml:space="preserve">calidad en la información hidrológica), se debe </w:t>
      </w:r>
      <w:r w:rsidR="00A85CB1" w:rsidRPr="004068F6">
        <w:rPr>
          <w:rFonts w:cs="Arial"/>
          <w:spacing w:val="-3"/>
        </w:rPr>
        <w:t xml:space="preserve">suministrar </w:t>
      </w:r>
      <w:r w:rsidRPr="004068F6">
        <w:rPr>
          <w:rFonts w:cs="Arial"/>
          <w:spacing w:val="-3"/>
        </w:rPr>
        <w:t>la justificación técnica correspondiente.</w:t>
      </w:r>
    </w:p>
    <w:p w14:paraId="685A2FFB" w14:textId="77777777" w:rsidR="00FC4E99" w:rsidRPr="004068F6" w:rsidRDefault="00FC4E99" w:rsidP="00FC4E99">
      <w:pPr>
        <w:tabs>
          <w:tab w:val="left" w:pos="-2268"/>
        </w:tabs>
        <w:suppressAutoHyphens/>
        <w:rPr>
          <w:rFonts w:cs="Arial"/>
          <w:spacing w:val="-3"/>
        </w:rPr>
      </w:pPr>
    </w:p>
    <w:p w14:paraId="66EF902A" w14:textId="71A24F58" w:rsidR="00FC4E99" w:rsidRPr="004068F6" w:rsidRDefault="00FC4E99" w:rsidP="00FC4E99">
      <w:pPr>
        <w:pStyle w:val="Descripcin"/>
        <w:jc w:val="center"/>
        <w:rPr>
          <w:rFonts w:cs="Arial"/>
          <w:spacing w:val="-3"/>
        </w:rPr>
      </w:pPr>
      <w:bookmarkStart w:id="2690" w:name="_Ref145062422"/>
      <w:r w:rsidRPr="004068F6">
        <w:t xml:space="preserve">Tabla </w:t>
      </w:r>
      <w:fldSimple w:instr=" SEQ Tabla \* ARABIC ">
        <w:r w:rsidR="009C4A81">
          <w:rPr>
            <w:noProof/>
          </w:rPr>
          <w:t>19</w:t>
        </w:r>
      </w:fldSimple>
      <w:bookmarkEnd w:id="2690"/>
      <w:r w:rsidRPr="004068F6">
        <w:rPr>
          <w:rFonts w:cs="Arial"/>
          <w:spacing w:val="-3"/>
        </w:rPr>
        <w:t>.</w:t>
      </w:r>
      <w:r w:rsidRPr="004068F6">
        <w:rPr>
          <w:rFonts w:cs="Arial"/>
          <w:b w:val="0"/>
          <w:bCs w:val="0"/>
          <w:spacing w:val="-3"/>
        </w:rPr>
        <w:t xml:space="preserve"> Coeficiente de correlación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60"/>
        <w:gridCol w:w="2668"/>
      </w:tblGrid>
      <w:tr w:rsidR="00FC4E99" w:rsidRPr="004068F6" w14:paraId="16134E59" w14:textId="77777777" w:rsidTr="00CF79AD">
        <w:trPr>
          <w:trHeight w:hRule="exact" w:val="567"/>
          <w:tblHeader/>
          <w:jc w:val="center"/>
        </w:trPr>
        <w:tc>
          <w:tcPr>
            <w:tcW w:w="2860" w:type="dxa"/>
            <w:tcMar>
              <w:top w:w="40" w:type="dxa"/>
              <w:left w:w="40" w:type="dxa"/>
              <w:bottom w:w="40" w:type="dxa"/>
              <w:right w:w="40" w:type="dxa"/>
            </w:tcMar>
            <w:vAlign w:val="center"/>
          </w:tcPr>
          <w:p w14:paraId="0F7A8F40" w14:textId="77777777" w:rsidR="00FC4E99" w:rsidRPr="00127BD4" w:rsidRDefault="00FC4E99">
            <w:pPr>
              <w:tabs>
                <w:tab w:val="left" w:pos="-2268"/>
              </w:tabs>
              <w:suppressAutoHyphens/>
              <w:jc w:val="center"/>
              <w:rPr>
                <w:rFonts w:cs="Arial"/>
                <w:b/>
                <w:bCs/>
                <w:spacing w:val="-3"/>
                <w:sz w:val="22"/>
                <w:szCs w:val="22"/>
              </w:rPr>
            </w:pPr>
            <w:r w:rsidRPr="00127BD4">
              <w:rPr>
                <w:rFonts w:cs="Arial"/>
                <w:b/>
                <w:bCs/>
                <w:spacing w:val="-3"/>
                <w:sz w:val="22"/>
                <w:szCs w:val="22"/>
              </w:rPr>
              <w:t>Coeficiente de correlación</w:t>
            </w:r>
          </w:p>
        </w:tc>
        <w:tc>
          <w:tcPr>
            <w:tcW w:w="2668" w:type="dxa"/>
            <w:tcMar>
              <w:top w:w="40" w:type="dxa"/>
              <w:left w:w="40" w:type="dxa"/>
              <w:bottom w:w="40" w:type="dxa"/>
              <w:right w:w="40" w:type="dxa"/>
            </w:tcMar>
            <w:vAlign w:val="center"/>
          </w:tcPr>
          <w:p w14:paraId="6BD6449E" w14:textId="77777777" w:rsidR="00FC4E99" w:rsidRPr="00127BD4" w:rsidRDefault="00FC4E99">
            <w:pPr>
              <w:tabs>
                <w:tab w:val="left" w:pos="-2268"/>
              </w:tabs>
              <w:suppressAutoHyphens/>
              <w:jc w:val="center"/>
              <w:rPr>
                <w:rFonts w:cs="Arial"/>
                <w:b/>
                <w:bCs/>
                <w:spacing w:val="-3"/>
                <w:sz w:val="22"/>
                <w:szCs w:val="22"/>
              </w:rPr>
            </w:pPr>
            <w:r w:rsidRPr="00127BD4">
              <w:rPr>
                <w:rFonts w:cs="Arial"/>
                <w:b/>
                <w:bCs/>
                <w:spacing w:val="-3"/>
                <w:sz w:val="22"/>
                <w:szCs w:val="22"/>
              </w:rPr>
              <w:t>Categoría</w:t>
            </w:r>
          </w:p>
        </w:tc>
      </w:tr>
      <w:tr w:rsidR="00FC4E99" w:rsidRPr="004068F6" w14:paraId="1FACC36E" w14:textId="77777777" w:rsidTr="00CF79AD">
        <w:trPr>
          <w:trHeight w:hRule="exact" w:val="397"/>
          <w:jc w:val="center"/>
        </w:trPr>
        <w:tc>
          <w:tcPr>
            <w:tcW w:w="2860" w:type="dxa"/>
            <w:tcMar>
              <w:top w:w="40" w:type="dxa"/>
              <w:left w:w="40" w:type="dxa"/>
              <w:bottom w:w="40" w:type="dxa"/>
              <w:right w:w="40" w:type="dxa"/>
            </w:tcMar>
            <w:vAlign w:val="center"/>
          </w:tcPr>
          <w:p w14:paraId="7DB16400"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R &lt; 0,5</w:t>
            </w:r>
          </w:p>
        </w:tc>
        <w:tc>
          <w:tcPr>
            <w:tcW w:w="2668" w:type="dxa"/>
            <w:tcMar>
              <w:top w:w="40" w:type="dxa"/>
              <w:left w:w="40" w:type="dxa"/>
              <w:bottom w:w="40" w:type="dxa"/>
              <w:right w:w="40" w:type="dxa"/>
            </w:tcMar>
            <w:vAlign w:val="center"/>
          </w:tcPr>
          <w:p w14:paraId="195652A2"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Malo</w:t>
            </w:r>
          </w:p>
        </w:tc>
      </w:tr>
      <w:tr w:rsidR="00FC4E99" w:rsidRPr="004068F6" w14:paraId="0796EED0" w14:textId="77777777" w:rsidTr="00CF79AD">
        <w:trPr>
          <w:trHeight w:hRule="exact" w:val="397"/>
          <w:jc w:val="center"/>
        </w:trPr>
        <w:tc>
          <w:tcPr>
            <w:tcW w:w="2860" w:type="dxa"/>
            <w:tcMar>
              <w:top w:w="40" w:type="dxa"/>
              <w:left w:w="40" w:type="dxa"/>
              <w:bottom w:w="40" w:type="dxa"/>
              <w:right w:w="40" w:type="dxa"/>
            </w:tcMar>
            <w:vAlign w:val="center"/>
            <w:hideMark/>
          </w:tcPr>
          <w:p w14:paraId="41D21DBD"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0,5 ≤ R &lt; 0,7</w:t>
            </w:r>
          </w:p>
        </w:tc>
        <w:tc>
          <w:tcPr>
            <w:tcW w:w="2668" w:type="dxa"/>
            <w:tcMar>
              <w:top w:w="40" w:type="dxa"/>
              <w:left w:w="40" w:type="dxa"/>
              <w:bottom w:w="40" w:type="dxa"/>
              <w:right w:w="40" w:type="dxa"/>
            </w:tcMar>
            <w:vAlign w:val="center"/>
            <w:hideMark/>
          </w:tcPr>
          <w:p w14:paraId="34CBC024"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Regular</w:t>
            </w:r>
          </w:p>
        </w:tc>
      </w:tr>
      <w:tr w:rsidR="00FC4E99" w:rsidRPr="004068F6" w14:paraId="4DE17298" w14:textId="77777777" w:rsidTr="00CF79AD">
        <w:trPr>
          <w:trHeight w:hRule="exact" w:val="397"/>
          <w:jc w:val="center"/>
        </w:trPr>
        <w:tc>
          <w:tcPr>
            <w:tcW w:w="2860" w:type="dxa"/>
            <w:tcMar>
              <w:top w:w="40" w:type="dxa"/>
              <w:left w:w="40" w:type="dxa"/>
              <w:bottom w:w="40" w:type="dxa"/>
              <w:right w:w="40" w:type="dxa"/>
            </w:tcMar>
            <w:vAlign w:val="center"/>
            <w:hideMark/>
          </w:tcPr>
          <w:p w14:paraId="44544AD9"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0,7 ≤ R &lt; 0,8</w:t>
            </w:r>
          </w:p>
        </w:tc>
        <w:tc>
          <w:tcPr>
            <w:tcW w:w="2668" w:type="dxa"/>
            <w:tcMar>
              <w:top w:w="40" w:type="dxa"/>
              <w:left w:w="40" w:type="dxa"/>
              <w:bottom w:w="40" w:type="dxa"/>
              <w:right w:w="40" w:type="dxa"/>
            </w:tcMar>
            <w:vAlign w:val="center"/>
            <w:hideMark/>
          </w:tcPr>
          <w:p w14:paraId="70C843E4"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Bueno</w:t>
            </w:r>
          </w:p>
        </w:tc>
      </w:tr>
      <w:tr w:rsidR="00FC4E99" w:rsidRPr="004068F6" w14:paraId="5CA0E5E0" w14:textId="77777777" w:rsidTr="00CF79AD">
        <w:trPr>
          <w:trHeight w:hRule="exact" w:val="397"/>
          <w:jc w:val="center"/>
        </w:trPr>
        <w:tc>
          <w:tcPr>
            <w:tcW w:w="2860" w:type="dxa"/>
            <w:tcMar>
              <w:top w:w="40" w:type="dxa"/>
              <w:left w:w="40" w:type="dxa"/>
              <w:bottom w:w="40" w:type="dxa"/>
              <w:right w:w="40" w:type="dxa"/>
            </w:tcMar>
            <w:vAlign w:val="center"/>
            <w:hideMark/>
          </w:tcPr>
          <w:p w14:paraId="5CF6194B"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0,8 ≤ R &lt; 1,0</w:t>
            </w:r>
          </w:p>
        </w:tc>
        <w:tc>
          <w:tcPr>
            <w:tcW w:w="2668" w:type="dxa"/>
            <w:tcMar>
              <w:top w:w="40" w:type="dxa"/>
              <w:left w:w="40" w:type="dxa"/>
              <w:bottom w:w="40" w:type="dxa"/>
              <w:right w:w="40" w:type="dxa"/>
            </w:tcMar>
            <w:vAlign w:val="center"/>
            <w:hideMark/>
          </w:tcPr>
          <w:p w14:paraId="6835378C"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Excelente</w:t>
            </w:r>
          </w:p>
        </w:tc>
      </w:tr>
      <w:tr w:rsidR="00FC4E99" w:rsidRPr="004068F6" w14:paraId="2C5ADE1E" w14:textId="77777777" w:rsidTr="00CF79AD">
        <w:trPr>
          <w:trHeight w:hRule="exact" w:val="397"/>
          <w:jc w:val="center"/>
        </w:trPr>
        <w:tc>
          <w:tcPr>
            <w:tcW w:w="2860" w:type="dxa"/>
            <w:tcMar>
              <w:top w:w="40" w:type="dxa"/>
              <w:left w:w="40" w:type="dxa"/>
              <w:bottom w:w="40" w:type="dxa"/>
              <w:right w:w="40" w:type="dxa"/>
            </w:tcMar>
            <w:vAlign w:val="center"/>
            <w:hideMark/>
          </w:tcPr>
          <w:p w14:paraId="239FB16C"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R = 1,0</w:t>
            </w:r>
          </w:p>
        </w:tc>
        <w:tc>
          <w:tcPr>
            <w:tcW w:w="2668" w:type="dxa"/>
            <w:tcMar>
              <w:top w:w="40" w:type="dxa"/>
              <w:left w:w="40" w:type="dxa"/>
              <w:bottom w:w="40" w:type="dxa"/>
              <w:right w:w="40" w:type="dxa"/>
            </w:tcMar>
            <w:vAlign w:val="center"/>
            <w:hideMark/>
          </w:tcPr>
          <w:p w14:paraId="4066370E" w14:textId="77777777" w:rsidR="00FC4E99" w:rsidRPr="00127BD4" w:rsidRDefault="00FC4E99">
            <w:pPr>
              <w:tabs>
                <w:tab w:val="left" w:pos="-2268"/>
              </w:tabs>
              <w:suppressAutoHyphens/>
              <w:jc w:val="center"/>
              <w:rPr>
                <w:rFonts w:cs="Arial"/>
                <w:spacing w:val="-3"/>
                <w:sz w:val="22"/>
                <w:szCs w:val="22"/>
              </w:rPr>
            </w:pPr>
            <w:r w:rsidRPr="00127BD4">
              <w:rPr>
                <w:rFonts w:cs="Arial"/>
                <w:spacing w:val="-3"/>
                <w:sz w:val="22"/>
                <w:szCs w:val="22"/>
              </w:rPr>
              <w:t>Perfecto</w:t>
            </w:r>
          </w:p>
        </w:tc>
      </w:tr>
    </w:tbl>
    <w:p w14:paraId="3507EA0F" w14:textId="3F5F4D57" w:rsidR="00FC4E99" w:rsidRPr="00127BD4" w:rsidRDefault="00FC4E99" w:rsidP="00FC4E99">
      <w:pPr>
        <w:tabs>
          <w:tab w:val="left" w:pos="-2268"/>
        </w:tabs>
        <w:suppressAutoHyphens/>
        <w:jc w:val="center"/>
        <w:rPr>
          <w:rFonts w:cs="Arial"/>
          <w:spacing w:val="-3"/>
          <w:sz w:val="20"/>
          <w:szCs w:val="20"/>
        </w:rPr>
      </w:pPr>
      <w:r w:rsidRPr="00127BD4">
        <w:rPr>
          <w:rFonts w:cs="Arial"/>
          <w:b/>
          <w:bCs/>
          <w:spacing w:val="-3"/>
          <w:sz w:val="20"/>
          <w:szCs w:val="20"/>
        </w:rPr>
        <w:t>Fuente:</w:t>
      </w:r>
      <w:r w:rsidRPr="00127BD4">
        <w:rPr>
          <w:rFonts w:cs="Arial"/>
          <w:spacing w:val="-3"/>
          <w:sz w:val="20"/>
          <w:szCs w:val="20"/>
        </w:rPr>
        <w:t xml:space="preserve"> Molnar (2011).</w:t>
      </w:r>
    </w:p>
    <w:p w14:paraId="0BAB0E08" w14:textId="77777777" w:rsidR="00FC4E99" w:rsidRPr="00127BD4" w:rsidRDefault="00FC4E99" w:rsidP="00FC4E99">
      <w:pPr>
        <w:tabs>
          <w:tab w:val="left" w:pos="-2268"/>
        </w:tabs>
        <w:suppressAutoHyphens/>
        <w:rPr>
          <w:rFonts w:cs="Arial"/>
          <w:b/>
          <w:bCs/>
          <w:spacing w:val="-3"/>
        </w:rPr>
      </w:pPr>
    </w:p>
    <w:p w14:paraId="3C45EE72" w14:textId="2A174D65" w:rsidR="00FC4E99" w:rsidRPr="004068F6" w:rsidRDefault="00FC4E99" w:rsidP="00FC4E99">
      <w:pPr>
        <w:pStyle w:val="Descripcin"/>
        <w:jc w:val="center"/>
        <w:rPr>
          <w:rFonts w:cs="Arial"/>
          <w:spacing w:val="-3"/>
        </w:rPr>
      </w:pPr>
      <w:bookmarkStart w:id="2691" w:name="_Ref145062427"/>
      <w:r w:rsidRPr="004068F6">
        <w:t xml:space="preserve">Tabla </w:t>
      </w:r>
      <w:fldSimple w:instr=" SEQ Tabla \* ARABIC ">
        <w:r w:rsidR="009C4A81">
          <w:rPr>
            <w:noProof/>
          </w:rPr>
          <w:t>20</w:t>
        </w:r>
      </w:fldSimple>
      <w:bookmarkEnd w:id="2691"/>
      <w:r w:rsidRPr="004068F6">
        <w:rPr>
          <w:rFonts w:cs="Arial"/>
          <w:spacing w:val="-3"/>
        </w:rPr>
        <w:t>.</w:t>
      </w:r>
      <w:r w:rsidRPr="004068F6">
        <w:rPr>
          <w:rFonts w:cs="Arial"/>
          <w:b w:val="0"/>
          <w:bCs w:val="0"/>
          <w:spacing w:val="-3"/>
        </w:rPr>
        <w:t xml:space="preserve"> Nash-Sutcliffe</w:t>
      </w:r>
    </w:p>
    <w:tbl>
      <w:tblPr>
        <w:tblStyle w:val="Tablaconcuadrcula"/>
        <w:tblW w:w="0" w:type="auto"/>
        <w:jc w:val="center"/>
        <w:tblLook w:val="0600" w:firstRow="0" w:lastRow="0" w:firstColumn="0" w:lastColumn="0" w:noHBand="1" w:noVBand="1"/>
      </w:tblPr>
      <w:tblGrid>
        <w:gridCol w:w="2860"/>
        <w:gridCol w:w="2668"/>
      </w:tblGrid>
      <w:tr w:rsidR="00FC4E99" w:rsidRPr="004068F6" w14:paraId="680B73CC" w14:textId="77777777" w:rsidTr="00CF79AD">
        <w:trPr>
          <w:trHeight w:hRule="exact" w:val="567"/>
          <w:tblHeader/>
          <w:jc w:val="center"/>
        </w:trPr>
        <w:tc>
          <w:tcPr>
            <w:tcW w:w="2860" w:type="dxa"/>
            <w:vAlign w:val="center"/>
          </w:tcPr>
          <w:p w14:paraId="61D96554" w14:textId="77777777" w:rsidR="00FC4E99" w:rsidRPr="00127BD4" w:rsidRDefault="00FC4E99" w:rsidP="00CF79AD">
            <w:pPr>
              <w:tabs>
                <w:tab w:val="left" w:pos="-2268"/>
              </w:tabs>
              <w:suppressAutoHyphens/>
              <w:jc w:val="center"/>
              <w:rPr>
                <w:rFonts w:cs="Arial"/>
                <w:b/>
                <w:bCs/>
                <w:spacing w:val="-3"/>
                <w:sz w:val="22"/>
                <w:szCs w:val="22"/>
              </w:rPr>
            </w:pPr>
            <w:r w:rsidRPr="00127BD4">
              <w:rPr>
                <w:rFonts w:cs="Arial"/>
                <w:b/>
                <w:bCs/>
                <w:spacing w:val="-3"/>
                <w:sz w:val="22"/>
                <w:szCs w:val="22"/>
              </w:rPr>
              <w:t>Nash-Sutcliffe</w:t>
            </w:r>
          </w:p>
        </w:tc>
        <w:tc>
          <w:tcPr>
            <w:tcW w:w="2668" w:type="dxa"/>
            <w:vAlign w:val="center"/>
          </w:tcPr>
          <w:p w14:paraId="6C112027" w14:textId="77777777" w:rsidR="00FC4E99" w:rsidRPr="00127BD4" w:rsidRDefault="00FC4E99" w:rsidP="00CF79AD">
            <w:pPr>
              <w:tabs>
                <w:tab w:val="left" w:pos="-2268"/>
              </w:tabs>
              <w:suppressAutoHyphens/>
              <w:jc w:val="center"/>
              <w:rPr>
                <w:rFonts w:cs="Arial"/>
                <w:b/>
                <w:bCs/>
                <w:spacing w:val="-3"/>
                <w:sz w:val="22"/>
                <w:szCs w:val="22"/>
              </w:rPr>
            </w:pPr>
            <w:r w:rsidRPr="00127BD4">
              <w:rPr>
                <w:rFonts w:cs="Arial"/>
                <w:b/>
                <w:bCs/>
                <w:spacing w:val="-3"/>
                <w:sz w:val="22"/>
                <w:szCs w:val="22"/>
              </w:rPr>
              <w:t>Categoría</w:t>
            </w:r>
          </w:p>
        </w:tc>
      </w:tr>
      <w:tr w:rsidR="00FC4E99" w:rsidRPr="004068F6" w14:paraId="121B84DF" w14:textId="77777777" w:rsidTr="00CF79AD">
        <w:trPr>
          <w:trHeight w:hRule="exact" w:val="397"/>
          <w:jc w:val="center"/>
        </w:trPr>
        <w:tc>
          <w:tcPr>
            <w:tcW w:w="2860" w:type="dxa"/>
            <w:vAlign w:val="center"/>
          </w:tcPr>
          <w:p w14:paraId="1A664E3A"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N-S &lt; 0,2</w:t>
            </w:r>
          </w:p>
        </w:tc>
        <w:tc>
          <w:tcPr>
            <w:tcW w:w="2668" w:type="dxa"/>
            <w:vAlign w:val="center"/>
          </w:tcPr>
          <w:p w14:paraId="61D3B6DF"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Insuficiente</w:t>
            </w:r>
          </w:p>
        </w:tc>
      </w:tr>
      <w:tr w:rsidR="00FC4E99" w:rsidRPr="004068F6" w14:paraId="20F4B5EB" w14:textId="77777777" w:rsidTr="00CF79AD">
        <w:trPr>
          <w:trHeight w:hRule="exact" w:val="397"/>
          <w:jc w:val="center"/>
        </w:trPr>
        <w:tc>
          <w:tcPr>
            <w:tcW w:w="2860" w:type="dxa"/>
            <w:vAlign w:val="center"/>
            <w:hideMark/>
          </w:tcPr>
          <w:p w14:paraId="44C51C27"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0,2 ≤ N-S &lt; 0,4</w:t>
            </w:r>
          </w:p>
        </w:tc>
        <w:tc>
          <w:tcPr>
            <w:tcW w:w="2668" w:type="dxa"/>
            <w:vAlign w:val="center"/>
            <w:hideMark/>
          </w:tcPr>
          <w:p w14:paraId="58D5E666"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Satisfactorio</w:t>
            </w:r>
          </w:p>
        </w:tc>
      </w:tr>
      <w:tr w:rsidR="00FC4E99" w:rsidRPr="004068F6" w14:paraId="0ADF95A9" w14:textId="77777777" w:rsidTr="00CF79AD">
        <w:trPr>
          <w:trHeight w:hRule="exact" w:val="397"/>
          <w:jc w:val="center"/>
        </w:trPr>
        <w:tc>
          <w:tcPr>
            <w:tcW w:w="2860" w:type="dxa"/>
            <w:vAlign w:val="center"/>
            <w:hideMark/>
          </w:tcPr>
          <w:p w14:paraId="66F3AA32"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0,4 ≤ N-S &lt; 0,6</w:t>
            </w:r>
          </w:p>
        </w:tc>
        <w:tc>
          <w:tcPr>
            <w:tcW w:w="2668" w:type="dxa"/>
            <w:vAlign w:val="center"/>
            <w:hideMark/>
          </w:tcPr>
          <w:p w14:paraId="2CD5385A"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Bueno</w:t>
            </w:r>
          </w:p>
        </w:tc>
      </w:tr>
      <w:tr w:rsidR="00FC4E99" w:rsidRPr="004068F6" w14:paraId="4CD9A8F5" w14:textId="77777777" w:rsidTr="00CF79AD">
        <w:trPr>
          <w:trHeight w:hRule="exact" w:val="397"/>
          <w:jc w:val="center"/>
        </w:trPr>
        <w:tc>
          <w:tcPr>
            <w:tcW w:w="2860" w:type="dxa"/>
            <w:vAlign w:val="center"/>
            <w:hideMark/>
          </w:tcPr>
          <w:p w14:paraId="3E7D3A61"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0,6 ≤ N-S &lt; 0,8</w:t>
            </w:r>
          </w:p>
        </w:tc>
        <w:tc>
          <w:tcPr>
            <w:tcW w:w="2668" w:type="dxa"/>
            <w:vAlign w:val="center"/>
            <w:hideMark/>
          </w:tcPr>
          <w:p w14:paraId="653567BD"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Muy bueno</w:t>
            </w:r>
          </w:p>
        </w:tc>
      </w:tr>
      <w:tr w:rsidR="00FC4E99" w:rsidRPr="004068F6" w14:paraId="33BE3059" w14:textId="77777777" w:rsidTr="00CF79AD">
        <w:trPr>
          <w:trHeight w:hRule="exact" w:val="397"/>
          <w:jc w:val="center"/>
        </w:trPr>
        <w:tc>
          <w:tcPr>
            <w:tcW w:w="2860" w:type="dxa"/>
            <w:vAlign w:val="center"/>
            <w:hideMark/>
          </w:tcPr>
          <w:p w14:paraId="55339D0A"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N-S ≥ 0,8</w:t>
            </w:r>
          </w:p>
        </w:tc>
        <w:tc>
          <w:tcPr>
            <w:tcW w:w="2668" w:type="dxa"/>
            <w:vAlign w:val="center"/>
            <w:hideMark/>
          </w:tcPr>
          <w:p w14:paraId="381C60E6" w14:textId="77777777" w:rsidR="00FC4E99" w:rsidRPr="00127BD4" w:rsidRDefault="00FC4E99" w:rsidP="00CF79AD">
            <w:pPr>
              <w:tabs>
                <w:tab w:val="left" w:pos="-2268"/>
              </w:tabs>
              <w:suppressAutoHyphens/>
              <w:jc w:val="center"/>
              <w:rPr>
                <w:rFonts w:cs="Arial"/>
                <w:spacing w:val="-3"/>
                <w:sz w:val="22"/>
                <w:szCs w:val="22"/>
              </w:rPr>
            </w:pPr>
            <w:r w:rsidRPr="00127BD4">
              <w:rPr>
                <w:rFonts w:cs="Arial"/>
                <w:spacing w:val="-3"/>
                <w:sz w:val="22"/>
                <w:szCs w:val="22"/>
              </w:rPr>
              <w:t>Excelente</w:t>
            </w:r>
          </w:p>
        </w:tc>
      </w:tr>
    </w:tbl>
    <w:p w14:paraId="2251832D" w14:textId="4626C79D" w:rsidR="00FC4E99" w:rsidRPr="00127BD4" w:rsidRDefault="00FC4E99" w:rsidP="00FC4E99">
      <w:pPr>
        <w:tabs>
          <w:tab w:val="left" w:pos="-2268"/>
        </w:tabs>
        <w:suppressAutoHyphens/>
        <w:jc w:val="center"/>
        <w:rPr>
          <w:rFonts w:cs="Arial"/>
          <w:spacing w:val="-3"/>
          <w:sz w:val="20"/>
          <w:szCs w:val="20"/>
        </w:rPr>
      </w:pPr>
      <w:r w:rsidRPr="00127BD4">
        <w:rPr>
          <w:rFonts w:cs="Arial"/>
          <w:b/>
          <w:bCs/>
          <w:spacing w:val="-3"/>
          <w:sz w:val="20"/>
          <w:szCs w:val="20"/>
        </w:rPr>
        <w:t>Fuente:</w:t>
      </w:r>
      <w:r w:rsidRPr="00127BD4">
        <w:rPr>
          <w:rFonts w:cs="Arial"/>
          <w:spacing w:val="-3"/>
          <w:sz w:val="20"/>
          <w:szCs w:val="20"/>
        </w:rPr>
        <w:t xml:space="preserve"> Molnar (2011).</w:t>
      </w:r>
    </w:p>
    <w:p w14:paraId="18A2C2BC" w14:textId="77777777" w:rsidR="006E47E7" w:rsidRPr="004068F6" w:rsidRDefault="006E47E7">
      <w:pPr>
        <w:tabs>
          <w:tab w:val="left" w:pos="-2268"/>
        </w:tabs>
        <w:suppressAutoHyphens/>
        <w:rPr>
          <w:spacing w:val="-3"/>
        </w:rPr>
      </w:pPr>
    </w:p>
    <w:p w14:paraId="7BB9FCAF" w14:textId="50196C3B" w:rsidR="009D132B" w:rsidRPr="004068F6" w:rsidRDefault="009D132B">
      <w:pPr>
        <w:tabs>
          <w:tab w:val="left" w:pos="-2268"/>
        </w:tabs>
        <w:suppressAutoHyphens/>
        <w:rPr>
          <w:spacing w:val="-3"/>
        </w:rPr>
      </w:pPr>
      <w:r w:rsidRPr="004068F6">
        <w:rPr>
          <w:spacing w:val="-3"/>
        </w:rPr>
        <w:t xml:space="preserve">Construir, para las series de caudal observadas o generadas sintéticamente, las respectivas Curvas de Duración de Caudales </w:t>
      </w:r>
      <w:r w:rsidR="003471B3" w:rsidRPr="004068F6">
        <w:rPr>
          <w:spacing w:val="-3"/>
        </w:rPr>
        <w:t>estimad</w:t>
      </w:r>
      <w:r w:rsidR="00413AD3" w:rsidRPr="004068F6">
        <w:rPr>
          <w:spacing w:val="-3"/>
        </w:rPr>
        <w:t>a</w:t>
      </w:r>
      <w:r w:rsidR="003471B3" w:rsidRPr="004068F6">
        <w:rPr>
          <w:spacing w:val="-3"/>
        </w:rPr>
        <w:t>s con series diarias y presentad</w:t>
      </w:r>
      <w:r w:rsidR="00413AD3" w:rsidRPr="004068F6">
        <w:rPr>
          <w:spacing w:val="-3"/>
        </w:rPr>
        <w:t>a</w:t>
      </w:r>
      <w:r w:rsidR="003471B3" w:rsidRPr="004068F6">
        <w:rPr>
          <w:spacing w:val="-3"/>
        </w:rPr>
        <w:t xml:space="preserve">s a escala mensual </w:t>
      </w:r>
      <w:r w:rsidRPr="004068F6">
        <w:rPr>
          <w:spacing w:val="-3"/>
        </w:rPr>
        <w:t>en cada uno de los puntos susceptibles de intervención por captación, vertimiento u ocupación de cauce. Igualmente, se debe presentar un resumen gráfico de las series diarias, mensuales y anuales de caudal utilizando diagramas de cajas y bigotes (boxplots), en donde se indiquen los valores máximos, medios y mínimos, y los cuartiles.</w:t>
      </w:r>
      <w:r w:rsidRPr="004068F6">
        <w:rPr>
          <w:rFonts w:cs="Arial"/>
          <w:spacing w:val="-3"/>
        </w:rPr>
        <w:t xml:space="preserve"> Estimar la oferta hídrica superficial total y disponible para las unidades hidrográficas de interés, y cuando aplique, para los puntos de captación de este.</w:t>
      </w:r>
    </w:p>
    <w:p w14:paraId="291FB273" w14:textId="77777777" w:rsidR="009D132B" w:rsidRPr="004068F6" w:rsidRDefault="009D132B">
      <w:pPr>
        <w:tabs>
          <w:tab w:val="left" w:pos="-2268"/>
        </w:tabs>
        <w:suppressAutoHyphens/>
        <w:rPr>
          <w:spacing w:val="-3"/>
        </w:rPr>
      </w:pPr>
    </w:p>
    <w:p w14:paraId="400DA1F2" w14:textId="6F3EFB6A" w:rsidR="009D132B" w:rsidRPr="004068F6" w:rsidRDefault="009D132B">
      <w:pPr>
        <w:tabs>
          <w:tab w:val="left" w:pos="-2268"/>
        </w:tabs>
        <w:suppressAutoHyphens/>
        <w:rPr>
          <w:spacing w:val="-3"/>
        </w:rPr>
      </w:pPr>
      <w:r w:rsidRPr="004068F6">
        <w:rPr>
          <w:spacing w:val="-3"/>
        </w:rPr>
        <w:t xml:space="preserve">Estimar el índice de aridez (IA) y el índice de retención y regulación hídrica (IRH) para las unidades de análisis hidrológico definidas, de acuerdo con la propuesta metodológica del </w:t>
      </w:r>
      <w:r w:rsidR="00A92356" w:rsidRPr="004068F6">
        <w:rPr>
          <w:spacing w:val="-3"/>
        </w:rPr>
        <w:t>Ideam</w:t>
      </w:r>
      <w:r w:rsidRPr="004068F6">
        <w:rPr>
          <w:spacing w:val="-3"/>
        </w:rPr>
        <w:t xml:space="preserve"> para la escala de trabajo (Evaluaciones Regionales del Agua), respecto a su estimación y representación espacial.</w:t>
      </w:r>
    </w:p>
    <w:p w14:paraId="660A9548" w14:textId="77777777" w:rsidR="009D132B" w:rsidRPr="004068F6" w:rsidRDefault="009D132B">
      <w:pPr>
        <w:tabs>
          <w:tab w:val="left" w:pos="-2268"/>
        </w:tabs>
        <w:suppressAutoHyphens/>
        <w:rPr>
          <w:spacing w:val="-3"/>
        </w:rPr>
      </w:pPr>
    </w:p>
    <w:p w14:paraId="475DA846" w14:textId="65105DB2" w:rsidR="00B55470" w:rsidRPr="004068F6" w:rsidRDefault="00A85D07" w:rsidP="00B55470">
      <w:pPr>
        <w:tabs>
          <w:tab w:val="left" w:pos="-2268"/>
        </w:tabs>
        <w:suppressAutoHyphens/>
        <w:rPr>
          <w:rFonts w:cs="Arial"/>
          <w:spacing w:val="-3"/>
        </w:rPr>
      </w:pPr>
      <w:r w:rsidRPr="004068F6">
        <w:rPr>
          <w:rFonts w:cs="Arial"/>
          <w:spacing w:val="-3"/>
        </w:rPr>
        <w:t>A partir de la información primaria y secundaria disponible, en caso que la autoridad ambiental no haya realizado la determinación de la oferta hídrica disponible para cada cuerpo afectado, se debe estimar la oferta hídrica superficial total y disponible para cada mes para los cuerpos de agua con intervención</w:t>
      </w:r>
      <w:r w:rsidR="00457FE3" w:rsidRPr="004068F6">
        <w:rPr>
          <w:rFonts w:cs="Arial"/>
          <w:spacing w:val="-3"/>
        </w:rPr>
        <w:t>;</w:t>
      </w:r>
      <w:r w:rsidRPr="004068F6">
        <w:rPr>
          <w:rFonts w:cs="Arial"/>
          <w:spacing w:val="-3"/>
        </w:rPr>
        <w:t xml:space="preserve"> de igual forma, </w:t>
      </w:r>
      <w:r w:rsidR="00457FE3" w:rsidRPr="004068F6">
        <w:rPr>
          <w:rFonts w:cs="Arial"/>
          <w:spacing w:val="-3"/>
        </w:rPr>
        <w:t xml:space="preserve">se debe </w:t>
      </w:r>
      <w:r w:rsidRPr="004068F6">
        <w:rPr>
          <w:rFonts w:cs="Arial"/>
          <w:spacing w:val="-3"/>
        </w:rPr>
        <w:t xml:space="preserve">estimar la oferta hídrica superficial total y disponible para los cuerpos de agua no intervenidos permanentes e intermitentes que se encuentran identificados a una escala mínimo 1:10000 </w:t>
      </w:r>
      <w:r w:rsidR="00AE07A2" w:rsidRPr="004068F6">
        <w:rPr>
          <w:rFonts w:cs="Arial"/>
          <w:spacing w:val="-3"/>
        </w:rPr>
        <w:t xml:space="preserve">y señalar </w:t>
      </w:r>
      <w:r w:rsidRPr="004068F6">
        <w:rPr>
          <w:rFonts w:cs="Arial"/>
          <w:spacing w:val="-3"/>
        </w:rPr>
        <w:t xml:space="preserve">características básicas de </w:t>
      </w:r>
      <w:r w:rsidR="006D7CA8" w:rsidRPr="004068F6">
        <w:rPr>
          <w:rFonts w:cs="Arial"/>
          <w:spacing w:val="-3"/>
        </w:rPr>
        <w:t>é</w:t>
      </w:r>
      <w:r w:rsidRPr="004068F6">
        <w:rPr>
          <w:rFonts w:cs="Arial"/>
          <w:spacing w:val="-3"/>
        </w:rPr>
        <w:t xml:space="preserve">stos (estado, usuarios, infraestructura, </w:t>
      </w:r>
      <w:r w:rsidR="006D7CA8" w:rsidRPr="004068F6">
        <w:rPr>
          <w:rFonts w:cs="Arial"/>
          <w:spacing w:val="-3"/>
        </w:rPr>
        <w:t>entre otras</w:t>
      </w:r>
      <w:r w:rsidRPr="004068F6">
        <w:rPr>
          <w:rFonts w:cs="Arial"/>
          <w:spacing w:val="-3"/>
        </w:rPr>
        <w:t xml:space="preserve">). Lo anterior teniendo en cuenta que la oferta hídrica disponible es la oferta hídrica total menos el caudal ambiental y que el caudal ambiental estimado en el escenario sin proyecto es aquel que se debe conservar puesto que permite cumplir con la definición de la normativa ambiental vigente </w:t>
      </w:r>
      <w:r w:rsidRPr="00127BD4">
        <w:rPr>
          <w:rFonts w:cs="Arial"/>
          <w:spacing w:val="-3"/>
        </w:rPr>
        <w:t xml:space="preserve">en términos de calidad y régimen hidrológico requerido para mantener la funcionalidad y resiliencia de los ecosistemas acuáticos continentales y </w:t>
      </w:r>
      <w:r w:rsidR="00CB7C61" w:rsidRPr="00127BD4">
        <w:rPr>
          <w:rFonts w:cs="Arial"/>
          <w:spacing w:val="-3"/>
        </w:rPr>
        <w:t xml:space="preserve">la </w:t>
      </w:r>
      <w:r w:rsidRPr="00127BD4">
        <w:rPr>
          <w:rFonts w:cs="Arial"/>
          <w:spacing w:val="-3"/>
        </w:rPr>
        <w:t>provisión de servicios ecosistémicos</w:t>
      </w:r>
      <w:r w:rsidRPr="004068F6">
        <w:rPr>
          <w:rFonts w:cs="Arial"/>
          <w:spacing w:val="-3"/>
        </w:rPr>
        <w:t>.</w:t>
      </w:r>
    </w:p>
    <w:p w14:paraId="6F0D6C27" w14:textId="77777777" w:rsidR="00B55470" w:rsidRPr="004068F6" w:rsidRDefault="00B55470" w:rsidP="00B55470">
      <w:pPr>
        <w:tabs>
          <w:tab w:val="left" w:pos="-2268"/>
        </w:tabs>
        <w:suppressAutoHyphens/>
        <w:rPr>
          <w:rFonts w:cs="Arial"/>
          <w:spacing w:val="-3"/>
        </w:rPr>
      </w:pPr>
    </w:p>
    <w:p w14:paraId="70FB157E" w14:textId="3FE7732B" w:rsidR="00B55470" w:rsidRPr="004068F6" w:rsidRDefault="00B55470" w:rsidP="00B55470">
      <w:pPr>
        <w:tabs>
          <w:tab w:val="left" w:pos="-2268"/>
        </w:tabs>
        <w:suppressAutoHyphens/>
        <w:rPr>
          <w:rFonts w:cs="Arial"/>
          <w:spacing w:val="-3"/>
        </w:rPr>
      </w:pPr>
      <w:r w:rsidRPr="004068F6">
        <w:rPr>
          <w:rFonts w:cs="Arial"/>
          <w:spacing w:val="-3"/>
        </w:rPr>
        <w:t>Estimar el caudal ambiental</w:t>
      </w:r>
      <w:r w:rsidRPr="004068F6">
        <w:rPr>
          <w:rFonts w:cs="Arial"/>
          <w:spacing w:val="-3"/>
          <w:vertAlign w:val="superscript"/>
        </w:rPr>
        <w:footnoteReference w:id="136"/>
      </w:r>
      <w:r w:rsidRPr="004068F6">
        <w:rPr>
          <w:rFonts w:cs="Arial"/>
          <w:spacing w:val="-3"/>
        </w:rPr>
        <w:t xml:space="preserve"> para el cuerpo de agua principal con intervención, en las unidades hidrográficas de interés, en sitios estratégicos que sean de interés por intervención o posible afectación y en cada uno de los puntos susceptibles de intervención por captación o vertimiento en aguas superficiales a escala mensual</w:t>
      </w:r>
      <w:r w:rsidR="00607E6E" w:rsidRPr="004068F6">
        <w:rPr>
          <w:rFonts w:cs="Arial"/>
          <w:spacing w:val="-3"/>
        </w:rPr>
        <w:t xml:space="preserve"> con datos diarios</w:t>
      </w:r>
      <w:r w:rsidRPr="004068F6">
        <w:rPr>
          <w:rFonts w:cs="Arial"/>
          <w:spacing w:val="-3"/>
        </w:rPr>
        <w:t>, en caso de estar definidos. Se debe implementar una metodología o conjunto de métodos técnicamente válidos que describan el régimen.</w:t>
      </w:r>
    </w:p>
    <w:p w14:paraId="6B747064" w14:textId="77777777" w:rsidR="00B55470" w:rsidRPr="004068F6" w:rsidRDefault="00B55470" w:rsidP="00B55470">
      <w:pPr>
        <w:tabs>
          <w:tab w:val="left" w:pos="-2268"/>
        </w:tabs>
        <w:suppressAutoHyphens/>
        <w:rPr>
          <w:rFonts w:cs="Arial"/>
          <w:spacing w:val="-3"/>
        </w:rPr>
      </w:pPr>
    </w:p>
    <w:p w14:paraId="75519853" w14:textId="76AD4EEA" w:rsidR="00BB0D8D" w:rsidRPr="004068F6" w:rsidRDefault="009B7858" w:rsidP="00B55470">
      <w:pPr>
        <w:tabs>
          <w:tab w:val="left" w:pos="-2268"/>
        </w:tabs>
        <w:suppressAutoHyphens/>
        <w:rPr>
          <w:rFonts w:cs="Arial"/>
          <w:spacing w:val="-3"/>
        </w:rPr>
      </w:pPr>
      <w:r w:rsidRPr="004068F6">
        <w:rPr>
          <w:rFonts w:cs="Arial"/>
          <w:spacing w:val="-3"/>
        </w:rPr>
        <w:t xml:space="preserve">Para </w:t>
      </w:r>
      <w:r w:rsidR="0070759E" w:rsidRPr="004068F6">
        <w:rPr>
          <w:rFonts w:cs="Arial"/>
          <w:spacing w:val="-3"/>
        </w:rPr>
        <w:t>estimar</w:t>
      </w:r>
      <w:r w:rsidRPr="004068F6">
        <w:rPr>
          <w:rFonts w:cs="Arial"/>
          <w:spacing w:val="-3"/>
        </w:rPr>
        <w:t xml:space="preserve"> el caudal ambiental, a</w:t>
      </w:r>
      <w:r w:rsidR="00BB0D8D" w:rsidRPr="004068F6">
        <w:rPr>
          <w:rFonts w:cs="Arial"/>
          <w:spacing w:val="-3"/>
        </w:rPr>
        <w:t xml:space="preserve">corde a las particularidades de territorio y la heterogeneidad morfológica en los cuerpos de agua, es posible emplear métodos estimativos o estadísticos, tales como los descritos en la Resolución 2130 de 2019, Gopal (2016), Poff et al. (2017), ANLA (2013), UNAL (2014), </w:t>
      </w:r>
      <w:r w:rsidR="00292570" w:rsidRPr="004068F6">
        <w:rPr>
          <w:rFonts w:cs="Arial"/>
          <w:spacing w:val="-3"/>
        </w:rPr>
        <w:t xml:space="preserve">los </w:t>
      </w:r>
      <w:r w:rsidR="00BB0D8D" w:rsidRPr="004068F6">
        <w:rPr>
          <w:rFonts w:cs="Arial"/>
          <w:spacing w:val="-3"/>
        </w:rPr>
        <w:t xml:space="preserve">estudios nacionales del agua y </w:t>
      </w:r>
      <w:r w:rsidR="00292570" w:rsidRPr="004068F6">
        <w:rPr>
          <w:rFonts w:cs="Arial"/>
          <w:spacing w:val="-3"/>
        </w:rPr>
        <w:t xml:space="preserve">en </w:t>
      </w:r>
      <w:r w:rsidR="00BB0D8D" w:rsidRPr="004068F6">
        <w:rPr>
          <w:rFonts w:cs="Arial"/>
          <w:spacing w:val="-3"/>
        </w:rPr>
        <w:t>Richter et al.</w:t>
      </w:r>
      <w:r w:rsidR="00292570" w:rsidRPr="004068F6">
        <w:rPr>
          <w:rFonts w:cs="Arial"/>
          <w:spacing w:val="-3"/>
        </w:rPr>
        <w:t xml:space="preserve"> </w:t>
      </w:r>
      <w:r w:rsidR="001406E6" w:rsidRPr="004068F6">
        <w:rPr>
          <w:rFonts w:cs="Arial"/>
          <w:spacing w:val="-3"/>
        </w:rPr>
        <w:t>(1</w:t>
      </w:r>
      <w:r w:rsidR="00BB0D8D" w:rsidRPr="004068F6">
        <w:rPr>
          <w:rFonts w:cs="Arial"/>
          <w:spacing w:val="-3"/>
        </w:rPr>
        <w:t>997).</w:t>
      </w:r>
    </w:p>
    <w:p w14:paraId="3ACA4359" w14:textId="77777777" w:rsidR="007365F9" w:rsidRPr="004068F6" w:rsidRDefault="007365F9" w:rsidP="00B55470">
      <w:pPr>
        <w:tabs>
          <w:tab w:val="left" w:pos="-2268"/>
        </w:tabs>
        <w:suppressAutoHyphens/>
        <w:rPr>
          <w:rFonts w:cs="Arial"/>
          <w:spacing w:val="-3"/>
        </w:rPr>
      </w:pPr>
    </w:p>
    <w:p w14:paraId="5E30B208" w14:textId="30D5DFC4" w:rsidR="00B55470" w:rsidRPr="004068F6" w:rsidRDefault="004F2902" w:rsidP="00B55470">
      <w:pPr>
        <w:tabs>
          <w:tab w:val="left" w:pos="-2268"/>
        </w:tabs>
        <w:suppressAutoHyphens/>
        <w:rPr>
          <w:rFonts w:cs="Arial"/>
          <w:spacing w:val="-3"/>
        </w:rPr>
      </w:pPr>
      <w:r w:rsidRPr="004068F6">
        <w:rPr>
          <w:rFonts w:cs="Arial"/>
          <w:spacing w:val="-3"/>
        </w:rPr>
        <w:t xml:space="preserve">También se puede </w:t>
      </w:r>
      <w:r w:rsidRPr="004068F6" w:rsidDel="00B55470">
        <w:rPr>
          <w:rFonts w:cs="Arial"/>
          <w:spacing w:val="-3"/>
        </w:rPr>
        <w:t>establecer y sustentar una metodología particular</w:t>
      </w:r>
      <w:r w:rsidRPr="004068F6">
        <w:rPr>
          <w:rFonts w:cs="Arial"/>
          <w:spacing w:val="-3"/>
        </w:rPr>
        <w:t xml:space="preserve">, siempre que se base en información disponible </w:t>
      </w:r>
      <w:r w:rsidR="00DF1B5C" w:rsidRPr="004068F6">
        <w:rPr>
          <w:rFonts w:cs="Arial"/>
          <w:spacing w:val="-3"/>
        </w:rPr>
        <w:t>(</w:t>
      </w:r>
      <w:r w:rsidRPr="004068F6">
        <w:rPr>
          <w:rFonts w:cs="Arial"/>
          <w:spacing w:val="-3"/>
        </w:rPr>
        <w:t>incluida la generada por autoridades o entidades encargadas de regular el recurso hídrico</w:t>
      </w:r>
      <w:r w:rsidR="00DF1B5C" w:rsidRPr="004068F6">
        <w:rPr>
          <w:rFonts w:cs="Arial"/>
          <w:spacing w:val="-3"/>
        </w:rPr>
        <w:t>)</w:t>
      </w:r>
      <w:r w:rsidRPr="004068F6">
        <w:rPr>
          <w:rFonts w:cs="Arial"/>
          <w:spacing w:val="-3"/>
        </w:rPr>
        <w:t xml:space="preserve"> y que su rigor técnico y metodológico permita caracterizar adecuadamente </w:t>
      </w:r>
      <w:r w:rsidRPr="004068F6" w:rsidDel="00B55470">
        <w:rPr>
          <w:rFonts w:cs="Arial"/>
          <w:spacing w:val="-3"/>
        </w:rPr>
        <w:t>el régimen hidrológico</w:t>
      </w:r>
      <w:r w:rsidRPr="004068F6">
        <w:rPr>
          <w:rFonts w:cs="Arial"/>
          <w:spacing w:val="-3"/>
        </w:rPr>
        <w:t xml:space="preserve"> mensual</w:t>
      </w:r>
      <w:r w:rsidRPr="004068F6" w:rsidDel="00B55470">
        <w:rPr>
          <w:rFonts w:cs="Arial"/>
          <w:spacing w:val="-3"/>
        </w:rPr>
        <w:t xml:space="preserve"> </w:t>
      </w:r>
      <w:r w:rsidR="00B55470" w:rsidRPr="004068F6">
        <w:rPr>
          <w:rFonts w:cs="Arial"/>
          <w:spacing w:val="-3"/>
        </w:rPr>
        <w:t>del tramo o longitud de los cuerpos de agua susceptibles de afectación</w:t>
      </w:r>
      <w:r w:rsidR="00B55470" w:rsidRPr="00127BD4">
        <w:rPr>
          <w:rStyle w:val="Refdenotaalpie"/>
          <w:rFonts w:cs="Arial"/>
          <w:spacing w:val="-3"/>
          <w:lang w:val="es-CO"/>
        </w:rPr>
        <w:footnoteReference w:id="137"/>
      </w:r>
      <w:r w:rsidR="00B55470" w:rsidRPr="004068F6">
        <w:rPr>
          <w:rFonts w:cs="Arial"/>
          <w:spacing w:val="-3"/>
        </w:rPr>
        <w:t>.</w:t>
      </w:r>
    </w:p>
    <w:p w14:paraId="2002E354" w14:textId="3DE418CC" w:rsidR="009D132B" w:rsidRPr="004068F6" w:rsidRDefault="009D132B">
      <w:pPr>
        <w:tabs>
          <w:tab w:val="left" w:pos="-2268"/>
        </w:tabs>
        <w:suppressAutoHyphens/>
        <w:rPr>
          <w:spacing w:val="-3"/>
        </w:rPr>
      </w:pPr>
    </w:p>
    <w:p w14:paraId="1CBA7318" w14:textId="763B1DB1" w:rsidR="004D5C00" w:rsidRDefault="00DD4BB2">
      <w:pPr>
        <w:tabs>
          <w:tab w:val="left" w:pos="-2268"/>
        </w:tabs>
        <w:suppressAutoHyphens/>
        <w:rPr>
          <w:spacing w:val="-3"/>
        </w:rPr>
      </w:pPr>
      <w:r w:rsidRPr="00127BD4">
        <w:rPr>
          <w:spacing w:val="-3"/>
        </w:rPr>
        <w:t xml:space="preserve">Cuando se caractericen </w:t>
      </w:r>
      <w:r w:rsidR="009D4332" w:rsidRPr="009049CF">
        <w:rPr>
          <w:spacing w:val="-3"/>
        </w:rPr>
        <w:t xml:space="preserve">servicios </w:t>
      </w:r>
      <w:r w:rsidR="000004D0" w:rsidRPr="00127BD4">
        <w:rPr>
          <w:spacing w:val="-3"/>
        </w:rPr>
        <w:t xml:space="preserve">ecosistémicos en los que los cuerpos de agua superficial constituyan </w:t>
      </w:r>
      <w:r w:rsidR="0010231F" w:rsidRPr="00127BD4">
        <w:rPr>
          <w:spacing w:val="-3"/>
        </w:rPr>
        <w:t xml:space="preserve">su </w:t>
      </w:r>
      <w:r w:rsidR="00B74A4D" w:rsidRPr="00127BD4">
        <w:rPr>
          <w:spacing w:val="-3"/>
        </w:rPr>
        <w:t>estructura prestadora</w:t>
      </w:r>
      <w:r w:rsidR="009D4332" w:rsidRPr="009049CF">
        <w:rPr>
          <w:spacing w:val="-3"/>
        </w:rPr>
        <w:t xml:space="preserve">, </w:t>
      </w:r>
      <w:r w:rsidR="000004D0" w:rsidRPr="00127BD4">
        <w:rPr>
          <w:spacing w:val="-3"/>
        </w:rPr>
        <w:t xml:space="preserve">la </w:t>
      </w:r>
      <w:r w:rsidR="009D4332" w:rsidRPr="009049CF">
        <w:rPr>
          <w:spacing w:val="-3"/>
        </w:rPr>
        <w:t xml:space="preserve">evaluación </w:t>
      </w:r>
      <w:r w:rsidR="000004D0" w:rsidRPr="00127BD4">
        <w:rPr>
          <w:spacing w:val="-3"/>
        </w:rPr>
        <w:t xml:space="preserve">de tales servicios </w:t>
      </w:r>
      <w:r w:rsidR="009D4332" w:rsidRPr="009049CF">
        <w:rPr>
          <w:spacing w:val="-3"/>
        </w:rPr>
        <w:t xml:space="preserve">debe </w:t>
      </w:r>
      <w:r w:rsidR="00F51918" w:rsidRPr="00127BD4">
        <w:rPr>
          <w:spacing w:val="-3"/>
        </w:rPr>
        <w:t xml:space="preserve">relacionar </w:t>
      </w:r>
      <w:r w:rsidR="00DC7EA7" w:rsidRPr="009049CF">
        <w:rPr>
          <w:spacing w:val="-3"/>
        </w:rPr>
        <w:t>mediante indicadores</w:t>
      </w:r>
      <w:r w:rsidR="003B3F19" w:rsidRPr="00127BD4">
        <w:rPr>
          <w:spacing w:val="-3"/>
        </w:rPr>
        <w:t>,</w:t>
      </w:r>
      <w:r w:rsidR="00DC7EA7" w:rsidRPr="009049CF">
        <w:rPr>
          <w:spacing w:val="-3"/>
        </w:rPr>
        <w:t xml:space="preserve"> </w:t>
      </w:r>
      <w:r w:rsidR="009D4332" w:rsidRPr="009049CF">
        <w:rPr>
          <w:spacing w:val="-3"/>
        </w:rPr>
        <w:t xml:space="preserve">los cambios en el régimen hidrológico con el </w:t>
      </w:r>
      <w:r w:rsidR="009D4332" w:rsidRPr="009049CF">
        <w:rPr>
          <w:spacing w:val="-3"/>
        </w:rPr>
        <w:lastRenderedPageBreak/>
        <w:t xml:space="preserve">funcionamiento de </w:t>
      </w:r>
      <w:r w:rsidR="00B940DA" w:rsidRPr="009049CF">
        <w:rPr>
          <w:spacing w:val="-3"/>
        </w:rPr>
        <w:t>l</w:t>
      </w:r>
      <w:r w:rsidR="009D4332" w:rsidRPr="009049CF">
        <w:rPr>
          <w:spacing w:val="-3"/>
        </w:rPr>
        <w:t xml:space="preserve">os ecosistemas y su capacidad para proveer servicios. </w:t>
      </w:r>
      <w:r w:rsidR="0067536E" w:rsidRPr="00127BD4">
        <w:rPr>
          <w:spacing w:val="-3"/>
        </w:rPr>
        <w:t xml:space="preserve">Así, se debe </w:t>
      </w:r>
      <w:r w:rsidR="009D4332" w:rsidRPr="009049CF">
        <w:rPr>
          <w:spacing w:val="-3"/>
        </w:rPr>
        <w:t>analizar cómo las modificaciones en el caudal afectan procesos ecológicos clave, como la dinámica de nutrientes, la estructura del hábitat, la conectividad ecológica</w:t>
      </w:r>
      <w:r w:rsidR="007F5030" w:rsidRPr="00127BD4">
        <w:rPr>
          <w:spacing w:val="-3"/>
        </w:rPr>
        <w:t>, los ciclos de vida de especies acuáticas y terrestres dependientes del agua</w:t>
      </w:r>
      <w:r w:rsidR="009D4332" w:rsidRPr="009049CF">
        <w:rPr>
          <w:spacing w:val="-3"/>
        </w:rPr>
        <w:t xml:space="preserve"> </w:t>
      </w:r>
      <w:r w:rsidR="00852939" w:rsidRPr="00127BD4">
        <w:rPr>
          <w:spacing w:val="-3"/>
        </w:rPr>
        <w:t>que</w:t>
      </w:r>
      <w:r w:rsidR="009D4332" w:rsidRPr="009049CF">
        <w:rPr>
          <w:spacing w:val="-3"/>
        </w:rPr>
        <w:t xml:space="preserve">, </w:t>
      </w:r>
      <w:r w:rsidR="00DC4D13" w:rsidRPr="00127BD4">
        <w:rPr>
          <w:spacing w:val="-3"/>
        </w:rPr>
        <w:t xml:space="preserve">pueden </w:t>
      </w:r>
      <w:r w:rsidR="00852939" w:rsidRPr="00127BD4">
        <w:rPr>
          <w:spacing w:val="-3"/>
        </w:rPr>
        <w:t>alter</w:t>
      </w:r>
      <w:r w:rsidR="00DC4D13" w:rsidRPr="00127BD4">
        <w:rPr>
          <w:spacing w:val="-3"/>
        </w:rPr>
        <w:t>ar</w:t>
      </w:r>
      <w:r w:rsidR="00852939" w:rsidRPr="00127BD4">
        <w:rPr>
          <w:spacing w:val="-3"/>
        </w:rPr>
        <w:t xml:space="preserve"> </w:t>
      </w:r>
      <w:r w:rsidR="009D4332" w:rsidRPr="009049CF">
        <w:rPr>
          <w:spacing w:val="-3"/>
        </w:rPr>
        <w:t>la provisión de servicios como la potabilización del agua, el mantenimiento de pesquerías, la recarga de acuíferos, la protección contra inundaciones y la disponibilidad de espacios para actividades recreativas y culturales</w:t>
      </w:r>
      <w:r w:rsidR="00E1672B" w:rsidRPr="00127BD4">
        <w:rPr>
          <w:spacing w:val="-3"/>
        </w:rPr>
        <w:t>, por ejemplo</w:t>
      </w:r>
      <w:r w:rsidR="009D4332" w:rsidRPr="009049CF">
        <w:rPr>
          <w:spacing w:val="-3"/>
        </w:rPr>
        <w:t>.</w:t>
      </w:r>
    </w:p>
    <w:p w14:paraId="2FE6921C" w14:textId="77777777" w:rsidR="004A56EE" w:rsidRPr="004068F6" w:rsidRDefault="004A56EE">
      <w:pPr>
        <w:tabs>
          <w:tab w:val="left" w:pos="-2268"/>
        </w:tabs>
        <w:suppressAutoHyphens/>
        <w:rPr>
          <w:spacing w:val="-3"/>
        </w:rPr>
      </w:pPr>
    </w:p>
    <w:p w14:paraId="29D7E183" w14:textId="77777777" w:rsidR="009D132B" w:rsidRPr="004068F6" w:rsidRDefault="009D132B" w:rsidP="009420F5">
      <w:pPr>
        <w:pStyle w:val="Ttulo4"/>
        <w:tabs>
          <w:tab w:val="clear" w:pos="1844"/>
          <w:tab w:val="num" w:pos="1134"/>
        </w:tabs>
        <w:ind w:left="0"/>
        <w:rPr>
          <w:lang w:val="es-CO"/>
        </w:rPr>
      </w:pPr>
      <w:bookmarkStart w:id="2692" w:name="_Ref508262271"/>
      <w:r w:rsidRPr="004068F6">
        <w:rPr>
          <w:lang w:val="es-CO"/>
        </w:rPr>
        <w:t>Clima</w:t>
      </w:r>
    </w:p>
    <w:p w14:paraId="59F329D1" w14:textId="77777777" w:rsidR="009D132B" w:rsidRPr="004068F6" w:rsidRDefault="009D132B" w:rsidP="009D132B">
      <w:pPr>
        <w:rPr>
          <w:rFonts w:cs="Arial"/>
        </w:rPr>
      </w:pPr>
    </w:p>
    <w:p w14:paraId="60981EDA" w14:textId="711EA606" w:rsidR="009D132B" w:rsidRPr="004068F6" w:rsidRDefault="009D132B">
      <w:pPr>
        <w:numPr>
          <w:ilvl w:val="12"/>
          <w:numId w:val="0"/>
        </w:numPr>
        <w:tabs>
          <w:tab w:val="left" w:pos="-2268"/>
        </w:tabs>
        <w:suppressAutoHyphens/>
        <w:rPr>
          <w:spacing w:val="-3"/>
        </w:rPr>
      </w:pPr>
      <w:r w:rsidRPr="004068F6">
        <w:rPr>
          <w:rFonts w:cs="Arial"/>
          <w:spacing w:val="-3"/>
        </w:rPr>
        <w:t>Describir y analizar las condiciones meteorológicas mensuales multianuales a nivel regional representativas</w:t>
      </w:r>
      <w:r w:rsidR="0097158D" w:rsidRPr="004068F6">
        <w:rPr>
          <w:rFonts w:cs="Arial"/>
          <w:spacing w:val="-3"/>
        </w:rPr>
        <w:t>, contemplando precipitación media anual y mensual, temperatura media, máxima y mínima mensual y anual, velocidad y dirección del viento y otras estimadas a partir de estas variables como la evapotranspiración potencial y real anual y mensual</w:t>
      </w:r>
      <w:r w:rsidRPr="004068F6">
        <w:rPr>
          <w:rFonts w:cs="Arial"/>
          <w:spacing w:val="-3"/>
        </w:rPr>
        <w:t>, durante un período mínimo de quince (15) años con el fin de incluir en los análisis los fenómenos de variabilidad climática (</w:t>
      </w:r>
      <w:r w:rsidR="00041844" w:rsidRPr="004068F6">
        <w:rPr>
          <w:rFonts w:cs="Arial"/>
          <w:spacing w:val="-3"/>
        </w:rPr>
        <w:t>p. ej.</w:t>
      </w:r>
      <w:r w:rsidRPr="004068F6">
        <w:rPr>
          <w:rFonts w:cs="Arial"/>
          <w:spacing w:val="-3"/>
        </w:rPr>
        <w:t xml:space="preserve"> Niña y Niño), con base en información de las estaciones meteorológicas existentes de entidades públicas en la región avaladas por el </w:t>
      </w:r>
      <w:r w:rsidR="00A92356" w:rsidRPr="004068F6">
        <w:rPr>
          <w:rFonts w:cs="Arial"/>
          <w:spacing w:val="-3"/>
        </w:rPr>
        <w:t>Ideam</w:t>
      </w:r>
      <w:r w:rsidRPr="004068F6">
        <w:rPr>
          <w:rFonts w:cs="Arial"/>
          <w:spacing w:val="-3"/>
        </w:rPr>
        <w:t>, las cuales deben estar debidamente georreferenciadas</w:t>
      </w:r>
      <w:r w:rsidRPr="004068F6">
        <w:rPr>
          <w:spacing w:val="-3"/>
        </w:rPr>
        <w:t>.</w:t>
      </w:r>
    </w:p>
    <w:p w14:paraId="3834D4FF" w14:textId="77777777" w:rsidR="009D132B" w:rsidRPr="004068F6" w:rsidRDefault="009D132B" w:rsidP="009D132B">
      <w:pPr>
        <w:rPr>
          <w:rFonts w:cs="Arial"/>
          <w:spacing w:val="-3"/>
        </w:rPr>
      </w:pPr>
    </w:p>
    <w:p w14:paraId="17309671" w14:textId="1306CC2F" w:rsidR="009D132B" w:rsidRPr="004068F6" w:rsidRDefault="009D132B" w:rsidP="009D132B">
      <w:pPr>
        <w:numPr>
          <w:ilvl w:val="12"/>
          <w:numId w:val="0"/>
        </w:numPr>
        <w:tabs>
          <w:tab w:val="left" w:pos="-2268"/>
        </w:tabs>
        <w:suppressAutoHyphens/>
        <w:rPr>
          <w:rFonts w:cs="Arial"/>
          <w:spacing w:val="-3"/>
        </w:rPr>
      </w:pPr>
      <w:r w:rsidRPr="004068F6">
        <w:rPr>
          <w:rFonts w:cs="Arial"/>
          <w:spacing w:val="-3"/>
        </w:rPr>
        <w:t>Para el caso del análisis de vientos se deben incluir aspectos de dirección, velocidad y frecuencias con las que se presentan, elaborando la rosa de los vientos diurna y nocturna, así como una tabla de variabilidad en la velocidad de éstos, la cual tiene como finalidad indicar el comportamiento de los vientos en una jornada de 24 horas para un periodo específico (mensual o anual).</w:t>
      </w:r>
      <w:r w:rsidR="002B0EF7">
        <w:rPr>
          <w:rFonts w:cs="Arial"/>
          <w:spacing w:val="-3"/>
        </w:rPr>
        <w:t xml:space="preserve"> </w:t>
      </w:r>
      <w:r w:rsidRPr="004068F6">
        <w:rPr>
          <w:rFonts w:cs="Arial"/>
          <w:spacing w:val="-3"/>
        </w:rPr>
        <w:t>Los datos se deben presentar en tablas con sus respectivas unidades de medida.</w:t>
      </w:r>
    </w:p>
    <w:p w14:paraId="3E083069" w14:textId="77777777" w:rsidR="009D132B" w:rsidRPr="004068F6" w:rsidRDefault="009D132B" w:rsidP="009D132B">
      <w:pPr>
        <w:numPr>
          <w:ilvl w:val="12"/>
          <w:numId w:val="0"/>
        </w:numPr>
        <w:tabs>
          <w:tab w:val="left" w:pos="-2268"/>
        </w:tabs>
        <w:suppressAutoHyphens/>
        <w:rPr>
          <w:rFonts w:cs="Arial"/>
          <w:spacing w:val="-3"/>
        </w:rPr>
      </w:pPr>
    </w:p>
    <w:p w14:paraId="35A16688" w14:textId="2420B3D0" w:rsidR="00302B12" w:rsidRPr="004068F6" w:rsidRDefault="009D132B" w:rsidP="009D132B">
      <w:pPr>
        <w:numPr>
          <w:ilvl w:val="12"/>
          <w:numId w:val="0"/>
        </w:numPr>
        <w:tabs>
          <w:tab w:val="left" w:pos="-2268"/>
        </w:tabs>
        <w:suppressAutoHyphens/>
        <w:rPr>
          <w:rFonts w:cs="Arial"/>
          <w:spacing w:val="-3"/>
        </w:rPr>
      </w:pPr>
      <w:r w:rsidRPr="004068F6">
        <w:rPr>
          <w:rFonts w:cs="Arial"/>
          <w:spacing w:val="-3"/>
        </w:rPr>
        <w:t xml:space="preserve">Cuando no exista información disponible de estaciones meteorológicas avaladas por el </w:t>
      </w:r>
      <w:r w:rsidR="00A92356" w:rsidRPr="004068F6">
        <w:rPr>
          <w:rFonts w:cs="Arial"/>
          <w:spacing w:val="-3"/>
        </w:rPr>
        <w:t>Ideam</w:t>
      </w:r>
      <w:r w:rsidRPr="004068F6">
        <w:rPr>
          <w:rFonts w:cs="Arial"/>
          <w:spacing w:val="-3"/>
        </w:rPr>
        <w:t>, la información meteorológica puede ser tomada de los datos de re-análisis global, obtenidos directamente de internet, de fuentes de adecuada idoneidad científica y que puedan ser validadas, como por ejemplo modelos de clima o tiempo (CFRS, ERA 40, CAM, MM5, entre otros), model</w:t>
      </w:r>
      <w:r w:rsidR="00C74BBB" w:rsidRPr="004068F6">
        <w:rPr>
          <w:rFonts w:cs="Arial"/>
          <w:spacing w:val="-3"/>
        </w:rPr>
        <w:t>iz</w:t>
      </w:r>
      <w:r w:rsidRPr="004068F6">
        <w:rPr>
          <w:rFonts w:cs="Arial"/>
          <w:spacing w:val="-3"/>
        </w:rPr>
        <w:t xml:space="preserve">ando el año más reciente. Como paso previo a la selección de la fuente de datos se debe realizar un análisis estadístico del error mediante el proceso de re-análisis, comparando los resultados obtenidos con los datos de algunas estaciones localizadas en el área de influencia </w:t>
      </w:r>
      <w:r w:rsidR="001476A0" w:rsidRPr="004068F6">
        <w:rPr>
          <w:rFonts w:cs="Arial"/>
          <w:spacing w:val="-3"/>
        </w:rPr>
        <w:t xml:space="preserve">o </w:t>
      </w:r>
      <w:r w:rsidR="00302B12" w:rsidRPr="004068F6">
        <w:rPr>
          <w:rFonts w:cs="Arial"/>
          <w:spacing w:val="-3"/>
        </w:rPr>
        <w:t xml:space="preserve">de </w:t>
      </w:r>
      <w:r w:rsidR="001476A0" w:rsidRPr="004068F6">
        <w:rPr>
          <w:rFonts w:cs="Arial"/>
          <w:spacing w:val="-3"/>
        </w:rPr>
        <w:t>las más cercanas a la misma</w:t>
      </w:r>
      <w:r w:rsidR="00302B12" w:rsidRPr="004068F6">
        <w:rPr>
          <w:rFonts w:cs="Arial"/>
          <w:spacing w:val="-3"/>
        </w:rPr>
        <w:t>, si no existen estaciones dentro de tal área</w:t>
      </w:r>
      <w:r w:rsidR="001476A0" w:rsidRPr="004068F6">
        <w:rPr>
          <w:rFonts w:cs="Arial"/>
          <w:spacing w:val="-3"/>
        </w:rPr>
        <w:t>.</w:t>
      </w:r>
    </w:p>
    <w:p w14:paraId="4122FC61" w14:textId="77777777" w:rsidR="00302B12" w:rsidRPr="004068F6" w:rsidRDefault="00302B12" w:rsidP="009D132B">
      <w:pPr>
        <w:numPr>
          <w:ilvl w:val="12"/>
          <w:numId w:val="0"/>
        </w:numPr>
        <w:tabs>
          <w:tab w:val="left" w:pos="-2268"/>
        </w:tabs>
        <w:suppressAutoHyphens/>
        <w:rPr>
          <w:rFonts w:cs="Arial"/>
          <w:spacing w:val="-3"/>
        </w:rPr>
      </w:pPr>
    </w:p>
    <w:p w14:paraId="5B36114C" w14:textId="174AB066" w:rsidR="009D132B" w:rsidRPr="004068F6" w:rsidRDefault="009D132B" w:rsidP="009D132B">
      <w:pPr>
        <w:numPr>
          <w:ilvl w:val="12"/>
          <w:numId w:val="0"/>
        </w:numPr>
        <w:tabs>
          <w:tab w:val="left" w:pos="-2268"/>
        </w:tabs>
        <w:suppressAutoHyphens/>
        <w:rPr>
          <w:rFonts w:cs="Arial"/>
          <w:spacing w:val="-3"/>
        </w:rPr>
      </w:pPr>
      <w:r w:rsidRPr="004068F6">
        <w:rPr>
          <w:rFonts w:cs="Arial"/>
          <w:spacing w:val="-3"/>
        </w:rPr>
        <w:t>Para este caso se requiere que</w:t>
      </w:r>
      <w:r w:rsidR="002D6507" w:rsidRPr="004068F6">
        <w:rPr>
          <w:rFonts w:cs="Arial"/>
          <w:spacing w:val="-3"/>
        </w:rPr>
        <w:t>,</w:t>
      </w:r>
      <w:r w:rsidRPr="004068F6">
        <w:rPr>
          <w:rFonts w:cs="Arial"/>
          <w:spacing w:val="-3"/>
        </w:rPr>
        <w:t xml:space="preserve"> en el documento, se establezca claramente la fuente de la información, mencionando el periodo que se analiza, la resolución de la información, el tipo de dato procesado y las variables contenidas en un formato de texto de fácil manipulación y visualización.</w:t>
      </w:r>
    </w:p>
    <w:p w14:paraId="039F8825" w14:textId="098E046C" w:rsidR="009D132B" w:rsidRPr="004068F6" w:rsidRDefault="009D132B" w:rsidP="00C86DA5"/>
    <w:p w14:paraId="1A369E27" w14:textId="77777777" w:rsidR="009D132B" w:rsidRPr="004068F6" w:rsidRDefault="009D132B" w:rsidP="009420F5">
      <w:pPr>
        <w:pStyle w:val="Ttulo4"/>
        <w:tabs>
          <w:tab w:val="clear" w:pos="1844"/>
          <w:tab w:val="num" w:pos="1134"/>
        </w:tabs>
        <w:ind w:left="0"/>
        <w:rPr>
          <w:lang w:val="es-CO"/>
        </w:rPr>
      </w:pPr>
      <w:r w:rsidRPr="004068F6">
        <w:rPr>
          <w:lang w:val="es-CO"/>
        </w:rPr>
        <w:lastRenderedPageBreak/>
        <w:t>Calidad del agua</w:t>
      </w:r>
      <w:bookmarkEnd w:id="2692"/>
    </w:p>
    <w:p w14:paraId="3C5E062D" w14:textId="77777777" w:rsidR="009D132B" w:rsidRPr="004068F6" w:rsidRDefault="009D132B">
      <w:pPr>
        <w:numPr>
          <w:ilvl w:val="12"/>
          <w:numId w:val="0"/>
        </w:numPr>
        <w:tabs>
          <w:tab w:val="left" w:pos="-2268"/>
        </w:tabs>
        <w:suppressAutoHyphens/>
        <w:rPr>
          <w:spacing w:val="-3"/>
        </w:rPr>
      </w:pPr>
    </w:p>
    <w:p w14:paraId="7E1FB52D" w14:textId="36D6CEC8" w:rsidR="009D132B" w:rsidRPr="004068F6" w:rsidRDefault="009D132B" w:rsidP="009D132B">
      <w:pPr>
        <w:tabs>
          <w:tab w:val="left" w:pos="-2268"/>
        </w:tabs>
        <w:suppressAutoHyphens/>
        <w:rPr>
          <w:rFonts w:cs="Arial"/>
        </w:rPr>
      </w:pPr>
      <w:r w:rsidRPr="004068F6">
        <w:rPr>
          <w:spacing w:val="-3"/>
        </w:rPr>
        <w:t xml:space="preserve">Realizar la evaluación de la calidad del agua continental en los cuerpos de agua </w:t>
      </w:r>
      <w:r w:rsidRPr="004068F6">
        <w:rPr>
          <w:rFonts w:cs="Arial"/>
          <w:spacing w:val="-3"/>
        </w:rPr>
        <w:t>susceptibles de</w:t>
      </w:r>
      <w:r w:rsidRPr="004068F6">
        <w:rPr>
          <w:spacing w:val="-3"/>
        </w:rPr>
        <w:t xml:space="preserve"> intervención o de ser impactados; asimismo, debe evaluarse la calidad del agua en líneas de costa, zonas marino-costeras y oceánicas cuando los proyectos, obras o actividades puedan afectarlas. Todas las actividades y la determinación de criterios sobre las campañas de monitoreo, definición de puntos, muestreos y reporte de resultados deben realizarse con base en los protocolos y manuales para el seguimiento y monitoreo del recurso hídrico superficial y subterráneo definidos por el </w:t>
      </w:r>
      <w:r w:rsidR="00A92356" w:rsidRPr="004068F6">
        <w:rPr>
          <w:spacing w:val="-3"/>
        </w:rPr>
        <w:t>Ideam</w:t>
      </w:r>
      <w:r w:rsidRPr="004068F6">
        <w:rPr>
          <w:spacing w:val="-3"/>
        </w:rPr>
        <w:t>.</w:t>
      </w:r>
    </w:p>
    <w:p w14:paraId="21766E78" w14:textId="77777777" w:rsidR="009D132B" w:rsidRPr="004068F6" w:rsidRDefault="009D132B" w:rsidP="009D132B">
      <w:pPr>
        <w:tabs>
          <w:tab w:val="left" w:pos="-2268"/>
        </w:tabs>
        <w:suppressAutoHyphens/>
        <w:rPr>
          <w:rFonts w:cs="Arial"/>
        </w:rPr>
      </w:pPr>
    </w:p>
    <w:p w14:paraId="5BB9E7C6" w14:textId="1DCEE872" w:rsidR="00412AE8" w:rsidRPr="004068F6" w:rsidRDefault="009D132B" w:rsidP="00C86DA5">
      <w:pPr>
        <w:tabs>
          <w:tab w:val="left" w:pos="-2268"/>
        </w:tabs>
        <w:suppressAutoHyphens/>
        <w:rPr>
          <w:spacing w:val="-3"/>
        </w:rPr>
      </w:pPr>
      <w:r w:rsidRPr="004068F6">
        <w:rPr>
          <w:spacing w:val="-3"/>
        </w:rPr>
        <w:t xml:space="preserve">Asimismo, los puntos de monitoreo deben ser representativos y </w:t>
      </w:r>
      <w:bookmarkStart w:id="2693" w:name="_Hlk198888366"/>
      <w:r w:rsidR="0010775F" w:rsidRPr="004068F6">
        <w:rPr>
          <w:spacing w:val="-3"/>
        </w:rPr>
        <w:t>pertinentes con respecto al</w:t>
      </w:r>
      <w:bookmarkEnd w:id="2693"/>
      <w:r w:rsidR="0010775F" w:rsidRPr="004068F6">
        <w:rPr>
          <w:spacing w:val="-3"/>
        </w:rPr>
        <w:t xml:space="preserve"> </w:t>
      </w:r>
      <w:r w:rsidRPr="004068F6">
        <w:rPr>
          <w:spacing w:val="-3"/>
        </w:rPr>
        <w:t xml:space="preserve">el área de influencia, considerando los patrones de drenaje aguas arriba y aguas abajo de </w:t>
      </w:r>
      <w:bookmarkStart w:id="2694" w:name="_Hlk198888385"/>
      <w:r w:rsidR="00281622" w:rsidRPr="004068F6">
        <w:rPr>
          <w:spacing w:val="-3"/>
        </w:rPr>
        <w:t>las zonas</w:t>
      </w:r>
      <w:bookmarkEnd w:id="2694"/>
      <w:r w:rsidR="00281622" w:rsidRPr="004068F6">
        <w:rPr>
          <w:spacing w:val="-3"/>
        </w:rPr>
        <w:t xml:space="preserve"> </w:t>
      </w:r>
      <w:r w:rsidRPr="004068F6">
        <w:rPr>
          <w:spacing w:val="-3"/>
        </w:rPr>
        <w:t>intervenid</w:t>
      </w:r>
      <w:r w:rsidR="00281622" w:rsidRPr="004068F6">
        <w:rPr>
          <w:spacing w:val="-3"/>
        </w:rPr>
        <w:t>a</w:t>
      </w:r>
      <w:r w:rsidRPr="004068F6">
        <w:rPr>
          <w:spacing w:val="-3"/>
        </w:rPr>
        <w:t>s</w:t>
      </w:r>
      <w:r w:rsidR="00015D4D" w:rsidRPr="004068F6">
        <w:t xml:space="preserve">, </w:t>
      </w:r>
      <w:bookmarkStart w:id="2695" w:name="_Hlk198888404"/>
      <w:r w:rsidR="00015D4D" w:rsidRPr="004068F6">
        <w:t>así como tramos</w:t>
      </w:r>
      <w:bookmarkEnd w:id="2695"/>
      <w:r w:rsidR="00015D4D" w:rsidRPr="004068F6">
        <w:t xml:space="preserve"> clave</w:t>
      </w:r>
      <w:r w:rsidRPr="004068F6">
        <w:rPr>
          <w:spacing w:val="-3"/>
        </w:rPr>
        <w:t xml:space="preserve"> a lo largo del área de influencia. </w:t>
      </w:r>
      <w:r w:rsidR="00E5172E" w:rsidRPr="004068F6">
        <w:rPr>
          <w:spacing w:val="-3"/>
        </w:rPr>
        <w:t>La caracterización hidrológica</w:t>
      </w:r>
      <w:r w:rsidR="00215CAE" w:rsidRPr="004068F6">
        <w:rPr>
          <w:spacing w:val="-3"/>
        </w:rPr>
        <w:t xml:space="preserve"> </w:t>
      </w:r>
      <w:r w:rsidRPr="004068F6">
        <w:rPr>
          <w:spacing w:val="-3"/>
        </w:rPr>
        <w:t xml:space="preserve">debe considerar como mínimo dos (2) periodos </w:t>
      </w:r>
      <w:r w:rsidR="00064ED7" w:rsidRPr="004068F6">
        <w:rPr>
          <w:spacing w:val="-3"/>
        </w:rPr>
        <w:t xml:space="preserve">climáticos </w:t>
      </w:r>
      <w:r w:rsidR="00215CAE" w:rsidRPr="004068F6">
        <w:t>contrastantes</w:t>
      </w:r>
      <w:r w:rsidR="00215CAE" w:rsidRPr="004068F6">
        <w:rPr>
          <w:spacing w:val="-3"/>
        </w:rPr>
        <w:t xml:space="preserve"> (</w:t>
      </w:r>
      <w:r w:rsidR="00215CAE" w:rsidRPr="004068F6">
        <w:t xml:space="preserve">por ejemplo, </w:t>
      </w:r>
      <w:r w:rsidR="00064ED7" w:rsidRPr="004068F6">
        <w:rPr>
          <w:spacing w:val="-3"/>
        </w:rPr>
        <w:t xml:space="preserve">un periodo seco y </w:t>
      </w:r>
      <w:r w:rsidR="00164F3D" w:rsidRPr="004068F6">
        <w:rPr>
          <w:spacing w:val="-3"/>
        </w:rPr>
        <w:t>uno húmedo o de transición</w:t>
      </w:r>
      <w:r w:rsidR="002D6507" w:rsidRPr="004068F6">
        <w:rPr>
          <w:spacing w:val="-3"/>
        </w:rPr>
        <w:t>)</w:t>
      </w:r>
      <w:r w:rsidR="00CF3187" w:rsidRPr="004068F6">
        <w:t xml:space="preserve"> </w:t>
      </w:r>
      <w:r w:rsidR="00CF3187" w:rsidRPr="004068F6">
        <w:rPr>
          <w:spacing w:val="-3"/>
        </w:rPr>
        <w:t>de acuerdo con la variabilidad climática e hidrológica de la región.</w:t>
      </w:r>
    </w:p>
    <w:p w14:paraId="671E2443" w14:textId="77777777" w:rsidR="00412AE8" w:rsidRPr="004068F6" w:rsidRDefault="00412AE8" w:rsidP="00C86DA5">
      <w:pPr>
        <w:tabs>
          <w:tab w:val="left" w:pos="-2268"/>
        </w:tabs>
        <w:suppressAutoHyphens/>
        <w:rPr>
          <w:spacing w:val="-3"/>
        </w:rPr>
      </w:pPr>
    </w:p>
    <w:p w14:paraId="5778B374" w14:textId="15998965" w:rsidR="009D132B" w:rsidRPr="004068F6" w:rsidRDefault="00CF3187" w:rsidP="00C86DA5">
      <w:pPr>
        <w:tabs>
          <w:tab w:val="left" w:pos="-2268"/>
        </w:tabs>
        <w:suppressAutoHyphens/>
        <w:rPr>
          <w:spacing w:val="-3"/>
        </w:rPr>
      </w:pPr>
      <w:r w:rsidRPr="004068F6">
        <w:rPr>
          <w:spacing w:val="-3"/>
        </w:rPr>
        <w:t xml:space="preserve">El diseño del monitoreo debe seguir </w:t>
      </w:r>
      <w:r w:rsidR="009D132B" w:rsidRPr="004068F6">
        <w:rPr>
          <w:spacing w:val="-3"/>
        </w:rPr>
        <w:t xml:space="preserve">el Protocolo para el monitoreo y seguimiento del agua, elaborado por el </w:t>
      </w:r>
      <w:r w:rsidR="00A92356" w:rsidRPr="004068F6">
        <w:rPr>
          <w:spacing w:val="-3"/>
        </w:rPr>
        <w:t>Ideam</w:t>
      </w:r>
      <w:r w:rsidR="009D132B" w:rsidRPr="004068F6">
        <w:rPr>
          <w:spacing w:val="-3"/>
        </w:rPr>
        <w:t xml:space="preserve"> (</w:t>
      </w:r>
      <w:r w:rsidR="009D132B" w:rsidRPr="004068F6">
        <w:rPr>
          <w:rFonts w:cs="Arial"/>
          <w:spacing w:val="-3"/>
        </w:rPr>
        <w:t>2017),</w:t>
      </w:r>
      <w:r w:rsidR="009D132B" w:rsidRPr="004068F6">
        <w:rPr>
          <w:spacing w:val="-3"/>
        </w:rPr>
        <w:t xml:space="preserve"> o aquel que lo modifique</w:t>
      </w:r>
      <w:r w:rsidR="009D132B" w:rsidRPr="004068F6">
        <w:rPr>
          <w:rFonts w:cs="Arial"/>
          <w:spacing w:val="-3"/>
        </w:rPr>
        <w:t xml:space="preserve"> o</w:t>
      </w:r>
      <w:r w:rsidR="009D132B" w:rsidRPr="004068F6">
        <w:rPr>
          <w:spacing w:val="-3"/>
        </w:rPr>
        <w:t xml:space="preserve"> sustituya</w:t>
      </w:r>
      <w:r w:rsidR="007A6819" w:rsidRPr="004068F6">
        <w:rPr>
          <w:spacing w:val="-3"/>
        </w:rPr>
        <w:t xml:space="preserve"> </w:t>
      </w:r>
      <w:r w:rsidR="00B47C1F" w:rsidRPr="004068F6">
        <w:rPr>
          <w:rFonts w:cs="Arial"/>
          <w:spacing w:val="-3"/>
        </w:rPr>
        <w:t xml:space="preserve">y puede complementarse con metodologías ajustadas al tipo de cuerpo de agua y al objetivo del análisis. El propósito es obtener </w:t>
      </w:r>
      <w:r w:rsidR="009D132B" w:rsidRPr="004068F6">
        <w:rPr>
          <w:rFonts w:cs="Arial"/>
          <w:spacing w:val="-3"/>
        </w:rPr>
        <w:t xml:space="preserve">información representativa del comportamiento de los cuerpos de agua bajo </w:t>
      </w:r>
      <w:r w:rsidR="00F147B0" w:rsidRPr="004068F6">
        <w:rPr>
          <w:rFonts w:cs="Arial"/>
          <w:spacing w:val="-3"/>
        </w:rPr>
        <w:t xml:space="preserve">diferentes condiciones estacionales y operativas. En casos debidamente justificados, </w:t>
      </w:r>
      <w:r w:rsidR="00861708" w:rsidRPr="004068F6">
        <w:rPr>
          <w:rFonts w:cs="Arial"/>
          <w:spacing w:val="-3"/>
        </w:rPr>
        <w:t xml:space="preserve">es posible </w:t>
      </w:r>
      <w:r w:rsidR="00F147B0" w:rsidRPr="004068F6">
        <w:rPr>
          <w:rFonts w:cs="Arial"/>
          <w:spacing w:val="-3"/>
        </w:rPr>
        <w:t xml:space="preserve">sustentar técnicamente ante la autoridad ambiental que la realización de una única campaña climática </w:t>
      </w:r>
      <w:r w:rsidR="00861708" w:rsidRPr="004068F6">
        <w:rPr>
          <w:rFonts w:cs="Arial"/>
          <w:spacing w:val="-3"/>
        </w:rPr>
        <w:t xml:space="preserve">para la caracterización </w:t>
      </w:r>
      <w:r w:rsidR="00F147B0" w:rsidRPr="004068F6">
        <w:rPr>
          <w:rFonts w:cs="Arial"/>
          <w:spacing w:val="-3"/>
        </w:rPr>
        <w:t>es suficiente</w:t>
      </w:r>
      <w:r w:rsidR="004C7AA8" w:rsidRPr="004068F6">
        <w:rPr>
          <w:rFonts w:cs="Arial"/>
          <w:spacing w:val="-3"/>
        </w:rPr>
        <w:t xml:space="preserve"> y que no </w:t>
      </w:r>
      <w:r w:rsidR="00F147B0" w:rsidRPr="004068F6">
        <w:rPr>
          <w:rFonts w:cs="Arial"/>
          <w:spacing w:val="-3"/>
        </w:rPr>
        <w:t>compromete la representatividad ni la rigurosidad del diagnóstico hidrológico</w:t>
      </w:r>
      <w:r w:rsidR="009D132B" w:rsidRPr="004068F6">
        <w:rPr>
          <w:spacing w:val="-3"/>
        </w:rPr>
        <w:t>.</w:t>
      </w:r>
    </w:p>
    <w:p w14:paraId="4C895C61" w14:textId="77777777" w:rsidR="009D132B" w:rsidRPr="004068F6" w:rsidRDefault="009D132B">
      <w:pPr>
        <w:numPr>
          <w:ilvl w:val="12"/>
          <w:numId w:val="0"/>
        </w:numPr>
        <w:tabs>
          <w:tab w:val="left" w:pos="-2268"/>
        </w:tabs>
        <w:suppressAutoHyphens/>
        <w:rPr>
          <w:spacing w:val="-3"/>
        </w:rPr>
      </w:pPr>
    </w:p>
    <w:p w14:paraId="2F05254C" w14:textId="0FD76B59" w:rsidR="00967E48" w:rsidRPr="004068F6" w:rsidRDefault="002260DD">
      <w:pPr>
        <w:numPr>
          <w:ilvl w:val="12"/>
          <w:numId w:val="0"/>
        </w:numPr>
        <w:tabs>
          <w:tab w:val="left" w:pos="-2268"/>
        </w:tabs>
        <w:suppressAutoHyphens/>
        <w:rPr>
          <w:spacing w:val="-3"/>
        </w:rPr>
      </w:pPr>
      <w:r w:rsidRPr="004068F6">
        <w:rPr>
          <w:spacing w:val="-3"/>
        </w:rPr>
        <w:t xml:space="preserve">En aguas marinas, la caracterización debe realizarse conforme a los periodos climáticos representativos de las condiciones oceanográficas del área </w:t>
      </w:r>
      <w:r w:rsidR="00F716C6" w:rsidRPr="004068F6">
        <w:rPr>
          <w:spacing w:val="-3"/>
        </w:rPr>
        <w:t>(</w:t>
      </w:r>
      <w:r w:rsidRPr="004068F6">
        <w:rPr>
          <w:spacing w:val="-3"/>
        </w:rPr>
        <w:t>mínim</w:t>
      </w:r>
      <w:r w:rsidR="00F716C6" w:rsidRPr="004068F6">
        <w:rPr>
          <w:spacing w:val="-3"/>
        </w:rPr>
        <w:t xml:space="preserve">amente </w:t>
      </w:r>
      <w:r w:rsidRPr="004068F6">
        <w:rPr>
          <w:spacing w:val="-3"/>
        </w:rPr>
        <w:t>dos</w:t>
      </w:r>
      <w:r w:rsidR="00F716C6" w:rsidRPr="004068F6">
        <w:rPr>
          <w:spacing w:val="-3"/>
        </w:rPr>
        <w:t>)</w:t>
      </w:r>
      <w:r w:rsidRPr="004068F6">
        <w:rPr>
          <w:spacing w:val="-3"/>
        </w:rPr>
        <w:t>, definidos con base en información sobre condiciones climáticas y oceanográficas del sitio.</w:t>
      </w:r>
      <w:r w:rsidR="00967E48" w:rsidRPr="004068F6">
        <w:rPr>
          <w:spacing w:val="-3"/>
        </w:rPr>
        <w:t xml:space="preserve"> Para ecosistemas oceánicos, se puede realizar un solo muestreo, siempre que se complemente con información secundaria disponible y se justifique la representatividad de los datos en función de la estabilidad oceanográfica del área.</w:t>
      </w:r>
    </w:p>
    <w:p w14:paraId="5E35A4DF" w14:textId="77777777" w:rsidR="00967E48" w:rsidRPr="004068F6" w:rsidRDefault="00967E48">
      <w:pPr>
        <w:numPr>
          <w:ilvl w:val="12"/>
          <w:numId w:val="0"/>
        </w:numPr>
        <w:tabs>
          <w:tab w:val="left" w:pos="-2268"/>
        </w:tabs>
        <w:suppressAutoHyphens/>
        <w:rPr>
          <w:spacing w:val="-3"/>
        </w:rPr>
      </w:pPr>
    </w:p>
    <w:p w14:paraId="4CA9DD03" w14:textId="77777777" w:rsidR="009D132B" w:rsidRPr="004068F6" w:rsidRDefault="009D132B">
      <w:pPr>
        <w:numPr>
          <w:ilvl w:val="12"/>
          <w:numId w:val="0"/>
        </w:numPr>
        <w:tabs>
          <w:tab w:val="left" w:pos="-2268"/>
        </w:tabs>
        <w:suppressAutoHyphens/>
        <w:rPr>
          <w:spacing w:val="-3"/>
        </w:rPr>
      </w:pPr>
      <w:r w:rsidRPr="004068F6">
        <w:rPr>
          <w:spacing w:val="-3"/>
        </w:rPr>
        <w:t>Realizar, para</w:t>
      </w:r>
      <w:r w:rsidRPr="004068F6">
        <w:rPr>
          <w:rFonts w:cs="Arial"/>
          <w:spacing w:val="-3"/>
        </w:rPr>
        <w:t xml:space="preserve"> cada</w:t>
      </w:r>
      <w:r w:rsidRPr="004068F6">
        <w:rPr>
          <w:spacing w:val="-3"/>
        </w:rPr>
        <w:t xml:space="preserve"> punto de muestreo en cuerpos lóticos, el aforo de caudal presentando la sección mojada y hacer entrega del formato de medición de caudal, reportando allí las velocidades, el ancho superficial, el área mojada, el perímetro mojado, la velocidad media, la profundidad media, la velocidad máxima y el caudal.</w:t>
      </w:r>
    </w:p>
    <w:p w14:paraId="2B90ABE2" w14:textId="77777777" w:rsidR="009D132B" w:rsidRPr="004068F6" w:rsidRDefault="009D132B">
      <w:pPr>
        <w:numPr>
          <w:ilvl w:val="12"/>
          <w:numId w:val="0"/>
        </w:numPr>
        <w:tabs>
          <w:tab w:val="left" w:pos="-2268"/>
        </w:tabs>
        <w:suppressAutoHyphens/>
        <w:rPr>
          <w:spacing w:val="-3"/>
        </w:rPr>
      </w:pPr>
    </w:p>
    <w:p w14:paraId="073CAF8F" w14:textId="08C82F85" w:rsidR="003E6064" w:rsidRPr="004068F6" w:rsidRDefault="009D132B">
      <w:pPr>
        <w:numPr>
          <w:ilvl w:val="12"/>
          <w:numId w:val="0"/>
        </w:numPr>
        <w:tabs>
          <w:tab w:val="left" w:pos="-2268"/>
        </w:tabs>
        <w:suppressAutoHyphens/>
        <w:rPr>
          <w:spacing w:val="-3"/>
        </w:rPr>
      </w:pPr>
      <w:r w:rsidRPr="004068F6">
        <w:rPr>
          <w:spacing w:val="-3"/>
        </w:rPr>
        <w:t xml:space="preserve">Anexar el informe sobre la toma de muestras, el cual debe presentar los protocolos de monitoreo, toma, preservación, transporte y análisis de muestras, con su respectivo registro fotográfico y copia </w:t>
      </w:r>
      <w:r w:rsidR="00BF65F8" w:rsidRPr="004068F6">
        <w:rPr>
          <w:spacing w:val="-3"/>
        </w:rPr>
        <w:t xml:space="preserve">del registro </w:t>
      </w:r>
      <w:r w:rsidRPr="004068F6">
        <w:rPr>
          <w:spacing w:val="-3"/>
        </w:rPr>
        <w:t xml:space="preserve">de la cadena de custodia. </w:t>
      </w:r>
      <w:r w:rsidR="00523ACE" w:rsidRPr="004068F6">
        <w:rPr>
          <w:spacing w:val="-3"/>
        </w:rPr>
        <w:t>E</w:t>
      </w:r>
      <w:r w:rsidRPr="004068F6">
        <w:rPr>
          <w:spacing w:val="-3"/>
        </w:rPr>
        <w:t xml:space="preserve">l laboratorio debe </w:t>
      </w:r>
      <w:r w:rsidRPr="004068F6">
        <w:rPr>
          <w:spacing w:val="-3"/>
        </w:rPr>
        <w:lastRenderedPageBreak/>
        <w:t xml:space="preserve">contar con </w:t>
      </w:r>
      <w:r w:rsidR="002A7E38" w:rsidRPr="004068F6">
        <w:rPr>
          <w:spacing w:val="-3"/>
        </w:rPr>
        <w:t xml:space="preserve">resolución de acreditación vigente otorgada </w:t>
      </w:r>
      <w:r w:rsidRPr="004068F6">
        <w:rPr>
          <w:spacing w:val="-3"/>
        </w:rPr>
        <w:t xml:space="preserve">por el </w:t>
      </w:r>
      <w:r w:rsidR="00A92356" w:rsidRPr="004068F6">
        <w:rPr>
          <w:spacing w:val="-3"/>
        </w:rPr>
        <w:t>Ideam</w:t>
      </w:r>
      <w:r w:rsidRPr="004068F6">
        <w:rPr>
          <w:rFonts w:cs="Arial"/>
          <w:spacing w:val="-3"/>
        </w:rPr>
        <w:t xml:space="preserve">, en el caso en el que un laboratorio sea subcontratado por otro, este </w:t>
      </w:r>
      <w:r w:rsidR="00103345" w:rsidRPr="004068F6">
        <w:rPr>
          <w:rFonts w:cs="Arial"/>
          <w:spacing w:val="-3"/>
        </w:rPr>
        <w:t>debe</w:t>
      </w:r>
      <w:r w:rsidRPr="004068F6">
        <w:rPr>
          <w:rFonts w:cs="Arial"/>
          <w:spacing w:val="-3"/>
        </w:rPr>
        <w:t xml:space="preserve"> anexar de igual manera, su certificación correspondiente.</w:t>
      </w:r>
    </w:p>
    <w:p w14:paraId="5CB310F0" w14:textId="77777777" w:rsidR="00BF65F8" w:rsidRPr="004068F6" w:rsidRDefault="00BF65F8">
      <w:pPr>
        <w:numPr>
          <w:ilvl w:val="12"/>
          <w:numId w:val="0"/>
        </w:numPr>
        <w:tabs>
          <w:tab w:val="left" w:pos="-2268"/>
        </w:tabs>
        <w:suppressAutoHyphens/>
        <w:rPr>
          <w:spacing w:val="-3"/>
        </w:rPr>
      </w:pPr>
    </w:p>
    <w:p w14:paraId="681ED73D" w14:textId="19499C05" w:rsidR="009D132B" w:rsidRPr="004068F6" w:rsidRDefault="009D132B">
      <w:pPr>
        <w:numPr>
          <w:ilvl w:val="12"/>
          <w:numId w:val="0"/>
        </w:numPr>
        <w:tabs>
          <w:tab w:val="left" w:pos="-2268"/>
        </w:tabs>
        <w:suppressAutoHyphens/>
        <w:rPr>
          <w:spacing w:val="-3"/>
        </w:rPr>
      </w:pPr>
      <w:r w:rsidRPr="004068F6">
        <w:rPr>
          <w:spacing w:val="-3"/>
        </w:rPr>
        <w:t xml:space="preserve">Los parámetros </w:t>
      </w:r>
      <w:r w:rsidRPr="004068F6">
        <w:rPr>
          <w:rFonts w:cs="Arial"/>
          <w:spacing w:val="-3"/>
        </w:rPr>
        <w:t>para monitoreo</w:t>
      </w:r>
      <w:r w:rsidRPr="004068F6">
        <w:rPr>
          <w:spacing w:val="-3"/>
        </w:rPr>
        <w:t xml:space="preserve"> son establecidos en los respectivos términos de referencia.</w:t>
      </w:r>
    </w:p>
    <w:p w14:paraId="02342CB6" w14:textId="77777777" w:rsidR="009D132B" w:rsidRPr="004068F6" w:rsidRDefault="009D132B">
      <w:pPr>
        <w:numPr>
          <w:ilvl w:val="12"/>
          <w:numId w:val="0"/>
        </w:numPr>
        <w:tabs>
          <w:tab w:val="left" w:pos="-2268"/>
        </w:tabs>
        <w:suppressAutoHyphens/>
        <w:rPr>
          <w:spacing w:val="-3"/>
        </w:rPr>
      </w:pPr>
    </w:p>
    <w:p w14:paraId="26A3E4A9" w14:textId="02D3A9EE" w:rsidR="009D132B" w:rsidRPr="004068F6" w:rsidRDefault="0085619C">
      <w:pPr>
        <w:numPr>
          <w:ilvl w:val="12"/>
          <w:numId w:val="0"/>
        </w:numPr>
        <w:tabs>
          <w:tab w:val="left" w:pos="-2268"/>
        </w:tabs>
        <w:suppressAutoHyphens/>
        <w:rPr>
          <w:spacing w:val="-3"/>
        </w:rPr>
      </w:pPr>
      <w:r w:rsidRPr="004068F6">
        <w:rPr>
          <w:spacing w:val="-3"/>
        </w:rPr>
        <w:t xml:space="preserve">Hasta tanto no se cuente </w:t>
      </w:r>
      <w:r w:rsidR="002D6507" w:rsidRPr="004068F6">
        <w:rPr>
          <w:spacing w:val="-3"/>
        </w:rPr>
        <w:t>con la capacidad analítica en el país, se aceptan los resultados de análisis que provengan de laboratorios extranjeros acreditados en la norma ISO 17025 (versión vigente).</w:t>
      </w:r>
    </w:p>
    <w:p w14:paraId="7887F71E" w14:textId="77777777" w:rsidR="009D132B" w:rsidRPr="004068F6" w:rsidRDefault="009D132B">
      <w:pPr>
        <w:numPr>
          <w:ilvl w:val="12"/>
          <w:numId w:val="0"/>
        </w:numPr>
        <w:tabs>
          <w:tab w:val="left" w:pos="-2268"/>
        </w:tabs>
        <w:suppressAutoHyphens/>
        <w:rPr>
          <w:spacing w:val="-3"/>
        </w:rPr>
      </w:pPr>
    </w:p>
    <w:p w14:paraId="132034EF" w14:textId="5B35E366" w:rsidR="009D132B" w:rsidRPr="004068F6" w:rsidRDefault="009D132B">
      <w:pPr>
        <w:numPr>
          <w:ilvl w:val="12"/>
          <w:numId w:val="0"/>
        </w:numPr>
        <w:tabs>
          <w:tab w:val="left" w:pos="-2268"/>
        </w:tabs>
        <w:suppressAutoHyphens/>
        <w:rPr>
          <w:spacing w:val="-3"/>
        </w:rPr>
      </w:pPr>
      <w:r w:rsidRPr="004068F6">
        <w:rPr>
          <w:spacing w:val="-3"/>
        </w:rPr>
        <w:t xml:space="preserve">Adicionalmente, para la ejecución y diseño del muestreo, </w:t>
      </w:r>
      <w:r w:rsidR="00252BC9" w:rsidRPr="004068F6">
        <w:rPr>
          <w:spacing w:val="-3"/>
        </w:rPr>
        <w:t xml:space="preserve">es posible seguir </w:t>
      </w:r>
      <w:r w:rsidRPr="004068F6">
        <w:rPr>
          <w:spacing w:val="-3"/>
        </w:rPr>
        <w:t>las siguientes normas establecidas por</w:t>
      </w:r>
      <w:r w:rsidRPr="004068F6" w:rsidDel="00304703">
        <w:rPr>
          <w:spacing w:val="-3"/>
        </w:rPr>
        <w:t xml:space="preserve"> </w:t>
      </w:r>
      <w:r w:rsidRPr="004068F6">
        <w:rPr>
          <w:spacing w:val="-3"/>
        </w:rPr>
        <w:t xml:space="preserve">Instituto Colombiano de Normas Técnicas y Normalización ICONTEC o las que las </w:t>
      </w:r>
      <w:r w:rsidR="0024221F" w:rsidRPr="004068F6">
        <w:rPr>
          <w:spacing w:val="-3"/>
        </w:rPr>
        <w:t>actualicen o complementen</w:t>
      </w:r>
      <w:r w:rsidRPr="004068F6">
        <w:rPr>
          <w:spacing w:val="-3"/>
        </w:rPr>
        <w:t>: NTC-ISO 5667-10, NTC-ISO 5667-11, NTC-ISO 5667-13, NTC-ISO 5667-2, NTC-ISO 5667-4, NTC-ISO 5667-9, NTC 3945, NTC-ISO 5667-12, NTC-ISO 5667-15, NTC-ISO 5667-19, NTC-ISO 5667-1, NTC-ISO 5667-14, NTC-ISO 5667-18, NTC-ISO 5667-16, NTC-ISO 5667-3, NTC-ISO 5667-6 y NTC 3948.</w:t>
      </w:r>
    </w:p>
    <w:p w14:paraId="559B7231" w14:textId="77777777" w:rsidR="009D132B" w:rsidRPr="004068F6" w:rsidRDefault="009D132B">
      <w:pPr>
        <w:numPr>
          <w:ilvl w:val="12"/>
          <w:numId w:val="0"/>
        </w:numPr>
        <w:tabs>
          <w:tab w:val="left" w:pos="-2268"/>
        </w:tabs>
        <w:suppressAutoHyphens/>
        <w:rPr>
          <w:spacing w:val="-3"/>
        </w:rPr>
      </w:pPr>
    </w:p>
    <w:p w14:paraId="47789293" w14:textId="5DCFAC62" w:rsidR="009D132B" w:rsidRPr="004068F6" w:rsidRDefault="009D132B" w:rsidP="00C86DA5">
      <w:pPr>
        <w:tabs>
          <w:tab w:val="left" w:pos="-2268"/>
        </w:tabs>
        <w:suppressAutoHyphens/>
      </w:pPr>
      <w:r w:rsidRPr="004068F6">
        <w:rPr>
          <w:spacing w:val="-3"/>
        </w:rPr>
        <w:t xml:space="preserve">Realizar el análisis de los resultados de los monitoreos realizados, calculando índices de calidad del agua (ICA, ICOMO, ICOMI, ICOSUS e ICOTRO), incluyendo el análisis de variación de la calidad aguas arriba y aguas abajo de los sitios </w:t>
      </w:r>
      <w:r w:rsidRPr="004068F6">
        <w:rPr>
          <w:rFonts w:cs="Arial"/>
          <w:spacing w:val="-3"/>
        </w:rPr>
        <w:t>susceptibles de intervención</w:t>
      </w:r>
      <w:r w:rsidRPr="004068F6">
        <w:rPr>
          <w:spacing w:val="-3"/>
        </w:rPr>
        <w:t xml:space="preserve"> (dentro del área de influencia), para las dos (2) condiciones hidrológicas</w:t>
      </w:r>
      <w:r w:rsidR="00913441" w:rsidRPr="004068F6">
        <w:rPr>
          <w:spacing w:val="-3"/>
        </w:rPr>
        <w:t>,</w:t>
      </w:r>
      <w:r w:rsidRPr="004068F6">
        <w:rPr>
          <w:rFonts w:cs="Arial"/>
          <w:spacing w:val="-3"/>
        </w:rPr>
        <w:t xml:space="preserve"> buscando contar con información representativa del comportamiento de los cuerpos de agua, bajo condiciones diversas.</w:t>
      </w:r>
      <w:r w:rsidRPr="004068F6">
        <w:rPr>
          <w:spacing w:val="-3"/>
        </w:rPr>
        <w:t xml:space="preserve"> Es posible </w:t>
      </w:r>
      <w:r w:rsidRPr="004068F6">
        <w:t>presentar índices diferentes a los mencionados anteriormente, siempre y cuando se justifique el cambio, y el grado de análisis y representatividad sea el mismo o superior al de los índices sugeridos.</w:t>
      </w:r>
      <w:r w:rsidR="00AA451B" w:rsidRPr="004068F6">
        <w:t xml:space="preserve"> </w:t>
      </w:r>
      <w:r w:rsidR="00490BE3" w:rsidRPr="004068F6">
        <w:t>En el caso de las aguas marinas, el índice de calidad del agua por calcular es el ICAM; el análisis de variación de la calidad del agua se debe realizar a lo largo de la columna de agua, a nivel horizontal (teniendo en cuenta las direcciones de las corrientes) y entre épocas climáticas, cuando eso sea pertinente, por la características y ubicación del proyecto, obra o actividad.</w:t>
      </w:r>
    </w:p>
    <w:p w14:paraId="779BE3E5" w14:textId="77777777" w:rsidR="009D132B" w:rsidRPr="004068F6" w:rsidRDefault="009D132B" w:rsidP="00C86DA5">
      <w:pPr>
        <w:tabs>
          <w:tab w:val="left" w:pos="-2268"/>
        </w:tabs>
        <w:suppressAutoHyphens/>
        <w:rPr>
          <w:spacing w:val="-3"/>
        </w:rPr>
      </w:pPr>
    </w:p>
    <w:p w14:paraId="3282C7DF" w14:textId="77777777" w:rsidR="009D132B" w:rsidRPr="004068F6" w:rsidRDefault="009D132B" w:rsidP="009420F5">
      <w:pPr>
        <w:pStyle w:val="Ttulo4"/>
        <w:tabs>
          <w:tab w:val="clear" w:pos="1844"/>
          <w:tab w:val="num" w:pos="1134"/>
        </w:tabs>
        <w:ind w:left="0"/>
        <w:rPr>
          <w:lang w:val="es-CO"/>
        </w:rPr>
      </w:pPr>
      <w:r w:rsidRPr="004068F6">
        <w:rPr>
          <w:lang w:val="es-CO"/>
        </w:rPr>
        <w:t>Usos del agua</w:t>
      </w:r>
    </w:p>
    <w:p w14:paraId="5E3A7D44" w14:textId="77777777" w:rsidR="009D132B" w:rsidRPr="004068F6" w:rsidRDefault="009D132B">
      <w:pPr>
        <w:numPr>
          <w:ilvl w:val="12"/>
          <w:numId w:val="0"/>
        </w:numPr>
        <w:tabs>
          <w:tab w:val="left" w:pos="-2268"/>
        </w:tabs>
        <w:suppressAutoHyphens/>
        <w:rPr>
          <w:spacing w:val="-3"/>
        </w:rPr>
      </w:pPr>
    </w:p>
    <w:p w14:paraId="04E48FF2" w14:textId="78FD41D0" w:rsidR="009D132B" w:rsidRPr="004068F6" w:rsidRDefault="00606ABE">
      <w:pPr>
        <w:numPr>
          <w:ilvl w:val="12"/>
          <w:numId w:val="0"/>
        </w:numPr>
        <w:tabs>
          <w:tab w:val="left" w:pos="-2268"/>
        </w:tabs>
        <w:suppressAutoHyphens/>
        <w:rPr>
          <w:spacing w:val="-3"/>
        </w:rPr>
      </w:pPr>
      <w:r w:rsidRPr="004068F6">
        <w:rPr>
          <w:spacing w:val="-3"/>
        </w:rPr>
        <w:t xml:space="preserve">Detallar </w:t>
      </w:r>
      <w:r w:rsidR="009D132B" w:rsidRPr="004068F6">
        <w:rPr>
          <w:spacing w:val="-3"/>
        </w:rPr>
        <w:t xml:space="preserve">los usos actuales y potenciales de los cuerpos de agua </w:t>
      </w:r>
      <w:r w:rsidR="009D132B" w:rsidRPr="004068F6">
        <w:rPr>
          <w:rFonts w:cs="Arial"/>
          <w:spacing w:val="-3"/>
        </w:rPr>
        <w:t xml:space="preserve">susceptibles </w:t>
      </w:r>
      <w:r w:rsidR="009D132B" w:rsidRPr="004068F6">
        <w:rPr>
          <w:spacing w:val="-3"/>
        </w:rPr>
        <w:t>de intervención por el uso y aprovechamiento del recurso</w:t>
      </w:r>
      <w:r w:rsidR="001C054E" w:rsidRPr="004068F6">
        <w:rPr>
          <w:spacing w:val="-3"/>
        </w:rPr>
        <w:t>, así como</w:t>
      </w:r>
      <w:r w:rsidR="009D132B" w:rsidRPr="004068F6">
        <w:rPr>
          <w:spacing w:val="-3"/>
        </w:rPr>
        <w:t xml:space="preserve"> de aquellos presentes en el área de influencia</w:t>
      </w:r>
      <w:r w:rsidR="009D132B" w:rsidRPr="004068F6">
        <w:rPr>
          <w:rFonts w:cs="Arial"/>
          <w:spacing w:val="-3"/>
        </w:rPr>
        <w:t>,</w:t>
      </w:r>
      <w:r w:rsidR="009D132B" w:rsidRPr="004068F6">
        <w:rPr>
          <w:spacing w:val="-3"/>
        </w:rPr>
        <w:t xml:space="preserve"> que estén expuestos a los posibles impactos por el desarrollo del proyecto, para lo cual se deben tener en cuenta los inventarios de usos y usuarios de recurso hídrico realizados por las autoridades ambientales regionales, los Planes de Ordenación y Manejo de la Cuenca (</w:t>
      </w:r>
      <w:r w:rsidR="003C70CD" w:rsidRPr="004068F6">
        <w:rPr>
          <w:spacing w:val="-3"/>
        </w:rPr>
        <w:t>Pomca</w:t>
      </w:r>
      <w:r w:rsidR="009D132B" w:rsidRPr="004068F6">
        <w:rPr>
          <w:spacing w:val="-3"/>
        </w:rPr>
        <w:t xml:space="preserve">), objetivos de calidad, registros de concesiones, y Planes de Ordenamiento del Recurso Hídrico (PORH), Sistema de </w:t>
      </w:r>
      <w:r w:rsidR="009D132B" w:rsidRPr="004068F6">
        <w:rPr>
          <w:spacing w:val="-3"/>
        </w:rPr>
        <w:lastRenderedPageBreak/>
        <w:t>Información del Recurso Hídrico (SIRH) y demás reglamentaciones o fuentes de información existentes, en caso de que existan dichos instrumentos.</w:t>
      </w:r>
    </w:p>
    <w:p w14:paraId="4F72DC27" w14:textId="77777777" w:rsidR="009D132B" w:rsidRPr="004068F6" w:rsidRDefault="009D132B">
      <w:pPr>
        <w:numPr>
          <w:ilvl w:val="12"/>
          <w:numId w:val="0"/>
        </w:numPr>
        <w:tabs>
          <w:tab w:val="left" w:pos="-2268"/>
        </w:tabs>
        <w:suppressAutoHyphens/>
        <w:rPr>
          <w:spacing w:val="-3"/>
        </w:rPr>
      </w:pPr>
    </w:p>
    <w:p w14:paraId="0474A893" w14:textId="7F5B99B9" w:rsidR="009D132B" w:rsidRPr="004068F6" w:rsidRDefault="00590B9E">
      <w:pPr>
        <w:numPr>
          <w:ilvl w:val="12"/>
          <w:numId w:val="0"/>
        </w:numPr>
        <w:tabs>
          <w:tab w:val="left" w:pos="-2268"/>
        </w:tabs>
        <w:suppressAutoHyphens/>
        <w:rPr>
          <w:spacing w:val="-3"/>
        </w:rPr>
      </w:pPr>
      <w:r w:rsidRPr="004068F6">
        <w:rPr>
          <w:spacing w:val="-3"/>
        </w:rPr>
        <w:t xml:space="preserve">Señalar </w:t>
      </w:r>
      <w:r w:rsidR="009D132B" w:rsidRPr="004068F6">
        <w:rPr>
          <w:spacing w:val="-3"/>
        </w:rPr>
        <w:t>los usos establecidos en el Decreto 1076 de 2015 (artículo 2.2.3.3.2.1) o aquel que lo modifique</w:t>
      </w:r>
      <w:r w:rsidR="009D132B" w:rsidRPr="004068F6">
        <w:rPr>
          <w:rFonts w:cs="Arial"/>
          <w:spacing w:val="-3"/>
        </w:rPr>
        <w:t xml:space="preserve"> o</w:t>
      </w:r>
      <w:r w:rsidR="009D132B" w:rsidRPr="004068F6">
        <w:rPr>
          <w:spacing w:val="-3"/>
        </w:rPr>
        <w:t xml:space="preserve"> sustituya, cuantificando la demanda por uso, utilizando información presuntiva, primaria y/o secundaria (aquella que esté disponible en la autoridad ambiental competente).</w:t>
      </w:r>
    </w:p>
    <w:p w14:paraId="0A73D22B" w14:textId="77777777" w:rsidR="009D132B" w:rsidRPr="004068F6" w:rsidRDefault="009D132B">
      <w:pPr>
        <w:numPr>
          <w:ilvl w:val="12"/>
          <w:numId w:val="0"/>
        </w:numPr>
        <w:tabs>
          <w:tab w:val="left" w:pos="-2268"/>
        </w:tabs>
        <w:suppressAutoHyphens/>
        <w:rPr>
          <w:spacing w:val="-3"/>
        </w:rPr>
      </w:pPr>
    </w:p>
    <w:p w14:paraId="0EF3B6B4" w14:textId="588F94A2" w:rsidR="00A36E24" w:rsidRPr="004068F6" w:rsidRDefault="00A36E24" w:rsidP="00A36E24">
      <w:pPr>
        <w:numPr>
          <w:ilvl w:val="12"/>
          <w:numId w:val="0"/>
        </w:numPr>
        <w:tabs>
          <w:tab w:val="left" w:pos="-2268"/>
        </w:tabs>
        <w:suppressAutoHyphens/>
        <w:rPr>
          <w:spacing w:val="-3"/>
        </w:rPr>
      </w:pPr>
      <w:r w:rsidRPr="004068F6">
        <w:rPr>
          <w:spacing w:val="-3"/>
        </w:rPr>
        <w:t>Cuando los cuerpos de agua no tengan definidos sus usos en el marco de un Plan de Ordenamiento del Recurso Hídrico (PORH) o mediante objetivos de calidad existentes, el proyecto debe determinar los usos actuales del agua. Para ello, es fundamental la articulación con la autoridad ambiental competente</w:t>
      </w:r>
      <w:r w:rsidR="00B57A6A" w:rsidRPr="004068F6">
        <w:rPr>
          <w:spacing w:val="-3"/>
        </w:rPr>
        <w:t>;</w:t>
      </w:r>
      <w:r w:rsidRPr="004068F6">
        <w:rPr>
          <w:spacing w:val="-3"/>
        </w:rPr>
        <w:t xml:space="preserve"> </w:t>
      </w:r>
      <w:r w:rsidR="00B57A6A" w:rsidRPr="004068F6">
        <w:rPr>
          <w:spacing w:val="-3"/>
        </w:rPr>
        <w:t>e</w:t>
      </w:r>
      <w:r w:rsidRPr="004068F6">
        <w:rPr>
          <w:spacing w:val="-3"/>
        </w:rPr>
        <w:t xml:space="preserve">ste proceso debe armonizar la información de campo recopilada por el </w:t>
      </w:r>
      <w:r w:rsidR="00B57A6A" w:rsidRPr="004068F6">
        <w:rPr>
          <w:spacing w:val="-3"/>
        </w:rPr>
        <w:t xml:space="preserve">elaborador del estudio </w:t>
      </w:r>
      <w:r w:rsidRPr="004068F6">
        <w:rPr>
          <w:spacing w:val="-3"/>
        </w:rPr>
        <w:t>con la visión y la estrategia de gestión integral del recurso hídrico de dicha autoridad.</w:t>
      </w:r>
    </w:p>
    <w:p w14:paraId="36B4D356" w14:textId="77777777" w:rsidR="00A36E24" w:rsidRPr="004068F6" w:rsidRDefault="00A36E24" w:rsidP="00A36E24">
      <w:pPr>
        <w:numPr>
          <w:ilvl w:val="12"/>
          <w:numId w:val="0"/>
        </w:numPr>
        <w:tabs>
          <w:tab w:val="left" w:pos="-2268"/>
        </w:tabs>
        <w:suppressAutoHyphens/>
        <w:rPr>
          <w:spacing w:val="-3"/>
        </w:rPr>
      </w:pPr>
    </w:p>
    <w:p w14:paraId="521C49B5" w14:textId="28225AFA" w:rsidR="00A36E24" w:rsidRPr="004068F6" w:rsidRDefault="0039468B" w:rsidP="00A36E24">
      <w:pPr>
        <w:numPr>
          <w:ilvl w:val="12"/>
          <w:numId w:val="0"/>
        </w:numPr>
        <w:tabs>
          <w:tab w:val="left" w:pos="-2268"/>
        </w:tabs>
        <w:suppressAutoHyphens/>
        <w:rPr>
          <w:spacing w:val="-3"/>
        </w:rPr>
      </w:pPr>
      <w:r w:rsidRPr="004068F6">
        <w:rPr>
          <w:spacing w:val="-3"/>
        </w:rPr>
        <w:t xml:space="preserve">Esta </w:t>
      </w:r>
      <w:r w:rsidR="00A36E24" w:rsidRPr="004068F6">
        <w:rPr>
          <w:spacing w:val="-3"/>
        </w:rPr>
        <w:t>articulación es un proceso continuo</w:t>
      </w:r>
      <w:r w:rsidRPr="004068F6">
        <w:rPr>
          <w:spacing w:val="-3"/>
        </w:rPr>
        <w:t>, d</w:t>
      </w:r>
      <w:r w:rsidR="00A36E24" w:rsidRPr="004068F6">
        <w:rPr>
          <w:spacing w:val="-3"/>
        </w:rPr>
        <w:t>ebe ir más allá de un simple intercambio de información y enfocarse en la colaboración estratégica, donde se puede abordar bajo los siguientes ítems:</w:t>
      </w:r>
    </w:p>
    <w:p w14:paraId="224478D3" w14:textId="77777777" w:rsidR="00A36E24" w:rsidRPr="004068F6" w:rsidRDefault="00A36E24" w:rsidP="00A36E24">
      <w:pPr>
        <w:numPr>
          <w:ilvl w:val="12"/>
          <w:numId w:val="0"/>
        </w:numPr>
        <w:tabs>
          <w:tab w:val="left" w:pos="-2268"/>
        </w:tabs>
        <w:suppressAutoHyphens/>
        <w:rPr>
          <w:spacing w:val="-3"/>
        </w:rPr>
      </w:pPr>
    </w:p>
    <w:p w14:paraId="37DC08D9" w14:textId="355C488C" w:rsidR="00A36E24" w:rsidRPr="00127BD4" w:rsidRDefault="00A36E24" w:rsidP="00127BD4">
      <w:pPr>
        <w:pStyle w:val="Prrafodelista"/>
        <w:numPr>
          <w:ilvl w:val="0"/>
          <w:numId w:val="59"/>
        </w:numPr>
        <w:tabs>
          <w:tab w:val="left" w:pos="-2268"/>
        </w:tabs>
        <w:suppressAutoHyphens/>
        <w:ind w:left="567" w:hanging="567"/>
        <w:rPr>
          <w:bCs/>
          <w:spacing w:val="-3"/>
          <w:lang w:val="es-CO"/>
        </w:rPr>
      </w:pPr>
      <w:r w:rsidRPr="00FE1B78">
        <w:rPr>
          <w:bCs/>
          <w:spacing w:val="-3"/>
          <w:lang w:val="es-CO"/>
        </w:rPr>
        <w:t>Mesas de trabajo</w:t>
      </w:r>
      <w:r w:rsidR="007B3105" w:rsidRPr="00CD4321">
        <w:rPr>
          <w:bCs/>
          <w:spacing w:val="-3"/>
          <w:lang w:val="es-CO"/>
        </w:rPr>
        <w:t xml:space="preserve"> </w:t>
      </w:r>
      <w:r w:rsidRPr="00FE1B78">
        <w:rPr>
          <w:bCs/>
          <w:spacing w:val="-3"/>
          <w:lang w:val="es-CO"/>
        </w:rPr>
        <w:t xml:space="preserve">con la autoridad ambiental </w:t>
      </w:r>
      <w:r w:rsidR="00373E2A" w:rsidRPr="00CD4321">
        <w:rPr>
          <w:bCs/>
          <w:spacing w:val="-3"/>
          <w:lang w:val="es-CO"/>
        </w:rPr>
        <w:t xml:space="preserve">competente </w:t>
      </w:r>
      <w:r w:rsidRPr="00FE1B78">
        <w:rPr>
          <w:bCs/>
          <w:spacing w:val="-3"/>
          <w:lang w:val="es-CO"/>
        </w:rPr>
        <w:t xml:space="preserve">y la ANLA, cuando aplique, con el objetivo de presentar la información hidrológica, de calidad del agua y usos detallados recopilada, así como de </w:t>
      </w:r>
      <w:r w:rsidR="00373E2A" w:rsidRPr="00CD4321">
        <w:rPr>
          <w:bCs/>
          <w:spacing w:val="-3"/>
          <w:lang w:val="es-CO"/>
        </w:rPr>
        <w:t>i</w:t>
      </w:r>
      <w:r w:rsidRPr="00FE1B78">
        <w:rPr>
          <w:bCs/>
          <w:spacing w:val="-3"/>
          <w:lang w:val="es-CO"/>
        </w:rPr>
        <w:t>ntegrar la visión de la autoridad y analizar la información presentada.</w:t>
      </w:r>
    </w:p>
    <w:p w14:paraId="5BF73BD3" w14:textId="77777777" w:rsidR="007B3105" w:rsidRPr="004068F6" w:rsidRDefault="007B3105" w:rsidP="007B3105">
      <w:pPr>
        <w:pStyle w:val="Prrafodelista"/>
        <w:tabs>
          <w:tab w:val="left" w:pos="-2268"/>
        </w:tabs>
        <w:suppressAutoHyphens/>
        <w:ind w:left="567"/>
        <w:rPr>
          <w:bCs/>
          <w:spacing w:val="-3"/>
          <w:lang w:val="es-CO"/>
        </w:rPr>
      </w:pPr>
    </w:p>
    <w:p w14:paraId="0F4C50A4" w14:textId="22A2C01E" w:rsidR="00A36E24" w:rsidRPr="00127BD4" w:rsidRDefault="00A36E24" w:rsidP="00127BD4">
      <w:pPr>
        <w:pStyle w:val="Prrafodelista"/>
        <w:tabs>
          <w:tab w:val="left" w:pos="-2268"/>
        </w:tabs>
        <w:suppressAutoHyphens/>
        <w:ind w:left="567"/>
        <w:rPr>
          <w:bCs/>
          <w:spacing w:val="-3"/>
          <w:lang w:val="es-CO"/>
        </w:rPr>
      </w:pPr>
      <w:r w:rsidRPr="00FE1B78">
        <w:rPr>
          <w:bCs/>
          <w:spacing w:val="-3"/>
          <w:lang w:val="es-CO"/>
        </w:rPr>
        <w:t>Se debe presentar el análisis de usos actuales del agua a la autoridad ambiental e incorporar su retroalimentación. Esto incluye la socialización de los datos de campo, información presuntiva, primaria o secundaria y los criterios para la clasificación de los usos.</w:t>
      </w:r>
    </w:p>
    <w:p w14:paraId="7DBE54F4" w14:textId="77777777" w:rsidR="00A36E24" w:rsidRPr="00127BD4" w:rsidRDefault="00A36E24" w:rsidP="00127BD4">
      <w:pPr>
        <w:pStyle w:val="Prrafodelista"/>
        <w:tabs>
          <w:tab w:val="left" w:pos="-2268"/>
        </w:tabs>
        <w:suppressAutoHyphens/>
        <w:ind w:left="567"/>
        <w:rPr>
          <w:bCs/>
          <w:spacing w:val="-3"/>
          <w:lang w:val="es-CO"/>
        </w:rPr>
      </w:pPr>
    </w:p>
    <w:p w14:paraId="09CE0962" w14:textId="60CFD8BD" w:rsidR="00A36E24" w:rsidRPr="00CD4321" w:rsidRDefault="00A36E24" w:rsidP="00127BD4">
      <w:pPr>
        <w:pStyle w:val="Prrafodelista"/>
        <w:numPr>
          <w:ilvl w:val="0"/>
          <w:numId w:val="59"/>
        </w:numPr>
        <w:tabs>
          <w:tab w:val="left" w:pos="-2268"/>
        </w:tabs>
        <w:suppressAutoHyphens/>
        <w:ind w:left="567" w:hanging="567"/>
        <w:rPr>
          <w:bCs/>
          <w:spacing w:val="-3"/>
        </w:rPr>
      </w:pPr>
      <w:r w:rsidRPr="00FE1B78">
        <w:rPr>
          <w:bCs/>
          <w:spacing w:val="-3"/>
          <w:lang w:val="es-CO"/>
        </w:rPr>
        <w:t>Alineación con la planificación regional</w:t>
      </w:r>
      <w:r w:rsidR="00040593" w:rsidRPr="00CD4321">
        <w:rPr>
          <w:bCs/>
          <w:spacing w:val="-3"/>
          <w:lang w:val="es-CO"/>
        </w:rPr>
        <w:t>.</w:t>
      </w:r>
      <w:r w:rsidRPr="00FE1B78">
        <w:rPr>
          <w:bCs/>
          <w:spacing w:val="-3"/>
          <w:lang w:val="es-CO"/>
        </w:rPr>
        <w:t xml:space="preserve"> Es fundamental que la identificación de usos esté alineada con los instrumentos de planificación y administración del recurso hídrico de la autoridad ambiental, como los Planes de Ordenación y Manejo de Cuencas (POMCA), Planes de Manejo Ambiental de Microcuencas (PMAM), Planes de Manejo Ambiental de Acuíferos (PMAA)</w:t>
      </w:r>
      <w:r w:rsidR="00107E37" w:rsidRPr="00CD4321">
        <w:rPr>
          <w:bCs/>
          <w:spacing w:val="-3"/>
          <w:lang w:val="es-CO"/>
        </w:rPr>
        <w:t xml:space="preserve"> y</w:t>
      </w:r>
      <w:r w:rsidRPr="00FE1B78">
        <w:rPr>
          <w:bCs/>
          <w:spacing w:val="-3"/>
          <w:lang w:val="es-CO"/>
        </w:rPr>
        <w:t xml:space="preserve"> reglamentación del uso de las aguas</w:t>
      </w:r>
      <w:r w:rsidR="00107E37" w:rsidRPr="00CD4321">
        <w:rPr>
          <w:bCs/>
          <w:spacing w:val="-3"/>
          <w:lang w:val="es-CO"/>
        </w:rPr>
        <w:t xml:space="preserve"> y </w:t>
      </w:r>
      <w:r w:rsidRPr="00FE1B78">
        <w:rPr>
          <w:bCs/>
          <w:spacing w:val="-3"/>
          <w:lang w:val="es-CO"/>
        </w:rPr>
        <w:t>de vertimientos.</w:t>
      </w:r>
    </w:p>
    <w:p w14:paraId="4B02CA35" w14:textId="77777777" w:rsidR="00380E0B" w:rsidRPr="004068F6" w:rsidRDefault="00380E0B">
      <w:pPr>
        <w:numPr>
          <w:ilvl w:val="12"/>
          <w:numId w:val="0"/>
        </w:numPr>
        <w:tabs>
          <w:tab w:val="left" w:pos="-2268"/>
        </w:tabs>
        <w:suppressAutoHyphens/>
        <w:rPr>
          <w:spacing w:val="-3"/>
        </w:rPr>
      </w:pPr>
    </w:p>
    <w:p w14:paraId="198BBE4A" w14:textId="2765E843" w:rsidR="002E4CD2" w:rsidRPr="004068F6" w:rsidRDefault="009D132B" w:rsidP="00326DC9">
      <w:pPr>
        <w:numPr>
          <w:ilvl w:val="12"/>
          <w:numId w:val="0"/>
        </w:numPr>
        <w:tabs>
          <w:tab w:val="left" w:pos="-2268"/>
        </w:tabs>
        <w:suppressAutoHyphens/>
        <w:rPr>
          <w:spacing w:val="-3"/>
        </w:rPr>
      </w:pPr>
      <w:r w:rsidRPr="004068F6">
        <w:rPr>
          <w:spacing w:val="-3"/>
        </w:rPr>
        <w:t xml:space="preserve">Finalmente, se deben </w:t>
      </w:r>
      <w:r w:rsidR="00590B9E" w:rsidRPr="004068F6">
        <w:rPr>
          <w:spacing w:val="-3"/>
        </w:rPr>
        <w:t xml:space="preserve">determinar </w:t>
      </w:r>
      <w:r w:rsidRPr="004068F6">
        <w:rPr>
          <w:spacing w:val="-3"/>
        </w:rPr>
        <w:t xml:space="preserve">los conflictos por el uso del agua actuales en relación </w:t>
      </w:r>
      <w:r w:rsidRPr="004068F6">
        <w:rPr>
          <w:rFonts w:cs="Arial"/>
          <w:spacing w:val="-3"/>
        </w:rPr>
        <w:t>con</w:t>
      </w:r>
      <w:r w:rsidRPr="004068F6">
        <w:rPr>
          <w:spacing w:val="-3"/>
        </w:rPr>
        <w:t xml:space="preserve"> la disponibilidad y calidad del recurso, de acuerdo </w:t>
      </w:r>
      <w:r w:rsidRPr="004068F6">
        <w:rPr>
          <w:rFonts w:cs="Arial"/>
          <w:spacing w:val="-3"/>
        </w:rPr>
        <w:t>con el</w:t>
      </w:r>
      <w:r w:rsidRPr="004068F6">
        <w:rPr>
          <w:spacing w:val="-3"/>
        </w:rPr>
        <w:t xml:space="preserve"> inventario de usos</w:t>
      </w:r>
      <w:r w:rsidR="00D570DF" w:rsidRPr="004068F6">
        <w:rPr>
          <w:spacing w:val="-3"/>
        </w:rPr>
        <w:t>,</w:t>
      </w:r>
      <w:r w:rsidRPr="004068F6">
        <w:rPr>
          <w:spacing w:val="-3"/>
        </w:rPr>
        <w:t xml:space="preserve"> usuarios y </w:t>
      </w:r>
      <w:r w:rsidR="003C4380" w:rsidRPr="004068F6">
        <w:rPr>
          <w:spacing w:val="-3"/>
        </w:rPr>
        <w:t>e</w:t>
      </w:r>
      <w:r w:rsidRPr="004068F6">
        <w:rPr>
          <w:spacing w:val="-3"/>
        </w:rPr>
        <w:t>l análisis de la dinámica hidrológica.</w:t>
      </w:r>
      <w:r w:rsidR="002E4CD2" w:rsidRPr="004068F6">
        <w:rPr>
          <w:spacing w:val="-3"/>
        </w:rPr>
        <w:t xml:space="preserve"> Para determinar los conflictos por el uso del agua se deben tener en cuenta</w:t>
      </w:r>
      <w:r w:rsidR="00E2534D" w:rsidRPr="004068F6">
        <w:rPr>
          <w:spacing w:val="-3"/>
        </w:rPr>
        <w:t>, entre otros,</w:t>
      </w:r>
      <w:r w:rsidR="002E4CD2" w:rsidRPr="004068F6">
        <w:rPr>
          <w:spacing w:val="-3"/>
        </w:rPr>
        <w:t xml:space="preserve"> las problemáticas ambientales y </w:t>
      </w:r>
      <w:r w:rsidR="00375E54" w:rsidRPr="004068F6">
        <w:rPr>
          <w:spacing w:val="-3"/>
        </w:rPr>
        <w:t>otros</w:t>
      </w:r>
      <w:r w:rsidR="002E4CD2" w:rsidRPr="004068F6">
        <w:rPr>
          <w:spacing w:val="-3"/>
        </w:rPr>
        <w:t xml:space="preserve"> conflictos socioambientales asociados</w:t>
      </w:r>
      <w:r w:rsidR="00326DC9" w:rsidRPr="004068F6">
        <w:rPr>
          <w:spacing w:val="-3"/>
        </w:rPr>
        <w:t xml:space="preserve">; asimismo, se </w:t>
      </w:r>
      <w:r w:rsidR="002E4CD2" w:rsidRPr="004068F6">
        <w:rPr>
          <w:spacing w:val="-3"/>
        </w:rPr>
        <w:t>debe verificar que los usos definidos en el PORH concuerdan con los usos existentes</w:t>
      </w:r>
      <w:r w:rsidR="00326DC9" w:rsidRPr="004068F6">
        <w:rPr>
          <w:spacing w:val="-3"/>
        </w:rPr>
        <w:t xml:space="preserve"> (</w:t>
      </w:r>
      <w:r w:rsidR="003E7E8D" w:rsidRPr="004068F6">
        <w:rPr>
          <w:spacing w:val="-3"/>
        </w:rPr>
        <w:t xml:space="preserve">cuando los </w:t>
      </w:r>
      <w:r w:rsidR="00326DC9" w:rsidRPr="004068F6">
        <w:rPr>
          <w:spacing w:val="-3"/>
        </w:rPr>
        <w:t xml:space="preserve">cuerpos de </w:t>
      </w:r>
      <w:r w:rsidR="00326DC9" w:rsidRPr="004068F6">
        <w:rPr>
          <w:spacing w:val="-3"/>
        </w:rPr>
        <w:lastRenderedPageBreak/>
        <w:t xml:space="preserve">agua cuentan con </w:t>
      </w:r>
      <w:r w:rsidR="003E7E8D" w:rsidRPr="004068F6">
        <w:rPr>
          <w:spacing w:val="-3"/>
        </w:rPr>
        <w:t>este instrumento</w:t>
      </w:r>
      <w:r w:rsidR="00326DC9" w:rsidRPr="004068F6">
        <w:rPr>
          <w:spacing w:val="-3"/>
        </w:rPr>
        <w:t>)</w:t>
      </w:r>
      <w:r w:rsidR="00375E54" w:rsidRPr="004068F6">
        <w:rPr>
          <w:spacing w:val="-3"/>
        </w:rPr>
        <w:t>;</w:t>
      </w:r>
      <w:r w:rsidR="002E4CD2" w:rsidRPr="004068F6">
        <w:rPr>
          <w:spacing w:val="-3"/>
        </w:rPr>
        <w:t xml:space="preserve"> </w:t>
      </w:r>
      <w:r w:rsidR="00375E54" w:rsidRPr="004068F6">
        <w:rPr>
          <w:spacing w:val="-3"/>
        </w:rPr>
        <w:t>s</w:t>
      </w:r>
      <w:r w:rsidR="002E4CD2" w:rsidRPr="004068F6">
        <w:rPr>
          <w:spacing w:val="-3"/>
        </w:rPr>
        <w:t>i no hay concordancia con lo observado en campo</w:t>
      </w:r>
      <w:r w:rsidR="00891319" w:rsidRPr="004068F6">
        <w:rPr>
          <w:spacing w:val="-3"/>
        </w:rPr>
        <w:t xml:space="preserve">, esto puede tomarse </w:t>
      </w:r>
      <w:r w:rsidR="002E4CD2" w:rsidRPr="004068F6">
        <w:rPr>
          <w:spacing w:val="-3"/>
        </w:rPr>
        <w:t>como un indicio de conflicto por el uso del agua.</w:t>
      </w:r>
    </w:p>
    <w:p w14:paraId="210FDBC0" w14:textId="77777777" w:rsidR="002E4CD2" w:rsidRPr="004068F6" w:rsidRDefault="002E4CD2" w:rsidP="002E4CD2">
      <w:pPr>
        <w:numPr>
          <w:ilvl w:val="12"/>
          <w:numId w:val="0"/>
        </w:numPr>
        <w:tabs>
          <w:tab w:val="left" w:pos="-2268"/>
        </w:tabs>
        <w:suppressAutoHyphens/>
        <w:rPr>
          <w:bCs/>
          <w:spacing w:val="-3"/>
        </w:rPr>
      </w:pPr>
    </w:p>
    <w:p w14:paraId="18526908" w14:textId="2AA53AC6" w:rsidR="009D132B" w:rsidRPr="004068F6" w:rsidRDefault="002E4CD2">
      <w:pPr>
        <w:numPr>
          <w:ilvl w:val="12"/>
          <w:numId w:val="0"/>
        </w:numPr>
        <w:tabs>
          <w:tab w:val="left" w:pos="-2268"/>
        </w:tabs>
        <w:suppressAutoHyphens/>
        <w:rPr>
          <w:spacing w:val="-3"/>
        </w:rPr>
      </w:pPr>
      <w:r w:rsidRPr="004068F6">
        <w:rPr>
          <w:bCs/>
          <w:spacing w:val="-3"/>
        </w:rPr>
        <w:t>Como soporte de la identificación de los usos actuales se debe anexar registros fotográficos, bitácora de campo, censo de usuarios y demás documentos que den cuenta de los espacios realizados con la autoridad ambiental y las visitas de campo.</w:t>
      </w:r>
    </w:p>
    <w:p w14:paraId="6A5C6062" w14:textId="77777777" w:rsidR="008002C8" w:rsidRPr="004068F6" w:rsidRDefault="008002C8">
      <w:pPr>
        <w:numPr>
          <w:ilvl w:val="12"/>
          <w:numId w:val="0"/>
        </w:numPr>
        <w:tabs>
          <w:tab w:val="left" w:pos="-2268"/>
        </w:tabs>
        <w:suppressAutoHyphens/>
        <w:rPr>
          <w:spacing w:val="-3"/>
        </w:rPr>
      </w:pPr>
    </w:p>
    <w:p w14:paraId="46F2BB5C" w14:textId="77777777" w:rsidR="009D132B" w:rsidRPr="00466E26" w:rsidRDefault="009D132B" w:rsidP="000A1E20">
      <w:pPr>
        <w:pStyle w:val="Ttulo3"/>
      </w:pPr>
      <w:bookmarkStart w:id="2696" w:name="_Ref516121352"/>
      <w:bookmarkStart w:id="2697" w:name="_Toc412812765"/>
      <w:bookmarkStart w:id="2698" w:name="_Toc437936021"/>
      <w:bookmarkStart w:id="2699" w:name="_Ref495932385"/>
      <w:bookmarkStart w:id="2700" w:name="_Toc42764347"/>
      <w:bookmarkStart w:id="2701" w:name="_Toc230879654"/>
      <w:r w:rsidRPr="00466E26">
        <w:t>Hidrogeológico</w:t>
      </w:r>
      <w:bookmarkEnd w:id="2696"/>
      <w:bookmarkEnd w:id="2697"/>
      <w:bookmarkEnd w:id="2698"/>
      <w:bookmarkEnd w:id="2699"/>
      <w:bookmarkEnd w:id="2700"/>
      <w:bookmarkEnd w:id="2701"/>
    </w:p>
    <w:p w14:paraId="690A8EAA" w14:textId="77777777" w:rsidR="009D132B" w:rsidRPr="004068F6" w:rsidRDefault="009D132B">
      <w:pPr>
        <w:numPr>
          <w:ilvl w:val="12"/>
          <w:numId w:val="0"/>
        </w:numPr>
        <w:tabs>
          <w:tab w:val="left" w:pos="-2268"/>
        </w:tabs>
        <w:suppressAutoHyphens/>
        <w:rPr>
          <w:spacing w:val="-3"/>
        </w:rPr>
      </w:pPr>
    </w:p>
    <w:p w14:paraId="7E44F6E5" w14:textId="09AB8173" w:rsidR="00E449AA" w:rsidRPr="004068F6" w:rsidRDefault="00E449AA" w:rsidP="00E449AA">
      <w:pPr>
        <w:numPr>
          <w:ilvl w:val="12"/>
          <w:numId w:val="0"/>
        </w:numPr>
        <w:tabs>
          <w:tab w:val="left" w:pos="-2268"/>
        </w:tabs>
        <w:suppressAutoHyphens/>
        <w:rPr>
          <w:spacing w:val="-3"/>
        </w:rPr>
      </w:pPr>
      <w:r w:rsidRPr="004068F6">
        <w:rPr>
          <w:spacing w:val="-3"/>
        </w:rPr>
        <w:t xml:space="preserve">El </w:t>
      </w:r>
      <w:r w:rsidR="00B3248C" w:rsidRPr="004068F6">
        <w:rPr>
          <w:spacing w:val="-3"/>
        </w:rPr>
        <w:t xml:space="preserve">propósito de la información que debe incluir </w:t>
      </w:r>
      <w:r w:rsidRPr="004068F6">
        <w:rPr>
          <w:spacing w:val="-3"/>
        </w:rPr>
        <w:t xml:space="preserve">este componente </w:t>
      </w:r>
      <w:r w:rsidR="00B3248C" w:rsidRPr="004068F6">
        <w:rPr>
          <w:spacing w:val="-3"/>
        </w:rPr>
        <w:t>es</w:t>
      </w:r>
      <w:r w:rsidRPr="004068F6">
        <w:rPr>
          <w:spacing w:val="-3"/>
        </w:rPr>
        <w:t xml:space="preserve"> </w:t>
      </w:r>
      <w:r w:rsidR="00590B9E" w:rsidRPr="004068F6">
        <w:rPr>
          <w:spacing w:val="-3"/>
        </w:rPr>
        <w:t xml:space="preserve">definir y </w:t>
      </w:r>
      <w:r w:rsidRPr="004068F6">
        <w:rPr>
          <w:spacing w:val="-3"/>
        </w:rPr>
        <w:t>caracterizar las unidades hidrogeológicas existentes</w:t>
      </w:r>
      <w:r w:rsidR="00B3248C" w:rsidRPr="004068F6">
        <w:rPr>
          <w:spacing w:val="-3"/>
        </w:rPr>
        <w:t>, a fin de establecer una línea base que brinde elementos para determinar su viabilidad, formular las medidas de protección a que haya lugar y definir un punto de referencia para el posterior monitoreo en términos de calidad y cantidad del agua subterránea y de sus ecosistemas conexos</w:t>
      </w:r>
      <w:r w:rsidRPr="004068F6">
        <w:rPr>
          <w:spacing w:val="-3"/>
        </w:rPr>
        <w:t>.</w:t>
      </w:r>
    </w:p>
    <w:p w14:paraId="36C0A9A0" w14:textId="77777777" w:rsidR="00E449AA" w:rsidRPr="004068F6" w:rsidRDefault="00E449AA" w:rsidP="00E449AA">
      <w:pPr>
        <w:numPr>
          <w:ilvl w:val="12"/>
          <w:numId w:val="0"/>
        </w:numPr>
        <w:tabs>
          <w:tab w:val="left" w:pos="-2268"/>
        </w:tabs>
        <w:suppressAutoHyphens/>
        <w:rPr>
          <w:spacing w:val="-3"/>
        </w:rPr>
      </w:pPr>
    </w:p>
    <w:p w14:paraId="18383153" w14:textId="1391D0E7" w:rsidR="00E449AA" w:rsidRPr="004068F6" w:rsidRDefault="00312FC3" w:rsidP="00E449AA">
      <w:pPr>
        <w:numPr>
          <w:ilvl w:val="12"/>
          <w:numId w:val="0"/>
        </w:numPr>
        <w:tabs>
          <w:tab w:val="left" w:pos="-2268"/>
        </w:tabs>
        <w:suppressAutoHyphens/>
        <w:rPr>
          <w:spacing w:val="-3"/>
        </w:rPr>
      </w:pPr>
      <w:r w:rsidRPr="004068F6">
        <w:rPr>
          <w:spacing w:val="-3"/>
        </w:rPr>
        <w:t>S</w:t>
      </w:r>
      <w:r w:rsidR="00E449AA" w:rsidRPr="004068F6">
        <w:rPr>
          <w:spacing w:val="-3"/>
        </w:rPr>
        <w:t xml:space="preserve">e deben </w:t>
      </w:r>
      <w:r w:rsidR="00590B9E" w:rsidRPr="004068F6">
        <w:rPr>
          <w:spacing w:val="-3"/>
        </w:rPr>
        <w:t xml:space="preserve">determinar </w:t>
      </w:r>
      <w:r w:rsidR="00E449AA" w:rsidRPr="004068F6">
        <w:rPr>
          <w:spacing w:val="-3"/>
        </w:rPr>
        <w:t>los diferentes niveles acuíferos de carácter regional, intermedio y local, sus zonas de recarga, tránsito y descarga, dirección y movimiento del flujo, el tipo de acuífero, calidades y tipos de usos actuales y potenciales</w:t>
      </w:r>
      <w:r w:rsidR="008C1D2F" w:rsidRPr="004068F6">
        <w:rPr>
          <w:spacing w:val="-3"/>
        </w:rPr>
        <w:t xml:space="preserve"> (a partir de información oficial)</w:t>
      </w:r>
      <w:r w:rsidR="00E449AA" w:rsidRPr="004068F6">
        <w:rPr>
          <w:spacing w:val="-3"/>
        </w:rPr>
        <w:t>, considerando además</w:t>
      </w:r>
      <w:r w:rsidR="008C1D2F" w:rsidRPr="004068F6">
        <w:rPr>
          <w:spacing w:val="-3"/>
        </w:rPr>
        <w:t>,</w:t>
      </w:r>
      <w:r w:rsidR="00E449AA" w:rsidRPr="004068F6">
        <w:rPr>
          <w:spacing w:val="-3"/>
        </w:rPr>
        <w:t xml:space="preserve"> las investigaciones hidrogeológicas realizadas en la zona por diferentes instituciones, así como los planes de manejo ambiental de acuíferos</w:t>
      </w:r>
      <w:r w:rsidR="008C1D2F" w:rsidRPr="004068F6">
        <w:rPr>
          <w:spacing w:val="-3"/>
        </w:rPr>
        <w:t>, los planes de ordenación y manejo de cuencas hidrográficas</w:t>
      </w:r>
      <w:r w:rsidR="00E449AA" w:rsidRPr="004068F6">
        <w:rPr>
          <w:spacing w:val="-3"/>
        </w:rPr>
        <w:t xml:space="preserve"> y </w:t>
      </w:r>
      <w:r w:rsidR="00B3248C" w:rsidRPr="004068F6">
        <w:rPr>
          <w:spacing w:val="-3"/>
        </w:rPr>
        <w:t xml:space="preserve">la </w:t>
      </w:r>
      <w:r w:rsidR="00E449AA" w:rsidRPr="004068F6">
        <w:rPr>
          <w:spacing w:val="-3"/>
        </w:rPr>
        <w:t>reglamentación aplicable que posea la autoridad ambiental competente.</w:t>
      </w:r>
    </w:p>
    <w:p w14:paraId="3EC8FA98" w14:textId="77777777" w:rsidR="00E449AA" w:rsidRPr="004068F6" w:rsidRDefault="00E449AA" w:rsidP="00E449AA">
      <w:pPr>
        <w:numPr>
          <w:ilvl w:val="12"/>
          <w:numId w:val="0"/>
        </w:numPr>
        <w:tabs>
          <w:tab w:val="left" w:pos="-2268"/>
        </w:tabs>
        <w:suppressAutoHyphens/>
        <w:rPr>
          <w:spacing w:val="-3"/>
        </w:rPr>
      </w:pPr>
    </w:p>
    <w:p w14:paraId="3F4270F6" w14:textId="5C07E344" w:rsidR="00E449AA" w:rsidRPr="004068F6" w:rsidRDefault="00E449AA" w:rsidP="00E449AA">
      <w:pPr>
        <w:numPr>
          <w:ilvl w:val="12"/>
          <w:numId w:val="0"/>
        </w:numPr>
        <w:tabs>
          <w:tab w:val="left" w:pos="-2268"/>
        </w:tabs>
        <w:suppressAutoHyphens/>
        <w:rPr>
          <w:spacing w:val="-3"/>
        </w:rPr>
      </w:pPr>
      <w:r w:rsidRPr="004068F6">
        <w:rPr>
          <w:spacing w:val="-3"/>
        </w:rPr>
        <w:t>Como guía para el abordaje de las diferentes fases solicitadas pueden utilizarse los Lineamientos conceptuales y metodológicos de la Evaluación Regional del Agua – ERA (</w:t>
      </w:r>
      <w:r w:rsidR="00A92356" w:rsidRPr="004068F6">
        <w:rPr>
          <w:spacing w:val="-3"/>
        </w:rPr>
        <w:t>Ideam</w:t>
      </w:r>
      <w:r w:rsidRPr="004068F6">
        <w:rPr>
          <w:spacing w:val="-3"/>
        </w:rPr>
        <w:t>, 2013), el Estudio Nacional del Agua 2018, la Guía metodológica para la formulación de planes de manejo ambiental de acuíferos (Minambiente, 2014) y los lineamientos vigentes para la presentación de mapas hidrogeológicos del Servicio Geológico Colombiano (SGC).</w:t>
      </w:r>
    </w:p>
    <w:p w14:paraId="72F45BBD" w14:textId="77777777" w:rsidR="00E449AA" w:rsidRPr="004068F6" w:rsidRDefault="00E449AA" w:rsidP="00E449AA">
      <w:pPr>
        <w:numPr>
          <w:ilvl w:val="12"/>
          <w:numId w:val="0"/>
        </w:numPr>
        <w:tabs>
          <w:tab w:val="left" w:pos="-2268"/>
        </w:tabs>
        <w:suppressAutoHyphens/>
        <w:rPr>
          <w:spacing w:val="-3"/>
        </w:rPr>
      </w:pPr>
    </w:p>
    <w:p w14:paraId="29616D4B" w14:textId="51A76D71" w:rsidR="00E449AA" w:rsidRPr="004068F6" w:rsidRDefault="00E449AA" w:rsidP="00E449AA">
      <w:pPr>
        <w:numPr>
          <w:ilvl w:val="12"/>
          <w:numId w:val="0"/>
        </w:numPr>
        <w:tabs>
          <w:tab w:val="left" w:pos="-2268"/>
        </w:tabs>
        <w:suppressAutoHyphens/>
        <w:rPr>
          <w:spacing w:val="-3"/>
        </w:rPr>
      </w:pPr>
      <w:r w:rsidRPr="004068F6">
        <w:rPr>
          <w:spacing w:val="-3"/>
        </w:rPr>
        <w:t xml:space="preserve">El resultado de </w:t>
      </w:r>
      <w:r w:rsidR="00323435" w:rsidRPr="004068F6">
        <w:rPr>
          <w:spacing w:val="-3"/>
        </w:rPr>
        <w:t xml:space="preserve">esta </w:t>
      </w:r>
      <w:r w:rsidRPr="004068F6">
        <w:rPr>
          <w:spacing w:val="-3"/>
        </w:rPr>
        <w:t xml:space="preserve">caracterización es un </w:t>
      </w:r>
      <w:r w:rsidR="00B3248C" w:rsidRPr="004068F6">
        <w:rPr>
          <w:spacing w:val="-3"/>
        </w:rPr>
        <w:t>M</w:t>
      </w:r>
      <w:r w:rsidRPr="004068F6">
        <w:rPr>
          <w:spacing w:val="-3"/>
        </w:rPr>
        <w:t xml:space="preserve">odelo </w:t>
      </w:r>
      <w:r w:rsidR="00B3248C" w:rsidRPr="004068F6">
        <w:rPr>
          <w:spacing w:val="-3"/>
        </w:rPr>
        <w:t>H</w:t>
      </w:r>
      <w:r w:rsidRPr="004068F6">
        <w:rPr>
          <w:spacing w:val="-3"/>
        </w:rPr>
        <w:t xml:space="preserve">idrogeológico </w:t>
      </w:r>
      <w:r w:rsidR="00B3248C" w:rsidRPr="004068F6">
        <w:rPr>
          <w:spacing w:val="-3"/>
        </w:rPr>
        <w:t>C</w:t>
      </w:r>
      <w:r w:rsidRPr="004068F6">
        <w:rPr>
          <w:spacing w:val="-3"/>
        </w:rPr>
        <w:t xml:space="preserve">onceptual (MHC) orientado a </w:t>
      </w:r>
      <w:r w:rsidR="00B3248C" w:rsidRPr="004068F6">
        <w:rPr>
          <w:spacing w:val="-3"/>
        </w:rPr>
        <w:t>representar</w:t>
      </w:r>
      <w:r w:rsidRPr="004068F6">
        <w:rPr>
          <w:spacing w:val="-3"/>
        </w:rPr>
        <w:t xml:space="preserve"> el conocimiento sobre el funcionamiento de las unidades hidrogeológicas susceptibles </w:t>
      </w:r>
      <w:r w:rsidR="002D6507" w:rsidRPr="004068F6">
        <w:rPr>
          <w:spacing w:val="-3"/>
        </w:rPr>
        <w:t xml:space="preserve">de </w:t>
      </w:r>
      <w:r w:rsidRPr="004068F6">
        <w:rPr>
          <w:spacing w:val="-3"/>
        </w:rPr>
        <w:t xml:space="preserve">intervención o afectación por el proyecto, </w:t>
      </w:r>
      <w:r w:rsidR="00B3248C" w:rsidRPr="004068F6">
        <w:rPr>
          <w:spacing w:val="-3"/>
        </w:rPr>
        <w:t xml:space="preserve">obra o actividad; </w:t>
      </w:r>
      <w:r w:rsidRPr="004068F6">
        <w:rPr>
          <w:spacing w:val="-3"/>
        </w:rPr>
        <w:t xml:space="preserve">para </w:t>
      </w:r>
      <w:r w:rsidR="00B3248C" w:rsidRPr="004068F6">
        <w:rPr>
          <w:spacing w:val="-3"/>
        </w:rPr>
        <w:t xml:space="preserve">su formulación, </w:t>
      </w:r>
      <w:r w:rsidRPr="004068F6">
        <w:rPr>
          <w:spacing w:val="-3"/>
        </w:rPr>
        <w:t>se debe realizar la caracterización de cada uno de lo</w:t>
      </w:r>
      <w:r w:rsidR="00B3248C" w:rsidRPr="004068F6">
        <w:rPr>
          <w:spacing w:val="-3"/>
        </w:rPr>
        <w:t>s</w:t>
      </w:r>
      <w:r w:rsidRPr="004068F6">
        <w:rPr>
          <w:spacing w:val="-3"/>
        </w:rPr>
        <w:t xml:space="preserve"> siguiente</w:t>
      </w:r>
      <w:r w:rsidR="00B3248C" w:rsidRPr="004068F6">
        <w:rPr>
          <w:spacing w:val="-3"/>
        </w:rPr>
        <w:t>s elementos</w:t>
      </w:r>
      <w:r w:rsidRPr="004068F6">
        <w:rPr>
          <w:spacing w:val="-3"/>
        </w:rPr>
        <w:t>:</w:t>
      </w:r>
    </w:p>
    <w:p w14:paraId="19AA987C" w14:textId="77777777" w:rsidR="00E449AA" w:rsidRPr="004068F6" w:rsidRDefault="00E449AA" w:rsidP="00E449AA">
      <w:pPr>
        <w:numPr>
          <w:ilvl w:val="12"/>
          <w:numId w:val="0"/>
        </w:numPr>
        <w:tabs>
          <w:tab w:val="left" w:pos="-2268"/>
        </w:tabs>
        <w:suppressAutoHyphens/>
        <w:rPr>
          <w:spacing w:val="-3"/>
        </w:rPr>
      </w:pPr>
    </w:p>
    <w:p w14:paraId="40A89667" w14:textId="0C75398F" w:rsidR="00E449AA" w:rsidRPr="004068F6" w:rsidRDefault="00E449AA" w:rsidP="009420F5">
      <w:pPr>
        <w:pStyle w:val="Prrafodelista"/>
        <w:numPr>
          <w:ilvl w:val="0"/>
          <w:numId w:val="59"/>
        </w:numPr>
        <w:tabs>
          <w:tab w:val="left" w:pos="-2268"/>
        </w:tabs>
        <w:suppressAutoHyphens/>
        <w:ind w:left="567" w:hanging="567"/>
        <w:rPr>
          <w:spacing w:val="-3"/>
          <w:lang w:val="es-CO"/>
        </w:rPr>
      </w:pPr>
      <w:r w:rsidRPr="004068F6">
        <w:rPr>
          <w:bCs/>
          <w:spacing w:val="-3"/>
          <w:lang w:val="es-CO"/>
        </w:rPr>
        <w:t>Geol</w:t>
      </w:r>
      <w:r w:rsidR="001540A3" w:rsidRPr="004068F6">
        <w:rPr>
          <w:bCs/>
          <w:spacing w:val="-3"/>
          <w:lang w:val="es-CO"/>
        </w:rPr>
        <w:t>ógicos.</w:t>
      </w:r>
      <w:r w:rsidRPr="004068F6">
        <w:rPr>
          <w:spacing w:val="-3"/>
          <w:lang w:val="es-CO"/>
        </w:rPr>
        <w:t xml:space="preserve"> </w:t>
      </w:r>
      <w:r w:rsidR="001540A3" w:rsidRPr="004068F6">
        <w:rPr>
          <w:spacing w:val="-3"/>
          <w:lang w:val="es-CO"/>
        </w:rPr>
        <w:t>A</w:t>
      </w:r>
      <w:r w:rsidRPr="004068F6">
        <w:rPr>
          <w:spacing w:val="-3"/>
          <w:lang w:val="es-CO"/>
        </w:rPr>
        <w:t xml:space="preserve"> partir de la información consignada y analizada en la sección </w:t>
      </w:r>
      <w:r w:rsidR="00B3248C" w:rsidRPr="004068F6">
        <w:rPr>
          <w:spacing w:val="-3"/>
          <w:lang w:val="es-CO"/>
        </w:rPr>
        <w:fldChar w:fldCharType="begin"/>
      </w:r>
      <w:r w:rsidR="00B3248C" w:rsidRPr="004068F6">
        <w:rPr>
          <w:spacing w:val="-3"/>
          <w:lang w:val="es-CO"/>
        </w:rPr>
        <w:instrText xml:space="preserve"> REF _Ref78816980 \r \h </w:instrText>
      </w:r>
      <w:r w:rsidR="001540A3" w:rsidRPr="004068F6">
        <w:rPr>
          <w:spacing w:val="-3"/>
          <w:lang w:val="es-CO"/>
        </w:rPr>
        <w:instrText xml:space="preserve"> \* MERGEFORMAT </w:instrText>
      </w:r>
      <w:r w:rsidR="00B3248C" w:rsidRPr="004068F6">
        <w:rPr>
          <w:spacing w:val="-3"/>
          <w:lang w:val="es-CO"/>
        </w:rPr>
      </w:r>
      <w:r w:rsidR="00B3248C" w:rsidRPr="004068F6">
        <w:rPr>
          <w:spacing w:val="-3"/>
          <w:lang w:val="es-CO"/>
        </w:rPr>
        <w:fldChar w:fldCharType="separate"/>
      </w:r>
      <w:r w:rsidR="009C4A81">
        <w:rPr>
          <w:spacing w:val="-3"/>
          <w:lang w:val="es-CO"/>
        </w:rPr>
        <w:t>4.1.1</w:t>
      </w:r>
      <w:r w:rsidR="00B3248C" w:rsidRPr="004068F6">
        <w:rPr>
          <w:spacing w:val="-3"/>
          <w:lang w:val="es-CO"/>
        </w:rPr>
        <w:fldChar w:fldCharType="end"/>
      </w:r>
      <w:r w:rsidR="00B3248C" w:rsidRPr="004068F6">
        <w:rPr>
          <w:spacing w:val="-3"/>
          <w:lang w:val="es-CO"/>
        </w:rPr>
        <w:t xml:space="preserve"> del capítulo III </w:t>
      </w:r>
      <w:r w:rsidRPr="004068F6">
        <w:rPr>
          <w:spacing w:val="-3"/>
          <w:lang w:val="es-CO"/>
        </w:rPr>
        <w:t xml:space="preserve">de la presente metodología, se debe establecer el comportamiento hidrogeológico de cada una de las unidades geológicas identificadas. Para los medios fracturados identificados se debe determinar y caracterizar lineamientos, fallas y fracturas, indicando buzamiento y orientación, espesor, permeabilidad, presencia de brechas, entre otras características, </w:t>
      </w:r>
      <w:r w:rsidR="001540A3" w:rsidRPr="004068F6">
        <w:rPr>
          <w:spacing w:val="-3"/>
          <w:lang w:val="es-CO"/>
        </w:rPr>
        <w:t xml:space="preserve">y </w:t>
      </w:r>
      <w:r w:rsidR="00590B9E" w:rsidRPr="004068F6">
        <w:rPr>
          <w:spacing w:val="-3"/>
          <w:lang w:val="es-CO"/>
        </w:rPr>
        <w:t xml:space="preserve">establecer </w:t>
      </w:r>
      <w:r w:rsidRPr="004068F6">
        <w:rPr>
          <w:spacing w:val="-3"/>
          <w:lang w:val="es-CO"/>
        </w:rPr>
        <w:t xml:space="preserve">su </w:t>
      </w:r>
      <w:r w:rsidRPr="004068F6">
        <w:rPr>
          <w:spacing w:val="-3"/>
          <w:lang w:val="es-CO"/>
        </w:rPr>
        <w:lastRenderedPageBreak/>
        <w:t>comportamiento como barrera de baja o alta permeabilidad o c</w:t>
      </w:r>
      <w:r w:rsidR="00B3248C" w:rsidRPr="004068F6">
        <w:rPr>
          <w:spacing w:val="-3"/>
          <w:lang w:val="es-CO"/>
        </w:rPr>
        <w:t>ondición preferencial de flujo.</w:t>
      </w:r>
    </w:p>
    <w:p w14:paraId="7F083E78" w14:textId="77777777" w:rsidR="00B3248C" w:rsidRPr="004068F6" w:rsidRDefault="00B3248C" w:rsidP="00E449AA">
      <w:pPr>
        <w:numPr>
          <w:ilvl w:val="12"/>
          <w:numId w:val="0"/>
        </w:numPr>
        <w:tabs>
          <w:tab w:val="left" w:pos="-2268"/>
        </w:tabs>
        <w:suppressAutoHyphens/>
        <w:rPr>
          <w:spacing w:val="-3"/>
        </w:rPr>
      </w:pPr>
    </w:p>
    <w:p w14:paraId="1E9EC097" w14:textId="6B47FD61" w:rsidR="00E449AA" w:rsidRPr="004068F6" w:rsidRDefault="00E449AA"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Geofísic</w:t>
      </w:r>
      <w:r w:rsidR="001540A3" w:rsidRPr="004068F6">
        <w:rPr>
          <w:bCs/>
          <w:spacing w:val="-3"/>
          <w:lang w:val="es-CO"/>
        </w:rPr>
        <w:t>os.</w:t>
      </w:r>
      <w:r w:rsidRPr="004068F6">
        <w:rPr>
          <w:bCs/>
          <w:spacing w:val="-3"/>
          <w:lang w:val="es-CO"/>
        </w:rPr>
        <w:t xml:space="preserve"> </w:t>
      </w:r>
      <w:r w:rsidR="001540A3" w:rsidRPr="004068F6">
        <w:rPr>
          <w:bCs/>
          <w:spacing w:val="-3"/>
          <w:lang w:val="es-CO"/>
        </w:rPr>
        <w:t>Se</w:t>
      </w:r>
      <w:r w:rsidRPr="004068F6">
        <w:rPr>
          <w:bCs/>
          <w:spacing w:val="-3"/>
          <w:lang w:val="es-CO"/>
        </w:rPr>
        <w:t xml:space="preserve"> debe efectuar un estudio geofísico representativo, incluyendo los parámetros de adquisición, la descripción del método geofísico empleado, justificando su selección de acuerdo con las condiciones geológicas-estructurales particulares del área. Se debe realizar </w:t>
      </w:r>
      <w:r w:rsidR="001540A3" w:rsidRPr="004068F6">
        <w:rPr>
          <w:bCs/>
          <w:spacing w:val="-3"/>
          <w:lang w:val="es-CO"/>
        </w:rPr>
        <w:t xml:space="preserve">la </w:t>
      </w:r>
      <w:r w:rsidRPr="004068F6">
        <w:rPr>
          <w:bCs/>
          <w:spacing w:val="-3"/>
          <w:lang w:val="es-CO"/>
        </w:rPr>
        <w:t xml:space="preserve">interpretación y correlación de las unidades litológicas con sus valores geofísicos obtenidos respecto a las unidades litológicas presentes. Adicionalmente, </w:t>
      </w:r>
      <w:r w:rsidR="001540A3" w:rsidRPr="004068F6">
        <w:rPr>
          <w:bCs/>
          <w:spacing w:val="-3"/>
          <w:lang w:val="es-CO"/>
        </w:rPr>
        <w:t xml:space="preserve">se debe </w:t>
      </w:r>
      <w:r w:rsidRPr="004068F6">
        <w:rPr>
          <w:bCs/>
          <w:spacing w:val="-3"/>
          <w:lang w:val="es-CO"/>
        </w:rPr>
        <w:t>presentar un mapa y perfiles con la distribución espacial de los puntos de medición y captura de datos geofísicos. Se debe suministrar tanto los datos de campo, como la interpretación de estos incluyendo un análisi</w:t>
      </w:r>
      <w:r w:rsidR="001540A3" w:rsidRPr="004068F6">
        <w:rPr>
          <w:bCs/>
          <w:spacing w:val="-3"/>
          <w:lang w:val="es-CO"/>
        </w:rPr>
        <w:t>s de certidumbre de resultados.</w:t>
      </w:r>
    </w:p>
    <w:p w14:paraId="71CF3811" w14:textId="77777777" w:rsidR="001540A3" w:rsidRPr="004068F6" w:rsidRDefault="001540A3" w:rsidP="00E449AA">
      <w:pPr>
        <w:numPr>
          <w:ilvl w:val="12"/>
          <w:numId w:val="0"/>
        </w:numPr>
        <w:tabs>
          <w:tab w:val="left" w:pos="-2268"/>
        </w:tabs>
        <w:suppressAutoHyphens/>
        <w:rPr>
          <w:spacing w:val="-3"/>
        </w:rPr>
      </w:pPr>
    </w:p>
    <w:p w14:paraId="4B4F2C28" w14:textId="58C901E4" w:rsidR="00E449AA" w:rsidRPr="004068F6" w:rsidRDefault="00E449AA"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 xml:space="preserve">Modelo </w:t>
      </w:r>
      <w:r w:rsidR="001540A3" w:rsidRPr="004068F6">
        <w:rPr>
          <w:bCs/>
          <w:spacing w:val="-3"/>
          <w:lang w:val="es-CO"/>
        </w:rPr>
        <w:t>g</w:t>
      </w:r>
      <w:r w:rsidRPr="004068F6">
        <w:rPr>
          <w:bCs/>
          <w:spacing w:val="-3"/>
          <w:lang w:val="es-CO"/>
        </w:rPr>
        <w:t>eológico-</w:t>
      </w:r>
      <w:r w:rsidR="001540A3" w:rsidRPr="004068F6">
        <w:rPr>
          <w:bCs/>
          <w:spacing w:val="-3"/>
          <w:lang w:val="es-CO"/>
        </w:rPr>
        <w:t>g</w:t>
      </w:r>
      <w:r w:rsidRPr="004068F6">
        <w:rPr>
          <w:bCs/>
          <w:spacing w:val="-3"/>
          <w:lang w:val="es-CO"/>
        </w:rPr>
        <w:t>eofísico</w:t>
      </w:r>
      <w:r w:rsidR="001540A3" w:rsidRPr="004068F6">
        <w:rPr>
          <w:bCs/>
          <w:spacing w:val="-3"/>
          <w:lang w:val="es-CO"/>
        </w:rPr>
        <w:t>.</w:t>
      </w:r>
      <w:r w:rsidRPr="004068F6">
        <w:rPr>
          <w:bCs/>
          <w:spacing w:val="-3"/>
          <w:lang w:val="es-CO"/>
        </w:rPr>
        <w:t xml:space="preserve"> </w:t>
      </w:r>
      <w:r w:rsidR="001540A3" w:rsidRPr="004068F6">
        <w:rPr>
          <w:bCs/>
          <w:spacing w:val="-3"/>
          <w:lang w:val="es-CO"/>
        </w:rPr>
        <w:t>C</w:t>
      </w:r>
      <w:r w:rsidRPr="004068F6">
        <w:rPr>
          <w:bCs/>
          <w:spacing w:val="-3"/>
          <w:lang w:val="es-CO"/>
        </w:rPr>
        <w:t xml:space="preserve">on base en la información geológica </w:t>
      </w:r>
      <w:r w:rsidR="00DF2731" w:rsidRPr="004068F6">
        <w:rPr>
          <w:bCs/>
          <w:spacing w:val="-3"/>
          <w:lang w:val="es-CO"/>
        </w:rPr>
        <w:t xml:space="preserve">(p. ej. pozos, perforaciones, columnas estratigráficas) </w:t>
      </w:r>
      <w:r w:rsidRPr="004068F6">
        <w:rPr>
          <w:bCs/>
          <w:spacing w:val="-3"/>
          <w:lang w:val="es-CO"/>
        </w:rPr>
        <w:t xml:space="preserve">y </w:t>
      </w:r>
      <w:r w:rsidR="00DF2731" w:rsidRPr="004068F6">
        <w:rPr>
          <w:bCs/>
          <w:spacing w:val="-3"/>
          <w:lang w:val="es-CO"/>
        </w:rPr>
        <w:t>los resultados de los métodos geofísicos</w:t>
      </w:r>
      <w:r w:rsidRPr="004068F6">
        <w:rPr>
          <w:bCs/>
          <w:spacing w:val="-3"/>
          <w:lang w:val="es-CO"/>
        </w:rPr>
        <w:t>, se debe construir un modelo tridimensional con sus respectivos perfiles, en el cual, se determine la geometría de cada una de las unidades geológicas, la profundidad del techo y base, sus espesores promedio, total y saturado, continuidad y extensión lateral y sus fronteras permeables, impermeables y semipermeables, identificando las discontinuidades geológicas y estructurales (fallas, zonas fracturadas, karst), propiedades de las formaciones geológicas, porosidad y estructura del subsuelo.</w:t>
      </w:r>
    </w:p>
    <w:p w14:paraId="24F49D73" w14:textId="77777777" w:rsidR="001540A3" w:rsidRPr="004068F6" w:rsidRDefault="001540A3" w:rsidP="00E449AA">
      <w:pPr>
        <w:numPr>
          <w:ilvl w:val="12"/>
          <w:numId w:val="0"/>
        </w:numPr>
        <w:tabs>
          <w:tab w:val="left" w:pos="-2268"/>
        </w:tabs>
        <w:suppressAutoHyphens/>
        <w:rPr>
          <w:spacing w:val="-3"/>
        </w:rPr>
      </w:pPr>
    </w:p>
    <w:p w14:paraId="375DE96D" w14:textId="092E98A5" w:rsidR="00E449AA" w:rsidRPr="004068F6" w:rsidRDefault="001540A3"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U</w:t>
      </w:r>
      <w:r w:rsidR="00E449AA" w:rsidRPr="004068F6">
        <w:rPr>
          <w:bCs/>
          <w:spacing w:val="-3"/>
          <w:lang w:val="es-CO"/>
        </w:rPr>
        <w:t>nidades hidrogeológicas</w:t>
      </w:r>
      <w:r w:rsidRPr="004068F6">
        <w:rPr>
          <w:bCs/>
          <w:spacing w:val="-3"/>
          <w:lang w:val="es-CO"/>
        </w:rPr>
        <w:t>.</w:t>
      </w:r>
      <w:r w:rsidR="00E449AA" w:rsidRPr="004068F6">
        <w:rPr>
          <w:bCs/>
          <w:spacing w:val="-3"/>
          <w:lang w:val="es-CO"/>
        </w:rPr>
        <w:t xml:space="preserve"> </w:t>
      </w:r>
      <w:r w:rsidRPr="004068F6">
        <w:rPr>
          <w:bCs/>
          <w:spacing w:val="-3"/>
          <w:lang w:val="es-CO"/>
        </w:rPr>
        <w:t>S</w:t>
      </w:r>
      <w:r w:rsidR="00E449AA" w:rsidRPr="004068F6">
        <w:rPr>
          <w:bCs/>
          <w:spacing w:val="-3"/>
          <w:lang w:val="es-CO"/>
        </w:rPr>
        <w:t xml:space="preserve">e deben </w:t>
      </w:r>
      <w:r w:rsidR="00F0355C" w:rsidRPr="004068F6">
        <w:rPr>
          <w:bCs/>
          <w:spacing w:val="-3"/>
          <w:lang w:val="es-CO"/>
        </w:rPr>
        <w:t xml:space="preserve">determinar </w:t>
      </w:r>
      <w:r w:rsidR="00E449AA" w:rsidRPr="004068F6">
        <w:rPr>
          <w:bCs/>
          <w:spacing w:val="-3"/>
          <w:lang w:val="es-CO"/>
        </w:rPr>
        <w:t xml:space="preserve">y clasificar las unidades hidrogeológicas </w:t>
      </w:r>
      <w:r w:rsidR="00DF2731" w:rsidRPr="004068F6">
        <w:rPr>
          <w:bCs/>
          <w:spacing w:val="-3"/>
          <w:lang w:val="es-CO"/>
        </w:rPr>
        <w:t>definidas en el modelo geológico-geofísico</w:t>
      </w:r>
      <w:r w:rsidR="00E449AA" w:rsidRPr="004068F6">
        <w:rPr>
          <w:bCs/>
          <w:spacing w:val="-3"/>
          <w:lang w:val="es-CO"/>
        </w:rPr>
        <w:t xml:space="preserve">, indicando el nombre de la formación o formaciones geológicas que la conforman y sus características litológicas, texturales y estructurales que condicionan y describen el comportamiento hidrogeológico. La nomenclatura de las unidades hidrogeológicas debe realizarse según la metodología de la Asociación Internacional de Hidrogeólogos (IAH) </w:t>
      </w:r>
      <w:r w:rsidR="00BC79DF" w:rsidRPr="004068F6">
        <w:rPr>
          <w:bCs/>
          <w:spacing w:val="-3"/>
          <w:lang w:val="es-CO"/>
        </w:rPr>
        <w:t xml:space="preserve">señalada en el documento de </w:t>
      </w:r>
      <w:r w:rsidR="00595D9D" w:rsidRPr="004068F6">
        <w:rPr>
          <w:bCs/>
          <w:spacing w:val="-3"/>
          <w:lang w:val="es-CO"/>
        </w:rPr>
        <w:t>Struckmeier &amp; Margat</w:t>
      </w:r>
      <w:r w:rsidR="00E449AA" w:rsidRPr="004068F6">
        <w:rPr>
          <w:bCs/>
          <w:spacing w:val="-3"/>
          <w:lang w:val="es-CO"/>
        </w:rPr>
        <w:t xml:space="preserve"> </w:t>
      </w:r>
      <w:r w:rsidR="00BC79DF" w:rsidRPr="004068F6">
        <w:rPr>
          <w:bCs/>
          <w:spacing w:val="-3"/>
          <w:lang w:val="es-CO"/>
        </w:rPr>
        <w:t>(</w:t>
      </w:r>
      <w:r w:rsidR="00E449AA" w:rsidRPr="004068F6">
        <w:rPr>
          <w:bCs/>
          <w:spacing w:val="-3"/>
          <w:lang w:val="es-CO"/>
        </w:rPr>
        <w:t>1995) o aquella que la modifique o sustituya.</w:t>
      </w:r>
    </w:p>
    <w:p w14:paraId="32C0B599" w14:textId="77777777" w:rsidR="001540A3" w:rsidRPr="004068F6" w:rsidRDefault="001540A3" w:rsidP="00E449AA">
      <w:pPr>
        <w:numPr>
          <w:ilvl w:val="12"/>
          <w:numId w:val="0"/>
        </w:numPr>
        <w:tabs>
          <w:tab w:val="left" w:pos="-2268"/>
        </w:tabs>
        <w:suppressAutoHyphens/>
        <w:rPr>
          <w:spacing w:val="-3"/>
        </w:rPr>
      </w:pPr>
    </w:p>
    <w:p w14:paraId="28D0CDD8" w14:textId="5BA297C7" w:rsidR="00E449AA" w:rsidRPr="004068F6" w:rsidRDefault="00E449AA"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 xml:space="preserve">Interconexión </w:t>
      </w:r>
      <w:r w:rsidR="001540A3" w:rsidRPr="004068F6">
        <w:rPr>
          <w:bCs/>
          <w:spacing w:val="-3"/>
          <w:lang w:val="es-CO"/>
        </w:rPr>
        <w:t>a</w:t>
      </w:r>
      <w:r w:rsidRPr="004068F6">
        <w:rPr>
          <w:bCs/>
          <w:spacing w:val="-3"/>
          <w:lang w:val="es-CO"/>
        </w:rPr>
        <w:t xml:space="preserve">gua </w:t>
      </w:r>
      <w:r w:rsidR="001540A3" w:rsidRPr="004068F6">
        <w:rPr>
          <w:bCs/>
          <w:spacing w:val="-3"/>
          <w:lang w:val="es-CO"/>
        </w:rPr>
        <w:t>s</w:t>
      </w:r>
      <w:r w:rsidRPr="004068F6">
        <w:rPr>
          <w:bCs/>
          <w:spacing w:val="-3"/>
          <w:lang w:val="es-CO"/>
        </w:rPr>
        <w:t xml:space="preserve">uperficial y </w:t>
      </w:r>
      <w:r w:rsidR="001540A3" w:rsidRPr="004068F6">
        <w:rPr>
          <w:bCs/>
          <w:spacing w:val="-3"/>
          <w:lang w:val="es-CO"/>
        </w:rPr>
        <w:t>s</w:t>
      </w:r>
      <w:r w:rsidRPr="004068F6">
        <w:rPr>
          <w:bCs/>
          <w:spacing w:val="-3"/>
          <w:lang w:val="es-CO"/>
        </w:rPr>
        <w:t>ubterránea</w:t>
      </w:r>
      <w:r w:rsidR="001540A3" w:rsidRPr="004068F6">
        <w:rPr>
          <w:bCs/>
          <w:spacing w:val="-3"/>
          <w:lang w:val="es-CO"/>
        </w:rPr>
        <w:t>.</w:t>
      </w:r>
      <w:r w:rsidRPr="004068F6">
        <w:rPr>
          <w:bCs/>
          <w:spacing w:val="-3"/>
          <w:lang w:val="es-CO"/>
        </w:rPr>
        <w:t xml:space="preserve"> </w:t>
      </w:r>
      <w:r w:rsidR="001540A3" w:rsidRPr="004068F6">
        <w:rPr>
          <w:bCs/>
          <w:spacing w:val="-3"/>
          <w:lang w:val="es-CO"/>
        </w:rPr>
        <w:t>S</w:t>
      </w:r>
      <w:r w:rsidRPr="004068F6">
        <w:rPr>
          <w:bCs/>
          <w:spacing w:val="-3"/>
          <w:lang w:val="es-CO"/>
        </w:rPr>
        <w:t xml:space="preserve">e debe establecer la conexión hidráulica </w:t>
      </w:r>
      <w:r w:rsidR="007443E1" w:rsidRPr="004068F6">
        <w:rPr>
          <w:bCs/>
          <w:spacing w:val="-3"/>
          <w:lang w:val="es-CO"/>
        </w:rPr>
        <w:t xml:space="preserve">entre todos los cuerpos de agua superficial y </w:t>
      </w:r>
      <w:r w:rsidRPr="004068F6">
        <w:rPr>
          <w:bCs/>
          <w:spacing w:val="-3"/>
          <w:lang w:val="es-CO"/>
        </w:rPr>
        <w:t>los diferentes niveles acuíferos calculando el f</w:t>
      </w:r>
      <w:r w:rsidR="001540A3" w:rsidRPr="004068F6">
        <w:rPr>
          <w:bCs/>
          <w:spacing w:val="-3"/>
          <w:lang w:val="es-CO"/>
        </w:rPr>
        <w:t>l</w:t>
      </w:r>
      <w:r w:rsidRPr="004068F6">
        <w:rPr>
          <w:bCs/>
          <w:spacing w:val="-3"/>
          <w:lang w:val="es-CO"/>
        </w:rPr>
        <w:t xml:space="preserve">ujo base para cada uno, realizando </w:t>
      </w:r>
      <w:r w:rsidR="008C1D2F" w:rsidRPr="004068F6">
        <w:rPr>
          <w:bCs/>
          <w:spacing w:val="-3"/>
          <w:lang w:val="es-CO"/>
        </w:rPr>
        <w:t xml:space="preserve">estimaciones </w:t>
      </w:r>
      <w:r w:rsidRPr="004068F6">
        <w:rPr>
          <w:bCs/>
          <w:spacing w:val="-3"/>
          <w:lang w:val="es-CO"/>
        </w:rPr>
        <w:t>representativas de conductancia en el lecho, así como las fluctuaciones estacionales que puede</w:t>
      </w:r>
      <w:r w:rsidR="001540A3" w:rsidRPr="004068F6">
        <w:rPr>
          <w:bCs/>
          <w:spacing w:val="-3"/>
          <w:lang w:val="es-CO"/>
        </w:rPr>
        <w:t>n</w:t>
      </w:r>
      <w:r w:rsidRPr="004068F6">
        <w:rPr>
          <w:bCs/>
          <w:spacing w:val="-3"/>
          <w:lang w:val="es-CO"/>
        </w:rPr>
        <w:t xml:space="preserve"> presentarse en dicha conexión. Para la validación de este requerimiento se debe utilizar la información de niveles freáticos y piezométricos, hidrogeoquímicos </w:t>
      </w:r>
      <w:r w:rsidR="001540A3" w:rsidRPr="004068F6">
        <w:rPr>
          <w:bCs/>
          <w:spacing w:val="-3"/>
          <w:lang w:val="es-CO"/>
        </w:rPr>
        <w:t xml:space="preserve">señalados </w:t>
      </w:r>
      <w:r w:rsidRPr="004068F6">
        <w:rPr>
          <w:bCs/>
          <w:spacing w:val="-3"/>
          <w:lang w:val="es-CO"/>
        </w:rPr>
        <w:t>más adelante.</w:t>
      </w:r>
    </w:p>
    <w:p w14:paraId="1B1DBA67" w14:textId="77777777" w:rsidR="001540A3" w:rsidRPr="004068F6" w:rsidRDefault="001540A3" w:rsidP="00E449AA">
      <w:pPr>
        <w:numPr>
          <w:ilvl w:val="12"/>
          <w:numId w:val="0"/>
        </w:numPr>
        <w:tabs>
          <w:tab w:val="left" w:pos="-2268"/>
        </w:tabs>
        <w:suppressAutoHyphens/>
        <w:rPr>
          <w:spacing w:val="-3"/>
        </w:rPr>
      </w:pPr>
    </w:p>
    <w:p w14:paraId="6D75A9BD" w14:textId="15324B0D" w:rsidR="00E449AA" w:rsidRPr="004068F6" w:rsidRDefault="00775601"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R</w:t>
      </w:r>
      <w:r w:rsidR="00E449AA" w:rsidRPr="004068F6">
        <w:rPr>
          <w:bCs/>
          <w:spacing w:val="-3"/>
          <w:lang w:val="es-CO"/>
        </w:rPr>
        <w:t>ecarga potencial</w:t>
      </w:r>
      <w:r w:rsidR="001540A3" w:rsidRPr="004068F6">
        <w:rPr>
          <w:bCs/>
          <w:spacing w:val="-3"/>
          <w:lang w:val="es-CO"/>
        </w:rPr>
        <w:t>.</w:t>
      </w:r>
      <w:r w:rsidR="00E449AA" w:rsidRPr="004068F6">
        <w:rPr>
          <w:bCs/>
          <w:spacing w:val="-3"/>
          <w:lang w:val="es-CO"/>
        </w:rPr>
        <w:t xml:space="preserve"> </w:t>
      </w:r>
      <w:r w:rsidRPr="004068F6">
        <w:rPr>
          <w:bCs/>
          <w:spacing w:val="-3"/>
          <w:lang w:val="es-CO"/>
        </w:rPr>
        <w:t>Para la estimación de la recarga potencial s</w:t>
      </w:r>
      <w:r w:rsidR="00E449AA" w:rsidRPr="004068F6">
        <w:rPr>
          <w:bCs/>
          <w:spacing w:val="-3"/>
          <w:lang w:val="es-CO"/>
        </w:rPr>
        <w:t>e debe realiza</w:t>
      </w:r>
      <w:r w:rsidRPr="004068F6">
        <w:rPr>
          <w:bCs/>
          <w:spacing w:val="-3"/>
          <w:lang w:val="es-CO"/>
        </w:rPr>
        <w:t>r</w:t>
      </w:r>
      <w:r w:rsidR="00E449AA" w:rsidRPr="004068F6">
        <w:rPr>
          <w:bCs/>
          <w:spacing w:val="-3"/>
          <w:lang w:val="es-CO"/>
        </w:rPr>
        <w:t xml:space="preserve"> una evaluación hidrológica identificando las fuentes que aportan a la recarga del </w:t>
      </w:r>
      <w:r w:rsidR="00E449AA" w:rsidRPr="004068F6">
        <w:rPr>
          <w:bCs/>
          <w:spacing w:val="-3"/>
          <w:lang w:val="es-CO"/>
        </w:rPr>
        <w:lastRenderedPageBreak/>
        <w:t xml:space="preserve">sistema hidrogeológico o aquellas que son alimentadas por el sistema, indicando la tasa de recarga potencial, el tipo y su distribución espacial. Para ello se debe emplear una metodología reconocida y publicada en revistas indexadas, artículos nacionales o internacionales o acogida por instituciones nacionales o internacionales, que aplique </w:t>
      </w:r>
      <w:r w:rsidR="001A1D95" w:rsidRPr="004068F6">
        <w:rPr>
          <w:bCs/>
          <w:spacing w:val="-3"/>
          <w:lang w:val="es-CO"/>
        </w:rPr>
        <w:t>según</w:t>
      </w:r>
      <w:r w:rsidR="00E449AA" w:rsidRPr="004068F6">
        <w:rPr>
          <w:bCs/>
          <w:spacing w:val="-3"/>
          <w:lang w:val="es-CO"/>
        </w:rPr>
        <w:t xml:space="preserve"> las condiciones del </w:t>
      </w:r>
      <w:r w:rsidR="001A1D95" w:rsidRPr="004068F6">
        <w:rPr>
          <w:bCs/>
          <w:spacing w:val="-3"/>
          <w:lang w:val="es-CO"/>
        </w:rPr>
        <w:t>caso de estudio</w:t>
      </w:r>
      <w:r w:rsidR="00E449AA" w:rsidRPr="004068F6">
        <w:rPr>
          <w:bCs/>
          <w:spacing w:val="-3"/>
          <w:lang w:val="es-CO"/>
        </w:rPr>
        <w:t xml:space="preserve">. </w:t>
      </w:r>
      <w:r w:rsidR="008C1D2F" w:rsidRPr="004068F6">
        <w:rPr>
          <w:bCs/>
          <w:spacing w:val="-3"/>
          <w:lang w:val="es-CO"/>
        </w:rPr>
        <w:t>De acuerdo con la información disponible, s</w:t>
      </w:r>
      <w:r w:rsidR="00E449AA" w:rsidRPr="004068F6">
        <w:rPr>
          <w:bCs/>
          <w:spacing w:val="-3"/>
          <w:lang w:val="es-CO"/>
        </w:rPr>
        <w:t>e debe realizar un análisis en un escenario crítico que tenga en cuenta los efectos climáticos del fenómeno ENSO (Niño)</w:t>
      </w:r>
      <w:r w:rsidR="001540A3" w:rsidRPr="004068F6">
        <w:rPr>
          <w:bCs/>
          <w:spacing w:val="-3"/>
          <w:lang w:val="es-CO"/>
        </w:rPr>
        <w:t>.</w:t>
      </w:r>
    </w:p>
    <w:p w14:paraId="16EF313C" w14:textId="77777777" w:rsidR="001540A3" w:rsidRPr="004068F6" w:rsidRDefault="001540A3" w:rsidP="009420F5">
      <w:pPr>
        <w:tabs>
          <w:tab w:val="left" w:pos="-2268"/>
        </w:tabs>
        <w:suppressAutoHyphens/>
        <w:rPr>
          <w:bCs/>
          <w:spacing w:val="-3"/>
        </w:rPr>
      </w:pPr>
    </w:p>
    <w:p w14:paraId="55FDA26F" w14:textId="4575DBD5" w:rsidR="00E449AA" w:rsidRPr="004068F6" w:rsidRDefault="00E449AA"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Inventario de puntos de agua subterránea</w:t>
      </w:r>
      <w:r w:rsidR="001540A3" w:rsidRPr="004068F6">
        <w:rPr>
          <w:bCs/>
          <w:spacing w:val="-3"/>
          <w:lang w:val="es-CO"/>
        </w:rPr>
        <w:t>.</w:t>
      </w:r>
      <w:r w:rsidRPr="004068F6">
        <w:rPr>
          <w:bCs/>
          <w:spacing w:val="-3"/>
          <w:lang w:val="es-CO"/>
        </w:rPr>
        <w:t xml:space="preserve"> Se debe efectuar el inventario de puntos de agua subterránea incluyendo pozos (de captación y de despresurización), manantiales, aljibes y piezómetros. Cada punto debe estar georreferenciado y nivelado topográficamente indicando profundidad, nivel estático, unidad geológica e hidrogeológica captada, caudal de extracción o descarga (</w:t>
      </w:r>
      <w:r w:rsidR="00081B8C" w:rsidRPr="004068F6">
        <w:rPr>
          <w:bCs/>
          <w:spacing w:val="-3"/>
          <w:lang w:val="es-CO"/>
        </w:rPr>
        <w:t>en litros por segundo</w:t>
      </w:r>
      <w:r w:rsidRPr="004068F6">
        <w:rPr>
          <w:bCs/>
          <w:spacing w:val="-3"/>
          <w:lang w:val="es-CO"/>
        </w:rPr>
        <w:t xml:space="preserve">), usos y usuarios del agua, y su estado (en uso, inactivo, abandonado o desmantelado). Se debe presentar el </w:t>
      </w:r>
      <w:r w:rsidR="008C1D2F" w:rsidRPr="004068F6">
        <w:rPr>
          <w:bCs/>
          <w:spacing w:val="-3"/>
          <w:lang w:val="es-CO"/>
        </w:rPr>
        <w:t>F</w:t>
      </w:r>
      <w:r w:rsidR="00081B8C" w:rsidRPr="004068F6">
        <w:rPr>
          <w:bCs/>
          <w:spacing w:val="-3"/>
          <w:lang w:val="es-CO"/>
        </w:rPr>
        <w:t>ormulario único nacional de inventario de puntos de agua</w:t>
      </w:r>
      <w:r w:rsidRPr="004068F6">
        <w:rPr>
          <w:bCs/>
          <w:spacing w:val="-3"/>
          <w:lang w:val="es-CO"/>
        </w:rPr>
        <w:t xml:space="preserve"> </w:t>
      </w:r>
      <w:r w:rsidR="008C1D2F" w:rsidRPr="004068F6">
        <w:rPr>
          <w:bCs/>
          <w:spacing w:val="-3"/>
          <w:lang w:val="es-CO"/>
        </w:rPr>
        <w:t xml:space="preserve">(Funias) </w:t>
      </w:r>
      <w:r w:rsidRPr="004068F6">
        <w:rPr>
          <w:bCs/>
          <w:spacing w:val="-3"/>
          <w:lang w:val="es-CO"/>
        </w:rPr>
        <w:t xml:space="preserve">totalmente diligenciado para todos los puntos inventariados. Se debe indicar aquellos puntos de agua subterránea que </w:t>
      </w:r>
      <w:r w:rsidR="00081B8C" w:rsidRPr="004068F6">
        <w:rPr>
          <w:bCs/>
          <w:spacing w:val="-3"/>
          <w:lang w:val="es-CO"/>
        </w:rPr>
        <w:t>pueden ser</w:t>
      </w:r>
      <w:r w:rsidRPr="004068F6">
        <w:rPr>
          <w:bCs/>
          <w:spacing w:val="-3"/>
          <w:lang w:val="es-CO"/>
        </w:rPr>
        <w:t xml:space="preserve"> afectados por el proyecto</w:t>
      </w:r>
      <w:r w:rsidR="00081B8C" w:rsidRPr="004068F6">
        <w:rPr>
          <w:bCs/>
          <w:spacing w:val="-3"/>
          <w:lang w:val="es-CO"/>
        </w:rPr>
        <w:t>, obra o actividad</w:t>
      </w:r>
      <w:r w:rsidRPr="004068F6">
        <w:rPr>
          <w:bCs/>
          <w:spacing w:val="-3"/>
          <w:lang w:val="es-CO"/>
        </w:rPr>
        <w:t xml:space="preserve"> y describir el grado de intervención o afectación esperado (descenso del nivel piezométrico, agotamiento, afectación a sus características fisicoquímicas</w:t>
      </w:r>
      <w:r w:rsidR="00081B8C" w:rsidRPr="004068F6">
        <w:rPr>
          <w:bCs/>
          <w:spacing w:val="-3"/>
          <w:lang w:val="es-CO"/>
        </w:rPr>
        <w:t>, entre otras</w:t>
      </w:r>
      <w:r w:rsidRPr="004068F6">
        <w:rPr>
          <w:bCs/>
          <w:spacing w:val="-3"/>
          <w:lang w:val="es-CO"/>
        </w:rPr>
        <w:t xml:space="preserve">.). Todos los puntos inventariados deben estar correctamente codificados y mantener </w:t>
      </w:r>
      <w:r w:rsidR="00081B8C" w:rsidRPr="004068F6">
        <w:rPr>
          <w:bCs/>
          <w:spacing w:val="-3"/>
          <w:lang w:val="es-CO"/>
        </w:rPr>
        <w:t>dicha</w:t>
      </w:r>
      <w:r w:rsidRPr="004068F6">
        <w:rPr>
          <w:bCs/>
          <w:spacing w:val="-3"/>
          <w:lang w:val="es-CO"/>
        </w:rPr>
        <w:t xml:space="preserve"> numeración o codificación en cada uno los componentes del modelo hidrogeológico conceptual.</w:t>
      </w:r>
    </w:p>
    <w:p w14:paraId="50EEB389" w14:textId="77777777" w:rsidR="001540A3" w:rsidRPr="004068F6" w:rsidRDefault="001540A3" w:rsidP="00E449AA">
      <w:pPr>
        <w:numPr>
          <w:ilvl w:val="12"/>
          <w:numId w:val="0"/>
        </w:numPr>
        <w:tabs>
          <w:tab w:val="left" w:pos="-2268"/>
        </w:tabs>
        <w:suppressAutoHyphens/>
        <w:rPr>
          <w:spacing w:val="-3"/>
        </w:rPr>
      </w:pPr>
    </w:p>
    <w:p w14:paraId="7E4D5004" w14:textId="57DD784E" w:rsidR="00E449AA" w:rsidRPr="004068F6" w:rsidRDefault="00E449AA"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Uso actual del agua subterránea</w:t>
      </w:r>
      <w:r w:rsidR="00081B8C" w:rsidRPr="004068F6">
        <w:rPr>
          <w:bCs/>
          <w:spacing w:val="-3"/>
          <w:lang w:val="es-CO"/>
        </w:rPr>
        <w:t>.</w:t>
      </w:r>
      <w:r w:rsidRPr="004068F6">
        <w:rPr>
          <w:bCs/>
          <w:spacing w:val="-3"/>
          <w:lang w:val="es-CO"/>
        </w:rPr>
        <w:t xml:space="preserve"> </w:t>
      </w:r>
      <w:r w:rsidR="00081B8C" w:rsidRPr="004068F6">
        <w:rPr>
          <w:bCs/>
          <w:spacing w:val="-3"/>
          <w:lang w:val="es-CO"/>
        </w:rPr>
        <w:t>C</w:t>
      </w:r>
      <w:r w:rsidRPr="004068F6">
        <w:rPr>
          <w:bCs/>
          <w:spacing w:val="-3"/>
          <w:lang w:val="es-CO"/>
        </w:rPr>
        <w:t>on base en los resultados del inventario de puntos de agua subterránea, se debe</w:t>
      </w:r>
      <w:r w:rsidR="00590B9E" w:rsidRPr="004068F6">
        <w:rPr>
          <w:bCs/>
          <w:spacing w:val="-3"/>
          <w:lang w:val="es-CO"/>
        </w:rPr>
        <w:t>n</w:t>
      </w:r>
      <w:r w:rsidRPr="004068F6">
        <w:rPr>
          <w:bCs/>
          <w:spacing w:val="-3"/>
          <w:lang w:val="es-CO"/>
        </w:rPr>
        <w:t xml:space="preserve"> establecer los caudales de extracción y descarga, </w:t>
      </w:r>
      <w:r w:rsidR="00081B8C" w:rsidRPr="004068F6">
        <w:rPr>
          <w:bCs/>
          <w:spacing w:val="-3"/>
          <w:lang w:val="es-CO"/>
        </w:rPr>
        <w:t xml:space="preserve">así </w:t>
      </w:r>
      <w:r w:rsidRPr="004068F6">
        <w:rPr>
          <w:bCs/>
          <w:spacing w:val="-3"/>
          <w:lang w:val="es-CO"/>
        </w:rPr>
        <w:t>como los usos que actualmente se le da al agua subterránea teniendo en cuenta el análisis estadístico sobre la demanda actual de agua para consumo humano, uso doméstico, industrial, agropecuario o cualquier otro</w:t>
      </w:r>
      <w:r w:rsidR="001070F6" w:rsidRPr="004068F6">
        <w:rPr>
          <w:bCs/>
          <w:spacing w:val="-3"/>
          <w:lang w:val="es-CO"/>
        </w:rPr>
        <w:t xml:space="preserve"> uso</w:t>
      </w:r>
      <w:r w:rsidRPr="004068F6">
        <w:rPr>
          <w:bCs/>
          <w:spacing w:val="-3"/>
          <w:lang w:val="es-CO"/>
        </w:rPr>
        <w:t>.</w:t>
      </w:r>
    </w:p>
    <w:p w14:paraId="73702900" w14:textId="77777777" w:rsidR="00081B8C" w:rsidRPr="004068F6" w:rsidRDefault="00081B8C" w:rsidP="00E449AA">
      <w:pPr>
        <w:numPr>
          <w:ilvl w:val="12"/>
          <w:numId w:val="0"/>
        </w:numPr>
        <w:tabs>
          <w:tab w:val="left" w:pos="-2268"/>
        </w:tabs>
        <w:suppressAutoHyphens/>
        <w:rPr>
          <w:spacing w:val="-3"/>
        </w:rPr>
      </w:pPr>
    </w:p>
    <w:p w14:paraId="7703A588" w14:textId="5CF2C6A9" w:rsidR="00E449AA" w:rsidRPr="004068F6" w:rsidRDefault="001070F6"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P</w:t>
      </w:r>
      <w:r w:rsidR="00E449AA" w:rsidRPr="004068F6">
        <w:rPr>
          <w:bCs/>
          <w:spacing w:val="-3"/>
          <w:lang w:val="es-CO"/>
        </w:rPr>
        <w:t>rincipales direcciones de flujo del agua subterránea</w:t>
      </w:r>
      <w:r w:rsidRPr="004068F6">
        <w:rPr>
          <w:bCs/>
          <w:spacing w:val="-3"/>
          <w:lang w:val="es-CO"/>
        </w:rPr>
        <w:t>.</w:t>
      </w:r>
      <w:r w:rsidR="00E449AA" w:rsidRPr="004068F6">
        <w:rPr>
          <w:bCs/>
          <w:spacing w:val="-3"/>
          <w:lang w:val="es-CO"/>
        </w:rPr>
        <w:t xml:space="preserve"> </w:t>
      </w:r>
      <w:r w:rsidRPr="004068F6">
        <w:rPr>
          <w:bCs/>
          <w:spacing w:val="-3"/>
          <w:lang w:val="es-CO"/>
        </w:rPr>
        <w:t xml:space="preserve">Se deben determinar </w:t>
      </w:r>
      <w:r w:rsidR="00E449AA" w:rsidRPr="004068F6">
        <w:rPr>
          <w:bCs/>
          <w:spacing w:val="-3"/>
          <w:lang w:val="es-CO"/>
        </w:rPr>
        <w:t>a partir del modelo geológico, geofísico y de los niveles freáticos y piezométricos medidos en los puntos de agua subterránea inventariados</w:t>
      </w:r>
      <w:r w:rsidRPr="004068F6">
        <w:rPr>
          <w:bCs/>
          <w:spacing w:val="-3"/>
          <w:lang w:val="es-CO"/>
        </w:rPr>
        <w:t>.</w:t>
      </w:r>
      <w:r w:rsidR="00E449AA" w:rsidRPr="004068F6">
        <w:rPr>
          <w:bCs/>
          <w:spacing w:val="-3"/>
          <w:lang w:val="es-CO"/>
        </w:rPr>
        <w:t xml:space="preserve"> </w:t>
      </w:r>
      <w:r w:rsidRPr="004068F6">
        <w:rPr>
          <w:bCs/>
          <w:spacing w:val="-3"/>
          <w:lang w:val="es-CO"/>
        </w:rPr>
        <w:t>S</w:t>
      </w:r>
      <w:r w:rsidR="00E449AA" w:rsidRPr="004068F6">
        <w:rPr>
          <w:bCs/>
          <w:spacing w:val="-3"/>
          <w:lang w:val="es-CO"/>
        </w:rPr>
        <w:t xml:space="preserve">e deben construir mapas piezométricos o de isopiezas para cada unidad </w:t>
      </w:r>
      <w:r w:rsidR="008C1D2F" w:rsidRPr="004068F6">
        <w:rPr>
          <w:bCs/>
          <w:spacing w:val="-3"/>
          <w:lang w:val="es-CO"/>
        </w:rPr>
        <w:t>hidrogeológica</w:t>
      </w:r>
      <w:r w:rsidR="00E449AA" w:rsidRPr="004068F6">
        <w:rPr>
          <w:bCs/>
          <w:spacing w:val="-3"/>
          <w:lang w:val="es-CO"/>
        </w:rPr>
        <w:t xml:space="preserve">, determinando los sistemas de flujo locales, intermedios y regionales. Se debe representar en un bloque diagrama las direcciones de flujo, en el cual, se relacionen las zonas de recarga, tránsito y descarga. Se debe indicar claramente la dirección del agua subterránea mediante la elaboración de la red de flujo (líneas equipotenciales y de flujo), explicando los métodos de interpolación o elaboración de los mapas de isopiezas o piezométricos. De presentarse alguna </w:t>
      </w:r>
      <w:r w:rsidR="00E449AA" w:rsidRPr="004068F6">
        <w:rPr>
          <w:bCs/>
          <w:spacing w:val="-3"/>
          <w:lang w:val="es-CO"/>
        </w:rPr>
        <w:lastRenderedPageBreak/>
        <w:t>conexión hidráulica entre unidades geológicas se debe realizar su respectiva explicación con sust</w:t>
      </w:r>
      <w:r w:rsidR="00081B8C" w:rsidRPr="004068F6">
        <w:rPr>
          <w:bCs/>
          <w:spacing w:val="-3"/>
          <w:lang w:val="es-CO"/>
        </w:rPr>
        <w:t>ento hidrogeológico.</w:t>
      </w:r>
    </w:p>
    <w:p w14:paraId="083E0674" w14:textId="77777777" w:rsidR="00081B8C" w:rsidRPr="004068F6" w:rsidRDefault="00081B8C" w:rsidP="00E449AA">
      <w:pPr>
        <w:numPr>
          <w:ilvl w:val="12"/>
          <w:numId w:val="0"/>
        </w:numPr>
        <w:tabs>
          <w:tab w:val="left" w:pos="-2268"/>
        </w:tabs>
        <w:suppressAutoHyphens/>
        <w:rPr>
          <w:spacing w:val="-3"/>
        </w:rPr>
      </w:pPr>
    </w:p>
    <w:p w14:paraId="61F24AD0" w14:textId="3E255DE4" w:rsidR="00E449AA" w:rsidRPr="004068F6" w:rsidRDefault="00775601"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H</w:t>
      </w:r>
      <w:r w:rsidR="00E449AA" w:rsidRPr="004068F6">
        <w:rPr>
          <w:bCs/>
          <w:spacing w:val="-3"/>
          <w:lang w:val="es-CO"/>
        </w:rPr>
        <w:t>idráulica</w:t>
      </w:r>
      <w:r w:rsidR="001070F6" w:rsidRPr="004068F6">
        <w:rPr>
          <w:bCs/>
          <w:spacing w:val="-3"/>
          <w:lang w:val="es-CO"/>
        </w:rPr>
        <w:t>.</w:t>
      </w:r>
      <w:r w:rsidR="00E449AA" w:rsidRPr="004068F6">
        <w:rPr>
          <w:bCs/>
          <w:spacing w:val="-3"/>
          <w:lang w:val="es-CO"/>
        </w:rPr>
        <w:t xml:space="preserve"> Deben estimarse los parámetros </w:t>
      </w:r>
      <w:r w:rsidR="00BC3C53" w:rsidRPr="004068F6">
        <w:rPr>
          <w:bCs/>
          <w:spacing w:val="-3"/>
          <w:lang w:val="es-CO"/>
        </w:rPr>
        <w:t>hidráulicos (</w:t>
      </w:r>
      <w:r w:rsidR="00E449AA" w:rsidRPr="004068F6">
        <w:rPr>
          <w:bCs/>
          <w:spacing w:val="-3"/>
          <w:lang w:val="es-CO"/>
        </w:rPr>
        <w:t>conductividad hidráulica, transmisividad, coeficiente de almacenamiento, radio de influencia, capacidad específica y rendimiento o producción específica</w:t>
      </w:r>
      <w:r w:rsidR="00BC3C53" w:rsidRPr="004068F6">
        <w:rPr>
          <w:bCs/>
          <w:spacing w:val="-3"/>
          <w:lang w:val="es-CO"/>
        </w:rPr>
        <w:t>)</w:t>
      </w:r>
      <w:r w:rsidR="00E449AA" w:rsidRPr="004068F6">
        <w:rPr>
          <w:bCs/>
          <w:spacing w:val="-3"/>
          <w:lang w:val="es-CO"/>
        </w:rPr>
        <w:t xml:space="preserve">, de las diferentes unidades </w:t>
      </w:r>
      <w:r w:rsidR="00BC3C53" w:rsidRPr="004068F6">
        <w:rPr>
          <w:bCs/>
          <w:spacing w:val="-3"/>
          <w:lang w:val="es-CO"/>
        </w:rPr>
        <w:t>hidro</w:t>
      </w:r>
      <w:r w:rsidR="00E449AA" w:rsidRPr="004068F6">
        <w:rPr>
          <w:bCs/>
          <w:spacing w:val="-3"/>
          <w:lang w:val="es-CO"/>
        </w:rPr>
        <w:t xml:space="preserve">geológicas identificadas </w:t>
      </w:r>
      <w:r w:rsidR="00BC3C53" w:rsidRPr="004068F6">
        <w:rPr>
          <w:bCs/>
          <w:spacing w:val="-3"/>
          <w:lang w:val="es-CO"/>
        </w:rPr>
        <w:t>en el modelo geológico-geofísico</w:t>
      </w:r>
      <w:r w:rsidR="00E449AA" w:rsidRPr="004068F6">
        <w:rPr>
          <w:bCs/>
          <w:spacing w:val="-3"/>
          <w:lang w:val="es-CO"/>
        </w:rPr>
        <w:t xml:space="preserve">. El tipo de ensayo hidráulico debe </w:t>
      </w:r>
      <w:r w:rsidR="00EB165D" w:rsidRPr="004068F6">
        <w:rPr>
          <w:bCs/>
          <w:spacing w:val="-3"/>
          <w:lang w:val="es-CO"/>
        </w:rPr>
        <w:t xml:space="preserve">estar en </w:t>
      </w:r>
      <w:r w:rsidR="00DA6279" w:rsidRPr="004068F6">
        <w:rPr>
          <w:bCs/>
          <w:spacing w:val="-3"/>
          <w:lang w:val="es-CO"/>
        </w:rPr>
        <w:t>consonancia</w:t>
      </w:r>
      <w:r w:rsidR="00EB165D" w:rsidRPr="004068F6">
        <w:rPr>
          <w:bCs/>
          <w:spacing w:val="-3"/>
          <w:lang w:val="es-CO"/>
        </w:rPr>
        <w:t xml:space="preserve"> con el </w:t>
      </w:r>
      <w:r w:rsidR="00E449AA" w:rsidRPr="004068F6">
        <w:rPr>
          <w:bCs/>
          <w:spacing w:val="-3"/>
          <w:lang w:val="es-CO"/>
        </w:rPr>
        <w:t>tipo de medio a caracterizar (</w:t>
      </w:r>
      <w:r w:rsidR="00081B8C" w:rsidRPr="004068F6">
        <w:rPr>
          <w:bCs/>
          <w:spacing w:val="-3"/>
          <w:lang w:val="es-CO"/>
        </w:rPr>
        <w:t>poroso, fracturado o kárstico)</w:t>
      </w:r>
      <w:r w:rsidR="00BC3C53" w:rsidRPr="004068F6">
        <w:rPr>
          <w:bCs/>
          <w:spacing w:val="-3"/>
          <w:lang w:val="es-CO"/>
        </w:rPr>
        <w:t xml:space="preserve"> y con la profundidad de las unidades</w:t>
      </w:r>
      <w:r w:rsidR="00081B8C" w:rsidRPr="004068F6">
        <w:rPr>
          <w:bCs/>
          <w:spacing w:val="-3"/>
          <w:lang w:val="es-CO"/>
        </w:rPr>
        <w:t>.</w:t>
      </w:r>
    </w:p>
    <w:p w14:paraId="560CB747" w14:textId="77777777" w:rsidR="00081B8C" w:rsidRPr="004068F6" w:rsidRDefault="00081B8C" w:rsidP="00E449AA">
      <w:pPr>
        <w:numPr>
          <w:ilvl w:val="12"/>
          <w:numId w:val="0"/>
        </w:numPr>
        <w:tabs>
          <w:tab w:val="left" w:pos="-2268"/>
        </w:tabs>
        <w:suppressAutoHyphens/>
        <w:rPr>
          <w:spacing w:val="-3"/>
        </w:rPr>
      </w:pPr>
    </w:p>
    <w:p w14:paraId="272D09DF" w14:textId="3A8FC5CD" w:rsidR="00E449AA" w:rsidRPr="004068F6" w:rsidRDefault="00E449AA" w:rsidP="009420F5">
      <w:pPr>
        <w:numPr>
          <w:ilvl w:val="12"/>
          <w:numId w:val="0"/>
        </w:numPr>
        <w:tabs>
          <w:tab w:val="left" w:pos="-2268"/>
        </w:tabs>
        <w:suppressAutoHyphens/>
        <w:ind w:left="567"/>
        <w:rPr>
          <w:spacing w:val="-3"/>
        </w:rPr>
      </w:pPr>
      <w:r w:rsidRPr="004068F6">
        <w:rPr>
          <w:spacing w:val="-3"/>
        </w:rPr>
        <w:t>Para la estimación de parámetros hidráulicos a través de pruebas de bombeo</w:t>
      </w:r>
      <w:r w:rsidR="00775601" w:rsidRPr="004068F6">
        <w:rPr>
          <w:spacing w:val="-3"/>
        </w:rPr>
        <w:t>,</w:t>
      </w:r>
      <w:r w:rsidRPr="004068F6">
        <w:rPr>
          <w:spacing w:val="-3"/>
        </w:rPr>
        <w:t xml:space="preserve"> </w:t>
      </w:r>
      <w:r w:rsidR="00775601" w:rsidRPr="004068F6">
        <w:rPr>
          <w:spacing w:val="-3"/>
        </w:rPr>
        <w:t>é</w:t>
      </w:r>
      <w:r w:rsidRPr="004068F6">
        <w:rPr>
          <w:spacing w:val="-3"/>
        </w:rPr>
        <w:t xml:space="preserve">stas deben permitir conocer espacial y temporalmente el comportamiento del cono de abatimiento generado tanto en el pozo bombeado como en el pozo de observación (en caso de contar con </w:t>
      </w:r>
      <w:r w:rsidR="00775601" w:rsidRPr="004068F6">
        <w:rPr>
          <w:spacing w:val="-3"/>
        </w:rPr>
        <w:t>é</w:t>
      </w:r>
      <w:r w:rsidRPr="004068F6">
        <w:rPr>
          <w:spacing w:val="-3"/>
        </w:rPr>
        <w:t xml:space="preserve">l), </w:t>
      </w:r>
      <w:r w:rsidR="00775601" w:rsidRPr="004068F6">
        <w:rPr>
          <w:spacing w:val="-3"/>
        </w:rPr>
        <w:t xml:space="preserve">a fin de </w:t>
      </w:r>
      <w:r w:rsidRPr="004068F6">
        <w:rPr>
          <w:spacing w:val="-3"/>
        </w:rPr>
        <w:t>estimar los parámetros hidráulicos durante los tiempos de bombeo y recuperación. Inicialmente</w:t>
      </w:r>
      <w:r w:rsidR="00775601" w:rsidRPr="004068F6">
        <w:rPr>
          <w:spacing w:val="-3"/>
        </w:rPr>
        <w:t>,</w:t>
      </w:r>
      <w:r w:rsidRPr="004068F6">
        <w:rPr>
          <w:spacing w:val="-3"/>
        </w:rPr>
        <w:t xml:space="preserve"> la etapa de bombeo debe tener una duración entre 24 a 72 horas siempre y cuando no se alcance un régimen estacionario </w:t>
      </w:r>
      <w:r w:rsidR="00A44D73" w:rsidRPr="004068F6">
        <w:rPr>
          <w:spacing w:val="-3"/>
        </w:rPr>
        <w:t xml:space="preserve">en un periodo de tiempo inferior </w:t>
      </w:r>
      <w:r w:rsidRPr="004068F6">
        <w:rPr>
          <w:spacing w:val="-3"/>
        </w:rPr>
        <w:t xml:space="preserve">y la etapa de recuperación alcance un 95 a 100% del abatimiento registrado en el pozo bombeado. La frecuencia de medición de niveles (abatimiento y recuperación) debe garantizar alrededor de 10 observaciones por ciclo logarítmico del tiempo para elaborar la curva de abatimiento </w:t>
      </w:r>
      <w:r w:rsidR="00775601" w:rsidRPr="004068F6">
        <w:rPr>
          <w:spacing w:val="-3"/>
        </w:rPr>
        <w:t xml:space="preserve">contra </w:t>
      </w:r>
      <w:r w:rsidRPr="004068F6">
        <w:rPr>
          <w:spacing w:val="-3"/>
        </w:rPr>
        <w:t>tiempo. Para la medición de los niveles de abatimiento y recuperación se debe utilizar en lo posible transductores de presión. Los datos obtenidos a través de los transductores debe</w:t>
      </w:r>
      <w:r w:rsidR="00775601" w:rsidRPr="004068F6">
        <w:rPr>
          <w:spacing w:val="-3"/>
        </w:rPr>
        <w:t xml:space="preserve">n ser sujetos a </w:t>
      </w:r>
      <w:r w:rsidR="00081B8C" w:rsidRPr="004068F6">
        <w:rPr>
          <w:spacing w:val="-3"/>
        </w:rPr>
        <w:t>una corrección barométrica.</w:t>
      </w:r>
    </w:p>
    <w:p w14:paraId="15EF9BBE" w14:textId="77777777" w:rsidR="00081B8C" w:rsidRPr="004068F6" w:rsidRDefault="00081B8C" w:rsidP="00E449AA">
      <w:pPr>
        <w:numPr>
          <w:ilvl w:val="12"/>
          <w:numId w:val="0"/>
        </w:numPr>
        <w:tabs>
          <w:tab w:val="left" w:pos="-2268"/>
        </w:tabs>
        <w:suppressAutoHyphens/>
        <w:rPr>
          <w:spacing w:val="-3"/>
        </w:rPr>
      </w:pPr>
    </w:p>
    <w:p w14:paraId="05E0709B" w14:textId="0A47D89F" w:rsidR="00E449AA" w:rsidRPr="004068F6" w:rsidRDefault="00E449AA" w:rsidP="009420F5">
      <w:pPr>
        <w:numPr>
          <w:ilvl w:val="12"/>
          <w:numId w:val="0"/>
        </w:numPr>
        <w:tabs>
          <w:tab w:val="left" w:pos="-2268"/>
        </w:tabs>
        <w:suppressAutoHyphens/>
        <w:ind w:left="567"/>
        <w:rPr>
          <w:spacing w:val="-3"/>
        </w:rPr>
      </w:pPr>
      <w:r w:rsidRPr="004068F6">
        <w:rPr>
          <w:spacing w:val="-3"/>
        </w:rPr>
        <w:t>Para las pruebas hidráulicas</w:t>
      </w:r>
      <w:r w:rsidR="002D6507" w:rsidRPr="004068F6">
        <w:rPr>
          <w:spacing w:val="-3"/>
        </w:rPr>
        <w:t>, en caso de ser posible,</w:t>
      </w:r>
      <w:r w:rsidRPr="004068F6">
        <w:rPr>
          <w:spacing w:val="-3"/>
        </w:rPr>
        <w:t xml:space="preserve"> se debe contemplar el uso de pozos de observación que capten los mismos niveles acuíferos del pozo bombeado. Se </w:t>
      </w:r>
      <w:r w:rsidR="00775601" w:rsidRPr="004068F6">
        <w:rPr>
          <w:spacing w:val="-3"/>
        </w:rPr>
        <w:t xml:space="preserve">pueden </w:t>
      </w:r>
      <w:r w:rsidRPr="004068F6">
        <w:rPr>
          <w:spacing w:val="-3"/>
        </w:rPr>
        <w:t>usar pozos existentes siempre y cuando se conozca su diseño</w:t>
      </w:r>
      <w:r w:rsidR="00775601" w:rsidRPr="004068F6">
        <w:rPr>
          <w:spacing w:val="-3"/>
        </w:rPr>
        <w:t xml:space="preserve"> y</w:t>
      </w:r>
      <w:r w:rsidRPr="004068F6">
        <w:rPr>
          <w:spacing w:val="-3"/>
        </w:rPr>
        <w:t xml:space="preserve"> capten la misma unidad geológica acuífera de la cual se hace el bombeo. Se debe</w:t>
      </w:r>
      <w:r w:rsidR="00775601" w:rsidRPr="004068F6">
        <w:rPr>
          <w:spacing w:val="-3"/>
        </w:rPr>
        <w:t>n</w:t>
      </w:r>
      <w:r w:rsidRPr="004068F6">
        <w:rPr>
          <w:spacing w:val="-3"/>
        </w:rPr>
        <w:t xml:space="preserve"> suministrar los datos de campo </w:t>
      </w:r>
      <w:r w:rsidR="00775601" w:rsidRPr="004068F6">
        <w:rPr>
          <w:spacing w:val="-3"/>
        </w:rPr>
        <w:t xml:space="preserve">de </w:t>
      </w:r>
      <w:r w:rsidRPr="004068F6">
        <w:rPr>
          <w:spacing w:val="-3"/>
        </w:rPr>
        <w:t xml:space="preserve">niveles </w:t>
      </w:r>
      <w:r w:rsidR="00775601" w:rsidRPr="004068F6">
        <w:rPr>
          <w:spacing w:val="-3"/>
        </w:rPr>
        <w:t>contra</w:t>
      </w:r>
      <w:r w:rsidRPr="004068F6">
        <w:rPr>
          <w:spacing w:val="-3"/>
        </w:rPr>
        <w:t xml:space="preserve"> tiempo y control del caudal durante la prueba en el pozo bombeado, y niveles </w:t>
      </w:r>
      <w:r w:rsidR="00775601" w:rsidRPr="004068F6">
        <w:rPr>
          <w:spacing w:val="-3"/>
        </w:rPr>
        <w:t>contra</w:t>
      </w:r>
      <w:r w:rsidRPr="004068F6">
        <w:rPr>
          <w:spacing w:val="-3"/>
        </w:rPr>
        <w:t xml:space="preserve"> tiempo en pozos de observación (siempre y cuan</w:t>
      </w:r>
      <w:r w:rsidR="00775601" w:rsidRPr="004068F6">
        <w:rPr>
          <w:spacing w:val="-3"/>
        </w:rPr>
        <w:t>d</w:t>
      </w:r>
      <w:r w:rsidRPr="004068F6">
        <w:rPr>
          <w:spacing w:val="-3"/>
        </w:rPr>
        <w:t>o sea posible contar con estos pozos de observación) y parámetros hidráu</w:t>
      </w:r>
      <w:r w:rsidR="00081B8C" w:rsidRPr="004068F6">
        <w:rPr>
          <w:spacing w:val="-3"/>
        </w:rPr>
        <w:t>licos interpretados.</w:t>
      </w:r>
    </w:p>
    <w:p w14:paraId="609AE3B3" w14:textId="77777777" w:rsidR="00081B8C" w:rsidRPr="004068F6" w:rsidRDefault="00081B8C" w:rsidP="00E449AA">
      <w:pPr>
        <w:numPr>
          <w:ilvl w:val="12"/>
          <w:numId w:val="0"/>
        </w:numPr>
        <w:tabs>
          <w:tab w:val="left" w:pos="-2268"/>
        </w:tabs>
        <w:suppressAutoHyphens/>
        <w:rPr>
          <w:spacing w:val="-3"/>
        </w:rPr>
      </w:pPr>
    </w:p>
    <w:p w14:paraId="0E4C8D74" w14:textId="0517E6C1" w:rsidR="00E449AA" w:rsidRPr="004068F6" w:rsidRDefault="00E449AA" w:rsidP="009420F5">
      <w:pPr>
        <w:numPr>
          <w:ilvl w:val="12"/>
          <w:numId w:val="0"/>
        </w:numPr>
        <w:tabs>
          <w:tab w:val="left" w:pos="-2268"/>
        </w:tabs>
        <w:suppressAutoHyphens/>
        <w:ind w:left="567"/>
        <w:rPr>
          <w:spacing w:val="-3"/>
        </w:rPr>
      </w:pPr>
      <w:r w:rsidRPr="004068F6">
        <w:rPr>
          <w:spacing w:val="-3"/>
        </w:rPr>
        <w:t>Para la interpretación de los datos se deben utilizar gráficas diagnóstico que permitan identificar el tipo de acuífero y las condiciones de frontera del sistema (</w:t>
      </w:r>
      <w:r w:rsidR="00041844" w:rsidRPr="004068F6">
        <w:rPr>
          <w:spacing w:val="-3"/>
        </w:rPr>
        <w:t>p. ej.</w:t>
      </w:r>
      <w:r w:rsidR="00775601" w:rsidRPr="004068F6">
        <w:rPr>
          <w:spacing w:val="-3"/>
        </w:rPr>
        <w:t xml:space="preserve"> </w:t>
      </w:r>
      <w:r w:rsidRPr="004068F6">
        <w:rPr>
          <w:spacing w:val="-3"/>
        </w:rPr>
        <w:t xml:space="preserve">goteo, cargas constantes, efectos del pozo, </w:t>
      </w:r>
      <w:r w:rsidR="00775601" w:rsidRPr="004068F6">
        <w:rPr>
          <w:spacing w:val="-3"/>
        </w:rPr>
        <w:t>entre otras</w:t>
      </w:r>
      <w:r w:rsidRPr="004068F6">
        <w:rPr>
          <w:spacing w:val="-3"/>
        </w:rPr>
        <w:t>) y así justificar los métodos analíticos o numéricos empleados para la estimación de los parámetros hidráulicos. Se deben realizar y presentar mapas de las propiedades hidráulicas para cada unidad geológica acuífera caracterizada y se debe analizar su isotropía, determinando su estado de confinamiento (li</w:t>
      </w:r>
      <w:r w:rsidR="00081B8C" w:rsidRPr="004068F6">
        <w:rPr>
          <w:spacing w:val="-3"/>
        </w:rPr>
        <w:t>bre, semiconfinado, confinado).</w:t>
      </w:r>
    </w:p>
    <w:p w14:paraId="0C1783B4" w14:textId="77777777" w:rsidR="00081B8C" w:rsidRPr="004068F6" w:rsidRDefault="00081B8C" w:rsidP="00E449AA">
      <w:pPr>
        <w:numPr>
          <w:ilvl w:val="12"/>
          <w:numId w:val="0"/>
        </w:numPr>
        <w:tabs>
          <w:tab w:val="left" w:pos="-2268"/>
        </w:tabs>
        <w:suppressAutoHyphens/>
        <w:rPr>
          <w:spacing w:val="-3"/>
        </w:rPr>
      </w:pPr>
    </w:p>
    <w:p w14:paraId="29DB55E3" w14:textId="6FA7440E" w:rsidR="00E449AA" w:rsidRPr="004068F6" w:rsidRDefault="00E449AA" w:rsidP="009420F5">
      <w:pPr>
        <w:numPr>
          <w:ilvl w:val="12"/>
          <w:numId w:val="0"/>
        </w:numPr>
        <w:tabs>
          <w:tab w:val="left" w:pos="-2268"/>
        </w:tabs>
        <w:suppressAutoHyphens/>
        <w:ind w:left="567"/>
        <w:rPr>
          <w:spacing w:val="-3"/>
        </w:rPr>
      </w:pPr>
      <w:r w:rsidRPr="004068F6">
        <w:rPr>
          <w:spacing w:val="-3"/>
        </w:rPr>
        <w:t>Cuando se empleen ensayos diferentes a las pruebas de bombeo</w:t>
      </w:r>
      <w:r w:rsidR="00775601" w:rsidRPr="004068F6">
        <w:rPr>
          <w:spacing w:val="-3"/>
        </w:rPr>
        <w:t>, como</w:t>
      </w:r>
      <w:r w:rsidRPr="004068F6">
        <w:rPr>
          <w:spacing w:val="-3"/>
        </w:rPr>
        <w:t xml:space="preserve"> pruebas de pulso o “slug”, Lefranc, Lugeon, Gilg-Gavard u otro tipo de pruebas (</w:t>
      </w:r>
      <w:r w:rsidR="003F69E2" w:rsidRPr="004068F6">
        <w:rPr>
          <w:spacing w:val="-3"/>
        </w:rPr>
        <w:t xml:space="preserve">pruebas </w:t>
      </w:r>
      <w:r w:rsidRPr="004068F6">
        <w:rPr>
          <w:spacing w:val="-3"/>
        </w:rPr>
        <w:t xml:space="preserve">de carga ascendente, descendente y de cabeza constante; pruebas con empaques, </w:t>
      </w:r>
      <w:r w:rsidR="003F69E2" w:rsidRPr="004068F6">
        <w:rPr>
          <w:spacing w:val="-3"/>
        </w:rPr>
        <w:t>entre otras</w:t>
      </w:r>
      <w:r w:rsidRPr="004068F6">
        <w:rPr>
          <w:spacing w:val="-3"/>
        </w:rPr>
        <w:t>), se deben presentar e interpretar los resultados en el marco de la caracterización hidráulica de las unidades geológicas, justificando e indicando la validez de los parámetros interpretados en cuanto a</w:t>
      </w:r>
      <w:r w:rsidR="00081B8C" w:rsidRPr="004068F6">
        <w:rPr>
          <w:spacing w:val="-3"/>
        </w:rPr>
        <w:t xml:space="preserve"> su extensión espacial.</w:t>
      </w:r>
      <w:r w:rsidR="00A44D73" w:rsidRPr="004068F6">
        <w:rPr>
          <w:spacing w:val="-3"/>
        </w:rPr>
        <w:t xml:space="preserve"> Para la medición de la variación de niveles piezométricos en pruebas tipo Lefranc o Slug, se debe utilizar en lo posible transductores de presión, considerando que los datos obtenidos a través de los transductores deben ser sujetos a una corrección barométrica.</w:t>
      </w:r>
    </w:p>
    <w:p w14:paraId="03005CB8" w14:textId="77777777" w:rsidR="00081B8C" w:rsidRPr="004068F6" w:rsidRDefault="00081B8C" w:rsidP="00E449AA">
      <w:pPr>
        <w:numPr>
          <w:ilvl w:val="12"/>
          <w:numId w:val="0"/>
        </w:numPr>
        <w:tabs>
          <w:tab w:val="left" w:pos="-2268"/>
        </w:tabs>
        <w:suppressAutoHyphens/>
        <w:rPr>
          <w:spacing w:val="-3"/>
        </w:rPr>
      </w:pPr>
    </w:p>
    <w:p w14:paraId="5E7AA886" w14:textId="32CF7F24" w:rsidR="00E449AA" w:rsidRPr="004068F6" w:rsidRDefault="00E449AA"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Hidrogeoquímica y calidad del agua</w:t>
      </w:r>
      <w:r w:rsidR="003F69E2" w:rsidRPr="004068F6">
        <w:rPr>
          <w:bCs/>
          <w:spacing w:val="-3"/>
          <w:lang w:val="es-CO"/>
        </w:rPr>
        <w:t>.</w:t>
      </w:r>
      <w:r w:rsidRPr="004068F6">
        <w:rPr>
          <w:bCs/>
          <w:spacing w:val="-3"/>
          <w:lang w:val="es-CO"/>
        </w:rPr>
        <w:t xml:space="preserve"> </w:t>
      </w:r>
      <w:r w:rsidR="003F69E2" w:rsidRPr="004068F6">
        <w:rPr>
          <w:bCs/>
          <w:spacing w:val="-3"/>
          <w:lang w:val="es-CO"/>
        </w:rPr>
        <w:t xml:space="preserve">Se </w:t>
      </w:r>
      <w:r w:rsidRPr="004068F6">
        <w:rPr>
          <w:bCs/>
          <w:spacing w:val="-3"/>
          <w:lang w:val="es-CO"/>
        </w:rPr>
        <w:t>debe realizar la caracterización hidrogeoquímica y de calidad del agua subterránea con base en el muestreo de puntos de agua representativos de las unidades hidrogeológicas identificadas. En caso de que no existan puntos de agua subterránea para los acuíferos que puedan verse afectados por el proyecto, obra o actividad, se debe</w:t>
      </w:r>
      <w:r w:rsidR="003F69E2" w:rsidRPr="004068F6">
        <w:rPr>
          <w:bCs/>
          <w:spacing w:val="-3"/>
          <w:lang w:val="es-CO"/>
        </w:rPr>
        <w:t>n</w:t>
      </w:r>
      <w:r w:rsidRPr="004068F6">
        <w:rPr>
          <w:bCs/>
          <w:spacing w:val="-3"/>
          <w:lang w:val="es-CO"/>
        </w:rPr>
        <w:t xml:space="preserve"> proponer de acuerdo con las particularidades del mismo y </w:t>
      </w:r>
      <w:r w:rsidR="003F69E2" w:rsidRPr="004068F6">
        <w:rPr>
          <w:bCs/>
          <w:spacing w:val="-3"/>
          <w:lang w:val="es-CO"/>
        </w:rPr>
        <w:t>con</w:t>
      </w:r>
      <w:r w:rsidRPr="004068F6">
        <w:rPr>
          <w:bCs/>
          <w:spacing w:val="-3"/>
          <w:lang w:val="es-CO"/>
        </w:rPr>
        <w:t xml:space="preserve"> los requerimientos de los correspondientes términos de referencia, las medidas de seguimiento y monitoreo del estudio ambiental, </w:t>
      </w:r>
      <w:r w:rsidR="003F69E2" w:rsidRPr="004068F6">
        <w:rPr>
          <w:bCs/>
          <w:spacing w:val="-3"/>
          <w:lang w:val="es-CO"/>
        </w:rPr>
        <w:t xml:space="preserve">asimismo </w:t>
      </w:r>
      <w:r w:rsidRPr="004068F6">
        <w:rPr>
          <w:bCs/>
          <w:spacing w:val="-3"/>
          <w:lang w:val="es-CO"/>
        </w:rPr>
        <w:t>se debe proponer el diseño de una red de monitoreo</w:t>
      </w:r>
      <w:r w:rsidR="003F69E2" w:rsidRPr="004068F6">
        <w:rPr>
          <w:bCs/>
          <w:spacing w:val="-3"/>
          <w:lang w:val="es-CO"/>
        </w:rPr>
        <w:t>,</w:t>
      </w:r>
      <w:r w:rsidRPr="004068F6">
        <w:rPr>
          <w:bCs/>
          <w:spacing w:val="-3"/>
          <w:lang w:val="es-CO"/>
        </w:rPr>
        <w:t xml:space="preserve"> especificando la periodicidad asociada al monitoreo durante la vida útil del proyecto, esto aplica, para los proyectos, obras o actividades que por su naturaleza causen impactos ambientales significativos en el componente hidrogeológico.</w:t>
      </w:r>
    </w:p>
    <w:p w14:paraId="22A00C53" w14:textId="77777777" w:rsidR="00E449AA" w:rsidRPr="004068F6" w:rsidRDefault="00E449AA" w:rsidP="00E449AA">
      <w:pPr>
        <w:numPr>
          <w:ilvl w:val="12"/>
          <w:numId w:val="0"/>
        </w:numPr>
        <w:tabs>
          <w:tab w:val="left" w:pos="-2268"/>
        </w:tabs>
        <w:suppressAutoHyphens/>
        <w:rPr>
          <w:spacing w:val="-3"/>
        </w:rPr>
      </w:pPr>
    </w:p>
    <w:p w14:paraId="7105985A" w14:textId="78FF20A7" w:rsidR="00E449AA" w:rsidRPr="004068F6" w:rsidRDefault="00E449AA" w:rsidP="009420F5">
      <w:pPr>
        <w:numPr>
          <w:ilvl w:val="12"/>
          <w:numId w:val="0"/>
        </w:numPr>
        <w:tabs>
          <w:tab w:val="left" w:pos="-2268"/>
        </w:tabs>
        <w:suppressAutoHyphens/>
        <w:ind w:left="567"/>
        <w:rPr>
          <w:spacing w:val="-3"/>
        </w:rPr>
      </w:pPr>
      <w:r w:rsidRPr="004068F6">
        <w:rPr>
          <w:spacing w:val="-3"/>
        </w:rPr>
        <w:t xml:space="preserve">Para la caracterización hidrogeoquímica se debe monitorear en cada unidad geológica acuífera como mínimo los siguientes parámetros: </w:t>
      </w:r>
      <w:r w:rsidR="003F69E2" w:rsidRPr="004068F6">
        <w:rPr>
          <w:spacing w:val="-3"/>
        </w:rPr>
        <w:t>c</w:t>
      </w:r>
      <w:r w:rsidRPr="004068F6">
        <w:rPr>
          <w:spacing w:val="-3"/>
        </w:rPr>
        <w:t xml:space="preserve">onductividad </w:t>
      </w:r>
      <w:r w:rsidR="003F69E2" w:rsidRPr="004068F6">
        <w:rPr>
          <w:spacing w:val="-3"/>
        </w:rPr>
        <w:t>e</w:t>
      </w:r>
      <w:r w:rsidRPr="004068F6">
        <w:rPr>
          <w:spacing w:val="-3"/>
        </w:rPr>
        <w:t xml:space="preserve">léctrica </w:t>
      </w:r>
      <w:r w:rsidR="00A44D73" w:rsidRPr="004068F6">
        <w:rPr>
          <w:spacing w:val="-3"/>
        </w:rPr>
        <w:t>(µS/cm)</w:t>
      </w:r>
      <w:r w:rsidRPr="004068F6">
        <w:rPr>
          <w:spacing w:val="-3"/>
        </w:rPr>
        <w:t xml:space="preserve">, </w:t>
      </w:r>
      <w:r w:rsidR="003F69E2" w:rsidRPr="004068F6">
        <w:rPr>
          <w:spacing w:val="-3"/>
        </w:rPr>
        <w:t>d</w:t>
      </w:r>
      <w:r w:rsidRPr="004068F6">
        <w:rPr>
          <w:spacing w:val="-3"/>
        </w:rPr>
        <w:t xml:space="preserve">ureza </w:t>
      </w:r>
      <w:r w:rsidR="003F69E2" w:rsidRPr="004068F6">
        <w:rPr>
          <w:spacing w:val="-3"/>
        </w:rPr>
        <w:t>t</w:t>
      </w:r>
      <w:r w:rsidRPr="004068F6">
        <w:rPr>
          <w:spacing w:val="-3"/>
        </w:rPr>
        <w:t>otal (mg</w:t>
      </w:r>
      <w:r w:rsidR="003F69E2" w:rsidRPr="004068F6">
        <w:rPr>
          <w:spacing w:val="-3"/>
        </w:rPr>
        <w:t xml:space="preserve"> </w:t>
      </w:r>
      <w:r w:rsidRPr="004068F6">
        <w:rPr>
          <w:spacing w:val="-3"/>
        </w:rPr>
        <w:t>CaC</w:t>
      </w:r>
      <w:r w:rsidR="003F69E2" w:rsidRPr="004068F6">
        <w:rPr>
          <w:spacing w:val="-3"/>
        </w:rPr>
        <w:t>O</w:t>
      </w:r>
      <w:r w:rsidRPr="004068F6">
        <w:rPr>
          <w:spacing w:val="-3"/>
        </w:rPr>
        <w:t>3/</w:t>
      </w:r>
      <w:r w:rsidR="003F69E2" w:rsidRPr="004068F6">
        <w:rPr>
          <w:spacing w:val="-3"/>
        </w:rPr>
        <w:t>l</w:t>
      </w:r>
      <w:r w:rsidRPr="004068F6">
        <w:rPr>
          <w:spacing w:val="-3"/>
        </w:rPr>
        <w:t xml:space="preserve">), </w:t>
      </w:r>
      <w:r w:rsidR="003F69E2" w:rsidRPr="004068F6">
        <w:rPr>
          <w:spacing w:val="-3"/>
        </w:rPr>
        <w:t>o</w:t>
      </w:r>
      <w:r w:rsidRPr="004068F6">
        <w:rPr>
          <w:spacing w:val="-3"/>
        </w:rPr>
        <w:t xml:space="preserve">xígeno </w:t>
      </w:r>
      <w:r w:rsidR="003F69E2" w:rsidRPr="004068F6">
        <w:rPr>
          <w:spacing w:val="-3"/>
        </w:rPr>
        <w:t>d</w:t>
      </w:r>
      <w:r w:rsidRPr="004068F6">
        <w:rPr>
          <w:spacing w:val="-3"/>
        </w:rPr>
        <w:t>isuelto (mg/</w:t>
      </w:r>
      <w:r w:rsidR="003F69E2" w:rsidRPr="004068F6">
        <w:rPr>
          <w:spacing w:val="-3"/>
        </w:rPr>
        <w:t>l</w:t>
      </w:r>
      <w:r w:rsidRPr="004068F6">
        <w:rPr>
          <w:spacing w:val="-3"/>
        </w:rPr>
        <w:t>), pH (</w:t>
      </w:r>
      <w:r w:rsidR="003F69E2" w:rsidRPr="004068F6">
        <w:rPr>
          <w:spacing w:val="-3"/>
        </w:rPr>
        <w:t>u</w:t>
      </w:r>
      <w:r w:rsidRPr="004068F6">
        <w:rPr>
          <w:spacing w:val="-3"/>
        </w:rPr>
        <w:t xml:space="preserve">nidades de pH), </w:t>
      </w:r>
      <w:r w:rsidR="003F69E2" w:rsidRPr="004068F6">
        <w:rPr>
          <w:spacing w:val="-3"/>
        </w:rPr>
        <w:t xml:space="preserve">potencial oxido reducción </w:t>
      </w:r>
      <w:r w:rsidRPr="004068F6">
        <w:rPr>
          <w:spacing w:val="-3"/>
        </w:rPr>
        <w:t xml:space="preserve">(mV), </w:t>
      </w:r>
      <w:r w:rsidR="003F69E2" w:rsidRPr="004068F6">
        <w:rPr>
          <w:spacing w:val="-3"/>
        </w:rPr>
        <w:t xml:space="preserve">sólidos disueltos totales </w:t>
      </w:r>
      <w:r w:rsidRPr="004068F6">
        <w:rPr>
          <w:spacing w:val="-3"/>
        </w:rPr>
        <w:t>(mg/</w:t>
      </w:r>
      <w:r w:rsidR="003F69E2" w:rsidRPr="004068F6">
        <w:rPr>
          <w:spacing w:val="-3"/>
        </w:rPr>
        <w:t>l</w:t>
      </w:r>
      <w:r w:rsidRPr="004068F6">
        <w:rPr>
          <w:spacing w:val="-3"/>
        </w:rPr>
        <w:t xml:space="preserve">), </w:t>
      </w:r>
      <w:r w:rsidR="003F69E2" w:rsidRPr="004068F6">
        <w:rPr>
          <w:spacing w:val="-3"/>
        </w:rPr>
        <w:t>t</w:t>
      </w:r>
      <w:r w:rsidRPr="004068F6">
        <w:rPr>
          <w:spacing w:val="-3"/>
        </w:rPr>
        <w:t xml:space="preserve">emperatura (°C), </w:t>
      </w:r>
      <w:r w:rsidR="003F69E2" w:rsidRPr="004068F6">
        <w:rPr>
          <w:spacing w:val="-3"/>
        </w:rPr>
        <w:t>c</w:t>
      </w:r>
      <w:r w:rsidRPr="004068F6">
        <w:rPr>
          <w:spacing w:val="-3"/>
        </w:rPr>
        <w:t xml:space="preserve">ationes </w:t>
      </w:r>
      <w:r w:rsidR="003F69E2" w:rsidRPr="004068F6">
        <w:rPr>
          <w:spacing w:val="-3"/>
        </w:rPr>
        <w:t>(c</w:t>
      </w:r>
      <w:r w:rsidRPr="004068F6">
        <w:rPr>
          <w:spacing w:val="-3"/>
        </w:rPr>
        <w:t>alcio (mg/</w:t>
      </w:r>
      <w:r w:rsidR="003F69E2" w:rsidRPr="004068F6">
        <w:rPr>
          <w:spacing w:val="-3"/>
        </w:rPr>
        <w:t>l</w:t>
      </w:r>
      <w:r w:rsidRPr="004068F6">
        <w:rPr>
          <w:spacing w:val="-3"/>
        </w:rPr>
        <w:t xml:space="preserve">), </w:t>
      </w:r>
      <w:r w:rsidR="003F69E2" w:rsidRPr="004068F6">
        <w:rPr>
          <w:spacing w:val="-3"/>
        </w:rPr>
        <w:t>s</w:t>
      </w:r>
      <w:r w:rsidRPr="004068F6">
        <w:rPr>
          <w:spacing w:val="-3"/>
        </w:rPr>
        <w:t>odio (mg/</w:t>
      </w:r>
      <w:r w:rsidR="003F69E2" w:rsidRPr="004068F6">
        <w:rPr>
          <w:spacing w:val="-3"/>
        </w:rPr>
        <w:t>l</w:t>
      </w:r>
      <w:r w:rsidRPr="004068F6">
        <w:rPr>
          <w:spacing w:val="-3"/>
        </w:rPr>
        <w:t xml:space="preserve">), </w:t>
      </w:r>
      <w:r w:rsidR="003F69E2" w:rsidRPr="004068F6">
        <w:rPr>
          <w:spacing w:val="-3"/>
        </w:rPr>
        <w:t>p</w:t>
      </w:r>
      <w:r w:rsidRPr="004068F6">
        <w:rPr>
          <w:spacing w:val="-3"/>
        </w:rPr>
        <w:t>otasio (mg/</w:t>
      </w:r>
      <w:r w:rsidR="003F69E2" w:rsidRPr="004068F6">
        <w:rPr>
          <w:spacing w:val="-3"/>
        </w:rPr>
        <w:t>l</w:t>
      </w:r>
      <w:r w:rsidRPr="004068F6">
        <w:rPr>
          <w:spacing w:val="-3"/>
        </w:rPr>
        <w:t xml:space="preserve">), </w:t>
      </w:r>
      <w:r w:rsidR="003F69E2" w:rsidRPr="004068F6">
        <w:rPr>
          <w:spacing w:val="-3"/>
        </w:rPr>
        <w:t>m</w:t>
      </w:r>
      <w:r w:rsidRPr="004068F6">
        <w:rPr>
          <w:spacing w:val="-3"/>
        </w:rPr>
        <w:t>agnesio (mg/</w:t>
      </w:r>
      <w:r w:rsidR="003F69E2" w:rsidRPr="004068F6">
        <w:rPr>
          <w:spacing w:val="-3"/>
        </w:rPr>
        <w:t>l</w:t>
      </w:r>
      <w:r w:rsidRPr="004068F6">
        <w:rPr>
          <w:spacing w:val="-3"/>
        </w:rPr>
        <w:t>)</w:t>
      </w:r>
      <w:r w:rsidR="003F69E2" w:rsidRPr="004068F6">
        <w:rPr>
          <w:spacing w:val="-3"/>
        </w:rPr>
        <w:t>)</w:t>
      </w:r>
      <w:r w:rsidRPr="004068F6">
        <w:rPr>
          <w:spacing w:val="-3"/>
        </w:rPr>
        <w:t xml:space="preserve">, </w:t>
      </w:r>
      <w:r w:rsidR="003F69E2" w:rsidRPr="004068F6">
        <w:rPr>
          <w:spacing w:val="-3"/>
        </w:rPr>
        <w:t>a</w:t>
      </w:r>
      <w:r w:rsidRPr="004068F6">
        <w:rPr>
          <w:spacing w:val="-3"/>
        </w:rPr>
        <w:t xml:space="preserve">niones </w:t>
      </w:r>
      <w:r w:rsidR="003F69E2" w:rsidRPr="004068F6">
        <w:rPr>
          <w:spacing w:val="-3"/>
        </w:rPr>
        <w:t>(b</w:t>
      </w:r>
      <w:r w:rsidRPr="004068F6">
        <w:rPr>
          <w:spacing w:val="-3"/>
        </w:rPr>
        <w:t>icarbonato (mg/</w:t>
      </w:r>
      <w:r w:rsidR="003F69E2" w:rsidRPr="004068F6">
        <w:rPr>
          <w:spacing w:val="-3"/>
        </w:rPr>
        <w:t>l</w:t>
      </w:r>
      <w:r w:rsidRPr="004068F6">
        <w:rPr>
          <w:spacing w:val="-3"/>
        </w:rPr>
        <w:t xml:space="preserve">), </w:t>
      </w:r>
      <w:r w:rsidR="003F69E2" w:rsidRPr="004068F6">
        <w:rPr>
          <w:spacing w:val="-3"/>
        </w:rPr>
        <w:t>n</w:t>
      </w:r>
      <w:r w:rsidRPr="004068F6">
        <w:rPr>
          <w:spacing w:val="-3"/>
        </w:rPr>
        <w:t>itritos (mg/</w:t>
      </w:r>
      <w:r w:rsidR="003F69E2" w:rsidRPr="004068F6">
        <w:rPr>
          <w:spacing w:val="-3"/>
        </w:rPr>
        <w:t>l</w:t>
      </w:r>
      <w:r w:rsidRPr="004068F6">
        <w:rPr>
          <w:spacing w:val="-3"/>
        </w:rPr>
        <w:t xml:space="preserve">), </w:t>
      </w:r>
      <w:r w:rsidR="003F69E2" w:rsidRPr="004068F6">
        <w:rPr>
          <w:spacing w:val="-3"/>
        </w:rPr>
        <w:t>c</w:t>
      </w:r>
      <w:r w:rsidRPr="004068F6">
        <w:rPr>
          <w:spacing w:val="-3"/>
        </w:rPr>
        <w:t>loruro (mg/</w:t>
      </w:r>
      <w:r w:rsidR="003F69E2" w:rsidRPr="004068F6">
        <w:rPr>
          <w:spacing w:val="-3"/>
        </w:rPr>
        <w:t>l</w:t>
      </w:r>
      <w:r w:rsidRPr="004068F6">
        <w:rPr>
          <w:spacing w:val="-3"/>
        </w:rPr>
        <w:t xml:space="preserve">), </w:t>
      </w:r>
      <w:r w:rsidR="003F69E2" w:rsidRPr="004068F6">
        <w:rPr>
          <w:spacing w:val="-3"/>
        </w:rPr>
        <w:t>s</w:t>
      </w:r>
      <w:r w:rsidRPr="004068F6">
        <w:rPr>
          <w:spacing w:val="-3"/>
        </w:rPr>
        <w:t>ulfato (mg/</w:t>
      </w:r>
      <w:r w:rsidR="003F69E2" w:rsidRPr="004068F6">
        <w:rPr>
          <w:spacing w:val="-3"/>
        </w:rPr>
        <w:t>l</w:t>
      </w:r>
      <w:r w:rsidRPr="004068F6">
        <w:rPr>
          <w:spacing w:val="-3"/>
        </w:rPr>
        <w:t>)</w:t>
      </w:r>
      <w:r w:rsidR="000D5929" w:rsidRPr="004068F6">
        <w:rPr>
          <w:spacing w:val="-3"/>
        </w:rPr>
        <w:t>)</w:t>
      </w:r>
      <w:r w:rsidRPr="004068F6">
        <w:rPr>
          <w:spacing w:val="-3"/>
        </w:rPr>
        <w:t xml:space="preserve">, </w:t>
      </w:r>
      <w:r w:rsidR="000D5929" w:rsidRPr="004068F6">
        <w:rPr>
          <w:spacing w:val="-3"/>
        </w:rPr>
        <w:t xml:space="preserve">es posible </w:t>
      </w:r>
      <w:r w:rsidRPr="004068F6">
        <w:rPr>
          <w:spacing w:val="-3"/>
        </w:rPr>
        <w:t>incluir otros iones que sean relevantes del medio local y que influyan en el balance iónico. Adicionalmente, se debe medir el contenido de metales, metaloides y demás sustancias de interés conforme las características del proyecto</w:t>
      </w:r>
      <w:r w:rsidR="000D5929" w:rsidRPr="004068F6">
        <w:rPr>
          <w:spacing w:val="-3"/>
        </w:rPr>
        <w:t>, obra o actividad</w:t>
      </w:r>
      <w:r w:rsidRPr="004068F6">
        <w:rPr>
          <w:spacing w:val="-3"/>
        </w:rPr>
        <w:t>. Para la caracterización de la calidad del agua subterránea se debe monitorear adicionalmente los coliformes termotolerantes totales y fecales</w:t>
      </w:r>
      <w:r w:rsidRPr="004068F6">
        <w:rPr>
          <w:i/>
          <w:spacing w:val="-3"/>
        </w:rPr>
        <w:t xml:space="preserve"> (</w:t>
      </w:r>
      <w:r w:rsidR="00041844" w:rsidRPr="004068F6">
        <w:rPr>
          <w:spacing w:val="-3"/>
        </w:rPr>
        <w:t>p. ej.</w:t>
      </w:r>
      <w:r w:rsidRPr="004068F6">
        <w:rPr>
          <w:spacing w:val="-3"/>
        </w:rPr>
        <w:t xml:space="preserve"> </w:t>
      </w:r>
      <w:r w:rsidRPr="004068F6">
        <w:rPr>
          <w:i/>
          <w:spacing w:val="-3"/>
        </w:rPr>
        <w:t>E. coli</w:t>
      </w:r>
      <w:r w:rsidRPr="004068F6">
        <w:rPr>
          <w:spacing w:val="-3"/>
        </w:rPr>
        <w:t xml:space="preserve">) y los parámetros químicos que la autoridad ambiental competente establezca en términos de referencia u otros instrumentos aplicables al proyecto, </w:t>
      </w:r>
      <w:r w:rsidR="000D5929" w:rsidRPr="004068F6">
        <w:rPr>
          <w:spacing w:val="-3"/>
        </w:rPr>
        <w:t xml:space="preserve">obra o actividad </w:t>
      </w:r>
      <w:r w:rsidRPr="004068F6">
        <w:rPr>
          <w:spacing w:val="-3"/>
        </w:rPr>
        <w:t xml:space="preserve">de acuerdo con el tipo de actividad a desarrollar y a las actividades </w:t>
      </w:r>
      <w:r w:rsidR="001D12E7" w:rsidRPr="004068F6">
        <w:rPr>
          <w:spacing w:val="-3"/>
        </w:rPr>
        <w:t xml:space="preserve">económicas </w:t>
      </w:r>
      <w:r w:rsidRPr="004068F6">
        <w:rPr>
          <w:spacing w:val="-3"/>
        </w:rPr>
        <w:t>existentes.</w:t>
      </w:r>
    </w:p>
    <w:p w14:paraId="14C9C944" w14:textId="77777777" w:rsidR="003F69E2" w:rsidRPr="004068F6" w:rsidRDefault="003F69E2">
      <w:pPr>
        <w:numPr>
          <w:ilvl w:val="12"/>
          <w:numId w:val="0"/>
        </w:numPr>
        <w:tabs>
          <w:tab w:val="left" w:pos="-2268"/>
        </w:tabs>
        <w:suppressAutoHyphens/>
        <w:rPr>
          <w:spacing w:val="-3"/>
        </w:rPr>
      </w:pPr>
    </w:p>
    <w:p w14:paraId="7EB2AA7B" w14:textId="4EF6A928" w:rsidR="00E449AA" w:rsidRPr="004068F6" w:rsidRDefault="00E449AA" w:rsidP="003F69E2">
      <w:pPr>
        <w:numPr>
          <w:ilvl w:val="12"/>
          <w:numId w:val="0"/>
        </w:numPr>
        <w:tabs>
          <w:tab w:val="left" w:pos="-2268"/>
        </w:tabs>
        <w:suppressAutoHyphens/>
        <w:ind w:left="567"/>
        <w:rPr>
          <w:spacing w:val="-3"/>
        </w:rPr>
      </w:pPr>
      <w:r w:rsidRPr="004068F6">
        <w:rPr>
          <w:spacing w:val="-3"/>
        </w:rPr>
        <w:lastRenderedPageBreak/>
        <w:t xml:space="preserve">Se debe calcular y presentar el balance iónico de las muestras, el error analítico de aceptación </w:t>
      </w:r>
      <w:r w:rsidR="000D5929" w:rsidRPr="004068F6">
        <w:rPr>
          <w:spacing w:val="-3"/>
        </w:rPr>
        <w:t xml:space="preserve">es </w:t>
      </w:r>
      <w:r w:rsidRPr="004068F6">
        <w:rPr>
          <w:spacing w:val="-3"/>
        </w:rPr>
        <w:t xml:space="preserve">de ±15%. A su vez, se deben reportar las relaciones interparamétricas que se consideren apropiadas para verificar la calidad de los análisis de laboratorio (considerando las referenciadas en la </w:t>
      </w:r>
      <w:r w:rsidR="000D5929" w:rsidRPr="004068F6">
        <w:rPr>
          <w:spacing w:val="-3"/>
        </w:rPr>
        <w:t>G</w:t>
      </w:r>
      <w:r w:rsidRPr="004068F6">
        <w:rPr>
          <w:spacing w:val="-3"/>
        </w:rPr>
        <w:t xml:space="preserve">uía metodológica para la formulación de </w:t>
      </w:r>
      <w:r w:rsidR="000D5929" w:rsidRPr="004068F6">
        <w:rPr>
          <w:spacing w:val="-3"/>
        </w:rPr>
        <w:t>planes de manejo ambiental de acuíferos</w:t>
      </w:r>
      <w:r w:rsidR="003F69E2" w:rsidRPr="004068F6">
        <w:rPr>
          <w:spacing w:val="-3"/>
        </w:rPr>
        <w:t>).</w:t>
      </w:r>
    </w:p>
    <w:p w14:paraId="5FB3B644" w14:textId="77777777" w:rsidR="003F69E2" w:rsidRPr="004068F6" w:rsidRDefault="003F69E2" w:rsidP="009420F5">
      <w:pPr>
        <w:numPr>
          <w:ilvl w:val="12"/>
          <w:numId w:val="0"/>
        </w:numPr>
        <w:tabs>
          <w:tab w:val="left" w:pos="-2268"/>
        </w:tabs>
        <w:suppressAutoHyphens/>
        <w:rPr>
          <w:spacing w:val="-3"/>
        </w:rPr>
      </w:pPr>
    </w:p>
    <w:p w14:paraId="5CB1327C" w14:textId="5728F250" w:rsidR="000D5929" w:rsidRPr="004068F6" w:rsidRDefault="00E449AA" w:rsidP="003F69E2">
      <w:pPr>
        <w:numPr>
          <w:ilvl w:val="12"/>
          <w:numId w:val="0"/>
        </w:numPr>
        <w:tabs>
          <w:tab w:val="left" w:pos="-2268"/>
        </w:tabs>
        <w:suppressAutoHyphens/>
        <w:ind w:left="567"/>
        <w:rPr>
          <w:spacing w:val="-3"/>
        </w:rPr>
      </w:pPr>
      <w:r w:rsidRPr="004068F6">
        <w:rPr>
          <w:spacing w:val="-3"/>
        </w:rPr>
        <w:t xml:space="preserve">Con los datos adquiridos, se requiere realizar mapas de distribución de los valores para los parámetros fisicoquímicos </w:t>
      </w:r>
      <w:r w:rsidR="000D5929" w:rsidRPr="004068F6">
        <w:rPr>
          <w:spacing w:val="-3"/>
        </w:rPr>
        <w:t>t</w:t>
      </w:r>
      <w:r w:rsidRPr="004068F6">
        <w:rPr>
          <w:spacing w:val="-3"/>
        </w:rPr>
        <w:t xml:space="preserve">emperatura, conductividad, pH, oxígeno disuelto y potencial redox. Los resultados hidroquímicos se </w:t>
      </w:r>
      <w:r w:rsidR="000D5929" w:rsidRPr="004068F6">
        <w:rPr>
          <w:spacing w:val="-3"/>
        </w:rPr>
        <w:t xml:space="preserve">deben </w:t>
      </w:r>
      <w:r w:rsidRPr="004068F6">
        <w:rPr>
          <w:spacing w:val="-3"/>
        </w:rPr>
        <w:t>representar en diagramas de relación (</w:t>
      </w:r>
      <w:r w:rsidR="00A44D73" w:rsidRPr="004068F6">
        <w:rPr>
          <w:spacing w:val="-3"/>
        </w:rPr>
        <w:t xml:space="preserve">p. ej. </w:t>
      </w:r>
      <w:r w:rsidRPr="004068F6">
        <w:rPr>
          <w:spacing w:val="-3"/>
        </w:rPr>
        <w:t>Piper, Stiff, Schoeller, Mifflin</w:t>
      </w:r>
      <w:r w:rsidR="000D5929" w:rsidRPr="004068F6">
        <w:rPr>
          <w:spacing w:val="-3"/>
        </w:rPr>
        <w:t>, entre otros</w:t>
      </w:r>
      <w:r w:rsidRPr="004068F6">
        <w:rPr>
          <w:spacing w:val="-3"/>
        </w:rPr>
        <w:t xml:space="preserve">) que permitan determinar las facies hidrogeoquímicas. El análisis debe </w:t>
      </w:r>
      <w:r w:rsidR="007443E1" w:rsidRPr="004068F6">
        <w:rPr>
          <w:spacing w:val="-3"/>
        </w:rPr>
        <w:t xml:space="preserve">determinar </w:t>
      </w:r>
      <w:r w:rsidRPr="004068F6">
        <w:rPr>
          <w:spacing w:val="-3"/>
        </w:rPr>
        <w:t>relaciones que contribuyan a la definición de zonas de recarga</w:t>
      </w:r>
      <w:r w:rsidR="000D5929" w:rsidRPr="004068F6">
        <w:rPr>
          <w:spacing w:val="-3"/>
        </w:rPr>
        <w:t xml:space="preserve"> y</w:t>
      </w:r>
      <w:r w:rsidRPr="004068F6">
        <w:rPr>
          <w:spacing w:val="-3"/>
        </w:rPr>
        <w:t xml:space="preserve"> tipos de roca con las que el agua ha estado en contacto</w:t>
      </w:r>
      <w:r w:rsidR="000D5929" w:rsidRPr="004068F6">
        <w:rPr>
          <w:spacing w:val="-3"/>
        </w:rPr>
        <w:t>,</w:t>
      </w:r>
      <w:r w:rsidRPr="004068F6">
        <w:rPr>
          <w:spacing w:val="-3"/>
        </w:rPr>
        <w:t xml:space="preserve"> y a partir de esto</w:t>
      </w:r>
      <w:r w:rsidR="000D5929" w:rsidRPr="004068F6">
        <w:rPr>
          <w:spacing w:val="-3"/>
        </w:rPr>
        <w:t>,</w:t>
      </w:r>
      <w:r w:rsidRPr="004068F6">
        <w:rPr>
          <w:spacing w:val="-3"/>
        </w:rPr>
        <w:t xml:space="preserve"> establecer aspectos como evolución hidrogeoquímica, </w:t>
      </w:r>
      <w:r w:rsidR="007443E1" w:rsidRPr="004068F6">
        <w:rPr>
          <w:spacing w:val="-3"/>
        </w:rPr>
        <w:t xml:space="preserve">determinar </w:t>
      </w:r>
      <w:r w:rsidRPr="004068F6">
        <w:rPr>
          <w:spacing w:val="-3"/>
        </w:rPr>
        <w:t>procesos de intercambio y mezclas entre tipos de agua, detectar eventos de disolución o precipitación de fracciones iónicas, interconexiones hidráulicas, mezcla de diferentes tipos de agua subterránea identificados, circulación, tiempo de residencia e indicadores de contaminación.</w:t>
      </w:r>
    </w:p>
    <w:p w14:paraId="0423C7C8" w14:textId="77777777" w:rsidR="00E449AA" w:rsidRPr="004068F6" w:rsidRDefault="00E449AA" w:rsidP="009420F5">
      <w:pPr>
        <w:numPr>
          <w:ilvl w:val="12"/>
          <w:numId w:val="0"/>
        </w:numPr>
        <w:tabs>
          <w:tab w:val="left" w:pos="-2268"/>
        </w:tabs>
        <w:suppressAutoHyphens/>
        <w:rPr>
          <w:spacing w:val="-3"/>
        </w:rPr>
      </w:pPr>
    </w:p>
    <w:p w14:paraId="6BB40212" w14:textId="5CAC19DD" w:rsidR="00E449AA" w:rsidRPr="004068F6" w:rsidRDefault="00E449AA" w:rsidP="009420F5">
      <w:pPr>
        <w:numPr>
          <w:ilvl w:val="12"/>
          <w:numId w:val="0"/>
        </w:numPr>
        <w:tabs>
          <w:tab w:val="left" w:pos="-2268"/>
        </w:tabs>
        <w:suppressAutoHyphens/>
        <w:ind w:left="567"/>
        <w:rPr>
          <w:spacing w:val="-3"/>
        </w:rPr>
      </w:pPr>
      <w:r w:rsidRPr="004068F6">
        <w:rPr>
          <w:spacing w:val="-3"/>
        </w:rPr>
        <w:t xml:space="preserve">Los laboratorios que realicen la toma de muestras y los análisis deben estar acreditados por el </w:t>
      </w:r>
      <w:r w:rsidR="00A92356" w:rsidRPr="004068F6">
        <w:rPr>
          <w:spacing w:val="-3"/>
        </w:rPr>
        <w:t>Ideam</w:t>
      </w:r>
      <w:r w:rsidRPr="004068F6">
        <w:rPr>
          <w:spacing w:val="-3"/>
        </w:rPr>
        <w:t xml:space="preserve">; se deben seguir los protocolos de toma de muestras y cadenas de custodia definidos por este instituto. De igual manera, cuando un laboratorio subcontrate a otro, también debe </w:t>
      </w:r>
      <w:r w:rsidR="00AB77E2" w:rsidRPr="00AB77E2">
        <w:rPr>
          <w:spacing w:val="-3"/>
        </w:rPr>
        <w:t>adjuntarse la resolución de acreditación vigente de este último</w:t>
      </w:r>
      <w:r w:rsidRPr="004068F6">
        <w:rPr>
          <w:spacing w:val="-3"/>
        </w:rPr>
        <w:t>.</w:t>
      </w:r>
    </w:p>
    <w:p w14:paraId="73C05224" w14:textId="77777777" w:rsidR="00E449AA" w:rsidRPr="004068F6" w:rsidRDefault="00E449AA" w:rsidP="00E449AA">
      <w:pPr>
        <w:numPr>
          <w:ilvl w:val="12"/>
          <w:numId w:val="0"/>
        </w:numPr>
        <w:tabs>
          <w:tab w:val="left" w:pos="-2268"/>
        </w:tabs>
        <w:suppressAutoHyphens/>
        <w:rPr>
          <w:spacing w:val="-3"/>
        </w:rPr>
      </w:pPr>
    </w:p>
    <w:p w14:paraId="341C149B" w14:textId="3E7AC63C" w:rsidR="00E449AA" w:rsidRPr="004068F6" w:rsidRDefault="00E449AA" w:rsidP="009420F5">
      <w:pPr>
        <w:numPr>
          <w:ilvl w:val="12"/>
          <w:numId w:val="0"/>
        </w:numPr>
        <w:tabs>
          <w:tab w:val="left" w:pos="-2268"/>
        </w:tabs>
        <w:suppressAutoHyphens/>
        <w:ind w:left="567"/>
        <w:rPr>
          <w:spacing w:val="-3"/>
        </w:rPr>
      </w:pPr>
      <w:r w:rsidRPr="004068F6">
        <w:rPr>
          <w:spacing w:val="-3"/>
        </w:rPr>
        <w:t xml:space="preserve">Adicionalmente, para la ejecución y diseño del muestreo </w:t>
      </w:r>
      <w:r w:rsidR="000D5929" w:rsidRPr="004068F6">
        <w:rPr>
          <w:spacing w:val="-3"/>
        </w:rPr>
        <w:t xml:space="preserve">es importante </w:t>
      </w:r>
      <w:r w:rsidRPr="004068F6">
        <w:rPr>
          <w:spacing w:val="-3"/>
        </w:rPr>
        <w:t>cumplir con las normas técnicas NTC-ISO 5667-1, NTC</w:t>
      </w:r>
      <w:r w:rsidR="000D5929" w:rsidRPr="004068F6">
        <w:rPr>
          <w:spacing w:val="-3"/>
        </w:rPr>
        <w:t>-</w:t>
      </w:r>
      <w:r w:rsidRPr="004068F6">
        <w:rPr>
          <w:spacing w:val="-3"/>
        </w:rPr>
        <w:t>ISO 5667-11 y NTC</w:t>
      </w:r>
      <w:r w:rsidR="000D5929" w:rsidRPr="004068F6">
        <w:rPr>
          <w:spacing w:val="-3"/>
        </w:rPr>
        <w:t>-</w:t>
      </w:r>
      <w:r w:rsidRPr="004068F6">
        <w:rPr>
          <w:spacing w:val="-3"/>
        </w:rPr>
        <w:t xml:space="preserve">ISO 5667-18, o </w:t>
      </w:r>
      <w:r w:rsidR="0024221F" w:rsidRPr="004068F6">
        <w:rPr>
          <w:spacing w:val="-3"/>
        </w:rPr>
        <w:t xml:space="preserve">con las normas </w:t>
      </w:r>
      <w:r w:rsidR="00EF1D79" w:rsidRPr="004068F6">
        <w:rPr>
          <w:spacing w:val="-3"/>
        </w:rPr>
        <w:t xml:space="preserve">técnicas </w:t>
      </w:r>
      <w:r w:rsidR="0024221F" w:rsidRPr="004068F6">
        <w:rPr>
          <w:spacing w:val="-3"/>
        </w:rPr>
        <w:t>que las actualicen o complementen</w:t>
      </w:r>
      <w:r w:rsidRPr="004068F6">
        <w:rPr>
          <w:spacing w:val="-3"/>
        </w:rPr>
        <w:t>.</w:t>
      </w:r>
    </w:p>
    <w:p w14:paraId="344F5CF2" w14:textId="77777777" w:rsidR="00E449AA" w:rsidRPr="004068F6" w:rsidRDefault="00E449AA" w:rsidP="00E449AA">
      <w:pPr>
        <w:numPr>
          <w:ilvl w:val="12"/>
          <w:numId w:val="0"/>
        </w:numPr>
        <w:tabs>
          <w:tab w:val="left" w:pos="-2268"/>
        </w:tabs>
        <w:suppressAutoHyphens/>
        <w:rPr>
          <w:spacing w:val="-3"/>
        </w:rPr>
      </w:pPr>
    </w:p>
    <w:p w14:paraId="102949B7" w14:textId="51690AE0" w:rsidR="00E449AA" w:rsidRPr="004068F6" w:rsidRDefault="00D900A4"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I</w:t>
      </w:r>
      <w:r w:rsidR="00E449AA" w:rsidRPr="004068F6">
        <w:rPr>
          <w:bCs/>
          <w:spacing w:val="-3"/>
          <w:lang w:val="es-CO"/>
        </w:rPr>
        <w:t>sot</w:t>
      </w:r>
      <w:r w:rsidRPr="004068F6">
        <w:rPr>
          <w:bCs/>
          <w:spacing w:val="-3"/>
          <w:lang w:val="es-CO"/>
        </w:rPr>
        <w:t>opía.</w:t>
      </w:r>
      <w:r w:rsidR="00E449AA" w:rsidRPr="004068F6">
        <w:rPr>
          <w:bCs/>
          <w:spacing w:val="-3"/>
          <w:lang w:val="es-CO"/>
        </w:rPr>
        <w:t xml:space="preserve"> </w:t>
      </w:r>
      <w:r w:rsidRPr="004068F6">
        <w:rPr>
          <w:bCs/>
          <w:spacing w:val="-3"/>
          <w:lang w:val="es-CO"/>
        </w:rPr>
        <w:t>C</w:t>
      </w:r>
      <w:r w:rsidR="00E449AA" w:rsidRPr="004068F6">
        <w:rPr>
          <w:bCs/>
          <w:spacing w:val="-3"/>
          <w:lang w:val="es-CO"/>
        </w:rPr>
        <w:t>uando por las características del proyecto</w:t>
      </w:r>
      <w:r w:rsidRPr="004068F6">
        <w:rPr>
          <w:bCs/>
          <w:spacing w:val="-3"/>
          <w:lang w:val="es-CO"/>
        </w:rPr>
        <w:t xml:space="preserve">, </w:t>
      </w:r>
      <w:r w:rsidR="00E449AA" w:rsidRPr="004068F6">
        <w:rPr>
          <w:bCs/>
          <w:spacing w:val="-3"/>
          <w:lang w:val="es-CO"/>
        </w:rPr>
        <w:t xml:space="preserve">obra o actividad se prevea la necesidad de establecer o confirmar la procedencia de las aguas subterráneas, validar </w:t>
      </w:r>
      <w:r w:rsidR="00A44D73" w:rsidRPr="004068F6">
        <w:rPr>
          <w:bCs/>
          <w:spacing w:val="-3"/>
          <w:lang w:val="es-CO"/>
        </w:rPr>
        <w:t xml:space="preserve">los </w:t>
      </w:r>
      <w:r w:rsidR="00E449AA" w:rsidRPr="004068F6">
        <w:rPr>
          <w:bCs/>
          <w:spacing w:val="-3"/>
          <w:lang w:val="es-CO"/>
        </w:rPr>
        <w:t xml:space="preserve">sistemas de flujo o conocer la datación de éstas, se debe efectuar el monitoreo de isotopos estables, radiactivos y trazadores ambientales del agua lluvia (precipitación), agua superficial y subterránea de acuerdo con las metodologías establecidas en los protocolos estandarizados por el Laboratorio de </w:t>
      </w:r>
      <w:r w:rsidRPr="004068F6">
        <w:rPr>
          <w:bCs/>
          <w:spacing w:val="-3"/>
          <w:lang w:val="es-CO"/>
        </w:rPr>
        <w:t>a</w:t>
      </w:r>
      <w:r w:rsidR="00E449AA" w:rsidRPr="004068F6">
        <w:rPr>
          <w:bCs/>
          <w:spacing w:val="-3"/>
          <w:lang w:val="es-CO"/>
        </w:rPr>
        <w:t xml:space="preserve">nálisis de </w:t>
      </w:r>
      <w:r w:rsidRPr="004068F6">
        <w:rPr>
          <w:bCs/>
          <w:spacing w:val="-3"/>
          <w:lang w:val="es-CO"/>
        </w:rPr>
        <w:t>i</w:t>
      </w:r>
      <w:r w:rsidR="00E449AA" w:rsidRPr="004068F6">
        <w:rPr>
          <w:bCs/>
          <w:spacing w:val="-3"/>
          <w:lang w:val="es-CO"/>
        </w:rPr>
        <w:t xml:space="preserve">sótopos estables en agua líquida del </w:t>
      </w:r>
      <w:r w:rsidRPr="004068F6">
        <w:rPr>
          <w:bCs/>
          <w:spacing w:val="-3"/>
          <w:lang w:val="es-CO"/>
        </w:rPr>
        <w:t>SGC</w:t>
      </w:r>
      <w:r w:rsidR="00E449AA" w:rsidRPr="004068F6">
        <w:rPr>
          <w:bCs/>
          <w:spacing w:val="-3"/>
          <w:lang w:val="es-CO"/>
        </w:rPr>
        <w:t xml:space="preserve">, los protocolos de </w:t>
      </w:r>
      <w:r w:rsidRPr="004068F6">
        <w:rPr>
          <w:bCs/>
          <w:spacing w:val="-3"/>
          <w:lang w:val="es-CO"/>
        </w:rPr>
        <w:t>m</w:t>
      </w:r>
      <w:r w:rsidR="00E449AA" w:rsidRPr="004068F6">
        <w:rPr>
          <w:bCs/>
          <w:spacing w:val="-3"/>
          <w:lang w:val="es-CO"/>
        </w:rPr>
        <w:t xml:space="preserve">onitoreo del agua del </w:t>
      </w:r>
      <w:r w:rsidR="00A92356" w:rsidRPr="004068F6">
        <w:rPr>
          <w:bCs/>
          <w:spacing w:val="-3"/>
          <w:lang w:val="es-CO"/>
        </w:rPr>
        <w:t>Ideam</w:t>
      </w:r>
      <w:r w:rsidR="00E449AA" w:rsidRPr="004068F6">
        <w:rPr>
          <w:bCs/>
          <w:spacing w:val="-3"/>
          <w:lang w:val="es-CO"/>
        </w:rPr>
        <w:t xml:space="preserve"> vigentes o las normas y protocolos internacionales que apliquen.</w:t>
      </w:r>
    </w:p>
    <w:p w14:paraId="1AFDB152" w14:textId="77777777" w:rsidR="00E449AA" w:rsidRPr="004068F6" w:rsidRDefault="00E449AA" w:rsidP="00E449AA">
      <w:pPr>
        <w:numPr>
          <w:ilvl w:val="12"/>
          <w:numId w:val="0"/>
        </w:numPr>
        <w:tabs>
          <w:tab w:val="left" w:pos="-2268"/>
        </w:tabs>
        <w:suppressAutoHyphens/>
        <w:rPr>
          <w:spacing w:val="-3"/>
        </w:rPr>
      </w:pPr>
    </w:p>
    <w:p w14:paraId="38F13233" w14:textId="4FD0B458" w:rsidR="00E449AA" w:rsidRPr="004068F6" w:rsidRDefault="00E449AA"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 xml:space="preserve">Vulnerabilidad intrínseca de los acuíferos a la contaminación. </w:t>
      </w:r>
      <w:r w:rsidR="00DA4BCA" w:rsidRPr="004068F6">
        <w:rPr>
          <w:bCs/>
          <w:spacing w:val="-3"/>
          <w:lang w:val="es-CO"/>
        </w:rPr>
        <w:t xml:space="preserve">Para establecer esta vulnerabilidad </w:t>
      </w:r>
      <w:r w:rsidRPr="004068F6">
        <w:rPr>
          <w:bCs/>
          <w:spacing w:val="-3"/>
          <w:lang w:val="es-CO"/>
        </w:rPr>
        <w:t xml:space="preserve">se pueden utilizar los métodos expuestos en el documento Propuesta metodológica para la evaluación de la vulnerabilidad intrínseca de los </w:t>
      </w:r>
      <w:r w:rsidRPr="004068F6">
        <w:rPr>
          <w:bCs/>
          <w:spacing w:val="-3"/>
          <w:lang w:val="es-CO"/>
        </w:rPr>
        <w:lastRenderedPageBreak/>
        <w:t xml:space="preserve">acuíferos a la contaminación (MAVDT, 2010a). Se debe justificar técnicamente el método seleccionado de conformidad con el tipo de acuífero y con la información disponible para la zona, </w:t>
      </w:r>
      <w:r w:rsidR="00FF41D6" w:rsidRPr="004068F6">
        <w:rPr>
          <w:bCs/>
          <w:spacing w:val="-3"/>
          <w:lang w:val="es-CO"/>
        </w:rPr>
        <w:t xml:space="preserve">y </w:t>
      </w:r>
      <w:r w:rsidRPr="004068F6">
        <w:rPr>
          <w:bCs/>
          <w:spacing w:val="-3"/>
          <w:lang w:val="es-CO"/>
        </w:rPr>
        <w:t>a su vez</w:t>
      </w:r>
      <w:r w:rsidR="00FF41D6" w:rsidRPr="004068F6">
        <w:rPr>
          <w:bCs/>
          <w:spacing w:val="-3"/>
          <w:lang w:val="es-CO"/>
        </w:rPr>
        <w:t>,</w:t>
      </w:r>
      <w:r w:rsidRPr="004068F6">
        <w:rPr>
          <w:bCs/>
          <w:spacing w:val="-3"/>
          <w:lang w:val="es-CO"/>
        </w:rPr>
        <w:t xml:space="preserve"> realizar la explicación de obtención, análisis e interpretación de cada una de las capas para la elaboración del mapa de vulnerabilidad.</w:t>
      </w:r>
    </w:p>
    <w:p w14:paraId="189DFB74" w14:textId="77777777" w:rsidR="00DA4BCA" w:rsidRPr="004068F6" w:rsidRDefault="00DA4BCA" w:rsidP="00E449AA">
      <w:pPr>
        <w:numPr>
          <w:ilvl w:val="12"/>
          <w:numId w:val="0"/>
        </w:numPr>
        <w:tabs>
          <w:tab w:val="left" w:pos="-2268"/>
        </w:tabs>
        <w:suppressAutoHyphens/>
        <w:rPr>
          <w:spacing w:val="-3"/>
        </w:rPr>
      </w:pPr>
    </w:p>
    <w:p w14:paraId="428BF73A" w14:textId="6DEA1724" w:rsidR="00C526D4" w:rsidRPr="004068F6" w:rsidRDefault="00E449AA" w:rsidP="009420F5">
      <w:pPr>
        <w:pStyle w:val="Prrafodelista"/>
        <w:numPr>
          <w:ilvl w:val="0"/>
          <w:numId w:val="59"/>
        </w:numPr>
        <w:tabs>
          <w:tab w:val="left" w:pos="-2268"/>
        </w:tabs>
        <w:suppressAutoHyphens/>
        <w:ind w:left="567" w:hanging="567"/>
        <w:rPr>
          <w:bCs/>
          <w:spacing w:val="-3"/>
          <w:lang w:val="es-CO"/>
        </w:rPr>
      </w:pPr>
      <w:r w:rsidRPr="004068F6">
        <w:rPr>
          <w:bCs/>
          <w:spacing w:val="-3"/>
          <w:lang w:val="es-CO"/>
        </w:rPr>
        <w:t xml:space="preserve">Fuentes potenciales de contaminación de acuíferos. Se deben </w:t>
      </w:r>
      <w:r w:rsidR="007443E1" w:rsidRPr="004068F6">
        <w:rPr>
          <w:bCs/>
          <w:spacing w:val="-3"/>
          <w:lang w:val="es-CO"/>
        </w:rPr>
        <w:t xml:space="preserve">determinar </w:t>
      </w:r>
      <w:r w:rsidRPr="004068F6">
        <w:rPr>
          <w:bCs/>
          <w:spacing w:val="-3"/>
          <w:lang w:val="es-CO"/>
        </w:rPr>
        <w:t xml:space="preserve">todas las actividades antrópicas que puedan catalogarse como potencialmente contaminantes del agua subterránea, en especial de los acuíferos someros, para establecer las medidas de manejo adecuadas con base en su superposición con el mapa de vulnerabilidad a la contaminación, así como </w:t>
      </w:r>
      <w:r w:rsidR="00C526D4" w:rsidRPr="004068F6">
        <w:rPr>
          <w:bCs/>
          <w:spacing w:val="-3"/>
          <w:lang w:val="es-CO"/>
        </w:rPr>
        <w:t xml:space="preserve">en </w:t>
      </w:r>
      <w:r w:rsidRPr="004068F6">
        <w:rPr>
          <w:bCs/>
          <w:spacing w:val="-3"/>
          <w:lang w:val="es-CO"/>
        </w:rPr>
        <w:t xml:space="preserve">su cercanía </w:t>
      </w:r>
      <w:r w:rsidR="00C526D4" w:rsidRPr="004068F6">
        <w:rPr>
          <w:bCs/>
          <w:spacing w:val="-3"/>
          <w:lang w:val="es-CO"/>
        </w:rPr>
        <w:t xml:space="preserve">a </w:t>
      </w:r>
      <w:r w:rsidRPr="004068F6">
        <w:rPr>
          <w:bCs/>
          <w:spacing w:val="-3"/>
          <w:lang w:val="es-CO"/>
        </w:rPr>
        <w:t>fallas geológicas y zonas de fractura.</w:t>
      </w:r>
    </w:p>
    <w:p w14:paraId="63E7F940" w14:textId="77777777" w:rsidR="00C526D4" w:rsidRPr="004068F6" w:rsidRDefault="00C526D4" w:rsidP="009420F5">
      <w:pPr>
        <w:rPr>
          <w:bCs/>
          <w:spacing w:val="-3"/>
        </w:rPr>
      </w:pPr>
    </w:p>
    <w:p w14:paraId="6F40C4D0" w14:textId="450B473A" w:rsidR="00E449AA" w:rsidRPr="004068F6" w:rsidRDefault="00E449AA" w:rsidP="009420F5">
      <w:pPr>
        <w:tabs>
          <w:tab w:val="left" w:pos="-2268"/>
        </w:tabs>
        <w:suppressAutoHyphens/>
        <w:rPr>
          <w:bCs/>
          <w:spacing w:val="-3"/>
        </w:rPr>
      </w:pPr>
      <w:r w:rsidRPr="004068F6">
        <w:rPr>
          <w:bCs/>
          <w:spacing w:val="-3"/>
        </w:rPr>
        <w:t xml:space="preserve">A partir de la compilación, análisis, integración de la información geológica y estructural, geofísica, unidades hidrogeológicas, </w:t>
      </w:r>
      <w:r w:rsidR="002A6D28" w:rsidRPr="004068F6">
        <w:rPr>
          <w:bCs/>
          <w:spacing w:val="-3"/>
        </w:rPr>
        <w:t xml:space="preserve">determinación </w:t>
      </w:r>
      <w:r w:rsidRPr="004068F6">
        <w:rPr>
          <w:bCs/>
          <w:spacing w:val="-3"/>
        </w:rPr>
        <w:t xml:space="preserve">de zonas de recarga, tránsito y descarga, inventario de puntos de agua subterránea, caracterización hidráulica, los resultados de la caracterización de sistemas de flujo subterráneo, superficies piezométricas, hidrogeoquímica, isotópica, determinaciones de calidad del agua subterránea y vulnerabilidad intrínseca a la contaminación, se debe conformar </w:t>
      </w:r>
      <w:r w:rsidR="002A6D28" w:rsidRPr="004068F6">
        <w:rPr>
          <w:bCs/>
          <w:spacing w:val="-3"/>
        </w:rPr>
        <w:t xml:space="preserve">un </w:t>
      </w:r>
      <w:r w:rsidRPr="004068F6">
        <w:rPr>
          <w:bCs/>
          <w:spacing w:val="-3"/>
        </w:rPr>
        <w:t xml:space="preserve">Modelo Hidrogeológico Conceptual </w:t>
      </w:r>
      <w:r w:rsidR="00C526D4" w:rsidRPr="004068F6">
        <w:rPr>
          <w:bCs/>
          <w:spacing w:val="-3"/>
        </w:rPr>
        <w:t>(</w:t>
      </w:r>
      <w:r w:rsidRPr="004068F6">
        <w:rPr>
          <w:bCs/>
          <w:spacing w:val="-3"/>
        </w:rPr>
        <w:t>MHC</w:t>
      </w:r>
      <w:r w:rsidR="00C526D4" w:rsidRPr="004068F6">
        <w:rPr>
          <w:bCs/>
          <w:spacing w:val="-3"/>
        </w:rPr>
        <w:t>)</w:t>
      </w:r>
      <w:r w:rsidRPr="004068F6">
        <w:rPr>
          <w:bCs/>
          <w:spacing w:val="-3"/>
        </w:rPr>
        <w:t xml:space="preserve"> que represente las condiciones del sistema hidrogeológico.</w:t>
      </w:r>
    </w:p>
    <w:p w14:paraId="22CB5726" w14:textId="77777777" w:rsidR="00E449AA" w:rsidRPr="004068F6" w:rsidRDefault="00E449AA" w:rsidP="00E449AA">
      <w:pPr>
        <w:numPr>
          <w:ilvl w:val="12"/>
          <w:numId w:val="0"/>
        </w:numPr>
        <w:tabs>
          <w:tab w:val="left" w:pos="-2268"/>
        </w:tabs>
        <w:suppressAutoHyphens/>
        <w:rPr>
          <w:spacing w:val="-3"/>
        </w:rPr>
      </w:pPr>
    </w:p>
    <w:p w14:paraId="6DDB22BF" w14:textId="50AC07FA" w:rsidR="00E449AA" w:rsidRPr="004068F6" w:rsidRDefault="00E449AA" w:rsidP="00E449AA">
      <w:pPr>
        <w:numPr>
          <w:ilvl w:val="12"/>
          <w:numId w:val="0"/>
        </w:numPr>
        <w:tabs>
          <w:tab w:val="left" w:pos="-2268"/>
        </w:tabs>
        <w:suppressAutoHyphens/>
        <w:rPr>
          <w:spacing w:val="-3"/>
        </w:rPr>
      </w:pPr>
      <w:r w:rsidRPr="004068F6">
        <w:rPr>
          <w:spacing w:val="-3"/>
        </w:rPr>
        <w:t>El modelo hidrogeológico conceptual debe utilizar la leyenda hidrogeológica internacional adoptada por el S</w:t>
      </w:r>
      <w:r w:rsidR="00C526D4" w:rsidRPr="004068F6">
        <w:rPr>
          <w:spacing w:val="-3"/>
        </w:rPr>
        <w:t>GC</w:t>
      </w:r>
      <w:r w:rsidRPr="004068F6">
        <w:rPr>
          <w:spacing w:val="-3"/>
        </w:rPr>
        <w:t xml:space="preserve">. El mapa hidrogeológico </w:t>
      </w:r>
      <w:r w:rsidR="00C526D4" w:rsidRPr="004068F6">
        <w:rPr>
          <w:spacing w:val="-3"/>
        </w:rPr>
        <w:t xml:space="preserve">debe </w:t>
      </w:r>
      <w:r w:rsidRPr="004068F6">
        <w:rPr>
          <w:spacing w:val="-3"/>
        </w:rPr>
        <w:t>incluir la distribución de unidades hidrogeológicas, de puntos de agua (pozos, aljibes y manantiales), direcciones de flujo, datos hidroquímicos y parámetros hidráulicos. Estos mapas hidrogeológicos deben estar acompañados de perfiles o cortes, bloques diagrama, en los que se pued</w:t>
      </w:r>
      <w:r w:rsidR="00C526D4" w:rsidRPr="004068F6">
        <w:rPr>
          <w:spacing w:val="-3"/>
        </w:rPr>
        <w:t>a</w:t>
      </w:r>
      <w:r w:rsidRPr="004068F6">
        <w:rPr>
          <w:spacing w:val="-3"/>
        </w:rPr>
        <w:t>n observar en profundidad</w:t>
      </w:r>
      <w:r w:rsidR="00C526D4" w:rsidRPr="004068F6">
        <w:rPr>
          <w:spacing w:val="-3"/>
        </w:rPr>
        <w:t>,</w:t>
      </w:r>
      <w:r w:rsidRPr="004068F6">
        <w:rPr>
          <w:spacing w:val="-3"/>
        </w:rPr>
        <w:t xml:space="preserve"> los espesores, los rasgos estructurales que definen las relaciones entre los sistemas acuíferos y las demás formaciones geológicas.</w:t>
      </w:r>
    </w:p>
    <w:p w14:paraId="0AD0E057" w14:textId="77777777" w:rsidR="00E449AA" w:rsidRPr="004068F6" w:rsidRDefault="00E449AA" w:rsidP="00E449AA">
      <w:pPr>
        <w:numPr>
          <w:ilvl w:val="12"/>
          <w:numId w:val="0"/>
        </w:numPr>
        <w:tabs>
          <w:tab w:val="left" w:pos="-2268"/>
        </w:tabs>
        <w:suppressAutoHyphens/>
        <w:rPr>
          <w:spacing w:val="-3"/>
        </w:rPr>
      </w:pPr>
    </w:p>
    <w:p w14:paraId="0A3B331D" w14:textId="5E4BFD6B" w:rsidR="00E449AA" w:rsidRPr="004068F6" w:rsidRDefault="00E449AA" w:rsidP="00E449AA">
      <w:pPr>
        <w:numPr>
          <w:ilvl w:val="12"/>
          <w:numId w:val="0"/>
        </w:numPr>
        <w:tabs>
          <w:tab w:val="left" w:pos="-2268"/>
        </w:tabs>
        <w:suppressAutoHyphens/>
        <w:rPr>
          <w:spacing w:val="-3"/>
        </w:rPr>
      </w:pPr>
      <w:r w:rsidRPr="004068F6">
        <w:rPr>
          <w:spacing w:val="-3"/>
        </w:rPr>
        <w:t xml:space="preserve">Se debe presentar un mapa que relacione los atributos numéricos y/o descriptivos para cada componente que integra el MHC, señalando, límites de baja y alta permeabilidad, zonas de recarga, tránsito y descarga, flujo, movimiento, interconexión hidráulica y dirección del agua subterránea, se deben </w:t>
      </w:r>
      <w:r w:rsidR="007443E1" w:rsidRPr="004068F6">
        <w:rPr>
          <w:spacing w:val="-3"/>
        </w:rPr>
        <w:t xml:space="preserve">establecer </w:t>
      </w:r>
      <w:r w:rsidRPr="004068F6">
        <w:rPr>
          <w:spacing w:val="-3"/>
        </w:rPr>
        <w:t>los acuíferos o zonas de los acuíferos objeto de medidas de manejo, protección o monitoreo diferencial, zonas con alta vulnerabilidad a la contaminación, perímetros de protección de pozos en especial los de abastecimiento doméstico, existencia de actividades potencialmente contaminantes, sinérgicas y acumulativas con las actividades del proyecto, entre otros.</w:t>
      </w:r>
    </w:p>
    <w:p w14:paraId="1C249A48" w14:textId="77777777" w:rsidR="00E449AA" w:rsidRPr="004068F6" w:rsidRDefault="00E449AA" w:rsidP="00E449AA">
      <w:pPr>
        <w:numPr>
          <w:ilvl w:val="12"/>
          <w:numId w:val="0"/>
        </w:numPr>
        <w:tabs>
          <w:tab w:val="left" w:pos="-2268"/>
        </w:tabs>
        <w:suppressAutoHyphens/>
        <w:rPr>
          <w:spacing w:val="-3"/>
        </w:rPr>
      </w:pPr>
    </w:p>
    <w:p w14:paraId="634063A9" w14:textId="2F4955A1" w:rsidR="00C26E19" w:rsidRPr="004068F6" w:rsidRDefault="00C26E19" w:rsidP="00C26E19">
      <w:pPr>
        <w:numPr>
          <w:ilvl w:val="12"/>
          <w:numId w:val="0"/>
        </w:numPr>
        <w:tabs>
          <w:tab w:val="left" w:pos="-2268"/>
        </w:tabs>
        <w:suppressAutoHyphens/>
        <w:rPr>
          <w:spacing w:val="-3"/>
        </w:rPr>
      </w:pPr>
      <w:r w:rsidRPr="004068F6">
        <w:rPr>
          <w:spacing w:val="-3"/>
        </w:rPr>
        <w:lastRenderedPageBreak/>
        <w:t xml:space="preserve">Modelo Hidrogeológico Numérico (MHN). Posterior a la construcción del MHC y si los términos de referencia aplicables al proyecto, obra o actividad así lo establecen, debe formularse el MHN, el cual debe tener como objetivo simular el comportamiento de las aguas subterráneas ante el desarrollo de </w:t>
      </w:r>
      <w:r w:rsidR="00C52A41" w:rsidRPr="004068F6">
        <w:rPr>
          <w:spacing w:val="-3"/>
        </w:rPr>
        <w:t xml:space="preserve">un </w:t>
      </w:r>
      <w:r w:rsidRPr="004068F6">
        <w:rPr>
          <w:spacing w:val="-3"/>
        </w:rPr>
        <w:t>proyecto</w:t>
      </w:r>
      <w:r w:rsidR="00C52A41" w:rsidRPr="004068F6">
        <w:rPr>
          <w:spacing w:val="-3"/>
        </w:rPr>
        <w:t>, obra o actividad</w:t>
      </w:r>
      <w:r w:rsidRPr="004068F6">
        <w:rPr>
          <w:spacing w:val="-3"/>
        </w:rPr>
        <w:t xml:space="preserve">. </w:t>
      </w:r>
    </w:p>
    <w:p w14:paraId="383C468D" w14:textId="3AB2A5AF" w:rsidR="00C26E19" w:rsidRPr="004068F6" w:rsidRDefault="00C26E19" w:rsidP="00C26E19">
      <w:pPr>
        <w:numPr>
          <w:ilvl w:val="12"/>
          <w:numId w:val="0"/>
        </w:numPr>
        <w:tabs>
          <w:tab w:val="left" w:pos="-2268"/>
        </w:tabs>
        <w:suppressAutoHyphens/>
        <w:rPr>
          <w:spacing w:val="-3"/>
        </w:rPr>
      </w:pPr>
    </w:p>
    <w:p w14:paraId="7B6B683C" w14:textId="6FEFC1EE" w:rsidR="00C26E19" w:rsidRPr="004068F6" w:rsidRDefault="00C26E19" w:rsidP="00C26E19">
      <w:pPr>
        <w:numPr>
          <w:ilvl w:val="12"/>
          <w:numId w:val="0"/>
        </w:numPr>
        <w:tabs>
          <w:tab w:val="left" w:pos="-2268"/>
        </w:tabs>
        <w:suppressAutoHyphens/>
        <w:rPr>
          <w:spacing w:val="-3"/>
        </w:rPr>
      </w:pPr>
      <w:r w:rsidRPr="004068F6">
        <w:rPr>
          <w:spacing w:val="-3"/>
        </w:rPr>
        <w:t xml:space="preserve">Para la construcción del modelo debe </w:t>
      </w:r>
      <w:r w:rsidR="001736DF" w:rsidRPr="004068F6">
        <w:rPr>
          <w:spacing w:val="-3"/>
        </w:rPr>
        <w:t>emplear</w:t>
      </w:r>
      <w:r w:rsidRPr="004068F6">
        <w:rPr>
          <w:spacing w:val="-3"/>
        </w:rPr>
        <w:t xml:space="preserve"> un software que permita </w:t>
      </w:r>
      <w:r w:rsidR="001736DF" w:rsidRPr="004068F6">
        <w:rPr>
          <w:spacing w:val="-3"/>
        </w:rPr>
        <w:t xml:space="preserve">una correcta representación del sistema hidrogeológico mediante </w:t>
      </w:r>
      <w:r w:rsidRPr="004068F6">
        <w:rPr>
          <w:spacing w:val="-3"/>
        </w:rPr>
        <w:t>la inclusión de todos los elementos, procesos y condiciones que fueron identificados en el MHC. El dominio que se establezca para la model</w:t>
      </w:r>
      <w:r w:rsidR="001736DF" w:rsidRPr="004068F6">
        <w:rPr>
          <w:spacing w:val="-3"/>
        </w:rPr>
        <w:t>iza</w:t>
      </w:r>
      <w:r w:rsidRPr="004068F6">
        <w:rPr>
          <w:spacing w:val="-3"/>
        </w:rPr>
        <w:t>ción debe incluir todas las áreas donde ocurren los procesos que se quieren analizar, estableciendo un límite superior o techo, inferior o piso y limites laterales. De igual forma, debe definirse una adecuada extensión y orientación de la malla de model</w:t>
      </w:r>
      <w:r w:rsidR="001736DF" w:rsidRPr="004068F6">
        <w:rPr>
          <w:spacing w:val="-3"/>
        </w:rPr>
        <w:t>iz</w:t>
      </w:r>
      <w:r w:rsidRPr="004068F6">
        <w:rPr>
          <w:spacing w:val="-3"/>
        </w:rPr>
        <w:t xml:space="preserve">ación que permita simplificar el análisis, contribuir </w:t>
      </w:r>
      <w:r w:rsidR="001736DF" w:rsidRPr="004068F6">
        <w:rPr>
          <w:spacing w:val="-3"/>
        </w:rPr>
        <w:t>a</w:t>
      </w:r>
      <w:r w:rsidRPr="004068F6">
        <w:rPr>
          <w:spacing w:val="-3"/>
        </w:rPr>
        <w:t xml:space="preserve"> la precisión de los resultados y </w:t>
      </w:r>
      <w:r w:rsidR="001736DF" w:rsidRPr="004068F6">
        <w:rPr>
          <w:spacing w:val="-3"/>
        </w:rPr>
        <w:t>a</w:t>
      </w:r>
      <w:r w:rsidRPr="004068F6">
        <w:rPr>
          <w:spacing w:val="-3"/>
        </w:rPr>
        <w:t xml:space="preserve"> la convergencia y estabilidad numérica del modelo. Se deben establecer condiciones de frontera o contorno en concordancia con la dinámica del sistema, que permitan establecer los límites físicos del dominio del modelo. Los tres tipos principales de condiciones de contorno se caracterizan como de cabeza especifica (condiciones de Dirichlet), de flujo especifico (condiciones de Neumann) y flujo en función de la cabeza (condiciones de Cauchy).</w:t>
      </w:r>
    </w:p>
    <w:p w14:paraId="628ABDE8" w14:textId="17724B83" w:rsidR="00C26E19" w:rsidRPr="004068F6" w:rsidRDefault="00C26E19" w:rsidP="00C26E19">
      <w:pPr>
        <w:numPr>
          <w:ilvl w:val="12"/>
          <w:numId w:val="0"/>
        </w:numPr>
        <w:tabs>
          <w:tab w:val="left" w:pos="-2268"/>
        </w:tabs>
        <w:suppressAutoHyphens/>
        <w:rPr>
          <w:spacing w:val="-3"/>
        </w:rPr>
      </w:pPr>
    </w:p>
    <w:p w14:paraId="7FA44DB6" w14:textId="5CB867D1" w:rsidR="00C26E19" w:rsidRPr="004068F6" w:rsidRDefault="00C26E19" w:rsidP="00C26E19">
      <w:pPr>
        <w:numPr>
          <w:ilvl w:val="12"/>
          <w:numId w:val="0"/>
        </w:numPr>
        <w:tabs>
          <w:tab w:val="left" w:pos="-2268"/>
        </w:tabs>
        <w:suppressAutoHyphens/>
        <w:rPr>
          <w:spacing w:val="-3"/>
        </w:rPr>
      </w:pPr>
      <w:r w:rsidRPr="004068F6">
        <w:rPr>
          <w:spacing w:val="-3"/>
        </w:rPr>
        <w:t>Se debe generar una model</w:t>
      </w:r>
      <w:r w:rsidR="00706EE4" w:rsidRPr="004068F6">
        <w:rPr>
          <w:spacing w:val="-3"/>
        </w:rPr>
        <w:t>iz</w:t>
      </w:r>
      <w:r w:rsidRPr="004068F6">
        <w:rPr>
          <w:spacing w:val="-3"/>
        </w:rPr>
        <w:t>ación en régimen transitorio cuando pueda presentarse una variación significativa de los flujos en el tiempo y cuando los objetivos de model</w:t>
      </w:r>
      <w:r w:rsidR="00706EE4" w:rsidRPr="004068F6">
        <w:rPr>
          <w:spacing w:val="-3"/>
        </w:rPr>
        <w:t>iz</w:t>
      </w:r>
      <w:r w:rsidRPr="004068F6">
        <w:rPr>
          <w:spacing w:val="-3"/>
        </w:rPr>
        <w:t xml:space="preserve">ación consideran cambios temporales en el sistema </w:t>
      </w:r>
      <w:r w:rsidR="00A44D73" w:rsidRPr="004068F6">
        <w:rPr>
          <w:spacing w:val="-3"/>
        </w:rPr>
        <w:t>(por ejemplo, operación de pozos de bombeo para el manejo de niveles freáticos, cambios en las presiones de las formaciones receptoras en actividades de inyección de fluidos, cambios en la magnitud de la recarga, entre otros</w:t>
      </w:r>
      <w:r w:rsidRPr="004068F6">
        <w:rPr>
          <w:spacing w:val="-3"/>
        </w:rPr>
        <w:t xml:space="preserve">). Se </w:t>
      </w:r>
      <w:r w:rsidR="00706EE4" w:rsidRPr="004068F6">
        <w:rPr>
          <w:spacing w:val="-3"/>
        </w:rPr>
        <w:t xml:space="preserve">debe </w:t>
      </w:r>
      <w:r w:rsidRPr="004068F6">
        <w:rPr>
          <w:spacing w:val="-3"/>
        </w:rPr>
        <w:t>simular inicialmente en régimen estacionario, de forma que sus resultados puedan ser utilizados como condición de inicio en el régimen transitorio; sin embargo, se debe considera</w:t>
      </w:r>
      <w:r w:rsidR="00706EE4" w:rsidRPr="004068F6">
        <w:rPr>
          <w:spacing w:val="-3"/>
        </w:rPr>
        <w:t xml:space="preserve">r </w:t>
      </w:r>
      <w:r w:rsidRPr="004068F6">
        <w:rPr>
          <w:spacing w:val="-3"/>
        </w:rPr>
        <w:t>un periodo de estabilización</w:t>
      </w:r>
      <w:r w:rsidR="00706EE4" w:rsidRPr="004068F6">
        <w:rPr>
          <w:spacing w:val="-3"/>
        </w:rPr>
        <w:t xml:space="preserve"> para </w:t>
      </w:r>
      <w:r w:rsidRPr="004068F6">
        <w:rPr>
          <w:spacing w:val="-3"/>
        </w:rPr>
        <w:t>que los resultados obtenidos sean coherentes e independientes de las condiciones definidas inicialmente.</w:t>
      </w:r>
    </w:p>
    <w:p w14:paraId="5D46368D" w14:textId="0235A5C1" w:rsidR="00C26E19" w:rsidRPr="004068F6" w:rsidRDefault="00C26E19" w:rsidP="00C26E19">
      <w:pPr>
        <w:numPr>
          <w:ilvl w:val="12"/>
          <w:numId w:val="0"/>
        </w:numPr>
        <w:tabs>
          <w:tab w:val="left" w:pos="-2268"/>
        </w:tabs>
        <w:suppressAutoHyphens/>
        <w:rPr>
          <w:spacing w:val="-3"/>
        </w:rPr>
      </w:pPr>
    </w:p>
    <w:p w14:paraId="69A7ADBD" w14:textId="4462E409" w:rsidR="00C26E19" w:rsidRPr="004068F6" w:rsidRDefault="00C26E19" w:rsidP="00C26E19">
      <w:pPr>
        <w:numPr>
          <w:ilvl w:val="12"/>
          <w:numId w:val="0"/>
        </w:numPr>
        <w:tabs>
          <w:tab w:val="left" w:pos="-2268"/>
        </w:tabs>
        <w:suppressAutoHyphens/>
        <w:rPr>
          <w:spacing w:val="-3"/>
        </w:rPr>
      </w:pPr>
      <w:r w:rsidRPr="004068F6">
        <w:rPr>
          <w:spacing w:val="-3"/>
        </w:rPr>
        <w:t>Los datos de niveles piezométricos registrados en campo para el MHN son parte fundamental del modelo, por lo que se debe contar con un registro de datos lo más completo posible dentro del periodo de calibración y validación del modelo.</w:t>
      </w:r>
    </w:p>
    <w:p w14:paraId="60C128CA" w14:textId="48832925" w:rsidR="00C26E19" w:rsidRPr="004068F6" w:rsidRDefault="00C26E19" w:rsidP="00C26E19">
      <w:pPr>
        <w:numPr>
          <w:ilvl w:val="12"/>
          <w:numId w:val="0"/>
        </w:numPr>
        <w:tabs>
          <w:tab w:val="left" w:pos="-2268"/>
        </w:tabs>
        <w:suppressAutoHyphens/>
        <w:rPr>
          <w:spacing w:val="-3"/>
        </w:rPr>
      </w:pPr>
    </w:p>
    <w:p w14:paraId="6D46B442" w14:textId="1BF99661" w:rsidR="00C26E19" w:rsidRPr="004068F6" w:rsidRDefault="00C26E19" w:rsidP="00C26E19">
      <w:pPr>
        <w:numPr>
          <w:ilvl w:val="12"/>
          <w:numId w:val="0"/>
        </w:numPr>
        <w:tabs>
          <w:tab w:val="left" w:pos="-2268"/>
        </w:tabs>
        <w:suppressAutoHyphens/>
        <w:rPr>
          <w:spacing w:val="-3"/>
        </w:rPr>
      </w:pPr>
      <w:r w:rsidRPr="004068F6">
        <w:rPr>
          <w:spacing w:val="-3"/>
        </w:rPr>
        <w:t>El MHN debe calibra</w:t>
      </w:r>
      <w:r w:rsidR="00246E8D" w:rsidRPr="004068F6">
        <w:rPr>
          <w:spacing w:val="-3"/>
        </w:rPr>
        <w:t xml:space="preserve">rse </w:t>
      </w:r>
      <w:r w:rsidRPr="004068F6">
        <w:rPr>
          <w:spacing w:val="-3"/>
        </w:rPr>
        <w:t>y valida</w:t>
      </w:r>
      <w:r w:rsidR="00246E8D" w:rsidRPr="004068F6">
        <w:rPr>
          <w:spacing w:val="-3"/>
        </w:rPr>
        <w:t>rse</w:t>
      </w:r>
      <w:r w:rsidRPr="004068F6">
        <w:rPr>
          <w:spacing w:val="-3"/>
        </w:rPr>
        <w:t xml:space="preserve">, </w:t>
      </w:r>
      <w:r w:rsidR="00246E8D" w:rsidRPr="004068F6">
        <w:rPr>
          <w:spacing w:val="-3"/>
        </w:rPr>
        <w:t xml:space="preserve">de forma que </w:t>
      </w:r>
      <w:r w:rsidRPr="004068F6">
        <w:rPr>
          <w:spacing w:val="-3"/>
        </w:rPr>
        <w:t xml:space="preserve">los datos utilizados </w:t>
      </w:r>
      <w:r w:rsidR="00246E8D" w:rsidRPr="004068F6">
        <w:rPr>
          <w:spacing w:val="-3"/>
        </w:rPr>
        <w:t xml:space="preserve">en </w:t>
      </w:r>
      <w:r w:rsidRPr="004068F6">
        <w:rPr>
          <w:spacing w:val="-3"/>
        </w:rPr>
        <w:t>ambas etapas se</w:t>
      </w:r>
      <w:r w:rsidR="00246E8D" w:rsidRPr="004068F6">
        <w:rPr>
          <w:spacing w:val="-3"/>
        </w:rPr>
        <w:t>an</w:t>
      </w:r>
      <w:r w:rsidRPr="004068F6">
        <w:rPr>
          <w:spacing w:val="-3"/>
        </w:rPr>
        <w:t xml:space="preserve"> independientes y preferiblemente pertenecer a diferentes condiciones hidrológicas. La calibración se considera exitosa cuando al realizar una evaluación cuantitativa de los resultados a través de cualquiera de los métodos estadísticos existentes como el error medio absoluto (MAE) o el error medio cuadrático (RMSE) se obtienen resultados aceptables</w:t>
      </w:r>
      <w:r w:rsidR="00D55857" w:rsidRPr="004068F6">
        <w:rPr>
          <w:spacing w:val="-3"/>
        </w:rPr>
        <w:t>;</w:t>
      </w:r>
      <w:r w:rsidRPr="004068F6">
        <w:rPr>
          <w:spacing w:val="-3"/>
        </w:rPr>
        <w:t xml:space="preserve"> </w:t>
      </w:r>
      <w:r w:rsidR="0008046A" w:rsidRPr="004068F6">
        <w:rPr>
          <w:spacing w:val="-3"/>
        </w:rPr>
        <w:t xml:space="preserve">se </w:t>
      </w:r>
      <w:r w:rsidRPr="004068F6">
        <w:rPr>
          <w:spacing w:val="-3"/>
        </w:rPr>
        <w:t>considera que un RMSE inferior al 10% para una escala regional es aceptable (</w:t>
      </w:r>
      <w:r w:rsidR="00617EC4" w:rsidRPr="004068F6">
        <w:rPr>
          <w:rFonts w:eastAsia="Calibri"/>
        </w:rPr>
        <w:t>Newman</w:t>
      </w:r>
      <w:r w:rsidRPr="004068F6">
        <w:rPr>
          <w:spacing w:val="-3"/>
        </w:rPr>
        <w:t xml:space="preserve">, 2018) o </w:t>
      </w:r>
      <w:r w:rsidR="0008046A" w:rsidRPr="004068F6">
        <w:rPr>
          <w:spacing w:val="-3"/>
        </w:rPr>
        <w:t xml:space="preserve">que </w:t>
      </w:r>
      <w:r w:rsidRPr="004068F6">
        <w:rPr>
          <w:spacing w:val="-3"/>
        </w:rPr>
        <w:t>un MAE de uno o dos órdenes de magnitud menor a la precisión requerida para los resultados, puede ser considerada como el error deseable</w:t>
      </w:r>
      <w:r w:rsidR="00E95E5B" w:rsidRPr="004068F6">
        <w:rPr>
          <w:spacing w:val="-3"/>
        </w:rPr>
        <w:t xml:space="preserve"> (por ejemplo, errores del orden de centímetros </w:t>
      </w:r>
      <w:r w:rsidR="00E95E5B" w:rsidRPr="004068F6">
        <w:rPr>
          <w:spacing w:val="-3"/>
        </w:rPr>
        <w:lastRenderedPageBreak/>
        <w:t>corresponderían a una bondad de ajuste adecuada para representar diferencias de nivel del nivel freático del orden de metros)</w:t>
      </w:r>
      <w:r w:rsidRPr="004068F6">
        <w:rPr>
          <w:spacing w:val="-3"/>
        </w:rPr>
        <w:t xml:space="preserve">. Por otro lado, la evaluación cuantitativa debe </w:t>
      </w:r>
      <w:r w:rsidR="0008046A" w:rsidRPr="004068F6">
        <w:rPr>
          <w:spacing w:val="-3"/>
        </w:rPr>
        <w:t xml:space="preserve">analizar </w:t>
      </w:r>
      <w:r w:rsidRPr="004068F6">
        <w:rPr>
          <w:spacing w:val="-3"/>
        </w:rPr>
        <w:t xml:space="preserve">la consistencia de los mapas de direcciones de flujo y perfiles </w:t>
      </w:r>
      <w:r w:rsidR="0008046A" w:rsidRPr="004068F6">
        <w:rPr>
          <w:spacing w:val="-3"/>
        </w:rPr>
        <w:t xml:space="preserve">según </w:t>
      </w:r>
      <w:r w:rsidRPr="004068F6">
        <w:rPr>
          <w:spacing w:val="-3"/>
        </w:rPr>
        <w:t xml:space="preserve">lo identificado en el MHC. </w:t>
      </w:r>
      <w:r w:rsidR="00251144" w:rsidRPr="004068F6">
        <w:rPr>
          <w:spacing w:val="-3"/>
        </w:rPr>
        <w:t>P</w:t>
      </w:r>
      <w:r w:rsidRPr="004068F6">
        <w:rPr>
          <w:spacing w:val="-3"/>
        </w:rPr>
        <w:t xml:space="preserve">uede prescindirse de </w:t>
      </w:r>
      <w:r w:rsidR="00251144" w:rsidRPr="004068F6">
        <w:rPr>
          <w:spacing w:val="-3"/>
        </w:rPr>
        <w:t xml:space="preserve">la validación </w:t>
      </w:r>
      <w:r w:rsidRPr="004068F6">
        <w:rPr>
          <w:spacing w:val="-3"/>
        </w:rPr>
        <w:t>cuando no se cuente con los datos suficientes para su desarrollo, siempre que se incluya un análisis de sensibilidad detallado que permita estimar la incertidumbre de las predicciones.</w:t>
      </w:r>
    </w:p>
    <w:p w14:paraId="4C7E30E0" w14:textId="77777777" w:rsidR="00C26E19" w:rsidRPr="004068F6" w:rsidRDefault="00C26E19" w:rsidP="00C26E19">
      <w:pPr>
        <w:numPr>
          <w:ilvl w:val="12"/>
          <w:numId w:val="0"/>
        </w:numPr>
        <w:tabs>
          <w:tab w:val="left" w:pos="-2268"/>
        </w:tabs>
        <w:suppressAutoHyphens/>
        <w:rPr>
          <w:spacing w:val="-3"/>
        </w:rPr>
      </w:pPr>
    </w:p>
    <w:p w14:paraId="2025E69B" w14:textId="29739E69" w:rsidR="00C26E19" w:rsidRPr="004068F6" w:rsidRDefault="00C26E19" w:rsidP="00C26E19">
      <w:pPr>
        <w:numPr>
          <w:ilvl w:val="12"/>
          <w:numId w:val="0"/>
        </w:numPr>
        <w:tabs>
          <w:tab w:val="left" w:pos="-2268"/>
        </w:tabs>
        <w:suppressAutoHyphens/>
        <w:rPr>
          <w:spacing w:val="-3"/>
        </w:rPr>
      </w:pPr>
      <w:r w:rsidRPr="004068F6">
        <w:rPr>
          <w:spacing w:val="-3"/>
        </w:rPr>
        <w:t xml:space="preserve">El MHN debe de incluir la simulación de escenarios que permitan identificar los posibles impactos que las actividades </w:t>
      </w:r>
      <w:r w:rsidR="00E95E5B" w:rsidRPr="004068F6">
        <w:rPr>
          <w:spacing w:val="-3"/>
        </w:rPr>
        <w:t xml:space="preserve">del proyecto, obra o actividad </w:t>
      </w:r>
      <w:r w:rsidRPr="004068F6">
        <w:rPr>
          <w:spacing w:val="-3"/>
        </w:rPr>
        <w:t xml:space="preserve">puedan generar en la disponibilidad y calidad del recurso, considerando de igual forma que se trata de un ambiente cambiante con fenómenos de variabilidad climática cada vez más marcados que deben ser contemplados en el marco de las diferentes </w:t>
      </w:r>
      <w:r w:rsidR="00D87FB0">
        <w:rPr>
          <w:spacing w:val="-3"/>
        </w:rPr>
        <w:t>etapas</w:t>
      </w:r>
      <w:r w:rsidR="00D87FB0" w:rsidRPr="004068F6" w:rsidDel="00D87FB0">
        <w:rPr>
          <w:spacing w:val="-3"/>
        </w:rPr>
        <w:t xml:space="preserve"> </w:t>
      </w:r>
      <w:r w:rsidRPr="004068F6">
        <w:rPr>
          <w:spacing w:val="-3"/>
        </w:rPr>
        <w:t>del proyecto.</w:t>
      </w:r>
    </w:p>
    <w:p w14:paraId="690C8AFE" w14:textId="77777777" w:rsidR="00C26E19" w:rsidRPr="004068F6" w:rsidRDefault="00C26E19" w:rsidP="00C26E19">
      <w:pPr>
        <w:numPr>
          <w:ilvl w:val="12"/>
          <w:numId w:val="0"/>
        </w:numPr>
        <w:tabs>
          <w:tab w:val="left" w:pos="-2268"/>
        </w:tabs>
        <w:suppressAutoHyphens/>
        <w:rPr>
          <w:spacing w:val="-3"/>
        </w:rPr>
      </w:pPr>
    </w:p>
    <w:p w14:paraId="03DAA66E" w14:textId="36E973D1" w:rsidR="00C26E19" w:rsidRPr="004068F6" w:rsidRDefault="00C26E19" w:rsidP="00C26E19">
      <w:pPr>
        <w:numPr>
          <w:ilvl w:val="12"/>
          <w:numId w:val="0"/>
        </w:numPr>
        <w:tabs>
          <w:tab w:val="left" w:pos="-2268"/>
        </w:tabs>
        <w:suppressAutoHyphens/>
        <w:rPr>
          <w:spacing w:val="-3"/>
        </w:rPr>
      </w:pPr>
      <w:r w:rsidRPr="004068F6">
        <w:rPr>
          <w:spacing w:val="-3"/>
        </w:rPr>
        <w:t>Se debe presentar un reporte de model</w:t>
      </w:r>
      <w:r w:rsidR="003E7045" w:rsidRPr="004068F6">
        <w:rPr>
          <w:spacing w:val="-3"/>
        </w:rPr>
        <w:t>iz</w:t>
      </w:r>
      <w:r w:rsidRPr="004068F6">
        <w:rPr>
          <w:spacing w:val="-3"/>
        </w:rPr>
        <w:t>ación transparente</w:t>
      </w:r>
      <w:r w:rsidR="003E7045" w:rsidRPr="004068F6">
        <w:rPr>
          <w:spacing w:val="-3"/>
        </w:rPr>
        <w:t xml:space="preserve"> y</w:t>
      </w:r>
      <w:r w:rsidRPr="004068F6">
        <w:rPr>
          <w:spacing w:val="-3"/>
        </w:rPr>
        <w:t xml:space="preserve"> preciso que </w:t>
      </w:r>
      <w:r w:rsidR="003E7045" w:rsidRPr="004068F6">
        <w:rPr>
          <w:spacing w:val="-3"/>
        </w:rPr>
        <w:t xml:space="preserve">pueda </w:t>
      </w:r>
      <w:r w:rsidRPr="004068F6">
        <w:rPr>
          <w:spacing w:val="-3"/>
        </w:rPr>
        <w:t>ser revisado</w:t>
      </w:r>
      <w:r w:rsidR="003E7045" w:rsidRPr="004068F6">
        <w:rPr>
          <w:spacing w:val="-3"/>
        </w:rPr>
        <w:t xml:space="preserve">; para ello, debe contener una </w:t>
      </w:r>
      <w:r w:rsidRPr="004068F6">
        <w:rPr>
          <w:spacing w:val="-3"/>
        </w:rPr>
        <w:t>descri</w:t>
      </w:r>
      <w:r w:rsidR="003E7045" w:rsidRPr="004068F6">
        <w:rPr>
          <w:spacing w:val="-3"/>
        </w:rPr>
        <w:t xml:space="preserve">pción de </w:t>
      </w:r>
      <w:r w:rsidRPr="004068F6">
        <w:rPr>
          <w:spacing w:val="-3"/>
        </w:rPr>
        <w:t>la base del modelo, los supuestos clave, el enfoque de la model</w:t>
      </w:r>
      <w:r w:rsidR="00B27C5E" w:rsidRPr="004068F6">
        <w:rPr>
          <w:spacing w:val="-3"/>
        </w:rPr>
        <w:t>iz</w:t>
      </w:r>
      <w:r w:rsidRPr="004068F6">
        <w:rPr>
          <w:spacing w:val="-3"/>
        </w:rPr>
        <w:t>ación, las limitaciones, los resultados, conclusiones y recomendaciones del estudio. Los archivos de la model</w:t>
      </w:r>
      <w:r w:rsidR="003E7045" w:rsidRPr="004068F6">
        <w:rPr>
          <w:spacing w:val="-3"/>
        </w:rPr>
        <w:t>iz</w:t>
      </w:r>
      <w:r w:rsidRPr="004068F6">
        <w:rPr>
          <w:spacing w:val="-3"/>
        </w:rPr>
        <w:t>ación deben incluir los análisis de datos documentados, los datos de model</w:t>
      </w:r>
      <w:r w:rsidR="00C9467F" w:rsidRPr="004068F6">
        <w:rPr>
          <w:spacing w:val="-3"/>
        </w:rPr>
        <w:t>iz</w:t>
      </w:r>
      <w:r w:rsidRPr="004068F6">
        <w:rPr>
          <w:spacing w:val="-3"/>
        </w:rPr>
        <w:t>ación y los archivos del software o código utilizado. Es importante que el archivo del modelo se lleve a cabo de tal manera que el modelo pueda ser reproducido sí es necesario, para su revisión o perfeccionamiento.</w:t>
      </w:r>
    </w:p>
    <w:p w14:paraId="220FE1A5" w14:textId="77777777" w:rsidR="00C26E19" w:rsidRPr="004068F6" w:rsidRDefault="00C26E19" w:rsidP="00E449AA">
      <w:pPr>
        <w:numPr>
          <w:ilvl w:val="12"/>
          <w:numId w:val="0"/>
        </w:numPr>
        <w:tabs>
          <w:tab w:val="left" w:pos="-2268"/>
        </w:tabs>
        <w:suppressAutoHyphens/>
        <w:rPr>
          <w:spacing w:val="-3"/>
        </w:rPr>
      </w:pPr>
    </w:p>
    <w:p w14:paraId="549D8933" w14:textId="7EDC2095" w:rsidR="00B3248C" w:rsidRPr="004068F6" w:rsidRDefault="00DA3378" w:rsidP="00E449AA">
      <w:pPr>
        <w:rPr>
          <w:spacing w:val="-3"/>
        </w:rPr>
      </w:pPr>
      <w:r w:rsidRPr="004068F6">
        <w:rPr>
          <w:spacing w:val="-3"/>
        </w:rPr>
        <w:t xml:space="preserve">En caso de que los términos de referencia aplicables al proyecto, obra o actividad </w:t>
      </w:r>
      <w:r w:rsidR="00F31DF0" w:rsidRPr="004068F6">
        <w:rPr>
          <w:spacing w:val="-3"/>
        </w:rPr>
        <w:t xml:space="preserve">así lo establezcan, debe formularse </w:t>
      </w:r>
      <w:r w:rsidR="005A465D" w:rsidRPr="004068F6">
        <w:rPr>
          <w:spacing w:val="-3"/>
        </w:rPr>
        <w:t>un Modelo Hidrogeológico Numérico (MHN)</w:t>
      </w:r>
      <w:r w:rsidR="00F31DF0" w:rsidRPr="004068F6">
        <w:rPr>
          <w:spacing w:val="-3"/>
        </w:rPr>
        <w:t xml:space="preserve"> a partir de </w:t>
      </w:r>
      <w:r w:rsidR="00E449AA" w:rsidRPr="004068F6">
        <w:rPr>
          <w:spacing w:val="-3"/>
        </w:rPr>
        <w:t xml:space="preserve">la información adquirida, procesada e interpretada para la construcción del </w:t>
      </w:r>
      <w:r w:rsidR="005A465D" w:rsidRPr="004068F6">
        <w:rPr>
          <w:spacing w:val="-3"/>
        </w:rPr>
        <w:t>MHC</w:t>
      </w:r>
      <w:r w:rsidR="00E449AA" w:rsidRPr="004068F6">
        <w:rPr>
          <w:spacing w:val="-3"/>
        </w:rPr>
        <w:t>.</w:t>
      </w:r>
    </w:p>
    <w:p w14:paraId="06D1D88E" w14:textId="77777777" w:rsidR="00824C2D" w:rsidRPr="004068F6" w:rsidRDefault="00824C2D">
      <w:pPr>
        <w:overflowPunct/>
        <w:autoSpaceDE/>
        <w:autoSpaceDN/>
        <w:adjustRightInd/>
        <w:jc w:val="left"/>
        <w:textAlignment w:val="auto"/>
        <w:rPr>
          <w:rFonts w:cs="Arial"/>
          <w:spacing w:val="-3"/>
        </w:rPr>
      </w:pPr>
    </w:p>
    <w:p w14:paraId="74BA1C01" w14:textId="77777777" w:rsidR="009D132B" w:rsidRPr="00466E26" w:rsidRDefault="009D132B" w:rsidP="000A1E20">
      <w:pPr>
        <w:pStyle w:val="Ttulo3"/>
      </w:pPr>
      <w:bookmarkStart w:id="2702" w:name="_Toc79443060"/>
      <w:bookmarkStart w:id="2703" w:name="_Toc79443061"/>
      <w:bookmarkStart w:id="2704" w:name="_Toc79443062"/>
      <w:bookmarkStart w:id="2705" w:name="_Toc79443063"/>
      <w:bookmarkStart w:id="2706" w:name="_Toc79443064"/>
      <w:bookmarkStart w:id="2707" w:name="_Toc79443065"/>
      <w:bookmarkStart w:id="2708" w:name="_Toc515787440"/>
      <w:bookmarkStart w:id="2709" w:name="_Toc515789140"/>
      <w:bookmarkStart w:id="2710" w:name="_Toc515789989"/>
      <w:bookmarkStart w:id="2711" w:name="_Toc515790838"/>
      <w:bookmarkStart w:id="2712" w:name="_Toc515791693"/>
      <w:bookmarkStart w:id="2713" w:name="_Toc515792543"/>
      <w:bookmarkStart w:id="2714" w:name="_Toc515793429"/>
      <w:bookmarkStart w:id="2715" w:name="_Toc515794334"/>
      <w:bookmarkStart w:id="2716" w:name="_Toc515796107"/>
      <w:bookmarkStart w:id="2717" w:name="_Toc515787441"/>
      <w:bookmarkStart w:id="2718" w:name="_Toc515789141"/>
      <w:bookmarkStart w:id="2719" w:name="_Toc515789990"/>
      <w:bookmarkStart w:id="2720" w:name="_Toc515790839"/>
      <w:bookmarkStart w:id="2721" w:name="_Toc515791694"/>
      <w:bookmarkStart w:id="2722" w:name="_Toc515792544"/>
      <w:bookmarkStart w:id="2723" w:name="_Toc515793430"/>
      <w:bookmarkStart w:id="2724" w:name="_Toc515794335"/>
      <w:bookmarkStart w:id="2725" w:name="_Toc515796108"/>
      <w:bookmarkStart w:id="2726" w:name="_Toc515787442"/>
      <w:bookmarkStart w:id="2727" w:name="_Toc515789142"/>
      <w:bookmarkStart w:id="2728" w:name="_Toc515789991"/>
      <w:bookmarkStart w:id="2729" w:name="_Toc515790840"/>
      <w:bookmarkStart w:id="2730" w:name="_Toc515791695"/>
      <w:bookmarkStart w:id="2731" w:name="_Toc515792545"/>
      <w:bookmarkStart w:id="2732" w:name="_Toc515793431"/>
      <w:bookmarkStart w:id="2733" w:name="_Toc515794336"/>
      <w:bookmarkStart w:id="2734" w:name="_Toc515796109"/>
      <w:bookmarkStart w:id="2735" w:name="_Toc515787443"/>
      <w:bookmarkStart w:id="2736" w:name="_Toc515789143"/>
      <w:bookmarkStart w:id="2737" w:name="_Toc515789992"/>
      <w:bookmarkStart w:id="2738" w:name="_Toc515790841"/>
      <w:bookmarkStart w:id="2739" w:name="_Toc515791696"/>
      <w:bookmarkStart w:id="2740" w:name="_Toc515792546"/>
      <w:bookmarkStart w:id="2741" w:name="_Toc515793432"/>
      <w:bookmarkStart w:id="2742" w:name="_Toc515794337"/>
      <w:bookmarkStart w:id="2743" w:name="_Toc515796110"/>
      <w:bookmarkStart w:id="2744" w:name="_Toc515787444"/>
      <w:bookmarkStart w:id="2745" w:name="_Toc515789144"/>
      <w:bookmarkStart w:id="2746" w:name="_Toc515789993"/>
      <w:bookmarkStart w:id="2747" w:name="_Toc515790842"/>
      <w:bookmarkStart w:id="2748" w:name="_Toc515791697"/>
      <w:bookmarkStart w:id="2749" w:name="_Toc515792547"/>
      <w:bookmarkStart w:id="2750" w:name="_Toc515793433"/>
      <w:bookmarkStart w:id="2751" w:name="_Toc515794338"/>
      <w:bookmarkStart w:id="2752" w:name="_Toc515796111"/>
      <w:bookmarkStart w:id="2753" w:name="_Toc515787445"/>
      <w:bookmarkStart w:id="2754" w:name="_Toc515789145"/>
      <w:bookmarkStart w:id="2755" w:name="_Toc515789994"/>
      <w:bookmarkStart w:id="2756" w:name="_Toc515790843"/>
      <w:bookmarkStart w:id="2757" w:name="_Toc515791698"/>
      <w:bookmarkStart w:id="2758" w:name="_Toc515792548"/>
      <w:bookmarkStart w:id="2759" w:name="_Toc515793434"/>
      <w:bookmarkStart w:id="2760" w:name="_Toc515794339"/>
      <w:bookmarkStart w:id="2761" w:name="_Toc515796112"/>
      <w:bookmarkStart w:id="2762" w:name="_Toc515787446"/>
      <w:bookmarkStart w:id="2763" w:name="_Toc515789146"/>
      <w:bookmarkStart w:id="2764" w:name="_Toc515789995"/>
      <w:bookmarkStart w:id="2765" w:name="_Toc515790844"/>
      <w:bookmarkStart w:id="2766" w:name="_Toc515791699"/>
      <w:bookmarkStart w:id="2767" w:name="_Toc515792549"/>
      <w:bookmarkStart w:id="2768" w:name="_Toc515793435"/>
      <w:bookmarkStart w:id="2769" w:name="_Toc515794340"/>
      <w:bookmarkStart w:id="2770" w:name="_Toc515796113"/>
      <w:bookmarkStart w:id="2771" w:name="_Toc515787447"/>
      <w:bookmarkStart w:id="2772" w:name="_Toc515789147"/>
      <w:bookmarkStart w:id="2773" w:name="_Toc515789996"/>
      <w:bookmarkStart w:id="2774" w:name="_Toc515790845"/>
      <w:bookmarkStart w:id="2775" w:name="_Toc515791700"/>
      <w:bookmarkStart w:id="2776" w:name="_Toc515792550"/>
      <w:bookmarkStart w:id="2777" w:name="_Toc515793436"/>
      <w:bookmarkStart w:id="2778" w:name="_Toc515794341"/>
      <w:bookmarkStart w:id="2779" w:name="_Toc515796114"/>
      <w:bookmarkStart w:id="2780" w:name="_Toc515787448"/>
      <w:bookmarkStart w:id="2781" w:name="_Toc515789148"/>
      <w:bookmarkStart w:id="2782" w:name="_Toc515789997"/>
      <w:bookmarkStart w:id="2783" w:name="_Toc515790846"/>
      <w:bookmarkStart w:id="2784" w:name="_Toc515791701"/>
      <w:bookmarkStart w:id="2785" w:name="_Toc515792551"/>
      <w:bookmarkStart w:id="2786" w:name="_Toc515793437"/>
      <w:bookmarkStart w:id="2787" w:name="_Toc515794342"/>
      <w:bookmarkStart w:id="2788" w:name="_Toc515796115"/>
      <w:bookmarkStart w:id="2789" w:name="_Toc515787449"/>
      <w:bookmarkStart w:id="2790" w:name="_Toc515789149"/>
      <w:bookmarkStart w:id="2791" w:name="_Toc515789998"/>
      <w:bookmarkStart w:id="2792" w:name="_Toc515790847"/>
      <w:bookmarkStart w:id="2793" w:name="_Toc515791702"/>
      <w:bookmarkStart w:id="2794" w:name="_Toc515792552"/>
      <w:bookmarkStart w:id="2795" w:name="_Toc515793438"/>
      <w:bookmarkStart w:id="2796" w:name="_Toc515794343"/>
      <w:bookmarkStart w:id="2797" w:name="_Toc515796116"/>
      <w:bookmarkStart w:id="2798" w:name="_Toc515787450"/>
      <w:bookmarkStart w:id="2799" w:name="_Toc515789150"/>
      <w:bookmarkStart w:id="2800" w:name="_Toc515789999"/>
      <w:bookmarkStart w:id="2801" w:name="_Toc515790848"/>
      <w:bookmarkStart w:id="2802" w:name="_Toc515791703"/>
      <w:bookmarkStart w:id="2803" w:name="_Toc515792553"/>
      <w:bookmarkStart w:id="2804" w:name="_Toc515793439"/>
      <w:bookmarkStart w:id="2805" w:name="_Toc515794344"/>
      <w:bookmarkStart w:id="2806" w:name="_Toc515796117"/>
      <w:bookmarkStart w:id="2807" w:name="_Toc515787451"/>
      <w:bookmarkStart w:id="2808" w:name="_Toc515789151"/>
      <w:bookmarkStart w:id="2809" w:name="_Toc515790000"/>
      <w:bookmarkStart w:id="2810" w:name="_Toc515790849"/>
      <w:bookmarkStart w:id="2811" w:name="_Toc515791704"/>
      <w:bookmarkStart w:id="2812" w:name="_Toc515792554"/>
      <w:bookmarkStart w:id="2813" w:name="_Toc515793440"/>
      <w:bookmarkStart w:id="2814" w:name="_Toc515794345"/>
      <w:bookmarkStart w:id="2815" w:name="_Toc515796118"/>
      <w:bookmarkStart w:id="2816" w:name="_Toc515787452"/>
      <w:bookmarkStart w:id="2817" w:name="_Toc515789152"/>
      <w:bookmarkStart w:id="2818" w:name="_Toc515790001"/>
      <w:bookmarkStart w:id="2819" w:name="_Toc515790850"/>
      <w:bookmarkStart w:id="2820" w:name="_Toc515791705"/>
      <w:bookmarkStart w:id="2821" w:name="_Toc515792555"/>
      <w:bookmarkStart w:id="2822" w:name="_Toc515793441"/>
      <w:bookmarkStart w:id="2823" w:name="_Toc515794346"/>
      <w:bookmarkStart w:id="2824" w:name="_Toc515796119"/>
      <w:bookmarkStart w:id="2825" w:name="_Toc515787453"/>
      <w:bookmarkStart w:id="2826" w:name="_Toc515789153"/>
      <w:bookmarkStart w:id="2827" w:name="_Toc515790002"/>
      <w:bookmarkStart w:id="2828" w:name="_Toc515790851"/>
      <w:bookmarkStart w:id="2829" w:name="_Toc515791706"/>
      <w:bookmarkStart w:id="2830" w:name="_Toc515792556"/>
      <w:bookmarkStart w:id="2831" w:name="_Toc515793442"/>
      <w:bookmarkStart w:id="2832" w:name="_Toc515794347"/>
      <w:bookmarkStart w:id="2833" w:name="_Toc515796120"/>
      <w:bookmarkStart w:id="2834" w:name="_Toc515787454"/>
      <w:bookmarkStart w:id="2835" w:name="_Toc515789154"/>
      <w:bookmarkStart w:id="2836" w:name="_Toc515790003"/>
      <w:bookmarkStart w:id="2837" w:name="_Toc515790852"/>
      <w:bookmarkStart w:id="2838" w:name="_Toc515791707"/>
      <w:bookmarkStart w:id="2839" w:name="_Toc515792557"/>
      <w:bookmarkStart w:id="2840" w:name="_Toc515793443"/>
      <w:bookmarkStart w:id="2841" w:name="_Toc515794348"/>
      <w:bookmarkStart w:id="2842" w:name="_Toc515796121"/>
      <w:bookmarkStart w:id="2843" w:name="_Toc515787455"/>
      <w:bookmarkStart w:id="2844" w:name="_Toc515789155"/>
      <w:bookmarkStart w:id="2845" w:name="_Toc515790004"/>
      <w:bookmarkStart w:id="2846" w:name="_Toc515790853"/>
      <w:bookmarkStart w:id="2847" w:name="_Toc515791708"/>
      <w:bookmarkStart w:id="2848" w:name="_Toc515792558"/>
      <w:bookmarkStart w:id="2849" w:name="_Toc515793444"/>
      <w:bookmarkStart w:id="2850" w:name="_Toc515794349"/>
      <w:bookmarkStart w:id="2851" w:name="_Toc515796122"/>
      <w:bookmarkStart w:id="2852" w:name="_Toc418100955"/>
      <w:bookmarkStart w:id="2853" w:name="_Toc437936022"/>
      <w:bookmarkStart w:id="2854" w:name="_Toc42764348"/>
      <w:bookmarkStart w:id="2855" w:name="_Toc230879655"/>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r w:rsidRPr="00466E26">
        <w:t>Oceanográfico</w:t>
      </w:r>
      <w:bookmarkEnd w:id="2852"/>
      <w:bookmarkEnd w:id="2853"/>
      <w:bookmarkEnd w:id="2854"/>
      <w:bookmarkEnd w:id="2855"/>
    </w:p>
    <w:p w14:paraId="22D13BCA" w14:textId="77777777" w:rsidR="009D132B" w:rsidRPr="004068F6" w:rsidRDefault="009D132B">
      <w:pPr>
        <w:numPr>
          <w:ilvl w:val="12"/>
          <w:numId w:val="0"/>
        </w:numPr>
        <w:tabs>
          <w:tab w:val="left" w:pos="-2268"/>
        </w:tabs>
        <w:suppressAutoHyphens/>
        <w:rPr>
          <w:spacing w:val="-3"/>
        </w:rPr>
      </w:pPr>
    </w:p>
    <w:p w14:paraId="4FEF7DBD" w14:textId="3612E0A8" w:rsidR="009D132B" w:rsidRPr="004068F6" w:rsidRDefault="009D132B" w:rsidP="009D132B">
      <w:pPr>
        <w:tabs>
          <w:tab w:val="left" w:pos="284"/>
        </w:tabs>
        <w:rPr>
          <w:rFonts w:cs="Arial"/>
          <w:spacing w:val="-2"/>
        </w:rPr>
      </w:pPr>
      <w:r w:rsidRPr="004068F6">
        <w:rPr>
          <w:rFonts w:cs="Arial"/>
          <w:spacing w:val="-2"/>
        </w:rPr>
        <w:t>La aproximación metoceánica</w:t>
      </w:r>
      <w:r w:rsidRPr="004068F6">
        <w:rPr>
          <w:rStyle w:val="Refdenotaalpie"/>
          <w:rFonts w:cs="Arial"/>
          <w:spacing w:val="-2"/>
          <w:lang w:val="es-CO"/>
        </w:rPr>
        <w:footnoteReference w:id="138"/>
      </w:r>
      <w:r w:rsidRPr="004068F6">
        <w:rPr>
          <w:rFonts w:cs="Arial"/>
          <w:spacing w:val="-2"/>
        </w:rPr>
        <w:t xml:space="preserve"> </w:t>
      </w:r>
      <w:r w:rsidR="00103345" w:rsidRPr="004068F6">
        <w:rPr>
          <w:rFonts w:cs="Arial"/>
          <w:spacing w:val="-2"/>
        </w:rPr>
        <w:t>debe</w:t>
      </w:r>
      <w:r w:rsidRPr="004068F6">
        <w:rPr>
          <w:rFonts w:cs="Arial"/>
          <w:spacing w:val="-2"/>
        </w:rPr>
        <w:t xml:space="preserve"> incluir la evaluación inicial de información disponible </w:t>
      </w:r>
      <w:r w:rsidR="002D6507" w:rsidRPr="004068F6">
        <w:rPr>
          <w:rFonts w:cs="Arial"/>
          <w:spacing w:val="-2"/>
        </w:rPr>
        <w:t xml:space="preserve">en diversas fuentes </w:t>
      </w:r>
      <w:r w:rsidRPr="004068F6">
        <w:rPr>
          <w:rFonts w:cs="Arial"/>
          <w:spacing w:val="-2"/>
        </w:rPr>
        <w:t xml:space="preserve">(estaciones meteorológicas, boyas, observaciones satelitales, modelos de reanálisis, </w:t>
      </w:r>
      <w:r w:rsidR="009D51C0" w:rsidRPr="004068F6">
        <w:rPr>
          <w:rFonts w:cs="Arial"/>
          <w:spacing w:val="-2"/>
        </w:rPr>
        <w:t>entre otra</w:t>
      </w:r>
      <w:r w:rsidR="002D6507" w:rsidRPr="004068F6">
        <w:rPr>
          <w:rFonts w:cs="Arial"/>
          <w:spacing w:val="-2"/>
        </w:rPr>
        <w:t>s</w:t>
      </w:r>
      <w:r w:rsidRPr="004068F6">
        <w:rPr>
          <w:rFonts w:cs="Arial"/>
          <w:spacing w:val="-2"/>
        </w:rPr>
        <w:t>)</w:t>
      </w:r>
      <w:r w:rsidR="002D6507" w:rsidRPr="004068F6">
        <w:rPr>
          <w:rFonts w:cs="Arial"/>
          <w:spacing w:val="-2"/>
        </w:rPr>
        <w:t xml:space="preserve">, de acuerdo </w:t>
      </w:r>
      <w:r w:rsidR="009D51C0" w:rsidRPr="004068F6">
        <w:rPr>
          <w:rFonts w:cs="Arial"/>
          <w:spacing w:val="-2"/>
        </w:rPr>
        <w:t xml:space="preserve">con </w:t>
      </w:r>
      <w:r w:rsidRPr="004068F6">
        <w:rPr>
          <w:rFonts w:cs="Arial"/>
          <w:spacing w:val="-2"/>
        </w:rPr>
        <w:t xml:space="preserve">la escala espacial de la intervención y </w:t>
      </w:r>
      <w:r w:rsidR="009D51C0" w:rsidRPr="004068F6">
        <w:rPr>
          <w:rFonts w:cs="Arial"/>
          <w:spacing w:val="-2"/>
        </w:rPr>
        <w:t xml:space="preserve">con </w:t>
      </w:r>
      <w:r w:rsidRPr="004068F6">
        <w:rPr>
          <w:rFonts w:cs="Arial"/>
          <w:spacing w:val="-2"/>
        </w:rPr>
        <w:t xml:space="preserve">estudios preliminares (tesis, artículos científicos, reportes de proyectos, </w:t>
      </w:r>
      <w:r w:rsidR="009D51C0" w:rsidRPr="004068F6">
        <w:rPr>
          <w:rFonts w:cs="Arial"/>
          <w:spacing w:val="-2"/>
        </w:rPr>
        <w:t>entre otros</w:t>
      </w:r>
      <w:r w:rsidRPr="004068F6">
        <w:rPr>
          <w:rFonts w:cs="Arial"/>
          <w:spacing w:val="-2"/>
        </w:rPr>
        <w:t>)</w:t>
      </w:r>
      <w:r w:rsidR="00137401" w:rsidRPr="004068F6">
        <w:rPr>
          <w:rFonts w:cs="Arial"/>
          <w:spacing w:val="-2"/>
        </w:rPr>
        <w:t xml:space="preserve">. El análisis debe complementarse con </w:t>
      </w:r>
      <w:r w:rsidRPr="004068F6">
        <w:rPr>
          <w:rFonts w:cs="Arial"/>
          <w:spacing w:val="-2"/>
        </w:rPr>
        <w:t xml:space="preserve">la medición </w:t>
      </w:r>
      <w:r w:rsidRPr="004068F6">
        <w:rPr>
          <w:rFonts w:cs="Arial"/>
          <w:i/>
          <w:spacing w:val="-2"/>
        </w:rPr>
        <w:t>in situ</w:t>
      </w:r>
      <w:r w:rsidRPr="004068F6">
        <w:rPr>
          <w:rFonts w:cs="Arial"/>
          <w:spacing w:val="-2"/>
        </w:rPr>
        <w:t xml:space="preserve"> de </w:t>
      </w:r>
      <w:r w:rsidR="00B45CC2" w:rsidRPr="004068F6">
        <w:rPr>
          <w:rFonts w:cs="Arial"/>
          <w:spacing w:val="-2"/>
        </w:rPr>
        <w:t>los</w:t>
      </w:r>
      <w:r w:rsidR="0072054C" w:rsidRPr="004068F6">
        <w:rPr>
          <w:rFonts w:cs="Arial"/>
          <w:spacing w:val="-2"/>
        </w:rPr>
        <w:t xml:space="preserve"> </w:t>
      </w:r>
      <w:r w:rsidRPr="004068F6">
        <w:rPr>
          <w:rFonts w:cs="Arial"/>
          <w:spacing w:val="-2"/>
        </w:rPr>
        <w:t xml:space="preserve">parámetros </w:t>
      </w:r>
      <w:r w:rsidR="00B45CC2" w:rsidRPr="004068F6">
        <w:rPr>
          <w:rFonts w:cs="Arial"/>
          <w:spacing w:val="-2"/>
        </w:rPr>
        <w:t xml:space="preserve">asociados al componente, como mínimo </w:t>
      </w:r>
      <w:r w:rsidRPr="004068F6">
        <w:rPr>
          <w:rFonts w:cs="Arial"/>
          <w:spacing w:val="-2"/>
        </w:rPr>
        <w:t xml:space="preserve">para </w:t>
      </w:r>
      <w:r w:rsidR="00137401" w:rsidRPr="004068F6">
        <w:rPr>
          <w:rFonts w:cs="Arial"/>
          <w:spacing w:val="-2"/>
        </w:rPr>
        <w:t xml:space="preserve">dos periodos climáticos representativos </w:t>
      </w:r>
      <w:r w:rsidR="00B45CC2" w:rsidRPr="004068F6">
        <w:rPr>
          <w:rFonts w:cs="Arial"/>
          <w:spacing w:val="-2"/>
        </w:rPr>
        <w:t>de las condiciones oceanográficas</w:t>
      </w:r>
      <w:r w:rsidRPr="004068F6">
        <w:rPr>
          <w:rFonts w:cs="Arial"/>
          <w:spacing w:val="-2"/>
        </w:rPr>
        <w:t>.</w:t>
      </w:r>
    </w:p>
    <w:p w14:paraId="31B78ED5" w14:textId="77777777" w:rsidR="009D132B" w:rsidRPr="004068F6" w:rsidRDefault="009D132B" w:rsidP="009D132B">
      <w:pPr>
        <w:tabs>
          <w:tab w:val="left" w:pos="284"/>
        </w:tabs>
        <w:rPr>
          <w:rFonts w:cs="Arial"/>
          <w:i/>
          <w:spacing w:val="-2"/>
        </w:rPr>
      </w:pPr>
    </w:p>
    <w:p w14:paraId="69EF4CAE" w14:textId="46F42357" w:rsidR="009D132B" w:rsidRPr="004068F6" w:rsidRDefault="009D132B" w:rsidP="009D132B">
      <w:pPr>
        <w:tabs>
          <w:tab w:val="left" w:pos="284"/>
        </w:tabs>
        <w:rPr>
          <w:rFonts w:cs="Arial"/>
          <w:spacing w:val="-2"/>
        </w:rPr>
      </w:pPr>
      <w:r w:rsidRPr="004068F6">
        <w:rPr>
          <w:rFonts w:cs="Arial"/>
          <w:spacing w:val="-2"/>
        </w:rPr>
        <w:t>Se debe como mínimo describir, detallar y cartografiar, según sea el caso, la información que se relaciona a continuación</w:t>
      </w:r>
      <w:r w:rsidR="009D51C0" w:rsidRPr="004068F6">
        <w:rPr>
          <w:rFonts w:cs="Arial"/>
          <w:spacing w:val="-2"/>
        </w:rPr>
        <w:t>.</w:t>
      </w:r>
    </w:p>
    <w:p w14:paraId="1C5D9E1B" w14:textId="77777777" w:rsidR="009D132B" w:rsidRDefault="009D132B" w:rsidP="00C86DA5">
      <w:pPr>
        <w:tabs>
          <w:tab w:val="left" w:pos="284"/>
        </w:tabs>
        <w:rPr>
          <w:spacing w:val="-2"/>
          <w:sz w:val="22"/>
        </w:rPr>
      </w:pPr>
    </w:p>
    <w:p w14:paraId="2C9C0A88" w14:textId="77777777" w:rsidR="00C14E17" w:rsidRPr="004068F6" w:rsidRDefault="00C14E17" w:rsidP="00C86DA5">
      <w:pPr>
        <w:tabs>
          <w:tab w:val="left" w:pos="284"/>
        </w:tabs>
        <w:rPr>
          <w:spacing w:val="-2"/>
          <w:sz w:val="22"/>
        </w:rPr>
      </w:pPr>
    </w:p>
    <w:p w14:paraId="4E87450E" w14:textId="77777777" w:rsidR="009D132B" w:rsidRPr="004068F6" w:rsidRDefault="009D132B" w:rsidP="009420F5">
      <w:pPr>
        <w:pStyle w:val="Ttulo4"/>
        <w:tabs>
          <w:tab w:val="clear" w:pos="1844"/>
          <w:tab w:val="num" w:pos="1134"/>
        </w:tabs>
        <w:ind w:left="0"/>
        <w:rPr>
          <w:lang w:val="es-CO"/>
        </w:rPr>
      </w:pPr>
      <w:bookmarkStart w:id="2856" w:name="_Toc8487551"/>
      <w:bookmarkStart w:id="2857" w:name="_Toc17809430"/>
      <w:r w:rsidRPr="004068F6">
        <w:rPr>
          <w:lang w:val="es-CO"/>
        </w:rPr>
        <w:lastRenderedPageBreak/>
        <w:t>Estudios de oleaje</w:t>
      </w:r>
      <w:bookmarkEnd w:id="2856"/>
      <w:bookmarkEnd w:id="2857"/>
    </w:p>
    <w:p w14:paraId="3670FC5C" w14:textId="77777777" w:rsidR="009D132B" w:rsidRPr="004068F6" w:rsidRDefault="009D132B" w:rsidP="00C86DA5">
      <w:pPr>
        <w:overflowPunct/>
        <w:autoSpaceDE/>
        <w:autoSpaceDN/>
        <w:adjustRightInd/>
        <w:textAlignment w:val="auto"/>
        <w:rPr>
          <w:sz w:val="22"/>
        </w:rPr>
      </w:pPr>
    </w:p>
    <w:p w14:paraId="278E19D5" w14:textId="569BABB2" w:rsidR="009D132B" w:rsidRPr="004068F6" w:rsidRDefault="009D132B" w:rsidP="009D132B">
      <w:pPr>
        <w:overflowPunct/>
        <w:autoSpaceDE/>
        <w:autoSpaceDN/>
        <w:adjustRightInd/>
        <w:textAlignment w:val="auto"/>
        <w:rPr>
          <w:rFonts w:cs="Arial"/>
        </w:rPr>
      </w:pPr>
      <w:r w:rsidRPr="004068F6">
        <w:rPr>
          <w:rFonts w:cs="Arial"/>
        </w:rPr>
        <w:t>A partir de información existente y de análisis estadísticos, debe entregarse la siguiente información:</w:t>
      </w:r>
    </w:p>
    <w:p w14:paraId="1181D401" w14:textId="77777777" w:rsidR="009D132B" w:rsidRPr="004068F6" w:rsidRDefault="009D132B" w:rsidP="009D132B">
      <w:pPr>
        <w:overflowPunct/>
        <w:autoSpaceDE/>
        <w:autoSpaceDN/>
        <w:adjustRightInd/>
        <w:textAlignment w:val="auto"/>
        <w:rPr>
          <w:rFonts w:cs="Arial"/>
        </w:rPr>
      </w:pPr>
    </w:p>
    <w:p w14:paraId="3CAED2C0" w14:textId="0A4AB173" w:rsidR="009D132B" w:rsidRPr="004068F6" w:rsidRDefault="009D132B" w:rsidP="00824C2D">
      <w:pPr>
        <w:pStyle w:val="Prrafodelista"/>
        <w:numPr>
          <w:ilvl w:val="0"/>
          <w:numId w:val="120"/>
        </w:numPr>
        <w:ind w:left="567" w:hanging="567"/>
        <w:rPr>
          <w:rFonts w:cs="Arial"/>
          <w:lang w:val="es-CO"/>
        </w:rPr>
      </w:pPr>
      <w:r w:rsidRPr="004068F6">
        <w:rPr>
          <w:rFonts w:cs="Arial"/>
          <w:lang w:val="es-CO"/>
        </w:rPr>
        <w:t>Serie de oleaje en profundidades indefinidas (estados de mar de altura de ola significante, periodo, pico y dirección)</w:t>
      </w:r>
      <w:r w:rsidR="009D51C0" w:rsidRPr="004068F6">
        <w:rPr>
          <w:rFonts w:cs="Arial"/>
          <w:lang w:val="es-CO"/>
        </w:rPr>
        <w:t xml:space="preserve"> y</w:t>
      </w:r>
      <w:r w:rsidRPr="004068F6">
        <w:rPr>
          <w:rFonts w:cs="Arial"/>
          <w:lang w:val="es-CO"/>
        </w:rPr>
        <w:t xml:space="preserve"> análisis direccional de las olas</w:t>
      </w:r>
      <w:r w:rsidR="009D51C0" w:rsidRPr="004068F6">
        <w:rPr>
          <w:rFonts w:cs="Arial"/>
          <w:lang w:val="es-CO"/>
        </w:rPr>
        <w:t>;</w:t>
      </w:r>
      <w:r w:rsidRPr="004068F6">
        <w:rPr>
          <w:rFonts w:cs="Arial"/>
          <w:lang w:val="es-CO"/>
        </w:rPr>
        <w:t xml:space="preserve"> definir regímenes medios y extremos, análisis de probabilidad conjunta direccional y la influencia del régimen de tormentas del mar, a partir de boyas o bases de datos nacionales o internacionales.</w:t>
      </w:r>
    </w:p>
    <w:p w14:paraId="718AB6FB" w14:textId="77777777" w:rsidR="00824C2D" w:rsidRPr="004068F6" w:rsidRDefault="00824C2D" w:rsidP="00C86DA5">
      <w:pPr>
        <w:rPr>
          <w:rFonts w:cs="Arial"/>
        </w:rPr>
      </w:pPr>
    </w:p>
    <w:p w14:paraId="19D7E5EC" w14:textId="319601F1" w:rsidR="009D132B" w:rsidRPr="004068F6" w:rsidRDefault="009D51C0" w:rsidP="00824C2D">
      <w:pPr>
        <w:pStyle w:val="Prrafodelista"/>
        <w:numPr>
          <w:ilvl w:val="0"/>
          <w:numId w:val="120"/>
        </w:numPr>
        <w:ind w:left="567" w:hanging="567"/>
        <w:rPr>
          <w:rFonts w:cs="Arial"/>
          <w:lang w:val="es-CO"/>
        </w:rPr>
      </w:pPr>
      <w:r w:rsidRPr="004068F6">
        <w:rPr>
          <w:rFonts w:cs="Arial"/>
          <w:lang w:val="es-CO"/>
        </w:rPr>
        <w:t>P</w:t>
      </w:r>
      <w:r w:rsidR="009D132B" w:rsidRPr="004068F6">
        <w:rPr>
          <w:rFonts w:cs="Arial"/>
          <w:lang w:val="es-CO"/>
        </w:rPr>
        <w:t xml:space="preserve">arámetros de oleaje (altura, velocidad y período de las olas, características espectrales, ola media, ola media cuadrática ola significante, </w:t>
      </w:r>
      <w:r w:rsidRPr="004068F6">
        <w:rPr>
          <w:rFonts w:cs="Arial"/>
          <w:lang w:val="es-CO"/>
        </w:rPr>
        <w:t>entre otras</w:t>
      </w:r>
      <w:r w:rsidR="009D132B" w:rsidRPr="004068F6">
        <w:rPr>
          <w:rFonts w:cs="Arial"/>
          <w:lang w:val="es-CO"/>
        </w:rPr>
        <w:t xml:space="preserve">). Se deben </w:t>
      </w:r>
      <w:r w:rsidRPr="004068F6">
        <w:rPr>
          <w:rFonts w:cs="Arial"/>
          <w:lang w:val="es-CO"/>
        </w:rPr>
        <w:t xml:space="preserve">señalar </w:t>
      </w:r>
      <w:r w:rsidR="009D132B" w:rsidRPr="004068F6">
        <w:rPr>
          <w:rFonts w:cs="Arial"/>
          <w:lang w:val="es-CO"/>
        </w:rPr>
        <w:t>los métodos e instrumentos utilizados para la medición de las olas.</w:t>
      </w:r>
    </w:p>
    <w:p w14:paraId="23E6E2D5" w14:textId="77777777" w:rsidR="00824C2D" w:rsidRPr="004068F6" w:rsidRDefault="00824C2D" w:rsidP="00C86DA5">
      <w:pPr>
        <w:rPr>
          <w:rFonts w:cs="Arial"/>
        </w:rPr>
      </w:pPr>
    </w:p>
    <w:p w14:paraId="0A9C3DDE" w14:textId="2D16A774" w:rsidR="009D132B" w:rsidRPr="004068F6" w:rsidRDefault="009D132B" w:rsidP="00824C2D">
      <w:pPr>
        <w:pStyle w:val="Prrafodelista"/>
        <w:numPr>
          <w:ilvl w:val="0"/>
          <w:numId w:val="120"/>
        </w:numPr>
        <w:ind w:left="567" w:hanging="567"/>
        <w:rPr>
          <w:rFonts w:cs="Arial"/>
          <w:lang w:val="es-CO"/>
        </w:rPr>
      </w:pPr>
      <w:r w:rsidRPr="004068F6">
        <w:rPr>
          <w:rFonts w:cs="Arial"/>
          <w:lang w:val="es-CO"/>
        </w:rPr>
        <w:t xml:space="preserve">Periodo (segundos), altura (m) y dirección (grados) con resolución diaria de: i) </w:t>
      </w:r>
      <w:r w:rsidR="009D51C0" w:rsidRPr="004068F6">
        <w:rPr>
          <w:rFonts w:cs="Arial"/>
          <w:lang w:val="es-CO"/>
        </w:rPr>
        <w:t>la</w:t>
      </w:r>
      <w:r w:rsidR="0072054C" w:rsidRPr="004068F6">
        <w:rPr>
          <w:rFonts w:cs="Arial"/>
          <w:lang w:val="es-CO"/>
        </w:rPr>
        <w:t xml:space="preserve"> </w:t>
      </w:r>
      <w:r w:rsidRPr="004068F6">
        <w:rPr>
          <w:rFonts w:cs="Arial"/>
          <w:lang w:val="es-CO"/>
        </w:rPr>
        <w:t xml:space="preserve">ola operacional, ii) </w:t>
      </w:r>
      <w:r w:rsidR="00437235" w:rsidRPr="004068F6">
        <w:rPr>
          <w:rFonts w:cs="Arial"/>
          <w:lang w:val="es-CO"/>
        </w:rPr>
        <w:t xml:space="preserve">la ola máxima, iii) </w:t>
      </w:r>
      <w:r w:rsidR="009D51C0" w:rsidRPr="004068F6">
        <w:rPr>
          <w:rFonts w:cs="Arial"/>
          <w:lang w:val="es-CO"/>
        </w:rPr>
        <w:t xml:space="preserve">la </w:t>
      </w:r>
      <w:r w:rsidRPr="004068F6">
        <w:rPr>
          <w:rFonts w:cs="Arial"/>
          <w:lang w:val="es-CO"/>
        </w:rPr>
        <w:t xml:space="preserve">ola media, iii) </w:t>
      </w:r>
      <w:r w:rsidR="009D51C0" w:rsidRPr="004068F6">
        <w:rPr>
          <w:rFonts w:cs="Arial"/>
          <w:lang w:val="es-CO"/>
        </w:rPr>
        <w:t xml:space="preserve">la </w:t>
      </w:r>
      <w:r w:rsidRPr="004068F6">
        <w:rPr>
          <w:rFonts w:cs="Arial"/>
          <w:lang w:val="es-CO"/>
        </w:rPr>
        <w:t xml:space="preserve">ola incidente, iv) </w:t>
      </w:r>
      <w:r w:rsidR="009D51C0" w:rsidRPr="004068F6">
        <w:rPr>
          <w:rFonts w:cs="Arial"/>
          <w:lang w:val="es-CO"/>
        </w:rPr>
        <w:t xml:space="preserve">la </w:t>
      </w:r>
      <w:r w:rsidRPr="004068F6">
        <w:rPr>
          <w:rFonts w:cs="Arial"/>
          <w:lang w:val="es-CO"/>
        </w:rPr>
        <w:t xml:space="preserve">ola significativa y v) </w:t>
      </w:r>
      <w:r w:rsidR="009D51C0" w:rsidRPr="004068F6">
        <w:rPr>
          <w:rFonts w:cs="Arial"/>
          <w:lang w:val="es-CO"/>
        </w:rPr>
        <w:t xml:space="preserve">la </w:t>
      </w:r>
      <w:r w:rsidRPr="004068F6">
        <w:rPr>
          <w:rFonts w:cs="Arial"/>
          <w:lang w:val="es-CO"/>
        </w:rPr>
        <w:t>ola de diseño.</w:t>
      </w:r>
    </w:p>
    <w:p w14:paraId="7E8F6D38" w14:textId="77777777" w:rsidR="00824C2D" w:rsidRPr="004068F6" w:rsidRDefault="00824C2D" w:rsidP="00C86DA5">
      <w:pPr>
        <w:rPr>
          <w:rFonts w:cs="Arial"/>
        </w:rPr>
      </w:pPr>
    </w:p>
    <w:p w14:paraId="7FBC699C" w14:textId="7FC2A376" w:rsidR="009D132B" w:rsidRPr="004068F6" w:rsidRDefault="009D132B" w:rsidP="00824C2D">
      <w:pPr>
        <w:pStyle w:val="Prrafodelista"/>
        <w:numPr>
          <w:ilvl w:val="0"/>
          <w:numId w:val="118"/>
        </w:numPr>
        <w:ind w:left="567" w:hanging="567"/>
        <w:rPr>
          <w:rFonts w:cs="Arial"/>
          <w:lang w:val="es-CO"/>
        </w:rPr>
      </w:pPr>
      <w:r w:rsidRPr="004068F6">
        <w:rPr>
          <w:rFonts w:cs="Arial"/>
          <w:lang w:val="es-CO"/>
        </w:rPr>
        <w:t>Estudio de propagación y procesos de transformación del oleaje (asomeramiento, refracción, difracción, rotura,</w:t>
      </w:r>
      <w:r w:rsidR="009D51C0" w:rsidRPr="004068F6">
        <w:rPr>
          <w:rFonts w:cs="Arial"/>
          <w:lang w:val="es-CO"/>
        </w:rPr>
        <w:t xml:space="preserve"> entre otros</w:t>
      </w:r>
      <w:r w:rsidRPr="004068F6">
        <w:rPr>
          <w:rFonts w:cs="Arial"/>
          <w:lang w:val="es-CO"/>
        </w:rPr>
        <w:t>)</w:t>
      </w:r>
      <w:r w:rsidRPr="004068F6" w:rsidDel="004E1D9C">
        <w:rPr>
          <w:rFonts w:cs="Arial"/>
          <w:lang w:val="es-CO"/>
        </w:rPr>
        <w:t xml:space="preserve"> </w:t>
      </w:r>
      <w:r w:rsidRPr="004068F6">
        <w:rPr>
          <w:rFonts w:cs="Arial"/>
          <w:lang w:val="es-CO"/>
        </w:rPr>
        <w:t>debido a la proximidad a la costa, para las condiciones actuales y cada uno de los escenarios de obras propuestos.</w:t>
      </w:r>
    </w:p>
    <w:p w14:paraId="7A2C8AE4" w14:textId="77777777" w:rsidR="009D132B" w:rsidRPr="004068F6" w:rsidRDefault="009D132B" w:rsidP="009D132B">
      <w:pPr>
        <w:overflowPunct/>
        <w:autoSpaceDE/>
        <w:autoSpaceDN/>
        <w:adjustRightInd/>
        <w:textAlignment w:val="auto"/>
        <w:rPr>
          <w:rFonts w:cs="Arial"/>
        </w:rPr>
      </w:pPr>
    </w:p>
    <w:p w14:paraId="19D94B89" w14:textId="57118BEB" w:rsidR="009D132B" w:rsidRPr="004068F6" w:rsidRDefault="009D132B" w:rsidP="009D132B">
      <w:pPr>
        <w:overflowPunct/>
        <w:autoSpaceDE/>
        <w:autoSpaceDN/>
        <w:adjustRightInd/>
        <w:textAlignment w:val="auto"/>
        <w:rPr>
          <w:rFonts w:cs="Arial"/>
        </w:rPr>
      </w:pPr>
      <w:r w:rsidRPr="004068F6">
        <w:rPr>
          <w:rFonts w:cs="Arial"/>
        </w:rPr>
        <w:t>Debe presentarse de forma tabular el porcentaje de ocurrencia de altura significante</w:t>
      </w:r>
      <w:r w:rsidR="0072054C" w:rsidRPr="004068F6">
        <w:rPr>
          <w:rFonts w:cs="Arial"/>
        </w:rPr>
        <w:t xml:space="preserve"> </w:t>
      </w:r>
      <w:r w:rsidRPr="004068F6">
        <w:rPr>
          <w:rFonts w:cs="Arial"/>
        </w:rPr>
        <w:t>v</w:t>
      </w:r>
      <w:r w:rsidR="009D3CC9" w:rsidRPr="004068F6">
        <w:rPr>
          <w:rFonts w:cs="Arial"/>
        </w:rPr>
        <w:t>ersus p</w:t>
      </w:r>
      <w:r w:rsidRPr="004068F6">
        <w:rPr>
          <w:rFonts w:cs="Arial"/>
        </w:rPr>
        <w:t>eriodo</w:t>
      </w:r>
      <w:r w:rsidR="00183751" w:rsidRPr="004068F6">
        <w:rPr>
          <w:rFonts w:cs="Arial"/>
        </w:rPr>
        <w:t>s</w:t>
      </w:r>
      <w:r w:rsidRPr="004068F6">
        <w:rPr>
          <w:rFonts w:cs="Arial"/>
        </w:rPr>
        <w:t xml:space="preserve"> pico, el porcentaje de ocurrencia de altura significante</w:t>
      </w:r>
      <w:r w:rsidR="0072054C" w:rsidRPr="004068F6">
        <w:rPr>
          <w:rFonts w:cs="Arial"/>
        </w:rPr>
        <w:t xml:space="preserve"> </w:t>
      </w:r>
      <w:r w:rsidRPr="004068F6">
        <w:rPr>
          <w:rFonts w:cs="Arial"/>
        </w:rPr>
        <w:t>v</w:t>
      </w:r>
      <w:r w:rsidR="009D3CC9" w:rsidRPr="004068F6">
        <w:rPr>
          <w:rFonts w:cs="Arial"/>
        </w:rPr>
        <w:t>ersus</w:t>
      </w:r>
      <w:r w:rsidRPr="004068F6">
        <w:rPr>
          <w:rFonts w:cs="Arial"/>
        </w:rPr>
        <w:t xml:space="preserve"> </w:t>
      </w:r>
      <w:r w:rsidR="009D3CC9" w:rsidRPr="004068F6">
        <w:rPr>
          <w:rFonts w:cs="Arial"/>
        </w:rPr>
        <w:t>d</w:t>
      </w:r>
      <w:r w:rsidRPr="004068F6">
        <w:rPr>
          <w:rFonts w:cs="Arial"/>
        </w:rPr>
        <w:t>irección media</w:t>
      </w:r>
      <w:r w:rsidR="00183751" w:rsidRPr="004068F6">
        <w:rPr>
          <w:rFonts w:cs="Arial"/>
        </w:rPr>
        <w:t xml:space="preserve"> y promedios estacionales,</w:t>
      </w:r>
      <w:r w:rsidR="009D3CC9" w:rsidRPr="004068F6">
        <w:rPr>
          <w:rFonts w:cs="Arial"/>
        </w:rPr>
        <w:t xml:space="preserve"> así como </w:t>
      </w:r>
      <w:r w:rsidR="00183751" w:rsidRPr="004068F6">
        <w:rPr>
          <w:rFonts w:cs="Arial"/>
        </w:rPr>
        <w:t xml:space="preserve">su representación en </w:t>
      </w:r>
      <w:r w:rsidR="009D3CC9" w:rsidRPr="004068F6">
        <w:rPr>
          <w:rFonts w:cs="Arial"/>
        </w:rPr>
        <w:t>m</w:t>
      </w:r>
      <w:r w:rsidRPr="004068F6">
        <w:rPr>
          <w:rFonts w:cs="Arial"/>
        </w:rPr>
        <w:t>apas X, Y</w:t>
      </w:r>
      <w:r w:rsidR="00183751" w:rsidRPr="004068F6">
        <w:rPr>
          <w:rFonts w:cs="Arial"/>
        </w:rPr>
        <w:t>.</w:t>
      </w:r>
    </w:p>
    <w:p w14:paraId="4033803D" w14:textId="77777777" w:rsidR="009D132B" w:rsidRPr="004068F6" w:rsidRDefault="009D132B" w:rsidP="00C86DA5">
      <w:pPr>
        <w:overflowPunct/>
        <w:autoSpaceDE/>
        <w:autoSpaceDN/>
        <w:adjustRightInd/>
        <w:textAlignment w:val="auto"/>
        <w:rPr>
          <w:sz w:val="22"/>
        </w:rPr>
      </w:pPr>
    </w:p>
    <w:p w14:paraId="12CB8A37" w14:textId="77777777" w:rsidR="009D132B" w:rsidRPr="004068F6" w:rsidRDefault="009D132B" w:rsidP="009420F5">
      <w:pPr>
        <w:pStyle w:val="Ttulo4"/>
        <w:tabs>
          <w:tab w:val="clear" w:pos="1844"/>
          <w:tab w:val="num" w:pos="1134"/>
        </w:tabs>
        <w:ind w:left="0"/>
        <w:rPr>
          <w:b w:val="0"/>
          <w:lang w:val="es-CO"/>
        </w:rPr>
      </w:pPr>
      <w:bookmarkStart w:id="2858" w:name="_Toc8487552"/>
      <w:bookmarkStart w:id="2859" w:name="_Toc17809431"/>
      <w:r w:rsidRPr="004068F6">
        <w:rPr>
          <w:lang w:val="es-CO"/>
        </w:rPr>
        <w:t>Mareas</w:t>
      </w:r>
      <w:bookmarkEnd w:id="2858"/>
      <w:bookmarkEnd w:id="2859"/>
      <w:r w:rsidRPr="004068F6">
        <w:rPr>
          <w:lang w:val="es-CO"/>
        </w:rPr>
        <w:cr/>
      </w:r>
    </w:p>
    <w:p w14:paraId="25822298" w14:textId="415E339C" w:rsidR="009D132B" w:rsidRPr="004068F6" w:rsidRDefault="00AB190D" w:rsidP="009D132B">
      <w:pPr>
        <w:overflowPunct/>
        <w:autoSpaceDE/>
        <w:autoSpaceDN/>
        <w:adjustRightInd/>
        <w:textAlignment w:val="auto"/>
        <w:rPr>
          <w:rFonts w:cs="Arial"/>
        </w:rPr>
      </w:pPr>
      <w:r w:rsidRPr="004068F6">
        <w:rPr>
          <w:rFonts w:cs="Arial"/>
        </w:rPr>
        <w:t xml:space="preserve">La información sobre esta temática debe tener una </w:t>
      </w:r>
      <w:r w:rsidR="009D132B" w:rsidRPr="004068F6">
        <w:rPr>
          <w:rFonts w:cs="Arial"/>
        </w:rPr>
        <w:t>frecuencia mínima diaria</w:t>
      </w:r>
      <w:r w:rsidRPr="004068F6">
        <w:rPr>
          <w:rFonts w:cs="Arial"/>
        </w:rPr>
        <w:t xml:space="preserve"> y basada en fuentes de información </w:t>
      </w:r>
      <w:r w:rsidR="009D132B" w:rsidRPr="004068F6">
        <w:rPr>
          <w:rFonts w:cs="Arial"/>
        </w:rPr>
        <w:t xml:space="preserve">secundaria </w:t>
      </w:r>
      <w:r w:rsidRPr="004068F6">
        <w:rPr>
          <w:rFonts w:cs="Arial"/>
        </w:rPr>
        <w:t xml:space="preserve">que permita </w:t>
      </w:r>
      <w:r w:rsidR="00590B9E" w:rsidRPr="004068F6">
        <w:rPr>
          <w:rFonts w:cs="Arial"/>
        </w:rPr>
        <w:t>conocer</w:t>
      </w:r>
      <w:r w:rsidR="009D132B" w:rsidRPr="004068F6">
        <w:rPr>
          <w:rFonts w:cs="Arial"/>
        </w:rPr>
        <w:t>:</w:t>
      </w:r>
    </w:p>
    <w:p w14:paraId="0C75E70E" w14:textId="77777777" w:rsidR="009D132B" w:rsidRPr="004068F6" w:rsidRDefault="009D132B" w:rsidP="00C86DA5">
      <w:pPr>
        <w:overflowPunct/>
        <w:autoSpaceDE/>
        <w:autoSpaceDN/>
        <w:adjustRightInd/>
        <w:textAlignment w:val="auto"/>
      </w:pPr>
    </w:p>
    <w:p w14:paraId="222DC2A7" w14:textId="67990E69" w:rsidR="009D132B" w:rsidRPr="004068F6" w:rsidRDefault="009D132B" w:rsidP="00C86DA5">
      <w:pPr>
        <w:pStyle w:val="Prrafodelista"/>
        <w:numPr>
          <w:ilvl w:val="0"/>
          <w:numId w:val="118"/>
        </w:numPr>
        <w:ind w:left="567" w:hanging="567"/>
        <w:rPr>
          <w:rFonts w:cs="Arial"/>
          <w:lang w:val="es-CO"/>
        </w:rPr>
      </w:pPr>
      <w:r w:rsidRPr="004068F6">
        <w:rPr>
          <w:rFonts w:cs="Arial"/>
          <w:lang w:val="es-CO"/>
        </w:rPr>
        <w:t xml:space="preserve">El régimen de mareas y probabilidad que </w:t>
      </w:r>
      <w:r w:rsidR="009D3CC9" w:rsidRPr="004068F6">
        <w:rPr>
          <w:rFonts w:cs="Arial"/>
          <w:lang w:val="es-CO"/>
        </w:rPr>
        <w:t xml:space="preserve">ocurran </w:t>
      </w:r>
      <w:r w:rsidRPr="004068F6">
        <w:rPr>
          <w:rFonts w:cs="Arial"/>
          <w:lang w:val="es-CO"/>
        </w:rPr>
        <w:t>condiciones extremas.</w:t>
      </w:r>
    </w:p>
    <w:p w14:paraId="00D7003E" w14:textId="77777777" w:rsidR="00824C2D" w:rsidRPr="004068F6" w:rsidRDefault="00824C2D" w:rsidP="00C86DA5">
      <w:pPr>
        <w:rPr>
          <w:rFonts w:cs="Arial"/>
        </w:rPr>
      </w:pPr>
    </w:p>
    <w:p w14:paraId="50914DD8" w14:textId="77777777" w:rsidR="009D132B" w:rsidRPr="004068F6" w:rsidRDefault="009D132B" w:rsidP="00C86DA5">
      <w:pPr>
        <w:pStyle w:val="Prrafodelista"/>
        <w:numPr>
          <w:ilvl w:val="0"/>
          <w:numId w:val="118"/>
        </w:numPr>
        <w:ind w:left="567" w:hanging="567"/>
        <w:rPr>
          <w:rFonts w:cs="Arial"/>
          <w:lang w:val="es-CO"/>
        </w:rPr>
      </w:pPr>
      <w:r w:rsidRPr="004068F6">
        <w:rPr>
          <w:rFonts w:cs="Arial"/>
          <w:lang w:val="es-CO"/>
        </w:rPr>
        <w:t>Tipo y amplitud de mareas existentes en el sector.</w:t>
      </w:r>
    </w:p>
    <w:p w14:paraId="7AF34D66" w14:textId="77777777" w:rsidR="00824C2D" w:rsidRPr="004068F6" w:rsidRDefault="00824C2D" w:rsidP="00C86DA5">
      <w:pPr>
        <w:rPr>
          <w:rFonts w:cs="Arial"/>
        </w:rPr>
      </w:pPr>
    </w:p>
    <w:p w14:paraId="716434C0" w14:textId="75CAB26D" w:rsidR="009D132B" w:rsidRPr="004068F6" w:rsidRDefault="009D132B" w:rsidP="00C86DA5">
      <w:pPr>
        <w:pStyle w:val="Prrafodelista"/>
        <w:numPr>
          <w:ilvl w:val="0"/>
          <w:numId w:val="118"/>
        </w:numPr>
        <w:ind w:left="567" w:hanging="567"/>
        <w:rPr>
          <w:rFonts w:cs="Arial"/>
          <w:lang w:val="es-CO"/>
        </w:rPr>
      </w:pPr>
      <w:r w:rsidRPr="004068F6">
        <w:rPr>
          <w:rFonts w:cs="Arial"/>
          <w:lang w:val="es-CO"/>
        </w:rPr>
        <w:t>Altura mínima y máxima de mareas en sicigia.</w:t>
      </w:r>
    </w:p>
    <w:p w14:paraId="2E113EF0" w14:textId="77777777" w:rsidR="00824C2D" w:rsidRPr="004068F6" w:rsidRDefault="00824C2D" w:rsidP="00C86DA5">
      <w:pPr>
        <w:rPr>
          <w:rFonts w:cs="Arial"/>
        </w:rPr>
      </w:pPr>
    </w:p>
    <w:p w14:paraId="2C48AF6C" w14:textId="77777777" w:rsidR="009D132B" w:rsidRPr="004068F6" w:rsidRDefault="009D132B" w:rsidP="00C86DA5">
      <w:pPr>
        <w:pStyle w:val="Prrafodelista"/>
        <w:numPr>
          <w:ilvl w:val="0"/>
          <w:numId w:val="118"/>
        </w:numPr>
        <w:ind w:left="567" w:hanging="567"/>
        <w:rPr>
          <w:rFonts w:cs="Arial"/>
          <w:lang w:val="es-CO"/>
        </w:rPr>
      </w:pPr>
      <w:r w:rsidRPr="004068F6">
        <w:rPr>
          <w:rFonts w:cs="Arial"/>
          <w:lang w:val="es-CO"/>
        </w:rPr>
        <w:t>Altura mínima y máxima de mareas en cuadratura.</w:t>
      </w:r>
    </w:p>
    <w:p w14:paraId="249D73E8" w14:textId="77777777" w:rsidR="00824C2D" w:rsidRPr="004068F6" w:rsidRDefault="00824C2D" w:rsidP="00C86DA5">
      <w:pPr>
        <w:rPr>
          <w:rFonts w:cs="Arial"/>
        </w:rPr>
      </w:pPr>
    </w:p>
    <w:p w14:paraId="7B7E9DDE" w14:textId="3B9A3455" w:rsidR="009D132B" w:rsidRPr="004068F6" w:rsidRDefault="009D132B" w:rsidP="00C86DA5">
      <w:pPr>
        <w:pStyle w:val="Prrafodelista"/>
        <w:numPr>
          <w:ilvl w:val="0"/>
          <w:numId w:val="118"/>
        </w:numPr>
        <w:ind w:left="567" w:hanging="567"/>
        <w:rPr>
          <w:rFonts w:cs="Arial"/>
          <w:lang w:val="es-CO"/>
        </w:rPr>
      </w:pPr>
      <w:r w:rsidRPr="004068F6">
        <w:rPr>
          <w:rFonts w:cs="Arial"/>
          <w:lang w:val="es-CO"/>
        </w:rPr>
        <w:t>Régimen de niveles del mar; en particular el régimen medio del nivel del mar a partir de las bases de datos nacionales o internacionales.</w:t>
      </w:r>
    </w:p>
    <w:p w14:paraId="4CADD9F1" w14:textId="77777777" w:rsidR="00824C2D" w:rsidRPr="004068F6" w:rsidRDefault="00824C2D" w:rsidP="00C86DA5">
      <w:pPr>
        <w:rPr>
          <w:rFonts w:cs="Arial"/>
        </w:rPr>
      </w:pPr>
    </w:p>
    <w:p w14:paraId="437B5378" w14:textId="25D66909" w:rsidR="009D132B" w:rsidRPr="004068F6" w:rsidRDefault="00AB190D" w:rsidP="00C86DA5">
      <w:pPr>
        <w:pStyle w:val="Prrafodelista"/>
        <w:numPr>
          <w:ilvl w:val="0"/>
          <w:numId w:val="118"/>
        </w:numPr>
        <w:ind w:left="567" w:hanging="567"/>
        <w:rPr>
          <w:rFonts w:cs="Arial"/>
          <w:lang w:val="es-CO"/>
        </w:rPr>
      </w:pPr>
      <w:r w:rsidRPr="004068F6">
        <w:rPr>
          <w:rFonts w:cs="Arial"/>
          <w:lang w:val="es-CO"/>
        </w:rPr>
        <w:t>A</w:t>
      </w:r>
      <w:r w:rsidR="009D132B" w:rsidRPr="004068F6">
        <w:rPr>
          <w:rFonts w:cs="Arial"/>
          <w:lang w:val="es-CO"/>
        </w:rPr>
        <w:t>nomalías del nivel del mar.</w:t>
      </w:r>
    </w:p>
    <w:p w14:paraId="4AD6DDA4" w14:textId="77777777" w:rsidR="00824C2D" w:rsidRPr="004068F6" w:rsidRDefault="00824C2D" w:rsidP="00C86DA5">
      <w:pPr>
        <w:rPr>
          <w:rFonts w:cs="Arial"/>
        </w:rPr>
      </w:pPr>
    </w:p>
    <w:p w14:paraId="6D3E0C51" w14:textId="5E8B7157" w:rsidR="009D132B" w:rsidRPr="004068F6" w:rsidRDefault="009D3CC9" w:rsidP="00C86DA5">
      <w:pPr>
        <w:pStyle w:val="Prrafodelista"/>
        <w:numPr>
          <w:ilvl w:val="0"/>
          <w:numId w:val="118"/>
        </w:numPr>
        <w:ind w:left="567" w:hanging="567"/>
        <w:rPr>
          <w:rFonts w:cs="Arial"/>
          <w:lang w:val="es-CO"/>
        </w:rPr>
      </w:pPr>
      <w:r w:rsidRPr="004068F6">
        <w:rPr>
          <w:rFonts w:cs="Arial"/>
          <w:lang w:val="es-CO"/>
        </w:rPr>
        <w:t>S</w:t>
      </w:r>
      <w:r w:rsidR="009D132B" w:rsidRPr="004068F6">
        <w:rPr>
          <w:rFonts w:cs="Arial"/>
          <w:lang w:val="es-CO"/>
        </w:rPr>
        <w:t>erie de tiempo completa y del ciclo anual. Mapas (X, Y) promedios estacionales.</w:t>
      </w:r>
    </w:p>
    <w:p w14:paraId="0F010CD4" w14:textId="77777777" w:rsidR="00824C2D" w:rsidRPr="004068F6" w:rsidRDefault="00824C2D" w:rsidP="00C86DA5">
      <w:pPr>
        <w:rPr>
          <w:rFonts w:cs="Arial"/>
        </w:rPr>
      </w:pPr>
    </w:p>
    <w:p w14:paraId="006B6495" w14:textId="77777777" w:rsidR="009D132B" w:rsidRPr="004068F6" w:rsidRDefault="009D132B" w:rsidP="00C86DA5">
      <w:pPr>
        <w:pStyle w:val="Prrafodelista"/>
        <w:numPr>
          <w:ilvl w:val="0"/>
          <w:numId w:val="118"/>
        </w:numPr>
        <w:ind w:left="567" w:hanging="567"/>
        <w:rPr>
          <w:rFonts w:cs="Arial"/>
          <w:lang w:val="es-CO"/>
        </w:rPr>
      </w:pPr>
      <w:r w:rsidRPr="004068F6">
        <w:rPr>
          <w:rFonts w:cs="Arial"/>
          <w:lang w:val="es-CO"/>
        </w:rPr>
        <w:t>Componentes de marea característicos de la zona.</w:t>
      </w:r>
    </w:p>
    <w:p w14:paraId="644F0C7F" w14:textId="77777777" w:rsidR="009D132B" w:rsidRPr="004068F6" w:rsidRDefault="009D132B" w:rsidP="00C86DA5">
      <w:pPr>
        <w:overflowPunct/>
        <w:autoSpaceDE/>
        <w:autoSpaceDN/>
        <w:adjustRightInd/>
        <w:textAlignment w:val="auto"/>
        <w:rPr>
          <w:sz w:val="22"/>
        </w:rPr>
      </w:pPr>
    </w:p>
    <w:p w14:paraId="479F47D4" w14:textId="0D4164ED" w:rsidR="009D132B" w:rsidRPr="004068F6" w:rsidRDefault="00137401" w:rsidP="009420F5">
      <w:pPr>
        <w:pStyle w:val="Ttulo4"/>
        <w:tabs>
          <w:tab w:val="clear" w:pos="1844"/>
          <w:tab w:val="num" w:pos="1134"/>
        </w:tabs>
        <w:ind w:left="0"/>
        <w:rPr>
          <w:lang w:val="es-CO"/>
        </w:rPr>
      </w:pPr>
      <w:bookmarkStart w:id="2860" w:name="_Toc8487553"/>
      <w:bookmarkStart w:id="2861" w:name="_Toc17809432"/>
      <w:r w:rsidRPr="004068F6">
        <w:rPr>
          <w:lang w:val="es-CO"/>
        </w:rPr>
        <w:t>Amenazas meteomarinas</w:t>
      </w:r>
      <w:bookmarkEnd w:id="2860"/>
      <w:bookmarkEnd w:id="2861"/>
    </w:p>
    <w:p w14:paraId="44937086" w14:textId="77777777" w:rsidR="009D132B" w:rsidRPr="004068F6" w:rsidRDefault="009D132B" w:rsidP="00C86DA5">
      <w:pPr>
        <w:overflowPunct/>
        <w:autoSpaceDE/>
        <w:autoSpaceDN/>
        <w:adjustRightInd/>
        <w:textAlignment w:val="auto"/>
        <w:rPr>
          <w:sz w:val="22"/>
        </w:rPr>
      </w:pPr>
    </w:p>
    <w:p w14:paraId="67509CB8" w14:textId="60BE3FA9" w:rsidR="009D132B" w:rsidRPr="004068F6" w:rsidRDefault="009D132B" w:rsidP="009D132B">
      <w:pPr>
        <w:overflowPunct/>
        <w:autoSpaceDE/>
        <w:autoSpaceDN/>
        <w:adjustRightInd/>
        <w:textAlignment w:val="auto"/>
        <w:rPr>
          <w:rFonts w:cs="Arial"/>
        </w:rPr>
      </w:pPr>
      <w:r w:rsidRPr="004068F6">
        <w:rPr>
          <w:rFonts w:cs="Arial"/>
        </w:rPr>
        <w:t>Se debe incluir una caracterización y análisis de amenazas meteomarinas extremas generadas por tsunamis, eventos climáticos extremos (tormentas tropicales, huracanes, vientos</w:t>
      </w:r>
      <w:r w:rsidR="00137401" w:rsidRPr="004068F6">
        <w:rPr>
          <w:rFonts w:cs="Arial"/>
        </w:rPr>
        <w:t xml:space="preserve"> extremos, oleaje extremo</w:t>
      </w:r>
      <w:r w:rsidRPr="004068F6">
        <w:rPr>
          <w:rFonts w:cs="Arial"/>
        </w:rPr>
        <w:t>, e</w:t>
      </w:r>
      <w:r w:rsidR="009D3CC9" w:rsidRPr="004068F6">
        <w:rPr>
          <w:rFonts w:cs="Arial"/>
        </w:rPr>
        <w:t>ntre otros</w:t>
      </w:r>
      <w:r w:rsidRPr="004068F6">
        <w:rPr>
          <w:rFonts w:cs="Arial"/>
        </w:rPr>
        <w:t xml:space="preserve">). </w:t>
      </w:r>
      <w:r w:rsidR="009D3CC9" w:rsidRPr="004068F6">
        <w:rPr>
          <w:rFonts w:cs="Arial"/>
        </w:rPr>
        <w:t>A partir de lo anterior</w:t>
      </w:r>
      <w:r w:rsidRPr="004068F6">
        <w:rPr>
          <w:rFonts w:cs="Arial"/>
        </w:rPr>
        <w:t xml:space="preserve"> se debe </w:t>
      </w:r>
      <w:r w:rsidR="009D3CC9" w:rsidRPr="004068F6">
        <w:rPr>
          <w:rFonts w:cs="Arial"/>
        </w:rPr>
        <w:t xml:space="preserve">desarrollar </w:t>
      </w:r>
      <w:r w:rsidRPr="004068F6">
        <w:rPr>
          <w:rFonts w:cs="Arial"/>
        </w:rPr>
        <w:t xml:space="preserve">una caracterización y análisis de amenazas meteomarinas extremas generadas por vientos, precipitaciones, tormentas eléctricas, visibilidad, </w:t>
      </w:r>
      <w:r w:rsidR="009D3CC9" w:rsidRPr="004068F6">
        <w:rPr>
          <w:rFonts w:cs="Arial"/>
        </w:rPr>
        <w:t>entre otros</w:t>
      </w:r>
      <w:r w:rsidR="00137401" w:rsidRPr="004068F6">
        <w:rPr>
          <w:rFonts w:cs="Arial"/>
        </w:rPr>
        <w:t>, contemplando:</w:t>
      </w:r>
    </w:p>
    <w:p w14:paraId="1A992918" w14:textId="77777777" w:rsidR="009D132B" w:rsidRPr="004068F6" w:rsidRDefault="009D132B" w:rsidP="009D132B">
      <w:pPr>
        <w:rPr>
          <w:rFonts w:cs="Arial"/>
        </w:rPr>
      </w:pPr>
    </w:p>
    <w:p w14:paraId="389782CA" w14:textId="77777777" w:rsidR="00824C2D" w:rsidRPr="004068F6" w:rsidRDefault="009D132B" w:rsidP="00C86DA5">
      <w:pPr>
        <w:pStyle w:val="Prrafodelista"/>
        <w:numPr>
          <w:ilvl w:val="0"/>
          <w:numId w:val="118"/>
        </w:numPr>
        <w:ind w:left="567" w:hanging="567"/>
        <w:rPr>
          <w:rFonts w:cs="Arial"/>
          <w:lang w:val="es-CO"/>
        </w:rPr>
      </w:pPr>
      <w:r w:rsidRPr="004068F6">
        <w:rPr>
          <w:rFonts w:cs="Arial"/>
          <w:lang w:val="es-CO"/>
        </w:rPr>
        <w:t>Frecuencia</w:t>
      </w:r>
      <w:r w:rsidR="00824C2D" w:rsidRPr="004068F6">
        <w:rPr>
          <w:rFonts w:cs="Arial"/>
          <w:lang w:val="es-CO"/>
        </w:rPr>
        <w:t>.</w:t>
      </w:r>
    </w:p>
    <w:p w14:paraId="6B0FB754" w14:textId="7C23580D" w:rsidR="009D132B" w:rsidRPr="004068F6" w:rsidRDefault="009D132B" w:rsidP="00C86DA5">
      <w:pPr>
        <w:rPr>
          <w:rFonts w:cs="Arial"/>
        </w:rPr>
      </w:pPr>
    </w:p>
    <w:p w14:paraId="713827FD" w14:textId="47D77BA7" w:rsidR="009D132B" w:rsidRPr="004068F6" w:rsidRDefault="009D132B" w:rsidP="00C86DA5">
      <w:pPr>
        <w:pStyle w:val="Prrafodelista"/>
        <w:numPr>
          <w:ilvl w:val="0"/>
          <w:numId w:val="118"/>
        </w:numPr>
        <w:ind w:left="567" w:hanging="567"/>
        <w:rPr>
          <w:rFonts w:cs="Arial"/>
          <w:lang w:val="es-CO"/>
        </w:rPr>
      </w:pPr>
      <w:r w:rsidRPr="004068F6">
        <w:rPr>
          <w:rFonts w:cs="Arial"/>
          <w:lang w:val="es-CO"/>
        </w:rPr>
        <w:t>Altura de olas</w:t>
      </w:r>
      <w:r w:rsidR="00137401" w:rsidRPr="004068F6">
        <w:rPr>
          <w:rFonts w:cs="Arial"/>
          <w:lang w:val="es-CO"/>
        </w:rPr>
        <w:t>, periodos y direcciones</w:t>
      </w:r>
      <w:r w:rsidRPr="004068F6">
        <w:rPr>
          <w:rFonts w:cs="Arial"/>
          <w:lang w:val="es-CO"/>
        </w:rPr>
        <w:t>.</w:t>
      </w:r>
    </w:p>
    <w:p w14:paraId="6F473C73" w14:textId="77777777" w:rsidR="00824C2D" w:rsidRPr="004068F6" w:rsidRDefault="00824C2D" w:rsidP="00C86DA5">
      <w:pPr>
        <w:rPr>
          <w:rFonts w:cs="Arial"/>
        </w:rPr>
      </w:pPr>
    </w:p>
    <w:p w14:paraId="7F222036" w14:textId="77777777" w:rsidR="009D132B" w:rsidRPr="004068F6" w:rsidRDefault="009D132B" w:rsidP="00C86DA5">
      <w:pPr>
        <w:pStyle w:val="Prrafodelista"/>
        <w:numPr>
          <w:ilvl w:val="0"/>
          <w:numId w:val="118"/>
        </w:numPr>
        <w:ind w:left="567" w:hanging="567"/>
        <w:rPr>
          <w:rFonts w:cs="Arial"/>
          <w:lang w:val="es-CO"/>
        </w:rPr>
      </w:pPr>
      <w:r w:rsidRPr="004068F6">
        <w:rPr>
          <w:rFonts w:cs="Arial"/>
          <w:lang w:val="es-CO"/>
        </w:rPr>
        <w:t>Épocas de mayor actividad.</w:t>
      </w:r>
    </w:p>
    <w:p w14:paraId="7506B0F9" w14:textId="77777777" w:rsidR="00824C2D" w:rsidRPr="004068F6" w:rsidRDefault="00824C2D" w:rsidP="00C86DA5">
      <w:pPr>
        <w:rPr>
          <w:rFonts w:cs="Arial"/>
        </w:rPr>
      </w:pPr>
    </w:p>
    <w:p w14:paraId="75D8EE8C" w14:textId="54A5BD19" w:rsidR="009D132B" w:rsidRPr="004068F6" w:rsidRDefault="009D132B" w:rsidP="00C86DA5">
      <w:pPr>
        <w:pStyle w:val="Prrafodelista"/>
        <w:numPr>
          <w:ilvl w:val="0"/>
          <w:numId w:val="118"/>
        </w:numPr>
        <w:ind w:left="567" w:hanging="567"/>
        <w:rPr>
          <w:rFonts w:cs="Arial"/>
          <w:lang w:val="es-CO"/>
        </w:rPr>
      </w:pPr>
      <w:r w:rsidRPr="004068F6">
        <w:rPr>
          <w:rFonts w:cs="Arial"/>
          <w:lang w:val="es-CO"/>
        </w:rPr>
        <w:t xml:space="preserve">Frecuencia y registro de </w:t>
      </w:r>
      <w:r w:rsidR="00137401" w:rsidRPr="004068F6">
        <w:rPr>
          <w:rFonts w:cs="Arial"/>
          <w:lang w:val="es-CO"/>
        </w:rPr>
        <w:t xml:space="preserve">frentes fríos y/o </w:t>
      </w:r>
      <w:r w:rsidRPr="004068F6">
        <w:rPr>
          <w:rFonts w:cs="Arial"/>
          <w:lang w:val="es-CO"/>
        </w:rPr>
        <w:t>huracanes en la zona.</w:t>
      </w:r>
    </w:p>
    <w:p w14:paraId="43CED7D5" w14:textId="72F5EB99" w:rsidR="008C4CCD" w:rsidRPr="00127BD4" w:rsidRDefault="008C4CCD" w:rsidP="00127BD4">
      <w:pPr>
        <w:jc w:val="left"/>
        <w:rPr>
          <w:rFonts w:cs="Arial"/>
          <w:sz w:val="22"/>
        </w:rPr>
      </w:pPr>
    </w:p>
    <w:p w14:paraId="713AD55A" w14:textId="77777777" w:rsidR="009D132B" w:rsidRPr="004068F6" w:rsidRDefault="009D132B" w:rsidP="009420F5">
      <w:pPr>
        <w:pStyle w:val="Ttulo4"/>
        <w:tabs>
          <w:tab w:val="clear" w:pos="1844"/>
          <w:tab w:val="num" w:pos="1134"/>
        </w:tabs>
        <w:ind w:left="0"/>
        <w:rPr>
          <w:lang w:val="es-CO"/>
        </w:rPr>
      </w:pPr>
      <w:bookmarkStart w:id="2862" w:name="_Toc8487550"/>
      <w:bookmarkStart w:id="2863" w:name="_Toc17809429"/>
      <w:r w:rsidRPr="004068F6">
        <w:rPr>
          <w:lang w:val="es-CO"/>
        </w:rPr>
        <w:t>Corrientes</w:t>
      </w:r>
      <w:bookmarkEnd w:id="2862"/>
      <w:bookmarkEnd w:id="2863"/>
    </w:p>
    <w:p w14:paraId="7917C8C4" w14:textId="77777777" w:rsidR="009D132B" w:rsidRPr="004068F6" w:rsidRDefault="009D132B" w:rsidP="009420F5"/>
    <w:p w14:paraId="207DF6C6" w14:textId="6FA7B30B" w:rsidR="009D132B" w:rsidRPr="004068F6" w:rsidRDefault="009D132B" w:rsidP="009D132B">
      <w:pPr>
        <w:rPr>
          <w:rFonts w:cs="Arial"/>
        </w:rPr>
      </w:pPr>
      <w:r w:rsidRPr="004068F6">
        <w:rPr>
          <w:rFonts w:cs="Arial"/>
        </w:rPr>
        <w:t>Se debe incluir como mínimo la siguiente información:</w:t>
      </w:r>
    </w:p>
    <w:p w14:paraId="1B70CF3E" w14:textId="77777777" w:rsidR="009D132B" w:rsidRPr="004068F6" w:rsidRDefault="009D132B" w:rsidP="009420F5">
      <w:pPr>
        <w:rPr>
          <w:rFonts w:cs="Arial"/>
        </w:rPr>
      </w:pPr>
    </w:p>
    <w:p w14:paraId="51CB31AC" w14:textId="7D31C472" w:rsidR="009D132B" w:rsidRPr="004068F6" w:rsidRDefault="009D132B" w:rsidP="00824C2D">
      <w:pPr>
        <w:pStyle w:val="Prrafodelista"/>
        <w:numPr>
          <w:ilvl w:val="0"/>
          <w:numId w:val="117"/>
        </w:numPr>
        <w:ind w:left="567" w:hanging="567"/>
        <w:rPr>
          <w:rFonts w:cs="Arial"/>
          <w:lang w:val="es-CO"/>
        </w:rPr>
      </w:pPr>
      <w:r w:rsidRPr="004068F6">
        <w:rPr>
          <w:rFonts w:cs="Arial"/>
          <w:lang w:val="es-CO"/>
        </w:rPr>
        <w:t>Sistema</w:t>
      </w:r>
      <w:r w:rsidRPr="004068F6">
        <w:rPr>
          <w:lang w:val="es-CO"/>
        </w:rPr>
        <w:t xml:space="preserve"> de corrientes </w:t>
      </w:r>
      <w:r w:rsidRPr="004068F6">
        <w:rPr>
          <w:rFonts w:cs="Arial"/>
          <w:lang w:val="es-CO"/>
        </w:rPr>
        <w:t xml:space="preserve">marinas </w:t>
      </w:r>
      <w:r w:rsidR="00B45CC2" w:rsidRPr="004068F6">
        <w:rPr>
          <w:spacing w:val="-3"/>
          <w:lang w:val="es-CO"/>
        </w:rPr>
        <w:t>para los diferentes períodos climáticos</w:t>
      </w:r>
      <w:r w:rsidRPr="004068F6">
        <w:rPr>
          <w:rFonts w:cs="Arial"/>
          <w:lang w:val="es-CO"/>
        </w:rPr>
        <w:t xml:space="preserve">, describiendo tanto su tipo, origen y mecanismo de transporte, como su variabilidad en el espacio, relación con las mareas, dirección y tiempo, meteorología, magnitudes de los diversos componentes de corrientes y probabilidad estadística que se excedan las actuales magnitudes. Se debe </w:t>
      </w:r>
      <w:r w:rsidR="004E317D" w:rsidRPr="004068F6">
        <w:rPr>
          <w:rFonts w:cs="Arial"/>
          <w:lang w:val="es-CO"/>
        </w:rPr>
        <w:t xml:space="preserve">señalar </w:t>
      </w:r>
      <w:r w:rsidRPr="004068F6">
        <w:rPr>
          <w:rFonts w:cs="Arial"/>
          <w:lang w:val="es-CO"/>
        </w:rPr>
        <w:t>los métodos e instrumentos utilizados para la medición de las corrientes.</w:t>
      </w:r>
    </w:p>
    <w:p w14:paraId="2D7AB3A6" w14:textId="77777777" w:rsidR="00380C46" w:rsidRPr="004068F6" w:rsidRDefault="00380C46" w:rsidP="00824C2D">
      <w:pPr>
        <w:pStyle w:val="Prrafodelista"/>
        <w:ind w:left="567" w:hanging="567"/>
        <w:rPr>
          <w:rFonts w:cs="Arial"/>
          <w:lang w:val="es-CO"/>
        </w:rPr>
      </w:pPr>
    </w:p>
    <w:p w14:paraId="7B3D7D81" w14:textId="1C3C4D55" w:rsidR="009D132B" w:rsidRPr="004068F6" w:rsidRDefault="009D132B" w:rsidP="00824C2D">
      <w:pPr>
        <w:pStyle w:val="Prrafodelista"/>
        <w:numPr>
          <w:ilvl w:val="0"/>
          <w:numId w:val="117"/>
        </w:numPr>
        <w:ind w:left="567" w:hanging="567"/>
        <w:rPr>
          <w:rFonts w:cs="Arial"/>
          <w:lang w:val="es-CO"/>
        </w:rPr>
      </w:pPr>
      <w:r w:rsidRPr="004068F6">
        <w:rPr>
          <w:rFonts w:cs="Arial"/>
          <w:lang w:val="es-CO"/>
        </w:rPr>
        <w:t>Dinámica de las corrientes marinas, identificando principalmente su dirección, probabilidad de ocurrencia y la intensidad de los flujos.</w:t>
      </w:r>
    </w:p>
    <w:p w14:paraId="52A629B2" w14:textId="77777777" w:rsidR="00380C46" w:rsidRPr="004068F6" w:rsidRDefault="00380C46" w:rsidP="00824C2D">
      <w:pPr>
        <w:pStyle w:val="Prrafodelista"/>
        <w:ind w:left="567" w:hanging="567"/>
        <w:rPr>
          <w:rFonts w:cs="Arial"/>
          <w:lang w:val="es-CO"/>
        </w:rPr>
      </w:pPr>
    </w:p>
    <w:p w14:paraId="0104BEE5" w14:textId="44E81FBC" w:rsidR="009D132B" w:rsidRPr="004068F6" w:rsidRDefault="009D132B" w:rsidP="00824C2D">
      <w:pPr>
        <w:pStyle w:val="Prrafodelista"/>
        <w:numPr>
          <w:ilvl w:val="0"/>
          <w:numId w:val="117"/>
        </w:numPr>
        <w:ind w:left="567" w:hanging="567"/>
        <w:rPr>
          <w:rFonts w:cs="Arial"/>
          <w:lang w:val="es-CO"/>
        </w:rPr>
      </w:pPr>
      <w:r w:rsidRPr="004068F6">
        <w:rPr>
          <w:rFonts w:cs="Arial"/>
          <w:lang w:val="es-CO"/>
        </w:rPr>
        <w:t>Escenarios de circulación más probables y desfavorables ambientalmente, determinando los sectores que estarían involucrados en los impactos que se puedan derivar de las etapas o acciones del proyecto</w:t>
      </w:r>
      <w:r w:rsidR="004E317D" w:rsidRPr="004068F6">
        <w:rPr>
          <w:rFonts w:cs="Arial"/>
          <w:lang w:val="es-CO"/>
        </w:rPr>
        <w:t>, obra o actividad</w:t>
      </w:r>
      <w:r w:rsidRPr="004068F6">
        <w:rPr>
          <w:rFonts w:cs="Arial"/>
          <w:lang w:val="es-CO"/>
        </w:rPr>
        <w:t>, enfatizando la situación en el sector de implantación de las obras.</w:t>
      </w:r>
    </w:p>
    <w:p w14:paraId="3CEA20AF" w14:textId="77777777" w:rsidR="00380C46" w:rsidRPr="004068F6" w:rsidRDefault="00380C46" w:rsidP="00824C2D">
      <w:pPr>
        <w:pStyle w:val="Prrafodelista"/>
        <w:ind w:left="567" w:hanging="567"/>
        <w:rPr>
          <w:rFonts w:cs="Arial"/>
          <w:lang w:val="es-CO"/>
        </w:rPr>
      </w:pPr>
    </w:p>
    <w:p w14:paraId="2E1C0294" w14:textId="0806ADE7" w:rsidR="009D132B" w:rsidRPr="004068F6" w:rsidRDefault="009D132B" w:rsidP="00C86DA5">
      <w:pPr>
        <w:pStyle w:val="Prrafodelista"/>
        <w:numPr>
          <w:ilvl w:val="0"/>
          <w:numId w:val="117"/>
        </w:numPr>
        <w:ind w:left="567" w:hanging="567"/>
        <w:rPr>
          <w:lang w:val="es-CO"/>
        </w:rPr>
      </w:pPr>
      <w:r w:rsidRPr="004068F6">
        <w:rPr>
          <w:rFonts w:cs="Arial"/>
          <w:lang w:val="es-CO"/>
        </w:rPr>
        <w:t>Descripción del comportamiento de las corrientes marinas y de las corrientes costeras (</w:t>
      </w:r>
      <w:r w:rsidRPr="004068F6">
        <w:rPr>
          <w:lang w:val="es-CO"/>
        </w:rPr>
        <w:t xml:space="preserve">mayores, menores y residuales </w:t>
      </w:r>
      <w:r w:rsidRPr="004068F6">
        <w:rPr>
          <w:rFonts w:cs="Arial"/>
          <w:lang w:val="es-CO"/>
        </w:rPr>
        <w:t>debid</w:t>
      </w:r>
      <w:r w:rsidR="004E317D" w:rsidRPr="004068F6">
        <w:rPr>
          <w:rFonts w:cs="Arial"/>
          <w:lang w:val="es-CO"/>
        </w:rPr>
        <w:t>o</w:t>
      </w:r>
      <w:r w:rsidRPr="004068F6">
        <w:rPr>
          <w:lang w:val="es-CO"/>
        </w:rPr>
        <w:t xml:space="preserve"> a las olas y vientos, tanto superficiales como de fondo) incluyendo velocidad como función de la profundidad, variabilidad en el espacio, dirección y tiempo, magnitudes de los diversos componentes de </w:t>
      </w:r>
      <w:r w:rsidRPr="004068F6">
        <w:rPr>
          <w:rFonts w:cs="Arial"/>
          <w:lang w:val="es-CO"/>
        </w:rPr>
        <w:t>corrientes</w:t>
      </w:r>
      <w:r w:rsidRPr="004068F6">
        <w:rPr>
          <w:lang w:val="es-CO"/>
        </w:rPr>
        <w:t>.</w:t>
      </w:r>
      <w:r w:rsidRPr="004068F6">
        <w:rPr>
          <w:rFonts w:cs="Arial"/>
          <w:lang w:val="es-CO"/>
        </w:rPr>
        <w:t xml:space="preserve"> </w:t>
      </w:r>
      <w:r w:rsidR="004E317D" w:rsidRPr="004068F6">
        <w:rPr>
          <w:rFonts w:cs="Arial"/>
          <w:lang w:val="es-CO"/>
        </w:rPr>
        <w:t>D</w:t>
      </w:r>
      <w:r w:rsidRPr="004068F6">
        <w:rPr>
          <w:rFonts w:cs="Arial"/>
          <w:lang w:val="es-CO"/>
        </w:rPr>
        <w:t>escripción de los métodos e instrumentos utilizados para la medición de corrientes</w:t>
      </w:r>
      <w:r w:rsidR="001B09EE" w:rsidRPr="004068F6">
        <w:rPr>
          <w:rFonts w:cs="Arial"/>
          <w:lang w:val="es-CO"/>
        </w:rPr>
        <w:t xml:space="preserve"> </w:t>
      </w:r>
      <w:r w:rsidR="001B09EE" w:rsidRPr="004068F6">
        <w:rPr>
          <w:lang w:val="es-CO"/>
        </w:rPr>
        <w:t>a diferentes profundidades</w:t>
      </w:r>
      <w:r w:rsidRPr="004068F6">
        <w:rPr>
          <w:rFonts w:cs="Arial"/>
          <w:lang w:val="es-CO"/>
        </w:rPr>
        <w:t>.</w:t>
      </w:r>
    </w:p>
    <w:p w14:paraId="356D514A" w14:textId="77777777" w:rsidR="00380C46" w:rsidRPr="004068F6" w:rsidRDefault="00380C46" w:rsidP="00C86DA5">
      <w:pPr>
        <w:pStyle w:val="Prrafodelista"/>
        <w:ind w:left="567" w:hanging="567"/>
        <w:rPr>
          <w:lang w:val="es-CO"/>
        </w:rPr>
      </w:pPr>
    </w:p>
    <w:p w14:paraId="039BA1C4" w14:textId="034A2D3F" w:rsidR="009D132B" w:rsidRPr="004068F6" w:rsidRDefault="009D132B" w:rsidP="00824C2D">
      <w:pPr>
        <w:pStyle w:val="Prrafodelista"/>
        <w:numPr>
          <w:ilvl w:val="0"/>
          <w:numId w:val="117"/>
        </w:numPr>
        <w:ind w:left="567" w:hanging="567"/>
        <w:rPr>
          <w:rFonts w:cs="Arial"/>
          <w:lang w:val="es-CO"/>
        </w:rPr>
      </w:pPr>
      <w:r w:rsidRPr="004068F6">
        <w:rPr>
          <w:rFonts w:cs="Arial"/>
          <w:lang w:val="es-CO"/>
        </w:rPr>
        <w:t>Sistemas circulatorios de corrientes mediante la aplicación de modelos numéricos de circulación de corrientes, oleaje y mareas, entre otros, generando sistemas circulatorios en playas, que permiten calcular el transporte de sedimentos y las variaciones de la línea de costa.</w:t>
      </w:r>
    </w:p>
    <w:p w14:paraId="28A1B26D" w14:textId="77777777" w:rsidR="00380C46" w:rsidRPr="004068F6" w:rsidRDefault="00380C46" w:rsidP="00824C2D">
      <w:pPr>
        <w:pStyle w:val="Prrafodelista"/>
        <w:ind w:left="567" w:hanging="567"/>
        <w:rPr>
          <w:rFonts w:cs="Arial"/>
          <w:lang w:val="es-CO"/>
        </w:rPr>
      </w:pPr>
    </w:p>
    <w:p w14:paraId="04998B73" w14:textId="3A6EFAF9" w:rsidR="009D132B" w:rsidRPr="004068F6" w:rsidRDefault="009D132B" w:rsidP="00824C2D">
      <w:pPr>
        <w:pStyle w:val="Prrafodelista"/>
        <w:numPr>
          <w:ilvl w:val="0"/>
          <w:numId w:val="117"/>
        </w:numPr>
        <w:ind w:left="567" w:hanging="567"/>
        <w:rPr>
          <w:rFonts w:cs="Arial"/>
          <w:lang w:val="es-CO"/>
        </w:rPr>
      </w:pPr>
      <w:r w:rsidRPr="004068F6">
        <w:rPr>
          <w:rFonts w:cs="Arial"/>
          <w:lang w:val="es-CO"/>
        </w:rPr>
        <w:t xml:space="preserve">Dirección (grados) y magnitud (m/s), con una frecuencia mínima mensual. La información debe presentarse como serie de tiempo completa y del ciclo anual, </w:t>
      </w:r>
      <w:r w:rsidR="00556615" w:rsidRPr="004068F6">
        <w:rPr>
          <w:rFonts w:cs="Arial"/>
          <w:lang w:val="es-CO"/>
        </w:rPr>
        <w:t xml:space="preserve">junto con sus </w:t>
      </w:r>
      <w:r w:rsidR="00183751" w:rsidRPr="004068F6">
        <w:rPr>
          <w:rFonts w:cs="Arial"/>
          <w:lang w:val="es-CO"/>
        </w:rPr>
        <w:t>promedios estacionales</w:t>
      </w:r>
      <w:r w:rsidR="00556615" w:rsidRPr="004068F6">
        <w:rPr>
          <w:rFonts w:cs="Arial"/>
          <w:lang w:val="es-CO"/>
        </w:rPr>
        <w:t>; las corrientes deben representarse en</w:t>
      </w:r>
      <w:r w:rsidRPr="004068F6">
        <w:rPr>
          <w:rFonts w:cs="Arial"/>
          <w:lang w:val="es-CO"/>
        </w:rPr>
        <w:t xml:space="preserve"> </w:t>
      </w:r>
      <w:r w:rsidR="004E317D" w:rsidRPr="004068F6">
        <w:rPr>
          <w:rFonts w:cs="Arial"/>
          <w:lang w:val="es-CO"/>
        </w:rPr>
        <w:t>m</w:t>
      </w:r>
      <w:r w:rsidRPr="004068F6">
        <w:rPr>
          <w:rFonts w:cs="Arial"/>
          <w:lang w:val="es-CO"/>
        </w:rPr>
        <w:t>apas X, Y.</w:t>
      </w:r>
    </w:p>
    <w:p w14:paraId="11876F31" w14:textId="77777777" w:rsidR="009D132B" w:rsidRPr="004068F6" w:rsidRDefault="009D132B" w:rsidP="009D132B">
      <w:pPr>
        <w:overflowPunct/>
        <w:autoSpaceDE/>
        <w:autoSpaceDN/>
        <w:adjustRightInd/>
        <w:textAlignment w:val="auto"/>
        <w:rPr>
          <w:rFonts w:cs="Arial"/>
          <w:szCs w:val="22"/>
        </w:rPr>
      </w:pPr>
    </w:p>
    <w:p w14:paraId="7F7F468A" w14:textId="77777777" w:rsidR="009D132B" w:rsidRPr="004068F6" w:rsidRDefault="009D132B" w:rsidP="009420F5">
      <w:pPr>
        <w:pStyle w:val="Ttulo4"/>
        <w:tabs>
          <w:tab w:val="clear" w:pos="1844"/>
          <w:tab w:val="num" w:pos="1134"/>
        </w:tabs>
        <w:ind w:left="0"/>
        <w:rPr>
          <w:lang w:val="es-CO"/>
        </w:rPr>
      </w:pPr>
      <w:bookmarkStart w:id="2864" w:name="_Toc8487554"/>
      <w:bookmarkStart w:id="2865" w:name="_Toc17809433"/>
      <w:r w:rsidRPr="004068F6">
        <w:rPr>
          <w:lang w:val="es-CO"/>
        </w:rPr>
        <w:t>Perfiles de temperatura y salinidad (densidad del mar)</w:t>
      </w:r>
      <w:bookmarkEnd w:id="2864"/>
      <w:bookmarkEnd w:id="2865"/>
    </w:p>
    <w:p w14:paraId="50C21567" w14:textId="77777777" w:rsidR="009D132B" w:rsidRPr="004068F6" w:rsidRDefault="009D132B" w:rsidP="009D132B">
      <w:pPr>
        <w:overflowPunct/>
        <w:autoSpaceDE/>
        <w:autoSpaceDN/>
        <w:adjustRightInd/>
        <w:textAlignment w:val="auto"/>
        <w:rPr>
          <w:rFonts w:cs="Arial"/>
          <w:szCs w:val="22"/>
        </w:rPr>
      </w:pPr>
    </w:p>
    <w:p w14:paraId="40BBFCFD" w14:textId="77B4A906" w:rsidR="009D132B" w:rsidRPr="004068F6" w:rsidRDefault="009D132B" w:rsidP="009D132B">
      <w:pPr>
        <w:overflowPunct/>
        <w:autoSpaceDE/>
        <w:autoSpaceDN/>
        <w:adjustRightInd/>
        <w:textAlignment w:val="auto"/>
        <w:rPr>
          <w:rFonts w:cs="Arial"/>
        </w:rPr>
      </w:pPr>
      <w:r w:rsidRPr="004068F6">
        <w:rPr>
          <w:rFonts w:cs="Arial"/>
        </w:rPr>
        <w:t xml:space="preserve">Debe presentarse la </w:t>
      </w:r>
      <w:r w:rsidR="00824C2D" w:rsidRPr="004068F6">
        <w:rPr>
          <w:rFonts w:cs="Arial"/>
        </w:rPr>
        <w:t>t</w:t>
      </w:r>
      <w:r w:rsidRPr="004068F6">
        <w:rPr>
          <w:rFonts w:cs="Arial"/>
        </w:rPr>
        <w:t xml:space="preserve">emperatura (°C) y la salinidad con frecuencia temporal mínima </w:t>
      </w:r>
      <w:r w:rsidR="004E5559" w:rsidRPr="004068F6">
        <w:rPr>
          <w:rFonts w:cs="Arial"/>
        </w:rPr>
        <w:t>m</w:t>
      </w:r>
      <w:r w:rsidRPr="004068F6">
        <w:rPr>
          <w:rFonts w:cs="Arial"/>
        </w:rPr>
        <w:t>ensual</w:t>
      </w:r>
      <w:r w:rsidR="004E5559" w:rsidRPr="004068F6">
        <w:rPr>
          <w:rFonts w:cs="Arial"/>
        </w:rPr>
        <w:t>;</w:t>
      </w:r>
      <w:r w:rsidRPr="004068F6">
        <w:rPr>
          <w:rFonts w:cs="Arial"/>
        </w:rPr>
        <w:t xml:space="preserve"> se debe entregar la serie de tiempo completa y del ciclo anual,</w:t>
      </w:r>
      <w:r w:rsidR="00845D51" w:rsidRPr="004068F6">
        <w:rPr>
          <w:rFonts w:cs="Arial"/>
        </w:rPr>
        <w:t xml:space="preserve"> </w:t>
      </w:r>
      <w:r w:rsidRPr="004068F6">
        <w:rPr>
          <w:rFonts w:cs="Arial"/>
        </w:rPr>
        <w:t>promedios estacionales y perfiles mensuales climatológicos.</w:t>
      </w:r>
    </w:p>
    <w:p w14:paraId="06E55752" w14:textId="77777777" w:rsidR="009D132B" w:rsidRPr="004068F6" w:rsidRDefault="009D132B" w:rsidP="009D132B">
      <w:pPr>
        <w:overflowPunct/>
        <w:autoSpaceDE/>
        <w:autoSpaceDN/>
        <w:adjustRightInd/>
        <w:textAlignment w:val="auto"/>
        <w:rPr>
          <w:rFonts w:cs="Arial"/>
        </w:rPr>
      </w:pPr>
    </w:p>
    <w:p w14:paraId="27539D5D" w14:textId="2243E2A8" w:rsidR="009D132B" w:rsidRPr="004068F6" w:rsidRDefault="009D132B" w:rsidP="00486598">
      <w:pPr>
        <w:overflowPunct/>
        <w:autoSpaceDE/>
        <w:autoSpaceDN/>
        <w:adjustRightInd/>
        <w:textAlignment w:val="auto"/>
        <w:rPr>
          <w:rFonts w:cs="Arial"/>
        </w:rPr>
      </w:pPr>
      <w:r w:rsidRPr="004068F6">
        <w:rPr>
          <w:rFonts w:cs="Arial"/>
        </w:rPr>
        <w:t>El cálculo posterior de otras propiedades del agua de mar tales como densidad, velocidad del sonido, entre otras</w:t>
      </w:r>
      <w:r w:rsidR="004E5559" w:rsidRPr="004068F6">
        <w:rPr>
          <w:rFonts w:cs="Arial"/>
        </w:rPr>
        <w:t>,</w:t>
      </w:r>
      <w:r w:rsidRPr="004068F6">
        <w:rPr>
          <w:rFonts w:cs="Arial"/>
        </w:rPr>
        <w:t xml:space="preserve"> a partir de mediciones de temperatura y salinidad, debe realizarse mediante algoritmos computaciones</w:t>
      </w:r>
      <w:r w:rsidR="00845D51" w:rsidRPr="004068F6">
        <w:rPr>
          <w:rFonts w:cs="Arial"/>
        </w:rPr>
        <w:t>; para desarrollar este cálculo es posible emplear las orientaciones d</w:t>
      </w:r>
      <w:r w:rsidR="00486598" w:rsidRPr="004068F6">
        <w:rPr>
          <w:rFonts w:cs="Arial"/>
        </w:rPr>
        <w:t xml:space="preserve">el documento </w:t>
      </w:r>
      <w:r w:rsidR="008E0A8B" w:rsidRPr="004068F6">
        <w:rPr>
          <w:rFonts w:cs="Arial"/>
        </w:rPr>
        <w:t>“</w:t>
      </w:r>
      <w:r w:rsidR="00486598" w:rsidRPr="004068F6">
        <w:rPr>
          <w:rFonts w:cs="Arial"/>
        </w:rPr>
        <w:t>The international thermodynamic equation of seawater – 2010</w:t>
      </w:r>
      <w:r w:rsidR="008E0A8B" w:rsidRPr="004068F6">
        <w:rPr>
          <w:rFonts w:cs="Arial"/>
        </w:rPr>
        <w:t>”</w:t>
      </w:r>
      <w:r w:rsidR="00486598" w:rsidRPr="004068F6">
        <w:rPr>
          <w:rFonts w:cs="Arial"/>
        </w:rPr>
        <w:t xml:space="preserve"> de </w:t>
      </w:r>
      <w:r w:rsidR="009E0DFA" w:rsidRPr="004068F6">
        <w:rPr>
          <w:rFonts w:cs="Arial"/>
        </w:rPr>
        <w:t xml:space="preserve">IOC, </w:t>
      </w:r>
      <w:r w:rsidRPr="004068F6">
        <w:rPr>
          <w:rFonts w:cs="Arial"/>
        </w:rPr>
        <w:t>SCOR</w:t>
      </w:r>
      <w:r w:rsidR="009E0DFA" w:rsidRPr="004068F6">
        <w:rPr>
          <w:rFonts w:cs="Arial"/>
        </w:rPr>
        <w:t xml:space="preserve"> </w:t>
      </w:r>
      <w:r w:rsidR="008E0A8B" w:rsidRPr="004068F6">
        <w:rPr>
          <w:rFonts w:cs="Arial"/>
        </w:rPr>
        <w:t>&amp;</w:t>
      </w:r>
      <w:r w:rsidR="009E0DFA" w:rsidRPr="004068F6">
        <w:rPr>
          <w:rFonts w:cs="Arial"/>
        </w:rPr>
        <w:t xml:space="preserve"> IAPSO </w:t>
      </w:r>
      <w:r w:rsidR="004E5559" w:rsidRPr="004068F6">
        <w:rPr>
          <w:rFonts w:cs="Arial"/>
        </w:rPr>
        <w:t>(</w:t>
      </w:r>
      <w:r w:rsidRPr="004068F6">
        <w:rPr>
          <w:rFonts w:cs="Arial"/>
        </w:rPr>
        <w:t>2010).</w:t>
      </w:r>
      <w:r w:rsidR="00845D51" w:rsidRPr="004068F6">
        <w:rPr>
          <w:rFonts w:cs="Arial"/>
        </w:rPr>
        <w:t xml:space="preserve"> Es posible emplear otras alternativas siempre que cuenten con el respaldo bibliográfico y la validación científica de la Comisión Oceanográfica Intergubernamental.</w:t>
      </w:r>
    </w:p>
    <w:p w14:paraId="0015DDE0" w14:textId="77777777" w:rsidR="00556615" w:rsidRPr="004068F6" w:rsidRDefault="00556615" w:rsidP="009D132B">
      <w:pPr>
        <w:overflowPunct/>
        <w:autoSpaceDE/>
        <w:autoSpaceDN/>
        <w:adjustRightInd/>
        <w:textAlignment w:val="auto"/>
        <w:rPr>
          <w:rFonts w:cs="Arial"/>
        </w:rPr>
      </w:pPr>
    </w:p>
    <w:p w14:paraId="27516ED5" w14:textId="77777777" w:rsidR="009D132B" w:rsidRPr="004068F6" w:rsidRDefault="009D132B" w:rsidP="009420F5">
      <w:pPr>
        <w:pStyle w:val="Ttulo4"/>
        <w:tabs>
          <w:tab w:val="clear" w:pos="1844"/>
          <w:tab w:val="num" w:pos="1134"/>
        </w:tabs>
        <w:ind w:left="0"/>
        <w:rPr>
          <w:lang w:val="es-CO"/>
        </w:rPr>
      </w:pPr>
      <w:bookmarkStart w:id="2866" w:name="_Toc8487555"/>
      <w:bookmarkStart w:id="2867" w:name="_Toc17809434"/>
      <w:r w:rsidRPr="004068F6">
        <w:rPr>
          <w:lang w:val="es-CO"/>
        </w:rPr>
        <w:t>Transporte de partículas</w:t>
      </w:r>
      <w:bookmarkEnd w:id="2866"/>
      <w:bookmarkEnd w:id="2867"/>
    </w:p>
    <w:p w14:paraId="7A15A2B7" w14:textId="77777777" w:rsidR="009D132B" w:rsidRPr="004068F6" w:rsidRDefault="009D132B" w:rsidP="009D132B">
      <w:pPr>
        <w:overflowPunct/>
        <w:autoSpaceDE/>
        <w:autoSpaceDN/>
        <w:adjustRightInd/>
        <w:textAlignment w:val="auto"/>
        <w:rPr>
          <w:rFonts w:cs="Arial"/>
          <w:sz w:val="22"/>
          <w:szCs w:val="22"/>
        </w:rPr>
      </w:pPr>
    </w:p>
    <w:p w14:paraId="2B102F4F" w14:textId="215B13E9" w:rsidR="009D132B" w:rsidRPr="004068F6" w:rsidRDefault="009D132B" w:rsidP="009D132B">
      <w:pPr>
        <w:overflowPunct/>
        <w:autoSpaceDE/>
        <w:autoSpaceDN/>
        <w:adjustRightInd/>
        <w:textAlignment w:val="auto"/>
        <w:rPr>
          <w:rFonts w:cs="Arial"/>
        </w:rPr>
      </w:pPr>
      <w:r w:rsidRPr="004068F6">
        <w:rPr>
          <w:rFonts w:cs="Arial"/>
        </w:rPr>
        <w:t>Se debe realizar una descripción del transporte euleriano</w:t>
      </w:r>
      <w:r w:rsidR="00F809E0" w:rsidRPr="004068F6">
        <w:rPr>
          <w:rFonts w:cs="Arial"/>
        </w:rPr>
        <w:t xml:space="preserve"> o lagrangiano</w:t>
      </w:r>
      <w:r w:rsidRPr="004068F6">
        <w:rPr>
          <w:rFonts w:cs="Arial"/>
        </w:rPr>
        <w:t xml:space="preserve"> de partículas, las cuales pueden ser entendidas como contaminantes </w:t>
      </w:r>
      <w:r w:rsidR="004E5559" w:rsidRPr="004068F6">
        <w:rPr>
          <w:rFonts w:cs="Arial"/>
        </w:rPr>
        <w:t>(</w:t>
      </w:r>
      <w:r w:rsidRPr="004068F6">
        <w:rPr>
          <w:rFonts w:cs="Arial"/>
        </w:rPr>
        <w:t xml:space="preserve">desechos </w:t>
      </w:r>
      <w:r w:rsidRPr="004068F6">
        <w:rPr>
          <w:rFonts w:cs="Arial"/>
        </w:rPr>
        <w:lastRenderedPageBreak/>
        <w:t xml:space="preserve">industriales y domésticos, </w:t>
      </w:r>
      <w:r w:rsidR="00B254D2" w:rsidRPr="004068F6">
        <w:rPr>
          <w:rFonts w:cs="Arial"/>
        </w:rPr>
        <w:t xml:space="preserve">y </w:t>
      </w:r>
      <w:r w:rsidRPr="004068F6">
        <w:rPr>
          <w:rFonts w:cs="Arial"/>
        </w:rPr>
        <w:t>combustibles y aceites derramados, entre otros</w:t>
      </w:r>
      <w:r w:rsidR="004E5559" w:rsidRPr="004068F6">
        <w:rPr>
          <w:rFonts w:cs="Arial"/>
        </w:rPr>
        <w:t>)</w:t>
      </w:r>
      <w:r w:rsidR="00845D51" w:rsidRPr="004068F6">
        <w:rPr>
          <w:rFonts w:cs="Arial"/>
        </w:rPr>
        <w:t>, de acuerdo con las características del proyecto, obra o actividad</w:t>
      </w:r>
      <w:r w:rsidRPr="004068F6">
        <w:rPr>
          <w:rFonts w:cs="Arial"/>
        </w:rPr>
        <w:t>.</w:t>
      </w:r>
    </w:p>
    <w:p w14:paraId="26F3A1AC" w14:textId="77777777" w:rsidR="009D132B" w:rsidRPr="004068F6" w:rsidRDefault="009D132B" w:rsidP="009D132B">
      <w:pPr>
        <w:overflowPunct/>
        <w:autoSpaceDE/>
        <w:autoSpaceDN/>
        <w:adjustRightInd/>
        <w:textAlignment w:val="auto"/>
        <w:rPr>
          <w:rFonts w:cs="Arial"/>
        </w:rPr>
      </w:pPr>
    </w:p>
    <w:p w14:paraId="6B8E1142" w14:textId="7FDDE4E0" w:rsidR="009D132B" w:rsidRPr="004068F6" w:rsidRDefault="009D132B" w:rsidP="009D132B">
      <w:pPr>
        <w:overflowPunct/>
        <w:autoSpaceDE/>
        <w:autoSpaceDN/>
        <w:adjustRightInd/>
        <w:textAlignment w:val="auto"/>
        <w:rPr>
          <w:rFonts w:cs="Arial"/>
        </w:rPr>
      </w:pPr>
      <w:r w:rsidRPr="004068F6">
        <w:rPr>
          <w:rFonts w:cs="Arial"/>
        </w:rPr>
        <w:t xml:space="preserve">Para </w:t>
      </w:r>
      <w:r w:rsidR="00B254D2" w:rsidRPr="004068F6">
        <w:rPr>
          <w:rFonts w:cs="Arial"/>
        </w:rPr>
        <w:t xml:space="preserve">caracterizar </w:t>
      </w:r>
      <w:r w:rsidRPr="004068F6">
        <w:rPr>
          <w:rFonts w:cs="Arial"/>
        </w:rPr>
        <w:t xml:space="preserve">esta variable física se deben usar modelos numéricos que puedan simular adecuadamente diferentes escenarios climáticos en </w:t>
      </w:r>
      <w:r w:rsidR="00B45CC2" w:rsidRPr="004068F6">
        <w:rPr>
          <w:rFonts w:cs="Arial"/>
        </w:rPr>
        <w:t>áreas marinas y costeras</w:t>
      </w:r>
      <w:r w:rsidRPr="004068F6">
        <w:rPr>
          <w:rFonts w:cs="Arial"/>
        </w:rPr>
        <w:t xml:space="preserve">. El objetivo de las simulaciones computacionales del destino y trayectoria de contaminantes en el agua de mar </w:t>
      </w:r>
      <w:r w:rsidR="00845D51" w:rsidRPr="004068F6">
        <w:rPr>
          <w:rFonts w:cs="Arial"/>
        </w:rPr>
        <w:t xml:space="preserve">o sobre el fondo marino </w:t>
      </w:r>
      <w:r w:rsidRPr="004068F6">
        <w:rPr>
          <w:rFonts w:cs="Arial"/>
        </w:rPr>
        <w:t>es la estimación de los caminos que toma</w:t>
      </w:r>
      <w:r w:rsidR="00B254D2" w:rsidRPr="004068F6">
        <w:rPr>
          <w:rFonts w:cs="Arial"/>
        </w:rPr>
        <w:t>n</w:t>
      </w:r>
      <w:r w:rsidRPr="004068F6">
        <w:rPr>
          <w:rFonts w:cs="Arial"/>
        </w:rPr>
        <w:t xml:space="preserve">, </w:t>
      </w:r>
      <w:r w:rsidR="00B254D2" w:rsidRPr="004068F6">
        <w:rPr>
          <w:rFonts w:cs="Arial"/>
        </w:rPr>
        <w:t xml:space="preserve">de los </w:t>
      </w:r>
      <w:r w:rsidRPr="004068F6">
        <w:rPr>
          <w:rFonts w:cs="Arial"/>
        </w:rPr>
        <w:t xml:space="preserve">tiempos de viaje </w:t>
      </w:r>
      <w:r w:rsidR="00B254D2" w:rsidRPr="004068F6">
        <w:rPr>
          <w:rFonts w:cs="Arial"/>
        </w:rPr>
        <w:t>y</w:t>
      </w:r>
      <w:r w:rsidR="00845D51" w:rsidRPr="004068F6">
        <w:rPr>
          <w:rFonts w:cs="Arial"/>
        </w:rPr>
        <w:t>/o</w:t>
      </w:r>
      <w:r w:rsidR="00B254D2" w:rsidRPr="004068F6">
        <w:rPr>
          <w:rFonts w:cs="Arial"/>
        </w:rPr>
        <w:t xml:space="preserve"> de la </w:t>
      </w:r>
      <w:r w:rsidRPr="004068F6">
        <w:rPr>
          <w:rFonts w:cs="Arial"/>
        </w:rPr>
        <w:t xml:space="preserve">distribución espacial según las condiciones predominantes en las distintas épocas climáticas del año. </w:t>
      </w:r>
      <w:r w:rsidR="00845D51" w:rsidRPr="004068F6">
        <w:rPr>
          <w:rFonts w:cs="Arial"/>
        </w:rPr>
        <w:t>Si así lo ameritan el tipo de descarga, su profundidad y su ubicación con respecto a la costa, e</w:t>
      </w:r>
      <w:r w:rsidRPr="004068F6">
        <w:rPr>
          <w:rFonts w:cs="Arial"/>
        </w:rPr>
        <w:t xml:space="preserve">l modelo seleccionado </w:t>
      </w:r>
      <w:r w:rsidR="00103345" w:rsidRPr="004068F6">
        <w:rPr>
          <w:rFonts w:cs="Arial"/>
        </w:rPr>
        <w:t>debe</w:t>
      </w:r>
      <w:r w:rsidRPr="004068F6">
        <w:rPr>
          <w:rFonts w:cs="Arial"/>
        </w:rPr>
        <w:t xml:space="preserve"> poder representar </w:t>
      </w:r>
      <w:r w:rsidR="00845D51" w:rsidRPr="004068F6">
        <w:rPr>
          <w:rFonts w:cs="Arial"/>
        </w:rPr>
        <w:t xml:space="preserve">diferentes </w:t>
      </w:r>
      <w:r w:rsidRPr="004068F6">
        <w:rPr>
          <w:rFonts w:cs="Arial"/>
        </w:rPr>
        <w:t>condiciones ambientales tales como diferentes rangos de marea</w:t>
      </w:r>
      <w:r w:rsidR="001B09EE" w:rsidRPr="004068F6">
        <w:rPr>
          <w:rFonts w:cs="Arial"/>
        </w:rPr>
        <w:t xml:space="preserve"> en la región, clima de oleaje</w:t>
      </w:r>
      <w:r w:rsidRPr="004068F6">
        <w:rPr>
          <w:rFonts w:cs="Arial"/>
        </w:rPr>
        <w:t>, intensidades y direcciones de las corrientes y condiciones de viento predominantes y extremas.</w:t>
      </w:r>
    </w:p>
    <w:p w14:paraId="4438FFA5" w14:textId="619AA9BE" w:rsidR="009D132B" w:rsidRPr="004068F6" w:rsidRDefault="009D132B" w:rsidP="009D132B">
      <w:pPr>
        <w:overflowPunct/>
        <w:autoSpaceDE/>
        <w:autoSpaceDN/>
        <w:adjustRightInd/>
        <w:textAlignment w:val="auto"/>
        <w:rPr>
          <w:rFonts w:cs="Arial"/>
        </w:rPr>
      </w:pPr>
    </w:p>
    <w:p w14:paraId="59B441B8" w14:textId="3453F0CA" w:rsidR="009D132B" w:rsidRPr="004068F6" w:rsidRDefault="00845D51" w:rsidP="009D132B">
      <w:pPr>
        <w:overflowPunct/>
        <w:autoSpaceDE/>
        <w:autoSpaceDN/>
        <w:adjustRightInd/>
        <w:textAlignment w:val="auto"/>
        <w:rPr>
          <w:rFonts w:cs="Arial"/>
        </w:rPr>
      </w:pPr>
      <w:r w:rsidRPr="004068F6">
        <w:rPr>
          <w:rFonts w:cs="Arial"/>
        </w:rPr>
        <w:t>De acuerdo con el tipo de proyecto, obras o actividad, e</w:t>
      </w:r>
      <w:r w:rsidR="009D132B" w:rsidRPr="004068F6">
        <w:rPr>
          <w:rFonts w:cs="Arial"/>
        </w:rPr>
        <w:t>l modelo debe calcular y registrar la distribución en las tres dimensiones físicas (latitud, longitud y profundidad) más el tiempo que un contaminante se mantiene en la superficie del agua a lo largo de la costa, en la columna de agua y en los sedimentos</w:t>
      </w:r>
      <w:r w:rsidR="004738C6" w:rsidRPr="004068F6">
        <w:rPr>
          <w:rFonts w:cs="Arial"/>
        </w:rPr>
        <w:t xml:space="preserve">, </w:t>
      </w:r>
      <w:r w:rsidR="009D132B" w:rsidRPr="004068F6">
        <w:rPr>
          <w:rFonts w:cs="Arial"/>
        </w:rPr>
        <w:t>model</w:t>
      </w:r>
      <w:r w:rsidR="00C74BBB" w:rsidRPr="004068F6">
        <w:rPr>
          <w:rFonts w:cs="Arial"/>
        </w:rPr>
        <w:t>iz</w:t>
      </w:r>
      <w:r w:rsidR="009D132B" w:rsidRPr="004068F6">
        <w:rPr>
          <w:rFonts w:cs="Arial"/>
        </w:rPr>
        <w:t>a</w:t>
      </w:r>
      <w:r w:rsidR="004738C6" w:rsidRPr="004068F6">
        <w:rPr>
          <w:rFonts w:cs="Arial"/>
        </w:rPr>
        <w:t>ndo</w:t>
      </w:r>
      <w:r w:rsidR="009D132B" w:rsidRPr="004068F6">
        <w:rPr>
          <w:rFonts w:cs="Arial"/>
        </w:rPr>
        <w:t xml:space="preserve"> la superficie del mar, un nivel intermedio y las aguas del fondo</w:t>
      </w:r>
      <w:r w:rsidR="004738C6" w:rsidRPr="004068F6">
        <w:rPr>
          <w:rStyle w:val="Refdenotaalpie"/>
          <w:rFonts w:cs="Arial"/>
          <w:lang w:val="es-CO"/>
        </w:rPr>
        <w:footnoteReference w:id="139"/>
      </w:r>
      <w:r w:rsidR="009D132B" w:rsidRPr="004068F6">
        <w:rPr>
          <w:rFonts w:cs="Arial"/>
        </w:rPr>
        <w:t xml:space="preserve">. </w:t>
      </w:r>
      <w:r w:rsidRPr="004068F6">
        <w:rPr>
          <w:rFonts w:cs="Arial"/>
        </w:rPr>
        <w:t xml:space="preserve">Si es aplicable, se debe modelizar el depósito de contaminantes en los sedimentos del fondo marino. </w:t>
      </w:r>
      <w:r w:rsidR="009D132B" w:rsidRPr="004068F6">
        <w:rPr>
          <w:rFonts w:cs="Arial"/>
        </w:rPr>
        <w:t xml:space="preserve">La resolución del modelo </w:t>
      </w:r>
      <w:r w:rsidR="00103345" w:rsidRPr="004068F6">
        <w:rPr>
          <w:rFonts w:cs="Arial"/>
        </w:rPr>
        <w:t>debe</w:t>
      </w:r>
      <w:r w:rsidR="009D132B" w:rsidRPr="004068F6">
        <w:rPr>
          <w:rFonts w:cs="Arial"/>
        </w:rPr>
        <w:t xml:space="preserve"> estar </w:t>
      </w:r>
      <w:r w:rsidR="00B45CC2" w:rsidRPr="004068F6">
        <w:rPr>
          <w:rFonts w:cs="Arial"/>
        </w:rPr>
        <w:t xml:space="preserve">en función del proceso oceanográfico o costero que se quiera estudiar </w:t>
      </w:r>
      <w:r w:rsidR="009D132B" w:rsidRPr="004068F6">
        <w:rPr>
          <w:rFonts w:cs="Arial"/>
        </w:rPr>
        <w:t xml:space="preserve">y debe reflejar las condiciones metoceánicas </w:t>
      </w:r>
      <w:r w:rsidR="001B09EE" w:rsidRPr="004068F6">
        <w:rPr>
          <w:rFonts w:cs="Arial"/>
        </w:rPr>
        <w:t>de la zona estudiada</w:t>
      </w:r>
      <w:r w:rsidR="009D132B" w:rsidRPr="004068F6">
        <w:rPr>
          <w:rFonts w:cs="Arial"/>
        </w:rPr>
        <w:t>.</w:t>
      </w:r>
    </w:p>
    <w:p w14:paraId="734A1572" w14:textId="77777777" w:rsidR="009D132B" w:rsidRPr="004068F6" w:rsidRDefault="009D132B" w:rsidP="009D132B">
      <w:pPr>
        <w:overflowPunct/>
        <w:autoSpaceDE/>
        <w:autoSpaceDN/>
        <w:adjustRightInd/>
        <w:textAlignment w:val="auto"/>
        <w:rPr>
          <w:rFonts w:cs="Arial"/>
        </w:rPr>
      </w:pPr>
    </w:p>
    <w:p w14:paraId="7C259BF0" w14:textId="1349531F" w:rsidR="009D132B" w:rsidRPr="004068F6" w:rsidRDefault="009D132B" w:rsidP="009D132B">
      <w:pPr>
        <w:overflowPunct/>
        <w:autoSpaceDE/>
        <w:autoSpaceDN/>
        <w:adjustRightInd/>
        <w:textAlignment w:val="auto"/>
        <w:rPr>
          <w:rFonts w:cs="Arial"/>
        </w:rPr>
      </w:pPr>
      <w:r w:rsidRPr="004068F6">
        <w:rPr>
          <w:rFonts w:cs="Arial"/>
        </w:rPr>
        <w:t>Es importante documentar la calidad de los datos de entrada utilizados para dar contexto y confiabilidad a las simulaciones generadas. Los modelos deben ser calibrados y validados para la zona de estudio mediante información primaria</w:t>
      </w:r>
      <w:r w:rsidR="00477FAE" w:rsidRPr="004068F6">
        <w:rPr>
          <w:rFonts w:cs="Arial"/>
        </w:rPr>
        <w:t xml:space="preserve"> y/o bases de datos de entidades oficiales.</w:t>
      </w:r>
      <w:r w:rsidRPr="004068F6">
        <w:rPr>
          <w:rFonts w:cs="Arial"/>
        </w:rPr>
        <w:t xml:space="preserve"> La calidad de las simulaciones depende de la calidad de los datos de entrada y de los datos utilizados para la calibración.</w:t>
      </w:r>
    </w:p>
    <w:p w14:paraId="49DC4B2F" w14:textId="77777777" w:rsidR="009D132B" w:rsidRPr="004068F6" w:rsidRDefault="009D132B" w:rsidP="009D132B">
      <w:pPr>
        <w:overflowPunct/>
        <w:autoSpaceDE/>
        <w:autoSpaceDN/>
        <w:adjustRightInd/>
        <w:textAlignment w:val="auto"/>
        <w:rPr>
          <w:rFonts w:cs="Arial"/>
        </w:rPr>
      </w:pPr>
    </w:p>
    <w:p w14:paraId="233D33CD" w14:textId="7F0688A7" w:rsidR="009D132B" w:rsidRPr="004068F6" w:rsidRDefault="009D132B" w:rsidP="009D132B">
      <w:pPr>
        <w:tabs>
          <w:tab w:val="left" w:pos="-2268"/>
        </w:tabs>
        <w:suppressAutoHyphens/>
        <w:rPr>
          <w:rFonts w:cs="Arial"/>
        </w:rPr>
      </w:pPr>
      <w:r w:rsidRPr="004068F6">
        <w:rPr>
          <w:rFonts w:cs="Arial"/>
        </w:rPr>
        <w:t>Los modelos descriptivos</w:t>
      </w:r>
      <w:r w:rsidR="00AE6BF8" w:rsidRPr="004068F6">
        <w:rPr>
          <w:rFonts w:cs="Arial"/>
        </w:rPr>
        <w:t xml:space="preserve"> deben</w:t>
      </w:r>
      <w:r w:rsidRPr="004068F6">
        <w:rPr>
          <w:rFonts w:cs="Arial"/>
        </w:rPr>
        <w:t xml:space="preserve"> </w:t>
      </w:r>
      <w:r w:rsidR="00AE6BF8" w:rsidRPr="004068F6">
        <w:rPr>
          <w:rFonts w:cs="Arial"/>
        </w:rPr>
        <w:t>ajustarse a las características particulares del proyecto, obra o actividad</w:t>
      </w:r>
      <w:r w:rsidRPr="004068F6">
        <w:rPr>
          <w:rFonts w:cs="Arial"/>
        </w:rPr>
        <w:t>.</w:t>
      </w:r>
    </w:p>
    <w:p w14:paraId="70B3AC5E" w14:textId="77777777" w:rsidR="006B58CA" w:rsidRPr="004068F6" w:rsidRDefault="006B58CA" w:rsidP="009D132B">
      <w:pPr>
        <w:tabs>
          <w:tab w:val="left" w:pos="-2268"/>
        </w:tabs>
        <w:suppressAutoHyphens/>
        <w:rPr>
          <w:rFonts w:cs="Arial"/>
        </w:rPr>
      </w:pPr>
    </w:p>
    <w:p w14:paraId="6D611713" w14:textId="77777777" w:rsidR="006B58CA" w:rsidRPr="004068F6" w:rsidRDefault="006B58CA" w:rsidP="009420F5">
      <w:pPr>
        <w:pStyle w:val="Ttulo4"/>
        <w:tabs>
          <w:tab w:val="clear" w:pos="1844"/>
          <w:tab w:val="num" w:pos="1134"/>
        </w:tabs>
        <w:ind w:left="1134" w:hanging="1134"/>
        <w:rPr>
          <w:lang w:val="es-CO"/>
        </w:rPr>
      </w:pPr>
      <w:r w:rsidRPr="004068F6">
        <w:rPr>
          <w:lang w:val="es-CO"/>
        </w:rPr>
        <w:t>Dinámica de sedimentos y morfodinámica</w:t>
      </w:r>
    </w:p>
    <w:p w14:paraId="40BF2D96" w14:textId="77777777" w:rsidR="006B58CA" w:rsidRPr="004068F6" w:rsidRDefault="006B58CA" w:rsidP="006B58CA"/>
    <w:p w14:paraId="0144ACBC" w14:textId="0944F3D0" w:rsidR="006B58CA" w:rsidRPr="004068F6" w:rsidRDefault="006B58CA" w:rsidP="006B58CA">
      <w:r w:rsidRPr="004068F6">
        <w:t xml:space="preserve">Para </w:t>
      </w:r>
      <w:r w:rsidR="00B254D2" w:rsidRPr="004068F6">
        <w:t>su caracterización</w:t>
      </w:r>
      <w:r w:rsidRPr="004068F6">
        <w:t>, se debe</w:t>
      </w:r>
      <w:r w:rsidR="00B254D2" w:rsidRPr="004068F6">
        <w:t xml:space="preserve">n ejecutar </w:t>
      </w:r>
      <w:r w:rsidRPr="004068F6">
        <w:t>la</w:t>
      </w:r>
      <w:r w:rsidR="00B254D2" w:rsidRPr="004068F6">
        <w:t>s</w:t>
      </w:r>
      <w:r w:rsidRPr="004068F6">
        <w:t xml:space="preserve"> siguiente</w:t>
      </w:r>
      <w:r w:rsidR="00B254D2" w:rsidRPr="004068F6">
        <w:t>s</w:t>
      </w:r>
      <w:r w:rsidRPr="004068F6">
        <w:t xml:space="preserve"> </w:t>
      </w:r>
      <w:r w:rsidR="00B254D2" w:rsidRPr="004068F6">
        <w:t>acciones</w:t>
      </w:r>
      <w:r w:rsidRPr="004068F6">
        <w:t>:</w:t>
      </w:r>
    </w:p>
    <w:p w14:paraId="42A36896" w14:textId="77777777" w:rsidR="006B58CA" w:rsidRPr="004068F6" w:rsidRDefault="006B58CA" w:rsidP="006B58CA">
      <w:pPr>
        <w:numPr>
          <w:ilvl w:val="12"/>
          <w:numId w:val="0"/>
        </w:numPr>
        <w:tabs>
          <w:tab w:val="left" w:pos="-2268"/>
        </w:tabs>
        <w:suppressAutoHyphens/>
        <w:rPr>
          <w:spacing w:val="-3"/>
        </w:rPr>
      </w:pPr>
    </w:p>
    <w:p w14:paraId="11F0167E" w14:textId="287A07AF" w:rsidR="006B58CA" w:rsidRPr="004068F6" w:rsidRDefault="00B254D2" w:rsidP="009420F5">
      <w:pPr>
        <w:pStyle w:val="Prrafodelista"/>
        <w:numPr>
          <w:ilvl w:val="0"/>
          <w:numId w:val="117"/>
        </w:numPr>
        <w:ind w:left="567" w:hanging="567"/>
        <w:rPr>
          <w:rFonts w:cs="Arial"/>
          <w:lang w:val="es-CO"/>
        </w:rPr>
      </w:pPr>
      <w:r w:rsidRPr="004068F6">
        <w:rPr>
          <w:rFonts w:cs="Arial"/>
          <w:lang w:val="es-CO"/>
        </w:rPr>
        <w:t>R</w:t>
      </w:r>
      <w:r w:rsidR="006B58CA" w:rsidRPr="004068F6">
        <w:rPr>
          <w:rFonts w:cs="Arial"/>
          <w:lang w:val="es-CO"/>
        </w:rPr>
        <w:t xml:space="preserve">ealizar </w:t>
      </w:r>
      <w:r w:rsidRPr="004068F6">
        <w:rPr>
          <w:rFonts w:cs="Arial"/>
          <w:lang w:val="es-CO"/>
        </w:rPr>
        <w:t xml:space="preserve">la </w:t>
      </w:r>
      <w:r w:rsidR="006B58CA" w:rsidRPr="004068F6">
        <w:rPr>
          <w:rFonts w:cs="Arial"/>
          <w:lang w:val="es-CO"/>
        </w:rPr>
        <w:t>toma de muestra</w:t>
      </w:r>
      <w:r w:rsidRPr="004068F6">
        <w:rPr>
          <w:rFonts w:cs="Arial"/>
          <w:lang w:val="es-CO"/>
        </w:rPr>
        <w:t>s</w:t>
      </w:r>
      <w:r w:rsidR="006B58CA" w:rsidRPr="004068F6">
        <w:rPr>
          <w:rFonts w:cs="Arial"/>
          <w:lang w:val="es-CO"/>
        </w:rPr>
        <w:t xml:space="preserve"> y </w:t>
      </w:r>
      <w:r w:rsidRPr="004068F6">
        <w:rPr>
          <w:rFonts w:cs="Arial"/>
          <w:lang w:val="es-CO"/>
        </w:rPr>
        <w:t xml:space="preserve">los </w:t>
      </w:r>
      <w:r w:rsidR="006B58CA" w:rsidRPr="004068F6">
        <w:rPr>
          <w:rFonts w:cs="Arial"/>
          <w:lang w:val="es-CO"/>
        </w:rPr>
        <w:t>análisis granulométricos de s</w:t>
      </w:r>
      <w:r w:rsidRPr="004068F6">
        <w:rPr>
          <w:rFonts w:cs="Arial"/>
          <w:lang w:val="es-CO"/>
        </w:rPr>
        <w:t>edimentos para la franja litoral.</w:t>
      </w:r>
    </w:p>
    <w:p w14:paraId="429B901A" w14:textId="77777777" w:rsidR="006B58CA" w:rsidRPr="004068F6" w:rsidRDefault="006B58CA" w:rsidP="009420F5">
      <w:pPr>
        <w:rPr>
          <w:rFonts w:cs="Arial"/>
        </w:rPr>
      </w:pPr>
    </w:p>
    <w:p w14:paraId="64F4155A" w14:textId="6C857FB1" w:rsidR="006B58CA" w:rsidRPr="004068F6" w:rsidRDefault="006B58CA" w:rsidP="009420F5">
      <w:pPr>
        <w:pStyle w:val="Prrafodelista"/>
        <w:numPr>
          <w:ilvl w:val="0"/>
          <w:numId w:val="117"/>
        </w:numPr>
        <w:ind w:left="567" w:hanging="567"/>
        <w:rPr>
          <w:rFonts w:cs="Arial"/>
          <w:lang w:val="es-CO"/>
        </w:rPr>
      </w:pPr>
      <w:r w:rsidRPr="004068F6">
        <w:rPr>
          <w:rFonts w:cs="Arial"/>
          <w:lang w:val="es-CO"/>
        </w:rPr>
        <w:t>Realizar el análisis del transporte de sedimentos en corto plazo en escenarios de condiciones medias y de temporales.</w:t>
      </w:r>
    </w:p>
    <w:p w14:paraId="02E40AB8" w14:textId="77777777" w:rsidR="006B58CA" w:rsidRPr="004068F6" w:rsidRDefault="006B58CA" w:rsidP="009420F5">
      <w:pPr>
        <w:rPr>
          <w:rFonts w:cs="Arial"/>
        </w:rPr>
      </w:pPr>
    </w:p>
    <w:p w14:paraId="017BF357" w14:textId="2445ED5B" w:rsidR="006B58CA" w:rsidRPr="004068F6" w:rsidRDefault="00B254D2" w:rsidP="009420F5">
      <w:pPr>
        <w:pStyle w:val="Prrafodelista"/>
        <w:numPr>
          <w:ilvl w:val="0"/>
          <w:numId w:val="117"/>
        </w:numPr>
        <w:ind w:left="567" w:hanging="567"/>
        <w:rPr>
          <w:rFonts w:cs="Arial"/>
          <w:lang w:val="es-CO"/>
        </w:rPr>
      </w:pPr>
      <w:r w:rsidRPr="004068F6">
        <w:rPr>
          <w:rFonts w:cs="Arial"/>
          <w:lang w:val="es-CO"/>
        </w:rPr>
        <w:t>I</w:t>
      </w:r>
      <w:r w:rsidR="006B58CA" w:rsidRPr="004068F6">
        <w:rPr>
          <w:rFonts w:cs="Arial"/>
          <w:lang w:val="es-CO"/>
        </w:rPr>
        <w:t xml:space="preserve">ncluir un análisis multitemporal de la línea de costa para </w:t>
      </w:r>
      <w:r w:rsidR="00F15ABD" w:rsidRPr="004068F6">
        <w:rPr>
          <w:rFonts w:cs="Arial"/>
          <w:lang w:val="es-CO"/>
        </w:rPr>
        <w:t>establ</w:t>
      </w:r>
      <w:r w:rsidR="003B6893" w:rsidRPr="004068F6">
        <w:rPr>
          <w:rFonts w:cs="Arial"/>
          <w:lang w:val="es-CO"/>
        </w:rPr>
        <w:t>e</w:t>
      </w:r>
      <w:r w:rsidR="00F15ABD" w:rsidRPr="004068F6">
        <w:rPr>
          <w:rFonts w:cs="Arial"/>
          <w:lang w:val="es-CO"/>
        </w:rPr>
        <w:t xml:space="preserve">cer </w:t>
      </w:r>
      <w:r w:rsidR="006B58CA" w:rsidRPr="004068F6">
        <w:rPr>
          <w:rFonts w:cs="Arial"/>
          <w:lang w:val="es-CO"/>
        </w:rPr>
        <w:t xml:space="preserve">zonas de erosión y sedimentación en la franja costera, tasas de erosión/sedimentación y tendencias de la línea de costa. </w:t>
      </w:r>
    </w:p>
    <w:p w14:paraId="0B32F075" w14:textId="77777777" w:rsidR="006B58CA" w:rsidRPr="004068F6" w:rsidRDefault="006B58CA" w:rsidP="009420F5">
      <w:pPr>
        <w:rPr>
          <w:rFonts w:cs="Arial"/>
        </w:rPr>
      </w:pPr>
    </w:p>
    <w:p w14:paraId="3C3F642F" w14:textId="57D0F48E" w:rsidR="006B58CA" w:rsidRPr="004068F6" w:rsidRDefault="00B254D2" w:rsidP="009420F5">
      <w:pPr>
        <w:pStyle w:val="Prrafodelista"/>
        <w:numPr>
          <w:ilvl w:val="0"/>
          <w:numId w:val="117"/>
        </w:numPr>
        <w:ind w:left="567" w:hanging="567"/>
        <w:rPr>
          <w:rFonts w:cs="Arial"/>
          <w:lang w:val="es-CO"/>
        </w:rPr>
      </w:pPr>
      <w:r w:rsidRPr="004068F6">
        <w:rPr>
          <w:rFonts w:cs="Arial"/>
          <w:lang w:val="es-CO"/>
        </w:rPr>
        <w:t xml:space="preserve">Desarrollar un análisis de </w:t>
      </w:r>
      <w:r w:rsidR="006B58CA" w:rsidRPr="004068F6">
        <w:rPr>
          <w:rFonts w:cs="Arial"/>
          <w:lang w:val="es-CO"/>
        </w:rPr>
        <w:t>largo plazo</w:t>
      </w:r>
      <w:r w:rsidRPr="004068F6">
        <w:rPr>
          <w:rFonts w:cs="Arial"/>
          <w:lang w:val="es-CO"/>
        </w:rPr>
        <w:t>,</w:t>
      </w:r>
      <w:r w:rsidR="006B58CA" w:rsidRPr="004068F6">
        <w:rPr>
          <w:rFonts w:cs="Arial"/>
          <w:lang w:val="es-CO"/>
        </w:rPr>
        <w:t xml:space="preserve"> a partir del perfil de equilibrio y planta de equilibrio, que permit</w:t>
      </w:r>
      <w:r w:rsidRPr="004068F6">
        <w:rPr>
          <w:rFonts w:cs="Arial"/>
          <w:lang w:val="es-CO"/>
        </w:rPr>
        <w:t>a</w:t>
      </w:r>
      <w:r w:rsidR="006B58CA" w:rsidRPr="004068F6">
        <w:rPr>
          <w:rFonts w:cs="Arial"/>
          <w:lang w:val="es-CO"/>
        </w:rPr>
        <w:t xml:space="preserve"> establecer si el sector de costa de interés se encuentra en equilibrio o no</w:t>
      </w:r>
      <w:r w:rsidRPr="004068F6">
        <w:rPr>
          <w:rFonts w:cs="Arial"/>
          <w:lang w:val="es-CO"/>
        </w:rPr>
        <w:t>,</w:t>
      </w:r>
      <w:r w:rsidR="006B58CA" w:rsidRPr="004068F6">
        <w:rPr>
          <w:rFonts w:cs="Arial"/>
          <w:lang w:val="es-CO"/>
        </w:rPr>
        <w:t xml:space="preserve"> y hacia futuro permitirá evaluar diferentes alternativas de relleno, si fuera necesario.</w:t>
      </w:r>
    </w:p>
    <w:p w14:paraId="66F321D1" w14:textId="77777777" w:rsidR="006B58CA" w:rsidRPr="004068F6" w:rsidRDefault="006B58CA" w:rsidP="009420F5">
      <w:pPr>
        <w:rPr>
          <w:rFonts w:cs="Arial"/>
        </w:rPr>
      </w:pPr>
    </w:p>
    <w:p w14:paraId="18652A91" w14:textId="60A2101A" w:rsidR="006B58CA" w:rsidRPr="004068F6" w:rsidRDefault="00B254D2" w:rsidP="009420F5">
      <w:pPr>
        <w:pStyle w:val="Prrafodelista"/>
        <w:numPr>
          <w:ilvl w:val="0"/>
          <w:numId w:val="117"/>
        </w:numPr>
        <w:ind w:left="567" w:hanging="567"/>
        <w:rPr>
          <w:rFonts w:cs="Arial"/>
          <w:lang w:val="es-CO"/>
        </w:rPr>
      </w:pPr>
      <w:r w:rsidRPr="004068F6">
        <w:rPr>
          <w:rFonts w:cs="Arial"/>
          <w:lang w:val="es-CO"/>
        </w:rPr>
        <w:t>R</w:t>
      </w:r>
      <w:r w:rsidR="006B58CA" w:rsidRPr="004068F6">
        <w:rPr>
          <w:rFonts w:cs="Arial"/>
          <w:lang w:val="es-CO"/>
        </w:rPr>
        <w:t xml:space="preserve">ealizar </w:t>
      </w:r>
      <w:r w:rsidRPr="004068F6">
        <w:rPr>
          <w:rFonts w:cs="Arial"/>
          <w:lang w:val="es-CO"/>
        </w:rPr>
        <w:t>las model</w:t>
      </w:r>
      <w:r w:rsidR="00C74BBB" w:rsidRPr="004068F6">
        <w:rPr>
          <w:rFonts w:cs="Arial"/>
          <w:lang w:val="es-CO"/>
        </w:rPr>
        <w:t>iz</w:t>
      </w:r>
      <w:r w:rsidRPr="004068F6">
        <w:rPr>
          <w:rFonts w:cs="Arial"/>
          <w:lang w:val="es-CO"/>
        </w:rPr>
        <w:t xml:space="preserve">aciones de transporte de sedimentos </w:t>
      </w:r>
      <w:r w:rsidR="006B58CA" w:rsidRPr="004068F6">
        <w:rPr>
          <w:rFonts w:cs="Arial"/>
          <w:lang w:val="es-CO"/>
        </w:rPr>
        <w:t>para las condiciones actuales, etapa de diagnóstico, y para cada uno de los escenarios o alternativas de obras propuestos que puedan modificar los patrones de erosión/sedimentación en la franja costera.</w:t>
      </w:r>
    </w:p>
    <w:p w14:paraId="7DF8FE42" w14:textId="3C1B1A52" w:rsidR="00380C46" w:rsidRPr="004068F6" w:rsidRDefault="00380C46" w:rsidP="00C86DA5">
      <w:pPr>
        <w:numPr>
          <w:ilvl w:val="12"/>
          <w:numId w:val="0"/>
        </w:numPr>
        <w:tabs>
          <w:tab w:val="left" w:pos="-2268"/>
        </w:tabs>
        <w:suppressAutoHyphens/>
        <w:rPr>
          <w:spacing w:val="-3"/>
        </w:rPr>
      </w:pPr>
      <w:bookmarkStart w:id="2868" w:name="_Hlk78275643"/>
    </w:p>
    <w:p w14:paraId="543F326C" w14:textId="77777777" w:rsidR="009D132B" w:rsidRPr="00466E26" w:rsidRDefault="009D132B" w:rsidP="000A1E20">
      <w:pPr>
        <w:pStyle w:val="Ttulo3"/>
      </w:pPr>
      <w:bookmarkStart w:id="2869" w:name="_Toc412812767"/>
      <w:bookmarkStart w:id="2870" w:name="_Toc437936024"/>
      <w:bookmarkStart w:id="2871" w:name="_Toc42764349"/>
      <w:bookmarkStart w:id="2872" w:name="_Toc230879656"/>
      <w:r w:rsidRPr="00466E26">
        <w:t>Atmosférico</w:t>
      </w:r>
      <w:bookmarkEnd w:id="2869"/>
      <w:bookmarkEnd w:id="2870"/>
      <w:bookmarkEnd w:id="2871"/>
      <w:bookmarkEnd w:id="2872"/>
    </w:p>
    <w:p w14:paraId="177E2A3C" w14:textId="77777777" w:rsidR="009D132B" w:rsidRPr="004068F6" w:rsidRDefault="009D132B">
      <w:pPr>
        <w:numPr>
          <w:ilvl w:val="12"/>
          <w:numId w:val="0"/>
        </w:numPr>
        <w:tabs>
          <w:tab w:val="left" w:pos="-2268"/>
        </w:tabs>
        <w:suppressAutoHyphens/>
        <w:rPr>
          <w:spacing w:val="-3"/>
        </w:rPr>
      </w:pPr>
    </w:p>
    <w:p w14:paraId="5B071B0B" w14:textId="125C8A4B" w:rsidR="009D132B" w:rsidRPr="004068F6" w:rsidRDefault="00995859">
      <w:pPr>
        <w:numPr>
          <w:ilvl w:val="12"/>
          <w:numId w:val="0"/>
        </w:numPr>
        <w:tabs>
          <w:tab w:val="left" w:pos="-2268"/>
        </w:tabs>
        <w:suppressAutoHyphens/>
        <w:rPr>
          <w:spacing w:val="-3"/>
        </w:rPr>
      </w:pPr>
      <w:r w:rsidRPr="004068F6">
        <w:rPr>
          <w:spacing w:val="-3"/>
        </w:rPr>
        <w:t>S</w:t>
      </w:r>
      <w:r w:rsidR="009D132B" w:rsidRPr="004068F6">
        <w:rPr>
          <w:spacing w:val="-3"/>
        </w:rPr>
        <w:t xml:space="preserve">e debe efectuar una caracterización que </w:t>
      </w:r>
      <w:r w:rsidR="00F47394" w:rsidRPr="004068F6">
        <w:rPr>
          <w:spacing w:val="-3"/>
        </w:rPr>
        <w:t xml:space="preserve">permita </w:t>
      </w:r>
      <w:r w:rsidR="009D132B" w:rsidRPr="004068F6">
        <w:rPr>
          <w:spacing w:val="-3"/>
        </w:rPr>
        <w:t>cuantifi</w:t>
      </w:r>
      <w:r w:rsidR="00F47394" w:rsidRPr="004068F6">
        <w:rPr>
          <w:spacing w:val="-3"/>
        </w:rPr>
        <w:t>car</w:t>
      </w:r>
      <w:r w:rsidR="009D132B" w:rsidRPr="004068F6">
        <w:rPr>
          <w:spacing w:val="-3"/>
        </w:rPr>
        <w:t xml:space="preserve"> las fuentes de emisión, calidad del aire</w:t>
      </w:r>
      <w:r w:rsidR="009D132B" w:rsidRPr="004068F6">
        <w:rPr>
          <w:rFonts w:cs="Arial"/>
          <w:spacing w:val="-3"/>
        </w:rPr>
        <w:t>,</w:t>
      </w:r>
      <w:r w:rsidR="009D132B" w:rsidRPr="004068F6">
        <w:rPr>
          <w:spacing w:val="-3"/>
        </w:rPr>
        <w:t xml:space="preserve"> condición climatológica</w:t>
      </w:r>
      <w:r w:rsidR="00F47394" w:rsidRPr="004068F6">
        <w:rPr>
          <w:spacing w:val="-3"/>
        </w:rPr>
        <w:t>, olores ofensivos</w:t>
      </w:r>
      <w:r w:rsidR="009D132B" w:rsidRPr="004068F6">
        <w:rPr>
          <w:rFonts w:cs="Arial"/>
          <w:spacing w:val="-3"/>
        </w:rPr>
        <w:t xml:space="preserve"> y ruido</w:t>
      </w:r>
      <w:r w:rsidR="009D132B" w:rsidRPr="004068F6">
        <w:rPr>
          <w:spacing w:val="-3"/>
        </w:rPr>
        <w:t>.</w:t>
      </w:r>
    </w:p>
    <w:p w14:paraId="3AA560AB" w14:textId="77777777" w:rsidR="009D132B" w:rsidRPr="004068F6" w:rsidRDefault="009D132B">
      <w:pPr>
        <w:numPr>
          <w:ilvl w:val="12"/>
          <w:numId w:val="0"/>
        </w:numPr>
        <w:tabs>
          <w:tab w:val="left" w:pos="-2268"/>
        </w:tabs>
        <w:suppressAutoHyphens/>
        <w:rPr>
          <w:spacing w:val="-3"/>
        </w:rPr>
      </w:pPr>
    </w:p>
    <w:p w14:paraId="7369D2B7" w14:textId="77777777" w:rsidR="00525AD8" w:rsidRPr="004068F6" w:rsidRDefault="00525AD8" w:rsidP="00525AD8">
      <w:pPr>
        <w:pStyle w:val="Ttulo4"/>
        <w:tabs>
          <w:tab w:val="num" w:pos="1418"/>
        </w:tabs>
        <w:ind w:left="1418" w:hanging="1418"/>
        <w:rPr>
          <w:lang w:val="es-CO"/>
        </w:rPr>
      </w:pPr>
      <w:bookmarkStart w:id="2873" w:name="_Ref75795536"/>
      <w:r w:rsidRPr="004068F6">
        <w:rPr>
          <w:lang w:val="es-CO"/>
        </w:rPr>
        <w:t>Meteorología</w:t>
      </w:r>
      <w:bookmarkEnd w:id="2873"/>
    </w:p>
    <w:p w14:paraId="3DC5B6AF" w14:textId="77777777" w:rsidR="00525AD8" w:rsidRPr="004068F6" w:rsidRDefault="00525AD8" w:rsidP="00525AD8">
      <w:pPr>
        <w:numPr>
          <w:ilvl w:val="12"/>
          <w:numId w:val="0"/>
        </w:numPr>
        <w:tabs>
          <w:tab w:val="left" w:pos="-2268"/>
        </w:tabs>
        <w:suppressAutoHyphens/>
        <w:rPr>
          <w:spacing w:val="-3"/>
        </w:rPr>
      </w:pPr>
    </w:p>
    <w:p w14:paraId="64FE2952" w14:textId="367A6D0C" w:rsidR="00525AD8" w:rsidRPr="004068F6" w:rsidRDefault="00525AD8" w:rsidP="00525AD8">
      <w:pPr>
        <w:numPr>
          <w:ilvl w:val="12"/>
          <w:numId w:val="0"/>
        </w:numPr>
        <w:tabs>
          <w:tab w:val="left" w:pos="-2268"/>
        </w:tabs>
        <w:suppressAutoHyphens/>
        <w:rPr>
          <w:spacing w:val="-3"/>
        </w:rPr>
      </w:pPr>
      <w:r w:rsidRPr="004068F6">
        <w:rPr>
          <w:spacing w:val="-3"/>
        </w:rPr>
        <w:t>Describir y analizar las condiciones meteorológicas mensuales multianuales representativas</w:t>
      </w:r>
      <w:r w:rsidRPr="004068F6">
        <w:rPr>
          <w:rFonts w:cs="Arial"/>
          <w:spacing w:val="-3"/>
        </w:rPr>
        <w:t xml:space="preserve">, </w:t>
      </w:r>
      <w:r w:rsidRPr="004068F6">
        <w:rPr>
          <w:spacing w:val="-3"/>
        </w:rPr>
        <w:t>durante un pe</w:t>
      </w:r>
      <w:r w:rsidR="00F47394" w:rsidRPr="004068F6">
        <w:rPr>
          <w:spacing w:val="-3"/>
        </w:rPr>
        <w:t>ríodo mínimo de entre tres (3) y</w:t>
      </w:r>
      <w:r w:rsidRPr="004068F6">
        <w:rPr>
          <w:spacing w:val="-3"/>
        </w:rPr>
        <w:t xml:space="preserve"> cinco (5) años, con base en </w:t>
      </w:r>
      <w:r w:rsidRPr="004068F6">
        <w:rPr>
          <w:rFonts w:cs="Arial"/>
          <w:spacing w:val="-3"/>
        </w:rPr>
        <w:t xml:space="preserve">la </w:t>
      </w:r>
      <w:r w:rsidRPr="004068F6">
        <w:rPr>
          <w:spacing w:val="-3"/>
        </w:rPr>
        <w:t xml:space="preserve">información </w:t>
      </w:r>
      <w:r w:rsidRPr="004068F6">
        <w:rPr>
          <w:rFonts w:cs="Arial"/>
          <w:spacing w:val="-3"/>
        </w:rPr>
        <w:t>más reciente disponible suministrada por</w:t>
      </w:r>
      <w:r w:rsidRPr="004068F6">
        <w:rPr>
          <w:spacing w:val="-3"/>
        </w:rPr>
        <w:t xml:space="preserve"> las estaciones meteorológicas existentes de entidades públicas en la región, </w:t>
      </w:r>
      <w:r w:rsidR="00F47394" w:rsidRPr="004068F6">
        <w:rPr>
          <w:spacing w:val="-3"/>
        </w:rPr>
        <w:t xml:space="preserve">georreferenciadas y además </w:t>
      </w:r>
      <w:r w:rsidRPr="004068F6">
        <w:rPr>
          <w:spacing w:val="-3"/>
        </w:rPr>
        <w:t xml:space="preserve">avaladas por </w:t>
      </w:r>
      <w:r w:rsidR="00F47394" w:rsidRPr="004068F6">
        <w:rPr>
          <w:spacing w:val="-3"/>
        </w:rPr>
        <w:t xml:space="preserve">el </w:t>
      </w:r>
      <w:r w:rsidR="00A92356" w:rsidRPr="004068F6">
        <w:rPr>
          <w:spacing w:val="-3"/>
        </w:rPr>
        <w:t>Ideam</w:t>
      </w:r>
      <w:r w:rsidRPr="004068F6">
        <w:rPr>
          <w:spacing w:val="-3"/>
        </w:rPr>
        <w:t>.</w:t>
      </w:r>
    </w:p>
    <w:p w14:paraId="05840F27" w14:textId="77777777" w:rsidR="00525AD8" w:rsidRPr="004068F6" w:rsidRDefault="00525AD8" w:rsidP="00525AD8">
      <w:pPr>
        <w:numPr>
          <w:ilvl w:val="12"/>
          <w:numId w:val="0"/>
        </w:numPr>
        <w:tabs>
          <w:tab w:val="left" w:pos="-2268"/>
        </w:tabs>
        <w:suppressAutoHyphens/>
        <w:rPr>
          <w:spacing w:val="-3"/>
        </w:rPr>
      </w:pPr>
    </w:p>
    <w:p w14:paraId="3645EEE9" w14:textId="77777777" w:rsidR="00525AD8" w:rsidRPr="004068F6" w:rsidRDefault="00525AD8" w:rsidP="00525AD8">
      <w:pPr>
        <w:numPr>
          <w:ilvl w:val="12"/>
          <w:numId w:val="0"/>
        </w:numPr>
        <w:tabs>
          <w:tab w:val="left" w:pos="-2268"/>
        </w:tabs>
        <w:suppressAutoHyphens/>
        <w:rPr>
          <w:spacing w:val="-3"/>
        </w:rPr>
      </w:pPr>
      <w:r w:rsidRPr="004068F6">
        <w:rPr>
          <w:spacing w:val="-3"/>
        </w:rPr>
        <w:t>Los parámetros básicos de análisis son los siguientes:</w:t>
      </w:r>
    </w:p>
    <w:p w14:paraId="33EB2CC6" w14:textId="77777777" w:rsidR="00525AD8" w:rsidRPr="004068F6" w:rsidRDefault="00525AD8" w:rsidP="00525AD8">
      <w:pPr>
        <w:numPr>
          <w:ilvl w:val="12"/>
          <w:numId w:val="0"/>
        </w:numPr>
        <w:tabs>
          <w:tab w:val="left" w:pos="-2268"/>
        </w:tabs>
        <w:suppressAutoHyphens/>
        <w:rPr>
          <w:spacing w:val="-3"/>
        </w:rPr>
      </w:pPr>
    </w:p>
    <w:p w14:paraId="60217062" w14:textId="57B611A0" w:rsidR="00525AD8" w:rsidRPr="004068F6" w:rsidRDefault="00525AD8" w:rsidP="00525AD8">
      <w:pPr>
        <w:numPr>
          <w:ilvl w:val="0"/>
          <w:numId w:val="59"/>
        </w:numPr>
        <w:tabs>
          <w:tab w:val="left" w:pos="-2268"/>
        </w:tabs>
        <w:suppressAutoHyphens/>
        <w:ind w:left="567" w:hanging="567"/>
        <w:rPr>
          <w:spacing w:val="-3"/>
        </w:rPr>
      </w:pPr>
      <w:r w:rsidRPr="004068F6">
        <w:rPr>
          <w:spacing w:val="-3"/>
        </w:rPr>
        <w:t>Temperatu</w:t>
      </w:r>
      <w:r w:rsidR="00995859" w:rsidRPr="004068F6">
        <w:rPr>
          <w:spacing w:val="-3"/>
        </w:rPr>
        <w:t>ra superficial: promedio, mínima y máxima;</w:t>
      </w:r>
      <w:r w:rsidRPr="004068F6">
        <w:rPr>
          <w:spacing w:val="-3"/>
        </w:rPr>
        <w:t xml:space="preserve"> diaria, mensual y anual.</w:t>
      </w:r>
    </w:p>
    <w:p w14:paraId="7DE1523D" w14:textId="77777777" w:rsidR="00525AD8" w:rsidRPr="004068F6" w:rsidRDefault="00525AD8" w:rsidP="00525AD8">
      <w:pPr>
        <w:tabs>
          <w:tab w:val="left" w:pos="-2268"/>
        </w:tabs>
        <w:suppressAutoHyphens/>
        <w:rPr>
          <w:spacing w:val="-3"/>
        </w:rPr>
      </w:pPr>
    </w:p>
    <w:p w14:paraId="481CEAEA" w14:textId="34C2050E" w:rsidR="00525AD8" w:rsidRPr="004068F6" w:rsidRDefault="00525AD8" w:rsidP="00525AD8">
      <w:pPr>
        <w:numPr>
          <w:ilvl w:val="0"/>
          <w:numId w:val="59"/>
        </w:numPr>
        <w:tabs>
          <w:tab w:val="left" w:pos="-2268"/>
        </w:tabs>
        <w:suppressAutoHyphens/>
        <w:ind w:left="567" w:hanging="567"/>
        <w:rPr>
          <w:spacing w:val="-3"/>
        </w:rPr>
      </w:pPr>
      <w:r w:rsidRPr="004068F6">
        <w:rPr>
          <w:spacing w:val="-3"/>
        </w:rPr>
        <w:t>Presión atmosférica promedio mensual.</w:t>
      </w:r>
      <w:r w:rsidR="00477FAE" w:rsidRPr="004068F6">
        <w:rPr>
          <w:spacing w:val="-3"/>
        </w:rPr>
        <w:t xml:space="preserve"> Esta variable puede ser reportada utilizando metodologías alternativas que permitan su estimación o relación con otras fuentes de información disponibles.</w:t>
      </w:r>
    </w:p>
    <w:p w14:paraId="186CFD7C" w14:textId="77777777" w:rsidR="00525AD8" w:rsidRPr="004068F6" w:rsidRDefault="00525AD8" w:rsidP="00525AD8">
      <w:pPr>
        <w:tabs>
          <w:tab w:val="left" w:pos="-2268"/>
        </w:tabs>
        <w:suppressAutoHyphens/>
        <w:rPr>
          <w:spacing w:val="-3"/>
        </w:rPr>
      </w:pPr>
    </w:p>
    <w:p w14:paraId="284535CC" w14:textId="1713B6AC" w:rsidR="00525AD8" w:rsidRPr="004068F6" w:rsidRDefault="00525AD8" w:rsidP="00525AD8">
      <w:pPr>
        <w:numPr>
          <w:ilvl w:val="0"/>
          <w:numId w:val="59"/>
        </w:numPr>
        <w:tabs>
          <w:tab w:val="left" w:pos="-2268"/>
        </w:tabs>
        <w:suppressAutoHyphens/>
        <w:ind w:left="567" w:hanging="567"/>
        <w:rPr>
          <w:spacing w:val="-3"/>
        </w:rPr>
      </w:pPr>
      <w:r w:rsidRPr="004068F6">
        <w:rPr>
          <w:spacing w:val="-3"/>
        </w:rPr>
        <w:t xml:space="preserve">Precipitación: media diaria, mensual y anual, y su distribución </w:t>
      </w:r>
      <w:r w:rsidR="00D01C61" w:rsidRPr="004068F6">
        <w:rPr>
          <w:spacing w:val="-3"/>
        </w:rPr>
        <w:t>espacial</w:t>
      </w:r>
      <w:r w:rsidRPr="004068F6">
        <w:rPr>
          <w:spacing w:val="-3"/>
        </w:rPr>
        <w:t>.</w:t>
      </w:r>
    </w:p>
    <w:p w14:paraId="022D8BFC" w14:textId="77777777" w:rsidR="00525AD8" w:rsidRPr="004068F6" w:rsidRDefault="00525AD8" w:rsidP="00525AD8">
      <w:pPr>
        <w:tabs>
          <w:tab w:val="left" w:pos="-2268"/>
        </w:tabs>
        <w:suppressAutoHyphens/>
        <w:rPr>
          <w:spacing w:val="-3"/>
        </w:rPr>
      </w:pPr>
    </w:p>
    <w:p w14:paraId="285FF0DB" w14:textId="1499422B" w:rsidR="00525AD8" w:rsidRPr="004068F6" w:rsidRDefault="00525AD8" w:rsidP="00525AD8">
      <w:pPr>
        <w:numPr>
          <w:ilvl w:val="0"/>
          <w:numId w:val="59"/>
        </w:numPr>
        <w:tabs>
          <w:tab w:val="left" w:pos="-2268"/>
        </w:tabs>
        <w:suppressAutoHyphens/>
        <w:ind w:left="567" w:hanging="567"/>
        <w:rPr>
          <w:spacing w:val="-3"/>
        </w:rPr>
      </w:pPr>
      <w:r w:rsidRPr="004068F6">
        <w:rPr>
          <w:spacing w:val="-3"/>
        </w:rPr>
        <w:t>Hu</w:t>
      </w:r>
      <w:r w:rsidR="00995859" w:rsidRPr="004068F6">
        <w:rPr>
          <w:spacing w:val="-3"/>
        </w:rPr>
        <w:t>medad relativa: promedio, mínima y máxima;</w:t>
      </w:r>
      <w:r w:rsidRPr="004068F6">
        <w:rPr>
          <w:spacing w:val="-3"/>
        </w:rPr>
        <w:t xml:space="preserve"> diaria, mensual y anual.</w:t>
      </w:r>
    </w:p>
    <w:p w14:paraId="03A7BEC8" w14:textId="77777777" w:rsidR="00525AD8" w:rsidRPr="004068F6" w:rsidRDefault="00525AD8" w:rsidP="00525AD8">
      <w:pPr>
        <w:tabs>
          <w:tab w:val="left" w:pos="-2268"/>
        </w:tabs>
        <w:suppressAutoHyphens/>
        <w:rPr>
          <w:spacing w:val="-3"/>
        </w:rPr>
      </w:pPr>
    </w:p>
    <w:p w14:paraId="554EB222" w14:textId="77777777" w:rsidR="00525AD8" w:rsidRPr="004068F6" w:rsidRDefault="00525AD8" w:rsidP="00525AD8">
      <w:pPr>
        <w:numPr>
          <w:ilvl w:val="0"/>
          <w:numId w:val="59"/>
        </w:numPr>
        <w:tabs>
          <w:tab w:val="left" w:pos="-2268"/>
        </w:tabs>
        <w:suppressAutoHyphens/>
        <w:ind w:left="567" w:hanging="567"/>
        <w:rPr>
          <w:spacing w:val="-3"/>
        </w:rPr>
      </w:pPr>
      <w:r w:rsidRPr="004068F6">
        <w:rPr>
          <w:spacing w:val="-3"/>
        </w:rPr>
        <w:t>Dirección y velocidad del viento.</w:t>
      </w:r>
    </w:p>
    <w:p w14:paraId="47149406" w14:textId="77777777" w:rsidR="00525AD8" w:rsidRPr="004068F6" w:rsidRDefault="00525AD8" w:rsidP="00525AD8">
      <w:pPr>
        <w:tabs>
          <w:tab w:val="left" w:pos="-2268"/>
        </w:tabs>
        <w:suppressAutoHyphens/>
        <w:rPr>
          <w:spacing w:val="-3"/>
        </w:rPr>
      </w:pPr>
    </w:p>
    <w:p w14:paraId="7B7F8391" w14:textId="77777777" w:rsidR="00525AD8" w:rsidRPr="004068F6" w:rsidRDefault="00525AD8" w:rsidP="00525AD8">
      <w:pPr>
        <w:numPr>
          <w:ilvl w:val="1"/>
          <w:numId w:val="87"/>
        </w:numPr>
        <w:tabs>
          <w:tab w:val="left" w:pos="-2268"/>
        </w:tabs>
        <w:suppressAutoHyphens/>
        <w:ind w:left="1134" w:hanging="567"/>
        <w:rPr>
          <w:spacing w:val="-3"/>
        </w:rPr>
      </w:pPr>
      <w:r w:rsidRPr="004068F6">
        <w:rPr>
          <w:spacing w:val="-3"/>
        </w:rPr>
        <w:t>Rosas de viento diurna y nocturna.</w:t>
      </w:r>
    </w:p>
    <w:p w14:paraId="65E74643" w14:textId="77777777" w:rsidR="00525AD8" w:rsidRPr="004068F6" w:rsidRDefault="00525AD8" w:rsidP="00525AD8">
      <w:pPr>
        <w:tabs>
          <w:tab w:val="left" w:pos="-2268"/>
        </w:tabs>
        <w:suppressAutoHyphens/>
        <w:rPr>
          <w:spacing w:val="-3"/>
        </w:rPr>
      </w:pPr>
    </w:p>
    <w:p w14:paraId="747F6A74" w14:textId="77777777" w:rsidR="00525AD8" w:rsidRPr="004068F6" w:rsidRDefault="00525AD8" w:rsidP="00525AD8">
      <w:pPr>
        <w:numPr>
          <w:ilvl w:val="1"/>
          <w:numId w:val="87"/>
        </w:numPr>
        <w:tabs>
          <w:tab w:val="left" w:pos="-2268"/>
        </w:tabs>
        <w:suppressAutoHyphens/>
        <w:ind w:left="1134" w:hanging="567"/>
        <w:rPr>
          <w:spacing w:val="-3"/>
        </w:rPr>
      </w:pPr>
      <w:r w:rsidRPr="004068F6">
        <w:rPr>
          <w:spacing w:val="-3"/>
        </w:rPr>
        <w:t>Variaciones mensuales de las rosas de vientos.</w:t>
      </w:r>
    </w:p>
    <w:p w14:paraId="5723D67B" w14:textId="77777777" w:rsidR="00525AD8" w:rsidRPr="004068F6" w:rsidRDefault="00525AD8" w:rsidP="00525AD8">
      <w:pPr>
        <w:tabs>
          <w:tab w:val="left" w:pos="-2268"/>
        </w:tabs>
        <w:suppressAutoHyphens/>
        <w:rPr>
          <w:spacing w:val="-3"/>
        </w:rPr>
      </w:pPr>
    </w:p>
    <w:p w14:paraId="14E80D92" w14:textId="77777777" w:rsidR="00525AD8" w:rsidRPr="004068F6" w:rsidRDefault="00525AD8" w:rsidP="00525AD8">
      <w:pPr>
        <w:numPr>
          <w:ilvl w:val="0"/>
          <w:numId w:val="59"/>
        </w:numPr>
        <w:tabs>
          <w:tab w:val="left" w:pos="-2268"/>
        </w:tabs>
        <w:suppressAutoHyphens/>
        <w:ind w:left="567" w:hanging="567"/>
        <w:rPr>
          <w:spacing w:val="-3"/>
        </w:rPr>
      </w:pPr>
      <w:r w:rsidRPr="004068F6">
        <w:rPr>
          <w:spacing w:val="-3"/>
        </w:rPr>
        <w:t>Radiación solar: media diaria, mensual y anual.</w:t>
      </w:r>
    </w:p>
    <w:p w14:paraId="255D4832" w14:textId="77777777" w:rsidR="00525AD8" w:rsidRPr="004068F6" w:rsidRDefault="00525AD8" w:rsidP="00525AD8">
      <w:pPr>
        <w:numPr>
          <w:ilvl w:val="12"/>
          <w:numId w:val="0"/>
        </w:numPr>
        <w:tabs>
          <w:tab w:val="left" w:pos="-2268"/>
        </w:tabs>
        <w:suppressAutoHyphens/>
        <w:rPr>
          <w:spacing w:val="-3"/>
        </w:rPr>
      </w:pPr>
    </w:p>
    <w:p w14:paraId="06A77BD0" w14:textId="3161359D" w:rsidR="00525AD8" w:rsidRPr="004068F6" w:rsidRDefault="00525AD8" w:rsidP="00525AD8">
      <w:pPr>
        <w:numPr>
          <w:ilvl w:val="12"/>
          <w:numId w:val="0"/>
        </w:numPr>
        <w:tabs>
          <w:tab w:val="left" w:pos="-2268"/>
        </w:tabs>
        <w:suppressAutoHyphens/>
        <w:rPr>
          <w:spacing w:val="-3"/>
        </w:rPr>
      </w:pPr>
      <w:r w:rsidRPr="004068F6">
        <w:rPr>
          <w:spacing w:val="-3"/>
        </w:rPr>
        <w:t>Incl</w:t>
      </w:r>
      <w:r w:rsidR="00D909AE" w:rsidRPr="004068F6">
        <w:rPr>
          <w:spacing w:val="-3"/>
        </w:rPr>
        <w:t>uir</w:t>
      </w:r>
      <w:r w:rsidRPr="004068F6">
        <w:rPr>
          <w:spacing w:val="-3"/>
        </w:rPr>
        <w:t xml:space="preserve"> para el caso del análisis de vientos, aspectos de dirección, velocidad y frecuencias, elaborando la rosa de los vientos diurna y nocturna, así como una tabla con sus respectivas unidades </w:t>
      </w:r>
      <w:r w:rsidR="00F47394" w:rsidRPr="004068F6">
        <w:rPr>
          <w:spacing w:val="-3"/>
        </w:rPr>
        <w:t xml:space="preserve">de medida </w:t>
      </w:r>
      <w:r w:rsidRPr="004068F6">
        <w:rPr>
          <w:spacing w:val="-3"/>
        </w:rPr>
        <w:t>y el comportamiento de los vientos en resolución de 24 horas.</w:t>
      </w:r>
    </w:p>
    <w:p w14:paraId="62457F47" w14:textId="77777777" w:rsidR="00525AD8" w:rsidRPr="004068F6" w:rsidRDefault="00525AD8" w:rsidP="00525AD8">
      <w:pPr>
        <w:numPr>
          <w:ilvl w:val="12"/>
          <w:numId w:val="0"/>
        </w:numPr>
        <w:tabs>
          <w:tab w:val="left" w:pos="-2268"/>
        </w:tabs>
        <w:suppressAutoHyphens/>
        <w:rPr>
          <w:rFonts w:cs="Arial"/>
          <w:spacing w:val="-3"/>
        </w:rPr>
      </w:pPr>
    </w:p>
    <w:p w14:paraId="1F30A0C9" w14:textId="29AF7CB9" w:rsidR="00525AD8" w:rsidRPr="004068F6" w:rsidRDefault="00525AD8" w:rsidP="00525AD8">
      <w:pPr>
        <w:tabs>
          <w:tab w:val="left" w:pos="-2268"/>
        </w:tabs>
        <w:suppressAutoHyphens/>
        <w:rPr>
          <w:rFonts w:cs="Arial"/>
          <w:spacing w:val="-3"/>
        </w:rPr>
      </w:pPr>
      <w:r w:rsidRPr="004068F6">
        <w:rPr>
          <w:rFonts w:cs="Arial"/>
          <w:spacing w:val="-3"/>
        </w:rPr>
        <w:t>Efectuar un análisis objetivo de la calidad y consistencia de los datos hidroclimáticos que incluya prue</w:t>
      </w:r>
      <w:r w:rsidR="00D909AE" w:rsidRPr="004068F6">
        <w:rPr>
          <w:rFonts w:cs="Arial"/>
          <w:spacing w:val="-3"/>
        </w:rPr>
        <w:t xml:space="preserve">bas estadísticas paramétricas </w:t>
      </w:r>
      <w:r w:rsidRPr="004068F6">
        <w:rPr>
          <w:rFonts w:cs="Arial"/>
          <w:spacing w:val="-3"/>
        </w:rPr>
        <w:t xml:space="preserve">o no paramétricas sobre homogeneidad, consistencia </w:t>
      </w:r>
      <w:r w:rsidR="00912647" w:rsidRPr="004068F6">
        <w:rPr>
          <w:rFonts w:cs="Arial"/>
          <w:spacing w:val="-3"/>
        </w:rPr>
        <w:t>y determinación</w:t>
      </w:r>
      <w:r w:rsidRPr="004068F6">
        <w:rPr>
          <w:rFonts w:cs="Arial"/>
          <w:spacing w:val="-3"/>
        </w:rPr>
        <w:t xml:space="preserve"> de datos anómalos; de ser posible, hacer el completado de las series, indicando claramente el método adoptado y efectuar la caracterización estadística básica de las series de tiempo tratadas.</w:t>
      </w:r>
    </w:p>
    <w:p w14:paraId="2794F844" w14:textId="77777777" w:rsidR="00525AD8" w:rsidRPr="004068F6" w:rsidRDefault="00525AD8" w:rsidP="00525AD8">
      <w:pPr>
        <w:tabs>
          <w:tab w:val="left" w:pos="-2268"/>
        </w:tabs>
        <w:suppressAutoHyphens/>
        <w:rPr>
          <w:rFonts w:cs="Arial"/>
          <w:spacing w:val="-3"/>
        </w:rPr>
      </w:pPr>
    </w:p>
    <w:p w14:paraId="190519DA" w14:textId="6A539CAE" w:rsidR="00525AD8" w:rsidRPr="004068F6" w:rsidRDefault="00525AD8" w:rsidP="00525AD8">
      <w:pPr>
        <w:tabs>
          <w:tab w:val="left" w:pos="-2268"/>
        </w:tabs>
        <w:suppressAutoHyphens/>
        <w:rPr>
          <w:rFonts w:cs="Arial"/>
          <w:spacing w:val="-3"/>
        </w:rPr>
      </w:pPr>
      <w:r w:rsidRPr="004068F6">
        <w:rPr>
          <w:rFonts w:cs="Arial"/>
          <w:spacing w:val="-3"/>
        </w:rPr>
        <w:t>Teniendo en cuenta la información recopilada en este numeral, se debe realizar la zonificación de las condiciones climáticas.</w:t>
      </w:r>
    </w:p>
    <w:p w14:paraId="73BD8F2B" w14:textId="77777777" w:rsidR="00525AD8" w:rsidRPr="004068F6" w:rsidRDefault="00525AD8" w:rsidP="00525AD8">
      <w:pPr>
        <w:numPr>
          <w:ilvl w:val="12"/>
          <w:numId w:val="0"/>
        </w:numPr>
        <w:tabs>
          <w:tab w:val="left" w:pos="-2268"/>
        </w:tabs>
        <w:suppressAutoHyphens/>
        <w:rPr>
          <w:spacing w:val="-3"/>
        </w:rPr>
      </w:pPr>
    </w:p>
    <w:p w14:paraId="24B1A6DF" w14:textId="5A858A22" w:rsidR="00525AD8" w:rsidRPr="004068F6" w:rsidRDefault="00525AD8">
      <w:pPr>
        <w:numPr>
          <w:ilvl w:val="12"/>
          <w:numId w:val="0"/>
        </w:numPr>
        <w:tabs>
          <w:tab w:val="left" w:pos="-2268"/>
        </w:tabs>
        <w:suppressAutoHyphens/>
        <w:rPr>
          <w:spacing w:val="-3"/>
        </w:rPr>
      </w:pPr>
      <w:r w:rsidRPr="004068F6">
        <w:rPr>
          <w:spacing w:val="-3"/>
        </w:rPr>
        <w:t xml:space="preserve">Cuando no exista información disponible de estaciones meteorológicas avaladas por el </w:t>
      </w:r>
      <w:r w:rsidR="00A92356" w:rsidRPr="004068F6">
        <w:rPr>
          <w:spacing w:val="-3"/>
        </w:rPr>
        <w:t>Ideam</w:t>
      </w:r>
      <w:r w:rsidRPr="004068F6">
        <w:rPr>
          <w:spacing w:val="-3"/>
        </w:rPr>
        <w:t xml:space="preserve"> con adecuada representatividad, la información meteorológica puede ser tomada de los datos de modelos globales o de re-análisis global, obtenidos de fuentes de adecuada idoneidad científica y que puedan ser validadas y procesadas para obtener una adecuada resolución sobre el área de influencia. Ejemplos de modelos de clima o tiempo son CFRS, ERA 40, CAM, WRF. Se debe realizar un análisis estadístico del error y demostrar el procedimiento de validación de resultados empleado. Para este caso se requiere que el estudio establezca claramente la fuente de la información, anotando el periodo que se analiza, la resolución de la información, el tipo de dato procesado y las variables contenidas en un formato de texto editable.</w:t>
      </w:r>
      <w:r w:rsidRPr="004068F6">
        <w:rPr>
          <w:rFonts w:cs="Arial"/>
          <w:spacing w:val="-3"/>
        </w:rPr>
        <w:t xml:space="preserve"> Para este análisis, se requiere como mínimo analizar el año más reciente de la serie de datos </w:t>
      </w:r>
      <w:r w:rsidR="00432CE3" w:rsidRPr="004068F6">
        <w:rPr>
          <w:rFonts w:cs="Arial"/>
          <w:spacing w:val="-3"/>
        </w:rPr>
        <w:t>empleada</w:t>
      </w:r>
      <w:r w:rsidRPr="004068F6">
        <w:rPr>
          <w:rFonts w:cs="Arial"/>
          <w:spacing w:val="-3"/>
        </w:rPr>
        <w:t>.</w:t>
      </w:r>
    </w:p>
    <w:p w14:paraId="0CB3EED9" w14:textId="77777777" w:rsidR="00525AD8" w:rsidRPr="004068F6" w:rsidRDefault="00525AD8">
      <w:pPr>
        <w:numPr>
          <w:ilvl w:val="12"/>
          <w:numId w:val="0"/>
        </w:numPr>
        <w:tabs>
          <w:tab w:val="left" w:pos="-2268"/>
        </w:tabs>
        <w:suppressAutoHyphens/>
        <w:rPr>
          <w:spacing w:val="-3"/>
        </w:rPr>
      </w:pPr>
    </w:p>
    <w:p w14:paraId="757A5AA2" w14:textId="77777777" w:rsidR="009D132B" w:rsidRPr="004068F6" w:rsidRDefault="009D132B" w:rsidP="009420F5">
      <w:pPr>
        <w:pStyle w:val="Ttulo4"/>
        <w:tabs>
          <w:tab w:val="clear" w:pos="1844"/>
          <w:tab w:val="num" w:pos="1134"/>
        </w:tabs>
        <w:ind w:left="0"/>
        <w:rPr>
          <w:lang w:val="es-CO"/>
        </w:rPr>
      </w:pPr>
      <w:bookmarkStart w:id="2874" w:name="_Ref495933617"/>
      <w:r w:rsidRPr="004068F6">
        <w:rPr>
          <w:lang w:val="es-CO"/>
        </w:rPr>
        <w:t>Inventario de fuentes de emisiones atmosféricas</w:t>
      </w:r>
      <w:bookmarkEnd w:id="2874"/>
    </w:p>
    <w:p w14:paraId="71F3E2DF" w14:textId="77777777" w:rsidR="009D132B" w:rsidRPr="004068F6" w:rsidRDefault="009D132B">
      <w:pPr>
        <w:numPr>
          <w:ilvl w:val="12"/>
          <w:numId w:val="0"/>
        </w:numPr>
        <w:tabs>
          <w:tab w:val="left" w:pos="-2268"/>
        </w:tabs>
        <w:suppressAutoHyphens/>
        <w:rPr>
          <w:spacing w:val="-3"/>
        </w:rPr>
      </w:pPr>
    </w:p>
    <w:p w14:paraId="6FA60DED" w14:textId="50D5A9E8" w:rsidR="00792F7C" w:rsidRPr="004068F6" w:rsidRDefault="00DF5AC1">
      <w:pPr>
        <w:overflowPunct/>
        <w:autoSpaceDE/>
        <w:autoSpaceDN/>
        <w:adjustRightInd/>
        <w:textAlignment w:val="auto"/>
        <w:rPr>
          <w:spacing w:val="-3"/>
        </w:rPr>
      </w:pPr>
      <w:r w:rsidRPr="004068F6">
        <w:rPr>
          <w:spacing w:val="-3"/>
        </w:rPr>
        <w:t xml:space="preserve">Con el propósito de </w:t>
      </w:r>
      <w:r w:rsidR="00590B9E" w:rsidRPr="004068F6">
        <w:rPr>
          <w:spacing w:val="-3"/>
        </w:rPr>
        <w:t xml:space="preserve">determinar </w:t>
      </w:r>
      <w:r w:rsidRPr="004068F6">
        <w:rPr>
          <w:spacing w:val="-3"/>
        </w:rPr>
        <w:t xml:space="preserve">las </w:t>
      </w:r>
      <w:r w:rsidR="009D132B" w:rsidRPr="004068F6">
        <w:rPr>
          <w:spacing w:val="-3"/>
        </w:rPr>
        <w:t xml:space="preserve">fuentes de emisión y </w:t>
      </w:r>
      <w:r w:rsidRPr="004068F6">
        <w:rPr>
          <w:spacing w:val="-3"/>
        </w:rPr>
        <w:t xml:space="preserve">de </w:t>
      </w:r>
      <w:r w:rsidR="009D132B" w:rsidRPr="004068F6">
        <w:rPr>
          <w:spacing w:val="-3"/>
        </w:rPr>
        <w:t>cuantifica</w:t>
      </w:r>
      <w:r w:rsidRPr="004068F6">
        <w:rPr>
          <w:spacing w:val="-3"/>
        </w:rPr>
        <w:t xml:space="preserve">r las </w:t>
      </w:r>
      <w:r w:rsidR="009D132B" w:rsidRPr="004068F6">
        <w:rPr>
          <w:spacing w:val="-3"/>
        </w:rPr>
        <w:t xml:space="preserve">emisiones </w:t>
      </w:r>
      <w:r w:rsidRPr="004068F6">
        <w:rPr>
          <w:spacing w:val="-3"/>
        </w:rPr>
        <w:t xml:space="preserve">para </w:t>
      </w:r>
      <w:r w:rsidR="009D132B" w:rsidRPr="004068F6">
        <w:rPr>
          <w:spacing w:val="-3"/>
        </w:rPr>
        <w:t>la línea base</w:t>
      </w:r>
      <w:r w:rsidRPr="004068F6">
        <w:rPr>
          <w:spacing w:val="-3"/>
        </w:rPr>
        <w:t>,</w:t>
      </w:r>
      <w:r w:rsidR="009D132B" w:rsidRPr="004068F6">
        <w:rPr>
          <w:spacing w:val="-3"/>
        </w:rPr>
        <w:t xml:space="preserve"> </w:t>
      </w:r>
      <w:r w:rsidRPr="004068F6">
        <w:rPr>
          <w:spacing w:val="-3"/>
        </w:rPr>
        <w:t xml:space="preserve">se deben consultar los </w:t>
      </w:r>
      <w:r w:rsidR="009D132B" w:rsidRPr="004068F6">
        <w:rPr>
          <w:spacing w:val="-3"/>
        </w:rPr>
        <w:t xml:space="preserve">inventarios de emisiones </w:t>
      </w:r>
      <w:r w:rsidR="009D132B" w:rsidRPr="004068F6">
        <w:rPr>
          <w:rFonts w:cs="Arial"/>
          <w:spacing w:val="-3"/>
        </w:rPr>
        <w:t>oficiales</w:t>
      </w:r>
      <w:r w:rsidR="009D132B" w:rsidRPr="004068F6">
        <w:rPr>
          <w:spacing w:val="-3"/>
        </w:rPr>
        <w:t xml:space="preserve"> </w:t>
      </w:r>
      <w:r w:rsidRPr="004068F6">
        <w:rPr>
          <w:spacing w:val="-3"/>
        </w:rPr>
        <w:t>(</w:t>
      </w:r>
      <w:r w:rsidR="009D132B" w:rsidRPr="004068F6">
        <w:rPr>
          <w:spacing w:val="-3"/>
        </w:rPr>
        <w:t xml:space="preserve">que cuantifican con </w:t>
      </w:r>
      <w:r w:rsidR="009D132B" w:rsidRPr="004068F6">
        <w:rPr>
          <w:rFonts w:cs="Arial"/>
          <w:spacing w:val="-3"/>
        </w:rPr>
        <w:t>rigor técnico</w:t>
      </w:r>
      <w:r w:rsidR="009D132B" w:rsidRPr="004068F6">
        <w:rPr>
          <w:spacing w:val="-3"/>
        </w:rPr>
        <w:t xml:space="preserve"> las descargas de emisiones</w:t>
      </w:r>
      <w:r w:rsidRPr="004068F6">
        <w:rPr>
          <w:spacing w:val="-3"/>
        </w:rPr>
        <w:t xml:space="preserve">) y </w:t>
      </w:r>
      <w:r w:rsidR="00792F7C" w:rsidRPr="004068F6">
        <w:rPr>
          <w:rFonts w:cs="Arial"/>
          <w:spacing w:val="-3"/>
          <w:lang w:eastAsia="es-CO"/>
        </w:rPr>
        <w:t xml:space="preserve">otras fuentes de información sobre emisiones atmosféricas como </w:t>
      </w:r>
      <w:r w:rsidR="007058D8" w:rsidRPr="004068F6">
        <w:rPr>
          <w:rFonts w:cs="Arial"/>
          <w:spacing w:val="-3"/>
          <w:lang w:eastAsia="es-CO"/>
        </w:rPr>
        <w:t xml:space="preserve">el Sistema para el Análisis y Gestión </w:t>
      </w:r>
      <w:r w:rsidR="007058D8" w:rsidRPr="004068F6">
        <w:rPr>
          <w:rFonts w:cs="Arial"/>
          <w:spacing w:val="-3"/>
          <w:lang w:eastAsia="es-CO"/>
        </w:rPr>
        <w:lastRenderedPageBreak/>
        <w:t>de Información del Licenciamiento Ambiental (AGIL) en dónde es posible consultar la ubicación geográfica de los proyectos licenciados, y la Ventanilla Integral de Trámites Ambientales (VITAL), en dónde se puede consultar la información documental de cada uno de</w:t>
      </w:r>
      <w:r w:rsidR="00792F7C" w:rsidRPr="004068F6">
        <w:rPr>
          <w:rFonts w:cs="Arial"/>
          <w:spacing w:val="-3"/>
          <w:lang w:eastAsia="es-CO"/>
        </w:rPr>
        <w:t xml:space="preserve"> los proyectos licenciados que cuentan con permisos de emisiones vigentes, </w:t>
      </w:r>
      <w:r w:rsidRPr="004068F6">
        <w:rPr>
          <w:rFonts w:cs="Arial"/>
          <w:spacing w:val="-3"/>
          <w:lang w:eastAsia="es-CO"/>
        </w:rPr>
        <w:t xml:space="preserve">y </w:t>
      </w:r>
      <w:r w:rsidR="00792F7C" w:rsidRPr="004068F6">
        <w:rPr>
          <w:rFonts w:cs="Arial"/>
          <w:spacing w:val="-3"/>
          <w:lang w:eastAsia="es-CO"/>
        </w:rPr>
        <w:t>los permisos de emisiones otorgados por las autoridades ambientales</w:t>
      </w:r>
      <w:r w:rsidR="00792F7C" w:rsidRPr="004068F6">
        <w:rPr>
          <w:spacing w:val="-3"/>
        </w:rPr>
        <w:t>.</w:t>
      </w:r>
    </w:p>
    <w:p w14:paraId="50712F5D" w14:textId="77777777" w:rsidR="00792F7C" w:rsidRPr="004068F6" w:rsidRDefault="00792F7C" w:rsidP="00792F7C">
      <w:pPr>
        <w:numPr>
          <w:ilvl w:val="12"/>
          <w:numId w:val="0"/>
        </w:numPr>
        <w:tabs>
          <w:tab w:val="left" w:pos="-2268"/>
        </w:tabs>
        <w:suppressAutoHyphens/>
        <w:rPr>
          <w:spacing w:val="-3"/>
        </w:rPr>
      </w:pPr>
    </w:p>
    <w:p w14:paraId="371A969E" w14:textId="4A8B1132" w:rsidR="009D132B" w:rsidRPr="004068F6" w:rsidRDefault="009D132B" w:rsidP="009D132B">
      <w:pPr>
        <w:numPr>
          <w:ilvl w:val="12"/>
          <w:numId w:val="0"/>
        </w:numPr>
        <w:tabs>
          <w:tab w:val="left" w:pos="-2268"/>
        </w:tabs>
        <w:suppressAutoHyphens/>
        <w:rPr>
          <w:rFonts w:cs="Arial"/>
          <w:spacing w:val="-3"/>
        </w:rPr>
      </w:pPr>
      <w:r w:rsidRPr="004068F6">
        <w:rPr>
          <w:spacing w:val="-3"/>
        </w:rPr>
        <w:t>No obstante, se debe</w:t>
      </w:r>
      <w:r w:rsidRPr="004068F6">
        <w:rPr>
          <w:rFonts w:cs="Arial"/>
          <w:spacing w:val="-3"/>
        </w:rPr>
        <w:t xml:space="preserve"> </w:t>
      </w:r>
      <w:r w:rsidRPr="004068F6">
        <w:rPr>
          <w:spacing w:val="-3"/>
        </w:rPr>
        <w:t>georreferenciar</w:t>
      </w:r>
      <w:r w:rsidR="00D909AE" w:rsidRPr="004068F6">
        <w:rPr>
          <w:spacing w:val="-3"/>
        </w:rPr>
        <w:t xml:space="preserve"> lo siguiente</w:t>
      </w:r>
      <w:r w:rsidRPr="004068F6">
        <w:rPr>
          <w:rFonts w:cs="Arial"/>
          <w:spacing w:val="-3"/>
        </w:rPr>
        <w:t>:</w:t>
      </w:r>
    </w:p>
    <w:p w14:paraId="1210FA01" w14:textId="77777777" w:rsidR="009D132B" w:rsidRPr="004068F6" w:rsidRDefault="009D132B" w:rsidP="00C86DA5">
      <w:pPr>
        <w:numPr>
          <w:ilvl w:val="12"/>
          <w:numId w:val="0"/>
        </w:numPr>
        <w:tabs>
          <w:tab w:val="left" w:pos="-2268"/>
        </w:tabs>
        <w:suppressAutoHyphens/>
        <w:rPr>
          <w:spacing w:val="-3"/>
        </w:rPr>
      </w:pPr>
    </w:p>
    <w:p w14:paraId="3053B13C" w14:textId="40B6C2DA" w:rsidR="009D132B" w:rsidRPr="004068F6" w:rsidRDefault="009D132B" w:rsidP="00C86DA5">
      <w:pPr>
        <w:numPr>
          <w:ilvl w:val="0"/>
          <w:numId w:val="59"/>
        </w:numPr>
        <w:tabs>
          <w:tab w:val="left" w:pos="-2268"/>
        </w:tabs>
        <w:suppressAutoHyphens/>
        <w:ind w:left="567" w:hanging="567"/>
        <w:rPr>
          <w:spacing w:val="-3"/>
        </w:rPr>
      </w:pPr>
      <w:r w:rsidRPr="004068F6">
        <w:rPr>
          <w:spacing w:val="-3"/>
        </w:rPr>
        <w:t>Las fuentes fijas de emisión atmosférica existentes</w:t>
      </w:r>
      <w:r w:rsidRPr="004068F6">
        <w:rPr>
          <w:rFonts w:cs="Arial"/>
          <w:spacing w:val="-3"/>
        </w:rPr>
        <w:t>:</w:t>
      </w:r>
      <w:r w:rsidRPr="004068F6">
        <w:rPr>
          <w:spacing w:val="-3"/>
        </w:rPr>
        <w:t xml:space="preserve"> de área y puntuales.</w:t>
      </w:r>
    </w:p>
    <w:p w14:paraId="15C31F78" w14:textId="77777777" w:rsidR="009D132B" w:rsidRPr="004068F6" w:rsidRDefault="009D132B">
      <w:pPr>
        <w:tabs>
          <w:tab w:val="left" w:pos="-2268"/>
        </w:tabs>
        <w:suppressAutoHyphens/>
        <w:rPr>
          <w:spacing w:val="-3"/>
        </w:rPr>
      </w:pPr>
    </w:p>
    <w:p w14:paraId="799AFBCF" w14:textId="2AD1A120" w:rsidR="009D132B" w:rsidRPr="004068F6" w:rsidRDefault="00DF5AC1" w:rsidP="00C86DA5">
      <w:pPr>
        <w:numPr>
          <w:ilvl w:val="0"/>
          <w:numId w:val="59"/>
        </w:numPr>
        <w:tabs>
          <w:tab w:val="left" w:pos="-2268"/>
        </w:tabs>
        <w:suppressAutoHyphens/>
        <w:ind w:left="567" w:hanging="567"/>
        <w:rPr>
          <w:spacing w:val="-3"/>
        </w:rPr>
      </w:pPr>
      <w:r w:rsidRPr="004068F6">
        <w:rPr>
          <w:spacing w:val="-3"/>
        </w:rPr>
        <w:t>L</w:t>
      </w:r>
      <w:r w:rsidR="009D132B" w:rsidRPr="004068F6">
        <w:rPr>
          <w:spacing w:val="-3"/>
        </w:rPr>
        <w:t>os trazados de las fuentes</w:t>
      </w:r>
      <w:r w:rsidR="009D132B" w:rsidRPr="004068F6">
        <w:rPr>
          <w:rFonts w:cs="Arial"/>
          <w:spacing w:val="-3"/>
        </w:rPr>
        <w:t xml:space="preserve"> lineales y</w:t>
      </w:r>
      <w:r w:rsidR="009D132B" w:rsidRPr="004068F6">
        <w:rPr>
          <w:spacing w:val="-3"/>
        </w:rPr>
        <w:t xml:space="preserve"> móviles con sus respectivos aforos.</w:t>
      </w:r>
    </w:p>
    <w:p w14:paraId="49BB1D66" w14:textId="77777777" w:rsidR="009D132B" w:rsidRPr="004068F6" w:rsidRDefault="009D132B">
      <w:pPr>
        <w:tabs>
          <w:tab w:val="left" w:pos="-2268"/>
        </w:tabs>
        <w:suppressAutoHyphens/>
        <w:rPr>
          <w:spacing w:val="-3"/>
        </w:rPr>
      </w:pPr>
    </w:p>
    <w:p w14:paraId="2A63ACCB" w14:textId="471F2264" w:rsidR="009D132B" w:rsidRPr="004068F6" w:rsidRDefault="00DF5AC1" w:rsidP="003725C8">
      <w:pPr>
        <w:numPr>
          <w:ilvl w:val="0"/>
          <w:numId w:val="59"/>
        </w:numPr>
        <w:tabs>
          <w:tab w:val="left" w:pos="-2268"/>
        </w:tabs>
        <w:suppressAutoHyphens/>
        <w:ind w:left="567" w:hanging="567"/>
        <w:rPr>
          <w:spacing w:val="-3"/>
        </w:rPr>
      </w:pPr>
      <w:r w:rsidRPr="004068F6">
        <w:rPr>
          <w:spacing w:val="-3"/>
        </w:rPr>
        <w:t>L</w:t>
      </w:r>
      <w:r w:rsidR="009D132B" w:rsidRPr="004068F6">
        <w:rPr>
          <w:spacing w:val="-3"/>
        </w:rPr>
        <w:t>as fuentes de emisión atmosférica naturales relevantes (volcanes, desiertos, entre otros).</w:t>
      </w:r>
    </w:p>
    <w:p w14:paraId="4CE8C050" w14:textId="77777777" w:rsidR="009D132B" w:rsidRPr="004068F6" w:rsidRDefault="009D132B">
      <w:pPr>
        <w:tabs>
          <w:tab w:val="left" w:pos="-2268"/>
        </w:tabs>
        <w:suppressAutoHyphens/>
        <w:rPr>
          <w:spacing w:val="-3"/>
        </w:rPr>
      </w:pPr>
    </w:p>
    <w:p w14:paraId="18268B5E" w14:textId="11AFE632" w:rsidR="009D132B" w:rsidRPr="00F779B4" w:rsidRDefault="00DF5AC1" w:rsidP="00C86DA5">
      <w:pPr>
        <w:numPr>
          <w:ilvl w:val="0"/>
          <w:numId w:val="59"/>
        </w:numPr>
        <w:tabs>
          <w:tab w:val="left" w:pos="-2268"/>
        </w:tabs>
        <w:suppressAutoHyphens/>
        <w:ind w:left="567" w:hanging="567"/>
        <w:rPr>
          <w:spacing w:val="-3"/>
        </w:rPr>
      </w:pPr>
      <w:r w:rsidRPr="00F779B4">
        <w:rPr>
          <w:spacing w:val="-3"/>
        </w:rPr>
        <w:t>L</w:t>
      </w:r>
      <w:r w:rsidR="009D132B" w:rsidRPr="00F779B4">
        <w:rPr>
          <w:spacing w:val="-3"/>
        </w:rPr>
        <w:t xml:space="preserve">os potenciales receptores de interés, ubicados en asentamientos humanos (viviendas, e infraestructura social, económica, cultural o recreativa), en zonas </w:t>
      </w:r>
      <w:r w:rsidR="00572904">
        <w:rPr>
          <w:spacing w:val="-3"/>
        </w:rPr>
        <w:t>rurales</w:t>
      </w:r>
      <w:r w:rsidR="00572904" w:rsidRPr="00F779B4">
        <w:rPr>
          <w:spacing w:val="-3"/>
        </w:rPr>
        <w:t xml:space="preserve"> </w:t>
      </w:r>
      <w:r w:rsidR="009D132B" w:rsidRPr="00F779B4">
        <w:rPr>
          <w:spacing w:val="-3"/>
        </w:rPr>
        <w:t>y en áreas con elementos naturales susceptibles.</w:t>
      </w:r>
    </w:p>
    <w:p w14:paraId="19BD4182" w14:textId="77777777" w:rsidR="009D132B" w:rsidRPr="00F779B4" w:rsidRDefault="009D132B">
      <w:pPr>
        <w:numPr>
          <w:ilvl w:val="12"/>
          <w:numId w:val="0"/>
        </w:numPr>
        <w:tabs>
          <w:tab w:val="left" w:pos="-2268"/>
        </w:tabs>
        <w:suppressAutoHyphens/>
        <w:rPr>
          <w:spacing w:val="-3"/>
        </w:rPr>
      </w:pPr>
    </w:p>
    <w:p w14:paraId="0C86E016" w14:textId="43385CC3" w:rsidR="009D132B" w:rsidRPr="004068F6" w:rsidRDefault="00641250" w:rsidP="009D132B">
      <w:pPr>
        <w:numPr>
          <w:ilvl w:val="12"/>
          <w:numId w:val="0"/>
        </w:numPr>
        <w:tabs>
          <w:tab w:val="left" w:pos="-2268"/>
        </w:tabs>
        <w:suppressAutoHyphens/>
        <w:rPr>
          <w:rFonts w:cs="Arial"/>
          <w:spacing w:val="-3"/>
        </w:rPr>
      </w:pPr>
      <w:r w:rsidRPr="00641250">
        <w:rPr>
          <w:spacing w:val="-3"/>
        </w:rPr>
        <w:t>Adicionalmente, para cada una de las fuentes de emisión, es necesario establecer su tipo y la actividad económica a la cual se asocia.</w:t>
      </w:r>
    </w:p>
    <w:p w14:paraId="2D4F66E3" w14:textId="77777777" w:rsidR="009D132B" w:rsidRPr="004068F6" w:rsidRDefault="009D132B" w:rsidP="009D132B">
      <w:pPr>
        <w:numPr>
          <w:ilvl w:val="12"/>
          <w:numId w:val="0"/>
        </w:numPr>
        <w:tabs>
          <w:tab w:val="left" w:pos="-2268"/>
        </w:tabs>
        <w:suppressAutoHyphens/>
        <w:rPr>
          <w:rFonts w:cs="Arial"/>
          <w:spacing w:val="-3"/>
        </w:rPr>
      </w:pPr>
    </w:p>
    <w:p w14:paraId="5A2AE376" w14:textId="5FED4EC3" w:rsidR="009D132B" w:rsidRPr="004068F6" w:rsidRDefault="007D7A77">
      <w:pPr>
        <w:numPr>
          <w:ilvl w:val="12"/>
          <w:numId w:val="0"/>
        </w:numPr>
        <w:tabs>
          <w:tab w:val="left" w:pos="-2268"/>
        </w:tabs>
        <w:suppressAutoHyphens/>
        <w:rPr>
          <w:spacing w:val="-3"/>
        </w:rPr>
      </w:pPr>
      <w:r w:rsidRPr="004068F6">
        <w:rPr>
          <w:spacing w:val="-3"/>
        </w:rPr>
        <w:t xml:space="preserve">Si existe un </w:t>
      </w:r>
      <w:r w:rsidR="009D132B" w:rsidRPr="004068F6">
        <w:rPr>
          <w:spacing w:val="-3"/>
        </w:rPr>
        <w:t xml:space="preserve">inventario </w:t>
      </w:r>
      <w:r w:rsidR="009D132B" w:rsidRPr="004068F6">
        <w:rPr>
          <w:rFonts w:cs="Arial"/>
          <w:spacing w:val="-3"/>
        </w:rPr>
        <w:t>oficial</w:t>
      </w:r>
      <w:r w:rsidR="009D132B" w:rsidRPr="004068F6">
        <w:rPr>
          <w:spacing w:val="-3"/>
        </w:rPr>
        <w:t xml:space="preserve"> de emisiones, se debe entregar </w:t>
      </w:r>
      <w:r w:rsidR="00D909AE" w:rsidRPr="004068F6">
        <w:rPr>
          <w:spacing w:val="-3"/>
        </w:rPr>
        <w:t xml:space="preserve">la </w:t>
      </w:r>
      <w:r w:rsidR="009D132B" w:rsidRPr="004068F6">
        <w:rPr>
          <w:spacing w:val="-3"/>
        </w:rPr>
        <w:t xml:space="preserve">información </w:t>
      </w:r>
      <w:r w:rsidR="009D132B" w:rsidRPr="004068F6">
        <w:rPr>
          <w:rFonts w:cs="Arial"/>
          <w:spacing w:val="-3"/>
        </w:rPr>
        <w:t>disponible</w:t>
      </w:r>
      <w:r w:rsidR="009D132B" w:rsidRPr="004068F6">
        <w:rPr>
          <w:spacing w:val="-3"/>
        </w:rPr>
        <w:t xml:space="preserve"> sobre la cuantificación de las emisiones por fuente y la </w:t>
      </w:r>
      <w:r w:rsidR="00D534E3" w:rsidRPr="004068F6">
        <w:rPr>
          <w:spacing w:val="-3"/>
        </w:rPr>
        <w:t xml:space="preserve">determinación </w:t>
      </w:r>
      <w:r w:rsidR="009D132B" w:rsidRPr="004068F6">
        <w:rPr>
          <w:spacing w:val="-3"/>
        </w:rPr>
        <w:t>de los tipos de contaminantes generados.</w:t>
      </w:r>
    </w:p>
    <w:p w14:paraId="09DC537E" w14:textId="77777777" w:rsidR="007D7A77" w:rsidRPr="004068F6" w:rsidRDefault="007D7A77">
      <w:pPr>
        <w:numPr>
          <w:ilvl w:val="12"/>
          <w:numId w:val="0"/>
        </w:numPr>
        <w:tabs>
          <w:tab w:val="left" w:pos="-2268"/>
        </w:tabs>
        <w:suppressAutoHyphens/>
        <w:rPr>
          <w:spacing w:val="-3"/>
        </w:rPr>
      </w:pPr>
    </w:p>
    <w:p w14:paraId="51BADD04" w14:textId="182BB249" w:rsidR="009D132B" w:rsidRPr="004068F6" w:rsidRDefault="009D132B">
      <w:pPr>
        <w:numPr>
          <w:ilvl w:val="12"/>
          <w:numId w:val="0"/>
        </w:numPr>
        <w:tabs>
          <w:tab w:val="left" w:pos="-2268"/>
        </w:tabs>
        <w:suppressAutoHyphens/>
        <w:rPr>
          <w:spacing w:val="-3"/>
        </w:rPr>
      </w:pPr>
      <w:r w:rsidRPr="004068F6">
        <w:rPr>
          <w:spacing w:val="-3"/>
        </w:rPr>
        <w:t xml:space="preserve">Utilizar modelos de </w:t>
      </w:r>
      <w:r w:rsidRPr="004068F6">
        <w:rPr>
          <w:rFonts w:cs="Arial"/>
          <w:spacing w:val="-3"/>
        </w:rPr>
        <w:t>estimación de emisiones</w:t>
      </w:r>
      <w:r w:rsidRPr="004068F6">
        <w:rPr>
          <w:spacing w:val="-3"/>
        </w:rPr>
        <w:t xml:space="preserve"> de fuentes móviles (</w:t>
      </w:r>
      <w:r w:rsidR="00041844" w:rsidRPr="004068F6">
        <w:rPr>
          <w:spacing w:val="-3"/>
        </w:rPr>
        <w:t>p. ej.</w:t>
      </w:r>
      <w:r w:rsidRPr="004068F6">
        <w:rPr>
          <w:spacing w:val="-3"/>
        </w:rPr>
        <w:t xml:space="preserve"> IVE, MOBILE, MOVES o COPERT</w:t>
      </w:r>
      <w:r w:rsidRPr="004068F6">
        <w:rPr>
          <w:rFonts w:cs="Arial"/>
          <w:spacing w:val="-3"/>
        </w:rPr>
        <w:t>, de reconocida aplicación nacional e internacional</w:t>
      </w:r>
      <w:r w:rsidRPr="004068F6">
        <w:rPr>
          <w:spacing w:val="-3"/>
        </w:rPr>
        <w:t xml:space="preserve">) combinados con variables locales (distancias viajadas por la flota, velocidades, entre otras), o factores de emisión de entidades </w:t>
      </w:r>
      <w:r w:rsidR="004F4764" w:rsidRPr="004068F6">
        <w:rPr>
          <w:spacing w:val="-3"/>
        </w:rPr>
        <w:t xml:space="preserve">nacionales o internacionales </w:t>
      </w:r>
      <w:r w:rsidRPr="004068F6">
        <w:rPr>
          <w:rFonts w:cs="Arial"/>
          <w:spacing w:val="-3"/>
        </w:rPr>
        <w:t>con conocimiento</w:t>
      </w:r>
      <w:r w:rsidRPr="004068F6">
        <w:rPr>
          <w:spacing w:val="-3"/>
        </w:rPr>
        <w:t xml:space="preserve"> en la materia. En todo caso, se puede incluir información de inventarios de emisiones realizados por </w:t>
      </w:r>
      <w:r w:rsidR="00DF5AC1" w:rsidRPr="004068F6">
        <w:rPr>
          <w:rFonts w:cs="Arial"/>
          <w:spacing w:val="-3"/>
        </w:rPr>
        <w:t>a</w:t>
      </w:r>
      <w:r w:rsidRPr="004068F6">
        <w:rPr>
          <w:rFonts w:cs="Arial"/>
          <w:spacing w:val="-3"/>
        </w:rPr>
        <w:t xml:space="preserve">utoridades </w:t>
      </w:r>
      <w:r w:rsidR="00DF5AC1" w:rsidRPr="004068F6">
        <w:rPr>
          <w:rFonts w:cs="Arial"/>
          <w:spacing w:val="-3"/>
        </w:rPr>
        <w:t>a</w:t>
      </w:r>
      <w:r w:rsidRPr="004068F6">
        <w:rPr>
          <w:rFonts w:cs="Arial"/>
          <w:spacing w:val="-3"/>
        </w:rPr>
        <w:t xml:space="preserve">mbientales </w:t>
      </w:r>
      <w:r w:rsidRPr="004068F6">
        <w:rPr>
          <w:spacing w:val="-3"/>
        </w:rPr>
        <w:t>u otras entidades</w:t>
      </w:r>
      <w:r w:rsidR="00DF5AC1" w:rsidRPr="004068F6">
        <w:rPr>
          <w:spacing w:val="-3"/>
        </w:rPr>
        <w:t xml:space="preserve"> oficiales</w:t>
      </w:r>
      <w:r w:rsidRPr="004068F6">
        <w:rPr>
          <w:spacing w:val="-3"/>
        </w:rPr>
        <w:t>.</w:t>
      </w:r>
    </w:p>
    <w:p w14:paraId="08BDD133" w14:textId="77777777" w:rsidR="009D132B" w:rsidRPr="004068F6" w:rsidRDefault="009D132B">
      <w:pPr>
        <w:numPr>
          <w:ilvl w:val="12"/>
          <w:numId w:val="0"/>
        </w:numPr>
        <w:tabs>
          <w:tab w:val="left" w:pos="-2268"/>
        </w:tabs>
        <w:suppressAutoHyphens/>
        <w:rPr>
          <w:spacing w:val="-3"/>
        </w:rPr>
      </w:pPr>
    </w:p>
    <w:p w14:paraId="750F56D5" w14:textId="40671DF3" w:rsidR="009D132B" w:rsidRPr="004068F6" w:rsidRDefault="009D132B">
      <w:pPr>
        <w:tabs>
          <w:tab w:val="left" w:pos="-2268"/>
        </w:tabs>
        <w:suppressAutoHyphens/>
        <w:rPr>
          <w:spacing w:val="-3"/>
        </w:rPr>
      </w:pPr>
      <w:r w:rsidRPr="004068F6">
        <w:rPr>
          <w:spacing w:val="-3"/>
        </w:rPr>
        <w:t xml:space="preserve">Realizar un aforo vehicular, a fin de </w:t>
      </w:r>
      <w:r w:rsidR="00F15ABD" w:rsidRPr="004068F6">
        <w:rPr>
          <w:spacing w:val="-3"/>
        </w:rPr>
        <w:t xml:space="preserve">determinar </w:t>
      </w:r>
      <w:r w:rsidRPr="004068F6">
        <w:rPr>
          <w:spacing w:val="-3"/>
        </w:rPr>
        <w:t xml:space="preserve">las fuentes móviles que transitan por las vías </w:t>
      </w:r>
      <w:r w:rsidR="00B77F78" w:rsidRPr="004068F6">
        <w:rPr>
          <w:spacing w:val="-3"/>
        </w:rPr>
        <w:t xml:space="preserve">existentes </w:t>
      </w:r>
      <w:r w:rsidR="00762B14" w:rsidRPr="004068F6">
        <w:rPr>
          <w:spacing w:val="-3"/>
        </w:rPr>
        <w:t>que empleará el proyecto, obra o actividad</w:t>
      </w:r>
      <w:r w:rsidRPr="004068F6">
        <w:rPr>
          <w:spacing w:val="-3"/>
        </w:rPr>
        <w:t>. Se debe</w:t>
      </w:r>
      <w:r w:rsidR="00590B9E" w:rsidRPr="004068F6">
        <w:rPr>
          <w:spacing w:val="-3"/>
        </w:rPr>
        <w:t>n</w:t>
      </w:r>
      <w:r w:rsidRPr="004068F6">
        <w:rPr>
          <w:spacing w:val="-3"/>
        </w:rPr>
        <w:t xml:space="preserve"> señalar las características del punto de aforo, así como clasificar los vehículos de acuerdo </w:t>
      </w:r>
      <w:r w:rsidRPr="004068F6">
        <w:rPr>
          <w:rFonts w:cs="Arial"/>
          <w:spacing w:val="-3"/>
        </w:rPr>
        <w:t>con</w:t>
      </w:r>
      <w:r w:rsidRPr="004068F6">
        <w:rPr>
          <w:spacing w:val="-3"/>
        </w:rPr>
        <w:t xml:space="preserve"> su peso y tipo de combustible, teniendo en cuenta que el levantamiento de información de la flota vehicular, como mínimo, deber ser de </w:t>
      </w:r>
      <w:r w:rsidRPr="004068F6">
        <w:rPr>
          <w:rFonts w:cs="Arial"/>
          <w:spacing w:val="-3"/>
        </w:rPr>
        <w:t>veinticuatro (24</w:t>
      </w:r>
      <w:r w:rsidRPr="004068F6">
        <w:rPr>
          <w:spacing w:val="-3"/>
        </w:rPr>
        <w:t xml:space="preserve">) horas continuas por día, en día hábil y </w:t>
      </w:r>
      <w:r w:rsidRPr="004068F6">
        <w:rPr>
          <w:rFonts w:cs="Arial"/>
          <w:spacing w:val="-3"/>
        </w:rPr>
        <w:t>no hábil</w:t>
      </w:r>
      <w:r w:rsidRPr="004068F6">
        <w:rPr>
          <w:spacing w:val="-3"/>
        </w:rPr>
        <w:t>.</w:t>
      </w:r>
      <w:r w:rsidR="007D7AD3" w:rsidRPr="004068F6">
        <w:rPr>
          <w:spacing w:val="-3"/>
        </w:rPr>
        <w:t xml:space="preserve"> En caso de que el aforo se realice por un tiempo inferior a las 24 horas, </w:t>
      </w:r>
      <w:r w:rsidR="00EF6D0A" w:rsidRPr="004068F6">
        <w:rPr>
          <w:spacing w:val="-3"/>
        </w:rPr>
        <w:t xml:space="preserve">esta situación se debe justificar apropiadamente </w:t>
      </w:r>
      <w:r w:rsidR="007D7AD3" w:rsidRPr="004068F6">
        <w:rPr>
          <w:spacing w:val="-3"/>
        </w:rPr>
        <w:t xml:space="preserve">en función de </w:t>
      </w:r>
      <w:r w:rsidR="00EF6D0A" w:rsidRPr="004068F6">
        <w:rPr>
          <w:spacing w:val="-3"/>
        </w:rPr>
        <w:t xml:space="preserve">variables </w:t>
      </w:r>
      <w:r w:rsidR="007D7AD3" w:rsidRPr="004068F6">
        <w:rPr>
          <w:spacing w:val="-3"/>
        </w:rPr>
        <w:t xml:space="preserve">como </w:t>
      </w:r>
      <w:r w:rsidR="00D909AE" w:rsidRPr="004068F6">
        <w:rPr>
          <w:spacing w:val="-3"/>
        </w:rPr>
        <w:t xml:space="preserve">las </w:t>
      </w:r>
      <w:r w:rsidR="007D7AD3" w:rsidRPr="004068F6">
        <w:rPr>
          <w:spacing w:val="-3"/>
        </w:rPr>
        <w:t>condiciones de seguridad, horarios de operación del proyecto, dificultad de acceso, entre otr</w:t>
      </w:r>
      <w:r w:rsidR="00EF6D0A" w:rsidRPr="004068F6">
        <w:rPr>
          <w:spacing w:val="-3"/>
        </w:rPr>
        <w:t>a</w:t>
      </w:r>
      <w:r w:rsidR="007D7AD3" w:rsidRPr="004068F6">
        <w:rPr>
          <w:spacing w:val="-3"/>
        </w:rPr>
        <w:t>s.</w:t>
      </w:r>
    </w:p>
    <w:p w14:paraId="68832A41" w14:textId="77777777" w:rsidR="009D132B" w:rsidRPr="004068F6" w:rsidRDefault="009D132B">
      <w:pPr>
        <w:numPr>
          <w:ilvl w:val="12"/>
          <w:numId w:val="0"/>
        </w:numPr>
        <w:tabs>
          <w:tab w:val="left" w:pos="-2268"/>
        </w:tabs>
        <w:suppressAutoHyphens/>
        <w:rPr>
          <w:spacing w:val="-3"/>
        </w:rPr>
      </w:pPr>
    </w:p>
    <w:p w14:paraId="0AF8E9A4" w14:textId="77777777" w:rsidR="009D132B" w:rsidRPr="004068F6" w:rsidRDefault="009D132B" w:rsidP="009420F5">
      <w:pPr>
        <w:pStyle w:val="Ttulo4"/>
        <w:tabs>
          <w:tab w:val="clear" w:pos="1844"/>
          <w:tab w:val="num" w:pos="1134"/>
        </w:tabs>
        <w:ind w:left="0"/>
        <w:rPr>
          <w:lang w:val="es-CO"/>
        </w:rPr>
      </w:pPr>
      <w:r w:rsidRPr="004068F6">
        <w:rPr>
          <w:lang w:val="es-CO"/>
        </w:rPr>
        <w:t>Calidad del aire</w:t>
      </w:r>
    </w:p>
    <w:p w14:paraId="0A27ECE2" w14:textId="77777777" w:rsidR="009D132B" w:rsidRPr="004068F6" w:rsidRDefault="009D132B">
      <w:pPr>
        <w:numPr>
          <w:ilvl w:val="12"/>
          <w:numId w:val="0"/>
        </w:numPr>
        <w:tabs>
          <w:tab w:val="left" w:pos="-2268"/>
        </w:tabs>
        <w:suppressAutoHyphens/>
        <w:rPr>
          <w:spacing w:val="-3"/>
        </w:rPr>
      </w:pPr>
    </w:p>
    <w:p w14:paraId="38B74556" w14:textId="3D528978" w:rsidR="009D132B" w:rsidRPr="004068F6" w:rsidRDefault="009D132B">
      <w:pPr>
        <w:numPr>
          <w:ilvl w:val="12"/>
          <w:numId w:val="0"/>
        </w:numPr>
        <w:tabs>
          <w:tab w:val="left" w:pos="-2268"/>
        </w:tabs>
        <w:suppressAutoHyphens/>
        <w:rPr>
          <w:spacing w:val="-3"/>
        </w:rPr>
      </w:pPr>
      <w:r w:rsidRPr="004068F6">
        <w:rPr>
          <w:spacing w:val="-3"/>
        </w:rPr>
        <w:t xml:space="preserve">Presentar los resultados y análisis de la información de estudios sobre la calidad del aire realizados; los datos que se usen pueden ser generados por terceros (incluye a las redes de monitoreo operadas por las autoridades ambientales) </w:t>
      </w:r>
      <w:r w:rsidRPr="004068F6">
        <w:rPr>
          <w:rFonts w:cs="Arial"/>
          <w:spacing w:val="-3"/>
        </w:rPr>
        <w:t xml:space="preserve">siempre y cuando </w:t>
      </w:r>
      <w:r w:rsidRPr="004068F6">
        <w:rPr>
          <w:spacing w:val="-3"/>
        </w:rPr>
        <w:t xml:space="preserve">éstos no </w:t>
      </w:r>
      <w:r w:rsidRPr="004068F6">
        <w:rPr>
          <w:rFonts w:cs="Arial"/>
          <w:spacing w:val="-3"/>
        </w:rPr>
        <w:t>superen</w:t>
      </w:r>
      <w:r w:rsidRPr="004068F6">
        <w:rPr>
          <w:spacing w:val="-3"/>
        </w:rPr>
        <w:t xml:space="preserve"> los dos años de antigüedad y se demuestre la representatividad espacial de las mediciones</w:t>
      </w:r>
      <w:r w:rsidRPr="004068F6">
        <w:rPr>
          <w:rFonts w:cs="Arial"/>
          <w:spacing w:val="-3"/>
        </w:rPr>
        <w:t>.</w:t>
      </w:r>
      <w:r w:rsidRPr="004068F6">
        <w:rPr>
          <w:spacing w:val="-3"/>
        </w:rPr>
        <w:t xml:space="preserve"> En caso de no existir información </w:t>
      </w:r>
      <w:r w:rsidRPr="004068F6">
        <w:rPr>
          <w:rFonts w:cs="Arial"/>
          <w:spacing w:val="-3"/>
        </w:rPr>
        <w:t>representativa</w:t>
      </w:r>
      <w:r w:rsidRPr="004068F6">
        <w:rPr>
          <w:spacing w:val="-3"/>
        </w:rPr>
        <w:t>, se debe determinar la línea base</w:t>
      </w:r>
      <w:r w:rsidRPr="004068F6">
        <w:rPr>
          <w:rFonts w:cs="Arial"/>
          <w:spacing w:val="-3"/>
        </w:rPr>
        <w:t xml:space="preserve"> mediante</w:t>
      </w:r>
      <w:r w:rsidRPr="004068F6">
        <w:rPr>
          <w:spacing w:val="-3"/>
        </w:rPr>
        <w:t xml:space="preserve"> el diseño del Sistema de Vigilancia de Calidad del Aire </w:t>
      </w:r>
      <w:r w:rsidR="008458FA" w:rsidRPr="004068F6">
        <w:rPr>
          <w:rFonts w:cs="Arial"/>
          <w:spacing w:val="-3"/>
        </w:rPr>
        <w:t>Industrial (SVCAI) indicativo</w:t>
      </w:r>
      <w:r w:rsidR="00477FAE" w:rsidRPr="004068F6">
        <w:rPr>
          <w:rFonts w:cs="Arial"/>
          <w:spacing w:val="-3"/>
        </w:rPr>
        <w:t xml:space="preserve"> los cuales no deben superar los dos años de antigüedad</w:t>
      </w:r>
      <w:r w:rsidR="008458FA" w:rsidRPr="004068F6">
        <w:rPr>
          <w:rFonts w:cs="Arial"/>
          <w:spacing w:val="-3"/>
        </w:rPr>
        <w:t xml:space="preserve">, teniendo en cuenta las emisiones contaminantes características del proyecto, obra o actividad. </w:t>
      </w:r>
      <w:r w:rsidR="008458FA" w:rsidRPr="004068F6">
        <w:rPr>
          <w:spacing w:val="-3"/>
        </w:rPr>
        <w:t>En caso de que se cuente con un Sistema de Vigilancia de Calidad del Aire fijo, la información correspondiente se puede utilizar con fines de caracterización siempre y cuando se garantice que sea representativa</w:t>
      </w:r>
      <w:r w:rsidRPr="004068F6">
        <w:rPr>
          <w:spacing w:val="-3"/>
        </w:rPr>
        <w:t>.</w:t>
      </w:r>
    </w:p>
    <w:p w14:paraId="69EBC6A9" w14:textId="77777777" w:rsidR="009D132B" w:rsidRPr="004068F6" w:rsidRDefault="009D132B">
      <w:pPr>
        <w:numPr>
          <w:ilvl w:val="12"/>
          <w:numId w:val="0"/>
        </w:numPr>
        <w:tabs>
          <w:tab w:val="left" w:pos="-2268"/>
        </w:tabs>
        <w:suppressAutoHyphens/>
        <w:rPr>
          <w:spacing w:val="-3"/>
        </w:rPr>
      </w:pPr>
    </w:p>
    <w:p w14:paraId="15313A1B" w14:textId="1E765861" w:rsidR="009D132B" w:rsidRPr="004068F6" w:rsidRDefault="009D132B">
      <w:pPr>
        <w:numPr>
          <w:ilvl w:val="12"/>
          <w:numId w:val="0"/>
        </w:numPr>
        <w:tabs>
          <w:tab w:val="left" w:pos="-2268"/>
        </w:tabs>
        <w:suppressAutoHyphens/>
        <w:rPr>
          <w:spacing w:val="-3"/>
        </w:rPr>
      </w:pPr>
      <w:r w:rsidRPr="004068F6">
        <w:rPr>
          <w:spacing w:val="-3"/>
        </w:rPr>
        <w:t xml:space="preserve">El proceso de </w:t>
      </w:r>
      <w:r w:rsidR="00432CE3" w:rsidRPr="004068F6">
        <w:rPr>
          <w:spacing w:val="-3"/>
        </w:rPr>
        <w:t xml:space="preserve">monitoreo, </w:t>
      </w:r>
      <w:r w:rsidRPr="004068F6">
        <w:rPr>
          <w:spacing w:val="-3"/>
        </w:rPr>
        <w:t xml:space="preserve">generación </w:t>
      </w:r>
      <w:r w:rsidR="00432CE3" w:rsidRPr="004068F6">
        <w:rPr>
          <w:spacing w:val="-3"/>
        </w:rPr>
        <w:t xml:space="preserve">y reporte </w:t>
      </w:r>
      <w:r w:rsidRPr="004068F6">
        <w:rPr>
          <w:spacing w:val="-3"/>
        </w:rPr>
        <w:t xml:space="preserve">de información debe realizarse de acuerdo con lo establecido en el Protocolo para el </w:t>
      </w:r>
      <w:r w:rsidR="00D909AE" w:rsidRPr="004068F6">
        <w:rPr>
          <w:spacing w:val="-3"/>
        </w:rPr>
        <w:t>m</w:t>
      </w:r>
      <w:r w:rsidRPr="004068F6">
        <w:rPr>
          <w:spacing w:val="-3"/>
        </w:rPr>
        <w:t xml:space="preserve">onitoreo y </w:t>
      </w:r>
      <w:r w:rsidR="00D909AE" w:rsidRPr="004068F6">
        <w:rPr>
          <w:spacing w:val="-3"/>
        </w:rPr>
        <w:t>s</w:t>
      </w:r>
      <w:r w:rsidRPr="004068F6">
        <w:rPr>
          <w:spacing w:val="-3"/>
        </w:rPr>
        <w:t xml:space="preserve">eguimiento de la </w:t>
      </w:r>
      <w:r w:rsidR="00D909AE" w:rsidRPr="004068F6">
        <w:rPr>
          <w:spacing w:val="-3"/>
        </w:rPr>
        <w:t>c</w:t>
      </w:r>
      <w:r w:rsidRPr="004068F6">
        <w:rPr>
          <w:spacing w:val="-3"/>
        </w:rPr>
        <w:t xml:space="preserve">alidad del </w:t>
      </w:r>
      <w:r w:rsidR="00D909AE" w:rsidRPr="004068F6">
        <w:rPr>
          <w:spacing w:val="-3"/>
        </w:rPr>
        <w:t>a</w:t>
      </w:r>
      <w:r w:rsidRPr="004068F6">
        <w:rPr>
          <w:spacing w:val="-3"/>
        </w:rPr>
        <w:t>ire</w:t>
      </w:r>
      <w:r w:rsidR="00432CE3" w:rsidRPr="004068F6">
        <w:rPr>
          <w:spacing w:val="-3"/>
        </w:rPr>
        <w:t xml:space="preserve"> de Minambiente, </w:t>
      </w:r>
      <w:r w:rsidR="00432CE3" w:rsidRPr="004068F6">
        <w:rPr>
          <w:rFonts w:cs="Arial"/>
          <w:spacing w:val="-3"/>
        </w:rPr>
        <w:t>adoptado mediante la Resolución 650</w:t>
      </w:r>
      <w:r w:rsidR="00432CE3" w:rsidRPr="004068F6">
        <w:rPr>
          <w:spacing w:val="-3"/>
        </w:rPr>
        <w:t xml:space="preserve"> de </w:t>
      </w:r>
      <w:r w:rsidR="00432CE3" w:rsidRPr="004068F6">
        <w:rPr>
          <w:rFonts w:cs="Arial"/>
          <w:spacing w:val="-3"/>
        </w:rPr>
        <w:t>2010 y ajustado por la Resolución 2154</w:t>
      </w:r>
      <w:r w:rsidR="00432CE3" w:rsidRPr="004068F6">
        <w:rPr>
          <w:spacing w:val="-3"/>
        </w:rPr>
        <w:t xml:space="preserve"> de </w:t>
      </w:r>
      <w:r w:rsidR="00432CE3" w:rsidRPr="004068F6">
        <w:rPr>
          <w:rFonts w:cs="Arial"/>
          <w:spacing w:val="-3"/>
        </w:rPr>
        <w:t>2010</w:t>
      </w:r>
      <w:r w:rsidRPr="004068F6">
        <w:rPr>
          <w:spacing w:val="-3"/>
        </w:rPr>
        <w:t xml:space="preserve">, o </w:t>
      </w:r>
      <w:r w:rsidRPr="004068F6">
        <w:rPr>
          <w:rFonts w:cs="Arial"/>
          <w:spacing w:val="-3"/>
        </w:rPr>
        <w:t>aquel</w:t>
      </w:r>
      <w:r w:rsidR="00432CE3" w:rsidRPr="004068F6">
        <w:rPr>
          <w:rFonts w:cs="Arial"/>
          <w:spacing w:val="-3"/>
        </w:rPr>
        <w:t>la</w:t>
      </w:r>
      <w:r w:rsidRPr="004068F6">
        <w:rPr>
          <w:rFonts w:cs="Arial"/>
          <w:spacing w:val="-3"/>
        </w:rPr>
        <w:t xml:space="preserve"> que l</w:t>
      </w:r>
      <w:r w:rsidR="00432CE3" w:rsidRPr="004068F6">
        <w:rPr>
          <w:rFonts w:cs="Arial"/>
          <w:spacing w:val="-3"/>
        </w:rPr>
        <w:t>a</w:t>
      </w:r>
      <w:r w:rsidRPr="004068F6">
        <w:rPr>
          <w:rFonts w:cs="Arial"/>
          <w:spacing w:val="-3"/>
        </w:rPr>
        <w:t xml:space="preserve"> modifique o sustituya.</w:t>
      </w:r>
    </w:p>
    <w:p w14:paraId="1C8EE930" w14:textId="77777777" w:rsidR="009D132B" w:rsidRPr="004068F6" w:rsidRDefault="009D132B">
      <w:pPr>
        <w:numPr>
          <w:ilvl w:val="12"/>
          <w:numId w:val="0"/>
        </w:numPr>
        <w:tabs>
          <w:tab w:val="left" w:pos="-2268"/>
        </w:tabs>
        <w:suppressAutoHyphens/>
        <w:rPr>
          <w:spacing w:val="-3"/>
        </w:rPr>
      </w:pPr>
    </w:p>
    <w:p w14:paraId="3194A5F0" w14:textId="78DD66EA" w:rsidR="009D132B" w:rsidRPr="004068F6" w:rsidRDefault="009D132B">
      <w:pPr>
        <w:numPr>
          <w:ilvl w:val="12"/>
          <w:numId w:val="0"/>
        </w:numPr>
        <w:tabs>
          <w:tab w:val="left" w:pos="-2268"/>
        </w:tabs>
        <w:suppressAutoHyphens/>
        <w:rPr>
          <w:spacing w:val="-3"/>
        </w:rPr>
      </w:pPr>
      <w:r w:rsidRPr="004068F6">
        <w:rPr>
          <w:spacing w:val="-3"/>
        </w:rPr>
        <w:t xml:space="preserve">La caracterización de la calidad del aire debe ser realizada por laboratorios acreditados por el </w:t>
      </w:r>
      <w:r w:rsidR="00A92356" w:rsidRPr="004068F6">
        <w:rPr>
          <w:spacing w:val="-3"/>
        </w:rPr>
        <w:t>Ideam</w:t>
      </w:r>
      <w:r w:rsidRPr="004068F6">
        <w:rPr>
          <w:spacing w:val="-3"/>
        </w:rPr>
        <w:t xml:space="preserve"> para la toma de muestras y para los análisis de laboratorio respectivos</w:t>
      </w:r>
      <w:r w:rsidR="00DC2CD4" w:rsidRPr="004068F6">
        <w:rPr>
          <w:spacing w:val="-3"/>
        </w:rPr>
        <w:t xml:space="preserve">, asegurando coherencia entre los métodos de toma de muestras y análisis de </w:t>
      </w:r>
      <w:r w:rsidR="004A21E7" w:rsidRPr="004068F6">
        <w:rPr>
          <w:spacing w:val="-3"/>
        </w:rPr>
        <w:t>estas</w:t>
      </w:r>
      <w:r w:rsidRPr="004068F6">
        <w:rPr>
          <w:spacing w:val="-3"/>
        </w:rPr>
        <w:t>.</w:t>
      </w:r>
    </w:p>
    <w:p w14:paraId="2EAEB750" w14:textId="77777777" w:rsidR="009D132B" w:rsidRPr="004068F6" w:rsidRDefault="009D132B">
      <w:pPr>
        <w:numPr>
          <w:ilvl w:val="12"/>
          <w:numId w:val="0"/>
        </w:numPr>
        <w:tabs>
          <w:tab w:val="left" w:pos="-2268"/>
        </w:tabs>
        <w:suppressAutoHyphens/>
        <w:rPr>
          <w:spacing w:val="-3"/>
        </w:rPr>
      </w:pPr>
    </w:p>
    <w:p w14:paraId="7FBB4AB4" w14:textId="409F7315" w:rsidR="009D132B" w:rsidRPr="004068F6" w:rsidRDefault="009D132B">
      <w:pPr>
        <w:numPr>
          <w:ilvl w:val="12"/>
          <w:numId w:val="0"/>
        </w:numPr>
        <w:tabs>
          <w:tab w:val="left" w:pos="-2268"/>
        </w:tabs>
        <w:suppressAutoHyphens/>
        <w:rPr>
          <w:spacing w:val="-3"/>
        </w:rPr>
      </w:pPr>
      <w:r w:rsidRPr="004068F6">
        <w:rPr>
          <w:spacing w:val="-3"/>
        </w:rPr>
        <w:t xml:space="preserve">Los datos e información cartográfica se deben presentar de acuerdo con las especificaciones establecidas en el </w:t>
      </w:r>
      <w:r w:rsidRPr="004068F6">
        <w:rPr>
          <w:rFonts w:cs="Arial"/>
          <w:spacing w:val="-3"/>
        </w:rPr>
        <w:t>MAG</w:t>
      </w:r>
      <w:r w:rsidRPr="004068F6">
        <w:rPr>
          <w:spacing w:val="-3"/>
        </w:rPr>
        <w:t>.</w:t>
      </w:r>
    </w:p>
    <w:p w14:paraId="4F2DE901" w14:textId="77777777" w:rsidR="009D132B" w:rsidRPr="004068F6" w:rsidRDefault="009D132B">
      <w:pPr>
        <w:numPr>
          <w:ilvl w:val="12"/>
          <w:numId w:val="0"/>
        </w:numPr>
        <w:tabs>
          <w:tab w:val="left" w:pos="-2268"/>
        </w:tabs>
        <w:suppressAutoHyphens/>
        <w:rPr>
          <w:spacing w:val="-3"/>
        </w:rPr>
      </w:pPr>
    </w:p>
    <w:p w14:paraId="2F50B0E4" w14:textId="62D62CFF" w:rsidR="009D132B" w:rsidRPr="004068F6" w:rsidRDefault="009D132B">
      <w:pPr>
        <w:numPr>
          <w:ilvl w:val="12"/>
          <w:numId w:val="0"/>
        </w:numPr>
        <w:tabs>
          <w:tab w:val="left" w:pos="-2268"/>
        </w:tabs>
        <w:suppressAutoHyphens/>
        <w:rPr>
          <w:spacing w:val="-3"/>
        </w:rPr>
      </w:pPr>
      <w:r w:rsidRPr="004068F6">
        <w:rPr>
          <w:spacing w:val="-3"/>
        </w:rPr>
        <w:t>La información</w:t>
      </w:r>
      <w:r w:rsidRPr="004068F6">
        <w:rPr>
          <w:rFonts w:cs="Arial"/>
          <w:spacing w:val="-3"/>
        </w:rPr>
        <w:t xml:space="preserve"> generada</w:t>
      </w:r>
      <w:r w:rsidRPr="004068F6">
        <w:rPr>
          <w:spacing w:val="-3"/>
        </w:rPr>
        <w:t xml:space="preserve"> se debe presentar en mapas </w:t>
      </w:r>
      <w:r w:rsidR="00DC2CD4" w:rsidRPr="004068F6">
        <w:rPr>
          <w:spacing w:val="-3"/>
        </w:rPr>
        <w:t xml:space="preserve">conforme </w:t>
      </w:r>
      <w:r w:rsidR="009C0241" w:rsidRPr="004068F6">
        <w:rPr>
          <w:spacing w:val="-3"/>
        </w:rPr>
        <w:t>con</w:t>
      </w:r>
      <w:r w:rsidR="00DC2CD4" w:rsidRPr="004068F6">
        <w:rPr>
          <w:spacing w:val="-3"/>
        </w:rPr>
        <w:t xml:space="preserve"> lo solicitado</w:t>
      </w:r>
      <w:r w:rsidR="009C0241" w:rsidRPr="004068F6">
        <w:rPr>
          <w:spacing w:val="-3"/>
        </w:rPr>
        <w:t xml:space="preserve"> </w:t>
      </w:r>
      <w:r w:rsidRPr="004068F6">
        <w:rPr>
          <w:spacing w:val="-3"/>
        </w:rPr>
        <w:t>en los términos de referencia</w:t>
      </w:r>
      <w:r w:rsidR="00DC2CD4" w:rsidRPr="004068F6">
        <w:rPr>
          <w:spacing w:val="-3"/>
        </w:rPr>
        <w:t xml:space="preserve"> y la escala allí definida</w:t>
      </w:r>
      <w:r w:rsidRPr="004068F6">
        <w:rPr>
          <w:spacing w:val="-3"/>
        </w:rPr>
        <w:t xml:space="preserve">, o </w:t>
      </w:r>
      <w:r w:rsidR="001D592E" w:rsidRPr="004068F6">
        <w:rPr>
          <w:spacing w:val="-3"/>
        </w:rPr>
        <w:t xml:space="preserve">con </w:t>
      </w:r>
      <w:r w:rsidRPr="004068F6">
        <w:rPr>
          <w:spacing w:val="-3"/>
        </w:rPr>
        <w:t xml:space="preserve">una de mayor detalle </w:t>
      </w:r>
      <w:r w:rsidR="001D592E" w:rsidRPr="004068F6">
        <w:rPr>
          <w:spacing w:val="-3"/>
        </w:rPr>
        <w:t xml:space="preserve">si </w:t>
      </w:r>
      <w:r w:rsidRPr="004068F6">
        <w:rPr>
          <w:rFonts w:cs="Arial"/>
          <w:spacing w:val="-3"/>
        </w:rPr>
        <w:t>las especificidades del proyecto</w:t>
      </w:r>
      <w:r w:rsidR="001D592E" w:rsidRPr="004068F6">
        <w:rPr>
          <w:rFonts w:cs="Arial"/>
          <w:spacing w:val="-3"/>
        </w:rPr>
        <w:t xml:space="preserve"> lo requieren</w:t>
      </w:r>
      <w:r w:rsidRPr="004068F6">
        <w:rPr>
          <w:spacing w:val="-3"/>
        </w:rPr>
        <w:t>.</w:t>
      </w:r>
    </w:p>
    <w:p w14:paraId="0BFAB3FF" w14:textId="2FB14C43" w:rsidR="009D132B" w:rsidRPr="004068F6" w:rsidRDefault="009D132B">
      <w:pPr>
        <w:numPr>
          <w:ilvl w:val="12"/>
          <w:numId w:val="0"/>
        </w:numPr>
        <w:tabs>
          <w:tab w:val="left" w:pos="-2268"/>
        </w:tabs>
        <w:suppressAutoHyphens/>
        <w:rPr>
          <w:spacing w:val="-3"/>
        </w:rPr>
      </w:pPr>
    </w:p>
    <w:p w14:paraId="5A568A6F" w14:textId="77777777" w:rsidR="00432CE3" w:rsidRPr="004068F6" w:rsidRDefault="00432CE3" w:rsidP="009420F5">
      <w:pPr>
        <w:pStyle w:val="Ttulo4"/>
        <w:tabs>
          <w:tab w:val="clear" w:pos="1844"/>
          <w:tab w:val="num" w:pos="1134"/>
        </w:tabs>
        <w:ind w:left="0"/>
        <w:rPr>
          <w:lang w:val="es-CO"/>
        </w:rPr>
      </w:pPr>
      <w:bookmarkStart w:id="2875" w:name="_Toc51937343"/>
      <w:r w:rsidRPr="004068F6">
        <w:rPr>
          <w:lang w:val="es-CO"/>
        </w:rPr>
        <w:t>Olores ofensivos</w:t>
      </w:r>
      <w:bookmarkEnd w:id="2875"/>
    </w:p>
    <w:p w14:paraId="4509A1AF" w14:textId="77777777" w:rsidR="00432CE3" w:rsidRPr="004068F6" w:rsidRDefault="00432CE3" w:rsidP="00432CE3"/>
    <w:p w14:paraId="34B7F6E8" w14:textId="68904ACB" w:rsidR="008A656A" w:rsidRPr="004068F6" w:rsidRDefault="002E48B8" w:rsidP="00432CE3">
      <w:pPr>
        <w:numPr>
          <w:ilvl w:val="12"/>
          <w:numId w:val="0"/>
        </w:numPr>
        <w:tabs>
          <w:tab w:val="left" w:pos="-2268"/>
        </w:tabs>
        <w:suppressAutoHyphens/>
      </w:pPr>
      <w:r w:rsidRPr="004068F6">
        <w:t>E</w:t>
      </w:r>
      <w:r w:rsidR="008A656A" w:rsidRPr="004068F6">
        <w:t xml:space="preserve">s necesario georreferenciar las fuentes antropogénicas </w:t>
      </w:r>
      <w:r w:rsidR="00413334" w:rsidRPr="004068F6">
        <w:t xml:space="preserve">y </w:t>
      </w:r>
      <w:r w:rsidR="008A656A" w:rsidRPr="004068F6">
        <w:t xml:space="preserve">naturales existentes, y a </w:t>
      </w:r>
      <w:r w:rsidR="00F5284D" w:rsidRPr="004068F6">
        <w:t>partir del uso de factores de emisión</w:t>
      </w:r>
      <w:r w:rsidR="00954203" w:rsidRPr="004068F6">
        <w:t>, principalmente,</w:t>
      </w:r>
      <w:r w:rsidR="00F5284D" w:rsidRPr="004068F6">
        <w:t xml:space="preserve"> </w:t>
      </w:r>
      <w:r w:rsidR="00F76E01" w:rsidRPr="004068F6">
        <w:t>o</w:t>
      </w:r>
      <w:r w:rsidR="00F5284D" w:rsidRPr="004068F6">
        <w:t xml:space="preserve"> </w:t>
      </w:r>
      <w:r w:rsidR="00F76E01" w:rsidRPr="004068F6">
        <w:t xml:space="preserve">de </w:t>
      </w:r>
      <w:r w:rsidR="00F5284D" w:rsidRPr="004068F6">
        <w:t>mediciones directas</w:t>
      </w:r>
      <w:r w:rsidR="00F76E01" w:rsidRPr="004068F6">
        <w:t xml:space="preserve"> (cuando que se cuente con facilidades para ello)</w:t>
      </w:r>
      <w:r w:rsidR="008A656A" w:rsidRPr="004068F6">
        <w:t>, determinar las concentraciones en las que las sustancias generadoras de olores ofensivos o sus mezclas están presentes.</w:t>
      </w:r>
    </w:p>
    <w:p w14:paraId="0FC872A6" w14:textId="77777777" w:rsidR="008A656A" w:rsidRPr="004068F6" w:rsidRDefault="008A656A" w:rsidP="00432CE3">
      <w:pPr>
        <w:numPr>
          <w:ilvl w:val="12"/>
          <w:numId w:val="0"/>
        </w:numPr>
        <w:tabs>
          <w:tab w:val="left" w:pos="-2268"/>
        </w:tabs>
        <w:suppressAutoHyphens/>
      </w:pPr>
    </w:p>
    <w:p w14:paraId="021C2E12" w14:textId="63E71268" w:rsidR="008A656A" w:rsidRPr="004068F6" w:rsidRDefault="008A656A" w:rsidP="00432CE3">
      <w:pPr>
        <w:numPr>
          <w:ilvl w:val="12"/>
          <w:numId w:val="0"/>
        </w:numPr>
        <w:tabs>
          <w:tab w:val="left" w:pos="-2268"/>
        </w:tabs>
        <w:suppressAutoHyphens/>
      </w:pPr>
      <w:r w:rsidRPr="004068F6">
        <w:t xml:space="preserve">Los procedimientos y especificaciones técnicas para </w:t>
      </w:r>
      <w:r w:rsidR="00590B9E" w:rsidRPr="004068F6">
        <w:t xml:space="preserve">determinar </w:t>
      </w:r>
      <w:r w:rsidRPr="004068F6">
        <w:t xml:space="preserve">la presencia </w:t>
      </w:r>
      <w:r w:rsidR="005A477A" w:rsidRPr="004068F6">
        <w:t xml:space="preserve">de </w:t>
      </w:r>
      <w:r w:rsidRPr="004068F6">
        <w:t xml:space="preserve">estas sustancias en el </w:t>
      </w:r>
      <w:r w:rsidR="00434EA7" w:rsidRPr="004068F6">
        <w:t>aire</w:t>
      </w:r>
      <w:r w:rsidRPr="004068F6">
        <w:t xml:space="preserve"> se encuentran contenidas en la Resolución 1541 de 2013, o en aquella </w:t>
      </w:r>
      <w:r w:rsidR="005A477A" w:rsidRPr="004068F6">
        <w:t xml:space="preserve">norma que la </w:t>
      </w:r>
      <w:r w:rsidRPr="004068F6">
        <w:t xml:space="preserve">modifique o sustituya, y en el Protocolo para el </w:t>
      </w:r>
      <w:r w:rsidRPr="004068F6">
        <w:lastRenderedPageBreak/>
        <w:t>monitoreo, control y vigilancia de olores ofensivos, adoptado mediante la Resolución 2087 de 2014.</w:t>
      </w:r>
    </w:p>
    <w:p w14:paraId="1A200B19" w14:textId="77777777" w:rsidR="00432CE3" w:rsidRPr="004068F6" w:rsidRDefault="00432CE3">
      <w:pPr>
        <w:numPr>
          <w:ilvl w:val="12"/>
          <w:numId w:val="0"/>
        </w:numPr>
        <w:tabs>
          <w:tab w:val="left" w:pos="-2268"/>
        </w:tabs>
        <w:suppressAutoHyphens/>
        <w:rPr>
          <w:spacing w:val="-3"/>
        </w:rPr>
      </w:pPr>
    </w:p>
    <w:p w14:paraId="2BD80173" w14:textId="77777777" w:rsidR="009D132B" w:rsidRPr="004068F6" w:rsidRDefault="009D132B" w:rsidP="009420F5">
      <w:pPr>
        <w:pStyle w:val="Ttulo4"/>
        <w:tabs>
          <w:tab w:val="clear" w:pos="1844"/>
          <w:tab w:val="num" w:pos="1134"/>
        </w:tabs>
        <w:ind w:left="0"/>
        <w:rPr>
          <w:lang w:val="es-CO"/>
        </w:rPr>
      </w:pPr>
      <w:bookmarkStart w:id="2876" w:name="_Ref495933677"/>
      <w:r w:rsidRPr="004068F6">
        <w:rPr>
          <w:lang w:val="es-CO"/>
        </w:rPr>
        <w:t>Ruido</w:t>
      </w:r>
      <w:bookmarkEnd w:id="2876"/>
    </w:p>
    <w:p w14:paraId="18BC5B04" w14:textId="77777777" w:rsidR="009D132B" w:rsidRPr="004068F6" w:rsidRDefault="009D132B">
      <w:pPr>
        <w:numPr>
          <w:ilvl w:val="12"/>
          <w:numId w:val="0"/>
        </w:numPr>
        <w:tabs>
          <w:tab w:val="left" w:pos="-2268"/>
        </w:tabs>
        <w:suppressAutoHyphens/>
        <w:rPr>
          <w:spacing w:val="-3"/>
        </w:rPr>
      </w:pPr>
    </w:p>
    <w:p w14:paraId="06A59326" w14:textId="3F32F291" w:rsidR="008C6632" w:rsidRPr="004068F6" w:rsidRDefault="008C6632" w:rsidP="008C6632">
      <w:pPr>
        <w:numPr>
          <w:ilvl w:val="12"/>
          <w:numId w:val="0"/>
        </w:numPr>
        <w:tabs>
          <w:tab w:val="left" w:pos="-2268"/>
        </w:tabs>
        <w:suppressAutoHyphens/>
        <w:rPr>
          <w:spacing w:val="-3"/>
        </w:rPr>
      </w:pPr>
      <w:r w:rsidRPr="004068F6">
        <w:rPr>
          <w:spacing w:val="-3"/>
        </w:rPr>
        <w:t xml:space="preserve">La información de caracterización de ruido debe permitir </w:t>
      </w:r>
      <w:r w:rsidR="00590B9E" w:rsidRPr="004068F6">
        <w:rPr>
          <w:spacing w:val="-3"/>
        </w:rPr>
        <w:t xml:space="preserve">conocer </w:t>
      </w:r>
      <w:r w:rsidRPr="004068F6">
        <w:rPr>
          <w:spacing w:val="-3"/>
        </w:rPr>
        <w:t>e inventariar los aportes de las fuentes existentes</w:t>
      </w:r>
      <w:r w:rsidR="00102400">
        <w:rPr>
          <w:spacing w:val="-3"/>
        </w:rPr>
        <w:t>,</w:t>
      </w:r>
      <w:r w:rsidR="003169A2" w:rsidRPr="003169A2">
        <w:rPr>
          <w:spacing w:val="-3"/>
        </w:rPr>
        <w:t xml:space="preserve"> </w:t>
      </w:r>
      <w:r w:rsidR="003169A2">
        <w:rPr>
          <w:spacing w:val="-3"/>
        </w:rPr>
        <w:t>determinar los potenciales receptores de interés</w:t>
      </w:r>
      <w:r w:rsidR="0075511E" w:rsidRPr="004068F6">
        <w:rPr>
          <w:spacing w:val="-3"/>
        </w:rPr>
        <w:t xml:space="preserve"> y</w:t>
      </w:r>
      <w:r w:rsidR="00102400">
        <w:rPr>
          <w:spacing w:val="-3"/>
        </w:rPr>
        <w:t>,</w:t>
      </w:r>
      <w:r w:rsidRPr="004068F6">
        <w:rPr>
          <w:rFonts w:cs="Arial"/>
          <w:spacing w:val="-3"/>
        </w:rPr>
        <w:t xml:space="preserve"> </w:t>
      </w:r>
      <w:r w:rsidR="0075511E" w:rsidRPr="004068F6">
        <w:rPr>
          <w:rFonts w:cs="Arial"/>
          <w:spacing w:val="-3"/>
        </w:rPr>
        <w:t xml:space="preserve">elaborar </w:t>
      </w:r>
      <w:r w:rsidRPr="004068F6">
        <w:rPr>
          <w:spacing w:val="-3"/>
        </w:rPr>
        <w:t>cartografía temática sobre ruido a partir del análisis de la información señalada a continuación</w:t>
      </w:r>
      <w:r w:rsidR="00102400">
        <w:rPr>
          <w:spacing w:val="-3"/>
        </w:rPr>
        <w:t>:</w:t>
      </w:r>
    </w:p>
    <w:p w14:paraId="3968DAFB" w14:textId="77777777" w:rsidR="008C6632" w:rsidRPr="004068F6" w:rsidRDefault="008C6632">
      <w:pPr>
        <w:numPr>
          <w:ilvl w:val="12"/>
          <w:numId w:val="0"/>
        </w:numPr>
        <w:tabs>
          <w:tab w:val="left" w:pos="-2268"/>
        </w:tabs>
        <w:suppressAutoHyphens/>
        <w:rPr>
          <w:spacing w:val="-3"/>
        </w:rPr>
      </w:pPr>
    </w:p>
    <w:p w14:paraId="6F227274" w14:textId="49A55FDB" w:rsidR="009D132B" w:rsidRPr="004068F6" w:rsidRDefault="009D132B" w:rsidP="00C86DA5">
      <w:pPr>
        <w:numPr>
          <w:ilvl w:val="0"/>
          <w:numId w:val="58"/>
        </w:numPr>
        <w:tabs>
          <w:tab w:val="clear" w:pos="360"/>
        </w:tabs>
        <w:suppressAutoHyphens/>
        <w:ind w:left="567" w:hanging="567"/>
        <w:rPr>
          <w:spacing w:val="-3"/>
        </w:rPr>
      </w:pPr>
      <w:r w:rsidRPr="004068F6">
        <w:rPr>
          <w:spacing w:val="-3"/>
        </w:rPr>
        <w:t xml:space="preserve">Fuentes de generación de ruido </w:t>
      </w:r>
      <w:r w:rsidR="00BA6824" w:rsidRPr="004068F6">
        <w:rPr>
          <w:rFonts w:cs="Arial"/>
          <w:spacing w:val="-3"/>
        </w:rPr>
        <w:t xml:space="preserve">ya sea </w:t>
      </w:r>
      <w:r w:rsidRPr="004068F6">
        <w:rPr>
          <w:rFonts w:cs="Arial"/>
          <w:spacing w:val="-3"/>
        </w:rPr>
        <w:t xml:space="preserve">puntuales, </w:t>
      </w:r>
      <w:r w:rsidRPr="004068F6">
        <w:rPr>
          <w:spacing w:val="-3"/>
        </w:rPr>
        <w:t xml:space="preserve">de área y </w:t>
      </w:r>
      <w:r w:rsidRPr="004068F6">
        <w:rPr>
          <w:rFonts w:cs="Arial"/>
          <w:spacing w:val="-3"/>
        </w:rPr>
        <w:t xml:space="preserve">lineales, </w:t>
      </w:r>
      <w:r w:rsidRPr="004068F6">
        <w:rPr>
          <w:spacing w:val="-3"/>
        </w:rPr>
        <w:t xml:space="preserve">los trazados de las </w:t>
      </w:r>
      <w:r w:rsidRPr="004068F6">
        <w:rPr>
          <w:rFonts w:cs="Arial"/>
          <w:spacing w:val="-3"/>
        </w:rPr>
        <w:t xml:space="preserve">fuentes </w:t>
      </w:r>
      <w:r w:rsidRPr="004068F6">
        <w:rPr>
          <w:spacing w:val="-3"/>
        </w:rPr>
        <w:t>móviles con sus respectivos aforos</w:t>
      </w:r>
      <w:r w:rsidRPr="004068F6">
        <w:rPr>
          <w:rFonts w:cs="Arial"/>
          <w:spacing w:val="-3"/>
        </w:rPr>
        <w:t xml:space="preserve"> vehiculares discriminando el periodo </w:t>
      </w:r>
      <w:r w:rsidR="00377C1C" w:rsidRPr="004068F6">
        <w:rPr>
          <w:rFonts w:cs="Arial"/>
          <w:spacing w:val="-3"/>
        </w:rPr>
        <w:t xml:space="preserve">de evaluación </w:t>
      </w:r>
      <w:r w:rsidRPr="004068F6">
        <w:rPr>
          <w:rFonts w:cs="Arial"/>
          <w:spacing w:val="-3"/>
        </w:rPr>
        <w:t xml:space="preserve">(de manera horaria vehículo/hora, vehículos totales) conforme a </w:t>
      </w:r>
      <w:r w:rsidR="00377C1C" w:rsidRPr="004068F6">
        <w:rPr>
          <w:rFonts w:cs="Arial"/>
          <w:spacing w:val="-3"/>
        </w:rPr>
        <w:t xml:space="preserve">lo </w:t>
      </w:r>
      <w:r w:rsidR="00237D4B" w:rsidRPr="004068F6">
        <w:rPr>
          <w:rFonts w:cs="Arial"/>
          <w:spacing w:val="-3"/>
        </w:rPr>
        <w:t xml:space="preserve">establecido </w:t>
      </w:r>
      <w:r w:rsidRPr="004068F6">
        <w:rPr>
          <w:rFonts w:cs="Arial"/>
          <w:spacing w:val="-3"/>
        </w:rPr>
        <w:t xml:space="preserve">por la </w:t>
      </w:r>
      <w:r w:rsidR="007A75CE" w:rsidRPr="004068F6">
        <w:rPr>
          <w:rFonts w:cs="Arial"/>
          <w:spacing w:val="-3"/>
        </w:rPr>
        <w:t>R</w:t>
      </w:r>
      <w:r w:rsidRPr="004068F6">
        <w:rPr>
          <w:rFonts w:cs="Arial"/>
          <w:spacing w:val="-3"/>
        </w:rPr>
        <w:t xml:space="preserve">esolución 627 de 2006 </w:t>
      </w:r>
      <w:r w:rsidR="00377C1C" w:rsidRPr="004068F6">
        <w:rPr>
          <w:rFonts w:cs="Arial"/>
          <w:spacing w:val="-3"/>
        </w:rPr>
        <w:t>o aquella que la modifique o sustituya</w:t>
      </w:r>
      <w:r w:rsidRPr="004068F6">
        <w:rPr>
          <w:rFonts w:cs="Arial"/>
          <w:spacing w:val="-3"/>
        </w:rPr>
        <w:t xml:space="preserve">, el tipo de vehículo (liviano, pesado, moto), </w:t>
      </w:r>
      <w:r w:rsidR="004C1E23" w:rsidRPr="004068F6">
        <w:rPr>
          <w:rFonts w:cs="Arial"/>
          <w:spacing w:val="-3"/>
        </w:rPr>
        <w:t xml:space="preserve">la </w:t>
      </w:r>
      <w:r w:rsidRPr="004068F6">
        <w:rPr>
          <w:rFonts w:cs="Arial"/>
          <w:spacing w:val="-3"/>
        </w:rPr>
        <w:t xml:space="preserve">velocidad promedio, </w:t>
      </w:r>
      <w:r w:rsidR="004C1E23" w:rsidRPr="004068F6">
        <w:rPr>
          <w:rFonts w:cs="Arial"/>
          <w:spacing w:val="-3"/>
        </w:rPr>
        <w:t xml:space="preserve">la </w:t>
      </w:r>
      <w:r w:rsidRPr="004068F6">
        <w:rPr>
          <w:rFonts w:cs="Arial"/>
          <w:spacing w:val="-3"/>
        </w:rPr>
        <w:t>clasificación de la superficie de rodamiento (vías, rieles)</w:t>
      </w:r>
      <w:r w:rsidR="004C1E23" w:rsidRPr="004068F6">
        <w:rPr>
          <w:rFonts w:cs="Arial"/>
          <w:spacing w:val="-3"/>
        </w:rPr>
        <w:t xml:space="preserve"> y</w:t>
      </w:r>
      <w:r w:rsidRPr="004068F6">
        <w:rPr>
          <w:rFonts w:cs="Arial"/>
          <w:spacing w:val="-3"/>
        </w:rPr>
        <w:t xml:space="preserve"> </w:t>
      </w:r>
      <w:r w:rsidR="004C1E23" w:rsidRPr="004068F6">
        <w:rPr>
          <w:rFonts w:cs="Arial"/>
          <w:spacing w:val="-3"/>
        </w:rPr>
        <w:t xml:space="preserve">las </w:t>
      </w:r>
      <w:r w:rsidRPr="004068F6">
        <w:rPr>
          <w:rFonts w:cs="Arial"/>
          <w:spacing w:val="-3"/>
        </w:rPr>
        <w:t xml:space="preserve">características de carril (ancho, </w:t>
      </w:r>
      <w:r w:rsidR="004C1E23" w:rsidRPr="004068F6">
        <w:rPr>
          <w:rFonts w:cs="Arial"/>
          <w:spacing w:val="-3"/>
        </w:rPr>
        <w:t>cantidad</w:t>
      </w:r>
      <w:r w:rsidRPr="004068F6">
        <w:rPr>
          <w:rFonts w:cs="Arial"/>
          <w:spacing w:val="-3"/>
        </w:rPr>
        <w:t>, dirección de tránsito, tipo de grava, material balasto, entre otras)</w:t>
      </w:r>
      <w:r w:rsidR="001D592E" w:rsidRPr="004068F6">
        <w:rPr>
          <w:rFonts w:cs="Arial"/>
          <w:spacing w:val="-3"/>
        </w:rPr>
        <w:t>.</w:t>
      </w:r>
    </w:p>
    <w:p w14:paraId="178DC5C1" w14:textId="77777777" w:rsidR="009D132B" w:rsidRPr="004068F6" w:rsidRDefault="009D132B">
      <w:pPr>
        <w:tabs>
          <w:tab w:val="left" w:pos="-2268"/>
        </w:tabs>
        <w:suppressAutoHyphens/>
        <w:rPr>
          <w:spacing w:val="-3"/>
        </w:rPr>
      </w:pPr>
    </w:p>
    <w:p w14:paraId="53B1158F" w14:textId="77777777" w:rsidR="00102400" w:rsidRDefault="00102400" w:rsidP="00127BD4">
      <w:pPr>
        <w:numPr>
          <w:ilvl w:val="0"/>
          <w:numId w:val="58"/>
        </w:numPr>
        <w:tabs>
          <w:tab w:val="clear" w:pos="360"/>
        </w:tabs>
        <w:suppressAutoHyphens/>
        <w:ind w:left="567" w:hanging="567"/>
        <w:rPr>
          <w:spacing w:val="-3"/>
        </w:rPr>
      </w:pPr>
      <w:r>
        <w:rPr>
          <w:spacing w:val="-3"/>
        </w:rPr>
        <w:t>P</w:t>
      </w:r>
      <w:r w:rsidRPr="00EA48A9">
        <w:rPr>
          <w:spacing w:val="-3"/>
        </w:rPr>
        <w:t>otenciales receptores de interés</w:t>
      </w:r>
      <w:r>
        <w:rPr>
          <w:spacing w:val="-3"/>
        </w:rPr>
        <w:t xml:space="preserve"> en </w:t>
      </w:r>
      <w:r w:rsidRPr="00EA48A9">
        <w:rPr>
          <w:spacing w:val="-3"/>
        </w:rPr>
        <w:t>asentamientos humanos en zonas urbanas y rurales, especificando el tipo de receptor (p. ej. viviendas, instituciones educativas, centros de salud) y el uso de suelo asociado.</w:t>
      </w:r>
    </w:p>
    <w:p w14:paraId="4B94F3A7" w14:textId="77777777" w:rsidR="00102400" w:rsidRPr="00E80769" w:rsidRDefault="00102400" w:rsidP="00127BD4">
      <w:pPr>
        <w:suppressAutoHyphens/>
        <w:rPr>
          <w:spacing w:val="-3"/>
        </w:rPr>
      </w:pPr>
    </w:p>
    <w:p w14:paraId="497D6F76" w14:textId="2C542C4E" w:rsidR="009D132B" w:rsidRPr="003B413F" w:rsidRDefault="00102400" w:rsidP="00127BD4">
      <w:pPr>
        <w:numPr>
          <w:ilvl w:val="0"/>
          <w:numId w:val="58"/>
        </w:numPr>
        <w:tabs>
          <w:tab w:val="clear" w:pos="360"/>
        </w:tabs>
        <w:suppressAutoHyphens/>
        <w:ind w:left="567" w:hanging="567"/>
        <w:rPr>
          <w:spacing w:val="-3"/>
        </w:rPr>
      </w:pPr>
      <w:r>
        <w:rPr>
          <w:spacing w:val="-3"/>
        </w:rPr>
        <w:t>Á</w:t>
      </w:r>
      <w:r w:rsidRPr="00EA48A9">
        <w:rPr>
          <w:spacing w:val="-3"/>
        </w:rPr>
        <w:t xml:space="preserve">reas </w:t>
      </w:r>
      <w:r>
        <w:rPr>
          <w:spacing w:val="-3"/>
        </w:rPr>
        <w:t xml:space="preserve">pecuarias y AEIA (p. ej. </w:t>
      </w:r>
      <w:r w:rsidRPr="00EA48A9">
        <w:rPr>
          <w:spacing w:val="-3"/>
        </w:rPr>
        <w:t xml:space="preserve">AICA, </w:t>
      </w:r>
      <w:r>
        <w:rPr>
          <w:spacing w:val="-3"/>
        </w:rPr>
        <w:t>humedales</w:t>
      </w:r>
      <w:r w:rsidRPr="00EA48A9">
        <w:rPr>
          <w:spacing w:val="-3"/>
        </w:rPr>
        <w:t xml:space="preserve">, </w:t>
      </w:r>
      <w:r>
        <w:rPr>
          <w:spacing w:val="-3"/>
        </w:rPr>
        <w:t>manglares, s</w:t>
      </w:r>
      <w:r w:rsidRPr="00EC1A6A">
        <w:rPr>
          <w:spacing w:val="-3"/>
        </w:rPr>
        <w:t>antuario</w:t>
      </w:r>
      <w:r>
        <w:rPr>
          <w:spacing w:val="-3"/>
        </w:rPr>
        <w:t>s</w:t>
      </w:r>
      <w:r w:rsidRPr="00EC1A6A">
        <w:rPr>
          <w:spacing w:val="-3"/>
        </w:rPr>
        <w:t xml:space="preserve"> de fauna</w:t>
      </w:r>
      <w:r>
        <w:rPr>
          <w:spacing w:val="-3"/>
        </w:rPr>
        <w:t>)</w:t>
      </w:r>
      <w:r w:rsidRPr="00EA48A9">
        <w:rPr>
          <w:spacing w:val="-3"/>
        </w:rPr>
        <w:t xml:space="preserve"> que pued</w:t>
      </w:r>
      <w:r>
        <w:rPr>
          <w:spacing w:val="-3"/>
        </w:rPr>
        <w:t>a</w:t>
      </w:r>
      <w:r w:rsidRPr="00EA48A9">
        <w:rPr>
          <w:spacing w:val="-3"/>
        </w:rPr>
        <w:t>n resultar impactadas por el aumento en</w:t>
      </w:r>
      <w:r>
        <w:rPr>
          <w:spacing w:val="-3"/>
        </w:rPr>
        <w:t xml:space="preserve"> la presión sonora.</w:t>
      </w:r>
    </w:p>
    <w:p w14:paraId="06B3E800" w14:textId="77777777" w:rsidR="00D87119" w:rsidRPr="004068F6" w:rsidRDefault="00D87119" w:rsidP="009420F5">
      <w:pPr>
        <w:suppressAutoHyphens/>
        <w:rPr>
          <w:rFonts w:cs="Arial"/>
          <w:spacing w:val="-3"/>
        </w:rPr>
      </w:pPr>
    </w:p>
    <w:p w14:paraId="4648D78D" w14:textId="0C928688" w:rsidR="009D132B" w:rsidRPr="004068F6" w:rsidRDefault="009D132B" w:rsidP="009420F5">
      <w:pPr>
        <w:pStyle w:val="Ttulo5"/>
        <w:tabs>
          <w:tab w:val="clear" w:pos="2160"/>
          <w:tab w:val="num" w:pos="1134"/>
        </w:tabs>
        <w:ind w:left="1134" w:hanging="1134"/>
        <w:rPr>
          <w:lang w:val="es-CO"/>
        </w:rPr>
      </w:pPr>
      <w:r w:rsidRPr="004068F6">
        <w:rPr>
          <w:lang w:val="es-CO"/>
        </w:rPr>
        <w:t>Modelos de ruido</w:t>
      </w:r>
    </w:p>
    <w:p w14:paraId="738220A0" w14:textId="77777777" w:rsidR="009D132B" w:rsidRPr="004068F6" w:rsidRDefault="009D132B" w:rsidP="009D132B">
      <w:pPr>
        <w:suppressAutoHyphens/>
        <w:rPr>
          <w:rFonts w:cs="Arial"/>
          <w:spacing w:val="-3"/>
        </w:rPr>
      </w:pPr>
    </w:p>
    <w:p w14:paraId="622A91A2" w14:textId="634E10D6" w:rsidR="009D132B" w:rsidRPr="004068F6" w:rsidRDefault="008757B8" w:rsidP="009D132B">
      <w:pPr>
        <w:numPr>
          <w:ilvl w:val="12"/>
          <w:numId w:val="0"/>
        </w:numPr>
        <w:tabs>
          <w:tab w:val="left" w:pos="-2268"/>
        </w:tabs>
        <w:suppressAutoHyphens/>
        <w:rPr>
          <w:rFonts w:cs="Arial"/>
          <w:spacing w:val="-3"/>
        </w:rPr>
      </w:pPr>
      <w:r w:rsidRPr="004068F6">
        <w:rPr>
          <w:rFonts w:cs="Arial"/>
          <w:spacing w:val="-3"/>
        </w:rPr>
        <w:t>S</w:t>
      </w:r>
      <w:r w:rsidR="009D132B" w:rsidRPr="004068F6">
        <w:rPr>
          <w:rFonts w:cs="Arial"/>
          <w:spacing w:val="-3"/>
        </w:rPr>
        <w:t xml:space="preserve">e debe aplicar un modelo de propagación de ruido </w:t>
      </w:r>
      <w:r w:rsidR="00377C1C" w:rsidRPr="004068F6">
        <w:rPr>
          <w:rFonts w:cs="Arial"/>
          <w:spacing w:val="-3"/>
        </w:rPr>
        <w:t xml:space="preserve">para el escenario sin proyecto conforme con los lineamientos </w:t>
      </w:r>
      <w:r w:rsidR="00BF6D4D" w:rsidRPr="004068F6">
        <w:rPr>
          <w:rFonts w:cs="Arial"/>
          <w:spacing w:val="-3"/>
        </w:rPr>
        <w:t xml:space="preserve">técnicos </w:t>
      </w:r>
      <w:r w:rsidR="00377C1C" w:rsidRPr="004068F6">
        <w:rPr>
          <w:rFonts w:cs="Arial"/>
          <w:spacing w:val="-3"/>
        </w:rPr>
        <w:t xml:space="preserve">establecidos en el numeral </w:t>
      </w:r>
      <w:r w:rsidR="00A60177" w:rsidRPr="004068F6">
        <w:rPr>
          <w:rFonts w:cs="Arial"/>
          <w:spacing w:val="-3"/>
        </w:rPr>
        <w:fldChar w:fldCharType="begin"/>
      </w:r>
      <w:r w:rsidR="00A60177" w:rsidRPr="004068F6">
        <w:rPr>
          <w:rFonts w:cs="Arial"/>
          <w:spacing w:val="-3"/>
        </w:rPr>
        <w:instrText xml:space="preserve"> REF _Ref153206731 \r \h </w:instrText>
      </w:r>
      <w:r w:rsidR="00BD1319" w:rsidRPr="004068F6">
        <w:rPr>
          <w:rFonts w:cs="Arial"/>
          <w:spacing w:val="-3"/>
        </w:rPr>
        <w:instrText xml:space="preserve"> \* MERGEFORMAT </w:instrText>
      </w:r>
      <w:r w:rsidR="00A60177" w:rsidRPr="004068F6">
        <w:rPr>
          <w:rFonts w:cs="Arial"/>
          <w:spacing w:val="-3"/>
        </w:rPr>
      </w:r>
      <w:r w:rsidR="00A60177" w:rsidRPr="004068F6">
        <w:rPr>
          <w:rFonts w:cs="Arial"/>
          <w:spacing w:val="-3"/>
        </w:rPr>
        <w:fldChar w:fldCharType="separate"/>
      </w:r>
      <w:r w:rsidR="009C4A81">
        <w:rPr>
          <w:rFonts w:cs="Arial"/>
          <w:spacing w:val="-3"/>
        </w:rPr>
        <w:t>7.5.1</w:t>
      </w:r>
      <w:r w:rsidR="00A60177" w:rsidRPr="004068F6">
        <w:rPr>
          <w:rFonts w:cs="Arial"/>
          <w:spacing w:val="-3"/>
        </w:rPr>
        <w:fldChar w:fldCharType="end"/>
      </w:r>
      <w:r w:rsidR="001D3EEA" w:rsidRPr="004068F6">
        <w:rPr>
          <w:rFonts w:cs="Arial"/>
          <w:spacing w:val="-3"/>
        </w:rPr>
        <w:t xml:space="preserve"> </w:t>
      </w:r>
      <w:r w:rsidR="00377C1C" w:rsidRPr="004068F6">
        <w:rPr>
          <w:rFonts w:cs="Arial"/>
          <w:spacing w:val="-3"/>
        </w:rPr>
        <w:t>sobre el desarrollo de modelos</w:t>
      </w:r>
      <w:r w:rsidR="00C6619D" w:rsidRPr="004068F6">
        <w:rPr>
          <w:rFonts w:cs="Arial"/>
          <w:spacing w:val="-3"/>
        </w:rPr>
        <w:t>.</w:t>
      </w:r>
    </w:p>
    <w:p w14:paraId="1621E944" w14:textId="77777777" w:rsidR="009D132B" w:rsidRPr="004068F6" w:rsidRDefault="009D132B" w:rsidP="009D132B">
      <w:pPr>
        <w:numPr>
          <w:ilvl w:val="12"/>
          <w:numId w:val="0"/>
        </w:numPr>
        <w:tabs>
          <w:tab w:val="left" w:pos="-2268"/>
        </w:tabs>
        <w:suppressAutoHyphens/>
        <w:rPr>
          <w:rFonts w:cs="Arial"/>
          <w:spacing w:val="-3"/>
        </w:rPr>
      </w:pPr>
    </w:p>
    <w:p w14:paraId="3132CD97" w14:textId="4C76822A" w:rsidR="009D132B" w:rsidRPr="004068F6" w:rsidRDefault="009D132B" w:rsidP="009D132B">
      <w:pPr>
        <w:numPr>
          <w:ilvl w:val="12"/>
          <w:numId w:val="0"/>
        </w:numPr>
        <w:tabs>
          <w:tab w:val="left" w:pos="-2268"/>
        </w:tabs>
        <w:suppressAutoHyphens/>
        <w:rPr>
          <w:rFonts w:cs="Arial"/>
          <w:spacing w:val="-3"/>
        </w:rPr>
      </w:pPr>
      <w:r w:rsidRPr="004068F6">
        <w:rPr>
          <w:rFonts w:cs="Arial"/>
          <w:spacing w:val="-3"/>
        </w:rPr>
        <w:t xml:space="preserve">Para aquellos proyectos que no presenten modelización </w:t>
      </w:r>
      <w:r w:rsidR="000D090D" w:rsidRPr="004068F6">
        <w:rPr>
          <w:rFonts w:cs="Arial"/>
          <w:spacing w:val="-3"/>
        </w:rPr>
        <w:t xml:space="preserve">de </w:t>
      </w:r>
      <w:r w:rsidRPr="004068F6">
        <w:rPr>
          <w:rFonts w:cs="Arial"/>
          <w:spacing w:val="-3"/>
        </w:rPr>
        <w:t xml:space="preserve">línea base debido a las condiciones inexistentes de fuentes de tráfico vehicular, </w:t>
      </w:r>
      <w:r w:rsidR="000A5521" w:rsidRPr="004068F6">
        <w:rPr>
          <w:rFonts w:cs="Arial"/>
          <w:spacing w:val="-3"/>
        </w:rPr>
        <w:t>se debe realizar una descripción cuantitativa y cualitativa de las principales fuentes de ruido identificadas en el área de influencia</w:t>
      </w:r>
      <w:r w:rsidRPr="004068F6">
        <w:rPr>
          <w:rFonts w:cs="Arial"/>
          <w:spacing w:val="-3"/>
        </w:rPr>
        <w:t>.</w:t>
      </w:r>
    </w:p>
    <w:p w14:paraId="0505F6D8" w14:textId="77777777" w:rsidR="009D132B" w:rsidRPr="004068F6" w:rsidRDefault="009D132B" w:rsidP="009D132B">
      <w:pPr>
        <w:numPr>
          <w:ilvl w:val="12"/>
          <w:numId w:val="0"/>
        </w:numPr>
        <w:tabs>
          <w:tab w:val="left" w:pos="-2268"/>
        </w:tabs>
        <w:suppressAutoHyphens/>
        <w:rPr>
          <w:rFonts w:cs="Arial"/>
          <w:spacing w:val="-3"/>
        </w:rPr>
      </w:pPr>
    </w:p>
    <w:p w14:paraId="687C58B5" w14:textId="79E95346" w:rsidR="000A5521" w:rsidRPr="004068F6" w:rsidRDefault="000A5521" w:rsidP="009D132B">
      <w:pPr>
        <w:numPr>
          <w:ilvl w:val="12"/>
          <w:numId w:val="0"/>
        </w:numPr>
        <w:tabs>
          <w:tab w:val="left" w:pos="-2268"/>
        </w:tabs>
        <w:suppressAutoHyphens/>
        <w:rPr>
          <w:rFonts w:cs="Arial"/>
          <w:spacing w:val="-3"/>
        </w:rPr>
      </w:pPr>
      <w:r w:rsidRPr="004068F6">
        <w:rPr>
          <w:rFonts w:cs="Arial"/>
          <w:spacing w:val="-3"/>
        </w:rPr>
        <w:t>Adicionalmente, se deben emplear como referencia los monitoreos de ruido ambiental en la zona para determinar las posibles tendencias de los niveles de presión sonora; dichos monitoreos deben ser representativos respecto al tiempo de registro y la distribución espacial de los principales receptores, con el fin de identificar el aporte de ruido de fondo para el escenario sin proyecto.</w:t>
      </w:r>
    </w:p>
    <w:p w14:paraId="210D96BE" w14:textId="77777777" w:rsidR="000A5521" w:rsidRPr="004068F6" w:rsidRDefault="000A5521" w:rsidP="009D132B">
      <w:pPr>
        <w:numPr>
          <w:ilvl w:val="12"/>
          <w:numId w:val="0"/>
        </w:numPr>
        <w:tabs>
          <w:tab w:val="left" w:pos="-2268"/>
        </w:tabs>
        <w:suppressAutoHyphens/>
        <w:rPr>
          <w:rFonts w:cs="Arial"/>
          <w:spacing w:val="-3"/>
        </w:rPr>
      </w:pPr>
    </w:p>
    <w:p w14:paraId="541D4A7E" w14:textId="5C8C73CC" w:rsidR="009D132B" w:rsidRPr="004068F6" w:rsidRDefault="009D132B" w:rsidP="009420F5">
      <w:pPr>
        <w:pStyle w:val="Ttulo5"/>
        <w:tabs>
          <w:tab w:val="clear" w:pos="2160"/>
          <w:tab w:val="num" w:pos="1134"/>
        </w:tabs>
        <w:ind w:left="1134" w:hanging="1134"/>
        <w:rPr>
          <w:lang w:val="es-CO"/>
        </w:rPr>
      </w:pPr>
      <w:r w:rsidRPr="004068F6">
        <w:rPr>
          <w:lang w:val="es-CO"/>
        </w:rPr>
        <w:t>Monitoreo de ruido ambiental</w:t>
      </w:r>
    </w:p>
    <w:p w14:paraId="02BFB0F3" w14:textId="77777777" w:rsidR="009D132B" w:rsidRPr="004068F6" w:rsidRDefault="009D132B">
      <w:pPr>
        <w:numPr>
          <w:ilvl w:val="12"/>
          <w:numId w:val="0"/>
        </w:numPr>
        <w:tabs>
          <w:tab w:val="left" w:pos="-2268"/>
        </w:tabs>
        <w:suppressAutoHyphens/>
        <w:rPr>
          <w:spacing w:val="-3"/>
        </w:rPr>
      </w:pPr>
    </w:p>
    <w:p w14:paraId="0EF40058" w14:textId="220040D0" w:rsidR="009D132B" w:rsidRPr="004068F6" w:rsidRDefault="009D132B">
      <w:pPr>
        <w:numPr>
          <w:ilvl w:val="12"/>
          <w:numId w:val="0"/>
        </w:numPr>
        <w:tabs>
          <w:tab w:val="left" w:pos="-2268"/>
        </w:tabs>
        <w:suppressAutoHyphens/>
        <w:rPr>
          <w:spacing w:val="-3"/>
        </w:rPr>
      </w:pPr>
      <w:r w:rsidRPr="004068F6">
        <w:rPr>
          <w:spacing w:val="-3"/>
        </w:rPr>
        <w:t>Realizar un muestreo de los niveles de presión sonora (ruido ambiental) en las zonas que se hayan identificado como las más susceptibles</w:t>
      </w:r>
      <w:r w:rsidR="00CD2CDB">
        <w:rPr>
          <w:spacing w:val="-3"/>
        </w:rPr>
        <w:t>,</w:t>
      </w:r>
      <w:r w:rsidRPr="004068F6">
        <w:rPr>
          <w:spacing w:val="-3"/>
        </w:rPr>
        <w:t xml:space="preserve"> entre las que se deben considerar áreas habitadas</w:t>
      </w:r>
      <w:r w:rsidR="008B68AD" w:rsidRPr="004068F6">
        <w:rPr>
          <w:spacing w:val="-3"/>
        </w:rPr>
        <w:t xml:space="preserve">, </w:t>
      </w:r>
      <w:r w:rsidR="008B68AD" w:rsidRPr="004068F6">
        <w:rPr>
          <w:rFonts w:cs="Arial"/>
          <w:spacing w:val="-3"/>
        </w:rPr>
        <w:t xml:space="preserve">áreas </w:t>
      </w:r>
      <w:r w:rsidR="008B68AD" w:rsidRPr="004068F6">
        <w:rPr>
          <w:spacing w:val="-3"/>
        </w:rPr>
        <w:t>con presencia de actividades industriales</w:t>
      </w:r>
      <w:r w:rsidR="008C3566" w:rsidRPr="004068F6">
        <w:rPr>
          <w:spacing w:val="-3"/>
        </w:rPr>
        <w:t xml:space="preserve"> o </w:t>
      </w:r>
      <w:r w:rsidR="008B68AD" w:rsidRPr="004068F6">
        <w:rPr>
          <w:spacing w:val="-3"/>
        </w:rPr>
        <w:t>pecuarias</w:t>
      </w:r>
      <w:r w:rsidR="004F059F">
        <w:rPr>
          <w:spacing w:val="-3"/>
        </w:rPr>
        <w:t xml:space="preserve">, áreas con </w:t>
      </w:r>
      <w:r w:rsidR="005D7FDF">
        <w:rPr>
          <w:spacing w:val="-3"/>
        </w:rPr>
        <w:t>presencia de mamíferos marinos y tortugas marinas</w:t>
      </w:r>
      <w:r w:rsidR="00663293" w:rsidRPr="004068F6">
        <w:rPr>
          <w:spacing w:val="-3"/>
        </w:rPr>
        <w:t xml:space="preserve"> y</w:t>
      </w:r>
      <w:r w:rsidR="00851825" w:rsidRPr="004068F6">
        <w:rPr>
          <w:spacing w:val="-3"/>
        </w:rPr>
        <w:t xml:space="preserve"> </w:t>
      </w:r>
      <w:r w:rsidR="008713B8">
        <w:rPr>
          <w:spacing w:val="-3"/>
        </w:rPr>
        <w:t xml:space="preserve">algunas </w:t>
      </w:r>
      <w:r w:rsidR="00851825" w:rsidRPr="004068F6">
        <w:rPr>
          <w:spacing w:val="-3"/>
        </w:rPr>
        <w:t>AEIA</w:t>
      </w:r>
      <w:r w:rsidR="00CD2CDB">
        <w:rPr>
          <w:spacing w:val="-3"/>
        </w:rPr>
        <w:t xml:space="preserve"> (</w:t>
      </w:r>
      <w:r w:rsidR="000F0E67" w:rsidRPr="004068F6">
        <w:rPr>
          <w:spacing w:val="-3"/>
        </w:rPr>
        <w:t xml:space="preserve">tales </w:t>
      </w:r>
      <w:r w:rsidR="00851825" w:rsidRPr="004068F6">
        <w:rPr>
          <w:spacing w:val="-3"/>
        </w:rPr>
        <w:t xml:space="preserve">como </w:t>
      </w:r>
      <w:r w:rsidRPr="004068F6">
        <w:rPr>
          <w:spacing w:val="-3"/>
        </w:rPr>
        <w:t>AICA)</w:t>
      </w:r>
      <w:r w:rsidR="006D538B">
        <w:rPr>
          <w:spacing w:val="-3"/>
        </w:rPr>
        <w:t xml:space="preserve">, así como en las </w:t>
      </w:r>
      <w:r w:rsidRPr="004068F6">
        <w:rPr>
          <w:spacing w:val="-3"/>
        </w:rPr>
        <w:t>áreas donde se identifiquen fuentes de generación de ruido que interfieran de manera significativa en la zona objeto de estudio. Los muestreos deben realizarse de conformidad con los parámetros y procedimientos establecidos en la normativa vigente.</w:t>
      </w:r>
    </w:p>
    <w:p w14:paraId="41BDEDF0" w14:textId="77777777" w:rsidR="009D132B" w:rsidRPr="004068F6" w:rsidRDefault="009D132B">
      <w:pPr>
        <w:numPr>
          <w:ilvl w:val="12"/>
          <w:numId w:val="0"/>
        </w:numPr>
        <w:tabs>
          <w:tab w:val="left" w:pos="-2268"/>
        </w:tabs>
        <w:suppressAutoHyphens/>
        <w:rPr>
          <w:spacing w:val="-3"/>
        </w:rPr>
      </w:pPr>
    </w:p>
    <w:p w14:paraId="62D9AC5F" w14:textId="65E30525" w:rsidR="009D132B" w:rsidRPr="004068F6" w:rsidRDefault="0040099B" w:rsidP="009D132B">
      <w:pPr>
        <w:numPr>
          <w:ilvl w:val="12"/>
          <w:numId w:val="0"/>
        </w:numPr>
        <w:tabs>
          <w:tab w:val="left" w:pos="-2268"/>
        </w:tabs>
        <w:suppressAutoHyphens/>
        <w:rPr>
          <w:rFonts w:cs="Arial"/>
          <w:spacing w:val="-3"/>
        </w:rPr>
      </w:pPr>
      <w:r w:rsidRPr="004068F6">
        <w:rPr>
          <w:rFonts w:cs="Arial"/>
          <w:spacing w:val="-3"/>
        </w:rPr>
        <w:t>La determinación de la cantidad de puntos y de los tiempos de medición para ruido ambiental deben asegurar la representatividad estadística de acuerdo con la actividad proyectada y sus escenarios de máxima emisión, siguiendo lo establecido en la Resolución 627 de 2006 o aquella que la modifique o sustituya. La medición de 15 minutos distribuidos en un periodo de 1 hora que establece el artículo 5 de dicha resolución es el parámetro mínimo exigido, pero no es el único y no debe emplearse como estándar para todas las zonas objeto de evaluación, ya que los estudios de ruido no son evaluaciones sistemáticas de carácter igualitario que se apliquen uniformemente</w:t>
      </w:r>
      <w:r w:rsidR="00611536" w:rsidRPr="004068F6">
        <w:rPr>
          <w:rFonts w:cs="Arial"/>
          <w:spacing w:val="-3"/>
        </w:rPr>
        <w:t>.</w:t>
      </w:r>
    </w:p>
    <w:p w14:paraId="0968D9BD" w14:textId="77777777" w:rsidR="0040099B" w:rsidRPr="004068F6" w:rsidRDefault="0040099B" w:rsidP="009D132B">
      <w:pPr>
        <w:numPr>
          <w:ilvl w:val="12"/>
          <w:numId w:val="0"/>
        </w:numPr>
        <w:tabs>
          <w:tab w:val="left" w:pos="-2268"/>
        </w:tabs>
        <w:suppressAutoHyphens/>
        <w:rPr>
          <w:rFonts w:cs="Arial"/>
          <w:spacing w:val="-3"/>
        </w:rPr>
      </w:pPr>
    </w:p>
    <w:p w14:paraId="1BFA963C" w14:textId="4695786B" w:rsidR="00D82CB2" w:rsidRPr="004068F6" w:rsidRDefault="00D82CB2" w:rsidP="00D82CB2">
      <w:pPr>
        <w:numPr>
          <w:ilvl w:val="12"/>
          <w:numId w:val="0"/>
        </w:numPr>
        <w:tabs>
          <w:tab w:val="left" w:pos="-2268"/>
        </w:tabs>
        <w:suppressAutoHyphens/>
        <w:rPr>
          <w:rFonts w:cs="Arial"/>
          <w:spacing w:val="-3"/>
        </w:rPr>
      </w:pPr>
      <w:r w:rsidRPr="004068F6">
        <w:rPr>
          <w:rFonts w:cs="Arial"/>
          <w:spacing w:val="-3"/>
        </w:rPr>
        <w:t>Lo anterior se basa en las recomendaciones definidas en el estándar ISO 1996-2 para evaluación de ruido, durante la cual se deben considerar todas las variaciones de la fuente y las condiciones meteorológicas que afecten la propagación del sonido, por tanto, se requiere de un periodo de tiempo tal que permita observar todas las variaciones significativas.</w:t>
      </w:r>
    </w:p>
    <w:p w14:paraId="77622A79" w14:textId="77777777" w:rsidR="00D82CB2" w:rsidRPr="004068F6" w:rsidRDefault="00D82CB2" w:rsidP="00D82CB2">
      <w:pPr>
        <w:numPr>
          <w:ilvl w:val="12"/>
          <w:numId w:val="0"/>
        </w:numPr>
        <w:tabs>
          <w:tab w:val="left" w:pos="-2268"/>
        </w:tabs>
        <w:suppressAutoHyphens/>
        <w:rPr>
          <w:rFonts w:cs="Arial"/>
          <w:spacing w:val="-3"/>
        </w:rPr>
      </w:pPr>
    </w:p>
    <w:p w14:paraId="0C046A62" w14:textId="1DCE3A5C" w:rsidR="00D82CB2" w:rsidRPr="004068F6" w:rsidRDefault="00D82CB2" w:rsidP="00D82CB2">
      <w:pPr>
        <w:numPr>
          <w:ilvl w:val="12"/>
          <w:numId w:val="0"/>
        </w:numPr>
        <w:tabs>
          <w:tab w:val="left" w:pos="-2268"/>
        </w:tabs>
        <w:suppressAutoHyphens/>
        <w:rPr>
          <w:rFonts w:cs="Arial"/>
          <w:spacing w:val="-3"/>
        </w:rPr>
      </w:pPr>
      <w:r w:rsidRPr="004068F6">
        <w:rPr>
          <w:rFonts w:cs="Arial"/>
          <w:spacing w:val="-3"/>
        </w:rPr>
        <w:t>Asimismo, en concordancia con la norma internacional, la estabilidad del indicador acústico (Leq) y la reducción de la incertidumbre son criterios válidos para definir la duración de las mediciones, de modo que no se limita al intervalo de 15 minutos cuando el objetivo sea caracterizar condiciones ambientales específicas.</w:t>
      </w:r>
    </w:p>
    <w:p w14:paraId="7895EA54" w14:textId="77777777" w:rsidR="00D82CB2" w:rsidRPr="004068F6" w:rsidRDefault="00D82CB2" w:rsidP="009D132B">
      <w:pPr>
        <w:numPr>
          <w:ilvl w:val="12"/>
          <w:numId w:val="0"/>
        </w:numPr>
        <w:tabs>
          <w:tab w:val="left" w:pos="-2268"/>
        </w:tabs>
        <w:suppressAutoHyphens/>
        <w:rPr>
          <w:rFonts w:cs="Arial"/>
          <w:spacing w:val="-3"/>
        </w:rPr>
      </w:pPr>
    </w:p>
    <w:p w14:paraId="53B695A6" w14:textId="7EC321F6" w:rsidR="009D132B" w:rsidRPr="004068F6" w:rsidRDefault="009D132B" w:rsidP="009D132B">
      <w:pPr>
        <w:numPr>
          <w:ilvl w:val="12"/>
          <w:numId w:val="0"/>
        </w:numPr>
        <w:tabs>
          <w:tab w:val="left" w:pos="-2268"/>
        </w:tabs>
        <w:suppressAutoHyphens/>
        <w:rPr>
          <w:rFonts w:cs="Arial"/>
          <w:spacing w:val="-3"/>
        </w:rPr>
      </w:pPr>
      <w:r w:rsidRPr="004068F6">
        <w:rPr>
          <w:rFonts w:cs="Arial"/>
          <w:spacing w:val="-3"/>
        </w:rPr>
        <w:t xml:space="preserve">El fin último de las evaluaciones de ruido ambiente debe estar encaminado a la caracterización del </w:t>
      </w:r>
      <w:r w:rsidR="00D82CB2" w:rsidRPr="004068F6">
        <w:rPr>
          <w:rFonts w:cs="Arial"/>
          <w:spacing w:val="-3"/>
        </w:rPr>
        <w:t xml:space="preserve">ruido ambiente </w:t>
      </w:r>
      <w:r w:rsidRPr="004068F6">
        <w:rPr>
          <w:rFonts w:cs="Arial"/>
          <w:spacing w:val="-3"/>
        </w:rPr>
        <w:t>de una zona, garantizando que la información durante el muestreo corresponda a las condiciones normales o típicas y no con</w:t>
      </w:r>
      <w:r w:rsidR="00D87119" w:rsidRPr="004068F6">
        <w:rPr>
          <w:rFonts w:cs="Arial"/>
          <w:spacing w:val="-3"/>
        </w:rPr>
        <w:t>temple eventos ocasionales (</w:t>
      </w:r>
      <w:r w:rsidR="00041844" w:rsidRPr="004068F6">
        <w:rPr>
          <w:rFonts w:cs="Arial"/>
          <w:spacing w:val="-3"/>
        </w:rPr>
        <w:t>p. ej.</w:t>
      </w:r>
      <w:r w:rsidRPr="004068F6">
        <w:rPr>
          <w:rFonts w:cs="Arial"/>
          <w:spacing w:val="-3"/>
        </w:rPr>
        <w:t xml:space="preserve"> manifestaciones</w:t>
      </w:r>
      <w:r w:rsidR="005023B5" w:rsidRPr="004068F6">
        <w:rPr>
          <w:rFonts w:cs="Arial"/>
          <w:spacing w:val="-3"/>
        </w:rPr>
        <w:t xml:space="preserve"> y</w:t>
      </w:r>
      <w:r w:rsidRPr="004068F6">
        <w:rPr>
          <w:rFonts w:cs="Arial"/>
          <w:spacing w:val="-3"/>
        </w:rPr>
        <w:t xml:space="preserve"> fuegos artificiales). Por tanto</w:t>
      </w:r>
      <w:r w:rsidR="00D87119" w:rsidRPr="004068F6">
        <w:rPr>
          <w:rFonts w:cs="Arial"/>
          <w:spacing w:val="-3"/>
        </w:rPr>
        <w:t>,</w:t>
      </w:r>
      <w:r w:rsidRPr="004068F6">
        <w:rPr>
          <w:rFonts w:cs="Arial"/>
          <w:spacing w:val="-3"/>
        </w:rPr>
        <w:t xml:space="preserve"> </w:t>
      </w:r>
      <w:r w:rsidR="00CC5800" w:rsidRPr="004068F6">
        <w:rPr>
          <w:rFonts w:cs="Arial"/>
          <w:spacing w:val="-3"/>
        </w:rPr>
        <w:t>é</w:t>
      </w:r>
      <w:r w:rsidRPr="004068F6">
        <w:rPr>
          <w:rFonts w:cs="Arial"/>
          <w:spacing w:val="-3"/>
        </w:rPr>
        <w:t>stas deben responder a un proceso de planificación y seguimiento de la magnitud muestreada (presión sonora), a fin de obtener una muestra que represente la realidad del entorno, por tanto</w:t>
      </w:r>
      <w:r w:rsidR="00D87119" w:rsidRPr="004068F6">
        <w:rPr>
          <w:rFonts w:cs="Arial"/>
          <w:spacing w:val="-3"/>
        </w:rPr>
        <w:t>,</w:t>
      </w:r>
      <w:r w:rsidRPr="004068F6">
        <w:rPr>
          <w:rFonts w:cs="Arial"/>
          <w:spacing w:val="-3"/>
        </w:rPr>
        <w:t xml:space="preserve"> los resultados deben reportar registros de ruido en función de las variaciones de modo, tiempo y lugar que se tengan proyectad</w:t>
      </w:r>
      <w:r w:rsidR="00CC5800" w:rsidRPr="004068F6">
        <w:rPr>
          <w:rFonts w:cs="Arial"/>
          <w:spacing w:val="-3"/>
        </w:rPr>
        <w:t>a</w:t>
      </w:r>
      <w:r w:rsidRPr="004068F6">
        <w:rPr>
          <w:rFonts w:cs="Arial"/>
          <w:spacing w:val="-3"/>
        </w:rPr>
        <w:t>s para la futura fuente de emisiones, verificando, periodos de evaluación (diurno y nocturno), horarios diarios de funcionamiento y modos de operación.</w:t>
      </w:r>
    </w:p>
    <w:p w14:paraId="1E97D2AE" w14:textId="77777777" w:rsidR="009D132B" w:rsidRPr="004068F6" w:rsidRDefault="009D132B" w:rsidP="009D132B">
      <w:pPr>
        <w:numPr>
          <w:ilvl w:val="12"/>
          <w:numId w:val="0"/>
        </w:numPr>
        <w:tabs>
          <w:tab w:val="left" w:pos="-2268"/>
        </w:tabs>
        <w:suppressAutoHyphens/>
        <w:rPr>
          <w:rFonts w:cs="Arial"/>
          <w:spacing w:val="-3"/>
        </w:rPr>
      </w:pPr>
    </w:p>
    <w:p w14:paraId="5A915603" w14:textId="4554B449" w:rsidR="001F3E8B" w:rsidRPr="004068F6" w:rsidRDefault="001F3E8B" w:rsidP="00FB1EE9">
      <w:pPr>
        <w:numPr>
          <w:ilvl w:val="12"/>
          <w:numId w:val="0"/>
        </w:numPr>
        <w:tabs>
          <w:tab w:val="left" w:pos="-2268"/>
        </w:tabs>
        <w:suppressAutoHyphens/>
        <w:rPr>
          <w:rFonts w:cs="Arial"/>
          <w:spacing w:val="-3"/>
        </w:rPr>
      </w:pPr>
      <w:r w:rsidRPr="004068F6">
        <w:rPr>
          <w:rFonts w:cs="Arial"/>
          <w:spacing w:val="-3"/>
        </w:rPr>
        <w:t xml:space="preserve">Para la comparación con el límite permisible de ruido ambiental, </w:t>
      </w:r>
      <w:r w:rsidR="00ED6090" w:rsidRPr="004068F6">
        <w:rPr>
          <w:rFonts w:cs="Arial"/>
          <w:spacing w:val="-3"/>
        </w:rPr>
        <w:t xml:space="preserve">se debe determinar qué </w:t>
      </w:r>
      <w:r w:rsidRPr="004068F6">
        <w:rPr>
          <w:rFonts w:cs="Arial"/>
          <w:spacing w:val="-3"/>
        </w:rPr>
        <w:t xml:space="preserve">sectores y subsectores </w:t>
      </w:r>
      <w:r w:rsidR="00ED6090" w:rsidRPr="004068F6">
        <w:rPr>
          <w:rFonts w:cs="Arial"/>
          <w:spacing w:val="-3"/>
        </w:rPr>
        <w:t xml:space="preserve">de la tabla 2 de la Resolución 0627 de 2006 (artículo 17) </w:t>
      </w:r>
      <w:r w:rsidR="00FB1EE9" w:rsidRPr="004068F6">
        <w:rPr>
          <w:rFonts w:cs="Arial"/>
          <w:spacing w:val="-3"/>
        </w:rPr>
        <w:t xml:space="preserve">aplican de </w:t>
      </w:r>
      <w:r w:rsidR="00ED6090" w:rsidRPr="004068F6">
        <w:rPr>
          <w:rFonts w:cs="Arial"/>
          <w:spacing w:val="-3"/>
        </w:rPr>
        <w:t>acuerdo con lo establecido en los instrumentos de ordenamiento del territorio</w:t>
      </w:r>
      <w:r w:rsidR="00FB1EE9" w:rsidRPr="004068F6">
        <w:rPr>
          <w:rFonts w:cs="Arial"/>
          <w:spacing w:val="-3"/>
        </w:rPr>
        <w:t xml:space="preserve"> vigentes</w:t>
      </w:r>
      <w:r w:rsidR="007E4706" w:rsidRPr="004068F6">
        <w:rPr>
          <w:rFonts w:cs="Arial"/>
          <w:spacing w:val="-3"/>
        </w:rPr>
        <w:t xml:space="preserve"> para el área de influencia</w:t>
      </w:r>
      <w:r w:rsidR="00FB1EE9" w:rsidRPr="004068F6">
        <w:rPr>
          <w:rFonts w:cs="Arial"/>
          <w:spacing w:val="-3"/>
        </w:rPr>
        <w:t xml:space="preserve">, considerando </w:t>
      </w:r>
      <w:r w:rsidRPr="004068F6">
        <w:rPr>
          <w:rFonts w:cs="Arial"/>
          <w:spacing w:val="-3"/>
        </w:rPr>
        <w:t>la clasificación de</w:t>
      </w:r>
      <w:r w:rsidR="00FB1EE9" w:rsidRPr="004068F6">
        <w:rPr>
          <w:rFonts w:cs="Arial"/>
          <w:spacing w:val="-3"/>
        </w:rPr>
        <w:t xml:space="preserve">l uso </w:t>
      </w:r>
      <w:r w:rsidRPr="004068F6">
        <w:rPr>
          <w:rFonts w:cs="Arial"/>
          <w:spacing w:val="-3"/>
        </w:rPr>
        <w:t xml:space="preserve">del suelo </w:t>
      </w:r>
      <w:r w:rsidR="00FB1EE9" w:rsidRPr="004068F6">
        <w:rPr>
          <w:rFonts w:cs="Arial"/>
          <w:spacing w:val="-3"/>
        </w:rPr>
        <w:t>en ellos establecida</w:t>
      </w:r>
      <w:r w:rsidRPr="004068F6">
        <w:rPr>
          <w:rFonts w:cs="Arial"/>
          <w:spacing w:val="-3"/>
        </w:rPr>
        <w:t xml:space="preserve">. En caso de que </w:t>
      </w:r>
      <w:r w:rsidR="00FB1EE9" w:rsidRPr="004068F6">
        <w:rPr>
          <w:rFonts w:cs="Arial"/>
          <w:spacing w:val="-3"/>
        </w:rPr>
        <w:t xml:space="preserve">el área de influencia no </w:t>
      </w:r>
      <w:r w:rsidRPr="004068F6">
        <w:rPr>
          <w:rFonts w:cs="Arial"/>
          <w:spacing w:val="-3"/>
        </w:rPr>
        <w:t xml:space="preserve">cuente con </w:t>
      </w:r>
      <w:r w:rsidR="00FB1EE9" w:rsidRPr="004068F6">
        <w:rPr>
          <w:rFonts w:cs="Arial"/>
          <w:spacing w:val="-3"/>
        </w:rPr>
        <w:t xml:space="preserve">estos </w:t>
      </w:r>
      <w:r w:rsidRPr="004068F6">
        <w:rPr>
          <w:rFonts w:cs="Arial"/>
          <w:spacing w:val="-3"/>
        </w:rPr>
        <w:t>instrumento</w:t>
      </w:r>
      <w:r w:rsidR="00FB1EE9" w:rsidRPr="004068F6">
        <w:rPr>
          <w:rFonts w:cs="Arial"/>
          <w:spacing w:val="-3"/>
        </w:rPr>
        <w:t>s</w:t>
      </w:r>
      <w:r w:rsidRPr="004068F6">
        <w:rPr>
          <w:rFonts w:cs="Arial"/>
          <w:spacing w:val="-3"/>
        </w:rPr>
        <w:t xml:space="preserve">, </w:t>
      </w:r>
      <w:r w:rsidR="00FB1EE9" w:rsidRPr="004068F6">
        <w:rPr>
          <w:rFonts w:cs="Arial"/>
          <w:spacing w:val="-3"/>
        </w:rPr>
        <w:t xml:space="preserve">es posible </w:t>
      </w:r>
      <w:r w:rsidR="007E4706" w:rsidRPr="004068F6">
        <w:rPr>
          <w:rFonts w:cs="Arial"/>
          <w:spacing w:val="-3"/>
        </w:rPr>
        <w:t>emplear</w:t>
      </w:r>
      <w:r w:rsidR="00FB1EE9" w:rsidRPr="004068F6">
        <w:rPr>
          <w:rFonts w:cs="Arial"/>
          <w:spacing w:val="-3"/>
        </w:rPr>
        <w:t xml:space="preserve"> </w:t>
      </w:r>
      <w:r w:rsidRPr="004068F6">
        <w:rPr>
          <w:rFonts w:cs="Arial"/>
          <w:spacing w:val="-3"/>
        </w:rPr>
        <w:t>lo establecido al respecto en los planes de desarrollo, planes maestros de infraestructura y códigos de urbanismo y normas urbanísticas vigentes.</w:t>
      </w:r>
    </w:p>
    <w:p w14:paraId="505E9D9C" w14:textId="77777777" w:rsidR="001F3E8B" w:rsidRPr="004068F6" w:rsidRDefault="001F3E8B">
      <w:pPr>
        <w:numPr>
          <w:ilvl w:val="12"/>
          <w:numId w:val="0"/>
        </w:numPr>
        <w:tabs>
          <w:tab w:val="left" w:pos="-2268"/>
        </w:tabs>
        <w:suppressAutoHyphens/>
        <w:rPr>
          <w:spacing w:val="-3"/>
        </w:rPr>
      </w:pPr>
    </w:p>
    <w:p w14:paraId="417A1ABA" w14:textId="45E3D491" w:rsidR="009D132B" w:rsidRPr="004068F6" w:rsidRDefault="007D7A77">
      <w:pPr>
        <w:numPr>
          <w:ilvl w:val="12"/>
          <w:numId w:val="0"/>
        </w:numPr>
        <w:tabs>
          <w:tab w:val="left" w:pos="-2268"/>
        </w:tabs>
        <w:suppressAutoHyphens/>
        <w:rPr>
          <w:spacing w:val="-3"/>
        </w:rPr>
      </w:pPr>
      <w:r w:rsidRPr="004068F6">
        <w:rPr>
          <w:spacing w:val="-3"/>
        </w:rPr>
        <w:t xml:space="preserve">Si </w:t>
      </w:r>
      <w:r w:rsidR="009D132B" w:rsidRPr="004068F6">
        <w:rPr>
          <w:spacing w:val="-3"/>
        </w:rPr>
        <w:t>los niveles registrados super</w:t>
      </w:r>
      <w:r w:rsidRPr="004068F6">
        <w:rPr>
          <w:spacing w:val="-3"/>
        </w:rPr>
        <w:t>a</w:t>
      </w:r>
      <w:r w:rsidR="009D132B" w:rsidRPr="004068F6">
        <w:rPr>
          <w:spacing w:val="-3"/>
        </w:rPr>
        <w:t xml:space="preserve">n los </w:t>
      </w:r>
      <w:r w:rsidR="009D132B" w:rsidRPr="004068F6">
        <w:rPr>
          <w:rFonts w:cs="Arial"/>
          <w:spacing w:val="-3"/>
        </w:rPr>
        <w:t xml:space="preserve">límites </w:t>
      </w:r>
      <w:r w:rsidR="009D132B" w:rsidRPr="004068F6">
        <w:rPr>
          <w:spacing w:val="-3"/>
        </w:rPr>
        <w:t>establecidos en la norma, debido a fuentes de emisión naturales</w:t>
      </w:r>
      <w:r w:rsidR="009D132B" w:rsidRPr="004068F6">
        <w:rPr>
          <w:rFonts w:cs="Arial"/>
          <w:spacing w:val="-3"/>
        </w:rPr>
        <w:t xml:space="preserve"> sin que exista intervención antrópica</w:t>
      </w:r>
      <w:r w:rsidR="009D132B" w:rsidRPr="004068F6">
        <w:rPr>
          <w:spacing w:val="-3"/>
        </w:rPr>
        <w:t xml:space="preserve"> o fuentes diferentes a las del proyecto, </w:t>
      </w:r>
      <w:r w:rsidR="005023B5" w:rsidRPr="004068F6">
        <w:rPr>
          <w:spacing w:val="-3"/>
        </w:rPr>
        <w:t xml:space="preserve">obra o actividad, </w:t>
      </w:r>
      <w:r w:rsidR="009D132B" w:rsidRPr="004068F6">
        <w:rPr>
          <w:spacing w:val="-3"/>
        </w:rPr>
        <w:t xml:space="preserve">se debe realizar el respectivo análisis sustentado técnicamente. Es importante que en </w:t>
      </w:r>
      <w:r w:rsidR="00590B9E" w:rsidRPr="004068F6">
        <w:rPr>
          <w:spacing w:val="-3"/>
        </w:rPr>
        <w:t xml:space="preserve">esta evaluación </w:t>
      </w:r>
      <w:r w:rsidR="009D132B" w:rsidRPr="004068F6">
        <w:rPr>
          <w:spacing w:val="-3"/>
        </w:rPr>
        <w:t>se incluyan los niveles de presión sonora existentes.</w:t>
      </w:r>
    </w:p>
    <w:p w14:paraId="04603049" w14:textId="77777777" w:rsidR="009D132B" w:rsidRPr="004068F6" w:rsidRDefault="009D132B">
      <w:pPr>
        <w:numPr>
          <w:ilvl w:val="12"/>
          <w:numId w:val="0"/>
        </w:numPr>
        <w:tabs>
          <w:tab w:val="left" w:pos="-2268"/>
        </w:tabs>
        <w:suppressAutoHyphens/>
        <w:rPr>
          <w:spacing w:val="-3"/>
        </w:rPr>
      </w:pPr>
    </w:p>
    <w:p w14:paraId="79290468" w14:textId="364E0121" w:rsidR="009D132B" w:rsidRPr="004068F6" w:rsidRDefault="009D132B">
      <w:pPr>
        <w:numPr>
          <w:ilvl w:val="12"/>
          <w:numId w:val="0"/>
        </w:numPr>
        <w:tabs>
          <w:tab w:val="left" w:pos="-2268"/>
        </w:tabs>
        <w:suppressAutoHyphens/>
        <w:rPr>
          <w:spacing w:val="-3"/>
        </w:rPr>
      </w:pPr>
      <w:r w:rsidRPr="004068F6">
        <w:rPr>
          <w:spacing w:val="-3"/>
        </w:rPr>
        <w:t>Presentar un informe de los puntos muestreados, con una descripción clara de las fuentes sonoras que influyen en las mediciones, tipo de emisión y modo de operación.</w:t>
      </w:r>
    </w:p>
    <w:p w14:paraId="359B0A36" w14:textId="77777777" w:rsidR="009D132B" w:rsidRPr="004068F6" w:rsidRDefault="009D132B">
      <w:pPr>
        <w:numPr>
          <w:ilvl w:val="12"/>
          <w:numId w:val="0"/>
        </w:numPr>
        <w:tabs>
          <w:tab w:val="left" w:pos="-2268"/>
        </w:tabs>
        <w:suppressAutoHyphens/>
        <w:rPr>
          <w:spacing w:val="-3"/>
        </w:rPr>
      </w:pPr>
    </w:p>
    <w:p w14:paraId="17E379FC" w14:textId="0C8BDB24" w:rsidR="009D132B" w:rsidRPr="004068F6" w:rsidRDefault="009D132B">
      <w:pPr>
        <w:numPr>
          <w:ilvl w:val="12"/>
          <w:numId w:val="0"/>
        </w:numPr>
        <w:tabs>
          <w:tab w:val="left" w:pos="-2268"/>
        </w:tabs>
        <w:suppressAutoHyphens/>
        <w:rPr>
          <w:spacing w:val="-3"/>
        </w:rPr>
      </w:pPr>
      <w:r w:rsidRPr="004068F6">
        <w:rPr>
          <w:spacing w:val="-3"/>
        </w:rPr>
        <w:t xml:space="preserve">Respecto a la presentación de los informes técnicos de las mediciones de ruido ambiental, se debe tener en cuenta como documento guía lo establecido en el </w:t>
      </w:r>
      <w:r w:rsidRPr="004068F6">
        <w:rPr>
          <w:rFonts w:cs="Arial"/>
          <w:spacing w:val="-3"/>
        </w:rPr>
        <w:t xml:space="preserve">artículo 21 y </w:t>
      </w:r>
      <w:r w:rsidR="00CC5800" w:rsidRPr="004068F6">
        <w:rPr>
          <w:spacing w:val="-3"/>
        </w:rPr>
        <w:t>a</w:t>
      </w:r>
      <w:r w:rsidRPr="004068F6">
        <w:rPr>
          <w:spacing w:val="-3"/>
        </w:rPr>
        <w:t>nexo 4 de la Resolución 627 del 2006</w:t>
      </w:r>
      <w:r w:rsidRPr="004068F6">
        <w:rPr>
          <w:rFonts w:cs="Arial"/>
          <w:spacing w:val="-3"/>
        </w:rPr>
        <w:t xml:space="preserve"> o aquella que la modifique o sustituya</w:t>
      </w:r>
      <w:r w:rsidRPr="004068F6">
        <w:rPr>
          <w:spacing w:val="-3"/>
        </w:rPr>
        <w:t xml:space="preserve">, que trata sobre la “Propuesta de </w:t>
      </w:r>
      <w:r w:rsidR="005023B5" w:rsidRPr="004068F6">
        <w:rPr>
          <w:spacing w:val="-3"/>
        </w:rPr>
        <w:t>i</w:t>
      </w:r>
      <w:r w:rsidRPr="004068F6">
        <w:rPr>
          <w:spacing w:val="-3"/>
        </w:rPr>
        <w:t xml:space="preserve">nforme </w:t>
      </w:r>
      <w:r w:rsidR="005023B5" w:rsidRPr="004068F6">
        <w:rPr>
          <w:spacing w:val="-3"/>
        </w:rPr>
        <w:t>t</w:t>
      </w:r>
      <w:r w:rsidRPr="004068F6">
        <w:rPr>
          <w:spacing w:val="-3"/>
        </w:rPr>
        <w:t xml:space="preserve">écnico de </w:t>
      </w:r>
      <w:r w:rsidR="005023B5" w:rsidRPr="004068F6">
        <w:rPr>
          <w:spacing w:val="-3"/>
        </w:rPr>
        <w:t>m</w:t>
      </w:r>
      <w:r w:rsidRPr="004068F6">
        <w:rPr>
          <w:spacing w:val="-3"/>
        </w:rPr>
        <w:t xml:space="preserve">edición de </w:t>
      </w:r>
      <w:r w:rsidR="005023B5" w:rsidRPr="004068F6">
        <w:rPr>
          <w:spacing w:val="-3"/>
        </w:rPr>
        <w:t>r</w:t>
      </w:r>
      <w:r w:rsidRPr="004068F6">
        <w:rPr>
          <w:spacing w:val="-3"/>
        </w:rPr>
        <w:t>uido”. Los resultados del estudio de ruido deben presentarse en mapas de ruido</w:t>
      </w:r>
      <w:r w:rsidRPr="004068F6">
        <w:rPr>
          <w:rFonts w:cs="Arial"/>
          <w:spacing w:val="-3"/>
        </w:rPr>
        <w:t>.</w:t>
      </w:r>
    </w:p>
    <w:bookmarkEnd w:id="2868"/>
    <w:p w14:paraId="6508C1D2" w14:textId="77777777" w:rsidR="009D132B" w:rsidRPr="004068F6" w:rsidRDefault="009D132B" w:rsidP="008C2D45">
      <w:pPr>
        <w:numPr>
          <w:ilvl w:val="12"/>
          <w:numId w:val="0"/>
        </w:numPr>
        <w:tabs>
          <w:tab w:val="left" w:pos="-2268"/>
        </w:tabs>
        <w:suppressAutoHyphens/>
        <w:rPr>
          <w:rFonts w:cs="Arial"/>
          <w:spacing w:val="-3"/>
        </w:rPr>
      </w:pPr>
    </w:p>
    <w:p w14:paraId="1EA43499" w14:textId="0F09803C" w:rsidR="008C2D45" w:rsidRPr="004068F6" w:rsidRDefault="008C2D45" w:rsidP="0068149C">
      <w:pPr>
        <w:pStyle w:val="Ttulo2"/>
        <w:rPr>
          <w:lang w:val="es-CO"/>
        </w:rPr>
      </w:pPr>
      <w:bookmarkStart w:id="2877" w:name="_Toc437936025"/>
      <w:bookmarkStart w:id="2878" w:name="_Toc230879657"/>
      <w:r w:rsidRPr="004068F6">
        <w:rPr>
          <w:lang w:val="es-CO"/>
        </w:rPr>
        <w:t>MEDIO BIÓTICO</w:t>
      </w:r>
      <w:bookmarkEnd w:id="2622"/>
      <w:bookmarkEnd w:id="2623"/>
      <w:bookmarkEnd w:id="2877"/>
      <w:bookmarkEnd w:id="2878"/>
    </w:p>
    <w:p w14:paraId="6BC71F72" w14:textId="77777777" w:rsidR="00482A5F" w:rsidRPr="004068F6" w:rsidRDefault="00482A5F" w:rsidP="00482A5F">
      <w:pPr>
        <w:numPr>
          <w:ilvl w:val="12"/>
          <w:numId w:val="0"/>
        </w:numPr>
        <w:tabs>
          <w:tab w:val="left" w:pos="-2268"/>
        </w:tabs>
        <w:suppressAutoHyphens/>
        <w:rPr>
          <w:rFonts w:cs="Arial"/>
          <w:spacing w:val="-3"/>
        </w:rPr>
      </w:pPr>
    </w:p>
    <w:p w14:paraId="7D021F19" w14:textId="37EBDF4F" w:rsidR="00482A5F" w:rsidRPr="004068F6" w:rsidRDefault="008B16D9">
      <w:pPr>
        <w:numPr>
          <w:ilvl w:val="12"/>
          <w:numId w:val="0"/>
        </w:numPr>
        <w:tabs>
          <w:tab w:val="left" w:pos="-2268"/>
        </w:tabs>
        <w:suppressAutoHyphens/>
        <w:rPr>
          <w:spacing w:val="-3"/>
        </w:rPr>
      </w:pPr>
      <w:r w:rsidRPr="004068F6">
        <w:rPr>
          <w:spacing w:val="-3"/>
        </w:rPr>
        <w:t xml:space="preserve">El proceso de </w:t>
      </w:r>
      <w:r w:rsidR="00341FED" w:rsidRPr="004068F6">
        <w:rPr>
          <w:spacing w:val="-3"/>
        </w:rPr>
        <w:t>obtención, procesamiento y análisis de l</w:t>
      </w:r>
      <w:r w:rsidR="00EC03C0" w:rsidRPr="004068F6">
        <w:rPr>
          <w:spacing w:val="-3"/>
        </w:rPr>
        <w:t xml:space="preserve">os parámetros, indicadores y demás </w:t>
      </w:r>
      <w:r w:rsidR="00341FED" w:rsidRPr="004068F6">
        <w:rPr>
          <w:spacing w:val="-3"/>
        </w:rPr>
        <w:t xml:space="preserve">información </w:t>
      </w:r>
      <w:r w:rsidR="00EC03C0" w:rsidRPr="004068F6">
        <w:rPr>
          <w:spacing w:val="-3"/>
        </w:rPr>
        <w:t xml:space="preserve">biótica </w:t>
      </w:r>
      <w:r w:rsidR="00341FED" w:rsidRPr="004068F6">
        <w:rPr>
          <w:spacing w:val="-3"/>
        </w:rPr>
        <w:t xml:space="preserve">debe ser integral y </w:t>
      </w:r>
      <w:r w:rsidRPr="004068F6">
        <w:rPr>
          <w:spacing w:val="-3"/>
        </w:rPr>
        <w:t xml:space="preserve">determinar </w:t>
      </w:r>
      <w:r w:rsidR="00482A5F" w:rsidRPr="004068F6">
        <w:rPr>
          <w:spacing w:val="-3"/>
        </w:rPr>
        <w:t xml:space="preserve">las características cualitativas y cuantitativas </w:t>
      </w:r>
      <w:r w:rsidRPr="004068F6">
        <w:rPr>
          <w:spacing w:val="-3"/>
        </w:rPr>
        <w:t xml:space="preserve">asociadas a la </w:t>
      </w:r>
      <w:r w:rsidR="00482A5F" w:rsidRPr="004068F6">
        <w:rPr>
          <w:spacing w:val="-3"/>
        </w:rPr>
        <w:t>composición</w:t>
      </w:r>
      <w:r w:rsidRPr="004068F6">
        <w:rPr>
          <w:spacing w:val="-3"/>
        </w:rPr>
        <w:t>,</w:t>
      </w:r>
      <w:r w:rsidR="00482A5F" w:rsidRPr="004068F6">
        <w:rPr>
          <w:spacing w:val="-3"/>
        </w:rPr>
        <w:t xml:space="preserve"> estructura</w:t>
      </w:r>
      <w:r w:rsidR="00341FED" w:rsidRPr="004068F6">
        <w:rPr>
          <w:spacing w:val="-3"/>
        </w:rPr>
        <w:t xml:space="preserve"> </w:t>
      </w:r>
      <w:r w:rsidRPr="004068F6">
        <w:rPr>
          <w:spacing w:val="-3"/>
        </w:rPr>
        <w:t xml:space="preserve">y </w:t>
      </w:r>
      <w:bookmarkStart w:id="2879" w:name="_Hlk137129813"/>
      <w:r w:rsidRPr="004068F6">
        <w:rPr>
          <w:spacing w:val="-3"/>
        </w:rPr>
        <w:t>funci</w:t>
      </w:r>
      <w:r w:rsidR="00AB4432" w:rsidRPr="004068F6">
        <w:rPr>
          <w:spacing w:val="-3"/>
        </w:rPr>
        <w:t>ón</w:t>
      </w:r>
      <w:bookmarkEnd w:id="2879"/>
      <w:r w:rsidRPr="004068F6">
        <w:rPr>
          <w:rStyle w:val="Refdenotaalpie"/>
          <w:rFonts w:cs="Arial"/>
          <w:spacing w:val="-3"/>
          <w:lang w:val="es-CO"/>
        </w:rPr>
        <w:footnoteReference w:id="140"/>
      </w:r>
      <w:r w:rsidRPr="004068F6">
        <w:rPr>
          <w:spacing w:val="-3"/>
        </w:rPr>
        <w:t xml:space="preserve"> </w:t>
      </w:r>
      <w:r w:rsidR="00341FED" w:rsidRPr="004068F6">
        <w:rPr>
          <w:spacing w:val="-3"/>
        </w:rPr>
        <w:t>de los ecosistemas</w:t>
      </w:r>
      <w:r w:rsidR="00482A5F" w:rsidRPr="004068F6">
        <w:rPr>
          <w:spacing w:val="-3"/>
        </w:rPr>
        <w:t>.</w:t>
      </w:r>
    </w:p>
    <w:p w14:paraId="556FEAE8" w14:textId="77777777" w:rsidR="00482A5F" w:rsidRPr="004068F6" w:rsidRDefault="00482A5F">
      <w:pPr>
        <w:numPr>
          <w:ilvl w:val="12"/>
          <w:numId w:val="0"/>
        </w:numPr>
        <w:tabs>
          <w:tab w:val="left" w:pos="-2268"/>
        </w:tabs>
        <w:suppressAutoHyphens/>
        <w:rPr>
          <w:spacing w:val="-3"/>
        </w:rPr>
      </w:pPr>
    </w:p>
    <w:p w14:paraId="4193A49E" w14:textId="5DE7A432" w:rsidR="00482A5F" w:rsidRPr="004068F6" w:rsidRDefault="00482A5F">
      <w:pPr>
        <w:numPr>
          <w:ilvl w:val="12"/>
          <w:numId w:val="0"/>
        </w:numPr>
        <w:tabs>
          <w:tab w:val="left" w:pos="-2268"/>
        </w:tabs>
        <w:suppressAutoHyphens/>
        <w:rPr>
          <w:spacing w:val="-3"/>
        </w:rPr>
      </w:pPr>
      <w:r w:rsidRPr="004068F6">
        <w:rPr>
          <w:spacing w:val="-3"/>
        </w:rPr>
        <w:t>La obtención de la línea base biótica se fundamenta</w:t>
      </w:r>
      <w:r w:rsidR="002734B2" w:rsidRPr="004068F6">
        <w:rPr>
          <w:spacing w:val="-3"/>
        </w:rPr>
        <w:t xml:space="preserve"> en la realización de inventarios y caracterizaciones de la biodiversidad, que desarrollan </w:t>
      </w:r>
      <w:r w:rsidRPr="004068F6">
        <w:rPr>
          <w:spacing w:val="-3"/>
        </w:rPr>
        <w:t>entre otras</w:t>
      </w:r>
      <w:r w:rsidR="002734B2" w:rsidRPr="004068F6">
        <w:rPr>
          <w:spacing w:val="-3"/>
        </w:rPr>
        <w:t xml:space="preserve"> actividades</w:t>
      </w:r>
      <w:r w:rsidRPr="004068F6">
        <w:rPr>
          <w:spacing w:val="-3"/>
        </w:rPr>
        <w:t xml:space="preserve">, </w:t>
      </w:r>
      <w:r w:rsidR="002734B2" w:rsidRPr="004068F6">
        <w:rPr>
          <w:spacing w:val="-3"/>
        </w:rPr>
        <w:t xml:space="preserve">la </w:t>
      </w:r>
      <w:r w:rsidRPr="004068F6">
        <w:rPr>
          <w:spacing w:val="-3"/>
        </w:rPr>
        <w:t>recolección</w:t>
      </w:r>
      <w:r w:rsidR="00E44C4F" w:rsidRPr="004068F6">
        <w:rPr>
          <w:spacing w:val="-3"/>
        </w:rPr>
        <w:t>, manipulación y colec</w:t>
      </w:r>
      <w:r w:rsidR="00EC03C0" w:rsidRPr="004068F6">
        <w:rPr>
          <w:spacing w:val="-3"/>
        </w:rPr>
        <w:t>ta</w:t>
      </w:r>
      <w:r w:rsidR="00E44C4F" w:rsidRPr="004068F6">
        <w:rPr>
          <w:spacing w:val="-3"/>
        </w:rPr>
        <w:t xml:space="preserve"> temporal y definitiva</w:t>
      </w:r>
      <w:r w:rsidRPr="004068F6">
        <w:rPr>
          <w:spacing w:val="-3"/>
        </w:rPr>
        <w:t xml:space="preserve"> de especímenes de la diversidad biológica.</w:t>
      </w:r>
    </w:p>
    <w:p w14:paraId="581F0F2C" w14:textId="77777777" w:rsidR="00482A5F" w:rsidRPr="004068F6" w:rsidRDefault="00482A5F">
      <w:pPr>
        <w:numPr>
          <w:ilvl w:val="12"/>
          <w:numId w:val="0"/>
        </w:numPr>
        <w:tabs>
          <w:tab w:val="left" w:pos="-2268"/>
        </w:tabs>
        <w:suppressAutoHyphens/>
        <w:rPr>
          <w:spacing w:val="-3"/>
        </w:rPr>
      </w:pPr>
    </w:p>
    <w:p w14:paraId="13781135" w14:textId="1C9CD9B1" w:rsidR="00162A70" w:rsidRPr="004068F6" w:rsidRDefault="00162A70" w:rsidP="00162A70">
      <w:r w:rsidRPr="004068F6">
        <w:lastRenderedPageBreak/>
        <w:t>Los levantamiento</w:t>
      </w:r>
      <w:r w:rsidR="002E1307" w:rsidRPr="004068F6">
        <w:t>s</w:t>
      </w:r>
      <w:r w:rsidRPr="004068F6">
        <w:t xml:space="preserve"> de información primaria para la caracterización</w:t>
      </w:r>
      <w:r w:rsidR="002E1307" w:rsidRPr="004068F6">
        <w:t xml:space="preserve"> </w:t>
      </w:r>
      <w:r w:rsidRPr="004068F6">
        <w:t xml:space="preserve">deben </w:t>
      </w:r>
      <w:r w:rsidR="002E1307" w:rsidRPr="004068F6">
        <w:t xml:space="preserve">referirse a </w:t>
      </w:r>
      <w:r w:rsidRPr="004068F6">
        <w:t xml:space="preserve">las condiciones y características </w:t>
      </w:r>
      <w:r w:rsidR="002642DE" w:rsidRPr="004068F6">
        <w:t xml:space="preserve">ambientales </w:t>
      </w:r>
      <w:r w:rsidRPr="004068F6">
        <w:t>al momento de la solicitud</w:t>
      </w:r>
      <w:r w:rsidR="00C11577" w:rsidRPr="004068F6">
        <w:t xml:space="preserve"> </w:t>
      </w:r>
      <w:r w:rsidRPr="004068F6">
        <w:t xml:space="preserve">de licencia ambiental o </w:t>
      </w:r>
      <w:r w:rsidR="00C11577" w:rsidRPr="004068F6">
        <w:t xml:space="preserve">de </w:t>
      </w:r>
      <w:r w:rsidRPr="004068F6">
        <w:t>modificaci</w:t>
      </w:r>
      <w:r w:rsidR="00C11577" w:rsidRPr="004068F6">
        <w:t xml:space="preserve">ón </w:t>
      </w:r>
      <w:r w:rsidRPr="004068F6">
        <w:t>del</w:t>
      </w:r>
      <w:r w:rsidR="00C11577" w:rsidRPr="004068F6">
        <w:t xml:space="preserve"> </w:t>
      </w:r>
      <w:r w:rsidRPr="004068F6">
        <w:t>instrumento de manejo y control</w:t>
      </w:r>
      <w:r w:rsidR="00CC227C" w:rsidRPr="004068F6">
        <w:t xml:space="preserve"> ambiental</w:t>
      </w:r>
      <w:r w:rsidRPr="004068F6">
        <w:t>.</w:t>
      </w:r>
    </w:p>
    <w:p w14:paraId="0038E9DC" w14:textId="77777777" w:rsidR="00162A70" w:rsidRPr="004068F6" w:rsidRDefault="00162A70" w:rsidP="00162A70">
      <w:pPr>
        <w:numPr>
          <w:ilvl w:val="12"/>
          <w:numId w:val="0"/>
        </w:numPr>
        <w:tabs>
          <w:tab w:val="left" w:pos="-2268"/>
        </w:tabs>
        <w:suppressAutoHyphens/>
        <w:rPr>
          <w:spacing w:val="-3"/>
        </w:rPr>
      </w:pPr>
    </w:p>
    <w:p w14:paraId="22705AF7" w14:textId="295E97F8" w:rsidR="00162A70" w:rsidRPr="004068F6" w:rsidRDefault="00825336" w:rsidP="00162A70">
      <w:pPr>
        <w:numPr>
          <w:ilvl w:val="12"/>
          <w:numId w:val="0"/>
        </w:numPr>
        <w:tabs>
          <w:tab w:val="left" w:pos="-2268"/>
        </w:tabs>
        <w:suppressAutoHyphens/>
        <w:rPr>
          <w:spacing w:val="-3"/>
        </w:rPr>
      </w:pPr>
      <w:r w:rsidRPr="004068F6">
        <w:rPr>
          <w:spacing w:val="-3"/>
        </w:rPr>
        <w:t>Asimismo, l</w:t>
      </w:r>
      <w:r w:rsidR="00162A70" w:rsidRPr="004068F6">
        <w:rPr>
          <w:spacing w:val="-3"/>
        </w:rPr>
        <w:t xml:space="preserve">a caracterización </w:t>
      </w:r>
      <w:r w:rsidRPr="004068F6">
        <w:rPr>
          <w:spacing w:val="-3"/>
        </w:rPr>
        <w:t xml:space="preserve">que emplee información secundaria </w:t>
      </w:r>
      <w:r w:rsidR="005F1EF2" w:rsidRPr="004068F6">
        <w:rPr>
          <w:spacing w:val="-3"/>
        </w:rPr>
        <w:t xml:space="preserve">debe partir </w:t>
      </w:r>
      <w:r w:rsidRPr="004068F6">
        <w:rPr>
          <w:spacing w:val="-3"/>
        </w:rPr>
        <w:t xml:space="preserve">de fuentes </w:t>
      </w:r>
      <w:r w:rsidR="00A02727" w:rsidRPr="004068F6">
        <w:rPr>
          <w:spacing w:val="-3"/>
        </w:rPr>
        <w:t>actualizad</w:t>
      </w:r>
      <w:r w:rsidRPr="004068F6">
        <w:rPr>
          <w:spacing w:val="-3"/>
        </w:rPr>
        <w:t>a</w:t>
      </w:r>
      <w:r w:rsidR="00A02727" w:rsidRPr="004068F6">
        <w:rPr>
          <w:spacing w:val="-3"/>
        </w:rPr>
        <w:t>s</w:t>
      </w:r>
      <w:r w:rsidR="005F1EF2" w:rsidRPr="004068F6">
        <w:rPr>
          <w:spacing w:val="-3"/>
        </w:rPr>
        <w:t xml:space="preserve"> y </w:t>
      </w:r>
      <w:r w:rsidR="00162A70" w:rsidRPr="004068F6">
        <w:rPr>
          <w:spacing w:val="-3"/>
        </w:rPr>
        <w:t>considerar las dinámicas de cambio existentes en el área donde se pretende desarrollar el proyecto</w:t>
      </w:r>
      <w:r w:rsidR="009D2570" w:rsidRPr="004068F6">
        <w:rPr>
          <w:rStyle w:val="Refdenotaalpie"/>
          <w:spacing w:val="-3"/>
          <w:lang w:val="es-CO"/>
        </w:rPr>
        <w:footnoteReference w:id="141"/>
      </w:r>
      <w:r w:rsidR="005F1EF2" w:rsidRPr="004068F6">
        <w:rPr>
          <w:spacing w:val="-3"/>
        </w:rPr>
        <w:t xml:space="preserve">, a fin de </w:t>
      </w:r>
      <w:r w:rsidR="00162A70" w:rsidRPr="004068F6">
        <w:rPr>
          <w:spacing w:val="-3"/>
        </w:rPr>
        <w:t>represent</w:t>
      </w:r>
      <w:r w:rsidR="005F1EF2" w:rsidRPr="004068F6">
        <w:rPr>
          <w:spacing w:val="-3"/>
        </w:rPr>
        <w:t>ar</w:t>
      </w:r>
      <w:r w:rsidR="00162A70" w:rsidRPr="004068F6">
        <w:rPr>
          <w:spacing w:val="-3"/>
        </w:rPr>
        <w:t xml:space="preserve"> </w:t>
      </w:r>
      <w:r w:rsidR="00F0592C" w:rsidRPr="004068F6">
        <w:rPr>
          <w:spacing w:val="-3"/>
        </w:rPr>
        <w:t xml:space="preserve">las características asociadas a </w:t>
      </w:r>
      <w:r w:rsidR="00162A70" w:rsidRPr="004068F6">
        <w:rPr>
          <w:spacing w:val="-3"/>
        </w:rPr>
        <w:t>las coberturas de la tierra</w:t>
      </w:r>
      <w:r w:rsidR="00F0592C" w:rsidRPr="004068F6">
        <w:rPr>
          <w:spacing w:val="-3"/>
        </w:rPr>
        <w:t xml:space="preserve"> y a</w:t>
      </w:r>
      <w:r w:rsidR="00162A70" w:rsidRPr="004068F6">
        <w:rPr>
          <w:spacing w:val="-3"/>
        </w:rPr>
        <w:t xml:space="preserve"> los ecosistemas en el momento de la solicitud de la licencia ambiental.</w:t>
      </w:r>
    </w:p>
    <w:p w14:paraId="50C0E759" w14:textId="77777777" w:rsidR="00162A70" w:rsidRPr="004068F6" w:rsidRDefault="00162A70">
      <w:pPr>
        <w:numPr>
          <w:ilvl w:val="12"/>
          <w:numId w:val="0"/>
        </w:numPr>
        <w:tabs>
          <w:tab w:val="left" w:pos="-2268"/>
        </w:tabs>
        <w:suppressAutoHyphens/>
        <w:rPr>
          <w:spacing w:val="-3"/>
        </w:rPr>
      </w:pPr>
    </w:p>
    <w:p w14:paraId="3A95F9A7" w14:textId="49B400CC" w:rsidR="00482A5F" w:rsidRPr="004068F6" w:rsidRDefault="00482A5F">
      <w:pPr>
        <w:numPr>
          <w:ilvl w:val="12"/>
          <w:numId w:val="0"/>
        </w:numPr>
        <w:tabs>
          <w:tab w:val="left" w:pos="-2268"/>
        </w:tabs>
        <w:suppressAutoHyphens/>
        <w:rPr>
          <w:spacing w:val="-3"/>
        </w:rPr>
      </w:pPr>
      <w:r w:rsidRPr="004068F6">
        <w:rPr>
          <w:spacing w:val="-3"/>
        </w:rPr>
        <w:t xml:space="preserve">Dada la necesidad de contar con información precisa y confiable para la toma de decisiones, se resalta la </w:t>
      </w:r>
      <w:r w:rsidRPr="004068F6">
        <w:rPr>
          <w:rFonts w:cs="Arial"/>
          <w:spacing w:val="-3"/>
        </w:rPr>
        <w:t>importancia</w:t>
      </w:r>
      <w:r w:rsidRPr="004068F6">
        <w:rPr>
          <w:spacing w:val="-3"/>
        </w:rPr>
        <w:t xml:space="preserve"> de desarrollar la caracterización del medio biótico bajo metodologías acertadas y rigurosas, llevadas a cabo por profesionales con conocimiento de los grupos biológicos objeto de estudio y con experiencia en las técnicas y métodos de campo y laboratorio.</w:t>
      </w:r>
    </w:p>
    <w:p w14:paraId="26976060" w14:textId="77777777" w:rsidR="00482A5F" w:rsidRPr="004068F6" w:rsidRDefault="00482A5F">
      <w:pPr>
        <w:numPr>
          <w:ilvl w:val="12"/>
          <w:numId w:val="0"/>
        </w:numPr>
        <w:tabs>
          <w:tab w:val="left" w:pos="-2268"/>
        </w:tabs>
        <w:suppressAutoHyphens/>
        <w:rPr>
          <w:spacing w:val="-3"/>
        </w:rPr>
      </w:pPr>
    </w:p>
    <w:p w14:paraId="3E791718" w14:textId="463DF3B3" w:rsidR="009F2C5C" w:rsidRPr="004068F6" w:rsidRDefault="00482A5F">
      <w:pPr>
        <w:numPr>
          <w:ilvl w:val="12"/>
          <w:numId w:val="0"/>
        </w:numPr>
        <w:tabs>
          <w:tab w:val="left" w:pos="-2268"/>
        </w:tabs>
        <w:suppressAutoHyphens/>
        <w:rPr>
          <w:spacing w:val="-3"/>
        </w:rPr>
      </w:pPr>
      <w:r w:rsidRPr="004068F6">
        <w:rPr>
          <w:spacing w:val="-3"/>
        </w:rPr>
        <w:t>Existen diversas metodologías</w:t>
      </w:r>
      <w:r w:rsidR="00A741C1">
        <w:rPr>
          <w:spacing w:val="-3"/>
        </w:rPr>
        <w:t>,</w:t>
      </w:r>
      <w:r w:rsidRPr="004068F6">
        <w:rPr>
          <w:spacing w:val="-3"/>
        </w:rPr>
        <w:t xml:space="preserve"> manuales </w:t>
      </w:r>
      <w:r w:rsidR="00A741C1">
        <w:rPr>
          <w:spacing w:val="-3"/>
        </w:rPr>
        <w:t xml:space="preserve">y guías </w:t>
      </w:r>
      <w:r w:rsidRPr="004068F6">
        <w:rPr>
          <w:spacing w:val="-3"/>
        </w:rPr>
        <w:t xml:space="preserve">que </w:t>
      </w:r>
      <w:r w:rsidR="009F2C5C" w:rsidRPr="004068F6">
        <w:rPr>
          <w:spacing w:val="-3"/>
        </w:rPr>
        <w:t xml:space="preserve">permiten </w:t>
      </w:r>
      <w:r w:rsidRPr="004068F6">
        <w:rPr>
          <w:spacing w:val="-3"/>
        </w:rPr>
        <w:t>la obtención de información biológica básica confiable para la toma de decisiones</w:t>
      </w:r>
      <w:r w:rsidR="00A741C1">
        <w:rPr>
          <w:spacing w:val="-3"/>
        </w:rPr>
        <w:t xml:space="preserve">. Entre ellas se encuentran </w:t>
      </w:r>
      <w:r w:rsidRPr="004068F6">
        <w:rPr>
          <w:spacing w:val="-3"/>
        </w:rPr>
        <w:t xml:space="preserve">Métodos para medir la biodiversidad de Moreno, 2001; Manual para evaluación de la biodiversidad en </w:t>
      </w:r>
      <w:r w:rsidR="00E46FD2" w:rsidRPr="004068F6">
        <w:rPr>
          <w:spacing w:val="-3"/>
        </w:rPr>
        <w:t>r</w:t>
      </w:r>
      <w:r w:rsidRPr="004068F6">
        <w:rPr>
          <w:spacing w:val="-3"/>
        </w:rPr>
        <w:t xml:space="preserve">eservas de la </w:t>
      </w:r>
      <w:r w:rsidR="00E46FD2" w:rsidRPr="004068F6">
        <w:rPr>
          <w:spacing w:val="-3"/>
        </w:rPr>
        <w:t>b</w:t>
      </w:r>
      <w:r w:rsidRPr="004068F6">
        <w:rPr>
          <w:spacing w:val="-3"/>
        </w:rPr>
        <w:t xml:space="preserve">iosfera de Halffter et al., 2001; Manual de </w:t>
      </w:r>
      <w:r w:rsidR="00E46FD2" w:rsidRPr="004068F6">
        <w:rPr>
          <w:spacing w:val="-3"/>
        </w:rPr>
        <w:t>m</w:t>
      </w:r>
      <w:r w:rsidRPr="004068F6">
        <w:rPr>
          <w:spacing w:val="-3"/>
        </w:rPr>
        <w:t xml:space="preserve">étodos para el </w:t>
      </w:r>
      <w:r w:rsidR="00E46FD2" w:rsidRPr="004068F6">
        <w:rPr>
          <w:spacing w:val="-3"/>
        </w:rPr>
        <w:t>d</w:t>
      </w:r>
      <w:r w:rsidRPr="004068F6">
        <w:rPr>
          <w:spacing w:val="-3"/>
        </w:rPr>
        <w:t xml:space="preserve">esarrollo de </w:t>
      </w:r>
      <w:r w:rsidR="00E46FD2" w:rsidRPr="004068F6">
        <w:rPr>
          <w:spacing w:val="-3"/>
        </w:rPr>
        <w:t>i</w:t>
      </w:r>
      <w:r w:rsidRPr="004068F6">
        <w:rPr>
          <w:spacing w:val="-3"/>
        </w:rPr>
        <w:t xml:space="preserve">nventarios de la </w:t>
      </w:r>
      <w:r w:rsidR="00E46FD2" w:rsidRPr="004068F6">
        <w:rPr>
          <w:spacing w:val="-3"/>
        </w:rPr>
        <w:t>b</w:t>
      </w:r>
      <w:r w:rsidRPr="004068F6">
        <w:rPr>
          <w:spacing w:val="-3"/>
        </w:rPr>
        <w:t>iodiversidad de Villa</w:t>
      </w:r>
      <w:r w:rsidR="00C34E67" w:rsidRPr="004068F6">
        <w:rPr>
          <w:spacing w:val="-3"/>
        </w:rPr>
        <w:t>r</w:t>
      </w:r>
      <w:r w:rsidRPr="004068F6">
        <w:rPr>
          <w:spacing w:val="-3"/>
        </w:rPr>
        <w:t>real et al.</w:t>
      </w:r>
      <w:r w:rsidR="00AC1C93" w:rsidRPr="004068F6">
        <w:rPr>
          <w:spacing w:val="-3"/>
        </w:rPr>
        <w:t>,</w:t>
      </w:r>
      <w:r w:rsidRPr="004068F6">
        <w:rPr>
          <w:spacing w:val="-3"/>
        </w:rPr>
        <w:t xml:space="preserve"> 200</w:t>
      </w:r>
      <w:r w:rsidR="00584905" w:rsidRPr="004068F6">
        <w:rPr>
          <w:spacing w:val="-3"/>
        </w:rPr>
        <w:t>6</w:t>
      </w:r>
      <w:r w:rsidR="00E14516" w:rsidRPr="004068F6">
        <w:rPr>
          <w:spacing w:val="-3"/>
        </w:rPr>
        <w:t xml:space="preserve"> o versiones posteriores</w:t>
      </w:r>
      <w:r w:rsidR="00E46FD2" w:rsidRPr="004068F6">
        <w:rPr>
          <w:spacing w:val="-3"/>
        </w:rPr>
        <w:t>;</w:t>
      </w:r>
      <w:r w:rsidR="00E14516" w:rsidRPr="004068F6">
        <w:rPr>
          <w:spacing w:val="-3"/>
        </w:rPr>
        <w:t xml:space="preserve"> </w:t>
      </w:r>
      <w:r w:rsidR="00517A76" w:rsidRPr="004068F6">
        <w:rPr>
          <w:spacing w:val="-3"/>
        </w:rPr>
        <w:t xml:space="preserve">Manual de métodos de ecosistemas marinos y costeros con miras a establecer impactos ambientales </w:t>
      </w:r>
      <w:r w:rsidR="00B91543" w:rsidRPr="004068F6">
        <w:rPr>
          <w:spacing w:val="-3"/>
        </w:rPr>
        <w:t xml:space="preserve">de </w:t>
      </w:r>
      <w:r w:rsidR="00517A76" w:rsidRPr="004068F6">
        <w:rPr>
          <w:spacing w:val="-3"/>
        </w:rPr>
        <w:t>Báez-Polo</w:t>
      </w:r>
      <w:r w:rsidR="00003F85" w:rsidRPr="004068F6">
        <w:rPr>
          <w:spacing w:val="-3"/>
        </w:rPr>
        <w:t>,</w:t>
      </w:r>
      <w:r w:rsidR="00517A76" w:rsidRPr="004068F6">
        <w:rPr>
          <w:spacing w:val="-3"/>
        </w:rPr>
        <w:t xml:space="preserve"> 2013; </w:t>
      </w:r>
      <w:r w:rsidR="00393922" w:rsidRPr="004068F6">
        <w:rPr>
          <w:spacing w:val="-3"/>
        </w:rPr>
        <w:t>M</w:t>
      </w:r>
      <w:r w:rsidR="00517A76" w:rsidRPr="004068F6">
        <w:rPr>
          <w:spacing w:val="-3"/>
        </w:rPr>
        <w:t>étodos para el estudio del bentos marinos</w:t>
      </w:r>
      <w:r w:rsidR="00957AE5" w:rsidRPr="004068F6">
        <w:rPr>
          <w:spacing w:val="-3"/>
        </w:rPr>
        <w:t xml:space="preserve"> de </w:t>
      </w:r>
      <w:r w:rsidR="00517A76" w:rsidRPr="004068F6">
        <w:rPr>
          <w:spacing w:val="-3"/>
        </w:rPr>
        <w:t>Eleftheriou</w:t>
      </w:r>
      <w:r w:rsidR="00003F85" w:rsidRPr="004068F6">
        <w:rPr>
          <w:spacing w:val="-3"/>
        </w:rPr>
        <w:t>,</w:t>
      </w:r>
      <w:r w:rsidR="00517A76" w:rsidRPr="004068F6">
        <w:rPr>
          <w:spacing w:val="-3"/>
        </w:rPr>
        <w:t xml:space="preserve"> 2013;</w:t>
      </w:r>
      <w:r w:rsidR="00393922" w:rsidRPr="004068F6">
        <w:rPr>
          <w:spacing w:val="-3"/>
        </w:rPr>
        <w:t xml:space="preserve"> </w:t>
      </w:r>
      <w:r w:rsidR="00E14516" w:rsidRPr="004068F6">
        <w:rPr>
          <w:spacing w:val="-3"/>
        </w:rPr>
        <w:t>Estándar para la publicación de datos e información sobre biodiversidad a través del SiB Colombia</w:t>
      </w:r>
      <w:r w:rsidR="00D74223">
        <w:rPr>
          <w:spacing w:val="-3"/>
        </w:rPr>
        <w:t xml:space="preserve"> y</w:t>
      </w:r>
      <w:r w:rsidR="005C7B57" w:rsidRPr="004068F6">
        <w:rPr>
          <w:spacing w:val="-3"/>
        </w:rPr>
        <w:t>;</w:t>
      </w:r>
      <w:r w:rsidR="00E14516" w:rsidRPr="004068F6">
        <w:rPr>
          <w:spacing w:val="-3"/>
        </w:rPr>
        <w:t xml:space="preserve"> </w:t>
      </w:r>
      <w:r w:rsidR="003B7869">
        <w:rPr>
          <w:spacing w:val="-3"/>
        </w:rPr>
        <w:t xml:space="preserve">Guía </w:t>
      </w:r>
      <w:r w:rsidR="005C7B57" w:rsidRPr="004068F6">
        <w:rPr>
          <w:spacing w:val="-3"/>
        </w:rPr>
        <w:t>para la publica</w:t>
      </w:r>
      <w:r w:rsidR="003B7869">
        <w:rPr>
          <w:spacing w:val="-3"/>
        </w:rPr>
        <w:t xml:space="preserve">r </w:t>
      </w:r>
      <w:r w:rsidR="005C7B57" w:rsidRPr="004068F6">
        <w:rPr>
          <w:spacing w:val="-3"/>
        </w:rPr>
        <w:t xml:space="preserve">datos e información </w:t>
      </w:r>
      <w:r w:rsidR="00D74223">
        <w:rPr>
          <w:spacing w:val="-3"/>
        </w:rPr>
        <w:t>(</w:t>
      </w:r>
      <w:r w:rsidR="00F61FDA">
        <w:rPr>
          <w:spacing w:val="-3"/>
        </w:rPr>
        <w:t xml:space="preserve">disponible en: </w:t>
      </w:r>
      <w:r w:rsidR="00F61FDA" w:rsidRPr="00F61FDA">
        <w:rPr>
          <w:spacing w:val="-3"/>
        </w:rPr>
        <w:t>https://biodiversidad.co/compartir/guia-para-publicar/</w:t>
      </w:r>
      <w:r w:rsidR="00D74223">
        <w:rPr>
          <w:spacing w:val="-3"/>
        </w:rPr>
        <w:t>)</w:t>
      </w:r>
      <w:r w:rsidR="00E14516" w:rsidRPr="004068F6">
        <w:rPr>
          <w:spacing w:val="-3"/>
        </w:rPr>
        <w:t>.</w:t>
      </w:r>
    </w:p>
    <w:p w14:paraId="7D9432ED" w14:textId="77777777" w:rsidR="009F2C5C" w:rsidRPr="004068F6" w:rsidRDefault="009F2C5C">
      <w:pPr>
        <w:numPr>
          <w:ilvl w:val="12"/>
          <w:numId w:val="0"/>
        </w:numPr>
        <w:tabs>
          <w:tab w:val="left" w:pos="-2268"/>
        </w:tabs>
        <w:suppressAutoHyphens/>
        <w:rPr>
          <w:spacing w:val="-3"/>
        </w:rPr>
      </w:pPr>
    </w:p>
    <w:p w14:paraId="1858FB26" w14:textId="0C344FA1" w:rsidR="00482A5F" w:rsidRPr="004068F6" w:rsidRDefault="009F2C5C">
      <w:pPr>
        <w:numPr>
          <w:ilvl w:val="12"/>
          <w:numId w:val="0"/>
        </w:numPr>
        <w:tabs>
          <w:tab w:val="left" w:pos="-2268"/>
        </w:tabs>
        <w:suppressAutoHyphens/>
        <w:rPr>
          <w:spacing w:val="-3"/>
        </w:rPr>
      </w:pPr>
      <w:r w:rsidRPr="004068F6">
        <w:rPr>
          <w:spacing w:val="-3"/>
        </w:rPr>
        <w:t>Preferiblemente, s</w:t>
      </w:r>
      <w:r w:rsidR="00E14516" w:rsidRPr="004068F6">
        <w:rPr>
          <w:spacing w:val="-3"/>
        </w:rPr>
        <w:t xml:space="preserve">e deben seleccionar métodos </w:t>
      </w:r>
      <w:r w:rsidRPr="004068F6">
        <w:rPr>
          <w:spacing w:val="-3"/>
        </w:rPr>
        <w:t xml:space="preserve">estándar que permita replicar los muestreos en distintas condiciones (geográficas, temporales, logísticas), realizar comparaciones y </w:t>
      </w:r>
      <w:r w:rsidR="00E14516" w:rsidRPr="004068F6">
        <w:rPr>
          <w:spacing w:val="-3"/>
        </w:rPr>
        <w:t>suministr</w:t>
      </w:r>
      <w:r w:rsidRPr="004068F6">
        <w:rPr>
          <w:spacing w:val="-3"/>
        </w:rPr>
        <w:t>ar</w:t>
      </w:r>
      <w:r w:rsidR="00E14516" w:rsidRPr="004068F6">
        <w:rPr>
          <w:spacing w:val="-3"/>
        </w:rPr>
        <w:t xml:space="preserve"> información representativa de los atributos a medir que cubra de manera adecuada la heterogeneidad del área geográfica a estudiar (Villarreal et al., 2006)</w:t>
      </w:r>
      <w:r w:rsidR="00482A5F" w:rsidRPr="004068F6">
        <w:rPr>
          <w:spacing w:val="-3"/>
        </w:rPr>
        <w:t>.</w:t>
      </w:r>
    </w:p>
    <w:p w14:paraId="28A7A418" w14:textId="77777777" w:rsidR="00482A5F" w:rsidRPr="004068F6" w:rsidRDefault="00482A5F">
      <w:pPr>
        <w:numPr>
          <w:ilvl w:val="12"/>
          <w:numId w:val="0"/>
        </w:numPr>
        <w:tabs>
          <w:tab w:val="left" w:pos="-2268"/>
        </w:tabs>
        <w:suppressAutoHyphens/>
        <w:rPr>
          <w:spacing w:val="-3"/>
        </w:rPr>
      </w:pPr>
    </w:p>
    <w:p w14:paraId="424EE48A" w14:textId="74B8F060" w:rsidR="00482A5F" w:rsidRPr="004068F6" w:rsidRDefault="00E07D82">
      <w:pPr>
        <w:numPr>
          <w:ilvl w:val="12"/>
          <w:numId w:val="0"/>
        </w:numPr>
        <w:tabs>
          <w:tab w:val="left" w:pos="-2268"/>
        </w:tabs>
        <w:suppressAutoHyphens/>
        <w:rPr>
          <w:spacing w:val="-3"/>
        </w:rPr>
      </w:pPr>
      <w:r w:rsidRPr="004068F6">
        <w:t>E</w:t>
      </w:r>
      <w:r w:rsidRPr="004068F6">
        <w:rPr>
          <w:spacing w:val="-3"/>
        </w:rPr>
        <w:t xml:space="preserve">n caso </w:t>
      </w:r>
      <w:r w:rsidRPr="004068F6">
        <w:rPr>
          <w:rFonts w:cs="Arial"/>
          <w:spacing w:val="-3"/>
        </w:rPr>
        <w:t xml:space="preserve">de no contar con información actualizada que refleje las condiciones </w:t>
      </w:r>
      <w:r w:rsidR="00E97A61" w:rsidRPr="004068F6">
        <w:rPr>
          <w:rFonts w:cs="Arial"/>
          <w:spacing w:val="-3"/>
        </w:rPr>
        <w:t xml:space="preserve">bióticas </w:t>
      </w:r>
      <w:r w:rsidRPr="004068F6">
        <w:rPr>
          <w:rFonts w:cs="Arial"/>
          <w:spacing w:val="-3"/>
        </w:rPr>
        <w:t>actuales</w:t>
      </w:r>
      <w:r w:rsidRPr="004068F6">
        <w:rPr>
          <w:spacing w:val="-3"/>
        </w:rPr>
        <w:t>,</w:t>
      </w:r>
      <w:r w:rsidRPr="004068F6">
        <w:rPr>
          <w:rFonts w:cs="Arial"/>
          <w:spacing w:val="-3"/>
        </w:rPr>
        <w:t xml:space="preserve"> es necesario realizar</w:t>
      </w:r>
      <w:r w:rsidRPr="004068F6">
        <w:rPr>
          <w:spacing w:val="-3"/>
        </w:rPr>
        <w:t xml:space="preserve"> la captura y recolecta de especímenes de la diversidad biológica; </w:t>
      </w:r>
      <w:r w:rsidRPr="004068F6">
        <w:rPr>
          <w:rFonts w:cs="Arial"/>
          <w:spacing w:val="-3"/>
        </w:rPr>
        <w:t xml:space="preserve">para ello, se debe contar con el permiso de recolección para fauna y flora silvestre con fines de elaboración de estudios ambientales que otorga la autoridad </w:t>
      </w:r>
      <w:r w:rsidRPr="004068F6">
        <w:rPr>
          <w:rFonts w:cs="Arial"/>
          <w:spacing w:val="-3"/>
        </w:rPr>
        <w:lastRenderedPageBreak/>
        <w:t>ambiental competente</w:t>
      </w:r>
      <w:r w:rsidRPr="004068F6">
        <w:rPr>
          <w:rStyle w:val="Refdenotaalpie"/>
          <w:rFonts w:cs="Arial"/>
          <w:spacing w:val="-3"/>
          <w:lang w:val="es-CO"/>
        </w:rPr>
        <w:footnoteReference w:id="142"/>
      </w:r>
      <w:r w:rsidRPr="004068F6">
        <w:rPr>
          <w:rFonts w:cs="Arial"/>
          <w:spacing w:val="-3"/>
        </w:rPr>
        <w:t xml:space="preserve"> </w:t>
      </w:r>
      <w:r w:rsidR="00467CE5" w:rsidRPr="004068F6">
        <w:rPr>
          <w:rFonts w:cs="Arial"/>
          <w:spacing w:val="-3"/>
        </w:rPr>
        <w:t>de acuerdo con</w:t>
      </w:r>
      <w:r w:rsidRPr="004068F6">
        <w:rPr>
          <w:rFonts w:cs="Arial"/>
          <w:spacing w:val="-3"/>
        </w:rPr>
        <w:t xml:space="preserve"> lo establecido en el artículo 2.2.2.9.2.1 del Decreto 1076 de 2015</w:t>
      </w:r>
      <w:r w:rsidR="00335193" w:rsidRPr="004068F6">
        <w:rPr>
          <w:rFonts w:cs="Arial"/>
          <w:spacing w:val="-3"/>
        </w:rPr>
        <w:t xml:space="preserve"> o aquel que lo modifique o sustituya</w:t>
      </w:r>
      <w:r w:rsidRPr="004068F6">
        <w:rPr>
          <w:rFonts w:cs="Arial"/>
          <w:spacing w:val="-3"/>
        </w:rPr>
        <w:t xml:space="preserve">. Las actividades de recolecta que se formulen en el estudio ambiental, </w:t>
      </w:r>
      <w:r w:rsidRPr="004068F6">
        <w:rPr>
          <w:spacing w:val="-3"/>
        </w:rPr>
        <w:t>deben guardar correspondencia con los elementos metodológicos autorizados en el permiso</w:t>
      </w:r>
      <w:r w:rsidRPr="004068F6">
        <w:rPr>
          <w:rFonts w:cs="Arial"/>
          <w:spacing w:val="-3"/>
        </w:rPr>
        <w:t>, tales como esfuerzos de muestreo (número de muestras colectadas</w:t>
      </w:r>
      <w:r w:rsidRPr="004068F6">
        <w:rPr>
          <w:spacing w:val="-3"/>
        </w:rPr>
        <w:t xml:space="preserve"> por </w:t>
      </w:r>
      <w:r w:rsidRPr="004068F6">
        <w:rPr>
          <w:rFonts w:cs="Arial"/>
          <w:spacing w:val="-3"/>
        </w:rPr>
        <w:t xml:space="preserve">especie), representatividad de unidades de muestreo </w:t>
      </w:r>
      <w:r w:rsidRPr="004068F6">
        <w:rPr>
          <w:spacing w:val="-3"/>
        </w:rPr>
        <w:t>y demás requerimientos establecidos en la Sección 2, Capitulo 9, Titulo 2, Parte 2, Libro 2 del Decreto 1076</w:t>
      </w:r>
      <w:r w:rsidRPr="004068F6">
        <w:rPr>
          <w:rFonts w:cs="Arial"/>
          <w:spacing w:val="-3"/>
        </w:rPr>
        <w:t>,</w:t>
      </w:r>
      <w:r w:rsidRPr="004068F6">
        <w:rPr>
          <w:spacing w:val="-3"/>
        </w:rPr>
        <w:t xml:space="preserve"> o de aquel que lo modifique</w:t>
      </w:r>
      <w:r w:rsidRPr="004068F6">
        <w:rPr>
          <w:rFonts w:cs="Arial"/>
          <w:spacing w:val="-3"/>
        </w:rPr>
        <w:t xml:space="preserve"> o</w:t>
      </w:r>
      <w:r w:rsidRPr="004068F6">
        <w:rPr>
          <w:spacing w:val="-3"/>
        </w:rPr>
        <w:t xml:space="preserve"> sustituya</w:t>
      </w:r>
      <w:r w:rsidR="00482A5F" w:rsidRPr="004068F6">
        <w:rPr>
          <w:rFonts w:cs="Arial"/>
          <w:spacing w:val="-3"/>
        </w:rPr>
        <w:t>.</w:t>
      </w:r>
    </w:p>
    <w:p w14:paraId="67A26855" w14:textId="77777777" w:rsidR="00482A5F" w:rsidRPr="004068F6" w:rsidRDefault="00482A5F">
      <w:pPr>
        <w:numPr>
          <w:ilvl w:val="12"/>
          <w:numId w:val="0"/>
        </w:numPr>
        <w:tabs>
          <w:tab w:val="left" w:pos="-2268"/>
        </w:tabs>
        <w:suppressAutoHyphens/>
        <w:rPr>
          <w:spacing w:val="-3"/>
        </w:rPr>
      </w:pPr>
    </w:p>
    <w:p w14:paraId="5C897BCA" w14:textId="75EA8E94" w:rsidR="00482A5F" w:rsidRPr="004068F6" w:rsidRDefault="00482A5F">
      <w:pPr>
        <w:numPr>
          <w:ilvl w:val="12"/>
          <w:numId w:val="0"/>
        </w:numPr>
        <w:tabs>
          <w:tab w:val="left" w:pos="-2268"/>
        </w:tabs>
        <w:suppressAutoHyphens/>
        <w:rPr>
          <w:spacing w:val="-3"/>
        </w:rPr>
      </w:pPr>
      <w:r w:rsidRPr="004068F6">
        <w:rPr>
          <w:spacing w:val="-3"/>
        </w:rPr>
        <w:t>Para realizar los muestreos o monitoreos de fauna (incluyendo fauna íctica), no se deben utilizar métodos químicos o de envenenamiento, así como tampoco trampas para captura que sean en esencia letales (</w:t>
      </w:r>
      <w:r w:rsidR="00041844" w:rsidRPr="004068F6">
        <w:rPr>
          <w:spacing w:val="-3"/>
        </w:rPr>
        <w:t>p. ej.</w:t>
      </w:r>
      <w:r w:rsidRPr="004068F6">
        <w:rPr>
          <w:spacing w:val="-3"/>
        </w:rPr>
        <w:t xml:space="preserve"> trampas de golpe para micromamíferos).</w:t>
      </w:r>
    </w:p>
    <w:p w14:paraId="215ED857" w14:textId="77777777" w:rsidR="00482A5F" w:rsidRPr="004068F6" w:rsidRDefault="00482A5F">
      <w:pPr>
        <w:numPr>
          <w:ilvl w:val="12"/>
          <w:numId w:val="0"/>
        </w:numPr>
        <w:tabs>
          <w:tab w:val="left" w:pos="-2268"/>
        </w:tabs>
        <w:suppressAutoHyphens/>
        <w:rPr>
          <w:spacing w:val="-3"/>
        </w:rPr>
      </w:pPr>
    </w:p>
    <w:p w14:paraId="4E9E40EB" w14:textId="1F21BB1C" w:rsidR="00482A5F" w:rsidRPr="004068F6" w:rsidRDefault="00482A5F" w:rsidP="00482A5F">
      <w:pPr>
        <w:tabs>
          <w:tab w:val="left" w:pos="-2268"/>
        </w:tabs>
        <w:suppressAutoHyphens/>
        <w:rPr>
          <w:rFonts w:cs="Arial"/>
          <w:spacing w:val="-3"/>
        </w:rPr>
      </w:pPr>
      <w:r w:rsidRPr="004068F6">
        <w:rPr>
          <w:rFonts w:cs="Arial"/>
          <w:spacing w:val="-3"/>
        </w:rPr>
        <w:t xml:space="preserve">La información obtenida producto de las actividades </w:t>
      </w:r>
      <w:r w:rsidR="0040776E" w:rsidRPr="004068F6">
        <w:rPr>
          <w:rFonts w:cs="Arial"/>
          <w:spacing w:val="-3"/>
        </w:rPr>
        <w:t xml:space="preserve">autorizadas en </w:t>
      </w:r>
      <w:r w:rsidRPr="004068F6">
        <w:rPr>
          <w:rFonts w:cs="Arial"/>
          <w:spacing w:val="-3"/>
        </w:rPr>
        <w:t xml:space="preserve">el permiso </w:t>
      </w:r>
      <w:r w:rsidR="0040776E" w:rsidRPr="004068F6">
        <w:rPr>
          <w:rFonts w:cs="Arial"/>
          <w:spacing w:val="-3"/>
        </w:rPr>
        <w:t xml:space="preserve">de recolección de especímenes de especies silvestres de la diversidad biológica con fines de elaboración de estudios </w:t>
      </w:r>
      <w:r w:rsidR="00434EA7" w:rsidRPr="004068F6">
        <w:rPr>
          <w:rFonts w:cs="Arial"/>
          <w:spacing w:val="-3"/>
        </w:rPr>
        <w:t>ambientales</w:t>
      </w:r>
      <w:r w:rsidRPr="004068F6">
        <w:rPr>
          <w:rFonts w:cs="Arial"/>
          <w:spacing w:val="-3"/>
        </w:rPr>
        <w:t xml:space="preserve"> debe ser cargada al Sistema de </w:t>
      </w:r>
      <w:r w:rsidR="00E44C4F" w:rsidRPr="004068F6">
        <w:rPr>
          <w:rFonts w:cs="Arial"/>
          <w:spacing w:val="-3"/>
        </w:rPr>
        <w:t xml:space="preserve">Información sobre </w:t>
      </w:r>
      <w:r w:rsidRPr="004068F6">
        <w:rPr>
          <w:rFonts w:cs="Arial"/>
          <w:spacing w:val="-3"/>
        </w:rPr>
        <w:t xml:space="preserve">Biodiversidad </w:t>
      </w:r>
      <w:r w:rsidR="00E44C4F" w:rsidRPr="004068F6">
        <w:rPr>
          <w:rFonts w:cs="Arial"/>
          <w:spacing w:val="-3"/>
        </w:rPr>
        <w:t xml:space="preserve">de </w:t>
      </w:r>
      <w:r w:rsidRPr="004068F6">
        <w:rPr>
          <w:rFonts w:cs="Arial"/>
          <w:spacing w:val="-3"/>
        </w:rPr>
        <w:t>Colombia</w:t>
      </w:r>
      <w:r w:rsidR="00E44C4F" w:rsidRPr="004068F6">
        <w:rPr>
          <w:rFonts w:cs="Arial"/>
          <w:spacing w:val="-3"/>
        </w:rPr>
        <w:t xml:space="preserve"> (SiB</w:t>
      </w:r>
      <w:r w:rsidR="003C6411" w:rsidRPr="004068F6">
        <w:rPr>
          <w:rFonts w:cs="Arial"/>
          <w:spacing w:val="-3"/>
        </w:rPr>
        <w:t xml:space="preserve"> Colombia</w:t>
      </w:r>
      <w:r w:rsidR="00E44C4F" w:rsidRPr="004068F6">
        <w:rPr>
          <w:rFonts w:cs="Arial"/>
          <w:spacing w:val="-3"/>
        </w:rPr>
        <w:t>)</w:t>
      </w:r>
      <w:r w:rsidRPr="004068F6">
        <w:rPr>
          <w:rFonts w:cs="Arial"/>
          <w:spacing w:val="-3"/>
        </w:rPr>
        <w:t>.</w:t>
      </w:r>
    </w:p>
    <w:p w14:paraId="282D63DE" w14:textId="77777777" w:rsidR="00482A5F" w:rsidRPr="004068F6" w:rsidRDefault="00482A5F" w:rsidP="00C86DA5">
      <w:pPr>
        <w:tabs>
          <w:tab w:val="left" w:pos="-2268"/>
        </w:tabs>
        <w:suppressAutoHyphens/>
        <w:rPr>
          <w:rFonts w:cs="Arial"/>
          <w:spacing w:val="-3"/>
        </w:rPr>
      </w:pPr>
    </w:p>
    <w:p w14:paraId="785E7E5E" w14:textId="6F92F8F2" w:rsidR="007D4003" w:rsidRPr="004068F6" w:rsidRDefault="007D4003" w:rsidP="007D4003">
      <w:pPr>
        <w:tabs>
          <w:tab w:val="left" w:pos="-2268"/>
        </w:tabs>
        <w:suppressAutoHyphens/>
        <w:rPr>
          <w:rFonts w:cs="Arial"/>
          <w:spacing w:val="-3"/>
        </w:rPr>
      </w:pPr>
      <w:r w:rsidRPr="004068F6">
        <w:rPr>
          <w:rFonts w:cs="Arial"/>
          <w:spacing w:val="-3"/>
        </w:rPr>
        <w:t xml:space="preserve">Las muestras recolectadas de manera definitiva deben ser depositadas en colecciones biológicas registradas en el Registro único nacional de colecciones biológicas administrado por el </w:t>
      </w:r>
      <w:r w:rsidRPr="004068F6">
        <w:t>Instituto Humboldt</w:t>
      </w:r>
      <w:r w:rsidRPr="004068F6">
        <w:rPr>
          <w:rFonts w:cs="Arial"/>
          <w:spacing w:val="-3"/>
        </w:rPr>
        <w:t xml:space="preserve">. En caso de que no sea posible ingresar la muestra a una colección biológica oficial, se debe demostrar </w:t>
      </w:r>
      <w:r w:rsidR="0045086C" w:rsidRPr="004068F6">
        <w:rPr>
          <w:rFonts w:cs="Arial"/>
          <w:spacing w:val="-3"/>
        </w:rPr>
        <w:t xml:space="preserve">mediante </w:t>
      </w:r>
      <w:r w:rsidRPr="004068F6">
        <w:rPr>
          <w:rFonts w:cs="Arial"/>
          <w:spacing w:val="-3"/>
        </w:rPr>
        <w:t xml:space="preserve">soportes la no recepción </w:t>
      </w:r>
      <w:r w:rsidR="0045086C" w:rsidRPr="004068F6">
        <w:rPr>
          <w:rFonts w:cs="Arial"/>
          <w:spacing w:val="-3"/>
        </w:rPr>
        <w:t>en</w:t>
      </w:r>
      <w:r w:rsidRPr="004068F6">
        <w:rPr>
          <w:rFonts w:cs="Arial"/>
          <w:spacing w:val="-3"/>
        </w:rPr>
        <w:t xml:space="preserve"> por lo menos 3 colecciones para los grupos biológicos de </w:t>
      </w:r>
      <w:r w:rsidR="0045086C" w:rsidRPr="004068F6">
        <w:rPr>
          <w:rFonts w:cs="Arial"/>
          <w:spacing w:val="-3"/>
        </w:rPr>
        <w:t>f</w:t>
      </w:r>
      <w:r w:rsidRPr="004068F6">
        <w:rPr>
          <w:rFonts w:cs="Arial"/>
          <w:spacing w:val="-3"/>
        </w:rPr>
        <w:t xml:space="preserve">auna (incluyendo hidrobiota) y </w:t>
      </w:r>
      <w:r w:rsidR="00744869" w:rsidRPr="004068F6">
        <w:rPr>
          <w:rFonts w:cs="Arial"/>
          <w:spacing w:val="-3"/>
        </w:rPr>
        <w:t>vegetación</w:t>
      </w:r>
      <w:r w:rsidR="00E641F3" w:rsidRPr="004068F6">
        <w:rPr>
          <w:rFonts w:cs="Arial"/>
          <w:spacing w:val="-3"/>
        </w:rPr>
        <w:t xml:space="preserve"> </w:t>
      </w:r>
      <w:r w:rsidRPr="004068F6">
        <w:rPr>
          <w:rFonts w:cs="Arial"/>
          <w:spacing w:val="-3"/>
        </w:rPr>
        <w:t>(incluye</w:t>
      </w:r>
      <w:r w:rsidR="00396390" w:rsidRPr="004068F6">
        <w:rPr>
          <w:rFonts w:cs="Arial"/>
          <w:spacing w:val="-3"/>
        </w:rPr>
        <w:t xml:space="preserve"> todos los tipos de vegetación </w:t>
      </w:r>
      <w:r w:rsidR="0045086C" w:rsidRPr="004068F6">
        <w:rPr>
          <w:rFonts w:cs="Arial"/>
          <w:spacing w:val="-3"/>
        </w:rPr>
        <w:t>vascular y no vascular)</w:t>
      </w:r>
      <w:r w:rsidR="00396390" w:rsidRPr="004068F6">
        <w:rPr>
          <w:rFonts w:cs="Arial"/>
          <w:spacing w:val="-3"/>
        </w:rPr>
        <w:t xml:space="preserve"> y líquenes</w:t>
      </w:r>
      <w:r w:rsidR="0045086C" w:rsidRPr="004068F6">
        <w:rPr>
          <w:rFonts w:cs="Arial"/>
          <w:spacing w:val="-3"/>
        </w:rPr>
        <w:t>;</w:t>
      </w:r>
      <w:r w:rsidRPr="004068F6">
        <w:rPr>
          <w:rFonts w:cs="Arial"/>
          <w:spacing w:val="-3"/>
        </w:rPr>
        <w:t xml:space="preserve"> dichos soportes debe</w:t>
      </w:r>
      <w:r w:rsidR="00482D74" w:rsidRPr="004068F6">
        <w:rPr>
          <w:rFonts w:cs="Arial"/>
          <w:spacing w:val="-3"/>
        </w:rPr>
        <w:t>n</w:t>
      </w:r>
      <w:r w:rsidRPr="004068F6">
        <w:rPr>
          <w:rFonts w:cs="Arial"/>
          <w:spacing w:val="-3"/>
        </w:rPr>
        <w:t xml:space="preserve"> </w:t>
      </w:r>
      <w:r w:rsidR="00482D74" w:rsidRPr="004068F6">
        <w:rPr>
          <w:rFonts w:cs="Arial"/>
          <w:spacing w:val="-3"/>
        </w:rPr>
        <w:t xml:space="preserve">señalar </w:t>
      </w:r>
      <w:r w:rsidRPr="004068F6">
        <w:rPr>
          <w:rFonts w:cs="Arial"/>
          <w:spacing w:val="-3"/>
        </w:rPr>
        <w:t xml:space="preserve">la razón </w:t>
      </w:r>
      <w:r w:rsidR="00B10DD8" w:rsidRPr="004068F6">
        <w:rPr>
          <w:rFonts w:cs="Arial"/>
          <w:spacing w:val="-3"/>
        </w:rPr>
        <w:t xml:space="preserve">por la cual </w:t>
      </w:r>
      <w:r w:rsidRPr="004068F6">
        <w:rPr>
          <w:rFonts w:cs="Arial"/>
          <w:spacing w:val="-3"/>
        </w:rPr>
        <w:t>no rec</w:t>
      </w:r>
      <w:r w:rsidR="00B10DD8" w:rsidRPr="004068F6">
        <w:rPr>
          <w:rFonts w:cs="Arial"/>
          <w:spacing w:val="-3"/>
        </w:rPr>
        <w:t xml:space="preserve">ibieron las muestras </w:t>
      </w:r>
      <w:r w:rsidRPr="004068F6">
        <w:rPr>
          <w:rFonts w:cs="Arial"/>
          <w:spacing w:val="-3"/>
        </w:rPr>
        <w:t>y acogerse a lo estipulado por la regula</w:t>
      </w:r>
      <w:r w:rsidR="00AA038D" w:rsidRPr="004068F6">
        <w:rPr>
          <w:rFonts w:cs="Arial"/>
          <w:spacing w:val="-3"/>
        </w:rPr>
        <w:t>ción sobre</w:t>
      </w:r>
      <w:r w:rsidRPr="004068F6">
        <w:rPr>
          <w:rFonts w:cs="Arial"/>
          <w:spacing w:val="-3"/>
        </w:rPr>
        <w:t xml:space="preserve"> colecciones biológicas</w:t>
      </w:r>
      <w:r w:rsidR="001C3003" w:rsidRPr="00127BD4">
        <w:rPr>
          <w:rFonts w:cs="Arial"/>
          <w:spacing w:val="-3"/>
          <w:vertAlign w:val="superscript"/>
        </w:rPr>
        <w:footnoteReference w:id="143"/>
      </w:r>
      <w:r w:rsidRPr="004068F6">
        <w:rPr>
          <w:rFonts w:cs="Arial"/>
          <w:spacing w:val="-3"/>
        </w:rPr>
        <w:t>.</w:t>
      </w:r>
    </w:p>
    <w:p w14:paraId="77F39EF5" w14:textId="3027FE5A" w:rsidR="00162A70" w:rsidRPr="004068F6" w:rsidRDefault="00162A70" w:rsidP="009420F5">
      <w:pPr>
        <w:tabs>
          <w:tab w:val="left" w:pos="-2268"/>
        </w:tabs>
        <w:suppressAutoHyphens/>
        <w:rPr>
          <w:spacing w:val="-3"/>
        </w:rPr>
      </w:pPr>
    </w:p>
    <w:p w14:paraId="07ABB37C" w14:textId="6815CBEE" w:rsidR="00482A5F" w:rsidRPr="00466E26" w:rsidRDefault="00482A5F" w:rsidP="000A1E20">
      <w:pPr>
        <w:pStyle w:val="Ttulo3"/>
      </w:pPr>
      <w:bookmarkStart w:id="2880" w:name="_Ref78538891"/>
      <w:bookmarkStart w:id="2881" w:name="_Toc405366836"/>
      <w:bookmarkStart w:id="2882" w:name="_Toc405372383"/>
      <w:bookmarkStart w:id="2883" w:name="_Toc437936026"/>
      <w:bookmarkStart w:id="2884" w:name="_Toc42764351"/>
      <w:bookmarkStart w:id="2885" w:name="_Toc230879658"/>
      <w:r w:rsidRPr="00466E26">
        <w:t>Ecosistemas</w:t>
      </w:r>
      <w:bookmarkEnd w:id="2880"/>
      <w:bookmarkEnd w:id="2881"/>
      <w:bookmarkEnd w:id="2882"/>
      <w:bookmarkEnd w:id="2883"/>
      <w:bookmarkEnd w:id="2884"/>
      <w:bookmarkEnd w:id="2885"/>
    </w:p>
    <w:p w14:paraId="61115D75" w14:textId="77777777" w:rsidR="00482A5F" w:rsidRPr="004068F6" w:rsidRDefault="00482A5F">
      <w:pPr>
        <w:numPr>
          <w:ilvl w:val="12"/>
          <w:numId w:val="0"/>
        </w:numPr>
        <w:tabs>
          <w:tab w:val="left" w:pos="-2268"/>
        </w:tabs>
        <w:suppressAutoHyphens/>
        <w:rPr>
          <w:spacing w:val="-3"/>
        </w:rPr>
      </w:pPr>
    </w:p>
    <w:p w14:paraId="45B20C65" w14:textId="28860647" w:rsidR="0005580B" w:rsidRPr="004068F6" w:rsidRDefault="00952E54">
      <w:pPr>
        <w:numPr>
          <w:ilvl w:val="12"/>
          <w:numId w:val="0"/>
        </w:numPr>
        <w:tabs>
          <w:tab w:val="left" w:pos="-2268"/>
        </w:tabs>
        <w:suppressAutoHyphens/>
      </w:pPr>
      <w:r w:rsidRPr="004068F6">
        <w:rPr>
          <w:rFonts w:cs="Arial"/>
        </w:rPr>
        <w:t>E</w:t>
      </w:r>
      <w:r w:rsidR="00162A70" w:rsidRPr="004068F6">
        <w:rPr>
          <w:rFonts w:cs="Arial"/>
        </w:rPr>
        <w:t xml:space="preserve">l mapa de los ecosistemas </w:t>
      </w:r>
      <w:r w:rsidR="00162A70" w:rsidRPr="004068F6">
        <w:t xml:space="preserve">naturales y transformados </w:t>
      </w:r>
      <w:r w:rsidR="0077430C" w:rsidRPr="004068F6">
        <w:t xml:space="preserve">debe </w:t>
      </w:r>
      <w:r w:rsidRPr="004068F6">
        <w:t>elaborarse integrando información geográfica sobre biomas, unidades bióticas y coberturas de la tierra.</w:t>
      </w:r>
    </w:p>
    <w:p w14:paraId="041AB210" w14:textId="77777777" w:rsidR="0005580B" w:rsidRPr="004068F6" w:rsidRDefault="0005580B">
      <w:pPr>
        <w:numPr>
          <w:ilvl w:val="12"/>
          <w:numId w:val="0"/>
        </w:numPr>
        <w:tabs>
          <w:tab w:val="left" w:pos="-2268"/>
        </w:tabs>
        <w:suppressAutoHyphens/>
      </w:pPr>
    </w:p>
    <w:p w14:paraId="6650300C" w14:textId="38ABA20B" w:rsidR="00162A70" w:rsidRPr="004068F6" w:rsidRDefault="00952E54">
      <w:pPr>
        <w:numPr>
          <w:ilvl w:val="12"/>
          <w:numId w:val="0"/>
        </w:numPr>
        <w:tabs>
          <w:tab w:val="left" w:pos="-2268"/>
        </w:tabs>
        <w:suppressAutoHyphens/>
        <w:rPr>
          <w:spacing w:val="-3"/>
        </w:rPr>
      </w:pPr>
      <w:r w:rsidRPr="004068F6">
        <w:t xml:space="preserve">La información sobre biomas debe obtenerse </w:t>
      </w:r>
      <w:r w:rsidR="0005580B" w:rsidRPr="004068F6">
        <w:t>incrementando</w:t>
      </w:r>
      <w:r w:rsidRPr="004068F6">
        <w:t xml:space="preserve"> el detalle </w:t>
      </w:r>
      <w:r w:rsidRPr="004068F6">
        <w:rPr>
          <w:rFonts w:cs="Arial"/>
        </w:rPr>
        <w:t xml:space="preserve">de las </w:t>
      </w:r>
      <w:r w:rsidR="00162A70" w:rsidRPr="004068F6">
        <w:rPr>
          <w:rFonts w:cs="Arial"/>
        </w:rPr>
        <w:t xml:space="preserve">unidades </w:t>
      </w:r>
      <w:r w:rsidRPr="004068F6">
        <w:rPr>
          <w:rFonts w:cs="Arial"/>
        </w:rPr>
        <w:t xml:space="preserve">establecidas en </w:t>
      </w:r>
      <w:r w:rsidR="00162A70" w:rsidRPr="004068F6">
        <w:rPr>
          <w:rFonts w:cs="Arial"/>
        </w:rPr>
        <w:t>el</w:t>
      </w:r>
      <w:r w:rsidR="00162A70" w:rsidRPr="004068F6">
        <w:t xml:space="preserve"> Mapa de ecosistemas continentales, costeros y marinos de Colombia (MEC)</w:t>
      </w:r>
      <w:r w:rsidR="00162A70" w:rsidRPr="004068F6">
        <w:rPr>
          <w:rFonts w:cs="Arial"/>
        </w:rPr>
        <w:t>,</w:t>
      </w:r>
      <w:r w:rsidR="00162A70" w:rsidRPr="004068F6">
        <w:t xml:space="preserve"> versión 2.1, escala 1:100.000 (</w:t>
      </w:r>
      <w:r w:rsidR="00A92356" w:rsidRPr="004068F6">
        <w:t>Ideam</w:t>
      </w:r>
      <w:r w:rsidR="00162A70" w:rsidRPr="004068F6">
        <w:t xml:space="preserve"> et al., 2017), o </w:t>
      </w:r>
      <w:r w:rsidR="00162A70" w:rsidRPr="004068F6">
        <w:rPr>
          <w:rFonts w:cs="Arial"/>
        </w:rPr>
        <w:t>sus</w:t>
      </w:r>
      <w:r w:rsidR="00162A70" w:rsidRPr="004068F6">
        <w:t xml:space="preserve"> versiones posteriores</w:t>
      </w:r>
      <w:r w:rsidR="00162A70" w:rsidRPr="004068F6">
        <w:rPr>
          <w:rFonts w:cs="Arial"/>
        </w:rPr>
        <w:t xml:space="preserve">, </w:t>
      </w:r>
      <w:r w:rsidR="002C2E7C" w:rsidRPr="004068F6">
        <w:rPr>
          <w:rFonts w:cs="Arial"/>
        </w:rPr>
        <w:t>a partir</w:t>
      </w:r>
      <w:r w:rsidRPr="004068F6">
        <w:rPr>
          <w:rFonts w:cs="Arial"/>
        </w:rPr>
        <w:t xml:space="preserve"> de </w:t>
      </w:r>
      <w:r w:rsidR="00B2243F" w:rsidRPr="004068F6">
        <w:rPr>
          <w:rFonts w:cs="Arial"/>
        </w:rPr>
        <w:t xml:space="preserve">la </w:t>
      </w:r>
      <w:r w:rsidR="00162A70" w:rsidRPr="004068F6">
        <w:rPr>
          <w:rFonts w:cs="Arial"/>
        </w:rPr>
        <w:t>zonificación climática, geopedología</w:t>
      </w:r>
      <w:r w:rsidRPr="004068F6">
        <w:rPr>
          <w:rFonts w:cs="Arial"/>
        </w:rPr>
        <w:t xml:space="preserve"> y</w:t>
      </w:r>
      <w:r w:rsidR="00162A70" w:rsidRPr="004068F6">
        <w:rPr>
          <w:rFonts w:cs="Arial"/>
        </w:rPr>
        <w:t xml:space="preserve"> gradiente </w:t>
      </w:r>
      <w:r w:rsidR="00162A70" w:rsidRPr="004068F6">
        <w:rPr>
          <w:rFonts w:cs="Arial"/>
        </w:rPr>
        <w:lastRenderedPageBreak/>
        <w:t>altitudinal</w:t>
      </w:r>
      <w:r w:rsidR="00B2243F" w:rsidRPr="004068F6">
        <w:rPr>
          <w:rFonts w:cs="Arial"/>
        </w:rPr>
        <w:t>, entre otras variables contenidas en el estudio ambiental</w:t>
      </w:r>
      <w:r w:rsidRPr="004068F6">
        <w:rPr>
          <w:rFonts w:cs="Arial"/>
        </w:rPr>
        <w:t xml:space="preserve">; la información sobre </w:t>
      </w:r>
      <w:r w:rsidR="00162A70" w:rsidRPr="004068F6">
        <w:rPr>
          <w:rFonts w:cs="Arial"/>
        </w:rPr>
        <w:t xml:space="preserve">unidades bióticas </w:t>
      </w:r>
      <w:r w:rsidRPr="004068F6">
        <w:rPr>
          <w:rFonts w:cs="Arial"/>
        </w:rPr>
        <w:t>debe obtenerse directamente d</w:t>
      </w:r>
      <w:r w:rsidR="00162A70" w:rsidRPr="004068F6">
        <w:rPr>
          <w:rFonts w:cs="Arial"/>
        </w:rPr>
        <w:t>el MEC escala 1:100.000 de 2017</w:t>
      </w:r>
      <w:r w:rsidR="00162A70" w:rsidRPr="004068F6">
        <w:t xml:space="preserve"> o </w:t>
      </w:r>
      <w:r w:rsidR="00162A70" w:rsidRPr="004068F6">
        <w:rPr>
          <w:rFonts w:cs="Arial"/>
        </w:rPr>
        <w:t>su</w:t>
      </w:r>
      <w:r w:rsidR="00162A70" w:rsidRPr="004068F6">
        <w:t xml:space="preserve"> versiones posteriores</w:t>
      </w:r>
      <w:r w:rsidRPr="004068F6">
        <w:t xml:space="preserve"> y; la información sobre </w:t>
      </w:r>
      <w:r w:rsidRPr="004068F6">
        <w:rPr>
          <w:rFonts w:cs="Arial"/>
        </w:rPr>
        <w:t>coberturas de la tierra</w:t>
      </w:r>
      <w:r w:rsidR="0005580B" w:rsidRPr="004068F6">
        <w:rPr>
          <w:rFonts w:cs="Arial"/>
        </w:rPr>
        <w:t>,</w:t>
      </w:r>
      <w:r w:rsidRPr="004068F6">
        <w:rPr>
          <w:rFonts w:cs="Arial"/>
        </w:rPr>
        <w:t xml:space="preserve"> debe</w:t>
      </w:r>
      <w:r w:rsidR="0005580B" w:rsidRPr="004068F6">
        <w:rPr>
          <w:rFonts w:cs="Arial"/>
        </w:rPr>
        <w:t xml:space="preserve"> desarrollarse a partir de la </w:t>
      </w:r>
      <w:r w:rsidR="0005580B" w:rsidRPr="004068F6">
        <w:rPr>
          <w:spacing w:val="-3"/>
        </w:rPr>
        <w:t>metodología Corine Land Cover adaptada para Colombia (Ideam, 2010) o sus versiones oficiales posteriores.</w:t>
      </w:r>
    </w:p>
    <w:p w14:paraId="6644DABF" w14:textId="77777777" w:rsidR="00482A5F" w:rsidRPr="004068F6" w:rsidRDefault="00482A5F">
      <w:pPr>
        <w:numPr>
          <w:ilvl w:val="12"/>
          <w:numId w:val="0"/>
        </w:numPr>
        <w:tabs>
          <w:tab w:val="left" w:pos="-2268"/>
        </w:tabs>
        <w:suppressAutoHyphens/>
        <w:rPr>
          <w:spacing w:val="-3"/>
        </w:rPr>
      </w:pPr>
    </w:p>
    <w:p w14:paraId="584B3E16" w14:textId="26FDF711" w:rsidR="00102F0F" w:rsidRPr="004068F6" w:rsidRDefault="007257F6">
      <w:pPr>
        <w:numPr>
          <w:ilvl w:val="12"/>
          <w:numId w:val="0"/>
        </w:numPr>
        <w:tabs>
          <w:tab w:val="left" w:pos="-2268"/>
        </w:tabs>
        <w:suppressAutoHyphens/>
        <w:rPr>
          <w:spacing w:val="-3"/>
        </w:rPr>
      </w:pPr>
      <w:r w:rsidRPr="004068F6">
        <w:rPr>
          <w:spacing w:val="-3"/>
        </w:rPr>
        <w:t>L</w:t>
      </w:r>
      <w:r w:rsidR="00B2243F" w:rsidRPr="004068F6">
        <w:rPr>
          <w:spacing w:val="-3"/>
        </w:rPr>
        <w:t xml:space="preserve">os </w:t>
      </w:r>
      <w:r w:rsidR="008A2956" w:rsidRPr="004068F6">
        <w:rPr>
          <w:spacing w:val="-3"/>
        </w:rPr>
        <w:t>mapa</w:t>
      </w:r>
      <w:r w:rsidR="004734F0" w:rsidRPr="004068F6">
        <w:rPr>
          <w:spacing w:val="-3"/>
        </w:rPr>
        <w:t>s</w:t>
      </w:r>
      <w:r w:rsidR="008A2956" w:rsidRPr="004068F6">
        <w:rPr>
          <w:spacing w:val="-3"/>
        </w:rPr>
        <w:t xml:space="preserve"> de coberturas</w:t>
      </w:r>
      <w:r w:rsidR="00B2243F" w:rsidRPr="004068F6">
        <w:rPr>
          <w:spacing w:val="-3"/>
        </w:rPr>
        <w:t xml:space="preserve"> deben describirse y elaborarse </w:t>
      </w:r>
      <w:r w:rsidR="008A2956" w:rsidRPr="004068F6">
        <w:rPr>
          <w:spacing w:val="-3"/>
        </w:rPr>
        <w:t>delimita</w:t>
      </w:r>
      <w:r w:rsidR="00B2243F" w:rsidRPr="004068F6">
        <w:rPr>
          <w:spacing w:val="-3"/>
        </w:rPr>
        <w:t xml:space="preserve">ndo </w:t>
      </w:r>
      <w:r w:rsidR="008A2956" w:rsidRPr="004068F6">
        <w:rPr>
          <w:spacing w:val="-3"/>
        </w:rPr>
        <w:t>las unidades de coberturas de la tierra</w:t>
      </w:r>
      <w:r w:rsidR="0070077C" w:rsidRPr="004068F6">
        <w:rPr>
          <w:spacing w:val="-3"/>
        </w:rPr>
        <w:t xml:space="preserve"> </w:t>
      </w:r>
      <w:r w:rsidR="00B2243F" w:rsidRPr="004068F6">
        <w:rPr>
          <w:spacing w:val="-3"/>
        </w:rPr>
        <w:t xml:space="preserve">de los niveles 1, 2 y 3 de </w:t>
      </w:r>
      <w:r w:rsidR="0005580B" w:rsidRPr="004068F6">
        <w:rPr>
          <w:spacing w:val="-3"/>
        </w:rPr>
        <w:t>l</w:t>
      </w:r>
      <w:r w:rsidR="00407676" w:rsidRPr="004068F6">
        <w:rPr>
          <w:spacing w:val="-3"/>
        </w:rPr>
        <w:t xml:space="preserve">a </w:t>
      </w:r>
      <w:r w:rsidR="00482A5F" w:rsidRPr="004068F6">
        <w:rPr>
          <w:spacing w:val="-3"/>
        </w:rPr>
        <w:t xml:space="preserve">nomenclatura </w:t>
      </w:r>
      <w:r w:rsidR="00407676" w:rsidRPr="004068F6">
        <w:rPr>
          <w:spacing w:val="-3"/>
        </w:rPr>
        <w:t xml:space="preserve">Corine Land Cover </w:t>
      </w:r>
      <w:r w:rsidR="00B2243F" w:rsidRPr="004068F6">
        <w:rPr>
          <w:spacing w:val="-3"/>
        </w:rPr>
        <w:t>y</w:t>
      </w:r>
      <w:r w:rsidR="0005580B" w:rsidRPr="004068F6">
        <w:rPr>
          <w:spacing w:val="-3"/>
        </w:rPr>
        <w:t xml:space="preserve"> defini</w:t>
      </w:r>
      <w:r w:rsidR="00B2243F" w:rsidRPr="004068F6">
        <w:rPr>
          <w:spacing w:val="-3"/>
        </w:rPr>
        <w:t xml:space="preserve">endo </w:t>
      </w:r>
      <w:r w:rsidR="0005580B" w:rsidRPr="004068F6">
        <w:rPr>
          <w:spacing w:val="-3"/>
        </w:rPr>
        <w:t xml:space="preserve">los niveles subsiguientes de acuerdo </w:t>
      </w:r>
      <w:r w:rsidR="0005580B" w:rsidRPr="004068F6">
        <w:rPr>
          <w:rFonts w:cs="Arial"/>
          <w:spacing w:val="-3"/>
        </w:rPr>
        <w:t>con</w:t>
      </w:r>
      <w:r w:rsidR="0005580B" w:rsidRPr="004068F6">
        <w:rPr>
          <w:spacing w:val="-3"/>
        </w:rPr>
        <w:t xml:space="preserve"> las características del </w:t>
      </w:r>
      <w:r w:rsidR="00B232CC" w:rsidRPr="004068F6">
        <w:rPr>
          <w:spacing w:val="-3"/>
        </w:rPr>
        <w:t>territorio</w:t>
      </w:r>
      <w:r w:rsidR="00482A5F" w:rsidRPr="004068F6">
        <w:rPr>
          <w:rFonts w:cs="Arial"/>
          <w:spacing w:val="-3"/>
        </w:rPr>
        <w:t>.</w:t>
      </w:r>
    </w:p>
    <w:p w14:paraId="557B08C8" w14:textId="77777777" w:rsidR="00775DA8" w:rsidRPr="004068F6" w:rsidRDefault="00775DA8">
      <w:pPr>
        <w:numPr>
          <w:ilvl w:val="12"/>
          <w:numId w:val="0"/>
        </w:numPr>
        <w:tabs>
          <w:tab w:val="left" w:pos="-2268"/>
        </w:tabs>
        <w:suppressAutoHyphens/>
        <w:rPr>
          <w:spacing w:val="-3"/>
        </w:rPr>
      </w:pPr>
    </w:p>
    <w:p w14:paraId="07B193C8" w14:textId="68D7372A" w:rsidR="00156748" w:rsidRPr="004068F6" w:rsidRDefault="00407676">
      <w:pPr>
        <w:numPr>
          <w:ilvl w:val="12"/>
          <w:numId w:val="0"/>
        </w:numPr>
        <w:tabs>
          <w:tab w:val="left" w:pos="-2268"/>
        </w:tabs>
        <w:suppressAutoHyphens/>
        <w:rPr>
          <w:rFonts w:cs="Arial"/>
          <w:spacing w:val="-3"/>
        </w:rPr>
      </w:pPr>
      <w:r w:rsidRPr="004068F6">
        <w:rPr>
          <w:rFonts w:cs="Arial"/>
          <w:spacing w:val="-3"/>
        </w:rPr>
        <w:t xml:space="preserve">Los </w:t>
      </w:r>
      <w:r w:rsidR="00482A5F" w:rsidRPr="004068F6">
        <w:rPr>
          <w:rFonts w:cs="Arial"/>
          <w:spacing w:val="-3"/>
        </w:rPr>
        <w:t xml:space="preserve">mapas de coberturas </w:t>
      </w:r>
      <w:r w:rsidR="0039612E" w:rsidRPr="004068F6">
        <w:rPr>
          <w:rFonts w:cs="Arial"/>
          <w:spacing w:val="-3"/>
        </w:rPr>
        <w:t>de</w:t>
      </w:r>
      <w:r w:rsidRPr="004068F6">
        <w:rPr>
          <w:rFonts w:cs="Arial"/>
          <w:spacing w:val="-3"/>
        </w:rPr>
        <w:t>ben referirse</w:t>
      </w:r>
      <w:r w:rsidR="00482A5F" w:rsidRPr="004068F6">
        <w:rPr>
          <w:rFonts w:cs="Arial"/>
          <w:spacing w:val="-3"/>
        </w:rPr>
        <w:t xml:space="preserve"> por lo menos</w:t>
      </w:r>
      <w:r w:rsidRPr="004068F6">
        <w:rPr>
          <w:rFonts w:cs="Arial"/>
          <w:spacing w:val="-3"/>
        </w:rPr>
        <w:t xml:space="preserve"> a</w:t>
      </w:r>
      <w:r w:rsidR="00482A5F" w:rsidRPr="004068F6">
        <w:rPr>
          <w:rFonts w:cs="Arial"/>
          <w:spacing w:val="-3"/>
        </w:rPr>
        <w:t xml:space="preserve"> dos </w:t>
      </w:r>
      <w:r w:rsidRPr="004068F6">
        <w:rPr>
          <w:rFonts w:cs="Arial"/>
          <w:spacing w:val="-3"/>
        </w:rPr>
        <w:t xml:space="preserve">instantes </w:t>
      </w:r>
      <w:r w:rsidR="0039612E" w:rsidRPr="004068F6">
        <w:rPr>
          <w:rFonts w:cs="Arial"/>
          <w:spacing w:val="-3"/>
        </w:rPr>
        <w:t>del tiempo, asegurando que uno de ellos corresponda a</w:t>
      </w:r>
      <w:r w:rsidR="00482A5F" w:rsidRPr="004068F6">
        <w:rPr>
          <w:rFonts w:cs="Arial"/>
          <w:spacing w:val="-3"/>
        </w:rPr>
        <w:t xml:space="preserve">l momento de elaboración del </w:t>
      </w:r>
      <w:r w:rsidR="0039612E" w:rsidRPr="004068F6">
        <w:rPr>
          <w:rFonts w:cs="Arial"/>
          <w:spacing w:val="-3"/>
        </w:rPr>
        <w:t>estudio ambiental</w:t>
      </w:r>
      <w:r w:rsidR="002D19BF" w:rsidRPr="004068F6">
        <w:rPr>
          <w:rFonts w:cs="Arial"/>
          <w:spacing w:val="-3"/>
        </w:rPr>
        <w:t xml:space="preserve"> (las imágenes </w:t>
      </w:r>
      <w:r w:rsidR="00AE1836" w:rsidRPr="004068F6">
        <w:rPr>
          <w:rFonts w:cs="Arial"/>
          <w:spacing w:val="-3"/>
        </w:rPr>
        <w:t xml:space="preserve">y demás </w:t>
      </w:r>
      <w:r w:rsidR="001B3ADA" w:rsidRPr="004068F6">
        <w:rPr>
          <w:rFonts w:cs="Arial"/>
          <w:spacing w:val="-3"/>
        </w:rPr>
        <w:t xml:space="preserve">información </w:t>
      </w:r>
      <w:r w:rsidR="00D40AA7" w:rsidRPr="004068F6">
        <w:rPr>
          <w:rFonts w:cs="Arial"/>
          <w:spacing w:val="-3"/>
        </w:rPr>
        <w:t xml:space="preserve">que se </w:t>
      </w:r>
      <w:r w:rsidR="00AE1836" w:rsidRPr="004068F6">
        <w:rPr>
          <w:rFonts w:cs="Arial"/>
          <w:spacing w:val="-3"/>
        </w:rPr>
        <w:t>emple</w:t>
      </w:r>
      <w:r w:rsidR="00D40AA7" w:rsidRPr="004068F6">
        <w:rPr>
          <w:rFonts w:cs="Arial"/>
          <w:spacing w:val="-3"/>
        </w:rPr>
        <w:t>e</w:t>
      </w:r>
      <w:r w:rsidR="000028E8" w:rsidRPr="004068F6">
        <w:rPr>
          <w:rFonts w:cs="Arial"/>
          <w:spacing w:val="-3"/>
        </w:rPr>
        <w:t>,</w:t>
      </w:r>
      <w:r w:rsidR="00D40AA7" w:rsidRPr="004068F6">
        <w:rPr>
          <w:rFonts w:cs="Arial"/>
          <w:spacing w:val="-3"/>
        </w:rPr>
        <w:t xml:space="preserve"> </w:t>
      </w:r>
      <w:r w:rsidR="000028E8" w:rsidRPr="004068F6">
        <w:rPr>
          <w:rFonts w:cs="Arial"/>
          <w:spacing w:val="-3"/>
        </w:rPr>
        <w:t xml:space="preserve">deben </w:t>
      </w:r>
      <w:r w:rsidR="00D40AA7" w:rsidRPr="004068F6">
        <w:rPr>
          <w:rFonts w:cs="Arial"/>
          <w:spacing w:val="-3"/>
        </w:rPr>
        <w:t>dar cuenta de</w:t>
      </w:r>
      <w:r w:rsidR="000530C0" w:rsidRPr="004068F6">
        <w:rPr>
          <w:rFonts w:cs="Arial"/>
          <w:spacing w:val="-3"/>
        </w:rPr>
        <w:t xml:space="preserve">l estado de las coberturas </w:t>
      </w:r>
      <w:r w:rsidR="00B40E64" w:rsidRPr="004068F6">
        <w:rPr>
          <w:rFonts w:cs="Arial"/>
          <w:spacing w:val="-3"/>
        </w:rPr>
        <w:t xml:space="preserve">en dicho </w:t>
      </w:r>
      <w:r w:rsidR="005C31FF" w:rsidRPr="004068F6">
        <w:rPr>
          <w:rFonts w:cs="Arial"/>
          <w:spacing w:val="-3"/>
        </w:rPr>
        <w:t>periodo de elaboración</w:t>
      </w:r>
      <w:r w:rsidR="002D19BF" w:rsidRPr="004068F6">
        <w:rPr>
          <w:rFonts w:cs="Arial"/>
          <w:spacing w:val="-3"/>
        </w:rPr>
        <w:t>)</w:t>
      </w:r>
      <w:r w:rsidR="0039612E" w:rsidRPr="004068F6">
        <w:rPr>
          <w:rFonts w:cs="Arial"/>
          <w:spacing w:val="-3"/>
        </w:rPr>
        <w:t xml:space="preserve">, y el otro, a </w:t>
      </w:r>
      <w:r w:rsidR="00F059CB" w:rsidRPr="004068F6">
        <w:rPr>
          <w:rFonts w:cs="Arial"/>
          <w:spacing w:val="-3"/>
        </w:rPr>
        <w:t xml:space="preserve">las características </w:t>
      </w:r>
      <w:r w:rsidR="009E2A31" w:rsidRPr="004068F6">
        <w:rPr>
          <w:rFonts w:cs="Arial"/>
          <w:spacing w:val="-3"/>
        </w:rPr>
        <w:t xml:space="preserve">que tenían </w:t>
      </w:r>
      <w:r w:rsidR="00F059CB" w:rsidRPr="004068F6">
        <w:rPr>
          <w:rFonts w:cs="Arial"/>
          <w:spacing w:val="-3"/>
        </w:rPr>
        <w:t xml:space="preserve">las coberturas </w:t>
      </w:r>
      <w:r w:rsidR="003F129E" w:rsidRPr="004068F6">
        <w:rPr>
          <w:rFonts w:cs="Arial"/>
          <w:spacing w:val="-3"/>
        </w:rPr>
        <w:t xml:space="preserve">entre 3 y </w:t>
      </w:r>
      <w:r w:rsidR="00482A5F" w:rsidRPr="004068F6">
        <w:rPr>
          <w:rFonts w:cs="Arial"/>
          <w:spacing w:val="-3"/>
        </w:rPr>
        <w:t>5 años</w:t>
      </w:r>
      <w:r w:rsidR="0039612E" w:rsidRPr="004068F6">
        <w:rPr>
          <w:rFonts w:cs="Arial"/>
          <w:spacing w:val="-3"/>
        </w:rPr>
        <w:t xml:space="preserve"> </w:t>
      </w:r>
      <w:r w:rsidR="00F059CB" w:rsidRPr="004068F6">
        <w:rPr>
          <w:rFonts w:cs="Arial"/>
          <w:spacing w:val="-3"/>
        </w:rPr>
        <w:t>at</w:t>
      </w:r>
      <w:r w:rsidR="009E2A31" w:rsidRPr="004068F6">
        <w:rPr>
          <w:rFonts w:cs="Arial"/>
          <w:spacing w:val="-3"/>
        </w:rPr>
        <w:t>rá</w:t>
      </w:r>
      <w:r w:rsidR="00F059CB" w:rsidRPr="004068F6">
        <w:rPr>
          <w:rFonts w:cs="Arial"/>
          <w:spacing w:val="-3"/>
        </w:rPr>
        <w:t xml:space="preserve">s </w:t>
      </w:r>
      <w:r w:rsidR="00102F0F" w:rsidRPr="004068F6">
        <w:rPr>
          <w:rFonts w:cs="Arial"/>
          <w:spacing w:val="-3"/>
        </w:rPr>
        <w:t xml:space="preserve">(o un periodo </w:t>
      </w:r>
      <w:r w:rsidR="009E2A31" w:rsidRPr="004068F6">
        <w:rPr>
          <w:rFonts w:cs="Arial"/>
          <w:spacing w:val="-3"/>
        </w:rPr>
        <w:t xml:space="preserve">de tiempo </w:t>
      </w:r>
      <w:r w:rsidR="00102F0F" w:rsidRPr="004068F6">
        <w:rPr>
          <w:rFonts w:cs="Arial"/>
          <w:spacing w:val="-3"/>
        </w:rPr>
        <w:t xml:space="preserve">mayor), con el fin de conocer la dinámica de cambio de las coberturas de la tierra </w:t>
      </w:r>
      <w:r w:rsidR="00E96877" w:rsidRPr="004068F6">
        <w:rPr>
          <w:rFonts w:cs="Arial"/>
          <w:spacing w:val="-3"/>
        </w:rPr>
        <w:t xml:space="preserve">mediante el cálculo de </w:t>
      </w:r>
      <w:r w:rsidR="00102F0F" w:rsidRPr="004068F6">
        <w:rPr>
          <w:rFonts w:cs="Arial"/>
          <w:spacing w:val="-3"/>
        </w:rPr>
        <w:t xml:space="preserve">pérdidas, ganancias y persistencia de </w:t>
      </w:r>
      <w:r w:rsidR="00C925A8" w:rsidRPr="004068F6">
        <w:rPr>
          <w:rFonts w:cs="Arial"/>
          <w:spacing w:val="-3"/>
        </w:rPr>
        <w:t>éstas</w:t>
      </w:r>
      <w:r w:rsidR="00102F0F" w:rsidRPr="004068F6">
        <w:rPr>
          <w:rFonts w:cs="Arial"/>
          <w:spacing w:val="-3"/>
        </w:rPr>
        <w:t xml:space="preserve">, </w:t>
      </w:r>
      <w:r w:rsidR="009E2A31" w:rsidRPr="004068F6">
        <w:rPr>
          <w:rFonts w:cs="Arial"/>
          <w:spacing w:val="-3"/>
        </w:rPr>
        <w:t>así como</w:t>
      </w:r>
      <w:r w:rsidR="00102F0F" w:rsidRPr="004068F6">
        <w:rPr>
          <w:rFonts w:cs="Arial"/>
          <w:spacing w:val="-3"/>
        </w:rPr>
        <w:t xml:space="preserve"> </w:t>
      </w:r>
      <w:r w:rsidR="00912647" w:rsidRPr="004068F6">
        <w:rPr>
          <w:rFonts w:cs="Arial"/>
          <w:spacing w:val="-3"/>
        </w:rPr>
        <w:t xml:space="preserve">de establecer </w:t>
      </w:r>
      <w:r w:rsidR="00102F0F" w:rsidRPr="004068F6">
        <w:rPr>
          <w:rFonts w:cs="Arial"/>
          <w:spacing w:val="-3"/>
        </w:rPr>
        <w:t>las presiones que gener</w:t>
      </w:r>
      <w:r w:rsidR="00EF52A8" w:rsidRPr="004068F6">
        <w:rPr>
          <w:rFonts w:cs="Arial"/>
          <w:spacing w:val="-3"/>
        </w:rPr>
        <w:t>aro</w:t>
      </w:r>
      <w:r w:rsidR="00102F0F" w:rsidRPr="004068F6">
        <w:rPr>
          <w:rFonts w:cs="Arial"/>
          <w:spacing w:val="-3"/>
        </w:rPr>
        <w:t>n</w:t>
      </w:r>
      <w:r w:rsidR="009E2A31" w:rsidRPr="004068F6">
        <w:rPr>
          <w:rFonts w:cs="Arial"/>
          <w:spacing w:val="-3"/>
        </w:rPr>
        <w:t xml:space="preserve"> tales cambios</w:t>
      </w:r>
      <w:r w:rsidR="00102F0F" w:rsidRPr="004068F6">
        <w:rPr>
          <w:rFonts w:cs="Arial"/>
          <w:spacing w:val="-3"/>
        </w:rPr>
        <w:t>.</w:t>
      </w:r>
      <w:r w:rsidR="00EF52A8" w:rsidRPr="004068F6">
        <w:rPr>
          <w:rFonts w:cs="Arial"/>
          <w:spacing w:val="-3"/>
        </w:rPr>
        <w:t xml:space="preserve"> Para cada mapa, se debe e</w:t>
      </w:r>
      <w:r w:rsidR="00156748" w:rsidRPr="004068F6">
        <w:rPr>
          <w:rFonts w:cs="Arial"/>
          <w:spacing w:val="-3"/>
        </w:rPr>
        <w:t xml:space="preserve">stablecer la superficie (expresada en hectáreas) </w:t>
      </w:r>
      <w:r w:rsidR="00EF52A8" w:rsidRPr="004068F6">
        <w:rPr>
          <w:rFonts w:cs="Arial"/>
          <w:spacing w:val="-3"/>
        </w:rPr>
        <w:t xml:space="preserve">y proporción (expresada en porcentaje) </w:t>
      </w:r>
      <w:r w:rsidR="00156748" w:rsidRPr="004068F6">
        <w:rPr>
          <w:rFonts w:cs="Arial"/>
          <w:spacing w:val="-3"/>
        </w:rPr>
        <w:t xml:space="preserve">de </w:t>
      </w:r>
      <w:r w:rsidR="00EF52A8" w:rsidRPr="004068F6">
        <w:rPr>
          <w:rFonts w:cs="Arial"/>
          <w:spacing w:val="-3"/>
        </w:rPr>
        <w:t>cada unidad</w:t>
      </w:r>
      <w:r w:rsidR="00156748" w:rsidRPr="004068F6">
        <w:rPr>
          <w:rFonts w:cs="Arial"/>
          <w:spacing w:val="-3"/>
        </w:rPr>
        <w:t xml:space="preserve"> de cobertura </w:t>
      </w:r>
      <w:r w:rsidR="00494958" w:rsidRPr="004068F6">
        <w:rPr>
          <w:rFonts w:cs="Arial"/>
          <w:spacing w:val="-3"/>
        </w:rPr>
        <w:t>de la tierra</w:t>
      </w:r>
      <w:r w:rsidR="00156748" w:rsidRPr="004068F6">
        <w:rPr>
          <w:rFonts w:cs="Arial"/>
          <w:spacing w:val="-3"/>
        </w:rPr>
        <w:t xml:space="preserve"> </w:t>
      </w:r>
      <w:r w:rsidR="00EF52A8" w:rsidRPr="004068F6">
        <w:rPr>
          <w:rFonts w:cs="Arial"/>
          <w:spacing w:val="-3"/>
        </w:rPr>
        <w:t>con respecto a</w:t>
      </w:r>
      <w:r w:rsidR="00156748" w:rsidRPr="004068F6">
        <w:rPr>
          <w:rFonts w:cs="Arial"/>
          <w:spacing w:val="-3"/>
        </w:rPr>
        <w:t xml:space="preserve">l área </w:t>
      </w:r>
      <w:r w:rsidR="00171572" w:rsidRPr="004068F6">
        <w:rPr>
          <w:rFonts w:cs="Arial"/>
          <w:spacing w:val="-3"/>
        </w:rPr>
        <w:t>descrita</w:t>
      </w:r>
      <w:r w:rsidR="00156748" w:rsidRPr="004068F6">
        <w:rPr>
          <w:rFonts w:cs="Arial"/>
          <w:spacing w:val="-3"/>
        </w:rPr>
        <w:t>.</w:t>
      </w:r>
    </w:p>
    <w:p w14:paraId="3D268439" w14:textId="77777777" w:rsidR="00407676" w:rsidRPr="004068F6" w:rsidRDefault="00407676">
      <w:pPr>
        <w:numPr>
          <w:ilvl w:val="12"/>
          <w:numId w:val="0"/>
        </w:numPr>
        <w:tabs>
          <w:tab w:val="left" w:pos="-2268"/>
        </w:tabs>
        <w:suppressAutoHyphens/>
        <w:rPr>
          <w:rFonts w:cs="Arial"/>
          <w:spacing w:val="-3"/>
        </w:rPr>
      </w:pPr>
    </w:p>
    <w:p w14:paraId="6FCCA883" w14:textId="45698EB7" w:rsidR="00407676" w:rsidRPr="004068F6" w:rsidRDefault="00407676">
      <w:pPr>
        <w:numPr>
          <w:ilvl w:val="12"/>
          <w:numId w:val="0"/>
        </w:numPr>
        <w:tabs>
          <w:tab w:val="left" w:pos="-2268"/>
        </w:tabs>
        <w:suppressAutoHyphens/>
        <w:rPr>
          <w:rFonts w:cs="Arial"/>
          <w:spacing w:val="-3"/>
        </w:rPr>
      </w:pPr>
      <w:r w:rsidRPr="004068F6">
        <w:rPr>
          <w:spacing w:val="-3"/>
        </w:rPr>
        <w:t xml:space="preserve">Los mapas de ecosistemas y de cobertura de la tierra se deben elaborar y presentar con las escalas de trabajo que establezcan los términos de referencia, o con unas más detalladas de acuerdo </w:t>
      </w:r>
      <w:r w:rsidRPr="004068F6">
        <w:rPr>
          <w:rFonts w:cs="Arial"/>
          <w:spacing w:val="-3"/>
        </w:rPr>
        <w:t>con</w:t>
      </w:r>
      <w:r w:rsidRPr="004068F6">
        <w:rPr>
          <w:spacing w:val="-3"/>
        </w:rPr>
        <w:t xml:space="preserve"> las particularidades de</w:t>
      </w:r>
      <w:r w:rsidR="00396390" w:rsidRPr="004068F6">
        <w:rPr>
          <w:spacing w:val="-3"/>
        </w:rPr>
        <w:t xml:space="preserve">l proyecto, obra o actividad y </w:t>
      </w:r>
      <w:r w:rsidR="0011135F" w:rsidRPr="004068F6">
        <w:rPr>
          <w:spacing w:val="-3"/>
        </w:rPr>
        <w:t>d</w:t>
      </w:r>
      <w:r w:rsidR="00396390" w:rsidRPr="004068F6">
        <w:rPr>
          <w:spacing w:val="-3"/>
        </w:rPr>
        <w:t xml:space="preserve">el </w:t>
      </w:r>
      <w:r w:rsidR="007B2D65" w:rsidRPr="004068F6">
        <w:rPr>
          <w:spacing w:val="-3"/>
        </w:rPr>
        <w:t>área de influencia</w:t>
      </w:r>
      <w:r w:rsidRPr="004068F6">
        <w:rPr>
          <w:spacing w:val="-3"/>
        </w:rPr>
        <w:t>.</w:t>
      </w:r>
    </w:p>
    <w:p w14:paraId="6F5B4B50" w14:textId="77777777" w:rsidR="002833FB" w:rsidRPr="004068F6" w:rsidRDefault="002833FB">
      <w:pPr>
        <w:numPr>
          <w:ilvl w:val="12"/>
          <w:numId w:val="0"/>
        </w:numPr>
        <w:tabs>
          <w:tab w:val="left" w:pos="-2268"/>
        </w:tabs>
        <w:suppressAutoHyphens/>
        <w:rPr>
          <w:spacing w:val="-3"/>
        </w:rPr>
      </w:pPr>
    </w:p>
    <w:p w14:paraId="1C653A8C" w14:textId="7FD06639" w:rsidR="002833FB" w:rsidRPr="00466E26" w:rsidRDefault="002833FB" w:rsidP="000A1E20">
      <w:pPr>
        <w:pStyle w:val="Ttulo3"/>
      </w:pPr>
      <w:bookmarkStart w:id="2886" w:name="_Toc230879659"/>
      <w:r w:rsidRPr="00466E26">
        <w:t>Ecosistemas terrestres</w:t>
      </w:r>
      <w:bookmarkEnd w:id="2886"/>
    </w:p>
    <w:p w14:paraId="6B147F99" w14:textId="77777777" w:rsidR="00482A5F" w:rsidRPr="004068F6" w:rsidRDefault="00482A5F">
      <w:pPr>
        <w:numPr>
          <w:ilvl w:val="12"/>
          <w:numId w:val="0"/>
        </w:numPr>
        <w:tabs>
          <w:tab w:val="left" w:pos="-2268"/>
        </w:tabs>
        <w:suppressAutoHyphens/>
        <w:rPr>
          <w:spacing w:val="-3"/>
        </w:rPr>
      </w:pPr>
    </w:p>
    <w:p w14:paraId="1CF05E63" w14:textId="4AD8DC64" w:rsidR="008D5CC9" w:rsidRPr="004068F6" w:rsidRDefault="00806EFA" w:rsidP="009420F5">
      <w:pPr>
        <w:pStyle w:val="Ttulo4"/>
        <w:tabs>
          <w:tab w:val="clear" w:pos="1844"/>
          <w:tab w:val="num" w:pos="1134"/>
        </w:tabs>
        <w:ind w:left="0"/>
        <w:rPr>
          <w:lang w:val="es-CO"/>
        </w:rPr>
      </w:pPr>
      <w:r w:rsidRPr="004068F6">
        <w:rPr>
          <w:lang w:val="es-CO"/>
        </w:rPr>
        <w:t>F</w:t>
      </w:r>
      <w:r w:rsidR="008D5CC9" w:rsidRPr="004068F6">
        <w:rPr>
          <w:lang w:val="es-CO"/>
        </w:rPr>
        <w:t>lora</w:t>
      </w:r>
      <w:r w:rsidRPr="004068F6">
        <w:rPr>
          <w:lang w:val="es-CO"/>
        </w:rPr>
        <w:t xml:space="preserve"> y líquenes</w:t>
      </w:r>
    </w:p>
    <w:p w14:paraId="4C61AB9E" w14:textId="77777777" w:rsidR="008D5CC9" w:rsidRPr="004068F6" w:rsidRDefault="008D5CC9" w:rsidP="008D5CC9">
      <w:pPr>
        <w:numPr>
          <w:ilvl w:val="12"/>
          <w:numId w:val="0"/>
        </w:numPr>
        <w:tabs>
          <w:tab w:val="left" w:pos="-2268"/>
        </w:tabs>
        <w:suppressAutoHyphens/>
        <w:rPr>
          <w:rFonts w:cs="Arial"/>
          <w:spacing w:val="-3"/>
        </w:rPr>
      </w:pPr>
    </w:p>
    <w:p w14:paraId="6314F677" w14:textId="2168CA2D" w:rsidR="008D5CC9" w:rsidRPr="004068F6" w:rsidRDefault="008D5CC9" w:rsidP="008D5CC9">
      <w:pPr>
        <w:numPr>
          <w:ilvl w:val="12"/>
          <w:numId w:val="0"/>
        </w:numPr>
        <w:tabs>
          <w:tab w:val="left" w:pos="-2268"/>
        </w:tabs>
        <w:suppressAutoHyphens/>
        <w:rPr>
          <w:rFonts w:cs="Arial"/>
          <w:spacing w:val="-3"/>
        </w:rPr>
      </w:pPr>
      <w:r w:rsidRPr="004068F6">
        <w:rPr>
          <w:spacing w:val="-3"/>
        </w:rPr>
        <w:t xml:space="preserve">Para </w:t>
      </w:r>
      <w:r w:rsidR="00616164" w:rsidRPr="004068F6">
        <w:rPr>
          <w:spacing w:val="-3"/>
        </w:rPr>
        <w:t>su</w:t>
      </w:r>
      <w:r w:rsidRPr="004068F6">
        <w:rPr>
          <w:spacing w:val="-3"/>
        </w:rPr>
        <w:t xml:space="preserve"> caracterización, es necesario partir de la revisión de información existente sobre </w:t>
      </w:r>
      <w:r w:rsidR="00E96877" w:rsidRPr="004068F6">
        <w:rPr>
          <w:spacing w:val="-3"/>
        </w:rPr>
        <w:t xml:space="preserve">cada uno de los grupos de </w:t>
      </w:r>
      <w:r w:rsidRPr="004068F6">
        <w:rPr>
          <w:spacing w:val="-3"/>
        </w:rPr>
        <w:t xml:space="preserve">flora </w:t>
      </w:r>
      <w:r w:rsidR="00626E4C" w:rsidRPr="004068F6">
        <w:rPr>
          <w:spacing w:val="-3"/>
        </w:rPr>
        <w:t>(arbóreo, arbustivo, herbáceo, palmas, helechos arborescentes y otras</w:t>
      </w:r>
      <w:r w:rsidR="00626E4C" w:rsidRPr="004068F6">
        <w:rPr>
          <w:rFonts w:cs="Arial"/>
          <w:spacing w:val="-3"/>
        </w:rPr>
        <w:t xml:space="preserve"> </w:t>
      </w:r>
      <w:r w:rsidR="00E96877" w:rsidRPr="004068F6">
        <w:rPr>
          <w:rFonts w:cs="Arial"/>
          <w:spacing w:val="-3"/>
        </w:rPr>
        <w:t>especies vasculares y no vasculares</w:t>
      </w:r>
      <w:r w:rsidR="00626E4C" w:rsidRPr="004068F6">
        <w:rPr>
          <w:rFonts w:cs="Arial"/>
          <w:spacing w:val="-3"/>
        </w:rPr>
        <w:t>)</w:t>
      </w:r>
      <w:r w:rsidR="00E96877" w:rsidRPr="004068F6">
        <w:rPr>
          <w:rFonts w:cs="Arial"/>
          <w:spacing w:val="-3"/>
        </w:rPr>
        <w:t xml:space="preserve"> </w:t>
      </w:r>
      <w:r w:rsidR="00626E4C" w:rsidRPr="004068F6">
        <w:rPr>
          <w:rFonts w:cs="Arial"/>
          <w:spacing w:val="-3"/>
        </w:rPr>
        <w:t xml:space="preserve">y líquenes con hábitos de crecimiento </w:t>
      </w:r>
      <w:r w:rsidR="00E96877" w:rsidRPr="004068F6">
        <w:rPr>
          <w:rFonts w:cs="Arial"/>
          <w:spacing w:val="-3"/>
        </w:rPr>
        <w:t>terrestre</w:t>
      </w:r>
      <w:r w:rsidR="00626E4C" w:rsidRPr="004068F6">
        <w:rPr>
          <w:rFonts w:cs="Arial"/>
          <w:spacing w:val="-3"/>
        </w:rPr>
        <w:t xml:space="preserve"> (</w:t>
      </w:r>
      <w:r w:rsidR="003A1BE4" w:rsidRPr="004068F6">
        <w:rPr>
          <w:rFonts w:cs="Arial"/>
          <w:spacing w:val="-3"/>
        </w:rPr>
        <w:t xml:space="preserve">que incluye humícolas, </w:t>
      </w:r>
      <w:r w:rsidR="00626E4C" w:rsidRPr="004068F6">
        <w:rPr>
          <w:rFonts w:cs="Arial"/>
          <w:spacing w:val="-3"/>
        </w:rPr>
        <w:t>p. ej. suelo, troncos en descomposición</w:t>
      </w:r>
      <w:r w:rsidR="00E12947" w:rsidRPr="004068F6">
        <w:rPr>
          <w:rFonts w:cs="Arial"/>
          <w:spacing w:val="-3"/>
        </w:rPr>
        <w:t>, hojarasca</w:t>
      </w:r>
      <w:r w:rsidR="00626E4C" w:rsidRPr="004068F6">
        <w:rPr>
          <w:rFonts w:cs="Arial"/>
          <w:spacing w:val="-3"/>
        </w:rPr>
        <w:t>)</w:t>
      </w:r>
      <w:r w:rsidR="00E96877" w:rsidRPr="004068F6">
        <w:rPr>
          <w:rFonts w:cs="Arial"/>
          <w:spacing w:val="-3"/>
        </w:rPr>
        <w:t xml:space="preserve">, rupícola </w:t>
      </w:r>
      <w:r w:rsidR="00626E4C" w:rsidRPr="004068F6">
        <w:rPr>
          <w:rFonts w:cs="Arial"/>
          <w:spacing w:val="-3"/>
        </w:rPr>
        <w:t xml:space="preserve">(roca) </w:t>
      </w:r>
      <w:r w:rsidR="00E96877" w:rsidRPr="004068F6">
        <w:rPr>
          <w:rFonts w:cs="Arial"/>
          <w:spacing w:val="-3"/>
        </w:rPr>
        <w:t>y epífito</w:t>
      </w:r>
      <w:r w:rsidR="00626E4C" w:rsidRPr="004068F6">
        <w:rPr>
          <w:rFonts w:cs="Arial"/>
          <w:spacing w:val="-3"/>
        </w:rPr>
        <w:t xml:space="preserve"> (sobre plantas)</w:t>
      </w:r>
      <w:r w:rsidRPr="004068F6">
        <w:rPr>
          <w:rFonts w:cs="Arial"/>
          <w:spacing w:val="-3"/>
        </w:rPr>
        <w:t xml:space="preserve"> que se encuentr</w:t>
      </w:r>
      <w:r w:rsidR="00616164" w:rsidRPr="004068F6">
        <w:rPr>
          <w:rFonts w:cs="Arial"/>
          <w:spacing w:val="-3"/>
        </w:rPr>
        <w:t>en</w:t>
      </w:r>
      <w:r w:rsidRPr="004068F6">
        <w:rPr>
          <w:rFonts w:cs="Arial"/>
          <w:spacing w:val="-3"/>
        </w:rPr>
        <w:t xml:space="preserve"> reportad</w:t>
      </w:r>
      <w:r w:rsidR="00616164" w:rsidRPr="004068F6">
        <w:rPr>
          <w:rFonts w:cs="Arial"/>
          <w:spacing w:val="-3"/>
        </w:rPr>
        <w:t>os</w:t>
      </w:r>
      <w:r w:rsidRPr="004068F6">
        <w:rPr>
          <w:rFonts w:cs="Arial"/>
          <w:spacing w:val="-3"/>
        </w:rPr>
        <w:t xml:space="preserve"> para</w:t>
      </w:r>
      <w:r w:rsidRPr="004068F6">
        <w:rPr>
          <w:spacing w:val="-3"/>
        </w:rPr>
        <w:t xml:space="preserve"> </w:t>
      </w:r>
      <w:r w:rsidR="008C1DB0" w:rsidRPr="004068F6">
        <w:rPr>
          <w:spacing w:val="-3"/>
        </w:rPr>
        <w:t xml:space="preserve">el </w:t>
      </w:r>
      <w:r w:rsidRPr="004068F6">
        <w:rPr>
          <w:spacing w:val="-3"/>
        </w:rPr>
        <w:t>área de influencia</w:t>
      </w:r>
      <w:r w:rsidR="00262014" w:rsidRPr="004068F6">
        <w:rPr>
          <w:spacing w:val="-3"/>
        </w:rPr>
        <w:t xml:space="preserve"> biótica</w:t>
      </w:r>
      <w:r w:rsidRPr="004068F6">
        <w:rPr>
          <w:spacing w:val="-3"/>
        </w:rPr>
        <w:t>.</w:t>
      </w:r>
      <w:r w:rsidR="00DB087B" w:rsidRPr="004068F6">
        <w:rPr>
          <w:spacing w:val="-3"/>
        </w:rPr>
        <w:t xml:space="preserve"> </w:t>
      </w:r>
      <w:r w:rsidRPr="004068F6">
        <w:rPr>
          <w:spacing w:val="-3"/>
        </w:rPr>
        <w:t xml:space="preserve">Es posible usar </w:t>
      </w:r>
      <w:r w:rsidRPr="004068F6">
        <w:rPr>
          <w:rFonts w:cs="Arial"/>
          <w:spacing w:val="-3"/>
        </w:rPr>
        <w:t>como referencia los siguientes sistemas de información</w:t>
      </w:r>
      <w:r w:rsidR="00394D50" w:rsidRPr="004068F6">
        <w:rPr>
          <w:rFonts w:cs="Arial"/>
          <w:spacing w:val="-3"/>
        </w:rPr>
        <w:t xml:space="preserve">, bases de datos </w:t>
      </w:r>
      <w:r w:rsidRPr="004068F6">
        <w:rPr>
          <w:rFonts w:cs="Arial"/>
          <w:spacing w:val="-3"/>
        </w:rPr>
        <w:t>y documentos:</w:t>
      </w:r>
    </w:p>
    <w:p w14:paraId="36401922" w14:textId="77777777" w:rsidR="008D5CC9" w:rsidRPr="004068F6" w:rsidRDefault="008D5CC9" w:rsidP="008D5CC9">
      <w:pPr>
        <w:numPr>
          <w:ilvl w:val="12"/>
          <w:numId w:val="0"/>
        </w:numPr>
        <w:tabs>
          <w:tab w:val="left" w:pos="-2268"/>
        </w:tabs>
        <w:suppressAutoHyphens/>
        <w:rPr>
          <w:rFonts w:cs="Arial"/>
          <w:spacing w:val="-3"/>
        </w:rPr>
      </w:pPr>
    </w:p>
    <w:p w14:paraId="54110863" w14:textId="236C3395" w:rsidR="008D5CC9" w:rsidRPr="004068F6" w:rsidRDefault="008D5CC9" w:rsidP="009420F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Catálogo de plantas y líquenes de Colombia</w:t>
      </w:r>
      <w:r w:rsidR="00DB087B" w:rsidRPr="004068F6">
        <w:rPr>
          <w:rFonts w:cs="Arial"/>
          <w:spacing w:val="-3"/>
          <w:lang w:val="es-CO"/>
        </w:rPr>
        <w:t>. Disponible en</w:t>
      </w:r>
      <w:r w:rsidRPr="004068F6">
        <w:rPr>
          <w:rFonts w:cs="Arial"/>
          <w:spacing w:val="-3"/>
          <w:lang w:val="es-CO"/>
        </w:rPr>
        <w:t xml:space="preserve">: </w:t>
      </w:r>
      <w:r w:rsidR="00511520" w:rsidRPr="00127BD4">
        <w:t>https://www.gbif.org/es/dataset/5c0b1470-8884-4914-ae76-70a7c81d6d08</w:t>
      </w:r>
    </w:p>
    <w:p w14:paraId="2C7BB268" w14:textId="77777777" w:rsidR="008D5CC9" w:rsidRPr="004068F6" w:rsidRDefault="008D5CC9" w:rsidP="008A4FE9">
      <w:pPr>
        <w:tabs>
          <w:tab w:val="left" w:pos="-2268"/>
        </w:tabs>
        <w:suppressAutoHyphens/>
        <w:rPr>
          <w:rFonts w:cs="Arial"/>
          <w:spacing w:val="-3"/>
        </w:rPr>
      </w:pPr>
    </w:p>
    <w:p w14:paraId="2077FD99" w14:textId="09038F22" w:rsidR="008D5CC9" w:rsidRPr="004068F6" w:rsidRDefault="008D5CC9" w:rsidP="009420F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lastRenderedPageBreak/>
        <w:t xml:space="preserve">Sistema de información sobre </w:t>
      </w:r>
      <w:r w:rsidR="00E96877" w:rsidRPr="004068F6">
        <w:rPr>
          <w:rFonts w:cs="Arial"/>
          <w:spacing w:val="-3"/>
          <w:lang w:val="es-CO"/>
        </w:rPr>
        <w:t>b</w:t>
      </w:r>
      <w:r w:rsidRPr="004068F6">
        <w:rPr>
          <w:rFonts w:cs="Arial"/>
          <w:spacing w:val="-3"/>
          <w:lang w:val="es-CO"/>
        </w:rPr>
        <w:t>iodiversidad de Colombia</w:t>
      </w:r>
      <w:r w:rsidR="00DB087B" w:rsidRPr="004068F6">
        <w:rPr>
          <w:rFonts w:cs="Arial"/>
          <w:spacing w:val="-3"/>
          <w:lang w:val="es-CO"/>
        </w:rPr>
        <w:t>. Disponible en</w:t>
      </w:r>
      <w:r w:rsidRPr="004068F6">
        <w:rPr>
          <w:rFonts w:cs="Arial"/>
          <w:spacing w:val="-3"/>
          <w:lang w:val="es-CO"/>
        </w:rPr>
        <w:t xml:space="preserve">: </w:t>
      </w:r>
      <w:r w:rsidR="00A50011" w:rsidRPr="004068F6">
        <w:rPr>
          <w:rFonts w:cs="Arial"/>
          <w:spacing w:val="-3"/>
          <w:lang w:val="es-CO"/>
        </w:rPr>
        <w:t>https://biodiversidad.co/</w:t>
      </w:r>
    </w:p>
    <w:p w14:paraId="43B08C1D" w14:textId="77777777" w:rsidR="008C1DB0" w:rsidRPr="004068F6" w:rsidRDefault="008C1DB0" w:rsidP="000D6E21">
      <w:pPr>
        <w:rPr>
          <w:rFonts w:cs="Arial"/>
          <w:spacing w:val="-3"/>
        </w:rPr>
      </w:pPr>
    </w:p>
    <w:p w14:paraId="562584E0" w14:textId="02FAB916" w:rsidR="008C1DB0" w:rsidRPr="004068F6" w:rsidRDefault="008C1DB0" w:rsidP="008C1DB0">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Amenazas a la conservación de las especies de musgos y líquenes en Colombia. AGUIRRE-C, J. Caldasia 29 (2), 2007.</w:t>
      </w:r>
    </w:p>
    <w:p w14:paraId="0D19C7E0" w14:textId="77777777" w:rsidR="008D5CC9" w:rsidRPr="004068F6" w:rsidRDefault="008D5CC9" w:rsidP="008D5CC9">
      <w:pPr>
        <w:numPr>
          <w:ilvl w:val="12"/>
          <w:numId w:val="0"/>
        </w:numPr>
        <w:tabs>
          <w:tab w:val="left" w:pos="-2268"/>
        </w:tabs>
        <w:suppressAutoHyphens/>
        <w:rPr>
          <w:rFonts w:cs="Arial"/>
          <w:spacing w:val="-3"/>
        </w:rPr>
      </w:pPr>
    </w:p>
    <w:p w14:paraId="2D0B0800" w14:textId="02603D0D" w:rsidR="000F66FC" w:rsidRPr="004068F6" w:rsidRDefault="000F66FC" w:rsidP="000F66FC">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Palmas de Colombia. Guía de Campo, GALEANO &amp; BERNAL. Editorial Universidad Nacional de Colombia. Instituto de Ciencias Naturales-Universidad Nacional de Colombia, Bogotá, 2010. 688 p.</w:t>
      </w:r>
    </w:p>
    <w:p w14:paraId="316C9132" w14:textId="77777777" w:rsidR="000F66FC" w:rsidRPr="004068F6" w:rsidRDefault="000F66FC" w:rsidP="008D5CC9">
      <w:pPr>
        <w:numPr>
          <w:ilvl w:val="12"/>
          <w:numId w:val="0"/>
        </w:numPr>
        <w:tabs>
          <w:tab w:val="left" w:pos="-2268"/>
        </w:tabs>
        <w:suppressAutoHyphens/>
        <w:rPr>
          <w:rFonts w:cs="Arial"/>
          <w:spacing w:val="-3"/>
        </w:rPr>
      </w:pPr>
    </w:p>
    <w:p w14:paraId="3218415F" w14:textId="77777777" w:rsidR="00723B32" w:rsidRPr="00CD4321" w:rsidRDefault="00723B32" w:rsidP="00127BD4">
      <w:pPr>
        <w:pStyle w:val="Prrafodelista"/>
        <w:numPr>
          <w:ilvl w:val="0"/>
          <w:numId w:val="83"/>
        </w:numPr>
        <w:tabs>
          <w:tab w:val="left" w:pos="-2268"/>
        </w:tabs>
        <w:suppressAutoHyphens/>
        <w:ind w:left="567" w:hanging="567"/>
        <w:rPr>
          <w:rFonts w:cs="Arial"/>
          <w:spacing w:val="-3"/>
        </w:rPr>
      </w:pPr>
      <w:r w:rsidRPr="00CD4321">
        <w:rPr>
          <w:rFonts w:cs="Arial"/>
          <w:spacing w:val="-3"/>
          <w:lang w:val="es-CO"/>
        </w:rPr>
        <w:t xml:space="preserve">Conjunto de datos de registros biológicos de herbarios el ámbito nacional tales como los siguientes: </w:t>
      </w:r>
    </w:p>
    <w:p w14:paraId="6790B6B8" w14:textId="77777777" w:rsidR="00723B32" w:rsidRPr="004068F6" w:rsidRDefault="00723B32" w:rsidP="00127BD4">
      <w:pPr>
        <w:tabs>
          <w:tab w:val="left" w:pos="-2268"/>
        </w:tabs>
        <w:suppressAutoHyphens/>
        <w:rPr>
          <w:rFonts w:cs="Arial"/>
          <w:spacing w:val="-3"/>
        </w:rPr>
      </w:pPr>
    </w:p>
    <w:p w14:paraId="35BEAF8C" w14:textId="77777777" w:rsidR="00723B32" w:rsidRPr="004068F6" w:rsidRDefault="00723B32" w:rsidP="00127BD4">
      <w:pPr>
        <w:numPr>
          <w:ilvl w:val="1"/>
          <w:numId w:val="40"/>
        </w:numPr>
        <w:tabs>
          <w:tab w:val="left" w:pos="-2268"/>
        </w:tabs>
        <w:suppressAutoHyphens/>
        <w:ind w:left="1134" w:hanging="567"/>
        <w:rPr>
          <w:iCs/>
          <w:spacing w:val="-3"/>
        </w:rPr>
      </w:pPr>
      <w:r w:rsidRPr="004068F6">
        <w:rPr>
          <w:iCs/>
          <w:spacing w:val="-3"/>
        </w:rPr>
        <w:t xml:space="preserve">Herbario Nacional Colombiano (COL). Disponible en: https://www.gbif.org/es/dataset/18da9e5d-8966-4893-bf70-b3911152d991?utm_source=chatgpt.com </w:t>
      </w:r>
    </w:p>
    <w:p w14:paraId="6F616D9D" w14:textId="77777777" w:rsidR="00723B32" w:rsidRPr="004068F6" w:rsidRDefault="00723B32" w:rsidP="00127BD4">
      <w:pPr>
        <w:tabs>
          <w:tab w:val="left" w:pos="-2268"/>
        </w:tabs>
        <w:suppressAutoHyphens/>
        <w:rPr>
          <w:iCs/>
          <w:spacing w:val="-3"/>
        </w:rPr>
      </w:pPr>
    </w:p>
    <w:p w14:paraId="07B7257C" w14:textId="2713BAE8" w:rsidR="00723B32" w:rsidRPr="004068F6" w:rsidRDefault="00723B32" w:rsidP="00127BD4">
      <w:pPr>
        <w:numPr>
          <w:ilvl w:val="1"/>
          <w:numId w:val="40"/>
        </w:numPr>
        <w:tabs>
          <w:tab w:val="left" w:pos="-2268"/>
        </w:tabs>
        <w:suppressAutoHyphens/>
        <w:ind w:left="1134" w:hanging="567"/>
        <w:rPr>
          <w:iCs/>
          <w:spacing w:val="-3"/>
        </w:rPr>
      </w:pPr>
      <w:r w:rsidRPr="004068F6">
        <w:rPr>
          <w:iCs/>
          <w:spacing w:val="-3"/>
        </w:rPr>
        <w:t>Herbarios de Colombia (Colombian Herbaria). Disponible en: https://herbarios-de-colombia.blogspot.com/</w:t>
      </w:r>
    </w:p>
    <w:p w14:paraId="1825CCDB" w14:textId="77777777" w:rsidR="00723B32" w:rsidRPr="004068F6" w:rsidRDefault="00723B32" w:rsidP="00127BD4">
      <w:pPr>
        <w:tabs>
          <w:tab w:val="left" w:pos="-2268"/>
        </w:tabs>
        <w:suppressAutoHyphens/>
        <w:rPr>
          <w:iCs/>
          <w:spacing w:val="-3"/>
        </w:rPr>
      </w:pPr>
    </w:p>
    <w:p w14:paraId="7D30B9FB" w14:textId="2F8813C4" w:rsidR="00723B32" w:rsidRPr="004068F6" w:rsidRDefault="00723B32" w:rsidP="00127BD4">
      <w:pPr>
        <w:numPr>
          <w:ilvl w:val="1"/>
          <w:numId w:val="40"/>
        </w:numPr>
        <w:tabs>
          <w:tab w:val="left" w:pos="-2268"/>
        </w:tabs>
        <w:suppressAutoHyphens/>
        <w:ind w:left="1134" w:hanging="567"/>
        <w:rPr>
          <w:iCs/>
          <w:spacing w:val="-3"/>
        </w:rPr>
      </w:pPr>
      <w:r w:rsidRPr="004068F6">
        <w:rPr>
          <w:iCs/>
          <w:spacing w:val="-3"/>
        </w:rPr>
        <w:t xml:space="preserve">Herbario </w:t>
      </w:r>
      <w:r w:rsidR="009F0C4B">
        <w:rPr>
          <w:iCs/>
          <w:spacing w:val="-3"/>
        </w:rPr>
        <w:t>A</w:t>
      </w:r>
      <w:r w:rsidRPr="004068F6">
        <w:rPr>
          <w:iCs/>
          <w:spacing w:val="-3"/>
        </w:rPr>
        <w:t xml:space="preserve">mazónico </w:t>
      </w:r>
      <w:r w:rsidR="009F0C4B">
        <w:rPr>
          <w:iCs/>
          <w:spacing w:val="-3"/>
        </w:rPr>
        <w:t>C</w:t>
      </w:r>
      <w:r w:rsidRPr="004068F6">
        <w:rPr>
          <w:iCs/>
          <w:spacing w:val="-3"/>
        </w:rPr>
        <w:t>olombiano. Disponible en: https://sinchi.org.co/coah/herbario-virtual</w:t>
      </w:r>
      <w:hyperlink r:id="rId61" w:history="1">
        <w:r w:rsidRPr="00127BD4">
          <w:rPr>
            <w:iCs/>
          </w:rPr>
          <w:t>https://sinchi.org.co/coah/herbario-virtual</w:t>
        </w:r>
      </w:hyperlink>
    </w:p>
    <w:p w14:paraId="515BDCE0" w14:textId="77777777" w:rsidR="00723B32" w:rsidRPr="004068F6" w:rsidRDefault="00723B32" w:rsidP="00127BD4">
      <w:pPr>
        <w:tabs>
          <w:tab w:val="left" w:pos="-2268"/>
        </w:tabs>
        <w:suppressAutoHyphens/>
        <w:rPr>
          <w:iCs/>
          <w:spacing w:val="-3"/>
        </w:rPr>
      </w:pPr>
    </w:p>
    <w:p w14:paraId="4C355F9B" w14:textId="77777777" w:rsidR="00723B32" w:rsidRPr="004068F6" w:rsidRDefault="00723B32" w:rsidP="00127BD4">
      <w:pPr>
        <w:numPr>
          <w:ilvl w:val="1"/>
          <w:numId w:val="40"/>
        </w:numPr>
        <w:tabs>
          <w:tab w:val="left" w:pos="-2268"/>
        </w:tabs>
        <w:suppressAutoHyphens/>
        <w:ind w:left="1134" w:hanging="567"/>
        <w:rPr>
          <w:iCs/>
          <w:spacing w:val="-3"/>
        </w:rPr>
      </w:pPr>
      <w:r w:rsidRPr="004068F6">
        <w:rPr>
          <w:iCs/>
          <w:spacing w:val="-3"/>
        </w:rPr>
        <w:t>Herbario Jardín Botánico de Bogotá. Herbario JBB. Disponible en: www.herbario.jbb.gov.co</w:t>
      </w:r>
    </w:p>
    <w:p w14:paraId="2308B232" w14:textId="77777777" w:rsidR="008D5CC9" w:rsidRPr="004068F6" w:rsidRDefault="008D5CC9" w:rsidP="008D5CC9">
      <w:pPr>
        <w:tabs>
          <w:tab w:val="left" w:pos="-2268"/>
        </w:tabs>
        <w:suppressAutoHyphens/>
        <w:rPr>
          <w:rFonts w:cs="Arial"/>
          <w:spacing w:val="-3"/>
        </w:rPr>
      </w:pPr>
    </w:p>
    <w:p w14:paraId="40C05108" w14:textId="7C19E279" w:rsidR="008D5CC9" w:rsidRPr="004068F6" w:rsidRDefault="008D5CC9" w:rsidP="009420F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Tropicos</w:t>
      </w:r>
      <w:r w:rsidR="00DB087B" w:rsidRPr="004068F6">
        <w:rPr>
          <w:rFonts w:cs="Arial"/>
          <w:spacing w:val="-3"/>
          <w:lang w:val="es-CO"/>
        </w:rPr>
        <w:t>. Disponible en</w:t>
      </w:r>
      <w:r w:rsidRPr="004068F6">
        <w:rPr>
          <w:rFonts w:cs="Arial"/>
          <w:spacing w:val="-3"/>
          <w:lang w:val="es-CO"/>
        </w:rPr>
        <w:t xml:space="preserve">: </w:t>
      </w:r>
      <w:r w:rsidR="00B9500B" w:rsidRPr="004068F6">
        <w:rPr>
          <w:lang w:val="es-CO"/>
        </w:rPr>
        <w:t>https://www.tropicos.org/home</w:t>
      </w:r>
      <w:r w:rsidR="00DB087B" w:rsidRPr="004068F6">
        <w:rPr>
          <w:lang w:val="es-CO"/>
        </w:rPr>
        <w:t>.</w:t>
      </w:r>
    </w:p>
    <w:p w14:paraId="2CF18583" w14:textId="77777777" w:rsidR="008D5CC9" w:rsidRPr="004068F6" w:rsidRDefault="008D5CC9" w:rsidP="008D5CC9">
      <w:pPr>
        <w:tabs>
          <w:tab w:val="left" w:pos="-2268"/>
        </w:tabs>
        <w:suppressAutoHyphens/>
        <w:rPr>
          <w:rFonts w:cs="Arial"/>
          <w:spacing w:val="-3"/>
        </w:rPr>
      </w:pPr>
    </w:p>
    <w:p w14:paraId="489BB1C1" w14:textId="1FC5AB67" w:rsidR="008D5CC9" w:rsidRPr="004068F6" w:rsidRDefault="008D5CC9" w:rsidP="009420F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GB</w:t>
      </w:r>
      <w:r w:rsidR="00D02435" w:rsidRPr="004068F6">
        <w:rPr>
          <w:rFonts w:cs="Arial"/>
          <w:spacing w:val="-3"/>
          <w:lang w:val="es-CO"/>
        </w:rPr>
        <w:t>I</w:t>
      </w:r>
      <w:r w:rsidRPr="004068F6">
        <w:rPr>
          <w:rFonts w:cs="Arial"/>
          <w:spacing w:val="-3"/>
          <w:lang w:val="es-CO"/>
        </w:rPr>
        <w:t>F Colombia</w:t>
      </w:r>
      <w:r w:rsidR="00DB087B" w:rsidRPr="004068F6">
        <w:rPr>
          <w:rFonts w:cs="Arial"/>
          <w:spacing w:val="-3"/>
          <w:lang w:val="es-CO"/>
        </w:rPr>
        <w:t>. Disponible en</w:t>
      </w:r>
      <w:r w:rsidRPr="004068F6">
        <w:rPr>
          <w:rFonts w:cs="Arial"/>
          <w:spacing w:val="-3"/>
          <w:lang w:val="es-CO"/>
        </w:rPr>
        <w:t xml:space="preserve">: </w:t>
      </w:r>
      <w:r w:rsidR="00E05070" w:rsidRPr="004068F6">
        <w:rPr>
          <w:lang w:val="es-CO"/>
        </w:rPr>
        <w:t>https://www.gbif.org/es/country/CO/summary</w:t>
      </w:r>
      <w:r w:rsidR="00DB087B" w:rsidRPr="004068F6">
        <w:rPr>
          <w:lang w:val="es-CO"/>
        </w:rPr>
        <w:t>.</w:t>
      </w:r>
    </w:p>
    <w:p w14:paraId="17FF17AD" w14:textId="77777777" w:rsidR="008D5CC9" w:rsidRPr="004068F6" w:rsidRDefault="008D5CC9" w:rsidP="008D5CC9">
      <w:pPr>
        <w:tabs>
          <w:tab w:val="left" w:pos="-2268"/>
        </w:tabs>
        <w:suppressAutoHyphens/>
        <w:rPr>
          <w:rFonts w:cs="Arial"/>
          <w:spacing w:val="-3"/>
        </w:rPr>
      </w:pPr>
    </w:p>
    <w:p w14:paraId="303C042B" w14:textId="7BFFF324" w:rsidR="008D5CC9" w:rsidRPr="004068F6" w:rsidRDefault="008D5CC9" w:rsidP="008D5CC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Colplanta</w:t>
      </w:r>
      <w:r w:rsidR="00DB087B" w:rsidRPr="004068F6">
        <w:rPr>
          <w:rFonts w:cs="Arial"/>
          <w:spacing w:val="-3"/>
          <w:lang w:val="es-CO"/>
        </w:rPr>
        <w:t>. Disponible en</w:t>
      </w:r>
      <w:r w:rsidRPr="004068F6">
        <w:rPr>
          <w:rFonts w:cs="Arial"/>
          <w:spacing w:val="-3"/>
          <w:lang w:val="es-CO"/>
        </w:rPr>
        <w:t xml:space="preserve">: </w:t>
      </w:r>
      <w:r w:rsidRPr="004068F6">
        <w:rPr>
          <w:lang w:val="es-CO"/>
        </w:rPr>
        <w:t>http://colplanta.org</w:t>
      </w:r>
      <w:r w:rsidR="00AC3FD2" w:rsidRPr="004068F6">
        <w:rPr>
          <w:lang w:val="es-CO"/>
        </w:rPr>
        <w:t>/.</w:t>
      </w:r>
    </w:p>
    <w:p w14:paraId="0978A191" w14:textId="77777777" w:rsidR="008D5CC9" w:rsidRPr="004068F6" w:rsidRDefault="008D5CC9" w:rsidP="008D5CC9">
      <w:pPr>
        <w:rPr>
          <w:rFonts w:cs="Arial"/>
          <w:spacing w:val="-3"/>
        </w:rPr>
      </w:pPr>
    </w:p>
    <w:p w14:paraId="77AFA4F6" w14:textId="6224B48E" w:rsidR="00394D50" w:rsidRPr="004068F6" w:rsidRDefault="00394D50" w:rsidP="008A4FE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ColFungi. Disponible en: https://colfungi.org.</w:t>
      </w:r>
    </w:p>
    <w:p w14:paraId="285859F8" w14:textId="77777777" w:rsidR="00394D50" w:rsidRPr="004068F6" w:rsidRDefault="00394D50" w:rsidP="008A4FE9">
      <w:pPr>
        <w:tabs>
          <w:tab w:val="left" w:pos="-2268"/>
        </w:tabs>
        <w:suppressAutoHyphens/>
        <w:rPr>
          <w:rFonts w:cs="Arial"/>
          <w:spacing w:val="-3"/>
        </w:rPr>
      </w:pPr>
    </w:p>
    <w:p w14:paraId="60804872" w14:textId="76C6412D" w:rsidR="00394D50" w:rsidRPr="004068F6" w:rsidRDefault="00394D50" w:rsidP="008A4FE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MycoBank. Disponible en: https://www.myc</w:t>
      </w:r>
      <w:r w:rsidR="00FD5E10" w:rsidRPr="004068F6">
        <w:rPr>
          <w:rFonts w:cs="Arial"/>
          <w:spacing w:val="-3"/>
          <w:lang w:val="es-CO"/>
        </w:rPr>
        <w:t>o</w:t>
      </w:r>
      <w:r w:rsidRPr="004068F6">
        <w:rPr>
          <w:rFonts w:cs="Arial"/>
          <w:spacing w:val="-3"/>
          <w:lang w:val="es-CO"/>
        </w:rPr>
        <w:t>bank.org</w:t>
      </w:r>
    </w:p>
    <w:p w14:paraId="346836F3" w14:textId="77777777" w:rsidR="00394D50" w:rsidRPr="004068F6" w:rsidRDefault="00394D50" w:rsidP="008A4FE9">
      <w:pPr>
        <w:tabs>
          <w:tab w:val="left" w:pos="-2268"/>
        </w:tabs>
        <w:suppressAutoHyphens/>
        <w:rPr>
          <w:rFonts w:cs="Arial"/>
          <w:spacing w:val="-3"/>
        </w:rPr>
      </w:pPr>
    </w:p>
    <w:p w14:paraId="1D10D395" w14:textId="3EDFEDBC" w:rsidR="00394D50" w:rsidRPr="006C2725" w:rsidRDefault="00394D50" w:rsidP="008A4FE9">
      <w:pPr>
        <w:pStyle w:val="Prrafodelista"/>
        <w:numPr>
          <w:ilvl w:val="0"/>
          <w:numId w:val="83"/>
        </w:numPr>
        <w:tabs>
          <w:tab w:val="left" w:pos="-2268"/>
        </w:tabs>
        <w:suppressAutoHyphens/>
        <w:ind w:left="567" w:hanging="567"/>
        <w:rPr>
          <w:rFonts w:cs="Arial"/>
          <w:spacing w:val="-3"/>
          <w:lang w:val="es-CO"/>
        </w:rPr>
      </w:pPr>
      <w:r w:rsidRPr="006C2725">
        <w:rPr>
          <w:rFonts w:cs="Arial"/>
          <w:spacing w:val="-3"/>
          <w:lang w:val="es-CO"/>
        </w:rPr>
        <w:t>Pictures of tropical lichens. Disponible en: https//www.tropicallichens.net</w:t>
      </w:r>
    </w:p>
    <w:p w14:paraId="51533587" w14:textId="77777777" w:rsidR="00B016CF" w:rsidRPr="006C2725" w:rsidRDefault="00B016CF" w:rsidP="00321C48">
      <w:pPr>
        <w:rPr>
          <w:rFonts w:cs="Arial"/>
          <w:spacing w:val="-3"/>
        </w:rPr>
      </w:pPr>
    </w:p>
    <w:p w14:paraId="18F6DB99" w14:textId="3E2BAE06" w:rsidR="00B016CF" w:rsidRPr="006C2725" w:rsidRDefault="00B016CF" w:rsidP="00671B81">
      <w:pPr>
        <w:pStyle w:val="Prrafodelista"/>
        <w:numPr>
          <w:ilvl w:val="0"/>
          <w:numId w:val="83"/>
        </w:numPr>
        <w:tabs>
          <w:tab w:val="left" w:pos="-2268"/>
        </w:tabs>
        <w:suppressAutoHyphens/>
        <w:ind w:left="567" w:hanging="567"/>
        <w:rPr>
          <w:rFonts w:cs="Arial"/>
          <w:spacing w:val="-3"/>
          <w:lang w:val="en-US"/>
        </w:rPr>
      </w:pPr>
      <w:r w:rsidRPr="00127BD4">
        <w:rPr>
          <w:rFonts w:cs="Arial"/>
          <w:spacing w:val="-3"/>
          <w:lang w:val="en-US"/>
        </w:rPr>
        <w:t xml:space="preserve">Plants of the World Online Kew Science (POWO). </w:t>
      </w:r>
      <w:r w:rsidRPr="006C2725">
        <w:rPr>
          <w:rFonts w:cs="Arial"/>
          <w:spacing w:val="-3"/>
          <w:lang w:val="en-US"/>
        </w:rPr>
        <w:t>Disponible en: https://powo.science.kew.org</w:t>
      </w:r>
    </w:p>
    <w:p w14:paraId="1AD7B6DF" w14:textId="77777777" w:rsidR="00394D50" w:rsidRPr="006C2725" w:rsidRDefault="00394D50" w:rsidP="008A4FE9">
      <w:pPr>
        <w:rPr>
          <w:rFonts w:cs="Arial"/>
          <w:spacing w:val="-3"/>
          <w:lang w:val="en-US"/>
        </w:rPr>
      </w:pPr>
    </w:p>
    <w:p w14:paraId="73DAF723" w14:textId="0A558488" w:rsidR="008D5CC9" w:rsidRPr="004068F6" w:rsidRDefault="008D5CC9" w:rsidP="009420F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lastRenderedPageBreak/>
        <w:t>World flora online</w:t>
      </w:r>
      <w:r w:rsidR="00DB087B" w:rsidRPr="004068F6">
        <w:rPr>
          <w:rFonts w:cs="Arial"/>
          <w:spacing w:val="-3"/>
          <w:lang w:val="es-CO"/>
        </w:rPr>
        <w:t>. Disponible en</w:t>
      </w:r>
      <w:r w:rsidRPr="004068F6">
        <w:rPr>
          <w:rFonts w:cs="Arial"/>
          <w:spacing w:val="-3"/>
          <w:lang w:val="es-CO"/>
        </w:rPr>
        <w:t xml:space="preserve">: </w:t>
      </w:r>
      <w:r w:rsidRPr="004068F6">
        <w:rPr>
          <w:lang w:val="es-CO"/>
        </w:rPr>
        <w:t>http://www.worldfloraonline.org/</w:t>
      </w:r>
      <w:r w:rsidR="00DB087B" w:rsidRPr="004068F6">
        <w:rPr>
          <w:lang w:val="es-CO"/>
        </w:rPr>
        <w:t>.</w:t>
      </w:r>
    </w:p>
    <w:p w14:paraId="3247F426" w14:textId="77777777" w:rsidR="008D5CC9" w:rsidRPr="004068F6" w:rsidRDefault="008D5CC9" w:rsidP="008D5CC9">
      <w:pPr>
        <w:tabs>
          <w:tab w:val="left" w:pos="-2268"/>
        </w:tabs>
        <w:suppressAutoHyphens/>
        <w:rPr>
          <w:rFonts w:cs="Arial"/>
          <w:spacing w:val="-3"/>
        </w:rPr>
      </w:pPr>
    </w:p>
    <w:p w14:paraId="0D6E2801" w14:textId="7D4D645B" w:rsidR="008D5CC9" w:rsidRPr="006C00FC" w:rsidRDefault="008D5CC9" w:rsidP="009420F5">
      <w:pPr>
        <w:pStyle w:val="Prrafodelista"/>
        <w:numPr>
          <w:ilvl w:val="0"/>
          <w:numId w:val="83"/>
        </w:numPr>
        <w:tabs>
          <w:tab w:val="left" w:pos="-2268"/>
        </w:tabs>
        <w:suppressAutoHyphens/>
        <w:ind w:left="567" w:hanging="567"/>
        <w:rPr>
          <w:rFonts w:cs="Arial"/>
          <w:spacing w:val="-3"/>
          <w:lang w:val="fr-FR"/>
        </w:rPr>
      </w:pPr>
      <w:r w:rsidRPr="006C00FC">
        <w:rPr>
          <w:rFonts w:cs="Arial"/>
          <w:spacing w:val="-3"/>
          <w:lang w:val="fr-FR"/>
        </w:rPr>
        <w:t>International plan names index</w:t>
      </w:r>
      <w:r w:rsidR="00DB087B" w:rsidRPr="006C00FC">
        <w:rPr>
          <w:rFonts w:cs="Arial"/>
          <w:spacing w:val="-3"/>
          <w:lang w:val="fr-FR"/>
        </w:rPr>
        <w:t xml:space="preserve">. Disponible </w:t>
      </w:r>
      <w:r w:rsidR="00B25403" w:rsidRPr="00127BD4">
        <w:rPr>
          <w:rFonts w:cs="Arial"/>
          <w:spacing w:val="-3"/>
          <w:lang w:val="fr-FR"/>
        </w:rPr>
        <w:t>en:</w:t>
      </w:r>
      <w:r w:rsidRPr="006C00FC">
        <w:rPr>
          <w:rFonts w:cs="Arial"/>
          <w:spacing w:val="-3"/>
          <w:lang w:val="fr-FR"/>
        </w:rPr>
        <w:t xml:space="preserve"> </w:t>
      </w:r>
      <w:r w:rsidR="00E05070" w:rsidRPr="006C00FC">
        <w:rPr>
          <w:lang w:val="fr-FR"/>
        </w:rPr>
        <w:t>https://www.ipni.org/</w:t>
      </w:r>
      <w:r w:rsidR="00DB087B" w:rsidRPr="006C00FC">
        <w:rPr>
          <w:lang w:val="fr-FR"/>
        </w:rPr>
        <w:t>.</w:t>
      </w:r>
    </w:p>
    <w:p w14:paraId="56016BCE" w14:textId="77777777" w:rsidR="008D5CC9" w:rsidRPr="006C00FC" w:rsidRDefault="008D5CC9" w:rsidP="008D5CC9">
      <w:pPr>
        <w:tabs>
          <w:tab w:val="left" w:pos="-2268"/>
        </w:tabs>
        <w:suppressAutoHyphens/>
        <w:rPr>
          <w:rFonts w:cs="Arial"/>
          <w:spacing w:val="-3"/>
          <w:lang w:val="fr-FR"/>
        </w:rPr>
      </w:pPr>
    </w:p>
    <w:p w14:paraId="0F919595" w14:textId="3450D49C" w:rsidR="008D5CC9" w:rsidRPr="004068F6" w:rsidRDefault="008D5CC9" w:rsidP="008D5CC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Plan de acción de la estrategia nacional para la conservación de las plantas</w:t>
      </w:r>
      <w:r w:rsidR="00DB087B" w:rsidRPr="004068F6">
        <w:rPr>
          <w:rFonts w:cs="Arial"/>
          <w:spacing w:val="-3"/>
          <w:lang w:val="es-CO"/>
        </w:rPr>
        <w:t>. Disponible en</w:t>
      </w:r>
      <w:r w:rsidRPr="004068F6">
        <w:rPr>
          <w:rFonts w:cs="Arial"/>
          <w:spacing w:val="-3"/>
          <w:lang w:val="es-CO"/>
        </w:rPr>
        <w:t>:</w:t>
      </w:r>
    </w:p>
    <w:p w14:paraId="3515C4B6" w14:textId="77777777" w:rsidR="002E227F" w:rsidRPr="00127BD4" w:rsidRDefault="002E227F" w:rsidP="00127BD4">
      <w:pPr>
        <w:pStyle w:val="Prrafodelista"/>
        <w:tabs>
          <w:tab w:val="left" w:pos="-2268"/>
        </w:tabs>
        <w:suppressAutoHyphens/>
        <w:ind w:left="567"/>
        <w:rPr>
          <w:rFonts w:cs="Arial"/>
          <w:spacing w:val="-3"/>
          <w:lang w:val="es-CO"/>
        </w:rPr>
      </w:pPr>
      <w:r w:rsidRPr="00127BD4">
        <w:rPr>
          <w:rFonts w:cs="Arial"/>
          <w:spacing w:val="-3"/>
          <w:lang w:val="es-CO"/>
        </w:rPr>
        <w:t>https://www.minambiente.gov.co/direccion-de-bosques-biodiversidad-y-servicios-ecosistemicos/planes-y-programas-de-conservacion-2/</w:t>
      </w:r>
    </w:p>
    <w:p w14:paraId="077EC7C5" w14:textId="77777777" w:rsidR="008D5CC9" w:rsidRPr="00127BD4" w:rsidRDefault="008D5CC9" w:rsidP="00671B81">
      <w:pPr>
        <w:tabs>
          <w:tab w:val="left" w:pos="-2268"/>
        </w:tabs>
        <w:suppressAutoHyphens/>
        <w:rPr>
          <w:rFonts w:cs="Arial"/>
          <w:spacing w:val="-3"/>
        </w:rPr>
      </w:pPr>
    </w:p>
    <w:p w14:paraId="788ACDBA" w14:textId="3376CF22" w:rsidR="00A33CCE" w:rsidRPr="00127BD4" w:rsidRDefault="008D5CC9" w:rsidP="00A33CCE">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Plan de acción para la conservación de las zamias de Colombia</w:t>
      </w:r>
      <w:r w:rsidR="00DB087B" w:rsidRPr="004068F6">
        <w:rPr>
          <w:rFonts w:cs="Arial"/>
          <w:spacing w:val="-3"/>
          <w:lang w:val="es-CO"/>
        </w:rPr>
        <w:t>. Disponible en:</w:t>
      </w:r>
      <w:r w:rsidRPr="004068F6">
        <w:rPr>
          <w:rFonts w:cs="Arial"/>
          <w:spacing w:val="-3"/>
          <w:lang w:val="es-CO"/>
        </w:rPr>
        <w:t xml:space="preserve"> </w:t>
      </w:r>
      <w:hyperlink r:id="rId62" w:history="1">
        <w:r w:rsidR="00A33CCE" w:rsidRPr="00127BD4">
          <w:rPr>
            <w:lang w:val="es-CO"/>
          </w:rPr>
          <w:t>https://archivo.minambiente.gov.co/images/BosquesBiodiversidadyServiciosEcosistemicos/pdf/Programas-para-la-gestion-de-fauna-y-flora/Plan_de_accion_para_la_conservacion_de_las_zamias_de_Colombia.pdf</w:t>
        </w:r>
      </w:hyperlink>
    </w:p>
    <w:p w14:paraId="34C02F9B" w14:textId="77777777" w:rsidR="008D5CC9" w:rsidRPr="004068F6" w:rsidRDefault="008D5CC9" w:rsidP="008D5CC9">
      <w:pPr>
        <w:tabs>
          <w:tab w:val="left" w:pos="-2268"/>
        </w:tabs>
        <w:suppressAutoHyphens/>
        <w:rPr>
          <w:rFonts w:cs="Arial"/>
          <w:spacing w:val="-3"/>
        </w:rPr>
      </w:pPr>
    </w:p>
    <w:p w14:paraId="4BEF1AC9" w14:textId="6CDE0B51" w:rsidR="008D5CC9" w:rsidRPr="00127BD4" w:rsidRDefault="008D5CC9" w:rsidP="008D5CC9">
      <w:pPr>
        <w:pStyle w:val="Prrafodelista"/>
        <w:numPr>
          <w:ilvl w:val="0"/>
          <w:numId w:val="83"/>
        </w:numPr>
        <w:tabs>
          <w:tab w:val="left" w:pos="-2268"/>
        </w:tabs>
        <w:suppressAutoHyphens/>
        <w:ind w:left="567" w:hanging="567"/>
      </w:pPr>
      <w:r w:rsidRPr="004068F6">
        <w:rPr>
          <w:rFonts w:cs="Arial"/>
          <w:spacing w:val="-3"/>
          <w:lang w:val="es-CO"/>
        </w:rPr>
        <w:t>Plan de manejo para la conservación de Abarco, Caoba, Cedro, Palorosa y Canelo de los Andaquíes</w:t>
      </w:r>
      <w:r w:rsidR="00DB087B" w:rsidRPr="004068F6">
        <w:rPr>
          <w:rFonts w:cs="Arial"/>
          <w:spacing w:val="-3"/>
          <w:lang w:val="es-CO"/>
        </w:rPr>
        <w:t>. Disponible en</w:t>
      </w:r>
      <w:r w:rsidRPr="004068F6">
        <w:rPr>
          <w:rFonts w:cs="Arial"/>
          <w:spacing w:val="-3"/>
          <w:lang w:val="es-CO"/>
        </w:rPr>
        <w:t>:</w:t>
      </w:r>
    </w:p>
    <w:p w14:paraId="2EE363D1" w14:textId="0AD56B30" w:rsidR="008D5CC9" w:rsidRPr="00127BD4" w:rsidRDefault="008B71C8" w:rsidP="009420F5">
      <w:pPr>
        <w:tabs>
          <w:tab w:val="left" w:pos="-2268"/>
        </w:tabs>
        <w:suppressAutoHyphens/>
        <w:ind w:left="567"/>
      </w:pPr>
      <w:r w:rsidRPr="00127BD4">
        <w:rPr>
          <w:rFonts w:cs="Arial"/>
          <w:spacing w:val="-3"/>
        </w:rPr>
        <w:t>https://www.sinchi.org.co/files/publicaciones/publicaciones/pdf/planesdemanejoparalaconservacion.pdf</w:t>
      </w:r>
      <w:r w:rsidR="00743723" w:rsidRPr="004068F6">
        <w:rPr>
          <w:rFonts w:cs="Arial"/>
          <w:spacing w:val="-3"/>
        </w:rPr>
        <w:t>.</w:t>
      </w:r>
    </w:p>
    <w:p w14:paraId="647917C0" w14:textId="77777777" w:rsidR="008D5CC9" w:rsidRPr="004068F6" w:rsidRDefault="008D5CC9" w:rsidP="008D5CC9">
      <w:pPr>
        <w:tabs>
          <w:tab w:val="left" w:pos="-2268"/>
        </w:tabs>
        <w:suppressAutoHyphens/>
        <w:rPr>
          <w:rFonts w:cs="Arial"/>
          <w:spacing w:val="-3"/>
        </w:rPr>
      </w:pPr>
    </w:p>
    <w:p w14:paraId="1490FDE4" w14:textId="2A0B2133" w:rsidR="008D5CC9" w:rsidRPr="004068F6" w:rsidRDefault="008D5CC9" w:rsidP="009420F5">
      <w:pPr>
        <w:pStyle w:val="Prrafodelista"/>
        <w:numPr>
          <w:ilvl w:val="0"/>
          <w:numId w:val="83"/>
        </w:numPr>
        <w:tabs>
          <w:tab w:val="left" w:pos="-2268"/>
        </w:tabs>
        <w:suppressAutoHyphens/>
        <w:ind w:left="567" w:hanging="567"/>
        <w:rPr>
          <w:rStyle w:val="Hipervnculo"/>
          <w:rFonts w:cs="Arial"/>
          <w:color w:val="auto"/>
          <w:spacing w:val="-3"/>
          <w:lang w:val="es-CO"/>
        </w:rPr>
      </w:pPr>
      <w:r w:rsidRPr="004068F6">
        <w:rPr>
          <w:rFonts w:cs="Arial"/>
          <w:spacing w:val="-3"/>
          <w:lang w:val="es-CO"/>
        </w:rPr>
        <w:t>Plan para el estudio y la conservación de orquídeas en Colombia</w:t>
      </w:r>
      <w:r w:rsidR="00DB087B" w:rsidRPr="004068F6">
        <w:rPr>
          <w:rFonts w:cs="Arial"/>
          <w:spacing w:val="-3"/>
          <w:lang w:val="es-CO"/>
        </w:rPr>
        <w:t>. Disponible en</w:t>
      </w:r>
      <w:r w:rsidRPr="004068F6">
        <w:rPr>
          <w:rFonts w:cs="Arial"/>
          <w:spacing w:val="-3"/>
          <w:lang w:val="es-CO"/>
        </w:rPr>
        <w:t xml:space="preserve">: </w:t>
      </w:r>
      <w:hyperlink r:id="rId63" w:history="1">
        <w:r w:rsidR="00743723" w:rsidRPr="00127BD4">
          <w:t>www.minambiente.gov.co/wp-content/uploads/2019/05/PLAN_ORQUIDEAS_2015_DOC.pdf</w:t>
        </w:r>
      </w:hyperlink>
    </w:p>
    <w:p w14:paraId="1968BED7" w14:textId="77777777" w:rsidR="008D5CC9" w:rsidRPr="004068F6" w:rsidRDefault="008D5CC9" w:rsidP="000D6E21">
      <w:pPr>
        <w:tabs>
          <w:tab w:val="left" w:pos="-2268"/>
        </w:tabs>
        <w:suppressAutoHyphens/>
        <w:rPr>
          <w:rFonts w:cs="Arial"/>
          <w:spacing w:val="-3"/>
        </w:rPr>
      </w:pPr>
    </w:p>
    <w:p w14:paraId="11EA7931" w14:textId="779B3247" w:rsidR="00DB087B" w:rsidRPr="004068F6" w:rsidRDefault="008D5CC9" w:rsidP="008D5CC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Plan de conservación, manejo y uso sostenible de las palmas de Colombia</w:t>
      </w:r>
      <w:r w:rsidR="00DB087B" w:rsidRPr="004068F6">
        <w:rPr>
          <w:rFonts w:cs="Arial"/>
          <w:spacing w:val="-3"/>
          <w:lang w:val="es-CO"/>
        </w:rPr>
        <w:t>. Disponible en</w:t>
      </w:r>
      <w:r w:rsidRPr="004068F6">
        <w:rPr>
          <w:rFonts w:cs="Arial"/>
          <w:spacing w:val="-3"/>
          <w:lang w:val="es-CO"/>
        </w:rPr>
        <w:t>:</w:t>
      </w:r>
    </w:p>
    <w:p w14:paraId="626DFB9F" w14:textId="3F9A22FD" w:rsidR="008D5CC9" w:rsidRPr="004068F6" w:rsidRDefault="00B9500B" w:rsidP="009420F5">
      <w:pPr>
        <w:tabs>
          <w:tab w:val="left" w:pos="-2268"/>
        </w:tabs>
        <w:suppressAutoHyphens/>
        <w:ind w:left="567"/>
        <w:rPr>
          <w:rFonts w:cs="Arial"/>
          <w:spacing w:val="-3"/>
        </w:rPr>
      </w:pPr>
      <w:r w:rsidRPr="004068F6">
        <w:rPr>
          <w:rFonts w:cs="Arial"/>
          <w:spacing w:val="-3"/>
        </w:rPr>
        <w:t>https://www.minambiente.gov.co/images/BosquesBiodiversidadyServiciosEcosistemicos/pdf/Programas-para-la-gestion-de-fauna-y-flora/PLAN_PALMAS_2015.pdf</w:t>
      </w:r>
      <w:r w:rsidR="00DB087B" w:rsidRPr="004068F6">
        <w:rPr>
          <w:rFonts w:cs="Arial"/>
          <w:spacing w:val="-3"/>
        </w:rPr>
        <w:t>.</w:t>
      </w:r>
    </w:p>
    <w:p w14:paraId="305AE179" w14:textId="77777777" w:rsidR="008D5CC9" w:rsidRPr="004068F6" w:rsidRDefault="008D5CC9" w:rsidP="000D6E21">
      <w:pPr>
        <w:tabs>
          <w:tab w:val="left" w:pos="-2268"/>
        </w:tabs>
        <w:suppressAutoHyphens/>
        <w:rPr>
          <w:rFonts w:cs="Arial"/>
          <w:spacing w:val="-3"/>
        </w:rPr>
      </w:pPr>
    </w:p>
    <w:p w14:paraId="2988A936" w14:textId="71FB1353" w:rsidR="008D5CC9" w:rsidRPr="004068F6" w:rsidRDefault="008D5CC9" w:rsidP="009420F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Plan de Conservación, manejo y uso sostenible de la palma de cera del Quindío (</w:t>
      </w:r>
      <w:r w:rsidRPr="004068F6">
        <w:rPr>
          <w:rFonts w:cs="Arial"/>
          <w:i/>
          <w:iCs/>
          <w:spacing w:val="-3"/>
          <w:lang w:val="es-CO"/>
        </w:rPr>
        <w:t>Ceroxylon quindiuense</w:t>
      </w:r>
      <w:r w:rsidRPr="004068F6">
        <w:rPr>
          <w:rFonts w:cs="Arial"/>
          <w:spacing w:val="-3"/>
          <w:lang w:val="es-CO"/>
        </w:rPr>
        <w:t>) árbol nacional de Colombia</w:t>
      </w:r>
      <w:r w:rsidR="00DB087B" w:rsidRPr="004068F6">
        <w:rPr>
          <w:rFonts w:cs="Arial"/>
          <w:spacing w:val="-3"/>
          <w:lang w:val="es-CO"/>
        </w:rPr>
        <w:t>. Disponible en</w:t>
      </w:r>
      <w:r w:rsidRPr="004068F6">
        <w:rPr>
          <w:rFonts w:cs="Arial"/>
          <w:spacing w:val="-3"/>
          <w:lang w:val="es-CO"/>
        </w:rPr>
        <w:t xml:space="preserve">: </w:t>
      </w:r>
      <w:r w:rsidR="00B9500B" w:rsidRPr="004068F6">
        <w:rPr>
          <w:lang w:val="es-CO"/>
        </w:rPr>
        <w:t>https://www.minambiente.gov.co/images/BosquesBiodiversidadyServiciosEcosistemicos/pdf/Programas-para-la-gestion-de-fauna-y-flora/Plan_de_conservaci%C3%B3n_manejo_y_uso_sostenible_de_la_palma_de_cera_del_Quind%C3%ADo.pdf</w:t>
      </w:r>
      <w:r w:rsidR="00DB087B" w:rsidRPr="004068F6">
        <w:rPr>
          <w:lang w:val="es-CO"/>
        </w:rPr>
        <w:t>.</w:t>
      </w:r>
    </w:p>
    <w:p w14:paraId="7AD056AD" w14:textId="77777777" w:rsidR="008D5CC9" w:rsidRPr="004068F6" w:rsidRDefault="008D5CC9" w:rsidP="000D6E21">
      <w:pPr>
        <w:tabs>
          <w:tab w:val="left" w:pos="-2268"/>
        </w:tabs>
        <w:suppressAutoHyphens/>
        <w:rPr>
          <w:rFonts w:cs="Arial"/>
          <w:spacing w:val="-3"/>
        </w:rPr>
      </w:pPr>
    </w:p>
    <w:p w14:paraId="259A37CA" w14:textId="3FA2EC84" w:rsidR="008D5CC9" w:rsidRPr="004068F6" w:rsidRDefault="008D5CC9" w:rsidP="008D5CC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Iniciativa colombiana de polinizadores</w:t>
      </w:r>
      <w:r w:rsidR="00DB087B" w:rsidRPr="004068F6">
        <w:rPr>
          <w:rFonts w:cs="Arial"/>
          <w:spacing w:val="-3"/>
          <w:lang w:val="es-CO"/>
        </w:rPr>
        <w:t>. Disponible en</w:t>
      </w:r>
      <w:r w:rsidRPr="004068F6">
        <w:rPr>
          <w:rFonts w:cs="Arial"/>
          <w:spacing w:val="-3"/>
          <w:lang w:val="es-CO"/>
        </w:rPr>
        <w:t>:</w:t>
      </w:r>
    </w:p>
    <w:p w14:paraId="285B0D7C" w14:textId="52EDB2C1" w:rsidR="008D5CC9" w:rsidRPr="004068F6" w:rsidRDefault="00EF7099" w:rsidP="00671B81">
      <w:pPr>
        <w:pStyle w:val="Prrafodelista"/>
        <w:tabs>
          <w:tab w:val="left" w:pos="-2268"/>
        </w:tabs>
        <w:suppressAutoHyphens/>
        <w:ind w:left="567"/>
        <w:rPr>
          <w:rFonts w:cs="Arial"/>
          <w:spacing w:val="-3"/>
          <w:lang w:val="es-CO"/>
        </w:rPr>
      </w:pPr>
      <w:hyperlink r:id="rId64" w:history="1">
        <w:r w:rsidRPr="00127BD4">
          <w:rPr>
            <w:rFonts w:cs="Arial"/>
            <w:spacing w:val="-3"/>
            <w:lang w:val="es-CO"/>
          </w:rPr>
          <w:t>https://www.minambiente.gov.co/wp-content/uploads/2021/10/Iniciativa-Colombiana-de-Polinizadores.pdf</w:t>
        </w:r>
      </w:hyperlink>
      <w:r w:rsidR="008A64E1" w:rsidRPr="004068F6">
        <w:rPr>
          <w:rFonts w:cs="Arial"/>
          <w:spacing w:val="-3"/>
          <w:lang w:val="es-CO"/>
        </w:rPr>
        <w:t>.</w:t>
      </w:r>
    </w:p>
    <w:p w14:paraId="76D9FBF0" w14:textId="77777777" w:rsidR="000A3702" w:rsidRPr="004068F6" w:rsidRDefault="000A3702" w:rsidP="008D5CC9">
      <w:pPr>
        <w:tabs>
          <w:tab w:val="left" w:pos="-2268"/>
        </w:tabs>
        <w:suppressAutoHyphens/>
        <w:rPr>
          <w:rFonts w:cs="Arial"/>
          <w:spacing w:val="-3"/>
        </w:rPr>
      </w:pPr>
    </w:p>
    <w:p w14:paraId="3A7CE737" w14:textId="1B3B66CE" w:rsidR="008D5CC9" w:rsidRPr="004068F6" w:rsidRDefault="008D5CC9" w:rsidP="008D5CC9">
      <w:pPr>
        <w:numPr>
          <w:ilvl w:val="12"/>
          <w:numId w:val="0"/>
        </w:numPr>
        <w:tabs>
          <w:tab w:val="left" w:pos="-2268"/>
        </w:tabs>
        <w:suppressAutoHyphens/>
        <w:rPr>
          <w:rFonts w:cs="Arial"/>
          <w:spacing w:val="-3"/>
        </w:rPr>
      </w:pPr>
      <w:r w:rsidRPr="004068F6">
        <w:rPr>
          <w:rFonts w:cs="Arial"/>
          <w:spacing w:val="-3"/>
        </w:rPr>
        <w:lastRenderedPageBreak/>
        <w:t xml:space="preserve">La caracterización </w:t>
      </w:r>
      <w:r w:rsidR="000A3702" w:rsidRPr="004068F6">
        <w:rPr>
          <w:rFonts w:cs="Arial"/>
          <w:spacing w:val="-3"/>
        </w:rPr>
        <w:t xml:space="preserve">se </w:t>
      </w:r>
      <w:r w:rsidR="000A3702" w:rsidRPr="004068F6">
        <w:rPr>
          <w:spacing w:val="-3"/>
        </w:rPr>
        <w:t xml:space="preserve">debe realizar para cada </w:t>
      </w:r>
      <w:r w:rsidR="002442B1" w:rsidRPr="004068F6">
        <w:rPr>
          <w:spacing w:val="-3"/>
        </w:rPr>
        <w:t xml:space="preserve">uno de los </w:t>
      </w:r>
      <w:r w:rsidR="00394D50" w:rsidRPr="004068F6">
        <w:rPr>
          <w:rFonts w:cs="Arial"/>
          <w:spacing w:val="-3"/>
        </w:rPr>
        <w:t>ecosistema</w:t>
      </w:r>
      <w:r w:rsidR="002442B1" w:rsidRPr="004068F6">
        <w:rPr>
          <w:rFonts w:cs="Arial"/>
          <w:spacing w:val="-3"/>
        </w:rPr>
        <w:t>s</w:t>
      </w:r>
      <w:r w:rsidR="000A3702" w:rsidRPr="004068F6">
        <w:rPr>
          <w:rFonts w:cs="Arial"/>
          <w:spacing w:val="-3"/>
        </w:rPr>
        <w:t xml:space="preserve"> </w:t>
      </w:r>
      <w:r w:rsidR="009F1479" w:rsidRPr="004068F6">
        <w:rPr>
          <w:rFonts w:cs="Arial"/>
          <w:spacing w:val="-3"/>
        </w:rPr>
        <w:t xml:space="preserve">(determinados según los lineamientos del numeral </w:t>
      </w:r>
      <w:r w:rsidR="009F1479" w:rsidRPr="004068F6">
        <w:rPr>
          <w:rFonts w:cs="Arial"/>
          <w:spacing w:val="-3"/>
        </w:rPr>
        <w:fldChar w:fldCharType="begin"/>
      </w:r>
      <w:r w:rsidR="009F1479" w:rsidRPr="004068F6">
        <w:rPr>
          <w:rFonts w:cs="Arial"/>
          <w:spacing w:val="-3"/>
        </w:rPr>
        <w:instrText xml:space="preserve"> REF _Ref78538891 \r \h </w:instrText>
      </w:r>
      <w:r w:rsidR="00BD1319" w:rsidRPr="004068F6">
        <w:rPr>
          <w:rFonts w:cs="Arial"/>
          <w:spacing w:val="-3"/>
        </w:rPr>
        <w:instrText xml:space="preserve"> \* MERGEFORMAT </w:instrText>
      </w:r>
      <w:r w:rsidR="009F1479" w:rsidRPr="004068F6">
        <w:rPr>
          <w:rFonts w:cs="Arial"/>
          <w:spacing w:val="-3"/>
        </w:rPr>
      </w:r>
      <w:r w:rsidR="009F1479" w:rsidRPr="004068F6">
        <w:rPr>
          <w:rFonts w:cs="Arial"/>
          <w:spacing w:val="-3"/>
        </w:rPr>
        <w:fldChar w:fldCharType="separate"/>
      </w:r>
      <w:r w:rsidR="009C4A81">
        <w:rPr>
          <w:rFonts w:cs="Arial"/>
          <w:spacing w:val="-3"/>
        </w:rPr>
        <w:t>4.2.1</w:t>
      </w:r>
      <w:r w:rsidR="009F1479" w:rsidRPr="004068F6">
        <w:rPr>
          <w:rFonts w:cs="Arial"/>
          <w:spacing w:val="-3"/>
        </w:rPr>
        <w:fldChar w:fldCharType="end"/>
      </w:r>
      <w:r w:rsidR="009F1479" w:rsidRPr="004068F6">
        <w:rPr>
          <w:rFonts w:cs="Arial"/>
          <w:spacing w:val="-3"/>
        </w:rPr>
        <w:t xml:space="preserve">) </w:t>
      </w:r>
      <w:r w:rsidR="00D74F0E" w:rsidRPr="004068F6">
        <w:rPr>
          <w:rFonts w:cs="Arial"/>
          <w:spacing w:val="-3"/>
        </w:rPr>
        <w:t xml:space="preserve">siguiendo los lineamientos que se describen en los numerales </w:t>
      </w:r>
      <w:r w:rsidR="00D74F0E" w:rsidRPr="004068F6">
        <w:rPr>
          <w:rFonts w:cs="Arial"/>
          <w:spacing w:val="-3"/>
        </w:rPr>
        <w:fldChar w:fldCharType="begin"/>
      </w:r>
      <w:r w:rsidR="00D74F0E" w:rsidRPr="004068F6">
        <w:rPr>
          <w:rFonts w:cs="Arial"/>
          <w:spacing w:val="-3"/>
        </w:rPr>
        <w:instrText xml:space="preserve"> REF _Ref76394734 \r \h </w:instrText>
      </w:r>
      <w:r w:rsidR="006A4128" w:rsidRPr="004068F6">
        <w:rPr>
          <w:rFonts w:cs="Arial"/>
          <w:spacing w:val="-3"/>
        </w:rPr>
        <w:instrText xml:space="preserve"> \* MERGEFORMAT </w:instrText>
      </w:r>
      <w:r w:rsidR="00D74F0E" w:rsidRPr="004068F6">
        <w:rPr>
          <w:rFonts w:cs="Arial"/>
          <w:spacing w:val="-3"/>
        </w:rPr>
      </w:r>
      <w:r w:rsidR="00D74F0E" w:rsidRPr="004068F6">
        <w:rPr>
          <w:rFonts w:cs="Arial"/>
          <w:spacing w:val="-3"/>
        </w:rPr>
        <w:fldChar w:fldCharType="separate"/>
      </w:r>
      <w:r w:rsidR="009C4A81">
        <w:rPr>
          <w:rFonts w:cs="Arial"/>
          <w:spacing w:val="-3"/>
        </w:rPr>
        <w:t>4.2.2.1.1</w:t>
      </w:r>
      <w:r w:rsidR="00D74F0E" w:rsidRPr="004068F6">
        <w:rPr>
          <w:rFonts w:cs="Arial"/>
          <w:spacing w:val="-3"/>
        </w:rPr>
        <w:fldChar w:fldCharType="end"/>
      </w:r>
      <w:r w:rsidR="00D74F0E" w:rsidRPr="004068F6">
        <w:rPr>
          <w:rFonts w:cs="Arial"/>
          <w:spacing w:val="-3"/>
        </w:rPr>
        <w:t xml:space="preserve"> y</w:t>
      </w:r>
      <w:r w:rsidR="00D57C8A" w:rsidRPr="004068F6">
        <w:rPr>
          <w:rFonts w:cs="Arial"/>
          <w:spacing w:val="-3"/>
        </w:rPr>
        <w:t xml:space="preserve"> </w:t>
      </w:r>
      <w:r w:rsidR="00D57C8A" w:rsidRPr="004068F6">
        <w:rPr>
          <w:rFonts w:cs="Arial"/>
          <w:spacing w:val="-3"/>
        </w:rPr>
        <w:fldChar w:fldCharType="begin"/>
      </w:r>
      <w:r w:rsidR="00D57C8A" w:rsidRPr="004068F6">
        <w:rPr>
          <w:rFonts w:cs="Arial"/>
          <w:spacing w:val="-3"/>
        </w:rPr>
        <w:instrText xml:space="preserve"> REF _Ref81911794 \r \h </w:instrText>
      </w:r>
      <w:r w:rsidR="00BD1319" w:rsidRPr="004068F6">
        <w:rPr>
          <w:rFonts w:cs="Arial"/>
          <w:spacing w:val="-3"/>
        </w:rPr>
        <w:instrText xml:space="preserve"> \* MERGEFORMAT </w:instrText>
      </w:r>
      <w:r w:rsidR="00D57C8A" w:rsidRPr="004068F6">
        <w:rPr>
          <w:rFonts w:cs="Arial"/>
          <w:spacing w:val="-3"/>
        </w:rPr>
      </w:r>
      <w:r w:rsidR="00D57C8A" w:rsidRPr="004068F6">
        <w:rPr>
          <w:rFonts w:cs="Arial"/>
          <w:spacing w:val="-3"/>
        </w:rPr>
        <w:fldChar w:fldCharType="separate"/>
      </w:r>
      <w:r w:rsidR="009C4A81">
        <w:rPr>
          <w:rFonts w:cs="Arial"/>
          <w:spacing w:val="-3"/>
        </w:rPr>
        <w:t>4.2.2.1.2</w:t>
      </w:r>
      <w:r w:rsidR="00D57C8A" w:rsidRPr="004068F6">
        <w:rPr>
          <w:rFonts w:cs="Arial"/>
          <w:spacing w:val="-3"/>
        </w:rPr>
        <w:fldChar w:fldCharType="end"/>
      </w:r>
      <w:r w:rsidR="00D74F0E" w:rsidRPr="004068F6">
        <w:rPr>
          <w:rFonts w:cs="Arial"/>
          <w:spacing w:val="-3"/>
        </w:rPr>
        <w:t xml:space="preserve">, </w:t>
      </w:r>
      <w:r w:rsidR="00166B14" w:rsidRPr="004068F6">
        <w:rPr>
          <w:rFonts w:cs="Arial"/>
          <w:spacing w:val="-3"/>
        </w:rPr>
        <w:t>debe referirse a</w:t>
      </w:r>
      <w:r w:rsidR="000A3702" w:rsidRPr="004068F6">
        <w:rPr>
          <w:rFonts w:cs="Arial"/>
          <w:spacing w:val="-3"/>
        </w:rPr>
        <w:t xml:space="preserve"> las categorías de tamaño fustal, latizal, brinzal</w:t>
      </w:r>
      <w:r w:rsidR="00C82121" w:rsidRPr="004068F6">
        <w:rPr>
          <w:rFonts w:cs="Arial"/>
          <w:spacing w:val="-3"/>
        </w:rPr>
        <w:t xml:space="preserve"> y </w:t>
      </w:r>
      <w:r w:rsidR="00841202" w:rsidRPr="004068F6">
        <w:rPr>
          <w:rFonts w:cs="Arial"/>
          <w:spacing w:val="-3"/>
        </w:rPr>
        <w:t xml:space="preserve">a </w:t>
      </w:r>
      <w:r w:rsidR="00C82121" w:rsidRPr="004068F6">
        <w:rPr>
          <w:rFonts w:cs="Arial"/>
          <w:spacing w:val="-3"/>
        </w:rPr>
        <w:t>otros tipos de vegetación,</w:t>
      </w:r>
      <w:r w:rsidR="00166B14" w:rsidRPr="004068F6">
        <w:rPr>
          <w:rFonts w:cs="Arial"/>
          <w:spacing w:val="-3"/>
        </w:rPr>
        <w:t xml:space="preserve"> y</w:t>
      </w:r>
      <w:r w:rsidRPr="004068F6">
        <w:rPr>
          <w:rFonts w:cs="Arial"/>
          <w:spacing w:val="-3"/>
        </w:rPr>
        <w:t xml:space="preserve"> aplica</w:t>
      </w:r>
      <w:r w:rsidR="00166B14" w:rsidRPr="004068F6">
        <w:rPr>
          <w:rFonts w:cs="Arial"/>
          <w:spacing w:val="-3"/>
        </w:rPr>
        <w:t xml:space="preserve">r </w:t>
      </w:r>
      <w:r w:rsidR="00E12947" w:rsidRPr="004068F6">
        <w:rPr>
          <w:rFonts w:cs="Arial"/>
          <w:spacing w:val="-3"/>
        </w:rPr>
        <w:t xml:space="preserve">muestreos y </w:t>
      </w:r>
      <w:r w:rsidR="00D74F0E" w:rsidRPr="004068F6">
        <w:rPr>
          <w:rFonts w:cs="Arial"/>
          <w:spacing w:val="-3"/>
        </w:rPr>
        <w:t>método</w:t>
      </w:r>
      <w:r w:rsidR="00E12947" w:rsidRPr="004068F6">
        <w:rPr>
          <w:rFonts w:cs="Arial"/>
          <w:spacing w:val="-3"/>
        </w:rPr>
        <w:t>s</w:t>
      </w:r>
      <w:r w:rsidR="00D74F0E" w:rsidRPr="004068F6">
        <w:rPr>
          <w:rFonts w:cs="Arial"/>
          <w:spacing w:val="-3"/>
        </w:rPr>
        <w:t xml:space="preserve"> </w:t>
      </w:r>
      <w:r w:rsidRPr="004068F6">
        <w:rPr>
          <w:rFonts w:cs="Arial"/>
          <w:spacing w:val="-3"/>
        </w:rPr>
        <w:t>de ecología vegetal</w:t>
      </w:r>
      <w:r w:rsidR="00166B14" w:rsidRPr="004068F6">
        <w:rPr>
          <w:rFonts w:cs="Arial"/>
          <w:spacing w:val="-3"/>
        </w:rPr>
        <w:t xml:space="preserve"> adecuados a las características de la vegetación </w:t>
      </w:r>
      <w:r w:rsidR="00DE34D4" w:rsidRPr="004068F6">
        <w:rPr>
          <w:rFonts w:cs="Arial"/>
          <w:spacing w:val="-3"/>
        </w:rPr>
        <w:t>observa</w:t>
      </w:r>
      <w:r w:rsidR="00166B14" w:rsidRPr="004068F6">
        <w:rPr>
          <w:rFonts w:cs="Arial"/>
          <w:spacing w:val="-3"/>
        </w:rPr>
        <w:t>da en campo</w:t>
      </w:r>
      <w:r w:rsidRPr="004068F6">
        <w:rPr>
          <w:rFonts w:cs="Arial"/>
          <w:spacing w:val="-3"/>
        </w:rPr>
        <w:t>.</w:t>
      </w:r>
    </w:p>
    <w:p w14:paraId="64BF043E" w14:textId="77777777" w:rsidR="008D5CC9" w:rsidRPr="004068F6" w:rsidRDefault="008D5CC9" w:rsidP="008D5CC9">
      <w:pPr>
        <w:numPr>
          <w:ilvl w:val="12"/>
          <w:numId w:val="0"/>
        </w:numPr>
        <w:tabs>
          <w:tab w:val="left" w:pos="-2268"/>
        </w:tabs>
        <w:suppressAutoHyphens/>
        <w:rPr>
          <w:rFonts w:cs="Arial"/>
          <w:spacing w:val="-3"/>
        </w:rPr>
      </w:pPr>
    </w:p>
    <w:p w14:paraId="0F12A182" w14:textId="2F2EA448" w:rsidR="008D5CC9" w:rsidRPr="004068F6" w:rsidRDefault="008D5CC9" w:rsidP="008D5CC9">
      <w:pPr>
        <w:numPr>
          <w:ilvl w:val="12"/>
          <w:numId w:val="0"/>
        </w:numPr>
        <w:tabs>
          <w:tab w:val="left" w:pos="-2268"/>
        </w:tabs>
        <w:suppressAutoHyphens/>
        <w:rPr>
          <w:rFonts w:cs="Arial"/>
          <w:spacing w:val="-3"/>
        </w:rPr>
      </w:pPr>
      <w:r w:rsidRPr="004068F6">
        <w:rPr>
          <w:rFonts w:cs="Arial"/>
          <w:spacing w:val="-3"/>
        </w:rPr>
        <w:t xml:space="preserve">El método </w:t>
      </w:r>
      <w:r w:rsidR="001256B9" w:rsidRPr="004068F6">
        <w:rPr>
          <w:rFonts w:cs="Arial"/>
          <w:spacing w:val="-3"/>
        </w:rPr>
        <w:t xml:space="preserve">que se establezca </w:t>
      </w:r>
      <w:r w:rsidRPr="004068F6">
        <w:rPr>
          <w:rFonts w:cs="Arial"/>
          <w:spacing w:val="-3"/>
        </w:rPr>
        <w:t xml:space="preserve">para la caracterización debe tener validez científica suficiente y su selección debe justificarse con el fin de dar confiabilidad a los resultados </w:t>
      </w:r>
      <w:r w:rsidR="001256B9" w:rsidRPr="004068F6">
        <w:rPr>
          <w:rFonts w:cs="Arial"/>
          <w:spacing w:val="-3"/>
        </w:rPr>
        <w:t xml:space="preserve">que se </w:t>
      </w:r>
      <w:r w:rsidRPr="004068F6">
        <w:rPr>
          <w:rFonts w:cs="Arial"/>
          <w:spacing w:val="-3"/>
        </w:rPr>
        <w:t>obten</w:t>
      </w:r>
      <w:r w:rsidR="001256B9" w:rsidRPr="004068F6">
        <w:rPr>
          <w:rFonts w:cs="Arial"/>
          <w:spacing w:val="-3"/>
        </w:rPr>
        <w:t>gan</w:t>
      </w:r>
      <w:r w:rsidRPr="004068F6">
        <w:rPr>
          <w:rFonts w:cs="Arial"/>
          <w:spacing w:val="-3"/>
        </w:rPr>
        <w:t>.</w:t>
      </w:r>
    </w:p>
    <w:p w14:paraId="58CAA9AE" w14:textId="77777777" w:rsidR="008D5CC9" w:rsidRPr="004068F6" w:rsidRDefault="008D5CC9" w:rsidP="008D5CC9">
      <w:pPr>
        <w:numPr>
          <w:ilvl w:val="12"/>
          <w:numId w:val="0"/>
        </w:numPr>
        <w:tabs>
          <w:tab w:val="left" w:pos="-2268"/>
        </w:tabs>
        <w:suppressAutoHyphens/>
        <w:rPr>
          <w:rFonts w:cs="Arial"/>
          <w:spacing w:val="-3"/>
        </w:rPr>
      </w:pPr>
    </w:p>
    <w:p w14:paraId="71DC4D8D" w14:textId="7DDB2D3D" w:rsidR="008D5CC9" w:rsidRPr="004068F6" w:rsidRDefault="008D5CC9" w:rsidP="008D5CC9">
      <w:pPr>
        <w:numPr>
          <w:ilvl w:val="12"/>
          <w:numId w:val="0"/>
        </w:numPr>
        <w:tabs>
          <w:tab w:val="left" w:pos="-2268"/>
        </w:tabs>
        <w:suppressAutoHyphens/>
        <w:rPr>
          <w:rFonts w:cs="Arial"/>
          <w:spacing w:val="-3"/>
        </w:rPr>
      </w:pPr>
      <w:r w:rsidRPr="004068F6">
        <w:rPr>
          <w:rFonts w:cs="Arial"/>
          <w:spacing w:val="-3"/>
        </w:rPr>
        <w:t xml:space="preserve">A </w:t>
      </w:r>
      <w:r w:rsidR="00434EA7" w:rsidRPr="004068F6">
        <w:rPr>
          <w:rFonts w:cs="Arial"/>
          <w:spacing w:val="-3"/>
        </w:rPr>
        <w:t>continuación,</w:t>
      </w:r>
      <w:r w:rsidRPr="004068F6">
        <w:rPr>
          <w:rFonts w:cs="Arial"/>
          <w:spacing w:val="-3"/>
        </w:rPr>
        <w:t xml:space="preserve"> se relacionan algunos documentos que describen metodologías para </w:t>
      </w:r>
      <w:r w:rsidR="001256B9" w:rsidRPr="004068F6">
        <w:rPr>
          <w:rFonts w:cs="Arial"/>
          <w:spacing w:val="-3"/>
        </w:rPr>
        <w:t xml:space="preserve">la </w:t>
      </w:r>
      <w:r w:rsidRPr="004068F6">
        <w:rPr>
          <w:rFonts w:cs="Arial"/>
          <w:spacing w:val="-3"/>
        </w:rPr>
        <w:t>caracteriza</w:t>
      </w:r>
      <w:r w:rsidR="001256B9" w:rsidRPr="004068F6">
        <w:rPr>
          <w:rFonts w:cs="Arial"/>
          <w:spacing w:val="-3"/>
        </w:rPr>
        <w:t xml:space="preserve">ción de </w:t>
      </w:r>
      <w:r w:rsidRPr="004068F6">
        <w:rPr>
          <w:rFonts w:cs="Arial"/>
          <w:spacing w:val="-3"/>
        </w:rPr>
        <w:t>vegeta</w:t>
      </w:r>
      <w:r w:rsidR="001256B9" w:rsidRPr="004068F6">
        <w:rPr>
          <w:rFonts w:cs="Arial"/>
          <w:spacing w:val="-3"/>
        </w:rPr>
        <w:t xml:space="preserve">ción </w:t>
      </w:r>
      <w:r w:rsidRPr="004068F6">
        <w:rPr>
          <w:rFonts w:cs="Arial"/>
          <w:spacing w:val="-3"/>
        </w:rPr>
        <w:t>que pueden ser usados como referencia:</w:t>
      </w:r>
    </w:p>
    <w:p w14:paraId="2B981628" w14:textId="77777777" w:rsidR="008D5CC9" w:rsidRPr="004068F6" w:rsidRDefault="008D5CC9" w:rsidP="008D5CC9">
      <w:pPr>
        <w:numPr>
          <w:ilvl w:val="12"/>
          <w:numId w:val="0"/>
        </w:numPr>
        <w:tabs>
          <w:tab w:val="left" w:pos="-2268"/>
        </w:tabs>
        <w:suppressAutoHyphens/>
        <w:rPr>
          <w:rFonts w:cs="Arial"/>
          <w:spacing w:val="-3"/>
        </w:rPr>
      </w:pPr>
    </w:p>
    <w:p w14:paraId="0496C0A5" w14:textId="77777777" w:rsidR="008D5CC9" w:rsidRPr="004068F6" w:rsidRDefault="008D5CC9" w:rsidP="008D5CC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Fitosociología. Bases para el estudio de las comunidades vegetales de Braun Blanquet (1979).</w:t>
      </w:r>
    </w:p>
    <w:p w14:paraId="266931B1" w14:textId="77777777" w:rsidR="008D5CC9" w:rsidRPr="004068F6" w:rsidRDefault="008D5CC9" w:rsidP="008D5CC9">
      <w:pPr>
        <w:numPr>
          <w:ilvl w:val="12"/>
          <w:numId w:val="0"/>
        </w:numPr>
        <w:tabs>
          <w:tab w:val="left" w:pos="-2268"/>
        </w:tabs>
        <w:suppressAutoHyphens/>
        <w:rPr>
          <w:spacing w:val="-3"/>
        </w:rPr>
      </w:pPr>
    </w:p>
    <w:p w14:paraId="2CA40C2C" w14:textId="77777777" w:rsidR="008D5CC9" w:rsidRPr="006C00FC" w:rsidRDefault="008D5CC9" w:rsidP="008D5CC9">
      <w:pPr>
        <w:pStyle w:val="Prrafodelista"/>
        <w:numPr>
          <w:ilvl w:val="0"/>
          <w:numId w:val="83"/>
        </w:numPr>
        <w:tabs>
          <w:tab w:val="left" w:pos="-2268"/>
        </w:tabs>
        <w:suppressAutoHyphens/>
        <w:ind w:left="567" w:hanging="567"/>
        <w:rPr>
          <w:rFonts w:cs="Arial"/>
          <w:spacing w:val="-3"/>
          <w:lang w:val="en-US"/>
        </w:rPr>
      </w:pPr>
      <w:r w:rsidRPr="006C00FC">
        <w:rPr>
          <w:rFonts w:cs="Arial"/>
          <w:spacing w:val="-3"/>
          <w:lang w:val="en-US"/>
        </w:rPr>
        <w:t>Patterns of Neotropical plant species diversity de Gentry (1982).</w:t>
      </w:r>
    </w:p>
    <w:p w14:paraId="2C73C8A8" w14:textId="77777777" w:rsidR="008D5CC9" w:rsidRPr="006C00FC" w:rsidRDefault="008D5CC9" w:rsidP="008D5CC9">
      <w:pPr>
        <w:tabs>
          <w:tab w:val="left" w:pos="-2268"/>
        </w:tabs>
        <w:suppressAutoHyphens/>
        <w:rPr>
          <w:spacing w:val="-3"/>
          <w:lang w:val="en-US"/>
        </w:rPr>
      </w:pPr>
    </w:p>
    <w:p w14:paraId="70E5923F" w14:textId="77777777" w:rsidR="008D5CC9" w:rsidRPr="004068F6" w:rsidRDefault="008D5CC9" w:rsidP="008D5CC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Metodología para el estudio de la vegetación de Matteucci y Colma (1982).</w:t>
      </w:r>
    </w:p>
    <w:p w14:paraId="32286416" w14:textId="77777777" w:rsidR="008D5CC9" w:rsidRPr="004068F6" w:rsidRDefault="008D5CC9" w:rsidP="008D5CC9">
      <w:pPr>
        <w:tabs>
          <w:tab w:val="left" w:pos="-2268"/>
        </w:tabs>
        <w:suppressAutoHyphens/>
        <w:rPr>
          <w:spacing w:val="-3"/>
        </w:rPr>
      </w:pPr>
    </w:p>
    <w:p w14:paraId="52947ABB" w14:textId="74F31E68" w:rsidR="008D5CC9" w:rsidRPr="004068F6" w:rsidRDefault="008D5CC9" w:rsidP="008D5CC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Métodos de estudio de la vegetación de Rangel y Velá</w:t>
      </w:r>
      <w:r w:rsidR="00957548" w:rsidRPr="004068F6">
        <w:rPr>
          <w:rFonts w:cs="Arial"/>
          <w:spacing w:val="-3"/>
          <w:lang w:val="es-CO"/>
        </w:rPr>
        <w:t>z</w:t>
      </w:r>
      <w:r w:rsidRPr="004068F6">
        <w:rPr>
          <w:rFonts w:cs="Arial"/>
          <w:spacing w:val="-3"/>
          <w:lang w:val="es-CO"/>
        </w:rPr>
        <w:t>quez (1997).</w:t>
      </w:r>
    </w:p>
    <w:p w14:paraId="25353080" w14:textId="77777777" w:rsidR="008D5CC9" w:rsidRPr="004068F6" w:rsidRDefault="008D5CC9" w:rsidP="008D5CC9">
      <w:pPr>
        <w:tabs>
          <w:tab w:val="left" w:pos="-2268"/>
        </w:tabs>
        <w:suppressAutoHyphens/>
        <w:rPr>
          <w:spacing w:val="-3"/>
        </w:rPr>
      </w:pPr>
    </w:p>
    <w:p w14:paraId="04926CCE" w14:textId="4F048EB8" w:rsidR="008D5CC9" w:rsidRPr="004068F6" w:rsidRDefault="008D5CC9" w:rsidP="008D5CC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 xml:space="preserve">Manual de métodos para el desarrollo de inventarios de biodiversidad </w:t>
      </w:r>
      <w:r w:rsidR="00043866" w:rsidRPr="004068F6">
        <w:rPr>
          <w:rFonts w:cs="Arial"/>
          <w:spacing w:val="-3"/>
          <w:lang w:val="es-CO"/>
        </w:rPr>
        <w:t xml:space="preserve">de </w:t>
      </w:r>
      <w:r w:rsidRPr="004068F6">
        <w:rPr>
          <w:rFonts w:cs="Arial"/>
          <w:spacing w:val="-3"/>
          <w:lang w:val="es-CO"/>
        </w:rPr>
        <w:t>Villar</w:t>
      </w:r>
      <w:r w:rsidR="00C34E67" w:rsidRPr="004068F6">
        <w:rPr>
          <w:rFonts w:cs="Arial"/>
          <w:spacing w:val="-3"/>
          <w:lang w:val="es-CO"/>
        </w:rPr>
        <w:t>r</w:t>
      </w:r>
      <w:r w:rsidRPr="004068F6">
        <w:rPr>
          <w:rFonts w:cs="Arial"/>
          <w:spacing w:val="-3"/>
          <w:lang w:val="es-CO"/>
        </w:rPr>
        <w:t>eal et al</w:t>
      </w:r>
      <w:r w:rsidR="00EF52A8" w:rsidRPr="004068F6">
        <w:rPr>
          <w:rFonts w:cs="Arial"/>
          <w:spacing w:val="-3"/>
          <w:lang w:val="es-CO"/>
        </w:rPr>
        <w:t>.</w:t>
      </w:r>
      <w:r w:rsidRPr="004068F6">
        <w:rPr>
          <w:rFonts w:cs="Arial"/>
          <w:spacing w:val="-3"/>
          <w:lang w:val="es-CO"/>
        </w:rPr>
        <w:t xml:space="preserve"> </w:t>
      </w:r>
      <w:r w:rsidR="00043866" w:rsidRPr="004068F6">
        <w:rPr>
          <w:rFonts w:cs="Arial"/>
          <w:spacing w:val="-3"/>
          <w:lang w:val="es-CO"/>
        </w:rPr>
        <w:t>(</w:t>
      </w:r>
      <w:r w:rsidRPr="004068F6">
        <w:rPr>
          <w:rFonts w:cs="Arial"/>
          <w:spacing w:val="-3"/>
          <w:lang w:val="es-CO"/>
        </w:rPr>
        <w:t>200</w:t>
      </w:r>
      <w:r w:rsidR="00584905" w:rsidRPr="004068F6">
        <w:rPr>
          <w:rFonts w:cs="Arial"/>
          <w:spacing w:val="-3"/>
          <w:lang w:val="es-CO"/>
        </w:rPr>
        <w:t>6</w:t>
      </w:r>
      <w:r w:rsidRPr="004068F6">
        <w:rPr>
          <w:rFonts w:cs="Arial"/>
          <w:spacing w:val="-3"/>
          <w:lang w:val="es-CO"/>
        </w:rPr>
        <w:t>)</w:t>
      </w:r>
      <w:r w:rsidR="009F17A8" w:rsidRPr="004068F6">
        <w:rPr>
          <w:rFonts w:cs="Arial"/>
          <w:spacing w:val="-3"/>
          <w:lang w:val="es-CO"/>
        </w:rPr>
        <w:t>.</w:t>
      </w:r>
    </w:p>
    <w:p w14:paraId="0064C733" w14:textId="77777777" w:rsidR="008D5CC9" w:rsidRPr="004068F6" w:rsidRDefault="008D5CC9" w:rsidP="008D5CC9">
      <w:pPr>
        <w:tabs>
          <w:tab w:val="left" w:pos="-2268"/>
        </w:tabs>
        <w:suppressAutoHyphens/>
        <w:rPr>
          <w:rFonts w:cs="Arial"/>
          <w:spacing w:val="-3"/>
        </w:rPr>
      </w:pPr>
    </w:p>
    <w:p w14:paraId="353A9105" w14:textId="77777777" w:rsidR="008D5CC9" w:rsidRPr="004068F6" w:rsidRDefault="008D5CC9" w:rsidP="008D5CC9">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Herramientas de manejo para la conservación de biodiversidad en paisajes rurales (Lozano-Zambrano, 2009). Particularmente el apartado sobre caracterización biológica de plantas.</w:t>
      </w:r>
    </w:p>
    <w:p w14:paraId="22DA4E14" w14:textId="77777777" w:rsidR="008D5CC9" w:rsidRPr="004068F6" w:rsidRDefault="008D5CC9" w:rsidP="008D5CC9">
      <w:pPr>
        <w:numPr>
          <w:ilvl w:val="12"/>
          <w:numId w:val="0"/>
        </w:numPr>
        <w:tabs>
          <w:tab w:val="left" w:pos="-2268"/>
        </w:tabs>
        <w:suppressAutoHyphens/>
        <w:rPr>
          <w:spacing w:val="-3"/>
        </w:rPr>
      </w:pPr>
    </w:p>
    <w:p w14:paraId="64E04404" w14:textId="0B3162AE" w:rsidR="001256B9" w:rsidRPr="004068F6" w:rsidRDefault="008D5CC9" w:rsidP="008D5CC9">
      <w:pPr>
        <w:numPr>
          <w:ilvl w:val="12"/>
          <w:numId w:val="0"/>
        </w:numPr>
        <w:tabs>
          <w:tab w:val="left" w:pos="-2268"/>
        </w:tabs>
        <w:suppressAutoHyphens/>
        <w:rPr>
          <w:rFonts w:cs="Arial"/>
          <w:spacing w:val="-3"/>
        </w:rPr>
      </w:pPr>
      <w:r w:rsidRPr="004068F6">
        <w:rPr>
          <w:rFonts w:cs="Arial"/>
          <w:spacing w:val="-3"/>
        </w:rPr>
        <w:t>L</w:t>
      </w:r>
      <w:r w:rsidR="00126746" w:rsidRPr="004068F6">
        <w:rPr>
          <w:rFonts w:cs="Arial"/>
          <w:spacing w:val="-3"/>
        </w:rPr>
        <w:t>os métodos</w:t>
      </w:r>
      <w:r w:rsidRPr="004068F6">
        <w:rPr>
          <w:rFonts w:cs="Arial"/>
          <w:spacing w:val="-3"/>
        </w:rPr>
        <w:t xml:space="preserve"> para la caracterización de </w:t>
      </w:r>
      <w:r w:rsidR="00126746" w:rsidRPr="004068F6">
        <w:rPr>
          <w:rFonts w:cs="Arial"/>
          <w:spacing w:val="-3"/>
        </w:rPr>
        <w:t xml:space="preserve">las comunidades vegetales </w:t>
      </w:r>
      <w:r w:rsidRPr="004068F6">
        <w:rPr>
          <w:rFonts w:cs="Arial"/>
          <w:spacing w:val="-3"/>
        </w:rPr>
        <w:t>deben ser apropiad</w:t>
      </w:r>
      <w:r w:rsidR="008C1DB0" w:rsidRPr="004068F6">
        <w:rPr>
          <w:rFonts w:cs="Arial"/>
          <w:spacing w:val="-3"/>
        </w:rPr>
        <w:t>o</w:t>
      </w:r>
      <w:r w:rsidRPr="004068F6">
        <w:rPr>
          <w:rFonts w:cs="Arial"/>
          <w:spacing w:val="-3"/>
        </w:rPr>
        <w:t>s para la obtención de información de cada uno de los grupos florísticos y permitir la medición de las variables de caracterización de línea base solicitadas en los términos de referencia</w:t>
      </w:r>
      <w:r w:rsidR="00D1438B" w:rsidRPr="004068F6">
        <w:rPr>
          <w:rFonts w:cs="Arial"/>
          <w:spacing w:val="-3"/>
        </w:rPr>
        <w:t>.</w:t>
      </w:r>
      <w:r w:rsidRPr="004068F6">
        <w:rPr>
          <w:rFonts w:cs="Arial"/>
          <w:spacing w:val="-3"/>
        </w:rPr>
        <w:t xml:space="preserve"> </w:t>
      </w:r>
      <w:r w:rsidR="00D1438B" w:rsidRPr="004068F6">
        <w:rPr>
          <w:rFonts w:cs="Arial"/>
          <w:spacing w:val="-3"/>
        </w:rPr>
        <w:t>L</w:t>
      </w:r>
      <w:r w:rsidR="007D7A77" w:rsidRPr="004068F6">
        <w:rPr>
          <w:rFonts w:cs="Arial"/>
          <w:spacing w:val="-3"/>
        </w:rPr>
        <w:t xml:space="preserve">a </w:t>
      </w:r>
      <w:r w:rsidRPr="004068F6">
        <w:rPr>
          <w:rFonts w:cs="Arial"/>
          <w:spacing w:val="-3"/>
        </w:rPr>
        <w:t xml:space="preserve">información que resulta de </w:t>
      </w:r>
      <w:r w:rsidR="00D1438B" w:rsidRPr="004068F6">
        <w:rPr>
          <w:rFonts w:cs="Arial"/>
          <w:spacing w:val="-3"/>
        </w:rPr>
        <w:t xml:space="preserve">esta </w:t>
      </w:r>
      <w:r w:rsidRPr="004068F6">
        <w:rPr>
          <w:rFonts w:cs="Arial"/>
          <w:spacing w:val="-3"/>
        </w:rPr>
        <w:t xml:space="preserve">caracterización </w:t>
      </w:r>
      <w:r w:rsidR="00567553" w:rsidRPr="004068F6">
        <w:rPr>
          <w:rFonts w:cs="Arial"/>
          <w:spacing w:val="-3"/>
        </w:rPr>
        <w:t>debe</w:t>
      </w:r>
      <w:r w:rsidRPr="004068F6">
        <w:rPr>
          <w:rFonts w:cs="Arial"/>
          <w:spacing w:val="-3"/>
        </w:rPr>
        <w:t xml:space="preserve"> ser usada como insumo para la solicitud del permiso de aprovechamiento forestal, en caso de </w:t>
      </w:r>
      <w:r w:rsidR="00126746" w:rsidRPr="004068F6">
        <w:rPr>
          <w:rFonts w:cs="Arial"/>
          <w:spacing w:val="-3"/>
        </w:rPr>
        <w:t xml:space="preserve">que se </w:t>
      </w:r>
      <w:r w:rsidRPr="004068F6">
        <w:rPr>
          <w:rFonts w:cs="Arial"/>
          <w:spacing w:val="-3"/>
        </w:rPr>
        <w:t>requ</w:t>
      </w:r>
      <w:r w:rsidR="00E96877" w:rsidRPr="004068F6">
        <w:rPr>
          <w:rFonts w:cs="Arial"/>
          <w:spacing w:val="-3"/>
        </w:rPr>
        <w:t>i</w:t>
      </w:r>
      <w:r w:rsidRPr="004068F6">
        <w:rPr>
          <w:rFonts w:cs="Arial"/>
          <w:spacing w:val="-3"/>
        </w:rPr>
        <w:t>er</w:t>
      </w:r>
      <w:r w:rsidR="00E96877" w:rsidRPr="004068F6">
        <w:rPr>
          <w:rFonts w:cs="Arial"/>
          <w:spacing w:val="-3"/>
        </w:rPr>
        <w:t>a</w:t>
      </w:r>
      <w:r w:rsidRPr="004068F6">
        <w:rPr>
          <w:rFonts w:cs="Arial"/>
          <w:spacing w:val="-3"/>
        </w:rPr>
        <w:t>.</w:t>
      </w:r>
    </w:p>
    <w:p w14:paraId="71674DA1" w14:textId="77777777" w:rsidR="001256B9" w:rsidRPr="004068F6" w:rsidRDefault="001256B9" w:rsidP="008D5CC9">
      <w:pPr>
        <w:numPr>
          <w:ilvl w:val="12"/>
          <w:numId w:val="0"/>
        </w:numPr>
        <w:tabs>
          <w:tab w:val="left" w:pos="-2268"/>
        </w:tabs>
        <w:suppressAutoHyphens/>
        <w:rPr>
          <w:rFonts w:cs="Arial"/>
          <w:spacing w:val="-3"/>
        </w:rPr>
      </w:pPr>
    </w:p>
    <w:p w14:paraId="2BF20E4A" w14:textId="0A53214E" w:rsidR="008D5CC9" w:rsidRPr="004068F6" w:rsidRDefault="008D5CC9" w:rsidP="008D5CC9">
      <w:pPr>
        <w:numPr>
          <w:ilvl w:val="12"/>
          <w:numId w:val="0"/>
        </w:numPr>
        <w:tabs>
          <w:tab w:val="left" w:pos="-2268"/>
        </w:tabs>
        <w:suppressAutoHyphens/>
        <w:rPr>
          <w:rFonts w:cs="Arial"/>
          <w:spacing w:val="-3"/>
        </w:rPr>
      </w:pPr>
      <w:r w:rsidRPr="004068F6">
        <w:rPr>
          <w:rFonts w:cs="Arial"/>
          <w:spacing w:val="-3"/>
        </w:rPr>
        <w:t xml:space="preserve">La caracterización de </w:t>
      </w:r>
      <w:r w:rsidR="00841202" w:rsidRPr="004068F6">
        <w:rPr>
          <w:rFonts w:cs="Arial"/>
          <w:spacing w:val="-3"/>
        </w:rPr>
        <w:t>la flora arbórea, arbustiva, herbácea, palmas, helechos arborescentes, y otras especies vasculares y no vasculares y líquenes, en hábitos de crecimiento terrestres</w:t>
      </w:r>
      <w:r w:rsidR="00D459D0" w:rsidRPr="004068F6">
        <w:rPr>
          <w:rFonts w:cs="Arial"/>
          <w:spacing w:val="-3"/>
        </w:rPr>
        <w:t xml:space="preserve"> (</w:t>
      </w:r>
      <w:r w:rsidR="00D35947" w:rsidRPr="004068F6">
        <w:rPr>
          <w:rFonts w:cs="Arial"/>
          <w:spacing w:val="-3"/>
        </w:rPr>
        <w:t>que incluye humícolas</w:t>
      </w:r>
      <w:r w:rsidR="00D459D0" w:rsidRPr="004068F6">
        <w:rPr>
          <w:rFonts w:cs="Arial"/>
          <w:spacing w:val="-3"/>
        </w:rPr>
        <w:t>)</w:t>
      </w:r>
      <w:r w:rsidR="00841202" w:rsidRPr="004068F6">
        <w:rPr>
          <w:rFonts w:cs="Arial"/>
          <w:spacing w:val="-3"/>
        </w:rPr>
        <w:t xml:space="preserve">, rupícolas o </w:t>
      </w:r>
      <w:r w:rsidR="0086176E" w:rsidRPr="004068F6">
        <w:rPr>
          <w:rFonts w:cs="Arial"/>
          <w:spacing w:val="-3"/>
        </w:rPr>
        <w:t xml:space="preserve">en hábitos </w:t>
      </w:r>
      <w:r w:rsidR="00841202" w:rsidRPr="004068F6">
        <w:rPr>
          <w:rFonts w:cs="Arial"/>
          <w:spacing w:val="-3"/>
        </w:rPr>
        <w:t>epífitos</w:t>
      </w:r>
      <w:r w:rsidRPr="004068F6">
        <w:rPr>
          <w:rFonts w:cs="Arial"/>
          <w:spacing w:val="-3"/>
        </w:rPr>
        <w:t>, inclu</w:t>
      </w:r>
      <w:r w:rsidR="00841202" w:rsidRPr="004068F6">
        <w:rPr>
          <w:rFonts w:cs="Arial"/>
          <w:spacing w:val="-3"/>
        </w:rPr>
        <w:t xml:space="preserve">sive de aquella que se encuentra </w:t>
      </w:r>
      <w:r w:rsidRPr="004068F6">
        <w:rPr>
          <w:rFonts w:cs="Arial"/>
          <w:spacing w:val="-3"/>
        </w:rPr>
        <w:t xml:space="preserve">en veda, debe ejecutarse como mínimo en tres fases, a saber: i) revisión y generación de información preliminar (fase previa), ii) toma, </w:t>
      </w:r>
      <w:r w:rsidRPr="004068F6">
        <w:rPr>
          <w:rFonts w:cs="Arial"/>
          <w:spacing w:val="-3"/>
        </w:rPr>
        <w:lastRenderedPageBreak/>
        <w:t xml:space="preserve">verificación y recolección de datos de campo (fase de </w:t>
      </w:r>
      <w:r w:rsidR="00E96877" w:rsidRPr="004068F6">
        <w:rPr>
          <w:rFonts w:cs="Arial"/>
          <w:spacing w:val="-3"/>
        </w:rPr>
        <w:t>campo</w:t>
      </w:r>
      <w:r w:rsidRPr="004068F6">
        <w:rPr>
          <w:rFonts w:cs="Arial"/>
          <w:spacing w:val="-3"/>
        </w:rPr>
        <w:t>) y, iii) análisis de los datos y resultados (fase de análisis).</w:t>
      </w:r>
    </w:p>
    <w:p w14:paraId="7663267F" w14:textId="77777777" w:rsidR="00E96877" w:rsidRPr="004068F6" w:rsidRDefault="00E96877" w:rsidP="008D5CC9">
      <w:pPr>
        <w:numPr>
          <w:ilvl w:val="12"/>
          <w:numId w:val="0"/>
        </w:numPr>
        <w:tabs>
          <w:tab w:val="left" w:pos="-2268"/>
        </w:tabs>
        <w:suppressAutoHyphens/>
        <w:rPr>
          <w:rFonts w:cs="Arial"/>
          <w:spacing w:val="-3"/>
        </w:rPr>
      </w:pPr>
    </w:p>
    <w:p w14:paraId="6A8B9B79" w14:textId="5216E772" w:rsidR="0086674C" w:rsidRPr="004068F6" w:rsidRDefault="00E96877" w:rsidP="0086674C">
      <w:pPr>
        <w:numPr>
          <w:ilvl w:val="12"/>
          <w:numId w:val="0"/>
        </w:numPr>
        <w:tabs>
          <w:tab w:val="left" w:pos="-2268"/>
        </w:tabs>
        <w:suppressAutoHyphens/>
        <w:rPr>
          <w:rFonts w:cs="Arial"/>
          <w:spacing w:val="-3"/>
        </w:rPr>
      </w:pPr>
      <w:r w:rsidRPr="004068F6">
        <w:rPr>
          <w:rFonts w:cs="Arial"/>
          <w:spacing w:val="-3"/>
        </w:rPr>
        <w:t xml:space="preserve">Para la </w:t>
      </w:r>
      <w:r w:rsidR="00BA0DAE" w:rsidRPr="004068F6">
        <w:rPr>
          <w:rFonts w:cs="Arial"/>
          <w:spacing w:val="-3"/>
        </w:rPr>
        <w:t xml:space="preserve">determinación </w:t>
      </w:r>
      <w:r w:rsidRPr="004068F6">
        <w:rPr>
          <w:rFonts w:cs="Arial"/>
          <w:spacing w:val="-3"/>
        </w:rPr>
        <w:t>de los especímenes recolectados se debe</w:t>
      </w:r>
      <w:r w:rsidR="00BF7396" w:rsidRPr="004068F6">
        <w:rPr>
          <w:rFonts w:cs="Arial"/>
          <w:spacing w:val="-3"/>
        </w:rPr>
        <w:t>n</w:t>
      </w:r>
      <w:r w:rsidRPr="004068F6">
        <w:rPr>
          <w:rFonts w:cs="Arial"/>
          <w:spacing w:val="-3"/>
        </w:rPr>
        <w:t xml:space="preserve"> consultar las colecciones </w:t>
      </w:r>
      <w:r w:rsidR="008C1DB0" w:rsidRPr="004068F6">
        <w:rPr>
          <w:rFonts w:cs="Arial"/>
          <w:spacing w:val="-3"/>
        </w:rPr>
        <w:t xml:space="preserve">de </w:t>
      </w:r>
      <w:r w:rsidRPr="004068F6">
        <w:rPr>
          <w:rFonts w:cs="Arial"/>
          <w:spacing w:val="-3"/>
        </w:rPr>
        <w:t>estos grupos de plantas y líquenes.</w:t>
      </w:r>
      <w:r w:rsidRPr="004068F6">
        <w:rPr>
          <w:spacing w:val="-3"/>
        </w:rPr>
        <w:t xml:space="preserve"> Las determinaciones taxonómicas </w:t>
      </w:r>
      <w:r w:rsidRPr="004068F6">
        <w:rPr>
          <w:rFonts w:cs="Arial"/>
          <w:spacing w:val="-3"/>
        </w:rPr>
        <w:t xml:space="preserve">deben contar con una </w:t>
      </w:r>
      <w:bookmarkStart w:id="2887" w:name="_Hlk137137372"/>
      <w:r w:rsidRPr="004068F6">
        <w:rPr>
          <w:rFonts w:cs="Arial"/>
          <w:spacing w:val="-3"/>
        </w:rPr>
        <w:t xml:space="preserve">certificación de </w:t>
      </w:r>
      <w:r w:rsidR="00BA0DAE" w:rsidRPr="004068F6">
        <w:rPr>
          <w:rFonts w:cs="Arial"/>
          <w:spacing w:val="-3"/>
        </w:rPr>
        <w:t xml:space="preserve">determinación </w:t>
      </w:r>
      <w:r w:rsidRPr="004068F6">
        <w:rPr>
          <w:rFonts w:cs="Arial"/>
          <w:spacing w:val="-3"/>
        </w:rPr>
        <w:t xml:space="preserve">de </w:t>
      </w:r>
      <w:r w:rsidR="00456557" w:rsidRPr="004068F6">
        <w:rPr>
          <w:rFonts w:cs="Arial"/>
          <w:spacing w:val="-3"/>
        </w:rPr>
        <w:t xml:space="preserve">un </w:t>
      </w:r>
      <w:r w:rsidRPr="004068F6">
        <w:rPr>
          <w:rFonts w:cs="Arial"/>
          <w:spacing w:val="-3"/>
        </w:rPr>
        <w:t xml:space="preserve">herbario </w:t>
      </w:r>
      <w:bookmarkEnd w:id="2887"/>
      <w:r w:rsidRPr="004068F6">
        <w:rPr>
          <w:rFonts w:cs="Arial"/>
          <w:spacing w:val="-3"/>
        </w:rPr>
        <w:t xml:space="preserve">inscrito en el </w:t>
      </w:r>
      <w:r w:rsidR="005449E0" w:rsidRPr="004068F6">
        <w:rPr>
          <w:rFonts w:cs="Arial"/>
          <w:spacing w:val="-3"/>
        </w:rPr>
        <w:t>Registro Único Nacional de Colecciones Biológicas (RNC)</w:t>
      </w:r>
      <w:r w:rsidR="005449E0" w:rsidRPr="004068F6" w:rsidDel="005449E0">
        <w:rPr>
          <w:rFonts w:cs="Arial"/>
          <w:spacing w:val="-3"/>
        </w:rPr>
        <w:t xml:space="preserve"> </w:t>
      </w:r>
      <w:r w:rsidRPr="004068F6">
        <w:rPr>
          <w:rFonts w:cs="Arial"/>
          <w:spacing w:val="-3"/>
        </w:rPr>
        <w:t xml:space="preserve">o de </w:t>
      </w:r>
      <w:r w:rsidR="00456557" w:rsidRPr="004068F6">
        <w:rPr>
          <w:rFonts w:cs="Arial"/>
          <w:spacing w:val="-3"/>
        </w:rPr>
        <w:t xml:space="preserve">un profesional </w:t>
      </w:r>
      <w:r w:rsidRPr="004068F6">
        <w:rPr>
          <w:rFonts w:cs="Arial"/>
          <w:spacing w:val="-3"/>
        </w:rPr>
        <w:t xml:space="preserve">especialista experto en </w:t>
      </w:r>
      <w:r w:rsidR="0086674C" w:rsidRPr="004068F6">
        <w:rPr>
          <w:rFonts w:cs="Arial"/>
          <w:spacing w:val="-3"/>
        </w:rPr>
        <w:t>los grupos biológicos caracterizados (arbóreas, vasculares no maderables y no-vasculares)</w:t>
      </w:r>
      <w:r w:rsidR="00B865CB" w:rsidRPr="004068F6">
        <w:rPr>
          <w:rFonts w:cs="Arial"/>
          <w:spacing w:val="-3"/>
        </w:rPr>
        <w:t>;</w:t>
      </w:r>
      <w:r w:rsidR="0086674C" w:rsidRPr="004068F6">
        <w:rPr>
          <w:rFonts w:cs="Arial"/>
          <w:spacing w:val="-3"/>
        </w:rPr>
        <w:t xml:space="preserve"> en este caso se debe presentar la hoja de vida y los soportes de su experiencia profesional.</w:t>
      </w:r>
    </w:p>
    <w:p w14:paraId="001AE921" w14:textId="77777777" w:rsidR="008D5CC9" w:rsidRPr="004068F6" w:rsidRDefault="008D5CC9" w:rsidP="008D5CC9">
      <w:pPr>
        <w:numPr>
          <w:ilvl w:val="12"/>
          <w:numId w:val="0"/>
        </w:numPr>
        <w:tabs>
          <w:tab w:val="left" w:pos="-2268"/>
        </w:tabs>
        <w:suppressAutoHyphens/>
        <w:rPr>
          <w:spacing w:val="-3"/>
        </w:rPr>
      </w:pPr>
    </w:p>
    <w:p w14:paraId="236E4BF7" w14:textId="58749A13" w:rsidR="008D5CC9" w:rsidRPr="004068F6" w:rsidRDefault="00CE7A87" w:rsidP="008D5CC9">
      <w:pPr>
        <w:numPr>
          <w:ilvl w:val="12"/>
          <w:numId w:val="0"/>
        </w:numPr>
        <w:tabs>
          <w:tab w:val="left" w:pos="-2268"/>
        </w:tabs>
        <w:suppressAutoHyphens/>
        <w:rPr>
          <w:rFonts w:cs="Arial"/>
          <w:spacing w:val="-3"/>
        </w:rPr>
      </w:pPr>
      <w:r w:rsidRPr="004068F6">
        <w:rPr>
          <w:rFonts w:cs="Arial"/>
          <w:spacing w:val="-3"/>
        </w:rPr>
        <w:t>E</w:t>
      </w:r>
      <w:r w:rsidR="008D5CC9" w:rsidRPr="004068F6">
        <w:rPr>
          <w:rFonts w:cs="Arial"/>
          <w:spacing w:val="-3"/>
        </w:rPr>
        <w:t xml:space="preserve">l muestreo y caracterización de las especies </w:t>
      </w:r>
      <w:r w:rsidR="002F3FF4" w:rsidRPr="004068F6">
        <w:rPr>
          <w:rFonts w:cs="Arial"/>
          <w:spacing w:val="-3"/>
        </w:rPr>
        <w:t xml:space="preserve">de flora y líquenes </w:t>
      </w:r>
      <w:r w:rsidR="008D5CC9" w:rsidRPr="004068F6">
        <w:rPr>
          <w:rFonts w:cs="Arial"/>
          <w:spacing w:val="-3"/>
        </w:rPr>
        <w:t xml:space="preserve">en veda </w:t>
      </w:r>
      <w:r w:rsidR="002F3FF4" w:rsidRPr="004068F6">
        <w:rPr>
          <w:rFonts w:cs="Arial"/>
          <w:spacing w:val="-3"/>
        </w:rPr>
        <w:t xml:space="preserve">debe realizarse </w:t>
      </w:r>
      <w:r w:rsidR="008D5CC9" w:rsidRPr="004068F6">
        <w:rPr>
          <w:rFonts w:cs="Arial"/>
          <w:spacing w:val="-3"/>
        </w:rPr>
        <w:t>según las especificaciones que se establecen más adelante</w:t>
      </w:r>
      <w:r w:rsidR="002F3FF4" w:rsidRPr="004068F6">
        <w:rPr>
          <w:rFonts w:cs="Arial"/>
          <w:spacing w:val="-3"/>
        </w:rPr>
        <w:t xml:space="preserve"> para este grupo y </w:t>
      </w:r>
      <w:r w:rsidRPr="004068F6">
        <w:rPr>
          <w:rFonts w:cs="Arial"/>
          <w:spacing w:val="-3"/>
        </w:rPr>
        <w:t xml:space="preserve">obtener información </w:t>
      </w:r>
      <w:r w:rsidR="002F3FF4" w:rsidRPr="004068F6">
        <w:rPr>
          <w:rFonts w:cs="Arial"/>
          <w:spacing w:val="-3"/>
        </w:rPr>
        <w:t>sobre sus preferencias de sustrato</w:t>
      </w:r>
      <w:r w:rsidR="00DD6161" w:rsidRPr="00127BD4">
        <w:rPr>
          <w:rFonts w:cs="Arial"/>
          <w:spacing w:val="-3"/>
        </w:rPr>
        <w:t xml:space="preserve"> </w:t>
      </w:r>
      <w:r w:rsidR="00DD6161" w:rsidRPr="004068F6">
        <w:rPr>
          <w:rFonts w:cs="Arial"/>
          <w:spacing w:val="-3"/>
        </w:rPr>
        <w:t xml:space="preserve">y </w:t>
      </w:r>
      <w:r w:rsidR="002F3FF4" w:rsidRPr="004068F6">
        <w:rPr>
          <w:rFonts w:cs="Arial"/>
          <w:spacing w:val="-3"/>
        </w:rPr>
        <w:t xml:space="preserve">características ecológicas, que </w:t>
      </w:r>
      <w:r w:rsidR="005959B2" w:rsidRPr="004068F6">
        <w:rPr>
          <w:rFonts w:cs="Arial"/>
          <w:spacing w:val="-3"/>
        </w:rPr>
        <w:t xml:space="preserve">permita una </w:t>
      </w:r>
      <w:r w:rsidR="002F3FF4" w:rsidRPr="004068F6">
        <w:rPr>
          <w:rFonts w:cs="Arial"/>
          <w:spacing w:val="-3"/>
        </w:rPr>
        <w:t xml:space="preserve">formulación </w:t>
      </w:r>
      <w:r w:rsidR="005959B2" w:rsidRPr="004068F6">
        <w:rPr>
          <w:rFonts w:cs="Arial"/>
          <w:spacing w:val="-3"/>
        </w:rPr>
        <w:t xml:space="preserve">sustentada de </w:t>
      </w:r>
      <w:r w:rsidR="008D5CC9" w:rsidRPr="004068F6">
        <w:rPr>
          <w:rFonts w:cs="Arial"/>
          <w:spacing w:val="-3"/>
        </w:rPr>
        <w:t>medidas de manejo</w:t>
      </w:r>
      <w:r w:rsidR="00567553" w:rsidRPr="004068F6">
        <w:rPr>
          <w:rFonts w:cs="Arial"/>
          <w:spacing w:val="-3"/>
        </w:rPr>
        <w:t xml:space="preserve">, </w:t>
      </w:r>
      <w:r w:rsidR="005959B2" w:rsidRPr="004068F6">
        <w:rPr>
          <w:rFonts w:cs="Arial"/>
          <w:spacing w:val="-3"/>
        </w:rPr>
        <w:t xml:space="preserve">en cumplimiento </w:t>
      </w:r>
      <w:r w:rsidR="00567553" w:rsidRPr="004068F6">
        <w:rPr>
          <w:rFonts w:cs="Arial"/>
          <w:spacing w:val="-3"/>
        </w:rPr>
        <w:t>de lo establecido en el Decreto</w:t>
      </w:r>
      <w:r w:rsidR="00857BE8" w:rsidRPr="004068F6">
        <w:rPr>
          <w:rFonts w:cs="Arial"/>
          <w:spacing w:val="-3"/>
        </w:rPr>
        <w:t xml:space="preserve"> - Ley</w:t>
      </w:r>
      <w:r w:rsidR="00567553" w:rsidRPr="004068F6">
        <w:rPr>
          <w:rFonts w:cs="Arial"/>
          <w:spacing w:val="-3"/>
        </w:rPr>
        <w:t xml:space="preserve"> 2106 de 2019, o aquella norma que lo sustituya o modifique</w:t>
      </w:r>
      <w:r w:rsidR="008D5CC9" w:rsidRPr="004068F6">
        <w:rPr>
          <w:rFonts w:cs="Arial"/>
          <w:spacing w:val="-3"/>
        </w:rPr>
        <w:t>.</w:t>
      </w:r>
    </w:p>
    <w:p w14:paraId="59650651" w14:textId="77777777" w:rsidR="008D5CC9" w:rsidRPr="004068F6" w:rsidRDefault="008D5CC9" w:rsidP="008D5CC9">
      <w:pPr>
        <w:numPr>
          <w:ilvl w:val="12"/>
          <w:numId w:val="0"/>
        </w:numPr>
        <w:tabs>
          <w:tab w:val="left" w:pos="-2268"/>
        </w:tabs>
        <w:suppressAutoHyphens/>
        <w:rPr>
          <w:rFonts w:cs="Arial"/>
          <w:spacing w:val="-3"/>
        </w:rPr>
      </w:pPr>
    </w:p>
    <w:p w14:paraId="7E9C6868" w14:textId="77777777" w:rsidR="00482A5F" w:rsidRPr="004068F6" w:rsidRDefault="00482A5F" w:rsidP="009420F5">
      <w:pPr>
        <w:pStyle w:val="Ttulo5"/>
        <w:tabs>
          <w:tab w:val="clear" w:pos="2160"/>
          <w:tab w:val="num" w:pos="1134"/>
        </w:tabs>
        <w:ind w:left="1134" w:hanging="1134"/>
        <w:rPr>
          <w:lang w:val="es-CO"/>
        </w:rPr>
      </w:pPr>
      <w:bookmarkStart w:id="2888" w:name="_Ref76394734"/>
      <w:bookmarkStart w:id="2889" w:name="_Hlk87517012"/>
      <w:bookmarkStart w:id="2890" w:name="_Hlk35412884"/>
      <w:r w:rsidRPr="004068F6">
        <w:rPr>
          <w:lang w:val="es-CO"/>
        </w:rPr>
        <w:t>Especies arbóreas y helechos arborescentes</w:t>
      </w:r>
      <w:bookmarkEnd w:id="2888"/>
    </w:p>
    <w:bookmarkEnd w:id="2889"/>
    <w:p w14:paraId="515E5AFC" w14:textId="77777777" w:rsidR="00482A5F" w:rsidRPr="004068F6" w:rsidRDefault="00482A5F">
      <w:pPr>
        <w:numPr>
          <w:ilvl w:val="12"/>
          <w:numId w:val="0"/>
        </w:numPr>
        <w:tabs>
          <w:tab w:val="left" w:pos="-2268"/>
        </w:tabs>
        <w:suppressAutoHyphens/>
        <w:rPr>
          <w:spacing w:val="-3"/>
        </w:rPr>
      </w:pPr>
    </w:p>
    <w:p w14:paraId="2BD56378" w14:textId="77777777" w:rsidR="00482A5F" w:rsidRPr="004068F6" w:rsidRDefault="00482A5F">
      <w:pPr>
        <w:numPr>
          <w:ilvl w:val="12"/>
          <w:numId w:val="0"/>
        </w:numPr>
        <w:tabs>
          <w:tab w:val="left" w:pos="-2268"/>
        </w:tabs>
        <w:suppressAutoHyphens/>
        <w:rPr>
          <w:spacing w:val="-3"/>
        </w:rPr>
      </w:pPr>
      <w:r w:rsidRPr="004068F6">
        <w:rPr>
          <w:spacing w:val="-3"/>
          <w:u w:val="single"/>
        </w:rPr>
        <w:t>Fase previa</w:t>
      </w:r>
      <w:r w:rsidRPr="004068F6">
        <w:rPr>
          <w:spacing w:val="-3"/>
        </w:rPr>
        <w:t>:</w:t>
      </w:r>
    </w:p>
    <w:p w14:paraId="3455B7FA" w14:textId="77777777" w:rsidR="00482A5F" w:rsidRPr="004068F6" w:rsidRDefault="00482A5F">
      <w:pPr>
        <w:numPr>
          <w:ilvl w:val="12"/>
          <w:numId w:val="0"/>
        </w:numPr>
        <w:tabs>
          <w:tab w:val="left" w:pos="-2268"/>
        </w:tabs>
        <w:suppressAutoHyphens/>
        <w:rPr>
          <w:spacing w:val="-3"/>
        </w:rPr>
      </w:pPr>
    </w:p>
    <w:p w14:paraId="577FD34D" w14:textId="0C47A4F8" w:rsidR="00482A5F" w:rsidRPr="004068F6" w:rsidRDefault="00482A5F">
      <w:pPr>
        <w:numPr>
          <w:ilvl w:val="12"/>
          <w:numId w:val="0"/>
        </w:numPr>
        <w:tabs>
          <w:tab w:val="left" w:pos="-2268"/>
        </w:tabs>
        <w:suppressAutoHyphens/>
        <w:rPr>
          <w:spacing w:val="-3"/>
        </w:rPr>
      </w:pPr>
      <w:r w:rsidRPr="004068F6">
        <w:rPr>
          <w:spacing w:val="-3"/>
        </w:rPr>
        <w:t xml:space="preserve">Consiste en </w:t>
      </w:r>
      <w:r w:rsidR="001256B9" w:rsidRPr="004068F6">
        <w:rPr>
          <w:spacing w:val="-3"/>
        </w:rPr>
        <w:t xml:space="preserve">la </w:t>
      </w:r>
      <w:r w:rsidRPr="004068F6">
        <w:rPr>
          <w:spacing w:val="-3"/>
        </w:rPr>
        <w:t xml:space="preserve">revisión </w:t>
      </w:r>
      <w:r w:rsidR="001256B9" w:rsidRPr="004068F6">
        <w:rPr>
          <w:spacing w:val="-3"/>
        </w:rPr>
        <w:t xml:space="preserve">de </w:t>
      </w:r>
      <w:r w:rsidRPr="004068F6">
        <w:rPr>
          <w:spacing w:val="-3"/>
        </w:rPr>
        <w:t xml:space="preserve">fuentes secundarias </w:t>
      </w:r>
      <w:r w:rsidR="00F059CB" w:rsidRPr="004068F6">
        <w:rPr>
          <w:spacing w:val="-3"/>
        </w:rPr>
        <w:t xml:space="preserve">de información para establecer </w:t>
      </w:r>
      <w:r w:rsidRPr="004068F6">
        <w:rPr>
          <w:spacing w:val="-3"/>
        </w:rPr>
        <w:t>el estado del arte. En esta fase se debe</w:t>
      </w:r>
      <w:r w:rsidR="00BF7396" w:rsidRPr="004068F6">
        <w:rPr>
          <w:spacing w:val="-3"/>
        </w:rPr>
        <w:t>n</w:t>
      </w:r>
      <w:r w:rsidRPr="004068F6">
        <w:rPr>
          <w:spacing w:val="-3"/>
        </w:rPr>
        <w:t xml:space="preserve"> </w:t>
      </w:r>
      <w:r w:rsidR="00DE34D4" w:rsidRPr="004068F6">
        <w:rPr>
          <w:spacing w:val="-3"/>
        </w:rPr>
        <w:t xml:space="preserve">determinar </w:t>
      </w:r>
      <w:r w:rsidR="00AD74F3" w:rsidRPr="004068F6">
        <w:rPr>
          <w:spacing w:val="-3"/>
        </w:rPr>
        <w:t xml:space="preserve">y delimitar los ecosistemas </w:t>
      </w:r>
      <w:r w:rsidR="00BF7396" w:rsidRPr="004068F6">
        <w:rPr>
          <w:spacing w:val="-3"/>
        </w:rPr>
        <w:t xml:space="preserve">y </w:t>
      </w:r>
      <w:r w:rsidRPr="004068F6">
        <w:rPr>
          <w:spacing w:val="-3"/>
        </w:rPr>
        <w:t xml:space="preserve">la cobertura </w:t>
      </w:r>
      <w:r w:rsidR="003808A3" w:rsidRPr="004068F6">
        <w:rPr>
          <w:spacing w:val="-3"/>
        </w:rPr>
        <w:t xml:space="preserve">de la tierra </w:t>
      </w:r>
      <w:r w:rsidRPr="004068F6">
        <w:rPr>
          <w:spacing w:val="-3"/>
        </w:rPr>
        <w:t>(utilizando aerofotografías, imágenes de satélite, bibliografía, trabajos monográficos, artículos, revistas, mapas, entre otras</w:t>
      </w:r>
      <w:r w:rsidR="00F059CB" w:rsidRPr="004068F6">
        <w:rPr>
          <w:spacing w:val="-3"/>
        </w:rPr>
        <w:t xml:space="preserve"> fuentes</w:t>
      </w:r>
      <w:r w:rsidRPr="004068F6">
        <w:rPr>
          <w:spacing w:val="-3"/>
        </w:rPr>
        <w:t xml:space="preserve">). Dicha labor debe tener en cuenta las características del medio abiótico que influyen en la </w:t>
      </w:r>
      <w:r w:rsidR="00F059CB" w:rsidRPr="004068F6">
        <w:rPr>
          <w:spacing w:val="-3"/>
        </w:rPr>
        <w:t xml:space="preserve">distribución espacial de la </w:t>
      </w:r>
      <w:r w:rsidRPr="004068F6">
        <w:rPr>
          <w:spacing w:val="-3"/>
        </w:rPr>
        <w:t>vegetación.</w:t>
      </w:r>
    </w:p>
    <w:p w14:paraId="12AC6A6A" w14:textId="77777777" w:rsidR="00482A5F" w:rsidRPr="004068F6" w:rsidRDefault="00482A5F">
      <w:pPr>
        <w:numPr>
          <w:ilvl w:val="12"/>
          <w:numId w:val="0"/>
        </w:numPr>
        <w:tabs>
          <w:tab w:val="left" w:pos="-2268"/>
        </w:tabs>
        <w:suppressAutoHyphens/>
        <w:rPr>
          <w:spacing w:val="-3"/>
        </w:rPr>
      </w:pPr>
    </w:p>
    <w:p w14:paraId="679BBE0A" w14:textId="1429922B" w:rsidR="00AD74F3" w:rsidRPr="004068F6" w:rsidRDefault="00AD74F3" w:rsidP="00AD74F3">
      <w:pPr>
        <w:numPr>
          <w:ilvl w:val="12"/>
          <w:numId w:val="0"/>
        </w:numPr>
        <w:tabs>
          <w:tab w:val="left" w:pos="-2268"/>
        </w:tabs>
        <w:suppressAutoHyphens/>
        <w:rPr>
          <w:spacing w:val="-3"/>
        </w:rPr>
      </w:pPr>
      <w:r w:rsidRPr="004068F6">
        <w:rPr>
          <w:spacing w:val="-3"/>
        </w:rPr>
        <w:t>A partir de esta información se debe diseñar y planificar el muestreo a ejecutar en campo.</w:t>
      </w:r>
    </w:p>
    <w:p w14:paraId="61E34A06" w14:textId="77777777" w:rsidR="00AD74F3" w:rsidRPr="004068F6" w:rsidRDefault="00AD74F3">
      <w:pPr>
        <w:numPr>
          <w:ilvl w:val="12"/>
          <w:numId w:val="0"/>
        </w:numPr>
        <w:tabs>
          <w:tab w:val="left" w:pos="-2268"/>
        </w:tabs>
        <w:suppressAutoHyphens/>
        <w:rPr>
          <w:spacing w:val="-3"/>
        </w:rPr>
      </w:pPr>
    </w:p>
    <w:p w14:paraId="7B7B3294" w14:textId="60A252E6" w:rsidR="00482A5F" w:rsidRPr="004068F6" w:rsidRDefault="00482A5F">
      <w:pPr>
        <w:numPr>
          <w:ilvl w:val="12"/>
          <w:numId w:val="0"/>
        </w:numPr>
        <w:tabs>
          <w:tab w:val="left" w:pos="-2268"/>
        </w:tabs>
        <w:suppressAutoHyphens/>
        <w:rPr>
          <w:spacing w:val="-3"/>
        </w:rPr>
      </w:pPr>
      <w:r w:rsidRPr="004068F6">
        <w:rPr>
          <w:spacing w:val="-3"/>
          <w:u w:val="single"/>
        </w:rPr>
        <w:t xml:space="preserve">Fase de </w:t>
      </w:r>
      <w:r w:rsidR="002E031E" w:rsidRPr="004068F6">
        <w:rPr>
          <w:spacing w:val="-3"/>
          <w:u w:val="single"/>
        </w:rPr>
        <w:t>campo</w:t>
      </w:r>
      <w:r w:rsidRPr="004068F6">
        <w:rPr>
          <w:spacing w:val="-3"/>
        </w:rPr>
        <w:t>:</w:t>
      </w:r>
    </w:p>
    <w:p w14:paraId="4050624F" w14:textId="77777777" w:rsidR="00482A5F" w:rsidRPr="004068F6" w:rsidRDefault="00482A5F">
      <w:pPr>
        <w:numPr>
          <w:ilvl w:val="12"/>
          <w:numId w:val="0"/>
        </w:numPr>
        <w:tabs>
          <w:tab w:val="left" w:pos="-2268"/>
        </w:tabs>
        <w:suppressAutoHyphens/>
        <w:rPr>
          <w:spacing w:val="-3"/>
        </w:rPr>
      </w:pPr>
    </w:p>
    <w:p w14:paraId="66D844FE" w14:textId="0CAB19A5" w:rsidR="00482A5F" w:rsidRPr="004068F6" w:rsidRDefault="00482A5F">
      <w:pPr>
        <w:numPr>
          <w:ilvl w:val="12"/>
          <w:numId w:val="0"/>
        </w:numPr>
        <w:tabs>
          <w:tab w:val="left" w:pos="-2268"/>
        </w:tabs>
        <w:suppressAutoHyphens/>
        <w:rPr>
          <w:spacing w:val="-3"/>
        </w:rPr>
      </w:pPr>
      <w:r w:rsidRPr="004068F6">
        <w:rPr>
          <w:spacing w:val="-3"/>
        </w:rPr>
        <w:t xml:space="preserve">Consiste en </w:t>
      </w:r>
      <w:r w:rsidR="002E031E" w:rsidRPr="004068F6">
        <w:rPr>
          <w:spacing w:val="-3"/>
        </w:rPr>
        <w:t xml:space="preserve">la captura de </w:t>
      </w:r>
      <w:r w:rsidRPr="004068F6">
        <w:rPr>
          <w:spacing w:val="-3"/>
        </w:rPr>
        <w:t xml:space="preserve">datos </w:t>
      </w:r>
      <w:r w:rsidR="002E031E" w:rsidRPr="004068F6">
        <w:rPr>
          <w:spacing w:val="-3"/>
        </w:rPr>
        <w:t xml:space="preserve">e </w:t>
      </w:r>
      <w:r w:rsidR="0066735A" w:rsidRPr="004068F6">
        <w:rPr>
          <w:spacing w:val="-3"/>
        </w:rPr>
        <w:t xml:space="preserve">información siguiendo </w:t>
      </w:r>
      <w:r w:rsidRPr="004068F6">
        <w:rPr>
          <w:spacing w:val="-3"/>
        </w:rPr>
        <w:t>metodologías para el estudio de la vegetación reconocidas científicamente.</w:t>
      </w:r>
    </w:p>
    <w:p w14:paraId="11DBAB61" w14:textId="77777777" w:rsidR="00482A5F" w:rsidRPr="004068F6" w:rsidRDefault="00482A5F">
      <w:pPr>
        <w:numPr>
          <w:ilvl w:val="12"/>
          <w:numId w:val="0"/>
        </w:numPr>
        <w:tabs>
          <w:tab w:val="left" w:pos="-2268"/>
        </w:tabs>
        <w:suppressAutoHyphens/>
        <w:rPr>
          <w:spacing w:val="-3"/>
        </w:rPr>
      </w:pPr>
    </w:p>
    <w:p w14:paraId="6D3320FB" w14:textId="53A790F1" w:rsidR="00482A5F" w:rsidRPr="004068F6" w:rsidRDefault="00482A5F">
      <w:pPr>
        <w:numPr>
          <w:ilvl w:val="12"/>
          <w:numId w:val="0"/>
        </w:numPr>
        <w:tabs>
          <w:tab w:val="left" w:pos="-2268"/>
        </w:tabs>
        <w:suppressAutoHyphens/>
        <w:rPr>
          <w:spacing w:val="-3"/>
        </w:rPr>
      </w:pPr>
      <w:r w:rsidRPr="004068F6">
        <w:rPr>
          <w:spacing w:val="-3"/>
        </w:rPr>
        <w:t xml:space="preserve">El </w:t>
      </w:r>
      <w:r w:rsidR="008D2B74" w:rsidRPr="004068F6">
        <w:rPr>
          <w:spacing w:val="-3"/>
        </w:rPr>
        <w:t>diseño muestral</w:t>
      </w:r>
      <w:r w:rsidR="00E55979" w:rsidRPr="004068F6">
        <w:rPr>
          <w:spacing w:val="-3"/>
        </w:rPr>
        <w:t xml:space="preserve"> </w:t>
      </w:r>
      <w:r w:rsidRPr="004068F6">
        <w:rPr>
          <w:spacing w:val="-3"/>
        </w:rPr>
        <w:t xml:space="preserve">depende de las unidades de </w:t>
      </w:r>
      <w:r w:rsidR="00AD74F3" w:rsidRPr="004068F6">
        <w:rPr>
          <w:spacing w:val="-3"/>
        </w:rPr>
        <w:t xml:space="preserve">ecosistemas </w:t>
      </w:r>
      <w:r w:rsidRPr="004068F6">
        <w:rPr>
          <w:spacing w:val="-3"/>
        </w:rPr>
        <w:t xml:space="preserve">que se identifiquen, </w:t>
      </w:r>
      <w:r w:rsidR="0066735A" w:rsidRPr="004068F6">
        <w:rPr>
          <w:spacing w:val="-3"/>
        </w:rPr>
        <w:t>d</w:t>
      </w:r>
      <w:r w:rsidR="00A46FE9" w:rsidRPr="004068F6">
        <w:rPr>
          <w:rFonts w:cs="Arial"/>
          <w:spacing w:val="-3"/>
        </w:rPr>
        <w:t xml:space="preserve">el tamaño de </w:t>
      </w:r>
      <w:r w:rsidR="004A21E7" w:rsidRPr="004068F6">
        <w:rPr>
          <w:rFonts w:cs="Arial"/>
          <w:spacing w:val="-3"/>
        </w:rPr>
        <w:t>est</w:t>
      </w:r>
      <w:r w:rsidR="00BD356B">
        <w:rPr>
          <w:rFonts w:cs="Arial"/>
          <w:spacing w:val="-3"/>
        </w:rPr>
        <w:t>o</w:t>
      </w:r>
      <w:r w:rsidR="004A21E7" w:rsidRPr="004068F6">
        <w:rPr>
          <w:rFonts w:cs="Arial"/>
          <w:spacing w:val="-3"/>
        </w:rPr>
        <w:t>s</w:t>
      </w:r>
      <w:r w:rsidRPr="004068F6">
        <w:rPr>
          <w:rFonts w:cs="Arial"/>
          <w:spacing w:val="-3"/>
        </w:rPr>
        <w:t>,</w:t>
      </w:r>
      <w:r w:rsidRPr="004068F6">
        <w:rPr>
          <w:spacing w:val="-3"/>
        </w:rPr>
        <w:t xml:space="preserve"> </w:t>
      </w:r>
      <w:r w:rsidR="0066735A" w:rsidRPr="004068F6">
        <w:rPr>
          <w:spacing w:val="-3"/>
        </w:rPr>
        <w:t xml:space="preserve">de </w:t>
      </w:r>
      <w:r w:rsidRPr="004068F6">
        <w:rPr>
          <w:spacing w:val="-3"/>
        </w:rPr>
        <w:t xml:space="preserve">las categorías de tamaño de los individuos, </w:t>
      </w:r>
      <w:r w:rsidR="0066735A" w:rsidRPr="004068F6">
        <w:rPr>
          <w:spacing w:val="-3"/>
        </w:rPr>
        <w:t>d</w:t>
      </w:r>
      <w:r w:rsidRPr="004068F6">
        <w:rPr>
          <w:spacing w:val="-3"/>
        </w:rPr>
        <w:t xml:space="preserve">el tamaño y grado de heterogeneidad del área de muestreo, y </w:t>
      </w:r>
      <w:r w:rsidR="0066735A" w:rsidRPr="004068F6">
        <w:rPr>
          <w:spacing w:val="-3"/>
        </w:rPr>
        <w:t xml:space="preserve">de </w:t>
      </w:r>
      <w:r w:rsidRPr="004068F6">
        <w:rPr>
          <w:spacing w:val="-3"/>
        </w:rPr>
        <w:t>la riqueza</w:t>
      </w:r>
      <w:r w:rsidRPr="004068F6">
        <w:rPr>
          <w:rFonts w:cs="Arial"/>
          <w:spacing w:val="-3"/>
        </w:rPr>
        <w:t xml:space="preserve">, composición </w:t>
      </w:r>
      <w:r w:rsidR="00A46FE9" w:rsidRPr="004068F6">
        <w:rPr>
          <w:spacing w:val="-3"/>
        </w:rPr>
        <w:t>y</w:t>
      </w:r>
      <w:r w:rsidRPr="004068F6">
        <w:rPr>
          <w:spacing w:val="-3"/>
        </w:rPr>
        <w:t xml:space="preserve"> diversidad de especies</w:t>
      </w:r>
      <w:r w:rsidR="00606EC3" w:rsidRPr="004068F6">
        <w:rPr>
          <w:spacing w:val="-3"/>
        </w:rPr>
        <w:t xml:space="preserve"> </w:t>
      </w:r>
      <w:r w:rsidR="00AD74F3" w:rsidRPr="004068F6">
        <w:rPr>
          <w:spacing w:val="-3"/>
        </w:rPr>
        <w:t xml:space="preserve">que </w:t>
      </w:r>
      <w:r w:rsidR="00606EC3" w:rsidRPr="004068F6">
        <w:rPr>
          <w:spacing w:val="-3"/>
        </w:rPr>
        <w:t>potencial</w:t>
      </w:r>
      <w:r w:rsidR="00AD74F3" w:rsidRPr="004068F6">
        <w:rPr>
          <w:spacing w:val="-3"/>
        </w:rPr>
        <w:t xml:space="preserve">mente </w:t>
      </w:r>
      <w:r w:rsidR="00606EC3" w:rsidRPr="004068F6">
        <w:rPr>
          <w:spacing w:val="-3"/>
        </w:rPr>
        <w:t xml:space="preserve">pueden </w:t>
      </w:r>
      <w:r w:rsidR="00AD74F3" w:rsidRPr="004068F6">
        <w:rPr>
          <w:spacing w:val="-3"/>
        </w:rPr>
        <w:t xml:space="preserve">ser </w:t>
      </w:r>
      <w:r w:rsidR="00606EC3" w:rsidRPr="004068F6">
        <w:rPr>
          <w:spacing w:val="-3"/>
        </w:rPr>
        <w:t>encontra</w:t>
      </w:r>
      <w:r w:rsidR="00AD74F3" w:rsidRPr="004068F6">
        <w:rPr>
          <w:spacing w:val="-3"/>
        </w:rPr>
        <w:t>das</w:t>
      </w:r>
      <w:r w:rsidR="00BF7396" w:rsidRPr="004068F6">
        <w:rPr>
          <w:spacing w:val="-3"/>
        </w:rPr>
        <w:t xml:space="preserve"> (según lo reportado en </w:t>
      </w:r>
      <w:r w:rsidR="00606EC3" w:rsidRPr="004068F6">
        <w:rPr>
          <w:spacing w:val="-3"/>
        </w:rPr>
        <w:t>la información secundaria consultada</w:t>
      </w:r>
      <w:r w:rsidR="00BF7396" w:rsidRPr="004068F6">
        <w:rPr>
          <w:spacing w:val="-3"/>
        </w:rPr>
        <w:t>)</w:t>
      </w:r>
      <w:r w:rsidRPr="004068F6">
        <w:rPr>
          <w:spacing w:val="-3"/>
        </w:rPr>
        <w:t xml:space="preserve">. Por tanto, se debe planificar el uso de una o </w:t>
      </w:r>
      <w:r w:rsidRPr="004068F6">
        <w:rPr>
          <w:spacing w:val="-3"/>
        </w:rPr>
        <w:lastRenderedPageBreak/>
        <w:t>varias metodologías de muestreo para caracterizar adecuadamente cada un</w:t>
      </w:r>
      <w:r w:rsidR="0049729E" w:rsidRPr="004068F6">
        <w:rPr>
          <w:spacing w:val="-3"/>
        </w:rPr>
        <w:t xml:space="preserve">o </w:t>
      </w:r>
      <w:r w:rsidRPr="004068F6">
        <w:rPr>
          <w:spacing w:val="-3"/>
        </w:rPr>
        <w:t xml:space="preserve">de </w:t>
      </w:r>
      <w:r w:rsidR="0049729E" w:rsidRPr="004068F6">
        <w:rPr>
          <w:spacing w:val="-3"/>
        </w:rPr>
        <w:t xml:space="preserve">los ecosistemas </w:t>
      </w:r>
      <w:r w:rsidR="00DE34D4" w:rsidRPr="004068F6">
        <w:rPr>
          <w:spacing w:val="-3"/>
        </w:rPr>
        <w:t>determinad</w:t>
      </w:r>
      <w:r w:rsidR="0049729E" w:rsidRPr="004068F6">
        <w:rPr>
          <w:spacing w:val="-3"/>
        </w:rPr>
        <w:t>o</w:t>
      </w:r>
      <w:r w:rsidR="00DE34D4" w:rsidRPr="004068F6">
        <w:rPr>
          <w:spacing w:val="-3"/>
        </w:rPr>
        <w:t>s</w:t>
      </w:r>
      <w:r w:rsidRPr="004068F6">
        <w:rPr>
          <w:spacing w:val="-3"/>
        </w:rPr>
        <w:t>.</w:t>
      </w:r>
    </w:p>
    <w:p w14:paraId="5D8535D1" w14:textId="77777777" w:rsidR="00482A5F" w:rsidRPr="004068F6" w:rsidRDefault="00482A5F">
      <w:pPr>
        <w:numPr>
          <w:ilvl w:val="12"/>
          <w:numId w:val="0"/>
        </w:numPr>
        <w:tabs>
          <w:tab w:val="left" w:pos="-2268"/>
        </w:tabs>
        <w:suppressAutoHyphens/>
        <w:rPr>
          <w:spacing w:val="-3"/>
        </w:rPr>
      </w:pPr>
    </w:p>
    <w:p w14:paraId="1D8BC05E" w14:textId="72A34E55" w:rsidR="004476A5" w:rsidRPr="004068F6" w:rsidRDefault="004476A5" w:rsidP="004476A5">
      <w:pPr>
        <w:numPr>
          <w:ilvl w:val="12"/>
          <w:numId w:val="0"/>
        </w:numPr>
        <w:tabs>
          <w:tab w:val="left" w:pos="-2268"/>
        </w:tabs>
        <w:suppressAutoHyphens/>
        <w:rPr>
          <w:rFonts w:cs="Arial"/>
          <w:spacing w:val="-3"/>
        </w:rPr>
      </w:pPr>
      <w:r w:rsidRPr="004068F6">
        <w:rPr>
          <w:rFonts w:cs="Arial"/>
          <w:spacing w:val="-3"/>
        </w:rPr>
        <w:t xml:space="preserve">Para </w:t>
      </w:r>
      <w:r w:rsidR="00717113" w:rsidRPr="004068F6">
        <w:rPr>
          <w:rFonts w:cs="Arial"/>
          <w:spacing w:val="-3"/>
        </w:rPr>
        <w:t xml:space="preserve">definir un </w:t>
      </w:r>
      <w:r w:rsidRPr="004068F6">
        <w:rPr>
          <w:rFonts w:cs="Arial"/>
          <w:spacing w:val="-3"/>
        </w:rPr>
        <w:t xml:space="preserve">muestreo </w:t>
      </w:r>
      <w:r w:rsidR="00717113" w:rsidRPr="004068F6">
        <w:rPr>
          <w:rFonts w:cs="Arial"/>
          <w:spacing w:val="-3"/>
        </w:rPr>
        <w:t xml:space="preserve">representativo </w:t>
      </w:r>
      <w:r w:rsidRPr="004068F6">
        <w:rPr>
          <w:rFonts w:cs="Arial"/>
          <w:spacing w:val="-3"/>
        </w:rPr>
        <w:t>por cada ecosistema</w:t>
      </w:r>
      <w:r w:rsidR="00717113" w:rsidRPr="004068F6">
        <w:rPr>
          <w:rFonts w:cs="Arial"/>
          <w:spacing w:val="-3"/>
        </w:rPr>
        <w:t>,</w:t>
      </w:r>
      <w:r w:rsidRPr="004068F6">
        <w:rPr>
          <w:rFonts w:cs="Arial"/>
          <w:spacing w:val="-3"/>
        </w:rPr>
        <w:t xml:space="preserve"> en función de su biodiversidad, </w:t>
      </w:r>
      <w:r w:rsidR="00204F85" w:rsidRPr="004068F6">
        <w:rPr>
          <w:rFonts w:cs="Arial"/>
          <w:spacing w:val="-3"/>
        </w:rPr>
        <w:t xml:space="preserve">se puede </w:t>
      </w:r>
      <w:r w:rsidR="009918A5" w:rsidRPr="004068F6">
        <w:rPr>
          <w:rFonts w:cs="Arial"/>
          <w:spacing w:val="-3"/>
        </w:rPr>
        <w:t xml:space="preserve">emplear </w:t>
      </w:r>
      <w:r w:rsidRPr="004068F6">
        <w:rPr>
          <w:rFonts w:cs="Arial"/>
          <w:spacing w:val="-3"/>
        </w:rPr>
        <w:t>la curva de acumulación de especies en cada ecosistema o</w:t>
      </w:r>
      <w:r w:rsidR="009918A5" w:rsidRPr="004068F6">
        <w:rPr>
          <w:rFonts w:cs="Arial"/>
          <w:spacing w:val="-3"/>
        </w:rPr>
        <w:t xml:space="preserve"> bien</w:t>
      </w:r>
      <w:r w:rsidRPr="004068F6">
        <w:rPr>
          <w:rFonts w:cs="Arial"/>
          <w:spacing w:val="-3"/>
        </w:rPr>
        <w:t xml:space="preserve">, </w:t>
      </w:r>
      <w:r w:rsidR="009918A5" w:rsidRPr="004068F6">
        <w:rPr>
          <w:rFonts w:cs="Arial"/>
          <w:spacing w:val="-3"/>
        </w:rPr>
        <w:t xml:space="preserve">se puede realizar un </w:t>
      </w:r>
      <w:r w:rsidRPr="004068F6">
        <w:rPr>
          <w:rFonts w:cs="Arial"/>
          <w:spacing w:val="-3"/>
        </w:rPr>
        <w:t>análisis de curvas de rarefacción con extrapolación con base en abundancia o incidencia</w:t>
      </w:r>
      <w:r w:rsidR="00B7224C" w:rsidRPr="004068F6">
        <w:rPr>
          <w:rFonts w:cs="Arial"/>
          <w:spacing w:val="-3"/>
        </w:rPr>
        <w:t>.</w:t>
      </w:r>
    </w:p>
    <w:p w14:paraId="155FA9C5" w14:textId="77777777" w:rsidR="004476A5" w:rsidRPr="004068F6" w:rsidRDefault="004476A5" w:rsidP="004476A5">
      <w:pPr>
        <w:numPr>
          <w:ilvl w:val="12"/>
          <w:numId w:val="0"/>
        </w:numPr>
        <w:tabs>
          <w:tab w:val="left" w:pos="-2268"/>
        </w:tabs>
        <w:suppressAutoHyphens/>
        <w:rPr>
          <w:rFonts w:cs="Arial"/>
          <w:spacing w:val="-3"/>
        </w:rPr>
      </w:pPr>
    </w:p>
    <w:p w14:paraId="1200B952" w14:textId="0D4AF4DF" w:rsidR="004476A5" w:rsidRPr="004068F6" w:rsidRDefault="00FF4CEC" w:rsidP="004476A5">
      <w:pPr>
        <w:numPr>
          <w:ilvl w:val="12"/>
          <w:numId w:val="0"/>
        </w:numPr>
        <w:tabs>
          <w:tab w:val="left" w:pos="-2268"/>
        </w:tabs>
        <w:suppressAutoHyphens/>
        <w:rPr>
          <w:rFonts w:cs="Arial"/>
          <w:spacing w:val="-3"/>
        </w:rPr>
      </w:pPr>
      <w:r w:rsidRPr="004068F6">
        <w:rPr>
          <w:rFonts w:cs="Arial"/>
          <w:spacing w:val="-3"/>
        </w:rPr>
        <w:t xml:space="preserve">Cuando se usen </w:t>
      </w:r>
      <w:r w:rsidR="004476A5" w:rsidRPr="004068F6">
        <w:rPr>
          <w:rFonts w:cs="Arial"/>
          <w:spacing w:val="-3"/>
        </w:rPr>
        <w:t xml:space="preserve">curvas de acumulación de especies, </w:t>
      </w:r>
      <w:r w:rsidRPr="004068F6">
        <w:rPr>
          <w:rFonts w:cs="Arial"/>
          <w:spacing w:val="-3"/>
        </w:rPr>
        <w:t xml:space="preserve">se </w:t>
      </w:r>
      <w:r w:rsidR="004476A5" w:rsidRPr="004068F6">
        <w:rPr>
          <w:rFonts w:cs="Arial"/>
          <w:spacing w:val="-3"/>
        </w:rPr>
        <w:t>debe alcanzar un</w:t>
      </w:r>
      <w:r w:rsidRPr="004068F6">
        <w:rPr>
          <w:rFonts w:cs="Arial"/>
          <w:spacing w:val="-3"/>
        </w:rPr>
        <w:t xml:space="preserve"> </w:t>
      </w:r>
      <w:r w:rsidR="004476A5" w:rsidRPr="004068F6">
        <w:rPr>
          <w:rFonts w:cs="Arial"/>
          <w:spacing w:val="-3"/>
        </w:rPr>
        <w:t>valor</w:t>
      </w:r>
      <w:r w:rsidRPr="004068F6">
        <w:rPr>
          <w:rFonts w:cs="Arial"/>
          <w:spacing w:val="-3"/>
        </w:rPr>
        <w:t xml:space="preserve"> </w:t>
      </w:r>
      <w:r w:rsidR="004476A5" w:rsidRPr="004068F6">
        <w:rPr>
          <w:rFonts w:cs="Arial"/>
          <w:spacing w:val="-3"/>
        </w:rPr>
        <w:t>≥</w:t>
      </w:r>
      <w:r w:rsidRPr="004068F6">
        <w:rPr>
          <w:rFonts w:cs="Arial"/>
          <w:spacing w:val="-3"/>
        </w:rPr>
        <w:t xml:space="preserve"> </w:t>
      </w:r>
      <w:r w:rsidR="004476A5" w:rsidRPr="004068F6">
        <w:rPr>
          <w:rFonts w:cs="Arial"/>
          <w:spacing w:val="-3"/>
        </w:rPr>
        <w:t>85% sobre los estimadores y logr</w:t>
      </w:r>
      <w:r w:rsidRPr="004068F6">
        <w:rPr>
          <w:rFonts w:cs="Arial"/>
          <w:spacing w:val="-3"/>
        </w:rPr>
        <w:t>ar</w:t>
      </w:r>
      <w:r w:rsidR="004476A5" w:rsidRPr="004068F6">
        <w:rPr>
          <w:rFonts w:cs="Arial"/>
          <w:spacing w:val="-3"/>
        </w:rPr>
        <w:t xml:space="preserve"> la asíntota en la curva de acumulación</w:t>
      </w:r>
      <w:r w:rsidR="003C54CA" w:rsidRPr="004068F6">
        <w:rPr>
          <w:rFonts w:cs="Arial"/>
          <w:spacing w:val="-3"/>
        </w:rPr>
        <w:t>;</w:t>
      </w:r>
      <w:r w:rsidR="004476A5" w:rsidRPr="004068F6">
        <w:rPr>
          <w:rFonts w:cs="Arial"/>
          <w:spacing w:val="-3"/>
        </w:rPr>
        <w:t xml:space="preserve"> </w:t>
      </w:r>
      <w:r w:rsidR="00C5565F" w:rsidRPr="004068F6">
        <w:rPr>
          <w:rFonts w:cs="Arial"/>
          <w:spacing w:val="-3"/>
        </w:rPr>
        <w:t xml:space="preserve">el muestreo </w:t>
      </w:r>
      <w:r w:rsidR="00D61AE3" w:rsidRPr="004068F6">
        <w:rPr>
          <w:rFonts w:cs="Arial"/>
          <w:spacing w:val="-3"/>
        </w:rPr>
        <w:t xml:space="preserve">debe </w:t>
      </w:r>
      <w:r w:rsidR="001253D4" w:rsidRPr="004068F6">
        <w:rPr>
          <w:rFonts w:cs="Arial"/>
          <w:spacing w:val="-3"/>
        </w:rPr>
        <w:t>formularse de forma tal</w:t>
      </w:r>
      <w:r w:rsidR="00830461" w:rsidRPr="004068F6">
        <w:rPr>
          <w:rFonts w:cs="Arial"/>
          <w:spacing w:val="-3"/>
        </w:rPr>
        <w:t xml:space="preserve"> que brinde </w:t>
      </w:r>
      <w:r w:rsidR="004476A5" w:rsidRPr="004068F6">
        <w:rPr>
          <w:rFonts w:cs="Arial"/>
          <w:spacing w:val="-3"/>
        </w:rPr>
        <w:t xml:space="preserve">representatividad espacial </w:t>
      </w:r>
      <w:r w:rsidR="0080206A" w:rsidRPr="004068F6">
        <w:rPr>
          <w:rFonts w:cs="Arial"/>
          <w:spacing w:val="-3"/>
        </w:rPr>
        <w:t xml:space="preserve">para </w:t>
      </w:r>
      <w:r w:rsidR="004476A5" w:rsidRPr="004068F6">
        <w:rPr>
          <w:rFonts w:cs="Arial"/>
          <w:spacing w:val="-3"/>
        </w:rPr>
        <w:t xml:space="preserve">el área </w:t>
      </w:r>
      <w:r w:rsidR="00DD70BF" w:rsidRPr="004068F6">
        <w:rPr>
          <w:rFonts w:cs="Arial"/>
          <w:spacing w:val="-3"/>
        </w:rPr>
        <w:t>objeto de caracterización</w:t>
      </w:r>
      <w:r w:rsidR="004476A5" w:rsidRPr="004068F6">
        <w:rPr>
          <w:rFonts w:cs="Arial"/>
          <w:spacing w:val="-3"/>
        </w:rPr>
        <w:t xml:space="preserve">. En caso </w:t>
      </w:r>
      <w:r w:rsidR="0060009D" w:rsidRPr="004068F6">
        <w:rPr>
          <w:rFonts w:cs="Arial"/>
          <w:spacing w:val="-3"/>
        </w:rPr>
        <w:t xml:space="preserve">de </w:t>
      </w:r>
      <w:r w:rsidR="004476A5" w:rsidRPr="004068F6">
        <w:rPr>
          <w:rFonts w:cs="Arial"/>
          <w:spacing w:val="-3"/>
        </w:rPr>
        <w:t>que</w:t>
      </w:r>
      <w:r w:rsidR="00100448" w:rsidRPr="004068F6">
        <w:rPr>
          <w:rFonts w:cs="Arial"/>
          <w:spacing w:val="-3"/>
        </w:rPr>
        <w:t>,</w:t>
      </w:r>
      <w:r w:rsidR="004476A5" w:rsidRPr="004068F6">
        <w:rPr>
          <w:rFonts w:cs="Arial"/>
          <w:spacing w:val="-3"/>
        </w:rPr>
        <w:t xml:space="preserve"> por las condiciones particulares de los sitios y de los grupos objeto de muestreo no se obtenga para algún estimador el umbral del 85%, se deben </w:t>
      </w:r>
      <w:r w:rsidR="00D42396" w:rsidRPr="004068F6">
        <w:rPr>
          <w:rFonts w:cs="Arial"/>
          <w:spacing w:val="-3"/>
        </w:rPr>
        <w:t xml:space="preserve">argumentar </w:t>
      </w:r>
      <w:r w:rsidR="004476A5" w:rsidRPr="004068F6">
        <w:rPr>
          <w:rFonts w:cs="Arial"/>
          <w:spacing w:val="-3"/>
        </w:rPr>
        <w:t xml:space="preserve">las razones por las cuales no </w:t>
      </w:r>
      <w:r w:rsidR="00D42396" w:rsidRPr="004068F6">
        <w:rPr>
          <w:rFonts w:cs="Arial"/>
          <w:spacing w:val="-3"/>
        </w:rPr>
        <w:t xml:space="preserve">se </w:t>
      </w:r>
      <w:r w:rsidR="004476A5" w:rsidRPr="004068F6">
        <w:rPr>
          <w:rFonts w:cs="Arial"/>
          <w:spacing w:val="-3"/>
        </w:rPr>
        <w:t>alcanza dicho umbral de referencia</w:t>
      </w:r>
      <w:r w:rsidR="008565A1">
        <w:rPr>
          <w:rFonts w:cs="Arial"/>
          <w:spacing w:val="-3"/>
        </w:rPr>
        <w:t xml:space="preserve">, así como </w:t>
      </w:r>
      <w:r w:rsidR="004476A5" w:rsidRPr="004068F6">
        <w:rPr>
          <w:rFonts w:cs="Arial"/>
          <w:spacing w:val="-3"/>
        </w:rPr>
        <w:t>justificar técnicamente el método empleado para asegurar la representatividad del muestreo.</w:t>
      </w:r>
    </w:p>
    <w:p w14:paraId="233BF3A0" w14:textId="77777777" w:rsidR="004476A5" w:rsidRPr="004068F6" w:rsidRDefault="004476A5" w:rsidP="004476A5">
      <w:pPr>
        <w:numPr>
          <w:ilvl w:val="12"/>
          <w:numId w:val="0"/>
        </w:numPr>
        <w:tabs>
          <w:tab w:val="left" w:pos="-2268"/>
        </w:tabs>
        <w:suppressAutoHyphens/>
        <w:rPr>
          <w:rFonts w:cs="Arial"/>
          <w:spacing w:val="-3"/>
        </w:rPr>
      </w:pPr>
    </w:p>
    <w:p w14:paraId="4DFDFCFE" w14:textId="6CBD9C1E" w:rsidR="004476A5" w:rsidRPr="004068F6" w:rsidRDefault="004476A5" w:rsidP="004476A5">
      <w:pPr>
        <w:numPr>
          <w:ilvl w:val="12"/>
          <w:numId w:val="0"/>
        </w:numPr>
        <w:tabs>
          <w:tab w:val="left" w:pos="-2268"/>
        </w:tabs>
        <w:suppressAutoHyphens/>
        <w:rPr>
          <w:rFonts w:cs="Arial"/>
          <w:spacing w:val="-3"/>
        </w:rPr>
      </w:pPr>
      <w:r w:rsidRPr="004068F6">
        <w:rPr>
          <w:rFonts w:cs="Arial"/>
          <w:spacing w:val="-3"/>
        </w:rPr>
        <w:t>En cualquier caso, se debe describir detalladamente la metodología implementada, enfatizando en la explicación del esfuerzo de muestreo representativo para los grupos de flora.</w:t>
      </w:r>
    </w:p>
    <w:p w14:paraId="23DF7B22" w14:textId="77777777" w:rsidR="004476A5" w:rsidRPr="004068F6" w:rsidRDefault="004476A5" w:rsidP="004476A5">
      <w:pPr>
        <w:numPr>
          <w:ilvl w:val="12"/>
          <w:numId w:val="0"/>
        </w:numPr>
        <w:tabs>
          <w:tab w:val="left" w:pos="-2268"/>
        </w:tabs>
        <w:suppressAutoHyphens/>
        <w:rPr>
          <w:rFonts w:cs="Arial"/>
          <w:spacing w:val="-3"/>
        </w:rPr>
      </w:pPr>
    </w:p>
    <w:p w14:paraId="4F839F8B" w14:textId="79C980A2" w:rsidR="004476A5" w:rsidRPr="004068F6" w:rsidRDefault="004476A5" w:rsidP="004476A5">
      <w:pPr>
        <w:numPr>
          <w:ilvl w:val="12"/>
          <w:numId w:val="0"/>
        </w:numPr>
        <w:tabs>
          <w:tab w:val="left" w:pos="-2268"/>
        </w:tabs>
        <w:suppressAutoHyphens/>
        <w:rPr>
          <w:rFonts w:cs="Arial"/>
          <w:spacing w:val="-3"/>
        </w:rPr>
      </w:pPr>
      <w:r w:rsidRPr="004068F6">
        <w:rPr>
          <w:rFonts w:cs="Arial"/>
          <w:spacing w:val="-3"/>
        </w:rPr>
        <w:t xml:space="preserve">De acuerdo con el método que represente mejor la categoría de tamaño (fustales, latizales – brinzales), </w:t>
      </w:r>
      <w:r w:rsidR="007B39D7" w:rsidRPr="004068F6">
        <w:rPr>
          <w:rFonts w:cs="Arial"/>
          <w:spacing w:val="-3"/>
        </w:rPr>
        <w:t xml:space="preserve">se </w:t>
      </w:r>
      <w:r w:rsidRPr="004068F6">
        <w:rPr>
          <w:rFonts w:cs="Arial"/>
          <w:spacing w:val="-3"/>
        </w:rPr>
        <w:t>debe</w:t>
      </w:r>
      <w:r w:rsidR="007B39D7" w:rsidRPr="004068F6">
        <w:rPr>
          <w:rFonts w:cs="Arial"/>
          <w:spacing w:val="-3"/>
        </w:rPr>
        <w:t xml:space="preserve"> </w:t>
      </w:r>
      <w:r w:rsidRPr="004068F6">
        <w:rPr>
          <w:rFonts w:cs="Arial"/>
          <w:spacing w:val="-3"/>
        </w:rPr>
        <w:t xml:space="preserve">sustentar la eficiencia y efectividad del muestreo en términos de biodiversidad del área </w:t>
      </w:r>
      <w:r w:rsidR="007B39D7" w:rsidRPr="004068F6">
        <w:rPr>
          <w:rFonts w:cs="Arial"/>
          <w:spacing w:val="-3"/>
        </w:rPr>
        <w:t>caracterizada</w:t>
      </w:r>
      <w:r w:rsidRPr="004068F6">
        <w:rPr>
          <w:rFonts w:cs="Arial"/>
          <w:spacing w:val="-3"/>
        </w:rPr>
        <w:t>.</w:t>
      </w:r>
    </w:p>
    <w:p w14:paraId="5364578F" w14:textId="77777777" w:rsidR="00134A9B" w:rsidRPr="004068F6" w:rsidRDefault="00134A9B" w:rsidP="00134A9B">
      <w:pPr>
        <w:overflowPunct/>
        <w:textAlignment w:val="auto"/>
        <w:rPr>
          <w:rFonts w:cs="Arial"/>
          <w:spacing w:val="-3"/>
        </w:rPr>
      </w:pPr>
    </w:p>
    <w:p w14:paraId="7403DDE4" w14:textId="7BA18634" w:rsidR="00134A9B" w:rsidRPr="004068F6" w:rsidRDefault="00134A9B" w:rsidP="00134A9B">
      <w:pPr>
        <w:overflowPunct/>
        <w:textAlignment w:val="auto"/>
        <w:rPr>
          <w:rFonts w:cs="Arial"/>
          <w:spacing w:val="-3"/>
        </w:rPr>
      </w:pPr>
      <w:r w:rsidRPr="004068F6">
        <w:rPr>
          <w:rFonts w:cs="Arial"/>
          <w:spacing w:val="-3"/>
        </w:rPr>
        <w:t>Para los helechos arborescentes</w:t>
      </w:r>
      <w:r w:rsidR="009401C6" w:rsidRPr="004068F6">
        <w:rPr>
          <w:rFonts w:cs="Arial"/>
          <w:spacing w:val="-3"/>
        </w:rPr>
        <w:t xml:space="preserve"> se debe registrar la altura del </w:t>
      </w:r>
      <w:r w:rsidR="008F2486" w:rsidRPr="004068F6">
        <w:rPr>
          <w:rFonts w:cs="Arial"/>
          <w:spacing w:val="-3"/>
        </w:rPr>
        <w:t>tallo</w:t>
      </w:r>
      <w:r w:rsidR="009401C6" w:rsidRPr="004068F6">
        <w:rPr>
          <w:rFonts w:cs="Arial"/>
          <w:spacing w:val="-3"/>
        </w:rPr>
        <w:t xml:space="preserve"> de todos los individuos presentes </w:t>
      </w:r>
      <w:r w:rsidRPr="004068F6">
        <w:rPr>
          <w:rFonts w:cs="Arial"/>
          <w:spacing w:val="-3"/>
        </w:rPr>
        <w:t xml:space="preserve">en cada unidad de muestreo </w:t>
      </w:r>
      <w:r w:rsidR="009401C6" w:rsidRPr="004068F6">
        <w:rPr>
          <w:rFonts w:cs="Arial"/>
          <w:spacing w:val="-3"/>
        </w:rPr>
        <w:t xml:space="preserve">que cuenten </w:t>
      </w:r>
      <w:r w:rsidRPr="004068F6">
        <w:rPr>
          <w:rFonts w:cs="Arial"/>
          <w:spacing w:val="-3"/>
        </w:rPr>
        <w:t xml:space="preserve">con </w:t>
      </w:r>
      <w:r w:rsidR="009401C6" w:rsidRPr="004068F6">
        <w:rPr>
          <w:rFonts w:cs="Arial"/>
          <w:spacing w:val="-3"/>
        </w:rPr>
        <w:t xml:space="preserve">una </w:t>
      </w:r>
      <w:r w:rsidRPr="004068F6">
        <w:rPr>
          <w:rFonts w:cs="Arial"/>
          <w:spacing w:val="-3"/>
        </w:rPr>
        <w:t xml:space="preserve">altura de </w:t>
      </w:r>
      <w:r w:rsidR="008F2486" w:rsidRPr="004068F6">
        <w:rPr>
          <w:rFonts w:cs="Arial"/>
          <w:spacing w:val="-3"/>
        </w:rPr>
        <w:t>tallo</w:t>
      </w:r>
      <w:r w:rsidRPr="004068F6">
        <w:rPr>
          <w:rFonts w:cs="Arial"/>
          <w:spacing w:val="-3"/>
        </w:rPr>
        <w:t xml:space="preserve"> mayor </w:t>
      </w:r>
      <w:r w:rsidR="008F2486" w:rsidRPr="004068F6">
        <w:rPr>
          <w:rFonts w:cs="Arial"/>
          <w:spacing w:val="-3"/>
        </w:rPr>
        <w:t xml:space="preserve">o igual </w:t>
      </w:r>
      <w:r w:rsidRPr="004068F6">
        <w:rPr>
          <w:rFonts w:cs="Arial"/>
          <w:spacing w:val="-3"/>
        </w:rPr>
        <w:t xml:space="preserve">a </w:t>
      </w:r>
      <w:r w:rsidR="004C39B9" w:rsidRPr="004068F6">
        <w:rPr>
          <w:rFonts w:cs="Arial"/>
          <w:spacing w:val="-3"/>
        </w:rPr>
        <w:t>1,5</w:t>
      </w:r>
      <w:r w:rsidRPr="004068F6">
        <w:rPr>
          <w:rFonts w:cs="Arial"/>
          <w:spacing w:val="-3"/>
        </w:rPr>
        <w:t xml:space="preserve"> m (altura </w:t>
      </w:r>
      <w:r w:rsidR="008A19F6" w:rsidRPr="004068F6">
        <w:rPr>
          <w:rFonts w:cs="Arial"/>
          <w:spacing w:val="-3"/>
        </w:rPr>
        <w:t xml:space="preserve">medida </w:t>
      </w:r>
      <w:r w:rsidRPr="004068F6">
        <w:rPr>
          <w:rFonts w:cs="Arial"/>
          <w:spacing w:val="-3"/>
        </w:rPr>
        <w:t xml:space="preserve">desde la base hasta </w:t>
      </w:r>
      <w:r w:rsidR="009F4597" w:rsidRPr="004068F6">
        <w:rPr>
          <w:rFonts w:cs="Arial"/>
          <w:spacing w:val="-3"/>
        </w:rPr>
        <w:t>el penacho de la planta, es decir, hasta la primera inserción de las frondas</w:t>
      </w:r>
      <w:r w:rsidRPr="004068F6">
        <w:rPr>
          <w:rFonts w:cs="Arial"/>
          <w:spacing w:val="-3"/>
        </w:rPr>
        <w:t>).</w:t>
      </w:r>
    </w:p>
    <w:p w14:paraId="5BDECF63" w14:textId="77777777" w:rsidR="00482A5F" w:rsidRPr="004068F6" w:rsidRDefault="00482A5F" w:rsidP="00482A5F">
      <w:pPr>
        <w:numPr>
          <w:ilvl w:val="12"/>
          <w:numId w:val="0"/>
        </w:numPr>
        <w:tabs>
          <w:tab w:val="left" w:pos="-2268"/>
        </w:tabs>
        <w:suppressAutoHyphens/>
        <w:rPr>
          <w:rFonts w:cs="Arial"/>
          <w:spacing w:val="-3"/>
        </w:rPr>
      </w:pPr>
    </w:p>
    <w:p w14:paraId="18C7E386" w14:textId="77777777" w:rsidR="001F6D70" w:rsidRPr="004068F6" w:rsidRDefault="001F6D70" w:rsidP="001F6D70">
      <w:pPr>
        <w:numPr>
          <w:ilvl w:val="12"/>
          <w:numId w:val="0"/>
        </w:numPr>
        <w:tabs>
          <w:tab w:val="left" w:pos="-2268"/>
        </w:tabs>
        <w:suppressAutoHyphens/>
        <w:rPr>
          <w:spacing w:val="-3"/>
        </w:rPr>
      </w:pPr>
      <w:r w:rsidRPr="004068F6">
        <w:rPr>
          <w:spacing w:val="-3"/>
        </w:rPr>
        <w:t>Para especies arbóreas y helechos arborescentes las variables que mínimamente se debe medir, estimar y determinar son las siguientes:</w:t>
      </w:r>
    </w:p>
    <w:p w14:paraId="47703890" w14:textId="77777777" w:rsidR="001F6D70" w:rsidRPr="004068F6" w:rsidRDefault="001F6D70" w:rsidP="001F6D70">
      <w:pPr>
        <w:numPr>
          <w:ilvl w:val="12"/>
          <w:numId w:val="0"/>
        </w:numPr>
        <w:tabs>
          <w:tab w:val="left" w:pos="-2268"/>
        </w:tabs>
        <w:suppressAutoHyphens/>
        <w:rPr>
          <w:spacing w:val="-3"/>
        </w:rPr>
      </w:pPr>
    </w:p>
    <w:p w14:paraId="3736BE96" w14:textId="77777777" w:rsidR="001F6D70" w:rsidRPr="004068F6" w:rsidRDefault="001F6D70" w:rsidP="00FA4AEB">
      <w:pPr>
        <w:pStyle w:val="Prrafodelista"/>
        <w:numPr>
          <w:ilvl w:val="0"/>
          <w:numId w:val="83"/>
        </w:numPr>
        <w:tabs>
          <w:tab w:val="left" w:pos="-2268"/>
        </w:tabs>
        <w:suppressAutoHyphens/>
        <w:ind w:left="567" w:hanging="567"/>
        <w:rPr>
          <w:rFonts w:cs="Arial"/>
          <w:spacing w:val="-3"/>
          <w:lang w:val="es-CO"/>
        </w:rPr>
      </w:pPr>
      <w:r w:rsidRPr="00127BD4">
        <w:rPr>
          <w:rFonts w:cs="Arial"/>
          <w:spacing w:val="-3"/>
          <w:lang w:val="es-CO"/>
        </w:rPr>
        <w:t>Nombre común.</w:t>
      </w:r>
    </w:p>
    <w:p w14:paraId="14B7A3BE" w14:textId="77777777" w:rsidR="00FA4AEB" w:rsidRPr="00127BD4" w:rsidRDefault="00FA4AEB" w:rsidP="00127BD4">
      <w:pPr>
        <w:tabs>
          <w:tab w:val="left" w:pos="-2268"/>
        </w:tabs>
        <w:suppressAutoHyphens/>
        <w:rPr>
          <w:rFonts w:cs="Arial"/>
          <w:spacing w:val="-3"/>
        </w:rPr>
      </w:pPr>
    </w:p>
    <w:p w14:paraId="4A3A44E7" w14:textId="77777777" w:rsidR="001F6D70" w:rsidRPr="004068F6" w:rsidRDefault="001F6D70" w:rsidP="00FA4AEB">
      <w:pPr>
        <w:pStyle w:val="Prrafodelista"/>
        <w:numPr>
          <w:ilvl w:val="0"/>
          <w:numId w:val="83"/>
        </w:numPr>
        <w:tabs>
          <w:tab w:val="left" w:pos="-2268"/>
        </w:tabs>
        <w:suppressAutoHyphens/>
        <w:ind w:left="567" w:hanging="567"/>
        <w:rPr>
          <w:rFonts w:cs="Arial"/>
          <w:spacing w:val="-3"/>
          <w:lang w:val="es-CO"/>
        </w:rPr>
      </w:pPr>
      <w:r w:rsidRPr="00127BD4">
        <w:rPr>
          <w:rFonts w:cs="Arial"/>
          <w:spacing w:val="-3"/>
          <w:lang w:val="es-CO"/>
        </w:rPr>
        <w:t>Nombre científico.</w:t>
      </w:r>
    </w:p>
    <w:p w14:paraId="56AE1604" w14:textId="77777777" w:rsidR="00FA4AEB" w:rsidRPr="00127BD4" w:rsidRDefault="00FA4AEB" w:rsidP="00127BD4">
      <w:pPr>
        <w:tabs>
          <w:tab w:val="left" w:pos="-2268"/>
        </w:tabs>
        <w:suppressAutoHyphens/>
        <w:rPr>
          <w:rFonts w:cs="Arial"/>
          <w:spacing w:val="-3"/>
        </w:rPr>
      </w:pPr>
    </w:p>
    <w:p w14:paraId="3872258A" w14:textId="53F67AC8" w:rsidR="001F6D70" w:rsidRPr="004068F6" w:rsidRDefault="001F6D70" w:rsidP="00FA4AEB">
      <w:pPr>
        <w:pStyle w:val="Prrafodelista"/>
        <w:numPr>
          <w:ilvl w:val="0"/>
          <w:numId w:val="83"/>
        </w:numPr>
        <w:tabs>
          <w:tab w:val="left" w:pos="-2268"/>
        </w:tabs>
        <w:suppressAutoHyphens/>
        <w:ind w:left="567" w:hanging="567"/>
        <w:rPr>
          <w:rFonts w:cs="Arial"/>
          <w:spacing w:val="-3"/>
          <w:lang w:val="es-CO"/>
        </w:rPr>
      </w:pPr>
      <w:r w:rsidRPr="00127BD4">
        <w:rPr>
          <w:rFonts w:cs="Arial"/>
          <w:spacing w:val="-3"/>
          <w:lang w:val="es-CO"/>
        </w:rPr>
        <w:t xml:space="preserve">Diámetro a la </w:t>
      </w:r>
      <w:r w:rsidR="00671B81" w:rsidRPr="004068F6">
        <w:rPr>
          <w:rFonts w:cs="Arial"/>
          <w:spacing w:val="-3"/>
          <w:lang w:val="es-CO"/>
        </w:rPr>
        <w:t>A</w:t>
      </w:r>
      <w:r w:rsidRPr="00127BD4">
        <w:rPr>
          <w:rFonts w:cs="Arial"/>
          <w:spacing w:val="-3"/>
          <w:lang w:val="es-CO"/>
        </w:rPr>
        <w:t xml:space="preserve">ltura del </w:t>
      </w:r>
      <w:r w:rsidR="00671B81" w:rsidRPr="004068F6">
        <w:rPr>
          <w:rFonts w:cs="Arial"/>
          <w:spacing w:val="-3"/>
          <w:lang w:val="es-CO"/>
        </w:rPr>
        <w:t>P</w:t>
      </w:r>
      <w:r w:rsidRPr="00127BD4">
        <w:rPr>
          <w:rFonts w:cs="Arial"/>
          <w:spacing w:val="-3"/>
          <w:lang w:val="es-CO"/>
        </w:rPr>
        <w:t>echo (DAP)</w:t>
      </w:r>
      <w:r w:rsidR="00671B81" w:rsidRPr="004068F6">
        <w:rPr>
          <w:rFonts w:cs="Arial"/>
          <w:spacing w:val="-3"/>
          <w:lang w:val="es-CO"/>
        </w:rPr>
        <w:t>.</w:t>
      </w:r>
      <w:r w:rsidRPr="00127BD4">
        <w:rPr>
          <w:rFonts w:cs="Arial"/>
          <w:spacing w:val="-3"/>
          <w:lang w:val="es-CO"/>
        </w:rPr>
        <w:t xml:space="preserve"> </w:t>
      </w:r>
      <w:r w:rsidR="00671B81" w:rsidRPr="004068F6">
        <w:rPr>
          <w:rFonts w:cs="Arial"/>
          <w:spacing w:val="-3"/>
          <w:lang w:val="es-CO"/>
        </w:rPr>
        <w:t>E</w:t>
      </w:r>
      <w:r w:rsidRPr="00127BD4">
        <w:rPr>
          <w:rFonts w:cs="Arial"/>
          <w:spacing w:val="-3"/>
          <w:lang w:val="es-CO"/>
        </w:rPr>
        <w:t>n el caso de helechos arborescentes s</w:t>
      </w:r>
      <w:r w:rsidR="00671B81" w:rsidRPr="004068F6">
        <w:rPr>
          <w:rFonts w:cs="Arial"/>
          <w:spacing w:val="-3"/>
          <w:lang w:val="es-CO"/>
        </w:rPr>
        <w:t>ó</w:t>
      </w:r>
      <w:r w:rsidRPr="00127BD4">
        <w:rPr>
          <w:rFonts w:cs="Arial"/>
          <w:spacing w:val="-3"/>
          <w:lang w:val="es-CO"/>
        </w:rPr>
        <w:t>lo para individuos con altura de tallo mayor o igual a 1,5 m.</w:t>
      </w:r>
    </w:p>
    <w:p w14:paraId="1117D9AA" w14:textId="77777777" w:rsidR="00671B81" w:rsidRPr="00127BD4" w:rsidRDefault="00671B81" w:rsidP="00127BD4">
      <w:pPr>
        <w:tabs>
          <w:tab w:val="left" w:pos="-2268"/>
        </w:tabs>
        <w:suppressAutoHyphens/>
        <w:rPr>
          <w:rFonts w:cs="Arial"/>
          <w:spacing w:val="-3"/>
        </w:rPr>
      </w:pPr>
    </w:p>
    <w:p w14:paraId="0E16EDE3" w14:textId="4A05888B" w:rsidR="001F6D70" w:rsidRPr="004068F6" w:rsidRDefault="001F6D70" w:rsidP="00FA4AEB">
      <w:pPr>
        <w:pStyle w:val="Prrafodelista"/>
        <w:numPr>
          <w:ilvl w:val="0"/>
          <w:numId w:val="83"/>
        </w:numPr>
        <w:tabs>
          <w:tab w:val="left" w:pos="-2268"/>
        </w:tabs>
        <w:suppressAutoHyphens/>
        <w:ind w:left="567" w:hanging="567"/>
        <w:rPr>
          <w:rFonts w:cs="Arial"/>
          <w:spacing w:val="-3"/>
          <w:lang w:val="es-CO"/>
        </w:rPr>
      </w:pPr>
      <w:r w:rsidRPr="00127BD4">
        <w:rPr>
          <w:rFonts w:cs="Arial"/>
          <w:spacing w:val="-3"/>
          <w:lang w:val="es-CO"/>
        </w:rPr>
        <w:t>Área basal (s</w:t>
      </w:r>
      <w:r w:rsidR="00671B81" w:rsidRPr="004068F6">
        <w:rPr>
          <w:rFonts w:cs="Arial"/>
          <w:spacing w:val="-3"/>
          <w:lang w:val="es-CO"/>
        </w:rPr>
        <w:t>ó</w:t>
      </w:r>
      <w:r w:rsidRPr="00127BD4">
        <w:rPr>
          <w:rFonts w:cs="Arial"/>
          <w:spacing w:val="-3"/>
          <w:lang w:val="es-CO"/>
        </w:rPr>
        <w:t>lo para especies de tipo arbóreo).</w:t>
      </w:r>
    </w:p>
    <w:p w14:paraId="1F0E03DD" w14:textId="77777777" w:rsidR="00671B81" w:rsidRPr="00127BD4" w:rsidRDefault="00671B81" w:rsidP="00127BD4">
      <w:pPr>
        <w:tabs>
          <w:tab w:val="left" w:pos="-2268"/>
        </w:tabs>
        <w:suppressAutoHyphens/>
        <w:rPr>
          <w:rFonts w:cs="Arial"/>
          <w:spacing w:val="-3"/>
        </w:rPr>
      </w:pPr>
    </w:p>
    <w:p w14:paraId="20B0CD45" w14:textId="380E660C" w:rsidR="001F6D70" w:rsidRPr="00127BD4" w:rsidRDefault="001F6D70" w:rsidP="00127BD4">
      <w:pPr>
        <w:pStyle w:val="Prrafodelista"/>
        <w:numPr>
          <w:ilvl w:val="0"/>
          <w:numId w:val="83"/>
        </w:numPr>
        <w:tabs>
          <w:tab w:val="left" w:pos="-2268"/>
        </w:tabs>
        <w:suppressAutoHyphens/>
        <w:ind w:left="567" w:hanging="567"/>
        <w:rPr>
          <w:rFonts w:cs="Arial"/>
          <w:spacing w:val="-3"/>
          <w:lang w:val="es-CO"/>
        </w:rPr>
      </w:pPr>
      <w:r w:rsidRPr="00127BD4">
        <w:rPr>
          <w:rFonts w:cs="Arial"/>
          <w:spacing w:val="-3"/>
          <w:lang w:val="es-CO"/>
        </w:rPr>
        <w:lastRenderedPageBreak/>
        <w:t>Altura comercial (s</w:t>
      </w:r>
      <w:r w:rsidR="00671B81" w:rsidRPr="00CD4321">
        <w:rPr>
          <w:rFonts w:cs="Arial"/>
          <w:spacing w:val="-3"/>
          <w:lang w:val="es-CO"/>
        </w:rPr>
        <w:t>ó</w:t>
      </w:r>
      <w:r w:rsidRPr="00127BD4">
        <w:rPr>
          <w:rFonts w:cs="Arial"/>
          <w:spacing w:val="-3"/>
          <w:lang w:val="es-CO"/>
        </w:rPr>
        <w:t>lo para especies de tipo arbóreo).</w:t>
      </w:r>
    </w:p>
    <w:p w14:paraId="76E97B35" w14:textId="77777777" w:rsidR="00671B81" w:rsidRPr="00127BD4" w:rsidRDefault="00671B81" w:rsidP="00127BD4">
      <w:pPr>
        <w:tabs>
          <w:tab w:val="left" w:pos="-2268"/>
        </w:tabs>
        <w:suppressAutoHyphens/>
        <w:rPr>
          <w:rFonts w:cs="Arial"/>
          <w:spacing w:val="-3"/>
        </w:rPr>
      </w:pPr>
    </w:p>
    <w:p w14:paraId="39BFA58F" w14:textId="198AEEB3" w:rsidR="001F6D70" w:rsidRPr="004068F6" w:rsidRDefault="001F6D70" w:rsidP="00FA4AEB">
      <w:pPr>
        <w:pStyle w:val="Prrafodelista"/>
        <w:numPr>
          <w:ilvl w:val="0"/>
          <w:numId w:val="83"/>
        </w:numPr>
        <w:tabs>
          <w:tab w:val="left" w:pos="-2268"/>
        </w:tabs>
        <w:suppressAutoHyphens/>
        <w:ind w:left="567" w:hanging="567"/>
        <w:rPr>
          <w:rFonts w:cs="Arial"/>
          <w:spacing w:val="-3"/>
          <w:lang w:val="es-CO"/>
        </w:rPr>
      </w:pPr>
      <w:r w:rsidRPr="00127BD4">
        <w:rPr>
          <w:rFonts w:cs="Arial"/>
          <w:spacing w:val="-3"/>
          <w:lang w:val="es-CO"/>
        </w:rPr>
        <w:t>Altura total</w:t>
      </w:r>
      <w:r w:rsidR="00671B81" w:rsidRPr="004068F6">
        <w:rPr>
          <w:rFonts w:cs="Arial"/>
          <w:spacing w:val="-3"/>
          <w:lang w:val="es-CO"/>
        </w:rPr>
        <w:t>. E</w:t>
      </w:r>
      <w:r w:rsidRPr="00127BD4">
        <w:rPr>
          <w:rFonts w:cs="Arial"/>
          <w:spacing w:val="-3"/>
          <w:lang w:val="es-CO"/>
        </w:rPr>
        <w:t xml:space="preserve">n el caso de helechos arborescentes se </w:t>
      </w:r>
      <w:r w:rsidR="00DC6F20" w:rsidRPr="004068F6">
        <w:rPr>
          <w:rFonts w:cs="Arial"/>
          <w:spacing w:val="-3"/>
          <w:lang w:val="es-CO"/>
        </w:rPr>
        <w:t xml:space="preserve">refiere </w:t>
      </w:r>
      <w:r w:rsidRPr="00127BD4">
        <w:rPr>
          <w:rFonts w:cs="Arial"/>
          <w:spacing w:val="-3"/>
          <w:lang w:val="es-CO"/>
        </w:rPr>
        <w:t xml:space="preserve">a la altura del tallo, no </w:t>
      </w:r>
      <w:r w:rsidR="00DC6F20" w:rsidRPr="004068F6">
        <w:rPr>
          <w:rFonts w:cs="Arial"/>
          <w:spacing w:val="-3"/>
          <w:lang w:val="es-CO"/>
        </w:rPr>
        <w:t xml:space="preserve">a la </w:t>
      </w:r>
      <w:r w:rsidRPr="00127BD4">
        <w:rPr>
          <w:rFonts w:cs="Arial"/>
          <w:spacing w:val="-3"/>
          <w:lang w:val="es-CO"/>
        </w:rPr>
        <w:t>altura de las frondas desplegadas.</w:t>
      </w:r>
    </w:p>
    <w:p w14:paraId="468DAEBE" w14:textId="77777777" w:rsidR="00DC6F20" w:rsidRPr="00127BD4" w:rsidRDefault="00DC6F20" w:rsidP="00127BD4">
      <w:pPr>
        <w:tabs>
          <w:tab w:val="left" w:pos="-2268"/>
        </w:tabs>
        <w:suppressAutoHyphens/>
        <w:rPr>
          <w:rFonts w:cs="Arial"/>
          <w:spacing w:val="-3"/>
        </w:rPr>
      </w:pPr>
    </w:p>
    <w:p w14:paraId="083F4275" w14:textId="32D594E4" w:rsidR="001F6D70" w:rsidRPr="00127BD4" w:rsidRDefault="001F6D70" w:rsidP="00127BD4">
      <w:pPr>
        <w:pStyle w:val="Prrafodelista"/>
        <w:numPr>
          <w:ilvl w:val="0"/>
          <w:numId w:val="83"/>
        </w:numPr>
        <w:tabs>
          <w:tab w:val="left" w:pos="-2268"/>
        </w:tabs>
        <w:suppressAutoHyphens/>
        <w:ind w:left="567" w:hanging="567"/>
        <w:rPr>
          <w:rFonts w:cs="Arial"/>
          <w:spacing w:val="-3"/>
          <w:lang w:val="es-CO"/>
        </w:rPr>
      </w:pPr>
      <w:r w:rsidRPr="00127BD4">
        <w:rPr>
          <w:rFonts w:cs="Arial"/>
          <w:spacing w:val="-3"/>
          <w:lang w:val="es-CO"/>
        </w:rPr>
        <w:t>Volumen comercial (s</w:t>
      </w:r>
      <w:r w:rsidR="00DC6F20" w:rsidRPr="00CD4321">
        <w:rPr>
          <w:rFonts w:cs="Arial"/>
          <w:spacing w:val="-3"/>
          <w:lang w:val="es-CO"/>
        </w:rPr>
        <w:t>ó</w:t>
      </w:r>
      <w:r w:rsidRPr="00127BD4">
        <w:rPr>
          <w:rFonts w:cs="Arial"/>
          <w:spacing w:val="-3"/>
          <w:lang w:val="es-CO"/>
        </w:rPr>
        <w:t>lo para especies de tipo arbóreo).</w:t>
      </w:r>
    </w:p>
    <w:p w14:paraId="5F977466" w14:textId="77777777" w:rsidR="00DC6F20" w:rsidRPr="00127BD4" w:rsidRDefault="00DC6F20" w:rsidP="00127BD4">
      <w:pPr>
        <w:tabs>
          <w:tab w:val="left" w:pos="-2268"/>
        </w:tabs>
        <w:suppressAutoHyphens/>
        <w:rPr>
          <w:rFonts w:cs="Arial"/>
          <w:spacing w:val="-3"/>
        </w:rPr>
      </w:pPr>
    </w:p>
    <w:p w14:paraId="7DE53E5E" w14:textId="32DDFBF3" w:rsidR="001F6D70" w:rsidRPr="00127BD4" w:rsidRDefault="001F6D70" w:rsidP="00127BD4">
      <w:pPr>
        <w:pStyle w:val="Prrafodelista"/>
        <w:numPr>
          <w:ilvl w:val="0"/>
          <w:numId w:val="83"/>
        </w:numPr>
        <w:tabs>
          <w:tab w:val="left" w:pos="-2268"/>
        </w:tabs>
        <w:suppressAutoHyphens/>
        <w:ind w:left="567" w:hanging="567"/>
        <w:rPr>
          <w:rFonts w:cs="Arial"/>
          <w:spacing w:val="-3"/>
          <w:lang w:val="es-CO"/>
        </w:rPr>
      </w:pPr>
      <w:r w:rsidRPr="00127BD4">
        <w:rPr>
          <w:rFonts w:cs="Arial"/>
          <w:spacing w:val="-3"/>
          <w:lang w:val="es-CO"/>
        </w:rPr>
        <w:t>Volumen total (s</w:t>
      </w:r>
      <w:r w:rsidR="00DC6F20" w:rsidRPr="00CD4321">
        <w:rPr>
          <w:rFonts w:cs="Arial"/>
          <w:spacing w:val="-3"/>
          <w:lang w:val="es-CO"/>
        </w:rPr>
        <w:t>ó</w:t>
      </w:r>
      <w:r w:rsidRPr="00127BD4">
        <w:rPr>
          <w:rFonts w:cs="Arial"/>
          <w:spacing w:val="-3"/>
          <w:lang w:val="es-CO"/>
        </w:rPr>
        <w:t>lo para especies de tipo arbóreo).</w:t>
      </w:r>
    </w:p>
    <w:p w14:paraId="620844A4" w14:textId="77777777" w:rsidR="00DC6F20" w:rsidRPr="00127BD4" w:rsidRDefault="00DC6F20" w:rsidP="00127BD4">
      <w:pPr>
        <w:tabs>
          <w:tab w:val="left" w:pos="-2268"/>
        </w:tabs>
        <w:suppressAutoHyphens/>
        <w:rPr>
          <w:rFonts w:cs="Arial"/>
          <w:spacing w:val="-3"/>
        </w:rPr>
      </w:pPr>
    </w:p>
    <w:p w14:paraId="5B1B29AB" w14:textId="549F9A13" w:rsidR="001F6D70" w:rsidRPr="00CD4321" w:rsidRDefault="001F6D70" w:rsidP="00127BD4">
      <w:pPr>
        <w:pStyle w:val="Prrafodelista"/>
        <w:numPr>
          <w:ilvl w:val="0"/>
          <w:numId w:val="83"/>
        </w:numPr>
        <w:tabs>
          <w:tab w:val="left" w:pos="-2268"/>
        </w:tabs>
        <w:suppressAutoHyphens/>
        <w:ind w:left="567" w:hanging="567"/>
        <w:rPr>
          <w:rFonts w:cs="Arial"/>
          <w:spacing w:val="-3"/>
        </w:rPr>
      </w:pPr>
      <w:r w:rsidRPr="00127BD4">
        <w:rPr>
          <w:rFonts w:cs="Arial"/>
          <w:spacing w:val="-3"/>
          <w:lang w:val="es-CO"/>
        </w:rPr>
        <w:t>Diámetro de copa.</w:t>
      </w:r>
    </w:p>
    <w:p w14:paraId="3BC1BF2C" w14:textId="77777777" w:rsidR="00C86750" w:rsidRPr="004068F6" w:rsidRDefault="00C86750">
      <w:pPr>
        <w:numPr>
          <w:ilvl w:val="12"/>
          <w:numId w:val="0"/>
        </w:numPr>
        <w:tabs>
          <w:tab w:val="left" w:pos="-2268"/>
        </w:tabs>
        <w:suppressAutoHyphens/>
        <w:rPr>
          <w:spacing w:val="-3"/>
        </w:rPr>
      </w:pPr>
    </w:p>
    <w:p w14:paraId="673AB3BD" w14:textId="42D5C491" w:rsidR="001F4832" w:rsidRPr="004068F6" w:rsidRDefault="006D4C7A" w:rsidP="006D4C7A">
      <w:pPr>
        <w:numPr>
          <w:ilvl w:val="12"/>
          <w:numId w:val="0"/>
        </w:numPr>
        <w:tabs>
          <w:tab w:val="left" w:pos="-2268"/>
        </w:tabs>
        <w:suppressAutoHyphens/>
        <w:rPr>
          <w:spacing w:val="-3"/>
        </w:rPr>
      </w:pPr>
      <w:r w:rsidRPr="004068F6">
        <w:rPr>
          <w:spacing w:val="-3"/>
        </w:rPr>
        <w:t>Para la caracterización y análisis de la regeneración natural se debe</w:t>
      </w:r>
      <w:r w:rsidR="001F4832" w:rsidRPr="004068F6">
        <w:rPr>
          <w:spacing w:val="-3"/>
        </w:rPr>
        <w:t>:</w:t>
      </w:r>
    </w:p>
    <w:p w14:paraId="712D8FF7" w14:textId="77777777" w:rsidR="001F4832" w:rsidRPr="004068F6" w:rsidRDefault="001F4832" w:rsidP="006D4C7A">
      <w:pPr>
        <w:numPr>
          <w:ilvl w:val="12"/>
          <w:numId w:val="0"/>
        </w:numPr>
        <w:tabs>
          <w:tab w:val="left" w:pos="-2268"/>
        </w:tabs>
        <w:suppressAutoHyphens/>
        <w:rPr>
          <w:spacing w:val="-3"/>
        </w:rPr>
      </w:pPr>
    </w:p>
    <w:p w14:paraId="5BE45D5E" w14:textId="7E92566F" w:rsidR="009507A4" w:rsidRPr="00CD4321" w:rsidRDefault="001F4832" w:rsidP="00127BD4">
      <w:pPr>
        <w:pStyle w:val="Prrafodelista"/>
        <w:numPr>
          <w:ilvl w:val="0"/>
          <w:numId w:val="83"/>
        </w:numPr>
        <w:tabs>
          <w:tab w:val="left" w:pos="-2268"/>
        </w:tabs>
        <w:suppressAutoHyphens/>
        <w:ind w:left="567" w:hanging="567"/>
        <w:rPr>
          <w:rFonts w:cs="Arial"/>
          <w:spacing w:val="-3"/>
        </w:rPr>
      </w:pPr>
      <w:r w:rsidRPr="00127BD4">
        <w:rPr>
          <w:rFonts w:cs="Arial"/>
          <w:spacing w:val="-3"/>
          <w:lang w:val="es-CO"/>
        </w:rPr>
        <w:t>I</w:t>
      </w:r>
      <w:r w:rsidR="006D4C7A" w:rsidRPr="00127BD4">
        <w:rPr>
          <w:rFonts w:cs="Arial"/>
          <w:spacing w:val="-3"/>
          <w:lang w:val="es-CO"/>
        </w:rPr>
        <w:t xml:space="preserve">ncluir los individuos </w:t>
      </w:r>
      <w:r w:rsidR="00CE770D" w:rsidRPr="00127BD4">
        <w:rPr>
          <w:rFonts w:cs="Arial"/>
          <w:spacing w:val="-3"/>
          <w:lang w:val="es-CO"/>
        </w:rPr>
        <w:t xml:space="preserve">de especies arbóreas </w:t>
      </w:r>
      <w:r w:rsidR="006D4C7A" w:rsidRPr="00127BD4">
        <w:rPr>
          <w:rFonts w:cs="Arial"/>
          <w:spacing w:val="-3"/>
          <w:lang w:val="es-CO"/>
        </w:rPr>
        <w:t xml:space="preserve">con Diámetro a la Altura del Pecho (DAP) menor a 10 cm en las categorías de tamaño latizal y brinzal (ver </w:t>
      </w:r>
      <w:r w:rsidR="006D4C7A" w:rsidRPr="00127BD4">
        <w:rPr>
          <w:rFonts w:cs="Arial"/>
          <w:spacing w:val="-3"/>
          <w:lang w:val="es-CO"/>
        </w:rPr>
        <w:fldChar w:fldCharType="begin"/>
      </w:r>
      <w:r w:rsidR="006D4C7A" w:rsidRPr="00127BD4">
        <w:rPr>
          <w:rFonts w:cs="Arial"/>
          <w:spacing w:val="-3"/>
          <w:lang w:val="es-CO"/>
        </w:rPr>
        <w:instrText xml:space="preserve"> REF _Ref68298340 \h  \* MERGEFORMAT </w:instrText>
      </w:r>
      <w:r w:rsidR="006D4C7A" w:rsidRPr="00127BD4">
        <w:rPr>
          <w:rFonts w:cs="Arial"/>
          <w:spacing w:val="-3"/>
          <w:lang w:val="es-CO"/>
        </w:rPr>
      </w:r>
      <w:r w:rsidR="006D4C7A" w:rsidRPr="00127BD4">
        <w:rPr>
          <w:rFonts w:cs="Arial"/>
          <w:spacing w:val="-3"/>
          <w:lang w:val="es-CO"/>
        </w:rPr>
        <w:fldChar w:fldCharType="separate"/>
      </w:r>
      <w:r w:rsidR="009C4A81" w:rsidRPr="009C4A81">
        <w:rPr>
          <w:rFonts w:cs="Arial"/>
          <w:spacing w:val="-3"/>
          <w:lang w:val="es-CO"/>
        </w:rPr>
        <w:t>Tabla 21</w:t>
      </w:r>
      <w:r w:rsidR="006D4C7A" w:rsidRPr="00127BD4">
        <w:rPr>
          <w:rFonts w:cs="Arial"/>
          <w:spacing w:val="-3"/>
          <w:lang w:val="es-CO"/>
        </w:rPr>
        <w:fldChar w:fldCharType="end"/>
      </w:r>
      <w:r w:rsidR="006D4C7A" w:rsidRPr="00127BD4">
        <w:rPr>
          <w:rFonts w:cs="Arial"/>
          <w:spacing w:val="-3"/>
          <w:lang w:val="es-CO"/>
        </w:rPr>
        <w:t>)</w:t>
      </w:r>
    </w:p>
    <w:p w14:paraId="709B1C22" w14:textId="77777777" w:rsidR="009507A4" w:rsidRPr="004068F6" w:rsidRDefault="009507A4" w:rsidP="00127BD4">
      <w:pPr>
        <w:tabs>
          <w:tab w:val="left" w:pos="-2268"/>
        </w:tabs>
        <w:suppressAutoHyphens/>
        <w:rPr>
          <w:rFonts w:cs="Arial"/>
          <w:spacing w:val="-3"/>
        </w:rPr>
      </w:pPr>
    </w:p>
    <w:p w14:paraId="49892F82" w14:textId="1FB7A730" w:rsidR="006D4C7A" w:rsidRPr="00CD4321" w:rsidRDefault="009507A4" w:rsidP="00127BD4">
      <w:pPr>
        <w:pStyle w:val="Prrafodelista"/>
        <w:numPr>
          <w:ilvl w:val="0"/>
          <w:numId w:val="83"/>
        </w:numPr>
        <w:tabs>
          <w:tab w:val="left" w:pos="-2268"/>
        </w:tabs>
        <w:suppressAutoHyphens/>
        <w:ind w:left="567" w:hanging="567"/>
        <w:rPr>
          <w:rFonts w:cs="Arial"/>
          <w:spacing w:val="-3"/>
        </w:rPr>
      </w:pPr>
      <w:r w:rsidRPr="00127BD4">
        <w:rPr>
          <w:rFonts w:cs="Arial"/>
          <w:spacing w:val="-3"/>
          <w:lang w:val="es-CO"/>
        </w:rPr>
        <w:t xml:space="preserve">Incluir </w:t>
      </w:r>
      <w:r w:rsidR="006D4C7A" w:rsidRPr="00127BD4">
        <w:rPr>
          <w:rFonts w:cs="Arial"/>
          <w:spacing w:val="-3"/>
          <w:lang w:val="es-CO"/>
        </w:rPr>
        <w:t xml:space="preserve">los individuos </w:t>
      </w:r>
      <w:r w:rsidR="00287A01" w:rsidRPr="00127BD4">
        <w:rPr>
          <w:rFonts w:cs="Arial"/>
          <w:spacing w:val="-3"/>
          <w:lang w:val="es-CO"/>
        </w:rPr>
        <w:t xml:space="preserve">de helechos arborescentes </w:t>
      </w:r>
      <w:r w:rsidR="006D4C7A" w:rsidRPr="00127BD4">
        <w:rPr>
          <w:rFonts w:cs="Arial"/>
          <w:spacing w:val="-3"/>
          <w:lang w:val="es-CO"/>
        </w:rPr>
        <w:t xml:space="preserve">con altura del </w:t>
      </w:r>
      <w:r w:rsidR="008F2486" w:rsidRPr="00127BD4">
        <w:rPr>
          <w:rFonts w:cs="Arial"/>
          <w:spacing w:val="-3"/>
          <w:lang w:val="es-CO"/>
        </w:rPr>
        <w:t>tallo</w:t>
      </w:r>
      <w:r w:rsidR="006D4C7A" w:rsidRPr="00127BD4">
        <w:rPr>
          <w:rFonts w:cs="Arial"/>
          <w:spacing w:val="-3"/>
          <w:lang w:val="es-CO"/>
        </w:rPr>
        <w:t xml:space="preserve"> menor a </w:t>
      </w:r>
      <w:r w:rsidR="00855A16" w:rsidRPr="00127BD4">
        <w:rPr>
          <w:rFonts w:cs="Arial"/>
          <w:spacing w:val="-3"/>
          <w:lang w:val="es-CO"/>
        </w:rPr>
        <w:t>1,5</w:t>
      </w:r>
      <w:r w:rsidR="006D4C7A" w:rsidRPr="00127BD4">
        <w:rPr>
          <w:rFonts w:cs="Arial"/>
          <w:spacing w:val="-3"/>
          <w:lang w:val="es-CO"/>
        </w:rPr>
        <w:t xml:space="preserve"> m.</w:t>
      </w:r>
    </w:p>
    <w:p w14:paraId="2EF05962" w14:textId="77777777" w:rsidR="006D4C7A" w:rsidRPr="004068F6" w:rsidRDefault="006D4C7A" w:rsidP="006D4C7A">
      <w:pPr>
        <w:numPr>
          <w:ilvl w:val="12"/>
          <w:numId w:val="0"/>
        </w:numPr>
        <w:tabs>
          <w:tab w:val="left" w:pos="-2268"/>
        </w:tabs>
        <w:suppressAutoHyphens/>
        <w:rPr>
          <w:spacing w:val="-3"/>
        </w:rPr>
      </w:pPr>
    </w:p>
    <w:p w14:paraId="55A1BF32" w14:textId="1FC1FCC7" w:rsidR="006D4C7A" w:rsidRPr="004068F6" w:rsidRDefault="006D4C7A" w:rsidP="006D4C7A">
      <w:pPr>
        <w:numPr>
          <w:ilvl w:val="12"/>
          <w:numId w:val="0"/>
        </w:numPr>
        <w:tabs>
          <w:tab w:val="left" w:pos="-2268"/>
        </w:tabs>
        <w:suppressAutoHyphens/>
        <w:jc w:val="center"/>
        <w:rPr>
          <w:rFonts w:cs="Arial"/>
          <w:spacing w:val="-3"/>
        </w:rPr>
      </w:pPr>
      <w:bookmarkStart w:id="2891" w:name="_Ref68298340"/>
      <w:r w:rsidRPr="004068F6">
        <w:rPr>
          <w:rFonts w:cs="Arial"/>
          <w:b/>
          <w:spacing w:val="-3"/>
        </w:rPr>
        <w:t xml:space="preserve">Tabla </w:t>
      </w:r>
      <w:r w:rsidRPr="004068F6">
        <w:rPr>
          <w:rFonts w:cs="Arial"/>
          <w:b/>
          <w:spacing w:val="-3"/>
        </w:rPr>
        <w:fldChar w:fldCharType="begin"/>
      </w:r>
      <w:r w:rsidRPr="004068F6">
        <w:rPr>
          <w:rFonts w:cs="Arial"/>
          <w:b/>
          <w:spacing w:val="-3"/>
        </w:rPr>
        <w:instrText xml:space="preserve"> SEQ Tabla \* ARABIC </w:instrText>
      </w:r>
      <w:r w:rsidRPr="004068F6">
        <w:rPr>
          <w:rFonts w:cs="Arial"/>
          <w:b/>
          <w:spacing w:val="-3"/>
        </w:rPr>
        <w:fldChar w:fldCharType="separate"/>
      </w:r>
      <w:r w:rsidR="009C4A81">
        <w:rPr>
          <w:rFonts w:cs="Arial"/>
          <w:b/>
          <w:noProof/>
          <w:spacing w:val="-3"/>
        </w:rPr>
        <w:t>21</w:t>
      </w:r>
      <w:r w:rsidRPr="004068F6">
        <w:rPr>
          <w:rFonts w:cs="Arial"/>
          <w:b/>
          <w:spacing w:val="-3"/>
        </w:rPr>
        <w:fldChar w:fldCharType="end"/>
      </w:r>
      <w:bookmarkEnd w:id="2891"/>
      <w:r w:rsidRPr="004068F6">
        <w:rPr>
          <w:rFonts w:cs="Arial"/>
          <w:b/>
          <w:spacing w:val="-3"/>
        </w:rPr>
        <w:t>.</w:t>
      </w:r>
      <w:r w:rsidRPr="004068F6">
        <w:rPr>
          <w:rFonts w:cs="Arial"/>
          <w:spacing w:val="-3"/>
        </w:rPr>
        <w:t xml:space="preserve"> Categorías de tamaño</w:t>
      </w:r>
    </w:p>
    <w:tbl>
      <w:tblPr>
        <w:tblStyle w:val="Tablaconcuadrcula"/>
        <w:tblW w:w="0" w:type="auto"/>
        <w:tblLook w:val="04A0" w:firstRow="1" w:lastRow="0" w:firstColumn="1" w:lastColumn="0" w:noHBand="0" w:noVBand="1"/>
      </w:tblPr>
      <w:tblGrid>
        <w:gridCol w:w="2933"/>
        <w:gridCol w:w="3133"/>
        <w:gridCol w:w="2764"/>
      </w:tblGrid>
      <w:tr w:rsidR="006D4C7A" w:rsidRPr="004068F6" w14:paraId="7C9B8F14" w14:textId="77777777" w:rsidTr="001E5D96">
        <w:trPr>
          <w:trHeight w:hRule="exact" w:val="567"/>
        </w:trPr>
        <w:tc>
          <w:tcPr>
            <w:tcW w:w="3207" w:type="dxa"/>
            <w:vAlign w:val="center"/>
          </w:tcPr>
          <w:p w14:paraId="3930BCA7" w14:textId="77777777" w:rsidR="006D4C7A" w:rsidRPr="004068F6" w:rsidRDefault="006D4C7A" w:rsidP="001B485E">
            <w:pPr>
              <w:numPr>
                <w:ilvl w:val="12"/>
                <w:numId w:val="0"/>
              </w:numPr>
              <w:tabs>
                <w:tab w:val="left" w:pos="-2268"/>
              </w:tabs>
              <w:suppressAutoHyphens/>
              <w:jc w:val="center"/>
              <w:rPr>
                <w:rFonts w:cs="Arial"/>
                <w:b/>
                <w:bCs/>
                <w:spacing w:val="-3"/>
                <w:sz w:val="22"/>
                <w:szCs w:val="20"/>
              </w:rPr>
            </w:pPr>
            <w:r w:rsidRPr="004068F6">
              <w:rPr>
                <w:rFonts w:cs="Arial"/>
                <w:b/>
                <w:bCs/>
                <w:spacing w:val="-3"/>
                <w:sz w:val="22"/>
                <w:szCs w:val="20"/>
              </w:rPr>
              <w:t>Nombre de la clase</w:t>
            </w:r>
          </w:p>
        </w:tc>
        <w:tc>
          <w:tcPr>
            <w:tcW w:w="3422" w:type="dxa"/>
            <w:vAlign w:val="center"/>
          </w:tcPr>
          <w:p w14:paraId="1DC22431" w14:textId="77777777" w:rsidR="006D4C7A" w:rsidRPr="004068F6" w:rsidRDefault="006D4C7A" w:rsidP="001B485E">
            <w:pPr>
              <w:numPr>
                <w:ilvl w:val="12"/>
                <w:numId w:val="0"/>
              </w:numPr>
              <w:tabs>
                <w:tab w:val="left" w:pos="-2268"/>
              </w:tabs>
              <w:suppressAutoHyphens/>
              <w:jc w:val="center"/>
              <w:rPr>
                <w:rFonts w:cs="Arial"/>
                <w:b/>
                <w:bCs/>
                <w:spacing w:val="-3"/>
                <w:sz w:val="22"/>
                <w:szCs w:val="20"/>
              </w:rPr>
            </w:pPr>
            <w:r w:rsidRPr="004068F6">
              <w:rPr>
                <w:rFonts w:cs="Arial"/>
                <w:b/>
                <w:bCs/>
                <w:spacing w:val="-3"/>
                <w:sz w:val="22"/>
                <w:szCs w:val="20"/>
              </w:rPr>
              <w:t>Tamaño de la clase o categoría</w:t>
            </w:r>
          </w:p>
        </w:tc>
        <w:tc>
          <w:tcPr>
            <w:tcW w:w="2994" w:type="dxa"/>
            <w:vAlign w:val="center"/>
          </w:tcPr>
          <w:p w14:paraId="3BF33741" w14:textId="77777777" w:rsidR="006D4C7A" w:rsidRPr="004068F6" w:rsidRDefault="006D4C7A" w:rsidP="001B485E">
            <w:pPr>
              <w:numPr>
                <w:ilvl w:val="12"/>
                <w:numId w:val="0"/>
              </w:numPr>
              <w:tabs>
                <w:tab w:val="left" w:pos="-2268"/>
              </w:tabs>
              <w:suppressAutoHyphens/>
              <w:jc w:val="center"/>
              <w:rPr>
                <w:rFonts w:cs="Arial"/>
                <w:b/>
                <w:bCs/>
                <w:spacing w:val="-3"/>
                <w:sz w:val="22"/>
                <w:szCs w:val="20"/>
              </w:rPr>
            </w:pPr>
            <w:r w:rsidRPr="004068F6">
              <w:rPr>
                <w:rFonts w:cs="Arial"/>
                <w:b/>
                <w:bCs/>
                <w:spacing w:val="-3"/>
                <w:sz w:val="22"/>
                <w:szCs w:val="20"/>
              </w:rPr>
              <w:t>Categoría de tamaño</w:t>
            </w:r>
          </w:p>
        </w:tc>
      </w:tr>
      <w:tr w:rsidR="006D4C7A" w:rsidRPr="004068F6" w14:paraId="1FC6F98F" w14:textId="77777777" w:rsidTr="001E5D96">
        <w:trPr>
          <w:trHeight w:val="567"/>
        </w:trPr>
        <w:tc>
          <w:tcPr>
            <w:tcW w:w="3207" w:type="dxa"/>
            <w:vAlign w:val="center"/>
          </w:tcPr>
          <w:p w14:paraId="76CCE3A1" w14:textId="77777777" w:rsidR="006D4C7A" w:rsidRPr="004068F6" w:rsidRDefault="006D4C7A" w:rsidP="001B485E">
            <w:pPr>
              <w:numPr>
                <w:ilvl w:val="12"/>
                <w:numId w:val="0"/>
              </w:numPr>
              <w:tabs>
                <w:tab w:val="left" w:pos="-2268"/>
              </w:tabs>
              <w:suppressAutoHyphens/>
              <w:rPr>
                <w:rFonts w:cs="Arial"/>
                <w:spacing w:val="-3"/>
                <w:sz w:val="22"/>
                <w:szCs w:val="20"/>
              </w:rPr>
            </w:pPr>
            <w:r w:rsidRPr="004068F6">
              <w:rPr>
                <w:rFonts w:cs="Arial"/>
                <w:spacing w:val="-3"/>
                <w:sz w:val="22"/>
                <w:szCs w:val="20"/>
              </w:rPr>
              <w:t>Renuevo o plántula</w:t>
            </w:r>
          </w:p>
        </w:tc>
        <w:tc>
          <w:tcPr>
            <w:tcW w:w="3422" w:type="dxa"/>
            <w:vAlign w:val="center"/>
          </w:tcPr>
          <w:p w14:paraId="2D4590F3" w14:textId="77777777" w:rsidR="006D4C7A" w:rsidRPr="004068F6" w:rsidRDefault="006D4C7A" w:rsidP="001B485E">
            <w:pPr>
              <w:numPr>
                <w:ilvl w:val="12"/>
                <w:numId w:val="0"/>
              </w:numPr>
              <w:tabs>
                <w:tab w:val="left" w:pos="-2268"/>
              </w:tabs>
              <w:suppressAutoHyphens/>
              <w:rPr>
                <w:rFonts w:cs="Arial"/>
                <w:spacing w:val="-3"/>
                <w:sz w:val="22"/>
                <w:szCs w:val="20"/>
              </w:rPr>
            </w:pPr>
            <w:r w:rsidRPr="004068F6">
              <w:rPr>
                <w:rFonts w:cs="Arial"/>
                <w:spacing w:val="-3"/>
                <w:sz w:val="22"/>
                <w:szCs w:val="20"/>
              </w:rPr>
              <w:t>Altura menor de 30 cm</w:t>
            </w:r>
          </w:p>
        </w:tc>
        <w:tc>
          <w:tcPr>
            <w:tcW w:w="2994" w:type="dxa"/>
            <w:vAlign w:val="center"/>
          </w:tcPr>
          <w:p w14:paraId="60D67EAF" w14:textId="77777777" w:rsidR="006D4C7A" w:rsidRPr="004068F6" w:rsidRDefault="006D4C7A" w:rsidP="001B485E">
            <w:pPr>
              <w:numPr>
                <w:ilvl w:val="12"/>
                <w:numId w:val="0"/>
              </w:numPr>
              <w:tabs>
                <w:tab w:val="left" w:pos="-2268"/>
              </w:tabs>
              <w:suppressAutoHyphens/>
              <w:jc w:val="center"/>
              <w:rPr>
                <w:rFonts w:cs="Arial"/>
                <w:spacing w:val="-3"/>
                <w:sz w:val="22"/>
                <w:szCs w:val="20"/>
              </w:rPr>
            </w:pPr>
            <w:r w:rsidRPr="004068F6">
              <w:rPr>
                <w:rFonts w:cs="Arial"/>
                <w:spacing w:val="-3"/>
                <w:sz w:val="22"/>
                <w:szCs w:val="20"/>
              </w:rPr>
              <w:t>Ct1</w:t>
            </w:r>
          </w:p>
        </w:tc>
      </w:tr>
      <w:tr w:rsidR="006D4C7A" w:rsidRPr="004068F6" w14:paraId="00EE5D8A" w14:textId="77777777" w:rsidTr="001E5D96">
        <w:trPr>
          <w:trHeight w:val="567"/>
        </w:trPr>
        <w:tc>
          <w:tcPr>
            <w:tcW w:w="3207" w:type="dxa"/>
            <w:vAlign w:val="center"/>
          </w:tcPr>
          <w:p w14:paraId="2F60B1B3" w14:textId="77777777" w:rsidR="006D4C7A" w:rsidRPr="004068F6" w:rsidRDefault="006D4C7A" w:rsidP="001B485E">
            <w:pPr>
              <w:numPr>
                <w:ilvl w:val="12"/>
                <w:numId w:val="0"/>
              </w:numPr>
              <w:tabs>
                <w:tab w:val="left" w:pos="-2268"/>
              </w:tabs>
              <w:suppressAutoHyphens/>
              <w:rPr>
                <w:rFonts w:cs="Arial"/>
                <w:spacing w:val="-3"/>
                <w:sz w:val="22"/>
                <w:szCs w:val="20"/>
              </w:rPr>
            </w:pPr>
            <w:r w:rsidRPr="004068F6">
              <w:rPr>
                <w:rFonts w:cs="Arial"/>
                <w:spacing w:val="-3"/>
                <w:sz w:val="22"/>
                <w:szCs w:val="20"/>
              </w:rPr>
              <w:t>Brinzal</w:t>
            </w:r>
          </w:p>
        </w:tc>
        <w:tc>
          <w:tcPr>
            <w:tcW w:w="3422" w:type="dxa"/>
            <w:vAlign w:val="center"/>
          </w:tcPr>
          <w:p w14:paraId="2B8DF632" w14:textId="2DCA24C3" w:rsidR="006D4C7A" w:rsidRPr="004068F6" w:rsidRDefault="006D4C7A" w:rsidP="001B485E">
            <w:pPr>
              <w:numPr>
                <w:ilvl w:val="12"/>
                <w:numId w:val="0"/>
              </w:numPr>
              <w:tabs>
                <w:tab w:val="left" w:pos="-2268"/>
              </w:tabs>
              <w:suppressAutoHyphens/>
              <w:rPr>
                <w:rFonts w:cs="Arial"/>
                <w:spacing w:val="-3"/>
                <w:sz w:val="22"/>
                <w:szCs w:val="20"/>
              </w:rPr>
            </w:pPr>
            <w:r w:rsidRPr="004068F6">
              <w:rPr>
                <w:rFonts w:cs="Arial"/>
                <w:spacing w:val="-3"/>
                <w:sz w:val="22"/>
                <w:szCs w:val="20"/>
              </w:rPr>
              <w:t>Altura entre 3</w:t>
            </w:r>
            <w:r w:rsidR="006B7500" w:rsidRPr="004068F6">
              <w:rPr>
                <w:rFonts w:cs="Arial"/>
                <w:spacing w:val="-3"/>
                <w:sz w:val="22"/>
                <w:szCs w:val="20"/>
              </w:rPr>
              <w:t>0</w:t>
            </w:r>
            <w:r w:rsidRPr="004068F6">
              <w:rPr>
                <w:rFonts w:cs="Arial"/>
                <w:spacing w:val="-3"/>
                <w:sz w:val="22"/>
                <w:szCs w:val="20"/>
              </w:rPr>
              <w:t xml:space="preserve"> </w:t>
            </w:r>
            <w:r w:rsidR="006B7500" w:rsidRPr="004068F6">
              <w:rPr>
                <w:rFonts w:cs="Arial"/>
                <w:spacing w:val="-3"/>
                <w:sz w:val="22"/>
                <w:szCs w:val="20"/>
              </w:rPr>
              <w:t>y</w:t>
            </w:r>
            <w:r w:rsidRPr="004068F6">
              <w:rPr>
                <w:rFonts w:cs="Arial"/>
                <w:spacing w:val="-3"/>
                <w:sz w:val="22"/>
                <w:szCs w:val="20"/>
              </w:rPr>
              <w:t xml:space="preserve"> 150 cm</w:t>
            </w:r>
          </w:p>
        </w:tc>
        <w:tc>
          <w:tcPr>
            <w:tcW w:w="2994" w:type="dxa"/>
            <w:vAlign w:val="center"/>
          </w:tcPr>
          <w:p w14:paraId="002AB1A9" w14:textId="77777777" w:rsidR="006D4C7A" w:rsidRPr="004068F6" w:rsidRDefault="006D4C7A" w:rsidP="001B485E">
            <w:pPr>
              <w:numPr>
                <w:ilvl w:val="12"/>
                <w:numId w:val="0"/>
              </w:numPr>
              <w:tabs>
                <w:tab w:val="left" w:pos="-2268"/>
              </w:tabs>
              <w:suppressAutoHyphens/>
              <w:jc w:val="center"/>
              <w:rPr>
                <w:rFonts w:cs="Arial"/>
                <w:spacing w:val="-3"/>
                <w:sz w:val="22"/>
                <w:szCs w:val="20"/>
              </w:rPr>
            </w:pPr>
            <w:r w:rsidRPr="004068F6">
              <w:rPr>
                <w:rFonts w:cs="Arial"/>
                <w:spacing w:val="-3"/>
                <w:sz w:val="22"/>
                <w:szCs w:val="20"/>
              </w:rPr>
              <w:t>Ct2</w:t>
            </w:r>
          </w:p>
        </w:tc>
      </w:tr>
      <w:tr w:rsidR="006D4C7A" w:rsidRPr="004068F6" w14:paraId="12ED4CAB" w14:textId="77777777" w:rsidTr="001E5D96">
        <w:trPr>
          <w:trHeight w:val="567"/>
        </w:trPr>
        <w:tc>
          <w:tcPr>
            <w:tcW w:w="3207" w:type="dxa"/>
            <w:vAlign w:val="center"/>
          </w:tcPr>
          <w:p w14:paraId="53873300" w14:textId="77777777" w:rsidR="006D4C7A" w:rsidRPr="004068F6" w:rsidRDefault="006D4C7A" w:rsidP="001B485E">
            <w:pPr>
              <w:numPr>
                <w:ilvl w:val="12"/>
                <w:numId w:val="0"/>
              </w:numPr>
              <w:tabs>
                <w:tab w:val="left" w:pos="-2268"/>
              </w:tabs>
              <w:suppressAutoHyphens/>
              <w:rPr>
                <w:rFonts w:cs="Arial"/>
                <w:spacing w:val="-3"/>
                <w:sz w:val="22"/>
                <w:szCs w:val="20"/>
              </w:rPr>
            </w:pPr>
            <w:r w:rsidRPr="004068F6">
              <w:rPr>
                <w:rFonts w:cs="Arial"/>
                <w:spacing w:val="-3"/>
                <w:sz w:val="22"/>
                <w:szCs w:val="20"/>
              </w:rPr>
              <w:t>Latizal</w:t>
            </w:r>
          </w:p>
        </w:tc>
        <w:tc>
          <w:tcPr>
            <w:tcW w:w="3422" w:type="dxa"/>
            <w:vAlign w:val="center"/>
          </w:tcPr>
          <w:p w14:paraId="04BC743D" w14:textId="3EF11E10" w:rsidR="006D4C7A" w:rsidRPr="004068F6" w:rsidRDefault="006D4C7A" w:rsidP="001B485E">
            <w:pPr>
              <w:numPr>
                <w:ilvl w:val="12"/>
                <w:numId w:val="0"/>
              </w:numPr>
              <w:tabs>
                <w:tab w:val="left" w:pos="-2268"/>
              </w:tabs>
              <w:suppressAutoHyphens/>
              <w:rPr>
                <w:rFonts w:cs="Arial"/>
                <w:spacing w:val="-3"/>
                <w:sz w:val="22"/>
                <w:szCs w:val="20"/>
              </w:rPr>
            </w:pPr>
            <w:r w:rsidRPr="004068F6">
              <w:rPr>
                <w:rFonts w:cs="Arial"/>
                <w:spacing w:val="-3"/>
                <w:sz w:val="22"/>
                <w:szCs w:val="20"/>
              </w:rPr>
              <w:t>Altura mayor a 150 cm y diámetro menor a 9</w:t>
            </w:r>
            <w:r w:rsidR="006B7500" w:rsidRPr="004068F6">
              <w:rPr>
                <w:rFonts w:cs="Arial"/>
                <w:spacing w:val="-3"/>
                <w:sz w:val="22"/>
                <w:szCs w:val="20"/>
              </w:rPr>
              <w:t>,</w:t>
            </w:r>
            <w:r w:rsidRPr="004068F6">
              <w:rPr>
                <w:rFonts w:cs="Arial"/>
                <w:spacing w:val="-3"/>
                <w:sz w:val="22"/>
                <w:szCs w:val="20"/>
              </w:rPr>
              <w:t>9 cm</w:t>
            </w:r>
          </w:p>
        </w:tc>
        <w:tc>
          <w:tcPr>
            <w:tcW w:w="2994" w:type="dxa"/>
            <w:vAlign w:val="center"/>
          </w:tcPr>
          <w:p w14:paraId="4CC3E9CD" w14:textId="77777777" w:rsidR="006D4C7A" w:rsidRPr="004068F6" w:rsidRDefault="006D4C7A" w:rsidP="001B485E">
            <w:pPr>
              <w:numPr>
                <w:ilvl w:val="12"/>
                <w:numId w:val="0"/>
              </w:numPr>
              <w:tabs>
                <w:tab w:val="left" w:pos="-2268"/>
              </w:tabs>
              <w:suppressAutoHyphens/>
              <w:jc w:val="center"/>
              <w:rPr>
                <w:rFonts w:cs="Arial"/>
                <w:spacing w:val="-3"/>
                <w:sz w:val="22"/>
                <w:szCs w:val="20"/>
              </w:rPr>
            </w:pPr>
            <w:r w:rsidRPr="004068F6">
              <w:rPr>
                <w:rFonts w:cs="Arial"/>
                <w:spacing w:val="-3"/>
                <w:sz w:val="22"/>
                <w:szCs w:val="20"/>
              </w:rPr>
              <w:t>Ct3</w:t>
            </w:r>
          </w:p>
        </w:tc>
      </w:tr>
    </w:tbl>
    <w:p w14:paraId="34A304E1" w14:textId="0161CF9F" w:rsidR="006D4C7A" w:rsidRPr="004068F6" w:rsidRDefault="006D4C7A" w:rsidP="006D4C7A">
      <w:pPr>
        <w:numPr>
          <w:ilvl w:val="12"/>
          <w:numId w:val="0"/>
        </w:numPr>
        <w:tabs>
          <w:tab w:val="left" w:pos="-2268"/>
        </w:tabs>
        <w:suppressAutoHyphens/>
        <w:jc w:val="center"/>
        <w:rPr>
          <w:spacing w:val="-3"/>
          <w:sz w:val="20"/>
        </w:rPr>
      </w:pPr>
      <w:r w:rsidRPr="004068F6">
        <w:rPr>
          <w:b/>
          <w:spacing w:val="-3"/>
          <w:sz w:val="20"/>
        </w:rPr>
        <w:t>Fuente:</w:t>
      </w:r>
      <w:r w:rsidRPr="004068F6">
        <w:rPr>
          <w:spacing w:val="-3"/>
          <w:sz w:val="20"/>
        </w:rPr>
        <w:t xml:space="preserve"> </w:t>
      </w:r>
      <w:r w:rsidR="00B37DDB" w:rsidRPr="004068F6">
        <w:rPr>
          <w:spacing w:val="-3"/>
          <w:sz w:val="20"/>
        </w:rPr>
        <w:t>Ministerio del Medio Ambiente &amp; Asociación colombiana de reforestadores</w:t>
      </w:r>
      <w:r w:rsidRPr="004068F6">
        <w:rPr>
          <w:spacing w:val="-3"/>
          <w:sz w:val="20"/>
        </w:rPr>
        <w:t xml:space="preserve"> </w:t>
      </w:r>
      <w:r w:rsidR="00B37DDB" w:rsidRPr="004068F6">
        <w:rPr>
          <w:spacing w:val="-3"/>
          <w:sz w:val="20"/>
        </w:rPr>
        <w:t>(</w:t>
      </w:r>
      <w:r w:rsidRPr="004068F6">
        <w:rPr>
          <w:spacing w:val="-3"/>
          <w:sz w:val="20"/>
        </w:rPr>
        <w:t>2002</w:t>
      </w:r>
      <w:r w:rsidR="00B37DDB" w:rsidRPr="004068F6">
        <w:rPr>
          <w:spacing w:val="-3"/>
          <w:sz w:val="20"/>
        </w:rPr>
        <w:t>)</w:t>
      </w:r>
      <w:r w:rsidRPr="004068F6">
        <w:rPr>
          <w:spacing w:val="-3"/>
          <w:sz w:val="20"/>
        </w:rPr>
        <w:t>.</w:t>
      </w:r>
    </w:p>
    <w:p w14:paraId="1BFCBA71" w14:textId="77777777" w:rsidR="006D4C7A" w:rsidRPr="004068F6" w:rsidRDefault="006D4C7A">
      <w:pPr>
        <w:numPr>
          <w:ilvl w:val="12"/>
          <w:numId w:val="0"/>
        </w:numPr>
        <w:tabs>
          <w:tab w:val="left" w:pos="-2268"/>
        </w:tabs>
        <w:suppressAutoHyphens/>
        <w:rPr>
          <w:spacing w:val="-3"/>
        </w:rPr>
      </w:pPr>
    </w:p>
    <w:p w14:paraId="04709D39" w14:textId="4620B0FF" w:rsidR="001768F7" w:rsidRPr="004068F6" w:rsidRDefault="00D1438B">
      <w:pPr>
        <w:numPr>
          <w:ilvl w:val="12"/>
          <w:numId w:val="0"/>
        </w:numPr>
        <w:tabs>
          <w:tab w:val="left" w:pos="-2268"/>
        </w:tabs>
        <w:suppressAutoHyphens/>
        <w:rPr>
          <w:spacing w:val="-3"/>
        </w:rPr>
      </w:pPr>
      <w:r w:rsidRPr="004068F6">
        <w:rPr>
          <w:rFonts w:cs="Arial"/>
          <w:spacing w:val="-3"/>
        </w:rPr>
        <w:t>L</w:t>
      </w:r>
      <w:r w:rsidR="001768F7" w:rsidRPr="004068F6">
        <w:rPr>
          <w:rFonts w:cs="Arial"/>
          <w:spacing w:val="-3"/>
        </w:rPr>
        <w:t xml:space="preserve">as planillas </w:t>
      </w:r>
      <w:r w:rsidR="00C86750" w:rsidRPr="004068F6">
        <w:rPr>
          <w:rFonts w:cs="Arial"/>
          <w:spacing w:val="-3"/>
        </w:rPr>
        <w:t>en las que se registren las mediciones de cada individuo</w:t>
      </w:r>
      <w:r w:rsidR="001768F7" w:rsidRPr="004068F6">
        <w:rPr>
          <w:rFonts w:cs="Arial"/>
          <w:spacing w:val="-3"/>
        </w:rPr>
        <w:t xml:space="preserve"> </w:t>
      </w:r>
      <w:r w:rsidR="001768F7" w:rsidRPr="004068F6">
        <w:rPr>
          <w:spacing w:val="-3"/>
        </w:rPr>
        <w:t>para cada una de las unidades de muestreo</w:t>
      </w:r>
      <w:r w:rsidRPr="004068F6">
        <w:rPr>
          <w:spacing w:val="-3"/>
        </w:rPr>
        <w:t xml:space="preserve"> </w:t>
      </w:r>
      <w:r w:rsidR="008C442C" w:rsidRPr="004068F6">
        <w:rPr>
          <w:spacing w:val="-3"/>
        </w:rPr>
        <w:t xml:space="preserve">(bien sean análogas o digitales) </w:t>
      </w:r>
      <w:r w:rsidRPr="004068F6">
        <w:rPr>
          <w:spacing w:val="-3"/>
        </w:rPr>
        <w:t>deben ser conservadas y una copia debe ser entregada con el EIA</w:t>
      </w:r>
      <w:r w:rsidR="001768F7" w:rsidRPr="004068F6">
        <w:rPr>
          <w:spacing w:val="-3"/>
        </w:rPr>
        <w:t>.</w:t>
      </w:r>
    </w:p>
    <w:p w14:paraId="6F4C502C" w14:textId="77777777" w:rsidR="001768F7" w:rsidRPr="004068F6" w:rsidRDefault="001768F7">
      <w:pPr>
        <w:numPr>
          <w:ilvl w:val="12"/>
          <w:numId w:val="0"/>
        </w:numPr>
        <w:tabs>
          <w:tab w:val="left" w:pos="-2268"/>
        </w:tabs>
        <w:suppressAutoHyphens/>
        <w:rPr>
          <w:spacing w:val="-3"/>
        </w:rPr>
      </w:pPr>
    </w:p>
    <w:p w14:paraId="29BD9E91" w14:textId="6395A737" w:rsidR="00482A5F" w:rsidRPr="004068F6" w:rsidRDefault="00482A5F" w:rsidP="00482A5F">
      <w:pPr>
        <w:numPr>
          <w:ilvl w:val="12"/>
          <w:numId w:val="0"/>
        </w:numPr>
        <w:tabs>
          <w:tab w:val="left" w:pos="-2268"/>
        </w:tabs>
        <w:suppressAutoHyphens/>
        <w:rPr>
          <w:rFonts w:cs="Arial"/>
          <w:spacing w:val="-3"/>
        </w:rPr>
      </w:pPr>
      <w:r w:rsidRPr="004068F6">
        <w:rPr>
          <w:rFonts w:cs="Arial"/>
          <w:spacing w:val="-3"/>
        </w:rPr>
        <w:t xml:space="preserve">La </w:t>
      </w:r>
      <w:r w:rsidR="00BA0DAE" w:rsidRPr="004068F6">
        <w:rPr>
          <w:rFonts w:cs="Arial"/>
          <w:spacing w:val="-3"/>
        </w:rPr>
        <w:t xml:space="preserve">determinación </w:t>
      </w:r>
      <w:r w:rsidRPr="004068F6">
        <w:rPr>
          <w:rFonts w:cs="Arial"/>
          <w:spacing w:val="-3"/>
        </w:rPr>
        <w:t>de</w:t>
      </w:r>
      <w:r w:rsidRPr="004068F6">
        <w:rPr>
          <w:spacing w:val="-3"/>
        </w:rPr>
        <w:t xml:space="preserve"> los individuos registrados</w:t>
      </w:r>
      <w:r w:rsidRPr="004068F6">
        <w:rPr>
          <w:rFonts w:cs="Arial"/>
          <w:spacing w:val="-3"/>
        </w:rPr>
        <w:t xml:space="preserve"> </w:t>
      </w:r>
      <w:bookmarkStart w:id="2892" w:name="_Hlk87516993"/>
      <w:r w:rsidRPr="004068F6">
        <w:rPr>
          <w:rFonts w:cs="Arial"/>
          <w:spacing w:val="-3"/>
        </w:rPr>
        <w:t>se debe realizar</w:t>
      </w:r>
      <w:r w:rsidRPr="004068F6">
        <w:rPr>
          <w:spacing w:val="-3"/>
        </w:rPr>
        <w:t xml:space="preserve"> a nivel de especie o al </w:t>
      </w:r>
      <w:r w:rsidR="00494958" w:rsidRPr="004068F6">
        <w:rPr>
          <w:spacing w:val="-3"/>
        </w:rPr>
        <w:t>mayor</w:t>
      </w:r>
      <w:r w:rsidR="008B35EF" w:rsidRPr="004068F6">
        <w:rPr>
          <w:spacing w:val="-3"/>
        </w:rPr>
        <w:t xml:space="preserve"> </w:t>
      </w:r>
      <w:r w:rsidRPr="004068F6">
        <w:rPr>
          <w:spacing w:val="-3"/>
        </w:rPr>
        <w:t xml:space="preserve">nivel </w:t>
      </w:r>
      <w:r w:rsidR="008B35EF" w:rsidRPr="004068F6">
        <w:rPr>
          <w:spacing w:val="-3"/>
        </w:rPr>
        <w:t xml:space="preserve">de </w:t>
      </w:r>
      <w:r w:rsidR="006B7500" w:rsidRPr="004068F6">
        <w:rPr>
          <w:spacing w:val="-3"/>
        </w:rPr>
        <w:t xml:space="preserve">detalle </w:t>
      </w:r>
      <w:r w:rsidR="008B35EF" w:rsidRPr="004068F6">
        <w:rPr>
          <w:spacing w:val="-3"/>
        </w:rPr>
        <w:t>taxonómic</w:t>
      </w:r>
      <w:r w:rsidR="006B7500" w:rsidRPr="004068F6">
        <w:rPr>
          <w:spacing w:val="-3"/>
        </w:rPr>
        <w:t>o</w:t>
      </w:r>
      <w:r w:rsidR="008B35EF" w:rsidRPr="004068F6">
        <w:rPr>
          <w:spacing w:val="-3"/>
        </w:rPr>
        <w:t xml:space="preserve"> </w:t>
      </w:r>
      <w:r w:rsidRPr="004068F6">
        <w:rPr>
          <w:spacing w:val="-3"/>
        </w:rPr>
        <w:t>posible</w:t>
      </w:r>
      <w:bookmarkEnd w:id="2892"/>
      <w:r w:rsidRPr="004068F6">
        <w:rPr>
          <w:spacing w:val="-3"/>
        </w:rPr>
        <w:t xml:space="preserve">. La nomenclatura taxonómica debe estar de acuerdo con el </w:t>
      </w:r>
      <w:r w:rsidR="00D16E25" w:rsidRPr="004068F6">
        <w:rPr>
          <w:spacing w:val="-3"/>
        </w:rPr>
        <w:t>C</w:t>
      </w:r>
      <w:r w:rsidRPr="004068F6">
        <w:rPr>
          <w:spacing w:val="-3"/>
        </w:rPr>
        <w:t>atálogo de plantas y líquenes de Colombia</w:t>
      </w:r>
      <w:r w:rsidRPr="004068F6">
        <w:rPr>
          <w:rStyle w:val="Refdenotaalpie"/>
          <w:rFonts w:cs="Arial"/>
          <w:spacing w:val="-3"/>
          <w:lang w:val="es-CO"/>
        </w:rPr>
        <w:footnoteReference w:id="144"/>
      </w:r>
      <w:r w:rsidRPr="004068F6">
        <w:rPr>
          <w:spacing w:val="-3"/>
        </w:rPr>
        <w:t>.</w:t>
      </w:r>
      <w:r w:rsidR="00D4332A" w:rsidRPr="004068F6">
        <w:rPr>
          <w:spacing w:val="-3"/>
        </w:rPr>
        <w:t xml:space="preserve"> o </w:t>
      </w:r>
      <w:r w:rsidR="00031D22" w:rsidRPr="004068F6">
        <w:rPr>
          <w:spacing w:val="-3"/>
        </w:rPr>
        <w:t xml:space="preserve">con </w:t>
      </w:r>
      <w:r w:rsidR="00027521" w:rsidRPr="004068F6">
        <w:rPr>
          <w:spacing w:val="-3"/>
        </w:rPr>
        <w:t xml:space="preserve">organizaciones </w:t>
      </w:r>
      <w:r w:rsidR="00D4332A" w:rsidRPr="004068F6">
        <w:rPr>
          <w:spacing w:val="-3"/>
        </w:rPr>
        <w:t xml:space="preserve">que </w:t>
      </w:r>
      <w:r w:rsidR="00EE018E" w:rsidRPr="004068F6">
        <w:rPr>
          <w:spacing w:val="-3"/>
        </w:rPr>
        <w:t xml:space="preserve">emplean </w:t>
      </w:r>
      <w:r w:rsidR="00D4332A" w:rsidRPr="004068F6">
        <w:rPr>
          <w:spacing w:val="-3"/>
        </w:rPr>
        <w:t xml:space="preserve">nomenclaturas taxonómicas actualizadas, como </w:t>
      </w:r>
      <w:r w:rsidR="00D4332A" w:rsidRPr="004068F6">
        <w:rPr>
          <w:spacing w:val="-3"/>
        </w:rPr>
        <w:lastRenderedPageBreak/>
        <w:t>International Plant name index, Plants of the world online, GBIF, Index fungorum y Catalogue of life.</w:t>
      </w:r>
    </w:p>
    <w:p w14:paraId="6A78DABE" w14:textId="77777777" w:rsidR="00482A5F" w:rsidRPr="004068F6" w:rsidRDefault="00482A5F" w:rsidP="00482A5F">
      <w:pPr>
        <w:numPr>
          <w:ilvl w:val="12"/>
          <w:numId w:val="0"/>
        </w:numPr>
        <w:tabs>
          <w:tab w:val="left" w:pos="-2268"/>
        </w:tabs>
        <w:suppressAutoHyphens/>
        <w:rPr>
          <w:rFonts w:cs="Arial"/>
          <w:spacing w:val="-3"/>
        </w:rPr>
      </w:pPr>
    </w:p>
    <w:p w14:paraId="396CA276" w14:textId="1C458CBB" w:rsidR="00482A5F" w:rsidRPr="004068F6" w:rsidRDefault="00482A5F">
      <w:pPr>
        <w:numPr>
          <w:ilvl w:val="12"/>
          <w:numId w:val="0"/>
        </w:numPr>
        <w:tabs>
          <w:tab w:val="left" w:pos="-2268"/>
        </w:tabs>
        <w:suppressAutoHyphens/>
        <w:rPr>
          <w:spacing w:val="-3"/>
        </w:rPr>
      </w:pPr>
      <w:r w:rsidRPr="004068F6">
        <w:rPr>
          <w:rFonts w:cs="Arial"/>
          <w:spacing w:val="-3"/>
        </w:rPr>
        <w:t>Se debe</w:t>
      </w:r>
      <w:r w:rsidRPr="004068F6">
        <w:rPr>
          <w:spacing w:val="-3"/>
        </w:rPr>
        <w:t xml:space="preserve"> identificar </w:t>
      </w:r>
      <w:r w:rsidRPr="004068F6">
        <w:rPr>
          <w:rFonts w:cs="Arial"/>
          <w:spacing w:val="-3"/>
        </w:rPr>
        <w:t>y registrar a partir de</w:t>
      </w:r>
      <w:r w:rsidRPr="004068F6">
        <w:rPr>
          <w:spacing w:val="-3"/>
        </w:rPr>
        <w:t xml:space="preserve"> los muestreos la presencia</w:t>
      </w:r>
      <w:r w:rsidRPr="004068F6" w:rsidDel="00217508">
        <w:rPr>
          <w:spacing w:val="-3"/>
        </w:rPr>
        <w:t xml:space="preserve"> </w:t>
      </w:r>
      <w:r w:rsidRPr="004068F6">
        <w:rPr>
          <w:spacing w:val="-3"/>
        </w:rPr>
        <w:t xml:space="preserve">de especies endémicas, en veda </w:t>
      </w:r>
      <w:r w:rsidR="00A46FE9" w:rsidRPr="004068F6">
        <w:rPr>
          <w:spacing w:val="-3"/>
        </w:rPr>
        <w:t xml:space="preserve">en el ámbito </w:t>
      </w:r>
      <w:r w:rsidRPr="004068F6">
        <w:rPr>
          <w:spacing w:val="-3"/>
        </w:rPr>
        <w:t xml:space="preserve">nacional o regional, en categorías de amenaza </w:t>
      </w:r>
      <w:r w:rsidR="00A46FE9" w:rsidRPr="004068F6">
        <w:rPr>
          <w:spacing w:val="-3"/>
        </w:rPr>
        <w:t xml:space="preserve">según </w:t>
      </w:r>
      <w:r w:rsidRPr="004068F6">
        <w:rPr>
          <w:spacing w:val="-3"/>
        </w:rPr>
        <w:t xml:space="preserve">lo establecido en la </w:t>
      </w:r>
      <w:r w:rsidR="00AC3FD2" w:rsidRPr="004068F6">
        <w:rPr>
          <w:spacing w:val="-3"/>
        </w:rPr>
        <w:t>Resolución 0126 de 2024</w:t>
      </w:r>
      <w:r w:rsidRPr="004068F6">
        <w:rPr>
          <w:spacing w:val="-3"/>
        </w:rPr>
        <w:t xml:space="preserve"> o aquella norma que la modifique</w:t>
      </w:r>
      <w:r w:rsidR="00A177CF" w:rsidRPr="004068F6">
        <w:rPr>
          <w:rFonts w:cs="Arial"/>
          <w:spacing w:val="-3"/>
        </w:rPr>
        <w:t xml:space="preserve"> o </w:t>
      </w:r>
      <w:r w:rsidRPr="004068F6">
        <w:rPr>
          <w:spacing w:val="-3"/>
        </w:rPr>
        <w:t>sustituya</w:t>
      </w:r>
      <w:r w:rsidR="00AE1D54" w:rsidRPr="004068F6">
        <w:rPr>
          <w:spacing w:val="-3"/>
        </w:rPr>
        <w:t>, libros rojos nacionales</w:t>
      </w:r>
      <w:r w:rsidR="00A31EE9" w:rsidRPr="004068F6">
        <w:rPr>
          <w:spacing w:val="-3"/>
        </w:rPr>
        <w:t xml:space="preserve"> y </w:t>
      </w:r>
      <w:r w:rsidRPr="004068F6">
        <w:rPr>
          <w:spacing w:val="-3"/>
        </w:rPr>
        <w:t>en los listados de la Unión Internacional para la Conservación de la Naturaleza (UICN) (en su versión más actualizada; señalar la fecha de consulta)</w:t>
      </w:r>
      <w:r w:rsidR="00A31EE9" w:rsidRPr="004068F6">
        <w:rPr>
          <w:spacing w:val="-3"/>
        </w:rPr>
        <w:t>, así como las especies incluidas</w:t>
      </w:r>
      <w:r w:rsidRPr="004068F6">
        <w:rPr>
          <w:spacing w:val="-3"/>
        </w:rPr>
        <w:t xml:space="preserve"> en los apéndices I, II y III de la Convención sobre el Comercio Internacional de Especies de Fauna y Flora Silvestres (CITES</w:t>
      </w:r>
      <w:r w:rsidRPr="004068F6">
        <w:rPr>
          <w:rFonts w:cs="Arial"/>
          <w:spacing w:val="-3"/>
        </w:rPr>
        <w:t>).</w:t>
      </w:r>
    </w:p>
    <w:p w14:paraId="17A150E0" w14:textId="77777777" w:rsidR="00482A5F" w:rsidRPr="004068F6" w:rsidRDefault="00482A5F" w:rsidP="00482A5F">
      <w:pPr>
        <w:numPr>
          <w:ilvl w:val="12"/>
          <w:numId w:val="0"/>
        </w:numPr>
        <w:tabs>
          <w:tab w:val="left" w:pos="-2268"/>
        </w:tabs>
        <w:suppressAutoHyphens/>
        <w:rPr>
          <w:rFonts w:cs="Arial"/>
          <w:spacing w:val="-3"/>
        </w:rPr>
      </w:pPr>
    </w:p>
    <w:p w14:paraId="2E04BB15" w14:textId="06E9A591" w:rsidR="008B35EF" w:rsidRPr="004068F6" w:rsidRDefault="008B35EF" w:rsidP="008B35EF">
      <w:pPr>
        <w:numPr>
          <w:ilvl w:val="12"/>
          <w:numId w:val="0"/>
        </w:numPr>
        <w:tabs>
          <w:tab w:val="left" w:pos="-2268"/>
        </w:tabs>
        <w:suppressAutoHyphens/>
        <w:rPr>
          <w:spacing w:val="-3"/>
        </w:rPr>
      </w:pPr>
      <w:r w:rsidRPr="004068F6">
        <w:rPr>
          <w:rFonts w:cs="Arial"/>
          <w:spacing w:val="-3"/>
        </w:rPr>
        <w:t>Adicionalmente, se debe identificar la presencia de plantas exóticas con alto potencial de invasión</w:t>
      </w:r>
      <w:r w:rsidR="006B7500" w:rsidRPr="004068F6">
        <w:rPr>
          <w:rFonts w:cs="Arial"/>
          <w:spacing w:val="-3"/>
        </w:rPr>
        <w:t>, con el fin de establecer la presión sobre las demás especies identificadas y de establecer si existen impactos asociados a su presencia o potencial de invasión; estas situaciones deben considerarse en la evaluación ambiental</w:t>
      </w:r>
      <w:r w:rsidRPr="004068F6">
        <w:rPr>
          <w:rFonts w:cs="Arial"/>
          <w:spacing w:val="-3"/>
        </w:rPr>
        <w:t xml:space="preserve">. Para tal fin se puede consultar el documento Plantas exóticas con alto potencial de invasión en Colombia, </w:t>
      </w:r>
      <w:r w:rsidR="005F0648" w:rsidRPr="004068F6">
        <w:rPr>
          <w:spacing w:val="-3"/>
        </w:rPr>
        <w:t>Cárdenas-López</w:t>
      </w:r>
      <w:r w:rsidR="005F0648" w:rsidRPr="004068F6">
        <w:rPr>
          <w:rFonts w:cs="Arial"/>
          <w:spacing w:val="-3"/>
        </w:rPr>
        <w:t xml:space="preserve"> </w:t>
      </w:r>
      <w:r w:rsidRPr="004068F6">
        <w:rPr>
          <w:rFonts w:cs="Arial"/>
          <w:spacing w:val="-3"/>
        </w:rPr>
        <w:t>et al. (2017)</w:t>
      </w:r>
      <w:r w:rsidRPr="004068F6">
        <w:rPr>
          <w:rStyle w:val="Refdenotaalpie"/>
          <w:rFonts w:cs="Arial"/>
          <w:spacing w:val="-3"/>
          <w:lang w:val="es-CO"/>
        </w:rPr>
        <w:footnoteReference w:id="145"/>
      </w:r>
      <w:r w:rsidRPr="004068F6">
        <w:rPr>
          <w:rFonts w:cs="Arial"/>
          <w:spacing w:val="-3"/>
        </w:rPr>
        <w:t xml:space="preserve"> y la Resoluciones 0848 de 2008 y 0207 de 2010 o </w:t>
      </w:r>
      <w:r w:rsidRPr="004068F6">
        <w:rPr>
          <w:spacing w:val="-3"/>
        </w:rPr>
        <w:t>aquellas que las modifiquen</w:t>
      </w:r>
      <w:r w:rsidRPr="004068F6">
        <w:rPr>
          <w:rFonts w:cs="Arial"/>
          <w:spacing w:val="-3"/>
        </w:rPr>
        <w:t xml:space="preserve"> o </w:t>
      </w:r>
      <w:r w:rsidRPr="004068F6">
        <w:rPr>
          <w:spacing w:val="-3"/>
        </w:rPr>
        <w:t>sustituyan</w:t>
      </w:r>
      <w:r w:rsidRPr="004068F6">
        <w:rPr>
          <w:rFonts w:cs="Arial"/>
          <w:spacing w:val="-3"/>
        </w:rPr>
        <w:t>.</w:t>
      </w:r>
    </w:p>
    <w:p w14:paraId="46FB33F3" w14:textId="77777777" w:rsidR="008B35EF" w:rsidRPr="004068F6" w:rsidRDefault="008B35EF" w:rsidP="00482A5F">
      <w:pPr>
        <w:numPr>
          <w:ilvl w:val="12"/>
          <w:numId w:val="0"/>
        </w:numPr>
        <w:tabs>
          <w:tab w:val="left" w:pos="-2268"/>
        </w:tabs>
        <w:suppressAutoHyphens/>
        <w:rPr>
          <w:rFonts w:cs="Arial"/>
          <w:spacing w:val="-3"/>
        </w:rPr>
      </w:pPr>
    </w:p>
    <w:p w14:paraId="22A86A35" w14:textId="2D23A622" w:rsidR="00482A5F" w:rsidRPr="004068F6" w:rsidRDefault="007D7A77" w:rsidP="00482A5F">
      <w:pPr>
        <w:tabs>
          <w:tab w:val="left" w:pos="-2268"/>
        </w:tabs>
        <w:suppressAutoHyphens/>
        <w:rPr>
          <w:rFonts w:cs="Arial"/>
          <w:spacing w:val="-3"/>
        </w:rPr>
      </w:pPr>
      <w:r w:rsidRPr="004068F6">
        <w:rPr>
          <w:rFonts w:cs="Arial"/>
          <w:spacing w:val="-3"/>
        </w:rPr>
        <w:t>Al</w:t>
      </w:r>
      <w:r w:rsidR="00C86750" w:rsidRPr="004068F6">
        <w:rPr>
          <w:rFonts w:cs="Arial"/>
          <w:spacing w:val="-3"/>
        </w:rPr>
        <w:t xml:space="preserve"> enc</w:t>
      </w:r>
      <w:r w:rsidRPr="004068F6">
        <w:rPr>
          <w:rFonts w:cs="Arial"/>
          <w:spacing w:val="-3"/>
        </w:rPr>
        <w:t xml:space="preserve">ontrar </w:t>
      </w:r>
      <w:r w:rsidR="00C86750" w:rsidRPr="004068F6">
        <w:rPr>
          <w:rFonts w:cs="Arial"/>
          <w:spacing w:val="-3"/>
        </w:rPr>
        <w:t>individuos de especies no descritas con anterioridad</w:t>
      </w:r>
      <w:r w:rsidR="00A31EE9" w:rsidRPr="004068F6">
        <w:rPr>
          <w:rFonts w:cs="Arial"/>
          <w:spacing w:val="-3"/>
        </w:rPr>
        <w:t>,</w:t>
      </w:r>
      <w:r w:rsidR="00482A5F" w:rsidRPr="004068F6">
        <w:rPr>
          <w:rFonts w:cs="Arial"/>
          <w:spacing w:val="-3"/>
        </w:rPr>
        <w:t xml:space="preserve"> </w:t>
      </w:r>
      <w:r w:rsidR="008B35EF" w:rsidRPr="004068F6">
        <w:rPr>
          <w:rFonts w:cs="Arial"/>
          <w:spacing w:val="-3"/>
        </w:rPr>
        <w:t xml:space="preserve">los registros biológicos de estas especies observadas y recolectadas </w:t>
      </w:r>
      <w:r w:rsidR="00482A5F" w:rsidRPr="004068F6">
        <w:rPr>
          <w:rFonts w:cs="Arial"/>
          <w:spacing w:val="-3"/>
        </w:rPr>
        <w:t xml:space="preserve">deben </w:t>
      </w:r>
      <w:r w:rsidR="008B35EF" w:rsidRPr="004068F6">
        <w:rPr>
          <w:rFonts w:cs="Arial"/>
          <w:spacing w:val="-3"/>
        </w:rPr>
        <w:t xml:space="preserve">acompañarse de </w:t>
      </w:r>
      <w:r w:rsidR="00482A5F" w:rsidRPr="004068F6">
        <w:rPr>
          <w:rFonts w:cs="Arial"/>
          <w:spacing w:val="-3"/>
        </w:rPr>
        <w:t>soportes de trazabilidad de espécimen de referencia</w:t>
      </w:r>
      <w:r w:rsidR="00BA0DAE" w:rsidRPr="004068F6">
        <w:rPr>
          <w:rFonts w:cs="Arial"/>
          <w:spacing w:val="-3"/>
        </w:rPr>
        <w:t xml:space="preserve"> </w:t>
      </w:r>
      <w:r w:rsidR="00BF7396" w:rsidRPr="004068F6">
        <w:rPr>
          <w:rFonts w:cs="Arial"/>
          <w:spacing w:val="-3"/>
        </w:rPr>
        <w:t xml:space="preserve">que </w:t>
      </w:r>
      <w:r w:rsidR="00482A5F" w:rsidRPr="004068F6">
        <w:rPr>
          <w:rFonts w:cs="Arial"/>
          <w:spacing w:val="-3"/>
        </w:rPr>
        <w:t>especifique</w:t>
      </w:r>
      <w:r w:rsidR="00BA0DAE" w:rsidRPr="004068F6">
        <w:rPr>
          <w:rFonts w:cs="Arial"/>
          <w:spacing w:val="-3"/>
        </w:rPr>
        <w:t>n</w:t>
      </w:r>
      <w:r w:rsidR="00482A5F" w:rsidRPr="004068F6">
        <w:rPr>
          <w:rFonts w:cs="Arial"/>
          <w:spacing w:val="-3"/>
        </w:rPr>
        <w:t xml:space="preserve"> la localización geográfica</w:t>
      </w:r>
      <w:r w:rsidR="00852A88" w:rsidRPr="004068F6">
        <w:rPr>
          <w:rFonts w:cs="Arial"/>
          <w:spacing w:val="-3"/>
        </w:rPr>
        <w:t xml:space="preserve"> y la</w:t>
      </w:r>
      <w:r w:rsidR="00482A5F" w:rsidRPr="004068F6">
        <w:rPr>
          <w:rFonts w:cs="Arial"/>
          <w:spacing w:val="-3"/>
        </w:rPr>
        <w:t xml:space="preserve"> descripción del área en donde se registra el hallazgo</w:t>
      </w:r>
      <w:r w:rsidR="00852A88" w:rsidRPr="004068F6">
        <w:rPr>
          <w:rFonts w:cs="Arial"/>
          <w:spacing w:val="-3"/>
        </w:rPr>
        <w:t>, así como d</w:t>
      </w:r>
      <w:r w:rsidR="00B37DDB" w:rsidRPr="004068F6">
        <w:rPr>
          <w:rFonts w:cs="Arial"/>
          <w:spacing w:val="-3"/>
        </w:rPr>
        <w:t xml:space="preserve">el </w:t>
      </w:r>
      <w:r w:rsidR="00482A5F" w:rsidRPr="004068F6">
        <w:rPr>
          <w:rFonts w:cs="Arial"/>
          <w:spacing w:val="-3"/>
        </w:rPr>
        <w:t xml:space="preserve">certificado de </w:t>
      </w:r>
      <w:r w:rsidR="00855A16" w:rsidRPr="004068F6">
        <w:rPr>
          <w:rFonts w:cs="Arial"/>
          <w:spacing w:val="-3"/>
        </w:rPr>
        <w:t xml:space="preserve">determinación taxonómica </w:t>
      </w:r>
      <w:r w:rsidR="00482A5F" w:rsidRPr="004068F6">
        <w:rPr>
          <w:rFonts w:cs="Arial"/>
          <w:spacing w:val="-3"/>
        </w:rPr>
        <w:t xml:space="preserve">de </w:t>
      </w:r>
      <w:r w:rsidR="0060504C" w:rsidRPr="004068F6">
        <w:rPr>
          <w:rFonts w:cs="Arial"/>
          <w:spacing w:val="-3"/>
        </w:rPr>
        <w:t xml:space="preserve">un </w:t>
      </w:r>
      <w:r w:rsidR="00482A5F" w:rsidRPr="004068F6">
        <w:rPr>
          <w:rFonts w:cs="Arial"/>
          <w:spacing w:val="-3"/>
        </w:rPr>
        <w:t xml:space="preserve">herbario </w:t>
      </w:r>
      <w:r w:rsidR="0060504C" w:rsidRPr="004068F6">
        <w:rPr>
          <w:rFonts w:cs="Arial"/>
          <w:spacing w:val="-3"/>
        </w:rPr>
        <w:t xml:space="preserve">avalado por el </w:t>
      </w:r>
      <w:r w:rsidR="005449E0" w:rsidRPr="004068F6">
        <w:rPr>
          <w:rFonts w:cs="Arial"/>
          <w:spacing w:val="-3"/>
        </w:rPr>
        <w:t>Registro Único Nacional de Colecciones Biológicas (RNC)</w:t>
      </w:r>
      <w:r w:rsidR="00197E76" w:rsidRPr="00127BD4">
        <w:rPr>
          <w:rFonts w:cs="Arial"/>
          <w:spacing w:val="-3"/>
        </w:rPr>
        <w:t xml:space="preserve"> </w:t>
      </w:r>
      <w:r w:rsidR="00197E76" w:rsidRPr="004068F6">
        <w:rPr>
          <w:rFonts w:cs="Arial"/>
          <w:spacing w:val="-3"/>
        </w:rPr>
        <w:t>o de los profesionales expertos en los grupos biológicos caracterizados (vasculares arbóreas, vasculares no maderables y no-vasculares)</w:t>
      </w:r>
      <w:r w:rsidR="007F0451" w:rsidRPr="004068F6">
        <w:rPr>
          <w:rFonts w:cs="Arial"/>
          <w:spacing w:val="-3"/>
        </w:rPr>
        <w:t xml:space="preserve"> que realizaron la determinación</w:t>
      </w:r>
      <w:r w:rsidR="00197E76" w:rsidRPr="004068F6">
        <w:rPr>
          <w:rFonts w:cs="Arial"/>
          <w:spacing w:val="-3"/>
        </w:rPr>
        <w:t xml:space="preserve">. En este caso se debe presentar la hoja de vida y </w:t>
      </w:r>
      <w:r w:rsidR="00AE1D54" w:rsidRPr="004068F6">
        <w:rPr>
          <w:rFonts w:cs="Arial"/>
          <w:spacing w:val="-3"/>
        </w:rPr>
        <w:t xml:space="preserve">los soportes de </w:t>
      </w:r>
      <w:r w:rsidR="003957BB" w:rsidRPr="004068F6">
        <w:rPr>
          <w:rFonts w:cs="Arial"/>
          <w:spacing w:val="-3"/>
        </w:rPr>
        <w:t xml:space="preserve">su </w:t>
      </w:r>
      <w:r w:rsidR="00AE1D54" w:rsidRPr="004068F6">
        <w:rPr>
          <w:rFonts w:cs="Arial"/>
          <w:spacing w:val="-3"/>
        </w:rPr>
        <w:t>experiencia profesional</w:t>
      </w:r>
      <w:r w:rsidR="0060504C" w:rsidRPr="004068F6">
        <w:rPr>
          <w:rFonts w:cs="Arial"/>
          <w:spacing w:val="-3"/>
        </w:rPr>
        <w:t>. Los registros biológicos de las especies observadas y recolectadas deben ser publicados como un conjunto de datos a través SiB Colombia siguiendo los lineamientos establecidos por este sistema</w:t>
      </w:r>
      <w:r w:rsidR="00286E5E" w:rsidRPr="004068F6">
        <w:rPr>
          <w:rFonts w:cs="Arial"/>
          <w:spacing w:val="-3"/>
        </w:rPr>
        <w:t>.</w:t>
      </w:r>
    </w:p>
    <w:p w14:paraId="31FF3C03" w14:textId="77777777" w:rsidR="00482A5F" w:rsidRPr="004068F6" w:rsidRDefault="00482A5F">
      <w:pPr>
        <w:numPr>
          <w:ilvl w:val="12"/>
          <w:numId w:val="0"/>
        </w:numPr>
        <w:tabs>
          <w:tab w:val="left" w:pos="-2268"/>
        </w:tabs>
        <w:suppressAutoHyphens/>
        <w:rPr>
          <w:spacing w:val="-3"/>
        </w:rPr>
      </w:pPr>
    </w:p>
    <w:p w14:paraId="1161984D" w14:textId="2F57F458" w:rsidR="007E61D3" w:rsidRPr="004068F6" w:rsidRDefault="007E61D3" w:rsidP="007E61D3">
      <w:pPr>
        <w:tabs>
          <w:tab w:val="left" w:pos="-2268"/>
        </w:tabs>
        <w:suppressAutoHyphens/>
        <w:rPr>
          <w:rFonts w:cs="Arial"/>
          <w:spacing w:val="-3"/>
        </w:rPr>
      </w:pPr>
      <w:r w:rsidRPr="004068F6">
        <w:rPr>
          <w:rFonts w:cs="Arial"/>
          <w:spacing w:val="-3"/>
        </w:rPr>
        <w:t xml:space="preserve">En </w:t>
      </w:r>
      <w:r w:rsidR="00D749CD" w:rsidRPr="004068F6">
        <w:rPr>
          <w:rFonts w:cs="Arial"/>
          <w:spacing w:val="-3"/>
        </w:rPr>
        <w:t xml:space="preserve">importante que durante la ejecución de </w:t>
      </w:r>
      <w:r w:rsidRPr="004068F6">
        <w:rPr>
          <w:rFonts w:cs="Arial"/>
          <w:spacing w:val="-3"/>
        </w:rPr>
        <w:t xml:space="preserve">esta fase </w:t>
      </w:r>
      <w:r w:rsidR="00D749CD" w:rsidRPr="004068F6">
        <w:rPr>
          <w:rFonts w:cs="Arial"/>
          <w:spacing w:val="-3"/>
        </w:rPr>
        <w:t xml:space="preserve">se contraste </w:t>
      </w:r>
      <w:r w:rsidRPr="004068F6">
        <w:rPr>
          <w:rFonts w:cs="Arial"/>
          <w:spacing w:val="-3"/>
        </w:rPr>
        <w:t xml:space="preserve">la información </w:t>
      </w:r>
      <w:r w:rsidR="00D749CD" w:rsidRPr="004068F6">
        <w:rPr>
          <w:rFonts w:cs="Arial"/>
          <w:spacing w:val="-3"/>
        </w:rPr>
        <w:t xml:space="preserve">secundaria que se </w:t>
      </w:r>
      <w:r w:rsidRPr="004068F6">
        <w:rPr>
          <w:rFonts w:cs="Arial"/>
          <w:spacing w:val="-3"/>
        </w:rPr>
        <w:t xml:space="preserve">revisó </w:t>
      </w:r>
      <w:r w:rsidR="00D749CD" w:rsidRPr="004068F6">
        <w:rPr>
          <w:rFonts w:cs="Arial"/>
          <w:spacing w:val="-3"/>
        </w:rPr>
        <w:t xml:space="preserve">en la fase </w:t>
      </w:r>
      <w:r w:rsidRPr="004068F6">
        <w:rPr>
          <w:rFonts w:cs="Arial"/>
          <w:spacing w:val="-3"/>
        </w:rPr>
        <w:t>previa al trabajo de campo</w:t>
      </w:r>
      <w:r w:rsidR="00D749CD" w:rsidRPr="004068F6">
        <w:rPr>
          <w:rFonts w:cs="Arial"/>
          <w:spacing w:val="-3"/>
        </w:rPr>
        <w:t>,</w:t>
      </w:r>
      <w:r w:rsidRPr="004068F6">
        <w:rPr>
          <w:rFonts w:cs="Arial"/>
          <w:spacing w:val="-3"/>
        </w:rPr>
        <w:t xml:space="preserve"> con el objeto de </w:t>
      </w:r>
      <w:r w:rsidR="00BC6A50" w:rsidRPr="004068F6">
        <w:rPr>
          <w:rFonts w:cs="Arial"/>
          <w:spacing w:val="-3"/>
        </w:rPr>
        <w:t xml:space="preserve">establecer su validez y el grado con el cual puede emplearse </w:t>
      </w:r>
      <w:r w:rsidRPr="004068F6">
        <w:rPr>
          <w:rFonts w:cs="Arial"/>
          <w:spacing w:val="-3"/>
        </w:rPr>
        <w:t xml:space="preserve">en los </w:t>
      </w:r>
      <w:r w:rsidR="00BC6A50" w:rsidRPr="004068F6">
        <w:rPr>
          <w:rFonts w:cs="Arial"/>
          <w:spacing w:val="-3"/>
        </w:rPr>
        <w:t xml:space="preserve">demás </w:t>
      </w:r>
      <w:r w:rsidRPr="004068F6">
        <w:rPr>
          <w:rFonts w:cs="Arial"/>
          <w:spacing w:val="-3"/>
        </w:rPr>
        <w:t>análisis</w:t>
      </w:r>
      <w:r w:rsidR="00D749CD" w:rsidRPr="004068F6">
        <w:rPr>
          <w:rFonts w:cs="Arial"/>
          <w:spacing w:val="-3"/>
        </w:rPr>
        <w:t xml:space="preserve"> y procedimientos </w:t>
      </w:r>
      <w:r w:rsidR="00BC6A50" w:rsidRPr="004068F6">
        <w:rPr>
          <w:rFonts w:cs="Arial"/>
          <w:spacing w:val="-3"/>
        </w:rPr>
        <w:t>requeridos en la elaboración d</w:t>
      </w:r>
      <w:r w:rsidR="00D749CD" w:rsidRPr="004068F6">
        <w:rPr>
          <w:rFonts w:cs="Arial"/>
          <w:spacing w:val="-3"/>
        </w:rPr>
        <w:t>el estudio ambiental</w:t>
      </w:r>
      <w:r w:rsidRPr="004068F6">
        <w:rPr>
          <w:rFonts w:cs="Arial"/>
          <w:spacing w:val="-3"/>
        </w:rPr>
        <w:t>.</w:t>
      </w:r>
    </w:p>
    <w:p w14:paraId="13F0A11D" w14:textId="77777777" w:rsidR="007E61D3" w:rsidRPr="004068F6" w:rsidRDefault="007E61D3">
      <w:pPr>
        <w:numPr>
          <w:ilvl w:val="12"/>
          <w:numId w:val="0"/>
        </w:numPr>
        <w:tabs>
          <w:tab w:val="left" w:pos="-2268"/>
        </w:tabs>
        <w:suppressAutoHyphens/>
        <w:rPr>
          <w:spacing w:val="-3"/>
        </w:rPr>
      </w:pPr>
    </w:p>
    <w:p w14:paraId="27AE00E1" w14:textId="77777777" w:rsidR="00482A5F" w:rsidRPr="004068F6" w:rsidRDefault="00482A5F" w:rsidP="00C86DA5">
      <w:pPr>
        <w:numPr>
          <w:ilvl w:val="12"/>
          <w:numId w:val="0"/>
        </w:numPr>
        <w:tabs>
          <w:tab w:val="left" w:pos="-2268"/>
        </w:tabs>
        <w:suppressAutoHyphens/>
        <w:rPr>
          <w:spacing w:val="-3"/>
          <w:u w:val="single"/>
        </w:rPr>
      </w:pPr>
      <w:r w:rsidRPr="004068F6">
        <w:rPr>
          <w:spacing w:val="-3"/>
          <w:u w:val="single"/>
        </w:rPr>
        <w:t>Fase de análisis:</w:t>
      </w:r>
    </w:p>
    <w:p w14:paraId="59647DA5" w14:textId="77777777" w:rsidR="00482A5F" w:rsidRPr="004068F6" w:rsidRDefault="00482A5F">
      <w:pPr>
        <w:tabs>
          <w:tab w:val="left" w:pos="-2268"/>
        </w:tabs>
        <w:suppressAutoHyphens/>
        <w:rPr>
          <w:spacing w:val="-3"/>
          <w:u w:val="single"/>
        </w:rPr>
      </w:pPr>
    </w:p>
    <w:p w14:paraId="7F350ED6" w14:textId="4B89C742" w:rsidR="00482A5F" w:rsidRPr="004068F6" w:rsidRDefault="000D7F7C">
      <w:pPr>
        <w:numPr>
          <w:ilvl w:val="12"/>
          <w:numId w:val="0"/>
        </w:numPr>
        <w:tabs>
          <w:tab w:val="left" w:pos="-2268"/>
        </w:tabs>
        <w:suppressAutoHyphens/>
        <w:rPr>
          <w:spacing w:val="-3"/>
        </w:rPr>
      </w:pPr>
      <w:r w:rsidRPr="004068F6">
        <w:rPr>
          <w:spacing w:val="-3"/>
        </w:rPr>
        <w:t>Consiste en d</w:t>
      </w:r>
      <w:r w:rsidR="00482A5F" w:rsidRPr="004068F6">
        <w:rPr>
          <w:spacing w:val="-3"/>
        </w:rPr>
        <w:t xml:space="preserve">eterminar las características de composición y estructura </w:t>
      </w:r>
      <w:r w:rsidR="00DE223B" w:rsidRPr="004068F6">
        <w:rPr>
          <w:rFonts w:cs="Arial"/>
          <w:spacing w:val="-3"/>
        </w:rPr>
        <w:t xml:space="preserve">de cada </w:t>
      </w:r>
      <w:r w:rsidR="00077AFF" w:rsidRPr="004068F6">
        <w:rPr>
          <w:rFonts w:cs="Arial"/>
          <w:spacing w:val="-3"/>
        </w:rPr>
        <w:t xml:space="preserve">ecosistema </w:t>
      </w:r>
      <w:r w:rsidR="00D3337E" w:rsidRPr="004068F6">
        <w:rPr>
          <w:spacing w:val="-3"/>
        </w:rPr>
        <w:t>incorporando</w:t>
      </w:r>
      <w:r w:rsidR="00482A5F" w:rsidRPr="004068F6">
        <w:rPr>
          <w:spacing w:val="-3"/>
        </w:rPr>
        <w:t xml:space="preserve"> como mínimo los siguientes elementos:</w:t>
      </w:r>
    </w:p>
    <w:p w14:paraId="31871729" w14:textId="77777777" w:rsidR="00482A5F" w:rsidRPr="004068F6" w:rsidRDefault="00482A5F">
      <w:pPr>
        <w:numPr>
          <w:ilvl w:val="12"/>
          <w:numId w:val="0"/>
        </w:numPr>
        <w:tabs>
          <w:tab w:val="left" w:pos="-2268"/>
        </w:tabs>
        <w:suppressAutoHyphens/>
        <w:rPr>
          <w:spacing w:val="-3"/>
        </w:rPr>
      </w:pPr>
    </w:p>
    <w:p w14:paraId="26905DA2" w14:textId="77777777" w:rsidR="00482A5F" w:rsidRPr="004068F6" w:rsidRDefault="00482A5F" w:rsidP="00C86DA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Densidad.</w:t>
      </w:r>
    </w:p>
    <w:p w14:paraId="0B64CC3F" w14:textId="77777777" w:rsidR="00482A5F" w:rsidRPr="004068F6" w:rsidRDefault="00482A5F">
      <w:pPr>
        <w:tabs>
          <w:tab w:val="left" w:pos="-2268"/>
        </w:tabs>
        <w:suppressAutoHyphens/>
        <w:rPr>
          <w:spacing w:val="-3"/>
        </w:rPr>
      </w:pPr>
    </w:p>
    <w:p w14:paraId="34FC4FCC" w14:textId="77777777" w:rsidR="00482A5F" w:rsidRPr="004068F6" w:rsidRDefault="00482A5F" w:rsidP="00C86DA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Frecuencia.</w:t>
      </w:r>
    </w:p>
    <w:p w14:paraId="4E8E26D1" w14:textId="77777777" w:rsidR="00482A5F" w:rsidRPr="004068F6" w:rsidRDefault="00482A5F">
      <w:pPr>
        <w:tabs>
          <w:tab w:val="left" w:pos="-2268"/>
        </w:tabs>
        <w:suppressAutoHyphens/>
        <w:rPr>
          <w:spacing w:val="-3"/>
        </w:rPr>
      </w:pPr>
    </w:p>
    <w:p w14:paraId="3E73F45F" w14:textId="77777777" w:rsidR="00482A5F" w:rsidRPr="004068F6" w:rsidRDefault="00482A5F" w:rsidP="00C86DA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Abundancia.</w:t>
      </w:r>
    </w:p>
    <w:p w14:paraId="0172AF31" w14:textId="77777777" w:rsidR="00482A5F" w:rsidRPr="004068F6" w:rsidRDefault="00482A5F">
      <w:pPr>
        <w:tabs>
          <w:tab w:val="left" w:pos="-2268"/>
        </w:tabs>
        <w:suppressAutoHyphens/>
        <w:rPr>
          <w:spacing w:val="-3"/>
        </w:rPr>
      </w:pPr>
    </w:p>
    <w:p w14:paraId="27B793A3" w14:textId="77777777" w:rsidR="00482A5F" w:rsidRPr="004068F6" w:rsidRDefault="00482A5F" w:rsidP="00C86DA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Dominancia.</w:t>
      </w:r>
    </w:p>
    <w:p w14:paraId="48A7ADD4" w14:textId="77777777" w:rsidR="00482A5F" w:rsidRPr="004068F6" w:rsidRDefault="00482A5F">
      <w:pPr>
        <w:tabs>
          <w:tab w:val="left" w:pos="-2268"/>
        </w:tabs>
        <w:suppressAutoHyphens/>
        <w:rPr>
          <w:spacing w:val="-3"/>
        </w:rPr>
      </w:pPr>
    </w:p>
    <w:p w14:paraId="63C48CA5" w14:textId="77777777" w:rsidR="00482A5F" w:rsidRPr="004068F6" w:rsidRDefault="00482A5F" w:rsidP="00C86DA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Estado sucesional.</w:t>
      </w:r>
    </w:p>
    <w:p w14:paraId="06548A62" w14:textId="77777777" w:rsidR="00482A5F" w:rsidRPr="004068F6" w:rsidRDefault="00482A5F" w:rsidP="00C86DA5">
      <w:pPr>
        <w:rPr>
          <w:spacing w:val="-3"/>
        </w:rPr>
      </w:pPr>
    </w:p>
    <w:p w14:paraId="744D8F6A" w14:textId="784BE2AC" w:rsidR="00482A5F" w:rsidRPr="004068F6" w:rsidRDefault="00482A5F" w:rsidP="00977C86">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Estructura horizontal y vertical</w:t>
      </w:r>
      <w:r w:rsidR="000209C3">
        <w:rPr>
          <w:rFonts w:cs="Arial"/>
          <w:spacing w:val="-3"/>
          <w:lang w:val="es-CO"/>
        </w:rPr>
        <w:t xml:space="preserve"> </w:t>
      </w:r>
      <w:r w:rsidR="000209C3" w:rsidRPr="000209C3">
        <w:rPr>
          <w:rFonts w:cs="Arial"/>
          <w:spacing w:val="-3"/>
          <w:lang w:val="es-CO"/>
        </w:rPr>
        <w:t>para coberturas naturales y seminaturales</w:t>
      </w:r>
      <w:r w:rsidRPr="004068F6">
        <w:rPr>
          <w:rFonts w:cs="Arial"/>
          <w:spacing w:val="-3"/>
          <w:lang w:val="es-CO"/>
        </w:rPr>
        <w:t>.</w:t>
      </w:r>
    </w:p>
    <w:p w14:paraId="5E83D017" w14:textId="77777777" w:rsidR="00482A5F" w:rsidRPr="004068F6" w:rsidRDefault="00482A5F">
      <w:pPr>
        <w:tabs>
          <w:tab w:val="left" w:pos="-2268"/>
        </w:tabs>
        <w:suppressAutoHyphens/>
        <w:rPr>
          <w:spacing w:val="-3"/>
        </w:rPr>
      </w:pPr>
    </w:p>
    <w:p w14:paraId="01D2E27E" w14:textId="01EABAF5" w:rsidR="00482A5F" w:rsidRPr="004068F6" w:rsidRDefault="00482A5F" w:rsidP="00C86DA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Diagnóstico y análisis de la regeneración natural (</w:t>
      </w:r>
      <w:r w:rsidR="00785E21" w:rsidRPr="004068F6">
        <w:rPr>
          <w:rFonts w:cs="Arial"/>
          <w:spacing w:val="-3"/>
          <w:lang w:val="es-CO"/>
        </w:rPr>
        <w:t xml:space="preserve">descripción </w:t>
      </w:r>
      <w:r w:rsidRPr="004068F6">
        <w:rPr>
          <w:rFonts w:cs="Arial"/>
          <w:spacing w:val="-3"/>
          <w:lang w:val="es-CO"/>
        </w:rPr>
        <w:t>sucesional para brinzales y latizales).</w:t>
      </w:r>
    </w:p>
    <w:p w14:paraId="4E676BA3" w14:textId="77777777" w:rsidR="005D7954" w:rsidRPr="004068F6" w:rsidRDefault="005D7954" w:rsidP="009420F5">
      <w:pPr>
        <w:rPr>
          <w:rFonts w:cs="Arial"/>
          <w:spacing w:val="-3"/>
        </w:rPr>
      </w:pPr>
    </w:p>
    <w:p w14:paraId="112EE081" w14:textId="6933FB80" w:rsidR="005D7954" w:rsidRPr="004068F6" w:rsidRDefault="005D7954" w:rsidP="009420F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Perfiles de vegetación con su respectivo análisis.</w:t>
      </w:r>
    </w:p>
    <w:p w14:paraId="0593009E" w14:textId="644F52E8" w:rsidR="00482A5F" w:rsidRPr="004068F6" w:rsidRDefault="00482A5F">
      <w:pPr>
        <w:numPr>
          <w:ilvl w:val="12"/>
          <w:numId w:val="0"/>
        </w:numPr>
        <w:tabs>
          <w:tab w:val="left" w:pos="-2268"/>
        </w:tabs>
        <w:suppressAutoHyphens/>
        <w:rPr>
          <w:spacing w:val="-3"/>
        </w:rPr>
      </w:pPr>
    </w:p>
    <w:p w14:paraId="738B54CF" w14:textId="26ADE9E9" w:rsidR="00482A5F" w:rsidRPr="004068F6" w:rsidRDefault="00D3337E">
      <w:pPr>
        <w:numPr>
          <w:ilvl w:val="12"/>
          <w:numId w:val="0"/>
        </w:numPr>
        <w:tabs>
          <w:tab w:val="left" w:pos="-2268"/>
        </w:tabs>
        <w:suppressAutoHyphens/>
        <w:rPr>
          <w:spacing w:val="-3"/>
        </w:rPr>
      </w:pPr>
      <w:r w:rsidRPr="004068F6">
        <w:rPr>
          <w:spacing w:val="-3"/>
        </w:rPr>
        <w:t xml:space="preserve">Asimismo, </w:t>
      </w:r>
      <w:r w:rsidR="00482A5F" w:rsidRPr="004068F6">
        <w:rPr>
          <w:spacing w:val="-3"/>
        </w:rPr>
        <w:t>se debe</w:t>
      </w:r>
      <w:r w:rsidRPr="004068F6">
        <w:rPr>
          <w:spacing w:val="-3"/>
        </w:rPr>
        <w:t xml:space="preserve">n </w:t>
      </w:r>
      <w:r w:rsidR="00482A5F" w:rsidRPr="004068F6">
        <w:rPr>
          <w:spacing w:val="-3"/>
        </w:rPr>
        <w:t>c</w:t>
      </w:r>
      <w:r w:rsidRPr="004068F6">
        <w:rPr>
          <w:spacing w:val="-3"/>
        </w:rPr>
        <w:t>a</w:t>
      </w:r>
      <w:r w:rsidR="00482A5F" w:rsidRPr="004068F6">
        <w:rPr>
          <w:spacing w:val="-3"/>
        </w:rPr>
        <w:t>lcul</w:t>
      </w:r>
      <w:r w:rsidRPr="004068F6">
        <w:rPr>
          <w:spacing w:val="-3"/>
        </w:rPr>
        <w:t>ar</w:t>
      </w:r>
      <w:r w:rsidR="00482A5F" w:rsidRPr="004068F6">
        <w:rPr>
          <w:spacing w:val="-3"/>
        </w:rPr>
        <w:t xml:space="preserve"> </w:t>
      </w:r>
      <w:r w:rsidRPr="004068F6">
        <w:rPr>
          <w:spacing w:val="-3"/>
        </w:rPr>
        <w:t xml:space="preserve">como mínimo </w:t>
      </w:r>
      <w:r w:rsidR="00482A5F" w:rsidRPr="004068F6">
        <w:rPr>
          <w:spacing w:val="-3"/>
        </w:rPr>
        <w:t>los siguientes índices:</w:t>
      </w:r>
    </w:p>
    <w:p w14:paraId="434177DE" w14:textId="77777777" w:rsidR="00482A5F" w:rsidRPr="004068F6" w:rsidRDefault="00482A5F">
      <w:pPr>
        <w:numPr>
          <w:ilvl w:val="12"/>
          <w:numId w:val="0"/>
        </w:numPr>
        <w:tabs>
          <w:tab w:val="left" w:pos="-2268"/>
        </w:tabs>
        <w:suppressAutoHyphens/>
        <w:rPr>
          <w:spacing w:val="-3"/>
        </w:rPr>
      </w:pPr>
    </w:p>
    <w:p w14:paraId="41A0646D" w14:textId="6BF111B9" w:rsidR="00482A5F" w:rsidRPr="004068F6" w:rsidRDefault="005E77CF" w:rsidP="00C86DA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Diversidad alfa. Riqueza específica (riqueza de especies, Margalef o Menhinick) y estructura (</w:t>
      </w:r>
      <w:r w:rsidR="00482A5F" w:rsidRPr="004068F6">
        <w:rPr>
          <w:rFonts w:cs="Arial"/>
          <w:spacing w:val="-3"/>
          <w:lang w:val="es-CO"/>
        </w:rPr>
        <w:t>Shannon-Simpson</w:t>
      </w:r>
      <w:r w:rsidRPr="004068F6">
        <w:rPr>
          <w:rFonts w:cs="Arial"/>
          <w:spacing w:val="-3"/>
          <w:lang w:val="es-CO"/>
        </w:rPr>
        <w:t>)</w:t>
      </w:r>
      <w:r w:rsidR="00482A5F" w:rsidRPr="004068F6">
        <w:rPr>
          <w:rFonts w:cs="Arial"/>
          <w:spacing w:val="-3"/>
          <w:lang w:val="es-CO"/>
        </w:rPr>
        <w:t>.</w:t>
      </w:r>
    </w:p>
    <w:p w14:paraId="41398F33" w14:textId="77777777" w:rsidR="00482A5F" w:rsidRPr="004068F6" w:rsidRDefault="00482A5F">
      <w:pPr>
        <w:tabs>
          <w:tab w:val="left" w:pos="-2268"/>
        </w:tabs>
        <w:suppressAutoHyphens/>
        <w:rPr>
          <w:spacing w:val="-3"/>
        </w:rPr>
      </w:pPr>
    </w:p>
    <w:p w14:paraId="26197CA0" w14:textId="4623D2E4" w:rsidR="00482A5F" w:rsidRPr="004068F6" w:rsidRDefault="00482A5F">
      <w:pPr>
        <w:pStyle w:val="Prrafodelista"/>
        <w:numPr>
          <w:ilvl w:val="0"/>
          <w:numId w:val="83"/>
        </w:numPr>
        <w:tabs>
          <w:tab w:val="left" w:pos="-2268"/>
        </w:tabs>
        <w:suppressAutoHyphens/>
        <w:ind w:left="567" w:hanging="567"/>
        <w:rPr>
          <w:lang w:val="es-CO"/>
        </w:rPr>
      </w:pPr>
      <w:r w:rsidRPr="004068F6">
        <w:rPr>
          <w:rFonts w:cs="Arial"/>
          <w:spacing w:val="-3"/>
          <w:lang w:val="es-CO"/>
        </w:rPr>
        <w:t>Coeficiente de mezcla</w:t>
      </w:r>
      <w:r w:rsidR="00156748" w:rsidRPr="004068F6">
        <w:rPr>
          <w:rFonts w:cs="Arial"/>
          <w:spacing w:val="-3"/>
          <w:lang w:val="es-CO"/>
        </w:rPr>
        <w:t>.</w:t>
      </w:r>
    </w:p>
    <w:p w14:paraId="3ACEC211" w14:textId="77777777" w:rsidR="00482A5F" w:rsidRPr="004068F6" w:rsidRDefault="00482A5F">
      <w:pPr>
        <w:tabs>
          <w:tab w:val="left" w:pos="-2268"/>
        </w:tabs>
        <w:suppressAutoHyphens/>
        <w:rPr>
          <w:spacing w:val="-3"/>
        </w:rPr>
      </w:pPr>
    </w:p>
    <w:p w14:paraId="6DB8EED5" w14:textId="6816424B" w:rsidR="00156748" w:rsidRPr="004068F6" w:rsidRDefault="00156748" w:rsidP="00C86DA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Índice de Valor de Importancia (IVI).</w:t>
      </w:r>
    </w:p>
    <w:p w14:paraId="4A25B66F" w14:textId="77777777" w:rsidR="00482A5F" w:rsidRPr="004068F6" w:rsidRDefault="00482A5F">
      <w:pPr>
        <w:numPr>
          <w:ilvl w:val="12"/>
          <w:numId w:val="0"/>
        </w:numPr>
        <w:tabs>
          <w:tab w:val="left" w:pos="-2268"/>
        </w:tabs>
        <w:suppressAutoHyphens/>
        <w:rPr>
          <w:spacing w:val="-3"/>
        </w:rPr>
      </w:pPr>
    </w:p>
    <w:p w14:paraId="2C30C9B0" w14:textId="4BA944B0" w:rsidR="00940866" w:rsidRPr="004068F6" w:rsidRDefault="00940866">
      <w:pPr>
        <w:numPr>
          <w:ilvl w:val="12"/>
          <w:numId w:val="0"/>
        </w:numPr>
        <w:tabs>
          <w:tab w:val="left" w:pos="-2268"/>
        </w:tabs>
        <w:suppressAutoHyphens/>
        <w:rPr>
          <w:spacing w:val="-3"/>
        </w:rPr>
      </w:pPr>
      <w:r w:rsidRPr="004068F6">
        <w:rPr>
          <w:rFonts w:cs="Arial"/>
          <w:spacing w:val="-3"/>
        </w:rPr>
        <w:t xml:space="preserve">Se debe presentar </w:t>
      </w:r>
      <w:r w:rsidR="00770D9E" w:rsidRPr="004068F6">
        <w:rPr>
          <w:rFonts w:cs="Arial"/>
          <w:spacing w:val="-3"/>
        </w:rPr>
        <w:t xml:space="preserve">una </w:t>
      </w:r>
      <w:r w:rsidRPr="004068F6">
        <w:rPr>
          <w:rFonts w:cs="Arial"/>
          <w:spacing w:val="-3"/>
        </w:rPr>
        <w:t xml:space="preserve">base de datos </w:t>
      </w:r>
      <w:r w:rsidR="00770D9E" w:rsidRPr="004068F6">
        <w:rPr>
          <w:rFonts w:cs="Arial"/>
          <w:spacing w:val="-3"/>
        </w:rPr>
        <w:t xml:space="preserve">con </w:t>
      </w:r>
      <w:r w:rsidR="00DA33AB" w:rsidRPr="004068F6">
        <w:rPr>
          <w:rFonts w:cs="Arial"/>
          <w:spacing w:val="-3"/>
        </w:rPr>
        <w:t xml:space="preserve">el procesamiento de la información </w:t>
      </w:r>
      <w:r w:rsidR="000847BD" w:rsidRPr="004068F6">
        <w:rPr>
          <w:rFonts w:cs="Arial"/>
          <w:spacing w:val="-3"/>
        </w:rPr>
        <w:t xml:space="preserve">que se </w:t>
      </w:r>
      <w:r w:rsidR="00DA33AB" w:rsidRPr="004068F6">
        <w:rPr>
          <w:rFonts w:cs="Arial"/>
          <w:spacing w:val="-3"/>
        </w:rPr>
        <w:t>deriv</w:t>
      </w:r>
      <w:r w:rsidR="000847BD" w:rsidRPr="004068F6">
        <w:rPr>
          <w:rFonts w:cs="Arial"/>
          <w:spacing w:val="-3"/>
        </w:rPr>
        <w:t>e</w:t>
      </w:r>
      <w:r w:rsidR="00DA33AB" w:rsidRPr="004068F6">
        <w:rPr>
          <w:rFonts w:cs="Arial"/>
          <w:spacing w:val="-3"/>
        </w:rPr>
        <w:t xml:space="preserve"> </w:t>
      </w:r>
      <w:r w:rsidR="00770D9E" w:rsidRPr="004068F6">
        <w:rPr>
          <w:rFonts w:cs="Arial"/>
          <w:spacing w:val="-3"/>
        </w:rPr>
        <w:t>del muestreo o censo</w:t>
      </w:r>
      <w:r w:rsidR="00C86750" w:rsidRPr="004068F6">
        <w:rPr>
          <w:rFonts w:cs="Arial"/>
          <w:spacing w:val="-3"/>
        </w:rPr>
        <w:t xml:space="preserve"> ejecutado</w:t>
      </w:r>
      <w:r w:rsidRPr="004068F6">
        <w:rPr>
          <w:rFonts w:cs="Arial"/>
          <w:spacing w:val="-3"/>
        </w:rPr>
        <w:t>.</w:t>
      </w:r>
    </w:p>
    <w:p w14:paraId="2D05DC1F" w14:textId="77777777" w:rsidR="00482A5F" w:rsidRPr="004068F6" w:rsidRDefault="00482A5F">
      <w:pPr>
        <w:numPr>
          <w:ilvl w:val="12"/>
          <w:numId w:val="0"/>
        </w:numPr>
        <w:tabs>
          <w:tab w:val="left" w:pos="-2268"/>
        </w:tabs>
        <w:suppressAutoHyphens/>
        <w:rPr>
          <w:spacing w:val="-3"/>
        </w:rPr>
      </w:pPr>
    </w:p>
    <w:p w14:paraId="32CE4D75" w14:textId="4AF25B73" w:rsidR="005515CF" w:rsidRPr="004068F6" w:rsidRDefault="008348CE">
      <w:pPr>
        <w:numPr>
          <w:ilvl w:val="12"/>
          <w:numId w:val="0"/>
        </w:numPr>
        <w:tabs>
          <w:tab w:val="left" w:pos="-2268"/>
        </w:tabs>
        <w:suppressAutoHyphens/>
        <w:rPr>
          <w:spacing w:val="-3"/>
        </w:rPr>
      </w:pPr>
      <w:r w:rsidRPr="004068F6">
        <w:rPr>
          <w:spacing w:val="-3"/>
        </w:rPr>
        <w:t>L</w:t>
      </w:r>
      <w:r w:rsidR="005515CF" w:rsidRPr="004068F6">
        <w:rPr>
          <w:spacing w:val="-3"/>
        </w:rPr>
        <w:t xml:space="preserve">a estimación de biomasa </w:t>
      </w:r>
      <w:r w:rsidRPr="004068F6">
        <w:rPr>
          <w:spacing w:val="-3"/>
        </w:rPr>
        <w:t xml:space="preserve">y de carbono </w:t>
      </w:r>
      <w:r w:rsidR="005515CF" w:rsidRPr="004068F6">
        <w:rPr>
          <w:spacing w:val="-3"/>
        </w:rPr>
        <w:t xml:space="preserve">de los individuos inventariados y </w:t>
      </w:r>
      <w:r w:rsidRPr="004068F6">
        <w:rPr>
          <w:spacing w:val="-3"/>
        </w:rPr>
        <w:t xml:space="preserve">de los </w:t>
      </w:r>
      <w:r w:rsidR="005515CF" w:rsidRPr="004068F6">
        <w:rPr>
          <w:spacing w:val="-3"/>
        </w:rPr>
        <w:t>ecosistema</w:t>
      </w:r>
      <w:r w:rsidRPr="004068F6">
        <w:rPr>
          <w:spacing w:val="-3"/>
        </w:rPr>
        <w:t xml:space="preserve">s, debe desarrollarse empleando </w:t>
      </w:r>
      <w:r w:rsidR="005515CF" w:rsidRPr="004068F6">
        <w:rPr>
          <w:spacing w:val="-3"/>
        </w:rPr>
        <w:t xml:space="preserve">la metodología </w:t>
      </w:r>
      <w:r w:rsidRPr="004068F6">
        <w:rPr>
          <w:spacing w:val="-3"/>
        </w:rPr>
        <w:t xml:space="preserve">vigente del </w:t>
      </w:r>
      <w:r w:rsidR="005515CF" w:rsidRPr="004068F6">
        <w:rPr>
          <w:spacing w:val="-3"/>
        </w:rPr>
        <w:t>I</w:t>
      </w:r>
      <w:r w:rsidRPr="004068F6">
        <w:rPr>
          <w:spacing w:val="-3"/>
        </w:rPr>
        <w:t>deam</w:t>
      </w:r>
      <w:r w:rsidRPr="00127BD4">
        <w:rPr>
          <w:rStyle w:val="Refdenotaalpie"/>
          <w:spacing w:val="-3"/>
          <w:lang w:val="es-CO"/>
        </w:rPr>
        <w:footnoteReference w:id="146"/>
      </w:r>
      <w:r w:rsidR="005515CF" w:rsidRPr="004068F6">
        <w:rPr>
          <w:spacing w:val="-3"/>
        </w:rPr>
        <w:t xml:space="preserve"> u otr</w:t>
      </w:r>
      <w:r w:rsidRPr="004068F6">
        <w:rPr>
          <w:spacing w:val="-3"/>
        </w:rPr>
        <w:t>a</w:t>
      </w:r>
      <w:r w:rsidR="005515CF" w:rsidRPr="004068F6">
        <w:rPr>
          <w:spacing w:val="-3"/>
        </w:rPr>
        <w:t xml:space="preserve">s </w:t>
      </w:r>
      <w:r w:rsidRPr="004068F6">
        <w:rPr>
          <w:spacing w:val="-3"/>
        </w:rPr>
        <w:t xml:space="preserve">formuladas </w:t>
      </w:r>
      <w:r w:rsidR="005515CF" w:rsidRPr="004068F6">
        <w:rPr>
          <w:spacing w:val="-3"/>
        </w:rPr>
        <w:t>por las autoridades ambientales</w:t>
      </w:r>
      <w:r w:rsidRPr="004068F6">
        <w:rPr>
          <w:spacing w:val="-3"/>
        </w:rPr>
        <w:t>, institutos de investigación o instituciones académicas</w:t>
      </w:r>
      <w:r w:rsidR="005515CF" w:rsidRPr="004068F6">
        <w:rPr>
          <w:spacing w:val="-3"/>
        </w:rPr>
        <w:t>.</w:t>
      </w:r>
    </w:p>
    <w:p w14:paraId="696079FC" w14:textId="77777777" w:rsidR="005515CF" w:rsidRPr="004068F6" w:rsidRDefault="005515CF">
      <w:pPr>
        <w:numPr>
          <w:ilvl w:val="12"/>
          <w:numId w:val="0"/>
        </w:numPr>
        <w:tabs>
          <w:tab w:val="left" w:pos="-2268"/>
        </w:tabs>
        <w:suppressAutoHyphens/>
        <w:rPr>
          <w:spacing w:val="-3"/>
        </w:rPr>
      </w:pPr>
    </w:p>
    <w:p w14:paraId="54DA6900" w14:textId="2B6CAE70" w:rsidR="00482A5F" w:rsidRPr="004068F6" w:rsidRDefault="00482A5F" w:rsidP="002833FB">
      <w:pPr>
        <w:pStyle w:val="Ttulo6"/>
        <w:tabs>
          <w:tab w:val="clear" w:pos="2160"/>
          <w:tab w:val="num" w:pos="1418"/>
        </w:tabs>
        <w:ind w:left="1418" w:hanging="1418"/>
        <w:rPr>
          <w:lang w:val="es-CO"/>
        </w:rPr>
      </w:pPr>
      <w:bookmarkStart w:id="2893" w:name="_Ref78450392"/>
      <w:bookmarkStart w:id="2894" w:name="_Hlk42154986"/>
      <w:r w:rsidRPr="004068F6">
        <w:rPr>
          <w:lang w:val="es-CO"/>
        </w:rPr>
        <w:t>Especies arbóreas y helechos arborescentes en veda</w:t>
      </w:r>
      <w:bookmarkEnd w:id="2893"/>
    </w:p>
    <w:bookmarkEnd w:id="2894"/>
    <w:p w14:paraId="59FB19BD" w14:textId="77777777" w:rsidR="00482A5F" w:rsidRPr="004068F6" w:rsidRDefault="00482A5F" w:rsidP="00482A5F">
      <w:pPr>
        <w:tabs>
          <w:tab w:val="left" w:pos="6084"/>
        </w:tabs>
        <w:rPr>
          <w:rFonts w:cs="Arial"/>
          <w:u w:val="single"/>
        </w:rPr>
      </w:pPr>
    </w:p>
    <w:p w14:paraId="7DFC8652" w14:textId="708DBE9E" w:rsidR="0049729E" w:rsidRPr="004068F6" w:rsidRDefault="00DF4AE6" w:rsidP="007D2869">
      <w:pPr>
        <w:overflowPunct/>
        <w:textAlignment w:val="auto"/>
        <w:rPr>
          <w:rFonts w:cs="Arial"/>
          <w:spacing w:val="-3"/>
        </w:rPr>
      </w:pPr>
      <w:r w:rsidRPr="004068F6">
        <w:rPr>
          <w:rFonts w:cs="Arial"/>
        </w:rPr>
        <w:t>L</w:t>
      </w:r>
      <w:r w:rsidR="009D57C6" w:rsidRPr="004068F6">
        <w:rPr>
          <w:rFonts w:cs="Arial"/>
        </w:rPr>
        <w:t xml:space="preserve">a </w:t>
      </w:r>
      <w:r w:rsidR="007D2869" w:rsidRPr="004068F6">
        <w:rPr>
          <w:rFonts w:cs="Arial"/>
        </w:rPr>
        <w:t xml:space="preserve">caracterización de las especies </w:t>
      </w:r>
      <w:r w:rsidR="007D2869" w:rsidRPr="004068F6">
        <w:t xml:space="preserve">arbóreas </w:t>
      </w:r>
      <w:r w:rsidR="00287A01" w:rsidRPr="004068F6">
        <w:t xml:space="preserve">y de helechos arborescentes </w:t>
      </w:r>
      <w:r w:rsidR="007D2869" w:rsidRPr="004068F6">
        <w:rPr>
          <w:rFonts w:cs="Arial"/>
        </w:rPr>
        <w:t xml:space="preserve">en veda se debe </w:t>
      </w:r>
      <w:r w:rsidR="004C39B9" w:rsidRPr="004068F6">
        <w:rPr>
          <w:rFonts w:cs="Arial"/>
        </w:rPr>
        <w:t>desarrollar</w:t>
      </w:r>
      <w:r w:rsidRPr="004068F6">
        <w:rPr>
          <w:rFonts w:cs="Arial"/>
        </w:rPr>
        <w:t xml:space="preserve"> para el </w:t>
      </w:r>
      <w:r w:rsidRPr="004068F6">
        <w:rPr>
          <w:rFonts w:cs="Arial"/>
          <w:i/>
          <w:iCs/>
        </w:rPr>
        <w:t>área por intervenir</w:t>
      </w:r>
      <w:r w:rsidRPr="004068F6">
        <w:rPr>
          <w:rFonts w:cs="Arial"/>
        </w:rPr>
        <w:t xml:space="preserve"> mediante </w:t>
      </w:r>
      <w:r w:rsidR="0049729E" w:rsidRPr="004068F6">
        <w:rPr>
          <w:rFonts w:cs="Arial"/>
        </w:rPr>
        <w:t xml:space="preserve">un censo de los individuos </w:t>
      </w:r>
      <w:r w:rsidR="0073479E" w:rsidRPr="004068F6">
        <w:rPr>
          <w:rFonts w:cs="Arial"/>
        </w:rPr>
        <w:lastRenderedPageBreak/>
        <w:t>fustales y helechos arborescentes con altura del tallo mayor a 1,5 m o</w:t>
      </w:r>
      <w:r w:rsidR="003271C9" w:rsidRPr="004068F6">
        <w:rPr>
          <w:rFonts w:cs="Arial"/>
        </w:rPr>
        <w:t>,</w:t>
      </w:r>
      <w:r w:rsidR="0073479E" w:rsidRPr="004068F6">
        <w:rPr>
          <w:rFonts w:cs="Arial"/>
        </w:rPr>
        <w:t xml:space="preserve"> </w:t>
      </w:r>
      <w:r w:rsidR="001B33CC" w:rsidRPr="004068F6">
        <w:rPr>
          <w:rFonts w:cs="Arial"/>
        </w:rPr>
        <w:t xml:space="preserve">para toda el área objeto de caracterización </w:t>
      </w:r>
      <w:r w:rsidR="005C09F9" w:rsidRPr="004068F6">
        <w:rPr>
          <w:rFonts w:cs="Arial"/>
        </w:rPr>
        <w:t xml:space="preserve">mediante un muestreo (considerar el numeral </w:t>
      </w:r>
      <w:r w:rsidR="00042B3A">
        <w:rPr>
          <w:rFonts w:cs="Arial"/>
        </w:rPr>
        <w:fldChar w:fldCharType="begin"/>
      </w:r>
      <w:r w:rsidR="00042B3A">
        <w:rPr>
          <w:rFonts w:cs="Arial"/>
        </w:rPr>
        <w:instrText xml:space="preserve"> REF _Ref76394734 \r \h </w:instrText>
      </w:r>
      <w:r w:rsidR="00042B3A">
        <w:rPr>
          <w:rFonts w:cs="Arial"/>
        </w:rPr>
      </w:r>
      <w:r w:rsidR="00042B3A">
        <w:rPr>
          <w:rFonts w:cs="Arial"/>
        </w:rPr>
        <w:fldChar w:fldCharType="separate"/>
      </w:r>
      <w:r w:rsidR="009C4A81">
        <w:rPr>
          <w:rFonts w:cs="Arial"/>
        </w:rPr>
        <w:t>4.2.2.1.1</w:t>
      </w:r>
      <w:r w:rsidR="00042B3A">
        <w:rPr>
          <w:rFonts w:cs="Arial"/>
        </w:rPr>
        <w:fldChar w:fldCharType="end"/>
      </w:r>
      <w:r w:rsidR="005C09F9" w:rsidRPr="004068F6">
        <w:rPr>
          <w:rFonts w:cs="Arial"/>
        </w:rPr>
        <w:t xml:space="preserve"> para asegurar su representatividad)</w:t>
      </w:r>
      <w:r w:rsidR="005C09F9">
        <w:rPr>
          <w:rFonts w:cs="Arial"/>
        </w:rPr>
        <w:t xml:space="preserve"> </w:t>
      </w:r>
      <w:r w:rsidR="0073479E" w:rsidRPr="004068F6">
        <w:rPr>
          <w:rFonts w:cs="Arial"/>
        </w:rPr>
        <w:t xml:space="preserve">en el caso de proyectos, obras o actividades sin área </w:t>
      </w:r>
      <w:r w:rsidR="00A355D0" w:rsidRPr="004068F6">
        <w:rPr>
          <w:rFonts w:cs="Arial"/>
        </w:rPr>
        <w:t xml:space="preserve">por </w:t>
      </w:r>
      <w:r w:rsidR="0073479E" w:rsidRPr="004068F6">
        <w:rPr>
          <w:rFonts w:cs="Arial"/>
        </w:rPr>
        <w:t>interven</w:t>
      </w:r>
      <w:r w:rsidR="00A355D0" w:rsidRPr="004068F6">
        <w:rPr>
          <w:rFonts w:cs="Arial"/>
        </w:rPr>
        <w:t xml:space="preserve">ir </w:t>
      </w:r>
      <w:r w:rsidR="0073479E" w:rsidRPr="004068F6">
        <w:rPr>
          <w:rFonts w:cs="Arial"/>
        </w:rPr>
        <w:t>definida</w:t>
      </w:r>
      <w:r w:rsidRPr="004068F6">
        <w:rPr>
          <w:rFonts w:cs="Arial"/>
          <w:spacing w:val="-3"/>
        </w:rPr>
        <w:t>;</w:t>
      </w:r>
      <w:r w:rsidRPr="004068F6">
        <w:rPr>
          <w:rFonts w:cs="Arial"/>
        </w:rPr>
        <w:t xml:space="preserve"> </w:t>
      </w:r>
      <w:r w:rsidR="00D0426C" w:rsidRPr="004068F6">
        <w:rPr>
          <w:rFonts w:cs="Arial"/>
        </w:rPr>
        <w:t xml:space="preserve">la selección del método ya sea censo o muestreo </w:t>
      </w:r>
      <w:r w:rsidR="00D0426C" w:rsidRPr="004068F6">
        <w:rPr>
          <w:rFonts w:cs="Arial"/>
          <w:spacing w:val="-3"/>
        </w:rPr>
        <w:t xml:space="preserve">debe estar en función de </w:t>
      </w:r>
      <w:r w:rsidR="004C39B9" w:rsidRPr="004068F6">
        <w:rPr>
          <w:rFonts w:cs="Arial"/>
        </w:rPr>
        <w:t xml:space="preserve">las condiciones bióticas de </w:t>
      </w:r>
      <w:r w:rsidR="00377007" w:rsidRPr="004068F6">
        <w:rPr>
          <w:rFonts w:cs="Arial"/>
        </w:rPr>
        <w:t>e</w:t>
      </w:r>
      <w:r w:rsidR="004C39B9" w:rsidRPr="004068F6">
        <w:rPr>
          <w:rFonts w:cs="Arial"/>
        </w:rPr>
        <w:t xml:space="preserve">sta </w:t>
      </w:r>
      <w:r w:rsidR="00377007" w:rsidRPr="004068F6">
        <w:rPr>
          <w:rFonts w:cs="Arial"/>
        </w:rPr>
        <w:t xml:space="preserve">área </w:t>
      </w:r>
      <w:r w:rsidR="004C39B9" w:rsidRPr="004068F6">
        <w:rPr>
          <w:rFonts w:cs="Arial"/>
        </w:rPr>
        <w:t>y las características del proyecto, obra o actividad</w:t>
      </w:r>
      <w:r w:rsidR="00D0426C" w:rsidRPr="004068F6">
        <w:rPr>
          <w:rFonts w:cs="Arial"/>
          <w:spacing w:val="-3"/>
        </w:rPr>
        <w:t>.</w:t>
      </w:r>
    </w:p>
    <w:p w14:paraId="77A9BA30" w14:textId="77777777" w:rsidR="0049729E" w:rsidRPr="004068F6" w:rsidRDefault="0049729E" w:rsidP="007D2869">
      <w:pPr>
        <w:overflowPunct/>
        <w:textAlignment w:val="auto"/>
        <w:rPr>
          <w:rFonts w:cs="Arial"/>
          <w:spacing w:val="-3"/>
        </w:rPr>
      </w:pPr>
    </w:p>
    <w:p w14:paraId="21824423" w14:textId="59B79D4A" w:rsidR="007D2869" w:rsidRPr="004068F6" w:rsidRDefault="00257532" w:rsidP="007D2869">
      <w:pPr>
        <w:overflowPunct/>
        <w:textAlignment w:val="auto"/>
        <w:rPr>
          <w:rFonts w:cs="Arial"/>
          <w:spacing w:val="-3"/>
        </w:rPr>
      </w:pPr>
      <w:r w:rsidRPr="004068F6">
        <w:rPr>
          <w:rFonts w:cs="Arial"/>
          <w:spacing w:val="-3"/>
        </w:rPr>
        <w:t>S</w:t>
      </w:r>
      <w:r w:rsidR="007D2869" w:rsidRPr="004068F6">
        <w:rPr>
          <w:rFonts w:cs="Arial"/>
          <w:lang w:eastAsia="es-CO"/>
        </w:rPr>
        <w:t xml:space="preserve">e deben </w:t>
      </w:r>
      <w:r w:rsidR="007D2869" w:rsidRPr="004068F6">
        <w:rPr>
          <w:rFonts w:cs="Arial"/>
          <w:spacing w:val="-3"/>
        </w:rPr>
        <w:t>especificar las coordenadas de ubicación de los puntos de muestreo con sistema de referencia Magna</w:t>
      </w:r>
      <w:r w:rsidR="00EC20C8" w:rsidRPr="004068F6">
        <w:rPr>
          <w:rFonts w:cs="Arial"/>
          <w:spacing w:val="-3"/>
        </w:rPr>
        <w:t>-</w:t>
      </w:r>
      <w:r w:rsidR="007D2869" w:rsidRPr="004068F6">
        <w:rPr>
          <w:rFonts w:cs="Arial"/>
          <w:spacing w:val="-3"/>
        </w:rPr>
        <w:t>Sirgas (origen</w:t>
      </w:r>
      <w:r w:rsidR="00FE1B66" w:rsidRPr="004068F6">
        <w:rPr>
          <w:rFonts w:cs="Arial"/>
          <w:spacing w:val="-3"/>
        </w:rPr>
        <w:t xml:space="preserve"> nacional</w:t>
      </w:r>
      <w:r w:rsidR="007D2869" w:rsidRPr="004068F6">
        <w:rPr>
          <w:rFonts w:cs="Arial"/>
          <w:spacing w:val="-3"/>
        </w:rPr>
        <w:t>), así como representarlos en el mapa de ecosistemas</w:t>
      </w:r>
      <w:r w:rsidR="00E46AB9" w:rsidRPr="004068F6">
        <w:rPr>
          <w:rFonts w:cs="Arial"/>
          <w:spacing w:val="-3"/>
        </w:rPr>
        <w:t>. Asimismo</w:t>
      </w:r>
      <w:r w:rsidR="0051467A" w:rsidRPr="004068F6">
        <w:rPr>
          <w:rFonts w:cs="Arial"/>
          <w:spacing w:val="-3"/>
        </w:rPr>
        <w:t xml:space="preserve">, </w:t>
      </w:r>
      <w:r w:rsidR="006559FA" w:rsidRPr="004068F6">
        <w:rPr>
          <w:rFonts w:cs="Arial"/>
          <w:spacing w:val="-3"/>
        </w:rPr>
        <w:t xml:space="preserve">para cada especie </w:t>
      </w:r>
      <w:r w:rsidR="0051467A" w:rsidRPr="00127BD4">
        <w:rPr>
          <w:rFonts w:cs="Arial"/>
          <w:spacing w:val="-3"/>
        </w:rPr>
        <w:t>s</w:t>
      </w:r>
      <w:r w:rsidR="007D2869" w:rsidRPr="004068F6">
        <w:rPr>
          <w:rFonts w:cs="Arial"/>
          <w:spacing w:val="-3"/>
        </w:rPr>
        <w:t xml:space="preserve">e debe presentar la información </w:t>
      </w:r>
      <w:r w:rsidR="0051467A" w:rsidRPr="004068F6">
        <w:rPr>
          <w:rFonts w:cs="Arial"/>
          <w:spacing w:val="-3"/>
        </w:rPr>
        <w:t>solicitada para la fase de análisis del numeral 4.2.2.1.1</w:t>
      </w:r>
      <w:r w:rsidR="002637A2" w:rsidRPr="00127BD4">
        <w:rPr>
          <w:rFonts w:cs="Arial"/>
          <w:spacing w:val="-3"/>
        </w:rPr>
        <w:t>.</w:t>
      </w:r>
    </w:p>
    <w:p w14:paraId="1D11896D" w14:textId="77777777" w:rsidR="006B05FC" w:rsidRPr="004068F6" w:rsidRDefault="006B05FC" w:rsidP="00C86DA5">
      <w:pPr>
        <w:tabs>
          <w:tab w:val="left" w:pos="-2268"/>
        </w:tabs>
        <w:suppressAutoHyphens/>
        <w:rPr>
          <w:rFonts w:cs="Arial"/>
          <w:spacing w:val="-3"/>
        </w:rPr>
      </w:pPr>
    </w:p>
    <w:p w14:paraId="1A14E796" w14:textId="2BD68632" w:rsidR="006B05FC" w:rsidRPr="004068F6" w:rsidRDefault="00762F54" w:rsidP="009420F5">
      <w:r w:rsidRPr="004068F6">
        <w:rPr>
          <w:rFonts w:cs="Arial"/>
          <w:spacing w:val="-3"/>
        </w:rPr>
        <w:t xml:space="preserve">Adicionalmente, </w:t>
      </w:r>
      <w:r w:rsidR="001E28F7" w:rsidRPr="004068F6">
        <w:rPr>
          <w:rFonts w:cs="Arial"/>
          <w:spacing w:val="-3"/>
        </w:rPr>
        <w:t xml:space="preserve">se debe </w:t>
      </w:r>
      <w:r w:rsidR="00F4511E" w:rsidRPr="004068F6">
        <w:rPr>
          <w:rFonts w:cs="Arial"/>
          <w:spacing w:val="-3"/>
        </w:rPr>
        <w:t xml:space="preserve">desarrollar </w:t>
      </w:r>
      <w:r w:rsidRPr="004068F6">
        <w:rPr>
          <w:rFonts w:cs="Arial"/>
          <w:spacing w:val="-3"/>
        </w:rPr>
        <w:t xml:space="preserve">un </w:t>
      </w:r>
      <w:r w:rsidR="00F4511E" w:rsidRPr="004068F6">
        <w:rPr>
          <w:rFonts w:cs="Arial"/>
          <w:spacing w:val="-3"/>
        </w:rPr>
        <w:t xml:space="preserve">registro </w:t>
      </w:r>
      <w:r w:rsidR="00482A5F" w:rsidRPr="004068F6">
        <w:t>fotográfico</w:t>
      </w:r>
      <w:r w:rsidR="00F4511E" w:rsidRPr="004068F6">
        <w:rPr>
          <w:rStyle w:val="Refdenotaalpie"/>
          <w:rFonts w:cs="Arial"/>
          <w:spacing w:val="-3"/>
          <w:lang w:val="es-CO"/>
        </w:rPr>
        <w:footnoteReference w:id="147"/>
      </w:r>
      <w:r w:rsidR="00482A5F" w:rsidRPr="004068F6">
        <w:t xml:space="preserve"> de las especies </w:t>
      </w:r>
      <w:r w:rsidR="00F4511E" w:rsidRPr="004068F6">
        <w:t xml:space="preserve">en veda </w:t>
      </w:r>
      <w:r w:rsidR="00DC0FDD" w:rsidRPr="004068F6">
        <w:t>registradas</w:t>
      </w:r>
      <w:r w:rsidR="008468BF" w:rsidRPr="004068F6">
        <w:t xml:space="preserve"> </w:t>
      </w:r>
      <w:r w:rsidR="00482A5F" w:rsidRPr="004068F6">
        <w:t xml:space="preserve">en campo </w:t>
      </w:r>
      <w:r w:rsidR="008468BF" w:rsidRPr="004068F6">
        <w:t xml:space="preserve">con el siguiente </w:t>
      </w:r>
      <w:r w:rsidR="00482A5F" w:rsidRPr="004068F6">
        <w:t>conten</w:t>
      </w:r>
      <w:r w:rsidR="008468BF" w:rsidRPr="004068F6">
        <w:t>ido</w:t>
      </w:r>
      <w:r w:rsidR="00482A5F" w:rsidRPr="004068F6">
        <w:t>:</w:t>
      </w:r>
    </w:p>
    <w:p w14:paraId="5FC4C05F" w14:textId="77777777" w:rsidR="006B05FC" w:rsidRPr="004068F6" w:rsidRDefault="006B05FC">
      <w:pPr>
        <w:tabs>
          <w:tab w:val="left" w:pos="-2268"/>
        </w:tabs>
        <w:suppressAutoHyphens/>
        <w:rPr>
          <w:rFonts w:cs="Arial"/>
          <w:spacing w:val="-3"/>
        </w:rPr>
      </w:pPr>
    </w:p>
    <w:p w14:paraId="68A52D75" w14:textId="0B6C0E08" w:rsidR="00F4511E" w:rsidRPr="004068F6" w:rsidRDefault="00267F5D" w:rsidP="00267F5D">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F</w:t>
      </w:r>
      <w:r w:rsidR="00F4511E" w:rsidRPr="004068F6">
        <w:rPr>
          <w:rFonts w:cs="Arial"/>
          <w:spacing w:val="-3"/>
          <w:lang w:val="es-CO"/>
        </w:rPr>
        <w:t>otografía</w:t>
      </w:r>
      <w:r w:rsidR="0010064E" w:rsidRPr="004068F6">
        <w:rPr>
          <w:rFonts w:cs="Arial"/>
          <w:spacing w:val="-3"/>
          <w:lang w:val="es-CO"/>
        </w:rPr>
        <w:t>s</w:t>
      </w:r>
      <w:r w:rsidR="0033549B" w:rsidRPr="00127BD4">
        <w:rPr>
          <w:rFonts w:cs="Arial"/>
          <w:spacing w:val="-3"/>
          <w:lang w:val="es-CO"/>
        </w:rPr>
        <w:t xml:space="preserve"> </w:t>
      </w:r>
      <w:r w:rsidR="0033549B" w:rsidRPr="004068F6">
        <w:rPr>
          <w:rFonts w:cs="Arial"/>
          <w:spacing w:val="-3"/>
          <w:lang w:val="es-CO"/>
        </w:rPr>
        <w:t>de las especies observadas en</w:t>
      </w:r>
      <w:r w:rsidR="00482A5F" w:rsidRPr="004068F6">
        <w:rPr>
          <w:rFonts w:cs="Arial"/>
          <w:spacing w:val="-3"/>
          <w:lang w:val="es-CO"/>
        </w:rPr>
        <w:t xml:space="preserve"> campo</w:t>
      </w:r>
      <w:r w:rsidR="009B769C" w:rsidRPr="004068F6">
        <w:rPr>
          <w:rFonts w:cs="Arial"/>
          <w:spacing w:val="-3"/>
          <w:lang w:val="es-CO"/>
        </w:rPr>
        <w:t>;</w:t>
      </w:r>
      <w:r w:rsidR="00482A5F" w:rsidRPr="004068F6">
        <w:rPr>
          <w:rFonts w:cs="Arial"/>
          <w:spacing w:val="-3"/>
          <w:lang w:val="es-CO"/>
        </w:rPr>
        <w:t xml:space="preserve"> </w:t>
      </w:r>
      <w:r w:rsidR="009B769C" w:rsidRPr="004068F6">
        <w:rPr>
          <w:rFonts w:cs="Arial"/>
          <w:spacing w:val="-3"/>
          <w:lang w:val="es-CO"/>
        </w:rPr>
        <w:t xml:space="preserve">es posible </w:t>
      </w:r>
      <w:r w:rsidR="00F4511E" w:rsidRPr="004068F6">
        <w:rPr>
          <w:rFonts w:cs="Arial"/>
          <w:spacing w:val="-3"/>
          <w:lang w:val="es-CO"/>
        </w:rPr>
        <w:t xml:space="preserve">presentar fotografías adicionales </w:t>
      </w:r>
      <w:r w:rsidR="009B769C" w:rsidRPr="004068F6">
        <w:rPr>
          <w:rFonts w:cs="Arial"/>
          <w:spacing w:val="-3"/>
          <w:lang w:val="es-CO"/>
        </w:rPr>
        <w:t xml:space="preserve">tomadas en </w:t>
      </w:r>
      <w:r w:rsidR="00F4511E" w:rsidRPr="004068F6">
        <w:rPr>
          <w:rFonts w:cs="Arial"/>
          <w:spacing w:val="-3"/>
          <w:lang w:val="es-CO"/>
        </w:rPr>
        <w:t xml:space="preserve">campo o </w:t>
      </w:r>
      <w:r w:rsidR="009B769C" w:rsidRPr="004068F6">
        <w:rPr>
          <w:rFonts w:cs="Arial"/>
          <w:spacing w:val="-3"/>
          <w:lang w:val="es-CO"/>
        </w:rPr>
        <w:t xml:space="preserve">en </w:t>
      </w:r>
      <w:r w:rsidR="00F4511E" w:rsidRPr="004068F6">
        <w:rPr>
          <w:rFonts w:cs="Arial"/>
          <w:spacing w:val="-3"/>
          <w:lang w:val="es-CO"/>
        </w:rPr>
        <w:t>laboratorio.</w:t>
      </w:r>
      <w:r w:rsidRPr="004068F6">
        <w:rPr>
          <w:rFonts w:cs="Arial"/>
          <w:spacing w:val="-3"/>
          <w:lang w:val="es-CO"/>
        </w:rPr>
        <w:t xml:space="preserve"> Las fotografías deben contar con una resolución que permita la observación de los caracteres diagnósticos o caracteres con que cuente el espécimen en el momento de la toma del registro fotográfico.</w:t>
      </w:r>
    </w:p>
    <w:p w14:paraId="2C08320C" w14:textId="77777777" w:rsidR="00F4511E" w:rsidRPr="004068F6" w:rsidRDefault="00F4511E" w:rsidP="008A4FE9">
      <w:pPr>
        <w:ind w:left="1134" w:hanging="567"/>
        <w:rPr>
          <w:rFonts w:cs="Arial"/>
          <w:spacing w:val="-3"/>
        </w:rPr>
      </w:pPr>
    </w:p>
    <w:p w14:paraId="68E8CC15" w14:textId="6B710ED5" w:rsidR="00482A5F" w:rsidRPr="004068F6" w:rsidRDefault="00F4511E" w:rsidP="008A4FE9">
      <w:pPr>
        <w:tabs>
          <w:tab w:val="left" w:pos="-2268"/>
        </w:tabs>
        <w:suppressAutoHyphens/>
        <w:ind w:left="567"/>
        <w:rPr>
          <w:iCs/>
          <w:spacing w:val="-3"/>
        </w:rPr>
      </w:pPr>
      <w:r w:rsidRPr="004068F6">
        <w:rPr>
          <w:iCs/>
          <w:spacing w:val="-3"/>
        </w:rPr>
        <w:t>La fotografía principal (fotografía de campo) debe registrar en la medida de las posibilidades, la arquitectura, fisionomía y estructuras reproductivas de la especie</w:t>
      </w:r>
      <w:r w:rsidR="00E7705D" w:rsidRPr="004068F6">
        <w:rPr>
          <w:iCs/>
          <w:spacing w:val="-3"/>
        </w:rPr>
        <w:t>,</w:t>
      </w:r>
      <w:r w:rsidR="00E87E35" w:rsidRPr="00127BD4">
        <w:t xml:space="preserve"> </w:t>
      </w:r>
      <w:r w:rsidR="00E87E35" w:rsidRPr="004068F6">
        <w:rPr>
          <w:iCs/>
          <w:spacing w:val="-3"/>
        </w:rPr>
        <w:t>de forma tal que se pueda contar con la vista general de la especie y con el detalle de sus estructuras relevantes</w:t>
      </w:r>
      <w:r w:rsidR="00267F5D" w:rsidRPr="004068F6">
        <w:rPr>
          <w:iCs/>
          <w:spacing w:val="-3"/>
        </w:rPr>
        <w:t>.</w:t>
      </w:r>
      <w:r w:rsidRPr="004068F6">
        <w:rPr>
          <w:iCs/>
          <w:spacing w:val="-3"/>
        </w:rPr>
        <w:t xml:space="preserve"> </w:t>
      </w:r>
      <w:r w:rsidR="00267F5D" w:rsidRPr="004068F6">
        <w:rPr>
          <w:iCs/>
          <w:spacing w:val="-3"/>
        </w:rPr>
        <w:t>L</w:t>
      </w:r>
      <w:r w:rsidRPr="004068F6">
        <w:rPr>
          <w:iCs/>
          <w:spacing w:val="-3"/>
        </w:rPr>
        <w:t xml:space="preserve">as fotografías adicionales se pueden presentar para registrar </w:t>
      </w:r>
      <w:r w:rsidR="00795ECB" w:rsidRPr="004068F6">
        <w:rPr>
          <w:iCs/>
          <w:spacing w:val="-3"/>
        </w:rPr>
        <w:t xml:space="preserve">los </w:t>
      </w:r>
      <w:r w:rsidRPr="004068F6">
        <w:rPr>
          <w:iCs/>
          <w:spacing w:val="-3"/>
        </w:rPr>
        <w:t xml:space="preserve">detalles de caracteres tipo </w:t>
      </w:r>
      <w:r w:rsidR="00795ECB" w:rsidRPr="004068F6">
        <w:rPr>
          <w:iCs/>
          <w:spacing w:val="-3"/>
        </w:rPr>
        <w:t xml:space="preserve">con los que cuente el espécimen en el momento de toma de la fotografía </w:t>
      </w:r>
      <w:r w:rsidRPr="004068F6">
        <w:rPr>
          <w:iCs/>
          <w:spacing w:val="-3"/>
        </w:rPr>
        <w:t xml:space="preserve">que </w:t>
      </w:r>
      <w:r w:rsidR="00795ECB" w:rsidRPr="004068F6">
        <w:rPr>
          <w:iCs/>
          <w:spacing w:val="-3"/>
        </w:rPr>
        <w:t>resulten de importancia</w:t>
      </w:r>
      <w:r w:rsidRPr="004068F6">
        <w:rPr>
          <w:iCs/>
          <w:spacing w:val="-3"/>
        </w:rPr>
        <w:t xml:space="preserve"> para su </w:t>
      </w:r>
      <w:r w:rsidR="00B91C6B" w:rsidRPr="004068F6">
        <w:rPr>
          <w:iCs/>
          <w:spacing w:val="-3"/>
        </w:rPr>
        <w:t xml:space="preserve">determinación </w:t>
      </w:r>
      <w:r w:rsidRPr="004068F6">
        <w:rPr>
          <w:iCs/>
          <w:spacing w:val="-3"/>
        </w:rPr>
        <w:t>(</w:t>
      </w:r>
      <w:r w:rsidR="0059324C" w:rsidRPr="004068F6">
        <w:rPr>
          <w:iCs/>
          <w:spacing w:val="-3"/>
        </w:rPr>
        <w:t>hojas, yemas, flores, frutos, semillas, corteza, escamas, frondas, forma de crecimiento, estructuras reproductivas, entre otros</w:t>
      </w:r>
      <w:r w:rsidRPr="004068F6">
        <w:rPr>
          <w:iCs/>
          <w:spacing w:val="-3"/>
        </w:rPr>
        <w:t>).</w:t>
      </w:r>
    </w:p>
    <w:p w14:paraId="4C15149E" w14:textId="77777777" w:rsidR="006B05FC" w:rsidRPr="004068F6" w:rsidRDefault="006B05FC" w:rsidP="009420F5">
      <w:pPr>
        <w:tabs>
          <w:tab w:val="left" w:pos="-2268"/>
        </w:tabs>
        <w:suppressAutoHyphens/>
        <w:rPr>
          <w:rFonts w:cs="Arial"/>
          <w:spacing w:val="-3"/>
        </w:rPr>
      </w:pPr>
    </w:p>
    <w:p w14:paraId="7B548A16" w14:textId="69E5342F" w:rsidR="001D0083" w:rsidRPr="004068F6" w:rsidRDefault="001D0083" w:rsidP="001D0083">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Coordenadas de localización y fecha de captura de la</w:t>
      </w:r>
      <w:r w:rsidR="00795ECB" w:rsidRPr="004068F6">
        <w:rPr>
          <w:rFonts w:cs="Arial"/>
          <w:spacing w:val="-3"/>
          <w:lang w:val="es-CO"/>
        </w:rPr>
        <w:t xml:space="preserve"> fotografía en campo</w:t>
      </w:r>
      <w:r w:rsidRPr="004068F6">
        <w:rPr>
          <w:rFonts w:cs="Arial"/>
          <w:spacing w:val="-3"/>
          <w:lang w:val="es-CO"/>
        </w:rPr>
        <w:t>.</w:t>
      </w:r>
    </w:p>
    <w:p w14:paraId="49D449E5" w14:textId="77777777" w:rsidR="00163A42" w:rsidRPr="004068F6" w:rsidRDefault="00163A42" w:rsidP="00C86DA5">
      <w:pPr>
        <w:tabs>
          <w:tab w:val="left" w:pos="-2268"/>
        </w:tabs>
        <w:suppressAutoHyphens/>
        <w:rPr>
          <w:rFonts w:cs="Arial"/>
          <w:spacing w:val="-3"/>
        </w:rPr>
      </w:pPr>
    </w:p>
    <w:p w14:paraId="6CAD625E" w14:textId="6FF15E50" w:rsidR="00482A5F" w:rsidRPr="004068F6" w:rsidRDefault="00E25ED6" w:rsidP="00482A5F">
      <w:pPr>
        <w:tabs>
          <w:tab w:val="left" w:pos="-2268"/>
        </w:tabs>
        <w:suppressAutoHyphens/>
        <w:rPr>
          <w:rFonts w:cs="Arial"/>
          <w:spacing w:val="-3"/>
        </w:rPr>
      </w:pPr>
      <w:r w:rsidRPr="004068F6">
        <w:rPr>
          <w:rFonts w:cs="Arial"/>
          <w:spacing w:val="-3"/>
        </w:rPr>
        <w:t xml:space="preserve">Se </w:t>
      </w:r>
      <w:r w:rsidR="0034441C" w:rsidRPr="004068F6">
        <w:rPr>
          <w:rFonts w:cs="Arial"/>
          <w:spacing w:val="-3"/>
        </w:rPr>
        <w:t>de</w:t>
      </w:r>
      <w:r w:rsidRPr="004068F6">
        <w:rPr>
          <w:rFonts w:cs="Arial"/>
          <w:spacing w:val="-3"/>
        </w:rPr>
        <w:t>be</w:t>
      </w:r>
      <w:r w:rsidR="0034441C" w:rsidRPr="004068F6">
        <w:rPr>
          <w:rFonts w:cs="Arial"/>
          <w:spacing w:val="-3"/>
        </w:rPr>
        <w:t xml:space="preserve"> </w:t>
      </w:r>
      <w:r w:rsidR="009400B2" w:rsidRPr="004068F6">
        <w:rPr>
          <w:rFonts w:cs="Arial"/>
          <w:spacing w:val="-3"/>
        </w:rPr>
        <w:t xml:space="preserve">verificar </w:t>
      </w:r>
      <w:r w:rsidR="00482A5F" w:rsidRPr="004068F6">
        <w:rPr>
          <w:rFonts w:cs="Arial"/>
          <w:spacing w:val="-3"/>
        </w:rPr>
        <w:t xml:space="preserve">la </w:t>
      </w:r>
      <w:r w:rsidR="00B91C6B" w:rsidRPr="004068F6">
        <w:rPr>
          <w:rFonts w:cs="Arial"/>
          <w:spacing w:val="-3"/>
        </w:rPr>
        <w:t>determinación</w:t>
      </w:r>
      <w:r w:rsidRPr="004068F6">
        <w:rPr>
          <w:rFonts w:cs="Arial"/>
          <w:spacing w:val="-3"/>
        </w:rPr>
        <w:t>,</w:t>
      </w:r>
      <w:r w:rsidR="00B91C6B" w:rsidRPr="004068F6">
        <w:rPr>
          <w:rFonts w:cs="Arial"/>
          <w:spacing w:val="-3"/>
        </w:rPr>
        <w:t xml:space="preserve"> </w:t>
      </w:r>
      <w:r w:rsidR="00482A5F" w:rsidRPr="004068F6">
        <w:rPr>
          <w:rFonts w:cs="Arial"/>
          <w:spacing w:val="-3"/>
        </w:rPr>
        <w:t xml:space="preserve">características </w:t>
      </w:r>
      <w:r w:rsidRPr="004068F6">
        <w:rPr>
          <w:rFonts w:cs="Arial"/>
          <w:spacing w:val="-3"/>
        </w:rPr>
        <w:t xml:space="preserve">y distribución </w:t>
      </w:r>
      <w:r w:rsidR="00482A5F" w:rsidRPr="004068F6">
        <w:rPr>
          <w:rFonts w:cs="Arial"/>
          <w:spacing w:val="-3"/>
        </w:rPr>
        <w:t>de las especies en veda</w:t>
      </w:r>
      <w:r w:rsidR="00533557" w:rsidRPr="004068F6">
        <w:rPr>
          <w:rFonts w:cs="Arial"/>
          <w:spacing w:val="-3"/>
        </w:rPr>
        <w:t xml:space="preserve"> </w:t>
      </w:r>
      <w:r w:rsidRPr="004068F6">
        <w:rPr>
          <w:rFonts w:cs="Arial"/>
          <w:spacing w:val="-3"/>
        </w:rPr>
        <w:t xml:space="preserve">mediante la </w:t>
      </w:r>
      <w:r w:rsidR="00533557" w:rsidRPr="004068F6">
        <w:rPr>
          <w:rFonts w:cs="Arial"/>
          <w:spacing w:val="-3"/>
        </w:rPr>
        <w:t>consulta</w:t>
      </w:r>
      <w:r w:rsidRPr="004068F6">
        <w:rPr>
          <w:rFonts w:cs="Arial"/>
          <w:spacing w:val="-3"/>
        </w:rPr>
        <w:t xml:space="preserve"> de</w:t>
      </w:r>
      <w:r w:rsidR="00533557" w:rsidRPr="004068F6">
        <w:rPr>
          <w:rFonts w:cs="Arial"/>
          <w:spacing w:val="-3"/>
        </w:rPr>
        <w:t xml:space="preserve"> información de </w:t>
      </w:r>
      <w:r w:rsidR="0035504E" w:rsidRPr="004068F6">
        <w:rPr>
          <w:rFonts w:cs="Arial"/>
          <w:spacing w:val="-3"/>
        </w:rPr>
        <w:t>a</w:t>
      </w:r>
      <w:r w:rsidR="00533557" w:rsidRPr="004068F6">
        <w:rPr>
          <w:rFonts w:cs="Arial"/>
          <w:spacing w:val="-3"/>
        </w:rPr>
        <w:t xml:space="preserve">utoridades </w:t>
      </w:r>
      <w:r w:rsidR="0035504E" w:rsidRPr="004068F6">
        <w:rPr>
          <w:rFonts w:cs="Arial"/>
          <w:spacing w:val="-3"/>
        </w:rPr>
        <w:t>a</w:t>
      </w:r>
      <w:r w:rsidR="00533557" w:rsidRPr="004068F6">
        <w:rPr>
          <w:rFonts w:cs="Arial"/>
          <w:spacing w:val="-3"/>
        </w:rPr>
        <w:t xml:space="preserve">mbientales, </w:t>
      </w:r>
      <w:r w:rsidR="0035504E" w:rsidRPr="004068F6">
        <w:rPr>
          <w:rFonts w:cs="Arial"/>
          <w:spacing w:val="-3"/>
        </w:rPr>
        <w:t xml:space="preserve">institutos de investigación y otras </w:t>
      </w:r>
      <w:r w:rsidR="00533557" w:rsidRPr="004068F6">
        <w:rPr>
          <w:rFonts w:cs="Arial"/>
          <w:spacing w:val="-3"/>
        </w:rPr>
        <w:t>entidades especializadas en el tema</w:t>
      </w:r>
      <w:r w:rsidR="0000766D" w:rsidRPr="004068F6">
        <w:rPr>
          <w:rFonts w:cs="Arial"/>
          <w:spacing w:val="-3"/>
        </w:rPr>
        <w:t xml:space="preserve">, así como </w:t>
      </w:r>
      <w:r w:rsidR="00E92ED9" w:rsidRPr="004068F6">
        <w:rPr>
          <w:rFonts w:cs="Arial"/>
          <w:spacing w:val="-3"/>
        </w:rPr>
        <w:t xml:space="preserve">mencionar </w:t>
      </w:r>
      <w:r w:rsidR="0000766D" w:rsidRPr="004068F6">
        <w:rPr>
          <w:rFonts w:cs="Arial"/>
          <w:spacing w:val="-3"/>
        </w:rPr>
        <w:t>qué información fue consultada para este efecto</w:t>
      </w:r>
      <w:r w:rsidR="00482A5F" w:rsidRPr="004068F6">
        <w:rPr>
          <w:rFonts w:cs="Arial"/>
          <w:spacing w:val="-3"/>
        </w:rPr>
        <w:t>. A continuación, se relacionan algun</w:t>
      </w:r>
      <w:r w:rsidR="00794657" w:rsidRPr="004068F6">
        <w:rPr>
          <w:rFonts w:cs="Arial"/>
          <w:spacing w:val="-3"/>
        </w:rPr>
        <w:t>o</w:t>
      </w:r>
      <w:r w:rsidR="00482A5F" w:rsidRPr="004068F6">
        <w:rPr>
          <w:rFonts w:cs="Arial"/>
          <w:spacing w:val="-3"/>
        </w:rPr>
        <w:t xml:space="preserve">s </w:t>
      </w:r>
      <w:r w:rsidR="00794657" w:rsidRPr="004068F6">
        <w:rPr>
          <w:rFonts w:cs="Arial"/>
          <w:spacing w:val="-3"/>
        </w:rPr>
        <w:t xml:space="preserve">actos administrativos </w:t>
      </w:r>
      <w:r w:rsidR="0035504E" w:rsidRPr="004068F6">
        <w:rPr>
          <w:rFonts w:cs="Arial"/>
          <w:spacing w:val="-3"/>
        </w:rPr>
        <w:t xml:space="preserve">que </w:t>
      </w:r>
      <w:r w:rsidR="00794657" w:rsidRPr="004068F6">
        <w:rPr>
          <w:rFonts w:cs="Arial"/>
          <w:spacing w:val="-3"/>
        </w:rPr>
        <w:t>establecen especies vedadas</w:t>
      </w:r>
      <w:r w:rsidR="00482A5F" w:rsidRPr="004068F6">
        <w:rPr>
          <w:rFonts w:cs="Arial"/>
          <w:spacing w:val="-3"/>
        </w:rPr>
        <w:t>.</w:t>
      </w:r>
    </w:p>
    <w:p w14:paraId="04A28673" w14:textId="77777777" w:rsidR="008002C8" w:rsidRPr="004068F6" w:rsidRDefault="008002C8" w:rsidP="00482A5F">
      <w:pPr>
        <w:tabs>
          <w:tab w:val="left" w:pos="-2268"/>
        </w:tabs>
        <w:suppressAutoHyphens/>
        <w:rPr>
          <w:rFonts w:cs="Arial"/>
          <w:spacing w:val="-3"/>
        </w:rPr>
      </w:pPr>
    </w:p>
    <w:p w14:paraId="6A78180C" w14:textId="1A2A4692" w:rsidR="00482A5F" w:rsidRPr="004068F6" w:rsidRDefault="00482A5F" w:rsidP="00482A5F">
      <w:pPr>
        <w:numPr>
          <w:ilvl w:val="12"/>
          <w:numId w:val="0"/>
        </w:numPr>
        <w:tabs>
          <w:tab w:val="left" w:pos="-2268"/>
        </w:tabs>
        <w:suppressAutoHyphens/>
        <w:jc w:val="center"/>
        <w:rPr>
          <w:rFonts w:cs="Arial"/>
          <w:spacing w:val="-3"/>
        </w:rPr>
      </w:pPr>
      <w:r w:rsidRPr="004068F6">
        <w:rPr>
          <w:rFonts w:cs="Arial"/>
          <w:b/>
          <w:spacing w:val="-3"/>
        </w:rPr>
        <w:lastRenderedPageBreak/>
        <w:t xml:space="preserve">Tabla </w:t>
      </w:r>
      <w:r w:rsidRPr="004068F6">
        <w:rPr>
          <w:rFonts w:cs="Arial"/>
          <w:b/>
          <w:spacing w:val="-3"/>
        </w:rPr>
        <w:fldChar w:fldCharType="begin"/>
      </w:r>
      <w:r w:rsidRPr="004068F6">
        <w:rPr>
          <w:rFonts w:cs="Arial"/>
          <w:b/>
          <w:spacing w:val="-3"/>
        </w:rPr>
        <w:instrText xml:space="preserve"> SEQ Tabla \* ARABIC </w:instrText>
      </w:r>
      <w:r w:rsidRPr="004068F6">
        <w:rPr>
          <w:rFonts w:cs="Arial"/>
          <w:b/>
          <w:spacing w:val="-3"/>
        </w:rPr>
        <w:fldChar w:fldCharType="separate"/>
      </w:r>
      <w:r w:rsidR="009C4A81">
        <w:rPr>
          <w:rFonts w:cs="Arial"/>
          <w:b/>
          <w:noProof/>
          <w:spacing w:val="-3"/>
        </w:rPr>
        <w:t>22</w:t>
      </w:r>
      <w:r w:rsidRPr="004068F6">
        <w:rPr>
          <w:rFonts w:cs="Arial"/>
          <w:b/>
          <w:spacing w:val="-3"/>
        </w:rPr>
        <w:fldChar w:fldCharType="end"/>
      </w:r>
      <w:r w:rsidRPr="004068F6">
        <w:rPr>
          <w:rFonts w:cs="Arial"/>
          <w:b/>
          <w:spacing w:val="-3"/>
        </w:rPr>
        <w:t>.</w:t>
      </w:r>
      <w:r w:rsidRPr="004068F6">
        <w:rPr>
          <w:rFonts w:cs="Arial"/>
          <w:spacing w:val="-3"/>
        </w:rPr>
        <w:t xml:space="preserve"> </w:t>
      </w:r>
      <w:r w:rsidR="001D46E7" w:rsidRPr="004068F6">
        <w:rPr>
          <w:rFonts w:cs="Arial"/>
          <w:spacing w:val="-3"/>
        </w:rPr>
        <w:t xml:space="preserve">Algunos actos administrativos que establecen especies </w:t>
      </w:r>
      <w:r w:rsidRPr="004068F6">
        <w:rPr>
          <w:rFonts w:cs="Arial"/>
          <w:spacing w:val="-3"/>
        </w:rPr>
        <w:t>de plantas arbóreas y helechos arborescentes en veda</w:t>
      </w:r>
    </w:p>
    <w:tbl>
      <w:tblPr>
        <w:tblW w:w="8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2"/>
        <w:gridCol w:w="5271"/>
      </w:tblGrid>
      <w:tr w:rsidR="00482A5F" w:rsidRPr="004068F6" w14:paraId="531D6838" w14:textId="77777777" w:rsidTr="005532E6">
        <w:trPr>
          <w:trHeight w:hRule="exact" w:val="567"/>
          <w:tblHeader/>
          <w:jc w:val="center"/>
        </w:trPr>
        <w:tc>
          <w:tcPr>
            <w:tcW w:w="3632" w:type="dxa"/>
            <w:vAlign w:val="center"/>
          </w:tcPr>
          <w:p w14:paraId="48945F1A" w14:textId="5FBB7335" w:rsidR="00482A5F" w:rsidRPr="004068F6" w:rsidRDefault="00533557">
            <w:pPr>
              <w:numPr>
                <w:ilvl w:val="12"/>
                <w:numId w:val="0"/>
              </w:numPr>
              <w:tabs>
                <w:tab w:val="left" w:pos="-2268"/>
              </w:tabs>
              <w:suppressAutoHyphens/>
              <w:jc w:val="center"/>
              <w:rPr>
                <w:rFonts w:cs="Arial"/>
                <w:b/>
                <w:spacing w:val="-3"/>
                <w:sz w:val="20"/>
                <w:szCs w:val="20"/>
              </w:rPr>
            </w:pPr>
            <w:r w:rsidRPr="004068F6">
              <w:rPr>
                <w:rFonts w:cs="Arial"/>
                <w:b/>
                <w:spacing w:val="-3"/>
                <w:sz w:val="20"/>
                <w:szCs w:val="20"/>
              </w:rPr>
              <w:t>Resolución</w:t>
            </w:r>
            <w:r w:rsidR="00B655A8" w:rsidRPr="004068F6">
              <w:rPr>
                <w:rFonts w:cs="Arial"/>
                <w:b/>
                <w:spacing w:val="-3"/>
                <w:sz w:val="20"/>
                <w:szCs w:val="20"/>
              </w:rPr>
              <w:t xml:space="preserve"> / Acto administrativo</w:t>
            </w:r>
          </w:p>
        </w:tc>
        <w:tc>
          <w:tcPr>
            <w:tcW w:w="5271" w:type="dxa"/>
            <w:vAlign w:val="center"/>
          </w:tcPr>
          <w:p w14:paraId="7F113B50" w14:textId="353F977D" w:rsidR="00482A5F" w:rsidRPr="004068F6" w:rsidRDefault="00533557">
            <w:pPr>
              <w:numPr>
                <w:ilvl w:val="12"/>
                <w:numId w:val="0"/>
              </w:numPr>
              <w:tabs>
                <w:tab w:val="left" w:pos="-2268"/>
              </w:tabs>
              <w:suppressAutoHyphens/>
              <w:jc w:val="center"/>
              <w:rPr>
                <w:rFonts w:cs="Arial"/>
                <w:b/>
                <w:spacing w:val="-3"/>
                <w:sz w:val="20"/>
                <w:szCs w:val="20"/>
              </w:rPr>
            </w:pPr>
            <w:r w:rsidRPr="004068F6">
              <w:rPr>
                <w:rFonts w:cs="Arial"/>
                <w:b/>
                <w:spacing w:val="-3"/>
                <w:sz w:val="20"/>
                <w:szCs w:val="20"/>
              </w:rPr>
              <w:t>Objeto de veda</w:t>
            </w:r>
          </w:p>
        </w:tc>
      </w:tr>
      <w:tr w:rsidR="00482A5F" w:rsidRPr="004068F6" w14:paraId="07C01239" w14:textId="77777777" w:rsidTr="005532E6">
        <w:trPr>
          <w:trHeight w:hRule="exact" w:val="1599"/>
          <w:jc w:val="center"/>
        </w:trPr>
        <w:tc>
          <w:tcPr>
            <w:tcW w:w="3632" w:type="dxa"/>
            <w:vAlign w:val="center"/>
          </w:tcPr>
          <w:p w14:paraId="79C7F07D" w14:textId="0F4FC1D9" w:rsidR="00482A5F" w:rsidRPr="004068F6" w:rsidRDefault="00482A5F">
            <w:pPr>
              <w:numPr>
                <w:ilvl w:val="12"/>
                <w:numId w:val="0"/>
              </w:numPr>
              <w:tabs>
                <w:tab w:val="left" w:pos="-2268"/>
              </w:tabs>
              <w:suppressAutoHyphens/>
              <w:rPr>
                <w:rFonts w:cs="Arial"/>
                <w:spacing w:val="-3"/>
                <w:sz w:val="20"/>
                <w:szCs w:val="20"/>
              </w:rPr>
            </w:pPr>
            <w:r w:rsidRPr="004068F6">
              <w:rPr>
                <w:rFonts w:cs="Arial"/>
                <w:sz w:val="20"/>
                <w:szCs w:val="20"/>
                <w:lang w:eastAsia="es-CO"/>
              </w:rPr>
              <w:t xml:space="preserve">Resolución 0316 de 1974 </w:t>
            </w:r>
            <w:r w:rsidR="002F0954" w:rsidRPr="004068F6">
              <w:rPr>
                <w:rFonts w:cs="Arial"/>
                <w:sz w:val="20"/>
                <w:szCs w:val="20"/>
                <w:lang w:eastAsia="es-CO"/>
              </w:rPr>
              <w:t xml:space="preserve">del </w:t>
            </w:r>
            <w:r w:rsidRPr="004068F6">
              <w:rPr>
                <w:rFonts w:cs="Arial"/>
                <w:sz w:val="20"/>
                <w:szCs w:val="20"/>
                <w:lang w:eastAsia="es-CO"/>
              </w:rPr>
              <w:t>I</w:t>
            </w:r>
            <w:r w:rsidR="002F0954" w:rsidRPr="004068F6">
              <w:rPr>
                <w:rFonts w:cs="Arial"/>
                <w:sz w:val="20"/>
                <w:szCs w:val="20"/>
                <w:lang w:eastAsia="es-CO"/>
              </w:rPr>
              <w:t>nderena</w:t>
            </w:r>
            <w:r w:rsidRPr="004068F6">
              <w:rPr>
                <w:rFonts w:cs="Arial"/>
                <w:sz w:val="20"/>
                <w:szCs w:val="20"/>
                <w:lang w:eastAsia="es-CO"/>
              </w:rPr>
              <w:t xml:space="preserve"> </w:t>
            </w:r>
            <w:r w:rsidRPr="004068F6">
              <w:rPr>
                <w:rFonts w:cs="Arial"/>
                <w:spacing w:val="-3"/>
                <w:sz w:val="20"/>
                <w:szCs w:val="20"/>
              </w:rPr>
              <w:t xml:space="preserve">o la que </w:t>
            </w:r>
            <w:r w:rsidR="002F0954" w:rsidRPr="004068F6">
              <w:rPr>
                <w:rFonts w:cs="Arial"/>
                <w:spacing w:val="-3"/>
                <w:sz w:val="20"/>
                <w:szCs w:val="20"/>
              </w:rPr>
              <w:t xml:space="preserve">la </w:t>
            </w:r>
            <w:r w:rsidRPr="004068F6">
              <w:rPr>
                <w:rFonts w:cs="Arial"/>
                <w:spacing w:val="-3"/>
                <w:sz w:val="20"/>
                <w:szCs w:val="20"/>
              </w:rPr>
              <w:t>modifique</w:t>
            </w:r>
            <w:r w:rsidR="008259A6" w:rsidRPr="004068F6">
              <w:rPr>
                <w:rFonts w:cs="Arial"/>
                <w:spacing w:val="-3"/>
                <w:sz w:val="20"/>
                <w:szCs w:val="20"/>
              </w:rPr>
              <w:t xml:space="preserve"> o</w:t>
            </w:r>
            <w:r w:rsidRPr="004068F6">
              <w:rPr>
                <w:rFonts w:cs="Arial"/>
                <w:spacing w:val="-3"/>
                <w:sz w:val="20"/>
                <w:szCs w:val="20"/>
              </w:rPr>
              <w:t xml:space="preserve"> sustituya.</w:t>
            </w:r>
          </w:p>
        </w:tc>
        <w:tc>
          <w:tcPr>
            <w:tcW w:w="5271" w:type="dxa"/>
            <w:vAlign w:val="center"/>
          </w:tcPr>
          <w:p w14:paraId="016E83B9" w14:textId="193ECEDD" w:rsidR="00482A5F" w:rsidRPr="004068F6" w:rsidRDefault="00482A5F">
            <w:pPr>
              <w:numPr>
                <w:ilvl w:val="12"/>
                <w:numId w:val="0"/>
              </w:numPr>
              <w:tabs>
                <w:tab w:val="left" w:pos="-2268"/>
              </w:tabs>
              <w:suppressAutoHyphens/>
              <w:rPr>
                <w:rFonts w:cs="Arial"/>
                <w:spacing w:val="-3"/>
                <w:sz w:val="20"/>
                <w:szCs w:val="20"/>
              </w:rPr>
            </w:pPr>
            <w:r w:rsidRPr="004068F6">
              <w:rPr>
                <w:rFonts w:cs="Arial"/>
                <w:spacing w:val="-3"/>
                <w:sz w:val="20"/>
                <w:szCs w:val="20"/>
              </w:rPr>
              <w:t>Pino Colombiano (</w:t>
            </w:r>
            <w:r w:rsidRPr="004068F6">
              <w:rPr>
                <w:rFonts w:cs="Arial"/>
                <w:i/>
                <w:spacing w:val="-3"/>
                <w:sz w:val="20"/>
                <w:szCs w:val="20"/>
              </w:rPr>
              <w:t>Podocarpus rospigliossi</w:t>
            </w:r>
            <w:r w:rsidRPr="004068F6">
              <w:rPr>
                <w:rFonts w:cs="Arial"/>
                <w:spacing w:val="-3"/>
                <w:sz w:val="20"/>
                <w:szCs w:val="20"/>
              </w:rPr>
              <w:t>,</w:t>
            </w:r>
            <w:r w:rsidR="0049660B" w:rsidRPr="004068F6">
              <w:rPr>
                <w:rFonts w:cs="Arial"/>
                <w:i/>
                <w:spacing w:val="-3"/>
                <w:sz w:val="20"/>
                <w:szCs w:val="20"/>
              </w:rPr>
              <w:t xml:space="preserve"> </w:t>
            </w:r>
            <w:r w:rsidRPr="004068F6">
              <w:rPr>
                <w:rFonts w:cs="Arial"/>
                <w:i/>
                <w:spacing w:val="-3"/>
                <w:sz w:val="20"/>
                <w:szCs w:val="20"/>
              </w:rPr>
              <w:t>Podocarpus montanus</w:t>
            </w:r>
            <w:r w:rsidRPr="004068F6">
              <w:rPr>
                <w:rFonts w:cs="Arial"/>
                <w:spacing w:val="-3"/>
                <w:sz w:val="20"/>
                <w:szCs w:val="20"/>
              </w:rPr>
              <w:t xml:space="preserve"> y </w:t>
            </w:r>
            <w:r w:rsidRPr="004068F6">
              <w:rPr>
                <w:rFonts w:cs="Arial"/>
                <w:i/>
                <w:spacing w:val="-3"/>
                <w:sz w:val="20"/>
                <w:szCs w:val="20"/>
              </w:rPr>
              <w:t>Podocarpus oleifolius</w:t>
            </w:r>
            <w:r w:rsidRPr="004068F6">
              <w:rPr>
                <w:rFonts w:cs="Arial"/>
                <w:spacing w:val="-3"/>
                <w:sz w:val="20"/>
                <w:szCs w:val="20"/>
              </w:rPr>
              <w:t>),</w:t>
            </w:r>
            <w:r w:rsidR="0049660B" w:rsidRPr="004068F6">
              <w:rPr>
                <w:rFonts w:cs="Arial"/>
                <w:spacing w:val="-3"/>
                <w:sz w:val="20"/>
                <w:szCs w:val="20"/>
              </w:rPr>
              <w:t xml:space="preserve"> </w:t>
            </w:r>
            <w:r w:rsidRPr="004068F6">
              <w:rPr>
                <w:rFonts w:cs="Arial"/>
                <w:spacing w:val="-3"/>
                <w:sz w:val="20"/>
                <w:szCs w:val="20"/>
              </w:rPr>
              <w:t>Nogal (</w:t>
            </w:r>
            <w:r w:rsidRPr="004068F6">
              <w:rPr>
                <w:rFonts w:cs="Arial"/>
                <w:i/>
                <w:spacing w:val="-3"/>
                <w:sz w:val="20"/>
                <w:szCs w:val="20"/>
              </w:rPr>
              <w:t>Juglans</w:t>
            </w:r>
            <w:r w:rsidRPr="004068F6">
              <w:rPr>
                <w:rFonts w:cs="Arial"/>
                <w:spacing w:val="-3"/>
                <w:sz w:val="20"/>
                <w:szCs w:val="20"/>
              </w:rPr>
              <w:t xml:space="preserve"> spp.), Hojarasco (</w:t>
            </w:r>
            <w:r w:rsidRPr="004068F6">
              <w:rPr>
                <w:rFonts w:cs="Arial"/>
                <w:i/>
                <w:spacing w:val="-3"/>
                <w:sz w:val="20"/>
                <w:szCs w:val="20"/>
              </w:rPr>
              <w:t>Talauma</w:t>
            </w:r>
            <w:r w:rsidR="0049660B" w:rsidRPr="004068F6">
              <w:rPr>
                <w:rFonts w:cs="Arial"/>
                <w:spacing w:val="-3"/>
                <w:sz w:val="20"/>
                <w:szCs w:val="20"/>
              </w:rPr>
              <w:t xml:space="preserve"> </w:t>
            </w:r>
            <w:r w:rsidRPr="004068F6">
              <w:rPr>
                <w:rFonts w:cs="Arial"/>
                <w:i/>
                <w:spacing w:val="-3"/>
                <w:sz w:val="20"/>
                <w:szCs w:val="20"/>
              </w:rPr>
              <w:t>caricifragans</w:t>
            </w:r>
            <w:r w:rsidRPr="004068F6">
              <w:rPr>
                <w:rFonts w:cs="Arial"/>
                <w:spacing w:val="-3"/>
                <w:sz w:val="20"/>
                <w:szCs w:val="20"/>
              </w:rPr>
              <w:t>), Molinillo (</w:t>
            </w:r>
            <w:r w:rsidRPr="004068F6">
              <w:rPr>
                <w:rFonts w:cs="Arial"/>
                <w:i/>
                <w:spacing w:val="-3"/>
                <w:sz w:val="20"/>
                <w:szCs w:val="20"/>
              </w:rPr>
              <w:t>Talauma hernandezi</w:t>
            </w:r>
            <w:r w:rsidRPr="004068F6">
              <w:rPr>
                <w:rFonts w:cs="Arial"/>
                <w:spacing w:val="-3"/>
                <w:sz w:val="20"/>
                <w:szCs w:val="20"/>
              </w:rPr>
              <w:t>),</w:t>
            </w:r>
            <w:r w:rsidR="0049660B" w:rsidRPr="004068F6">
              <w:rPr>
                <w:rFonts w:cs="Arial"/>
                <w:spacing w:val="-3"/>
                <w:sz w:val="20"/>
                <w:szCs w:val="20"/>
              </w:rPr>
              <w:t xml:space="preserve"> </w:t>
            </w:r>
            <w:r w:rsidRPr="004068F6">
              <w:rPr>
                <w:rFonts w:cs="Arial"/>
                <w:spacing w:val="-3"/>
                <w:sz w:val="20"/>
                <w:szCs w:val="20"/>
              </w:rPr>
              <w:t>Caparrapí (</w:t>
            </w:r>
            <w:r w:rsidRPr="004068F6">
              <w:rPr>
                <w:rFonts w:cs="Arial"/>
                <w:i/>
                <w:spacing w:val="-3"/>
                <w:sz w:val="20"/>
                <w:szCs w:val="20"/>
              </w:rPr>
              <w:t>Ocotea caparrapi</w:t>
            </w:r>
            <w:r w:rsidRPr="004068F6">
              <w:rPr>
                <w:rFonts w:cs="Arial"/>
                <w:spacing w:val="-3"/>
                <w:sz w:val="20"/>
                <w:szCs w:val="20"/>
              </w:rPr>
              <w:t xml:space="preserve">), Comino de </w:t>
            </w:r>
            <w:r w:rsidR="001D46E7" w:rsidRPr="004068F6">
              <w:rPr>
                <w:rFonts w:cs="Arial"/>
                <w:spacing w:val="-3"/>
                <w:sz w:val="20"/>
                <w:szCs w:val="20"/>
              </w:rPr>
              <w:t>L</w:t>
            </w:r>
            <w:r w:rsidRPr="004068F6">
              <w:rPr>
                <w:rFonts w:cs="Arial"/>
                <w:spacing w:val="-3"/>
                <w:sz w:val="20"/>
                <w:szCs w:val="20"/>
              </w:rPr>
              <w:t>a</w:t>
            </w:r>
            <w:r w:rsidR="00B655A8" w:rsidRPr="004068F6">
              <w:rPr>
                <w:rFonts w:cs="Arial"/>
                <w:spacing w:val="-3"/>
                <w:sz w:val="20"/>
                <w:szCs w:val="20"/>
              </w:rPr>
              <w:t xml:space="preserve"> </w:t>
            </w:r>
            <w:r w:rsidRPr="004068F6">
              <w:rPr>
                <w:rFonts w:cs="Arial"/>
                <w:spacing w:val="-3"/>
                <w:sz w:val="20"/>
                <w:szCs w:val="20"/>
              </w:rPr>
              <w:t>Macarena (</w:t>
            </w:r>
            <w:r w:rsidRPr="004068F6">
              <w:rPr>
                <w:rFonts w:cs="Arial"/>
                <w:i/>
                <w:spacing w:val="-3"/>
                <w:sz w:val="20"/>
                <w:szCs w:val="20"/>
              </w:rPr>
              <w:t>Erithroxylon</w:t>
            </w:r>
            <w:r w:rsidRPr="004068F6">
              <w:rPr>
                <w:rFonts w:cs="Arial"/>
                <w:spacing w:val="-3"/>
                <w:sz w:val="20"/>
                <w:szCs w:val="20"/>
              </w:rPr>
              <w:t xml:space="preserve"> sp. [sic.]) y Roble (</w:t>
            </w:r>
            <w:r w:rsidRPr="004068F6">
              <w:rPr>
                <w:rFonts w:cs="Arial"/>
                <w:i/>
                <w:spacing w:val="-3"/>
                <w:sz w:val="20"/>
                <w:szCs w:val="20"/>
              </w:rPr>
              <w:t>Quercus</w:t>
            </w:r>
            <w:r w:rsidR="0049660B" w:rsidRPr="004068F6">
              <w:rPr>
                <w:rFonts w:cs="Arial"/>
                <w:i/>
                <w:spacing w:val="-3"/>
                <w:sz w:val="20"/>
                <w:szCs w:val="20"/>
              </w:rPr>
              <w:t xml:space="preserve"> </w:t>
            </w:r>
            <w:r w:rsidRPr="004068F6">
              <w:rPr>
                <w:rFonts w:cs="Arial"/>
                <w:i/>
                <w:spacing w:val="-3"/>
                <w:sz w:val="20"/>
                <w:szCs w:val="20"/>
              </w:rPr>
              <w:t>humboldtii</w:t>
            </w:r>
            <w:r w:rsidRPr="004068F6">
              <w:rPr>
                <w:rFonts w:cs="Arial"/>
                <w:spacing w:val="-3"/>
                <w:sz w:val="20"/>
                <w:szCs w:val="20"/>
              </w:rPr>
              <w:t>).</w:t>
            </w:r>
          </w:p>
        </w:tc>
      </w:tr>
      <w:tr w:rsidR="002F0954" w:rsidRPr="004068F6" w14:paraId="5493B1BA" w14:textId="77777777" w:rsidTr="0000338E">
        <w:trPr>
          <w:trHeight w:hRule="exact" w:val="1636"/>
          <w:jc w:val="center"/>
        </w:trPr>
        <w:tc>
          <w:tcPr>
            <w:tcW w:w="3632" w:type="dxa"/>
            <w:vAlign w:val="center"/>
          </w:tcPr>
          <w:p w14:paraId="17BBA9D3" w14:textId="77777777" w:rsidR="002F0954" w:rsidRPr="004068F6" w:rsidRDefault="002F0954">
            <w:pPr>
              <w:numPr>
                <w:ilvl w:val="12"/>
                <w:numId w:val="0"/>
              </w:numPr>
              <w:tabs>
                <w:tab w:val="left" w:pos="-2268"/>
              </w:tabs>
              <w:suppressAutoHyphens/>
              <w:rPr>
                <w:rFonts w:cs="Arial"/>
                <w:spacing w:val="-3"/>
                <w:sz w:val="20"/>
                <w:szCs w:val="20"/>
              </w:rPr>
            </w:pPr>
            <w:r w:rsidRPr="004068F6">
              <w:rPr>
                <w:rFonts w:cs="Arial"/>
                <w:spacing w:val="-3"/>
                <w:sz w:val="20"/>
                <w:szCs w:val="20"/>
              </w:rPr>
              <w:t>Resolución 0801 de 1977 del Inderena o la que la modifique o sustituya.</w:t>
            </w:r>
          </w:p>
        </w:tc>
        <w:tc>
          <w:tcPr>
            <w:tcW w:w="5271" w:type="dxa"/>
            <w:vAlign w:val="center"/>
          </w:tcPr>
          <w:p w14:paraId="156EBEA0" w14:textId="77777777" w:rsidR="002F0954" w:rsidRPr="004068F6" w:rsidRDefault="002F0954">
            <w:pPr>
              <w:numPr>
                <w:ilvl w:val="12"/>
                <w:numId w:val="0"/>
              </w:numPr>
              <w:tabs>
                <w:tab w:val="left" w:pos="-2268"/>
              </w:tabs>
              <w:suppressAutoHyphens/>
              <w:rPr>
                <w:rFonts w:cs="Arial"/>
                <w:spacing w:val="-3"/>
                <w:sz w:val="20"/>
                <w:szCs w:val="20"/>
              </w:rPr>
            </w:pPr>
            <w:r w:rsidRPr="004068F6">
              <w:rPr>
                <w:rFonts w:cs="Arial"/>
                <w:spacing w:val="-3"/>
                <w:sz w:val="20"/>
                <w:szCs w:val="20"/>
              </w:rPr>
              <w:t xml:space="preserve">Veda permanente en todo el territorio nacional para el aprovechamiento, comercialización y movilización del helecho arborescente, clasificado bajo las familias Cyatheaceae y Dicksoniaceae, con los siguientes géneros: </w:t>
            </w:r>
            <w:r w:rsidRPr="004068F6">
              <w:rPr>
                <w:rFonts w:cs="Arial"/>
                <w:i/>
                <w:spacing w:val="-3"/>
                <w:sz w:val="20"/>
                <w:szCs w:val="20"/>
              </w:rPr>
              <w:t xml:space="preserve">Dicksonia, Alsophila, Cnemidaria, Cyatheaceae, Nephelea, Sphaeropteris </w:t>
            </w:r>
            <w:r w:rsidRPr="004068F6">
              <w:rPr>
                <w:rFonts w:cs="Arial"/>
                <w:spacing w:val="-3"/>
                <w:sz w:val="20"/>
                <w:szCs w:val="20"/>
              </w:rPr>
              <w:t>y</w:t>
            </w:r>
            <w:r w:rsidRPr="004068F6">
              <w:rPr>
                <w:rFonts w:cs="Arial"/>
                <w:i/>
                <w:spacing w:val="-3"/>
                <w:sz w:val="20"/>
                <w:szCs w:val="20"/>
              </w:rPr>
              <w:t xml:space="preserve"> Trichipteris.</w:t>
            </w:r>
          </w:p>
        </w:tc>
      </w:tr>
      <w:tr w:rsidR="00482A5F" w:rsidRPr="004068F6" w14:paraId="3E99099E" w14:textId="77777777" w:rsidTr="005532E6">
        <w:trPr>
          <w:trHeight w:hRule="exact" w:val="1999"/>
          <w:jc w:val="center"/>
        </w:trPr>
        <w:tc>
          <w:tcPr>
            <w:tcW w:w="3632" w:type="dxa"/>
            <w:vAlign w:val="center"/>
          </w:tcPr>
          <w:p w14:paraId="6E87C928" w14:textId="2A09EEB7" w:rsidR="00482A5F" w:rsidRPr="004068F6" w:rsidRDefault="00482A5F">
            <w:pPr>
              <w:numPr>
                <w:ilvl w:val="12"/>
                <w:numId w:val="0"/>
              </w:numPr>
              <w:tabs>
                <w:tab w:val="left" w:pos="-2268"/>
              </w:tabs>
              <w:suppressAutoHyphens/>
              <w:rPr>
                <w:rFonts w:cs="Arial"/>
                <w:spacing w:val="-3"/>
                <w:sz w:val="20"/>
                <w:szCs w:val="20"/>
              </w:rPr>
            </w:pPr>
            <w:r w:rsidRPr="004068F6">
              <w:rPr>
                <w:rFonts w:cs="Arial"/>
                <w:sz w:val="20"/>
                <w:szCs w:val="20"/>
                <w:lang w:eastAsia="es-CO"/>
              </w:rPr>
              <w:t xml:space="preserve">Resolución 0463 de 1982 </w:t>
            </w:r>
            <w:r w:rsidR="002F0954" w:rsidRPr="004068F6">
              <w:rPr>
                <w:rFonts w:cs="Arial"/>
                <w:sz w:val="20"/>
                <w:szCs w:val="20"/>
                <w:lang w:eastAsia="es-CO"/>
              </w:rPr>
              <w:t>del Inderena</w:t>
            </w:r>
            <w:r w:rsidRPr="004068F6">
              <w:rPr>
                <w:rFonts w:cs="Arial"/>
                <w:sz w:val="20"/>
                <w:szCs w:val="20"/>
                <w:lang w:eastAsia="es-CO"/>
              </w:rPr>
              <w:t xml:space="preserve"> </w:t>
            </w:r>
            <w:r w:rsidRPr="004068F6">
              <w:rPr>
                <w:rFonts w:cs="Arial"/>
                <w:spacing w:val="-3"/>
                <w:sz w:val="20"/>
                <w:szCs w:val="20"/>
              </w:rPr>
              <w:t xml:space="preserve">o </w:t>
            </w:r>
            <w:r w:rsidR="00052351" w:rsidRPr="004068F6">
              <w:rPr>
                <w:rFonts w:cs="Arial"/>
                <w:spacing w:val="-3"/>
                <w:sz w:val="20"/>
                <w:szCs w:val="20"/>
              </w:rPr>
              <w:t xml:space="preserve">la que </w:t>
            </w:r>
            <w:r w:rsidR="002F0954" w:rsidRPr="004068F6">
              <w:rPr>
                <w:rFonts w:cs="Arial"/>
                <w:spacing w:val="-3"/>
                <w:sz w:val="20"/>
                <w:szCs w:val="20"/>
              </w:rPr>
              <w:t xml:space="preserve">la </w:t>
            </w:r>
            <w:r w:rsidR="00052351" w:rsidRPr="004068F6">
              <w:rPr>
                <w:rFonts w:cs="Arial"/>
                <w:spacing w:val="-3"/>
                <w:sz w:val="20"/>
                <w:szCs w:val="20"/>
              </w:rPr>
              <w:t>modifique o sustituya.</w:t>
            </w:r>
          </w:p>
        </w:tc>
        <w:tc>
          <w:tcPr>
            <w:tcW w:w="5271" w:type="dxa"/>
            <w:vAlign w:val="center"/>
          </w:tcPr>
          <w:p w14:paraId="6A3CEE90" w14:textId="59338365" w:rsidR="00482A5F" w:rsidRPr="004068F6" w:rsidRDefault="00482A5F">
            <w:pPr>
              <w:numPr>
                <w:ilvl w:val="12"/>
                <w:numId w:val="0"/>
              </w:numPr>
              <w:tabs>
                <w:tab w:val="left" w:pos="-2268"/>
              </w:tabs>
              <w:suppressAutoHyphens/>
              <w:rPr>
                <w:rFonts w:cs="Arial"/>
                <w:spacing w:val="-3"/>
                <w:sz w:val="20"/>
                <w:szCs w:val="20"/>
              </w:rPr>
            </w:pPr>
            <w:r w:rsidRPr="004068F6">
              <w:rPr>
                <w:rFonts w:cs="Arial"/>
                <w:spacing w:val="-3"/>
                <w:sz w:val="20"/>
                <w:szCs w:val="20"/>
              </w:rPr>
              <w:t xml:space="preserve">Todas las especies forestales. Veda por tiempo indefinido en las áreas de la Costa Pacífica (anteriormente Regionales Pacífico Sur, Pacífico Medio y Zona Pacífica de la Regional Chocó del </w:t>
            </w:r>
            <w:r w:rsidR="002F0954" w:rsidRPr="004068F6">
              <w:rPr>
                <w:rFonts w:cs="Arial"/>
                <w:spacing w:val="-3"/>
                <w:sz w:val="20"/>
                <w:szCs w:val="20"/>
              </w:rPr>
              <w:t>Inderena</w:t>
            </w:r>
            <w:r w:rsidRPr="004068F6">
              <w:rPr>
                <w:rFonts w:cs="Arial"/>
                <w:spacing w:val="-3"/>
                <w:sz w:val="20"/>
                <w:szCs w:val="20"/>
              </w:rPr>
              <w:t xml:space="preserve">) para el aprovechamiento, movilización y comercialización de cualquier especie con destino a la obtención del producto denominado “Vara”. Se </w:t>
            </w:r>
            <w:r w:rsidR="001D46E7" w:rsidRPr="004068F6">
              <w:rPr>
                <w:rFonts w:cs="Arial"/>
                <w:spacing w:val="-3"/>
                <w:sz w:val="20"/>
                <w:szCs w:val="20"/>
              </w:rPr>
              <w:t>prohíbe</w:t>
            </w:r>
            <w:r w:rsidRPr="004068F6">
              <w:rPr>
                <w:rFonts w:cs="Arial"/>
                <w:spacing w:val="-3"/>
                <w:sz w:val="20"/>
                <w:szCs w:val="20"/>
              </w:rPr>
              <w:t xml:space="preserve"> el aprovechamiento y movilización de especies que tengan diámetro a la altura del pecho inferior a 15 cm.</w:t>
            </w:r>
          </w:p>
        </w:tc>
      </w:tr>
      <w:tr w:rsidR="00482A5F" w:rsidRPr="004068F6" w14:paraId="1E5462BA" w14:textId="77777777" w:rsidTr="005532E6">
        <w:trPr>
          <w:trHeight w:hRule="exact" w:val="1134"/>
          <w:jc w:val="center"/>
        </w:trPr>
        <w:tc>
          <w:tcPr>
            <w:tcW w:w="3632" w:type="dxa"/>
            <w:vAlign w:val="center"/>
          </w:tcPr>
          <w:p w14:paraId="7176E808" w14:textId="28449AE0" w:rsidR="00482A5F" w:rsidRPr="004068F6" w:rsidRDefault="00482A5F">
            <w:pPr>
              <w:tabs>
                <w:tab w:val="left" w:pos="-2268"/>
              </w:tabs>
              <w:suppressAutoHyphens/>
              <w:rPr>
                <w:rFonts w:cs="Arial"/>
                <w:spacing w:val="-3"/>
                <w:sz w:val="20"/>
                <w:szCs w:val="20"/>
              </w:rPr>
            </w:pPr>
            <w:r w:rsidRPr="004068F6">
              <w:rPr>
                <w:rFonts w:cs="Arial"/>
                <w:sz w:val="20"/>
                <w:szCs w:val="20"/>
                <w:lang w:eastAsia="es-CO"/>
              </w:rPr>
              <w:t xml:space="preserve">Resoluciones 1602 de 1995 y 020 de 1996 </w:t>
            </w:r>
            <w:r w:rsidR="002F0954" w:rsidRPr="004068F6">
              <w:rPr>
                <w:rFonts w:cs="Arial"/>
                <w:sz w:val="20"/>
                <w:szCs w:val="20"/>
                <w:lang w:eastAsia="es-CO"/>
              </w:rPr>
              <w:t xml:space="preserve">del Ministerio de Medio Ambiente </w:t>
            </w:r>
            <w:r w:rsidRPr="004068F6">
              <w:rPr>
                <w:rFonts w:cs="Arial"/>
                <w:sz w:val="20"/>
                <w:szCs w:val="20"/>
                <w:lang w:eastAsia="es-CO"/>
              </w:rPr>
              <w:t>(M</w:t>
            </w:r>
            <w:r w:rsidR="007A75CE" w:rsidRPr="004068F6">
              <w:rPr>
                <w:rFonts w:cs="Arial"/>
                <w:sz w:val="20"/>
                <w:szCs w:val="20"/>
                <w:lang w:eastAsia="es-CO"/>
              </w:rPr>
              <w:t>M</w:t>
            </w:r>
            <w:r w:rsidRPr="004068F6">
              <w:rPr>
                <w:rFonts w:cs="Arial"/>
                <w:sz w:val="20"/>
                <w:szCs w:val="20"/>
                <w:lang w:eastAsia="es-CO"/>
              </w:rPr>
              <w:t xml:space="preserve">A) </w:t>
            </w:r>
            <w:r w:rsidRPr="004068F6">
              <w:rPr>
                <w:rFonts w:cs="Arial"/>
                <w:spacing w:val="-3"/>
                <w:sz w:val="20"/>
                <w:szCs w:val="20"/>
              </w:rPr>
              <w:t xml:space="preserve">o </w:t>
            </w:r>
            <w:r w:rsidR="00052351" w:rsidRPr="004068F6">
              <w:rPr>
                <w:rFonts w:cs="Arial"/>
                <w:spacing w:val="-3"/>
                <w:sz w:val="20"/>
                <w:szCs w:val="20"/>
              </w:rPr>
              <w:t xml:space="preserve">la que </w:t>
            </w:r>
            <w:r w:rsidR="00B655A8" w:rsidRPr="004068F6">
              <w:rPr>
                <w:rFonts w:cs="Arial"/>
                <w:spacing w:val="-3"/>
                <w:sz w:val="20"/>
                <w:szCs w:val="20"/>
              </w:rPr>
              <w:t xml:space="preserve">la </w:t>
            </w:r>
            <w:r w:rsidR="00052351" w:rsidRPr="004068F6">
              <w:rPr>
                <w:rFonts w:cs="Arial"/>
                <w:spacing w:val="-3"/>
                <w:sz w:val="20"/>
                <w:szCs w:val="20"/>
              </w:rPr>
              <w:t>modifique o sustituya.</w:t>
            </w:r>
          </w:p>
        </w:tc>
        <w:tc>
          <w:tcPr>
            <w:tcW w:w="5271" w:type="dxa"/>
            <w:vAlign w:val="center"/>
          </w:tcPr>
          <w:p w14:paraId="4942AF85" w14:textId="6F151133" w:rsidR="00482A5F" w:rsidRPr="004068F6" w:rsidRDefault="00482A5F" w:rsidP="009420F5">
            <w:pPr>
              <w:overflowPunct/>
              <w:textAlignment w:val="auto"/>
              <w:rPr>
                <w:rFonts w:cs="Arial"/>
                <w:spacing w:val="-3"/>
                <w:sz w:val="20"/>
                <w:szCs w:val="20"/>
              </w:rPr>
            </w:pPr>
            <w:r w:rsidRPr="004068F6">
              <w:rPr>
                <w:rFonts w:cs="Arial"/>
                <w:sz w:val="20"/>
                <w:szCs w:val="20"/>
                <w:lang w:eastAsia="es-CO"/>
              </w:rPr>
              <w:t>Mangle (</w:t>
            </w:r>
            <w:r w:rsidRPr="004068F6">
              <w:rPr>
                <w:rFonts w:cs="Arial"/>
                <w:i/>
                <w:iCs/>
                <w:sz w:val="20"/>
                <w:szCs w:val="20"/>
                <w:lang w:eastAsia="es-CO"/>
              </w:rPr>
              <w:t>Rhizophora harrisonii, Laguncularia</w:t>
            </w:r>
            <w:r w:rsidR="00B655A8" w:rsidRPr="004068F6">
              <w:rPr>
                <w:rFonts w:cs="Arial"/>
                <w:i/>
                <w:iCs/>
                <w:sz w:val="20"/>
                <w:szCs w:val="20"/>
                <w:lang w:eastAsia="es-CO"/>
              </w:rPr>
              <w:t xml:space="preserve"> </w:t>
            </w:r>
            <w:r w:rsidRPr="004068F6">
              <w:rPr>
                <w:rFonts w:cs="Arial"/>
                <w:i/>
                <w:iCs/>
                <w:sz w:val="20"/>
                <w:szCs w:val="20"/>
                <w:lang w:eastAsia="es-CO"/>
              </w:rPr>
              <w:t>racemosa, Conocarpus erectus, Avicennia</w:t>
            </w:r>
            <w:r w:rsidR="00B655A8" w:rsidRPr="004068F6">
              <w:rPr>
                <w:rFonts w:cs="Arial"/>
                <w:i/>
                <w:iCs/>
                <w:sz w:val="20"/>
                <w:szCs w:val="20"/>
                <w:lang w:eastAsia="es-CO"/>
              </w:rPr>
              <w:t xml:space="preserve"> </w:t>
            </w:r>
            <w:r w:rsidRPr="004068F6">
              <w:rPr>
                <w:rFonts w:cs="Arial"/>
                <w:i/>
                <w:iCs/>
                <w:sz w:val="20"/>
                <w:szCs w:val="20"/>
                <w:lang w:eastAsia="es-CO"/>
              </w:rPr>
              <w:t>germinans, Avicennia tonduzii, Pelliciera</w:t>
            </w:r>
            <w:r w:rsidR="00B655A8" w:rsidRPr="004068F6">
              <w:rPr>
                <w:rFonts w:cs="Arial"/>
                <w:i/>
                <w:iCs/>
                <w:sz w:val="20"/>
                <w:szCs w:val="20"/>
                <w:lang w:eastAsia="es-CO"/>
              </w:rPr>
              <w:t xml:space="preserve"> </w:t>
            </w:r>
            <w:r w:rsidRPr="004068F6">
              <w:rPr>
                <w:rFonts w:cs="Arial"/>
                <w:i/>
                <w:iCs/>
                <w:sz w:val="20"/>
                <w:szCs w:val="20"/>
                <w:lang w:eastAsia="es-CO"/>
              </w:rPr>
              <w:t>rhizophorae, Mora megistosperma, Mora oleifera</w:t>
            </w:r>
            <w:r w:rsidRPr="004068F6">
              <w:rPr>
                <w:rFonts w:cs="Arial"/>
                <w:sz w:val="20"/>
                <w:szCs w:val="20"/>
                <w:lang w:eastAsia="es-CO"/>
              </w:rPr>
              <w:t>)</w:t>
            </w:r>
          </w:p>
        </w:tc>
      </w:tr>
      <w:tr w:rsidR="002F0954" w:rsidRPr="004068F6" w14:paraId="3E23A6B8" w14:textId="77777777" w:rsidTr="005532E6">
        <w:trPr>
          <w:trHeight w:hRule="exact" w:val="1264"/>
          <w:jc w:val="center"/>
        </w:trPr>
        <w:tc>
          <w:tcPr>
            <w:tcW w:w="3632" w:type="dxa"/>
            <w:vAlign w:val="center"/>
          </w:tcPr>
          <w:p w14:paraId="250902BB" w14:textId="1D491E4C" w:rsidR="002F0954" w:rsidRPr="004068F6" w:rsidRDefault="002F0954" w:rsidP="00CF7AC2">
            <w:pPr>
              <w:numPr>
                <w:ilvl w:val="12"/>
                <w:numId w:val="0"/>
              </w:numPr>
              <w:tabs>
                <w:tab w:val="left" w:pos="-2268"/>
              </w:tabs>
              <w:suppressAutoHyphens/>
              <w:rPr>
                <w:rFonts w:cs="Arial"/>
                <w:spacing w:val="-3"/>
                <w:sz w:val="20"/>
                <w:szCs w:val="20"/>
              </w:rPr>
            </w:pPr>
            <w:r w:rsidRPr="004068F6">
              <w:rPr>
                <w:rFonts w:cs="Arial"/>
                <w:sz w:val="20"/>
                <w:szCs w:val="20"/>
                <w:lang w:eastAsia="es-CO"/>
              </w:rPr>
              <w:t xml:space="preserve">Resolución 096 de 2006 del </w:t>
            </w:r>
            <w:r w:rsidR="00B655A8" w:rsidRPr="004068F6">
              <w:rPr>
                <w:rFonts w:cs="Arial"/>
                <w:sz w:val="20"/>
                <w:szCs w:val="20"/>
                <w:lang w:eastAsia="es-CO"/>
              </w:rPr>
              <w:t>Ministerio de Ambiente, Vivienda y Desarrollo Territorial (</w:t>
            </w:r>
            <w:r w:rsidRPr="004068F6">
              <w:rPr>
                <w:rFonts w:cs="Arial"/>
                <w:sz w:val="20"/>
                <w:szCs w:val="20"/>
                <w:lang w:eastAsia="es-CO"/>
              </w:rPr>
              <w:t>MAVDT</w:t>
            </w:r>
            <w:r w:rsidR="00B655A8" w:rsidRPr="004068F6">
              <w:rPr>
                <w:rFonts w:cs="Arial"/>
                <w:sz w:val="20"/>
                <w:szCs w:val="20"/>
                <w:lang w:eastAsia="es-CO"/>
              </w:rPr>
              <w:t>)</w:t>
            </w:r>
            <w:r w:rsidRPr="004068F6">
              <w:rPr>
                <w:rFonts w:cs="Arial"/>
                <w:sz w:val="20"/>
                <w:szCs w:val="20"/>
                <w:lang w:eastAsia="es-CO"/>
              </w:rPr>
              <w:t xml:space="preserve"> </w:t>
            </w:r>
            <w:r w:rsidRPr="004068F6">
              <w:rPr>
                <w:rFonts w:cs="Arial"/>
                <w:spacing w:val="-3"/>
                <w:sz w:val="20"/>
                <w:szCs w:val="20"/>
              </w:rPr>
              <w:t>o la que la modifique o sustituya.</w:t>
            </w:r>
          </w:p>
        </w:tc>
        <w:tc>
          <w:tcPr>
            <w:tcW w:w="5271" w:type="dxa"/>
            <w:vAlign w:val="center"/>
          </w:tcPr>
          <w:p w14:paraId="65BA7B93" w14:textId="77777777" w:rsidR="002F0954" w:rsidRPr="004068F6" w:rsidRDefault="002F0954" w:rsidP="00CF7AC2">
            <w:pPr>
              <w:numPr>
                <w:ilvl w:val="12"/>
                <w:numId w:val="0"/>
              </w:numPr>
              <w:tabs>
                <w:tab w:val="left" w:pos="-2268"/>
              </w:tabs>
              <w:suppressAutoHyphens/>
              <w:rPr>
                <w:rFonts w:cs="Arial"/>
                <w:spacing w:val="-3"/>
                <w:sz w:val="20"/>
                <w:szCs w:val="20"/>
              </w:rPr>
            </w:pPr>
            <w:r w:rsidRPr="004068F6">
              <w:rPr>
                <w:rFonts w:cs="Arial"/>
                <w:sz w:val="20"/>
                <w:szCs w:val="20"/>
                <w:lang w:eastAsia="es-CO"/>
              </w:rPr>
              <w:t>Roble (</w:t>
            </w:r>
            <w:r w:rsidRPr="004068F6">
              <w:rPr>
                <w:rFonts w:cs="Arial"/>
                <w:i/>
                <w:sz w:val="20"/>
                <w:szCs w:val="20"/>
                <w:lang w:eastAsia="es-CO"/>
              </w:rPr>
              <w:t>Quercus humboldtii</w:t>
            </w:r>
            <w:r w:rsidRPr="004068F6">
              <w:rPr>
                <w:rFonts w:cs="Arial"/>
                <w:sz w:val="20"/>
                <w:szCs w:val="20"/>
                <w:lang w:eastAsia="es-CO"/>
              </w:rPr>
              <w:t>).</w:t>
            </w:r>
          </w:p>
        </w:tc>
      </w:tr>
      <w:tr w:rsidR="00482A5F" w:rsidRPr="004068F6" w14:paraId="241DE7DD" w14:textId="77777777" w:rsidTr="005532E6">
        <w:trPr>
          <w:trHeight w:hRule="exact" w:val="1140"/>
          <w:jc w:val="center"/>
        </w:trPr>
        <w:tc>
          <w:tcPr>
            <w:tcW w:w="3632" w:type="dxa"/>
            <w:vAlign w:val="center"/>
          </w:tcPr>
          <w:p w14:paraId="265C3225" w14:textId="750C70A1" w:rsidR="00482A5F" w:rsidRPr="004068F6" w:rsidRDefault="00B655A8">
            <w:pPr>
              <w:numPr>
                <w:ilvl w:val="12"/>
                <w:numId w:val="0"/>
              </w:numPr>
              <w:tabs>
                <w:tab w:val="left" w:pos="-2268"/>
              </w:tabs>
              <w:suppressAutoHyphens/>
              <w:rPr>
                <w:rFonts w:cs="Arial"/>
                <w:spacing w:val="-3"/>
                <w:sz w:val="20"/>
                <w:szCs w:val="20"/>
              </w:rPr>
            </w:pPr>
            <w:r w:rsidRPr="004068F6">
              <w:rPr>
                <w:rFonts w:cs="Arial"/>
                <w:sz w:val="20"/>
                <w:szCs w:val="20"/>
                <w:lang w:eastAsia="es-CO"/>
              </w:rPr>
              <w:t>Actos administrativos emitidos por autoridades ambientales</w:t>
            </w:r>
            <w:r w:rsidR="00A85393" w:rsidRPr="004068F6">
              <w:rPr>
                <w:rFonts w:cs="Arial"/>
                <w:sz w:val="20"/>
                <w:szCs w:val="20"/>
                <w:lang w:eastAsia="es-CO"/>
              </w:rPr>
              <w:t>.</w:t>
            </w:r>
          </w:p>
        </w:tc>
        <w:tc>
          <w:tcPr>
            <w:tcW w:w="5271" w:type="dxa"/>
            <w:vAlign w:val="center"/>
          </w:tcPr>
          <w:p w14:paraId="39FC6E3D" w14:textId="0C29951A" w:rsidR="00482A5F" w:rsidRPr="004068F6" w:rsidRDefault="00B655A8">
            <w:pPr>
              <w:numPr>
                <w:ilvl w:val="12"/>
                <w:numId w:val="0"/>
              </w:numPr>
              <w:tabs>
                <w:tab w:val="left" w:pos="-2268"/>
              </w:tabs>
              <w:suppressAutoHyphens/>
              <w:rPr>
                <w:rFonts w:cs="Arial"/>
                <w:spacing w:val="-3"/>
                <w:sz w:val="20"/>
                <w:szCs w:val="20"/>
              </w:rPr>
            </w:pPr>
            <w:r w:rsidRPr="004068F6">
              <w:rPr>
                <w:rFonts w:cs="Arial"/>
                <w:sz w:val="20"/>
                <w:szCs w:val="20"/>
                <w:lang w:eastAsia="es-CO"/>
              </w:rPr>
              <w:t xml:space="preserve">Diferentes especies vegetales. Se </w:t>
            </w:r>
            <w:r w:rsidR="00482A5F" w:rsidRPr="004068F6">
              <w:rPr>
                <w:rFonts w:cs="Arial"/>
                <w:sz w:val="20"/>
                <w:szCs w:val="20"/>
                <w:lang w:eastAsia="es-CO"/>
              </w:rPr>
              <w:t>debe consulta</w:t>
            </w:r>
            <w:r w:rsidRPr="004068F6">
              <w:rPr>
                <w:rFonts w:cs="Arial"/>
                <w:sz w:val="20"/>
                <w:szCs w:val="20"/>
                <w:lang w:eastAsia="es-CO"/>
              </w:rPr>
              <w:t xml:space="preserve">r a </w:t>
            </w:r>
            <w:r w:rsidR="00482A5F" w:rsidRPr="004068F6">
              <w:rPr>
                <w:rFonts w:cs="Arial"/>
                <w:sz w:val="20"/>
                <w:szCs w:val="20"/>
                <w:lang w:eastAsia="es-CO"/>
              </w:rPr>
              <w:t xml:space="preserve">la autoridad ambiental </w:t>
            </w:r>
            <w:r w:rsidRPr="004068F6">
              <w:rPr>
                <w:rFonts w:cs="Arial"/>
                <w:sz w:val="20"/>
                <w:szCs w:val="20"/>
                <w:lang w:eastAsia="es-CO"/>
              </w:rPr>
              <w:t>competente</w:t>
            </w:r>
            <w:r w:rsidR="00482A5F" w:rsidRPr="004068F6">
              <w:rPr>
                <w:rFonts w:cs="Arial"/>
                <w:sz w:val="20"/>
                <w:szCs w:val="20"/>
                <w:lang w:eastAsia="es-CO"/>
              </w:rPr>
              <w:t xml:space="preserve">, </w:t>
            </w:r>
            <w:r w:rsidR="00A85393" w:rsidRPr="004068F6">
              <w:rPr>
                <w:rFonts w:cs="Arial"/>
                <w:sz w:val="20"/>
                <w:szCs w:val="20"/>
                <w:lang w:eastAsia="es-CO"/>
              </w:rPr>
              <w:t>qué</w:t>
            </w:r>
            <w:r w:rsidRPr="004068F6">
              <w:rPr>
                <w:rFonts w:cs="Arial"/>
                <w:sz w:val="20"/>
                <w:szCs w:val="20"/>
                <w:lang w:eastAsia="es-CO"/>
              </w:rPr>
              <w:t xml:space="preserve"> especies vegetales </w:t>
            </w:r>
            <w:r w:rsidR="00A85393" w:rsidRPr="004068F6">
              <w:rPr>
                <w:rFonts w:cs="Arial"/>
                <w:sz w:val="20"/>
                <w:szCs w:val="20"/>
                <w:lang w:eastAsia="es-CO"/>
              </w:rPr>
              <w:t xml:space="preserve">tienen </w:t>
            </w:r>
            <w:r w:rsidRPr="004068F6">
              <w:rPr>
                <w:rFonts w:cs="Arial"/>
                <w:sz w:val="20"/>
                <w:szCs w:val="20"/>
                <w:lang w:eastAsia="es-CO"/>
              </w:rPr>
              <w:t>veda</w:t>
            </w:r>
            <w:r w:rsidR="00A85393" w:rsidRPr="004068F6">
              <w:rPr>
                <w:rFonts w:cs="Arial"/>
                <w:sz w:val="20"/>
                <w:szCs w:val="20"/>
                <w:lang w:eastAsia="es-CO"/>
              </w:rPr>
              <w:t xml:space="preserve"> </w:t>
            </w:r>
            <w:r w:rsidRPr="004068F6">
              <w:rPr>
                <w:rFonts w:cs="Arial"/>
                <w:sz w:val="20"/>
                <w:szCs w:val="20"/>
                <w:lang w:eastAsia="es-CO"/>
              </w:rPr>
              <w:t>en su jurisdicción</w:t>
            </w:r>
            <w:r w:rsidR="00482A5F" w:rsidRPr="004068F6">
              <w:rPr>
                <w:rFonts w:cs="Arial"/>
                <w:sz w:val="20"/>
                <w:szCs w:val="20"/>
                <w:lang w:eastAsia="es-CO"/>
              </w:rPr>
              <w:t>.</w:t>
            </w:r>
          </w:p>
        </w:tc>
      </w:tr>
    </w:tbl>
    <w:p w14:paraId="0007C4AB" w14:textId="234D9CFF" w:rsidR="00C52D91" w:rsidRPr="004068F6" w:rsidRDefault="00C52D91">
      <w:pPr>
        <w:overflowPunct/>
        <w:autoSpaceDE/>
        <w:autoSpaceDN/>
        <w:adjustRightInd/>
        <w:jc w:val="left"/>
        <w:textAlignment w:val="auto"/>
        <w:rPr>
          <w:rFonts w:cs="Arial"/>
          <w:spacing w:val="-3"/>
        </w:rPr>
      </w:pPr>
    </w:p>
    <w:p w14:paraId="11EE1E97" w14:textId="6DC26FDA" w:rsidR="00482A5F" w:rsidRPr="004068F6" w:rsidRDefault="00102112" w:rsidP="009420F5">
      <w:pPr>
        <w:pStyle w:val="Ttulo5"/>
        <w:tabs>
          <w:tab w:val="clear" w:pos="2160"/>
          <w:tab w:val="num" w:pos="1134"/>
        </w:tabs>
        <w:ind w:left="1134" w:hanging="1134"/>
        <w:rPr>
          <w:lang w:val="es-CO"/>
        </w:rPr>
      </w:pPr>
      <w:bookmarkStart w:id="2895" w:name="_Ref81911794"/>
      <w:r w:rsidRPr="004068F6">
        <w:rPr>
          <w:lang w:val="es-CO"/>
        </w:rPr>
        <w:t>Especies vasculares</w:t>
      </w:r>
      <w:r w:rsidR="00C33EC4" w:rsidRPr="004068F6">
        <w:rPr>
          <w:lang w:val="es-CO"/>
        </w:rPr>
        <w:t>,</w:t>
      </w:r>
      <w:r w:rsidRPr="004068F6">
        <w:rPr>
          <w:lang w:val="es-CO"/>
        </w:rPr>
        <w:t xml:space="preserve"> no vasculares </w:t>
      </w:r>
      <w:r w:rsidR="00C33EC4" w:rsidRPr="004068F6">
        <w:rPr>
          <w:lang w:val="es-CO"/>
        </w:rPr>
        <w:t xml:space="preserve">y líquenes, en hábitos </w:t>
      </w:r>
      <w:r w:rsidRPr="004068F6">
        <w:rPr>
          <w:lang w:val="es-CO"/>
        </w:rPr>
        <w:t>terrestres, rupícolas y epífit</w:t>
      </w:r>
      <w:r w:rsidR="00C33EC4" w:rsidRPr="004068F6">
        <w:rPr>
          <w:lang w:val="es-CO"/>
        </w:rPr>
        <w:t>o</w:t>
      </w:r>
      <w:r w:rsidRPr="004068F6">
        <w:rPr>
          <w:lang w:val="es-CO"/>
        </w:rPr>
        <w:t>s</w:t>
      </w:r>
      <w:bookmarkEnd w:id="2895"/>
    </w:p>
    <w:p w14:paraId="77183EC0" w14:textId="77777777" w:rsidR="00482A5F" w:rsidRPr="004068F6" w:rsidRDefault="00482A5F" w:rsidP="00482A5F">
      <w:pPr>
        <w:numPr>
          <w:ilvl w:val="12"/>
          <w:numId w:val="0"/>
        </w:numPr>
        <w:tabs>
          <w:tab w:val="left" w:pos="-2268"/>
        </w:tabs>
        <w:suppressAutoHyphens/>
        <w:rPr>
          <w:rFonts w:cs="Arial"/>
          <w:spacing w:val="-3"/>
        </w:rPr>
      </w:pPr>
    </w:p>
    <w:p w14:paraId="449A5947" w14:textId="19B8AAAE" w:rsidR="007A2478" w:rsidRPr="004068F6" w:rsidRDefault="00482A5F">
      <w:pPr>
        <w:numPr>
          <w:ilvl w:val="12"/>
          <w:numId w:val="0"/>
        </w:numPr>
        <w:tabs>
          <w:tab w:val="left" w:pos="-2268"/>
        </w:tabs>
        <w:suppressAutoHyphens/>
        <w:rPr>
          <w:spacing w:val="-3"/>
        </w:rPr>
      </w:pPr>
      <w:r w:rsidRPr="004068F6">
        <w:rPr>
          <w:spacing w:val="-3"/>
        </w:rPr>
        <w:t xml:space="preserve">La caracterización </w:t>
      </w:r>
      <w:r w:rsidR="009D57C6" w:rsidRPr="004068F6">
        <w:rPr>
          <w:spacing w:val="-3"/>
        </w:rPr>
        <w:t xml:space="preserve">de estas categorías de vegetación </w:t>
      </w:r>
      <w:r w:rsidR="00520155" w:rsidRPr="004068F6">
        <w:rPr>
          <w:spacing w:val="-3"/>
        </w:rPr>
        <w:t xml:space="preserve">se debe realizar por </w:t>
      </w:r>
      <w:r w:rsidR="007903DF" w:rsidRPr="004068F6">
        <w:rPr>
          <w:spacing w:val="-3"/>
        </w:rPr>
        <w:t xml:space="preserve">cada </w:t>
      </w:r>
      <w:r w:rsidR="00785A15" w:rsidRPr="004068F6">
        <w:rPr>
          <w:rFonts w:cs="Arial"/>
          <w:spacing w:val="-3"/>
        </w:rPr>
        <w:t>ecosistema</w:t>
      </w:r>
      <w:r w:rsidR="00EE64C9">
        <w:rPr>
          <w:rFonts w:cs="Arial"/>
          <w:spacing w:val="-3"/>
        </w:rPr>
        <w:t xml:space="preserve"> </w:t>
      </w:r>
      <w:r w:rsidR="001033A7">
        <w:rPr>
          <w:rFonts w:cs="Arial"/>
          <w:spacing w:val="-3"/>
        </w:rPr>
        <w:t>(</w:t>
      </w:r>
      <w:r w:rsidR="00AB4255">
        <w:rPr>
          <w:rFonts w:cs="Arial"/>
          <w:spacing w:val="-3"/>
        </w:rPr>
        <w:t xml:space="preserve">con especial énfasis </w:t>
      </w:r>
      <w:r w:rsidR="00856024" w:rsidRPr="00856024">
        <w:rPr>
          <w:rFonts w:cs="Arial"/>
          <w:spacing w:val="-3"/>
        </w:rPr>
        <w:t>en el área por intervenir</w:t>
      </w:r>
      <w:r w:rsidR="001033A7">
        <w:rPr>
          <w:rFonts w:cs="Arial"/>
          <w:spacing w:val="-3"/>
        </w:rPr>
        <w:t>)</w:t>
      </w:r>
      <w:r w:rsidRPr="004068F6">
        <w:rPr>
          <w:spacing w:val="-3"/>
        </w:rPr>
        <w:t xml:space="preserve">, a fin de incluir plantas </w:t>
      </w:r>
      <w:r w:rsidR="00766CDC" w:rsidRPr="004068F6">
        <w:rPr>
          <w:spacing w:val="-3"/>
        </w:rPr>
        <w:t xml:space="preserve">y líquenes </w:t>
      </w:r>
      <w:r w:rsidRPr="004068F6">
        <w:rPr>
          <w:spacing w:val="-3"/>
        </w:rPr>
        <w:t>de hábitos terrestres</w:t>
      </w:r>
      <w:r w:rsidR="0004588A" w:rsidRPr="004068F6">
        <w:rPr>
          <w:spacing w:val="-3"/>
        </w:rPr>
        <w:t xml:space="preserve"> </w:t>
      </w:r>
      <w:r w:rsidR="006F485E" w:rsidRPr="004068F6">
        <w:rPr>
          <w:spacing w:val="-3"/>
        </w:rPr>
        <w:t xml:space="preserve">(que incluye humícolas), hábitos rupícolas y hábitos </w:t>
      </w:r>
      <w:r w:rsidR="006F485E" w:rsidRPr="004068F6">
        <w:rPr>
          <w:spacing w:val="-3"/>
        </w:rPr>
        <w:lastRenderedPageBreak/>
        <w:t>epífitos</w:t>
      </w:r>
      <w:r w:rsidR="00520155" w:rsidRPr="004068F6">
        <w:rPr>
          <w:rFonts w:cs="Arial"/>
          <w:spacing w:val="-3"/>
        </w:rPr>
        <w:t>;</w:t>
      </w:r>
      <w:r w:rsidR="00157BB8" w:rsidRPr="004068F6">
        <w:rPr>
          <w:rFonts w:cs="Arial"/>
          <w:spacing w:val="-3"/>
        </w:rPr>
        <w:t xml:space="preserve"> </w:t>
      </w:r>
      <w:r w:rsidR="007A2478" w:rsidRPr="004068F6">
        <w:rPr>
          <w:rFonts w:cs="Arial"/>
          <w:spacing w:val="-3"/>
        </w:rPr>
        <w:t xml:space="preserve">entre ellas se encuentran </w:t>
      </w:r>
      <w:r w:rsidRPr="004068F6">
        <w:rPr>
          <w:spacing w:val="-3"/>
        </w:rPr>
        <w:t>las pteridofitas</w:t>
      </w:r>
      <w:r w:rsidRPr="004068F6">
        <w:rPr>
          <w:rFonts w:cs="Arial"/>
          <w:spacing w:val="-3"/>
        </w:rPr>
        <w:t xml:space="preserve"> (helechos), </w:t>
      </w:r>
      <w:r w:rsidR="007A2478" w:rsidRPr="004068F6">
        <w:rPr>
          <w:rFonts w:cs="Arial"/>
          <w:spacing w:val="-3"/>
        </w:rPr>
        <w:t xml:space="preserve">las </w:t>
      </w:r>
      <w:r w:rsidRPr="004068F6">
        <w:rPr>
          <w:rFonts w:cs="Arial"/>
          <w:spacing w:val="-3"/>
        </w:rPr>
        <w:t xml:space="preserve">especies de hábitos herbáceos </w:t>
      </w:r>
      <w:r w:rsidR="007A2478" w:rsidRPr="004068F6">
        <w:rPr>
          <w:rFonts w:cs="Arial"/>
          <w:spacing w:val="-3"/>
        </w:rPr>
        <w:t>de las monocotiledóneas (</w:t>
      </w:r>
      <w:r w:rsidRPr="004068F6">
        <w:rPr>
          <w:rFonts w:cs="Arial"/>
          <w:spacing w:val="-3"/>
        </w:rPr>
        <w:t>familias Araceae, Bromeliaceae, Cyclantaceae, Liliaceae, Orchidaceae</w:t>
      </w:r>
      <w:r w:rsidR="007A2478" w:rsidRPr="004068F6">
        <w:rPr>
          <w:rFonts w:cs="Arial"/>
          <w:spacing w:val="-3"/>
        </w:rPr>
        <w:t>,</w:t>
      </w:r>
      <w:r w:rsidRPr="004068F6">
        <w:rPr>
          <w:rFonts w:cs="Arial"/>
          <w:spacing w:val="-3"/>
        </w:rPr>
        <w:t xml:space="preserve"> entre otras</w:t>
      </w:r>
      <w:r w:rsidR="007A2478" w:rsidRPr="004068F6">
        <w:rPr>
          <w:rFonts w:cs="Arial"/>
          <w:spacing w:val="-3"/>
        </w:rPr>
        <w:t>) y</w:t>
      </w:r>
      <w:r w:rsidRPr="004068F6">
        <w:rPr>
          <w:rFonts w:cs="Arial"/>
          <w:spacing w:val="-3"/>
        </w:rPr>
        <w:t xml:space="preserve"> de </w:t>
      </w:r>
      <w:r w:rsidR="007A2478" w:rsidRPr="004068F6">
        <w:rPr>
          <w:rFonts w:cs="Arial"/>
          <w:spacing w:val="-3"/>
        </w:rPr>
        <w:t xml:space="preserve">las </w:t>
      </w:r>
      <w:r w:rsidRPr="004068F6">
        <w:rPr>
          <w:rFonts w:cs="Arial"/>
          <w:spacing w:val="-3"/>
        </w:rPr>
        <w:t>dicotiled</w:t>
      </w:r>
      <w:r w:rsidR="007A2478" w:rsidRPr="004068F6">
        <w:rPr>
          <w:rFonts w:cs="Arial"/>
          <w:spacing w:val="-3"/>
        </w:rPr>
        <w:t>ó</w:t>
      </w:r>
      <w:r w:rsidRPr="004068F6">
        <w:rPr>
          <w:rFonts w:cs="Arial"/>
          <w:spacing w:val="-3"/>
        </w:rPr>
        <w:t xml:space="preserve">neas </w:t>
      </w:r>
      <w:r w:rsidR="007A2478" w:rsidRPr="004068F6">
        <w:rPr>
          <w:rFonts w:cs="Arial"/>
          <w:spacing w:val="-3"/>
        </w:rPr>
        <w:t xml:space="preserve">(familias </w:t>
      </w:r>
      <w:r w:rsidRPr="004068F6">
        <w:rPr>
          <w:rFonts w:cs="Arial"/>
          <w:spacing w:val="-3"/>
        </w:rPr>
        <w:t>Cactaceae</w:t>
      </w:r>
      <w:r w:rsidR="007A2478" w:rsidRPr="004068F6">
        <w:rPr>
          <w:rFonts w:cs="Arial"/>
          <w:spacing w:val="-3"/>
        </w:rPr>
        <w:t>,</w:t>
      </w:r>
      <w:r w:rsidRPr="004068F6">
        <w:rPr>
          <w:rFonts w:cs="Arial"/>
          <w:spacing w:val="-3"/>
        </w:rPr>
        <w:t xml:space="preserve"> </w:t>
      </w:r>
      <w:r w:rsidRPr="004068F6">
        <w:rPr>
          <w:spacing w:val="-3"/>
        </w:rPr>
        <w:t>Pasifloraceae, Piperaceae</w:t>
      </w:r>
      <w:r w:rsidR="007A2478" w:rsidRPr="004068F6">
        <w:rPr>
          <w:spacing w:val="-3"/>
        </w:rPr>
        <w:t>,</w:t>
      </w:r>
      <w:r w:rsidRPr="004068F6">
        <w:rPr>
          <w:spacing w:val="-3"/>
        </w:rPr>
        <w:t xml:space="preserve"> </w:t>
      </w:r>
      <w:r w:rsidRPr="004068F6">
        <w:rPr>
          <w:rFonts w:cs="Arial"/>
          <w:spacing w:val="-3"/>
        </w:rPr>
        <w:t>entre otras</w:t>
      </w:r>
      <w:r w:rsidR="007A2478" w:rsidRPr="004068F6">
        <w:rPr>
          <w:rFonts w:cs="Arial"/>
          <w:spacing w:val="-3"/>
        </w:rPr>
        <w:t>),</w:t>
      </w:r>
      <w:r w:rsidRPr="004068F6" w:rsidDel="0074016D">
        <w:rPr>
          <w:spacing w:val="-3"/>
        </w:rPr>
        <w:t xml:space="preserve"> </w:t>
      </w:r>
      <w:r w:rsidR="007A2478" w:rsidRPr="004068F6">
        <w:rPr>
          <w:spacing w:val="-3"/>
        </w:rPr>
        <w:t>así como</w:t>
      </w:r>
      <w:r w:rsidRPr="004068F6">
        <w:rPr>
          <w:spacing w:val="-3"/>
        </w:rPr>
        <w:t xml:space="preserve"> </w:t>
      </w:r>
      <w:r w:rsidRPr="004068F6">
        <w:rPr>
          <w:rFonts w:cs="Arial"/>
          <w:spacing w:val="-3"/>
        </w:rPr>
        <w:t>musgos</w:t>
      </w:r>
      <w:r w:rsidRPr="004068F6">
        <w:rPr>
          <w:spacing w:val="-3"/>
        </w:rPr>
        <w:t xml:space="preserve">, hepáticas y </w:t>
      </w:r>
      <w:r w:rsidRPr="004068F6">
        <w:rPr>
          <w:rFonts w:cs="Arial"/>
          <w:spacing w:val="-3"/>
        </w:rPr>
        <w:t>anthocerotales</w:t>
      </w:r>
      <w:r w:rsidRPr="004068F6">
        <w:rPr>
          <w:spacing w:val="-3"/>
        </w:rPr>
        <w:t xml:space="preserve"> (plantas no vasculares)</w:t>
      </w:r>
      <w:r w:rsidR="00785A15" w:rsidRPr="004068F6">
        <w:rPr>
          <w:spacing w:val="-3"/>
        </w:rPr>
        <w:t xml:space="preserve"> y líquenes</w:t>
      </w:r>
      <w:r w:rsidRPr="004068F6">
        <w:rPr>
          <w:spacing w:val="-3"/>
        </w:rPr>
        <w:t>.</w:t>
      </w:r>
      <w:r w:rsidR="0043551D" w:rsidRPr="004068F6">
        <w:rPr>
          <w:spacing w:val="-3"/>
        </w:rPr>
        <w:t xml:space="preserve"> </w:t>
      </w:r>
      <w:r w:rsidR="00421786" w:rsidRPr="004068F6">
        <w:rPr>
          <w:spacing w:val="-3"/>
        </w:rPr>
        <w:t>L</w:t>
      </w:r>
      <w:r w:rsidR="0043551D" w:rsidRPr="004068F6">
        <w:rPr>
          <w:spacing w:val="-3"/>
        </w:rPr>
        <w:t xml:space="preserve">a caracterización de estos grupos </w:t>
      </w:r>
      <w:r w:rsidR="00EB72E5" w:rsidRPr="004068F6">
        <w:rPr>
          <w:spacing w:val="-3"/>
        </w:rPr>
        <w:t xml:space="preserve">biológicos debe contar con análisis de riqueza, abundancia, estratificación vertical, estructural horizontal (en función de los ecosistemas), preferencia de forófitos </w:t>
      </w:r>
      <w:r w:rsidR="0043551D" w:rsidRPr="004068F6">
        <w:rPr>
          <w:spacing w:val="-3"/>
        </w:rPr>
        <w:t>y composición</w:t>
      </w:r>
      <w:r w:rsidR="009D57C6" w:rsidRPr="004068F6">
        <w:rPr>
          <w:spacing w:val="-3"/>
        </w:rPr>
        <w:t xml:space="preserve"> </w:t>
      </w:r>
      <w:r w:rsidR="00421786" w:rsidRPr="004068F6">
        <w:rPr>
          <w:spacing w:val="-3"/>
        </w:rPr>
        <w:t xml:space="preserve">desarrollados </w:t>
      </w:r>
      <w:r w:rsidR="009B769C" w:rsidRPr="004068F6">
        <w:rPr>
          <w:spacing w:val="-3"/>
        </w:rPr>
        <w:t xml:space="preserve">mediante </w:t>
      </w:r>
      <w:r w:rsidR="0043551D" w:rsidRPr="004068F6">
        <w:rPr>
          <w:spacing w:val="-3"/>
        </w:rPr>
        <w:t>m</w:t>
      </w:r>
      <w:r w:rsidR="009D57C6" w:rsidRPr="004068F6">
        <w:rPr>
          <w:spacing w:val="-3"/>
        </w:rPr>
        <w:t xml:space="preserve">étodos reconocidos y estadísticamente </w:t>
      </w:r>
      <w:r w:rsidR="0043551D" w:rsidRPr="004068F6">
        <w:rPr>
          <w:spacing w:val="-3"/>
        </w:rPr>
        <w:t>soportad</w:t>
      </w:r>
      <w:r w:rsidR="009D57C6" w:rsidRPr="004068F6">
        <w:rPr>
          <w:spacing w:val="-3"/>
        </w:rPr>
        <w:t>o</w:t>
      </w:r>
      <w:r w:rsidR="0043551D" w:rsidRPr="004068F6">
        <w:rPr>
          <w:spacing w:val="-3"/>
        </w:rPr>
        <w:t>s.</w:t>
      </w:r>
    </w:p>
    <w:p w14:paraId="270F234D" w14:textId="77777777" w:rsidR="007A2478" w:rsidRPr="004068F6" w:rsidRDefault="007A2478">
      <w:pPr>
        <w:numPr>
          <w:ilvl w:val="12"/>
          <w:numId w:val="0"/>
        </w:numPr>
        <w:tabs>
          <w:tab w:val="left" w:pos="-2268"/>
        </w:tabs>
        <w:suppressAutoHyphens/>
        <w:rPr>
          <w:spacing w:val="-3"/>
        </w:rPr>
      </w:pPr>
    </w:p>
    <w:p w14:paraId="782C38EB" w14:textId="2DAC3BE0" w:rsidR="00482A5F" w:rsidRPr="004068F6" w:rsidRDefault="007A2478">
      <w:pPr>
        <w:numPr>
          <w:ilvl w:val="12"/>
          <w:numId w:val="0"/>
        </w:numPr>
        <w:tabs>
          <w:tab w:val="left" w:pos="-2268"/>
        </w:tabs>
        <w:suppressAutoHyphens/>
        <w:rPr>
          <w:spacing w:val="-3"/>
        </w:rPr>
      </w:pPr>
      <w:r w:rsidRPr="004068F6">
        <w:rPr>
          <w:spacing w:val="-3"/>
        </w:rPr>
        <w:t>Se debe tener en cuenta que e</w:t>
      </w:r>
      <w:r w:rsidR="00482A5F" w:rsidRPr="004068F6">
        <w:rPr>
          <w:spacing w:val="-3"/>
        </w:rPr>
        <w:t xml:space="preserve">ste tipo de vegetación, además de aportar gran cantidad de biomasa a los ecosistemas terrestres tropicales (Gentry &amp; Dodson, 1987; Benzing, 1990), tiene una alta sensibilidad a las alteraciones del hábitat y constituye un </w:t>
      </w:r>
      <w:r w:rsidR="009B769C" w:rsidRPr="004068F6">
        <w:rPr>
          <w:spacing w:val="-3"/>
        </w:rPr>
        <w:t xml:space="preserve">elemento </w:t>
      </w:r>
      <w:r w:rsidR="00482A5F" w:rsidRPr="004068F6">
        <w:rPr>
          <w:spacing w:val="-3"/>
        </w:rPr>
        <w:t>importante de la biodiversidad, especialmente en los bosques húmedo</w:t>
      </w:r>
      <w:r w:rsidR="00066EDC" w:rsidRPr="004068F6">
        <w:rPr>
          <w:spacing w:val="-3"/>
        </w:rPr>
        <w:t xml:space="preserve">s </w:t>
      </w:r>
      <w:r w:rsidR="00482A5F" w:rsidRPr="004068F6">
        <w:rPr>
          <w:spacing w:val="-3"/>
        </w:rPr>
        <w:t xml:space="preserve">tropicales (Granados-Sánchez et al., </w:t>
      </w:r>
      <w:r w:rsidR="00482A5F" w:rsidRPr="004068F6">
        <w:rPr>
          <w:rFonts w:cs="Arial"/>
          <w:spacing w:val="-3"/>
        </w:rPr>
        <w:t>2003) y ecosistemas de alta montaña como páramos y bosques altoandinos.</w:t>
      </w:r>
    </w:p>
    <w:p w14:paraId="5390823C" w14:textId="77777777" w:rsidR="00482A5F" w:rsidRPr="004068F6" w:rsidRDefault="00482A5F">
      <w:pPr>
        <w:numPr>
          <w:ilvl w:val="12"/>
          <w:numId w:val="0"/>
        </w:numPr>
        <w:tabs>
          <w:tab w:val="left" w:pos="-2268"/>
        </w:tabs>
        <w:suppressAutoHyphens/>
        <w:rPr>
          <w:spacing w:val="-3"/>
        </w:rPr>
      </w:pPr>
    </w:p>
    <w:p w14:paraId="69E1232B" w14:textId="5C78846A" w:rsidR="00482A5F" w:rsidRPr="004068F6" w:rsidRDefault="00482A5F">
      <w:pPr>
        <w:numPr>
          <w:ilvl w:val="12"/>
          <w:numId w:val="0"/>
        </w:numPr>
        <w:tabs>
          <w:tab w:val="left" w:pos="-2268"/>
        </w:tabs>
        <w:suppressAutoHyphens/>
        <w:rPr>
          <w:spacing w:val="-3"/>
        </w:rPr>
      </w:pPr>
      <w:r w:rsidRPr="004068F6">
        <w:rPr>
          <w:spacing w:val="-3"/>
        </w:rPr>
        <w:t>A continuación</w:t>
      </w:r>
      <w:r w:rsidRPr="004068F6">
        <w:rPr>
          <w:rFonts w:cs="Arial"/>
          <w:spacing w:val="-3"/>
        </w:rPr>
        <w:t>,</w:t>
      </w:r>
      <w:r w:rsidRPr="004068F6">
        <w:rPr>
          <w:spacing w:val="-3"/>
        </w:rPr>
        <w:t xml:space="preserve"> se establecen las particularidades que se deben tener en cuenta para la caracterización de </w:t>
      </w:r>
      <w:r w:rsidR="006F70B0" w:rsidRPr="004068F6">
        <w:rPr>
          <w:spacing w:val="-3"/>
        </w:rPr>
        <w:t>estos grupos biológicos</w:t>
      </w:r>
      <w:r w:rsidR="006F70B0" w:rsidRPr="004068F6" w:rsidDel="006F70B0">
        <w:rPr>
          <w:spacing w:val="-3"/>
        </w:rPr>
        <w:t xml:space="preserve"> </w:t>
      </w:r>
      <w:r w:rsidRPr="004068F6">
        <w:rPr>
          <w:spacing w:val="-3"/>
        </w:rPr>
        <w:t xml:space="preserve">en las fases previa, de </w:t>
      </w:r>
      <w:r w:rsidR="00102112" w:rsidRPr="004068F6">
        <w:rPr>
          <w:spacing w:val="-3"/>
        </w:rPr>
        <w:t xml:space="preserve">campo </w:t>
      </w:r>
      <w:r w:rsidRPr="004068F6">
        <w:rPr>
          <w:spacing w:val="-3"/>
        </w:rPr>
        <w:t>y de análisis</w:t>
      </w:r>
      <w:r w:rsidR="007A2478" w:rsidRPr="004068F6">
        <w:rPr>
          <w:spacing w:val="-3"/>
        </w:rPr>
        <w:t>.</w:t>
      </w:r>
    </w:p>
    <w:p w14:paraId="7D0F0D9F" w14:textId="77777777" w:rsidR="00482A5F" w:rsidRPr="004068F6" w:rsidRDefault="00482A5F" w:rsidP="00482A5F">
      <w:pPr>
        <w:numPr>
          <w:ilvl w:val="12"/>
          <w:numId w:val="0"/>
        </w:numPr>
        <w:tabs>
          <w:tab w:val="left" w:pos="-2268"/>
        </w:tabs>
        <w:suppressAutoHyphens/>
        <w:rPr>
          <w:rFonts w:cs="Arial"/>
          <w:spacing w:val="-3"/>
        </w:rPr>
      </w:pPr>
    </w:p>
    <w:p w14:paraId="7C1405FC" w14:textId="77777777" w:rsidR="00482A5F" w:rsidRPr="004068F6" w:rsidRDefault="00482A5F" w:rsidP="00482A5F">
      <w:pPr>
        <w:tabs>
          <w:tab w:val="left" w:pos="-2268"/>
        </w:tabs>
        <w:suppressAutoHyphens/>
        <w:rPr>
          <w:rFonts w:cs="Arial"/>
          <w:spacing w:val="-3"/>
          <w:u w:val="single"/>
        </w:rPr>
      </w:pPr>
      <w:r w:rsidRPr="004068F6">
        <w:rPr>
          <w:rFonts w:cs="Arial"/>
          <w:spacing w:val="-3"/>
          <w:u w:val="single"/>
        </w:rPr>
        <w:t>Fase previa:</w:t>
      </w:r>
    </w:p>
    <w:p w14:paraId="27368F0E" w14:textId="77777777" w:rsidR="00482A5F" w:rsidRPr="004068F6" w:rsidRDefault="00482A5F" w:rsidP="00482A5F">
      <w:pPr>
        <w:numPr>
          <w:ilvl w:val="12"/>
          <w:numId w:val="0"/>
        </w:numPr>
        <w:tabs>
          <w:tab w:val="left" w:pos="-2268"/>
        </w:tabs>
        <w:suppressAutoHyphens/>
        <w:rPr>
          <w:rFonts w:cs="Arial"/>
          <w:spacing w:val="-3"/>
        </w:rPr>
      </w:pPr>
    </w:p>
    <w:p w14:paraId="731AE553" w14:textId="1643238A" w:rsidR="00482A5F" w:rsidRPr="004068F6" w:rsidRDefault="00CD69AC" w:rsidP="00482A5F">
      <w:pPr>
        <w:numPr>
          <w:ilvl w:val="12"/>
          <w:numId w:val="0"/>
        </w:numPr>
        <w:tabs>
          <w:tab w:val="left" w:pos="-2268"/>
        </w:tabs>
        <w:suppressAutoHyphens/>
        <w:rPr>
          <w:rFonts w:cs="Arial"/>
          <w:spacing w:val="-3"/>
        </w:rPr>
      </w:pPr>
      <w:r w:rsidRPr="004068F6">
        <w:rPr>
          <w:rFonts w:cs="Arial"/>
          <w:spacing w:val="-3"/>
        </w:rPr>
        <w:t xml:space="preserve">Consiste en la </w:t>
      </w:r>
      <w:r w:rsidR="00482A5F" w:rsidRPr="004068F6">
        <w:rPr>
          <w:rFonts w:cs="Arial"/>
          <w:spacing w:val="-3"/>
        </w:rPr>
        <w:t>recopila</w:t>
      </w:r>
      <w:r w:rsidRPr="004068F6">
        <w:rPr>
          <w:rFonts w:cs="Arial"/>
          <w:spacing w:val="-3"/>
        </w:rPr>
        <w:t>ción de</w:t>
      </w:r>
      <w:r w:rsidR="00482A5F" w:rsidRPr="004068F6">
        <w:rPr>
          <w:rFonts w:cs="Arial"/>
          <w:spacing w:val="-3"/>
        </w:rPr>
        <w:t xml:space="preserve"> información secundaria sobre </w:t>
      </w:r>
      <w:r w:rsidRPr="004068F6">
        <w:rPr>
          <w:rFonts w:cs="Arial"/>
          <w:spacing w:val="-3"/>
        </w:rPr>
        <w:t xml:space="preserve">la </w:t>
      </w:r>
      <w:r w:rsidR="00482A5F" w:rsidRPr="004068F6">
        <w:rPr>
          <w:rFonts w:cs="Arial"/>
          <w:spacing w:val="-3"/>
        </w:rPr>
        <w:t xml:space="preserve">presencia </w:t>
      </w:r>
      <w:r w:rsidRPr="004068F6">
        <w:rPr>
          <w:rFonts w:cs="Arial"/>
          <w:spacing w:val="-3"/>
        </w:rPr>
        <w:t>de especies vasculares</w:t>
      </w:r>
      <w:r w:rsidR="00604672" w:rsidRPr="004068F6">
        <w:rPr>
          <w:rFonts w:cs="Arial"/>
          <w:spacing w:val="-3"/>
        </w:rPr>
        <w:t>,</w:t>
      </w:r>
      <w:r w:rsidRPr="004068F6">
        <w:rPr>
          <w:rFonts w:cs="Arial"/>
          <w:spacing w:val="-3"/>
        </w:rPr>
        <w:t xml:space="preserve"> no vasculares </w:t>
      </w:r>
      <w:r w:rsidR="00604672" w:rsidRPr="004068F6">
        <w:rPr>
          <w:rFonts w:cs="Arial"/>
          <w:spacing w:val="-3"/>
        </w:rPr>
        <w:t xml:space="preserve">y líquenes </w:t>
      </w:r>
      <w:r w:rsidRPr="004068F6">
        <w:rPr>
          <w:rFonts w:cs="Arial"/>
          <w:spacing w:val="-3"/>
        </w:rPr>
        <w:t>de hábitos terrestres</w:t>
      </w:r>
      <w:r w:rsidR="00EC3A61" w:rsidRPr="004068F6">
        <w:rPr>
          <w:rFonts w:cs="Arial"/>
          <w:spacing w:val="-3"/>
        </w:rPr>
        <w:t xml:space="preserve"> (que incluye humícolas)</w:t>
      </w:r>
      <w:r w:rsidRPr="004068F6">
        <w:rPr>
          <w:rFonts w:cs="Arial"/>
          <w:spacing w:val="-3"/>
        </w:rPr>
        <w:t>, rupícolas y epífitos</w:t>
      </w:r>
      <w:r w:rsidR="00D93FF9" w:rsidRPr="004068F6">
        <w:rPr>
          <w:rFonts w:cs="Arial"/>
          <w:spacing w:val="-3"/>
        </w:rPr>
        <w:t xml:space="preserve"> para el área objeto de caracterización</w:t>
      </w:r>
      <w:r w:rsidR="00066EDC" w:rsidRPr="004068F6">
        <w:rPr>
          <w:rFonts w:cs="Arial"/>
          <w:spacing w:val="-3"/>
        </w:rPr>
        <w:t>.</w:t>
      </w:r>
    </w:p>
    <w:p w14:paraId="69DC87CD" w14:textId="77777777" w:rsidR="00482A5F" w:rsidRPr="004068F6" w:rsidRDefault="00482A5F" w:rsidP="00482A5F">
      <w:pPr>
        <w:numPr>
          <w:ilvl w:val="12"/>
          <w:numId w:val="0"/>
        </w:numPr>
        <w:tabs>
          <w:tab w:val="left" w:pos="-2268"/>
        </w:tabs>
        <w:suppressAutoHyphens/>
        <w:rPr>
          <w:rFonts w:cs="Arial"/>
          <w:spacing w:val="-3"/>
        </w:rPr>
      </w:pPr>
    </w:p>
    <w:p w14:paraId="4C52BDFB" w14:textId="3899CB04" w:rsidR="00482A5F" w:rsidRPr="004068F6" w:rsidRDefault="00482A5F">
      <w:pPr>
        <w:numPr>
          <w:ilvl w:val="12"/>
          <w:numId w:val="0"/>
        </w:numPr>
        <w:tabs>
          <w:tab w:val="left" w:pos="-2268"/>
        </w:tabs>
        <w:suppressAutoHyphens/>
        <w:rPr>
          <w:spacing w:val="-3"/>
        </w:rPr>
      </w:pPr>
      <w:r w:rsidRPr="004068F6">
        <w:rPr>
          <w:spacing w:val="-3"/>
        </w:rPr>
        <w:t xml:space="preserve">La </w:t>
      </w:r>
      <w:r w:rsidR="00977C86" w:rsidRPr="004068F6">
        <w:rPr>
          <w:rFonts w:cs="Arial"/>
          <w:spacing w:val="-3"/>
        </w:rPr>
        <w:fldChar w:fldCharType="begin"/>
      </w:r>
      <w:r w:rsidR="00977C86" w:rsidRPr="004068F6">
        <w:rPr>
          <w:rFonts w:cs="Arial"/>
          <w:spacing w:val="-3"/>
        </w:rPr>
        <w:instrText xml:space="preserve"> REF _Ref43051739 \h </w:instrText>
      </w:r>
      <w:r w:rsidR="00EE6898" w:rsidRPr="004068F6">
        <w:rPr>
          <w:rFonts w:cs="Arial"/>
          <w:spacing w:val="-3"/>
        </w:rPr>
        <w:instrText xml:space="preserve"> \* MERGEFORMAT </w:instrText>
      </w:r>
      <w:r w:rsidR="00977C86" w:rsidRPr="004068F6">
        <w:rPr>
          <w:rFonts w:cs="Arial"/>
          <w:spacing w:val="-3"/>
        </w:rPr>
      </w:r>
      <w:r w:rsidR="00977C86" w:rsidRPr="004068F6">
        <w:rPr>
          <w:rFonts w:cs="Arial"/>
          <w:spacing w:val="-3"/>
        </w:rPr>
        <w:fldChar w:fldCharType="separate"/>
      </w:r>
      <w:r w:rsidR="009C4A81" w:rsidRPr="009C4A81">
        <w:rPr>
          <w:rFonts w:cs="Arial"/>
          <w:spacing w:val="-3"/>
        </w:rPr>
        <w:t>Tabla 23</w:t>
      </w:r>
      <w:r w:rsidR="00977C86" w:rsidRPr="004068F6">
        <w:rPr>
          <w:rFonts w:cs="Arial"/>
          <w:spacing w:val="-3"/>
        </w:rPr>
        <w:fldChar w:fldCharType="end"/>
      </w:r>
      <w:r w:rsidR="00977C86" w:rsidRPr="004068F6">
        <w:rPr>
          <w:spacing w:val="-3"/>
        </w:rPr>
        <w:t xml:space="preserve"> </w:t>
      </w:r>
      <w:r w:rsidRPr="004068F6">
        <w:rPr>
          <w:spacing w:val="-3"/>
        </w:rPr>
        <w:t xml:space="preserve">señala las fuentes de información </w:t>
      </w:r>
      <w:r w:rsidR="00A85393" w:rsidRPr="004068F6">
        <w:rPr>
          <w:spacing w:val="-3"/>
        </w:rPr>
        <w:t>que mínimamente</w:t>
      </w:r>
      <w:r w:rsidRPr="004068F6">
        <w:rPr>
          <w:spacing w:val="-3"/>
        </w:rPr>
        <w:t xml:space="preserve"> </w:t>
      </w:r>
      <w:r w:rsidR="00A85393" w:rsidRPr="004068F6">
        <w:rPr>
          <w:spacing w:val="-3"/>
        </w:rPr>
        <w:t xml:space="preserve">deben </w:t>
      </w:r>
      <w:r w:rsidRPr="004068F6">
        <w:rPr>
          <w:spacing w:val="-3"/>
        </w:rPr>
        <w:t>considera</w:t>
      </w:r>
      <w:r w:rsidR="00A85393" w:rsidRPr="004068F6">
        <w:rPr>
          <w:spacing w:val="-3"/>
        </w:rPr>
        <w:t>se</w:t>
      </w:r>
      <w:r w:rsidR="00570399" w:rsidRPr="004068F6">
        <w:rPr>
          <w:spacing w:val="-3"/>
        </w:rPr>
        <w:t xml:space="preserve"> en la fase previa.</w:t>
      </w:r>
    </w:p>
    <w:p w14:paraId="1D4F1F5A" w14:textId="77777777" w:rsidR="00482A5F" w:rsidRPr="004068F6" w:rsidRDefault="00482A5F">
      <w:pPr>
        <w:numPr>
          <w:ilvl w:val="12"/>
          <w:numId w:val="0"/>
        </w:numPr>
        <w:tabs>
          <w:tab w:val="left" w:pos="-2268"/>
        </w:tabs>
        <w:suppressAutoHyphens/>
        <w:rPr>
          <w:spacing w:val="-3"/>
        </w:rPr>
      </w:pPr>
    </w:p>
    <w:p w14:paraId="7F727903" w14:textId="108AAEBA" w:rsidR="00482A5F" w:rsidRPr="004068F6" w:rsidRDefault="00482A5F" w:rsidP="00482A5F">
      <w:pPr>
        <w:numPr>
          <w:ilvl w:val="12"/>
          <w:numId w:val="0"/>
        </w:numPr>
        <w:tabs>
          <w:tab w:val="left" w:pos="-2268"/>
        </w:tabs>
        <w:suppressAutoHyphens/>
        <w:jc w:val="center"/>
        <w:rPr>
          <w:spacing w:val="-3"/>
        </w:rPr>
      </w:pPr>
      <w:bookmarkStart w:id="2896" w:name="_Ref43051739"/>
      <w:bookmarkStart w:id="2897" w:name="_Ref43365113"/>
      <w:r w:rsidRPr="004068F6">
        <w:rPr>
          <w:b/>
          <w:spacing w:val="-3"/>
        </w:rPr>
        <w:t xml:space="preserve">Tabla </w:t>
      </w:r>
      <w:r w:rsidRPr="004068F6">
        <w:rPr>
          <w:b/>
          <w:spacing w:val="-3"/>
        </w:rPr>
        <w:fldChar w:fldCharType="begin"/>
      </w:r>
      <w:r w:rsidRPr="004068F6">
        <w:rPr>
          <w:rFonts w:cs="Arial"/>
          <w:b/>
          <w:spacing w:val="-3"/>
        </w:rPr>
        <w:instrText xml:space="preserve"> SEQ Tabla \* ARABIC </w:instrText>
      </w:r>
      <w:r w:rsidRPr="004068F6">
        <w:rPr>
          <w:b/>
          <w:spacing w:val="-3"/>
        </w:rPr>
        <w:fldChar w:fldCharType="separate"/>
      </w:r>
      <w:r w:rsidR="009C4A81">
        <w:rPr>
          <w:rFonts w:cs="Arial"/>
          <w:b/>
          <w:noProof/>
          <w:spacing w:val="-3"/>
        </w:rPr>
        <w:t>23</w:t>
      </w:r>
      <w:r w:rsidRPr="004068F6">
        <w:rPr>
          <w:b/>
          <w:spacing w:val="-3"/>
        </w:rPr>
        <w:fldChar w:fldCharType="end"/>
      </w:r>
      <w:bookmarkEnd w:id="2896"/>
      <w:bookmarkEnd w:id="2897"/>
      <w:r w:rsidRPr="004068F6">
        <w:rPr>
          <w:b/>
          <w:spacing w:val="-3"/>
        </w:rPr>
        <w:t>.</w:t>
      </w:r>
      <w:r w:rsidRPr="004068F6">
        <w:rPr>
          <w:spacing w:val="-3"/>
        </w:rPr>
        <w:t xml:space="preserve"> Fuentes de información a consultar en la fase previa de la caracterización de plantas de hábitos terrestres, rupícolas y ep</w:t>
      </w:r>
      <w:r w:rsidR="00CF0A7D" w:rsidRPr="004068F6">
        <w:rPr>
          <w:spacing w:val="-3"/>
        </w:rPr>
        <w:t>í</w:t>
      </w:r>
      <w:r w:rsidRPr="004068F6">
        <w:rPr>
          <w:spacing w:val="-3"/>
        </w:rPr>
        <w:t>f</w:t>
      </w:r>
      <w:r w:rsidR="00CF0A7D" w:rsidRPr="004068F6">
        <w:rPr>
          <w:spacing w:val="-3"/>
        </w:rPr>
        <w:t>i</w:t>
      </w:r>
      <w:r w:rsidRPr="004068F6">
        <w:rPr>
          <w:spacing w:val="-3"/>
        </w:rPr>
        <w:t>tos</w:t>
      </w:r>
    </w:p>
    <w:tbl>
      <w:tblPr>
        <w:tblW w:w="8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2"/>
        <w:gridCol w:w="5271"/>
      </w:tblGrid>
      <w:tr w:rsidR="004A7A4A" w:rsidRPr="004068F6" w14:paraId="402BE112" w14:textId="77777777" w:rsidTr="003351A6">
        <w:trPr>
          <w:trHeight w:val="561"/>
          <w:tblHeader/>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1ECDCDC2" w14:textId="77777777" w:rsidR="004A7A4A" w:rsidRPr="004068F6" w:rsidRDefault="004A7A4A" w:rsidP="001B485E">
            <w:pPr>
              <w:numPr>
                <w:ilvl w:val="12"/>
                <w:numId w:val="0"/>
              </w:numPr>
              <w:tabs>
                <w:tab w:val="left" w:pos="-2268"/>
              </w:tabs>
              <w:suppressAutoHyphens/>
              <w:jc w:val="center"/>
              <w:rPr>
                <w:rFonts w:cs="Arial"/>
                <w:b/>
                <w:sz w:val="20"/>
                <w:szCs w:val="20"/>
                <w:lang w:eastAsia="es-CO"/>
              </w:rPr>
            </w:pPr>
            <w:r w:rsidRPr="004068F6">
              <w:rPr>
                <w:rFonts w:cs="Arial"/>
                <w:b/>
                <w:sz w:val="20"/>
                <w:szCs w:val="20"/>
                <w:lang w:eastAsia="es-CO"/>
              </w:rPr>
              <w:t>Fuente</w:t>
            </w:r>
          </w:p>
        </w:tc>
        <w:tc>
          <w:tcPr>
            <w:tcW w:w="5271" w:type="dxa"/>
            <w:tcBorders>
              <w:top w:val="single" w:sz="4" w:space="0" w:color="000000"/>
              <w:left w:val="single" w:sz="4" w:space="0" w:color="000000"/>
              <w:bottom w:val="single" w:sz="4" w:space="0" w:color="000000"/>
              <w:right w:val="single" w:sz="4" w:space="0" w:color="000000"/>
            </w:tcBorders>
            <w:vAlign w:val="center"/>
          </w:tcPr>
          <w:p w14:paraId="585B4326" w14:textId="77777777" w:rsidR="004A7A4A" w:rsidRPr="004068F6" w:rsidRDefault="004A7A4A" w:rsidP="001B485E">
            <w:pPr>
              <w:numPr>
                <w:ilvl w:val="12"/>
                <w:numId w:val="0"/>
              </w:numPr>
              <w:tabs>
                <w:tab w:val="left" w:pos="-2268"/>
              </w:tabs>
              <w:suppressAutoHyphens/>
              <w:jc w:val="center"/>
              <w:rPr>
                <w:rFonts w:cs="Arial"/>
                <w:b/>
                <w:sz w:val="20"/>
                <w:szCs w:val="20"/>
                <w:lang w:eastAsia="es-CO"/>
              </w:rPr>
            </w:pPr>
            <w:r w:rsidRPr="004068F6">
              <w:rPr>
                <w:rFonts w:cs="Arial"/>
                <w:b/>
                <w:sz w:val="20"/>
                <w:szCs w:val="20"/>
                <w:lang w:eastAsia="es-CO"/>
              </w:rPr>
              <w:t>Tema</w:t>
            </w:r>
          </w:p>
        </w:tc>
      </w:tr>
      <w:tr w:rsidR="004A7A4A" w:rsidRPr="004068F6" w14:paraId="24D5FC91"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6E664854" w14:textId="77777777"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Sistema de Información sobre Biodiversidad de Colombia (SiB).</w:t>
            </w:r>
          </w:p>
        </w:tc>
        <w:tc>
          <w:tcPr>
            <w:tcW w:w="5271" w:type="dxa"/>
            <w:tcBorders>
              <w:top w:val="single" w:sz="4" w:space="0" w:color="000000"/>
              <w:left w:val="single" w:sz="4" w:space="0" w:color="000000"/>
              <w:bottom w:val="single" w:sz="4" w:space="0" w:color="000000"/>
              <w:right w:val="single" w:sz="4" w:space="0" w:color="000000"/>
            </w:tcBorders>
            <w:vAlign w:val="center"/>
          </w:tcPr>
          <w:p w14:paraId="64F1A1B8" w14:textId="692E720E"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 xml:space="preserve">Registros biológicos de especies; listado de especies silvestres amenazadas en Colombia </w:t>
            </w:r>
            <w:r w:rsidR="00467CE5" w:rsidRPr="004068F6">
              <w:rPr>
                <w:rFonts w:cs="Arial"/>
                <w:sz w:val="20"/>
                <w:szCs w:val="20"/>
                <w:lang w:eastAsia="es-CO"/>
              </w:rPr>
              <w:t>de acuerdo con</w:t>
            </w:r>
            <w:r w:rsidRPr="004068F6">
              <w:rPr>
                <w:rFonts w:cs="Arial"/>
                <w:sz w:val="20"/>
                <w:szCs w:val="20"/>
                <w:lang w:eastAsia="es-CO"/>
              </w:rPr>
              <w:t xml:space="preserve"> la </w:t>
            </w:r>
            <w:r w:rsidR="00AC3FD2" w:rsidRPr="004068F6">
              <w:rPr>
                <w:rFonts w:cs="Arial"/>
                <w:sz w:val="20"/>
                <w:szCs w:val="20"/>
                <w:lang w:eastAsia="es-CO"/>
              </w:rPr>
              <w:t>Resolución 0126 de 2024</w:t>
            </w:r>
            <w:r w:rsidRPr="004068F6">
              <w:rPr>
                <w:rFonts w:cs="Arial"/>
                <w:sz w:val="20"/>
                <w:szCs w:val="20"/>
                <w:lang w:eastAsia="es-CO"/>
              </w:rPr>
              <w:t xml:space="preserve"> o la que modifique o sustituya; otros listados de especies, fichas de especies.</w:t>
            </w:r>
          </w:p>
        </w:tc>
      </w:tr>
      <w:tr w:rsidR="004A7A4A" w:rsidRPr="004068F6" w14:paraId="3B47771E"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40470FA8" w14:textId="77777777"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Libro rojo de briofitas de Colombia (versión más actualizada).</w:t>
            </w:r>
          </w:p>
        </w:tc>
        <w:tc>
          <w:tcPr>
            <w:tcW w:w="5271" w:type="dxa"/>
            <w:tcBorders>
              <w:top w:val="single" w:sz="4" w:space="0" w:color="000000"/>
              <w:left w:val="single" w:sz="4" w:space="0" w:color="000000"/>
              <w:bottom w:val="single" w:sz="4" w:space="0" w:color="000000"/>
              <w:right w:val="single" w:sz="4" w:space="0" w:color="000000"/>
            </w:tcBorders>
            <w:vAlign w:val="center"/>
          </w:tcPr>
          <w:p w14:paraId="013076BA" w14:textId="77777777"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Especies amenazadas de briofitos.</w:t>
            </w:r>
          </w:p>
        </w:tc>
      </w:tr>
      <w:tr w:rsidR="004A7A4A" w:rsidRPr="004068F6" w14:paraId="18A4FD79"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3FB1808F" w14:textId="77777777"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Libro rojo de plantas de Colombia. Volumen 3: Las bromelias, las labiadas y las pasifloras (versión más actualizada).</w:t>
            </w:r>
          </w:p>
        </w:tc>
        <w:tc>
          <w:tcPr>
            <w:tcW w:w="5271" w:type="dxa"/>
            <w:tcBorders>
              <w:top w:val="single" w:sz="4" w:space="0" w:color="000000"/>
              <w:left w:val="single" w:sz="4" w:space="0" w:color="000000"/>
              <w:bottom w:val="single" w:sz="4" w:space="0" w:color="000000"/>
              <w:right w:val="single" w:sz="4" w:space="0" w:color="000000"/>
            </w:tcBorders>
            <w:vAlign w:val="center"/>
          </w:tcPr>
          <w:p w14:paraId="179DB7E8" w14:textId="77777777"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Especies amenazadas de las bromelias.</w:t>
            </w:r>
          </w:p>
        </w:tc>
      </w:tr>
      <w:tr w:rsidR="00274A8B" w:rsidRPr="004068F6" w14:paraId="575C6900"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5300902B" w14:textId="3A2BF2EC" w:rsidR="00274A8B" w:rsidRPr="004068F6" w:rsidRDefault="00274A8B"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lastRenderedPageBreak/>
              <w:t>Libro rojo de plantas de Colombia. Vol. 6: Orquídeas, primera parte. Serie Libros rojos de especies amenazadas.</w:t>
            </w:r>
          </w:p>
        </w:tc>
        <w:tc>
          <w:tcPr>
            <w:tcW w:w="5271" w:type="dxa"/>
            <w:tcBorders>
              <w:top w:val="single" w:sz="4" w:space="0" w:color="000000"/>
              <w:left w:val="single" w:sz="4" w:space="0" w:color="000000"/>
              <w:bottom w:val="single" w:sz="4" w:space="0" w:color="000000"/>
              <w:right w:val="single" w:sz="4" w:space="0" w:color="000000"/>
            </w:tcBorders>
            <w:vAlign w:val="center"/>
          </w:tcPr>
          <w:p w14:paraId="57A7B1CA" w14:textId="50BC0D96" w:rsidR="00274A8B" w:rsidRPr="004068F6" w:rsidRDefault="00274A8B"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Especies amenazadas de las orquídeas.</w:t>
            </w:r>
          </w:p>
        </w:tc>
      </w:tr>
      <w:tr w:rsidR="004A7A4A" w:rsidRPr="004068F6" w14:paraId="34945663"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0C9CDBA9" w14:textId="77777777"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Colombia diversidad biótica VI. Riqueza y diversidad de los musgos y líquenes en Colombia</w:t>
            </w:r>
          </w:p>
        </w:tc>
        <w:tc>
          <w:tcPr>
            <w:tcW w:w="5271" w:type="dxa"/>
            <w:tcBorders>
              <w:top w:val="single" w:sz="4" w:space="0" w:color="000000"/>
              <w:left w:val="single" w:sz="4" w:space="0" w:color="000000"/>
              <w:bottom w:val="single" w:sz="4" w:space="0" w:color="000000"/>
              <w:right w:val="single" w:sz="4" w:space="0" w:color="000000"/>
            </w:tcBorders>
            <w:vAlign w:val="center"/>
          </w:tcPr>
          <w:p w14:paraId="78A3878E" w14:textId="77777777"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Musgos y líquenes.</w:t>
            </w:r>
          </w:p>
        </w:tc>
      </w:tr>
      <w:tr w:rsidR="004A7A4A" w:rsidRPr="004068F6" w14:paraId="7ED41D2A"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39C2DAEC" w14:textId="77777777"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Colombia diversidad biótica XII. La región Caribe de Colombia</w:t>
            </w:r>
          </w:p>
        </w:tc>
        <w:tc>
          <w:tcPr>
            <w:tcW w:w="5271" w:type="dxa"/>
            <w:tcBorders>
              <w:top w:val="single" w:sz="4" w:space="0" w:color="000000"/>
              <w:left w:val="single" w:sz="4" w:space="0" w:color="000000"/>
              <w:bottom w:val="single" w:sz="4" w:space="0" w:color="000000"/>
              <w:right w:val="single" w:sz="4" w:space="0" w:color="000000"/>
            </w:tcBorders>
            <w:vAlign w:val="center"/>
          </w:tcPr>
          <w:p w14:paraId="03556A1A" w14:textId="77777777" w:rsidR="004A7A4A" w:rsidRPr="004068F6" w:rsidRDefault="004A7A4A" w:rsidP="00AC1586">
            <w:pPr>
              <w:numPr>
                <w:ilvl w:val="12"/>
                <w:numId w:val="0"/>
              </w:numPr>
              <w:tabs>
                <w:tab w:val="left" w:pos="-2268"/>
              </w:tabs>
              <w:suppressAutoHyphens/>
              <w:rPr>
                <w:rFonts w:cs="Arial"/>
                <w:sz w:val="20"/>
                <w:szCs w:val="20"/>
                <w:lang w:eastAsia="es-CO"/>
              </w:rPr>
            </w:pPr>
            <w:r w:rsidRPr="004068F6">
              <w:rPr>
                <w:rFonts w:cs="Arial"/>
                <w:sz w:val="20"/>
                <w:szCs w:val="20"/>
                <w:lang w:eastAsia="es-CO"/>
              </w:rPr>
              <w:t>Líquenes, orquídeas y bromelias.</w:t>
            </w:r>
          </w:p>
        </w:tc>
      </w:tr>
      <w:tr w:rsidR="00274A8B" w:rsidRPr="004068F6" w14:paraId="2CE04121" w14:textId="77777777" w:rsidTr="008A4FE9">
        <w:trPr>
          <w:trHeight w:val="438"/>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2531E9C6" w14:textId="355CE579"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ColFungi</w:t>
            </w:r>
          </w:p>
        </w:tc>
        <w:tc>
          <w:tcPr>
            <w:tcW w:w="5271" w:type="dxa"/>
            <w:tcBorders>
              <w:top w:val="single" w:sz="4" w:space="0" w:color="000000"/>
              <w:left w:val="single" w:sz="4" w:space="0" w:color="000000"/>
              <w:bottom w:val="single" w:sz="4" w:space="0" w:color="000000"/>
              <w:right w:val="single" w:sz="4" w:space="0" w:color="000000"/>
            </w:tcBorders>
            <w:vAlign w:val="center"/>
          </w:tcPr>
          <w:p w14:paraId="06E22634" w14:textId="481B71F2"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Especies de líquenes</w:t>
            </w:r>
          </w:p>
        </w:tc>
      </w:tr>
      <w:tr w:rsidR="00274A8B" w:rsidRPr="004068F6" w14:paraId="2C3F20B8"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2A6FDD88" w14:textId="28B72918"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 xml:space="preserve">Herbarios en el ámbito nacional que se encuentren registrados en el </w:t>
            </w:r>
            <w:r w:rsidR="00626259" w:rsidRPr="004068F6">
              <w:rPr>
                <w:rFonts w:cs="Arial"/>
                <w:sz w:val="20"/>
                <w:szCs w:val="20"/>
                <w:lang w:eastAsia="es-CO"/>
              </w:rPr>
              <w:t>Registro Único Nacional de Colecciones Biológicas (RNC).</w:t>
            </w:r>
          </w:p>
        </w:tc>
        <w:tc>
          <w:tcPr>
            <w:tcW w:w="5271" w:type="dxa"/>
            <w:tcBorders>
              <w:top w:val="single" w:sz="4" w:space="0" w:color="000000"/>
              <w:left w:val="single" w:sz="4" w:space="0" w:color="000000"/>
              <w:bottom w:val="single" w:sz="4" w:space="0" w:color="000000"/>
              <w:right w:val="single" w:sz="4" w:space="0" w:color="000000"/>
            </w:tcBorders>
            <w:vAlign w:val="center"/>
          </w:tcPr>
          <w:p w14:paraId="20926BD2"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Especies vedadas.</w:t>
            </w:r>
          </w:p>
        </w:tc>
      </w:tr>
      <w:tr w:rsidR="00274A8B" w:rsidRPr="004068F6" w14:paraId="49B55CD7"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0CD70CFC"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Catálogo plantas y líquenes de Colombia (versión en línea).</w:t>
            </w:r>
          </w:p>
        </w:tc>
        <w:tc>
          <w:tcPr>
            <w:tcW w:w="5271" w:type="dxa"/>
            <w:tcBorders>
              <w:top w:val="single" w:sz="4" w:space="0" w:color="000000"/>
              <w:left w:val="single" w:sz="4" w:space="0" w:color="000000"/>
              <w:bottom w:val="single" w:sz="4" w:space="0" w:color="000000"/>
              <w:right w:val="single" w:sz="4" w:space="0" w:color="000000"/>
            </w:tcBorders>
            <w:vAlign w:val="center"/>
          </w:tcPr>
          <w:p w14:paraId="3119E6BB"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Especies por familia, género, especie, departamento y rango altitudinal.</w:t>
            </w:r>
          </w:p>
        </w:tc>
      </w:tr>
      <w:tr w:rsidR="00274A8B" w:rsidRPr="004068F6" w14:paraId="5D4E42A4"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4DB773D4" w14:textId="251BC15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Estudios ambientales que compartan total o parcialmente el área de influencia del medio.</w:t>
            </w:r>
          </w:p>
        </w:tc>
        <w:tc>
          <w:tcPr>
            <w:tcW w:w="5271" w:type="dxa"/>
            <w:tcBorders>
              <w:top w:val="single" w:sz="4" w:space="0" w:color="000000"/>
              <w:left w:val="single" w:sz="4" w:space="0" w:color="000000"/>
              <w:bottom w:val="single" w:sz="4" w:space="0" w:color="000000"/>
              <w:right w:val="single" w:sz="4" w:space="0" w:color="000000"/>
            </w:tcBorders>
            <w:vAlign w:val="center"/>
          </w:tcPr>
          <w:p w14:paraId="11E3700C"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Listados de especies.</w:t>
            </w:r>
          </w:p>
        </w:tc>
      </w:tr>
      <w:tr w:rsidR="00274A8B" w:rsidRPr="004068F6" w14:paraId="6F47FDAC"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1E5F75F5" w14:textId="35DA6073" w:rsidR="00274A8B" w:rsidRPr="004068F6" w:rsidRDefault="00D143E4"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Resolución 0126 de 2024</w:t>
            </w:r>
            <w:r w:rsidR="00274A8B" w:rsidRPr="004068F6">
              <w:rPr>
                <w:rFonts w:cs="Arial"/>
                <w:sz w:val="20"/>
                <w:szCs w:val="20"/>
                <w:lang w:eastAsia="es-CO"/>
              </w:rPr>
              <w:t xml:space="preserve"> de Minambiente o la que la modifique o sustituya.</w:t>
            </w:r>
          </w:p>
        </w:tc>
        <w:tc>
          <w:tcPr>
            <w:tcW w:w="5271" w:type="dxa"/>
            <w:tcBorders>
              <w:top w:val="single" w:sz="4" w:space="0" w:color="000000"/>
              <w:left w:val="single" w:sz="4" w:space="0" w:color="000000"/>
              <w:bottom w:val="single" w:sz="4" w:space="0" w:color="000000"/>
              <w:right w:val="single" w:sz="4" w:space="0" w:color="000000"/>
            </w:tcBorders>
            <w:vAlign w:val="center"/>
          </w:tcPr>
          <w:p w14:paraId="4F3CEC74"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Listado de especies silvestres amenazadas en Colombia.</w:t>
            </w:r>
          </w:p>
        </w:tc>
      </w:tr>
      <w:tr w:rsidR="00274A8B" w:rsidRPr="004068F6" w14:paraId="5ED9FAE9"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37DBA007"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Resolución 0213 de 1977 del Inderena o la que la modifique o sustituya.</w:t>
            </w:r>
          </w:p>
        </w:tc>
        <w:tc>
          <w:tcPr>
            <w:tcW w:w="5271" w:type="dxa"/>
            <w:tcBorders>
              <w:top w:val="single" w:sz="4" w:space="0" w:color="000000"/>
              <w:left w:val="single" w:sz="4" w:space="0" w:color="000000"/>
              <w:bottom w:val="single" w:sz="4" w:space="0" w:color="000000"/>
              <w:right w:val="single" w:sz="4" w:space="0" w:color="000000"/>
            </w:tcBorders>
            <w:vAlign w:val="center"/>
          </w:tcPr>
          <w:p w14:paraId="7F96FFA3"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Veda nacional para musgos, líquenes, lamas, parásitas, quiches y orquídeas, así como lama, capote y broza y demás especies y productos herbáceos o leñosos como arbolitos, cortezas y ramajes que constituyen parte de los hábitats de tales especies.</w:t>
            </w:r>
          </w:p>
        </w:tc>
      </w:tr>
      <w:tr w:rsidR="00274A8B" w:rsidRPr="004068F6" w14:paraId="66E63B7E"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6B7BAFA8"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Resoluciones de levantamiento de veda de flora silvestre otorgadas en la región en donde se localiza el proyecto, expedidas antes del Decreto – Ley 2106 de 2019.</w:t>
            </w:r>
          </w:p>
        </w:tc>
        <w:tc>
          <w:tcPr>
            <w:tcW w:w="5271" w:type="dxa"/>
            <w:tcBorders>
              <w:top w:val="single" w:sz="4" w:space="0" w:color="000000"/>
              <w:left w:val="single" w:sz="4" w:space="0" w:color="000000"/>
              <w:bottom w:val="single" w:sz="4" w:space="0" w:color="000000"/>
              <w:right w:val="single" w:sz="4" w:space="0" w:color="000000"/>
            </w:tcBorders>
            <w:vAlign w:val="center"/>
          </w:tcPr>
          <w:p w14:paraId="030EB945"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Listados de especies a las cuales se les ha otorgado el levantamiento de veda de flora silvestre.</w:t>
            </w:r>
          </w:p>
        </w:tc>
      </w:tr>
      <w:tr w:rsidR="00274A8B" w:rsidRPr="004068F6" w14:paraId="6F3B9EA9" w14:textId="77777777" w:rsidTr="004A7A4A">
        <w:trPr>
          <w:trHeight w:val="220"/>
          <w:jc w:val="center"/>
        </w:trPr>
        <w:tc>
          <w:tcPr>
            <w:tcW w:w="3632" w:type="dxa"/>
            <w:tcBorders>
              <w:top w:val="single" w:sz="4" w:space="0" w:color="000000"/>
              <w:left w:val="single" w:sz="4" w:space="0" w:color="000000"/>
              <w:bottom w:val="single" w:sz="4" w:space="0" w:color="000000"/>
              <w:right w:val="single" w:sz="4" w:space="0" w:color="000000"/>
            </w:tcBorders>
            <w:vAlign w:val="center"/>
          </w:tcPr>
          <w:p w14:paraId="29855028"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Actos administrativos relativos a vedas, emitidos por autoridades ambientales.</w:t>
            </w:r>
          </w:p>
        </w:tc>
        <w:tc>
          <w:tcPr>
            <w:tcW w:w="5271" w:type="dxa"/>
            <w:tcBorders>
              <w:top w:val="single" w:sz="4" w:space="0" w:color="000000"/>
              <w:left w:val="single" w:sz="4" w:space="0" w:color="000000"/>
              <w:bottom w:val="single" w:sz="4" w:space="0" w:color="000000"/>
              <w:right w:val="single" w:sz="4" w:space="0" w:color="000000"/>
            </w:tcBorders>
            <w:vAlign w:val="center"/>
          </w:tcPr>
          <w:p w14:paraId="7A60D0EA" w14:textId="77777777" w:rsidR="00274A8B" w:rsidRPr="004068F6" w:rsidRDefault="00274A8B" w:rsidP="00274A8B">
            <w:pPr>
              <w:numPr>
                <w:ilvl w:val="12"/>
                <w:numId w:val="0"/>
              </w:numPr>
              <w:tabs>
                <w:tab w:val="left" w:pos="-2268"/>
              </w:tabs>
              <w:suppressAutoHyphens/>
              <w:rPr>
                <w:rFonts w:cs="Arial"/>
                <w:sz w:val="20"/>
                <w:szCs w:val="20"/>
                <w:lang w:eastAsia="es-CO"/>
              </w:rPr>
            </w:pPr>
            <w:r w:rsidRPr="004068F6">
              <w:rPr>
                <w:rFonts w:cs="Arial"/>
                <w:sz w:val="20"/>
                <w:szCs w:val="20"/>
                <w:lang w:eastAsia="es-CO"/>
              </w:rPr>
              <w:t>Listados de especies vegetales con vedas en el ámbito regional.</w:t>
            </w:r>
          </w:p>
        </w:tc>
      </w:tr>
    </w:tbl>
    <w:p w14:paraId="652D1013" w14:textId="77777777" w:rsidR="00482A5F" w:rsidRPr="004068F6" w:rsidRDefault="00482A5F">
      <w:pPr>
        <w:numPr>
          <w:ilvl w:val="12"/>
          <w:numId w:val="0"/>
        </w:numPr>
        <w:tabs>
          <w:tab w:val="left" w:pos="-2268"/>
        </w:tabs>
        <w:suppressAutoHyphens/>
        <w:rPr>
          <w:spacing w:val="-3"/>
        </w:rPr>
      </w:pPr>
    </w:p>
    <w:p w14:paraId="0CCE927B" w14:textId="2CDBD40B" w:rsidR="00482A5F" w:rsidRPr="004068F6" w:rsidRDefault="008D3C2B">
      <w:pPr>
        <w:numPr>
          <w:ilvl w:val="12"/>
          <w:numId w:val="0"/>
        </w:numPr>
        <w:tabs>
          <w:tab w:val="left" w:pos="-2268"/>
        </w:tabs>
        <w:suppressAutoHyphens/>
        <w:rPr>
          <w:spacing w:val="-3"/>
        </w:rPr>
      </w:pPr>
      <w:r w:rsidRPr="004068F6">
        <w:rPr>
          <w:rFonts w:cs="Arial"/>
          <w:bCs/>
          <w:spacing w:val="-3"/>
        </w:rPr>
        <w:t xml:space="preserve">Para </w:t>
      </w:r>
      <w:r w:rsidR="00BD3A10" w:rsidRPr="004068F6">
        <w:rPr>
          <w:rFonts w:cs="Arial"/>
          <w:bCs/>
          <w:spacing w:val="-3"/>
        </w:rPr>
        <w:t xml:space="preserve">aquellas </w:t>
      </w:r>
      <w:r w:rsidRPr="004068F6">
        <w:rPr>
          <w:rFonts w:cs="Arial"/>
          <w:bCs/>
          <w:spacing w:val="-3"/>
        </w:rPr>
        <w:t xml:space="preserve">especies que se </w:t>
      </w:r>
      <w:r w:rsidR="00005EEE" w:rsidRPr="004068F6">
        <w:rPr>
          <w:rFonts w:cs="Arial"/>
          <w:bCs/>
          <w:spacing w:val="-3"/>
        </w:rPr>
        <w:t>prevé</w:t>
      </w:r>
      <w:r w:rsidRPr="004068F6">
        <w:rPr>
          <w:rFonts w:cs="Arial"/>
          <w:bCs/>
          <w:spacing w:val="-3"/>
        </w:rPr>
        <w:t xml:space="preserve"> pueden encontrarse en el </w:t>
      </w:r>
      <w:r w:rsidR="00D76220" w:rsidRPr="004068F6">
        <w:rPr>
          <w:rFonts w:cs="Arial"/>
          <w:bCs/>
          <w:spacing w:val="-3"/>
        </w:rPr>
        <w:t>área objeto de estudio</w:t>
      </w:r>
      <w:r w:rsidRPr="004068F6">
        <w:rPr>
          <w:rFonts w:cs="Arial"/>
          <w:bCs/>
          <w:spacing w:val="-3"/>
        </w:rPr>
        <w:t xml:space="preserve">, se debe buscar </w:t>
      </w:r>
      <w:r w:rsidR="00482A5F" w:rsidRPr="004068F6">
        <w:rPr>
          <w:rFonts w:cs="Arial"/>
          <w:bCs/>
          <w:spacing w:val="-3"/>
        </w:rPr>
        <w:t>información</w:t>
      </w:r>
      <w:r w:rsidR="00482A5F" w:rsidRPr="004068F6">
        <w:rPr>
          <w:spacing w:val="-3"/>
        </w:rPr>
        <w:t xml:space="preserve"> </w:t>
      </w:r>
      <w:r w:rsidR="00255BC6" w:rsidRPr="004068F6">
        <w:rPr>
          <w:spacing w:val="-3"/>
        </w:rPr>
        <w:t>relacionada con su</w:t>
      </w:r>
      <w:r w:rsidR="00255BC6" w:rsidRPr="004068F6">
        <w:rPr>
          <w:bCs/>
          <w:spacing w:val="-3"/>
        </w:rPr>
        <w:t xml:space="preserve"> categoría</w:t>
      </w:r>
      <w:r w:rsidR="00255BC6" w:rsidRPr="004068F6">
        <w:rPr>
          <w:spacing w:val="-3"/>
        </w:rPr>
        <w:t xml:space="preserve"> de amenaza, endemismo, veda u otras restricciones, así como sobre su ecología, en el caso de encontrarse disponible en la literatura</w:t>
      </w:r>
      <w:r w:rsidR="00482A5F" w:rsidRPr="004068F6">
        <w:rPr>
          <w:spacing w:val="-3"/>
        </w:rPr>
        <w:t>.</w:t>
      </w:r>
    </w:p>
    <w:p w14:paraId="6BD62989" w14:textId="77777777" w:rsidR="00482A5F" w:rsidRPr="004068F6" w:rsidRDefault="00482A5F">
      <w:pPr>
        <w:numPr>
          <w:ilvl w:val="12"/>
          <w:numId w:val="0"/>
        </w:numPr>
        <w:tabs>
          <w:tab w:val="left" w:pos="-2268"/>
        </w:tabs>
        <w:suppressAutoHyphens/>
        <w:rPr>
          <w:spacing w:val="-3"/>
        </w:rPr>
      </w:pPr>
    </w:p>
    <w:p w14:paraId="12045719" w14:textId="2E8046F2" w:rsidR="00482A5F" w:rsidRPr="004068F6" w:rsidRDefault="00482A5F" w:rsidP="00C86DA5">
      <w:pPr>
        <w:tabs>
          <w:tab w:val="left" w:pos="-2268"/>
        </w:tabs>
        <w:suppressAutoHyphens/>
        <w:rPr>
          <w:spacing w:val="-3"/>
        </w:rPr>
      </w:pPr>
      <w:r w:rsidRPr="004068F6">
        <w:rPr>
          <w:spacing w:val="-3"/>
        </w:rPr>
        <w:t>Preferiblemente, el muestreo para este tipo de vegetación se debe formular de forma tal</w:t>
      </w:r>
      <w:r w:rsidR="000806A6" w:rsidRPr="004068F6">
        <w:rPr>
          <w:spacing w:val="-3"/>
        </w:rPr>
        <w:t>,</w:t>
      </w:r>
      <w:r w:rsidRPr="004068F6">
        <w:rPr>
          <w:spacing w:val="-3"/>
        </w:rPr>
        <w:t xml:space="preserve"> que se</w:t>
      </w:r>
      <w:r w:rsidR="000806A6" w:rsidRPr="004068F6">
        <w:rPr>
          <w:spacing w:val="-3"/>
        </w:rPr>
        <w:t>a</w:t>
      </w:r>
      <w:r w:rsidRPr="004068F6">
        <w:rPr>
          <w:spacing w:val="-3"/>
        </w:rPr>
        <w:t xml:space="preserve"> </w:t>
      </w:r>
      <w:r w:rsidR="000806A6" w:rsidRPr="004068F6">
        <w:rPr>
          <w:spacing w:val="-3"/>
        </w:rPr>
        <w:t xml:space="preserve">posible </w:t>
      </w:r>
      <w:r w:rsidRPr="004068F6">
        <w:rPr>
          <w:spacing w:val="-3"/>
        </w:rPr>
        <w:t>desarroll</w:t>
      </w:r>
      <w:r w:rsidR="000806A6" w:rsidRPr="004068F6">
        <w:rPr>
          <w:spacing w:val="-3"/>
        </w:rPr>
        <w:t>arlo</w:t>
      </w:r>
      <w:r w:rsidRPr="004068F6">
        <w:rPr>
          <w:spacing w:val="-3"/>
        </w:rPr>
        <w:t xml:space="preserve"> </w:t>
      </w:r>
      <w:r w:rsidRPr="004068F6">
        <w:rPr>
          <w:rFonts w:cs="Arial"/>
          <w:spacing w:val="-3"/>
        </w:rPr>
        <w:t>paralelamente con el</w:t>
      </w:r>
      <w:r w:rsidRPr="004068F6">
        <w:rPr>
          <w:spacing w:val="-3"/>
        </w:rPr>
        <w:t xml:space="preserve"> muestreo que se establezca para caracterizar </w:t>
      </w:r>
      <w:r w:rsidR="004175FD" w:rsidRPr="004068F6">
        <w:rPr>
          <w:spacing w:val="-3"/>
        </w:rPr>
        <w:t>los ecosistemas</w:t>
      </w:r>
      <w:r w:rsidR="00037AC1" w:rsidRPr="004068F6">
        <w:rPr>
          <w:spacing w:val="-3"/>
        </w:rPr>
        <w:t xml:space="preserve"> </w:t>
      </w:r>
      <w:r w:rsidRPr="004068F6">
        <w:rPr>
          <w:spacing w:val="-3"/>
        </w:rPr>
        <w:t xml:space="preserve">previamente </w:t>
      </w:r>
      <w:r w:rsidR="00DE34D4" w:rsidRPr="004068F6">
        <w:rPr>
          <w:spacing w:val="-3"/>
        </w:rPr>
        <w:t>determina</w:t>
      </w:r>
      <w:r w:rsidRPr="004068F6">
        <w:rPr>
          <w:spacing w:val="-3"/>
        </w:rPr>
        <w:t>d</w:t>
      </w:r>
      <w:r w:rsidR="004175FD" w:rsidRPr="004068F6">
        <w:rPr>
          <w:spacing w:val="-3"/>
        </w:rPr>
        <w:t>o</w:t>
      </w:r>
      <w:r w:rsidRPr="004068F6">
        <w:rPr>
          <w:spacing w:val="-3"/>
        </w:rPr>
        <w:t>s, buscando emplear los mismos lugares de muestreo.</w:t>
      </w:r>
    </w:p>
    <w:p w14:paraId="4B8E03F7" w14:textId="77777777" w:rsidR="00482A5F" w:rsidRPr="004068F6" w:rsidRDefault="00482A5F">
      <w:pPr>
        <w:numPr>
          <w:ilvl w:val="12"/>
          <w:numId w:val="0"/>
        </w:numPr>
        <w:tabs>
          <w:tab w:val="left" w:pos="-2268"/>
        </w:tabs>
        <w:suppressAutoHyphens/>
        <w:rPr>
          <w:spacing w:val="-3"/>
        </w:rPr>
      </w:pPr>
    </w:p>
    <w:p w14:paraId="223B092D" w14:textId="3AEA3565" w:rsidR="00482A5F" w:rsidRPr="004068F6" w:rsidRDefault="00482A5F">
      <w:pPr>
        <w:tabs>
          <w:tab w:val="left" w:pos="-2268"/>
        </w:tabs>
        <w:suppressAutoHyphens/>
        <w:rPr>
          <w:spacing w:val="-3"/>
          <w:u w:val="single"/>
        </w:rPr>
      </w:pPr>
      <w:r w:rsidRPr="004068F6">
        <w:rPr>
          <w:spacing w:val="-3"/>
          <w:u w:val="single"/>
        </w:rPr>
        <w:lastRenderedPageBreak/>
        <w:t xml:space="preserve">Fase de </w:t>
      </w:r>
      <w:r w:rsidR="009D57C6" w:rsidRPr="004068F6">
        <w:rPr>
          <w:spacing w:val="-3"/>
          <w:u w:val="single"/>
        </w:rPr>
        <w:t>campo</w:t>
      </w:r>
      <w:r w:rsidRPr="004068F6">
        <w:rPr>
          <w:spacing w:val="-3"/>
          <w:u w:val="single"/>
        </w:rPr>
        <w:t>:</w:t>
      </w:r>
    </w:p>
    <w:p w14:paraId="4DDBD325" w14:textId="77777777" w:rsidR="00482A5F" w:rsidRPr="004068F6" w:rsidRDefault="00482A5F">
      <w:pPr>
        <w:numPr>
          <w:ilvl w:val="12"/>
          <w:numId w:val="0"/>
        </w:numPr>
        <w:tabs>
          <w:tab w:val="left" w:pos="-2268"/>
        </w:tabs>
        <w:suppressAutoHyphens/>
        <w:rPr>
          <w:spacing w:val="-3"/>
        </w:rPr>
      </w:pPr>
    </w:p>
    <w:p w14:paraId="4646797D" w14:textId="717E3B25" w:rsidR="00E25ED6" w:rsidRPr="004068F6" w:rsidRDefault="00E25ED6">
      <w:pPr>
        <w:numPr>
          <w:ilvl w:val="12"/>
          <w:numId w:val="0"/>
        </w:numPr>
        <w:tabs>
          <w:tab w:val="left" w:pos="-2268"/>
        </w:tabs>
        <w:suppressAutoHyphens/>
        <w:rPr>
          <w:spacing w:val="-3"/>
        </w:rPr>
      </w:pPr>
      <w:r w:rsidRPr="004068F6">
        <w:rPr>
          <w:spacing w:val="-3"/>
        </w:rPr>
        <w:t>Consiste en obtener información primaria sobre cada una de estas categorías de vegetación mediante las siguientes orientaciones:</w:t>
      </w:r>
    </w:p>
    <w:p w14:paraId="726F7F98" w14:textId="77777777" w:rsidR="00E25ED6" w:rsidRPr="004068F6" w:rsidRDefault="00E25ED6">
      <w:pPr>
        <w:numPr>
          <w:ilvl w:val="12"/>
          <w:numId w:val="0"/>
        </w:numPr>
        <w:tabs>
          <w:tab w:val="left" w:pos="-2268"/>
        </w:tabs>
        <w:suppressAutoHyphens/>
        <w:rPr>
          <w:spacing w:val="-3"/>
        </w:rPr>
      </w:pPr>
    </w:p>
    <w:p w14:paraId="05401D71" w14:textId="08628197" w:rsidR="00482A5F" w:rsidRPr="004068F6" w:rsidRDefault="00482A5F" w:rsidP="00C86DA5">
      <w:pPr>
        <w:pStyle w:val="Prrafodelista"/>
        <w:numPr>
          <w:ilvl w:val="0"/>
          <w:numId w:val="59"/>
        </w:numPr>
        <w:ind w:left="567" w:hanging="567"/>
        <w:jc w:val="left"/>
        <w:rPr>
          <w:rFonts w:cs="Arial"/>
          <w:spacing w:val="-3"/>
          <w:lang w:val="es-CO"/>
        </w:rPr>
      </w:pPr>
      <w:r w:rsidRPr="004068F6">
        <w:rPr>
          <w:rFonts w:cs="Arial"/>
          <w:spacing w:val="-3"/>
          <w:lang w:val="es-CO"/>
        </w:rPr>
        <w:t>Especies vasculares</w:t>
      </w:r>
      <w:r w:rsidR="00037AC1" w:rsidRPr="004068F6">
        <w:rPr>
          <w:rFonts w:cs="Arial"/>
          <w:spacing w:val="-3"/>
          <w:lang w:val="es-CO"/>
        </w:rPr>
        <w:t>,</w:t>
      </w:r>
      <w:r w:rsidRPr="004068F6">
        <w:rPr>
          <w:rFonts w:cs="Arial"/>
          <w:spacing w:val="-3"/>
          <w:lang w:val="es-CO"/>
        </w:rPr>
        <w:t xml:space="preserve"> no vasculares</w:t>
      </w:r>
      <w:r w:rsidR="00037AC1" w:rsidRPr="004068F6">
        <w:rPr>
          <w:rFonts w:cs="Arial"/>
          <w:spacing w:val="-3"/>
          <w:lang w:val="es-CO"/>
        </w:rPr>
        <w:t xml:space="preserve"> y líquenes de hábito</w:t>
      </w:r>
      <w:r w:rsidRPr="004068F6">
        <w:rPr>
          <w:rFonts w:cs="Arial"/>
          <w:spacing w:val="-3"/>
          <w:lang w:val="es-CO"/>
        </w:rPr>
        <w:t xml:space="preserve"> terrestre y rupíc</w:t>
      </w:r>
      <w:r w:rsidR="002116FC" w:rsidRPr="004068F6">
        <w:rPr>
          <w:rFonts w:cs="Arial"/>
          <w:spacing w:val="-3"/>
          <w:lang w:val="es-CO"/>
        </w:rPr>
        <w:t>o</w:t>
      </w:r>
      <w:r w:rsidRPr="004068F6">
        <w:rPr>
          <w:rFonts w:cs="Arial"/>
          <w:spacing w:val="-3"/>
          <w:lang w:val="es-CO"/>
        </w:rPr>
        <w:t>la</w:t>
      </w:r>
      <w:r w:rsidR="005D522A" w:rsidRPr="004068F6">
        <w:rPr>
          <w:rFonts w:cs="Arial"/>
          <w:spacing w:val="-3"/>
          <w:lang w:val="es-CO"/>
        </w:rPr>
        <w:t>.</w:t>
      </w:r>
    </w:p>
    <w:p w14:paraId="07B63A37" w14:textId="77777777" w:rsidR="00482A5F" w:rsidRPr="004068F6" w:rsidRDefault="00482A5F" w:rsidP="00482A5F">
      <w:pPr>
        <w:numPr>
          <w:ilvl w:val="12"/>
          <w:numId w:val="0"/>
        </w:numPr>
        <w:tabs>
          <w:tab w:val="left" w:pos="-2268"/>
        </w:tabs>
        <w:suppressAutoHyphens/>
        <w:rPr>
          <w:rFonts w:cs="Arial"/>
          <w:spacing w:val="-3"/>
        </w:rPr>
      </w:pPr>
    </w:p>
    <w:p w14:paraId="5E687E82" w14:textId="46123E4B" w:rsidR="00350D3E" w:rsidRPr="004068F6" w:rsidRDefault="001C196E" w:rsidP="00C86DA5">
      <w:pPr>
        <w:numPr>
          <w:ilvl w:val="12"/>
          <w:numId w:val="0"/>
        </w:numPr>
        <w:tabs>
          <w:tab w:val="left" w:pos="-2268"/>
        </w:tabs>
        <w:suppressAutoHyphens/>
        <w:ind w:left="567"/>
        <w:rPr>
          <w:spacing w:val="-3"/>
        </w:rPr>
      </w:pPr>
      <w:r w:rsidRPr="004068F6">
        <w:rPr>
          <w:spacing w:val="-3"/>
        </w:rPr>
        <w:t xml:space="preserve">Para la caracterización de </w:t>
      </w:r>
      <w:r w:rsidR="001B71E7" w:rsidRPr="004068F6">
        <w:rPr>
          <w:spacing w:val="-3"/>
        </w:rPr>
        <w:t>plantas</w:t>
      </w:r>
      <w:r w:rsidRPr="004068F6">
        <w:rPr>
          <w:spacing w:val="-3"/>
        </w:rPr>
        <w:t xml:space="preserve"> no arbórea</w:t>
      </w:r>
      <w:r w:rsidR="001B71E7" w:rsidRPr="004068F6">
        <w:rPr>
          <w:spacing w:val="-3"/>
        </w:rPr>
        <w:t>s</w:t>
      </w:r>
      <w:r w:rsidR="007903DF" w:rsidRPr="004068F6">
        <w:rPr>
          <w:spacing w:val="-3"/>
        </w:rPr>
        <w:t xml:space="preserve"> que habitan en sustratos terrestres (</w:t>
      </w:r>
      <w:r w:rsidR="00255AF6" w:rsidRPr="004068F6">
        <w:rPr>
          <w:spacing w:val="-3"/>
        </w:rPr>
        <w:t xml:space="preserve">que incluye humícolas, </w:t>
      </w:r>
      <w:r w:rsidR="007903DF" w:rsidRPr="004068F6">
        <w:rPr>
          <w:spacing w:val="-3"/>
        </w:rPr>
        <w:t>p. ej. suelo, troncos en descomposición, hojarasca, rocas)</w:t>
      </w:r>
      <w:r w:rsidRPr="004068F6">
        <w:rPr>
          <w:spacing w:val="-3"/>
        </w:rPr>
        <w:t>, debe implementarse un diseño muestral representativo</w:t>
      </w:r>
      <w:r w:rsidR="00B001A6" w:rsidRPr="00127BD4">
        <w:rPr>
          <w:rStyle w:val="Refdenotaalpie"/>
          <w:spacing w:val="-3"/>
          <w:lang w:val="es-CO"/>
        </w:rPr>
        <w:footnoteReference w:id="148"/>
      </w:r>
      <w:r w:rsidRPr="004068F6">
        <w:rPr>
          <w:spacing w:val="-3"/>
        </w:rPr>
        <w:t xml:space="preserve"> para los ecosistemas del área </w:t>
      </w:r>
      <w:r w:rsidR="000F2C89" w:rsidRPr="004068F6">
        <w:rPr>
          <w:spacing w:val="-3"/>
        </w:rPr>
        <w:t>objeto de estudio</w:t>
      </w:r>
      <w:r w:rsidR="0029675B" w:rsidRPr="004068F6">
        <w:rPr>
          <w:spacing w:val="-3"/>
        </w:rPr>
        <w:t>;</w:t>
      </w:r>
      <w:r w:rsidRPr="004068F6">
        <w:rPr>
          <w:spacing w:val="-3"/>
        </w:rPr>
        <w:t xml:space="preserve"> </w:t>
      </w:r>
      <w:r w:rsidR="00350D3E" w:rsidRPr="004068F6">
        <w:rPr>
          <w:spacing w:val="-3"/>
        </w:rPr>
        <w:t>Frahm et al. (2003) recomiendan implementar un muestreo sistemático por tipo de hábitat (p. ej. bosque, vegetación secundaria, pastos) que permita estimar la composición, abundancia y riqueza de los diversos sustratos terrestres de los ecosistemas.</w:t>
      </w:r>
    </w:p>
    <w:p w14:paraId="20B21C93" w14:textId="77777777" w:rsidR="00350D3E" w:rsidRPr="004068F6" w:rsidRDefault="00350D3E" w:rsidP="003351A6">
      <w:pPr>
        <w:numPr>
          <w:ilvl w:val="12"/>
          <w:numId w:val="0"/>
        </w:numPr>
        <w:tabs>
          <w:tab w:val="left" w:pos="-2268"/>
        </w:tabs>
        <w:suppressAutoHyphens/>
        <w:rPr>
          <w:spacing w:val="-3"/>
        </w:rPr>
      </w:pPr>
    </w:p>
    <w:p w14:paraId="06E6C3F8" w14:textId="37C22FF2" w:rsidR="001C196E" w:rsidRPr="004068F6" w:rsidRDefault="00EF48F0" w:rsidP="00C86DA5">
      <w:pPr>
        <w:numPr>
          <w:ilvl w:val="12"/>
          <w:numId w:val="0"/>
        </w:numPr>
        <w:tabs>
          <w:tab w:val="left" w:pos="-2268"/>
        </w:tabs>
        <w:suppressAutoHyphens/>
        <w:ind w:left="567"/>
        <w:rPr>
          <w:spacing w:val="-3"/>
        </w:rPr>
      </w:pPr>
      <w:r w:rsidRPr="004068F6">
        <w:rPr>
          <w:spacing w:val="-3"/>
        </w:rPr>
        <w:t>C</w:t>
      </w:r>
      <w:r w:rsidR="007903DF" w:rsidRPr="004068F6">
        <w:rPr>
          <w:spacing w:val="-3"/>
        </w:rPr>
        <w:t xml:space="preserve">on este fin </w:t>
      </w:r>
      <w:r w:rsidR="0029675B" w:rsidRPr="004068F6">
        <w:rPr>
          <w:spacing w:val="-3"/>
        </w:rPr>
        <w:t>e</w:t>
      </w:r>
      <w:r w:rsidR="001C196E" w:rsidRPr="004068F6">
        <w:rPr>
          <w:spacing w:val="-3"/>
        </w:rPr>
        <w:t xml:space="preserve">s posible desarrollar </w:t>
      </w:r>
      <w:r w:rsidR="007903DF" w:rsidRPr="004068F6">
        <w:rPr>
          <w:spacing w:val="-3"/>
        </w:rPr>
        <w:t xml:space="preserve">un </w:t>
      </w:r>
      <w:r w:rsidR="0029675B" w:rsidRPr="004068F6">
        <w:rPr>
          <w:spacing w:val="-3"/>
        </w:rPr>
        <w:t xml:space="preserve">muestreo mediante parcelas de 1 </w:t>
      </w:r>
      <w:r w:rsidR="00B001A6" w:rsidRPr="004068F6">
        <w:rPr>
          <w:spacing w:val="-3"/>
        </w:rPr>
        <w:t xml:space="preserve">m </w:t>
      </w:r>
      <w:r w:rsidR="0029675B" w:rsidRPr="004068F6">
        <w:rPr>
          <w:spacing w:val="-3"/>
        </w:rPr>
        <w:t xml:space="preserve">x 1 </w:t>
      </w:r>
      <w:r w:rsidR="00B001A6" w:rsidRPr="004068F6">
        <w:rPr>
          <w:spacing w:val="-3"/>
        </w:rPr>
        <w:t xml:space="preserve">m </w:t>
      </w:r>
      <w:r w:rsidR="007903DF" w:rsidRPr="004068F6">
        <w:rPr>
          <w:spacing w:val="-3"/>
        </w:rPr>
        <w:t xml:space="preserve">adaptando </w:t>
      </w:r>
      <w:r w:rsidR="001C196E" w:rsidRPr="004068F6">
        <w:rPr>
          <w:spacing w:val="-3"/>
        </w:rPr>
        <w:t>l</w:t>
      </w:r>
      <w:r w:rsidR="007903DF" w:rsidRPr="004068F6">
        <w:rPr>
          <w:spacing w:val="-3"/>
        </w:rPr>
        <w:t>a</w:t>
      </w:r>
      <w:r w:rsidR="001C196E" w:rsidRPr="004068F6">
        <w:rPr>
          <w:spacing w:val="-3"/>
        </w:rPr>
        <w:t xml:space="preserve"> propuest</w:t>
      </w:r>
      <w:r w:rsidR="007903DF" w:rsidRPr="004068F6">
        <w:rPr>
          <w:spacing w:val="-3"/>
        </w:rPr>
        <w:t>a</w:t>
      </w:r>
      <w:r w:rsidR="001C196E" w:rsidRPr="004068F6">
        <w:rPr>
          <w:spacing w:val="-3"/>
        </w:rPr>
        <w:t xml:space="preserve"> </w:t>
      </w:r>
      <w:r w:rsidR="007903DF" w:rsidRPr="004068F6">
        <w:rPr>
          <w:spacing w:val="-3"/>
        </w:rPr>
        <w:t xml:space="preserve">desarrollada </w:t>
      </w:r>
      <w:r w:rsidR="001C196E" w:rsidRPr="004068F6">
        <w:rPr>
          <w:spacing w:val="-3"/>
        </w:rPr>
        <w:t>por Gentry (1982)</w:t>
      </w:r>
      <w:r w:rsidRPr="004068F6">
        <w:rPr>
          <w:spacing w:val="-3"/>
        </w:rPr>
        <w:t>, o bien, establecer e</w:t>
      </w:r>
      <w:r w:rsidR="001C196E" w:rsidRPr="004068F6">
        <w:rPr>
          <w:spacing w:val="-3"/>
        </w:rPr>
        <w:t xml:space="preserve">l tamaño </w:t>
      </w:r>
      <w:r w:rsidR="00ED5EE2" w:rsidRPr="004068F6">
        <w:rPr>
          <w:spacing w:val="-3"/>
        </w:rPr>
        <w:t xml:space="preserve">y cantidad </w:t>
      </w:r>
      <w:r w:rsidR="001C196E" w:rsidRPr="004068F6">
        <w:rPr>
          <w:spacing w:val="-3"/>
        </w:rPr>
        <w:t>de parcela</w:t>
      </w:r>
      <w:r w:rsidR="00ED5EE2" w:rsidRPr="004068F6">
        <w:rPr>
          <w:spacing w:val="-3"/>
        </w:rPr>
        <w:t>s</w:t>
      </w:r>
      <w:r w:rsidR="001C196E" w:rsidRPr="004068F6">
        <w:rPr>
          <w:spacing w:val="-3"/>
        </w:rPr>
        <w:t xml:space="preserve"> de muestreo </w:t>
      </w:r>
      <w:r w:rsidR="00E27CD6" w:rsidRPr="004068F6">
        <w:rPr>
          <w:spacing w:val="-3"/>
        </w:rPr>
        <w:t xml:space="preserve">demostrando </w:t>
      </w:r>
      <w:r w:rsidR="005B6C92" w:rsidRPr="004068F6">
        <w:rPr>
          <w:spacing w:val="-3"/>
        </w:rPr>
        <w:t xml:space="preserve">su </w:t>
      </w:r>
      <w:r w:rsidR="00E27CD6" w:rsidRPr="004068F6">
        <w:rPr>
          <w:spacing w:val="-3"/>
        </w:rPr>
        <w:t xml:space="preserve">representatividad </w:t>
      </w:r>
      <w:r w:rsidR="00B8616B" w:rsidRPr="004068F6">
        <w:rPr>
          <w:spacing w:val="-3"/>
        </w:rPr>
        <w:t xml:space="preserve">y </w:t>
      </w:r>
      <w:r w:rsidRPr="004068F6">
        <w:rPr>
          <w:spacing w:val="-3"/>
        </w:rPr>
        <w:t>teniendo en cuenta que l</w:t>
      </w:r>
      <w:r w:rsidR="001C196E" w:rsidRPr="004068F6">
        <w:rPr>
          <w:spacing w:val="-3"/>
        </w:rPr>
        <w:t xml:space="preserve">a forma </w:t>
      </w:r>
      <w:r w:rsidR="00FD3B16" w:rsidRPr="004068F6">
        <w:rPr>
          <w:spacing w:val="-3"/>
        </w:rPr>
        <w:t>de la</w:t>
      </w:r>
      <w:r w:rsidRPr="004068F6">
        <w:rPr>
          <w:spacing w:val="-3"/>
        </w:rPr>
        <w:t>s</w:t>
      </w:r>
      <w:r w:rsidR="00FD3B16" w:rsidRPr="004068F6">
        <w:rPr>
          <w:spacing w:val="-3"/>
        </w:rPr>
        <w:t xml:space="preserve"> parcela</w:t>
      </w:r>
      <w:r w:rsidRPr="004068F6">
        <w:rPr>
          <w:spacing w:val="-3"/>
        </w:rPr>
        <w:t>s</w:t>
      </w:r>
      <w:r w:rsidR="00FD3B16" w:rsidRPr="004068F6">
        <w:rPr>
          <w:spacing w:val="-3"/>
        </w:rPr>
        <w:t xml:space="preserve"> debe definirse según </w:t>
      </w:r>
      <w:r w:rsidR="001C196E" w:rsidRPr="004068F6">
        <w:rPr>
          <w:spacing w:val="-3"/>
        </w:rPr>
        <w:t xml:space="preserve">la topografía </w:t>
      </w:r>
      <w:r w:rsidR="006D022F" w:rsidRPr="004068F6">
        <w:rPr>
          <w:spacing w:val="-3"/>
        </w:rPr>
        <w:t>del terreno</w:t>
      </w:r>
      <w:r w:rsidR="001C196E" w:rsidRPr="004068F6">
        <w:rPr>
          <w:spacing w:val="-3"/>
        </w:rPr>
        <w:t xml:space="preserve">. </w:t>
      </w:r>
      <w:r w:rsidRPr="004068F6">
        <w:rPr>
          <w:spacing w:val="-3"/>
        </w:rPr>
        <w:t>Asimismo, p</w:t>
      </w:r>
      <w:r w:rsidR="001C196E" w:rsidRPr="004068F6">
        <w:rPr>
          <w:spacing w:val="-3"/>
        </w:rPr>
        <w:t xml:space="preserve">ara </w:t>
      </w:r>
      <w:r w:rsidR="00FD3B16" w:rsidRPr="004068F6">
        <w:rPr>
          <w:spacing w:val="-3"/>
        </w:rPr>
        <w:t xml:space="preserve">la caracterización de </w:t>
      </w:r>
      <w:r w:rsidR="001C196E" w:rsidRPr="004068F6">
        <w:rPr>
          <w:spacing w:val="-3"/>
        </w:rPr>
        <w:t xml:space="preserve">estos sustratos </w:t>
      </w:r>
      <w:r w:rsidR="00FD3B16" w:rsidRPr="004068F6">
        <w:rPr>
          <w:spacing w:val="-3"/>
        </w:rPr>
        <w:t xml:space="preserve">es posible emplear </w:t>
      </w:r>
      <w:r w:rsidR="00ED5EE2" w:rsidRPr="004068F6">
        <w:rPr>
          <w:spacing w:val="-3"/>
        </w:rPr>
        <w:t xml:space="preserve">la estrategia de muestreo para hábitos terrestres del </w:t>
      </w:r>
      <w:r w:rsidR="00FD3B16" w:rsidRPr="004068F6">
        <w:rPr>
          <w:spacing w:val="-3"/>
        </w:rPr>
        <w:t xml:space="preserve">Análisis Rápido y Representativo de la Diversidad de Epífitas </w:t>
      </w:r>
      <w:r w:rsidR="001C196E" w:rsidRPr="004068F6">
        <w:rPr>
          <w:spacing w:val="-3"/>
        </w:rPr>
        <w:t>(RRED-analysis) propuesto por Gradstein et al. (2003)</w:t>
      </w:r>
      <w:r w:rsidR="00FD3B16" w:rsidRPr="004068F6">
        <w:rPr>
          <w:spacing w:val="-3"/>
        </w:rPr>
        <w:t xml:space="preserve"> </w:t>
      </w:r>
      <w:r w:rsidR="00ED5EE2" w:rsidRPr="004068F6">
        <w:rPr>
          <w:spacing w:val="-3"/>
        </w:rPr>
        <w:t>o</w:t>
      </w:r>
      <w:r w:rsidR="00FD3B16" w:rsidRPr="004068F6">
        <w:rPr>
          <w:spacing w:val="-3"/>
        </w:rPr>
        <w:t xml:space="preserve"> el método desarrollado por </w:t>
      </w:r>
      <w:r w:rsidR="001C196E" w:rsidRPr="004068F6">
        <w:rPr>
          <w:spacing w:val="-3"/>
        </w:rPr>
        <w:t>Wolf (1993).</w:t>
      </w:r>
    </w:p>
    <w:p w14:paraId="4E615727" w14:textId="77777777" w:rsidR="00EF48F0" w:rsidRPr="004068F6" w:rsidRDefault="00EF48F0" w:rsidP="003351A6">
      <w:pPr>
        <w:numPr>
          <w:ilvl w:val="12"/>
          <w:numId w:val="0"/>
        </w:numPr>
        <w:tabs>
          <w:tab w:val="left" w:pos="-2268"/>
        </w:tabs>
        <w:suppressAutoHyphens/>
        <w:rPr>
          <w:spacing w:val="-3"/>
        </w:rPr>
      </w:pPr>
    </w:p>
    <w:p w14:paraId="6120D073" w14:textId="079A02ED" w:rsidR="00EF48F0" w:rsidRPr="004068F6" w:rsidRDefault="00EF48F0" w:rsidP="00EF48F0">
      <w:pPr>
        <w:numPr>
          <w:ilvl w:val="12"/>
          <w:numId w:val="0"/>
        </w:numPr>
        <w:tabs>
          <w:tab w:val="left" w:pos="-2268"/>
        </w:tabs>
        <w:suppressAutoHyphens/>
        <w:ind w:left="567"/>
        <w:rPr>
          <w:spacing w:val="-3"/>
        </w:rPr>
      </w:pPr>
      <w:r w:rsidRPr="004068F6">
        <w:rPr>
          <w:spacing w:val="-3"/>
        </w:rPr>
        <w:t>El muestreo para las especies de briofitos y líquenes debe definir tanto el tamaño de la plantilla a utilizar (en cm</w:t>
      </w:r>
      <w:r w:rsidRPr="004068F6">
        <w:rPr>
          <w:spacing w:val="-3"/>
          <w:vertAlign w:val="superscript"/>
        </w:rPr>
        <w:t>2</w:t>
      </w:r>
      <w:r w:rsidRPr="004068F6">
        <w:rPr>
          <w:spacing w:val="-3"/>
        </w:rPr>
        <w:t>) como la cantidad de repeticiones; para ello, puede emplearse como referencia el método planteado por Iwatsuki (1960).</w:t>
      </w:r>
    </w:p>
    <w:p w14:paraId="37FC8BF1" w14:textId="77777777" w:rsidR="00C2642C" w:rsidRPr="004068F6" w:rsidRDefault="00C2642C" w:rsidP="003351A6">
      <w:pPr>
        <w:numPr>
          <w:ilvl w:val="12"/>
          <w:numId w:val="0"/>
        </w:numPr>
        <w:tabs>
          <w:tab w:val="left" w:pos="-2268"/>
        </w:tabs>
        <w:suppressAutoHyphens/>
      </w:pPr>
    </w:p>
    <w:p w14:paraId="5635861A" w14:textId="2FB637CC" w:rsidR="00C2642C" w:rsidRPr="004068F6" w:rsidRDefault="002B4B75" w:rsidP="00C86DA5">
      <w:pPr>
        <w:numPr>
          <w:ilvl w:val="12"/>
          <w:numId w:val="0"/>
        </w:numPr>
        <w:tabs>
          <w:tab w:val="left" w:pos="-2268"/>
        </w:tabs>
        <w:suppressAutoHyphens/>
        <w:ind w:left="567"/>
        <w:rPr>
          <w:spacing w:val="-3"/>
        </w:rPr>
      </w:pPr>
      <w:r w:rsidRPr="004068F6">
        <w:t>El procedimiento de caracterización para este grupo de especies adicionalmente debe permitir la recolección de información para cada una de las unidades de muestreo sobre</w:t>
      </w:r>
      <w:r w:rsidR="00AF1405" w:rsidRPr="004068F6">
        <w:t xml:space="preserve"> su</w:t>
      </w:r>
      <w:r w:rsidRPr="004068F6">
        <w:t xml:space="preserve"> localización (georreferenciada), </w:t>
      </w:r>
      <w:r w:rsidR="00C2642C" w:rsidRPr="004068F6">
        <w:t xml:space="preserve">tipo de sustrato, </w:t>
      </w:r>
      <w:r w:rsidR="00DA1C39" w:rsidRPr="004068F6">
        <w:t>y</w:t>
      </w:r>
      <w:r w:rsidR="00DA1C39" w:rsidRPr="004068F6" w:rsidDel="00DA1C39">
        <w:t xml:space="preserve"> </w:t>
      </w:r>
      <w:r w:rsidR="00C2642C" w:rsidRPr="004068F6">
        <w:t>parámetros que sean clave para comprender el estructura y funcionalidad de estas especies en los ecosistemas de interés.</w:t>
      </w:r>
    </w:p>
    <w:p w14:paraId="6CA17770" w14:textId="77777777" w:rsidR="00482A5F" w:rsidRPr="004068F6" w:rsidRDefault="00482A5F">
      <w:pPr>
        <w:numPr>
          <w:ilvl w:val="12"/>
          <w:numId w:val="0"/>
        </w:numPr>
        <w:tabs>
          <w:tab w:val="left" w:pos="-2268"/>
        </w:tabs>
        <w:suppressAutoHyphens/>
        <w:rPr>
          <w:spacing w:val="-3"/>
        </w:rPr>
      </w:pPr>
    </w:p>
    <w:p w14:paraId="096FF50F" w14:textId="6B88A65C" w:rsidR="00482A5F" w:rsidRPr="004068F6" w:rsidRDefault="00482A5F" w:rsidP="00C86DA5">
      <w:pPr>
        <w:pStyle w:val="Prrafodelista"/>
        <w:numPr>
          <w:ilvl w:val="0"/>
          <w:numId w:val="59"/>
        </w:numPr>
        <w:ind w:left="567" w:hanging="567"/>
        <w:jc w:val="left"/>
        <w:rPr>
          <w:rFonts w:cs="Arial"/>
          <w:spacing w:val="-3"/>
          <w:lang w:val="es-CO"/>
        </w:rPr>
      </w:pPr>
      <w:r w:rsidRPr="004068F6">
        <w:rPr>
          <w:rFonts w:cs="Arial"/>
          <w:spacing w:val="-3"/>
          <w:lang w:val="es-CO"/>
        </w:rPr>
        <w:t>Especies vasculares</w:t>
      </w:r>
      <w:r w:rsidR="00C548F3" w:rsidRPr="004068F6">
        <w:rPr>
          <w:rFonts w:cs="Arial"/>
          <w:spacing w:val="-3"/>
          <w:lang w:val="es-CO"/>
        </w:rPr>
        <w:t>,</w:t>
      </w:r>
      <w:r w:rsidRPr="004068F6">
        <w:rPr>
          <w:rFonts w:cs="Arial"/>
          <w:spacing w:val="-3"/>
          <w:lang w:val="es-CO"/>
        </w:rPr>
        <w:t xml:space="preserve"> no vasculares </w:t>
      </w:r>
      <w:r w:rsidR="00C548F3" w:rsidRPr="004068F6">
        <w:rPr>
          <w:rFonts w:cs="Arial"/>
          <w:spacing w:val="-3"/>
          <w:lang w:val="es-CO"/>
        </w:rPr>
        <w:t xml:space="preserve">y líquenes de hábito </w:t>
      </w:r>
      <w:r w:rsidRPr="004068F6">
        <w:rPr>
          <w:rFonts w:cs="Arial"/>
          <w:spacing w:val="-3"/>
          <w:lang w:val="es-CO"/>
        </w:rPr>
        <w:t>ep</w:t>
      </w:r>
      <w:r w:rsidR="003B3D0E" w:rsidRPr="004068F6">
        <w:rPr>
          <w:rFonts w:cs="Arial"/>
          <w:spacing w:val="-3"/>
          <w:lang w:val="es-CO"/>
        </w:rPr>
        <w:t>í</w:t>
      </w:r>
      <w:r w:rsidRPr="004068F6">
        <w:rPr>
          <w:rFonts w:cs="Arial"/>
          <w:spacing w:val="-3"/>
          <w:lang w:val="es-CO"/>
        </w:rPr>
        <w:t>fit</w:t>
      </w:r>
      <w:r w:rsidR="00C548F3" w:rsidRPr="004068F6">
        <w:rPr>
          <w:rFonts w:cs="Arial"/>
          <w:spacing w:val="-3"/>
          <w:lang w:val="es-CO"/>
        </w:rPr>
        <w:t>o</w:t>
      </w:r>
      <w:r w:rsidRPr="004068F6">
        <w:rPr>
          <w:rFonts w:cs="Arial"/>
          <w:spacing w:val="-3"/>
          <w:lang w:val="es-CO"/>
        </w:rPr>
        <w:t>.</w:t>
      </w:r>
    </w:p>
    <w:p w14:paraId="2718ED2F" w14:textId="77777777" w:rsidR="00482A5F" w:rsidRPr="004068F6" w:rsidRDefault="00482A5F" w:rsidP="00C86DA5">
      <w:pPr>
        <w:tabs>
          <w:tab w:val="left" w:pos="-2268"/>
        </w:tabs>
        <w:suppressAutoHyphens/>
        <w:rPr>
          <w:spacing w:val="-3"/>
        </w:rPr>
      </w:pPr>
    </w:p>
    <w:p w14:paraId="09E1A5E0" w14:textId="307EDBA2" w:rsidR="00EA2644" w:rsidRPr="004068F6" w:rsidRDefault="000E6D94" w:rsidP="00C86DA5">
      <w:pPr>
        <w:numPr>
          <w:ilvl w:val="12"/>
          <w:numId w:val="0"/>
        </w:numPr>
        <w:tabs>
          <w:tab w:val="left" w:pos="-2268"/>
        </w:tabs>
        <w:suppressAutoHyphens/>
        <w:ind w:left="567"/>
        <w:rPr>
          <w:rFonts w:cs="Arial"/>
          <w:spacing w:val="-3"/>
        </w:rPr>
      </w:pPr>
      <w:r w:rsidRPr="004068F6">
        <w:rPr>
          <w:spacing w:val="-3"/>
        </w:rPr>
        <w:t>E</w:t>
      </w:r>
      <w:r w:rsidR="00B876CD" w:rsidRPr="004068F6">
        <w:rPr>
          <w:spacing w:val="-3"/>
        </w:rPr>
        <w:t xml:space="preserve">s posible </w:t>
      </w:r>
      <w:r w:rsidR="00482A5F" w:rsidRPr="004068F6">
        <w:rPr>
          <w:spacing w:val="-3"/>
        </w:rPr>
        <w:t xml:space="preserve">utilizar el Análisis Rápido y Representativo de la Diversidad de Epífitas (RRED-analysis) propuesto por Gradstein </w:t>
      </w:r>
      <w:r w:rsidR="00482A5F" w:rsidRPr="004068F6">
        <w:rPr>
          <w:iCs/>
          <w:spacing w:val="-3"/>
        </w:rPr>
        <w:t>et al.</w:t>
      </w:r>
      <w:r w:rsidR="00482A5F" w:rsidRPr="004068F6">
        <w:rPr>
          <w:i/>
          <w:spacing w:val="-3"/>
        </w:rPr>
        <w:t xml:space="preserve"> </w:t>
      </w:r>
      <w:r w:rsidR="00482A5F" w:rsidRPr="004068F6">
        <w:rPr>
          <w:spacing w:val="-3"/>
        </w:rPr>
        <w:t>(2003)</w:t>
      </w:r>
      <w:r w:rsidR="00005EEE" w:rsidRPr="004068F6">
        <w:rPr>
          <w:rFonts w:cs="Arial"/>
          <w:spacing w:val="-3"/>
        </w:rPr>
        <w:t xml:space="preserve">; </w:t>
      </w:r>
      <w:r w:rsidR="00C548F3" w:rsidRPr="004068F6">
        <w:rPr>
          <w:rFonts w:cs="Arial"/>
          <w:spacing w:val="-3"/>
        </w:rPr>
        <w:t>asimismo, es posible emplear cualquiera de los métodos señal</w:t>
      </w:r>
      <w:r w:rsidR="00EA2644" w:rsidRPr="004068F6">
        <w:rPr>
          <w:rFonts w:cs="Arial"/>
          <w:spacing w:val="-3"/>
        </w:rPr>
        <w:t>a</w:t>
      </w:r>
      <w:r w:rsidR="00C548F3" w:rsidRPr="004068F6">
        <w:rPr>
          <w:rFonts w:cs="Arial"/>
          <w:spacing w:val="-3"/>
        </w:rPr>
        <w:t xml:space="preserve">dos en la revisión de Burns &amp; Zotz </w:t>
      </w:r>
      <w:r w:rsidR="00C548F3" w:rsidRPr="004068F6">
        <w:rPr>
          <w:rFonts w:cs="Arial"/>
          <w:spacing w:val="-3"/>
        </w:rPr>
        <w:lastRenderedPageBreak/>
        <w:t>(2010) y Mendieta-Leiva &amp; Zotz (2015)</w:t>
      </w:r>
      <w:r w:rsidR="00EA2644" w:rsidRPr="004068F6">
        <w:rPr>
          <w:rFonts w:cs="Arial"/>
          <w:spacing w:val="-3"/>
        </w:rPr>
        <w:t>. E</w:t>
      </w:r>
      <w:r w:rsidR="00005EEE" w:rsidRPr="004068F6">
        <w:rPr>
          <w:rFonts w:cs="Arial"/>
          <w:spacing w:val="-3"/>
        </w:rPr>
        <w:t>n todo caso</w:t>
      </w:r>
      <w:r w:rsidR="00482A5F" w:rsidRPr="004068F6">
        <w:rPr>
          <w:rFonts w:cs="Arial"/>
          <w:spacing w:val="-3"/>
        </w:rPr>
        <w:t xml:space="preserve">, el </w:t>
      </w:r>
      <w:r w:rsidR="00005EEE" w:rsidRPr="004068F6">
        <w:rPr>
          <w:rFonts w:cs="Arial"/>
          <w:spacing w:val="-3"/>
        </w:rPr>
        <w:t xml:space="preserve">método que se emplee </w:t>
      </w:r>
      <w:r w:rsidR="00482A5F" w:rsidRPr="004068F6">
        <w:rPr>
          <w:rFonts w:cs="Arial"/>
          <w:spacing w:val="-3"/>
        </w:rPr>
        <w:t xml:space="preserve">debe estar soportado </w:t>
      </w:r>
      <w:r w:rsidR="00005EEE" w:rsidRPr="004068F6">
        <w:rPr>
          <w:rFonts w:cs="Arial"/>
          <w:spacing w:val="-3"/>
        </w:rPr>
        <w:t>estadísticamente</w:t>
      </w:r>
      <w:r w:rsidR="00EA2644" w:rsidRPr="004068F6">
        <w:rPr>
          <w:rFonts w:cs="Arial"/>
        </w:rPr>
        <w:t xml:space="preserve">, </w:t>
      </w:r>
      <w:r w:rsidR="00005EEE" w:rsidRPr="004068F6">
        <w:rPr>
          <w:rFonts w:cs="Arial"/>
          <w:spacing w:val="-3"/>
        </w:rPr>
        <w:t xml:space="preserve">permitir la obtención de información representativa </w:t>
      </w:r>
      <w:r w:rsidR="00EA2644" w:rsidRPr="004068F6">
        <w:rPr>
          <w:rFonts w:cs="Arial"/>
          <w:spacing w:val="-3"/>
        </w:rPr>
        <w:t xml:space="preserve">para el área estudiada y </w:t>
      </w:r>
      <w:r w:rsidR="00981428" w:rsidRPr="004068F6">
        <w:rPr>
          <w:rFonts w:cs="Arial"/>
          <w:spacing w:val="-3"/>
        </w:rPr>
        <w:t>posibilitar chequear su capacidad de caracteriza</w:t>
      </w:r>
      <w:r w:rsidR="004777C4" w:rsidRPr="004068F6">
        <w:rPr>
          <w:rFonts w:cs="Arial"/>
          <w:spacing w:val="-3"/>
        </w:rPr>
        <w:t xml:space="preserve">ción de </w:t>
      </w:r>
      <w:r w:rsidR="00EA2644" w:rsidRPr="004068F6">
        <w:rPr>
          <w:rFonts w:cs="Arial"/>
          <w:spacing w:val="-3"/>
        </w:rPr>
        <w:t xml:space="preserve">riqueza </w:t>
      </w:r>
      <w:r w:rsidR="00981428" w:rsidRPr="004068F6">
        <w:rPr>
          <w:rFonts w:cs="Arial"/>
          <w:spacing w:val="-3"/>
        </w:rPr>
        <w:t xml:space="preserve">a partir </w:t>
      </w:r>
      <w:r w:rsidR="002F4EE6" w:rsidRPr="004068F6">
        <w:rPr>
          <w:rFonts w:cs="Arial"/>
          <w:spacing w:val="-3"/>
        </w:rPr>
        <w:t xml:space="preserve">del análisis de rarefacción con extrapolación o </w:t>
      </w:r>
      <w:r w:rsidR="00981428" w:rsidRPr="004068F6">
        <w:rPr>
          <w:rFonts w:cs="Arial"/>
          <w:spacing w:val="-3"/>
        </w:rPr>
        <w:t xml:space="preserve">de </w:t>
      </w:r>
      <w:r w:rsidR="00EA2644" w:rsidRPr="004068F6">
        <w:rPr>
          <w:rFonts w:cs="Arial"/>
          <w:spacing w:val="-3"/>
        </w:rPr>
        <w:t xml:space="preserve">la </w:t>
      </w:r>
      <w:r w:rsidR="00981428" w:rsidRPr="004068F6">
        <w:rPr>
          <w:rFonts w:cs="Arial"/>
          <w:spacing w:val="-3"/>
        </w:rPr>
        <w:t xml:space="preserve">comparación de la </w:t>
      </w:r>
      <w:r w:rsidR="00EA2644" w:rsidRPr="004068F6">
        <w:rPr>
          <w:rFonts w:cs="Arial"/>
          <w:spacing w:val="-3"/>
        </w:rPr>
        <w:t>curva de acumulación de especies</w:t>
      </w:r>
      <w:r w:rsidR="000613E3" w:rsidRPr="004068F6">
        <w:rPr>
          <w:rFonts w:cs="Arial"/>
          <w:spacing w:val="-3"/>
        </w:rPr>
        <w:t xml:space="preserve"> </w:t>
      </w:r>
      <w:r w:rsidR="00981428" w:rsidRPr="004068F6">
        <w:rPr>
          <w:rFonts w:cs="Arial"/>
          <w:spacing w:val="-3"/>
        </w:rPr>
        <w:t xml:space="preserve">(aplicando los estimadores apropiados para los tipos de datos obtenidos en campo) y la información secundaria aplicable al área </w:t>
      </w:r>
      <w:r w:rsidR="00437D32" w:rsidRPr="004068F6">
        <w:rPr>
          <w:rFonts w:cs="Arial"/>
          <w:spacing w:val="-3"/>
        </w:rPr>
        <w:t>objeto de caracterización</w:t>
      </w:r>
      <w:r w:rsidR="00EA2644" w:rsidRPr="004068F6">
        <w:rPr>
          <w:rFonts w:cs="Arial"/>
          <w:spacing w:val="-3"/>
        </w:rPr>
        <w:t>.</w:t>
      </w:r>
    </w:p>
    <w:p w14:paraId="7D08E805" w14:textId="77777777" w:rsidR="00EA2644" w:rsidRPr="004068F6" w:rsidRDefault="00EA2644" w:rsidP="00C86DA5">
      <w:pPr>
        <w:numPr>
          <w:ilvl w:val="12"/>
          <w:numId w:val="0"/>
        </w:numPr>
        <w:tabs>
          <w:tab w:val="left" w:pos="-2268"/>
        </w:tabs>
        <w:suppressAutoHyphens/>
        <w:ind w:left="567"/>
        <w:rPr>
          <w:rFonts w:cs="Arial"/>
          <w:spacing w:val="-3"/>
        </w:rPr>
      </w:pPr>
    </w:p>
    <w:p w14:paraId="02335F4C" w14:textId="59581BE0" w:rsidR="00EA2644" w:rsidRPr="004068F6" w:rsidRDefault="00EA2644" w:rsidP="00C86DA5">
      <w:pPr>
        <w:numPr>
          <w:ilvl w:val="12"/>
          <w:numId w:val="0"/>
        </w:numPr>
        <w:tabs>
          <w:tab w:val="left" w:pos="-2268"/>
        </w:tabs>
        <w:suppressAutoHyphens/>
        <w:ind w:left="567"/>
        <w:rPr>
          <w:spacing w:val="-3"/>
        </w:rPr>
      </w:pPr>
      <w:r w:rsidRPr="004068F6">
        <w:rPr>
          <w:rFonts w:cs="Arial"/>
          <w:spacing w:val="-3"/>
        </w:rPr>
        <w:t xml:space="preserve">El diseño de muestreo debe contemplar al forófito (árbol hospedero) como la unidad de muestreo; </w:t>
      </w:r>
      <w:r w:rsidRPr="004068F6">
        <w:rPr>
          <w:spacing w:val="-3"/>
        </w:rPr>
        <w:t>e</w:t>
      </w:r>
      <w:r w:rsidR="00482A5F" w:rsidRPr="004068F6">
        <w:rPr>
          <w:spacing w:val="-3"/>
        </w:rPr>
        <w:t xml:space="preserve">n la </w:t>
      </w:r>
      <w:r w:rsidR="00482A5F" w:rsidRPr="004068F6">
        <w:rPr>
          <w:spacing w:val="-3"/>
        </w:rPr>
        <w:fldChar w:fldCharType="begin"/>
      </w:r>
      <w:r w:rsidR="00482A5F" w:rsidRPr="004068F6">
        <w:rPr>
          <w:rFonts w:cs="Arial"/>
          <w:spacing w:val="-3"/>
        </w:rPr>
        <w:instrText xml:space="preserve"> REF _Ref513700248 \h  \* MERGEFORMAT </w:instrText>
      </w:r>
      <w:r w:rsidR="00482A5F" w:rsidRPr="004068F6">
        <w:rPr>
          <w:spacing w:val="-3"/>
        </w:rPr>
      </w:r>
      <w:r w:rsidR="00482A5F" w:rsidRPr="004068F6">
        <w:rPr>
          <w:spacing w:val="-3"/>
        </w:rPr>
        <w:fldChar w:fldCharType="separate"/>
      </w:r>
      <w:r w:rsidR="009C4A81" w:rsidRPr="009C4A81">
        <w:rPr>
          <w:spacing w:val="-3"/>
        </w:rPr>
        <w:t xml:space="preserve">Tabla </w:t>
      </w:r>
      <w:r w:rsidR="009C4A81" w:rsidRPr="009C4A81">
        <w:rPr>
          <w:rFonts w:cs="Arial"/>
          <w:spacing w:val="-3"/>
        </w:rPr>
        <w:t>24</w:t>
      </w:r>
      <w:r w:rsidR="00482A5F" w:rsidRPr="004068F6">
        <w:rPr>
          <w:spacing w:val="-3"/>
        </w:rPr>
        <w:fldChar w:fldCharType="end"/>
      </w:r>
      <w:r w:rsidR="00482A5F" w:rsidRPr="004068F6">
        <w:rPr>
          <w:spacing w:val="-3"/>
        </w:rPr>
        <w:t xml:space="preserve"> se muestran </w:t>
      </w:r>
      <w:r w:rsidRPr="004068F6">
        <w:rPr>
          <w:spacing w:val="-3"/>
        </w:rPr>
        <w:t xml:space="preserve">algunos </w:t>
      </w:r>
      <w:r w:rsidR="00482A5F" w:rsidRPr="004068F6">
        <w:rPr>
          <w:spacing w:val="-3"/>
        </w:rPr>
        <w:t>criterios para seleccionar los forófitos en los cuales se realiza el muestreo.</w:t>
      </w:r>
      <w:r w:rsidR="00FE281E" w:rsidRPr="004068F6">
        <w:rPr>
          <w:spacing w:val="-3"/>
        </w:rPr>
        <w:t xml:space="preserve"> </w:t>
      </w:r>
      <w:r w:rsidR="00FE281E" w:rsidRPr="004068F6">
        <w:rPr>
          <w:rFonts w:cs="Arial"/>
          <w:spacing w:val="-3"/>
        </w:rPr>
        <w:t>P</w:t>
      </w:r>
      <w:r w:rsidRPr="004068F6">
        <w:rPr>
          <w:rFonts w:cs="Arial"/>
          <w:spacing w:val="-3"/>
        </w:rPr>
        <w:t xml:space="preserve">ara analizar la diversidad de especies epífitas por </w:t>
      </w:r>
      <w:r w:rsidR="005549F6" w:rsidRPr="004068F6">
        <w:rPr>
          <w:rFonts w:cs="Arial"/>
          <w:spacing w:val="-3"/>
        </w:rPr>
        <w:t>ecosistema</w:t>
      </w:r>
      <w:r w:rsidRPr="004068F6">
        <w:rPr>
          <w:rFonts w:cs="Arial"/>
          <w:spacing w:val="-3"/>
        </w:rPr>
        <w:t xml:space="preserve"> se puede </w:t>
      </w:r>
      <w:r w:rsidR="00F51753" w:rsidRPr="004068F6">
        <w:rPr>
          <w:rFonts w:cs="Arial"/>
          <w:spacing w:val="-3"/>
        </w:rPr>
        <w:t>emple</w:t>
      </w:r>
      <w:r w:rsidRPr="004068F6">
        <w:rPr>
          <w:rFonts w:cs="Arial"/>
          <w:spacing w:val="-3"/>
        </w:rPr>
        <w:t xml:space="preserve">ar software especializado, paquetes estadísticos o </w:t>
      </w:r>
      <w:r w:rsidR="00FE281E" w:rsidRPr="004068F6">
        <w:rPr>
          <w:rFonts w:cs="Arial"/>
          <w:spacing w:val="-3"/>
        </w:rPr>
        <w:t xml:space="preserve">los </w:t>
      </w:r>
      <w:r w:rsidRPr="004068F6">
        <w:rPr>
          <w:rFonts w:cs="Arial"/>
          <w:spacing w:val="-3"/>
        </w:rPr>
        <w:t xml:space="preserve">instrumentos que </w:t>
      </w:r>
      <w:r w:rsidR="00F51753" w:rsidRPr="004068F6">
        <w:rPr>
          <w:rFonts w:cs="Arial"/>
          <w:spacing w:val="-3"/>
        </w:rPr>
        <w:t xml:space="preserve">para este efecto desarrolle la </w:t>
      </w:r>
      <w:r w:rsidRPr="004068F6">
        <w:rPr>
          <w:rFonts w:cs="Arial"/>
          <w:spacing w:val="-3"/>
        </w:rPr>
        <w:t>autoridad ambiental.</w:t>
      </w:r>
    </w:p>
    <w:p w14:paraId="7748615F" w14:textId="77777777" w:rsidR="00F81F10" w:rsidRPr="004068F6" w:rsidRDefault="00F81F10" w:rsidP="00481469">
      <w:pPr>
        <w:numPr>
          <w:ilvl w:val="12"/>
          <w:numId w:val="0"/>
        </w:numPr>
        <w:tabs>
          <w:tab w:val="left" w:pos="-2268"/>
        </w:tabs>
        <w:suppressAutoHyphens/>
        <w:rPr>
          <w:spacing w:val="-3"/>
        </w:rPr>
      </w:pPr>
    </w:p>
    <w:p w14:paraId="17BDF4FC" w14:textId="3331BCAB" w:rsidR="00482A5F" w:rsidRPr="004068F6" w:rsidRDefault="00482A5F" w:rsidP="00FA6ABA">
      <w:pPr>
        <w:numPr>
          <w:ilvl w:val="12"/>
          <w:numId w:val="0"/>
        </w:numPr>
        <w:tabs>
          <w:tab w:val="left" w:pos="-2268"/>
        </w:tabs>
        <w:suppressAutoHyphens/>
        <w:jc w:val="center"/>
        <w:rPr>
          <w:spacing w:val="-3"/>
        </w:rPr>
      </w:pPr>
      <w:bookmarkStart w:id="2898" w:name="_Ref513700248"/>
      <w:r w:rsidRPr="004068F6">
        <w:rPr>
          <w:b/>
          <w:spacing w:val="-3"/>
        </w:rPr>
        <w:t xml:space="preserve">Tabla </w:t>
      </w:r>
      <w:r w:rsidRPr="004068F6">
        <w:rPr>
          <w:b/>
          <w:spacing w:val="-3"/>
        </w:rPr>
        <w:fldChar w:fldCharType="begin"/>
      </w:r>
      <w:r w:rsidRPr="004068F6">
        <w:rPr>
          <w:rFonts w:cs="Arial"/>
          <w:b/>
          <w:spacing w:val="-3"/>
        </w:rPr>
        <w:instrText xml:space="preserve"> SEQ Tabla \* ARABIC </w:instrText>
      </w:r>
      <w:r w:rsidRPr="004068F6">
        <w:rPr>
          <w:b/>
          <w:spacing w:val="-3"/>
        </w:rPr>
        <w:fldChar w:fldCharType="separate"/>
      </w:r>
      <w:r w:rsidR="009C4A81">
        <w:rPr>
          <w:rFonts w:cs="Arial"/>
          <w:b/>
          <w:noProof/>
          <w:spacing w:val="-3"/>
        </w:rPr>
        <w:t>24</w:t>
      </w:r>
      <w:r w:rsidRPr="004068F6">
        <w:rPr>
          <w:b/>
          <w:spacing w:val="-3"/>
        </w:rPr>
        <w:fldChar w:fldCharType="end"/>
      </w:r>
      <w:bookmarkEnd w:id="2898"/>
      <w:r w:rsidRPr="004068F6">
        <w:rPr>
          <w:b/>
          <w:spacing w:val="-3"/>
        </w:rPr>
        <w:t xml:space="preserve">. </w:t>
      </w:r>
      <w:r w:rsidRPr="004068F6">
        <w:rPr>
          <w:spacing w:val="-3"/>
        </w:rPr>
        <w:t xml:space="preserve">Criterios para seleccionar forófitos para muestrear epífitas en bosques </w:t>
      </w:r>
      <w:r w:rsidRPr="004068F6">
        <w:rPr>
          <w:rFonts w:cs="Arial"/>
          <w:spacing w:val="-3"/>
        </w:rPr>
        <w:t>neotropicales</w:t>
      </w:r>
    </w:p>
    <w:tbl>
      <w:tblPr>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4"/>
        <w:gridCol w:w="3045"/>
        <w:gridCol w:w="2835"/>
      </w:tblGrid>
      <w:tr w:rsidR="00482A5F" w:rsidRPr="004068F6" w14:paraId="3EC695E3" w14:textId="77777777" w:rsidTr="00CC0EA8">
        <w:trPr>
          <w:trHeight w:hRule="exact" w:val="567"/>
          <w:tblHeader/>
          <w:jc w:val="center"/>
        </w:trPr>
        <w:tc>
          <w:tcPr>
            <w:tcW w:w="2484" w:type="dxa"/>
            <w:vAlign w:val="center"/>
          </w:tcPr>
          <w:p w14:paraId="6D6C2DFA" w14:textId="46E5DB7B" w:rsidR="00482A5F" w:rsidRPr="004068F6" w:rsidRDefault="0049660B" w:rsidP="00D87119">
            <w:pPr>
              <w:numPr>
                <w:ilvl w:val="12"/>
                <w:numId w:val="0"/>
              </w:numPr>
              <w:tabs>
                <w:tab w:val="left" w:pos="-2268"/>
              </w:tabs>
              <w:suppressAutoHyphens/>
              <w:jc w:val="center"/>
              <w:rPr>
                <w:rFonts w:cs="Arial"/>
                <w:b/>
                <w:spacing w:val="-3"/>
                <w:sz w:val="22"/>
              </w:rPr>
            </w:pPr>
            <w:r w:rsidRPr="004068F6">
              <w:rPr>
                <w:rFonts w:cs="Arial"/>
                <w:b/>
                <w:spacing w:val="-3"/>
                <w:sz w:val="22"/>
              </w:rPr>
              <w:t>Criterio</w:t>
            </w:r>
          </w:p>
        </w:tc>
        <w:tc>
          <w:tcPr>
            <w:tcW w:w="3045" w:type="dxa"/>
            <w:vAlign w:val="center"/>
          </w:tcPr>
          <w:p w14:paraId="6A2CC621" w14:textId="5E418B3C" w:rsidR="00482A5F" w:rsidRPr="004068F6" w:rsidRDefault="0049660B" w:rsidP="00D87119">
            <w:pPr>
              <w:numPr>
                <w:ilvl w:val="12"/>
                <w:numId w:val="0"/>
              </w:numPr>
              <w:tabs>
                <w:tab w:val="left" w:pos="-2268"/>
              </w:tabs>
              <w:suppressAutoHyphens/>
              <w:jc w:val="center"/>
              <w:rPr>
                <w:rFonts w:cs="Arial"/>
                <w:b/>
                <w:spacing w:val="-3"/>
                <w:sz w:val="22"/>
              </w:rPr>
            </w:pPr>
            <w:r w:rsidRPr="004068F6">
              <w:rPr>
                <w:rFonts w:cs="Arial"/>
                <w:b/>
                <w:spacing w:val="-3"/>
                <w:sz w:val="22"/>
              </w:rPr>
              <w:t>Variable</w:t>
            </w:r>
          </w:p>
        </w:tc>
        <w:tc>
          <w:tcPr>
            <w:tcW w:w="2835" w:type="dxa"/>
            <w:vAlign w:val="center"/>
          </w:tcPr>
          <w:p w14:paraId="52B9D8FF" w14:textId="4DA593C3" w:rsidR="00482A5F" w:rsidRPr="004068F6" w:rsidRDefault="0049660B" w:rsidP="00D87119">
            <w:pPr>
              <w:numPr>
                <w:ilvl w:val="12"/>
                <w:numId w:val="0"/>
              </w:numPr>
              <w:tabs>
                <w:tab w:val="left" w:pos="-2268"/>
              </w:tabs>
              <w:suppressAutoHyphens/>
              <w:jc w:val="center"/>
              <w:rPr>
                <w:rFonts w:cs="Arial"/>
                <w:b/>
                <w:spacing w:val="-3"/>
                <w:sz w:val="22"/>
              </w:rPr>
            </w:pPr>
            <w:r w:rsidRPr="004068F6">
              <w:rPr>
                <w:rFonts w:cs="Arial"/>
                <w:b/>
                <w:spacing w:val="-3"/>
                <w:sz w:val="22"/>
              </w:rPr>
              <w:t>Medida</w:t>
            </w:r>
          </w:p>
        </w:tc>
      </w:tr>
      <w:tr w:rsidR="00482A5F" w:rsidRPr="004068F6" w14:paraId="2009675B" w14:textId="77777777" w:rsidTr="00E652E5">
        <w:trPr>
          <w:trHeight w:hRule="exact" w:val="397"/>
          <w:jc w:val="center"/>
        </w:trPr>
        <w:tc>
          <w:tcPr>
            <w:tcW w:w="2484" w:type="dxa"/>
            <w:vMerge w:val="restart"/>
            <w:vAlign w:val="center"/>
          </w:tcPr>
          <w:p w14:paraId="63710AD7" w14:textId="77777777" w:rsidR="00482A5F" w:rsidRPr="00E652E5" w:rsidRDefault="00482A5F" w:rsidP="00E652E5">
            <w:pPr>
              <w:numPr>
                <w:ilvl w:val="12"/>
                <w:numId w:val="0"/>
              </w:numPr>
              <w:tabs>
                <w:tab w:val="left" w:pos="-2268"/>
              </w:tabs>
              <w:suppressAutoHyphens/>
              <w:jc w:val="center"/>
              <w:rPr>
                <w:spacing w:val="-3"/>
                <w:sz w:val="20"/>
                <w:szCs w:val="22"/>
              </w:rPr>
            </w:pPr>
            <w:r w:rsidRPr="00E652E5">
              <w:rPr>
                <w:spacing w:val="-3"/>
                <w:sz w:val="20"/>
                <w:szCs w:val="22"/>
              </w:rPr>
              <w:t>Características del forófito</w:t>
            </w:r>
          </w:p>
        </w:tc>
        <w:tc>
          <w:tcPr>
            <w:tcW w:w="3045" w:type="dxa"/>
            <w:vAlign w:val="center"/>
          </w:tcPr>
          <w:p w14:paraId="02B9D118"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Altura</w:t>
            </w:r>
          </w:p>
        </w:tc>
        <w:tc>
          <w:tcPr>
            <w:tcW w:w="2835" w:type="dxa"/>
            <w:vAlign w:val="center"/>
          </w:tcPr>
          <w:p w14:paraId="2D974A48"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&gt;7m</w:t>
            </w:r>
          </w:p>
        </w:tc>
      </w:tr>
      <w:tr w:rsidR="00482A5F" w:rsidRPr="004068F6" w14:paraId="21F06537" w14:textId="77777777" w:rsidTr="00E652E5">
        <w:trPr>
          <w:trHeight w:hRule="exact" w:val="397"/>
          <w:jc w:val="center"/>
        </w:trPr>
        <w:tc>
          <w:tcPr>
            <w:tcW w:w="2484" w:type="dxa"/>
            <w:vMerge/>
            <w:vAlign w:val="center"/>
          </w:tcPr>
          <w:p w14:paraId="23CEC535" w14:textId="77777777" w:rsidR="00482A5F" w:rsidRPr="00E652E5" w:rsidRDefault="00482A5F" w:rsidP="00E652E5">
            <w:pPr>
              <w:numPr>
                <w:ilvl w:val="12"/>
                <w:numId w:val="0"/>
              </w:numPr>
              <w:tabs>
                <w:tab w:val="left" w:pos="-2268"/>
              </w:tabs>
              <w:suppressAutoHyphens/>
              <w:jc w:val="center"/>
              <w:rPr>
                <w:spacing w:val="-3"/>
                <w:sz w:val="20"/>
                <w:szCs w:val="22"/>
              </w:rPr>
            </w:pPr>
          </w:p>
        </w:tc>
        <w:tc>
          <w:tcPr>
            <w:tcW w:w="3045" w:type="dxa"/>
            <w:vAlign w:val="center"/>
          </w:tcPr>
          <w:p w14:paraId="4E70501B"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DAP</w:t>
            </w:r>
          </w:p>
        </w:tc>
        <w:tc>
          <w:tcPr>
            <w:tcW w:w="2835" w:type="dxa"/>
            <w:vAlign w:val="center"/>
          </w:tcPr>
          <w:p w14:paraId="45BDEB15"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≥10cm</w:t>
            </w:r>
          </w:p>
        </w:tc>
      </w:tr>
      <w:tr w:rsidR="00482A5F" w:rsidRPr="004068F6" w14:paraId="2B1F6DE1" w14:textId="77777777" w:rsidTr="00E652E5">
        <w:trPr>
          <w:trHeight w:hRule="exact" w:val="397"/>
          <w:jc w:val="center"/>
        </w:trPr>
        <w:tc>
          <w:tcPr>
            <w:tcW w:w="2484" w:type="dxa"/>
            <w:vMerge/>
            <w:vAlign w:val="center"/>
          </w:tcPr>
          <w:p w14:paraId="1E67A7A1" w14:textId="77777777" w:rsidR="00482A5F" w:rsidRPr="00E652E5" w:rsidRDefault="00482A5F" w:rsidP="00E652E5">
            <w:pPr>
              <w:numPr>
                <w:ilvl w:val="12"/>
                <w:numId w:val="0"/>
              </w:numPr>
              <w:tabs>
                <w:tab w:val="left" w:pos="-2268"/>
              </w:tabs>
              <w:suppressAutoHyphens/>
              <w:jc w:val="center"/>
              <w:rPr>
                <w:spacing w:val="-3"/>
                <w:sz w:val="20"/>
                <w:szCs w:val="22"/>
              </w:rPr>
            </w:pPr>
          </w:p>
        </w:tc>
        <w:tc>
          <w:tcPr>
            <w:tcW w:w="3045" w:type="dxa"/>
            <w:vAlign w:val="center"/>
          </w:tcPr>
          <w:p w14:paraId="09968B42"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Corteza</w:t>
            </w:r>
          </w:p>
        </w:tc>
        <w:tc>
          <w:tcPr>
            <w:tcW w:w="2835" w:type="dxa"/>
            <w:vAlign w:val="center"/>
          </w:tcPr>
          <w:p w14:paraId="6F690631"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No exfoliable</w:t>
            </w:r>
          </w:p>
        </w:tc>
      </w:tr>
      <w:tr w:rsidR="00482A5F" w:rsidRPr="004068F6" w14:paraId="099887E7" w14:textId="77777777" w:rsidTr="00E652E5">
        <w:trPr>
          <w:trHeight w:hRule="exact" w:val="397"/>
          <w:jc w:val="center"/>
        </w:trPr>
        <w:tc>
          <w:tcPr>
            <w:tcW w:w="2484" w:type="dxa"/>
            <w:vMerge/>
            <w:vAlign w:val="center"/>
          </w:tcPr>
          <w:p w14:paraId="6FC70FC0" w14:textId="77777777" w:rsidR="00482A5F" w:rsidRPr="00E652E5" w:rsidRDefault="00482A5F" w:rsidP="00E652E5">
            <w:pPr>
              <w:numPr>
                <w:ilvl w:val="12"/>
                <w:numId w:val="0"/>
              </w:numPr>
              <w:tabs>
                <w:tab w:val="left" w:pos="-2268"/>
              </w:tabs>
              <w:suppressAutoHyphens/>
              <w:jc w:val="center"/>
              <w:rPr>
                <w:spacing w:val="-3"/>
                <w:sz w:val="20"/>
                <w:szCs w:val="22"/>
              </w:rPr>
            </w:pPr>
          </w:p>
        </w:tc>
        <w:tc>
          <w:tcPr>
            <w:tcW w:w="3045" w:type="dxa"/>
            <w:vAlign w:val="center"/>
          </w:tcPr>
          <w:p w14:paraId="42B42FBC"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 Epífitas</w:t>
            </w:r>
          </w:p>
        </w:tc>
        <w:tc>
          <w:tcPr>
            <w:tcW w:w="2835" w:type="dxa"/>
            <w:vAlign w:val="center"/>
          </w:tcPr>
          <w:p w14:paraId="15982A39"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&gt;40%</w:t>
            </w:r>
          </w:p>
        </w:tc>
      </w:tr>
      <w:tr w:rsidR="00482A5F" w:rsidRPr="004068F6" w14:paraId="017E8514" w14:textId="77777777" w:rsidTr="00E652E5">
        <w:trPr>
          <w:trHeight w:hRule="exact" w:val="397"/>
          <w:jc w:val="center"/>
        </w:trPr>
        <w:tc>
          <w:tcPr>
            <w:tcW w:w="2484" w:type="dxa"/>
            <w:vMerge/>
            <w:vAlign w:val="center"/>
          </w:tcPr>
          <w:p w14:paraId="3BA26F6D" w14:textId="77777777" w:rsidR="00482A5F" w:rsidRPr="00E652E5" w:rsidRDefault="00482A5F" w:rsidP="00E652E5">
            <w:pPr>
              <w:numPr>
                <w:ilvl w:val="12"/>
                <w:numId w:val="0"/>
              </w:numPr>
              <w:tabs>
                <w:tab w:val="left" w:pos="-2268"/>
              </w:tabs>
              <w:suppressAutoHyphens/>
              <w:jc w:val="center"/>
              <w:rPr>
                <w:spacing w:val="-3"/>
                <w:sz w:val="20"/>
                <w:szCs w:val="22"/>
              </w:rPr>
            </w:pPr>
          </w:p>
        </w:tc>
        <w:tc>
          <w:tcPr>
            <w:tcW w:w="3045" w:type="dxa"/>
            <w:vAlign w:val="center"/>
          </w:tcPr>
          <w:p w14:paraId="61997F83"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Distancia entre árboles</w:t>
            </w:r>
          </w:p>
        </w:tc>
        <w:tc>
          <w:tcPr>
            <w:tcW w:w="2835" w:type="dxa"/>
            <w:vAlign w:val="center"/>
          </w:tcPr>
          <w:p w14:paraId="58BDB967"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25m</w:t>
            </w:r>
          </w:p>
        </w:tc>
      </w:tr>
      <w:tr w:rsidR="00482A5F" w:rsidRPr="004068F6" w14:paraId="338D2B3E" w14:textId="77777777" w:rsidTr="00E652E5">
        <w:trPr>
          <w:trHeight w:hRule="exact" w:val="397"/>
          <w:jc w:val="center"/>
        </w:trPr>
        <w:tc>
          <w:tcPr>
            <w:tcW w:w="2484" w:type="dxa"/>
            <w:vMerge w:val="restart"/>
            <w:vAlign w:val="center"/>
          </w:tcPr>
          <w:p w14:paraId="6DC40FE1" w14:textId="77777777" w:rsidR="00482A5F" w:rsidRPr="00E652E5" w:rsidRDefault="00482A5F" w:rsidP="00E652E5">
            <w:pPr>
              <w:numPr>
                <w:ilvl w:val="12"/>
                <w:numId w:val="0"/>
              </w:numPr>
              <w:tabs>
                <w:tab w:val="left" w:pos="-2268"/>
              </w:tabs>
              <w:suppressAutoHyphens/>
              <w:jc w:val="center"/>
              <w:rPr>
                <w:spacing w:val="-3"/>
                <w:sz w:val="20"/>
                <w:szCs w:val="22"/>
              </w:rPr>
            </w:pPr>
            <w:r w:rsidRPr="00E652E5">
              <w:rPr>
                <w:spacing w:val="-3"/>
                <w:sz w:val="20"/>
                <w:szCs w:val="22"/>
              </w:rPr>
              <w:t>Características del terreno</w:t>
            </w:r>
          </w:p>
        </w:tc>
        <w:tc>
          <w:tcPr>
            <w:tcW w:w="3045" w:type="dxa"/>
            <w:vAlign w:val="center"/>
          </w:tcPr>
          <w:p w14:paraId="15A20CC0"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Acceso</w:t>
            </w:r>
          </w:p>
        </w:tc>
        <w:tc>
          <w:tcPr>
            <w:tcW w:w="2835" w:type="dxa"/>
            <w:vAlign w:val="center"/>
          </w:tcPr>
          <w:p w14:paraId="04CFD0E2"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Posible</w:t>
            </w:r>
          </w:p>
        </w:tc>
      </w:tr>
      <w:tr w:rsidR="00482A5F" w:rsidRPr="004068F6" w14:paraId="329BCB21" w14:textId="77777777" w:rsidTr="00E652E5">
        <w:trPr>
          <w:trHeight w:hRule="exact" w:val="397"/>
          <w:jc w:val="center"/>
        </w:trPr>
        <w:tc>
          <w:tcPr>
            <w:tcW w:w="2484" w:type="dxa"/>
            <w:vMerge/>
            <w:vAlign w:val="center"/>
          </w:tcPr>
          <w:p w14:paraId="49C0CBC1" w14:textId="77777777" w:rsidR="00482A5F" w:rsidRPr="00E652E5" w:rsidRDefault="00482A5F" w:rsidP="00E652E5">
            <w:pPr>
              <w:numPr>
                <w:ilvl w:val="12"/>
                <w:numId w:val="0"/>
              </w:numPr>
              <w:tabs>
                <w:tab w:val="left" w:pos="-2268"/>
              </w:tabs>
              <w:suppressAutoHyphens/>
              <w:jc w:val="center"/>
              <w:rPr>
                <w:spacing w:val="-3"/>
                <w:sz w:val="20"/>
                <w:szCs w:val="22"/>
              </w:rPr>
            </w:pPr>
          </w:p>
        </w:tc>
        <w:tc>
          <w:tcPr>
            <w:tcW w:w="3045" w:type="dxa"/>
            <w:vAlign w:val="center"/>
          </w:tcPr>
          <w:p w14:paraId="045589FA"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Pendiente</w:t>
            </w:r>
          </w:p>
        </w:tc>
        <w:tc>
          <w:tcPr>
            <w:tcW w:w="2835" w:type="dxa"/>
            <w:vAlign w:val="center"/>
          </w:tcPr>
          <w:p w14:paraId="609AEDA5"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&lt;90%</w:t>
            </w:r>
          </w:p>
        </w:tc>
      </w:tr>
      <w:tr w:rsidR="00482A5F" w:rsidRPr="004068F6" w14:paraId="4D658E6C" w14:textId="77777777" w:rsidTr="00E652E5">
        <w:trPr>
          <w:trHeight w:hRule="exact" w:val="397"/>
          <w:jc w:val="center"/>
        </w:trPr>
        <w:tc>
          <w:tcPr>
            <w:tcW w:w="2484" w:type="dxa"/>
            <w:vMerge/>
            <w:vAlign w:val="center"/>
          </w:tcPr>
          <w:p w14:paraId="1DCC71F4" w14:textId="77777777" w:rsidR="00482A5F" w:rsidRPr="00E652E5" w:rsidRDefault="00482A5F" w:rsidP="00E652E5">
            <w:pPr>
              <w:numPr>
                <w:ilvl w:val="12"/>
                <w:numId w:val="0"/>
              </w:numPr>
              <w:tabs>
                <w:tab w:val="left" w:pos="-2268"/>
              </w:tabs>
              <w:suppressAutoHyphens/>
              <w:jc w:val="center"/>
              <w:rPr>
                <w:spacing w:val="-3"/>
                <w:sz w:val="20"/>
                <w:szCs w:val="22"/>
              </w:rPr>
            </w:pPr>
          </w:p>
        </w:tc>
        <w:tc>
          <w:tcPr>
            <w:tcW w:w="3045" w:type="dxa"/>
            <w:vAlign w:val="center"/>
          </w:tcPr>
          <w:p w14:paraId="473C63A0"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Cobertura vegetal</w:t>
            </w:r>
          </w:p>
        </w:tc>
        <w:tc>
          <w:tcPr>
            <w:tcW w:w="2835" w:type="dxa"/>
            <w:vAlign w:val="center"/>
          </w:tcPr>
          <w:p w14:paraId="72C6BDA0" w14:textId="77777777" w:rsidR="00482A5F" w:rsidRPr="00E652E5" w:rsidRDefault="00482A5F" w:rsidP="00E652E5">
            <w:pPr>
              <w:numPr>
                <w:ilvl w:val="12"/>
                <w:numId w:val="0"/>
              </w:numPr>
              <w:tabs>
                <w:tab w:val="left" w:pos="-2268"/>
              </w:tabs>
              <w:suppressAutoHyphens/>
              <w:jc w:val="left"/>
              <w:rPr>
                <w:spacing w:val="-3"/>
                <w:sz w:val="20"/>
                <w:szCs w:val="22"/>
              </w:rPr>
            </w:pPr>
            <w:r w:rsidRPr="00E652E5">
              <w:rPr>
                <w:spacing w:val="-3"/>
                <w:sz w:val="20"/>
                <w:szCs w:val="22"/>
              </w:rPr>
              <w:t>Presencia de árboles</w:t>
            </w:r>
          </w:p>
        </w:tc>
      </w:tr>
    </w:tbl>
    <w:p w14:paraId="4C15A345" w14:textId="77777777" w:rsidR="00482A5F" w:rsidRPr="004068F6" w:rsidRDefault="00482A5F" w:rsidP="00482A5F">
      <w:pPr>
        <w:numPr>
          <w:ilvl w:val="12"/>
          <w:numId w:val="0"/>
        </w:numPr>
        <w:tabs>
          <w:tab w:val="left" w:pos="-2268"/>
        </w:tabs>
        <w:suppressAutoHyphens/>
        <w:jc w:val="center"/>
        <w:rPr>
          <w:spacing w:val="-3"/>
          <w:sz w:val="20"/>
        </w:rPr>
      </w:pPr>
      <w:r w:rsidRPr="004068F6">
        <w:rPr>
          <w:b/>
          <w:bCs/>
          <w:spacing w:val="-3"/>
          <w:sz w:val="20"/>
        </w:rPr>
        <w:t>Fuente:</w:t>
      </w:r>
      <w:r w:rsidRPr="004068F6">
        <w:rPr>
          <w:spacing w:val="-3"/>
          <w:sz w:val="20"/>
        </w:rPr>
        <w:t xml:space="preserve"> Gradstein et al. (2003).</w:t>
      </w:r>
    </w:p>
    <w:p w14:paraId="75256654" w14:textId="77777777" w:rsidR="00482A5F" w:rsidRPr="004068F6" w:rsidRDefault="00482A5F">
      <w:pPr>
        <w:numPr>
          <w:ilvl w:val="12"/>
          <w:numId w:val="0"/>
        </w:numPr>
        <w:tabs>
          <w:tab w:val="left" w:pos="-2268"/>
        </w:tabs>
        <w:suppressAutoHyphens/>
        <w:rPr>
          <w:spacing w:val="-3"/>
        </w:rPr>
      </w:pPr>
    </w:p>
    <w:p w14:paraId="4526FE77" w14:textId="7BBFAC3F" w:rsidR="00FE281E" w:rsidRPr="004068F6" w:rsidRDefault="00FE281E" w:rsidP="00FE281E">
      <w:pPr>
        <w:numPr>
          <w:ilvl w:val="12"/>
          <w:numId w:val="0"/>
        </w:numPr>
        <w:tabs>
          <w:tab w:val="left" w:pos="-2268"/>
        </w:tabs>
        <w:suppressAutoHyphens/>
        <w:ind w:left="567"/>
        <w:rPr>
          <w:spacing w:val="-3"/>
        </w:rPr>
      </w:pPr>
      <w:r w:rsidRPr="004068F6">
        <w:rPr>
          <w:spacing w:val="-3"/>
        </w:rPr>
        <w:t xml:space="preserve">Es posible modificar o plantear criterios adicionales a los que se señalan en la </w:t>
      </w:r>
      <w:r w:rsidRPr="004068F6">
        <w:rPr>
          <w:spacing w:val="-3"/>
        </w:rPr>
        <w:fldChar w:fldCharType="begin"/>
      </w:r>
      <w:r w:rsidRPr="004068F6">
        <w:rPr>
          <w:rFonts w:cs="Arial"/>
          <w:spacing w:val="-3"/>
        </w:rPr>
        <w:instrText xml:space="preserve"> REF _Ref513700248 \h  \* MERGEFORMAT </w:instrText>
      </w:r>
      <w:r w:rsidRPr="004068F6">
        <w:rPr>
          <w:spacing w:val="-3"/>
        </w:rPr>
      </w:r>
      <w:r w:rsidRPr="004068F6">
        <w:rPr>
          <w:spacing w:val="-3"/>
        </w:rPr>
        <w:fldChar w:fldCharType="separate"/>
      </w:r>
      <w:r w:rsidR="009C4A81" w:rsidRPr="009C4A81">
        <w:rPr>
          <w:spacing w:val="-3"/>
        </w:rPr>
        <w:t xml:space="preserve">Tabla </w:t>
      </w:r>
      <w:r w:rsidR="009C4A81" w:rsidRPr="009C4A81">
        <w:rPr>
          <w:rFonts w:cs="Arial"/>
          <w:spacing w:val="-3"/>
        </w:rPr>
        <w:t>24</w:t>
      </w:r>
      <w:r w:rsidRPr="004068F6">
        <w:rPr>
          <w:spacing w:val="-3"/>
        </w:rPr>
        <w:fldChar w:fldCharType="end"/>
      </w:r>
      <w:r w:rsidRPr="004068F6">
        <w:rPr>
          <w:spacing w:val="-3"/>
        </w:rPr>
        <w:t xml:space="preserve"> dependiendo del tipo de cobertura de la tierra y la cantidad y forma de la vegetación arbórea; </w:t>
      </w:r>
      <w:r w:rsidR="00A61896" w:rsidRPr="004068F6">
        <w:rPr>
          <w:spacing w:val="-3"/>
        </w:rPr>
        <w:t xml:space="preserve">tales </w:t>
      </w:r>
      <w:r w:rsidRPr="004068F6">
        <w:rPr>
          <w:spacing w:val="-3"/>
        </w:rPr>
        <w:t xml:space="preserve">ajustes deben </w:t>
      </w:r>
      <w:r w:rsidR="00A61896" w:rsidRPr="004068F6">
        <w:rPr>
          <w:spacing w:val="-3"/>
        </w:rPr>
        <w:t>ser soportados técnicamente</w:t>
      </w:r>
      <w:r w:rsidRPr="004068F6">
        <w:rPr>
          <w:spacing w:val="-3"/>
        </w:rPr>
        <w:t xml:space="preserve">. Adicionalmente, </w:t>
      </w:r>
      <w:r w:rsidR="00A61896" w:rsidRPr="004068F6">
        <w:rPr>
          <w:spacing w:val="-3"/>
        </w:rPr>
        <w:t xml:space="preserve">la selección de forófitos </w:t>
      </w:r>
      <w:r w:rsidRPr="004068F6">
        <w:rPr>
          <w:spacing w:val="-3"/>
        </w:rPr>
        <w:t xml:space="preserve">debe </w:t>
      </w:r>
      <w:r w:rsidR="00A61896" w:rsidRPr="004068F6">
        <w:rPr>
          <w:spacing w:val="-3"/>
        </w:rPr>
        <w:t xml:space="preserve">considerar el </w:t>
      </w:r>
      <w:r w:rsidRPr="004068F6">
        <w:rPr>
          <w:spacing w:val="-3"/>
        </w:rPr>
        <w:t xml:space="preserve">efecto de borde y evitar que los árboles seleccionados tengan superposición de copas. En </w:t>
      </w:r>
      <w:r w:rsidR="00A61896" w:rsidRPr="004068F6">
        <w:rPr>
          <w:spacing w:val="-3"/>
        </w:rPr>
        <w:t xml:space="preserve">áreas con </w:t>
      </w:r>
      <w:r w:rsidRPr="004068F6">
        <w:rPr>
          <w:spacing w:val="-3"/>
        </w:rPr>
        <w:t>dosel</w:t>
      </w:r>
      <w:r w:rsidR="00A61896" w:rsidRPr="004068F6">
        <w:rPr>
          <w:spacing w:val="-3"/>
        </w:rPr>
        <w:t xml:space="preserve"> discontinuo</w:t>
      </w:r>
      <w:r w:rsidRPr="004068F6">
        <w:rPr>
          <w:spacing w:val="-3"/>
        </w:rPr>
        <w:t xml:space="preserve"> se debe avanzar en un transecto y seleccionar forófitos hasta alcanzar la cantidad establecida en el diseño muestral.</w:t>
      </w:r>
    </w:p>
    <w:p w14:paraId="03FCEEEE" w14:textId="1654D788" w:rsidR="00FE281E" w:rsidRPr="004068F6" w:rsidRDefault="00FE281E" w:rsidP="008A4FE9">
      <w:pPr>
        <w:numPr>
          <w:ilvl w:val="12"/>
          <w:numId w:val="0"/>
        </w:numPr>
        <w:tabs>
          <w:tab w:val="left" w:pos="-2268"/>
        </w:tabs>
        <w:suppressAutoHyphens/>
        <w:rPr>
          <w:spacing w:val="-3"/>
        </w:rPr>
      </w:pPr>
    </w:p>
    <w:p w14:paraId="7750AB98" w14:textId="567EFBDF" w:rsidR="00FE281E" w:rsidRPr="004068F6" w:rsidRDefault="00D53511" w:rsidP="00D53511">
      <w:pPr>
        <w:numPr>
          <w:ilvl w:val="12"/>
          <w:numId w:val="0"/>
        </w:numPr>
        <w:tabs>
          <w:tab w:val="left" w:pos="-2268"/>
        </w:tabs>
        <w:suppressAutoHyphens/>
        <w:ind w:left="567"/>
        <w:rPr>
          <w:spacing w:val="-3"/>
        </w:rPr>
      </w:pPr>
      <w:r w:rsidRPr="004068F6">
        <w:rPr>
          <w:spacing w:val="-3"/>
        </w:rPr>
        <w:t xml:space="preserve">El procedimiento de caracterización de especies vasculares, no vasculares y líquenes de hábito epífito adicionalmente debe recolectar información de cada </w:t>
      </w:r>
      <w:r w:rsidRPr="004068F6">
        <w:rPr>
          <w:spacing w:val="-3"/>
        </w:rPr>
        <w:lastRenderedPageBreak/>
        <w:t>forófito sobre</w:t>
      </w:r>
      <w:r w:rsidR="0073017D" w:rsidRPr="004068F6">
        <w:rPr>
          <w:spacing w:val="-3"/>
        </w:rPr>
        <w:t>:</w:t>
      </w:r>
      <w:r w:rsidRPr="004068F6">
        <w:rPr>
          <w:spacing w:val="-3"/>
        </w:rPr>
        <w:t xml:space="preserve"> localización (georreferenciada), </w:t>
      </w:r>
      <w:r w:rsidR="00E238A4" w:rsidRPr="004068F6">
        <w:rPr>
          <w:spacing w:val="-3"/>
        </w:rPr>
        <w:t xml:space="preserve">toponimia de la región, familia, </w:t>
      </w:r>
      <w:r w:rsidR="00FE281E" w:rsidRPr="004068F6">
        <w:rPr>
          <w:spacing w:val="-3"/>
        </w:rPr>
        <w:t>especie, altura</w:t>
      </w:r>
      <w:r w:rsidRPr="004068F6">
        <w:rPr>
          <w:spacing w:val="-3"/>
        </w:rPr>
        <w:t xml:space="preserve"> total</w:t>
      </w:r>
      <w:r w:rsidR="00F456AF" w:rsidRPr="004068F6">
        <w:rPr>
          <w:spacing w:val="-3"/>
        </w:rPr>
        <w:t xml:space="preserve"> y</w:t>
      </w:r>
      <w:r w:rsidR="00FE281E" w:rsidRPr="004068F6">
        <w:rPr>
          <w:spacing w:val="-3"/>
        </w:rPr>
        <w:t xml:space="preserve"> CAP.</w:t>
      </w:r>
    </w:p>
    <w:p w14:paraId="703ABA66" w14:textId="77777777" w:rsidR="00482A5F" w:rsidRPr="004068F6" w:rsidRDefault="00482A5F" w:rsidP="0082127E">
      <w:pPr>
        <w:numPr>
          <w:ilvl w:val="12"/>
          <w:numId w:val="0"/>
        </w:numPr>
        <w:tabs>
          <w:tab w:val="left" w:pos="-2268"/>
        </w:tabs>
        <w:suppressAutoHyphens/>
        <w:rPr>
          <w:spacing w:val="-3"/>
        </w:rPr>
      </w:pPr>
    </w:p>
    <w:p w14:paraId="180DCEBF" w14:textId="769FB2C8" w:rsidR="00482A5F" w:rsidRPr="004068F6" w:rsidRDefault="00790B00" w:rsidP="00C86DA5">
      <w:pPr>
        <w:numPr>
          <w:ilvl w:val="12"/>
          <w:numId w:val="0"/>
        </w:numPr>
        <w:tabs>
          <w:tab w:val="left" w:pos="-2268"/>
        </w:tabs>
        <w:suppressAutoHyphens/>
        <w:ind w:left="567"/>
        <w:rPr>
          <w:spacing w:val="-3"/>
        </w:rPr>
      </w:pPr>
      <w:r w:rsidRPr="004068F6">
        <w:rPr>
          <w:spacing w:val="-3"/>
        </w:rPr>
        <w:t xml:space="preserve">Presentar los análisis de estructura vertical y horizontal, así como de preferencia de forófito. Para la estratificación vertical, </w:t>
      </w:r>
      <w:r w:rsidR="00FC1E80" w:rsidRPr="004068F6">
        <w:rPr>
          <w:spacing w:val="-3"/>
        </w:rPr>
        <w:t xml:space="preserve">es posible </w:t>
      </w:r>
      <w:r w:rsidR="00482A5F" w:rsidRPr="004068F6">
        <w:rPr>
          <w:spacing w:val="-3"/>
        </w:rPr>
        <w:t xml:space="preserve">ejecutar el muestreo </w:t>
      </w:r>
      <w:r w:rsidR="00523F25" w:rsidRPr="004068F6">
        <w:rPr>
          <w:spacing w:val="-3"/>
        </w:rPr>
        <w:t xml:space="preserve">a partir de </w:t>
      </w:r>
      <w:r w:rsidR="00482A5F" w:rsidRPr="004068F6">
        <w:rPr>
          <w:spacing w:val="-3"/>
        </w:rPr>
        <w:t>la zonificación del forófito propuesta por Johansson (1974) (modificada por Ter Steege &amp; Cornelissen (1989</w:t>
      </w:r>
      <w:r w:rsidR="00482A5F" w:rsidRPr="004068F6">
        <w:rPr>
          <w:rFonts w:cs="Arial"/>
          <w:spacing w:val="-3"/>
        </w:rPr>
        <w:t>)</w:t>
      </w:r>
      <w:r w:rsidR="005F2CF6" w:rsidRPr="004068F6">
        <w:rPr>
          <w:rFonts w:cs="Arial"/>
          <w:spacing w:val="-3"/>
        </w:rPr>
        <w:t>)</w:t>
      </w:r>
      <w:r w:rsidR="00482A5F" w:rsidRPr="004068F6">
        <w:rPr>
          <w:spacing w:val="-3"/>
        </w:rPr>
        <w:t xml:space="preserve">. Esta zonificación se </w:t>
      </w:r>
      <w:r w:rsidR="00482A5F" w:rsidRPr="004068F6">
        <w:rPr>
          <w:rFonts w:cs="Arial"/>
          <w:spacing w:val="-3"/>
        </w:rPr>
        <w:t>presenta</w:t>
      </w:r>
      <w:r w:rsidR="00482A5F" w:rsidRPr="004068F6">
        <w:rPr>
          <w:spacing w:val="-3"/>
        </w:rPr>
        <w:t xml:space="preserve"> en la </w:t>
      </w:r>
      <w:r w:rsidR="00482A5F" w:rsidRPr="004068F6">
        <w:rPr>
          <w:spacing w:val="-3"/>
        </w:rPr>
        <w:fldChar w:fldCharType="begin"/>
      </w:r>
      <w:r w:rsidR="00482A5F" w:rsidRPr="004068F6">
        <w:rPr>
          <w:spacing w:val="-3"/>
        </w:rPr>
        <w:instrText xml:space="preserve"> REF _Ref513641281 \h  \* MERGEFORMAT </w:instrText>
      </w:r>
      <w:r w:rsidR="00482A5F" w:rsidRPr="004068F6">
        <w:rPr>
          <w:spacing w:val="-3"/>
        </w:rPr>
      </w:r>
      <w:r w:rsidR="00482A5F" w:rsidRPr="004068F6">
        <w:rPr>
          <w:spacing w:val="-3"/>
        </w:rPr>
        <w:fldChar w:fldCharType="separate"/>
      </w:r>
      <w:r w:rsidR="009C4A81" w:rsidRPr="009C4A81">
        <w:rPr>
          <w:spacing w:val="-3"/>
        </w:rPr>
        <w:t xml:space="preserve">Figura </w:t>
      </w:r>
      <w:r w:rsidR="009C4A81" w:rsidRPr="009C4A81">
        <w:rPr>
          <w:rFonts w:cs="Arial"/>
          <w:bCs/>
          <w:spacing w:val="-3"/>
        </w:rPr>
        <w:t>15</w:t>
      </w:r>
      <w:r w:rsidR="00482A5F" w:rsidRPr="004068F6">
        <w:rPr>
          <w:spacing w:val="-3"/>
        </w:rPr>
        <w:fldChar w:fldCharType="end"/>
      </w:r>
      <w:r w:rsidR="00482A5F" w:rsidRPr="004068F6">
        <w:rPr>
          <w:spacing w:val="-3"/>
        </w:rPr>
        <w:t>.</w:t>
      </w:r>
    </w:p>
    <w:p w14:paraId="08A64267" w14:textId="027CB8EA" w:rsidR="009E5AFC" w:rsidRPr="004068F6" w:rsidRDefault="009E5AFC">
      <w:pPr>
        <w:overflowPunct/>
        <w:autoSpaceDE/>
        <w:autoSpaceDN/>
        <w:adjustRightInd/>
        <w:jc w:val="left"/>
        <w:textAlignment w:val="auto"/>
        <w:rPr>
          <w:spacing w:val="-3"/>
        </w:rPr>
      </w:pPr>
    </w:p>
    <w:p w14:paraId="5582B9A9" w14:textId="523FB2F2" w:rsidR="00482A5F" w:rsidRPr="004068F6" w:rsidRDefault="00DB3785" w:rsidP="00C86DA5">
      <w:pPr>
        <w:numPr>
          <w:ilvl w:val="12"/>
          <w:numId w:val="0"/>
        </w:numPr>
        <w:tabs>
          <w:tab w:val="left" w:pos="-2268"/>
        </w:tabs>
        <w:suppressAutoHyphens/>
        <w:ind w:left="567"/>
        <w:rPr>
          <w:spacing w:val="-3"/>
        </w:rPr>
      </w:pPr>
      <w:r w:rsidRPr="004068F6">
        <w:rPr>
          <w:spacing w:val="-3"/>
        </w:rPr>
        <w:t>E</w:t>
      </w:r>
      <w:r w:rsidR="00482A5F" w:rsidRPr="004068F6">
        <w:rPr>
          <w:spacing w:val="-3"/>
        </w:rPr>
        <w:t>l trabajo en campo para la selección y recolección de ep</w:t>
      </w:r>
      <w:r w:rsidR="001256B9" w:rsidRPr="004068F6">
        <w:rPr>
          <w:spacing w:val="-3"/>
        </w:rPr>
        <w:t>í</w:t>
      </w:r>
      <w:r w:rsidR="00482A5F" w:rsidRPr="004068F6">
        <w:rPr>
          <w:spacing w:val="-3"/>
        </w:rPr>
        <w:t>fitas vasculares</w:t>
      </w:r>
      <w:r w:rsidR="0000400A" w:rsidRPr="004068F6">
        <w:rPr>
          <w:spacing w:val="-3"/>
        </w:rPr>
        <w:t>,</w:t>
      </w:r>
      <w:r w:rsidR="00482A5F" w:rsidRPr="004068F6">
        <w:rPr>
          <w:spacing w:val="-3"/>
        </w:rPr>
        <w:t xml:space="preserve"> no vasculares </w:t>
      </w:r>
      <w:r w:rsidR="0000400A" w:rsidRPr="004068F6">
        <w:rPr>
          <w:spacing w:val="-3"/>
        </w:rPr>
        <w:t xml:space="preserve">y líquenes </w:t>
      </w:r>
      <w:r w:rsidRPr="004068F6">
        <w:rPr>
          <w:spacing w:val="-3"/>
        </w:rPr>
        <w:t xml:space="preserve">debe ejecutarse </w:t>
      </w:r>
      <w:r w:rsidR="00482A5F" w:rsidRPr="004068F6">
        <w:rPr>
          <w:spacing w:val="-3"/>
        </w:rPr>
        <w:t>de la siguiente forma:</w:t>
      </w:r>
    </w:p>
    <w:p w14:paraId="131970C6" w14:textId="77777777" w:rsidR="00482A5F" w:rsidRPr="004068F6" w:rsidRDefault="00482A5F">
      <w:pPr>
        <w:numPr>
          <w:ilvl w:val="12"/>
          <w:numId w:val="0"/>
        </w:numPr>
        <w:tabs>
          <w:tab w:val="left" w:pos="-2268"/>
        </w:tabs>
        <w:suppressAutoHyphens/>
        <w:rPr>
          <w:spacing w:val="-3"/>
        </w:rPr>
      </w:pPr>
    </w:p>
    <w:p w14:paraId="202CB397" w14:textId="54ABF28B" w:rsidR="00045B66" w:rsidRPr="004068F6" w:rsidRDefault="00482A5F" w:rsidP="00C86DA5">
      <w:pPr>
        <w:numPr>
          <w:ilvl w:val="1"/>
          <w:numId w:val="87"/>
        </w:numPr>
        <w:tabs>
          <w:tab w:val="left" w:pos="-2268"/>
        </w:tabs>
        <w:suppressAutoHyphens/>
        <w:ind w:left="1134" w:hanging="567"/>
        <w:rPr>
          <w:spacing w:val="-3"/>
        </w:rPr>
      </w:pPr>
      <w:bookmarkStart w:id="2899" w:name="_Hlk42155239"/>
      <w:r w:rsidRPr="004068F6">
        <w:rPr>
          <w:b/>
          <w:spacing w:val="-3"/>
        </w:rPr>
        <w:t>Flora no vascular</w:t>
      </w:r>
      <w:r w:rsidRPr="004068F6">
        <w:rPr>
          <w:rFonts w:cs="Arial"/>
          <w:b/>
          <w:spacing w:val="-3"/>
        </w:rPr>
        <w:t xml:space="preserve"> y líquenes</w:t>
      </w:r>
      <w:bookmarkEnd w:id="2899"/>
      <w:r w:rsidRPr="004068F6">
        <w:rPr>
          <w:spacing w:val="-3"/>
        </w:rPr>
        <w:t xml:space="preserve">: </w:t>
      </w:r>
      <w:r w:rsidR="00E947ED" w:rsidRPr="004068F6">
        <w:rPr>
          <w:spacing w:val="-3"/>
        </w:rPr>
        <w:t>de acuerdo con el diámetro de los troncos y las características de las cortezas de los árboles o arbustos seleccionados como forófitos</w:t>
      </w:r>
      <w:r w:rsidR="00B17D5A" w:rsidRPr="004068F6">
        <w:rPr>
          <w:spacing w:val="-3"/>
        </w:rPr>
        <w:t>,</w:t>
      </w:r>
      <w:r w:rsidR="00E947ED" w:rsidRPr="004068F6">
        <w:rPr>
          <w:spacing w:val="-3"/>
        </w:rPr>
        <w:t xml:space="preserve"> se debe establecer el tamaño de la plantilla para realizar </w:t>
      </w:r>
      <w:r w:rsidR="00163381" w:rsidRPr="004068F6">
        <w:rPr>
          <w:spacing w:val="-3"/>
        </w:rPr>
        <w:t>el muestreo (en cm</w:t>
      </w:r>
      <w:r w:rsidR="00163381" w:rsidRPr="004068F6">
        <w:rPr>
          <w:spacing w:val="-3"/>
          <w:vertAlign w:val="superscript"/>
        </w:rPr>
        <w:t>2</w:t>
      </w:r>
      <w:r w:rsidR="00163381" w:rsidRPr="004068F6">
        <w:rPr>
          <w:spacing w:val="-3"/>
        </w:rPr>
        <w:t xml:space="preserve">) y </w:t>
      </w:r>
      <w:r w:rsidR="00E947ED" w:rsidRPr="004068F6">
        <w:rPr>
          <w:spacing w:val="-3"/>
        </w:rPr>
        <w:t>optimizar la toma de datos de campo (</w:t>
      </w:r>
      <w:r w:rsidR="00045B66" w:rsidRPr="004068F6">
        <w:rPr>
          <w:spacing w:val="-3"/>
        </w:rPr>
        <w:t xml:space="preserve">Iwatsuki, 1960; </w:t>
      </w:r>
      <w:r w:rsidR="00E947ED" w:rsidRPr="004068F6">
        <w:rPr>
          <w:spacing w:val="-3"/>
        </w:rPr>
        <w:t>Gradstein et al.</w:t>
      </w:r>
      <w:r w:rsidR="00045B66" w:rsidRPr="004068F6">
        <w:rPr>
          <w:spacing w:val="-3"/>
        </w:rPr>
        <w:t>,</w:t>
      </w:r>
      <w:r w:rsidR="00E947ED" w:rsidRPr="004068F6">
        <w:rPr>
          <w:spacing w:val="-3"/>
        </w:rPr>
        <w:t xml:space="preserve"> 2003). </w:t>
      </w:r>
      <w:r w:rsidR="00045B66" w:rsidRPr="004068F6">
        <w:rPr>
          <w:spacing w:val="-3"/>
        </w:rPr>
        <w:t>El muestreo</w:t>
      </w:r>
      <w:r w:rsidR="00B17D5A" w:rsidRPr="004068F6">
        <w:rPr>
          <w:spacing w:val="-3"/>
        </w:rPr>
        <w:t xml:space="preserve"> </w:t>
      </w:r>
      <w:r w:rsidR="00045B66" w:rsidRPr="004068F6">
        <w:rPr>
          <w:spacing w:val="-3"/>
        </w:rPr>
        <w:t xml:space="preserve">debe realizarse </w:t>
      </w:r>
      <w:r w:rsidR="00B17D5A" w:rsidRPr="004068F6">
        <w:rPr>
          <w:spacing w:val="-3"/>
        </w:rPr>
        <w:t xml:space="preserve">en </w:t>
      </w:r>
      <w:r w:rsidRPr="004068F6">
        <w:rPr>
          <w:spacing w:val="-3"/>
        </w:rPr>
        <w:t>los puntos cardinales del forófito (norte, sur, oriente y occidente)</w:t>
      </w:r>
      <w:r w:rsidR="0026194F" w:rsidRPr="004068F6">
        <w:rPr>
          <w:spacing w:val="-3"/>
        </w:rPr>
        <w:t xml:space="preserve"> para aquellos casos en que el diámetro del tronco sea igual o mayor a 4 veces el tamaño de la plantilla. En caso de presentarse un diámetro de tronco menor, se deben muestrear 3 o 2 frentes del forófito, sin sobreponer la plantilla en una misma área. Para las especies vasculares, el muestreo se debe realizar en cada una de las zonas de Johansson, y para las especies no vasculares, en las zonas I y II</w:t>
      </w:r>
      <w:r w:rsidR="00045B66" w:rsidRPr="004068F6">
        <w:rPr>
          <w:spacing w:val="-3"/>
        </w:rPr>
        <w:t xml:space="preserve">, evaluando </w:t>
      </w:r>
      <w:r w:rsidR="00B17D5A" w:rsidRPr="004068F6">
        <w:rPr>
          <w:spacing w:val="-3"/>
        </w:rPr>
        <w:t xml:space="preserve">en las plantillas antes determinadas </w:t>
      </w:r>
      <w:r w:rsidR="00045B66" w:rsidRPr="004068F6">
        <w:rPr>
          <w:spacing w:val="-3"/>
        </w:rPr>
        <w:t>la diversidad por estrato</w:t>
      </w:r>
      <w:r w:rsidR="004D3B48" w:rsidRPr="004068F6">
        <w:rPr>
          <w:spacing w:val="-3"/>
        </w:rPr>
        <w:t xml:space="preserve"> vertical</w:t>
      </w:r>
      <w:r w:rsidR="00045B66" w:rsidRPr="004068F6">
        <w:rPr>
          <w:spacing w:val="-3"/>
        </w:rPr>
        <w:t xml:space="preserve"> (</w:t>
      </w:r>
      <w:r w:rsidR="00B17D5A" w:rsidRPr="004068F6">
        <w:rPr>
          <w:spacing w:val="-3"/>
        </w:rPr>
        <w:t xml:space="preserve">Ter Steege &amp; Cornelissen, 1989; </w:t>
      </w:r>
      <w:r w:rsidR="00045B66" w:rsidRPr="004068F6">
        <w:rPr>
          <w:spacing w:val="-3"/>
        </w:rPr>
        <w:t>Frahm et al., 2003</w:t>
      </w:r>
      <w:r w:rsidR="00B17D5A" w:rsidRPr="004068F6">
        <w:rPr>
          <w:spacing w:val="-3"/>
        </w:rPr>
        <w:t>;</w:t>
      </w:r>
      <w:r w:rsidR="00045B66" w:rsidRPr="004068F6">
        <w:rPr>
          <w:spacing w:val="-3"/>
        </w:rPr>
        <w:t xml:space="preserve"> Glime, 2017)</w:t>
      </w:r>
      <w:r w:rsidRPr="004068F6">
        <w:rPr>
          <w:spacing w:val="-3"/>
        </w:rPr>
        <w:t>.</w:t>
      </w:r>
    </w:p>
    <w:p w14:paraId="47CD4C01" w14:textId="77777777" w:rsidR="00045B66" w:rsidRPr="004068F6" w:rsidRDefault="00045B66" w:rsidP="00045B66">
      <w:pPr>
        <w:tabs>
          <w:tab w:val="left" w:pos="-2268"/>
        </w:tabs>
        <w:suppressAutoHyphens/>
        <w:ind w:left="1134"/>
        <w:rPr>
          <w:b/>
          <w:spacing w:val="-3"/>
        </w:rPr>
      </w:pPr>
    </w:p>
    <w:p w14:paraId="45ADF651" w14:textId="513DA3AB" w:rsidR="00A56F01" w:rsidRPr="004068F6" w:rsidRDefault="00A56F01" w:rsidP="00045B66">
      <w:pPr>
        <w:tabs>
          <w:tab w:val="left" w:pos="-2268"/>
        </w:tabs>
        <w:suppressAutoHyphens/>
        <w:ind w:left="1134"/>
        <w:rPr>
          <w:rFonts w:cs="Arial"/>
          <w:spacing w:val="-3"/>
        </w:rPr>
      </w:pPr>
      <w:r w:rsidRPr="004068F6">
        <w:t>La caracterización de estos organismos debe seguir protocolos apropiados para la colecta, preservación y embalaje de ejemplares. L</w:t>
      </w:r>
      <w:r w:rsidR="00D47B54" w:rsidRPr="004068F6">
        <w:rPr>
          <w:spacing w:val="-3"/>
        </w:rPr>
        <w:t xml:space="preserve">as muestras colectadas deben ser representativas y retiradas con machete, pala o navaja de acuerdo </w:t>
      </w:r>
      <w:r w:rsidR="00D47B54" w:rsidRPr="004068F6">
        <w:rPr>
          <w:rFonts w:cs="Arial"/>
          <w:spacing w:val="-3"/>
        </w:rPr>
        <w:t>con</w:t>
      </w:r>
      <w:r w:rsidR="00D47B54" w:rsidRPr="004068F6">
        <w:rPr>
          <w:spacing w:val="-3"/>
        </w:rPr>
        <w:t xml:space="preserve"> la consistencia del árbol y de la especie de flora no vascular</w:t>
      </w:r>
      <w:r w:rsidR="00D47B54" w:rsidRPr="004068F6">
        <w:rPr>
          <w:rFonts w:cs="Arial"/>
          <w:spacing w:val="-3"/>
        </w:rPr>
        <w:t xml:space="preserve"> o de liquen.</w:t>
      </w:r>
    </w:p>
    <w:p w14:paraId="75138E25" w14:textId="77777777" w:rsidR="00A56F01" w:rsidRPr="004068F6" w:rsidRDefault="00A56F01" w:rsidP="00045B66">
      <w:pPr>
        <w:tabs>
          <w:tab w:val="left" w:pos="-2268"/>
        </w:tabs>
        <w:suppressAutoHyphens/>
        <w:ind w:left="1134"/>
        <w:rPr>
          <w:rFonts w:cs="Arial"/>
          <w:spacing w:val="-3"/>
        </w:rPr>
      </w:pPr>
    </w:p>
    <w:p w14:paraId="48DA93E4" w14:textId="7AA81ECD" w:rsidR="00D47B54" w:rsidRPr="004068F6" w:rsidRDefault="00D47B54" w:rsidP="00045B66">
      <w:pPr>
        <w:tabs>
          <w:tab w:val="left" w:pos="-2268"/>
        </w:tabs>
        <w:suppressAutoHyphens/>
        <w:ind w:left="1134"/>
        <w:rPr>
          <w:spacing w:val="-3"/>
        </w:rPr>
      </w:pPr>
      <w:r w:rsidRPr="004068F6">
        <w:rPr>
          <w:rFonts w:cs="Arial"/>
          <w:spacing w:val="-3"/>
        </w:rPr>
        <w:t>Dado que l</w:t>
      </w:r>
      <w:r w:rsidR="00C1355F" w:rsidRPr="004068F6">
        <w:rPr>
          <w:rFonts w:cs="Arial"/>
          <w:spacing w:val="-3"/>
        </w:rPr>
        <w:t xml:space="preserve">a determinación taxonómica debe realizarse preferiblemente a partir del análisis de </w:t>
      </w:r>
      <w:r w:rsidR="00C1355F" w:rsidRPr="004068F6">
        <w:rPr>
          <w:spacing w:val="-3"/>
        </w:rPr>
        <w:t>estructuras reproductivas</w:t>
      </w:r>
      <w:r w:rsidRPr="004068F6">
        <w:rPr>
          <w:spacing w:val="-3"/>
        </w:rPr>
        <w:t xml:space="preserve">, </w:t>
      </w:r>
      <w:r w:rsidRPr="004068F6">
        <w:rPr>
          <w:rFonts w:cs="Arial"/>
          <w:spacing w:val="-3"/>
        </w:rPr>
        <w:t>se debe buscar la recolección de un ejemplar fértil</w:t>
      </w:r>
      <w:r w:rsidR="00A56F01" w:rsidRPr="004068F6">
        <w:rPr>
          <w:rFonts w:cs="Arial"/>
          <w:spacing w:val="-3"/>
        </w:rPr>
        <w:t xml:space="preserve"> exam</w:t>
      </w:r>
      <w:r w:rsidR="00AD0EF8" w:rsidRPr="004068F6">
        <w:rPr>
          <w:rFonts w:cs="Arial"/>
          <w:spacing w:val="-3"/>
        </w:rPr>
        <w:t xml:space="preserve">inando las plantillas </w:t>
      </w:r>
      <w:r w:rsidR="00A56F01" w:rsidRPr="004068F6">
        <w:rPr>
          <w:spacing w:val="-3"/>
        </w:rPr>
        <w:t xml:space="preserve">con una lupa de </w:t>
      </w:r>
      <w:r w:rsidR="00A56F01" w:rsidRPr="004068F6">
        <w:rPr>
          <w:rFonts w:cs="Arial"/>
          <w:spacing w:val="-3"/>
        </w:rPr>
        <w:t>30x</w:t>
      </w:r>
      <w:r w:rsidR="00A56F01" w:rsidRPr="004068F6">
        <w:rPr>
          <w:spacing w:val="-3"/>
        </w:rPr>
        <w:t xml:space="preserve"> mínimo</w:t>
      </w:r>
      <w:r w:rsidRPr="004068F6">
        <w:rPr>
          <w:spacing w:val="-3"/>
        </w:rPr>
        <w:t>;</w:t>
      </w:r>
      <w:r w:rsidR="00C1355F" w:rsidRPr="004068F6">
        <w:rPr>
          <w:spacing w:val="-3"/>
        </w:rPr>
        <w:t xml:space="preserve"> </w:t>
      </w:r>
      <w:r w:rsidR="00482A5F" w:rsidRPr="004068F6">
        <w:rPr>
          <w:rFonts w:cs="Arial"/>
          <w:spacing w:val="-3"/>
        </w:rPr>
        <w:t xml:space="preserve">en </w:t>
      </w:r>
      <w:r w:rsidR="009B5D75" w:rsidRPr="004068F6">
        <w:rPr>
          <w:rFonts w:cs="Arial"/>
          <w:spacing w:val="-3"/>
        </w:rPr>
        <w:t>todo caso</w:t>
      </w:r>
      <w:r w:rsidR="005F2CF6" w:rsidRPr="004068F6">
        <w:rPr>
          <w:rFonts w:cs="Arial"/>
          <w:spacing w:val="-3"/>
        </w:rPr>
        <w:t>,</w:t>
      </w:r>
      <w:r w:rsidR="00482A5F" w:rsidRPr="004068F6">
        <w:rPr>
          <w:rFonts w:cs="Arial"/>
          <w:spacing w:val="-3"/>
        </w:rPr>
        <w:t xml:space="preserve"> </w:t>
      </w:r>
      <w:r w:rsidRPr="004068F6">
        <w:rPr>
          <w:rFonts w:cs="Arial"/>
          <w:spacing w:val="-3"/>
        </w:rPr>
        <w:t xml:space="preserve">además de la recolección de </w:t>
      </w:r>
      <w:r w:rsidR="00A56F01" w:rsidRPr="004068F6">
        <w:rPr>
          <w:rFonts w:cs="Arial"/>
          <w:spacing w:val="-3"/>
        </w:rPr>
        <w:t>especímenes</w:t>
      </w:r>
      <w:r w:rsidR="009B5D75" w:rsidRPr="004068F6">
        <w:rPr>
          <w:rFonts w:cs="Arial"/>
          <w:spacing w:val="-3"/>
        </w:rPr>
        <w:t xml:space="preserve"> </w:t>
      </w:r>
      <w:r w:rsidR="006D03B0" w:rsidRPr="004068F6">
        <w:rPr>
          <w:rFonts w:cs="Arial"/>
          <w:spacing w:val="-3"/>
        </w:rPr>
        <w:t>(</w:t>
      </w:r>
      <w:r w:rsidR="009B5D75" w:rsidRPr="004068F6">
        <w:rPr>
          <w:rFonts w:cs="Arial"/>
          <w:spacing w:val="-3"/>
        </w:rPr>
        <w:t>fértiles o no</w:t>
      </w:r>
      <w:r w:rsidR="006D03B0" w:rsidRPr="004068F6">
        <w:rPr>
          <w:rFonts w:cs="Arial"/>
          <w:spacing w:val="-3"/>
        </w:rPr>
        <w:t>)</w:t>
      </w:r>
      <w:r w:rsidRPr="004068F6">
        <w:rPr>
          <w:rFonts w:cs="Arial"/>
          <w:spacing w:val="-3"/>
        </w:rPr>
        <w:t xml:space="preserve">, se debe </w:t>
      </w:r>
      <w:r w:rsidR="00482A5F" w:rsidRPr="004068F6">
        <w:rPr>
          <w:rFonts w:cs="Arial"/>
          <w:spacing w:val="-3"/>
        </w:rPr>
        <w:t xml:space="preserve">registrar </w:t>
      </w:r>
      <w:r w:rsidR="005123F4" w:rsidRPr="004068F6">
        <w:rPr>
          <w:rFonts w:cs="Arial"/>
          <w:spacing w:val="-3"/>
        </w:rPr>
        <w:t xml:space="preserve">en las planillas de campo </w:t>
      </w:r>
      <w:r w:rsidR="00482A5F" w:rsidRPr="004068F6">
        <w:rPr>
          <w:rFonts w:cs="Arial"/>
          <w:spacing w:val="-3"/>
        </w:rPr>
        <w:t xml:space="preserve">aspectos fisionómicos </w:t>
      </w:r>
      <w:r w:rsidR="00286765" w:rsidRPr="004068F6">
        <w:rPr>
          <w:spacing w:val="-3"/>
        </w:rPr>
        <w:t>importantes como el tipo de ramificación, disposición de las hojas y forma de crecimiento (briofitos) y tipo, forma, consistencia del talo y fijación al sustrato (líquenes), color, textura y otras características</w:t>
      </w:r>
      <w:r w:rsidR="00286765" w:rsidRPr="004068F6">
        <w:rPr>
          <w:rFonts w:cs="Arial"/>
          <w:spacing w:val="-3"/>
        </w:rPr>
        <w:t xml:space="preserve"> </w:t>
      </w:r>
      <w:r w:rsidR="00C449F3" w:rsidRPr="004068F6">
        <w:rPr>
          <w:rFonts w:cs="Arial"/>
          <w:spacing w:val="-3"/>
        </w:rPr>
        <w:t xml:space="preserve">que permitan </w:t>
      </w:r>
      <w:r w:rsidR="005123F4" w:rsidRPr="004068F6">
        <w:rPr>
          <w:rFonts w:cs="Arial"/>
          <w:spacing w:val="-3"/>
        </w:rPr>
        <w:t xml:space="preserve">su determinación </w:t>
      </w:r>
      <w:r w:rsidR="00B13601" w:rsidRPr="004068F6">
        <w:rPr>
          <w:rFonts w:cs="Arial"/>
          <w:spacing w:val="-3"/>
        </w:rPr>
        <w:t>taxonómica en laboratorio</w:t>
      </w:r>
      <w:r w:rsidR="00C449F3" w:rsidRPr="004068F6">
        <w:rPr>
          <w:rFonts w:cs="Arial"/>
          <w:spacing w:val="-3"/>
        </w:rPr>
        <w:t xml:space="preserve">, proceso que debe ejecutarse </w:t>
      </w:r>
      <w:r w:rsidR="005123F4" w:rsidRPr="004068F6">
        <w:rPr>
          <w:rFonts w:cs="Arial"/>
          <w:spacing w:val="-3"/>
        </w:rPr>
        <w:t xml:space="preserve">mediante </w:t>
      </w:r>
      <w:r w:rsidR="00B13601" w:rsidRPr="004068F6">
        <w:rPr>
          <w:rFonts w:cs="Arial"/>
          <w:spacing w:val="-3"/>
        </w:rPr>
        <w:t>instrumentos ópticos especializados y la aplicación de pruebas químicas</w:t>
      </w:r>
      <w:r w:rsidR="00482A5F" w:rsidRPr="004068F6">
        <w:rPr>
          <w:rFonts w:cs="Arial"/>
          <w:spacing w:val="-3"/>
        </w:rPr>
        <w:t>.</w:t>
      </w:r>
    </w:p>
    <w:p w14:paraId="1A6938C6" w14:textId="4DA4955A" w:rsidR="00482A5F" w:rsidRPr="004068F6" w:rsidRDefault="00482A5F">
      <w:pPr>
        <w:tabs>
          <w:tab w:val="left" w:pos="-2268"/>
        </w:tabs>
        <w:suppressAutoHyphens/>
        <w:rPr>
          <w:spacing w:val="-3"/>
        </w:rPr>
      </w:pPr>
    </w:p>
    <w:p w14:paraId="51B3CE1C" w14:textId="664F9F41" w:rsidR="00482A5F" w:rsidRPr="004068F6" w:rsidRDefault="00482A5F" w:rsidP="00C86DA5">
      <w:pPr>
        <w:numPr>
          <w:ilvl w:val="1"/>
          <w:numId w:val="87"/>
        </w:numPr>
        <w:tabs>
          <w:tab w:val="left" w:pos="-2268"/>
        </w:tabs>
        <w:suppressAutoHyphens/>
        <w:ind w:left="1134" w:hanging="567"/>
        <w:rPr>
          <w:spacing w:val="-3"/>
        </w:rPr>
      </w:pPr>
      <w:r w:rsidRPr="004068F6">
        <w:rPr>
          <w:b/>
          <w:spacing w:val="-3"/>
        </w:rPr>
        <w:t>Flora vascular</w:t>
      </w:r>
      <w:r w:rsidRPr="004068F6">
        <w:rPr>
          <w:spacing w:val="-3"/>
        </w:rPr>
        <w:t xml:space="preserve">: </w:t>
      </w:r>
      <w:r w:rsidRPr="004068F6">
        <w:rPr>
          <w:rFonts w:cs="Arial"/>
          <w:spacing w:val="-3"/>
        </w:rPr>
        <w:t>el muestreo de los diferentes grupos de epífitas vasculares</w:t>
      </w:r>
      <w:r w:rsidR="005F2CF6" w:rsidRPr="004068F6">
        <w:rPr>
          <w:rFonts w:cs="Arial"/>
          <w:spacing w:val="-3"/>
        </w:rPr>
        <w:t>, se</w:t>
      </w:r>
      <w:r w:rsidRPr="004068F6">
        <w:rPr>
          <w:rFonts w:cs="Arial"/>
          <w:spacing w:val="-3"/>
        </w:rPr>
        <w:t xml:space="preserve"> debe </w:t>
      </w:r>
      <w:r w:rsidR="00627791" w:rsidRPr="004068F6">
        <w:rPr>
          <w:rFonts w:cs="Arial"/>
          <w:spacing w:val="-3"/>
        </w:rPr>
        <w:t xml:space="preserve">realizar registrando la cantidad </w:t>
      </w:r>
      <w:r w:rsidRPr="004068F6">
        <w:rPr>
          <w:rFonts w:cs="Arial"/>
          <w:spacing w:val="-3"/>
        </w:rPr>
        <w:t xml:space="preserve">de individuos </w:t>
      </w:r>
      <w:r w:rsidR="00627791" w:rsidRPr="004068F6">
        <w:rPr>
          <w:rFonts w:cs="Arial"/>
          <w:spacing w:val="-3"/>
        </w:rPr>
        <w:t>(abundancia) o bien, de agregados por especie, observada para cada estrato vertical del forófito</w:t>
      </w:r>
      <w:r w:rsidR="001607B6" w:rsidRPr="004068F6">
        <w:rPr>
          <w:rFonts w:cs="Arial"/>
          <w:spacing w:val="-3"/>
        </w:rPr>
        <w:t xml:space="preserve"> (</w:t>
      </w:r>
      <w:r w:rsidR="001607B6" w:rsidRPr="004068F6">
        <w:rPr>
          <w:spacing w:val="-3"/>
        </w:rPr>
        <w:fldChar w:fldCharType="begin"/>
      </w:r>
      <w:r w:rsidR="001607B6" w:rsidRPr="004068F6">
        <w:rPr>
          <w:spacing w:val="-3"/>
        </w:rPr>
        <w:instrText xml:space="preserve"> REF _Ref513641281 \h  \* MERGEFORMAT </w:instrText>
      </w:r>
      <w:r w:rsidR="001607B6" w:rsidRPr="004068F6">
        <w:rPr>
          <w:spacing w:val="-3"/>
        </w:rPr>
      </w:r>
      <w:r w:rsidR="001607B6" w:rsidRPr="004068F6">
        <w:rPr>
          <w:spacing w:val="-3"/>
        </w:rPr>
        <w:fldChar w:fldCharType="separate"/>
      </w:r>
      <w:r w:rsidR="009C4A81" w:rsidRPr="009C4A81">
        <w:rPr>
          <w:spacing w:val="-3"/>
        </w:rPr>
        <w:t xml:space="preserve">Figura </w:t>
      </w:r>
      <w:r w:rsidR="009C4A81" w:rsidRPr="009C4A81">
        <w:rPr>
          <w:rFonts w:cs="Arial"/>
          <w:bCs/>
          <w:spacing w:val="-3"/>
        </w:rPr>
        <w:t>15</w:t>
      </w:r>
      <w:r w:rsidR="001607B6" w:rsidRPr="004068F6">
        <w:rPr>
          <w:spacing w:val="-3"/>
        </w:rPr>
        <w:fldChar w:fldCharType="end"/>
      </w:r>
      <w:r w:rsidR="001607B6" w:rsidRPr="004068F6">
        <w:rPr>
          <w:rFonts w:cs="Arial"/>
          <w:spacing w:val="-3"/>
        </w:rPr>
        <w:t>)</w:t>
      </w:r>
      <w:r w:rsidRPr="004068F6">
        <w:rPr>
          <w:spacing w:val="-3"/>
        </w:rPr>
        <w:t>.</w:t>
      </w:r>
      <w:r w:rsidRPr="004068F6">
        <w:rPr>
          <w:rFonts w:cs="Arial"/>
          <w:spacing w:val="-3"/>
        </w:rPr>
        <w:t xml:space="preserve"> Además, </w:t>
      </w:r>
      <w:r w:rsidR="005F2CF6" w:rsidRPr="004068F6">
        <w:rPr>
          <w:rFonts w:cs="Arial"/>
          <w:spacing w:val="-3"/>
        </w:rPr>
        <w:t xml:space="preserve">se </w:t>
      </w:r>
      <w:r w:rsidRPr="004068F6">
        <w:rPr>
          <w:rFonts w:cs="Arial"/>
          <w:spacing w:val="-3"/>
        </w:rPr>
        <w:t>debe</w:t>
      </w:r>
      <w:r w:rsidR="00457A51" w:rsidRPr="004068F6">
        <w:rPr>
          <w:rFonts w:cs="Arial"/>
          <w:spacing w:val="-3"/>
        </w:rPr>
        <w:t>n</w:t>
      </w:r>
      <w:r w:rsidRPr="004068F6">
        <w:rPr>
          <w:rFonts w:cs="Arial"/>
          <w:spacing w:val="-3"/>
        </w:rPr>
        <w:t xml:space="preserve"> </w:t>
      </w:r>
      <w:r w:rsidR="005F2CF6" w:rsidRPr="004068F6">
        <w:rPr>
          <w:rFonts w:cs="Arial"/>
          <w:spacing w:val="-3"/>
        </w:rPr>
        <w:t xml:space="preserve">registrar </w:t>
      </w:r>
      <w:r w:rsidRPr="004068F6">
        <w:rPr>
          <w:rFonts w:cs="Arial"/>
          <w:spacing w:val="-3"/>
        </w:rPr>
        <w:t>datos de floración o fructificación.</w:t>
      </w:r>
    </w:p>
    <w:p w14:paraId="3C20394F" w14:textId="77777777" w:rsidR="008B72B8" w:rsidRDefault="008B72B8" w:rsidP="00CC0EA8">
      <w:pPr>
        <w:pStyle w:val="Prrafodelista"/>
        <w:numPr>
          <w:ilvl w:val="12"/>
          <w:numId w:val="87"/>
        </w:numPr>
        <w:tabs>
          <w:tab w:val="left" w:pos="-2268"/>
        </w:tabs>
        <w:suppressAutoHyphens/>
        <w:rPr>
          <w:spacing w:val="-3"/>
        </w:rPr>
      </w:pPr>
    </w:p>
    <w:p w14:paraId="54ACF081" w14:textId="55C33049" w:rsidR="00CC0EA8" w:rsidRPr="00CC0EA8" w:rsidRDefault="00CC0EA8" w:rsidP="00CC0EA8">
      <w:pPr>
        <w:pStyle w:val="Prrafodelista"/>
        <w:numPr>
          <w:ilvl w:val="12"/>
          <w:numId w:val="87"/>
        </w:numPr>
        <w:tabs>
          <w:tab w:val="left" w:pos="-2268"/>
        </w:tabs>
        <w:suppressAutoHyphens/>
        <w:rPr>
          <w:spacing w:val="-3"/>
        </w:rPr>
      </w:pPr>
      <w:r w:rsidRPr="00CC0EA8">
        <w:rPr>
          <w:spacing w:val="-3"/>
        </w:rPr>
        <w:t xml:space="preserve">Deben tomarse muestras botánicas de </w:t>
      </w:r>
      <w:r w:rsidRPr="00CC0EA8">
        <w:rPr>
          <w:rFonts w:cs="Arial"/>
          <w:spacing w:val="-3"/>
        </w:rPr>
        <w:t xml:space="preserve">todas </w:t>
      </w:r>
      <w:r w:rsidRPr="00CC0EA8">
        <w:rPr>
          <w:spacing w:val="-3"/>
        </w:rPr>
        <w:t xml:space="preserve">las especies de </w:t>
      </w:r>
      <w:r w:rsidRPr="00CC0EA8">
        <w:rPr>
          <w:rFonts w:cs="Arial"/>
          <w:spacing w:val="-3"/>
        </w:rPr>
        <w:t xml:space="preserve">flora vascular </w:t>
      </w:r>
      <w:r w:rsidRPr="00CC0EA8">
        <w:rPr>
          <w:spacing w:val="-3"/>
        </w:rPr>
        <w:t>y de líquenes registradas en campo,</w:t>
      </w:r>
      <w:r w:rsidRPr="00CC0EA8">
        <w:rPr>
          <w:rFonts w:cs="Arial"/>
          <w:spacing w:val="-3"/>
        </w:rPr>
        <w:t xml:space="preserve"> a fin de contar con un testigo de todas </w:t>
      </w:r>
      <w:r w:rsidRPr="00CC0EA8">
        <w:rPr>
          <w:spacing w:val="-3"/>
        </w:rPr>
        <w:t xml:space="preserve">ellas </w:t>
      </w:r>
      <w:r w:rsidRPr="00CC0EA8">
        <w:rPr>
          <w:rFonts w:cs="Arial"/>
          <w:spacing w:val="-3"/>
        </w:rPr>
        <w:t>y de realizar su determinación taxonómica, ya sea en un herbario o mediante los servicios de un experto especialista en el grupo taxonómico.</w:t>
      </w:r>
    </w:p>
    <w:p w14:paraId="78052FCA" w14:textId="77777777" w:rsidR="008B72B8" w:rsidRPr="008B72B8" w:rsidRDefault="008B72B8" w:rsidP="008B72B8">
      <w:pPr>
        <w:tabs>
          <w:tab w:val="left" w:pos="-2268"/>
        </w:tabs>
        <w:suppressAutoHyphens/>
        <w:rPr>
          <w:spacing w:val="-3"/>
        </w:rPr>
      </w:pPr>
    </w:p>
    <w:p w14:paraId="7A074134" w14:textId="77777777" w:rsidR="008B72B8" w:rsidRPr="008B72B8" w:rsidRDefault="008B72B8" w:rsidP="008B72B8">
      <w:pPr>
        <w:pStyle w:val="Prrafodelista"/>
        <w:numPr>
          <w:ilvl w:val="12"/>
          <w:numId w:val="87"/>
        </w:numPr>
        <w:tabs>
          <w:tab w:val="left" w:pos="-2268"/>
        </w:tabs>
        <w:suppressAutoHyphens/>
        <w:rPr>
          <w:rFonts w:cs="Arial"/>
          <w:spacing w:val="-3"/>
        </w:rPr>
      </w:pPr>
      <w:r w:rsidRPr="008B72B8">
        <w:rPr>
          <w:rFonts w:cs="Arial"/>
          <w:spacing w:val="-3"/>
        </w:rPr>
        <w:t>La información resultante de la fase de campo se debe contrastar con los listados realizados en la fase previa de revisión de información secundaria, con el fin de verificar y confirmar la diversidad biológica, las distribuciones geográficas y las especies en amenaza, veda o endémicas.</w:t>
      </w:r>
    </w:p>
    <w:p w14:paraId="557B1737" w14:textId="77777777" w:rsidR="00B00400" w:rsidRPr="00CC0EA8" w:rsidRDefault="00B00400" w:rsidP="00B00400">
      <w:pPr>
        <w:tabs>
          <w:tab w:val="left" w:pos="-2268"/>
        </w:tabs>
        <w:suppressAutoHyphens/>
        <w:rPr>
          <w:spacing w:val="-3"/>
          <w:lang w:val="es-ES_tradnl"/>
        </w:rPr>
      </w:pPr>
    </w:p>
    <w:p w14:paraId="317F0ADF" w14:textId="0080696A" w:rsidR="00B00400" w:rsidRPr="004068F6" w:rsidRDefault="00B00400" w:rsidP="00B00400">
      <w:pPr>
        <w:pStyle w:val="Prrafodelista"/>
        <w:numPr>
          <w:ilvl w:val="12"/>
          <w:numId w:val="87"/>
        </w:numPr>
        <w:tabs>
          <w:tab w:val="left" w:pos="-2268"/>
        </w:tabs>
        <w:suppressAutoHyphens/>
        <w:jc w:val="center"/>
        <w:rPr>
          <w:b/>
          <w:spacing w:val="-3"/>
          <w:lang w:val="es-CO"/>
        </w:rPr>
      </w:pPr>
      <w:bookmarkStart w:id="2900" w:name="_Ref513641281"/>
      <w:r w:rsidRPr="004068F6">
        <w:rPr>
          <w:b/>
          <w:spacing w:val="-3"/>
          <w:lang w:val="es-CO"/>
        </w:rPr>
        <w:t xml:space="preserve">Figura </w:t>
      </w:r>
      <w:r w:rsidR="004647AE">
        <w:rPr>
          <w:b/>
          <w:spacing w:val="-3"/>
          <w:lang w:val="es-CO"/>
        </w:rPr>
        <w:fldChar w:fldCharType="begin"/>
      </w:r>
      <w:r w:rsidR="004647AE">
        <w:rPr>
          <w:b/>
          <w:spacing w:val="-3"/>
          <w:lang w:val="es-CO"/>
        </w:rPr>
        <w:instrText xml:space="preserve"> SEQ Figura \* ARABIC </w:instrText>
      </w:r>
      <w:r w:rsidR="004647AE">
        <w:rPr>
          <w:b/>
          <w:spacing w:val="-3"/>
          <w:lang w:val="es-CO"/>
        </w:rPr>
        <w:fldChar w:fldCharType="separate"/>
      </w:r>
      <w:r w:rsidR="009C4A81">
        <w:rPr>
          <w:b/>
          <w:noProof/>
          <w:spacing w:val="-3"/>
          <w:lang w:val="es-CO"/>
        </w:rPr>
        <w:t>15</w:t>
      </w:r>
      <w:r w:rsidR="004647AE">
        <w:rPr>
          <w:b/>
          <w:spacing w:val="-3"/>
          <w:lang w:val="es-CO"/>
        </w:rPr>
        <w:fldChar w:fldCharType="end"/>
      </w:r>
      <w:bookmarkEnd w:id="2900"/>
      <w:r w:rsidRPr="004068F6">
        <w:rPr>
          <w:b/>
          <w:spacing w:val="-3"/>
          <w:lang w:val="es-CO"/>
        </w:rPr>
        <w:t>.</w:t>
      </w:r>
      <w:r w:rsidRPr="004068F6">
        <w:rPr>
          <w:spacing w:val="-3"/>
          <w:lang w:val="es-CO"/>
        </w:rPr>
        <w:t xml:space="preserve"> Zonificación vertical del árbol</w:t>
      </w:r>
    </w:p>
    <w:p w14:paraId="71D0E1FA" w14:textId="6384AA9E" w:rsidR="00B00400" w:rsidRPr="004068F6" w:rsidRDefault="00A81E42" w:rsidP="00B00400">
      <w:pPr>
        <w:pStyle w:val="Prrafodelista"/>
        <w:keepNext/>
        <w:numPr>
          <w:ilvl w:val="12"/>
          <w:numId w:val="87"/>
        </w:numPr>
        <w:tabs>
          <w:tab w:val="left" w:pos="-2268"/>
        </w:tabs>
        <w:suppressAutoHyphens/>
        <w:jc w:val="center"/>
        <w:rPr>
          <w:rFonts w:cs="Arial"/>
          <w:lang w:val="es-CO"/>
        </w:rPr>
      </w:pPr>
      <w:r>
        <w:rPr>
          <w:noProof/>
        </w:rPr>
        <w:drawing>
          <wp:inline distT="0" distB="0" distL="0" distR="0" wp14:anchorId="6F37A386" wp14:editId="44893C86">
            <wp:extent cx="2860158" cy="3548436"/>
            <wp:effectExtent l="0" t="0" r="0" b="0"/>
            <wp:docPr id="1012785106" name="Imagen 23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85106" name="Imagen 232" descr="Diagrama&#10;&#10;El contenido generado por IA puede ser incorrecto."/>
                    <pic:cNvPicPr/>
                  </pic:nvPicPr>
                  <pic:blipFill rotWithShape="1">
                    <a:blip r:embed="rId65"/>
                    <a:srcRect l="4009" r="2101" b="3485"/>
                    <a:stretch>
                      <a:fillRect/>
                    </a:stretch>
                  </pic:blipFill>
                  <pic:spPr bwMode="auto">
                    <a:xfrm>
                      <a:off x="0" y="0"/>
                      <a:ext cx="2870879" cy="3561737"/>
                    </a:xfrm>
                    <a:prstGeom prst="rect">
                      <a:avLst/>
                    </a:prstGeom>
                    <a:ln>
                      <a:noFill/>
                    </a:ln>
                    <a:extLst>
                      <a:ext uri="{53640926-AAD7-44D8-BBD7-CCE9431645EC}">
                        <a14:shadowObscured xmlns:a14="http://schemas.microsoft.com/office/drawing/2010/main"/>
                      </a:ext>
                    </a:extLst>
                  </pic:spPr>
                </pic:pic>
              </a:graphicData>
            </a:graphic>
          </wp:inline>
        </w:drawing>
      </w:r>
    </w:p>
    <w:p w14:paraId="757A3345" w14:textId="624D80D6" w:rsidR="00B00400" w:rsidRPr="004068F6" w:rsidRDefault="00B00400" w:rsidP="00B00400">
      <w:pPr>
        <w:pStyle w:val="Prrafodelista"/>
        <w:numPr>
          <w:ilvl w:val="12"/>
          <w:numId w:val="87"/>
        </w:numPr>
        <w:tabs>
          <w:tab w:val="left" w:pos="-2268"/>
        </w:tabs>
        <w:suppressAutoHyphens/>
        <w:jc w:val="center"/>
        <w:rPr>
          <w:b/>
          <w:spacing w:val="-3"/>
          <w:sz w:val="20"/>
          <w:szCs w:val="28"/>
          <w:lang w:val="es-CO"/>
        </w:rPr>
      </w:pPr>
      <w:r w:rsidRPr="004068F6">
        <w:rPr>
          <w:b/>
          <w:bCs/>
          <w:spacing w:val="-3"/>
          <w:sz w:val="20"/>
          <w:szCs w:val="28"/>
          <w:lang w:val="es-CO"/>
        </w:rPr>
        <w:t>Fuente:</w:t>
      </w:r>
      <w:r w:rsidRPr="004068F6">
        <w:rPr>
          <w:spacing w:val="-3"/>
          <w:sz w:val="20"/>
          <w:szCs w:val="28"/>
          <w:lang w:val="es-CO"/>
        </w:rPr>
        <w:t xml:space="preserve"> </w:t>
      </w:r>
      <w:r w:rsidR="00E65E90" w:rsidRPr="00E65E90">
        <w:rPr>
          <w:spacing w:val="-3"/>
          <w:sz w:val="20"/>
          <w:szCs w:val="28"/>
          <w:lang w:val="es-CO"/>
        </w:rPr>
        <w:t xml:space="preserve">Adaptada de </w:t>
      </w:r>
      <w:r w:rsidRPr="004068F6">
        <w:rPr>
          <w:spacing w:val="-3"/>
          <w:sz w:val="20"/>
          <w:szCs w:val="28"/>
          <w:lang w:val="es-CO"/>
        </w:rPr>
        <w:t>Johansson (1974), citado por Gradstein et al. (2003).</w:t>
      </w:r>
    </w:p>
    <w:p w14:paraId="19C0A41C" w14:textId="77777777" w:rsidR="00482A5F" w:rsidRPr="004068F6" w:rsidRDefault="00482A5F">
      <w:pPr>
        <w:numPr>
          <w:ilvl w:val="12"/>
          <w:numId w:val="0"/>
        </w:numPr>
        <w:tabs>
          <w:tab w:val="left" w:pos="-2268"/>
        </w:tabs>
        <w:suppressAutoHyphens/>
        <w:rPr>
          <w:spacing w:val="-3"/>
        </w:rPr>
      </w:pPr>
    </w:p>
    <w:p w14:paraId="32341CAE" w14:textId="7407D949" w:rsidR="00410552" w:rsidRPr="004068F6" w:rsidRDefault="00861556" w:rsidP="00410552">
      <w:pPr>
        <w:numPr>
          <w:ilvl w:val="12"/>
          <w:numId w:val="0"/>
        </w:numPr>
        <w:tabs>
          <w:tab w:val="left" w:pos="-2268"/>
        </w:tabs>
        <w:suppressAutoHyphens/>
        <w:rPr>
          <w:spacing w:val="-3"/>
        </w:rPr>
      </w:pPr>
      <w:r w:rsidRPr="004068F6">
        <w:rPr>
          <w:rFonts w:cs="Arial"/>
          <w:spacing w:val="-3"/>
        </w:rPr>
        <w:t>Para definir un muestreo representativo por cada ecosistema</w:t>
      </w:r>
      <w:r w:rsidRPr="004068F6">
        <w:rPr>
          <w:spacing w:val="-3"/>
        </w:rPr>
        <w:t xml:space="preserve"> </w:t>
      </w:r>
      <w:r w:rsidR="00410552" w:rsidRPr="004068F6">
        <w:rPr>
          <w:spacing w:val="-3"/>
        </w:rPr>
        <w:t>natural, seminatural y transformado, e</w:t>
      </w:r>
      <w:r w:rsidR="00DE0120" w:rsidRPr="004068F6">
        <w:rPr>
          <w:spacing w:val="-3"/>
        </w:rPr>
        <w:t>s</w:t>
      </w:r>
      <w:r w:rsidR="00410552" w:rsidRPr="004068F6">
        <w:rPr>
          <w:spacing w:val="-3"/>
        </w:rPr>
        <w:t xml:space="preserve"> po</w:t>
      </w:r>
      <w:r w:rsidR="00DE0120" w:rsidRPr="004068F6">
        <w:rPr>
          <w:spacing w:val="-3"/>
        </w:rPr>
        <w:t xml:space="preserve">sible </w:t>
      </w:r>
      <w:r w:rsidR="00AA02D3" w:rsidRPr="004068F6">
        <w:rPr>
          <w:spacing w:val="-3"/>
        </w:rPr>
        <w:t xml:space="preserve">utilizar </w:t>
      </w:r>
      <w:r w:rsidR="00410552" w:rsidRPr="004068F6">
        <w:rPr>
          <w:spacing w:val="-3"/>
        </w:rPr>
        <w:t xml:space="preserve">la curva de acumulación de especies o </w:t>
      </w:r>
      <w:r w:rsidR="00AA02D3" w:rsidRPr="004068F6">
        <w:rPr>
          <w:spacing w:val="-3"/>
        </w:rPr>
        <w:t xml:space="preserve">bien, </w:t>
      </w:r>
      <w:r w:rsidR="00410552" w:rsidRPr="004068F6">
        <w:rPr>
          <w:spacing w:val="-3"/>
        </w:rPr>
        <w:lastRenderedPageBreak/>
        <w:t>desarroll</w:t>
      </w:r>
      <w:r w:rsidR="00AA02D3" w:rsidRPr="004068F6">
        <w:rPr>
          <w:spacing w:val="-3"/>
        </w:rPr>
        <w:t>ar</w:t>
      </w:r>
      <w:r w:rsidR="00410552" w:rsidRPr="004068F6">
        <w:rPr>
          <w:spacing w:val="-3"/>
        </w:rPr>
        <w:t xml:space="preserve"> </w:t>
      </w:r>
      <w:r w:rsidR="00AA02D3" w:rsidRPr="004068F6">
        <w:rPr>
          <w:spacing w:val="-3"/>
        </w:rPr>
        <w:t xml:space="preserve">un </w:t>
      </w:r>
      <w:r w:rsidR="00410552" w:rsidRPr="004068F6">
        <w:rPr>
          <w:spacing w:val="-3"/>
        </w:rPr>
        <w:t xml:space="preserve">análisis de curvas de rarefacción con extrapolación. Con el método de rarefacción, las muestras comparadas deben ser consistentes </w:t>
      </w:r>
      <w:r w:rsidR="00622613" w:rsidRPr="00127BD4">
        <w:rPr>
          <w:spacing w:val="-3"/>
        </w:rPr>
        <w:t xml:space="preserve">con </w:t>
      </w:r>
      <w:r w:rsidR="00B75F88" w:rsidRPr="00127BD4">
        <w:rPr>
          <w:spacing w:val="-3"/>
        </w:rPr>
        <w:t>el método de muestreo que corresponde a cada grupo biológico</w:t>
      </w:r>
      <w:r w:rsidR="00410552" w:rsidRPr="004068F6">
        <w:rPr>
          <w:spacing w:val="-3"/>
        </w:rPr>
        <w:t xml:space="preserve">; es decir, la proyección de la curva de rarefacción </w:t>
      </w:r>
      <w:r w:rsidR="00F053E3" w:rsidRPr="004068F6">
        <w:rPr>
          <w:spacing w:val="-3"/>
        </w:rPr>
        <w:t xml:space="preserve">debe </w:t>
      </w:r>
      <w:r w:rsidR="00410552" w:rsidRPr="004068F6">
        <w:rPr>
          <w:spacing w:val="-3"/>
        </w:rPr>
        <w:t>presentar</w:t>
      </w:r>
      <w:r w:rsidR="00F053E3" w:rsidRPr="004068F6">
        <w:rPr>
          <w:spacing w:val="-3"/>
        </w:rPr>
        <w:t xml:space="preserve">se </w:t>
      </w:r>
      <w:r w:rsidR="00410552" w:rsidRPr="004068F6">
        <w:rPr>
          <w:spacing w:val="-3"/>
        </w:rPr>
        <w:t>de manera independiente para vasculares (bromelias, orquídeas, y demás grupos taxonómicos a considerar) y no vasculares (musgos, hepáticas, anthocerotales, líquenes)</w:t>
      </w:r>
      <w:r w:rsidR="00F053E3" w:rsidRPr="004068F6">
        <w:rPr>
          <w:spacing w:val="-3"/>
        </w:rPr>
        <w:t>,</w:t>
      </w:r>
      <w:r w:rsidR="00410552" w:rsidRPr="004068F6">
        <w:rPr>
          <w:spacing w:val="-3"/>
        </w:rPr>
        <w:t xml:space="preserve"> de acuerdo con los sustratos de su registro (hábito epifito y terrestre - rupícola).</w:t>
      </w:r>
    </w:p>
    <w:p w14:paraId="143D111C" w14:textId="77777777" w:rsidR="00410552" w:rsidRPr="004068F6" w:rsidRDefault="00410552" w:rsidP="00410552">
      <w:pPr>
        <w:numPr>
          <w:ilvl w:val="12"/>
          <w:numId w:val="0"/>
        </w:numPr>
        <w:tabs>
          <w:tab w:val="left" w:pos="-2268"/>
        </w:tabs>
        <w:suppressAutoHyphens/>
        <w:rPr>
          <w:spacing w:val="-3"/>
        </w:rPr>
      </w:pPr>
    </w:p>
    <w:p w14:paraId="05C6271B" w14:textId="77777777" w:rsidR="00410552" w:rsidRPr="004068F6" w:rsidRDefault="00410552" w:rsidP="00410552">
      <w:pPr>
        <w:numPr>
          <w:ilvl w:val="12"/>
          <w:numId w:val="0"/>
        </w:numPr>
        <w:tabs>
          <w:tab w:val="left" w:pos="-2268"/>
        </w:tabs>
        <w:suppressAutoHyphens/>
        <w:rPr>
          <w:spacing w:val="-3"/>
        </w:rPr>
      </w:pPr>
      <w:r w:rsidRPr="004068F6">
        <w:rPr>
          <w:spacing w:val="-3"/>
        </w:rPr>
        <w:t>En cualquier caso, se debe describir detalladamente la metodología implementada, enfatizando en la explicación del esfuerzo de muestreo representativo para los grupos de flora silvestre no arbórea, sustentando la eficiencia y efectividad del muestreo.</w:t>
      </w:r>
    </w:p>
    <w:p w14:paraId="28AE1CFB" w14:textId="77777777" w:rsidR="00410552" w:rsidRPr="004068F6" w:rsidRDefault="00410552">
      <w:pPr>
        <w:numPr>
          <w:ilvl w:val="12"/>
          <w:numId w:val="0"/>
        </w:numPr>
        <w:tabs>
          <w:tab w:val="left" w:pos="-2268"/>
        </w:tabs>
        <w:suppressAutoHyphens/>
        <w:rPr>
          <w:spacing w:val="-3"/>
        </w:rPr>
      </w:pPr>
    </w:p>
    <w:p w14:paraId="0E648E55" w14:textId="40660458" w:rsidR="00482A5F" w:rsidRPr="004068F6" w:rsidRDefault="00482A5F">
      <w:pPr>
        <w:tabs>
          <w:tab w:val="left" w:pos="-2268"/>
        </w:tabs>
        <w:suppressAutoHyphens/>
        <w:rPr>
          <w:spacing w:val="-3"/>
          <w:u w:val="single"/>
        </w:rPr>
      </w:pPr>
      <w:r w:rsidRPr="004068F6">
        <w:rPr>
          <w:spacing w:val="-3"/>
          <w:u w:val="single"/>
        </w:rPr>
        <w:t>Fase de análisis:</w:t>
      </w:r>
    </w:p>
    <w:p w14:paraId="42B50348" w14:textId="77777777" w:rsidR="00482A5F" w:rsidRPr="004068F6" w:rsidRDefault="00482A5F">
      <w:pPr>
        <w:numPr>
          <w:ilvl w:val="12"/>
          <w:numId w:val="0"/>
        </w:numPr>
        <w:tabs>
          <w:tab w:val="left" w:pos="-2268"/>
        </w:tabs>
        <w:suppressAutoHyphens/>
        <w:rPr>
          <w:spacing w:val="-3"/>
        </w:rPr>
      </w:pPr>
    </w:p>
    <w:p w14:paraId="354BC809" w14:textId="4EAE93B8" w:rsidR="00482A5F" w:rsidRPr="004068F6" w:rsidRDefault="00482A5F" w:rsidP="00482A5F">
      <w:pPr>
        <w:numPr>
          <w:ilvl w:val="12"/>
          <w:numId w:val="0"/>
        </w:numPr>
        <w:tabs>
          <w:tab w:val="left" w:pos="-2268"/>
        </w:tabs>
        <w:suppressAutoHyphens/>
        <w:rPr>
          <w:rFonts w:cs="Arial"/>
          <w:spacing w:val="-3"/>
        </w:rPr>
      </w:pPr>
      <w:r w:rsidRPr="004068F6">
        <w:rPr>
          <w:rFonts w:cs="Arial"/>
          <w:spacing w:val="-3"/>
        </w:rPr>
        <w:t>La fase de análisis se aborda bajo las mismas generalidades para las especies vasculares</w:t>
      </w:r>
      <w:r w:rsidR="003A7E0A" w:rsidRPr="004068F6">
        <w:rPr>
          <w:rFonts w:cs="Arial"/>
          <w:spacing w:val="-3"/>
        </w:rPr>
        <w:t>,</w:t>
      </w:r>
      <w:r w:rsidRPr="004068F6">
        <w:rPr>
          <w:rFonts w:cs="Arial"/>
          <w:spacing w:val="-3"/>
        </w:rPr>
        <w:t xml:space="preserve"> no vasculares </w:t>
      </w:r>
      <w:r w:rsidR="003A7E0A" w:rsidRPr="004068F6">
        <w:rPr>
          <w:rFonts w:cs="Arial"/>
          <w:spacing w:val="-3"/>
        </w:rPr>
        <w:t xml:space="preserve">y líquenes de hábito </w:t>
      </w:r>
      <w:r w:rsidR="00515C91" w:rsidRPr="004068F6">
        <w:rPr>
          <w:rFonts w:cs="Arial"/>
          <w:spacing w:val="-3"/>
        </w:rPr>
        <w:t>terrestre</w:t>
      </w:r>
      <w:r w:rsidR="008E0066" w:rsidRPr="004068F6">
        <w:rPr>
          <w:rFonts w:cs="Arial"/>
          <w:spacing w:val="-3"/>
        </w:rPr>
        <w:t xml:space="preserve"> (que incluye al humícola)</w:t>
      </w:r>
      <w:r w:rsidR="00515C91" w:rsidRPr="004068F6">
        <w:rPr>
          <w:rFonts w:cs="Arial"/>
          <w:spacing w:val="-3"/>
        </w:rPr>
        <w:t xml:space="preserve">, </w:t>
      </w:r>
      <w:r w:rsidRPr="004068F6">
        <w:rPr>
          <w:rFonts w:cs="Arial"/>
          <w:spacing w:val="-3"/>
        </w:rPr>
        <w:t>ep</w:t>
      </w:r>
      <w:r w:rsidR="00DF65F4" w:rsidRPr="004068F6">
        <w:rPr>
          <w:rFonts w:cs="Arial"/>
          <w:spacing w:val="-3"/>
        </w:rPr>
        <w:t>í</w:t>
      </w:r>
      <w:r w:rsidRPr="004068F6">
        <w:rPr>
          <w:rFonts w:cs="Arial"/>
          <w:spacing w:val="-3"/>
        </w:rPr>
        <w:t>fit</w:t>
      </w:r>
      <w:r w:rsidR="003A7E0A" w:rsidRPr="004068F6">
        <w:rPr>
          <w:rFonts w:cs="Arial"/>
          <w:spacing w:val="-3"/>
        </w:rPr>
        <w:t>o</w:t>
      </w:r>
      <w:r w:rsidRPr="004068F6">
        <w:rPr>
          <w:rFonts w:cs="Arial"/>
          <w:spacing w:val="-3"/>
        </w:rPr>
        <w:t xml:space="preserve"> y rupícola.</w:t>
      </w:r>
    </w:p>
    <w:p w14:paraId="3745C3CF" w14:textId="77777777" w:rsidR="00482A5F" w:rsidRPr="004068F6" w:rsidRDefault="00482A5F" w:rsidP="00482A5F">
      <w:pPr>
        <w:numPr>
          <w:ilvl w:val="12"/>
          <w:numId w:val="0"/>
        </w:numPr>
        <w:tabs>
          <w:tab w:val="left" w:pos="-2268"/>
        </w:tabs>
        <w:suppressAutoHyphens/>
        <w:rPr>
          <w:rFonts w:cs="Arial"/>
          <w:spacing w:val="-3"/>
        </w:rPr>
      </w:pPr>
    </w:p>
    <w:p w14:paraId="3F4AE568" w14:textId="7164DF10" w:rsidR="002C3DFC" w:rsidRPr="004068F6" w:rsidRDefault="00E55979" w:rsidP="00127BD4">
      <w:pPr>
        <w:tabs>
          <w:tab w:val="left" w:pos="-2268"/>
        </w:tabs>
        <w:suppressAutoHyphens/>
        <w:rPr>
          <w:rFonts w:cs="Arial"/>
          <w:spacing w:val="-3"/>
        </w:rPr>
      </w:pPr>
      <w:r w:rsidRPr="004068F6">
        <w:rPr>
          <w:rFonts w:cs="Arial"/>
          <w:spacing w:val="-3"/>
        </w:rPr>
        <w:t xml:space="preserve">Para la </w:t>
      </w:r>
      <w:r w:rsidR="006B796B" w:rsidRPr="004068F6">
        <w:rPr>
          <w:rFonts w:cs="Arial"/>
          <w:spacing w:val="-3"/>
        </w:rPr>
        <w:t xml:space="preserve">determinación </w:t>
      </w:r>
      <w:r w:rsidRPr="004068F6">
        <w:rPr>
          <w:rFonts w:cs="Arial"/>
          <w:spacing w:val="-3"/>
        </w:rPr>
        <w:t xml:space="preserve">de los especímenes colectados se deben consultar colecciones </w:t>
      </w:r>
      <w:r w:rsidR="003A7E0A" w:rsidRPr="004068F6">
        <w:rPr>
          <w:rFonts w:cs="Arial"/>
        </w:rPr>
        <w:t xml:space="preserve">o </w:t>
      </w:r>
      <w:r w:rsidR="0041783C" w:rsidRPr="004068F6">
        <w:rPr>
          <w:rFonts w:cs="Arial"/>
        </w:rPr>
        <w:t>textos científicos</w:t>
      </w:r>
      <w:r w:rsidR="003A7E0A" w:rsidRPr="004068F6">
        <w:rPr>
          <w:rFonts w:cs="Arial"/>
        </w:rPr>
        <w:t xml:space="preserve"> </w:t>
      </w:r>
      <w:r w:rsidR="0041783C" w:rsidRPr="004068F6">
        <w:rPr>
          <w:rFonts w:cs="Arial"/>
        </w:rPr>
        <w:t xml:space="preserve">enfocados </w:t>
      </w:r>
      <w:r w:rsidRPr="004068F6">
        <w:rPr>
          <w:rFonts w:cs="Arial"/>
          <w:spacing w:val="-3"/>
        </w:rPr>
        <w:t xml:space="preserve">en estos grupos de plantas y </w:t>
      </w:r>
      <w:r w:rsidR="002C3DFC" w:rsidRPr="004068F6">
        <w:rPr>
          <w:rFonts w:cs="Arial"/>
          <w:spacing w:val="-3"/>
        </w:rPr>
        <w:t xml:space="preserve">en </w:t>
      </w:r>
      <w:r w:rsidRPr="004068F6">
        <w:rPr>
          <w:rFonts w:cs="Arial"/>
          <w:spacing w:val="-3"/>
        </w:rPr>
        <w:t>líquenes</w:t>
      </w:r>
      <w:r w:rsidR="002C3DFC" w:rsidRPr="004068F6">
        <w:rPr>
          <w:rFonts w:cs="Arial"/>
          <w:spacing w:val="-3"/>
        </w:rPr>
        <w:t>, pueden consultarse los documentos de Gradstein (20</w:t>
      </w:r>
      <w:r w:rsidR="00100DDF" w:rsidRPr="004068F6">
        <w:rPr>
          <w:rFonts w:cs="Arial"/>
          <w:spacing w:val="-3"/>
        </w:rPr>
        <w:t>0</w:t>
      </w:r>
      <w:r w:rsidR="002C3DFC" w:rsidRPr="004068F6">
        <w:rPr>
          <w:rFonts w:cs="Arial"/>
          <w:spacing w:val="-3"/>
        </w:rPr>
        <w:t>1), Churchill et al. (2020</w:t>
      </w:r>
      <w:r w:rsidR="004023C8" w:rsidRPr="004068F6">
        <w:rPr>
          <w:rFonts w:cs="Arial"/>
          <w:spacing w:val="-3"/>
        </w:rPr>
        <w:t>a, 2020b</w:t>
      </w:r>
      <w:r w:rsidR="002C3DFC" w:rsidRPr="004068F6">
        <w:rPr>
          <w:rFonts w:cs="Arial"/>
          <w:spacing w:val="-3"/>
        </w:rPr>
        <w:t>) y l</w:t>
      </w:r>
      <w:r w:rsidR="00B67A75" w:rsidRPr="004068F6">
        <w:rPr>
          <w:rFonts w:cs="Arial"/>
          <w:spacing w:val="-3"/>
        </w:rPr>
        <w:t>a serie Colombia Diversidad Biótica</w:t>
      </w:r>
      <w:r w:rsidR="002C3DFC" w:rsidRPr="004068F6">
        <w:rPr>
          <w:rFonts w:cs="Arial"/>
          <w:spacing w:val="-3"/>
        </w:rPr>
        <w:t>, entre otros</w:t>
      </w:r>
      <w:r w:rsidRPr="004068F6">
        <w:rPr>
          <w:rFonts w:cs="Arial"/>
          <w:spacing w:val="-3"/>
        </w:rPr>
        <w:t>.</w:t>
      </w:r>
      <w:r w:rsidRPr="004068F6">
        <w:rPr>
          <w:spacing w:val="-3"/>
        </w:rPr>
        <w:t xml:space="preserve"> Las determinaciones taxonómicas </w:t>
      </w:r>
      <w:r w:rsidRPr="004068F6">
        <w:rPr>
          <w:rFonts w:cs="Arial"/>
          <w:spacing w:val="-3"/>
        </w:rPr>
        <w:t xml:space="preserve">deben contar con una certificación de </w:t>
      </w:r>
      <w:r w:rsidR="002C3DFC" w:rsidRPr="004068F6">
        <w:rPr>
          <w:rFonts w:cs="Arial"/>
          <w:spacing w:val="-3"/>
        </w:rPr>
        <w:t xml:space="preserve">un </w:t>
      </w:r>
      <w:r w:rsidRPr="004068F6">
        <w:rPr>
          <w:rFonts w:cs="Arial"/>
          <w:spacing w:val="-3"/>
        </w:rPr>
        <w:t xml:space="preserve">herbario inscrito en el </w:t>
      </w:r>
      <w:r w:rsidR="00626259" w:rsidRPr="004068F6">
        <w:rPr>
          <w:rFonts w:cs="Arial"/>
          <w:spacing w:val="-3"/>
        </w:rPr>
        <w:t>Registro Único Nacional de Colecciones Biológicas (RNC)</w:t>
      </w:r>
      <w:r w:rsidRPr="004068F6">
        <w:rPr>
          <w:rFonts w:cs="Arial"/>
          <w:spacing w:val="-3"/>
        </w:rPr>
        <w:t xml:space="preserve"> o de un especialista experto</w:t>
      </w:r>
      <w:r w:rsidR="00267489" w:rsidRPr="004068F6">
        <w:rPr>
          <w:rFonts w:cs="Arial"/>
          <w:spacing w:val="-3"/>
        </w:rPr>
        <w:t xml:space="preserve">; en este caso se debe presentar la hoja de vida y los soportes de su experiencia profesional. Además, </w:t>
      </w:r>
      <w:r w:rsidR="00750525" w:rsidRPr="004068F6">
        <w:rPr>
          <w:rFonts w:cs="Arial"/>
          <w:spacing w:val="-3"/>
        </w:rPr>
        <w:t xml:space="preserve">se </w:t>
      </w:r>
      <w:r w:rsidR="00267489" w:rsidRPr="004068F6">
        <w:rPr>
          <w:rFonts w:cs="Arial"/>
          <w:spacing w:val="-3"/>
        </w:rPr>
        <w:t>debe señalar</w:t>
      </w:r>
      <w:r w:rsidR="00C762D0" w:rsidRPr="004068F6">
        <w:rPr>
          <w:rFonts w:cs="Arial"/>
          <w:spacing w:val="-3"/>
        </w:rPr>
        <w:t xml:space="preserve"> </w:t>
      </w:r>
      <w:r w:rsidR="002C3DFC" w:rsidRPr="004068F6">
        <w:rPr>
          <w:rFonts w:cs="Arial"/>
        </w:rPr>
        <w:t>la bibliografía u otras herramientas utilizadas en el proceso de determinación y justifique</w:t>
      </w:r>
      <w:r w:rsidR="00AE6A91" w:rsidRPr="004068F6">
        <w:rPr>
          <w:rFonts w:cs="Arial"/>
        </w:rPr>
        <w:t>, en caso de necesidad,</w:t>
      </w:r>
      <w:r w:rsidR="002C3DFC" w:rsidRPr="004068F6">
        <w:rPr>
          <w:rFonts w:cs="Arial"/>
        </w:rPr>
        <w:t xml:space="preserve"> las razones por las cuales no </w:t>
      </w:r>
      <w:r w:rsidR="00AE6A91" w:rsidRPr="004068F6">
        <w:rPr>
          <w:rFonts w:cs="Arial"/>
        </w:rPr>
        <w:t xml:space="preserve">fue </w:t>
      </w:r>
      <w:r w:rsidR="002C3DFC" w:rsidRPr="004068F6">
        <w:rPr>
          <w:rFonts w:cs="Arial"/>
        </w:rPr>
        <w:t>posible la determinación taxonómica a nivel de especie</w:t>
      </w:r>
      <w:r w:rsidR="00AE6A91" w:rsidRPr="004068F6">
        <w:rPr>
          <w:rFonts w:cs="Arial"/>
        </w:rPr>
        <w:t>. E</w:t>
      </w:r>
      <w:r w:rsidR="002C3DFC" w:rsidRPr="004068F6">
        <w:rPr>
          <w:rFonts w:cs="Arial"/>
          <w:spacing w:val="-3"/>
        </w:rPr>
        <w:t xml:space="preserve">l certificado de determinación </w:t>
      </w:r>
      <w:r w:rsidR="00DE34D4" w:rsidRPr="004068F6">
        <w:rPr>
          <w:rFonts w:cs="Arial"/>
          <w:spacing w:val="-3"/>
        </w:rPr>
        <w:t>taxonómica</w:t>
      </w:r>
      <w:r w:rsidR="007A43A9" w:rsidRPr="00127BD4">
        <w:rPr>
          <w:rStyle w:val="Refdenotaalpie"/>
          <w:rFonts w:cs="Arial"/>
          <w:spacing w:val="-3"/>
          <w:lang w:val="es-CO"/>
        </w:rPr>
        <w:footnoteReference w:id="149"/>
      </w:r>
      <w:r w:rsidR="002C3DFC" w:rsidRPr="004068F6">
        <w:rPr>
          <w:rFonts w:cs="Arial"/>
          <w:spacing w:val="-3"/>
        </w:rPr>
        <w:t xml:space="preserve"> debe incluir como mínimo:</w:t>
      </w:r>
    </w:p>
    <w:p w14:paraId="019E8A4C" w14:textId="77777777" w:rsidR="002C3DFC" w:rsidRPr="004068F6" w:rsidRDefault="002C3DFC">
      <w:pPr>
        <w:numPr>
          <w:ilvl w:val="12"/>
          <w:numId w:val="0"/>
        </w:numPr>
        <w:tabs>
          <w:tab w:val="left" w:pos="-2268"/>
        </w:tabs>
        <w:suppressAutoHyphens/>
        <w:rPr>
          <w:rFonts w:cs="Arial"/>
          <w:spacing w:val="-3"/>
        </w:rPr>
      </w:pPr>
    </w:p>
    <w:p w14:paraId="2A26C848" w14:textId="1FAFEA89" w:rsidR="003E0059" w:rsidRPr="004068F6" w:rsidRDefault="00AE6A91">
      <w:pPr>
        <w:pStyle w:val="Prrafodelista"/>
        <w:numPr>
          <w:ilvl w:val="0"/>
          <w:numId w:val="59"/>
        </w:numPr>
        <w:ind w:left="567" w:hanging="567"/>
        <w:jc w:val="left"/>
        <w:rPr>
          <w:rFonts w:cs="Arial"/>
          <w:spacing w:val="-3"/>
          <w:lang w:val="es-CO"/>
        </w:rPr>
      </w:pPr>
      <w:r w:rsidRPr="004068F6">
        <w:rPr>
          <w:rFonts w:cs="Arial"/>
          <w:spacing w:val="-3"/>
          <w:lang w:val="es-CO"/>
        </w:rPr>
        <w:t>Nombre del herbario o del especialista</w:t>
      </w:r>
      <w:r w:rsidR="00BF5B01" w:rsidRPr="00127BD4">
        <w:rPr>
          <w:rFonts w:cs="Arial"/>
          <w:spacing w:val="-3"/>
          <w:lang w:val="es-CO"/>
        </w:rPr>
        <w:t>.</w:t>
      </w:r>
    </w:p>
    <w:p w14:paraId="7AD67586" w14:textId="77777777" w:rsidR="00AE6A91" w:rsidRPr="004068F6" w:rsidRDefault="00AE6A91" w:rsidP="00F17B5D">
      <w:pPr>
        <w:jc w:val="left"/>
        <w:rPr>
          <w:rFonts w:cs="Arial"/>
          <w:spacing w:val="-3"/>
        </w:rPr>
      </w:pPr>
    </w:p>
    <w:p w14:paraId="7D3AE7FD" w14:textId="0CED0BED" w:rsidR="00AE6A91" w:rsidRPr="00127BD4" w:rsidRDefault="00AE6A91" w:rsidP="008A4FE9">
      <w:pPr>
        <w:pStyle w:val="Prrafodelista"/>
        <w:numPr>
          <w:ilvl w:val="0"/>
          <w:numId w:val="59"/>
        </w:numPr>
        <w:ind w:left="567" w:hanging="567"/>
        <w:jc w:val="left"/>
        <w:rPr>
          <w:rFonts w:cs="Arial"/>
          <w:spacing w:val="-3"/>
          <w:lang w:val="es-CO"/>
        </w:rPr>
      </w:pPr>
      <w:r w:rsidRPr="004068F6">
        <w:rPr>
          <w:rFonts w:cs="Arial"/>
          <w:spacing w:val="-3"/>
          <w:lang w:val="es-CO"/>
        </w:rPr>
        <w:t>Fecha de emisión</w:t>
      </w:r>
      <w:r w:rsidR="00667310" w:rsidRPr="004068F6">
        <w:rPr>
          <w:rFonts w:cs="Arial"/>
          <w:spacing w:val="-3"/>
          <w:lang w:val="es-CO"/>
        </w:rPr>
        <w:t>.</w:t>
      </w:r>
    </w:p>
    <w:p w14:paraId="24B20E89" w14:textId="77777777" w:rsidR="00AE6A91" w:rsidRPr="004068F6" w:rsidRDefault="00AE6A91" w:rsidP="008A4FE9">
      <w:pPr>
        <w:jc w:val="left"/>
        <w:rPr>
          <w:rFonts w:cs="Arial"/>
          <w:spacing w:val="-3"/>
        </w:rPr>
      </w:pPr>
    </w:p>
    <w:p w14:paraId="57E2C5C0" w14:textId="7CEF3D04" w:rsidR="00AE6A91" w:rsidRPr="00127BD4" w:rsidRDefault="00AE6A91" w:rsidP="008A4FE9">
      <w:pPr>
        <w:pStyle w:val="Prrafodelista"/>
        <w:numPr>
          <w:ilvl w:val="0"/>
          <w:numId w:val="59"/>
        </w:numPr>
        <w:ind w:left="567" w:hanging="567"/>
        <w:jc w:val="left"/>
        <w:rPr>
          <w:rFonts w:cs="Arial"/>
          <w:spacing w:val="-3"/>
          <w:lang w:val="es-CO"/>
        </w:rPr>
      </w:pPr>
      <w:r w:rsidRPr="004068F6">
        <w:rPr>
          <w:rFonts w:cs="Arial"/>
          <w:spacing w:val="-3"/>
          <w:lang w:val="es-CO"/>
        </w:rPr>
        <w:t>Nombre del proyecto, obra o actividad y la empresa que solicita el certificado</w:t>
      </w:r>
      <w:r w:rsidR="00667310" w:rsidRPr="004068F6">
        <w:rPr>
          <w:rFonts w:cs="Arial"/>
          <w:spacing w:val="-3"/>
          <w:lang w:val="es-CO"/>
        </w:rPr>
        <w:t>.</w:t>
      </w:r>
    </w:p>
    <w:p w14:paraId="568A26C7" w14:textId="77777777" w:rsidR="00AE6A91" w:rsidRPr="004068F6" w:rsidRDefault="00AE6A91" w:rsidP="008A4FE9">
      <w:pPr>
        <w:jc w:val="left"/>
        <w:rPr>
          <w:rFonts w:cs="Arial"/>
          <w:spacing w:val="-3"/>
        </w:rPr>
      </w:pPr>
    </w:p>
    <w:p w14:paraId="31C945DF" w14:textId="0104ABF5" w:rsidR="00AE6A91" w:rsidRPr="00127BD4" w:rsidRDefault="00AE6A91" w:rsidP="008A4FE9">
      <w:pPr>
        <w:pStyle w:val="Prrafodelista"/>
        <w:numPr>
          <w:ilvl w:val="0"/>
          <w:numId w:val="59"/>
        </w:numPr>
        <w:ind w:left="567" w:hanging="567"/>
        <w:jc w:val="left"/>
        <w:rPr>
          <w:rFonts w:cs="Arial"/>
          <w:spacing w:val="-3"/>
          <w:lang w:val="es-CO"/>
        </w:rPr>
      </w:pPr>
      <w:r w:rsidRPr="004068F6">
        <w:rPr>
          <w:rFonts w:cs="Arial"/>
          <w:spacing w:val="-3"/>
          <w:lang w:val="es-CO"/>
        </w:rPr>
        <w:t xml:space="preserve">Cantidad total de especímenes </w:t>
      </w:r>
      <w:r w:rsidR="00DE34D4" w:rsidRPr="004068F6">
        <w:rPr>
          <w:rFonts w:cs="Arial"/>
          <w:spacing w:val="-3"/>
          <w:lang w:val="es-CO"/>
        </w:rPr>
        <w:t>determina</w:t>
      </w:r>
      <w:r w:rsidRPr="004068F6">
        <w:rPr>
          <w:rFonts w:cs="Arial"/>
          <w:spacing w:val="-3"/>
          <w:lang w:val="es-CO"/>
        </w:rPr>
        <w:t>dos por grupo</w:t>
      </w:r>
      <w:r w:rsidR="00667310" w:rsidRPr="004068F6">
        <w:rPr>
          <w:rFonts w:cs="Arial"/>
          <w:spacing w:val="-3"/>
          <w:lang w:val="es-CO"/>
        </w:rPr>
        <w:t>.</w:t>
      </w:r>
    </w:p>
    <w:p w14:paraId="51C8F699" w14:textId="77777777" w:rsidR="00AE6A91" w:rsidRPr="00127BD4" w:rsidRDefault="00AE6A91" w:rsidP="008A4FE9">
      <w:pPr>
        <w:jc w:val="left"/>
        <w:rPr>
          <w:rFonts w:cs="Arial"/>
          <w:spacing w:val="-3"/>
        </w:rPr>
      </w:pPr>
    </w:p>
    <w:p w14:paraId="78516408" w14:textId="620383BF" w:rsidR="00AE6A91" w:rsidRPr="00127BD4" w:rsidRDefault="00AE6A91" w:rsidP="00F17B5D">
      <w:pPr>
        <w:pStyle w:val="Prrafodelista"/>
        <w:numPr>
          <w:ilvl w:val="0"/>
          <w:numId w:val="59"/>
        </w:numPr>
        <w:ind w:left="567" w:hanging="567"/>
        <w:jc w:val="left"/>
        <w:rPr>
          <w:rFonts w:cs="Arial"/>
          <w:spacing w:val="-3"/>
          <w:lang w:val="es-CO"/>
        </w:rPr>
      </w:pPr>
      <w:r w:rsidRPr="004068F6">
        <w:rPr>
          <w:rFonts w:cs="Arial"/>
          <w:spacing w:val="-3"/>
          <w:lang w:val="es-CO"/>
        </w:rPr>
        <w:t>Listado de ejemplares determinados</w:t>
      </w:r>
      <w:r w:rsidR="00667310" w:rsidRPr="004068F6">
        <w:rPr>
          <w:rFonts w:cs="Arial"/>
          <w:spacing w:val="-3"/>
          <w:lang w:val="es-CO"/>
        </w:rPr>
        <w:t xml:space="preserve"> (ordenado por familia, género y especie).</w:t>
      </w:r>
    </w:p>
    <w:p w14:paraId="35563131" w14:textId="77777777" w:rsidR="00AE6A91" w:rsidRPr="004068F6" w:rsidRDefault="00AE6A91">
      <w:pPr>
        <w:numPr>
          <w:ilvl w:val="12"/>
          <w:numId w:val="0"/>
        </w:numPr>
        <w:tabs>
          <w:tab w:val="left" w:pos="-2268"/>
        </w:tabs>
        <w:suppressAutoHyphens/>
        <w:rPr>
          <w:rFonts w:cs="Arial"/>
          <w:spacing w:val="-3"/>
        </w:rPr>
      </w:pPr>
    </w:p>
    <w:p w14:paraId="0A759B11" w14:textId="032E26F3" w:rsidR="00482A5F" w:rsidRPr="004068F6" w:rsidRDefault="000A2A16">
      <w:pPr>
        <w:numPr>
          <w:ilvl w:val="12"/>
          <w:numId w:val="0"/>
        </w:numPr>
        <w:tabs>
          <w:tab w:val="left" w:pos="-2268"/>
        </w:tabs>
        <w:suppressAutoHyphens/>
        <w:rPr>
          <w:spacing w:val="-3"/>
        </w:rPr>
      </w:pPr>
      <w:r w:rsidRPr="004068F6">
        <w:rPr>
          <w:spacing w:val="-3"/>
        </w:rPr>
        <w:t>A</w:t>
      </w:r>
      <w:r w:rsidR="00E55979" w:rsidRPr="004068F6">
        <w:rPr>
          <w:spacing w:val="-3"/>
        </w:rPr>
        <w:t xml:space="preserve">dicionalmente, los registros biológicos de las especies observadas y recolectadas, posterior a su determinación taxonómica, deben ser </w:t>
      </w:r>
      <w:r w:rsidRPr="004068F6">
        <w:rPr>
          <w:spacing w:val="-3"/>
        </w:rPr>
        <w:t xml:space="preserve">depositados en un herbario y </w:t>
      </w:r>
      <w:r w:rsidR="00E55979" w:rsidRPr="004068F6">
        <w:rPr>
          <w:spacing w:val="-3"/>
        </w:rPr>
        <w:t xml:space="preserve">publicados como un conjunto de datos a través </w:t>
      </w:r>
      <w:r w:rsidR="003101D3" w:rsidRPr="004068F6">
        <w:rPr>
          <w:spacing w:val="-3"/>
        </w:rPr>
        <w:t xml:space="preserve">de </w:t>
      </w:r>
      <w:r w:rsidR="00E55979" w:rsidRPr="004068F6">
        <w:rPr>
          <w:spacing w:val="-3"/>
        </w:rPr>
        <w:t>SiB Colombia siguiendo los lineamientos establecidos por este sistema, como parte de las obligaciones en cumplimiento del permiso de recolección de especímenes de la diversidad biológica bajo el cual se elabor</w:t>
      </w:r>
      <w:r w:rsidR="003101D3" w:rsidRPr="004068F6">
        <w:rPr>
          <w:spacing w:val="-3"/>
        </w:rPr>
        <w:t>a</w:t>
      </w:r>
      <w:r w:rsidR="00E55979" w:rsidRPr="004068F6">
        <w:rPr>
          <w:spacing w:val="-3"/>
        </w:rPr>
        <w:t xml:space="preserve"> el estudio ambiental.</w:t>
      </w:r>
    </w:p>
    <w:p w14:paraId="5CCA9DDC" w14:textId="77777777" w:rsidR="00482A5F" w:rsidRPr="004068F6" w:rsidRDefault="00482A5F">
      <w:pPr>
        <w:numPr>
          <w:ilvl w:val="12"/>
          <w:numId w:val="0"/>
        </w:numPr>
        <w:tabs>
          <w:tab w:val="left" w:pos="-2268"/>
        </w:tabs>
        <w:suppressAutoHyphens/>
        <w:rPr>
          <w:spacing w:val="-3"/>
        </w:rPr>
      </w:pPr>
    </w:p>
    <w:p w14:paraId="5CDFD80C" w14:textId="6D045AC0" w:rsidR="0032038D" w:rsidRPr="004068F6" w:rsidRDefault="00482A5F">
      <w:pPr>
        <w:numPr>
          <w:ilvl w:val="12"/>
          <w:numId w:val="0"/>
        </w:numPr>
        <w:tabs>
          <w:tab w:val="left" w:pos="-2268"/>
        </w:tabs>
        <w:suppressAutoHyphens/>
        <w:rPr>
          <w:spacing w:val="-3"/>
        </w:rPr>
      </w:pPr>
      <w:r w:rsidRPr="004068F6">
        <w:rPr>
          <w:spacing w:val="-3"/>
        </w:rPr>
        <w:t>Después de c</w:t>
      </w:r>
      <w:r w:rsidR="007D7A77" w:rsidRPr="004068F6">
        <w:rPr>
          <w:spacing w:val="-3"/>
        </w:rPr>
        <w:t xml:space="preserve">ontar </w:t>
      </w:r>
      <w:r w:rsidRPr="004068F6">
        <w:rPr>
          <w:spacing w:val="-3"/>
        </w:rPr>
        <w:t xml:space="preserve">con la determinación </w:t>
      </w:r>
      <w:r w:rsidRPr="004068F6">
        <w:rPr>
          <w:rFonts w:cs="Arial"/>
          <w:spacing w:val="-3"/>
        </w:rPr>
        <w:t>taxonómica</w:t>
      </w:r>
      <w:r w:rsidRPr="004068F6">
        <w:rPr>
          <w:spacing w:val="-3"/>
        </w:rPr>
        <w:t xml:space="preserve"> de todo el material, se debe </w:t>
      </w:r>
      <w:r w:rsidR="0032038D" w:rsidRPr="004068F6">
        <w:rPr>
          <w:spacing w:val="-3"/>
        </w:rPr>
        <w:t xml:space="preserve">consolidar una base de datos que señale por especie, </w:t>
      </w:r>
      <w:r w:rsidR="00AC06A1" w:rsidRPr="004068F6">
        <w:rPr>
          <w:spacing w:val="-3"/>
        </w:rPr>
        <w:t>su</w:t>
      </w:r>
      <w:r w:rsidR="0032038D" w:rsidRPr="004068F6">
        <w:rPr>
          <w:spacing w:val="-3"/>
        </w:rPr>
        <w:t xml:space="preserve"> </w:t>
      </w:r>
      <w:r w:rsidRPr="004068F6">
        <w:rPr>
          <w:spacing w:val="-3"/>
        </w:rPr>
        <w:t xml:space="preserve">familia </w:t>
      </w:r>
      <w:r w:rsidRPr="004068F6">
        <w:rPr>
          <w:rFonts w:cs="Arial"/>
          <w:spacing w:val="-3"/>
        </w:rPr>
        <w:t>taxonómica</w:t>
      </w:r>
      <w:r w:rsidRPr="004068F6">
        <w:rPr>
          <w:spacing w:val="-3"/>
        </w:rPr>
        <w:t xml:space="preserve">, </w:t>
      </w:r>
      <w:r w:rsidR="0032038D" w:rsidRPr="004068F6">
        <w:rPr>
          <w:spacing w:val="-3"/>
        </w:rPr>
        <w:t xml:space="preserve">nombres comunes, </w:t>
      </w:r>
      <w:r w:rsidRPr="004068F6">
        <w:rPr>
          <w:spacing w:val="-3"/>
        </w:rPr>
        <w:t>hábito</w:t>
      </w:r>
      <w:r w:rsidR="0032038D" w:rsidRPr="004068F6">
        <w:rPr>
          <w:spacing w:val="-3"/>
        </w:rPr>
        <w:t xml:space="preserve"> de crecimiento</w:t>
      </w:r>
      <w:r w:rsidRPr="004068F6">
        <w:rPr>
          <w:spacing w:val="-3"/>
        </w:rPr>
        <w:t xml:space="preserve">, </w:t>
      </w:r>
      <w:r w:rsidR="0032038D" w:rsidRPr="004068F6">
        <w:rPr>
          <w:spacing w:val="-3"/>
        </w:rPr>
        <w:t xml:space="preserve">abundancia, </w:t>
      </w:r>
      <w:r w:rsidR="0032038D" w:rsidRPr="004068F6">
        <w:t>ecosistemas</w:t>
      </w:r>
      <w:r w:rsidR="0032038D" w:rsidRPr="004068F6">
        <w:rPr>
          <w:spacing w:val="-3"/>
        </w:rPr>
        <w:t xml:space="preserve"> en los que se encuentra, </w:t>
      </w:r>
      <w:r w:rsidR="0032038D" w:rsidRPr="004068F6">
        <w:t>localización geográfica</w:t>
      </w:r>
      <w:r w:rsidR="00B67A75" w:rsidRPr="004068F6">
        <w:t xml:space="preserve"> </w:t>
      </w:r>
      <w:r w:rsidR="00AC06A1" w:rsidRPr="004068F6">
        <w:t xml:space="preserve">de las </w:t>
      </w:r>
      <w:r w:rsidR="00B67A75" w:rsidRPr="004068F6">
        <w:t>unidades de muestreo</w:t>
      </w:r>
      <w:r w:rsidR="00AC06A1" w:rsidRPr="004068F6">
        <w:t xml:space="preserve"> en las que está presente</w:t>
      </w:r>
      <w:r w:rsidR="0032038D" w:rsidRPr="004068F6">
        <w:t>,</w:t>
      </w:r>
      <w:r w:rsidR="0032038D" w:rsidRPr="004068F6">
        <w:rPr>
          <w:spacing w:val="-3"/>
        </w:rPr>
        <w:t xml:space="preserve"> </w:t>
      </w:r>
      <w:r w:rsidRPr="004068F6">
        <w:rPr>
          <w:rFonts w:cs="Arial"/>
          <w:spacing w:val="-3"/>
        </w:rPr>
        <w:t>categoría</w:t>
      </w:r>
      <w:r w:rsidRPr="004068F6">
        <w:rPr>
          <w:spacing w:val="-3"/>
        </w:rPr>
        <w:t xml:space="preserve"> de </w:t>
      </w:r>
      <w:r w:rsidR="0032038D" w:rsidRPr="004068F6">
        <w:rPr>
          <w:spacing w:val="-3"/>
        </w:rPr>
        <w:t>amenaza</w:t>
      </w:r>
      <w:r w:rsidR="00AC06A1" w:rsidRPr="00127BD4">
        <w:rPr>
          <w:rStyle w:val="Refdenotaalpie"/>
          <w:spacing w:val="-3"/>
          <w:lang w:val="es-CO"/>
        </w:rPr>
        <w:footnoteReference w:id="150"/>
      </w:r>
      <w:r w:rsidR="0032038D" w:rsidRPr="004068F6">
        <w:rPr>
          <w:spacing w:val="-3"/>
        </w:rPr>
        <w:t xml:space="preserve">, </w:t>
      </w:r>
      <w:r w:rsidR="00AC06A1" w:rsidRPr="004068F6">
        <w:rPr>
          <w:spacing w:val="-3"/>
        </w:rPr>
        <w:t xml:space="preserve">apéndices CITES I, II y III, </w:t>
      </w:r>
      <w:r w:rsidR="00B67A75" w:rsidRPr="004068F6">
        <w:rPr>
          <w:spacing w:val="-3"/>
        </w:rPr>
        <w:t>endemismos, vedas nacionales o regionales</w:t>
      </w:r>
      <w:r w:rsidR="00AC06A1" w:rsidRPr="004068F6">
        <w:rPr>
          <w:spacing w:val="-3"/>
        </w:rPr>
        <w:t xml:space="preserve"> vigentes</w:t>
      </w:r>
      <w:r w:rsidR="00B67A75" w:rsidRPr="004068F6">
        <w:rPr>
          <w:spacing w:val="-3"/>
        </w:rPr>
        <w:t xml:space="preserve">, usos, </w:t>
      </w:r>
      <w:r w:rsidR="0032038D" w:rsidRPr="004068F6">
        <w:rPr>
          <w:spacing w:val="-3"/>
        </w:rPr>
        <w:t>entre otr</w:t>
      </w:r>
      <w:r w:rsidR="00AA0047" w:rsidRPr="004068F6">
        <w:rPr>
          <w:spacing w:val="-3"/>
        </w:rPr>
        <w:t>a</w:t>
      </w:r>
      <w:r w:rsidR="0032038D" w:rsidRPr="004068F6">
        <w:rPr>
          <w:spacing w:val="-3"/>
        </w:rPr>
        <w:t>s</w:t>
      </w:r>
      <w:r w:rsidR="00AA0047" w:rsidRPr="004068F6">
        <w:rPr>
          <w:spacing w:val="-3"/>
        </w:rPr>
        <w:t xml:space="preserve"> características</w:t>
      </w:r>
      <w:r w:rsidRPr="004068F6">
        <w:rPr>
          <w:spacing w:val="-3"/>
        </w:rPr>
        <w:t>.</w:t>
      </w:r>
    </w:p>
    <w:p w14:paraId="73B90B62" w14:textId="77777777" w:rsidR="0032038D" w:rsidRPr="004068F6" w:rsidRDefault="0032038D">
      <w:pPr>
        <w:numPr>
          <w:ilvl w:val="12"/>
          <w:numId w:val="0"/>
        </w:numPr>
        <w:tabs>
          <w:tab w:val="left" w:pos="-2268"/>
        </w:tabs>
        <w:suppressAutoHyphens/>
        <w:rPr>
          <w:spacing w:val="-3"/>
        </w:rPr>
      </w:pPr>
    </w:p>
    <w:p w14:paraId="361DBC13" w14:textId="27B54FF9" w:rsidR="00C22CAF" w:rsidRPr="004068F6" w:rsidRDefault="00C22CAF">
      <w:pPr>
        <w:numPr>
          <w:ilvl w:val="12"/>
          <w:numId w:val="0"/>
        </w:numPr>
        <w:tabs>
          <w:tab w:val="left" w:pos="-2268"/>
        </w:tabs>
        <w:suppressAutoHyphens/>
        <w:rPr>
          <w:spacing w:val="-3"/>
        </w:rPr>
      </w:pPr>
      <w:r w:rsidRPr="004068F6">
        <w:rPr>
          <w:spacing w:val="-3"/>
        </w:rPr>
        <w:t xml:space="preserve">La caracterización debe señalar para cada uno de los ecosistemas, grupo biológico </w:t>
      </w:r>
      <w:r w:rsidR="00904B02" w:rsidRPr="004068F6">
        <w:rPr>
          <w:spacing w:val="-3"/>
        </w:rPr>
        <w:t xml:space="preserve">(vascular, no vascular, liquen) </w:t>
      </w:r>
      <w:r w:rsidRPr="004068F6">
        <w:rPr>
          <w:spacing w:val="-3"/>
        </w:rPr>
        <w:t>y hábito</w:t>
      </w:r>
      <w:r w:rsidR="00904B02" w:rsidRPr="004068F6">
        <w:rPr>
          <w:spacing w:val="-3"/>
        </w:rPr>
        <w:t xml:space="preserve"> de crecimiento,</w:t>
      </w:r>
      <w:r w:rsidR="002A28EA" w:rsidRPr="004068F6">
        <w:rPr>
          <w:spacing w:val="-3"/>
        </w:rPr>
        <w:t xml:space="preserve"> los siguientes parámetros:</w:t>
      </w:r>
      <w:r w:rsidRPr="004068F6">
        <w:rPr>
          <w:spacing w:val="-3"/>
        </w:rPr>
        <w:t xml:space="preserve"> riqueza, composición, abundancia o cobertura</w:t>
      </w:r>
      <w:r w:rsidR="00904B02" w:rsidRPr="004068F6">
        <w:rPr>
          <w:spacing w:val="-3"/>
        </w:rPr>
        <w:t xml:space="preserve"> (para no vasculares)</w:t>
      </w:r>
      <w:r w:rsidRPr="004068F6">
        <w:rPr>
          <w:spacing w:val="-3"/>
        </w:rPr>
        <w:t xml:space="preserve"> y frecuencia (diversidad alfa). Asimismo, </w:t>
      </w:r>
      <w:r w:rsidR="000B0676" w:rsidRPr="004068F6">
        <w:rPr>
          <w:spacing w:val="-3"/>
        </w:rPr>
        <w:t xml:space="preserve">se </w:t>
      </w:r>
      <w:r w:rsidRPr="004068F6">
        <w:rPr>
          <w:spacing w:val="-3"/>
        </w:rPr>
        <w:t xml:space="preserve">debe </w:t>
      </w:r>
      <w:r w:rsidR="00904B02" w:rsidRPr="004068F6">
        <w:rPr>
          <w:spacing w:val="-3"/>
        </w:rPr>
        <w:t xml:space="preserve">señalar por ecosistema y grupo biológico cómo se distribuye la diversidad vertical (mencionando, por ejemplo, </w:t>
      </w:r>
      <w:r w:rsidR="002A28EA" w:rsidRPr="004068F6">
        <w:rPr>
          <w:spacing w:val="-3"/>
        </w:rPr>
        <w:t xml:space="preserve">la </w:t>
      </w:r>
      <w:r w:rsidRPr="004068F6">
        <w:rPr>
          <w:spacing w:val="-3"/>
        </w:rPr>
        <w:t xml:space="preserve">preferencia de forófitos </w:t>
      </w:r>
      <w:r w:rsidR="00904B02" w:rsidRPr="004068F6">
        <w:rPr>
          <w:spacing w:val="-3"/>
        </w:rPr>
        <w:t xml:space="preserve">para las </w:t>
      </w:r>
      <w:r w:rsidRPr="004068F6">
        <w:rPr>
          <w:spacing w:val="-3"/>
        </w:rPr>
        <w:t>epífitas) y horizontal</w:t>
      </w:r>
      <w:r w:rsidR="00904B02" w:rsidRPr="004068F6">
        <w:rPr>
          <w:spacing w:val="-3"/>
        </w:rPr>
        <w:t>mente</w:t>
      </w:r>
      <w:r w:rsidRPr="004068F6">
        <w:rPr>
          <w:spacing w:val="-3"/>
        </w:rPr>
        <w:t xml:space="preserve"> (</w:t>
      </w:r>
      <w:r w:rsidR="00904B02" w:rsidRPr="004068F6">
        <w:rPr>
          <w:spacing w:val="-3"/>
        </w:rPr>
        <w:t xml:space="preserve">aludiendo a los </w:t>
      </w:r>
      <w:r w:rsidRPr="004068F6">
        <w:rPr>
          <w:spacing w:val="-3"/>
        </w:rPr>
        <w:t xml:space="preserve">sustratos </w:t>
      </w:r>
      <w:r w:rsidR="00904B02" w:rsidRPr="004068F6">
        <w:rPr>
          <w:spacing w:val="-3"/>
        </w:rPr>
        <w:t>y otras características</w:t>
      </w:r>
      <w:r w:rsidRPr="004068F6">
        <w:rPr>
          <w:spacing w:val="-3"/>
        </w:rPr>
        <w:t xml:space="preserve">). </w:t>
      </w:r>
      <w:r w:rsidR="00E50951" w:rsidRPr="004068F6">
        <w:rPr>
          <w:spacing w:val="-3"/>
        </w:rPr>
        <w:t>Finalmente</w:t>
      </w:r>
      <w:r w:rsidR="002A28EA" w:rsidRPr="004068F6">
        <w:rPr>
          <w:spacing w:val="-3"/>
        </w:rPr>
        <w:t xml:space="preserve">, </w:t>
      </w:r>
      <w:r w:rsidR="004B07AB" w:rsidRPr="004068F6">
        <w:rPr>
          <w:spacing w:val="-3"/>
        </w:rPr>
        <w:t xml:space="preserve">se </w:t>
      </w:r>
      <w:r w:rsidRPr="004068F6">
        <w:rPr>
          <w:spacing w:val="-3"/>
        </w:rPr>
        <w:t xml:space="preserve">debe determinar </w:t>
      </w:r>
      <w:r w:rsidR="002A28EA" w:rsidRPr="004068F6">
        <w:rPr>
          <w:spacing w:val="-3"/>
        </w:rPr>
        <w:t xml:space="preserve">y analizar la </w:t>
      </w:r>
      <w:r w:rsidRPr="004068F6">
        <w:rPr>
          <w:spacing w:val="-3"/>
        </w:rPr>
        <w:t>diversidad beta</w:t>
      </w:r>
      <w:r w:rsidR="002A28EA" w:rsidRPr="004068F6">
        <w:rPr>
          <w:spacing w:val="-3"/>
        </w:rPr>
        <w:t xml:space="preserve"> mediante </w:t>
      </w:r>
      <w:r w:rsidRPr="004068F6">
        <w:rPr>
          <w:spacing w:val="-3"/>
        </w:rPr>
        <w:t xml:space="preserve">índices de diversidad verdadera. </w:t>
      </w:r>
      <w:r w:rsidR="004B07AB" w:rsidRPr="004068F6">
        <w:rPr>
          <w:spacing w:val="-3"/>
        </w:rPr>
        <w:t>Con el fin de obtener toda esta información, e</w:t>
      </w:r>
      <w:r w:rsidR="002A28EA" w:rsidRPr="004068F6">
        <w:rPr>
          <w:spacing w:val="-3"/>
        </w:rPr>
        <w:t xml:space="preserve">s posible emplear los métodos planteados por </w:t>
      </w:r>
      <w:r w:rsidRPr="004068F6">
        <w:rPr>
          <w:spacing w:val="-3"/>
        </w:rPr>
        <w:t>Frahm et al.</w:t>
      </w:r>
      <w:r w:rsidR="002A28EA" w:rsidRPr="004068F6">
        <w:rPr>
          <w:spacing w:val="-3"/>
        </w:rPr>
        <w:t xml:space="preserve"> (</w:t>
      </w:r>
      <w:r w:rsidRPr="004068F6">
        <w:rPr>
          <w:spacing w:val="-3"/>
        </w:rPr>
        <w:t>2003</w:t>
      </w:r>
      <w:r w:rsidR="002A28EA" w:rsidRPr="004068F6">
        <w:rPr>
          <w:spacing w:val="-3"/>
        </w:rPr>
        <w:t>)</w:t>
      </w:r>
      <w:r w:rsidRPr="004068F6">
        <w:rPr>
          <w:spacing w:val="-3"/>
        </w:rPr>
        <w:t>, Halffter</w:t>
      </w:r>
      <w:r w:rsidR="002A28EA" w:rsidRPr="004068F6">
        <w:rPr>
          <w:spacing w:val="-3"/>
        </w:rPr>
        <w:t xml:space="preserve"> </w:t>
      </w:r>
      <w:r w:rsidRPr="004068F6">
        <w:rPr>
          <w:spacing w:val="-3"/>
        </w:rPr>
        <w:t>(1998) y Moreno</w:t>
      </w:r>
      <w:r w:rsidR="002A28EA" w:rsidRPr="004068F6">
        <w:rPr>
          <w:spacing w:val="-3"/>
        </w:rPr>
        <w:t xml:space="preserve"> (</w:t>
      </w:r>
      <w:r w:rsidRPr="004068F6">
        <w:rPr>
          <w:spacing w:val="-3"/>
        </w:rPr>
        <w:t>2001</w:t>
      </w:r>
      <w:r w:rsidR="002A28EA" w:rsidRPr="004068F6">
        <w:rPr>
          <w:spacing w:val="-3"/>
        </w:rPr>
        <w:t>)</w:t>
      </w:r>
      <w:r w:rsidRPr="004068F6">
        <w:rPr>
          <w:spacing w:val="-3"/>
        </w:rPr>
        <w:t>.</w:t>
      </w:r>
    </w:p>
    <w:p w14:paraId="799E6E7E" w14:textId="77777777" w:rsidR="00C22CAF" w:rsidRPr="004068F6" w:rsidRDefault="00C22CAF">
      <w:pPr>
        <w:numPr>
          <w:ilvl w:val="12"/>
          <w:numId w:val="0"/>
        </w:numPr>
        <w:tabs>
          <w:tab w:val="left" w:pos="-2268"/>
        </w:tabs>
        <w:suppressAutoHyphens/>
        <w:rPr>
          <w:spacing w:val="-3"/>
        </w:rPr>
      </w:pPr>
    </w:p>
    <w:p w14:paraId="10442001" w14:textId="39259317" w:rsidR="002A28EA" w:rsidRPr="004068F6" w:rsidRDefault="004B07AB" w:rsidP="002A28EA">
      <w:pPr>
        <w:numPr>
          <w:ilvl w:val="12"/>
          <w:numId w:val="0"/>
        </w:numPr>
        <w:tabs>
          <w:tab w:val="left" w:pos="-2268"/>
        </w:tabs>
        <w:suppressAutoHyphens/>
        <w:rPr>
          <w:spacing w:val="-3"/>
        </w:rPr>
      </w:pPr>
      <w:r w:rsidRPr="004068F6">
        <w:rPr>
          <w:spacing w:val="-3"/>
        </w:rPr>
        <w:t xml:space="preserve">Para una </w:t>
      </w:r>
      <w:r w:rsidR="002A28EA" w:rsidRPr="004068F6">
        <w:rPr>
          <w:spacing w:val="-3"/>
        </w:rPr>
        <w:t xml:space="preserve">mejor </w:t>
      </w:r>
      <w:r w:rsidRPr="004068F6">
        <w:rPr>
          <w:spacing w:val="-3"/>
        </w:rPr>
        <w:t xml:space="preserve">comprensión de los datos obtenidos para </w:t>
      </w:r>
      <w:r w:rsidR="002A28EA" w:rsidRPr="004068F6">
        <w:rPr>
          <w:spacing w:val="-3"/>
        </w:rPr>
        <w:t>este tipo de vegetación</w:t>
      </w:r>
      <w:r w:rsidRPr="004068F6">
        <w:rPr>
          <w:spacing w:val="-3"/>
        </w:rPr>
        <w:t>, es posible utilizar métodos de análisis, programas informáticos o paquetes estadísticos</w:t>
      </w:r>
      <w:r w:rsidR="002A28EA" w:rsidRPr="004068F6">
        <w:rPr>
          <w:spacing w:val="-3"/>
        </w:rPr>
        <w:t>.</w:t>
      </w:r>
    </w:p>
    <w:p w14:paraId="208C914B" w14:textId="409EA444" w:rsidR="002A28EA" w:rsidRPr="004068F6" w:rsidRDefault="002A28EA" w:rsidP="002A28EA">
      <w:pPr>
        <w:numPr>
          <w:ilvl w:val="12"/>
          <w:numId w:val="0"/>
        </w:numPr>
        <w:tabs>
          <w:tab w:val="left" w:pos="-2268"/>
        </w:tabs>
        <w:suppressAutoHyphens/>
        <w:rPr>
          <w:spacing w:val="-3"/>
        </w:rPr>
      </w:pPr>
    </w:p>
    <w:p w14:paraId="7302BDF1" w14:textId="4CEF20C8" w:rsidR="00482A5F" w:rsidRPr="004068F6" w:rsidRDefault="00B95405" w:rsidP="00C86DA5">
      <w:pPr>
        <w:tabs>
          <w:tab w:val="left" w:pos="-2268"/>
        </w:tabs>
        <w:suppressAutoHyphens/>
        <w:rPr>
          <w:spacing w:val="-3"/>
        </w:rPr>
      </w:pPr>
      <w:r w:rsidRPr="004068F6">
        <w:rPr>
          <w:spacing w:val="-3"/>
        </w:rPr>
        <w:t xml:space="preserve">Se debe determinar y analizar el </w:t>
      </w:r>
      <w:r w:rsidR="002A28EA" w:rsidRPr="004068F6">
        <w:rPr>
          <w:spacing w:val="-3"/>
        </w:rPr>
        <w:t>estado en el ecosistema</w:t>
      </w:r>
      <w:r w:rsidRPr="004068F6">
        <w:rPr>
          <w:spacing w:val="-3"/>
        </w:rPr>
        <w:t xml:space="preserve"> de cada una de las especies registradas, considerando además de la información que resulte de los parámetros ecológicos previamente calculados, datos sobre la </w:t>
      </w:r>
      <w:r w:rsidR="002A28EA" w:rsidRPr="004068F6">
        <w:rPr>
          <w:spacing w:val="-3"/>
        </w:rPr>
        <w:t xml:space="preserve">presión </w:t>
      </w:r>
      <w:r w:rsidR="00EF1A1C" w:rsidRPr="004068F6">
        <w:rPr>
          <w:spacing w:val="-3"/>
        </w:rPr>
        <w:t xml:space="preserve">a la que están sujetas debido al desarrollo de </w:t>
      </w:r>
      <w:r w:rsidR="002A28EA" w:rsidRPr="004068F6">
        <w:rPr>
          <w:spacing w:val="-3"/>
        </w:rPr>
        <w:t xml:space="preserve">especies invasoras, </w:t>
      </w:r>
      <w:r w:rsidR="00497FC4" w:rsidRPr="004068F6">
        <w:rPr>
          <w:spacing w:val="-3"/>
        </w:rPr>
        <w:t xml:space="preserve">a </w:t>
      </w:r>
      <w:r w:rsidR="00EF1A1C" w:rsidRPr="004068F6">
        <w:rPr>
          <w:spacing w:val="-3"/>
        </w:rPr>
        <w:t xml:space="preserve">la </w:t>
      </w:r>
      <w:r w:rsidR="002A28EA" w:rsidRPr="004068F6">
        <w:rPr>
          <w:spacing w:val="-3"/>
        </w:rPr>
        <w:t xml:space="preserve">transformación y pérdida de hábitats, </w:t>
      </w:r>
      <w:r w:rsidR="00497FC4" w:rsidRPr="004068F6">
        <w:rPr>
          <w:spacing w:val="-3"/>
        </w:rPr>
        <w:t xml:space="preserve">a </w:t>
      </w:r>
      <w:r w:rsidR="00EF1A1C" w:rsidRPr="004068F6">
        <w:rPr>
          <w:spacing w:val="-3"/>
        </w:rPr>
        <w:t xml:space="preserve">la </w:t>
      </w:r>
      <w:r w:rsidR="002A28EA" w:rsidRPr="004068F6">
        <w:rPr>
          <w:spacing w:val="-3"/>
        </w:rPr>
        <w:t>sobreexplotación</w:t>
      </w:r>
      <w:r w:rsidR="00EF1A1C" w:rsidRPr="004068F6">
        <w:rPr>
          <w:spacing w:val="-3"/>
        </w:rPr>
        <w:t xml:space="preserve">, </w:t>
      </w:r>
      <w:r w:rsidR="00497FC4" w:rsidRPr="004068F6">
        <w:rPr>
          <w:spacing w:val="-3"/>
        </w:rPr>
        <w:t xml:space="preserve">a la </w:t>
      </w:r>
      <w:r w:rsidR="002A28EA" w:rsidRPr="004068F6">
        <w:rPr>
          <w:spacing w:val="-3"/>
        </w:rPr>
        <w:t xml:space="preserve">contaminación, </w:t>
      </w:r>
      <w:r w:rsidR="00497FC4" w:rsidRPr="004068F6">
        <w:rPr>
          <w:spacing w:val="-3"/>
        </w:rPr>
        <w:t xml:space="preserve">a la </w:t>
      </w:r>
      <w:r w:rsidR="002A28EA" w:rsidRPr="004068F6">
        <w:rPr>
          <w:spacing w:val="-3"/>
        </w:rPr>
        <w:t>ausencia de polinizadores, entre otr</w:t>
      </w:r>
      <w:r w:rsidR="00EF1A1C" w:rsidRPr="004068F6">
        <w:rPr>
          <w:spacing w:val="-3"/>
        </w:rPr>
        <w:t>o</w:t>
      </w:r>
      <w:r w:rsidR="002A28EA" w:rsidRPr="004068F6">
        <w:rPr>
          <w:spacing w:val="-3"/>
        </w:rPr>
        <w:t>s</w:t>
      </w:r>
      <w:r w:rsidR="00EF1A1C" w:rsidRPr="004068F6">
        <w:rPr>
          <w:spacing w:val="-3"/>
        </w:rPr>
        <w:t xml:space="preserve"> fenómenos</w:t>
      </w:r>
      <w:r w:rsidR="00497FC4" w:rsidRPr="004068F6">
        <w:rPr>
          <w:spacing w:val="-3"/>
        </w:rPr>
        <w:t>.</w:t>
      </w:r>
    </w:p>
    <w:p w14:paraId="19BA05FD" w14:textId="64429A6B" w:rsidR="00482A5F" w:rsidRPr="004068F6" w:rsidRDefault="00482A5F" w:rsidP="00482A5F">
      <w:pPr>
        <w:tabs>
          <w:tab w:val="left" w:pos="-2268"/>
        </w:tabs>
        <w:suppressAutoHyphens/>
        <w:rPr>
          <w:rFonts w:cs="Arial"/>
          <w:spacing w:val="-3"/>
        </w:rPr>
      </w:pPr>
    </w:p>
    <w:p w14:paraId="1084695E" w14:textId="5FE0D48E" w:rsidR="00482A5F" w:rsidRPr="004068F6" w:rsidRDefault="00102112" w:rsidP="007E7E1A">
      <w:pPr>
        <w:pStyle w:val="Ttulo6"/>
        <w:tabs>
          <w:tab w:val="clear" w:pos="2160"/>
          <w:tab w:val="num" w:pos="1418"/>
        </w:tabs>
        <w:ind w:left="1418" w:hanging="1418"/>
        <w:rPr>
          <w:lang w:val="es-CO"/>
        </w:rPr>
      </w:pPr>
      <w:bookmarkStart w:id="2901" w:name="_Hlk137194254"/>
      <w:bookmarkStart w:id="2902" w:name="_Hlk42155323"/>
      <w:r w:rsidRPr="004068F6">
        <w:rPr>
          <w:lang w:val="es-CO"/>
        </w:rPr>
        <w:t xml:space="preserve">Especies </w:t>
      </w:r>
      <w:r w:rsidR="00D46B90" w:rsidRPr="004068F6">
        <w:rPr>
          <w:lang w:val="es-CO"/>
        </w:rPr>
        <w:t>vascular</w:t>
      </w:r>
      <w:r w:rsidRPr="004068F6">
        <w:rPr>
          <w:lang w:val="es-CO"/>
        </w:rPr>
        <w:t>es</w:t>
      </w:r>
      <w:r w:rsidR="004F57C8" w:rsidRPr="004068F6">
        <w:rPr>
          <w:lang w:val="es-CO"/>
        </w:rPr>
        <w:t>,</w:t>
      </w:r>
      <w:r w:rsidR="00D46B90" w:rsidRPr="004068F6">
        <w:rPr>
          <w:lang w:val="es-CO"/>
        </w:rPr>
        <w:t xml:space="preserve"> no vascular</w:t>
      </w:r>
      <w:r w:rsidRPr="004068F6">
        <w:rPr>
          <w:lang w:val="es-CO"/>
        </w:rPr>
        <w:t>es</w:t>
      </w:r>
      <w:r w:rsidR="00D46B90" w:rsidRPr="004068F6">
        <w:rPr>
          <w:lang w:val="es-CO"/>
        </w:rPr>
        <w:t xml:space="preserve"> </w:t>
      </w:r>
      <w:r w:rsidR="004F57C8" w:rsidRPr="004068F6">
        <w:rPr>
          <w:lang w:val="es-CO"/>
        </w:rPr>
        <w:t xml:space="preserve">y líquenes de hábito </w:t>
      </w:r>
      <w:r w:rsidR="00D46B90" w:rsidRPr="004068F6">
        <w:rPr>
          <w:lang w:val="es-CO"/>
        </w:rPr>
        <w:t>terrestre, rupícola y epífit</w:t>
      </w:r>
      <w:r w:rsidR="004F57C8" w:rsidRPr="004068F6">
        <w:rPr>
          <w:lang w:val="es-CO"/>
        </w:rPr>
        <w:t>o</w:t>
      </w:r>
      <w:r w:rsidR="00D46B90" w:rsidRPr="004068F6">
        <w:rPr>
          <w:lang w:val="es-CO"/>
        </w:rPr>
        <w:t xml:space="preserve"> en veda</w:t>
      </w:r>
      <w:bookmarkEnd w:id="2901"/>
    </w:p>
    <w:bookmarkEnd w:id="2902"/>
    <w:p w14:paraId="42CB064D" w14:textId="77777777" w:rsidR="00482A5F" w:rsidRPr="004068F6" w:rsidRDefault="00482A5F" w:rsidP="00861F7A">
      <w:pPr>
        <w:tabs>
          <w:tab w:val="left" w:pos="-2268"/>
          <w:tab w:val="num" w:pos="1418"/>
        </w:tabs>
        <w:suppressAutoHyphens/>
        <w:ind w:left="1418" w:hanging="1418"/>
        <w:rPr>
          <w:rFonts w:cs="Arial"/>
          <w:spacing w:val="-3"/>
        </w:rPr>
      </w:pPr>
    </w:p>
    <w:p w14:paraId="6EA3E4CD" w14:textId="4BAC7A51" w:rsidR="00482A5F" w:rsidRPr="004068F6" w:rsidRDefault="00455368" w:rsidP="00482A5F">
      <w:pPr>
        <w:rPr>
          <w:rFonts w:cs="Arial"/>
          <w:spacing w:val="-3"/>
        </w:rPr>
      </w:pPr>
      <w:r w:rsidRPr="004068F6">
        <w:rPr>
          <w:rFonts w:cs="Arial"/>
          <w:spacing w:val="-3"/>
        </w:rPr>
        <w:lastRenderedPageBreak/>
        <w:t xml:space="preserve">De forma complementaria </w:t>
      </w:r>
      <w:bookmarkEnd w:id="2890"/>
      <w:r w:rsidR="00196F87" w:rsidRPr="004068F6">
        <w:rPr>
          <w:rFonts w:cs="Arial"/>
          <w:spacing w:val="-3"/>
        </w:rPr>
        <w:t xml:space="preserve">a la </w:t>
      </w:r>
      <w:r w:rsidR="00482A5F" w:rsidRPr="004068F6">
        <w:rPr>
          <w:rFonts w:cs="Arial"/>
          <w:spacing w:val="-3"/>
        </w:rPr>
        <w:t xml:space="preserve">caracterización </w:t>
      </w:r>
      <w:r w:rsidR="008C7EE9" w:rsidRPr="004068F6">
        <w:rPr>
          <w:rFonts w:cs="Arial"/>
          <w:spacing w:val="-3"/>
        </w:rPr>
        <w:t>de las especies vasculares, no vasculares y líquenes de hábito terrestre</w:t>
      </w:r>
      <w:r w:rsidR="00ED54F5" w:rsidRPr="004068F6">
        <w:rPr>
          <w:rFonts w:cs="Arial"/>
          <w:spacing w:val="-3"/>
        </w:rPr>
        <w:t xml:space="preserve"> (que incluye al humícola)</w:t>
      </w:r>
      <w:r w:rsidR="008C7EE9" w:rsidRPr="004068F6">
        <w:rPr>
          <w:rFonts w:cs="Arial"/>
          <w:spacing w:val="-3"/>
        </w:rPr>
        <w:t>, rupícola y epífito</w:t>
      </w:r>
      <w:r w:rsidR="00196F87" w:rsidRPr="004068F6">
        <w:rPr>
          <w:rFonts w:cs="Arial"/>
          <w:spacing w:val="-3"/>
        </w:rPr>
        <w:t>,</w:t>
      </w:r>
      <w:r w:rsidR="0059324C" w:rsidRPr="004068F6">
        <w:rPr>
          <w:rFonts w:cs="Arial"/>
          <w:spacing w:val="-3"/>
        </w:rPr>
        <w:t xml:space="preserve"> </w:t>
      </w:r>
      <w:r w:rsidR="00196F87" w:rsidRPr="004068F6">
        <w:rPr>
          <w:rFonts w:cs="Arial"/>
          <w:spacing w:val="-3"/>
        </w:rPr>
        <w:t xml:space="preserve">cuyos métodos de obtención fueron </w:t>
      </w:r>
      <w:r w:rsidR="006F7476" w:rsidRPr="004068F6">
        <w:rPr>
          <w:rFonts w:cs="Arial"/>
          <w:spacing w:val="-3"/>
        </w:rPr>
        <w:t xml:space="preserve">señalados </w:t>
      </w:r>
      <w:r w:rsidR="00482A5F" w:rsidRPr="004068F6">
        <w:rPr>
          <w:rFonts w:cs="Arial"/>
          <w:spacing w:val="-3"/>
        </w:rPr>
        <w:t>anteriormente, se debe relacionar de manera clara la siguiente información</w:t>
      </w:r>
      <w:r w:rsidR="008C7EE9" w:rsidRPr="004068F6">
        <w:rPr>
          <w:rFonts w:cs="Arial"/>
          <w:spacing w:val="-3"/>
        </w:rPr>
        <w:t xml:space="preserve"> para las especies de estos grupos que se encuentran en veda</w:t>
      </w:r>
      <w:r w:rsidR="00482A5F" w:rsidRPr="004068F6">
        <w:rPr>
          <w:rFonts w:cs="Arial"/>
          <w:spacing w:val="-3"/>
        </w:rPr>
        <w:t>:</w:t>
      </w:r>
    </w:p>
    <w:p w14:paraId="208D6EEE" w14:textId="77777777" w:rsidR="00482A5F" w:rsidRPr="004068F6" w:rsidRDefault="00482A5F" w:rsidP="00482A5F">
      <w:pPr>
        <w:rPr>
          <w:rFonts w:cs="Arial"/>
          <w:spacing w:val="-3"/>
        </w:rPr>
      </w:pPr>
    </w:p>
    <w:p w14:paraId="2FB45E3B" w14:textId="46E9CE25" w:rsidR="00D0426C" w:rsidRPr="004068F6" w:rsidRDefault="008C7EE9" w:rsidP="00C86DA5">
      <w:pPr>
        <w:pStyle w:val="Prrafodelista"/>
        <w:widowControl w:val="0"/>
        <w:numPr>
          <w:ilvl w:val="0"/>
          <w:numId w:val="374"/>
        </w:numPr>
        <w:ind w:left="567" w:hanging="567"/>
        <w:rPr>
          <w:rFonts w:cs="Arial"/>
          <w:spacing w:val="-3"/>
          <w:lang w:val="es-CO"/>
        </w:rPr>
      </w:pPr>
      <w:r w:rsidRPr="004068F6">
        <w:rPr>
          <w:rFonts w:cs="Arial"/>
          <w:spacing w:val="-3"/>
          <w:lang w:val="es-CO"/>
        </w:rPr>
        <w:t>Diseño y resultados del m</w:t>
      </w:r>
      <w:r w:rsidR="00482A5F" w:rsidRPr="004068F6">
        <w:rPr>
          <w:rFonts w:cs="Arial"/>
          <w:spacing w:val="-3"/>
          <w:lang w:val="es-CO"/>
        </w:rPr>
        <w:t xml:space="preserve">uestreo </w:t>
      </w:r>
      <w:r w:rsidR="00455368" w:rsidRPr="004068F6">
        <w:rPr>
          <w:rFonts w:cs="Arial"/>
          <w:spacing w:val="-3"/>
          <w:lang w:val="es-CO"/>
        </w:rPr>
        <w:t>para</w:t>
      </w:r>
      <w:r w:rsidR="00711A54" w:rsidRPr="004068F6">
        <w:rPr>
          <w:rFonts w:cs="Arial"/>
          <w:spacing w:val="-3"/>
          <w:lang w:val="es-CO"/>
        </w:rPr>
        <w:t xml:space="preserve"> </w:t>
      </w:r>
      <w:r w:rsidR="00482A5F" w:rsidRPr="004068F6">
        <w:rPr>
          <w:rFonts w:cs="Arial"/>
          <w:spacing w:val="-3"/>
          <w:lang w:val="es-CO"/>
        </w:rPr>
        <w:t xml:space="preserve">las especies de los grupos taxonómicos de </w:t>
      </w:r>
      <w:r w:rsidR="00937067" w:rsidRPr="004068F6">
        <w:rPr>
          <w:rFonts w:cs="Arial"/>
          <w:spacing w:val="-3"/>
          <w:lang w:val="es-CO"/>
        </w:rPr>
        <w:t>b</w:t>
      </w:r>
      <w:r w:rsidR="00482A5F" w:rsidRPr="004068F6">
        <w:rPr>
          <w:rFonts w:cs="Arial"/>
          <w:spacing w:val="-3"/>
          <w:lang w:val="es-CO"/>
        </w:rPr>
        <w:t xml:space="preserve">romelias, </w:t>
      </w:r>
      <w:r w:rsidR="00937067" w:rsidRPr="004068F6">
        <w:rPr>
          <w:rFonts w:cs="Arial"/>
          <w:spacing w:val="-3"/>
          <w:lang w:val="es-CO"/>
        </w:rPr>
        <w:t>o</w:t>
      </w:r>
      <w:r w:rsidR="00482A5F" w:rsidRPr="004068F6">
        <w:rPr>
          <w:rFonts w:cs="Arial"/>
          <w:spacing w:val="-3"/>
          <w:lang w:val="es-CO"/>
        </w:rPr>
        <w:t xml:space="preserve">rquídeas, </w:t>
      </w:r>
      <w:r w:rsidR="00937067" w:rsidRPr="004068F6">
        <w:rPr>
          <w:rFonts w:cs="Arial"/>
          <w:spacing w:val="-3"/>
          <w:lang w:val="es-CO"/>
        </w:rPr>
        <w:t>m</w:t>
      </w:r>
      <w:r w:rsidR="00482A5F" w:rsidRPr="004068F6">
        <w:rPr>
          <w:rFonts w:cs="Arial"/>
          <w:spacing w:val="-3"/>
          <w:lang w:val="es-CO"/>
        </w:rPr>
        <w:t xml:space="preserve">usgos, </w:t>
      </w:r>
      <w:r w:rsidR="00937067" w:rsidRPr="004068F6">
        <w:rPr>
          <w:rFonts w:cs="Arial"/>
          <w:spacing w:val="-3"/>
          <w:lang w:val="es-CO"/>
        </w:rPr>
        <w:t>h</w:t>
      </w:r>
      <w:r w:rsidR="00482A5F" w:rsidRPr="004068F6">
        <w:rPr>
          <w:rFonts w:cs="Arial"/>
          <w:spacing w:val="-3"/>
          <w:lang w:val="es-CO"/>
        </w:rPr>
        <w:t xml:space="preserve">epáticas, </w:t>
      </w:r>
      <w:r w:rsidR="00937067" w:rsidRPr="004068F6">
        <w:rPr>
          <w:rFonts w:cs="Arial"/>
          <w:spacing w:val="-3"/>
          <w:lang w:val="es-CO"/>
        </w:rPr>
        <w:t>a</w:t>
      </w:r>
      <w:r w:rsidR="00482A5F" w:rsidRPr="004068F6">
        <w:rPr>
          <w:rFonts w:cs="Arial"/>
          <w:spacing w:val="-3"/>
          <w:lang w:val="es-CO"/>
        </w:rPr>
        <w:t xml:space="preserve">nthocerotales y </w:t>
      </w:r>
      <w:r w:rsidR="00937067" w:rsidRPr="004068F6">
        <w:rPr>
          <w:rFonts w:cs="Arial"/>
          <w:spacing w:val="-3"/>
          <w:lang w:val="es-CO"/>
        </w:rPr>
        <w:t>l</w:t>
      </w:r>
      <w:r w:rsidR="00482A5F" w:rsidRPr="004068F6">
        <w:rPr>
          <w:rFonts w:cs="Arial"/>
          <w:spacing w:val="-3"/>
          <w:lang w:val="es-CO"/>
        </w:rPr>
        <w:t>íquenes incluid</w:t>
      </w:r>
      <w:r w:rsidR="00F71FB5" w:rsidRPr="004068F6">
        <w:rPr>
          <w:rFonts w:cs="Arial"/>
          <w:spacing w:val="-3"/>
          <w:lang w:val="es-CO"/>
        </w:rPr>
        <w:t>o</w:t>
      </w:r>
      <w:r w:rsidR="00482A5F" w:rsidRPr="004068F6">
        <w:rPr>
          <w:rFonts w:cs="Arial"/>
          <w:spacing w:val="-3"/>
          <w:lang w:val="es-CO"/>
        </w:rPr>
        <w:t>s en la Resolución 213 de 1977 o la norma que la modifique o sustituya</w:t>
      </w:r>
      <w:r w:rsidR="00711A54" w:rsidRPr="004068F6">
        <w:rPr>
          <w:rFonts w:cs="Arial"/>
          <w:spacing w:val="-3"/>
          <w:lang w:val="es-CO"/>
        </w:rPr>
        <w:t xml:space="preserve"> o en otros actos administrativos</w:t>
      </w:r>
      <w:r w:rsidR="001E4901" w:rsidRPr="004068F6">
        <w:rPr>
          <w:rFonts w:cs="Arial"/>
          <w:spacing w:val="-3"/>
          <w:lang w:val="es-CO"/>
        </w:rPr>
        <w:t xml:space="preserve"> que determinen su carácter de veda</w:t>
      </w:r>
      <w:r w:rsidR="00482A5F" w:rsidRPr="004068F6">
        <w:rPr>
          <w:rFonts w:cs="Arial"/>
          <w:spacing w:val="-3"/>
          <w:lang w:val="es-CO"/>
        </w:rPr>
        <w:t>.</w:t>
      </w:r>
    </w:p>
    <w:p w14:paraId="12BECF61" w14:textId="77777777" w:rsidR="00D0426C" w:rsidRPr="004068F6" w:rsidRDefault="00D0426C" w:rsidP="000D6E21">
      <w:pPr>
        <w:widowControl w:val="0"/>
        <w:rPr>
          <w:rFonts w:cs="Arial"/>
          <w:spacing w:val="-3"/>
        </w:rPr>
      </w:pPr>
    </w:p>
    <w:p w14:paraId="08E40265" w14:textId="60A19F3E" w:rsidR="00D0426C" w:rsidRPr="004068F6" w:rsidRDefault="00F6250D" w:rsidP="00D0426C">
      <w:pPr>
        <w:pStyle w:val="Prrafodelista"/>
        <w:widowControl w:val="0"/>
        <w:ind w:left="567"/>
        <w:rPr>
          <w:rFonts w:cs="Arial"/>
          <w:spacing w:val="-3"/>
          <w:lang w:val="es-CO"/>
        </w:rPr>
      </w:pPr>
      <w:r>
        <w:rPr>
          <w:rFonts w:cs="Arial"/>
          <w:spacing w:val="-3"/>
          <w:lang w:val="es-CO"/>
        </w:rPr>
        <w:t xml:space="preserve">La </w:t>
      </w:r>
      <w:r w:rsidRPr="001F193F">
        <w:rPr>
          <w:rFonts w:cs="Arial"/>
          <w:spacing w:val="-3"/>
          <w:lang w:val="es-CO"/>
        </w:rPr>
        <w:t>c</w:t>
      </w:r>
      <w:r w:rsidR="003740FA" w:rsidRPr="001F193F">
        <w:rPr>
          <w:rFonts w:cs="Arial"/>
          <w:spacing w:val="-3"/>
          <w:lang w:val="es-CO"/>
        </w:rPr>
        <w:t>aracteriza</w:t>
      </w:r>
      <w:r w:rsidRPr="001F193F">
        <w:rPr>
          <w:rFonts w:cs="Arial"/>
          <w:spacing w:val="-3"/>
          <w:lang w:val="es-CO"/>
        </w:rPr>
        <w:t>ción de</w:t>
      </w:r>
      <w:r w:rsidR="003740FA" w:rsidRPr="001F193F">
        <w:rPr>
          <w:rFonts w:cs="Arial"/>
          <w:spacing w:val="-3"/>
          <w:lang w:val="es-CO"/>
        </w:rPr>
        <w:t xml:space="preserve"> </w:t>
      </w:r>
      <w:r w:rsidR="00D0426C" w:rsidRPr="001F193F">
        <w:rPr>
          <w:rFonts w:cs="Arial"/>
          <w:spacing w:val="-3"/>
          <w:lang w:val="es-CO"/>
        </w:rPr>
        <w:t xml:space="preserve">estas </w:t>
      </w:r>
      <w:r w:rsidR="006B674C" w:rsidRPr="00127BD4">
        <w:rPr>
          <w:rFonts w:cs="Arial"/>
          <w:spacing w:val="-3"/>
          <w:lang w:val="es-CO"/>
        </w:rPr>
        <w:t xml:space="preserve">especies </w:t>
      </w:r>
      <w:r w:rsidRPr="00127BD4">
        <w:rPr>
          <w:rFonts w:cs="Arial"/>
          <w:spacing w:val="-3"/>
          <w:lang w:val="es-CO"/>
        </w:rPr>
        <w:t xml:space="preserve">debe realizarse </w:t>
      </w:r>
      <w:r w:rsidR="00D0426C" w:rsidRPr="001F193F">
        <w:rPr>
          <w:rFonts w:cs="Arial"/>
          <w:spacing w:val="-3"/>
          <w:lang w:val="es-CO"/>
        </w:rPr>
        <w:t xml:space="preserve">en el </w:t>
      </w:r>
      <w:r w:rsidR="00D0426C" w:rsidRPr="00127BD4">
        <w:rPr>
          <w:rFonts w:cs="Arial"/>
          <w:i/>
          <w:iCs/>
          <w:spacing w:val="-3"/>
          <w:lang w:val="es-CO"/>
        </w:rPr>
        <w:t>área por intervenir</w:t>
      </w:r>
      <w:r w:rsidR="00BD6260" w:rsidRPr="00127BD4">
        <w:rPr>
          <w:rFonts w:cs="Arial"/>
          <w:spacing w:val="-3"/>
          <w:lang w:val="es-CO"/>
        </w:rPr>
        <w:t>, señala</w:t>
      </w:r>
      <w:r w:rsidR="00D9294D" w:rsidRPr="00127BD4">
        <w:rPr>
          <w:rFonts w:cs="Arial"/>
          <w:spacing w:val="-3"/>
          <w:lang w:val="es-CO"/>
        </w:rPr>
        <w:t xml:space="preserve">r el </w:t>
      </w:r>
      <w:r w:rsidR="00D1616F" w:rsidRPr="001F193F">
        <w:rPr>
          <w:rFonts w:cs="Arial"/>
          <w:spacing w:val="-3"/>
          <w:lang w:val="es-CO"/>
        </w:rPr>
        <w:t>ecosistema, grupo biológico y hábito</w:t>
      </w:r>
      <w:r w:rsidR="00D9294D" w:rsidRPr="00127BD4">
        <w:rPr>
          <w:rFonts w:cs="Arial"/>
          <w:spacing w:val="-3"/>
          <w:lang w:val="es-CO"/>
        </w:rPr>
        <w:t xml:space="preserve"> y </w:t>
      </w:r>
      <w:r w:rsidR="00D0426C" w:rsidRPr="001F193F">
        <w:rPr>
          <w:rFonts w:cs="Arial"/>
          <w:spacing w:val="-3"/>
          <w:lang w:val="es-CO"/>
        </w:rPr>
        <w:t>asegurar su representatividad</w:t>
      </w:r>
      <w:r w:rsidR="00D0426C" w:rsidRPr="004068F6">
        <w:rPr>
          <w:rFonts w:cs="Arial"/>
          <w:spacing w:val="-3"/>
          <w:lang w:val="es-CO"/>
        </w:rPr>
        <w:t>.</w:t>
      </w:r>
      <w:r w:rsidR="00FD66BD">
        <w:rPr>
          <w:rFonts w:cs="Arial"/>
          <w:spacing w:val="-3"/>
          <w:lang w:val="es-CO"/>
        </w:rPr>
        <w:t xml:space="preserve"> E</w:t>
      </w:r>
      <w:r w:rsidR="00FD66BD" w:rsidRPr="00FD66BD">
        <w:rPr>
          <w:rFonts w:cs="Arial"/>
          <w:spacing w:val="-3"/>
          <w:lang w:val="es-CO"/>
        </w:rPr>
        <w:t>n el caso de proyectos, obras o actividades sin área por intervenir definida</w:t>
      </w:r>
      <w:r w:rsidR="002C0296">
        <w:rPr>
          <w:rFonts w:cs="Arial"/>
          <w:spacing w:val="-3"/>
          <w:lang w:val="es-CO"/>
        </w:rPr>
        <w:t xml:space="preserve">, </w:t>
      </w:r>
      <w:r w:rsidR="00A436C9">
        <w:rPr>
          <w:rFonts w:cs="Arial"/>
          <w:spacing w:val="-3"/>
          <w:lang w:val="es-CO"/>
        </w:rPr>
        <w:t xml:space="preserve">la caracterización </w:t>
      </w:r>
      <w:r w:rsidR="002C0296">
        <w:rPr>
          <w:rFonts w:cs="Arial"/>
          <w:spacing w:val="-3"/>
          <w:lang w:val="es-CO"/>
        </w:rPr>
        <w:t xml:space="preserve">debe </w:t>
      </w:r>
      <w:r w:rsidR="00A436C9">
        <w:rPr>
          <w:rFonts w:cs="Arial"/>
          <w:spacing w:val="-3"/>
          <w:lang w:val="es-CO"/>
        </w:rPr>
        <w:t xml:space="preserve">referirse a las posibles </w:t>
      </w:r>
      <w:r w:rsidR="00FD66BD" w:rsidRPr="00FD66BD">
        <w:rPr>
          <w:rFonts w:cs="Arial"/>
          <w:spacing w:val="-3"/>
          <w:lang w:val="es-CO"/>
        </w:rPr>
        <w:t>área</w:t>
      </w:r>
      <w:r w:rsidR="00A436C9">
        <w:rPr>
          <w:rFonts w:cs="Arial"/>
          <w:spacing w:val="-3"/>
          <w:lang w:val="es-CO"/>
        </w:rPr>
        <w:t>s por intervenir</w:t>
      </w:r>
      <w:r w:rsidR="002C0296">
        <w:rPr>
          <w:rFonts w:cs="Arial"/>
          <w:spacing w:val="-3"/>
          <w:lang w:val="es-CO"/>
        </w:rPr>
        <w:t>.</w:t>
      </w:r>
    </w:p>
    <w:p w14:paraId="2D792B79" w14:textId="77777777" w:rsidR="00956DF7" w:rsidRPr="004068F6" w:rsidRDefault="00956DF7" w:rsidP="009420F5"/>
    <w:p w14:paraId="58FAE358" w14:textId="67E1111A" w:rsidR="00233048" w:rsidRPr="004068F6" w:rsidRDefault="00CC69FF" w:rsidP="00233048">
      <w:pPr>
        <w:ind w:left="567"/>
      </w:pPr>
      <w:r w:rsidRPr="004068F6">
        <w:t>En cualquier caso, para cada grupo biológico y hábito s</w:t>
      </w:r>
      <w:r w:rsidR="001B0643" w:rsidRPr="004068F6">
        <w:t>e debe describi</w:t>
      </w:r>
      <w:r w:rsidRPr="004068F6">
        <w:t xml:space="preserve">r el método empleado </w:t>
      </w:r>
      <w:r w:rsidR="001B0643" w:rsidRPr="004068F6">
        <w:t>(</w:t>
      </w:r>
      <w:r w:rsidRPr="004068F6">
        <w:t>p. ej.</w:t>
      </w:r>
      <w:r w:rsidR="001B0643" w:rsidRPr="004068F6">
        <w:t xml:space="preserve"> Gradstein et al.; 2003)</w:t>
      </w:r>
      <w:r w:rsidRPr="004068F6">
        <w:t xml:space="preserve"> y el </w:t>
      </w:r>
      <w:r w:rsidR="001B0643" w:rsidRPr="004068F6">
        <w:t xml:space="preserve">tipo y tamaño de la unidad de muestreo, </w:t>
      </w:r>
      <w:r w:rsidRPr="004068F6">
        <w:t xml:space="preserve">así como </w:t>
      </w:r>
      <w:r w:rsidR="001B0643" w:rsidRPr="004068F6">
        <w:t>señala</w:t>
      </w:r>
      <w:r w:rsidRPr="004068F6">
        <w:t xml:space="preserve">r </w:t>
      </w:r>
      <w:r w:rsidR="001B0643" w:rsidRPr="004068F6">
        <w:t xml:space="preserve">la forma en que </w:t>
      </w:r>
      <w:r w:rsidR="0002045D" w:rsidRPr="004068F6">
        <w:t xml:space="preserve">se </w:t>
      </w:r>
      <w:r w:rsidR="001B0643" w:rsidRPr="004068F6">
        <w:t>analiz</w:t>
      </w:r>
      <w:r w:rsidRPr="004068F6">
        <w:t xml:space="preserve">aron </w:t>
      </w:r>
      <w:r w:rsidR="001B0643" w:rsidRPr="004068F6">
        <w:t>los datos (</w:t>
      </w:r>
      <w:r w:rsidRPr="004068F6">
        <w:rPr>
          <w:rFonts w:cs="Arial"/>
          <w:spacing w:val="-3"/>
        </w:rPr>
        <w:t>estadígrafos, curvas de acumulación de especies, entre otros elementos de importancia para estimar y analizar la diversidad y demás características de estas especies</w:t>
      </w:r>
      <w:r w:rsidR="001B0643" w:rsidRPr="004068F6">
        <w:t>)</w:t>
      </w:r>
      <w:r w:rsidR="0002045D" w:rsidRPr="004068F6">
        <w:t>.</w:t>
      </w:r>
      <w:r w:rsidR="001B0643" w:rsidRPr="004068F6">
        <w:t xml:space="preserve"> </w:t>
      </w:r>
      <w:r w:rsidR="00D51E3F" w:rsidRPr="004068F6">
        <w:t xml:space="preserve">Los </w:t>
      </w:r>
      <w:r w:rsidR="001B0643" w:rsidRPr="004068F6">
        <w:t>diseño</w:t>
      </w:r>
      <w:r w:rsidR="00D51E3F" w:rsidRPr="004068F6">
        <w:t>s y esfuerzos</w:t>
      </w:r>
      <w:r w:rsidRPr="004068F6">
        <w:t xml:space="preserve"> de muestreo </w:t>
      </w:r>
      <w:r w:rsidR="00233048" w:rsidRPr="004068F6">
        <w:t xml:space="preserve">deben asegurar la </w:t>
      </w:r>
      <w:r w:rsidR="00256C87" w:rsidRPr="004068F6">
        <w:t xml:space="preserve">su </w:t>
      </w:r>
      <w:r w:rsidR="00233048" w:rsidRPr="004068F6">
        <w:t xml:space="preserve">representatividad </w:t>
      </w:r>
      <w:r w:rsidR="00256C87" w:rsidRPr="004068F6">
        <w:t xml:space="preserve">tal </w:t>
      </w:r>
      <w:r w:rsidR="00233048" w:rsidRPr="004068F6">
        <w:t>como se describe en apartados previos.</w:t>
      </w:r>
    </w:p>
    <w:p w14:paraId="4E8D6A2D" w14:textId="77777777" w:rsidR="001B0643" w:rsidRPr="004068F6" w:rsidRDefault="001B0643" w:rsidP="00127BD4">
      <w:pPr>
        <w:ind w:left="567"/>
      </w:pPr>
    </w:p>
    <w:p w14:paraId="5CA39669" w14:textId="7EDD4341" w:rsidR="00482A5F" w:rsidRPr="004068F6" w:rsidRDefault="00482A5F" w:rsidP="00C86DA5">
      <w:pPr>
        <w:pStyle w:val="Prrafodelista"/>
        <w:widowControl w:val="0"/>
        <w:numPr>
          <w:ilvl w:val="0"/>
          <w:numId w:val="374"/>
        </w:numPr>
        <w:ind w:left="567" w:hanging="567"/>
        <w:rPr>
          <w:rFonts w:cs="Arial"/>
          <w:spacing w:val="-3"/>
          <w:lang w:val="es-CO"/>
        </w:rPr>
      </w:pPr>
      <w:r w:rsidRPr="004068F6">
        <w:rPr>
          <w:rFonts w:cs="Arial"/>
          <w:spacing w:val="-3"/>
          <w:lang w:val="es-CO"/>
        </w:rPr>
        <w:t xml:space="preserve">Certificado </w:t>
      </w:r>
      <w:r w:rsidR="00564B0B" w:rsidRPr="004068F6">
        <w:rPr>
          <w:rFonts w:cs="Arial"/>
          <w:spacing w:val="-3"/>
          <w:lang w:val="es-CO"/>
        </w:rPr>
        <w:t>de</w:t>
      </w:r>
      <w:r w:rsidRPr="004068F6">
        <w:rPr>
          <w:rFonts w:cs="Arial"/>
          <w:spacing w:val="-3"/>
          <w:lang w:val="es-CO"/>
        </w:rPr>
        <w:t xml:space="preserve"> </w:t>
      </w:r>
      <w:r w:rsidR="00DE34D4" w:rsidRPr="004068F6">
        <w:rPr>
          <w:rFonts w:cs="Arial"/>
          <w:spacing w:val="-3"/>
          <w:lang w:val="es-CO"/>
        </w:rPr>
        <w:t xml:space="preserve">determinación </w:t>
      </w:r>
      <w:r w:rsidR="00C02B05" w:rsidRPr="004068F6">
        <w:rPr>
          <w:rFonts w:cs="Arial"/>
          <w:spacing w:val="-3"/>
          <w:lang w:val="es-CO"/>
        </w:rPr>
        <w:t xml:space="preserve">taxonómica </w:t>
      </w:r>
      <w:r w:rsidRPr="004068F6">
        <w:rPr>
          <w:rFonts w:cs="Arial"/>
          <w:spacing w:val="-3"/>
          <w:lang w:val="es-CO"/>
        </w:rPr>
        <w:t xml:space="preserve">de </w:t>
      </w:r>
      <w:r w:rsidR="00C02B05" w:rsidRPr="004068F6">
        <w:rPr>
          <w:rFonts w:cs="Arial"/>
          <w:spacing w:val="-3"/>
          <w:lang w:val="es-CO"/>
        </w:rPr>
        <w:t xml:space="preserve">un </w:t>
      </w:r>
      <w:r w:rsidRPr="004068F6">
        <w:rPr>
          <w:rFonts w:cs="Arial"/>
          <w:spacing w:val="-3"/>
          <w:lang w:val="es-CO"/>
        </w:rPr>
        <w:t xml:space="preserve">herbario </w:t>
      </w:r>
      <w:r w:rsidR="0059324C" w:rsidRPr="004068F6">
        <w:rPr>
          <w:rFonts w:cs="Arial"/>
          <w:spacing w:val="-3"/>
          <w:lang w:val="es-CO"/>
        </w:rPr>
        <w:t xml:space="preserve">o especialista </w:t>
      </w:r>
      <w:r w:rsidR="00C02B05" w:rsidRPr="004068F6">
        <w:rPr>
          <w:rFonts w:cs="Arial"/>
          <w:spacing w:val="-3"/>
          <w:lang w:val="es-CO"/>
        </w:rPr>
        <w:t xml:space="preserve">en el grupo biológico de </w:t>
      </w:r>
      <w:r w:rsidRPr="004068F6">
        <w:rPr>
          <w:rFonts w:cs="Arial"/>
          <w:spacing w:val="-3"/>
          <w:lang w:val="es-CO"/>
        </w:rPr>
        <w:t xml:space="preserve">las especies en veda </w:t>
      </w:r>
      <w:r w:rsidR="00C02B05" w:rsidRPr="004068F6">
        <w:rPr>
          <w:rFonts w:cs="Arial"/>
          <w:spacing w:val="-3"/>
          <w:lang w:val="es-CO"/>
        </w:rPr>
        <w:t>con los lineamientos definidos anteriormente, así como el certificado de depósito de los especímenes colectados</w:t>
      </w:r>
      <w:r w:rsidRPr="004068F6">
        <w:rPr>
          <w:rFonts w:cs="Arial"/>
          <w:spacing w:val="-3"/>
          <w:lang w:val="es-CO"/>
        </w:rPr>
        <w:t>.</w:t>
      </w:r>
    </w:p>
    <w:p w14:paraId="7AA597D6" w14:textId="77777777" w:rsidR="00956DF7" w:rsidRPr="004068F6" w:rsidRDefault="00956DF7" w:rsidP="00C86DA5">
      <w:pPr>
        <w:widowControl w:val="0"/>
        <w:rPr>
          <w:rFonts w:cs="Arial"/>
          <w:spacing w:val="-3"/>
        </w:rPr>
      </w:pPr>
    </w:p>
    <w:p w14:paraId="0ACE2598" w14:textId="07CDAE59" w:rsidR="00482A5F" w:rsidRPr="004068F6" w:rsidRDefault="0059324C" w:rsidP="00C86DA5">
      <w:pPr>
        <w:pStyle w:val="Prrafodelista"/>
        <w:widowControl w:val="0"/>
        <w:numPr>
          <w:ilvl w:val="0"/>
          <w:numId w:val="374"/>
        </w:numPr>
        <w:ind w:left="567" w:hanging="567"/>
        <w:rPr>
          <w:rFonts w:cs="Arial"/>
          <w:spacing w:val="-3"/>
          <w:lang w:val="es-CO"/>
        </w:rPr>
      </w:pPr>
      <w:r w:rsidRPr="004068F6">
        <w:rPr>
          <w:rFonts w:cs="Arial"/>
          <w:spacing w:val="-3"/>
          <w:lang w:val="es-CO"/>
        </w:rPr>
        <w:t xml:space="preserve">Determinación taxonómica </w:t>
      </w:r>
      <w:r w:rsidR="00A7251A" w:rsidRPr="004068F6">
        <w:rPr>
          <w:rFonts w:cs="Arial"/>
          <w:spacing w:val="-3"/>
          <w:lang w:val="es-CO"/>
        </w:rPr>
        <w:t>a</w:t>
      </w:r>
      <w:r w:rsidR="000E54F4" w:rsidRPr="004068F6">
        <w:rPr>
          <w:rFonts w:cs="Arial"/>
          <w:spacing w:val="-3"/>
          <w:lang w:val="es-CO"/>
        </w:rPr>
        <w:t>l</w:t>
      </w:r>
      <w:r w:rsidR="00A7251A" w:rsidRPr="004068F6">
        <w:rPr>
          <w:rFonts w:cs="Arial"/>
          <w:spacing w:val="-3"/>
          <w:lang w:val="es-CO"/>
        </w:rPr>
        <w:t xml:space="preserve"> nivel </w:t>
      </w:r>
      <w:r w:rsidR="00563E67" w:rsidRPr="004068F6">
        <w:rPr>
          <w:rFonts w:cs="Arial"/>
          <w:spacing w:val="-3"/>
          <w:lang w:val="es-CO"/>
        </w:rPr>
        <w:t xml:space="preserve">más </w:t>
      </w:r>
      <w:r w:rsidR="000E54F4" w:rsidRPr="004068F6">
        <w:rPr>
          <w:rFonts w:cs="Arial"/>
          <w:spacing w:val="-3"/>
          <w:lang w:val="es-CO"/>
        </w:rPr>
        <w:t xml:space="preserve">detallado </w:t>
      </w:r>
      <w:r w:rsidR="00563E67" w:rsidRPr="004068F6">
        <w:rPr>
          <w:rFonts w:cs="Arial"/>
          <w:spacing w:val="-3"/>
          <w:lang w:val="es-CO"/>
        </w:rPr>
        <w:t>posible</w:t>
      </w:r>
      <w:r w:rsidR="00A7251A" w:rsidRPr="004068F6">
        <w:rPr>
          <w:rFonts w:cs="Arial"/>
          <w:spacing w:val="-3"/>
          <w:lang w:val="es-CO"/>
        </w:rPr>
        <w:t xml:space="preserve">. En caso de no </w:t>
      </w:r>
      <w:r w:rsidR="00B4318A" w:rsidRPr="004068F6">
        <w:rPr>
          <w:rFonts w:cs="Arial"/>
          <w:spacing w:val="-3"/>
          <w:lang w:val="es-CO"/>
        </w:rPr>
        <w:t xml:space="preserve">lograr </w:t>
      </w:r>
      <w:r w:rsidR="00A7251A" w:rsidRPr="004068F6">
        <w:rPr>
          <w:rFonts w:cs="Arial"/>
          <w:spacing w:val="-3"/>
          <w:lang w:val="es-CO"/>
        </w:rPr>
        <w:t xml:space="preserve">la </w:t>
      </w:r>
      <w:r w:rsidR="00B4318A" w:rsidRPr="004068F6">
        <w:rPr>
          <w:rFonts w:cs="Arial"/>
          <w:spacing w:val="-3"/>
          <w:lang w:val="es-CO"/>
        </w:rPr>
        <w:t xml:space="preserve">determinación a nivel de </w:t>
      </w:r>
      <w:r w:rsidR="00A7251A" w:rsidRPr="004068F6">
        <w:rPr>
          <w:rFonts w:cs="Arial"/>
          <w:spacing w:val="-3"/>
          <w:lang w:val="es-CO"/>
        </w:rPr>
        <w:t>especie</w:t>
      </w:r>
      <w:r w:rsidR="00B4318A" w:rsidRPr="004068F6">
        <w:rPr>
          <w:rFonts w:cs="Arial"/>
          <w:spacing w:val="-3"/>
          <w:lang w:val="es-CO"/>
        </w:rPr>
        <w:t>,</w:t>
      </w:r>
      <w:r w:rsidR="00A7251A" w:rsidRPr="004068F6">
        <w:rPr>
          <w:rFonts w:cs="Arial"/>
          <w:spacing w:val="-3"/>
          <w:lang w:val="es-CO"/>
        </w:rPr>
        <w:t xml:space="preserve"> se deben señalar las razones que impidieron </w:t>
      </w:r>
      <w:r w:rsidR="00B4318A" w:rsidRPr="004068F6">
        <w:rPr>
          <w:rFonts w:cs="Arial"/>
          <w:spacing w:val="-3"/>
          <w:lang w:val="es-CO"/>
        </w:rPr>
        <w:t>tal determinación</w:t>
      </w:r>
      <w:r w:rsidR="00482A5F" w:rsidRPr="004068F6">
        <w:rPr>
          <w:rFonts w:cs="Arial"/>
          <w:spacing w:val="-3"/>
          <w:lang w:val="es-CO"/>
        </w:rPr>
        <w:t>.</w:t>
      </w:r>
    </w:p>
    <w:p w14:paraId="7833606D" w14:textId="77777777" w:rsidR="00956DF7" w:rsidRPr="004068F6" w:rsidRDefault="00956DF7" w:rsidP="00C86DA5">
      <w:pPr>
        <w:widowControl w:val="0"/>
        <w:rPr>
          <w:rFonts w:cs="Arial"/>
          <w:spacing w:val="-3"/>
        </w:rPr>
      </w:pPr>
    </w:p>
    <w:p w14:paraId="2184FDD4" w14:textId="73D5A87A" w:rsidR="00482A5F" w:rsidRPr="004068F6" w:rsidRDefault="00482A5F" w:rsidP="00C86DA5">
      <w:pPr>
        <w:pStyle w:val="Prrafodelista"/>
        <w:widowControl w:val="0"/>
        <w:numPr>
          <w:ilvl w:val="0"/>
          <w:numId w:val="374"/>
        </w:numPr>
        <w:ind w:left="567" w:hanging="567"/>
        <w:rPr>
          <w:rFonts w:cs="Arial"/>
          <w:spacing w:val="-3"/>
          <w:lang w:val="es-CO"/>
        </w:rPr>
      </w:pPr>
      <w:r w:rsidRPr="004068F6">
        <w:rPr>
          <w:rFonts w:cs="Arial"/>
          <w:spacing w:val="-3"/>
          <w:lang w:val="es-CO"/>
        </w:rPr>
        <w:t xml:space="preserve">Coordenadas de ubicación </w:t>
      </w:r>
      <w:r w:rsidR="00A7251A" w:rsidRPr="004068F6">
        <w:rPr>
          <w:rFonts w:cs="Arial"/>
          <w:spacing w:val="-3"/>
          <w:lang w:val="es-CO"/>
        </w:rPr>
        <w:t>de las unidades de muestreo (forófitos o parcelas terrestres</w:t>
      </w:r>
      <w:r w:rsidR="00CB4968">
        <w:rPr>
          <w:rFonts w:cs="Arial"/>
          <w:spacing w:val="-3"/>
          <w:lang w:val="es-CO"/>
        </w:rPr>
        <w:t xml:space="preserve"> </w:t>
      </w:r>
      <w:r w:rsidR="00CB4968" w:rsidRPr="00CB4968">
        <w:rPr>
          <w:rFonts w:cs="Arial"/>
          <w:spacing w:val="-3"/>
          <w:lang w:val="es-CO"/>
        </w:rPr>
        <w:t xml:space="preserve">que incluyen </w:t>
      </w:r>
      <w:r w:rsidR="00B44D76">
        <w:rPr>
          <w:rFonts w:cs="Arial"/>
          <w:spacing w:val="-3"/>
          <w:lang w:val="es-CO"/>
        </w:rPr>
        <w:t xml:space="preserve">los hábitos </w:t>
      </w:r>
      <w:r w:rsidR="00CB4968" w:rsidRPr="00CB4968">
        <w:rPr>
          <w:rFonts w:cs="Arial"/>
          <w:spacing w:val="-3"/>
          <w:lang w:val="es-CO"/>
        </w:rPr>
        <w:t xml:space="preserve">humícola </w:t>
      </w:r>
      <w:r w:rsidR="00B44D76">
        <w:rPr>
          <w:rFonts w:cs="Arial"/>
          <w:spacing w:val="-3"/>
          <w:lang w:val="es-CO"/>
        </w:rPr>
        <w:t xml:space="preserve">y </w:t>
      </w:r>
      <w:r w:rsidR="00CB4968" w:rsidRPr="00CB4968">
        <w:rPr>
          <w:rFonts w:cs="Arial"/>
          <w:spacing w:val="-3"/>
          <w:lang w:val="es-CO"/>
        </w:rPr>
        <w:t>rupícola</w:t>
      </w:r>
      <w:r w:rsidR="00A7251A" w:rsidRPr="004068F6">
        <w:rPr>
          <w:rFonts w:cs="Arial"/>
          <w:spacing w:val="-3"/>
          <w:lang w:val="es-CO"/>
        </w:rPr>
        <w:t>)</w:t>
      </w:r>
      <w:r w:rsidR="00E213CB" w:rsidRPr="004068F6">
        <w:rPr>
          <w:rFonts w:cs="Arial"/>
          <w:spacing w:val="-3"/>
          <w:lang w:val="es-CO"/>
        </w:rPr>
        <w:t xml:space="preserve"> en las que se registraron especies en veda</w:t>
      </w:r>
      <w:r w:rsidR="00F71FB5" w:rsidRPr="004068F6">
        <w:rPr>
          <w:rFonts w:cs="Arial"/>
          <w:spacing w:val="-3"/>
          <w:lang w:val="es-CO"/>
        </w:rPr>
        <w:t>,</w:t>
      </w:r>
      <w:r w:rsidRPr="004068F6">
        <w:rPr>
          <w:rFonts w:cs="Arial"/>
          <w:spacing w:val="-3"/>
          <w:lang w:val="es-CO"/>
        </w:rPr>
        <w:t xml:space="preserve"> con sistema de referencia Magna</w:t>
      </w:r>
      <w:r w:rsidR="00EC20C8" w:rsidRPr="004068F6">
        <w:rPr>
          <w:rFonts w:cs="Arial"/>
          <w:spacing w:val="-3"/>
          <w:lang w:val="es-CO"/>
        </w:rPr>
        <w:t>-</w:t>
      </w:r>
      <w:r w:rsidRPr="004068F6">
        <w:rPr>
          <w:rFonts w:cs="Arial"/>
          <w:spacing w:val="-3"/>
          <w:lang w:val="es-CO"/>
        </w:rPr>
        <w:t>Sirgas (origen</w:t>
      </w:r>
      <w:r w:rsidR="00FE1B66" w:rsidRPr="004068F6">
        <w:rPr>
          <w:rFonts w:cs="Arial"/>
          <w:spacing w:val="-3"/>
          <w:lang w:val="es-CO"/>
        </w:rPr>
        <w:t xml:space="preserve"> nacional</w:t>
      </w:r>
      <w:r w:rsidRPr="004068F6">
        <w:rPr>
          <w:rFonts w:cs="Arial"/>
          <w:spacing w:val="-3"/>
          <w:lang w:val="es-CO"/>
        </w:rPr>
        <w:t>)</w:t>
      </w:r>
      <w:r w:rsidR="00564B0B" w:rsidRPr="004068F6">
        <w:rPr>
          <w:rFonts w:cs="Arial"/>
          <w:spacing w:val="-3"/>
          <w:lang w:val="es-CO"/>
        </w:rPr>
        <w:t xml:space="preserve"> y</w:t>
      </w:r>
      <w:r w:rsidRPr="004068F6">
        <w:rPr>
          <w:rFonts w:cs="Arial"/>
          <w:spacing w:val="-3"/>
          <w:lang w:val="es-CO"/>
        </w:rPr>
        <w:t xml:space="preserve"> localiza</w:t>
      </w:r>
      <w:r w:rsidR="00564B0B" w:rsidRPr="004068F6">
        <w:rPr>
          <w:rFonts w:cs="Arial"/>
          <w:spacing w:val="-3"/>
          <w:lang w:val="es-CO"/>
        </w:rPr>
        <w:t>ción</w:t>
      </w:r>
      <w:r w:rsidRPr="004068F6">
        <w:rPr>
          <w:rFonts w:cs="Arial"/>
          <w:spacing w:val="-3"/>
          <w:lang w:val="es-CO"/>
        </w:rPr>
        <w:t xml:space="preserve"> </w:t>
      </w:r>
      <w:r w:rsidR="00EF15FE" w:rsidRPr="004068F6">
        <w:rPr>
          <w:rFonts w:cs="Arial"/>
          <w:spacing w:val="-3"/>
          <w:lang w:val="es-CO"/>
        </w:rPr>
        <w:t xml:space="preserve">dichas unidades </w:t>
      </w:r>
      <w:r w:rsidRPr="004068F6">
        <w:rPr>
          <w:rFonts w:cs="Arial"/>
          <w:spacing w:val="-3"/>
          <w:lang w:val="es-CO"/>
        </w:rPr>
        <w:t>en el mapa de coberturas de la tierra</w:t>
      </w:r>
      <w:r w:rsidR="0059324C" w:rsidRPr="004068F6">
        <w:rPr>
          <w:rFonts w:cs="Arial"/>
          <w:spacing w:val="-3"/>
          <w:lang w:val="es-CO"/>
        </w:rPr>
        <w:t xml:space="preserve"> y en el de ecosistemas</w:t>
      </w:r>
      <w:r w:rsidRPr="004068F6">
        <w:rPr>
          <w:rFonts w:cs="Arial"/>
          <w:spacing w:val="-3"/>
          <w:lang w:val="es-CO"/>
        </w:rPr>
        <w:t>.</w:t>
      </w:r>
    </w:p>
    <w:p w14:paraId="728ABD58" w14:textId="77777777" w:rsidR="00956DF7" w:rsidRPr="004068F6" w:rsidRDefault="00956DF7" w:rsidP="00C86DA5">
      <w:pPr>
        <w:widowControl w:val="0"/>
        <w:rPr>
          <w:rFonts w:cs="Arial"/>
          <w:spacing w:val="-3"/>
        </w:rPr>
      </w:pPr>
    </w:p>
    <w:p w14:paraId="2704F213" w14:textId="65309C5B" w:rsidR="00985379" w:rsidRPr="004068F6" w:rsidRDefault="00515515">
      <w:pPr>
        <w:pStyle w:val="Prrafodelista"/>
        <w:widowControl w:val="0"/>
        <w:numPr>
          <w:ilvl w:val="0"/>
          <w:numId w:val="374"/>
        </w:numPr>
        <w:ind w:left="567" w:hanging="567"/>
        <w:rPr>
          <w:rFonts w:cs="Arial"/>
          <w:spacing w:val="-3"/>
          <w:lang w:val="es-CO"/>
        </w:rPr>
      </w:pPr>
      <w:r w:rsidRPr="004068F6">
        <w:rPr>
          <w:rFonts w:cs="Arial"/>
          <w:spacing w:val="-3"/>
          <w:lang w:val="es-CO"/>
        </w:rPr>
        <w:t>D</w:t>
      </w:r>
      <w:r w:rsidR="007D0864" w:rsidRPr="004068F6">
        <w:rPr>
          <w:rFonts w:cs="Arial"/>
          <w:spacing w:val="-3"/>
          <w:lang w:val="es-CO"/>
        </w:rPr>
        <w:t>iversidad</w:t>
      </w:r>
      <w:r w:rsidR="00985379" w:rsidRPr="004068F6">
        <w:rPr>
          <w:rFonts w:cs="Arial"/>
          <w:spacing w:val="-3"/>
          <w:lang w:val="es-CO"/>
        </w:rPr>
        <w:t>:</w:t>
      </w:r>
    </w:p>
    <w:p w14:paraId="03C791BB" w14:textId="77777777" w:rsidR="00985379" w:rsidRPr="003007DD" w:rsidRDefault="00985379" w:rsidP="003007DD">
      <w:pPr>
        <w:rPr>
          <w:rFonts w:cs="Arial"/>
          <w:spacing w:val="-3"/>
        </w:rPr>
      </w:pPr>
    </w:p>
    <w:p w14:paraId="09D88E42" w14:textId="3B597816" w:rsidR="00515515" w:rsidRPr="004068F6" w:rsidRDefault="00985379" w:rsidP="008A4FE9">
      <w:pPr>
        <w:numPr>
          <w:ilvl w:val="1"/>
          <w:numId w:val="87"/>
        </w:numPr>
        <w:tabs>
          <w:tab w:val="left" w:pos="-2268"/>
        </w:tabs>
        <w:suppressAutoHyphens/>
        <w:ind w:left="1134" w:hanging="567"/>
        <w:rPr>
          <w:bCs/>
          <w:spacing w:val="-3"/>
        </w:rPr>
      </w:pPr>
      <w:r w:rsidRPr="004068F6">
        <w:rPr>
          <w:bCs/>
          <w:spacing w:val="-3"/>
        </w:rPr>
        <w:lastRenderedPageBreak/>
        <w:t>A</w:t>
      </w:r>
      <w:r w:rsidR="007D0864" w:rsidRPr="004068F6">
        <w:rPr>
          <w:bCs/>
          <w:spacing w:val="-3"/>
        </w:rPr>
        <w:t>lfa</w:t>
      </w:r>
      <w:r w:rsidR="00D42CBC" w:rsidRPr="004068F6">
        <w:rPr>
          <w:bCs/>
          <w:spacing w:val="-3"/>
        </w:rPr>
        <w:t>.</w:t>
      </w:r>
      <w:r w:rsidR="007D0864" w:rsidRPr="004068F6">
        <w:rPr>
          <w:bCs/>
          <w:spacing w:val="-3"/>
        </w:rPr>
        <w:t xml:space="preserve"> </w:t>
      </w:r>
      <w:r w:rsidR="001161C0" w:rsidRPr="004068F6">
        <w:rPr>
          <w:bCs/>
          <w:spacing w:val="-3"/>
        </w:rPr>
        <w:t>De</w:t>
      </w:r>
      <w:r w:rsidR="00D42CBC" w:rsidRPr="004068F6">
        <w:rPr>
          <w:bCs/>
          <w:spacing w:val="-3"/>
        </w:rPr>
        <w:t xml:space="preserve"> </w:t>
      </w:r>
      <w:r w:rsidR="007D0864" w:rsidRPr="004068F6">
        <w:rPr>
          <w:bCs/>
          <w:spacing w:val="-3"/>
        </w:rPr>
        <w:t xml:space="preserve">cada grupo biológico y hábito </w:t>
      </w:r>
      <w:r w:rsidR="00515515" w:rsidRPr="004068F6">
        <w:rPr>
          <w:bCs/>
          <w:spacing w:val="-3"/>
        </w:rPr>
        <w:t xml:space="preserve">para el área de influencia y para cada uno de sus </w:t>
      </w:r>
      <w:r w:rsidR="007D0864" w:rsidRPr="004068F6">
        <w:rPr>
          <w:bCs/>
          <w:spacing w:val="-3"/>
        </w:rPr>
        <w:t>ecosistema</w:t>
      </w:r>
      <w:r w:rsidR="00515515" w:rsidRPr="004068F6">
        <w:rPr>
          <w:bCs/>
          <w:spacing w:val="-3"/>
        </w:rPr>
        <w:t>s;</w:t>
      </w:r>
      <w:r w:rsidR="007D0864" w:rsidRPr="004068F6">
        <w:rPr>
          <w:bCs/>
          <w:spacing w:val="-3"/>
        </w:rPr>
        <w:t xml:space="preserve"> </w:t>
      </w:r>
      <w:r w:rsidR="00515515" w:rsidRPr="004068F6">
        <w:rPr>
          <w:bCs/>
          <w:spacing w:val="-3"/>
        </w:rPr>
        <w:t xml:space="preserve">se debe señalar </w:t>
      </w:r>
      <w:r w:rsidR="007D0864" w:rsidRPr="004068F6">
        <w:rPr>
          <w:bCs/>
          <w:spacing w:val="-3"/>
        </w:rPr>
        <w:t>la riqueza, composición, abundancia o cobertura</w:t>
      </w:r>
      <w:r w:rsidR="00A356F3" w:rsidRPr="004068F6">
        <w:rPr>
          <w:bCs/>
          <w:spacing w:val="-3"/>
        </w:rPr>
        <w:t xml:space="preserve"> (para no vasculares)</w:t>
      </w:r>
      <w:r w:rsidR="00EF15FE" w:rsidRPr="004068F6">
        <w:rPr>
          <w:bCs/>
          <w:spacing w:val="-3"/>
        </w:rPr>
        <w:t xml:space="preserve"> y</w:t>
      </w:r>
      <w:r w:rsidR="007D0864" w:rsidRPr="004068F6">
        <w:rPr>
          <w:bCs/>
          <w:spacing w:val="-3"/>
        </w:rPr>
        <w:t xml:space="preserve"> frecuencia</w:t>
      </w:r>
      <w:r w:rsidR="00EF15FE" w:rsidRPr="004068F6">
        <w:rPr>
          <w:bCs/>
          <w:spacing w:val="-3"/>
        </w:rPr>
        <w:t>.</w:t>
      </w:r>
      <w:r w:rsidR="007D0864" w:rsidRPr="004068F6">
        <w:rPr>
          <w:bCs/>
          <w:spacing w:val="-3"/>
        </w:rPr>
        <w:t xml:space="preserve"> </w:t>
      </w:r>
      <w:r w:rsidR="00EF15FE" w:rsidRPr="004068F6">
        <w:rPr>
          <w:bCs/>
          <w:spacing w:val="-3"/>
        </w:rPr>
        <w:t>Asimismo, se debe cómo se distribuye la diversidad vertical (mencionando, por ejemplo, la preferencia de forófitos para las epífitas) y horizontalmente (aludiendo a los sustratos y otras características)</w:t>
      </w:r>
      <w:r w:rsidR="007D0864" w:rsidRPr="004068F6">
        <w:rPr>
          <w:bCs/>
          <w:spacing w:val="-3"/>
        </w:rPr>
        <w:t>.</w:t>
      </w:r>
    </w:p>
    <w:p w14:paraId="53D62236" w14:textId="77777777" w:rsidR="00515515" w:rsidRPr="004068F6" w:rsidRDefault="00515515" w:rsidP="008A4FE9">
      <w:pPr>
        <w:tabs>
          <w:tab w:val="left" w:pos="-2268"/>
        </w:tabs>
        <w:suppressAutoHyphens/>
        <w:rPr>
          <w:bCs/>
          <w:spacing w:val="-3"/>
        </w:rPr>
      </w:pPr>
    </w:p>
    <w:p w14:paraId="4D49AB49" w14:textId="78A64221" w:rsidR="007D0864" w:rsidRPr="004068F6" w:rsidRDefault="00985379" w:rsidP="008A4FE9">
      <w:pPr>
        <w:numPr>
          <w:ilvl w:val="1"/>
          <w:numId w:val="87"/>
        </w:numPr>
        <w:tabs>
          <w:tab w:val="left" w:pos="-2268"/>
        </w:tabs>
        <w:suppressAutoHyphens/>
        <w:ind w:left="1134" w:hanging="567"/>
        <w:rPr>
          <w:bCs/>
          <w:spacing w:val="-3"/>
        </w:rPr>
      </w:pPr>
      <w:r w:rsidRPr="004068F6">
        <w:rPr>
          <w:bCs/>
          <w:spacing w:val="-3"/>
        </w:rPr>
        <w:t>B</w:t>
      </w:r>
      <w:r w:rsidR="007D0864" w:rsidRPr="004068F6">
        <w:rPr>
          <w:bCs/>
          <w:spacing w:val="-3"/>
        </w:rPr>
        <w:t>eta</w:t>
      </w:r>
      <w:r w:rsidR="00D42CBC" w:rsidRPr="004068F6">
        <w:rPr>
          <w:bCs/>
          <w:spacing w:val="-3"/>
        </w:rPr>
        <w:t>.</w:t>
      </w:r>
      <w:r w:rsidR="007D0864" w:rsidRPr="004068F6">
        <w:rPr>
          <w:bCs/>
          <w:spacing w:val="-3"/>
        </w:rPr>
        <w:t xml:space="preserve"> </w:t>
      </w:r>
      <w:r w:rsidR="001161C0" w:rsidRPr="004068F6">
        <w:rPr>
          <w:bCs/>
          <w:spacing w:val="-3"/>
        </w:rPr>
        <w:t>De cada grupo biológico y hábito</w:t>
      </w:r>
      <w:r w:rsidR="00EF15FE" w:rsidRPr="004068F6">
        <w:rPr>
          <w:bCs/>
          <w:spacing w:val="-3"/>
        </w:rPr>
        <w:t xml:space="preserve"> entre los ecosistemas</w:t>
      </w:r>
      <w:r w:rsidR="001161C0" w:rsidRPr="004068F6">
        <w:rPr>
          <w:bCs/>
          <w:spacing w:val="-3"/>
        </w:rPr>
        <w:t>, s</w:t>
      </w:r>
      <w:r w:rsidR="00515515" w:rsidRPr="004068F6">
        <w:rPr>
          <w:bCs/>
          <w:spacing w:val="-3"/>
        </w:rPr>
        <w:t xml:space="preserve">eñalando </w:t>
      </w:r>
      <w:r w:rsidR="007D0864" w:rsidRPr="004068F6">
        <w:rPr>
          <w:bCs/>
          <w:spacing w:val="-3"/>
        </w:rPr>
        <w:t>la estructura y funci</w:t>
      </w:r>
      <w:r w:rsidR="00EF15FE" w:rsidRPr="004068F6">
        <w:rPr>
          <w:bCs/>
          <w:spacing w:val="-3"/>
        </w:rPr>
        <w:t xml:space="preserve">ón </w:t>
      </w:r>
      <w:r w:rsidR="007D0864" w:rsidRPr="004068F6">
        <w:rPr>
          <w:bCs/>
          <w:spacing w:val="-3"/>
        </w:rPr>
        <w:t>de estas especies.</w:t>
      </w:r>
    </w:p>
    <w:p w14:paraId="1E3CEE15" w14:textId="77777777" w:rsidR="007D0864" w:rsidRPr="003007DD" w:rsidRDefault="007D0864" w:rsidP="003007DD">
      <w:pPr>
        <w:widowControl w:val="0"/>
        <w:rPr>
          <w:rFonts w:cs="Arial"/>
          <w:spacing w:val="-3"/>
        </w:rPr>
      </w:pPr>
    </w:p>
    <w:p w14:paraId="287056E2" w14:textId="6CD2AA82" w:rsidR="00F1014C" w:rsidRPr="004068F6" w:rsidRDefault="00985379">
      <w:pPr>
        <w:pStyle w:val="Prrafodelista"/>
        <w:widowControl w:val="0"/>
        <w:ind w:left="567"/>
        <w:rPr>
          <w:rFonts w:cs="Arial"/>
          <w:spacing w:val="-3"/>
          <w:lang w:val="es-CO"/>
        </w:rPr>
      </w:pPr>
      <w:r w:rsidRPr="004068F6">
        <w:rPr>
          <w:rFonts w:cs="Arial"/>
          <w:spacing w:val="-3"/>
          <w:lang w:val="es-CO"/>
        </w:rPr>
        <w:t xml:space="preserve">La </w:t>
      </w:r>
      <w:r w:rsidR="00D42CBC" w:rsidRPr="004068F6">
        <w:rPr>
          <w:rFonts w:cs="Arial"/>
          <w:spacing w:val="-3"/>
          <w:lang w:val="es-CO"/>
        </w:rPr>
        <w:t>estimación</w:t>
      </w:r>
      <w:r w:rsidRPr="004068F6">
        <w:rPr>
          <w:rFonts w:cs="Arial"/>
          <w:spacing w:val="-3"/>
          <w:lang w:val="es-CO"/>
        </w:rPr>
        <w:t xml:space="preserve"> y análisis de la diversidad alfa y beta (o verdadera)</w:t>
      </w:r>
      <w:r w:rsidR="00D42CBC" w:rsidRPr="004068F6">
        <w:rPr>
          <w:rFonts w:cs="Arial"/>
          <w:spacing w:val="-3"/>
          <w:lang w:val="es-CO"/>
        </w:rPr>
        <w:t xml:space="preserve"> </w:t>
      </w:r>
      <w:r w:rsidR="007D0864" w:rsidRPr="004068F6">
        <w:rPr>
          <w:rFonts w:cs="Arial"/>
          <w:spacing w:val="-3"/>
          <w:lang w:val="es-CO"/>
        </w:rPr>
        <w:t xml:space="preserve">puede </w:t>
      </w:r>
      <w:r w:rsidRPr="004068F6">
        <w:rPr>
          <w:rFonts w:cs="Arial"/>
          <w:spacing w:val="-3"/>
          <w:lang w:val="es-CO"/>
        </w:rPr>
        <w:t xml:space="preserve">realizarse mediante </w:t>
      </w:r>
      <w:r w:rsidR="007D0864" w:rsidRPr="004068F6">
        <w:rPr>
          <w:rFonts w:cs="Arial"/>
          <w:spacing w:val="-3"/>
          <w:lang w:val="es-CO"/>
        </w:rPr>
        <w:t xml:space="preserve">programas estadísticos. </w:t>
      </w:r>
      <w:r w:rsidR="00D42CBC" w:rsidRPr="004068F6">
        <w:rPr>
          <w:rFonts w:cs="Arial"/>
          <w:spacing w:val="-3"/>
          <w:lang w:val="es-CO"/>
        </w:rPr>
        <w:t xml:space="preserve">En cualquier caso, </w:t>
      </w:r>
      <w:r w:rsidR="00404F40" w:rsidRPr="004068F6">
        <w:rPr>
          <w:rFonts w:cs="Arial"/>
          <w:spacing w:val="-3"/>
          <w:lang w:val="es-CO"/>
        </w:rPr>
        <w:t xml:space="preserve">es necesario </w:t>
      </w:r>
      <w:r w:rsidR="007D0864" w:rsidRPr="004068F6">
        <w:rPr>
          <w:rFonts w:cs="Arial"/>
          <w:spacing w:val="-3"/>
          <w:lang w:val="es-CO"/>
        </w:rPr>
        <w:t>describi</w:t>
      </w:r>
      <w:r w:rsidR="00D42CBC" w:rsidRPr="004068F6">
        <w:rPr>
          <w:rFonts w:cs="Arial"/>
          <w:spacing w:val="-3"/>
          <w:lang w:val="es-CO"/>
        </w:rPr>
        <w:t xml:space="preserve">r </w:t>
      </w:r>
      <w:r w:rsidR="00F1014C" w:rsidRPr="004068F6">
        <w:rPr>
          <w:rFonts w:cs="Arial"/>
          <w:spacing w:val="-3"/>
          <w:lang w:val="es-CO"/>
        </w:rPr>
        <w:t>para cada grupo biológico y hábito</w:t>
      </w:r>
      <w:r w:rsidR="00EF15FE" w:rsidRPr="004068F6">
        <w:rPr>
          <w:rFonts w:cs="Arial"/>
          <w:spacing w:val="-3"/>
          <w:lang w:val="es-CO"/>
        </w:rPr>
        <w:t>,</w:t>
      </w:r>
      <w:r w:rsidR="00F1014C" w:rsidRPr="004068F6">
        <w:rPr>
          <w:rFonts w:cs="Arial"/>
          <w:spacing w:val="-3"/>
          <w:lang w:val="es-CO"/>
        </w:rPr>
        <w:t xml:space="preserve"> </w:t>
      </w:r>
      <w:r w:rsidR="00D42CBC" w:rsidRPr="004068F6">
        <w:rPr>
          <w:rFonts w:cs="Arial"/>
          <w:spacing w:val="-3"/>
          <w:lang w:val="es-CO"/>
        </w:rPr>
        <w:t xml:space="preserve">el muestreo y </w:t>
      </w:r>
      <w:r w:rsidR="007D0864" w:rsidRPr="004068F6">
        <w:rPr>
          <w:rFonts w:cs="Arial"/>
          <w:spacing w:val="-3"/>
          <w:lang w:val="es-CO"/>
        </w:rPr>
        <w:t xml:space="preserve">el método de análisis </w:t>
      </w:r>
      <w:r w:rsidR="00D42CBC" w:rsidRPr="004068F6">
        <w:rPr>
          <w:rFonts w:cs="Arial"/>
          <w:spacing w:val="-3"/>
          <w:lang w:val="es-CO"/>
        </w:rPr>
        <w:t>empleado</w:t>
      </w:r>
      <w:r w:rsidR="00404F40" w:rsidRPr="004068F6">
        <w:rPr>
          <w:rFonts w:cs="Arial"/>
          <w:spacing w:val="-3"/>
          <w:lang w:val="es-CO"/>
        </w:rPr>
        <w:t>s</w:t>
      </w:r>
      <w:r w:rsidR="00920DFC" w:rsidRPr="004068F6">
        <w:rPr>
          <w:rFonts w:cs="Arial"/>
          <w:spacing w:val="-3"/>
          <w:lang w:val="es-CO"/>
        </w:rPr>
        <w:t>.</w:t>
      </w:r>
    </w:p>
    <w:p w14:paraId="3DD18E11" w14:textId="1B4C92C0" w:rsidR="0059324C" w:rsidRPr="004068F6" w:rsidRDefault="0059324C" w:rsidP="009420F5">
      <w:pPr>
        <w:rPr>
          <w:rFonts w:cs="Arial"/>
          <w:spacing w:val="-3"/>
        </w:rPr>
      </w:pPr>
    </w:p>
    <w:p w14:paraId="5B921F2C" w14:textId="63A69701" w:rsidR="00482A5F" w:rsidRPr="004068F6" w:rsidRDefault="0059324C" w:rsidP="00C86DA5">
      <w:pPr>
        <w:pStyle w:val="Prrafodelista"/>
        <w:widowControl w:val="0"/>
        <w:numPr>
          <w:ilvl w:val="0"/>
          <w:numId w:val="374"/>
        </w:numPr>
        <w:ind w:left="567" w:hanging="567"/>
        <w:rPr>
          <w:rFonts w:cs="Arial"/>
          <w:spacing w:val="-3"/>
          <w:lang w:val="es-CO"/>
        </w:rPr>
      </w:pPr>
      <w:r w:rsidRPr="004068F6">
        <w:rPr>
          <w:rFonts w:cs="Arial"/>
          <w:spacing w:val="-3"/>
          <w:lang w:val="es-CO"/>
        </w:rPr>
        <w:t xml:space="preserve">Registro </w:t>
      </w:r>
      <w:r w:rsidR="00482A5F" w:rsidRPr="004068F6">
        <w:rPr>
          <w:rFonts w:cs="Arial"/>
          <w:spacing w:val="-3"/>
          <w:lang w:val="es-CO"/>
        </w:rPr>
        <w:t>fotográfico de las especies en campo</w:t>
      </w:r>
      <w:r w:rsidRPr="004068F6">
        <w:rPr>
          <w:rStyle w:val="Refdenotaalpie"/>
          <w:rFonts w:cs="Arial"/>
          <w:spacing w:val="-3"/>
          <w:lang w:val="es-CO"/>
        </w:rPr>
        <w:footnoteReference w:id="151"/>
      </w:r>
      <w:r w:rsidR="00482A5F" w:rsidRPr="004068F6">
        <w:rPr>
          <w:rFonts w:cs="Arial"/>
          <w:spacing w:val="-3"/>
          <w:lang w:val="es-CO"/>
        </w:rPr>
        <w:t xml:space="preserve"> que contenga:</w:t>
      </w:r>
    </w:p>
    <w:p w14:paraId="0EA9265F" w14:textId="77777777" w:rsidR="0049660B" w:rsidRPr="004068F6" w:rsidRDefault="0049660B" w:rsidP="00C86DA5">
      <w:pPr>
        <w:widowControl w:val="0"/>
        <w:rPr>
          <w:rFonts w:cs="Arial"/>
          <w:spacing w:val="-3"/>
        </w:rPr>
      </w:pPr>
    </w:p>
    <w:p w14:paraId="58282027" w14:textId="2C49887B" w:rsidR="00482A5F" w:rsidRPr="004068F6" w:rsidRDefault="00482A5F" w:rsidP="00C86DA5">
      <w:pPr>
        <w:numPr>
          <w:ilvl w:val="1"/>
          <w:numId w:val="87"/>
        </w:numPr>
        <w:tabs>
          <w:tab w:val="left" w:pos="-2268"/>
        </w:tabs>
        <w:suppressAutoHyphens/>
        <w:ind w:left="1134" w:hanging="567"/>
        <w:rPr>
          <w:spacing w:val="-3"/>
        </w:rPr>
      </w:pPr>
      <w:r w:rsidRPr="004068F6">
        <w:rPr>
          <w:spacing w:val="-3"/>
        </w:rPr>
        <w:t xml:space="preserve">Coordenadas de localización y fecha de </w:t>
      </w:r>
      <w:r w:rsidR="0059324C" w:rsidRPr="004068F6">
        <w:rPr>
          <w:spacing w:val="-3"/>
        </w:rPr>
        <w:t xml:space="preserve">captura </w:t>
      </w:r>
      <w:r w:rsidRPr="004068F6">
        <w:rPr>
          <w:spacing w:val="-3"/>
        </w:rPr>
        <w:t xml:space="preserve">de la </w:t>
      </w:r>
      <w:r w:rsidR="0059324C" w:rsidRPr="004068F6">
        <w:rPr>
          <w:spacing w:val="-3"/>
        </w:rPr>
        <w:t>fotografía en campo</w:t>
      </w:r>
      <w:r w:rsidRPr="004068F6">
        <w:rPr>
          <w:spacing w:val="-3"/>
        </w:rPr>
        <w:t>.</w:t>
      </w:r>
    </w:p>
    <w:p w14:paraId="0754AC01" w14:textId="77777777" w:rsidR="0049660B" w:rsidRPr="004068F6" w:rsidRDefault="0049660B" w:rsidP="009420F5">
      <w:pPr>
        <w:tabs>
          <w:tab w:val="left" w:pos="-2268"/>
        </w:tabs>
        <w:suppressAutoHyphens/>
        <w:rPr>
          <w:spacing w:val="-3"/>
        </w:rPr>
      </w:pPr>
    </w:p>
    <w:p w14:paraId="24CA1762" w14:textId="4523C8CD" w:rsidR="0059324C" w:rsidRPr="004068F6" w:rsidRDefault="00F71FB5" w:rsidP="003351AD">
      <w:pPr>
        <w:numPr>
          <w:ilvl w:val="1"/>
          <w:numId w:val="87"/>
        </w:numPr>
        <w:tabs>
          <w:tab w:val="left" w:pos="-2268"/>
        </w:tabs>
        <w:suppressAutoHyphens/>
        <w:ind w:left="1134" w:hanging="567"/>
        <w:rPr>
          <w:spacing w:val="-3"/>
        </w:rPr>
      </w:pPr>
      <w:r w:rsidRPr="004068F6">
        <w:rPr>
          <w:spacing w:val="-3"/>
        </w:rPr>
        <w:t>F</w:t>
      </w:r>
      <w:r w:rsidR="0059324C" w:rsidRPr="004068F6">
        <w:rPr>
          <w:spacing w:val="-3"/>
        </w:rPr>
        <w:t>otografía</w:t>
      </w:r>
      <w:r w:rsidR="004200BE" w:rsidRPr="004068F6">
        <w:rPr>
          <w:spacing w:val="-3"/>
        </w:rPr>
        <w:t>s</w:t>
      </w:r>
      <w:r w:rsidR="0059324C" w:rsidRPr="004068F6">
        <w:rPr>
          <w:spacing w:val="-3"/>
        </w:rPr>
        <w:t xml:space="preserve"> </w:t>
      </w:r>
      <w:r w:rsidR="004200BE" w:rsidRPr="004068F6">
        <w:rPr>
          <w:spacing w:val="-3"/>
        </w:rPr>
        <w:t xml:space="preserve">de las especies observadas </w:t>
      </w:r>
      <w:r w:rsidR="00482A5F" w:rsidRPr="004068F6">
        <w:rPr>
          <w:spacing w:val="-3"/>
        </w:rPr>
        <w:t>en campo</w:t>
      </w:r>
      <w:r w:rsidR="00D37A6F" w:rsidRPr="004068F6">
        <w:rPr>
          <w:spacing w:val="-3"/>
        </w:rPr>
        <w:t>.</w:t>
      </w:r>
      <w:r w:rsidR="00482A5F" w:rsidRPr="004068F6">
        <w:rPr>
          <w:spacing w:val="-3"/>
        </w:rPr>
        <w:t xml:space="preserve"> </w:t>
      </w:r>
      <w:r w:rsidR="00D37A6F" w:rsidRPr="004068F6">
        <w:rPr>
          <w:spacing w:val="-3"/>
        </w:rPr>
        <w:t>E</w:t>
      </w:r>
      <w:r w:rsidR="00DB3785" w:rsidRPr="004068F6">
        <w:rPr>
          <w:spacing w:val="-3"/>
        </w:rPr>
        <w:t xml:space="preserve">s posible </w:t>
      </w:r>
      <w:r w:rsidR="0059324C" w:rsidRPr="004068F6">
        <w:rPr>
          <w:spacing w:val="-3"/>
        </w:rPr>
        <w:t xml:space="preserve">presentar fotografías adicionales </w:t>
      </w:r>
      <w:r w:rsidR="00DB3785" w:rsidRPr="004068F6">
        <w:rPr>
          <w:spacing w:val="-3"/>
        </w:rPr>
        <w:t xml:space="preserve">tomadas en </w:t>
      </w:r>
      <w:r w:rsidR="0059324C" w:rsidRPr="004068F6">
        <w:rPr>
          <w:spacing w:val="-3"/>
        </w:rPr>
        <w:t>campo o laboratorio.</w:t>
      </w:r>
      <w:r w:rsidRPr="004068F6">
        <w:rPr>
          <w:spacing w:val="-3"/>
        </w:rPr>
        <w:t xml:space="preserve"> Las fotografías deben contar con una resolución que permita la observación de los caracteres diagnósticos o caracteres </w:t>
      </w:r>
      <w:r w:rsidR="00725E73" w:rsidRPr="004068F6">
        <w:rPr>
          <w:spacing w:val="-3"/>
        </w:rPr>
        <w:t xml:space="preserve">distintivos </w:t>
      </w:r>
      <w:r w:rsidRPr="004068F6">
        <w:rPr>
          <w:spacing w:val="-3"/>
        </w:rPr>
        <w:t>con que cuente el espécimen en el momento de toma del registro fotográfico.</w:t>
      </w:r>
    </w:p>
    <w:p w14:paraId="439DF3F7" w14:textId="77777777" w:rsidR="0059324C" w:rsidRPr="004068F6" w:rsidRDefault="0059324C" w:rsidP="009420F5">
      <w:pPr>
        <w:rPr>
          <w:spacing w:val="-3"/>
        </w:rPr>
      </w:pPr>
    </w:p>
    <w:p w14:paraId="3CE460EA" w14:textId="09607947" w:rsidR="0059324C" w:rsidRPr="004068F6" w:rsidRDefault="0059324C" w:rsidP="008A4FE9">
      <w:pPr>
        <w:tabs>
          <w:tab w:val="left" w:pos="-2268"/>
        </w:tabs>
        <w:suppressAutoHyphens/>
        <w:ind w:left="1134"/>
        <w:rPr>
          <w:spacing w:val="-3"/>
        </w:rPr>
      </w:pPr>
      <w:r w:rsidRPr="004068F6">
        <w:rPr>
          <w:spacing w:val="-3"/>
        </w:rPr>
        <w:t xml:space="preserve">La fotografía principal (fotografía de campo) debe registrar en la medida de las posibilidades, </w:t>
      </w:r>
      <w:r w:rsidR="00725E73" w:rsidRPr="004068F6">
        <w:rPr>
          <w:spacing w:val="-3"/>
        </w:rPr>
        <w:t>el tipo de crecimiento</w:t>
      </w:r>
      <w:r w:rsidRPr="004068F6">
        <w:rPr>
          <w:spacing w:val="-3"/>
        </w:rPr>
        <w:t>, fisionomía y estructuras reproductivas de la especie</w:t>
      </w:r>
      <w:r w:rsidR="00F71FB5" w:rsidRPr="004068F6">
        <w:rPr>
          <w:spacing w:val="-3"/>
        </w:rPr>
        <w:t>.</w:t>
      </w:r>
      <w:r w:rsidRPr="004068F6">
        <w:rPr>
          <w:spacing w:val="-3"/>
        </w:rPr>
        <w:t xml:space="preserve"> </w:t>
      </w:r>
      <w:r w:rsidR="00F71FB5" w:rsidRPr="004068F6">
        <w:rPr>
          <w:spacing w:val="-3"/>
        </w:rPr>
        <w:t>L</w:t>
      </w:r>
      <w:r w:rsidRPr="004068F6">
        <w:rPr>
          <w:spacing w:val="-3"/>
        </w:rPr>
        <w:t xml:space="preserve">as fotografías adicionales se pueden presentar para registrar los detalles de caracteres tipo con los que cuente el espécimen en el momento de toma de la fotografía que resulten de importancia para su </w:t>
      </w:r>
      <w:r w:rsidR="004171A4" w:rsidRPr="004068F6">
        <w:rPr>
          <w:spacing w:val="-3"/>
        </w:rPr>
        <w:t xml:space="preserve">determinación </w:t>
      </w:r>
      <w:r w:rsidRPr="004068F6">
        <w:rPr>
          <w:spacing w:val="-3"/>
        </w:rPr>
        <w:t>(hojas, yemas, flores, frutos, semillas, corteza, escamas, frondas, forma de crecimiento</w:t>
      </w:r>
      <w:r w:rsidR="00725E73" w:rsidRPr="004068F6">
        <w:rPr>
          <w:spacing w:val="-3"/>
        </w:rPr>
        <w:t xml:space="preserve"> (también aplica para briófitos y líquenes)</w:t>
      </w:r>
      <w:r w:rsidRPr="004068F6">
        <w:rPr>
          <w:spacing w:val="-3"/>
        </w:rPr>
        <w:t xml:space="preserve">, </w:t>
      </w:r>
      <w:r w:rsidR="00725E73" w:rsidRPr="004068F6">
        <w:rPr>
          <w:spacing w:val="-3"/>
        </w:rPr>
        <w:t xml:space="preserve">talo, </w:t>
      </w:r>
      <w:r w:rsidRPr="004068F6">
        <w:rPr>
          <w:spacing w:val="-3"/>
        </w:rPr>
        <w:t>estructuras reproductivas, entre otros).</w:t>
      </w:r>
    </w:p>
    <w:p w14:paraId="33EB6DA6" w14:textId="77777777" w:rsidR="0059324C" w:rsidRPr="004068F6" w:rsidRDefault="0059324C" w:rsidP="009420F5">
      <w:pPr>
        <w:tabs>
          <w:tab w:val="left" w:pos="-2268"/>
        </w:tabs>
        <w:suppressAutoHyphens/>
        <w:rPr>
          <w:spacing w:val="-3"/>
        </w:rPr>
      </w:pPr>
    </w:p>
    <w:p w14:paraId="6D1E5A1A" w14:textId="2000D47D" w:rsidR="00725E73" w:rsidRPr="004068F6" w:rsidRDefault="00725E73" w:rsidP="008A4FE9">
      <w:pPr>
        <w:tabs>
          <w:tab w:val="left" w:pos="-2268"/>
        </w:tabs>
        <w:suppressAutoHyphens/>
        <w:ind w:left="567"/>
        <w:textAlignment w:val="auto"/>
        <w:rPr>
          <w:spacing w:val="-3"/>
        </w:rPr>
      </w:pPr>
      <w:r w:rsidRPr="004068F6">
        <w:rPr>
          <w:rFonts w:cs="Arial"/>
          <w:spacing w:val="-3"/>
        </w:rPr>
        <w:t xml:space="preserve">Adicionalmente, es posible incluir fotografías </w:t>
      </w:r>
      <w:r w:rsidR="000D16C7" w:rsidRPr="004068F6">
        <w:rPr>
          <w:rFonts w:cs="Arial"/>
          <w:spacing w:val="-3"/>
        </w:rPr>
        <w:t xml:space="preserve">que retraten </w:t>
      </w:r>
      <w:r w:rsidRPr="004068F6">
        <w:rPr>
          <w:rFonts w:cs="Arial"/>
          <w:spacing w:val="-3"/>
        </w:rPr>
        <w:t xml:space="preserve">la arquitectura de la vegetación en los ecosistemas </w:t>
      </w:r>
      <w:r w:rsidR="000D16C7" w:rsidRPr="004068F6">
        <w:rPr>
          <w:rFonts w:cs="Arial"/>
          <w:spacing w:val="-3"/>
        </w:rPr>
        <w:t xml:space="preserve">en </w:t>
      </w:r>
      <w:r w:rsidRPr="004068F6">
        <w:rPr>
          <w:rFonts w:cs="Arial"/>
          <w:spacing w:val="-3"/>
        </w:rPr>
        <w:t xml:space="preserve">dónde se registraron especies en veda, </w:t>
      </w:r>
      <w:r w:rsidR="000D16C7" w:rsidRPr="004068F6">
        <w:rPr>
          <w:rFonts w:cs="Arial"/>
          <w:spacing w:val="-3"/>
        </w:rPr>
        <w:t xml:space="preserve">evidenciando </w:t>
      </w:r>
      <w:r w:rsidRPr="004068F6">
        <w:rPr>
          <w:rFonts w:cs="Arial"/>
          <w:spacing w:val="-3"/>
        </w:rPr>
        <w:t xml:space="preserve">el estrato vertical y </w:t>
      </w:r>
      <w:r w:rsidR="000D16C7" w:rsidRPr="004068F6">
        <w:rPr>
          <w:rFonts w:cs="Arial"/>
          <w:spacing w:val="-3"/>
        </w:rPr>
        <w:t xml:space="preserve">la </w:t>
      </w:r>
      <w:r w:rsidRPr="004068F6">
        <w:rPr>
          <w:rFonts w:cs="Arial"/>
          <w:spacing w:val="-3"/>
        </w:rPr>
        <w:t xml:space="preserve">forma del dosel de las especies de forófitos de preferencia de la epífitas, </w:t>
      </w:r>
      <w:r w:rsidR="000D16C7" w:rsidRPr="004068F6">
        <w:rPr>
          <w:rFonts w:cs="Arial"/>
          <w:spacing w:val="-3"/>
        </w:rPr>
        <w:t xml:space="preserve">así como </w:t>
      </w:r>
      <w:r w:rsidRPr="004068F6">
        <w:rPr>
          <w:rFonts w:cs="Arial"/>
          <w:spacing w:val="-3"/>
        </w:rPr>
        <w:t xml:space="preserve">el tipo de sustrato y condiciones </w:t>
      </w:r>
      <w:r w:rsidRPr="004068F6">
        <w:rPr>
          <w:rFonts w:cs="Arial"/>
          <w:spacing w:val="-3"/>
        </w:rPr>
        <w:lastRenderedPageBreak/>
        <w:t xml:space="preserve">topográficas relevantes o especiales del suelo </w:t>
      </w:r>
      <w:r w:rsidR="0097623C" w:rsidRPr="004068F6">
        <w:rPr>
          <w:rFonts w:cs="Arial"/>
          <w:spacing w:val="-3"/>
        </w:rPr>
        <w:t xml:space="preserve">o roca </w:t>
      </w:r>
      <w:r w:rsidRPr="004068F6">
        <w:rPr>
          <w:rFonts w:cs="Arial"/>
          <w:spacing w:val="-3"/>
        </w:rPr>
        <w:t>dónde se evidencian especies de tipo terrestre</w:t>
      </w:r>
      <w:r w:rsidR="0097623C" w:rsidRPr="004068F6">
        <w:rPr>
          <w:rFonts w:cs="Arial"/>
          <w:spacing w:val="-3"/>
        </w:rPr>
        <w:t xml:space="preserve"> o rupíc</w:t>
      </w:r>
      <w:r w:rsidR="001F7CAB" w:rsidRPr="004068F6">
        <w:rPr>
          <w:rFonts w:cs="Arial"/>
          <w:spacing w:val="-3"/>
        </w:rPr>
        <w:t>o</w:t>
      </w:r>
      <w:r w:rsidR="0097623C" w:rsidRPr="004068F6">
        <w:rPr>
          <w:rFonts w:cs="Arial"/>
          <w:spacing w:val="-3"/>
        </w:rPr>
        <w:t>la</w:t>
      </w:r>
      <w:r w:rsidRPr="004068F6">
        <w:rPr>
          <w:rFonts w:cs="Arial"/>
          <w:spacing w:val="-3"/>
        </w:rPr>
        <w:t>.</w:t>
      </w:r>
    </w:p>
    <w:p w14:paraId="061EF035" w14:textId="77777777" w:rsidR="00482A5F" w:rsidRPr="004068F6" w:rsidRDefault="00482A5F" w:rsidP="00482A5F">
      <w:pPr>
        <w:tabs>
          <w:tab w:val="left" w:pos="-2268"/>
        </w:tabs>
        <w:suppressAutoHyphens/>
        <w:rPr>
          <w:rFonts w:cs="Arial"/>
          <w:spacing w:val="-3"/>
        </w:rPr>
      </w:pPr>
    </w:p>
    <w:p w14:paraId="31ADD873" w14:textId="70FEFC6E" w:rsidR="003351AD" w:rsidRPr="004068F6" w:rsidRDefault="00FE5ED8" w:rsidP="00FE5ED8">
      <w:pPr>
        <w:tabs>
          <w:tab w:val="left" w:pos="-2268"/>
        </w:tabs>
        <w:suppressAutoHyphens/>
        <w:rPr>
          <w:rFonts w:cs="Arial"/>
          <w:spacing w:val="-3"/>
        </w:rPr>
      </w:pPr>
      <w:r w:rsidRPr="004068F6">
        <w:rPr>
          <w:rFonts w:cs="Arial"/>
          <w:spacing w:val="-3"/>
        </w:rPr>
        <w:t>E</w:t>
      </w:r>
      <w:r w:rsidR="00437904" w:rsidRPr="004068F6">
        <w:rPr>
          <w:rFonts w:cs="Arial"/>
          <w:spacing w:val="-3"/>
        </w:rPr>
        <w:t xml:space="preserve">sta </w:t>
      </w:r>
      <w:r w:rsidR="003351AD" w:rsidRPr="004068F6">
        <w:rPr>
          <w:rFonts w:cs="Arial"/>
          <w:spacing w:val="-3"/>
        </w:rPr>
        <w:t xml:space="preserve">información </w:t>
      </w:r>
      <w:r w:rsidR="00437904" w:rsidRPr="004068F6">
        <w:rPr>
          <w:rFonts w:cs="Arial"/>
          <w:spacing w:val="-3"/>
        </w:rPr>
        <w:t xml:space="preserve">debe emplearse para </w:t>
      </w:r>
      <w:r w:rsidR="003351AD" w:rsidRPr="004068F6">
        <w:rPr>
          <w:rFonts w:cs="Arial"/>
          <w:spacing w:val="-3"/>
        </w:rPr>
        <w:t>la formulación de medidas de manejo</w:t>
      </w:r>
      <w:r w:rsidR="00B74219" w:rsidRPr="004068F6">
        <w:rPr>
          <w:rFonts w:cs="Arial"/>
          <w:spacing w:val="-3"/>
        </w:rPr>
        <w:t xml:space="preserve"> en </w:t>
      </w:r>
      <w:r w:rsidRPr="004068F6">
        <w:rPr>
          <w:rFonts w:cs="Arial"/>
          <w:spacing w:val="-3"/>
        </w:rPr>
        <w:t>desarroll</w:t>
      </w:r>
      <w:r w:rsidR="00B74219" w:rsidRPr="004068F6">
        <w:rPr>
          <w:rFonts w:cs="Arial"/>
          <w:spacing w:val="-3"/>
        </w:rPr>
        <w:t>o de</w:t>
      </w:r>
      <w:r w:rsidRPr="004068F6">
        <w:rPr>
          <w:rFonts w:cs="Arial"/>
          <w:spacing w:val="-3"/>
        </w:rPr>
        <w:t xml:space="preserve"> lo previsto en el Decreto - Ley 2106 de 2019 (o aquella norma que lo modifique o sustituya), y para el diligenciamiento del FUN de solicitud de aprovechamiento forestal y manejo sostenible de flora silvestre y los productos forestales no maderables establecido por la Resolución 1466 de 2021 o aquella norma que lo modifique o sustituya.</w:t>
      </w:r>
    </w:p>
    <w:p w14:paraId="04EC8E8C" w14:textId="77777777" w:rsidR="003351AD" w:rsidRPr="004068F6" w:rsidRDefault="003351AD" w:rsidP="00C86DA5">
      <w:pPr>
        <w:tabs>
          <w:tab w:val="left" w:pos="-2268"/>
        </w:tabs>
        <w:suppressAutoHyphens/>
        <w:rPr>
          <w:spacing w:val="-3"/>
        </w:rPr>
      </w:pPr>
    </w:p>
    <w:p w14:paraId="3B2B606B" w14:textId="77777777" w:rsidR="00482A5F" w:rsidRPr="004068F6" w:rsidRDefault="00482A5F" w:rsidP="009420F5">
      <w:pPr>
        <w:pStyle w:val="Ttulo4"/>
        <w:tabs>
          <w:tab w:val="clear" w:pos="1844"/>
          <w:tab w:val="num" w:pos="1134"/>
        </w:tabs>
        <w:ind w:left="0"/>
        <w:rPr>
          <w:lang w:val="es-CO"/>
        </w:rPr>
      </w:pPr>
      <w:r w:rsidRPr="004068F6">
        <w:rPr>
          <w:lang w:val="es-CO"/>
        </w:rPr>
        <w:t>Fauna</w:t>
      </w:r>
    </w:p>
    <w:p w14:paraId="0A1EADCF" w14:textId="77777777" w:rsidR="00482A5F" w:rsidRPr="004068F6" w:rsidRDefault="00482A5F">
      <w:pPr>
        <w:numPr>
          <w:ilvl w:val="12"/>
          <w:numId w:val="0"/>
        </w:numPr>
        <w:tabs>
          <w:tab w:val="left" w:pos="-2268"/>
        </w:tabs>
        <w:suppressAutoHyphens/>
        <w:rPr>
          <w:spacing w:val="-3"/>
        </w:rPr>
      </w:pPr>
    </w:p>
    <w:p w14:paraId="55FEA155" w14:textId="11E9638D" w:rsidR="00482A5F" w:rsidRPr="004068F6" w:rsidRDefault="00482A5F">
      <w:pPr>
        <w:numPr>
          <w:ilvl w:val="12"/>
          <w:numId w:val="0"/>
        </w:numPr>
        <w:tabs>
          <w:tab w:val="left" w:pos="-2268"/>
        </w:tabs>
        <w:suppressAutoHyphens/>
        <w:rPr>
          <w:spacing w:val="-3"/>
        </w:rPr>
      </w:pPr>
      <w:r w:rsidRPr="004068F6">
        <w:rPr>
          <w:rFonts w:cs="Arial"/>
          <w:spacing w:val="-3"/>
        </w:rPr>
        <w:t>La caracterización</w:t>
      </w:r>
      <w:r w:rsidRPr="004068F6">
        <w:rPr>
          <w:spacing w:val="-3"/>
        </w:rPr>
        <w:t xml:space="preserve"> de</w:t>
      </w:r>
      <w:r w:rsidR="0041570E" w:rsidRPr="004068F6">
        <w:rPr>
          <w:spacing w:val="-3"/>
        </w:rPr>
        <w:t xml:space="preserve"> </w:t>
      </w:r>
      <w:r w:rsidRPr="004068F6">
        <w:rPr>
          <w:spacing w:val="-3"/>
        </w:rPr>
        <w:t>l</w:t>
      </w:r>
      <w:r w:rsidR="0041570E" w:rsidRPr="004068F6">
        <w:rPr>
          <w:spacing w:val="-3"/>
        </w:rPr>
        <w:t>a</w:t>
      </w:r>
      <w:r w:rsidRPr="004068F6">
        <w:rPr>
          <w:spacing w:val="-3"/>
        </w:rPr>
        <w:t xml:space="preserve"> </w:t>
      </w:r>
      <w:r w:rsidRPr="004068F6">
        <w:rPr>
          <w:rFonts w:cs="Arial"/>
          <w:spacing w:val="-3"/>
        </w:rPr>
        <w:t xml:space="preserve">fauna se </w:t>
      </w:r>
      <w:r w:rsidR="008940F8" w:rsidRPr="004068F6">
        <w:rPr>
          <w:rFonts w:cs="Arial"/>
          <w:spacing w:val="-3"/>
        </w:rPr>
        <w:t xml:space="preserve">debe ejecutar mediante </w:t>
      </w:r>
      <w:r w:rsidRPr="004068F6">
        <w:rPr>
          <w:rFonts w:cs="Arial"/>
          <w:spacing w:val="-3"/>
        </w:rPr>
        <w:t>m</w:t>
      </w:r>
      <w:r w:rsidR="00DD1320" w:rsidRPr="004068F6">
        <w:rPr>
          <w:rFonts w:cs="Arial"/>
          <w:spacing w:val="-3"/>
        </w:rPr>
        <w:t xml:space="preserve">étodos de inventario </w:t>
      </w:r>
      <w:r w:rsidRPr="004068F6">
        <w:rPr>
          <w:rFonts w:cs="Arial"/>
          <w:spacing w:val="-3"/>
        </w:rPr>
        <w:t>riguros</w:t>
      </w:r>
      <w:r w:rsidR="00DD1320" w:rsidRPr="004068F6">
        <w:rPr>
          <w:rFonts w:cs="Arial"/>
          <w:spacing w:val="-3"/>
        </w:rPr>
        <w:t>o</w:t>
      </w:r>
      <w:r w:rsidRPr="004068F6">
        <w:rPr>
          <w:rFonts w:cs="Arial"/>
          <w:spacing w:val="-3"/>
        </w:rPr>
        <w:t>s</w:t>
      </w:r>
      <w:r w:rsidR="00DD1320" w:rsidRPr="004068F6">
        <w:rPr>
          <w:rFonts w:cs="Arial"/>
          <w:spacing w:val="-3"/>
        </w:rPr>
        <w:t xml:space="preserve"> y apropiados a las condiciones </w:t>
      </w:r>
      <w:r w:rsidR="0041570E" w:rsidRPr="004068F6">
        <w:rPr>
          <w:rFonts w:cs="Arial"/>
          <w:spacing w:val="-3"/>
        </w:rPr>
        <w:t xml:space="preserve">ambientales del </w:t>
      </w:r>
      <w:r w:rsidR="004E2272" w:rsidRPr="004068F6">
        <w:rPr>
          <w:rFonts w:cs="Arial"/>
          <w:spacing w:val="-3"/>
        </w:rPr>
        <w:t xml:space="preserve">área </w:t>
      </w:r>
      <w:r w:rsidR="00D8710A" w:rsidRPr="004068F6">
        <w:rPr>
          <w:rFonts w:cs="Arial"/>
          <w:spacing w:val="-3"/>
        </w:rPr>
        <w:t>objeto de caracterización</w:t>
      </w:r>
      <w:r w:rsidR="00DD1320" w:rsidRPr="004068F6">
        <w:rPr>
          <w:rFonts w:cs="Arial"/>
          <w:spacing w:val="-3"/>
        </w:rPr>
        <w:t xml:space="preserve"> </w:t>
      </w:r>
      <w:r w:rsidRPr="004068F6">
        <w:rPr>
          <w:rFonts w:cs="Arial"/>
          <w:spacing w:val="-3"/>
        </w:rPr>
        <w:t>que contempl</w:t>
      </w:r>
      <w:r w:rsidR="00DD1320" w:rsidRPr="004068F6">
        <w:rPr>
          <w:rFonts w:cs="Arial"/>
          <w:spacing w:val="-3"/>
        </w:rPr>
        <w:t>e</w:t>
      </w:r>
      <w:r w:rsidRPr="004068F6">
        <w:rPr>
          <w:rFonts w:cs="Arial"/>
          <w:spacing w:val="-3"/>
        </w:rPr>
        <w:t>n registros directos (visuales, auditivos</w:t>
      </w:r>
      <w:r w:rsidR="005F296C" w:rsidRPr="004068F6">
        <w:rPr>
          <w:rFonts w:cs="Arial"/>
          <w:spacing w:val="-3"/>
        </w:rPr>
        <w:t xml:space="preserve"> -con observación del individuo- </w:t>
      </w:r>
      <w:r w:rsidRPr="004068F6">
        <w:rPr>
          <w:rFonts w:cs="Arial"/>
          <w:spacing w:val="-3"/>
        </w:rPr>
        <w:t xml:space="preserve">y </w:t>
      </w:r>
      <w:r w:rsidR="00DD1320" w:rsidRPr="004068F6">
        <w:rPr>
          <w:rFonts w:cs="Arial"/>
          <w:spacing w:val="-3"/>
        </w:rPr>
        <w:t>recolección</w:t>
      </w:r>
      <w:r w:rsidRPr="004068F6">
        <w:rPr>
          <w:rFonts w:cs="Arial"/>
          <w:spacing w:val="-3"/>
        </w:rPr>
        <w:t>) e indirectos (rastros, huellas heces, indicios</w:t>
      </w:r>
      <w:r w:rsidR="004F4FF0" w:rsidRPr="004068F6">
        <w:rPr>
          <w:rFonts w:cs="Arial"/>
          <w:spacing w:val="-3"/>
        </w:rPr>
        <w:t>, sonidos</w:t>
      </w:r>
      <w:r w:rsidRPr="004068F6">
        <w:rPr>
          <w:rFonts w:cs="Arial"/>
          <w:spacing w:val="-3"/>
        </w:rPr>
        <w:t>)</w:t>
      </w:r>
      <w:r w:rsidR="00DD1320" w:rsidRPr="004068F6">
        <w:rPr>
          <w:rFonts w:cs="Arial"/>
          <w:spacing w:val="-3"/>
        </w:rPr>
        <w:t xml:space="preserve"> de la fauna</w:t>
      </w:r>
      <w:r w:rsidR="008940F8" w:rsidRPr="004068F6">
        <w:rPr>
          <w:rFonts w:cs="Arial"/>
          <w:spacing w:val="-3"/>
        </w:rPr>
        <w:t>.</w:t>
      </w:r>
      <w:r w:rsidRPr="004068F6">
        <w:rPr>
          <w:rFonts w:cs="Arial"/>
          <w:spacing w:val="-3"/>
        </w:rPr>
        <w:t xml:space="preserve"> </w:t>
      </w:r>
      <w:r w:rsidR="007D3EAD" w:rsidRPr="004068F6">
        <w:rPr>
          <w:rFonts w:cs="Arial"/>
          <w:spacing w:val="-3"/>
        </w:rPr>
        <w:t xml:space="preserve">Los </w:t>
      </w:r>
      <w:r w:rsidRPr="004068F6">
        <w:rPr>
          <w:rFonts w:cs="Arial"/>
          <w:spacing w:val="-3"/>
        </w:rPr>
        <w:t xml:space="preserve">listados de especies </w:t>
      </w:r>
      <w:r w:rsidR="007D3EAD" w:rsidRPr="004068F6">
        <w:rPr>
          <w:rFonts w:cs="Arial"/>
          <w:spacing w:val="-3"/>
        </w:rPr>
        <w:t xml:space="preserve">que resulten de los inventarios </w:t>
      </w:r>
      <w:r w:rsidRPr="004068F6">
        <w:rPr>
          <w:rFonts w:cs="Arial"/>
          <w:spacing w:val="-3"/>
        </w:rPr>
        <w:t>debe</w:t>
      </w:r>
      <w:r w:rsidR="007D3EAD" w:rsidRPr="004068F6">
        <w:rPr>
          <w:rFonts w:cs="Arial"/>
          <w:spacing w:val="-3"/>
        </w:rPr>
        <w:t>n</w:t>
      </w:r>
      <w:r w:rsidRPr="004068F6">
        <w:rPr>
          <w:rFonts w:cs="Arial"/>
          <w:spacing w:val="-3"/>
        </w:rPr>
        <w:t xml:space="preserve"> incluir</w:t>
      </w:r>
      <w:r w:rsidR="003A6DAC" w:rsidRPr="004068F6">
        <w:rPr>
          <w:rFonts w:cs="Arial"/>
          <w:spacing w:val="-3"/>
        </w:rPr>
        <w:t>,</w:t>
      </w:r>
      <w:r w:rsidRPr="004068F6">
        <w:rPr>
          <w:rFonts w:cs="Arial"/>
          <w:spacing w:val="-3"/>
        </w:rPr>
        <w:t xml:space="preserve"> </w:t>
      </w:r>
      <w:r w:rsidR="007D3EAD" w:rsidRPr="004068F6">
        <w:rPr>
          <w:rFonts w:cs="Arial"/>
          <w:spacing w:val="-3"/>
        </w:rPr>
        <w:t xml:space="preserve">además, </w:t>
      </w:r>
      <w:r w:rsidRPr="004068F6">
        <w:rPr>
          <w:rFonts w:cs="Arial"/>
          <w:spacing w:val="-3"/>
        </w:rPr>
        <w:t>parámetros biológico-ecológicos como distribución altitudinal, hábitat, hábitos alimenticios y otros que valor</w:t>
      </w:r>
      <w:r w:rsidR="007D3EAD" w:rsidRPr="004068F6">
        <w:rPr>
          <w:rFonts w:cs="Arial"/>
          <w:spacing w:val="-3"/>
        </w:rPr>
        <w:t>e</w:t>
      </w:r>
      <w:r w:rsidRPr="004068F6">
        <w:rPr>
          <w:rFonts w:cs="Arial"/>
          <w:spacing w:val="-3"/>
        </w:rPr>
        <w:t>n el interés público</w:t>
      </w:r>
      <w:r w:rsidR="007D3EAD" w:rsidRPr="004068F6">
        <w:rPr>
          <w:rFonts w:cs="Arial"/>
          <w:spacing w:val="-3"/>
        </w:rPr>
        <w:t>, por ejemplo,</w:t>
      </w:r>
      <w:r w:rsidRPr="004068F6">
        <w:rPr>
          <w:rFonts w:cs="Arial"/>
          <w:spacing w:val="-3"/>
        </w:rPr>
        <w:t xml:space="preserve"> endemismos, amenazas y comportamientos migratorios</w:t>
      </w:r>
      <w:r w:rsidR="00807C4E" w:rsidRPr="004068F6">
        <w:rPr>
          <w:rFonts w:cs="Arial"/>
          <w:spacing w:val="-3"/>
        </w:rPr>
        <w:t>, identificando las unidades de coberturas de preferencia de estas especies</w:t>
      </w:r>
      <w:r w:rsidRPr="004068F6">
        <w:rPr>
          <w:spacing w:val="-3"/>
        </w:rPr>
        <w:t>.</w:t>
      </w:r>
    </w:p>
    <w:p w14:paraId="2480307E" w14:textId="5B9EB0CC" w:rsidR="00482A5F" w:rsidRPr="004068F6" w:rsidRDefault="00482A5F" w:rsidP="00482A5F">
      <w:pPr>
        <w:numPr>
          <w:ilvl w:val="12"/>
          <w:numId w:val="0"/>
        </w:numPr>
        <w:tabs>
          <w:tab w:val="left" w:pos="-2268"/>
        </w:tabs>
        <w:suppressAutoHyphens/>
        <w:rPr>
          <w:rFonts w:cs="Arial"/>
          <w:spacing w:val="-3"/>
        </w:rPr>
      </w:pPr>
    </w:p>
    <w:p w14:paraId="64D119DA" w14:textId="5C463EF7" w:rsidR="00482A5F" w:rsidRPr="004068F6" w:rsidRDefault="00694146" w:rsidP="00482A5F">
      <w:pPr>
        <w:numPr>
          <w:ilvl w:val="12"/>
          <w:numId w:val="0"/>
        </w:numPr>
        <w:tabs>
          <w:tab w:val="left" w:pos="-2268"/>
        </w:tabs>
        <w:suppressAutoHyphens/>
        <w:rPr>
          <w:rFonts w:cs="Arial"/>
          <w:spacing w:val="-3"/>
        </w:rPr>
      </w:pPr>
      <w:r w:rsidRPr="004068F6">
        <w:rPr>
          <w:rFonts w:cs="Arial"/>
          <w:spacing w:val="-3"/>
        </w:rPr>
        <w:t>L</w:t>
      </w:r>
      <w:r w:rsidR="00482A5F" w:rsidRPr="004068F6">
        <w:rPr>
          <w:rFonts w:cs="Arial"/>
          <w:spacing w:val="-3"/>
        </w:rPr>
        <w:t>os parámetros bio-ecológicos y de interés no son los únicos que se pueden considerar</w:t>
      </w:r>
      <w:r w:rsidRPr="004068F6">
        <w:rPr>
          <w:rFonts w:cs="Arial"/>
          <w:spacing w:val="-3"/>
        </w:rPr>
        <w:t xml:space="preserve"> para caracterizar cada grupo taxonómico objeto de estudio</w:t>
      </w:r>
      <w:r w:rsidR="00482A5F" w:rsidRPr="004068F6">
        <w:rPr>
          <w:rFonts w:cs="Arial"/>
          <w:spacing w:val="-3"/>
        </w:rPr>
        <w:t xml:space="preserve">, éstos pueden ser </w:t>
      </w:r>
      <w:r w:rsidRPr="004068F6">
        <w:rPr>
          <w:rFonts w:cs="Arial"/>
          <w:spacing w:val="-3"/>
        </w:rPr>
        <w:t>complementados</w:t>
      </w:r>
      <w:r w:rsidR="00482A5F" w:rsidRPr="004068F6">
        <w:rPr>
          <w:rFonts w:cs="Arial"/>
          <w:spacing w:val="-3"/>
        </w:rPr>
        <w:t xml:space="preserve"> </w:t>
      </w:r>
      <w:r w:rsidRPr="004068F6">
        <w:rPr>
          <w:rFonts w:cs="Arial"/>
          <w:spacing w:val="-3"/>
        </w:rPr>
        <w:t xml:space="preserve">con otros que sean empleados en la </w:t>
      </w:r>
      <w:r w:rsidR="00482A5F" w:rsidRPr="004068F6">
        <w:rPr>
          <w:rFonts w:cs="Arial"/>
          <w:spacing w:val="-3"/>
        </w:rPr>
        <w:t>literatura científica disponible.</w:t>
      </w:r>
    </w:p>
    <w:p w14:paraId="39AC20AE" w14:textId="1B6E7620" w:rsidR="007B1325" w:rsidRPr="004068F6" w:rsidRDefault="007B1325" w:rsidP="00482A5F">
      <w:pPr>
        <w:numPr>
          <w:ilvl w:val="12"/>
          <w:numId w:val="0"/>
        </w:numPr>
        <w:tabs>
          <w:tab w:val="left" w:pos="-2268"/>
        </w:tabs>
        <w:suppressAutoHyphens/>
        <w:rPr>
          <w:rFonts w:cs="Arial"/>
          <w:spacing w:val="-3"/>
        </w:rPr>
      </w:pPr>
    </w:p>
    <w:p w14:paraId="44D9B65B" w14:textId="655457F2" w:rsidR="00482A5F" w:rsidRPr="004068F6" w:rsidRDefault="005F26DC">
      <w:pPr>
        <w:numPr>
          <w:ilvl w:val="12"/>
          <w:numId w:val="0"/>
        </w:numPr>
        <w:tabs>
          <w:tab w:val="left" w:pos="-2268"/>
        </w:tabs>
        <w:suppressAutoHyphens/>
        <w:rPr>
          <w:rFonts w:cs="Arial"/>
          <w:spacing w:val="-3"/>
        </w:rPr>
      </w:pPr>
      <w:r w:rsidRPr="004068F6">
        <w:rPr>
          <w:rFonts w:cs="Arial"/>
          <w:spacing w:val="-3"/>
        </w:rPr>
        <w:t>L</w:t>
      </w:r>
      <w:r w:rsidR="00CE4D28" w:rsidRPr="004068F6">
        <w:rPr>
          <w:rFonts w:cs="Arial"/>
          <w:spacing w:val="-3"/>
        </w:rPr>
        <w:t xml:space="preserve">a </w:t>
      </w:r>
      <w:r w:rsidR="007B1325" w:rsidRPr="004068F6">
        <w:rPr>
          <w:rFonts w:cs="Arial"/>
          <w:spacing w:val="-3"/>
        </w:rPr>
        <w:t xml:space="preserve">caracterización debe incluir un registro de atropellamiento </w:t>
      </w:r>
      <w:r w:rsidR="00CE4D28" w:rsidRPr="004068F6">
        <w:rPr>
          <w:rFonts w:cs="Arial"/>
          <w:spacing w:val="-3"/>
        </w:rPr>
        <w:t xml:space="preserve">de fauna </w:t>
      </w:r>
      <w:r w:rsidR="00BA7EC4" w:rsidRPr="004068F6">
        <w:rPr>
          <w:rFonts w:cs="Arial"/>
          <w:spacing w:val="-3"/>
        </w:rPr>
        <w:t xml:space="preserve">silvestre </w:t>
      </w:r>
      <w:r w:rsidR="007B1325" w:rsidRPr="004068F6">
        <w:rPr>
          <w:rFonts w:cs="Arial"/>
          <w:spacing w:val="-3"/>
        </w:rPr>
        <w:t>en las vías existentes</w:t>
      </w:r>
      <w:r w:rsidR="00BA7EC4" w:rsidRPr="004068F6">
        <w:rPr>
          <w:rFonts w:cs="Arial"/>
          <w:spacing w:val="-3"/>
        </w:rPr>
        <w:t>, así como la determinación de los puntos de mayor susceptibilidad de atropellamiento de fauna silvestre (hotspots)</w:t>
      </w:r>
      <w:r w:rsidR="00CE4D28" w:rsidRPr="004068F6">
        <w:rPr>
          <w:rFonts w:cs="Arial"/>
          <w:spacing w:val="-3"/>
        </w:rPr>
        <w:t>,</w:t>
      </w:r>
      <w:r w:rsidR="007B1325" w:rsidRPr="004068F6">
        <w:rPr>
          <w:rFonts w:cs="Arial"/>
          <w:spacing w:val="-3"/>
        </w:rPr>
        <w:t xml:space="preserve"> </w:t>
      </w:r>
      <w:r w:rsidR="00BA7EC4" w:rsidRPr="004068F6">
        <w:rPr>
          <w:rFonts w:cs="Arial"/>
          <w:spacing w:val="-3"/>
        </w:rPr>
        <w:t xml:space="preserve">información </w:t>
      </w:r>
      <w:r w:rsidR="00CE4D28" w:rsidRPr="004068F6">
        <w:rPr>
          <w:rFonts w:cs="Arial"/>
          <w:spacing w:val="-3"/>
        </w:rPr>
        <w:t xml:space="preserve">que puede </w:t>
      </w:r>
      <w:r w:rsidR="00BA7EC4" w:rsidRPr="004068F6">
        <w:rPr>
          <w:rFonts w:cs="Arial"/>
          <w:spacing w:val="-3"/>
        </w:rPr>
        <w:t xml:space="preserve">obtenerse siguiendo </w:t>
      </w:r>
      <w:r w:rsidR="007B1325" w:rsidRPr="004068F6">
        <w:rPr>
          <w:rFonts w:cs="Arial"/>
          <w:spacing w:val="-3"/>
        </w:rPr>
        <w:t>las orientaciones establecidas en documentos como “Atropellamiento de fauna silvestre en Colombia</w:t>
      </w:r>
      <w:r w:rsidR="00CE4D28" w:rsidRPr="004068F6">
        <w:rPr>
          <w:rFonts w:cs="Arial"/>
          <w:spacing w:val="-3"/>
        </w:rPr>
        <w:t>.</w:t>
      </w:r>
      <w:r w:rsidR="007B1325" w:rsidRPr="004068F6">
        <w:rPr>
          <w:rFonts w:cs="Arial"/>
          <w:spacing w:val="-3"/>
        </w:rPr>
        <w:t xml:space="preserve"> Guía para entender y diagnosticar este impacto” (Jaramillo-Fayad et al., 2021) o </w:t>
      </w:r>
      <w:r w:rsidR="00BA7EC4" w:rsidRPr="004068F6">
        <w:rPr>
          <w:rFonts w:cs="Arial"/>
          <w:spacing w:val="-3"/>
        </w:rPr>
        <w:t xml:space="preserve">empleando la </w:t>
      </w:r>
      <w:r w:rsidR="007B1325" w:rsidRPr="004068F6">
        <w:rPr>
          <w:rFonts w:cs="Arial"/>
          <w:spacing w:val="-3"/>
        </w:rPr>
        <w:t>información secundaria</w:t>
      </w:r>
      <w:r w:rsidR="00BA7EC4" w:rsidRPr="004068F6">
        <w:rPr>
          <w:rFonts w:cs="Arial"/>
          <w:spacing w:val="-3"/>
        </w:rPr>
        <w:t xml:space="preserve"> </w:t>
      </w:r>
      <w:r w:rsidR="007B1325" w:rsidRPr="004068F6">
        <w:rPr>
          <w:rFonts w:cs="Arial"/>
          <w:spacing w:val="-3"/>
        </w:rPr>
        <w:t>disponible (</w:t>
      </w:r>
      <w:r w:rsidR="00041844" w:rsidRPr="004068F6">
        <w:rPr>
          <w:rFonts w:cs="Arial"/>
          <w:spacing w:val="-3"/>
        </w:rPr>
        <w:t>p. ej.</w:t>
      </w:r>
      <w:r w:rsidR="007B1325" w:rsidRPr="004068F6">
        <w:rPr>
          <w:rFonts w:cs="Arial"/>
          <w:spacing w:val="-3"/>
        </w:rPr>
        <w:t xml:space="preserve"> Recosfa)</w:t>
      </w:r>
      <w:r w:rsidR="002661F3" w:rsidRPr="004068F6">
        <w:rPr>
          <w:rFonts w:cs="Arial"/>
          <w:spacing w:val="-3"/>
        </w:rPr>
        <w:t>.</w:t>
      </w:r>
    </w:p>
    <w:p w14:paraId="3ED2478C" w14:textId="77777777" w:rsidR="002661F3" w:rsidRPr="004068F6" w:rsidRDefault="002661F3">
      <w:pPr>
        <w:numPr>
          <w:ilvl w:val="12"/>
          <w:numId w:val="0"/>
        </w:numPr>
        <w:tabs>
          <w:tab w:val="left" w:pos="-2268"/>
        </w:tabs>
        <w:suppressAutoHyphens/>
        <w:rPr>
          <w:rFonts w:cs="Arial"/>
          <w:spacing w:val="-3"/>
        </w:rPr>
      </w:pPr>
    </w:p>
    <w:p w14:paraId="6F35AC0E" w14:textId="77777777" w:rsidR="00482A5F" w:rsidRPr="004068F6" w:rsidRDefault="00482A5F">
      <w:pPr>
        <w:tabs>
          <w:tab w:val="left" w:pos="-2268"/>
        </w:tabs>
        <w:suppressAutoHyphens/>
        <w:rPr>
          <w:spacing w:val="-3"/>
          <w:u w:val="single"/>
        </w:rPr>
      </w:pPr>
      <w:r w:rsidRPr="004068F6">
        <w:rPr>
          <w:spacing w:val="-3"/>
          <w:u w:val="single"/>
        </w:rPr>
        <w:t>Fase previa:</w:t>
      </w:r>
    </w:p>
    <w:p w14:paraId="79167D9C" w14:textId="77777777" w:rsidR="00482A5F" w:rsidRPr="004068F6" w:rsidRDefault="00482A5F">
      <w:pPr>
        <w:numPr>
          <w:ilvl w:val="12"/>
          <w:numId w:val="0"/>
        </w:numPr>
        <w:tabs>
          <w:tab w:val="left" w:pos="-2268"/>
        </w:tabs>
        <w:suppressAutoHyphens/>
        <w:rPr>
          <w:spacing w:val="-3"/>
        </w:rPr>
      </w:pPr>
    </w:p>
    <w:p w14:paraId="38543FCF" w14:textId="42D643F4" w:rsidR="00482A5F" w:rsidRPr="004068F6" w:rsidRDefault="00482A5F">
      <w:pPr>
        <w:numPr>
          <w:ilvl w:val="12"/>
          <w:numId w:val="0"/>
        </w:numPr>
        <w:tabs>
          <w:tab w:val="left" w:pos="-2268"/>
        </w:tabs>
        <w:suppressAutoHyphens/>
        <w:rPr>
          <w:spacing w:val="-3"/>
        </w:rPr>
      </w:pPr>
      <w:r w:rsidRPr="004068F6">
        <w:rPr>
          <w:spacing w:val="-3"/>
        </w:rPr>
        <w:t>Esta fase de la caracterización parte de la revisión de la información existente sobre la fauna potencialmente presente.</w:t>
      </w:r>
      <w:r w:rsidR="00EC5EDE" w:rsidRPr="004068F6">
        <w:rPr>
          <w:spacing w:val="-3"/>
        </w:rPr>
        <w:t xml:space="preserve"> </w:t>
      </w:r>
      <w:r w:rsidRPr="004068F6">
        <w:rPr>
          <w:spacing w:val="-3"/>
        </w:rPr>
        <w:t>Se puede</w:t>
      </w:r>
      <w:r w:rsidR="00EC5EDE" w:rsidRPr="004068F6">
        <w:rPr>
          <w:spacing w:val="-3"/>
        </w:rPr>
        <w:t>n</w:t>
      </w:r>
      <w:r w:rsidRPr="004068F6">
        <w:rPr>
          <w:spacing w:val="-3"/>
        </w:rPr>
        <w:t xml:space="preserve"> </w:t>
      </w:r>
      <w:r w:rsidR="00EC5EDE" w:rsidRPr="004068F6">
        <w:rPr>
          <w:spacing w:val="-3"/>
        </w:rPr>
        <w:t xml:space="preserve">emplear </w:t>
      </w:r>
      <w:r w:rsidRPr="004068F6">
        <w:rPr>
          <w:spacing w:val="-3"/>
        </w:rPr>
        <w:t>como referencia</w:t>
      </w:r>
      <w:r w:rsidRPr="004068F6">
        <w:t>, entre otras,</w:t>
      </w:r>
      <w:r w:rsidRPr="004068F6">
        <w:rPr>
          <w:spacing w:val="-3"/>
        </w:rPr>
        <w:t xml:space="preserve"> las siguientes fuentes de información:</w:t>
      </w:r>
    </w:p>
    <w:p w14:paraId="1320B77A" w14:textId="77777777" w:rsidR="00482A5F" w:rsidRPr="004068F6" w:rsidRDefault="00482A5F">
      <w:pPr>
        <w:numPr>
          <w:ilvl w:val="12"/>
          <w:numId w:val="0"/>
        </w:numPr>
        <w:tabs>
          <w:tab w:val="left" w:pos="-2268"/>
        </w:tabs>
        <w:suppressAutoHyphens/>
        <w:rPr>
          <w:spacing w:val="-3"/>
        </w:rPr>
      </w:pPr>
    </w:p>
    <w:p w14:paraId="692B7D8A" w14:textId="30F9D231" w:rsidR="00482A5F" w:rsidRPr="004068F6" w:rsidRDefault="00482A5F" w:rsidP="009420F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lastRenderedPageBreak/>
        <w:t>Sistema de información sobre Biodiversidad de Colombia</w:t>
      </w:r>
      <w:r w:rsidR="00EC5EDE" w:rsidRPr="00127BD4">
        <w:rPr>
          <w:lang w:val="es-CO"/>
        </w:rPr>
        <w:t xml:space="preserve"> </w:t>
      </w:r>
      <w:r w:rsidR="00A50011" w:rsidRPr="00127BD4">
        <w:rPr>
          <w:lang w:val="es-CO"/>
        </w:rPr>
        <w:t>https://biodiversidad.co/</w:t>
      </w:r>
      <w:r w:rsidRPr="004068F6">
        <w:rPr>
          <w:rFonts w:cs="Arial"/>
          <w:spacing w:val="-3"/>
          <w:lang w:val="es-CO"/>
        </w:rPr>
        <w:t>.</w:t>
      </w:r>
    </w:p>
    <w:p w14:paraId="447BF624" w14:textId="77777777" w:rsidR="00482A5F" w:rsidRPr="004068F6" w:rsidRDefault="00482A5F">
      <w:pPr>
        <w:tabs>
          <w:tab w:val="left" w:pos="-2268"/>
        </w:tabs>
        <w:suppressAutoHyphens/>
        <w:rPr>
          <w:spacing w:val="-3"/>
        </w:rPr>
      </w:pPr>
    </w:p>
    <w:p w14:paraId="629EA934" w14:textId="6E87CA90" w:rsidR="00482A5F" w:rsidRPr="004068F6" w:rsidRDefault="00482A5F" w:rsidP="009420F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 xml:space="preserve">Colecciones científicas en línea del Instituto de Ciencias Naturales – ICN de la Universidad Nacional de Colombia, sede Bogotá </w:t>
      </w:r>
      <w:r w:rsidR="00B9500B" w:rsidRPr="004068F6">
        <w:rPr>
          <w:lang w:val="es-CO"/>
        </w:rPr>
        <w:t>http://www.biovirtual.unal.edu.co/es/</w:t>
      </w:r>
      <w:r w:rsidRPr="004068F6">
        <w:rPr>
          <w:rFonts w:cs="Arial"/>
          <w:spacing w:val="-3"/>
          <w:lang w:val="es-CO"/>
        </w:rPr>
        <w:t>.</w:t>
      </w:r>
    </w:p>
    <w:p w14:paraId="7BCE1FD5" w14:textId="77777777" w:rsidR="00482A5F" w:rsidRPr="004068F6" w:rsidRDefault="00482A5F">
      <w:pPr>
        <w:tabs>
          <w:tab w:val="left" w:pos="-2268"/>
        </w:tabs>
        <w:suppressAutoHyphens/>
        <w:rPr>
          <w:spacing w:val="-3"/>
        </w:rPr>
      </w:pPr>
    </w:p>
    <w:p w14:paraId="2DA81675" w14:textId="6C5B8FE1" w:rsidR="00482A5F" w:rsidRPr="004068F6" w:rsidRDefault="007B5F2F" w:rsidP="00C86DA5">
      <w:pPr>
        <w:pStyle w:val="Prrafodelista"/>
        <w:numPr>
          <w:ilvl w:val="0"/>
          <w:numId w:val="83"/>
        </w:numPr>
        <w:tabs>
          <w:tab w:val="left" w:pos="-2268"/>
        </w:tabs>
        <w:suppressAutoHyphens/>
        <w:ind w:left="567" w:hanging="567"/>
        <w:rPr>
          <w:rFonts w:cs="Arial"/>
          <w:spacing w:val="-3"/>
          <w:lang w:val="es-CO"/>
        </w:rPr>
      </w:pPr>
      <w:r w:rsidRPr="00127BD4">
        <w:rPr>
          <w:rFonts w:cs="Arial"/>
          <w:spacing w:val="-3"/>
          <w:lang w:val="es-CO"/>
        </w:rPr>
        <w:t>Registros de avistamiento obtenidos de los programas de observadores de fauna marina, cuya información reposa en las bases de datos del Invemar http://geonodesiam.invemar.org.co.</w:t>
      </w:r>
    </w:p>
    <w:p w14:paraId="24724585" w14:textId="77777777" w:rsidR="00482A5F" w:rsidRPr="004068F6" w:rsidRDefault="00482A5F">
      <w:pPr>
        <w:numPr>
          <w:ilvl w:val="12"/>
          <w:numId w:val="0"/>
        </w:numPr>
        <w:tabs>
          <w:tab w:val="left" w:pos="-2268"/>
        </w:tabs>
        <w:suppressAutoHyphens/>
        <w:rPr>
          <w:spacing w:val="-3"/>
        </w:rPr>
      </w:pPr>
    </w:p>
    <w:p w14:paraId="4EE1CFF0" w14:textId="259FA08D" w:rsidR="00482A5F" w:rsidRPr="004068F6" w:rsidRDefault="00482A5F">
      <w:pPr>
        <w:numPr>
          <w:ilvl w:val="12"/>
          <w:numId w:val="0"/>
        </w:numPr>
        <w:tabs>
          <w:tab w:val="left" w:pos="-2268"/>
        </w:tabs>
        <w:suppressAutoHyphens/>
        <w:rPr>
          <w:spacing w:val="-3"/>
        </w:rPr>
      </w:pPr>
      <w:r w:rsidRPr="004068F6">
        <w:rPr>
          <w:spacing w:val="-3"/>
        </w:rPr>
        <w:t xml:space="preserve">Para que la información recolectada </w:t>
      </w:r>
      <w:r w:rsidR="00C01B53" w:rsidRPr="004068F6">
        <w:rPr>
          <w:spacing w:val="-3"/>
        </w:rPr>
        <w:t xml:space="preserve">sobre la fauna </w:t>
      </w:r>
      <w:r w:rsidRPr="004068F6">
        <w:rPr>
          <w:spacing w:val="-3"/>
        </w:rPr>
        <w:t>sea válida y representativa</w:t>
      </w:r>
      <w:r w:rsidR="00C01B53" w:rsidRPr="004068F6">
        <w:rPr>
          <w:spacing w:val="-3"/>
        </w:rPr>
        <w:t>,</w:t>
      </w:r>
      <w:r w:rsidRPr="004068F6">
        <w:rPr>
          <w:spacing w:val="-3"/>
        </w:rPr>
        <w:t xml:space="preserve"> </w:t>
      </w:r>
      <w:r w:rsidR="00C01B53" w:rsidRPr="004068F6">
        <w:rPr>
          <w:spacing w:val="-3"/>
        </w:rPr>
        <w:t xml:space="preserve">el diseño de los inventarios y demás estudios debe basarse en </w:t>
      </w:r>
      <w:r w:rsidRPr="004068F6">
        <w:rPr>
          <w:spacing w:val="-3"/>
        </w:rPr>
        <w:t>métodos como los desarrollados por el Instituto Alexander von Humboldt (</w:t>
      </w:r>
      <w:r w:rsidR="00041844" w:rsidRPr="004068F6">
        <w:rPr>
          <w:spacing w:val="-3"/>
        </w:rPr>
        <w:t>p. ej.</w:t>
      </w:r>
      <w:r w:rsidRPr="004068F6">
        <w:rPr>
          <w:spacing w:val="-3"/>
        </w:rPr>
        <w:t xml:space="preserve"> Manual de métodos para desarrollo de inventarios de biodiversidad (Villa</w:t>
      </w:r>
      <w:r w:rsidR="00C34E67" w:rsidRPr="004068F6">
        <w:rPr>
          <w:spacing w:val="-3"/>
        </w:rPr>
        <w:t>r</w:t>
      </w:r>
      <w:r w:rsidRPr="004068F6">
        <w:rPr>
          <w:spacing w:val="-3"/>
        </w:rPr>
        <w:t xml:space="preserve">real </w:t>
      </w:r>
      <w:r w:rsidRPr="004068F6">
        <w:rPr>
          <w:iCs/>
          <w:spacing w:val="-3"/>
        </w:rPr>
        <w:t>et al.</w:t>
      </w:r>
      <w:r w:rsidRPr="004068F6">
        <w:rPr>
          <w:spacing w:val="-3"/>
        </w:rPr>
        <w:t>, 200</w:t>
      </w:r>
      <w:r w:rsidR="00584905" w:rsidRPr="004068F6">
        <w:rPr>
          <w:spacing w:val="-3"/>
        </w:rPr>
        <w:t>6</w:t>
      </w:r>
      <w:r w:rsidRPr="004068F6">
        <w:rPr>
          <w:spacing w:val="-3"/>
        </w:rPr>
        <w:t>), Herramientas de manejo para la conservación de biodiversidad en paisajes rurales (Lozano-Zambrano, 2009) y Peces de los Andes de Colombia (Maldonado et al., 2005)), el Instituto de Investigaciones Marinas y Costeras José Benito Vives de Andréis (</w:t>
      </w:r>
      <w:r w:rsidR="00A92356" w:rsidRPr="004068F6">
        <w:rPr>
          <w:spacing w:val="-3"/>
        </w:rPr>
        <w:t>Invemar</w:t>
      </w:r>
      <w:r w:rsidRPr="004068F6">
        <w:rPr>
          <w:spacing w:val="-3"/>
        </w:rPr>
        <w:t>), The Nature Conservancy (</w:t>
      </w:r>
      <w:r w:rsidR="00041844" w:rsidRPr="004068F6">
        <w:rPr>
          <w:spacing w:val="-3"/>
        </w:rPr>
        <w:t>p. ej.</w:t>
      </w:r>
      <w:r w:rsidRPr="004068F6">
        <w:rPr>
          <w:spacing w:val="-3"/>
        </w:rPr>
        <w:t xml:space="preserve"> Un Enfoque en la Naturaleza: Evaluaciones Ecológicas Rápidas (Sayre et al., 2002)) y Conservación Internacional Colombia (</w:t>
      </w:r>
      <w:r w:rsidR="00041844" w:rsidRPr="004068F6">
        <w:rPr>
          <w:spacing w:val="-3"/>
        </w:rPr>
        <w:t>p. ej.</w:t>
      </w:r>
      <w:r w:rsidRPr="004068F6">
        <w:rPr>
          <w:spacing w:val="-3"/>
        </w:rPr>
        <w:t xml:space="preserve"> Técnicas de Inventario y Monitoreo para los Anfibios de la Región Tropical Andina (Angulo et al., 2006)</w:t>
      </w:r>
      <w:r w:rsidR="00C01B53" w:rsidRPr="004068F6">
        <w:rPr>
          <w:spacing w:val="-3"/>
        </w:rPr>
        <w:t>, así como en</w:t>
      </w:r>
      <w:r w:rsidR="00E14516" w:rsidRPr="004068F6">
        <w:rPr>
          <w:spacing w:val="-3"/>
        </w:rPr>
        <w:t xml:space="preserve"> el estándar para la publicación de datos a través del SiB Colombia</w:t>
      </w:r>
      <w:r w:rsidRPr="004068F6">
        <w:rPr>
          <w:spacing w:val="-3"/>
        </w:rPr>
        <w:t>.</w:t>
      </w:r>
    </w:p>
    <w:p w14:paraId="47F3151C" w14:textId="77777777" w:rsidR="00482A5F" w:rsidRPr="004068F6" w:rsidRDefault="00482A5F">
      <w:pPr>
        <w:numPr>
          <w:ilvl w:val="12"/>
          <w:numId w:val="0"/>
        </w:numPr>
        <w:tabs>
          <w:tab w:val="left" w:pos="-2268"/>
        </w:tabs>
        <w:suppressAutoHyphens/>
        <w:rPr>
          <w:spacing w:val="-3"/>
        </w:rPr>
      </w:pPr>
    </w:p>
    <w:p w14:paraId="537DB4BA" w14:textId="30C1D8A7" w:rsidR="00482A5F" w:rsidRPr="004068F6" w:rsidRDefault="00CF54D8" w:rsidP="00482A5F">
      <w:pPr>
        <w:numPr>
          <w:ilvl w:val="12"/>
          <w:numId w:val="0"/>
        </w:numPr>
        <w:tabs>
          <w:tab w:val="left" w:pos="-2268"/>
        </w:tabs>
        <w:suppressAutoHyphens/>
        <w:rPr>
          <w:rFonts w:cs="Arial"/>
          <w:spacing w:val="-3"/>
        </w:rPr>
      </w:pPr>
      <w:r w:rsidRPr="004068F6">
        <w:rPr>
          <w:rFonts w:cs="Arial"/>
          <w:spacing w:val="-3"/>
        </w:rPr>
        <w:t xml:space="preserve">Asimismo, como complemento a los inventarios y estudios antes señalados, es posible prever el desarrollo de </w:t>
      </w:r>
      <w:r w:rsidR="00482A5F" w:rsidRPr="004068F6">
        <w:rPr>
          <w:rFonts w:cs="Arial"/>
          <w:spacing w:val="-3"/>
        </w:rPr>
        <w:t xml:space="preserve">entrevistas estructuradas a los habitantes </w:t>
      </w:r>
      <w:r w:rsidRPr="004068F6">
        <w:rPr>
          <w:rFonts w:cs="Arial"/>
          <w:spacing w:val="-3"/>
        </w:rPr>
        <w:t>del área de influencia</w:t>
      </w:r>
      <w:r w:rsidR="00482A5F" w:rsidRPr="004068F6">
        <w:rPr>
          <w:rFonts w:cs="Arial"/>
          <w:spacing w:val="-3"/>
        </w:rPr>
        <w:t xml:space="preserve"> considera</w:t>
      </w:r>
      <w:r w:rsidRPr="004068F6">
        <w:rPr>
          <w:rFonts w:cs="Arial"/>
          <w:spacing w:val="-3"/>
        </w:rPr>
        <w:t xml:space="preserve">ndo </w:t>
      </w:r>
      <w:r w:rsidR="00482A5F" w:rsidRPr="004068F6">
        <w:rPr>
          <w:rFonts w:cs="Arial"/>
          <w:spacing w:val="-3"/>
        </w:rPr>
        <w:t>l</w:t>
      </w:r>
      <w:r w:rsidRPr="004068F6">
        <w:rPr>
          <w:rFonts w:cs="Arial"/>
          <w:spacing w:val="-3"/>
        </w:rPr>
        <w:t>a</w:t>
      </w:r>
      <w:r w:rsidR="00482A5F" w:rsidRPr="004068F6">
        <w:rPr>
          <w:rFonts w:cs="Arial"/>
          <w:spacing w:val="-3"/>
        </w:rPr>
        <w:t xml:space="preserve">s siguientes </w:t>
      </w:r>
      <w:r w:rsidRPr="004068F6">
        <w:rPr>
          <w:rFonts w:cs="Arial"/>
          <w:spacing w:val="-3"/>
        </w:rPr>
        <w:t>orientaciones</w:t>
      </w:r>
      <w:r w:rsidR="00482A5F" w:rsidRPr="004068F6">
        <w:rPr>
          <w:rFonts w:cs="Arial"/>
          <w:spacing w:val="-3"/>
        </w:rPr>
        <w:t>:</w:t>
      </w:r>
    </w:p>
    <w:p w14:paraId="188B3072" w14:textId="77777777" w:rsidR="00482A5F" w:rsidRPr="004068F6" w:rsidRDefault="00482A5F" w:rsidP="00482A5F">
      <w:pPr>
        <w:numPr>
          <w:ilvl w:val="12"/>
          <w:numId w:val="0"/>
        </w:numPr>
        <w:tabs>
          <w:tab w:val="left" w:pos="-2268"/>
        </w:tabs>
        <w:suppressAutoHyphens/>
        <w:rPr>
          <w:rFonts w:cs="Arial"/>
          <w:spacing w:val="-3"/>
        </w:rPr>
      </w:pPr>
    </w:p>
    <w:p w14:paraId="2ECE35F8" w14:textId="4110552C" w:rsidR="00482A5F" w:rsidRPr="004068F6" w:rsidRDefault="00482A5F" w:rsidP="00EA18D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 xml:space="preserve">Entrevistar personas con más de 5 años habitando el área </w:t>
      </w:r>
      <w:r w:rsidR="0095734D" w:rsidRPr="004068F6">
        <w:rPr>
          <w:rFonts w:cs="Arial"/>
          <w:spacing w:val="-3"/>
          <w:lang w:val="es-CO"/>
        </w:rPr>
        <w:t>objeto de análisis</w:t>
      </w:r>
      <w:r w:rsidR="007D4003" w:rsidRPr="004068F6">
        <w:rPr>
          <w:rFonts w:cs="Arial"/>
          <w:spacing w:val="-3"/>
          <w:lang w:val="es-CO"/>
        </w:rPr>
        <w:t>.</w:t>
      </w:r>
    </w:p>
    <w:p w14:paraId="71EA8F40" w14:textId="77777777" w:rsidR="00EA18D5" w:rsidRPr="004068F6" w:rsidRDefault="00EA18D5" w:rsidP="00C86DA5">
      <w:pPr>
        <w:tabs>
          <w:tab w:val="left" w:pos="-2268"/>
        </w:tabs>
        <w:suppressAutoHyphens/>
        <w:rPr>
          <w:rFonts w:cs="Arial"/>
          <w:spacing w:val="-3"/>
        </w:rPr>
      </w:pPr>
    </w:p>
    <w:p w14:paraId="37F9398B" w14:textId="17A13F8F" w:rsidR="00482A5F" w:rsidRPr="004068F6" w:rsidRDefault="006B6009" w:rsidP="00EA18D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E</w:t>
      </w:r>
      <w:r w:rsidR="00482A5F" w:rsidRPr="004068F6">
        <w:rPr>
          <w:rFonts w:cs="Arial"/>
          <w:spacing w:val="-3"/>
          <w:lang w:val="es-CO"/>
        </w:rPr>
        <w:t>ntrevistar personas que frecuenten las zonas naturales.</w:t>
      </w:r>
    </w:p>
    <w:p w14:paraId="10358FE7" w14:textId="77777777" w:rsidR="00EA18D5" w:rsidRPr="004068F6" w:rsidRDefault="00EA18D5" w:rsidP="00C86DA5">
      <w:pPr>
        <w:tabs>
          <w:tab w:val="left" w:pos="-2268"/>
        </w:tabs>
        <w:suppressAutoHyphens/>
        <w:rPr>
          <w:rFonts w:cs="Arial"/>
          <w:spacing w:val="-3"/>
        </w:rPr>
      </w:pPr>
    </w:p>
    <w:p w14:paraId="6F216A27" w14:textId="20100FF7" w:rsidR="00482A5F" w:rsidRPr="004068F6" w:rsidRDefault="00482A5F" w:rsidP="00EA18D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 xml:space="preserve">Aplicar el método </w:t>
      </w:r>
      <w:r w:rsidRPr="004068F6">
        <w:rPr>
          <w:rFonts w:cs="Arial"/>
          <w:i/>
          <w:iCs/>
          <w:spacing w:val="-3"/>
          <w:lang w:val="es-CO"/>
        </w:rPr>
        <w:t>bola de nieve</w:t>
      </w:r>
      <w:r w:rsidRPr="004068F6">
        <w:rPr>
          <w:rFonts w:cs="Arial"/>
          <w:spacing w:val="-3"/>
          <w:lang w:val="es-CO"/>
        </w:rPr>
        <w:t xml:space="preserve">, </w:t>
      </w:r>
      <w:r w:rsidR="00B35DC4" w:rsidRPr="004068F6">
        <w:rPr>
          <w:rFonts w:cs="Arial"/>
          <w:spacing w:val="-3"/>
          <w:lang w:val="es-CO"/>
        </w:rPr>
        <w:t>en el que una</w:t>
      </w:r>
      <w:r w:rsidRPr="004068F6">
        <w:rPr>
          <w:rFonts w:cs="Arial"/>
          <w:spacing w:val="-3"/>
          <w:lang w:val="es-CO"/>
        </w:rPr>
        <w:t xml:space="preserve"> persona entrevistada refiere otras personas que cumplan con las dos condiciones anteriormente mencionadas.</w:t>
      </w:r>
    </w:p>
    <w:p w14:paraId="16084CDE" w14:textId="77777777" w:rsidR="00EA18D5" w:rsidRPr="004068F6" w:rsidRDefault="00EA18D5" w:rsidP="00C86DA5">
      <w:pPr>
        <w:tabs>
          <w:tab w:val="left" w:pos="-2268"/>
        </w:tabs>
        <w:suppressAutoHyphens/>
        <w:rPr>
          <w:rFonts w:cs="Arial"/>
          <w:spacing w:val="-3"/>
        </w:rPr>
      </w:pPr>
    </w:p>
    <w:p w14:paraId="6FF24025" w14:textId="77777777" w:rsidR="00482A5F" w:rsidRPr="004068F6" w:rsidRDefault="00482A5F" w:rsidP="00EA18D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Registrar las coordenadas del sitio donde se realizó la entrevista.</w:t>
      </w:r>
    </w:p>
    <w:p w14:paraId="2E2E44AF" w14:textId="77777777" w:rsidR="00EA18D5" w:rsidRPr="004068F6" w:rsidRDefault="00EA18D5" w:rsidP="00C86DA5">
      <w:pPr>
        <w:tabs>
          <w:tab w:val="left" w:pos="-2268"/>
        </w:tabs>
        <w:suppressAutoHyphens/>
        <w:rPr>
          <w:rFonts w:cs="Arial"/>
          <w:spacing w:val="-3"/>
        </w:rPr>
      </w:pPr>
    </w:p>
    <w:p w14:paraId="3B93AD86" w14:textId="40D38C72" w:rsidR="00482A5F" w:rsidRPr="004068F6" w:rsidRDefault="00482A5F" w:rsidP="00EA18D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 xml:space="preserve">Localizar cartográficamente la ubicación </w:t>
      </w:r>
      <w:r w:rsidR="004171A4" w:rsidRPr="004068F6">
        <w:rPr>
          <w:rFonts w:cs="Arial"/>
          <w:spacing w:val="-3"/>
          <w:lang w:val="es-CO"/>
        </w:rPr>
        <w:t xml:space="preserve">de </w:t>
      </w:r>
      <w:r w:rsidRPr="004068F6">
        <w:rPr>
          <w:rFonts w:cs="Arial"/>
          <w:spacing w:val="-3"/>
          <w:lang w:val="es-CO"/>
        </w:rPr>
        <w:t>los sitios de avistamiento referenciados por los entrevistados.</w:t>
      </w:r>
      <w:r w:rsidR="0003022D" w:rsidRPr="004068F6">
        <w:rPr>
          <w:rFonts w:cs="Arial"/>
          <w:spacing w:val="-3"/>
          <w:lang w:val="es-CO"/>
        </w:rPr>
        <w:t xml:space="preserve"> Para </w:t>
      </w:r>
      <w:r w:rsidR="00B35DC4" w:rsidRPr="004068F6">
        <w:rPr>
          <w:rFonts w:cs="Arial"/>
          <w:spacing w:val="-3"/>
          <w:lang w:val="es-CO"/>
        </w:rPr>
        <w:t>ello</w:t>
      </w:r>
      <w:r w:rsidR="0003022D" w:rsidRPr="004068F6">
        <w:rPr>
          <w:rFonts w:cs="Arial"/>
          <w:spacing w:val="-3"/>
          <w:lang w:val="es-CO"/>
        </w:rPr>
        <w:t xml:space="preserve">, </w:t>
      </w:r>
      <w:r w:rsidR="004171A4" w:rsidRPr="004068F6">
        <w:rPr>
          <w:rFonts w:cs="Arial"/>
          <w:spacing w:val="-3"/>
          <w:lang w:val="es-CO"/>
        </w:rPr>
        <w:t xml:space="preserve">se </w:t>
      </w:r>
      <w:r w:rsidR="0003022D" w:rsidRPr="004068F6">
        <w:rPr>
          <w:rFonts w:cs="Arial"/>
          <w:spacing w:val="-3"/>
          <w:lang w:val="es-CO"/>
        </w:rPr>
        <w:t>debe</w:t>
      </w:r>
      <w:r w:rsidR="00B35DC4" w:rsidRPr="004068F6">
        <w:rPr>
          <w:rFonts w:cs="Arial"/>
          <w:spacing w:val="-3"/>
          <w:lang w:val="es-CO"/>
        </w:rPr>
        <w:t>n</w:t>
      </w:r>
      <w:r w:rsidR="0003022D" w:rsidRPr="004068F6">
        <w:rPr>
          <w:rFonts w:cs="Arial"/>
          <w:spacing w:val="-3"/>
          <w:lang w:val="es-CO"/>
        </w:rPr>
        <w:t xml:space="preserve"> </w:t>
      </w:r>
      <w:r w:rsidR="00B35DC4" w:rsidRPr="004068F6">
        <w:rPr>
          <w:rFonts w:cs="Arial"/>
          <w:spacing w:val="-3"/>
          <w:lang w:val="es-CO"/>
        </w:rPr>
        <w:t xml:space="preserve">emplear </w:t>
      </w:r>
      <w:r w:rsidR="0003022D" w:rsidRPr="004068F6">
        <w:rPr>
          <w:rFonts w:cs="Arial"/>
          <w:spacing w:val="-3"/>
          <w:lang w:val="es-CO"/>
        </w:rPr>
        <w:t xml:space="preserve">herramientas que </w:t>
      </w:r>
      <w:r w:rsidR="00946AF1" w:rsidRPr="004068F6">
        <w:rPr>
          <w:rFonts w:cs="Arial"/>
          <w:spacing w:val="-3"/>
          <w:lang w:val="es-CO"/>
        </w:rPr>
        <w:t xml:space="preserve">permitan que el </w:t>
      </w:r>
      <w:r w:rsidR="0003022D" w:rsidRPr="004068F6">
        <w:rPr>
          <w:rFonts w:cs="Arial"/>
          <w:spacing w:val="-3"/>
          <w:lang w:val="es-CO"/>
        </w:rPr>
        <w:t xml:space="preserve">entrevistado </w:t>
      </w:r>
      <w:r w:rsidR="00946AF1" w:rsidRPr="004068F6">
        <w:rPr>
          <w:rFonts w:cs="Arial"/>
          <w:spacing w:val="-3"/>
          <w:lang w:val="es-CO"/>
        </w:rPr>
        <w:t xml:space="preserve">ubique fácilmente los puntos de observación de fauna, </w:t>
      </w:r>
      <w:r w:rsidR="00533444" w:rsidRPr="004068F6">
        <w:rPr>
          <w:rFonts w:cs="Arial"/>
          <w:spacing w:val="-3"/>
          <w:lang w:val="es-CO"/>
        </w:rPr>
        <w:t>por ejemplo,</w:t>
      </w:r>
      <w:r w:rsidR="00946AF1" w:rsidRPr="004068F6">
        <w:rPr>
          <w:rFonts w:cs="Arial"/>
          <w:spacing w:val="-3"/>
          <w:lang w:val="es-CO"/>
        </w:rPr>
        <w:t xml:space="preserve"> mapas que señalen </w:t>
      </w:r>
      <w:r w:rsidR="00B35DC4" w:rsidRPr="004068F6">
        <w:rPr>
          <w:rFonts w:cs="Arial"/>
          <w:spacing w:val="-3"/>
          <w:lang w:val="es-CO"/>
        </w:rPr>
        <w:t xml:space="preserve">claramente </w:t>
      </w:r>
      <w:r w:rsidR="0003022D" w:rsidRPr="004068F6">
        <w:rPr>
          <w:rFonts w:cs="Arial"/>
          <w:spacing w:val="-3"/>
          <w:lang w:val="es-CO"/>
        </w:rPr>
        <w:t xml:space="preserve">elementos </w:t>
      </w:r>
      <w:r w:rsidR="00B35DC4" w:rsidRPr="004068F6">
        <w:rPr>
          <w:rFonts w:cs="Arial"/>
          <w:spacing w:val="-3"/>
          <w:lang w:val="es-CO"/>
        </w:rPr>
        <w:t>d</w:t>
      </w:r>
      <w:r w:rsidR="0003022D" w:rsidRPr="004068F6">
        <w:rPr>
          <w:rFonts w:cs="Arial"/>
          <w:spacing w:val="-3"/>
          <w:lang w:val="es-CO"/>
        </w:rPr>
        <w:t xml:space="preserve">el paisaje como cerros, colinas, cuevas, ríos, </w:t>
      </w:r>
      <w:r w:rsidR="00533444" w:rsidRPr="004068F6">
        <w:rPr>
          <w:rFonts w:cs="Arial"/>
          <w:spacing w:val="-3"/>
          <w:lang w:val="es-CO"/>
        </w:rPr>
        <w:t xml:space="preserve">o </w:t>
      </w:r>
      <w:r w:rsidR="00946AF1" w:rsidRPr="004068F6">
        <w:rPr>
          <w:rFonts w:cs="Arial"/>
          <w:spacing w:val="-3"/>
          <w:lang w:val="es-CO"/>
        </w:rPr>
        <w:t>sitios</w:t>
      </w:r>
      <w:r w:rsidR="00533444" w:rsidRPr="004068F6">
        <w:rPr>
          <w:rFonts w:cs="Arial"/>
          <w:spacing w:val="-3"/>
          <w:lang w:val="es-CO"/>
        </w:rPr>
        <w:t xml:space="preserve"> reconocidos</w:t>
      </w:r>
      <w:r w:rsidR="0003022D" w:rsidRPr="004068F6">
        <w:rPr>
          <w:rFonts w:cs="Arial"/>
          <w:spacing w:val="-3"/>
          <w:lang w:val="es-CO"/>
        </w:rPr>
        <w:t>.</w:t>
      </w:r>
    </w:p>
    <w:p w14:paraId="4CAC0D5D" w14:textId="77777777" w:rsidR="00EA18D5" w:rsidRPr="004068F6" w:rsidRDefault="00EA18D5" w:rsidP="00C86DA5">
      <w:pPr>
        <w:tabs>
          <w:tab w:val="left" w:pos="-2268"/>
        </w:tabs>
        <w:suppressAutoHyphens/>
        <w:rPr>
          <w:rFonts w:cs="Arial"/>
          <w:spacing w:val="-3"/>
        </w:rPr>
      </w:pPr>
    </w:p>
    <w:p w14:paraId="2B74BEAE" w14:textId="6C478C6A" w:rsidR="00482A5F" w:rsidRPr="004068F6" w:rsidRDefault="000B5E58" w:rsidP="00EA18D5">
      <w:pPr>
        <w:pStyle w:val="Prrafodelista"/>
        <w:numPr>
          <w:ilvl w:val="0"/>
          <w:numId w:val="83"/>
        </w:numPr>
        <w:tabs>
          <w:tab w:val="left" w:pos="-2268"/>
        </w:tabs>
        <w:suppressAutoHyphens/>
        <w:ind w:left="567" w:hanging="567"/>
        <w:rPr>
          <w:rFonts w:cs="Arial"/>
          <w:spacing w:val="-3"/>
          <w:lang w:val="es-CO"/>
        </w:rPr>
      </w:pPr>
      <w:r w:rsidRPr="004068F6">
        <w:rPr>
          <w:rFonts w:cs="Arial"/>
          <w:spacing w:val="-3"/>
          <w:lang w:val="es-CO"/>
        </w:rPr>
        <w:t>Apoyar el desarrollo de l</w:t>
      </w:r>
      <w:r w:rsidR="00482A5F" w:rsidRPr="004068F6">
        <w:rPr>
          <w:rFonts w:cs="Arial"/>
          <w:spacing w:val="-3"/>
          <w:lang w:val="es-CO"/>
        </w:rPr>
        <w:t xml:space="preserve">as entrevistas </w:t>
      </w:r>
      <w:r w:rsidRPr="004068F6">
        <w:rPr>
          <w:rFonts w:cs="Arial"/>
          <w:spacing w:val="-3"/>
          <w:lang w:val="es-CO"/>
        </w:rPr>
        <w:t xml:space="preserve">en el </w:t>
      </w:r>
      <w:r w:rsidR="00482A5F" w:rsidRPr="004068F6">
        <w:rPr>
          <w:rFonts w:cs="Arial"/>
          <w:spacing w:val="-3"/>
          <w:lang w:val="es-CO"/>
        </w:rPr>
        <w:t>lista</w:t>
      </w:r>
      <w:r w:rsidRPr="004068F6">
        <w:rPr>
          <w:rFonts w:cs="Arial"/>
          <w:spacing w:val="-3"/>
          <w:lang w:val="es-CO"/>
        </w:rPr>
        <w:t>do</w:t>
      </w:r>
      <w:r w:rsidR="00482A5F" w:rsidRPr="004068F6">
        <w:rPr>
          <w:rFonts w:cs="Arial"/>
          <w:spacing w:val="-3"/>
          <w:lang w:val="es-CO"/>
        </w:rPr>
        <w:t xml:space="preserve"> de especies que potencialmente se encuentran en el área </w:t>
      </w:r>
      <w:r w:rsidR="00EE58F3" w:rsidRPr="004068F6">
        <w:rPr>
          <w:rFonts w:cs="Arial"/>
          <w:spacing w:val="-3"/>
          <w:lang w:val="es-CO"/>
        </w:rPr>
        <w:t>objeto de análisis</w:t>
      </w:r>
      <w:r w:rsidR="00482A5F" w:rsidRPr="004068F6">
        <w:rPr>
          <w:rFonts w:cs="Arial"/>
          <w:spacing w:val="-3"/>
          <w:lang w:val="es-CO"/>
        </w:rPr>
        <w:t>.</w:t>
      </w:r>
    </w:p>
    <w:p w14:paraId="38C3DA40" w14:textId="77777777" w:rsidR="00482A5F" w:rsidRPr="004068F6" w:rsidRDefault="00482A5F" w:rsidP="00482A5F">
      <w:pPr>
        <w:numPr>
          <w:ilvl w:val="12"/>
          <w:numId w:val="0"/>
        </w:numPr>
        <w:tabs>
          <w:tab w:val="left" w:pos="-2268"/>
        </w:tabs>
        <w:suppressAutoHyphens/>
        <w:rPr>
          <w:rFonts w:cs="Arial"/>
          <w:spacing w:val="-3"/>
        </w:rPr>
      </w:pPr>
    </w:p>
    <w:p w14:paraId="4C989633" w14:textId="63E1EDF4" w:rsidR="00482A5F" w:rsidRPr="004068F6" w:rsidRDefault="00482A5F">
      <w:pPr>
        <w:tabs>
          <w:tab w:val="left" w:pos="-2268"/>
        </w:tabs>
        <w:suppressAutoHyphens/>
        <w:rPr>
          <w:rFonts w:cs="Arial"/>
          <w:spacing w:val="-3"/>
          <w:u w:val="single"/>
        </w:rPr>
      </w:pPr>
      <w:r w:rsidRPr="004068F6">
        <w:rPr>
          <w:spacing w:val="-3"/>
          <w:u w:val="single"/>
        </w:rPr>
        <w:t xml:space="preserve">Fase de </w:t>
      </w:r>
      <w:r w:rsidR="00D46B90" w:rsidRPr="004068F6">
        <w:rPr>
          <w:spacing w:val="-3"/>
          <w:u w:val="single"/>
        </w:rPr>
        <w:t>campo</w:t>
      </w:r>
      <w:r w:rsidRPr="004068F6">
        <w:rPr>
          <w:spacing w:val="-3"/>
          <w:u w:val="single"/>
        </w:rPr>
        <w:t>:</w:t>
      </w:r>
    </w:p>
    <w:p w14:paraId="14C71146" w14:textId="77777777" w:rsidR="00482A5F" w:rsidRPr="004068F6" w:rsidRDefault="00482A5F">
      <w:pPr>
        <w:numPr>
          <w:ilvl w:val="12"/>
          <w:numId w:val="0"/>
        </w:numPr>
        <w:tabs>
          <w:tab w:val="left" w:pos="-2268"/>
        </w:tabs>
        <w:suppressAutoHyphens/>
        <w:rPr>
          <w:spacing w:val="-3"/>
        </w:rPr>
      </w:pPr>
    </w:p>
    <w:p w14:paraId="33EE6FBD" w14:textId="6B44B25F" w:rsidR="00482A5F" w:rsidRPr="004068F6" w:rsidRDefault="00C33ED0">
      <w:pPr>
        <w:numPr>
          <w:ilvl w:val="12"/>
          <w:numId w:val="0"/>
        </w:numPr>
        <w:tabs>
          <w:tab w:val="left" w:pos="-2268"/>
        </w:tabs>
        <w:suppressAutoHyphens/>
        <w:rPr>
          <w:spacing w:val="-3"/>
        </w:rPr>
      </w:pPr>
      <w:r w:rsidRPr="004068F6">
        <w:rPr>
          <w:spacing w:val="-3"/>
        </w:rPr>
        <w:t>S</w:t>
      </w:r>
      <w:r w:rsidR="00482A5F" w:rsidRPr="004068F6">
        <w:rPr>
          <w:spacing w:val="-3"/>
        </w:rPr>
        <w:t xml:space="preserve">e debe plantear un diseño muestral </w:t>
      </w:r>
      <w:r w:rsidR="00482A5F" w:rsidRPr="004068F6">
        <w:rPr>
          <w:rFonts w:cs="Arial"/>
          <w:spacing w:val="-3"/>
        </w:rPr>
        <w:t xml:space="preserve">para cada uno de los grupos biológicos </w:t>
      </w:r>
      <w:r w:rsidR="00737EC6" w:rsidRPr="004068F6">
        <w:rPr>
          <w:rFonts w:cs="Arial"/>
          <w:spacing w:val="-3"/>
        </w:rPr>
        <w:t>objeto de caracterización</w:t>
      </w:r>
      <w:r w:rsidR="00482A5F" w:rsidRPr="004068F6">
        <w:rPr>
          <w:rFonts w:cs="Arial"/>
          <w:spacing w:val="-3"/>
        </w:rPr>
        <w:t xml:space="preserve"> </w:t>
      </w:r>
      <w:r w:rsidR="00737EC6" w:rsidRPr="004068F6">
        <w:rPr>
          <w:rFonts w:cs="Arial"/>
          <w:spacing w:val="-3"/>
        </w:rPr>
        <w:t xml:space="preserve">que </w:t>
      </w:r>
      <w:r w:rsidR="00482A5F" w:rsidRPr="004068F6">
        <w:rPr>
          <w:rFonts w:cs="Arial"/>
          <w:spacing w:val="-3"/>
        </w:rPr>
        <w:t>garanti</w:t>
      </w:r>
      <w:r w:rsidR="00737EC6" w:rsidRPr="004068F6">
        <w:rPr>
          <w:rFonts w:cs="Arial"/>
          <w:spacing w:val="-3"/>
        </w:rPr>
        <w:t xml:space="preserve">ce </w:t>
      </w:r>
      <w:r w:rsidR="00482A5F" w:rsidRPr="004068F6">
        <w:rPr>
          <w:spacing w:val="-3"/>
        </w:rPr>
        <w:t xml:space="preserve">la recolección de </w:t>
      </w:r>
      <w:r w:rsidR="00737EC6" w:rsidRPr="004068F6">
        <w:rPr>
          <w:spacing w:val="-3"/>
        </w:rPr>
        <w:t xml:space="preserve">datos y obtención de </w:t>
      </w:r>
      <w:r w:rsidR="00482A5F" w:rsidRPr="004068F6">
        <w:rPr>
          <w:spacing w:val="-3"/>
        </w:rPr>
        <w:t xml:space="preserve">información representativa </w:t>
      </w:r>
      <w:r w:rsidR="00737EC6" w:rsidRPr="004068F6">
        <w:rPr>
          <w:rFonts w:cs="Arial"/>
          <w:spacing w:val="-3"/>
        </w:rPr>
        <w:t xml:space="preserve">para </w:t>
      </w:r>
      <w:r w:rsidR="00482A5F" w:rsidRPr="004068F6">
        <w:rPr>
          <w:spacing w:val="-3"/>
        </w:rPr>
        <w:t xml:space="preserve">cada </w:t>
      </w:r>
      <w:r w:rsidR="00331715" w:rsidRPr="004068F6">
        <w:rPr>
          <w:spacing w:val="-3"/>
        </w:rPr>
        <w:t>ecosistema</w:t>
      </w:r>
      <w:r w:rsidR="00737EC6" w:rsidRPr="004068F6">
        <w:rPr>
          <w:spacing w:val="-3"/>
        </w:rPr>
        <w:t>.</w:t>
      </w:r>
    </w:p>
    <w:p w14:paraId="5D41802C" w14:textId="77777777" w:rsidR="00482A5F" w:rsidRPr="004068F6" w:rsidRDefault="00482A5F">
      <w:pPr>
        <w:numPr>
          <w:ilvl w:val="12"/>
          <w:numId w:val="0"/>
        </w:numPr>
        <w:tabs>
          <w:tab w:val="left" w:pos="-2268"/>
        </w:tabs>
        <w:suppressAutoHyphens/>
        <w:rPr>
          <w:spacing w:val="-3"/>
        </w:rPr>
      </w:pPr>
    </w:p>
    <w:p w14:paraId="34DF0202" w14:textId="5E842930" w:rsidR="00482A5F" w:rsidRPr="004068F6" w:rsidRDefault="00737EC6">
      <w:pPr>
        <w:numPr>
          <w:ilvl w:val="12"/>
          <w:numId w:val="0"/>
        </w:numPr>
        <w:tabs>
          <w:tab w:val="left" w:pos="-2268"/>
        </w:tabs>
        <w:suppressAutoHyphens/>
        <w:rPr>
          <w:spacing w:val="-3"/>
        </w:rPr>
      </w:pPr>
      <w:r w:rsidRPr="004068F6">
        <w:rPr>
          <w:spacing w:val="-3"/>
        </w:rPr>
        <w:t xml:space="preserve">El desarrollo del muestreo que se formule debe ejecutarse mediante </w:t>
      </w:r>
      <w:r w:rsidR="00482A5F" w:rsidRPr="004068F6">
        <w:rPr>
          <w:spacing w:val="-3"/>
        </w:rPr>
        <w:t xml:space="preserve">métodos para el estudio de la fauna </w:t>
      </w:r>
      <w:r w:rsidRPr="004068F6">
        <w:rPr>
          <w:spacing w:val="-3"/>
        </w:rPr>
        <w:t>como los que se mencionan a continuación</w:t>
      </w:r>
      <w:r w:rsidR="00482A5F" w:rsidRPr="004068F6">
        <w:rPr>
          <w:spacing w:val="-3"/>
        </w:rPr>
        <w:t>:</w:t>
      </w:r>
    </w:p>
    <w:p w14:paraId="6A5CE163" w14:textId="77777777" w:rsidR="00482A5F" w:rsidRPr="004068F6" w:rsidRDefault="00482A5F">
      <w:pPr>
        <w:numPr>
          <w:ilvl w:val="12"/>
          <w:numId w:val="0"/>
        </w:numPr>
        <w:tabs>
          <w:tab w:val="left" w:pos="-2268"/>
        </w:tabs>
        <w:suppressAutoHyphens/>
        <w:rPr>
          <w:spacing w:val="-3"/>
        </w:rPr>
      </w:pPr>
    </w:p>
    <w:p w14:paraId="6F01FC87" w14:textId="4D29C183" w:rsidR="00C33ED0" w:rsidRPr="004068F6" w:rsidRDefault="00482A5F" w:rsidP="00977C86">
      <w:pPr>
        <w:pStyle w:val="Prrafodelista"/>
        <w:numPr>
          <w:ilvl w:val="0"/>
          <w:numId w:val="83"/>
        </w:numPr>
        <w:tabs>
          <w:tab w:val="left" w:pos="-2268"/>
        </w:tabs>
        <w:suppressAutoHyphens/>
        <w:ind w:left="567" w:hanging="567"/>
        <w:rPr>
          <w:rFonts w:cs="Arial"/>
          <w:spacing w:val="-3"/>
          <w:lang w:val="es-CO"/>
        </w:rPr>
      </w:pPr>
      <w:r w:rsidRPr="004068F6">
        <w:rPr>
          <w:spacing w:val="-3"/>
          <w:lang w:val="es-CO"/>
        </w:rPr>
        <w:t>Herpetofauna:</w:t>
      </w:r>
      <w:r w:rsidRPr="004068F6">
        <w:rPr>
          <w:rFonts w:cs="Arial"/>
          <w:spacing w:val="-3"/>
          <w:lang w:val="es-CO"/>
        </w:rPr>
        <w:t xml:space="preserve"> </w:t>
      </w:r>
      <w:r w:rsidR="00373736" w:rsidRPr="004068F6">
        <w:rPr>
          <w:rFonts w:cs="Arial"/>
          <w:spacing w:val="-3"/>
          <w:lang w:val="es-CO"/>
        </w:rPr>
        <w:t>p</w:t>
      </w:r>
      <w:r w:rsidRPr="004068F6">
        <w:rPr>
          <w:rFonts w:cs="Arial"/>
          <w:spacing w:val="-3"/>
          <w:lang w:val="es-CO"/>
        </w:rPr>
        <w:t xml:space="preserve">ara los muestreos de este grupo </w:t>
      </w:r>
      <w:r w:rsidR="00C33ED0" w:rsidRPr="004068F6">
        <w:rPr>
          <w:rFonts w:cs="Arial"/>
          <w:spacing w:val="-3"/>
          <w:lang w:val="es-CO"/>
        </w:rPr>
        <w:t>es posible hacer uso de métodos de muestr</w:t>
      </w:r>
      <w:r w:rsidR="00485A81" w:rsidRPr="004068F6">
        <w:rPr>
          <w:rFonts w:cs="Arial"/>
          <w:spacing w:val="-3"/>
          <w:lang w:val="es-CO"/>
        </w:rPr>
        <w:t>e</w:t>
      </w:r>
      <w:r w:rsidR="00C33ED0" w:rsidRPr="004068F6">
        <w:rPr>
          <w:rFonts w:cs="Arial"/>
          <w:spacing w:val="-3"/>
          <w:lang w:val="es-CO"/>
        </w:rPr>
        <w:t>o activo, de muestr</w:t>
      </w:r>
      <w:r w:rsidR="00485A81" w:rsidRPr="004068F6">
        <w:rPr>
          <w:rFonts w:cs="Arial"/>
          <w:spacing w:val="-3"/>
          <w:lang w:val="es-CO"/>
        </w:rPr>
        <w:t>e</w:t>
      </w:r>
      <w:r w:rsidR="00C33ED0" w:rsidRPr="004068F6">
        <w:rPr>
          <w:rFonts w:cs="Arial"/>
          <w:spacing w:val="-3"/>
          <w:lang w:val="es-CO"/>
        </w:rPr>
        <w:t>o pasivo y de combinación</w:t>
      </w:r>
      <w:r w:rsidR="00D64AF8" w:rsidRPr="004068F6">
        <w:rPr>
          <w:rFonts w:cs="Arial"/>
          <w:spacing w:val="-3"/>
          <w:lang w:val="es-CO"/>
        </w:rPr>
        <w:t xml:space="preserve"> de éstos</w:t>
      </w:r>
      <w:r w:rsidR="00C33ED0" w:rsidRPr="004068F6">
        <w:rPr>
          <w:rFonts w:cs="Arial"/>
          <w:spacing w:val="-3"/>
          <w:lang w:val="es-CO"/>
        </w:rPr>
        <w:t>, por ejemplo:</w:t>
      </w:r>
    </w:p>
    <w:p w14:paraId="4E3FC5D4" w14:textId="77777777" w:rsidR="00C33ED0" w:rsidRPr="004068F6" w:rsidRDefault="00C33ED0" w:rsidP="009420F5">
      <w:pPr>
        <w:tabs>
          <w:tab w:val="left" w:pos="-2268"/>
        </w:tabs>
        <w:suppressAutoHyphens/>
        <w:rPr>
          <w:rFonts w:cs="Arial"/>
          <w:spacing w:val="-3"/>
        </w:rPr>
      </w:pPr>
    </w:p>
    <w:p w14:paraId="013958AB" w14:textId="63BE2CCD" w:rsidR="00482A5F" w:rsidRPr="004068F6" w:rsidRDefault="00482A5F" w:rsidP="008A4FE9">
      <w:pPr>
        <w:pStyle w:val="Prrafodelista"/>
        <w:numPr>
          <w:ilvl w:val="0"/>
          <w:numId w:val="84"/>
        </w:numPr>
        <w:tabs>
          <w:tab w:val="left" w:pos="-2268"/>
        </w:tabs>
        <w:suppressAutoHyphens/>
        <w:ind w:left="1134" w:hanging="567"/>
        <w:rPr>
          <w:rFonts w:cs="Arial"/>
          <w:spacing w:val="-3"/>
          <w:lang w:val="es-CO"/>
        </w:rPr>
      </w:pPr>
      <w:r w:rsidRPr="004068F6">
        <w:rPr>
          <w:rFonts w:cs="Arial"/>
          <w:spacing w:val="-3"/>
          <w:u w:val="single"/>
          <w:lang w:val="es-CO"/>
        </w:rPr>
        <w:t xml:space="preserve">Inspección por encuentro visual (VES </w:t>
      </w:r>
      <w:r w:rsidR="00FB190E" w:rsidRPr="004068F6">
        <w:rPr>
          <w:rFonts w:cs="Arial"/>
          <w:spacing w:val="-3"/>
          <w:u w:val="single"/>
          <w:lang w:val="es-CO"/>
        </w:rPr>
        <w:t>por sus siglas en inglés</w:t>
      </w:r>
      <w:r w:rsidRPr="004068F6">
        <w:rPr>
          <w:rFonts w:cs="Arial"/>
          <w:spacing w:val="-3"/>
          <w:u w:val="single"/>
          <w:lang w:val="es-CO"/>
        </w:rPr>
        <w:t>)</w:t>
      </w:r>
      <w:r w:rsidR="00C33ED0" w:rsidRPr="004068F6">
        <w:rPr>
          <w:rFonts w:cs="Arial"/>
          <w:spacing w:val="-3"/>
          <w:u w:val="single"/>
          <w:lang w:val="es-CO"/>
        </w:rPr>
        <w:t>:</w:t>
      </w:r>
      <w:r w:rsidRPr="004068F6">
        <w:rPr>
          <w:rFonts w:cs="Arial"/>
          <w:spacing w:val="-3"/>
          <w:lang w:val="es-CO"/>
        </w:rPr>
        <w:t xml:space="preserve"> consiste en realizar inspecciones y recorridos por un área determinada en búsqueda de individuos, los cuales generalmente se enc</w:t>
      </w:r>
      <w:r w:rsidR="00D64AF8" w:rsidRPr="004068F6">
        <w:rPr>
          <w:rFonts w:cs="Arial"/>
          <w:spacing w:val="-3"/>
          <w:lang w:val="es-CO"/>
        </w:rPr>
        <w:t xml:space="preserve">uentran </w:t>
      </w:r>
      <w:r w:rsidRPr="004068F6">
        <w:rPr>
          <w:rFonts w:cs="Arial"/>
          <w:spacing w:val="-3"/>
          <w:lang w:val="es-CO"/>
        </w:rPr>
        <w:t>en lugares de interés como charcos, cuerpos de agua, zanjas, bajo troncos y piedras.</w:t>
      </w:r>
      <w:r w:rsidR="00317369" w:rsidRPr="004068F6">
        <w:rPr>
          <w:rFonts w:cs="Arial"/>
          <w:spacing w:val="-3"/>
          <w:lang w:val="es-CO"/>
        </w:rPr>
        <w:t xml:space="preserve"> </w:t>
      </w:r>
      <w:r w:rsidRPr="004068F6">
        <w:rPr>
          <w:rFonts w:cs="Arial"/>
          <w:spacing w:val="-3"/>
          <w:lang w:val="es-CO"/>
        </w:rPr>
        <w:t>Esta recolección se hace por tiempo definido y teniendo en cuenta el diseño muestral planteado, lo cual se refleja en el número de transectos con búsqueda libre y sin restricciones</w:t>
      </w:r>
      <w:r w:rsidR="00D64AF8" w:rsidRPr="004068F6">
        <w:rPr>
          <w:rFonts w:cs="Arial"/>
          <w:spacing w:val="-3"/>
          <w:lang w:val="es-CO"/>
        </w:rPr>
        <w:t>,</w:t>
      </w:r>
      <w:r w:rsidRPr="004068F6">
        <w:rPr>
          <w:rFonts w:cs="Arial"/>
          <w:spacing w:val="-3"/>
          <w:lang w:val="es-CO"/>
        </w:rPr>
        <w:t xml:space="preserve"> los cuales deben realizarse de manera diurna y nocturna para la obtención de registros visuales o auditivos (machos adultos de anuros durante la época reproductiva); y la captura directa.</w:t>
      </w:r>
    </w:p>
    <w:p w14:paraId="1FC29205" w14:textId="77777777" w:rsidR="00C33ED0" w:rsidRPr="004068F6" w:rsidRDefault="00C33ED0" w:rsidP="00882219">
      <w:pPr>
        <w:tabs>
          <w:tab w:val="left" w:pos="-2268"/>
        </w:tabs>
        <w:suppressAutoHyphens/>
        <w:rPr>
          <w:rFonts w:cs="Arial"/>
          <w:spacing w:val="-3"/>
          <w:u w:val="single"/>
        </w:rPr>
      </w:pPr>
    </w:p>
    <w:p w14:paraId="48D72C2D" w14:textId="17091BE9" w:rsidR="00C33ED0" w:rsidRPr="004068F6" w:rsidRDefault="00C33ED0" w:rsidP="008A4FE9">
      <w:pPr>
        <w:pStyle w:val="Prrafodelista"/>
        <w:numPr>
          <w:ilvl w:val="0"/>
          <w:numId w:val="84"/>
        </w:numPr>
        <w:tabs>
          <w:tab w:val="left" w:pos="-2268"/>
        </w:tabs>
        <w:suppressAutoHyphens/>
        <w:ind w:left="1134" w:hanging="567"/>
        <w:rPr>
          <w:rFonts w:cs="Arial"/>
          <w:spacing w:val="-3"/>
          <w:lang w:val="es-CO"/>
        </w:rPr>
      </w:pPr>
      <w:r w:rsidRPr="004068F6">
        <w:rPr>
          <w:rFonts w:cs="Arial"/>
          <w:spacing w:val="-3"/>
          <w:u w:val="single"/>
          <w:lang w:val="es-CO"/>
        </w:rPr>
        <w:t>Parcelas de hojarasca:</w:t>
      </w:r>
      <w:r w:rsidRPr="004068F6">
        <w:rPr>
          <w:rFonts w:cs="Arial"/>
          <w:spacing w:val="-3"/>
          <w:lang w:val="es-CO"/>
        </w:rPr>
        <w:t xml:space="preserve"> consist</w:t>
      </w:r>
      <w:r w:rsidR="00373736" w:rsidRPr="004068F6">
        <w:rPr>
          <w:rFonts w:cs="Arial"/>
          <w:spacing w:val="-3"/>
          <w:lang w:val="es-CO"/>
        </w:rPr>
        <w:t>e</w:t>
      </w:r>
      <w:r w:rsidRPr="004068F6">
        <w:rPr>
          <w:rFonts w:cs="Arial"/>
          <w:spacing w:val="-3"/>
          <w:lang w:val="es-CO"/>
        </w:rPr>
        <w:t xml:space="preserve"> en </w:t>
      </w:r>
      <w:r w:rsidR="00317369" w:rsidRPr="004068F6">
        <w:rPr>
          <w:rFonts w:cs="Arial"/>
          <w:spacing w:val="-3"/>
          <w:lang w:val="es-CO"/>
        </w:rPr>
        <w:t xml:space="preserve">delimitar </w:t>
      </w:r>
      <w:r w:rsidRPr="004068F6">
        <w:rPr>
          <w:rFonts w:cs="Arial"/>
          <w:spacing w:val="-3"/>
          <w:lang w:val="es-CO"/>
        </w:rPr>
        <w:t xml:space="preserve">parcelas en </w:t>
      </w:r>
      <w:r w:rsidR="00373736" w:rsidRPr="004068F6">
        <w:rPr>
          <w:rFonts w:cs="Arial"/>
          <w:spacing w:val="-3"/>
          <w:lang w:val="es-CO"/>
        </w:rPr>
        <w:t>b</w:t>
      </w:r>
      <w:r w:rsidRPr="004068F6">
        <w:rPr>
          <w:rFonts w:cs="Arial"/>
          <w:spacing w:val="-3"/>
          <w:lang w:val="es-CO"/>
        </w:rPr>
        <w:t xml:space="preserve">osques y </w:t>
      </w:r>
      <w:r w:rsidR="00373736" w:rsidRPr="004068F6">
        <w:rPr>
          <w:rFonts w:cs="Arial"/>
          <w:spacing w:val="-3"/>
          <w:lang w:val="es-CO"/>
        </w:rPr>
        <w:t>v</w:t>
      </w:r>
      <w:r w:rsidRPr="004068F6">
        <w:rPr>
          <w:rFonts w:cs="Arial"/>
          <w:spacing w:val="-3"/>
          <w:lang w:val="es-CO"/>
        </w:rPr>
        <w:t>egetación secundaria, las cuales se disp</w:t>
      </w:r>
      <w:r w:rsidR="00373736" w:rsidRPr="004068F6">
        <w:rPr>
          <w:rFonts w:cs="Arial"/>
          <w:spacing w:val="-3"/>
          <w:lang w:val="es-CO"/>
        </w:rPr>
        <w:t>onen</w:t>
      </w:r>
      <w:r w:rsidRPr="004068F6">
        <w:rPr>
          <w:rFonts w:cs="Arial"/>
          <w:spacing w:val="-3"/>
          <w:lang w:val="es-CO"/>
        </w:rPr>
        <w:t xml:space="preserve"> de manera aleatoria.</w:t>
      </w:r>
      <w:r w:rsidR="0072054C" w:rsidRPr="004068F6">
        <w:rPr>
          <w:rFonts w:cs="Arial"/>
          <w:spacing w:val="-3"/>
          <w:lang w:val="es-CO"/>
        </w:rPr>
        <w:t xml:space="preserve"> </w:t>
      </w:r>
      <w:r w:rsidRPr="004068F6">
        <w:rPr>
          <w:rFonts w:cs="Arial"/>
          <w:spacing w:val="-3"/>
          <w:lang w:val="es-CO"/>
        </w:rPr>
        <w:t xml:space="preserve">Dentro de </w:t>
      </w:r>
      <w:r w:rsidR="00373736" w:rsidRPr="004068F6">
        <w:rPr>
          <w:rFonts w:cs="Arial"/>
          <w:spacing w:val="-3"/>
          <w:lang w:val="es-CO"/>
        </w:rPr>
        <w:t>é</w:t>
      </w:r>
      <w:r w:rsidRPr="004068F6">
        <w:rPr>
          <w:rFonts w:cs="Arial"/>
          <w:spacing w:val="-3"/>
          <w:lang w:val="es-CO"/>
        </w:rPr>
        <w:t>stas se recoge y rem</w:t>
      </w:r>
      <w:r w:rsidR="00373736" w:rsidRPr="004068F6">
        <w:rPr>
          <w:rFonts w:cs="Arial"/>
          <w:spacing w:val="-3"/>
          <w:lang w:val="es-CO"/>
        </w:rPr>
        <w:t>ue</w:t>
      </w:r>
      <w:r w:rsidRPr="004068F6">
        <w:rPr>
          <w:rFonts w:cs="Arial"/>
          <w:spacing w:val="-3"/>
          <w:lang w:val="es-CO"/>
        </w:rPr>
        <w:t>ve lentamente toda la hojarasca</w:t>
      </w:r>
      <w:r w:rsidR="009A79E5" w:rsidRPr="004068F6">
        <w:rPr>
          <w:rFonts w:cs="Arial"/>
          <w:spacing w:val="-3"/>
          <w:lang w:val="es-CO"/>
        </w:rPr>
        <w:t>,</w:t>
      </w:r>
      <w:r w:rsidRPr="004068F6">
        <w:rPr>
          <w:rFonts w:cs="Arial"/>
          <w:spacing w:val="-3"/>
          <w:lang w:val="es-CO"/>
        </w:rPr>
        <w:t xml:space="preserve"> capturando cualquier animal que se encuentre allí.</w:t>
      </w:r>
    </w:p>
    <w:p w14:paraId="01C6886D" w14:textId="77777777" w:rsidR="00C33ED0" w:rsidRPr="004068F6" w:rsidRDefault="00C33ED0" w:rsidP="00882219">
      <w:pPr>
        <w:tabs>
          <w:tab w:val="left" w:pos="-2268"/>
        </w:tabs>
        <w:suppressAutoHyphens/>
        <w:rPr>
          <w:rFonts w:cs="Arial"/>
          <w:spacing w:val="-3"/>
          <w:u w:val="single"/>
        </w:rPr>
      </w:pPr>
    </w:p>
    <w:p w14:paraId="386C7B6A" w14:textId="00B35DC4" w:rsidR="00C33ED0" w:rsidRPr="004068F6" w:rsidRDefault="00C33ED0" w:rsidP="008A4FE9">
      <w:pPr>
        <w:pStyle w:val="Prrafodelista"/>
        <w:numPr>
          <w:ilvl w:val="0"/>
          <w:numId w:val="84"/>
        </w:numPr>
        <w:tabs>
          <w:tab w:val="left" w:pos="-2268"/>
        </w:tabs>
        <w:suppressAutoHyphens/>
        <w:ind w:left="1134" w:hanging="567"/>
        <w:rPr>
          <w:rFonts w:cs="Arial"/>
          <w:spacing w:val="-3"/>
          <w:u w:val="single"/>
          <w:lang w:val="es-CO"/>
        </w:rPr>
      </w:pPr>
      <w:r w:rsidRPr="004068F6">
        <w:rPr>
          <w:rFonts w:cs="Arial"/>
          <w:spacing w:val="-3"/>
          <w:u w:val="single"/>
          <w:lang w:val="es-CO"/>
        </w:rPr>
        <w:t xml:space="preserve">Trampas de </w:t>
      </w:r>
      <w:r w:rsidR="00EF7C82" w:rsidRPr="004068F6">
        <w:rPr>
          <w:rFonts w:cs="Arial"/>
          <w:spacing w:val="-3"/>
          <w:u w:val="single"/>
          <w:lang w:val="es-CO"/>
        </w:rPr>
        <w:t>caída</w:t>
      </w:r>
      <w:r w:rsidRPr="004068F6">
        <w:rPr>
          <w:rFonts w:cs="Arial"/>
          <w:spacing w:val="-3"/>
          <w:u w:val="single"/>
          <w:lang w:val="es-CO"/>
        </w:rPr>
        <w:t xml:space="preserve"> (</w:t>
      </w:r>
      <w:r w:rsidR="00F51869" w:rsidRPr="004068F6">
        <w:rPr>
          <w:rFonts w:cs="Arial"/>
          <w:spacing w:val="-3"/>
          <w:u w:val="single"/>
          <w:lang w:val="es-CO"/>
        </w:rPr>
        <w:t>p</w:t>
      </w:r>
      <w:r w:rsidRPr="004068F6">
        <w:rPr>
          <w:rFonts w:cs="Arial"/>
          <w:spacing w:val="-3"/>
          <w:u w:val="single"/>
          <w:lang w:val="es-CO"/>
        </w:rPr>
        <w:t>itfall):</w:t>
      </w:r>
      <w:r w:rsidRPr="004068F6">
        <w:rPr>
          <w:rFonts w:cs="Arial"/>
          <w:spacing w:val="-3"/>
          <w:lang w:val="es-CO"/>
        </w:rPr>
        <w:t xml:space="preserve"> consiste en impedir el libre tránsito de los individuos de este grupo que deambulan por un área </w:t>
      </w:r>
      <w:r w:rsidR="00317369" w:rsidRPr="004068F6">
        <w:rPr>
          <w:rFonts w:cs="Arial"/>
          <w:spacing w:val="-3"/>
          <w:lang w:val="es-CO"/>
        </w:rPr>
        <w:t xml:space="preserve">determinada mediante </w:t>
      </w:r>
      <w:r w:rsidRPr="004068F6">
        <w:rPr>
          <w:rFonts w:cs="Arial"/>
          <w:spacing w:val="-3"/>
          <w:lang w:val="es-CO"/>
        </w:rPr>
        <w:t>la construcción de una barrera física. Para la instalación de las trampas pitfall y de cilindro con vallas de desvío</w:t>
      </w:r>
      <w:r w:rsidR="00317369" w:rsidRPr="004068F6">
        <w:rPr>
          <w:rFonts w:cs="Arial"/>
          <w:spacing w:val="-3"/>
          <w:lang w:val="es-CO"/>
        </w:rPr>
        <w:t>,</w:t>
      </w:r>
      <w:r w:rsidRPr="004068F6">
        <w:rPr>
          <w:rFonts w:cs="Arial"/>
          <w:spacing w:val="-3"/>
          <w:lang w:val="es-CO"/>
        </w:rPr>
        <w:t xml:space="preserve"> se debe realizar un recorrido de exploración por </w:t>
      </w:r>
      <w:r w:rsidR="009252C9" w:rsidRPr="004068F6">
        <w:rPr>
          <w:rFonts w:cs="Arial"/>
          <w:spacing w:val="-3"/>
          <w:lang w:val="es-CO"/>
        </w:rPr>
        <w:t xml:space="preserve">la </w:t>
      </w:r>
      <w:r w:rsidRPr="004068F6">
        <w:rPr>
          <w:rFonts w:cs="Arial"/>
          <w:spacing w:val="-3"/>
          <w:lang w:val="es-CO"/>
        </w:rPr>
        <w:t>cobertura vegetal de muestreo con el fin conocer y ajustar los sitios de instalación de las trampas</w:t>
      </w:r>
      <w:r w:rsidR="00317369" w:rsidRPr="004068F6">
        <w:rPr>
          <w:rFonts w:cs="Arial"/>
          <w:spacing w:val="-3"/>
          <w:lang w:val="es-CO"/>
        </w:rPr>
        <w:t>,</w:t>
      </w:r>
      <w:r w:rsidRPr="004068F6">
        <w:rPr>
          <w:rFonts w:cs="Arial"/>
          <w:spacing w:val="-3"/>
          <w:lang w:val="es-CO"/>
        </w:rPr>
        <w:t xml:space="preserve"> ya que los arreglos de las barreras y trampas deben seguir un diseño aleatorio dentro del área de interés.</w:t>
      </w:r>
    </w:p>
    <w:p w14:paraId="34C765BB" w14:textId="77777777" w:rsidR="00C33ED0" w:rsidRPr="004068F6" w:rsidRDefault="00C33ED0" w:rsidP="00882219">
      <w:pPr>
        <w:tabs>
          <w:tab w:val="left" w:pos="-2268"/>
        </w:tabs>
        <w:suppressAutoHyphens/>
        <w:rPr>
          <w:rFonts w:cs="Arial"/>
          <w:spacing w:val="-3"/>
          <w:u w:val="single"/>
        </w:rPr>
      </w:pPr>
    </w:p>
    <w:p w14:paraId="609687B4" w14:textId="144F2D01" w:rsidR="00C33ED0" w:rsidRPr="004068F6" w:rsidRDefault="00C33ED0" w:rsidP="008A4FE9">
      <w:pPr>
        <w:pStyle w:val="Prrafodelista"/>
        <w:numPr>
          <w:ilvl w:val="0"/>
          <w:numId w:val="84"/>
        </w:numPr>
        <w:tabs>
          <w:tab w:val="left" w:pos="-2268"/>
        </w:tabs>
        <w:suppressAutoHyphens/>
        <w:ind w:left="1134" w:hanging="567"/>
        <w:rPr>
          <w:rFonts w:cs="Arial"/>
          <w:spacing w:val="-3"/>
          <w:u w:val="single"/>
          <w:lang w:val="es-CO"/>
        </w:rPr>
      </w:pPr>
      <w:r w:rsidRPr="004068F6">
        <w:rPr>
          <w:rFonts w:cs="Arial"/>
          <w:spacing w:val="-3"/>
          <w:u w:val="single"/>
          <w:lang w:val="es-CO"/>
        </w:rPr>
        <w:lastRenderedPageBreak/>
        <w:t>Trampas flotantes:</w:t>
      </w:r>
      <w:r w:rsidRPr="004068F6">
        <w:rPr>
          <w:rFonts w:cs="Arial"/>
          <w:spacing w:val="-3"/>
          <w:lang w:val="es-CO"/>
        </w:rPr>
        <w:t xml:space="preserve"> </w:t>
      </w:r>
      <w:r w:rsidR="00317369" w:rsidRPr="004068F6">
        <w:rPr>
          <w:rFonts w:cs="Arial"/>
          <w:spacing w:val="-3"/>
          <w:lang w:val="es-CO"/>
        </w:rPr>
        <w:t xml:space="preserve">consiste en disponer </w:t>
      </w:r>
      <w:r w:rsidRPr="004068F6">
        <w:rPr>
          <w:rFonts w:cs="Arial"/>
          <w:spacing w:val="-3"/>
          <w:lang w:val="es-CO"/>
        </w:rPr>
        <w:t>trampa</w:t>
      </w:r>
      <w:r w:rsidR="00317369" w:rsidRPr="004068F6">
        <w:rPr>
          <w:rFonts w:cs="Arial"/>
          <w:spacing w:val="-3"/>
          <w:lang w:val="es-CO"/>
        </w:rPr>
        <w:t>s</w:t>
      </w:r>
      <w:r w:rsidRPr="004068F6">
        <w:rPr>
          <w:rFonts w:cs="Arial"/>
          <w:spacing w:val="-3"/>
          <w:lang w:val="es-CO"/>
        </w:rPr>
        <w:t xml:space="preserve"> formada</w:t>
      </w:r>
      <w:r w:rsidR="00317369" w:rsidRPr="004068F6">
        <w:rPr>
          <w:rFonts w:cs="Arial"/>
          <w:spacing w:val="-3"/>
          <w:lang w:val="es-CO"/>
        </w:rPr>
        <w:t>s</w:t>
      </w:r>
      <w:r w:rsidRPr="004068F6">
        <w:rPr>
          <w:rFonts w:cs="Arial"/>
          <w:spacing w:val="-3"/>
          <w:lang w:val="es-CO"/>
        </w:rPr>
        <w:t xml:space="preserve"> por un cuadro flotante de 1mx1m elaborado con tubos PVC de 12cm de diámetro, el cual tiene pegada en la parte inferior una malla de máximo 15 mm de luz</w:t>
      </w:r>
      <w:r w:rsidR="00317369" w:rsidRPr="004068F6">
        <w:rPr>
          <w:rFonts w:cs="Arial"/>
          <w:spacing w:val="-3"/>
          <w:lang w:val="es-CO"/>
        </w:rPr>
        <w:t>;</w:t>
      </w:r>
      <w:r w:rsidRPr="004068F6">
        <w:rPr>
          <w:rFonts w:cs="Arial"/>
          <w:spacing w:val="-3"/>
          <w:lang w:val="es-CO"/>
        </w:rPr>
        <w:t xml:space="preserve"> </w:t>
      </w:r>
      <w:r w:rsidR="00317369" w:rsidRPr="004068F6">
        <w:rPr>
          <w:rFonts w:cs="Arial"/>
          <w:spacing w:val="-3"/>
          <w:lang w:val="es-CO"/>
        </w:rPr>
        <w:t>e</w:t>
      </w:r>
      <w:r w:rsidRPr="004068F6">
        <w:rPr>
          <w:rFonts w:cs="Arial"/>
          <w:spacing w:val="-3"/>
          <w:lang w:val="es-CO"/>
        </w:rPr>
        <w:t>n los laterales de la trampa hay dos (2) pares de tablas de 40 cm de largo a modo de rampas de acceso flotando en el agua. En total, el diseño de muestreo consist</w:t>
      </w:r>
      <w:r w:rsidR="009A79E5" w:rsidRPr="004068F6">
        <w:rPr>
          <w:rFonts w:cs="Arial"/>
          <w:spacing w:val="-3"/>
          <w:lang w:val="es-CO"/>
        </w:rPr>
        <w:t>e</w:t>
      </w:r>
      <w:r w:rsidRPr="004068F6">
        <w:rPr>
          <w:rFonts w:cs="Arial"/>
          <w:spacing w:val="-3"/>
          <w:lang w:val="es-CO"/>
        </w:rPr>
        <w:t xml:space="preserve"> en máximo 5 trampas, </w:t>
      </w:r>
      <w:r w:rsidR="00317369" w:rsidRPr="004068F6">
        <w:rPr>
          <w:rFonts w:cs="Arial"/>
          <w:spacing w:val="-3"/>
          <w:lang w:val="es-CO"/>
        </w:rPr>
        <w:t xml:space="preserve">puestas </w:t>
      </w:r>
      <w:r w:rsidRPr="004068F6">
        <w:rPr>
          <w:rFonts w:cs="Arial"/>
          <w:spacing w:val="-3"/>
          <w:lang w:val="es-CO"/>
        </w:rPr>
        <w:t>durante (5) horas en la mañana (6:00-11:00) por un día en cada cuerpo de agua a muestrear. No es necesari</w:t>
      </w:r>
      <w:r w:rsidR="00F51869" w:rsidRPr="004068F6">
        <w:rPr>
          <w:rFonts w:cs="Arial"/>
          <w:spacing w:val="-3"/>
          <w:lang w:val="es-CO"/>
        </w:rPr>
        <w:t>a</w:t>
      </w:r>
      <w:r w:rsidRPr="004068F6">
        <w:rPr>
          <w:rFonts w:cs="Arial"/>
          <w:spacing w:val="-3"/>
          <w:lang w:val="es-CO"/>
        </w:rPr>
        <w:t xml:space="preserve"> la utilización de cebos en este tipo de trampa.</w:t>
      </w:r>
    </w:p>
    <w:p w14:paraId="09E0FD41" w14:textId="77777777" w:rsidR="00C33ED0" w:rsidRPr="004068F6" w:rsidRDefault="00C33ED0" w:rsidP="00882219">
      <w:pPr>
        <w:tabs>
          <w:tab w:val="left" w:pos="-2268"/>
        </w:tabs>
        <w:suppressAutoHyphens/>
        <w:rPr>
          <w:rFonts w:cs="Arial"/>
          <w:spacing w:val="-3"/>
          <w:u w:val="single"/>
        </w:rPr>
      </w:pPr>
    </w:p>
    <w:p w14:paraId="066883E4" w14:textId="3C7E2F05" w:rsidR="00C33ED0" w:rsidRPr="00127BD4" w:rsidRDefault="00C33ED0" w:rsidP="008A4FE9">
      <w:pPr>
        <w:pStyle w:val="Prrafodelista"/>
        <w:numPr>
          <w:ilvl w:val="0"/>
          <w:numId w:val="84"/>
        </w:numPr>
        <w:tabs>
          <w:tab w:val="left" w:pos="-2268"/>
        </w:tabs>
        <w:suppressAutoHyphens/>
        <w:ind w:left="1134" w:hanging="567"/>
        <w:rPr>
          <w:rFonts w:cs="Arial"/>
          <w:spacing w:val="-3"/>
          <w:u w:val="single"/>
          <w:lang w:val="es-CO"/>
        </w:rPr>
      </w:pPr>
      <w:r w:rsidRPr="004068F6">
        <w:rPr>
          <w:rFonts w:cs="Arial"/>
          <w:spacing w:val="-3"/>
          <w:u w:val="single"/>
          <w:lang w:val="es-CO"/>
        </w:rPr>
        <w:t>Trampas de embudo:</w:t>
      </w:r>
      <w:r w:rsidRPr="004068F6">
        <w:rPr>
          <w:rFonts w:cs="Arial"/>
          <w:spacing w:val="-3"/>
          <w:lang w:val="es-CO"/>
        </w:rPr>
        <w:t xml:space="preserve"> consiste en una malla soportada por anillos de aluminio con un mecanismo de funcionamiento similar a una nasa de pescadores. Las trampas tipo embudo han sido ampliamente utilizadas para capturar anfibios terrestres y semiacuáticos, lagartos, serpientes y tortugas dulceacuícolas.</w:t>
      </w:r>
    </w:p>
    <w:p w14:paraId="30054188" w14:textId="77777777" w:rsidR="00C13104" w:rsidRPr="003007DD" w:rsidRDefault="00C13104" w:rsidP="003007DD">
      <w:pPr>
        <w:rPr>
          <w:rFonts w:cs="Arial"/>
          <w:spacing w:val="-3"/>
          <w:u w:val="single"/>
        </w:rPr>
      </w:pPr>
    </w:p>
    <w:p w14:paraId="59A6A96D" w14:textId="604CB508" w:rsidR="00C13104" w:rsidRPr="00127BD4" w:rsidRDefault="00C13104" w:rsidP="00127BD4">
      <w:pPr>
        <w:pStyle w:val="Prrafodelista"/>
        <w:numPr>
          <w:ilvl w:val="0"/>
          <w:numId w:val="84"/>
        </w:numPr>
        <w:tabs>
          <w:tab w:val="left" w:pos="-2268"/>
        </w:tabs>
        <w:suppressAutoHyphens/>
        <w:ind w:left="1134" w:hanging="567"/>
        <w:rPr>
          <w:rFonts w:cs="Arial"/>
          <w:spacing w:val="-3"/>
          <w:lang w:val="es-CO"/>
        </w:rPr>
      </w:pPr>
      <w:r w:rsidRPr="00127BD4">
        <w:rPr>
          <w:rFonts w:cs="Arial"/>
          <w:spacing w:val="-3"/>
          <w:u w:val="single"/>
          <w:lang w:val="es-CO"/>
        </w:rPr>
        <w:t>Técnicas de bioacústica pasiva y activa:</w:t>
      </w:r>
      <w:r w:rsidRPr="00127BD4">
        <w:rPr>
          <w:rFonts w:cs="Arial"/>
          <w:spacing w:val="-3"/>
          <w:lang w:val="es-CO"/>
        </w:rPr>
        <w:t xml:space="preserve"> </w:t>
      </w:r>
      <w:r w:rsidR="006C26BB" w:rsidRPr="004068F6">
        <w:rPr>
          <w:rFonts w:cs="Arial"/>
          <w:spacing w:val="-3"/>
          <w:lang w:val="es-CO"/>
        </w:rPr>
        <w:t>consiste en</w:t>
      </w:r>
      <w:r w:rsidRPr="00127BD4">
        <w:rPr>
          <w:rFonts w:cs="Arial"/>
          <w:spacing w:val="-3"/>
          <w:lang w:val="es-CO"/>
        </w:rPr>
        <w:t xml:space="preserve"> la grabación, análisis e interpretación de los sonidos animales para estudiar su abundancia y distribución; las técnicas incluyen el </w:t>
      </w:r>
      <w:r w:rsidR="002D5A96" w:rsidRPr="004068F6">
        <w:rPr>
          <w:rFonts w:cs="Arial"/>
          <w:spacing w:val="-3"/>
          <w:lang w:val="es-CO"/>
        </w:rPr>
        <w:t xml:space="preserve">Monitoreo Acústico Pasivo </w:t>
      </w:r>
      <w:r w:rsidRPr="00127BD4">
        <w:rPr>
          <w:rFonts w:cs="Arial"/>
          <w:spacing w:val="-3"/>
          <w:lang w:val="es-CO"/>
        </w:rPr>
        <w:t>(MAP) para registros continuos mediante grabadoras y micrófonos especializados.</w:t>
      </w:r>
    </w:p>
    <w:p w14:paraId="100B3D24" w14:textId="77777777" w:rsidR="00482A5F" w:rsidRPr="004068F6" w:rsidRDefault="00482A5F">
      <w:pPr>
        <w:tabs>
          <w:tab w:val="left" w:pos="-2268"/>
        </w:tabs>
        <w:suppressAutoHyphens/>
        <w:rPr>
          <w:spacing w:val="-3"/>
        </w:rPr>
      </w:pPr>
    </w:p>
    <w:p w14:paraId="1A353738" w14:textId="6893BC26" w:rsidR="00482A5F" w:rsidRPr="004068F6" w:rsidRDefault="00482A5F" w:rsidP="00C86DA5">
      <w:pPr>
        <w:pStyle w:val="Prrafodelista"/>
        <w:numPr>
          <w:ilvl w:val="0"/>
          <w:numId w:val="83"/>
        </w:numPr>
        <w:tabs>
          <w:tab w:val="left" w:pos="-2268"/>
        </w:tabs>
        <w:suppressAutoHyphens/>
        <w:ind w:left="567" w:hanging="567"/>
        <w:rPr>
          <w:rFonts w:cs="Arial"/>
          <w:spacing w:val="-3"/>
          <w:lang w:val="es-CO"/>
        </w:rPr>
      </w:pPr>
      <w:r w:rsidRPr="004068F6">
        <w:rPr>
          <w:spacing w:val="-3"/>
          <w:lang w:val="es-CO"/>
        </w:rPr>
        <w:t>Aves:</w:t>
      </w:r>
      <w:r w:rsidRPr="004068F6">
        <w:rPr>
          <w:rFonts w:cs="Arial"/>
          <w:spacing w:val="-3"/>
          <w:lang w:val="es-CO"/>
        </w:rPr>
        <w:t xml:space="preserve"> </w:t>
      </w:r>
      <w:r w:rsidR="00317369" w:rsidRPr="004068F6">
        <w:rPr>
          <w:rFonts w:cs="Arial"/>
          <w:spacing w:val="-3"/>
          <w:lang w:val="es-CO"/>
        </w:rPr>
        <w:t xml:space="preserve">el muestreo de </w:t>
      </w:r>
      <w:r w:rsidRPr="004068F6">
        <w:rPr>
          <w:rFonts w:cs="Arial"/>
          <w:spacing w:val="-3"/>
          <w:lang w:val="es-CO"/>
        </w:rPr>
        <w:t xml:space="preserve">este grupo debe abordarse </w:t>
      </w:r>
      <w:r w:rsidR="00317369" w:rsidRPr="004068F6">
        <w:rPr>
          <w:rFonts w:cs="Arial"/>
          <w:spacing w:val="-3"/>
          <w:lang w:val="es-CO"/>
        </w:rPr>
        <w:t xml:space="preserve">mediante </w:t>
      </w:r>
      <w:r w:rsidRPr="004068F6">
        <w:rPr>
          <w:rFonts w:cs="Arial"/>
          <w:spacing w:val="-3"/>
          <w:lang w:val="es-CO"/>
        </w:rPr>
        <w:t>técnicas basadas en la evaluación ecológica rápida</w:t>
      </w:r>
      <w:r w:rsidR="00317369" w:rsidRPr="004068F6">
        <w:rPr>
          <w:rFonts w:cs="Arial"/>
          <w:spacing w:val="-3"/>
          <w:lang w:val="es-CO"/>
        </w:rPr>
        <w:t xml:space="preserve">, </w:t>
      </w:r>
      <w:r w:rsidR="001C4747" w:rsidRPr="004068F6">
        <w:rPr>
          <w:rFonts w:cs="Arial"/>
          <w:spacing w:val="-3"/>
          <w:lang w:val="es-CO"/>
        </w:rPr>
        <w:t>es posible hacer uso de</w:t>
      </w:r>
      <w:r w:rsidR="007359FA" w:rsidRPr="004068F6">
        <w:rPr>
          <w:rFonts w:cs="Arial"/>
          <w:spacing w:val="-3"/>
          <w:lang w:val="es-CO"/>
        </w:rPr>
        <w:t xml:space="preserve"> entre otras</w:t>
      </w:r>
      <w:r w:rsidR="00317369" w:rsidRPr="004068F6">
        <w:rPr>
          <w:rFonts w:cs="Arial"/>
          <w:spacing w:val="-3"/>
          <w:lang w:val="es-CO"/>
        </w:rPr>
        <w:t xml:space="preserve">: i) </w:t>
      </w:r>
      <w:r w:rsidRPr="004068F6">
        <w:rPr>
          <w:rFonts w:cs="Arial"/>
          <w:lang w:val="es-CO"/>
        </w:rPr>
        <w:t>capturas con</w:t>
      </w:r>
      <w:r w:rsidRPr="004068F6">
        <w:rPr>
          <w:lang w:val="es-CO"/>
        </w:rPr>
        <w:t xml:space="preserve"> redes de niebla</w:t>
      </w:r>
      <w:r w:rsidRPr="004068F6">
        <w:rPr>
          <w:rFonts w:cs="Arial"/>
          <w:spacing w:val="-3"/>
          <w:lang w:val="es-CO"/>
        </w:rPr>
        <w:t xml:space="preserve"> en sitios estratégicos como proximidades de cuerpos de agua, bordes de bosque, vegetación en floración o fructificación, y depresiones de relieve</w:t>
      </w:r>
      <w:r w:rsidRPr="004068F6">
        <w:rPr>
          <w:rFonts w:cs="Arial"/>
          <w:lang w:val="es-CO"/>
        </w:rPr>
        <w:t xml:space="preserve">, </w:t>
      </w:r>
      <w:r w:rsidR="00E359DB" w:rsidRPr="004068F6">
        <w:rPr>
          <w:rFonts w:cs="Arial"/>
          <w:lang w:val="es-CO"/>
        </w:rPr>
        <w:t xml:space="preserve">ii) </w:t>
      </w:r>
      <w:r w:rsidRPr="004068F6">
        <w:rPr>
          <w:rFonts w:cs="Arial"/>
          <w:lang w:val="es-CO"/>
        </w:rPr>
        <w:t>registros visuales en recorridos realizados en transectos y puntos de conteo, en los que se debe realizar reconocimiento de llamados reclamos o vocalizaciones de las especies reconocidas en las diferentes áreas</w:t>
      </w:r>
      <w:r w:rsidR="00FE1A5A" w:rsidRPr="00127BD4">
        <w:rPr>
          <w:rFonts w:cs="Arial"/>
          <w:lang w:val="es-CO"/>
        </w:rPr>
        <w:t xml:space="preserve"> </w:t>
      </w:r>
      <w:r w:rsidR="00FE1A5A" w:rsidRPr="004068F6">
        <w:rPr>
          <w:rFonts w:cs="Arial"/>
          <w:lang w:val="es-CO"/>
        </w:rPr>
        <w:t>y, iii) técnicas de bioacústica pasiva</w:t>
      </w:r>
      <w:r w:rsidRPr="004068F6">
        <w:rPr>
          <w:lang w:val="es-CO"/>
        </w:rPr>
        <w:t xml:space="preserve">. </w:t>
      </w:r>
      <w:r w:rsidR="00E359DB" w:rsidRPr="004068F6">
        <w:rPr>
          <w:lang w:val="es-CO"/>
        </w:rPr>
        <w:t xml:space="preserve">Para establecer </w:t>
      </w:r>
      <w:r w:rsidR="00E359DB" w:rsidRPr="004068F6">
        <w:rPr>
          <w:rFonts w:cs="Arial"/>
          <w:spacing w:val="-3"/>
          <w:lang w:val="es-CO"/>
        </w:rPr>
        <w:t>l</w:t>
      </w:r>
      <w:r w:rsidRPr="004068F6">
        <w:rPr>
          <w:rFonts w:cs="Arial"/>
          <w:spacing w:val="-3"/>
          <w:lang w:val="es-CO"/>
        </w:rPr>
        <w:t xml:space="preserve">os horarios </w:t>
      </w:r>
      <w:r w:rsidR="00E359DB" w:rsidRPr="004068F6">
        <w:rPr>
          <w:rFonts w:cs="Arial"/>
          <w:spacing w:val="-3"/>
          <w:lang w:val="es-CO"/>
        </w:rPr>
        <w:t xml:space="preserve">de ejecución de </w:t>
      </w:r>
      <w:r w:rsidRPr="004068F6">
        <w:rPr>
          <w:rFonts w:cs="Arial"/>
          <w:spacing w:val="-3"/>
          <w:lang w:val="es-CO"/>
        </w:rPr>
        <w:t xml:space="preserve">los muestreos </w:t>
      </w:r>
      <w:r w:rsidR="00E359DB" w:rsidRPr="004068F6">
        <w:rPr>
          <w:rFonts w:cs="Arial"/>
          <w:spacing w:val="-3"/>
          <w:lang w:val="es-CO"/>
        </w:rPr>
        <w:t xml:space="preserve">se </w:t>
      </w:r>
      <w:r w:rsidRPr="004068F6">
        <w:rPr>
          <w:rFonts w:cs="Arial"/>
          <w:spacing w:val="-3"/>
          <w:lang w:val="es-CO"/>
        </w:rPr>
        <w:t>deben seguir l</w:t>
      </w:r>
      <w:r w:rsidR="00E227C3" w:rsidRPr="004068F6">
        <w:rPr>
          <w:rFonts w:cs="Arial"/>
          <w:spacing w:val="-3"/>
          <w:lang w:val="es-CO"/>
        </w:rPr>
        <w:t>o</w:t>
      </w:r>
      <w:r w:rsidRPr="004068F6">
        <w:rPr>
          <w:rFonts w:cs="Arial"/>
          <w:spacing w:val="-3"/>
          <w:lang w:val="es-CO"/>
        </w:rPr>
        <w:t xml:space="preserve">s </w:t>
      </w:r>
      <w:r w:rsidR="00E227C3" w:rsidRPr="004068F6">
        <w:rPr>
          <w:rFonts w:cs="Arial"/>
          <w:spacing w:val="-3"/>
          <w:lang w:val="es-CO"/>
        </w:rPr>
        <w:t xml:space="preserve">lineamientos </w:t>
      </w:r>
      <w:r w:rsidRPr="004068F6">
        <w:rPr>
          <w:rFonts w:cs="Arial"/>
          <w:spacing w:val="-3"/>
          <w:lang w:val="es-CO"/>
        </w:rPr>
        <w:t>del Manual de métodos para el desarrollo de inventarios de biodiversidad (Villarreal et al., 2006)</w:t>
      </w:r>
      <w:r w:rsidR="007513E3" w:rsidRPr="004068F6">
        <w:rPr>
          <w:rFonts w:cs="Arial"/>
          <w:spacing w:val="-3"/>
          <w:lang w:val="es-CO"/>
        </w:rPr>
        <w:t xml:space="preserve"> o versiones posteriores</w:t>
      </w:r>
      <w:r w:rsidRPr="004068F6">
        <w:rPr>
          <w:rFonts w:cs="Arial"/>
          <w:spacing w:val="-3"/>
          <w:lang w:val="es-CO"/>
        </w:rPr>
        <w:t>.</w:t>
      </w:r>
    </w:p>
    <w:p w14:paraId="0694139C" w14:textId="77777777" w:rsidR="00482A5F" w:rsidRPr="004068F6" w:rsidRDefault="00482A5F">
      <w:pPr>
        <w:tabs>
          <w:tab w:val="left" w:pos="-2268"/>
        </w:tabs>
        <w:suppressAutoHyphens/>
        <w:rPr>
          <w:spacing w:val="-3"/>
        </w:rPr>
      </w:pPr>
    </w:p>
    <w:p w14:paraId="79C1029A" w14:textId="28B2688A" w:rsidR="00482A5F" w:rsidRPr="004068F6" w:rsidRDefault="00482A5F" w:rsidP="00C86DA5">
      <w:pPr>
        <w:pStyle w:val="Prrafodelista"/>
        <w:numPr>
          <w:ilvl w:val="0"/>
          <w:numId w:val="83"/>
        </w:numPr>
        <w:tabs>
          <w:tab w:val="left" w:pos="-2268"/>
        </w:tabs>
        <w:suppressAutoHyphens/>
        <w:ind w:left="567" w:hanging="567"/>
        <w:rPr>
          <w:rFonts w:cs="Arial"/>
          <w:spacing w:val="-3"/>
          <w:lang w:val="es-CO"/>
        </w:rPr>
      </w:pPr>
      <w:r w:rsidRPr="004068F6">
        <w:rPr>
          <w:spacing w:val="-3"/>
          <w:lang w:val="es-CO"/>
        </w:rPr>
        <w:t>Mamíferos:</w:t>
      </w:r>
      <w:r w:rsidRPr="004068F6">
        <w:rPr>
          <w:rFonts w:cs="Arial"/>
          <w:spacing w:val="-3"/>
          <w:lang w:val="es-CO"/>
        </w:rPr>
        <w:t xml:space="preserve"> </w:t>
      </w:r>
      <w:r w:rsidR="00256E4F" w:rsidRPr="004068F6">
        <w:rPr>
          <w:rFonts w:cs="Arial"/>
          <w:spacing w:val="-3"/>
          <w:lang w:val="es-CO"/>
        </w:rPr>
        <w:t xml:space="preserve">el muestreo puede desarrollarse mediante diferentes métodos y abarcar </w:t>
      </w:r>
      <w:r w:rsidRPr="004068F6">
        <w:rPr>
          <w:rFonts w:cs="Arial"/>
          <w:spacing w:val="-3"/>
          <w:lang w:val="es-CO"/>
        </w:rPr>
        <w:t>mamíferos pequeños, medianos y grandes, tanto terrestres como voladores</w:t>
      </w:r>
      <w:r w:rsidR="00256E4F" w:rsidRPr="004068F6">
        <w:rPr>
          <w:rFonts w:cs="Arial"/>
          <w:spacing w:val="-3"/>
          <w:lang w:val="es-CO"/>
        </w:rPr>
        <w:t xml:space="preserve">, </w:t>
      </w:r>
      <w:r w:rsidRPr="004068F6">
        <w:rPr>
          <w:rFonts w:cs="Arial"/>
          <w:spacing w:val="-3"/>
          <w:lang w:val="es-CO"/>
        </w:rPr>
        <w:t xml:space="preserve">para obtener un listado completo de este grupo de vertebrados. En algunos casos </w:t>
      </w:r>
      <w:r w:rsidR="007B6BB2" w:rsidRPr="004068F6">
        <w:rPr>
          <w:rFonts w:cs="Arial"/>
          <w:spacing w:val="-3"/>
          <w:lang w:val="es-CO"/>
        </w:rPr>
        <w:t xml:space="preserve">considerar la recolección de </w:t>
      </w:r>
      <w:r w:rsidRPr="004068F6">
        <w:rPr>
          <w:rFonts w:cs="Arial"/>
          <w:spacing w:val="-3"/>
          <w:lang w:val="es-CO"/>
        </w:rPr>
        <w:t xml:space="preserve">especímenes en campo, más que todo en grupos como los pequeños roedores y murciélagos, ya que su determinación taxonómica </w:t>
      </w:r>
      <w:r w:rsidR="009A79E5" w:rsidRPr="004068F6">
        <w:rPr>
          <w:rFonts w:cs="Arial"/>
          <w:spacing w:val="-3"/>
          <w:lang w:val="es-CO"/>
        </w:rPr>
        <w:t xml:space="preserve">depende de </w:t>
      </w:r>
      <w:r w:rsidRPr="004068F6">
        <w:rPr>
          <w:rFonts w:cs="Arial"/>
          <w:spacing w:val="-3"/>
          <w:lang w:val="es-CO"/>
        </w:rPr>
        <w:t>algunas características de su morfología animal (Morales-Jiménez et al., 2004)</w:t>
      </w:r>
      <w:r w:rsidR="00256E4F" w:rsidRPr="004068F6">
        <w:rPr>
          <w:rFonts w:cs="Arial"/>
          <w:spacing w:val="-3"/>
          <w:lang w:val="es-CO"/>
        </w:rPr>
        <w:t>;</w:t>
      </w:r>
      <w:r w:rsidRPr="004068F6">
        <w:rPr>
          <w:rFonts w:cs="Arial"/>
          <w:spacing w:val="-3"/>
          <w:lang w:val="es-CO"/>
        </w:rPr>
        <w:t xml:space="preserve"> </w:t>
      </w:r>
      <w:r w:rsidR="00256E4F" w:rsidRPr="004068F6">
        <w:rPr>
          <w:rFonts w:cs="Arial"/>
          <w:spacing w:val="-3"/>
          <w:lang w:val="es-CO"/>
        </w:rPr>
        <w:t>e</w:t>
      </w:r>
      <w:r w:rsidRPr="004068F6">
        <w:rPr>
          <w:rFonts w:cs="Arial"/>
          <w:spacing w:val="-3"/>
          <w:lang w:val="es-CO"/>
        </w:rPr>
        <w:t xml:space="preserve">n todo caso se </w:t>
      </w:r>
      <w:r w:rsidR="00256E4F" w:rsidRPr="004068F6">
        <w:rPr>
          <w:rFonts w:cs="Arial"/>
          <w:spacing w:val="-3"/>
          <w:lang w:val="es-CO"/>
        </w:rPr>
        <w:t xml:space="preserve">deben </w:t>
      </w:r>
      <w:r w:rsidRPr="004068F6">
        <w:rPr>
          <w:rFonts w:cs="Arial"/>
          <w:spacing w:val="-3"/>
          <w:lang w:val="es-CO"/>
        </w:rPr>
        <w:t xml:space="preserve">preservar, </w:t>
      </w:r>
      <w:r w:rsidR="00256E4F" w:rsidRPr="004068F6">
        <w:rPr>
          <w:rFonts w:cs="Arial"/>
          <w:spacing w:val="-3"/>
          <w:lang w:val="es-CO"/>
        </w:rPr>
        <w:t xml:space="preserve">solamente </w:t>
      </w:r>
      <w:r w:rsidRPr="004068F6">
        <w:rPr>
          <w:rFonts w:cs="Arial"/>
          <w:spacing w:val="-3"/>
          <w:lang w:val="es-CO"/>
        </w:rPr>
        <w:t>con fines científicos, los especímenes estrictamente necesarios.</w:t>
      </w:r>
    </w:p>
    <w:p w14:paraId="7C8DB59B" w14:textId="77777777" w:rsidR="00482A5F" w:rsidRPr="004068F6" w:rsidRDefault="00482A5F">
      <w:pPr>
        <w:tabs>
          <w:tab w:val="left" w:pos="-2268"/>
        </w:tabs>
        <w:suppressAutoHyphens/>
        <w:rPr>
          <w:spacing w:val="-3"/>
        </w:rPr>
      </w:pPr>
    </w:p>
    <w:p w14:paraId="637CF3DE" w14:textId="514F182E" w:rsidR="00482A5F" w:rsidRPr="004068F6" w:rsidRDefault="00482A5F" w:rsidP="00C86DA5">
      <w:pPr>
        <w:pStyle w:val="Prrafodelista"/>
        <w:numPr>
          <w:ilvl w:val="0"/>
          <w:numId w:val="84"/>
        </w:numPr>
        <w:tabs>
          <w:tab w:val="left" w:pos="-2268"/>
        </w:tabs>
        <w:suppressAutoHyphens/>
        <w:ind w:left="1134" w:hanging="567"/>
        <w:rPr>
          <w:rFonts w:cs="Arial"/>
          <w:spacing w:val="-3"/>
          <w:lang w:val="es-CO"/>
        </w:rPr>
      </w:pPr>
      <w:r w:rsidRPr="004068F6">
        <w:rPr>
          <w:rFonts w:cs="Arial"/>
          <w:spacing w:val="-3"/>
          <w:u w:val="single"/>
          <w:lang w:val="es-CO"/>
        </w:rPr>
        <w:lastRenderedPageBreak/>
        <w:t>Para mamíferos terrestres pequeños</w:t>
      </w:r>
      <w:r w:rsidRPr="004068F6">
        <w:rPr>
          <w:rFonts w:cs="Arial"/>
          <w:spacing w:val="-3"/>
          <w:lang w:val="es-CO"/>
        </w:rPr>
        <w:t xml:space="preserve">: instalar trampas Sherman en los sitios que se consideren más adecuados dependiendo del tipo de cobertura a muestrear. </w:t>
      </w:r>
      <w:r w:rsidR="001401AD" w:rsidRPr="004068F6">
        <w:rPr>
          <w:spacing w:val="-3"/>
          <w:lang w:val="es-CO"/>
        </w:rPr>
        <w:t>S</w:t>
      </w:r>
      <w:r w:rsidRPr="004068F6">
        <w:rPr>
          <w:spacing w:val="-3"/>
          <w:lang w:val="es-CO"/>
        </w:rPr>
        <w:t>e debe</w:t>
      </w:r>
      <w:r w:rsidR="001401AD" w:rsidRPr="004068F6">
        <w:rPr>
          <w:spacing w:val="-3"/>
          <w:lang w:val="es-CO"/>
        </w:rPr>
        <w:t>n</w:t>
      </w:r>
      <w:r w:rsidRPr="004068F6">
        <w:rPr>
          <w:spacing w:val="-3"/>
          <w:lang w:val="es-CO"/>
        </w:rPr>
        <w:t xml:space="preserve"> </w:t>
      </w:r>
      <w:r w:rsidRPr="004068F6">
        <w:rPr>
          <w:rFonts w:cs="Arial"/>
          <w:spacing w:val="-3"/>
          <w:lang w:val="es-CO"/>
        </w:rPr>
        <w:t>aplica</w:t>
      </w:r>
      <w:r w:rsidR="001401AD" w:rsidRPr="004068F6">
        <w:rPr>
          <w:rFonts w:cs="Arial"/>
          <w:spacing w:val="-3"/>
          <w:lang w:val="es-CO"/>
        </w:rPr>
        <w:t>r</w:t>
      </w:r>
      <w:r w:rsidRPr="004068F6">
        <w:rPr>
          <w:rFonts w:cs="Arial"/>
          <w:spacing w:val="-3"/>
          <w:lang w:val="es-CO"/>
        </w:rPr>
        <w:t xml:space="preserve"> técnicas de colecta, sacrificio y movili</w:t>
      </w:r>
      <w:r w:rsidR="00EC5EDE" w:rsidRPr="004068F6">
        <w:rPr>
          <w:rFonts w:cs="Arial"/>
          <w:spacing w:val="-3"/>
          <w:lang w:val="es-CO"/>
        </w:rPr>
        <w:t>zación</w:t>
      </w:r>
      <w:r w:rsidRPr="004068F6">
        <w:rPr>
          <w:rFonts w:cs="Arial"/>
          <w:spacing w:val="-3"/>
          <w:lang w:val="es-CO"/>
        </w:rPr>
        <w:t xml:space="preserve"> acordes al permiso de recolección otorgado para tal fin y </w:t>
      </w:r>
      <w:r w:rsidR="001401AD" w:rsidRPr="004068F6">
        <w:rPr>
          <w:rFonts w:cs="Arial"/>
          <w:spacing w:val="-3"/>
          <w:lang w:val="es-CO"/>
        </w:rPr>
        <w:t xml:space="preserve">colectar solamente </w:t>
      </w:r>
      <w:r w:rsidRPr="004068F6">
        <w:rPr>
          <w:rFonts w:cs="Arial"/>
          <w:spacing w:val="-3"/>
          <w:lang w:val="es-CO"/>
        </w:rPr>
        <w:t xml:space="preserve">la cantidad </w:t>
      </w:r>
      <w:r w:rsidR="001401AD" w:rsidRPr="004068F6">
        <w:rPr>
          <w:rFonts w:cs="Arial"/>
          <w:spacing w:val="-3"/>
          <w:lang w:val="es-CO"/>
        </w:rPr>
        <w:t>autorizada</w:t>
      </w:r>
      <w:r w:rsidR="001401AD" w:rsidRPr="004068F6" w:rsidDel="001401AD">
        <w:rPr>
          <w:rFonts w:cs="Arial"/>
          <w:spacing w:val="-3"/>
          <w:lang w:val="es-CO"/>
        </w:rPr>
        <w:t xml:space="preserve"> </w:t>
      </w:r>
      <w:r w:rsidR="001401AD" w:rsidRPr="004068F6">
        <w:rPr>
          <w:spacing w:val="-3"/>
          <w:lang w:val="es-CO"/>
        </w:rPr>
        <w:t xml:space="preserve">de </w:t>
      </w:r>
      <w:r w:rsidRPr="004068F6">
        <w:rPr>
          <w:spacing w:val="-3"/>
          <w:lang w:val="es-CO"/>
        </w:rPr>
        <w:t>ejemplar</w:t>
      </w:r>
      <w:r w:rsidR="001401AD" w:rsidRPr="004068F6">
        <w:rPr>
          <w:spacing w:val="-3"/>
          <w:lang w:val="es-CO"/>
        </w:rPr>
        <w:t>es</w:t>
      </w:r>
      <w:r w:rsidRPr="004068F6">
        <w:rPr>
          <w:spacing w:val="-3"/>
          <w:lang w:val="es-CO"/>
        </w:rPr>
        <w:t>.</w:t>
      </w:r>
      <w:r w:rsidR="001401AD" w:rsidRPr="004068F6">
        <w:rPr>
          <w:spacing w:val="-3"/>
          <w:lang w:val="es-CO"/>
        </w:rPr>
        <w:t xml:space="preserve"> </w:t>
      </w:r>
      <w:r w:rsidR="001401AD" w:rsidRPr="004068F6">
        <w:rPr>
          <w:rFonts w:cs="Arial"/>
          <w:spacing w:val="-3"/>
          <w:lang w:val="es-CO"/>
        </w:rPr>
        <w:t>Se deben determinar los individuos capturados al nivel de especie en el caso de que no sea posible realizar la determinación en campo.</w:t>
      </w:r>
    </w:p>
    <w:p w14:paraId="4BA46F87" w14:textId="77777777" w:rsidR="00482A5F" w:rsidRPr="004068F6" w:rsidRDefault="00482A5F">
      <w:pPr>
        <w:tabs>
          <w:tab w:val="left" w:pos="-2268"/>
        </w:tabs>
        <w:suppressAutoHyphens/>
        <w:rPr>
          <w:spacing w:val="-3"/>
        </w:rPr>
      </w:pPr>
    </w:p>
    <w:p w14:paraId="7E576CC0" w14:textId="5575360D" w:rsidR="00482A5F" w:rsidRPr="004068F6" w:rsidRDefault="00482A5F" w:rsidP="439A4240">
      <w:pPr>
        <w:pStyle w:val="Prrafodelista"/>
        <w:numPr>
          <w:ilvl w:val="0"/>
          <w:numId w:val="84"/>
        </w:numPr>
        <w:suppressAutoHyphens/>
        <w:ind w:left="1134" w:hanging="567"/>
        <w:rPr>
          <w:rFonts w:cs="Arial"/>
          <w:spacing w:val="-3"/>
          <w:lang w:val="es-CO"/>
        </w:rPr>
      </w:pPr>
      <w:r w:rsidRPr="004068F6">
        <w:rPr>
          <w:rFonts w:cs="Arial"/>
          <w:spacing w:val="-3"/>
          <w:u w:val="single"/>
          <w:lang w:val="es-CO"/>
        </w:rPr>
        <w:t>Para mamíferos terrestres medianos y grandes</w:t>
      </w:r>
      <w:r w:rsidRPr="004068F6">
        <w:rPr>
          <w:rFonts w:cs="Arial"/>
          <w:spacing w:val="-3"/>
          <w:lang w:val="es-CO"/>
        </w:rPr>
        <w:t xml:space="preserve">: realizar transectos de registro y observación diurna y nocturna que cubran las unidades a muestrear, según el diseño de muestreo </w:t>
      </w:r>
      <w:r w:rsidR="009A79E5" w:rsidRPr="004068F6">
        <w:rPr>
          <w:rFonts w:cs="Arial"/>
          <w:spacing w:val="-3"/>
          <w:lang w:val="es-CO"/>
        </w:rPr>
        <w:t xml:space="preserve">definido </w:t>
      </w:r>
      <w:r w:rsidRPr="004068F6">
        <w:rPr>
          <w:rFonts w:cs="Arial"/>
          <w:spacing w:val="-3"/>
          <w:lang w:val="es-CO"/>
        </w:rPr>
        <w:t xml:space="preserve">para la zona. En estos transectos se </w:t>
      </w:r>
      <w:r w:rsidR="001A4E38" w:rsidRPr="004068F6">
        <w:rPr>
          <w:rFonts w:cs="Arial"/>
          <w:spacing w:val="-3"/>
          <w:lang w:val="es-CO"/>
        </w:rPr>
        <w:t xml:space="preserve">deben </w:t>
      </w:r>
      <w:r w:rsidRPr="004068F6">
        <w:rPr>
          <w:rFonts w:cs="Arial"/>
          <w:spacing w:val="-3"/>
          <w:lang w:val="es-CO"/>
        </w:rPr>
        <w:t>registra</w:t>
      </w:r>
      <w:r w:rsidR="001A4E38" w:rsidRPr="004068F6">
        <w:rPr>
          <w:rFonts w:cs="Arial"/>
          <w:spacing w:val="-3"/>
          <w:lang w:val="es-CO"/>
        </w:rPr>
        <w:t>r</w:t>
      </w:r>
      <w:r w:rsidRPr="004068F6">
        <w:rPr>
          <w:rFonts w:cs="Arial"/>
          <w:spacing w:val="-3"/>
          <w:lang w:val="es-CO"/>
        </w:rPr>
        <w:t xml:space="preserve"> los indicios (huellas, heces, comederos, entre otros)</w:t>
      </w:r>
      <w:r w:rsidR="001A4E38" w:rsidRPr="004068F6">
        <w:rPr>
          <w:rFonts w:cs="Arial"/>
          <w:spacing w:val="-3"/>
          <w:lang w:val="es-CO"/>
        </w:rPr>
        <w:t>,</w:t>
      </w:r>
      <w:r w:rsidRPr="004068F6">
        <w:rPr>
          <w:rFonts w:cs="Arial"/>
          <w:spacing w:val="-3"/>
          <w:lang w:val="es-CO"/>
        </w:rPr>
        <w:t xml:space="preserve"> atributos biológicos y ecológicos como dieta y horario de actividad,</w:t>
      </w:r>
      <w:r w:rsidR="001A4E38" w:rsidRPr="004068F6">
        <w:rPr>
          <w:rFonts w:cs="Arial"/>
          <w:spacing w:val="-3"/>
          <w:lang w:val="es-CO"/>
        </w:rPr>
        <w:t xml:space="preserve"> así como las observaciones directas que ocurran.</w:t>
      </w:r>
    </w:p>
    <w:p w14:paraId="7AF3F25D" w14:textId="77777777" w:rsidR="00482A5F" w:rsidRPr="004068F6" w:rsidRDefault="00482A5F" w:rsidP="009420F5">
      <w:pPr>
        <w:tabs>
          <w:tab w:val="left" w:pos="-2268"/>
        </w:tabs>
        <w:suppressAutoHyphens/>
        <w:rPr>
          <w:spacing w:val="-3"/>
        </w:rPr>
      </w:pPr>
    </w:p>
    <w:p w14:paraId="2ADC0507" w14:textId="5F6139F1" w:rsidR="00482A5F" w:rsidRPr="004068F6" w:rsidRDefault="00482A5F">
      <w:pPr>
        <w:pStyle w:val="Prrafodelista"/>
        <w:tabs>
          <w:tab w:val="left" w:pos="-2268"/>
        </w:tabs>
        <w:suppressAutoHyphens/>
        <w:ind w:left="1134"/>
        <w:rPr>
          <w:rFonts w:cs="Arial"/>
          <w:spacing w:val="-3"/>
          <w:lang w:val="es-CO"/>
        </w:rPr>
      </w:pPr>
      <w:r w:rsidRPr="004068F6">
        <w:rPr>
          <w:rFonts w:cs="Arial"/>
          <w:spacing w:val="-3"/>
          <w:lang w:val="es-CO"/>
        </w:rPr>
        <w:t xml:space="preserve">Adicional a los transectos de observación se </w:t>
      </w:r>
      <w:r w:rsidR="006D4C7A" w:rsidRPr="004068F6">
        <w:rPr>
          <w:rFonts w:cs="Arial"/>
          <w:spacing w:val="-3"/>
          <w:lang w:val="es-CO"/>
        </w:rPr>
        <w:t xml:space="preserve">puede </w:t>
      </w:r>
      <w:r w:rsidRPr="004068F6">
        <w:rPr>
          <w:rFonts w:cs="Arial"/>
          <w:spacing w:val="-3"/>
          <w:lang w:val="es-CO"/>
        </w:rPr>
        <w:t>hacer uso del método de fototrampeo (cámaras trampa)</w:t>
      </w:r>
      <w:r w:rsidR="00DC3536" w:rsidRPr="004068F6">
        <w:rPr>
          <w:rFonts w:cs="Arial"/>
          <w:spacing w:val="-3"/>
          <w:lang w:val="es-CO"/>
        </w:rPr>
        <w:t>,</w:t>
      </w:r>
      <w:r w:rsidRPr="004068F6">
        <w:rPr>
          <w:rFonts w:cs="Arial"/>
          <w:spacing w:val="-3"/>
          <w:lang w:val="es-CO"/>
        </w:rPr>
        <w:t xml:space="preserve"> teniendo en cuenta el diseño de muestreo implementado en la zona</w:t>
      </w:r>
      <w:r w:rsidR="00DC3536" w:rsidRPr="004068F6">
        <w:rPr>
          <w:rFonts w:cs="Arial"/>
          <w:spacing w:val="-3"/>
          <w:lang w:val="es-CO"/>
        </w:rPr>
        <w:t>,</w:t>
      </w:r>
      <w:r w:rsidRPr="004068F6">
        <w:rPr>
          <w:rFonts w:cs="Arial"/>
          <w:spacing w:val="-3"/>
          <w:lang w:val="es-CO"/>
        </w:rPr>
        <w:t xml:space="preserve"> </w:t>
      </w:r>
      <w:r w:rsidR="009A79E5" w:rsidRPr="004068F6">
        <w:rPr>
          <w:rFonts w:cs="Arial"/>
          <w:spacing w:val="-3"/>
          <w:lang w:val="es-CO"/>
        </w:rPr>
        <w:t>es posible</w:t>
      </w:r>
      <w:r w:rsidRPr="004068F6">
        <w:rPr>
          <w:rFonts w:cs="Arial"/>
          <w:spacing w:val="-3"/>
          <w:lang w:val="es-CO"/>
        </w:rPr>
        <w:t xml:space="preserve"> establecer una </w:t>
      </w:r>
      <w:r w:rsidR="00AC3830" w:rsidRPr="004068F6">
        <w:rPr>
          <w:rFonts w:cs="Arial"/>
          <w:spacing w:val="-3"/>
          <w:lang w:val="es-CO"/>
        </w:rPr>
        <w:t>cuadrícula</w:t>
      </w:r>
      <w:r w:rsidRPr="004068F6">
        <w:rPr>
          <w:rFonts w:cs="Arial"/>
          <w:spacing w:val="-3"/>
          <w:lang w:val="es-CO"/>
        </w:rPr>
        <w:t xml:space="preserve"> de muestreo siguiendo el Manual de fototrampeo de D</w:t>
      </w:r>
      <w:r w:rsidR="00283CC7" w:rsidRPr="004068F6">
        <w:rPr>
          <w:rFonts w:cs="Arial"/>
          <w:spacing w:val="-3"/>
          <w:lang w:val="es-CO"/>
        </w:rPr>
        <w:t>í</w:t>
      </w:r>
      <w:r w:rsidRPr="004068F6">
        <w:rPr>
          <w:rFonts w:cs="Arial"/>
          <w:spacing w:val="-3"/>
          <w:lang w:val="es-CO"/>
        </w:rPr>
        <w:t>az-Pulido y Payan (2012).</w:t>
      </w:r>
      <w:r w:rsidR="006D4C7A" w:rsidRPr="004068F6">
        <w:rPr>
          <w:rFonts w:cs="Arial"/>
          <w:spacing w:val="-3"/>
          <w:lang w:val="es-CO"/>
        </w:rPr>
        <w:t xml:space="preserve"> </w:t>
      </w:r>
      <w:r w:rsidR="00434EA7" w:rsidRPr="004068F6">
        <w:rPr>
          <w:rFonts w:cs="Arial"/>
          <w:spacing w:val="-3"/>
          <w:lang w:val="es-CO"/>
        </w:rPr>
        <w:t>Asimismo,</w:t>
      </w:r>
      <w:r w:rsidR="006D4C7A" w:rsidRPr="004068F6">
        <w:rPr>
          <w:rFonts w:cs="Arial"/>
          <w:spacing w:val="-3"/>
          <w:lang w:val="es-CO"/>
        </w:rPr>
        <w:t xml:space="preserve"> es posible hacer uso de trampas Tomahawk, las cuales deben ubicarse en las diferentes unidades de muestr</w:t>
      </w:r>
      <w:r w:rsidR="00485A81" w:rsidRPr="004068F6">
        <w:rPr>
          <w:rFonts w:cs="Arial"/>
          <w:spacing w:val="-3"/>
          <w:lang w:val="es-CO"/>
        </w:rPr>
        <w:t>e</w:t>
      </w:r>
      <w:r w:rsidR="006D4C7A" w:rsidRPr="004068F6">
        <w:rPr>
          <w:rFonts w:cs="Arial"/>
          <w:spacing w:val="-3"/>
          <w:lang w:val="es-CO"/>
        </w:rPr>
        <w:t>o.</w:t>
      </w:r>
    </w:p>
    <w:p w14:paraId="55B9B01D" w14:textId="77777777" w:rsidR="00482A5F" w:rsidRPr="004068F6" w:rsidRDefault="00482A5F" w:rsidP="00482A5F">
      <w:pPr>
        <w:tabs>
          <w:tab w:val="left" w:pos="-2268"/>
        </w:tabs>
        <w:suppressAutoHyphens/>
        <w:rPr>
          <w:rFonts w:cs="Arial"/>
          <w:spacing w:val="-3"/>
        </w:rPr>
      </w:pPr>
    </w:p>
    <w:p w14:paraId="4FA628D1" w14:textId="08634DF0" w:rsidR="00482A5F" w:rsidRPr="004068F6" w:rsidRDefault="00482A5F" w:rsidP="00C86DA5">
      <w:pPr>
        <w:pStyle w:val="Prrafodelista"/>
        <w:numPr>
          <w:ilvl w:val="0"/>
          <w:numId w:val="84"/>
        </w:numPr>
        <w:tabs>
          <w:tab w:val="left" w:pos="-2268"/>
        </w:tabs>
        <w:suppressAutoHyphens/>
        <w:ind w:left="1134" w:hanging="567"/>
        <w:rPr>
          <w:rFonts w:cs="Arial"/>
          <w:spacing w:val="-3"/>
          <w:lang w:val="es-CO"/>
        </w:rPr>
      </w:pPr>
      <w:r w:rsidRPr="004068F6">
        <w:rPr>
          <w:rFonts w:cs="Arial"/>
          <w:spacing w:val="-3"/>
          <w:u w:val="single"/>
          <w:lang w:val="es-CO"/>
        </w:rPr>
        <w:t>Para mamíferos voladores</w:t>
      </w:r>
      <w:r w:rsidRPr="004068F6">
        <w:rPr>
          <w:rFonts w:cs="Arial"/>
          <w:spacing w:val="-3"/>
          <w:lang w:val="es-CO"/>
        </w:rPr>
        <w:t xml:space="preserve">: </w:t>
      </w:r>
      <w:r w:rsidR="006B2775" w:rsidRPr="004068F6">
        <w:rPr>
          <w:rFonts w:cs="Arial"/>
          <w:spacing w:val="-3"/>
          <w:lang w:val="es-CO"/>
        </w:rPr>
        <w:t xml:space="preserve">instalar las redes de niebla que a criterio del investigador y en línea con el diseño de muestreo soporten la representatividad </w:t>
      </w:r>
      <w:r w:rsidR="004A21E7" w:rsidRPr="004068F6">
        <w:rPr>
          <w:rFonts w:cs="Arial"/>
          <w:spacing w:val="-3"/>
          <w:lang w:val="es-CO"/>
        </w:rPr>
        <w:t xml:space="preserve">de </w:t>
      </w:r>
      <w:r w:rsidR="00C34388" w:rsidRPr="004068F6">
        <w:rPr>
          <w:rFonts w:cs="Arial"/>
          <w:spacing w:val="-3"/>
          <w:lang w:val="es-CO"/>
        </w:rPr>
        <w:t>é</w:t>
      </w:r>
      <w:r w:rsidR="004A21E7" w:rsidRPr="004068F6">
        <w:rPr>
          <w:rFonts w:cs="Arial"/>
          <w:spacing w:val="-3"/>
          <w:lang w:val="es-CO"/>
        </w:rPr>
        <w:t>ste</w:t>
      </w:r>
      <w:r w:rsidR="009A79E5" w:rsidRPr="004068F6">
        <w:rPr>
          <w:rFonts w:cs="Arial"/>
          <w:spacing w:val="-3"/>
          <w:lang w:val="es-CO"/>
        </w:rPr>
        <w:t xml:space="preserve"> </w:t>
      </w:r>
      <w:r w:rsidR="004A2D33" w:rsidRPr="004068F6">
        <w:rPr>
          <w:rFonts w:cs="Arial"/>
          <w:spacing w:val="-3"/>
          <w:lang w:val="es-CO"/>
        </w:rPr>
        <w:t xml:space="preserve">y permitan </w:t>
      </w:r>
      <w:r w:rsidR="009A79E5" w:rsidRPr="004068F6">
        <w:rPr>
          <w:rFonts w:cs="Arial"/>
          <w:spacing w:val="-3"/>
          <w:lang w:val="es-CO"/>
        </w:rPr>
        <w:t xml:space="preserve">caracterizar las </w:t>
      </w:r>
      <w:r w:rsidR="004413BF" w:rsidRPr="004068F6">
        <w:rPr>
          <w:rFonts w:cs="Arial"/>
          <w:spacing w:val="-3"/>
          <w:lang w:val="es-CO"/>
        </w:rPr>
        <w:t xml:space="preserve">comunidades </w:t>
      </w:r>
      <w:r w:rsidR="009A79E5" w:rsidRPr="004068F6">
        <w:rPr>
          <w:rFonts w:cs="Arial"/>
          <w:spacing w:val="-3"/>
          <w:lang w:val="es-CO"/>
        </w:rPr>
        <w:t>de murciélagos</w:t>
      </w:r>
      <w:r w:rsidR="006B2775" w:rsidRPr="004068F6">
        <w:rPr>
          <w:rFonts w:cs="Arial"/>
          <w:spacing w:val="-3"/>
          <w:lang w:val="es-CO"/>
        </w:rPr>
        <w:t>. La</w:t>
      </w:r>
      <w:r w:rsidR="004A2D33" w:rsidRPr="004068F6">
        <w:rPr>
          <w:rFonts w:cs="Arial"/>
          <w:spacing w:val="-3"/>
          <w:lang w:val="es-CO"/>
        </w:rPr>
        <w:t>s</w:t>
      </w:r>
      <w:r w:rsidR="006B2775" w:rsidRPr="004068F6">
        <w:rPr>
          <w:rFonts w:cs="Arial"/>
          <w:spacing w:val="-3"/>
          <w:lang w:val="es-CO"/>
        </w:rPr>
        <w:t xml:space="preserve"> redes </w:t>
      </w:r>
      <w:r w:rsidR="004A2D33" w:rsidRPr="004068F6">
        <w:rPr>
          <w:rFonts w:cs="Arial"/>
          <w:spacing w:val="-3"/>
          <w:lang w:val="es-CO"/>
        </w:rPr>
        <w:t xml:space="preserve">deben localizarse </w:t>
      </w:r>
      <w:r w:rsidRPr="004068F6">
        <w:rPr>
          <w:rFonts w:cs="Arial"/>
          <w:spacing w:val="-3"/>
          <w:lang w:val="es-CO"/>
        </w:rPr>
        <w:t xml:space="preserve">en sitios estratégicos de paso como quebradas y depresiones en el relieve, además de lugares </w:t>
      </w:r>
      <w:r w:rsidR="004A2D33" w:rsidRPr="004068F6">
        <w:rPr>
          <w:rFonts w:cs="Arial"/>
          <w:spacing w:val="-3"/>
          <w:lang w:val="es-CO"/>
        </w:rPr>
        <w:t xml:space="preserve">de percha y </w:t>
      </w:r>
      <w:r w:rsidRPr="004068F6">
        <w:rPr>
          <w:rFonts w:cs="Arial"/>
          <w:spacing w:val="-3"/>
          <w:lang w:val="es-CO"/>
        </w:rPr>
        <w:t xml:space="preserve">donde se encuentre suficiente alimento. Los individuos capturados deben </w:t>
      </w:r>
      <w:r w:rsidR="006B6009" w:rsidRPr="004068F6">
        <w:rPr>
          <w:rFonts w:cs="Arial"/>
          <w:spacing w:val="-3"/>
          <w:lang w:val="es-CO"/>
        </w:rPr>
        <w:t xml:space="preserve">determinarse </w:t>
      </w:r>
      <w:r w:rsidRPr="004068F6">
        <w:rPr>
          <w:rFonts w:cs="Arial"/>
          <w:spacing w:val="-3"/>
          <w:lang w:val="es-CO"/>
        </w:rPr>
        <w:t xml:space="preserve">hasta especie, </w:t>
      </w:r>
      <w:r w:rsidR="00A721D8" w:rsidRPr="00127BD4">
        <w:rPr>
          <w:rFonts w:cs="Arial"/>
          <w:spacing w:val="-3"/>
          <w:lang w:val="es-CO"/>
        </w:rPr>
        <w:t>o al nivel más detallado posible; para tal fin</w:t>
      </w:r>
      <w:r w:rsidR="001814AD" w:rsidRPr="00127BD4">
        <w:rPr>
          <w:rFonts w:cs="Arial"/>
          <w:spacing w:val="-3"/>
          <w:lang w:val="es-CO"/>
        </w:rPr>
        <w:t xml:space="preserve">, se debe </w:t>
      </w:r>
      <w:r w:rsidR="00A721D8" w:rsidRPr="00127BD4">
        <w:rPr>
          <w:rFonts w:cs="Arial"/>
          <w:spacing w:val="-3"/>
          <w:lang w:val="es-CO"/>
        </w:rPr>
        <w:t>considerar</w:t>
      </w:r>
      <w:r w:rsidR="001814AD" w:rsidRPr="00127BD4">
        <w:rPr>
          <w:rFonts w:cs="Arial"/>
          <w:spacing w:val="-3"/>
          <w:lang w:val="es-CO"/>
        </w:rPr>
        <w:t xml:space="preserve"> </w:t>
      </w:r>
      <w:r w:rsidR="00A721D8" w:rsidRPr="00127BD4">
        <w:rPr>
          <w:rFonts w:cs="Arial"/>
          <w:spacing w:val="-3"/>
          <w:lang w:val="es-CO"/>
        </w:rPr>
        <w:t xml:space="preserve">la colecta del </w:t>
      </w:r>
      <w:r w:rsidRPr="004068F6">
        <w:rPr>
          <w:rFonts w:cs="Arial"/>
          <w:spacing w:val="-3"/>
          <w:lang w:val="es-CO"/>
        </w:rPr>
        <w:t xml:space="preserve">ejemplar </w:t>
      </w:r>
      <w:r w:rsidR="008470FA" w:rsidRPr="004068F6">
        <w:rPr>
          <w:rFonts w:cs="Arial"/>
          <w:spacing w:val="-3"/>
          <w:lang w:val="es-CO"/>
        </w:rPr>
        <w:t xml:space="preserve">a fin de </w:t>
      </w:r>
      <w:r w:rsidRPr="004068F6">
        <w:rPr>
          <w:rFonts w:cs="Arial"/>
          <w:spacing w:val="-3"/>
          <w:lang w:val="es-CO"/>
        </w:rPr>
        <w:t xml:space="preserve">que sea determinado por expertos, teniendo en cuenta los métodos de colecta, sacrificio y movilidad incluidos en el permiso de </w:t>
      </w:r>
      <w:r w:rsidR="006B2775" w:rsidRPr="004068F6">
        <w:rPr>
          <w:rFonts w:cs="Arial"/>
          <w:spacing w:val="-3"/>
          <w:lang w:val="es-CO"/>
        </w:rPr>
        <w:t>recolección de especímenes</w:t>
      </w:r>
      <w:r w:rsidRPr="004068F6">
        <w:rPr>
          <w:rFonts w:cs="Arial"/>
          <w:spacing w:val="-3"/>
          <w:lang w:val="es-CO"/>
        </w:rPr>
        <w:t>.</w:t>
      </w:r>
      <w:r w:rsidR="00587CE4" w:rsidRPr="004068F6">
        <w:rPr>
          <w:rFonts w:cs="Arial"/>
          <w:spacing w:val="-3"/>
          <w:lang w:val="es-CO"/>
        </w:rPr>
        <w:t xml:space="preserve"> </w:t>
      </w:r>
      <w:r w:rsidR="00587CE4" w:rsidRPr="00127BD4">
        <w:rPr>
          <w:rFonts w:cs="Arial"/>
          <w:spacing w:val="-3"/>
          <w:lang w:val="es-CO"/>
        </w:rPr>
        <w:t>Los registros pueden apoyarse en técnicas de bioacústica pasiva.</w:t>
      </w:r>
    </w:p>
    <w:p w14:paraId="3478C36D" w14:textId="77777777" w:rsidR="00482A5F" w:rsidRPr="004068F6" w:rsidRDefault="00482A5F">
      <w:pPr>
        <w:numPr>
          <w:ilvl w:val="12"/>
          <w:numId w:val="0"/>
        </w:numPr>
        <w:tabs>
          <w:tab w:val="left" w:pos="-2268"/>
        </w:tabs>
        <w:suppressAutoHyphens/>
        <w:rPr>
          <w:spacing w:val="-3"/>
        </w:rPr>
      </w:pPr>
    </w:p>
    <w:p w14:paraId="3D630BB9" w14:textId="4E719859" w:rsidR="005E2B57" w:rsidRPr="004068F6" w:rsidRDefault="00AD7C76" w:rsidP="004413BF">
      <w:pPr>
        <w:numPr>
          <w:ilvl w:val="12"/>
          <w:numId w:val="0"/>
        </w:numPr>
        <w:tabs>
          <w:tab w:val="left" w:pos="-2268"/>
        </w:tabs>
        <w:suppressAutoHyphens/>
        <w:rPr>
          <w:spacing w:val="-3"/>
        </w:rPr>
      </w:pPr>
      <w:r w:rsidRPr="004068F6">
        <w:rPr>
          <w:spacing w:val="-3"/>
        </w:rPr>
        <w:t>Para la caracterización de la fauna terrestre, voladora, semiacuática y acuática por técnicas de bioacústica pasiva y activa (p. ej. para proyectos que impacten hábitats con especies de difícil avistamiento por técnicas comunes - especies crípticas), se debe considerar un diseño de muestreo que permita obtener la siguiente información</w:t>
      </w:r>
      <w:r w:rsidR="005E2B57" w:rsidRPr="004068F6">
        <w:rPr>
          <w:spacing w:val="-3"/>
        </w:rPr>
        <w:t>:</w:t>
      </w:r>
    </w:p>
    <w:p w14:paraId="157C84AB" w14:textId="77777777" w:rsidR="005E2B57" w:rsidRPr="004068F6" w:rsidRDefault="005E2B57" w:rsidP="004413BF">
      <w:pPr>
        <w:numPr>
          <w:ilvl w:val="12"/>
          <w:numId w:val="0"/>
        </w:numPr>
        <w:tabs>
          <w:tab w:val="left" w:pos="-2268"/>
        </w:tabs>
        <w:suppressAutoHyphens/>
        <w:rPr>
          <w:spacing w:val="-3"/>
        </w:rPr>
      </w:pPr>
    </w:p>
    <w:p w14:paraId="2E530AC8" w14:textId="77777777" w:rsidR="005E2B57" w:rsidRPr="004068F6" w:rsidRDefault="005E2B57" w:rsidP="005E2B57">
      <w:pPr>
        <w:pStyle w:val="Prrafodelista"/>
        <w:numPr>
          <w:ilvl w:val="0"/>
          <w:numId w:val="83"/>
        </w:numPr>
        <w:tabs>
          <w:tab w:val="left" w:pos="-2268"/>
        </w:tabs>
        <w:suppressAutoHyphens/>
        <w:ind w:left="567" w:hanging="567"/>
        <w:rPr>
          <w:spacing w:val="-3"/>
          <w:lang w:val="es-CO"/>
        </w:rPr>
      </w:pPr>
      <w:r w:rsidRPr="004068F6">
        <w:rPr>
          <w:spacing w:val="-3"/>
          <w:lang w:val="es-CO"/>
        </w:rPr>
        <w:t>Riqueza de especies.</w:t>
      </w:r>
    </w:p>
    <w:p w14:paraId="305DE5AB" w14:textId="77777777" w:rsidR="005E2B57" w:rsidRPr="004068F6" w:rsidRDefault="005E2B57" w:rsidP="008A4FE9">
      <w:pPr>
        <w:tabs>
          <w:tab w:val="left" w:pos="-2268"/>
        </w:tabs>
        <w:suppressAutoHyphens/>
        <w:rPr>
          <w:spacing w:val="-3"/>
        </w:rPr>
      </w:pPr>
    </w:p>
    <w:p w14:paraId="42D16489" w14:textId="34B47F6C" w:rsidR="005E2B57" w:rsidRPr="004068F6" w:rsidRDefault="005E2B57" w:rsidP="008A4FE9">
      <w:pPr>
        <w:pStyle w:val="Prrafodelista"/>
        <w:numPr>
          <w:ilvl w:val="0"/>
          <w:numId w:val="83"/>
        </w:numPr>
        <w:tabs>
          <w:tab w:val="left" w:pos="-2268"/>
        </w:tabs>
        <w:suppressAutoHyphens/>
        <w:ind w:left="567" w:hanging="567"/>
        <w:rPr>
          <w:spacing w:val="-3"/>
          <w:lang w:val="es-CO"/>
        </w:rPr>
      </w:pPr>
      <w:r w:rsidRPr="004068F6">
        <w:rPr>
          <w:spacing w:val="-3"/>
          <w:lang w:val="es-CO"/>
        </w:rPr>
        <w:lastRenderedPageBreak/>
        <w:t>Actividad acústica de cada especie o sonotipo a escala temporal (picos de actividad) y espacial (por punto de muestreo</w:t>
      </w:r>
      <w:r w:rsidR="004D6A34" w:rsidRPr="004068F6">
        <w:rPr>
          <w:spacing w:val="-3"/>
          <w:lang w:val="es-CO"/>
        </w:rPr>
        <w:t xml:space="preserve"> y</w:t>
      </w:r>
      <w:r w:rsidRPr="004068F6">
        <w:rPr>
          <w:spacing w:val="-3"/>
          <w:lang w:val="es-CO"/>
        </w:rPr>
        <w:t xml:space="preserve"> cobertura</w:t>
      </w:r>
      <w:r w:rsidR="004D6A34" w:rsidRPr="004068F6">
        <w:rPr>
          <w:spacing w:val="-3"/>
          <w:lang w:val="es-CO"/>
        </w:rPr>
        <w:t>)</w:t>
      </w:r>
      <w:r w:rsidR="004D6A34" w:rsidRPr="00127BD4">
        <w:rPr>
          <w:spacing w:val="-3"/>
          <w:lang w:val="es-CO"/>
        </w:rPr>
        <w:t xml:space="preserve"> </w:t>
      </w:r>
      <w:r w:rsidR="004D6A34" w:rsidRPr="004068F6">
        <w:rPr>
          <w:spacing w:val="-3"/>
          <w:lang w:val="es-CO"/>
        </w:rPr>
        <w:t>según el diseño muestral aplicado</w:t>
      </w:r>
      <w:r w:rsidRPr="004068F6">
        <w:rPr>
          <w:spacing w:val="-3"/>
          <w:lang w:val="es-CO"/>
        </w:rPr>
        <w:t>.</w:t>
      </w:r>
    </w:p>
    <w:p w14:paraId="64E4F94E" w14:textId="77777777" w:rsidR="005E2B57" w:rsidRPr="004068F6" w:rsidRDefault="005E2B57" w:rsidP="008A4FE9">
      <w:pPr>
        <w:tabs>
          <w:tab w:val="left" w:pos="-2268"/>
        </w:tabs>
        <w:suppressAutoHyphens/>
        <w:rPr>
          <w:spacing w:val="-3"/>
        </w:rPr>
      </w:pPr>
    </w:p>
    <w:p w14:paraId="760AB95A" w14:textId="3C0C6F0F" w:rsidR="005E2B57" w:rsidRPr="004068F6" w:rsidRDefault="005E2B57" w:rsidP="008A4FE9">
      <w:pPr>
        <w:pStyle w:val="Prrafodelista"/>
        <w:numPr>
          <w:ilvl w:val="0"/>
          <w:numId w:val="83"/>
        </w:numPr>
        <w:tabs>
          <w:tab w:val="left" w:pos="-2268"/>
        </w:tabs>
        <w:suppressAutoHyphens/>
        <w:ind w:left="567" w:hanging="567"/>
        <w:rPr>
          <w:spacing w:val="-3"/>
          <w:lang w:val="es-CO"/>
        </w:rPr>
      </w:pPr>
      <w:r w:rsidRPr="004068F6">
        <w:rPr>
          <w:spacing w:val="-3"/>
          <w:lang w:val="es-CO"/>
        </w:rPr>
        <w:t>Parámetros acústicos por especie o sonotipo como frecuencias mínima y máxima, máxima energía, duración y clasificación del sonido según el grupo taxonómico.</w:t>
      </w:r>
    </w:p>
    <w:p w14:paraId="2F0F9B2A" w14:textId="77777777" w:rsidR="005E2B57" w:rsidRPr="004068F6" w:rsidRDefault="005E2B57" w:rsidP="008A4FE9">
      <w:pPr>
        <w:tabs>
          <w:tab w:val="left" w:pos="-2268"/>
        </w:tabs>
        <w:suppressAutoHyphens/>
        <w:rPr>
          <w:spacing w:val="-3"/>
        </w:rPr>
      </w:pPr>
    </w:p>
    <w:p w14:paraId="4D3FF3F6" w14:textId="7DB8FE0E" w:rsidR="004413BF" w:rsidRPr="004068F6" w:rsidRDefault="004413BF" w:rsidP="004413BF">
      <w:pPr>
        <w:numPr>
          <w:ilvl w:val="12"/>
          <w:numId w:val="0"/>
        </w:numPr>
        <w:tabs>
          <w:tab w:val="left" w:pos="-2268"/>
        </w:tabs>
        <w:suppressAutoHyphens/>
        <w:rPr>
          <w:spacing w:val="-3"/>
        </w:rPr>
      </w:pPr>
      <w:r w:rsidRPr="004068F6">
        <w:rPr>
          <w:spacing w:val="-3"/>
        </w:rPr>
        <w:t>Para tal efecto se debe considerar lo siguiente:</w:t>
      </w:r>
    </w:p>
    <w:p w14:paraId="48FB13E6" w14:textId="77777777" w:rsidR="004413BF" w:rsidRPr="004068F6" w:rsidRDefault="004413BF" w:rsidP="004413BF">
      <w:pPr>
        <w:numPr>
          <w:ilvl w:val="12"/>
          <w:numId w:val="0"/>
        </w:numPr>
        <w:tabs>
          <w:tab w:val="left" w:pos="-2268"/>
        </w:tabs>
        <w:suppressAutoHyphens/>
        <w:rPr>
          <w:spacing w:val="-3"/>
        </w:rPr>
      </w:pPr>
    </w:p>
    <w:p w14:paraId="090A7BFF" w14:textId="1CF105CF" w:rsidR="004413BF" w:rsidRPr="004068F6" w:rsidRDefault="000E32A7" w:rsidP="004413BF">
      <w:pPr>
        <w:pStyle w:val="Prrafodelista"/>
        <w:numPr>
          <w:ilvl w:val="0"/>
          <w:numId w:val="83"/>
        </w:numPr>
        <w:tabs>
          <w:tab w:val="left" w:pos="-2268"/>
        </w:tabs>
        <w:suppressAutoHyphens/>
        <w:ind w:left="567" w:hanging="567"/>
        <w:rPr>
          <w:spacing w:val="-3"/>
          <w:lang w:val="es-CO"/>
        </w:rPr>
      </w:pPr>
      <w:bookmarkStart w:id="2903" w:name="_Hlk146105394"/>
      <w:r w:rsidRPr="000E32A7">
        <w:rPr>
          <w:spacing w:val="-3"/>
          <w:lang w:val="es-CO"/>
        </w:rPr>
        <w:t>El periodo climático del diseño muestr</w:t>
      </w:r>
      <w:r w:rsidR="00AC3F66">
        <w:rPr>
          <w:spacing w:val="-3"/>
          <w:lang w:val="es-CO"/>
        </w:rPr>
        <w:t xml:space="preserve">al </w:t>
      </w:r>
      <w:r w:rsidRPr="000E32A7">
        <w:rPr>
          <w:spacing w:val="-3"/>
          <w:lang w:val="es-CO"/>
        </w:rPr>
        <w:t xml:space="preserve">de fauna debe coincidir para </w:t>
      </w:r>
      <w:r w:rsidR="009F60F1">
        <w:rPr>
          <w:spacing w:val="-3"/>
          <w:lang w:val="es-CO"/>
        </w:rPr>
        <w:t xml:space="preserve">todos </w:t>
      </w:r>
      <w:r w:rsidRPr="000E32A7">
        <w:rPr>
          <w:spacing w:val="-3"/>
          <w:lang w:val="es-CO"/>
        </w:rPr>
        <w:t xml:space="preserve">los métodos de registro directos e indirectos de los grupos biológicos </w:t>
      </w:r>
      <w:r w:rsidR="001E0FB7">
        <w:rPr>
          <w:spacing w:val="-3"/>
          <w:lang w:val="es-CO"/>
        </w:rPr>
        <w:t>(</w:t>
      </w:r>
      <w:r w:rsidRPr="000E32A7">
        <w:rPr>
          <w:spacing w:val="-3"/>
          <w:lang w:val="es-CO"/>
        </w:rPr>
        <w:t>incluyendo bioacústica</w:t>
      </w:r>
      <w:r w:rsidR="001E0FB7">
        <w:rPr>
          <w:spacing w:val="-3"/>
          <w:lang w:val="es-CO"/>
        </w:rPr>
        <w:t>)</w:t>
      </w:r>
      <w:r w:rsidR="00AC3F66">
        <w:rPr>
          <w:spacing w:val="-3"/>
          <w:lang w:val="es-CO"/>
        </w:rPr>
        <w:t>,</w:t>
      </w:r>
      <w:r w:rsidRPr="000E32A7">
        <w:rPr>
          <w:spacing w:val="-3"/>
          <w:lang w:val="es-CO"/>
        </w:rPr>
        <w:t xml:space="preserve"> a fin de obtener información completa sobre la actividad de los diferentes grupos biológicos</w:t>
      </w:r>
      <w:r w:rsidR="009F60F1">
        <w:rPr>
          <w:spacing w:val="-3"/>
          <w:lang w:val="es-CO"/>
        </w:rPr>
        <w:t>.</w:t>
      </w:r>
      <w:bookmarkEnd w:id="2903"/>
    </w:p>
    <w:p w14:paraId="3AEA85E9" w14:textId="77777777" w:rsidR="005E2B57" w:rsidRPr="004068F6" w:rsidRDefault="005E2B57" w:rsidP="008A4FE9">
      <w:pPr>
        <w:tabs>
          <w:tab w:val="left" w:pos="-2268"/>
        </w:tabs>
        <w:suppressAutoHyphens/>
        <w:rPr>
          <w:spacing w:val="-3"/>
        </w:rPr>
      </w:pPr>
    </w:p>
    <w:p w14:paraId="7243A28D" w14:textId="79948C55" w:rsidR="004413BF" w:rsidRPr="00127BD4" w:rsidRDefault="004413BF" w:rsidP="008A4FE9">
      <w:pPr>
        <w:pStyle w:val="Prrafodelista"/>
        <w:numPr>
          <w:ilvl w:val="0"/>
          <w:numId w:val="83"/>
        </w:numPr>
        <w:tabs>
          <w:tab w:val="left" w:pos="-2268"/>
        </w:tabs>
        <w:suppressAutoHyphens/>
        <w:ind w:left="567" w:hanging="567"/>
        <w:rPr>
          <w:spacing w:val="-3"/>
          <w:lang w:val="es-CO"/>
        </w:rPr>
      </w:pPr>
      <w:r w:rsidRPr="004068F6">
        <w:rPr>
          <w:spacing w:val="-3"/>
          <w:lang w:val="es-CO"/>
        </w:rPr>
        <w:t xml:space="preserve">La tasa de muestreo </w:t>
      </w:r>
      <w:r w:rsidR="006916DF" w:rsidRPr="004068F6">
        <w:rPr>
          <w:spacing w:val="-3"/>
          <w:lang w:val="es-CO"/>
        </w:rPr>
        <w:t>bio</w:t>
      </w:r>
      <w:r w:rsidR="005E6D05" w:rsidRPr="004068F6">
        <w:rPr>
          <w:spacing w:val="-3"/>
          <w:lang w:val="es-CO"/>
        </w:rPr>
        <w:t>acústic</w:t>
      </w:r>
      <w:r w:rsidR="00F0129E" w:rsidRPr="004068F6">
        <w:rPr>
          <w:spacing w:val="-3"/>
          <w:lang w:val="es-CO"/>
        </w:rPr>
        <w:t>o</w:t>
      </w:r>
      <w:r w:rsidR="005E6D05" w:rsidRPr="004068F6">
        <w:rPr>
          <w:spacing w:val="-3"/>
          <w:lang w:val="es-CO"/>
        </w:rPr>
        <w:t xml:space="preserve"> </w:t>
      </w:r>
      <w:r w:rsidRPr="004068F6">
        <w:rPr>
          <w:spacing w:val="-3"/>
          <w:lang w:val="es-CO"/>
        </w:rPr>
        <w:t xml:space="preserve">debe ser coherente con el grupo </w:t>
      </w:r>
      <w:r w:rsidR="007C58E1" w:rsidRPr="004068F6">
        <w:rPr>
          <w:spacing w:val="-3"/>
          <w:lang w:val="es-CO"/>
        </w:rPr>
        <w:t xml:space="preserve">biológico a </w:t>
      </w:r>
      <w:r w:rsidRPr="004068F6">
        <w:rPr>
          <w:spacing w:val="-3"/>
          <w:lang w:val="es-CO"/>
        </w:rPr>
        <w:t>muestre</w:t>
      </w:r>
      <w:r w:rsidR="007C58E1" w:rsidRPr="004068F6">
        <w:rPr>
          <w:spacing w:val="-3"/>
          <w:lang w:val="es-CO"/>
        </w:rPr>
        <w:t>ar,</w:t>
      </w:r>
      <w:r w:rsidRPr="004068F6">
        <w:rPr>
          <w:spacing w:val="-3"/>
          <w:lang w:val="es-CO"/>
        </w:rPr>
        <w:t xml:space="preserve"> por ejemplo</w:t>
      </w:r>
      <w:r w:rsidR="007C58E1" w:rsidRPr="004068F6">
        <w:rPr>
          <w:spacing w:val="-3"/>
          <w:lang w:val="es-CO"/>
        </w:rPr>
        <w:t xml:space="preserve">, </w:t>
      </w:r>
      <w:r w:rsidRPr="004068F6">
        <w:rPr>
          <w:spacing w:val="-3"/>
          <w:lang w:val="es-CO"/>
        </w:rPr>
        <w:t>espectro audible para avifauna y ultrasonido para quirópterofauna. Las grabaciones deben realizarse en formato .wav a una resolución mínima de 16 bits.</w:t>
      </w:r>
    </w:p>
    <w:p w14:paraId="57BB7C1A" w14:textId="77777777" w:rsidR="005E2B57" w:rsidRPr="004068F6" w:rsidRDefault="005E2B57" w:rsidP="008A4FE9">
      <w:pPr>
        <w:tabs>
          <w:tab w:val="left" w:pos="-2268"/>
        </w:tabs>
        <w:suppressAutoHyphens/>
        <w:rPr>
          <w:spacing w:val="-3"/>
        </w:rPr>
      </w:pPr>
    </w:p>
    <w:p w14:paraId="27BFEEEA" w14:textId="65789117" w:rsidR="004413BF" w:rsidRPr="00127BD4" w:rsidRDefault="004413BF" w:rsidP="008A4FE9">
      <w:pPr>
        <w:pStyle w:val="Prrafodelista"/>
        <w:numPr>
          <w:ilvl w:val="0"/>
          <w:numId w:val="83"/>
        </w:numPr>
        <w:tabs>
          <w:tab w:val="left" w:pos="-2268"/>
        </w:tabs>
        <w:suppressAutoHyphens/>
        <w:ind w:left="567" w:hanging="567"/>
        <w:rPr>
          <w:spacing w:val="-3"/>
          <w:lang w:val="es-CO"/>
        </w:rPr>
      </w:pPr>
      <w:r w:rsidRPr="004068F6">
        <w:rPr>
          <w:spacing w:val="-3"/>
          <w:lang w:val="es-CO"/>
        </w:rPr>
        <w:t>La</w:t>
      </w:r>
      <w:r w:rsidR="003032EE" w:rsidRPr="004068F6">
        <w:rPr>
          <w:spacing w:val="-3"/>
          <w:lang w:val="es-CO"/>
        </w:rPr>
        <w:t xml:space="preserve"> cantidad de la</w:t>
      </w:r>
      <w:r w:rsidRPr="004068F6">
        <w:rPr>
          <w:spacing w:val="-3"/>
          <w:lang w:val="es-CO"/>
        </w:rPr>
        <w:t xml:space="preserve">s unidades de muestreo para los muestreos acústicos pasivos se debe establecer en función de la cobertura </w:t>
      </w:r>
      <w:r w:rsidR="003021EC" w:rsidRPr="004068F6">
        <w:rPr>
          <w:spacing w:val="-3"/>
          <w:lang w:val="es-CO"/>
        </w:rPr>
        <w:t>la tierra</w:t>
      </w:r>
      <w:r w:rsidRPr="004068F6">
        <w:rPr>
          <w:spacing w:val="-3"/>
          <w:lang w:val="es-CO"/>
        </w:rPr>
        <w:t>, focalizando la caracterización en los sitios donde se proyecta la ejecución de actividades.</w:t>
      </w:r>
    </w:p>
    <w:p w14:paraId="17E5B548" w14:textId="77777777" w:rsidR="005E2B57" w:rsidRPr="004068F6" w:rsidRDefault="005E2B57" w:rsidP="008A4FE9">
      <w:pPr>
        <w:tabs>
          <w:tab w:val="left" w:pos="-2268"/>
        </w:tabs>
        <w:suppressAutoHyphens/>
        <w:rPr>
          <w:spacing w:val="-3"/>
        </w:rPr>
      </w:pPr>
    </w:p>
    <w:p w14:paraId="6D593FA7" w14:textId="4AA45FA8" w:rsidR="00844B87" w:rsidRPr="00CD4321" w:rsidRDefault="00844B87" w:rsidP="00127BD4">
      <w:pPr>
        <w:pStyle w:val="Prrafodelista"/>
        <w:numPr>
          <w:ilvl w:val="0"/>
          <w:numId w:val="83"/>
        </w:numPr>
        <w:tabs>
          <w:tab w:val="left" w:pos="-2268"/>
        </w:tabs>
        <w:suppressAutoHyphens/>
        <w:ind w:left="567" w:hanging="567"/>
        <w:rPr>
          <w:spacing w:val="-3"/>
        </w:rPr>
      </w:pPr>
      <w:r w:rsidRPr="00127BD4">
        <w:rPr>
          <w:spacing w:val="-3"/>
          <w:lang w:val="es-CO"/>
        </w:rPr>
        <w:t>En los casos de estimación de</w:t>
      </w:r>
      <w:r w:rsidRPr="00CD4321">
        <w:rPr>
          <w:spacing w:val="-3"/>
          <w:lang w:val="es-CO"/>
        </w:rPr>
        <w:t xml:space="preserve"> </w:t>
      </w:r>
      <w:r w:rsidRPr="00127BD4">
        <w:rPr>
          <w:spacing w:val="-3"/>
          <w:lang w:val="es-CO"/>
        </w:rPr>
        <w:t>curvas de patrones de actividad de aves, anfibios y mamíferos</w:t>
      </w:r>
      <w:r w:rsidR="00295BA0" w:rsidRPr="00CD4321">
        <w:rPr>
          <w:spacing w:val="-3"/>
          <w:lang w:val="es-CO"/>
        </w:rPr>
        <w:t>, se deben</w:t>
      </w:r>
      <w:r w:rsidRPr="00127BD4">
        <w:rPr>
          <w:spacing w:val="-3"/>
          <w:lang w:val="es-CO"/>
        </w:rPr>
        <w:t xml:space="preserve"> contemplar los picos de actividad acústica (número de detecciones) para cada sonotipo / sonoespecie más representativo y sensible identificado durante el muestreo. Las curvas de patrones de actividad deben permitir la comparación de las unidades de análisis empleadas para la caracterización de los ecosistemas.</w:t>
      </w:r>
    </w:p>
    <w:p w14:paraId="5CD99D5C" w14:textId="77777777" w:rsidR="00844B87" w:rsidRPr="004068F6" w:rsidRDefault="00844B87" w:rsidP="008A4FE9">
      <w:pPr>
        <w:tabs>
          <w:tab w:val="left" w:pos="-2268"/>
        </w:tabs>
        <w:suppressAutoHyphens/>
        <w:rPr>
          <w:spacing w:val="-3"/>
        </w:rPr>
      </w:pPr>
    </w:p>
    <w:p w14:paraId="093D4BDF" w14:textId="3D6B51E2" w:rsidR="004413BF" w:rsidRPr="004068F6" w:rsidRDefault="009C1846" w:rsidP="004413BF">
      <w:pPr>
        <w:pStyle w:val="Prrafodelista"/>
        <w:numPr>
          <w:ilvl w:val="0"/>
          <w:numId w:val="83"/>
        </w:numPr>
        <w:tabs>
          <w:tab w:val="left" w:pos="-2268"/>
        </w:tabs>
        <w:suppressAutoHyphens/>
        <w:ind w:left="567" w:hanging="567"/>
        <w:rPr>
          <w:spacing w:val="-3"/>
          <w:lang w:val="es-CO"/>
        </w:rPr>
      </w:pPr>
      <w:r w:rsidRPr="004068F6">
        <w:rPr>
          <w:spacing w:val="-3"/>
          <w:lang w:val="es-CO"/>
        </w:rPr>
        <w:t xml:space="preserve">Los </w:t>
      </w:r>
      <w:r w:rsidR="004413BF" w:rsidRPr="004068F6">
        <w:rPr>
          <w:spacing w:val="-3"/>
          <w:lang w:val="es-CO"/>
        </w:rPr>
        <w:t>recorridos de grabación por unidad de muestreo</w:t>
      </w:r>
      <w:r w:rsidRPr="004068F6">
        <w:rPr>
          <w:spacing w:val="-3"/>
          <w:lang w:val="es-CO"/>
        </w:rPr>
        <w:t xml:space="preserve"> deben </w:t>
      </w:r>
      <w:r w:rsidR="004413BF" w:rsidRPr="004068F6">
        <w:rPr>
          <w:spacing w:val="-3"/>
          <w:lang w:val="es-CO"/>
        </w:rPr>
        <w:t>cubr</w:t>
      </w:r>
      <w:r w:rsidRPr="004068F6">
        <w:rPr>
          <w:spacing w:val="-3"/>
          <w:lang w:val="es-CO"/>
        </w:rPr>
        <w:t xml:space="preserve">ir como mínimo </w:t>
      </w:r>
      <w:bookmarkStart w:id="2904" w:name="_Hlk146105712"/>
      <w:r w:rsidR="004413BF" w:rsidRPr="004068F6">
        <w:rPr>
          <w:spacing w:val="-3"/>
          <w:lang w:val="es-CO"/>
        </w:rPr>
        <w:t xml:space="preserve">los picos de actividad de </w:t>
      </w:r>
      <w:r w:rsidR="005E2B57" w:rsidRPr="004068F6">
        <w:rPr>
          <w:spacing w:val="-3"/>
          <w:lang w:val="es-CO"/>
        </w:rPr>
        <w:t xml:space="preserve">la </w:t>
      </w:r>
      <w:r w:rsidR="004413BF" w:rsidRPr="004068F6">
        <w:rPr>
          <w:spacing w:val="-3"/>
          <w:lang w:val="es-CO"/>
        </w:rPr>
        <w:t>fauna.</w:t>
      </w:r>
      <w:bookmarkEnd w:id="2904"/>
    </w:p>
    <w:p w14:paraId="34995731" w14:textId="77777777" w:rsidR="005E2B57" w:rsidRPr="004068F6" w:rsidRDefault="005E2B57" w:rsidP="005E2B57">
      <w:pPr>
        <w:tabs>
          <w:tab w:val="left" w:pos="-2268"/>
        </w:tabs>
        <w:suppressAutoHyphens/>
        <w:rPr>
          <w:spacing w:val="-3"/>
        </w:rPr>
      </w:pPr>
    </w:p>
    <w:p w14:paraId="23A0F9E9" w14:textId="533055E7" w:rsidR="005E2B57" w:rsidRPr="004068F6" w:rsidRDefault="00140A33" w:rsidP="005E2B57">
      <w:pPr>
        <w:tabs>
          <w:tab w:val="left" w:pos="-2268"/>
        </w:tabs>
        <w:suppressAutoHyphens/>
        <w:rPr>
          <w:spacing w:val="-3"/>
        </w:rPr>
      </w:pPr>
      <w:r w:rsidRPr="004068F6">
        <w:rPr>
          <w:spacing w:val="-3"/>
        </w:rPr>
        <w:t>P</w:t>
      </w:r>
      <w:r w:rsidR="005E2B57" w:rsidRPr="004068F6">
        <w:rPr>
          <w:spacing w:val="-3"/>
        </w:rPr>
        <w:t xml:space="preserve">resentar soportes de audio por especie o sonotipo que permitan </w:t>
      </w:r>
      <w:r w:rsidR="005233E7" w:rsidRPr="004068F6">
        <w:rPr>
          <w:spacing w:val="-3"/>
        </w:rPr>
        <w:t>validar el reporte</w:t>
      </w:r>
      <w:r w:rsidR="005E2B57" w:rsidRPr="004068F6">
        <w:rPr>
          <w:spacing w:val="-3"/>
        </w:rPr>
        <w:t>.</w:t>
      </w:r>
    </w:p>
    <w:p w14:paraId="2BD3FAB4" w14:textId="77777777" w:rsidR="004413BF" w:rsidRPr="004068F6" w:rsidRDefault="004413BF">
      <w:pPr>
        <w:numPr>
          <w:ilvl w:val="12"/>
          <w:numId w:val="0"/>
        </w:numPr>
        <w:tabs>
          <w:tab w:val="left" w:pos="-2268"/>
        </w:tabs>
        <w:suppressAutoHyphens/>
        <w:rPr>
          <w:spacing w:val="-3"/>
        </w:rPr>
      </w:pPr>
    </w:p>
    <w:p w14:paraId="17EDFCD9" w14:textId="46D04A2B" w:rsidR="00482A5F" w:rsidRPr="004068F6" w:rsidRDefault="00482A5F">
      <w:pPr>
        <w:numPr>
          <w:ilvl w:val="12"/>
          <w:numId w:val="0"/>
        </w:numPr>
        <w:tabs>
          <w:tab w:val="left" w:pos="-2268"/>
        </w:tabs>
        <w:suppressAutoHyphens/>
        <w:rPr>
          <w:spacing w:val="-3"/>
        </w:rPr>
      </w:pPr>
      <w:r w:rsidRPr="004068F6">
        <w:rPr>
          <w:spacing w:val="-3"/>
        </w:rPr>
        <w:t xml:space="preserve">Cabe recordar que la máxima eficiencia y efectividad en muestreos breves de fauna, se alcanza empleando una combinación de métodos como los anteriormente </w:t>
      </w:r>
      <w:r w:rsidR="00B66B64" w:rsidRPr="004068F6">
        <w:rPr>
          <w:spacing w:val="-3"/>
        </w:rPr>
        <w:t>señalados</w:t>
      </w:r>
      <w:r w:rsidRPr="004068F6">
        <w:rPr>
          <w:spacing w:val="-3"/>
        </w:rPr>
        <w:t>.</w:t>
      </w:r>
    </w:p>
    <w:p w14:paraId="2009D8EA" w14:textId="77777777" w:rsidR="00482A5F" w:rsidRPr="004068F6" w:rsidRDefault="00482A5F">
      <w:pPr>
        <w:numPr>
          <w:ilvl w:val="12"/>
          <w:numId w:val="0"/>
        </w:numPr>
        <w:tabs>
          <w:tab w:val="left" w:pos="-2268"/>
        </w:tabs>
        <w:suppressAutoHyphens/>
        <w:rPr>
          <w:spacing w:val="-3"/>
        </w:rPr>
      </w:pPr>
    </w:p>
    <w:p w14:paraId="34D358CF" w14:textId="2F153037" w:rsidR="00482A5F" w:rsidRPr="004068F6" w:rsidRDefault="00482A5F">
      <w:pPr>
        <w:numPr>
          <w:ilvl w:val="12"/>
          <w:numId w:val="0"/>
        </w:numPr>
        <w:tabs>
          <w:tab w:val="left" w:pos="-2268"/>
        </w:tabs>
        <w:suppressAutoHyphens/>
        <w:rPr>
          <w:spacing w:val="-3"/>
        </w:rPr>
      </w:pPr>
      <w:r w:rsidRPr="004068F6">
        <w:rPr>
          <w:spacing w:val="-3"/>
        </w:rPr>
        <w:t xml:space="preserve">La determinación taxonómica de algunos especímenes de fauna requiere del estudio de caracteres en laboratorio, por ejemplo, el conteo y revisión de escamas para </w:t>
      </w:r>
      <w:r w:rsidRPr="004068F6">
        <w:rPr>
          <w:spacing w:val="-3"/>
        </w:rPr>
        <w:lastRenderedPageBreak/>
        <w:t xml:space="preserve">reptiles, así como la revisión de cráneos para mamíferos pequeños como murciélagos o ratones. Es importante precisar que el registro fotográfico no siempre es suficiente para la posterior </w:t>
      </w:r>
      <w:r w:rsidR="004171A4" w:rsidRPr="004068F6">
        <w:rPr>
          <w:spacing w:val="-3"/>
        </w:rPr>
        <w:t xml:space="preserve">determinación </w:t>
      </w:r>
      <w:r w:rsidRPr="004068F6">
        <w:rPr>
          <w:spacing w:val="-3"/>
        </w:rPr>
        <w:t xml:space="preserve">taxonómica de las especies, ya que en muchos casos es necesaria la observación de caracteres diagnósticos </w:t>
      </w:r>
      <w:r w:rsidRPr="004068F6">
        <w:rPr>
          <w:i/>
          <w:spacing w:val="-3"/>
        </w:rPr>
        <w:t>in situ</w:t>
      </w:r>
      <w:r w:rsidRPr="004068F6">
        <w:rPr>
          <w:spacing w:val="-3"/>
        </w:rPr>
        <w:t>, que no son fáciles de observar en las fotografías (</w:t>
      </w:r>
      <w:r w:rsidR="00041844" w:rsidRPr="004068F6">
        <w:rPr>
          <w:spacing w:val="-3"/>
        </w:rPr>
        <w:t>p. ej.</w:t>
      </w:r>
      <w:r w:rsidRPr="004068F6">
        <w:rPr>
          <w:spacing w:val="-3"/>
        </w:rPr>
        <w:t xml:space="preserve"> datos cromáticos para la </w:t>
      </w:r>
      <w:r w:rsidR="004171A4" w:rsidRPr="004068F6">
        <w:rPr>
          <w:spacing w:val="-3"/>
        </w:rPr>
        <w:t xml:space="preserve">determinación </w:t>
      </w:r>
      <w:r w:rsidRPr="004068F6">
        <w:rPr>
          <w:spacing w:val="-3"/>
        </w:rPr>
        <w:t xml:space="preserve">de anfibios). Por tanto, se enfatiza </w:t>
      </w:r>
      <w:r w:rsidR="00D6501E" w:rsidRPr="004068F6">
        <w:rPr>
          <w:spacing w:val="-3"/>
        </w:rPr>
        <w:t xml:space="preserve">en la posibilidad de </w:t>
      </w:r>
      <w:r w:rsidRPr="004068F6">
        <w:rPr>
          <w:spacing w:val="-3"/>
        </w:rPr>
        <w:t xml:space="preserve">recolección definitiva de especímenes </w:t>
      </w:r>
      <w:r w:rsidR="00DB2FD4" w:rsidRPr="004068F6">
        <w:rPr>
          <w:spacing w:val="-3"/>
        </w:rPr>
        <w:t xml:space="preserve">como </w:t>
      </w:r>
      <w:r w:rsidRPr="004068F6">
        <w:rPr>
          <w:spacing w:val="-3"/>
        </w:rPr>
        <w:t xml:space="preserve">actividad científica de gran importancia y utilidad para el desarrollo de los inventarios y caracterizaciones de línea base, </w:t>
      </w:r>
      <w:r w:rsidRPr="004068F6">
        <w:rPr>
          <w:rFonts w:cs="Arial"/>
          <w:spacing w:val="-3"/>
        </w:rPr>
        <w:t xml:space="preserve">teniendo en cuenta los </w:t>
      </w:r>
      <w:r w:rsidR="008F61E7" w:rsidRPr="004068F6">
        <w:rPr>
          <w:rFonts w:cs="Arial"/>
          <w:spacing w:val="-3"/>
        </w:rPr>
        <w:t>límites</w:t>
      </w:r>
      <w:r w:rsidRPr="004068F6">
        <w:rPr>
          <w:rFonts w:cs="Arial"/>
          <w:spacing w:val="-3"/>
        </w:rPr>
        <w:t xml:space="preserve"> autorizados en el permiso de colecta</w:t>
      </w:r>
      <w:r w:rsidRPr="004068F6">
        <w:rPr>
          <w:spacing w:val="-3"/>
        </w:rPr>
        <w:t>.</w:t>
      </w:r>
    </w:p>
    <w:p w14:paraId="2B02C1D6" w14:textId="77777777" w:rsidR="00482A5F" w:rsidRPr="004068F6" w:rsidRDefault="00482A5F">
      <w:pPr>
        <w:numPr>
          <w:ilvl w:val="12"/>
          <w:numId w:val="0"/>
        </w:numPr>
        <w:tabs>
          <w:tab w:val="left" w:pos="-2268"/>
        </w:tabs>
        <w:suppressAutoHyphens/>
        <w:rPr>
          <w:spacing w:val="-3"/>
        </w:rPr>
      </w:pPr>
    </w:p>
    <w:p w14:paraId="23D2F0E8" w14:textId="77777777" w:rsidR="00482A5F" w:rsidRPr="004068F6" w:rsidRDefault="00482A5F">
      <w:pPr>
        <w:tabs>
          <w:tab w:val="left" w:pos="-2268"/>
        </w:tabs>
        <w:suppressAutoHyphens/>
        <w:rPr>
          <w:spacing w:val="-3"/>
          <w:u w:val="single"/>
        </w:rPr>
      </w:pPr>
      <w:r w:rsidRPr="004068F6">
        <w:rPr>
          <w:spacing w:val="-3"/>
          <w:u w:val="single"/>
        </w:rPr>
        <w:t>Fase de análisis:</w:t>
      </w:r>
    </w:p>
    <w:p w14:paraId="6E70B6AA" w14:textId="77777777" w:rsidR="00482A5F" w:rsidRPr="004068F6" w:rsidRDefault="00482A5F">
      <w:pPr>
        <w:numPr>
          <w:ilvl w:val="12"/>
          <w:numId w:val="0"/>
        </w:numPr>
        <w:tabs>
          <w:tab w:val="left" w:pos="-2268"/>
        </w:tabs>
        <w:suppressAutoHyphens/>
        <w:rPr>
          <w:spacing w:val="-3"/>
        </w:rPr>
      </w:pPr>
    </w:p>
    <w:p w14:paraId="751C9569" w14:textId="7A7E4C91" w:rsidR="00482A5F" w:rsidRPr="004068F6" w:rsidRDefault="00482A5F">
      <w:pPr>
        <w:numPr>
          <w:ilvl w:val="12"/>
          <w:numId w:val="0"/>
        </w:numPr>
        <w:tabs>
          <w:tab w:val="left" w:pos="-2268"/>
        </w:tabs>
        <w:suppressAutoHyphens/>
        <w:rPr>
          <w:spacing w:val="-3"/>
        </w:rPr>
      </w:pPr>
      <w:r w:rsidRPr="004068F6">
        <w:rPr>
          <w:spacing w:val="-3"/>
        </w:rPr>
        <w:t xml:space="preserve">Determinar a nivel de especie o al </w:t>
      </w:r>
      <w:r w:rsidR="005B624E" w:rsidRPr="004068F6">
        <w:rPr>
          <w:spacing w:val="-3"/>
        </w:rPr>
        <w:t xml:space="preserve">mayor </w:t>
      </w:r>
      <w:r w:rsidR="00B66B64" w:rsidRPr="004068F6">
        <w:rPr>
          <w:spacing w:val="-3"/>
        </w:rPr>
        <w:t xml:space="preserve">grado de </w:t>
      </w:r>
      <w:r w:rsidR="005B624E" w:rsidRPr="004068F6">
        <w:rPr>
          <w:spacing w:val="-3"/>
        </w:rPr>
        <w:t>de</w:t>
      </w:r>
      <w:r w:rsidR="00B66B64" w:rsidRPr="004068F6">
        <w:rPr>
          <w:spacing w:val="-3"/>
        </w:rPr>
        <w:t xml:space="preserve">talle </w:t>
      </w:r>
      <w:r w:rsidR="005B624E" w:rsidRPr="004068F6">
        <w:rPr>
          <w:spacing w:val="-3"/>
        </w:rPr>
        <w:t>taxonómic</w:t>
      </w:r>
      <w:r w:rsidR="00B66B64" w:rsidRPr="004068F6">
        <w:rPr>
          <w:spacing w:val="-3"/>
        </w:rPr>
        <w:t>o</w:t>
      </w:r>
      <w:r w:rsidRPr="004068F6">
        <w:rPr>
          <w:spacing w:val="-3"/>
        </w:rPr>
        <w:t xml:space="preserve"> posible cada uno de los especímenes registrados. La nomenclatura taxonómica debe seguir la versión más actualizada de las siguientes autoridades: para anfibios Amphibian Species of the World</w:t>
      </w:r>
      <w:r w:rsidRPr="004068F6">
        <w:rPr>
          <w:rStyle w:val="Refdenotaalpie"/>
          <w:rFonts w:cs="Arial"/>
          <w:spacing w:val="-3"/>
          <w:lang w:val="es-CO"/>
        </w:rPr>
        <w:footnoteReference w:id="152"/>
      </w:r>
      <w:r w:rsidR="005B624E" w:rsidRPr="004068F6">
        <w:rPr>
          <w:spacing w:val="-3"/>
        </w:rPr>
        <w:t xml:space="preserve"> y la lista de anfibios de Colombia</w:t>
      </w:r>
      <w:r w:rsidR="005B624E" w:rsidRPr="004068F6">
        <w:rPr>
          <w:rStyle w:val="Refdenotaalpie"/>
          <w:spacing w:val="-3"/>
          <w:lang w:val="es-CO"/>
        </w:rPr>
        <w:footnoteReference w:id="153"/>
      </w:r>
      <w:r w:rsidR="00B66B64" w:rsidRPr="004068F6">
        <w:rPr>
          <w:spacing w:val="-3"/>
        </w:rPr>
        <w:t>;</w:t>
      </w:r>
      <w:r w:rsidRPr="004068F6">
        <w:rPr>
          <w:spacing w:val="-3"/>
        </w:rPr>
        <w:t xml:space="preserve"> para reptiles The reptile database</w:t>
      </w:r>
      <w:r w:rsidRPr="004068F6">
        <w:rPr>
          <w:rStyle w:val="Refdenotaalpie"/>
          <w:rFonts w:cs="Arial"/>
          <w:spacing w:val="-3"/>
          <w:lang w:val="es-CO"/>
        </w:rPr>
        <w:footnoteReference w:id="154"/>
      </w:r>
      <w:r w:rsidR="00B66B64" w:rsidRPr="004068F6">
        <w:rPr>
          <w:spacing w:val="-3"/>
        </w:rPr>
        <w:t>;</w:t>
      </w:r>
      <w:r w:rsidRPr="004068F6">
        <w:rPr>
          <w:spacing w:val="-3"/>
        </w:rPr>
        <w:t xml:space="preserve"> para aves American Ornithologists’ Union</w:t>
      </w:r>
      <w:r w:rsidRPr="004068F6">
        <w:rPr>
          <w:rStyle w:val="Refdenotaalpie"/>
          <w:rFonts w:cs="Arial"/>
          <w:spacing w:val="-3"/>
          <w:lang w:val="es-CO"/>
        </w:rPr>
        <w:footnoteReference w:id="155"/>
      </w:r>
      <w:r w:rsidRPr="004068F6">
        <w:rPr>
          <w:spacing w:val="-3"/>
        </w:rPr>
        <w:t xml:space="preserve"> y</w:t>
      </w:r>
      <w:r w:rsidR="00B66B64" w:rsidRPr="004068F6">
        <w:rPr>
          <w:spacing w:val="-3"/>
        </w:rPr>
        <w:t>;</w:t>
      </w:r>
      <w:r w:rsidRPr="004068F6">
        <w:rPr>
          <w:spacing w:val="-3"/>
        </w:rPr>
        <w:t xml:space="preserve"> para mamíferos Mammal species of the world</w:t>
      </w:r>
      <w:r w:rsidRPr="004068F6">
        <w:rPr>
          <w:rStyle w:val="Refdenotaalpie"/>
          <w:rFonts w:cs="Arial"/>
          <w:spacing w:val="-3"/>
          <w:lang w:val="es-CO"/>
        </w:rPr>
        <w:footnoteReference w:id="156"/>
      </w:r>
      <w:r w:rsidRPr="004068F6">
        <w:rPr>
          <w:spacing w:val="-3"/>
        </w:rPr>
        <w:t>.</w:t>
      </w:r>
      <w:r w:rsidRPr="004068F6">
        <w:rPr>
          <w:rFonts w:cs="Arial"/>
          <w:spacing w:val="-3"/>
        </w:rPr>
        <w:t xml:space="preserve"> Sin embargo, se debe</w:t>
      </w:r>
      <w:r w:rsidR="00B66B64" w:rsidRPr="004068F6">
        <w:rPr>
          <w:rFonts w:cs="Arial"/>
          <w:spacing w:val="-3"/>
        </w:rPr>
        <w:t>n</w:t>
      </w:r>
      <w:r w:rsidRPr="004068F6">
        <w:rPr>
          <w:rFonts w:cs="Arial"/>
          <w:spacing w:val="-3"/>
        </w:rPr>
        <w:t xml:space="preserve"> tener en cuenta las publicaciones </w:t>
      </w:r>
      <w:r w:rsidR="00E01495" w:rsidRPr="004068F6">
        <w:rPr>
          <w:rFonts w:cs="Arial"/>
          <w:spacing w:val="-3"/>
        </w:rPr>
        <w:t xml:space="preserve">y listados </w:t>
      </w:r>
      <w:r w:rsidR="00683543" w:rsidRPr="004068F6">
        <w:rPr>
          <w:rFonts w:cs="Arial"/>
          <w:spacing w:val="-3"/>
        </w:rPr>
        <w:t xml:space="preserve">taxonómicos </w:t>
      </w:r>
      <w:r w:rsidR="00E01495" w:rsidRPr="004068F6">
        <w:rPr>
          <w:rFonts w:cs="Arial"/>
          <w:spacing w:val="-3"/>
        </w:rPr>
        <w:t>de referencia oficiales nacionales más actualizad</w:t>
      </w:r>
      <w:r w:rsidR="00B97DAB" w:rsidRPr="004068F6">
        <w:rPr>
          <w:rFonts w:cs="Arial"/>
          <w:spacing w:val="-3"/>
        </w:rPr>
        <w:t>o</w:t>
      </w:r>
      <w:r w:rsidR="00E01495" w:rsidRPr="004068F6">
        <w:rPr>
          <w:rFonts w:cs="Arial"/>
          <w:spacing w:val="-3"/>
        </w:rPr>
        <w:t xml:space="preserve">s para </w:t>
      </w:r>
      <w:r w:rsidR="00A012D1" w:rsidRPr="004068F6">
        <w:rPr>
          <w:rFonts w:cs="Arial"/>
          <w:spacing w:val="-3"/>
        </w:rPr>
        <w:t>grupos biológicos</w:t>
      </w:r>
      <w:r w:rsidR="009118F4" w:rsidRPr="004068F6">
        <w:rPr>
          <w:rFonts w:cs="Arial"/>
          <w:spacing w:val="-3"/>
        </w:rPr>
        <w:t xml:space="preserve"> </w:t>
      </w:r>
      <w:r w:rsidR="00994052" w:rsidRPr="004068F6">
        <w:rPr>
          <w:rFonts w:cs="Arial"/>
          <w:spacing w:val="-3"/>
        </w:rPr>
        <w:t xml:space="preserve">como </w:t>
      </w:r>
      <w:r w:rsidR="00A012D1" w:rsidRPr="004068F6">
        <w:rPr>
          <w:rFonts w:cs="Arial"/>
          <w:spacing w:val="-3"/>
        </w:rPr>
        <w:t xml:space="preserve">peces dulceacuícolas, flora acuática continental, macroinvertebrados acuáticos continentales, entre otros </w:t>
      </w:r>
      <w:r w:rsidR="009118F4" w:rsidRPr="004068F6">
        <w:rPr>
          <w:rFonts w:cs="Arial"/>
          <w:spacing w:val="-3"/>
        </w:rPr>
        <w:t>grupos</w:t>
      </w:r>
      <w:r w:rsidR="0078358A" w:rsidRPr="004068F6">
        <w:rPr>
          <w:rFonts w:cs="Arial"/>
          <w:spacing w:val="-3"/>
        </w:rPr>
        <w:t xml:space="preserve">, que se encuentran </w:t>
      </w:r>
      <w:r w:rsidR="00E01495" w:rsidRPr="004068F6">
        <w:rPr>
          <w:rFonts w:cs="Arial"/>
          <w:spacing w:val="-3"/>
        </w:rPr>
        <w:t>consolidados y publicados por el Sistema de Información sobre Biodiversidad de Colombia (SiB Colombia)</w:t>
      </w:r>
      <w:r w:rsidR="005B624E" w:rsidRPr="004068F6">
        <w:rPr>
          <w:rStyle w:val="Refdenotaalpie"/>
          <w:rFonts w:cs="Arial"/>
          <w:spacing w:val="-3"/>
          <w:lang w:val="es-CO"/>
        </w:rPr>
        <w:footnoteReference w:id="157"/>
      </w:r>
      <w:r w:rsidRPr="004068F6">
        <w:rPr>
          <w:rFonts w:cs="Arial"/>
          <w:spacing w:val="-3"/>
        </w:rPr>
        <w:t>.</w:t>
      </w:r>
    </w:p>
    <w:p w14:paraId="649CCE82" w14:textId="77777777" w:rsidR="00482A5F" w:rsidRPr="004068F6" w:rsidRDefault="00482A5F">
      <w:pPr>
        <w:numPr>
          <w:ilvl w:val="12"/>
          <w:numId w:val="0"/>
        </w:numPr>
        <w:tabs>
          <w:tab w:val="left" w:pos="-2268"/>
        </w:tabs>
        <w:suppressAutoHyphens/>
        <w:rPr>
          <w:spacing w:val="-3"/>
        </w:rPr>
      </w:pPr>
    </w:p>
    <w:p w14:paraId="6EAB4AAF" w14:textId="70F6766C" w:rsidR="00482A5F" w:rsidRPr="004068F6" w:rsidRDefault="00482A5F">
      <w:pPr>
        <w:numPr>
          <w:ilvl w:val="12"/>
          <w:numId w:val="0"/>
        </w:numPr>
        <w:tabs>
          <w:tab w:val="left" w:pos="-2268"/>
        </w:tabs>
        <w:suppressAutoHyphens/>
        <w:rPr>
          <w:spacing w:val="-3"/>
        </w:rPr>
      </w:pPr>
      <w:r w:rsidRPr="004068F6">
        <w:rPr>
          <w:spacing w:val="-3"/>
        </w:rPr>
        <w:t xml:space="preserve">Con la información colectada se deben elaborar matrices basadas en los listados de especies. </w:t>
      </w:r>
      <w:r w:rsidRPr="004068F6">
        <w:rPr>
          <w:rFonts w:cs="Arial"/>
          <w:spacing w:val="-3"/>
        </w:rPr>
        <w:t>Para</w:t>
      </w:r>
      <w:r w:rsidRPr="004068F6">
        <w:rPr>
          <w:spacing w:val="-3"/>
        </w:rPr>
        <w:t xml:space="preserve"> cada una de las especies</w:t>
      </w:r>
      <w:r w:rsidR="00597E39" w:rsidRPr="004068F6">
        <w:rPr>
          <w:spacing w:val="-3"/>
        </w:rPr>
        <w:t>,</w:t>
      </w:r>
      <w:r w:rsidRPr="004068F6">
        <w:rPr>
          <w:spacing w:val="-3"/>
        </w:rPr>
        <w:t xml:space="preserve"> </w:t>
      </w:r>
      <w:r w:rsidRPr="004068F6">
        <w:rPr>
          <w:rFonts w:cs="Arial"/>
          <w:spacing w:val="-3"/>
        </w:rPr>
        <w:t xml:space="preserve">registrar información básica </w:t>
      </w:r>
      <w:r w:rsidRPr="004068F6">
        <w:rPr>
          <w:spacing w:val="-3"/>
        </w:rPr>
        <w:t xml:space="preserve">como el tipo de registro (observación, auditivo, captura, indicio, entrevista) y los parámetros </w:t>
      </w:r>
      <w:r w:rsidRPr="004068F6">
        <w:t>ecológicos</w:t>
      </w:r>
      <w:r w:rsidRPr="004068F6">
        <w:rPr>
          <w:spacing w:val="-3"/>
        </w:rPr>
        <w:t xml:space="preserve"> asociados (distribución altitudinal, dieta, hábitat, abundancia relativa, endemismo, rareza, vulnerabilidad, migración y uso).</w:t>
      </w:r>
    </w:p>
    <w:p w14:paraId="3C5D0646" w14:textId="77777777" w:rsidR="00482A5F" w:rsidRPr="004068F6" w:rsidRDefault="00482A5F">
      <w:pPr>
        <w:numPr>
          <w:ilvl w:val="12"/>
          <w:numId w:val="0"/>
        </w:numPr>
        <w:tabs>
          <w:tab w:val="left" w:pos="-2268"/>
        </w:tabs>
        <w:suppressAutoHyphens/>
        <w:rPr>
          <w:spacing w:val="-3"/>
        </w:rPr>
      </w:pPr>
    </w:p>
    <w:p w14:paraId="0BDB34D1" w14:textId="436D9ED1" w:rsidR="00E9774C" w:rsidRPr="004068F6" w:rsidRDefault="00E9774C" w:rsidP="00E9774C">
      <w:pPr>
        <w:numPr>
          <w:ilvl w:val="12"/>
          <w:numId w:val="0"/>
        </w:numPr>
        <w:tabs>
          <w:tab w:val="left" w:pos="-2268"/>
        </w:tabs>
        <w:suppressAutoHyphens/>
        <w:rPr>
          <w:spacing w:val="-3"/>
        </w:rPr>
      </w:pPr>
      <w:r w:rsidRPr="004068F6">
        <w:rPr>
          <w:spacing w:val="-3"/>
        </w:rPr>
        <w:t xml:space="preserve">Para especies migratorias, </w:t>
      </w:r>
      <w:r w:rsidR="008320DA" w:rsidRPr="004068F6">
        <w:rPr>
          <w:spacing w:val="-3"/>
        </w:rPr>
        <w:t xml:space="preserve">se debe </w:t>
      </w:r>
      <w:r w:rsidRPr="004068F6">
        <w:rPr>
          <w:spacing w:val="-3"/>
        </w:rPr>
        <w:t xml:space="preserve">identificar el tipo de migración, </w:t>
      </w:r>
      <w:r w:rsidR="008320DA" w:rsidRPr="004068F6">
        <w:rPr>
          <w:spacing w:val="-3"/>
        </w:rPr>
        <w:t xml:space="preserve">el </w:t>
      </w:r>
      <w:r w:rsidRPr="004068F6">
        <w:rPr>
          <w:spacing w:val="-3"/>
        </w:rPr>
        <w:t xml:space="preserve">estatus de residencia y </w:t>
      </w:r>
      <w:r w:rsidR="008320DA" w:rsidRPr="004068F6">
        <w:rPr>
          <w:spacing w:val="-3"/>
        </w:rPr>
        <w:t xml:space="preserve">las </w:t>
      </w:r>
      <w:r w:rsidRPr="004068F6">
        <w:rPr>
          <w:spacing w:val="-3"/>
        </w:rPr>
        <w:t xml:space="preserve">épocas de permanencia. Esta identificación debe ser complementada con las especies </w:t>
      </w:r>
      <w:r w:rsidR="008320DA" w:rsidRPr="004068F6">
        <w:rPr>
          <w:spacing w:val="-3"/>
        </w:rPr>
        <w:t xml:space="preserve">que </w:t>
      </w:r>
      <w:r w:rsidRPr="004068F6">
        <w:rPr>
          <w:spacing w:val="-3"/>
        </w:rPr>
        <w:t>potencial</w:t>
      </w:r>
      <w:r w:rsidR="008320DA" w:rsidRPr="004068F6">
        <w:rPr>
          <w:spacing w:val="-3"/>
        </w:rPr>
        <w:t xml:space="preserve">mente pueden </w:t>
      </w:r>
      <w:r w:rsidR="0029448F" w:rsidRPr="004068F6">
        <w:rPr>
          <w:spacing w:val="-3"/>
        </w:rPr>
        <w:t xml:space="preserve">presentarse </w:t>
      </w:r>
      <w:r w:rsidRPr="004068F6">
        <w:rPr>
          <w:spacing w:val="-3"/>
        </w:rPr>
        <w:t>considerando el periodo climático no cubierto en el muestreo</w:t>
      </w:r>
      <w:r w:rsidR="008320DA" w:rsidRPr="004068F6">
        <w:rPr>
          <w:spacing w:val="-3"/>
        </w:rPr>
        <w:t>.</w:t>
      </w:r>
    </w:p>
    <w:p w14:paraId="4F3ED86D" w14:textId="77777777" w:rsidR="00E9774C" w:rsidRPr="004068F6" w:rsidRDefault="00E9774C">
      <w:pPr>
        <w:numPr>
          <w:ilvl w:val="12"/>
          <w:numId w:val="0"/>
        </w:numPr>
        <w:tabs>
          <w:tab w:val="left" w:pos="-2268"/>
        </w:tabs>
        <w:suppressAutoHyphens/>
        <w:rPr>
          <w:spacing w:val="-3"/>
        </w:rPr>
      </w:pPr>
    </w:p>
    <w:p w14:paraId="4C672063" w14:textId="02B0F28B" w:rsidR="00FD2BD0" w:rsidRPr="004068F6" w:rsidRDefault="00F11BAF">
      <w:pPr>
        <w:numPr>
          <w:ilvl w:val="12"/>
          <w:numId w:val="0"/>
        </w:numPr>
        <w:tabs>
          <w:tab w:val="left" w:pos="-2268"/>
        </w:tabs>
        <w:suppressAutoHyphens/>
        <w:rPr>
          <w:spacing w:val="-3"/>
        </w:rPr>
      </w:pPr>
      <w:r w:rsidRPr="004068F6">
        <w:rPr>
          <w:spacing w:val="-3"/>
        </w:rPr>
        <w:t>Se debe estimar</w:t>
      </w:r>
      <w:r w:rsidR="00482A5F" w:rsidRPr="004068F6">
        <w:rPr>
          <w:spacing w:val="-3"/>
        </w:rPr>
        <w:t xml:space="preserve"> la riqueza específica como una función de la acumulación de especies, relacionando los valores observados de la riqueza con los valores </w:t>
      </w:r>
      <w:r w:rsidR="00482A5F" w:rsidRPr="004068F6">
        <w:rPr>
          <w:spacing w:val="-3"/>
        </w:rPr>
        <w:lastRenderedPageBreak/>
        <w:t>esperados a partir de estimadores paramétricos o no paramétricos</w:t>
      </w:r>
      <w:r w:rsidR="00482A5F" w:rsidRPr="004068F6">
        <w:rPr>
          <w:rFonts w:cs="Arial"/>
          <w:spacing w:val="-3"/>
        </w:rPr>
        <w:t xml:space="preserve"> (según los datos obtenidos),</w:t>
      </w:r>
      <w:r w:rsidR="00482A5F" w:rsidRPr="004068F6">
        <w:rPr>
          <w:spacing w:val="-3"/>
        </w:rPr>
        <w:t xml:space="preserve"> con el objeto de determinar la representatividad del muestreo y dimensionar el alcance de los resultados y conclusiones del estudio</w:t>
      </w:r>
      <w:r w:rsidR="00BE1941" w:rsidRPr="004068F6">
        <w:rPr>
          <w:spacing w:val="-3"/>
        </w:rPr>
        <w:t xml:space="preserve"> según el grupo biológico y </w:t>
      </w:r>
      <w:r w:rsidR="00043264" w:rsidRPr="004068F6">
        <w:rPr>
          <w:spacing w:val="-3"/>
        </w:rPr>
        <w:t xml:space="preserve">los ecosistemas </w:t>
      </w:r>
      <w:r w:rsidR="00BE1941" w:rsidRPr="004068F6">
        <w:rPr>
          <w:spacing w:val="-3"/>
        </w:rPr>
        <w:t>evaluad</w:t>
      </w:r>
      <w:r w:rsidR="007425BB" w:rsidRPr="004068F6">
        <w:rPr>
          <w:spacing w:val="-3"/>
        </w:rPr>
        <w:t>o</w:t>
      </w:r>
      <w:r w:rsidR="00BE1941" w:rsidRPr="004068F6">
        <w:rPr>
          <w:spacing w:val="-3"/>
        </w:rPr>
        <w:t>s</w:t>
      </w:r>
      <w:r w:rsidR="00482A5F" w:rsidRPr="004068F6">
        <w:rPr>
          <w:spacing w:val="-3"/>
        </w:rPr>
        <w:t>. Para estimar los valores esperados de riqueza se puede</w:t>
      </w:r>
      <w:r w:rsidR="008A66C5" w:rsidRPr="004068F6">
        <w:rPr>
          <w:spacing w:val="-3"/>
        </w:rPr>
        <w:t>n</w:t>
      </w:r>
      <w:r w:rsidR="00482A5F" w:rsidRPr="004068F6">
        <w:rPr>
          <w:spacing w:val="-3"/>
        </w:rPr>
        <w:t xml:space="preserve"> utilizar programa</w:t>
      </w:r>
      <w:r w:rsidR="00BF5EA0" w:rsidRPr="004068F6">
        <w:rPr>
          <w:spacing w:val="-3"/>
        </w:rPr>
        <w:t>s como</w:t>
      </w:r>
      <w:r w:rsidR="00482A5F" w:rsidRPr="004068F6">
        <w:rPr>
          <w:spacing w:val="-3"/>
        </w:rPr>
        <w:t xml:space="preserve"> EstimateS 9.1.0</w:t>
      </w:r>
      <w:r w:rsidR="00482A5F" w:rsidRPr="004068F6">
        <w:rPr>
          <w:rStyle w:val="Refdenotaalpie"/>
          <w:rFonts w:cs="Arial"/>
          <w:spacing w:val="-3"/>
          <w:lang w:val="es-CO"/>
        </w:rPr>
        <w:footnoteReference w:id="158"/>
      </w:r>
      <w:r w:rsidR="00482A5F" w:rsidRPr="004068F6">
        <w:rPr>
          <w:spacing w:val="-3"/>
        </w:rPr>
        <w:t xml:space="preserve">, así como tener en cuenta el Capítulo 7, Anexo 7.2 del Manual de </w:t>
      </w:r>
      <w:r w:rsidR="00597E39" w:rsidRPr="004068F6">
        <w:rPr>
          <w:spacing w:val="-3"/>
        </w:rPr>
        <w:t>m</w:t>
      </w:r>
      <w:r w:rsidR="00482A5F" w:rsidRPr="004068F6">
        <w:rPr>
          <w:spacing w:val="-3"/>
        </w:rPr>
        <w:t xml:space="preserve">étodos para el </w:t>
      </w:r>
      <w:r w:rsidR="00597E39" w:rsidRPr="004068F6">
        <w:rPr>
          <w:spacing w:val="-3"/>
        </w:rPr>
        <w:t>d</w:t>
      </w:r>
      <w:r w:rsidR="00482A5F" w:rsidRPr="004068F6">
        <w:rPr>
          <w:spacing w:val="-3"/>
        </w:rPr>
        <w:t xml:space="preserve">esarrollo de </w:t>
      </w:r>
      <w:r w:rsidR="00597E39" w:rsidRPr="004068F6">
        <w:rPr>
          <w:spacing w:val="-3"/>
        </w:rPr>
        <w:t>i</w:t>
      </w:r>
      <w:r w:rsidR="00482A5F" w:rsidRPr="004068F6">
        <w:rPr>
          <w:spacing w:val="-3"/>
        </w:rPr>
        <w:t xml:space="preserve">nventarios de </w:t>
      </w:r>
      <w:r w:rsidR="00597E39" w:rsidRPr="004068F6">
        <w:rPr>
          <w:spacing w:val="-3"/>
        </w:rPr>
        <w:t>b</w:t>
      </w:r>
      <w:r w:rsidR="00482A5F" w:rsidRPr="004068F6">
        <w:rPr>
          <w:spacing w:val="-3"/>
        </w:rPr>
        <w:t>iodiversidad (Villa</w:t>
      </w:r>
      <w:r w:rsidR="00C34E67" w:rsidRPr="004068F6">
        <w:rPr>
          <w:spacing w:val="-3"/>
        </w:rPr>
        <w:t>r</w:t>
      </w:r>
      <w:r w:rsidR="00482A5F" w:rsidRPr="004068F6">
        <w:rPr>
          <w:spacing w:val="-3"/>
        </w:rPr>
        <w:t>real et al. 200</w:t>
      </w:r>
      <w:r w:rsidR="00587D23" w:rsidRPr="004068F6">
        <w:rPr>
          <w:spacing w:val="-3"/>
        </w:rPr>
        <w:t>6</w:t>
      </w:r>
      <w:r w:rsidR="00482A5F" w:rsidRPr="004068F6">
        <w:rPr>
          <w:spacing w:val="-3"/>
        </w:rPr>
        <w:t xml:space="preserve">), </w:t>
      </w:r>
      <w:r w:rsidR="00597E39" w:rsidRPr="004068F6">
        <w:rPr>
          <w:spacing w:val="-3"/>
        </w:rPr>
        <w:t xml:space="preserve">en </w:t>
      </w:r>
      <w:r w:rsidR="00482A5F" w:rsidRPr="004068F6">
        <w:rPr>
          <w:spacing w:val="-3"/>
        </w:rPr>
        <w:t>lo concerniente al procesamiento de datos</w:t>
      </w:r>
      <w:r w:rsidR="00FD2BD0" w:rsidRPr="004068F6">
        <w:rPr>
          <w:spacing w:val="-3"/>
        </w:rPr>
        <w:t>.</w:t>
      </w:r>
    </w:p>
    <w:p w14:paraId="73F9907F" w14:textId="77777777" w:rsidR="00482A5F" w:rsidRPr="004068F6" w:rsidRDefault="00482A5F">
      <w:pPr>
        <w:numPr>
          <w:ilvl w:val="12"/>
          <w:numId w:val="0"/>
        </w:numPr>
        <w:tabs>
          <w:tab w:val="left" w:pos="-2268"/>
        </w:tabs>
        <w:suppressAutoHyphens/>
        <w:rPr>
          <w:spacing w:val="-3"/>
        </w:rPr>
      </w:pPr>
    </w:p>
    <w:p w14:paraId="129A8D96" w14:textId="0AD9D96B" w:rsidR="007E4706" w:rsidRPr="004068F6" w:rsidRDefault="000F49A2" w:rsidP="003C4C53">
      <w:pPr>
        <w:numPr>
          <w:ilvl w:val="12"/>
          <w:numId w:val="0"/>
        </w:numPr>
        <w:tabs>
          <w:tab w:val="left" w:pos="-2268"/>
        </w:tabs>
        <w:suppressAutoHyphens/>
        <w:rPr>
          <w:spacing w:val="-3"/>
        </w:rPr>
      </w:pPr>
      <w:r w:rsidRPr="004068F6">
        <w:rPr>
          <w:rFonts w:cs="Arial"/>
          <w:spacing w:val="-3"/>
        </w:rPr>
        <w:t>Para definir un muestreo representativo</w:t>
      </w:r>
      <w:r w:rsidR="00F52D6A" w:rsidRPr="004068F6">
        <w:rPr>
          <w:rFonts w:cs="Arial"/>
          <w:spacing w:val="-3"/>
        </w:rPr>
        <w:t xml:space="preserve">, </w:t>
      </w:r>
      <w:r w:rsidR="00B92501" w:rsidRPr="004068F6">
        <w:rPr>
          <w:spacing w:val="-3"/>
        </w:rPr>
        <w:t xml:space="preserve">se puede emplear </w:t>
      </w:r>
      <w:r w:rsidR="00EF4997" w:rsidRPr="004068F6">
        <w:rPr>
          <w:spacing w:val="-3"/>
        </w:rPr>
        <w:t xml:space="preserve">la curva de acumulación de especies por cada grupo de manera independiente (mamíferos, aves, anfibios, reptiles) </w:t>
      </w:r>
      <w:r w:rsidR="00EF4997" w:rsidRPr="004068F6" w:rsidDel="4AE651E1">
        <w:rPr>
          <w:spacing w:val="-3"/>
        </w:rPr>
        <w:t xml:space="preserve">por </w:t>
      </w:r>
      <w:r w:rsidR="00EF4997" w:rsidRPr="004068F6">
        <w:rPr>
          <w:spacing w:val="-3"/>
        </w:rPr>
        <w:t>cada ecosistema o</w:t>
      </w:r>
      <w:r w:rsidR="00D4426C" w:rsidRPr="004068F6">
        <w:rPr>
          <w:spacing w:val="-3"/>
        </w:rPr>
        <w:t xml:space="preserve"> bien,</w:t>
      </w:r>
      <w:r w:rsidR="00EF4997" w:rsidRPr="004068F6">
        <w:rPr>
          <w:spacing w:val="-3"/>
        </w:rPr>
        <w:t xml:space="preserve"> </w:t>
      </w:r>
      <w:r w:rsidR="00D4426C" w:rsidRPr="004068F6">
        <w:rPr>
          <w:spacing w:val="-3"/>
        </w:rPr>
        <w:t xml:space="preserve">es posible </w:t>
      </w:r>
      <w:r w:rsidR="00EF4997" w:rsidRPr="004068F6">
        <w:rPr>
          <w:spacing w:val="-3"/>
        </w:rPr>
        <w:t>desarroll</w:t>
      </w:r>
      <w:r w:rsidR="00D4426C" w:rsidRPr="004068F6">
        <w:rPr>
          <w:spacing w:val="-3"/>
        </w:rPr>
        <w:t>ar</w:t>
      </w:r>
      <w:r w:rsidR="00EF4997" w:rsidRPr="004068F6">
        <w:rPr>
          <w:spacing w:val="-3"/>
        </w:rPr>
        <w:t xml:space="preserve"> </w:t>
      </w:r>
      <w:r w:rsidR="00D4426C" w:rsidRPr="004068F6">
        <w:rPr>
          <w:spacing w:val="-3"/>
        </w:rPr>
        <w:t xml:space="preserve">un </w:t>
      </w:r>
      <w:r w:rsidR="00EF4997" w:rsidRPr="004068F6">
        <w:rPr>
          <w:spacing w:val="-3"/>
        </w:rPr>
        <w:t>análisis de curvas de rarefacción con extrapolación en las cuales se compar</w:t>
      </w:r>
      <w:r w:rsidR="00D4426C" w:rsidRPr="004068F6">
        <w:rPr>
          <w:spacing w:val="-3"/>
        </w:rPr>
        <w:t xml:space="preserve">e </w:t>
      </w:r>
      <w:r w:rsidR="00EF4997" w:rsidRPr="004068F6">
        <w:rPr>
          <w:spacing w:val="-3"/>
        </w:rPr>
        <w:t>el número de especies entre comunidades.</w:t>
      </w:r>
    </w:p>
    <w:p w14:paraId="273F0DDA" w14:textId="77777777" w:rsidR="007E4706" w:rsidRPr="004068F6" w:rsidRDefault="007E4706">
      <w:pPr>
        <w:numPr>
          <w:ilvl w:val="12"/>
          <w:numId w:val="0"/>
        </w:numPr>
        <w:tabs>
          <w:tab w:val="left" w:pos="-2268"/>
        </w:tabs>
        <w:suppressAutoHyphens/>
        <w:rPr>
          <w:spacing w:val="-3"/>
        </w:rPr>
      </w:pPr>
    </w:p>
    <w:p w14:paraId="3FBDC1C2" w14:textId="62EB26E8" w:rsidR="00763B7B" w:rsidRPr="004068F6" w:rsidRDefault="00763B7B" w:rsidP="00763B7B">
      <w:pPr>
        <w:numPr>
          <w:ilvl w:val="12"/>
          <w:numId w:val="0"/>
        </w:numPr>
        <w:tabs>
          <w:tab w:val="left" w:pos="-2268"/>
        </w:tabs>
        <w:suppressAutoHyphens/>
        <w:rPr>
          <w:spacing w:val="-3"/>
        </w:rPr>
      </w:pPr>
      <w:r w:rsidRPr="004068F6">
        <w:rPr>
          <w:spacing w:val="-3"/>
        </w:rPr>
        <w:t xml:space="preserve">Con el método de rarefacción, las muestras comparadas deben ser consistentes desde el punto de vista taxonómico, es decir; la proyección de la curva de rarefacción </w:t>
      </w:r>
      <w:r w:rsidR="00336402" w:rsidRPr="004068F6">
        <w:rPr>
          <w:spacing w:val="-3"/>
        </w:rPr>
        <w:t xml:space="preserve">debe </w:t>
      </w:r>
      <w:r w:rsidRPr="004068F6">
        <w:rPr>
          <w:spacing w:val="-3"/>
        </w:rPr>
        <w:t>present</w:t>
      </w:r>
      <w:r w:rsidR="00336402" w:rsidRPr="004068F6">
        <w:rPr>
          <w:spacing w:val="-3"/>
        </w:rPr>
        <w:t>arse</w:t>
      </w:r>
      <w:r w:rsidRPr="004068F6">
        <w:rPr>
          <w:spacing w:val="-3"/>
        </w:rPr>
        <w:t xml:space="preserve"> para registros en el mismo grupo biológico. En cualquier caso, se debe describir detalladamente </w:t>
      </w:r>
      <w:r w:rsidR="00336402" w:rsidRPr="004068F6">
        <w:rPr>
          <w:spacing w:val="-3"/>
        </w:rPr>
        <w:t xml:space="preserve">el método </w:t>
      </w:r>
      <w:r w:rsidRPr="004068F6">
        <w:rPr>
          <w:spacing w:val="-3"/>
        </w:rPr>
        <w:t>implementad</w:t>
      </w:r>
      <w:r w:rsidR="00336402" w:rsidRPr="004068F6">
        <w:rPr>
          <w:spacing w:val="-3"/>
        </w:rPr>
        <w:t>o</w:t>
      </w:r>
      <w:r w:rsidRPr="004068F6">
        <w:rPr>
          <w:spacing w:val="-3"/>
        </w:rPr>
        <w:t>, enfatizando en la explicación del esfuerzo de muestreo representativo para los grupos de fauna. Si las curvas de acumulación de especies indican que se obtuvo una cantidad mayor o igual al 85% de las especies esperadas en un sitio de muestreo para los grupos de fauna (mamíferos, aves, anfibios, reptiles), se puede realizar el análisis e interpretación de las curvas de acumulación (Villarreal et al., 2004).</w:t>
      </w:r>
    </w:p>
    <w:p w14:paraId="6DBF0DA9" w14:textId="77777777" w:rsidR="00763B7B" w:rsidRPr="004068F6" w:rsidRDefault="00763B7B" w:rsidP="00763B7B">
      <w:pPr>
        <w:numPr>
          <w:ilvl w:val="12"/>
          <w:numId w:val="0"/>
        </w:numPr>
        <w:tabs>
          <w:tab w:val="left" w:pos="-2268"/>
        </w:tabs>
        <w:suppressAutoHyphens/>
        <w:rPr>
          <w:spacing w:val="-3"/>
        </w:rPr>
      </w:pPr>
    </w:p>
    <w:p w14:paraId="557BF299" w14:textId="2250D377" w:rsidR="00763B7B" w:rsidRPr="004068F6" w:rsidRDefault="00100448" w:rsidP="00763B7B">
      <w:pPr>
        <w:numPr>
          <w:ilvl w:val="12"/>
          <w:numId w:val="0"/>
        </w:numPr>
        <w:tabs>
          <w:tab w:val="left" w:pos="-2268"/>
        </w:tabs>
        <w:suppressAutoHyphens/>
        <w:rPr>
          <w:spacing w:val="-3"/>
        </w:rPr>
      </w:pPr>
      <w:r w:rsidRPr="004068F6">
        <w:rPr>
          <w:spacing w:val="-3"/>
        </w:rPr>
        <w:t>En caso de que</w:t>
      </w:r>
      <w:r w:rsidR="00763B7B" w:rsidRPr="004068F6">
        <w:rPr>
          <w:spacing w:val="-3"/>
        </w:rPr>
        <w:t xml:space="preserve">, por las condiciones particulares de los sitios y de los grupos objeto de muestreo no se obtenga para algún estimador el umbral del 85%, se deben </w:t>
      </w:r>
      <w:r w:rsidR="007F6BB0" w:rsidRPr="004068F6">
        <w:rPr>
          <w:spacing w:val="-3"/>
        </w:rPr>
        <w:t>argumentar</w:t>
      </w:r>
      <w:r w:rsidR="00763B7B" w:rsidRPr="004068F6">
        <w:rPr>
          <w:spacing w:val="-3"/>
        </w:rPr>
        <w:t xml:space="preserve"> las razones por las cuales no fue posible alcanzar dicho umbral de referencia y justificar técnicamente el método empleado para asegurar la representatividad del muestreo para las especies registradas por cada grupo (mamíferos, aves, anfibios, reptiles).</w:t>
      </w:r>
    </w:p>
    <w:p w14:paraId="279FAAEB" w14:textId="77777777" w:rsidR="00763B7B" w:rsidRPr="004068F6" w:rsidRDefault="00763B7B">
      <w:pPr>
        <w:numPr>
          <w:ilvl w:val="12"/>
          <w:numId w:val="0"/>
        </w:numPr>
        <w:tabs>
          <w:tab w:val="left" w:pos="-2268"/>
        </w:tabs>
        <w:suppressAutoHyphens/>
        <w:rPr>
          <w:spacing w:val="-3"/>
        </w:rPr>
      </w:pPr>
    </w:p>
    <w:p w14:paraId="072027B9" w14:textId="25389FA8" w:rsidR="008F2D9A" w:rsidRPr="004068F6" w:rsidRDefault="00347BDF" w:rsidP="00347BDF">
      <w:pPr>
        <w:numPr>
          <w:ilvl w:val="12"/>
          <w:numId w:val="0"/>
        </w:numPr>
        <w:tabs>
          <w:tab w:val="left" w:pos="-2268"/>
        </w:tabs>
        <w:suppressAutoHyphens/>
        <w:rPr>
          <w:spacing w:val="-3"/>
        </w:rPr>
      </w:pPr>
      <w:r w:rsidRPr="004068F6">
        <w:rPr>
          <w:spacing w:val="-3"/>
        </w:rPr>
        <w:t>S</w:t>
      </w:r>
      <w:r w:rsidR="008F2D9A" w:rsidRPr="004068F6">
        <w:rPr>
          <w:spacing w:val="-3"/>
        </w:rPr>
        <w:t xml:space="preserve">e deben emplear </w:t>
      </w:r>
      <w:r w:rsidRPr="004068F6">
        <w:rPr>
          <w:spacing w:val="-3"/>
        </w:rPr>
        <w:t xml:space="preserve">estimadores que mejor se ajusten al método </w:t>
      </w:r>
      <w:r w:rsidR="008F2D9A" w:rsidRPr="004068F6">
        <w:rPr>
          <w:spacing w:val="-3"/>
        </w:rPr>
        <w:t>de muestreo</w:t>
      </w:r>
      <w:r w:rsidRPr="004068F6">
        <w:rPr>
          <w:spacing w:val="-3"/>
        </w:rPr>
        <w:t xml:space="preserve"> desarrollado y</w:t>
      </w:r>
      <w:r w:rsidR="008F2D9A" w:rsidRPr="004068F6">
        <w:rPr>
          <w:spacing w:val="-3"/>
        </w:rPr>
        <w:t xml:space="preserve"> </w:t>
      </w:r>
      <w:r w:rsidRPr="004068F6">
        <w:rPr>
          <w:spacing w:val="-3"/>
        </w:rPr>
        <w:t>a</w:t>
      </w:r>
      <w:r w:rsidR="008F2D9A" w:rsidRPr="004068F6">
        <w:rPr>
          <w:spacing w:val="-3"/>
        </w:rPr>
        <w:t>l grupo que se est</w:t>
      </w:r>
      <w:r w:rsidRPr="004068F6">
        <w:rPr>
          <w:spacing w:val="-3"/>
        </w:rPr>
        <w:t>é</w:t>
      </w:r>
      <w:r w:rsidR="008F2D9A" w:rsidRPr="004068F6">
        <w:rPr>
          <w:spacing w:val="-3"/>
        </w:rPr>
        <w:t xml:space="preserve"> caracterizando (mamíferos, aves, anfibios, reptiles)</w:t>
      </w:r>
      <w:r w:rsidRPr="004068F6">
        <w:rPr>
          <w:spacing w:val="-3"/>
        </w:rPr>
        <w:t>,</w:t>
      </w:r>
      <w:r w:rsidR="008F2D9A" w:rsidRPr="004068F6">
        <w:rPr>
          <w:spacing w:val="-3"/>
        </w:rPr>
        <w:t xml:space="preserve"> tomando como referencia el conjunto de datos recopilados </w:t>
      </w:r>
      <w:r w:rsidRPr="004068F6">
        <w:rPr>
          <w:spacing w:val="-3"/>
        </w:rPr>
        <w:t xml:space="preserve">y </w:t>
      </w:r>
      <w:r w:rsidR="008F2D9A" w:rsidRPr="004068F6">
        <w:rPr>
          <w:spacing w:val="-3"/>
        </w:rPr>
        <w:t>siguiendo el orden temporal de recolección</w:t>
      </w:r>
      <w:r w:rsidRPr="004068F6">
        <w:rPr>
          <w:spacing w:val="-3"/>
        </w:rPr>
        <w:t xml:space="preserve">. </w:t>
      </w:r>
      <w:r w:rsidR="008F2D9A" w:rsidRPr="004068F6">
        <w:rPr>
          <w:spacing w:val="-3"/>
        </w:rPr>
        <w:t>Para tal efecto se debe considerar</w:t>
      </w:r>
      <w:r w:rsidRPr="004068F6">
        <w:rPr>
          <w:spacing w:val="-3"/>
        </w:rPr>
        <w:t xml:space="preserve"> lo señalado en la </w:t>
      </w:r>
      <w:r w:rsidRPr="004068F6">
        <w:rPr>
          <w:spacing w:val="-3"/>
        </w:rPr>
        <w:fldChar w:fldCharType="begin"/>
      </w:r>
      <w:r w:rsidRPr="004068F6">
        <w:rPr>
          <w:spacing w:val="-3"/>
        </w:rPr>
        <w:instrText xml:space="preserve"> REF _Ref152567769 \h </w:instrText>
      </w:r>
      <w:r w:rsidR="00BD1319" w:rsidRPr="004068F6">
        <w:rPr>
          <w:spacing w:val="-3"/>
        </w:rPr>
        <w:instrText xml:space="preserve"> \* MERGEFORMAT </w:instrText>
      </w:r>
      <w:r w:rsidRPr="004068F6">
        <w:rPr>
          <w:spacing w:val="-3"/>
        </w:rPr>
      </w:r>
      <w:r w:rsidRPr="004068F6">
        <w:rPr>
          <w:spacing w:val="-3"/>
        </w:rPr>
        <w:fldChar w:fldCharType="separate"/>
      </w:r>
      <w:r w:rsidR="009C4A81" w:rsidRPr="004068F6">
        <w:t xml:space="preserve">Tabla </w:t>
      </w:r>
      <w:r w:rsidR="009C4A81">
        <w:t>25</w:t>
      </w:r>
      <w:r w:rsidRPr="004068F6">
        <w:rPr>
          <w:spacing w:val="-3"/>
        </w:rPr>
        <w:fldChar w:fldCharType="end"/>
      </w:r>
      <w:r w:rsidRPr="004068F6">
        <w:rPr>
          <w:spacing w:val="-3"/>
        </w:rPr>
        <w:t>.</w:t>
      </w:r>
    </w:p>
    <w:p w14:paraId="506D0FDE" w14:textId="77777777" w:rsidR="00347BDF" w:rsidRPr="004068F6" w:rsidRDefault="00347BDF" w:rsidP="00347BDF">
      <w:pPr>
        <w:numPr>
          <w:ilvl w:val="12"/>
          <w:numId w:val="0"/>
        </w:numPr>
        <w:tabs>
          <w:tab w:val="left" w:pos="-2268"/>
        </w:tabs>
        <w:suppressAutoHyphens/>
        <w:rPr>
          <w:spacing w:val="-3"/>
        </w:rPr>
      </w:pPr>
    </w:p>
    <w:p w14:paraId="2CAD3837" w14:textId="23C6156B" w:rsidR="00347BDF" w:rsidRPr="004068F6" w:rsidRDefault="00347BDF" w:rsidP="004E5795">
      <w:pPr>
        <w:pStyle w:val="Descripcin"/>
        <w:keepNext/>
        <w:jc w:val="center"/>
      </w:pPr>
      <w:bookmarkStart w:id="2905" w:name="_Ref152567769"/>
      <w:r w:rsidRPr="004068F6">
        <w:lastRenderedPageBreak/>
        <w:t xml:space="preserve">Tabla </w:t>
      </w:r>
      <w:fldSimple w:instr=" SEQ Tabla \* ARABIC ">
        <w:r w:rsidR="009C4A81">
          <w:rPr>
            <w:noProof/>
          </w:rPr>
          <w:t>25</w:t>
        </w:r>
      </w:fldSimple>
      <w:bookmarkEnd w:id="2905"/>
      <w:r w:rsidRPr="004068F6">
        <w:t>.</w:t>
      </w:r>
      <w:r w:rsidRPr="004068F6">
        <w:rPr>
          <w:b w:val="0"/>
          <w:bCs w:val="0"/>
        </w:rPr>
        <w:t xml:space="preserve"> </w:t>
      </w:r>
      <w:r w:rsidR="004007C2" w:rsidRPr="004068F6">
        <w:rPr>
          <w:b w:val="0"/>
          <w:bCs w:val="0"/>
        </w:rPr>
        <w:t>Estimadores para el análisis de esfuerzos de muestreo</w:t>
      </w:r>
    </w:p>
    <w:tbl>
      <w:tblPr>
        <w:tblStyle w:val="Tablaconcuadrcula"/>
        <w:tblW w:w="9510" w:type="dxa"/>
        <w:tblLook w:val="06A0" w:firstRow="1" w:lastRow="0" w:firstColumn="1" w:lastColumn="0" w:noHBand="1" w:noVBand="1"/>
      </w:tblPr>
      <w:tblGrid>
        <w:gridCol w:w="1471"/>
        <w:gridCol w:w="5754"/>
        <w:gridCol w:w="2285"/>
      </w:tblGrid>
      <w:tr w:rsidR="00347BDF" w:rsidRPr="008B72B8" w14:paraId="7F0292F4" w14:textId="77777777" w:rsidTr="000D6E21">
        <w:trPr>
          <w:trHeight w:hRule="exact" w:val="567"/>
          <w:tblHeader/>
        </w:trPr>
        <w:tc>
          <w:tcPr>
            <w:tcW w:w="1471" w:type="dxa"/>
            <w:tcBorders>
              <w:top w:val="single" w:sz="4" w:space="0" w:color="auto"/>
              <w:left w:val="single" w:sz="4" w:space="0" w:color="auto"/>
              <w:bottom w:val="single" w:sz="4" w:space="0" w:color="auto"/>
              <w:right w:val="single" w:sz="4" w:space="0" w:color="auto"/>
            </w:tcBorders>
            <w:vAlign w:val="center"/>
          </w:tcPr>
          <w:p w14:paraId="774E7F1F" w14:textId="77777777" w:rsidR="00347BDF" w:rsidRPr="008B72B8" w:rsidRDefault="00347BDF" w:rsidP="002757DF">
            <w:pPr>
              <w:jc w:val="center"/>
              <w:rPr>
                <w:rFonts w:cs="Arial"/>
                <w:sz w:val="22"/>
                <w:szCs w:val="22"/>
              </w:rPr>
            </w:pPr>
            <w:r w:rsidRPr="008B72B8">
              <w:rPr>
                <w:rFonts w:eastAsia="Calibri" w:cs="Arial"/>
                <w:b/>
                <w:bCs/>
                <w:sz w:val="22"/>
                <w:szCs w:val="22"/>
              </w:rPr>
              <w:t>Estimador</w:t>
            </w:r>
          </w:p>
        </w:tc>
        <w:tc>
          <w:tcPr>
            <w:tcW w:w="5754" w:type="dxa"/>
            <w:tcBorders>
              <w:top w:val="single" w:sz="4" w:space="0" w:color="auto"/>
              <w:left w:val="single" w:sz="4" w:space="0" w:color="auto"/>
              <w:bottom w:val="single" w:sz="4" w:space="0" w:color="auto"/>
              <w:right w:val="single" w:sz="4" w:space="0" w:color="auto"/>
            </w:tcBorders>
            <w:vAlign w:val="center"/>
          </w:tcPr>
          <w:p w14:paraId="196FAD1E" w14:textId="77777777" w:rsidR="00347BDF" w:rsidRPr="008B72B8" w:rsidRDefault="00347BDF" w:rsidP="002757DF">
            <w:pPr>
              <w:jc w:val="center"/>
              <w:rPr>
                <w:rFonts w:cs="Arial"/>
                <w:sz w:val="22"/>
                <w:szCs w:val="22"/>
              </w:rPr>
            </w:pPr>
            <w:r w:rsidRPr="008B72B8">
              <w:rPr>
                <w:rFonts w:eastAsia="Calibri" w:cs="Arial"/>
                <w:b/>
                <w:bCs/>
                <w:sz w:val="22"/>
                <w:szCs w:val="22"/>
              </w:rPr>
              <w:t>Descripción</w:t>
            </w:r>
          </w:p>
        </w:tc>
        <w:tc>
          <w:tcPr>
            <w:tcW w:w="2285" w:type="dxa"/>
            <w:tcBorders>
              <w:top w:val="single" w:sz="4" w:space="0" w:color="auto"/>
              <w:left w:val="single" w:sz="4" w:space="0" w:color="auto"/>
              <w:bottom w:val="single" w:sz="4" w:space="0" w:color="auto"/>
              <w:right w:val="single" w:sz="4" w:space="0" w:color="auto"/>
            </w:tcBorders>
            <w:vAlign w:val="center"/>
          </w:tcPr>
          <w:p w14:paraId="6C511E41" w14:textId="77777777" w:rsidR="00347BDF" w:rsidRPr="008B72B8" w:rsidRDefault="00347BDF" w:rsidP="002757DF">
            <w:pPr>
              <w:jc w:val="center"/>
              <w:rPr>
                <w:rFonts w:cs="Arial"/>
                <w:sz w:val="22"/>
                <w:szCs w:val="22"/>
              </w:rPr>
            </w:pPr>
            <w:r w:rsidRPr="008B72B8">
              <w:rPr>
                <w:rFonts w:eastAsia="Calibri" w:cs="Arial"/>
                <w:b/>
                <w:bCs/>
                <w:sz w:val="22"/>
                <w:szCs w:val="22"/>
              </w:rPr>
              <w:t>Grupo Biológico</w:t>
            </w:r>
          </w:p>
        </w:tc>
      </w:tr>
      <w:tr w:rsidR="00347BDF" w:rsidRPr="004068F6" w14:paraId="7D86E398" w14:textId="77777777" w:rsidTr="000D6E21">
        <w:trPr>
          <w:trHeight w:val="567"/>
        </w:trPr>
        <w:tc>
          <w:tcPr>
            <w:tcW w:w="1471" w:type="dxa"/>
            <w:tcBorders>
              <w:top w:val="single" w:sz="4" w:space="0" w:color="auto"/>
              <w:left w:val="single" w:sz="4" w:space="0" w:color="auto"/>
              <w:bottom w:val="single" w:sz="4" w:space="0" w:color="auto"/>
              <w:right w:val="single" w:sz="4" w:space="0" w:color="auto"/>
            </w:tcBorders>
            <w:vAlign w:val="center"/>
          </w:tcPr>
          <w:p w14:paraId="20CC97D9" w14:textId="77777777" w:rsidR="00347BDF" w:rsidRPr="004068F6" w:rsidRDefault="00347BDF" w:rsidP="002757DF">
            <w:pPr>
              <w:jc w:val="center"/>
              <w:rPr>
                <w:rFonts w:cs="Arial"/>
                <w:sz w:val="20"/>
                <w:szCs w:val="20"/>
              </w:rPr>
            </w:pPr>
            <w:r w:rsidRPr="004068F6">
              <w:rPr>
                <w:rFonts w:eastAsia="Calibri" w:cs="Arial"/>
                <w:sz w:val="20"/>
                <w:szCs w:val="20"/>
              </w:rPr>
              <w:t>"Sobs"</w:t>
            </w:r>
          </w:p>
        </w:tc>
        <w:tc>
          <w:tcPr>
            <w:tcW w:w="5754" w:type="dxa"/>
            <w:tcBorders>
              <w:top w:val="single" w:sz="4" w:space="0" w:color="auto"/>
              <w:left w:val="single" w:sz="4" w:space="0" w:color="auto"/>
              <w:bottom w:val="single" w:sz="4" w:space="0" w:color="auto"/>
              <w:right w:val="single" w:sz="4" w:space="0" w:color="auto"/>
            </w:tcBorders>
            <w:vAlign w:val="center"/>
          </w:tcPr>
          <w:p w14:paraId="63EA2763" w14:textId="0066D07B" w:rsidR="00347BDF" w:rsidRPr="004068F6" w:rsidRDefault="00347BDF" w:rsidP="002757DF">
            <w:pPr>
              <w:rPr>
                <w:rFonts w:cs="Arial"/>
                <w:sz w:val="20"/>
                <w:szCs w:val="20"/>
              </w:rPr>
            </w:pPr>
            <w:r w:rsidRPr="004068F6">
              <w:rPr>
                <w:rFonts w:eastAsia="Calibri" w:cs="Arial"/>
                <w:sz w:val="20"/>
                <w:szCs w:val="20"/>
              </w:rPr>
              <w:t>Los registros base para comparar</w:t>
            </w:r>
            <w:r w:rsidR="00765105" w:rsidRPr="004068F6">
              <w:rPr>
                <w:rFonts w:eastAsia="Calibri" w:cs="Arial"/>
                <w:sz w:val="20"/>
                <w:szCs w:val="20"/>
              </w:rPr>
              <w:t>.</w:t>
            </w:r>
          </w:p>
        </w:tc>
        <w:tc>
          <w:tcPr>
            <w:tcW w:w="2285" w:type="dxa"/>
            <w:tcBorders>
              <w:top w:val="single" w:sz="4" w:space="0" w:color="auto"/>
              <w:left w:val="single" w:sz="4" w:space="0" w:color="auto"/>
              <w:bottom w:val="single" w:sz="4" w:space="0" w:color="auto"/>
              <w:right w:val="single" w:sz="4" w:space="0" w:color="auto"/>
            </w:tcBorders>
            <w:vAlign w:val="center"/>
          </w:tcPr>
          <w:p w14:paraId="28F5ECB7" w14:textId="1599B5D7" w:rsidR="00347BDF" w:rsidRPr="004068F6" w:rsidRDefault="00347BDF" w:rsidP="002757DF">
            <w:pPr>
              <w:rPr>
                <w:rFonts w:cs="Arial"/>
                <w:sz w:val="20"/>
                <w:szCs w:val="20"/>
              </w:rPr>
            </w:pPr>
          </w:p>
        </w:tc>
      </w:tr>
      <w:tr w:rsidR="00347BDF" w:rsidRPr="004068F6" w14:paraId="7323445A" w14:textId="77777777" w:rsidTr="000D6E21">
        <w:trPr>
          <w:trHeight w:val="1701"/>
        </w:trPr>
        <w:tc>
          <w:tcPr>
            <w:tcW w:w="1471" w:type="dxa"/>
            <w:tcBorders>
              <w:top w:val="single" w:sz="4" w:space="0" w:color="auto"/>
              <w:left w:val="single" w:sz="4" w:space="0" w:color="auto"/>
              <w:bottom w:val="single" w:sz="4" w:space="0" w:color="auto"/>
              <w:right w:val="single" w:sz="4" w:space="0" w:color="auto"/>
            </w:tcBorders>
            <w:vAlign w:val="center"/>
          </w:tcPr>
          <w:p w14:paraId="3AD64A7C" w14:textId="77777777" w:rsidR="00347BDF" w:rsidRPr="004068F6" w:rsidRDefault="00347BDF" w:rsidP="002757DF">
            <w:pPr>
              <w:jc w:val="center"/>
              <w:rPr>
                <w:rFonts w:cs="Arial"/>
                <w:sz w:val="20"/>
                <w:szCs w:val="20"/>
              </w:rPr>
            </w:pPr>
            <w:r w:rsidRPr="004068F6">
              <w:rPr>
                <w:rFonts w:eastAsia="Calibri" w:cs="Arial"/>
                <w:sz w:val="20"/>
                <w:szCs w:val="20"/>
              </w:rPr>
              <w:t>Chao 1</w:t>
            </w:r>
          </w:p>
        </w:tc>
        <w:tc>
          <w:tcPr>
            <w:tcW w:w="5754" w:type="dxa"/>
            <w:tcBorders>
              <w:top w:val="single" w:sz="4" w:space="0" w:color="auto"/>
              <w:left w:val="single" w:sz="4" w:space="0" w:color="auto"/>
              <w:bottom w:val="single" w:sz="4" w:space="0" w:color="auto"/>
              <w:right w:val="single" w:sz="4" w:space="0" w:color="auto"/>
            </w:tcBorders>
            <w:vAlign w:val="center"/>
          </w:tcPr>
          <w:p w14:paraId="49F45216" w14:textId="77777777" w:rsidR="00347BDF" w:rsidRPr="004068F6" w:rsidRDefault="00347BDF" w:rsidP="002757DF">
            <w:pPr>
              <w:rPr>
                <w:rFonts w:cs="Arial"/>
                <w:sz w:val="20"/>
                <w:szCs w:val="20"/>
              </w:rPr>
            </w:pPr>
            <w:r w:rsidRPr="004068F6">
              <w:rPr>
                <w:rFonts w:eastAsia="Calibri" w:cs="Arial"/>
                <w:sz w:val="20"/>
                <w:szCs w:val="20"/>
              </w:rPr>
              <w:t>Asume cierta homogeneidad entre las unidades de muestreo. estimación de especies con datos de abundancia. En las primeras muestras se espera que tenga muchas especies representadas por uno (singletones) y dos individuos (dobletones)y luego este valor disminuya, conforme avanza el muestreo. Por esto se sugiere compararlo con singletones y dobletones.</w:t>
            </w:r>
          </w:p>
        </w:tc>
        <w:tc>
          <w:tcPr>
            <w:tcW w:w="2285" w:type="dxa"/>
            <w:tcBorders>
              <w:top w:val="single" w:sz="4" w:space="0" w:color="auto"/>
              <w:left w:val="single" w:sz="4" w:space="0" w:color="auto"/>
              <w:bottom w:val="single" w:sz="4" w:space="0" w:color="auto"/>
              <w:right w:val="single" w:sz="4" w:space="0" w:color="auto"/>
            </w:tcBorders>
            <w:vAlign w:val="center"/>
          </w:tcPr>
          <w:p w14:paraId="3CFDE411" w14:textId="77777777" w:rsidR="00347BDF" w:rsidRPr="004068F6" w:rsidRDefault="00347BDF" w:rsidP="002757DF">
            <w:pPr>
              <w:rPr>
                <w:rFonts w:cs="Arial"/>
                <w:sz w:val="20"/>
                <w:szCs w:val="20"/>
              </w:rPr>
            </w:pPr>
            <w:r w:rsidRPr="004068F6">
              <w:rPr>
                <w:rFonts w:eastAsia="Calibri" w:cs="Arial"/>
                <w:sz w:val="20"/>
                <w:szCs w:val="20"/>
              </w:rPr>
              <w:t>Todos los que se puedan contar.</w:t>
            </w:r>
          </w:p>
        </w:tc>
      </w:tr>
      <w:tr w:rsidR="00347BDF" w:rsidRPr="004068F6" w14:paraId="01A260E4" w14:textId="77777777" w:rsidTr="000D6E21">
        <w:trPr>
          <w:trHeight w:val="567"/>
        </w:trPr>
        <w:tc>
          <w:tcPr>
            <w:tcW w:w="1471" w:type="dxa"/>
            <w:tcBorders>
              <w:top w:val="single" w:sz="4" w:space="0" w:color="auto"/>
              <w:left w:val="single" w:sz="4" w:space="0" w:color="auto"/>
              <w:bottom w:val="single" w:sz="4" w:space="0" w:color="auto"/>
              <w:right w:val="single" w:sz="4" w:space="0" w:color="auto"/>
            </w:tcBorders>
            <w:vAlign w:val="center"/>
          </w:tcPr>
          <w:p w14:paraId="2B022B48" w14:textId="77777777" w:rsidR="00347BDF" w:rsidRPr="004068F6" w:rsidRDefault="00347BDF" w:rsidP="002757DF">
            <w:pPr>
              <w:jc w:val="center"/>
              <w:rPr>
                <w:rFonts w:cs="Arial"/>
                <w:sz w:val="20"/>
                <w:szCs w:val="20"/>
              </w:rPr>
            </w:pPr>
            <w:r w:rsidRPr="004068F6">
              <w:rPr>
                <w:rFonts w:eastAsia="Calibri" w:cs="Arial"/>
                <w:sz w:val="20"/>
                <w:szCs w:val="20"/>
              </w:rPr>
              <w:t>Singletones</w:t>
            </w:r>
          </w:p>
        </w:tc>
        <w:tc>
          <w:tcPr>
            <w:tcW w:w="5754" w:type="dxa"/>
            <w:tcBorders>
              <w:top w:val="single" w:sz="4" w:space="0" w:color="auto"/>
              <w:left w:val="single" w:sz="4" w:space="0" w:color="auto"/>
              <w:bottom w:val="single" w:sz="4" w:space="0" w:color="auto"/>
              <w:right w:val="single" w:sz="4" w:space="0" w:color="auto"/>
            </w:tcBorders>
            <w:vAlign w:val="center"/>
          </w:tcPr>
          <w:p w14:paraId="0D4322EE" w14:textId="1EA54151" w:rsidR="00347BDF" w:rsidRPr="004068F6" w:rsidRDefault="00347BDF" w:rsidP="002757DF">
            <w:pPr>
              <w:rPr>
                <w:rFonts w:cs="Arial"/>
                <w:sz w:val="20"/>
                <w:szCs w:val="20"/>
              </w:rPr>
            </w:pPr>
            <w:r w:rsidRPr="004068F6">
              <w:rPr>
                <w:rFonts w:eastAsia="Calibri" w:cs="Arial"/>
                <w:sz w:val="20"/>
                <w:szCs w:val="20"/>
              </w:rPr>
              <w:t>Especies representadas por un individuo</w:t>
            </w:r>
            <w:r w:rsidR="00765105" w:rsidRPr="004068F6">
              <w:rPr>
                <w:rFonts w:eastAsia="Calibri" w:cs="Arial"/>
                <w:sz w:val="20"/>
                <w:szCs w:val="20"/>
              </w:rPr>
              <w:t>.</w:t>
            </w:r>
          </w:p>
        </w:tc>
        <w:tc>
          <w:tcPr>
            <w:tcW w:w="2285" w:type="dxa"/>
            <w:tcBorders>
              <w:top w:val="single" w:sz="4" w:space="0" w:color="auto"/>
              <w:left w:val="single" w:sz="4" w:space="0" w:color="auto"/>
              <w:bottom w:val="single" w:sz="4" w:space="0" w:color="auto"/>
              <w:right w:val="single" w:sz="4" w:space="0" w:color="auto"/>
            </w:tcBorders>
            <w:vAlign w:val="center"/>
          </w:tcPr>
          <w:p w14:paraId="639FB9A8" w14:textId="22CE88F9" w:rsidR="00347BDF" w:rsidRPr="004068F6" w:rsidRDefault="00347BDF" w:rsidP="002757DF">
            <w:pPr>
              <w:rPr>
                <w:rFonts w:cs="Arial"/>
                <w:sz w:val="20"/>
                <w:szCs w:val="20"/>
              </w:rPr>
            </w:pPr>
          </w:p>
        </w:tc>
      </w:tr>
      <w:tr w:rsidR="00347BDF" w:rsidRPr="004068F6" w14:paraId="5B554D41" w14:textId="77777777" w:rsidTr="000D6E21">
        <w:trPr>
          <w:trHeight w:val="567"/>
        </w:trPr>
        <w:tc>
          <w:tcPr>
            <w:tcW w:w="1471" w:type="dxa"/>
            <w:tcBorders>
              <w:top w:val="single" w:sz="4" w:space="0" w:color="auto"/>
              <w:left w:val="single" w:sz="4" w:space="0" w:color="auto"/>
              <w:bottom w:val="single" w:sz="4" w:space="0" w:color="auto"/>
              <w:right w:val="single" w:sz="4" w:space="0" w:color="auto"/>
            </w:tcBorders>
            <w:vAlign w:val="center"/>
          </w:tcPr>
          <w:p w14:paraId="4D6BABCC" w14:textId="77777777" w:rsidR="00347BDF" w:rsidRPr="004068F6" w:rsidRDefault="00347BDF" w:rsidP="002757DF">
            <w:pPr>
              <w:jc w:val="center"/>
              <w:rPr>
                <w:rFonts w:cs="Arial"/>
                <w:sz w:val="20"/>
                <w:szCs w:val="20"/>
              </w:rPr>
            </w:pPr>
            <w:r w:rsidRPr="004068F6">
              <w:rPr>
                <w:rFonts w:eastAsia="Calibri" w:cs="Arial"/>
                <w:sz w:val="20"/>
                <w:szCs w:val="20"/>
              </w:rPr>
              <w:t>Dobletones</w:t>
            </w:r>
          </w:p>
        </w:tc>
        <w:tc>
          <w:tcPr>
            <w:tcW w:w="5754" w:type="dxa"/>
            <w:tcBorders>
              <w:top w:val="single" w:sz="4" w:space="0" w:color="auto"/>
              <w:left w:val="single" w:sz="4" w:space="0" w:color="auto"/>
              <w:bottom w:val="single" w:sz="4" w:space="0" w:color="auto"/>
              <w:right w:val="single" w:sz="4" w:space="0" w:color="auto"/>
            </w:tcBorders>
            <w:vAlign w:val="center"/>
          </w:tcPr>
          <w:p w14:paraId="36AA87F4" w14:textId="00A97DC2" w:rsidR="00347BDF" w:rsidRPr="004068F6" w:rsidRDefault="00347BDF" w:rsidP="002757DF">
            <w:pPr>
              <w:rPr>
                <w:rFonts w:cs="Arial"/>
                <w:sz w:val="20"/>
                <w:szCs w:val="20"/>
              </w:rPr>
            </w:pPr>
            <w:r w:rsidRPr="004068F6">
              <w:rPr>
                <w:rFonts w:eastAsia="Calibri" w:cs="Arial"/>
                <w:sz w:val="20"/>
                <w:szCs w:val="20"/>
              </w:rPr>
              <w:t>Especies representadas por dos individuos</w:t>
            </w:r>
            <w:r w:rsidR="00765105" w:rsidRPr="004068F6">
              <w:rPr>
                <w:rFonts w:eastAsia="Calibri" w:cs="Arial"/>
                <w:sz w:val="20"/>
                <w:szCs w:val="20"/>
              </w:rPr>
              <w:t>.</w:t>
            </w:r>
          </w:p>
        </w:tc>
        <w:tc>
          <w:tcPr>
            <w:tcW w:w="2285" w:type="dxa"/>
            <w:tcBorders>
              <w:top w:val="single" w:sz="4" w:space="0" w:color="auto"/>
              <w:left w:val="single" w:sz="4" w:space="0" w:color="auto"/>
              <w:bottom w:val="single" w:sz="4" w:space="0" w:color="auto"/>
              <w:right w:val="single" w:sz="4" w:space="0" w:color="auto"/>
            </w:tcBorders>
            <w:vAlign w:val="center"/>
          </w:tcPr>
          <w:p w14:paraId="472E6E96" w14:textId="31752971" w:rsidR="00347BDF" w:rsidRPr="004068F6" w:rsidRDefault="00347BDF" w:rsidP="002757DF">
            <w:pPr>
              <w:rPr>
                <w:rFonts w:cs="Arial"/>
                <w:sz w:val="20"/>
                <w:szCs w:val="20"/>
              </w:rPr>
            </w:pPr>
          </w:p>
        </w:tc>
      </w:tr>
      <w:tr w:rsidR="00347BDF" w:rsidRPr="004068F6" w14:paraId="717F008E" w14:textId="77777777" w:rsidTr="000D6E21">
        <w:trPr>
          <w:trHeight w:val="1701"/>
        </w:trPr>
        <w:tc>
          <w:tcPr>
            <w:tcW w:w="1471" w:type="dxa"/>
            <w:tcBorders>
              <w:top w:val="single" w:sz="4" w:space="0" w:color="auto"/>
              <w:left w:val="single" w:sz="4" w:space="0" w:color="auto"/>
              <w:bottom w:val="single" w:sz="4" w:space="0" w:color="auto"/>
              <w:right w:val="single" w:sz="4" w:space="0" w:color="auto"/>
            </w:tcBorders>
            <w:vAlign w:val="center"/>
          </w:tcPr>
          <w:p w14:paraId="72818B81" w14:textId="77777777" w:rsidR="00347BDF" w:rsidRPr="004068F6" w:rsidRDefault="00347BDF" w:rsidP="002757DF">
            <w:pPr>
              <w:jc w:val="center"/>
              <w:rPr>
                <w:rFonts w:cs="Arial"/>
                <w:sz w:val="20"/>
                <w:szCs w:val="20"/>
              </w:rPr>
            </w:pPr>
            <w:r w:rsidRPr="004068F6">
              <w:rPr>
                <w:rFonts w:eastAsia="Calibri" w:cs="Arial"/>
                <w:sz w:val="20"/>
                <w:szCs w:val="20"/>
              </w:rPr>
              <w:t>Chao 2</w:t>
            </w:r>
          </w:p>
        </w:tc>
        <w:tc>
          <w:tcPr>
            <w:tcW w:w="5754" w:type="dxa"/>
            <w:tcBorders>
              <w:top w:val="single" w:sz="4" w:space="0" w:color="auto"/>
              <w:left w:val="single" w:sz="4" w:space="0" w:color="auto"/>
              <w:bottom w:val="single" w:sz="4" w:space="0" w:color="auto"/>
              <w:right w:val="single" w:sz="4" w:space="0" w:color="auto"/>
            </w:tcBorders>
            <w:vAlign w:val="center"/>
          </w:tcPr>
          <w:p w14:paraId="6ED1CC58" w14:textId="76C3AE30" w:rsidR="00347BDF" w:rsidRPr="004068F6" w:rsidRDefault="00347BDF" w:rsidP="002757DF">
            <w:pPr>
              <w:rPr>
                <w:rFonts w:cs="Arial"/>
                <w:sz w:val="20"/>
                <w:szCs w:val="20"/>
              </w:rPr>
            </w:pPr>
            <w:r w:rsidRPr="004068F6">
              <w:rPr>
                <w:rFonts w:eastAsia="Calibri" w:cs="Arial"/>
                <w:sz w:val="20"/>
                <w:szCs w:val="20"/>
              </w:rPr>
              <w:t>Asume cierta homogeneidad entre las muestras. Estimación de especies basado en la incidencia (presencia - ausencia). En las primeras muestras se pueden encontrar especies que estén en una sola muestra (uniques) o en dos (duplicates) pero a medida que se avanza en el muestreo este valor debe disminuir. Por esto se sugiere compararlo con Uniques y Duplicates.</w:t>
            </w:r>
          </w:p>
        </w:tc>
        <w:tc>
          <w:tcPr>
            <w:tcW w:w="2285" w:type="dxa"/>
            <w:tcBorders>
              <w:top w:val="single" w:sz="4" w:space="0" w:color="auto"/>
              <w:left w:val="single" w:sz="4" w:space="0" w:color="auto"/>
              <w:bottom w:val="single" w:sz="4" w:space="0" w:color="auto"/>
              <w:right w:val="single" w:sz="4" w:space="0" w:color="auto"/>
            </w:tcBorders>
            <w:vAlign w:val="center"/>
          </w:tcPr>
          <w:p w14:paraId="01994F2C" w14:textId="4BFE54FB" w:rsidR="00347BDF" w:rsidRPr="004068F6" w:rsidRDefault="00347BDF" w:rsidP="002757DF">
            <w:pPr>
              <w:rPr>
                <w:rFonts w:cs="Arial"/>
                <w:sz w:val="20"/>
                <w:szCs w:val="20"/>
              </w:rPr>
            </w:pPr>
            <w:r w:rsidRPr="004068F6">
              <w:rPr>
                <w:rFonts w:eastAsia="Calibri" w:cs="Arial"/>
                <w:sz w:val="20"/>
                <w:szCs w:val="20"/>
              </w:rPr>
              <w:t>Grupos que no presentan abundancias. Algunos métodos de grabación de sonidos.</w:t>
            </w:r>
          </w:p>
        </w:tc>
      </w:tr>
      <w:tr w:rsidR="00347BDF" w:rsidRPr="004068F6" w14:paraId="0B16C8AE" w14:textId="77777777" w:rsidTr="000D6E21">
        <w:trPr>
          <w:trHeight w:val="567"/>
        </w:trPr>
        <w:tc>
          <w:tcPr>
            <w:tcW w:w="1471" w:type="dxa"/>
            <w:tcBorders>
              <w:top w:val="single" w:sz="4" w:space="0" w:color="auto"/>
              <w:left w:val="single" w:sz="4" w:space="0" w:color="auto"/>
              <w:bottom w:val="single" w:sz="4" w:space="0" w:color="auto"/>
              <w:right w:val="single" w:sz="4" w:space="0" w:color="auto"/>
            </w:tcBorders>
            <w:vAlign w:val="center"/>
          </w:tcPr>
          <w:p w14:paraId="304542EC" w14:textId="77777777" w:rsidR="00347BDF" w:rsidRPr="004068F6" w:rsidRDefault="00347BDF" w:rsidP="002757DF">
            <w:pPr>
              <w:jc w:val="center"/>
              <w:rPr>
                <w:rFonts w:cs="Arial"/>
                <w:sz w:val="20"/>
                <w:szCs w:val="20"/>
              </w:rPr>
            </w:pPr>
            <w:r w:rsidRPr="004068F6">
              <w:rPr>
                <w:rFonts w:eastAsia="Calibri" w:cs="Arial"/>
                <w:sz w:val="20"/>
                <w:szCs w:val="20"/>
              </w:rPr>
              <w:t>Uniques</w:t>
            </w:r>
          </w:p>
        </w:tc>
        <w:tc>
          <w:tcPr>
            <w:tcW w:w="5754" w:type="dxa"/>
            <w:tcBorders>
              <w:top w:val="single" w:sz="4" w:space="0" w:color="auto"/>
              <w:left w:val="single" w:sz="4" w:space="0" w:color="auto"/>
              <w:bottom w:val="single" w:sz="4" w:space="0" w:color="auto"/>
              <w:right w:val="single" w:sz="4" w:space="0" w:color="auto"/>
            </w:tcBorders>
            <w:vAlign w:val="center"/>
          </w:tcPr>
          <w:p w14:paraId="6C2515FF" w14:textId="058F4FC7" w:rsidR="00347BDF" w:rsidRPr="004068F6" w:rsidRDefault="00347BDF" w:rsidP="002757DF">
            <w:pPr>
              <w:rPr>
                <w:rFonts w:cs="Arial"/>
                <w:sz w:val="20"/>
                <w:szCs w:val="20"/>
              </w:rPr>
            </w:pPr>
            <w:r w:rsidRPr="004068F6">
              <w:rPr>
                <w:rFonts w:eastAsia="Calibri" w:cs="Arial"/>
                <w:sz w:val="20"/>
                <w:szCs w:val="20"/>
              </w:rPr>
              <w:t>Especies encontradas en solo una muestra</w:t>
            </w:r>
            <w:r w:rsidR="00765105" w:rsidRPr="004068F6">
              <w:rPr>
                <w:rFonts w:eastAsia="Calibri" w:cs="Arial"/>
                <w:sz w:val="20"/>
                <w:szCs w:val="20"/>
              </w:rPr>
              <w:t>.</w:t>
            </w:r>
          </w:p>
        </w:tc>
        <w:tc>
          <w:tcPr>
            <w:tcW w:w="2285" w:type="dxa"/>
            <w:tcBorders>
              <w:top w:val="single" w:sz="4" w:space="0" w:color="auto"/>
              <w:left w:val="single" w:sz="4" w:space="0" w:color="auto"/>
              <w:bottom w:val="single" w:sz="4" w:space="0" w:color="auto"/>
              <w:right w:val="single" w:sz="4" w:space="0" w:color="auto"/>
            </w:tcBorders>
            <w:vAlign w:val="center"/>
          </w:tcPr>
          <w:p w14:paraId="65C9D5AA" w14:textId="17FCC19C" w:rsidR="00347BDF" w:rsidRPr="004068F6" w:rsidRDefault="00347BDF" w:rsidP="002757DF">
            <w:pPr>
              <w:rPr>
                <w:rFonts w:cs="Arial"/>
                <w:sz w:val="20"/>
                <w:szCs w:val="20"/>
              </w:rPr>
            </w:pPr>
          </w:p>
        </w:tc>
      </w:tr>
      <w:tr w:rsidR="00347BDF" w:rsidRPr="004068F6" w14:paraId="7888C57F" w14:textId="77777777" w:rsidTr="000D6E21">
        <w:trPr>
          <w:trHeight w:val="567"/>
        </w:trPr>
        <w:tc>
          <w:tcPr>
            <w:tcW w:w="1471" w:type="dxa"/>
            <w:tcBorders>
              <w:top w:val="single" w:sz="4" w:space="0" w:color="auto"/>
              <w:left w:val="single" w:sz="4" w:space="0" w:color="auto"/>
              <w:bottom w:val="single" w:sz="4" w:space="0" w:color="auto"/>
              <w:right w:val="single" w:sz="4" w:space="0" w:color="auto"/>
            </w:tcBorders>
            <w:vAlign w:val="center"/>
          </w:tcPr>
          <w:p w14:paraId="041D8099" w14:textId="77777777" w:rsidR="00347BDF" w:rsidRPr="004068F6" w:rsidRDefault="00347BDF" w:rsidP="002757DF">
            <w:pPr>
              <w:jc w:val="center"/>
              <w:rPr>
                <w:rFonts w:cs="Arial"/>
                <w:sz w:val="20"/>
                <w:szCs w:val="20"/>
              </w:rPr>
            </w:pPr>
            <w:r w:rsidRPr="004068F6">
              <w:rPr>
                <w:rFonts w:eastAsia="Calibri" w:cs="Arial"/>
                <w:sz w:val="20"/>
                <w:szCs w:val="20"/>
              </w:rPr>
              <w:t>Duplicates</w:t>
            </w:r>
          </w:p>
        </w:tc>
        <w:tc>
          <w:tcPr>
            <w:tcW w:w="5754" w:type="dxa"/>
            <w:tcBorders>
              <w:top w:val="single" w:sz="4" w:space="0" w:color="auto"/>
              <w:left w:val="single" w:sz="4" w:space="0" w:color="auto"/>
              <w:bottom w:val="single" w:sz="4" w:space="0" w:color="auto"/>
              <w:right w:val="single" w:sz="4" w:space="0" w:color="auto"/>
            </w:tcBorders>
            <w:vAlign w:val="center"/>
          </w:tcPr>
          <w:p w14:paraId="7ADB28B2" w14:textId="396AF3D1" w:rsidR="00347BDF" w:rsidRPr="004068F6" w:rsidRDefault="00347BDF" w:rsidP="002757DF">
            <w:pPr>
              <w:rPr>
                <w:rFonts w:cs="Arial"/>
                <w:sz w:val="20"/>
                <w:szCs w:val="20"/>
              </w:rPr>
            </w:pPr>
            <w:r w:rsidRPr="004068F6">
              <w:rPr>
                <w:rFonts w:eastAsia="Calibri" w:cs="Arial"/>
                <w:sz w:val="20"/>
                <w:szCs w:val="20"/>
              </w:rPr>
              <w:t>Especies encontradas en solo dos muestras</w:t>
            </w:r>
            <w:r w:rsidR="00765105" w:rsidRPr="004068F6">
              <w:rPr>
                <w:rFonts w:eastAsia="Calibri" w:cs="Arial"/>
                <w:sz w:val="20"/>
                <w:szCs w:val="20"/>
              </w:rPr>
              <w:t>.</w:t>
            </w:r>
          </w:p>
        </w:tc>
        <w:tc>
          <w:tcPr>
            <w:tcW w:w="2285" w:type="dxa"/>
            <w:tcBorders>
              <w:top w:val="single" w:sz="4" w:space="0" w:color="auto"/>
              <w:left w:val="single" w:sz="4" w:space="0" w:color="auto"/>
              <w:bottom w:val="single" w:sz="4" w:space="0" w:color="auto"/>
              <w:right w:val="single" w:sz="4" w:space="0" w:color="auto"/>
            </w:tcBorders>
            <w:vAlign w:val="center"/>
          </w:tcPr>
          <w:p w14:paraId="44B540EE" w14:textId="4166CCDB" w:rsidR="00347BDF" w:rsidRPr="004068F6" w:rsidRDefault="00347BDF" w:rsidP="002757DF">
            <w:pPr>
              <w:rPr>
                <w:rFonts w:cs="Arial"/>
                <w:sz w:val="20"/>
                <w:szCs w:val="20"/>
              </w:rPr>
            </w:pPr>
          </w:p>
        </w:tc>
      </w:tr>
      <w:tr w:rsidR="00347BDF" w:rsidRPr="004068F6" w14:paraId="3DB1D63F" w14:textId="77777777" w:rsidTr="000D6E21">
        <w:trPr>
          <w:trHeight w:val="548"/>
        </w:trPr>
        <w:tc>
          <w:tcPr>
            <w:tcW w:w="1471" w:type="dxa"/>
            <w:tcBorders>
              <w:top w:val="single" w:sz="4" w:space="0" w:color="auto"/>
              <w:left w:val="single" w:sz="4" w:space="0" w:color="auto"/>
              <w:bottom w:val="single" w:sz="4" w:space="0" w:color="auto"/>
              <w:right w:val="single" w:sz="4" w:space="0" w:color="auto"/>
            </w:tcBorders>
            <w:vAlign w:val="center"/>
          </w:tcPr>
          <w:p w14:paraId="320D8D94" w14:textId="77777777" w:rsidR="00347BDF" w:rsidRPr="004068F6" w:rsidRDefault="00347BDF" w:rsidP="002757DF">
            <w:pPr>
              <w:jc w:val="center"/>
              <w:rPr>
                <w:rFonts w:cs="Arial"/>
                <w:sz w:val="20"/>
                <w:szCs w:val="20"/>
              </w:rPr>
            </w:pPr>
            <w:r w:rsidRPr="004068F6">
              <w:rPr>
                <w:rFonts w:eastAsia="Calibri" w:cs="Arial"/>
                <w:sz w:val="20"/>
                <w:szCs w:val="20"/>
              </w:rPr>
              <w:t>Jacknife 1</w:t>
            </w:r>
          </w:p>
        </w:tc>
        <w:tc>
          <w:tcPr>
            <w:tcW w:w="5754" w:type="dxa"/>
            <w:tcBorders>
              <w:top w:val="single" w:sz="4" w:space="0" w:color="auto"/>
              <w:left w:val="single" w:sz="4" w:space="0" w:color="auto"/>
              <w:bottom w:val="single" w:sz="4" w:space="0" w:color="auto"/>
              <w:right w:val="single" w:sz="4" w:space="0" w:color="auto"/>
            </w:tcBorders>
            <w:vAlign w:val="center"/>
          </w:tcPr>
          <w:p w14:paraId="4CFD24BB" w14:textId="77777777" w:rsidR="00347BDF" w:rsidRPr="004068F6" w:rsidRDefault="00347BDF" w:rsidP="002757DF">
            <w:pPr>
              <w:rPr>
                <w:rFonts w:cs="Arial"/>
                <w:sz w:val="20"/>
                <w:szCs w:val="20"/>
              </w:rPr>
            </w:pPr>
            <w:r w:rsidRPr="004068F6">
              <w:rPr>
                <w:rFonts w:eastAsia="Calibri" w:cs="Arial"/>
                <w:sz w:val="20"/>
                <w:szCs w:val="20"/>
              </w:rPr>
              <w:t>Cuando hay cierta heterogeneidad entre las muestras como en un gradiente ecológico o un mosaico. Este estimador usa abundancia como Chao 1.</w:t>
            </w:r>
          </w:p>
        </w:tc>
        <w:tc>
          <w:tcPr>
            <w:tcW w:w="2285" w:type="dxa"/>
            <w:tcBorders>
              <w:top w:val="single" w:sz="4" w:space="0" w:color="auto"/>
              <w:left w:val="single" w:sz="4" w:space="0" w:color="auto"/>
              <w:bottom w:val="single" w:sz="4" w:space="0" w:color="auto"/>
              <w:right w:val="single" w:sz="4" w:space="0" w:color="auto"/>
            </w:tcBorders>
            <w:vAlign w:val="center"/>
          </w:tcPr>
          <w:p w14:paraId="2676FC17" w14:textId="1FCDC6A7" w:rsidR="00347BDF" w:rsidRPr="004068F6" w:rsidRDefault="00347BDF" w:rsidP="002757DF">
            <w:pPr>
              <w:rPr>
                <w:rFonts w:cs="Arial"/>
                <w:sz w:val="20"/>
                <w:szCs w:val="20"/>
              </w:rPr>
            </w:pPr>
          </w:p>
        </w:tc>
      </w:tr>
      <w:tr w:rsidR="00347BDF" w:rsidRPr="004068F6" w14:paraId="2F6C0DED" w14:textId="77777777" w:rsidTr="000D6E21">
        <w:trPr>
          <w:trHeight w:val="851"/>
        </w:trPr>
        <w:tc>
          <w:tcPr>
            <w:tcW w:w="1471" w:type="dxa"/>
            <w:tcBorders>
              <w:top w:val="single" w:sz="4" w:space="0" w:color="auto"/>
              <w:left w:val="single" w:sz="4" w:space="0" w:color="auto"/>
              <w:bottom w:val="single" w:sz="4" w:space="0" w:color="auto"/>
              <w:right w:val="single" w:sz="4" w:space="0" w:color="auto"/>
            </w:tcBorders>
            <w:vAlign w:val="center"/>
          </w:tcPr>
          <w:p w14:paraId="6A750B32" w14:textId="77777777" w:rsidR="00347BDF" w:rsidRPr="004068F6" w:rsidRDefault="00347BDF" w:rsidP="002757DF">
            <w:pPr>
              <w:jc w:val="center"/>
              <w:rPr>
                <w:rFonts w:cs="Arial"/>
                <w:sz w:val="20"/>
                <w:szCs w:val="20"/>
              </w:rPr>
            </w:pPr>
            <w:r w:rsidRPr="004068F6">
              <w:rPr>
                <w:rFonts w:eastAsia="Calibri" w:cs="Arial"/>
                <w:sz w:val="20"/>
                <w:szCs w:val="20"/>
              </w:rPr>
              <w:t>Jacknife 2</w:t>
            </w:r>
          </w:p>
        </w:tc>
        <w:tc>
          <w:tcPr>
            <w:tcW w:w="5754" w:type="dxa"/>
            <w:tcBorders>
              <w:top w:val="single" w:sz="4" w:space="0" w:color="auto"/>
              <w:left w:val="single" w:sz="4" w:space="0" w:color="auto"/>
              <w:bottom w:val="single" w:sz="4" w:space="0" w:color="auto"/>
              <w:right w:val="single" w:sz="4" w:space="0" w:color="auto"/>
            </w:tcBorders>
            <w:vAlign w:val="center"/>
          </w:tcPr>
          <w:p w14:paraId="273B74FA" w14:textId="77777777" w:rsidR="00347BDF" w:rsidRPr="004068F6" w:rsidRDefault="00347BDF" w:rsidP="002757DF">
            <w:pPr>
              <w:rPr>
                <w:rFonts w:cs="Arial"/>
                <w:sz w:val="20"/>
                <w:szCs w:val="20"/>
              </w:rPr>
            </w:pPr>
            <w:r w:rsidRPr="004068F6">
              <w:rPr>
                <w:rFonts w:eastAsia="Calibri" w:cs="Arial"/>
                <w:sz w:val="20"/>
                <w:szCs w:val="20"/>
              </w:rPr>
              <w:t>Cuando hay cierta heterogeneidad entre las muestras como en un gradiente ecológico o un mosaico. Este estimador usa incidencia como Chao 2.</w:t>
            </w:r>
          </w:p>
        </w:tc>
        <w:tc>
          <w:tcPr>
            <w:tcW w:w="2285" w:type="dxa"/>
            <w:tcBorders>
              <w:top w:val="single" w:sz="4" w:space="0" w:color="auto"/>
              <w:left w:val="single" w:sz="4" w:space="0" w:color="auto"/>
              <w:bottom w:val="single" w:sz="4" w:space="0" w:color="auto"/>
              <w:right w:val="single" w:sz="4" w:space="0" w:color="auto"/>
            </w:tcBorders>
            <w:vAlign w:val="center"/>
          </w:tcPr>
          <w:p w14:paraId="2F035F4E" w14:textId="344AA705" w:rsidR="00347BDF" w:rsidRPr="004068F6" w:rsidRDefault="00347BDF" w:rsidP="002757DF">
            <w:pPr>
              <w:rPr>
                <w:rFonts w:cs="Arial"/>
                <w:sz w:val="20"/>
                <w:szCs w:val="20"/>
              </w:rPr>
            </w:pPr>
          </w:p>
        </w:tc>
      </w:tr>
      <w:tr w:rsidR="00347BDF" w:rsidRPr="004068F6" w14:paraId="07409521" w14:textId="77777777" w:rsidTr="000D6E21">
        <w:trPr>
          <w:trHeight w:val="567"/>
        </w:trPr>
        <w:tc>
          <w:tcPr>
            <w:tcW w:w="1471" w:type="dxa"/>
            <w:tcBorders>
              <w:top w:val="single" w:sz="4" w:space="0" w:color="auto"/>
              <w:left w:val="single" w:sz="4" w:space="0" w:color="auto"/>
              <w:bottom w:val="single" w:sz="4" w:space="0" w:color="auto"/>
              <w:right w:val="single" w:sz="4" w:space="0" w:color="auto"/>
            </w:tcBorders>
            <w:vAlign w:val="center"/>
          </w:tcPr>
          <w:p w14:paraId="5F5F07BA" w14:textId="77777777" w:rsidR="00347BDF" w:rsidRPr="004068F6" w:rsidRDefault="00347BDF" w:rsidP="002757DF">
            <w:pPr>
              <w:jc w:val="center"/>
              <w:rPr>
                <w:rFonts w:cs="Arial"/>
                <w:sz w:val="20"/>
                <w:szCs w:val="20"/>
              </w:rPr>
            </w:pPr>
            <w:r w:rsidRPr="004068F6">
              <w:rPr>
                <w:rFonts w:eastAsia="Calibri" w:cs="Arial"/>
                <w:sz w:val="20"/>
                <w:szCs w:val="20"/>
              </w:rPr>
              <w:t>ACE</w:t>
            </w:r>
          </w:p>
        </w:tc>
        <w:tc>
          <w:tcPr>
            <w:tcW w:w="5754" w:type="dxa"/>
            <w:tcBorders>
              <w:top w:val="single" w:sz="4" w:space="0" w:color="auto"/>
              <w:left w:val="single" w:sz="4" w:space="0" w:color="auto"/>
              <w:bottom w:val="single" w:sz="4" w:space="0" w:color="auto"/>
              <w:right w:val="single" w:sz="4" w:space="0" w:color="auto"/>
            </w:tcBorders>
            <w:vAlign w:val="center"/>
          </w:tcPr>
          <w:p w14:paraId="5BB8411C" w14:textId="77777777" w:rsidR="00347BDF" w:rsidRPr="004068F6" w:rsidRDefault="00347BDF" w:rsidP="002757DF">
            <w:pPr>
              <w:rPr>
                <w:rFonts w:cs="Arial"/>
                <w:sz w:val="20"/>
                <w:szCs w:val="20"/>
              </w:rPr>
            </w:pPr>
            <w:r w:rsidRPr="004068F6">
              <w:rPr>
                <w:rFonts w:eastAsia="Calibri" w:cs="Arial"/>
                <w:sz w:val="20"/>
                <w:szCs w:val="20"/>
              </w:rPr>
              <w:t>Cuando no se superan los 10 individuos por punto de muestreo. Este estimador usa abundancia como Chao 1.</w:t>
            </w:r>
          </w:p>
        </w:tc>
        <w:tc>
          <w:tcPr>
            <w:tcW w:w="2285" w:type="dxa"/>
            <w:tcBorders>
              <w:top w:val="single" w:sz="4" w:space="0" w:color="auto"/>
              <w:left w:val="single" w:sz="4" w:space="0" w:color="auto"/>
              <w:bottom w:val="single" w:sz="4" w:space="0" w:color="auto"/>
              <w:right w:val="single" w:sz="4" w:space="0" w:color="auto"/>
            </w:tcBorders>
            <w:vAlign w:val="center"/>
          </w:tcPr>
          <w:p w14:paraId="46A6C782" w14:textId="2EF6470E" w:rsidR="00347BDF" w:rsidRPr="004068F6" w:rsidRDefault="00347BDF" w:rsidP="002757DF">
            <w:pPr>
              <w:rPr>
                <w:rFonts w:cs="Arial"/>
                <w:sz w:val="20"/>
                <w:szCs w:val="20"/>
              </w:rPr>
            </w:pPr>
          </w:p>
        </w:tc>
      </w:tr>
      <w:tr w:rsidR="00347BDF" w:rsidRPr="004068F6" w14:paraId="6762FFB4" w14:textId="77777777" w:rsidTr="000D6E21">
        <w:trPr>
          <w:trHeight w:val="567"/>
        </w:trPr>
        <w:tc>
          <w:tcPr>
            <w:tcW w:w="1471" w:type="dxa"/>
            <w:tcBorders>
              <w:top w:val="single" w:sz="4" w:space="0" w:color="auto"/>
              <w:left w:val="single" w:sz="4" w:space="0" w:color="auto"/>
              <w:bottom w:val="single" w:sz="4" w:space="0" w:color="auto"/>
              <w:right w:val="single" w:sz="4" w:space="0" w:color="auto"/>
            </w:tcBorders>
            <w:vAlign w:val="center"/>
          </w:tcPr>
          <w:p w14:paraId="53A5D0BA" w14:textId="77777777" w:rsidR="00347BDF" w:rsidRPr="004068F6" w:rsidRDefault="00347BDF" w:rsidP="002757DF">
            <w:pPr>
              <w:jc w:val="center"/>
              <w:rPr>
                <w:rFonts w:cs="Arial"/>
                <w:sz w:val="20"/>
                <w:szCs w:val="20"/>
              </w:rPr>
            </w:pPr>
            <w:r w:rsidRPr="004068F6">
              <w:rPr>
                <w:rFonts w:eastAsia="Calibri" w:cs="Arial"/>
                <w:sz w:val="20"/>
                <w:szCs w:val="20"/>
              </w:rPr>
              <w:t>ICE</w:t>
            </w:r>
          </w:p>
        </w:tc>
        <w:tc>
          <w:tcPr>
            <w:tcW w:w="5754" w:type="dxa"/>
            <w:tcBorders>
              <w:top w:val="single" w:sz="4" w:space="0" w:color="auto"/>
              <w:left w:val="single" w:sz="4" w:space="0" w:color="auto"/>
              <w:bottom w:val="single" w:sz="4" w:space="0" w:color="auto"/>
              <w:right w:val="single" w:sz="4" w:space="0" w:color="auto"/>
            </w:tcBorders>
            <w:vAlign w:val="center"/>
          </w:tcPr>
          <w:p w14:paraId="1B456330" w14:textId="77777777" w:rsidR="00347BDF" w:rsidRPr="004068F6" w:rsidRDefault="00347BDF" w:rsidP="002757DF">
            <w:pPr>
              <w:rPr>
                <w:rFonts w:cs="Arial"/>
                <w:sz w:val="20"/>
                <w:szCs w:val="20"/>
              </w:rPr>
            </w:pPr>
            <w:r w:rsidRPr="004068F6">
              <w:rPr>
                <w:rFonts w:eastAsia="Calibri" w:cs="Arial"/>
                <w:sz w:val="20"/>
                <w:szCs w:val="20"/>
              </w:rPr>
              <w:t>Cuando una especie no se encuentra en más de 10 estaciones de muestreo. Este estimador usa abundancia como Chao 1.</w:t>
            </w:r>
          </w:p>
        </w:tc>
        <w:tc>
          <w:tcPr>
            <w:tcW w:w="2285" w:type="dxa"/>
            <w:tcBorders>
              <w:top w:val="single" w:sz="4" w:space="0" w:color="auto"/>
              <w:left w:val="single" w:sz="4" w:space="0" w:color="auto"/>
              <w:bottom w:val="single" w:sz="4" w:space="0" w:color="auto"/>
              <w:right w:val="single" w:sz="4" w:space="0" w:color="auto"/>
            </w:tcBorders>
            <w:vAlign w:val="center"/>
          </w:tcPr>
          <w:p w14:paraId="4FFAE654" w14:textId="77777777" w:rsidR="00347BDF" w:rsidRPr="004068F6" w:rsidRDefault="00347BDF" w:rsidP="002757DF">
            <w:pPr>
              <w:rPr>
                <w:rFonts w:eastAsia="Calibri" w:cs="Arial"/>
                <w:sz w:val="20"/>
                <w:szCs w:val="20"/>
              </w:rPr>
            </w:pPr>
          </w:p>
        </w:tc>
      </w:tr>
    </w:tbl>
    <w:p w14:paraId="6778A417" w14:textId="6276A3DA" w:rsidR="004007C2" w:rsidRPr="004068F6" w:rsidRDefault="004007C2" w:rsidP="004007C2">
      <w:pPr>
        <w:numPr>
          <w:ilvl w:val="12"/>
          <w:numId w:val="0"/>
        </w:numPr>
        <w:tabs>
          <w:tab w:val="left" w:pos="-2268"/>
        </w:tabs>
        <w:suppressAutoHyphens/>
        <w:jc w:val="center"/>
        <w:rPr>
          <w:spacing w:val="-3"/>
          <w:sz w:val="20"/>
        </w:rPr>
      </w:pPr>
      <w:r w:rsidRPr="004068F6">
        <w:rPr>
          <w:b/>
          <w:bCs/>
          <w:spacing w:val="-3"/>
          <w:sz w:val="20"/>
        </w:rPr>
        <w:t>Fuente:</w:t>
      </w:r>
      <w:r w:rsidRPr="004068F6">
        <w:rPr>
          <w:spacing w:val="-3"/>
          <w:sz w:val="20"/>
        </w:rPr>
        <w:t xml:space="preserve"> Adaptado de Villarreal et al. (200</w:t>
      </w:r>
      <w:r w:rsidR="00587D23" w:rsidRPr="004068F6">
        <w:rPr>
          <w:spacing w:val="-3"/>
          <w:sz w:val="20"/>
        </w:rPr>
        <w:t>6</w:t>
      </w:r>
      <w:r w:rsidRPr="004068F6">
        <w:rPr>
          <w:spacing w:val="-3"/>
          <w:sz w:val="20"/>
        </w:rPr>
        <w:t>).</w:t>
      </w:r>
    </w:p>
    <w:p w14:paraId="7ECDE17C" w14:textId="77777777" w:rsidR="004007C2" w:rsidRPr="004068F6" w:rsidRDefault="004007C2" w:rsidP="00347BDF">
      <w:pPr>
        <w:numPr>
          <w:ilvl w:val="12"/>
          <w:numId w:val="0"/>
        </w:numPr>
        <w:tabs>
          <w:tab w:val="left" w:pos="-2268"/>
        </w:tabs>
        <w:suppressAutoHyphens/>
        <w:rPr>
          <w:spacing w:val="-3"/>
        </w:rPr>
      </w:pPr>
    </w:p>
    <w:p w14:paraId="4829544B" w14:textId="2BDDE092" w:rsidR="00482A5F" w:rsidRPr="004068F6" w:rsidRDefault="00482A5F">
      <w:pPr>
        <w:numPr>
          <w:ilvl w:val="12"/>
          <w:numId w:val="0"/>
        </w:numPr>
        <w:tabs>
          <w:tab w:val="left" w:pos="-2268"/>
        </w:tabs>
        <w:suppressAutoHyphens/>
        <w:rPr>
          <w:spacing w:val="-3"/>
        </w:rPr>
      </w:pPr>
      <w:r w:rsidRPr="004068F6">
        <w:rPr>
          <w:spacing w:val="-3"/>
        </w:rPr>
        <w:t xml:space="preserve">Analizar la estructura para cada uno de los grupos en estudio con base en atributos de composición, riqueza y abundancia de cada </w:t>
      </w:r>
      <w:r w:rsidR="00E95A96" w:rsidRPr="004068F6">
        <w:rPr>
          <w:spacing w:val="-3"/>
        </w:rPr>
        <w:t xml:space="preserve">especie </w:t>
      </w:r>
      <w:r w:rsidRPr="004068F6">
        <w:rPr>
          <w:spacing w:val="-3"/>
        </w:rPr>
        <w:t>para cada un</w:t>
      </w:r>
      <w:r w:rsidR="009F1479" w:rsidRPr="004068F6">
        <w:rPr>
          <w:spacing w:val="-3"/>
        </w:rPr>
        <w:t xml:space="preserve">o </w:t>
      </w:r>
      <w:r w:rsidRPr="004068F6">
        <w:rPr>
          <w:spacing w:val="-3"/>
        </w:rPr>
        <w:t>de l</w:t>
      </w:r>
      <w:r w:rsidR="009F1479" w:rsidRPr="004068F6">
        <w:rPr>
          <w:spacing w:val="-3"/>
        </w:rPr>
        <w:t>o</w:t>
      </w:r>
      <w:r w:rsidRPr="004068F6">
        <w:rPr>
          <w:spacing w:val="-3"/>
        </w:rPr>
        <w:t xml:space="preserve">s </w:t>
      </w:r>
      <w:r w:rsidR="009F1479" w:rsidRPr="004068F6">
        <w:rPr>
          <w:spacing w:val="-3"/>
        </w:rPr>
        <w:t>ecosistemas</w:t>
      </w:r>
      <w:r w:rsidRPr="004068F6">
        <w:rPr>
          <w:spacing w:val="-3"/>
        </w:rPr>
        <w:t xml:space="preserve">. La diversidad </w:t>
      </w:r>
      <w:r w:rsidR="00E95A96" w:rsidRPr="004068F6">
        <w:rPr>
          <w:spacing w:val="-3"/>
        </w:rPr>
        <w:t xml:space="preserve">de especies </w:t>
      </w:r>
      <w:r w:rsidRPr="004068F6">
        <w:rPr>
          <w:spacing w:val="-3"/>
        </w:rPr>
        <w:t>debe ser cuantificada usando índices de riqueza y dominancia, tales como el de dominancia de Simpson, o los de diversidad de Shannon-Weiner y de Margalef</w:t>
      </w:r>
      <w:r w:rsidR="00597E39" w:rsidRPr="004068F6">
        <w:rPr>
          <w:spacing w:val="-3"/>
        </w:rPr>
        <w:t>,</w:t>
      </w:r>
      <w:r w:rsidRPr="004068F6">
        <w:rPr>
          <w:rFonts w:cs="Arial"/>
          <w:spacing w:val="-3"/>
        </w:rPr>
        <w:t xml:space="preserve"> lo anterior teniendo en cuenta el origen de los </w:t>
      </w:r>
      <w:r w:rsidRPr="004068F6">
        <w:rPr>
          <w:rFonts w:cs="Arial"/>
          <w:spacing w:val="-3"/>
        </w:rPr>
        <w:lastRenderedPageBreak/>
        <w:t>datos.</w:t>
      </w:r>
      <w:r w:rsidRPr="004068F6">
        <w:rPr>
          <w:spacing w:val="-3"/>
        </w:rPr>
        <w:t xml:space="preserve"> En lo que respecta al recambio de especies entre comunidades se pueden utilizar índices como el de Bray-Curtis, de similitud de Jaccard o el de complementariedad</w:t>
      </w:r>
      <w:r w:rsidRPr="004068F6">
        <w:rPr>
          <w:rFonts w:cs="Arial"/>
          <w:spacing w:val="-3"/>
        </w:rPr>
        <w:t>. Se debe tener en cuenta la naturaleza de los datos para seleccionar los índices adecuados</w:t>
      </w:r>
      <w:r w:rsidRPr="004068F6">
        <w:rPr>
          <w:spacing w:val="-3"/>
        </w:rPr>
        <w:t>.</w:t>
      </w:r>
    </w:p>
    <w:p w14:paraId="74939A55" w14:textId="77777777" w:rsidR="00482A5F" w:rsidRPr="004068F6" w:rsidRDefault="00482A5F">
      <w:pPr>
        <w:numPr>
          <w:ilvl w:val="12"/>
          <w:numId w:val="0"/>
        </w:numPr>
        <w:tabs>
          <w:tab w:val="left" w:pos="-2268"/>
        </w:tabs>
        <w:suppressAutoHyphens/>
        <w:rPr>
          <w:spacing w:val="-3"/>
        </w:rPr>
      </w:pPr>
    </w:p>
    <w:p w14:paraId="5D94ADF5" w14:textId="3A39CF23" w:rsidR="00482A5F" w:rsidRPr="004068F6" w:rsidRDefault="00F11BAF" w:rsidP="0016F5AC">
      <w:pPr>
        <w:suppressAutoHyphens/>
      </w:pPr>
      <w:r w:rsidRPr="004068F6">
        <w:rPr>
          <w:spacing w:val="-3"/>
        </w:rPr>
        <w:t>E</w:t>
      </w:r>
      <w:r w:rsidR="00482A5F" w:rsidRPr="004068F6">
        <w:rPr>
          <w:spacing w:val="-3"/>
        </w:rPr>
        <w:t>stablecer la categoría de amenaza de las especies</w:t>
      </w:r>
      <w:r w:rsidRPr="004068F6">
        <w:rPr>
          <w:spacing w:val="-3"/>
        </w:rPr>
        <w:t xml:space="preserve"> empleando </w:t>
      </w:r>
      <w:r w:rsidR="00482A5F" w:rsidRPr="004068F6">
        <w:rPr>
          <w:spacing w:val="-3"/>
        </w:rPr>
        <w:t xml:space="preserve">como base la </w:t>
      </w:r>
      <w:r w:rsidR="00AC3FD2" w:rsidRPr="004068F6">
        <w:rPr>
          <w:spacing w:val="-3"/>
        </w:rPr>
        <w:t>Resolución 0126 de 2024</w:t>
      </w:r>
      <w:r w:rsidR="00482A5F" w:rsidRPr="004068F6">
        <w:rPr>
          <w:spacing w:val="-3"/>
        </w:rPr>
        <w:t>, o aquella norma que la modifique</w:t>
      </w:r>
      <w:r w:rsidR="00482A5F" w:rsidRPr="004068F6">
        <w:rPr>
          <w:rFonts w:cs="Arial"/>
          <w:spacing w:val="-3"/>
        </w:rPr>
        <w:t xml:space="preserve"> o</w:t>
      </w:r>
      <w:r w:rsidR="00482A5F" w:rsidRPr="004068F6">
        <w:rPr>
          <w:spacing w:val="-3"/>
        </w:rPr>
        <w:t xml:space="preserve"> sustituya, los listados de especies amenazadas de la IUCN y los apéndices I, II y III de la CITES. Asimismo, se debe reportar</w:t>
      </w:r>
      <w:r w:rsidR="0055662E" w:rsidRPr="004068F6">
        <w:rPr>
          <w:spacing w:val="-3"/>
        </w:rPr>
        <w:t xml:space="preserve"> las especies invasoras con el fin de establecer la presión sobre las demás especies </w:t>
      </w:r>
      <w:r w:rsidR="00DE34D4" w:rsidRPr="004068F6">
        <w:rPr>
          <w:spacing w:val="-3"/>
        </w:rPr>
        <w:t>determinadas</w:t>
      </w:r>
      <w:r w:rsidR="0055662E" w:rsidRPr="004068F6">
        <w:rPr>
          <w:spacing w:val="-3"/>
        </w:rPr>
        <w:t>; para tal fin se puede</w:t>
      </w:r>
      <w:r w:rsidR="00064548" w:rsidRPr="004068F6">
        <w:rPr>
          <w:spacing w:val="-3"/>
        </w:rPr>
        <w:t>n</w:t>
      </w:r>
      <w:r w:rsidR="0055662E" w:rsidRPr="004068F6">
        <w:rPr>
          <w:spacing w:val="-3"/>
        </w:rPr>
        <w:t xml:space="preserve"> consultar la</w:t>
      </w:r>
      <w:r w:rsidR="00597E39" w:rsidRPr="004068F6">
        <w:rPr>
          <w:spacing w:val="-3"/>
        </w:rPr>
        <w:t>s</w:t>
      </w:r>
      <w:r w:rsidR="0055662E" w:rsidRPr="004068F6">
        <w:rPr>
          <w:spacing w:val="-3"/>
        </w:rPr>
        <w:t xml:space="preserve"> Resoluciones 0848 de 2008 y 0207 de 2010 o aquella</w:t>
      </w:r>
      <w:r w:rsidR="00597E39" w:rsidRPr="004068F6">
        <w:rPr>
          <w:spacing w:val="-3"/>
        </w:rPr>
        <w:t>s</w:t>
      </w:r>
      <w:r w:rsidR="0055662E" w:rsidRPr="004068F6">
        <w:rPr>
          <w:spacing w:val="-3"/>
        </w:rPr>
        <w:t xml:space="preserve"> norma</w:t>
      </w:r>
      <w:r w:rsidR="00597E39" w:rsidRPr="004068F6">
        <w:rPr>
          <w:spacing w:val="-3"/>
        </w:rPr>
        <w:t>s</w:t>
      </w:r>
      <w:r w:rsidR="0055662E" w:rsidRPr="004068F6">
        <w:rPr>
          <w:spacing w:val="-3"/>
        </w:rPr>
        <w:t xml:space="preserve"> que la</w:t>
      </w:r>
      <w:r w:rsidR="00597E39" w:rsidRPr="004068F6">
        <w:rPr>
          <w:spacing w:val="-3"/>
        </w:rPr>
        <w:t>s</w:t>
      </w:r>
      <w:r w:rsidR="0055662E" w:rsidRPr="004068F6">
        <w:rPr>
          <w:spacing w:val="-3"/>
        </w:rPr>
        <w:t xml:space="preserve"> modifique</w:t>
      </w:r>
      <w:r w:rsidR="00597E39" w:rsidRPr="004068F6">
        <w:rPr>
          <w:spacing w:val="-3"/>
        </w:rPr>
        <w:t>n</w:t>
      </w:r>
      <w:r w:rsidR="0055662E" w:rsidRPr="004068F6">
        <w:rPr>
          <w:spacing w:val="-3"/>
        </w:rPr>
        <w:t xml:space="preserve"> o sustituya</w:t>
      </w:r>
      <w:r w:rsidR="00597E39" w:rsidRPr="004068F6">
        <w:rPr>
          <w:spacing w:val="-3"/>
        </w:rPr>
        <w:t>n</w:t>
      </w:r>
      <w:r w:rsidR="0055662E" w:rsidRPr="004068F6">
        <w:rPr>
          <w:spacing w:val="-3"/>
        </w:rPr>
        <w:t xml:space="preserve">. En caso de </w:t>
      </w:r>
      <w:r w:rsidRPr="004068F6">
        <w:rPr>
          <w:spacing w:val="-3"/>
        </w:rPr>
        <w:t xml:space="preserve">hallar </w:t>
      </w:r>
      <w:r w:rsidR="0055662E" w:rsidRPr="004068F6">
        <w:rPr>
          <w:spacing w:val="-3"/>
        </w:rPr>
        <w:t>nuevas especies se debe informar</w:t>
      </w:r>
      <w:r w:rsidR="00482A5F" w:rsidRPr="004068F6">
        <w:rPr>
          <w:spacing w:val="-3"/>
        </w:rPr>
        <w:t xml:space="preserve"> a las entidades competentes</w:t>
      </w:r>
      <w:r w:rsidRPr="004068F6">
        <w:rPr>
          <w:spacing w:val="-3"/>
        </w:rPr>
        <w:t>,</w:t>
      </w:r>
      <w:r w:rsidR="00482A5F" w:rsidRPr="004068F6">
        <w:rPr>
          <w:spacing w:val="-3"/>
        </w:rPr>
        <w:t xml:space="preserve"> tales como el Instituto de Ciencias Naturales de la Universidad Nacional de Colombia, el </w:t>
      </w:r>
      <w:r w:rsidR="00831CC8" w:rsidRPr="004068F6">
        <w:rPr>
          <w:spacing w:val="-3"/>
        </w:rPr>
        <w:t>Instituto Humboldt</w:t>
      </w:r>
      <w:r w:rsidR="00482A5F" w:rsidRPr="004068F6">
        <w:rPr>
          <w:spacing w:val="-3"/>
        </w:rPr>
        <w:t>, el Sinchi y el IIAP.</w:t>
      </w:r>
    </w:p>
    <w:p w14:paraId="33550911" w14:textId="77777777" w:rsidR="00125F98" w:rsidRPr="004068F6" w:rsidRDefault="00125F98">
      <w:pPr>
        <w:numPr>
          <w:ilvl w:val="12"/>
          <w:numId w:val="0"/>
        </w:numPr>
        <w:tabs>
          <w:tab w:val="left" w:pos="-2268"/>
        </w:tabs>
        <w:suppressAutoHyphens/>
        <w:rPr>
          <w:spacing w:val="-3"/>
        </w:rPr>
      </w:pPr>
    </w:p>
    <w:p w14:paraId="285F5101" w14:textId="036800B2" w:rsidR="00482A5F" w:rsidRPr="004068F6" w:rsidRDefault="005C2488" w:rsidP="0006013F">
      <w:pPr>
        <w:numPr>
          <w:ilvl w:val="12"/>
          <w:numId w:val="0"/>
        </w:numPr>
        <w:tabs>
          <w:tab w:val="left" w:pos="-2268"/>
        </w:tabs>
        <w:suppressAutoHyphens/>
        <w:rPr>
          <w:rFonts w:cs="Arial"/>
          <w:spacing w:val="-3"/>
        </w:rPr>
      </w:pPr>
      <w:r w:rsidRPr="004068F6">
        <w:rPr>
          <w:rFonts w:cs="Arial"/>
          <w:spacing w:val="-3"/>
        </w:rPr>
        <w:t>Identificar los corredores de movimiento de fauna a partir de los análisis de conectividad (del numeral 4.2.2.3.2), especificando si la presencia del conjunto de especies seleccionado es temporal o permanente y si su observación se realizó durante las temporadas secas o de lluvias.</w:t>
      </w:r>
    </w:p>
    <w:p w14:paraId="6BB35BF7" w14:textId="77777777" w:rsidR="00482A5F" w:rsidRPr="004068F6" w:rsidRDefault="00482A5F" w:rsidP="00482A5F">
      <w:pPr>
        <w:numPr>
          <w:ilvl w:val="12"/>
          <w:numId w:val="0"/>
        </w:numPr>
        <w:tabs>
          <w:tab w:val="left" w:pos="-2268"/>
        </w:tabs>
        <w:suppressAutoHyphens/>
        <w:rPr>
          <w:rFonts w:cs="Arial"/>
          <w:spacing w:val="-3"/>
        </w:rPr>
      </w:pPr>
    </w:p>
    <w:p w14:paraId="18D6ED0E" w14:textId="1E3C395B" w:rsidR="00E95A96" w:rsidRPr="004068F6" w:rsidRDefault="00482A5F">
      <w:pPr>
        <w:numPr>
          <w:ilvl w:val="12"/>
          <w:numId w:val="0"/>
        </w:numPr>
        <w:tabs>
          <w:tab w:val="left" w:pos="-2268"/>
        </w:tabs>
        <w:suppressAutoHyphens/>
        <w:rPr>
          <w:spacing w:val="-3"/>
        </w:rPr>
      </w:pPr>
      <w:r w:rsidRPr="004068F6">
        <w:rPr>
          <w:spacing w:val="-3"/>
        </w:rPr>
        <w:t xml:space="preserve">La </w:t>
      </w:r>
      <w:r w:rsidR="004171A4" w:rsidRPr="004068F6">
        <w:rPr>
          <w:spacing w:val="-3"/>
        </w:rPr>
        <w:t xml:space="preserve">determinación </w:t>
      </w:r>
      <w:r w:rsidRPr="004068F6">
        <w:rPr>
          <w:spacing w:val="-3"/>
        </w:rPr>
        <w:t xml:space="preserve">de estos corredores </w:t>
      </w:r>
      <w:r w:rsidRPr="004068F6">
        <w:rPr>
          <w:rFonts w:cs="Arial"/>
          <w:spacing w:val="-3"/>
        </w:rPr>
        <w:t xml:space="preserve">de movimiento </w:t>
      </w:r>
      <w:r w:rsidRPr="004068F6">
        <w:rPr>
          <w:spacing w:val="-3"/>
        </w:rPr>
        <w:t xml:space="preserve">debe incorporar </w:t>
      </w:r>
      <w:r w:rsidR="00E95A96" w:rsidRPr="004068F6">
        <w:rPr>
          <w:spacing w:val="-3"/>
        </w:rPr>
        <w:t>criterios de uso del hábitat</w:t>
      </w:r>
      <w:r w:rsidRPr="004068F6">
        <w:rPr>
          <w:rFonts w:cs="Arial"/>
          <w:spacing w:val="-3"/>
        </w:rPr>
        <w:t xml:space="preserve">, como por ejemplo lugares de </w:t>
      </w:r>
      <w:r w:rsidRPr="004068F6">
        <w:rPr>
          <w:spacing w:val="-3"/>
        </w:rPr>
        <w:t xml:space="preserve">reproducción, </w:t>
      </w:r>
      <w:r w:rsidRPr="004068F6">
        <w:rPr>
          <w:rFonts w:cs="Arial"/>
          <w:spacing w:val="-3"/>
        </w:rPr>
        <w:t xml:space="preserve">sitios de </w:t>
      </w:r>
      <w:r w:rsidRPr="004068F6">
        <w:rPr>
          <w:spacing w:val="-3"/>
        </w:rPr>
        <w:t xml:space="preserve">alimentación y demás </w:t>
      </w:r>
      <w:r w:rsidRPr="004068F6">
        <w:rPr>
          <w:rFonts w:cs="Arial"/>
          <w:spacing w:val="-3"/>
        </w:rPr>
        <w:t>variables ecológicas relacionadas</w:t>
      </w:r>
      <w:r w:rsidRPr="004068F6">
        <w:rPr>
          <w:spacing w:val="-3"/>
        </w:rPr>
        <w:t xml:space="preserve"> con </w:t>
      </w:r>
      <w:r w:rsidRPr="004068F6">
        <w:rPr>
          <w:rFonts w:cs="Arial"/>
          <w:spacing w:val="-3"/>
        </w:rPr>
        <w:t xml:space="preserve">los requerimientos </w:t>
      </w:r>
      <w:r w:rsidRPr="004068F6">
        <w:rPr>
          <w:spacing w:val="-3"/>
        </w:rPr>
        <w:t xml:space="preserve">de las especies de fauna </w:t>
      </w:r>
      <w:r w:rsidR="00DE34D4" w:rsidRPr="004068F6">
        <w:rPr>
          <w:spacing w:val="-3"/>
        </w:rPr>
        <w:t xml:space="preserve">determinadas </w:t>
      </w:r>
      <w:r w:rsidRPr="004068F6">
        <w:rPr>
          <w:spacing w:val="-3"/>
        </w:rPr>
        <w:t>en la caracterización de línea base.</w:t>
      </w:r>
    </w:p>
    <w:p w14:paraId="457B761A" w14:textId="77777777" w:rsidR="0085725F" w:rsidRPr="004068F6" w:rsidRDefault="0085725F">
      <w:pPr>
        <w:numPr>
          <w:ilvl w:val="12"/>
          <w:numId w:val="0"/>
        </w:numPr>
        <w:tabs>
          <w:tab w:val="left" w:pos="-2268"/>
        </w:tabs>
        <w:suppressAutoHyphens/>
        <w:rPr>
          <w:spacing w:val="-3"/>
        </w:rPr>
      </w:pPr>
    </w:p>
    <w:p w14:paraId="6ED4BBEA" w14:textId="46B51632" w:rsidR="00214B5D" w:rsidRPr="00127BD4" w:rsidRDefault="006A25E2" w:rsidP="0085725F">
      <w:pPr>
        <w:numPr>
          <w:ilvl w:val="12"/>
          <w:numId w:val="0"/>
        </w:numPr>
        <w:tabs>
          <w:tab w:val="left" w:pos="-2268"/>
        </w:tabs>
        <w:suppressAutoHyphens/>
        <w:rPr>
          <w:spacing w:val="-3"/>
        </w:rPr>
      </w:pPr>
      <w:r w:rsidRPr="00127BD4">
        <w:rPr>
          <w:spacing w:val="-3"/>
        </w:rPr>
        <w:t xml:space="preserve">La determinación taxonómica de las especies de fauna </w:t>
      </w:r>
      <w:r w:rsidR="007D1CCB" w:rsidRPr="00127BD4">
        <w:rPr>
          <w:spacing w:val="-3"/>
        </w:rPr>
        <w:t>puede</w:t>
      </w:r>
      <w:r w:rsidRPr="00127BD4">
        <w:rPr>
          <w:spacing w:val="-3"/>
        </w:rPr>
        <w:t xml:space="preserve"> complementarse a</w:t>
      </w:r>
      <w:r w:rsidR="0085725F" w:rsidRPr="00127BD4">
        <w:rPr>
          <w:spacing w:val="-3"/>
        </w:rPr>
        <w:t xml:space="preserve"> partir de la información acústica levantada por grupo taxonómico</w:t>
      </w:r>
      <w:r w:rsidR="007D1CCB" w:rsidRPr="00127BD4">
        <w:rPr>
          <w:spacing w:val="-3"/>
        </w:rPr>
        <w:t xml:space="preserve"> (en caso de que </w:t>
      </w:r>
      <w:r w:rsidR="00C702FC" w:rsidRPr="00127BD4">
        <w:rPr>
          <w:spacing w:val="-3"/>
        </w:rPr>
        <w:t xml:space="preserve">esta información </w:t>
      </w:r>
      <w:r w:rsidR="007D1CCB" w:rsidRPr="00127BD4">
        <w:rPr>
          <w:spacing w:val="-3"/>
        </w:rPr>
        <w:t>se haya</w:t>
      </w:r>
      <w:r w:rsidR="00C702FC" w:rsidRPr="00127BD4">
        <w:rPr>
          <w:spacing w:val="-3"/>
        </w:rPr>
        <w:t xml:space="preserve"> </w:t>
      </w:r>
      <w:r w:rsidR="000D02DA" w:rsidRPr="00127BD4">
        <w:rPr>
          <w:spacing w:val="-3"/>
        </w:rPr>
        <w:t>registrado</w:t>
      </w:r>
      <w:r w:rsidR="007D1CCB" w:rsidRPr="00127BD4">
        <w:rPr>
          <w:spacing w:val="-3"/>
        </w:rPr>
        <w:t>)</w:t>
      </w:r>
      <w:r w:rsidR="0085725F" w:rsidRPr="00127BD4">
        <w:rPr>
          <w:spacing w:val="-3"/>
        </w:rPr>
        <w:t xml:space="preserve">, </w:t>
      </w:r>
      <w:r w:rsidR="0077117C" w:rsidRPr="00127BD4">
        <w:rPr>
          <w:spacing w:val="-3"/>
        </w:rPr>
        <w:t xml:space="preserve">a </w:t>
      </w:r>
      <w:r w:rsidR="00914431" w:rsidRPr="00127BD4">
        <w:rPr>
          <w:spacing w:val="-3"/>
        </w:rPr>
        <w:t xml:space="preserve">través </w:t>
      </w:r>
      <w:r w:rsidR="0077117C" w:rsidRPr="00127BD4">
        <w:rPr>
          <w:spacing w:val="-3"/>
        </w:rPr>
        <w:t>de</w:t>
      </w:r>
      <w:r w:rsidR="00891118" w:rsidRPr="00127BD4">
        <w:rPr>
          <w:spacing w:val="-3"/>
        </w:rPr>
        <w:t xml:space="preserve">l análisis </w:t>
      </w:r>
      <w:r w:rsidR="00914431" w:rsidRPr="00127BD4">
        <w:rPr>
          <w:spacing w:val="-3"/>
        </w:rPr>
        <w:t>de</w:t>
      </w:r>
      <w:r w:rsidR="0077117C" w:rsidRPr="00127BD4">
        <w:rPr>
          <w:spacing w:val="-3"/>
        </w:rPr>
        <w:t xml:space="preserve"> </w:t>
      </w:r>
      <w:r w:rsidR="0085725F" w:rsidRPr="00127BD4">
        <w:rPr>
          <w:spacing w:val="-3"/>
        </w:rPr>
        <w:t xml:space="preserve">los parámetros acústicos identificados en campo </w:t>
      </w:r>
      <w:r w:rsidRPr="00127BD4">
        <w:rPr>
          <w:spacing w:val="-3"/>
        </w:rPr>
        <w:t xml:space="preserve">y </w:t>
      </w:r>
      <w:r w:rsidR="0085725F" w:rsidRPr="00127BD4">
        <w:rPr>
          <w:spacing w:val="-3"/>
        </w:rPr>
        <w:t>grabaciones de referencia o bibliotecas acústicas nacionales e internacionales.</w:t>
      </w:r>
    </w:p>
    <w:p w14:paraId="7EA834F0" w14:textId="77777777" w:rsidR="00214B5D" w:rsidRPr="00127BD4" w:rsidRDefault="00214B5D" w:rsidP="0085725F">
      <w:pPr>
        <w:numPr>
          <w:ilvl w:val="12"/>
          <w:numId w:val="0"/>
        </w:numPr>
        <w:tabs>
          <w:tab w:val="left" w:pos="-2268"/>
        </w:tabs>
        <w:suppressAutoHyphens/>
        <w:rPr>
          <w:spacing w:val="-3"/>
        </w:rPr>
      </w:pPr>
    </w:p>
    <w:p w14:paraId="7C468CE4" w14:textId="5B3D22BC" w:rsidR="00C42C19" w:rsidRDefault="00DD4D48" w:rsidP="00127BD4">
      <w:pPr>
        <w:rPr>
          <w:spacing w:val="-3"/>
        </w:rPr>
      </w:pPr>
      <w:r w:rsidRPr="004068F6">
        <w:rPr>
          <w:spacing w:val="-3"/>
        </w:rPr>
        <w:t>Los resultados de riqueza obtenidos empleando una combinación de métodos de muestreo que incluyan registros indirectos auditivos, deben ser integrados a los análisis de efectividad del muestreo (curvas de acumulación de especies o curvas de rarefacción), considerando que los registros se deben estandarizar desde presencia / ausencia. Para los análisis de diversidad alfa y beta también se deben considerar desde estimadores no paramétricos de fauna vertebrada</w:t>
      </w:r>
      <w:r w:rsidR="00D53DF1" w:rsidRPr="004068F6">
        <w:rPr>
          <w:spacing w:val="-3"/>
        </w:rPr>
        <w:t>. Asimismo</w:t>
      </w:r>
      <w:r w:rsidRPr="004068F6">
        <w:rPr>
          <w:spacing w:val="-3"/>
        </w:rPr>
        <w:t xml:space="preserve">; </w:t>
      </w:r>
      <w:r w:rsidR="00D53DF1" w:rsidRPr="004068F6">
        <w:rPr>
          <w:spacing w:val="-3"/>
        </w:rPr>
        <w:t xml:space="preserve">tales resultados deben integrarse </w:t>
      </w:r>
      <w:r w:rsidRPr="004068F6">
        <w:rPr>
          <w:spacing w:val="-3"/>
        </w:rPr>
        <w:t xml:space="preserve">al MAG, señalando los puntos de muestreo y registros obtenidos con carácter de muestreo por </w:t>
      </w:r>
      <w:r w:rsidR="00D4399C" w:rsidRPr="004068F6">
        <w:rPr>
          <w:spacing w:val="-3"/>
        </w:rPr>
        <w:t>b</w:t>
      </w:r>
      <w:r w:rsidRPr="004068F6">
        <w:rPr>
          <w:spacing w:val="-3"/>
        </w:rPr>
        <w:t>ioacústica.</w:t>
      </w:r>
    </w:p>
    <w:p w14:paraId="25BE22AF" w14:textId="77777777" w:rsidR="006C2F41" w:rsidRPr="004068F6" w:rsidRDefault="006C2F41" w:rsidP="00127BD4">
      <w:pPr>
        <w:rPr>
          <w:spacing w:val="-3"/>
        </w:rPr>
      </w:pPr>
    </w:p>
    <w:p w14:paraId="45874DD6" w14:textId="1B32C512" w:rsidR="0085725F" w:rsidRPr="00127BD4" w:rsidRDefault="0085725F" w:rsidP="00EF4367">
      <w:pPr>
        <w:numPr>
          <w:ilvl w:val="12"/>
          <w:numId w:val="0"/>
        </w:numPr>
        <w:tabs>
          <w:tab w:val="left" w:pos="-2268"/>
        </w:tabs>
        <w:suppressAutoHyphens/>
        <w:rPr>
          <w:spacing w:val="-3"/>
        </w:rPr>
      </w:pPr>
      <w:r w:rsidRPr="00127BD4">
        <w:rPr>
          <w:spacing w:val="-3"/>
        </w:rPr>
        <w:t xml:space="preserve">Para el procesamiento y análisis de esta información, </w:t>
      </w:r>
      <w:r w:rsidR="006A25E2" w:rsidRPr="00127BD4">
        <w:rPr>
          <w:spacing w:val="-3"/>
        </w:rPr>
        <w:t xml:space="preserve">es </w:t>
      </w:r>
      <w:r w:rsidRPr="00127BD4">
        <w:rPr>
          <w:spacing w:val="-3"/>
        </w:rPr>
        <w:t>p</w:t>
      </w:r>
      <w:r w:rsidR="006A25E2" w:rsidRPr="00127BD4">
        <w:rPr>
          <w:spacing w:val="-3"/>
        </w:rPr>
        <w:t xml:space="preserve">osible </w:t>
      </w:r>
      <w:r w:rsidRPr="00127BD4">
        <w:rPr>
          <w:spacing w:val="-3"/>
        </w:rPr>
        <w:t xml:space="preserve">utilizar como referencia el Protocolo para toma de medidas de grabaciones focales en espectro audible utilizando el programa Raven (Versión 1.6.1) </w:t>
      </w:r>
      <w:r w:rsidR="00FA1E66" w:rsidRPr="00127BD4">
        <w:rPr>
          <w:spacing w:val="-3"/>
        </w:rPr>
        <w:t>(</w:t>
      </w:r>
      <w:r w:rsidR="00917CFE" w:rsidRPr="00127BD4">
        <w:rPr>
          <w:spacing w:val="-3"/>
        </w:rPr>
        <w:t xml:space="preserve">Buitrago et al., </w:t>
      </w:r>
      <w:r w:rsidR="00FA1E66" w:rsidRPr="00127BD4">
        <w:rPr>
          <w:spacing w:val="-3"/>
        </w:rPr>
        <w:t xml:space="preserve">2022) </w:t>
      </w:r>
      <w:r w:rsidRPr="00127BD4">
        <w:rPr>
          <w:spacing w:val="-3"/>
        </w:rPr>
        <w:t xml:space="preserve">u otras </w:t>
      </w:r>
      <w:r w:rsidRPr="00127BD4">
        <w:rPr>
          <w:spacing w:val="-3"/>
        </w:rPr>
        <w:lastRenderedPageBreak/>
        <w:t xml:space="preserve">guías o recursos técnicos </w:t>
      </w:r>
      <w:r w:rsidR="006A25E2" w:rsidRPr="00127BD4">
        <w:rPr>
          <w:spacing w:val="-3"/>
        </w:rPr>
        <w:t xml:space="preserve">que resulten pertinentes dadas </w:t>
      </w:r>
      <w:r w:rsidRPr="00127BD4">
        <w:rPr>
          <w:spacing w:val="-3"/>
        </w:rPr>
        <w:t xml:space="preserve">las condiciones del proyecto y </w:t>
      </w:r>
      <w:r w:rsidR="006A25E2" w:rsidRPr="00127BD4">
        <w:rPr>
          <w:spacing w:val="-3"/>
        </w:rPr>
        <w:t xml:space="preserve">el </w:t>
      </w:r>
      <w:r w:rsidRPr="00127BD4">
        <w:rPr>
          <w:spacing w:val="-3"/>
        </w:rPr>
        <w:t>grupo taxon</w:t>
      </w:r>
      <w:r w:rsidR="00177D01" w:rsidRPr="00127BD4">
        <w:rPr>
          <w:spacing w:val="-3"/>
        </w:rPr>
        <w:t>ó</w:t>
      </w:r>
      <w:r w:rsidRPr="00127BD4">
        <w:rPr>
          <w:spacing w:val="-3"/>
        </w:rPr>
        <w:t xml:space="preserve">mico </w:t>
      </w:r>
      <w:r w:rsidR="00220D6C" w:rsidRPr="004068F6">
        <w:rPr>
          <w:spacing w:val="-3"/>
        </w:rPr>
        <w:t xml:space="preserve">objeto </w:t>
      </w:r>
      <w:r w:rsidR="009209A7" w:rsidRPr="004068F6">
        <w:rPr>
          <w:spacing w:val="-3"/>
        </w:rPr>
        <w:t>de</w:t>
      </w:r>
      <w:r w:rsidR="00220D6C" w:rsidRPr="004068F6">
        <w:rPr>
          <w:spacing w:val="-3"/>
        </w:rPr>
        <w:t xml:space="preserve"> caracterización.</w:t>
      </w:r>
    </w:p>
    <w:p w14:paraId="47DD8BD9" w14:textId="77777777" w:rsidR="00482A5F" w:rsidRPr="004068F6" w:rsidRDefault="00482A5F">
      <w:pPr>
        <w:numPr>
          <w:ilvl w:val="12"/>
          <w:numId w:val="0"/>
        </w:numPr>
        <w:tabs>
          <w:tab w:val="left" w:pos="-2268"/>
        </w:tabs>
        <w:suppressAutoHyphens/>
        <w:rPr>
          <w:spacing w:val="-3"/>
        </w:rPr>
      </w:pPr>
    </w:p>
    <w:p w14:paraId="4F9489E7" w14:textId="05175B9C" w:rsidR="00D4646C" w:rsidRPr="004068F6" w:rsidRDefault="00D4646C" w:rsidP="009420F5">
      <w:pPr>
        <w:pStyle w:val="Ttulo4"/>
        <w:tabs>
          <w:tab w:val="clear" w:pos="1844"/>
          <w:tab w:val="num" w:pos="1134"/>
        </w:tabs>
        <w:ind w:left="0"/>
        <w:rPr>
          <w:lang w:val="es-CO"/>
        </w:rPr>
      </w:pPr>
      <w:bookmarkStart w:id="2906" w:name="_Toc69206796"/>
      <w:bookmarkStart w:id="2907" w:name="_Ref78383170"/>
      <w:r w:rsidRPr="004068F6">
        <w:rPr>
          <w:lang w:val="es-CO"/>
        </w:rPr>
        <w:t>Análisis de fragmentación y conectividad</w:t>
      </w:r>
      <w:bookmarkEnd w:id="2906"/>
      <w:bookmarkEnd w:id="2907"/>
    </w:p>
    <w:p w14:paraId="107B3CE9" w14:textId="77777777" w:rsidR="00D4646C" w:rsidRPr="004068F6" w:rsidRDefault="00D4646C" w:rsidP="00D4646C">
      <w:pPr>
        <w:numPr>
          <w:ilvl w:val="12"/>
          <w:numId w:val="0"/>
        </w:numPr>
        <w:tabs>
          <w:tab w:val="left" w:pos="-2268"/>
        </w:tabs>
        <w:suppressAutoHyphens/>
        <w:rPr>
          <w:rFonts w:cs="Arial"/>
          <w:spacing w:val="-3"/>
        </w:rPr>
      </w:pPr>
    </w:p>
    <w:p w14:paraId="62DC6FE3" w14:textId="1DEDCA08" w:rsidR="00D4646C" w:rsidRPr="004068F6" w:rsidRDefault="009557DF" w:rsidP="00D4646C">
      <w:pPr>
        <w:numPr>
          <w:ilvl w:val="12"/>
          <w:numId w:val="0"/>
        </w:numPr>
        <w:tabs>
          <w:tab w:val="left" w:pos="-2268"/>
        </w:tabs>
        <w:suppressAutoHyphens/>
        <w:rPr>
          <w:rFonts w:cs="Arial"/>
          <w:spacing w:val="-3"/>
        </w:rPr>
      </w:pPr>
      <w:r w:rsidRPr="004068F6">
        <w:rPr>
          <w:rFonts w:cs="Arial"/>
          <w:spacing w:val="-3"/>
        </w:rPr>
        <w:t>Los a</w:t>
      </w:r>
      <w:r w:rsidR="00D4646C" w:rsidRPr="004068F6">
        <w:rPr>
          <w:rFonts w:cs="Arial"/>
          <w:spacing w:val="-3"/>
        </w:rPr>
        <w:t xml:space="preserve">nálisis de fragmentación y conectividad ecológica permiten conocer las condiciones </w:t>
      </w:r>
      <w:r w:rsidRPr="004068F6">
        <w:rPr>
          <w:rFonts w:cs="Arial"/>
          <w:spacing w:val="-3"/>
        </w:rPr>
        <w:t xml:space="preserve">de estructura y de </w:t>
      </w:r>
      <w:r w:rsidR="00D4646C" w:rsidRPr="004068F6">
        <w:rPr>
          <w:rFonts w:cs="Arial"/>
          <w:i/>
          <w:iCs/>
          <w:spacing w:val="-3"/>
        </w:rPr>
        <w:t>potencial</w:t>
      </w:r>
      <w:r w:rsidR="00D4646C" w:rsidRPr="004068F6">
        <w:rPr>
          <w:rFonts w:cs="Arial"/>
          <w:spacing w:val="-3"/>
        </w:rPr>
        <w:t xml:space="preserve"> funcionalidad</w:t>
      </w:r>
      <w:r w:rsidRPr="004068F6">
        <w:rPr>
          <w:rFonts w:cs="Arial"/>
          <w:spacing w:val="-3"/>
        </w:rPr>
        <w:t xml:space="preserve"> del paisaje, así como obtener información adicional sobre </w:t>
      </w:r>
      <w:r w:rsidR="00D4646C" w:rsidRPr="004068F6">
        <w:rPr>
          <w:rFonts w:cs="Arial"/>
          <w:spacing w:val="-3"/>
        </w:rPr>
        <w:t xml:space="preserve">los elementos que lo componen </w:t>
      </w:r>
      <w:r w:rsidRPr="004068F6">
        <w:rPr>
          <w:rFonts w:cs="Arial"/>
          <w:spacing w:val="-3"/>
        </w:rPr>
        <w:t xml:space="preserve">y que pueden </w:t>
      </w:r>
      <w:r w:rsidR="00D4646C" w:rsidRPr="004068F6">
        <w:rPr>
          <w:rFonts w:cs="Arial"/>
          <w:spacing w:val="-3"/>
        </w:rPr>
        <w:t>influ</w:t>
      </w:r>
      <w:r w:rsidRPr="004068F6">
        <w:rPr>
          <w:rFonts w:cs="Arial"/>
          <w:spacing w:val="-3"/>
        </w:rPr>
        <w:t xml:space="preserve">ir tanto </w:t>
      </w:r>
      <w:r w:rsidR="00D4646C" w:rsidRPr="004068F6">
        <w:rPr>
          <w:rFonts w:cs="Arial"/>
          <w:spacing w:val="-3"/>
        </w:rPr>
        <w:t>en la riqueza y diversidad de especies obtenida</w:t>
      </w:r>
      <w:r w:rsidR="00EE3DE1" w:rsidRPr="004068F6">
        <w:rPr>
          <w:rFonts w:cs="Arial"/>
          <w:spacing w:val="-3"/>
        </w:rPr>
        <w:t>s</w:t>
      </w:r>
      <w:r w:rsidR="00D4646C" w:rsidRPr="004068F6">
        <w:rPr>
          <w:rFonts w:cs="Arial"/>
          <w:spacing w:val="-3"/>
        </w:rPr>
        <w:t xml:space="preserve"> en la caracterización biótica, </w:t>
      </w:r>
      <w:r w:rsidRPr="004068F6">
        <w:rPr>
          <w:rFonts w:cs="Arial"/>
          <w:spacing w:val="-3"/>
        </w:rPr>
        <w:t xml:space="preserve">como en </w:t>
      </w:r>
      <w:r w:rsidR="00D4646C" w:rsidRPr="004068F6">
        <w:rPr>
          <w:rFonts w:cs="Arial"/>
          <w:spacing w:val="-3"/>
        </w:rPr>
        <w:t>los flujos energéticos representados en los patrones de movilidad de las especies.</w:t>
      </w:r>
    </w:p>
    <w:p w14:paraId="3DBD4EFA" w14:textId="77777777" w:rsidR="00D4646C" w:rsidRPr="004068F6" w:rsidRDefault="00D4646C" w:rsidP="00D4646C">
      <w:pPr>
        <w:numPr>
          <w:ilvl w:val="12"/>
          <w:numId w:val="0"/>
        </w:numPr>
        <w:tabs>
          <w:tab w:val="left" w:pos="-2268"/>
        </w:tabs>
        <w:suppressAutoHyphens/>
        <w:rPr>
          <w:rFonts w:cs="Arial"/>
          <w:spacing w:val="-3"/>
        </w:rPr>
      </w:pPr>
    </w:p>
    <w:p w14:paraId="6E405571" w14:textId="77777777" w:rsidR="00450870" w:rsidRPr="004068F6" w:rsidRDefault="00D4646C" w:rsidP="00D4646C">
      <w:pPr>
        <w:numPr>
          <w:ilvl w:val="12"/>
          <w:numId w:val="0"/>
        </w:numPr>
        <w:tabs>
          <w:tab w:val="left" w:pos="-2268"/>
        </w:tabs>
        <w:suppressAutoHyphens/>
        <w:rPr>
          <w:rFonts w:cs="Arial"/>
          <w:spacing w:val="-3"/>
        </w:rPr>
      </w:pPr>
      <w:r w:rsidRPr="004068F6">
        <w:rPr>
          <w:rFonts w:cs="Arial"/>
          <w:spacing w:val="-3"/>
        </w:rPr>
        <w:t>Los análisis en fragmentación y conectividad ecológica deben contemplar la variación espacial y temporal de las coberturas y uso</w:t>
      </w:r>
      <w:r w:rsidR="009557DF" w:rsidRPr="004068F6">
        <w:rPr>
          <w:rFonts w:cs="Arial"/>
          <w:spacing w:val="-3"/>
        </w:rPr>
        <w:t>s</w:t>
      </w:r>
      <w:r w:rsidRPr="004068F6">
        <w:rPr>
          <w:rFonts w:cs="Arial"/>
          <w:spacing w:val="-3"/>
        </w:rPr>
        <w:t xml:space="preserve"> de la tierra, mediante la revisión de información secundaria e insumos óptimos que garanticen su validez.</w:t>
      </w:r>
    </w:p>
    <w:p w14:paraId="5DEB3F6E" w14:textId="77777777" w:rsidR="00450870" w:rsidRPr="004068F6" w:rsidRDefault="00450870" w:rsidP="00D4646C">
      <w:pPr>
        <w:numPr>
          <w:ilvl w:val="12"/>
          <w:numId w:val="0"/>
        </w:numPr>
        <w:tabs>
          <w:tab w:val="left" w:pos="-2268"/>
        </w:tabs>
        <w:suppressAutoHyphens/>
        <w:rPr>
          <w:rFonts w:cs="Arial"/>
          <w:spacing w:val="-3"/>
        </w:rPr>
      </w:pPr>
    </w:p>
    <w:p w14:paraId="3EBA326B" w14:textId="26BD9347" w:rsidR="00D4646C" w:rsidRPr="004068F6" w:rsidRDefault="00450870" w:rsidP="00D4646C">
      <w:pPr>
        <w:numPr>
          <w:ilvl w:val="12"/>
          <w:numId w:val="0"/>
        </w:numPr>
        <w:tabs>
          <w:tab w:val="left" w:pos="-2268"/>
        </w:tabs>
        <w:suppressAutoHyphens/>
        <w:rPr>
          <w:rFonts w:cs="Arial"/>
          <w:spacing w:val="-3"/>
        </w:rPr>
      </w:pPr>
      <w:r w:rsidRPr="004068F6">
        <w:rPr>
          <w:rFonts w:cs="Arial"/>
          <w:spacing w:val="-3"/>
        </w:rPr>
        <w:t xml:space="preserve">Inicialmente, </w:t>
      </w:r>
      <w:r w:rsidR="00A440F9" w:rsidRPr="004068F6">
        <w:rPr>
          <w:rFonts w:cs="Arial"/>
          <w:spacing w:val="-3"/>
        </w:rPr>
        <w:t xml:space="preserve">es </w:t>
      </w:r>
      <w:r w:rsidR="009557DF" w:rsidRPr="004068F6">
        <w:rPr>
          <w:rFonts w:cs="Arial"/>
          <w:spacing w:val="-3"/>
        </w:rPr>
        <w:t xml:space="preserve">necesario </w:t>
      </w:r>
      <w:r w:rsidR="00D4646C" w:rsidRPr="004068F6">
        <w:rPr>
          <w:rFonts w:cs="Arial"/>
          <w:spacing w:val="-3"/>
        </w:rPr>
        <w:t>definir el modelo de mosaico de paisaje (parche, matriz, corredor) y aplicar las métricas de paisaje para cuantificar patrones espaciales que más adelante permitan vincular</w:t>
      </w:r>
      <w:r w:rsidR="00A440F9" w:rsidRPr="004068F6">
        <w:rPr>
          <w:rFonts w:cs="Arial"/>
          <w:spacing w:val="-3"/>
        </w:rPr>
        <w:t xml:space="preserve"> el paisaje</w:t>
      </w:r>
      <w:r w:rsidR="00D4646C" w:rsidRPr="004068F6">
        <w:rPr>
          <w:rFonts w:cs="Arial"/>
          <w:spacing w:val="-3"/>
        </w:rPr>
        <w:t xml:space="preserve"> con el ejercicio de conectividad ecológica. </w:t>
      </w:r>
      <w:r w:rsidRPr="004068F6">
        <w:rPr>
          <w:rFonts w:cs="Arial"/>
          <w:spacing w:val="-3"/>
        </w:rPr>
        <w:t>L</w:t>
      </w:r>
      <w:r w:rsidR="00D4646C" w:rsidRPr="004068F6">
        <w:rPr>
          <w:rFonts w:cs="Arial"/>
          <w:spacing w:val="-3"/>
        </w:rPr>
        <w:t>a interpretación de las métricas debe tener un enfoque estructural (composición y configuración), pero también una interpretación ligada a las características de hábitat de las especies caracterizadas.</w:t>
      </w:r>
    </w:p>
    <w:p w14:paraId="082D1781" w14:textId="77777777" w:rsidR="00D4646C" w:rsidRPr="004068F6" w:rsidRDefault="00D4646C" w:rsidP="00D4646C">
      <w:pPr>
        <w:numPr>
          <w:ilvl w:val="12"/>
          <w:numId w:val="0"/>
        </w:numPr>
        <w:tabs>
          <w:tab w:val="left" w:pos="-2268"/>
        </w:tabs>
        <w:suppressAutoHyphens/>
        <w:rPr>
          <w:rFonts w:cs="Arial"/>
          <w:spacing w:val="-3"/>
        </w:rPr>
      </w:pPr>
    </w:p>
    <w:p w14:paraId="44EB612B" w14:textId="51C7CB4E" w:rsidR="00D4646C" w:rsidRPr="004068F6" w:rsidRDefault="00450870" w:rsidP="00D4646C">
      <w:pPr>
        <w:numPr>
          <w:ilvl w:val="12"/>
          <w:numId w:val="0"/>
        </w:numPr>
        <w:tabs>
          <w:tab w:val="left" w:pos="-2268"/>
        </w:tabs>
        <w:suppressAutoHyphens/>
        <w:rPr>
          <w:rFonts w:cs="Arial"/>
          <w:spacing w:val="-3"/>
        </w:rPr>
      </w:pPr>
      <w:r w:rsidRPr="004068F6">
        <w:rPr>
          <w:rFonts w:cs="Arial"/>
          <w:spacing w:val="-3"/>
        </w:rPr>
        <w:t>Más adelante</w:t>
      </w:r>
      <w:r w:rsidR="00D4646C" w:rsidRPr="004068F6">
        <w:rPr>
          <w:rFonts w:cs="Arial"/>
          <w:spacing w:val="-3"/>
        </w:rPr>
        <w:t xml:space="preserve">, se debe generar un modelo de </w:t>
      </w:r>
      <w:r w:rsidR="00A440F9" w:rsidRPr="004068F6">
        <w:rPr>
          <w:rFonts w:cs="Arial"/>
          <w:i/>
          <w:iCs/>
          <w:spacing w:val="-3"/>
        </w:rPr>
        <w:t>potencial</w:t>
      </w:r>
      <w:r w:rsidR="00A440F9" w:rsidRPr="004068F6">
        <w:rPr>
          <w:rFonts w:cs="Arial"/>
          <w:spacing w:val="-3"/>
        </w:rPr>
        <w:t xml:space="preserve"> </w:t>
      </w:r>
      <w:r w:rsidR="00D4646C" w:rsidRPr="004068F6">
        <w:rPr>
          <w:rFonts w:cs="Arial"/>
          <w:spacing w:val="-3"/>
        </w:rPr>
        <w:t>conectividad ecológica</w:t>
      </w:r>
      <w:r w:rsidRPr="004068F6">
        <w:rPr>
          <w:rFonts w:cs="Arial"/>
          <w:spacing w:val="-3"/>
        </w:rPr>
        <w:t>,</w:t>
      </w:r>
      <w:r w:rsidR="00D4646C" w:rsidRPr="004068F6">
        <w:rPr>
          <w:rFonts w:cs="Arial"/>
          <w:spacing w:val="-3"/>
        </w:rPr>
        <w:t xml:space="preserve"> tomando como insumo la información obtenida en la caracterización </w:t>
      </w:r>
      <w:r w:rsidRPr="004068F6">
        <w:rPr>
          <w:rFonts w:cs="Arial"/>
          <w:spacing w:val="-3"/>
        </w:rPr>
        <w:t>d</w:t>
      </w:r>
      <w:r w:rsidR="00D4646C" w:rsidRPr="004068F6">
        <w:rPr>
          <w:rFonts w:cs="Arial"/>
          <w:spacing w:val="-3"/>
        </w:rPr>
        <w:t xml:space="preserve">el </w:t>
      </w:r>
      <w:r w:rsidRPr="004068F6">
        <w:rPr>
          <w:rFonts w:cs="Arial"/>
          <w:spacing w:val="-3"/>
        </w:rPr>
        <w:t>m</w:t>
      </w:r>
      <w:r w:rsidR="00D4646C" w:rsidRPr="004068F6">
        <w:rPr>
          <w:rFonts w:cs="Arial"/>
          <w:spacing w:val="-3"/>
        </w:rPr>
        <w:t xml:space="preserve">edio </w:t>
      </w:r>
      <w:r w:rsidRPr="004068F6">
        <w:rPr>
          <w:rFonts w:cs="Arial"/>
          <w:spacing w:val="-3"/>
        </w:rPr>
        <w:t>b</w:t>
      </w:r>
      <w:r w:rsidR="00D4646C" w:rsidRPr="004068F6">
        <w:rPr>
          <w:rFonts w:cs="Arial"/>
          <w:spacing w:val="-3"/>
        </w:rPr>
        <w:t>iótico, y vinculando la estructura del paisaje con la capacidad de movimiento de las especies focales.</w:t>
      </w:r>
    </w:p>
    <w:p w14:paraId="7CB585EE" w14:textId="5ADFEC00" w:rsidR="00FE2ED9" w:rsidRPr="004068F6" w:rsidRDefault="00FE2ED9" w:rsidP="00D4646C">
      <w:pPr>
        <w:numPr>
          <w:ilvl w:val="12"/>
          <w:numId w:val="0"/>
        </w:numPr>
        <w:tabs>
          <w:tab w:val="left" w:pos="-2268"/>
        </w:tabs>
        <w:suppressAutoHyphens/>
        <w:rPr>
          <w:rFonts w:cs="Arial"/>
          <w:spacing w:val="-3"/>
        </w:rPr>
      </w:pPr>
    </w:p>
    <w:p w14:paraId="1ADCF3F2" w14:textId="77777777" w:rsidR="00FE2ED9" w:rsidRPr="004068F6" w:rsidRDefault="00FE2ED9" w:rsidP="00FE2ED9">
      <w:pPr>
        <w:numPr>
          <w:ilvl w:val="12"/>
          <w:numId w:val="0"/>
        </w:numPr>
        <w:tabs>
          <w:tab w:val="left" w:pos="-2268"/>
        </w:tabs>
        <w:suppressAutoHyphens/>
        <w:rPr>
          <w:rFonts w:cs="Arial"/>
          <w:szCs w:val="20"/>
        </w:rPr>
      </w:pPr>
      <w:r w:rsidRPr="004068F6">
        <w:rPr>
          <w:rFonts w:cs="Arial"/>
          <w:szCs w:val="20"/>
        </w:rPr>
        <w:t>Los análisis de fragmentación y conectividad deben desarrollarse empleando software de procesamiento geoespacial.</w:t>
      </w:r>
    </w:p>
    <w:p w14:paraId="14FB7608" w14:textId="77777777" w:rsidR="00D4646C" w:rsidRDefault="00D4646C" w:rsidP="00D4646C">
      <w:pPr>
        <w:numPr>
          <w:ilvl w:val="12"/>
          <w:numId w:val="0"/>
        </w:numPr>
        <w:tabs>
          <w:tab w:val="left" w:pos="-2268"/>
        </w:tabs>
        <w:suppressAutoHyphens/>
        <w:rPr>
          <w:spacing w:val="-3"/>
        </w:rPr>
      </w:pPr>
    </w:p>
    <w:p w14:paraId="53F1B661" w14:textId="58AC7900" w:rsidR="00B33C22" w:rsidRPr="004068F6" w:rsidRDefault="008F228B" w:rsidP="00B33C22">
      <w:pPr>
        <w:numPr>
          <w:ilvl w:val="12"/>
          <w:numId w:val="0"/>
        </w:numPr>
        <w:tabs>
          <w:tab w:val="left" w:pos="-2268"/>
        </w:tabs>
        <w:suppressAutoHyphens/>
        <w:rPr>
          <w:rFonts w:cs="Arial"/>
          <w:spacing w:val="-3"/>
        </w:rPr>
      </w:pPr>
      <w:r w:rsidRPr="00127BD4">
        <w:rPr>
          <w:rFonts w:cs="Arial"/>
          <w:spacing w:val="-3"/>
        </w:rPr>
        <w:t xml:space="preserve">Los análisis de fragmentación y conectividad pueden emplearse </w:t>
      </w:r>
      <w:r w:rsidR="005E6F12" w:rsidRPr="00127BD4">
        <w:rPr>
          <w:rFonts w:cs="Arial"/>
          <w:spacing w:val="-3"/>
        </w:rPr>
        <w:t>en la evaluación ambiental</w:t>
      </w:r>
      <w:r w:rsidR="005E132B" w:rsidRPr="00127BD4">
        <w:rPr>
          <w:rFonts w:cs="Arial"/>
          <w:spacing w:val="-3"/>
        </w:rPr>
        <w:t>,</w:t>
      </w:r>
      <w:r w:rsidR="005E6F12" w:rsidRPr="00127BD4">
        <w:rPr>
          <w:rFonts w:cs="Arial"/>
          <w:spacing w:val="-3"/>
        </w:rPr>
        <w:t xml:space="preserve"> </w:t>
      </w:r>
      <w:r w:rsidRPr="00127BD4">
        <w:rPr>
          <w:rFonts w:cs="Arial"/>
          <w:spacing w:val="-3"/>
        </w:rPr>
        <w:t>c</w:t>
      </w:r>
      <w:r w:rsidR="00B33C22" w:rsidRPr="00127BD4">
        <w:rPr>
          <w:rFonts w:cs="Arial"/>
          <w:spacing w:val="-3"/>
        </w:rPr>
        <w:t>onsidera</w:t>
      </w:r>
      <w:r w:rsidRPr="00127BD4">
        <w:rPr>
          <w:rFonts w:cs="Arial"/>
          <w:spacing w:val="-3"/>
        </w:rPr>
        <w:t xml:space="preserve">ndo </w:t>
      </w:r>
      <w:r w:rsidR="00B33C22" w:rsidRPr="00127BD4">
        <w:rPr>
          <w:rFonts w:cs="Arial"/>
          <w:spacing w:val="-3"/>
        </w:rPr>
        <w:t>el proyecto como elemento del paisaje</w:t>
      </w:r>
      <w:r w:rsidR="005E132B" w:rsidRPr="00127BD4">
        <w:rPr>
          <w:rFonts w:cs="Arial"/>
          <w:spacing w:val="-3"/>
        </w:rPr>
        <w:t>,</w:t>
      </w:r>
      <w:r w:rsidR="00A7692C" w:rsidRPr="00127BD4">
        <w:rPr>
          <w:rFonts w:cs="Arial"/>
          <w:spacing w:val="-3"/>
        </w:rPr>
        <w:t xml:space="preserve"> para </w:t>
      </w:r>
      <w:r w:rsidR="00B33C22" w:rsidRPr="00127BD4">
        <w:rPr>
          <w:rFonts w:cs="Arial"/>
          <w:spacing w:val="-3"/>
        </w:rPr>
        <w:t xml:space="preserve">determinar </w:t>
      </w:r>
      <w:r w:rsidR="00A7692C" w:rsidRPr="00127BD4">
        <w:rPr>
          <w:rFonts w:cs="Arial"/>
          <w:spacing w:val="-3"/>
        </w:rPr>
        <w:t xml:space="preserve">y valorar </w:t>
      </w:r>
      <w:r w:rsidR="00C55954" w:rsidRPr="00127BD4">
        <w:rPr>
          <w:rFonts w:cs="Arial"/>
          <w:spacing w:val="-3"/>
        </w:rPr>
        <w:t xml:space="preserve">con mayor certidumbre </w:t>
      </w:r>
      <w:r w:rsidR="00B33C22" w:rsidRPr="00127BD4">
        <w:rPr>
          <w:rFonts w:cs="Arial"/>
          <w:spacing w:val="-3"/>
        </w:rPr>
        <w:t xml:space="preserve">cómo </w:t>
      </w:r>
      <w:r w:rsidR="005E132B" w:rsidRPr="00127BD4">
        <w:rPr>
          <w:rFonts w:cs="Arial"/>
          <w:spacing w:val="-3"/>
        </w:rPr>
        <w:t xml:space="preserve">su ejecución </w:t>
      </w:r>
      <w:r w:rsidR="00B33C22" w:rsidRPr="00127BD4">
        <w:rPr>
          <w:rFonts w:cs="Arial"/>
          <w:spacing w:val="-3"/>
        </w:rPr>
        <w:t xml:space="preserve">influiría en la fragmentación y la conectividad y, por ende, </w:t>
      </w:r>
      <w:r w:rsidR="0088223B" w:rsidRPr="00127BD4">
        <w:rPr>
          <w:rFonts w:cs="Arial"/>
          <w:spacing w:val="-3"/>
        </w:rPr>
        <w:t xml:space="preserve">cuáles serían sus </w:t>
      </w:r>
      <w:r w:rsidR="00B33C22" w:rsidRPr="00127BD4">
        <w:rPr>
          <w:rFonts w:cs="Arial"/>
          <w:spacing w:val="-3"/>
        </w:rPr>
        <w:t xml:space="preserve">impactos </w:t>
      </w:r>
      <w:r w:rsidR="0088223B" w:rsidRPr="00127BD4">
        <w:rPr>
          <w:rFonts w:cs="Arial"/>
          <w:spacing w:val="-3"/>
        </w:rPr>
        <w:t xml:space="preserve">en </w:t>
      </w:r>
      <w:r w:rsidR="00B33C22" w:rsidRPr="00127BD4">
        <w:rPr>
          <w:rFonts w:cs="Arial"/>
          <w:spacing w:val="-3"/>
        </w:rPr>
        <w:t>la riqueza, diversidad y movilidad de la fauna y flora del territorio</w:t>
      </w:r>
      <w:r w:rsidR="00C55954" w:rsidRPr="00127BD4">
        <w:rPr>
          <w:rFonts w:cs="Arial"/>
          <w:spacing w:val="-3"/>
        </w:rPr>
        <w:t>, entre otros</w:t>
      </w:r>
      <w:r w:rsidR="00B33C22" w:rsidRPr="00127BD4">
        <w:rPr>
          <w:rFonts w:cs="Arial"/>
          <w:spacing w:val="-3"/>
        </w:rPr>
        <w:t>.</w:t>
      </w:r>
    </w:p>
    <w:p w14:paraId="6CE53A63" w14:textId="77777777" w:rsidR="00B33C22" w:rsidRPr="004068F6" w:rsidRDefault="00B33C22" w:rsidP="00D4646C">
      <w:pPr>
        <w:numPr>
          <w:ilvl w:val="12"/>
          <w:numId w:val="0"/>
        </w:numPr>
        <w:tabs>
          <w:tab w:val="left" w:pos="-2268"/>
        </w:tabs>
        <w:suppressAutoHyphens/>
        <w:rPr>
          <w:spacing w:val="-3"/>
        </w:rPr>
      </w:pPr>
    </w:p>
    <w:p w14:paraId="0DEBC85B" w14:textId="77777777" w:rsidR="00D4646C" w:rsidRPr="004068F6" w:rsidRDefault="00D4646C" w:rsidP="002833FB">
      <w:pPr>
        <w:pStyle w:val="Ttulo5"/>
        <w:tabs>
          <w:tab w:val="clear" w:pos="2160"/>
          <w:tab w:val="num" w:pos="1134"/>
        </w:tabs>
        <w:ind w:left="1134" w:hanging="1134"/>
        <w:rPr>
          <w:lang w:val="es-CO"/>
        </w:rPr>
      </w:pPr>
      <w:r w:rsidRPr="004068F6">
        <w:rPr>
          <w:lang w:val="es-CO"/>
        </w:rPr>
        <w:t>Análisis de fragmentación</w:t>
      </w:r>
    </w:p>
    <w:p w14:paraId="29720E6C" w14:textId="77777777" w:rsidR="00D4646C" w:rsidRPr="004068F6" w:rsidRDefault="00D4646C" w:rsidP="00D4646C">
      <w:pPr>
        <w:numPr>
          <w:ilvl w:val="12"/>
          <w:numId w:val="0"/>
        </w:numPr>
        <w:tabs>
          <w:tab w:val="left" w:pos="-2268"/>
        </w:tabs>
        <w:suppressAutoHyphens/>
        <w:rPr>
          <w:spacing w:val="-3"/>
        </w:rPr>
      </w:pPr>
    </w:p>
    <w:p w14:paraId="17A00407" w14:textId="1139FA9A" w:rsidR="00D4646C" w:rsidRPr="004068F6" w:rsidRDefault="00AE6FC4" w:rsidP="00D4646C">
      <w:pPr>
        <w:numPr>
          <w:ilvl w:val="12"/>
          <w:numId w:val="0"/>
        </w:numPr>
        <w:tabs>
          <w:tab w:val="left" w:pos="-2268"/>
        </w:tabs>
        <w:suppressAutoHyphens/>
        <w:rPr>
          <w:rFonts w:cs="Arial"/>
          <w:spacing w:val="-3"/>
        </w:rPr>
      </w:pPr>
      <w:r w:rsidRPr="004068F6">
        <w:rPr>
          <w:rFonts w:cs="Arial"/>
          <w:spacing w:val="-3"/>
        </w:rPr>
        <w:t>E</w:t>
      </w:r>
      <w:r w:rsidR="00CB284E" w:rsidRPr="00127BD4">
        <w:rPr>
          <w:rFonts w:cs="Arial"/>
          <w:spacing w:val="-3"/>
        </w:rPr>
        <w:t xml:space="preserve">l análisis de fragmentación </w:t>
      </w:r>
      <w:r w:rsidRPr="004068F6">
        <w:rPr>
          <w:rFonts w:cs="Arial"/>
          <w:spacing w:val="-3"/>
        </w:rPr>
        <w:t xml:space="preserve">se debe desarrollar </w:t>
      </w:r>
      <w:r w:rsidR="00CB284E" w:rsidRPr="00127BD4">
        <w:rPr>
          <w:rFonts w:cs="Arial"/>
          <w:spacing w:val="-3"/>
        </w:rPr>
        <w:t xml:space="preserve">a partir de las unidades de cobertura vegetal de tipo natural y seminatural </w:t>
      </w:r>
      <w:r w:rsidRPr="004068F6">
        <w:rPr>
          <w:rFonts w:cs="Arial"/>
          <w:spacing w:val="-3"/>
        </w:rPr>
        <w:t xml:space="preserve">realizando </w:t>
      </w:r>
      <w:r w:rsidR="00D4646C" w:rsidRPr="004068F6">
        <w:rPr>
          <w:rFonts w:cs="Arial"/>
          <w:spacing w:val="-3"/>
        </w:rPr>
        <w:t>como mínimo lo siguiente:</w:t>
      </w:r>
    </w:p>
    <w:p w14:paraId="70C73C42" w14:textId="77777777" w:rsidR="00D4646C" w:rsidRPr="004068F6" w:rsidRDefault="00D4646C" w:rsidP="00D4646C">
      <w:pPr>
        <w:numPr>
          <w:ilvl w:val="12"/>
          <w:numId w:val="0"/>
        </w:numPr>
        <w:tabs>
          <w:tab w:val="left" w:pos="-2268"/>
        </w:tabs>
        <w:suppressAutoHyphens/>
        <w:rPr>
          <w:spacing w:val="-3"/>
        </w:rPr>
      </w:pPr>
    </w:p>
    <w:p w14:paraId="265FA744" w14:textId="13AB8525" w:rsidR="00D4646C" w:rsidRPr="004068F6" w:rsidRDefault="00D4646C" w:rsidP="00D4646C">
      <w:pPr>
        <w:pStyle w:val="Prrafodelista"/>
        <w:numPr>
          <w:ilvl w:val="0"/>
          <w:numId w:val="95"/>
        </w:numPr>
        <w:tabs>
          <w:tab w:val="left" w:pos="-2268"/>
        </w:tabs>
        <w:suppressAutoHyphens/>
        <w:ind w:left="567" w:hanging="567"/>
        <w:rPr>
          <w:rFonts w:cs="Arial"/>
          <w:spacing w:val="-3"/>
          <w:lang w:val="es-CO"/>
        </w:rPr>
      </w:pPr>
      <w:r w:rsidRPr="004068F6">
        <w:rPr>
          <w:rFonts w:cs="Arial"/>
          <w:spacing w:val="-3"/>
          <w:lang w:val="es-CO"/>
        </w:rPr>
        <w:lastRenderedPageBreak/>
        <w:t>Seleccionar y sustentar las métricas de parche (</w:t>
      </w:r>
      <w:r w:rsidR="00041844" w:rsidRPr="004068F6">
        <w:rPr>
          <w:rFonts w:cs="Arial"/>
          <w:spacing w:val="-3"/>
          <w:lang w:val="es-CO"/>
        </w:rPr>
        <w:t>p. ej.</w:t>
      </w:r>
      <w:r w:rsidRPr="004068F6">
        <w:rPr>
          <w:rFonts w:cs="Arial"/>
          <w:spacing w:val="-3"/>
          <w:lang w:val="es-CO"/>
        </w:rPr>
        <w:t xml:space="preserve"> </w:t>
      </w:r>
      <w:r w:rsidR="001840FC" w:rsidRPr="004068F6">
        <w:rPr>
          <w:rFonts w:cs="Arial"/>
          <w:spacing w:val="-3"/>
          <w:lang w:val="es-CO"/>
        </w:rPr>
        <w:t xml:space="preserve">tamaño de parche, forma de parche, </w:t>
      </w:r>
      <w:r w:rsidRPr="004068F6">
        <w:rPr>
          <w:rFonts w:cs="Arial"/>
          <w:spacing w:val="-3"/>
          <w:lang w:val="es-CO"/>
        </w:rPr>
        <w:t>distancia euclidiana al vecino más cercano), métricas de clase (</w:t>
      </w:r>
      <w:r w:rsidR="00041844" w:rsidRPr="004068F6">
        <w:rPr>
          <w:rFonts w:cs="Arial"/>
          <w:spacing w:val="-3"/>
          <w:lang w:val="es-CO"/>
        </w:rPr>
        <w:t>p. ej.</w:t>
      </w:r>
      <w:r w:rsidRPr="004068F6">
        <w:rPr>
          <w:rFonts w:cs="Arial"/>
          <w:spacing w:val="-3"/>
          <w:lang w:val="es-CO"/>
        </w:rPr>
        <w:t xml:space="preserve"> área total, número de parches, distancia de borde, radio de giro, índice de forma, índice de dimensión fractal) y métricas de paisaje (</w:t>
      </w:r>
      <w:r w:rsidR="00041844" w:rsidRPr="004068F6">
        <w:rPr>
          <w:rFonts w:cs="Arial"/>
          <w:spacing w:val="-3"/>
          <w:lang w:val="es-CO"/>
        </w:rPr>
        <w:t>p. ej.</w:t>
      </w:r>
      <w:r w:rsidRPr="004068F6">
        <w:rPr>
          <w:rFonts w:cs="Arial"/>
          <w:spacing w:val="-3"/>
          <w:lang w:val="es-CO"/>
        </w:rPr>
        <w:t xml:space="preserve"> índices de diversidad</w:t>
      </w:r>
      <w:r w:rsidR="00C76226" w:rsidRPr="004068F6">
        <w:rPr>
          <w:rFonts w:cs="Arial"/>
          <w:spacing w:val="-3"/>
          <w:lang w:val="es-CO"/>
        </w:rPr>
        <w:t xml:space="preserve">, </w:t>
      </w:r>
      <w:r w:rsidR="001840FC" w:rsidRPr="004068F6">
        <w:rPr>
          <w:rFonts w:cs="Arial"/>
          <w:spacing w:val="-3"/>
          <w:lang w:val="es-CO"/>
        </w:rPr>
        <w:t>índice de similaridad, área de núcleo</w:t>
      </w:r>
      <w:r w:rsidRPr="004068F6">
        <w:rPr>
          <w:rFonts w:cs="Arial"/>
          <w:spacing w:val="-3"/>
          <w:lang w:val="es-CO"/>
        </w:rPr>
        <w:t xml:space="preserve">) para definir el estado actual </w:t>
      </w:r>
      <w:r w:rsidR="00C76226" w:rsidRPr="004068F6">
        <w:rPr>
          <w:rFonts w:cs="Arial"/>
          <w:spacing w:val="-3"/>
          <w:lang w:val="es-CO"/>
        </w:rPr>
        <w:t xml:space="preserve">y dinámica </w:t>
      </w:r>
      <w:r w:rsidRPr="004068F6">
        <w:rPr>
          <w:rFonts w:cs="Arial"/>
          <w:spacing w:val="-3"/>
          <w:lang w:val="es-CO"/>
        </w:rPr>
        <w:t>en términos de tamaño, número de parches, aislamiento y forma. Se deben mencionar los criterios que se tuvieron en cuenta para el cálculo de las métr</w:t>
      </w:r>
      <w:r w:rsidR="00C33ED0" w:rsidRPr="004068F6">
        <w:rPr>
          <w:rFonts w:cs="Arial"/>
          <w:spacing w:val="-3"/>
          <w:lang w:val="es-CO"/>
        </w:rPr>
        <w:t>icas utilizadas en el análisis.</w:t>
      </w:r>
    </w:p>
    <w:p w14:paraId="3EA095C6" w14:textId="77777777" w:rsidR="00D4646C" w:rsidRPr="004068F6" w:rsidRDefault="00D4646C" w:rsidP="000D6E21">
      <w:pPr>
        <w:tabs>
          <w:tab w:val="left" w:pos="-2268"/>
        </w:tabs>
        <w:suppressAutoHyphens/>
        <w:rPr>
          <w:rFonts w:cs="Arial"/>
          <w:spacing w:val="-3"/>
        </w:rPr>
      </w:pPr>
    </w:p>
    <w:p w14:paraId="319E9E01" w14:textId="77881780" w:rsidR="00D4646C" w:rsidRPr="004068F6" w:rsidRDefault="009D4EBE" w:rsidP="00D4646C">
      <w:pPr>
        <w:pStyle w:val="Prrafodelista"/>
        <w:numPr>
          <w:ilvl w:val="0"/>
          <w:numId w:val="376"/>
        </w:numPr>
        <w:tabs>
          <w:tab w:val="left" w:pos="-2268"/>
        </w:tabs>
        <w:suppressAutoHyphens/>
        <w:ind w:left="567" w:hanging="567"/>
        <w:rPr>
          <w:rFonts w:cs="Arial"/>
          <w:spacing w:val="-3"/>
          <w:lang w:val="es-CO"/>
        </w:rPr>
      </w:pPr>
      <w:r w:rsidRPr="004068F6">
        <w:rPr>
          <w:spacing w:val="-3"/>
          <w:lang w:val="es-CO"/>
        </w:rPr>
        <w:t xml:space="preserve">Determinar </w:t>
      </w:r>
      <w:r w:rsidR="00D4646C" w:rsidRPr="004068F6">
        <w:rPr>
          <w:rFonts w:cs="Arial"/>
          <w:spacing w:val="-3"/>
          <w:lang w:val="es-CO"/>
        </w:rPr>
        <w:t xml:space="preserve">los agentes </w:t>
      </w:r>
      <w:r w:rsidR="00F34B57" w:rsidRPr="004068F6">
        <w:rPr>
          <w:spacing w:val="-3"/>
          <w:lang w:val="es-CO"/>
        </w:rPr>
        <w:t xml:space="preserve">y elementos que mayor incidencia tienen en las </w:t>
      </w:r>
      <w:r w:rsidR="00D4646C" w:rsidRPr="004068F6">
        <w:rPr>
          <w:rFonts w:cs="Arial"/>
          <w:spacing w:val="-3"/>
          <w:lang w:val="es-CO"/>
        </w:rPr>
        <w:t xml:space="preserve">dinámicas de transformación de las coberturas de la tierra y </w:t>
      </w:r>
      <w:r w:rsidR="00C76226" w:rsidRPr="004068F6">
        <w:rPr>
          <w:rFonts w:cs="Arial"/>
          <w:spacing w:val="-3"/>
          <w:lang w:val="es-CO"/>
        </w:rPr>
        <w:t>que han conducido a</w:t>
      </w:r>
      <w:r w:rsidR="00D4646C" w:rsidRPr="004068F6">
        <w:rPr>
          <w:rFonts w:cs="Arial"/>
          <w:spacing w:val="-3"/>
          <w:lang w:val="es-CO"/>
        </w:rPr>
        <w:t>l estado actual de fragmentación y pérdida de hábitat.</w:t>
      </w:r>
    </w:p>
    <w:p w14:paraId="50D4FEB9" w14:textId="77777777" w:rsidR="00FF59DA" w:rsidRPr="004068F6" w:rsidRDefault="00FF59DA" w:rsidP="00D4646C">
      <w:pPr>
        <w:tabs>
          <w:tab w:val="left" w:pos="-2268"/>
        </w:tabs>
        <w:suppressAutoHyphens/>
        <w:ind w:left="567" w:hanging="567"/>
        <w:rPr>
          <w:rFonts w:cs="Arial"/>
          <w:spacing w:val="-3"/>
        </w:rPr>
      </w:pPr>
    </w:p>
    <w:p w14:paraId="5ECAF412" w14:textId="3AFA7DF0" w:rsidR="00776F5E" w:rsidRPr="004068F6" w:rsidRDefault="00B465C4" w:rsidP="00776F5E">
      <w:pPr>
        <w:pStyle w:val="Prrafodelista"/>
        <w:numPr>
          <w:ilvl w:val="0"/>
          <w:numId w:val="376"/>
        </w:numPr>
        <w:tabs>
          <w:tab w:val="left" w:pos="-2268"/>
        </w:tabs>
        <w:suppressAutoHyphens/>
        <w:ind w:left="567" w:hanging="567"/>
        <w:rPr>
          <w:rFonts w:cs="Arial"/>
          <w:spacing w:val="-3"/>
          <w:lang w:val="es-CO"/>
        </w:rPr>
      </w:pPr>
      <w:r w:rsidRPr="004068F6">
        <w:rPr>
          <w:rFonts w:cs="Arial"/>
          <w:spacing w:val="-3"/>
          <w:lang w:val="es-CO"/>
        </w:rPr>
        <w:t>Analizar la fragmentación</w:t>
      </w:r>
      <w:r w:rsidR="00505FB8">
        <w:rPr>
          <w:rFonts w:cs="Arial"/>
          <w:spacing w:val="-3"/>
          <w:lang w:val="es-CO"/>
        </w:rPr>
        <w:t xml:space="preserve"> </w:t>
      </w:r>
      <w:r w:rsidRPr="004068F6">
        <w:rPr>
          <w:rFonts w:cs="Arial"/>
          <w:spacing w:val="-3"/>
          <w:lang w:val="es-CO"/>
        </w:rPr>
        <w:t>utiliza</w:t>
      </w:r>
      <w:r w:rsidR="00505FB8">
        <w:rPr>
          <w:rFonts w:cs="Arial"/>
          <w:spacing w:val="-3"/>
          <w:lang w:val="es-CO"/>
        </w:rPr>
        <w:t xml:space="preserve">ndo </w:t>
      </w:r>
      <w:r w:rsidRPr="004068F6">
        <w:rPr>
          <w:rFonts w:cs="Arial"/>
          <w:spacing w:val="-3"/>
          <w:lang w:val="es-CO"/>
        </w:rPr>
        <w:t xml:space="preserve">dos temporalidades como mínimo </w:t>
      </w:r>
      <w:r w:rsidR="00FE51D0" w:rsidRPr="004068F6">
        <w:rPr>
          <w:rFonts w:cs="Arial"/>
          <w:spacing w:val="-3"/>
          <w:lang w:val="es-CO"/>
        </w:rPr>
        <w:t xml:space="preserve">a fin de </w:t>
      </w:r>
      <w:r w:rsidRPr="004068F6">
        <w:rPr>
          <w:rFonts w:cs="Arial"/>
          <w:spacing w:val="-3"/>
          <w:lang w:val="es-CO"/>
        </w:rPr>
        <w:t xml:space="preserve">analizar la tendencia de la fragmentación. </w:t>
      </w:r>
      <w:r w:rsidR="002A6CBE">
        <w:rPr>
          <w:spacing w:val="-3"/>
          <w:lang w:val="es-CO"/>
        </w:rPr>
        <w:t>E</w:t>
      </w:r>
      <w:r w:rsidR="008277DD">
        <w:rPr>
          <w:spacing w:val="-3"/>
          <w:lang w:val="es-CO"/>
        </w:rPr>
        <w:t xml:space="preserve">ste </w:t>
      </w:r>
      <w:r w:rsidR="00570CD5" w:rsidRPr="00675D7D">
        <w:rPr>
          <w:spacing w:val="-3"/>
          <w:lang w:val="es-CO"/>
        </w:rPr>
        <w:t xml:space="preserve">análisis </w:t>
      </w:r>
      <w:r w:rsidR="008277DD" w:rsidRPr="00675D7D">
        <w:rPr>
          <w:spacing w:val="-3"/>
          <w:lang w:val="es-CO"/>
        </w:rPr>
        <w:t xml:space="preserve">de </w:t>
      </w:r>
      <w:r w:rsidR="008277DD" w:rsidRPr="00127BD4">
        <w:rPr>
          <w:rFonts w:eastAsia="Arial" w:cs="Arial"/>
          <w:color w:val="000000" w:themeColor="text1"/>
          <w:lang w:val="es-CO"/>
        </w:rPr>
        <w:t xml:space="preserve">conectividad estructural </w:t>
      </w:r>
      <w:r w:rsidR="00570CD5" w:rsidRPr="00675D7D">
        <w:rPr>
          <w:spacing w:val="-3"/>
          <w:lang w:val="es-CO"/>
        </w:rPr>
        <w:t>deb</w:t>
      </w:r>
      <w:r w:rsidR="00570CD5" w:rsidRPr="004068F6">
        <w:rPr>
          <w:spacing w:val="-3"/>
          <w:lang w:val="es-CO"/>
        </w:rPr>
        <w:t xml:space="preserve">e basarse en el cálculo de </w:t>
      </w:r>
      <w:r w:rsidR="006423DC" w:rsidRPr="004068F6">
        <w:rPr>
          <w:spacing w:val="-3"/>
          <w:lang w:val="es-CO"/>
        </w:rPr>
        <w:t>índices como el de contexto paisajístico por cada parche de cobertura natural y seminatural</w:t>
      </w:r>
      <w:r w:rsidR="00C43732" w:rsidRPr="004068F6">
        <w:rPr>
          <w:spacing w:val="-3"/>
          <w:lang w:val="es-CO"/>
        </w:rPr>
        <w:t xml:space="preserve"> </w:t>
      </w:r>
      <w:r w:rsidR="00776F5E" w:rsidRPr="004068F6">
        <w:rPr>
          <w:rFonts w:cs="Arial"/>
          <w:spacing w:val="-3"/>
          <w:lang w:val="es-CO"/>
        </w:rPr>
        <w:t>ten</w:t>
      </w:r>
      <w:r w:rsidR="00C43732" w:rsidRPr="004068F6">
        <w:rPr>
          <w:rFonts w:cs="Arial"/>
          <w:spacing w:val="-3"/>
          <w:lang w:val="es-CO"/>
        </w:rPr>
        <w:t xml:space="preserve">iendo </w:t>
      </w:r>
      <w:r w:rsidR="00776F5E" w:rsidRPr="004068F6">
        <w:rPr>
          <w:rFonts w:cs="Arial"/>
          <w:spacing w:val="-3"/>
          <w:lang w:val="es-CO"/>
        </w:rPr>
        <w:t>en cuenta cómo se altera</w:t>
      </w:r>
      <w:r w:rsidR="00C43732" w:rsidRPr="004068F6">
        <w:rPr>
          <w:rFonts w:cs="Arial"/>
          <w:spacing w:val="-3"/>
          <w:lang w:val="es-CO"/>
        </w:rPr>
        <w:t>n</w:t>
      </w:r>
      <w:r w:rsidR="00776F5E" w:rsidRPr="004068F6">
        <w:rPr>
          <w:rFonts w:cs="Arial"/>
          <w:spacing w:val="-3"/>
          <w:lang w:val="es-CO"/>
        </w:rPr>
        <w:t xml:space="preserve"> los patrones del paisaje que</w:t>
      </w:r>
      <w:r w:rsidR="006B4C7A" w:rsidRPr="004068F6">
        <w:rPr>
          <w:rFonts w:cs="Arial"/>
          <w:spacing w:val="-3"/>
          <w:lang w:val="es-CO"/>
        </w:rPr>
        <w:t>,</w:t>
      </w:r>
      <w:r w:rsidR="00776F5E" w:rsidRPr="004068F6">
        <w:rPr>
          <w:rFonts w:cs="Arial"/>
          <w:spacing w:val="-3"/>
          <w:lang w:val="es-CO"/>
        </w:rPr>
        <w:t xml:space="preserve"> según Collinge y Forman (1998), pueden responder a una contracción, bisección, fragmentación (en un sentido estricto) o perforación</w:t>
      </w:r>
      <w:r w:rsidR="006B4C7A" w:rsidRPr="004068F6">
        <w:rPr>
          <w:rFonts w:cs="Arial"/>
          <w:spacing w:val="-3"/>
          <w:lang w:val="es-CO"/>
        </w:rPr>
        <w:t>;</w:t>
      </w:r>
      <w:r w:rsidR="00776F5E" w:rsidRPr="004068F6">
        <w:rPr>
          <w:rFonts w:cs="Arial"/>
          <w:spacing w:val="-3"/>
          <w:lang w:val="es-CO"/>
        </w:rPr>
        <w:t xml:space="preserve"> </w:t>
      </w:r>
      <w:r w:rsidR="006B4C7A" w:rsidRPr="004068F6">
        <w:rPr>
          <w:rFonts w:cs="Arial"/>
          <w:spacing w:val="-3"/>
          <w:lang w:val="es-CO"/>
        </w:rPr>
        <w:t>a</w:t>
      </w:r>
      <w:r w:rsidR="00776F5E" w:rsidRPr="004068F6">
        <w:rPr>
          <w:rFonts w:cs="Arial"/>
          <w:spacing w:val="-3"/>
          <w:lang w:val="es-CO"/>
        </w:rPr>
        <w:t>simismo, se debe cuantificar la composición y configuración del paisaje.</w:t>
      </w:r>
    </w:p>
    <w:p w14:paraId="5D565E9A" w14:textId="77777777" w:rsidR="006423DC" w:rsidRDefault="006423DC">
      <w:pPr>
        <w:tabs>
          <w:tab w:val="left" w:pos="-2268"/>
        </w:tabs>
        <w:suppressAutoHyphens/>
        <w:rPr>
          <w:rFonts w:cs="Arial"/>
          <w:spacing w:val="-3"/>
        </w:rPr>
      </w:pPr>
    </w:p>
    <w:p w14:paraId="40EB0C2C" w14:textId="36BE4484" w:rsidR="00180CA4" w:rsidRPr="00127BD4" w:rsidRDefault="00EA624B" w:rsidP="005C6D9F">
      <w:pPr>
        <w:rPr>
          <w:spacing w:val="-3"/>
        </w:rPr>
      </w:pPr>
      <w:r>
        <w:rPr>
          <w:rFonts w:cs="Arial"/>
          <w:spacing w:val="-3"/>
        </w:rPr>
        <w:t>Adicionalmente, s</w:t>
      </w:r>
      <w:r w:rsidR="00684685">
        <w:rPr>
          <w:rFonts w:cs="Arial"/>
          <w:spacing w:val="-3"/>
        </w:rPr>
        <w:t xml:space="preserve">e debe </w:t>
      </w:r>
      <w:r w:rsidR="00E4120F">
        <w:rPr>
          <w:rFonts w:cs="Arial"/>
          <w:spacing w:val="-3"/>
        </w:rPr>
        <w:t xml:space="preserve">emplear el análisis </w:t>
      </w:r>
      <w:r w:rsidR="00E4120F" w:rsidRPr="009F716E">
        <w:rPr>
          <w:rFonts w:cs="Arial"/>
          <w:spacing w:val="-3"/>
        </w:rPr>
        <w:t xml:space="preserve">de fragmentación para </w:t>
      </w:r>
      <w:r w:rsidR="002B6BCA" w:rsidRPr="009F716E">
        <w:rPr>
          <w:rFonts w:cs="Arial"/>
          <w:spacing w:val="-3"/>
        </w:rPr>
        <w:t xml:space="preserve">determinar y valorar los impactos </w:t>
      </w:r>
      <w:r w:rsidR="005C6D9F" w:rsidRPr="009F716E">
        <w:rPr>
          <w:rFonts w:cs="Arial"/>
          <w:spacing w:val="-3"/>
        </w:rPr>
        <w:t xml:space="preserve">directos e indirectos </w:t>
      </w:r>
      <w:r w:rsidR="002B6BCA" w:rsidRPr="009F716E">
        <w:rPr>
          <w:rFonts w:cs="Arial"/>
          <w:spacing w:val="-3"/>
        </w:rPr>
        <w:t>del proyecto</w:t>
      </w:r>
      <w:r w:rsidR="005C6D9F" w:rsidRPr="009F716E">
        <w:rPr>
          <w:rFonts w:cs="Arial"/>
          <w:spacing w:val="-3"/>
        </w:rPr>
        <w:t xml:space="preserve"> </w:t>
      </w:r>
      <w:r w:rsidR="005C6D9F" w:rsidRPr="00127BD4">
        <w:rPr>
          <w:rFonts w:cs="Arial"/>
          <w:spacing w:val="-3"/>
          <w:lang w:val="es-ES_tradnl"/>
        </w:rPr>
        <w:t>asociados a la fragmentación y pérdida de hábitat</w:t>
      </w:r>
      <w:r w:rsidR="00B17B01" w:rsidRPr="009F716E">
        <w:rPr>
          <w:rFonts w:cs="Arial"/>
          <w:spacing w:val="-3"/>
        </w:rPr>
        <w:t xml:space="preserve">. </w:t>
      </w:r>
      <w:r w:rsidR="0018659E" w:rsidRPr="009F716E">
        <w:rPr>
          <w:rFonts w:cs="Arial"/>
          <w:spacing w:val="-3"/>
        </w:rPr>
        <w:t xml:space="preserve">Dicho </w:t>
      </w:r>
      <w:r w:rsidR="00930647" w:rsidRPr="00127BD4">
        <w:rPr>
          <w:spacing w:val="-3"/>
        </w:rPr>
        <w:t xml:space="preserve">análisis </w:t>
      </w:r>
      <w:r w:rsidR="00F90DF1" w:rsidRPr="00127BD4">
        <w:rPr>
          <w:spacing w:val="-3"/>
        </w:rPr>
        <w:t>se puede realizar siguiendo los lineamientos señalados en la viñeta anterior</w:t>
      </w:r>
      <w:r w:rsidR="00914255" w:rsidRPr="00127BD4">
        <w:rPr>
          <w:spacing w:val="-3"/>
        </w:rPr>
        <w:t xml:space="preserve">, </w:t>
      </w:r>
      <w:r w:rsidR="00733E70" w:rsidRPr="00127BD4">
        <w:rPr>
          <w:spacing w:val="-3"/>
        </w:rPr>
        <w:t xml:space="preserve">pero considerando </w:t>
      </w:r>
      <w:r w:rsidR="00351D69" w:rsidRPr="00127BD4">
        <w:rPr>
          <w:spacing w:val="-3"/>
        </w:rPr>
        <w:t>las obras o actividades que generarían mayor incidencia en la dinámica de fragmentación y pérdida de hábitat,</w:t>
      </w:r>
      <w:r w:rsidR="00351D69" w:rsidRPr="00127BD4">
        <w:rPr>
          <w:rFonts w:cs="Arial"/>
          <w:spacing w:val="-3"/>
        </w:rPr>
        <w:t xml:space="preserve"> </w:t>
      </w:r>
      <w:r w:rsidR="00AB3E4C" w:rsidRPr="00127BD4">
        <w:rPr>
          <w:rFonts w:cs="Arial"/>
          <w:spacing w:val="-3"/>
        </w:rPr>
        <w:t>l</w:t>
      </w:r>
      <w:r w:rsidR="00AB3E4C" w:rsidRPr="00127BD4">
        <w:rPr>
          <w:spacing w:val="-3"/>
        </w:rPr>
        <w:t>a localización de los sectores que tendrían mayor alteración</w:t>
      </w:r>
      <w:r w:rsidR="00AB3E4C" w:rsidRPr="00127BD4">
        <w:rPr>
          <w:rFonts w:cs="Arial"/>
          <w:spacing w:val="-3"/>
        </w:rPr>
        <w:t xml:space="preserve"> dentro de </w:t>
      </w:r>
      <w:r w:rsidR="00733E70" w:rsidRPr="00127BD4">
        <w:rPr>
          <w:rFonts w:cs="Arial"/>
          <w:spacing w:val="-3"/>
        </w:rPr>
        <w:t>los polígonos de las áreas por intervenir y el cambio en el uso del suelo que generaría la ejecución del proyecto</w:t>
      </w:r>
      <w:r w:rsidR="00AB3E4C" w:rsidRPr="00127BD4">
        <w:rPr>
          <w:rFonts w:cs="Arial"/>
          <w:spacing w:val="-3"/>
        </w:rPr>
        <w:t>.</w:t>
      </w:r>
    </w:p>
    <w:p w14:paraId="6FAFB97D" w14:textId="77777777" w:rsidR="00507E6E" w:rsidRPr="004068F6" w:rsidRDefault="00507E6E" w:rsidP="00D4646C">
      <w:pPr>
        <w:tabs>
          <w:tab w:val="left" w:pos="-2268"/>
        </w:tabs>
        <w:suppressAutoHyphens/>
        <w:rPr>
          <w:spacing w:val="-3"/>
        </w:rPr>
      </w:pPr>
    </w:p>
    <w:p w14:paraId="23914A5C" w14:textId="3143BFB1" w:rsidR="00D4646C" w:rsidRPr="004068F6" w:rsidRDefault="00D4646C" w:rsidP="002833FB">
      <w:pPr>
        <w:pStyle w:val="Ttulo5"/>
        <w:tabs>
          <w:tab w:val="clear" w:pos="2160"/>
          <w:tab w:val="num" w:pos="1134"/>
        </w:tabs>
        <w:ind w:left="1134" w:hanging="1134"/>
        <w:rPr>
          <w:lang w:val="es-CO"/>
        </w:rPr>
      </w:pPr>
      <w:bookmarkStart w:id="2908" w:name="_Ref79492801"/>
      <w:r w:rsidRPr="004068F6">
        <w:rPr>
          <w:lang w:val="es-CO"/>
        </w:rPr>
        <w:t>Análisis de conectividad</w:t>
      </w:r>
      <w:bookmarkEnd w:id="2908"/>
    </w:p>
    <w:p w14:paraId="17DE7155" w14:textId="77777777" w:rsidR="00D4646C" w:rsidRPr="004068F6" w:rsidRDefault="00D4646C" w:rsidP="00D4646C">
      <w:pPr>
        <w:numPr>
          <w:ilvl w:val="12"/>
          <w:numId w:val="0"/>
        </w:numPr>
        <w:tabs>
          <w:tab w:val="left" w:pos="-2268"/>
        </w:tabs>
        <w:suppressAutoHyphens/>
        <w:rPr>
          <w:rFonts w:cs="Arial"/>
          <w:spacing w:val="-3"/>
        </w:rPr>
      </w:pPr>
    </w:p>
    <w:p w14:paraId="05D26368" w14:textId="23ACC391" w:rsidR="0002683C" w:rsidRPr="004068F6" w:rsidRDefault="0002683C" w:rsidP="0002683C">
      <w:pPr>
        <w:numPr>
          <w:ilvl w:val="12"/>
          <w:numId w:val="0"/>
        </w:numPr>
        <w:tabs>
          <w:tab w:val="left" w:pos="-2268"/>
        </w:tabs>
        <w:suppressAutoHyphens/>
        <w:rPr>
          <w:spacing w:val="-3"/>
        </w:rPr>
      </w:pPr>
      <w:r w:rsidRPr="004068F6">
        <w:rPr>
          <w:spacing w:val="-3"/>
        </w:rPr>
        <w:t>Generar modelos multiespecie (independiente</w:t>
      </w:r>
      <w:r w:rsidR="0059044D" w:rsidRPr="004068F6">
        <w:rPr>
          <w:spacing w:val="-3"/>
        </w:rPr>
        <w:t>s</w:t>
      </w:r>
      <w:r w:rsidRPr="004068F6">
        <w:rPr>
          <w:spacing w:val="-3"/>
        </w:rPr>
        <w:t xml:space="preserve"> para cada especie) de conectividad ecológica funcional</w:t>
      </w:r>
      <w:r w:rsidR="0059044D" w:rsidRPr="004068F6">
        <w:rPr>
          <w:spacing w:val="-3"/>
        </w:rPr>
        <w:t>;</w:t>
      </w:r>
      <w:r w:rsidRPr="004068F6">
        <w:rPr>
          <w:spacing w:val="-3"/>
        </w:rPr>
        <w:t xml:space="preserve"> de ser necesario</w:t>
      </w:r>
      <w:r w:rsidR="0059044D" w:rsidRPr="004068F6">
        <w:rPr>
          <w:spacing w:val="-3"/>
        </w:rPr>
        <w:t>,</w:t>
      </w:r>
      <w:r w:rsidRPr="004068F6">
        <w:rPr>
          <w:spacing w:val="-3"/>
        </w:rPr>
        <w:t xml:space="preserve"> se pueden </w:t>
      </w:r>
      <w:r w:rsidR="0059044D" w:rsidRPr="004068F6">
        <w:rPr>
          <w:spacing w:val="-3"/>
        </w:rPr>
        <w:t xml:space="preserve">desarrollar </w:t>
      </w:r>
      <w:r w:rsidRPr="004068F6">
        <w:rPr>
          <w:spacing w:val="-3"/>
        </w:rPr>
        <w:t>otros modelos que se consideren adecuados para las particularidades del proyecto (</w:t>
      </w:r>
      <w:r w:rsidR="0059044D" w:rsidRPr="004068F6">
        <w:rPr>
          <w:spacing w:val="-3"/>
        </w:rPr>
        <w:t xml:space="preserve">p. </w:t>
      </w:r>
      <w:r w:rsidRPr="004068F6">
        <w:rPr>
          <w:spacing w:val="-3"/>
        </w:rPr>
        <w:t>ej</w:t>
      </w:r>
      <w:r w:rsidR="0059044D" w:rsidRPr="004068F6">
        <w:rPr>
          <w:spacing w:val="-3"/>
        </w:rPr>
        <w:t>.</w:t>
      </w:r>
      <w:r w:rsidRPr="004068F6">
        <w:rPr>
          <w:spacing w:val="-3"/>
        </w:rPr>
        <w:t xml:space="preserve"> modelos de distribución potencial, </w:t>
      </w:r>
      <w:r w:rsidR="007238A7" w:rsidRPr="004068F6">
        <w:rPr>
          <w:spacing w:val="-3"/>
        </w:rPr>
        <w:t xml:space="preserve">de </w:t>
      </w:r>
      <w:r w:rsidRPr="004068F6">
        <w:rPr>
          <w:spacing w:val="-3"/>
        </w:rPr>
        <w:t>calidad de hábitat</w:t>
      </w:r>
      <w:r w:rsidR="007238A7" w:rsidRPr="004068F6">
        <w:rPr>
          <w:spacing w:val="-3"/>
        </w:rPr>
        <w:t xml:space="preserve"> o</w:t>
      </w:r>
      <w:r w:rsidRPr="004068F6">
        <w:rPr>
          <w:spacing w:val="-3"/>
        </w:rPr>
        <w:t xml:space="preserve"> de idoneidad) a </w:t>
      </w:r>
      <w:r w:rsidR="002D6B64">
        <w:rPr>
          <w:spacing w:val="-3"/>
        </w:rPr>
        <w:t xml:space="preserve">la </w:t>
      </w:r>
      <w:r w:rsidRPr="004068F6">
        <w:rPr>
          <w:spacing w:val="-3"/>
        </w:rPr>
        <w:t xml:space="preserve">escala </w:t>
      </w:r>
      <w:r w:rsidR="008038C2">
        <w:t>establecida en los términos de referencia</w:t>
      </w:r>
      <w:r w:rsidRPr="004068F6">
        <w:rPr>
          <w:spacing w:val="-3"/>
        </w:rPr>
        <w:t xml:space="preserve">, </w:t>
      </w:r>
      <w:r w:rsidR="00B23D47">
        <w:rPr>
          <w:spacing w:val="-3"/>
        </w:rPr>
        <w:t>realizando</w:t>
      </w:r>
      <w:r w:rsidR="00AA7506" w:rsidRPr="004068F6">
        <w:rPr>
          <w:spacing w:val="-3"/>
        </w:rPr>
        <w:t xml:space="preserve"> lo siguiente</w:t>
      </w:r>
      <w:r w:rsidRPr="004068F6">
        <w:rPr>
          <w:spacing w:val="-3"/>
        </w:rPr>
        <w:t>:</w:t>
      </w:r>
    </w:p>
    <w:p w14:paraId="733C3F0E" w14:textId="77777777" w:rsidR="0002683C" w:rsidRPr="004068F6" w:rsidRDefault="0002683C" w:rsidP="0002683C">
      <w:pPr>
        <w:numPr>
          <w:ilvl w:val="12"/>
          <w:numId w:val="0"/>
        </w:numPr>
        <w:tabs>
          <w:tab w:val="left" w:pos="-2268"/>
        </w:tabs>
        <w:suppressAutoHyphens/>
        <w:rPr>
          <w:spacing w:val="-3"/>
        </w:rPr>
      </w:pPr>
    </w:p>
    <w:p w14:paraId="694BF7B7" w14:textId="68773F30" w:rsidR="0002683C" w:rsidRPr="00CD4321" w:rsidRDefault="00287B08" w:rsidP="00127BD4">
      <w:pPr>
        <w:pStyle w:val="Prrafodelista"/>
        <w:numPr>
          <w:ilvl w:val="0"/>
          <w:numId w:val="376"/>
        </w:numPr>
        <w:tabs>
          <w:tab w:val="left" w:pos="-2268"/>
        </w:tabs>
        <w:suppressAutoHyphens/>
        <w:ind w:left="567" w:hanging="567"/>
        <w:rPr>
          <w:rFonts w:cs="Arial"/>
          <w:spacing w:val="-3"/>
        </w:rPr>
      </w:pPr>
      <w:r w:rsidRPr="00CD4321">
        <w:rPr>
          <w:rFonts w:cs="Arial"/>
          <w:spacing w:val="-3"/>
          <w:lang w:val="es-CO"/>
        </w:rPr>
        <w:t>Seleccionar l</w:t>
      </w:r>
      <w:r w:rsidR="0002683C" w:rsidRPr="00CD4321">
        <w:rPr>
          <w:rFonts w:cs="Arial"/>
          <w:spacing w:val="-3"/>
          <w:lang w:val="es-CO"/>
        </w:rPr>
        <w:t>a</w:t>
      </w:r>
      <w:r w:rsidR="00B458CF" w:rsidRPr="00CD4321">
        <w:rPr>
          <w:rFonts w:cs="Arial"/>
          <w:spacing w:val="-3"/>
          <w:lang w:val="es-CO"/>
        </w:rPr>
        <w:t>s</w:t>
      </w:r>
      <w:r w:rsidR="0002683C" w:rsidRPr="00CD4321">
        <w:rPr>
          <w:rFonts w:cs="Arial"/>
          <w:spacing w:val="-3"/>
          <w:lang w:val="es-CO"/>
        </w:rPr>
        <w:t xml:space="preserve"> especies </w:t>
      </w:r>
      <w:r w:rsidR="00727E99" w:rsidRPr="00CD4321">
        <w:rPr>
          <w:rFonts w:cs="Arial"/>
          <w:spacing w:val="-3"/>
          <w:lang w:val="es-CO"/>
        </w:rPr>
        <w:t xml:space="preserve">para </w:t>
      </w:r>
      <w:r w:rsidR="00B458CF" w:rsidRPr="00CD4321">
        <w:rPr>
          <w:rFonts w:cs="Arial"/>
          <w:spacing w:val="-3"/>
          <w:lang w:val="es-CO"/>
        </w:rPr>
        <w:t xml:space="preserve">desarrollar </w:t>
      </w:r>
      <w:r w:rsidR="00727E99" w:rsidRPr="00CD4321">
        <w:rPr>
          <w:rFonts w:cs="Arial"/>
          <w:spacing w:val="-3"/>
          <w:lang w:val="es-CO"/>
        </w:rPr>
        <w:t xml:space="preserve">los </w:t>
      </w:r>
      <w:r w:rsidR="0002683C" w:rsidRPr="00CD4321">
        <w:rPr>
          <w:rFonts w:cs="Arial"/>
          <w:spacing w:val="-3"/>
          <w:lang w:val="es-CO"/>
        </w:rPr>
        <w:t>model</w:t>
      </w:r>
      <w:r w:rsidR="00727E99" w:rsidRPr="00CD4321">
        <w:rPr>
          <w:rFonts w:cs="Arial"/>
          <w:spacing w:val="-3"/>
          <w:lang w:val="es-CO"/>
        </w:rPr>
        <w:t>os</w:t>
      </w:r>
      <w:r w:rsidR="003F4FCD">
        <w:rPr>
          <w:rFonts w:cs="Arial"/>
          <w:spacing w:val="-3"/>
          <w:lang w:val="es-CO"/>
        </w:rPr>
        <w:t>.</w:t>
      </w:r>
      <w:r w:rsidR="00B9105B" w:rsidRPr="00CD4321">
        <w:rPr>
          <w:rFonts w:cs="Arial"/>
          <w:spacing w:val="-3"/>
          <w:lang w:val="es-CO"/>
        </w:rPr>
        <w:t xml:space="preserve"> </w:t>
      </w:r>
      <w:r w:rsidR="003F4FCD">
        <w:rPr>
          <w:rFonts w:cs="Arial"/>
          <w:spacing w:val="-3"/>
          <w:lang w:val="es-CO"/>
        </w:rPr>
        <w:t>E</w:t>
      </w:r>
      <w:r w:rsidR="00B9105B" w:rsidRPr="00CD4321">
        <w:rPr>
          <w:rFonts w:cs="Arial"/>
          <w:spacing w:val="-3"/>
          <w:lang w:val="es-CO"/>
        </w:rPr>
        <w:t>stas especies</w:t>
      </w:r>
      <w:r w:rsidR="00727E99" w:rsidRPr="00CD4321">
        <w:rPr>
          <w:rFonts w:cs="Arial"/>
          <w:spacing w:val="-3"/>
          <w:lang w:val="es-CO"/>
        </w:rPr>
        <w:t xml:space="preserve"> </w:t>
      </w:r>
      <w:r w:rsidR="0002683C" w:rsidRPr="00CD4321">
        <w:rPr>
          <w:rFonts w:cs="Arial"/>
          <w:spacing w:val="-3"/>
          <w:lang w:val="es-CO"/>
        </w:rPr>
        <w:t>debe</w:t>
      </w:r>
      <w:r w:rsidR="00B458CF" w:rsidRPr="00CD4321">
        <w:rPr>
          <w:rFonts w:cs="Arial"/>
          <w:spacing w:val="-3"/>
          <w:lang w:val="es-CO"/>
        </w:rPr>
        <w:t>n</w:t>
      </w:r>
      <w:r w:rsidR="0002683C" w:rsidRPr="00CD4321">
        <w:rPr>
          <w:rFonts w:cs="Arial"/>
          <w:spacing w:val="-3"/>
          <w:lang w:val="es-CO"/>
        </w:rPr>
        <w:t>: i) tener alta sensibilidad a los impactos generados por el proyecto (p.</w:t>
      </w:r>
      <w:r w:rsidR="00B458CF" w:rsidRPr="00CD4321">
        <w:rPr>
          <w:rFonts w:cs="Arial"/>
          <w:spacing w:val="-3"/>
          <w:lang w:val="es-CO"/>
        </w:rPr>
        <w:t xml:space="preserve"> </w:t>
      </w:r>
      <w:r w:rsidR="0002683C" w:rsidRPr="00CD4321">
        <w:rPr>
          <w:rFonts w:cs="Arial"/>
          <w:spacing w:val="-3"/>
          <w:lang w:val="es-CO"/>
        </w:rPr>
        <w:t>e</w:t>
      </w:r>
      <w:r w:rsidR="00B458CF" w:rsidRPr="00CD4321">
        <w:rPr>
          <w:rFonts w:cs="Arial"/>
          <w:spacing w:val="-3"/>
          <w:lang w:val="es-CO"/>
        </w:rPr>
        <w:t>j</w:t>
      </w:r>
      <w:r w:rsidR="0002683C" w:rsidRPr="00CD4321">
        <w:rPr>
          <w:rFonts w:cs="Arial"/>
          <w:spacing w:val="-3"/>
          <w:lang w:val="es-CO"/>
        </w:rPr>
        <w:t>. colisión, atropellamiento de fauna, perdida de cobertura vegetal)</w:t>
      </w:r>
      <w:r w:rsidR="008934BB" w:rsidRPr="00CD4321">
        <w:rPr>
          <w:rFonts w:cs="Arial"/>
          <w:spacing w:val="-3"/>
          <w:lang w:val="es-CO"/>
        </w:rPr>
        <w:t>;</w:t>
      </w:r>
      <w:r w:rsidR="0002683C" w:rsidRPr="00CD4321">
        <w:rPr>
          <w:rFonts w:cs="Arial"/>
          <w:spacing w:val="-3"/>
          <w:lang w:val="es-CO"/>
        </w:rPr>
        <w:t xml:space="preserve"> ii) desempeñar roles </w:t>
      </w:r>
      <w:r w:rsidR="0002683C" w:rsidRPr="00CD4321">
        <w:rPr>
          <w:rFonts w:cs="Arial"/>
          <w:spacing w:val="-3"/>
          <w:lang w:val="es-CO"/>
        </w:rPr>
        <w:lastRenderedPageBreak/>
        <w:t>funcionales clave como dispersión de semillas, polinización o depredación</w:t>
      </w:r>
      <w:r w:rsidR="008934BB" w:rsidRPr="00CD4321">
        <w:rPr>
          <w:rFonts w:cs="Arial"/>
          <w:spacing w:val="-3"/>
          <w:lang w:val="es-CO"/>
        </w:rPr>
        <w:t>;</w:t>
      </w:r>
      <w:r w:rsidR="0002683C" w:rsidRPr="00CD4321">
        <w:rPr>
          <w:rFonts w:cs="Arial"/>
          <w:spacing w:val="-3"/>
          <w:lang w:val="es-CO"/>
        </w:rPr>
        <w:t xml:space="preserve"> iii) estar en amenaza de extinción (en peligro crítico, en peligro o vulnerable) o ser endémica o migratoria</w:t>
      </w:r>
      <w:r w:rsidR="008934BB" w:rsidRPr="00CD4321">
        <w:rPr>
          <w:rFonts w:cs="Arial"/>
          <w:spacing w:val="-3"/>
          <w:lang w:val="es-CO"/>
        </w:rPr>
        <w:t>;</w:t>
      </w:r>
      <w:r w:rsidR="0002683C" w:rsidRPr="00CD4321">
        <w:rPr>
          <w:rFonts w:cs="Arial"/>
          <w:spacing w:val="-3"/>
          <w:lang w:val="es-CO"/>
        </w:rPr>
        <w:t xml:space="preserve"> iv) tener diferentes requerimientos de hábitat o estrategias de movilidad</w:t>
      </w:r>
      <w:r w:rsidR="008934BB" w:rsidRPr="00CD4321">
        <w:rPr>
          <w:rFonts w:cs="Arial"/>
          <w:spacing w:val="-3"/>
          <w:lang w:val="es-CO"/>
        </w:rPr>
        <w:t>;</w:t>
      </w:r>
      <w:r w:rsidR="0002683C" w:rsidRPr="00CD4321">
        <w:rPr>
          <w:rFonts w:cs="Arial"/>
          <w:spacing w:val="-3"/>
          <w:lang w:val="es-CO"/>
        </w:rPr>
        <w:t xml:space="preserve"> v) </w:t>
      </w:r>
      <w:r w:rsidR="008D4D66" w:rsidRPr="00CD4321">
        <w:rPr>
          <w:rFonts w:cs="Arial"/>
          <w:spacing w:val="-3"/>
          <w:lang w:val="es-CO"/>
        </w:rPr>
        <w:t>tener un</w:t>
      </w:r>
      <w:r w:rsidR="0002683C" w:rsidRPr="00CD4321">
        <w:rPr>
          <w:rFonts w:cs="Arial"/>
          <w:spacing w:val="-3"/>
          <w:lang w:val="es-CO"/>
        </w:rPr>
        <w:t xml:space="preserve"> rango de hogar y distancias de movimiento congruentes con el área </w:t>
      </w:r>
      <w:r w:rsidR="008D4D66" w:rsidRPr="00CD4321">
        <w:rPr>
          <w:rFonts w:cs="Arial"/>
          <w:spacing w:val="-3"/>
          <w:lang w:val="es-CO"/>
        </w:rPr>
        <w:t xml:space="preserve">por </w:t>
      </w:r>
      <w:r w:rsidR="0002683C" w:rsidRPr="00CD4321">
        <w:rPr>
          <w:rFonts w:cs="Arial"/>
          <w:spacing w:val="-3"/>
          <w:lang w:val="es-CO"/>
        </w:rPr>
        <w:t>interven</w:t>
      </w:r>
      <w:r w:rsidR="008D4D66" w:rsidRPr="00CD4321">
        <w:rPr>
          <w:rFonts w:cs="Arial"/>
          <w:spacing w:val="-3"/>
          <w:lang w:val="es-CO"/>
        </w:rPr>
        <w:t xml:space="preserve">ir </w:t>
      </w:r>
      <w:r w:rsidR="0002683C" w:rsidRPr="00CD4321">
        <w:rPr>
          <w:rFonts w:cs="Arial"/>
          <w:spacing w:val="-3"/>
          <w:lang w:val="es-CO"/>
        </w:rPr>
        <w:t>del proyecto y la extensión</w:t>
      </w:r>
      <w:r w:rsidR="0002683C" w:rsidRPr="00FE1B78">
        <w:rPr>
          <w:rFonts w:cs="Arial"/>
          <w:spacing w:val="-3"/>
          <w:lang w:val="es-CO"/>
        </w:rPr>
        <w:t xml:space="preserve"> del impacto, vi) tener importancia socioeconómica o cultural y, vii) tener información disponible.</w:t>
      </w:r>
    </w:p>
    <w:p w14:paraId="0234C964" w14:textId="77777777" w:rsidR="0002683C" w:rsidRPr="004068F6" w:rsidRDefault="0002683C" w:rsidP="0002683C">
      <w:pPr>
        <w:numPr>
          <w:ilvl w:val="12"/>
          <w:numId w:val="0"/>
        </w:numPr>
        <w:tabs>
          <w:tab w:val="left" w:pos="-2268"/>
        </w:tabs>
        <w:suppressAutoHyphens/>
        <w:rPr>
          <w:spacing w:val="-3"/>
        </w:rPr>
      </w:pPr>
    </w:p>
    <w:p w14:paraId="3E1EB075" w14:textId="3FB704EC" w:rsidR="0002683C" w:rsidRPr="00CD4321" w:rsidRDefault="00C65192" w:rsidP="00127BD4">
      <w:pPr>
        <w:pStyle w:val="Prrafodelista"/>
        <w:numPr>
          <w:ilvl w:val="0"/>
          <w:numId w:val="376"/>
        </w:numPr>
        <w:tabs>
          <w:tab w:val="left" w:pos="-2268"/>
        </w:tabs>
        <w:suppressAutoHyphens/>
        <w:ind w:left="567" w:hanging="567"/>
        <w:rPr>
          <w:rFonts w:cs="Arial"/>
          <w:spacing w:val="-3"/>
        </w:rPr>
      </w:pPr>
      <w:r w:rsidRPr="00CD4321">
        <w:rPr>
          <w:rFonts w:cs="Arial"/>
          <w:spacing w:val="-3"/>
          <w:lang w:val="es-CO"/>
        </w:rPr>
        <w:t>Determinar los parches de hábitat que constituirán los nodos de la red</w:t>
      </w:r>
      <w:r w:rsidRPr="00CD4321">
        <w:rPr>
          <w:rFonts w:cs="Arial"/>
          <w:spacing w:val="-3"/>
          <w:vertAlign w:val="superscript"/>
          <w:lang w:val="es-CO"/>
        </w:rPr>
        <w:footnoteReference w:id="159"/>
      </w:r>
      <w:r w:rsidRPr="00CD4321">
        <w:rPr>
          <w:rFonts w:cs="Arial"/>
          <w:spacing w:val="-3"/>
          <w:lang w:val="es-CO"/>
        </w:rPr>
        <w:t xml:space="preserve"> de los modelos de conectividad ecológica funcional por especie, a</w:t>
      </w:r>
      <w:r w:rsidR="0002683C" w:rsidRPr="00FE1B78">
        <w:rPr>
          <w:rFonts w:cs="Arial"/>
          <w:spacing w:val="-3"/>
          <w:lang w:val="es-CO"/>
        </w:rPr>
        <w:t xml:space="preserve"> partir de los registros de la caracterización de fauna (riqueza y abundancia) y de otras fuentes de información como los modelos de distribución</w:t>
      </w:r>
      <w:r w:rsidR="0002683C" w:rsidRPr="00FE1B78">
        <w:rPr>
          <w:rFonts w:cs="Arial"/>
          <w:spacing w:val="-3"/>
          <w:vertAlign w:val="superscript"/>
          <w:lang w:val="es-CO"/>
        </w:rPr>
        <w:footnoteReference w:id="160"/>
      </w:r>
      <w:r w:rsidR="0002683C" w:rsidRPr="00FE1B78">
        <w:rPr>
          <w:rFonts w:cs="Arial"/>
          <w:spacing w:val="-3"/>
          <w:lang w:val="es-CO"/>
        </w:rPr>
        <w:t xml:space="preserve"> o </w:t>
      </w:r>
      <w:r w:rsidR="009B22F2" w:rsidRPr="00CD4321">
        <w:rPr>
          <w:rFonts w:cs="Arial"/>
          <w:spacing w:val="-3"/>
          <w:lang w:val="es-CO"/>
        </w:rPr>
        <w:t xml:space="preserve">de </w:t>
      </w:r>
      <w:r w:rsidR="0002683C" w:rsidRPr="00FE1B78">
        <w:rPr>
          <w:rFonts w:cs="Arial"/>
          <w:spacing w:val="-3"/>
          <w:lang w:val="es-CO"/>
        </w:rPr>
        <w:t>idoneidad de hábitat (existentes o propios)</w:t>
      </w:r>
      <w:r w:rsidR="00645A78" w:rsidRPr="00CD4321">
        <w:rPr>
          <w:rFonts w:cs="Arial"/>
          <w:spacing w:val="-3"/>
          <w:lang w:val="es-CO"/>
        </w:rPr>
        <w:t>,</w:t>
      </w:r>
      <w:r w:rsidR="0002683C" w:rsidRPr="00FE1B78">
        <w:rPr>
          <w:rFonts w:cs="Arial"/>
          <w:spacing w:val="-3"/>
          <w:lang w:val="es-CO"/>
        </w:rPr>
        <w:t xml:space="preserve"> en caso de </w:t>
      </w:r>
      <w:r w:rsidR="00876265" w:rsidRPr="00CD4321">
        <w:rPr>
          <w:rFonts w:cs="Arial"/>
          <w:spacing w:val="-3"/>
          <w:lang w:val="es-CO"/>
        </w:rPr>
        <w:t>que la caracterización de la fauna sea insuficiente</w:t>
      </w:r>
      <w:r w:rsidRPr="00CD4321">
        <w:rPr>
          <w:rFonts w:cs="Arial"/>
          <w:spacing w:val="-3"/>
          <w:lang w:val="es-CO"/>
        </w:rPr>
        <w:t xml:space="preserve">. </w:t>
      </w:r>
      <w:r w:rsidR="0002683C" w:rsidRPr="00FE1B78">
        <w:rPr>
          <w:rFonts w:cs="Arial"/>
          <w:spacing w:val="-3"/>
          <w:lang w:val="es-CO"/>
        </w:rPr>
        <w:t>Se pueden incorporar criterios de uso del hábitat como</w:t>
      </w:r>
      <w:r w:rsidR="008F2C38" w:rsidRPr="00CD4321">
        <w:rPr>
          <w:rFonts w:cs="Arial"/>
          <w:spacing w:val="-3"/>
          <w:lang w:val="es-CO"/>
        </w:rPr>
        <w:t>,</w:t>
      </w:r>
      <w:r w:rsidR="0002683C" w:rsidRPr="00FE1B78">
        <w:rPr>
          <w:rFonts w:cs="Arial"/>
          <w:spacing w:val="-3"/>
          <w:lang w:val="es-CO"/>
        </w:rPr>
        <w:t xml:space="preserve"> por ejemplo</w:t>
      </w:r>
      <w:r w:rsidR="008F2C38" w:rsidRPr="00CD4321">
        <w:rPr>
          <w:rFonts w:cs="Arial"/>
          <w:spacing w:val="-3"/>
          <w:lang w:val="es-CO"/>
        </w:rPr>
        <w:t>,</w:t>
      </w:r>
      <w:r w:rsidR="0002683C" w:rsidRPr="00FE1B78">
        <w:rPr>
          <w:rFonts w:cs="Arial"/>
          <w:spacing w:val="-3"/>
          <w:lang w:val="es-CO"/>
        </w:rPr>
        <w:t xml:space="preserve"> lugares de reproducción, sitios de alimentación y demás variables ecológicas relacionadas con los requerimientos de las especies de fauna determinadas en la caracterización de línea base. Para esto</w:t>
      </w:r>
      <w:r w:rsidR="00F87655">
        <w:rPr>
          <w:rFonts w:cs="Arial"/>
          <w:spacing w:val="-3"/>
          <w:lang w:val="es-CO"/>
        </w:rPr>
        <w:t>, se deben</w:t>
      </w:r>
      <w:r w:rsidR="0002683C" w:rsidRPr="00FE1B78">
        <w:rPr>
          <w:rFonts w:cs="Arial"/>
          <w:spacing w:val="-3"/>
          <w:lang w:val="es-CO"/>
        </w:rPr>
        <w:t xml:space="preserve"> tener en cuenta las características de rango de hogar de cada especie o un tamaño mínimo de parche de hábitat justificado, de acuerdo con la información de caracterización. Asimismo, se debe</w:t>
      </w:r>
      <w:r w:rsidR="008F2C38" w:rsidRPr="00CD4321">
        <w:rPr>
          <w:rFonts w:cs="Arial"/>
          <w:spacing w:val="-3"/>
          <w:lang w:val="es-CO"/>
        </w:rPr>
        <w:t>n</w:t>
      </w:r>
      <w:r w:rsidR="0002683C" w:rsidRPr="00FE1B78">
        <w:rPr>
          <w:rFonts w:cs="Arial"/>
          <w:spacing w:val="-3"/>
          <w:lang w:val="es-CO"/>
        </w:rPr>
        <w:t xml:space="preserve"> considerar las preferencias de hábitat</w:t>
      </w:r>
      <w:r w:rsidR="0002683C" w:rsidRPr="00FE1B78">
        <w:rPr>
          <w:rFonts w:cs="Arial"/>
          <w:spacing w:val="-3"/>
          <w:vertAlign w:val="superscript"/>
          <w:lang w:val="es-CO"/>
        </w:rPr>
        <w:footnoteReference w:id="161"/>
      </w:r>
      <w:r w:rsidR="0002683C" w:rsidRPr="00FE1B78">
        <w:rPr>
          <w:rFonts w:cs="Arial"/>
          <w:spacing w:val="-3"/>
          <w:lang w:val="es-CO"/>
        </w:rPr>
        <w:t xml:space="preserve"> de la</w:t>
      </w:r>
      <w:r w:rsidR="00934FF5" w:rsidRPr="00CD4321">
        <w:rPr>
          <w:rFonts w:cs="Arial"/>
          <w:spacing w:val="-3"/>
          <w:lang w:val="es-CO"/>
        </w:rPr>
        <w:t>s</w:t>
      </w:r>
      <w:r w:rsidR="0002683C" w:rsidRPr="00FE1B78">
        <w:rPr>
          <w:rFonts w:cs="Arial"/>
          <w:spacing w:val="-3"/>
          <w:lang w:val="es-CO"/>
        </w:rPr>
        <w:t xml:space="preserve"> especie</w:t>
      </w:r>
      <w:r w:rsidR="00934FF5" w:rsidRPr="00CD4321">
        <w:rPr>
          <w:rFonts w:cs="Arial"/>
          <w:spacing w:val="-3"/>
          <w:lang w:val="es-CO"/>
        </w:rPr>
        <w:t>s</w:t>
      </w:r>
      <w:r w:rsidR="0002683C" w:rsidRPr="00FE1B78">
        <w:rPr>
          <w:rFonts w:cs="Arial"/>
          <w:spacing w:val="-3"/>
          <w:lang w:val="es-CO"/>
        </w:rPr>
        <w:t xml:space="preserve"> donde un mismo parche de hábitat puede incluir uno o varios tipos de unidades de cobertura vegetal.</w:t>
      </w:r>
    </w:p>
    <w:p w14:paraId="3A645C03" w14:textId="77777777" w:rsidR="0002683C" w:rsidRPr="004068F6" w:rsidRDefault="0002683C" w:rsidP="0002683C">
      <w:pPr>
        <w:numPr>
          <w:ilvl w:val="12"/>
          <w:numId w:val="0"/>
        </w:numPr>
        <w:tabs>
          <w:tab w:val="left" w:pos="-2268"/>
        </w:tabs>
        <w:suppressAutoHyphens/>
        <w:rPr>
          <w:spacing w:val="-3"/>
        </w:rPr>
      </w:pPr>
    </w:p>
    <w:p w14:paraId="372AB1F6" w14:textId="2165FCD9" w:rsidR="0002683C" w:rsidRPr="00CD4321" w:rsidRDefault="002603B4" w:rsidP="00127BD4">
      <w:pPr>
        <w:pStyle w:val="Prrafodelista"/>
        <w:numPr>
          <w:ilvl w:val="0"/>
          <w:numId w:val="376"/>
        </w:numPr>
        <w:tabs>
          <w:tab w:val="left" w:pos="-2268"/>
        </w:tabs>
        <w:suppressAutoHyphens/>
        <w:ind w:left="567" w:hanging="567"/>
        <w:rPr>
          <w:rFonts w:cs="Arial"/>
          <w:spacing w:val="-3"/>
        </w:rPr>
      </w:pPr>
      <w:r w:rsidRPr="00CD4321">
        <w:rPr>
          <w:rFonts w:cs="Arial"/>
          <w:spacing w:val="-3"/>
          <w:lang w:val="es-CO"/>
        </w:rPr>
        <w:t>E</w:t>
      </w:r>
      <w:r w:rsidR="0002683C" w:rsidRPr="00FE1B78">
        <w:rPr>
          <w:rFonts w:cs="Arial"/>
          <w:spacing w:val="-3"/>
          <w:lang w:val="es-CO"/>
        </w:rPr>
        <w:t>stimar índices de conectividad basados en la teoría de grafos para determinar y valorar el rol de los fragmentos definidos como parches de hábitat o nodos de red y su importancia para la conectividad ecológica, siguiendo lo propuesto por Beier et al. (2007), Bodin &amp; Saura (2010), Saura et al. (2011), Carrol et al. (2012) y Mateo-Sánchez et al. (2015), para esto se debe tener en cuenta la distancia de movimiento diaria y/o de dispersión.</w:t>
      </w:r>
    </w:p>
    <w:p w14:paraId="7BFA0028" w14:textId="77777777" w:rsidR="0002683C" w:rsidRPr="004068F6" w:rsidRDefault="0002683C" w:rsidP="0002683C">
      <w:pPr>
        <w:numPr>
          <w:ilvl w:val="12"/>
          <w:numId w:val="0"/>
        </w:numPr>
        <w:tabs>
          <w:tab w:val="left" w:pos="-2268"/>
        </w:tabs>
        <w:suppressAutoHyphens/>
        <w:rPr>
          <w:spacing w:val="-3"/>
        </w:rPr>
      </w:pPr>
    </w:p>
    <w:p w14:paraId="208EEB66" w14:textId="631F1F0F" w:rsidR="00324CC2" w:rsidRPr="004068F6" w:rsidRDefault="0002683C" w:rsidP="0002683C">
      <w:pPr>
        <w:numPr>
          <w:ilvl w:val="12"/>
          <w:numId w:val="0"/>
        </w:numPr>
        <w:tabs>
          <w:tab w:val="left" w:pos="-2268"/>
        </w:tabs>
        <w:suppressAutoHyphens/>
        <w:rPr>
          <w:spacing w:val="-3"/>
        </w:rPr>
      </w:pPr>
      <w:r w:rsidRPr="004068F6">
        <w:rPr>
          <w:spacing w:val="-3"/>
        </w:rPr>
        <w:t>A partir de la totalidad de nodos seleccionados o</w:t>
      </w:r>
      <w:r w:rsidR="004237A4" w:rsidRPr="004068F6">
        <w:rPr>
          <w:spacing w:val="-3"/>
        </w:rPr>
        <w:t xml:space="preserve"> de</w:t>
      </w:r>
      <w:r w:rsidRPr="004068F6">
        <w:rPr>
          <w:spacing w:val="-3"/>
        </w:rPr>
        <w:t xml:space="preserve"> los más importantes,</w:t>
      </w:r>
      <w:r w:rsidR="004237A4" w:rsidRPr="004068F6">
        <w:rPr>
          <w:spacing w:val="-3"/>
        </w:rPr>
        <w:t xml:space="preserve"> se deben</w:t>
      </w:r>
      <w:r w:rsidRPr="004068F6">
        <w:rPr>
          <w:spacing w:val="-3"/>
        </w:rPr>
        <w:t xml:space="preserve"> estimar las rutas y corredores potenciales entre parches de hábitat para cada especie mediante los algoritmos que se emplean en métodos como el análisis de menor costo o en la teoría de circuitos que desarrollan Bunn et al. (2000), McRae et al. (2008) y Etherington (2016), analizando los resultados tanto por especie como para el conjunto de especies.</w:t>
      </w:r>
    </w:p>
    <w:p w14:paraId="6E2AF938" w14:textId="77777777" w:rsidR="00324CC2" w:rsidRPr="004068F6" w:rsidRDefault="00324CC2" w:rsidP="0002683C">
      <w:pPr>
        <w:numPr>
          <w:ilvl w:val="12"/>
          <w:numId w:val="0"/>
        </w:numPr>
        <w:tabs>
          <w:tab w:val="left" w:pos="-2268"/>
        </w:tabs>
        <w:suppressAutoHyphens/>
        <w:rPr>
          <w:spacing w:val="-3"/>
        </w:rPr>
      </w:pPr>
    </w:p>
    <w:p w14:paraId="40E4FDE9" w14:textId="1ECC653C" w:rsidR="0002683C" w:rsidRPr="004068F6" w:rsidRDefault="00473BC8" w:rsidP="0002683C">
      <w:pPr>
        <w:numPr>
          <w:ilvl w:val="12"/>
          <w:numId w:val="0"/>
        </w:numPr>
        <w:tabs>
          <w:tab w:val="left" w:pos="-2268"/>
        </w:tabs>
        <w:suppressAutoHyphens/>
        <w:rPr>
          <w:spacing w:val="-3"/>
        </w:rPr>
      </w:pPr>
      <w:r w:rsidRPr="004068F6">
        <w:rPr>
          <w:spacing w:val="-3"/>
        </w:rPr>
        <w:lastRenderedPageBreak/>
        <w:t xml:space="preserve">En el marco de </w:t>
      </w:r>
      <w:r w:rsidR="0002683C" w:rsidRPr="004068F6">
        <w:rPr>
          <w:spacing w:val="-3"/>
        </w:rPr>
        <w:t>este análisis</w:t>
      </w:r>
      <w:r w:rsidRPr="004068F6">
        <w:rPr>
          <w:spacing w:val="-3"/>
        </w:rPr>
        <w:t>,</w:t>
      </w:r>
      <w:r w:rsidR="0002683C" w:rsidRPr="004068F6">
        <w:rPr>
          <w:spacing w:val="-3"/>
        </w:rPr>
        <w:t xml:space="preserve"> se debe generar una matriz de resistencia por especie</w:t>
      </w:r>
      <w:r w:rsidR="0002683C" w:rsidRPr="00127BD4">
        <w:rPr>
          <w:spacing w:val="-3"/>
        </w:rPr>
        <w:t xml:space="preserve"> empleando una evaluación multicriterio que califique y pondere las variables seleccionadas (elementos físicos del paisaje) según su influencia en la movilidad de las especies </w:t>
      </w:r>
      <w:r w:rsidR="00F52BB5" w:rsidRPr="00127BD4">
        <w:rPr>
          <w:spacing w:val="-3"/>
        </w:rPr>
        <w:t>bajo análisis</w:t>
      </w:r>
      <w:r w:rsidR="0002683C" w:rsidRPr="00127BD4">
        <w:rPr>
          <w:spacing w:val="-3"/>
        </w:rPr>
        <w:t xml:space="preserve">; esta evaluación puede basarse tanto en la experiencia profesional, como en </w:t>
      </w:r>
      <w:r w:rsidR="00830DF9" w:rsidRPr="00127BD4">
        <w:rPr>
          <w:spacing w:val="-3"/>
        </w:rPr>
        <w:t xml:space="preserve">la </w:t>
      </w:r>
      <w:r w:rsidR="0002683C" w:rsidRPr="00127BD4">
        <w:rPr>
          <w:spacing w:val="-3"/>
        </w:rPr>
        <w:t xml:space="preserve">literatura científica y </w:t>
      </w:r>
      <w:r w:rsidR="001D02C7" w:rsidRPr="00127BD4">
        <w:rPr>
          <w:spacing w:val="-3"/>
        </w:rPr>
        <w:t xml:space="preserve">en </w:t>
      </w:r>
      <w:r w:rsidR="0002683C" w:rsidRPr="00127BD4">
        <w:rPr>
          <w:spacing w:val="-3"/>
        </w:rPr>
        <w:t xml:space="preserve">otras fuentes de información </w:t>
      </w:r>
      <w:r w:rsidR="0002683C" w:rsidRPr="004068F6">
        <w:rPr>
          <w:spacing w:val="-3"/>
        </w:rPr>
        <w:t xml:space="preserve">primaria o </w:t>
      </w:r>
      <w:r w:rsidR="0002683C" w:rsidRPr="00127BD4">
        <w:rPr>
          <w:spacing w:val="-3"/>
        </w:rPr>
        <w:t>secundaria</w:t>
      </w:r>
      <w:r w:rsidR="001D02C7" w:rsidRPr="00127BD4">
        <w:rPr>
          <w:spacing w:val="-3"/>
        </w:rPr>
        <w:t>, las cuales</w:t>
      </w:r>
      <w:r w:rsidR="00D4226A" w:rsidRPr="00127BD4">
        <w:rPr>
          <w:spacing w:val="-3"/>
        </w:rPr>
        <w:t xml:space="preserve"> </w:t>
      </w:r>
      <w:r w:rsidR="0002683C" w:rsidRPr="004068F6">
        <w:rPr>
          <w:spacing w:val="-3"/>
        </w:rPr>
        <w:t>debe</w:t>
      </w:r>
      <w:r w:rsidR="00D4226A" w:rsidRPr="004068F6">
        <w:rPr>
          <w:spacing w:val="-3"/>
        </w:rPr>
        <w:t xml:space="preserve">n </w:t>
      </w:r>
      <w:r w:rsidR="0002683C" w:rsidRPr="004068F6">
        <w:rPr>
          <w:spacing w:val="-3"/>
        </w:rPr>
        <w:t>ser referenciadas</w:t>
      </w:r>
      <w:r w:rsidR="00D4226A" w:rsidRPr="004068F6">
        <w:rPr>
          <w:spacing w:val="-3"/>
        </w:rPr>
        <w:t xml:space="preserve"> en caso de emplearse</w:t>
      </w:r>
      <w:r w:rsidR="0002683C" w:rsidRPr="004068F6">
        <w:rPr>
          <w:spacing w:val="-3"/>
        </w:rPr>
        <w:t>.</w:t>
      </w:r>
    </w:p>
    <w:p w14:paraId="2BEDA565" w14:textId="77777777" w:rsidR="0002683C" w:rsidRPr="004068F6" w:rsidRDefault="0002683C" w:rsidP="0002683C">
      <w:pPr>
        <w:numPr>
          <w:ilvl w:val="12"/>
          <w:numId w:val="0"/>
        </w:numPr>
        <w:tabs>
          <w:tab w:val="left" w:pos="-2268"/>
        </w:tabs>
        <w:suppressAutoHyphens/>
        <w:rPr>
          <w:spacing w:val="-3"/>
        </w:rPr>
      </w:pPr>
    </w:p>
    <w:p w14:paraId="4A5CA91F" w14:textId="1D13C0FD" w:rsidR="0002683C" w:rsidRPr="004068F6" w:rsidRDefault="0002683C" w:rsidP="00127BD4">
      <w:pPr>
        <w:tabs>
          <w:tab w:val="left" w:pos="-2268"/>
        </w:tabs>
        <w:suppressAutoHyphens/>
        <w:rPr>
          <w:rFonts w:cs="Arial"/>
          <w:spacing w:val="-3"/>
        </w:rPr>
      </w:pPr>
      <w:r w:rsidRPr="004068F6">
        <w:rPr>
          <w:rFonts w:cs="Arial"/>
          <w:spacing w:val="-3"/>
        </w:rPr>
        <w:t>Se deben presentar un anexo con</w:t>
      </w:r>
      <w:r w:rsidR="00157F30" w:rsidRPr="004068F6">
        <w:rPr>
          <w:rFonts w:cs="Arial"/>
          <w:spacing w:val="-3"/>
        </w:rPr>
        <w:t xml:space="preserve"> </w:t>
      </w:r>
      <w:r w:rsidR="00CB58E4" w:rsidRPr="004068F6">
        <w:rPr>
          <w:rFonts w:cs="Arial"/>
          <w:spacing w:val="-3"/>
        </w:rPr>
        <w:t xml:space="preserve">los </w:t>
      </w:r>
      <w:r w:rsidR="00157F30" w:rsidRPr="004068F6">
        <w:rPr>
          <w:rFonts w:cs="Arial"/>
          <w:spacing w:val="-3"/>
        </w:rPr>
        <w:t>siguiente</w:t>
      </w:r>
      <w:r w:rsidR="00CB58E4" w:rsidRPr="004068F6">
        <w:rPr>
          <w:rFonts w:cs="Arial"/>
          <w:spacing w:val="-3"/>
        </w:rPr>
        <w:t>s</w:t>
      </w:r>
      <w:r w:rsidR="00157F30" w:rsidRPr="004068F6">
        <w:rPr>
          <w:rFonts w:cs="Arial"/>
          <w:spacing w:val="-3"/>
        </w:rPr>
        <w:t xml:space="preserve"> </w:t>
      </w:r>
      <w:r w:rsidR="00CB58E4" w:rsidRPr="004068F6">
        <w:rPr>
          <w:rFonts w:cs="Arial"/>
          <w:spacing w:val="-3"/>
        </w:rPr>
        <w:t>elementos</w:t>
      </w:r>
      <w:r w:rsidRPr="004068F6">
        <w:rPr>
          <w:rFonts w:cs="Arial"/>
          <w:spacing w:val="-3"/>
        </w:rPr>
        <w:t>: esquema de model</w:t>
      </w:r>
      <w:r w:rsidR="00755102">
        <w:rPr>
          <w:rFonts w:cs="Arial"/>
          <w:spacing w:val="-3"/>
        </w:rPr>
        <w:t>iz</w:t>
      </w:r>
      <w:r w:rsidRPr="004068F6">
        <w:rPr>
          <w:rFonts w:cs="Arial"/>
          <w:spacing w:val="-3"/>
        </w:rPr>
        <w:t>ación, ejecutables, variables y parámetros de entrada, calificación de la matriz de resistencia, salidas gráficas y cartográficas de los resultados (intermedios y finales) de los modelos</w:t>
      </w:r>
      <w:r w:rsidR="008A2029" w:rsidRPr="004068F6">
        <w:rPr>
          <w:rFonts w:cs="Arial"/>
          <w:spacing w:val="-3"/>
        </w:rPr>
        <w:t xml:space="preserve">. El propósito de ello es poder </w:t>
      </w:r>
      <w:r w:rsidRPr="004068F6">
        <w:rPr>
          <w:rFonts w:cs="Arial"/>
          <w:spacing w:val="-3"/>
        </w:rPr>
        <w:t>replica</w:t>
      </w:r>
      <w:r w:rsidR="008A2029" w:rsidRPr="004068F6">
        <w:rPr>
          <w:rFonts w:cs="Arial"/>
          <w:spacing w:val="-3"/>
        </w:rPr>
        <w:t xml:space="preserve">r </w:t>
      </w:r>
      <w:r w:rsidRPr="004068F6">
        <w:rPr>
          <w:rFonts w:cs="Arial"/>
          <w:spacing w:val="-3"/>
        </w:rPr>
        <w:t>los ejercicios de model</w:t>
      </w:r>
      <w:r w:rsidR="00755102">
        <w:rPr>
          <w:rFonts w:cs="Arial"/>
          <w:spacing w:val="-3"/>
        </w:rPr>
        <w:t>iz</w:t>
      </w:r>
      <w:r w:rsidRPr="004068F6">
        <w:rPr>
          <w:rFonts w:cs="Arial"/>
          <w:spacing w:val="-3"/>
        </w:rPr>
        <w:t>ación.</w:t>
      </w:r>
    </w:p>
    <w:p w14:paraId="5FD0F914" w14:textId="77777777" w:rsidR="0002683C" w:rsidRPr="004068F6" w:rsidDel="00C71C4B" w:rsidRDefault="0002683C" w:rsidP="0002683C">
      <w:pPr>
        <w:numPr>
          <w:ilvl w:val="12"/>
          <w:numId w:val="0"/>
        </w:numPr>
        <w:tabs>
          <w:tab w:val="left" w:pos="-2268"/>
        </w:tabs>
        <w:suppressAutoHyphens/>
        <w:rPr>
          <w:spacing w:val="-3"/>
        </w:rPr>
      </w:pPr>
    </w:p>
    <w:p w14:paraId="6EF066E7" w14:textId="35D74EBE" w:rsidR="0002683C" w:rsidRPr="004068F6" w:rsidRDefault="0002683C" w:rsidP="0002683C">
      <w:pPr>
        <w:numPr>
          <w:ilvl w:val="12"/>
          <w:numId w:val="0"/>
        </w:numPr>
        <w:tabs>
          <w:tab w:val="left" w:pos="-2268"/>
        </w:tabs>
        <w:suppressAutoHyphens/>
        <w:rPr>
          <w:spacing w:val="-3"/>
        </w:rPr>
      </w:pPr>
      <w:r w:rsidRPr="004068F6">
        <w:rPr>
          <w:spacing w:val="-3"/>
        </w:rPr>
        <w:t xml:space="preserve">Los resultados del análisis de conectividad deben permitir la </w:t>
      </w:r>
      <w:r w:rsidR="00486886" w:rsidRPr="004068F6">
        <w:rPr>
          <w:spacing w:val="-3"/>
        </w:rPr>
        <w:t>determin</w:t>
      </w:r>
      <w:r w:rsidRPr="004068F6">
        <w:rPr>
          <w:spacing w:val="-3"/>
        </w:rPr>
        <w:t>ación de áreas críticas para la conservación y de muy alta sensibilidad biótica.</w:t>
      </w:r>
    </w:p>
    <w:p w14:paraId="07B6B617" w14:textId="77777777" w:rsidR="003F4FCD" w:rsidRPr="00F75467" w:rsidRDefault="003F4FCD" w:rsidP="007D2105">
      <w:pPr>
        <w:numPr>
          <w:ilvl w:val="12"/>
          <w:numId w:val="0"/>
        </w:numPr>
        <w:tabs>
          <w:tab w:val="left" w:pos="-2268"/>
        </w:tabs>
        <w:suppressAutoHyphens/>
        <w:rPr>
          <w:spacing w:val="-3"/>
        </w:rPr>
      </w:pPr>
    </w:p>
    <w:p w14:paraId="4CA3154F" w14:textId="5EC81012" w:rsidR="003F4FCD" w:rsidRPr="00F75467" w:rsidRDefault="00E96731" w:rsidP="00A45030">
      <w:pPr>
        <w:numPr>
          <w:ilvl w:val="12"/>
          <w:numId w:val="0"/>
        </w:numPr>
        <w:tabs>
          <w:tab w:val="left" w:pos="-2268"/>
        </w:tabs>
        <w:suppressAutoHyphens/>
        <w:rPr>
          <w:spacing w:val="-3"/>
        </w:rPr>
      </w:pPr>
      <w:r w:rsidRPr="00F75467">
        <w:rPr>
          <w:rFonts w:cs="Arial"/>
          <w:spacing w:val="-3"/>
        </w:rPr>
        <w:t xml:space="preserve">A partir de los lineamientos señalados previamente, </w:t>
      </w:r>
      <w:r w:rsidR="00A45030" w:rsidRPr="00F75467">
        <w:rPr>
          <w:rFonts w:cs="Arial"/>
          <w:spacing w:val="-3"/>
        </w:rPr>
        <w:t xml:space="preserve">desarrollar </w:t>
      </w:r>
      <w:r w:rsidR="00CD7993" w:rsidRPr="00F75467">
        <w:rPr>
          <w:rFonts w:cs="Arial"/>
          <w:spacing w:val="-3"/>
        </w:rPr>
        <w:t>modelos de conectividad funcional</w:t>
      </w:r>
      <w:r w:rsidR="002B065B" w:rsidRPr="00F75467">
        <w:rPr>
          <w:rFonts w:cs="Arial"/>
          <w:spacing w:val="-3"/>
        </w:rPr>
        <w:t xml:space="preserve"> como insumo para la evaluación ambiental</w:t>
      </w:r>
      <w:r w:rsidR="00340D7D" w:rsidRPr="00F75467">
        <w:rPr>
          <w:rFonts w:cs="Arial"/>
          <w:spacing w:val="-3"/>
        </w:rPr>
        <w:t>.</w:t>
      </w:r>
      <w:r w:rsidR="00CD7993" w:rsidRPr="00F75467">
        <w:rPr>
          <w:rFonts w:cs="Arial"/>
          <w:spacing w:val="-3"/>
        </w:rPr>
        <w:t xml:space="preserve"> </w:t>
      </w:r>
      <w:r w:rsidR="006913DA" w:rsidRPr="00F75467">
        <w:rPr>
          <w:rFonts w:cs="Arial"/>
          <w:spacing w:val="-3"/>
        </w:rPr>
        <w:t xml:space="preserve">Tales modelos pueden </w:t>
      </w:r>
      <w:r w:rsidR="00765E45" w:rsidRPr="00F75467">
        <w:rPr>
          <w:rFonts w:cs="Arial"/>
          <w:spacing w:val="-3"/>
        </w:rPr>
        <w:t xml:space="preserve">utilizarse para </w:t>
      </w:r>
      <w:r w:rsidR="006913DA" w:rsidRPr="00F75467">
        <w:rPr>
          <w:rFonts w:cs="Arial"/>
          <w:spacing w:val="-3"/>
        </w:rPr>
        <w:t>identifica</w:t>
      </w:r>
      <w:r w:rsidR="00765E45" w:rsidRPr="00F75467">
        <w:rPr>
          <w:rFonts w:cs="Arial"/>
          <w:spacing w:val="-3"/>
        </w:rPr>
        <w:t xml:space="preserve">r </w:t>
      </w:r>
      <w:r w:rsidR="00BD5CF2" w:rsidRPr="00F75467">
        <w:rPr>
          <w:rFonts w:cs="Arial"/>
          <w:spacing w:val="-3"/>
        </w:rPr>
        <w:t xml:space="preserve">los sitios con mayor probabilidad de afectación </w:t>
      </w:r>
      <w:r w:rsidR="00124BA0" w:rsidRPr="00F75467">
        <w:rPr>
          <w:rFonts w:cs="Arial"/>
          <w:spacing w:val="-3"/>
        </w:rPr>
        <w:t xml:space="preserve">o para determinar </w:t>
      </w:r>
      <w:r w:rsidR="00442502" w:rsidRPr="00F75467">
        <w:rPr>
          <w:rFonts w:cs="Arial"/>
          <w:spacing w:val="-3"/>
        </w:rPr>
        <w:t xml:space="preserve">y valorar </w:t>
      </w:r>
      <w:r w:rsidR="00CD7993" w:rsidRPr="00F75467">
        <w:rPr>
          <w:rFonts w:cs="Arial"/>
          <w:spacing w:val="-3"/>
        </w:rPr>
        <w:t>cambios</w:t>
      </w:r>
      <w:r w:rsidR="00F76EC7">
        <w:rPr>
          <w:rFonts w:cs="Arial"/>
          <w:spacing w:val="-3"/>
        </w:rPr>
        <w:t xml:space="preserve"> (</w:t>
      </w:r>
      <w:r w:rsidR="00F76EC7" w:rsidRPr="00F75467">
        <w:rPr>
          <w:rFonts w:cs="Arial"/>
          <w:spacing w:val="-3"/>
        </w:rPr>
        <w:t>impactos</w:t>
      </w:r>
      <w:r w:rsidR="00442502" w:rsidRPr="00F75467">
        <w:rPr>
          <w:rFonts w:cs="Arial"/>
          <w:spacing w:val="-3"/>
        </w:rPr>
        <w:t>)</w:t>
      </w:r>
      <w:r w:rsidR="00CD7993" w:rsidRPr="00F75467">
        <w:rPr>
          <w:rFonts w:cs="Arial"/>
          <w:spacing w:val="-3"/>
        </w:rPr>
        <w:t xml:space="preserve"> en las áreas de interés ecológico (p. ej. áreas núcleo, rutas de menor costo o corredores potenciales de movimiento de especies)</w:t>
      </w:r>
      <w:r w:rsidR="00765E45" w:rsidRPr="00F75467">
        <w:rPr>
          <w:rFonts w:cs="Arial"/>
          <w:spacing w:val="-3"/>
        </w:rPr>
        <w:t xml:space="preserve"> </w:t>
      </w:r>
      <w:r w:rsidR="006B61E6">
        <w:rPr>
          <w:rFonts w:cs="Arial"/>
          <w:spacing w:val="-3"/>
        </w:rPr>
        <w:t xml:space="preserve">en el área de </w:t>
      </w:r>
      <w:r w:rsidR="00765E45" w:rsidRPr="00F75467">
        <w:rPr>
          <w:rFonts w:cs="Arial"/>
          <w:spacing w:val="-3"/>
        </w:rPr>
        <w:t xml:space="preserve">implementación del proyecto y la consecuente </w:t>
      </w:r>
      <w:r w:rsidR="00EB0DBC" w:rsidRPr="00F75467">
        <w:rPr>
          <w:rFonts w:cs="Arial"/>
          <w:spacing w:val="-3"/>
        </w:rPr>
        <w:t xml:space="preserve">alteración de </w:t>
      </w:r>
      <w:r w:rsidR="00993180" w:rsidRPr="00F75467">
        <w:rPr>
          <w:rFonts w:cs="Arial"/>
          <w:spacing w:val="-3"/>
        </w:rPr>
        <w:t xml:space="preserve">variables </w:t>
      </w:r>
      <w:r w:rsidR="00EB0DBC" w:rsidRPr="00F75467">
        <w:rPr>
          <w:rFonts w:cs="Arial"/>
          <w:spacing w:val="-3"/>
        </w:rPr>
        <w:t xml:space="preserve">como </w:t>
      </w:r>
      <w:r w:rsidR="00993180" w:rsidRPr="00F75467">
        <w:rPr>
          <w:rFonts w:cs="Arial"/>
          <w:spacing w:val="-3"/>
        </w:rPr>
        <w:t xml:space="preserve">el </w:t>
      </w:r>
      <w:r w:rsidR="00CD7993" w:rsidRPr="00F75467">
        <w:rPr>
          <w:rFonts w:cs="Arial"/>
          <w:spacing w:val="-3"/>
        </w:rPr>
        <w:t>uso del suelo</w:t>
      </w:r>
      <w:r w:rsidR="00CB0CA6" w:rsidRPr="00F75467">
        <w:rPr>
          <w:rFonts w:cs="Arial"/>
          <w:spacing w:val="-3"/>
        </w:rPr>
        <w:t xml:space="preserve"> o</w:t>
      </w:r>
      <w:r w:rsidR="00331F49" w:rsidRPr="00F75467">
        <w:rPr>
          <w:rFonts w:cs="Arial"/>
          <w:spacing w:val="-3"/>
        </w:rPr>
        <w:t xml:space="preserve"> la superficie cubierta por </w:t>
      </w:r>
      <w:r w:rsidR="00D20A85" w:rsidRPr="00F75467">
        <w:rPr>
          <w:rFonts w:cs="Arial"/>
          <w:spacing w:val="-3"/>
        </w:rPr>
        <w:t>bosques u otros ecosistemas</w:t>
      </w:r>
      <w:r w:rsidR="006212F5" w:rsidRPr="00F75467">
        <w:rPr>
          <w:rFonts w:cs="Arial"/>
          <w:spacing w:val="-3"/>
        </w:rPr>
        <w:t>.</w:t>
      </w:r>
    </w:p>
    <w:p w14:paraId="3839810D" w14:textId="77777777" w:rsidR="00CC2139" w:rsidRPr="004068F6" w:rsidRDefault="00CC2139">
      <w:pPr>
        <w:numPr>
          <w:ilvl w:val="12"/>
          <w:numId w:val="0"/>
        </w:numPr>
        <w:tabs>
          <w:tab w:val="left" w:pos="-2268"/>
        </w:tabs>
        <w:suppressAutoHyphens/>
        <w:rPr>
          <w:spacing w:val="-3"/>
        </w:rPr>
      </w:pPr>
    </w:p>
    <w:p w14:paraId="194AEEFB" w14:textId="2A358816" w:rsidR="00482A5F" w:rsidRPr="00466E26" w:rsidRDefault="00482A5F" w:rsidP="000A1E20">
      <w:pPr>
        <w:pStyle w:val="Ttulo3"/>
      </w:pPr>
      <w:bookmarkStart w:id="2909" w:name="_Toc393967321"/>
      <w:bookmarkStart w:id="2910" w:name="_Toc405366837"/>
      <w:bookmarkStart w:id="2911" w:name="_Toc405372384"/>
      <w:bookmarkStart w:id="2912" w:name="_Toc437936027"/>
      <w:bookmarkStart w:id="2913" w:name="_Toc42764352"/>
      <w:bookmarkStart w:id="2914" w:name="_Toc230879660"/>
      <w:r w:rsidRPr="00466E26">
        <w:t>Ecosistemas acuáticos</w:t>
      </w:r>
      <w:bookmarkEnd w:id="2909"/>
      <w:bookmarkEnd w:id="2910"/>
      <w:bookmarkEnd w:id="2911"/>
      <w:r w:rsidRPr="00466E26">
        <w:t xml:space="preserve"> continentales y marino-costeros</w:t>
      </w:r>
      <w:bookmarkEnd w:id="2912"/>
      <w:bookmarkEnd w:id="2913"/>
      <w:bookmarkEnd w:id="2914"/>
    </w:p>
    <w:p w14:paraId="6ABEE348" w14:textId="77777777" w:rsidR="00482A5F" w:rsidRPr="004068F6" w:rsidRDefault="00482A5F">
      <w:pPr>
        <w:numPr>
          <w:ilvl w:val="12"/>
          <w:numId w:val="0"/>
        </w:numPr>
        <w:tabs>
          <w:tab w:val="left" w:pos="-2268"/>
        </w:tabs>
        <w:suppressAutoHyphens/>
        <w:rPr>
          <w:spacing w:val="-3"/>
        </w:rPr>
      </w:pPr>
    </w:p>
    <w:p w14:paraId="10724ECD" w14:textId="5E8E31B4" w:rsidR="00344A4A" w:rsidRPr="004068F6" w:rsidRDefault="00482A5F" w:rsidP="00C86DA5">
      <w:pPr>
        <w:numPr>
          <w:ilvl w:val="12"/>
          <w:numId w:val="0"/>
        </w:numPr>
        <w:tabs>
          <w:tab w:val="left" w:pos="-2268"/>
        </w:tabs>
        <w:suppressAutoHyphens/>
        <w:rPr>
          <w:rFonts w:cs="Arial"/>
          <w:spacing w:val="-3"/>
        </w:rPr>
      </w:pPr>
      <w:r w:rsidRPr="004068F6">
        <w:rPr>
          <w:spacing w:val="-3"/>
        </w:rPr>
        <w:t xml:space="preserve">Con el fin de </w:t>
      </w:r>
      <w:r w:rsidR="008C6FA1" w:rsidRPr="004068F6">
        <w:rPr>
          <w:spacing w:val="-3"/>
        </w:rPr>
        <w:t xml:space="preserve">determinar </w:t>
      </w:r>
      <w:r w:rsidRPr="004068F6">
        <w:rPr>
          <w:spacing w:val="-3"/>
        </w:rPr>
        <w:t>la composición y estructura de la flora y fauna existente en los ecosistemas acuáticos continentales, marino costeros u oceánicos, se deben caracterizar las comunidades hidrobiológicas</w:t>
      </w:r>
      <w:r w:rsidR="002A25DE">
        <w:rPr>
          <w:spacing w:val="-3"/>
        </w:rPr>
        <w:t xml:space="preserve"> </w:t>
      </w:r>
      <w:r w:rsidR="002A25DE" w:rsidRPr="002A25DE">
        <w:rPr>
          <w:spacing w:val="-3"/>
        </w:rPr>
        <w:t>y</w:t>
      </w:r>
      <w:r w:rsidR="002A25DE">
        <w:rPr>
          <w:spacing w:val="-3"/>
        </w:rPr>
        <w:t xml:space="preserve"> </w:t>
      </w:r>
      <w:r w:rsidR="002A25DE" w:rsidRPr="002A25DE">
        <w:rPr>
          <w:spacing w:val="-3"/>
        </w:rPr>
        <w:t>otros grupos de fauna que en sus ciclos de vida hagan uso de los ecosistemas acuáticos para su desarrollo</w:t>
      </w:r>
      <w:r w:rsidRPr="004068F6">
        <w:rPr>
          <w:rFonts w:cs="Arial"/>
          <w:spacing w:val="-3"/>
        </w:rPr>
        <w:t>.</w:t>
      </w:r>
    </w:p>
    <w:p w14:paraId="59B73543" w14:textId="77777777" w:rsidR="00861F7A" w:rsidRPr="004068F6" w:rsidRDefault="00861F7A" w:rsidP="00C86DA5">
      <w:pPr>
        <w:numPr>
          <w:ilvl w:val="12"/>
          <w:numId w:val="0"/>
        </w:numPr>
        <w:tabs>
          <w:tab w:val="left" w:pos="-2268"/>
        </w:tabs>
        <w:suppressAutoHyphens/>
        <w:rPr>
          <w:rFonts w:cs="Arial"/>
          <w:spacing w:val="-3"/>
        </w:rPr>
      </w:pPr>
    </w:p>
    <w:p w14:paraId="5449210B" w14:textId="1CDC791F" w:rsidR="00FC31E1" w:rsidRPr="004068F6" w:rsidRDefault="00FC31E1" w:rsidP="00FC31E1">
      <w:pPr>
        <w:numPr>
          <w:ilvl w:val="12"/>
          <w:numId w:val="0"/>
        </w:numPr>
        <w:tabs>
          <w:tab w:val="left" w:pos="-2268"/>
        </w:tabs>
        <w:suppressAutoHyphens/>
        <w:rPr>
          <w:rFonts w:cs="Arial"/>
          <w:spacing w:val="-3"/>
        </w:rPr>
      </w:pPr>
      <w:r w:rsidRPr="004068F6">
        <w:rPr>
          <w:rFonts w:cs="Arial"/>
          <w:spacing w:val="-3"/>
        </w:rPr>
        <w:t xml:space="preserve">La caracterización de la fauna en ecosistemas acuáticos debe </w:t>
      </w:r>
      <w:r w:rsidR="00F3230D" w:rsidRPr="004068F6">
        <w:rPr>
          <w:rFonts w:cs="Arial"/>
          <w:spacing w:val="-3"/>
        </w:rPr>
        <w:t xml:space="preserve">considerar </w:t>
      </w:r>
      <w:r w:rsidRPr="004068F6">
        <w:rPr>
          <w:rFonts w:cs="Arial"/>
          <w:spacing w:val="-3"/>
        </w:rPr>
        <w:t xml:space="preserve">que algunas especies </w:t>
      </w:r>
      <w:r w:rsidR="00604577" w:rsidRPr="004068F6">
        <w:rPr>
          <w:rFonts w:cs="Arial"/>
          <w:spacing w:val="-3"/>
        </w:rPr>
        <w:t xml:space="preserve">también se </w:t>
      </w:r>
      <w:r w:rsidRPr="004068F6">
        <w:rPr>
          <w:rFonts w:cs="Arial"/>
          <w:spacing w:val="-3"/>
        </w:rPr>
        <w:t>reporta</w:t>
      </w:r>
      <w:r w:rsidR="00604577" w:rsidRPr="004068F6">
        <w:rPr>
          <w:rFonts w:cs="Arial"/>
          <w:spacing w:val="-3"/>
        </w:rPr>
        <w:t xml:space="preserve">n </w:t>
      </w:r>
      <w:r w:rsidRPr="004068F6">
        <w:rPr>
          <w:rFonts w:cs="Arial"/>
          <w:spacing w:val="-3"/>
        </w:rPr>
        <w:t xml:space="preserve">en la caracterización de fauna terrestre. En estos casos, se debe </w:t>
      </w:r>
      <w:r w:rsidR="008B3F79" w:rsidRPr="004068F6">
        <w:rPr>
          <w:rFonts w:cs="Arial"/>
          <w:spacing w:val="-3"/>
        </w:rPr>
        <w:t xml:space="preserve">señalar </w:t>
      </w:r>
      <w:r w:rsidRPr="004068F6">
        <w:rPr>
          <w:rFonts w:cs="Arial"/>
          <w:spacing w:val="-3"/>
        </w:rPr>
        <w:t>clara</w:t>
      </w:r>
      <w:r w:rsidR="008B3F79" w:rsidRPr="004068F6">
        <w:rPr>
          <w:rFonts w:cs="Arial"/>
          <w:spacing w:val="-3"/>
        </w:rPr>
        <w:t xml:space="preserve">mente </w:t>
      </w:r>
      <w:r w:rsidRPr="004068F6">
        <w:rPr>
          <w:rFonts w:cs="Arial"/>
          <w:spacing w:val="-3"/>
        </w:rPr>
        <w:t xml:space="preserve">que la especie </w:t>
      </w:r>
      <w:r w:rsidR="00FC43CC" w:rsidRPr="004068F6">
        <w:rPr>
          <w:rFonts w:cs="Arial"/>
          <w:spacing w:val="-3"/>
        </w:rPr>
        <w:t xml:space="preserve">se </w:t>
      </w:r>
      <w:r w:rsidRPr="004068F6">
        <w:rPr>
          <w:rFonts w:cs="Arial"/>
          <w:spacing w:val="-3"/>
        </w:rPr>
        <w:t>registra en ambos ambientes.</w:t>
      </w:r>
    </w:p>
    <w:p w14:paraId="14392EAF" w14:textId="77777777" w:rsidR="00512D5C" w:rsidRPr="004068F6" w:rsidRDefault="00512D5C" w:rsidP="00C86DA5">
      <w:pPr>
        <w:numPr>
          <w:ilvl w:val="12"/>
          <w:numId w:val="0"/>
        </w:numPr>
        <w:tabs>
          <w:tab w:val="left" w:pos="-2268"/>
        </w:tabs>
        <w:suppressAutoHyphens/>
        <w:rPr>
          <w:rFonts w:cs="Arial"/>
          <w:spacing w:val="-3"/>
        </w:rPr>
      </w:pPr>
    </w:p>
    <w:p w14:paraId="0C45D25C" w14:textId="00ACBC84" w:rsidR="00482A5F" w:rsidRPr="004068F6" w:rsidRDefault="00855075">
      <w:pPr>
        <w:numPr>
          <w:ilvl w:val="12"/>
          <w:numId w:val="0"/>
        </w:numPr>
        <w:tabs>
          <w:tab w:val="left" w:pos="-2268"/>
        </w:tabs>
        <w:suppressAutoHyphens/>
        <w:rPr>
          <w:spacing w:val="-3"/>
        </w:rPr>
      </w:pPr>
      <w:r>
        <w:rPr>
          <w:rFonts w:cs="Arial"/>
          <w:spacing w:val="-3"/>
        </w:rPr>
        <w:t xml:space="preserve">Para caracterizar </w:t>
      </w:r>
      <w:r w:rsidR="004D5E3C" w:rsidRPr="004068F6">
        <w:rPr>
          <w:spacing w:val="-3"/>
        </w:rPr>
        <w:t>eco</w:t>
      </w:r>
      <w:r w:rsidR="00482A5F" w:rsidRPr="004068F6">
        <w:rPr>
          <w:spacing w:val="-3"/>
        </w:rPr>
        <w:t>sistemas lóticos</w:t>
      </w:r>
      <w:r w:rsidR="00482A5F" w:rsidRPr="004068F6">
        <w:rPr>
          <w:rFonts w:cs="Arial"/>
          <w:spacing w:val="-3"/>
        </w:rPr>
        <w:t>,</w:t>
      </w:r>
      <w:r w:rsidR="00482A5F" w:rsidRPr="004068F6">
        <w:rPr>
          <w:spacing w:val="-3"/>
        </w:rPr>
        <w:t xml:space="preserve"> lénticos y marinos</w:t>
      </w:r>
      <w:r w:rsidR="00482A5F" w:rsidRPr="004068F6">
        <w:rPr>
          <w:rFonts w:cs="Arial"/>
          <w:spacing w:val="-3"/>
        </w:rPr>
        <w:t>,</w:t>
      </w:r>
      <w:r w:rsidR="00482A5F" w:rsidRPr="004068F6">
        <w:rPr>
          <w:spacing w:val="-3"/>
        </w:rPr>
        <w:t xml:space="preserve"> realizar las siguientes acciones:</w:t>
      </w:r>
    </w:p>
    <w:p w14:paraId="6DA3DCA0" w14:textId="77777777" w:rsidR="00482A5F" w:rsidRPr="004068F6" w:rsidRDefault="00482A5F">
      <w:pPr>
        <w:numPr>
          <w:ilvl w:val="12"/>
          <w:numId w:val="0"/>
        </w:numPr>
        <w:tabs>
          <w:tab w:val="left" w:pos="-2268"/>
        </w:tabs>
        <w:suppressAutoHyphens/>
        <w:rPr>
          <w:spacing w:val="-3"/>
        </w:rPr>
      </w:pPr>
    </w:p>
    <w:p w14:paraId="457F379B" w14:textId="77777777" w:rsidR="00C33ED0" w:rsidRPr="004068F6" w:rsidRDefault="00C33ED0" w:rsidP="00C33ED0">
      <w:pPr>
        <w:numPr>
          <w:ilvl w:val="12"/>
          <w:numId w:val="0"/>
        </w:numPr>
        <w:tabs>
          <w:tab w:val="left" w:pos="-2268"/>
        </w:tabs>
        <w:suppressAutoHyphens/>
        <w:rPr>
          <w:spacing w:val="-3"/>
        </w:rPr>
      </w:pPr>
      <w:r w:rsidRPr="004068F6">
        <w:rPr>
          <w:spacing w:val="-3"/>
        </w:rPr>
        <w:t>Para ecosistemas lóticos se deben realizar muestreos de perifiton</w:t>
      </w:r>
      <w:r w:rsidRPr="004068F6">
        <w:rPr>
          <w:rFonts w:eastAsia="Symbol" w:cs="Arial"/>
          <w:spacing w:val="-3"/>
        </w:rPr>
        <w:t>,</w:t>
      </w:r>
      <w:r w:rsidRPr="004068F6">
        <w:rPr>
          <w:spacing w:val="-3"/>
        </w:rPr>
        <w:t xml:space="preserve"> macroinvertebrados acuáticos bentónicos, fauna íctica y macrófitas. Para ecosistemas lénticos se debe muestrear el plancton (fitoplancton, zooplancton e ictioplancton), macroinvertebrados acuáticos bentónicos asociados a raíces de macrófitas (según sea el caso), macrófitas y fauna íctica.</w:t>
      </w:r>
    </w:p>
    <w:p w14:paraId="4253D1B9" w14:textId="1A9AEEB7" w:rsidR="00482A5F" w:rsidRPr="004068F6" w:rsidRDefault="00482A5F">
      <w:pPr>
        <w:numPr>
          <w:ilvl w:val="12"/>
          <w:numId w:val="0"/>
        </w:numPr>
        <w:tabs>
          <w:tab w:val="left" w:pos="-2268"/>
        </w:tabs>
        <w:suppressAutoHyphens/>
        <w:rPr>
          <w:spacing w:val="-3"/>
        </w:rPr>
      </w:pPr>
    </w:p>
    <w:p w14:paraId="61C8A8E5" w14:textId="500C3854" w:rsidR="00482A5F" w:rsidRPr="004068F6" w:rsidRDefault="00A05FB9">
      <w:pPr>
        <w:numPr>
          <w:ilvl w:val="12"/>
          <w:numId w:val="0"/>
        </w:numPr>
        <w:tabs>
          <w:tab w:val="left" w:pos="-2268"/>
        </w:tabs>
        <w:suppressAutoHyphens/>
        <w:rPr>
          <w:spacing w:val="-3"/>
        </w:rPr>
      </w:pPr>
      <w:r w:rsidRPr="004068F6">
        <w:rPr>
          <w:rFonts w:cs="Arial"/>
          <w:spacing w:val="-3"/>
        </w:rPr>
        <w:lastRenderedPageBreak/>
        <w:t xml:space="preserve">Para </w:t>
      </w:r>
      <w:r w:rsidR="00482A5F" w:rsidRPr="004068F6">
        <w:rPr>
          <w:rFonts w:cs="Arial"/>
          <w:spacing w:val="-3"/>
        </w:rPr>
        <w:t>ecosistemas</w:t>
      </w:r>
      <w:r w:rsidR="00482A5F" w:rsidRPr="004068F6">
        <w:rPr>
          <w:spacing w:val="-3"/>
        </w:rPr>
        <w:t xml:space="preserve"> marinos </w:t>
      </w:r>
      <w:r w:rsidRPr="004068F6">
        <w:rPr>
          <w:spacing w:val="-3"/>
        </w:rPr>
        <w:t xml:space="preserve">se </w:t>
      </w:r>
      <w:r w:rsidR="00103345" w:rsidRPr="004068F6">
        <w:rPr>
          <w:rFonts w:cs="Arial"/>
          <w:spacing w:val="-3"/>
        </w:rPr>
        <w:t>debe</w:t>
      </w:r>
      <w:r w:rsidRPr="004068F6">
        <w:rPr>
          <w:rFonts w:cs="Arial"/>
          <w:spacing w:val="-3"/>
        </w:rPr>
        <w:t>n caracterizar</w:t>
      </w:r>
      <w:r w:rsidRPr="004068F6">
        <w:rPr>
          <w:spacing w:val="-3"/>
        </w:rPr>
        <w:t xml:space="preserve"> </w:t>
      </w:r>
      <w:r w:rsidR="00482A5F" w:rsidRPr="004068F6">
        <w:rPr>
          <w:rFonts w:cs="Arial"/>
          <w:spacing w:val="-3"/>
        </w:rPr>
        <w:t>los fondos sedimentarios (</w:t>
      </w:r>
      <w:r w:rsidR="00482A5F" w:rsidRPr="004068F6">
        <w:rPr>
          <w:spacing w:val="-3"/>
        </w:rPr>
        <w:t>bentos</w:t>
      </w:r>
      <w:r w:rsidR="00482A5F" w:rsidRPr="004068F6">
        <w:rPr>
          <w:rFonts w:cs="Arial"/>
          <w:spacing w:val="-3"/>
        </w:rPr>
        <w:t xml:space="preserve">: </w:t>
      </w:r>
      <w:r w:rsidR="00482A5F" w:rsidRPr="004068F6">
        <w:rPr>
          <w:spacing w:val="-3"/>
        </w:rPr>
        <w:t xml:space="preserve">macroinfauna, epifauna y meiofauna), </w:t>
      </w:r>
      <w:r w:rsidR="00482A5F" w:rsidRPr="004068F6">
        <w:rPr>
          <w:rFonts w:cs="Arial"/>
          <w:spacing w:val="-3"/>
        </w:rPr>
        <w:t xml:space="preserve">formaciones coralinas, </w:t>
      </w:r>
      <w:r w:rsidR="00482A5F" w:rsidRPr="004068F6">
        <w:rPr>
          <w:spacing w:val="-3"/>
        </w:rPr>
        <w:t xml:space="preserve">praderas de pastos marinos, </w:t>
      </w:r>
      <w:r w:rsidR="00482A5F" w:rsidRPr="004068F6">
        <w:rPr>
          <w:rFonts w:cs="Arial"/>
          <w:spacing w:val="-3"/>
        </w:rPr>
        <w:t xml:space="preserve">litorales arenosos (playas) y rocosos (acantilados) en función de </w:t>
      </w:r>
      <w:r w:rsidR="00482A5F" w:rsidRPr="004068F6">
        <w:rPr>
          <w:spacing w:val="-3"/>
        </w:rPr>
        <w:t>estructura y fauna asociada</w:t>
      </w:r>
      <w:r w:rsidR="00482A5F" w:rsidRPr="004068F6">
        <w:rPr>
          <w:rFonts w:cs="Arial"/>
          <w:spacing w:val="-3"/>
        </w:rPr>
        <w:t>. Igualmente</w:t>
      </w:r>
      <w:r w:rsidR="00482A5F" w:rsidRPr="004068F6">
        <w:rPr>
          <w:spacing w:val="-3"/>
        </w:rPr>
        <w:t xml:space="preserve">, </w:t>
      </w:r>
      <w:r w:rsidRPr="004068F6">
        <w:rPr>
          <w:spacing w:val="-3"/>
        </w:rPr>
        <w:t xml:space="preserve">las </w:t>
      </w:r>
      <w:r w:rsidR="00482A5F" w:rsidRPr="004068F6">
        <w:rPr>
          <w:spacing w:val="-3"/>
        </w:rPr>
        <w:t>comunidades planctónicas (fitoplancton, zooplancton e ictioplancton</w:t>
      </w:r>
      <w:r w:rsidR="00482A5F" w:rsidRPr="004068F6">
        <w:rPr>
          <w:rFonts w:cs="Arial"/>
          <w:spacing w:val="-3"/>
        </w:rPr>
        <w:t>) y nectónicas (peces)</w:t>
      </w:r>
      <w:r w:rsidR="00482A5F" w:rsidRPr="004068F6">
        <w:rPr>
          <w:spacing w:val="-3"/>
        </w:rPr>
        <w:t>.</w:t>
      </w:r>
    </w:p>
    <w:p w14:paraId="6A04337A" w14:textId="77777777" w:rsidR="00482A5F" w:rsidRPr="004068F6" w:rsidRDefault="00482A5F" w:rsidP="00482A5F">
      <w:pPr>
        <w:numPr>
          <w:ilvl w:val="12"/>
          <w:numId w:val="0"/>
        </w:numPr>
        <w:tabs>
          <w:tab w:val="left" w:pos="-2268"/>
        </w:tabs>
        <w:suppressAutoHyphens/>
        <w:rPr>
          <w:rFonts w:cs="Arial"/>
          <w:spacing w:val="-3"/>
        </w:rPr>
      </w:pPr>
    </w:p>
    <w:p w14:paraId="3E37CACD" w14:textId="5CF831C3" w:rsidR="00482A5F" w:rsidRPr="004068F6" w:rsidRDefault="00482A5F" w:rsidP="00482A5F">
      <w:pPr>
        <w:numPr>
          <w:ilvl w:val="12"/>
          <w:numId w:val="0"/>
        </w:numPr>
        <w:tabs>
          <w:tab w:val="left" w:pos="-2268"/>
        </w:tabs>
        <w:suppressAutoHyphens/>
        <w:rPr>
          <w:rFonts w:cs="Arial"/>
          <w:spacing w:val="-3"/>
        </w:rPr>
      </w:pPr>
      <w:r w:rsidRPr="004068F6">
        <w:rPr>
          <w:rFonts w:cs="Arial"/>
          <w:spacing w:val="-3"/>
        </w:rPr>
        <w:t xml:space="preserve">En proyectos </w:t>
      </w:r>
      <w:r w:rsidR="00CA3743" w:rsidRPr="004068F6">
        <w:rPr>
          <w:rFonts w:cs="Arial"/>
          <w:spacing w:val="-3"/>
        </w:rPr>
        <w:t xml:space="preserve">que </w:t>
      </w:r>
      <w:r w:rsidRPr="004068F6">
        <w:rPr>
          <w:rFonts w:cs="Arial"/>
          <w:spacing w:val="-3"/>
        </w:rPr>
        <w:t>contempl</w:t>
      </w:r>
      <w:r w:rsidR="00CA3743" w:rsidRPr="004068F6">
        <w:rPr>
          <w:rFonts w:cs="Arial"/>
          <w:spacing w:val="-3"/>
        </w:rPr>
        <w:t xml:space="preserve">en </w:t>
      </w:r>
      <w:r w:rsidRPr="004068F6">
        <w:rPr>
          <w:rFonts w:cs="Arial"/>
          <w:spacing w:val="-3"/>
        </w:rPr>
        <w:t xml:space="preserve">captaciones o vertimientos en ecosistemas acuáticos </w:t>
      </w:r>
      <w:r w:rsidR="00BA5475" w:rsidRPr="004068F6">
        <w:rPr>
          <w:rFonts w:cs="Arial"/>
          <w:spacing w:val="-3"/>
        </w:rPr>
        <w:t>es necesario diseñ</w:t>
      </w:r>
      <w:r w:rsidR="00CA3743" w:rsidRPr="004068F6">
        <w:rPr>
          <w:rFonts w:cs="Arial"/>
          <w:spacing w:val="-3"/>
        </w:rPr>
        <w:t>ar</w:t>
      </w:r>
      <w:r w:rsidR="00BA5475" w:rsidRPr="004068F6">
        <w:rPr>
          <w:rFonts w:cs="Arial"/>
          <w:spacing w:val="-3"/>
        </w:rPr>
        <w:t xml:space="preserve"> </w:t>
      </w:r>
      <w:r w:rsidR="00CA3743" w:rsidRPr="004068F6">
        <w:rPr>
          <w:rFonts w:cs="Arial"/>
          <w:spacing w:val="-3"/>
        </w:rPr>
        <w:t xml:space="preserve">un </w:t>
      </w:r>
      <w:r w:rsidR="00BA5475" w:rsidRPr="004068F6">
        <w:rPr>
          <w:rFonts w:cs="Arial"/>
          <w:spacing w:val="-3"/>
        </w:rPr>
        <w:t>muestreo</w:t>
      </w:r>
      <w:r w:rsidR="00CA3743" w:rsidRPr="004068F6">
        <w:rPr>
          <w:rFonts w:cs="Arial"/>
          <w:spacing w:val="-3"/>
        </w:rPr>
        <w:t xml:space="preserve"> </w:t>
      </w:r>
      <w:r w:rsidR="00BA5475" w:rsidRPr="004068F6">
        <w:rPr>
          <w:rFonts w:cs="Arial"/>
          <w:spacing w:val="-3"/>
        </w:rPr>
        <w:t>representativ</w:t>
      </w:r>
      <w:r w:rsidR="00CA3743" w:rsidRPr="004068F6">
        <w:rPr>
          <w:rFonts w:cs="Arial"/>
          <w:spacing w:val="-3"/>
        </w:rPr>
        <w:t>o</w:t>
      </w:r>
      <w:r w:rsidR="00BA5475" w:rsidRPr="004068F6">
        <w:rPr>
          <w:rFonts w:cs="Arial"/>
          <w:spacing w:val="-3"/>
        </w:rPr>
        <w:t xml:space="preserve"> que permita establecer las características del punto de intervención, </w:t>
      </w:r>
      <w:r w:rsidR="008D4071" w:rsidRPr="004068F6">
        <w:rPr>
          <w:rFonts w:cs="Arial"/>
          <w:spacing w:val="-3"/>
        </w:rPr>
        <w:t xml:space="preserve">así como de los lugares en los que </w:t>
      </w:r>
      <w:r w:rsidR="00964EDF" w:rsidRPr="004068F6">
        <w:rPr>
          <w:rFonts w:cs="Arial"/>
          <w:spacing w:val="-3"/>
        </w:rPr>
        <w:t xml:space="preserve">los ensamblajes y composición de las comunidades </w:t>
      </w:r>
      <w:r w:rsidR="008D4071" w:rsidRPr="004068F6">
        <w:rPr>
          <w:rFonts w:cs="Arial"/>
          <w:spacing w:val="-3"/>
        </w:rPr>
        <w:t>se verían impactados</w:t>
      </w:r>
      <w:r w:rsidR="00A05FB9" w:rsidRPr="004068F6">
        <w:rPr>
          <w:rFonts w:cs="Arial"/>
          <w:spacing w:val="-3"/>
        </w:rPr>
        <w:t xml:space="preserve">, a partir de </w:t>
      </w:r>
      <w:r w:rsidR="00964EDF" w:rsidRPr="004068F6">
        <w:rPr>
          <w:rFonts w:cs="Arial"/>
          <w:spacing w:val="-3"/>
        </w:rPr>
        <w:t xml:space="preserve">los </w:t>
      </w:r>
      <w:r w:rsidR="008D4071" w:rsidRPr="004068F6">
        <w:rPr>
          <w:rFonts w:cs="Arial"/>
          <w:spacing w:val="-3"/>
        </w:rPr>
        <w:t xml:space="preserve">resultados de </w:t>
      </w:r>
      <w:r w:rsidR="00964EDF" w:rsidRPr="004068F6">
        <w:rPr>
          <w:rFonts w:cs="Arial"/>
          <w:spacing w:val="-3"/>
        </w:rPr>
        <w:t xml:space="preserve">estudios o modelos relacionados con </w:t>
      </w:r>
      <w:r w:rsidR="00267569" w:rsidRPr="004068F6">
        <w:rPr>
          <w:rFonts w:cs="Arial"/>
          <w:spacing w:val="-3"/>
        </w:rPr>
        <w:t xml:space="preserve">las obras </w:t>
      </w:r>
      <w:r w:rsidR="00964EDF" w:rsidRPr="004068F6">
        <w:rPr>
          <w:rFonts w:cs="Arial"/>
          <w:spacing w:val="-3"/>
        </w:rPr>
        <w:t xml:space="preserve">o </w:t>
      </w:r>
      <w:r w:rsidR="00267569" w:rsidRPr="004068F6">
        <w:rPr>
          <w:rFonts w:cs="Arial"/>
          <w:spacing w:val="-3"/>
        </w:rPr>
        <w:t>actividades a realizar</w:t>
      </w:r>
      <w:r w:rsidRPr="004068F6">
        <w:rPr>
          <w:rFonts w:cs="Arial"/>
          <w:spacing w:val="-3"/>
        </w:rPr>
        <w:t>.</w:t>
      </w:r>
    </w:p>
    <w:p w14:paraId="7D6C017F" w14:textId="77777777" w:rsidR="00482A5F" w:rsidRPr="004068F6" w:rsidRDefault="00482A5F">
      <w:pPr>
        <w:numPr>
          <w:ilvl w:val="12"/>
          <w:numId w:val="0"/>
        </w:numPr>
        <w:tabs>
          <w:tab w:val="left" w:pos="-2268"/>
        </w:tabs>
        <w:suppressAutoHyphens/>
        <w:rPr>
          <w:spacing w:val="-3"/>
        </w:rPr>
      </w:pPr>
    </w:p>
    <w:p w14:paraId="33825BF9" w14:textId="1FEE6B48" w:rsidR="00482A5F" w:rsidRPr="004068F6" w:rsidRDefault="00482A5F">
      <w:pPr>
        <w:numPr>
          <w:ilvl w:val="12"/>
          <w:numId w:val="0"/>
        </w:numPr>
        <w:tabs>
          <w:tab w:val="left" w:pos="-2268"/>
        </w:tabs>
        <w:suppressAutoHyphens/>
        <w:rPr>
          <w:spacing w:val="-3"/>
        </w:rPr>
      </w:pPr>
      <w:r w:rsidRPr="004068F6">
        <w:rPr>
          <w:spacing w:val="-3"/>
        </w:rPr>
        <w:t>Señalar la distribución espacial, hábitats e interrelaciones ecosistémicas de las familias, géneros, especies, morfotipos o grupos de organismos característicos, empleando herramientas estadísticas</w:t>
      </w:r>
      <w:r w:rsidR="004D5E3C" w:rsidRPr="004068F6">
        <w:rPr>
          <w:spacing w:val="-3"/>
        </w:rPr>
        <w:t xml:space="preserve">, análisis </w:t>
      </w:r>
      <w:r w:rsidR="0077382E" w:rsidRPr="004068F6">
        <w:rPr>
          <w:spacing w:val="-3"/>
        </w:rPr>
        <w:t>estacionales</w:t>
      </w:r>
      <w:r w:rsidRPr="004068F6">
        <w:rPr>
          <w:spacing w:val="-3"/>
        </w:rPr>
        <w:t xml:space="preserve"> e índices ecológicos </w:t>
      </w:r>
      <w:r w:rsidR="004D5E3C" w:rsidRPr="004068F6">
        <w:rPr>
          <w:spacing w:val="-3"/>
        </w:rPr>
        <w:t xml:space="preserve">que incorporen </w:t>
      </w:r>
      <w:r w:rsidRPr="004068F6">
        <w:rPr>
          <w:spacing w:val="-3"/>
        </w:rPr>
        <w:t xml:space="preserve">atributos </w:t>
      </w:r>
      <w:r w:rsidR="004D5E3C" w:rsidRPr="004068F6">
        <w:rPr>
          <w:spacing w:val="-3"/>
        </w:rPr>
        <w:t xml:space="preserve">ecológicos estructurales y funcionales </w:t>
      </w:r>
      <w:r w:rsidRPr="004068F6">
        <w:rPr>
          <w:spacing w:val="-3"/>
        </w:rPr>
        <w:t>(</w:t>
      </w:r>
      <w:r w:rsidR="00041844" w:rsidRPr="004068F6">
        <w:rPr>
          <w:spacing w:val="-3"/>
        </w:rPr>
        <w:t>p. ej.</w:t>
      </w:r>
      <w:r w:rsidRPr="004068F6">
        <w:rPr>
          <w:spacing w:val="-3"/>
        </w:rPr>
        <w:t xml:space="preserve"> densidad, abundancia, cobertura o extensión, dominancia</w:t>
      </w:r>
      <w:r w:rsidR="00997781" w:rsidRPr="004068F6">
        <w:rPr>
          <w:spacing w:val="-3"/>
        </w:rPr>
        <w:t xml:space="preserve"> y</w:t>
      </w:r>
      <w:r w:rsidRPr="004068F6">
        <w:rPr>
          <w:spacing w:val="-3"/>
        </w:rPr>
        <w:t xml:space="preserve"> biomasa</w:t>
      </w:r>
      <w:r w:rsidR="00997781" w:rsidRPr="004068F6">
        <w:rPr>
          <w:spacing w:val="-3"/>
        </w:rPr>
        <w:t>)</w:t>
      </w:r>
      <w:r w:rsidR="00C15291" w:rsidRPr="004068F6">
        <w:rPr>
          <w:spacing w:val="-3"/>
        </w:rPr>
        <w:t xml:space="preserve"> </w:t>
      </w:r>
      <w:r w:rsidR="0046056B" w:rsidRPr="004068F6">
        <w:rPr>
          <w:spacing w:val="-3"/>
        </w:rPr>
        <w:t xml:space="preserve">en conjunto con las </w:t>
      </w:r>
      <w:r w:rsidRPr="004068F6">
        <w:rPr>
          <w:spacing w:val="-3"/>
        </w:rPr>
        <w:t>variables fisicoquímicas</w:t>
      </w:r>
      <w:r w:rsidR="00E5787A" w:rsidRPr="004068F6">
        <w:rPr>
          <w:spacing w:val="-3"/>
        </w:rPr>
        <w:t xml:space="preserve"> relacionadas</w:t>
      </w:r>
      <w:r w:rsidRPr="004068F6">
        <w:rPr>
          <w:spacing w:val="-3"/>
        </w:rPr>
        <w:t>.</w:t>
      </w:r>
    </w:p>
    <w:p w14:paraId="2B0F3C98" w14:textId="77777777" w:rsidR="00482A5F" w:rsidRPr="004068F6" w:rsidRDefault="00482A5F">
      <w:pPr>
        <w:numPr>
          <w:ilvl w:val="12"/>
          <w:numId w:val="0"/>
        </w:numPr>
        <w:tabs>
          <w:tab w:val="left" w:pos="-2268"/>
        </w:tabs>
        <w:suppressAutoHyphens/>
        <w:rPr>
          <w:spacing w:val="-3"/>
        </w:rPr>
      </w:pPr>
    </w:p>
    <w:p w14:paraId="48D73603" w14:textId="396C9633" w:rsidR="003373A4" w:rsidRPr="004068F6" w:rsidRDefault="003373A4">
      <w:pPr>
        <w:numPr>
          <w:ilvl w:val="12"/>
          <w:numId w:val="0"/>
        </w:numPr>
        <w:tabs>
          <w:tab w:val="left" w:pos="-2268"/>
        </w:tabs>
        <w:suppressAutoHyphens/>
        <w:rPr>
          <w:spacing w:val="-3"/>
        </w:rPr>
      </w:pPr>
      <w:r w:rsidRPr="004068F6">
        <w:rPr>
          <w:spacing w:val="-3"/>
        </w:rPr>
        <w:t xml:space="preserve">Describir los taxones que podrían ser utilizados como bioindicadores de la calidad ambiental en los ecosistemas acuáticos continentales y marino-costeros caracterizados. Para ello, se </w:t>
      </w:r>
      <w:r w:rsidR="003C2FA1" w:rsidRPr="004068F6">
        <w:rPr>
          <w:spacing w:val="-3"/>
        </w:rPr>
        <w:t xml:space="preserve">debe </w:t>
      </w:r>
      <w:r w:rsidRPr="004068F6">
        <w:rPr>
          <w:spacing w:val="-3"/>
        </w:rPr>
        <w:t xml:space="preserve">emplear la información disponible en la literatura científica con el fin de explicar las correlaciones </w:t>
      </w:r>
      <w:r w:rsidR="002C3659" w:rsidRPr="004068F6">
        <w:rPr>
          <w:spacing w:val="-3"/>
        </w:rPr>
        <w:t xml:space="preserve">existentes entre </w:t>
      </w:r>
      <w:r w:rsidRPr="004068F6">
        <w:rPr>
          <w:spacing w:val="-3"/>
        </w:rPr>
        <w:t xml:space="preserve">las características fisicoquímicas de la columna de agua, el caudal, los sedimentos, entre otras variables registradas durante los muestreos. De esta manera, se </w:t>
      </w:r>
      <w:r w:rsidR="002C3659" w:rsidRPr="004068F6">
        <w:rPr>
          <w:spacing w:val="-3"/>
        </w:rPr>
        <w:t xml:space="preserve">debe </w:t>
      </w:r>
      <w:r w:rsidRPr="004068F6">
        <w:rPr>
          <w:spacing w:val="-3"/>
        </w:rPr>
        <w:t xml:space="preserve">analizar la composición y estructura de las comunidades hidrobiológicas encontradas en función de las variables ambientales, lo cual puede servir como insumo para identificar posibles taxones de interés que puedan ser utilizados en el establecimiento de indicadores o umbrales dentro de la red de puntos </w:t>
      </w:r>
      <w:r w:rsidR="004C290A" w:rsidRPr="004068F6">
        <w:rPr>
          <w:spacing w:val="-3"/>
        </w:rPr>
        <w:t xml:space="preserve">que se planteen </w:t>
      </w:r>
      <w:r w:rsidR="00E13732" w:rsidRPr="004068F6">
        <w:rPr>
          <w:spacing w:val="-3"/>
        </w:rPr>
        <w:t>en el marco del Plan de s</w:t>
      </w:r>
      <w:r w:rsidRPr="004068F6">
        <w:rPr>
          <w:spacing w:val="-3"/>
        </w:rPr>
        <w:t xml:space="preserve">eguimiento </w:t>
      </w:r>
      <w:r w:rsidR="00E13732" w:rsidRPr="004068F6">
        <w:rPr>
          <w:spacing w:val="-3"/>
        </w:rPr>
        <w:t>y monitore</w:t>
      </w:r>
      <w:r w:rsidRPr="004068F6">
        <w:rPr>
          <w:spacing w:val="-3"/>
        </w:rPr>
        <w:t>o.</w:t>
      </w:r>
    </w:p>
    <w:p w14:paraId="11E3D8BD" w14:textId="77777777" w:rsidR="00482A5F" w:rsidRPr="004068F6" w:rsidRDefault="00482A5F">
      <w:pPr>
        <w:numPr>
          <w:ilvl w:val="12"/>
          <w:numId w:val="0"/>
        </w:numPr>
        <w:tabs>
          <w:tab w:val="left" w:pos="-2268"/>
        </w:tabs>
        <w:suppressAutoHyphens/>
        <w:rPr>
          <w:spacing w:val="-3"/>
        </w:rPr>
      </w:pPr>
    </w:p>
    <w:p w14:paraId="5B8833B1" w14:textId="77777777" w:rsidR="00DE609E" w:rsidRPr="004068F6" w:rsidRDefault="004D5E3C" w:rsidP="004D5E3C">
      <w:pPr>
        <w:numPr>
          <w:ilvl w:val="12"/>
          <w:numId w:val="0"/>
        </w:numPr>
        <w:tabs>
          <w:tab w:val="left" w:pos="-2268"/>
        </w:tabs>
        <w:suppressAutoHyphens/>
        <w:rPr>
          <w:spacing w:val="-3"/>
        </w:rPr>
      </w:pPr>
      <w:r w:rsidRPr="004068F6">
        <w:rPr>
          <w:spacing w:val="-3"/>
        </w:rPr>
        <w:t xml:space="preserve">Para los ecosistemas acuáticos dulceacuícolas (lóticos y lénticos) y a partir de la información de mapas base, se debe determinar su dinámica </w:t>
      </w:r>
      <w:r w:rsidR="0077382E" w:rsidRPr="004068F6">
        <w:rPr>
          <w:spacing w:val="-3"/>
        </w:rPr>
        <w:t xml:space="preserve">estacional </w:t>
      </w:r>
      <w:r w:rsidRPr="004068F6">
        <w:rPr>
          <w:spacing w:val="-3"/>
        </w:rPr>
        <w:t xml:space="preserve">e importancia en el contexto regional. </w:t>
      </w:r>
    </w:p>
    <w:p w14:paraId="48B8A771" w14:textId="77777777" w:rsidR="00DE609E" w:rsidRPr="004068F6" w:rsidRDefault="00DE609E" w:rsidP="004D5E3C">
      <w:pPr>
        <w:numPr>
          <w:ilvl w:val="12"/>
          <w:numId w:val="0"/>
        </w:numPr>
        <w:tabs>
          <w:tab w:val="left" w:pos="-2268"/>
        </w:tabs>
        <w:suppressAutoHyphens/>
        <w:rPr>
          <w:spacing w:val="-3"/>
        </w:rPr>
      </w:pPr>
    </w:p>
    <w:p w14:paraId="600F55CA" w14:textId="04A42268" w:rsidR="001E49FC" w:rsidRPr="004068F6" w:rsidRDefault="001E49FC" w:rsidP="001E49FC">
      <w:pPr>
        <w:numPr>
          <w:ilvl w:val="12"/>
          <w:numId w:val="0"/>
        </w:numPr>
        <w:tabs>
          <w:tab w:val="left" w:pos="-2268"/>
        </w:tabs>
        <w:suppressAutoHyphens/>
        <w:rPr>
          <w:spacing w:val="-3"/>
        </w:rPr>
      </w:pPr>
      <w:r w:rsidRPr="004068F6">
        <w:rPr>
          <w:spacing w:val="-3"/>
        </w:rPr>
        <w:t xml:space="preserve">Si las actividades del proyecto contemplan el desvío o realineamiento de cauces, la división, la eliminación parcial o la total de cuerpos de agua (lóticos o lénticos) incluyendo zonas de inundación estacional, se debe determinar la importancia de </w:t>
      </w:r>
      <w:r w:rsidR="00181390" w:rsidRPr="004068F6">
        <w:rPr>
          <w:spacing w:val="-3"/>
        </w:rPr>
        <w:t xml:space="preserve">los </w:t>
      </w:r>
      <w:r w:rsidRPr="004068F6">
        <w:rPr>
          <w:spacing w:val="-3"/>
        </w:rPr>
        <w:t xml:space="preserve">ecosistemas </w:t>
      </w:r>
      <w:r w:rsidR="0014115E" w:rsidRPr="004068F6">
        <w:rPr>
          <w:spacing w:val="-3"/>
        </w:rPr>
        <w:t xml:space="preserve">lóticos o lénticos </w:t>
      </w:r>
      <w:r w:rsidRPr="004068F6">
        <w:rPr>
          <w:spacing w:val="-3"/>
        </w:rPr>
        <w:t xml:space="preserve">para las distintas comunidades hidrobiológicas, tanto en el área de influencia como en un contexto regional. El análisis debe priorizar las especies con algún grado de vulnerabilidad, </w:t>
      </w:r>
      <w:r w:rsidR="00CE18DF" w:rsidRPr="004068F6">
        <w:rPr>
          <w:spacing w:val="-3"/>
        </w:rPr>
        <w:t>amenaza</w:t>
      </w:r>
      <w:r w:rsidRPr="004068F6">
        <w:rPr>
          <w:spacing w:val="-3"/>
        </w:rPr>
        <w:t xml:space="preserve">, endemismo o importancia económica. Adicionalmente, se debe establecer si estas áreas corresponden a zonas de desove, cría y/o maduración para la ictiofauna. Para ello y sin descartar el uso de </w:t>
      </w:r>
      <w:r w:rsidRPr="004068F6">
        <w:rPr>
          <w:spacing w:val="-3"/>
        </w:rPr>
        <w:lastRenderedPageBreak/>
        <w:t>otras técnicas, se debe</w:t>
      </w:r>
      <w:r w:rsidR="00CE18DF" w:rsidRPr="004068F6">
        <w:rPr>
          <w:spacing w:val="-3"/>
        </w:rPr>
        <w:t>n</w:t>
      </w:r>
      <w:r w:rsidRPr="004068F6">
        <w:rPr>
          <w:spacing w:val="-3"/>
        </w:rPr>
        <w:t xml:space="preserve"> realizar estudios de ictioplancton con un diseño de muestreo sistemático a lo largo del ciclo hidrológico (principalmente durante los meses de aguas altas), con el fin de establecer la relevancia de los cuerpos de agua objeto de intervención en la dinámica del ciclo vital de estas especies.</w:t>
      </w:r>
    </w:p>
    <w:p w14:paraId="5DAFA726" w14:textId="77777777" w:rsidR="001E49FC" w:rsidRPr="004068F6" w:rsidRDefault="001E49FC" w:rsidP="004D5E3C">
      <w:pPr>
        <w:numPr>
          <w:ilvl w:val="12"/>
          <w:numId w:val="0"/>
        </w:numPr>
        <w:tabs>
          <w:tab w:val="left" w:pos="-2268"/>
        </w:tabs>
        <w:suppressAutoHyphens/>
        <w:rPr>
          <w:spacing w:val="-3"/>
        </w:rPr>
      </w:pPr>
    </w:p>
    <w:p w14:paraId="2D30DC74" w14:textId="4DF76FE3" w:rsidR="004D5E3C" w:rsidRPr="004068F6" w:rsidRDefault="0015251E" w:rsidP="004D5E3C">
      <w:pPr>
        <w:numPr>
          <w:ilvl w:val="12"/>
          <w:numId w:val="0"/>
        </w:numPr>
        <w:tabs>
          <w:tab w:val="left" w:pos="-2268"/>
        </w:tabs>
        <w:suppressAutoHyphens/>
        <w:rPr>
          <w:spacing w:val="-3"/>
        </w:rPr>
      </w:pPr>
      <w:r w:rsidRPr="004068F6">
        <w:rPr>
          <w:spacing w:val="-3"/>
        </w:rPr>
        <w:t>Asimismo, en estos casos se debe realizar un análisis de fragmentación de los ecosistemas acuáticos y de la afectación de los procesos ecológicos que se desarrollan en ellos (por ejemplo, la migración de especies</w:t>
      </w:r>
      <w:r w:rsidR="00303287" w:rsidRPr="004068F6">
        <w:rPr>
          <w:spacing w:val="-3"/>
        </w:rPr>
        <w:t xml:space="preserve"> y</w:t>
      </w:r>
      <w:r w:rsidRPr="004068F6">
        <w:rPr>
          <w:spacing w:val="-3"/>
        </w:rPr>
        <w:t xml:space="preserve"> el transporte de semillas). </w:t>
      </w:r>
      <w:r w:rsidRPr="00F22CBC">
        <w:rPr>
          <w:spacing w:val="-3"/>
        </w:rPr>
        <w:t>Para esto, se deben considerar las actividades, obras e infraestructuras existentes en la zona que modifi</w:t>
      </w:r>
      <w:r w:rsidR="00FA1FDC" w:rsidRPr="00127BD4">
        <w:rPr>
          <w:spacing w:val="-3"/>
        </w:rPr>
        <w:t>quen</w:t>
      </w:r>
      <w:r w:rsidRPr="00F22CBC">
        <w:rPr>
          <w:spacing w:val="-3"/>
        </w:rPr>
        <w:t>, elimin</w:t>
      </w:r>
      <w:r w:rsidR="00FA1FDC" w:rsidRPr="00127BD4">
        <w:rPr>
          <w:spacing w:val="-3"/>
        </w:rPr>
        <w:t>en</w:t>
      </w:r>
      <w:r w:rsidRPr="00F22CBC">
        <w:rPr>
          <w:spacing w:val="-3"/>
        </w:rPr>
        <w:t>, restrin</w:t>
      </w:r>
      <w:r w:rsidR="00FA1FDC" w:rsidRPr="00127BD4">
        <w:rPr>
          <w:spacing w:val="-3"/>
        </w:rPr>
        <w:t>jan</w:t>
      </w:r>
      <w:r w:rsidRPr="00F22CBC">
        <w:rPr>
          <w:spacing w:val="-3"/>
        </w:rPr>
        <w:t xml:space="preserve">, </w:t>
      </w:r>
      <w:r w:rsidR="00FA1FDC" w:rsidRPr="00127BD4">
        <w:rPr>
          <w:spacing w:val="-3"/>
        </w:rPr>
        <w:t>aíslen</w:t>
      </w:r>
      <w:r w:rsidRPr="00F22CBC">
        <w:rPr>
          <w:spacing w:val="-3"/>
        </w:rPr>
        <w:t xml:space="preserve"> o fragment</w:t>
      </w:r>
      <w:r w:rsidR="00FA1FDC" w:rsidRPr="00127BD4">
        <w:rPr>
          <w:spacing w:val="-3"/>
        </w:rPr>
        <w:t>en</w:t>
      </w:r>
      <w:r w:rsidRPr="00F22CBC">
        <w:rPr>
          <w:spacing w:val="-3"/>
        </w:rPr>
        <w:t xml:space="preserve"> temporal o permanente el flujo de los cuerpos de agua y de las comunidades hidrobiológicas </w:t>
      </w:r>
      <w:r w:rsidR="00324222" w:rsidRPr="00F22CBC">
        <w:rPr>
          <w:spacing w:val="-3"/>
        </w:rPr>
        <w:t>caracterizadas</w:t>
      </w:r>
      <w:r w:rsidRPr="00F22CBC">
        <w:rPr>
          <w:spacing w:val="-3"/>
        </w:rPr>
        <w:t>.</w:t>
      </w:r>
    </w:p>
    <w:p w14:paraId="137290FC" w14:textId="77777777" w:rsidR="004D5E3C" w:rsidRPr="004068F6" w:rsidRDefault="004D5E3C">
      <w:pPr>
        <w:numPr>
          <w:ilvl w:val="12"/>
          <w:numId w:val="0"/>
        </w:numPr>
        <w:tabs>
          <w:tab w:val="left" w:pos="-2268"/>
        </w:tabs>
        <w:suppressAutoHyphens/>
        <w:rPr>
          <w:spacing w:val="-3"/>
        </w:rPr>
      </w:pPr>
    </w:p>
    <w:p w14:paraId="6CFE8302" w14:textId="77777777" w:rsidR="00482A5F" w:rsidRPr="004068F6" w:rsidRDefault="00482A5F">
      <w:pPr>
        <w:tabs>
          <w:tab w:val="left" w:pos="-2268"/>
        </w:tabs>
        <w:suppressAutoHyphens/>
        <w:rPr>
          <w:spacing w:val="-3"/>
          <w:u w:val="single"/>
        </w:rPr>
      </w:pPr>
      <w:r w:rsidRPr="004068F6">
        <w:rPr>
          <w:spacing w:val="-3"/>
          <w:u w:val="single"/>
        </w:rPr>
        <w:t>Fase de campo</w:t>
      </w:r>
    </w:p>
    <w:p w14:paraId="7AF4C4FB" w14:textId="77777777" w:rsidR="00482A5F" w:rsidRPr="004068F6" w:rsidRDefault="00482A5F">
      <w:pPr>
        <w:numPr>
          <w:ilvl w:val="12"/>
          <w:numId w:val="0"/>
        </w:numPr>
        <w:tabs>
          <w:tab w:val="left" w:pos="-2268"/>
        </w:tabs>
        <w:suppressAutoHyphens/>
        <w:rPr>
          <w:spacing w:val="-3"/>
        </w:rPr>
      </w:pPr>
    </w:p>
    <w:p w14:paraId="33E84B7F" w14:textId="3A532B60" w:rsidR="00A0527B" w:rsidRPr="004068F6" w:rsidRDefault="00A0527B" w:rsidP="00A0527B">
      <w:pPr>
        <w:numPr>
          <w:ilvl w:val="12"/>
          <w:numId w:val="0"/>
        </w:numPr>
        <w:tabs>
          <w:tab w:val="left" w:pos="-2268"/>
        </w:tabs>
        <w:suppressAutoHyphens/>
        <w:rPr>
          <w:spacing w:val="-3"/>
        </w:rPr>
      </w:pPr>
      <w:r w:rsidRPr="004068F6">
        <w:rPr>
          <w:spacing w:val="-3"/>
        </w:rPr>
        <w:t xml:space="preserve">La caracterización debe realizarse de acuerdo con los métodos y alcances autorizados en el permiso de estudio para la recolección de especímenes de especies silvestres de la diversidad biológica con fines de elaboración de estudios ambientales asociado; dicho permiso y su notificación debe entregarse como soporte de referencia de la caracterización. </w:t>
      </w:r>
    </w:p>
    <w:p w14:paraId="19E9040F" w14:textId="427EFEF7" w:rsidR="00A0527B" w:rsidRPr="004068F6" w:rsidRDefault="00A0527B" w:rsidP="00A0527B">
      <w:pPr>
        <w:numPr>
          <w:ilvl w:val="12"/>
          <w:numId w:val="0"/>
        </w:numPr>
        <w:tabs>
          <w:tab w:val="left" w:pos="-2268"/>
        </w:tabs>
        <w:suppressAutoHyphens/>
        <w:rPr>
          <w:spacing w:val="-3"/>
        </w:rPr>
      </w:pPr>
    </w:p>
    <w:p w14:paraId="1B35C8B2" w14:textId="430B7EB6" w:rsidR="00482A5F" w:rsidRPr="004068F6" w:rsidRDefault="00482A5F">
      <w:pPr>
        <w:numPr>
          <w:ilvl w:val="12"/>
          <w:numId w:val="0"/>
        </w:numPr>
        <w:tabs>
          <w:tab w:val="left" w:pos="-2268"/>
        </w:tabs>
        <w:suppressAutoHyphens/>
        <w:rPr>
          <w:spacing w:val="-3"/>
        </w:rPr>
      </w:pPr>
      <w:r w:rsidRPr="004068F6">
        <w:rPr>
          <w:spacing w:val="-3"/>
        </w:rPr>
        <w:t xml:space="preserve">El estudio hidrobiológico depende de las características propias del cuerpo de agua a ser analizado, </w:t>
      </w:r>
      <w:r w:rsidR="009A3489" w:rsidRPr="004068F6">
        <w:rPr>
          <w:spacing w:val="-3"/>
        </w:rPr>
        <w:t>d</w:t>
      </w:r>
      <w:r w:rsidRPr="004068F6">
        <w:rPr>
          <w:spacing w:val="-3"/>
        </w:rPr>
        <w:t>el tipo de sistema (lótico, léntico o marino)</w:t>
      </w:r>
      <w:r w:rsidR="009A3489" w:rsidRPr="004068F6">
        <w:rPr>
          <w:spacing w:val="-3"/>
        </w:rPr>
        <w:t xml:space="preserve"> y</w:t>
      </w:r>
      <w:r w:rsidRPr="004068F6">
        <w:rPr>
          <w:spacing w:val="-3"/>
        </w:rPr>
        <w:t xml:space="preserve"> </w:t>
      </w:r>
      <w:r w:rsidR="009A3489" w:rsidRPr="004068F6">
        <w:rPr>
          <w:spacing w:val="-3"/>
        </w:rPr>
        <w:t xml:space="preserve">de </w:t>
      </w:r>
      <w:r w:rsidRPr="004068F6">
        <w:rPr>
          <w:spacing w:val="-3"/>
        </w:rPr>
        <w:t xml:space="preserve">su profundidad y área (aplica para sistemas lénticos y marinos). Los </w:t>
      </w:r>
      <w:r w:rsidR="009A3489" w:rsidRPr="004068F6">
        <w:rPr>
          <w:spacing w:val="-3"/>
        </w:rPr>
        <w:t xml:space="preserve">lugares de los </w:t>
      </w:r>
      <w:r w:rsidRPr="004068F6">
        <w:rPr>
          <w:spacing w:val="-3"/>
        </w:rPr>
        <w:t xml:space="preserve">muestreos de las comunidades o ensambles hidrobiológicos deben corresponder con las estaciones de muestreo donde simultáneamente </w:t>
      </w:r>
      <w:r w:rsidR="009A3489" w:rsidRPr="004068F6">
        <w:rPr>
          <w:spacing w:val="-3"/>
        </w:rPr>
        <w:t xml:space="preserve">se haya realizado </w:t>
      </w:r>
      <w:r w:rsidRPr="004068F6">
        <w:rPr>
          <w:spacing w:val="-3"/>
        </w:rPr>
        <w:t>la caracterización fisicoquímica del agua</w:t>
      </w:r>
      <w:r w:rsidR="009A3489" w:rsidRPr="004068F6">
        <w:rPr>
          <w:spacing w:val="-3"/>
        </w:rPr>
        <w:t xml:space="preserve">; es necesario </w:t>
      </w:r>
      <w:r w:rsidRPr="004068F6">
        <w:rPr>
          <w:spacing w:val="-3"/>
        </w:rPr>
        <w:t>georreferenciar</w:t>
      </w:r>
      <w:r w:rsidR="009A3489" w:rsidRPr="004068F6">
        <w:rPr>
          <w:spacing w:val="-3"/>
        </w:rPr>
        <w:t xml:space="preserve"> tales lugares </w:t>
      </w:r>
      <w:r w:rsidRPr="004068F6">
        <w:rPr>
          <w:spacing w:val="-3"/>
        </w:rPr>
        <w:t xml:space="preserve">y </w:t>
      </w:r>
      <w:r w:rsidR="009B2FF5" w:rsidRPr="004068F6">
        <w:rPr>
          <w:spacing w:val="-3"/>
        </w:rPr>
        <w:t xml:space="preserve">demostrar </w:t>
      </w:r>
      <w:r w:rsidRPr="004068F6">
        <w:rPr>
          <w:spacing w:val="-3"/>
        </w:rPr>
        <w:t xml:space="preserve">su representatividad </w:t>
      </w:r>
      <w:r w:rsidRPr="004068F6">
        <w:rPr>
          <w:rFonts w:cs="Arial"/>
          <w:spacing w:val="-3"/>
        </w:rPr>
        <w:t>temporal</w:t>
      </w:r>
      <w:r w:rsidR="009B2FF5" w:rsidRPr="004068F6">
        <w:rPr>
          <w:rFonts w:cs="Arial"/>
          <w:spacing w:val="-3"/>
        </w:rPr>
        <w:t xml:space="preserve"> </w:t>
      </w:r>
      <w:r w:rsidRPr="004068F6">
        <w:rPr>
          <w:rFonts w:cs="Arial"/>
          <w:spacing w:val="-3"/>
        </w:rPr>
        <w:t xml:space="preserve">y </w:t>
      </w:r>
      <w:r w:rsidR="009B2FF5" w:rsidRPr="004068F6">
        <w:rPr>
          <w:rFonts w:cs="Arial"/>
          <w:spacing w:val="-3"/>
        </w:rPr>
        <w:t xml:space="preserve">de </w:t>
      </w:r>
      <w:r w:rsidRPr="004068F6">
        <w:rPr>
          <w:spacing w:val="-3"/>
        </w:rPr>
        <w:t xml:space="preserve">cobertura espacial en relación con los sitios </w:t>
      </w:r>
      <w:r w:rsidR="006B66C7">
        <w:rPr>
          <w:spacing w:val="-3"/>
        </w:rPr>
        <w:t xml:space="preserve">que </w:t>
      </w:r>
      <w:r w:rsidR="00AD089B">
        <w:rPr>
          <w:spacing w:val="-3"/>
        </w:rPr>
        <w:t xml:space="preserve">plantea </w:t>
      </w:r>
      <w:r w:rsidRPr="004068F6">
        <w:rPr>
          <w:spacing w:val="-3"/>
        </w:rPr>
        <w:t xml:space="preserve">intervenir el proyecto y </w:t>
      </w:r>
      <w:r w:rsidR="001E2027" w:rsidRPr="004068F6">
        <w:rPr>
          <w:spacing w:val="-3"/>
        </w:rPr>
        <w:t xml:space="preserve">con </w:t>
      </w:r>
      <w:r w:rsidRPr="004068F6">
        <w:rPr>
          <w:spacing w:val="-3"/>
        </w:rPr>
        <w:t>las actividades asociadas</w:t>
      </w:r>
      <w:r w:rsidRPr="004068F6">
        <w:rPr>
          <w:rFonts w:cs="Arial"/>
          <w:spacing w:val="-3"/>
        </w:rPr>
        <w:t xml:space="preserve">, </w:t>
      </w:r>
      <w:r w:rsidR="00CC19E2" w:rsidRPr="004068F6">
        <w:rPr>
          <w:rFonts w:cs="Arial"/>
          <w:spacing w:val="-3"/>
        </w:rPr>
        <w:t xml:space="preserve">lo que </w:t>
      </w:r>
      <w:r w:rsidRPr="004068F6">
        <w:rPr>
          <w:rFonts w:cs="Arial"/>
          <w:spacing w:val="-3"/>
        </w:rPr>
        <w:t>incluye</w:t>
      </w:r>
      <w:r w:rsidR="00CC19E2" w:rsidRPr="004068F6">
        <w:rPr>
          <w:rFonts w:cs="Arial"/>
          <w:spacing w:val="-3"/>
        </w:rPr>
        <w:t xml:space="preserve"> también</w:t>
      </w:r>
      <w:r w:rsidRPr="004068F6">
        <w:rPr>
          <w:rFonts w:cs="Arial"/>
          <w:spacing w:val="-3"/>
        </w:rPr>
        <w:t xml:space="preserve"> el uso y aprovechamiento de </w:t>
      </w:r>
      <w:r w:rsidRPr="005D3CF4">
        <w:rPr>
          <w:spacing w:val="-3"/>
        </w:rPr>
        <w:t>recursos.</w:t>
      </w:r>
      <w:r w:rsidR="00D5636F" w:rsidRPr="005D3CF4">
        <w:rPr>
          <w:spacing w:val="-3"/>
        </w:rPr>
        <w:t xml:space="preserve"> </w:t>
      </w:r>
      <w:r w:rsidR="00D5636F" w:rsidRPr="004068F6">
        <w:rPr>
          <w:spacing w:val="-3"/>
        </w:rPr>
        <w:t>Se debe incluir la descripción del método empl</w:t>
      </w:r>
      <w:r w:rsidR="0080307A" w:rsidRPr="004068F6">
        <w:rPr>
          <w:spacing w:val="-3"/>
        </w:rPr>
        <w:t>e</w:t>
      </w:r>
      <w:r w:rsidR="00D5636F" w:rsidRPr="004068F6">
        <w:rPr>
          <w:spacing w:val="-3"/>
        </w:rPr>
        <w:t>ado y su esfuerzo de muestreo por ecosistema analizado (léntico o lótico)</w:t>
      </w:r>
      <w:r w:rsidR="0027331C">
        <w:rPr>
          <w:spacing w:val="-3"/>
        </w:rPr>
        <w:t>,</w:t>
      </w:r>
      <w:r w:rsidR="00B84975">
        <w:rPr>
          <w:spacing w:val="-3"/>
        </w:rPr>
        <w:t xml:space="preserve"> </w:t>
      </w:r>
      <w:r w:rsidR="00B84975" w:rsidRPr="00B84975">
        <w:rPr>
          <w:spacing w:val="-3"/>
        </w:rPr>
        <w:t>integrando curvas de acumulación de especies</w:t>
      </w:r>
      <w:r w:rsidR="0027331C">
        <w:rPr>
          <w:spacing w:val="-3"/>
        </w:rPr>
        <w:t xml:space="preserve"> </w:t>
      </w:r>
      <w:r w:rsidR="00B84975" w:rsidRPr="00127BD4">
        <w:rPr>
          <w:spacing w:val="-3"/>
        </w:rPr>
        <w:t>o morfoespecies</w:t>
      </w:r>
      <w:r w:rsidR="0027331C">
        <w:rPr>
          <w:spacing w:val="-3"/>
        </w:rPr>
        <w:t xml:space="preserve"> </w:t>
      </w:r>
      <w:r w:rsidR="00B84975" w:rsidRPr="00127BD4">
        <w:rPr>
          <w:spacing w:val="-3"/>
        </w:rPr>
        <w:t>u otras</w:t>
      </w:r>
      <w:r w:rsidR="0027331C">
        <w:rPr>
          <w:spacing w:val="-3"/>
        </w:rPr>
        <w:t xml:space="preserve"> </w:t>
      </w:r>
      <w:r w:rsidR="00B84975" w:rsidRPr="00127BD4">
        <w:rPr>
          <w:spacing w:val="-3"/>
        </w:rPr>
        <w:t>técnicas. También pueden</w:t>
      </w:r>
      <w:r w:rsidR="00BF19FB">
        <w:rPr>
          <w:spacing w:val="-3"/>
        </w:rPr>
        <w:t xml:space="preserve"> </w:t>
      </w:r>
      <w:r w:rsidR="00B84975" w:rsidRPr="00127BD4">
        <w:rPr>
          <w:spacing w:val="-3"/>
        </w:rPr>
        <w:t>servir</w:t>
      </w:r>
      <w:r w:rsidR="00BF19FB">
        <w:rPr>
          <w:spacing w:val="-3"/>
        </w:rPr>
        <w:t xml:space="preserve"> </w:t>
      </w:r>
      <w:r w:rsidR="00B84975" w:rsidRPr="00127BD4">
        <w:rPr>
          <w:spacing w:val="-3"/>
        </w:rPr>
        <w:t>como referencia estudios o bibliografía</w:t>
      </w:r>
      <w:r w:rsidR="00BF19FB">
        <w:rPr>
          <w:spacing w:val="-3"/>
        </w:rPr>
        <w:t xml:space="preserve"> </w:t>
      </w:r>
      <w:r w:rsidR="00B84975" w:rsidRPr="00127BD4">
        <w:rPr>
          <w:spacing w:val="-3"/>
        </w:rPr>
        <w:t>que soporte</w:t>
      </w:r>
      <w:r w:rsidR="00BF19FB">
        <w:rPr>
          <w:spacing w:val="-3"/>
        </w:rPr>
        <w:t>n</w:t>
      </w:r>
      <w:r w:rsidR="00B84975" w:rsidRPr="00127BD4">
        <w:rPr>
          <w:spacing w:val="-3"/>
        </w:rPr>
        <w:t xml:space="preserve"> los métodos</w:t>
      </w:r>
      <w:r w:rsidR="00BF19FB">
        <w:rPr>
          <w:spacing w:val="-3"/>
        </w:rPr>
        <w:t xml:space="preserve"> </w:t>
      </w:r>
      <w:r w:rsidR="00B84975" w:rsidRPr="00127BD4">
        <w:rPr>
          <w:spacing w:val="-3"/>
        </w:rPr>
        <w:t xml:space="preserve">empleados </w:t>
      </w:r>
      <w:r w:rsidR="00B84975" w:rsidRPr="00B84975">
        <w:rPr>
          <w:spacing w:val="-3"/>
        </w:rPr>
        <w:t>con la representatividad de los muestreos por comunidad</w:t>
      </w:r>
      <w:r w:rsidR="00BF19FB">
        <w:rPr>
          <w:spacing w:val="-3"/>
        </w:rPr>
        <w:t>.</w:t>
      </w:r>
    </w:p>
    <w:p w14:paraId="796123B6" w14:textId="77777777" w:rsidR="00482A5F" w:rsidRPr="004068F6" w:rsidRDefault="00482A5F">
      <w:pPr>
        <w:numPr>
          <w:ilvl w:val="12"/>
          <w:numId w:val="0"/>
        </w:numPr>
        <w:tabs>
          <w:tab w:val="left" w:pos="-2268"/>
        </w:tabs>
        <w:suppressAutoHyphens/>
        <w:rPr>
          <w:spacing w:val="-3"/>
        </w:rPr>
      </w:pPr>
    </w:p>
    <w:p w14:paraId="1EA3EF29" w14:textId="22D6CFA2" w:rsidR="00482A5F" w:rsidRPr="004068F6" w:rsidRDefault="00482A5F" w:rsidP="00C86DA5">
      <w:pPr>
        <w:tabs>
          <w:tab w:val="left" w:pos="-2268"/>
        </w:tabs>
        <w:suppressAutoHyphens/>
        <w:rPr>
          <w:spacing w:val="-3"/>
        </w:rPr>
      </w:pPr>
      <w:r w:rsidRPr="004068F6">
        <w:rPr>
          <w:rFonts w:cs="Arial"/>
          <w:spacing w:val="-3"/>
        </w:rPr>
        <w:t>Asimismo</w:t>
      </w:r>
      <w:r w:rsidRPr="004068F6">
        <w:rPr>
          <w:spacing w:val="-3"/>
        </w:rPr>
        <w:t xml:space="preserve">, </w:t>
      </w:r>
      <w:r w:rsidR="009B2FF5" w:rsidRPr="004068F6">
        <w:rPr>
          <w:spacing w:val="-3"/>
        </w:rPr>
        <w:t xml:space="preserve">es necesario que para los lugares en los que se establezcan </w:t>
      </w:r>
      <w:r w:rsidRPr="004068F6">
        <w:rPr>
          <w:spacing w:val="-3"/>
        </w:rPr>
        <w:t>las estaciones de muestreo</w:t>
      </w:r>
      <w:r w:rsidR="009B2FF5" w:rsidRPr="004068F6">
        <w:rPr>
          <w:spacing w:val="-3"/>
        </w:rPr>
        <w:t xml:space="preserve"> se </w:t>
      </w:r>
      <w:r w:rsidRPr="004068F6">
        <w:rPr>
          <w:spacing w:val="-3"/>
        </w:rPr>
        <w:t>descri</w:t>
      </w:r>
      <w:r w:rsidR="009B2FF5" w:rsidRPr="004068F6">
        <w:rPr>
          <w:spacing w:val="-3"/>
        </w:rPr>
        <w:t xml:space="preserve">ban </w:t>
      </w:r>
      <w:r w:rsidRPr="004068F6">
        <w:rPr>
          <w:spacing w:val="-3"/>
        </w:rPr>
        <w:t>corrientes, oleaje y mareas, cobertura de sombra por parte de la vegetación riparia, presencia de lluvias antes o durante el muestreo, presencia de residuos sólidos, entre otros eventos que soporten la estructura y distribución de la biota acuática.</w:t>
      </w:r>
    </w:p>
    <w:p w14:paraId="121ABD0E" w14:textId="77777777" w:rsidR="00482A5F" w:rsidRPr="004068F6" w:rsidRDefault="00482A5F">
      <w:pPr>
        <w:numPr>
          <w:ilvl w:val="12"/>
          <w:numId w:val="0"/>
        </w:numPr>
        <w:tabs>
          <w:tab w:val="left" w:pos="-2268"/>
        </w:tabs>
        <w:suppressAutoHyphens/>
        <w:rPr>
          <w:spacing w:val="-3"/>
        </w:rPr>
      </w:pPr>
    </w:p>
    <w:p w14:paraId="26D38EAA" w14:textId="4BA33C18" w:rsidR="00482A5F" w:rsidRPr="004068F6" w:rsidRDefault="00482A5F" w:rsidP="00C86DA5">
      <w:pPr>
        <w:tabs>
          <w:tab w:val="left" w:pos="-2268"/>
        </w:tabs>
        <w:suppressAutoHyphens/>
        <w:rPr>
          <w:spacing w:val="-3"/>
        </w:rPr>
      </w:pPr>
      <w:r w:rsidRPr="004068F6">
        <w:rPr>
          <w:rFonts w:cs="Arial"/>
          <w:spacing w:val="-3"/>
        </w:rPr>
        <w:t>Para</w:t>
      </w:r>
      <w:r w:rsidRPr="004068F6">
        <w:rPr>
          <w:spacing w:val="-3"/>
        </w:rPr>
        <w:t xml:space="preserve"> evaluar recursos hidrobiológicos continentales, </w:t>
      </w:r>
      <w:r w:rsidR="00E675D9" w:rsidRPr="004068F6">
        <w:rPr>
          <w:spacing w:val="-3"/>
        </w:rPr>
        <w:t xml:space="preserve">es posible </w:t>
      </w:r>
      <w:r w:rsidR="009B2FF5" w:rsidRPr="004068F6">
        <w:rPr>
          <w:rFonts w:cs="Arial"/>
          <w:spacing w:val="-3"/>
        </w:rPr>
        <w:t xml:space="preserve">emplear los métodos establecidos en las </w:t>
      </w:r>
      <w:r w:rsidR="009B2FF5" w:rsidRPr="004068F6">
        <w:rPr>
          <w:spacing w:val="-3"/>
        </w:rPr>
        <w:t xml:space="preserve">versiones más </w:t>
      </w:r>
      <w:r w:rsidRPr="004068F6">
        <w:rPr>
          <w:spacing w:val="-3"/>
        </w:rPr>
        <w:t xml:space="preserve">actuales </w:t>
      </w:r>
      <w:r w:rsidR="009B2FF5" w:rsidRPr="004068F6">
        <w:rPr>
          <w:spacing w:val="-3"/>
        </w:rPr>
        <w:t>de</w:t>
      </w:r>
      <w:r w:rsidRPr="004068F6">
        <w:rPr>
          <w:spacing w:val="-3"/>
        </w:rPr>
        <w:t xml:space="preserve">l Standard Methods for the Examination </w:t>
      </w:r>
      <w:r w:rsidRPr="004068F6">
        <w:rPr>
          <w:spacing w:val="-3"/>
        </w:rPr>
        <w:lastRenderedPageBreak/>
        <w:t>of Water and Wastewater, el Manual de Métodos de Limnología (</w:t>
      </w:r>
      <w:r w:rsidR="009B2FF5" w:rsidRPr="004068F6">
        <w:rPr>
          <w:spacing w:val="-3"/>
        </w:rPr>
        <w:t xml:space="preserve">desarrollado por </w:t>
      </w:r>
      <w:r w:rsidRPr="004068F6">
        <w:rPr>
          <w:spacing w:val="-3"/>
        </w:rPr>
        <w:t>Rueda</w:t>
      </w:r>
      <w:r w:rsidR="009B2FF5" w:rsidRPr="004068F6">
        <w:rPr>
          <w:spacing w:val="-3"/>
        </w:rPr>
        <w:t xml:space="preserve"> en</w:t>
      </w:r>
      <w:r w:rsidRPr="004068F6">
        <w:rPr>
          <w:spacing w:val="-3"/>
        </w:rPr>
        <w:t xml:space="preserve"> 2002</w:t>
      </w:r>
      <w:r w:rsidRPr="004068F6">
        <w:rPr>
          <w:rFonts w:cs="Arial"/>
          <w:spacing w:val="-3"/>
        </w:rPr>
        <w:t xml:space="preserve">), y </w:t>
      </w:r>
      <w:r w:rsidR="009B2FF5" w:rsidRPr="004068F6">
        <w:rPr>
          <w:rFonts w:cs="Arial"/>
          <w:spacing w:val="-3"/>
        </w:rPr>
        <w:t>d</w:t>
      </w:r>
      <w:r w:rsidRPr="004068F6">
        <w:rPr>
          <w:rFonts w:cs="Arial"/>
          <w:spacing w:val="-3"/>
        </w:rPr>
        <w:t xml:space="preserve">el Protocolo de </w:t>
      </w:r>
      <w:r w:rsidR="00A10790" w:rsidRPr="004068F6">
        <w:rPr>
          <w:rFonts w:cs="Arial"/>
          <w:spacing w:val="-3"/>
        </w:rPr>
        <w:t xml:space="preserve">monitoreo de agua </w:t>
      </w:r>
      <w:r w:rsidR="002645AC" w:rsidRPr="004068F6">
        <w:rPr>
          <w:rFonts w:cs="Arial"/>
          <w:spacing w:val="-3"/>
        </w:rPr>
        <w:t>vigente</w:t>
      </w:r>
      <w:r w:rsidR="00A10790" w:rsidRPr="004068F6">
        <w:rPr>
          <w:rFonts w:cs="Arial"/>
          <w:spacing w:val="-3"/>
        </w:rPr>
        <w:t xml:space="preserve"> desarrollado por el Ideam</w:t>
      </w:r>
      <w:r w:rsidR="009B2FF5" w:rsidRPr="004068F6">
        <w:rPr>
          <w:rFonts w:cs="Arial"/>
          <w:spacing w:val="-3"/>
        </w:rPr>
        <w:t xml:space="preserve">. </w:t>
      </w:r>
      <w:r w:rsidRPr="004068F6">
        <w:rPr>
          <w:spacing w:val="-3"/>
        </w:rPr>
        <w:t xml:space="preserve">Para el muestreo de comunidades marinas </w:t>
      </w:r>
      <w:r w:rsidR="0071554D" w:rsidRPr="004068F6">
        <w:rPr>
          <w:spacing w:val="-3"/>
        </w:rPr>
        <w:t xml:space="preserve">es posible </w:t>
      </w:r>
      <w:r w:rsidRPr="004068F6">
        <w:rPr>
          <w:spacing w:val="-3"/>
        </w:rPr>
        <w:t xml:space="preserve">seguir los protocolos definidos por </w:t>
      </w:r>
      <w:r w:rsidRPr="004068F6">
        <w:rPr>
          <w:rFonts w:cs="Arial"/>
          <w:spacing w:val="-3"/>
        </w:rPr>
        <w:t xml:space="preserve">la RedCam del </w:t>
      </w:r>
      <w:r w:rsidR="00A92356" w:rsidRPr="004068F6">
        <w:rPr>
          <w:spacing w:val="-3"/>
        </w:rPr>
        <w:t>Invemar</w:t>
      </w:r>
      <w:r w:rsidR="00FE4070" w:rsidRPr="004068F6">
        <w:rPr>
          <w:spacing w:val="-3"/>
        </w:rPr>
        <w:t xml:space="preserve"> u otra</w:t>
      </w:r>
      <w:r w:rsidR="009B2FF5" w:rsidRPr="004068F6">
        <w:rPr>
          <w:spacing w:val="-3"/>
        </w:rPr>
        <w:t>s</w:t>
      </w:r>
      <w:r w:rsidR="00FE4070" w:rsidRPr="004068F6">
        <w:rPr>
          <w:spacing w:val="-3"/>
        </w:rPr>
        <w:t xml:space="preserve"> metodología</w:t>
      </w:r>
      <w:r w:rsidR="009B2FF5" w:rsidRPr="004068F6">
        <w:rPr>
          <w:spacing w:val="-3"/>
        </w:rPr>
        <w:t>s</w:t>
      </w:r>
      <w:r w:rsidR="00FE4070" w:rsidRPr="004068F6">
        <w:rPr>
          <w:spacing w:val="-3"/>
        </w:rPr>
        <w:t xml:space="preserve"> </w:t>
      </w:r>
      <w:r w:rsidR="001E2027" w:rsidRPr="004068F6">
        <w:rPr>
          <w:spacing w:val="-3"/>
        </w:rPr>
        <w:t xml:space="preserve">que sean </w:t>
      </w:r>
      <w:r w:rsidR="00FE4070" w:rsidRPr="004068F6">
        <w:rPr>
          <w:spacing w:val="-3"/>
        </w:rPr>
        <w:t xml:space="preserve">internacionalmente </w:t>
      </w:r>
      <w:r w:rsidR="009B2FF5" w:rsidRPr="004068F6">
        <w:rPr>
          <w:spacing w:val="-3"/>
        </w:rPr>
        <w:t>aceptadas</w:t>
      </w:r>
      <w:r w:rsidRPr="004068F6">
        <w:rPr>
          <w:rFonts w:cs="Arial"/>
          <w:spacing w:val="-3"/>
        </w:rPr>
        <w:t>.</w:t>
      </w:r>
    </w:p>
    <w:p w14:paraId="1D14DBAA" w14:textId="77777777" w:rsidR="00482A5F" w:rsidRPr="004068F6" w:rsidRDefault="00482A5F">
      <w:pPr>
        <w:numPr>
          <w:ilvl w:val="12"/>
          <w:numId w:val="0"/>
        </w:numPr>
        <w:tabs>
          <w:tab w:val="left" w:pos="-2268"/>
        </w:tabs>
        <w:suppressAutoHyphens/>
        <w:rPr>
          <w:spacing w:val="-3"/>
        </w:rPr>
      </w:pPr>
    </w:p>
    <w:p w14:paraId="2EBA55B7" w14:textId="534EBCF4" w:rsidR="00C474A5" w:rsidRPr="004068F6" w:rsidRDefault="000A0219">
      <w:pPr>
        <w:numPr>
          <w:ilvl w:val="12"/>
          <w:numId w:val="0"/>
        </w:numPr>
        <w:tabs>
          <w:tab w:val="left" w:pos="-2268"/>
        </w:tabs>
        <w:suppressAutoHyphens/>
        <w:rPr>
          <w:spacing w:val="-3"/>
        </w:rPr>
      </w:pPr>
      <w:r w:rsidRPr="004068F6">
        <w:rPr>
          <w:spacing w:val="-3"/>
        </w:rPr>
        <w:t xml:space="preserve">El número y la ubicación de las estaciones deben </w:t>
      </w:r>
      <w:r w:rsidR="001B33CA" w:rsidRPr="004068F6">
        <w:rPr>
          <w:spacing w:val="-3"/>
        </w:rPr>
        <w:t xml:space="preserve">permitir </w:t>
      </w:r>
      <w:r w:rsidRPr="004068F6">
        <w:rPr>
          <w:spacing w:val="-3"/>
        </w:rPr>
        <w:t xml:space="preserve">conocer el estado de las comunidades hidrobiológicas y </w:t>
      </w:r>
      <w:r w:rsidR="001B33CA" w:rsidRPr="004068F6">
        <w:rPr>
          <w:spacing w:val="-3"/>
        </w:rPr>
        <w:t xml:space="preserve">determinar </w:t>
      </w:r>
      <w:r w:rsidRPr="004068F6">
        <w:rPr>
          <w:spacing w:val="-3"/>
        </w:rPr>
        <w:t xml:space="preserve">y valorar los impactos asociados a las actividades del proyecto, </w:t>
      </w:r>
      <w:r w:rsidR="00F14AA6" w:rsidRPr="004068F6">
        <w:rPr>
          <w:spacing w:val="-3"/>
        </w:rPr>
        <w:t xml:space="preserve">por ejemplo, </w:t>
      </w:r>
      <w:r w:rsidRPr="004068F6">
        <w:rPr>
          <w:spacing w:val="-3"/>
        </w:rPr>
        <w:t>descargas de vertimientos, ocupaciones de cauce</w:t>
      </w:r>
      <w:r w:rsidR="001B33CA" w:rsidRPr="004068F6">
        <w:rPr>
          <w:spacing w:val="-3"/>
        </w:rPr>
        <w:t xml:space="preserve"> o</w:t>
      </w:r>
      <w:r w:rsidRPr="004068F6">
        <w:rPr>
          <w:spacing w:val="-3"/>
        </w:rPr>
        <w:t xml:space="preserve"> realineamientos. </w:t>
      </w:r>
      <w:r w:rsidR="00F00374" w:rsidRPr="004068F6">
        <w:rPr>
          <w:spacing w:val="-3"/>
        </w:rPr>
        <w:t>Con el fin de abarcar su extensión, e</w:t>
      </w:r>
      <w:r w:rsidRPr="004068F6">
        <w:rPr>
          <w:spacing w:val="-3"/>
        </w:rPr>
        <w:t xml:space="preserve">sto </w:t>
      </w:r>
      <w:r w:rsidR="00F14AA6" w:rsidRPr="004068F6">
        <w:rPr>
          <w:spacing w:val="-3"/>
        </w:rPr>
        <w:t xml:space="preserve">puede </w:t>
      </w:r>
      <w:r w:rsidRPr="004068F6">
        <w:rPr>
          <w:spacing w:val="-3"/>
        </w:rPr>
        <w:t>requerir la necesidad de establecer varios puntos de muestreo sobre un mismo cuerpo de agua y considera</w:t>
      </w:r>
      <w:r w:rsidR="00581D56" w:rsidRPr="004068F6">
        <w:rPr>
          <w:spacing w:val="-3"/>
        </w:rPr>
        <w:t xml:space="preserve">r </w:t>
      </w:r>
      <w:r w:rsidRPr="004068F6">
        <w:rPr>
          <w:spacing w:val="-3"/>
        </w:rPr>
        <w:t>la variación en la columna de agua el número de microhábitats (rápidos, remansos, hojarasca), tipo de riberas, tipo de sedimentos, entre otr</w:t>
      </w:r>
      <w:r w:rsidR="0000302F" w:rsidRPr="004068F6">
        <w:rPr>
          <w:spacing w:val="-3"/>
        </w:rPr>
        <w:t>a</w:t>
      </w:r>
      <w:r w:rsidRPr="004068F6">
        <w:rPr>
          <w:spacing w:val="-3"/>
        </w:rPr>
        <w:t>s</w:t>
      </w:r>
      <w:r w:rsidR="0000302F" w:rsidRPr="004068F6">
        <w:rPr>
          <w:spacing w:val="-3"/>
        </w:rPr>
        <w:t xml:space="preserve"> variables</w:t>
      </w:r>
      <w:r w:rsidRPr="004068F6">
        <w:rPr>
          <w:spacing w:val="-3"/>
        </w:rPr>
        <w:t xml:space="preserve">. </w:t>
      </w:r>
    </w:p>
    <w:p w14:paraId="3E5079C2" w14:textId="77777777" w:rsidR="00C474A5" w:rsidRPr="004068F6" w:rsidRDefault="00C474A5">
      <w:pPr>
        <w:numPr>
          <w:ilvl w:val="12"/>
          <w:numId w:val="0"/>
        </w:numPr>
        <w:tabs>
          <w:tab w:val="left" w:pos="-2268"/>
        </w:tabs>
        <w:suppressAutoHyphens/>
        <w:rPr>
          <w:spacing w:val="-3"/>
        </w:rPr>
      </w:pPr>
    </w:p>
    <w:p w14:paraId="443BBC4F" w14:textId="161853B8" w:rsidR="00482A5F" w:rsidRPr="004068F6" w:rsidRDefault="00F454DC">
      <w:pPr>
        <w:numPr>
          <w:ilvl w:val="12"/>
          <w:numId w:val="0"/>
        </w:numPr>
        <w:tabs>
          <w:tab w:val="left" w:pos="-2268"/>
        </w:tabs>
        <w:suppressAutoHyphens/>
        <w:rPr>
          <w:spacing w:val="-3"/>
        </w:rPr>
      </w:pPr>
      <w:r w:rsidRPr="004068F6">
        <w:rPr>
          <w:spacing w:val="-3"/>
        </w:rPr>
        <w:t>E</w:t>
      </w:r>
      <w:r w:rsidR="00482A5F" w:rsidRPr="004068F6">
        <w:rPr>
          <w:spacing w:val="-3"/>
        </w:rPr>
        <w:t xml:space="preserve">s preciso </w:t>
      </w:r>
      <w:r w:rsidRPr="004068F6">
        <w:rPr>
          <w:spacing w:val="-3"/>
        </w:rPr>
        <w:t xml:space="preserve">que para el establecimiento de las </w:t>
      </w:r>
      <w:r w:rsidR="00482A5F" w:rsidRPr="004068F6">
        <w:rPr>
          <w:spacing w:val="-3"/>
        </w:rPr>
        <w:t>estaciones de muestreo</w:t>
      </w:r>
      <w:r w:rsidRPr="004068F6">
        <w:rPr>
          <w:spacing w:val="-3"/>
        </w:rPr>
        <w:t xml:space="preserve"> (</w:t>
      </w:r>
      <w:r w:rsidR="00FA702F" w:rsidRPr="004068F6">
        <w:rPr>
          <w:spacing w:val="-3"/>
        </w:rPr>
        <w:t>mediante las cuales debe ser posible conocer la variabilidad de línea base del ecosistema</w:t>
      </w:r>
      <w:r w:rsidRPr="004068F6">
        <w:rPr>
          <w:spacing w:val="-3"/>
        </w:rPr>
        <w:t>),</w:t>
      </w:r>
      <w:r w:rsidR="00482A5F" w:rsidRPr="004068F6">
        <w:rPr>
          <w:spacing w:val="-3"/>
        </w:rPr>
        <w:t xml:space="preserve"> </w:t>
      </w:r>
      <w:r w:rsidRPr="004068F6">
        <w:rPr>
          <w:spacing w:val="-3"/>
        </w:rPr>
        <w:t xml:space="preserve">se prevea </w:t>
      </w:r>
      <w:r w:rsidR="00482A5F" w:rsidRPr="004068F6">
        <w:rPr>
          <w:spacing w:val="-3"/>
        </w:rPr>
        <w:t xml:space="preserve">que </w:t>
      </w:r>
      <w:r w:rsidRPr="004068F6">
        <w:rPr>
          <w:spacing w:val="-3"/>
        </w:rPr>
        <w:t xml:space="preserve">éstas también deben permitir el monitoreo de las condiciones ambientales </w:t>
      </w:r>
      <w:r w:rsidR="00482A5F" w:rsidRPr="004068F6">
        <w:rPr>
          <w:rFonts w:cs="Arial"/>
          <w:spacing w:val="-3"/>
        </w:rPr>
        <w:t xml:space="preserve">durante </w:t>
      </w:r>
      <w:r w:rsidR="008D4071" w:rsidRPr="004068F6">
        <w:rPr>
          <w:rFonts w:cs="Arial"/>
          <w:spacing w:val="-3"/>
        </w:rPr>
        <w:t>la ejecución del proyecto, obra o actividad y para ello, se deben tener en cuenta los lugares en los que los ensamblajes y composición de las comunidades se verían impactados.</w:t>
      </w:r>
      <w:r w:rsidR="00482A5F" w:rsidRPr="004068F6">
        <w:rPr>
          <w:spacing w:val="-3"/>
        </w:rPr>
        <w:t xml:space="preserve"> Todo lo anterior cuidando que el diseño muestral no se vea afectado por fenómenos de pseudoreplicación como los descritos por </w:t>
      </w:r>
      <w:bookmarkStart w:id="2915" w:name="_Hlk149109881"/>
      <w:r w:rsidR="00482A5F" w:rsidRPr="004068F6">
        <w:rPr>
          <w:spacing w:val="-3"/>
        </w:rPr>
        <w:t>Hurlbert (1984)</w:t>
      </w:r>
      <w:bookmarkEnd w:id="2915"/>
      <w:r w:rsidR="00482A5F" w:rsidRPr="004068F6">
        <w:rPr>
          <w:spacing w:val="-3"/>
        </w:rPr>
        <w:t>.</w:t>
      </w:r>
    </w:p>
    <w:p w14:paraId="42B3FB57" w14:textId="77777777" w:rsidR="00482A5F" w:rsidRPr="004068F6" w:rsidRDefault="00482A5F">
      <w:pPr>
        <w:numPr>
          <w:ilvl w:val="12"/>
          <w:numId w:val="0"/>
        </w:numPr>
        <w:tabs>
          <w:tab w:val="left" w:pos="-2268"/>
        </w:tabs>
        <w:suppressAutoHyphens/>
        <w:rPr>
          <w:spacing w:val="-3"/>
        </w:rPr>
      </w:pPr>
    </w:p>
    <w:p w14:paraId="29F5F70E" w14:textId="50B9EDB0" w:rsidR="00482A5F" w:rsidRPr="004068F6" w:rsidRDefault="00974852">
      <w:pPr>
        <w:numPr>
          <w:ilvl w:val="12"/>
          <w:numId w:val="0"/>
        </w:numPr>
        <w:tabs>
          <w:tab w:val="left" w:pos="-2268"/>
        </w:tabs>
        <w:suppressAutoHyphens/>
        <w:rPr>
          <w:spacing w:val="-3"/>
        </w:rPr>
      </w:pPr>
      <w:r w:rsidRPr="004068F6">
        <w:rPr>
          <w:spacing w:val="-3"/>
        </w:rPr>
        <w:t xml:space="preserve">Los muestreos para la caracterización </w:t>
      </w:r>
      <w:r w:rsidR="00AB356B" w:rsidRPr="004068F6">
        <w:rPr>
          <w:spacing w:val="-3"/>
        </w:rPr>
        <w:t xml:space="preserve">de </w:t>
      </w:r>
      <w:r w:rsidRPr="004068F6">
        <w:rPr>
          <w:spacing w:val="-3"/>
        </w:rPr>
        <w:t xml:space="preserve">ecosistemas </w:t>
      </w:r>
      <w:r w:rsidR="00E84F52" w:rsidRPr="004068F6">
        <w:rPr>
          <w:spacing w:val="-3"/>
        </w:rPr>
        <w:t>marino-costeros</w:t>
      </w:r>
      <w:r w:rsidRPr="004068F6">
        <w:rPr>
          <w:spacing w:val="-3"/>
        </w:rPr>
        <w:t xml:space="preserve"> deben considerar al menos dos (2) periodos climáticos de a</w:t>
      </w:r>
      <w:r w:rsidR="00DD12CF" w:rsidRPr="004068F6">
        <w:rPr>
          <w:spacing w:val="-3"/>
        </w:rPr>
        <w:t>c</w:t>
      </w:r>
      <w:r w:rsidRPr="004068F6">
        <w:rPr>
          <w:spacing w:val="-3"/>
        </w:rPr>
        <w:t xml:space="preserve">uerdo con la temporalidad establecida para el componente </w:t>
      </w:r>
      <w:r w:rsidR="00E61040" w:rsidRPr="004068F6">
        <w:rPr>
          <w:spacing w:val="-3"/>
        </w:rPr>
        <w:t>h</w:t>
      </w:r>
      <w:r w:rsidRPr="004068F6">
        <w:rPr>
          <w:spacing w:val="-3"/>
        </w:rPr>
        <w:t>idrológico (</w:t>
      </w:r>
      <w:r w:rsidR="00DD12CF" w:rsidRPr="004068F6">
        <w:rPr>
          <w:spacing w:val="-3"/>
        </w:rPr>
        <w:t>c</w:t>
      </w:r>
      <w:r w:rsidRPr="004068F6">
        <w:rPr>
          <w:spacing w:val="-3"/>
        </w:rPr>
        <w:t>alidad de agua), describiendo dichos periodos y señalando claramente las fechas en las que se realizaron los muestreos.</w:t>
      </w:r>
      <w:r w:rsidR="0056105F" w:rsidRPr="004068F6">
        <w:rPr>
          <w:spacing w:val="-3"/>
        </w:rPr>
        <w:t xml:space="preserve"> Para ecosistemas </w:t>
      </w:r>
      <w:r w:rsidR="00DD12CF" w:rsidRPr="004068F6">
        <w:rPr>
          <w:spacing w:val="-3"/>
        </w:rPr>
        <w:t xml:space="preserve">oceánicos </w:t>
      </w:r>
      <w:r w:rsidR="0056105F" w:rsidRPr="004068F6">
        <w:rPr>
          <w:spacing w:val="-3"/>
        </w:rPr>
        <w:t xml:space="preserve">se </w:t>
      </w:r>
      <w:r w:rsidR="00DD12CF" w:rsidRPr="004068F6">
        <w:rPr>
          <w:spacing w:val="-3"/>
        </w:rPr>
        <w:t xml:space="preserve">puede </w:t>
      </w:r>
      <w:r w:rsidR="0056105F" w:rsidRPr="004068F6">
        <w:rPr>
          <w:spacing w:val="-3"/>
        </w:rPr>
        <w:t>realizar un solo muestreo, siempre que se complemente con información secundaria y se justifique la representatividad de los datos en función de la estabilidad oceanográfica del área</w:t>
      </w:r>
      <w:r w:rsidR="00482A5F" w:rsidRPr="004068F6">
        <w:rPr>
          <w:spacing w:val="-3"/>
        </w:rPr>
        <w:t>.</w:t>
      </w:r>
    </w:p>
    <w:p w14:paraId="348D4B5D" w14:textId="79917930" w:rsidR="00654B0F" w:rsidRPr="004068F6" w:rsidRDefault="00654B0F" w:rsidP="00C86DA5">
      <w:pPr>
        <w:overflowPunct/>
        <w:autoSpaceDE/>
        <w:autoSpaceDN/>
        <w:adjustRightInd/>
        <w:jc w:val="left"/>
        <w:textAlignment w:val="auto"/>
        <w:rPr>
          <w:spacing w:val="-3"/>
        </w:rPr>
      </w:pPr>
    </w:p>
    <w:p w14:paraId="74D9EA42" w14:textId="4FE58E34" w:rsidR="00482A5F" w:rsidRPr="004068F6" w:rsidRDefault="00482A5F">
      <w:pPr>
        <w:numPr>
          <w:ilvl w:val="12"/>
          <w:numId w:val="0"/>
        </w:numPr>
        <w:tabs>
          <w:tab w:val="left" w:pos="-2268"/>
        </w:tabs>
        <w:suppressAutoHyphens/>
        <w:rPr>
          <w:spacing w:val="-3"/>
        </w:rPr>
      </w:pPr>
      <w:r w:rsidRPr="004068F6">
        <w:rPr>
          <w:spacing w:val="-3"/>
        </w:rPr>
        <w:t xml:space="preserve">A continuación, se presentan consideraciones generales de </w:t>
      </w:r>
      <w:r w:rsidRPr="004068F6">
        <w:rPr>
          <w:rFonts w:cs="Arial"/>
          <w:spacing w:val="-3"/>
        </w:rPr>
        <w:t xml:space="preserve">la </w:t>
      </w:r>
      <w:r w:rsidRPr="004068F6">
        <w:rPr>
          <w:spacing w:val="-3"/>
        </w:rPr>
        <w:t>metodología para cada ensamble hidrobiológico:</w:t>
      </w:r>
    </w:p>
    <w:p w14:paraId="66FCCF40" w14:textId="77777777" w:rsidR="00482A5F" w:rsidRPr="004068F6" w:rsidRDefault="00482A5F">
      <w:pPr>
        <w:numPr>
          <w:ilvl w:val="12"/>
          <w:numId w:val="0"/>
        </w:numPr>
        <w:tabs>
          <w:tab w:val="left" w:pos="-2268"/>
        </w:tabs>
        <w:suppressAutoHyphens/>
        <w:rPr>
          <w:spacing w:val="-3"/>
        </w:rPr>
      </w:pPr>
      <w:bookmarkStart w:id="2916" w:name="_Toc405366838"/>
      <w:bookmarkStart w:id="2917" w:name="_Toc405372385"/>
    </w:p>
    <w:p w14:paraId="6D13A8C6" w14:textId="15F35A1D" w:rsidR="00FA702F" w:rsidRPr="004068F6" w:rsidRDefault="00482A5F" w:rsidP="00977C86">
      <w:pPr>
        <w:pStyle w:val="Prrafodelista"/>
        <w:numPr>
          <w:ilvl w:val="0"/>
          <w:numId w:val="85"/>
        </w:numPr>
        <w:tabs>
          <w:tab w:val="left" w:pos="-2268"/>
        </w:tabs>
        <w:suppressAutoHyphens/>
        <w:ind w:left="567" w:hanging="567"/>
        <w:rPr>
          <w:rFonts w:cs="Arial"/>
          <w:spacing w:val="-3"/>
          <w:lang w:val="es-CO"/>
        </w:rPr>
      </w:pPr>
      <w:r w:rsidRPr="004068F6">
        <w:rPr>
          <w:rFonts w:cs="Arial"/>
          <w:spacing w:val="-3"/>
          <w:u w:val="single"/>
          <w:lang w:val="es-CO"/>
        </w:rPr>
        <w:t>Plancton (fitoplancton, zooplancton e ictioplancton):</w:t>
      </w:r>
      <w:r w:rsidRPr="004068F6">
        <w:rPr>
          <w:rFonts w:cs="Arial"/>
          <w:spacing w:val="-3"/>
          <w:lang w:val="es-CO"/>
        </w:rPr>
        <w:t xml:space="preserve"> las muestras cualitativas y cuantitativas </w:t>
      </w:r>
      <w:r w:rsidR="00FA702F" w:rsidRPr="004068F6">
        <w:rPr>
          <w:rFonts w:cs="Arial"/>
          <w:spacing w:val="-3"/>
          <w:lang w:val="es-CO"/>
        </w:rPr>
        <w:t xml:space="preserve">de </w:t>
      </w:r>
      <w:r w:rsidR="00853600" w:rsidRPr="004068F6">
        <w:rPr>
          <w:rFonts w:cs="Arial"/>
          <w:spacing w:val="-3"/>
          <w:lang w:val="es-CO"/>
        </w:rPr>
        <w:t xml:space="preserve">fitoplancton y zooplancton </w:t>
      </w:r>
      <w:r w:rsidR="001867DC" w:rsidRPr="004068F6">
        <w:rPr>
          <w:rFonts w:cs="Arial"/>
          <w:spacing w:val="-3"/>
          <w:lang w:val="es-CO"/>
        </w:rPr>
        <w:t xml:space="preserve">continental </w:t>
      </w:r>
      <w:r w:rsidR="00853600" w:rsidRPr="004068F6">
        <w:rPr>
          <w:rFonts w:cs="Arial"/>
          <w:spacing w:val="-3"/>
          <w:lang w:val="es-CO"/>
        </w:rPr>
        <w:t xml:space="preserve">pueden tomarse por medio de filtrado </w:t>
      </w:r>
      <w:r w:rsidRPr="004068F6">
        <w:rPr>
          <w:rFonts w:cs="Arial"/>
          <w:spacing w:val="-3"/>
          <w:lang w:val="es-CO"/>
        </w:rPr>
        <w:t xml:space="preserve">con redes cuyos ojos de malla se encuentran entre 11 y </w:t>
      </w:r>
      <w:r w:rsidR="00720741" w:rsidRPr="004068F6">
        <w:rPr>
          <w:rFonts w:cs="Arial"/>
          <w:spacing w:val="-3"/>
          <w:lang w:val="es-CO"/>
        </w:rPr>
        <w:t>3</w:t>
      </w:r>
      <w:r w:rsidRPr="004068F6">
        <w:rPr>
          <w:rFonts w:cs="Arial"/>
          <w:spacing w:val="-3"/>
          <w:lang w:val="es-CO"/>
        </w:rPr>
        <w:t>5 micras para fitoplancton</w:t>
      </w:r>
      <w:r w:rsidR="00FA702F" w:rsidRPr="004068F6">
        <w:rPr>
          <w:rFonts w:cs="Arial"/>
          <w:spacing w:val="-3"/>
          <w:lang w:val="es-CO"/>
        </w:rPr>
        <w:t>,</w:t>
      </w:r>
      <w:r w:rsidRPr="004068F6">
        <w:rPr>
          <w:rFonts w:cs="Arial"/>
          <w:spacing w:val="-3"/>
          <w:lang w:val="es-CO"/>
        </w:rPr>
        <w:t xml:space="preserve"> y entre </w:t>
      </w:r>
      <w:r w:rsidR="003D6D93" w:rsidRPr="004068F6">
        <w:rPr>
          <w:rFonts w:cs="Arial"/>
          <w:spacing w:val="-3"/>
          <w:lang w:val="es-CO"/>
        </w:rPr>
        <w:t>20</w:t>
      </w:r>
      <w:r w:rsidRPr="004068F6">
        <w:rPr>
          <w:rFonts w:cs="Arial"/>
          <w:spacing w:val="-3"/>
          <w:lang w:val="es-CO"/>
        </w:rPr>
        <w:t xml:space="preserve"> y 55 micras para zooplancton</w:t>
      </w:r>
      <w:r w:rsidR="00CC19E2" w:rsidRPr="004068F6">
        <w:rPr>
          <w:rFonts w:cs="Arial"/>
          <w:spacing w:val="-3"/>
          <w:lang w:val="es-CO"/>
        </w:rPr>
        <w:t>;</w:t>
      </w:r>
      <w:r w:rsidRPr="004068F6">
        <w:rPr>
          <w:rFonts w:cs="Arial"/>
          <w:spacing w:val="-3"/>
          <w:lang w:val="es-CO"/>
        </w:rPr>
        <w:t xml:space="preserve"> </w:t>
      </w:r>
      <w:r w:rsidR="00CC19E2" w:rsidRPr="004068F6">
        <w:rPr>
          <w:rFonts w:cs="Arial"/>
          <w:spacing w:val="-3"/>
          <w:lang w:val="es-CO"/>
        </w:rPr>
        <w:t>a</w:t>
      </w:r>
      <w:r w:rsidR="00853600" w:rsidRPr="004068F6">
        <w:rPr>
          <w:rFonts w:cs="Arial"/>
          <w:spacing w:val="-3"/>
          <w:lang w:val="es-CO"/>
        </w:rPr>
        <w:t>dicionalmente, se pueden emplear muestreadores tipo botella cuando se requiera hacer muestreos que impliquen la columna de agua. Para el caso de ictioplancton la toma de muestra se</w:t>
      </w:r>
      <w:r w:rsidR="00FA702F" w:rsidRPr="004068F6">
        <w:rPr>
          <w:rFonts w:cs="Arial"/>
          <w:spacing w:val="-3"/>
          <w:lang w:val="es-CO"/>
        </w:rPr>
        <w:t xml:space="preserve"> </w:t>
      </w:r>
      <w:r w:rsidR="00D478C0" w:rsidRPr="004068F6">
        <w:rPr>
          <w:rFonts w:cs="Arial"/>
          <w:spacing w:val="-3"/>
          <w:lang w:val="es-CO"/>
        </w:rPr>
        <w:t xml:space="preserve">puede </w:t>
      </w:r>
      <w:r w:rsidR="00853600" w:rsidRPr="004068F6">
        <w:rPr>
          <w:rFonts w:cs="Arial"/>
          <w:spacing w:val="-3"/>
          <w:lang w:val="es-CO"/>
        </w:rPr>
        <w:t>realiza</w:t>
      </w:r>
      <w:r w:rsidR="00FA702F" w:rsidRPr="004068F6">
        <w:rPr>
          <w:rFonts w:cs="Arial"/>
          <w:spacing w:val="-3"/>
          <w:lang w:val="es-CO"/>
        </w:rPr>
        <w:t>r</w:t>
      </w:r>
      <w:r w:rsidR="00853600" w:rsidRPr="004068F6">
        <w:rPr>
          <w:rFonts w:cs="Arial"/>
          <w:spacing w:val="-3"/>
          <w:lang w:val="es-CO"/>
        </w:rPr>
        <w:t xml:space="preserve"> por medio de redes con ojo de malla entre </w:t>
      </w:r>
      <w:r w:rsidR="008E362E" w:rsidRPr="004068F6">
        <w:rPr>
          <w:rFonts w:cs="Arial"/>
          <w:spacing w:val="-3"/>
          <w:lang w:val="es-CO"/>
        </w:rPr>
        <w:t>3</w:t>
      </w:r>
      <w:r w:rsidR="00853600" w:rsidRPr="004068F6">
        <w:rPr>
          <w:rFonts w:cs="Arial"/>
          <w:spacing w:val="-3"/>
          <w:lang w:val="es-CO"/>
        </w:rPr>
        <w:t xml:space="preserve">00 a 500 micras con flujometro acoplado. </w:t>
      </w:r>
      <w:r w:rsidRPr="004068F6">
        <w:rPr>
          <w:rFonts w:cs="Arial"/>
          <w:spacing w:val="-3"/>
          <w:lang w:val="es-CO"/>
        </w:rPr>
        <w:t xml:space="preserve">Para el plancton marino se recomienda usar redes con ojos de malla de 20 micras para el análisis </w:t>
      </w:r>
      <w:r w:rsidRPr="004068F6">
        <w:rPr>
          <w:rFonts w:cs="Arial"/>
          <w:spacing w:val="-3"/>
          <w:lang w:val="es-CO"/>
        </w:rPr>
        <w:lastRenderedPageBreak/>
        <w:t>cualitativo del fitoplancton</w:t>
      </w:r>
      <w:r w:rsidR="00FA702F" w:rsidRPr="004068F6">
        <w:rPr>
          <w:rFonts w:cs="Arial"/>
          <w:spacing w:val="-3"/>
          <w:lang w:val="es-CO"/>
        </w:rPr>
        <w:t>,</w:t>
      </w:r>
      <w:r w:rsidRPr="004068F6">
        <w:rPr>
          <w:rFonts w:cs="Arial"/>
          <w:spacing w:val="-3"/>
          <w:lang w:val="es-CO"/>
        </w:rPr>
        <w:t xml:space="preserve"> y botella Niskin (entre 2 y 10 litros dependiendo la profundidad del área) para el análisis cuantitativo.</w:t>
      </w:r>
    </w:p>
    <w:p w14:paraId="4C18EA8D" w14:textId="77777777" w:rsidR="00FA702F" w:rsidRPr="004068F6" w:rsidRDefault="00FA702F" w:rsidP="009420F5">
      <w:pPr>
        <w:tabs>
          <w:tab w:val="left" w:pos="-2268"/>
        </w:tabs>
        <w:suppressAutoHyphens/>
        <w:rPr>
          <w:rFonts w:cs="Arial"/>
          <w:spacing w:val="-3"/>
        </w:rPr>
      </w:pPr>
    </w:p>
    <w:p w14:paraId="0BA7AC09" w14:textId="33D4C6B4" w:rsidR="00482A5F" w:rsidRPr="004068F6" w:rsidRDefault="00FA702F" w:rsidP="009420F5">
      <w:pPr>
        <w:pStyle w:val="Prrafodelista"/>
        <w:tabs>
          <w:tab w:val="left" w:pos="-2268"/>
        </w:tabs>
        <w:suppressAutoHyphens/>
        <w:ind w:left="567"/>
        <w:rPr>
          <w:rFonts w:cs="Arial"/>
          <w:spacing w:val="-3"/>
          <w:lang w:val="es-CO"/>
        </w:rPr>
      </w:pPr>
      <w:r w:rsidRPr="004068F6">
        <w:rPr>
          <w:rFonts w:cs="Arial"/>
          <w:spacing w:val="-3"/>
          <w:lang w:val="es-CO"/>
        </w:rPr>
        <w:t xml:space="preserve">Para </w:t>
      </w:r>
      <w:r w:rsidR="00482A5F" w:rsidRPr="004068F6">
        <w:rPr>
          <w:rFonts w:cs="Arial"/>
          <w:spacing w:val="-3"/>
          <w:lang w:val="es-CO"/>
        </w:rPr>
        <w:t xml:space="preserve">la caracterización del zooplancton </w:t>
      </w:r>
      <w:r w:rsidR="00247453" w:rsidRPr="004068F6">
        <w:rPr>
          <w:rFonts w:cs="Arial"/>
          <w:spacing w:val="-3"/>
          <w:lang w:val="es-CO"/>
        </w:rPr>
        <w:t xml:space="preserve">marino </w:t>
      </w:r>
      <w:r w:rsidRPr="004068F6">
        <w:rPr>
          <w:rFonts w:cs="Arial"/>
          <w:spacing w:val="-3"/>
          <w:lang w:val="es-CO"/>
        </w:rPr>
        <w:t xml:space="preserve">es posible emplear </w:t>
      </w:r>
      <w:r w:rsidR="00482A5F" w:rsidRPr="004068F6">
        <w:rPr>
          <w:rFonts w:cs="Arial"/>
          <w:spacing w:val="-3"/>
          <w:lang w:val="es-CO"/>
        </w:rPr>
        <w:t>redes de 200 micras con flujómetro para su cuantificación</w:t>
      </w:r>
      <w:r w:rsidRPr="004068F6">
        <w:rPr>
          <w:rFonts w:cs="Arial"/>
          <w:spacing w:val="-3"/>
          <w:lang w:val="es-CO"/>
        </w:rPr>
        <w:t>;</w:t>
      </w:r>
      <w:r w:rsidR="00482A5F" w:rsidRPr="004068F6">
        <w:rPr>
          <w:rFonts w:cs="Arial"/>
          <w:spacing w:val="-3"/>
          <w:lang w:val="es-CO"/>
        </w:rPr>
        <w:t xml:space="preserve"> </w:t>
      </w:r>
      <w:r w:rsidRPr="004068F6">
        <w:rPr>
          <w:rFonts w:cs="Arial"/>
          <w:spacing w:val="-3"/>
          <w:lang w:val="es-CO"/>
        </w:rPr>
        <w:t>p</w:t>
      </w:r>
      <w:r w:rsidR="00482A5F" w:rsidRPr="004068F6">
        <w:rPr>
          <w:rFonts w:cs="Arial"/>
          <w:spacing w:val="-3"/>
          <w:lang w:val="es-CO"/>
        </w:rPr>
        <w:t>ara la caracterización del ictoplancton</w:t>
      </w:r>
      <w:r w:rsidR="00AF67BD" w:rsidRPr="004068F6">
        <w:rPr>
          <w:rFonts w:cs="Arial"/>
          <w:spacing w:val="-3"/>
          <w:lang w:val="es-CO"/>
        </w:rPr>
        <w:t xml:space="preserve"> marino</w:t>
      </w:r>
      <w:r w:rsidRPr="004068F6">
        <w:rPr>
          <w:rFonts w:cs="Arial"/>
          <w:spacing w:val="-3"/>
          <w:lang w:val="es-CO"/>
        </w:rPr>
        <w:t>, es posible utilizar</w:t>
      </w:r>
      <w:r w:rsidR="00482A5F" w:rsidRPr="004068F6">
        <w:rPr>
          <w:rFonts w:cs="Arial"/>
          <w:spacing w:val="-3"/>
          <w:lang w:val="es-CO"/>
        </w:rPr>
        <w:t xml:space="preserve"> redes de </w:t>
      </w:r>
      <w:r w:rsidR="008F312F" w:rsidRPr="004068F6">
        <w:rPr>
          <w:rFonts w:cs="Arial"/>
          <w:spacing w:val="-3"/>
          <w:lang w:val="es-CO"/>
        </w:rPr>
        <w:t xml:space="preserve">300 y </w:t>
      </w:r>
      <w:r w:rsidR="00482A5F" w:rsidRPr="004068F6">
        <w:rPr>
          <w:rFonts w:cs="Arial"/>
          <w:spacing w:val="-3"/>
          <w:lang w:val="es-CO"/>
        </w:rPr>
        <w:t xml:space="preserve">500 micras con flujómetro. El uso de redes se hace </w:t>
      </w:r>
      <w:r w:rsidRPr="004068F6">
        <w:rPr>
          <w:rFonts w:cs="Arial"/>
          <w:spacing w:val="-3"/>
          <w:lang w:val="es-CO"/>
        </w:rPr>
        <w:t xml:space="preserve">desde </w:t>
      </w:r>
      <w:r w:rsidR="00B517F0" w:rsidRPr="004068F6">
        <w:rPr>
          <w:rFonts w:cs="Arial"/>
          <w:spacing w:val="-3"/>
          <w:lang w:val="es-CO"/>
        </w:rPr>
        <w:t>plataformas de muestreo adecuadas para los sitios de toma de muestra</w:t>
      </w:r>
      <w:r w:rsidR="009E76B5" w:rsidRPr="004068F6">
        <w:rPr>
          <w:rFonts w:cs="Arial"/>
          <w:spacing w:val="-3"/>
          <w:lang w:val="es-CO"/>
        </w:rPr>
        <w:t xml:space="preserve">, </w:t>
      </w:r>
      <w:r w:rsidR="00482A5F" w:rsidRPr="004068F6">
        <w:rPr>
          <w:rFonts w:cs="Arial"/>
          <w:spacing w:val="-3"/>
          <w:lang w:val="es-CO"/>
        </w:rPr>
        <w:t xml:space="preserve">a una velocidad </w:t>
      </w:r>
      <w:r w:rsidRPr="004068F6">
        <w:rPr>
          <w:rFonts w:cs="Arial"/>
          <w:spacing w:val="-3"/>
          <w:lang w:val="es-CO"/>
        </w:rPr>
        <w:t>y por un</w:t>
      </w:r>
      <w:r w:rsidR="00482A5F" w:rsidRPr="004068F6">
        <w:rPr>
          <w:rFonts w:cs="Arial"/>
          <w:spacing w:val="-3"/>
          <w:lang w:val="es-CO"/>
        </w:rPr>
        <w:t xml:space="preserve"> tiempo </w:t>
      </w:r>
      <w:r w:rsidRPr="004068F6">
        <w:rPr>
          <w:rFonts w:cs="Arial"/>
          <w:spacing w:val="-3"/>
          <w:lang w:val="es-CO"/>
        </w:rPr>
        <w:t xml:space="preserve">que son determinados según </w:t>
      </w:r>
      <w:r w:rsidR="00482A5F" w:rsidRPr="004068F6">
        <w:rPr>
          <w:rFonts w:cs="Arial"/>
          <w:spacing w:val="-3"/>
          <w:lang w:val="es-CO"/>
        </w:rPr>
        <w:t xml:space="preserve">criterio del experto y dependiendo de las características del cuerpo de agua. </w:t>
      </w:r>
      <w:r w:rsidR="0077382E" w:rsidRPr="004068F6">
        <w:rPr>
          <w:rFonts w:cs="Arial"/>
          <w:lang w:val="es-CO"/>
        </w:rPr>
        <w:t xml:space="preserve">Es posible emplear </w:t>
      </w:r>
      <w:r w:rsidR="00482A5F" w:rsidRPr="004068F6">
        <w:rPr>
          <w:rFonts w:cs="Arial"/>
          <w:lang w:val="es-CO"/>
        </w:rPr>
        <w:t>Borax y cloruro de magnesio para relajar los individuos</w:t>
      </w:r>
      <w:r w:rsidR="0077382E" w:rsidRPr="004068F6">
        <w:rPr>
          <w:rFonts w:cs="Arial"/>
          <w:lang w:val="es-CO"/>
        </w:rPr>
        <w:t>,</w:t>
      </w:r>
      <w:r w:rsidR="00482A5F" w:rsidRPr="004068F6">
        <w:rPr>
          <w:rFonts w:cs="Arial"/>
          <w:lang w:val="es-CO"/>
        </w:rPr>
        <w:t xml:space="preserve"> </w:t>
      </w:r>
      <w:r w:rsidR="0077382E" w:rsidRPr="004068F6">
        <w:rPr>
          <w:rFonts w:cs="Arial"/>
          <w:lang w:val="es-CO"/>
        </w:rPr>
        <w:t xml:space="preserve">así como </w:t>
      </w:r>
      <w:r w:rsidR="00482A5F" w:rsidRPr="004068F6">
        <w:rPr>
          <w:rFonts w:cs="Arial"/>
          <w:lang w:val="es-CO"/>
        </w:rPr>
        <w:t>us</w:t>
      </w:r>
      <w:r w:rsidR="0077382E" w:rsidRPr="004068F6">
        <w:rPr>
          <w:rFonts w:cs="Arial"/>
          <w:lang w:val="es-CO"/>
        </w:rPr>
        <w:t>ar</w:t>
      </w:r>
      <w:r w:rsidR="00482A5F" w:rsidRPr="004068F6">
        <w:rPr>
          <w:rFonts w:cs="Arial"/>
          <w:lang w:val="es-CO"/>
        </w:rPr>
        <w:t xml:space="preserve"> </w:t>
      </w:r>
      <w:r w:rsidR="0077382E" w:rsidRPr="004068F6">
        <w:rPr>
          <w:rFonts w:cs="Arial"/>
          <w:lang w:val="es-CO"/>
        </w:rPr>
        <w:t xml:space="preserve">posteriormente </w:t>
      </w:r>
      <w:r w:rsidR="00482A5F" w:rsidRPr="004068F6">
        <w:rPr>
          <w:rFonts w:cs="Arial"/>
          <w:lang w:val="es-CO"/>
        </w:rPr>
        <w:t xml:space="preserve">rosa de bengala para la tinción de los organismos </w:t>
      </w:r>
      <w:r w:rsidR="0077382E" w:rsidRPr="004068F6">
        <w:rPr>
          <w:rFonts w:cs="Arial"/>
          <w:lang w:val="es-CO"/>
        </w:rPr>
        <w:t xml:space="preserve">a fin de </w:t>
      </w:r>
      <w:r w:rsidR="00482A5F" w:rsidRPr="004068F6">
        <w:rPr>
          <w:rFonts w:cs="Arial"/>
          <w:lang w:val="es-CO"/>
        </w:rPr>
        <w:t>facilitar la separación del sedimento y la pérdida de muestras.</w:t>
      </w:r>
    </w:p>
    <w:p w14:paraId="3A7F8A52" w14:textId="77777777" w:rsidR="00482A5F" w:rsidRPr="004068F6" w:rsidRDefault="00482A5F" w:rsidP="00C86DA5">
      <w:pPr>
        <w:rPr>
          <w:spacing w:val="-3"/>
        </w:rPr>
      </w:pPr>
    </w:p>
    <w:p w14:paraId="49EA3658" w14:textId="40A10BBB" w:rsidR="00482A5F" w:rsidRPr="004068F6" w:rsidRDefault="00482A5F" w:rsidP="00C86DA5">
      <w:pPr>
        <w:pStyle w:val="Prrafodelista"/>
        <w:numPr>
          <w:ilvl w:val="0"/>
          <w:numId w:val="85"/>
        </w:numPr>
        <w:tabs>
          <w:tab w:val="left" w:pos="-2268"/>
        </w:tabs>
        <w:suppressAutoHyphens/>
        <w:ind w:left="567" w:hanging="567"/>
        <w:rPr>
          <w:spacing w:val="-3"/>
          <w:lang w:val="es-CO"/>
        </w:rPr>
      </w:pPr>
      <w:r w:rsidRPr="004068F6">
        <w:rPr>
          <w:rFonts w:cs="Arial"/>
          <w:spacing w:val="-3"/>
          <w:u w:val="single"/>
          <w:lang w:val="es-CO"/>
        </w:rPr>
        <w:t>Perifiton:</w:t>
      </w:r>
      <w:r w:rsidRPr="004068F6">
        <w:rPr>
          <w:rFonts w:cs="Arial"/>
          <w:spacing w:val="-3"/>
          <w:lang w:val="es-CO"/>
        </w:rPr>
        <w:t xml:space="preserve"> dentro de cada estación de muestreo se </w:t>
      </w:r>
      <w:r w:rsidR="00883252" w:rsidRPr="004068F6">
        <w:rPr>
          <w:rFonts w:cs="Arial"/>
          <w:spacing w:val="-3"/>
          <w:lang w:val="es-CO"/>
        </w:rPr>
        <w:t xml:space="preserve">puede </w:t>
      </w:r>
      <w:r w:rsidR="008C6FA1" w:rsidRPr="004068F6">
        <w:rPr>
          <w:rFonts w:cs="Arial"/>
          <w:spacing w:val="-3"/>
          <w:lang w:val="es-CO"/>
        </w:rPr>
        <w:t xml:space="preserve">localizar </w:t>
      </w:r>
      <w:r w:rsidRPr="004068F6">
        <w:rPr>
          <w:rFonts w:cs="Arial"/>
          <w:spacing w:val="-3"/>
          <w:lang w:val="es-CO"/>
        </w:rPr>
        <w:t>un sustrato duro donde se evidencie presencia de este ensamble (</w:t>
      </w:r>
      <w:r w:rsidR="00041844" w:rsidRPr="004068F6">
        <w:rPr>
          <w:rFonts w:cs="Arial"/>
          <w:spacing w:val="-3"/>
          <w:lang w:val="es-CO"/>
        </w:rPr>
        <w:t>p. ej.</w:t>
      </w:r>
      <w:r w:rsidR="00FA702F" w:rsidRPr="004068F6">
        <w:rPr>
          <w:rFonts w:cs="Arial"/>
          <w:spacing w:val="-3"/>
          <w:lang w:val="es-CO"/>
        </w:rPr>
        <w:t xml:space="preserve"> </w:t>
      </w:r>
      <w:r w:rsidRPr="004068F6">
        <w:rPr>
          <w:rFonts w:cs="Arial"/>
          <w:spacing w:val="-3"/>
          <w:lang w:val="es-CO"/>
        </w:rPr>
        <w:t>roca, tronco, tallo de macrófito)</w:t>
      </w:r>
      <w:r w:rsidR="00B8216A" w:rsidRPr="004068F6">
        <w:rPr>
          <w:rFonts w:cs="Arial"/>
          <w:spacing w:val="-3"/>
          <w:lang w:val="es-CO"/>
        </w:rPr>
        <w:t xml:space="preserve">. </w:t>
      </w:r>
      <w:r w:rsidRPr="004068F6">
        <w:rPr>
          <w:rFonts w:cs="Arial"/>
          <w:spacing w:val="-3"/>
          <w:lang w:val="es-CO"/>
        </w:rPr>
        <w:t>Respecto de la selección del sustrato</w:t>
      </w:r>
      <w:r w:rsidR="00FA702F" w:rsidRPr="004068F6">
        <w:rPr>
          <w:rFonts w:cs="Arial"/>
          <w:spacing w:val="-3"/>
          <w:lang w:val="es-CO"/>
        </w:rPr>
        <w:t>,</w:t>
      </w:r>
      <w:r w:rsidRPr="004068F6">
        <w:rPr>
          <w:rFonts w:cs="Arial"/>
          <w:spacing w:val="-3"/>
          <w:lang w:val="es-CO"/>
        </w:rPr>
        <w:t xml:space="preserve"> debe tenerse en cuenta que la composición de las comunidades puede variar en función del sustrato escogido, por lo que </w:t>
      </w:r>
      <w:r w:rsidR="00FA702F" w:rsidRPr="004068F6">
        <w:rPr>
          <w:rFonts w:cs="Arial"/>
          <w:spacing w:val="-3"/>
          <w:lang w:val="es-CO"/>
        </w:rPr>
        <w:t xml:space="preserve">una buena práctica es seleccionar </w:t>
      </w:r>
      <w:r w:rsidRPr="004068F6">
        <w:rPr>
          <w:rFonts w:cs="Arial"/>
          <w:spacing w:val="-3"/>
          <w:lang w:val="es-CO"/>
        </w:rPr>
        <w:t>un sitio con la mayor heterogeneidad posible de sustratos. Se deben realizar muestreos cualitativos y cuantitativos</w:t>
      </w:r>
      <w:r w:rsidRPr="004068F6">
        <w:rPr>
          <w:spacing w:val="-3"/>
          <w:lang w:val="es-CO"/>
        </w:rPr>
        <w:t>.</w:t>
      </w:r>
    </w:p>
    <w:p w14:paraId="39339D8B" w14:textId="77777777" w:rsidR="00482A5F" w:rsidRPr="004068F6" w:rsidRDefault="00482A5F" w:rsidP="00C86DA5">
      <w:pPr>
        <w:rPr>
          <w:spacing w:val="-3"/>
        </w:rPr>
      </w:pPr>
    </w:p>
    <w:p w14:paraId="0C2FB398" w14:textId="7D4BECDB" w:rsidR="00482A5F" w:rsidRPr="004068F6" w:rsidRDefault="00482A5F" w:rsidP="00C86DA5">
      <w:pPr>
        <w:pStyle w:val="Prrafodelista"/>
        <w:numPr>
          <w:ilvl w:val="0"/>
          <w:numId w:val="85"/>
        </w:numPr>
        <w:tabs>
          <w:tab w:val="left" w:pos="-2268"/>
        </w:tabs>
        <w:suppressAutoHyphens/>
        <w:ind w:left="567" w:hanging="567"/>
        <w:rPr>
          <w:rFonts w:cs="Arial"/>
          <w:spacing w:val="-3"/>
          <w:lang w:val="es-CO"/>
        </w:rPr>
      </w:pPr>
      <w:r w:rsidRPr="004068F6">
        <w:rPr>
          <w:rFonts w:cs="Arial"/>
          <w:spacing w:val="-3"/>
          <w:u w:val="single"/>
          <w:lang w:val="es-CO"/>
        </w:rPr>
        <w:t>Plantas acuáticas o macrófitas</w:t>
      </w:r>
      <w:r w:rsidR="006C3B80" w:rsidRPr="004068F6">
        <w:rPr>
          <w:rFonts w:cs="Arial"/>
          <w:spacing w:val="-3"/>
          <w:u w:val="single"/>
          <w:lang w:val="es-CO"/>
        </w:rPr>
        <w:t>:</w:t>
      </w:r>
      <w:r w:rsidRPr="004068F6">
        <w:rPr>
          <w:rFonts w:cs="Arial"/>
          <w:spacing w:val="-3"/>
          <w:lang w:val="es-CO"/>
        </w:rPr>
        <w:t xml:space="preserve"> el muestreo cualitativo y cuantitativo de macrófitas en cada estación de muestreo se </w:t>
      </w:r>
      <w:r w:rsidR="00676FA4" w:rsidRPr="004068F6">
        <w:rPr>
          <w:rFonts w:cs="Arial"/>
          <w:spacing w:val="-3"/>
          <w:lang w:val="es-CO"/>
        </w:rPr>
        <w:t xml:space="preserve">puede </w:t>
      </w:r>
      <w:r w:rsidRPr="004068F6">
        <w:rPr>
          <w:rFonts w:cs="Arial"/>
          <w:spacing w:val="-3"/>
          <w:lang w:val="es-CO"/>
        </w:rPr>
        <w:t>efectuar mediante el trazado de una franja generalmente perpendicular al espejo de agua, siguiendo un gradiente ambiental agua-tierra. Se debe procurar muestrear todos los modos de vida de los diferentes macrófitos y plantas acuáticas</w:t>
      </w:r>
      <w:r w:rsidR="007E4BA6" w:rsidRPr="004068F6">
        <w:rPr>
          <w:rFonts w:cs="Arial"/>
          <w:spacing w:val="-3"/>
          <w:lang w:val="es-CO"/>
        </w:rPr>
        <w:t>,</w:t>
      </w:r>
      <w:r w:rsidRPr="004068F6">
        <w:rPr>
          <w:rFonts w:cs="Arial"/>
          <w:spacing w:val="-3"/>
          <w:lang w:val="es-CO"/>
        </w:rPr>
        <w:t xml:space="preserve"> como son helófitos o plantas palustres, higrófitos, macrófitos enraizados-flotantes, macrófitos flotantes, macrófitos sumergidos y algas filamentosas. Los ejemplares colectados deben </w:t>
      </w:r>
      <w:r w:rsidR="00B92820" w:rsidRPr="004068F6">
        <w:rPr>
          <w:rFonts w:cs="Arial"/>
          <w:spacing w:val="-3"/>
          <w:lang w:val="es-CO"/>
        </w:rPr>
        <w:t xml:space="preserve">presentar, </w:t>
      </w:r>
      <w:r w:rsidRPr="004068F6">
        <w:rPr>
          <w:rFonts w:cs="Arial"/>
          <w:spacing w:val="-3"/>
          <w:lang w:val="es-CO"/>
        </w:rPr>
        <w:t>prefer</w:t>
      </w:r>
      <w:r w:rsidR="00B92820" w:rsidRPr="004068F6">
        <w:rPr>
          <w:rFonts w:cs="Arial"/>
          <w:spacing w:val="-3"/>
          <w:lang w:val="es-CO"/>
        </w:rPr>
        <w:t xml:space="preserve">iblemente, </w:t>
      </w:r>
      <w:r w:rsidRPr="004068F6">
        <w:rPr>
          <w:rFonts w:cs="Arial"/>
          <w:spacing w:val="-3"/>
          <w:lang w:val="es-CO"/>
        </w:rPr>
        <w:t xml:space="preserve">la mayor cantidad de estructuras que permitan su </w:t>
      </w:r>
      <w:r w:rsidR="004171A4" w:rsidRPr="004068F6">
        <w:rPr>
          <w:rFonts w:cs="Arial"/>
          <w:spacing w:val="-3"/>
          <w:lang w:val="es-CO"/>
        </w:rPr>
        <w:t xml:space="preserve">determinación </w:t>
      </w:r>
      <w:r w:rsidRPr="004068F6">
        <w:rPr>
          <w:rFonts w:cs="Arial"/>
          <w:spacing w:val="-3"/>
          <w:lang w:val="es-CO"/>
        </w:rPr>
        <w:t>en laboratorio (</w:t>
      </w:r>
      <w:r w:rsidR="00041844" w:rsidRPr="004068F6">
        <w:rPr>
          <w:rFonts w:cs="Arial"/>
          <w:spacing w:val="-3"/>
          <w:lang w:val="es-CO"/>
        </w:rPr>
        <w:t>p. ej.</w:t>
      </w:r>
      <w:r w:rsidR="007E4BA6" w:rsidRPr="004068F6">
        <w:rPr>
          <w:rFonts w:cs="Arial"/>
          <w:spacing w:val="-3"/>
          <w:lang w:val="es-CO"/>
        </w:rPr>
        <w:t xml:space="preserve"> </w:t>
      </w:r>
      <w:r w:rsidRPr="004068F6">
        <w:rPr>
          <w:rFonts w:cs="Arial"/>
          <w:spacing w:val="-3"/>
          <w:lang w:val="es-CO"/>
        </w:rPr>
        <w:t>raíces, tallos, frutos, hojas).</w:t>
      </w:r>
    </w:p>
    <w:p w14:paraId="1D097662" w14:textId="77777777" w:rsidR="00482A5F" w:rsidRPr="004068F6" w:rsidRDefault="00482A5F" w:rsidP="00C86DA5">
      <w:pPr>
        <w:rPr>
          <w:spacing w:val="-3"/>
        </w:rPr>
      </w:pPr>
    </w:p>
    <w:p w14:paraId="0F0F4EDE" w14:textId="77777777" w:rsidR="00482A5F" w:rsidRPr="004068F6" w:rsidRDefault="00482A5F" w:rsidP="00C86DA5">
      <w:pPr>
        <w:pStyle w:val="Prrafodelista"/>
        <w:numPr>
          <w:ilvl w:val="0"/>
          <w:numId w:val="85"/>
        </w:numPr>
        <w:tabs>
          <w:tab w:val="left" w:pos="-2268"/>
        </w:tabs>
        <w:suppressAutoHyphens/>
        <w:ind w:left="567" w:hanging="567"/>
        <w:rPr>
          <w:rFonts w:cs="Arial"/>
          <w:spacing w:val="-3"/>
          <w:lang w:val="es-CO"/>
        </w:rPr>
      </w:pPr>
      <w:r w:rsidRPr="004068F6">
        <w:rPr>
          <w:rFonts w:cs="Arial"/>
          <w:spacing w:val="-3"/>
          <w:u w:val="single"/>
          <w:lang w:val="es-CO"/>
        </w:rPr>
        <w:t>Macroinvertebrados asociados a macrófitas:</w:t>
      </w:r>
      <w:r w:rsidRPr="004068F6">
        <w:rPr>
          <w:rFonts w:cs="Arial"/>
          <w:spacing w:val="-3"/>
          <w:lang w:val="es-CO"/>
        </w:rPr>
        <w:t xml:space="preserve"> los muestreos cualitativos y cuantitativos de la fauna asociada se efectúan mediante redes de área conocida, las cuales se introducen en el agua y se desplazan de arriba hacia abajo colectando las plantas y sus raíces. Las raíces son lavadas en la red, y el material obtenido almacenado.</w:t>
      </w:r>
    </w:p>
    <w:p w14:paraId="59515624" w14:textId="77777777" w:rsidR="00482A5F" w:rsidRPr="004068F6" w:rsidRDefault="00482A5F" w:rsidP="00C86DA5">
      <w:pPr>
        <w:rPr>
          <w:spacing w:val="-3"/>
        </w:rPr>
      </w:pPr>
    </w:p>
    <w:p w14:paraId="20628576" w14:textId="4A0B6DFF" w:rsidR="00482A5F" w:rsidRPr="004068F6" w:rsidRDefault="00482A5F" w:rsidP="00C86DA5">
      <w:pPr>
        <w:pStyle w:val="Prrafodelista"/>
        <w:numPr>
          <w:ilvl w:val="0"/>
          <w:numId w:val="85"/>
        </w:numPr>
        <w:tabs>
          <w:tab w:val="left" w:pos="-2268"/>
        </w:tabs>
        <w:suppressAutoHyphens/>
        <w:ind w:left="567" w:hanging="567"/>
        <w:rPr>
          <w:spacing w:val="-3"/>
          <w:lang w:val="es-CO"/>
        </w:rPr>
      </w:pPr>
      <w:r w:rsidRPr="004068F6">
        <w:rPr>
          <w:rFonts w:cs="Arial"/>
          <w:bCs/>
          <w:spacing w:val="-3"/>
          <w:u w:val="single"/>
          <w:lang w:val="es-CO"/>
        </w:rPr>
        <w:t>Necton (peces):</w:t>
      </w:r>
      <w:r w:rsidRPr="004068F6">
        <w:rPr>
          <w:spacing w:val="-3"/>
          <w:lang w:val="es-CO"/>
        </w:rPr>
        <w:t xml:space="preserve"> los muestreos se deben llevar a cabo en dos (2) periodos diferentes (aguas altas</w:t>
      </w:r>
      <w:r w:rsidRPr="004068F6">
        <w:rPr>
          <w:rFonts w:cs="Arial"/>
          <w:spacing w:val="-3"/>
          <w:lang w:val="es-CO"/>
        </w:rPr>
        <w:t xml:space="preserve"> y</w:t>
      </w:r>
      <w:r w:rsidRPr="004068F6">
        <w:rPr>
          <w:spacing w:val="-3"/>
          <w:lang w:val="es-CO"/>
        </w:rPr>
        <w:t xml:space="preserve"> aguas bajas)</w:t>
      </w:r>
      <w:r w:rsidR="00AA18F4" w:rsidRPr="004068F6">
        <w:rPr>
          <w:spacing w:val="-3"/>
          <w:lang w:val="es-CO"/>
        </w:rPr>
        <w:t>, preferiblemente</w:t>
      </w:r>
      <w:r w:rsidRPr="004068F6">
        <w:rPr>
          <w:spacing w:val="-3"/>
          <w:lang w:val="es-CO"/>
        </w:rPr>
        <w:t xml:space="preserve"> a diferentes horas del día, para abarcar los cambios diarios en el comportamiento de los peces. Estos muestreos se deben realizar en las estaciones de muestreo previamente </w:t>
      </w:r>
      <w:r w:rsidRPr="004068F6">
        <w:rPr>
          <w:spacing w:val="-3"/>
          <w:lang w:val="es-CO"/>
        </w:rPr>
        <w:lastRenderedPageBreak/>
        <w:t>seleccionadas, en diferentes ecosistemas (ríos, caños, lagunas, esteros, canales de riego y drenaje</w:t>
      </w:r>
      <w:r w:rsidR="00B21266" w:rsidRPr="004068F6">
        <w:rPr>
          <w:spacing w:val="-3"/>
          <w:lang w:val="es-CO"/>
        </w:rPr>
        <w:t xml:space="preserve"> y </w:t>
      </w:r>
      <w:r w:rsidRPr="004068F6">
        <w:rPr>
          <w:spacing w:val="-3"/>
          <w:lang w:val="es-CO"/>
        </w:rPr>
        <w:t xml:space="preserve">embalses), abarcando los diferentes </w:t>
      </w:r>
      <w:r w:rsidR="00E719E0" w:rsidRPr="004068F6">
        <w:rPr>
          <w:spacing w:val="-3"/>
          <w:lang w:val="es-CO"/>
        </w:rPr>
        <w:t>sub-hábitats</w:t>
      </w:r>
      <w:r w:rsidRPr="004068F6">
        <w:rPr>
          <w:spacing w:val="-3"/>
          <w:lang w:val="es-CO"/>
        </w:rPr>
        <w:t xml:space="preserve"> como por ejemplo fondos arenosos, pedregosos y fangosos, huecos en troncos, zona profunda, palizadas, riberas cubiertas por gramíneas y ciperáceas, vegetación flotante, bosque inundado, </w:t>
      </w:r>
      <w:r w:rsidRPr="004068F6">
        <w:rPr>
          <w:rFonts w:cs="Arial"/>
          <w:spacing w:val="-3"/>
          <w:lang w:val="es-CO"/>
        </w:rPr>
        <w:t>fondos sedimentarios.</w:t>
      </w:r>
    </w:p>
    <w:p w14:paraId="7EA6C64C" w14:textId="77777777" w:rsidR="00482A5F" w:rsidRPr="004068F6" w:rsidRDefault="00482A5F" w:rsidP="00C86DA5">
      <w:pPr>
        <w:tabs>
          <w:tab w:val="left" w:pos="-2268"/>
        </w:tabs>
        <w:suppressAutoHyphens/>
        <w:rPr>
          <w:spacing w:val="-3"/>
        </w:rPr>
      </w:pPr>
    </w:p>
    <w:p w14:paraId="61D62A10" w14:textId="46C4E11A" w:rsidR="00E63EC4" w:rsidRPr="004068F6" w:rsidRDefault="00E63EC4" w:rsidP="00127BD4">
      <w:pPr>
        <w:tabs>
          <w:tab w:val="left" w:pos="-2268"/>
        </w:tabs>
        <w:suppressAutoHyphens/>
        <w:ind w:left="567"/>
        <w:rPr>
          <w:spacing w:val="-3"/>
        </w:rPr>
      </w:pPr>
      <w:r w:rsidRPr="004068F6">
        <w:rPr>
          <w:spacing w:val="-3"/>
        </w:rPr>
        <w:t>Para áreas de influencia en el mar, se debe presentar la información sobre la comunidad íctica existente con base en información secundaria y organizada en listados. La información debe estar registrada en las bases de datos y plataformas desarrolladas por las autoridades o institutos (</w:t>
      </w:r>
      <w:r w:rsidR="004C4D68" w:rsidRPr="004068F6">
        <w:rPr>
          <w:spacing w:val="-3"/>
        </w:rPr>
        <w:t>Aunap</w:t>
      </w:r>
      <w:r w:rsidRPr="004068F6">
        <w:rPr>
          <w:spacing w:val="-3"/>
        </w:rPr>
        <w:t xml:space="preserve">, Sistema de Información Pesquera de </w:t>
      </w:r>
      <w:r w:rsidR="006455A3" w:rsidRPr="004068F6">
        <w:rPr>
          <w:spacing w:val="-3"/>
        </w:rPr>
        <w:t xml:space="preserve">Invemar </w:t>
      </w:r>
      <w:r w:rsidRPr="004068F6">
        <w:rPr>
          <w:spacing w:val="-3"/>
        </w:rPr>
        <w:t xml:space="preserve">-SIPEIN y el Sistema de Información sobre Biodiversidad Marina </w:t>
      </w:r>
      <w:r w:rsidR="008C0F0C" w:rsidRPr="004068F6">
        <w:rPr>
          <w:spacing w:val="-3"/>
        </w:rPr>
        <w:t>-</w:t>
      </w:r>
      <w:r w:rsidRPr="004068F6">
        <w:rPr>
          <w:spacing w:val="-3"/>
        </w:rPr>
        <w:t>Si</w:t>
      </w:r>
      <w:r w:rsidR="00D851C0" w:rsidRPr="004068F6">
        <w:rPr>
          <w:spacing w:val="-3"/>
        </w:rPr>
        <w:t>B</w:t>
      </w:r>
      <w:r w:rsidRPr="004068F6">
        <w:rPr>
          <w:spacing w:val="-3"/>
        </w:rPr>
        <w:t xml:space="preserve">M). En el caso en que la información secundaria sea insuficiente, se deber realizar la caracterización considerando la profundidad y las condiciones del área </w:t>
      </w:r>
      <w:r w:rsidR="00924917" w:rsidRPr="004068F6">
        <w:rPr>
          <w:spacing w:val="-3"/>
        </w:rPr>
        <w:t>objeto de caracterización</w:t>
      </w:r>
      <w:r w:rsidRPr="004068F6">
        <w:rPr>
          <w:spacing w:val="-3"/>
        </w:rPr>
        <w:t>.</w:t>
      </w:r>
    </w:p>
    <w:p w14:paraId="1417F5DA" w14:textId="77777777" w:rsidR="00E63EC4" w:rsidRPr="004068F6" w:rsidRDefault="00E63EC4" w:rsidP="00C86DA5">
      <w:pPr>
        <w:tabs>
          <w:tab w:val="left" w:pos="-2268"/>
        </w:tabs>
        <w:suppressAutoHyphens/>
        <w:rPr>
          <w:spacing w:val="-3"/>
        </w:rPr>
      </w:pPr>
    </w:p>
    <w:p w14:paraId="2F8907D2" w14:textId="09FC8B6C" w:rsidR="00131C52" w:rsidRPr="004068F6" w:rsidRDefault="00131C52" w:rsidP="00127BD4">
      <w:pPr>
        <w:tabs>
          <w:tab w:val="left" w:pos="-2268"/>
        </w:tabs>
        <w:suppressAutoHyphens/>
        <w:ind w:left="567"/>
        <w:rPr>
          <w:spacing w:val="-3"/>
        </w:rPr>
      </w:pPr>
      <w:r w:rsidRPr="00127BD4">
        <w:rPr>
          <w:spacing w:val="-3"/>
        </w:rPr>
        <w:t xml:space="preserve">Dada la considerable heterogeneidad de </w:t>
      </w:r>
      <w:r w:rsidR="00E84F52" w:rsidRPr="00E84F52">
        <w:rPr>
          <w:spacing w:val="-3"/>
        </w:rPr>
        <w:t>sub-hábitats</w:t>
      </w:r>
      <w:r w:rsidRPr="00127BD4">
        <w:rPr>
          <w:spacing w:val="-3"/>
        </w:rPr>
        <w:t xml:space="preserve"> acuáticos que puede presentar un cuerpo de agua y con el fin de evitar los sesgos inherentes a cada arte de pesca, se debe implementar el uso de varios artes o métodos para el grupo de los peces en cada punto de muestreo, los cuales deben estar enfocados principalmente en la captura de individuos.</w:t>
      </w:r>
    </w:p>
    <w:p w14:paraId="77744498" w14:textId="77777777" w:rsidR="00E63EC4" w:rsidRPr="004068F6" w:rsidRDefault="00E63EC4" w:rsidP="00C86DA5">
      <w:pPr>
        <w:tabs>
          <w:tab w:val="left" w:pos="-2268"/>
        </w:tabs>
        <w:suppressAutoHyphens/>
        <w:rPr>
          <w:spacing w:val="-3"/>
        </w:rPr>
      </w:pPr>
    </w:p>
    <w:p w14:paraId="5F1247EB" w14:textId="387D7411" w:rsidR="00482A5F" w:rsidRPr="004068F6" w:rsidRDefault="00D900EE" w:rsidP="00C86DA5">
      <w:pPr>
        <w:pStyle w:val="Prrafodelista"/>
        <w:tabs>
          <w:tab w:val="left" w:pos="-2268"/>
        </w:tabs>
        <w:suppressAutoHyphens/>
        <w:ind w:left="567"/>
        <w:rPr>
          <w:spacing w:val="-3"/>
          <w:lang w:val="es-CO"/>
        </w:rPr>
      </w:pPr>
      <w:r w:rsidRPr="004068F6">
        <w:rPr>
          <w:spacing w:val="-3"/>
          <w:lang w:val="es-CO"/>
        </w:rPr>
        <w:t xml:space="preserve">Estos métodos pueden incluir desde artes </w:t>
      </w:r>
      <w:r w:rsidR="00482A5F" w:rsidRPr="004068F6">
        <w:rPr>
          <w:spacing w:val="-3"/>
          <w:lang w:val="es-CO"/>
        </w:rPr>
        <w:t>tradicionales</w:t>
      </w:r>
      <w:r w:rsidR="00482A5F" w:rsidRPr="004068F6">
        <w:rPr>
          <w:rFonts w:cs="Arial"/>
          <w:spacing w:val="-3"/>
          <w:lang w:val="es-CO"/>
        </w:rPr>
        <w:t xml:space="preserve"> (</w:t>
      </w:r>
      <w:r w:rsidR="00041844" w:rsidRPr="004068F6">
        <w:rPr>
          <w:rFonts w:cs="Arial"/>
          <w:spacing w:val="-3"/>
          <w:lang w:val="es-CO"/>
        </w:rPr>
        <w:t>p. ej.</w:t>
      </w:r>
      <w:r w:rsidR="007E4BA6" w:rsidRPr="004068F6">
        <w:rPr>
          <w:rFonts w:cs="Arial"/>
          <w:spacing w:val="-3"/>
          <w:lang w:val="es-CO"/>
        </w:rPr>
        <w:t xml:space="preserve"> </w:t>
      </w:r>
      <w:r w:rsidR="00482A5F" w:rsidRPr="004068F6">
        <w:rPr>
          <w:rFonts w:cs="Arial"/>
          <w:spacing w:val="-3"/>
          <w:lang w:val="es-CO"/>
        </w:rPr>
        <w:t>palangre, chinchorro, atarraya, trasmallo, redes, línea de mano),</w:t>
      </w:r>
      <w:r w:rsidR="00482A5F" w:rsidRPr="004068F6">
        <w:rPr>
          <w:spacing w:val="-3"/>
          <w:lang w:val="es-CO"/>
        </w:rPr>
        <w:t xml:space="preserve"> hasta la utilización de </w:t>
      </w:r>
      <w:r w:rsidR="00482A5F" w:rsidRPr="004068F6">
        <w:rPr>
          <w:rFonts w:cs="Arial"/>
          <w:spacing w:val="-3"/>
          <w:lang w:val="es-CO"/>
        </w:rPr>
        <w:t>métodos más elaborados (</w:t>
      </w:r>
      <w:r w:rsidR="00041844" w:rsidRPr="004068F6">
        <w:rPr>
          <w:rFonts w:cs="Arial"/>
          <w:spacing w:val="-3"/>
          <w:lang w:val="es-CO"/>
        </w:rPr>
        <w:t>p. ej.</w:t>
      </w:r>
      <w:r w:rsidR="007E4BA6" w:rsidRPr="004068F6">
        <w:rPr>
          <w:rFonts w:cs="Arial"/>
          <w:spacing w:val="-3"/>
          <w:lang w:val="es-CO"/>
        </w:rPr>
        <w:t xml:space="preserve"> </w:t>
      </w:r>
      <w:r w:rsidR="00482A5F" w:rsidRPr="004068F6">
        <w:rPr>
          <w:rFonts w:cs="Arial"/>
          <w:spacing w:val="-3"/>
          <w:lang w:val="es-CO"/>
        </w:rPr>
        <w:t>pesca eléctrica</w:t>
      </w:r>
      <w:r w:rsidR="007E4BA6" w:rsidRPr="004068F6">
        <w:rPr>
          <w:rFonts w:cs="Arial"/>
          <w:spacing w:val="-3"/>
          <w:lang w:val="es-CO"/>
        </w:rPr>
        <w:t xml:space="preserve"> y</w:t>
      </w:r>
      <w:r w:rsidR="00482A5F" w:rsidRPr="004068F6">
        <w:rPr>
          <w:rFonts w:cs="Arial"/>
          <w:spacing w:val="-3"/>
          <w:lang w:val="es-CO"/>
        </w:rPr>
        <w:t xml:space="preserve"> trenes de nasas)</w:t>
      </w:r>
      <w:r w:rsidR="00B92820" w:rsidRPr="004068F6">
        <w:rPr>
          <w:rFonts w:cs="Arial"/>
          <w:spacing w:val="-3"/>
          <w:lang w:val="es-CO"/>
        </w:rPr>
        <w:t>,</w:t>
      </w:r>
      <w:r w:rsidR="00482A5F" w:rsidRPr="004068F6">
        <w:rPr>
          <w:spacing w:val="-3"/>
          <w:lang w:val="es-CO"/>
        </w:rPr>
        <w:t xml:space="preserve"> cuya aplicación estandarizada permite r</w:t>
      </w:r>
      <w:r w:rsidR="00B92820" w:rsidRPr="004068F6">
        <w:rPr>
          <w:spacing w:val="-3"/>
          <w:lang w:val="es-CO"/>
        </w:rPr>
        <w:t xml:space="preserve">eplicarlos </w:t>
      </w:r>
      <w:r w:rsidR="00482A5F" w:rsidRPr="004068F6">
        <w:rPr>
          <w:spacing w:val="-3"/>
          <w:lang w:val="es-CO"/>
        </w:rPr>
        <w:t>y compara</w:t>
      </w:r>
      <w:r w:rsidR="00B92820" w:rsidRPr="004068F6">
        <w:rPr>
          <w:spacing w:val="-3"/>
          <w:lang w:val="es-CO"/>
        </w:rPr>
        <w:t xml:space="preserve">r </w:t>
      </w:r>
      <w:r w:rsidR="00482A5F" w:rsidRPr="004068F6">
        <w:rPr>
          <w:spacing w:val="-3"/>
          <w:lang w:val="es-CO"/>
        </w:rPr>
        <w:t xml:space="preserve">resultados entre lugares </w:t>
      </w:r>
      <w:r w:rsidR="007E4BA6" w:rsidRPr="004068F6">
        <w:rPr>
          <w:spacing w:val="-3"/>
          <w:lang w:val="es-CO"/>
        </w:rPr>
        <w:t xml:space="preserve">a fin de </w:t>
      </w:r>
      <w:r w:rsidR="00482A5F" w:rsidRPr="004068F6">
        <w:rPr>
          <w:spacing w:val="-3"/>
          <w:lang w:val="es-CO"/>
        </w:rPr>
        <w:t xml:space="preserve">evaluar composición de especies, </w:t>
      </w:r>
      <w:r w:rsidR="00B8216A" w:rsidRPr="004068F6">
        <w:rPr>
          <w:spacing w:val="-3"/>
          <w:lang w:val="es-CO"/>
        </w:rPr>
        <w:t xml:space="preserve">abundancias </w:t>
      </w:r>
      <w:r w:rsidR="00482A5F" w:rsidRPr="004068F6">
        <w:rPr>
          <w:spacing w:val="-3"/>
          <w:lang w:val="es-CO"/>
        </w:rPr>
        <w:t>relativas, entre otras</w:t>
      </w:r>
      <w:r w:rsidR="00482A5F" w:rsidRPr="004068F6">
        <w:rPr>
          <w:rFonts w:cs="Arial"/>
          <w:spacing w:val="-3"/>
          <w:lang w:val="es-CO"/>
        </w:rPr>
        <w:t xml:space="preserve"> variables ecológicas</w:t>
      </w:r>
      <w:r w:rsidR="00482A5F" w:rsidRPr="004068F6">
        <w:rPr>
          <w:spacing w:val="-3"/>
          <w:lang w:val="es-CO"/>
        </w:rPr>
        <w:t>.</w:t>
      </w:r>
    </w:p>
    <w:p w14:paraId="5B5DFB61" w14:textId="77777777" w:rsidR="00482A5F" w:rsidRPr="004068F6" w:rsidRDefault="00482A5F" w:rsidP="00C86DA5">
      <w:pPr>
        <w:rPr>
          <w:spacing w:val="-3"/>
        </w:rPr>
      </w:pPr>
    </w:p>
    <w:p w14:paraId="52ABC2A8" w14:textId="42F49211" w:rsidR="006D7DEC" w:rsidRPr="004068F6" w:rsidRDefault="006D7DEC" w:rsidP="00127BD4">
      <w:pPr>
        <w:ind w:left="567"/>
        <w:rPr>
          <w:spacing w:val="-3"/>
        </w:rPr>
      </w:pPr>
      <w:r w:rsidRPr="004068F6">
        <w:rPr>
          <w:spacing w:val="-3"/>
        </w:rPr>
        <w:t>En el caso de las redes, dado que el tamaño del ojo de malla influye significativamente en la selectividad de captura del método, se debe</w:t>
      </w:r>
      <w:r w:rsidR="009E3DAC" w:rsidRPr="004068F6">
        <w:rPr>
          <w:spacing w:val="-3"/>
        </w:rPr>
        <w:t>n</w:t>
      </w:r>
      <w:r w:rsidRPr="004068F6">
        <w:rPr>
          <w:spacing w:val="-3"/>
        </w:rPr>
        <w:t xml:space="preserve"> emplear al menos dos tamaños de malla diferentes por cada tipo de red utilizada. Adicionalmente, considerando que los cuerpos de agua (lóticos y lénticos) pueden alcanzar profundidades considerables, es necesario incorporar métodos de muestreo que permitan la captura de peces a distintas profundidades. Esto garantiza</w:t>
      </w:r>
      <w:r w:rsidR="009E3DAC" w:rsidRPr="004068F6">
        <w:rPr>
          <w:spacing w:val="-3"/>
        </w:rPr>
        <w:t xml:space="preserve"> q</w:t>
      </w:r>
      <w:r w:rsidRPr="004068F6">
        <w:rPr>
          <w:spacing w:val="-3"/>
        </w:rPr>
        <w:t>ue los inventarios ictiológicos no presenten subestimaciones o sesgos al asegurar la inclusión de especies que habitan en zonas profundas.</w:t>
      </w:r>
    </w:p>
    <w:p w14:paraId="22579AA6" w14:textId="77777777" w:rsidR="006D7DEC" w:rsidRPr="004068F6" w:rsidDel="004241EC" w:rsidRDefault="006D7DEC" w:rsidP="006D7DEC">
      <w:pPr>
        <w:rPr>
          <w:spacing w:val="-3"/>
        </w:rPr>
      </w:pPr>
    </w:p>
    <w:p w14:paraId="15D49033" w14:textId="25736906" w:rsidR="006D7DEC" w:rsidRPr="004068F6" w:rsidRDefault="006D7DEC" w:rsidP="00127BD4">
      <w:pPr>
        <w:ind w:left="567"/>
        <w:rPr>
          <w:spacing w:val="-3"/>
        </w:rPr>
      </w:pPr>
      <w:r w:rsidRPr="004068F6">
        <w:rPr>
          <w:spacing w:val="-3"/>
        </w:rPr>
        <w:t>Los muestreos en áreas marinas deben emplear técnicas adecuadas para cada hábitat, tales como nasas, palangres experimentales o redes de arrastre de bajo impacto.</w:t>
      </w:r>
    </w:p>
    <w:p w14:paraId="0B55D510" w14:textId="77777777" w:rsidR="006D7DEC" w:rsidRPr="004068F6" w:rsidRDefault="006D7DEC" w:rsidP="00C86DA5">
      <w:pPr>
        <w:rPr>
          <w:spacing w:val="-3"/>
        </w:rPr>
      </w:pPr>
    </w:p>
    <w:p w14:paraId="3F819F7D" w14:textId="26C31A94" w:rsidR="00482A5F" w:rsidRPr="004068F6" w:rsidRDefault="00482A5F" w:rsidP="00C86DA5">
      <w:pPr>
        <w:pStyle w:val="Prrafodelista"/>
        <w:numPr>
          <w:ilvl w:val="0"/>
          <w:numId w:val="85"/>
        </w:numPr>
        <w:tabs>
          <w:tab w:val="left" w:pos="-2268"/>
        </w:tabs>
        <w:suppressAutoHyphens/>
        <w:ind w:left="567" w:hanging="567"/>
        <w:rPr>
          <w:rFonts w:cs="Arial"/>
          <w:spacing w:val="-3"/>
          <w:lang w:val="es-CO"/>
        </w:rPr>
      </w:pPr>
      <w:r w:rsidRPr="004068F6">
        <w:rPr>
          <w:rFonts w:cs="Arial"/>
          <w:spacing w:val="-3"/>
          <w:u w:val="single"/>
          <w:lang w:val="es-CO"/>
        </w:rPr>
        <w:lastRenderedPageBreak/>
        <w:t>Fondos sedimentarios (invertebrados bentónicos):</w:t>
      </w:r>
      <w:r w:rsidRPr="004068F6">
        <w:rPr>
          <w:rFonts w:cs="Arial"/>
          <w:spacing w:val="-3"/>
          <w:lang w:val="es-CO"/>
        </w:rPr>
        <w:t xml:space="preserve"> la toma de muestras cualitativas y cuantitativas se puede realizar de varias formas dependiendo de la profundidad del cauce, la velocidad de la corriente o marea, la composición del lecho, </w:t>
      </w:r>
      <w:r w:rsidR="007E4BA6" w:rsidRPr="004068F6">
        <w:rPr>
          <w:rFonts w:cs="Arial"/>
          <w:spacing w:val="-3"/>
          <w:lang w:val="es-CO"/>
        </w:rPr>
        <w:t xml:space="preserve">la </w:t>
      </w:r>
      <w:r w:rsidRPr="004068F6">
        <w:rPr>
          <w:rFonts w:cs="Arial"/>
          <w:spacing w:val="-3"/>
          <w:lang w:val="es-CO"/>
        </w:rPr>
        <w:t>inclinación y extensión de la zona del litoral, entre otras. En ambientes dulceacuícolas poco profundos se emplean habitualmente redes de mano, así como redes tipo Surber o muestreador cilíndrico. En el caso de cauces más profundos con corriente rápida o con lechos fangosos se deben utilizar dragas (</w:t>
      </w:r>
      <w:r w:rsidR="00041844" w:rsidRPr="004068F6">
        <w:rPr>
          <w:rFonts w:cs="Arial"/>
          <w:spacing w:val="-3"/>
          <w:lang w:val="es-CO"/>
        </w:rPr>
        <w:t>p. ej.</w:t>
      </w:r>
      <w:r w:rsidRPr="004068F6">
        <w:rPr>
          <w:rFonts w:cs="Arial"/>
          <w:spacing w:val="-3"/>
          <w:lang w:val="es-CO"/>
        </w:rPr>
        <w:t xml:space="preserve"> van Veen, Box-Corer</w:t>
      </w:r>
      <w:r w:rsidR="007E4BA6" w:rsidRPr="004068F6">
        <w:rPr>
          <w:rFonts w:cs="Arial"/>
          <w:spacing w:val="-3"/>
          <w:lang w:val="es-CO"/>
        </w:rPr>
        <w:t>,</w:t>
      </w:r>
      <w:r w:rsidRPr="004068F6">
        <w:rPr>
          <w:rFonts w:cs="Arial"/>
          <w:spacing w:val="-3"/>
          <w:lang w:val="es-CO"/>
        </w:rPr>
        <w:t xml:space="preserve"> Birge- Eckman).</w:t>
      </w:r>
    </w:p>
    <w:p w14:paraId="6AD063C9" w14:textId="77777777" w:rsidR="00482A5F" w:rsidRPr="004068F6" w:rsidRDefault="00482A5F" w:rsidP="00C86DA5">
      <w:pPr>
        <w:rPr>
          <w:spacing w:val="-3"/>
        </w:rPr>
      </w:pPr>
    </w:p>
    <w:p w14:paraId="4F0620B9" w14:textId="0EADC66B" w:rsidR="007828AC" w:rsidRPr="004068F6" w:rsidRDefault="007828AC" w:rsidP="00127BD4">
      <w:pPr>
        <w:ind w:left="567"/>
        <w:rPr>
          <w:spacing w:val="-3"/>
        </w:rPr>
      </w:pPr>
      <w:r w:rsidRPr="004068F6">
        <w:rPr>
          <w:spacing w:val="-3"/>
        </w:rPr>
        <w:t xml:space="preserve">Para la caracterización de comunidades bentónicas en ambientes marinos se debe considerar que </w:t>
      </w:r>
      <w:r w:rsidR="00467724" w:rsidRPr="004068F6">
        <w:rPr>
          <w:spacing w:val="-3"/>
        </w:rPr>
        <w:t>é</w:t>
      </w:r>
      <w:r w:rsidRPr="004068F6">
        <w:rPr>
          <w:spacing w:val="-3"/>
        </w:rPr>
        <w:t>stas se agrupan en epifauna (organismos sobre el sustrato) e infauna (organismos dentro del sedimento) y</w:t>
      </w:r>
      <w:r w:rsidR="00467724" w:rsidRPr="004068F6">
        <w:rPr>
          <w:spacing w:val="-3"/>
        </w:rPr>
        <w:t xml:space="preserve"> que, además, </w:t>
      </w:r>
      <w:r w:rsidRPr="004068F6">
        <w:rPr>
          <w:spacing w:val="-3"/>
        </w:rPr>
        <w:t>se clasifican por tamaño en microfauna (&lt;63 µm), meiofauna (42-500 µm), macrofauna (500 µm - 2 cm) y megafauna (&gt;2 cm).</w:t>
      </w:r>
    </w:p>
    <w:p w14:paraId="392228B5" w14:textId="77777777" w:rsidR="007828AC" w:rsidRPr="004068F6" w:rsidRDefault="007828AC" w:rsidP="007828AC">
      <w:pPr>
        <w:rPr>
          <w:spacing w:val="-3"/>
        </w:rPr>
      </w:pPr>
    </w:p>
    <w:p w14:paraId="6E8076E0" w14:textId="7D5E902D" w:rsidR="007828AC" w:rsidRPr="004068F6" w:rsidRDefault="007828AC" w:rsidP="00127BD4">
      <w:pPr>
        <w:ind w:left="567"/>
        <w:rPr>
          <w:spacing w:val="-3"/>
        </w:rPr>
      </w:pPr>
      <w:r w:rsidRPr="004068F6">
        <w:rPr>
          <w:spacing w:val="-3"/>
        </w:rPr>
        <w:t xml:space="preserve">Para la epifauna, se </w:t>
      </w:r>
      <w:r w:rsidR="00467724" w:rsidRPr="004068F6">
        <w:rPr>
          <w:spacing w:val="-3"/>
        </w:rPr>
        <w:t xml:space="preserve">pueden emplear </w:t>
      </w:r>
      <w:r w:rsidRPr="004068F6">
        <w:rPr>
          <w:spacing w:val="-3"/>
        </w:rPr>
        <w:t xml:space="preserve">redes de arrastre tipo Beamtrawl, redes demersales semi-globo (semiballon otter trawl) y redes de arrastre Agassiz para recolectar grandes invertebrados y peces asociados al fondo. También se pueden </w:t>
      </w:r>
      <w:r w:rsidR="00992893" w:rsidRPr="004068F6">
        <w:rPr>
          <w:spacing w:val="-3"/>
        </w:rPr>
        <w:t>utilizar</w:t>
      </w:r>
      <w:r w:rsidRPr="004068F6">
        <w:rPr>
          <w:spacing w:val="-3"/>
        </w:rPr>
        <w:t xml:space="preserve"> trineos de fondo para recolectar macrofauna superficial y organismos en los primeros centímetros del sedimento. Igualmente, se han desarrollado nuevos métodos para recolectar información</w:t>
      </w:r>
      <w:r w:rsidR="00992893" w:rsidRPr="004068F6">
        <w:rPr>
          <w:spacing w:val="-3"/>
        </w:rPr>
        <w:t>,</w:t>
      </w:r>
      <w:r w:rsidRPr="004068F6">
        <w:rPr>
          <w:spacing w:val="-3"/>
        </w:rPr>
        <w:t xml:space="preserve"> especialmente en ambientes profundos, como el uso de vehículos operados remotamente (ROV) o vehículos submarinos autónomos (AUV) que permiten realizar transectos de video y fotografías</w:t>
      </w:r>
    </w:p>
    <w:p w14:paraId="515D6862" w14:textId="77777777" w:rsidR="007828AC" w:rsidRPr="004068F6" w:rsidRDefault="007828AC" w:rsidP="007828AC">
      <w:pPr>
        <w:rPr>
          <w:spacing w:val="-3"/>
        </w:rPr>
      </w:pPr>
    </w:p>
    <w:p w14:paraId="077A5EEE" w14:textId="77777777" w:rsidR="007828AC" w:rsidRPr="004068F6" w:rsidRDefault="007828AC" w:rsidP="00127BD4">
      <w:pPr>
        <w:ind w:left="567"/>
        <w:rPr>
          <w:spacing w:val="-3"/>
        </w:rPr>
      </w:pPr>
      <w:r w:rsidRPr="004068F6">
        <w:rPr>
          <w:spacing w:val="-3"/>
        </w:rPr>
        <w:t>Para la infauna, se pueden emplear dragas Van Veen, Box-Corer y muestreadores de tubo (piston core), que permiten recuperar muestras de sedimento con los organismos presentes en su interior.</w:t>
      </w:r>
    </w:p>
    <w:p w14:paraId="7C989671" w14:textId="77777777" w:rsidR="007828AC" w:rsidRPr="004068F6" w:rsidRDefault="007828AC" w:rsidP="007828AC">
      <w:pPr>
        <w:rPr>
          <w:spacing w:val="-3"/>
        </w:rPr>
      </w:pPr>
    </w:p>
    <w:p w14:paraId="04D05FEB" w14:textId="13DC4BEE" w:rsidR="007828AC" w:rsidRPr="004068F6" w:rsidRDefault="007828AC" w:rsidP="00127BD4">
      <w:pPr>
        <w:ind w:left="567"/>
        <w:rPr>
          <w:spacing w:val="-3"/>
        </w:rPr>
      </w:pPr>
      <w:r w:rsidRPr="004068F6">
        <w:rPr>
          <w:spacing w:val="-3"/>
        </w:rPr>
        <w:t>Para garantizar la precisión y comparabilidad de los resultados, es importante estandarizar el tiempo, la velocidad y el área de arrastre en los muestreos. La selección del equipo depende de la caracterización previa del fondo marino, la cual puede realizarse mediante ecosondas multihaz o unihaz, modelos digitales del terreno y análisis de imágenes del fondo.</w:t>
      </w:r>
    </w:p>
    <w:p w14:paraId="4A373FE3" w14:textId="77777777" w:rsidR="007828AC" w:rsidRPr="004068F6" w:rsidRDefault="007828AC" w:rsidP="00C86DA5">
      <w:pPr>
        <w:rPr>
          <w:spacing w:val="-3"/>
        </w:rPr>
      </w:pPr>
    </w:p>
    <w:p w14:paraId="57910D01" w14:textId="09ACAB55" w:rsidR="00482A5F" w:rsidRPr="004068F6" w:rsidRDefault="00482A5F" w:rsidP="00977C86">
      <w:pPr>
        <w:pStyle w:val="Prrafodelista"/>
        <w:numPr>
          <w:ilvl w:val="0"/>
          <w:numId w:val="85"/>
        </w:numPr>
        <w:tabs>
          <w:tab w:val="left" w:pos="-2268"/>
        </w:tabs>
        <w:suppressAutoHyphens/>
        <w:ind w:left="567" w:hanging="567"/>
        <w:rPr>
          <w:rFonts w:cs="Arial"/>
          <w:spacing w:val="-3"/>
          <w:lang w:val="es-CO"/>
        </w:rPr>
      </w:pPr>
      <w:r w:rsidRPr="004068F6">
        <w:rPr>
          <w:rFonts w:cs="Arial"/>
          <w:bCs/>
          <w:spacing w:val="-3"/>
          <w:u w:val="single"/>
          <w:lang w:val="es-CO"/>
        </w:rPr>
        <w:t>Formaciones coralinas</w:t>
      </w:r>
      <w:r w:rsidR="0040527B" w:rsidRPr="004068F6">
        <w:rPr>
          <w:rFonts w:cs="Arial"/>
          <w:bCs/>
          <w:spacing w:val="-3"/>
          <w:u w:val="single"/>
          <w:lang w:val="es-CO"/>
        </w:rPr>
        <w:t xml:space="preserve"> someras</w:t>
      </w:r>
      <w:r w:rsidRPr="004068F6">
        <w:rPr>
          <w:rFonts w:cs="Arial"/>
          <w:bCs/>
          <w:spacing w:val="-3"/>
          <w:u w:val="single"/>
          <w:lang w:val="es-CO"/>
        </w:rPr>
        <w:t>:</w:t>
      </w:r>
      <w:r w:rsidRPr="004068F6">
        <w:rPr>
          <w:rFonts w:cs="Arial"/>
          <w:bCs/>
          <w:spacing w:val="-3"/>
          <w:lang w:val="es-CO"/>
        </w:rPr>
        <w:t xml:space="preserve"> </w:t>
      </w:r>
      <w:r w:rsidR="0077382E" w:rsidRPr="004068F6">
        <w:rPr>
          <w:rFonts w:cs="Arial"/>
          <w:spacing w:val="-3"/>
          <w:lang w:val="es-CO"/>
        </w:rPr>
        <w:t>l</w:t>
      </w:r>
      <w:r w:rsidRPr="004068F6">
        <w:rPr>
          <w:rFonts w:cs="Arial"/>
          <w:spacing w:val="-3"/>
          <w:lang w:val="es-CO"/>
        </w:rPr>
        <w:t xml:space="preserve">a caracterización de formaciones coralinas se efectúa inicialmente </w:t>
      </w:r>
      <w:r w:rsidR="006063B0" w:rsidRPr="004068F6">
        <w:rPr>
          <w:rFonts w:cs="Arial"/>
          <w:spacing w:val="-3"/>
          <w:lang w:val="es-CO"/>
        </w:rPr>
        <w:t xml:space="preserve">determinando </w:t>
      </w:r>
      <w:r w:rsidRPr="004068F6">
        <w:rPr>
          <w:rFonts w:cs="Arial"/>
          <w:spacing w:val="-3"/>
          <w:lang w:val="es-CO"/>
        </w:rPr>
        <w:t xml:space="preserve">el tamaño de la formación para así realizar el mapeo de </w:t>
      </w:r>
      <w:r w:rsidR="007E4BA6" w:rsidRPr="004068F6">
        <w:rPr>
          <w:rFonts w:cs="Arial"/>
          <w:spacing w:val="-3"/>
          <w:lang w:val="es-CO"/>
        </w:rPr>
        <w:t>é</w:t>
      </w:r>
      <w:r w:rsidRPr="004068F6">
        <w:rPr>
          <w:rFonts w:cs="Arial"/>
          <w:spacing w:val="-3"/>
          <w:lang w:val="es-CO"/>
        </w:rPr>
        <w:t xml:space="preserve">sta. Posteriormente, para determinar los atributos de cada formación se debe tener en cuenta por medio de transectos paralelos a la línea de costa y a diferentes profundidades (a criterio del experto), la cobertura de corales (duros y blandos), macroalgas, densidad y biomasa de peces (herbívoros y comerciales) e invertebrados vágiles siguiendo el </w:t>
      </w:r>
      <w:r w:rsidR="00CE285C" w:rsidRPr="004068F6">
        <w:rPr>
          <w:rFonts w:cs="Arial"/>
          <w:spacing w:val="-3"/>
          <w:lang w:val="es-CO"/>
        </w:rPr>
        <w:t>P</w:t>
      </w:r>
      <w:r w:rsidRPr="004068F6">
        <w:rPr>
          <w:rFonts w:cs="Arial"/>
          <w:spacing w:val="-3"/>
          <w:lang w:val="es-CO"/>
        </w:rPr>
        <w:t xml:space="preserve">rotocolo </w:t>
      </w:r>
      <w:r w:rsidR="00CE285C" w:rsidRPr="004068F6">
        <w:rPr>
          <w:rFonts w:cs="Arial"/>
          <w:spacing w:val="-3"/>
          <w:lang w:val="es-CO"/>
        </w:rPr>
        <w:t xml:space="preserve">indicador </w:t>
      </w:r>
      <w:r w:rsidRPr="004068F6">
        <w:rPr>
          <w:rFonts w:cs="Arial"/>
          <w:spacing w:val="-3"/>
          <w:lang w:val="es-CO"/>
        </w:rPr>
        <w:t xml:space="preserve">de </w:t>
      </w:r>
      <w:r w:rsidRPr="004068F6">
        <w:rPr>
          <w:rFonts w:cs="Arial"/>
          <w:spacing w:val="-3"/>
          <w:lang w:val="es-CO"/>
        </w:rPr>
        <w:lastRenderedPageBreak/>
        <w:t xml:space="preserve">Condición Tendencia </w:t>
      </w:r>
      <w:r w:rsidR="00D53DA6" w:rsidRPr="004068F6">
        <w:rPr>
          <w:rFonts w:cs="Arial"/>
          <w:spacing w:val="-3"/>
          <w:lang w:val="es-CO"/>
        </w:rPr>
        <w:t xml:space="preserve">Áreas Coralinas </w:t>
      </w:r>
      <w:r w:rsidR="00961255" w:rsidRPr="004068F6">
        <w:rPr>
          <w:rFonts w:cs="Arial"/>
          <w:szCs w:val="20"/>
          <w:lang w:val="es-CO"/>
        </w:rPr>
        <w:t>(ICT</w:t>
      </w:r>
      <w:r w:rsidR="00961255" w:rsidRPr="004068F6">
        <w:rPr>
          <w:rFonts w:cs="Arial"/>
          <w:szCs w:val="20"/>
          <w:vertAlign w:val="subscript"/>
          <w:lang w:val="es-CO"/>
        </w:rPr>
        <w:t>AC</w:t>
      </w:r>
      <w:r w:rsidR="00961255" w:rsidRPr="004068F6">
        <w:rPr>
          <w:rFonts w:cs="Arial"/>
          <w:szCs w:val="20"/>
          <w:lang w:val="es-CO"/>
        </w:rPr>
        <w:t xml:space="preserve">) </w:t>
      </w:r>
      <w:r w:rsidR="00D53DA6" w:rsidRPr="004068F6">
        <w:rPr>
          <w:rFonts w:cs="Arial"/>
          <w:spacing w:val="-3"/>
          <w:lang w:val="es-CO"/>
        </w:rPr>
        <w:t>de Rodríguez-Rincón et al. (2014)</w:t>
      </w:r>
      <w:r w:rsidRPr="004068F6">
        <w:rPr>
          <w:rStyle w:val="Refdenotaalpie"/>
          <w:rFonts w:cs="Arial"/>
          <w:spacing w:val="-3"/>
          <w:lang w:val="es-CO"/>
        </w:rPr>
        <w:footnoteReference w:id="162"/>
      </w:r>
      <w:r w:rsidRPr="004068F6">
        <w:rPr>
          <w:rFonts w:cs="Arial"/>
          <w:spacing w:val="-3"/>
          <w:lang w:val="es-CO"/>
        </w:rPr>
        <w:t>.</w:t>
      </w:r>
    </w:p>
    <w:p w14:paraId="72ACCA48" w14:textId="77777777" w:rsidR="00482A5F" w:rsidRPr="004068F6" w:rsidRDefault="00482A5F" w:rsidP="00C86DA5">
      <w:pPr>
        <w:rPr>
          <w:rFonts w:cs="Arial"/>
          <w:bCs/>
          <w:spacing w:val="-3"/>
        </w:rPr>
      </w:pPr>
    </w:p>
    <w:p w14:paraId="69D93413" w14:textId="755C1556" w:rsidR="00482A5F" w:rsidRPr="004068F6" w:rsidRDefault="00482A5F" w:rsidP="00977C86">
      <w:pPr>
        <w:pStyle w:val="Prrafodelista"/>
        <w:numPr>
          <w:ilvl w:val="0"/>
          <w:numId w:val="85"/>
        </w:numPr>
        <w:tabs>
          <w:tab w:val="left" w:pos="-2268"/>
        </w:tabs>
        <w:suppressAutoHyphens/>
        <w:ind w:left="567" w:hanging="567"/>
        <w:rPr>
          <w:rFonts w:cs="Arial"/>
          <w:spacing w:val="-3"/>
          <w:lang w:val="es-CO"/>
        </w:rPr>
      </w:pPr>
      <w:r w:rsidRPr="004068F6">
        <w:rPr>
          <w:rFonts w:cs="Arial"/>
          <w:bCs/>
          <w:spacing w:val="-3"/>
          <w:u w:val="single"/>
          <w:lang w:val="es-CO"/>
        </w:rPr>
        <w:t>Praderas de pastos marinos:</w:t>
      </w:r>
      <w:r w:rsidRPr="004068F6">
        <w:rPr>
          <w:rFonts w:cs="Arial"/>
          <w:spacing w:val="-3"/>
          <w:lang w:val="es-CO"/>
        </w:rPr>
        <w:t xml:space="preserve"> </w:t>
      </w:r>
      <w:r w:rsidR="0077382E" w:rsidRPr="004068F6">
        <w:rPr>
          <w:rFonts w:cs="Arial"/>
          <w:spacing w:val="-3"/>
          <w:lang w:val="es-CO"/>
        </w:rPr>
        <w:t>e</w:t>
      </w:r>
      <w:r w:rsidRPr="004068F6">
        <w:rPr>
          <w:rFonts w:cs="Arial"/>
          <w:spacing w:val="-3"/>
          <w:lang w:val="es-CO"/>
        </w:rPr>
        <w:t xml:space="preserve">l muestreo de pastos marinos se efectúa inicialmente </w:t>
      </w:r>
      <w:r w:rsidR="0077382E" w:rsidRPr="004068F6">
        <w:rPr>
          <w:rFonts w:cs="Arial"/>
          <w:spacing w:val="-3"/>
          <w:lang w:val="es-CO"/>
        </w:rPr>
        <w:t xml:space="preserve">efectuando su mapeo </w:t>
      </w:r>
      <w:r w:rsidR="006063B0" w:rsidRPr="004068F6">
        <w:rPr>
          <w:rFonts w:cs="Arial"/>
          <w:spacing w:val="-3"/>
          <w:lang w:val="es-CO"/>
        </w:rPr>
        <w:t>y determin</w:t>
      </w:r>
      <w:r w:rsidRPr="004068F6">
        <w:rPr>
          <w:rFonts w:cs="Arial"/>
          <w:spacing w:val="-3"/>
          <w:lang w:val="es-CO"/>
        </w:rPr>
        <w:t>ando el tamaño de la pradera. A criterio del experto y en el caso de praderas grandes (áreas mayores a 100</w:t>
      </w:r>
      <w:r w:rsidR="00AD06AD" w:rsidRPr="004068F6">
        <w:rPr>
          <w:rFonts w:cs="Arial"/>
          <w:spacing w:val="-3"/>
          <w:lang w:val="es-CO"/>
        </w:rPr>
        <w:t xml:space="preserve"> </w:t>
      </w:r>
      <w:r w:rsidRPr="004068F6">
        <w:rPr>
          <w:rFonts w:cs="Arial"/>
          <w:spacing w:val="-3"/>
          <w:lang w:val="es-CO"/>
        </w:rPr>
        <w:t>m</w:t>
      </w:r>
      <w:r w:rsidRPr="004068F6">
        <w:rPr>
          <w:rFonts w:cs="Arial"/>
          <w:spacing w:val="-3"/>
          <w:vertAlign w:val="superscript"/>
          <w:lang w:val="es-CO"/>
        </w:rPr>
        <w:t>2</w:t>
      </w:r>
      <w:r w:rsidRPr="004068F6">
        <w:rPr>
          <w:rFonts w:cs="Arial"/>
          <w:spacing w:val="-3"/>
          <w:lang w:val="es-CO"/>
        </w:rPr>
        <w:t xml:space="preserve">) se </w:t>
      </w:r>
      <w:r w:rsidR="00AD06AD" w:rsidRPr="004068F6">
        <w:rPr>
          <w:rFonts w:cs="Arial"/>
          <w:spacing w:val="-3"/>
          <w:lang w:val="es-CO"/>
        </w:rPr>
        <w:t xml:space="preserve">deben </w:t>
      </w:r>
      <w:r w:rsidRPr="004068F6">
        <w:rPr>
          <w:rFonts w:cs="Arial"/>
          <w:spacing w:val="-3"/>
          <w:lang w:val="es-CO"/>
        </w:rPr>
        <w:t>emplear transectos de 10</w:t>
      </w:r>
      <w:r w:rsidR="00AD06AD" w:rsidRPr="004068F6">
        <w:rPr>
          <w:rFonts w:cs="Arial"/>
          <w:spacing w:val="-3"/>
          <w:lang w:val="es-CO"/>
        </w:rPr>
        <w:t xml:space="preserve"> </w:t>
      </w:r>
      <w:r w:rsidRPr="004068F6">
        <w:rPr>
          <w:rFonts w:cs="Arial"/>
          <w:spacing w:val="-3"/>
          <w:lang w:val="es-CO"/>
        </w:rPr>
        <w:t>m, y sobre ellos cuadrantes de 50</w:t>
      </w:r>
      <w:r w:rsidR="00AD06AD" w:rsidRPr="004068F6">
        <w:rPr>
          <w:rFonts w:cs="Arial"/>
          <w:spacing w:val="-3"/>
          <w:lang w:val="es-CO"/>
        </w:rPr>
        <w:t xml:space="preserve"> </w:t>
      </w:r>
      <w:r w:rsidRPr="004068F6">
        <w:rPr>
          <w:rFonts w:cs="Arial"/>
          <w:spacing w:val="-3"/>
          <w:lang w:val="es-CO"/>
        </w:rPr>
        <w:t>x</w:t>
      </w:r>
      <w:r w:rsidR="00AD06AD" w:rsidRPr="004068F6">
        <w:rPr>
          <w:rFonts w:cs="Arial"/>
          <w:spacing w:val="-3"/>
          <w:lang w:val="es-CO"/>
        </w:rPr>
        <w:t xml:space="preserve"> </w:t>
      </w:r>
      <w:r w:rsidRPr="004068F6">
        <w:rPr>
          <w:rFonts w:cs="Arial"/>
          <w:spacing w:val="-3"/>
          <w:lang w:val="es-CO"/>
        </w:rPr>
        <w:t>50</w:t>
      </w:r>
      <w:r w:rsidR="00AD06AD" w:rsidRPr="004068F6">
        <w:rPr>
          <w:rFonts w:cs="Arial"/>
          <w:spacing w:val="-3"/>
          <w:lang w:val="es-CO"/>
        </w:rPr>
        <w:t xml:space="preserve"> </w:t>
      </w:r>
      <w:r w:rsidRPr="004068F6">
        <w:rPr>
          <w:rFonts w:cs="Arial"/>
          <w:spacing w:val="-3"/>
          <w:lang w:val="es-CO"/>
        </w:rPr>
        <w:t>cm. En el caso de las praderas pequeñas (áreas menores a 100</w:t>
      </w:r>
      <w:r w:rsidR="00AD06AD" w:rsidRPr="004068F6">
        <w:rPr>
          <w:rFonts w:cs="Arial"/>
          <w:spacing w:val="-3"/>
          <w:lang w:val="es-CO"/>
        </w:rPr>
        <w:t xml:space="preserve"> </w:t>
      </w:r>
      <w:r w:rsidRPr="004068F6">
        <w:rPr>
          <w:rFonts w:cs="Arial"/>
          <w:spacing w:val="-3"/>
          <w:lang w:val="es-CO"/>
        </w:rPr>
        <w:t>m</w:t>
      </w:r>
      <w:r w:rsidRPr="004068F6">
        <w:rPr>
          <w:rFonts w:cs="Arial"/>
          <w:spacing w:val="-3"/>
          <w:vertAlign w:val="superscript"/>
          <w:lang w:val="es-CO"/>
        </w:rPr>
        <w:t>2</w:t>
      </w:r>
      <w:r w:rsidRPr="004068F6">
        <w:rPr>
          <w:rFonts w:cs="Arial"/>
          <w:spacing w:val="-3"/>
          <w:lang w:val="es-CO"/>
        </w:rPr>
        <w:t>) de tipo parche en donde el transecto de 10</w:t>
      </w:r>
      <w:r w:rsidR="00AD06AD" w:rsidRPr="004068F6">
        <w:rPr>
          <w:rFonts w:cs="Arial"/>
          <w:spacing w:val="-3"/>
          <w:lang w:val="es-CO"/>
        </w:rPr>
        <w:t xml:space="preserve"> </w:t>
      </w:r>
      <w:r w:rsidRPr="004068F6">
        <w:rPr>
          <w:rFonts w:cs="Arial"/>
          <w:spacing w:val="-3"/>
          <w:lang w:val="es-CO"/>
        </w:rPr>
        <w:t>m se sal</w:t>
      </w:r>
      <w:r w:rsidR="00AD06AD" w:rsidRPr="004068F6">
        <w:rPr>
          <w:rFonts w:cs="Arial"/>
          <w:spacing w:val="-3"/>
          <w:lang w:val="es-CO"/>
        </w:rPr>
        <w:t>e</w:t>
      </w:r>
      <w:r w:rsidRPr="004068F6">
        <w:rPr>
          <w:rFonts w:cs="Arial"/>
          <w:spacing w:val="-3"/>
          <w:lang w:val="es-CO"/>
        </w:rPr>
        <w:t xml:space="preserve"> de </w:t>
      </w:r>
      <w:r w:rsidR="00AD06AD" w:rsidRPr="004068F6">
        <w:rPr>
          <w:rFonts w:cs="Arial"/>
          <w:spacing w:val="-3"/>
          <w:lang w:val="es-CO"/>
        </w:rPr>
        <w:t>la pradera</w:t>
      </w:r>
      <w:r w:rsidRPr="004068F6">
        <w:rPr>
          <w:rFonts w:cs="Arial"/>
          <w:spacing w:val="-3"/>
          <w:lang w:val="es-CO"/>
        </w:rPr>
        <w:t xml:space="preserve">, </w:t>
      </w:r>
      <w:r w:rsidR="00AD06AD" w:rsidRPr="004068F6">
        <w:rPr>
          <w:rFonts w:cs="Arial"/>
          <w:spacing w:val="-3"/>
          <w:lang w:val="es-CO"/>
        </w:rPr>
        <w:t xml:space="preserve">se deben </w:t>
      </w:r>
      <w:r w:rsidRPr="004068F6">
        <w:rPr>
          <w:rFonts w:cs="Arial"/>
          <w:spacing w:val="-3"/>
          <w:lang w:val="es-CO"/>
        </w:rPr>
        <w:t>lanzar cuadrantes de 50</w:t>
      </w:r>
      <w:r w:rsidR="00AD06AD" w:rsidRPr="004068F6">
        <w:rPr>
          <w:rFonts w:cs="Arial"/>
          <w:spacing w:val="-3"/>
          <w:lang w:val="es-CO"/>
        </w:rPr>
        <w:t xml:space="preserve"> </w:t>
      </w:r>
      <w:r w:rsidRPr="004068F6">
        <w:rPr>
          <w:rFonts w:cs="Arial"/>
          <w:spacing w:val="-3"/>
          <w:lang w:val="es-CO"/>
        </w:rPr>
        <w:t>x</w:t>
      </w:r>
      <w:r w:rsidR="00AD06AD" w:rsidRPr="004068F6">
        <w:rPr>
          <w:rFonts w:cs="Arial"/>
          <w:spacing w:val="-3"/>
          <w:lang w:val="es-CO"/>
        </w:rPr>
        <w:t xml:space="preserve"> </w:t>
      </w:r>
      <w:r w:rsidRPr="004068F6">
        <w:rPr>
          <w:rFonts w:cs="Arial"/>
          <w:spacing w:val="-3"/>
          <w:lang w:val="es-CO"/>
        </w:rPr>
        <w:t>50</w:t>
      </w:r>
      <w:r w:rsidR="00AD06AD" w:rsidRPr="004068F6">
        <w:rPr>
          <w:rFonts w:cs="Arial"/>
          <w:spacing w:val="-3"/>
          <w:lang w:val="es-CO"/>
        </w:rPr>
        <w:t xml:space="preserve"> </w:t>
      </w:r>
      <w:r w:rsidRPr="004068F6">
        <w:rPr>
          <w:rFonts w:cs="Arial"/>
          <w:spacing w:val="-3"/>
          <w:lang w:val="es-CO"/>
        </w:rPr>
        <w:t xml:space="preserve">cm aleatoriamente en el interior del parche. En cualquiera de los casos y al interior de cada cuadrante se </w:t>
      </w:r>
      <w:r w:rsidR="007E4BA6" w:rsidRPr="004068F6">
        <w:rPr>
          <w:rFonts w:cs="Arial"/>
          <w:spacing w:val="-3"/>
          <w:lang w:val="es-CO"/>
        </w:rPr>
        <w:t xml:space="preserve">debe </w:t>
      </w:r>
      <w:r w:rsidRPr="004068F6">
        <w:rPr>
          <w:rFonts w:cs="Arial"/>
          <w:spacing w:val="-3"/>
          <w:lang w:val="es-CO"/>
        </w:rPr>
        <w:t xml:space="preserve">tomar información de las especies de pastos, porcentajes de cobertura, densidades y altura de las hojas. Adicionalmente, se </w:t>
      </w:r>
      <w:r w:rsidR="007E4BA6" w:rsidRPr="004068F6">
        <w:rPr>
          <w:rFonts w:cs="Arial"/>
          <w:spacing w:val="-3"/>
          <w:lang w:val="es-CO"/>
        </w:rPr>
        <w:t xml:space="preserve">debe </w:t>
      </w:r>
      <w:r w:rsidRPr="004068F6">
        <w:rPr>
          <w:rFonts w:cs="Arial"/>
          <w:spacing w:val="-3"/>
          <w:lang w:val="es-CO"/>
        </w:rPr>
        <w:t xml:space="preserve">cuantificar la presencia de corales (duros y blandos), </w:t>
      </w:r>
      <w:r w:rsidR="007E4BA6" w:rsidRPr="004068F6">
        <w:rPr>
          <w:rFonts w:cs="Arial"/>
          <w:spacing w:val="-3"/>
          <w:lang w:val="es-CO"/>
        </w:rPr>
        <w:t xml:space="preserve">la </w:t>
      </w:r>
      <w:r w:rsidRPr="004068F6">
        <w:rPr>
          <w:rFonts w:cs="Arial"/>
          <w:spacing w:val="-3"/>
          <w:lang w:val="es-CO"/>
        </w:rPr>
        <w:t>densidad de peces herbívoros y de importancia económica</w:t>
      </w:r>
      <w:r w:rsidR="007E4BA6" w:rsidRPr="004068F6">
        <w:rPr>
          <w:rFonts w:cs="Arial"/>
          <w:spacing w:val="-3"/>
          <w:lang w:val="es-CO"/>
        </w:rPr>
        <w:t xml:space="preserve">; asimismo se debe elaborar </w:t>
      </w:r>
      <w:r w:rsidRPr="004068F6">
        <w:rPr>
          <w:rFonts w:cs="Arial"/>
          <w:spacing w:val="-3"/>
          <w:lang w:val="es-CO"/>
        </w:rPr>
        <w:t xml:space="preserve">un listado de la fauna asociada (invertebrados vágiles) a la pradera siguiendo el </w:t>
      </w:r>
      <w:r w:rsidR="00D53DA6" w:rsidRPr="004068F6">
        <w:rPr>
          <w:rFonts w:cs="Arial"/>
          <w:spacing w:val="-3"/>
          <w:lang w:val="es-CO"/>
        </w:rPr>
        <w:t>P</w:t>
      </w:r>
      <w:r w:rsidRPr="004068F6">
        <w:rPr>
          <w:rFonts w:cs="Arial"/>
          <w:spacing w:val="-3"/>
          <w:lang w:val="es-CO"/>
        </w:rPr>
        <w:t xml:space="preserve">rotocolo </w:t>
      </w:r>
      <w:r w:rsidR="004F4839" w:rsidRPr="004068F6">
        <w:rPr>
          <w:rFonts w:cs="Arial"/>
          <w:spacing w:val="-3"/>
          <w:lang w:val="es-CO"/>
        </w:rPr>
        <w:t xml:space="preserve">Indicador </w:t>
      </w:r>
      <w:r w:rsidRPr="004068F6">
        <w:rPr>
          <w:rFonts w:cs="Arial"/>
          <w:spacing w:val="-3"/>
          <w:lang w:val="es-CO"/>
        </w:rPr>
        <w:t xml:space="preserve">Condición Tendencia </w:t>
      </w:r>
      <w:r w:rsidR="004F4839" w:rsidRPr="004068F6">
        <w:rPr>
          <w:rFonts w:cs="Arial"/>
          <w:szCs w:val="20"/>
          <w:lang w:val="es-CO"/>
        </w:rPr>
        <w:t>Praderas de Pastos Marinos (ICT</w:t>
      </w:r>
      <w:r w:rsidR="004F4839" w:rsidRPr="004068F6">
        <w:rPr>
          <w:rFonts w:cs="Arial"/>
          <w:szCs w:val="20"/>
          <w:vertAlign w:val="subscript"/>
          <w:lang w:val="es-CO"/>
        </w:rPr>
        <w:t>PM</w:t>
      </w:r>
      <w:r w:rsidR="004F4839" w:rsidRPr="004068F6">
        <w:rPr>
          <w:rFonts w:cs="Arial"/>
          <w:szCs w:val="20"/>
          <w:lang w:val="es-CO"/>
        </w:rPr>
        <w:t>) de Gómez-López et al. (2014)</w:t>
      </w:r>
      <w:r w:rsidRPr="004068F6">
        <w:rPr>
          <w:rFonts w:cs="Arial"/>
          <w:spacing w:val="-3"/>
          <w:lang w:val="es-CO"/>
        </w:rPr>
        <w:t>.</w:t>
      </w:r>
    </w:p>
    <w:p w14:paraId="4CAFA9EC" w14:textId="77777777" w:rsidR="00482A5F" w:rsidRPr="004068F6" w:rsidRDefault="00482A5F" w:rsidP="00C86DA5">
      <w:pPr>
        <w:rPr>
          <w:rFonts w:cs="Arial"/>
          <w:bCs/>
          <w:spacing w:val="-3"/>
        </w:rPr>
      </w:pPr>
    </w:p>
    <w:p w14:paraId="0A16A797" w14:textId="674D1D89" w:rsidR="00482A5F" w:rsidRPr="004068F6" w:rsidRDefault="00482A5F" w:rsidP="00977C86">
      <w:pPr>
        <w:pStyle w:val="Prrafodelista"/>
        <w:numPr>
          <w:ilvl w:val="0"/>
          <w:numId w:val="85"/>
        </w:numPr>
        <w:tabs>
          <w:tab w:val="left" w:pos="-2268"/>
        </w:tabs>
        <w:suppressAutoHyphens/>
        <w:ind w:left="567" w:hanging="567"/>
        <w:rPr>
          <w:rFonts w:cs="Arial"/>
          <w:spacing w:val="-3"/>
          <w:lang w:val="es-CO"/>
        </w:rPr>
      </w:pPr>
      <w:r w:rsidRPr="004068F6">
        <w:rPr>
          <w:rFonts w:cs="Arial"/>
          <w:bCs/>
          <w:spacing w:val="-3"/>
          <w:u w:val="single"/>
          <w:lang w:val="es-CO"/>
        </w:rPr>
        <w:t>Bosques de manglar:</w:t>
      </w:r>
      <w:r w:rsidRPr="004068F6">
        <w:rPr>
          <w:rFonts w:cs="Arial"/>
          <w:spacing w:val="-3"/>
          <w:lang w:val="es-CO"/>
        </w:rPr>
        <w:t xml:space="preserve"> </w:t>
      </w:r>
      <w:r w:rsidR="0077382E" w:rsidRPr="004068F6">
        <w:rPr>
          <w:rFonts w:cs="Arial"/>
          <w:spacing w:val="-3"/>
          <w:lang w:val="es-CO"/>
        </w:rPr>
        <w:t>e</w:t>
      </w:r>
      <w:r w:rsidRPr="004068F6">
        <w:rPr>
          <w:rFonts w:cs="Arial"/>
          <w:spacing w:val="-3"/>
          <w:lang w:val="es-CO"/>
        </w:rPr>
        <w:t xml:space="preserve">l muestreo de manglar se </w:t>
      </w:r>
      <w:r w:rsidR="00971317" w:rsidRPr="004068F6">
        <w:rPr>
          <w:rFonts w:cs="Arial"/>
          <w:spacing w:val="-3"/>
          <w:lang w:val="es-CO"/>
        </w:rPr>
        <w:t xml:space="preserve">debe </w:t>
      </w:r>
      <w:r w:rsidRPr="004068F6">
        <w:rPr>
          <w:rFonts w:cs="Arial"/>
          <w:spacing w:val="-3"/>
          <w:lang w:val="es-CO"/>
        </w:rPr>
        <w:t xml:space="preserve">efectuar </w:t>
      </w:r>
      <w:r w:rsidR="006063B0" w:rsidRPr="004068F6">
        <w:rPr>
          <w:rFonts w:cs="Arial"/>
          <w:spacing w:val="-3"/>
          <w:lang w:val="es-CO"/>
        </w:rPr>
        <w:t xml:space="preserve">determinando </w:t>
      </w:r>
      <w:r w:rsidRPr="004068F6">
        <w:rPr>
          <w:rFonts w:cs="Arial"/>
          <w:spacing w:val="-3"/>
          <w:lang w:val="es-CO"/>
        </w:rPr>
        <w:t xml:space="preserve">cada árbol hasta el nivel de especie. La caracterización de los bosques de manglar se </w:t>
      </w:r>
      <w:r w:rsidR="00103345" w:rsidRPr="004068F6">
        <w:rPr>
          <w:rFonts w:cs="Arial"/>
          <w:spacing w:val="-3"/>
          <w:lang w:val="es-CO"/>
        </w:rPr>
        <w:t>debe</w:t>
      </w:r>
      <w:r w:rsidRPr="004068F6">
        <w:rPr>
          <w:rFonts w:cs="Arial"/>
          <w:spacing w:val="-3"/>
          <w:lang w:val="es-CO"/>
        </w:rPr>
        <w:t xml:space="preserve"> realizar por medio de transectos rectangulares o circulares en donde se registre el diámetro a la altura de pecho (DAP), la densidad por especie, área basal, altura total </w:t>
      </w:r>
      <w:r w:rsidR="00464AA8" w:rsidRPr="004068F6">
        <w:rPr>
          <w:rFonts w:cs="Arial"/>
          <w:spacing w:val="-3"/>
          <w:lang w:val="es-CO"/>
        </w:rPr>
        <w:t xml:space="preserve">y comercial </w:t>
      </w:r>
      <w:r w:rsidRPr="004068F6">
        <w:rPr>
          <w:rFonts w:cs="Arial"/>
          <w:spacing w:val="-3"/>
          <w:lang w:val="es-CO"/>
        </w:rPr>
        <w:t xml:space="preserve">promedio del bosque, reclutamiento, fauna asociada a las raíces de mangle (punto intercepto) y otra información complementaria siguiendo el </w:t>
      </w:r>
      <w:r w:rsidR="004F4839" w:rsidRPr="004068F6">
        <w:rPr>
          <w:rFonts w:cs="Arial"/>
          <w:spacing w:val="-3"/>
          <w:lang w:val="es-CO"/>
        </w:rPr>
        <w:t>P</w:t>
      </w:r>
      <w:r w:rsidRPr="004068F6">
        <w:rPr>
          <w:rFonts w:cs="Arial"/>
          <w:spacing w:val="-3"/>
          <w:lang w:val="es-CO"/>
        </w:rPr>
        <w:t xml:space="preserve">rotocolo </w:t>
      </w:r>
      <w:r w:rsidR="004F4839" w:rsidRPr="004068F6">
        <w:rPr>
          <w:rFonts w:cs="Arial"/>
          <w:spacing w:val="-3"/>
          <w:lang w:val="es-CO"/>
        </w:rPr>
        <w:t xml:space="preserve">Indicador </w:t>
      </w:r>
      <w:r w:rsidRPr="004068F6">
        <w:rPr>
          <w:rFonts w:cs="Arial"/>
          <w:spacing w:val="-3"/>
          <w:lang w:val="es-CO"/>
        </w:rPr>
        <w:t xml:space="preserve">Condición Tendencia </w:t>
      </w:r>
      <w:r w:rsidR="004F4839" w:rsidRPr="004068F6">
        <w:rPr>
          <w:rFonts w:cs="Arial"/>
          <w:spacing w:val="-3"/>
          <w:lang w:val="es-CO"/>
        </w:rPr>
        <w:t>Bosques de Manglar</w:t>
      </w:r>
      <w:r w:rsidR="00961255" w:rsidRPr="004068F6">
        <w:rPr>
          <w:rFonts w:cs="Arial"/>
          <w:spacing w:val="-3"/>
          <w:lang w:val="es-CO"/>
        </w:rPr>
        <w:t xml:space="preserve"> </w:t>
      </w:r>
      <w:r w:rsidR="00961255" w:rsidRPr="004068F6">
        <w:rPr>
          <w:rFonts w:cs="Arial"/>
          <w:szCs w:val="20"/>
          <w:lang w:val="es-CO"/>
        </w:rPr>
        <w:t>(ICT</w:t>
      </w:r>
      <w:r w:rsidR="00961255" w:rsidRPr="004068F6">
        <w:rPr>
          <w:rFonts w:cs="Arial"/>
          <w:szCs w:val="20"/>
          <w:vertAlign w:val="subscript"/>
          <w:lang w:val="es-CO"/>
        </w:rPr>
        <w:t>BM</w:t>
      </w:r>
      <w:r w:rsidR="00961255" w:rsidRPr="004068F6">
        <w:rPr>
          <w:rFonts w:cs="Arial"/>
          <w:szCs w:val="20"/>
          <w:lang w:val="es-CO"/>
        </w:rPr>
        <w:t>)</w:t>
      </w:r>
      <w:r w:rsidR="004F4839" w:rsidRPr="004068F6">
        <w:rPr>
          <w:rFonts w:cs="Arial"/>
          <w:spacing w:val="-3"/>
          <w:lang w:val="es-CO"/>
        </w:rPr>
        <w:t xml:space="preserve"> de </w:t>
      </w:r>
      <w:r w:rsidR="004F4839" w:rsidRPr="004068F6">
        <w:rPr>
          <w:rFonts w:cs="Arial"/>
          <w:szCs w:val="20"/>
          <w:lang w:val="es-CO"/>
        </w:rPr>
        <w:t xml:space="preserve">Navarrete-Ramírez </w:t>
      </w:r>
      <w:r w:rsidR="00961255" w:rsidRPr="004068F6">
        <w:rPr>
          <w:rFonts w:cs="Arial"/>
          <w:szCs w:val="20"/>
          <w:lang w:val="es-CO"/>
        </w:rPr>
        <w:t>y Rodríguez Rincón</w:t>
      </w:r>
      <w:r w:rsidR="004F4839" w:rsidRPr="004068F6">
        <w:rPr>
          <w:rFonts w:cs="Arial"/>
          <w:szCs w:val="20"/>
          <w:lang w:val="es-CO"/>
        </w:rPr>
        <w:t xml:space="preserve"> (2014)</w:t>
      </w:r>
      <w:r w:rsidRPr="004068F6">
        <w:rPr>
          <w:rFonts w:cs="Arial"/>
          <w:spacing w:val="-3"/>
          <w:lang w:val="es-CO"/>
        </w:rPr>
        <w:t>.</w:t>
      </w:r>
    </w:p>
    <w:p w14:paraId="22281211" w14:textId="77777777" w:rsidR="00482A5F" w:rsidRPr="004068F6" w:rsidRDefault="00482A5F" w:rsidP="00482A5F">
      <w:pPr>
        <w:rPr>
          <w:rFonts w:cs="Arial"/>
          <w:bCs/>
          <w:spacing w:val="-3"/>
        </w:rPr>
      </w:pPr>
    </w:p>
    <w:p w14:paraId="7649D137" w14:textId="1AC41023" w:rsidR="00482A5F" w:rsidRPr="004068F6" w:rsidRDefault="00482A5F" w:rsidP="00977C86">
      <w:pPr>
        <w:pStyle w:val="Prrafodelista"/>
        <w:numPr>
          <w:ilvl w:val="0"/>
          <w:numId w:val="85"/>
        </w:numPr>
        <w:tabs>
          <w:tab w:val="left" w:pos="-2268"/>
        </w:tabs>
        <w:suppressAutoHyphens/>
        <w:ind w:left="567" w:hanging="567"/>
        <w:rPr>
          <w:rFonts w:cs="Arial"/>
          <w:spacing w:val="-3"/>
          <w:lang w:val="es-CO"/>
        </w:rPr>
      </w:pPr>
      <w:r w:rsidRPr="004068F6">
        <w:rPr>
          <w:rFonts w:cs="Arial"/>
          <w:bCs/>
          <w:spacing w:val="-3"/>
          <w:u w:val="single"/>
          <w:lang w:val="es-CO"/>
        </w:rPr>
        <w:t>Litoral arenoso (playas)</w:t>
      </w:r>
      <w:r w:rsidR="00AD1C51" w:rsidRPr="004068F6">
        <w:rPr>
          <w:rFonts w:cs="Arial"/>
          <w:spacing w:val="-3"/>
          <w:u w:val="single"/>
          <w:lang w:val="es-CO"/>
        </w:rPr>
        <w:t>:</w:t>
      </w:r>
      <w:r w:rsidRPr="004068F6">
        <w:rPr>
          <w:rFonts w:cs="Arial"/>
          <w:spacing w:val="-3"/>
          <w:lang w:val="es-CO"/>
        </w:rPr>
        <w:t xml:space="preserve"> </w:t>
      </w:r>
      <w:r w:rsidR="00AD1C51" w:rsidRPr="004068F6">
        <w:rPr>
          <w:rFonts w:cs="Arial"/>
          <w:spacing w:val="-3"/>
          <w:lang w:val="es-CO"/>
        </w:rPr>
        <w:t>l</w:t>
      </w:r>
      <w:r w:rsidRPr="004068F6">
        <w:rPr>
          <w:rFonts w:cs="Arial"/>
          <w:spacing w:val="-3"/>
          <w:lang w:val="es-CO"/>
        </w:rPr>
        <w:t xml:space="preserve">a caracterización de playas se debe realizar inicialmente con la elaboración de perfiles de playa con base en el </w:t>
      </w:r>
      <w:r w:rsidR="00AD1C51" w:rsidRPr="004068F6">
        <w:rPr>
          <w:rFonts w:cs="Arial"/>
          <w:spacing w:val="-3"/>
          <w:lang w:val="es-CO"/>
        </w:rPr>
        <w:t>“</w:t>
      </w:r>
      <w:r w:rsidR="00961255" w:rsidRPr="004068F6">
        <w:rPr>
          <w:rFonts w:cs="Arial"/>
          <w:spacing w:val="-3"/>
          <w:lang w:val="es-CO"/>
        </w:rPr>
        <w:t>P</w:t>
      </w:r>
      <w:r w:rsidRPr="004068F6">
        <w:rPr>
          <w:rFonts w:cs="Arial"/>
          <w:spacing w:val="-3"/>
          <w:lang w:val="es-CO"/>
        </w:rPr>
        <w:t xml:space="preserve">rotocolo Indicador Variación línea de costa: </w:t>
      </w:r>
      <w:r w:rsidR="00961255" w:rsidRPr="004068F6">
        <w:rPr>
          <w:rFonts w:cs="Arial"/>
          <w:spacing w:val="-3"/>
          <w:lang w:val="es-CO"/>
        </w:rPr>
        <w:t>p</w:t>
      </w:r>
      <w:r w:rsidRPr="004068F6">
        <w:rPr>
          <w:rFonts w:cs="Arial"/>
          <w:spacing w:val="-3"/>
          <w:lang w:val="es-CO"/>
        </w:rPr>
        <w:t>erfiles de playa</w:t>
      </w:r>
      <w:r w:rsidR="00AD1C51" w:rsidRPr="004068F6">
        <w:rPr>
          <w:rFonts w:cs="Arial"/>
          <w:spacing w:val="-3"/>
          <w:lang w:val="es-CO"/>
        </w:rPr>
        <w:t>”</w:t>
      </w:r>
      <w:r w:rsidRPr="004068F6">
        <w:rPr>
          <w:rFonts w:cs="Arial"/>
          <w:spacing w:val="-3"/>
          <w:lang w:val="es-CO"/>
        </w:rPr>
        <w:t xml:space="preserve"> </w:t>
      </w:r>
      <w:r w:rsidR="00961255" w:rsidRPr="004068F6">
        <w:rPr>
          <w:rFonts w:cs="Arial"/>
          <w:spacing w:val="-3"/>
          <w:lang w:val="es-CO"/>
        </w:rPr>
        <w:t>de Navarrete-Ramírez</w:t>
      </w:r>
      <w:r w:rsidR="00961255" w:rsidRPr="004068F6" w:rsidDel="00D53DA6">
        <w:rPr>
          <w:rFonts w:cs="Arial"/>
          <w:spacing w:val="-3"/>
          <w:lang w:val="es-CO"/>
        </w:rPr>
        <w:t xml:space="preserve"> </w:t>
      </w:r>
      <w:r w:rsidR="00961255" w:rsidRPr="004068F6">
        <w:rPr>
          <w:rFonts w:cs="Arial"/>
          <w:spacing w:val="-3"/>
          <w:lang w:val="es-CO"/>
        </w:rPr>
        <w:t>(2014)</w:t>
      </w:r>
      <w:r w:rsidRPr="004068F6">
        <w:rPr>
          <w:rFonts w:cs="Arial"/>
          <w:spacing w:val="-3"/>
          <w:lang w:val="es-CO"/>
        </w:rPr>
        <w:t xml:space="preserve">, incluida la caracterización de sedimentos y granulometría. Igualmente, se debe elaborar la caracterización biológica de sus comunidades por medio de transectos (paralelos a línea de costa, de tamaño determinado por la extensión de la playa y a criterio del experto) y </w:t>
      </w:r>
      <w:r w:rsidR="000557B0" w:rsidRPr="004068F6">
        <w:rPr>
          <w:rFonts w:cs="Arial"/>
          <w:spacing w:val="-3"/>
          <w:lang w:val="es-CO"/>
        </w:rPr>
        <w:t xml:space="preserve">de la </w:t>
      </w:r>
      <w:r w:rsidRPr="004068F6">
        <w:rPr>
          <w:rFonts w:cs="Arial"/>
          <w:spacing w:val="-3"/>
          <w:lang w:val="es-CO"/>
        </w:rPr>
        <w:t>extracción de muestras de arena con nucleadores en los tres niveles de cada playa (supra, meso e infralitoral). Asimismo, se deben cuantificar las madrigueras de cangrejos.</w:t>
      </w:r>
    </w:p>
    <w:p w14:paraId="08EC3048" w14:textId="77777777" w:rsidR="00482A5F" w:rsidRPr="004068F6" w:rsidRDefault="00482A5F" w:rsidP="00C86DA5">
      <w:pPr>
        <w:rPr>
          <w:rFonts w:cs="Arial"/>
          <w:bCs/>
          <w:spacing w:val="-3"/>
        </w:rPr>
      </w:pPr>
    </w:p>
    <w:p w14:paraId="6804F306" w14:textId="5B68DCBA" w:rsidR="00482A5F" w:rsidRPr="004068F6" w:rsidRDefault="00482A5F" w:rsidP="00977C86">
      <w:pPr>
        <w:pStyle w:val="Prrafodelista"/>
        <w:numPr>
          <w:ilvl w:val="0"/>
          <w:numId w:val="85"/>
        </w:numPr>
        <w:tabs>
          <w:tab w:val="left" w:pos="-2268"/>
        </w:tabs>
        <w:suppressAutoHyphens/>
        <w:ind w:left="567" w:hanging="567"/>
        <w:rPr>
          <w:rFonts w:cs="Arial"/>
          <w:spacing w:val="-3"/>
          <w:lang w:val="es-CO"/>
        </w:rPr>
      </w:pPr>
      <w:r w:rsidRPr="004068F6">
        <w:rPr>
          <w:rFonts w:cs="Arial"/>
          <w:bCs/>
          <w:spacing w:val="-3"/>
          <w:u w:val="single"/>
          <w:lang w:val="es-CO"/>
        </w:rPr>
        <w:t>Litorales rocosos (acantilados):</w:t>
      </w:r>
      <w:r w:rsidRPr="004068F6">
        <w:rPr>
          <w:rFonts w:cs="Arial"/>
          <w:bCs/>
          <w:spacing w:val="-3"/>
          <w:lang w:val="es-CO"/>
        </w:rPr>
        <w:t xml:space="preserve"> </w:t>
      </w:r>
      <w:r w:rsidR="00CC473B" w:rsidRPr="004068F6">
        <w:rPr>
          <w:rFonts w:cs="Arial"/>
          <w:spacing w:val="-3"/>
          <w:lang w:val="es-CO"/>
        </w:rPr>
        <w:t>l</w:t>
      </w:r>
      <w:r w:rsidRPr="004068F6">
        <w:rPr>
          <w:rFonts w:cs="Arial"/>
          <w:spacing w:val="-3"/>
          <w:lang w:val="es-CO"/>
        </w:rPr>
        <w:t xml:space="preserve">as comunidades biológicas de los acantilados se </w:t>
      </w:r>
      <w:r w:rsidR="00103345" w:rsidRPr="004068F6">
        <w:rPr>
          <w:rFonts w:cs="Arial"/>
          <w:spacing w:val="-3"/>
          <w:lang w:val="es-CO"/>
        </w:rPr>
        <w:t>deben</w:t>
      </w:r>
      <w:r w:rsidRPr="004068F6">
        <w:rPr>
          <w:rFonts w:cs="Arial"/>
          <w:spacing w:val="-3"/>
          <w:lang w:val="es-CO"/>
        </w:rPr>
        <w:t xml:space="preserve"> caracterizar por medio de transectos de banda paralelos a línea de costa en los tres niveles del litoral (supra, meso y infralitoral). Dependiendo de </w:t>
      </w:r>
      <w:r w:rsidRPr="004068F6">
        <w:rPr>
          <w:rFonts w:cs="Arial"/>
          <w:spacing w:val="-3"/>
          <w:lang w:val="es-CO"/>
        </w:rPr>
        <w:lastRenderedPageBreak/>
        <w:t>las características físicas de</w:t>
      </w:r>
      <w:r w:rsidR="000557B0" w:rsidRPr="004068F6">
        <w:rPr>
          <w:rFonts w:cs="Arial"/>
          <w:spacing w:val="-3"/>
          <w:lang w:val="es-CO"/>
        </w:rPr>
        <w:t>l</w:t>
      </w:r>
      <w:r w:rsidRPr="004068F6">
        <w:rPr>
          <w:rFonts w:cs="Arial"/>
          <w:spacing w:val="-3"/>
          <w:lang w:val="es-CO"/>
        </w:rPr>
        <w:t xml:space="preserve"> acantilado se </w:t>
      </w:r>
      <w:r w:rsidR="000557B0" w:rsidRPr="004068F6">
        <w:rPr>
          <w:rFonts w:cs="Arial"/>
          <w:spacing w:val="-3"/>
          <w:lang w:val="es-CO"/>
        </w:rPr>
        <w:t xml:space="preserve">debe establecer </w:t>
      </w:r>
      <w:r w:rsidRPr="004068F6">
        <w:rPr>
          <w:rFonts w:cs="Arial"/>
          <w:spacing w:val="-3"/>
          <w:lang w:val="es-CO"/>
        </w:rPr>
        <w:t>un número adecuado de cuadrantes al azar</w:t>
      </w:r>
      <w:r w:rsidR="00CC473B" w:rsidRPr="004068F6">
        <w:rPr>
          <w:rFonts w:cs="Arial"/>
          <w:spacing w:val="-3"/>
          <w:lang w:val="es-CO"/>
        </w:rPr>
        <w:t>,</w:t>
      </w:r>
      <w:r w:rsidRPr="004068F6">
        <w:rPr>
          <w:rFonts w:cs="Arial"/>
          <w:spacing w:val="-3"/>
          <w:lang w:val="es-CO"/>
        </w:rPr>
        <w:t xml:space="preserve"> con suficiente representación estadística</w:t>
      </w:r>
      <w:r w:rsidR="00CC473B" w:rsidRPr="004068F6">
        <w:rPr>
          <w:rFonts w:cs="Arial"/>
          <w:spacing w:val="-3"/>
          <w:lang w:val="es-CO"/>
        </w:rPr>
        <w:t>,</w:t>
      </w:r>
      <w:r w:rsidRPr="004068F6">
        <w:rPr>
          <w:rFonts w:cs="Arial"/>
          <w:spacing w:val="-3"/>
          <w:lang w:val="es-CO"/>
        </w:rPr>
        <w:t xml:space="preserve"> en donde se registr</w:t>
      </w:r>
      <w:r w:rsidR="000557B0" w:rsidRPr="004068F6">
        <w:rPr>
          <w:rFonts w:cs="Arial"/>
          <w:spacing w:val="-3"/>
          <w:lang w:val="es-CO"/>
        </w:rPr>
        <w:t>e</w:t>
      </w:r>
      <w:r w:rsidRPr="004068F6">
        <w:rPr>
          <w:rFonts w:cs="Arial"/>
          <w:spacing w:val="-3"/>
          <w:lang w:val="es-CO"/>
        </w:rPr>
        <w:t xml:space="preserve"> la cobertura de organismos sésiles (</w:t>
      </w:r>
      <w:r w:rsidR="00041844" w:rsidRPr="004068F6">
        <w:rPr>
          <w:rFonts w:cs="Arial"/>
          <w:spacing w:val="-3"/>
          <w:lang w:val="es-CO"/>
        </w:rPr>
        <w:t>p. ej.</w:t>
      </w:r>
      <w:r w:rsidR="000557B0" w:rsidRPr="004068F6">
        <w:rPr>
          <w:rFonts w:cs="Arial"/>
          <w:spacing w:val="-3"/>
          <w:lang w:val="es-CO"/>
        </w:rPr>
        <w:t xml:space="preserve"> </w:t>
      </w:r>
      <w:r w:rsidRPr="004068F6">
        <w:rPr>
          <w:rFonts w:cs="Arial"/>
          <w:spacing w:val="-3"/>
          <w:lang w:val="es-CO"/>
        </w:rPr>
        <w:t>algas</w:t>
      </w:r>
      <w:r w:rsidR="000557B0" w:rsidRPr="004068F6">
        <w:rPr>
          <w:rFonts w:cs="Arial"/>
          <w:spacing w:val="-3"/>
          <w:lang w:val="es-CO"/>
        </w:rPr>
        <w:t xml:space="preserve"> y</w:t>
      </w:r>
      <w:r w:rsidRPr="004068F6">
        <w:rPr>
          <w:rFonts w:cs="Arial"/>
          <w:spacing w:val="-3"/>
          <w:lang w:val="es-CO"/>
        </w:rPr>
        <w:t xml:space="preserve"> corales) y se cuantifi</w:t>
      </w:r>
      <w:r w:rsidR="000557B0" w:rsidRPr="004068F6">
        <w:rPr>
          <w:rFonts w:cs="Arial"/>
          <w:spacing w:val="-3"/>
          <w:lang w:val="es-CO"/>
        </w:rPr>
        <w:t xml:space="preserve">que </w:t>
      </w:r>
      <w:r w:rsidRPr="004068F6">
        <w:rPr>
          <w:rFonts w:cs="Arial"/>
          <w:spacing w:val="-3"/>
          <w:lang w:val="es-CO"/>
        </w:rPr>
        <w:t>la presencia de invertebrados vágiles presentes en cada estrato registrado</w:t>
      </w:r>
      <w:r w:rsidR="000557B0" w:rsidRPr="004068F6">
        <w:rPr>
          <w:rFonts w:cs="Arial"/>
          <w:spacing w:val="-3"/>
          <w:lang w:val="es-CO"/>
        </w:rPr>
        <w:t xml:space="preserve">, así como </w:t>
      </w:r>
      <w:r w:rsidRPr="004068F6">
        <w:rPr>
          <w:rFonts w:cs="Arial"/>
          <w:spacing w:val="-3"/>
          <w:lang w:val="es-CO"/>
        </w:rPr>
        <w:t>peces para el estrato infralitoral. Esta metodología se debe ajustar a las características de</w:t>
      </w:r>
      <w:r w:rsidR="000557B0" w:rsidRPr="004068F6">
        <w:rPr>
          <w:rFonts w:cs="Arial"/>
          <w:spacing w:val="-3"/>
          <w:lang w:val="es-CO"/>
        </w:rPr>
        <w:t xml:space="preserve">l </w:t>
      </w:r>
      <w:r w:rsidRPr="004068F6">
        <w:rPr>
          <w:rFonts w:cs="Arial"/>
          <w:spacing w:val="-3"/>
          <w:lang w:val="es-CO"/>
        </w:rPr>
        <w:t xml:space="preserve">acantilado siguiendo el </w:t>
      </w:r>
      <w:r w:rsidR="00953095" w:rsidRPr="004068F6">
        <w:rPr>
          <w:rFonts w:cs="Arial"/>
          <w:spacing w:val="-3"/>
          <w:lang w:val="es-CO"/>
        </w:rPr>
        <w:t xml:space="preserve">documento </w:t>
      </w:r>
      <w:r w:rsidR="00953095" w:rsidRPr="004068F6">
        <w:rPr>
          <w:rFonts w:cs="Arial"/>
          <w:szCs w:val="20"/>
          <w:lang w:val="es-CO"/>
        </w:rPr>
        <w:t>Sampling protocol for assessment of marine diversity on rocky shores</w:t>
      </w:r>
      <w:r w:rsidR="00953095" w:rsidRPr="004068F6">
        <w:rPr>
          <w:rFonts w:cs="Arial"/>
          <w:spacing w:val="-3"/>
          <w:lang w:val="es-CO"/>
        </w:rPr>
        <w:t xml:space="preserve"> de </w:t>
      </w:r>
      <w:r w:rsidR="00953095" w:rsidRPr="004068F6">
        <w:rPr>
          <w:rFonts w:cs="Arial"/>
          <w:szCs w:val="20"/>
          <w:lang w:val="es-CO"/>
        </w:rPr>
        <w:t xml:space="preserve">MBON Pole to Pole (2019), </w:t>
      </w:r>
      <w:r w:rsidRPr="004068F6">
        <w:rPr>
          <w:rFonts w:cs="Arial"/>
          <w:spacing w:val="-3"/>
          <w:lang w:val="es-CO"/>
        </w:rPr>
        <w:t>empleado por Invemar y establecido para este ecosistema en América del Sur.</w:t>
      </w:r>
    </w:p>
    <w:p w14:paraId="20EC2837" w14:textId="77777777" w:rsidR="00482A5F" w:rsidRPr="004068F6" w:rsidRDefault="00482A5F" w:rsidP="00482A5F">
      <w:pPr>
        <w:numPr>
          <w:ilvl w:val="12"/>
          <w:numId w:val="0"/>
        </w:numPr>
        <w:tabs>
          <w:tab w:val="left" w:pos="-2268"/>
        </w:tabs>
        <w:suppressAutoHyphens/>
        <w:rPr>
          <w:rFonts w:cs="Arial"/>
          <w:spacing w:val="-3"/>
        </w:rPr>
      </w:pPr>
    </w:p>
    <w:p w14:paraId="1ECF8333" w14:textId="77777777" w:rsidR="00482A5F" w:rsidRPr="004068F6" w:rsidRDefault="00482A5F">
      <w:pPr>
        <w:tabs>
          <w:tab w:val="left" w:pos="-2268"/>
        </w:tabs>
        <w:suppressAutoHyphens/>
        <w:rPr>
          <w:spacing w:val="-3"/>
          <w:u w:val="single"/>
        </w:rPr>
      </w:pPr>
      <w:r w:rsidRPr="004068F6">
        <w:rPr>
          <w:spacing w:val="-3"/>
          <w:u w:val="single"/>
        </w:rPr>
        <w:t>Fase de laboratorio</w:t>
      </w:r>
    </w:p>
    <w:p w14:paraId="19E8FE5E" w14:textId="77777777" w:rsidR="00482A5F" w:rsidRPr="004068F6" w:rsidRDefault="00482A5F">
      <w:pPr>
        <w:numPr>
          <w:ilvl w:val="12"/>
          <w:numId w:val="0"/>
        </w:numPr>
        <w:tabs>
          <w:tab w:val="left" w:pos="-2268"/>
        </w:tabs>
        <w:suppressAutoHyphens/>
        <w:rPr>
          <w:spacing w:val="-3"/>
        </w:rPr>
      </w:pPr>
    </w:p>
    <w:p w14:paraId="1A731087" w14:textId="25DF58DD" w:rsidR="00482A5F" w:rsidRPr="004068F6" w:rsidRDefault="00482A5F">
      <w:pPr>
        <w:numPr>
          <w:ilvl w:val="12"/>
          <w:numId w:val="0"/>
        </w:numPr>
        <w:tabs>
          <w:tab w:val="left" w:pos="-2268"/>
        </w:tabs>
        <w:suppressAutoHyphens/>
        <w:rPr>
          <w:spacing w:val="-3"/>
        </w:rPr>
      </w:pPr>
      <w:r w:rsidRPr="004068F6">
        <w:rPr>
          <w:spacing w:val="-3"/>
        </w:rPr>
        <w:t xml:space="preserve">Para la determinación taxonómica </w:t>
      </w:r>
      <w:r w:rsidR="006461D3" w:rsidRPr="004068F6">
        <w:rPr>
          <w:spacing w:val="-3"/>
        </w:rPr>
        <w:t xml:space="preserve">de los ejemplares muestreados </w:t>
      </w:r>
      <w:r w:rsidRPr="004068F6">
        <w:rPr>
          <w:spacing w:val="-3"/>
        </w:rPr>
        <w:t xml:space="preserve">se debe asegurar </w:t>
      </w:r>
      <w:r w:rsidRPr="004068F6">
        <w:rPr>
          <w:rFonts w:cs="Arial"/>
          <w:spacing w:val="-3"/>
        </w:rPr>
        <w:t>la cadena de custodia</w:t>
      </w:r>
      <w:r w:rsidR="00E55979" w:rsidRPr="004068F6">
        <w:rPr>
          <w:rFonts w:cs="Arial"/>
          <w:spacing w:val="-3"/>
        </w:rPr>
        <w:t>,</w:t>
      </w:r>
      <w:r w:rsidRPr="004068F6">
        <w:rPr>
          <w:rFonts w:cs="Arial"/>
          <w:spacing w:val="-3"/>
        </w:rPr>
        <w:t xml:space="preserve"> desde la recolección en campo</w:t>
      </w:r>
      <w:r w:rsidR="00E55979" w:rsidRPr="004068F6">
        <w:rPr>
          <w:rFonts w:cs="Arial"/>
          <w:spacing w:val="-3"/>
        </w:rPr>
        <w:t>,</w:t>
      </w:r>
      <w:r w:rsidRPr="004068F6">
        <w:rPr>
          <w:rFonts w:cs="Arial"/>
          <w:spacing w:val="-3"/>
        </w:rPr>
        <w:t xml:space="preserve"> hasta el análisis en laboratorio, para </w:t>
      </w:r>
      <w:r w:rsidR="000557B0" w:rsidRPr="004068F6">
        <w:rPr>
          <w:rFonts w:cs="Arial"/>
          <w:spacing w:val="-3"/>
        </w:rPr>
        <w:t xml:space="preserve">lo </w:t>
      </w:r>
      <w:r w:rsidRPr="004068F6">
        <w:rPr>
          <w:rFonts w:cs="Arial"/>
          <w:spacing w:val="-3"/>
        </w:rPr>
        <w:t xml:space="preserve">cual se debe contar </w:t>
      </w:r>
      <w:r w:rsidRPr="004068F6">
        <w:rPr>
          <w:spacing w:val="-3"/>
        </w:rPr>
        <w:t xml:space="preserve">personal profesional idóneo. </w:t>
      </w:r>
      <w:r w:rsidR="006461D3" w:rsidRPr="004068F6">
        <w:rPr>
          <w:spacing w:val="-3"/>
        </w:rPr>
        <w:t xml:space="preserve">Es </w:t>
      </w:r>
      <w:r w:rsidRPr="004068F6">
        <w:rPr>
          <w:spacing w:val="-3"/>
        </w:rPr>
        <w:t>preciso contar con bibliografía actualizada y especializada, de preferencia nacional y regional. Los resultados se deben expresar en densidad para los ensambles de plancton</w:t>
      </w:r>
      <w:r w:rsidR="00331009" w:rsidRPr="004068F6">
        <w:rPr>
          <w:spacing w:val="-3"/>
        </w:rPr>
        <w:t xml:space="preserve"> (Ind/mL)</w:t>
      </w:r>
      <w:r w:rsidRPr="004068F6">
        <w:rPr>
          <w:spacing w:val="-3"/>
        </w:rPr>
        <w:t>, perifiton</w:t>
      </w:r>
      <w:r w:rsidR="001743BB" w:rsidRPr="004068F6">
        <w:rPr>
          <w:spacing w:val="-3"/>
        </w:rPr>
        <w:t xml:space="preserve"> (Ind/cm</w:t>
      </w:r>
      <w:r w:rsidR="001743BB" w:rsidRPr="004068F6">
        <w:rPr>
          <w:spacing w:val="-3"/>
          <w:vertAlign w:val="superscript"/>
        </w:rPr>
        <w:t>2</w:t>
      </w:r>
      <w:r w:rsidR="001743BB" w:rsidRPr="004068F6">
        <w:rPr>
          <w:spacing w:val="-3"/>
        </w:rPr>
        <w:t>)</w:t>
      </w:r>
      <w:r w:rsidRPr="004068F6">
        <w:rPr>
          <w:spacing w:val="-3"/>
        </w:rPr>
        <w:t xml:space="preserve">, macroinvertebrados </w:t>
      </w:r>
      <w:r w:rsidR="0035429B" w:rsidRPr="004068F6">
        <w:rPr>
          <w:spacing w:val="-3"/>
        </w:rPr>
        <w:t>(Ind/m</w:t>
      </w:r>
      <w:r w:rsidR="0035429B" w:rsidRPr="004068F6">
        <w:rPr>
          <w:spacing w:val="-3"/>
          <w:vertAlign w:val="superscript"/>
        </w:rPr>
        <w:t>2</w:t>
      </w:r>
      <w:r w:rsidR="0035429B" w:rsidRPr="004068F6">
        <w:rPr>
          <w:spacing w:val="-3"/>
        </w:rPr>
        <w:t xml:space="preserve">) </w:t>
      </w:r>
      <w:r w:rsidRPr="004068F6">
        <w:rPr>
          <w:spacing w:val="-3"/>
        </w:rPr>
        <w:t>y macrófitas</w:t>
      </w:r>
      <w:r w:rsidR="00BA7E45" w:rsidRPr="004068F6">
        <w:rPr>
          <w:spacing w:val="-3"/>
        </w:rPr>
        <w:t xml:space="preserve"> (unidades / porcentaje de cobertura)</w:t>
      </w:r>
      <w:r w:rsidRPr="004068F6">
        <w:rPr>
          <w:spacing w:val="-3"/>
        </w:rPr>
        <w:t xml:space="preserve">; </w:t>
      </w:r>
      <w:r w:rsidR="00853600" w:rsidRPr="004068F6">
        <w:rPr>
          <w:spacing w:val="-3"/>
        </w:rPr>
        <w:t xml:space="preserve">sin embargo, para los dos últimos, son válidos resultados en términos de abundancia cuando el método </w:t>
      </w:r>
      <w:r w:rsidR="00A241B0" w:rsidRPr="004068F6">
        <w:rPr>
          <w:spacing w:val="-3"/>
        </w:rPr>
        <w:t xml:space="preserve">utilizado </w:t>
      </w:r>
      <w:r w:rsidR="00853600" w:rsidRPr="004068F6">
        <w:rPr>
          <w:spacing w:val="-3"/>
        </w:rPr>
        <w:t xml:space="preserve">no </w:t>
      </w:r>
      <w:r w:rsidR="005E4E45" w:rsidRPr="004068F6">
        <w:rPr>
          <w:spacing w:val="-3"/>
        </w:rPr>
        <w:t xml:space="preserve">emplee </w:t>
      </w:r>
      <w:r w:rsidR="00853600" w:rsidRPr="004068F6">
        <w:rPr>
          <w:spacing w:val="-3"/>
        </w:rPr>
        <w:t>áreas definidas de muestreo (</w:t>
      </w:r>
      <w:r w:rsidR="00041844" w:rsidRPr="004068F6">
        <w:rPr>
          <w:spacing w:val="-3"/>
        </w:rPr>
        <w:t>p. ej.</w:t>
      </w:r>
      <w:r w:rsidR="00853600" w:rsidRPr="004068F6">
        <w:rPr>
          <w:spacing w:val="-3"/>
        </w:rPr>
        <w:t xml:space="preserve"> red D-net</w:t>
      </w:r>
      <w:r w:rsidR="000557B0" w:rsidRPr="004068F6">
        <w:rPr>
          <w:spacing w:val="-3"/>
        </w:rPr>
        <w:t xml:space="preserve"> y</w:t>
      </w:r>
      <w:r w:rsidR="00853600" w:rsidRPr="004068F6">
        <w:rPr>
          <w:spacing w:val="-3"/>
        </w:rPr>
        <w:t xml:space="preserve"> de pantalla).</w:t>
      </w:r>
      <w:r w:rsidR="0072054C" w:rsidRPr="004068F6">
        <w:rPr>
          <w:spacing w:val="-3"/>
        </w:rPr>
        <w:t xml:space="preserve"> </w:t>
      </w:r>
      <w:r w:rsidR="00853600" w:rsidRPr="004068F6">
        <w:rPr>
          <w:spacing w:val="-3"/>
        </w:rPr>
        <w:t>P</w:t>
      </w:r>
      <w:r w:rsidRPr="004068F6">
        <w:rPr>
          <w:spacing w:val="-3"/>
        </w:rPr>
        <w:t xml:space="preserve">ara el ensamble de peces </w:t>
      </w:r>
      <w:r w:rsidR="005E4E45" w:rsidRPr="004068F6">
        <w:rPr>
          <w:spacing w:val="-3"/>
        </w:rPr>
        <w:t xml:space="preserve">los resultados </w:t>
      </w:r>
      <w:r w:rsidRPr="004068F6">
        <w:rPr>
          <w:spacing w:val="-3"/>
        </w:rPr>
        <w:t xml:space="preserve">se deben expresar en unidades </w:t>
      </w:r>
      <w:r w:rsidR="00C07A97" w:rsidRPr="004068F6">
        <w:rPr>
          <w:spacing w:val="-3"/>
        </w:rPr>
        <w:t>(</w:t>
      </w:r>
      <w:r w:rsidR="00806161" w:rsidRPr="004068F6">
        <w:rPr>
          <w:spacing w:val="-3"/>
        </w:rPr>
        <w:t>cantidad</w:t>
      </w:r>
      <w:r w:rsidR="00C07A97" w:rsidRPr="004068F6">
        <w:rPr>
          <w:spacing w:val="-3"/>
        </w:rPr>
        <w:t xml:space="preserve"> de individuos) </w:t>
      </w:r>
      <w:r w:rsidRPr="004068F6">
        <w:rPr>
          <w:spacing w:val="-3"/>
        </w:rPr>
        <w:t>o unidades por esfuerzo de muestreo.</w:t>
      </w:r>
    </w:p>
    <w:p w14:paraId="4B4DBD3F" w14:textId="77777777" w:rsidR="00482A5F" w:rsidRPr="004068F6" w:rsidRDefault="00482A5F">
      <w:pPr>
        <w:numPr>
          <w:ilvl w:val="12"/>
          <w:numId w:val="0"/>
        </w:numPr>
        <w:tabs>
          <w:tab w:val="left" w:pos="-2268"/>
        </w:tabs>
        <w:suppressAutoHyphens/>
        <w:rPr>
          <w:spacing w:val="-3"/>
        </w:rPr>
      </w:pPr>
    </w:p>
    <w:p w14:paraId="0061E831" w14:textId="0807CB06" w:rsidR="00482A5F" w:rsidRPr="004068F6" w:rsidRDefault="00482A5F" w:rsidP="00977C86">
      <w:pPr>
        <w:pStyle w:val="Prrafodelista"/>
        <w:numPr>
          <w:ilvl w:val="0"/>
          <w:numId w:val="86"/>
        </w:numPr>
        <w:tabs>
          <w:tab w:val="left" w:pos="-2268"/>
        </w:tabs>
        <w:suppressAutoHyphens/>
        <w:ind w:left="567" w:hanging="567"/>
        <w:rPr>
          <w:rFonts w:cs="Arial"/>
          <w:spacing w:val="-3"/>
          <w:lang w:val="es-CO"/>
        </w:rPr>
      </w:pPr>
      <w:r w:rsidRPr="004068F6">
        <w:rPr>
          <w:rFonts w:cs="Arial"/>
          <w:spacing w:val="-3"/>
          <w:u w:val="single"/>
          <w:lang w:val="es-CO"/>
        </w:rPr>
        <w:t>Plancton y Perifiton:</w:t>
      </w:r>
      <w:r w:rsidRPr="004068F6">
        <w:rPr>
          <w:rFonts w:cs="Arial"/>
          <w:spacing w:val="-3"/>
          <w:lang w:val="es-CO"/>
        </w:rPr>
        <w:t xml:space="preserve"> en el laboratorio, el reconteo se realiza en microscopio de luz utilizando técnicas apropiadas según la metodología de recolección empleada. La densidad del plancton se puede estimar mediante el conteo de los organismos presentes en la muestra completa en caso de que las abundancias sean bajas, en caso contrario se pueden contar los organismos presentes en alícuotas, reportando densidades en individuos por unidad de volumen (</w:t>
      </w:r>
      <w:r w:rsidR="00FB4A0F" w:rsidRPr="004068F6">
        <w:rPr>
          <w:rFonts w:cs="Arial"/>
          <w:spacing w:val="-3"/>
          <w:lang w:val="es-CO"/>
        </w:rPr>
        <w:t>I</w:t>
      </w:r>
      <w:r w:rsidR="00434EA7" w:rsidRPr="004068F6">
        <w:rPr>
          <w:rFonts w:cs="Arial"/>
          <w:spacing w:val="-3"/>
          <w:lang w:val="es-CO"/>
        </w:rPr>
        <w:t>nd /</w:t>
      </w:r>
      <w:r w:rsidR="00FB4A0F" w:rsidRPr="004068F6">
        <w:rPr>
          <w:rFonts w:cs="Arial"/>
          <w:spacing w:val="-3"/>
          <w:lang w:val="es-CO"/>
        </w:rPr>
        <w:t xml:space="preserve"> mL</w:t>
      </w:r>
      <w:r w:rsidRPr="004068F6">
        <w:rPr>
          <w:rFonts w:cs="Arial"/>
          <w:spacing w:val="-3"/>
          <w:lang w:val="es-CO"/>
        </w:rPr>
        <w:t>) o individuos por área de superficie (</w:t>
      </w:r>
      <w:r w:rsidR="00403F24" w:rsidRPr="004068F6">
        <w:rPr>
          <w:rFonts w:cs="Arial"/>
          <w:spacing w:val="-3"/>
          <w:lang w:val="es-CO"/>
        </w:rPr>
        <w:t>ind. /</w:t>
      </w:r>
      <w:r w:rsidR="005E4E45" w:rsidRPr="004068F6">
        <w:rPr>
          <w:rFonts w:cs="Arial"/>
          <w:spacing w:val="-3"/>
          <w:lang w:val="es-CO"/>
        </w:rPr>
        <w:t xml:space="preserve"> </w:t>
      </w:r>
      <w:r w:rsidRPr="004068F6">
        <w:rPr>
          <w:rFonts w:cs="Arial"/>
          <w:spacing w:val="-3"/>
          <w:lang w:val="es-CO"/>
        </w:rPr>
        <w:t>cm</w:t>
      </w:r>
      <w:r w:rsidRPr="004068F6">
        <w:rPr>
          <w:rFonts w:cs="Arial"/>
          <w:spacing w:val="-3"/>
          <w:vertAlign w:val="superscript"/>
          <w:lang w:val="es-CO"/>
        </w:rPr>
        <w:t>2</w:t>
      </w:r>
      <w:r w:rsidRPr="004068F6">
        <w:rPr>
          <w:rFonts w:cs="Arial"/>
          <w:spacing w:val="-3"/>
          <w:lang w:val="es-CO"/>
        </w:rPr>
        <w:t xml:space="preserve">), según sea el caso. Para organismos marinos se debe corroborar la información taxonómica con la base de datos </w:t>
      </w:r>
      <w:r w:rsidR="00B8216A" w:rsidRPr="004068F6">
        <w:rPr>
          <w:rFonts w:cs="Arial"/>
          <w:spacing w:val="-3"/>
          <w:lang w:val="es-CO"/>
        </w:rPr>
        <w:t>Algaebase</w:t>
      </w:r>
      <w:r w:rsidR="00B8216A" w:rsidRPr="004068F6">
        <w:rPr>
          <w:rStyle w:val="Refdenotaalpie"/>
          <w:rFonts w:cs="Arial"/>
          <w:spacing w:val="-3"/>
          <w:lang w:val="es-CO"/>
        </w:rPr>
        <w:footnoteReference w:id="163"/>
      </w:r>
      <w:r w:rsidR="00B8216A" w:rsidRPr="004068F6">
        <w:rPr>
          <w:rFonts w:cs="Arial"/>
          <w:spacing w:val="-3"/>
          <w:lang w:val="es-CO"/>
        </w:rPr>
        <w:t xml:space="preserve">, </w:t>
      </w:r>
      <w:r w:rsidRPr="004068F6">
        <w:rPr>
          <w:rFonts w:cs="Arial"/>
          <w:spacing w:val="-3"/>
          <w:lang w:val="es-CO"/>
        </w:rPr>
        <w:t>World Register of Marine Species</w:t>
      </w:r>
      <w:r w:rsidR="000557B0" w:rsidRPr="004068F6">
        <w:rPr>
          <w:rFonts w:cs="Arial"/>
          <w:spacing w:val="-3"/>
          <w:lang w:val="es-CO"/>
        </w:rPr>
        <w:t xml:space="preserve"> (WoRMS</w:t>
      </w:r>
      <w:r w:rsidRPr="004068F6">
        <w:rPr>
          <w:rFonts w:cs="Arial"/>
          <w:spacing w:val="-3"/>
          <w:lang w:val="es-CO"/>
        </w:rPr>
        <w:t>)</w:t>
      </w:r>
      <w:r w:rsidR="00E33325" w:rsidRPr="004068F6">
        <w:rPr>
          <w:rFonts w:cs="Arial"/>
          <w:spacing w:val="-3"/>
          <w:lang w:val="es-CO"/>
        </w:rPr>
        <w:t xml:space="preserve"> </w:t>
      </w:r>
      <w:r w:rsidR="006E272A" w:rsidRPr="004068F6">
        <w:rPr>
          <w:rFonts w:cs="Arial"/>
          <w:spacing w:val="-3"/>
          <w:lang w:val="es-CO"/>
        </w:rPr>
        <w:t>o</w:t>
      </w:r>
      <w:r w:rsidR="00E33325" w:rsidRPr="004068F6">
        <w:rPr>
          <w:rFonts w:cs="Arial"/>
          <w:spacing w:val="-3"/>
          <w:lang w:val="es-CO"/>
        </w:rPr>
        <w:t xml:space="preserve"> de Ocean Biodiversity Information System (OBIS)</w:t>
      </w:r>
      <w:r w:rsidRPr="004068F6">
        <w:rPr>
          <w:rFonts w:cs="Arial"/>
          <w:spacing w:val="-3"/>
          <w:lang w:val="es-CO"/>
        </w:rPr>
        <w:t xml:space="preserve"> y para organismos acuáticos continentales</w:t>
      </w:r>
      <w:r w:rsidR="000557B0" w:rsidRPr="004068F6">
        <w:rPr>
          <w:rFonts w:cs="Arial"/>
          <w:spacing w:val="-3"/>
          <w:lang w:val="es-CO"/>
        </w:rPr>
        <w:t>, con</w:t>
      </w:r>
      <w:r w:rsidRPr="004068F6">
        <w:rPr>
          <w:rFonts w:cs="Arial"/>
          <w:spacing w:val="-3"/>
          <w:lang w:val="es-CO"/>
        </w:rPr>
        <w:t xml:space="preserve"> la base de datos Integrated Taxonomic Information System</w:t>
      </w:r>
      <w:r w:rsidR="000557B0" w:rsidRPr="004068F6">
        <w:rPr>
          <w:rFonts w:cs="Arial"/>
          <w:spacing w:val="-3"/>
          <w:lang w:val="es-CO"/>
        </w:rPr>
        <w:t xml:space="preserve"> (ITIS</w:t>
      </w:r>
      <w:r w:rsidRPr="004068F6">
        <w:rPr>
          <w:rFonts w:cs="Arial"/>
          <w:spacing w:val="-3"/>
          <w:lang w:val="es-CO"/>
        </w:rPr>
        <w:t>)</w:t>
      </w:r>
      <w:r w:rsidR="00B8216A" w:rsidRPr="004068F6">
        <w:rPr>
          <w:rFonts w:cs="Arial"/>
          <w:spacing w:val="-3"/>
          <w:lang w:val="es-CO"/>
        </w:rPr>
        <w:t>.</w:t>
      </w:r>
    </w:p>
    <w:p w14:paraId="47154C29" w14:textId="77777777" w:rsidR="00482A5F" w:rsidRPr="004068F6" w:rsidRDefault="00482A5F" w:rsidP="00482A5F">
      <w:pPr>
        <w:rPr>
          <w:rFonts w:cs="Arial"/>
          <w:spacing w:val="-3"/>
        </w:rPr>
      </w:pPr>
    </w:p>
    <w:p w14:paraId="171788C1" w14:textId="781DB0FE" w:rsidR="00482A5F" w:rsidRPr="004068F6" w:rsidRDefault="00482A5F" w:rsidP="00977C86">
      <w:pPr>
        <w:pStyle w:val="Prrafodelista"/>
        <w:numPr>
          <w:ilvl w:val="0"/>
          <w:numId w:val="86"/>
        </w:numPr>
        <w:tabs>
          <w:tab w:val="left" w:pos="-2268"/>
        </w:tabs>
        <w:suppressAutoHyphens/>
        <w:ind w:left="567" w:hanging="567"/>
        <w:rPr>
          <w:rFonts w:cs="Arial"/>
          <w:spacing w:val="-3"/>
          <w:lang w:val="es-CO"/>
        </w:rPr>
      </w:pPr>
      <w:r w:rsidRPr="004068F6">
        <w:rPr>
          <w:rFonts w:cs="Arial"/>
          <w:spacing w:val="-3"/>
          <w:u w:val="single"/>
          <w:lang w:val="es-CO"/>
        </w:rPr>
        <w:t>Fondos sedimentarios (invertebrados bentónicos):</w:t>
      </w:r>
      <w:r w:rsidRPr="004068F6">
        <w:rPr>
          <w:rFonts w:cs="Arial"/>
          <w:spacing w:val="-3"/>
          <w:lang w:val="es-CO"/>
        </w:rPr>
        <w:t xml:space="preserve"> p</w:t>
      </w:r>
      <w:r w:rsidRPr="004068F6">
        <w:rPr>
          <w:rFonts w:cs="Arial"/>
          <w:lang w:val="es-CO"/>
        </w:rPr>
        <w:t xml:space="preserve">ara el caso del macrobentos (tamaño ≥ 500 µm) </w:t>
      </w:r>
      <w:r w:rsidRPr="004068F6">
        <w:rPr>
          <w:rFonts w:cs="Arial"/>
          <w:spacing w:val="-3"/>
          <w:lang w:val="es-CO"/>
        </w:rPr>
        <w:t xml:space="preserve">cada muestra se </w:t>
      </w:r>
      <w:r w:rsidR="008A2E06" w:rsidRPr="004068F6">
        <w:rPr>
          <w:rFonts w:cs="Arial"/>
          <w:spacing w:val="-3"/>
          <w:lang w:val="es-CO"/>
        </w:rPr>
        <w:t xml:space="preserve">debe </w:t>
      </w:r>
      <w:r w:rsidRPr="004068F6">
        <w:rPr>
          <w:rFonts w:cs="Arial"/>
          <w:spacing w:val="-3"/>
          <w:lang w:val="es-CO"/>
        </w:rPr>
        <w:t>transf</w:t>
      </w:r>
      <w:r w:rsidR="008A2E06" w:rsidRPr="004068F6">
        <w:rPr>
          <w:rFonts w:cs="Arial"/>
          <w:spacing w:val="-3"/>
          <w:lang w:val="es-CO"/>
        </w:rPr>
        <w:t xml:space="preserve">erir </w:t>
      </w:r>
      <w:r w:rsidRPr="004068F6">
        <w:rPr>
          <w:rFonts w:cs="Arial"/>
          <w:spacing w:val="-3"/>
          <w:lang w:val="es-CO"/>
        </w:rPr>
        <w:t>a una bandeja con agua, en la cual se lava y se retiran los invertebrados presentes; p</w:t>
      </w:r>
      <w:r w:rsidRPr="004068F6">
        <w:rPr>
          <w:rFonts w:cs="Arial"/>
          <w:lang w:val="es-CO"/>
        </w:rPr>
        <w:t xml:space="preserve">ara el meiobentos (tamaño ≤ 500 µm), se </w:t>
      </w:r>
      <w:r w:rsidR="008A2E06" w:rsidRPr="004068F6">
        <w:rPr>
          <w:rFonts w:cs="Arial"/>
          <w:lang w:val="es-CO"/>
        </w:rPr>
        <w:t xml:space="preserve">puede </w:t>
      </w:r>
      <w:r w:rsidRPr="004068F6">
        <w:rPr>
          <w:rFonts w:cs="Arial"/>
          <w:lang w:val="es-CO"/>
        </w:rPr>
        <w:t>utilizar el método de flotabilidad de los organismos con Ludox, facilitando así su separación del sedimento.</w:t>
      </w:r>
      <w:r w:rsidRPr="004068F6">
        <w:rPr>
          <w:rFonts w:cs="Arial"/>
          <w:spacing w:val="-3"/>
          <w:lang w:val="es-CO"/>
        </w:rPr>
        <w:t xml:space="preserve"> En ambos casos se realiza </w:t>
      </w:r>
      <w:r w:rsidR="005E4E45" w:rsidRPr="004068F6">
        <w:rPr>
          <w:rFonts w:cs="Arial"/>
          <w:spacing w:val="-3"/>
          <w:lang w:val="es-CO"/>
        </w:rPr>
        <w:t xml:space="preserve">el conteo y </w:t>
      </w:r>
      <w:r w:rsidR="004171A4" w:rsidRPr="004068F6">
        <w:rPr>
          <w:rFonts w:cs="Arial"/>
          <w:spacing w:val="-3"/>
          <w:lang w:val="es-CO"/>
        </w:rPr>
        <w:t xml:space="preserve">determinación </w:t>
      </w:r>
      <w:r w:rsidRPr="004068F6">
        <w:rPr>
          <w:rFonts w:cs="Arial"/>
          <w:spacing w:val="-3"/>
          <w:lang w:val="es-CO"/>
        </w:rPr>
        <w:t xml:space="preserve">taxonómica </w:t>
      </w:r>
      <w:r w:rsidR="005E4E45" w:rsidRPr="004068F6">
        <w:rPr>
          <w:rFonts w:cs="Arial"/>
          <w:spacing w:val="-3"/>
          <w:lang w:val="es-CO"/>
        </w:rPr>
        <w:t>de los individuos</w:t>
      </w:r>
      <w:r w:rsidR="005E4E45" w:rsidRPr="004068F6" w:rsidDel="004171A4">
        <w:rPr>
          <w:rFonts w:cs="Arial"/>
          <w:spacing w:val="-3"/>
          <w:lang w:val="es-CO"/>
        </w:rPr>
        <w:t xml:space="preserve"> </w:t>
      </w:r>
      <w:r w:rsidRPr="004068F6">
        <w:rPr>
          <w:rFonts w:cs="Arial"/>
          <w:spacing w:val="-3"/>
          <w:lang w:val="es-CO"/>
        </w:rPr>
        <w:t xml:space="preserve">con </w:t>
      </w:r>
      <w:r w:rsidRPr="004068F6">
        <w:rPr>
          <w:rFonts w:cs="Arial"/>
          <w:spacing w:val="-3"/>
          <w:lang w:val="es-CO"/>
        </w:rPr>
        <w:lastRenderedPageBreak/>
        <w:t>ayuda de</w:t>
      </w:r>
      <w:r w:rsidR="008A2E06" w:rsidRPr="004068F6">
        <w:rPr>
          <w:rFonts w:cs="Arial"/>
          <w:spacing w:val="-3"/>
          <w:lang w:val="es-CO"/>
        </w:rPr>
        <w:t xml:space="preserve"> un</w:t>
      </w:r>
      <w:r w:rsidRPr="004068F6">
        <w:rPr>
          <w:rFonts w:cs="Arial"/>
          <w:spacing w:val="-3"/>
          <w:lang w:val="es-CO"/>
        </w:rPr>
        <w:t xml:space="preserve"> estereoscopio </w:t>
      </w:r>
      <w:r w:rsidRPr="004068F6">
        <w:rPr>
          <w:rFonts w:cs="Arial"/>
          <w:lang w:val="es-CO"/>
        </w:rPr>
        <w:t>o microscopio</w:t>
      </w:r>
      <w:r w:rsidRPr="004068F6">
        <w:rPr>
          <w:rFonts w:cs="Arial"/>
          <w:spacing w:val="-3"/>
          <w:lang w:val="es-CO"/>
        </w:rPr>
        <w:t xml:space="preserve">. </w:t>
      </w:r>
      <w:r w:rsidR="00FE4070" w:rsidRPr="004068F6">
        <w:rPr>
          <w:rFonts w:cs="Arial"/>
          <w:spacing w:val="-3"/>
          <w:lang w:val="es-CO"/>
        </w:rPr>
        <w:t>Una muestra de l</w:t>
      </w:r>
      <w:r w:rsidRPr="004068F6">
        <w:rPr>
          <w:rFonts w:cs="Arial"/>
          <w:spacing w:val="-3"/>
          <w:lang w:val="es-CO"/>
        </w:rPr>
        <w:t>os ejemplares capturados debe</w:t>
      </w:r>
      <w:r w:rsidR="00FE4070" w:rsidRPr="004068F6">
        <w:rPr>
          <w:rFonts w:cs="Arial"/>
          <w:spacing w:val="-3"/>
          <w:lang w:val="es-CO"/>
        </w:rPr>
        <w:t xml:space="preserve"> ser</w:t>
      </w:r>
      <w:r w:rsidRPr="004068F6">
        <w:rPr>
          <w:rFonts w:cs="Arial"/>
          <w:spacing w:val="-3"/>
          <w:lang w:val="es-CO"/>
        </w:rPr>
        <w:t xml:space="preserve"> deposita</w:t>
      </w:r>
      <w:r w:rsidR="00FE4070" w:rsidRPr="004068F6">
        <w:rPr>
          <w:rFonts w:cs="Arial"/>
          <w:spacing w:val="-3"/>
          <w:lang w:val="es-CO"/>
        </w:rPr>
        <w:t>da</w:t>
      </w:r>
      <w:r w:rsidRPr="004068F6">
        <w:rPr>
          <w:rFonts w:cs="Arial"/>
          <w:spacing w:val="-3"/>
          <w:lang w:val="es-CO"/>
        </w:rPr>
        <w:t xml:space="preserve"> en </w:t>
      </w:r>
      <w:r w:rsidR="00FE4070" w:rsidRPr="004068F6">
        <w:rPr>
          <w:rFonts w:cs="Arial"/>
          <w:spacing w:val="-3"/>
          <w:lang w:val="es-CO"/>
        </w:rPr>
        <w:t xml:space="preserve">una de las </w:t>
      </w:r>
      <w:r w:rsidRPr="004068F6">
        <w:rPr>
          <w:rFonts w:cs="Arial"/>
          <w:spacing w:val="-3"/>
          <w:lang w:val="es-CO"/>
        </w:rPr>
        <w:t xml:space="preserve">colecciones biológicas </w:t>
      </w:r>
      <w:r w:rsidR="00FE4070" w:rsidRPr="004068F6">
        <w:rPr>
          <w:rFonts w:cs="Arial"/>
          <w:spacing w:val="-3"/>
          <w:lang w:val="es-CO"/>
        </w:rPr>
        <w:t>registradas en el Registro Único Nacional de Colecciones Biológicas (RCN)</w:t>
      </w:r>
      <w:r w:rsidR="00FE4070" w:rsidRPr="004068F6" w:rsidDel="00FE4070">
        <w:rPr>
          <w:rFonts w:cs="Arial"/>
          <w:spacing w:val="-3"/>
          <w:lang w:val="es-CO"/>
        </w:rPr>
        <w:t xml:space="preserve"> </w:t>
      </w:r>
      <w:r w:rsidRPr="004068F6">
        <w:rPr>
          <w:rFonts w:cs="Arial"/>
          <w:spacing w:val="-3"/>
          <w:lang w:val="es-CO"/>
        </w:rPr>
        <w:t>que asegure un sistema de preservación en líquido óptimo de acuerdo con los estándares actuales establecidos. Para organismos marinos se debe corroborar la información taxonómica con la base de datos World Register of Marine Species</w:t>
      </w:r>
      <w:r w:rsidR="003B6B89" w:rsidRPr="004068F6">
        <w:rPr>
          <w:rFonts w:cs="Arial"/>
          <w:spacing w:val="-3"/>
          <w:lang w:val="es-CO"/>
        </w:rPr>
        <w:t xml:space="preserve"> (WoRMS</w:t>
      </w:r>
      <w:r w:rsidRPr="004068F6">
        <w:rPr>
          <w:rFonts w:cs="Arial"/>
          <w:spacing w:val="-3"/>
          <w:lang w:val="es-CO"/>
        </w:rPr>
        <w:t>) y para organismos acuáticos continentales la base de datos Integrated Taxonomic Information System</w:t>
      </w:r>
      <w:r w:rsidR="003B6B89" w:rsidRPr="004068F6">
        <w:rPr>
          <w:rFonts w:cs="Arial"/>
          <w:spacing w:val="-3"/>
          <w:lang w:val="es-CO"/>
        </w:rPr>
        <w:t xml:space="preserve"> (ITIS</w:t>
      </w:r>
      <w:r w:rsidRPr="004068F6">
        <w:rPr>
          <w:rFonts w:cs="Arial"/>
          <w:spacing w:val="-3"/>
          <w:lang w:val="es-CO"/>
        </w:rPr>
        <w:t>).</w:t>
      </w:r>
    </w:p>
    <w:p w14:paraId="7CE61D64" w14:textId="77777777" w:rsidR="00482A5F" w:rsidRPr="004068F6" w:rsidRDefault="00482A5F" w:rsidP="009420F5">
      <w:pPr>
        <w:rPr>
          <w:rFonts w:cs="Arial"/>
          <w:spacing w:val="-3"/>
        </w:rPr>
      </w:pPr>
    </w:p>
    <w:p w14:paraId="230277E5" w14:textId="261C0101" w:rsidR="00482A5F" w:rsidRPr="004068F6" w:rsidRDefault="00482A5F" w:rsidP="00C86DA5">
      <w:pPr>
        <w:pStyle w:val="Prrafodelista"/>
        <w:numPr>
          <w:ilvl w:val="0"/>
          <w:numId w:val="86"/>
        </w:numPr>
        <w:tabs>
          <w:tab w:val="left" w:pos="-2268"/>
        </w:tabs>
        <w:suppressAutoHyphens/>
        <w:ind w:left="567" w:hanging="567"/>
        <w:rPr>
          <w:rFonts w:cs="Arial"/>
          <w:spacing w:val="-3"/>
          <w:lang w:val="es-CO"/>
        </w:rPr>
      </w:pPr>
      <w:r w:rsidRPr="004068F6">
        <w:rPr>
          <w:rFonts w:cs="Arial"/>
          <w:spacing w:val="-3"/>
          <w:u w:val="single"/>
          <w:lang w:val="es-CO"/>
        </w:rPr>
        <w:t>Necton (peces):</w:t>
      </w:r>
      <w:r w:rsidRPr="004068F6">
        <w:rPr>
          <w:rFonts w:cs="Arial"/>
          <w:spacing w:val="-3"/>
          <w:lang w:val="es-CO"/>
        </w:rPr>
        <w:t xml:space="preserve"> la </w:t>
      </w:r>
      <w:r w:rsidR="004171A4" w:rsidRPr="004068F6">
        <w:rPr>
          <w:rFonts w:cs="Arial"/>
          <w:spacing w:val="-3"/>
          <w:lang w:val="es-CO"/>
        </w:rPr>
        <w:t xml:space="preserve">determinación </w:t>
      </w:r>
      <w:r w:rsidRPr="004068F6">
        <w:rPr>
          <w:rFonts w:cs="Arial"/>
          <w:spacing w:val="-3"/>
          <w:lang w:val="es-CO"/>
        </w:rPr>
        <w:t xml:space="preserve">de los peces se debe realizar hasta la categoría taxonómica más precisa posible, teniendo en cuenta la disponibilidad de claves taxonómicas para el área geográfica objeto de estudio y corroborando la información primaria recolectada con estudios e investigaciones realizadas previamente. La nomenclatura taxonómica para </w:t>
      </w:r>
      <w:r w:rsidR="00B16612" w:rsidRPr="004068F6">
        <w:rPr>
          <w:rFonts w:cs="Arial"/>
          <w:spacing w:val="-3"/>
          <w:lang w:val="es-CO"/>
        </w:rPr>
        <w:t xml:space="preserve">los peces dulceacuícolas </w:t>
      </w:r>
      <w:r w:rsidRPr="004068F6">
        <w:rPr>
          <w:rFonts w:cs="Arial"/>
          <w:spacing w:val="-3"/>
          <w:lang w:val="es-CO"/>
        </w:rPr>
        <w:t xml:space="preserve">debe seguir </w:t>
      </w:r>
      <w:r w:rsidR="00B16612" w:rsidRPr="004068F6">
        <w:rPr>
          <w:rFonts w:cs="Arial"/>
          <w:spacing w:val="-3"/>
          <w:lang w:val="es-CO"/>
        </w:rPr>
        <w:t xml:space="preserve">la versión más actualizada de </w:t>
      </w:r>
      <w:r w:rsidR="00F103D5" w:rsidRPr="004068F6">
        <w:rPr>
          <w:rFonts w:cs="Arial"/>
          <w:spacing w:val="-3"/>
          <w:lang w:val="es-CO"/>
        </w:rPr>
        <w:t xml:space="preserve">la Lista de </w:t>
      </w:r>
      <w:r w:rsidR="00B16612" w:rsidRPr="004068F6">
        <w:rPr>
          <w:rFonts w:cs="Arial"/>
          <w:spacing w:val="-3"/>
          <w:lang w:val="es-CO"/>
        </w:rPr>
        <w:t>peces de agua dulce de Colombia</w:t>
      </w:r>
      <w:r w:rsidR="00B16612" w:rsidRPr="004068F6">
        <w:rPr>
          <w:rStyle w:val="Refdenotaalpie"/>
          <w:rFonts w:cs="Arial"/>
          <w:spacing w:val="-3"/>
          <w:lang w:val="es-CO"/>
        </w:rPr>
        <w:footnoteReference w:id="164"/>
      </w:r>
      <w:r w:rsidR="00F103D5" w:rsidRPr="004068F6">
        <w:rPr>
          <w:rFonts w:cs="Arial"/>
          <w:spacing w:val="-3"/>
          <w:lang w:val="es-CO"/>
        </w:rPr>
        <w:t>;</w:t>
      </w:r>
      <w:r w:rsidRPr="004068F6">
        <w:rPr>
          <w:rFonts w:cs="Arial"/>
          <w:spacing w:val="-3"/>
          <w:lang w:val="es-CO"/>
        </w:rPr>
        <w:t xml:space="preserve"> </w:t>
      </w:r>
      <w:r w:rsidR="00F103D5" w:rsidRPr="004068F6">
        <w:rPr>
          <w:rFonts w:cs="Arial"/>
          <w:spacing w:val="-3"/>
          <w:lang w:val="es-CO"/>
        </w:rPr>
        <w:t xml:space="preserve">es una buena práctica </w:t>
      </w:r>
      <w:r w:rsidRPr="004068F6">
        <w:rPr>
          <w:rFonts w:cs="Arial"/>
          <w:spacing w:val="-3"/>
          <w:lang w:val="es-CO"/>
        </w:rPr>
        <w:t>consulta</w:t>
      </w:r>
      <w:r w:rsidR="00F103D5" w:rsidRPr="004068F6">
        <w:rPr>
          <w:rFonts w:cs="Arial"/>
          <w:spacing w:val="-3"/>
          <w:lang w:val="es-CO"/>
        </w:rPr>
        <w:t>r</w:t>
      </w:r>
      <w:r w:rsidRPr="004068F6">
        <w:rPr>
          <w:rFonts w:cs="Arial"/>
          <w:spacing w:val="-3"/>
          <w:lang w:val="es-CO"/>
        </w:rPr>
        <w:t xml:space="preserve"> otras fuentes de información como </w:t>
      </w:r>
      <w:r w:rsidR="00F103D5" w:rsidRPr="004068F6">
        <w:rPr>
          <w:rFonts w:cs="Arial"/>
          <w:spacing w:val="-3"/>
          <w:lang w:val="es-CO"/>
        </w:rPr>
        <w:t xml:space="preserve">el </w:t>
      </w:r>
      <w:r w:rsidR="00B16612" w:rsidRPr="004068F6">
        <w:rPr>
          <w:rFonts w:cs="Arial"/>
          <w:spacing w:val="-3"/>
          <w:lang w:val="es-CO"/>
        </w:rPr>
        <w:t>Eschmeyer's Catalog of Fishes</w:t>
      </w:r>
      <w:r w:rsidR="00B16612" w:rsidRPr="004068F6">
        <w:rPr>
          <w:rStyle w:val="Refdenotaalpie"/>
          <w:rFonts w:cs="Arial"/>
          <w:spacing w:val="-3"/>
          <w:lang w:val="es-CO"/>
        </w:rPr>
        <w:footnoteReference w:id="165"/>
      </w:r>
      <w:r w:rsidR="00B16612" w:rsidRPr="004068F6">
        <w:rPr>
          <w:rFonts w:cs="Arial"/>
          <w:spacing w:val="-3"/>
          <w:lang w:val="es-CO"/>
        </w:rPr>
        <w:t xml:space="preserve"> </w:t>
      </w:r>
      <w:r w:rsidRPr="004068F6">
        <w:rPr>
          <w:rFonts w:cs="Arial"/>
          <w:spacing w:val="-3"/>
          <w:lang w:val="es-CO"/>
        </w:rPr>
        <w:t>de la academia de ciencias de California</w:t>
      </w:r>
      <w:r w:rsidR="00B16612" w:rsidRPr="004068F6">
        <w:rPr>
          <w:rFonts w:cs="Arial"/>
          <w:spacing w:val="-3"/>
          <w:lang w:val="es-CO"/>
        </w:rPr>
        <w:t xml:space="preserve"> y Fishbase.org</w:t>
      </w:r>
      <w:r w:rsidRPr="004068F6">
        <w:rPr>
          <w:rFonts w:cs="Arial"/>
          <w:spacing w:val="-3"/>
          <w:lang w:val="es-CO"/>
        </w:rPr>
        <w:t>. Para organismos marinos se debe corroborar la información taxonómica con la base de datos World Register of Marine Species</w:t>
      </w:r>
      <w:r w:rsidR="00F103D5" w:rsidRPr="004068F6">
        <w:rPr>
          <w:rFonts w:cs="Arial"/>
          <w:spacing w:val="-3"/>
          <w:lang w:val="es-CO"/>
        </w:rPr>
        <w:t xml:space="preserve"> (WoRMS</w:t>
      </w:r>
      <w:r w:rsidRPr="004068F6">
        <w:rPr>
          <w:rFonts w:cs="Arial"/>
          <w:spacing w:val="-3"/>
          <w:lang w:val="es-CO"/>
        </w:rPr>
        <w:t xml:space="preserve">). </w:t>
      </w:r>
      <w:r w:rsidR="00B16612" w:rsidRPr="004068F6">
        <w:rPr>
          <w:rFonts w:cs="Arial"/>
          <w:spacing w:val="-3"/>
          <w:lang w:val="es-CO"/>
        </w:rPr>
        <w:t xml:space="preserve">Una muestra de los </w:t>
      </w:r>
      <w:r w:rsidRPr="004068F6">
        <w:rPr>
          <w:rFonts w:cs="Arial"/>
          <w:spacing w:val="-3"/>
          <w:lang w:val="es-CO"/>
        </w:rPr>
        <w:t xml:space="preserve">ejemplares capturados que cumplan con los requerimientos de fijación y preservación establecidos por las colecciones biológicas o de referencia, se debe depositar en </w:t>
      </w:r>
      <w:r w:rsidR="00F103D5" w:rsidRPr="004068F6">
        <w:rPr>
          <w:rFonts w:cs="Arial"/>
          <w:spacing w:val="-3"/>
          <w:lang w:val="es-CO"/>
        </w:rPr>
        <w:t>é</w:t>
      </w:r>
      <w:r w:rsidRPr="004068F6">
        <w:rPr>
          <w:rFonts w:cs="Arial"/>
          <w:spacing w:val="-3"/>
          <w:lang w:val="es-CO"/>
        </w:rPr>
        <w:t>stas, asegurando un sistema de preservación en líquido óptimo de acuerdo con los estándares actuales establecidos.</w:t>
      </w:r>
    </w:p>
    <w:p w14:paraId="30BE5BB1" w14:textId="0F4445B9" w:rsidR="00482A5F" w:rsidRPr="004068F6" w:rsidRDefault="00482A5F">
      <w:pPr>
        <w:numPr>
          <w:ilvl w:val="12"/>
          <w:numId w:val="0"/>
        </w:numPr>
        <w:tabs>
          <w:tab w:val="left" w:pos="-2268"/>
        </w:tabs>
        <w:suppressAutoHyphens/>
        <w:rPr>
          <w:spacing w:val="-3"/>
        </w:rPr>
      </w:pPr>
    </w:p>
    <w:p w14:paraId="11D0646E" w14:textId="77777777" w:rsidR="00482A5F" w:rsidRPr="004068F6" w:rsidRDefault="00482A5F">
      <w:pPr>
        <w:tabs>
          <w:tab w:val="left" w:pos="-2268"/>
        </w:tabs>
        <w:suppressAutoHyphens/>
        <w:rPr>
          <w:spacing w:val="-3"/>
          <w:u w:val="single"/>
        </w:rPr>
      </w:pPr>
      <w:r w:rsidRPr="004068F6">
        <w:rPr>
          <w:spacing w:val="-3"/>
          <w:u w:val="single"/>
        </w:rPr>
        <w:t>Fase de oficina</w:t>
      </w:r>
    </w:p>
    <w:p w14:paraId="02A97C3F" w14:textId="77777777" w:rsidR="00482A5F" w:rsidRPr="004068F6" w:rsidRDefault="00482A5F">
      <w:pPr>
        <w:numPr>
          <w:ilvl w:val="12"/>
          <w:numId w:val="0"/>
        </w:numPr>
        <w:tabs>
          <w:tab w:val="left" w:pos="-2268"/>
        </w:tabs>
        <w:suppressAutoHyphens/>
        <w:rPr>
          <w:spacing w:val="-3"/>
        </w:rPr>
      </w:pPr>
    </w:p>
    <w:p w14:paraId="3B103DC6" w14:textId="23D9B360" w:rsidR="00482A5F" w:rsidRPr="004068F6" w:rsidRDefault="00482A5F">
      <w:pPr>
        <w:numPr>
          <w:ilvl w:val="12"/>
          <w:numId w:val="0"/>
        </w:numPr>
        <w:tabs>
          <w:tab w:val="left" w:pos="-2268"/>
        </w:tabs>
        <w:suppressAutoHyphens/>
        <w:rPr>
          <w:spacing w:val="-3"/>
        </w:rPr>
      </w:pPr>
      <w:r w:rsidRPr="004068F6">
        <w:rPr>
          <w:spacing w:val="-3"/>
        </w:rPr>
        <w:t xml:space="preserve">Estudiar la estructura de las </w:t>
      </w:r>
      <w:r w:rsidR="002645AC" w:rsidRPr="004068F6">
        <w:rPr>
          <w:spacing w:val="-3"/>
        </w:rPr>
        <w:t xml:space="preserve">comunidades </w:t>
      </w:r>
      <w:r w:rsidR="00FD4F7D" w:rsidRPr="004068F6">
        <w:rPr>
          <w:spacing w:val="-3"/>
        </w:rPr>
        <w:t xml:space="preserve">desarrollando un </w:t>
      </w:r>
      <w:r w:rsidRPr="004068F6">
        <w:rPr>
          <w:spacing w:val="-3"/>
        </w:rPr>
        <w:t xml:space="preserve">análisis de la diversidad y abundancia de los organismos presentes, </w:t>
      </w:r>
      <w:r w:rsidR="00FD4F7D" w:rsidRPr="004068F6">
        <w:rPr>
          <w:spacing w:val="-3"/>
        </w:rPr>
        <w:t xml:space="preserve">mediante </w:t>
      </w:r>
      <w:r w:rsidRPr="004068F6">
        <w:rPr>
          <w:spacing w:val="-3"/>
        </w:rPr>
        <w:t xml:space="preserve">índices de diversidad como el índice de riqueza de Margalef, índice de equidad de Shannon, </w:t>
      </w:r>
      <w:r w:rsidR="00C21431" w:rsidRPr="004068F6">
        <w:rPr>
          <w:spacing w:val="-3"/>
        </w:rPr>
        <w:t xml:space="preserve">índice de </w:t>
      </w:r>
      <w:r w:rsidR="00645960" w:rsidRPr="004068F6">
        <w:rPr>
          <w:spacing w:val="-3"/>
        </w:rPr>
        <w:t xml:space="preserve">equitatividad </w:t>
      </w:r>
      <w:r w:rsidR="00C21431" w:rsidRPr="004068F6">
        <w:rPr>
          <w:spacing w:val="-3"/>
        </w:rPr>
        <w:t>de Pielou</w:t>
      </w:r>
      <w:r w:rsidR="002645AC" w:rsidRPr="004068F6">
        <w:rPr>
          <w:spacing w:val="-3"/>
        </w:rPr>
        <w:t xml:space="preserve">, </w:t>
      </w:r>
      <w:r w:rsidRPr="004068F6">
        <w:rPr>
          <w:spacing w:val="-3"/>
        </w:rPr>
        <w:t xml:space="preserve">dominancia de Simpson-r, curvas de dominancia, entre otros. </w:t>
      </w:r>
      <w:r w:rsidR="00FD4F7D" w:rsidRPr="004068F6">
        <w:rPr>
          <w:spacing w:val="-3"/>
        </w:rPr>
        <w:t>E</w:t>
      </w:r>
      <w:r w:rsidRPr="004068F6">
        <w:rPr>
          <w:spacing w:val="-3"/>
        </w:rPr>
        <w:t>stos datos se deben complementar con un análisis de clasificación y ordenación mediante los índices de afinidad o disimilaridad tales como afinidad de Jaccard, afinidad de Dice y porcentaje de similaridad Bray-Curtis, entre otros</w:t>
      </w:r>
      <w:r w:rsidR="00FD4F7D" w:rsidRPr="004068F6">
        <w:rPr>
          <w:spacing w:val="-3"/>
        </w:rPr>
        <w:t xml:space="preserve"> (Ramírez &amp; Viña, 1998)</w:t>
      </w:r>
      <w:r w:rsidRPr="004068F6">
        <w:rPr>
          <w:spacing w:val="-3"/>
        </w:rPr>
        <w:t>.</w:t>
      </w:r>
    </w:p>
    <w:p w14:paraId="791EBA4F" w14:textId="77777777" w:rsidR="00482A5F" w:rsidRPr="004068F6" w:rsidRDefault="00482A5F">
      <w:pPr>
        <w:numPr>
          <w:ilvl w:val="12"/>
          <w:numId w:val="0"/>
        </w:numPr>
        <w:tabs>
          <w:tab w:val="left" w:pos="-2268"/>
        </w:tabs>
        <w:suppressAutoHyphens/>
        <w:rPr>
          <w:spacing w:val="-3"/>
        </w:rPr>
      </w:pPr>
    </w:p>
    <w:p w14:paraId="1068AC17" w14:textId="10B2642F" w:rsidR="00465339" w:rsidRPr="004068F6" w:rsidRDefault="00465339">
      <w:pPr>
        <w:numPr>
          <w:ilvl w:val="12"/>
          <w:numId w:val="0"/>
        </w:numPr>
        <w:tabs>
          <w:tab w:val="left" w:pos="-2268"/>
        </w:tabs>
        <w:suppressAutoHyphens/>
        <w:rPr>
          <w:spacing w:val="-3"/>
        </w:rPr>
      </w:pPr>
      <w:r w:rsidRPr="004068F6">
        <w:rPr>
          <w:spacing w:val="-3"/>
        </w:rPr>
        <w:t>Se debe</w:t>
      </w:r>
      <w:r w:rsidR="00E246E1" w:rsidRPr="004068F6">
        <w:rPr>
          <w:spacing w:val="-3"/>
        </w:rPr>
        <w:t xml:space="preserve">n </w:t>
      </w:r>
      <w:r w:rsidRPr="004068F6">
        <w:rPr>
          <w:spacing w:val="-3"/>
        </w:rPr>
        <w:t>an</w:t>
      </w:r>
      <w:r w:rsidR="00E246E1" w:rsidRPr="004068F6">
        <w:rPr>
          <w:spacing w:val="-3"/>
        </w:rPr>
        <w:t xml:space="preserve">alizar </w:t>
      </w:r>
      <w:r w:rsidRPr="004068F6">
        <w:rPr>
          <w:spacing w:val="-3"/>
        </w:rPr>
        <w:t xml:space="preserve">los resultados de las caracterizaciones de comunidades hidrobiológicas </w:t>
      </w:r>
      <w:r w:rsidR="00E246E1" w:rsidRPr="004068F6">
        <w:rPr>
          <w:spacing w:val="-3"/>
        </w:rPr>
        <w:t xml:space="preserve">en términos de </w:t>
      </w:r>
      <w:r w:rsidRPr="004068F6">
        <w:rPr>
          <w:spacing w:val="-3"/>
        </w:rPr>
        <w:t xml:space="preserve">composición y estructura con respecto </w:t>
      </w:r>
      <w:r w:rsidR="008C3676" w:rsidRPr="004068F6">
        <w:rPr>
          <w:spacing w:val="-3"/>
        </w:rPr>
        <w:t>a</w:t>
      </w:r>
      <w:r w:rsidRPr="004068F6">
        <w:rPr>
          <w:spacing w:val="-3"/>
        </w:rPr>
        <w:t xml:space="preserve"> las variables fisicoquímicas presentadas en el estudio</w:t>
      </w:r>
      <w:r w:rsidR="008C3676" w:rsidRPr="004068F6">
        <w:rPr>
          <w:spacing w:val="-3"/>
        </w:rPr>
        <w:t xml:space="preserve"> y, establecer el comportamiento de </w:t>
      </w:r>
      <w:r w:rsidRPr="004068F6">
        <w:rPr>
          <w:spacing w:val="-3"/>
        </w:rPr>
        <w:t xml:space="preserve">las comunidades hidrobiológicas como indicadores de calidad biológica del agua a partir de </w:t>
      </w:r>
      <w:r w:rsidR="008C3676" w:rsidRPr="004068F6">
        <w:rPr>
          <w:spacing w:val="-3"/>
        </w:rPr>
        <w:t xml:space="preserve">su </w:t>
      </w:r>
      <w:r w:rsidRPr="004068F6">
        <w:rPr>
          <w:spacing w:val="-3"/>
        </w:rPr>
        <w:t xml:space="preserve">correlación </w:t>
      </w:r>
      <w:r w:rsidR="008C3676" w:rsidRPr="004068F6">
        <w:rPr>
          <w:spacing w:val="-3"/>
        </w:rPr>
        <w:t xml:space="preserve">con </w:t>
      </w:r>
      <w:r w:rsidRPr="004068F6">
        <w:rPr>
          <w:spacing w:val="-3"/>
        </w:rPr>
        <w:t>los datos fisicoquímicos registrados.</w:t>
      </w:r>
    </w:p>
    <w:p w14:paraId="1149BEC9" w14:textId="77777777" w:rsidR="00465339" w:rsidRPr="004068F6" w:rsidRDefault="00465339">
      <w:pPr>
        <w:numPr>
          <w:ilvl w:val="12"/>
          <w:numId w:val="0"/>
        </w:numPr>
        <w:tabs>
          <w:tab w:val="left" w:pos="-2268"/>
        </w:tabs>
        <w:suppressAutoHyphens/>
        <w:rPr>
          <w:spacing w:val="-3"/>
        </w:rPr>
      </w:pPr>
    </w:p>
    <w:p w14:paraId="2ADE5054" w14:textId="677EE8E1" w:rsidR="00482A5F" w:rsidRPr="004068F6" w:rsidRDefault="00482A5F" w:rsidP="00482A5F">
      <w:pPr>
        <w:numPr>
          <w:ilvl w:val="12"/>
          <w:numId w:val="0"/>
        </w:numPr>
        <w:tabs>
          <w:tab w:val="left" w:pos="-2268"/>
        </w:tabs>
        <w:suppressAutoHyphens/>
        <w:rPr>
          <w:rFonts w:cs="Arial"/>
          <w:spacing w:val="-3"/>
        </w:rPr>
      </w:pPr>
      <w:r w:rsidRPr="004068F6">
        <w:rPr>
          <w:spacing w:val="-3"/>
        </w:rPr>
        <w:t xml:space="preserve">Realizar un análisis de la bio-indicación de manera cuantitativa partiendo de la abundancia relativa de los </w:t>
      </w:r>
      <w:r w:rsidR="00B8216A" w:rsidRPr="004068F6">
        <w:rPr>
          <w:spacing w:val="-3"/>
        </w:rPr>
        <w:t xml:space="preserve">taxones </w:t>
      </w:r>
      <w:r w:rsidRPr="004068F6">
        <w:rPr>
          <w:spacing w:val="-3"/>
        </w:rPr>
        <w:t xml:space="preserve">encontrados (especies indicadoras). Estos resultados se deben correlacionar con los análisis físicos y químicos </w:t>
      </w:r>
      <w:r w:rsidRPr="004068F6">
        <w:rPr>
          <w:rFonts w:cs="Arial"/>
          <w:spacing w:val="-3"/>
        </w:rPr>
        <w:t>haciendo uso</w:t>
      </w:r>
      <w:r w:rsidRPr="004068F6">
        <w:rPr>
          <w:spacing w:val="-3"/>
        </w:rPr>
        <w:t xml:space="preserve"> de </w:t>
      </w:r>
      <w:r w:rsidRPr="004068F6">
        <w:rPr>
          <w:rFonts w:cs="Arial"/>
          <w:spacing w:val="-3"/>
        </w:rPr>
        <w:t>técnicas de estadística multivariada</w:t>
      </w:r>
      <w:r w:rsidRPr="004068F6">
        <w:rPr>
          <w:spacing w:val="-3"/>
        </w:rPr>
        <w:t xml:space="preserve"> como BIOENV</w:t>
      </w:r>
      <w:r w:rsidRPr="004068F6">
        <w:rPr>
          <w:rFonts w:cs="Arial"/>
          <w:spacing w:val="-3"/>
        </w:rPr>
        <w:t>, PCA, DCA o MDS.</w:t>
      </w:r>
    </w:p>
    <w:p w14:paraId="2DBC6216" w14:textId="77777777" w:rsidR="00482A5F" w:rsidRPr="004068F6" w:rsidRDefault="00482A5F" w:rsidP="00482A5F">
      <w:pPr>
        <w:numPr>
          <w:ilvl w:val="12"/>
          <w:numId w:val="0"/>
        </w:numPr>
        <w:tabs>
          <w:tab w:val="left" w:pos="-2268"/>
        </w:tabs>
        <w:suppressAutoHyphens/>
        <w:rPr>
          <w:rFonts w:cs="Arial"/>
          <w:spacing w:val="-3"/>
        </w:rPr>
      </w:pPr>
    </w:p>
    <w:p w14:paraId="2F0BA8FB" w14:textId="2E044EFE" w:rsidR="00482A5F" w:rsidRPr="004068F6" w:rsidRDefault="00482A5F">
      <w:pPr>
        <w:numPr>
          <w:ilvl w:val="12"/>
          <w:numId w:val="0"/>
        </w:numPr>
        <w:tabs>
          <w:tab w:val="left" w:pos="-2268"/>
        </w:tabs>
        <w:suppressAutoHyphens/>
        <w:rPr>
          <w:spacing w:val="-3"/>
        </w:rPr>
      </w:pPr>
      <w:r w:rsidRPr="004068F6">
        <w:rPr>
          <w:spacing w:val="-3"/>
        </w:rPr>
        <w:t xml:space="preserve">Realizar </w:t>
      </w:r>
      <w:r w:rsidR="00CB1353" w:rsidRPr="004068F6">
        <w:rPr>
          <w:spacing w:val="-3"/>
        </w:rPr>
        <w:t xml:space="preserve">un </w:t>
      </w:r>
      <w:r w:rsidRPr="004068F6">
        <w:rPr>
          <w:spacing w:val="-3"/>
        </w:rPr>
        <w:t xml:space="preserve">análisis del nivel de perturbación de las comunidades bentónicas </w:t>
      </w:r>
      <w:r w:rsidR="00853600" w:rsidRPr="004068F6">
        <w:rPr>
          <w:spacing w:val="-3"/>
        </w:rPr>
        <w:t xml:space="preserve">marinas </w:t>
      </w:r>
      <w:r w:rsidRPr="004068F6">
        <w:rPr>
          <w:spacing w:val="-3"/>
        </w:rPr>
        <w:t xml:space="preserve">(macroinfauna) mediante curvas de abundancia y biomasa (curvas ABC). Generar una tabla resumen por estación de muestreo </w:t>
      </w:r>
      <w:r w:rsidR="00CB1353" w:rsidRPr="004068F6">
        <w:rPr>
          <w:spacing w:val="-3"/>
        </w:rPr>
        <w:t xml:space="preserve">en la que </w:t>
      </w:r>
      <w:r w:rsidRPr="004068F6">
        <w:rPr>
          <w:spacing w:val="-3"/>
        </w:rPr>
        <w:t xml:space="preserve">se relacione la conclusión obtenida </w:t>
      </w:r>
      <w:r w:rsidR="00CB1353" w:rsidRPr="004068F6">
        <w:rPr>
          <w:spacing w:val="-3"/>
        </w:rPr>
        <w:t xml:space="preserve">para los </w:t>
      </w:r>
      <w:r w:rsidRPr="004068F6">
        <w:rPr>
          <w:spacing w:val="-3"/>
        </w:rPr>
        <w:t>ensambles hidrobiológicos</w:t>
      </w:r>
      <w:r w:rsidR="00CB1353" w:rsidRPr="004068F6">
        <w:rPr>
          <w:spacing w:val="-3"/>
        </w:rPr>
        <w:t xml:space="preserve">, con </w:t>
      </w:r>
      <w:r w:rsidRPr="004068F6">
        <w:rPr>
          <w:spacing w:val="-3"/>
        </w:rPr>
        <w:t xml:space="preserve">la obtenida </w:t>
      </w:r>
      <w:r w:rsidR="00FD4F7D" w:rsidRPr="004068F6">
        <w:rPr>
          <w:spacing w:val="-3"/>
        </w:rPr>
        <w:t xml:space="preserve">para </w:t>
      </w:r>
      <w:r w:rsidR="00A665B7" w:rsidRPr="004068F6">
        <w:rPr>
          <w:spacing w:val="-3"/>
        </w:rPr>
        <w:t xml:space="preserve">los parámetros </w:t>
      </w:r>
      <w:r w:rsidRPr="004068F6">
        <w:rPr>
          <w:spacing w:val="-3"/>
        </w:rPr>
        <w:t>fisicoquímico</w:t>
      </w:r>
      <w:r w:rsidR="00A665B7" w:rsidRPr="004068F6">
        <w:rPr>
          <w:spacing w:val="-3"/>
        </w:rPr>
        <w:t>s</w:t>
      </w:r>
      <w:r w:rsidRPr="004068F6">
        <w:rPr>
          <w:spacing w:val="-3"/>
        </w:rPr>
        <w:t>.</w:t>
      </w:r>
    </w:p>
    <w:p w14:paraId="6D5E677E" w14:textId="77777777" w:rsidR="00482A5F" w:rsidRPr="004068F6" w:rsidRDefault="00482A5F">
      <w:pPr>
        <w:numPr>
          <w:ilvl w:val="12"/>
          <w:numId w:val="0"/>
        </w:numPr>
        <w:tabs>
          <w:tab w:val="left" w:pos="-2268"/>
        </w:tabs>
        <w:suppressAutoHyphens/>
        <w:rPr>
          <w:spacing w:val="-3"/>
        </w:rPr>
      </w:pPr>
    </w:p>
    <w:p w14:paraId="5BCE6AA8" w14:textId="710B8D61" w:rsidR="0031196F" w:rsidRPr="004068F6" w:rsidRDefault="008C6FA1" w:rsidP="0016F5AC">
      <w:pPr>
        <w:suppressAutoHyphens/>
        <w:rPr>
          <w:spacing w:val="-3"/>
        </w:rPr>
      </w:pPr>
      <w:r w:rsidRPr="004068F6">
        <w:rPr>
          <w:spacing w:val="-3"/>
        </w:rPr>
        <w:t>C</w:t>
      </w:r>
      <w:r w:rsidR="00482A5F" w:rsidRPr="004068F6">
        <w:rPr>
          <w:spacing w:val="-3"/>
        </w:rPr>
        <w:t xml:space="preserve">aracterizar la fauna íctica de mayor importancia ecológica y económica asociada a los principales cuerpos de agua, así como </w:t>
      </w:r>
      <w:r w:rsidR="00CB1353" w:rsidRPr="004068F6">
        <w:rPr>
          <w:spacing w:val="-3"/>
        </w:rPr>
        <w:t xml:space="preserve">señalar </w:t>
      </w:r>
      <w:r w:rsidR="00482A5F" w:rsidRPr="004068F6">
        <w:rPr>
          <w:spacing w:val="-3"/>
        </w:rPr>
        <w:t>las especies migratorias</w:t>
      </w:r>
      <w:r w:rsidR="009E2BA2" w:rsidRPr="004068F6">
        <w:rPr>
          <w:spacing w:val="-3"/>
        </w:rPr>
        <w:t xml:space="preserve"> (</w:t>
      </w:r>
      <w:r w:rsidR="009E2BA2" w:rsidRPr="004068F6">
        <w:rPr>
          <w:rFonts w:cs="Arial"/>
        </w:rPr>
        <w:t>Zapata &amp; Usma, 2013)</w:t>
      </w:r>
      <w:r w:rsidR="00482A5F" w:rsidRPr="004068F6">
        <w:rPr>
          <w:spacing w:val="-3"/>
        </w:rPr>
        <w:t xml:space="preserve">, en veda, endémicas o amenazadas de acuerdo </w:t>
      </w:r>
      <w:r w:rsidR="00482A5F" w:rsidRPr="004068F6">
        <w:rPr>
          <w:rFonts w:cs="Arial"/>
          <w:spacing w:val="-3"/>
        </w:rPr>
        <w:t>con</w:t>
      </w:r>
      <w:r w:rsidR="00482A5F" w:rsidRPr="004068F6">
        <w:rPr>
          <w:spacing w:val="-3"/>
        </w:rPr>
        <w:t xml:space="preserve"> la </w:t>
      </w:r>
      <w:r w:rsidR="00AC3FD2" w:rsidRPr="004068F6">
        <w:rPr>
          <w:spacing w:val="-3"/>
        </w:rPr>
        <w:t>Resolución 0126 de 2024</w:t>
      </w:r>
      <w:r w:rsidR="00482A5F" w:rsidRPr="004068F6">
        <w:rPr>
          <w:spacing w:val="-3"/>
        </w:rPr>
        <w:t xml:space="preserve"> o aquella norma que la modifique</w:t>
      </w:r>
      <w:r w:rsidR="00482A5F" w:rsidRPr="004068F6">
        <w:rPr>
          <w:rFonts w:cs="Arial"/>
          <w:spacing w:val="-3"/>
        </w:rPr>
        <w:t xml:space="preserve"> o</w:t>
      </w:r>
      <w:r w:rsidR="00482A5F" w:rsidRPr="004068F6">
        <w:rPr>
          <w:spacing w:val="-3"/>
        </w:rPr>
        <w:t xml:space="preserve"> sustituya, </w:t>
      </w:r>
      <w:r w:rsidR="00CB1353" w:rsidRPr="004068F6">
        <w:rPr>
          <w:spacing w:val="-3"/>
        </w:rPr>
        <w:t xml:space="preserve">el </w:t>
      </w:r>
      <w:r w:rsidR="007D4003" w:rsidRPr="004068F6">
        <w:rPr>
          <w:spacing w:val="-3"/>
        </w:rPr>
        <w:t xml:space="preserve">Libro </w:t>
      </w:r>
      <w:r w:rsidR="00CB1353" w:rsidRPr="004068F6">
        <w:rPr>
          <w:spacing w:val="-3"/>
        </w:rPr>
        <w:t xml:space="preserve">rojo de peces marinos </w:t>
      </w:r>
      <w:r w:rsidR="007D4003" w:rsidRPr="004068F6">
        <w:rPr>
          <w:spacing w:val="-3"/>
        </w:rPr>
        <w:t>de Colombia</w:t>
      </w:r>
      <w:r w:rsidR="009E2BA2" w:rsidRPr="004068F6">
        <w:rPr>
          <w:spacing w:val="-3"/>
        </w:rPr>
        <w:t xml:space="preserve"> (</w:t>
      </w:r>
      <w:r w:rsidR="009E2BA2" w:rsidRPr="004068F6">
        <w:rPr>
          <w:rFonts w:cs="Arial"/>
        </w:rPr>
        <w:t>Chasqui et al., 2017</w:t>
      </w:r>
      <w:r w:rsidR="009E2BA2" w:rsidRPr="004068F6">
        <w:rPr>
          <w:spacing w:val="-3"/>
        </w:rPr>
        <w:t>)</w:t>
      </w:r>
      <w:r w:rsidR="007D4003" w:rsidRPr="004068F6">
        <w:rPr>
          <w:spacing w:val="-3"/>
        </w:rPr>
        <w:t xml:space="preserve">, </w:t>
      </w:r>
      <w:r w:rsidR="00CB1353" w:rsidRPr="004068F6">
        <w:rPr>
          <w:spacing w:val="-3"/>
        </w:rPr>
        <w:t xml:space="preserve">el </w:t>
      </w:r>
      <w:r w:rsidR="007D4003" w:rsidRPr="004068F6">
        <w:rPr>
          <w:spacing w:val="-3"/>
        </w:rPr>
        <w:t xml:space="preserve">Libro </w:t>
      </w:r>
      <w:r w:rsidR="00CB1353" w:rsidRPr="004068F6">
        <w:rPr>
          <w:spacing w:val="-3"/>
        </w:rPr>
        <w:t xml:space="preserve">rojo de peces dulceacuícolas </w:t>
      </w:r>
      <w:r w:rsidR="007D4003" w:rsidRPr="004068F6">
        <w:rPr>
          <w:spacing w:val="-3"/>
        </w:rPr>
        <w:t>de Colombia</w:t>
      </w:r>
      <w:r w:rsidR="009E2BA2" w:rsidRPr="004068F6">
        <w:rPr>
          <w:spacing w:val="-3"/>
        </w:rPr>
        <w:t xml:space="preserve"> (Mojica et al., 2012)</w:t>
      </w:r>
      <w:r w:rsidR="007D4003" w:rsidRPr="004068F6">
        <w:rPr>
          <w:spacing w:val="-3"/>
        </w:rPr>
        <w:t xml:space="preserve">, </w:t>
      </w:r>
      <w:r w:rsidR="00482A5F" w:rsidRPr="004068F6">
        <w:rPr>
          <w:spacing w:val="-3"/>
        </w:rPr>
        <w:t>los listados de la IUCN y los Apéndices I, II y III de la CITES.</w:t>
      </w:r>
    </w:p>
    <w:p w14:paraId="2E606BBA" w14:textId="77777777" w:rsidR="0031196F" w:rsidRPr="004068F6" w:rsidRDefault="0031196F" w:rsidP="0016F5AC">
      <w:pPr>
        <w:suppressAutoHyphens/>
        <w:rPr>
          <w:spacing w:val="-3"/>
        </w:rPr>
      </w:pPr>
    </w:p>
    <w:p w14:paraId="59B54375" w14:textId="1725B19C" w:rsidR="00482A5F" w:rsidRPr="004068F6" w:rsidRDefault="0055662E" w:rsidP="0016F5AC">
      <w:pPr>
        <w:suppressAutoHyphens/>
      </w:pPr>
      <w:r w:rsidRPr="004068F6">
        <w:rPr>
          <w:spacing w:val="-3"/>
        </w:rPr>
        <w:t>Por otra parte</w:t>
      </w:r>
      <w:r w:rsidR="00CB1353" w:rsidRPr="004068F6">
        <w:rPr>
          <w:spacing w:val="-3"/>
        </w:rPr>
        <w:t>,</w:t>
      </w:r>
      <w:r w:rsidRPr="004068F6">
        <w:rPr>
          <w:spacing w:val="-3"/>
        </w:rPr>
        <w:t xml:space="preserve"> se debe</w:t>
      </w:r>
      <w:r w:rsidR="00CB1353" w:rsidRPr="004068F6">
        <w:rPr>
          <w:spacing w:val="-3"/>
        </w:rPr>
        <w:t>n</w:t>
      </w:r>
      <w:r w:rsidRPr="004068F6">
        <w:rPr>
          <w:spacing w:val="-3"/>
        </w:rPr>
        <w:t xml:space="preserve"> reportar </w:t>
      </w:r>
      <w:r w:rsidR="00F84778" w:rsidRPr="004068F6">
        <w:rPr>
          <w:spacing w:val="-3"/>
        </w:rPr>
        <w:t xml:space="preserve">todas </w:t>
      </w:r>
      <w:r w:rsidRPr="004068F6">
        <w:rPr>
          <w:spacing w:val="-3"/>
        </w:rPr>
        <w:t xml:space="preserve">las especies </w:t>
      </w:r>
      <w:r w:rsidR="00C269CE" w:rsidRPr="004068F6">
        <w:rPr>
          <w:spacing w:val="-3"/>
        </w:rPr>
        <w:t>exóticas que puedan generar o no presión sobre otras especies, como parte del muestreo de la biodiversidad</w:t>
      </w:r>
      <w:r w:rsidRPr="004068F6">
        <w:rPr>
          <w:spacing w:val="-3"/>
        </w:rPr>
        <w:t xml:space="preserve">; para tal fin se puede consultar la </w:t>
      </w:r>
      <w:r w:rsidR="009E2BA2" w:rsidRPr="004068F6">
        <w:rPr>
          <w:spacing w:val="-3"/>
        </w:rPr>
        <w:t>normativa</w:t>
      </w:r>
      <w:r w:rsidRPr="004068F6">
        <w:rPr>
          <w:spacing w:val="-3"/>
        </w:rPr>
        <w:t xml:space="preserve"> en materia de especies exóticas invasoras</w:t>
      </w:r>
      <w:r w:rsidR="009E2BA2" w:rsidRPr="004068F6">
        <w:rPr>
          <w:spacing w:val="-3"/>
        </w:rPr>
        <w:t xml:space="preserve"> (Resolución 848 de 2008 y Resolución 0207 de 2010, o aquellas </w:t>
      </w:r>
      <w:r w:rsidR="002645AC" w:rsidRPr="004068F6">
        <w:rPr>
          <w:spacing w:val="-3"/>
        </w:rPr>
        <w:t xml:space="preserve">normas </w:t>
      </w:r>
      <w:r w:rsidR="009E2BA2" w:rsidRPr="004068F6">
        <w:rPr>
          <w:spacing w:val="-3"/>
        </w:rPr>
        <w:t xml:space="preserve">que las </w:t>
      </w:r>
      <w:r w:rsidR="002645AC" w:rsidRPr="004068F6">
        <w:rPr>
          <w:spacing w:val="-3"/>
        </w:rPr>
        <w:t xml:space="preserve">modifiquen o </w:t>
      </w:r>
      <w:r w:rsidR="009E2BA2" w:rsidRPr="004068F6">
        <w:rPr>
          <w:spacing w:val="-3"/>
        </w:rPr>
        <w:t>sustituyan)</w:t>
      </w:r>
      <w:r w:rsidRPr="004068F6">
        <w:rPr>
          <w:spacing w:val="-3"/>
        </w:rPr>
        <w:t>, el Catálogo de la biodiversidad acuática exótica y transplantada en Colombia</w:t>
      </w:r>
      <w:r w:rsidR="00DA13A8" w:rsidRPr="004068F6">
        <w:rPr>
          <w:spacing w:val="-3"/>
        </w:rPr>
        <w:t xml:space="preserve"> (Gutiérrez et al., 2012)</w:t>
      </w:r>
      <w:r w:rsidRPr="004068F6">
        <w:rPr>
          <w:spacing w:val="-3"/>
        </w:rPr>
        <w:t xml:space="preserve">, </w:t>
      </w:r>
      <w:r w:rsidR="00C645A6" w:rsidRPr="004068F6">
        <w:rPr>
          <w:spacing w:val="-3"/>
        </w:rPr>
        <w:t>l</w:t>
      </w:r>
      <w:r w:rsidRPr="004068F6">
        <w:rPr>
          <w:spacing w:val="-3"/>
        </w:rPr>
        <w:t xml:space="preserve">a Guía de las especies introducidas marinas y costeras de Colombia y el sitio </w:t>
      </w:r>
      <w:r w:rsidR="00C645A6" w:rsidRPr="004068F6">
        <w:rPr>
          <w:spacing w:val="-3"/>
        </w:rPr>
        <w:t xml:space="preserve">Web </w:t>
      </w:r>
      <w:r w:rsidRPr="004068F6">
        <w:rPr>
          <w:spacing w:val="-3"/>
        </w:rPr>
        <w:t xml:space="preserve">sobre especies introducidas marinas y costeras de Colombia del </w:t>
      </w:r>
      <w:r w:rsidR="009E2BA2" w:rsidRPr="004068F6">
        <w:rPr>
          <w:spacing w:val="-3"/>
        </w:rPr>
        <w:t>Invemar</w:t>
      </w:r>
      <w:r w:rsidRPr="004068F6">
        <w:rPr>
          <w:rStyle w:val="Refdenotaalpie"/>
          <w:spacing w:val="-3"/>
          <w:lang w:val="es-CO"/>
        </w:rPr>
        <w:footnoteReference w:id="166"/>
      </w:r>
      <w:r w:rsidRPr="004068F6">
        <w:rPr>
          <w:spacing w:val="-3"/>
        </w:rPr>
        <w:t xml:space="preserve">. </w:t>
      </w:r>
      <w:r w:rsidR="00482A5F" w:rsidRPr="004068F6">
        <w:rPr>
          <w:spacing w:val="-3"/>
        </w:rPr>
        <w:t xml:space="preserve">Asimismo, se debe reportar </w:t>
      </w:r>
      <w:r w:rsidR="00005D7F" w:rsidRPr="004068F6">
        <w:rPr>
          <w:spacing w:val="-3"/>
        </w:rPr>
        <w:t xml:space="preserve">la determinación de nuevas especies </w:t>
      </w:r>
      <w:r w:rsidR="00482A5F" w:rsidRPr="004068F6">
        <w:rPr>
          <w:spacing w:val="-3"/>
        </w:rPr>
        <w:t>a las entidades competentes</w:t>
      </w:r>
      <w:r w:rsidR="00005D7F" w:rsidRPr="004068F6">
        <w:rPr>
          <w:spacing w:val="-3"/>
        </w:rPr>
        <w:t>,</w:t>
      </w:r>
      <w:r w:rsidR="00482A5F" w:rsidRPr="004068F6">
        <w:rPr>
          <w:spacing w:val="-3"/>
        </w:rPr>
        <w:t xml:space="preserve"> </w:t>
      </w:r>
      <w:r w:rsidR="00C645A6" w:rsidRPr="004068F6">
        <w:rPr>
          <w:spacing w:val="-3"/>
        </w:rPr>
        <w:t>entre ellas</w:t>
      </w:r>
      <w:r w:rsidR="00005D7F" w:rsidRPr="004068F6">
        <w:rPr>
          <w:spacing w:val="-3"/>
        </w:rPr>
        <w:t>,</w:t>
      </w:r>
      <w:r w:rsidR="00C645A6" w:rsidRPr="004068F6">
        <w:rPr>
          <w:spacing w:val="-3"/>
        </w:rPr>
        <w:t xml:space="preserve"> </w:t>
      </w:r>
      <w:r w:rsidR="00482A5F" w:rsidRPr="004068F6">
        <w:rPr>
          <w:spacing w:val="-3"/>
        </w:rPr>
        <w:t xml:space="preserve">el Instituto </w:t>
      </w:r>
      <w:r w:rsidR="00C645A6" w:rsidRPr="004068F6">
        <w:rPr>
          <w:spacing w:val="-3"/>
        </w:rPr>
        <w:t xml:space="preserve">de ciencias naturales de </w:t>
      </w:r>
      <w:r w:rsidR="00482A5F" w:rsidRPr="004068F6">
        <w:rPr>
          <w:spacing w:val="-3"/>
        </w:rPr>
        <w:t>la Universidad Nacional de Colombia, el Instituto Humboldt, el Sinchi y el IIAP.</w:t>
      </w:r>
    </w:p>
    <w:p w14:paraId="19E9D4EB" w14:textId="77777777" w:rsidR="00482A5F" w:rsidRDefault="00482A5F">
      <w:pPr>
        <w:numPr>
          <w:ilvl w:val="12"/>
          <w:numId w:val="0"/>
        </w:numPr>
        <w:tabs>
          <w:tab w:val="left" w:pos="-2268"/>
        </w:tabs>
        <w:suppressAutoHyphens/>
        <w:rPr>
          <w:spacing w:val="-3"/>
        </w:rPr>
      </w:pPr>
    </w:p>
    <w:p w14:paraId="459110B4" w14:textId="77777777" w:rsidR="005F65C2" w:rsidRPr="003B165D" w:rsidRDefault="005F65C2" w:rsidP="005F65C2">
      <w:pPr>
        <w:numPr>
          <w:ilvl w:val="12"/>
          <w:numId w:val="0"/>
        </w:numPr>
        <w:tabs>
          <w:tab w:val="left" w:pos="-2268"/>
        </w:tabs>
        <w:suppressAutoHyphens/>
        <w:rPr>
          <w:b/>
          <w:bCs/>
          <w:spacing w:val="-3"/>
          <w:u w:val="single"/>
        </w:rPr>
      </w:pPr>
      <w:r w:rsidRPr="003B165D">
        <w:rPr>
          <w:b/>
          <w:bCs/>
          <w:spacing w:val="-3"/>
          <w:u w:val="single"/>
        </w:rPr>
        <w:t>Conectividad e idoneidad de hábitat en ecosistemas acuáticos continentales</w:t>
      </w:r>
    </w:p>
    <w:p w14:paraId="693AA9E5" w14:textId="77777777" w:rsidR="005F65C2" w:rsidRPr="001547A0" w:rsidRDefault="005F65C2" w:rsidP="005F65C2">
      <w:pPr>
        <w:numPr>
          <w:ilvl w:val="12"/>
          <w:numId w:val="0"/>
        </w:numPr>
        <w:tabs>
          <w:tab w:val="left" w:pos="-2268"/>
        </w:tabs>
        <w:suppressAutoHyphens/>
        <w:rPr>
          <w:spacing w:val="-3"/>
        </w:rPr>
      </w:pPr>
    </w:p>
    <w:p w14:paraId="0A94B499" w14:textId="0444F3CF" w:rsidR="005F65C2" w:rsidRPr="004068F6" w:rsidRDefault="005F65C2" w:rsidP="005F65C2">
      <w:pPr>
        <w:numPr>
          <w:ilvl w:val="12"/>
          <w:numId w:val="0"/>
        </w:numPr>
        <w:tabs>
          <w:tab w:val="left" w:pos="-2268"/>
        </w:tabs>
        <w:suppressAutoHyphens/>
        <w:rPr>
          <w:rFonts w:cs="Arial"/>
          <w:spacing w:val="-3"/>
        </w:rPr>
      </w:pPr>
      <w:r w:rsidRPr="00127BD4">
        <w:rPr>
          <w:rFonts w:cs="Arial"/>
          <w:spacing w:val="-3"/>
        </w:rPr>
        <w:t>Para desarrollar modelos que permitan evaluar la conectividad ecológica se deben tener en cuenta l</w:t>
      </w:r>
      <w:r w:rsidR="00FE4EA4" w:rsidRPr="00127BD4">
        <w:rPr>
          <w:rFonts w:cs="Arial"/>
          <w:spacing w:val="-3"/>
        </w:rPr>
        <w:t>a</w:t>
      </w:r>
      <w:r w:rsidRPr="00127BD4">
        <w:rPr>
          <w:rFonts w:cs="Arial"/>
          <w:spacing w:val="-3"/>
        </w:rPr>
        <w:t xml:space="preserve">s siguientes </w:t>
      </w:r>
      <w:r w:rsidR="00DA1684">
        <w:rPr>
          <w:rFonts w:cs="Arial"/>
          <w:spacing w:val="-3"/>
        </w:rPr>
        <w:t>orientaciones</w:t>
      </w:r>
      <w:r w:rsidR="00FE4EA4" w:rsidRPr="00127BD4">
        <w:rPr>
          <w:rFonts w:cs="Arial"/>
          <w:spacing w:val="-3"/>
        </w:rPr>
        <w:t xml:space="preserve"> mínimas</w:t>
      </w:r>
      <w:r w:rsidRPr="00127BD4">
        <w:rPr>
          <w:rFonts w:cs="Arial"/>
          <w:spacing w:val="-3"/>
        </w:rPr>
        <w:t>:</w:t>
      </w:r>
    </w:p>
    <w:p w14:paraId="05E11579" w14:textId="77777777" w:rsidR="005F65C2" w:rsidRPr="004068F6" w:rsidRDefault="005F65C2" w:rsidP="005F65C2">
      <w:pPr>
        <w:numPr>
          <w:ilvl w:val="12"/>
          <w:numId w:val="0"/>
        </w:numPr>
        <w:tabs>
          <w:tab w:val="left" w:pos="-2268"/>
        </w:tabs>
        <w:suppressAutoHyphens/>
        <w:rPr>
          <w:rFonts w:cs="Arial"/>
          <w:spacing w:val="-3"/>
        </w:rPr>
      </w:pPr>
    </w:p>
    <w:p w14:paraId="270165CD" w14:textId="00A5D347" w:rsidR="005F65C2" w:rsidRPr="001547A0" w:rsidRDefault="005F65C2" w:rsidP="005F65C2">
      <w:pPr>
        <w:pStyle w:val="Prrafodelista"/>
        <w:numPr>
          <w:ilvl w:val="0"/>
          <w:numId w:val="376"/>
        </w:numPr>
        <w:tabs>
          <w:tab w:val="left" w:pos="-2268"/>
        </w:tabs>
        <w:suppressAutoHyphens/>
        <w:ind w:left="567" w:hanging="567"/>
        <w:rPr>
          <w:rFonts w:cs="Arial"/>
          <w:spacing w:val="-3"/>
          <w:lang w:val="es-CO"/>
        </w:rPr>
      </w:pPr>
      <w:r w:rsidRPr="001547A0">
        <w:rPr>
          <w:rFonts w:cs="Arial"/>
          <w:spacing w:val="-3"/>
          <w:lang w:val="es-CO"/>
        </w:rPr>
        <w:t xml:space="preserve">Seleccionar las especies a modelar teniendo en cuenta lo siguiente: </w:t>
      </w:r>
      <w:r w:rsidR="00E44D3D">
        <w:rPr>
          <w:rFonts w:cs="Arial"/>
          <w:spacing w:val="-3"/>
          <w:lang w:val="es-CO"/>
        </w:rPr>
        <w:t xml:space="preserve">i) </w:t>
      </w:r>
      <w:r w:rsidRPr="001547A0">
        <w:rPr>
          <w:rFonts w:cs="Arial"/>
          <w:spacing w:val="-3"/>
          <w:lang w:val="es-CO"/>
        </w:rPr>
        <w:t xml:space="preserve">la sensibilidad a los impactos generados por el proyecto (considerando la temporalidad de ejecución de actividades y la asociación del movimiento de las especies con las épocas climáticas); </w:t>
      </w:r>
      <w:r w:rsidR="00484E52">
        <w:rPr>
          <w:rFonts w:cs="Arial"/>
          <w:spacing w:val="-3"/>
          <w:lang w:val="es-CO"/>
        </w:rPr>
        <w:t xml:space="preserve">ii) </w:t>
      </w:r>
      <w:r w:rsidR="00D5402E">
        <w:rPr>
          <w:rFonts w:cs="Arial"/>
          <w:spacing w:val="-3"/>
          <w:lang w:val="es-CO"/>
        </w:rPr>
        <w:t xml:space="preserve">condiciones como </w:t>
      </w:r>
      <w:r w:rsidRPr="001547A0">
        <w:rPr>
          <w:rFonts w:cs="Arial"/>
          <w:spacing w:val="-3"/>
          <w:lang w:val="es-CO"/>
        </w:rPr>
        <w:t xml:space="preserve">migración, amenaza y </w:t>
      </w:r>
      <w:r w:rsidRPr="001547A0">
        <w:rPr>
          <w:rFonts w:cs="Arial"/>
          <w:spacing w:val="-3"/>
          <w:lang w:val="es-CO"/>
        </w:rPr>
        <w:lastRenderedPageBreak/>
        <w:t>endemismo</w:t>
      </w:r>
      <w:r w:rsidR="003741A9">
        <w:rPr>
          <w:rFonts w:cs="Arial"/>
          <w:spacing w:val="-3"/>
          <w:lang w:val="es-CO"/>
        </w:rPr>
        <w:t xml:space="preserve"> y</w:t>
      </w:r>
      <w:r w:rsidRPr="001547A0">
        <w:rPr>
          <w:rFonts w:cs="Arial"/>
          <w:spacing w:val="-3"/>
          <w:lang w:val="es-CO"/>
        </w:rPr>
        <w:t xml:space="preserve">; </w:t>
      </w:r>
      <w:r w:rsidR="003741A9">
        <w:rPr>
          <w:rFonts w:cs="Arial"/>
          <w:spacing w:val="-3"/>
          <w:lang w:val="es-CO"/>
        </w:rPr>
        <w:t xml:space="preserve">iii) </w:t>
      </w:r>
      <w:r w:rsidRPr="001547A0">
        <w:rPr>
          <w:rFonts w:cs="Arial"/>
          <w:spacing w:val="-3"/>
          <w:lang w:val="es-CO"/>
        </w:rPr>
        <w:t>el rol ecológico, especificidad de hábitats y diferentes rangos de movilidad.</w:t>
      </w:r>
    </w:p>
    <w:p w14:paraId="7BAB2EB4" w14:textId="77777777" w:rsidR="005F65C2" w:rsidRPr="004068F6" w:rsidRDefault="005F65C2" w:rsidP="005F65C2">
      <w:pPr>
        <w:tabs>
          <w:tab w:val="left" w:pos="-2268"/>
        </w:tabs>
        <w:suppressAutoHyphens/>
        <w:rPr>
          <w:rFonts w:cs="Arial"/>
          <w:spacing w:val="-3"/>
        </w:rPr>
      </w:pPr>
    </w:p>
    <w:p w14:paraId="712BA94C" w14:textId="20E559E0" w:rsidR="005F65C2" w:rsidRPr="004068F6" w:rsidRDefault="005F65C2" w:rsidP="005F65C2">
      <w:pPr>
        <w:pStyle w:val="Prrafodelista"/>
        <w:numPr>
          <w:ilvl w:val="0"/>
          <w:numId w:val="376"/>
        </w:numPr>
        <w:tabs>
          <w:tab w:val="left" w:pos="-2268"/>
        </w:tabs>
        <w:suppressAutoHyphens/>
        <w:ind w:left="567" w:hanging="567"/>
        <w:rPr>
          <w:rFonts w:cs="Arial"/>
          <w:spacing w:val="-3"/>
          <w:lang w:val="es-CO"/>
        </w:rPr>
      </w:pPr>
      <w:r w:rsidRPr="004068F6">
        <w:rPr>
          <w:rFonts w:cs="Arial"/>
          <w:spacing w:val="-3"/>
          <w:lang w:val="es-CO"/>
        </w:rPr>
        <w:t>R</w:t>
      </w:r>
      <w:r w:rsidRPr="001547A0">
        <w:rPr>
          <w:rFonts w:cs="Arial"/>
          <w:spacing w:val="-3"/>
          <w:lang w:val="es-CO"/>
        </w:rPr>
        <w:t>ealizar</w:t>
      </w:r>
      <w:r w:rsidRPr="004068F6">
        <w:rPr>
          <w:rFonts w:cs="Arial"/>
          <w:spacing w:val="-3"/>
          <w:lang w:val="es-CO"/>
        </w:rPr>
        <w:t>, para las especies seleccionadas,</w:t>
      </w:r>
      <w:r w:rsidRPr="001547A0">
        <w:rPr>
          <w:rFonts w:cs="Arial"/>
          <w:spacing w:val="-3"/>
          <w:lang w:val="es-CO"/>
        </w:rPr>
        <w:t xml:space="preserve"> un análisis de la conectividad lateral y longitudinal a partir de modelos de idoneidad de hábitat</w:t>
      </w:r>
      <w:r w:rsidR="00661301">
        <w:rPr>
          <w:rFonts w:cs="Arial"/>
          <w:spacing w:val="-3"/>
          <w:lang w:val="es-CO"/>
        </w:rPr>
        <w:t xml:space="preserve"> que </w:t>
      </w:r>
      <w:r w:rsidRPr="001547A0">
        <w:rPr>
          <w:rFonts w:cs="Arial"/>
          <w:spacing w:val="-3"/>
          <w:lang w:val="es-CO"/>
        </w:rPr>
        <w:t>integr</w:t>
      </w:r>
      <w:r w:rsidR="00661301">
        <w:rPr>
          <w:rFonts w:cs="Arial"/>
          <w:spacing w:val="-3"/>
          <w:lang w:val="es-CO"/>
        </w:rPr>
        <w:t xml:space="preserve">en </w:t>
      </w:r>
      <w:r w:rsidRPr="001547A0">
        <w:rPr>
          <w:rFonts w:cs="Arial"/>
          <w:spacing w:val="-3"/>
          <w:lang w:val="es-CO"/>
        </w:rPr>
        <w:t xml:space="preserve">la información </w:t>
      </w:r>
      <w:r w:rsidR="0037298B">
        <w:rPr>
          <w:rFonts w:cs="Arial"/>
          <w:spacing w:val="-3"/>
          <w:lang w:val="es-CO"/>
        </w:rPr>
        <w:t xml:space="preserve">resultado </w:t>
      </w:r>
      <w:r w:rsidRPr="001547A0">
        <w:rPr>
          <w:rFonts w:cs="Arial"/>
          <w:spacing w:val="-3"/>
          <w:lang w:val="es-CO"/>
        </w:rPr>
        <w:t xml:space="preserve">de </w:t>
      </w:r>
      <w:r w:rsidR="0037298B">
        <w:rPr>
          <w:rFonts w:cs="Arial"/>
          <w:spacing w:val="-3"/>
          <w:lang w:val="es-CO"/>
        </w:rPr>
        <w:t xml:space="preserve">los </w:t>
      </w:r>
      <w:r w:rsidRPr="001547A0">
        <w:rPr>
          <w:rFonts w:cs="Arial"/>
          <w:spacing w:val="-3"/>
          <w:lang w:val="es-CO"/>
        </w:rPr>
        <w:t>modelos hídricos, sedimentológicos y de calidad del agua</w:t>
      </w:r>
      <w:r w:rsidR="006E240C">
        <w:rPr>
          <w:rFonts w:cs="Arial"/>
          <w:spacing w:val="-3"/>
          <w:lang w:val="es-CO"/>
        </w:rPr>
        <w:t>, entre otros</w:t>
      </w:r>
      <w:r w:rsidR="00AD7A5E">
        <w:rPr>
          <w:rFonts w:cs="Arial"/>
          <w:spacing w:val="-3"/>
          <w:lang w:val="es-CO"/>
        </w:rPr>
        <w:t xml:space="preserve"> modelos </w:t>
      </w:r>
      <w:r w:rsidR="006E240C">
        <w:rPr>
          <w:rFonts w:cs="Arial"/>
          <w:spacing w:val="-3"/>
          <w:lang w:val="es-CO"/>
        </w:rPr>
        <w:t>desarrollados para caracterizar la línea base</w:t>
      </w:r>
      <w:r w:rsidRPr="004068F6">
        <w:rPr>
          <w:rFonts w:cs="Arial"/>
          <w:spacing w:val="-3"/>
          <w:lang w:val="es-CO"/>
        </w:rPr>
        <w:t xml:space="preserve">. Este análisis debe </w:t>
      </w:r>
      <w:r w:rsidRPr="001547A0">
        <w:rPr>
          <w:rFonts w:cs="Arial"/>
          <w:spacing w:val="-3"/>
          <w:lang w:val="es-CO"/>
        </w:rPr>
        <w:t>permit</w:t>
      </w:r>
      <w:r w:rsidRPr="004068F6">
        <w:rPr>
          <w:rFonts w:cs="Arial"/>
          <w:spacing w:val="-3"/>
          <w:lang w:val="es-CO"/>
        </w:rPr>
        <w:t xml:space="preserve">ir </w:t>
      </w:r>
      <w:r w:rsidR="00E41F89">
        <w:rPr>
          <w:rFonts w:cs="Arial"/>
          <w:spacing w:val="-3"/>
          <w:lang w:val="es-CO"/>
        </w:rPr>
        <w:t xml:space="preserve">conocer </w:t>
      </w:r>
      <w:r w:rsidRPr="001547A0">
        <w:rPr>
          <w:rFonts w:cs="Arial"/>
          <w:spacing w:val="-3"/>
          <w:lang w:val="es-CO"/>
        </w:rPr>
        <w:t>la desconexión o afectación de hábitats para cada una de las especies, los momentos de mayor movilidad de las especies</w:t>
      </w:r>
      <w:r w:rsidRPr="004068F6">
        <w:rPr>
          <w:rFonts w:cs="Arial"/>
          <w:spacing w:val="-3"/>
          <w:lang w:val="es-CO"/>
        </w:rPr>
        <w:t xml:space="preserve"> </w:t>
      </w:r>
      <w:r w:rsidR="00864D9A">
        <w:rPr>
          <w:rFonts w:cs="Arial"/>
          <w:spacing w:val="-3"/>
          <w:lang w:val="es-CO"/>
        </w:rPr>
        <w:t xml:space="preserve">y las </w:t>
      </w:r>
      <w:r w:rsidRPr="001547A0">
        <w:rPr>
          <w:rFonts w:cs="Arial"/>
          <w:spacing w:val="-3"/>
          <w:lang w:val="es-CO"/>
        </w:rPr>
        <w:t>áreas de importancia para la conectividad.</w:t>
      </w:r>
    </w:p>
    <w:p w14:paraId="330AB6D4" w14:textId="77777777" w:rsidR="005F65C2" w:rsidRPr="001547A0" w:rsidRDefault="005F65C2" w:rsidP="005F65C2">
      <w:pPr>
        <w:rPr>
          <w:rFonts w:cs="Arial"/>
          <w:spacing w:val="-3"/>
        </w:rPr>
      </w:pPr>
    </w:p>
    <w:p w14:paraId="3D14C459" w14:textId="77777777" w:rsidR="005F65C2" w:rsidRPr="004068F6" w:rsidRDefault="005F65C2" w:rsidP="005F65C2">
      <w:pPr>
        <w:pStyle w:val="Prrafodelista"/>
        <w:tabs>
          <w:tab w:val="left" w:pos="-2268"/>
        </w:tabs>
        <w:suppressAutoHyphens/>
        <w:ind w:left="567"/>
        <w:rPr>
          <w:rFonts w:cs="Arial"/>
          <w:spacing w:val="-3"/>
          <w:lang w:val="es-CO"/>
        </w:rPr>
      </w:pPr>
      <w:r w:rsidRPr="00567696">
        <w:rPr>
          <w:rFonts w:cs="Arial"/>
          <w:spacing w:val="-3"/>
          <w:lang w:val="en-US"/>
        </w:rPr>
        <w:t>Para desarrollar estos modelos de conectividad es posible emplear como referencia los siguientes documentos:</w:t>
      </w:r>
      <w:r w:rsidRPr="003B165D">
        <w:rPr>
          <w:rFonts w:cs="Arial"/>
          <w:spacing w:val="-3"/>
          <w:lang w:val="en-US"/>
        </w:rPr>
        <w:t xml:space="preserve"> Using water residency time to enhance spatio-temporal connectivity for conservation planning in seasonally dynamic freshwater ecosystems (Hermoso et al., 2012); Integrating multidirectional connectivity requirements in systematic conservation planning for freshwater systems (Hermoso et al., 2012); Basin-scale impacts of hydropower development on the Mompós Depression wetlands, Colombia (Angarita et al., 2018) y; Connectivity and biocomplexity in waterbodies of riverine floodplains. </w:t>
      </w:r>
      <w:r w:rsidRPr="001547A0">
        <w:rPr>
          <w:rFonts w:cs="Arial"/>
          <w:spacing w:val="-3"/>
          <w:lang w:val="es-CO"/>
        </w:rPr>
        <w:t>(Amoros &amp; Bornette, 2002).</w:t>
      </w:r>
    </w:p>
    <w:p w14:paraId="60BD624C" w14:textId="77777777" w:rsidR="005F65C2" w:rsidRPr="004068F6" w:rsidRDefault="005F65C2" w:rsidP="005F65C2">
      <w:pPr>
        <w:tabs>
          <w:tab w:val="left" w:pos="-2268"/>
        </w:tabs>
        <w:suppressAutoHyphens/>
        <w:rPr>
          <w:rFonts w:cs="Arial"/>
          <w:spacing w:val="-3"/>
        </w:rPr>
      </w:pPr>
    </w:p>
    <w:p w14:paraId="7DF2BB63" w14:textId="13A37818" w:rsidR="005F65C2" w:rsidRPr="001547A0" w:rsidRDefault="005F65C2" w:rsidP="005F65C2">
      <w:pPr>
        <w:pStyle w:val="Prrafodelista"/>
        <w:numPr>
          <w:ilvl w:val="0"/>
          <w:numId w:val="376"/>
        </w:numPr>
        <w:tabs>
          <w:tab w:val="left" w:pos="-2268"/>
        </w:tabs>
        <w:suppressAutoHyphens/>
        <w:ind w:left="567" w:hanging="567"/>
        <w:rPr>
          <w:rFonts w:cs="Arial"/>
          <w:spacing w:val="-3"/>
          <w:lang w:val="es-CO"/>
        </w:rPr>
      </w:pPr>
      <w:r w:rsidRPr="001547A0">
        <w:rPr>
          <w:rFonts w:cs="Arial"/>
          <w:spacing w:val="-3"/>
          <w:lang w:val="es-CO"/>
        </w:rPr>
        <w:t>Presentar en un anexo los ejecutables, esquema de model</w:t>
      </w:r>
      <w:r w:rsidR="00755102">
        <w:rPr>
          <w:rFonts w:cs="Arial"/>
          <w:spacing w:val="-3"/>
          <w:lang w:val="es-CO"/>
        </w:rPr>
        <w:t>iz</w:t>
      </w:r>
      <w:r w:rsidRPr="001547A0">
        <w:rPr>
          <w:rFonts w:cs="Arial"/>
          <w:spacing w:val="-3"/>
          <w:lang w:val="es-CO"/>
        </w:rPr>
        <w:t>ación, variables y covariables de entrada para la elaboración de</w:t>
      </w:r>
      <w:r w:rsidR="007E5392">
        <w:rPr>
          <w:rFonts w:cs="Arial"/>
          <w:spacing w:val="-3"/>
          <w:lang w:val="es-CO"/>
        </w:rPr>
        <w:t xml:space="preserve"> </w:t>
      </w:r>
      <w:r w:rsidRPr="001547A0">
        <w:rPr>
          <w:rFonts w:cs="Arial"/>
          <w:spacing w:val="-3"/>
          <w:lang w:val="es-CO"/>
        </w:rPr>
        <w:t>l</w:t>
      </w:r>
      <w:r w:rsidR="007E5392">
        <w:rPr>
          <w:rFonts w:cs="Arial"/>
          <w:spacing w:val="-3"/>
          <w:lang w:val="es-CO"/>
        </w:rPr>
        <w:t>os</w:t>
      </w:r>
      <w:r w:rsidRPr="001547A0">
        <w:rPr>
          <w:rFonts w:cs="Arial"/>
          <w:spacing w:val="-3"/>
          <w:lang w:val="es-CO"/>
        </w:rPr>
        <w:t xml:space="preserve"> modelo</w:t>
      </w:r>
      <w:r w:rsidR="007E5392">
        <w:rPr>
          <w:rFonts w:cs="Arial"/>
          <w:spacing w:val="-3"/>
          <w:lang w:val="es-CO"/>
        </w:rPr>
        <w:t>s</w:t>
      </w:r>
      <w:r w:rsidRPr="001547A0">
        <w:rPr>
          <w:rFonts w:cs="Arial"/>
          <w:spacing w:val="-3"/>
          <w:lang w:val="es-CO"/>
        </w:rPr>
        <w:t>, salidas gráficas y cartográficas de los resultados de los modelos. El propósito de ello es posibilitar la replicación de los ejercicios de model</w:t>
      </w:r>
      <w:r w:rsidR="00755102">
        <w:rPr>
          <w:rFonts w:cs="Arial"/>
          <w:spacing w:val="-3"/>
          <w:lang w:val="es-CO"/>
        </w:rPr>
        <w:t>iz</w:t>
      </w:r>
      <w:r w:rsidRPr="001547A0">
        <w:rPr>
          <w:rFonts w:cs="Arial"/>
          <w:spacing w:val="-3"/>
          <w:lang w:val="es-CO"/>
        </w:rPr>
        <w:t>ación.</w:t>
      </w:r>
    </w:p>
    <w:p w14:paraId="592BBAA7" w14:textId="77777777" w:rsidR="005F65C2" w:rsidRDefault="005F65C2">
      <w:pPr>
        <w:numPr>
          <w:ilvl w:val="12"/>
          <w:numId w:val="0"/>
        </w:numPr>
        <w:tabs>
          <w:tab w:val="left" w:pos="-2268"/>
        </w:tabs>
        <w:suppressAutoHyphens/>
        <w:rPr>
          <w:spacing w:val="-3"/>
        </w:rPr>
      </w:pPr>
    </w:p>
    <w:p w14:paraId="5FB94E8B" w14:textId="17047BBD" w:rsidR="00CD18F6" w:rsidRDefault="004E4DD7" w:rsidP="0091040E">
      <w:pPr>
        <w:numPr>
          <w:ilvl w:val="12"/>
          <w:numId w:val="0"/>
        </w:numPr>
        <w:tabs>
          <w:tab w:val="left" w:pos="-2268"/>
        </w:tabs>
        <w:suppressAutoHyphens/>
        <w:rPr>
          <w:rFonts w:cs="Arial"/>
          <w:spacing w:val="-3"/>
        </w:rPr>
      </w:pPr>
      <w:r>
        <w:rPr>
          <w:spacing w:val="-3"/>
        </w:rPr>
        <w:t xml:space="preserve">Las orientaciones señaladas previamente pueden ser empleadas </w:t>
      </w:r>
      <w:r w:rsidRPr="0091040E">
        <w:rPr>
          <w:spacing w:val="-3"/>
        </w:rPr>
        <w:t xml:space="preserve">para determinar y evaluar </w:t>
      </w:r>
      <w:r w:rsidR="005A0421" w:rsidRPr="00127BD4">
        <w:rPr>
          <w:rFonts w:cs="Arial"/>
          <w:spacing w:val="-3"/>
        </w:rPr>
        <w:t xml:space="preserve">el impacto </w:t>
      </w:r>
      <w:r w:rsidRPr="00127BD4">
        <w:rPr>
          <w:rFonts w:cs="Arial"/>
          <w:spacing w:val="-3"/>
        </w:rPr>
        <w:t xml:space="preserve">del proyecto </w:t>
      </w:r>
      <w:r w:rsidR="0091040E" w:rsidRPr="00127BD4">
        <w:rPr>
          <w:rFonts w:cs="Arial"/>
          <w:spacing w:val="-3"/>
        </w:rPr>
        <w:t xml:space="preserve">en </w:t>
      </w:r>
      <w:r w:rsidR="005A0421" w:rsidRPr="00127BD4">
        <w:rPr>
          <w:rFonts w:cs="Arial"/>
          <w:spacing w:val="-3"/>
        </w:rPr>
        <w:t xml:space="preserve">la conectividad ecológica o </w:t>
      </w:r>
      <w:r w:rsidR="0091040E" w:rsidRPr="00127BD4">
        <w:rPr>
          <w:rFonts w:cs="Arial"/>
          <w:spacing w:val="-3"/>
        </w:rPr>
        <w:t xml:space="preserve">en </w:t>
      </w:r>
      <w:r w:rsidR="005A0421" w:rsidRPr="00127BD4">
        <w:rPr>
          <w:rFonts w:cs="Arial"/>
          <w:spacing w:val="-3"/>
        </w:rPr>
        <w:t>el hábitat de fauna acuática</w:t>
      </w:r>
      <w:r w:rsidR="0091040E">
        <w:rPr>
          <w:rFonts w:cs="Arial"/>
          <w:spacing w:val="-3"/>
        </w:rPr>
        <w:t xml:space="preserve">. Los </w:t>
      </w:r>
      <w:r w:rsidR="00CD18F6" w:rsidRPr="001547A0">
        <w:rPr>
          <w:rFonts w:cs="Arial"/>
          <w:spacing w:val="-3"/>
        </w:rPr>
        <w:t xml:space="preserve">análisis de la conectividad lateral y longitudinal </w:t>
      </w:r>
      <w:r w:rsidR="005B1BF3">
        <w:rPr>
          <w:rFonts w:cs="Arial"/>
          <w:spacing w:val="-3"/>
        </w:rPr>
        <w:t>de las especies seleccionadas</w:t>
      </w:r>
      <w:r w:rsidR="00427508">
        <w:rPr>
          <w:rFonts w:cs="Arial"/>
          <w:spacing w:val="-3"/>
        </w:rPr>
        <w:t xml:space="preserve"> </w:t>
      </w:r>
      <w:r w:rsidR="0020395E">
        <w:rPr>
          <w:rFonts w:cs="Arial"/>
          <w:spacing w:val="-3"/>
        </w:rPr>
        <w:t xml:space="preserve">deben </w:t>
      </w:r>
      <w:r w:rsidR="00951E6E">
        <w:rPr>
          <w:rFonts w:cs="Arial"/>
          <w:spacing w:val="-3"/>
        </w:rPr>
        <w:t>in</w:t>
      </w:r>
      <w:r w:rsidR="00951E6E" w:rsidRPr="00C75532">
        <w:rPr>
          <w:rFonts w:cs="Arial"/>
          <w:spacing w:val="-3"/>
        </w:rPr>
        <w:t xml:space="preserve">corporar </w:t>
      </w:r>
      <w:r w:rsidR="008F042E" w:rsidRPr="00C75532">
        <w:rPr>
          <w:rFonts w:cs="Arial"/>
          <w:spacing w:val="-3"/>
        </w:rPr>
        <w:t xml:space="preserve">al análisis </w:t>
      </w:r>
      <w:r w:rsidR="001046AC" w:rsidRPr="00127BD4">
        <w:rPr>
          <w:rFonts w:cs="Arial"/>
          <w:spacing w:val="-3"/>
        </w:rPr>
        <w:t xml:space="preserve">los resultados de </w:t>
      </w:r>
      <w:r w:rsidR="008F042E" w:rsidRPr="00127BD4">
        <w:rPr>
          <w:rFonts w:cs="Arial"/>
          <w:spacing w:val="-3"/>
        </w:rPr>
        <w:t xml:space="preserve">las </w:t>
      </w:r>
      <w:r w:rsidR="001046AC" w:rsidRPr="00127BD4">
        <w:rPr>
          <w:rFonts w:cs="Arial"/>
          <w:spacing w:val="-3"/>
        </w:rPr>
        <w:t xml:space="preserve">modelizaciones </w:t>
      </w:r>
      <w:r w:rsidR="00C75532" w:rsidRPr="00127BD4">
        <w:rPr>
          <w:rFonts w:cs="Arial"/>
          <w:spacing w:val="-3"/>
        </w:rPr>
        <w:t xml:space="preserve">del escenario con proyecto </w:t>
      </w:r>
      <w:r w:rsidR="008F042E" w:rsidRPr="00127BD4">
        <w:rPr>
          <w:rFonts w:cs="Arial"/>
          <w:spacing w:val="-3"/>
        </w:rPr>
        <w:t xml:space="preserve">para </w:t>
      </w:r>
      <w:r w:rsidR="001046AC" w:rsidRPr="00127BD4">
        <w:rPr>
          <w:rFonts w:cs="Arial"/>
          <w:spacing w:val="-3"/>
        </w:rPr>
        <w:t>variables como caudal, calidad del agua, nivel freático, ruido, contaminantes atmosféricos, viento</w:t>
      </w:r>
      <w:r w:rsidR="00497874">
        <w:rPr>
          <w:rFonts w:cs="Arial"/>
          <w:spacing w:val="-3"/>
        </w:rPr>
        <w:t>, sedimentación</w:t>
      </w:r>
      <w:r w:rsidR="0020395E" w:rsidRPr="00C75532">
        <w:rPr>
          <w:rFonts w:cs="Arial"/>
          <w:spacing w:val="-3"/>
        </w:rPr>
        <w:t>.</w:t>
      </w:r>
    </w:p>
    <w:p w14:paraId="5EACBBA9" w14:textId="77777777" w:rsidR="00CD18F6" w:rsidRDefault="00CD18F6">
      <w:pPr>
        <w:numPr>
          <w:ilvl w:val="12"/>
          <w:numId w:val="0"/>
        </w:numPr>
        <w:tabs>
          <w:tab w:val="left" w:pos="-2268"/>
        </w:tabs>
        <w:suppressAutoHyphens/>
        <w:rPr>
          <w:rFonts w:cs="Arial"/>
          <w:spacing w:val="-3"/>
        </w:rPr>
      </w:pPr>
    </w:p>
    <w:p w14:paraId="7DF90847" w14:textId="25E3D073" w:rsidR="00E0441D" w:rsidRPr="00127BD4" w:rsidRDefault="00092ADF" w:rsidP="001E1715">
      <w:pPr>
        <w:numPr>
          <w:ilvl w:val="12"/>
          <w:numId w:val="0"/>
        </w:numPr>
        <w:tabs>
          <w:tab w:val="left" w:pos="-2268"/>
        </w:tabs>
        <w:suppressAutoHyphens/>
        <w:rPr>
          <w:rFonts w:cs="Arial"/>
          <w:spacing w:val="-3"/>
        </w:rPr>
      </w:pPr>
      <w:r w:rsidRPr="00F63352">
        <w:rPr>
          <w:rFonts w:cs="Arial"/>
          <w:spacing w:val="-3"/>
        </w:rPr>
        <w:t xml:space="preserve">Tales modelos </w:t>
      </w:r>
      <w:r w:rsidR="00576BFF" w:rsidRPr="003B165D">
        <w:rPr>
          <w:rFonts w:cs="Arial"/>
          <w:spacing w:val="-3"/>
        </w:rPr>
        <w:t>constituy</w:t>
      </w:r>
      <w:r w:rsidR="00576BFF">
        <w:rPr>
          <w:rFonts w:cs="Arial"/>
          <w:spacing w:val="-3"/>
        </w:rPr>
        <w:t>e</w:t>
      </w:r>
      <w:r w:rsidR="00576BFF" w:rsidRPr="003B165D">
        <w:rPr>
          <w:rFonts w:cs="Arial"/>
          <w:spacing w:val="-3"/>
        </w:rPr>
        <w:t xml:space="preserve">n un elemento </w:t>
      </w:r>
      <w:r w:rsidR="00576BFF">
        <w:rPr>
          <w:rFonts w:cs="Arial"/>
          <w:spacing w:val="-3"/>
        </w:rPr>
        <w:t xml:space="preserve">complementario de </w:t>
      </w:r>
      <w:r w:rsidR="00576BFF" w:rsidRPr="003B165D">
        <w:rPr>
          <w:rFonts w:cs="Arial"/>
          <w:spacing w:val="-3"/>
        </w:rPr>
        <w:t>evaluación ambiental</w:t>
      </w:r>
      <w:r w:rsidR="00576BFF">
        <w:rPr>
          <w:rFonts w:cs="Arial"/>
          <w:spacing w:val="-3"/>
        </w:rPr>
        <w:t>,</w:t>
      </w:r>
      <w:r w:rsidR="00576BFF" w:rsidRPr="003B165D">
        <w:rPr>
          <w:rFonts w:cs="Arial"/>
          <w:spacing w:val="-3"/>
        </w:rPr>
        <w:t xml:space="preserve"> </w:t>
      </w:r>
      <w:r w:rsidR="00576BFF">
        <w:rPr>
          <w:rFonts w:cs="Arial"/>
          <w:spacing w:val="-3"/>
        </w:rPr>
        <w:t xml:space="preserve">pues </w:t>
      </w:r>
      <w:r w:rsidRPr="00127BD4">
        <w:rPr>
          <w:rFonts w:cs="Arial"/>
          <w:spacing w:val="-3"/>
        </w:rPr>
        <w:t>permiten estimar de forma más precisa cómo y en dónde las actividades, obras e infraestructura del proyecto, limitan directa e indirectamente la movilidad de las especies</w:t>
      </w:r>
      <w:r w:rsidR="00F63352">
        <w:rPr>
          <w:rFonts w:cs="Arial"/>
          <w:spacing w:val="-3"/>
        </w:rPr>
        <w:t xml:space="preserve"> y</w:t>
      </w:r>
      <w:r w:rsidR="00D94409" w:rsidRPr="00127BD4">
        <w:rPr>
          <w:rFonts w:cs="Arial"/>
          <w:spacing w:val="-3"/>
        </w:rPr>
        <w:t xml:space="preserve"> generan </w:t>
      </w:r>
      <w:r w:rsidR="00BD631D" w:rsidRPr="00F63352">
        <w:rPr>
          <w:rFonts w:cs="Arial"/>
          <w:spacing w:val="-3"/>
        </w:rPr>
        <w:t>impactos relativos a la desconexión o afectación de hábitats</w:t>
      </w:r>
      <w:r w:rsidR="00F63352">
        <w:rPr>
          <w:rFonts w:cs="Arial"/>
          <w:spacing w:val="-3"/>
        </w:rPr>
        <w:t xml:space="preserve">. </w:t>
      </w:r>
      <w:r w:rsidR="00FC3207">
        <w:rPr>
          <w:rFonts w:cs="Arial"/>
          <w:spacing w:val="-3"/>
        </w:rPr>
        <w:t xml:space="preserve">Adicionalmente, los modelos </w:t>
      </w:r>
      <w:r w:rsidR="00C829A5">
        <w:rPr>
          <w:rFonts w:cs="Arial"/>
          <w:spacing w:val="-3"/>
        </w:rPr>
        <w:t>facilit</w:t>
      </w:r>
      <w:r w:rsidR="00FC3207">
        <w:rPr>
          <w:rFonts w:cs="Arial"/>
          <w:spacing w:val="-3"/>
        </w:rPr>
        <w:t>an</w:t>
      </w:r>
      <w:r w:rsidR="00C829A5">
        <w:rPr>
          <w:rFonts w:cs="Arial"/>
          <w:spacing w:val="-3"/>
        </w:rPr>
        <w:t xml:space="preserve"> </w:t>
      </w:r>
      <w:r w:rsidRPr="00127BD4">
        <w:rPr>
          <w:rFonts w:cs="Arial"/>
          <w:spacing w:val="-3"/>
        </w:rPr>
        <w:t xml:space="preserve">la </w:t>
      </w:r>
      <w:r w:rsidR="00A27EC6" w:rsidRPr="00127BD4">
        <w:rPr>
          <w:rFonts w:cs="Arial"/>
          <w:spacing w:val="-3"/>
        </w:rPr>
        <w:t xml:space="preserve">formulación </w:t>
      </w:r>
      <w:r w:rsidRPr="00127BD4">
        <w:rPr>
          <w:rFonts w:cs="Arial"/>
          <w:spacing w:val="-3"/>
        </w:rPr>
        <w:t>de medidas de manejo</w:t>
      </w:r>
      <w:r w:rsidR="00E0441D" w:rsidRPr="00127BD4">
        <w:rPr>
          <w:rFonts w:cs="Arial"/>
          <w:spacing w:val="-3"/>
        </w:rPr>
        <w:t xml:space="preserve"> </w:t>
      </w:r>
      <w:r w:rsidR="00E0441D" w:rsidRPr="00F63352">
        <w:rPr>
          <w:rFonts w:cs="Arial"/>
          <w:spacing w:val="-3"/>
        </w:rPr>
        <w:t>pertinentes (p. ej. pasos de fauna).</w:t>
      </w:r>
    </w:p>
    <w:p w14:paraId="1D6FDBA0" w14:textId="77777777" w:rsidR="00482A5F" w:rsidRDefault="00482A5F">
      <w:pPr>
        <w:numPr>
          <w:ilvl w:val="12"/>
          <w:numId w:val="0"/>
        </w:numPr>
        <w:tabs>
          <w:tab w:val="left" w:pos="-2268"/>
        </w:tabs>
        <w:suppressAutoHyphens/>
        <w:rPr>
          <w:spacing w:val="-3"/>
        </w:rPr>
      </w:pPr>
      <w:bookmarkStart w:id="2918" w:name="_Toc216968122"/>
      <w:bookmarkStart w:id="2919" w:name="_Toc217035811"/>
      <w:bookmarkStart w:id="2920" w:name="_Toc216968123"/>
      <w:bookmarkStart w:id="2921" w:name="_Toc217035812"/>
      <w:bookmarkStart w:id="2922" w:name="_Toc216968125"/>
      <w:bookmarkStart w:id="2923" w:name="_Toc217035814"/>
      <w:bookmarkEnd w:id="2916"/>
      <w:bookmarkEnd w:id="2917"/>
      <w:bookmarkEnd w:id="2918"/>
      <w:bookmarkEnd w:id="2919"/>
      <w:bookmarkEnd w:id="2920"/>
      <w:bookmarkEnd w:id="2921"/>
      <w:bookmarkEnd w:id="2922"/>
      <w:bookmarkEnd w:id="2923"/>
    </w:p>
    <w:p w14:paraId="69E4D305" w14:textId="77777777" w:rsidR="00E3791B" w:rsidRDefault="00E3791B">
      <w:pPr>
        <w:numPr>
          <w:ilvl w:val="12"/>
          <w:numId w:val="0"/>
        </w:numPr>
        <w:tabs>
          <w:tab w:val="left" w:pos="-2268"/>
        </w:tabs>
        <w:suppressAutoHyphens/>
        <w:rPr>
          <w:spacing w:val="-3"/>
        </w:rPr>
      </w:pPr>
    </w:p>
    <w:p w14:paraId="7A7022D2" w14:textId="77777777" w:rsidR="00E3791B" w:rsidRPr="004068F6" w:rsidRDefault="00E3791B">
      <w:pPr>
        <w:numPr>
          <w:ilvl w:val="12"/>
          <w:numId w:val="0"/>
        </w:numPr>
        <w:tabs>
          <w:tab w:val="left" w:pos="-2268"/>
        </w:tabs>
        <w:suppressAutoHyphens/>
        <w:rPr>
          <w:spacing w:val="-3"/>
        </w:rPr>
      </w:pPr>
    </w:p>
    <w:p w14:paraId="3ADFB7DA" w14:textId="76556F4C" w:rsidR="00482A5F" w:rsidRPr="004068F6" w:rsidRDefault="00482A5F" w:rsidP="0068149C">
      <w:pPr>
        <w:pStyle w:val="Ttulo2"/>
        <w:rPr>
          <w:lang w:val="es-CO"/>
        </w:rPr>
      </w:pPr>
      <w:bookmarkStart w:id="2924" w:name="_Toc138759998"/>
      <w:bookmarkStart w:id="2925" w:name="_Toc153811839"/>
      <w:bookmarkStart w:id="2926" w:name="_Toc153812053"/>
      <w:bookmarkStart w:id="2927" w:name="_Toc153812458"/>
      <w:bookmarkStart w:id="2928" w:name="_Toc158907168"/>
      <w:bookmarkStart w:id="2929" w:name="_Toc159826168"/>
      <w:bookmarkStart w:id="2930" w:name="_Toc159826602"/>
      <w:bookmarkStart w:id="2931" w:name="_Toc175326432"/>
      <w:bookmarkStart w:id="2932" w:name="_Toc138759999"/>
      <w:bookmarkStart w:id="2933" w:name="_Toc153811840"/>
      <w:bookmarkStart w:id="2934" w:name="_Toc153812054"/>
      <w:bookmarkStart w:id="2935" w:name="_Toc153812459"/>
      <w:bookmarkStart w:id="2936" w:name="_Toc158907169"/>
      <w:bookmarkStart w:id="2937" w:name="_Toc159826169"/>
      <w:bookmarkStart w:id="2938" w:name="_Toc159826603"/>
      <w:bookmarkStart w:id="2939" w:name="_Toc175326433"/>
      <w:bookmarkStart w:id="2940" w:name="_Toc43485714"/>
      <w:bookmarkStart w:id="2941" w:name="_Toc43485715"/>
      <w:bookmarkStart w:id="2942" w:name="_Toc43485716"/>
      <w:bookmarkStart w:id="2943" w:name="_Toc405366839"/>
      <w:bookmarkStart w:id="2944" w:name="_Toc405372386"/>
      <w:bookmarkStart w:id="2945" w:name="_Toc412803189"/>
      <w:bookmarkStart w:id="2946" w:name="_Toc437936029"/>
      <w:bookmarkStart w:id="2947" w:name="_Ref515954596"/>
      <w:bookmarkStart w:id="2948" w:name="_Toc42764354"/>
      <w:bookmarkStart w:id="2949" w:name="_Toc230879661"/>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r w:rsidRPr="004068F6">
        <w:rPr>
          <w:lang w:val="es-CO"/>
        </w:rPr>
        <w:lastRenderedPageBreak/>
        <w:t>MEDIO SOCIOECONÓMICO</w:t>
      </w:r>
      <w:bookmarkEnd w:id="2943"/>
      <w:bookmarkEnd w:id="2944"/>
      <w:bookmarkEnd w:id="2945"/>
      <w:bookmarkEnd w:id="2946"/>
      <w:bookmarkEnd w:id="2947"/>
      <w:bookmarkEnd w:id="2948"/>
      <w:bookmarkEnd w:id="2949"/>
    </w:p>
    <w:p w14:paraId="5BC21713" w14:textId="77777777" w:rsidR="004A5609" w:rsidRPr="00127BD4" w:rsidRDefault="004A5609" w:rsidP="00482A5F">
      <w:pPr>
        <w:numPr>
          <w:ilvl w:val="12"/>
          <w:numId w:val="0"/>
        </w:numPr>
        <w:tabs>
          <w:tab w:val="left" w:pos="-2268"/>
        </w:tabs>
        <w:suppressAutoHyphens/>
        <w:rPr>
          <w:rFonts w:cs="Arial"/>
          <w:spacing w:val="-3"/>
        </w:rPr>
      </w:pPr>
    </w:p>
    <w:p w14:paraId="295F1559" w14:textId="1483A97D" w:rsidR="00482A5F" w:rsidRPr="004068F6" w:rsidRDefault="00482A5F">
      <w:pPr>
        <w:numPr>
          <w:ilvl w:val="12"/>
          <w:numId w:val="0"/>
        </w:numPr>
        <w:tabs>
          <w:tab w:val="left" w:pos="-2268"/>
        </w:tabs>
        <w:suppressAutoHyphens/>
        <w:rPr>
          <w:spacing w:val="-3"/>
        </w:rPr>
      </w:pPr>
      <w:r w:rsidRPr="004068F6">
        <w:rPr>
          <w:spacing w:val="-3"/>
        </w:rPr>
        <w:t xml:space="preserve">La caracterización del medio socioeconómico </w:t>
      </w:r>
      <w:r w:rsidR="00F75991" w:rsidRPr="004068F6">
        <w:rPr>
          <w:rFonts w:cs="Arial"/>
          <w:spacing w:val="-3"/>
        </w:rPr>
        <w:t xml:space="preserve">debe </w:t>
      </w:r>
      <w:r w:rsidRPr="004068F6">
        <w:rPr>
          <w:rFonts w:cs="Arial"/>
          <w:spacing w:val="-3"/>
        </w:rPr>
        <w:t>analizar</w:t>
      </w:r>
      <w:r w:rsidRPr="004068F6">
        <w:rPr>
          <w:spacing w:val="-3"/>
        </w:rPr>
        <w:t xml:space="preserve"> información cuantitativa y cualitativa </w:t>
      </w:r>
      <w:r w:rsidRPr="004068F6">
        <w:rPr>
          <w:rFonts w:cs="Arial"/>
          <w:spacing w:val="-3"/>
        </w:rPr>
        <w:t xml:space="preserve">con </w:t>
      </w:r>
      <w:r w:rsidRPr="004068F6">
        <w:rPr>
          <w:spacing w:val="-3"/>
        </w:rPr>
        <w:t xml:space="preserve">el </w:t>
      </w:r>
      <w:r w:rsidRPr="004068F6">
        <w:rPr>
          <w:rFonts w:cs="Arial"/>
          <w:spacing w:val="-3"/>
        </w:rPr>
        <w:t>propósito</w:t>
      </w:r>
      <w:r w:rsidRPr="004068F6">
        <w:rPr>
          <w:spacing w:val="-3"/>
        </w:rPr>
        <w:t xml:space="preserve"> de </w:t>
      </w:r>
      <w:r w:rsidRPr="004068F6">
        <w:rPr>
          <w:rFonts w:cs="Arial"/>
          <w:spacing w:val="-3"/>
        </w:rPr>
        <w:t xml:space="preserve">conocer las </w:t>
      </w:r>
      <w:r w:rsidRPr="004068F6">
        <w:rPr>
          <w:spacing w:val="-3"/>
        </w:rPr>
        <w:t xml:space="preserve">condiciones </w:t>
      </w:r>
      <w:r w:rsidRPr="004068F6">
        <w:rPr>
          <w:rFonts w:cs="Arial"/>
          <w:spacing w:val="-3"/>
        </w:rPr>
        <w:t xml:space="preserve">socioeconómicas y culturales actuales de la población </w:t>
      </w:r>
      <w:r w:rsidR="00335331">
        <w:rPr>
          <w:rFonts w:cs="Arial"/>
          <w:spacing w:val="-3"/>
        </w:rPr>
        <w:t xml:space="preserve">y así </w:t>
      </w:r>
      <w:r w:rsidRPr="004068F6">
        <w:rPr>
          <w:rFonts w:cs="Arial"/>
          <w:spacing w:val="-3"/>
        </w:rPr>
        <w:t>determinar l</w:t>
      </w:r>
      <w:r w:rsidR="00F75991" w:rsidRPr="004068F6">
        <w:rPr>
          <w:rFonts w:cs="Arial"/>
          <w:spacing w:val="-3"/>
        </w:rPr>
        <w:t>o</w:t>
      </w:r>
      <w:r w:rsidRPr="004068F6">
        <w:rPr>
          <w:rFonts w:cs="Arial"/>
          <w:spacing w:val="-3"/>
        </w:rPr>
        <w:t xml:space="preserve">s posibles impactos que pueden generar las actividades del proyecto, obra o actividad en cada una de sus </w:t>
      </w:r>
      <w:r w:rsidR="00B01D3A">
        <w:rPr>
          <w:spacing w:val="-3"/>
        </w:rPr>
        <w:t>etapas</w:t>
      </w:r>
      <w:r w:rsidRPr="004068F6">
        <w:rPr>
          <w:spacing w:val="-3"/>
        </w:rPr>
        <w:t>.</w:t>
      </w:r>
    </w:p>
    <w:p w14:paraId="3FC2B8AB" w14:textId="77777777" w:rsidR="00482A5F" w:rsidRPr="004068F6" w:rsidRDefault="00482A5F">
      <w:pPr>
        <w:numPr>
          <w:ilvl w:val="12"/>
          <w:numId w:val="0"/>
        </w:numPr>
        <w:tabs>
          <w:tab w:val="left" w:pos="-2268"/>
        </w:tabs>
        <w:suppressAutoHyphens/>
        <w:rPr>
          <w:spacing w:val="-3"/>
        </w:rPr>
      </w:pPr>
    </w:p>
    <w:p w14:paraId="2C3360F3" w14:textId="3CB750FD" w:rsidR="00482A5F" w:rsidRPr="004068F6" w:rsidRDefault="00F75991">
      <w:pPr>
        <w:numPr>
          <w:ilvl w:val="12"/>
          <w:numId w:val="0"/>
        </w:numPr>
        <w:tabs>
          <w:tab w:val="left" w:pos="-2268"/>
        </w:tabs>
        <w:suppressAutoHyphens/>
        <w:rPr>
          <w:spacing w:val="-3"/>
        </w:rPr>
      </w:pPr>
      <w:r w:rsidRPr="004068F6">
        <w:rPr>
          <w:spacing w:val="-3"/>
        </w:rPr>
        <w:t>La</w:t>
      </w:r>
      <w:r w:rsidR="00482A5F" w:rsidRPr="004068F6">
        <w:rPr>
          <w:spacing w:val="-3"/>
        </w:rPr>
        <w:t xml:space="preserve"> caracterización socioeconómica de las </w:t>
      </w:r>
      <w:r w:rsidR="006D75A2" w:rsidRPr="004068F6">
        <w:rPr>
          <w:spacing w:val="-3"/>
        </w:rPr>
        <w:t>unidades de análisis territorial</w:t>
      </w:r>
      <w:r w:rsidR="00482A5F" w:rsidRPr="004068F6">
        <w:rPr>
          <w:spacing w:val="-3"/>
        </w:rPr>
        <w:t xml:space="preserve"> debe </w:t>
      </w:r>
      <w:r w:rsidRPr="004068F6">
        <w:rPr>
          <w:spacing w:val="-3"/>
        </w:rPr>
        <w:t xml:space="preserve">efectuarse </w:t>
      </w:r>
      <w:r w:rsidR="00482A5F" w:rsidRPr="004068F6">
        <w:rPr>
          <w:spacing w:val="-3"/>
        </w:rPr>
        <w:t xml:space="preserve">primordialmente </w:t>
      </w:r>
      <w:r w:rsidRPr="004068F6">
        <w:rPr>
          <w:spacing w:val="-3"/>
        </w:rPr>
        <w:t xml:space="preserve">mediante el levantamiento de </w:t>
      </w:r>
      <w:r w:rsidR="00482A5F" w:rsidRPr="004068F6">
        <w:rPr>
          <w:spacing w:val="-3"/>
        </w:rPr>
        <w:t>información primaria</w:t>
      </w:r>
      <w:r w:rsidR="00482A5F" w:rsidRPr="004068F6">
        <w:rPr>
          <w:rFonts w:cs="Arial"/>
          <w:spacing w:val="-3"/>
        </w:rPr>
        <w:t>,</w:t>
      </w:r>
      <w:r w:rsidRPr="004068F6">
        <w:rPr>
          <w:rFonts w:cs="Arial"/>
          <w:spacing w:val="-3"/>
        </w:rPr>
        <w:t xml:space="preserve"> y</w:t>
      </w:r>
      <w:r w:rsidR="00482A5F" w:rsidRPr="004068F6">
        <w:rPr>
          <w:rFonts w:cs="Arial"/>
          <w:spacing w:val="-3"/>
        </w:rPr>
        <w:t xml:space="preserve"> analizando</w:t>
      </w:r>
      <w:r w:rsidR="00482A5F" w:rsidRPr="004068F6">
        <w:rPr>
          <w:spacing w:val="-3"/>
        </w:rPr>
        <w:t xml:space="preserve"> su </w:t>
      </w:r>
      <w:r w:rsidR="00482A5F" w:rsidRPr="004068F6">
        <w:rPr>
          <w:rFonts w:cs="Arial"/>
          <w:spacing w:val="-3"/>
        </w:rPr>
        <w:t>relación</w:t>
      </w:r>
      <w:r w:rsidR="00482A5F" w:rsidRPr="004068F6">
        <w:rPr>
          <w:spacing w:val="-3"/>
        </w:rPr>
        <w:t xml:space="preserve"> con el </w:t>
      </w:r>
      <w:r w:rsidR="00482A5F" w:rsidRPr="004068F6">
        <w:rPr>
          <w:rFonts w:cs="Arial"/>
          <w:spacing w:val="-3"/>
        </w:rPr>
        <w:t xml:space="preserve">proyecto, de manera que sirva para dimensionar los impactos que éste pueda ocasionar en las dinámicas sociales, económicas y culturales. Se </w:t>
      </w:r>
      <w:r w:rsidR="00103345" w:rsidRPr="004068F6">
        <w:rPr>
          <w:rFonts w:cs="Arial"/>
          <w:spacing w:val="-3"/>
        </w:rPr>
        <w:t>debe</w:t>
      </w:r>
      <w:r w:rsidR="00482A5F" w:rsidRPr="004068F6">
        <w:rPr>
          <w:rFonts w:cs="Arial"/>
          <w:spacing w:val="-3"/>
        </w:rPr>
        <w:t xml:space="preserve"> describir la </w:t>
      </w:r>
      <w:r w:rsidR="00482A5F" w:rsidRPr="004068F6">
        <w:rPr>
          <w:spacing w:val="-3"/>
        </w:rPr>
        <w:t>metodología</w:t>
      </w:r>
      <w:r w:rsidR="00482A5F" w:rsidRPr="004068F6">
        <w:rPr>
          <w:rFonts w:cs="Arial"/>
          <w:spacing w:val="-3"/>
        </w:rPr>
        <w:t>, herramientas y técnicas</w:t>
      </w:r>
      <w:r w:rsidRPr="004068F6">
        <w:rPr>
          <w:rFonts w:cs="Arial"/>
          <w:spacing w:val="-3"/>
        </w:rPr>
        <w:t xml:space="preserve"> empleadas en su consecución</w:t>
      </w:r>
      <w:r w:rsidR="00C717A3" w:rsidRPr="004068F6">
        <w:rPr>
          <w:rFonts w:cs="Arial"/>
          <w:spacing w:val="-3"/>
        </w:rPr>
        <w:t>.</w:t>
      </w:r>
    </w:p>
    <w:p w14:paraId="4A1B022C" w14:textId="77777777" w:rsidR="00482A5F" w:rsidRPr="004068F6" w:rsidRDefault="00482A5F">
      <w:pPr>
        <w:numPr>
          <w:ilvl w:val="12"/>
          <w:numId w:val="0"/>
        </w:numPr>
        <w:tabs>
          <w:tab w:val="left" w:pos="-2268"/>
        </w:tabs>
        <w:suppressAutoHyphens/>
        <w:rPr>
          <w:spacing w:val="-3"/>
        </w:rPr>
      </w:pPr>
    </w:p>
    <w:p w14:paraId="092F3F29" w14:textId="5CA1CE03" w:rsidR="00482A5F" w:rsidRPr="004068F6" w:rsidRDefault="00482A5F">
      <w:pPr>
        <w:numPr>
          <w:ilvl w:val="12"/>
          <w:numId w:val="0"/>
        </w:numPr>
        <w:tabs>
          <w:tab w:val="left" w:pos="-2268"/>
        </w:tabs>
        <w:suppressAutoHyphens/>
        <w:rPr>
          <w:spacing w:val="-3"/>
        </w:rPr>
      </w:pPr>
      <w:r w:rsidRPr="004068F6">
        <w:rPr>
          <w:spacing w:val="-3"/>
        </w:rPr>
        <w:t xml:space="preserve">Las fuentes de información secundaria a emplear deben estar debidamente acreditadas, proceder de instituciones gubernamentales </w:t>
      </w:r>
      <w:r w:rsidR="00F75991" w:rsidRPr="004068F6">
        <w:rPr>
          <w:spacing w:val="-3"/>
        </w:rPr>
        <w:t>o</w:t>
      </w:r>
      <w:r w:rsidRPr="004068F6">
        <w:rPr>
          <w:spacing w:val="-3"/>
        </w:rPr>
        <w:t xml:space="preserve"> de otras instituciones de reconocida idoneidad, al igual que de información </w:t>
      </w:r>
      <w:r w:rsidRPr="004068F6">
        <w:rPr>
          <w:rFonts w:cs="Arial"/>
          <w:spacing w:val="-3"/>
        </w:rPr>
        <w:t xml:space="preserve">vigente </w:t>
      </w:r>
      <w:r w:rsidRPr="004068F6">
        <w:rPr>
          <w:spacing w:val="-3"/>
        </w:rPr>
        <w:t>consignada en estudios regionales y locales recientes</w:t>
      </w:r>
      <w:r w:rsidRPr="004068F6" w:rsidDel="00E21473">
        <w:rPr>
          <w:rFonts w:cs="Arial"/>
          <w:spacing w:val="-3"/>
        </w:rPr>
        <w:t xml:space="preserve"> </w:t>
      </w:r>
      <w:r w:rsidRPr="004068F6">
        <w:rPr>
          <w:rFonts w:cs="Arial"/>
          <w:spacing w:val="-3"/>
        </w:rPr>
        <w:t>(o que se trate de la última información oficial publicada);</w:t>
      </w:r>
      <w:r w:rsidRPr="004068F6" w:rsidDel="00E0405F">
        <w:rPr>
          <w:spacing w:val="-3"/>
        </w:rPr>
        <w:t xml:space="preserve"> </w:t>
      </w:r>
      <w:r w:rsidR="00F75991" w:rsidRPr="004068F6">
        <w:rPr>
          <w:spacing w:val="-3"/>
        </w:rPr>
        <w:t>l</w:t>
      </w:r>
      <w:r w:rsidRPr="004068F6">
        <w:rPr>
          <w:spacing w:val="-3"/>
        </w:rPr>
        <w:t>a información secundaria existente puede emplearse en la medida en que sus datos revistan confiabilidad y pertinencia, y sus fuentes sean plenamente identificadas</w:t>
      </w:r>
      <w:r w:rsidR="00EE7571" w:rsidRPr="004068F6">
        <w:rPr>
          <w:spacing w:val="-3"/>
        </w:rPr>
        <w:t>.</w:t>
      </w:r>
      <w:r w:rsidR="00905A1C" w:rsidRPr="004068F6">
        <w:rPr>
          <w:spacing w:val="-3"/>
        </w:rPr>
        <w:t xml:space="preserve"> </w:t>
      </w:r>
      <w:r w:rsidR="00EE7571" w:rsidRPr="004068F6">
        <w:rPr>
          <w:spacing w:val="-3"/>
        </w:rPr>
        <w:t xml:space="preserve">Toda la información secundaria que se utilice </w:t>
      </w:r>
      <w:r w:rsidR="00905A1C" w:rsidRPr="004068F6">
        <w:rPr>
          <w:spacing w:val="-3"/>
        </w:rPr>
        <w:t xml:space="preserve">debe ser </w:t>
      </w:r>
      <w:r w:rsidRPr="004068F6">
        <w:rPr>
          <w:spacing w:val="-3"/>
        </w:rPr>
        <w:t>citada</w:t>
      </w:r>
      <w:r w:rsidR="00905A1C" w:rsidRPr="004068F6">
        <w:rPr>
          <w:spacing w:val="-3"/>
        </w:rPr>
        <w:t xml:space="preserve"> apropiadamente en el estudio ambiental</w:t>
      </w:r>
      <w:r w:rsidRPr="004068F6">
        <w:rPr>
          <w:spacing w:val="-3"/>
        </w:rPr>
        <w:t>.</w:t>
      </w:r>
    </w:p>
    <w:p w14:paraId="7496ADF5" w14:textId="77777777" w:rsidR="00482A5F" w:rsidRPr="004068F6" w:rsidRDefault="00482A5F">
      <w:pPr>
        <w:numPr>
          <w:ilvl w:val="12"/>
          <w:numId w:val="0"/>
        </w:numPr>
        <w:tabs>
          <w:tab w:val="left" w:pos="-2268"/>
        </w:tabs>
        <w:suppressAutoHyphens/>
        <w:rPr>
          <w:spacing w:val="-3"/>
        </w:rPr>
      </w:pPr>
    </w:p>
    <w:p w14:paraId="539C7455" w14:textId="4B45533D" w:rsidR="00482A5F" w:rsidRPr="004068F6" w:rsidRDefault="00743CD9" w:rsidP="00482A5F">
      <w:pPr>
        <w:numPr>
          <w:ilvl w:val="12"/>
          <w:numId w:val="0"/>
        </w:numPr>
        <w:tabs>
          <w:tab w:val="left" w:pos="-2268"/>
        </w:tabs>
        <w:suppressAutoHyphens/>
        <w:rPr>
          <w:rFonts w:cs="Arial"/>
          <w:spacing w:val="-3"/>
        </w:rPr>
      </w:pPr>
      <w:r w:rsidRPr="004068F6">
        <w:rPr>
          <w:rFonts w:cs="Arial"/>
          <w:spacing w:val="-3"/>
        </w:rPr>
        <w:t>Se debe emplear información oficial sin limitarse a la indicada en el apartado fuentes de información del medio socioeconómico</w:t>
      </w:r>
      <w:r w:rsidR="00905A1C" w:rsidRPr="004068F6">
        <w:rPr>
          <w:rFonts w:cs="Arial"/>
          <w:spacing w:val="-3"/>
        </w:rPr>
        <w:t xml:space="preserve">, entre ella la generada por el Departamento </w:t>
      </w:r>
      <w:r w:rsidR="00535B45" w:rsidRPr="004068F6">
        <w:rPr>
          <w:rFonts w:cs="Arial"/>
          <w:spacing w:val="-3"/>
        </w:rPr>
        <w:t xml:space="preserve">Administrativo </w:t>
      </w:r>
      <w:r w:rsidR="00905A1C" w:rsidRPr="004068F6">
        <w:rPr>
          <w:rFonts w:cs="Arial"/>
          <w:spacing w:val="-3"/>
        </w:rPr>
        <w:t xml:space="preserve">Nacional de Estadística (DANE) (por ejemplo la referida a demografía, </w:t>
      </w:r>
      <w:r w:rsidR="005A477A" w:rsidRPr="004068F6">
        <w:rPr>
          <w:rFonts w:cs="Arial"/>
          <w:spacing w:val="-3"/>
        </w:rPr>
        <w:t xml:space="preserve">mercado laboral, </w:t>
      </w:r>
      <w:r w:rsidR="00905A1C" w:rsidRPr="004068F6">
        <w:rPr>
          <w:rFonts w:cs="Arial"/>
          <w:spacing w:val="-3"/>
        </w:rPr>
        <w:t xml:space="preserve">actividades económicas y división político administrativa), la Unidad de Planeación Rural Agropecuaria (UPRA), el Sistema de Identificación de Potenciales Beneficiarios de Programas Sociales (Sisbén), el Instituto Geográfico Agustín Codazzi (IGAC), el Ministerio de Cultura, la Agencia para la Reincorporación y Normalización (ARN), </w:t>
      </w:r>
      <w:r w:rsidR="000B6683" w:rsidRPr="004068F6">
        <w:rPr>
          <w:rFonts w:cs="Arial"/>
          <w:spacing w:val="-3"/>
        </w:rPr>
        <w:t xml:space="preserve">la Unidad de Búsqueda de Personas dadas por Desaparecidas (UBPD) y la Fiscalía General de la Nación, </w:t>
      </w:r>
      <w:r w:rsidR="00905A1C" w:rsidRPr="004068F6">
        <w:rPr>
          <w:rFonts w:cs="Arial"/>
          <w:spacing w:val="-3"/>
        </w:rPr>
        <w:t xml:space="preserve">así como la contenida en los </w:t>
      </w:r>
      <w:r w:rsidR="0066429B" w:rsidRPr="004068F6">
        <w:rPr>
          <w:rFonts w:cs="Arial"/>
          <w:spacing w:val="-3"/>
        </w:rPr>
        <w:t xml:space="preserve">instrumentos </w:t>
      </w:r>
      <w:r w:rsidR="00905A1C" w:rsidRPr="004068F6">
        <w:rPr>
          <w:rFonts w:cs="Arial"/>
          <w:spacing w:val="-3"/>
        </w:rPr>
        <w:t>de ordenamiento territorial, los planes de ordenación y manejo de cuencas hidrográficas, los planes de desarrollo departamental, los planes de desarrollo municipal</w:t>
      </w:r>
      <w:r w:rsidR="001021A7" w:rsidRPr="004068F6">
        <w:rPr>
          <w:rFonts w:cs="Arial"/>
          <w:spacing w:val="-3"/>
        </w:rPr>
        <w:t>, los</w:t>
      </w:r>
      <w:r w:rsidR="000626C0" w:rsidRPr="004068F6">
        <w:rPr>
          <w:rFonts w:cs="Arial"/>
          <w:spacing w:val="-3"/>
        </w:rPr>
        <w:t xml:space="preserve"> planes de ordenamiento ambiental étnico, entre otros</w:t>
      </w:r>
      <w:r w:rsidR="00482A5F" w:rsidRPr="004068F6">
        <w:rPr>
          <w:rFonts w:cs="Arial"/>
          <w:spacing w:val="-3"/>
        </w:rPr>
        <w:t>.</w:t>
      </w:r>
    </w:p>
    <w:p w14:paraId="3427C31C" w14:textId="77777777" w:rsidR="00482A5F" w:rsidRDefault="00482A5F" w:rsidP="00482A5F">
      <w:pPr>
        <w:numPr>
          <w:ilvl w:val="12"/>
          <w:numId w:val="0"/>
        </w:numPr>
        <w:tabs>
          <w:tab w:val="left" w:pos="-2268"/>
        </w:tabs>
        <w:suppressAutoHyphens/>
        <w:rPr>
          <w:rFonts w:cs="Arial"/>
          <w:spacing w:val="-3"/>
        </w:rPr>
      </w:pPr>
    </w:p>
    <w:p w14:paraId="46C78541" w14:textId="77777777" w:rsidR="0018397D" w:rsidRPr="004068F6" w:rsidRDefault="0018397D" w:rsidP="00482A5F">
      <w:pPr>
        <w:numPr>
          <w:ilvl w:val="12"/>
          <w:numId w:val="0"/>
        </w:numPr>
        <w:tabs>
          <w:tab w:val="left" w:pos="-2268"/>
        </w:tabs>
        <w:suppressAutoHyphens/>
        <w:rPr>
          <w:rFonts w:cs="Arial"/>
          <w:spacing w:val="-3"/>
        </w:rPr>
      </w:pPr>
    </w:p>
    <w:p w14:paraId="7474E807" w14:textId="1CA42B36" w:rsidR="00482A5F" w:rsidRPr="00466E26" w:rsidRDefault="00482A5F" w:rsidP="000A1E20">
      <w:pPr>
        <w:pStyle w:val="Ttulo3"/>
      </w:pPr>
      <w:bookmarkStart w:id="2950" w:name="_Toc42764355"/>
      <w:bookmarkStart w:id="2951" w:name="_Toc230879662"/>
      <w:r w:rsidRPr="00466E26">
        <w:t xml:space="preserve">Información de </w:t>
      </w:r>
      <w:r w:rsidR="00764B93" w:rsidRPr="00466E26">
        <w:t>c</w:t>
      </w:r>
      <w:r w:rsidRPr="00466E26">
        <w:t>ontexto</w:t>
      </w:r>
      <w:bookmarkEnd w:id="2950"/>
      <w:bookmarkEnd w:id="2951"/>
    </w:p>
    <w:p w14:paraId="43F65319" w14:textId="77777777" w:rsidR="00482A5F" w:rsidRPr="004068F6" w:rsidRDefault="00482A5F" w:rsidP="00482A5F">
      <w:pPr>
        <w:numPr>
          <w:ilvl w:val="12"/>
          <w:numId w:val="0"/>
        </w:numPr>
        <w:tabs>
          <w:tab w:val="left" w:pos="-2268"/>
        </w:tabs>
        <w:suppressAutoHyphens/>
        <w:rPr>
          <w:rFonts w:cs="Arial"/>
          <w:spacing w:val="-3"/>
        </w:rPr>
      </w:pPr>
    </w:p>
    <w:p w14:paraId="5BDEB7FA" w14:textId="3D972E97" w:rsidR="00482A5F" w:rsidRPr="004068F6" w:rsidRDefault="00092916" w:rsidP="00482A5F">
      <w:pPr>
        <w:numPr>
          <w:ilvl w:val="12"/>
          <w:numId w:val="0"/>
        </w:numPr>
        <w:tabs>
          <w:tab w:val="left" w:pos="-2268"/>
        </w:tabs>
        <w:suppressAutoHyphens/>
        <w:rPr>
          <w:rFonts w:cs="Arial"/>
          <w:spacing w:val="-3"/>
        </w:rPr>
      </w:pPr>
      <w:r w:rsidRPr="004068F6">
        <w:rPr>
          <w:rFonts w:cs="Arial"/>
          <w:spacing w:val="-3"/>
        </w:rPr>
        <w:t xml:space="preserve">Con el </w:t>
      </w:r>
      <w:r w:rsidR="00482A5F" w:rsidRPr="004068F6">
        <w:rPr>
          <w:rFonts w:cs="Arial"/>
          <w:spacing w:val="-3"/>
        </w:rPr>
        <w:t>fin de contextualiza</w:t>
      </w:r>
      <w:r w:rsidR="0007617B" w:rsidRPr="004068F6">
        <w:rPr>
          <w:rFonts w:cs="Arial"/>
          <w:spacing w:val="-3"/>
        </w:rPr>
        <w:t>r</w:t>
      </w:r>
      <w:r w:rsidR="00482A5F" w:rsidRPr="004068F6">
        <w:rPr>
          <w:rFonts w:cs="Arial"/>
          <w:spacing w:val="-3"/>
        </w:rPr>
        <w:t xml:space="preserve"> el </w:t>
      </w:r>
      <w:r w:rsidR="00905A1C" w:rsidRPr="004068F6">
        <w:rPr>
          <w:rFonts w:cs="Arial"/>
          <w:spacing w:val="-3"/>
        </w:rPr>
        <w:t>estudio ambiental</w:t>
      </w:r>
      <w:r w:rsidR="0007617B" w:rsidRPr="004068F6">
        <w:rPr>
          <w:rFonts w:cs="Arial"/>
          <w:spacing w:val="-3"/>
        </w:rPr>
        <w:t xml:space="preserve"> se</w:t>
      </w:r>
      <w:r w:rsidR="00905A1C" w:rsidRPr="004068F6">
        <w:rPr>
          <w:rFonts w:cs="Arial"/>
          <w:spacing w:val="-3"/>
        </w:rPr>
        <w:t xml:space="preserve"> debe </w:t>
      </w:r>
      <w:r w:rsidR="00550C76" w:rsidRPr="004068F6">
        <w:rPr>
          <w:rFonts w:cs="Arial"/>
          <w:spacing w:val="-3"/>
        </w:rPr>
        <w:t xml:space="preserve">incluir </w:t>
      </w:r>
      <w:r w:rsidR="00482A5F" w:rsidRPr="004068F6">
        <w:rPr>
          <w:rFonts w:cs="Arial"/>
          <w:spacing w:val="-3"/>
        </w:rPr>
        <w:t xml:space="preserve">información de alcance general </w:t>
      </w:r>
      <w:r w:rsidR="00905A1C" w:rsidRPr="004068F6">
        <w:rPr>
          <w:rFonts w:cs="Arial"/>
          <w:spacing w:val="-3"/>
        </w:rPr>
        <w:t xml:space="preserve">del ámbito </w:t>
      </w:r>
      <w:r w:rsidR="00482A5F" w:rsidRPr="004068F6">
        <w:rPr>
          <w:rFonts w:cs="Arial"/>
          <w:spacing w:val="-3"/>
        </w:rPr>
        <w:t>regional o municipal</w:t>
      </w:r>
      <w:r w:rsidR="0007617B" w:rsidRPr="004068F6">
        <w:rPr>
          <w:rFonts w:cs="Arial"/>
          <w:spacing w:val="-3"/>
        </w:rPr>
        <w:t xml:space="preserve">, de ser posible que haya sido obtenida mediante un enfoque diferencial que </w:t>
      </w:r>
      <w:r w:rsidR="00DF16EC" w:rsidRPr="004068F6">
        <w:rPr>
          <w:rFonts w:cs="Arial"/>
          <w:spacing w:val="-3"/>
        </w:rPr>
        <w:t xml:space="preserve">considere y </w:t>
      </w:r>
      <w:r w:rsidR="0007617B" w:rsidRPr="004068F6">
        <w:rPr>
          <w:rFonts w:cs="Arial"/>
          <w:spacing w:val="-3"/>
        </w:rPr>
        <w:t xml:space="preserve">discrimine las características de diversos grupos (p. ej. mujeres, jóvenes, comunidades indígenas, comunidades </w:t>
      </w:r>
      <w:r w:rsidR="0007617B" w:rsidRPr="004068F6">
        <w:rPr>
          <w:rFonts w:cs="Arial"/>
          <w:spacing w:val="-3"/>
        </w:rPr>
        <w:lastRenderedPageBreak/>
        <w:t>negras</w:t>
      </w:r>
      <w:r w:rsidR="00655EFE" w:rsidRPr="004068F6">
        <w:rPr>
          <w:rFonts w:cs="Arial"/>
          <w:spacing w:val="-3"/>
        </w:rPr>
        <w:t>) y entornos (p. ej. brecha urbano – rural)</w:t>
      </w:r>
      <w:r w:rsidR="0007617B" w:rsidRPr="004068F6">
        <w:rPr>
          <w:rFonts w:cs="Arial"/>
          <w:spacing w:val="-3"/>
        </w:rPr>
        <w:t>,</w:t>
      </w:r>
      <w:r w:rsidR="00482A5F" w:rsidRPr="004068F6">
        <w:rPr>
          <w:rFonts w:cs="Arial"/>
          <w:spacing w:val="-3"/>
        </w:rPr>
        <w:t xml:space="preserve"> </w:t>
      </w:r>
      <w:r w:rsidR="00DF16EC" w:rsidRPr="004068F6">
        <w:rPr>
          <w:rFonts w:cs="Arial"/>
          <w:spacing w:val="-3"/>
        </w:rPr>
        <w:t xml:space="preserve">con el fin de </w:t>
      </w:r>
      <w:r w:rsidR="00482A5F" w:rsidRPr="004068F6">
        <w:rPr>
          <w:rFonts w:cs="Arial"/>
          <w:spacing w:val="-3"/>
        </w:rPr>
        <w:t>contrastar</w:t>
      </w:r>
      <w:r w:rsidR="00DF16EC" w:rsidRPr="004068F6">
        <w:rPr>
          <w:rFonts w:cs="Arial"/>
          <w:spacing w:val="-3"/>
        </w:rPr>
        <w:t>la</w:t>
      </w:r>
      <w:r w:rsidR="00482A5F" w:rsidRPr="004068F6">
        <w:rPr>
          <w:rFonts w:cs="Arial"/>
          <w:spacing w:val="-3"/>
        </w:rPr>
        <w:t xml:space="preserve"> </w:t>
      </w:r>
      <w:r w:rsidR="00DF16EC" w:rsidRPr="004068F6">
        <w:rPr>
          <w:rFonts w:cs="Arial"/>
          <w:spacing w:val="-3"/>
        </w:rPr>
        <w:t xml:space="preserve">con </w:t>
      </w:r>
      <w:r w:rsidR="00482A5F" w:rsidRPr="004068F6">
        <w:rPr>
          <w:rFonts w:cs="Arial"/>
          <w:spacing w:val="-3"/>
        </w:rPr>
        <w:t xml:space="preserve">la información de caracterización </w:t>
      </w:r>
      <w:r w:rsidR="00905A1C" w:rsidRPr="004068F6">
        <w:rPr>
          <w:rFonts w:cs="Arial"/>
          <w:spacing w:val="-3"/>
        </w:rPr>
        <w:t xml:space="preserve">de </w:t>
      </w:r>
      <w:r w:rsidR="00482A5F" w:rsidRPr="004068F6">
        <w:rPr>
          <w:rFonts w:cs="Arial"/>
          <w:spacing w:val="-3"/>
        </w:rPr>
        <w:t xml:space="preserve">cada uno de los componentes del área de influencia del medio socioeconómico. </w:t>
      </w:r>
      <w:r w:rsidR="00905A1C" w:rsidRPr="004068F6">
        <w:rPr>
          <w:rFonts w:cs="Arial"/>
          <w:spacing w:val="-3"/>
        </w:rPr>
        <w:t xml:space="preserve">Esta </w:t>
      </w:r>
      <w:r w:rsidR="00482A5F" w:rsidRPr="004068F6">
        <w:rPr>
          <w:rFonts w:cs="Arial"/>
          <w:spacing w:val="-3"/>
        </w:rPr>
        <w:t>información puede ser obtenida a partir de fuentes de información secundaria.</w:t>
      </w:r>
    </w:p>
    <w:p w14:paraId="0A44E01E" w14:textId="77777777" w:rsidR="00482A5F" w:rsidRPr="004068F6" w:rsidRDefault="00482A5F" w:rsidP="00482A5F">
      <w:pPr>
        <w:numPr>
          <w:ilvl w:val="12"/>
          <w:numId w:val="0"/>
        </w:numPr>
        <w:tabs>
          <w:tab w:val="left" w:pos="-2268"/>
        </w:tabs>
        <w:suppressAutoHyphens/>
        <w:rPr>
          <w:rFonts w:cs="Arial"/>
          <w:spacing w:val="-3"/>
        </w:rPr>
      </w:pPr>
    </w:p>
    <w:p w14:paraId="0F56A0C4" w14:textId="7D7577B5" w:rsidR="00482A5F" w:rsidRPr="004068F6" w:rsidRDefault="00482A5F" w:rsidP="00482A5F">
      <w:pPr>
        <w:numPr>
          <w:ilvl w:val="12"/>
          <w:numId w:val="0"/>
        </w:numPr>
        <w:tabs>
          <w:tab w:val="left" w:pos="-2268"/>
        </w:tabs>
        <w:suppressAutoHyphens/>
        <w:rPr>
          <w:rFonts w:cs="Arial"/>
          <w:spacing w:val="-3"/>
        </w:rPr>
      </w:pPr>
      <w:r w:rsidRPr="004068F6">
        <w:rPr>
          <w:rFonts w:cs="Arial"/>
          <w:spacing w:val="-3"/>
        </w:rPr>
        <w:t xml:space="preserve">A </w:t>
      </w:r>
      <w:r w:rsidR="009C549B" w:rsidRPr="004068F6">
        <w:rPr>
          <w:rFonts w:cs="Arial"/>
          <w:spacing w:val="-3"/>
        </w:rPr>
        <w:t>continuación,</w:t>
      </w:r>
      <w:r w:rsidRPr="004068F6">
        <w:rPr>
          <w:rFonts w:cs="Arial"/>
          <w:spacing w:val="-3"/>
        </w:rPr>
        <w:t xml:space="preserve"> se referencia la información que debe servir para </w:t>
      </w:r>
      <w:r w:rsidR="00905A1C" w:rsidRPr="004068F6">
        <w:rPr>
          <w:rFonts w:cs="Arial"/>
          <w:spacing w:val="-3"/>
        </w:rPr>
        <w:t xml:space="preserve">el desarrollo de este contexto </w:t>
      </w:r>
      <w:r w:rsidRPr="004068F6">
        <w:rPr>
          <w:rFonts w:cs="Arial"/>
          <w:spacing w:val="-3"/>
        </w:rPr>
        <w:t>de acuerdo con los componentes del medio socioeconómico:</w:t>
      </w:r>
    </w:p>
    <w:p w14:paraId="096225B8" w14:textId="77777777" w:rsidR="00482A5F" w:rsidRPr="004068F6" w:rsidRDefault="00482A5F" w:rsidP="00482A5F">
      <w:pPr>
        <w:numPr>
          <w:ilvl w:val="12"/>
          <w:numId w:val="0"/>
        </w:numPr>
        <w:tabs>
          <w:tab w:val="left" w:pos="-2268"/>
        </w:tabs>
        <w:suppressAutoHyphens/>
        <w:rPr>
          <w:rFonts w:cs="Arial"/>
          <w:spacing w:val="-3"/>
        </w:rPr>
      </w:pPr>
    </w:p>
    <w:p w14:paraId="154DC542" w14:textId="77777777" w:rsidR="00482A5F" w:rsidRPr="004068F6" w:rsidRDefault="00482A5F" w:rsidP="009420F5">
      <w:pPr>
        <w:pStyle w:val="Ttulo4"/>
        <w:tabs>
          <w:tab w:val="clear" w:pos="1844"/>
          <w:tab w:val="num" w:pos="1134"/>
        </w:tabs>
        <w:ind w:left="0"/>
        <w:rPr>
          <w:lang w:val="es-CO"/>
        </w:rPr>
      </w:pPr>
      <w:r w:rsidRPr="004068F6">
        <w:rPr>
          <w:lang w:val="es-CO"/>
        </w:rPr>
        <w:t>Demográfico</w:t>
      </w:r>
    </w:p>
    <w:p w14:paraId="63953E68" w14:textId="77777777" w:rsidR="00482A5F" w:rsidRPr="004068F6" w:rsidRDefault="00482A5F" w:rsidP="00482A5F">
      <w:pPr>
        <w:numPr>
          <w:ilvl w:val="12"/>
          <w:numId w:val="0"/>
        </w:numPr>
        <w:tabs>
          <w:tab w:val="left" w:pos="-2268"/>
        </w:tabs>
        <w:suppressAutoHyphens/>
        <w:rPr>
          <w:rFonts w:cs="Arial"/>
          <w:spacing w:val="-3"/>
        </w:rPr>
      </w:pPr>
    </w:p>
    <w:p w14:paraId="6F87F5EB" w14:textId="09C391F1" w:rsidR="00482A5F" w:rsidRPr="004068F6" w:rsidRDefault="00482A5F" w:rsidP="00482A5F">
      <w:pPr>
        <w:suppressAutoHyphens/>
        <w:rPr>
          <w:rFonts w:cs="Arial"/>
          <w:spacing w:val="-3"/>
        </w:rPr>
      </w:pPr>
      <w:r w:rsidRPr="004068F6">
        <w:rPr>
          <w:rFonts w:cs="Arial"/>
          <w:spacing w:val="-3"/>
        </w:rPr>
        <w:t xml:space="preserve">Presentar para el </w:t>
      </w:r>
      <w:r w:rsidR="00DB03D9" w:rsidRPr="004068F6">
        <w:rPr>
          <w:rFonts w:cs="Arial"/>
          <w:spacing w:val="-3"/>
        </w:rPr>
        <w:t xml:space="preserve">ámbito </w:t>
      </w:r>
      <w:r w:rsidRPr="004068F6">
        <w:rPr>
          <w:rFonts w:cs="Arial"/>
          <w:spacing w:val="-3"/>
        </w:rPr>
        <w:t xml:space="preserve">regional o municipal información que permita </w:t>
      </w:r>
      <w:r w:rsidR="00696B84" w:rsidRPr="004068F6">
        <w:rPr>
          <w:rFonts w:cs="Arial"/>
          <w:spacing w:val="-3"/>
        </w:rPr>
        <w:t xml:space="preserve">conocer </w:t>
      </w:r>
      <w:r w:rsidRPr="004068F6">
        <w:rPr>
          <w:rFonts w:cs="Arial"/>
          <w:spacing w:val="-3"/>
        </w:rPr>
        <w:t xml:space="preserve">la dinámica de poblamiento, especialmente frente a los cambios históricos </w:t>
      </w:r>
      <w:r w:rsidR="0089125E" w:rsidRPr="004068F6">
        <w:rPr>
          <w:rFonts w:cs="Arial"/>
          <w:spacing w:val="-3"/>
        </w:rPr>
        <w:t xml:space="preserve">e hitos </w:t>
      </w:r>
      <w:r w:rsidRPr="004068F6">
        <w:rPr>
          <w:rFonts w:cs="Arial"/>
          <w:spacing w:val="-3"/>
        </w:rPr>
        <w:t xml:space="preserve">ocurridos en </w:t>
      </w:r>
      <w:r w:rsidR="00DB03D9" w:rsidRPr="004068F6">
        <w:rPr>
          <w:rFonts w:cs="Arial"/>
          <w:spacing w:val="-3"/>
        </w:rPr>
        <w:t>la ocupación y la expansión de los asentamientos d</w:t>
      </w:r>
      <w:r w:rsidRPr="004068F6">
        <w:rPr>
          <w:rFonts w:cs="Arial"/>
          <w:spacing w:val="-3"/>
        </w:rPr>
        <w:t>el territorio</w:t>
      </w:r>
      <w:r w:rsidR="008B74DD" w:rsidRPr="008B74DD">
        <w:rPr>
          <w:rFonts w:cs="Arial"/>
          <w:spacing w:val="-3"/>
        </w:rPr>
        <w:t>, incluidos aquellos relacionados con el desplazamiento forzado o con los impactos de intervenciones humanas en el territorio y del cambio climático</w:t>
      </w:r>
      <w:r w:rsidRPr="004068F6">
        <w:rPr>
          <w:rFonts w:cs="Arial"/>
          <w:spacing w:val="-3"/>
        </w:rPr>
        <w:t xml:space="preserve">. </w:t>
      </w:r>
      <w:r w:rsidR="00CD7C30" w:rsidRPr="004068F6">
        <w:rPr>
          <w:rFonts w:cs="Arial"/>
          <w:spacing w:val="-3"/>
        </w:rPr>
        <w:t>Asimismo</w:t>
      </w:r>
      <w:r w:rsidR="0015604B" w:rsidRPr="004068F6">
        <w:rPr>
          <w:rFonts w:cs="Arial"/>
          <w:spacing w:val="-3"/>
        </w:rPr>
        <w:t>,</w:t>
      </w:r>
      <w:r w:rsidR="00CD7C30" w:rsidRPr="004068F6">
        <w:rPr>
          <w:rFonts w:cs="Arial"/>
          <w:spacing w:val="-3"/>
        </w:rPr>
        <w:t xml:space="preserve"> se deben </w:t>
      </w:r>
      <w:r w:rsidR="00D528D8" w:rsidRPr="004068F6">
        <w:rPr>
          <w:rFonts w:cs="Arial"/>
          <w:spacing w:val="-3"/>
        </w:rPr>
        <w:t xml:space="preserve">relacionar </w:t>
      </w:r>
      <w:r w:rsidR="00CD7C30" w:rsidRPr="004068F6">
        <w:rPr>
          <w:rFonts w:cs="Arial"/>
          <w:spacing w:val="-3"/>
        </w:rPr>
        <w:t>l</w:t>
      </w:r>
      <w:r w:rsidRPr="004068F6">
        <w:rPr>
          <w:rFonts w:cs="Arial"/>
          <w:spacing w:val="-3"/>
        </w:rPr>
        <w:t>os grupos poblacionales (indígenas, afrocolombianos, campesinos</w:t>
      </w:r>
      <w:r w:rsidR="00CD7C30" w:rsidRPr="004068F6">
        <w:rPr>
          <w:rFonts w:cs="Arial"/>
          <w:spacing w:val="-3"/>
        </w:rPr>
        <w:t>,</w:t>
      </w:r>
      <w:r w:rsidRPr="004068F6">
        <w:rPr>
          <w:rFonts w:cs="Arial"/>
          <w:spacing w:val="-3"/>
        </w:rPr>
        <w:t xml:space="preserve"> </w:t>
      </w:r>
      <w:r w:rsidR="00D528D8" w:rsidRPr="004068F6" w:rsidDel="00C408D6">
        <w:rPr>
          <w:rFonts w:cs="Arial"/>
          <w:bCs/>
          <w:spacing w:val="-3"/>
        </w:rPr>
        <w:t>colonos,</w:t>
      </w:r>
      <w:r w:rsidR="00D528D8" w:rsidRPr="004068F6">
        <w:rPr>
          <w:rFonts w:cs="Arial"/>
          <w:bCs/>
          <w:spacing w:val="-3"/>
        </w:rPr>
        <w:t xml:space="preserve"> </w:t>
      </w:r>
      <w:r w:rsidRPr="004068F6">
        <w:rPr>
          <w:rFonts w:cs="Arial"/>
          <w:spacing w:val="-3"/>
        </w:rPr>
        <w:t>entre otros).</w:t>
      </w:r>
    </w:p>
    <w:p w14:paraId="4DF225EA" w14:textId="77777777" w:rsidR="00482A5F" w:rsidRPr="004068F6" w:rsidRDefault="00482A5F" w:rsidP="00482A5F">
      <w:pPr>
        <w:suppressAutoHyphens/>
        <w:rPr>
          <w:rFonts w:cs="Arial"/>
          <w:spacing w:val="-3"/>
        </w:rPr>
      </w:pPr>
    </w:p>
    <w:p w14:paraId="5DA5716D" w14:textId="1C6902D4" w:rsidR="00482A5F" w:rsidRPr="004068F6" w:rsidRDefault="00482A5F" w:rsidP="00482A5F">
      <w:pPr>
        <w:suppressAutoHyphens/>
        <w:rPr>
          <w:rFonts w:cs="Arial"/>
          <w:spacing w:val="-3"/>
        </w:rPr>
      </w:pPr>
      <w:r w:rsidRPr="004068F6">
        <w:rPr>
          <w:rFonts w:cs="Arial"/>
          <w:spacing w:val="-3"/>
        </w:rPr>
        <w:t xml:space="preserve">Analizar la dinámica poblacional del territorio tanto en la conformación, </w:t>
      </w:r>
      <w:r w:rsidR="0089125E" w:rsidRPr="004068F6">
        <w:rPr>
          <w:rFonts w:cs="Arial"/>
          <w:spacing w:val="-3"/>
        </w:rPr>
        <w:t xml:space="preserve">como en la </w:t>
      </w:r>
      <w:r w:rsidRPr="004068F6">
        <w:rPr>
          <w:rFonts w:cs="Arial"/>
          <w:spacing w:val="-3"/>
        </w:rPr>
        <w:t>estructura y condiciones de vida de la población.</w:t>
      </w:r>
    </w:p>
    <w:p w14:paraId="0FA52BCC" w14:textId="77777777" w:rsidR="00953BF3" w:rsidRPr="004068F6" w:rsidRDefault="00953BF3" w:rsidP="00482A5F">
      <w:pPr>
        <w:suppressAutoHyphens/>
        <w:rPr>
          <w:rFonts w:cs="Arial"/>
          <w:spacing w:val="-3"/>
        </w:rPr>
      </w:pPr>
    </w:p>
    <w:p w14:paraId="6FDEC93C" w14:textId="77777777" w:rsidR="00482A5F" w:rsidRPr="004068F6" w:rsidDel="00C408D6" w:rsidRDefault="00482A5F" w:rsidP="00482A5F">
      <w:pPr>
        <w:tabs>
          <w:tab w:val="left" w:pos="-2268"/>
        </w:tabs>
        <w:suppressAutoHyphens/>
        <w:rPr>
          <w:rFonts w:cs="Arial"/>
          <w:spacing w:val="-3"/>
        </w:rPr>
      </w:pPr>
      <w:r w:rsidRPr="004068F6">
        <w:rPr>
          <w:rFonts w:cs="Arial"/>
          <w:spacing w:val="-3"/>
        </w:rPr>
        <w:t>Describir las tendencias demográficas</w:t>
      </w:r>
      <w:r w:rsidRPr="004068F6" w:rsidDel="00C408D6">
        <w:rPr>
          <w:rFonts w:cs="Arial"/>
          <w:spacing w:val="-3"/>
        </w:rPr>
        <w:t xml:space="preserve"> </w:t>
      </w:r>
      <w:r w:rsidRPr="004068F6">
        <w:rPr>
          <w:rFonts w:cs="Arial"/>
          <w:spacing w:val="-3"/>
        </w:rPr>
        <w:t xml:space="preserve">a través de </w:t>
      </w:r>
      <w:r w:rsidRPr="004068F6" w:rsidDel="00C408D6">
        <w:rPr>
          <w:rFonts w:cs="Arial"/>
          <w:spacing w:val="-3"/>
        </w:rPr>
        <w:t>indicadores de demografía y efectuar un análisis histórico con base en la información disponible.</w:t>
      </w:r>
    </w:p>
    <w:p w14:paraId="50DAE421" w14:textId="77777777" w:rsidR="00482A5F" w:rsidRPr="004068F6" w:rsidDel="00C408D6" w:rsidRDefault="00482A5F" w:rsidP="00482A5F">
      <w:pPr>
        <w:tabs>
          <w:tab w:val="left" w:pos="-2268"/>
        </w:tabs>
        <w:suppressAutoHyphens/>
        <w:rPr>
          <w:rFonts w:cs="Arial"/>
          <w:spacing w:val="-3"/>
        </w:rPr>
      </w:pPr>
    </w:p>
    <w:p w14:paraId="1D41A11A" w14:textId="3918F651" w:rsidR="00654B0F" w:rsidRPr="004068F6" w:rsidRDefault="00482A5F" w:rsidP="00C86DA5">
      <w:pPr>
        <w:numPr>
          <w:ilvl w:val="12"/>
          <w:numId w:val="0"/>
        </w:numPr>
        <w:tabs>
          <w:tab w:val="left" w:pos="-2268"/>
        </w:tabs>
        <w:suppressAutoHyphens/>
        <w:rPr>
          <w:rFonts w:cs="Arial"/>
          <w:spacing w:val="-3"/>
        </w:rPr>
      </w:pPr>
      <w:r w:rsidRPr="004068F6" w:rsidDel="00C408D6">
        <w:rPr>
          <w:rFonts w:cs="Arial"/>
          <w:spacing w:val="-3"/>
        </w:rPr>
        <w:t xml:space="preserve">La información </w:t>
      </w:r>
      <w:r w:rsidR="0015604B" w:rsidRPr="004068F6">
        <w:rPr>
          <w:rFonts w:cs="Arial"/>
          <w:spacing w:val="-3"/>
        </w:rPr>
        <w:t xml:space="preserve">sobre el </w:t>
      </w:r>
      <w:r w:rsidRPr="004068F6">
        <w:rPr>
          <w:rFonts w:cs="Arial"/>
          <w:spacing w:val="-3"/>
        </w:rPr>
        <w:t xml:space="preserve">poblamiento actual </w:t>
      </w:r>
      <w:r w:rsidR="0015604B" w:rsidRPr="004068F6">
        <w:rPr>
          <w:rFonts w:cs="Arial"/>
          <w:spacing w:val="-3"/>
        </w:rPr>
        <w:t xml:space="preserve">en el ámbito </w:t>
      </w:r>
      <w:r w:rsidRPr="004068F6">
        <w:rPr>
          <w:rFonts w:cs="Arial"/>
          <w:spacing w:val="-3"/>
        </w:rPr>
        <w:t>regional o municipal</w:t>
      </w:r>
      <w:r w:rsidRPr="004068F6" w:rsidDel="00C408D6">
        <w:rPr>
          <w:rFonts w:cs="Arial"/>
          <w:spacing w:val="-3"/>
        </w:rPr>
        <w:t xml:space="preserve"> </w:t>
      </w:r>
      <w:r w:rsidR="0015604B" w:rsidRPr="004068F6">
        <w:rPr>
          <w:rFonts w:cs="Arial"/>
          <w:spacing w:val="-3"/>
        </w:rPr>
        <w:t xml:space="preserve">constituye un insumo para establecer si los impactos pueden </w:t>
      </w:r>
      <w:r w:rsidR="0015604B" w:rsidRPr="004068F6" w:rsidDel="00C408D6">
        <w:rPr>
          <w:rFonts w:cs="Arial"/>
          <w:spacing w:val="-3"/>
        </w:rPr>
        <w:t>se</w:t>
      </w:r>
      <w:r w:rsidR="0015604B" w:rsidRPr="004068F6">
        <w:rPr>
          <w:rFonts w:cs="Arial"/>
          <w:spacing w:val="-3"/>
        </w:rPr>
        <w:t>r</w:t>
      </w:r>
      <w:r w:rsidR="0015604B" w:rsidRPr="004068F6" w:rsidDel="00C408D6">
        <w:rPr>
          <w:rFonts w:cs="Arial"/>
          <w:spacing w:val="-3"/>
        </w:rPr>
        <w:t xml:space="preserve"> atribuid</w:t>
      </w:r>
      <w:r w:rsidR="0015604B" w:rsidRPr="004068F6">
        <w:rPr>
          <w:rFonts w:cs="Arial"/>
          <w:spacing w:val="-3"/>
        </w:rPr>
        <w:t>o</w:t>
      </w:r>
      <w:r w:rsidR="0015604B" w:rsidRPr="004068F6" w:rsidDel="00C408D6">
        <w:rPr>
          <w:rFonts w:cs="Arial"/>
          <w:spacing w:val="-3"/>
        </w:rPr>
        <w:t xml:space="preserve">s </w:t>
      </w:r>
      <w:r w:rsidR="0015604B" w:rsidRPr="004068F6">
        <w:rPr>
          <w:rFonts w:cs="Arial"/>
          <w:spacing w:val="-3"/>
        </w:rPr>
        <w:t xml:space="preserve">al producto </w:t>
      </w:r>
      <w:r w:rsidRPr="004068F6" w:rsidDel="00C408D6">
        <w:rPr>
          <w:rFonts w:cs="Arial"/>
          <w:spacing w:val="-3"/>
        </w:rPr>
        <w:t>del proyecto</w:t>
      </w:r>
      <w:r w:rsidR="00953BF3" w:rsidRPr="004068F6">
        <w:rPr>
          <w:spacing w:val="-3"/>
        </w:rPr>
        <w:t>, obra o actividad</w:t>
      </w:r>
      <w:r w:rsidR="0015604B" w:rsidRPr="004068F6">
        <w:rPr>
          <w:spacing w:val="-3"/>
        </w:rPr>
        <w:t>,</w:t>
      </w:r>
      <w:r w:rsidRPr="004068F6" w:rsidDel="00C408D6">
        <w:rPr>
          <w:rFonts w:cs="Arial"/>
          <w:spacing w:val="-3"/>
        </w:rPr>
        <w:t xml:space="preserve"> o </w:t>
      </w:r>
      <w:r w:rsidR="0015604B" w:rsidRPr="004068F6">
        <w:rPr>
          <w:rFonts w:cs="Arial"/>
          <w:spacing w:val="-3"/>
        </w:rPr>
        <w:t xml:space="preserve">si son producto de las </w:t>
      </w:r>
      <w:r w:rsidRPr="004068F6" w:rsidDel="00C408D6">
        <w:rPr>
          <w:rFonts w:cs="Arial"/>
          <w:spacing w:val="-3"/>
        </w:rPr>
        <w:t xml:space="preserve">dinámicas </w:t>
      </w:r>
      <w:r w:rsidR="0015604B" w:rsidRPr="004068F6">
        <w:rPr>
          <w:rFonts w:cs="Arial"/>
          <w:spacing w:val="-3"/>
        </w:rPr>
        <w:t xml:space="preserve">existentes en </w:t>
      </w:r>
      <w:r w:rsidRPr="004068F6" w:rsidDel="00C408D6">
        <w:rPr>
          <w:rFonts w:cs="Arial"/>
          <w:spacing w:val="-3"/>
        </w:rPr>
        <w:t>el territorio</w:t>
      </w:r>
      <w:r w:rsidRPr="004068F6">
        <w:rPr>
          <w:rFonts w:cs="Arial"/>
          <w:spacing w:val="-3"/>
        </w:rPr>
        <w:t>.</w:t>
      </w:r>
    </w:p>
    <w:p w14:paraId="313B3FE6" w14:textId="77777777" w:rsidR="00C717A3" w:rsidRPr="004068F6" w:rsidRDefault="00C717A3" w:rsidP="00C86DA5">
      <w:pPr>
        <w:numPr>
          <w:ilvl w:val="12"/>
          <w:numId w:val="0"/>
        </w:numPr>
        <w:tabs>
          <w:tab w:val="left" w:pos="-2268"/>
        </w:tabs>
        <w:suppressAutoHyphens/>
        <w:rPr>
          <w:rFonts w:cs="Arial"/>
          <w:spacing w:val="-3"/>
        </w:rPr>
      </w:pPr>
    </w:p>
    <w:p w14:paraId="79CE359D" w14:textId="77777777" w:rsidR="00482A5F" w:rsidRPr="004068F6" w:rsidRDefault="00482A5F" w:rsidP="002F5664">
      <w:pPr>
        <w:pStyle w:val="Ttulo4"/>
        <w:tabs>
          <w:tab w:val="clear" w:pos="1844"/>
          <w:tab w:val="num" w:pos="1134"/>
        </w:tabs>
        <w:ind w:left="0"/>
        <w:rPr>
          <w:lang w:val="es-CO"/>
        </w:rPr>
      </w:pPr>
      <w:r w:rsidRPr="004068F6">
        <w:rPr>
          <w:lang w:val="es-CO"/>
        </w:rPr>
        <w:t>Espacial</w:t>
      </w:r>
    </w:p>
    <w:p w14:paraId="76EBB9B3" w14:textId="77777777" w:rsidR="00482A5F" w:rsidRPr="004068F6" w:rsidRDefault="00482A5F">
      <w:pPr>
        <w:numPr>
          <w:ilvl w:val="12"/>
          <w:numId w:val="0"/>
        </w:numPr>
        <w:tabs>
          <w:tab w:val="left" w:pos="-2268"/>
        </w:tabs>
        <w:suppressAutoHyphens/>
        <w:rPr>
          <w:spacing w:val="-3"/>
        </w:rPr>
      </w:pPr>
    </w:p>
    <w:p w14:paraId="4C3FF6FF" w14:textId="06068BE2" w:rsidR="00482A5F" w:rsidRPr="004068F6" w:rsidRDefault="00482A5F" w:rsidP="00482A5F">
      <w:pPr>
        <w:numPr>
          <w:ilvl w:val="12"/>
          <w:numId w:val="0"/>
        </w:numPr>
        <w:tabs>
          <w:tab w:val="left" w:pos="-2268"/>
        </w:tabs>
        <w:suppressAutoHyphens/>
        <w:rPr>
          <w:rFonts w:cs="Arial"/>
          <w:spacing w:val="-3"/>
        </w:rPr>
      </w:pPr>
      <w:r w:rsidRPr="004068F6">
        <w:rPr>
          <w:spacing w:val="-3"/>
        </w:rPr>
        <w:t xml:space="preserve">Presentar </w:t>
      </w:r>
      <w:r w:rsidRPr="004068F6">
        <w:rPr>
          <w:rFonts w:cs="Arial"/>
          <w:spacing w:val="-3"/>
        </w:rPr>
        <w:t xml:space="preserve">una síntesis de </w:t>
      </w:r>
      <w:r w:rsidR="00696B84" w:rsidRPr="004068F6">
        <w:rPr>
          <w:rFonts w:cs="Arial"/>
          <w:spacing w:val="-3"/>
        </w:rPr>
        <w:t xml:space="preserve">información sobre </w:t>
      </w:r>
      <w:r w:rsidRPr="004068F6">
        <w:rPr>
          <w:rFonts w:cs="Arial"/>
          <w:spacing w:val="-3"/>
        </w:rPr>
        <w:t>los servicios públicos</w:t>
      </w:r>
      <w:r w:rsidR="00A75FB6" w:rsidRPr="004068F6">
        <w:rPr>
          <w:rFonts w:cs="Arial"/>
          <w:spacing w:val="-3"/>
        </w:rPr>
        <w:t xml:space="preserve"> (acueducto, alcantarillado, energía eléctrica, recolección y disposición de residuos sólidos</w:t>
      </w:r>
      <w:r w:rsidR="003B584A" w:rsidRPr="004068F6">
        <w:rPr>
          <w:rFonts w:cs="Arial"/>
          <w:spacing w:val="-3"/>
        </w:rPr>
        <w:t xml:space="preserve"> y</w:t>
      </w:r>
      <w:r w:rsidR="00A75FB6" w:rsidRPr="004068F6">
        <w:rPr>
          <w:rFonts w:cs="Arial"/>
          <w:spacing w:val="-3"/>
        </w:rPr>
        <w:t xml:space="preserve"> </w:t>
      </w:r>
      <w:r w:rsidR="0061545B" w:rsidRPr="004068F6">
        <w:rPr>
          <w:rFonts w:cs="Arial"/>
          <w:spacing w:val="-3"/>
        </w:rPr>
        <w:t xml:space="preserve">RCD, </w:t>
      </w:r>
      <w:r w:rsidR="00A75FB6" w:rsidRPr="004068F6">
        <w:rPr>
          <w:rFonts w:cs="Arial"/>
          <w:spacing w:val="-3"/>
        </w:rPr>
        <w:t>internet, entre otros)</w:t>
      </w:r>
      <w:r w:rsidRPr="004068F6">
        <w:rPr>
          <w:rFonts w:cs="Arial"/>
          <w:spacing w:val="-3"/>
        </w:rPr>
        <w:t xml:space="preserve"> y sociales</w:t>
      </w:r>
      <w:r w:rsidR="00A75FB6" w:rsidRPr="004068F6">
        <w:rPr>
          <w:rFonts w:cs="Arial"/>
          <w:spacing w:val="-3"/>
        </w:rPr>
        <w:t xml:space="preserve"> (</w:t>
      </w:r>
      <w:r w:rsidR="001F0153" w:rsidRPr="004068F6">
        <w:rPr>
          <w:rFonts w:cs="Arial"/>
          <w:spacing w:val="-3"/>
        </w:rPr>
        <w:t xml:space="preserve">asociados a la </w:t>
      </w:r>
      <w:r w:rsidR="00A75FB6" w:rsidRPr="004068F6">
        <w:rPr>
          <w:rFonts w:cs="Arial"/>
          <w:spacing w:val="-3"/>
        </w:rPr>
        <w:t xml:space="preserve">infraestructura vial, social, comunitaria, de transporte, de salud, de educación, de recreación, </w:t>
      </w:r>
      <w:r w:rsidR="00F00B3A" w:rsidRPr="004068F6">
        <w:rPr>
          <w:rFonts w:cs="Arial"/>
          <w:spacing w:val="-3"/>
        </w:rPr>
        <w:t xml:space="preserve">de los medios de comunicación, de las </w:t>
      </w:r>
      <w:r w:rsidR="008B032F" w:rsidRPr="004068F6">
        <w:rPr>
          <w:rFonts w:cs="Arial"/>
          <w:spacing w:val="-3"/>
        </w:rPr>
        <w:t>tecnologías de la información y las comunicaciones</w:t>
      </w:r>
      <w:r w:rsidR="00784E4C" w:rsidRPr="004068F6">
        <w:rPr>
          <w:rFonts w:cs="Arial"/>
          <w:spacing w:val="-3"/>
        </w:rPr>
        <w:t xml:space="preserve">, </w:t>
      </w:r>
      <w:r w:rsidR="00A75FB6" w:rsidRPr="004068F6">
        <w:rPr>
          <w:rFonts w:cs="Arial"/>
          <w:spacing w:val="-3"/>
        </w:rPr>
        <w:t>entre otras)</w:t>
      </w:r>
      <w:r w:rsidRPr="004068F6">
        <w:rPr>
          <w:rFonts w:cs="Arial"/>
          <w:spacing w:val="-3"/>
        </w:rPr>
        <w:t xml:space="preserve">, incluyendo </w:t>
      </w:r>
      <w:r w:rsidR="00E87583" w:rsidRPr="004068F6">
        <w:rPr>
          <w:rFonts w:cs="Arial"/>
          <w:spacing w:val="-3"/>
        </w:rPr>
        <w:t>su</w:t>
      </w:r>
      <w:r w:rsidRPr="004068F6">
        <w:rPr>
          <w:rFonts w:cs="Arial"/>
          <w:spacing w:val="-3"/>
        </w:rPr>
        <w:t xml:space="preserve"> calidad y cobertura</w:t>
      </w:r>
      <w:r w:rsidR="00E87583" w:rsidRPr="004068F6">
        <w:rPr>
          <w:rFonts w:cs="Arial"/>
          <w:spacing w:val="-3"/>
        </w:rPr>
        <w:t>; asimismo</w:t>
      </w:r>
      <w:r w:rsidRPr="004068F6">
        <w:rPr>
          <w:rFonts w:cs="Arial"/>
          <w:spacing w:val="-3"/>
        </w:rPr>
        <w:t xml:space="preserve">, analizar </w:t>
      </w:r>
      <w:r w:rsidR="00E87583" w:rsidRPr="004068F6">
        <w:rPr>
          <w:rFonts w:cs="Arial"/>
          <w:spacing w:val="-3"/>
        </w:rPr>
        <w:t xml:space="preserve">los </w:t>
      </w:r>
      <w:r w:rsidRPr="004068F6">
        <w:rPr>
          <w:rFonts w:cs="Arial"/>
          <w:spacing w:val="-3"/>
        </w:rPr>
        <w:t xml:space="preserve">aspectos ambientales que pueden tener relevancia en </w:t>
      </w:r>
      <w:r w:rsidR="00B26058" w:rsidRPr="004068F6">
        <w:rPr>
          <w:rFonts w:cs="Arial"/>
          <w:spacing w:val="-3"/>
        </w:rPr>
        <w:t>la calidad de vida de la población y se relacionen</w:t>
      </w:r>
      <w:r w:rsidRPr="004068F6">
        <w:rPr>
          <w:rFonts w:cs="Arial"/>
          <w:spacing w:val="-3"/>
        </w:rPr>
        <w:t xml:space="preserve"> con el </w:t>
      </w:r>
      <w:r w:rsidR="00676DE6" w:rsidRPr="004068F6">
        <w:rPr>
          <w:rFonts w:cs="Arial"/>
          <w:spacing w:val="-3"/>
        </w:rPr>
        <w:t>proyecto, obra o actividad</w:t>
      </w:r>
      <w:r w:rsidRPr="004068F6">
        <w:rPr>
          <w:rFonts w:cs="Arial"/>
          <w:spacing w:val="-3"/>
        </w:rPr>
        <w:t>.</w:t>
      </w:r>
    </w:p>
    <w:p w14:paraId="4CF36EED" w14:textId="77777777" w:rsidR="00482A5F" w:rsidRDefault="00482A5F">
      <w:pPr>
        <w:numPr>
          <w:ilvl w:val="12"/>
          <w:numId w:val="0"/>
        </w:numPr>
        <w:tabs>
          <w:tab w:val="left" w:pos="-2268"/>
        </w:tabs>
        <w:suppressAutoHyphens/>
        <w:rPr>
          <w:spacing w:val="-3"/>
        </w:rPr>
      </w:pPr>
    </w:p>
    <w:p w14:paraId="26B63870" w14:textId="77777777" w:rsidR="00E3791B" w:rsidRDefault="00E3791B">
      <w:pPr>
        <w:numPr>
          <w:ilvl w:val="12"/>
          <w:numId w:val="0"/>
        </w:numPr>
        <w:tabs>
          <w:tab w:val="left" w:pos="-2268"/>
        </w:tabs>
        <w:suppressAutoHyphens/>
        <w:rPr>
          <w:spacing w:val="-3"/>
        </w:rPr>
      </w:pPr>
    </w:p>
    <w:p w14:paraId="4F510AC5" w14:textId="77777777" w:rsidR="00E3791B" w:rsidRDefault="00E3791B">
      <w:pPr>
        <w:numPr>
          <w:ilvl w:val="12"/>
          <w:numId w:val="0"/>
        </w:numPr>
        <w:tabs>
          <w:tab w:val="left" w:pos="-2268"/>
        </w:tabs>
        <w:suppressAutoHyphens/>
        <w:rPr>
          <w:spacing w:val="-3"/>
        </w:rPr>
      </w:pPr>
    </w:p>
    <w:p w14:paraId="54B4C36B" w14:textId="77777777" w:rsidR="00E3791B" w:rsidRPr="004068F6" w:rsidRDefault="00E3791B">
      <w:pPr>
        <w:numPr>
          <w:ilvl w:val="12"/>
          <w:numId w:val="0"/>
        </w:numPr>
        <w:tabs>
          <w:tab w:val="left" w:pos="-2268"/>
        </w:tabs>
        <w:suppressAutoHyphens/>
        <w:rPr>
          <w:spacing w:val="-3"/>
        </w:rPr>
      </w:pPr>
    </w:p>
    <w:p w14:paraId="31F34F38" w14:textId="77777777" w:rsidR="00482A5F" w:rsidRPr="004068F6" w:rsidRDefault="00482A5F" w:rsidP="002F5664">
      <w:pPr>
        <w:pStyle w:val="Ttulo4"/>
        <w:tabs>
          <w:tab w:val="clear" w:pos="1844"/>
          <w:tab w:val="num" w:pos="1134"/>
        </w:tabs>
        <w:ind w:left="0"/>
        <w:rPr>
          <w:lang w:val="es-CO"/>
        </w:rPr>
      </w:pPr>
      <w:r w:rsidRPr="004068F6">
        <w:rPr>
          <w:lang w:val="es-CO"/>
        </w:rPr>
        <w:lastRenderedPageBreak/>
        <w:t>Económico</w:t>
      </w:r>
    </w:p>
    <w:p w14:paraId="5E32D801" w14:textId="77777777" w:rsidR="00482A5F" w:rsidRPr="004068F6" w:rsidRDefault="00482A5F">
      <w:pPr>
        <w:numPr>
          <w:ilvl w:val="12"/>
          <w:numId w:val="0"/>
        </w:numPr>
        <w:tabs>
          <w:tab w:val="left" w:pos="-2268"/>
        </w:tabs>
        <w:suppressAutoHyphens/>
        <w:rPr>
          <w:spacing w:val="-3"/>
        </w:rPr>
      </w:pPr>
    </w:p>
    <w:p w14:paraId="5F959533" w14:textId="09DA1E3E" w:rsidR="00482A5F" w:rsidRPr="004068F6" w:rsidRDefault="00482A5F">
      <w:pPr>
        <w:numPr>
          <w:ilvl w:val="12"/>
          <w:numId w:val="0"/>
        </w:numPr>
        <w:tabs>
          <w:tab w:val="left" w:pos="-2268"/>
        </w:tabs>
        <w:suppressAutoHyphens/>
        <w:rPr>
          <w:spacing w:val="-3"/>
        </w:rPr>
      </w:pPr>
      <w:r w:rsidRPr="004068F6">
        <w:rPr>
          <w:spacing w:val="-3"/>
        </w:rPr>
        <w:t>Con el objeto de brindar un panorama general de la dinámica económica, se debe</w:t>
      </w:r>
      <w:r w:rsidR="00696B84" w:rsidRPr="004068F6">
        <w:rPr>
          <w:spacing w:val="-3"/>
        </w:rPr>
        <w:t>n</w:t>
      </w:r>
      <w:r w:rsidRPr="004068F6">
        <w:rPr>
          <w:spacing w:val="-3"/>
        </w:rPr>
        <w:t xml:space="preserve"> </w:t>
      </w:r>
      <w:r w:rsidR="00696B84" w:rsidRPr="004068F6">
        <w:rPr>
          <w:spacing w:val="-3"/>
        </w:rPr>
        <w:t xml:space="preserve">determinar los </w:t>
      </w:r>
      <w:r w:rsidRPr="004068F6">
        <w:rPr>
          <w:spacing w:val="-3"/>
        </w:rPr>
        <w:t>tipo</w:t>
      </w:r>
      <w:r w:rsidR="00696B84" w:rsidRPr="004068F6">
        <w:rPr>
          <w:spacing w:val="-3"/>
        </w:rPr>
        <w:t>s</w:t>
      </w:r>
      <w:r w:rsidRPr="004068F6">
        <w:rPr>
          <w:spacing w:val="-3"/>
        </w:rPr>
        <w:t xml:space="preserve"> de actividades presentes en el municipio, en términos de funcionalidad económica y su relación con los bienes y servicios ambientales. Para ello, se deben </w:t>
      </w:r>
      <w:r w:rsidR="00A3333A" w:rsidRPr="004068F6">
        <w:rPr>
          <w:spacing w:val="-3"/>
        </w:rPr>
        <w:t xml:space="preserve">determinar </w:t>
      </w:r>
      <w:r w:rsidRPr="004068F6">
        <w:rPr>
          <w:spacing w:val="-3"/>
        </w:rPr>
        <w:t>y analizar los procesos existentes, teniendo en cuenta lo siguiente:</w:t>
      </w:r>
    </w:p>
    <w:p w14:paraId="0889A284" w14:textId="77777777" w:rsidR="00482A5F" w:rsidRPr="004068F6" w:rsidRDefault="00482A5F">
      <w:pPr>
        <w:numPr>
          <w:ilvl w:val="12"/>
          <w:numId w:val="0"/>
        </w:numPr>
        <w:tabs>
          <w:tab w:val="left" w:pos="-2268"/>
        </w:tabs>
        <w:suppressAutoHyphens/>
        <w:rPr>
          <w:spacing w:val="-3"/>
        </w:rPr>
      </w:pPr>
    </w:p>
    <w:p w14:paraId="232C6564" w14:textId="0FC6DBE9" w:rsidR="00482A5F" w:rsidRPr="004068F6" w:rsidRDefault="00DB17CC" w:rsidP="000D6E21">
      <w:pPr>
        <w:numPr>
          <w:ilvl w:val="0"/>
          <w:numId w:val="385"/>
        </w:numPr>
        <w:tabs>
          <w:tab w:val="left" w:pos="-2268"/>
        </w:tabs>
        <w:suppressAutoHyphens/>
        <w:ind w:left="567" w:hanging="567"/>
        <w:rPr>
          <w:rFonts w:cs="Arial"/>
          <w:spacing w:val="-3"/>
        </w:rPr>
      </w:pPr>
      <w:r w:rsidRPr="004068F6">
        <w:rPr>
          <w:rFonts w:cs="Arial"/>
          <w:spacing w:val="-3"/>
        </w:rPr>
        <w:t>Distribución de la tenencia de la propiedad rural, señalando condiciones de formalidad e informalidad.</w:t>
      </w:r>
    </w:p>
    <w:p w14:paraId="60FB45C3" w14:textId="77777777" w:rsidR="00C717A3" w:rsidRPr="004068F6" w:rsidRDefault="00C717A3" w:rsidP="00C86DA5">
      <w:pPr>
        <w:tabs>
          <w:tab w:val="left" w:pos="-2268"/>
        </w:tabs>
        <w:suppressAutoHyphens/>
        <w:rPr>
          <w:spacing w:val="-3"/>
        </w:rPr>
      </w:pPr>
    </w:p>
    <w:p w14:paraId="525DF0F4" w14:textId="77777777" w:rsidR="00482A5F" w:rsidRPr="004068F6" w:rsidRDefault="00482A5F" w:rsidP="00C86DA5">
      <w:pPr>
        <w:numPr>
          <w:ilvl w:val="0"/>
          <w:numId w:val="385"/>
        </w:numPr>
        <w:tabs>
          <w:tab w:val="left" w:pos="-2268"/>
        </w:tabs>
        <w:suppressAutoHyphens/>
        <w:ind w:left="567" w:hanging="567"/>
        <w:rPr>
          <w:rFonts w:cs="Arial"/>
          <w:spacing w:val="-3"/>
        </w:rPr>
      </w:pPr>
      <w:r w:rsidRPr="004068F6">
        <w:rPr>
          <w:rFonts w:cs="Arial"/>
          <w:spacing w:val="-3"/>
        </w:rPr>
        <w:t>Tamaño de la Unidad Agrícola Familiar (UAF)</w:t>
      </w:r>
      <w:r w:rsidRPr="004068F6">
        <w:rPr>
          <w:rFonts w:cs="Arial"/>
          <w:spacing w:val="-3"/>
          <w:vertAlign w:val="superscript"/>
        </w:rPr>
        <w:footnoteReference w:id="167"/>
      </w:r>
      <w:r w:rsidRPr="004068F6">
        <w:rPr>
          <w:rFonts w:cs="Arial"/>
          <w:spacing w:val="-3"/>
        </w:rPr>
        <w:t xml:space="preserve"> establecida para cada municipio.</w:t>
      </w:r>
    </w:p>
    <w:p w14:paraId="1D07FB46" w14:textId="77777777" w:rsidR="00C717A3" w:rsidRPr="004068F6" w:rsidRDefault="00C717A3" w:rsidP="00C86DA5">
      <w:pPr>
        <w:tabs>
          <w:tab w:val="left" w:pos="-2268"/>
        </w:tabs>
        <w:suppressAutoHyphens/>
        <w:rPr>
          <w:spacing w:val="-3"/>
        </w:rPr>
      </w:pPr>
    </w:p>
    <w:p w14:paraId="667E40D7" w14:textId="3FF15AFC" w:rsidR="00482A5F" w:rsidRPr="004068F6" w:rsidRDefault="00482A5F" w:rsidP="00C86DA5">
      <w:pPr>
        <w:numPr>
          <w:ilvl w:val="0"/>
          <w:numId w:val="385"/>
        </w:numPr>
        <w:tabs>
          <w:tab w:val="left" w:pos="-2268"/>
        </w:tabs>
        <w:suppressAutoHyphens/>
        <w:ind w:left="567" w:hanging="567"/>
        <w:rPr>
          <w:spacing w:val="-3"/>
        </w:rPr>
      </w:pPr>
      <w:r w:rsidRPr="004068F6">
        <w:rPr>
          <w:spacing w:val="-3"/>
        </w:rPr>
        <w:t xml:space="preserve">Procesos productivos </w:t>
      </w:r>
      <w:r w:rsidR="00134A8C" w:rsidRPr="00134A8C">
        <w:rPr>
          <w:spacing w:val="-3"/>
        </w:rPr>
        <w:t>(de incidencia local, regional o nacional)</w:t>
      </w:r>
      <w:r w:rsidR="00134A8C">
        <w:rPr>
          <w:spacing w:val="-3"/>
        </w:rPr>
        <w:t xml:space="preserve"> </w:t>
      </w:r>
      <w:r w:rsidRPr="004068F6">
        <w:rPr>
          <w:spacing w:val="-3"/>
        </w:rPr>
        <w:t>y tecnológicos.</w:t>
      </w:r>
    </w:p>
    <w:p w14:paraId="563F6F7D" w14:textId="77777777" w:rsidR="00C717A3" w:rsidRPr="004068F6" w:rsidRDefault="00C717A3" w:rsidP="00C86DA5">
      <w:pPr>
        <w:tabs>
          <w:tab w:val="left" w:pos="-2268"/>
        </w:tabs>
        <w:suppressAutoHyphens/>
        <w:rPr>
          <w:spacing w:val="-3"/>
        </w:rPr>
      </w:pPr>
    </w:p>
    <w:p w14:paraId="148A52D9" w14:textId="695F9BF4" w:rsidR="00482A5F" w:rsidRPr="004068F6" w:rsidRDefault="00482A5F" w:rsidP="00C86DA5">
      <w:pPr>
        <w:numPr>
          <w:ilvl w:val="0"/>
          <w:numId w:val="385"/>
        </w:numPr>
        <w:tabs>
          <w:tab w:val="left" w:pos="-2268"/>
        </w:tabs>
        <w:suppressAutoHyphens/>
        <w:ind w:left="567" w:hanging="567"/>
        <w:rPr>
          <w:spacing w:val="-3"/>
        </w:rPr>
      </w:pPr>
      <w:r w:rsidRPr="004068F6">
        <w:rPr>
          <w:spacing w:val="-3"/>
        </w:rPr>
        <w:t>Mercado laboral actual</w:t>
      </w:r>
      <w:r w:rsidR="00DB17CC" w:rsidRPr="004068F6">
        <w:rPr>
          <w:spacing w:val="-3"/>
        </w:rPr>
        <w:t xml:space="preserve"> (ocupación, empleo, desempleo, informalidad y subempleo)</w:t>
      </w:r>
      <w:r w:rsidR="00EB67FC" w:rsidRPr="004068F6">
        <w:rPr>
          <w:spacing w:val="-3"/>
        </w:rPr>
        <w:t>, principales fuentes de empleo y existencia de centros de formación para el empleo</w:t>
      </w:r>
      <w:r w:rsidRPr="004068F6">
        <w:rPr>
          <w:spacing w:val="-3"/>
        </w:rPr>
        <w:t>.</w:t>
      </w:r>
    </w:p>
    <w:p w14:paraId="5AA4FE0D" w14:textId="77777777" w:rsidR="00C717A3" w:rsidRPr="004068F6" w:rsidRDefault="00C717A3" w:rsidP="00C86DA5">
      <w:pPr>
        <w:tabs>
          <w:tab w:val="left" w:pos="-2268"/>
        </w:tabs>
        <w:suppressAutoHyphens/>
        <w:rPr>
          <w:rFonts w:cs="Arial"/>
          <w:spacing w:val="-3"/>
        </w:rPr>
      </w:pPr>
    </w:p>
    <w:p w14:paraId="19990109" w14:textId="290B12CD" w:rsidR="00482A5F" w:rsidRPr="004068F6" w:rsidRDefault="00482A5F" w:rsidP="00C86DA5">
      <w:pPr>
        <w:numPr>
          <w:ilvl w:val="0"/>
          <w:numId w:val="385"/>
        </w:numPr>
        <w:tabs>
          <w:tab w:val="left" w:pos="-2268"/>
        </w:tabs>
        <w:suppressAutoHyphens/>
        <w:ind w:left="567" w:hanging="567"/>
        <w:rPr>
          <w:rFonts w:cs="Arial"/>
          <w:spacing w:val="-3"/>
        </w:rPr>
      </w:pPr>
      <w:r w:rsidRPr="004068F6">
        <w:rPr>
          <w:rFonts w:cs="Arial"/>
          <w:spacing w:val="-3"/>
        </w:rPr>
        <w:t xml:space="preserve">Polos de desarrollo o enclaves que interactúan con el área </w:t>
      </w:r>
      <w:r w:rsidR="00727B09" w:rsidRPr="004068F6">
        <w:rPr>
          <w:rFonts w:cs="Arial"/>
          <w:spacing w:val="-3"/>
        </w:rPr>
        <w:t>objeto de caracterización económica</w:t>
      </w:r>
      <w:r w:rsidRPr="004068F6">
        <w:rPr>
          <w:rFonts w:cs="Arial"/>
          <w:spacing w:val="-3"/>
        </w:rPr>
        <w:t>.</w:t>
      </w:r>
    </w:p>
    <w:p w14:paraId="06B32B4B" w14:textId="77777777" w:rsidR="00C717A3" w:rsidRPr="004068F6" w:rsidRDefault="00C717A3" w:rsidP="00C86DA5">
      <w:pPr>
        <w:tabs>
          <w:tab w:val="left" w:pos="-2268"/>
        </w:tabs>
        <w:suppressAutoHyphens/>
        <w:rPr>
          <w:spacing w:val="-3"/>
        </w:rPr>
      </w:pPr>
    </w:p>
    <w:p w14:paraId="1DC98492" w14:textId="77777777" w:rsidR="00482A5F" w:rsidRPr="004068F6" w:rsidRDefault="00482A5F" w:rsidP="00C86DA5">
      <w:pPr>
        <w:numPr>
          <w:ilvl w:val="0"/>
          <w:numId w:val="385"/>
        </w:numPr>
        <w:tabs>
          <w:tab w:val="left" w:pos="-2268"/>
        </w:tabs>
        <w:suppressAutoHyphens/>
        <w:ind w:left="567" w:hanging="567"/>
        <w:rPr>
          <w:spacing w:val="-3"/>
        </w:rPr>
      </w:pPr>
      <w:r w:rsidRPr="004068F6">
        <w:rPr>
          <w:spacing w:val="-3"/>
        </w:rPr>
        <w:t>Empresas productivas en los sectores primario, secundario y terciario.</w:t>
      </w:r>
    </w:p>
    <w:p w14:paraId="56EFA7C2" w14:textId="77777777" w:rsidR="00482A5F" w:rsidRPr="004068F6" w:rsidRDefault="00482A5F">
      <w:pPr>
        <w:tabs>
          <w:tab w:val="left" w:pos="-2268"/>
        </w:tabs>
        <w:suppressAutoHyphens/>
        <w:rPr>
          <w:spacing w:val="-3"/>
        </w:rPr>
      </w:pPr>
    </w:p>
    <w:p w14:paraId="4303ABB2" w14:textId="77777777" w:rsidR="00482A5F" w:rsidRPr="004068F6" w:rsidRDefault="00482A5F" w:rsidP="002F5664">
      <w:pPr>
        <w:pStyle w:val="Ttulo4"/>
        <w:tabs>
          <w:tab w:val="clear" w:pos="1844"/>
          <w:tab w:val="num" w:pos="1134"/>
        </w:tabs>
        <w:ind w:left="0"/>
        <w:rPr>
          <w:lang w:val="es-CO"/>
        </w:rPr>
      </w:pPr>
      <w:r w:rsidRPr="004068F6">
        <w:rPr>
          <w:lang w:val="es-CO"/>
        </w:rPr>
        <w:t>Cultural</w:t>
      </w:r>
    </w:p>
    <w:p w14:paraId="7EDEACEB" w14:textId="77777777" w:rsidR="00482A5F" w:rsidRPr="004068F6" w:rsidRDefault="00482A5F" w:rsidP="00482A5F">
      <w:pPr>
        <w:rPr>
          <w:rFonts w:cs="Arial"/>
        </w:rPr>
      </w:pPr>
    </w:p>
    <w:p w14:paraId="7DAC2310" w14:textId="50E897E6" w:rsidR="00482A5F" w:rsidRPr="004068F6" w:rsidRDefault="00482A5F" w:rsidP="00C86DA5">
      <w:pPr>
        <w:tabs>
          <w:tab w:val="left" w:pos="-2268"/>
        </w:tabs>
        <w:suppressAutoHyphens/>
        <w:rPr>
          <w:rFonts w:cs="Arial"/>
          <w:spacing w:val="-3"/>
        </w:rPr>
      </w:pPr>
      <w:r w:rsidRPr="004068F6">
        <w:rPr>
          <w:spacing w:val="-3"/>
        </w:rPr>
        <w:t xml:space="preserve">Presentar </w:t>
      </w:r>
      <w:r w:rsidRPr="004068F6">
        <w:rPr>
          <w:rFonts w:cs="Arial"/>
          <w:spacing w:val="-3"/>
        </w:rPr>
        <w:t>un</w:t>
      </w:r>
      <w:r w:rsidR="00696B84" w:rsidRPr="004068F6">
        <w:rPr>
          <w:rFonts w:cs="Arial"/>
          <w:spacing w:val="-3"/>
        </w:rPr>
        <w:t>a</w:t>
      </w:r>
      <w:r w:rsidRPr="004068F6">
        <w:rPr>
          <w:rFonts w:cs="Arial"/>
          <w:spacing w:val="-3"/>
        </w:rPr>
        <w:t xml:space="preserve"> </w:t>
      </w:r>
      <w:r w:rsidR="00696B84" w:rsidRPr="004068F6">
        <w:rPr>
          <w:rFonts w:cs="Arial"/>
          <w:spacing w:val="-3"/>
        </w:rPr>
        <w:t xml:space="preserve">síntesis </w:t>
      </w:r>
      <w:r w:rsidRPr="004068F6">
        <w:rPr>
          <w:rFonts w:cs="Arial"/>
          <w:spacing w:val="-3"/>
        </w:rPr>
        <w:t>general de los elementos asociados a la dinámica demográfica</w:t>
      </w:r>
      <w:r w:rsidR="00426865" w:rsidRPr="004068F6">
        <w:rPr>
          <w:rFonts w:cs="Arial"/>
          <w:spacing w:val="-3"/>
        </w:rPr>
        <w:t xml:space="preserve"> y a</w:t>
      </w:r>
      <w:r w:rsidRPr="004068F6">
        <w:rPr>
          <w:rFonts w:cs="Arial"/>
          <w:spacing w:val="-3"/>
        </w:rPr>
        <w:t xml:space="preserve"> la dependencia económica y sociocultural </w:t>
      </w:r>
      <w:r w:rsidR="00A76C4F" w:rsidRPr="00A76C4F">
        <w:rPr>
          <w:rFonts w:cs="Arial"/>
          <w:spacing w:val="-3"/>
        </w:rPr>
        <w:t>(tanto de comunidades étnicas como no étnicas)</w:t>
      </w:r>
      <w:r w:rsidR="00A76C4F">
        <w:rPr>
          <w:rFonts w:cs="Arial"/>
          <w:spacing w:val="-3"/>
        </w:rPr>
        <w:t xml:space="preserve"> </w:t>
      </w:r>
      <w:r w:rsidRPr="004068F6">
        <w:rPr>
          <w:rFonts w:cs="Arial"/>
          <w:spacing w:val="-3"/>
        </w:rPr>
        <w:t>con el entorno</w:t>
      </w:r>
      <w:r w:rsidR="00696B84" w:rsidRPr="004068F6">
        <w:rPr>
          <w:rFonts w:cs="Arial"/>
          <w:spacing w:val="-3"/>
        </w:rPr>
        <w:t xml:space="preserve"> que </w:t>
      </w:r>
      <w:r w:rsidRPr="004068F6">
        <w:rPr>
          <w:rFonts w:cs="Arial"/>
          <w:spacing w:val="-3"/>
        </w:rPr>
        <w:t xml:space="preserve">debe </w:t>
      </w:r>
      <w:r w:rsidR="00696B84" w:rsidRPr="004068F6">
        <w:rPr>
          <w:rFonts w:cs="Arial"/>
          <w:spacing w:val="-3"/>
        </w:rPr>
        <w:t xml:space="preserve">contener </w:t>
      </w:r>
      <w:r w:rsidR="00020C68" w:rsidRPr="004068F6">
        <w:rPr>
          <w:rFonts w:cs="Arial"/>
          <w:spacing w:val="-3"/>
        </w:rPr>
        <w:t xml:space="preserve">al menos </w:t>
      </w:r>
      <w:r w:rsidRPr="004068F6">
        <w:rPr>
          <w:rFonts w:cs="Arial"/>
          <w:spacing w:val="-3"/>
        </w:rPr>
        <w:t xml:space="preserve">los siguientes </w:t>
      </w:r>
      <w:r w:rsidR="00696B84" w:rsidRPr="004068F6">
        <w:rPr>
          <w:rFonts w:cs="Arial"/>
          <w:spacing w:val="-3"/>
        </w:rPr>
        <w:t>elementos</w:t>
      </w:r>
      <w:r w:rsidRPr="004068F6">
        <w:rPr>
          <w:rFonts w:cs="Arial"/>
          <w:spacing w:val="-3"/>
        </w:rPr>
        <w:t>:</w:t>
      </w:r>
    </w:p>
    <w:p w14:paraId="4FCA076F" w14:textId="77777777" w:rsidR="00482A5F" w:rsidRPr="004068F6" w:rsidRDefault="00482A5F">
      <w:pPr>
        <w:tabs>
          <w:tab w:val="left" w:pos="-2268"/>
        </w:tabs>
        <w:suppressAutoHyphens/>
        <w:rPr>
          <w:spacing w:val="-3"/>
        </w:rPr>
      </w:pPr>
    </w:p>
    <w:p w14:paraId="148C1973" w14:textId="28DD13EC" w:rsidR="00482A5F" w:rsidRPr="004068F6" w:rsidRDefault="00426865" w:rsidP="00C86DA5">
      <w:pPr>
        <w:numPr>
          <w:ilvl w:val="0"/>
          <w:numId w:val="385"/>
        </w:numPr>
        <w:tabs>
          <w:tab w:val="left" w:pos="-2268"/>
        </w:tabs>
        <w:suppressAutoHyphens/>
        <w:ind w:left="567" w:hanging="567"/>
        <w:rPr>
          <w:spacing w:val="-3"/>
        </w:rPr>
      </w:pPr>
      <w:r w:rsidRPr="004068F6">
        <w:rPr>
          <w:spacing w:val="-3"/>
        </w:rPr>
        <w:t>H</w:t>
      </w:r>
      <w:r w:rsidR="00482A5F" w:rsidRPr="004068F6">
        <w:rPr>
          <w:spacing w:val="-3"/>
        </w:rPr>
        <w:t xml:space="preserve">echos históricos (migraciones, adopción de nuevas tecnologías, cambios de actividad productiva, </w:t>
      </w:r>
      <w:r w:rsidR="008278D6" w:rsidRPr="004068F6">
        <w:rPr>
          <w:spacing w:val="-3"/>
        </w:rPr>
        <w:t xml:space="preserve">conflictos ambientales, </w:t>
      </w:r>
      <w:r w:rsidR="00434EA7" w:rsidRPr="004068F6">
        <w:rPr>
          <w:spacing w:val="-3"/>
        </w:rPr>
        <w:t>desplazamientos forzados</w:t>
      </w:r>
      <w:r w:rsidR="008278D6" w:rsidRPr="004068F6">
        <w:rPr>
          <w:spacing w:val="-3"/>
        </w:rPr>
        <w:t xml:space="preserve">, conflicto armado, </w:t>
      </w:r>
      <w:r w:rsidR="00482A5F" w:rsidRPr="004068F6">
        <w:rPr>
          <w:spacing w:val="-3"/>
        </w:rPr>
        <w:t>entre otros), que hayan producido cambios culturales.</w:t>
      </w:r>
    </w:p>
    <w:p w14:paraId="5DB9085F" w14:textId="77777777" w:rsidR="00482A5F" w:rsidRPr="004068F6" w:rsidRDefault="00482A5F" w:rsidP="00C86DA5">
      <w:pPr>
        <w:tabs>
          <w:tab w:val="left" w:pos="-2268"/>
        </w:tabs>
        <w:suppressAutoHyphens/>
        <w:rPr>
          <w:spacing w:val="-3"/>
        </w:rPr>
      </w:pPr>
    </w:p>
    <w:p w14:paraId="1E831C2D" w14:textId="345DF5DE" w:rsidR="00482A5F" w:rsidRPr="004068F6" w:rsidRDefault="00426865" w:rsidP="00C86DA5">
      <w:pPr>
        <w:numPr>
          <w:ilvl w:val="0"/>
          <w:numId w:val="385"/>
        </w:numPr>
        <w:tabs>
          <w:tab w:val="left" w:pos="-2268"/>
        </w:tabs>
        <w:suppressAutoHyphens/>
        <w:ind w:left="567" w:hanging="567"/>
        <w:rPr>
          <w:spacing w:val="-3"/>
        </w:rPr>
      </w:pPr>
      <w:r w:rsidRPr="004068F6">
        <w:rPr>
          <w:spacing w:val="-3"/>
        </w:rPr>
        <w:t>S</w:t>
      </w:r>
      <w:r w:rsidR="00482A5F" w:rsidRPr="004068F6">
        <w:rPr>
          <w:spacing w:val="-3"/>
        </w:rPr>
        <w:t>ímbolos culturales</w:t>
      </w:r>
      <w:r w:rsidR="00646B64">
        <w:rPr>
          <w:spacing w:val="-3"/>
        </w:rPr>
        <w:t xml:space="preserve"> </w:t>
      </w:r>
      <w:r w:rsidR="00482A5F" w:rsidRPr="004068F6">
        <w:rPr>
          <w:spacing w:val="-3"/>
        </w:rPr>
        <w:t>más significativos para la población relaci</w:t>
      </w:r>
      <w:r w:rsidR="004D4F80">
        <w:rPr>
          <w:spacing w:val="-3"/>
        </w:rPr>
        <w:t>onados con</w:t>
      </w:r>
      <w:r w:rsidR="00482A5F" w:rsidRPr="004068F6">
        <w:rPr>
          <w:spacing w:val="-3"/>
        </w:rPr>
        <w:t xml:space="preserve"> las tradiciones económicas, tecnológicas, organizativas, religiosas, artísticas</w:t>
      </w:r>
      <w:r w:rsidRPr="004068F6">
        <w:rPr>
          <w:spacing w:val="-3"/>
        </w:rPr>
        <w:t>,</w:t>
      </w:r>
      <w:r w:rsidR="00482A5F" w:rsidRPr="004068F6">
        <w:rPr>
          <w:spacing w:val="-3"/>
        </w:rPr>
        <w:t xml:space="preserve"> </w:t>
      </w:r>
      <w:r w:rsidRPr="004068F6">
        <w:rPr>
          <w:spacing w:val="-3"/>
        </w:rPr>
        <w:t>entre</w:t>
      </w:r>
      <w:r w:rsidR="00482A5F" w:rsidRPr="004068F6">
        <w:rPr>
          <w:spacing w:val="-3"/>
        </w:rPr>
        <w:t xml:space="preserve"> otras</w:t>
      </w:r>
      <w:r w:rsidR="00594FCB">
        <w:rPr>
          <w:spacing w:val="-3"/>
        </w:rPr>
        <w:t>,</w:t>
      </w:r>
      <w:r w:rsidR="003869FF">
        <w:rPr>
          <w:spacing w:val="-3"/>
        </w:rPr>
        <w:t xml:space="preserve"> que estén asociados en con el ambiente y el territorio</w:t>
      </w:r>
      <w:r w:rsidR="00482A5F" w:rsidRPr="004068F6">
        <w:rPr>
          <w:spacing w:val="-3"/>
        </w:rPr>
        <w:t>.</w:t>
      </w:r>
    </w:p>
    <w:p w14:paraId="26DCA0E6" w14:textId="77777777" w:rsidR="00482A5F" w:rsidRPr="004068F6" w:rsidRDefault="00482A5F" w:rsidP="00C86DA5">
      <w:pPr>
        <w:tabs>
          <w:tab w:val="left" w:pos="-2268"/>
        </w:tabs>
        <w:suppressAutoHyphens/>
        <w:rPr>
          <w:spacing w:val="-3"/>
        </w:rPr>
      </w:pPr>
    </w:p>
    <w:p w14:paraId="79155405" w14:textId="3EDE62AF" w:rsidR="00482A5F" w:rsidRPr="004068F6" w:rsidRDefault="00426865" w:rsidP="00C86DA5">
      <w:pPr>
        <w:numPr>
          <w:ilvl w:val="0"/>
          <w:numId w:val="385"/>
        </w:numPr>
        <w:tabs>
          <w:tab w:val="left" w:pos="-2268"/>
        </w:tabs>
        <w:suppressAutoHyphens/>
        <w:ind w:left="567" w:hanging="567"/>
        <w:rPr>
          <w:spacing w:val="-3"/>
        </w:rPr>
      </w:pPr>
      <w:r w:rsidRPr="004068F6">
        <w:rPr>
          <w:spacing w:val="-3"/>
        </w:rPr>
        <w:t>U</w:t>
      </w:r>
      <w:r w:rsidR="00482A5F" w:rsidRPr="004068F6">
        <w:rPr>
          <w:spacing w:val="-3"/>
        </w:rPr>
        <w:t>sos tradicionales de los recursos naturales renovables y el ambiente por parte de los habitantes</w:t>
      </w:r>
      <w:r w:rsidR="008262C7" w:rsidRPr="004068F6">
        <w:rPr>
          <w:spacing w:val="-3"/>
        </w:rPr>
        <w:t xml:space="preserve">, teniendo en cuenta entre otros, la demanda, la oferta, el sentido de pertenencia, los </w:t>
      </w:r>
      <w:r w:rsidR="00482A5F" w:rsidRPr="004068F6">
        <w:rPr>
          <w:spacing w:val="-3"/>
        </w:rPr>
        <w:t>usos culturales</w:t>
      </w:r>
      <w:r w:rsidR="00E768E3" w:rsidRPr="004068F6">
        <w:rPr>
          <w:spacing w:val="-3"/>
        </w:rPr>
        <w:t xml:space="preserve"> y tradicionales,</w:t>
      </w:r>
      <w:r w:rsidR="00482A5F" w:rsidRPr="004068F6">
        <w:rPr>
          <w:spacing w:val="-3"/>
        </w:rPr>
        <w:t xml:space="preserve"> </w:t>
      </w:r>
      <w:r w:rsidR="00E768E3" w:rsidRPr="004068F6">
        <w:rPr>
          <w:spacing w:val="-3"/>
        </w:rPr>
        <w:t>el arraigo, las prácticas preservacionistas o conservacionistas</w:t>
      </w:r>
      <w:r w:rsidR="00482A5F" w:rsidRPr="004068F6">
        <w:rPr>
          <w:spacing w:val="-3"/>
        </w:rPr>
        <w:t xml:space="preserve"> </w:t>
      </w:r>
      <w:r w:rsidR="008262C7" w:rsidRPr="004068F6">
        <w:rPr>
          <w:spacing w:val="-3"/>
        </w:rPr>
        <w:t xml:space="preserve">y los </w:t>
      </w:r>
      <w:r w:rsidR="00482A5F" w:rsidRPr="004068F6">
        <w:rPr>
          <w:spacing w:val="-3"/>
        </w:rPr>
        <w:t>valores simbólicos.</w:t>
      </w:r>
    </w:p>
    <w:p w14:paraId="4245340F" w14:textId="77777777" w:rsidR="00482A5F" w:rsidRPr="004068F6" w:rsidRDefault="00482A5F" w:rsidP="00C86DA5"/>
    <w:p w14:paraId="73EB012F" w14:textId="094644CD" w:rsidR="00482A5F" w:rsidRPr="004068F6" w:rsidRDefault="00482A5F" w:rsidP="002F5664">
      <w:pPr>
        <w:pStyle w:val="Ttulo4"/>
        <w:tabs>
          <w:tab w:val="clear" w:pos="1844"/>
          <w:tab w:val="num" w:pos="1134"/>
        </w:tabs>
        <w:ind w:left="0"/>
        <w:rPr>
          <w:lang w:val="es-CO"/>
        </w:rPr>
      </w:pPr>
      <w:r w:rsidRPr="004068F6">
        <w:rPr>
          <w:lang w:val="es-CO"/>
        </w:rPr>
        <w:t>Político</w:t>
      </w:r>
      <w:r w:rsidR="00B561ED" w:rsidRPr="004068F6">
        <w:rPr>
          <w:lang w:val="es-CO"/>
        </w:rPr>
        <w:t xml:space="preserve"> </w:t>
      </w:r>
      <w:r w:rsidRPr="004068F6">
        <w:rPr>
          <w:lang w:val="es-CO"/>
        </w:rPr>
        <w:t>organizativo</w:t>
      </w:r>
    </w:p>
    <w:p w14:paraId="19994AD5" w14:textId="77777777" w:rsidR="00482A5F" w:rsidRPr="004068F6" w:rsidRDefault="00482A5F" w:rsidP="00482A5F">
      <w:pPr>
        <w:numPr>
          <w:ilvl w:val="12"/>
          <w:numId w:val="0"/>
        </w:numPr>
        <w:tabs>
          <w:tab w:val="left" w:pos="-2268"/>
        </w:tabs>
        <w:suppressAutoHyphens/>
        <w:rPr>
          <w:rFonts w:cs="Arial"/>
          <w:spacing w:val="-3"/>
        </w:rPr>
      </w:pPr>
    </w:p>
    <w:p w14:paraId="28D89071" w14:textId="088AECE6" w:rsidR="00482A5F" w:rsidRPr="004068F6" w:rsidRDefault="00A3333A" w:rsidP="00C86DA5">
      <w:pPr>
        <w:numPr>
          <w:ilvl w:val="12"/>
          <w:numId w:val="0"/>
        </w:numPr>
        <w:tabs>
          <w:tab w:val="left" w:pos="-2268"/>
        </w:tabs>
        <w:suppressAutoHyphens/>
        <w:rPr>
          <w:spacing w:val="-3"/>
        </w:rPr>
      </w:pPr>
      <w:r w:rsidRPr="004068F6">
        <w:rPr>
          <w:rFonts w:cs="Arial"/>
          <w:spacing w:val="-3"/>
        </w:rPr>
        <w:t xml:space="preserve">Determinar </w:t>
      </w:r>
      <w:r w:rsidR="00426865" w:rsidRPr="004068F6">
        <w:rPr>
          <w:rFonts w:cs="Arial"/>
          <w:spacing w:val="-3"/>
        </w:rPr>
        <w:t>las</w:t>
      </w:r>
      <w:r w:rsidR="00482A5F" w:rsidRPr="004068F6">
        <w:rPr>
          <w:spacing w:val="-3"/>
        </w:rPr>
        <w:t xml:space="preserve"> principales características </w:t>
      </w:r>
      <w:r w:rsidR="00482A5F" w:rsidRPr="004068F6">
        <w:rPr>
          <w:rFonts w:cs="Arial"/>
          <w:spacing w:val="-3"/>
        </w:rPr>
        <w:t>político-</w:t>
      </w:r>
      <w:r w:rsidR="00422249" w:rsidRPr="004068F6">
        <w:rPr>
          <w:rFonts w:cs="Arial"/>
          <w:spacing w:val="-3"/>
        </w:rPr>
        <w:t>organizativas</w:t>
      </w:r>
      <w:r w:rsidR="00482A5F" w:rsidRPr="004068F6">
        <w:rPr>
          <w:rFonts w:cs="Arial"/>
          <w:spacing w:val="-3"/>
        </w:rPr>
        <w:t xml:space="preserve">, de acuerdo con la información secundaria encontrada en </w:t>
      </w:r>
      <w:r w:rsidR="00482A5F" w:rsidRPr="004068F6">
        <w:rPr>
          <w:spacing w:val="-3"/>
        </w:rPr>
        <w:t xml:space="preserve">los </w:t>
      </w:r>
      <w:r w:rsidR="00005E00" w:rsidRPr="004068F6">
        <w:rPr>
          <w:rFonts w:cs="Arial"/>
          <w:spacing w:val="-3"/>
        </w:rPr>
        <w:t xml:space="preserve">instrumentos </w:t>
      </w:r>
      <w:r w:rsidR="00482A5F" w:rsidRPr="004068F6">
        <w:rPr>
          <w:spacing w:val="-3"/>
        </w:rPr>
        <w:t xml:space="preserve">de </w:t>
      </w:r>
      <w:r w:rsidR="00482A5F" w:rsidRPr="004068F6">
        <w:rPr>
          <w:rFonts w:cs="Arial"/>
          <w:spacing w:val="-3"/>
        </w:rPr>
        <w:t>ordenamiento</w:t>
      </w:r>
      <w:r w:rsidR="00482A5F" w:rsidRPr="004068F6">
        <w:rPr>
          <w:spacing w:val="-3"/>
        </w:rPr>
        <w:t xml:space="preserve"> territorial </w:t>
      </w:r>
      <w:r w:rsidR="00482A5F" w:rsidRPr="004068F6">
        <w:rPr>
          <w:rFonts w:cs="Arial"/>
          <w:spacing w:val="-3"/>
        </w:rPr>
        <w:t xml:space="preserve">(EOT, </w:t>
      </w:r>
      <w:r w:rsidR="00005E00" w:rsidRPr="004068F6">
        <w:rPr>
          <w:rFonts w:cs="Arial"/>
          <w:spacing w:val="-3"/>
        </w:rPr>
        <w:t xml:space="preserve">PBOT, </w:t>
      </w:r>
      <w:r w:rsidR="00482A5F" w:rsidRPr="004068F6">
        <w:rPr>
          <w:rFonts w:cs="Arial"/>
          <w:spacing w:val="-3"/>
        </w:rPr>
        <w:t>POT)</w:t>
      </w:r>
      <w:r w:rsidR="00FD11BD" w:rsidRPr="004068F6">
        <w:rPr>
          <w:rFonts w:cs="Arial"/>
          <w:spacing w:val="-3"/>
        </w:rPr>
        <w:t xml:space="preserve"> que apliquen</w:t>
      </w:r>
      <w:r w:rsidR="00426865" w:rsidRPr="004068F6">
        <w:rPr>
          <w:rFonts w:cs="Arial"/>
          <w:spacing w:val="-3"/>
        </w:rPr>
        <w:t>, los cuales</w:t>
      </w:r>
      <w:r w:rsidR="00FD11BD" w:rsidRPr="004068F6">
        <w:rPr>
          <w:rFonts w:cs="Arial"/>
          <w:spacing w:val="-3"/>
        </w:rPr>
        <w:t>, de acuerdo con el DNP (2013),</w:t>
      </w:r>
      <w:r w:rsidR="00426865" w:rsidRPr="004068F6">
        <w:rPr>
          <w:rFonts w:cs="Arial"/>
          <w:spacing w:val="-3"/>
        </w:rPr>
        <w:t xml:space="preserve"> </w:t>
      </w:r>
      <w:r w:rsidR="00482A5F" w:rsidRPr="004068F6">
        <w:rPr>
          <w:rFonts w:cs="Arial"/>
          <w:spacing w:val="-3"/>
        </w:rPr>
        <w:t>son instrumentos básicos que orientan</w:t>
      </w:r>
      <w:r w:rsidR="00BA762C" w:rsidRPr="004068F6">
        <w:rPr>
          <w:rFonts w:cs="Arial"/>
          <w:spacing w:val="-3"/>
        </w:rPr>
        <w:t>,</w:t>
      </w:r>
      <w:r w:rsidR="00482A5F" w:rsidRPr="004068F6">
        <w:rPr>
          <w:rFonts w:cs="Arial"/>
          <w:spacing w:val="-3"/>
        </w:rPr>
        <w:t xml:space="preserve"> regulan y espacializan las estrategias de desarrollo, buscando articular y armonizar la planificación sectorial y entre niveles territoriales, con respecto al uso y </w:t>
      </w:r>
      <w:r w:rsidR="00482A5F" w:rsidRPr="004068F6">
        <w:rPr>
          <w:spacing w:val="-3"/>
        </w:rPr>
        <w:t>ocupación del territorio</w:t>
      </w:r>
      <w:r w:rsidR="00482A5F" w:rsidRPr="004068F6">
        <w:rPr>
          <w:rFonts w:cs="Arial"/>
          <w:spacing w:val="-3"/>
        </w:rPr>
        <w:t xml:space="preserve">, y en </w:t>
      </w:r>
      <w:r w:rsidR="00482A5F" w:rsidRPr="004068F6">
        <w:rPr>
          <w:spacing w:val="-3"/>
        </w:rPr>
        <w:t xml:space="preserve">relación </w:t>
      </w:r>
      <w:r w:rsidR="00482A5F" w:rsidRPr="004068F6">
        <w:rPr>
          <w:rFonts w:cs="Arial"/>
          <w:spacing w:val="-3"/>
        </w:rPr>
        <w:t xml:space="preserve">con los elementos estructuran tés del </w:t>
      </w:r>
      <w:r w:rsidR="00482A5F" w:rsidRPr="004068F6">
        <w:rPr>
          <w:spacing w:val="-3"/>
        </w:rPr>
        <w:t>territorio</w:t>
      </w:r>
      <w:r w:rsidR="00482A5F" w:rsidRPr="004068F6">
        <w:rPr>
          <w:rFonts w:cs="Arial"/>
          <w:spacing w:val="-3"/>
        </w:rPr>
        <w:t xml:space="preserve"> departamental, comprendiendo no sólo la dimensión geográfica, sino también la económica, social, cultural e institucional</w:t>
      </w:r>
      <w:r w:rsidR="00805DBC" w:rsidRPr="004068F6">
        <w:rPr>
          <w:rFonts w:cs="Arial"/>
          <w:spacing w:val="-3"/>
        </w:rPr>
        <w:t>.</w:t>
      </w:r>
      <w:r w:rsidR="003E1902">
        <w:rPr>
          <w:rFonts w:cs="Arial"/>
          <w:spacing w:val="-3"/>
        </w:rPr>
        <w:t xml:space="preserve"> </w:t>
      </w:r>
      <w:r w:rsidR="003E1902" w:rsidRPr="003E1902">
        <w:rPr>
          <w:rFonts w:cs="Arial"/>
          <w:spacing w:val="-3"/>
        </w:rPr>
        <w:t>Asimismo, se deben considerar (cuando aplique), los planes de vida y otros instrumentos propios de planificación de las comunidades étnicas.</w:t>
      </w:r>
    </w:p>
    <w:p w14:paraId="172A0855" w14:textId="77777777" w:rsidR="00482A5F" w:rsidRPr="004068F6" w:rsidRDefault="00482A5F" w:rsidP="00C86DA5">
      <w:pPr>
        <w:numPr>
          <w:ilvl w:val="12"/>
          <w:numId w:val="0"/>
        </w:numPr>
        <w:tabs>
          <w:tab w:val="left" w:pos="-2268"/>
        </w:tabs>
        <w:suppressAutoHyphens/>
        <w:rPr>
          <w:spacing w:val="-3"/>
        </w:rPr>
      </w:pPr>
    </w:p>
    <w:p w14:paraId="51679B22" w14:textId="2D3D8107" w:rsidR="008278D6" w:rsidRPr="004068F6" w:rsidRDefault="00A3333A" w:rsidP="008278D6">
      <w:pPr>
        <w:numPr>
          <w:ilvl w:val="12"/>
          <w:numId w:val="0"/>
        </w:numPr>
        <w:tabs>
          <w:tab w:val="left" w:pos="-2268"/>
        </w:tabs>
        <w:suppressAutoHyphens/>
        <w:rPr>
          <w:spacing w:val="-3"/>
        </w:rPr>
      </w:pPr>
      <w:r w:rsidRPr="004068F6">
        <w:rPr>
          <w:spacing w:val="-3"/>
        </w:rPr>
        <w:t>I</w:t>
      </w:r>
      <w:r w:rsidR="008278D6" w:rsidRPr="004068F6">
        <w:rPr>
          <w:spacing w:val="-3"/>
        </w:rPr>
        <w:t>ncluir información relacionada con los procesos de gobernanza</w:t>
      </w:r>
      <w:r w:rsidR="007C77CC" w:rsidRPr="004068F6">
        <w:rPr>
          <w:rStyle w:val="Refdenotaalpie"/>
          <w:spacing w:val="-3"/>
          <w:lang w:val="es-CO"/>
        </w:rPr>
        <w:footnoteReference w:id="168"/>
      </w:r>
      <w:r w:rsidR="008278D6" w:rsidRPr="004068F6">
        <w:rPr>
          <w:spacing w:val="-3"/>
        </w:rPr>
        <w:t xml:space="preserve"> existentes en el territorio (</w:t>
      </w:r>
      <w:r w:rsidR="00041844" w:rsidRPr="004068F6">
        <w:rPr>
          <w:spacing w:val="-3"/>
        </w:rPr>
        <w:t>p. ej.</w:t>
      </w:r>
      <w:r w:rsidR="00FD11BD" w:rsidRPr="004068F6">
        <w:rPr>
          <w:spacing w:val="-3"/>
        </w:rPr>
        <w:t xml:space="preserve"> </w:t>
      </w:r>
      <w:r w:rsidR="008278D6" w:rsidRPr="004068F6">
        <w:rPr>
          <w:spacing w:val="-3"/>
        </w:rPr>
        <w:t>organizaciones sociales</w:t>
      </w:r>
      <w:r w:rsidR="00F75464" w:rsidRPr="004068F6">
        <w:t>, veedurías ciudadana</w:t>
      </w:r>
      <w:r w:rsidR="005D31F1" w:rsidRPr="004068F6">
        <w:t>s</w:t>
      </w:r>
      <w:r w:rsidR="00FD11BD" w:rsidRPr="004068F6">
        <w:rPr>
          <w:spacing w:val="-3"/>
        </w:rPr>
        <w:t xml:space="preserve"> y</w:t>
      </w:r>
      <w:r w:rsidR="008278D6" w:rsidRPr="004068F6">
        <w:rPr>
          <w:spacing w:val="-3"/>
        </w:rPr>
        <w:t xml:space="preserve"> ONG), con el fin de entender de manera amplia</w:t>
      </w:r>
      <w:r w:rsidR="008B6C72" w:rsidRPr="004068F6">
        <w:rPr>
          <w:spacing w:val="-3"/>
        </w:rPr>
        <w:t>,</w:t>
      </w:r>
      <w:r w:rsidR="008278D6" w:rsidRPr="004068F6">
        <w:rPr>
          <w:spacing w:val="-3"/>
        </w:rPr>
        <w:t xml:space="preserve"> cómo se configura </w:t>
      </w:r>
      <w:r w:rsidR="008B6C72" w:rsidRPr="004068F6">
        <w:rPr>
          <w:spacing w:val="-3"/>
        </w:rPr>
        <w:t xml:space="preserve">la </w:t>
      </w:r>
      <w:r w:rsidR="008278D6" w:rsidRPr="004068F6">
        <w:rPr>
          <w:spacing w:val="-3"/>
        </w:rPr>
        <w:t xml:space="preserve">estructura político-organizativa </w:t>
      </w:r>
      <w:r w:rsidR="008B6C72" w:rsidRPr="004068F6">
        <w:rPr>
          <w:spacing w:val="-3"/>
        </w:rPr>
        <w:t xml:space="preserve">del territorio </w:t>
      </w:r>
      <w:r w:rsidR="008278D6" w:rsidRPr="004068F6">
        <w:rPr>
          <w:spacing w:val="-3"/>
        </w:rPr>
        <w:t>y c</w:t>
      </w:r>
      <w:r w:rsidR="008B6C72" w:rsidRPr="004068F6">
        <w:rPr>
          <w:spacing w:val="-3"/>
        </w:rPr>
        <w:t xml:space="preserve">ómo se </w:t>
      </w:r>
      <w:r w:rsidR="008278D6" w:rsidRPr="004068F6">
        <w:rPr>
          <w:spacing w:val="-3"/>
        </w:rPr>
        <w:t>relaciona</w:t>
      </w:r>
      <w:r w:rsidR="008B6C72" w:rsidRPr="004068F6">
        <w:rPr>
          <w:spacing w:val="-3"/>
        </w:rPr>
        <w:t xml:space="preserve"> dicha gobernanza </w:t>
      </w:r>
      <w:r w:rsidR="008278D6" w:rsidRPr="004068F6">
        <w:rPr>
          <w:spacing w:val="-3"/>
        </w:rPr>
        <w:t xml:space="preserve">con </w:t>
      </w:r>
      <w:r w:rsidR="008B6C72" w:rsidRPr="004068F6">
        <w:rPr>
          <w:spacing w:val="-3"/>
        </w:rPr>
        <w:t xml:space="preserve">los </w:t>
      </w:r>
      <w:r w:rsidR="008278D6" w:rsidRPr="004068F6">
        <w:rPr>
          <w:spacing w:val="-3"/>
        </w:rPr>
        <w:t>grupos de interés.</w:t>
      </w:r>
    </w:p>
    <w:p w14:paraId="710113F5" w14:textId="77777777" w:rsidR="008278D6" w:rsidRPr="004068F6" w:rsidRDefault="008278D6" w:rsidP="00C86DA5">
      <w:pPr>
        <w:numPr>
          <w:ilvl w:val="12"/>
          <w:numId w:val="0"/>
        </w:numPr>
        <w:tabs>
          <w:tab w:val="left" w:pos="-2268"/>
        </w:tabs>
        <w:suppressAutoHyphens/>
        <w:rPr>
          <w:spacing w:val="-3"/>
        </w:rPr>
      </w:pPr>
    </w:p>
    <w:p w14:paraId="428E7115" w14:textId="59FBCCC0" w:rsidR="00482A5F" w:rsidRPr="00466E26" w:rsidRDefault="00482A5F" w:rsidP="000A1E20">
      <w:pPr>
        <w:pStyle w:val="Ttulo3"/>
      </w:pPr>
      <w:bookmarkStart w:id="2953" w:name="_Toc43485721"/>
      <w:bookmarkStart w:id="2954" w:name="_Toc43485722"/>
      <w:bookmarkStart w:id="2955" w:name="_Toc42764356"/>
      <w:bookmarkStart w:id="2956" w:name="_Toc230879663"/>
      <w:bookmarkEnd w:id="2953"/>
      <w:bookmarkEnd w:id="2954"/>
      <w:r w:rsidRPr="00466E26">
        <w:t>Caracterización del área de influencia del medio socioeconómico</w:t>
      </w:r>
      <w:bookmarkEnd w:id="2955"/>
      <w:bookmarkEnd w:id="2956"/>
    </w:p>
    <w:p w14:paraId="6D95020D" w14:textId="77777777" w:rsidR="00482A5F" w:rsidRPr="004068F6" w:rsidRDefault="00482A5F" w:rsidP="00482A5F">
      <w:pPr>
        <w:numPr>
          <w:ilvl w:val="12"/>
          <w:numId w:val="0"/>
        </w:numPr>
        <w:tabs>
          <w:tab w:val="left" w:pos="-2268"/>
        </w:tabs>
        <w:suppressAutoHyphens/>
        <w:rPr>
          <w:rFonts w:cs="Arial"/>
          <w:spacing w:val="-3"/>
        </w:rPr>
      </w:pPr>
    </w:p>
    <w:p w14:paraId="087C9B3F" w14:textId="110C0382" w:rsidR="00482A5F" w:rsidRPr="004068F6" w:rsidRDefault="00EE7571" w:rsidP="00482A5F">
      <w:pPr>
        <w:numPr>
          <w:ilvl w:val="12"/>
          <w:numId w:val="0"/>
        </w:numPr>
        <w:tabs>
          <w:tab w:val="left" w:pos="-2268"/>
        </w:tabs>
        <w:suppressAutoHyphens/>
        <w:rPr>
          <w:rFonts w:cs="Arial"/>
          <w:spacing w:val="-3"/>
        </w:rPr>
      </w:pPr>
      <w:r w:rsidRPr="004068F6">
        <w:rPr>
          <w:rFonts w:cs="Arial"/>
          <w:spacing w:val="-3"/>
        </w:rPr>
        <w:t xml:space="preserve">La </w:t>
      </w:r>
      <w:r w:rsidR="00482A5F" w:rsidRPr="004068F6">
        <w:rPr>
          <w:rFonts w:cs="Arial"/>
          <w:spacing w:val="-3"/>
        </w:rPr>
        <w:t xml:space="preserve">información de caracterización socioeconómica de </w:t>
      </w:r>
      <w:r w:rsidR="00482A5F" w:rsidRPr="004068F6">
        <w:rPr>
          <w:spacing w:val="-3"/>
        </w:rPr>
        <w:t xml:space="preserve">las </w:t>
      </w:r>
      <w:r w:rsidR="006D75A2" w:rsidRPr="004068F6">
        <w:rPr>
          <w:spacing w:val="-3"/>
        </w:rPr>
        <w:t>unidades de análisis territorial</w:t>
      </w:r>
      <w:r w:rsidR="00482A5F" w:rsidRPr="004068F6">
        <w:rPr>
          <w:rFonts w:cs="Arial"/>
          <w:spacing w:val="-3"/>
        </w:rPr>
        <w:t xml:space="preserve"> </w:t>
      </w:r>
      <w:r w:rsidRPr="004068F6">
        <w:rPr>
          <w:rFonts w:cs="Arial"/>
          <w:spacing w:val="-3"/>
        </w:rPr>
        <w:t xml:space="preserve">debe efectuarse </w:t>
      </w:r>
      <w:r w:rsidR="00482A5F" w:rsidRPr="004068F6">
        <w:rPr>
          <w:rFonts w:cs="Arial"/>
          <w:spacing w:val="-3"/>
        </w:rPr>
        <w:t xml:space="preserve">primordialmente </w:t>
      </w:r>
      <w:r w:rsidRPr="004068F6">
        <w:rPr>
          <w:spacing w:val="-3"/>
        </w:rPr>
        <w:t xml:space="preserve">mediante el levantamiento de </w:t>
      </w:r>
      <w:r w:rsidR="00482A5F" w:rsidRPr="004068F6">
        <w:rPr>
          <w:rFonts w:cs="Arial"/>
          <w:spacing w:val="-3"/>
        </w:rPr>
        <w:t>información primaria (</w:t>
      </w:r>
      <w:r w:rsidR="00041844" w:rsidRPr="004068F6">
        <w:rPr>
          <w:rFonts w:cs="Arial"/>
          <w:spacing w:val="-3"/>
        </w:rPr>
        <w:t>p. ej.</w:t>
      </w:r>
      <w:r w:rsidRPr="004068F6">
        <w:rPr>
          <w:rFonts w:cs="Arial"/>
          <w:spacing w:val="-3"/>
        </w:rPr>
        <w:t xml:space="preserve"> </w:t>
      </w:r>
      <w:r w:rsidR="00482A5F" w:rsidRPr="004068F6">
        <w:rPr>
          <w:rFonts w:cs="Arial"/>
          <w:spacing w:val="-3"/>
        </w:rPr>
        <w:t>fichas verdales, cartografía social</w:t>
      </w:r>
      <w:r w:rsidR="00AE171D" w:rsidRPr="004068F6">
        <w:rPr>
          <w:rFonts w:cs="Arial"/>
          <w:spacing w:val="-3"/>
        </w:rPr>
        <w:t>, encuestas</w:t>
      </w:r>
      <w:r w:rsidR="00482A5F" w:rsidRPr="004068F6">
        <w:rPr>
          <w:rFonts w:cs="Arial"/>
          <w:spacing w:val="-3"/>
        </w:rPr>
        <w:t xml:space="preserve">) que </w:t>
      </w:r>
      <w:r w:rsidRPr="004068F6">
        <w:rPr>
          <w:rFonts w:cs="Arial"/>
          <w:spacing w:val="-3"/>
        </w:rPr>
        <w:t xml:space="preserve">pueda </w:t>
      </w:r>
      <w:r w:rsidR="00482A5F" w:rsidRPr="004068F6">
        <w:rPr>
          <w:rFonts w:cs="Arial"/>
          <w:spacing w:val="-3"/>
        </w:rPr>
        <w:t xml:space="preserve">ser contrastada o analizada con información secundaria. </w:t>
      </w:r>
    </w:p>
    <w:p w14:paraId="2F5C705E" w14:textId="77777777" w:rsidR="00482A5F" w:rsidRPr="004068F6" w:rsidRDefault="00482A5F">
      <w:pPr>
        <w:numPr>
          <w:ilvl w:val="12"/>
          <w:numId w:val="0"/>
        </w:numPr>
        <w:tabs>
          <w:tab w:val="left" w:pos="-2268"/>
        </w:tabs>
        <w:suppressAutoHyphens/>
        <w:rPr>
          <w:spacing w:val="-3"/>
        </w:rPr>
      </w:pPr>
    </w:p>
    <w:p w14:paraId="084F8DA2" w14:textId="77777777" w:rsidR="00482A5F" w:rsidRPr="004068F6" w:rsidRDefault="00482A5F">
      <w:pPr>
        <w:numPr>
          <w:ilvl w:val="12"/>
          <w:numId w:val="0"/>
        </w:numPr>
        <w:tabs>
          <w:tab w:val="left" w:pos="-2268"/>
        </w:tabs>
        <w:suppressAutoHyphens/>
        <w:rPr>
          <w:spacing w:val="-3"/>
        </w:rPr>
      </w:pPr>
      <w:r w:rsidRPr="004068F6">
        <w:rPr>
          <w:spacing w:val="-3"/>
        </w:rPr>
        <w:t>Los métodos, herramientas y técnicas de recopilación de información deben estar debidamente referenciados y soportados dentro del EIA.</w:t>
      </w:r>
    </w:p>
    <w:p w14:paraId="6EF93E44" w14:textId="77777777" w:rsidR="00482A5F" w:rsidRPr="004068F6" w:rsidRDefault="00482A5F">
      <w:pPr>
        <w:numPr>
          <w:ilvl w:val="12"/>
          <w:numId w:val="0"/>
        </w:numPr>
        <w:tabs>
          <w:tab w:val="left" w:pos="-2268"/>
        </w:tabs>
        <w:suppressAutoHyphens/>
        <w:rPr>
          <w:spacing w:val="-3"/>
        </w:rPr>
      </w:pPr>
    </w:p>
    <w:p w14:paraId="6AD69C4E" w14:textId="127F1458" w:rsidR="00482A5F" w:rsidRPr="004068F6" w:rsidRDefault="00EE7571" w:rsidP="00482A5F">
      <w:pPr>
        <w:numPr>
          <w:ilvl w:val="12"/>
          <w:numId w:val="0"/>
        </w:numPr>
        <w:tabs>
          <w:tab w:val="left" w:pos="-2268"/>
        </w:tabs>
        <w:suppressAutoHyphens/>
        <w:rPr>
          <w:rFonts w:cs="Arial"/>
          <w:spacing w:val="-3"/>
        </w:rPr>
      </w:pPr>
      <w:r w:rsidRPr="004068F6">
        <w:rPr>
          <w:spacing w:val="-3"/>
        </w:rPr>
        <w:t xml:space="preserve">Las fuentes de información secundaria a emplear deben estar debidamente acreditadas, proceder de instituciones gubernamentales o de otras instituciones de reconocida idoneidad, al igual que de información </w:t>
      </w:r>
      <w:r w:rsidRPr="004068F6">
        <w:rPr>
          <w:rFonts w:cs="Arial"/>
          <w:spacing w:val="-3"/>
        </w:rPr>
        <w:t xml:space="preserve">vigente </w:t>
      </w:r>
      <w:r w:rsidRPr="004068F6">
        <w:rPr>
          <w:spacing w:val="-3"/>
        </w:rPr>
        <w:t xml:space="preserve">consignada en estudios </w:t>
      </w:r>
      <w:r w:rsidRPr="004068F6">
        <w:rPr>
          <w:spacing w:val="-3"/>
        </w:rPr>
        <w:lastRenderedPageBreak/>
        <w:t>regionales y locales recientes</w:t>
      </w:r>
      <w:r w:rsidRPr="004068F6" w:rsidDel="00E21473">
        <w:rPr>
          <w:rFonts w:cs="Arial"/>
          <w:spacing w:val="-3"/>
        </w:rPr>
        <w:t xml:space="preserve"> </w:t>
      </w:r>
      <w:r w:rsidR="00482A5F" w:rsidRPr="004068F6">
        <w:rPr>
          <w:rFonts w:cs="Arial"/>
          <w:spacing w:val="-3"/>
        </w:rPr>
        <w:t>(</w:t>
      </w:r>
      <w:r w:rsidRPr="004068F6">
        <w:rPr>
          <w:rFonts w:cs="Arial"/>
          <w:spacing w:val="-3"/>
        </w:rPr>
        <w:t xml:space="preserve">cuya antigüedad sea </w:t>
      </w:r>
      <w:r w:rsidR="00482A5F" w:rsidRPr="004068F6">
        <w:rPr>
          <w:rFonts w:cs="Arial"/>
          <w:spacing w:val="-3"/>
        </w:rPr>
        <w:t>menor a 10 años o que se trate de la última información oficial publicada)</w:t>
      </w:r>
      <w:r w:rsidRPr="004068F6">
        <w:rPr>
          <w:rFonts w:cs="Arial"/>
          <w:spacing w:val="-3"/>
        </w:rPr>
        <w:t>;</w:t>
      </w:r>
      <w:r w:rsidR="0072054C" w:rsidRPr="004068F6">
        <w:rPr>
          <w:rFonts w:cs="Arial"/>
          <w:spacing w:val="-3"/>
        </w:rPr>
        <w:t xml:space="preserve"> </w:t>
      </w:r>
      <w:r w:rsidRPr="004068F6">
        <w:rPr>
          <w:spacing w:val="-3"/>
        </w:rPr>
        <w:t>la información secundaria existente puede emplearse en la medida en que sus datos revistan confiabilidad y pertinencia, y sus fuentes sean plenamente identificadas</w:t>
      </w:r>
      <w:r w:rsidR="00482A5F" w:rsidRPr="004068F6">
        <w:rPr>
          <w:rFonts w:cs="Arial"/>
          <w:spacing w:val="-3"/>
        </w:rPr>
        <w:t>.</w:t>
      </w:r>
      <w:r w:rsidRPr="004068F6">
        <w:rPr>
          <w:rFonts w:cs="Arial"/>
          <w:spacing w:val="-3"/>
        </w:rPr>
        <w:t xml:space="preserve"> </w:t>
      </w:r>
      <w:r w:rsidRPr="004068F6">
        <w:rPr>
          <w:spacing w:val="-3"/>
        </w:rPr>
        <w:t>Toda la información secundaria que se utilice debe ser citada apropiadamente en el estudio ambiental</w:t>
      </w:r>
    </w:p>
    <w:p w14:paraId="1C7A8D2F" w14:textId="77777777" w:rsidR="00EE7571" w:rsidRPr="004068F6" w:rsidRDefault="00EE7571" w:rsidP="00482A5F">
      <w:pPr>
        <w:numPr>
          <w:ilvl w:val="12"/>
          <w:numId w:val="0"/>
        </w:numPr>
        <w:tabs>
          <w:tab w:val="left" w:pos="-2268"/>
        </w:tabs>
        <w:suppressAutoHyphens/>
        <w:rPr>
          <w:rFonts w:cs="Arial"/>
          <w:spacing w:val="-3"/>
        </w:rPr>
      </w:pPr>
    </w:p>
    <w:p w14:paraId="50E699EB" w14:textId="764FF2A6" w:rsidR="00482A5F" w:rsidRPr="004068F6" w:rsidRDefault="00482A5F" w:rsidP="00482A5F">
      <w:pPr>
        <w:numPr>
          <w:ilvl w:val="12"/>
          <w:numId w:val="0"/>
        </w:numPr>
        <w:tabs>
          <w:tab w:val="left" w:pos="-2268"/>
        </w:tabs>
        <w:suppressAutoHyphens/>
        <w:rPr>
          <w:rFonts w:cs="Arial"/>
          <w:spacing w:val="-3"/>
        </w:rPr>
      </w:pPr>
      <w:r w:rsidRPr="004068F6">
        <w:rPr>
          <w:rFonts w:cs="Arial"/>
          <w:spacing w:val="-3"/>
        </w:rPr>
        <w:t xml:space="preserve">La información debe permitir conocer las principales características socioeconómicas de la población </w:t>
      </w:r>
      <w:r w:rsidR="00212B29" w:rsidRPr="004068F6">
        <w:rPr>
          <w:rFonts w:cs="Arial"/>
          <w:spacing w:val="-3"/>
        </w:rPr>
        <w:t>que pueden ser alterad</w:t>
      </w:r>
      <w:r w:rsidR="00985428" w:rsidRPr="004068F6">
        <w:rPr>
          <w:rFonts w:cs="Arial"/>
          <w:spacing w:val="-3"/>
        </w:rPr>
        <w:t>a</w:t>
      </w:r>
      <w:r w:rsidR="00212B29" w:rsidRPr="004068F6">
        <w:rPr>
          <w:rFonts w:cs="Arial"/>
          <w:spacing w:val="-3"/>
        </w:rPr>
        <w:t xml:space="preserve">s por la ejecución de </w:t>
      </w:r>
      <w:r w:rsidRPr="004068F6">
        <w:rPr>
          <w:rFonts w:cs="Arial"/>
          <w:spacing w:val="-3"/>
        </w:rPr>
        <w:t xml:space="preserve">las actividades propias del proyecto, </w:t>
      </w:r>
      <w:r w:rsidR="00212B29" w:rsidRPr="004068F6">
        <w:rPr>
          <w:rFonts w:cs="Arial"/>
          <w:spacing w:val="-3"/>
        </w:rPr>
        <w:t xml:space="preserve">obra o actividad, lo cual incluye también </w:t>
      </w:r>
      <w:r w:rsidRPr="004068F6">
        <w:rPr>
          <w:rFonts w:cs="Arial"/>
          <w:spacing w:val="-3"/>
        </w:rPr>
        <w:t>el uso y aprovechamiento de recursos naturales.</w:t>
      </w:r>
      <w:r w:rsidR="00A33D6C" w:rsidRPr="004068F6">
        <w:rPr>
          <w:rFonts w:cs="Arial"/>
          <w:spacing w:val="-3"/>
        </w:rPr>
        <w:t xml:space="preserve"> </w:t>
      </w:r>
      <w:r w:rsidR="00EB523D" w:rsidRPr="004068F6">
        <w:rPr>
          <w:rFonts w:cs="Arial"/>
          <w:spacing w:val="-3"/>
        </w:rPr>
        <w:t xml:space="preserve">La información debe obtenerse aplicando </w:t>
      </w:r>
      <w:r w:rsidR="005B16C1" w:rsidRPr="004068F6">
        <w:rPr>
          <w:rFonts w:cs="Arial"/>
          <w:spacing w:val="-3"/>
        </w:rPr>
        <w:t>enfoques diferenciales</w:t>
      </w:r>
      <w:r w:rsidR="006E2E71" w:rsidRPr="004068F6">
        <w:rPr>
          <w:rFonts w:cs="Arial"/>
          <w:spacing w:val="-3"/>
        </w:rPr>
        <w:t xml:space="preserve"> </w:t>
      </w:r>
      <w:r w:rsidR="003657DE" w:rsidRPr="003657DE">
        <w:rPr>
          <w:rFonts w:cs="Arial"/>
          <w:spacing w:val="-3"/>
        </w:rPr>
        <w:t xml:space="preserve">y de derechos humanos </w:t>
      </w:r>
      <w:r w:rsidR="00EB523D" w:rsidRPr="004068F6">
        <w:rPr>
          <w:rFonts w:cs="Arial"/>
          <w:spacing w:val="-3"/>
        </w:rPr>
        <w:t xml:space="preserve">que </w:t>
      </w:r>
      <w:r w:rsidR="00402C6E" w:rsidRPr="004068F6">
        <w:rPr>
          <w:rFonts w:cs="Arial"/>
          <w:spacing w:val="-3"/>
        </w:rPr>
        <w:t>permita</w:t>
      </w:r>
      <w:r w:rsidR="006E2E71" w:rsidRPr="004068F6">
        <w:rPr>
          <w:rFonts w:cs="Arial"/>
          <w:spacing w:val="-3"/>
        </w:rPr>
        <w:t>n</w:t>
      </w:r>
      <w:r w:rsidR="00402C6E" w:rsidRPr="004068F6">
        <w:rPr>
          <w:rFonts w:cs="Arial"/>
          <w:spacing w:val="-3"/>
        </w:rPr>
        <w:t xml:space="preserve"> conocer </w:t>
      </w:r>
      <w:r w:rsidR="00EB523D" w:rsidRPr="004068F6">
        <w:rPr>
          <w:rFonts w:cs="Arial"/>
          <w:spacing w:val="-3"/>
        </w:rPr>
        <w:t xml:space="preserve">las características de grupos </w:t>
      </w:r>
      <w:r w:rsidR="00402C6E" w:rsidRPr="004068F6">
        <w:rPr>
          <w:rFonts w:cs="Arial"/>
          <w:spacing w:val="-3"/>
        </w:rPr>
        <w:t xml:space="preserve">de interés como </w:t>
      </w:r>
      <w:r w:rsidR="00EB523D" w:rsidRPr="004068F6">
        <w:rPr>
          <w:rFonts w:cs="Arial"/>
          <w:spacing w:val="-3"/>
        </w:rPr>
        <w:t>mujeres, jóvenes, comunidades indígenas, comunidades negras</w:t>
      </w:r>
      <w:r w:rsidR="003172B6" w:rsidRPr="004068F6">
        <w:rPr>
          <w:rFonts w:cs="Arial"/>
          <w:spacing w:val="-3"/>
        </w:rPr>
        <w:t xml:space="preserve"> y otros sujetos de especial protección constitucional</w:t>
      </w:r>
      <w:r w:rsidR="00EB523D" w:rsidRPr="004068F6">
        <w:rPr>
          <w:rFonts w:cs="Arial"/>
          <w:spacing w:val="-3"/>
        </w:rPr>
        <w:t xml:space="preserve">, </w:t>
      </w:r>
      <w:r w:rsidR="00402C6E" w:rsidRPr="004068F6">
        <w:rPr>
          <w:rFonts w:cs="Arial"/>
          <w:spacing w:val="-3"/>
        </w:rPr>
        <w:t xml:space="preserve">así como evidenciar diferencias entre </w:t>
      </w:r>
      <w:r w:rsidR="001003D0" w:rsidRPr="004068F6">
        <w:rPr>
          <w:rFonts w:cs="Arial"/>
          <w:spacing w:val="-3"/>
        </w:rPr>
        <w:t xml:space="preserve">los </w:t>
      </w:r>
      <w:r w:rsidR="00402C6E" w:rsidRPr="004068F6">
        <w:rPr>
          <w:rFonts w:cs="Arial"/>
          <w:spacing w:val="-3"/>
        </w:rPr>
        <w:t xml:space="preserve">entornos (p. ej. </w:t>
      </w:r>
      <w:r w:rsidR="00EB523D" w:rsidRPr="004068F6">
        <w:rPr>
          <w:rFonts w:cs="Arial"/>
          <w:spacing w:val="-3"/>
        </w:rPr>
        <w:t>brecha urbano – rural</w:t>
      </w:r>
      <w:r w:rsidR="00402C6E" w:rsidRPr="004068F6">
        <w:rPr>
          <w:rFonts w:cs="Arial"/>
          <w:spacing w:val="-3"/>
        </w:rPr>
        <w:t>).</w:t>
      </w:r>
    </w:p>
    <w:p w14:paraId="25F57EDB" w14:textId="77777777" w:rsidR="00C453B7" w:rsidRDefault="00C453B7" w:rsidP="00C453B7">
      <w:pPr>
        <w:numPr>
          <w:ilvl w:val="12"/>
          <w:numId w:val="0"/>
        </w:numPr>
        <w:tabs>
          <w:tab w:val="left" w:pos="-2268"/>
        </w:tabs>
        <w:suppressAutoHyphens/>
        <w:rPr>
          <w:spacing w:val="-3"/>
        </w:rPr>
      </w:pPr>
    </w:p>
    <w:p w14:paraId="5915BDC9" w14:textId="7D1DE994" w:rsidR="00E23C4E" w:rsidRPr="004068F6" w:rsidRDefault="007238E2" w:rsidP="00E23C4E">
      <w:pPr>
        <w:numPr>
          <w:ilvl w:val="12"/>
          <w:numId w:val="0"/>
        </w:numPr>
        <w:tabs>
          <w:tab w:val="left" w:pos="-2268"/>
        </w:tabs>
        <w:suppressAutoHyphens/>
        <w:rPr>
          <w:rFonts w:cs="Arial"/>
          <w:spacing w:val="-3"/>
        </w:rPr>
      </w:pPr>
      <w:r>
        <w:rPr>
          <w:spacing w:val="-3"/>
        </w:rPr>
        <w:t>S</w:t>
      </w:r>
      <w:r w:rsidR="00AD540C" w:rsidRPr="00AD540C">
        <w:rPr>
          <w:spacing w:val="-3"/>
        </w:rPr>
        <w:t xml:space="preserve">e </w:t>
      </w:r>
      <w:r>
        <w:rPr>
          <w:spacing w:val="-3"/>
        </w:rPr>
        <w:t xml:space="preserve">debe </w:t>
      </w:r>
      <w:r w:rsidR="00AD540C" w:rsidRPr="00AD540C">
        <w:rPr>
          <w:spacing w:val="-3"/>
        </w:rPr>
        <w:t>consult</w:t>
      </w:r>
      <w:r>
        <w:rPr>
          <w:spacing w:val="-3"/>
        </w:rPr>
        <w:t>ar</w:t>
      </w:r>
      <w:r w:rsidR="00AD540C" w:rsidRPr="00AD540C">
        <w:rPr>
          <w:spacing w:val="-3"/>
        </w:rPr>
        <w:t xml:space="preserve"> a la </w:t>
      </w:r>
      <w:r w:rsidR="00263B8D" w:rsidRPr="00263B8D">
        <w:rPr>
          <w:spacing w:val="-3"/>
        </w:rPr>
        <w:t xml:space="preserve">Unidad para la Atención y Reparación Integral a las Víctimas </w:t>
      </w:r>
      <w:r w:rsidR="00640C9A">
        <w:rPr>
          <w:spacing w:val="-3"/>
        </w:rPr>
        <w:t xml:space="preserve">(Unidad para las víctimas) </w:t>
      </w:r>
      <w:r w:rsidR="00AD540C" w:rsidRPr="00AD540C">
        <w:rPr>
          <w:spacing w:val="-3"/>
        </w:rPr>
        <w:t xml:space="preserve">si en el área de influencia existen sujetos de reparación colectiva, si están reconocidos, cuáles son sus mecanismos de organización y en qué fase de la ruta de reparación colectiva se encuentra el grupo. </w:t>
      </w:r>
      <w:r w:rsidR="000501D6">
        <w:rPr>
          <w:spacing w:val="-3"/>
        </w:rPr>
        <w:t xml:space="preserve">La caracterización y </w:t>
      </w:r>
      <w:r w:rsidR="00BF555D" w:rsidRPr="00AD540C">
        <w:rPr>
          <w:spacing w:val="-3"/>
        </w:rPr>
        <w:t>obten</w:t>
      </w:r>
      <w:r w:rsidR="000501D6">
        <w:rPr>
          <w:spacing w:val="-3"/>
        </w:rPr>
        <w:t xml:space="preserve">ción de </w:t>
      </w:r>
      <w:r w:rsidR="00BF555D" w:rsidRPr="00AD540C">
        <w:rPr>
          <w:spacing w:val="-3"/>
        </w:rPr>
        <w:t xml:space="preserve">información </w:t>
      </w:r>
      <w:r w:rsidR="000322A1">
        <w:rPr>
          <w:spacing w:val="-3"/>
        </w:rPr>
        <w:t xml:space="preserve">debe realizarse a través de la </w:t>
      </w:r>
      <w:r w:rsidR="00BE3A12">
        <w:rPr>
          <w:spacing w:val="-3"/>
        </w:rPr>
        <w:t xml:space="preserve">Unidad para las víctimas </w:t>
      </w:r>
      <w:r w:rsidR="001C3EFE">
        <w:rPr>
          <w:spacing w:val="-3"/>
        </w:rPr>
        <w:t>siguiendo sus directrices</w:t>
      </w:r>
      <w:r w:rsidR="00BF555D" w:rsidRPr="00AD540C">
        <w:rPr>
          <w:spacing w:val="-3"/>
        </w:rPr>
        <w:t>.</w:t>
      </w:r>
      <w:r w:rsidR="00DB753D">
        <w:rPr>
          <w:spacing w:val="-3"/>
        </w:rPr>
        <w:t xml:space="preserve"> </w:t>
      </w:r>
      <w:r w:rsidR="00E23C4E" w:rsidRPr="00065BF7">
        <w:rPr>
          <w:rFonts w:cs="Arial"/>
          <w:spacing w:val="-3"/>
        </w:rPr>
        <w:t xml:space="preserve">Con el propósito de </w:t>
      </w:r>
      <w:r w:rsidR="00CD13F2">
        <w:rPr>
          <w:rFonts w:cs="Arial"/>
          <w:spacing w:val="-3"/>
        </w:rPr>
        <w:t>prevenir</w:t>
      </w:r>
      <w:r w:rsidR="00E23C4E" w:rsidRPr="00065BF7">
        <w:rPr>
          <w:rFonts w:cs="Arial"/>
          <w:spacing w:val="-3"/>
        </w:rPr>
        <w:t xml:space="preserve"> riesgos a las personas</w:t>
      </w:r>
      <w:r w:rsidR="00E23C4E">
        <w:rPr>
          <w:rFonts w:cs="Arial"/>
          <w:spacing w:val="-3"/>
        </w:rPr>
        <w:t xml:space="preserve">, la caracterización del medio socioeconómico </w:t>
      </w:r>
      <w:r w:rsidR="00E23C4E" w:rsidRPr="00065BF7">
        <w:rPr>
          <w:rFonts w:cs="Arial"/>
          <w:spacing w:val="-3"/>
        </w:rPr>
        <w:t xml:space="preserve">debe abordarse y enfocarse en </w:t>
      </w:r>
      <w:r w:rsidR="00E23C4E">
        <w:rPr>
          <w:rFonts w:cs="Arial"/>
          <w:spacing w:val="-3"/>
        </w:rPr>
        <w:t xml:space="preserve">los </w:t>
      </w:r>
      <w:r w:rsidR="00E23C4E" w:rsidRPr="00065BF7">
        <w:rPr>
          <w:rFonts w:cs="Arial"/>
          <w:spacing w:val="-3"/>
        </w:rPr>
        <w:t xml:space="preserve">grupos </w:t>
      </w:r>
      <w:r w:rsidR="00E23C4E">
        <w:rPr>
          <w:rFonts w:cs="Arial"/>
          <w:spacing w:val="-3"/>
        </w:rPr>
        <w:t>de interés identificados procurando no exacerbar los riesgos preexistentes.</w:t>
      </w:r>
    </w:p>
    <w:p w14:paraId="2718EF58" w14:textId="77777777" w:rsidR="00E23C4E" w:rsidRPr="004068F6" w:rsidRDefault="00E23C4E" w:rsidP="00C453B7">
      <w:pPr>
        <w:numPr>
          <w:ilvl w:val="12"/>
          <w:numId w:val="0"/>
        </w:numPr>
        <w:tabs>
          <w:tab w:val="left" w:pos="-2268"/>
        </w:tabs>
        <w:suppressAutoHyphens/>
        <w:rPr>
          <w:spacing w:val="-3"/>
        </w:rPr>
      </w:pPr>
    </w:p>
    <w:p w14:paraId="5610634F" w14:textId="568D06C9" w:rsidR="00C453B7" w:rsidRPr="004068F6" w:rsidRDefault="0025479B" w:rsidP="00C453B7">
      <w:pPr>
        <w:numPr>
          <w:ilvl w:val="12"/>
          <w:numId w:val="0"/>
        </w:numPr>
        <w:tabs>
          <w:tab w:val="left" w:pos="-2268"/>
        </w:tabs>
        <w:suppressAutoHyphens/>
        <w:rPr>
          <w:spacing w:val="-3"/>
        </w:rPr>
      </w:pPr>
      <w:r>
        <w:rPr>
          <w:spacing w:val="-3"/>
        </w:rPr>
        <w:t>Para los proyectos, obras o actividades de infraestructura de transporte, s</w:t>
      </w:r>
      <w:r w:rsidR="00C453B7" w:rsidRPr="004068F6">
        <w:rPr>
          <w:spacing w:val="-3"/>
        </w:rPr>
        <w:t xml:space="preserve">e debe indicar si existen </w:t>
      </w:r>
      <w:r w:rsidR="0084339E">
        <w:rPr>
          <w:spacing w:val="-3"/>
        </w:rPr>
        <w:t>áreas</w:t>
      </w:r>
      <w:r w:rsidR="00C453B7" w:rsidRPr="004068F6">
        <w:rPr>
          <w:spacing w:val="-3"/>
        </w:rPr>
        <w:t xml:space="preserve"> de interés </w:t>
      </w:r>
      <w:r w:rsidR="00386541" w:rsidRPr="004068F6">
        <w:rPr>
          <w:spacing w:val="-3"/>
        </w:rPr>
        <w:t>f</w:t>
      </w:r>
      <w:r w:rsidR="00C453B7" w:rsidRPr="004068F6">
        <w:rPr>
          <w:spacing w:val="-3"/>
        </w:rPr>
        <w:t xml:space="preserve">orense, para lo cual es necesario hacer la respectiva consulta a la Unidad de Búsqueda de Personas dadas por Desaparecidas (UBPD) y </w:t>
      </w:r>
      <w:r w:rsidR="00ED50B5">
        <w:rPr>
          <w:spacing w:val="-3"/>
        </w:rPr>
        <w:t xml:space="preserve">a </w:t>
      </w:r>
      <w:r w:rsidR="00C453B7" w:rsidRPr="004068F6">
        <w:rPr>
          <w:spacing w:val="-3"/>
        </w:rPr>
        <w:t xml:space="preserve">la Fiscalía </w:t>
      </w:r>
      <w:r w:rsidR="006218B2" w:rsidRPr="004068F6">
        <w:rPr>
          <w:spacing w:val="-3"/>
        </w:rPr>
        <w:t xml:space="preserve">General </w:t>
      </w:r>
      <w:r w:rsidR="00C453B7" w:rsidRPr="004068F6">
        <w:rPr>
          <w:spacing w:val="-3"/>
        </w:rPr>
        <w:t>de la Nación</w:t>
      </w:r>
      <w:r w:rsidR="00C453B7" w:rsidRPr="00127BD4">
        <w:rPr>
          <w:spacing w:val="-3"/>
          <w:vertAlign w:val="superscript"/>
        </w:rPr>
        <w:footnoteReference w:id="169"/>
      </w:r>
      <w:r w:rsidR="00C453B7" w:rsidRPr="004068F6">
        <w:rPr>
          <w:spacing w:val="-3"/>
        </w:rPr>
        <w:t>.</w:t>
      </w:r>
    </w:p>
    <w:p w14:paraId="4019C166" w14:textId="77777777" w:rsidR="00C453B7" w:rsidRPr="004068F6" w:rsidRDefault="00C453B7">
      <w:pPr>
        <w:numPr>
          <w:ilvl w:val="12"/>
          <w:numId w:val="0"/>
        </w:numPr>
        <w:tabs>
          <w:tab w:val="left" w:pos="-2268"/>
        </w:tabs>
        <w:suppressAutoHyphens/>
        <w:rPr>
          <w:spacing w:val="-3"/>
        </w:rPr>
      </w:pPr>
    </w:p>
    <w:p w14:paraId="0B72BC01" w14:textId="77777777" w:rsidR="00482A5F" w:rsidRPr="004068F6" w:rsidRDefault="00482A5F">
      <w:pPr>
        <w:numPr>
          <w:ilvl w:val="12"/>
          <w:numId w:val="0"/>
        </w:numPr>
        <w:tabs>
          <w:tab w:val="left" w:pos="-2268"/>
        </w:tabs>
        <w:suppressAutoHyphens/>
        <w:rPr>
          <w:spacing w:val="-3"/>
        </w:rPr>
      </w:pPr>
      <w:r w:rsidRPr="004068F6">
        <w:rPr>
          <w:spacing w:val="-3"/>
        </w:rPr>
        <w:t>La caracterización del medio socioeconómico debe referirse a los siguientes componentes:</w:t>
      </w:r>
    </w:p>
    <w:p w14:paraId="25ECAD69" w14:textId="77777777" w:rsidR="00163A42" w:rsidRPr="004068F6" w:rsidRDefault="00163A42" w:rsidP="00482A5F">
      <w:pPr>
        <w:numPr>
          <w:ilvl w:val="12"/>
          <w:numId w:val="0"/>
        </w:numPr>
        <w:tabs>
          <w:tab w:val="left" w:pos="-2268"/>
        </w:tabs>
        <w:suppressAutoHyphens/>
        <w:rPr>
          <w:rFonts w:cs="Arial"/>
          <w:spacing w:val="-3"/>
        </w:rPr>
      </w:pPr>
    </w:p>
    <w:p w14:paraId="4EC9C570" w14:textId="0CB3B8DA" w:rsidR="00482A5F" w:rsidRPr="004068F6" w:rsidRDefault="00B561ED" w:rsidP="002F5664">
      <w:pPr>
        <w:pStyle w:val="Ttulo4"/>
        <w:tabs>
          <w:tab w:val="clear" w:pos="1844"/>
          <w:tab w:val="num" w:pos="1134"/>
        </w:tabs>
        <w:ind w:left="0"/>
        <w:rPr>
          <w:lang w:val="es-CO"/>
        </w:rPr>
      </w:pPr>
      <w:r w:rsidRPr="004068F6">
        <w:rPr>
          <w:lang w:val="es-CO"/>
        </w:rPr>
        <w:t>D</w:t>
      </w:r>
      <w:r w:rsidR="00482A5F" w:rsidRPr="004068F6">
        <w:rPr>
          <w:lang w:val="es-CO"/>
        </w:rPr>
        <w:t>emográfico</w:t>
      </w:r>
    </w:p>
    <w:p w14:paraId="696BE938" w14:textId="77777777" w:rsidR="00BA2CD8" w:rsidRPr="004068F6" w:rsidRDefault="00BA2CD8" w:rsidP="00482A5F">
      <w:pPr>
        <w:numPr>
          <w:ilvl w:val="12"/>
          <w:numId w:val="0"/>
        </w:numPr>
        <w:tabs>
          <w:tab w:val="left" w:pos="-2268"/>
        </w:tabs>
        <w:suppressAutoHyphens/>
        <w:rPr>
          <w:rFonts w:cs="Arial"/>
          <w:spacing w:val="-3"/>
        </w:rPr>
      </w:pPr>
    </w:p>
    <w:p w14:paraId="2A51A242" w14:textId="7B4A2B80" w:rsidR="00482A5F" w:rsidRPr="004068F6" w:rsidRDefault="00482A5F">
      <w:pPr>
        <w:numPr>
          <w:ilvl w:val="12"/>
          <w:numId w:val="0"/>
        </w:numPr>
        <w:tabs>
          <w:tab w:val="left" w:pos="-2268"/>
        </w:tabs>
        <w:suppressAutoHyphens/>
        <w:rPr>
          <w:spacing w:val="-3"/>
        </w:rPr>
      </w:pPr>
      <w:r w:rsidRPr="004068F6">
        <w:rPr>
          <w:rFonts w:cs="Arial"/>
          <w:spacing w:val="-3"/>
        </w:rPr>
        <w:t xml:space="preserve">Para las </w:t>
      </w:r>
      <w:r w:rsidR="006D75A2" w:rsidRPr="004068F6">
        <w:rPr>
          <w:rFonts w:cs="Arial"/>
          <w:spacing w:val="-3"/>
        </w:rPr>
        <w:t>unidades de análisis territorial</w:t>
      </w:r>
      <w:r w:rsidRPr="004068F6">
        <w:rPr>
          <w:rFonts w:cs="Arial"/>
          <w:spacing w:val="-3"/>
        </w:rPr>
        <w:t xml:space="preserve"> </w:t>
      </w:r>
      <w:r w:rsidRPr="004068F6">
        <w:rPr>
          <w:spacing w:val="-3"/>
        </w:rPr>
        <w:t xml:space="preserve">se deben </w:t>
      </w:r>
      <w:r w:rsidR="00212B29" w:rsidRPr="004068F6">
        <w:rPr>
          <w:spacing w:val="-3"/>
        </w:rPr>
        <w:t xml:space="preserve">describir </w:t>
      </w:r>
      <w:r w:rsidR="00D534E3" w:rsidRPr="004068F6">
        <w:rPr>
          <w:spacing w:val="-3"/>
        </w:rPr>
        <w:t>las</w:t>
      </w:r>
      <w:r w:rsidRPr="004068F6">
        <w:rPr>
          <w:spacing w:val="-3"/>
        </w:rPr>
        <w:t xml:space="preserve"> siguientes condiciones </w:t>
      </w:r>
      <w:r w:rsidRPr="004068F6">
        <w:rPr>
          <w:rFonts w:cs="Arial"/>
          <w:spacing w:val="-3"/>
        </w:rPr>
        <w:t>demográficas</w:t>
      </w:r>
      <w:r w:rsidR="00805DBC" w:rsidRPr="004068F6">
        <w:rPr>
          <w:rFonts w:cs="Arial"/>
          <w:spacing w:val="-3"/>
        </w:rPr>
        <w:t>:</w:t>
      </w:r>
    </w:p>
    <w:p w14:paraId="18CA841D" w14:textId="77777777" w:rsidR="00482A5F" w:rsidRPr="004068F6" w:rsidRDefault="00482A5F">
      <w:pPr>
        <w:numPr>
          <w:ilvl w:val="12"/>
          <w:numId w:val="0"/>
        </w:numPr>
        <w:tabs>
          <w:tab w:val="left" w:pos="-2268"/>
        </w:tabs>
        <w:suppressAutoHyphens/>
        <w:rPr>
          <w:spacing w:val="-3"/>
        </w:rPr>
      </w:pPr>
    </w:p>
    <w:p w14:paraId="2C3B009D" w14:textId="60EF20D4" w:rsidR="00482A5F" w:rsidRPr="004068F6" w:rsidRDefault="00482A5F" w:rsidP="00C86DA5">
      <w:pPr>
        <w:numPr>
          <w:ilvl w:val="0"/>
          <w:numId w:val="385"/>
        </w:numPr>
        <w:tabs>
          <w:tab w:val="left" w:pos="-2268"/>
        </w:tabs>
        <w:suppressAutoHyphens/>
        <w:ind w:left="567" w:hanging="567"/>
        <w:rPr>
          <w:spacing w:val="-3"/>
        </w:rPr>
      </w:pPr>
      <w:r w:rsidRPr="004068F6">
        <w:rPr>
          <w:spacing w:val="-3"/>
        </w:rPr>
        <w:t>Grupos poblacionales</w:t>
      </w:r>
      <w:r w:rsidR="00763FDF" w:rsidRPr="004068F6">
        <w:rPr>
          <w:spacing w:val="-3"/>
        </w:rPr>
        <w:t xml:space="preserve">, dentro de los cuales se deben identificar los titulares de derechos que podrían verse en riesgo y/o vulneración por los impactos </w:t>
      </w:r>
      <w:r w:rsidR="00763FDF" w:rsidRPr="004068F6">
        <w:rPr>
          <w:spacing w:val="-3"/>
        </w:rPr>
        <w:lastRenderedPageBreak/>
        <w:t>ambientes del proyecto. En esta identificación se debe indicar cuales son sujetos de especial protección constitucional</w:t>
      </w:r>
      <w:r w:rsidRPr="004068F6">
        <w:rPr>
          <w:spacing w:val="-3"/>
        </w:rPr>
        <w:t>.</w:t>
      </w:r>
    </w:p>
    <w:p w14:paraId="6E9343B9" w14:textId="77777777" w:rsidR="00482A5F" w:rsidRPr="004068F6" w:rsidRDefault="00482A5F">
      <w:pPr>
        <w:tabs>
          <w:tab w:val="left" w:pos="-2268"/>
        </w:tabs>
        <w:suppressAutoHyphens/>
        <w:rPr>
          <w:spacing w:val="-3"/>
        </w:rPr>
      </w:pPr>
    </w:p>
    <w:p w14:paraId="229A155B" w14:textId="5C3AF2D0" w:rsidR="00482A5F" w:rsidRPr="004068F6" w:rsidRDefault="00482A5F" w:rsidP="00C86DA5">
      <w:pPr>
        <w:numPr>
          <w:ilvl w:val="0"/>
          <w:numId w:val="385"/>
        </w:numPr>
        <w:tabs>
          <w:tab w:val="left" w:pos="-2268"/>
        </w:tabs>
        <w:suppressAutoHyphens/>
        <w:ind w:left="567" w:hanging="567"/>
        <w:rPr>
          <w:spacing w:val="-3"/>
        </w:rPr>
      </w:pPr>
      <w:r w:rsidRPr="004068F6">
        <w:rPr>
          <w:spacing w:val="-3"/>
        </w:rPr>
        <w:t xml:space="preserve">Estructura </w:t>
      </w:r>
      <w:r w:rsidR="0089125E" w:rsidRPr="004068F6">
        <w:rPr>
          <w:spacing w:val="-3"/>
        </w:rPr>
        <w:t xml:space="preserve">y densidad </w:t>
      </w:r>
      <w:r w:rsidRPr="004068F6">
        <w:rPr>
          <w:spacing w:val="-3"/>
        </w:rPr>
        <w:t>de la población</w:t>
      </w:r>
      <w:r w:rsidR="00212B29" w:rsidRPr="004068F6">
        <w:rPr>
          <w:spacing w:val="-3"/>
        </w:rPr>
        <w:t>, señalando la</w:t>
      </w:r>
      <w:r w:rsidRPr="004068F6">
        <w:rPr>
          <w:spacing w:val="-3"/>
        </w:rPr>
        <w:t xml:space="preserve"> población total en cada unidad </w:t>
      </w:r>
      <w:r w:rsidR="006A6CC6" w:rsidRPr="004068F6">
        <w:rPr>
          <w:spacing w:val="-3"/>
        </w:rPr>
        <w:t xml:space="preserve">de análisis </w:t>
      </w:r>
      <w:r w:rsidRPr="004068F6">
        <w:rPr>
          <w:spacing w:val="-3"/>
        </w:rPr>
        <w:t>territorial, composición por edad y sexo, número de hogares, promedio de personas por hogar, población en edad de trabajar</w:t>
      </w:r>
      <w:r w:rsidRPr="004068F6">
        <w:rPr>
          <w:spacing w:val="-3"/>
          <w:vertAlign w:val="superscript"/>
        </w:rPr>
        <w:footnoteReference w:id="170"/>
      </w:r>
      <w:r w:rsidR="00805DBC" w:rsidRPr="004068F6">
        <w:rPr>
          <w:spacing w:val="-3"/>
        </w:rPr>
        <w:t>.</w:t>
      </w:r>
    </w:p>
    <w:p w14:paraId="0C32155C" w14:textId="77777777" w:rsidR="00482A5F" w:rsidRPr="004068F6" w:rsidRDefault="00482A5F" w:rsidP="00C86DA5">
      <w:pPr>
        <w:tabs>
          <w:tab w:val="left" w:pos="-2268"/>
        </w:tabs>
        <w:suppressAutoHyphens/>
        <w:rPr>
          <w:spacing w:val="-3"/>
        </w:rPr>
      </w:pPr>
    </w:p>
    <w:p w14:paraId="786A20F7" w14:textId="5DBEE4B8" w:rsidR="00482A5F" w:rsidRPr="004068F6" w:rsidRDefault="00482A5F" w:rsidP="00C86DA5">
      <w:pPr>
        <w:numPr>
          <w:ilvl w:val="0"/>
          <w:numId w:val="385"/>
        </w:numPr>
        <w:tabs>
          <w:tab w:val="left" w:pos="-2268"/>
        </w:tabs>
        <w:suppressAutoHyphens/>
        <w:ind w:left="567" w:hanging="567"/>
        <w:rPr>
          <w:spacing w:val="-3"/>
        </w:rPr>
      </w:pPr>
      <w:r w:rsidRPr="004068F6">
        <w:rPr>
          <w:spacing w:val="-3"/>
        </w:rPr>
        <w:t>Patrones de asentamiento (nuclear o disperso)</w:t>
      </w:r>
      <w:r w:rsidR="00873A11" w:rsidRPr="004068F6">
        <w:rPr>
          <w:spacing w:val="-3"/>
        </w:rPr>
        <w:t>.</w:t>
      </w:r>
    </w:p>
    <w:p w14:paraId="1A7FACED" w14:textId="77777777" w:rsidR="00482A5F" w:rsidRPr="004068F6" w:rsidRDefault="00482A5F">
      <w:pPr>
        <w:tabs>
          <w:tab w:val="left" w:pos="-2268"/>
        </w:tabs>
        <w:suppressAutoHyphens/>
        <w:rPr>
          <w:spacing w:val="-3"/>
        </w:rPr>
      </w:pPr>
    </w:p>
    <w:p w14:paraId="2F19CA0E" w14:textId="0F9BFCC8" w:rsidR="00482A5F" w:rsidRPr="004068F6" w:rsidRDefault="00873A11" w:rsidP="00C86DA5">
      <w:pPr>
        <w:numPr>
          <w:ilvl w:val="0"/>
          <w:numId w:val="385"/>
        </w:numPr>
        <w:tabs>
          <w:tab w:val="left" w:pos="-2268"/>
        </w:tabs>
        <w:suppressAutoHyphens/>
        <w:ind w:left="567" w:hanging="567"/>
        <w:rPr>
          <w:spacing w:val="-3"/>
        </w:rPr>
      </w:pPr>
      <w:r w:rsidRPr="004068F6">
        <w:rPr>
          <w:spacing w:val="-3"/>
        </w:rPr>
        <w:t>P</w:t>
      </w:r>
      <w:r w:rsidR="00482A5F" w:rsidRPr="004068F6">
        <w:rPr>
          <w:spacing w:val="-3"/>
        </w:rPr>
        <w:t xml:space="preserve">oblación en situación de desplazamiento, </w:t>
      </w:r>
      <w:r w:rsidRPr="004068F6">
        <w:rPr>
          <w:spacing w:val="-3"/>
        </w:rPr>
        <w:t xml:space="preserve">señalando su </w:t>
      </w:r>
      <w:r w:rsidR="00482A5F" w:rsidRPr="004068F6">
        <w:rPr>
          <w:spacing w:val="-3"/>
        </w:rPr>
        <w:t>procedencia</w:t>
      </w:r>
      <w:r w:rsidR="00697231" w:rsidRPr="004068F6">
        <w:rPr>
          <w:spacing w:val="-3"/>
        </w:rPr>
        <w:t>, motivos del desplazamiento (p. ej. actores armados, conflicto armado, impactos ambientales de la intervención humana)</w:t>
      </w:r>
      <w:r w:rsidRPr="004068F6">
        <w:rPr>
          <w:spacing w:val="-3"/>
        </w:rPr>
        <w:t xml:space="preserve"> y</w:t>
      </w:r>
      <w:r w:rsidR="00482A5F" w:rsidRPr="004068F6">
        <w:rPr>
          <w:spacing w:val="-3"/>
        </w:rPr>
        <w:t xml:space="preserve"> formas de incorporación a la unidad </w:t>
      </w:r>
      <w:r w:rsidR="006A6CC6" w:rsidRPr="004068F6">
        <w:rPr>
          <w:spacing w:val="-3"/>
        </w:rPr>
        <w:t xml:space="preserve">de análisis </w:t>
      </w:r>
      <w:r w:rsidR="00482A5F" w:rsidRPr="004068F6">
        <w:rPr>
          <w:spacing w:val="-3"/>
        </w:rPr>
        <w:t>territorial (de acuerdo con información secundaria disponible).</w:t>
      </w:r>
    </w:p>
    <w:p w14:paraId="0B693948" w14:textId="77777777" w:rsidR="00482A5F" w:rsidRPr="004068F6" w:rsidRDefault="00482A5F">
      <w:pPr>
        <w:tabs>
          <w:tab w:val="left" w:pos="-2268"/>
        </w:tabs>
        <w:suppressAutoHyphens/>
        <w:rPr>
          <w:spacing w:val="-3"/>
        </w:rPr>
      </w:pPr>
    </w:p>
    <w:p w14:paraId="5EC7297D" w14:textId="06A0F9A0" w:rsidR="00482A5F" w:rsidRPr="004068F6" w:rsidRDefault="00873A11" w:rsidP="00C86DA5">
      <w:pPr>
        <w:numPr>
          <w:ilvl w:val="0"/>
          <w:numId w:val="385"/>
        </w:numPr>
        <w:tabs>
          <w:tab w:val="left" w:pos="-2268"/>
        </w:tabs>
        <w:suppressAutoHyphens/>
        <w:ind w:left="567" w:hanging="567"/>
        <w:rPr>
          <w:spacing w:val="-3"/>
        </w:rPr>
      </w:pPr>
      <w:r w:rsidRPr="004068F6">
        <w:rPr>
          <w:spacing w:val="-3"/>
        </w:rPr>
        <w:t>T</w:t>
      </w:r>
      <w:r w:rsidR="00482A5F" w:rsidRPr="004068F6">
        <w:rPr>
          <w:spacing w:val="-3"/>
        </w:rPr>
        <w:t>endencias demográficas</w:t>
      </w:r>
      <w:r w:rsidRPr="004068F6">
        <w:rPr>
          <w:spacing w:val="-3"/>
        </w:rPr>
        <w:t xml:space="preserve">, a partir del análisis </w:t>
      </w:r>
      <w:r w:rsidR="00434EA7" w:rsidRPr="004068F6">
        <w:rPr>
          <w:spacing w:val="-3"/>
        </w:rPr>
        <w:t>de los</w:t>
      </w:r>
      <w:r w:rsidR="00482A5F" w:rsidRPr="004068F6">
        <w:rPr>
          <w:spacing w:val="-3"/>
        </w:rPr>
        <w:t xml:space="preserve"> principales indicadores de demografía y </w:t>
      </w:r>
      <w:r w:rsidRPr="004068F6">
        <w:rPr>
          <w:spacing w:val="-3"/>
        </w:rPr>
        <w:t xml:space="preserve">de </w:t>
      </w:r>
      <w:r w:rsidR="00482A5F" w:rsidRPr="004068F6">
        <w:rPr>
          <w:spacing w:val="-3"/>
        </w:rPr>
        <w:t xml:space="preserve">un análisis histórico </w:t>
      </w:r>
      <w:r w:rsidR="0042491B" w:rsidRPr="004068F6">
        <w:rPr>
          <w:spacing w:val="-3"/>
        </w:rPr>
        <w:t xml:space="preserve">elaborado </w:t>
      </w:r>
      <w:r w:rsidR="00482A5F" w:rsidRPr="004068F6">
        <w:rPr>
          <w:spacing w:val="-3"/>
        </w:rPr>
        <w:t>con base en la información disponible.</w:t>
      </w:r>
    </w:p>
    <w:p w14:paraId="35123C4E" w14:textId="77777777" w:rsidR="0089125E" w:rsidRPr="004068F6" w:rsidRDefault="0089125E" w:rsidP="000D6E21">
      <w:pPr>
        <w:rPr>
          <w:spacing w:val="-3"/>
        </w:rPr>
      </w:pPr>
    </w:p>
    <w:p w14:paraId="2A15C45A" w14:textId="77777777" w:rsidR="00752758" w:rsidRPr="004068F6" w:rsidRDefault="0089125E" w:rsidP="0089125E">
      <w:pPr>
        <w:numPr>
          <w:ilvl w:val="0"/>
          <w:numId w:val="385"/>
        </w:numPr>
        <w:tabs>
          <w:tab w:val="left" w:pos="-2268"/>
        </w:tabs>
        <w:suppressAutoHyphens/>
        <w:ind w:left="567" w:hanging="567"/>
        <w:rPr>
          <w:spacing w:val="-3"/>
        </w:rPr>
      </w:pPr>
      <w:r w:rsidRPr="004068F6">
        <w:rPr>
          <w:spacing w:val="-3"/>
        </w:rPr>
        <w:t>Dinámica poblacional</w:t>
      </w:r>
      <w:r w:rsidR="00752758" w:rsidRPr="004068F6">
        <w:rPr>
          <w:spacing w:val="-3"/>
        </w:rPr>
        <w:t xml:space="preserve">, </w:t>
      </w:r>
      <w:r w:rsidRPr="004068F6">
        <w:rPr>
          <w:spacing w:val="-3"/>
        </w:rPr>
        <w:t>describi</w:t>
      </w:r>
      <w:r w:rsidR="00752758" w:rsidRPr="004068F6">
        <w:rPr>
          <w:spacing w:val="-3"/>
        </w:rPr>
        <w:t>endo</w:t>
      </w:r>
      <w:r w:rsidRPr="004068F6">
        <w:rPr>
          <w:spacing w:val="-3"/>
        </w:rPr>
        <w:t xml:space="preserve"> la movilidad espacial actual y tendencial, así como los factores que influyen en fenómenos migratorios</w:t>
      </w:r>
      <w:r w:rsidR="00752758" w:rsidRPr="004068F6">
        <w:rPr>
          <w:spacing w:val="-3"/>
        </w:rPr>
        <w:t xml:space="preserve">. </w:t>
      </w:r>
    </w:p>
    <w:p w14:paraId="201A7F72" w14:textId="77777777" w:rsidR="00752758" w:rsidRPr="004068F6" w:rsidRDefault="00752758" w:rsidP="000D6E21">
      <w:pPr>
        <w:rPr>
          <w:spacing w:val="-3"/>
        </w:rPr>
      </w:pPr>
    </w:p>
    <w:p w14:paraId="305A5A4C" w14:textId="69D9DE6E" w:rsidR="0089125E" w:rsidRPr="004068F6" w:rsidRDefault="00752758" w:rsidP="0089125E">
      <w:pPr>
        <w:numPr>
          <w:ilvl w:val="0"/>
          <w:numId w:val="385"/>
        </w:numPr>
        <w:tabs>
          <w:tab w:val="left" w:pos="-2268"/>
        </w:tabs>
        <w:suppressAutoHyphens/>
        <w:ind w:left="567" w:hanging="567"/>
        <w:rPr>
          <w:spacing w:val="-3"/>
        </w:rPr>
      </w:pPr>
      <w:r w:rsidRPr="004068F6">
        <w:rPr>
          <w:spacing w:val="-3"/>
        </w:rPr>
        <w:t>S</w:t>
      </w:r>
      <w:r w:rsidR="0089125E" w:rsidRPr="004068F6">
        <w:rPr>
          <w:spacing w:val="-3"/>
        </w:rPr>
        <w:t>ituación de pobreza</w:t>
      </w:r>
      <w:r w:rsidRPr="004068F6">
        <w:rPr>
          <w:spacing w:val="-3"/>
        </w:rPr>
        <w:t xml:space="preserve">, empleando indicadores como </w:t>
      </w:r>
      <w:r w:rsidR="0089125E" w:rsidRPr="004068F6">
        <w:rPr>
          <w:spacing w:val="-3"/>
        </w:rPr>
        <w:t>necesidades básicas insatisfechas, índice de pobreza multidimensional</w:t>
      </w:r>
      <w:r w:rsidRPr="004068F6">
        <w:rPr>
          <w:spacing w:val="-3"/>
        </w:rPr>
        <w:t xml:space="preserve"> e</w:t>
      </w:r>
      <w:r w:rsidR="0089125E" w:rsidRPr="004068F6">
        <w:rPr>
          <w:spacing w:val="-3"/>
        </w:rPr>
        <w:t xml:space="preserve"> índice de calidad de vida.</w:t>
      </w:r>
    </w:p>
    <w:p w14:paraId="3369CD72" w14:textId="77777777" w:rsidR="003310B6" w:rsidRPr="004068F6" w:rsidRDefault="003310B6" w:rsidP="000D6E21">
      <w:pPr>
        <w:rPr>
          <w:spacing w:val="-3"/>
        </w:rPr>
      </w:pPr>
    </w:p>
    <w:p w14:paraId="55DB0015" w14:textId="585FA3CB" w:rsidR="00DF7982" w:rsidRPr="004068F6" w:rsidRDefault="00DF7982" w:rsidP="000D6E21">
      <w:pPr>
        <w:numPr>
          <w:ilvl w:val="0"/>
          <w:numId w:val="385"/>
        </w:numPr>
        <w:tabs>
          <w:tab w:val="left" w:pos="-2268"/>
        </w:tabs>
        <w:suppressAutoHyphens/>
        <w:ind w:left="567" w:hanging="567"/>
        <w:rPr>
          <w:spacing w:val="-3"/>
        </w:rPr>
      </w:pPr>
      <w:r w:rsidRPr="004068F6">
        <w:rPr>
          <w:spacing w:val="-3"/>
        </w:rPr>
        <w:t xml:space="preserve">Grupos </w:t>
      </w:r>
      <w:r w:rsidR="002C5B64" w:rsidRPr="004068F6">
        <w:rPr>
          <w:rFonts w:cs="Arial"/>
        </w:rPr>
        <w:t>con mayores dificultades para acceder a la información</w:t>
      </w:r>
      <w:r w:rsidR="002C5B64" w:rsidRPr="00127BD4">
        <w:rPr>
          <w:rStyle w:val="Refdenotaalpie"/>
          <w:rFonts w:cs="Arial"/>
          <w:lang w:val="es-CO"/>
        </w:rPr>
        <w:footnoteReference w:id="171"/>
      </w:r>
      <w:r w:rsidRPr="004068F6">
        <w:rPr>
          <w:spacing w:val="-3"/>
        </w:rPr>
        <w:t>.</w:t>
      </w:r>
    </w:p>
    <w:p w14:paraId="10C79008" w14:textId="77777777" w:rsidR="00482A5F" w:rsidRPr="004068F6" w:rsidRDefault="00482A5F" w:rsidP="009420F5">
      <w:pPr>
        <w:numPr>
          <w:ilvl w:val="12"/>
          <w:numId w:val="0"/>
        </w:numPr>
        <w:tabs>
          <w:tab w:val="left" w:pos="-2268"/>
        </w:tabs>
        <w:suppressAutoHyphens/>
        <w:rPr>
          <w:spacing w:val="-3"/>
        </w:rPr>
      </w:pPr>
    </w:p>
    <w:p w14:paraId="52ED2FF0" w14:textId="3030FD9D" w:rsidR="00482A5F" w:rsidRPr="004068F6" w:rsidRDefault="00B561ED" w:rsidP="002F5664">
      <w:pPr>
        <w:pStyle w:val="Ttulo4"/>
        <w:tabs>
          <w:tab w:val="clear" w:pos="1844"/>
          <w:tab w:val="num" w:pos="1134"/>
        </w:tabs>
        <w:ind w:left="0"/>
        <w:rPr>
          <w:lang w:val="es-CO"/>
        </w:rPr>
      </w:pPr>
      <w:r w:rsidRPr="004068F6">
        <w:rPr>
          <w:lang w:val="es-CO"/>
        </w:rPr>
        <w:t>E</w:t>
      </w:r>
      <w:r w:rsidR="00482A5F" w:rsidRPr="004068F6">
        <w:rPr>
          <w:lang w:val="es-CO"/>
        </w:rPr>
        <w:t>spacial</w:t>
      </w:r>
    </w:p>
    <w:p w14:paraId="7054EA65" w14:textId="53CCB882" w:rsidR="00482A5F" w:rsidRPr="004068F6" w:rsidRDefault="00482A5F" w:rsidP="00C86DA5">
      <w:pPr>
        <w:tabs>
          <w:tab w:val="left" w:pos="-2268"/>
        </w:tabs>
        <w:suppressAutoHyphens/>
        <w:rPr>
          <w:spacing w:val="-3"/>
        </w:rPr>
      </w:pPr>
    </w:p>
    <w:p w14:paraId="04B1073A" w14:textId="77777777" w:rsidR="00482A5F" w:rsidRPr="004068F6" w:rsidRDefault="00482A5F" w:rsidP="002F5664">
      <w:pPr>
        <w:pStyle w:val="Ttulo5"/>
        <w:tabs>
          <w:tab w:val="clear" w:pos="2160"/>
          <w:tab w:val="num" w:pos="1134"/>
        </w:tabs>
        <w:ind w:left="1134" w:hanging="1134"/>
        <w:rPr>
          <w:lang w:val="es-CO"/>
        </w:rPr>
      </w:pPr>
      <w:r w:rsidRPr="004068F6">
        <w:rPr>
          <w:lang w:val="es-CO"/>
        </w:rPr>
        <w:t>Servicios públicos</w:t>
      </w:r>
    </w:p>
    <w:p w14:paraId="166EEA27" w14:textId="77777777" w:rsidR="00482A5F" w:rsidRPr="004068F6" w:rsidRDefault="00482A5F">
      <w:pPr>
        <w:tabs>
          <w:tab w:val="left" w:pos="-2268"/>
        </w:tabs>
        <w:suppressAutoHyphens/>
        <w:rPr>
          <w:spacing w:val="-3"/>
        </w:rPr>
      </w:pPr>
    </w:p>
    <w:p w14:paraId="534B13AB" w14:textId="07C8D79E" w:rsidR="00C717A3" w:rsidRPr="004068F6" w:rsidRDefault="00482A5F" w:rsidP="00482A5F">
      <w:pPr>
        <w:numPr>
          <w:ilvl w:val="12"/>
          <w:numId w:val="0"/>
        </w:numPr>
        <w:tabs>
          <w:tab w:val="left" w:pos="-2268"/>
        </w:tabs>
        <w:suppressAutoHyphens/>
        <w:rPr>
          <w:rFonts w:cs="Arial"/>
          <w:spacing w:val="-3"/>
        </w:rPr>
      </w:pPr>
      <w:r w:rsidRPr="004068F6">
        <w:rPr>
          <w:rFonts w:cs="Arial"/>
          <w:spacing w:val="-3"/>
        </w:rPr>
        <w:t xml:space="preserve">Para las </w:t>
      </w:r>
      <w:r w:rsidR="006D75A2" w:rsidRPr="004068F6">
        <w:rPr>
          <w:rFonts w:cs="Arial"/>
          <w:spacing w:val="-3"/>
        </w:rPr>
        <w:t>unidades de análisis territorial</w:t>
      </w:r>
      <w:r w:rsidRPr="004068F6">
        <w:rPr>
          <w:rFonts w:cs="Arial"/>
          <w:spacing w:val="-3"/>
        </w:rPr>
        <w:t xml:space="preserve"> se debe presentar una descripción del acceso, cobertura y calidad de los servicios públicos</w:t>
      </w:r>
      <w:r w:rsidR="0042491B" w:rsidRPr="004068F6">
        <w:rPr>
          <w:rFonts w:cs="Arial"/>
          <w:spacing w:val="-3"/>
        </w:rPr>
        <w:t>,</w:t>
      </w:r>
      <w:r w:rsidRPr="004068F6">
        <w:rPr>
          <w:rFonts w:cs="Arial"/>
          <w:spacing w:val="-3"/>
        </w:rPr>
        <w:t xml:space="preserve"> que permita </w:t>
      </w:r>
      <w:r w:rsidR="00A3333A" w:rsidRPr="004068F6">
        <w:rPr>
          <w:rFonts w:cs="Arial"/>
          <w:spacing w:val="-3"/>
        </w:rPr>
        <w:t xml:space="preserve">determinar </w:t>
      </w:r>
      <w:r w:rsidRPr="004068F6">
        <w:rPr>
          <w:rFonts w:cs="Arial"/>
          <w:spacing w:val="-3"/>
        </w:rPr>
        <w:t xml:space="preserve">las condiciones actuales de las comunidades </w:t>
      </w:r>
      <w:r w:rsidR="0042491B" w:rsidRPr="004068F6">
        <w:rPr>
          <w:rFonts w:cs="Arial"/>
          <w:spacing w:val="-3"/>
        </w:rPr>
        <w:t>con respecto a</w:t>
      </w:r>
      <w:r w:rsidRPr="004068F6">
        <w:rPr>
          <w:rFonts w:cs="Arial"/>
          <w:spacing w:val="-3"/>
        </w:rPr>
        <w:t>l acceso a los servicios y la presión sobre de los recursos naturales.</w:t>
      </w:r>
    </w:p>
    <w:p w14:paraId="4B6F35AB" w14:textId="427F9C0F" w:rsidR="00482A5F" w:rsidRPr="004068F6" w:rsidRDefault="00482A5F" w:rsidP="00C86DA5">
      <w:pPr>
        <w:numPr>
          <w:ilvl w:val="12"/>
          <w:numId w:val="0"/>
        </w:numPr>
        <w:tabs>
          <w:tab w:val="left" w:pos="-2268"/>
        </w:tabs>
        <w:suppressAutoHyphens/>
        <w:rPr>
          <w:rFonts w:cs="Arial"/>
          <w:spacing w:val="-3"/>
        </w:rPr>
      </w:pPr>
    </w:p>
    <w:p w14:paraId="046ABABD" w14:textId="6D4A53EE" w:rsidR="00482A5F" w:rsidRPr="004068F6" w:rsidRDefault="0042491B" w:rsidP="00482A5F">
      <w:pPr>
        <w:numPr>
          <w:ilvl w:val="12"/>
          <w:numId w:val="0"/>
        </w:numPr>
        <w:tabs>
          <w:tab w:val="left" w:pos="-2268"/>
        </w:tabs>
        <w:suppressAutoHyphens/>
        <w:rPr>
          <w:rFonts w:cs="Arial"/>
          <w:spacing w:val="-3"/>
        </w:rPr>
      </w:pPr>
      <w:r w:rsidRPr="004068F6">
        <w:rPr>
          <w:rFonts w:cs="Arial"/>
          <w:spacing w:val="-3"/>
        </w:rPr>
        <w:t>La descripción</w:t>
      </w:r>
      <w:r w:rsidR="00482A5F" w:rsidRPr="004068F6">
        <w:rPr>
          <w:rFonts w:cs="Arial"/>
          <w:spacing w:val="-3"/>
        </w:rPr>
        <w:t xml:space="preserve"> debe considerar los siguientes servicios:</w:t>
      </w:r>
    </w:p>
    <w:p w14:paraId="0D8AA16E" w14:textId="77777777" w:rsidR="00482A5F" w:rsidRPr="004068F6" w:rsidRDefault="00482A5F" w:rsidP="00482A5F">
      <w:pPr>
        <w:tabs>
          <w:tab w:val="left" w:pos="-2268"/>
        </w:tabs>
        <w:suppressAutoHyphens/>
        <w:rPr>
          <w:rFonts w:cs="Arial"/>
          <w:spacing w:val="-3"/>
        </w:rPr>
      </w:pPr>
    </w:p>
    <w:p w14:paraId="1A5FB85A" w14:textId="0C362C5F" w:rsidR="00482A5F" w:rsidRPr="004068F6" w:rsidRDefault="00482A5F" w:rsidP="00C86DA5">
      <w:pPr>
        <w:numPr>
          <w:ilvl w:val="0"/>
          <w:numId w:val="385"/>
        </w:numPr>
        <w:tabs>
          <w:tab w:val="left" w:pos="-2268"/>
        </w:tabs>
        <w:suppressAutoHyphens/>
        <w:ind w:left="567" w:hanging="567"/>
        <w:rPr>
          <w:spacing w:val="-3"/>
        </w:rPr>
      </w:pPr>
      <w:r w:rsidRPr="004068F6">
        <w:rPr>
          <w:spacing w:val="-3"/>
        </w:rPr>
        <w:lastRenderedPageBreak/>
        <w:t>Acueducto</w:t>
      </w:r>
      <w:r w:rsidR="0042491B" w:rsidRPr="004068F6">
        <w:rPr>
          <w:spacing w:val="-3"/>
        </w:rPr>
        <w:t>.</w:t>
      </w:r>
      <w:r w:rsidRPr="004068F6">
        <w:rPr>
          <w:spacing w:val="-3"/>
        </w:rPr>
        <w:t xml:space="preserve"> </w:t>
      </w:r>
      <w:r w:rsidR="00696B84" w:rsidRPr="004068F6">
        <w:rPr>
          <w:spacing w:val="-3"/>
        </w:rPr>
        <w:t>C</w:t>
      </w:r>
      <w:r w:rsidRPr="004068F6">
        <w:rPr>
          <w:spacing w:val="-3"/>
        </w:rPr>
        <w:t>aracterizar las fuentes de abastecimiento de agua potable, infraestructura de captación, tratamiento y almacenamiento; tipos de uso (doméstico, agropecuario, piscícola, entre otros); población usuaria</w:t>
      </w:r>
      <w:r w:rsidR="0042491B" w:rsidRPr="004068F6">
        <w:rPr>
          <w:spacing w:val="-3"/>
        </w:rPr>
        <w:t>;</w:t>
      </w:r>
      <w:r w:rsidRPr="004068F6">
        <w:rPr>
          <w:spacing w:val="-3"/>
        </w:rPr>
        <w:t xml:space="preserve"> cobertura y calidad</w:t>
      </w:r>
      <w:r w:rsidR="0042491B" w:rsidRPr="004068F6">
        <w:rPr>
          <w:spacing w:val="-3"/>
        </w:rPr>
        <w:t>;</w:t>
      </w:r>
      <w:r w:rsidRPr="004068F6">
        <w:rPr>
          <w:spacing w:val="-3"/>
        </w:rPr>
        <w:t xml:space="preserve"> entidades u organizaciones prestadoras o administradoras del servicio. </w:t>
      </w:r>
      <w:r w:rsidR="0042491B" w:rsidRPr="004068F6">
        <w:rPr>
          <w:spacing w:val="-3"/>
        </w:rPr>
        <w:t xml:space="preserve">Señalar </w:t>
      </w:r>
      <w:r w:rsidRPr="004068F6">
        <w:rPr>
          <w:spacing w:val="-3"/>
        </w:rPr>
        <w:t>las necesidades relacionadas con la cobertura y la calidad del servicio.</w:t>
      </w:r>
      <w:r w:rsidR="00650570" w:rsidRPr="004068F6">
        <w:rPr>
          <w:spacing w:val="-3"/>
        </w:rPr>
        <w:t xml:space="preserve"> </w:t>
      </w:r>
      <w:r w:rsidR="0075648C" w:rsidRPr="004068F6">
        <w:rPr>
          <w:spacing w:val="-3"/>
        </w:rPr>
        <w:t>La información sobre acueductos s</w:t>
      </w:r>
      <w:r w:rsidR="00650570" w:rsidRPr="004068F6">
        <w:rPr>
          <w:spacing w:val="-3"/>
        </w:rPr>
        <w:t>e debe relaci</w:t>
      </w:r>
      <w:r w:rsidR="00F442E4" w:rsidRPr="004068F6">
        <w:rPr>
          <w:spacing w:val="-3"/>
        </w:rPr>
        <w:t xml:space="preserve">onar </w:t>
      </w:r>
      <w:r w:rsidR="00650570" w:rsidRPr="004068F6">
        <w:rPr>
          <w:spacing w:val="-3"/>
        </w:rPr>
        <w:t xml:space="preserve">con la información de los nacederos </w:t>
      </w:r>
      <w:r w:rsidR="00044CFE" w:rsidRPr="004068F6">
        <w:rPr>
          <w:spacing w:val="-3"/>
        </w:rPr>
        <w:t>que los abastecen, empleando para ello</w:t>
      </w:r>
      <w:r w:rsidR="00886712" w:rsidRPr="004068F6">
        <w:rPr>
          <w:spacing w:val="-3"/>
        </w:rPr>
        <w:t>,</w:t>
      </w:r>
      <w:r w:rsidR="00044CFE" w:rsidRPr="004068F6">
        <w:rPr>
          <w:spacing w:val="-3"/>
        </w:rPr>
        <w:t xml:space="preserve"> </w:t>
      </w:r>
      <w:r w:rsidR="006B48B8" w:rsidRPr="004068F6">
        <w:rPr>
          <w:spacing w:val="-3"/>
        </w:rPr>
        <w:t>l</w:t>
      </w:r>
      <w:r w:rsidR="008D0E51" w:rsidRPr="004068F6">
        <w:rPr>
          <w:spacing w:val="-3"/>
        </w:rPr>
        <w:t>a caracterización d</w:t>
      </w:r>
      <w:r w:rsidR="00650570" w:rsidRPr="004068F6">
        <w:rPr>
          <w:spacing w:val="-3"/>
        </w:rPr>
        <w:t xml:space="preserve">el medio </w:t>
      </w:r>
      <w:r w:rsidR="00684001" w:rsidRPr="004068F6">
        <w:rPr>
          <w:spacing w:val="-3"/>
        </w:rPr>
        <w:t>abiótico</w:t>
      </w:r>
      <w:r w:rsidR="00650570" w:rsidRPr="004068F6">
        <w:rPr>
          <w:spacing w:val="-3"/>
        </w:rPr>
        <w:t>.</w:t>
      </w:r>
    </w:p>
    <w:p w14:paraId="653021CB" w14:textId="77777777" w:rsidR="00482A5F" w:rsidRPr="004068F6" w:rsidRDefault="00482A5F">
      <w:pPr>
        <w:tabs>
          <w:tab w:val="left" w:pos="-2268"/>
        </w:tabs>
        <w:suppressAutoHyphens/>
        <w:rPr>
          <w:spacing w:val="-3"/>
        </w:rPr>
      </w:pPr>
    </w:p>
    <w:p w14:paraId="028D656E" w14:textId="3F04762E" w:rsidR="00482A5F" w:rsidRPr="004068F6" w:rsidRDefault="00482A5F" w:rsidP="00C86DA5">
      <w:pPr>
        <w:numPr>
          <w:ilvl w:val="0"/>
          <w:numId w:val="385"/>
        </w:numPr>
        <w:tabs>
          <w:tab w:val="left" w:pos="-2268"/>
        </w:tabs>
        <w:suppressAutoHyphens/>
        <w:ind w:left="567" w:hanging="567"/>
        <w:rPr>
          <w:spacing w:val="-3"/>
        </w:rPr>
      </w:pPr>
      <w:r w:rsidRPr="004068F6">
        <w:rPr>
          <w:spacing w:val="-3"/>
        </w:rPr>
        <w:t>Alcantarillado</w:t>
      </w:r>
      <w:r w:rsidR="0042491B" w:rsidRPr="004068F6">
        <w:rPr>
          <w:spacing w:val="-3"/>
        </w:rPr>
        <w:t>.</w:t>
      </w:r>
      <w:r w:rsidRPr="004068F6">
        <w:rPr>
          <w:spacing w:val="-3"/>
        </w:rPr>
        <w:t xml:space="preserve"> </w:t>
      </w:r>
      <w:r w:rsidR="0042491B" w:rsidRPr="004068F6">
        <w:rPr>
          <w:spacing w:val="-3"/>
        </w:rPr>
        <w:t xml:space="preserve">Señalar la proporción de cada sistema de </w:t>
      </w:r>
      <w:r w:rsidRPr="004068F6">
        <w:rPr>
          <w:spacing w:val="-3"/>
        </w:rPr>
        <w:t xml:space="preserve">disposición de excretas </w:t>
      </w:r>
      <w:r w:rsidR="0042491B" w:rsidRPr="004068F6">
        <w:rPr>
          <w:spacing w:val="-3"/>
        </w:rPr>
        <w:t>(a</w:t>
      </w:r>
      <w:r w:rsidRPr="004068F6">
        <w:rPr>
          <w:spacing w:val="-3"/>
        </w:rPr>
        <w:t>lcantarillado, pozos sépticos, letrinas</w:t>
      </w:r>
      <w:r w:rsidR="00C20BDB" w:rsidRPr="004068F6">
        <w:rPr>
          <w:spacing w:val="-3"/>
        </w:rPr>
        <w:t>, sin servicio</w:t>
      </w:r>
      <w:r w:rsidR="0042491B" w:rsidRPr="004068F6">
        <w:rPr>
          <w:spacing w:val="-3"/>
        </w:rPr>
        <w:t>)</w:t>
      </w:r>
      <w:r w:rsidR="00C20BDB" w:rsidRPr="004068F6">
        <w:rPr>
          <w:spacing w:val="-3"/>
        </w:rPr>
        <w:t xml:space="preserve"> existente</w:t>
      </w:r>
      <w:r w:rsidRPr="004068F6">
        <w:rPr>
          <w:spacing w:val="-3"/>
        </w:rPr>
        <w:t xml:space="preserve">. </w:t>
      </w:r>
      <w:r w:rsidR="0042491B" w:rsidRPr="004068F6">
        <w:rPr>
          <w:spacing w:val="-3"/>
        </w:rPr>
        <w:t xml:space="preserve">Señalar </w:t>
      </w:r>
      <w:r w:rsidRPr="004068F6">
        <w:rPr>
          <w:spacing w:val="-3"/>
        </w:rPr>
        <w:t>las necesidades relacionadas con la cobertura y la calidad del servicio.</w:t>
      </w:r>
    </w:p>
    <w:p w14:paraId="0578EA08" w14:textId="77777777" w:rsidR="00482A5F" w:rsidRPr="004068F6" w:rsidRDefault="00482A5F">
      <w:pPr>
        <w:tabs>
          <w:tab w:val="left" w:pos="-2268"/>
        </w:tabs>
        <w:suppressAutoHyphens/>
        <w:rPr>
          <w:spacing w:val="-3"/>
        </w:rPr>
      </w:pPr>
    </w:p>
    <w:p w14:paraId="0AB6E9D0" w14:textId="29369BE1" w:rsidR="00482A5F" w:rsidRPr="004068F6" w:rsidRDefault="00C20BDB" w:rsidP="00C86DA5">
      <w:pPr>
        <w:numPr>
          <w:ilvl w:val="0"/>
          <w:numId w:val="385"/>
        </w:numPr>
        <w:tabs>
          <w:tab w:val="left" w:pos="-2268"/>
        </w:tabs>
        <w:suppressAutoHyphens/>
        <w:ind w:left="567" w:hanging="567"/>
        <w:rPr>
          <w:spacing w:val="-3"/>
        </w:rPr>
      </w:pPr>
      <w:r w:rsidRPr="004068F6">
        <w:rPr>
          <w:spacing w:val="-3"/>
        </w:rPr>
        <w:t>R</w:t>
      </w:r>
      <w:r w:rsidR="00482A5F" w:rsidRPr="004068F6">
        <w:rPr>
          <w:spacing w:val="-3"/>
        </w:rPr>
        <w:t>ecolección y disposición de residuos sólidos (</w:t>
      </w:r>
      <w:r w:rsidRPr="004068F6">
        <w:rPr>
          <w:spacing w:val="-3"/>
        </w:rPr>
        <w:t>a</w:t>
      </w:r>
      <w:r w:rsidR="00482A5F" w:rsidRPr="004068F6">
        <w:rPr>
          <w:spacing w:val="-3"/>
        </w:rPr>
        <w:t>seo)</w:t>
      </w:r>
      <w:r w:rsidR="0042491B" w:rsidRPr="004068F6">
        <w:rPr>
          <w:spacing w:val="-3"/>
        </w:rPr>
        <w:t>.</w:t>
      </w:r>
      <w:r w:rsidR="00482A5F" w:rsidRPr="004068F6">
        <w:rPr>
          <w:spacing w:val="-3"/>
        </w:rPr>
        <w:t xml:space="preserve"> </w:t>
      </w:r>
      <w:r w:rsidR="00696B84" w:rsidRPr="004068F6">
        <w:rPr>
          <w:spacing w:val="-3"/>
        </w:rPr>
        <w:t xml:space="preserve">Determinar </w:t>
      </w:r>
      <w:r w:rsidR="00482A5F" w:rsidRPr="004068F6">
        <w:rPr>
          <w:spacing w:val="-3"/>
        </w:rPr>
        <w:t>la cobertura</w:t>
      </w:r>
      <w:r w:rsidRPr="004068F6">
        <w:rPr>
          <w:spacing w:val="-3"/>
        </w:rPr>
        <w:t xml:space="preserve"> y</w:t>
      </w:r>
      <w:r w:rsidR="00482A5F" w:rsidRPr="004068F6">
        <w:rPr>
          <w:spacing w:val="-3"/>
        </w:rPr>
        <w:t xml:space="preserve"> calidad </w:t>
      </w:r>
      <w:r w:rsidRPr="004068F6">
        <w:rPr>
          <w:spacing w:val="-3"/>
        </w:rPr>
        <w:t xml:space="preserve">del servicio de recolección y </w:t>
      </w:r>
      <w:r w:rsidR="00482A5F" w:rsidRPr="004068F6">
        <w:rPr>
          <w:spacing w:val="-3"/>
        </w:rPr>
        <w:t>la disposición de residuos</w:t>
      </w:r>
      <w:r w:rsidRPr="004068F6">
        <w:rPr>
          <w:spacing w:val="-3"/>
        </w:rPr>
        <w:t>;</w:t>
      </w:r>
      <w:r w:rsidR="00482A5F" w:rsidRPr="004068F6">
        <w:rPr>
          <w:spacing w:val="-3"/>
        </w:rPr>
        <w:t xml:space="preserve"> </w:t>
      </w:r>
      <w:r w:rsidR="000951B5" w:rsidRPr="004068F6">
        <w:rPr>
          <w:spacing w:val="-3"/>
        </w:rPr>
        <w:t xml:space="preserve">asimismo, se debe </w:t>
      </w:r>
      <w:r w:rsidR="00482A5F" w:rsidRPr="004068F6">
        <w:rPr>
          <w:spacing w:val="-3"/>
        </w:rPr>
        <w:t xml:space="preserve">describir </w:t>
      </w:r>
      <w:r w:rsidR="00805A10" w:rsidRPr="004068F6">
        <w:rPr>
          <w:spacing w:val="-3"/>
        </w:rPr>
        <w:t xml:space="preserve">la forma en que </w:t>
      </w:r>
      <w:r w:rsidR="000951B5" w:rsidRPr="004068F6">
        <w:rPr>
          <w:spacing w:val="-3"/>
        </w:rPr>
        <w:t>la cobertura y calidad d</w:t>
      </w:r>
      <w:r w:rsidR="00805A10" w:rsidRPr="004068F6">
        <w:rPr>
          <w:spacing w:val="-3"/>
        </w:rPr>
        <w:t>el servicio incide</w:t>
      </w:r>
      <w:r w:rsidR="000951B5" w:rsidRPr="004068F6">
        <w:rPr>
          <w:spacing w:val="-3"/>
        </w:rPr>
        <w:t>n</w:t>
      </w:r>
      <w:r w:rsidR="00805A10" w:rsidRPr="004068F6">
        <w:rPr>
          <w:spacing w:val="-3"/>
        </w:rPr>
        <w:t xml:space="preserve"> en </w:t>
      </w:r>
      <w:r w:rsidR="00482A5F" w:rsidRPr="004068F6">
        <w:rPr>
          <w:spacing w:val="-3"/>
        </w:rPr>
        <w:t xml:space="preserve">las </w:t>
      </w:r>
      <w:r w:rsidR="000951B5" w:rsidRPr="004068F6">
        <w:rPr>
          <w:spacing w:val="-3"/>
        </w:rPr>
        <w:t xml:space="preserve">condiciones ambientales del suelo, atmósfera, cuerpos de agua, biodiversidad, entre otros elementos del </w:t>
      </w:r>
      <w:r w:rsidR="00E86160" w:rsidRPr="004068F6">
        <w:rPr>
          <w:spacing w:val="-3"/>
        </w:rPr>
        <w:t>ambiente</w:t>
      </w:r>
      <w:r w:rsidR="000951B5" w:rsidRPr="004068F6">
        <w:rPr>
          <w:spacing w:val="-3"/>
        </w:rPr>
        <w:t>.</w:t>
      </w:r>
    </w:p>
    <w:p w14:paraId="26347DD0" w14:textId="77777777" w:rsidR="00482A5F" w:rsidRPr="004068F6" w:rsidRDefault="00482A5F">
      <w:pPr>
        <w:tabs>
          <w:tab w:val="left" w:pos="-2268"/>
        </w:tabs>
        <w:suppressAutoHyphens/>
        <w:rPr>
          <w:spacing w:val="-3"/>
        </w:rPr>
      </w:pPr>
    </w:p>
    <w:p w14:paraId="46CB540E" w14:textId="5FC4515C" w:rsidR="00482A5F" w:rsidRPr="004068F6" w:rsidRDefault="00482A5F" w:rsidP="00C86DA5">
      <w:pPr>
        <w:numPr>
          <w:ilvl w:val="0"/>
          <w:numId w:val="385"/>
        </w:numPr>
        <w:tabs>
          <w:tab w:val="left" w:pos="-2268"/>
        </w:tabs>
        <w:suppressAutoHyphens/>
        <w:ind w:left="567" w:hanging="567"/>
        <w:rPr>
          <w:spacing w:val="-3"/>
        </w:rPr>
      </w:pPr>
      <w:r w:rsidRPr="004068F6">
        <w:rPr>
          <w:spacing w:val="-3"/>
        </w:rPr>
        <w:t>Servicios de energía, gas y telefonía</w:t>
      </w:r>
      <w:r w:rsidR="00C20BDB" w:rsidRPr="004068F6">
        <w:rPr>
          <w:spacing w:val="-3"/>
        </w:rPr>
        <w:t>.</w:t>
      </w:r>
      <w:r w:rsidRPr="004068F6">
        <w:rPr>
          <w:spacing w:val="-3"/>
        </w:rPr>
        <w:t xml:space="preserve"> Analizar los principales aspectos de cobertura y calidad</w:t>
      </w:r>
      <w:r w:rsidR="00C20BDB" w:rsidRPr="004068F6">
        <w:rPr>
          <w:spacing w:val="-3"/>
        </w:rPr>
        <w:t>;</w:t>
      </w:r>
      <w:r w:rsidRPr="004068F6">
        <w:rPr>
          <w:spacing w:val="-3"/>
        </w:rPr>
        <w:t xml:space="preserve"> analizar las necesidades de la población frente al servicio, </w:t>
      </w:r>
      <w:r w:rsidR="00C20BDB" w:rsidRPr="004068F6">
        <w:rPr>
          <w:spacing w:val="-3"/>
        </w:rPr>
        <w:t xml:space="preserve">así como las </w:t>
      </w:r>
      <w:r w:rsidRPr="004068F6">
        <w:rPr>
          <w:spacing w:val="-3"/>
        </w:rPr>
        <w:t>alternativas de abastecimiento o acceso.</w:t>
      </w:r>
    </w:p>
    <w:p w14:paraId="3482D996" w14:textId="77777777" w:rsidR="004B7613" w:rsidRPr="004068F6" w:rsidRDefault="004B7613" w:rsidP="000D6E21">
      <w:pPr>
        <w:rPr>
          <w:spacing w:val="-3"/>
        </w:rPr>
      </w:pPr>
    </w:p>
    <w:p w14:paraId="17E8D680" w14:textId="6EA3589E" w:rsidR="004B7613" w:rsidRPr="004068F6" w:rsidRDefault="004B7613" w:rsidP="000D6E21">
      <w:pPr>
        <w:pStyle w:val="Prrafodelista"/>
        <w:numPr>
          <w:ilvl w:val="0"/>
          <w:numId w:val="385"/>
        </w:numPr>
        <w:ind w:left="567" w:hanging="567"/>
        <w:rPr>
          <w:spacing w:val="-3"/>
          <w:lang w:val="es-CO"/>
        </w:rPr>
      </w:pPr>
      <w:r w:rsidRPr="004068F6">
        <w:rPr>
          <w:spacing w:val="-3"/>
          <w:lang w:val="es-CO"/>
        </w:rPr>
        <w:t xml:space="preserve">Servicio público </w:t>
      </w:r>
      <w:r w:rsidR="000918EB" w:rsidRPr="004068F6">
        <w:rPr>
          <w:spacing w:val="-3"/>
          <w:lang w:val="es-CO"/>
        </w:rPr>
        <w:t xml:space="preserve">esencial </w:t>
      </w:r>
      <w:r w:rsidRPr="004068F6">
        <w:rPr>
          <w:spacing w:val="-3"/>
          <w:lang w:val="es-CO"/>
        </w:rPr>
        <w:t xml:space="preserve">y universal de acceso a internet. </w:t>
      </w:r>
      <w:r w:rsidR="000918EB" w:rsidRPr="004068F6">
        <w:rPr>
          <w:spacing w:val="-3"/>
          <w:lang w:val="es-CO"/>
        </w:rPr>
        <w:t>Se debe a</w:t>
      </w:r>
      <w:r w:rsidRPr="004068F6">
        <w:rPr>
          <w:spacing w:val="-3"/>
          <w:lang w:val="es-CO"/>
        </w:rPr>
        <w:t>nalizar el acceso, cobertura y calidad de</w:t>
      </w:r>
      <w:r w:rsidR="00384101" w:rsidRPr="004068F6">
        <w:rPr>
          <w:spacing w:val="-3"/>
          <w:lang w:val="es-CO"/>
        </w:rPr>
        <w:t xml:space="preserve"> este </w:t>
      </w:r>
      <w:r w:rsidRPr="004068F6">
        <w:rPr>
          <w:spacing w:val="-3"/>
          <w:lang w:val="es-CO"/>
        </w:rPr>
        <w:t xml:space="preserve">servicio. </w:t>
      </w:r>
    </w:p>
    <w:p w14:paraId="01647894" w14:textId="1449D8AB" w:rsidR="00482A5F" w:rsidRPr="004068F6" w:rsidRDefault="00482A5F">
      <w:pPr>
        <w:tabs>
          <w:tab w:val="left" w:pos="-2268"/>
        </w:tabs>
        <w:suppressAutoHyphens/>
        <w:rPr>
          <w:spacing w:val="-3"/>
        </w:rPr>
      </w:pPr>
    </w:p>
    <w:p w14:paraId="067270EE" w14:textId="77777777" w:rsidR="00482A5F" w:rsidRPr="004068F6" w:rsidRDefault="00482A5F" w:rsidP="002F5664">
      <w:pPr>
        <w:pStyle w:val="Ttulo5"/>
        <w:tabs>
          <w:tab w:val="clear" w:pos="2160"/>
          <w:tab w:val="num" w:pos="1134"/>
        </w:tabs>
        <w:ind w:left="1134" w:hanging="1134"/>
        <w:rPr>
          <w:lang w:val="es-CO"/>
        </w:rPr>
      </w:pPr>
      <w:r w:rsidRPr="004068F6">
        <w:rPr>
          <w:lang w:val="es-CO"/>
        </w:rPr>
        <w:t>Servicios sociales</w:t>
      </w:r>
    </w:p>
    <w:p w14:paraId="6F62FF8D" w14:textId="77777777" w:rsidR="00482A5F" w:rsidRPr="004068F6" w:rsidRDefault="00482A5F" w:rsidP="00C86DA5">
      <w:pPr>
        <w:numPr>
          <w:ilvl w:val="12"/>
          <w:numId w:val="0"/>
        </w:numPr>
        <w:tabs>
          <w:tab w:val="left" w:pos="-2268"/>
        </w:tabs>
        <w:suppressAutoHyphens/>
        <w:rPr>
          <w:spacing w:val="-3"/>
        </w:rPr>
      </w:pPr>
    </w:p>
    <w:p w14:paraId="43F2A630" w14:textId="7009C9F3" w:rsidR="00482A5F" w:rsidRPr="004068F6" w:rsidRDefault="00482A5F">
      <w:pPr>
        <w:numPr>
          <w:ilvl w:val="12"/>
          <w:numId w:val="0"/>
        </w:numPr>
        <w:tabs>
          <w:tab w:val="left" w:pos="-2268"/>
        </w:tabs>
        <w:suppressAutoHyphens/>
        <w:rPr>
          <w:spacing w:val="-3"/>
        </w:rPr>
      </w:pPr>
      <w:r w:rsidRPr="004068F6">
        <w:rPr>
          <w:rFonts w:cs="Arial"/>
          <w:spacing w:val="-3"/>
        </w:rPr>
        <w:t xml:space="preserve">La información relacionada con los servicios sociales debe </w:t>
      </w:r>
      <w:r w:rsidR="00BB755F" w:rsidRPr="004068F6">
        <w:rPr>
          <w:rFonts w:cs="Arial"/>
          <w:spacing w:val="-3"/>
        </w:rPr>
        <w:t xml:space="preserve">describir </w:t>
      </w:r>
      <w:r w:rsidRPr="004068F6">
        <w:rPr>
          <w:rFonts w:cs="Arial"/>
          <w:spacing w:val="-3"/>
        </w:rPr>
        <w:t>las dinámicas de la población para aprovisionarse de servicios de salud, educación, comercialización y en general</w:t>
      </w:r>
      <w:r w:rsidR="00D534E3" w:rsidRPr="004068F6">
        <w:rPr>
          <w:rFonts w:cs="Arial"/>
          <w:spacing w:val="-3"/>
        </w:rPr>
        <w:t xml:space="preserve"> de</w:t>
      </w:r>
      <w:r w:rsidRPr="004068F6">
        <w:rPr>
          <w:rFonts w:cs="Arial"/>
          <w:spacing w:val="-3"/>
        </w:rPr>
        <w:t xml:space="preserve"> servicios del </w:t>
      </w:r>
      <w:r w:rsidR="00BB755F" w:rsidRPr="004068F6">
        <w:rPr>
          <w:rFonts w:cs="Arial"/>
          <w:spacing w:val="-3"/>
        </w:rPr>
        <w:t>E</w:t>
      </w:r>
      <w:r w:rsidRPr="004068F6">
        <w:rPr>
          <w:rFonts w:cs="Arial"/>
          <w:spacing w:val="-3"/>
        </w:rPr>
        <w:t>stado.</w:t>
      </w:r>
    </w:p>
    <w:p w14:paraId="3966E5D8" w14:textId="77777777" w:rsidR="00C717A3" w:rsidRPr="004068F6" w:rsidRDefault="00C717A3">
      <w:pPr>
        <w:numPr>
          <w:ilvl w:val="12"/>
          <w:numId w:val="0"/>
        </w:numPr>
        <w:tabs>
          <w:tab w:val="left" w:pos="-2268"/>
        </w:tabs>
        <w:suppressAutoHyphens/>
        <w:rPr>
          <w:spacing w:val="-3"/>
        </w:rPr>
      </w:pPr>
    </w:p>
    <w:p w14:paraId="4EDE517C" w14:textId="4CF3F36B" w:rsidR="00482A5F" w:rsidRPr="004068F6" w:rsidRDefault="00482A5F" w:rsidP="00482A5F">
      <w:pPr>
        <w:numPr>
          <w:ilvl w:val="12"/>
          <w:numId w:val="0"/>
        </w:numPr>
        <w:tabs>
          <w:tab w:val="left" w:pos="-2268"/>
        </w:tabs>
        <w:suppressAutoHyphens/>
        <w:rPr>
          <w:rFonts w:cs="Arial"/>
          <w:spacing w:val="-3"/>
        </w:rPr>
      </w:pPr>
      <w:r w:rsidRPr="004068F6">
        <w:rPr>
          <w:rFonts w:cs="Arial"/>
          <w:spacing w:val="-3"/>
        </w:rPr>
        <w:t>Dich</w:t>
      </w:r>
      <w:r w:rsidR="00BB755F" w:rsidRPr="004068F6">
        <w:rPr>
          <w:rFonts w:cs="Arial"/>
          <w:spacing w:val="-3"/>
        </w:rPr>
        <w:t>a descripción</w:t>
      </w:r>
      <w:r w:rsidRPr="004068F6">
        <w:rPr>
          <w:rFonts w:cs="Arial"/>
          <w:spacing w:val="-3"/>
        </w:rPr>
        <w:t xml:space="preserve"> debe </w:t>
      </w:r>
      <w:r w:rsidR="00BB755F" w:rsidRPr="004068F6">
        <w:rPr>
          <w:rFonts w:cs="Arial"/>
          <w:spacing w:val="-3"/>
        </w:rPr>
        <w:t xml:space="preserve">referirse </w:t>
      </w:r>
      <w:r w:rsidRPr="004068F6">
        <w:rPr>
          <w:rFonts w:cs="Arial"/>
          <w:spacing w:val="-3"/>
        </w:rPr>
        <w:t xml:space="preserve">además </w:t>
      </w:r>
      <w:r w:rsidR="00BB755F" w:rsidRPr="004068F6">
        <w:rPr>
          <w:rFonts w:cs="Arial"/>
          <w:spacing w:val="-3"/>
        </w:rPr>
        <w:t xml:space="preserve">a </w:t>
      </w:r>
      <w:r w:rsidRPr="004068F6">
        <w:rPr>
          <w:rFonts w:cs="Arial"/>
          <w:spacing w:val="-3"/>
        </w:rPr>
        <w:t>lo siguiente:</w:t>
      </w:r>
    </w:p>
    <w:p w14:paraId="41E8D7EA" w14:textId="77777777" w:rsidR="00482A5F" w:rsidRPr="004068F6" w:rsidRDefault="00482A5F" w:rsidP="00482A5F">
      <w:pPr>
        <w:numPr>
          <w:ilvl w:val="12"/>
          <w:numId w:val="0"/>
        </w:numPr>
        <w:tabs>
          <w:tab w:val="left" w:pos="-2268"/>
        </w:tabs>
        <w:suppressAutoHyphens/>
        <w:rPr>
          <w:rFonts w:cs="Arial"/>
          <w:spacing w:val="-3"/>
        </w:rPr>
      </w:pPr>
    </w:p>
    <w:p w14:paraId="1CB00BFE" w14:textId="77777777" w:rsidR="00482A5F" w:rsidRPr="004068F6" w:rsidRDefault="00482A5F" w:rsidP="00C86DA5">
      <w:pPr>
        <w:numPr>
          <w:ilvl w:val="0"/>
          <w:numId w:val="385"/>
        </w:numPr>
        <w:tabs>
          <w:tab w:val="left" w:pos="-2268"/>
        </w:tabs>
        <w:suppressAutoHyphens/>
        <w:ind w:left="567" w:hanging="567"/>
        <w:rPr>
          <w:spacing w:val="-3"/>
        </w:rPr>
      </w:pPr>
      <w:r w:rsidRPr="004068F6">
        <w:rPr>
          <w:spacing w:val="-3"/>
        </w:rPr>
        <w:t>Infraestructura educativa y de salud (identificación y localización).</w:t>
      </w:r>
    </w:p>
    <w:p w14:paraId="28C8DCE7" w14:textId="77777777" w:rsidR="00482A5F" w:rsidRPr="004068F6" w:rsidRDefault="00482A5F">
      <w:pPr>
        <w:tabs>
          <w:tab w:val="left" w:pos="-2268"/>
        </w:tabs>
        <w:suppressAutoHyphens/>
        <w:rPr>
          <w:spacing w:val="-3"/>
        </w:rPr>
      </w:pPr>
    </w:p>
    <w:p w14:paraId="3CCF444A" w14:textId="77777777" w:rsidR="00482A5F" w:rsidRPr="004068F6" w:rsidRDefault="00482A5F" w:rsidP="00C86DA5">
      <w:pPr>
        <w:numPr>
          <w:ilvl w:val="0"/>
          <w:numId w:val="385"/>
        </w:numPr>
        <w:tabs>
          <w:tab w:val="left" w:pos="-2268"/>
        </w:tabs>
        <w:suppressAutoHyphens/>
        <w:ind w:left="567" w:hanging="567"/>
        <w:rPr>
          <w:spacing w:val="-3"/>
        </w:rPr>
      </w:pPr>
      <w:r w:rsidRPr="004068F6">
        <w:rPr>
          <w:spacing w:val="-3"/>
        </w:rPr>
        <w:t>Infraestructura recreativa y deportiva (identificación y localización).</w:t>
      </w:r>
    </w:p>
    <w:p w14:paraId="767B9176" w14:textId="77777777" w:rsidR="00482A5F" w:rsidRPr="004068F6" w:rsidRDefault="00482A5F">
      <w:pPr>
        <w:tabs>
          <w:tab w:val="left" w:pos="-2268"/>
        </w:tabs>
        <w:suppressAutoHyphens/>
        <w:rPr>
          <w:spacing w:val="-3"/>
        </w:rPr>
      </w:pPr>
    </w:p>
    <w:p w14:paraId="7D88601D" w14:textId="119E973B" w:rsidR="00482A5F" w:rsidRPr="004068F6" w:rsidRDefault="00482A5F" w:rsidP="00C86DA5">
      <w:pPr>
        <w:numPr>
          <w:ilvl w:val="0"/>
          <w:numId w:val="385"/>
        </w:numPr>
        <w:tabs>
          <w:tab w:val="left" w:pos="-2268"/>
        </w:tabs>
        <w:suppressAutoHyphens/>
        <w:ind w:left="567" w:hanging="567"/>
        <w:rPr>
          <w:spacing w:val="-3"/>
        </w:rPr>
      </w:pPr>
      <w:r w:rsidRPr="004068F6">
        <w:rPr>
          <w:spacing w:val="-3"/>
        </w:rPr>
        <w:t>Centros poblados que ofrecen los servicios administrativos y financieros (notaría, inspección de policía, bancos, entre otros) y acceso a servicios sociales. Relaciones funcionales entre los distintos centros poblados y la zona rural.</w:t>
      </w:r>
    </w:p>
    <w:p w14:paraId="73DC294D" w14:textId="77777777" w:rsidR="00482A5F" w:rsidRPr="004068F6" w:rsidRDefault="00482A5F">
      <w:pPr>
        <w:tabs>
          <w:tab w:val="left" w:pos="-2268"/>
        </w:tabs>
        <w:suppressAutoHyphens/>
        <w:rPr>
          <w:spacing w:val="-3"/>
        </w:rPr>
      </w:pPr>
    </w:p>
    <w:p w14:paraId="2CFD4CBD" w14:textId="0C1C7413" w:rsidR="00482A5F" w:rsidRPr="004068F6" w:rsidRDefault="00482A5F" w:rsidP="00C86DA5">
      <w:pPr>
        <w:numPr>
          <w:ilvl w:val="0"/>
          <w:numId w:val="385"/>
        </w:numPr>
        <w:tabs>
          <w:tab w:val="left" w:pos="-2268"/>
        </w:tabs>
        <w:suppressAutoHyphens/>
        <w:ind w:left="567" w:hanging="567"/>
        <w:rPr>
          <w:spacing w:val="-3"/>
        </w:rPr>
      </w:pPr>
      <w:r w:rsidRPr="004068F6">
        <w:rPr>
          <w:spacing w:val="-3"/>
        </w:rPr>
        <w:lastRenderedPageBreak/>
        <w:t xml:space="preserve">Viviendas (tipificación de </w:t>
      </w:r>
      <w:r w:rsidR="00BB755F" w:rsidRPr="004068F6">
        <w:rPr>
          <w:spacing w:val="-3"/>
        </w:rPr>
        <w:t xml:space="preserve">sus </w:t>
      </w:r>
      <w:r w:rsidRPr="004068F6">
        <w:rPr>
          <w:spacing w:val="-3"/>
        </w:rPr>
        <w:t>características).</w:t>
      </w:r>
    </w:p>
    <w:p w14:paraId="0C75BF49" w14:textId="77777777" w:rsidR="00482A5F" w:rsidRPr="004068F6" w:rsidRDefault="00482A5F">
      <w:pPr>
        <w:tabs>
          <w:tab w:val="left" w:pos="-2268"/>
        </w:tabs>
        <w:suppressAutoHyphens/>
        <w:rPr>
          <w:spacing w:val="-3"/>
        </w:rPr>
      </w:pPr>
    </w:p>
    <w:p w14:paraId="1C381815" w14:textId="4295581A" w:rsidR="00482A5F" w:rsidRPr="004068F6" w:rsidRDefault="00482A5F" w:rsidP="00C86DA5">
      <w:pPr>
        <w:numPr>
          <w:ilvl w:val="0"/>
          <w:numId w:val="385"/>
        </w:numPr>
        <w:tabs>
          <w:tab w:val="left" w:pos="-2268"/>
        </w:tabs>
        <w:suppressAutoHyphens/>
        <w:ind w:left="567" w:hanging="567"/>
        <w:rPr>
          <w:spacing w:val="-3"/>
        </w:rPr>
      </w:pPr>
      <w:r w:rsidRPr="004068F6">
        <w:rPr>
          <w:spacing w:val="-3"/>
        </w:rPr>
        <w:t>Infraestructura de transporte vial</w:t>
      </w:r>
      <w:r w:rsidR="0029068C" w:rsidRPr="004068F6">
        <w:rPr>
          <w:spacing w:val="-3"/>
        </w:rPr>
        <w:t xml:space="preserve"> relacionada con </w:t>
      </w:r>
      <w:r w:rsidR="00BB755F" w:rsidRPr="004068F6">
        <w:rPr>
          <w:spacing w:val="-3"/>
        </w:rPr>
        <w:t>vías carreteras</w:t>
      </w:r>
      <w:r w:rsidRPr="004068F6">
        <w:rPr>
          <w:spacing w:val="-3"/>
        </w:rPr>
        <w:t>, aére</w:t>
      </w:r>
      <w:r w:rsidR="00BB755F" w:rsidRPr="004068F6">
        <w:rPr>
          <w:spacing w:val="-3"/>
        </w:rPr>
        <w:t>as</w:t>
      </w:r>
      <w:r w:rsidRPr="004068F6">
        <w:rPr>
          <w:spacing w:val="-3"/>
        </w:rPr>
        <w:t>, ferroviari</w:t>
      </w:r>
      <w:r w:rsidR="00BB755F" w:rsidRPr="004068F6">
        <w:rPr>
          <w:spacing w:val="-3"/>
        </w:rPr>
        <w:t>as</w:t>
      </w:r>
      <w:r w:rsidRPr="004068F6">
        <w:rPr>
          <w:spacing w:val="-3"/>
        </w:rPr>
        <w:t>, fluvial</w:t>
      </w:r>
      <w:r w:rsidR="0029068C" w:rsidRPr="004068F6">
        <w:rPr>
          <w:spacing w:val="-3"/>
        </w:rPr>
        <w:t>es</w:t>
      </w:r>
      <w:r w:rsidRPr="004068F6">
        <w:rPr>
          <w:spacing w:val="-3"/>
        </w:rPr>
        <w:t xml:space="preserve"> y marítim</w:t>
      </w:r>
      <w:r w:rsidR="0029068C" w:rsidRPr="004068F6">
        <w:rPr>
          <w:spacing w:val="-3"/>
        </w:rPr>
        <w:t>as</w:t>
      </w:r>
      <w:r w:rsidRPr="004068F6">
        <w:rPr>
          <w:spacing w:val="-3"/>
        </w:rPr>
        <w:t xml:space="preserve">. Para la infraestructura </w:t>
      </w:r>
      <w:r w:rsidR="0029068C" w:rsidRPr="004068F6">
        <w:rPr>
          <w:spacing w:val="-3"/>
        </w:rPr>
        <w:t>carretera</w:t>
      </w:r>
      <w:r w:rsidRPr="004068F6">
        <w:rPr>
          <w:spacing w:val="-3"/>
        </w:rPr>
        <w:t>, se</w:t>
      </w:r>
      <w:r w:rsidRPr="004068F6" w:rsidDel="00821F9D">
        <w:rPr>
          <w:spacing w:val="-3"/>
        </w:rPr>
        <w:t xml:space="preserve"> </w:t>
      </w:r>
      <w:r w:rsidRPr="004068F6">
        <w:rPr>
          <w:spacing w:val="-3"/>
        </w:rPr>
        <w:t xml:space="preserve">debe hacer énfasis en los accesos veredales y su funcionalidad, así como en la infraestructura </w:t>
      </w:r>
      <w:r w:rsidR="0029068C" w:rsidRPr="004068F6">
        <w:rPr>
          <w:spacing w:val="-3"/>
        </w:rPr>
        <w:t xml:space="preserve">de conexión </w:t>
      </w:r>
      <w:r w:rsidRPr="004068F6">
        <w:rPr>
          <w:spacing w:val="-3"/>
        </w:rPr>
        <w:t>(puentes, tarabitas, planchones</w:t>
      </w:r>
      <w:r w:rsidR="0029068C" w:rsidRPr="004068F6">
        <w:rPr>
          <w:spacing w:val="-3"/>
        </w:rPr>
        <w:t>, entre</w:t>
      </w:r>
      <w:r w:rsidRPr="004068F6">
        <w:rPr>
          <w:spacing w:val="-3"/>
        </w:rPr>
        <w:t xml:space="preserve"> otr</w:t>
      </w:r>
      <w:r w:rsidR="0029068C" w:rsidRPr="004068F6">
        <w:rPr>
          <w:spacing w:val="-3"/>
        </w:rPr>
        <w:t>a</w:t>
      </w:r>
      <w:r w:rsidRPr="004068F6">
        <w:rPr>
          <w:spacing w:val="-3"/>
        </w:rPr>
        <w:t>s)</w:t>
      </w:r>
      <w:r w:rsidR="0029068C" w:rsidRPr="004068F6">
        <w:rPr>
          <w:spacing w:val="-3"/>
        </w:rPr>
        <w:t>.</w:t>
      </w:r>
    </w:p>
    <w:p w14:paraId="2F0098D3" w14:textId="77777777" w:rsidR="00482A5F" w:rsidRPr="004068F6" w:rsidRDefault="00482A5F" w:rsidP="00C86DA5">
      <w:pPr>
        <w:tabs>
          <w:tab w:val="left" w:pos="-2268"/>
        </w:tabs>
        <w:suppressAutoHyphens/>
        <w:rPr>
          <w:spacing w:val="-3"/>
        </w:rPr>
      </w:pPr>
    </w:p>
    <w:p w14:paraId="44F39D29" w14:textId="5514A087" w:rsidR="00482A5F" w:rsidRPr="004068F6" w:rsidRDefault="0029068C" w:rsidP="00C86DA5">
      <w:pPr>
        <w:numPr>
          <w:ilvl w:val="0"/>
          <w:numId w:val="385"/>
        </w:numPr>
        <w:tabs>
          <w:tab w:val="left" w:pos="-2268"/>
        </w:tabs>
        <w:suppressAutoHyphens/>
        <w:ind w:left="567" w:hanging="567"/>
        <w:rPr>
          <w:spacing w:val="-3"/>
        </w:rPr>
      </w:pPr>
      <w:r w:rsidRPr="004068F6">
        <w:rPr>
          <w:spacing w:val="-3"/>
        </w:rPr>
        <w:t>I</w:t>
      </w:r>
      <w:r w:rsidR="000D6F1B" w:rsidRPr="004068F6">
        <w:rPr>
          <w:spacing w:val="-3"/>
        </w:rPr>
        <w:t xml:space="preserve">nfraestructura social y comunitaria presente </w:t>
      </w:r>
      <w:r w:rsidR="008973B3" w:rsidRPr="004068F6">
        <w:rPr>
          <w:spacing w:val="-3"/>
        </w:rPr>
        <w:t>(incluyendo la relacionada con el uso y aprovechamiento de recursos naturales). En este caso</w:t>
      </w:r>
      <w:r w:rsidRPr="004068F6">
        <w:rPr>
          <w:spacing w:val="-3"/>
        </w:rPr>
        <w:t xml:space="preserve">, </w:t>
      </w:r>
      <w:r w:rsidR="008973B3" w:rsidRPr="004068F6">
        <w:rPr>
          <w:spacing w:val="-3"/>
        </w:rPr>
        <w:t xml:space="preserve">se debe </w:t>
      </w:r>
      <w:r w:rsidRPr="004068F6">
        <w:rPr>
          <w:spacing w:val="-3"/>
        </w:rPr>
        <w:t xml:space="preserve">georreferenciar la ubicación de </w:t>
      </w:r>
      <w:r w:rsidR="008973B3" w:rsidRPr="004068F6">
        <w:rPr>
          <w:spacing w:val="-3"/>
        </w:rPr>
        <w:t>dicha infraestructura</w:t>
      </w:r>
      <w:r w:rsidR="00482A5F" w:rsidRPr="004068F6">
        <w:rPr>
          <w:spacing w:val="-3"/>
        </w:rPr>
        <w:t>.</w:t>
      </w:r>
    </w:p>
    <w:p w14:paraId="50E104D0" w14:textId="77777777" w:rsidR="00482A5F" w:rsidRPr="004068F6" w:rsidRDefault="00482A5F" w:rsidP="00C86DA5">
      <w:pPr>
        <w:tabs>
          <w:tab w:val="left" w:pos="-2268"/>
        </w:tabs>
        <w:suppressAutoHyphens/>
        <w:rPr>
          <w:spacing w:val="-3"/>
        </w:rPr>
      </w:pPr>
    </w:p>
    <w:p w14:paraId="328CE0AA" w14:textId="77777777" w:rsidR="00A07E08" w:rsidRPr="004068F6" w:rsidRDefault="00A07E08" w:rsidP="00A07E08">
      <w:pPr>
        <w:pStyle w:val="Prrafodelista"/>
        <w:numPr>
          <w:ilvl w:val="0"/>
          <w:numId w:val="385"/>
        </w:numPr>
        <w:ind w:left="567" w:hanging="567"/>
        <w:rPr>
          <w:spacing w:val="-3"/>
          <w:lang w:val="es-CO"/>
        </w:rPr>
      </w:pPr>
      <w:r w:rsidRPr="004068F6">
        <w:rPr>
          <w:spacing w:val="-3"/>
          <w:lang w:val="es-CO"/>
        </w:rPr>
        <w:t>Infraestructura comunitaria e institucional de patrimonio cultural material e inmaterial, histórico de la humanidad y de la memoria de víctimas del conflicto armado interno y de víctimas de la violencia socio política.</w:t>
      </w:r>
    </w:p>
    <w:p w14:paraId="65E63040" w14:textId="77777777" w:rsidR="00A07E08" w:rsidRPr="004068F6" w:rsidRDefault="00A07E08" w:rsidP="000D6E21">
      <w:pPr>
        <w:tabs>
          <w:tab w:val="left" w:pos="-2268"/>
        </w:tabs>
        <w:suppressAutoHyphens/>
        <w:rPr>
          <w:spacing w:val="-3"/>
        </w:rPr>
      </w:pPr>
    </w:p>
    <w:p w14:paraId="63826E03" w14:textId="0C39163C" w:rsidR="00482A5F" w:rsidRPr="004068F6" w:rsidRDefault="00482A5F" w:rsidP="00C86DA5">
      <w:pPr>
        <w:numPr>
          <w:ilvl w:val="0"/>
          <w:numId w:val="385"/>
        </w:numPr>
        <w:tabs>
          <w:tab w:val="left" w:pos="-2268"/>
        </w:tabs>
        <w:suppressAutoHyphens/>
        <w:ind w:left="567" w:hanging="567"/>
        <w:rPr>
          <w:spacing w:val="-3"/>
        </w:rPr>
      </w:pPr>
      <w:r w:rsidRPr="004068F6">
        <w:rPr>
          <w:spacing w:val="-3"/>
        </w:rPr>
        <w:t xml:space="preserve">Formas de conectividad </w:t>
      </w:r>
      <w:r w:rsidR="00CE7F71" w:rsidRPr="004068F6">
        <w:rPr>
          <w:spacing w:val="-3"/>
        </w:rPr>
        <w:t xml:space="preserve">social </w:t>
      </w:r>
      <w:r w:rsidRPr="004068F6">
        <w:rPr>
          <w:spacing w:val="-3"/>
        </w:rPr>
        <w:t>y dificultades de acceso de las comunidades a centros nucleados de prestación de servicios sociales y trámites legales.</w:t>
      </w:r>
    </w:p>
    <w:p w14:paraId="1DC349C0" w14:textId="77777777" w:rsidR="00482A5F" w:rsidRPr="004068F6" w:rsidRDefault="00482A5F" w:rsidP="00C86DA5">
      <w:pPr>
        <w:tabs>
          <w:tab w:val="left" w:pos="-2268"/>
        </w:tabs>
        <w:suppressAutoHyphens/>
        <w:rPr>
          <w:spacing w:val="-3"/>
        </w:rPr>
      </w:pPr>
    </w:p>
    <w:p w14:paraId="67F10A5D" w14:textId="135F467E" w:rsidR="00482A5F" w:rsidRPr="004068F6" w:rsidRDefault="00482A5F" w:rsidP="00C86DA5">
      <w:pPr>
        <w:numPr>
          <w:ilvl w:val="0"/>
          <w:numId w:val="385"/>
        </w:numPr>
        <w:tabs>
          <w:tab w:val="left" w:pos="-2268"/>
        </w:tabs>
        <w:suppressAutoHyphens/>
        <w:ind w:left="567" w:hanging="567"/>
        <w:rPr>
          <w:spacing w:val="-3"/>
        </w:rPr>
      </w:pPr>
      <w:r w:rsidRPr="004068F6">
        <w:rPr>
          <w:spacing w:val="-3"/>
        </w:rPr>
        <w:t xml:space="preserve">Medios de comunicación </w:t>
      </w:r>
      <w:r w:rsidR="008973B3" w:rsidRPr="004068F6">
        <w:rPr>
          <w:spacing w:val="-3"/>
        </w:rPr>
        <w:t>(</w:t>
      </w:r>
      <w:r w:rsidRPr="004068F6">
        <w:rPr>
          <w:spacing w:val="-3"/>
        </w:rPr>
        <w:t>radio, prensa, internet, televisión</w:t>
      </w:r>
      <w:r w:rsidR="00C16E8C" w:rsidRPr="004068F6">
        <w:rPr>
          <w:spacing w:val="-3"/>
        </w:rPr>
        <w:t>,</w:t>
      </w:r>
      <w:r w:rsidRPr="004068F6">
        <w:rPr>
          <w:spacing w:val="-3"/>
        </w:rPr>
        <w:t xml:space="preserve"> emisoras comunitarias</w:t>
      </w:r>
      <w:r w:rsidR="00C16E8C" w:rsidRPr="004068F6">
        <w:rPr>
          <w:spacing w:val="-3"/>
        </w:rPr>
        <w:t xml:space="preserve"> y tecnologías de la información y la</w:t>
      </w:r>
      <w:r w:rsidR="00C53403" w:rsidRPr="004068F6">
        <w:rPr>
          <w:spacing w:val="-3"/>
        </w:rPr>
        <w:t>s</w:t>
      </w:r>
      <w:r w:rsidR="00C16E8C" w:rsidRPr="004068F6">
        <w:rPr>
          <w:spacing w:val="-3"/>
        </w:rPr>
        <w:t xml:space="preserve"> comunicaci</w:t>
      </w:r>
      <w:r w:rsidR="00C53403" w:rsidRPr="004068F6">
        <w:rPr>
          <w:spacing w:val="-3"/>
        </w:rPr>
        <w:t>ones</w:t>
      </w:r>
      <w:r w:rsidR="008973B3" w:rsidRPr="004068F6">
        <w:rPr>
          <w:spacing w:val="-3"/>
        </w:rPr>
        <w:t>)</w:t>
      </w:r>
      <w:r w:rsidRPr="004068F6">
        <w:rPr>
          <w:spacing w:val="-3"/>
        </w:rPr>
        <w:t>.</w:t>
      </w:r>
    </w:p>
    <w:p w14:paraId="252773CB" w14:textId="77777777" w:rsidR="00482A5F" w:rsidRPr="004068F6" w:rsidRDefault="00482A5F">
      <w:pPr>
        <w:tabs>
          <w:tab w:val="left" w:pos="-2268"/>
        </w:tabs>
        <w:suppressAutoHyphens/>
        <w:rPr>
          <w:spacing w:val="-3"/>
        </w:rPr>
      </w:pPr>
    </w:p>
    <w:p w14:paraId="7591FCB3" w14:textId="6EE1209F" w:rsidR="00482A5F" w:rsidRPr="004068F6" w:rsidRDefault="008973B3" w:rsidP="00C86DA5">
      <w:pPr>
        <w:numPr>
          <w:ilvl w:val="0"/>
          <w:numId w:val="385"/>
        </w:numPr>
        <w:tabs>
          <w:tab w:val="left" w:pos="-2268"/>
        </w:tabs>
        <w:suppressAutoHyphens/>
        <w:ind w:left="567" w:hanging="567"/>
        <w:rPr>
          <w:spacing w:val="-3"/>
        </w:rPr>
      </w:pPr>
      <w:r w:rsidRPr="004068F6">
        <w:rPr>
          <w:spacing w:val="-3"/>
        </w:rPr>
        <w:t>C</w:t>
      </w:r>
      <w:r w:rsidR="00482A5F" w:rsidRPr="004068F6">
        <w:rPr>
          <w:spacing w:val="-3"/>
        </w:rPr>
        <w:t>ondiciones de la movilidad</w:t>
      </w:r>
      <w:r w:rsidRPr="004068F6">
        <w:rPr>
          <w:spacing w:val="-3"/>
        </w:rPr>
        <w:t>. Se deben señalar las</w:t>
      </w:r>
      <w:r w:rsidR="00482A5F" w:rsidRPr="004068F6">
        <w:rPr>
          <w:spacing w:val="-3"/>
        </w:rPr>
        <w:t xml:space="preserve"> frecuencias, </w:t>
      </w:r>
      <w:r w:rsidR="00540F5E" w:rsidRPr="004068F6">
        <w:rPr>
          <w:spacing w:val="-3"/>
        </w:rPr>
        <w:t xml:space="preserve">servicios, </w:t>
      </w:r>
      <w:r w:rsidR="00482A5F" w:rsidRPr="004068F6">
        <w:rPr>
          <w:spacing w:val="-3"/>
        </w:rPr>
        <w:t xml:space="preserve">modalidades y medios de desplazamiento (incluidos desplazamientos </w:t>
      </w:r>
      <w:r w:rsidRPr="004068F6">
        <w:rPr>
          <w:spacing w:val="-3"/>
        </w:rPr>
        <w:t xml:space="preserve">en </w:t>
      </w:r>
      <w:r w:rsidR="00482A5F" w:rsidRPr="004068F6">
        <w:rPr>
          <w:spacing w:val="-3"/>
        </w:rPr>
        <w:t>animal</w:t>
      </w:r>
      <w:r w:rsidRPr="004068F6">
        <w:rPr>
          <w:spacing w:val="-3"/>
        </w:rPr>
        <w:t>es y en bicicleta, así como a pie</w:t>
      </w:r>
      <w:r w:rsidR="00482A5F" w:rsidRPr="004068F6">
        <w:rPr>
          <w:spacing w:val="-3"/>
        </w:rPr>
        <w:t>)</w:t>
      </w:r>
      <w:r w:rsidRPr="004068F6">
        <w:rPr>
          <w:spacing w:val="-3"/>
        </w:rPr>
        <w:t>,</w:t>
      </w:r>
      <w:r w:rsidR="00482A5F" w:rsidRPr="004068F6">
        <w:rPr>
          <w:spacing w:val="-3"/>
        </w:rPr>
        <w:t xml:space="preserve"> de tal manera que </w:t>
      </w:r>
      <w:r w:rsidRPr="004068F6">
        <w:rPr>
          <w:spacing w:val="-3"/>
        </w:rPr>
        <w:t xml:space="preserve">sea posible </w:t>
      </w:r>
      <w:r w:rsidR="00A3333A" w:rsidRPr="004068F6">
        <w:rPr>
          <w:spacing w:val="-3"/>
        </w:rPr>
        <w:t xml:space="preserve">determinar </w:t>
      </w:r>
      <w:r w:rsidR="00482A5F" w:rsidRPr="004068F6">
        <w:rPr>
          <w:spacing w:val="-3"/>
        </w:rPr>
        <w:t>afectaciones a la interconectividad de los pobladores con su entorno y las relaciones sociales, de parentesco y de vecindad.</w:t>
      </w:r>
    </w:p>
    <w:p w14:paraId="7C984394" w14:textId="77777777" w:rsidR="00482A5F" w:rsidRPr="004068F6" w:rsidRDefault="00482A5F" w:rsidP="00C86DA5">
      <w:pPr>
        <w:tabs>
          <w:tab w:val="left" w:pos="-2268"/>
        </w:tabs>
        <w:suppressAutoHyphens/>
        <w:rPr>
          <w:spacing w:val="-3"/>
        </w:rPr>
      </w:pPr>
    </w:p>
    <w:p w14:paraId="78657BF9" w14:textId="123B1CFF" w:rsidR="00482A5F" w:rsidRPr="004068F6" w:rsidRDefault="007013E5" w:rsidP="009420F5">
      <w:pPr>
        <w:numPr>
          <w:ilvl w:val="0"/>
          <w:numId w:val="385"/>
        </w:numPr>
        <w:tabs>
          <w:tab w:val="left" w:pos="-2268"/>
        </w:tabs>
        <w:suppressAutoHyphens/>
        <w:ind w:left="567" w:hanging="567"/>
        <w:rPr>
          <w:spacing w:val="-3"/>
        </w:rPr>
      </w:pPr>
      <w:r w:rsidRPr="004068F6">
        <w:rPr>
          <w:spacing w:val="-3"/>
        </w:rPr>
        <w:t>R</w:t>
      </w:r>
      <w:r w:rsidR="00482A5F" w:rsidRPr="004068F6">
        <w:rPr>
          <w:spacing w:val="-3"/>
        </w:rPr>
        <w:t>elaciones funcionales</w:t>
      </w:r>
      <w:r w:rsidR="00663F8B" w:rsidRPr="004068F6">
        <w:rPr>
          <w:rStyle w:val="Refdenotaalpie"/>
          <w:spacing w:val="-3"/>
          <w:lang w:val="es-CO"/>
        </w:rPr>
        <w:footnoteReference w:id="172"/>
      </w:r>
      <w:r w:rsidR="00482A5F" w:rsidRPr="004068F6">
        <w:rPr>
          <w:spacing w:val="-3"/>
        </w:rPr>
        <w:t xml:space="preserve"> </w:t>
      </w:r>
      <w:r w:rsidR="000951B5" w:rsidRPr="004068F6">
        <w:rPr>
          <w:spacing w:val="-3"/>
        </w:rPr>
        <w:t xml:space="preserve">para acceder e intercambiar servicios públicos y sociales, describiendo las que existan </w:t>
      </w:r>
      <w:r w:rsidR="00482A5F" w:rsidRPr="004068F6">
        <w:rPr>
          <w:spacing w:val="-3"/>
        </w:rPr>
        <w:t xml:space="preserve">entre las distintas </w:t>
      </w:r>
      <w:r w:rsidR="006D75A2" w:rsidRPr="004068F6">
        <w:rPr>
          <w:spacing w:val="-3"/>
        </w:rPr>
        <w:t>unidades de análisis territorial</w:t>
      </w:r>
      <w:r w:rsidR="00145C50" w:rsidRPr="004068F6">
        <w:rPr>
          <w:spacing w:val="-3"/>
        </w:rPr>
        <w:t>, incluyendo</w:t>
      </w:r>
      <w:r w:rsidR="00663F8B" w:rsidRPr="004068F6">
        <w:rPr>
          <w:spacing w:val="-3"/>
        </w:rPr>
        <w:t xml:space="preserve"> </w:t>
      </w:r>
      <w:r w:rsidR="000951B5" w:rsidRPr="004068F6">
        <w:rPr>
          <w:spacing w:val="-3"/>
        </w:rPr>
        <w:t xml:space="preserve">las </w:t>
      </w:r>
      <w:r w:rsidR="00145C50" w:rsidRPr="004068F6">
        <w:rPr>
          <w:spacing w:val="-3"/>
        </w:rPr>
        <w:t xml:space="preserve">que pueden darse </w:t>
      </w:r>
      <w:r w:rsidR="00663F8B" w:rsidRPr="004068F6">
        <w:rPr>
          <w:spacing w:val="-3"/>
        </w:rPr>
        <w:t xml:space="preserve">entre </w:t>
      </w:r>
      <w:r w:rsidR="000951B5" w:rsidRPr="004068F6">
        <w:rPr>
          <w:spacing w:val="-3"/>
        </w:rPr>
        <w:t xml:space="preserve">las </w:t>
      </w:r>
      <w:r w:rsidR="00663F8B" w:rsidRPr="004068F6">
        <w:rPr>
          <w:spacing w:val="-3"/>
        </w:rPr>
        <w:t>cabeceras, centros poblados y corregimientos municipales y la zona rural</w:t>
      </w:r>
      <w:r w:rsidR="00482A5F" w:rsidRPr="004068F6">
        <w:rPr>
          <w:spacing w:val="-3"/>
        </w:rPr>
        <w:t>.</w:t>
      </w:r>
    </w:p>
    <w:p w14:paraId="6851FF5C" w14:textId="77777777" w:rsidR="00482A5F" w:rsidRPr="004068F6" w:rsidRDefault="00482A5F" w:rsidP="00482A5F">
      <w:pPr>
        <w:rPr>
          <w:rFonts w:cs="Arial"/>
        </w:rPr>
      </w:pPr>
      <w:bookmarkStart w:id="2957" w:name="_Toc30501699"/>
    </w:p>
    <w:p w14:paraId="2CBE48A9" w14:textId="18764143" w:rsidR="00482A5F" w:rsidRPr="004068F6" w:rsidRDefault="00482A5F" w:rsidP="002F5664">
      <w:pPr>
        <w:pStyle w:val="Ttulo4"/>
        <w:tabs>
          <w:tab w:val="clear" w:pos="1844"/>
          <w:tab w:val="num" w:pos="1134"/>
        </w:tabs>
        <w:ind w:left="0"/>
        <w:rPr>
          <w:lang w:val="es-CO"/>
        </w:rPr>
      </w:pPr>
      <w:r w:rsidRPr="004068F6">
        <w:rPr>
          <w:lang w:val="es-CO"/>
        </w:rPr>
        <w:t>Económico</w:t>
      </w:r>
      <w:bookmarkEnd w:id="2957"/>
    </w:p>
    <w:p w14:paraId="1AF645E0" w14:textId="77777777" w:rsidR="00482A5F" w:rsidRPr="004068F6" w:rsidRDefault="00482A5F" w:rsidP="00482A5F">
      <w:pPr>
        <w:numPr>
          <w:ilvl w:val="12"/>
          <w:numId w:val="0"/>
        </w:numPr>
        <w:tabs>
          <w:tab w:val="left" w:pos="-2268"/>
        </w:tabs>
        <w:suppressAutoHyphens/>
        <w:rPr>
          <w:rFonts w:cs="Arial"/>
          <w:spacing w:val="-3"/>
        </w:rPr>
      </w:pPr>
    </w:p>
    <w:p w14:paraId="3BEB8C35" w14:textId="5FC14F14" w:rsidR="00482A5F" w:rsidRPr="004068F6" w:rsidRDefault="00A2563F" w:rsidP="00482A5F">
      <w:pPr>
        <w:numPr>
          <w:ilvl w:val="12"/>
          <w:numId w:val="0"/>
        </w:numPr>
        <w:tabs>
          <w:tab w:val="left" w:pos="-2268"/>
        </w:tabs>
        <w:suppressAutoHyphens/>
        <w:rPr>
          <w:rFonts w:cs="Arial"/>
          <w:spacing w:val="-3"/>
        </w:rPr>
      </w:pPr>
      <w:r w:rsidRPr="004068F6">
        <w:rPr>
          <w:spacing w:val="-3"/>
        </w:rPr>
        <w:t xml:space="preserve">Se deben </w:t>
      </w:r>
      <w:r w:rsidR="00A3333A" w:rsidRPr="004068F6">
        <w:rPr>
          <w:spacing w:val="-3"/>
        </w:rPr>
        <w:t>determinar</w:t>
      </w:r>
      <w:r w:rsidRPr="004068F6">
        <w:rPr>
          <w:spacing w:val="-3"/>
        </w:rPr>
        <w:t xml:space="preserve">, describir y analizar </w:t>
      </w:r>
      <w:r w:rsidRPr="004068F6">
        <w:rPr>
          <w:rFonts w:cs="Arial"/>
          <w:spacing w:val="-3"/>
        </w:rPr>
        <w:t>las actividades económicas</w:t>
      </w:r>
      <w:r w:rsidRPr="004068F6">
        <w:rPr>
          <w:spacing w:val="-3"/>
        </w:rPr>
        <w:t xml:space="preserve"> de </w:t>
      </w:r>
      <w:r w:rsidR="00482A5F" w:rsidRPr="004068F6">
        <w:rPr>
          <w:spacing w:val="-3"/>
        </w:rPr>
        <w:t xml:space="preserve">las </w:t>
      </w:r>
      <w:r w:rsidR="006D75A2" w:rsidRPr="004068F6">
        <w:rPr>
          <w:spacing w:val="-3"/>
        </w:rPr>
        <w:t>unidades de análisis territorial</w:t>
      </w:r>
      <w:r w:rsidRPr="004068F6">
        <w:rPr>
          <w:rFonts w:cs="Arial"/>
          <w:spacing w:val="-3"/>
        </w:rPr>
        <w:t>.</w:t>
      </w:r>
      <w:r w:rsidR="00496D33" w:rsidRPr="004068F6">
        <w:rPr>
          <w:rFonts w:cs="Arial"/>
          <w:spacing w:val="-3"/>
        </w:rPr>
        <w:t xml:space="preserve"> Dicho </w:t>
      </w:r>
      <w:r w:rsidR="00482A5F" w:rsidRPr="004068F6">
        <w:rPr>
          <w:rFonts w:cs="Arial"/>
          <w:spacing w:val="-3"/>
        </w:rPr>
        <w:t>análisis debe considerar lo siguiente:</w:t>
      </w:r>
    </w:p>
    <w:p w14:paraId="566E9209" w14:textId="77777777" w:rsidR="00482A5F" w:rsidRPr="004068F6" w:rsidRDefault="00482A5F">
      <w:pPr>
        <w:numPr>
          <w:ilvl w:val="12"/>
          <w:numId w:val="0"/>
        </w:numPr>
        <w:tabs>
          <w:tab w:val="left" w:pos="-2268"/>
        </w:tabs>
        <w:suppressAutoHyphens/>
        <w:rPr>
          <w:spacing w:val="-3"/>
        </w:rPr>
      </w:pPr>
    </w:p>
    <w:p w14:paraId="2E0ACDCC" w14:textId="7411DAF3" w:rsidR="00B57084" w:rsidRPr="004068F6" w:rsidRDefault="00A07E08" w:rsidP="008A4FE9">
      <w:pPr>
        <w:numPr>
          <w:ilvl w:val="0"/>
          <w:numId w:val="389"/>
        </w:numPr>
        <w:tabs>
          <w:tab w:val="left" w:pos="-2268"/>
        </w:tabs>
        <w:suppressAutoHyphens/>
        <w:ind w:left="567" w:hanging="567"/>
        <w:rPr>
          <w:rFonts w:cs="Arial"/>
          <w:spacing w:val="-3"/>
        </w:rPr>
      </w:pPr>
      <w:r w:rsidRPr="004068F6">
        <w:rPr>
          <w:spacing w:val="-3"/>
        </w:rPr>
        <w:lastRenderedPageBreak/>
        <w:t xml:space="preserve">Distribución </w:t>
      </w:r>
      <w:r w:rsidR="00482A5F" w:rsidRPr="004068F6">
        <w:rPr>
          <w:spacing w:val="-3"/>
        </w:rPr>
        <w:t xml:space="preserve">de la propiedad </w:t>
      </w:r>
      <w:r w:rsidR="00496D33" w:rsidRPr="004068F6">
        <w:rPr>
          <w:spacing w:val="-3"/>
        </w:rPr>
        <w:t xml:space="preserve">rural de acuerdo con las categorías </w:t>
      </w:r>
      <w:r w:rsidR="00663F8B" w:rsidRPr="004068F6">
        <w:rPr>
          <w:spacing w:val="-3"/>
        </w:rPr>
        <w:t xml:space="preserve">(micro, minifundio, pequeña, mediana y gran propiedad) </w:t>
      </w:r>
      <w:r w:rsidR="00496D33" w:rsidRPr="004068F6">
        <w:rPr>
          <w:spacing w:val="-3"/>
        </w:rPr>
        <w:t xml:space="preserve">establecidas en el numeral de metodología y tratamiento de la </w:t>
      </w:r>
      <w:r w:rsidR="00437235" w:rsidRPr="004068F6">
        <w:rPr>
          <w:spacing w:val="-3"/>
        </w:rPr>
        <w:t>i</w:t>
      </w:r>
      <w:r w:rsidR="00496D33" w:rsidRPr="004068F6">
        <w:rPr>
          <w:spacing w:val="-3"/>
        </w:rPr>
        <w:t xml:space="preserve">nformación del Atlas </w:t>
      </w:r>
      <w:r w:rsidR="00437235" w:rsidRPr="004068F6">
        <w:rPr>
          <w:spacing w:val="-3"/>
        </w:rPr>
        <w:t>de la Distribución de la propiedad rural en Colombia</w:t>
      </w:r>
      <w:r w:rsidR="00021D9A" w:rsidRPr="004068F6">
        <w:rPr>
          <w:spacing w:val="-3"/>
        </w:rPr>
        <w:t xml:space="preserve"> publicado por IGAC (2012)</w:t>
      </w:r>
      <w:r w:rsidR="004E0E57" w:rsidRPr="004068F6">
        <w:rPr>
          <w:spacing w:val="-3"/>
        </w:rPr>
        <w:t xml:space="preserve">; </w:t>
      </w:r>
      <w:r w:rsidR="00482A5F" w:rsidRPr="004068F6">
        <w:rPr>
          <w:spacing w:val="-3"/>
        </w:rPr>
        <w:t>formas de tenencia</w:t>
      </w:r>
      <w:r w:rsidR="004E0E57" w:rsidRPr="004068F6">
        <w:rPr>
          <w:spacing w:val="-3"/>
        </w:rPr>
        <w:t xml:space="preserve"> </w:t>
      </w:r>
      <w:r w:rsidR="004E0E57" w:rsidRPr="004068F6">
        <w:rPr>
          <w:rFonts w:cs="Arial"/>
          <w:spacing w:val="-3"/>
        </w:rPr>
        <w:t>de acuerdo con las categorías (</w:t>
      </w:r>
      <w:r w:rsidR="004E0E57" w:rsidRPr="004068F6">
        <w:t>propiedad, arriendo, aparcería, usufructo, comodato, ocupación de hecho, propiedad colectiva y adjudicatario o comunero</w:t>
      </w:r>
      <w:r w:rsidR="004E0E57" w:rsidRPr="004068F6">
        <w:rPr>
          <w:rFonts w:cs="Arial"/>
          <w:spacing w:val="-3"/>
        </w:rPr>
        <w:t xml:space="preserve">) establecidas en la </w:t>
      </w:r>
      <w:r w:rsidR="004E0E57" w:rsidRPr="004068F6">
        <w:t xml:space="preserve">Ficha Metodológica del tercer Censo Nacional Agropecuario del </w:t>
      </w:r>
      <w:r w:rsidR="004E0E57" w:rsidRPr="004068F6">
        <w:rPr>
          <w:rFonts w:cs="Arial"/>
          <w:spacing w:val="-3"/>
        </w:rPr>
        <w:t>DANE (2016)</w:t>
      </w:r>
      <w:r w:rsidR="00C2537E" w:rsidRPr="004068F6">
        <w:rPr>
          <w:rFonts w:cs="Arial"/>
          <w:spacing w:val="-3"/>
        </w:rPr>
        <w:t>;</w:t>
      </w:r>
      <w:r w:rsidR="004318E7" w:rsidRPr="004068F6">
        <w:rPr>
          <w:rFonts w:cs="Arial"/>
          <w:spacing w:val="-3"/>
        </w:rPr>
        <w:t xml:space="preserve"> </w:t>
      </w:r>
      <w:r w:rsidR="00C2537E" w:rsidRPr="004068F6">
        <w:rPr>
          <w:rFonts w:cs="Arial"/>
          <w:spacing w:val="-3"/>
        </w:rPr>
        <w:t xml:space="preserve">asimismo debe contemplar </w:t>
      </w:r>
      <w:r w:rsidR="00482A5F" w:rsidRPr="004068F6">
        <w:rPr>
          <w:rFonts w:cs="Arial"/>
          <w:spacing w:val="-3"/>
        </w:rPr>
        <w:t>zonas estratégicas para el desarrollo de actividades económicas y la sostenibilidad ambiental</w:t>
      </w:r>
      <w:r w:rsidR="00C2537E" w:rsidRPr="004068F6">
        <w:rPr>
          <w:rFonts w:cs="Arial"/>
          <w:spacing w:val="-3"/>
        </w:rPr>
        <w:t>,</w:t>
      </w:r>
      <w:r w:rsidR="00482A5F" w:rsidRPr="004068F6">
        <w:rPr>
          <w:rFonts w:cs="Arial"/>
          <w:spacing w:val="-3"/>
        </w:rPr>
        <w:t xml:space="preserve"> tales como</w:t>
      </w:r>
      <w:r w:rsidR="00482A5F" w:rsidRPr="004068F6">
        <w:rPr>
          <w:spacing w:val="-3"/>
        </w:rPr>
        <w:t xml:space="preserve"> zonas de reserva campesina, zonas de desarrollo empresarial, </w:t>
      </w:r>
      <w:r w:rsidR="006F2F41" w:rsidRPr="004068F6">
        <w:rPr>
          <w:spacing w:val="-3"/>
        </w:rPr>
        <w:t>Z</w:t>
      </w:r>
      <w:r w:rsidR="00482A5F" w:rsidRPr="004068F6">
        <w:rPr>
          <w:spacing w:val="-3"/>
        </w:rPr>
        <w:t>onas de Interés de Desarrollo Rural</w:t>
      </w:r>
      <w:r w:rsidR="006F2F41" w:rsidRPr="004068F6">
        <w:rPr>
          <w:spacing w:val="-3"/>
        </w:rPr>
        <w:t>,</w:t>
      </w:r>
      <w:r w:rsidR="00482A5F" w:rsidRPr="004068F6">
        <w:rPr>
          <w:spacing w:val="-3"/>
        </w:rPr>
        <w:t xml:space="preserve"> Económico y Social (ZIDRES),</w:t>
      </w:r>
      <w:r w:rsidR="00482A5F" w:rsidRPr="004068F6">
        <w:rPr>
          <w:rFonts w:cs="Arial"/>
          <w:spacing w:val="-3"/>
        </w:rPr>
        <w:t xml:space="preserve"> </w:t>
      </w:r>
      <w:r w:rsidR="00482A5F" w:rsidRPr="004068F6">
        <w:rPr>
          <w:spacing w:val="-3"/>
        </w:rPr>
        <w:t>entre otras</w:t>
      </w:r>
      <w:r w:rsidR="00B57084" w:rsidRPr="004068F6">
        <w:rPr>
          <w:spacing w:val="-3"/>
        </w:rPr>
        <w:t>.</w:t>
      </w:r>
    </w:p>
    <w:p w14:paraId="069A8F8F" w14:textId="77777777" w:rsidR="00B57084" w:rsidRPr="004068F6" w:rsidRDefault="00B57084" w:rsidP="009420F5">
      <w:pPr>
        <w:tabs>
          <w:tab w:val="left" w:pos="-2268"/>
        </w:tabs>
        <w:suppressAutoHyphens/>
        <w:rPr>
          <w:rFonts w:cs="Arial"/>
          <w:spacing w:val="-3"/>
        </w:rPr>
      </w:pPr>
    </w:p>
    <w:p w14:paraId="5EB37BAD" w14:textId="5C86596D" w:rsidR="00A07E08" w:rsidRPr="004068F6" w:rsidRDefault="00482A5F" w:rsidP="000D6E21">
      <w:pPr>
        <w:pStyle w:val="Prrafodelista"/>
        <w:numPr>
          <w:ilvl w:val="0"/>
          <w:numId w:val="389"/>
        </w:numPr>
        <w:ind w:left="567" w:hanging="567"/>
        <w:rPr>
          <w:spacing w:val="-3"/>
          <w:lang w:val="es-CO"/>
        </w:rPr>
      </w:pPr>
      <w:r w:rsidRPr="00127BD4">
        <w:rPr>
          <w:spacing w:val="-3"/>
          <w:lang w:val="es-CO"/>
        </w:rPr>
        <w:t>Actividades productivas de los sectores primario, secundario y terciario, describiendo los procesos productivos y tecnológicos, e identificando los actores que las desarrollan y los recursos naturales utilizados por la población para su aprovechamiento o abastecimiento</w:t>
      </w:r>
      <w:r w:rsidR="004318E7" w:rsidRPr="00127BD4">
        <w:rPr>
          <w:spacing w:val="-3"/>
          <w:lang w:val="es-CO"/>
        </w:rPr>
        <w:t>.</w:t>
      </w:r>
      <w:r w:rsidR="00A07E08" w:rsidRPr="00127BD4">
        <w:rPr>
          <w:spacing w:val="-3"/>
          <w:lang w:val="es-CO"/>
        </w:rPr>
        <w:t xml:space="preserve"> </w:t>
      </w:r>
      <w:r w:rsidR="00A07E08" w:rsidRPr="004068F6">
        <w:rPr>
          <w:spacing w:val="-3"/>
          <w:lang w:val="es-CO"/>
        </w:rPr>
        <w:t xml:space="preserve">Se debe analizar la contribución a la economía regional o municipal de cada uno de estos sectores e identificar su importancia en el contexto local; </w:t>
      </w:r>
      <w:r w:rsidR="004E202E" w:rsidRPr="004068F6">
        <w:rPr>
          <w:spacing w:val="-3"/>
          <w:lang w:val="es-CO"/>
        </w:rPr>
        <w:t xml:space="preserve">asimismo, </w:t>
      </w:r>
      <w:r w:rsidR="00A07E08" w:rsidRPr="004068F6">
        <w:rPr>
          <w:spacing w:val="-3"/>
          <w:lang w:val="es-CO"/>
        </w:rPr>
        <w:t>se deben señalar los volúmenes aproximados de producción, tecnologías empleadas, centros productivos e infraestructura asociada y niveles de ingreso.</w:t>
      </w:r>
    </w:p>
    <w:p w14:paraId="7317CEA0" w14:textId="77777777" w:rsidR="004318E7" w:rsidRPr="004068F6" w:rsidRDefault="004318E7" w:rsidP="00C86DA5">
      <w:pPr>
        <w:tabs>
          <w:tab w:val="left" w:pos="-2268"/>
        </w:tabs>
        <w:suppressAutoHyphens/>
        <w:ind w:left="567" w:hanging="567"/>
        <w:rPr>
          <w:spacing w:val="-3"/>
        </w:rPr>
      </w:pPr>
    </w:p>
    <w:p w14:paraId="32E53618" w14:textId="04E7F933" w:rsidR="00482A5F" w:rsidRPr="004068F6" w:rsidRDefault="00482A5F" w:rsidP="00C86DA5">
      <w:pPr>
        <w:numPr>
          <w:ilvl w:val="0"/>
          <w:numId w:val="389"/>
        </w:numPr>
        <w:tabs>
          <w:tab w:val="left" w:pos="-2268"/>
        </w:tabs>
        <w:suppressAutoHyphens/>
        <w:ind w:left="567" w:hanging="567"/>
        <w:rPr>
          <w:rFonts w:cs="Arial"/>
          <w:spacing w:val="-3"/>
        </w:rPr>
      </w:pPr>
      <w:r w:rsidRPr="004068F6">
        <w:rPr>
          <w:rFonts w:cs="Arial"/>
          <w:spacing w:val="-3"/>
        </w:rPr>
        <w:t>Actividades económicas informales</w:t>
      </w:r>
      <w:r w:rsidRPr="004068F6">
        <w:rPr>
          <w:rFonts w:cs="Arial"/>
          <w:spacing w:val="-3"/>
          <w:vertAlign w:val="superscript"/>
        </w:rPr>
        <w:footnoteReference w:id="173"/>
      </w:r>
      <w:r w:rsidR="00C2537E" w:rsidRPr="004068F6">
        <w:rPr>
          <w:rFonts w:cs="Arial"/>
          <w:spacing w:val="-3"/>
        </w:rPr>
        <w:t>,</w:t>
      </w:r>
      <w:r w:rsidRPr="004068F6">
        <w:rPr>
          <w:rFonts w:cs="Arial"/>
          <w:spacing w:val="-3"/>
        </w:rPr>
        <w:t xml:space="preserve"> como por ejemplo aquellas realizadas a borde de carreteras y en zonas rurales aledañas al </w:t>
      </w:r>
      <w:r w:rsidR="00676DE6" w:rsidRPr="004068F6">
        <w:rPr>
          <w:rFonts w:cs="Arial"/>
          <w:spacing w:val="-3"/>
        </w:rPr>
        <w:t>proyecto, obra o actividad</w:t>
      </w:r>
      <w:r w:rsidRPr="004068F6">
        <w:rPr>
          <w:rFonts w:cs="Arial"/>
          <w:spacing w:val="-3"/>
        </w:rPr>
        <w:t xml:space="preserve">, especialmente aquellas que puedan resultar afectadas por el </w:t>
      </w:r>
      <w:r w:rsidR="00676DE6" w:rsidRPr="004068F6">
        <w:rPr>
          <w:rFonts w:cs="Arial"/>
          <w:spacing w:val="-3"/>
        </w:rPr>
        <w:t>proyecto, obra o actividad</w:t>
      </w:r>
      <w:r w:rsidRPr="004068F6">
        <w:rPr>
          <w:rFonts w:cs="Arial"/>
          <w:spacing w:val="-3"/>
        </w:rPr>
        <w:t>.</w:t>
      </w:r>
    </w:p>
    <w:p w14:paraId="1E58FAAE" w14:textId="77777777" w:rsidR="00482A5F" w:rsidRPr="004068F6" w:rsidRDefault="00482A5F" w:rsidP="004318E7">
      <w:pPr>
        <w:tabs>
          <w:tab w:val="left" w:pos="-2268"/>
        </w:tabs>
        <w:suppressAutoHyphens/>
        <w:ind w:left="567" w:hanging="567"/>
        <w:rPr>
          <w:spacing w:val="-3"/>
        </w:rPr>
      </w:pPr>
    </w:p>
    <w:p w14:paraId="5695B562" w14:textId="211A19DF" w:rsidR="00482A5F" w:rsidRPr="004068F6" w:rsidRDefault="00482A5F" w:rsidP="00C86DA5">
      <w:pPr>
        <w:numPr>
          <w:ilvl w:val="0"/>
          <w:numId w:val="389"/>
        </w:numPr>
        <w:tabs>
          <w:tab w:val="left" w:pos="-2268"/>
        </w:tabs>
        <w:suppressAutoHyphens/>
        <w:overflowPunct/>
        <w:autoSpaceDE/>
        <w:autoSpaceDN/>
        <w:adjustRightInd/>
        <w:ind w:left="567" w:hanging="567"/>
        <w:textAlignment w:val="auto"/>
        <w:rPr>
          <w:spacing w:val="-3"/>
        </w:rPr>
      </w:pPr>
      <w:r w:rsidRPr="004068F6">
        <w:rPr>
          <w:spacing w:val="-3"/>
        </w:rPr>
        <w:t xml:space="preserve">Actividades económicas relacionadas con el turismo o la recreación, </w:t>
      </w:r>
      <w:r w:rsidRPr="004068F6">
        <w:rPr>
          <w:rFonts w:cs="Arial"/>
          <w:spacing w:val="-3"/>
        </w:rPr>
        <w:t xml:space="preserve">especialmente aquellas desarrolladas en torno a un atractivo natural (ecoturismo) o en entornos rurales. </w:t>
      </w:r>
      <w:r w:rsidR="00BC00C5" w:rsidRPr="004068F6">
        <w:rPr>
          <w:rFonts w:cs="Arial"/>
          <w:spacing w:val="-3"/>
        </w:rPr>
        <w:t>Determinar</w:t>
      </w:r>
      <w:r w:rsidR="00BC00C5" w:rsidRPr="004068F6">
        <w:rPr>
          <w:spacing w:val="-3"/>
        </w:rPr>
        <w:t xml:space="preserve"> </w:t>
      </w:r>
      <w:r w:rsidRPr="004068F6">
        <w:rPr>
          <w:spacing w:val="-3"/>
        </w:rPr>
        <w:t xml:space="preserve">los agentes económicos que intervienen en las mismas, </w:t>
      </w:r>
      <w:r w:rsidR="00C2537E" w:rsidRPr="004068F6">
        <w:rPr>
          <w:spacing w:val="-3"/>
        </w:rPr>
        <w:t xml:space="preserve">así como los </w:t>
      </w:r>
      <w:r w:rsidRPr="004068F6">
        <w:rPr>
          <w:spacing w:val="-3"/>
        </w:rPr>
        <w:t xml:space="preserve">insumos, infraestructura, dinámica y demás elementos que las constituyen. </w:t>
      </w:r>
    </w:p>
    <w:p w14:paraId="485C5814" w14:textId="77777777" w:rsidR="00482A5F" w:rsidRPr="004068F6" w:rsidRDefault="00482A5F" w:rsidP="004318E7">
      <w:pPr>
        <w:ind w:left="567" w:hanging="567"/>
        <w:rPr>
          <w:rFonts w:cs="Arial"/>
          <w:spacing w:val="-3"/>
        </w:rPr>
      </w:pPr>
    </w:p>
    <w:p w14:paraId="5541F290" w14:textId="77777777" w:rsidR="00D01A36" w:rsidRPr="004068F6" w:rsidRDefault="00D01A36" w:rsidP="009420F5">
      <w:pPr>
        <w:numPr>
          <w:ilvl w:val="0"/>
          <w:numId w:val="389"/>
        </w:numPr>
        <w:tabs>
          <w:tab w:val="left" w:pos="-2268"/>
        </w:tabs>
        <w:suppressAutoHyphens/>
        <w:overflowPunct/>
        <w:autoSpaceDE/>
        <w:autoSpaceDN/>
        <w:adjustRightInd/>
        <w:ind w:left="567" w:hanging="567"/>
        <w:textAlignment w:val="auto"/>
        <w:rPr>
          <w:spacing w:val="-3"/>
        </w:rPr>
      </w:pPr>
      <w:r w:rsidRPr="004068F6">
        <w:rPr>
          <w:spacing w:val="-3"/>
        </w:rPr>
        <w:t>Actividades económicas asociadas a negocios verdes o prácticas pecuarias sostenibles, que contribuyan a la generación de beneficios ambientales y a la conservación de los recursos naturales y el ambiente.</w:t>
      </w:r>
    </w:p>
    <w:p w14:paraId="04308A9A" w14:textId="77777777" w:rsidR="00D01A36" w:rsidRPr="004068F6" w:rsidRDefault="00D01A36" w:rsidP="004318E7">
      <w:pPr>
        <w:ind w:left="567" w:hanging="567"/>
        <w:rPr>
          <w:rFonts w:cs="Arial"/>
          <w:spacing w:val="-3"/>
        </w:rPr>
      </w:pPr>
    </w:p>
    <w:p w14:paraId="19ABCB30" w14:textId="485FD408" w:rsidR="00482A5F" w:rsidRPr="004068F6" w:rsidRDefault="00482A5F" w:rsidP="00C86DA5">
      <w:pPr>
        <w:numPr>
          <w:ilvl w:val="0"/>
          <w:numId w:val="389"/>
        </w:numPr>
        <w:tabs>
          <w:tab w:val="left" w:pos="-2268"/>
        </w:tabs>
        <w:suppressAutoHyphens/>
        <w:ind w:left="567" w:hanging="567"/>
        <w:rPr>
          <w:rFonts w:cs="Arial"/>
          <w:spacing w:val="-3"/>
        </w:rPr>
      </w:pPr>
      <w:r w:rsidRPr="004068F6">
        <w:rPr>
          <w:rFonts w:cs="Arial"/>
          <w:spacing w:val="-3"/>
        </w:rPr>
        <w:t>Programas y proyectos productivos privados, públicos o comunitarios existentes, orientados a la sostenibilidad ambiental, social y económica que aporten al desarrollo local.</w:t>
      </w:r>
    </w:p>
    <w:p w14:paraId="6E9EB4B2" w14:textId="77777777" w:rsidR="00482A5F" w:rsidRPr="004068F6" w:rsidRDefault="00482A5F" w:rsidP="004318E7">
      <w:pPr>
        <w:tabs>
          <w:tab w:val="left" w:pos="-2268"/>
        </w:tabs>
        <w:suppressAutoHyphens/>
        <w:ind w:left="567" w:hanging="567"/>
        <w:rPr>
          <w:spacing w:val="-3"/>
        </w:rPr>
      </w:pPr>
    </w:p>
    <w:p w14:paraId="5986FCB6" w14:textId="0B9607A3" w:rsidR="00482A5F" w:rsidRPr="004068F6" w:rsidRDefault="00482A5F" w:rsidP="00C86DA5">
      <w:pPr>
        <w:numPr>
          <w:ilvl w:val="0"/>
          <w:numId w:val="389"/>
        </w:numPr>
        <w:tabs>
          <w:tab w:val="left" w:pos="-2268"/>
        </w:tabs>
        <w:suppressAutoHyphens/>
        <w:ind w:left="567" w:hanging="567"/>
        <w:rPr>
          <w:spacing w:val="-3"/>
        </w:rPr>
      </w:pPr>
      <w:r w:rsidRPr="004068F6">
        <w:rPr>
          <w:spacing w:val="-3"/>
        </w:rPr>
        <w:t>Características del mercado laboral actual en cuanto al tipo de mano de obra y la forma de c</w:t>
      </w:r>
      <w:r w:rsidR="00163A42" w:rsidRPr="004068F6">
        <w:rPr>
          <w:spacing w:val="-3"/>
        </w:rPr>
        <w:t xml:space="preserve">ondición laboral </w:t>
      </w:r>
      <w:r w:rsidR="006B15A0" w:rsidRPr="004068F6">
        <w:rPr>
          <w:spacing w:val="-3"/>
        </w:rPr>
        <w:t xml:space="preserve">del </w:t>
      </w:r>
      <w:r w:rsidR="00163A42" w:rsidRPr="004068F6">
        <w:rPr>
          <w:spacing w:val="-3"/>
        </w:rPr>
        <w:t xml:space="preserve">empleo </w:t>
      </w:r>
      <w:r w:rsidR="00163A42" w:rsidRPr="004068F6">
        <w:rPr>
          <w:rFonts w:cs="Arial"/>
          <w:spacing w:val="-3"/>
        </w:rPr>
        <w:t>(</w:t>
      </w:r>
      <w:r w:rsidR="00163A42" w:rsidRPr="004068F6">
        <w:rPr>
          <w:spacing w:val="-3"/>
        </w:rPr>
        <w:t>formal</w:t>
      </w:r>
      <w:r w:rsidRPr="004068F6">
        <w:rPr>
          <w:rFonts w:cs="Arial"/>
          <w:spacing w:val="-3"/>
        </w:rPr>
        <w:t>-</w:t>
      </w:r>
      <w:r w:rsidRPr="004068F6">
        <w:rPr>
          <w:spacing w:val="-3"/>
        </w:rPr>
        <w:t>informal</w:t>
      </w:r>
      <w:r w:rsidRPr="004068F6">
        <w:rPr>
          <w:rFonts w:cs="Arial"/>
          <w:spacing w:val="-3"/>
        </w:rPr>
        <w:t>), población ocupada</w:t>
      </w:r>
      <w:r w:rsidRPr="004068F6">
        <w:rPr>
          <w:spacing w:val="-3"/>
        </w:rPr>
        <w:t xml:space="preserve"> y </w:t>
      </w:r>
      <w:r w:rsidRPr="004068F6">
        <w:rPr>
          <w:rFonts w:cs="Arial"/>
          <w:spacing w:val="-3"/>
        </w:rPr>
        <w:t>desocupada,</w:t>
      </w:r>
      <w:r w:rsidRPr="004068F6">
        <w:rPr>
          <w:spacing w:val="-3"/>
        </w:rPr>
        <w:t xml:space="preserve"> y porcentajes de distribución en las principales actividades económicas.</w:t>
      </w:r>
      <w:r w:rsidRPr="004068F6">
        <w:rPr>
          <w:rFonts w:cs="Arial"/>
          <w:spacing w:val="-3"/>
        </w:rPr>
        <w:t xml:space="preserve"> </w:t>
      </w:r>
      <w:r w:rsidR="004E202E" w:rsidRPr="004068F6">
        <w:t>La información debe desagregarse generando datos específicos sobre mujeres, jóvenes, comunidades indígenas, comunidades negras, brecha urbano - rural, entre otros.</w:t>
      </w:r>
    </w:p>
    <w:p w14:paraId="2A99A943" w14:textId="77777777" w:rsidR="00482A5F" w:rsidRPr="004068F6" w:rsidRDefault="00482A5F" w:rsidP="004318E7">
      <w:pPr>
        <w:tabs>
          <w:tab w:val="left" w:pos="-2268"/>
        </w:tabs>
        <w:suppressAutoHyphens/>
        <w:ind w:left="567" w:hanging="567"/>
        <w:rPr>
          <w:spacing w:val="-3"/>
        </w:rPr>
      </w:pPr>
    </w:p>
    <w:p w14:paraId="63FF2C54" w14:textId="6373014E" w:rsidR="00482A5F" w:rsidRPr="004068F6" w:rsidRDefault="00482A5F" w:rsidP="00C86DA5">
      <w:pPr>
        <w:numPr>
          <w:ilvl w:val="0"/>
          <w:numId w:val="389"/>
        </w:numPr>
        <w:overflowPunct/>
        <w:autoSpaceDE/>
        <w:autoSpaceDN/>
        <w:adjustRightInd/>
        <w:ind w:left="567" w:hanging="567"/>
        <w:textAlignment w:val="auto"/>
        <w:rPr>
          <w:rFonts w:cs="Arial"/>
          <w:color w:val="000000"/>
        </w:rPr>
      </w:pPr>
      <w:r w:rsidRPr="004068F6">
        <w:rPr>
          <w:color w:val="000000"/>
        </w:rPr>
        <w:t>Tendencias del empleo en el corto y mediano plazo</w:t>
      </w:r>
      <w:r w:rsidR="00210CE4" w:rsidRPr="004068F6">
        <w:rPr>
          <w:color w:val="000000"/>
        </w:rPr>
        <w:t>, fuentes principales de empleo y centros de formación para el empleo</w:t>
      </w:r>
      <w:r w:rsidRPr="004068F6">
        <w:rPr>
          <w:color w:val="000000"/>
        </w:rPr>
        <w:t>.</w:t>
      </w:r>
      <w:bookmarkStart w:id="2958" w:name="_Toc30501700"/>
    </w:p>
    <w:p w14:paraId="36896F72" w14:textId="77777777" w:rsidR="00B832B2" w:rsidRPr="00127BD4" w:rsidRDefault="00B832B2" w:rsidP="00127BD4">
      <w:pPr>
        <w:rPr>
          <w:rFonts w:cs="Arial"/>
          <w:color w:val="000000"/>
        </w:rPr>
      </w:pPr>
    </w:p>
    <w:p w14:paraId="238EC0DC" w14:textId="5D63BEDC" w:rsidR="00B832B2" w:rsidRPr="004068F6" w:rsidRDefault="00BA029E" w:rsidP="00C86DA5">
      <w:pPr>
        <w:numPr>
          <w:ilvl w:val="0"/>
          <w:numId w:val="389"/>
        </w:numPr>
        <w:overflowPunct/>
        <w:autoSpaceDE/>
        <w:autoSpaceDN/>
        <w:adjustRightInd/>
        <w:ind w:left="567" w:hanging="567"/>
        <w:textAlignment w:val="auto"/>
        <w:rPr>
          <w:rFonts w:cs="Arial"/>
          <w:color w:val="000000"/>
        </w:rPr>
      </w:pPr>
      <w:r w:rsidRPr="004068F6">
        <w:rPr>
          <w:rFonts w:cs="Arial"/>
          <w:color w:val="000000"/>
        </w:rPr>
        <w:t>Principales características de los p</w:t>
      </w:r>
      <w:r w:rsidR="00007AB3" w:rsidRPr="004068F6">
        <w:rPr>
          <w:rFonts w:cs="Arial"/>
          <w:color w:val="000000"/>
        </w:rPr>
        <w:t xml:space="preserve">royectos </w:t>
      </w:r>
      <w:r w:rsidR="005145C1" w:rsidRPr="004068F6">
        <w:rPr>
          <w:rFonts w:cs="Arial"/>
          <w:color w:val="000000"/>
        </w:rPr>
        <w:t xml:space="preserve">con licencia ambiental o instrumento de manejo equivalente </w:t>
      </w:r>
      <w:r w:rsidRPr="004068F6">
        <w:rPr>
          <w:rFonts w:cs="Arial"/>
          <w:color w:val="000000"/>
        </w:rPr>
        <w:t xml:space="preserve">en ejecución </w:t>
      </w:r>
      <w:r w:rsidR="000E09B5" w:rsidRPr="004068F6">
        <w:rPr>
          <w:rFonts w:cs="Arial"/>
          <w:color w:val="000000"/>
        </w:rPr>
        <w:t>cuya área de influencia se superponga con el área de influencia del proyecto, obra o actividad</w:t>
      </w:r>
      <w:r w:rsidR="00D87290" w:rsidRPr="004068F6">
        <w:rPr>
          <w:rFonts w:cs="Arial"/>
          <w:color w:val="000000"/>
        </w:rPr>
        <w:t>.</w:t>
      </w:r>
    </w:p>
    <w:p w14:paraId="4F548D2C" w14:textId="77777777" w:rsidR="00482A5F" w:rsidRPr="004068F6" w:rsidRDefault="00482A5F" w:rsidP="00C86DA5"/>
    <w:p w14:paraId="79B8B815" w14:textId="76860526" w:rsidR="00482A5F" w:rsidRPr="004068F6" w:rsidRDefault="00482A5F" w:rsidP="009420F5">
      <w:pPr>
        <w:pStyle w:val="Ttulo4"/>
        <w:tabs>
          <w:tab w:val="clear" w:pos="1844"/>
          <w:tab w:val="num" w:pos="1134"/>
        </w:tabs>
        <w:ind w:left="0"/>
        <w:rPr>
          <w:lang w:val="es-CO"/>
        </w:rPr>
      </w:pPr>
      <w:bookmarkStart w:id="2959" w:name="_Toc393967328"/>
      <w:bookmarkStart w:id="2960" w:name="_Toc405366844"/>
      <w:bookmarkStart w:id="2961" w:name="_Toc405372391"/>
      <w:bookmarkStart w:id="2962" w:name="_Toc412803194"/>
      <w:bookmarkStart w:id="2963" w:name="_Toc414285591"/>
      <w:bookmarkStart w:id="2964" w:name="_Toc437936034"/>
      <w:r w:rsidRPr="004068F6">
        <w:rPr>
          <w:lang w:val="es-CO"/>
        </w:rPr>
        <w:t>Cultural</w:t>
      </w:r>
      <w:bookmarkEnd w:id="2958"/>
      <w:bookmarkEnd w:id="2959"/>
      <w:bookmarkEnd w:id="2960"/>
      <w:bookmarkEnd w:id="2961"/>
      <w:bookmarkEnd w:id="2962"/>
      <w:bookmarkEnd w:id="2963"/>
      <w:bookmarkEnd w:id="2964"/>
    </w:p>
    <w:p w14:paraId="3E7AFB6F" w14:textId="77777777" w:rsidR="00482A5F" w:rsidRPr="004068F6" w:rsidRDefault="00482A5F" w:rsidP="00C86DA5"/>
    <w:p w14:paraId="0F0CAA44" w14:textId="12A59C02" w:rsidR="00482A5F" w:rsidRPr="004068F6" w:rsidRDefault="00482A5F" w:rsidP="009420F5">
      <w:pPr>
        <w:pStyle w:val="Ttulo5"/>
        <w:tabs>
          <w:tab w:val="clear" w:pos="2160"/>
          <w:tab w:val="num" w:pos="1134"/>
        </w:tabs>
        <w:ind w:left="1134" w:hanging="1134"/>
        <w:rPr>
          <w:lang w:val="es-CO"/>
        </w:rPr>
      </w:pPr>
      <w:bookmarkStart w:id="2965" w:name="_Toc393967329"/>
      <w:bookmarkStart w:id="2966" w:name="_Toc405366845"/>
      <w:bookmarkStart w:id="2967" w:name="_Toc405372392"/>
      <w:r w:rsidRPr="004068F6">
        <w:rPr>
          <w:lang w:val="es-CO"/>
        </w:rPr>
        <w:t>Comunidades no étnicas</w:t>
      </w:r>
      <w:bookmarkEnd w:id="2965"/>
      <w:bookmarkEnd w:id="2966"/>
      <w:bookmarkEnd w:id="2967"/>
    </w:p>
    <w:p w14:paraId="73ECBD7B" w14:textId="77777777" w:rsidR="00482A5F" w:rsidRPr="004068F6" w:rsidRDefault="00482A5F">
      <w:pPr>
        <w:numPr>
          <w:ilvl w:val="12"/>
          <w:numId w:val="0"/>
        </w:numPr>
        <w:tabs>
          <w:tab w:val="left" w:pos="-2268"/>
        </w:tabs>
        <w:suppressAutoHyphens/>
        <w:rPr>
          <w:spacing w:val="-3"/>
        </w:rPr>
      </w:pPr>
    </w:p>
    <w:p w14:paraId="5C2DFC29" w14:textId="6BA9DF1B" w:rsidR="00482A5F" w:rsidRPr="004068F6" w:rsidRDefault="00482A5F">
      <w:pPr>
        <w:numPr>
          <w:ilvl w:val="12"/>
          <w:numId w:val="0"/>
        </w:numPr>
        <w:tabs>
          <w:tab w:val="left" w:pos="-2268"/>
        </w:tabs>
        <w:suppressAutoHyphens/>
        <w:rPr>
          <w:spacing w:val="-3"/>
        </w:rPr>
      </w:pPr>
      <w:r w:rsidRPr="004068F6">
        <w:rPr>
          <w:spacing w:val="-3"/>
        </w:rPr>
        <w:t xml:space="preserve">La información cultural tiene </w:t>
      </w:r>
      <w:r w:rsidRPr="004068F6">
        <w:rPr>
          <w:rFonts w:cs="Arial"/>
          <w:spacing w:val="-3"/>
        </w:rPr>
        <w:t>como</w:t>
      </w:r>
      <w:r w:rsidRPr="004068F6">
        <w:rPr>
          <w:spacing w:val="-3"/>
        </w:rPr>
        <w:t xml:space="preserve"> propósito establecer los principales rasgos culturales de la población que potencialmente puede verse afectados por las dinámicas propias del proyecto</w:t>
      </w:r>
      <w:r w:rsidR="00A9245B" w:rsidRPr="004068F6">
        <w:rPr>
          <w:spacing w:val="-3"/>
        </w:rPr>
        <w:t>, obra o actividad</w:t>
      </w:r>
      <w:r w:rsidRPr="004068F6">
        <w:rPr>
          <w:spacing w:val="-3"/>
        </w:rPr>
        <w:t>. Para establecer lo anterior, es preciso tener en cuenta cambios culturales derivados de diversos estímulos externos, actividades económicas, eventos culturales, entre muchos otros que pudieron generar cambios históricos importantes en las características culturales</w:t>
      </w:r>
      <w:r w:rsidR="001D13EB" w:rsidRPr="004068F6">
        <w:rPr>
          <w:spacing w:val="-3"/>
        </w:rPr>
        <w:t xml:space="preserve"> desde una perspectiva interseccional</w:t>
      </w:r>
      <w:r w:rsidRPr="004068F6">
        <w:rPr>
          <w:spacing w:val="-3"/>
        </w:rPr>
        <w:t>.</w:t>
      </w:r>
    </w:p>
    <w:p w14:paraId="569D426E" w14:textId="1DFF5D40" w:rsidR="00654B0F" w:rsidRPr="004068F6" w:rsidRDefault="00654B0F">
      <w:pPr>
        <w:overflowPunct/>
        <w:autoSpaceDE/>
        <w:autoSpaceDN/>
        <w:adjustRightInd/>
        <w:jc w:val="left"/>
        <w:textAlignment w:val="auto"/>
        <w:rPr>
          <w:rFonts w:cs="Arial"/>
          <w:spacing w:val="-3"/>
        </w:rPr>
      </w:pPr>
    </w:p>
    <w:p w14:paraId="1D42B96F" w14:textId="403EA120" w:rsidR="00482A5F" w:rsidRPr="004068F6" w:rsidRDefault="00482A5F" w:rsidP="00C86DA5">
      <w:pPr>
        <w:tabs>
          <w:tab w:val="left" w:pos="-2268"/>
        </w:tabs>
        <w:suppressAutoHyphens/>
        <w:rPr>
          <w:spacing w:val="-3"/>
        </w:rPr>
      </w:pPr>
      <w:r w:rsidRPr="004068F6">
        <w:rPr>
          <w:spacing w:val="-3"/>
        </w:rPr>
        <w:t xml:space="preserve">Para la población asentada en las </w:t>
      </w:r>
      <w:r w:rsidR="006D75A2" w:rsidRPr="004068F6">
        <w:rPr>
          <w:spacing w:val="-3"/>
        </w:rPr>
        <w:t>unidades de análisis territorial</w:t>
      </w:r>
      <w:r w:rsidRPr="004068F6">
        <w:rPr>
          <w:spacing w:val="-3"/>
        </w:rPr>
        <w:t>, se deben describir y analizar los siguientes elementos:</w:t>
      </w:r>
    </w:p>
    <w:p w14:paraId="23D089E7" w14:textId="77777777" w:rsidR="00482A5F" w:rsidRPr="004068F6" w:rsidRDefault="00482A5F" w:rsidP="00C86DA5">
      <w:pPr>
        <w:numPr>
          <w:ilvl w:val="12"/>
          <w:numId w:val="0"/>
        </w:numPr>
        <w:tabs>
          <w:tab w:val="left" w:pos="-2268"/>
        </w:tabs>
        <w:suppressAutoHyphens/>
        <w:rPr>
          <w:spacing w:val="-3"/>
        </w:rPr>
      </w:pPr>
    </w:p>
    <w:p w14:paraId="12472DB3" w14:textId="6F739F72"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Modificaciones culturales</w:t>
      </w:r>
      <w:r w:rsidR="00A9245B" w:rsidRPr="004068F6">
        <w:rPr>
          <w:color w:val="000000"/>
        </w:rPr>
        <w:t>.</w:t>
      </w:r>
      <w:r w:rsidRPr="004068F6">
        <w:rPr>
          <w:color w:val="000000"/>
        </w:rPr>
        <w:t xml:space="preserve"> </w:t>
      </w:r>
      <w:r w:rsidR="00696B84" w:rsidRPr="004068F6">
        <w:rPr>
          <w:color w:val="000000"/>
        </w:rPr>
        <w:t>Incorporando, de forma general,</w:t>
      </w:r>
      <w:r w:rsidR="00FC125D" w:rsidRPr="004068F6">
        <w:rPr>
          <w:color w:val="000000"/>
        </w:rPr>
        <w:t xml:space="preserve"> </w:t>
      </w:r>
      <w:r w:rsidRPr="004068F6">
        <w:rPr>
          <w:color w:val="000000"/>
        </w:rPr>
        <w:t>los valores culturales exógenos que puedan conducir a un cambio cultural (</w:t>
      </w:r>
      <w:r w:rsidR="00041844" w:rsidRPr="004068F6">
        <w:rPr>
          <w:color w:val="000000"/>
        </w:rPr>
        <w:t>p. ej.</w:t>
      </w:r>
      <w:r w:rsidR="00A9245B" w:rsidRPr="004068F6">
        <w:rPr>
          <w:color w:val="000000"/>
        </w:rPr>
        <w:t xml:space="preserve"> </w:t>
      </w:r>
      <w:r w:rsidRPr="004068F6">
        <w:rPr>
          <w:color w:val="000000"/>
        </w:rPr>
        <w:t>desplazamientos poblacionales</w:t>
      </w:r>
      <w:r w:rsidR="00A9245B" w:rsidRPr="004068F6">
        <w:rPr>
          <w:color w:val="000000"/>
        </w:rPr>
        <w:t xml:space="preserve"> y</w:t>
      </w:r>
      <w:r w:rsidRPr="004068F6">
        <w:rPr>
          <w:color w:val="000000"/>
        </w:rPr>
        <w:t xml:space="preserve"> ordenamientos del territorio).</w:t>
      </w:r>
    </w:p>
    <w:p w14:paraId="4FB0EA24" w14:textId="77777777" w:rsidR="00482A5F" w:rsidRPr="004068F6" w:rsidRDefault="00482A5F" w:rsidP="00C86DA5">
      <w:pPr>
        <w:overflowPunct/>
        <w:autoSpaceDE/>
        <w:autoSpaceDN/>
        <w:adjustRightInd/>
        <w:textAlignment w:val="auto"/>
        <w:rPr>
          <w:color w:val="000000"/>
        </w:rPr>
      </w:pPr>
    </w:p>
    <w:p w14:paraId="5113572C" w14:textId="37241C40" w:rsidR="00482A5F" w:rsidRPr="004068F6" w:rsidRDefault="002B6324" w:rsidP="00C86DA5">
      <w:pPr>
        <w:numPr>
          <w:ilvl w:val="0"/>
          <w:numId w:val="389"/>
        </w:numPr>
        <w:overflowPunct/>
        <w:autoSpaceDE/>
        <w:autoSpaceDN/>
        <w:adjustRightInd/>
        <w:ind w:left="567" w:hanging="567"/>
        <w:textAlignment w:val="auto"/>
        <w:rPr>
          <w:color w:val="000000"/>
        </w:rPr>
      </w:pPr>
      <w:r w:rsidRPr="004068F6">
        <w:rPr>
          <w:color w:val="000000"/>
        </w:rPr>
        <w:t xml:space="preserve">Bases y fundamentos del sistema sociocultural. Las prácticas culturales, usos, costumbres más relevantes y el sistema de creencias y valores que de alguna manera podrían interactuar en algún momento con el proyecto, obra o actividad. </w:t>
      </w:r>
    </w:p>
    <w:p w14:paraId="6E0402A1" w14:textId="77777777" w:rsidR="00482A5F" w:rsidRPr="004068F6" w:rsidRDefault="00482A5F" w:rsidP="00C86DA5">
      <w:pPr>
        <w:overflowPunct/>
        <w:autoSpaceDE/>
        <w:autoSpaceDN/>
        <w:adjustRightInd/>
        <w:textAlignment w:val="auto"/>
        <w:rPr>
          <w:color w:val="000000"/>
        </w:rPr>
      </w:pPr>
    </w:p>
    <w:p w14:paraId="2AE5DDEA" w14:textId="797595E1"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Patrimonio cultural inmaterial</w:t>
      </w:r>
      <w:r w:rsidR="00FC125D" w:rsidRPr="004068F6">
        <w:rPr>
          <w:color w:val="000000"/>
        </w:rPr>
        <w:t>.</w:t>
      </w:r>
      <w:r w:rsidRPr="004068F6">
        <w:rPr>
          <w:color w:val="000000"/>
        </w:rPr>
        <w:t xml:space="preserve"> </w:t>
      </w:r>
      <w:r w:rsidR="00FC125D" w:rsidRPr="004068F6">
        <w:rPr>
          <w:color w:val="000000"/>
        </w:rPr>
        <w:t xml:space="preserve">Comprende las </w:t>
      </w:r>
      <w:r w:rsidRPr="004068F6">
        <w:rPr>
          <w:color w:val="000000"/>
        </w:rPr>
        <w:t>prácticas sociales, tradiciones estéticas y modos de conocimiento perpetuados en el seno de la comunidad.</w:t>
      </w:r>
    </w:p>
    <w:p w14:paraId="4F7F2490" w14:textId="77777777" w:rsidR="00482A5F" w:rsidRPr="004068F6" w:rsidRDefault="00482A5F" w:rsidP="00C86DA5">
      <w:pPr>
        <w:overflowPunct/>
        <w:autoSpaceDE/>
        <w:autoSpaceDN/>
        <w:adjustRightInd/>
        <w:textAlignment w:val="auto"/>
        <w:rPr>
          <w:color w:val="000000"/>
        </w:rPr>
      </w:pPr>
    </w:p>
    <w:p w14:paraId="5BAA77E3" w14:textId="477E4F73"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lastRenderedPageBreak/>
        <w:t>Bienes inmuebles declarados de interés cultural</w:t>
      </w:r>
      <w:r w:rsidR="00FC125D" w:rsidRPr="004068F6">
        <w:rPr>
          <w:color w:val="000000"/>
        </w:rPr>
        <w:t>.</w:t>
      </w:r>
      <w:r w:rsidRPr="004068F6">
        <w:rPr>
          <w:color w:val="000000"/>
        </w:rPr>
        <w:t xml:space="preserve"> </w:t>
      </w:r>
      <w:r w:rsidR="00FC125D" w:rsidRPr="004068F6">
        <w:rPr>
          <w:color w:val="000000"/>
        </w:rPr>
        <w:t xml:space="preserve">Se debe indicar </w:t>
      </w:r>
      <w:r w:rsidRPr="004068F6">
        <w:rPr>
          <w:color w:val="000000"/>
        </w:rPr>
        <w:t xml:space="preserve">el acto administrativo mediante el cual </w:t>
      </w:r>
      <w:r w:rsidR="00FC125D" w:rsidRPr="004068F6">
        <w:rPr>
          <w:color w:val="000000"/>
        </w:rPr>
        <w:t xml:space="preserve">se </w:t>
      </w:r>
      <w:r w:rsidRPr="004068F6">
        <w:rPr>
          <w:color w:val="000000"/>
        </w:rPr>
        <w:t>declara</w:t>
      </w:r>
      <w:r w:rsidR="00FC125D" w:rsidRPr="004068F6">
        <w:rPr>
          <w:color w:val="000000"/>
        </w:rPr>
        <w:t>n tales bienes</w:t>
      </w:r>
      <w:r w:rsidRPr="004068F6">
        <w:rPr>
          <w:color w:val="000000"/>
        </w:rPr>
        <w:t xml:space="preserve">, así como </w:t>
      </w:r>
      <w:r w:rsidR="00FC125D" w:rsidRPr="004068F6">
        <w:rPr>
          <w:color w:val="000000"/>
        </w:rPr>
        <w:t xml:space="preserve">referenciar </w:t>
      </w:r>
      <w:r w:rsidRPr="004068F6">
        <w:rPr>
          <w:color w:val="000000"/>
        </w:rPr>
        <w:t xml:space="preserve">sus </w:t>
      </w:r>
      <w:r w:rsidR="00FC125D" w:rsidRPr="004068F6">
        <w:rPr>
          <w:color w:val="000000"/>
        </w:rPr>
        <w:t>p</w:t>
      </w:r>
      <w:r w:rsidRPr="004068F6">
        <w:rPr>
          <w:color w:val="000000"/>
        </w:rPr>
        <w:t xml:space="preserve">lanes </w:t>
      </w:r>
      <w:r w:rsidR="00FC125D" w:rsidRPr="004068F6">
        <w:rPr>
          <w:color w:val="000000"/>
        </w:rPr>
        <w:t>e</w:t>
      </w:r>
      <w:r w:rsidRPr="004068F6">
        <w:rPr>
          <w:color w:val="000000"/>
        </w:rPr>
        <w:t xml:space="preserve">speciales de </w:t>
      </w:r>
      <w:r w:rsidR="00FC125D" w:rsidRPr="004068F6">
        <w:rPr>
          <w:color w:val="000000"/>
        </w:rPr>
        <w:t>m</w:t>
      </w:r>
      <w:r w:rsidRPr="004068F6">
        <w:rPr>
          <w:color w:val="000000"/>
        </w:rPr>
        <w:t xml:space="preserve">anejo y </w:t>
      </w:r>
      <w:r w:rsidR="00FC125D" w:rsidRPr="004068F6">
        <w:rPr>
          <w:color w:val="000000"/>
        </w:rPr>
        <w:t>p</w:t>
      </w:r>
      <w:r w:rsidRPr="004068F6">
        <w:rPr>
          <w:color w:val="000000"/>
        </w:rPr>
        <w:t>rotección</w:t>
      </w:r>
      <w:r w:rsidR="00FC125D" w:rsidRPr="004068F6">
        <w:rPr>
          <w:color w:val="000000"/>
        </w:rPr>
        <w:t>,</w:t>
      </w:r>
      <w:r w:rsidRPr="004068F6">
        <w:rPr>
          <w:color w:val="000000"/>
        </w:rPr>
        <w:t xml:space="preserve"> en caso de que existan.</w:t>
      </w:r>
    </w:p>
    <w:p w14:paraId="35C6158F" w14:textId="77777777" w:rsidR="00482A5F" w:rsidRPr="004068F6" w:rsidRDefault="00482A5F" w:rsidP="00C86DA5">
      <w:pPr>
        <w:overflowPunct/>
        <w:autoSpaceDE/>
        <w:autoSpaceDN/>
        <w:adjustRightInd/>
        <w:textAlignment w:val="auto"/>
        <w:rPr>
          <w:color w:val="000000"/>
        </w:rPr>
      </w:pPr>
    </w:p>
    <w:p w14:paraId="0B35DD7A" w14:textId="77777777"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Espacios de tránsito y desplazamiento.</w:t>
      </w:r>
    </w:p>
    <w:p w14:paraId="0556A6B3" w14:textId="77777777" w:rsidR="00073DD9" w:rsidRPr="004068F6" w:rsidRDefault="00073DD9" w:rsidP="009420F5">
      <w:pPr>
        <w:rPr>
          <w:color w:val="000000"/>
        </w:rPr>
      </w:pPr>
    </w:p>
    <w:p w14:paraId="0532FFFD" w14:textId="03AF7F40"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Áreas de identidad y uso cultural para la recreación, el turismo, el esparcimiento y el uso ceremonial o religioso.</w:t>
      </w:r>
    </w:p>
    <w:p w14:paraId="109348EE" w14:textId="52C6D5F4" w:rsidR="00482A5F" w:rsidRPr="004068F6" w:rsidRDefault="00482A5F" w:rsidP="00C86DA5">
      <w:pPr>
        <w:overflowPunct/>
        <w:autoSpaceDE/>
        <w:autoSpaceDN/>
        <w:adjustRightInd/>
        <w:textAlignment w:val="auto"/>
        <w:rPr>
          <w:color w:val="000000"/>
        </w:rPr>
      </w:pPr>
    </w:p>
    <w:p w14:paraId="7D6198E4" w14:textId="7765EAD6"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Uso y manejo del entorno</w:t>
      </w:r>
      <w:r w:rsidR="00FC125D" w:rsidRPr="004068F6">
        <w:rPr>
          <w:color w:val="000000"/>
        </w:rPr>
        <w:t>.</w:t>
      </w:r>
      <w:r w:rsidRPr="004068F6">
        <w:rPr>
          <w:color w:val="000000"/>
        </w:rPr>
        <w:t xml:space="preserve"> </w:t>
      </w:r>
      <w:r w:rsidR="00FC125D" w:rsidRPr="004068F6">
        <w:rPr>
          <w:color w:val="000000"/>
        </w:rPr>
        <w:t>I</w:t>
      </w:r>
      <w:r w:rsidRPr="004068F6">
        <w:rPr>
          <w:color w:val="000000"/>
        </w:rPr>
        <w:t xml:space="preserve">dentificar la dinámica de la presión cultural sobre los recursos naturales renovables y </w:t>
      </w:r>
      <w:r w:rsidR="00FC125D" w:rsidRPr="004068F6">
        <w:rPr>
          <w:color w:val="000000"/>
        </w:rPr>
        <w:t>d</w:t>
      </w:r>
      <w:r w:rsidRPr="004068F6">
        <w:rPr>
          <w:color w:val="000000"/>
        </w:rPr>
        <w:t>el ambiente</w:t>
      </w:r>
      <w:r w:rsidR="00FC50A9" w:rsidRPr="004068F6">
        <w:rPr>
          <w:color w:val="000000"/>
        </w:rPr>
        <w:t xml:space="preserve"> y los ecosistemas</w:t>
      </w:r>
      <w:r w:rsidRPr="004068F6">
        <w:rPr>
          <w:color w:val="000000"/>
        </w:rPr>
        <w:t>.</w:t>
      </w:r>
    </w:p>
    <w:p w14:paraId="24335924" w14:textId="77777777" w:rsidR="00482A5F" w:rsidRPr="004068F6" w:rsidRDefault="00482A5F" w:rsidP="00C86DA5">
      <w:pPr>
        <w:overflowPunct/>
        <w:autoSpaceDE/>
        <w:autoSpaceDN/>
        <w:adjustRightInd/>
        <w:textAlignment w:val="auto"/>
        <w:rPr>
          <w:color w:val="000000"/>
        </w:rPr>
      </w:pPr>
    </w:p>
    <w:p w14:paraId="60EF8CB9" w14:textId="7DE77F84" w:rsidR="00482A5F" w:rsidRPr="004068F6" w:rsidRDefault="00FC125D" w:rsidP="00C86DA5">
      <w:pPr>
        <w:numPr>
          <w:ilvl w:val="0"/>
          <w:numId w:val="389"/>
        </w:numPr>
        <w:overflowPunct/>
        <w:autoSpaceDE/>
        <w:autoSpaceDN/>
        <w:adjustRightInd/>
        <w:ind w:left="567" w:hanging="567"/>
        <w:textAlignment w:val="auto"/>
        <w:rPr>
          <w:color w:val="000000"/>
        </w:rPr>
      </w:pPr>
      <w:r w:rsidRPr="004068F6">
        <w:rPr>
          <w:color w:val="000000"/>
        </w:rPr>
        <w:t>R</w:t>
      </w:r>
      <w:r w:rsidR="00482A5F" w:rsidRPr="004068F6">
        <w:rPr>
          <w:color w:val="000000"/>
        </w:rPr>
        <w:t>edes culturales</w:t>
      </w:r>
      <w:r w:rsidRPr="004068F6">
        <w:rPr>
          <w:color w:val="000000"/>
        </w:rPr>
        <w:t>.</w:t>
      </w:r>
      <w:r w:rsidR="00482A5F" w:rsidRPr="004068F6">
        <w:rPr>
          <w:color w:val="000000"/>
        </w:rPr>
        <w:t xml:space="preserve"> </w:t>
      </w:r>
      <w:r w:rsidRPr="004068F6">
        <w:rPr>
          <w:color w:val="000000"/>
        </w:rPr>
        <w:t>E</w:t>
      </w:r>
      <w:r w:rsidR="00482A5F" w:rsidRPr="004068F6">
        <w:rPr>
          <w:color w:val="000000"/>
        </w:rPr>
        <w:t>valuar la</w:t>
      </w:r>
      <w:r w:rsidRPr="004068F6">
        <w:rPr>
          <w:color w:val="000000"/>
        </w:rPr>
        <w:t>s</w:t>
      </w:r>
      <w:r w:rsidR="00482A5F" w:rsidRPr="004068F6">
        <w:rPr>
          <w:color w:val="000000"/>
        </w:rPr>
        <w:t xml:space="preserve"> </w:t>
      </w:r>
      <w:r w:rsidRPr="004068F6">
        <w:rPr>
          <w:color w:val="000000"/>
        </w:rPr>
        <w:t xml:space="preserve">redes culturales presentes </w:t>
      </w:r>
      <w:r w:rsidR="00482A5F" w:rsidRPr="004068F6">
        <w:rPr>
          <w:color w:val="000000"/>
        </w:rPr>
        <w:t xml:space="preserve">en el territorio </w:t>
      </w:r>
      <w:r w:rsidRPr="004068F6">
        <w:rPr>
          <w:color w:val="000000"/>
        </w:rPr>
        <w:t xml:space="preserve">que pueden alterarse </w:t>
      </w:r>
      <w:r w:rsidR="00482A5F" w:rsidRPr="004068F6">
        <w:rPr>
          <w:color w:val="000000"/>
        </w:rPr>
        <w:t>por la ejecución del proyecto.</w:t>
      </w:r>
    </w:p>
    <w:p w14:paraId="2A426BC2" w14:textId="77777777" w:rsidR="00FC50A9" w:rsidRPr="004068F6" w:rsidRDefault="00FC50A9" w:rsidP="000D6E21">
      <w:pPr>
        <w:rPr>
          <w:color w:val="000000"/>
        </w:rPr>
      </w:pPr>
    </w:p>
    <w:p w14:paraId="101FE5D2" w14:textId="615E0ECA" w:rsidR="00F7155B" w:rsidRPr="004068F6" w:rsidRDefault="00FC50A9" w:rsidP="00C86DA5">
      <w:pPr>
        <w:numPr>
          <w:ilvl w:val="0"/>
          <w:numId w:val="389"/>
        </w:numPr>
        <w:overflowPunct/>
        <w:autoSpaceDE/>
        <w:autoSpaceDN/>
        <w:adjustRightInd/>
        <w:ind w:left="567" w:hanging="567"/>
        <w:textAlignment w:val="auto"/>
        <w:rPr>
          <w:color w:val="000000"/>
        </w:rPr>
      </w:pPr>
      <w:r w:rsidRPr="004068F6">
        <w:rPr>
          <w:rFonts w:cs="Arial"/>
          <w:szCs w:val="20"/>
        </w:rPr>
        <w:t xml:space="preserve">Memoria histórica. </w:t>
      </w:r>
      <w:r w:rsidR="00F7155B" w:rsidRPr="004068F6">
        <w:rPr>
          <w:rFonts w:cs="Arial"/>
          <w:szCs w:val="20"/>
        </w:rPr>
        <w:t>Indagar por el recuerdo colectivo de eventos, experiencias e historias pasadas que generan identidad de los grupos de interés, procurando conocer las dinámicas culturales que conectan el pasado, el presente y el futuro.</w:t>
      </w:r>
    </w:p>
    <w:p w14:paraId="32C05F77" w14:textId="77777777" w:rsidR="00F7155B" w:rsidRPr="004068F6" w:rsidRDefault="00F7155B" w:rsidP="000D6E21">
      <w:pPr>
        <w:rPr>
          <w:rFonts w:cs="Arial"/>
          <w:szCs w:val="20"/>
        </w:rPr>
      </w:pPr>
    </w:p>
    <w:p w14:paraId="38BFFE63" w14:textId="1EB216D5" w:rsidR="00332887" w:rsidRPr="004068F6" w:rsidRDefault="008E3D0C">
      <w:pPr>
        <w:numPr>
          <w:ilvl w:val="0"/>
          <w:numId w:val="389"/>
        </w:numPr>
        <w:overflowPunct/>
        <w:autoSpaceDE/>
        <w:autoSpaceDN/>
        <w:adjustRightInd/>
        <w:ind w:left="567" w:hanging="567"/>
        <w:textAlignment w:val="auto"/>
        <w:rPr>
          <w:color w:val="000000"/>
        </w:rPr>
      </w:pPr>
      <w:r w:rsidRPr="004068F6">
        <w:rPr>
          <w:rFonts w:cs="Arial"/>
          <w:szCs w:val="20"/>
        </w:rPr>
        <w:t>Cue</w:t>
      </w:r>
      <w:r w:rsidR="00332887" w:rsidRPr="004068F6">
        <w:rPr>
          <w:rFonts w:cs="Arial"/>
          <w:szCs w:val="20"/>
        </w:rPr>
        <w:t>s</w:t>
      </w:r>
      <w:r w:rsidRPr="004068F6">
        <w:rPr>
          <w:rFonts w:cs="Arial"/>
          <w:szCs w:val="20"/>
        </w:rPr>
        <w:t>tio</w:t>
      </w:r>
      <w:r w:rsidR="00332887" w:rsidRPr="004068F6">
        <w:rPr>
          <w:rFonts w:cs="Arial"/>
          <w:szCs w:val="20"/>
        </w:rPr>
        <w:t xml:space="preserve">nes de género. Analizar los roles, las relaciones y las desigualdades entre hombres y mujeres, examinando los roles e identidades, necesidades y prioridades, acceso </w:t>
      </w:r>
      <w:r w:rsidR="00213C9B" w:rsidRPr="004068F6">
        <w:rPr>
          <w:rFonts w:cs="Arial"/>
          <w:szCs w:val="20"/>
        </w:rPr>
        <w:t>a roles de liderazgo</w:t>
      </w:r>
      <w:r w:rsidR="002F3A9E" w:rsidRPr="004068F6">
        <w:rPr>
          <w:rFonts w:cs="Arial"/>
          <w:szCs w:val="20"/>
        </w:rPr>
        <w:t xml:space="preserve"> y</w:t>
      </w:r>
      <w:r w:rsidR="00213C9B" w:rsidRPr="004068F6">
        <w:rPr>
          <w:rFonts w:cs="Arial"/>
          <w:szCs w:val="20"/>
        </w:rPr>
        <w:t xml:space="preserve"> </w:t>
      </w:r>
      <w:r w:rsidR="005A45F4" w:rsidRPr="004068F6">
        <w:rPr>
          <w:rFonts w:cs="Arial"/>
          <w:szCs w:val="20"/>
        </w:rPr>
        <w:t xml:space="preserve">a los </w:t>
      </w:r>
      <w:r w:rsidR="00332887" w:rsidRPr="004068F6">
        <w:rPr>
          <w:rFonts w:cs="Arial"/>
          <w:szCs w:val="20"/>
        </w:rPr>
        <w:t>recursos, y el ejercicio del poder.</w:t>
      </w:r>
    </w:p>
    <w:p w14:paraId="0ACD6ED3" w14:textId="77777777" w:rsidR="00B61649" w:rsidRPr="004068F6" w:rsidRDefault="00B61649" w:rsidP="000D6E21">
      <w:pPr>
        <w:rPr>
          <w:color w:val="000000"/>
        </w:rPr>
      </w:pPr>
    </w:p>
    <w:p w14:paraId="680E61DE" w14:textId="7D876932" w:rsidR="00B61649" w:rsidRPr="004068F6" w:rsidRDefault="00B61649" w:rsidP="000D6E21">
      <w:pPr>
        <w:numPr>
          <w:ilvl w:val="0"/>
          <w:numId w:val="389"/>
        </w:numPr>
        <w:overflowPunct/>
        <w:autoSpaceDE/>
        <w:autoSpaceDN/>
        <w:adjustRightInd/>
        <w:ind w:left="567" w:hanging="567"/>
        <w:textAlignment w:val="auto"/>
        <w:rPr>
          <w:color w:val="000000"/>
        </w:rPr>
      </w:pPr>
      <w:r w:rsidRPr="004068F6">
        <w:rPr>
          <w:spacing w:val="-3"/>
        </w:rPr>
        <w:t>Fundamentos culturales, usos y costumbres culturales y estructura del territorio.</w:t>
      </w:r>
    </w:p>
    <w:p w14:paraId="19A47413" w14:textId="77777777" w:rsidR="000D4B56" w:rsidRPr="004068F6" w:rsidRDefault="000D4B56" w:rsidP="00C86DA5">
      <w:pPr>
        <w:overflowPunct/>
        <w:autoSpaceDE/>
        <w:autoSpaceDN/>
        <w:adjustRightInd/>
        <w:textAlignment w:val="auto"/>
        <w:rPr>
          <w:spacing w:val="-3"/>
        </w:rPr>
      </w:pPr>
    </w:p>
    <w:p w14:paraId="6B1179E1" w14:textId="44C6B7C4" w:rsidR="00482A5F" w:rsidRPr="004068F6" w:rsidRDefault="00482A5F" w:rsidP="002F5664">
      <w:pPr>
        <w:pStyle w:val="Ttulo5"/>
        <w:tabs>
          <w:tab w:val="clear" w:pos="2160"/>
          <w:tab w:val="num" w:pos="1134"/>
        </w:tabs>
        <w:ind w:left="1134" w:hanging="1134"/>
        <w:rPr>
          <w:lang w:val="es-CO"/>
        </w:rPr>
      </w:pPr>
      <w:bookmarkStart w:id="2968" w:name="_Toc393967330"/>
      <w:bookmarkStart w:id="2969" w:name="_Toc405366846"/>
      <w:bookmarkStart w:id="2970" w:name="_Toc405372393"/>
      <w:r w:rsidRPr="004068F6">
        <w:rPr>
          <w:lang w:val="es-CO"/>
        </w:rPr>
        <w:t>Comunidades étnicas</w:t>
      </w:r>
      <w:bookmarkEnd w:id="2968"/>
      <w:bookmarkEnd w:id="2969"/>
      <w:bookmarkEnd w:id="2970"/>
    </w:p>
    <w:p w14:paraId="187DA3BA" w14:textId="77777777" w:rsidR="00482A5F" w:rsidRPr="004068F6" w:rsidRDefault="00482A5F">
      <w:pPr>
        <w:numPr>
          <w:ilvl w:val="12"/>
          <w:numId w:val="0"/>
        </w:numPr>
        <w:tabs>
          <w:tab w:val="left" w:pos="-2268"/>
        </w:tabs>
        <w:suppressAutoHyphens/>
        <w:rPr>
          <w:spacing w:val="-3"/>
        </w:rPr>
      </w:pPr>
    </w:p>
    <w:p w14:paraId="26FEDB22" w14:textId="3B35E68B" w:rsidR="00482A5F" w:rsidRPr="004068F6" w:rsidRDefault="008154D0">
      <w:pPr>
        <w:numPr>
          <w:ilvl w:val="12"/>
          <w:numId w:val="0"/>
        </w:numPr>
        <w:tabs>
          <w:tab w:val="left" w:pos="-2268"/>
        </w:tabs>
        <w:suppressAutoHyphens/>
        <w:rPr>
          <w:spacing w:val="-3"/>
        </w:rPr>
      </w:pPr>
      <w:r w:rsidRPr="004068F6">
        <w:rPr>
          <w:rFonts w:cs="Arial"/>
          <w:spacing w:val="-3"/>
        </w:rPr>
        <w:t xml:space="preserve">En caso de </w:t>
      </w:r>
      <w:r w:rsidRPr="004068F6">
        <w:rPr>
          <w:spacing w:val="-3"/>
        </w:rPr>
        <w:t>procedencia de</w:t>
      </w:r>
      <w:r w:rsidRPr="004068F6">
        <w:rPr>
          <w:rFonts w:cs="Arial"/>
          <w:spacing w:val="-3"/>
        </w:rPr>
        <w:t xml:space="preserve"> la consulta previa</w:t>
      </w:r>
      <w:r w:rsidR="008B2AD8" w:rsidRPr="004068F6">
        <w:rPr>
          <w:rStyle w:val="Refdenotaalpie"/>
          <w:rFonts w:cs="Arial"/>
          <w:spacing w:val="-3"/>
          <w:lang w:val="es-CO"/>
        </w:rPr>
        <w:footnoteReference w:id="174"/>
      </w:r>
      <w:r w:rsidRPr="004068F6">
        <w:rPr>
          <w:rFonts w:cs="Arial"/>
        </w:rPr>
        <w:t>,</w:t>
      </w:r>
      <w:r w:rsidRPr="004068F6">
        <w:t xml:space="preserve"> </w:t>
      </w:r>
      <w:r w:rsidRPr="004068F6">
        <w:rPr>
          <w:rFonts w:cs="Arial"/>
          <w:spacing w:val="-3"/>
        </w:rPr>
        <w:t>se debe realizar</w:t>
      </w:r>
      <w:r w:rsidRPr="004068F6">
        <w:rPr>
          <w:spacing w:val="-3"/>
        </w:rPr>
        <w:t xml:space="preserve"> la caracterización de las comunidades étnicas objeto de dicha consulta</w:t>
      </w:r>
      <w:r w:rsidRPr="004068F6">
        <w:rPr>
          <w:rFonts w:cs="Arial"/>
          <w:spacing w:val="-3"/>
        </w:rPr>
        <w:t>, de</w:t>
      </w:r>
      <w:r w:rsidR="00FC125D" w:rsidRPr="004068F6">
        <w:rPr>
          <w:rFonts w:cs="Arial"/>
          <w:spacing w:val="-3"/>
        </w:rPr>
        <w:t xml:space="preserve">scribiendo y analizando </w:t>
      </w:r>
      <w:r w:rsidRPr="004068F6">
        <w:rPr>
          <w:spacing w:val="-3"/>
        </w:rPr>
        <w:t xml:space="preserve">los </w:t>
      </w:r>
      <w:r w:rsidR="00FC125D" w:rsidRPr="004068F6">
        <w:rPr>
          <w:spacing w:val="-3"/>
        </w:rPr>
        <w:t xml:space="preserve">elementos </w:t>
      </w:r>
      <w:r w:rsidRPr="004068F6">
        <w:rPr>
          <w:spacing w:val="-3"/>
        </w:rPr>
        <w:t>que se relacionan</w:t>
      </w:r>
      <w:r w:rsidR="00FC2545" w:rsidRPr="004068F6">
        <w:rPr>
          <w:spacing w:val="-3"/>
        </w:rPr>
        <w:t xml:space="preserve"> a continuación</w:t>
      </w:r>
      <w:r w:rsidR="00F86CA5" w:rsidRPr="004068F6">
        <w:rPr>
          <w:spacing w:val="-3"/>
        </w:rPr>
        <w:t>, ten</w:t>
      </w:r>
      <w:r w:rsidR="00C5518F" w:rsidRPr="004068F6">
        <w:rPr>
          <w:spacing w:val="-3"/>
        </w:rPr>
        <w:t xml:space="preserve">iendo </w:t>
      </w:r>
      <w:r w:rsidR="00F86CA5" w:rsidRPr="004068F6">
        <w:rPr>
          <w:spacing w:val="-3"/>
        </w:rPr>
        <w:t>en cuenta los Planes de Ordenamiento Ambiental Étnicos y los demás instrumentos de ordenamiento territorial con los que cuenten estas comunidades</w:t>
      </w:r>
      <w:r w:rsidR="00482A5F" w:rsidRPr="004068F6">
        <w:rPr>
          <w:spacing w:val="-3"/>
        </w:rPr>
        <w:t>.</w:t>
      </w:r>
    </w:p>
    <w:p w14:paraId="1A29628C" w14:textId="77777777" w:rsidR="00482A5F" w:rsidRPr="004068F6" w:rsidRDefault="00482A5F">
      <w:pPr>
        <w:numPr>
          <w:ilvl w:val="12"/>
          <w:numId w:val="0"/>
        </w:numPr>
        <w:tabs>
          <w:tab w:val="left" w:pos="-2268"/>
        </w:tabs>
        <w:suppressAutoHyphens/>
        <w:rPr>
          <w:spacing w:val="-3"/>
        </w:rPr>
      </w:pPr>
    </w:p>
    <w:p w14:paraId="40B65B5E" w14:textId="35AB0E6E"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Dinámica de poblamiento</w:t>
      </w:r>
      <w:r w:rsidR="00FC125D" w:rsidRPr="004068F6">
        <w:rPr>
          <w:color w:val="000000"/>
        </w:rPr>
        <w:t>.</w:t>
      </w:r>
      <w:r w:rsidRPr="004068F6">
        <w:rPr>
          <w:color w:val="000000"/>
        </w:rPr>
        <w:t xml:space="preserve"> </w:t>
      </w:r>
      <w:r w:rsidR="00FC125D" w:rsidRPr="004068F6">
        <w:rPr>
          <w:color w:val="000000"/>
        </w:rPr>
        <w:t>D</w:t>
      </w:r>
      <w:r w:rsidRPr="004068F6">
        <w:rPr>
          <w:color w:val="000000"/>
        </w:rPr>
        <w:t>escribir el tipo de tenencia de la tierra (resguardo, reserva, tierras colectivas, áreas susceptibles de titulación, entre otros) y los patrones de asentamiento (nucleado o disperso</w:t>
      </w:r>
      <w:r w:rsidR="00FC125D" w:rsidRPr="004068F6">
        <w:rPr>
          <w:color w:val="000000"/>
        </w:rPr>
        <w:t>)</w:t>
      </w:r>
      <w:r w:rsidRPr="004068F6">
        <w:rPr>
          <w:color w:val="000000"/>
        </w:rPr>
        <w:t xml:space="preserve">, así como la movilidad de la </w:t>
      </w:r>
      <w:r w:rsidRPr="004068F6">
        <w:rPr>
          <w:color w:val="000000"/>
        </w:rPr>
        <w:lastRenderedPageBreak/>
        <w:t xml:space="preserve">población, </w:t>
      </w:r>
      <w:r w:rsidR="00FC125D" w:rsidRPr="004068F6">
        <w:rPr>
          <w:color w:val="000000"/>
        </w:rPr>
        <w:t xml:space="preserve">la </w:t>
      </w:r>
      <w:r w:rsidRPr="004068F6">
        <w:rPr>
          <w:color w:val="000000"/>
        </w:rPr>
        <w:t xml:space="preserve">dependencia económica y sociocultural </w:t>
      </w:r>
      <w:r w:rsidR="00FC125D" w:rsidRPr="004068F6">
        <w:rPr>
          <w:color w:val="000000"/>
        </w:rPr>
        <w:t xml:space="preserve">de </w:t>
      </w:r>
      <w:r w:rsidRPr="004068F6">
        <w:rPr>
          <w:color w:val="000000"/>
        </w:rPr>
        <w:t xml:space="preserve">los ecosistemas, </w:t>
      </w:r>
      <w:r w:rsidR="00FC125D" w:rsidRPr="004068F6">
        <w:rPr>
          <w:color w:val="000000"/>
        </w:rPr>
        <w:t xml:space="preserve">las </w:t>
      </w:r>
      <w:r w:rsidRPr="004068F6">
        <w:rPr>
          <w:color w:val="000000"/>
        </w:rPr>
        <w:t>concepciones tradicionales sobre la ocupación del territorio y los cambios culturales originados por el contacto con otras culturas.</w:t>
      </w:r>
    </w:p>
    <w:p w14:paraId="2EDBFC11" w14:textId="77777777" w:rsidR="00482A5F" w:rsidRPr="004068F6" w:rsidRDefault="00482A5F" w:rsidP="00C86DA5">
      <w:pPr>
        <w:overflowPunct/>
        <w:autoSpaceDE/>
        <w:autoSpaceDN/>
        <w:adjustRightInd/>
        <w:textAlignment w:val="auto"/>
        <w:rPr>
          <w:color w:val="000000"/>
        </w:rPr>
      </w:pPr>
    </w:p>
    <w:p w14:paraId="4861E6A0" w14:textId="7524DE80" w:rsidR="00482A5F" w:rsidRPr="004068F6" w:rsidRDefault="00482A5F" w:rsidP="00C86DA5">
      <w:pPr>
        <w:overflowPunct/>
        <w:autoSpaceDE/>
        <w:autoSpaceDN/>
        <w:adjustRightInd/>
        <w:ind w:left="567"/>
        <w:textAlignment w:val="auto"/>
        <w:rPr>
          <w:color w:val="000000"/>
        </w:rPr>
      </w:pPr>
      <w:r w:rsidRPr="004068F6">
        <w:rPr>
          <w:color w:val="000000"/>
        </w:rPr>
        <w:t>La información debe describir la diferenciación cultural del territorio, a partir de las diversas expresiones culturales al interior y exterior de la comunidad étnica, constatando la heterogeneidad del manejo del espacio. Para esta descripción se deben tener en cuenta lugares sagrados, clasificaciones toponímicas, cotos de caza, salados, jerarquías espaciales y ambientales, y uso de los recursos naturales renovables, entre otros</w:t>
      </w:r>
      <w:r w:rsidR="00835137" w:rsidRPr="004068F6">
        <w:rPr>
          <w:color w:val="000000"/>
        </w:rPr>
        <w:t xml:space="preserve"> elementos</w:t>
      </w:r>
      <w:r w:rsidRPr="004068F6">
        <w:rPr>
          <w:color w:val="000000"/>
        </w:rPr>
        <w:t>.</w:t>
      </w:r>
    </w:p>
    <w:p w14:paraId="6ED968C8" w14:textId="77777777" w:rsidR="00482A5F" w:rsidRPr="004068F6" w:rsidRDefault="00482A5F">
      <w:pPr>
        <w:numPr>
          <w:ilvl w:val="12"/>
          <w:numId w:val="0"/>
        </w:numPr>
        <w:tabs>
          <w:tab w:val="left" w:pos="-2268"/>
        </w:tabs>
        <w:suppressAutoHyphens/>
        <w:rPr>
          <w:spacing w:val="-3"/>
        </w:rPr>
      </w:pPr>
    </w:p>
    <w:p w14:paraId="2595A6A3" w14:textId="4288C8FC"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Demografía</w:t>
      </w:r>
      <w:r w:rsidR="00835137" w:rsidRPr="004068F6">
        <w:rPr>
          <w:color w:val="000000"/>
        </w:rPr>
        <w:t>.</w:t>
      </w:r>
      <w:r w:rsidRPr="004068F6">
        <w:rPr>
          <w:color w:val="000000"/>
        </w:rPr>
        <w:t xml:space="preserve"> </w:t>
      </w:r>
      <w:r w:rsidR="00835137" w:rsidRPr="004068F6">
        <w:rPr>
          <w:color w:val="000000"/>
        </w:rPr>
        <w:t>E</w:t>
      </w:r>
      <w:r w:rsidRPr="004068F6">
        <w:rPr>
          <w:color w:val="000000"/>
        </w:rPr>
        <w:t>stablecer la población total, su distribución, densidad, tendencia de crecimiento, composición por edad y sexo, tasa</w:t>
      </w:r>
      <w:r w:rsidR="00835137" w:rsidRPr="004068F6">
        <w:rPr>
          <w:color w:val="000000"/>
        </w:rPr>
        <w:t>s</w:t>
      </w:r>
      <w:r w:rsidRPr="004068F6">
        <w:rPr>
          <w:color w:val="000000"/>
        </w:rPr>
        <w:t xml:space="preserve"> de natalidad, mortalidad</w:t>
      </w:r>
      <w:r w:rsidR="00835137" w:rsidRPr="004068F6">
        <w:rPr>
          <w:color w:val="000000"/>
        </w:rPr>
        <w:t xml:space="preserve"> y</w:t>
      </w:r>
      <w:r w:rsidRPr="004068F6">
        <w:rPr>
          <w:color w:val="000000"/>
        </w:rPr>
        <w:t xml:space="preserve"> morbilidad</w:t>
      </w:r>
      <w:r w:rsidR="00835137" w:rsidRPr="004068F6">
        <w:rPr>
          <w:color w:val="000000"/>
        </w:rPr>
        <w:t>, así como</w:t>
      </w:r>
      <w:r w:rsidRPr="004068F6">
        <w:rPr>
          <w:color w:val="000000"/>
        </w:rPr>
        <w:t xml:space="preserve"> </w:t>
      </w:r>
      <w:r w:rsidR="00835137" w:rsidRPr="004068F6">
        <w:rPr>
          <w:color w:val="000000"/>
        </w:rPr>
        <w:t>la</w:t>
      </w:r>
      <w:r w:rsidRPr="004068F6">
        <w:rPr>
          <w:color w:val="000000"/>
        </w:rPr>
        <w:t xml:space="preserve"> migración. Caracterizar la estructura familiar (tipo</w:t>
      </w:r>
      <w:r w:rsidR="00835137" w:rsidRPr="004068F6">
        <w:rPr>
          <w:color w:val="000000"/>
        </w:rPr>
        <w:t xml:space="preserve"> y</w:t>
      </w:r>
      <w:r w:rsidRPr="004068F6">
        <w:rPr>
          <w:color w:val="000000"/>
        </w:rPr>
        <w:t xml:space="preserve"> tamaño) y la tendencia de crecimiento. Se debe indicar la metodología empleada para el levantamiento de </w:t>
      </w:r>
      <w:r w:rsidR="00835137" w:rsidRPr="004068F6">
        <w:rPr>
          <w:color w:val="000000"/>
        </w:rPr>
        <w:t xml:space="preserve">esta </w:t>
      </w:r>
      <w:r w:rsidRPr="004068F6">
        <w:rPr>
          <w:color w:val="000000"/>
        </w:rPr>
        <w:t>información.</w:t>
      </w:r>
    </w:p>
    <w:p w14:paraId="792676EE" w14:textId="77777777" w:rsidR="00482A5F" w:rsidRPr="004068F6" w:rsidRDefault="00482A5F" w:rsidP="00C86DA5">
      <w:pPr>
        <w:overflowPunct/>
        <w:autoSpaceDE/>
        <w:autoSpaceDN/>
        <w:adjustRightInd/>
        <w:textAlignment w:val="auto"/>
        <w:rPr>
          <w:color w:val="000000"/>
        </w:rPr>
      </w:pPr>
    </w:p>
    <w:p w14:paraId="53AD7FBF" w14:textId="75529CD1"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Salud</w:t>
      </w:r>
      <w:r w:rsidR="00835137" w:rsidRPr="004068F6">
        <w:rPr>
          <w:color w:val="000000"/>
        </w:rPr>
        <w:t>.</w:t>
      </w:r>
      <w:r w:rsidRPr="004068F6">
        <w:rPr>
          <w:color w:val="000000"/>
        </w:rPr>
        <w:t xml:space="preserve"> </w:t>
      </w:r>
      <w:r w:rsidR="00835137" w:rsidRPr="004068F6">
        <w:rPr>
          <w:color w:val="000000"/>
        </w:rPr>
        <w:t>D</w:t>
      </w:r>
      <w:r w:rsidRPr="004068F6">
        <w:rPr>
          <w:color w:val="000000"/>
        </w:rPr>
        <w:t>escribir el sistema de salud tradicional, las estrategias, recursos y espacios de curación teniendo en cuenta los agentes de salud utilizados por la comunidad (taitas, curanderos, curacas, payés, entre otros)</w:t>
      </w:r>
      <w:r w:rsidR="00496EAA" w:rsidRPr="004068F6">
        <w:rPr>
          <w:rStyle w:val="Refdenotaalpie"/>
          <w:color w:val="000000"/>
          <w:lang w:val="es-CO"/>
        </w:rPr>
        <w:footnoteReference w:id="175"/>
      </w:r>
      <w:r w:rsidRPr="004068F6">
        <w:rPr>
          <w:color w:val="000000"/>
        </w:rPr>
        <w:t>. Describir la relación con los demás sistemas de salud y las características de la morbimortalidad.</w:t>
      </w:r>
    </w:p>
    <w:p w14:paraId="420AA2D2" w14:textId="77777777" w:rsidR="00482A5F" w:rsidRPr="004068F6" w:rsidRDefault="00482A5F" w:rsidP="00C86DA5">
      <w:pPr>
        <w:overflowPunct/>
        <w:autoSpaceDE/>
        <w:autoSpaceDN/>
        <w:adjustRightInd/>
        <w:textAlignment w:val="auto"/>
        <w:rPr>
          <w:color w:val="000000"/>
        </w:rPr>
      </w:pPr>
    </w:p>
    <w:p w14:paraId="08792A95" w14:textId="3B69AF5C" w:rsidR="00482A5F" w:rsidRPr="004068F6" w:rsidRDefault="00482A5F" w:rsidP="00C86DA5">
      <w:pPr>
        <w:overflowPunct/>
        <w:autoSpaceDE/>
        <w:autoSpaceDN/>
        <w:adjustRightInd/>
        <w:ind w:left="567"/>
        <w:textAlignment w:val="auto"/>
        <w:rPr>
          <w:color w:val="000000"/>
        </w:rPr>
      </w:pPr>
      <w:r w:rsidRPr="004068F6">
        <w:rPr>
          <w:color w:val="000000"/>
        </w:rPr>
        <w:t>Educación</w:t>
      </w:r>
      <w:r w:rsidR="00835137" w:rsidRPr="004068F6">
        <w:rPr>
          <w:color w:val="000000"/>
        </w:rPr>
        <w:t>.</w:t>
      </w:r>
      <w:r w:rsidRPr="004068F6">
        <w:rPr>
          <w:color w:val="000000"/>
        </w:rPr>
        <w:t xml:space="preserve"> </w:t>
      </w:r>
      <w:r w:rsidR="00835137" w:rsidRPr="004068F6">
        <w:rPr>
          <w:color w:val="000000"/>
        </w:rPr>
        <w:t>D</w:t>
      </w:r>
      <w:r w:rsidRPr="004068F6">
        <w:rPr>
          <w:color w:val="000000"/>
        </w:rPr>
        <w:t>escribir los tipos de educación (etnoeducación, formal y no formal) que se imparten en las comunidades, teniendo en cuenta la infraestructura existente, la cobertura, y los entes encargados</w:t>
      </w:r>
      <w:r w:rsidR="00835137" w:rsidRPr="004068F6">
        <w:rPr>
          <w:color w:val="000000"/>
        </w:rPr>
        <w:t xml:space="preserve"> de la misma</w:t>
      </w:r>
      <w:r w:rsidRPr="004068F6">
        <w:rPr>
          <w:color w:val="000000"/>
        </w:rPr>
        <w:t>.</w:t>
      </w:r>
      <w:r w:rsidR="00BC00C5" w:rsidRPr="004068F6">
        <w:rPr>
          <w:color w:val="000000"/>
        </w:rPr>
        <w:t xml:space="preserve"> Asimismo, se debe d</w:t>
      </w:r>
      <w:r w:rsidRPr="004068F6">
        <w:rPr>
          <w:color w:val="000000"/>
        </w:rPr>
        <w:t>escribir la incidencia de los proyectos etnoeducativos en los procesos de participación de la comunidad étnica e identificar la presencia de profesores bilingües.</w:t>
      </w:r>
    </w:p>
    <w:p w14:paraId="2B633886" w14:textId="77777777" w:rsidR="00482A5F" w:rsidRPr="004068F6" w:rsidRDefault="00482A5F" w:rsidP="00C86DA5">
      <w:pPr>
        <w:tabs>
          <w:tab w:val="left" w:pos="-2268"/>
        </w:tabs>
        <w:suppressAutoHyphens/>
        <w:rPr>
          <w:spacing w:val="-3"/>
        </w:rPr>
      </w:pPr>
    </w:p>
    <w:p w14:paraId="187C2E78" w14:textId="6079301D"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Religiosidad y cosmogonía</w:t>
      </w:r>
      <w:r w:rsidR="00835137" w:rsidRPr="004068F6">
        <w:rPr>
          <w:color w:val="000000"/>
        </w:rPr>
        <w:t>.</w:t>
      </w:r>
      <w:r w:rsidRPr="004068F6">
        <w:rPr>
          <w:color w:val="000000"/>
        </w:rPr>
        <w:t xml:space="preserve"> </w:t>
      </w:r>
      <w:r w:rsidR="00BC00C5" w:rsidRPr="004068F6">
        <w:rPr>
          <w:color w:val="000000"/>
        </w:rPr>
        <w:t xml:space="preserve">Establecer </w:t>
      </w:r>
      <w:r w:rsidRPr="004068F6">
        <w:rPr>
          <w:color w:val="000000"/>
        </w:rPr>
        <w:t>c</w:t>
      </w:r>
      <w:r w:rsidR="00835137" w:rsidRPr="004068F6">
        <w:rPr>
          <w:color w:val="000000"/>
        </w:rPr>
        <w:t>ó</w:t>
      </w:r>
      <w:r w:rsidRPr="004068F6">
        <w:rPr>
          <w:color w:val="000000"/>
        </w:rPr>
        <w:t xml:space="preserve">mo el sistema de creencias determina el relacionamiento con la naturaleza y con lugares específicos del entorno como bosques, cuerpos de agua, montañas, colinas o cerros, </w:t>
      </w:r>
      <w:r w:rsidR="00835137" w:rsidRPr="004068F6">
        <w:rPr>
          <w:color w:val="000000"/>
        </w:rPr>
        <w:t xml:space="preserve">los cuáles </w:t>
      </w:r>
      <w:r w:rsidRPr="004068F6">
        <w:rPr>
          <w:color w:val="000000"/>
        </w:rPr>
        <w:t>deben ser identificados</w:t>
      </w:r>
      <w:r w:rsidR="00835137" w:rsidRPr="004068F6">
        <w:rPr>
          <w:color w:val="000000"/>
        </w:rPr>
        <w:t>.</w:t>
      </w:r>
    </w:p>
    <w:p w14:paraId="6F0F7780" w14:textId="77777777" w:rsidR="00482A5F" w:rsidRPr="004068F6" w:rsidRDefault="00482A5F" w:rsidP="00C86DA5">
      <w:pPr>
        <w:overflowPunct/>
        <w:autoSpaceDE/>
        <w:autoSpaceDN/>
        <w:adjustRightInd/>
        <w:textAlignment w:val="auto"/>
        <w:rPr>
          <w:color w:val="000000"/>
        </w:rPr>
      </w:pPr>
    </w:p>
    <w:p w14:paraId="22F57595" w14:textId="77777777" w:rsidR="00161B35" w:rsidRPr="004068F6" w:rsidRDefault="00161B35" w:rsidP="00161B35">
      <w:pPr>
        <w:numPr>
          <w:ilvl w:val="0"/>
          <w:numId w:val="389"/>
        </w:numPr>
        <w:overflowPunct/>
        <w:autoSpaceDE/>
        <w:autoSpaceDN/>
        <w:adjustRightInd/>
        <w:ind w:left="567" w:hanging="567"/>
        <w:textAlignment w:val="auto"/>
        <w:rPr>
          <w:color w:val="000000"/>
        </w:rPr>
      </w:pPr>
      <w:r w:rsidRPr="004068F6">
        <w:rPr>
          <w:rFonts w:cs="Arial"/>
          <w:szCs w:val="20"/>
        </w:rPr>
        <w:t xml:space="preserve">Memoria histórica. Indagar por el recuerdo colectivo de eventos, experiencias e historias pasadas que generan identidad de los grupos de interés, </w:t>
      </w:r>
      <w:r w:rsidRPr="004068F6">
        <w:rPr>
          <w:rFonts w:cs="Arial"/>
          <w:szCs w:val="20"/>
        </w:rPr>
        <w:lastRenderedPageBreak/>
        <w:t>procurando conocer las dinámicas culturales que conectan el pasado, el presente y el futuro.</w:t>
      </w:r>
    </w:p>
    <w:p w14:paraId="1B54C767" w14:textId="77777777" w:rsidR="00161B35" w:rsidRPr="004068F6" w:rsidRDefault="00161B35" w:rsidP="00161B35">
      <w:pPr>
        <w:rPr>
          <w:color w:val="000000"/>
        </w:rPr>
      </w:pPr>
    </w:p>
    <w:p w14:paraId="3719A122" w14:textId="77777777" w:rsidR="00A3507A" w:rsidRPr="004068F6" w:rsidRDefault="00A3507A" w:rsidP="00A3507A">
      <w:pPr>
        <w:numPr>
          <w:ilvl w:val="0"/>
          <w:numId w:val="389"/>
        </w:numPr>
        <w:overflowPunct/>
        <w:autoSpaceDE/>
        <w:autoSpaceDN/>
        <w:adjustRightInd/>
        <w:ind w:left="567" w:hanging="567"/>
        <w:textAlignment w:val="auto"/>
        <w:rPr>
          <w:color w:val="000000"/>
        </w:rPr>
      </w:pPr>
      <w:r w:rsidRPr="004068F6">
        <w:rPr>
          <w:color w:val="000000"/>
        </w:rPr>
        <w:t>Patrimonio cultural inmaterial. Comprende las prácticas sociales, tradiciones estéticas y modos de conocimiento perpetuados en el seno de la comunidad.</w:t>
      </w:r>
    </w:p>
    <w:p w14:paraId="3C89C784" w14:textId="77777777" w:rsidR="00A3507A" w:rsidRPr="004068F6" w:rsidRDefault="00A3507A" w:rsidP="000D6E21">
      <w:pPr>
        <w:rPr>
          <w:color w:val="000000"/>
        </w:rPr>
      </w:pPr>
    </w:p>
    <w:p w14:paraId="3F685566" w14:textId="2437C49E" w:rsidR="00482A5F" w:rsidRPr="004068F6" w:rsidRDefault="00835137" w:rsidP="00C86DA5">
      <w:pPr>
        <w:numPr>
          <w:ilvl w:val="0"/>
          <w:numId w:val="389"/>
        </w:numPr>
        <w:overflowPunct/>
        <w:autoSpaceDE/>
        <w:autoSpaceDN/>
        <w:adjustRightInd/>
        <w:ind w:left="567" w:hanging="567"/>
        <w:textAlignment w:val="auto"/>
        <w:rPr>
          <w:color w:val="000000"/>
        </w:rPr>
      </w:pPr>
      <w:r w:rsidRPr="004068F6">
        <w:rPr>
          <w:color w:val="000000"/>
        </w:rPr>
        <w:t>C</w:t>
      </w:r>
      <w:r w:rsidR="00482A5F" w:rsidRPr="004068F6">
        <w:rPr>
          <w:color w:val="000000"/>
        </w:rPr>
        <w:t>ambios culturales</w:t>
      </w:r>
      <w:r w:rsidRPr="004068F6">
        <w:rPr>
          <w:color w:val="000000"/>
        </w:rPr>
        <w:t xml:space="preserve">. </w:t>
      </w:r>
      <w:r w:rsidR="00BC00C5" w:rsidRPr="004068F6">
        <w:rPr>
          <w:color w:val="000000"/>
        </w:rPr>
        <w:t xml:space="preserve">Determinar </w:t>
      </w:r>
      <w:r w:rsidRPr="004068F6">
        <w:rPr>
          <w:color w:val="000000"/>
        </w:rPr>
        <w:t>los cambios</w:t>
      </w:r>
      <w:r w:rsidR="00482A5F" w:rsidRPr="004068F6">
        <w:rPr>
          <w:color w:val="000000"/>
        </w:rPr>
        <w:t xml:space="preserve"> que se han presentado en la conformación de la identidad a partir de procesos de choque, localización y resistencia.</w:t>
      </w:r>
    </w:p>
    <w:p w14:paraId="20A0F31D" w14:textId="77777777" w:rsidR="00482A5F" w:rsidRPr="004068F6" w:rsidRDefault="00482A5F" w:rsidP="00C86DA5">
      <w:pPr>
        <w:overflowPunct/>
        <w:autoSpaceDE/>
        <w:autoSpaceDN/>
        <w:adjustRightInd/>
        <w:textAlignment w:val="auto"/>
        <w:rPr>
          <w:color w:val="000000"/>
        </w:rPr>
      </w:pPr>
    </w:p>
    <w:p w14:paraId="599B56D5" w14:textId="7A18A33C"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Etnolingüística</w:t>
      </w:r>
      <w:r w:rsidR="00835137" w:rsidRPr="004068F6">
        <w:rPr>
          <w:color w:val="000000"/>
        </w:rPr>
        <w:t>.</w:t>
      </w:r>
      <w:r w:rsidRPr="004068F6">
        <w:rPr>
          <w:color w:val="000000"/>
        </w:rPr>
        <w:t xml:space="preserve"> </w:t>
      </w:r>
      <w:r w:rsidR="00835137" w:rsidRPr="004068F6">
        <w:rPr>
          <w:color w:val="000000"/>
        </w:rPr>
        <w:t>I</w:t>
      </w:r>
      <w:r w:rsidRPr="004068F6">
        <w:rPr>
          <w:color w:val="000000"/>
        </w:rPr>
        <w:t>dentificar la lengua y dialectos predominantes en la población, la presencia de bilingüismo o multilingüismo, los mecanismos de relación intra e intercultural y las problemáticas más sobresalientes relacionadas con estos temas. Precisar el uso actual de la lengua, estimando el número de hablantes y justificar la necesidad o no de la traducción a la lengua nativa</w:t>
      </w:r>
      <w:r w:rsidR="00EB4574" w:rsidRPr="004068F6">
        <w:rPr>
          <w:color w:val="000000"/>
        </w:rPr>
        <w:t xml:space="preserve"> por medio de intermediación cultural</w:t>
      </w:r>
      <w:r w:rsidRPr="004068F6">
        <w:rPr>
          <w:color w:val="000000"/>
        </w:rPr>
        <w:t>.</w:t>
      </w:r>
    </w:p>
    <w:p w14:paraId="6722980C" w14:textId="77777777" w:rsidR="00332887" w:rsidRPr="004068F6" w:rsidRDefault="00332887" w:rsidP="000D6E21">
      <w:pPr>
        <w:rPr>
          <w:color w:val="000000"/>
        </w:rPr>
      </w:pPr>
    </w:p>
    <w:p w14:paraId="03587963" w14:textId="3122AD31" w:rsidR="00332887" w:rsidRPr="004068F6" w:rsidRDefault="00332887" w:rsidP="00332887">
      <w:pPr>
        <w:numPr>
          <w:ilvl w:val="0"/>
          <w:numId w:val="389"/>
        </w:numPr>
        <w:overflowPunct/>
        <w:autoSpaceDE/>
        <w:autoSpaceDN/>
        <w:adjustRightInd/>
        <w:ind w:left="567" w:hanging="567"/>
        <w:textAlignment w:val="auto"/>
        <w:rPr>
          <w:color w:val="000000"/>
        </w:rPr>
      </w:pPr>
      <w:r w:rsidRPr="004068F6">
        <w:rPr>
          <w:rFonts w:cs="Arial"/>
          <w:szCs w:val="20"/>
        </w:rPr>
        <w:t xml:space="preserve">Cuestiones de género. Analizar los roles, las relaciones y las desigualdades entre hombres y mujeres, examinando los roles e identidades, necesidades y prioridades, acceso </w:t>
      </w:r>
      <w:r w:rsidR="007644C2" w:rsidRPr="004068F6">
        <w:rPr>
          <w:rFonts w:cs="Arial"/>
          <w:szCs w:val="20"/>
        </w:rPr>
        <w:t>a roles de liderazgo</w:t>
      </w:r>
      <w:r w:rsidR="002F3A9E" w:rsidRPr="004068F6">
        <w:rPr>
          <w:rFonts w:cs="Arial"/>
          <w:szCs w:val="20"/>
        </w:rPr>
        <w:t xml:space="preserve"> y </w:t>
      </w:r>
      <w:r w:rsidRPr="004068F6">
        <w:rPr>
          <w:rFonts w:cs="Arial"/>
          <w:szCs w:val="20"/>
        </w:rPr>
        <w:t>a los recursos, y el ejercicio del poder.</w:t>
      </w:r>
    </w:p>
    <w:p w14:paraId="375F052B" w14:textId="77777777" w:rsidR="00482A5F" w:rsidRPr="004068F6" w:rsidRDefault="00482A5F" w:rsidP="00C86DA5">
      <w:pPr>
        <w:overflowPunct/>
        <w:autoSpaceDE/>
        <w:autoSpaceDN/>
        <w:adjustRightInd/>
        <w:textAlignment w:val="auto"/>
        <w:rPr>
          <w:color w:val="000000"/>
        </w:rPr>
      </w:pPr>
    </w:p>
    <w:p w14:paraId="535609A7" w14:textId="3BE93820"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Economía tradicional</w:t>
      </w:r>
      <w:r w:rsidR="00835137" w:rsidRPr="004068F6">
        <w:rPr>
          <w:color w:val="000000"/>
        </w:rPr>
        <w:t>.</w:t>
      </w:r>
      <w:r w:rsidRPr="004068F6">
        <w:rPr>
          <w:color w:val="000000"/>
        </w:rPr>
        <w:t xml:space="preserve"> </w:t>
      </w:r>
      <w:r w:rsidR="00835137" w:rsidRPr="004068F6">
        <w:rPr>
          <w:color w:val="000000"/>
        </w:rPr>
        <w:t>D</w:t>
      </w:r>
      <w:r w:rsidRPr="004068F6">
        <w:rPr>
          <w:color w:val="000000"/>
        </w:rPr>
        <w:t>escribir los sistemas económicos y productivos teniendo en cuenta la estructura de la propiedad, las actividades</w:t>
      </w:r>
      <w:r w:rsidR="00BC00C5" w:rsidRPr="004068F6">
        <w:rPr>
          <w:color w:val="000000"/>
        </w:rPr>
        <w:t xml:space="preserve"> económicas</w:t>
      </w:r>
      <w:r w:rsidRPr="004068F6">
        <w:rPr>
          <w:color w:val="000000"/>
        </w:rPr>
        <w:t xml:space="preserve">, </w:t>
      </w:r>
      <w:r w:rsidR="00835137" w:rsidRPr="004068F6">
        <w:rPr>
          <w:color w:val="000000"/>
        </w:rPr>
        <w:t xml:space="preserve">las </w:t>
      </w:r>
      <w:r w:rsidRPr="004068F6">
        <w:rPr>
          <w:color w:val="000000"/>
        </w:rPr>
        <w:t xml:space="preserve">estrategias productivas, </w:t>
      </w:r>
      <w:r w:rsidR="00835137" w:rsidRPr="004068F6">
        <w:rPr>
          <w:color w:val="000000"/>
        </w:rPr>
        <w:t xml:space="preserve">las </w:t>
      </w:r>
      <w:r w:rsidRPr="004068F6">
        <w:rPr>
          <w:color w:val="000000"/>
        </w:rPr>
        <w:t xml:space="preserve">tecnologías utilizadas y la infraestructura asociada. </w:t>
      </w:r>
      <w:r w:rsidR="00BC00C5" w:rsidRPr="004068F6">
        <w:rPr>
          <w:color w:val="000000"/>
        </w:rPr>
        <w:t xml:space="preserve">Determinar </w:t>
      </w:r>
      <w:r w:rsidRPr="004068F6">
        <w:rPr>
          <w:color w:val="000000"/>
        </w:rPr>
        <w:t>las redes de comercialización de productos tanto inter como extra locales, regionales y fronterizas (en el caso en que proceda). Describir las prácticas de uso, aprovechamiento e interacción de la población con los recursos naturales</w:t>
      </w:r>
      <w:r w:rsidR="004F15FD" w:rsidRPr="004068F6">
        <w:rPr>
          <w:color w:val="000000"/>
        </w:rPr>
        <w:t>,</w:t>
      </w:r>
      <w:r w:rsidR="0072054C" w:rsidRPr="004068F6">
        <w:rPr>
          <w:color w:val="000000"/>
        </w:rPr>
        <w:t xml:space="preserve"> </w:t>
      </w:r>
      <w:r w:rsidRPr="004068F6">
        <w:rPr>
          <w:color w:val="000000"/>
        </w:rPr>
        <w:t xml:space="preserve">la participación de los miembros de la comunidad en las actividades productivas, así como el uso cultural y </w:t>
      </w:r>
      <w:r w:rsidR="004F15FD" w:rsidRPr="004068F6">
        <w:rPr>
          <w:color w:val="000000"/>
        </w:rPr>
        <w:t xml:space="preserve">el </w:t>
      </w:r>
      <w:r w:rsidRPr="004068F6">
        <w:rPr>
          <w:color w:val="000000"/>
        </w:rPr>
        <w:t xml:space="preserve">grado de dependencia </w:t>
      </w:r>
      <w:r w:rsidR="004F15FD" w:rsidRPr="004068F6">
        <w:rPr>
          <w:color w:val="000000"/>
        </w:rPr>
        <w:t xml:space="preserve">de la comunidad </w:t>
      </w:r>
      <w:r w:rsidRPr="004068F6">
        <w:rPr>
          <w:color w:val="000000"/>
        </w:rPr>
        <w:t xml:space="preserve">de los recursos naturales. </w:t>
      </w:r>
      <w:r w:rsidR="00BC00C5" w:rsidRPr="004068F6">
        <w:rPr>
          <w:color w:val="000000"/>
        </w:rPr>
        <w:t xml:space="preserve">Determinar </w:t>
      </w:r>
      <w:r w:rsidRPr="004068F6">
        <w:rPr>
          <w:color w:val="000000"/>
        </w:rPr>
        <w:t xml:space="preserve">la existencia de </w:t>
      </w:r>
      <w:r w:rsidR="00EA6A3F" w:rsidRPr="004068F6">
        <w:rPr>
          <w:color w:val="000000"/>
        </w:rPr>
        <w:t>parcialidades</w:t>
      </w:r>
      <w:r w:rsidRPr="004068F6">
        <w:rPr>
          <w:color w:val="000000"/>
        </w:rPr>
        <w:t xml:space="preserve"> al interior del territorio, tamaño, usos y grado de dependencia de las familias, entre otros.</w:t>
      </w:r>
    </w:p>
    <w:p w14:paraId="26BD2D00" w14:textId="77777777" w:rsidR="00482A5F" w:rsidRPr="004068F6" w:rsidRDefault="00482A5F" w:rsidP="00C86DA5">
      <w:pPr>
        <w:overflowPunct/>
        <w:autoSpaceDE/>
        <w:autoSpaceDN/>
        <w:adjustRightInd/>
        <w:textAlignment w:val="auto"/>
        <w:rPr>
          <w:color w:val="000000"/>
        </w:rPr>
      </w:pPr>
    </w:p>
    <w:p w14:paraId="427430F7" w14:textId="7D1AEA34"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Organización sociocultural</w:t>
      </w:r>
      <w:r w:rsidR="004F15FD" w:rsidRPr="004068F6">
        <w:rPr>
          <w:color w:val="000000"/>
        </w:rPr>
        <w:t>.</w:t>
      </w:r>
      <w:r w:rsidRPr="004068F6">
        <w:rPr>
          <w:color w:val="000000"/>
        </w:rPr>
        <w:t xml:space="preserve"> </w:t>
      </w:r>
      <w:r w:rsidR="004F15FD" w:rsidRPr="004068F6">
        <w:rPr>
          <w:color w:val="000000"/>
        </w:rPr>
        <w:t>P</w:t>
      </w:r>
      <w:r w:rsidRPr="004068F6">
        <w:rPr>
          <w:color w:val="000000"/>
        </w:rPr>
        <w:t xml:space="preserve">resentar una síntesis de los roles más importantes reconocidos en las formas tradicionales de organización, precisando los tipos de organización, representantes legales, autoridades tradicionales y las legítimamente reconocidas. </w:t>
      </w:r>
      <w:r w:rsidR="00BC00C5" w:rsidRPr="004068F6">
        <w:rPr>
          <w:color w:val="000000"/>
        </w:rPr>
        <w:t xml:space="preserve">Determinar </w:t>
      </w:r>
      <w:r w:rsidRPr="004068F6">
        <w:rPr>
          <w:color w:val="000000"/>
        </w:rPr>
        <w:t>los espacios de participación que contribuyen al fortalecimiento de la identidad cultural. Describir las relaciones interétnicas y culturales, los vínculos con otras organizaciones comunitarias y los diferentes conflictos que se presentan en la zona.</w:t>
      </w:r>
    </w:p>
    <w:p w14:paraId="7E875702" w14:textId="77777777" w:rsidR="00482A5F" w:rsidRPr="004068F6" w:rsidRDefault="00482A5F" w:rsidP="00C86DA5">
      <w:pPr>
        <w:overflowPunct/>
        <w:autoSpaceDE/>
        <w:autoSpaceDN/>
        <w:adjustRightInd/>
        <w:textAlignment w:val="auto"/>
        <w:rPr>
          <w:color w:val="000000"/>
        </w:rPr>
      </w:pPr>
    </w:p>
    <w:p w14:paraId="70012DE0" w14:textId="77777777" w:rsidR="00B61649" w:rsidRPr="004068F6" w:rsidRDefault="00B61649" w:rsidP="00B61649">
      <w:pPr>
        <w:numPr>
          <w:ilvl w:val="0"/>
          <w:numId w:val="389"/>
        </w:numPr>
        <w:overflowPunct/>
        <w:autoSpaceDE/>
        <w:autoSpaceDN/>
        <w:adjustRightInd/>
        <w:ind w:left="567" w:hanging="567"/>
        <w:textAlignment w:val="auto"/>
        <w:rPr>
          <w:color w:val="000000"/>
        </w:rPr>
      </w:pPr>
      <w:r w:rsidRPr="004068F6">
        <w:rPr>
          <w:spacing w:val="-3"/>
        </w:rPr>
        <w:t>Fundamentos culturales, usos y costumbres culturales y estructura del territorio.</w:t>
      </w:r>
    </w:p>
    <w:p w14:paraId="07B2C376" w14:textId="77777777" w:rsidR="00B61649" w:rsidRPr="004068F6" w:rsidRDefault="00B61649" w:rsidP="00C86DA5">
      <w:pPr>
        <w:overflowPunct/>
        <w:autoSpaceDE/>
        <w:autoSpaceDN/>
        <w:adjustRightInd/>
        <w:textAlignment w:val="auto"/>
        <w:rPr>
          <w:color w:val="000000"/>
        </w:rPr>
      </w:pPr>
    </w:p>
    <w:p w14:paraId="2921DB6B" w14:textId="59E0570C" w:rsidR="00482A5F" w:rsidRPr="004068F6" w:rsidRDefault="00482A5F" w:rsidP="00C86DA5">
      <w:pPr>
        <w:numPr>
          <w:ilvl w:val="0"/>
          <w:numId w:val="389"/>
        </w:numPr>
        <w:overflowPunct/>
        <w:autoSpaceDE/>
        <w:autoSpaceDN/>
        <w:adjustRightInd/>
        <w:ind w:left="567" w:hanging="567"/>
        <w:textAlignment w:val="auto"/>
        <w:rPr>
          <w:color w:val="000000"/>
        </w:rPr>
      </w:pPr>
      <w:r w:rsidRPr="004068F6">
        <w:rPr>
          <w:color w:val="000000"/>
        </w:rPr>
        <w:t>Presencia institucional</w:t>
      </w:r>
      <w:r w:rsidR="00180FBA" w:rsidRPr="004068F6">
        <w:rPr>
          <w:color w:val="000000"/>
        </w:rPr>
        <w:t>.</w:t>
      </w:r>
      <w:r w:rsidRPr="004068F6">
        <w:rPr>
          <w:color w:val="000000"/>
        </w:rPr>
        <w:t xml:space="preserve"> </w:t>
      </w:r>
      <w:r w:rsidR="00180FBA" w:rsidRPr="004068F6">
        <w:rPr>
          <w:color w:val="000000"/>
        </w:rPr>
        <w:t>D</w:t>
      </w:r>
      <w:r w:rsidRPr="004068F6">
        <w:rPr>
          <w:color w:val="000000"/>
        </w:rPr>
        <w:t>escribir los proyectos existentes dentro de los territorios tradicionales o colectivos y el grado de participación de la comunidad</w:t>
      </w:r>
      <w:r w:rsidR="00180FBA" w:rsidRPr="004068F6">
        <w:rPr>
          <w:color w:val="000000"/>
        </w:rPr>
        <w:t xml:space="preserve"> en los mismos</w:t>
      </w:r>
      <w:r w:rsidRPr="004068F6">
        <w:rPr>
          <w:color w:val="000000"/>
        </w:rPr>
        <w:t>. Se deben presentar las investigaciones, proyectos y obras que se adelanten por instituciones gubernamentales y no gubernamentales, dentro de los territorios tradicionales de las comunidades étnicas, incluyendo la función que cumplen</w:t>
      </w:r>
      <w:r w:rsidR="00180FBA" w:rsidRPr="004068F6">
        <w:rPr>
          <w:color w:val="000000"/>
        </w:rPr>
        <w:t>,</w:t>
      </w:r>
      <w:r w:rsidRPr="004068F6">
        <w:rPr>
          <w:color w:val="000000"/>
        </w:rPr>
        <w:t xml:space="preserve"> la vinculación que tienen las comunidades y la cobertura de dichos proyectos. Se deben identificar los proyectos de etnodesarrollo, definidos por cada una de las comunidades que se estén ejecutando o </w:t>
      </w:r>
      <w:r w:rsidR="00180FBA" w:rsidRPr="004068F6">
        <w:rPr>
          <w:color w:val="000000"/>
        </w:rPr>
        <w:t xml:space="preserve">que </w:t>
      </w:r>
      <w:r w:rsidRPr="004068F6">
        <w:rPr>
          <w:color w:val="000000"/>
        </w:rPr>
        <w:t>se encuentren en proyección.</w:t>
      </w:r>
    </w:p>
    <w:p w14:paraId="12EB5CBC" w14:textId="77777777" w:rsidR="00482A5F" w:rsidRPr="004068F6" w:rsidRDefault="00482A5F">
      <w:pPr>
        <w:numPr>
          <w:ilvl w:val="12"/>
          <w:numId w:val="0"/>
        </w:numPr>
        <w:tabs>
          <w:tab w:val="left" w:pos="-2268"/>
        </w:tabs>
        <w:suppressAutoHyphens/>
        <w:rPr>
          <w:spacing w:val="-3"/>
        </w:rPr>
      </w:pPr>
    </w:p>
    <w:p w14:paraId="6A5148FF" w14:textId="1A5AF30A" w:rsidR="00482A5F" w:rsidRPr="004068F6" w:rsidRDefault="00235F6D">
      <w:pPr>
        <w:numPr>
          <w:ilvl w:val="12"/>
          <w:numId w:val="0"/>
        </w:numPr>
        <w:tabs>
          <w:tab w:val="left" w:pos="-2268"/>
        </w:tabs>
        <w:suppressAutoHyphens/>
        <w:rPr>
          <w:spacing w:val="-3"/>
        </w:rPr>
      </w:pPr>
      <w:r w:rsidRPr="004068F6">
        <w:rPr>
          <w:spacing w:val="-3"/>
        </w:rPr>
        <w:t xml:space="preserve">Mediante el análisis de esta información se deben </w:t>
      </w:r>
      <w:r w:rsidR="00BC00C5" w:rsidRPr="004068F6">
        <w:rPr>
          <w:spacing w:val="-3"/>
        </w:rPr>
        <w:t xml:space="preserve">determinar </w:t>
      </w:r>
      <w:r w:rsidR="00482A5F" w:rsidRPr="004068F6">
        <w:rPr>
          <w:spacing w:val="-3"/>
        </w:rPr>
        <w:t>los rasgos culturales característicos de las comunidades étnicas presentes en el territorio, estableciendo sus patrones de comportamiento y las referencias que permitan establecer</w:t>
      </w:r>
      <w:r w:rsidR="00660A39" w:rsidRPr="004068F6">
        <w:rPr>
          <w:spacing w:val="-3"/>
        </w:rPr>
        <w:t>, en el numeral de evaluación ambiental,</w:t>
      </w:r>
      <w:r w:rsidR="00482A5F" w:rsidRPr="004068F6">
        <w:rPr>
          <w:spacing w:val="-3"/>
        </w:rPr>
        <w:t xml:space="preserve"> el nivel de afectación </w:t>
      </w:r>
      <w:r w:rsidR="00752EBF" w:rsidRPr="004068F6">
        <w:rPr>
          <w:spacing w:val="-3"/>
        </w:rPr>
        <w:t xml:space="preserve">cultural </w:t>
      </w:r>
      <w:r w:rsidR="00C15FBA" w:rsidRPr="004068F6">
        <w:rPr>
          <w:spacing w:val="-3"/>
        </w:rPr>
        <w:t xml:space="preserve">que se </w:t>
      </w:r>
      <w:r w:rsidR="00482A5F" w:rsidRPr="004068F6">
        <w:rPr>
          <w:spacing w:val="-3"/>
        </w:rPr>
        <w:t>deriva del desarrollo del proyecto, obras o actividad</w:t>
      </w:r>
      <w:r w:rsidR="00547BE5" w:rsidRPr="004068F6">
        <w:rPr>
          <w:spacing w:val="-3"/>
        </w:rPr>
        <w:t>;</w:t>
      </w:r>
      <w:r w:rsidR="00F95B37" w:rsidRPr="004068F6">
        <w:rPr>
          <w:spacing w:val="-3"/>
        </w:rPr>
        <w:t xml:space="preserve"> para ampliar esta caracterización se deben tener cuenta las sentencias judiciales mediante las cuales se hayan adoptado decisiones relacionadas con la protección de los derechos territoriales, el gobierno propio y la autonomía</w:t>
      </w:r>
      <w:r w:rsidR="00482A5F" w:rsidRPr="004068F6">
        <w:rPr>
          <w:spacing w:val="-3"/>
        </w:rPr>
        <w:t>.</w:t>
      </w:r>
    </w:p>
    <w:p w14:paraId="4B6A6163" w14:textId="77777777" w:rsidR="00482A5F" w:rsidRPr="004068F6" w:rsidRDefault="00482A5F">
      <w:pPr>
        <w:numPr>
          <w:ilvl w:val="12"/>
          <w:numId w:val="0"/>
        </w:numPr>
        <w:tabs>
          <w:tab w:val="left" w:pos="-2268"/>
        </w:tabs>
        <w:suppressAutoHyphens/>
        <w:rPr>
          <w:spacing w:val="-3"/>
        </w:rPr>
      </w:pPr>
    </w:p>
    <w:p w14:paraId="18B0B4B2" w14:textId="5F0E9BBF" w:rsidR="00482A5F" w:rsidRPr="004068F6" w:rsidRDefault="00482A5F" w:rsidP="009420F5">
      <w:pPr>
        <w:pStyle w:val="Ttulo4"/>
        <w:tabs>
          <w:tab w:val="clear" w:pos="1844"/>
          <w:tab w:val="num" w:pos="1134"/>
        </w:tabs>
        <w:ind w:left="0"/>
        <w:rPr>
          <w:lang w:val="es-CO"/>
        </w:rPr>
      </w:pPr>
      <w:bookmarkStart w:id="2971" w:name="_Toc30501702"/>
      <w:bookmarkStart w:id="2972" w:name="_Toc393967332"/>
      <w:bookmarkStart w:id="2973" w:name="_Toc405366848"/>
      <w:bookmarkStart w:id="2974" w:name="_Toc405372395"/>
      <w:bookmarkStart w:id="2975" w:name="_Toc412803196"/>
      <w:bookmarkStart w:id="2976" w:name="_Toc414285593"/>
      <w:bookmarkStart w:id="2977" w:name="_Toc437936036"/>
      <w:r w:rsidRPr="004068F6">
        <w:rPr>
          <w:lang w:val="es-CO"/>
        </w:rPr>
        <w:t>Político</w:t>
      </w:r>
      <w:r w:rsidR="00DA1384" w:rsidRPr="004068F6">
        <w:rPr>
          <w:lang w:val="es-CO"/>
        </w:rPr>
        <w:t xml:space="preserve"> </w:t>
      </w:r>
      <w:r w:rsidRPr="004068F6">
        <w:rPr>
          <w:lang w:val="es-CO"/>
        </w:rPr>
        <w:t>organizativo</w:t>
      </w:r>
      <w:bookmarkEnd w:id="2971"/>
      <w:bookmarkEnd w:id="2972"/>
      <w:bookmarkEnd w:id="2973"/>
      <w:bookmarkEnd w:id="2974"/>
      <w:bookmarkEnd w:id="2975"/>
      <w:bookmarkEnd w:id="2976"/>
      <w:bookmarkEnd w:id="2977"/>
    </w:p>
    <w:p w14:paraId="4E10D7C5" w14:textId="77777777" w:rsidR="00482A5F" w:rsidRPr="004068F6" w:rsidRDefault="00482A5F">
      <w:pPr>
        <w:numPr>
          <w:ilvl w:val="12"/>
          <w:numId w:val="0"/>
        </w:numPr>
        <w:tabs>
          <w:tab w:val="left" w:pos="-2268"/>
        </w:tabs>
        <w:suppressAutoHyphens/>
        <w:rPr>
          <w:spacing w:val="-3"/>
        </w:rPr>
      </w:pPr>
    </w:p>
    <w:p w14:paraId="773288DD" w14:textId="7CC37C92" w:rsidR="00482A5F" w:rsidRPr="004068F6" w:rsidRDefault="00583051">
      <w:pPr>
        <w:numPr>
          <w:ilvl w:val="12"/>
          <w:numId w:val="0"/>
        </w:numPr>
        <w:tabs>
          <w:tab w:val="left" w:pos="-2268"/>
        </w:tabs>
        <w:suppressAutoHyphens/>
        <w:rPr>
          <w:spacing w:val="-3"/>
        </w:rPr>
      </w:pPr>
      <w:r w:rsidRPr="004068F6">
        <w:rPr>
          <w:spacing w:val="-3"/>
        </w:rPr>
        <w:t xml:space="preserve">La información de caracterización debe permitir </w:t>
      </w:r>
      <w:r w:rsidR="00482A5F" w:rsidRPr="004068F6">
        <w:rPr>
          <w:spacing w:val="-3"/>
        </w:rPr>
        <w:t xml:space="preserve">conocer la estructura organizativa </w:t>
      </w:r>
      <w:r w:rsidR="004B41F4" w:rsidRPr="004068F6">
        <w:rPr>
          <w:spacing w:val="-3"/>
        </w:rPr>
        <w:t xml:space="preserve">e incidencia de </w:t>
      </w:r>
      <w:r w:rsidR="00482A5F" w:rsidRPr="004068F6">
        <w:rPr>
          <w:spacing w:val="-3"/>
        </w:rPr>
        <w:t>las instituciones e instancias existentes</w:t>
      </w:r>
      <w:r w:rsidR="004B41F4" w:rsidRPr="004068F6">
        <w:rPr>
          <w:spacing w:val="-3"/>
        </w:rPr>
        <w:t>, y abarca no sólo</w:t>
      </w:r>
      <w:r w:rsidR="00482A5F" w:rsidRPr="004068F6">
        <w:rPr>
          <w:spacing w:val="-3"/>
        </w:rPr>
        <w:t xml:space="preserve"> </w:t>
      </w:r>
      <w:r w:rsidR="004B41F4" w:rsidRPr="004068F6">
        <w:rPr>
          <w:spacing w:val="-3"/>
        </w:rPr>
        <w:t xml:space="preserve">las </w:t>
      </w:r>
      <w:r w:rsidR="00482A5F" w:rsidRPr="004068F6">
        <w:rPr>
          <w:spacing w:val="-3"/>
        </w:rPr>
        <w:t>promovidas desde el sector público, sino también</w:t>
      </w:r>
      <w:r w:rsidR="004B41F4" w:rsidRPr="004068F6">
        <w:rPr>
          <w:spacing w:val="-3"/>
        </w:rPr>
        <w:t>,</w:t>
      </w:r>
      <w:r w:rsidR="00482A5F" w:rsidRPr="004068F6">
        <w:rPr>
          <w:spacing w:val="-3"/>
        </w:rPr>
        <w:t xml:space="preserve"> aquellas iniciativas y organizaciones </w:t>
      </w:r>
      <w:r w:rsidR="004B41F4" w:rsidRPr="004068F6">
        <w:rPr>
          <w:spacing w:val="-3"/>
        </w:rPr>
        <w:t>d</w:t>
      </w:r>
      <w:r w:rsidR="00482A5F" w:rsidRPr="004068F6">
        <w:rPr>
          <w:spacing w:val="-3"/>
        </w:rPr>
        <w:t xml:space="preserve">el </w:t>
      </w:r>
      <w:r w:rsidR="004B41F4" w:rsidRPr="004068F6">
        <w:rPr>
          <w:spacing w:val="-3"/>
        </w:rPr>
        <w:t xml:space="preserve">ámbito </w:t>
      </w:r>
      <w:r w:rsidR="00482A5F" w:rsidRPr="004068F6">
        <w:rPr>
          <w:spacing w:val="-3"/>
        </w:rPr>
        <w:t>comunitario, cívico y privado existentes en el municipio</w:t>
      </w:r>
      <w:r w:rsidR="00B57084" w:rsidRPr="004068F6">
        <w:rPr>
          <w:rFonts w:cs="Arial"/>
          <w:spacing w:val="-3"/>
        </w:rPr>
        <w:t>.</w:t>
      </w:r>
    </w:p>
    <w:p w14:paraId="68B9807E" w14:textId="77777777" w:rsidR="00482A5F" w:rsidRPr="004068F6" w:rsidRDefault="00482A5F" w:rsidP="00C86DA5"/>
    <w:p w14:paraId="2F834581" w14:textId="6A111C50" w:rsidR="00482A5F" w:rsidRPr="004068F6" w:rsidRDefault="00482A5F" w:rsidP="002F5664">
      <w:pPr>
        <w:pStyle w:val="Ttulo5"/>
        <w:tabs>
          <w:tab w:val="clear" w:pos="2160"/>
          <w:tab w:val="num" w:pos="1134"/>
        </w:tabs>
        <w:ind w:left="1134" w:hanging="1134"/>
        <w:rPr>
          <w:lang w:val="es-CO"/>
        </w:rPr>
      </w:pPr>
      <w:bookmarkStart w:id="2978" w:name="_Toc393967333"/>
      <w:bookmarkStart w:id="2979" w:name="_Toc405366849"/>
      <w:bookmarkStart w:id="2980" w:name="_Toc405372396"/>
      <w:r w:rsidRPr="004068F6">
        <w:rPr>
          <w:lang w:val="es-CO"/>
        </w:rPr>
        <w:t xml:space="preserve">Características </w:t>
      </w:r>
      <w:bookmarkEnd w:id="2978"/>
      <w:bookmarkEnd w:id="2979"/>
      <w:bookmarkEnd w:id="2980"/>
      <w:r w:rsidR="00434EA7" w:rsidRPr="004068F6">
        <w:rPr>
          <w:lang w:val="es-CO"/>
        </w:rPr>
        <w:t>político-organizativas</w:t>
      </w:r>
    </w:p>
    <w:p w14:paraId="5A0E36A2" w14:textId="77777777" w:rsidR="00482A5F" w:rsidRPr="004068F6" w:rsidRDefault="00482A5F">
      <w:pPr>
        <w:numPr>
          <w:ilvl w:val="12"/>
          <w:numId w:val="0"/>
        </w:numPr>
        <w:tabs>
          <w:tab w:val="left" w:pos="-2268"/>
        </w:tabs>
        <w:suppressAutoHyphens/>
        <w:rPr>
          <w:spacing w:val="-3"/>
        </w:rPr>
      </w:pPr>
    </w:p>
    <w:p w14:paraId="6E52DDB5" w14:textId="6BA593A4" w:rsidR="00482A5F" w:rsidRPr="004068F6" w:rsidRDefault="00482A5F">
      <w:pPr>
        <w:numPr>
          <w:ilvl w:val="12"/>
          <w:numId w:val="0"/>
        </w:numPr>
        <w:tabs>
          <w:tab w:val="left" w:pos="-2268"/>
        </w:tabs>
        <w:suppressAutoHyphens/>
        <w:rPr>
          <w:spacing w:val="-3"/>
        </w:rPr>
      </w:pPr>
      <w:r w:rsidRPr="004068F6">
        <w:rPr>
          <w:spacing w:val="-3"/>
        </w:rPr>
        <w:t xml:space="preserve">Presentar las características </w:t>
      </w:r>
      <w:r w:rsidR="00434EA7" w:rsidRPr="004068F6">
        <w:rPr>
          <w:spacing w:val="-3"/>
        </w:rPr>
        <w:t>político-organizativas</w:t>
      </w:r>
      <w:r w:rsidRPr="004068F6">
        <w:rPr>
          <w:spacing w:val="-3"/>
        </w:rPr>
        <w:t xml:space="preserve"> de las </w:t>
      </w:r>
      <w:r w:rsidR="006D75A2" w:rsidRPr="004068F6">
        <w:rPr>
          <w:spacing w:val="-3"/>
        </w:rPr>
        <w:t>unidades de análisis territorial</w:t>
      </w:r>
      <w:r w:rsidRPr="004068F6">
        <w:rPr>
          <w:spacing w:val="-3"/>
        </w:rPr>
        <w:t xml:space="preserve"> de acuerdo con la información secundaria encontrada en los planes de desarrollo municipal y departamental,</w:t>
      </w:r>
      <w:r w:rsidR="00B412E3" w:rsidRPr="004068F6">
        <w:rPr>
          <w:spacing w:val="-3"/>
        </w:rPr>
        <w:t xml:space="preserve"> en los planes de vida y los planes de etnodesarrollo, así como </w:t>
      </w:r>
      <w:r w:rsidRPr="004068F6">
        <w:rPr>
          <w:spacing w:val="-3"/>
        </w:rPr>
        <w:t xml:space="preserve">en los </w:t>
      </w:r>
      <w:r w:rsidR="003B5089" w:rsidRPr="004068F6">
        <w:rPr>
          <w:spacing w:val="-3"/>
        </w:rPr>
        <w:t xml:space="preserve">demás </w:t>
      </w:r>
      <w:r w:rsidR="00005E00" w:rsidRPr="004068F6">
        <w:rPr>
          <w:spacing w:val="-3"/>
        </w:rPr>
        <w:t xml:space="preserve">instrumentos </w:t>
      </w:r>
      <w:r w:rsidRPr="004068F6">
        <w:rPr>
          <w:spacing w:val="-3"/>
        </w:rPr>
        <w:t xml:space="preserve">de ordenamiento territorial </w:t>
      </w:r>
      <w:r w:rsidR="00E940C1" w:rsidRPr="004068F6">
        <w:rPr>
          <w:spacing w:val="-3"/>
        </w:rPr>
        <w:t>existentes</w:t>
      </w:r>
      <w:r w:rsidRPr="004068F6">
        <w:rPr>
          <w:spacing w:val="-3"/>
        </w:rPr>
        <w:t>.</w:t>
      </w:r>
    </w:p>
    <w:p w14:paraId="7C10686E" w14:textId="77777777" w:rsidR="00482A5F" w:rsidRPr="004068F6" w:rsidRDefault="00482A5F">
      <w:pPr>
        <w:numPr>
          <w:ilvl w:val="12"/>
          <w:numId w:val="0"/>
        </w:numPr>
        <w:tabs>
          <w:tab w:val="left" w:pos="-2268"/>
        </w:tabs>
        <w:suppressAutoHyphens/>
        <w:rPr>
          <w:spacing w:val="-3"/>
        </w:rPr>
      </w:pPr>
    </w:p>
    <w:p w14:paraId="1C833195" w14:textId="7DE7CE7C" w:rsidR="00482A5F" w:rsidRPr="004068F6" w:rsidRDefault="00482A5F">
      <w:pPr>
        <w:numPr>
          <w:ilvl w:val="12"/>
          <w:numId w:val="0"/>
        </w:numPr>
        <w:tabs>
          <w:tab w:val="left" w:pos="-2268"/>
        </w:tabs>
        <w:suppressAutoHyphens/>
        <w:rPr>
          <w:spacing w:val="-3"/>
        </w:rPr>
      </w:pPr>
      <w:r w:rsidRPr="004068F6">
        <w:rPr>
          <w:spacing w:val="-3"/>
        </w:rPr>
        <w:t xml:space="preserve">Presentar información referente a las relaciones e interacciones de poder </w:t>
      </w:r>
      <w:r w:rsidR="00BC00C5" w:rsidRPr="004068F6">
        <w:rPr>
          <w:spacing w:val="-3"/>
        </w:rPr>
        <w:t>y determinar</w:t>
      </w:r>
      <w:r w:rsidRPr="004068F6">
        <w:rPr>
          <w:spacing w:val="-3"/>
        </w:rPr>
        <w:t xml:space="preserve"> los intereses y demandas de los entes territoriales y de la comunidad.</w:t>
      </w:r>
    </w:p>
    <w:p w14:paraId="7011F113" w14:textId="77777777" w:rsidR="00482A5F" w:rsidRPr="004068F6" w:rsidRDefault="00482A5F">
      <w:pPr>
        <w:numPr>
          <w:ilvl w:val="12"/>
          <w:numId w:val="0"/>
        </w:numPr>
        <w:tabs>
          <w:tab w:val="left" w:pos="-2268"/>
        </w:tabs>
        <w:suppressAutoHyphens/>
        <w:rPr>
          <w:spacing w:val="-3"/>
        </w:rPr>
      </w:pPr>
    </w:p>
    <w:p w14:paraId="4D88ECF5" w14:textId="13AE252F" w:rsidR="00D249DA" w:rsidRPr="004068F6" w:rsidRDefault="001B34A8" w:rsidP="00D249DA">
      <w:pPr>
        <w:numPr>
          <w:ilvl w:val="12"/>
          <w:numId w:val="0"/>
        </w:numPr>
        <w:tabs>
          <w:tab w:val="left" w:pos="-2268"/>
        </w:tabs>
        <w:suppressAutoHyphens/>
        <w:rPr>
          <w:spacing w:val="-3"/>
        </w:rPr>
      </w:pPr>
      <w:r w:rsidRPr="004068F6">
        <w:rPr>
          <w:spacing w:val="-3"/>
        </w:rPr>
        <w:t>Asimismo</w:t>
      </w:r>
      <w:r w:rsidR="00D249DA" w:rsidRPr="004068F6">
        <w:rPr>
          <w:spacing w:val="-3"/>
        </w:rPr>
        <w:t xml:space="preserve">, se debe diagnosticar con la información disponible, si en el área de influencia hacen presencia actores armados y </w:t>
      </w:r>
      <w:r w:rsidRPr="004068F6">
        <w:rPr>
          <w:spacing w:val="-3"/>
        </w:rPr>
        <w:t xml:space="preserve">si esto representa un </w:t>
      </w:r>
      <w:r w:rsidR="00D249DA" w:rsidRPr="004068F6">
        <w:rPr>
          <w:spacing w:val="-3"/>
        </w:rPr>
        <w:t xml:space="preserve">riesgo para la vida, </w:t>
      </w:r>
      <w:r w:rsidR="00D249DA" w:rsidRPr="004068F6">
        <w:rPr>
          <w:spacing w:val="-3"/>
        </w:rPr>
        <w:lastRenderedPageBreak/>
        <w:t xml:space="preserve">integridad, participación y otros derechos </w:t>
      </w:r>
      <w:r w:rsidR="00255B0C">
        <w:rPr>
          <w:spacing w:val="-3"/>
        </w:rPr>
        <w:t>humanos</w:t>
      </w:r>
      <w:r w:rsidR="00255B0C" w:rsidRPr="004068F6">
        <w:rPr>
          <w:spacing w:val="-3"/>
        </w:rPr>
        <w:t xml:space="preserve"> </w:t>
      </w:r>
      <w:r w:rsidR="00D249DA" w:rsidRPr="004068F6">
        <w:rPr>
          <w:spacing w:val="-3"/>
        </w:rPr>
        <w:t xml:space="preserve">de la población, </w:t>
      </w:r>
      <w:r w:rsidR="0081417B" w:rsidRPr="004068F6">
        <w:rPr>
          <w:spacing w:val="-3"/>
        </w:rPr>
        <w:t xml:space="preserve">especialmente, de </w:t>
      </w:r>
      <w:r w:rsidR="00D249DA" w:rsidRPr="004068F6">
        <w:rPr>
          <w:spacing w:val="-3"/>
        </w:rPr>
        <w:t>líderes ambientales, sociales y políticos.</w:t>
      </w:r>
    </w:p>
    <w:p w14:paraId="62ECC4E6" w14:textId="77777777" w:rsidR="00D249DA" w:rsidRPr="004068F6" w:rsidRDefault="00D249DA">
      <w:pPr>
        <w:numPr>
          <w:ilvl w:val="12"/>
          <w:numId w:val="0"/>
        </w:numPr>
        <w:tabs>
          <w:tab w:val="left" w:pos="-2268"/>
        </w:tabs>
        <w:suppressAutoHyphens/>
        <w:rPr>
          <w:spacing w:val="-3"/>
        </w:rPr>
      </w:pPr>
    </w:p>
    <w:p w14:paraId="7B5A5ED5" w14:textId="292AAE7C" w:rsidR="00482A5F" w:rsidRPr="004068F6" w:rsidRDefault="00482A5F" w:rsidP="002F5664">
      <w:pPr>
        <w:pStyle w:val="Ttulo5"/>
        <w:tabs>
          <w:tab w:val="clear" w:pos="2160"/>
          <w:tab w:val="num" w:pos="1134"/>
        </w:tabs>
        <w:ind w:left="1134" w:hanging="1134"/>
        <w:rPr>
          <w:lang w:val="es-CO"/>
        </w:rPr>
      </w:pPr>
      <w:bookmarkStart w:id="2981" w:name="_Toc393967334"/>
      <w:bookmarkStart w:id="2982" w:name="_Toc405366850"/>
      <w:bookmarkStart w:id="2983" w:name="_Toc405372397"/>
      <w:r w:rsidRPr="004068F6">
        <w:rPr>
          <w:lang w:val="es-CO"/>
        </w:rPr>
        <w:t>Presencia institucional y organización comunitaria</w:t>
      </w:r>
      <w:bookmarkEnd w:id="2981"/>
      <w:bookmarkEnd w:id="2982"/>
      <w:bookmarkEnd w:id="2983"/>
    </w:p>
    <w:p w14:paraId="54F5182D" w14:textId="77777777" w:rsidR="00482A5F" w:rsidRPr="004068F6" w:rsidRDefault="00482A5F">
      <w:pPr>
        <w:numPr>
          <w:ilvl w:val="12"/>
          <w:numId w:val="0"/>
        </w:numPr>
        <w:tabs>
          <w:tab w:val="left" w:pos="-2268"/>
        </w:tabs>
        <w:suppressAutoHyphens/>
        <w:rPr>
          <w:spacing w:val="-3"/>
        </w:rPr>
      </w:pPr>
    </w:p>
    <w:p w14:paraId="59AD477E" w14:textId="77777777" w:rsidR="00482A5F" w:rsidRPr="004068F6" w:rsidRDefault="00482A5F">
      <w:pPr>
        <w:numPr>
          <w:ilvl w:val="12"/>
          <w:numId w:val="0"/>
        </w:numPr>
        <w:tabs>
          <w:tab w:val="left" w:pos="-2268"/>
        </w:tabs>
        <w:suppressAutoHyphens/>
        <w:rPr>
          <w:spacing w:val="-3"/>
        </w:rPr>
      </w:pPr>
      <w:r w:rsidRPr="004068F6">
        <w:rPr>
          <w:spacing w:val="-3"/>
        </w:rPr>
        <w:t>Se deben identificar:</w:t>
      </w:r>
    </w:p>
    <w:p w14:paraId="679CA21C" w14:textId="77777777" w:rsidR="00482A5F" w:rsidRPr="004068F6" w:rsidRDefault="00482A5F">
      <w:pPr>
        <w:numPr>
          <w:ilvl w:val="12"/>
          <w:numId w:val="0"/>
        </w:numPr>
        <w:tabs>
          <w:tab w:val="left" w:pos="-2268"/>
        </w:tabs>
        <w:suppressAutoHyphens/>
        <w:rPr>
          <w:spacing w:val="-3"/>
        </w:rPr>
      </w:pPr>
    </w:p>
    <w:p w14:paraId="7F03F73E" w14:textId="60C09E5A" w:rsidR="00482A5F" w:rsidRPr="004068F6" w:rsidRDefault="00482A5F" w:rsidP="00C86DA5">
      <w:pPr>
        <w:numPr>
          <w:ilvl w:val="0"/>
          <w:numId w:val="394"/>
        </w:numPr>
        <w:tabs>
          <w:tab w:val="left" w:pos="-2268"/>
        </w:tabs>
        <w:suppressAutoHyphens/>
        <w:ind w:left="567" w:hanging="567"/>
        <w:rPr>
          <w:spacing w:val="-3"/>
        </w:rPr>
      </w:pPr>
      <w:r w:rsidRPr="004068F6">
        <w:rPr>
          <w:spacing w:val="-3"/>
        </w:rPr>
        <w:t>Las instituciones públicas existentes en el municipio, describiendo la capacidad institucional para atender las condiciones actuales de su población y para intervenir ante situaciones que se puedan derivar de la ejecución del proyecto</w:t>
      </w:r>
      <w:r w:rsidR="00DA1384" w:rsidRPr="004068F6">
        <w:rPr>
          <w:spacing w:val="-3"/>
        </w:rPr>
        <w:t>, obra o actividad</w:t>
      </w:r>
      <w:r w:rsidRPr="004068F6">
        <w:rPr>
          <w:spacing w:val="-3"/>
        </w:rPr>
        <w:t>.</w:t>
      </w:r>
    </w:p>
    <w:p w14:paraId="5630F504" w14:textId="77777777" w:rsidR="00482A5F" w:rsidRPr="004068F6" w:rsidRDefault="00482A5F" w:rsidP="00B57084">
      <w:pPr>
        <w:tabs>
          <w:tab w:val="left" w:pos="-2268"/>
        </w:tabs>
        <w:suppressAutoHyphens/>
        <w:ind w:left="567" w:hanging="567"/>
        <w:rPr>
          <w:spacing w:val="-3"/>
        </w:rPr>
      </w:pPr>
    </w:p>
    <w:p w14:paraId="2F347F15" w14:textId="041397CC" w:rsidR="00482A5F" w:rsidRPr="004068F6" w:rsidRDefault="00482A5F" w:rsidP="00C86DA5">
      <w:pPr>
        <w:numPr>
          <w:ilvl w:val="0"/>
          <w:numId w:val="394"/>
        </w:numPr>
        <w:tabs>
          <w:tab w:val="left" w:pos="-2268"/>
        </w:tabs>
        <w:suppressAutoHyphens/>
        <w:ind w:left="567" w:hanging="567"/>
        <w:rPr>
          <w:spacing w:val="-3"/>
        </w:rPr>
      </w:pPr>
      <w:r w:rsidRPr="004068F6">
        <w:rPr>
          <w:spacing w:val="-3"/>
        </w:rPr>
        <w:t xml:space="preserve">Las organizaciones privadas, </w:t>
      </w:r>
      <w:r w:rsidR="00B73099" w:rsidRPr="004068F6">
        <w:rPr>
          <w:spacing w:val="-3"/>
        </w:rPr>
        <w:t xml:space="preserve">productivas, </w:t>
      </w:r>
      <w:r w:rsidRPr="004068F6">
        <w:rPr>
          <w:spacing w:val="-3"/>
        </w:rPr>
        <w:t>sociales</w:t>
      </w:r>
      <w:r w:rsidR="00B73099" w:rsidRPr="004068F6">
        <w:rPr>
          <w:spacing w:val="-3"/>
        </w:rPr>
        <w:t xml:space="preserve">, </w:t>
      </w:r>
      <w:r w:rsidR="00B73099" w:rsidRPr="004068F6">
        <w:t>ambientales, de derechos humanos</w:t>
      </w:r>
      <w:r w:rsidRPr="004068F6">
        <w:rPr>
          <w:spacing w:val="-3"/>
        </w:rPr>
        <w:t xml:space="preserve"> y comunitarias</w:t>
      </w:r>
      <w:r w:rsidR="00DA1384" w:rsidRPr="004068F6">
        <w:rPr>
          <w:spacing w:val="-3"/>
        </w:rPr>
        <w:t>,</w:t>
      </w:r>
      <w:r w:rsidRPr="004068F6">
        <w:rPr>
          <w:spacing w:val="-3"/>
        </w:rPr>
        <w:t xml:space="preserve"> tales como </w:t>
      </w:r>
      <w:r w:rsidR="00DA1384" w:rsidRPr="004068F6">
        <w:rPr>
          <w:spacing w:val="-3"/>
        </w:rPr>
        <w:t xml:space="preserve">gremios, </w:t>
      </w:r>
      <w:r w:rsidRPr="004068F6">
        <w:rPr>
          <w:spacing w:val="-3"/>
        </w:rPr>
        <w:t>asociaciones, corporaciones, Juntas de Acción Comunal (JAC)</w:t>
      </w:r>
      <w:r w:rsidR="00DA1384" w:rsidRPr="004068F6">
        <w:rPr>
          <w:spacing w:val="-3"/>
        </w:rPr>
        <w:t xml:space="preserve"> y</w:t>
      </w:r>
      <w:r w:rsidRPr="004068F6">
        <w:rPr>
          <w:spacing w:val="-3"/>
        </w:rPr>
        <w:t xml:space="preserve"> cooperativas </w:t>
      </w:r>
      <w:r w:rsidR="00DA1384" w:rsidRPr="004068F6">
        <w:rPr>
          <w:spacing w:val="-3"/>
        </w:rPr>
        <w:t xml:space="preserve">de índole </w:t>
      </w:r>
      <w:r w:rsidRPr="004068F6">
        <w:rPr>
          <w:spacing w:val="-3"/>
        </w:rPr>
        <w:t xml:space="preserve">internacional, nacional, departamental </w:t>
      </w:r>
      <w:r w:rsidR="00DA1384" w:rsidRPr="004068F6">
        <w:rPr>
          <w:spacing w:val="-3"/>
        </w:rPr>
        <w:t xml:space="preserve">o </w:t>
      </w:r>
      <w:r w:rsidRPr="004068F6">
        <w:rPr>
          <w:spacing w:val="-3"/>
        </w:rPr>
        <w:t>municipal</w:t>
      </w:r>
      <w:r w:rsidR="00DA1384" w:rsidRPr="004068F6">
        <w:rPr>
          <w:spacing w:val="-3"/>
        </w:rPr>
        <w:t>,</w:t>
      </w:r>
      <w:r w:rsidRPr="004068F6">
        <w:rPr>
          <w:spacing w:val="-3"/>
        </w:rPr>
        <w:t xml:space="preserve"> presentes o que han tenido incidencia relevante, precisando entre otros</w:t>
      </w:r>
      <w:r w:rsidR="00DA1384" w:rsidRPr="004068F6">
        <w:rPr>
          <w:spacing w:val="-3"/>
        </w:rPr>
        <w:t xml:space="preserve"> elementos los siguientes</w:t>
      </w:r>
      <w:r w:rsidRPr="004068F6">
        <w:rPr>
          <w:spacing w:val="-3"/>
        </w:rPr>
        <w:t>:</w:t>
      </w:r>
    </w:p>
    <w:p w14:paraId="0BFC204C" w14:textId="77777777" w:rsidR="00482A5F" w:rsidRPr="004068F6" w:rsidRDefault="00482A5F">
      <w:pPr>
        <w:tabs>
          <w:tab w:val="left" w:pos="-2268"/>
        </w:tabs>
        <w:suppressAutoHyphens/>
        <w:rPr>
          <w:spacing w:val="-3"/>
        </w:rPr>
      </w:pPr>
    </w:p>
    <w:p w14:paraId="626FCB04" w14:textId="77777777" w:rsidR="00482A5F" w:rsidRPr="004068F6" w:rsidRDefault="00482A5F" w:rsidP="00C86DA5">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Tiempo de permanencia en la zona.</w:t>
      </w:r>
    </w:p>
    <w:p w14:paraId="75CC3643" w14:textId="77777777" w:rsidR="00482A5F" w:rsidRPr="004068F6" w:rsidRDefault="00482A5F" w:rsidP="009420F5">
      <w:pPr>
        <w:tabs>
          <w:tab w:val="left" w:pos="-2268"/>
        </w:tabs>
        <w:suppressAutoHyphens/>
        <w:overflowPunct/>
        <w:autoSpaceDE/>
        <w:autoSpaceDN/>
        <w:adjustRightInd/>
        <w:textAlignment w:val="auto"/>
        <w:rPr>
          <w:rFonts w:cs="Arial"/>
          <w:spacing w:val="-3"/>
        </w:rPr>
      </w:pPr>
    </w:p>
    <w:p w14:paraId="364A9211" w14:textId="77777777" w:rsidR="00482A5F" w:rsidRPr="004068F6" w:rsidRDefault="00482A5F" w:rsidP="00C86DA5">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Temas de interés o trabajo.</w:t>
      </w:r>
    </w:p>
    <w:p w14:paraId="65D2550A" w14:textId="77777777" w:rsidR="00482A5F" w:rsidRPr="004068F6" w:rsidRDefault="00482A5F" w:rsidP="009420F5">
      <w:pPr>
        <w:tabs>
          <w:tab w:val="left" w:pos="-2268"/>
        </w:tabs>
        <w:suppressAutoHyphens/>
        <w:overflowPunct/>
        <w:autoSpaceDE/>
        <w:autoSpaceDN/>
        <w:adjustRightInd/>
        <w:textAlignment w:val="auto"/>
        <w:rPr>
          <w:rFonts w:cs="Arial"/>
          <w:spacing w:val="-3"/>
        </w:rPr>
      </w:pPr>
    </w:p>
    <w:p w14:paraId="511549AE" w14:textId="77777777" w:rsidR="00482A5F" w:rsidRPr="004068F6" w:rsidRDefault="00482A5F" w:rsidP="00C86DA5">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Programas o proyectos ejecutados o en ejecución y población beneficiaria.</w:t>
      </w:r>
    </w:p>
    <w:p w14:paraId="38B88B60" w14:textId="77777777" w:rsidR="00482A5F" w:rsidRPr="004068F6" w:rsidRDefault="00482A5F">
      <w:pPr>
        <w:tabs>
          <w:tab w:val="left" w:pos="-2268"/>
        </w:tabs>
        <w:suppressAutoHyphens/>
        <w:rPr>
          <w:spacing w:val="-3"/>
        </w:rPr>
      </w:pPr>
    </w:p>
    <w:p w14:paraId="0DE48DA9" w14:textId="336CC6B1" w:rsidR="00161B35" w:rsidRPr="004068F6" w:rsidRDefault="00161B35" w:rsidP="000D6E21">
      <w:pPr>
        <w:numPr>
          <w:ilvl w:val="0"/>
          <w:numId w:val="394"/>
        </w:numPr>
        <w:tabs>
          <w:tab w:val="left" w:pos="-2268"/>
        </w:tabs>
        <w:suppressAutoHyphens/>
        <w:ind w:left="567" w:hanging="567"/>
        <w:rPr>
          <w:spacing w:val="-3"/>
        </w:rPr>
      </w:pPr>
      <w:r w:rsidRPr="004068F6">
        <w:rPr>
          <w:spacing w:val="-3"/>
        </w:rPr>
        <w:t>El liderazgo de grupos o personas. Identificar grupos o personas con un liderazgo reconocido, que posean la capacidad de comprender y compartir los sentimientos de su comunidad, de motivar a los miembros de su grupo y de comunicar eficazmente sus ideas e interactuar con otras personas.</w:t>
      </w:r>
    </w:p>
    <w:p w14:paraId="6C805BE9" w14:textId="7AA7367A" w:rsidR="00161B35" w:rsidRPr="004068F6" w:rsidRDefault="00161B35" w:rsidP="000D6E21">
      <w:pPr>
        <w:tabs>
          <w:tab w:val="left" w:pos="-2268"/>
        </w:tabs>
        <w:suppressAutoHyphens/>
        <w:rPr>
          <w:spacing w:val="-3"/>
        </w:rPr>
      </w:pPr>
    </w:p>
    <w:p w14:paraId="1AC7C2AF" w14:textId="390CEB21" w:rsidR="00482A5F" w:rsidRPr="004068F6" w:rsidRDefault="00482A5F" w:rsidP="00C86DA5">
      <w:pPr>
        <w:numPr>
          <w:ilvl w:val="0"/>
          <w:numId w:val="394"/>
        </w:numPr>
        <w:tabs>
          <w:tab w:val="left" w:pos="-2268"/>
        </w:tabs>
        <w:suppressAutoHyphens/>
        <w:ind w:left="567" w:hanging="567"/>
        <w:rPr>
          <w:spacing w:val="-3"/>
        </w:rPr>
      </w:pPr>
      <w:r w:rsidRPr="004068F6">
        <w:rPr>
          <w:spacing w:val="-3"/>
        </w:rPr>
        <w:t>Las instancias y mecanismos de participación de la población</w:t>
      </w:r>
      <w:r w:rsidR="00DA1384" w:rsidRPr="004068F6">
        <w:rPr>
          <w:spacing w:val="-3"/>
        </w:rPr>
        <w:t>,</w:t>
      </w:r>
      <w:r w:rsidRPr="004068F6">
        <w:rPr>
          <w:spacing w:val="-3"/>
        </w:rPr>
        <w:t xml:space="preserve"> así como las instituciones y organizaciones </w:t>
      </w:r>
      <w:r w:rsidR="008713EB" w:rsidRPr="004068F6">
        <w:rPr>
          <w:spacing w:val="-3"/>
        </w:rPr>
        <w:t>presentes</w:t>
      </w:r>
      <w:r w:rsidR="00DA1384" w:rsidRPr="004068F6">
        <w:rPr>
          <w:spacing w:val="-3"/>
        </w:rPr>
        <w:t xml:space="preserve"> </w:t>
      </w:r>
      <w:r w:rsidRPr="004068F6">
        <w:rPr>
          <w:spacing w:val="-3"/>
        </w:rPr>
        <w:t xml:space="preserve">que fortalecen y contribuyen a la participación de la población y que hayan sido incluidas en la aplicación de lineamientos de participación del </w:t>
      </w:r>
      <w:r w:rsidR="00676DE6" w:rsidRPr="004068F6">
        <w:rPr>
          <w:spacing w:val="-3"/>
        </w:rPr>
        <w:t>proyecto, obra o actividad</w:t>
      </w:r>
      <w:r w:rsidRPr="004068F6">
        <w:rPr>
          <w:spacing w:val="-3"/>
        </w:rPr>
        <w:t>.</w:t>
      </w:r>
    </w:p>
    <w:p w14:paraId="27C0D9D6" w14:textId="77777777" w:rsidR="00B57084" w:rsidRPr="004068F6" w:rsidRDefault="00B57084" w:rsidP="00C86DA5">
      <w:pPr>
        <w:tabs>
          <w:tab w:val="left" w:pos="-2268"/>
        </w:tabs>
        <w:suppressAutoHyphens/>
        <w:rPr>
          <w:spacing w:val="-3"/>
        </w:rPr>
      </w:pPr>
    </w:p>
    <w:p w14:paraId="025A8265" w14:textId="3F2C4FE5" w:rsidR="00482A5F" w:rsidRPr="004068F6" w:rsidRDefault="00482A5F" w:rsidP="00C86DA5">
      <w:pPr>
        <w:numPr>
          <w:ilvl w:val="0"/>
          <w:numId w:val="394"/>
        </w:numPr>
        <w:tabs>
          <w:tab w:val="left" w:pos="-2268"/>
        </w:tabs>
        <w:suppressAutoHyphens/>
        <w:ind w:left="567" w:hanging="567"/>
        <w:rPr>
          <w:spacing w:val="-3"/>
        </w:rPr>
      </w:pPr>
      <w:r w:rsidRPr="004068F6">
        <w:rPr>
          <w:spacing w:val="-3"/>
        </w:rPr>
        <w:t>Las intervenciones de tipo social que se realizan o que se han realizado desde el ámbito gubernamental (</w:t>
      </w:r>
      <w:r w:rsidR="00041844" w:rsidRPr="004068F6">
        <w:rPr>
          <w:spacing w:val="-3"/>
        </w:rPr>
        <w:t>p. ej.</w:t>
      </w:r>
      <w:r w:rsidRPr="004068F6">
        <w:rPr>
          <w:spacing w:val="-3"/>
        </w:rPr>
        <w:t xml:space="preserve"> acuerdos de paz), así como desde los sectores económicos presentes en el área </w:t>
      </w:r>
      <w:r w:rsidR="00FF0E95" w:rsidRPr="004068F6">
        <w:rPr>
          <w:spacing w:val="-3"/>
        </w:rPr>
        <w:t xml:space="preserve">objeto de </w:t>
      </w:r>
      <w:r w:rsidR="00486A26" w:rsidRPr="004068F6">
        <w:rPr>
          <w:spacing w:val="-3"/>
        </w:rPr>
        <w:t>caracterización</w:t>
      </w:r>
      <w:r w:rsidR="00FF0E95" w:rsidRPr="004068F6">
        <w:rPr>
          <w:spacing w:val="-3"/>
        </w:rPr>
        <w:t xml:space="preserve"> </w:t>
      </w:r>
      <w:r w:rsidRPr="004068F6">
        <w:rPr>
          <w:spacing w:val="-3"/>
        </w:rPr>
        <w:t>y la incidencia que dichas intervenciones han tenido en el componente político organizativo.</w:t>
      </w:r>
    </w:p>
    <w:p w14:paraId="6549012E" w14:textId="77777777" w:rsidR="00482A5F" w:rsidRPr="004068F6" w:rsidRDefault="00482A5F">
      <w:pPr>
        <w:tabs>
          <w:tab w:val="left" w:pos="-2268"/>
        </w:tabs>
        <w:suppressAutoHyphens/>
        <w:rPr>
          <w:spacing w:val="-3"/>
        </w:rPr>
      </w:pPr>
    </w:p>
    <w:p w14:paraId="3CBF2D29" w14:textId="0A4ECEAB" w:rsidR="00482A5F" w:rsidRPr="004068F6" w:rsidRDefault="00482A5F" w:rsidP="00C86DA5">
      <w:pPr>
        <w:numPr>
          <w:ilvl w:val="0"/>
          <w:numId w:val="394"/>
        </w:numPr>
        <w:tabs>
          <w:tab w:val="left" w:pos="-2268"/>
        </w:tabs>
        <w:suppressAutoHyphens/>
        <w:ind w:left="567" w:hanging="567"/>
        <w:rPr>
          <w:spacing w:val="-3"/>
        </w:rPr>
      </w:pPr>
      <w:r w:rsidRPr="004068F6">
        <w:rPr>
          <w:spacing w:val="-3"/>
        </w:rPr>
        <w:t xml:space="preserve">La participación y representatividad que han tenido instituciones y organizaciones del área </w:t>
      </w:r>
      <w:r w:rsidR="0078164E" w:rsidRPr="004068F6">
        <w:rPr>
          <w:spacing w:val="-3"/>
        </w:rPr>
        <w:t xml:space="preserve">objeto de estudio </w:t>
      </w:r>
      <w:r w:rsidRPr="004068F6">
        <w:rPr>
          <w:spacing w:val="-3"/>
        </w:rPr>
        <w:t>frente al desarrollo de otros proyectos ejecutado</w:t>
      </w:r>
      <w:r w:rsidR="00DA1384" w:rsidRPr="004068F6">
        <w:rPr>
          <w:spacing w:val="-3"/>
        </w:rPr>
        <w:t>s</w:t>
      </w:r>
      <w:r w:rsidRPr="004068F6">
        <w:rPr>
          <w:spacing w:val="-3"/>
        </w:rPr>
        <w:t xml:space="preserve"> en la zona. </w:t>
      </w:r>
    </w:p>
    <w:p w14:paraId="0D345A82" w14:textId="77777777" w:rsidR="00482A5F" w:rsidRPr="004068F6" w:rsidRDefault="00482A5F">
      <w:pPr>
        <w:numPr>
          <w:ilvl w:val="12"/>
          <w:numId w:val="0"/>
        </w:numPr>
        <w:tabs>
          <w:tab w:val="left" w:pos="-2268"/>
        </w:tabs>
        <w:suppressAutoHyphens/>
        <w:rPr>
          <w:spacing w:val="-3"/>
        </w:rPr>
      </w:pPr>
    </w:p>
    <w:p w14:paraId="2C80F42F" w14:textId="62E6BE9A" w:rsidR="00482A5F" w:rsidRPr="004068F6" w:rsidRDefault="00482A5F">
      <w:pPr>
        <w:numPr>
          <w:ilvl w:val="12"/>
          <w:numId w:val="0"/>
        </w:numPr>
        <w:tabs>
          <w:tab w:val="left" w:pos="-2268"/>
        </w:tabs>
        <w:suppressAutoHyphens/>
        <w:rPr>
          <w:spacing w:val="-3"/>
        </w:rPr>
      </w:pPr>
      <w:r w:rsidRPr="004068F6">
        <w:rPr>
          <w:spacing w:val="-3"/>
        </w:rPr>
        <w:t xml:space="preserve">Estos elementos en su conjunto </w:t>
      </w:r>
      <w:r w:rsidR="00DA1384" w:rsidRPr="004068F6">
        <w:rPr>
          <w:spacing w:val="-3"/>
        </w:rPr>
        <w:t xml:space="preserve">deben permitir </w:t>
      </w:r>
      <w:r w:rsidRPr="004068F6">
        <w:rPr>
          <w:spacing w:val="-3"/>
        </w:rPr>
        <w:t>evidencia</w:t>
      </w:r>
      <w:r w:rsidR="00DA1384" w:rsidRPr="004068F6">
        <w:rPr>
          <w:spacing w:val="-3"/>
        </w:rPr>
        <w:t>r</w:t>
      </w:r>
      <w:r w:rsidRPr="004068F6">
        <w:rPr>
          <w:spacing w:val="-3"/>
        </w:rPr>
        <w:t xml:space="preserve"> los lazos de interrelación entre los ciudadanos y sus instituciones, y entre ellos mismos, </w:t>
      </w:r>
      <w:r w:rsidR="00DA1384" w:rsidRPr="004068F6">
        <w:rPr>
          <w:spacing w:val="-3"/>
        </w:rPr>
        <w:t xml:space="preserve">así como </w:t>
      </w:r>
      <w:r w:rsidRPr="004068F6">
        <w:rPr>
          <w:spacing w:val="-3"/>
        </w:rPr>
        <w:t>refleja</w:t>
      </w:r>
      <w:r w:rsidR="00DA1384" w:rsidRPr="004068F6">
        <w:rPr>
          <w:spacing w:val="-3"/>
        </w:rPr>
        <w:t>r</w:t>
      </w:r>
      <w:r w:rsidRPr="004068F6">
        <w:rPr>
          <w:spacing w:val="-3"/>
        </w:rPr>
        <w:t xml:space="preserve"> </w:t>
      </w:r>
      <w:r w:rsidR="00DA1384" w:rsidRPr="004068F6">
        <w:rPr>
          <w:spacing w:val="-3"/>
        </w:rPr>
        <w:t xml:space="preserve">las </w:t>
      </w:r>
      <w:r w:rsidRPr="004068F6">
        <w:rPr>
          <w:spacing w:val="-3"/>
        </w:rPr>
        <w:t>estructuras y relaciones sociales requeridos para asumir y sobreponerse de una mejor manera a los cambios o efectos generados por la entrada de un factor externo, en este caso particular, por la implantación de un proyecto</w:t>
      </w:r>
      <w:r w:rsidR="00953BF3" w:rsidRPr="004068F6">
        <w:rPr>
          <w:spacing w:val="-3"/>
        </w:rPr>
        <w:t>, obra o actividad</w:t>
      </w:r>
      <w:r w:rsidRPr="004068F6">
        <w:rPr>
          <w:spacing w:val="-3"/>
        </w:rPr>
        <w:t xml:space="preserve"> en un territorio determinado. Adicionalmente, esta información debe indicar los posibles espacios de interlocución para el desarrollo del </w:t>
      </w:r>
      <w:r w:rsidR="00DA1384" w:rsidRPr="004068F6">
        <w:rPr>
          <w:spacing w:val="-3"/>
        </w:rPr>
        <w:t>p</w:t>
      </w:r>
      <w:r w:rsidRPr="004068F6">
        <w:rPr>
          <w:spacing w:val="-3"/>
        </w:rPr>
        <w:t xml:space="preserve">lan de </w:t>
      </w:r>
      <w:r w:rsidR="00DA1384" w:rsidRPr="004068F6">
        <w:rPr>
          <w:spacing w:val="-3"/>
        </w:rPr>
        <w:t>m</w:t>
      </w:r>
      <w:r w:rsidRPr="004068F6">
        <w:rPr>
          <w:spacing w:val="-3"/>
        </w:rPr>
        <w:t xml:space="preserve">anejo </w:t>
      </w:r>
      <w:r w:rsidR="00DA1384" w:rsidRPr="004068F6">
        <w:rPr>
          <w:spacing w:val="-3"/>
        </w:rPr>
        <w:t>a</w:t>
      </w:r>
      <w:r w:rsidRPr="004068F6">
        <w:rPr>
          <w:spacing w:val="-3"/>
        </w:rPr>
        <w:t>mbiental del proyecto.</w:t>
      </w:r>
    </w:p>
    <w:p w14:paraId="6A24896F" w14:textId="77777777" w:rsidR="00482A5F" w:rsidRPr="004068F6" w:rsidRDefault="00482A5F">
      <w:pPr>
        <w:numPr>
          <w:ilvl w:val="12"/>
          <w:numId w:val="0"/>
        </w:numPr>
        <w:tabs>
          <w:tab w:val="left" w:pos="-2268"/>
        </w:tabs>
        <w:suppressAutoHyphens/>
        <w:rPr>
          <w:spacing w:val="-3"/>
        </w:rPr>
      </w:pPr>
    </w:p>
    <w:p w14:paraId="16B969C7" w14:textId="77777777" w:rsidR="00482A5F" w:rsidRPr="004068F6" w:rsidRDefault="00482A5F">
      <w:pPr>
        <w:numPr>
          <w:ilvl w:val="12"/>
          <w:numId w:val="0"/>
        </w:numPr>
        <w:tabs>
          <w:tab w:val="left" w:pos="-2268"/>
        </w:tabs>
        <w:suppressAutoHyphens/>
        <w:rPr>
          <w:spacing w:val="-3"/>
        </w:rPr>
      </w:pPr>
      <w:r w:rsidRPr="004068F6">
        <w:rPr>
          <w:spacing w:val="-3"/>
        </w:rPr>
        <w:t>Para el caso de proyectos que se desarrollen en zonas de frontera, se deben tener en cuenta los efectos que puedan derivarse de la existencia de convenios bilaterales vigentes y las disposiciones determinadas en las instancias de coordinación interinstitucional que existan, siguiendo los lineamientos establecidos por las entidades competentes.</w:t>
      </w:r>
      <w:bookmarkStart w:id="2984" w:name="_Toc30501703"/>
    </w:p>
    <w:p w14:paraId="621BB3D5" w14:textId="77777777" w:rsidR="00482A5F" w:rsidRPr="004068F6" w:rsidRDefault="00482A5F">
      <w:pPr>
        <w:numPr>
          <w:ilvl w:val="12"/>
          <w:numId w:val="0"/>
        </w:numPr>
        <w:tabs>
          <w:tab w:val="left" w:pos="-2268"/>
        </w:tabs>
        <w:suppressAutoHyphens/>
        <w:rPr>
          <w:spacing w:val="-3"/>
        </w:rPr>
      </w:pPr>
    </w:p>
    <w:p w14:paraId="5BCEE997" w14:textId="4DC422E0" w:rsidR="00482A5F" w:rsidRPr="004068F6" w:rsidRDefault="00B561ED" w:rsidP="002F5664">
      <w:pPr>
        <w:pStyle w:val="Ttulo4"/>
        <w:tabs>
          <w:tab w:val="clear" w:pos="1844"/>
          <w:tab w:val="num" w:pos="1134"/>
        </w:tabs>
        <w:ind w:left="0"/>
        <w:rPr>
          <w:lang w:val="es-CO"/>
        </w:rPr>
      </w:pPr>
      <w:bookmarkStart w:id="2985" w:name="_Toc393967335"/>
      <w:bookmarkStart w:id="2986" w:name="_Toc405366851"/>
      <w:bookmarkStart w:id="2987" w:name="_Toc405372398"/>
      <w:bookmarkStart w:id="2988" w:name="_Toc412803197"/>
      <w:bookmarkStart w:id="2989" w:name="_Toc414285594"/>
      <w:bookmarkStart w:id="2990" w:name="_Toc437936037"/>
      <w:r w:rsidRPr="004068F6">
        <w:rPr>
          <w:lang w:val="es-CO"/>
        </w:rPr>
        <w:t>T</w:t>
      </w:r>
      <w:r w:rsidR="00482A5F" w:rsidRPr="004068F6">
        <w:rPr>
          <w:lang w:val="es-CO"/>
        </w:rPr>
        <w:t>endencias del desarrollo</w:t>
      </w:r>
      <w:bookmarkEnd w:id="2984"/>
      <w:bookmarkEnd w:id="2985"/>
      <w:bookmarkEnd w:id="2986"/>
      <w:bookmarkEnd w:id="2987"/>
      <w:bookmarkEnd w:id="2988"/>
      <w:bookmarkEnd w:id="2989"/>
      <w:bookmarkEnd w:id="2990"/>
    </w:p>
    <w:p w14:paraId="2BE41F52" w14:textId="77777777" w:rsidR="00482A5F" w:rsidRPr="004068F6" w:rsidRDefault="00482A5F">
      <w:pPr>
        <w:numPr>
          <w:ilvl w:val="12"/>
          <w:numId w:val="0"/>
        </w:numPr>
        <w:tabs>
          <w:tab w:val="left" w:pos="-2268"/>
        </w:tabs>
        <w:suppressAutoHyphens/>
        <w:rPr>
          <w:spacing w:val="-3"/>
        </w:rPr>
      </w:pPr>
    </w:p>
    <w:p w14:paraId="699261FB" w14:textId="45D8E7C0" w:rsidR="00482A5F" w:rsidRPr="004068F6" w:rsidRDefault="00696B84" w:rsidP="00482A5F">
      <w:pPr>
        <w:rPr>
          <w:rFonts w:cs="Arial"/>
          <w:spacing w:val="-3"/>
        </w:rPr>
      </w:pPr>
      <w:r w:rsidRPr="004068F6">
        <w:rPr>
          <w:rFonts w:cs="Arial"/>
          <w:spacing w:val="-3"/>
        </w:rPr>
        <w:t>D</w:t>
      </w:r>
      <w:r w:rsidR="00482A5F" w:rsidRPr="004068F6">
        <w:rPr>
          <w:rFonts w:cs="Arial"/>
          <w:spacing w:val="-3"/>
        </w:rPr>
        <w:t xml:space="preserve">esde una perspectiva integradora de las dinámicas socioculturales y de los modelos de organización política y social territorial, </w:t>
      </w:r>
      <w:r w:rsidR="00257555" w:rsidRPr="004068F6">
        <w:rPr>
          <w:rFonts w:cs="Arial"/>
          <w:spacing w:val="-3"/>
        </w:rPr>
        <w:t xml:space="preserve">se deben </w:t>
      </w:r>
      <w:r w:rsidR="00482A5F" w:rsidRPr="004068F6">
        <w:rPr>
          <w:rFonts w:cs="Arial"/>
          <w:spacing w:val="-3"/>
        </w:rPr>
        <w:t>identifica</w:t>
      </w:r>
      <w:r w:rsidR="00257555" w:rsidRPr="004068F6">
        <w:rPr>
          <w:rFonts w:cs="Arial"/>
          <w:spacing w:val="-3"/>
        </w:rPr>
        <w:t xml:space="preserve">r los </w:t>
      </w:r>
      <w:r w:rsidR="00482A5F" w:rsidRPr="004068F6">
        <w:rPr>
          <w:rFonts w:cs="Arial"/>
          <w:spacing w:val="-3"/>
        </w:rPr>
        <w:t xml:space="preserve">proyectos en el corto, mediano y largo plazo que </w:t>
      </w:r>
      <w:r w:rsidR="004459CC" w:rsidRPr="004068F6">
        <w:rPr>
          <w:rFonts w:cs="Arial"/>
          <w:spacing w:val="-3"/>
        </w:rPr>
        <w:t xml:space="preserve">puedan </w:t>
      </w:r>
      <w:r w:rsidR="00482A5F" w:rsidRPr="004068F6">
        <w:rPr>
          <w:rFonts w:cs="Arial"/>
          <w:spacing w:val="-3"/>
        </w:rPr>
        <w:t>incid</w:t>
      </w:r>
      <w:r w:rsidR="004459CC" w:rsidRPr="004068F6">
        <w:rPr>
          <w:rFonts w:cs="Arial"/>
          <w:spacing w:val="-3"/>
        </w:rPr>
        <w:t>ir</w:t>
      </w:r>
      <w:r w:rsidR="00482A5F" w:rsidRPr="004068F6">
        <w:rPr>
          <w:rFonts w:cs="Arial"/>
          <w:spacing w:val="-3"/>
        </w:rPr>
        <w:t xml:space="preserve"> en las dinámicas sociales, económicas y cultuales, especialmente aquellos orientados al mejoramiento de </w:t>
      </w:r>
      <w:r w:rsidR="00805DBC" w:rsidRPr="004068F6">
        <w:rPr>
          <w:rFonts w:cs="Arial"/>
          <w:spacing w:val="-3"/>
        </w:rPr>
        <w:t xml:space="preserve">la </w:t>
      </w:r>
      <w:r w:rsidR="00482A5F" w:rsidRPr="004068F6">
        <w:rPr>
          <w:rFonts w:cs="Arial"/>
          <w:spacing w:val="-3"/>
        </w:rPr>
        <w:t>calidad de vida de la población, la sostenibilidad ambiental y la visión de desarrollo del territorio</w:t>
      </w:r>
      <w:r w:rsidR="00DA1366" w:rsidRPr="004068F6">
        <w:rPr>
          <w:rFonts w:cs="Arial"/>
          <w:spacing w:val="-3"/>
        </w:rPr>
        <w:t>;</w:t>
      </w:r>
      <w:r w:rsidR="00482A5F" w:rsidRPr="004068F6">
        <w:rPr>
          <w:rFonts w:cs="Arial"/>
          <w:spacing w:val="-3"/>
        </w:rPr>
        <w:t xml:space="preserve"> se debe</w:t>
      </w:r>
      <w:r w:rsidR="00DA1366" w:rsidRPr="004068F6">
        <w:rPr>
          <w:rFonts w:cs="Arial"/>
          <w:spacing w:val="-3"/>
        </w:rPr>
        <w:t>n</w:t>
      </w:r>
      <w:r w:rsidR="00482A5F" w:rsidRPr="004068F6">
        <w:rPr>
          <w:rFonts w:cs="Arial"/>
          <w:spacing w:val="-3"/>
        </w:rPr>
        <w:t xml:space="preserve"> tener en cuenta </w:t>
      </w:r>
      <w:r w:rsidR="00EA4BB4">
        <w:rPr>
          <w:rFonts w:cs="Arial"/>
          <w:spacing w:val="-3"/>
        </w:rPr>
        <w:t xml:space="preserve">las determinantes de </w:t>
      </w:r>
      <w:r w:rsidR="00B0090E">
        <w:rPr>
          <w:rFonts w:cs="Arial"/>
          <w:spacing w:val="-3"/>
        </w:rPr>
        <w:t>ordenamiento territorial</w:t>
      </w:r>
      <w:r w:rsidR="00B0090E">
        <w:rPr>
          <w:rStyle w:val="Refdenotaalpie"/>
          <w:rFonts w:cs="Arial"/>
          <w:spacing w:val="-3"/>
        </w:rPr>
        <w:footnoteReference w:id="176"/>
      </w:r>
      <w:r w:rsidR="00B0090E">
        <w:rPr>
          <w:rFonts w:cs="Arial"/>
          <w:spacing w:val="-3"/>
        </w:rPr>
        <w:t xml:space="preserve"> y </w:t>
      </w:r>
      <w:r w:rsidR="00482A5F" w:rsidRPr="004068F6">
        <w:rPr>
          <w:rFonts w:cs="Arial"/>
          <w:spacing w:val="-3"/>
        </w:rPr>
        <w:t>los planes o programas existentes en los ámbitos nacional, departamental y municipal (</w:t>
      </w:r>
      <w:r w:rsidR="00041844" w:rsidRPr="004068F6">
        <w:rPr>
          <w:rFonts w:cs="Arial"/>
          <w:spacing w:val="-3"/>
        </w:rPr>
        <w:t>p. ej.</w:t>
      </w:r>
      <w:r w:rsidR="00482A5F" w:rsidRPr="004068F6">
        <w:rPr>
          <w:rFonts w:cs="Arial"/>
          <w:spacing w:val="-3"/>
        </w:rPr>
        <w:t xml:space="preserve"> </w:t>
      </w:r>
      <w:r w:rsidR="00DA1366" w:rsidRPr="004068F6">
        <w:rPr>
          <w:rFonts w:cs="Arial"/>
          <w:spacing w:val="-3"/>
        </w:rPr>
        <w:t>POT</w:t>
      </w:r>
      <w:r w:rsidR="00482A5F" w:rsidRPr="004068F6">
        <w:rPr>
          <w:rFonts w:cs="Arial"/>
          <w:spacing w:val="-3"/>
        </w:rPr>
        <w:t xml:space="preserve">, PDET, </w:t>
      </w:r>
      <w:r w:rsidR="003C70CD" w:rsidRPr="004068F6">
        <w:rPr>
          <w:rFonts w:cs="Arial"/>
          <w:spacing w:val="-3"/>
        </w:rPr>
        <w:t>Pomca</w:t>
      </w:r>
      <w:r w:rsidR="00482A5F" w:rsidRPr="004068F6">
        <w:rPr>
          <w:rFonts w:cs="Arial"/>
          <w:spacing w:val="-3"/>
        </w:rPr>
        <w:t xml:space="preserve">, </w:t>
      </w:r>
      <w:r w:rsidR="00DA1366" w:rsidRPr="004068F6">
        <w:rPr>
          <w:rFonts w:cs="Arial"/>
          <w:spacing w:val="-3"/>
        </w:rPr>
        <w:t>PORH</w:t>
      </w:r>
      <w:r w:rsidR="00B57084" w:rsidRPr="004068F6">
        <w:rPr>
          <w:rFonts w:cs="Arial"/>
          <w:spacing w:val="-3"/>
        </w:rPr>
        <w:t>,</w:t>
      </w:r>
      <w:r w:rsidR="00482A5F" w:rsidRPr="004068F6">
        <w:rPr>
          <w:rFonts w:cs="Arial"/>
          <w:spacing w:val="-3"/>
        </w:rPr>
        <w:t xml:space="preserve"> </w:t>
      </w:r>
      <w:r w:rsidR="009A35C5" w:rsidRPr="004068F6">
        <w:rPr>
          <w:rFonts w:cs="Arial"/>
          <w:spacing w:val="-3"/>
        </w:rPr>
        <w:t xml:space="preserve">planes de vida de las comunidades étnicas, </w:t>
      </w:r>
      <w:r w:rsidR="002F5DCA" w:rsidRPr="004068F6">
        <w:rPr>
          <w:rFonts w:cs="Arial"/>
          <w:spacing w:val="-3"/>
        </w:rPr>
        <w:t xml:space="preserve">planes de </w:t>
      </w:r>
      <w:r w:rsidR="002F5DCA" w:rsidRPr="004068F6">
        <w:rPr>
          <w:spacing w:val="-3"/>
        </w:rPr>
        <w:t>etnodesarrollo</w:t>
      </w:r>
      <w:r w:rsidR="00802D7D">
        <w:rPr>
          <w:spacing w:val="-3"/>
        </w:rPr>
        <w:t xml:space="preserve">, </w:t>
      </w:r>
      <w:r w:rsidR="00392581" w:rsidRPr="00C670E1">
        <w:rPr>
          <w:bCs/>
        </w:rPr>
        <w:t xml:space="preserve">Áreas de </w:t>
      </w:r>
      <w:r w:rsidR="00392581">
        <w:rPr>
          <w:bCs/>
        </w:rPr>
        <w:t>P</w:t>
      </w:r>
      <w:r w:rsidR="00392581" w:rsidRPr="00C670E1">
        <w:rPr>
          <w:bCs/>
        </w:rPr>
        <w:t>rotección de la Producción de Alimentos</w:t>
      </w:r>
      <w:r w:rsidR="00415D30" w:rsidRPr="004068F6">
        <w:rPr>
          <w:spacing w:val="-3"/>
        </w:rPr>
        <w:t>)</w:t>
      </w:r>
      <w:r w:rsidR="002F5DCA" w:rsidRPr="004068F6">
        <w:rPr>
          <w:spacing w:val="-3"/>
        </w:rPr>
        <w:t xml:space="preserve"> </w:t>
      </w:r>
      <w:r w:rsidR="009A35C5" w:rsidRPr="004068F6">
        <w:rPr>
          <w:rFonts w:cs="Arial"/>
          <w:spacing w:val="-3"/>
        </w:rPr>
        <w:t>que orient</w:t>
      </w:r>
      <w:r w:rsidR="00415D30" w:rsidRPr="004068F6">
        <w:rPr>
          <w:rFonts w:cs="Arial"/>
          <w:spacing w:val="-3"/>
        </w:rPr>
        <w:t>a</w:t>
      </w:r>
      <w:r w:rsidR="009A35C5" w:rsidRPr="004068F6">
        <w:rPr>
          <w:rFonts w:cs="Arial"/>
          <w:spacing w:val="-3"/>
        </w:rPr>
        <w:t>n las tendencias y visiones de desarrollo de territorio</w:t>
      </w:r>
      <w:r w:rsidR="00482A5F" w:rsidRPr="004068F6">
        <w:rPr>
          <w:rFonts w:cs="Arial"/>
          <w:spacing w:val="-3"/>
        </w:rPr>
        <w:t>.</w:t>
      </w:r>
    </w:p>
    <w:p w14:paraId="0D913AA2" w14:textId="43F0DADB" w:rsidR="009A35C5" w:rsidRPr="004068F6" w:rsidRDefault="009A35C5" w:rsidP="00482A5F">
      <w:pPr>
        <w:rPr>
          <w:rFonts w:cs="Arial"/>
          <w:spacing w:val="-3"/>
        </w:rPr>
      </w:pPr>
    </w:p>
    <w:p w14:paraId="62CD1F1D" w14:textId="78E7FCDA" w:rsidR="00C75DF7" w:rsidRPr="004068F6" w:rsidRDefault="004459CC" w:rsidP="00482A5F">
      <w:pPr>
        <w:numPr>
          <w:ilvl w:val="12"/>
          <w:numId w:val="0"/>
        </w:numPr>
        <w:tabs>
          <w:tab w:val="left" w:pos="-2268"/>
        </w:tabs>
        <w:suppressAutoHyphens/>
        <w:rPr>
          <w:rFonts w:cs="Arial"/>
          <w:spacing w:val="-3"/>
        </w:rPr>
      </w:pPr>
      <w:r w:rsidRPr="004068F6">
        <w:rPr>
          <w:rFonts w:cs="Arial"/>
          <w:spacing w:val="-3"/>
        </w:rPr>
        <w:t xml:space="preserve">Determinar </w:t>
      </w:r>
      <w:r w:rsidR="00BF54FC" w:rsidRPr="004068F6">
        <w:rPr>
          <w:rFonts w:cs="Arial"/>
          <w:spacing w:val="-3"/>
        </w:rPr>
        <w:t xml:space="preserve">los procesos de desarrollo local, regional y nacional, incluyendo en ellos la existencia de proyectos de infraestructura </w:t>
      </w:r>
      <w:r w:rsidR="00DA1366" w:rsidRPr="004068F6">
        <w:rPr>
          <w:rFonts w:cs="Arial"/>
          <w:spacing w:val="-3"/>
        </w:rPr>
        <w:t>ejecutados</w:t>
      </w:r>
      <w:r w:rsidR="00BF54FC" w:rsidRPr="004068F6">
        <w:rPr>
          <w:rFonts w:cs="Arial"/>
          <w:spacing w:val="-3"/>
        </w:rPr>
        <w:t xml:space="preserve">, </w:t>
      </w:r>
      <w:r w:rsidR="00DA1366" w:rsidRPr="004068F6">
        <w:rPr>
          <w:rFonts w:cs="Arial"/>
          <w:spacing w:val="-3"/>
        </w:rPr>
        <w:t xml:space="preserve">los que están </w:t>
      </w:r>
      <w:r w:rsidR="00BF54FC" w:rsidRPr="004068F6">
        <w:rPr>
          <w:rFonts w:cs="Arial"/>
          <w:spacing w:val="-3"/>
        </w:rPr>
        <w:t xml:space="preserve">en proceso de desarrollo y </w:t>
      </w:r>
      <w:r w:rsidR="00DA1366" w:rsidRPr="004068F6">
        <w:rPr>
          <w:rFonts w:cs="Arial"/>
          <w:spacing w:val="-3"/>
        </w:rPr>
        <w:t xml:space="preserve">los que se encuentran en la etapa de </w:t>
      </w:r>
      <w:r w:rsidR="00BF54FC" w:rsidRPr="004068F6">
        <w:rPr>
          <w:rFonts w:cs="Arial"/>
          <w:spacing w:val="-3"/>
        </w:rPr>
        <w:t>plan</w:t>
      </w:r>
      <w:r w:rsidR="00DA1366" w:rsidRPr="004068F6">
        <w:rPr>
          <w:rFonts w:cs="Arial"/>
          <w:spacing w:val="-3"/>
        </w:rPr>
        <w:t>eación</w:t>
      </w:r>
      <w:r w:rsidR="00BF54FC" w:rsidRPr="004068F6">
        <w:rPr>
          <w:rFonts w:cs="Arial"/>
          <w:spacing w:val="-3"/>
        </w:rPr>
        <w:t>, que puedan generar sinergia</w:t>
      </w:r>
      <w:r w:rsidR="00DA1366" w:rsidRPr="004068F6">
        <w:rPr>
          <w:rFonts w:cs="Arial"/>
          <w:spacing w:val="-3"/>
        </w:rPr>
        <w:t>s</w:t>
      </w:r>
      <w:r w:rsidR="00BF54FC" w:rsidRPr="004068F6">
        <w:rPr>
          <w:rFonts w:cs="Arial"/>
          <w:spacing w:val="-3"/>
        </w:rPr>
        <w:t xml:space="preserve"> y acumulación de impactos ambientales </w:t>
      </w:r>
      <w:r w:rsidR="00DA1366" w:rsidRPr="004068F6">
        <w:rPr>
          <w:rFonts w:cs="Arial"/>
          <w:spacing w:val="-3"/>
        </w:rPr>
        <w:t>dadas las actividades e impactos del proyecto, obra o actividad</w:t>
      </w:r>
      <w:r w:rsidR="00BF54FC" w:rsidRPr="004068F6">
        <w:rPr>
          <w:rFonts w:cs="Arial"/>
          <w:spacing w:val="-3"/>
        </w:rPr>
        <w:t>.</w:t>
      </w:r>
    </w:p>
    <w:p w14:paraId="2FC5C82E" w14:textId="77777777" w:rsidR="00482A5F" w:rsidRPr="004068F6" w:rsidRDefault="00482A5F" w:rsidP="00482A5F">
      <w:pPr>
        <w:numPr>
          <w:ilvl w:val="12"/>
          <w:numId w:val="0"/>
        </w:numPr>
        <w:tabs>
          <w:tab w:val="left" w:pos="-2268"/>
        </w:tabs>
        <w:suppressAutoHyphens/>
        <w:rPr>
          <w:rFonts w:cs="Arial"/>
          <w:spacing w:val="-3"/>
        </w:rPr>
      </w:pPr>
    </w:p>
    <w:p w14:paraId="519D5910" w14:textId="65F1C0D8" w:rsidR="00482A5F" w:rsidRPr="004068F6" w:rsidRDefault="00B73099">
      <w:pPr>
        <w:numPr>
          <w:ilvl w:val="12"/>
          <w:numId w:val="0"/>
        </w:numPr>
        <w:tabs>
          <w:tab w:val="left" w:pos="-2268"/>
        </w:tabs>
        <w:suppressAutoHyphens/>
        <w:rPr>
          <w:spacing w:val="-3"/>
        </w:rPr>
      </w:pPr>
      <w:r w:rsidRPr="004068F6">
        <w:rPr>
          <w:spacing w:val="-3"/>
        </w:rPr>
        <w:t xml:space="preserve">Se deben analizar los elementos más destacados del contenido de los </w:t>
      </w:r>
      <w:r w:rsidR="00482A5F" w:rsidRPr="004068F6">
        <w:rPr>
          <w:spacing w:val="-3"/>
        </w:rPr>
        <w:t xml:space="preserve">planes de desarrollo, de ordenamiento territorial </w:t>
      </w:r>
      <w:r w:rsidR="00F86C31" w:rsidRPr="004068F6">
        <w:rPr>
          <w:spacing w:val="-3"/>
        </w:rPr>
        <w:t xml:space="preserve">(tener en cuenta la información sobre la prospectiva) </w:t>
      </w:r>
      <w:r w:rsidR="00482A5F" w:rsidRPr="004068F6">
        <w:rPr>
          <w:spacing w:val="-3"/>
        </w:rPr>
        <w:t>y de gestión ambiental</w:t>
      </w:r>
      <w:r w:rsidR="006C5B44" w:rsidRPr="004068F6">
        <w:rPr>
          <w:spacing w:val="-3"/>
        </w:rPr>
        <w:t xml:space="preserve"> </w:t>
      </w:r>
      <w:r w:rsidRPr="004068F6">
        <w:rPr>
          <w:spacing w:val="-3"/>
        </w:rPr>
        <w:t>(</w:t>
      </w:r>
      <w:r w:rsidR="006C5B44" w:rsidRPr="004068F6">
        <w:rPr>
          <w:spacing w:val="-3"/>
        </w:rPr>
        <w:t>los cuales</w:t>
      </w:r>
      <w:r w:rsidR="00482A5F" w:rsidRPr="004068F6">
        <w:rPr>
          <w:spacing w:val="-3"/>
        </w:rPr>
        <w:t xml:space="preserve"> tienen un potencial de proyección de acciones estatales y comunitarias a corto y mediano plazo</w:t>
      </w:r>
      <w:r w:rsidRPr="004068F6">
        <w:rPr>
          <w:spacing w:val="-3"/>
        </w:rPr>
        <w:t>)</w:t>
      </w:r>
      <w:r w:rsidR="00482A5F" w:rsidRPr="004068F6">
        <w:rPr>
          <w:spacing w:val="-3"/>
        </w:rPr>
        <w:t xml:space="preserve">, en relación con </w:t>
      </w:r>
      <w:r w:rsidR="006C5B44" w:rsidRPr="004068F6">
        <w:rPr>
          <w:spacing w:val="-3"/>
        </w:rPr>
        <w:t xml:space="preserve">lo </w:t>
      </w:r>
      <w:r w:rsidR="006C5B44" w:rsidRPr="004068F6">
        <w:rPr>
          <w:spacing w:val="-3"/>
        </w:rPr>
        <w:lastRenderedPageBreak/>
        <w:t xml:space="preserve">evidenciado en la caracterización de </w:t>
      </w:r>
      <w:r w:rsidR="00482A5F" w:rsidRPr="004068F6">
        <w:rPr>
          <w:spacing w:val="-3"/>
        </w:rPr>
        <w:t>cada uno de los componentes</w:t>
      </w:r>
      <w:r w:rsidR="006C5B44" w:rsidRPr="004068F6">
        <w:rPr>
          <w:spacing w:val="-3"/>
        </w:rPr>
        <w:t xml:space="preserve"> del medio socioeconómico</w:t>
      </w:r>
      <w:r w:rsidR="00482A5F" w:rsidRPr="004068F6">
        <w:rPr>
          <w:spacing w:val="-3"/>
        </w:rPr>
        <w:t>.</w:t>
      </w:r>
    </w:p>
    <w:p w14:paraId="1C6E982D" w14:textId="77777777" w:rsidR="00482A5F" w:rsidRPr="004068F6" w:rsidRDefault="00482A5F">
      <w:pPr>
        <w:numPr>
          <w:ilvl w:val="12"/>
          <w:numId w:val="0"/>
        </w:numPr>
        <w:tabs>
          <w:tab w:val="left" w:pos="-2268"/>
        </w:tabs>
        <w:suppressAutoHyphens/>
        <w:rPr>
          <w:spacing w:val="-3"/>
        </w:rPr>
      </w:pPr>
    </w:p>
    <w:p w14:paraId="4D5298EE" w14:textId="39F2EF9E" w:rsidR="00B73099" w:rsidRPr="004068F6" w:rsidRDefault="00B73099">
      <w:pPr>
        <w:numPr>
          <w:ilvl w:val="12"/>
          <w:numId w:val="0"/>
        </w:numPr>
        <w:tabs>
          <w:tab w:val="left" w:pos="-2268"/>
        </w:tabs>
        <w:suppressAutoHyphens/>
        <w:rPr>
          <w:spacing w:val="-3"/>
        </w:rPr>
      </w:pPr>
      <w:r w:rsidRPr="004068F6">
        <w:rPr>
          <w:spacing w:val="-3"/>
        </w:rPr>
        <w:t xml:space="preserve">Adicionalmente, se debe presentar un análisis de cómo las distintas tendencias del desarrollo histórico o </w:t>
      </w:r>
      <w:r w:rsidR="000B7129" w:rsidRPr="004068F6">
        <w:rPr>
          <w:spacing w:val="-3"/>
        </w:rPr>
        <w:t xml:space="preserve">del </w:t>
      </w:r>
      <w:r w:rsidRPr="004068F6">
        <w:rPr>
          <w:spacing w:val="-3"/>
        </w:rPr>
        <w:t>proyectado han generado, dinamizado o afectado dinámicas de conflictividad socio</w:t>
      </w:r>
      <w:r w:rsidR="000B7129" w:rsidRPr="004068F6">
        <w:rPr>
          <w:spacing w:val="-3"/>
        </w:rPr>
        <w:t>ambiental</w:t>
      </w:r>
      <w:r w:rsidRPr="004068F6">
        <w:rPr>
          <w:spacing w:val="-3"/>
        </w:rPr>
        <w:t>.</w:t>
      </w:r>
    </w:p>
    <w:p w14:paraId="47814639" w14:textId="77777777" w:rsidR="00B73099" w:rsidRPr="004068F6" w:rsidRDefault="00B73099">
      <w:pPr>
        <w:numPr>
          <w:ilvl w:val="12"/>
          <w:numId w:val="0"/>
        </w:numPr>
        <w:tabs>
          <w:tab w:val="left" w:pos="-2268"/>
        </w:tabs>
        <w:suppressAutoHyphens/>
        <w:rPr>
          <w:spacing w:val="-3"/>
        </w:rPr>
      </w:pPr>
    </w:p>
    <w:p w14:paraId="59D0B643" w14:textId="075EB6F8" w:rsidR="00482A5F" w:rsidRPr="004068F6" w:rsidRDefault="00482A5F">
      <w:pPr>
        <w:numPr>
          <w:ilvl w:val="12"/>
          <w:numId w:val="0"/>
        </w:numPr>
        <w:tabs>
          <w:tab w:val="left" w:pos="-2268"/>
        </w:tabs>
        <w:suppressAutoHyphens/>
        <w:rPr>
          <w:spacing w:val="-3"/>
        </w:rPr>
      </w:pPr>
      <w:r w:rsidRPr="004068F6">
        <w:rPr>
          <w:spacing w:val="-3"/>
        </w:rPr>
        <w:t xml:space="preserve">Determinar si algunas de las características actuales del medio socioeconómico, vienen precedidas por antecedentes históricos que mantienen su influencia en el presente y </w:t>
      </w:r>
      <w:r w:rsidR="006C5B44" w:rsidRPr="004068F6">
        <w:rPr>
          <w:spacing w:val="-3"/>
        </w:rPr>
        <w:t xml:space="preserve">que pueden mantenerla </w:t>
      </w:r>
      <w:r w:rsidRPr="004068F6">
        <w:rPr>
          <w:spacing w:val="-3"/>
        </w:rPr>
        <w:t xml:space="preserve">a futuro, destacando su importancia y características </w:t>
      </w:r>
      <w:r w:rsidR="006C5B44" w:rsidRPr="004068F6">
        <w:rPr>
          <w:spacing w:val="-3"/>
        </w:rPr>
        <w:t>principales</w:t>
      </w:r>
      <w:r w:rsidRPr="004068F6">
        <w:rPr>
          <w:spacing w:val="-3"/>
        </w:rPr>
        <w:t>.</w:t>
      </w:r>
    </w:p>
    <w:p w14:paraId="36ECFFDB" w14:textId="77777777" w:rsidR="00482A5F" w:rsidRPr="004068F6" w:rsidRDefault="00482A5F">
      <w:pPr>
        <w:numPr>
          <w:ilvl w:val="12"/>
          <w:numId w:val="0"/>
        </w:numPr>
        <w:tabs>
          <w:tab w:val="left" w:pos="-2268"/>
        </w:tabs>
        <w:suppressAutoHyphens/>
        <w:rPr>
          <w:spacing w:val="-3"/>
        </w:rPr>
      </w:pPr>
    </w:p>
    <w:p w14:paraId="2D47808D" w14:textId="523B0675" w:rsidR="00742EEE" w:rsidRPr="004068F6" w:rsidRDefault="00496815" w:rsidP="00742EEE">
      <w:pPr>
        <w:rPr>
          <w:rFonts w:cs="Arial"/>
          <w:spacing w:val="-3"/>
        </w:rPr>
      </w:pPr>
      <w:r w:rsidRPr="004068F6">
        <w:rPr>
          <w:rFonts w:cs="Arial"/>
          <w:spacing w:val="-3"/>
        </w:rPr>
        <w:t xml:space="preserve">Para obtener </w:t>
      </w:r>
      <w:r w:rsidR="00956255" w:rsidRPr="004068F6">
        <w:rPr>
          <w:rFonts w:cs="Arial"/>
          <w:spacing w:val="-3"/>
        </w:rPr>
        <w:t xml:space="preserve">la </w:t>
      </w:r>
      <w:r w:rsidRPr="004068F6">
        <w:rPr>
          <w:rFonts w:cs="Arial"/>
          <w:spacing w:val="-3"/>
        </w:rPr>
        <w:t xml:space="preserve">información </w:t>
      </w:r>
      <w:r w:rsidR="00956255" w:rsidRPr="004068F6">
        <w:rPr>
          <w:rFonts w:cs="Arial"/>
          <w:spacing w:val="-3"/>
        </w:rPr>
        <w:t xml:space="preserve">que sustenta el análisis de las tendencias de desarrollo, </w:t>
      </w:r>
      <w:r w:rsidRPr="004068F6">
        <w:rPr>
          <w:rFonts w:cs="Arial"/>
          <w:spacing w:val="-3"/>
        </w:rPr>
        <w:t>s</w:t>
      </w:r>
      <w:r w:rsidR="00742EEE" w:rsidRPr="004068F6">
        <w:rPr>
          <w:rFonts w:cs="Arial"/>
          <w:spacing w:val="-3"/>
        </w:rPr>
        <w:t>e debe</w:t>
      </w:r>
      <w:r w:rsidRPr="004068F6">
        <w:rPr>
          <w:rFonts w:cs="Arial"/>
          <w:spacing w:val="-3"/>
        </w:rPr>
        <w:t>n</w:t>
      </w:r>
      <w:r w:rsidR="00742EEE" w:rsidRPr="004068F6">
        <w:rPr>
          <w:rFonts w:cs="Arial"/>
          <w:spacing w:val="-3"/>
        </w:rPr>
        <w:t xml:space="preserve"> tener en cuenta los planes o programas existentes en los ámbitos nacional, departamental y municipal (p. ej. POT, PDET, Pomca, PORH, planes de vida de las comunidades étnicas, planes de </w:t>
      </w:r>
      <w:r w:rsidR="00742EEE" w:rsidRPr="004068F6">
        <w:rPr>
          <w:spacing w:val="-3"/>
        </w:rPr>
        <w:t xml:space="preserve">etnodesarrollo) </w:t>
      </w:r>
      <w:r w:rsidR="00742EEE" w:rsidRPr="004068F6">
        <w:rPr>
          <w:rFonts w:cs="Arial"/>
          <w:spacing w:val="-3"/>
        </w:rPr>
        <w:t xml:space="preserve">que orientan las tendencias y visiones de desarrollo de territorio. Asimismo, </w:t>
      </w:r>
      <w:r w:rsidR="008A79CC" w:rsidRPr="004068F6">
        <w:rPr>
          <w:rFonts w:cs="Arial"/>
          <w:spacing w:val="-3"/>
        </w:rPr>
        <w:t xml:space="preserve">en caso de necesidad, </w:t>
      </w:r>
      <w:r w:rsidR="00742EEE" w:rsidRPr="004068F6">
        <w:rPr>
          <w:rFonts w:cs="Arial"/>
          <w:spacing w:val="-3"/>
        </w:rPr>
        <w:t xml:space="preserve">es </w:t>
      </w:r>
      <w:r w:rsidR="008A79CC" w:rsidRPr="004068F6">
        <w:rPr>
          <w:rFonts w:cs="Arial"/>
          <w:spacing w:val="-3"/>
        </w:rPr>
        <w:t xml:space="preserve">necesario realizar </w:t>
      </w:r>
      <w:r w:rsidR="00742EEE" w:rsidRPr="004068F6">
        <w:rPr>
          <w:rFonts w:cs="Arial"/>
          <w:spacing w:val="-3"/>
        </w:rPr>
        <w:t>consulta</w:t>
      </w:r>
      <w:r w:rsidR="008A79CC" w:rsidRPr="004068F6">
        <w:rPr>
          <w:rFonts w:cs="Arial"/>
          <w:spacing w:val="-3"/>
        </w:rPr>
        <w:t>s</w:t>
      </w:r>
      <w:r w:rsidR="00742EEE" w:rsidRPr="004068F6">
        <w:rPr>
          <w:rFonts w:cs="Arial"/>
          <w:spacing w:val="-3"/>
        </w:rPr>
        <w:t xml:space="preserve"> a </w:t>
      </w:r>
      <w:r w:rsidR="00746928" w:rsidRPr="004068F6">
        <w:rPr>
          <w:rFonts w:cs="Arial"/>
          <w:spacing w:val="-3"/>
        </w:rPr>
        <w:t xml:space="preserve">las </w:t>
      </w:r>
      <w:r w:rsidR="00742EEE" w:rsidRPr="004068F6">
        <w:rPr>
          <w:rFonts w:cs="Arial"/>
          <w:spacing w:val="-3"/>
        </w:rPr>
        <w:t>entidades del Estado</w:t>
      </w:r>
      <w:r w:rsidR="00746928" w:rsidRPr="004068F6">
        <w:rPr>
          <w:rFonts w:cs="Arial"/>
          <w:spacing w:val="-3"/>
        </w:rPr>
        <w:t xml:space="preserve"> competentes en cada caso</w:t>
      </w:r>
      <w:r w:rsidR="00742EEE" w:rsidRPr="004068F6">
        <w:rPr>
          <w:rFonts w:cs="Arial"/>
          <w:spacing w:val="-3"/>
        </w:rPr>
        <w:t>.</w:t>
      </w:r>
    </w:p>
    <w:p w14:paraId="683751BC" w14:textId="77777777" w:rsidR="00742EEE" w:rsidRPr="004068F6" w:rsidRDefault="00742EEE">
      <w:pPr>
        <w:numPr>
          <w:ilvl w:val="12"/>
          <w:numId w:val="0"/>
        </w:numPr>
        <w:tabs>
          <w:tab w:val="left" w:pos="-2268"/>
        </w:tabs>
        <w:suppressAutoHyphens/>
        <w:rPr>
          <w:spacing w:val="-3"/>
        </w:rPr>
      </w:pPr>
    </w:p>
    <w:p w14:paraId="3D205464" w14:textId="483B4162" w:rsidR="00482A5F" w:rsidRPr="004068F6" w:rsidRDefault="00482A5F">
      <w:pPr>
        <w:numPr>
          <w:ilvl w:val="12"/>
          <w:numId w:val="0"/>
        </w:numPr>
        <w:tabs>
          <w:tab w:val="left" w:pos="-2268"/>
        </w:tabs>
        <w:suppressAutoHyphens/>
        <w:rPr>
          <w:spacing w:val="-3"/>
        </w:rPr>
      </w:pPr>
      <w:r w:rsidRPr="004068F6">
        <w:rPr>
          <w:spacing w:val="-3"/>
        </w:rPr>
        <w:t xml:space="preserve">Para la </w:t>
      </w:r>
      <w:r w:rsidR="00257555" w:rsidRPr="004068F6">
        <w:rPr>
          <w:spacing w:val="-3"/>
        </w:rPr>
        <w:t xml:space="preserve">determinación de las tendencias de desarrollo </w:t>
      </w:r>
      <w:r w:rsidRPr="004068F6">
        <w:rPr>
          <w:spacing w:val="-3"/>
        </w:rPr>
        <w:t xml:space="preserve">se pueden utilizar metodologías participativas de construcción colectiva de información, </w:t>
      </w:r>
      <w:r w:rsidR="006C5B44" w:rsidRPr="004068F6">
        <w:rPr>
          <w:spacing w:val="-3"/>
        </w:rPr>
        <w:t xml:space="preserve">como </w:t>
      </w:r>
      <w:r w:rsidR="00434EA7" w:rsidRPr="004068F6">
        <w:rPr>
          <w:spacing w:val="-3"/>
        </w:rPr>
        <w:t>los diagramas</w:t>
      </w:r>
      <w:r w:rsidRPr="004068F6">
        <w:rPr>
          <w:spacing w:val="-3"/>
        </w:rPr>
        <w:t xml:space="preserve"> de redes o </w:t>
      </w:r>
      <w:r w:rsidR="006C5B44" w:rsidRPr="004068F6">
        <w:rPr>
          <w:spacing w:val="-3"/>
        </w:rPr>
        <w:t xml:space="preserve">las </w:t>
      </w:r>
      <w:r w:rsidRPr="004068F6">
        <w:rPr>
          <w:spacing w:val="-3"/>
        </w:rPr>
        <w:t xml:space="preserve">estructuras relacionales </w:t>
      </w:r>
      <w:r w:rsidR="006C5B44" w:rsidRPr="004068F6">
        <w:rPr>
          <w:spacing w:val="-3"/>
        </w:rPr>
        <w:t xml:space="preserve">que existen </w:t>
      </w:r>
      <w:r w:rsidRPr="004068F6">
        <w:rPr>
          <w:spacing w:val="-3"/>
        </w:rPr>
        <w:t>entre los rasgos presentes en el territorio.</w:t>
      </w:r>
    </w:p>
    <w:p w14:paraId="1C526662" w14:textId="77777777" w:rsidR="00482A5F" w:rsidRPr="004068F6" w:rsidRDefault="00482A5F">
      <w:pPr>
        <w:numPr>
          <w:ilvl w:val="12"/>
          <w:numId w:val="0"/>
        </w:numPr>
        <w:tabs>
          <w:tab w:val="left" w:pos="-2268"/>
        </w:tabs>
        <w:suppressAutoHyphens/>
        <w:rPr>
          <w:spacing w:val="-3"/>
        </w:rPr>
      </w:pPr>
    </w:p>
    <w:p w14:paraId="202E8037" w14:textId="5144A1B9" w:rsidR="00482A5F" w:rsidRPr="004068F6" w:rsidRDefault="00482A5F">
      <w:pPr>
        <w:numPr>
          <w:ilvl w:val="12"/>
          <w:numId w:val="0"/>
        </w:numPr>
        <w:tabs>
          <w:tab w:val="left" w:pos="-2268"/>
        </w:tabs>
        <w:suppressAutoHyphens/>
        <w:rPr>
          <w:spacing w:val="-3"/>
        </w:rPr>
      </w:pPr>
      <w:r w:rsidRPr="004068F6">
        <w:rPr>
          <w:spacing w:val="-3"/>
        </w:rPr>
        <w:t>Este análisis permite articular la totalidad de la información del medio socioeconómico con las obras y actividades del proyecto</w:t>
      </w:r>
      <w:r w:rsidR="006C5B44" w:rsidRPr="004068F6">
        <w:rPr>
          <w:spacing w:val="-3"/>
        </w:rPr>
        <w:t>,</w:t>
      </w:r>
      <w:r w:rsidRPr="004068F6">
        <w:rPr>
          <w:spacing w:val="-3"/>
        </w:rPr>
        <w:t xml:space="preserve"> </w:t>
      </w:r>
      <w:r w:rsidR="006C5B44" w:rsidRPr="004068F6">
        <w:rPr>
          <w:spacing w:val="-3"/>
        </w:rPr>
        <w:t>a fin d</w:t>
      </w:r>
      <w:r w:rsidRPr="004068F6">
        <w:rPr>
          <w:spacing w:val="-3"/>
        </w:rPr>
        <w:t>e identificar</w:t>
      </w:r>
      <w:r w:rsidR="006C5B44" w:rsidRPr="004068F6">
        <w:rPr>
          <w:spacing w:val="-3"/>
        </w:rPr>
        <w:t xml:space="preserve"> en la evaluación ambiental</w:t>
      </w:r>
      <w:r w:rsidRPr="004068F6">
        <w:rPr>
          <w:spacing w:val="-3"/>
        </w:rPr>
        <w:t xml:space="preserve"> si las tendencias del desarrollo pueden </w:t>
      </w:r>
      <w:r w:rsidR="006C5B44" w:rsidRPr="004068F6">
        <w:rPr>
          <w:spacing w:val="-3"/>
        </w:rPr>
        <w:t xml:space="preserve">alterarse </w:t>
      </w:r>
      <w:r w:rsidRPr="004068F6">
        <w:rPr>
          <w:spacing w:val="-3"/>
        </w:rPr>
        <w:t xml:space="preserve">con </w:t>
      </w:r>
      <w:r w:rsidR="006C5B44" w:rsidRPr="004068F6">
        <w:rPr>
          <w:spacing w:val="-3"/>
        </w:rPr>
        <w:t xml:space="preserve">la ejecución </w:t>
      </w:r>
      <w:r w:rsidR="008740E1" w:rsidRPr="004068F6">
        <w:rPr>
          <w:spacing w:val="-3"/>
        </w:rPr>
        <w:t>de este</w:t>
      </w:r>
      <w:r w:rsidR="00B84105" w:rsidRPr="004068F6">
        <w:rPr>
          <w:spacing w:val="-3"/>
        </w:rPr>
        <w:t>.</w:t>
      </w:r>
    </w:p>
    <w:p w14:paraId="7D91E367" w14:textId="77777777" w:rsidR="00D03C2A" w:rsidRPr="004068F6" w:rsidRDefault="00D03C2A">
      <w:pPr>
        <w:numPr>
          <w:ilvl w:val="12"/>
          <w:numId w:val="0"/>
        </w:numPr>
        <w:tabs>
          <w:tab w:val="left" w:pos="-2268"/>
        </w:tabs>
        <w:suppressAutoHyphens/>
        <w:rPr>
          <w:spacing w:val="-3"/>
        </w:rPr>
      </w:pPr>
    </w:p>
    <w:p w14:paraId="047EFE86" w14:textId="49E28E93" w:rsidR="00D03C2A" w:rsidRPr="004068F6" w:rsidRDefault="00D03C2A" w:rsidP="00D03C2A">
      <w:pPr>
        <w:pStyle w:val="Ttulo4"/>
        <w:tabs>
          <w:tab w:val="clear" w:pos="1844"/>
          <w:tab w:val="num" w:pos="1134"/>
        </w:tabs>
        <w:ind w:left="0"/>
        <w:rPr>
          <w:lang w:val="es-CO"/>
        </w:rPr>
      </w:pPr>
      <w:r w:rsidRPr="004068F6">
        <w:rPr>
          <w:lang w:val="es-CO"/>
        </w:rPr>
        <w:t>Conflictividad socioambiental</w:t>
      </w:r>
    </w:p>
    <w:p w14:paraId="55ADB82A" w14:textId="77777777" w:rsidR="00D03C2A" w:rsidRPr="004068F6" w:rsidRDefault="00D03C2A">
      <w:pPr>
        <w:numPr>
          <w:ilvl w:val="12"/>
          <w:numId w:val="0"/>
        </w:numPr>
        <w:tabs>
          <w:tab w:val="left" w:pos="-2268"/>
        </w:tabs>
        <w:suppressAutoHyphens/>
        <w:rPr>
          <w:spacing w:val="-3"/>
        </w:rPr>
      </w:pPr>
    </w:p>
    <w:p w14:paraId="5832654E" w14:textId="0C5B3EBB" w:rsidR="00A75AC0" w:rsidRPr="004068F6" w:rsidRDefault="00A75AC0">
      <w:pPr>
        <w:numPr>
          <w:ilvl w:val="12"/>
          <w:numId w:val="0"/>
        </w:numPr>
        <w:tabs>
          <w:tab w:val="left" w:pos="-2268"/>
        </w:tabs>
        <w:suppressAutoHyphens/>
        <w:rPr>
          <w:spacing w:val="-3"/>
        </w:rPr>
      </w:pPr>
      <w:r w:rsidRPr="004068F6">
        <w:rPr>
          <w:spacing w:val="-3"/>
        </w:rPr>
        <w:t xml:space="preserve">La caracterización de los conflictos socioambientales debe realizarse </w:t>
      </w:r>
      <w:r w:rsidR="003E5E20" w:rsidRPr="004068F6">
        <w:rPr>
          <w:spacing w:val="-3"/>
        </w:rPr>
        <w:t>fundamentalmente a partir del análisis de la información recopilada para los componentes de los medios abiótico, biótico y socioeconómico</w:t>
      </w:r>
      <w:r w:rsidR="00097456" w:rsidRPr="004068F6">
        <w:rPr>
          <w:spacing w:val="-3"/>
        </w:rPr>
        <w:t>, los lineamientos del participación y tendencias de desarrollo</w:t>
      </w:r>
      <w:r w:rsidR="003E5E20" w:rsidRPr="004068F6">
        <w:rPr>
          <w:spacing w:val="-3"/>
        </w:rPr>
        <w:t xml:space="preserve">, así como </w:t>
      </w:r>
      <w:r w:rsidR="00771BEE" w:rsidRPr="004068F6">
        <w:rPr>
          <w:spacing w:val="-3"/>
        </w:rPr>
        <w:t xml:space="preserve">de </w:t>
      </w:r>
      <w:r w:rsidR="003E5E20" w:rsidRPr="004068F6">
        <w:rPr>
          <w:spacing w:val="-3"/>
        </w:rPr>
        <w:t xml:space="preserve">los servicios ecosistémicos y el paisaje y </w:t>
      </w:r>
      <w:r w:rsidRPr="004068F6">
        <w:rPr>
          <w:spacing w:val="-3"/>
        </w:rPr>
        <w:t xml:space="preserve">considerando </w:t>
      </w:r>
      <w:r w:rsidR="003E5E20" w:rsidRPr="004068F6">
        <w:rPr>
          <w:spacing w:val="-3"/>
        </w:rPr>
        <w:t xml:space="preserve">que las </w:t>
      </w:r>
      <w:r w:rsidRPr="004068F6">
        <w:rPr>
          <w:spacing w:val="-3"/>
        </w:rPr>
        <w:t xml:space="preserve">interacciones de doble vía </w:t>
      </w:r>
      <w:r w:rsidR="003E5E20" w:rsidRPr="004068F6">
        <w:rPr>
          <w:spacing w:val="-3"/>
        </w:rPr>
        <w:t xml:space="preserve">que se dan </w:t>
      </w:r>
      <w:r w:rsidRPr="004068F6">
        <w:rPr>
          <w:spacing w:val="-3"/>
        </w:rPr>
        <w:t xml:space="preserve">entre los ecosistemas y los sistemas humanos </w:t>
      </w:r>
      <w:r w:rsidR="00BA093C" w:rsidRPr="004068F6">
        <w:rPr>
          <w:spacing w:val="-3"/>
        </w:rPr>
        <w:t>generan</w:t>
      </w:r>
      <w:r w:rsidR="00BA726C" w:rsidRPr="004068F6">
        <w:rPr>
          <w:spacing w:val="-3"/>
        </w:rPr>
        <w:t xml:space="preserve"> cambios recíprocos </w:t>
      </w:r>
      <w:r w:rsidR="000F5D28" w:rsidRPr="004068F6">
        <w:rPr>
          <w:spacing w:val="-3"/>
        </w:rPr>
        <w:t>en</w:t>
      </w:r>
      <w:r w:rsidR="00BA093C" w:rsidRPr="004068F6">
        <w:rPr>
          <w:spacing w:val="-3"/>
        </w:rPr>
        <w:t xml:space="preserve"> </w:t>
      </w:r>
      <w:r w:rsidR="003E5E20" w:rsidRPr="004068F6">
        <w:rPr>
          <w:spacing w:val="-3"/>
        </w:rPr>
        <w:t>la</w:t>
      </w:r>
      <w:r w:rsidR="00BA726C" w:rsidRPr="004068F6">
        <w:rPr>
          <w:spacing w:val="-3"/>
        </w:rPr>
        <w:t xml:space="preserve">s </w:t>
      </w:r>
      <w:r w:rsidRPr="004068F6">
        <w:rPr>
          <w:spacing w:val="-3"/>
        </w:rPr>
        <w:t>características</w:t>
      </w:r>
      <w:r w:rsidR="003E5E20" w:rsidRPr="004068F6">
        <w:rPr>
          <w:spacing w:val="-3"/>
        </w:rPr>
        <w:t xml:space="preserve"> de ambos sistemas</w:t>
      </w:r>
      <w:r w:rsidRPr="004068F6">
        <w:rPr>
          <w:spacing w:val="-3"/>
        </w:rPr>
        <w:t>.</w:t>
      </w:r>
    </w:p>
    <w:p w14:paraId="6D81601E" w14:textId="77777777" w:rsidR="00A63728" w:rsidRPr="004068F6" w:rsidRDefault="00A63728" w:rsidP="00B53A37">
      <w:pPr>
        <w:numPr>
          <w:ilvl w:val="12"/>
          <w:numId w:val="0"/>
        </w:numPr>
        <w:tabs>
          <w:tab w:val="left" w:pos="-2268"/>
        </w:tabs>
        <w:suppressAutoHyphens/>
        <w:rPr>
          <w:spacing w:val="-3"/>
        </w:rPr>
      </w:pPr>
    </w:p>
    <w:p w14:paraId="478EA30F" w14:textId="1BD73957" w:rsidR="004371AC" w:rsidRDefault="000315DD" w:rsidP="001F6CCD">
      <w:pPr>
        <w:numPr>
          <w:ilvl w:val="12"/>
          <w:numId w:val="0"/>
        </w:numPr>
        <w:tabs>
          <w:tab w:val="left" w:pos="-2268"/>
        </w:tabs>
        <w:suppressAutoHyphens/>
        <w:rPr>
          <w:spacing w:val="-3"/>
        </w:rPr>
      </w:pPr>
      <w:r w:rsidRPr="004068F6">
        <w:rPr>
          <w:spacing w:val="-3"/>
        </w:rPr>
        <w:t>S</w:t>
      </w:r>
      <w:r w:rsidR="000F5D28" w:rsidRPr="004068F6">
        <w:rPr>
          <w:spacing w:val="-3"/>
        </w:rPr>
        <w:t xml:space="preserve">e deben describir los conflictos socioambientales suscitados por el </w:t>
      </w:r>
      <w:r w:rsidR="004521A6" w:rsidRPr="004068F6">
        <w:t xml:space="preserve">acceso, uso, manejo, protección o </w:t>
      </w:r>
      <w:r w:rsidR="000F5D28" w:rsidRPr="004068F6">
        <w:rPr>
          <w:spacing w:val="-3"/>
        </w:rPr>
        <w:t>afectación de los ecosistemas y sus servicios ecosistémicos</w:t>
      </w:r>
      <w:r w:rsidR="00777D5A" w:rsidRPr="004068F6">
        <w:rPr>
          <w:spacing w:val="-3"/>
        </w:rPr>
        <w:t xml:space="preserve"> que </w:t>
      </w:r>
      <w:r w:rsidR="004521A6" w:rsidRPr="004068F6">
        <w:rPr>
          <w:spacing w:val="-3"/>
        </w:rPr>
        <w:t>resulta</w:t>
      </w:r>
      <w:r w:rsidR="004D608B">
        <w:rPr>
          <w:spacing w:val="-3"/>
        </w:rPr>
        <w:t>n</w:t>
      </w:r>
      <w:r w:rsidR="004521A6" w:rsidRPr="004068F6">
        <w:rPr>
          <w:spacing w:val="-3"/>
        </w:rPr>
        <w:t xml:space="preserve"> de las </w:t>
      </w:r>
      <w:r w:rsidR="009F0619" w:rsidRPr="004068F6">
        <w:rPr>
          <w:spacing w:val="-3"/>
        </w:rPr>
        <w:t xml:space="preserve">actividades socioeconómicas </w:t>
      </w:r>
      <w:r w:rsidR="004521A6" w:rsidRPr="004068F6">
        <w:rPr>
          <w:spacing w:val="-3"/>
        </w:rPr>
        <w:t>y culturales de la población del área de influencia</w:t>
      </w:r>
      <w:r w:rsidR="000452CD">
        <w:rPr>
          <w:spacing w:val="-3"/>
        </w:rPr>
        <w:t>.</w:t>
      </w:r>
      <w:r w:rsidR="004521A6" w:rsidRPr="004068F6">
        <w:rPr>
          <w:spacing w:val="-3"/>
        </w:rPr>
        <w:t xml:space="preserve"> </w:t>
      </w:r>
      <w:r w:rsidR="005654A5">
        <w:rPr>
          <w:spacing w:val="-3"/>
        </w:rPr>
        <w:t>Asimismo, s</w:t>
      </w:r>
      <w:r w:rsidR="004371AC">
        <w:rPr>
          <w:spacing w:val="-3"/>
        </w:rPr>
        <w:t xml:space="preserve">e deben determinar </w:t>
      </w:r>
      <w:r w:rsidR="005654A5">
        <w:rPr>
          <w:spacing w:val="-3"/>
        </w:rPr>
        <w:t xml:space="preserve">y mapear </w:t>
      </w:r>
      <w:r w:rsidR="004371AC">
        <w:rPr>
          <w:spacing w:val="-3"/>
        </w:rPr>
        <w:t xml:space="preserve">los </w:t>
      </w:r>
      <w:r w:rsidR="00182AD9" w:rsidRPr="00A63728">
        <w:rPr>
          <w:spacing w:val="-3"/>
        </w:rPr>
        <w:t xml:space="preserve">dinámicas </w:t>
      </w:r>
      <w:r w:rsidR="004371AC" w:rsidRPr="00A63728">
        <w:rPr>
          <w:spacing w:val="-3"/>
        </w:rPr>
        <w:t>desencadenantes</w:t>
      </w:r>
      <w:r w:rsidR="004371AC">
        <w:rPr>
          <w:spacing w:val="-3"/>
        </w:rPr>
        <w:t xml:space="preserve"> de </w:t>
      </w:r>
      <w:r w:rsidR="004D608B">
        <w:rPr>
          <w:spacing w:val="-3"/>
        </w:rPr>
        <w:t xml:space="preserve">tales </w:t>
      </w:r>
      <w:r w:rsidR="004371AC">
        <w:rPr>
          <w:spacing w:val="-3"/>
        </w:rPr>
        <w:t>conflictos en el territorio;</w:t>
      </w:r>
      <w:r w:rsidR="00FC6AD1">
        <w:rPr>
          <w:spacing w:val="-3"/>
        </w:rPr>
        <w:t xml:space="preserve"> por ejemplo</w:t>
      </w:r>
      <w:r w:rsidR="004371AC">
        <w:rPr>
          <w:spacing w:val="-3"/>
        </w:rPr>
        <w:t xml:space="preserve">, </w:t>
      </w:r>
      <w:r w:rsidR="00FC6AD1" w:rsidRPr="004068F6">
        <w:rPr>
          <w:spacing w:val="-3"/>
        </w:rPr>
        <w:t xml:space="preserve">factores económicos y políticos </w:t>
      </w:r>
      <w:r w:rsidR="00FC6AD1" w:rsidRPr="004068F6">
        <w:rPr>
          <w:spacing w:val="-3"/>
        </w:rPr>
        <w:lastRenderedPageBreak/>
        <w:t>externos</w:t>
      </w:r>
      <w:r w:rsidR="004371AC">
        <w:rPr>
          <w:spacing w:val="-3"/>
        </w:rPr>
        <w:t xml:space="preserve">, </w:t>
      </w:r>
      <w:r w:rsidR="004371AC" w:rsidRPr="00A63728">
        <w:rPr>
          <w:spacing w:val="-3"/>
        </w:rPr>
        <w:t xml:space="preserve">vulneraciones a </w:t>
      </w:r>
      <w:r w:rsidR="0002205F">
        <w:rPr>
          <w:spacing w:val="-3"/>
        </w:rPr>
        <w:t xml:space="preserve">los </w:t>
      </w:r>
      <w:r w:rsidR="004371AC" w:rsidRPr="00A63728">
        <w:rPr>
          <w:spacing w:val="-3"/>
        </w:rPr>
        <w:t>derechos humanos</w:t>
      </w:r>
      <w:r w:rsidR="001F6CCD">
        <w:rPr>
          <w:spacing w:val="-3"/>
        </w:rPr>
        <w:t xml:space="preserve">, impedimentos de </w:t>
      </w:r>
      <w:r w:rsidR="000452CD" w:rsidRPr="004068F6">
        <w:t>acceso a la información ambiental o desconocimiento de ésta</w:t>
      </w:r>
      <w:r w:rsidR="00EB5249">
        <w:t>.</w:t>
      </w:r>
    </w:p>
    <w:p w14:paraId="1008C757" w14:textId="77777777" w:rsidR="004371AC" w:rsidRPr="004068F6" w:rsidRDefault="004371AC" w:rsidP="00B53A37">
      <w:pPr>
        <w:numPr>
          <w:ilvl w:val="12"/>
          <w:numId w:val="0"/>
        </w:numPr>
        <w:tabs>
          <w:tab w:val="left" w:pos="-2268"/>
        </w:tabs>
        <w:suppressAutoHyphens/>
        <w:rPr>
          <w:spacing w:val="-3"/>
        </w:rPr>
      </w:pPr>
    </w:p>
    <w:p w14:paraId="1BCA3364" w14:textId="56D5D02B" w:rsidR="00B53A37" w:rsidRPr="004068F6" w:rsidRDefault="00CF2A60" w:rsidP="00B53A37">
      <w:pPr>
        <w:numPr>
          <w:ilvl w:val="12"/>
          <w:numId w:val="0"/>
        </w:numPr>
        <w:tabs>
          <w:tab w:val="left" w:pos="-2268"/>
        </w:tabs>
        <w:suppressAutoHyphens/>
        <w:rPr>
          <w:spacing w:val="-3"/>
        </w:rPr>
      </w:pPr>
      <w:r w:rsidRPr="004068F6">
        <w:rPr>
          <w:spacing w:val="-3"/>
        </w:rPr>
        <w:t>De igual manera, l</w:t>
      </w:r>
      <w:r w:rsidR="00905AD9" w:rsidRPr="004068F6">
        <w:rPr>
          <w:spacing w:val="-3"/>
        </w:rPr>
        <w:t xml:space="preserve">a </w:t>
      </w:r>
      <w:r w:rsidR="0002113B" w:rsidRPr="004068F6">
        <w:rPr>
          <w:spacing w:val="-3"/>
        </w:rPr>
        <w:t>c</w:t>
      </w:r>
      <w:r w:rsidR="00B53A37" w:rsidRPr="004068F6">
        <w:rPr>
          <w:spacing w:val="-3"/>
        </w:rPr>
        <w:t xml:space="preserve">aracterización </w:t>
      </w:r>
      <w:r w:rsidR="0002113B" w:rsidRPr="004068F6">
        <w:rPr>
          <w:spacing w:val="-3"/>
        </w:rPr>
        <w:t xml:space="preserve">debe dirigirse tanto a los </w:t>
      </w:r>
      <w:r w:rsidR="00B53A37" w:rsidRPr="004068F6">
        <w:rPr>
          <w:spacing w:val="-3"/>
        </w:rPr>
        <w:t>conflictos que pued</w:t>
      </w:r>
      <w:r w:rsidR="0002113B" w:rsidRPr="004068F6">
        <w:rPr>
          <w:spacing w:val="-3"/>
        </w:rPr>
        <w:t>e</w:t>
      </w:r>
      <w:r w:rsidR="00B53A37" w:rsidRPr="004068F6">
        <w:rPr>
          <w:spacing w:val="-3"/>
        </w:rPr>
        <w:t>n exacerbarse</w:t>
      </w:r>
      <w:r w:rsidR="0002113B" w:rsidRPr="004068F6">
        <w:rPr>
          <w:spacing w:val="-3"/>
        </w:rPr>
        <w:t>, como a los que pueden</w:t>
      </w:r>
      <w:r w:rsidR="00B53A37" w:rsidRPr="004068F6">
        <w:rPr>
          <w:spacing w:val="-3"/>
        </w:rPr>
        <w:t xml:space="preserve"> atenuarse con la </w:t>
      </w:r>
      <w:r w:rsidR="00ED4CF3" w:rsidRPr="004068F6">
        <w:rPr>
          <w:spacing w:val="-3"/>
        </w:rPr>
        <w:t>posible futura implementación</w:t>
      </w:r>
      <w:r w:rsidR="00ED4CF3" w:rsidRPr="004068F6" w:rsidDel="00ED4CF3">
        <w:rPr>
          <w:spacing w:val="-3"/>
        </w:rPr>
        <w:t xml:space="preserve"> </w:t>
      </w:r>
      <w:r w:rsidR="00B53A37" w:rsidRPr="004068F6">
        <w:rPr>
          <w:spacing w:val="-3"/>
        </w:rPr>
        <w:t xml:space="preserve">del proyecto, obra o actividad, </w:t>
      </w:r>
      <w:r w:rsidR="00FD61A2" w:rsidRPr="004068F6">
        <w:rPr>
          <w:spacing w:val="-3"/>
        </w:rPr>
        <w:t xml:space="preserve">considerando el escenario prospectivo </w:t>
      </w:r>
      <w:r w:rsidR="0002113B" w:rsidRPr="004068F6">
        <w:rPr>
          <w:spacing w:val="-3"/>
        </w:rPr>
        <w:t xml:space="preserve">y </w:t>
      </w:r>
      <w:r w:rsidR="005E7952" w:rsidRPr="004068F6">
        <w:rPr>
          <w:spacing w:val="-3"/>
        </w:rPr>
        <w:t xml:space="preserve">adicionalmente, </w:t>
      </w:r>
      <w:r w:rsidR="0002113B" w:rsidRPr="004068F6">
        <w:rPr>
          <w:spacing w:val="-3"/>
        </w:rPr>
        <w:t xml:space="preserve">señalar </w:t>
      </w:r>
      <w:r w:rsidR="00B53A37" w:rsidRPr="004068F6">
        <w:rPr>
          <w:spacing w:val="-3"/>
        </w:rPr>
        <w:t xml:space="preserve">las </w:t>
      </w:r>
      <w:r w:rsidR="00196C78" w:rsidRPr="004068F6">
        <w:rPr>
          <w:spacing w:val="-3"/>
        </w:rPr>
        <w:t xml:space="preserve">dinámicas </w:t>
      </w:r>
      <w:r w:rsidR="00B53A37" w:rsidRPr="004068F6">
        <w:rPr>
          <w:spacing w:val="-3"/>
        </w:rPr>
        <w:t>sociales que pueden llevar a profundizarlos o a tramitarlos.</w:t>
      </w:r>
      <w:r w:rsidR="005E7952" w:rsidRPr="004068F6">
        <w:rPr>
          <w:spacing w:val="-3"/>
        </w:rPr>
        <w:t xml:space="preserve"> </w:t>
      </w:r>
      <w:r w:rsidR="001B6913" w:rsidRPr="004068F6">
        <w:rPr>
          <w:spacing w:val="-3"/>
        </w:rPr>
        <w:t xml:space="preserve">Se </w:t>
      </w:r>
      <w:r w:rsidR="005E7952" w:rsidRPr="004068F6">
        <w:rPr>
          <w:spacing w:val="-3"/>
        </w:rPr>
        <w:t>debe</w:t>
      </w:r>
      <w:r w:rsidR="001B6913" w:rsidRPr="004068F6">
        <w:rPr>
          <w:spacing w:val="-3"/>
        </w:rPr>
        <w:t>n</w:t>
      </w:r>
      <w:r w:rsidR="005E7952" w:rsidRPr="004068F6">
        <w:rPr>
          <w:spacing w:val="-3"/>
        </w:rPr>
        <w:t xml:space="preserve"> abordar al menos las siguientes propiedades</w:t>
      </w:r>
      <w:r w:rsidR="00463D5F" w:rsidRPr="004068F6">
        <w:rPr>
          <w:spacing w:val="-3"/>
        </w:rPr>
        <w:t xml:space="preserve"> de los conflictos</w:t>
      </w:r>
      <w:r w:rsidR="005E7952" w:rsidRPr="004068F6">
        <w:rPr>
          <w:spacing w:val="-3"/>
        </w:rPr>
        <w:t>:</w:t>
      </w:r>
    </w:p>
    <w:p w14:paraId="0AFAD578" w14:textId="77777777" w:rsidR="00161B35" w:rsidRPr="004068F6" w:rsidRDefault="00161B35" w:rsidP="00B53A37">
      <w:pPr>
        <w:numPr>
          <w:ilvl w:val="12"/>
          <w:numId w:val="0"/>
        </w:numPr>
        <w:tabs>
          <w:tab w:val="left" w:pos="-2268"/>
        </w:tabs>
        <w:suppressAutoHyphens/>
        <w:rPr>
          <w:spacing w:val="-3"/>
        </w:rPr>
      </w:pPr>
    </w:p>
    <w:p w14:paraId="5511E270" w14:textId="639FECC4" w:rsidR="00B64698" w:rsidRPr="004068F6" w:rsidRDefault="00B64698" w:rsidP="00B64698">
      <w:pPr>
        <w:numPr>
          <w:ilvl w:val="0"/>
          <w:numId w:val="394"/>
        </w:numPr>
        <w:tabs>
          <w:tab w:val="left" w:pos="-2268"/>
        </w:tabs>
        <w:suppressAutoHyphens/>
        <w:ind w:left="567" w:hanging="567"/>
        <w:rPr>
          <w:spacing w:val="-3"/>
        </w:rPr>
      </w:pPr>
      <w:r w:rsidRPr="004068F6">
        <w:rPr>
          <w:spacing w:val="-3"/>
        </w:rPr>
        <w:t>Objeto del conflicto en términos del ecosistema</w:t>
      </w:r>
      <w:r w:rsidR="005B1F78">
        <w:rPr>
          <w:spacing w:val="-3"/>
        </w:rPr>
        <w:t>,</w:t>
      </w:r>
      <w:r w:rsidRPr="004068F6">
        <w:rPr>
          <w:spacing w:val="-3"/>
        </w:rPr>
        <w:t xml:space="preserve"> servicio ecosistémico </w:t>
      </w:r>
      <w:r w:rsidR="005B1F78">
        <w:rPr>
          <w:spacing w:val="-3"/>
        </w:rPr>
        <w:t xml:space="preserve">o paisaje </w:t>
      </w:r>
      <w:r w:rsidRPr="004068F6">
        <w:rPr>
          <w:spacing w:val="-3"/>
        </w:rPr>
        <w:t>comprometido.</w:t>
      </w:r>
    </w:p>
    <w:p w14:paraId="77459F2E" w14:textId="77777777" w:rsidR="00B64698" w:rsidRPr="004068F6" w:rsidRDefault="00B64698" w:rsidP="000D6E21">
      <w:pPr>
        <w:tabs>
          <w:tab w:val="left" w:pos="-2268"/>
        </w:tabs>
        <w:suppressAutoHyphens/>
        <w:rPr>
          <w:spacing w:val="-3"/>
        </w:rPr>
      </w:pPr>
    </w:p>
    <w:p w14:paraId="3E6E9636" w14:textId="7B505315" w:rsidR="00463D5F" w:rsidRPr="004068F6" w:rsidRDefault="00B64698" w:rsidP="000D6E21">
      <w:pPr>
        <w:numPr>
          <w:ilvl w:val="0"/>
          <w:numId w:val="394"/>
        </w:numPr>
        <w:tabs>
          <w:tab w:val="left" w:pos="-2268"/>
        </w:tabs>
        <w:suppressAutoHyphens/>
        <w:ind w:left="567" w:hanging="567"/>
        <w:rPr>
          <w:spacing w:val="-3"/>
        </w:rPr>
      </w:pPr>
      <w:r w:rsidRPr="004068F6">
        <w:rPr>
          <w:spacing w:val="-3"/>
        </w:rPr>
        <w:t xml:space="preserve">Localización de los lugares </w:t>
      </w:r>
      <w:r w:rsidR="00463D5F" w:rsidRPr="004068F6">
        <w:rPr>
          <w:spacing w:val="-3"/>
        </w:rPr>
        <w:t xml:space="preserve">en </w:t>
      </w:r>
      <w:r w:rsidRPr="004068F6">
        <w:rPr>
          <w:spacing w:val="-3"/>
        </w:rPr>
        <w:t xml:space="preserve">los </w:t>
      </w:r>
      <w:r w:rsidR="00463D5F" w:rsidRPr="004068F6">
        <w:rPr>
          <w:spacing w:val="-3"/>
        </w:rPr>
        <w:t xml:space="preserve">que ocurre y </w:t>
      </w:r>
      <w:r w:rsidRPr="004068F6">
        <w:rPr>
          <w:spacing w:val="-3"/>
        </w:rPr>
        <w:t xml:space="preserve">a los que </w:t>
      </w:r>
      <w:r w:rsidR="00463D5F" w:rsidRPr="004068F6">
        <w:rPr>
          <w:spacing w:val="-3"/>
        </w:rPr>
        <w:t>trasciende el conflicto, haciendo explícit</w:t>
      </w:r>
      <w:r w:rsidRPr="004068F6">
        <w:rPr>
          <w:spacing w:val="-3"/>
        </w:rPr>
        <w:t>o</w:t>
      </w:r>
      <w:r w:rsidR="00463D5F" w:rsidRPr="004068F6">
        <w:rPr>
          <w:spacing w:val="-3"/>
        </w:rPr>
        <w:t>s</w:t>
      </w:r>
      <w:r w:rsidRPr="004068F6">
        <w:rPr>
          <w:spacing w:val="-3"/>
        </w:rPr>
        <w:t xml:space="preserve"> l</w:t>
      </w:r>
      <w:r w:rsidR="00463D5F" w:rsidRPr="004068F6">
        <w:rPr>
          <w:spacing w:val="-3"/>
        </w:rPr>
        <w:t xml:space="preserve">os </w:t>
      </w:r>
      <w:r w:rsidRPr="004068F6">
        <w:rPr>
          <w:spacing w:val="-3"/>
        </w:rPr>
        <w:t xml:space="preserve">alcances y limitaciones de los </w:t>
      </w:r>
      <w:r w:rsidR="00463D5F" w:rsidRPr="004068F6">
        <w:rPr>
          <w:spacing w:val="-3"/>
        </w:rPr>
        <w:t xml:space="preserve">criterios </w:t>
      </w:r>
      <w:r w:rsidRPr="004068F6">
        <w:rPr>
          <w:spacing w:val="-3"/>
        </w:rPr>
        <w:t xml:space="preserve">empleados </w:t>
      </w:r>
      <w:r w:rsidR="00463D5F" w:rsidRPr="004068F6">
        <w:rPr>
          <w:spacing w:val="-3"/>
        </w:rPr>
        <w:t xml:space="preserve">para </w:t>
      </w:r>
      <w:r w:rsidRPr="004068F6">
        <w:rPr>
          <w:spacing w:val="-3"/>
        </w:rPr>
        <w:t xml:space="preserve">determinar </w:t>
      </w:r>
      <w:r w:rsidR="00BA726C" w:rsidRPr="004068F6">
        <w:rPr>
          <w:spacing w:val="-3"/>
        </w:rPr>
        <w:t>en qué unidades de análisis territorial ocurren</w:t>
      </w:r>
      <w:r w:rsidR="00463D5F" w:rsidRPr="004068F6">
        <w:rPr>
          <w:spacing w:val="-3"/>
        </w:rPr>
        <w:t>.</w:t>
      </w:r>
    </w:p>
    <w:p w14:paraId="59CD7A78" w14:textId="77777777" w:rsidR="00463D5F" w:rsidRPr="004068F6" w:rsidRDefault="00463D5F">
      <w:pPr>
        <w:tabs>
          <w:tab w:val="left" w:pos="-2268"/>
        </w:tabs>
        <w:suppressAutoHyphens/>
        <w:rPr>
          <w:spacing w:val="-3"/>
        </w:rPr>
      </w:pPr>
    </w:p>
    <w:p w14:paraId="721688D9" w14:textId="7C054A45" w:rsidR="005128BA" w:rsidRPr="004068F6" w:rsidRDefault="005128BA" w:rsidP="005128BA">
      <w:pPr>
        <w:numPr>
          <w:ilvl w:val="0"/>
          <w:numId w:val="394"/>
        </w:numPr>
        <w:tabs>
          <w:tab w:val="left" w:pos="-2268"/>
        </w:tabs>
        <w:suppressAutoHyphens/>
        <w:ind w:left="567" w:hanging="567"/>
        <w:rPr>
          <w:spacing w:val="-3"/>
        </w:rPr>
      </w:pPr>
      <w:r w:rsidRPr="004068F6">
        <w:rPr>
          <w:spacing w:val="-3"/>
        </w:rPr>
        <w:t xml:space="preserve">Actores del conflicto. Deben identificarse </w:t>
      </w:r>
      <w:r w:rsidR="00E3248F" w:rsidRPr="004068F6">
        <w:rPr>
          <w:spacing w:val="-3"/>
        </w:rPr>
        <w:t xml:space="preserve">los grupos de interés </w:t>
      </w:r>
      <w:r w:rsidRPr="004068F6">
        <w:rPr>
          <w:spacing w:val="-3"/>
        </w:rPr>
        <w:t xml:space="preserve">que participan del proceso de interacción y que son conscientes de su discrepancia frente al asunto u objeto del conflicto. </w:t>
      </w:r>
      <w:r w:rsidR="00E47D88" w:rsidRPr="004068F6">
        <w:rPr>
          <w:spacing w:val="-3"/>
        </w:rPr>
        <w:t>D</w:t>
      </w:r>
      <w:r w:rsidRPr="004068F6">
        <w:rPr>
          <w:spacing w:val="-3"/>
        </w:rPr>
        <w:t>ebe incluirse una descripción de estas interrelaciones y los valores que las motivan.</w:t>
      </w:r>
    </w:p>
    <w:p w14:paraId="5F8E5317" w14:textId="77777777" w:rsidR="005128BA" w:rsidRPr="004068F6" w:rsidRDefault="005128BA" w:rsidP="000D6E21">
      <w:pPr>
        <w:tabs>
          <w:tab w:val="left" w:pos="-2268"/>
        </w:tabs>
        <w:suppressAutoHyphens/>
        <w:rPr>
          <w:spacing w:val="-3"/>
        </w:rPr>
      </w:pPr>
    </w:p>
    <w:p w14:paraId="33856E56" w14:textId="227E2A81" w:rsidR="00463D5F" w:rsidRPr="004068F6" w:rsidRDefault="00B64698" w:rsidP="00463D5F">
      <w:pPr>
        <w:numPr>
          <w:ilvl w:val="0"/>
          <w:numId w:val="394"/>
        </w:numPr>
        <w:tabs>
          <w:tab w:val="left" w:pos="-2268"/>
        </w:tabs>
        <w:suppressAutoHyphens/>
        <w:ind w:left="567" w:hanging="567"/>
        <w:rPr>
          <w:spacing w:val="-3"/>
        </w:rPr>
      </w:pPr>
      <w:r w:rsidRPr="004068F6">
        <w:rPr>
          <w:spacing w:val="-3"/>
        </w:rPr>
        <w:t>H</w:t>
      </w:r>
      <w:r w:rsidR="00463D5F" w:rsidRPr="004068F6">
        <w:rPr>
          <w:spacing w:val="-3"/>
        </w:rPr>
        <w:t>istoria (inicio, desarrollo, resultado) y estado actual del conflicto</w:t>
      </w:r>
      <w:r w:rsidRPr="004068F6">
        <w:rPr>
          <w:spacing w:val="-3"/>
        </w:rPr>
        <w:t>, realizando una descripción de tales momentos.</w:t>
      </w:r>
    </w:p>
    <w:p w14:paraId="79444426" w14:textId="77777777" w:rsidR="00463D5F" w:rsidRPr="004068F6" w:rsidRDefault="00463D5F" w:rsidP="000D6E21">
      <w:pPr>
        <w:tabs>
          <w:tab w:val="left" w:pos="-2268"/>
        </w:tabs>
        <w:suppressAutoHyphens/>
        <w:rPr>
          <w:spacing w:val="-3"/>
        </w:rPr>
      </w:pPr>
    </w:p>
    <w:p w14:paraId="4B7FB4AC" w14:textId="71FF28A2" w:rsidR="00463D5F" w:rsidRPr="004068F6" w:rsidRDefault="00463D5F" w:rsidP="00463D5F">
      <w:pPr>
        <w:numPr>
          <w:ilvl w:val="0"/>
          <w:numId w:val="394"/>
        </w:numPr>
        <w:tabs>
          <w:tab w:val="left" w:pos="-2268"/>
        </w:tabs>
        <w:suppressAutoHyphens/>
        <w:ind w:left="567" w:hanging="567"/>
        <w:rPr>
          <w:spacing w:val="-3"/>
        </w:rPr>
      </w:pPr>
      <w:r w:rsidRPr="004068F6">
        <w:rPr>
          <w:spacing w:val="-3"/>
        </w:rPr>
        <w:t>Causas y direccionadores del conflicto. Incluye</w:t>
      </w:r>
      <w:r w:rsidR="00BB3021" w:rsidRPr="004068F6">
        <w:rPr>
          <w:spacing w:val="-3"/>
        </w:rPr>
        <w:t xml:space="preserve"> </w:t>
      </w:r>
      <w:r w:rsidRPr="004068F6">
        <w:rPr>
          <w:spacing w:val="-3"/>
        </w:rPr>
        <w:t>causas directas como impactos</w:t>
      </w:r>
      <w:r w:rsidR="00BB3021" w:rsidRPr="004068F6">
        <w:rPr>
          <w:spacing w:val="-3"/>
        </w:rPr>
        <w:t>,</w:t>
      </w:r>
      <w:r w:rsidRPr="004068F6">
        <w:rPr>
          <w:spacing w:val="-3"/>
        </w:rPr>
        <w:t xml:space="preserve"> trade-offs entre servicios ecosistémicos</w:t>
      </w:r>
      <w:r w:rsidR="00BB3021" w:rsidRPr="004068F6">
        <w:rPr>
          <w:spacing w:val="-3"/>
          <w:vertAlign w:val="superscript"/>
        </w:rPr>
        <w:footnoteReference w:id="177"/>
      </w:r>
      <w:r w:rsidRPr="004068F6">
        <w:rPr>
          <w:spacing w:val="-3"/>
        </w:rPr>
        <w:t xml:space="preserve">, divergencias frente </w:t>
      </w:r>
      <w:r w:rsidR="00BB3021" w:rsidRPr="004068F6">
        <w:rPr>
          <w:spacing w:val="-3"/>
        </w:rPr>
        <w:t xml:space="preserve">al </w:t>
      </w:r>
      <w:r w:rsidRPr="004068F6">
        <w:rPr>
          <w:spacing w:val="-3"/>
        </w:rPr>
        <w:t>acceso y distribución</w:t>
      </w:r>
      <w:r w:rsidR="00BB3021" w:rsidRPr="004068F6">
        <w:rPr>
          <w:spacing w:val="-3"/>
        </w:rPr>
        <w:t xml:space="preserve"> de beneficios de los ecosistemas</w:t>
      </w:r>
      <w:r w:rsidRPr="004068F6">
        <w:rPr>
          <w:spacing w:val="-3"/>
        </w:rPr>
        <w:t xml:space="preserve">, entre otros. También </w:t>
      </w:r>
      <w:r w:rsidR="008D5057" w:rsidRPr="004068F6">
        <w:rPr>
          <w:spacing w:val="-3"/>
        </w:rPr>
        <w:t xml:space="preserve">se refiere a </w:t>
      </w:r>
      <w:r w:rsidRPr="004068F6">
        <w:rPr>
          <w:spacing w:val="-3"/>
        </w:rPr>
        <w:t>causas subyacentes derivadas</w:t>
      </w:r>
      <w:r w:rsidR="00B85AAB" w:rsidRPr="004068F6">
        <w:rPr>
          <w:spacing w:val="-3"/>
        </w:rPr>
        <w:t>,</w:t>
      </w:r>
      <w:r w:rsidRPr="004068F6">
        <w:rPr>
          <w:spacing w:val="-3"/>
        </w:rPr>
        <w:t xml:space="preserve"> por ejemplo</w:t>
      </w:r>
      <w:r w:rsidR="008D5057" w:rsidRPr="004068F6">
        <w:rPr>
          <w:spacing w:val="-3"/>
        </w:rPr>
        <w:t>,</w:t>
      </w:r>
      <w:r w:rsidRPr="004068F6">
        <w:rPr>
          <w:spacing w:val="-3"/>
        </w:rPr>
        <w:t xml:space="preserve"> de macroconflictos</w:t>
      </w:r>
      <w:r w:rsidRPr="004068F6">
        <w:rPr>
          <w:spacing w:val="-3"/>
          <w:vertAlign w:val="superscript"/>
        </w:rPr>
        <w:footnoteReference w:id="178"/>
      </w:r>
      <w:r w:rsidRPr="004068F6">
        <w:rPr>
          <w:spacing w:val="-3"/>
        </w:rPr>
        <w:t xml:space="preserve"> o toma de decisiones sobre la planificación del territorio.</w:t>
      </w:r>
    </w:p>
    <w:p w14:paraId="332CE6F6" w14:textId="77777777" w:rsidR="00463D5F" w:rsidRPr="004068F6" w:rsidRDefault="00463D5F" w:rsidP="000D6E21">
      <w:pPr>
        <w:tabs>
          <w:tab w:val="left" w:pos="-2268"/>
        </w:tabs>
        <w:suppressAutoHyphens/>
        <w:rPr>
          <w:spacing w:val="-3"/>
        </w:rPr>
      </w:pPr>
    </w:p>
    <w:p w14:paraId="45DBCF8D" w14:textId="656EF3F1" w:rsidR="003C4A56" w:rsidRPr="004068F6" w:rsidRDefault="003C4A56">
      <w:pPr>
        <w:numPr>
          <w:ilvl w:val="0"/>
          <w:numId w:val="394"/>
        </w:numPr>
        <w:tabs>
          <w:tab w:val="left" w:pos="-2268"/>
        </w:tabs>
        <w:suppressAutoHyphens/>
        <w:ind w:left="567" w:hanging="567"/>
        <w:rPr>
          <w:spacing w:val="-3"/>
        </w:rPr>
      </w:pPr>
      <w:r w:rsidRPr="004068F6">
        <w:rPr>
          <w:spacing w:val="-3"/>
        </w:rPr>
        <w:t xml:space="preserve">Tendencia del conflicto. </w:t>
      </w:r>
      <w:r w:rsidR="00EE5EF6" w:rsidRPr="004068F6">
        <w:rPr>
          <w:spacing w:val="-3"/>
        </w:rPr>
        <w:t>S</w:t>
      </w:r>
      <w:r w:rsidRPr="004068F6">
        <w:rPr>
          <w:spacing w:val="-3"/>
        </w:rPr>
        <w:t>e</w:t>
      </w:r>
      <w:r w:rsidR="007960BC" w:rsidRPr="004068F6">
        <w:rPr>
          <w:spacing w:val="-3"/>
        </w:rPr>
        <w:t xml:space="preserve"> debe</w:t>
      </w:r>
      <w:r w:rsidRPr="004068F6">
        <w:rPr>
          <w:spacing w:val="-3"/>
        </w:rPr>
        <w:t xml:space="preserve"> determinar si </w:t>
      </w:r>
      <w:r w:rsidR="00EE5EF6" w:rsidRPr="004068F6">
        <w:rPr>
          <w:spacing w:val="-3"/>
        </w:rPr>
        <w:t xml:space="preserve">el conflicto </w:t>
      </w:r>
      <w:r w:rsidRPr="004068F6">
        <w:rPr>
          <w:spacing w:val="-3"/>
        </w:rPr>
        <w:t>se mantiene activo o si permanece latente</w:t>
      </w:r>
      <w:r w:rsidR="00EE5EF6" w:rsidRPr="004068F6">
        <w:rPr>
          <w:spacing w:val="-3"/>
        </w:rPr>
        <w:t xml:space="preserve"> considerando su contexto</w:t>
      </w:r>
      <w:r w:rsidRPr="004068F6">
        <w:rPr>
          <w:spacing w:val="-3"/>
        </w:rPr>
        <w:t>.</w:t>
      </w:r>
    </w:p>
    <w:p w14:paraId="39286B15" w14:textId="7CF98670" w:rsidR="00463D5F" w:rsidRPr="004068F6" w:rsidRDefault="00463D5F" w:rsidP="00463D5F">
      <w:pPr>
        <w:numPr>
          <w:ilvl w:val="12"/>
          <w:numId w:val="0"/>
        </w:numPr>
        <w:tabs>
          <w:tab w:val="left" w:pos="-2268"/>
        </w:tabs>
        <w:suppressAutoHyphens/>
        <w:rPr>
          <w:spacing w:val="-3"/>
        </w:rPr>
      </w:pPr>
    </w:p>
    <w:p w14:paraId="5EA0D480" w14:textId="42D7F670" w:rsidR="00463D5F" w:rsidRPr="00127BD4" w:rsidRDefault="008716D6" w:rsidP="00463D5F">
      <w:pPr>
        <w:numPr>
          <w:ilvl w:val="12"/>
          <w:numId w:val="0"/>
        </w:numPr>
        <w:tabs>
          <w:tab w:val="left" w:pos="-2268"/>
        </w:tabs>
        <w:suppressAutoHyphens/>
        <w:rPr>
          <w:spacing w:val="-3"/>
        </w:rPr>
      </w:pPr>
      <w:r w:rsidRPr="00127BD4">
        <w:rPr>
          <w:spacing w:val="-3"/>
        </w:rPr>
        <w:t xml:space="preserve">Se debe determinar mediante la consulta a fuentes y entidades competentes, </w:t>
      </w:r>
      <w:r w:rsidR="00A9558B" w:rsidRPr="00127BD4">
        <w:rPr>
          <w:spacing w:val="-3"/>
        </w:rPr>
        <w:t xml:space="preserve">la ocurrencia de </w:t>
      </w:r>
      <w:r w:rsidR="00463D5F" w:rsidRPr="00127BD4">
        <w:rPr>
          <w:spacing w:val="-3"/>
        </w:rPr>
        <w:t>diferentes formas de violencia</w:t>
      </w:r>
      <w:r w:rsidR="004C1C9D" w:rsidRPr="00127BD4">
        <w:rPr>
          <w:spacing w:val="-3"/>
        </w:rPr>
        <w:t xml:space="preserve"> </w:t>
      </w:r>
      <w:r w:rsidRPr="00127BD4">
        <w:rPr>
          <w:spacing w:val="-3"/>
        </w:rPr>
        <w:t xml:space="preserve">contra </w:t>
      </w:r>
      <w:r w:rsidR="00463D5F" w:rsidRPr="00127BD4">
        <w:rPr>
          <w:spacing w:val="-3"/>
        </w:rPr>
        <w:t xml:space="preserve">la </w:t>
      </w:r>
      <w:r w:rsidR="00161B35" w:rsidRPr="00127BD4">
        <w:rPr>
          <w:spacing w:val="-3"/>
        </w:rPr>
        <w:t xml:space="preserve">vida y la </w:t>
      </w:r>
      <w:r w:rsidR="00463D5F" w:rsidRPr="00127BD4">
        <w:rPr>
          <w:spacing w:val="-3"/>
        </w:rPr>
        <w:t xml:space="preserve">integridad </w:t>
      </w:r>
      <w:r w:rsidR="00161B35" w:rsidRPr="00127BD4">
        <w:rPr>
          <w:spacing w:val="-3"/>
        </w:rPr>
        <w:t xml:space="preserve">de las </w:t>
      </w:r>
      <w:r w:rsidR="00463D5F" w:rsidRPr="00127BD4">
        <w:rPr>
          <w:spacing w:val="-3"/>
        </w:rPr>
        <w:lastRenderedPageBreak/>
        <w:t>persona</w:t>
      </w:r>
      <w:r w:rsidR="00161B35" w:rsidRPr="00127BD4">
        <w:rPr>
          <w:spacing w:val="-3"/>
        </w:rPr>
        <w:t>s</w:t>
      </w:r>
      <w:r w:rsidR="00463D5F" w:rsidRPr="00127BD4">
        <w:rPr>
          <w:spacing w:val="-3"/>
        </w:rPr>
        <w:t xml:space="preserve"> de los grupos de interés</w:t>
      </w:r>
      <w:r w:rsidR="000500B3" w:rsidRPr="00127BD4">
        <w:rPr>
          <w:spacing w:val="-3"/>
        </w:rPr>
        <w:t xml:space="preserve"> que pueden ser exacerbadas por el proyecto, obra o actividad, incluso, las que son generadas por actores armados</w:t>
      </w:r>
      <w:r w:rsidR="00A9558B" w:rsidRPr="00127BD4">
        <w:rPr>
          <w:spacing w:val="-3"/>
        </w:rPr>
        <w:t>.</w:t>
      </w:r>
    </w:p>
    <w:p w14:paraId="69C000FD" w14:textId="77777777" w:rsidR="00F70C85" w:rsidRPr="00127BD4" w:rsidRDefault="00F70C85" w:rsidP="00463D5F">
      <w:pPr>
        <w:numPr>
          <w:ilvl w:val="12"/>
          <w:numId w:val="0"/>
        </w:numPr>
        <w:tabs>
          <w:tab w:val="left" w:pos="-2268"/>
        </w:tabs>
        <w:suppressAutoHyphens/>
        <w:rPr>
          <w:spacing w:val="-3"/>
        </w:rPr>
      </w:pPr>
    </w:p>
    <w:p w14:paraId="7C769D98" w14:textId="04211E9E" w:rsidR="00F70C85" w:rsidRPr="00127BD4" w:rsidRDefault="00F70C85" w:rsidP="00F70C85">
      <w:pPr>
        <w:tabs>
          <w:tab w:val="left" w:pos="-2268"/>
        </w:tabs>
        <w:suppressAutoHyphens/>
        <w:rPr>
          <w:spacing w:val="-3"/>
        </w:rPr>
      </w:pPr>
      <w:r w:rsidRPr="004068F6">
        <w:rPr>
          <w:spacing w:val="-3"/>
        </w:rPr>
        <w:t xml:space="preserve">Asimismo, se deben determinar las barreras que enfrentan los grupos de interés para comunicar sus inquietudes y aportes de información, en especial los asociados a los conflictos socioambientales existentes. </w:t>
      </w:r>
      <w:r w:rsidR="00DE66F4" w:rsidRPr="004068F6">
        <w:rPr>
          <w:spacing w:val="-3"/>
        </w:rPr>
        <w:t xml:space="preserve">Con este fin, entre otras actividades, se </w:t>
      </w:r>
      <w:r w:rsidRPr="004068F6">
        <w:rPr>
          <w:spacing w:val="-3"/>
        </w:rPr>
        <w:t xml:space="preserve">debe identificar </w:t>
      </w:r>
      <w:r w:rsidR="00CE3663" w:rsidRPr="004068F6">
        <w:rPr>
          <w:spacing w:val="-3"/>
        </w:rPr>
        <w:t xml:space="preserve">si las entidades territoriales </w:t>
      </w:r>
      <w:r w:rsidR="00FB3A28" w:rsidRPr="00FB3A28">
        <w:rPr>
          <w:spacing w:val="-3"/>
        </w:rPr>
        <w:t>en las cuales se presentan tales conflictos</w:t>
      </w:r>
      <w:r w:rsidR="00FB3A28">
        <w:rPr>
          <w:spacing w:val="-3"/>
        </w:rPr>
        <w:t xml:space="preserve"> </w:t>
      </w:r>
      <w:r w:rsidRPr="004068F6">
        <w:rPr>
          <w:spacing w:val="-3"/>
        </w:rPr>
        <w:t xml:space="preserve">tienen un riesgo medio, alto o extremo, para la labor de las personas, grupos, u organizaciones defensoras de </w:t>
      </w:r>
      <w:r w:rsidR="003D76A7">
        <w:rPr>
          <w:spacing w:val="-3"/>
        </w:rPr>
        <w:t>derechos humanos</w:t>
      </w:r>
      <w:r w:rsidRPr="004068F6">
        <w:rPr>
          <w:spacing w:val="-3"/>
        </w:rPr>
        <w:t xml:space="preserve"> en asuntos ambientales, de acuerdo con las alertas tempranas de la Defensoría del Pueblo, especialmente, la Alerta </w:t>
      </w:r>
      <w:r w:rsidR="00655929" w:rsidRPr="004068F6">
        <w:rPr>
          <w:spacing w:val="-3"/>
        </w:rPr>
        <w:t>t</w:t>
      </w:r>
      <w:r w:rsidRPr="004068F6">
        <w:rPr>
          <w:spacing w:val="-3"/>
        </w:rPr>
        <w:t>emprana 0</w:t>
      </w:r>
      <w:r w:rsidR="0024774B">
        <w:rPr>
          <w:spacing w:val="-3"/>
        </w:rPr>
        <w:t>19</w:t>
      </w:r>
      <w:r w:rsidRPr="004068F6">
        <w:rPr>
          <w:spacing w:val="-3"/>
        </w:rPr>
        <w:t xml:space="preserve"> de 20</w:t>
      </w:r>
      <w:r w:rsidR="0024774B">
        <w:rPr>
          <w:spacing w:val="-3"/>
        </w:rPr>
        <w:t>23</w:t>
      </w:r>
      <w:r w:rsidRPr="004068F6">
        <w:rPr>
          <w:spacing w:val="-3"/>
        </w:rPr>
        <w:t>, y las que la actualicen</w:t>
      </w:r>
      <w:r w:rsidR="00655929" w:rsidRPr="004068F6">
        <w:rPr>
          <w:spacing w:val="-3"/>
        </w:rPr>
        <w:t>.</w:t>
      </w:r>
    </w:p>
    <w:p w14:paraId="260A3897" w14:textId="77777777" w:rsidR="00161B35" w:rsidRPr="004068F6" w:rsidRDefault="00161B35" w:rsidP="00B53A37">
      <w:pPr>
        <w:numPr>
          <w:ilvl w:val="12"/>
          <w:numId w:val="0"/>
        </w:numPr>
        <w:tabs>
          <w:tab w:val="left" w:pos="-2268"/>
        </w:tabs>
        <w:suppressAutoHyphens/>
        <w:rPr>
          <w:spacing w:val="-3"/>
        </w:rPr>
      </w:pPr>
    </w:p>
    <w:p w14:paraId="2942A77E" w14:textId="48A0C2D3" w:rsidR="00482A5F" w:rsidRPr="004068F6" w:rsidRDefault="00482A5F" w:rsidP="002F5664">
      <w:pPr>
        <w:pStyle w:val="Ttulo4"/>
        <w:tabs>
          <w:tab w:val="clear" w:pos="1844"/>
          <w:tab w:val="num" w:pos="1134"/>
        </w:tabs>
        <w:ind w:left="0"/>
        <w:rPr>
          <w:lang w:val="es-CO"/>
        </w:rPr>
      </w:pPr>
      <w:bookmarkStart w:id="2991" w:name="_Ref78536093"/>
      <w:bookmarkStart w:id="2992" w:name="_Toc42764357"/>
      <w:bookmarkStart w:id="2993" w:name="_Toc393967336"/>
      <w:bookmarkStart w:id="2994" w:name="_Toc405366852"/>
      <w:bookmarkStart w:id="2995" w:name="_Toc405372399"/>
      <w:bookmarkStart w:id="2996" w:name="_Toc412803198"/>
      <w:bookmarkStart w:id="2997" w:name="_Toc414285595"/>
      <w:bookmarkStart w:id="2998" w:name="_Toc437936038"/>
      <w:r w:rsidRPr="004068F6">
        <w:rPr>
          <w:lang w:val="es-CO"/>
        </w:rPr>
        <w:t xml:space="preserve">Información sobre </w:t>
      </w:r>
      <w:r w:rsidR="0008131F" w:rsidRPr="004068F6">
        <w:rPr>
          <w:lang w:val="es-CO"/>
        </w:rPr>
        <w:t xml:space="preserve">reasentamiento involuntario de </w:t>
      </w:r>
      <w:r w:rsidRPr="004068F6">
        <w:rPr>
          <w:lang w:val="es-CO"/>
        </w:rPr>
        <w:t>población</w:t>
      </w:r>
      <w:bookmarkEnd w:id="2991"/>
      <w:bookmarkEnd w:id="2992"/>
      <w:bookmarkEnd w:id="2993"/>
      <w:bookmarkEnd w:id="2994"/>
      <w:bookmarkEnd w:id="2995"/>
    </w:p>
    <w:p w14:paraId="7D2059F2" w14:textId="77777777" w:rsidR="00482A5F" w:rsidRPr="004068F6" w:rsidRDefault="00482A5F" w:rsidP="00482A5F">
      <w:pPr>
        <w:numPr>
          <w:ilvl w:val="12"/>
          <w:numId w:val="0"/>
        </w:numPr>
        <w:tabs>
          <w:tab w:val="left" w:pos="-2268"/>
        </w:tabs>
        <w:suppressAutoHyphens/>
        <w:rPr>
          <w:rFonts w:cs="Arial"/>
          <w:spacing w:val="-3"/>
        </w:rPr>
      </w:pPr>
    </w:p>
    <w:p w14:paraId="6CA9FF39" w14:textId="1919EE59" w:rsidR="004B466F" w:rsidRPr="004068F6" w:rsidRDefault="004B466F" w:rsidP="004B466F">
      <w:pPr>
        <w:rPr>
          <w:rFonts w:cs="Arial"/>
          <w:spacing w:val="-3"/>
        </w:rPr>
      </w:pPr>
      <w:r w:rsidRPr="004068F6">
        <w:t xml:space="preserve">Si </w:t>
      </w:r>
      <w:r w:rsidRPr="004068F6">
        <w:rPr>
          <w:rFonts w:cs="Arial"/>
        </w:rPr>
        <w:t>como consecuencia</w:t>
      </w:r>
      <w:r w:rsidRPr="004068F6">
        <w:t xml:space="preserve"> del </w:t>
      </w:r>
      <w:r w:rsidRPr="004068F6">
        <w:rPr>
          <w:rFonts w:cs="Arial"/>
        </w:rPr>
        <w:t xml:space="preserve">desarrollo del </w:t>
      </w:r>
      <w:r w:rsidRPr="004068F6">
        <w:t>proyecto, obra o actividad</w:t>
      </w:r>
      <w:r w:rsidRPr="004068F6">
        <w:rPr>
          <w:rFonts w:cs="Arial"/>
        </w:rPr>
        <w:t xml:space="preserve"> se </w:t>
      </w:r>
      <w:r w:rsidRPr="004068F6">
        <w:rPr>
          <w:rFonts w:cs="Arial"/>
          <w:spacing w:val="-3"/>
        </w:rPr>
        <w:t>requieren</w:t>
      </w:r>
      <w:r w:rsidRPr="004068F6">
        <w:rPr>
          <w:rFonts w:cs="Arial"/>
        </w:rPr>
        <w:t xml:space="preserve"> procesos de reasentamiento involuntario de población</w:t>
      </w:r>
      <w:r w:rsidR="00A02529" w:rsidRPr="004068F6">
        <w:rPr>
          <w:rStyle w:val="Refdenotaalpie"/>
          <w:rFonts w:cs="Arial"/>
          <w:lang w:val="es-CO"/>
        </w:rPr>
        <w:footnoteReference w:id="179"/>
      </w:r>
      <w:r w:rsidRPr="004068F6">
        <w:rPr>
          <w:rFonts w:cs="Arial"/>
        </w:rPr>
        <w:t>, la caracterización de la población objeto de reasentamiento</w:t>
      </w:r>
      <w:r w:rsidRPr="004068F6">
        <w:t xml:space="preserve"> </w:t>
      </w:r>
      <w:r w:rsidRPr="004068F6">
        <w:rPr>
          <w:rFonts w:cs="Arial"/>
          <w:spacing w:val="-3"/>
        </w:rPr>
        <w:t>debe realizarse in situ</w:t>
      </w:r>
      <w:r w:rsidRPr="004068F6">
        <w:t xml:space="preserve"> mediante un </w:t>
      </w:r>
      <w:r w:rsidRPr="004068F6">
        <w:rPr>
          <w:rFonts w:cs="Arial"/>
        </w:rPr>
        <w:t xml:space="preserve">censo o registro, </w:t>
      </w:r>
      <w:r w:rsidRPr="004068F6">
        <w:rPr>
          <w:rFonts w:cs="Arial"/>
          <w:spacing w:val="-3"/>
        </w:rPr>
        <w:t>así como mediante estudios de caracterización complementarios, que permitan</w:t>
      </w:r>
      <w:r w:rsidR="00257555" w:rsidRPr="004068F6">
        <w:rPr>
          <w:rFonts w:cs="Arial"/>
          <w:spacing w:val="-3"/>
        </w:rPr>
        <w:t xml:space="preserve"> determinar y conocer</w:t>
      </w:r>
      <w:r w:rsidR="00FF7157" w:rsidRPr="004068F6">
        <w:rPr>
          <w:rFonts w:cs="Arial"/>
          <w:spacing w:val="-3"/>
        </w:rPr>
        <w:t xml:space="preserve"> lo siguiente</w:t>
      </w:r>
      <w:r w:rsidRPr="004068F6">
        <w:rPr>
          <w:rFonts w:cs="Arial"/>
          <w:spacing w:val="-3"/>
        </w:rPr>
        <w:t>:</w:t>
      </w:r>
    </w:p>
    <w:p w14:paraId="558A4827" w14:textId="77777777" w:rsidR="004B466F" w:rsidRPr="004068F6" w:rsidRDefault="004B466F" w:rsidP="009420F5">
      <w:pPr>
        <w:tabs>
          <w:tab w:val="left" w:pos="-2268"/>
        </w:tabs>
        <w:suppressAutoHyphens/>
        <w:contextualSpacing/>
        <w:rPr>
          <w:rFonts w:eastAsiaTheme="minorHAnsi" w:cs="Arial"/>
          <w:spacing w:val="-3"/>
        </w:rPr>
      </w:pPr>
    </w:p>
    <w:p w14:paraId="34FEF5E2" w14:textId="0F4B317A" w:rsidR="004B466F" w:rsidRPr="004068F6" w:rsidRDefault="00257555" w:rsidP="004B466F">
      <w:pPr>
        <w:pStyle w:val="Prrafodelista"/>
        <w:numPr>
          <w:ilvl w:val="0"/>
          <w:numId w:val="401"/>
        </w:numPr>
        <w:tabs>
          <w:tab w:val="left" w:pos="-2268"/>
        </w:tabs>
        <w:suppressAutoHyphens/>
        <w:ind w:left="567" w:hanging="567"/>
        <w:contextualSpacing/>
        <w:rPr>
          <w:rFonts w:eastAsiaTheme="minorHAnsi" w:cs="Arial"/>
          <w:spacing w:val="-3"/>
          <w:lang w:val="es-CO"/>
        </w:rPr>
      </w:pPr>
      <w:r w:rsidRPr="004068F6">
        <w:rPr>
          <w:rFonts w:eastAsiaTheme="minorHAnsi" w:cs="Arial"/>
          <w:spacing w:val="-3"/>
          <w:lang w:val="es-CO"/>
        </w:rPr>
        <w:t>L</w:t>
      </w:r>
      <w:r w:rsidR="004B466F" w:rsidRPr="004068F6">
        <w:rPr>
          <w:rFonts w:eastAsiaTheme="minorHAnsi" w:cs="Arial"/>
          <w:spacing w:val="-3"/>
          <w:lang w:val="es-CO"/>
        </w:rPr>
        <w:t xml:space="preserve">ocalización (georreferenciación) de los predios que serán afectados por el reasentamiento </w:t>
      </w:r>
      <w:r w:rsidR="00120F25">
        <w:rPr>
          <w:rFonts w:eastAsiaTheme="minorHAnsi" w:cs="Arial"/>
          <w:spacing w:val="-3"/>
          <w:lang w:val="es-CO"/>
        </w:rPr>
        <w:t xml:space="preserve">involuntario </w:t>
      </w:r>
      <w:r w:rsidR="004B466F" w:rsidRPr="004068F6">
        <w:rPr>
          <w:rFonts w:eastAsiaTheme="minorHAnsi" w:cs="Arial"/>
          <w:spacing w:val="-3"/>
          <w:lang w:val="es-CO"/>
        </w:rPr>
        <w:t>y las áreas susceptibles de afectación.</w:t>
      </w:r>
    </w:p>
    <w:p w14:paraId="78F9B4D1" w14:textId="77777777" w:rsidR="00707980" w:rsidRPr="004068F6" w:rsidRDefault="00707980" w:rsidP="000D6E21">
      <w:pPr>
        <w:tabs>
          <w:tab w:val="left" w:pos="-2268"/>
        </w:tabs>
        <w:suppressAutoHyphens/>
        <w:contextualSpacing/>
        <w:rPr>
          <w:rFonts w:eastAsiaTheme="minorHAnsi" w:cs="Arial"/>
          <w:spacing w:val="-3"/>
        </w:rPr>
      </w:pPr>
    </w:p>
    <w:p w14:paraId="0CDFE0B0" w14:textId="46AEBC8C" w:rsidR="00707980" w:rsidRPr="004068F6" w:rsidRDefault="00FF7157" w:rsidP="004B466F">
      <w:pPr>
        <w:pStyle w:val="Prrafodelista"/>
        <w:numPr>
          <w:ilvl w:val="0"/>
          <w:numId w:val="401"/>
        </w:numPr>
        <w:tabs>
          <w:tab w:val="left" w:pos="-2268"/>
        </w:tabs>
        <w:suppressAutoHyphens/>
        <w:ind w:left="567" w:hanging="567"/>
        <w:contextualSpacing/>
        <w:rPr>
          <w:rFonts w:eastAsiaTheme="minorHAnsi" w:cs="Arial"/>
          <w:spacing w:val="-3"/>
          <w:lang w:val="es-CO"/>
        </w:rPr>
      </w:pPr>
      <w:r w:rsidRPr="004068F6">
        <w:rPr>
          <w:rFonts w:eastAsiaTheme="minorHAnsi" w:cs="Arial"/>
          <w:spacing w:val="-3"/>
          <w:lang w:val="es-CO"/>
        </w:rPr>
        <w:t>C</w:t>
      </w:r>
      <w:r w:rsidR="00707980" w:rsidRPr="004068F6">
        <w:rPr>
          <w:rFonts w:eastAsiaTheme="minorHAnsi" w:cs="Arial"/>
          <w:spacing w:val="-3"/>
          <w:lang w:val="es-CO"/>
        </w:rPr>
        <w:t>antidad de población objeto de reasentamiento involuntario en cada unidad de análisis territorial.</w:t>
      </w:r>
    </w:p>
    <w:p w14:paraId="342BA04A" w14:textId="77777777" w:rsidR="004B466F" w:rsidRPr="004068F6" w:rsidRDefault="004B466F" w:rsidP="009420F5">
      <w:pPr>
        <w:rPr>
          <w:rFonts w:cs="Arial"/>
          <w:spacing w:val="-3"/>
        </w:rPr>
      </w:pPr>
    </w:p>
    <w:p w14:paraId="08B111C6" w14:textId="12D99C35" w:rsidR="004B466F" w:rsidRPr="004068F6" w:rsidRDefault="00FF7157" w:rsidP="004B466F">
      <w:pPr>
        <w:pStyle w:val="Prrafodelista"/>
        <w:numPr>
          <w:ilvl w:val="0"/>
          <w:numId w:val="401"/>
        </w:numPr>
        <w:tabs>
          <w:tab w:val="left" w:pos="-2268"/>
        </w:tabs>
        <w:suppressAutoHyphens/>
        <w:ind w:left="567" w:hanging="567"/>
        <w:contextualSpacing/>
        <w:rPr>
          <w:rFonts w:cs="Arial"/>
          <w:spacing w:val="-3"/>
          <w:lang w:val="es-CO"/>
        </w:rPr>
      </w:pPr>
      <w:bookmarkStart w:id="2999" w:name="_Hlk79262823"/>
      <w:r w:rsidRPr="004068F6">
        <w:rPr>
          <w:rFonts w:eastAsiaTheme="minorHAnsi" w:cs="Arial"/>
          <w:spacing w:val="-3"/>
          <w:lang w:val="es-CO"/>
        </w:rPr>
        <w:t>C</w:t>
      </w:r>
      <w:r w:rsidR="004B466F" w:rsidRPr="004068F6">
        <w:rPr>
          <w:rFonts w:eastAsiaTheme="minorHAnsi" w:cs="Arial"/>
          <w:spacing w:val="-3"/>
          <w:lang w:val="es-CO"/>
        </w:rPr>
        <w:t>aracterísticas de la población a reasentar o re</w:t>
      </w:r>
      <w:r w:rsidR="00707980" w:rsidRPr="004068F6">
        <w:rPr>
          <w:rFonts w:eastAsiaTheme="minorHAnsi" w:cs="Arial"/>
          <w:spacing w:val="-3"/>
          <w:lang w:val="es-CO"/>
        </w:rPr>
        <w:t>ubicar</w:t>
      </w:r>
      <w:r w:rsidR="004B466F" w:rsidRPr="004068F6">
        <w:rPr>
          <w:rFonts w:eastAsiaTheme="minorHAnsi" w:cs="Arial"/>
          <w:spacing w:val="-3"/>
          <w:lang w:val="es-CO"/>
        </w:rPr>
        <w:t xml:space="preserve"> a través de la recolección de información primaria (censos, registros, estudios de caracterización)</w:t>
      </w:r>
      <w:r w:rsidR="00E2184B" w:rsidRPr="004068F6">
        <w:rPr>
          <w:rFonts w:eastAsiaTheme="minorHAnsi" w:cs="Arial"/>
          <w:spacing w:val="-3"/>
          <w:lang w:val="es-CO"/>
        </w:rPr>
        <w:t>, teniendo en cuenta enfoques diferenciales para sujetos de especial protección constitucional</w:t>
      </w:r>
      <w:r w:rsidR="004B466F" w:rsidRPr="004068F6">
        <w:rPr>
          <w:rFonts w:eastAsiaTheme="minorHAnsi" w:cs="Arial"/>
          <w:spacing w:val="-3"/>
          <w:lang w:val="es-CO"/>
        </w:rPr>
        <w:t>.</w:t>
      </w:r>
      <w:bookmarkEnd w:id="2999"/>
    </w:p>
    <w:p w14:paraId="0C039912" w14:textId="77777777" w:rsidR="004B466F" w:rsidRPr="004068F6" w:rsidRDefault="004B466F" w:rsidP="009420F5">
      <w:pPr>
        <w:rPr>
          <w:rFonts w:cs="Arial"/>
          <w:spacing w:val="-3"/>
        </w:rPr>
      </w:pPr>
    </w:p>
    <w:p w14:paraId="01140D9A" w14:textId="291604A4" w:rsidR="004B466F" w:rsidRPr="004068F6" w:rsidRDefault="00FF7157" w:rsidP="004B466F">
      <w:pPr>
        <w:pStyle w:val="Prrafodelista"/>
        <w:numPr>
          <w:ilvl w:val="0"/>
          <w:numId w:val="401"/>
        </w:numPr>
        <w:tabs>
          <w:tab w:val="left" w:pos="-2268"/>
        </w:tabs>
        <w:suppressAutoHyphens/>
        <w:ind w:left="567" w:hanging="567"/>
        <w:contextualSpacing/>
        <w:rPr>
          <w:rFonts w:cs="Arial"/>
          <w:spacing w:val="-3"/>
          <w:lang w:val="es-CO"/>
        </w:rPr>
      </w:pPr>
      <w:r w:rsidRPr="004068F6">
        <w:rPr>
          <w:rFonts w:cs="Arial"/>
          <w:spacing w:val="-3"/>
          <w:lang w:val="es-CO"/>
        </w:rPr>
        <w:t>T</w:t>
      </w:r>
      <w:r w:rsidR="004B466F" w:rsidRPr="004068F6">
        <w:rPr>
          <w:rFonts w:eastAsiaTheme="minorHAnsi" w:cs="Arial"/>
          <w:spacing w:val="-3"/>
          <w:lang w:val="es-CO" w:eastAsia="en-US"/>
        </w:rPr>
        <w:t>ipo</w:t>
      </w:r>
      <w:r w:rsidR="004B466F" w:rsidRPr="004068F6">
        <w:rPr>
          <w:rFonts w:eastAsiaTheme="minorHAnsi"/>
          <w:spacing w:val="-3"/>
          <w:lang w:val="es-CO"/>
        </w:rPr>
        <w:t xml:space="preserve"> de unidades sociales (residente, productiva, mixta</w:t>
      </w:r>
      <w:r w:rsidR="004B466F" w:rsidRPr="004068F6">
        <w:rPr>
          <w:rFonts w:eastAsiaTheme="minorHAnsi" w:cs="Arial"/>
          <w:spacing w:val="-3"/>
          <w:lang w:val="es-CO" w:eastAsia="en-US"/>
        </w:rPr>
        <w:t>) y número de hogares por cada unidad social</w:t>
      </w:r>
    </w:p>
    <w:p w14:paraId="795A7A0D" w14:textId="77777777" w:rsidR="004B466F" w:rsidRPr="004068F6" w:rsidRDefault="004B466F" w:rsidP="009420F5">
      <w:pPr>
        <w:rPr>
          <w:rFonts w:cs="Arial"/>
          <w:spacing w:val="-3"/>
        </w:rPr>
      </w:pPr>
    </w:p>
    <w:p w14:paraId="1F092BE7" w14:textId="0138448D" w:rsidR="004B466F" w:rsidRPr="004068F6" w:rsidRDefault="00FF7157" w:rsidP="004B466F">
      <w:pPr>
        <w:pStyle w:val="Prrafodelista"/>
        <w:numPr>
          <w:ilvl w:val="0"/>
          <w:numId w:val="401"/>
        </w:numPr>
        <w:tabs>
          <w:tab w:val="left" w:pos="-2268"/>
        </w:tabs>
        <w:suppressAutoHyphens/>
        <w:ind w:left="567" w:hanging="567"/>
        <w:contextualSpacing/>
        <w:rPr>
          <w:rFonts w:cs="Arial"/>
          <w:spacing w:val="-3"/>
          <w:lang w:val="es-CO"/>
        </w:rPr>
      </w:pPr>
      <w:r w:rsidRPr="004068F6">
        <w:rPr>
          <w:rFonts w:cs="Arial"/>
          <w:spacing w:val="-3"/>
          <w:lang w:val="es-CO"/>
        </w:rPr>
        <w:t>C</w:t>
      </w:r>
      <w:r w:rsidR="004B466F" w:rsidRPr="004068F6">
        <w:rPr>
          <w:rFonts w:cs="Arial"/>
          <w:spacing w:val="-3"/>
          <w:lang w:val="es-CO"/>
        </w:rPr>
        <w:t>aracterísticas físicas de las viviendas y acceso a servicios públicos de las unidades sociales.</w:t>
      </w:r>
    </w:p>
    <w:p w14:paraId="3DE6006E" w14:textId="77777777" w:rsidR="004B466F" w:rsidRPr="004068F6" w:rsidRDefault="004B466F" w:rsidP="004B466F">
      <w:pPr>
        <w:numPr>
          <w:ilvl w:val="12"/>
          <w:numId w:val="0"/>
        </w:numPr>
        <w:tabs>
          <w:tab w:val="left" w:pos="-2268"/>
        </w:tabs>
        <w:suppressAutoHyphens/>
        <w:rPr>
          <w:rFonts w:cs="Arial"/>
          <w:spacing w:val="-3"/>
        </w:rPr>
      </w:pPr>
    </w:p>
    <w:p w14:paraId="3BAB48B0" w14:textId="396D3421" w:rsidR="004B466F" w:rsidRPr="004068F6" w:rsidRDefault="00FF7157" w:rsidP="004B466F">
      <w:pPr>
        <w:pStyle w:val="Prrafodelista"/>
        <w:numPr>
          <w:ilvl w:val="0"/>
          <w:numId w:val="401"/>
        </w:numPr>
        <w:tabs>
          <w:tab w:val="left" w:pos="-2268"/>
        </w:tabs>
        <w:suppressAutoHyphens/>
        <w:ind w:left="567" w:hanging="567"/>
        <w:contextualSpacing/>
        <w:rPr>
          <w:rFonts w:cs="Arial"/>
          <w:spacing w:val="-3"/>
          <w:lang w:val="es-CO"/>
        </w:rPr>
      </w:pPr>
      <w:r w:rsidRPr="004068F6">
        <w:rPr>
          <w:rFonts w:eastAsiaTheme="minorHAnsi" w:cs="Arial"/>
          <w:spacing w:val="-3"/>
          <w:lang w:val="es-CO" w:eastAsia="en-US"/>
        </w:rPr>
        <w:t>C</w:t>
      </w:r>
      <w:r w:rsidR="004B466F" w:rsidRPr="004068F6">
        <w:rPr>
          <w:rFonts w:eastAsiaTheme="minorHAnsi" w:cs="Arial"/>
          <w:spacing w:val="-3"/>
          <w:lang w:val="es-CO" w:eastAsia="en-US"/>
        </w:rPr>
        <w:t>aracterísticas de los hogares de cada unidad social.</w:t>
      </w:r>
    </w:p>
    <w:p w14:paraId="351061C7" w14:textId="77777777" w:rsidR="004B466F" w:rsidRPr="004068F6" w:rsidRDefault="004B466F" w:rsidP="004B466F">
      <w:pPr>
        <w:tabs>
          <w:tab w:val="left" w:pos="-2268"/>
        </w:tabs>
        <w:suppressAutoHyphens/>
        <w:contextualSpacing/>
        <w:rPr>
          <w:rFonts w:cs="Arial"/>
          <w:spacing w:val="-3"/>
        </w:rPr>
      </w:pPr>
    </w:p>
    <w:p w14:paraId="5083E0F7" w14:textId="23C322C7" w:rsidR="004B466F" w:rsidRPr="004068F6" w:rsidRDefault="00FF7157" w:rsidP="004B466F">
      <w:pPr>
        <w:pStyle w:val="Prrafodelista"/>
        <w:numPr>
          <w:ilvl w:val="0"/>
          <w:numId w:val="401"/>
        </w:numPr>
        <w:tabs>
          <w:tab w:val="left" w:pos="-2268"/>
        </w:tabs>
        <w:suppressAutoHyphens/>
        <w:ind w:left="567" w:hanging="567"/>
        <w:contextualSpacing/>
        <w:rPr>
          <w:rFonts w:cs="Arial"/>
          <w:spacing w:val="-3"/>
          <w:lang w:val="es-CO"/>
        </w:rPr>
      </w:pPr>
      <w:r w:rsidRPr="004068F6">
        <w:rPr>
          <w:rFonts w:cs="Arial"/>
          <w:spacing w:val="-3"/>
          <w:lang w:val="es-CO"/>
        </w:rPr>
        <w:t>C</w:t>
      </w:r>
      <w:r w:rsidR="004B466F" w:rsidRPr="004068F6">
        <w:rPr>
          <w:rFonts w:cs="Arial"/>
          <w:spacing w:val="-3"/>
          <w:lang w:val="es-CO"/>
        </w:rPr>
        <w:t>aracterísticas socioeconómicas de las personas susceptibles de reasentamiento</w:t>
      </w:r>
      <w:r w:rsidR="00120F25">
        <w:rPr>
          <w:rFonts w:cs="Arial"/>
          <w:spacing w:val="-3"/>
          <w:lang w:val="es-CO"/>
        </w:rPr>
        <w:t xml:space="preserve"> involuntario</w:t>
      </w:r>
      <w:r w:rsidR="004B466F" w:rsidRPr="004068F6">
        <w:rPr>
          <w:rFonts w:cs="Arial"/>
          <w:spacing w:val="-3"/>
          <w:lang w:val="es-CO"/>
        </w:rPr>
        <w:t>.</w:t>
      </w:r>
    </w:p>
    <w:p w14:paraId="6E5A3D1E" w14:textId="77777777" w:rsidR="004B466F" w:rsidRPr="004068F6" w:rsidRDefault="004B466F" w:rsidP="004B466F">
      <w:pPr>
        <w:tabs>
          <w:tab w:val="left" w:pos="-2268"/>
        </w:tabs>
        <w:suppressAutoHyphens/>
        <w:contextualSpacing/>
        <w:rPr>
          <w:spacing w:val="-3"/>
        </w:rPr>
      </w:pPr>
    </w:p>
    <w:p w14:paraId="16E79C7D" w14:textId="36CB8DF8" w:rsidR="004B466F" w:rsidRPr="004068F6" w:rsidRDefault="00FF7157" w:rsidP="004B466F">
      <w:pPr>
        <w:pStyle w:val="Prrafodelista"/>
        <w:numPr>
          <w:ilvl w:val="0"/>
          <w:numId w:val="401"/>
        </w:numPr>
        <w:tabs>
          <w:tab w:val="left" w:pos="-2268"/>
        </w:tabs>
        <w:suppressAutoHyphens/>
        <w:ind w:left="567" w:hanging="567"/>
        <w:contextualSpacing/>
        <w:rPr>
          <w:spacing w:val="-3"/>
          <w:lang w:val="es-CO"/>
        </w:rPr>
      </w:pPr>
      <w:r w:rsidRPr="004068F6">
        <w:rPr>
          <w:rFonts w:eastAsiaTheme="minorHAnsi"/>
          <w:spacing w:val="-3"/>
          <w:lang w:val="es-CO"/>
        </w:rPr>
        <w:t>P</w:t>
      </w:r>
      <w:r w:rsidR="004B466F" w:rsidRPr="004068F6">
        <w:rPr>
          <w:rFonts w:eastAsiaTheme="minorHAnsi"/>
          <w:spacing w:val="-3"/>
          <w:lang w:val="es-CO"/>
        </w:rPr>
        <w:t>ermanencia o tiempo vivido en los predios y en el área</w:t>
      </w:r>
      <w:r w:rsidR="004B466F" w:rsidRPr="004068F6">
        <w:rPr>
          <w:rFonts w:eastAsiaTheme="minorHAnsi" w:cs="Arial"/>
          <w:spacing w:val="-3"/>
          <w:lang w:val="es-CO" w:eastAsia="en-US"/>
        </w:rPr>
        <w:t>,</w:t>
      </w:r>
      <w:r w:rsidR="004B466F" w:rsidRPr="004068F6">
        <w:rPr>
          <w:rFonts w:eastAsiaTheme="minorHAnsi"/>
          <w:spacing w:val="-3"/>
          <w:lang w:val="es-CO"/>
        </w:rPr>
        <w:t xml:space="preserve"> y situaciones anteriores de desplazamiento, de ser el caso.</w:t>
      </w:r>
    </w:p>
    <w:p w14:paraId="4E6B3329" w14:textId="77777777" w:rsidR="004B466F" w:rsidRPr="004068F6" w:rsidRDefault="004B466F" w:rsidP="004B466F">
      <w:pPr>
        <w:tabs>
          <w:tab w:val="left" w:pos="-2268"/>
        </w:tabs>
        <w:suppressAutoHyphens/>
        <w:contextualSpacing/>
        <w:rPr>
          <w:spacing w:val="-3"/>
        </w:rPr>
      </w:pPr>
    </w:p>
    <w:p w14:paraId="01969E3D" w14:textId="655CF52A" w:rsidR="004B466F" w:rsidRPr="004068F6" w:rsidRDefault="00FF7157" w:rsidP="004B466F">
      <w:pPr>
        <w:pStyle w:val="Prrafodelista"/>
        <w:numPr>
          <w:ilvl w:val="0"/>
          <w:numId w:val="401"/>
        </w:numPr>
        <w:tabs>
          <w:tab w:val="left" w:pos="-2268"/>
        </w:tabs>
        <w:suppressAutoHyphens/>
        <w:ind w:left="567" w:hanging="567"/>
        <w:contextualSpacing/>
        <w:rPr>
          <w:spacing w:val="-3"/>
          <w:lang w:val="es-CO"/>
        </w:rPr>
      </w:pPr>
      <w:r w:rsidRPr="004068F6">
        <w:rPr>
          <w:rFonts w:eastAsiaTheme="minorHAnsi"/>
          <w:spacing w:val="-3"/>
          <w:lang w:val="es-CO"/>
        </w:rPr>
        <w:t>F</w:t>
      </w:r>
      <w:r w:rsidR="004B466F" w:rsidRPr="004068F6">
        <w:rPr>
          <w:rFonts w:eastAsiaTheme="minorHAnsi"/>
          <w:spacing w:val="-3"/>
          <w:lang w:val="es-CO"/>
        </w:rPr>
        <w:t>orma de tenencia de los inmuebles</w:t>
      </w:r>
      <w:r w:rsidR="004B466F" w:rsidRPr="004068F6">
        <w:rPr>
          <w:rFonts w:cs="Arial"/>
          <w:spacing w:val="-3"/>
          <w:lang w:val="es-CO"/>
        </w:rPr>
        <w:t>.</w:t>
      </w:r>
    </w:p>
    <w:p w14:paraId="0A4144AF" w14:textId="77777777" w:rsidR="004B466F" w:rsidRPr="004068F6" w:rsidRDefault="004B466F" w:rsidP="004B466F">
      <w:pPr>
        <w:tabs>
          <w:tab w:val="left" w:pos="-2268"/>
        </w:tabs>
        <w:suppressAutoHyphens/>
        <w:contextualSpacing/>
        <w:rPr>
          <w:spacing w:val="-3"/>
        </w:rPr>
      </w:pPr>
    </w:p>
    <w:p w14:paraId="04F49BBC" w14:textId="4AFE77A4" w:rsidR="004B466F" w:rsidRPr="004068F6" w:rsidRDefault="00FF7157" w:rsidP="004B466F">
      <w:pPr>
        <w:pStyle w:val="Prrafodelista"/>
        <w:numPr>
          <w:ilvl w:val="0"/>
          <w:numId w:val="401"/>
        </w:numPr>
        <w:tabs>
          <w:tab w:val="left" w:pos="-2268"/>
        </w:tabs>
        <w:suppressAutoHyphens/>
        <w:ind w:left="567" w:hanging="567"/>
        <w:contextualSpacing/>
        <w:rPr>
          <w:spacing w:val="-3"/>
          <w:lang w:val="es-CO"/>
        </w:rPr>
      </w:pPr>
      <w:r w:rsidRPr="004068F6">
        <w:rPr>
          <w:spacing w:val="-3"/>
          <w:lang w:val="es-CO"/>
        </w:rPr>
        <w:t>E</w:t>
      </w:r>
      <w:r w:rsidR="004B466F" w:rsidRPr="004068F6">
        <w:rPr>
          <w:spacing w:val="-3"/>
          <w:lang w:val="es-CO"/>
        </w:rPr>
        <w:t xml:space="preserve">xistencia de unidades sociales con factores de vulnerabilidad social, tales como discapacidad, enfermedades terminales, senectud </w:t>
      </w:r>
      <w:r w:rsidR="004B466F" w:rsidRPr="004068F6">
        <w:rPr>
          <w:rFonts w:cs="Arial"/>
          <w:spacing w:val="-3"/>
          <w:lang w:val="es-CO"/>
        </w:rPr>
        <w:t xml:space="preserve">(vejez), necesidades básicas insatisfechas, </w:t>
      </w:r>
      <w:r w:rsidR="004B466F" w:rsidRPr="004068F6">
        <w:rPr>
          <w:rFonts w:cs="Arial"/>
          <w:spacing w:val="-3"/>
          <w:lang w:val="es-CO" w:eastAsia="en-US"/>
        </w:rPr>
        <w:t>mujeres cabeza de hogar</w:t>
      </w:r>
      <w:r w:rsidR="004B466F" w:rsidRPr="004068F6">
        <w:rPr>
          <w:spacing w:val="-3"/>
          <w:lang w:val="es-CO"/>
        </w:rPr>
        <w:t>.</w:t>
      </w:r>
    </w:p>
    <w:p w14:paraId="37073614" w14:textId="77777777" w:rsidR="004B466F" w:rsidRPr="004068F6" w:rsidRDefault="004B466F" w:rsidP="004B466F">
      <w:pPr>
        <w:tabs>
          <w:tab w:val="left" w:pos="-2268"/>
        </w:tabs>
        <w:suppressAutoHyphens/>
        <w:contextualSpacing/>
        <w:rPr>
          <w:spacing w:val="-3"/>
        </w:rPr>
      </w:pPr>
    </w:p>
    <w:p w14:paraId="2AB276FE" w14:textId="0EFFBD3E" w:rsidR="004B466F" w:rsidRPr="004068F6" w:rsidRDefault="00FF7157" w:rsidP="004B466F">
      <w:pPr>
        <w:pStyle w:val="Prrafodelista"/>
        <w:numPr>
          <w:ilvl w:val="0"/>
          <w:numId w:val="401"/>
        </w:numPr>
        <w:tabs>
          <w:tab w:val="left" w:pos="-2268"/>
        </w:tabs>
        <w:suppressAutoHyphens/>
        <w:ind w:left="567" w:hanging="567"/>
        <w:contextualSpacing/>
        <w:rPr>
          <w:spacing w:val="-3"/>
          <w:lang w:val="es-CO"/>
        </w:rPr>
      </w:pPr>
      <w:r w:rsidRPr="004068F6">
        <w:rPr>
          <w:rFonts w:eastAsiaTheme="minorHAnsi"/>
          <w:spacing w:val="-3"/>
          <w:lang w:val="es-CO"/>
        </w:rPr>
        <w:t>A</w:t>
      </w:r>
      <w:r w:rsidR="004B466F" w:rsidRPr="004068F6">
        <w:rPr>
          <w:rFonts w:eastAsiaTheme="minorHAnsi"/>
          <w:spacing w:val="-3"/>
          <w:lang w:val="es-CO"/>
        </w:rPr>
        <w:t>ctividades económicas</w:t>
      </w:r>
      <w:r w:rsidR="004B466F" w:rsidRPr="004068F6">
        <w:rPr>
          <w:rFonts w:eastAsiaTheme="minorHAnsi" w:cs="Arial"/>
          <w:spacing w:val="-3"/>
          <w:lang w:val="es-CO" w:eastAsia="en-US"/>
        </w:rPr>
        <w:t xml:space="preserve"> (industria, comercio, servicios, agricultura, ganadería, renta, entre otras) de </w:t>
      </w:r>
      <w:r w:rsidR="004B466F" w:rsidRPr="004068F6">
        <w:rPr>
          <w:rFonts w:eastAsiaTheme="minorHAnsi"/>
          <w:spacing w:val="-3"/>
          <w:lang w:val="es-CO"/>
        </w:rPr>
        <w:t xml:space="preserve">las </w:t>
      </w:r>
      <w:r w:rsidR="004B466F" w:rsidRPr="004068F6">
        <w:rPr>
          <w:rFonts w:eastAsiaTheme="minorHAnsi" w:cs="Arial"/>
          <w:spacing w:val="-3"/>
          <w:lang w:val="es-CO" w:eastAsia="en-US"/>
        </w:rPr>
        <w:t xml:space="preserve">unidades sociales productivas o mixtas, realizando una descripción de </w:t>
      </w:r>
      <w:r w:rsidR="008740E1" w:rsidRPr="004068F6">
        <w:rPr>
          <w:rFonts w:eastAsiaTheme="minorHAnsi" w:cs="Arial"/>
          <w:spacing w:val="-3"/>
          <w:lang w:val="es-CO" w:eastAsia="en-US"/>
        </w:rPr>
        <w:t>éstas</w:t>
      </w:r>
      <w:r w:rsidR="004B466F" w:rsidRPr="004068F6">
        <w:rPr>
          <w:rFonts w:eastAsiaTheme="minorHAnsi" w:cs="Arial"/>
          <w:spacing w:val="-3"/>
          <w:lang w:val="es-CO" w:eastAsia="en-US"/>
        </w:rPr>
        <w:t>.</w:t>
      </w:r>
    </w:p>
    <w:p w14:paraId="1B8BC8B7" w14:textId="77777777" w:rsidR="004B466F" w:rsidRPr="004068F6" w:rsidRDefault="004B466F" w:rsidP="004B466F">
      <w:pPr>
        <w:tabs>
          <w:tab w:val="left" w:pos="-2268"/>
        </w:tabs>
        <w:suppressAutoHyphens/>
        <w:contextualSpacing/>
        <w:rPr>
          <w:spacing w:val="-3"/>
        </w:rPr>
      </w:pPr>
    </w:p>
    <w:p w14:paraId="5C9FD12C" w14:textId="516DF601" w:rsidR="004B466F" w:rsidRPr="004068F6" w:rsidRDefault="00FF7157" w:rsidP="004B466F">
      <w:pPr>
        <w:pStyle w:val="Prrafodelista"/>
        <w:numPr>
          <w:ilvl w:val="0"/>
          <w:numId w:val="401"/>
        </w:numPr>
        <w:tabs>
          <w:tab w:val="left" w:pos="-2268"/>
        </w:tabs>
        <w:suppressAutoHyphens/>
        <w:ind w:left="567" w:hanging="567"/>
        <w:contextualSpacing/>
        <w:rPr>
          <w:rFonts w:cs="Arial"/>
          <w:spacing w:val="-3"/>
          <w:lang w:val="es-CO"/>
        </w:rPr>
      </w:pPr>
      <w:r w:rsidRPr="004068F6">
        <w:rPr>
          <w:rFonts w:eastAsiaTheme="minorHAnsi" w:cs="Arial"/>
          <w:spacing w:val="-3"/>
          <w:lang w:val="es-CO" w:eastAsia="en-US"/>
        </w:rPr>
        <w:t>A</w:t>
      </w:r>
      <w:r w:rsidR="004B466F" w:rsidRPr="004068F6">
        <w:rPr>
          <w:rFonts w:eastAsiaTheme="minorHAnsi" w:cs="Arial"/>
          <w:spacing w:val="-3"/>
          <w:lang w:val="es-CO" w:eastAsia="en-US"/>
        </w:rPr>
        <w:t>ctividades económicas predominantes en el entorno e ingresos económicos promedio por unidad social.</w:t>
      </w:r>
    </w:p>
    <w:p w14:paraId="7A2863C4" w14:textId="77777777" w:rsidR="004B466F" w:rsidRPr="004068F6" w:rsidRDefault="004B466F" w:rsidP="004B466F">
      <w:pPr>
        <w:tabs>
          <w:tab w:val="left" w:pos="-2268"/>
        </w:tabs>
        <w:suppressAutoHyphens/>
        <w:contextualSpacing/>
        <w:rPr>
          <w:rFonts w:cs="Arial"/>
          <w:spacing w:val="-3"/>
        </w:rPr>
      </w:pPr>
    </w:p>
    <w:p w14:paraId="700CE11F" w14:textId="37AD9523" w:rsidR="00FF7157" w:rsidRPr="004068F6" w:rsidRDefault="00FF7157" w:rsidP="000D6E21">
      <w:pPr>
        <w:pStyle w:val="Prrafodelista"/>
        <w:numPr>
          <w:ilvl w:val="0"/>
          <w:numId w:val="401"/>
        </w:numPr>
        <w:tabs>
          <w:tab w:val="left" w:pos="-2268"/>
        </w:tabs>
        <w:suppressAutoHyphens/>
        <w:ind w:left="567" w:hanging="567"/>
        <w:contextualSpacing/>
        <w:rPr>
          <w:rFonts w:eastAsiaTheme="minorHAnsi" w:cs="Arial"/>
          <w:spacing w:val="-3"/>
          <w:lang w:val="es-CO" w:eastAsia="en-US"/>
        </w:rPr>
      </w:pPr>
      <w:r w:rsidRPr="004068F6">
        <w:rPr>
          <w:rFonts w:eastAsiaTheme="minorHAnsi" w:cs="Arial"/>
          <w:spacing w:val="-3"/>
          <w:lang w:val="es-CO" w:eastAsia="en-US"/>
        </w:rPr>
        <w:t xml:space="preserve">Cantidad de animales domésticos que deben ser reubicados. </w:t>
      </w:r>
    </w:p>
    <w:p w14:paraId="3DA7AC85" w14:textId="77777777" w:rsidR="00FF7157" w:rsidRPr="004068F6" w:rsidRDefault="00FF7157" w:rsidP="000D6E21">
      <w:pPr>
        <w:rPr>
          <w:rFonts w:eastAsiaTheme="minorHAnsi"/>
          <w:spacing w:val="-3"/>
        </w:rPr>
      </w:pPr>
    </w:p>
    <w:p w14:paraId="7A884DC9" w14:textId="04012B3B" w:rsidR="004B466F" w:rsidRPr="004068F6" w:rsidRDefault="00FF7157" w:rsidP="004B466F">
      <w:pPr>
        <w:pStyle w:val="Prrafodelista"/>
        <w:numPr>
          <w:ilvl w:val="0"/>
          <w:numId w:val="401"/>
        </w:numPr>
        <w:tabs>
          <w:tab w:val="left" w:pos="-2268"/>
        </w:tabs>
        <w:suppressAutoHyphens/>
        <w:ind w:left="567" w:hanging="567"/>
        <w:contextualSpacing/>
        <w:rPr>
          <w:spacing w:val="-3"/>
          <w:lang w:val="es-CO"/>
        </w:rPr>
      </w:pPr>
      <w:r w:rsidRPr="004068F6">
        <w:rPr>
          <w:rFonts w:eastAsiaTheme="minorHAnsi"/>
          <w:spacing w:val="-3"/>
          <w:lang w:val="es-CO"/>
        </w:rPr>
        <w:t>G</w:t>
      </w:r>
      <w:r w:rsidR="004B466F" w:rsidRPr="004068F6">
        <w:rPr>
          <w:rFonts w:eastAsiaTheme="minorHAnsi"/>
          <w:spacing w:val="-3"/>
          <w:lang w:val="es-CO"/>
        </w:rPr>
        <w:t>rado de dependencia frente a los recursos naturales dispuestos en los predios o en la zona.</w:t>
      </w:r>
    </w:p>
    <w:p w14:paraId="5A1D1453" w14:textId="77777777" w:rsidR="004B466F" w:rsidRPr="004068F6" w:rsidRDefault="004B466F" w:rsidP="004B466F">
      <w:pPr>
        <w:tabs>
          <w:tab w:val="left" w:pos="-2268"/>
        </w:tabs>
        <w:suppressAutoHyphens/>
        <w:contextualSpacing/>
        <w:rPr>
          <w:spacing w:val="-3"/>
        </w:rPr>
      </w:pPr>
    </w:p>
    <w:p w14:paraId="28A19B2E" w14:textId="3C39CC06" w:rsidR="004B466F" w:rsidRPr="004068F6" w:rsidRDefault="00FF7157" w:rsidP="00626B20">
      <w:pPr>
        <w:pStyle w:val="Prrafodelista"/>
        <w:numPr>
          <w:ilvl w:val="0"/>
          <w:numId w:val="401"/>
        </w:numPr>
        <w:tabs>
          <w:tab w:val="left" w:pos="-2268"/>
        </w:tabs>
        <w:suppressAutoHyphens/>
        <w:ind w:left="567" w:hanging="567"/>
        <w:contextualSpacing/>
        <w:rPr>
          <w:rFonts w:cs="Arial"/>
          <w:spacing w:val="-3"/>
          <w:lang w:val="es-CO"/>
        </w:rPr>
      </w:pPr>
      <w:r w:rsidRPr="004068F6">
        <w:rPr>
          <w:rFonts w:eastAsiaTheme="minorHAnsi"/>
          <w:spacing w:val="-3"/>
          <w:lang w:val="es-CO"/>
        </w:rPr>
        <w:t>C</w:t>
      </w:r>
      <w:r w:rsidR="004B466F" w:rsidRPr="004068F6">
        <w:rPr>
          <w:rFonts w:eastAsiaTheme="minorHAnsi"/>
          <w:spacing w:val="-3"/>
          <w:lang w:val="es-CO"/>
        </w:rPr>
        <w:t>aracterísticas generales de las unidades sociales e infraestructura comunitaria asociada</w:t>
      </w:r>
      <w:r w:rsidRPr="004068F6">
        <w:rPr>
          <w:rFonts w:eastAsiaTheme="minorHAnsi"/>
          <w:spacing w:val="-3"/>
          <w:lang w:val="es-CO"/>
        </w:rPr>
        <w:t xml:space="preserve"> susceptible de afectación, daño o reubicación</w:t>
      </w:r>
      <w:r w:rsidR="004B466F" w:rsidRPr="004068F6">
        <w:rPr>
          <w:rFonts w:cs="Arial"/>
          <w:spacing w:val="-3"/>
          <w:lang w:val="es-CO" w:eastAsia="en-US"/>
        </w:rPr>
        <w:t>.</w:t>
      </w:r>
    </w:p>
    <w:p w14:paraId="5ACB042F" w14:textId="77777777" w:rsidR="004B466F" w:rsidRPr="004068F6" w:rsidRDefault="004B466F" w:rsidP="004B466F">
      <w:pPr>
        <w:tabs>
          <w:tab w:val="left" w:pos="-2268"/>
        </w:tabs>
        <w:suppressAutoHyphens/>
        <w:contextualSpacing/>
        <w:rPr>
          <w:rFonts w:cs="Arial"/>
          <w:spacing w:val="-3"/>
        </w:rPr>
      </w:pPr>
    </w:p>
    <w:p w14:paraId="396C5C10" w14:textId="2363F3A9" w:rsidR="004B466F" w:rsidRPr="004068F6" w:rsidRDefault="00FF7157" w:rsidP="004B466F">
      <w:pPr>
        <w:pStyle w:val="Prrafodelista"/>
        <w:numPr>
          <w:ilvl w:val="0"/>
          <w:numId w:val="401"/>
        </w:numPr>
        <w:tabs>
          <w:tab w:val="left" w:pos="-2268"/>
        </w:tabs>
        <w:suppressAutoHyphens/>
        <w:ind w:left="567" w:hanging="567"/>
        <w:contextualSpacing/>
        <w:rPr>
          <w:spacing w:val="-3"/>
          <w:lang w:val="es-CO"/>
        </w:rPr>
      </w:pPr>
      <w:r w:rsidRPr="004068F6">
        <w:rPr>
          <w:spacing w:val="-3"/>
          <w:lang w:val="es-CO"/>
        </w:rPr>
        <w:t>E</w:t>
      </w:r>
      <w:r w:rsidR="004B466F" w:rsidRPr="004068F6">
        <w:rPr>
          <w:spacing w:val="-3"/>
          <w:lang w:val="es-CO"/>
        </w:rPr>
        <w:t>xistencia de organizaciones sociales en la zona en la que están ubicadas las unidades sociales a reasentar y niveles de participación de la población.</w:t>
      </w:r>
    </w:p>
    <w:p w14:paraId="0D149540" w14:textId="77777777" w:rsidR="004B466F" w:rsidRPr="004068F6" w:rsidRDefault="004B466F" w:rsidP="004B466F">
      <w:pPr>
        <w:tabs>
          <w:tab w:val="left" w:pos="-2268"/>
        </w:tabs>
        <w:suppressAutoHyphens/>
        <w:contextualSpacing/>
        <w:rPr>
          <w:spacing w:val="-3"/>
        </w:rPr>
      </w:pPr>
    </w:p>
    <w:p w14:paraId="69AE7E02" w14:textId="02803F1D" w:rsidR="004B466F" w:rsidRPr="004068F6" w:rsidRDefault="00FF7157" w:rsidP="004B466F">
      <w:pPr>
        <w:numPr>
          <w:ilvl w:val="0"/>
          <w:numId w:val="401"/>
        </w:numPr>
        <w:tabs>
          <w:tab w:val="left" w:pos="-2268"/>
        </w:tabs>
        <w:suppressAutoHyphens/>
        <w:overflowPunct/>
        <w:autoSpaceDE/>
        <w:autoSpaceDN/>
        <w:adjustRightInd/>
        <w:ind w:left="567" w:hanging="567"/>
        <w:contextualSpacing/>
        <w:textAlignment w:val="auto"/>
        <w:rPr>
          <w:spacing w:val="-3"/>
        </w:rPr>
      </w:pPr>
      <w:r w:rsidRPr="004068F6">
        <w:rPr>
          <w:spacing w:val="-3"/>
        </w:rPr>
        <w:t>P</w:t>
      </w:r>
      <w:r w:rsidR="004B466F" w:rsidRPr="004068F6">
        <w:rPr>
          <w:spacing w:val="-3"/>
        </w:rPr>
        <w:t xml:space="preserve">rogramas o servicios sociales de los que la unidad social y sus integrantes son beneficiarios, señalando si el </w:t>
      </w:r>
      <w:r w:rsidR="004B466F" w:rsidRPr="004068F6">
        <w:rPr>
          <w:rFonts w:cs="Arial"/>
          <w:spacing w:val="-3"/>
          <w:lang w:eastAsia="en-US"/>
        </w:rPr>
        <w:t>reasentamiento</w:t>
      </w:r>
      <w:r w:rsidR="004B466F" w:rsidRPr="004068F6">
        <w:rPr>
          <w:spacing w:val="-3"/>
        </w:rPr>
        <w:t xml:space="preserve"> involuntario puede afectar la vinculación a los mismos.</w:t>
      </w:r>
    </w:p>
    <w:p w14:paraId="6624F0AF" w14:textId="77777777" w:rsidR="004B466F" w:rsidRPr="004068F6" w:rsidRDefault="004B466F" w:rsidP="004B466F">
      <w:pPr>
        <w:tabs>
          <w:tab w:val="left" w:pos="-2268"/>
        </w:tabs>
        <w:suppressAutoHyphens/>
        <w:overflowPunct/>
        <w:autoSpaceDE/>
        <w:autoSpaceDN/>
        <w:adjustRightInd/>
        <w:contextualSpacing/>
        <w:textAlignment w:val="auto"/>
        <w:rPr>
          <w:spacing w:val="-3"/>
        </w:rPr>
      </w:pPr>
    </w:p>
    <w:p w14:paraId="3232613C" w14:textId="1C412E87" w:rsidR="004B466F" w:rsidRPr="004068F6" w:rsidRDefault="00FF7157" w:rsidP="004B466F">
      <w:pPr>
        <w:numPr>
          <w:ilvl w:val="0"/>
          <w:numId w:val="401"/>
        </w:numPr>
        <w:tabs>
          <w:tab w:val="left" w:pos="-2268"/>
        </w:tabs>
        <w:suppressAutoHyphens/>
        <w:overflowPunct/>
        <w:autoSpaceDE/>
        <w:autoSpaceDN/>
        <w:adjustRightInd/>
        <w:ind w:left="567" w:hanging="567"/>
        <w:contextualSpacing/>
        <w:textAlignment w:val="auto"/>
        <w:rPr>
          <w:spacing w:val="-3"/>
        </w:rPr>
      </w:pPr>
      <w:r w:rsidRPr="004068F6">
        <w:rPr>
          <w:spacing w:val="-3"/>
        </w:rPr>
        <w:t>P</w:t>
      </w:r>
      <w:r w:rsidR="004B466F" w:rsidRPr="004068F6">
        <w:rPr>
          <w:spacing w:val="-3"/>
        </w:rPr>
        <w:t>atrimonio cultural inmaterial, señalando prácticas sociales, culturales, tradiciones estéticas y modos de conocimiento perpetuados en el seno de la comunidad.</w:t>
      </w:r>
    </w:p>
    <w:p w14:paraId="7D879708" w14:textId="77777777" w:rsidR="00FF7157" w:rsidRPr="004068F6" w:rsidRDefault="00FF7157" w:rsidP="000D6E21">
      <w:pPr>
        <w:tabs>
          <w:tab w:val="left" w:pos="-2268"/>
        </w:tabs>
        <w:suppressAutoHyphens/>
        <w:overflowPunct/>
        <w:autoSpaceDE/>
        <w:autoSpaceDN/>
        <w:adjustRightInd/>
        <w:contextualSpacing/>
        <w:textAlignment w:val="auto"/>
        <w:rPr>
          <w:spacing w:val="-3"/>
        </w:rPr>
      </w:pPr>
    </w:p>
    <w:p w14:paraId="6272F2E1" w14:textId="5B032F19" w:rsidR="00FF7157" w:rsidRPr="004068F6" w:rsidRDefault="00FF7157" w:rsidP="00FF7157">
      <w:pPr>
        <w:numPr>
          <w:ilvl w:val="0"/>
          <w:numId w:val="401"/>
        </w:numPr>
        <w:tabs>
          <w:tab w:val="left" w:pos="-2268"/>
        </w:tabs>
        <w:suppressAutoHyphens/>
        <w:overflowPunct/>
        <w:autoSpaceDE/>
        <w:autoSpaceDN/>
        <w:adjustRightInd/>
        <w:ind w:left="567" w:hanging="567"/>
        <w:contextualSpacing/>
        <w:textAlignment w:val="auto"/>
        <w:rPr>
          <w:spacing w:val="-3"/>
        </w:rPr>
      </w:pPr>
      <w:r w:rsidRPr="004068F6">
        <w:rPr>
          <w:spacing w:val="-3"/>
        </w:rPr>
        <w:t>Sitios sagrados, centros religiosos y lugares con importancia para la memoria histórica susceptibles de afectación, daño o desaparición.</w:t>
      </w:r>
    </w:p>
    <w:p w14:paraId="51C917B5" w14:textId="77777777" w:rsidR="004B466F" w:rsidRPr="004068F6" w:rsidRDefault="004B466F" w:rsidP="004B466F">
      <w:pPr>
        <w:tabs>
          <w:tab w:val="left" w:pos="-2268"/>
        </w:tabs>
        <w:suppressAutoHyphens/>
        <w:overflowPunct/>
        <w:autoSpaceDE/>
        <w:autoSpaceDN/>
        <w:adjustRightInd/>
        <w:contextualSpacing/>
        <w:textAlignment w:val="auto"/>
        <w:rPr>
          <w:spacing w:val="-3"/>
        </w:rPr>
      </w:pPr>
    </w:p>
    <w:p w14:paraId="2A9F5D96" w14:textId="764BE0D1" w:rsidR="004B466F" w:rsidRPr="004068F6" w:rsidRDefault="00FF7157" w:rsidP="004B466F">
      <w:pPr>
        <w:numPr>
          <w:ilvl w:val="0"/>
          <w:numId w:val="401"/>
        </w:numPr>
        <w:tabs>
          <w:tab w:val="left" w:pos="-2268"/>
        </w:tabs>
        <w:suppressAutoHyphens/>
        <w:overflowPunct/>
        <w:autoSpaceDE/>
        <w:autoSpaceDN/>
        <w:adjustRightInd/>
        <w:ind w:left="567" w:hanging="567"/>
        <w:contextualSpacing/>
        <w:textAlignment w:val="auto"/>
        <w:rPr>
          <w:spacing w:val="-3"/>
        </w:rPr>
      </w:pPr>
      <w:r w:rsidRPr="004068F6">
        <w:rPr>
          <w:rFonts w:cs="Arial"/>
          <w:spacing w:val="-3"/>
          <w:lang w:eastAsia="en-US"/>
        </w:rPr>
        <w:lastRenderedPageBreak/>
        <w:t>E</w:t>
      </w:r>
      <w:r w:rsidR="004B466F" w:rsidRPr="004068F6">
        <w:rPr>
          <w:rFonts w:cs="Arial"/>
          <w:spacing w:val="-3"/>
          <w:lang w:eastAsia="en-US"/>
        </w:rPr>
        <w:t xml:space="preserve">structura social, entendida como la forma que adopta el sistema de relaciones entre individuos de una sociedad o grupo, involucrando como mínimo el </w:t>
      </w:r>
      <w:r w:rsidR="004B466F" w:rsidRPr="004068F6">
        <w:rPr>
          <w:spacing w:val="-3"/>
        </w:rPr>
        <w:t>grado de cohesión entre los vecinos, grado de participación, existencia de redes sociales de apoyo</w:t>
      </w:r>
      <w:r w:rsidR="004B466F" w:rsidRPr="004068F6">
        <w:rPr>
          <w:rFonts w:cs="Arial"/>
          <w:spacing w:val="-3"/>
          <w:lang w:eastAsia="en-US"/>
        </w:rPr>
        <w:t xml:space="preserve"> de parentesco, vecindad, compadrazgo</w:t>
      </w:r>
      <w:r w:rsidR="004B466F" w:rsidRPr="004068F6">
        <w:rPr>
          <w:rFonts w:cs="Arial"/>
          <w:spacing w:val="-3"/>
        </w:rPr>
        <w:t xml:space="preserve">; </w:t>
      </w:r>
    </w:p>
    <w:p w14:paraId="3ED60D5F" w14:textId="77777777" w:rsidR="004B466F" w:rsidRPr="004068F6" w:rsidRDefault="004B466F" w:rsidP="009420F5">
      <w:pPr>
        <w:rPr>
          <w:rFonts w:cs="Arial"/>
          <w:spacing w:val="-3"/>
        </w:rPr>
      </w:pPr>
    </w:p>
    <w:p w14:paraId="34CBD319" w14:textId="15670102" w:rsidR="004B466F" w:rsidRPr="004068F6" w:rsidRDefault="00FF7157" w:rsidP="004B466F">
      <w:pPr>
        <w:numPr>
          <w:ilvl w:val="0"/>
          <w:numId w:val="401"/>
        </w:numPr>
        <w:tabs>
          <w:tab w:val="left" w:pos="-2268"/>
        </w:tabs>
        <w:suppressAutoHyphens/>
        <w:overflowPunct/>
        <w:autoSpaceDE/>
        <w:autoSpaceDN/>
        <w:adjustRightInd/>
        <w:ind w:left="567" w:hanging="567"/>
        <w:contextualSpacing/>
        <w:textAlignment w:val="auto"/>
        <w:rPr>
          <w:spacing w:val="-3"/>
        </w:rPr>
      </w:pPr>
      <w:r w:rsidRPr="004068F6">
        <w:rPr>
          <w:rFonts w:cs="Arial"/>
          <w:spacing w:val="-3"/>
        </w:rPr>
        <w:t>R</w:t>
      </w:r>
      <w:r w:rsidR="004B466F" w:rsidRPr="004068F6">
        <w:rPr>
          <w:color w:val="000000"/>
        </w:rPr>
        <w:t>edes culturales presentes en el territorio que pueden alterarse por la ejecución del proyecto, obra o actividad</w:t>
      </w:r>
      <w:r w:rsidR="004B466F" w:rsidRPr="004068F6">
        <w:rPr>
          <w:spacing w:val="-3"/>
        </w:rPr>
        <w:t>.</w:t>
      </w:r>
    </w:p>
    <w:p w14:paraId="0A6E3AE8" w14:textId="77777777" w:rsidR="004B466F" w:rsidRPr="004068F6" w:rsidRDefault="004B466F" w:rsidP="004B466F">
      <w:pPr>
        <w:tabs>
          <w:tab w:val="left" w:pos="-2268"/>
        </w:tabs>
        <w:suppressAutoHyphens/>
        <w:overflowPunct/>
        <w:autoSpaceDE/>
        <w:autoSpaceDN/>
        <w:adjustRightInd/>
        <w:contextualSpacing/>
        <w:textAlignment w:val="auto"/>
        <w:rPr>
          <w:spacing w:val="-3"/>
        </w:rPr>
      </w:pPr>
    </w:p>
    <w:p w14:paraId="41D67B12" w14:textId="4D265558" w:rsidR="004B466F" w:rsidRPr="004068F6" w:rsidRDefault="00FF7157" w:rsidP="004B466F">
      <w:pPr>
        <w:numPr>
          <w:ilvl w:val="0"/>
          <w:numId w:val="401"/>
        </w:numPr>
        <w:tabs>
          <w:tab w:val="left" w:pos="-2268"/>
        </w:tabs>
        <w:suppressAutoHyphens/>
        <w:overflowPunct/>
        <w:autoSpaceDE/>
        <w:autoSpaceDN/>
        <w:adjustRightInd/>
        <w:ind w:left="567" w:hanging="567"/>
        <w:contextualSpacing/>
        <w:textAlignment w:val="auto"/>
        <w:rPr>
          <w:spacing w:val="-3"/>
        </w:rPr>
      </w:pPr>
      <w:r w:rsidRPr="004068F6">
        <w:rPr>
          <w:spacing w:val="-3"/>
        </w:rPr>
        <w:t>C</w:t>
      </w:r>
      <w:r w:rsidR="004B466F" w:rsidRPr="004068F6">
        <w:rPr>
          <w:spacing w:val="-3"/>
        </w:rPr>
        <w:t>aracterísticas de la población que continuará residiendo en el lugar y de las redes socioeconómicas existentes entre las personas que se quedan y la población objeto de reasentamiento</w:t>
      </w:r>
      <w:r w:rsidR="00446B25">
        <w:rPr>
          <w:spacing w:val="-3"/>
        </w:rPr>
        <w:t xml:space="preserve"> involuntario</w:t>
      </w:r>
      <w:r w:rsidR="004B466F" w:rsidRPr="004068F6">
        <w:rPr>
          <w:spacing w:val="-3"/>
        </w:rPr>
        <w:t>.</w:t>
      </w:r>
    </w:p>
    <w:p w14:paraId="5C3C427F" w14:textId="77777777" w:rsidR="004B466F" w:rsidRPr="004068F6" w:rsidRDefault="004B466F" w:rsidP="004B466F">
      <w:pPr>
        <w:tabs>
          <w:tab w:val="left" w:pos="-2268"/>
        </w:tabs>
        <w:suppressAutoHyphens/>
        <w:overflowPunct/>
        <w:autoSpaceDE/>
        <w:autoSpaceDN/>
        <w:adjustRightInd/>
        <w:contextualSpacing/>
        <w:textAlignment w:val="auto"/>
        <w:rPr>
          <w:spacing w:val="-3"/>
        </w:rPr>
      </w:pPr>
    </w:p>
    <w:p w14:paraId="0ECFDDA1" w14:textId="6558A807" w:rsidR="004B466F" w:rsidRPr="004068F6" w:rsidRDefault="00FF7157" w:rsidP="004B466F">
      <w:pPr>
        <w:numPr>
          <w:ilvl w:val="0"/>
          <w:numId w:val="401"/>
        </w:numPr>
        <w:overflowPunct/>
        <w:autoSpaceDE/>
        <w:autoSpaceDN/>
        <w:adjustRightInd/>
        <w:ind w:left="567" w:hanging="567"/>
        <w:contextualSpacing/>
        <w:jc w:val="left"/>
        <w:textAlignment w:val="auto"/>
        <w:rPr>
          <w:spacing w:val="-3"/>
        </w:rPr>
      </w:pPr>
      <w:r w:rsidRPr="004068F6">
        <w:rPr>
          <w:spacing w:val="-3"/>
        </w:rPr>
        <w:t>O</w:t>
      </w:r>
      <w:r w:rsidR="004B466F" w:rsidRPr="004068F6">
        <w:rPr>
          <w:spacing w:val="-3"/>
        </w:rPr>
        <w:t xml:space="preserve">ferta de suelo y las áreas disponibles para el </w:t>
      </w:r>
      <w:r w:rsidR="004B466F" w:rsidRPr="004068F6">
        <w:rPr>
          <w:rFonts w:cs="Arial"/>
          <w:spacing w:val="-3"/>
          <w:lang w:eastAsia="en-US"/>
        </w:rPr>
        <w:t>reasentamiento,</w:t>
      </w:r>
      <w:r w:rsidR="004B466F" w:rsidRPr="004068F6">
        <w:rPr>
          <w:spacing w:val="-3"/>
        </w:rPr>
        <w:t xml:space="preserve"> según los usos del suelo establecidos en el POT, PBOT o EOT.</w:t>
      </w:r>
    </w:p>
    <w:p w14:paraId="577614A5" w14:textId="77777777" w:rsidR="004B466F" w:rsidRPr="004068F6" w:rsidRDefault="004B466F" w:rsidP="004B466F"/>
    <w:p w14:paraId="6802EFC1" w14:textId="414A68DB" w:rsidR="004B466F" w:rsidRPr="004068F6" w:rsidRDefault="004B466F" w:rsidP="004B466F">
      <w:pPr>
        <w:tabs>
          <w:tab w:val="left" w:pos="-2268"/>
        </w:tabs>
        <w:suppressAutoHyphens/>
        <w:overflowPunct/>
        <w:autoSpaceDE/>
        <w:autoSpaceDN/>
        <w:adjustRightInd/>
        <w:contextualSpacing/>
        <w:textAlignment w:val="auto"/>
        <w:rPr>
          <w:rFonts w:cs="Arial"/>
          <w:spacing w:val="-3"/>
          <w:lang w:eastAsia="en-US"/>
        </w:rPr>
      </w:pPr>
      <w:r w:rsidRPr="004068F6">
        <w:rPr>
          <w:rFonts w:cs="Arial"/>
          <w:spacing w:val="-3"/>
          <w:lang w:eastAsia="en-US"/>
        </w:rPr>
        <w:t>El resultado de la caracterización debe estar acompañado de registros fílmicos</w:t>
      </w:r>
      <w:r w:rsidR="001A14A1" w:rsidRPr="004068F6">
        <w:rPr>
          <w:rFonts w:cs="Arial"/>
          <w:spacing w:val="-3"/>
          <w:lang w:eastAsia="en-US"/>
        </w:rPr>
        <w:t xml:space="preserve"> o</w:t>
      </w:r>
      <w:r w:rsidRPr="004068F6">
        <w:rPr>
          <w:rFonts w:cs="Arial"/>
          <w:spacing w:val="-3"/>
          <w:lang w:eastAsia="en-US"/>
        </w:rPr>
        <w:t xml:space="preserve"> fotográficos</w:t>
      </w:r>
      <w:r w:rsidR="0073561F" w:rsidRPr="00127BD4">
        <w:rPr>
          <w:rFonts w:cs="Arial"/>
          <w:spacing w:val="-3"/>
          <w:vertAlign w:val="superscript"/>
          <w:lang w:eastAsia="en-US"/>
        </w:rPr>
        <w:footnoteReference w:id="180"/>
      </w:r>
      <w:r w:rsidRPr="004068F6">
        <w:rPr>
          <w:rFonts w:cs="Arial"/>
          <w:spacing w:val="-3"/>
          <w:lang w:eastAsia="en-US"/>
        </w:rPr>
        <w:t>, encuestas, entre otros que permitan evidenciar las características generales de las unidades sociales que resulten afectadas por las actividades del proyecto, obra o actividad.</w:t>
      </w:r>
    </w:p>
    <w:p w14:paraId="53B4BBF1" w14:textId="77777777" w:rsidR="004B466F" w:rsidRPr="004068F6" w:rsidRDefault="004B466F" w:rsidP="004B466F">
      <w:pPr>
        <w:numPr>
          <w:ilvl w:val="12"/>
          <w:numId w:val="0"/>
        </w:numPr>
        <w:tabs>
          <w:tab w:val="left" w:pos="-2268"/>
        </w:tabs>
        <w:suppressAutoHyphens/>
        <w:rPr>
          <w:rFonts w:cs="Arial"/>
          <w:spacing w:val="-3"/>
        </w:rPr>
      </w:pPr>
    </w:p>
    <w:p w14:paraId="579AFDEB" w14:textId="4D2C2E00" w:rsidR="004B466F" w:rsidRPr="004068F6" w:rsidRDefault="004B466F" w:rsidP="004B466F">
      <w:pPr>
        <w:suppressAutoHyphens/>
      </w:pPr>
      <w:r w:rsidRPr="004068F6">
        <w:rPr>
          <w:rFonts w:cs="Arial"/>
        </w:rPr>
        <w:t>Tanto el diseño metodológico</w:t>
      </w:r>
      <w:r w:rsidR="00D1494E" w:rsidRPr="004068F6">
        <w:rPr>
          <w:rFonts w:cs="Arial"/>
        </w:rPr>
        <w:t>,</w:t>
      </w:r>
      <w:r w:rsidRPr="004068F6">
        <w:rPr>
          <w:rFonts w:cs="Arial"/>
        </w:rPr>
        <w:t xml:space="preserve"> como la ejecución del censo o registro de población susceptible de reasentamiento involuntario deben ser desarrollados por una </w:t>
      </w:r>
      <w:r w:rsidR="00B2281A" w:rsidRPr="004068F6">
        <w:rPr>
          <w:rFonts w:cs="Arial"/>
        </w:rPr>
        <w:t>persona jurídica de carácter p</w:t>
      </w:r>
      <w:r w:rsidR="00F9358F" w:rsidRPr="004068F6">
        <w:rPr>
          <w:rFonts w:cs="Arial"/>
        </w:rPr>
        <w:t>ú</w:t>
      </w:r>
      <w:r w:rsidR="00B2281A" w:rsidRPr="004068F6">
        <w:rPr>
          <w:rFonts w:cs="Arial"/>
        </w:rPr>
        <w:t>blico o privado con capacidad y experiencia en la materia, la cual debe estar debidamente acreditad</w:t>
      </w:r>
      <w:r w:rsidR="00F9358F" w:rsidRPr="004068F6">
        <w:rPr>
          <w:rFonts w:cs="Arial"/>
        </w:rPr>
        <w:t>a</w:t>
      </w:r>
      <w:r w:rsidR="00B2281A" w:rsidRPr="004068F6">
        <w:rPr>
          <w:rFonts w:cs="Arial"/>
        </w:rPr>
        <w:t xml:space="preserve"> en los anexos del estudio</w:t>
      </w:r>
      <w:r w:rsidRPr="004068F6">
        <w:t>. Asimismo, la ejecución del censo o registro debe ser auditada por una firma independiente y hacerse públicos los resultados de dicha auditoría.</w:t>
      </w:r>
    </w:p>
    <w:p w14:paraId="700BF364" w14:textId="77777777" w:rsidR="004B466F" w:rsidRPr="004068F6" w:rsidRDefault="004B466F" w:rsidP="004B466F">
      <w:pPr>
        <w:suppressAutoHyphens/>
      </w:pPr>
    </w:p>
    <w:p w14:paraId="608C5630" w14:textId="32ED8C3E" w:rsidR="006E4249" w:rsidRPr="004068F6" w:rsidRDefault="004B466F" w:rsidP="00EC3F7B">
      <w:pPr>
        <w:suppressAutoHyphens/>
        <w:rPr>
          <w:rFonts w:cs="Arial"/>
        </w:rPr>
      </w:pPr>
      <w:r w:rsidRPr="004068F6">
        <w:rPr>
          <w:rFonts w:cs="Arial"/>
        </w:rPr>
        <w:t xml:space="preserve">Los resultados del censo o registro de población a </w:t>
      </w:r>
      <w:r w:rsidR="00A860E5">
        <w:rPr>
          <w:rFonts w:cs="Arial"/>
        </w:rPr>
        <w:t>reasentar</w:t>
      </w:r>
      <w:r w:rsidRPr="004068F6">
        <w:rPr>
          <w:rFonts w:cs="Arial"/>
        </w:rPr>
        <w:t>, junto con los estudios complementarios de caracterización son el insumo base para la formulación del programa de reasentamiento involuntario de población</w:t>
      </w:r>
      <w:r w:rsidR="007C27A3" w:rsidRPr="004068F6">
        <w:rPr>
          <w:rFonts w:cs="Arial"/>
        </w:rPr>
        <w:t xml:space="preserve"> y deben construirse atendiendo a los lineamientos generales de participación</w:t>
      </w:r>
      <w:r w:rsidRPr="004068F6">
        <w:rPr>
          <w:rFonts w:cs="Arial"/>
        </w:rPr>
        <w:t>.</w:t>
      </w:r>
      <w:bookmarkEnd w:id="2996"/>
      <w:bookmarkEnd w:id="2997"/>
      <w:bookmarkEnd w:id="2998"/>
    </w:p>
    <w:p w14:paraId="02AE4C6E" w14:textId="77777777" w:rsidR="006E4249" w:rsidRDefault="006E4249" w:rsidP="00EC3F7B">
      <w:pPr>
        <w:suppressAutoHyphens/>
        <w:rPr>
          <w:rFonts w:cs="Arial"/>
        </w:rPr>
      </w:pPr>
    </w:p>
    <w:p w14:paraId="039AB348" w14:textId="5A86FD59" w:rsidR="007F3771" w:rsidRPr="00E64F04" w:rsidRDefault="007F3771" w:rsidP="00E64F04">
      <w:pPr>
        <w:pStyle w:val="Ttulo2"/>
        <w:rPr>
          <w:lang w:val="es-CO"/>
        </w:rPr>
      </w:pPr>
      <w:bookmarkStart w:id="3000" w:name="_Ref230872774"/>
      <w:bookmarkStart w:id="3001" w:name="_Toc230879664"/>
      <w:r w:rsidRPr="007F3771">
        <w:rPr>
          <w:lang w:val="es-CO"/>
        </w:rPr>
        <w:t>ÁREAS DE ESPECIAL INTERÉS AMBIENTAL (AEIA)</w:t>
      </w:r>
      <w:bookmarkEnd w:id="3000"/>
      <w:bookmarkEnd w:id="3001"/>
    </w:p>
    <w:p w14:paraId="60DC93B1" w14:textId="77777777" w:rsidR="007F3771" w:rsidRPr="004068F6" w:rsidRDefault="007F3771" w:rsidP="007F3771">
      <w:pPr>
        <w:numPr>
          <w:ilvl w:val="12"/>
          <w:numId w:val="0"/>
        </w:numPr>
        <w:tabs>
          <w:tab w:val="left" w:pos="-2268"/>
        </w:tabs>
        <w:suppressAutoHyphens/>
        <w:rPr>
          <w:spacing w:val="-3"/>
        </w:rPr>
      </w:pPr>
    </w:p>
    <w:p w14:paraId="091AD288" w14:textId="77777777" w:rsidR="007F3771" w:rsidRDefault="007F3771" w:rsidP="007F3771">
      <w:pPr>
        <w:numPr>
          <w:ilvl w:val="12"/>
          <w:numId w:val="0"/>
        </w:numPr>
        <w:tabs>
          <w:tab w:val="left" w:pos="-2268"/>
        </w:tabs>
        <w:suppressAutoHyphens/>
        <w:rPr>
          <w:spacing w:val="-3"/>
        </w:rPr>
      </w:pPr>
      <w:r>
        <w:rPr>
          <w:spacing w:val="-3"/>
        </w:rPr>
        <w:t xml:space="preserve">Se </w:t>
      </w:r>
      <w:r w:rsidRPr="004068F6">
        <w:rPr>
          <w:spacing w:val="-3"/>
        </w:rPr>
        <w:t>debe</w:t>
      </w:r>
      <w:r>
        <w:rPr>
          <w:spacing w:val="-3"/>
        </w:rPr>
        <w:t>n</w:t>
      </w:r>
      <w:r w:rsidRPr="004068F6">
        <w:rPr>
          <w:spacing w:val="-3"/>
        </w:rPr>
        <w:t xml:space="preserve"> representa</w:t>
      </w:r>
      <w:r>
        <w:rPr>
          <w:spacing w:val="-3"/>
        </w:rPr>
        <w:t xml:space="preserve">r </w:t>
      </w:r>
      <w:r w:rsidRPr="004068F6">
        <w:rPr>
          <w:spacing w:val="-3"/>
        </w:rPr>
        <w:t>cartográficamente en el mapa de ecosistemas</w:t>
      </w:r>
      <w:r>
        <w:rPr>
          <w:spacing w:val="-3"/>
        </w:rPr>
        <w:t>,</w:t>
      </w:r>
      <w:r w:rsidRPr="004068F6">
        <w:rPr>
          <w:spacing w:val="-3"/>
        </w:rPr>
        <w:t xml:space="preserve"> las AEIA públicas y privadas de los ámbitos nacional, regional y local </w:t>
      </w:r>
      <w:r w:rsidRPr="004068F6">
        <w:rPr>
          <w:rFonts w:cs="Arial"/>
          <w:spacing w:val="-3"/>
        </w:rPr>
        <w:t xml:space="preserve">señaladas en la </w:t>
      </w:r>
      <w:r w:rsidRPr="00475617">
        <w:rPr>
          <w:rFonts w:cs="Arial"/>
          <w:i/>
          <w:iCs/>
          <w:spacing w:val="-3"/>
        </w:rPr>
        <w:t xml:space="preserve">Tabla </w:t>
      </w:r>
      <w:r w:rsidRPr="00475617">
        <w:rPr>
          <w:rFonts w:cs="Arial"/>
          <w:i/>
          <w:iCs/>
          <w:spacing w:val="-3"/>
        </w:rPr>
        <w:lastRenderedPageBreak/>
        <w:t>Áreas de Especial Interés Ambiental (AEIA)</w:t>
      </w:r>
      <w:r w:rsidRPr="004068F6">
        <w:rPr>
          <w:rStyle w:val="Refdenotaalpie"/>
          <w:rFonts w:cs="Arial"/>
          <w:spacing w:val="-3"/>
          <w:lang w:val="es-CO"/>
        </w:rPr>
        <w:footnoteReference w:id="181"/>
      </w:r>
      <w:r w:rsidRPr="004068F6">
        <w:rPr>
          <w:rFonts w:cs="Arial"/>
          <w:spacing w:val="-3"/>
        </w:rPr>
        <w:t xml:space="preserve">, </w:t>
      </w:r>
      <w:r w:rsidRPr="004068F6">
        <w:rPr>
          <w:spacing w:val="-3"/>
        </w:rPr>
        <w:t>así como su zonificación de manejo (en caso de existir)</w:t>
      </w:r>
      <w:r>
        <w:rPr>
          <w:spacing w:val="-3"/>
        </w:rPr>
        <w:t xml:space="preserve">. Esta representación debe hacer </w:t>
      </w:r>
      <w:r w:rsidRPr="004068F6">
        <w:rPr>
          <w:spacing w:val="-3"/>
        </w:rPr>
        <w:t xml:space="preserve">evidente </w:t>
      </w:r>
      <w:r>
        <w:rPr>
          <w:spacing w:val="-3"/>
        </w:rPr>
        <w:t xml:space="preserve">la </w:t>
      </w:r>
      <w:r w:rsidRPr="004068F6">
        <w:rPr>
          <w:spacing w:val="-3"/>
        </w:rPr>
        <w:t xml:space="preserve">ubicación y distancia </w:t>
      </w:r>
      <w:r>
        <w:rPr>
          <w:spacing w:val="-3"/>
        </w:rPr>
        <w:t xml:space="preserve">de estos elementos </w:t>
      </w:r>
      <w:r w:rsidRPr="004068F6">
        <w:rPr>
          <w:spacing w:val="-3"/>
        </w:rPr>
        <w:t xml:space="preserve">con respecto al </w:t>
      </w:r>
      <w:r w:rsidRPr="004068F6">
        <w:rPr>
          <w:rFonts w:cs="Arial"/>
          <w:spacing w:val="-3"/>
        </w:rPr>
        <w:t>área por intervenir propuesta</w:t>
      </w:r>
      <w:r w:rsidRPr="004068F6">
        <w:rPr>
          <w:spacing w:val="-3"/>
        </w:rPr>
        <w:t>.</w:t>
      </w:r>
    </w:p>
    <w:p w14:paraId="650B6E17" w14:textId="77777777" w:rsidR="007F3771" w:rsidRPr="004068F6" w:rsidRDefault="007F3771" w:rsidP="007F3771">
      <w:pPr>
        <w:numPr>
          <w:ilvl w:val="12"/>
          <w:numId w:val="0"/>
        </w:numPr>
        <w:tabs>
          <w:tab w:val="left" w:pos="-2268"/>
        </w:tabs>
        <w:suppressAutoHyphens/>
        <w:rPr>
          <w:spacing w:val="-3"/>
        </w:rPr>
      </w:pPr>
    </w:p>
    <w:p w14:paraId="01F28654" w14:textId="7A0C7C9A" w:rsidR="007F3771" w:rsidRPr="00E64F04" w:rsidRDefault="007F3771" w:rsidP="00E64F04">
      <w:pPr>
        <w:numPr>
          <w:ilvl w:val="12"/>
          <w:numId w:val="0"/>
        </w:numPr>
        <w:tabs>
          <w:tab w:val="left" w:pos="-2268"/>
        </w:tabs>
        <w:suppressAutoHyphens/>
        <w:rPr>
          <w:spacing w:val="-3"/>
        </w:rPr>
      </w:pPr>
      <w:r w:rsidRPr="004068F6">
        <w:rPr>
          <w:rFonts w:cs="Arial"/>
          <w:spacing w:val="-3"/>
        </w:rPr>
        <w:t xml:space="preserve">Para </w:t>
      </w:r>
      <w:r w:rsidRPr="004068F6">
        <w:rPr>
          <w:spacing w:val="-3"/>
        </w:rPr>
        <w:t xml:space="preserve">determinar y localizar las AEIA </w:t>
      </w:r>
      <w:r>
        <w:rPr>
          <w:spacing w:val="-3"/>
        </w:rPr>
        <w:t xml:space="preserve">y </w:t>
      </w:r>
      <w:r w:rsidRPr="004068F6">
        <w:rPr>
          <w:spacing w:val="-3"/>
        </w:rPr>
        <w:t xml:space="preserve">su zonificación de manejo, se </w:t>
      </w:r>
      <w:r w:rsidRPr="004068F6">
        <w:rPr>
          <w:rFonts w:cs="Arial"/>
          <w:spacing w:val="-3"/>
        </w:rPr>
        <w:t xml:space="preserve">debe consultar cartografía reconocida por alguna entidad estatal del SINA, como por ejemplo, la incorporada en el </w:t>
      </w:r>
      <w:r w:rsidRPr="004068F6">
        <w:rPr>
          <w:spacing w:val="-3"/>
        </w:rPr>
        <w:t xml:space="preserve">Registro </w:t>
      </w:r>
      <w:r w:rsidRPr="004068F6">
        <w:rPr>
          <w:rFonts w:cs="Arial"/>
          <w:spacing w:val="-3"/>
        </w:rPr>
        <w:t>Único</w:t>
      </w:r>
      <w:r w:rsidRPr="004068F6">
        <w:rPr>
          <w:spacing w:val="-3"/>
        </w:rPr>
        <w:t xml:space="preserve"> de Ecosistemas y Áreas Ambientales (REAA) y el Registro Único Nacional de Áreas Protegidas (RUNAP); asimismo</w:t>
      </w:r>
      <w:r w:rsidRPr="004068F6">
        <w:rPr>
          <w:rFonts w:cs="Arial"/>
          <w:spacing w:val="-3"/>
        </w:rPr>
        <w:t>,</w:t>
      </w:r>
      <w:r w:rsidRPr="004068F6">
        <w:rPr>
          <w:spacing w:val="-3"/>
        </w:rPr>
        <w:t xml:space="preserve"> es posible emplear planes de manejo de las áreas protegidas, herramientas de análisis de información ambiental en línea como el </w:t>
      </w:r>
      <w:r w:rsidRPr="004068F6">
        <w:rPr>
          <w:rFonts w:cs="Arial"/>
          <w:spacing w:val="-3"/>
        </w:rPr>
        <w:t xml:space="preserve">Sistema de Información Ambiental de </w:t>
      </w:r>
      <w:r w:rsidRPr="004068F6">
        <w:rPr>
          <w:spacing w:val="-3"/>
        </w:rPr>
        <w:t>Colombia</w:t>
      </w:r>
      <w:r w:rsidRPr="004068F6">
        <w:rPr>
          <w:rFonts w:cs="Arial"/>
          <w:spacing w:val="-3"/>
        </w:rPr>
        <w:t xml:space="preserve"> (SIAC) y también, los portales Web de institutos de investigación adscritos y vinculados a Minambiente, </w:t>
      </w:r>
      <w:r>
        <w:rPr>
          <w:rFonts w:cs="Arial"/>
          <w:spacing w:val="-3"/>
        </w:rPr>
        <w:t xml:space="preserve">y los </w:t>
      </w:r>
      <w:r w:rsidRPr="004068F6">
        <w:rPr>
          <w:rFonts w:cs="Arial"/>
          <w:spacing w:val="-3"/>
        </w:rPr>
        <w:t xml:space="preserve">de </w:t>
      </w:r>
      <w:r>
        <w:rPr>
          <w:rFonts w:cs="Arial"/>
          <w:spacing w:val="-3"/>
        </w:rPr>
        <w:t xml:space="preserve">las </w:t>
      </w:r>
      <w:r w:rsidRPr="004068F6">
        <w:rPr>
          <w:rFonts w:cs="Arial"/>
          <w:spacing w:val="-3"/>
        </w:rPr>
        <w:t>autoridades ambientales regionales</w:t>
      </w:r>
      <w:r>
        <w:rPr>
          <w:rFonts w:cs="Arial"/>
          <w:spacing w:val="-3"/>
        </w:rPr>
        <w:t xml:space="preserve"> y</w:t>
      </w:r>
      <w:r w:rsidRPr="004068F6">
        <w:rPr>
          <w:rFonts w:cs="Arial"/>
          <w:spacing w:val="-3"/>
        </w:rPr>
        <w:t xml:space="preserve"> de la Agencia Nacional de Tierras (ANT), entre otros</w:t>
      </w:r>
      <w:r w:rsidRPr="004068F6">
        <w:rPr>
          <w:spacing w:val="-3"/>
        </w:rPr>
        <w:t>.</w:t>
      </w:r>
    </w:p>
    <w:p w14:paraId="71B9B00C" w14:textId="77777777" w:rsidR="007F3771" w:rsidRPr="004068F6" w:rsidRDefault="007F3771" w:rsidP="00EC3F7B">
      <w:pPr>
        <w:suppressAutoHyphens/>
        <w:rPr>
          <w:rFonts w:cs="Arial"/>
        </w:rPr>
      </w:pPr>
    </w:p>
    <w:p w14:paraId="2DD2781A" w14:textId="6612A63C" w:rsidR="004575EE" w:rsidRPr="004068F6" w:rsidRDefault="004575EE" w:rsidP="0068149C">
      <w:pPr>
        <w:pStyle w:val="Ttulo2"/>
        <w:rPr>
          <w:lang w:val="es-CO"/>
        </w:rPr>
      </w:pPr>
      <w:bookmarkStart w:id="3002" w:name="_Toc79443076"/>
      <w:bookmarkStart w:id="3003" w:name="_Toc79443077"/>
      <w:bookmarkStart w:id="3004" w:name="_Toc79443078"/>
      <w:bookmarkStart w:id="3005" w:name="_Toc43485724"/>
      <w:bookmarkStart w:id="3006" w:name="_Toc437936039"/>
      <w:bookmarkStart w:id="3007" w:name="_Ref78536127"/>
      <w:bookmarkStart w:id="3008" w:name="_Ref79477507"/>
      <w:bookmarkStart w:id="3009" w:name="_Toc230879665"/>
      <w:bookmarkEnd w:id="3002"/>
      <w:bookmarkEnd w:id="3003"/>
      <w:bookmarkEnd w:id="3004"/>
      <w:bookmarkEnd w:id="3005"/>
      <w:r w:rsidRPr="004068F6">
        <w:rPr>
          <w:lang w:val="es-CO"/>
        </w:rPr>
        <w:t>SERVICIOS ECOSISTÉMICOS</w:t>
      </w:r>
      <w:bookmarkEnd w:id="3006"/>
      <w:bookmarkEnd w:id="3007"/>
      <w:bookmarkEnd w:id="3008"/>
      <w:bookmarkEnd w:id="3009"/>
    </w:p>
    <w:p w14:paraId="4A836830" w14:textId="1CDF8EFB" w:rsidR="00AB51C7" w:rsidRPr="004068F6" w:rsidRDefault="00AB51C7" w:rsidP="00C86DA5"/>
    <w:p w14:paraId="1DC671C7" w14:textId="2E03BF16" w:rsidR="00093AC0" w:rsidRPr="004068F6" w:rsidRDefault="00093AC0" w:rsidP="00C86DA5">
      <w:pPr>
        <w:numPr>
          <w:ilvl w:val="12"/>
          <w:numId w:val="0"/>
        </w:numPr>
        <w:tabs>
          <w:tab w:val="left" w:pos="-2268"/>
        </w:tabs>
        <w:suppressAutoHyphens/>
        <w:rPr>
          <w:spacing w:val="-3"/>
        </w:rPr>
      </w:pPr>
      <w:r w:rsidRPr="004068F6">
        <w:rPr>
          <w:rFonts w:cs="Arial"/>
          <w:spacing w:val="-3"/>
        </w:rPr>
        <w:t>En el marco del licenciamiento ambiental</w:t>
      </w:r>
      <w:r w:rsidRPr="004068F6">
        <w:rPr>
          <w:spacing w:val="-3"/>
        </w:rPr>
        <w:t xml:space="preserve"> los Servicios Ecosistémicos (</w:t>
      </w:r>
      <w:r w:rsidR="006E2E3F" w:rsidRPr="004068F6">
        <w:rPr>
          <w:spacing w:val="-3"/>
        </w:rPr>
        <w:t>S</w:t>
      </w:r>
      <w:r w:rsidR="00FA65DA" w:rsidRPr="004068F6">
        <w:rPr>
          <w:spacing w:val="-3"/>
        </w:rPr>
        <w:t>SE</w:t>
      </w:r>
      <w:r w:rsidR="006E2E3F" w:rsidRPr="004068F6">
        <w:rPr>
          <w:spacing w:val="-3"/>
        </w:rPr>
        <w:t>E</w:t>
      </w:r>
      <w:r w:rsidRPr="004068F6">
        <w:rPr>
          <w:spacing w:val="-3"/>
        </w:rPr>
        <w:t xml:space="preserve">) deben entenderse como los beneficios </w:t>
      </w:r>
      <w:r w:rsidRPr="004068F6">
        <w:rPr>
          <w:rFonts w:cs="Arial"/>
          <w:spacing w:val="-3"/>
        </w:rPr>
        <w:t xml:space="preserve">que la humanidad recibe de la naturaleza, en especial de su diversidad biológica, de sus ecosistemas (inclusive del funcionamiento de los mismos), de sus procesos evolutivos, de la biosfera como conjunto, del patrimonio evolutivo que comparte la humanidad y de la diversidad biocultural (IPBES, s. f.); esta noción amplia de los </w:t>
      </w:r>
      <w:r w:rsidR="006E2E3F" w:rsidRPr="004068F6">
        <w:rPr>
          <w:rFonts w:cs="Arial"/>
          <w:spacing w:val="-3"/>
        </w:rPr>
        <w:t>S</w:t>
      </w:r>
      <w:r w:rsidR="00B85014" w:rsidRPr="004068F6">
        <w:rPr>
          <w:rFonts w:cs="Arial"/>
          <w:spacing w:val="-3"/>
        </w:rPr>
        <w:t>SE</w:t>
      </w:r>
      <w:r w:rsidR="006E2E3F" w:rsidRPr="004068F6">
        <w:rPr>
          <w:rFonts w:cs="Arial"/>
          <w:spacing w:val="-3"/>
        </w:rPr>
        <w:t>E</w:t>
      </w:r>
      <w:r w:rsidRPr="004068F6">
        <w:rPr>
          <w:rFonts w:cs="Arial"/>
          <w:spacing w:val="-3"/>
        </w:rPr>
        <w:t xml:space="preserve"> propicia un marco de conocimiento integral del ambiente que es útil para el </w:t>
      </w:r>
      <w:r w:rsidR="00085DCC" w:rsidRPr="004068F6">
        <w:rPr>
          <w:rFonts w:cs="Arial"/>
          <w:spacing w:val="-3"/>
        </w:rPr>
        <w:t xml:space="preserve">manejo </w:t>
      </w:r>
      <w:r w:rsidRPr="004068F6">
        <w:rPr>
          <w:rFonts w:cs="Arial"/>
          <w:spacing w:val="-3"/>
        </w:rPr>
        <w:t>de los impactos ambientales y la toma de decisiones de las autoridades ambientales</w:t>
      </w:r>
      <w:r w:rsidRPr="004068F6">
        <w:rPr>
          <w:spacing w:val="-3"/>
        </w:rPr>
        <w:t>.</w:t>
      </w:r>
    </w:p>
    <w:p w14:paraId="61078F78" w14:textId="77777777" w:rsidR="00093AC0" w:rsidRPr="004068F6" w:rsidRDefault="00093AC0" w:rsidP="00C86DA5">
      <w:pPr>
        <w:numPr>
          <w:ilvl w:val="12"/>
          <w:numId w:val="0"/>
        </w:numPr>
        <w:tabs>
          <w:tab w:val="left" w:pos="-2268"/>
        </w:tabs>
        <w:suppressAutoHyphens/>
        <w:rPr>
          <w:spacing w:val="-3"/>
        </w:rPr>
      </w:pPr>
    </w:p>
    <w:p w14:paraId="7A17E6ED" w14:textId="3CC061B6" w:rsidR="00093AC0" w:rsidRPr="004068F6" w:rsidRDefault="00093AC0" w:rsidP="00093AC0">
      <w:pPr>
        <w:numPr>
          <w:ilvl w:val="12"/>
          <w:numId w:val="0"/>
        </w:numPr>
        <w:tabs>
          <w:tab w:val="left" w:pos="-2268"/>
        </w:tabs>
        <w:suppressAutoHyphens/>
        <w:rPr>
          <w:rFonts w:cs="Arial"/>
          <w:spacing w:val="-3"/>
        </w:rPr>
      </w:pPr>
      <w:r w:rsidRPr="004068F6">
        <w:rPr>
          <w:spacing w:val="-3"/>
        </w:rPr>
        <w:t xml:space="preserve">Si </w:t>
      </w:r>
      <w:r w:rsidRPr="004068F6">
        <w:rPr>
          <w:rFonts w:cs="Arial"/>
          <w:spacing w:val="-3"/>
        </w:rPr>
        <w:t xml:space="preserve">bien las sociedades consideran valiosos a los </w:t>
      </w:r>
      <w:r w:rsidR="006E2E3F" w:rsidRPr="004068F6">
        <w:rPr>
          <w:rFonts w:cs="Arial"/>
          <w:spacing w:val="-3"/>
        </w:rPr>
        <w:t>S</w:t>
      </w:r>
      <w:r w:rsidR="007908E8" w:rsidRPr="004068F6">
        <w:rPr>
          <w:rFonts w:cs="Arial"/>
          <w:spacing w:val="-3"/>
        </w:rPr>
        <w:t>SE</w:t>
      </w:r>
      <w:r w:rsidR="006E2E3F" w:rsidRPr="004068F6">
        <w:rPr>
          <w:rFonts w:cs="Arial"/>
          <w:spacing w:val="-3"/>
        </w:rPr>
        <w:t>E</w:t>
      </w:r>
      <w:r w:rsidRPr="004068F6">
        <w:rPr>
          <w:rFonts w:cs="Arial"/>
          <w:spacing w:val="-3"/>
        </w:rPr>
        <w:t xml:space="preserve"> por ser la base del mantenimiento de </w:t>
      </w:r>
      <w:r w:rsidR="00DE6F2E" w:rsidRPr="004068F6">
        <w:rPr>
          <w:rFonts w:cs="Arial"/>
          <w:spacing w:val="-3"/>
        </w:rPr>
        <w:t xml:space="preserve">su </w:t>
      </w:r>
      <w:r w:rsidRPr="004068F6">
        <w:rPr>
          <w:rFonts w:cs="Arial"/>
          <w:spacing w:val="-3"/>
        </w:rPr>
        <w:t xml:space="preserve">calidad de vida y por ser parte de las relaciones que las culturas históricamente han establecido con su entorno, </w:t>
      </w:r>
      <w:r w:rsidR="00DE6F2E" w:rsidRPr="004068F6">
        <w:rPr>
          <w:rFonts w:cs="Arial"/>
          <w:spacing w:val="-3"/>
        </w:rPr>
        <w:t xml:space="preserve">se </w:t>
      </w:r>
      <w:r w:rsidRPr="004068F6">
        <w:rPr>
          <w:rFonts w:cs="Arial"/>
          <w:spacing w:val="-3"/>
        </w:rPr>
        <w:t xml:space="preserve">debe reconocer que </w:t>
      </w:r>
      <w:r w:rsidR="00534E5A" w:rsidRPr="004068F6">
        <w:rPr>
          <w:rFonts w:cs="Arial"/>
          <w:spacing w:val="-3"/>
        </w:rPr>
        <w:t>los ecosistemas</w:t>
      </w:r>
      <w:r w:rsidR="001771A9" w:rsidRPr="004068F6">
        <w:rPr>
          <w:rFonts w:cs="Arial"/>
          <w:spacing w:val="-3"/>
        </w:rPr>
        <w:t xml:space="preserve"> y sus </w:t>
      </w:r>
      <w:r w:rsidR="00D514F4" w:rsidRPr="004068F6">
        <w:rPr>
          <w:rFonts w:cs="Arial"/>
          <w:spacing w:val="-3"/>
        </w:rPr>
        <w:t>elementos constitutivos</w:t>
      </w:r>
      <w:r w:rsidRPr="004068F6">
        <w:rPr>
          <w:rFonts w:cs="Arial"/>
          <w:spacing w:val="-3"/>
        </w:rPr>
        <w:t xml:space="preserve"> tiene</w:t>
      </w:r>
      <w:r w:rsidR="001771A9" w:rsidRPr="004068F6">
        <w:rPr>
          <w:rFonts w:cs="Arial"/>
          <w:spacing w:val="-3"/>
        </w:rPr>
        <w:t>n</w:t>
      </w:r>
      <w:r w:rsidRPr="004068F6">
        <w:rPr>
          <w:rFonts w:cs="Arial"/>
          <w:spacing w:val="-3"/>
        </w:rPr>
        <w:t xml:space="preserve"> un valor intrínseco que le</w:t>
      </w:r>
      <w:r w:rsidR="001771A9" w:rsidRPr="004068F6">
        <w:rPr>
          <w:rFonts w:cs="Arial"/>
          <w:spacing w:val="-3"/>
        </w:rPr>
        <w:t>s</w:t>
      </w:r>
      <w:r w:rsidRPr="004068F6">
        <w:rPr>
          <w:rFonts w:cs="Arial"/>
          <w:spacing w:val="-3"/>
        </w:rPr>
        <w:t xml:space="preserve"> es inherente e independiente de la experiencia humana, </w:t>
      </w:r>
      <w:r w:rsidR="00C52E25" w:rsidRPr="004068F6">
        <w:rPr>
          <w:rFonts w:cs="Arial"/>
          <w:spacing w:val="-3"/>
        </w:rPr>
        <w:t xml:space="preserve">y </w:t>
      </w:r>
      <w:r w:rsidRPr="004068F6">
        <w:rPr>
          <w:rFonts w:cs="Arial"/>
          <w:spacing w:val="-3"/>
        </w:rPr>
        <w:t xml:space="preserve">que es reconocido en el ámbito internacional </w:t>
      </w:r>
      <w:r w:rsidR="00143AEA" w:rsidRPr="004068F6">
        <w:rPr>
          <w:rFonts w:cs="Arial"/>
          <w:spacing w:val="-3"/>
        </w:rPr>
        <w:t xml:space="preserve">entre otras </w:t>
      </w:r>
      <w:r w:rsidRPr="004068F6">
        <w:rPr>
          <w:rFonts w:cs="Arial"/>
          <w:spacing w:val="-3"/>
        </w:rPr>
        <w:t>iniciativas</w:t>
      </w:r>
      <w:r w:rsidR="00143AEA" w:rsidRPr="004068F6">
        <w:rPr>
          <w:rFonts w:cs="Arial"/>
          <w:spacing w:val="-3"/>
        </w:rPr>
        <w:t>,</w:t>
      </w:r>
      <w:r w:rsidRPr="004068F6">
        <w:rPr>
          <w:rFonts w:cs="Arial"/>
          <w:spacing w:val="-3"/>
        </w:rPr>
        <w:t xml:space="preserve"> </w:t>
      </w:r>
      <w:r w:rsidR="00143AEA" w:rsidRPr="004068F6">
        <w:rPr>
          <w:rFonts w:cs="Arial"/>
          <w:spacing w:val="-3"/>
        </w:rPr>
        <w:t xml:space="preserve">por </w:t>
      </w:r>
      <w:r w:rsidRPr="004068F6">
        <w:rPr>
          <w:rFonts w:cs="Arial"/>
          <w:spacing w:val="-3"/>
        </w:rPr>
        <w:t xml:space="preserve">la Evaluación de los Ecosistemas del Milenio y </w:t>
      </w:r>
      <w:r w:rsidR="000B50FF" w:rsidRPr="004068F6">
        <w:rPr>
          <w:rFonts w:cs="Arial"/>
          <w:spacing w:val="-3"/>
        </w:rPr>
        <w:t xml:space="preserve">por </w:t>
      </w:r>
      <w:r w:rsidRPr="004068F6">
        <w:rPr>
          <w:rFonts w:cs="Arial"/>
          <w:spacing w:val="-3"/>
        </w:rPr>
        <w:t>la Plataforma Intergubernamental Científico-Normativa sobre Biodiversidad y Servicios Ecosistémicos</w:t>
      </w:r>
      <w:r w:rsidR="0072054C" w:rsidRPr="004068F6">
        <w:rPr>
          <w:rFonts w:cs="Arial"/>
          <w:spacing w:val="-3"/>
        </w:rPr>
        <w:t xml:space="preserve"> </w:t>
      </w:r>
      <w:r w:rsidRPr="004068F6">
        <w:rPr>
          <w:rFonts w:cs="Arial"/>
          <w:spacing w:val="-3"/>
        </w:rPr>
        <w:t>(</w:t>
      </w:r>
      <w:r w:rsidR="00C52E25" w:rsidRPr="004068F6">
        <w:rPr>
          <w:rFonts w:cs="Arial"/>
          <w:spacing w:val="-3"/>
        </w:rPr>
        <w:t xml:space="preserve">IPBES, </w:t>
      </w:r>
      <w:r w:rsidRPr="004068F6">
        <w:rPr>
          <w:rFonts w:cs="Arial"/>
          <w:spacing w:val="-3"/>
        </w:rPr>
        <w:t>por sus siglas en inglés).</w:t>
      </w:r>
    </w:p>
    <w:p w14:paraId="0203075D" w14:textId="77777777" w:rsidR="00093AC0" w:rsidRPr="004068F6" w:rsidRDefault="00093AC0" w:rsidP="00093AC0">
      <w:pPr>
        <w:numPr>
          <w:ilvl w:val="12"/>
          <w:numId w:val="0"/>
        </w:numPr>
        <w:tabs>
          <w:tab w:val="left" w:pos="-2268"/>
        </w:tabs>
        <w:suppressAutoHyphens/>
        <w:rPr>
          <w:rFonts w:cs="Arial"/>
          <w:spacing w:val="-3"/>
        </w:rPr>
      </w:pPr>
    </w:p>
    <w:p w14:paraId="493E389A" w14:textId="202EC3D9" w:rsidR="00093AC0" w:rsidRPr="004068F6" w:rsidRDefault="00093AC0" w:rsidP="00093AC0">
      <w:pPr>
        <w:numPr>
          <w:ilvl w:val="12"/>
          <w:numId w:val="0"/>
        </w:numPr>
        <w:tabs>
          <w:tab w:val="left" w:pos="-2268"/>
        </w:tabs>
        <w:suppressAutoHyphens/>
        <w:rPr>
          <w:rFonts w:cs="Arial"/>
          <w:spacing w:val="-3"/>
        </w:rPr>
      </w:pPr>
      <w:r w:rsidRPr="004068F6">
        <w:rPr>
          <w:rFonts w:cs="Arial"/>
          <w:spacing w:val="-3"/>
        </w:rPr>
        <w:t xml:space="preserve">El propósito fundamental de este </w:t>
      </w:r>
      <w:r w:rsidR="009346BF" w:rsidRPr="004068F6">
        <w:rPr>
          <w:rFonts w:cs="Arial"/>
          <w:spacing w:val="-3"/>
        </w:rPr>
        <w:t>numeral</w:t>
      </w:r>
      <w:r w:rsidRPr="004068F6">
        <w:rPr>
          <w:rFonts w:cs="Arial"/>
          <w:spacing w:val="-3"/>
        </w:rPr>
        <w:t xml:space="preserve"> es </w:t>
      </w:r>
      <w:r w:rsidR="008C4C17" w:rsidRPr="004068F6">
        <w:rPr>
          <w:rFonts w:cs="Arial"/>
          <w:spacing w:val="-3"/>
        </w:rPr>
        <w:t xml:space="preserve">caracterizar </w:t>
      </w:r>
      <w:r w:rsidR="00143AEA" w:rsidRPr="004068F6">
        <w:rPr>
          <w:rFonts w:cs="Arial"/>
          <w:spacing w:val="-3"/>
        </w:rPr>
        <w:t>los S</w:t>
      </w:r>
      <w:r w:rsidR="007908E8" w:rsidRPr="004068F6">
        <w:rPr>
          <w:rFonts w:cs="Arial"/>
          <w:spacing w:val="-3"/>
        </w:rPr>
        <w:t>SE</w:t>
      </w:r>
      <w:r w:rsidR="00143AEA" w:rsidRPr="004068F6">
        <w:rPr>
          <w:rFonts w:cs="Arial"/>
          <w:spacing w:val="-3"/>
        </w:rPr>
        <w:t xml:space="preserve">E </w:t>
      </w:r>
      <w:r w:rsidR="00501EC4" w:rsidRPr="004068F6">
        <w:rPr>
          <w:rFonts w:cs="Arial"/>
          <w:spacing w:val="-3"/>
        </w:rPr>
        <w:t xml:space="preserve">del área de influencia </w:t>
      </w:r>
      <w:r w:rsidR="00143AEA" w:rsidRPr="004068F6">
        <w:rPr>
          <w:rFonts w:cs="Arial"/>
          <w:spacing w:val="-3"/>
        </w:rPr>
        <w:t xml:space="preserve">que pueden ser impactados por </w:t>
      </w:r>
      <w:r w:rsidR="007B605B" w:rsidRPr="004068F6">
        <w:rPr>
          <w:rFonts w:cs="Arial"/>
          <w:spacing w:val="-3"/>
        </w:rPr>
        <w:t xml:space="preserve">el </w:t>
      </w:r>
      <w:r w:rsidRPr="004068F6">
        <w:rPr>
          <w:rFonts w:cs="Arial"/>
          <w:spacing w:val="-3"/>
        </w:rPr>
        <w:t xml:space="preserve">proyecto, obra o actividad, con el fin de brindar una imagen sintética del estado actual de las contribuciones que la naturaleza brinda a la </w:t>
      </w:r>
      <w:r w:rsidRPr="004068F6">
        <w:rPr>
          <w:spacing w:val="-3"/>
        </w:rPr>
        <w:t>sociedad</w:t>
      </w:r>
      <w:r w:rsidRPr="004068F6">
        <w:rPr>
          <w:rFonts w:cs="Arial"/>
          <w:spacing w:val="-3"/>
        </w:rPr>
        <w:t xml:space="preserve">. Para ello, se debe integrar de forma coherente la información de los elementos del ambiente que se han caracterizado de forma separada para cada </w:t>
      </w:r>
      <w:r w:rsidRPr="004068F6">
        <w:rPr>
          <w:rFonts w:cs="Arial"/>
          <w:spacing w:val="-3"/>
        </w:rPr>
        <w:lastRenderedPageBreak/>
        <w:t>uno de los medios, componentes y factores ambientales, identificando, describiendo y evaluando las relaciones en las cuales exista una contribución de la naturaleza, ya sea recono</w:t>
      </w:r>
      <w:r w:rsidR="000B50FF" w:rsidRPr="004068F6">
        <w:rPr>
          <w:rFonts w:cs="Arial"/>
          <w:spacing w:val="-3"/>
        </w:rPr>
        <w:t xml:space="preserve">cida </w:t>
      </w:r>
      <w:r w:rsidRPr="004068F6">
        <w:rPr>
          <w:rFonts w:cs="Arial"/>
          <w:spacing w:val="-3"/>
        </w:rPr>
        <w:t>o no por las comunidades.</w:t>
      </w:r>
    </w:p>
    <w:p w14:paraId="730E402A" w14:textId="77777777" w:rsidR="00093AC0" w:rsidRPr="004068F6" w:rsidRDefault="00093AC0" w:rsidP="00093AC0">
      <w:pPr>
        <w:numPr>
          <w:ilvl w:val="12"/>
          <w:numId w:val="0"/>
        </w:numPr>
        <w:tabs>
          <w:tab w:val="left" w:pos="-2268"/>
        </w:tabs>
        <w:suppressAutoHyphens/>
        <w:rPr>
          <w:rFonts w:cs="Arial"/>
          <w:spacing w:val="-3"/>
        </w:rPr>
      </w:pPr>
    </w:p>
    <w:p w14:paraId="04C08266" w14:textId="2D28F41B" w:rsidR="00093AC0" w:rsidRPr="004068F6" w:rsidRDefault="00093AC0" w:rsidP="00093AC0">
      <w:pPr>
        <w:numPr>
          <w:ilvl w:val="12"/>
          <w:numId w:val="0"/>
        </w:numPr>
        <w:tabs>
          <w:tab w:val="left" w:pos="-2268"/>
        </w:tabs>
        <w:suppressAutoHyphens/>
        <w:rPr>
          <w:rFonts w:cs="Arial"/>
          <w:spacing w:val="-3"/>
        </w:rPr>
      </w:pPr>
      <w:r w:rsidRPr="004068F6">
        <w:rPr>
          <w:rFonts w:cs="Arial"/>
          <w:spacing w:val="-3"/>
        </w:rPr>
        <w:t>Est</w:t>
      </w:r>
      <w:r w:rsidR="007B605B" w:rsidRPr="004068F6">
        <w:rPr>
          <w:rFonts w:cs="Arial"/>
          <w:spacing w:val="-3"/>
        </w:rPr>
        <w:t xml:space="preserve">e numeral </w:t>
      </w:r>
      <w:r w:rsidRPr="004068F6">
        <w:rPr>
          <w:rFonts w:cs="Arial"/>
          <w:spacing w:val="-3"/>
        </w:rPr>
        <w:t xml:space="preserve">debe incluir además de la </w:t>
      </w:r>
      <w:r w:rsidR="007B605B" w:rsidRPr="004068F6">
        <w:rPr>
          <w:rFonts w:cs="Arial"/>
          <w:spacing w:val="-3"/>
        </w:rPr>
        <w:t xml:space="preserve">caracterización </w:t>
      </w:r>
      <w:r w:rsidRPr="004068F6">
        <w:rPr>
          <w:rFonts w:cs="Arial"/>
          <w:spacing w:val="-3"/>
        </w:rPr>
        <w:t xml:space="preserve">del estado actual de los </w:t>
      </w:r>
      <w:r w:rsidR="006E2E3F" w:rsidRPr="004068F6">
        <w:rPr>
          <w:rFonts w:cs="Arial"/>
          <w:spacing w:val="-3"/>
        </w:rPr>
        <w:t>S</w:t>
      </w:r>
      <w:r w:rsidR="007908E8" w:rsidRPr="004068F6">
        <w:rPr>
          <w:rFonts w:cs="Arial"/>
          <w:spacing w:val="-3"/>
        </w:rPr>
        <w:t>SE</w:t>
      </w:r>
      <w:r w:rsidR="006E2E3F" w:rsidRPr="004068F6">
        <w:rPr>
          <w:rFonts w:cs="Arial"/>
          <w:spacing w:val="-3"/>
        </w:rPr>
        <w:t>E</w:t>
      </w:r>
      <w:r w:rsidRPr="004068F6">
        <w:rPr>
          <w:rFonts w:cs="Arial"/>
          <w:spacing w:val="-3"/>
        </w:rPr>
        <w:t xml:space="preserve">, una estimación de su tendencia futura en el escenario sin proyecto, y una </w:t>
      </w:r>
      <w:r w:rsidR="00D534E3" w:rsidRPr="004068F6">
        <w:rPr>
          <w:rFonts w:cs="Arial"/>
          <w:spacing w:val="-3"/>
        </w:rPr>
        <w:t xml:space="preserve">determinación </w:t>
      </w:r>
      <w:r w:rsidRPr="004068F6">
        <w:rPr>
          <w:rFonts w:cs="Arial"/>
          <w:spacing w:val="-3"/>
        </w:rPr>
        <w:t xml:space="preserve">de las comunidades y de la cantidad de beneficiarios que goza de tales </w:t>
      </w:r>
      <w:r w:rsidR="006E2E3F" w:rsidRPr="004068F6">
        <w:rPr>
          <w:rFonts w:cs="Arial"/>
          <w:spacing w:val="-3"/>
        </w:rPr>
        <w:t>S</w:t>
      </w:r>
      <w:r w:rsidR="007908E8" w:rsidRPr="004068F6">
        <w:rPr>
          <w:rFonts w:cs="Arial"/>
          <w:spacing w:val="-3"/>
        </w:rPr>
        <w:t>SE</w:t>
      </w:r>
      <w:r w:rsidR="006E2E3F" w:rsidRPr="004068F6">
        <w:rPr>
          <w:rFonts w:cs="Arial"/>
          <w:spacing w:val="-3"/>
        </w:rPr>
        <w:t>E</w:t>
      </w:r>
      <w:r w:rsidRPr="004068F6">
        <w:rPr>
          <w:rFonts w:cs="Arial"/>
          <w:spacing w:val="-3"/>
        </w:rPr>
        <w:t>, elementos que son indispensables para desarrollar otros apartados del estudio ambiental y que proveen criterios adicionales para que la autoridad ambiental se pronuncie sobre la viabilidad ambiental del proyecto, obra o actividad.</w:t>
      </w:r>
    </w:p>
    <w:p w14:paraId="68572F56" w14:textId="77777777" w:rsidR="00093AC0" w:rsidRPr="004068F6" w:rsidRDefault="00093AC0" w:rsidP="00093AC0">
      <w:pPr>
        <w:numPr>
          <w:ilvl w:val="12"/>
          <w:numId w:val="0"/>
        </w:numPr>
        <w:tabs>
          <w:tab w:val="left" w:pos="-2268"/>
        </w:tabs>
        <w:suppressAutoHyphens/>
        <w:rPr>
          <w:rFonts w:cs="Arial"/>
          <w:spacing w:val="-3"/>
        </w:rPr>
      </w:pPr>
    </w:p>
    <w:p w14:paraId="73BFDD7E" w14:textId="07882530" w:rsidR="00093AC0" w:rsidRPr="004068F6" w:rsidRDefault="00093AC0" w:rsidP="00093AC0">
      <w:pPr>
        <w:numPr>
          <w:ilvl w:val="12"/>
          <w:numId w:val="0"/>
        </w:numPr>
        <w:tabs>
          <w:tab w:val="left" w:pos="-2268"/>
        </w:tabs>
        <w:suppressAutoHyphens/>
        <w:rPr>
          <w:rFonts w:cs="Arial"/>
          <w:spacing w:val="-3"/>
        </w:rPr>
      </w:pPr>
      <w:r w:rsidRPr="004068F6">
        <w:rPr>
          <w:rFonts w:cs="Arial"/>
          <w:spacing w:val="-3"/>
        </w:rPr>
        <w:t xml:space="preserve">Son múltiples los numerales del estudio ambiental que se relacionan estrechamente con el capítulo de </w:t>
      </w:r>
      <w:r w:rsidR="008C4C17" w:rsidRPr="004068F6">
        <w:rPr>
          <w:rFonts w:cs="Arial"/>
          <w:spacing w:val="-3"/>
        </w:rPr>
        <w:t xml:space="preserve">caracterización </w:t>
      </w:r>
      <w:r w:rsidRPr="004068F6">
        <w:rPr>
          <w:rFonts w:cs="Arial"/>
          <w:spacing w:val="-3"/>
        </w:rPr>
        <w:t xml:space="preserve">de </w:t>
      </w:r>
      <w:r w:rsidR="006E2E3F" w:rsidRPr="004068F6">
        <w:rPr>
          <w:rFonts w:cs="Arial"/>
          <w:spacing w:val="-3"/>
        </w:rPr>
        <w:t>S</w:t>
      </w:r>
      <w:r w:rsidR="00624272" w:rsidRPr="004068F6">
        <w:rPr>
          <w:rFonts w:cs="Arial"/>
          <w:spacing w:val="-3"/>
        </w:rPr>
        <w:t>SE</w:t>
      </w:r>
      <w:r w:rsidR="006E2E3F" w:rsidRPr="004068F6">
        <w:rPr>
          <w:rFonts w:cs="Arial"/>
          <w:spacing w:val="-3"/>
        </w:rPr>
        <w:t>E</w:t>
      </w:r>
      <w:r w:rsidRPr="004068F6">
        <w:rPr>
          <w:rFonts w:cs="Arial"/>
          <w:spacing w:val="-3"/>
        </w:rPr>
        <w:t xml:space="preserve">. </w:t>
      </w:r>
      <w:r w:rsidR="004459CC" w:rsidRPr="004068F6">
        <w:rPr>
          <w:rFonts w:cs="Arial"/>
          <w:spacing w:val="-3"/>
        </w:rPr>
        <w:t xml:space="preserve">Conocer </w:t>
      </w:r>
      <w:r w:rsidRPr="004068F6">
        <w:rPr>
          <w:rFonts w:cs="Arial"/>
          <w:spacing w:val="-3"/>
        </w:rPr>
        <w:t xml:space="preserve">el estado actual de los </w:t>
      </w:r>
      <w:r w:rsidR="006E2E3F" w:rsidRPr="004068F6">
        <w:rPr>
          <w:rFonts w:cs="Arial"/>
          <w:spacing w:val="-3"/>
        </w:rPr>
        <w:t>S</w:t>
      </w:r>
      <w:r w:rsidR="00624272" w:rsidRPr="004068F6">
        <w:rPr>
          <w:rFonts w:cs="Arial"/>
          <w:spacing w:val="-3"/>
        </w:rPr>
        <w:t>SE</w:t>
      </w:r>
      <w:r w:rsidR="006E2E3F" w:rsidRPr="004068F6">
        <w:rPr>
          <w:rFonts w:cs="Arial"/>
          <w:spacing w:val="-3"/>
        </w:rPr>
        <w:t>E</w:t>
      </w:r>
      <w:r w:rsidRPr="004068F6">
        <w:rPr>
          <w:rFonts w:cs="Arial"/>
          <w:spacing w:val="-3"/>
        </w:rPr>
        <w:t xml:space="preserve"> constituye la base para la determinar la sensibilidad ambiental de tales </w:t>
      </w:r>
      <w:r w:rsidR="006E2E3F" w:rsidRPr="004068F6">
        <w:rPr>
          <w:rFonts w:cs="Arial"/>
          <w:spacing w:val="-3"/>
        </w:rPr>
        <w:t>S</w:t>
      </w:r>
      <w:r w:rsidR="00624272" w:rsidRPr="004068F6">
        <w:rPr>
          <w:rFonts w:cs="Arial"/>
          <w:spacing w:val="-3"/>
        </w:rPr>
        <w:t>SE</w:t>
      </w:r>
      <w:r w:rsidR="006E2E3F" w:rsidRPr="004068F6">
        <w:rPr>
          <w:rFonts w:cs="Arial"/>
          <w:spacing w:val="-3"/>
        </w:rPr>
        <w:t>E</w:t>
      </w:r>
      <w:r w:rsidRPr="004068F6">
        <w:rPr>
          <w:rFonts w:cs="Arial"/>
          <w:spacing w:val="-3"/>
        </w:rPr>
        <w:t xml:space="preserve"> y para estimar el grado con el que las actividades de un proyecto</w:t>
      </w:r>
      <w:r w:rsidR="008C4C17" w:rsidRPr="004068F6">
        <w:rPr>
          <w:rFonts w:cs="Arial"/>
          <w:spacing w:val="-3"/>
        </w:rPr>
        <w:t>,</w:t>
      </w:r>
      <w:r w:rsidRPr="004068F6">
        <w:rPr>
          <w:rFonts w:cs="Arial"/>
          <w:spacing w:val="-3"/>
        </w:rPr>
        <w:t xml:space="preserve"> obra</w:t>
      </w:r>
      <w:r w:rsidR="008C4C17" w:rsidRPr="004068F6">
        <w:rPr>
          <w:rFonts w:cs="Arial"/>
          <w:spacing w:val="-3"/>
        </w:rPr>
        <w:t xml:space="preserve"> o actividad</w:t>
      </w:r>
      <w:r w:rsidRPr="004068F6">
        <w:rPr>
          <w:rFonts w:cs="Arial"/>
          <w:spacing w:val="-3"/>
        </w:rPr>
        <w:t xml:space="preserve">, </w:t>
      </w:r>
      <w:r w:rsidR="007F09AB" w:rsidRPr="004068F6">
        <w:rPr>
          <w:rFonts w:cs="Arial"/>
          <w:spacing w:val="-3"/>
        </w:rPr>
        <w:t>incluidas las asociadas a</w:t>
      </w:r>
      <w:r w:rsidR="008C4C17" w:rsidRPr="004068F6">
        <w:rPr>
          <w:rFonts w:cs="Arial"/>
          <w:spacing w:val="-3"/>
        </w:rPr>
        <w:t xml:space="preserve">l </w:t>
      </w:r>
      <w:r w:rsidRPr="004068F6">
        <w:rPr>
          <w:rFonts w:cs="Arial"/>
          <w:spacing w:val="-3"/>
        </w:rPr>
        <w:t>uso y aprovechamiento de recursos naturales renovables, modifica</w:t>
      </w:r>
      <w:r w:rsidR="00C3758B" w:rsidRPr="004068F6">
        <w:rPr>
          <w:rFonts w:cs="Arial"/>
          <w:spacing w:val="-3"/>
        </w:rPr>
        <w:t xml:space="preserve">n </w:t>
      </w:r>
      <w:r w:rsidR="00D0522B" w:rsidRPr="004068F6">
        <w:rPr>
          <w:rFonts w:cs="Arial"/>
          <w:spacing w:val="-3"/>
        </w:rPr>
        <w:t>su</w:t>
      </w:r>
      <w:r w:rsidRPr="004068F6">
        <w:rPr>
          <w:rFonts w:cs="Arial"/>
          <w:spacing w:val="-3"/>
        </w:rPr>
        <w:t>s condiciones</w:t>
      </w:r>
      <w:r w:rsidR="00AF523E" w:rsidRPr="004068F6">
        <w:rPr>
          <w:rFonts w:cs="Arial"/>
          <w:spacing w:val="-3"/>
        </w:rPr>
        <w:t xml:space="preserve"> de línea base</w:t>
      </w:r>
      <w:r w:rsidR="00126C1F">
        <w:rPr>
          <w:rFonts w:cs="Arial"/>
          <w:spacing w:val="-3"/>
        </w:rPr>
        <w:t xml:space="preserve"> </w:t>
      </w:r>
      <w:r w:rsidR="009C0BFF">
        <w:rPr>
          <w:rFonts w:cs="Arial"/>
          <w:spacing w:val="-3"/>
        </w:rPr>
        <w:t xml:space="preserve">e inciden, incluso, en </w:t>
      </w:r>
      <w:r w:rsidR="00126C1F" w:rsidRPr="00126C1F">
        <w:rPr>
          <w:rFonts w:cs="Arial"/>
          <w:spacing w:val="-3"/>
        </w:rPr>
        <w:t>los derechos humanos</w:t>
      </w:r>
      <w:r w:rsidR="009C0BFF">
        <w:rPr>
          <w:rFonts w:cs="Arial"/>
          <w:spacing w:val="-3"/>
        </w:rPr>
        <w:t xml:space="preserve"> de la población</w:t>
      </w:r>
      <w:r w:rsidRPr="004068F6">
        <w:rPr>
          <w:rFonts w:cs="Arial"/>
          <w:spacing w:val="-3"/>
        </w:rPr>
        <w:t xml:space="preserve">. Es decir, este numeral constituye uno de los elementos a </w:t>
      </w:r>
      <w:r w:rsidR="008C4C17" w:rsidRPr="004068F6">
        <w:rPr>
          <w:rFonts w:cs="Arial"/>
          <w:spacing w:val="-3"/>
        </w:rPr>
        <w:t xml:space="preserve">emplear </w:t>
      </w:r>
      <w:r w:rsidRPr="004068F6">
        <w:rPr>
          <w:rFonts w:cs="Arial"/>
          <w:spacing w:val="-3"/>
        </w:rPr>
        <w:t xml:space="preserve">para el desarrollo de la zonificación ambiental y la evaluación ambiental (numerales </w:t>
      </w:r>
      <w:r w:rsidR="00501EC4" w:rsidRPr="004068F6">
        <w:rPr>
          <w:rFonts w:cs="Arial"/>
          <w:spacing w:val="-3"/>
        </w:rPr>
        <w:t>5</w:t>
      </w:r>
      <w:r w:rsidRPr="004068F6">
        <w:rPr>
          <w:rFonts w:cs="Arial"/>
          <w:spacing w:val="-3"/>
        </w:rPr>
        <w:t xml:space="preserve"> y </w:t>
      </w:r>
      <w:r w:rsidR="00501EC4" w:rsidRPr="004068F6">
        <w:rPr>
          <w:rFonts w:cs="Arial"/>
          <w:spacing w:val="-3"/>
        </w:rPr>
        <w:t>7</w:t>
      </w:r>
      <w:r w:rsidRPr="004068F6">
        <w:rPr>
          <w:rFonts w:cs="Arial"/>
          <w:spacing w:val="-3"/>
        </w:rPr>
        <w:t xml:space="preserve"> de este </w:t>
      </w:r>
      <w:r w:rsidR="00CB7535" w:rsidRPr="004068F6">
        <w:rPr>
          <w:rFonts w:cs="Arial"/>
          <w:spacing w:val="-3"/>
        </w:rPr>
        <w:t>capítulo</w:t>
      </w:r>
      <w:r w:rsidRPr="004068F6">
        <w:rPr>
          <w:rFonts w:cs="Arial"/>
          <w:spacing w:val="-3"/>
        </w:rPr>
        <w:t>, respectivamente).</w:t>
      </w:r>
    </w:p>
    <w:p w14:paraId="22A11027" w14:textId="77777777" w:rsidR="00093AC0" w:rsidRPr="004068F6" w:rsidRDefault="00093AC0" w:rsidP="00093AC0">
      <w:pPr>
        <w:numPr>
          <w:ilvl w:val="12"/>
          <w:numId w:val="0"/>
        </w:numPr>
        <w:tabs>
          <w:tab w:val="left" w:pos="-2268"/>
        </w:tabs>
        <w:suppressAutoHyphens/>
        <w:rPr>
          <w:rFonts w:cs="Arial"/>
          <w:spacing w:val="-3"/>
        </w:rPr>
      </w:pPr>
    </w:p>
    <w:p w14:paraId="17F578DE" w14:textId="0631B95B" w:rsidR="00093AC0" w:rsidRPr="004068F6" w:rsidRDefault="00093AC0">
      <w:pPr>
        <w:numPr>
          <w:ilvl w:val="12"/>
          <w:numId w:val="0"/>
        </w:numPr>
        <w:tabs>
          <w:tab w:val="left" w:pos="-2268"/>
        </w:tabs>
        <w:suppressAutoHyphens/>
        <w:rPr>
          <w:spacing w:val="-3"/>
        </w:rPr>
      </w:pPr>
      <w:r w:rsidRPr="004068F6">
        <w:rPr>
          <w:rFonts w:cs="Arial"/>
          <w:spacing w:val="-3"/>
        </w:rPr>
        <w:t xml:space="preserve">Asimismo, la </w:t>
      </w:r>
      <w:r w:rsidR="00117721" w:rsidRPr="004068F6">
        <w:rPr>
          <w:rFonts w:cs="Arial"/>
          <w:spacing w:val="-3"/>
        </w:rPr>
        <w:t xml:space="preserve">caracterización </w:t>
      </w:r>
      <w:r w:rsidRPr="004068F6">
        <w:rPr>
          <w:rFonts w:cs="Arial"/>
          <w:spacing w:val="-3"/>
        </w:rPr>
        <w:t xml:space="preserve">de los </w:t>
      </w:r>
      <w:r w:rsidR="006E2E3F" w:rsidRPr="004068F6">
        <w:rPr>
          <w:rFonts w:cs="Arial"/>
          <w:spacing w:val="-3"/>
        </w:rPr>
        <w:t>S</w:t>
      </w:r>
      <w:r w:rsidR="009649F9" w:rsidRPr="004068F6">
        <w:rPr>
          <w:rFonts w:cs="Arial"/>
          <w:spacing w:val="-3"/>
        </w:rPr>
        <w:t>SE</w:t>
      </w:r>
      <w:r w:rsidR="006E2E3F" w:rsidRPr="004068F6">
        <w:rPr>
          <w:rFonts w:cs="Arial"/>
          <w:spacing w:val="-3"/>
        </w:rPr>
        <w:t>E</w:t>
      </w:r>
      <w:r w:rsidRPr="004068F6">
        <w:rPr>
          <w:rFonts w:cs="Arial"/>
          <w:spacing w:val="-3"/>
        </w:rPr>
        <w:t xml:space="preserve"> constituye el fundamento para el desarrollo de la Evaluación Económica Ambiental (EEA), herramienta que evalúa el cambio que ocurriría en </w:t>
      </w:r>
      <w:r w:rsidRPr="004068F6">
        <w:rPr>
          <w:spacing w:val="-3"/>
        </w:rPr>
        <w:t xml:space="preserve">el bienestar </w:t>
      </w:r>
      <w:r w:rsidRPr="004068F6">
        <w:rPr>
          <w:rFonts w:cs="Arial"/>
          <w:spacing w:val="-3"/>
        </w:rPr>
        <w:t xml:space="preserve">de la población dada la ejecución de un proyecto, obra o actividad y que toma como base de su análisis, los cambios que tal propuesta </w:t>
      </w:r>
      <w:r w:rsidR="00BD4398" w:rsidRPr="004068F6">
        <w:rPr>
          <w:rFonts w:cs="Arial"/>
          <w:spacing w:val="-3"/>
        </w:rPr>
        <w:t xml:space="preserve">generaría </w:t>
      </w:r>
      <w:r w:rsidRPr="004068F6">
        <w:rPr>
          <w:rFonts w:cs="Arial"/>
          <w:spacing w:val="-3"/>
        </w:rPr>
        <w:t xml:space="preserve">en diferentes parámetros ambientales, </w:t>
      </w:r>
      <w:r w:rsidR="009649F9" w:rsidRPr="004068F6">
        <w:rPr>
          <w:rFonts w:cs="Arial"/>
          <w:spacing w:val="-3"/>
        </w:rPr>
        <w:t>S</w:t>
      </w:r>
      <w:r w:rsidR="006E2E3F" w:rsidRPr="004068F6">
        <w:rPr>
          <w:rFonts w:cs="Arial"/>
          <w:spacing w:val="-3"/>
        </w:rPr>
        <w:t>S</w:t>
      </w:r>
      <w:r w:rsidR="009649F9" w:rsidRPr="004068F6">
        <w:rPr>
          <w:rFonts w:cs="Arial"/>
          <w:spacing w:val="-3"/>
        </w:rPr>
        <w:t>E</w:t>
      </w:r>
      <w:r w:rsidR="006E2E3F" w:rsidRPr="004068F6">
        <w:rPr>
          <w:rFonts w:cs="Arial"/>
          <w:spacing w:val="-3"/>
        </w:rPr>
        <w:t>E</w:t>
      </w:r>
      <w:r w:rsidRPr="004068F6">
        <w:rPr>
          <w:rFonts w:cs="Arial"/>
          <w:spacing w:val="-3"/>
        </w:rPr>
        <w:t xml:space="preserve"> </w:t>
      </w:r>
      <w:r w:rsidR="00117721" w:rsidRPr="004068F6">
        <w:rPr>
          <w:rFonts w:cs="Arial"/>
          <w:spacing w:val="-3"/>
        </w:rPr>
        <w:t>o</w:t>
      </w:r>
      <w:r w:rsidRPr="004068F6">
        <w:rPr>
          <w:rFonts w:cs="Arial"/>
          <w:spacing w:val="-3"/>
        </w:rPr>
        <w:t xml:space="preserve"> en otros elementos generadores de bienestar. La </w:t>
      </w:r>
      <w:r w:rsidR="002B1773" w:rsidRPr="004068F6">
        <w:rPr>
          <w:rFonts w:cs="Arial"/>
          <w:spacing w:val="-3"/>
        </w:rPr>
        <w:t xml:space="preserve">definición </w:t>
      </w:r>
      <w:r w:rsidRPr="004068F6">
        <w:rPr>
          <w:rFonts w:cs="Arial"/>
          <w:spacing w:val="-3"/>
        </w:rPr>
        <w:t xml:space="preserve">de indicadores es necesaria y fundamental tanto para la evaluación de los </w:t>
      </w:r>
      <w:r w:rsidR="006E2E3F" w:rsidRPr="004068F6">
        <w:rPr>
          <w:rFonts w:cs="Arial"/>
          <w:spacing w:val="-3"/>
        </w:rPr>
        <w:t>S</w:t>
      </w:r>
      <w:r w:rsidR="00774D87" w:rsidRPr="004068F6">
        <w:rPr>
          <w:rFonts w:cs="Arial"/>
          <w:spacing w:val="-3"/>
        </w:rPr>
        <w:t>SE</w:t>
      </w:r>
      <w:r w:rsidR="006E2E3F" w:rsidRPr="004068F6">
        <w:rPr>
          <w:rFonts w:cs="Arial"/>
          <w:spacing w:val="-3"/>
        </w:rPr>
        <w:t>E</w:t>
      </w:r>
      <w:r w:rsidRPr="004068F6">
        <w:rPr>
          <w:rFonts w:cs="Arial"/>
          <w:spacing w:val="-3"/>
        </w:rPr>
        <w:t xml:space="preserve"> como para la EEA, pues es a partir de ellos, que se miden los cambios del sistema y se desarrolla </w:t>
      </w:r>
      <w:r w:rsidR="000F1A7E" w:rsidRPr="004068F6">
        <w:rPr>
          <w:rFonts w:cs="Arial"/>
          <w:spacing w:val="-3"/>
        </w:rPr>
        <w:t>tanto la caracterización de S</w:t>
      </w:r>
      <w:r w:rsidR="00774D87" w:rsidRPr="004068F6">
        <w:rPr>
          <w:rFonts w:cs="Arial"/>
          <w:spacing w:val="-3"/>
        </w:rPr>
        <w:t>SE</w:t>
      </w:r>
      <w:r w:rsidR="000F1A7E" w:rsidRPr="004068F6">
        <w:rPr>
          <w:rFonts w:cs="Arial"/>
          <w:spacing w:val="-3"/>
        </w:rPr>
        <w:t xml:space="preserve">E como </w:t>
      </w:r>
      <w:r w:rsidRPr="004068F6">
        <w:rPr>
          <w:rFonts w:cs="Arial"/>
          <w:spacing w:val="-3"/>
        </w:rPr>
        <w:t xml:space="preserve">la </w:t>
      </w:r>
      <w:r w:rsidR="000F1A7E" w:rsidRPr="004068F6">
        <w:rPr>
          <w:rFonts w:cs="Arial"/>
          <w:spacing w:val="-3"/>
        </w:rPr>
        <w:t>EEA</w:t>
      </w:r>
      <w:r w:rsidRPr="004068F6">
        <w:rPr>
          <w:spacing w:val="-3"/>
        </w:rPr>
        <w:t>.</w:t>
      </w:r>
    </w:p>
    <w:p w14:paraId="3F2AA82D" w14:textId="77777777" w:rsidR="00093AC0" w:rsidRPr="004068F6" w:rsidRDefault="00093AC0">
      <w:pPr>
        <w:numPr>
          <w:ilvl w:val="12"/>
          <w:numId w:val="0"/>
        </w:numPr>
        <w:tabs>
          <w:tab w:val="left" w:pos="-2268"/>
        </w:tabs>
        <w:suppressAutoHyphens/>
        <w:rPr>
          <w:spacing w:val="-3"/>
        </w:rPr>
      </w:pPr>
    </w:p>
    <w:p w14:paraId="6282A3C8" w14:textId="693C5CC9" w:rsidR="00093AC0" w:rsidRPr="004068F6" w:rsidRDefault="00093AC0" w:rsidP="00093AC0">
      <w:pPr>
        <w:numPr>
          <w:ilvl w:val="12"/>
          <w:numId w:val="0"/>
        </w:numPr>
        <w:tabs>
          <w:tab w:val="left" w:pos="-2268"/>
        </w:tabs>
        <w:suppressAutoHyphens/>
        <w:rPr>
          <w:rFonts w:cs="Arial"/>
          <w:spacing w:val="-3"/>
        </w:rPr>
      </w:pPr>
      <w:r w:rsidRPr="004068F6">
        <w:rPr>
          <w:rFonts w:cs="Arial"/>
          <w:spacing w:val="-3"/>
        </w:rPr>
        <w:t xml:space="preserve">El estado de línea base de los </w:t>
      </w:r>
      <w:r w:rsidR="006E2E3F" w:rsidRPr="004068F6">
        <w:rPr>
          <w:rFonts w:cs="Arial"/>
          <w:spacing w:val="-3"/>
        </w:rPr>
        <w:t>S</w:t>
      </w:r>
      <w:r w:rsidR="00774D87" w:rsidRPr="004068F6">
        <w:rPr>
          <w:rFonts w:cs="Arial"/>
          <w:spacing w:val="-3"/>
        </w:rPr>
        <w:t>SE</w:t>
      </w:r>
      <w:r w:rsidR="006E2E3F" w:rsidRPr="004068F6">
        <w:rPr>
          <w:rFonts w:cs="Arial"/>
          <w:spacing w:val="-3"/>
        </w:rPr>
        <w:t>E</w:t>
      </w:r>
      <w:r w:rsidRPr="004068F6">
        <w:rPr>
          <w:rFonts w:cs="Arial"/>
          <w:spacing w:val="-3"/>
        </w:rPr>
        <w:t xml:space="preserve">, la localización espacial de tales </w:t>
      </w:r>
      <w:r w:rsidR="00C368A2" w:rsidRPr="004068F6">
        <w:rPr>
          <w:rFonts w:cs="Arial"/>
          <w:spacing w:val="-3"/>
        </w:rPr>
        <w:t>SSEE</w:t>
      </w:r>
      <w:r w:rsidRPr="004068F6">
        <w:rPr>
          <w:rFonts w:cs="Arial"/>
          <w:spacing w:val="-3"/>
        </w:rPr>
        <w:t xml:space="preserve"> y de sus beneficiarios, así como la forma en que se impactarían dada la ejecución del proyecto, obra o actividad, brindan las pautas para la formulación integral de medidas que tengan la capacidad de </w:t>
      </w:r>
      <w:r w:rsidR="00085DCC" w:rsidRPr="004068F6">
        <w:rPr>
          <w:rFonts w:cs="Arial"/>
          <w:spacing w:val="-3"/>
        </w:rPr>
        <w:t xml:space="preserve">manejar </w:t>
      </w:r>
      <w:r w:rsidRPr="004068F6">
        <w:rPr>
          <w:rFonts w:cs="Arial"/>
          <w:spacing w:val="-3"/>
        </w:rPr>
        <w:t xml:space="preserve">de forma eficaz </w:t>
      </w:r>
      <w:r w:rsidR="00D24B63" w:rsidRPr="004068F6">
        <w:rPr>
          <w:rFonts w:cs="Arial"/>
          <w:spacing w:val="-3"/>
        </w:rPr>
        <w:t>lo</w:t>
      </w:r>
      <w:r w:rsidRPr="004068F6">
        <w:rPr>
          <w:rFonts w:cs="Arial"/>
          <w:spacing w:val="-3"/>
        </w:rPr>
        <w:t xml:space="preserve">s impactos ambientales, gracias a que la visión </w:t>
      </w:r>
      <w:r w:rsidR="00117721" w:rsidRPr="004068F6">
        <w:rPr>
          <w:rFonts w:cs="Arial"/>
          <w:spacing w:val="-3"/>
        </w:rPr>
        <w:t xml:space="preserve">con la que se abordan </w:t>
      </w:r>
      <w:r w:rsidRPr="004068F6">
        <w:rPr>
          <w:rFonts w:cs="Arial"/>
          <w:spacing w:val="-3"/>
        </w:rPr>
        <w:t xml:space="preserve">los </w:t>
      </w:r>
      <w:r w:rsidR="00C368A2" w:rsidRPr="004068F6">
        <w:rPr>
          <w:rFonts w:cs="Arial"/>
          <w:spacing w:val="-3"/>
        </w:rPr>
        <w:t>SSEE</w:t>
      </w:r>
      <w:r w:rsidR="00117721" w:rsidRPr="004068F6">
        <w:rPr>
          <w:rFonts w:cs="Arial"/>
          <w:spacing w:val="-3"/>
        </w:rPr>
        <w:t xml:space="preserve"> en los estudios ambientales</w:t>
      </w:r>
      <w:r w:rsidRPr="004068F6">
        <w:rPr>
          <w:rFonts w:cs="Arial"/>
          <w:spacing w:val="-3"/>
        </w:rPr>
        <w:t xml:space="preserve">, </w:t>
      </w:r>
      <w:r w:rsidR="00117721" w:rsidRPr="004068F6">
        <w:rPr>
          <w:rFonts w:cs="Arial"/>
          <w:spacing w:val="-3"/>
        </w:rPr>
        <w:t xml:space="preserve">es </w:t>
      </w:r>
      <w:r w:rsidRPr="004068F6">
        <w:rPr>
          <w:rFonts w:cs="Arial"/>
          <w:spacing w:val="-3"/>
        </w:rPr>
        <w:t>implícitamente contextual e integradora.</w:t>
      </w:r>
    </w:p>
    <w:p w14:paraId="48D21CE7" w14:textId="77777777" w:rsidR="00093AC0" w:rsidRPr="004068F6" w:rsidRDefault="00093AC0" w:rsidP="00093AC0">
      <w:pPr>
        <w:numPr>
          <w:ilvl w:val="12"/>
          <w:numId w:val="0"/>
        </w:numPr>
        <w:tabs>
          <w:tab w:val="left" w:pos="-2268"/>
        </w:tabs>
        <w:suppressAutoHyphens/>
        <w:rPr>
          <w:rFonts w:cs="Arial"/>
          <w:spacing w:val="-3"/>
        </w:rPr>
      </w:pPr>
    </w:p>
    <w:p w14:paraId="3FAB9D50" w14:textId="308B6CE1" w:rsidR="00093AC0" w:rsidRPr="004068F6" w:rsidRDefault="00093AC0" w:rsidP="00093AC0">
      <w:pPr>
        <w:numPr>
          <w:ilvl w:val="12"/>
          <w:numId w:val="0"/>
        </w:numPr>
        <w:tabs>
          <w:tab w:val="left" w:pos="-2268"/>
        </w:tabs>
        <w:suppressAutoHyphens/>
        <w:rPr>
          <w:rFonts w:cs="Arial"/>
          <w:spacing w:val="-3"/>
        </w:rPr>
      </w:pPr>
      <w:r w:rsidRPr="004068F6">
        <w:rPr>
          <w:rFonts w:cs="Arial"/>
          <w:spacing w:val="-3"/>
        </w:rPr>
        <w:t xml:space="preserve">Un propósito adicional de este </w:t>
      </w:r>
      <w:r w:rsidR="00434EA7" w:rsidRPr="004068F6">
        <w:rPr>
          <w:rFonts w:cs="Arial"/>
          <w:spacing w:val="-3"/>
        </w:rPr>
        <w:t>numeral</w:t>
      </w:r>
      <w:r w:rsidRPr="004068F6">
        <w:rPr>
          <w:rFonts w:cs="Arial"/>
          <w:spacing w:val="-3"/>
        </w:rPr>
        <w:t xml:space="preserve"> es consolidar información </w:t>
      </w:r>
      <w:r w:rsidR="00BA152F" w:rsidRPr="004068F6">
        <w:rPr>
          <w:rFonts w:cs="Arial"/>
          <w:spacing w:val="-3"/>
        </w:rPr>
        <w:t xml:space="preserve">clave </w:t>
      </w:r>
      <w:r w:rsidR="002868BA" w:rsidRPr="004068F6">
        <w:rPr>
          <w:rFonts w:cs="Arial"/>
          <w:spacing w:val="-3"/>
        </w:rPr>
        <w:t xml:space="preserve">y sintética </w:t>
      </w:r>
      <w:r w:rsidRPr="004068F6">
        <w:rPr>
          <w:rFonts w:cs="Arial"/>
          <w:spacing w:val="-3"/>
        </w:rPr>
        <w:t xml:space="preserve">relacionada con los </w:t>
      </w:r>
      <w:r w:rsidR="00C368A2" w:rsidRPr="004068F6">
        <w:rPr>
          <w:rFonts w:cs="Arial"/>
          <w:spacing w:val="-3"/>
        </w:rPr>
        <w:t>SSEE</w:t>
      </w:r>
      <w:r w:rsidRPr="004068F6">
        <w:rPr>
          <w:rFonts w:cs="Arial"/>
          <w:spacing w:val="-3"/>
        </w:rPr>
        <w:t xml:space="preserve"> así ésta haya </w:t>
      </w:r>
      <w:r w:rsidR="000F1A7E" w:rsidRPr="004068F6">
        <w:rPr>
          <w:rFonts w:cs="Arial"/>
          <w:spacing w:val="-3"/>
        </w:rPr>
        <w:t xml:space="preserve">sido </w:t>
      </w:r>
      <w:r w:rsidRPr="004068F6">
        <w:rPr>
          <w:rFonts w:cs="Arial"/>
          <w:spacing w:val="-3"/>
        </w:rPr>
        <w:t>desarrollad</w:t>
      </w:r>
      <w:r w:rsidR="000F1A7E" w:rsidRPr="004068F6">
        <w:rPr>
          <w:rFonts w:cs="Arial"/>
          <w:spacing w:val="-3"/>
        </w:rPr>
        <w:t>a</w:t>
      </w:r>
      <w:r w:rsidRPr="004068F6">
        <w:rPr>
          <w:rFonts w:cs="Arial"/>
          <w:spacing w:val="-3"/>
        </w:rPr>
        <w:t xml:space="preserve"> </w:t>
      </w:r>
      <w:r w:rsidR="000F1A7E" w:rsidRPr="004068F6">
        <w:rPr>
          <w:rFonts w:cs="Arial"/>
          <w:spacing w:val="-3"/>
        </w:rPr>
        <w:t>y presentada</w:t>
      </w:r>
      <w:r w:rsidR="002868BA" w:rsidRPr="004068F6">
        <w:rPr>
          <w:rFonts w:cs="Arial"/>
          <w:spacing w:val="-3"/>
        </w:rPr>
        <w:t xml:space="preserve"> </w:t>
      </w:r>
      <w:r w:rsidRPr="004068F6">
        <w:rPr>
          <w:rFonts w:cs="Arial"/>
          <w:spacing w:val="-3"/>
        </w:rPr>
        <w:t>en otros numerales del estudio ambiental</w:t>
      </w:r>
      <w:r w:rsidR="00B943F5" w:rsidRPr="004068F6">
        <w:rPr>
          <w:rFonts w:cs="Arial"/>
          <w:spacing w:val="-3"/>
        </w:rPr>
        <w:t xml:space="preserve"> (p. ej. en la evaluación ambiental)</w:t>
      </w:r>
      <w:r w:rsidRPr="004068F6">
        <w:rPr>
          <w:rFonts w:cs="Arial"/>
          <w:spacing w:val="-3"/>
        </w:rPr>
        <w:t xml:space="preserve">; </w:t>
      </w:r>
      <w:r w:rsidR="002868BA" w:rsidRPr="004068F6">
        <w:rPr>
          <w:rFonts w:cs="Arial"/>
          <w:spacing w:val="-3"/>
        </w:rPr>
        <w:t>de esta forma</w:t>
      </w:r>
      <w:r w:rsidRPr="004068F6">
        <w:rPr>
          <w:rFonts w:cs="Arial"/>
          <w:spacing w:val="-3"/>
        </w:rPr>
        <w:t xml:space="preserve">, </w:t>
      </w:r>
      <w:r w:rsidR="006009C2" w:rsidRPr="004068F6">
        <w:rPr>
          <w:rFonts w:cs="Arial"/>
          <w:spacing w:val="-3"/>
        </w:rPr>
        <w:t xml:space="preserve">adicional a </w:t>
      </w:r>
      <w:r w:rsidRPr="004068F6">
        <w:rPr>
          <w:rFonts w:cs="Arial"/>
          <w:spacing w:val="-3"/>
        </w:rPr>
        <w:t xml:space="preserve">la información sobre el estado de los </w:t>
      </w:r>
      <w:r w:rsidR="00C368A2" w:rsidRPr="004068F6">
        <w:rPr>
          <w:rFonts w:cs="Arial"/>
          <w:spacing w:val="-3"/>
        </w:rPr>
        <w:t>SSEE</w:t>
      </w:r>
      <w:r w:rsidRPr="004068F6">
        <w:rPr>
          <w:rFonts w:cs="Arial"/>
          <w:spacing w:val="-3"/>
        </w:rPr>
        <w:t xml:space="preserve">, sus beneficiarios y sus tendencias futuras en el escenario sin proyecto, </w:t>
      </w:r>
      <w:r w:rsidR="00117721" w:rsidRPr="004068F6">
        <w:rPr>
          <w:rFonts w:cs="Arial"/>
          <w:spacing w:val="-3"/>
        </w:rPr>
        <w:t xml:space="preserve">en este </w:t>
      </w:r>
      <w:r w:rsidR="002868BA" w:rsidRPr="004068F6">
        <w:rPr>
          <w:rFonts w:cs="Arial"/>
          <w:spacing w:val="-3"/>
        </w:rPr>
        <w:t>aparte del estudio ambiental</w:t>
      </w:r>
      <w:r w:rsidR="00117721" w:rsidRPr="004068F6">
        <w:rPr>
          <w:rFonts w:cs="Arial"/>
          <w:spacing w:val="-3"/>
        </w:rPr>
        <w:t xml:space="preserve"> </w:t>
      </w:r>
      <w:r w:rsidRPr="004068F6">
        <w:rPr>
          <w:rFonts w:cs="Arial"/>
          <w:spacing w:val="-3"/>
        </w:rPr>
        <w:lastRenderedPageBreak/>
        <w:t xml:space="preserve">se debe </w:t>
      </w:r>
      <w:r w:rsidRPr="004068F6">
        <w:rPr>
          <w:rFonts w:cs="Arial"/>
          <w:i/>
          <w:iCs/>
          <w:spacing w:val="-3"/>
        </w:rPr>
        <w:t>mencionar</w:t>
      </w:r>
      <w:r w:rsidRPr="004068F6">
        <w:rPr>
          <w:rFonts w:cs="Arial"/>
          <w:spacing w:val="-3"/>
        </w:rPr>
        <w:t xml:space="preserve"> </w:t>
      </w:r>
      <w:r w:rsidR="00EC20A1">
        <w:rPr>
          <w:rFonts w:cs="Arial"/>
          <w:spacing w:val="-3"/>
        </w:rPr>
        <w:t xml:space="preserve">la </w:t>
      </w:r>
      <w:r w:rsidR="00026767">
        <w:rPr>
          <w:rFonts w:cs="Arial"/>
          <w:spacing w:val="-3"/>
        </w:rPr>
        <w:t>rel</w:t>
      </w:r>
      <w:r w:rsidR="00EB29D7">
        <w:rPr>
          <w:rFonts w:cs="Arial"/>
          <w:spacing w:val="-3"/>
        </w:rPr>
        <w:t>a</w:t>
      </w:r>
      <w:r w:rsidR="00026767">
        <w:rPr>
          <w:rFonts w:cs="Arial"/>
          <w:spacing w:val="-3"/>
        </w:rPr>
        <w:t>ción</w:t>
      </w:r>
      <w:r w:rsidR="002C6F8B">
        <w:rPr>
          <w:rFonts w:cs="Arial"/>
          <w:spacing w:val="-3"/>
        </w:rPr>
        <w:t xml:space="preserve"> </w:t>
      </w:r>
      <w:r w:rsidR="00EB29D7">
        <w:rPr>
          <w:rFonts w:cs="Arial"/>
          <w:spacing w:val="-3"/>
        </w:rPr>
        <w:t xml:space="preserve">entre </w:t>
      </w:r>
      <w:r w:rsidR="002C6F8B">
        <w:rPr>
          <w:rFonts w:cs="Arial"/>
          <w:spacing w:val="-3"/>
        </w:rPr>
        <w:t xml:space="preserve">los SSEE en los derechos humanos, </w:t>
      </w:r>
      <w:r w:rsidRPr="004068F6">
        <w:rPr>
          <w:rFonts w:cs="Arial"/>
          <w:spacing w:val="-3"/>
        </w:rPr>
        <w:t xml:space="preserve">los impactos ambientales sobre los </w:t>
      </w:r>
      <w:r w:rsidR="00C368A2" w:rsidRPr="004068F6">
        <w:rPr>
          <w:rFonts w:cs="Arial"/>
          <w:spacing w:val="-3"/>
        </w:rPr>
        <w:t>SSEE</w:t>
      </w:r>
      <w:r w:rsidR="002868BA" w:rsidRPr="004068F6">
        <w:rPr>
          <w:rFonts w:cs="Arial"/>
          <w:spacing w:val="-3"/>
        </w:rPr>
        <w:t xml:space="preserve"> </w:t>
      </w:r>
      <w:r w:rsidR="000F1A7E" w:rsidRPr="004068F6">
        <w:rPr>
          <w:rFonts w:cs="Arial"/>
          <w:spacing w:val="-3"/>
        </w:rPr>
        <w:t xml:space="preserve">y </w:t>
      </w:r>
      <w:r w:rsidRPr="004068F6">
        <w:rPr>
          <w:rFonts w:cs="Arial"/>
          <w:spacing w:val="-3"/>
        </w:rPr>
        <w:t xml:space="preserve">la calificación </w:t>
      </w:r>
      <w:r w:rsidR="0004417E" w:rsidRPr="004068F6">
        <w:rPr>
          <w:rFonts w:cs="Arial"/>
          <w:spacing w:val="-3"/>
        </w:rPr>
        <w:t xml:space="preserve">normalizada </w:t>
      </w:r>
      <w:r w:rsidRPr="004068F6">
        <w:rPr>
          <w:rFonts w:cs="Arial"/>
          <w:spacing w:val="-3"/>
        </w:rPr>
        <w:t xml:space="preserve">de </w:t>
      </w:r>
      <w:r w:rsidR="00117721" w:rsidRPr="004068F6">
        <w:rPr>
          <w:rFonts w:cs="Arial"/>
          <w:spacing w:val="-3"/>
        </w:rPr>
        <w:t>los mismos</w:t>
      </w:r>
      <w:r w:rsidRPr="004068F6">
        <w:rPr>
          <w:rFonts w:cs="Arial"/>
          <w:spacing w:val="-3"/>
        </w:rPr>
        <w:t>. Estos datos deben incluirse en una tabla</w:t>
      </w:r>
      <w:r w:rsidR="000F1A7E" w:rsidRPr="004068F6">
        <w:rPr>
          <w:rFonts w:cs="Arial"/>
          <w:spacing w:val="-3"/>
        </w:rPr>
        <w:t xml:space="preserve"> que </w:t>
      </w:r>
      <w:r w:rsidR="00614170" w:rsidRPr="004068F6">
        <w:rPr>
          <w:rFonts w:cs="Arial"/>
          <w:spacing w:val="-3"/>
        </w:rPr>
        <w:t xml:space="preserve">tome como </w:t>
      </w:r>
      <w:r w:rsidR="002868BA" w:rsidRPr="004068F6">
        <w:rPr>
          <w:rFonts w:cs="Arial"/>
          <w:spacing w:val="-3"/>
        </w:rPr>
        <w:t xml:space="preserve">modelo la </w:t>
      </w:r>
      <w:r w:rsidR="003968FB" w:rsidRPr="004068F6">
        <w:rPr>
          <w:rFonts w:cs="Arial"/>
          <w:spacing w:val="-3"/>
        </w:rPr>
        <w:fldChar w:fldCharType="begin"/>
      </w:r>
      <w:r w:rsidR="003968FB" w:rsidRPr="004068F6">
        <w:rPr>
          <w:rFonts w:cs="Arial"/>
          <w:spacing w:val="-3"/>
        </w:rPr>
        <w:instrText xml:space="preserve"> REF _Ref78536291 \h  \* MERGEFORMAT </w:instrText>
      </w:r>
      <w:r w:rsidR="003968FB" w:rsidRPr="004068F6">
        <w:rPr>
          <w:rFonts w:cs="Arial"/>
          <w:spacing w:val="-3"/>
        </w:rPr>
      </w:r>
      <w:r w:rsidR="003968FB" w:rsidRPr="004068F6">
        <w:rPr>
          <w:rFonts w:cs="Arial"/>
          <w:spacing w:val="-3"/>
        </w:rPr>
        <w:fldChar w:fldCharType="separate"/>
      </w:r>
      <w:r w:rsidR="009C4A81" w:rsidRPr="009C4A81">
        <w:rPr>
          <w:rFonts w:cs="Arial"/>
          <w:spacing w:val="-3"/>
        </w:rPr>
        <w:t>Tabla 28</w:t>
      </w:r>
      <w:r w:rsidR="003968FB" w:rsidRPr="004068F6">
        <w:rPr>
          <w:rFonts w:cs="Arial"/>
          <w:spacing w:val="-3"/>
        </w:rPr>
        <w:fldChar w:fldCharType="end"/>
      </w:r>
      <w:r w:rsidR="000F1A7E" w:rsidRPr="004068F6">
        <w:rPr>
          <w:rFonts w:cs="Arial"/>
          <w:spacing w:val="-3"/>
        </w:rPr>
        <w:t xml:space="preserve"> del presente documento</w:t>
      </w:r>
      <w:r w:rsidR="00614170" w:rsidRPr="004068F6">
        <w:rPr>
          <w:rFonts w:cs="Arial"/>
          <w:spacing w:val="-3"/>
        </w:rPr>
        <w:t xml:space="preserve"> para sintetizar la información más importante respecto de los </w:t>
      </w:r>
      <w:r w:rsidR="00C368A2" w:rsidRPr="004068F6">
        <w:rPr>
          <w:rFonts w:cs="Arial"/>
          <w:spacing w:val="-3"/>
        </w:rPr>
        <w:t>SSEE</w:t>
      </w:r>
      <w:r w:rsidRPr="004068F6">
        <w:rPr>
          <w:rFonts w:cs="Arial"/>
          <w:spacing w:val="-3"/>
        </w:rPr>
        <w:t>.</w:t>
      </w:r>
    </w:p>
    <w:p w14:paraId="35BEE645" w14:textId="77777777" w:rsidR="00093AC0" w:rsidRPr="004068F6" w:rsidRDefault="00093AC0" w:rsidP="00093AC0">
      <w:pPr>
        <w:numPr>
          <w:ilvl w:val="12"/>
          <w:numId w:val="0"/>
        </w:numPr>
        <w:tabs>
          <w:tab w:val="left" w:pos="-2268"/>
        </w:tabs>
        <w:suppressAutoHyphens/>
        <w:rPr>
          <w:rFonts w:cs="Arial"/>
          <w:spacing w:val="-3"/>
        </w:rPr>
      </w:pPr>
    </w:p>
    <w:p w14:paraId="4906995E" w14:textId="646FE532" w:rsidR="005A0DD9" w:rsidRPr="00466E26" w:rsidRDefault="005A0DD9" w:rsidP="000A1E20">
      <w:pPr>
        <w:pStyle w:val="Ttulo3"/>
      </w:pPr>
      <w:bookmarkStart w:id="3010" w:name="_Toc230879666"/>
      <w:r w:rsidRPr="00466E26">
        <w:t xml:space="preserve">Procedimiento general para caracterizar los </w:t>
      </w:r>
      <w:r w:rsidR="00C368A2" w:rsidRPr="00466E26">
        <w:t>SSEE</w:t>
      </w:r>
      <w:bookmarkEnd w:id="3010"/>
    </w:p>
    <w:p w14:paraId="1D369194" w14:textId="77777777" w:rsidR="005A0DD9" w:rsidRPr="004068F6" w:rsidRDefault="005A0DD9" w:rsidP="00093AC0">
      <w:pPr>
        <w:numPr>
          <w:ilvl w:val="12"/>
          <w:numId w:val="0"/>
        </w:numPr>
        <w:tabs>
          <w:tab w:val="left" w:pos="-2268"/>
        </w:tabs>
        <w:suppressAutoHyphens/>
        <w:rPr>
          <w:rFonts w:cs="Arial"/>
          <w:spacing w:val="-3"/>
        </w:rPr>
      </w:pPr>
    </w:p>
    <w:p w14:paraId="2178A26B" w14:textId="35DF10C1" w:rsidR="003B4E8F" w:rsidRPr="004068F6" w:rsidRDefault="00AB142C" w:rsidP="00093AC0">
      <w:pPr>
        <w:numPr>
          <w:ilvl w:val="12"/>
          <w:numId w:val="0"/>
        </w:numPr>
        <w:tabs>
          <w:tab w:val="left" w:pos="-2268"/>
        </w:tabs>
        <w:suppressAutoHyphens/>
        <w:rPr>
          <w:rFonts w:cs="Arial"/>
          <w:spacing w:val="-3"/>
        </w:rPr>
      </w:pPr>
      <w:r w:rsidRPr="004068F6">
        <w:rPr>
          <w:rFonts w:cs="Arial"/>
          <w:spacing w:val="-3"/>
        </w:rPr>
        <w:t xml:space="preserve">Para caracterizar los </w:t>
      </w:r>
      <w:r w:rsidR="00C368A2" w:rsidRPr="004068F6">
        <w:rPr>
          <w:rFonts w:cs="Arial"/>
          <w:spacing w:val="-3"/>
        </w:rPr>
        <w:t>SSEE</w:t>
      </w:r>
      <w:r w:rsidRPr="004068F6">
        <w:rPr>
          <w:rFonts w:cs="Arial"/>
          <w:spacing w:val="-3"/>
        </w:rPr>
        <w:t xml:space="preserve"> es necesario </w:t>
      </w:r>
      <w:r w:rsidR="00203981" w:rsidRPr="004068F6">
        <w:rPr>
          <w:rFonts w:cs="Arial"/>
          <w:spacing w:val="-3"/>
        </w:rPr>
        <w:t xml:space="preserve">desarrollar las siguientes actividades: i) </w:t>
      </w:r>
      <w:r w:rsidR="00093AC0" w:rsidRPr="004068F6">
        <w:rPr>
          <w:spacing w:val="-3"/>
        </w:rPr>
        <w:t>defini</w:t>
      </w:r>
      <w:r w:rsidR="00B31D36" w:rsidRPr="004068F6">
        <w:rPr>
          <w:spacing w:val="-3"/>
        </w:rPr>
        <w:t xml:space="preserve">r </w:t>
      </w:r>
      <w:r w:rsidR="00093AC0" w:rsidRPr="004068F6">
        <w:rPr>
          <w:spacing w:val="-3"/>
        </w:rPr>
        <w:t>unidad</w:t>
      </w:r>
      <w:r w:rsidR="00B31D36" w:rsidRPr="004068F6">
        <w:rPr>
          <w:spacing w:val="-3"/>
        </w:rPr>
        <w:t>es</w:t>
      </w:r>
      <w:r w:rsidR="00093AC0" w:rsidRPr="004068F6">
        <w:rPr>
          <w:spacing w:val="-3"/>
        </w:rPr>
        <w:t xml:space="preserve"> de análisis, </w:t>
      </w:r>
      <w:r w:rsidR="00203981" w:rsidRPr="004068F6">
        <w:rPr>
          <w:spacing w:val="-3"/>
        </w:rPr>
        <w:t xml:space="preserve">ii) </w:t>
      </w:r>
      <w:r w:rsidR="006E3213" w:rsidRPr="004068F6">
        <w:rPr>
          <w:spacing w:val="-3"/>
        </w:rPr>
        <w:t xml:space="preserve">determinar y </w:t>
      </w:r>
      <w:r w:rsidR="00093AC0" w:rsidRPr="004068F6">
        <w:rPr>
          <w:spacing w:val="-3"/>
        </w:rPr>
        <w:t>clasifica</w:t>
      </w:r>
      <w:r w:rsidR="00B31D36" w:rsidRPr="004068F6">
        <w:rPr>
          <w:spacing w:val="-3"/>
        </w:rPr>
        <w:t>r</w:t>
      </w:r>
      <w:r w:rsidR="00093AC0" w:rsidRPr="004068F6">
        <w:rPr>
          <w:spacing w:val="-3"/>
        </w:rPr>
        <w:t xml:space="preserve"> </w:t>
      </w:r>
      <w:r w:rsidR="00B31D36" w:rsidRPr="004068F6">
        <w:rPr>
          <w:spacing w:val="-3"/>
        </w:rPr>
        <w:t xml:space="preserve">los </w:t>
      </w:r>
      <w:r w:rsidR="00C368A2" w:rsidRPr="004068F6">
        <w:rPr>
          <w:spacing w:val="-3"/>
        </w:rPr>
        <w:t>SSEE</w:t>
      </w:r>
      <w:r w:rsidR="00093AC0" w:rsidRPr="004068F6">
        <w:rPr>
          <w:spacing w:val="-3"/>
        </w:rPr>
        <w:t xml:space="preserve"> </w:t>
      </w:r>
      <w:r w:rsidR="00093AC0" w:rsidRPr="004068F6">
        <w:rPr>
          <w:rFonts w:cs="Arial"/>
          <w:spacing w:val="-3"/>
        </w:rPr>
        <w:t xml:space="preserve">y </w:t>
      </w:r>
      <w:r w:rsidR="006E3213" w:rsidRPr="004068F6">
        <w:rPr>
          <w:rFonts w:cs="Arial"/>
          <w:spacing w:val="-3"/>
        </w:rPr>
        <w:t xml:space="preserve">iii) </w:t>
      </w:r>
      <w:r w:rsidR="007B605B" w:rsidRPr="004068F6">
        <w:rPr>
          <w:rFonts w:cs="Arial"/>
          <w:spacing w:val="-3"/>
        </w:rPr>
        <w:t>evalua</w:t>
      </w:r>
      <w:r w:rsidR="00B31D36" w:rsidRPr="004068F6">
        <w:rPr>
          <w:rFonts w:cs="Arial"/>
          <w:spacing w:val="-3"/>
        </w:rPr>
        <w:t xml:space="preserve">r </w:t>
      </w:r>
      <w:r w:rsidRPr="004068F6">
        <w:rPr>
          <w:rFonts w:cs="Arial"/>
          <w:spacing w:val="-3"/>
        </w:rPr>
        <w:t>y d</w:t>
      </w:r>
      <w:r w:rsidRPr="004068F6">
        <w:rPr>
          <w:spacing w:val="-3"/>
        </w:rPr>
        <w:t>escri</w:t>
      </w:r>
      <w:r w:rsidR="00B31D36" w:rsidRPr="004068F6">
        <w:rPr>
          <w:spacing w:val="-3"/>
        </w:rPr>
        <w:t xml:space="preserve">bir </w:t>
      </w:r>
      <w:r w:rsidR="00093AC0" w:rsidRPr="004068F6">
        <w:rPr>
          <w:rFonts w:cs="Arial"/>
          <w:spacing w:val="-3"/>
        </w:rPr>
        <w:t xml:space="preserve">los </w:t>
      </w:r>
      <w:r w:rsidR="00C368A2" w:rsidRPr="004068F6">
        <w:rPr>
          <w:rFonts w:cs="Arial"/>
          <w:spacing w:val="-3"/>
        </w:rPr>
        <w:t>SSEE</w:t>
      </w:r>
      <w:r w:rsidRPr="004068F6">
        <w:rPr>
          <w:rFonts w:cs="Arial"/>
          <w:spacing w:val="-3"/>
          <w:vertAlign w:val="superscript"/>
        </w:rPr>
        <w:footnoteReference w:id="182"/>
      </w:r>
      <w:r w:rsidR="00A70A2F" w:rsidRPr="004068F6">
        <w:rPr>
          <w:rFonts w:cs="Arial"/>
          <w:spacing w:val="-3"/>
        </w:rPr>
        <w:t>.</w:t>
      </w:r>
      <w:r w:rsidR="00906FF5" w:rsidRPr="004068F6">
        <w:rPr>
          <w:rFonts w:cs="Arial"/>
          <w:spacing w:val="-3"/>
        </w:rPr>
        <w:t xml:space="preserve"> </w:t>
      </w:r>
      <w:r w:rsidR="00A70A2F" w:rsidRPr="004068F6">
        <w:rPr>
          <w:rFonts w:cs="Arial"/>
          <w:spacing w:val="-3"/>
        </w:rPr>
        <w:t xml:space="preserve">Tales actividades </w:t>
      </w:r>
      <w:r w:rsidR="00AB18FE" w:rsidRPr="004068F6">
        <w:rPr>
          <w:rFonts w:cs="Arial"/>
          <w:spacing w:val="-3"/>
        </w:rPr>
        <w:t>permite</w:t>
      </w:r>
      <w:r w:rsidR="00A70A2F" w:rsidRPr="004068F6">
        <w:rPr>
          <w:rFonts w:cs="Arial"/>
          <w:spacing w:val="-3"/>
        </w:rPr>
        <w:t>n</w:t>
      </w:r>
      <w:r w:rsidR="00AB18FE" w:rsidRPr="004068F6">
        <w:rPr>
          <w:rFonts w:cs="Arial"/>
          <w:spacing w:val="-3"/>
        </w:rPr>
        <w:t xml:space="preserve"> </w:t>
      </w:r>
      <w:r w:rsidR="00906FF5" w:rsidRPr="004068F6">
        <w:rPr>
          <w:rFonts w:cs="Arial"/>
          <w:spacing w:val="-3"/>
        </w:rPr>
        <w:t>conocer</w:t>
      </w:r>
      <w:r w:rsidR="000A4FBF" w:rsidRPr="004068F6">
        <w:rPr>
          <w:rFonts w:cs="Arial"/>
          <w:spacing w:val="-3"/>
        </w:rPr>
        <w:t xml:space="preserve"> </w:t>
      </w:r>
      <w:r w:rsidR="002956CE" w:rsidRPr="004068F6">
        <w:rPr>
          <w:rFonts w:cs="Arial"/>
          <w:spacing w:val="-3"/>
        </w:rPr>
        <w:t xml:space="preserve">el </w:t>
      </w:r>
      <w:r w:rsidR="00906FF5" w:rsidRPr="004068F6">
        <w:rPr>
          <w:rFonts w:cs="Arial"/>
          <w:spacing w:val="-3"/>
        </w:rPr>
        <w:t>estado</w:t>
      </w:r>
      <w:r w:rsidR="002956CE" w:rsidRPr="004068F6">
        <w:rPr>
          <w:rFonts w:cs="Arial"/>
          <w:spacing w:val="-3"/>
        </w:rPr>
        <w:t xml:space="preserve"> </w:t>
      </w:r>
      <w:r w:rsidR="004818B4" w:rsidRPr="004068F6">
        <w:rPr>
          <w:rFonts w:cs="Arial"/>
          <w:spacing w:val="-3"/>
        </w:rPr>
        <w:t xml:space="preserve">y dinámica </w:t>
      </w:r>
      <w:r w:rsidR="002956CE" w:rsidRPr="004068F6">
        <w:rPr>
          <w:rFonts w:cs="Arial"/>
          <w:spacing w:val="-3"/>
        </w:rPr>
        <w:t xml:space="preserve">de los </w:t>
      </w:r>
      <w:r w:rsidR="00C368A2" w:rsidRPr="004068F6">
        <w:rPr>
          <w:rFonts w:cs="Arial"/>
          <w:spacing w:val="-3"/>
        </w:rPr>
        <w:t>SSEE</w:t>
      </w:r>
      <w:r w:rsidR="00A30AC3" w:rsidRPr="004068F6">
        <w:rPr>
          <w:rFonts w:cs="Arial"/>
          <w:spacing w:val="-3"/>
        </w:rPr>
        <w:t>,</w:t>
      </w:r>
      <w:r w:rsidR="00A64546" w:rsidRPr="004068F6">
        <w:rPr>
          <w:rFonts w:cs="Arial"/>
          <w:spacing w:val="-3"/>
        </w:rPr>
        <w:t xml:space="preserve"> </w:t>
      </w:r>
      <w:r w:rsidR="00A70A2F" w:rsidRPr="004068F6">
        <w:rPr>
          <w:rFonts w:cs="Arial"/>
          <w:spacing w:val="-3"/>
        </w:rPr>
        <w:t xml:space="preserve">los </w:t>
      </w:r>
      <w:r w:rsidR="00906FF5" w:rsidRPr="004068F6">
        <w:rPr>
          <w:rFonts w:cs="Arial"/>
          <w:spacing w:val="-3"/>
        </w:rPr>
        <w:t>beneficiarios</w:t>
      </w:r>
      <w:r w:rsidR="004818B4" w:rsidRPr="004068F6">
        <w:rPr>
          <w:rFonts w:cs="Arial"/>
          <w:spacing w:val="-3"/>
        </w:rPr>
        <w:t xml:space="preserve"> </w:t>
      </w:r>
      <w:r w:rsidR="00385BFB" w:rsidRPr="004068F6">
        <w:rPr>
          <w:rFonts w:cs="Arial"/>
          <w:spacing w:val="-3"/>
        </w:rPr>
        <w:t xml:space="preserve">de los </w:t>
      </w:r>
      <w:r w:rsidR="00C368A2" w:rsidRPr="004068F6">
        <w:rPr>
          <w:rFonts w:cs="Arial"/>
          <w:spacing w:val="-3"/>
        </w:rPr>
        <w:t>SSEE</w:t>
      </w:r>
      <w:r w:rsidR="00A64546" w:rsidRPr="004068F6">
        <w:rPr>
          <w:rFonts w:cs="Arial"/>
          <w:spacing w:val="-3"/>
        </w:rPr>
        <w:t xml:space="preserve"> y su grado de dependencia hacia éstos</w:t>
      </w:r>
      <w:r w:rsidR="00EE4CF0" w:rsidRPr="004068F6">
        <w:rPr>
          <w:rFonts w:cs="Arial"/>
          <w:spacing w:val="-3"/>
        </w:rPr>
        <w:t xml:space="preserve">, así como prever la forma en </w:t>
      </w:r>
      <w:r w:rsidR="00A30AC3" w:rsidRPr="004068F6">
        <w:rPr>
          <w:rFonts w:cs="Arial"/>
          <w:spacing w:val="-3"/>
        </w:rPr>
        <w:t xml:space="preserve">el </w:t>
      </w:r>
      <w:r w:rsidR="00EE4CF0" w:rsidRPr="004068F6">
        <w:rPr>
          <w:rFonts w:cs="Arial"/>
          <w:spacing w:val="-3"/>
        </w:rPr>
        <w:t xml:space="preserve">proyecto </w:t>
      </w:r>
      <w:r w:rsidR="00A30AC3" w:rsidRPr="004068F6">
        <w:rPr>
          <w:rFonts w:cs="Arial"/>
          <w:spacing w:val="-3"/>
        </w:rPr>
        <w:t>impacta</w:t>
      </w:r>
      <w:r w:rsidR="00415635" w:rsidRPr="004068F6">
        <w:rPr>
          <w:rFonts w:cs="Arial"/>
          <w:spacing w:val="-3"/>
        </w:rPr>
        <w:t xml:space="preserve"> los </w:t>
      </w:r>
      <w:r w:rsidR="00C368A2" w:rsidRPr="004068F6">
        <w:rPr>
          <w:rFonts w:cs="Arial"/>
          <w:spacing w:val="-3"/>
        </w:rPr>
        <w:t>SSEE</w:t>
      </w:r>
      <w:r w:rsidR="002C59A5" w:rsidRPr="004068F6">
        <w:rPr>
          <w:rFonts w:cs="Arial"/>
          <w:spacing w:val="-3"/>
        </w:rPr>
        <w:t>.</w:t>
      </w:r>
      <w:r w:rsidRPr="004068F6">
        <w:rPr>
          <w:rFonts w:cs="Arial"/>
          <w:spacing w:val="-3"/>
        </w:rPr>
        <w:t xml:space="preserve"> E</w:t>
      </w:r>
      <w:r w:rsidR="003B4E8F" w:rsidRPr="004068F6">
        <w:rPr>
          <w:rFonts w:cs="Arial"/>
          <w:spacing w:val="-3"/>
        </w:rPr>
        <w:t xml:space="preserve">n razón a que </w:t>
      </w:r>
      <w:r w:rsidRPr="004068F6">
        <w:rPr>
          <w:rFonts w:cs="Arial"/>
          <w:spacing w:val="-3"/>
        </w:rPr>
        <w:t xml:space="preserve">esta tarea </w:t>
      </w:r>
      <w:r w:rsidR="003B4E8F" w:rsidRPr="004068F6">
        <w:rPr>
          <w:rFonts w:cs="Arial"/>
          <w:spacing w:val="-3"/>
        </w:rPr>
        <w:t xml:space="preserve">implica un alto grado de complejidad, </w:t>
      </w:r>
      <w:r w:rsidRPr="004068F6">
        <w:rPr>
          <w:rFonts w:cs="Arial"/>
          <w:spacing w:val="-3"/>
        </w:rPr>
        <w:t xml:space="preserve">es fundamental adelantarla </w:t>
      </w:r>
      <w:r w:rsidR="003B4E8F" w:rsidRPr="004068F6">
        <w:rPr>
          <w:rFonts w:cs="Arial"/>
          <w:spacing w:val="-3"/>
        </w:rPr>
        <w:t>mediante un trabajo interdisciplinar en el que se complementen los enfoques y métodos propios de las ciencias naturales y de las ciencias sociales.</w:t>
      </w:r>
    </w:p>
    <w:p w14:paraId="798FB47E" w14:textId="77777777" w:rsidR="00093AC0" w:rsidRPr="004068F6" w:rsidRDefault="00093AC0">
      <w:pPr>
        <w:numPr>
          <w:ilvl w:val="12"/>
          <w:numId w:val="0"/>
        </w:numPr>
        <w:tabs>
          <w:tab w:val="left" w:pos="-2268"/>
        </w:tabs>
        <w:suppressAutoHyphens/>
        <w:rPr>
          <w:spacing w:val="-3"/>
        </w:rPr>
      </w:pPr>
    </w:p>
    <w:p w14:paraId="514B1D86" w14:textId="3D1A516C" w:rsidR="00970A40" w:rsidRPr="004068F6" w:rsidRDefault="00B31D36" w:rsidP="00970A40">
      <w:pPr>
        <w:numPr>
          <w:ilvl w:val="12"/>
          <w:numId w:val="0"/>
        </w:numPr>
        <w:tabs>
          <w:tab w:val="left" w:pos="-2268"/>
        </w:tabs>
        <w:suppressAutoHyphens/>
        <w:rPr>
          <w:spacing w:val="-3"/>
        </w:rPr>
      </w:pPr>
      <w:r w:rsidRPr="004068F6">
        <w:rPr>
          <w:spacing w:val="-3"/>
        </w:rPr>
        <w:t xml:space="preserve">El desarrollo de estas actividades de </w:t>
      </w:r>
      <w:r w:rsidR="00970A40" w:rsidRPr="004068F6">
        <w:rPr>
          <w:spacing w:val="-3"/>
        </w:rPr>
        <w:t xml:space="preserve">caracterización </w:t>
      </w:r>
      <w:r w:rsidR="00800CB4" w:rsidRPr="004068F6">
        <w:rPr>
          <w:spacing w:val="-3"/>
        </w:rPr>
        <w:t xml:space="preserve">debe </w:t>
      </w:r>
      <w:r w:rsidR="00970A40" w:rsidRPr="004068F6">
        <w:rPr>
          <w:rFonts w:cs="Arial"/>
          <w:spacing w:val="-3"/>
        </w:rPr>
        <w:t xml:space="preserve">partir de </w:t>
      </w:r>
      <w:r w:rsidR="00970A40" w:rsidRPr="004068F6">
        <w:rPr>
          <w:spacing w:val="-3"/>
        </w:rPr>
        <w:t xml:space="preserve">las </w:t>
      </w:r>
      <w:r w:rsidR="00970A40" w:rsidRPr="004068F6">
        <w:rPr>
          <w:i/>
          <w:spacing w:val="-3"/>
        </w:rPr>
        <w:t xml:space="preserve">relaciones </w:t>
      </w:r>
      <w:r w:rsidR="00970A40" w:rsidRPr="004068F6">
        <w:rPr>
          <w:rFonts w:cs="Arial"/>
          <w:i/>
          <w:spacing w:val="-3"/>
        </w:rPr>
        <w:t>teóricas</w:t>
      </w:r>
      <w:r w:rsidR="00970A40" w:rsidRPr="004068F6">
        <w:rPr>
          <w:rFonts w:cs="Arial"/>
          <w:spacing w:val="-3"/>
        </w:rPr>
        <w:t xml:space="preserve"> que existen </w:t>
      </w:r>
      <w:r w:rsidR="00970A40" w:rsidRPr="004068F6">
        <w:rPr>
          <w:spacing w:val="-3"/>
        </w:rPr>
        <w:t xml:space="preserve">entre procesos ecosistémicos, funciones ecosistémicas, estructuras y </w:t>
      </w:r>
      <w:r w:rsidR="00C368A2" w:rsidRPr="004068F6">
        <w:rPr>
          <w:spacing w:val="-3"/>
        </w:rPr>
        <w:t>SSEE</w:t>
      </w:r>
      <w:r w:rsidR="00970A40" w:rsidRPr="004068F6">
        <w:rPr>
          <w:spacing w:val="-3"/>
        </w:rPr>
        <w:t xml:space="preserve">, </w:t>
      </w:r>
      <w:r w:rsidR="00970A40" w:rsidRPr="004068F6">
        <w:rPr>
          <w:rFonts w:cs="Arial"/>
          <w:spacing w:val="-3"/>
        </w:rPr>
        <w:t>identificando para el caso de estudio,</w:t>
      </w:r>
      <w:r w:rsidR="00970A40" w:rsidRPr="004068F6">
        <w:rPr>
          <w:spacing w:val="-3"/>
        </w:rPr>
        <w:t xml:space="preserve"> qué procesos permiten el desarrollo de qué funciones, qué funciones se vinculan a qué estructuras, y qué estructuras proveen cuáles </w:t>
      </w:r>
      <w:r w:rsidR="00C368A2" w:rsidRPr="004068F6">
        <w:rPr>
          <w:spacing w:val="-3"/>
        </w:rPr>
        <w:t>SSEE</w:t>
      </w:r>
      <w:r w:rsidR="00970A40" w:rsidRPr="004068F6">
        <w:rPr>
          <w:rStyle w:val="Refdenotaalpie"/>
          <w:spacing w:val="-3"/>
          <w:lang w:val="es-CO"/>
        </w:rPr>
        <w:footnoteReference w:id="183"/>
      </w:r>
      <w:r w:rsidR="00970A40" w:rsidRPr="004068F6">
        <w:rPr>
          <w:spacing w:val="-3"/>
        </w:rPr>
        <w:t>.</w:t>
      </w:r>
    </w:p>
    <w:p w14:paraId="462510E1" w14:textId="77777777" w:rsidR="00741E31" w:rsidRPr="004068F6" w:rsidRDefault="00741E31" w:rsidP="00970A40">
      <w:pPr>
        <w:numPr>
          <w:ilvl w:val="12"/>
          <w:numId w:val="0"/>
        </w:numPr>
        <w:tabs>
          <w:tab w:val="left" w:pos="-2268"/>
        </w:tabs>
        <w:suppressAutoHyphens/>
        <w:rPr>
          <w:spacing w:val="-3"/>
        </w:rPr>
      </w:pPr>
    </w:p>
    <w:p w14:paraId="3658359E" w14:textId="54BBF09C" w:rsidR="00741E31" w:rsidRPr="004068F6" w:rsidRDefault="00635376" w:rsidP="00970A40">
      <w:pPr>
        <w:numPr>
          <w:ilvl w:val="12"/>
          <w:numId w:val="0"/>
        </w:numPr>
        <w:tabs>
          <w:tab w:val="left" w:pos="-2268"/>
        </w:tabs>
        <w:suppressAutoHyphens/>
        <w:rPr>
          <w:spacing w:val="-3"/>
        </w:rPr>
      </w:pPr>
      <w:r w:rsidRPr="004068F6">
        <w:rPr>
          <w:spacing w:val="-3"/>
        </w:rPr>
        <w:t>La información emple</w:t>
      </w:r>
      <w:r w:rsidR="004A7DE3" w:rsidRPr="004068F6">
        <w:rPr>
          <w:spacing w:val="-3"/>
        </w:rPr>
        <w:t>ada</w:t>
      </w:r>
      <w:r w:rsidRPr="004068F6">
        <w:rPr>
          <w:spacing w:val="-3"/>
        </w:rPr>
        <w:t xml:space="preserve"> para </w:t>
      </w:r>
      <w:r w:rsidR="00F279EC" w:rsidRPr="004068F6">
        <w:rPr>
          <w:spacing w:val="-3"/>
        </w:rPr>
        <w:t>caracteriz</w:t>
      </w:r>
      <w:r w:rsidRPr="004068F6">
        <w:rPr>
          <w:spacing w:val="-3"/>
        </w:rPr>
        <w:t xml:space="preserve">ar los </w:t>
      </w:r>
      <w:r w:rsidR="00C368A2" w:rsidRPr="004068F6">
        <w:rPr>
          <w:spacing w:val="-3"/>
        </w:rPr>
        <w:t>SSEE</w:t>
      </w:r>
      <w:r w:rsidR="006843F5" w:rsidRPr="004068F6">
        <w:rPr>
          <w:spacing w:val="-3"/>
        </w:rPr>
        <w:t xml:space="preserve"> debe provenir de la caracterización ambiental de los medios abiótico, biótico y socioeconómico</w:t>
      </w:r>
      <w:r w:rsidR="001A4702" w:rsidRPr="004068F6">
        <w:rPr>
          <w:spacing w:val="-3"/>
        </w:rPr>
        <w:t xml:space="preserve">, así como </w:t>
      </w:r>
      <w:r w:rsidR="008E74E7" w:rsidRPr="004068F6">
        <w:rPr>
          <w:spacing w:val="-3"/>
        </w:rPr>
        <w:lastRenderedPageBreak/>
        <w:t>de los aportes recabados en los espacios de participación con los grupos de interés del área de influencia</w:t>
      </w:r>
      <w:r w:rsidR="00592952" w:rsidRPr="004068F6">
        <w:rPr>
          <w:spacing w:val="-3"/>
        </w:rPr>
        <w:t>.</w:t>
      </w:r>
    </w:p>
    <w:p w14:paraId="63A52361" w14:textId="77777777" w:rsidR="00970A40" w:rsidRPr="004068F6" w:rsidRDefault="00970A40">
      <w:pPr>
        <w:numPr>
          <w:ilvl w:val="12"/>
          <w:numId w:val="0"/>
        </w:numPr>
        <w:tabs>
          <w:tab w:val="left" w:pos="-2268"/>
        </w:tabs>
        <w:suppressAutoHyphens/>
        <w:rPr>
          <w:spacing w:val="-3"/>
        </w:rPr>
      </w:pPr>
    </w:p>
    <w:p w14:paraId="190C4D65" w14:textId="421E9E78" w:rsidR="00093AC0" w:rsidRPr="004068F6" w:rsidRDefault="00093AC0" w:rsidP="009420F5">
      <w:pPr>
        <w:pStyle w:val="Ttulo4"/>
        <w:tabs>
          <w:tab w:val="clear" w:pos="1844"/>
          <w:tab w:val="num" w:pos="1134"/>
        </w:tabs>
        <w:ind w:left="0"/>
        <w:rPr>
          <w:lang w:val="es-CO"/>
        </w:rPr>
      </w:pPr>
      <w:bookmarkStart w:id="3011" w:name="_Toc515787473"/>
      <w:bookmarkStart w:id="3012" w:name="_Toc515789173"/>
      <w:bookmarkStart w:id="3013" w:name="_Toc515790022"/>
      <w:bookmarkStart w:id="3014" w:name="_Toc515790871"/>
      <w:bookmarkStart w:id="3015" w:name="_Toc515791726"/>
      <w:bookmarkStart w:id="3016" w:name="_Toc515792576"/>
      <w:bookmarkStart w:id="3017" w:name="_Toc515793476"/>
      <w:bookmarkStart w:id="3018" w:name="_Toc515794381"/>
      <w:bookmarkStart w:id="3019" w:name="_Toc515796140"/>
      <w:bookmarkEnd w:id="3011"/>
      <w:bookmarkEnd w:id="3012"/>
      <w:bookmarkEnd w:id="3013"/>
      <w:bookmarkEnd w:id="3014"/>
      <w:bookmarkEnd w:id="3015"/>
      <w:bookmarkEnd w:id="3016"/>
      <w:bookmarkEnd w:id="3017"/>
      <w:bookmarkEnd w:id="3018"/>
      <w:bookmarkEnd w:id="3019"/>
      <w:r w:rsidRPr="004068F6">
        <w:rPr>
          <w:lang w:val="es-CO"/>
        </w:rPr>
        <w:t>Definición de la</w:t>
      </w:r>
      <w:r w:rsidR="00AB142C" w:rsidRPr="004068F6">
        <w:rPr>
          <w:lang w:val="es-CO"/>
        </w:rPr>
        <w:t>s</w:t>
      </w:r>
      <w:r w:rsidRPr="004068F6">
        <w:rPr>
          <w:lang w:val="es-CO"/>
        </w:rPr>
        <w:t xml:space="preserve"> unidad</w:t>
      </w:r>
      <w:r w:rsidR="00AB142C" w:rsidRPr="004068F6">
        <w:rPr>
          <w:lang w:val="es-CO"/>
        </w:rPr>
        <w:t>es</w:t>
      </w:r>
      <w:r w:rsidRPr="004068F6">
        <w:rPr>
          <w:lang w:val="es-CO"/>
        </w:rPr>
        <w:t xml:space="preserve"> de análisis</w:t>
      </w:r>
    </w:p>
    <w:p w14:paraId="0801ECD8" w14:textId="77777777" w:rsidR="00093AC0" w:rsidRPr="004068F6" w:rsidRDefault="00093AC0">
      <w:pPr>
        <w:numPr>
          <w:ilvl w:val="12"/>
          <w:numId w:val="0"/>
        </w:numPr>
        <w:tabs>
          <w:tab w:val="left" w:pos="-2268"/>
        </w:tabs>
        <w:suppressAutoHyphens/>
        <w:rPr>
          <w:spacing w:val="-3"/>
        </w:rPr>
      </w:pPr>
    </w:p>
    <w:p w14:paraId="4CE7C314" w14:textId="7C4FE764" w:rsidR="00093AC0" w:rsidRPr="004068F6" w:rsidRDefault="00093AC0" w:rsidP="00093AC0">
      <w:pPr>
        <w:numPr>
          <w:ilvl w:val="12"/>
          <w:numId w:val="0"/>
        </w:numPr>
        <w:tabs>
          <w:tab w:val="left" w:pos="-2268"/>
        </w:tabs>
        <w:suppressAutoHyphens/>
        <w:rPr>
          <w:rFonts w:cs="Arial"/>
          <w:spacing w:val="-3"/>
        </w:rPr>
      </w:pPr>
      <w:r w:rsidRPr="004068F6">
        <w:rPr>
          <w:rFonts w:cs="Arial"/>
          <w:spacing w:val="-3"/>
        </w:rPr>
        <w:t xml:space="preserve">Se deben definir como unidades de análisis para la </w:t>
      </w:r>
      <w:r w:rsidR="00AD3F90" w:rsidRPr="004068F6">
        <w:rPr>
          <w:rFonts w:cs="Arial"/>
          <w:spacing w:val="-3"/>
        </w:rPr>
        <w:t>determinación</w:t>
      </w:r>
      <w:r w:rsidRPr="004068F6">
        <w:rPr>
          <w:rFonts w:cs="Arial"/>
          <w:spacing w:val="-3"/>
        </w:rPr>
        <w:t xml:space="preserve">, clasificación, </w:t>
      </w:r>
      <w:r w:rsidR="00FD0050" w:rsidRPr="004068F6">
        <w:rPr>
          <w:rFonts w:cs="Arial"/>
          <w:spacing w:val="-3"/>
        </w:rPr>
        <w:t xml:space="preserve">evaluación </w:t>
      </w:r>
      <w:r w:rsidR="00AB142C" w:rsidRPr="004068F6">
        <w:rPr>
          <w:rFonts w:cs="Arial"/>
          <w:spacing w:val="-3"/>
        </w:rPr>
        <w:t xml:space="preserve">y descripción </w:t>
      </w:r>
      <w:r w:rsidRPr="004068F6">
        <w:rPr>
          <w:rFonts w:cs="Arial"/>
          <w:spacing w:val="-3"/>
        </w:rPr>
        <w:t xml:space="preserve">de los servicios ecosistémicos, las mismas unidades de análisis utilizadas para delimitar el área de influencia del proyecto, obra o actividad. De esta forma, pueden </w:t>
      </w:r>
      <w:r w:rsidR="00AB142C" w:rsidRPr="004068F6">
        <w:rPr>
          <w:rFonts w:cs="Arial"/>
          <w:spacing w:val="-3"/>
        </w:rPr>
        <w:t xml:space="preserve">emplearse </w:t>
      </w:r>
      <w:r w:rsidRPr="004068F6">
        <w:rPr>
          <w:rFonts w:cs="Arial"/>
          <w:spacing w:val="-3"/>
        </w:rPr>
        <w:t xml:space="preserve">tanto las unidades de análisis del medio biótico (ecosistemas o coberturas de la tierra, por ejemplo), como a las unidades de análisis </w:t>
      </w:r>
      <w:r w:rsidR="00AB142C" w:rsidRPr="004068F6">
        <w:rPr>
          <w:rFonts w:cs="Arial"/>
          <w:spacing w:val="-3"/>
        </w:rPr>
        <w:t>definidas para</w:t>
      </w:r>
      <w:r w:rsidRPr="004068F6">
        <w:rPr>
          <w:rFonts w:cs="Arial"/>
          <w:spacing w:val="-3"/>
        </w:rPr>
        <w:t xml:space="preserve"> la delimitación del área de influencia del medio abiótico (unidades geológicas, unidades </w:t>
      </w:r>
      <w:r w:rsidR="00EA024C" w:rsidRPr="004068F6">
        <w:rPr>
          <w:rFonts w:cs="Arial"/>
          <w:spacing w:val="-3"/>
        </w:rPr>
        <w:t xml:space="preserve">cartográficas </w:t>
      </w:r>
      <w:r w:rsidRPr="004068F6">
        <w:rPr>
          <w:rFonts w:cs="Arial"/>
          <w:spacing w:val="-3"/>
        </w:rPr>
        <w:t>de suelos, entre otras) y del medio socioeconómico (</w:t>
      </w:r>
      <w:r w:rsidR="00DE54AB" w:rsidRPr="004068F6">
        <w:rPr>
          <w:rFonts w:cs="Arial"/>
          <w:spacing w:val="-3"/>
        </w:rPr>
        <w:t xml:space="preserve">como </w:t>
      </w:r>
      <w:r w:rsidRPr="004068F6">
        <w:rPr>
          <w:rFonts w:cs="Arial"/>
          <w:spacing w:val="-3"/>
        </w:rPr>
        <w:t>veredas, corregimientos, sectores de vereda</w:t>
      </w:r>
      <w:r w:rsidR="00DE54AB" w:rsidRPr="004068F6">
        <w:rPr>
          <w:rFonts w:cs="Arial"/>
          <w:spacing w:val="-3"/>
        </w:rPr>
        <w:t xml:space="preserve"> y</w:t>
      </w:r>
      <w:r w:rsidRPr="004068F6">
        <w:rPr>
          <w:rFonts w:cs="Arial"/>
          <w:spacing w:val="-3"/>
        </w:rPr>
        <w:t xml:space="preserve"> barrios).</w:t>
      </w:r>
    </w:p>
    <w:p w14:paraId="71788CD2" w14:textId="77777777" w:rsidR="004C3CF6" w:rsidRPr="004068F6" w:rsidRDefault="004C3CF6" w:rsidP="00093AC0">
      <w:pPr>
        <w:numPr>
          <w:ilvl w:val="12"/>
          <w:numId w:val="0"/>
        </w:numPr>
        <w:tabs>
          <w:tab w:val="left" w:pos="-2268"/>
        </w:tabs>
        <w:suppressAutoHyphens/>
        <w:rPr>
          <w:rFonts w:cs="Arial"/>
          <w:spacing w:val="-3"/>
        </w:rPr>
      </w:pPr>
    </w:p>
    <w:p w14:paraId="75C25D01" w14:textId="3FE02CB7" w:rsidR="00EC4F9D" w:rsidRPr="004068F6" w:rsidRDefault="007271A9" w:rsidP="009420F5">
      <w:pPr>
        <w:numPr>
          <w:ilvl w:val="12"/>
          <w:numId w:val="0"/>
        </w:numPr>
        <w:tabs>
          <w:tab w:val="left" w:pos="-2268"/>
        </w:tabs>
        <w:suppressAutoHyphens/>
        <w:rPr>
          <w:rFonts w:cs="Arial"/>
          <w:spacing w:val="-3"/>
        </w:rPr>
      </w:pPr>
      <w:r w:rsidRPr="004068F6">
        <w:rPr>
          <w:rFonts w:cs="Arial"/>
          <w:spacing w:val="-3"/>
        </w:rPr>
        <w:t>L</w:t>
      </w:r>
      <w:r w:rsidR="00CC3F47" w:rsidRPr="004068F6">
        <w:rPr>
          <w:rFonts w:cs="Arial"/>
          <w:spacing w:val="-3"/>
        </w:rPr>
        <w:t>a</w:t>
      </w:r>
      <w:r w:rsidR="008420F2" w:rsidRPr="004068F6">
        <w:rPr>
          <w:rFonts w:cs="Arial"/>
          <w:spacing w:val="-3"/>
        </w:rPr>
        <w:t>s</w:t>
      </w:r>
      <w:r w:rsidR="00CC3F47" w:rsidRPr="004068F6">
        <w:rPr>
          <w:rFonts w:cs="Arial"/>
          <w:spacing w:val="-3"/>
        </w:rPr>
        <w:t xml:space="preserve"> unidad</w:t>
      </w:r>
      <w:r w:rsidR="008420F2" w:rsidRPr="004068F6">
        <w:rPr>
          <w:rFonts w:cs="Arial"/>
          <w:spacing w:val="-3"/>
        </w:rPr>
        <w:t>es</w:t>
      </w:r>
      <w:r w:rsidR="00CC3F47" w:rsidRPr="004068F6">
        <w:rPr>
          <w:rFonts w:cs="Arial"/>
          <w:spacing w:val="-3"/>
        </w:rPr>
        <w:t xml:space="preserve"> de análisis </w:t>
      </w:r>
      <w:r w:rsidR="008420F2" w:rsidRPr="004068F6">
        <w:rPr>
          <w:rFonts w:cs="Arial"/>
          <w:spacing w:val="-3"/>
        </w:rPr>
        <w:t xml:space="preserve">empleadas </w:t>
      </w:r>
      <w:r w:rsidR="00CC3F47" w:rsidRPr="004068F6">
        <w:rPr>
          <w:rFonts w:cs="Arial"/>
          <w:spacing w:val="-3"/>
        </w:rPr>
        <w:t xml:space="preserve">para </w:t>
      </w:r>
      <w:r w:rsidR="008420F2" w:rsidRPr="004068F6">
        <w:rPr>
          <w:rFonts w:cs="Arial"/>
          <w:spacing w:val="-3"/>
        </w:rPr>
        <w:t xml:space="preserve">la caracterización </w:t>
      </w:r>
      <w:r w:rsidR="00CC3F47" w:rsidRPr="004068F6">
        <w:rPr>
          <w:rFonts w:cs="Arial"/>
          <w:spacing w:val="-3"/>
        </w:rPr>
        <w:t xml:space="preserve">de los </w:t>
      </w:r>
      <w:r w:rsidR="00931475" w:rsidRPr="004068F6">
        <w:rPr>
          <w:rFonts w:cs="Arial"/>
          <w:spacing w:val="-3"/>
        </w:rPr>
        <w:t xml:space="preserve">factores o </w:t>
      </w:r>
      <w:r w:rsidR="008420F2" w:rsidRPr="004068F6">
        <w:rPr>
          <w:rFonts w:cs="Arial"/>
          <w:spacing w:val="-3"/>
        </w:rPr>
        <w:t xml:space="preserve">componentes de los </w:t>
      </w:r>
      <w:r w:rsidR="00CC3F47" w:rsidRPr="004068F6">
        <w:rPr>
          <w:rFonts w:cs="Arial"/>
          <w:spacing w:val="-3"/>
        </w:rPr>
        <w:t>medios abiótico, biótico y socioeconómico</w:t>
      </w:r>
      <w:r w:rsidR="00486CA3" w:rsidRPr="004068F6">
        <w:rPr>
          <w:rFonts w:cs="Arial"/>
          <w:spacing w:val="-3"/>
        </w:rPr>
        <w:t>,</w:t>
      </w:r>
      <w:r w:rsidR="008420F2" w:rsidRPr="004068F6">
        <w:rPr>
          <w:rFonts w:cs="Arial"/>
          <w:spacing w:val="-3"/>
        </w:rPr>
        <w:t xml:space="preserve"> </w:t>
      </w:r>
      <w:r w:rsidR="004264F2" w:rsidRPr="004068F6">
        <w:rPr>
          <w:rFonts w:cs="Arial"/>
          <w:spacing w:val="-3"/>
        </w:rPr>
        <w:t xml:space="preserve">así </w:t>
      </w:r>
      <w:r w:rsidR="008420F2" w:rsidRPr="004068F6">
        <w:rPr>
          <w:rFonts w:cs="Arial"/>
          <w:spacing w:val="-3"/>
        </w:rPr>
        <w:t xml:space="preserve">como de los </w:t>
      </w:r>
      <w:r w:rsidR="00C368A2" w:rsidRPr="004068F6">
        <w:rPr>
          <w:rFonts w:cs="Arial"/>
          <w:spacing w:val="-3"/>
        </w:rPr>
        <w:t>SSEE</w:t>
      </w:r>
      <w:r w:rsidR="008420F2" w:rsidRPr="004068F6">
        <w:rPr>
          <w:rFonts w:cs="Arial"/>
          <w:spacing w:val="-3"/>
        </w:rPr>
        <w:t xml:space="preserve">, deben tener un </w:t>
      </w:r>
      <w:r w:rsidR="002843A5" w:rsidRPr="004068F6">
        <w:rPr>
          <w:rFonts w:cs="Arial"/>
          <w:spacing w:val="-3"/>
        </w:rPr>
        <w:t xml:space="preserve">grado de </w:t>
      </w:r>
      <w:r w:rsidR="00486CA3" w:rsidRPr="004068F6">
        <w:rPr>
          <w:rFonts w:cs="Arial"/>
          <w:spacing w:val="-3"/>
        </w:rPr>
        <w:t xml:space="preserve">detalle </w:t>
      </w:r>
      <w:r w:rsidR="008420F2" w:rsidRPr="004068F6">
        <w:rPr>
          <w:rFonts w:cs="Arial"/>
          <w:spacing w:val="-3"/>
        </w:rPr>
        <w:t>tal</w:t>
      </w:r>
      <w:r w:rsidR="00297080" w:rsidRPr="004068F6">
        <w:rPr>
          <w:rFonts w:cs="Arial"/>
          <w:spacing w:val="-3"/>
        </w:rPr>
        <w:t>,</w:t>
      </w:r>
      <w:r w:rsidR="008420F2" w:rsidRPr="004068F6">
        <w:rPr>
          <w:rFonts w:cs="Arial"/>
          <w:spacing w:val="-3"/>
        </w:rPr>
        <w:t xml:space="preserve"> que </w:t>
      </w:r>
      <w:r w:rsidR="00486CA3" w:rsidRPr="004068F6">
        <w:rPr>
          <w:rFonts w:cs="Arial"/>
          <w:spacing w:val="-3"/>
        </w:rPr>
        <w:t xml:space="preserve">permita medir y </w:t>
      </w:r>
      <w:r w:rsidRPr="004068F6">
        <w:rPr>
          <w:rFonts w:cs="Arial"/>
          <w:spacing w:val="-3"/>
        </w:rPr>
        <w:t>constatar</w:t>
      </w:r>
      <w:r w:rsidR="00486CA3" w:rsidRPr="004068F6">
        <w:rPr>
          <w:rFonts w:cs="Arial"/>
          <w:spacing w:val="-3"/>
        </w:rPr>
        <w:t xml:space="preserve"> mediante indicadores</w:t>
      </w:r>
      <w:r w:rsidRPr="004068F6">
        <w:rPr>
          <w:rFonts w:cs="Arial"/>
          <w:spacing w:val="-3"/>
        </w:rPr>
        <w:t xml:space="preserve"> </w:t>
      </w:r>
      <w:r w:rsidR="00486CA3" w:rsidRPr="004068F6">
        <w:rPr>
          <w:rFonts w:cs="Arial"/>
          <w:spacing w:val="-3"/>
        </w:rPr>
        <w:t xml:space="preserve">los impactos que el proyecto, obra o actividad </w:t>
      </w:r>
      <w:r w:rsidRPr="004068F6">
        <w:rPr>
          <w:rFonts w:cs="Arial"/>
          <w:spacing w:val="-3"/>
        </w:rPr>
        <w:t>pueda</w:t>
      </w:r>
      <w:r w:rsidR="008420F2" w:rsidRPr="004068F6">
        <w:rPr>
          <w:rFonts w:cs="Arial"/>
          <w:spacing w:val="-3"/>
        </w:rPr>
        <w:t xml:space="preserve"> ocasionar </w:t>
      </w:r>
      <w:r w:rsidR="00486CA3" w:rsidRPr="004068F6">
        <w:rPr>
          <w:rFonts w:cs="Arial"/>
          <w:spacing w:val="-3"/>
        </w:rPr>
        <w:t xml:space="preserve">sobre </w:t>
      </w:r>
      <w:r w:rsidR="002843A5" w:rsidRPr="004068F6">
        <w:rPr>
          <w:rFonts w:cs="Arial"/>
          <w:spacing w:val="-3"/>
        </w:rPr>
        <w:t xml:space="preserve">los </w:t>
      </w:r>
      <w:r w:rsidR="00C368A2" w:rsidRPr="004068F6">
        <w:rPr>
          <w:rFonts w:cs="Arial"/>
          <w:spacing w:val="-3"/>
        </w:rPr>
        <w:t>SSEE</w:t>
      </w:r>
      <w:r w:rsidR="004E3F99" w:rsidRPr="004068F6">
        <w:rPr>
          <w:rFonts w:cs="Arial"/>
          <w:spacing w:val="-3"/>
        </w:rPr>
        <w:t>.</w:t>
      </w:r>
      <w:r w:rsidR="00486CA3" w:rsidRPr="004068F6">
        <w:rPr>
          <w:rFonts w:cs="Arial"/>
          <w:spacing w:val="-3"/>
        </w:rPr>
        <w:t xml:space="preserve"> </w:t>
      </w:r>
      <w:r w:rsidR="00567041" w:rsidRPr="004068F6">
        <w:rPr>
          <w:rFonts w:cs="Arial"/>
          <w:spacing w:val="-3"/>
        </w:rPr>
        <w:t>Para la determinación de unidades de análisis, s</w:t>
      </w:r>
      <w:r w:rsidR="004E3F99" w:rsidRPr="004068F6">
        <w:rPr>
          <w:rFonts w:cs="Arial"/>
          <w:spacing w:val="-3"/>
        </w:rPr>
        <w:t xml:space="preserve">e debe tener </w:t>
      </w:r>
      <w:r w:rsidR="00486CA3" w:rsidRPr="004068F6">
        <w:rPr>
          <w:rFonts w:cs="Arial"/>
          <w:spacing w:val="-3"/>
        </w:rPr>
        <w:t xml:space="preserve">en cuenta </w:t>
      </w:r>
      <w:r w:rsidR="004C3CF6" w:rsidRPr="004068F6">
        <w:rPr>
          <w:rFonts w:cs="Arial"/>
          <w:spacing w:val="-3"/>
        </w:rPr>
        <w:t xml:space="preserve">que </w:t>
      </w:r>
      <w:r w:rsidR="00FD0050" w:rsidRPr="004068F6">
        <w:rPr>
          <w:rFonts w:cs="Arial"/>
          <w:spacing w:val="-3"/>
        </w:rPr>
        <w:t xml:space="preserve">los </w:t>
      </w:r>
      <w:r w:rsidR="00C368A2" w:rsidRPr="004068F6">
        <w:rPr>
          <w:rFonts w:cs="Arial"/>
          <w:spacing w:val="-3"/>
        </w:rPr>
        <w:t>SSEE</w:t>
      </w:r>
      <w:r w:rsidR="00FD0050" w:rsidRPr="004068F6">
        <w:rPr>
          <w:rFonts w:cs="Arial"/>
          <w:spacing w:val="-3"/>
        </w:rPr>
        <w:t>,</w:t>
      </w:r>
      <w:r w:rsidR="004264F2" w:rsidRPr="004068F6">
        <w:rPr>
          <w:rFonts w:cs="Arial"/>
          <w:spacing w:val="-3"/>
        </w:rPr>
        <w:t xml:space="preserve"> </w:t>
      </w:r>
      <w:r w:rsidRPr="004068F6">
        <w:rPr>
          <w:rFonts w:cs="Arial"/>
          <w:spacing w:val="-3"/>
        </w:rPr>
        <w:t xml:space="preserve">las </w:t>
      </w:r>
      <w:r w:rsidR="008420F2" w:rsidRPr="004068F6">
        <w:rPr>
          <w:rFonts w:cs="Arial"/>
          <w:spacing w:val="-3"/>
        </w:rPr>
        <w:t xml:space="preserve">estructuras </w:t>
      </w:r>
      <w:r w:rsidRPr="004068F6">
        <w:rPr>
          <w:rFonts w:cs="Arial"/>
          <w:spacing w:val="-3"/>
        </w:rPr>
        <w:t>y los procesos ecosistémicos</w:t>
      </w:r>
      <w:r w:rsidR="008420F2" w:rsidRPr="004068F6">
        <w:rPr>
          <w:rFonts w:cs="Arial"/>
          <w:spacing w:val="-3"/>
        </w:rPr>
        <w:t xml:space="preserve"> </w:t>
      </w:r>
      <w:r w:rsidR="00D10527" w:rsidRPr="004068F6">
        <w:rPr>
          <w:rFonts w:cs="Arial"/>
          <w:spacing w:val="-3"/>
        </w:rPr>
        <w:t xml:space="preserve">sólo </w:t>
      </w:r>
      <w:r w:rsidRPr="004068F6">
        <w:rPr>
          <w:rFonts w:cs="Arial"/>
          <w:spacing w:val="-3"/>
        </w:rPr>
        <w:t>se evidencian</w:t>
      </w:r>
      <w:r w:rsidR="008420F2" w:rsidRPr="004068F6">
        <w:rPr>
          <w:rFonts w:cs="Arial"/>
          <w:spacing w:val="-3"/>
        </w:rPr>
        <w:t xml:space="preserve"> en </w:t>
      </w:r>
      <w:r w:rsidR="00302175" w:rsidRPr="004068F6">
        <w:rPr>
          <w:rFonts w:cs="Arial"/>
          <w:spacing w:val="-3"/>
        </w:rPr>
        <w:t xml:space="preserve">determinadas </w:t>
      </w:r>
      <w:r w:rsidR="008420F2" w:rsidRPr="004068F6">
        <w:rPr>
          <w:rFonts w:cs="Arial"/>
          <w:spacing w:val="-3"/>
        </w:rPr>
        <w:t xml:space="preserve">escalas </w:t>
      </w:r>
      <w:r w:rsidR="004C3CF6" w:rsidRPr="004068F6">
        <w:rPr>
          <w:rFonts w:cs="Arial"/>
          <w:spacing w:val="-3"/>
        </w:rPr>
        <w:t>espaciales y temporales</w:t>
      </w:r>
      <w:r w:rsidR="00712EAE" w:rsidRPr="004068F6">
        <w:rPr>
          <w:rFonts w:cs="Arial"/>
          <w:spacing w:val="-3"/>
        </w:rPr>
        <w:t>.</w:t>
      </w:r>
    </w:p>
    <w:p w14:paraId="72193AC9" w14:textId="77777777" w:rsidR="00526DFA" w:rsidRPr="004068F6" w:rsidRDefault="00526DFA" w:rsidP="009420F5">
      <w:pPr>
        <w:numPr>
          <w:ilvl w:val="12"/>
          <w:numId w:val="0"/>
        </w:numPr>
        <w:tabs>
          <w:tab w:val="left" w:pos="-2268"/>
        </w:tabs>
        <w:suppressAutoHyphens/>
        <w:rPr>
          <w:rFonts w:cs="Arial"/>
          <w:spacing w:val="-3"/>
        </w:rPr>
      </w:pPr>
    </w:p>
    <w:p w14:paraId="124DBA97" w14:textId="32967ABE" w:rsidR="00CD6CA3" w:rsidRPr="004068F6" w:rsidRDefault="00631545" w:rsidP="00093AC0">
      <w:pPr>
        <w:numPr>
          <w:ilvl w:val="12"/>
          <w:numId w:val="0"/>
        </w:numPr>
        <w:tabs>
          <w:tab w:val="left" w:pos="-2268"/>
        </w:tabs>
        <w:suppressAutoHyphens/>
        <w:rPr>
          <w:spacing w:val="-3"/>
        </w:rPr>
      </w:pPr>
      <w:r w:rsidRPr="004068F6">
        <w:rPr>
          <w:spacing w:val="-3"/>
        </w:rPr>
        <w:t xml:space="preserve">La unidad de análisis empleada para la evaluación de </w:t>
      </w:r>
      <w:r w:rsidR="00865597" w:rsidRPr="004068F6">
        <w:rPr>
          <w:spacing w:val="-3"/>
        </w:rPr>
        <w:t xml:space="preserve">cada </w:t>
      </w:r>
      <w:r w:rsidR="009343D1" w:rsidRPr="004068F6">
        <w:rPr>
          <w:spacing w:val="-3"/>
        </w:rPr>
        <w:t>S</w:t>
      </w:r>
      <w:r w:rsidR="0048778A" w:rsidRPr="004068F6">
        <w:rPr>
          <w:spacing w:val="-3"/>
        </w:rPr>
        <w:t xml:space="preserve">ervicio </w:t>
      </w:r>
      <w:r w:rsidR="009343D1" w:rsidRPr="004068F6">
        <w:rPr>
          <w:spacing w:val="-3"/>
        </w:rPr>
        <w:t>E</w:t>
      </w:r>
      <w:r w:rsidR="0048778A" w:rsidRPr="004068F6">
        <w:rPr>
          <w:spacing w:val="-3"/>
        </w:rPr>
        <w:t xml:space="preserve">cosistémico </w:t>
      </w:r>
      <w:r w:rsidR="00A407D3">
        <w:rPr>
          <w:spacing w:val="-3"/>
        </w:rPr>
        <w:t xml:space="preserve">(SE) </w:t>
      </w:r>
      <w:r w:rsidR="00301512" w:rsidRPr="004068F6">
        <w:rPr>
          <w:spacing w:val="-3"/>
        </w:rPr>
        <w:t>debe</w:t>
      </w:r>
      <w:r w:rsidRPr="004068F6">
        <w:rPr>
          <w:spacing w:val="-3"/>
        </w:rPr>
        <w:t xml:space="preserve"> </w:t>
      </w:r>
      <w:r w:rsidR="00301512" w:rsidRPr="004068F6">
        <w:rPr>
          <w:spacing w:val="-3"/>
        </w:rPr>
        <w:t xml:space="preserve">ser consistente </w:t>
      </w:r>
      <w:r w:rsidR="00F55583" w:rsidRPr="004068F6">
        <w:rPr>
          <w:spacing w:val="-3"/>
        </w:rPr>
        <w:t xml:space="preserve">con </w:t>
      </w:r>
      <w:r w:rsidR="00865597" w:rsidRPr="004068F6">
        <w:rPr>
          <w:spacing w:val="-3"/>
        </w:rPr>
        <w:t xml:space="preserve">su </w:t>
      </w:r>
      <w:r w:rsidR="007E29A1" w:rsidRPr="004068F6">
        <w:rPr>
          <w:spacing w:val="-3"/>
        </w:rPr>
        <w:t xml:space="preserve">naturaleza </w:t>
      </w:r>
      <w:r w:rsidR="002D3BC4" w:rsidRPr="004068F6">
        <w:rPr>
          <w:spacing w:val="-3"/>
        </w:rPr>
        <w:t xml:space="preserve">y permitir </w:t>
      </w:r>
      <w:r w:rsidR="00F55583" w:rsidRPr="004068F6">
        <w:rPr>
          <w:spacing w:val="-3"/>
        </w:rPr>
        <w:t xml:space="preserve">su </w:t>
      </w:r>
      <w:r w:rsidR="002D3BC4" w:rsidRPr="004068F6">
        <w:rPr>
          <w:spacing w:val="-3"/>
        </w:rPr>
        <w:t>evaluación</w:t>
      </w:r>
      <w:r w:rsidR="002404E4" w:rsidRPr="004068F6">
        <w:rPr>
          <w:spacing w:val="-3"/>
        </w:rPr>
        <w:t xml:space="preserve">; es decir, debe haber una relación temática </w:t>
      </w:r>
      <w:r w:rsidR="007E4F70" w:rsidRPr="004068F6">
        <w:rPr>
          <w:spacing w:val="-3"/>
        </w:rPr>
        <w:t>entre la unidad de análisis</w:t>
      </w:r>
      <w:r w:rsidR="00835D44" w:rsidRPr="004068F6">
        <w:rPr>
          <w:spacing w:val="-3"/>
        </w:rPr>
        <w:t xml:space="preserve">, </w:t>
      </w:r>
      <w:r w:rsidRPr="004068F6">
        <w:rPr>
          <w:spacing w:val="-3"/>
        </w:rPr>
        <w:t>las estructuras prestadoras de</w:t>
      </w:r>
      <w:r w:rsidR="00836397" w:rsidRPr="004068F6">
        <w:rPr>
          <w:spacing w:val="-3"/>
        </w:rPr>
        <w:t>l</w:t>
      </w:r>
      <w:r w:rsidRPr="004068F6">
        <w:rPr>
          <w:spacing w:val="-3"/>
        </w:rPr>
        <w:t xml:space="preserve"> </w:t>
      </w:r>
      <w:r w:rsidR="00A75AD1" w:rsidRPr="004068F6">
        <w:rPr>
          <w:spacing w:val="-3"/>
        </w:rPr>
        <w:t xml:space="preserve">servicio ecosistémico </w:t>
      </w:r>
      <w:r w:rsidR="00B5272D" w:rsidRPr="004068F6">
        <w:rPr>
          <w:spacing w:val="-3"/>
        </w:rPr>
        <w:t xml:space="preserve">y las funciones y </w:t>
      </w:r>
      <w:r w:rsidRPr="004068F6">
        <w:rPr>
          <w:spacing w:val="-3"/>
        </w:rPr>
        <w:t>procesos ecológic</w:t>
      </w:r>
      <w:r w:rsidR="00B5272D" w:rsidRPr="004068F6">
        <w:rPr>
          <w:spacing w:val="-3"/>
        </w:rPr>
        <w:t>o</w:t>
      </w:r>
      <w:r w:rsidRPr="004068F6">
        <w:rPr>
          <w:spacing w:val="-3"/>
        </w:rPr>
        <w:t xml:space="preserve">s </w:t>
      </w:r>
      <w:r w:rsidR="00B5272D" w:rsidRPr="004068F6">
        <w:rPr>
          <w:spacing w:val="-3"/>
        </w:rPr>
        <w:t xml:space="preserve">que </w:t>
      </w:r>
      <w:r w:rsidR="00836397" w:rsidRPr="004068F6">
        <w:rPr>
          <w:spacing w:val="-3"/>
        </w:rPr>
        <w:t>l</w:t>
      </w:r>
      <w:r w:rsidR="00D46B7A" w:rsidRPr="004068F6">
        <w:rPr>
          <w:spacing w:val="-3"/>
        </w:rPr>
        <w:t>as</w:t>
      </w:r>
      <w:r w:rsidR="00836397" w:rsidRPr="004068F6">
        <w:rPr>
          <w:spacing w:val="-3"/>
        </w:rPr>
        <w:t xml:space="preserve"> </w:t>
      </w:r>
      <w:r w:rsidR="00B5272D" w:rsidRPr="004068F6">
        <w:rPr>
          <w:spacing w:val="-3"/>
        </w:rPr>
        <w:t>sustentan</w:t>
      </w:r>
      <w:r w:rsidR="009B17A9" w:rsidRPr="004068F6">
        <w:rPr>
          <w:spacing w:val="-3"/>
        </w:rPr>
        <w:t xml:space="preserve"> para que sea posible </w:t>
      </w:r>
      <w:r w:rsidR="00753850" w:rsidRPr="004068F6">
        <w:rPr>
          <w:spacing w:val="-3"/>
        </w:rPr>
        <w:t xml:space="preserve">evaluar el </w:t>
      </w:r>
      <w:r w:rsidR="00A75AD1" w:rsidRPr="004068F6">
        <w:rPr>
          <w:spacing w:val="-3"/>
        </w:rPr>
        <w:t xml:space="preserve">servicio ecosistémico </w:t>
      </w:r>
      <w:r w:rsidR="00753850" w:rsidRPr="004068F6">
        <w:rPr>
          <w:spacing w:val="-3"/>
        </w:rPr>
        <w:t xml:space="preserve">y localizarlo espacialmente </w:t>
      </w:r>
      <w:r w:rsidR="00982019" w:rsidRPr="004068F6">
        <w:rPr>
          <w:spacing w:val="-3"/>
        </w:rPr>
        <w:t xml:space="preserve">mediante la </w:t>
      </w:r>
      <w:r w:rsidR="009B17A9" w:rsidRPr="004068F6">
        <w:rPr>
          <w:spacing w:val="-3"/>
        </w:rPr>
        <w:t>unidad de análisis</w:t>
      </w:r>
      <w:r w:rsidR="0040709E" w:rsidRPr="004068F6">
        <w:rPr>
          <w:spacing w:val="-3"/>
        </w:rPr>
        <w:t xml:space="preserve"> seleccionada</w:t>
      </w:r>
      <w:r w:rsidR="00753850" w:rsidRPr="004068F6">
        <w:rPr>
          <w:spacing w:val="-3"/>
        </w:rPr>
        <w:t>.</w:t>
      </w:r>
    </w:p>
    <w:p w14:paraId="204974F1" w14:textId="77777777" w:rsidR="003467F2" w:rsidRPr="004068F6" w:rsidRDefault="003467F2" w:rsidP="00093AC0">
      <w:pPr>
        <w:numPr>
          <w:ilvl w:val="12"/>
          <w:numId w:val="0"/>
        </w:numPr>
        <w:tabs>
          <w:tab w:val="left" w:pos="-2268"/>
        </w:tabs>
        <w:suppressAutoHyphens/>
        <w:rPr>
          <w:spacing w:val="-3"/>
        </w:rPr>
      </w:pPr>
    </w:p>
    <w:p w14:paraId="2A5D6D55" w14:textId="7992F56C" w:rsidR="00330424" w:rsidRPr="004068F6" w:rsidRDefault="00F41554" w:rsidP="009420F5">
      <w:pPr>
        <w:numPr>
          <w:ilvl w:val="12"/>
          <w:numId w:val="0"/>
        </w:numPr>
        <w:tabs>
          <w:tab w:val="left" w:pos="-2268"/>
        </w:tabs>
        <w:suppressAutoHyphens/>
        <w:rPr>
          <w:rFonts w:cs="Arial"/>
          <w:spacing w:val="-3"/>
        </w:rPr>
      </w:pPr>
      <w:r w:rsidRPr="004068F6">
        <w:rPr>
          <w:spacing w:val="-3"/>
        </w:rPr>
        <w:t xml:space="preserve">Dicha </w:t>
      </w:r>
      <w:r w:rsidR="00492082" w:rsidRPr="004068F6">
        <w:rPr>
          <w:spacing w:val="-3"/>
        </w:rPr>
        <w:t xml:space="preserve">coherencia temática </w:t>
      </w:r>
      <w:r w:rsidR="006C2636" w:rsidRPr="004068F6">
        <w:rPr>
          <w:spacing w:val="-3"/>
        </w:rPr>
        <w:t xml:space="preserve">se refleja en la consistencia </w:t>
      </w:r>
      <w:r w:rsidR="00715330" w:rsidRPr="004068F6">
        <w:rPr>
          <w:spacing w:val="-3"/>
        </w:rPr>
        <w:t xml:space="preserve">entre </w:t>
      </w:r>
      <w:r w:rsidR="00492082" w:rsidRPr="004068F6">
        <w:rPr>
          <w:spacing w:val="-3"/>
        </w:rPr>
        <w:t>l</w:t>
      </w:r>
      <w:r w:rsidR="00AE3781" w:rsidRPr="004068F6">
        <w:rPr>
          <w:spacing w:val="-3"/>
        </w:rPr>
        <w:t xml:space="preserve">a unidad de análisis </w:t>
      </w:r>
      <w:r w:rsidR="00715330" w:rsidRPr="004068F6">
        <w:rPr>
          <w:spacing w:val="-3"/>
        </w:rPr>
        <w:t xml:space="preserve">y </w:t>
      </w:r>
      <w:r w:rsidR="00ED3342" w:rsidRPr="004068F6">
        <w:rPr>
          <w:spacing w:val="-3"/>
        </w:rPr>
        <w:t>la unidad de medida que se emple</w:t>
      </w:r>
      <w:r w:rsidR="00715330" w:rsidRPr="004068F6">
        <w:rPr>
          <w:spacing w:val="-3"/>
        </w:rPr>
        <w:t>a</w:t>
      </w:r>
      <w:r w:rsidR="00ED3342" w:rsidRPr="004068F6">
        <w:rPr>
          <w:spacing w:val="-3"/>
        </w:rPr>
        <w:t xml:space="preserve"> para dar cuenta del SSEE</w:t>
      </w:r>
      <w:r w:rsidR="00FF4462" w:rsidRPr="004068F6">
        <w:rPr>
          <w:spacing w:val="-3"/>
        </w:rPr>
        <w:t xml:space="preserve"> y</w:t>
      </w:r>
      <w:r w:rsidR="00AE3781" w:rsidRPr="004068F6">
        <w:rPr>
          <w:spacing w:val="-3"/>
        </w:rPr>
        <w:t xml:space="preserve"> </w:t>
      </w:r>
      <w:r w:rsidR="00A5344D" w:rsidRPr="004068F6">
        <w:rPr>
          <w:spacing w:val="-3"/>
        </w:rPr>
        <w:t>asegura</w:t>
      </w:r>
      <w:r w:rsidR="00FF4462" w:rsidRPr="004068F6">
        <w:rPr>
          <w:spacing w:val="-3"/>
        </w:rPr>
        <w:t xml:space="preserve"> </w:t>
      </w:r>
      <w:r w:rsidR="00A5344D" w:rsidRPr="004068F6">
        <w:rPr>
          <w:spacing w:val="-3"/>
        </w:rPr>
        <w:t xml:space="preserve">que para cada unidad de análisis </w:t>
      </w:r>
      <w:r w:rsidR="00FF4462" w:rsidRPr="004068F6">
        <w:rPr>
          <w:spacing w:val="-3"/>
        </w:rPr>
        <w:t xml:space="preserve">hayan </w:t>
      </w:r>
      <w:r w:rsidR="00A5344D" w:rsidRPr="004068F6">
        <w:rPr>
          <w:spacing w:val="-3"/>
        </w:rPr>
        <w:t>mediciones lógicas</w:t>
      </w:r>
      <w:r w:rsidR="00FF4462" w:rsidRPr="004068F6">
        <w:rPr>
          <w:spacing w:val="-3"/>
        </w:rPr>
        <w:t xml:space="preserve"> del </w:t>
      </w:r>
      <w:r w:rsidR="00433178" w:rsidRPr="004068F6">
        <w:rPr>
          <w:spacing w:val="-3"/>
        </w:rPr>
        <w:t>servicio ecosistémico</w:t>
      </w:r>
      <w:r w:rsidR="009417B6" w:rsidRPr="004068F6">
        <w:rPr>
          <w:spacing w:val="-3"/>
        </w:rPr>
        <w:t>;</w:t>
      </w:r>
      <w:r w:rsidR="00A5344D" w:rsidRPr="004068F6">
        <w:rPr>
          <w:spacing w:val="-3"/>
        </w:rPr>
        <w:t xml:space="preserve"> </w:t>
      </w:r>
      <w:r w:rsidR="00AE3781" w:rsidRPr="004068F6">
        <w:rPr>
          <w:spacing w:val="-3"/>
        </w:rPr>
        <w:t xml:space="preserve">por ejemplo, </w:t>
      </w:r>
      <w:r w:rsidR="00E711EE" w:rsidRPr="004068F6">
        <w:rPr>
          <w:spacing w:val="-3"/>
        </w:rPr>
        <w:t xml:space="preserve">si se está evaluando el </w:t>
      </w:r>
      <w:r w:rsidR="00433178" w:rsidRPr="004068F6">
        <w:rPr>
          <w:spacing w:val="-3"/>
        </w:rPr>
        <w:t xml:space="preserve">servicio ecosistémico </w:t>
      </w:r>
      <w:r w:rsidR="00E711EE" w:rsidRPr="004068F6">
        <w:rPr>
          <w:spacing w:val="-3"/>
        </w:rPr>
        <w:t>de provisi</w:t>
      </w:r>
      <w:r w:rsidR="007455C0" w:rsidRPr="004068F6">
        <w:rPr>
          <w:spacing w:val="-3"/>
        </w:rPr>
        <w:t>ón de agua</w:t>
      </w:r>
      <w:r w:rsidR="006B39C6" w:rsidRPr="004068F6">
        <w:rPr>
          <w:spacing w:val="-3"/>
        </w:rPr>
        <w:t xml:space="preserve"> y se establece a la cuenca hidrográfica como unidad de análisis</w:t>
      </w:r>
      <w:r w:rsidR="007455C0" w:rsidRPr="004068F6">
        <w:rPr>
          <w:spacing w:val="-3"/>
        </w:rPr>
        <w:t>,</w:t>
      </w:r>
      <w:r w:rsidR="00DE4477" w:rsidRPr="004068F6">
        <w:rPr>
          <w:spacing w:val="-3"/>
        </w:rPr>
        <w:t xml:space="preserve"> se debe evaluar el volumen de agua que provee cada cuenca por unidad de tiempo </w:t>
      </w:r>
      <w:r w:rsidR="00F23C36" w:rsidRPr="004068F6">
        <w:rPr>
          <w:spacing w:val="-3"/>
        </w:rPr>
        <w:t>(m</w:t>
      </w:r>
      <w:r w:rsidR="00F23C36" w:rsidRPr="004068F6">
        <w:rPr>
          <w:spacing w:val="-3"/>
          <w:vertAlign w:val="superscript"/>
        </w:rPr>
        <w:t>3</w:t>
      </w:r>
      <w:r w:rsidR="00F23C36" w:rsidRPr="004068F6">
        <w:rPr>
          <w:spacing w:val="-3"/>
        </w:rPr>
        <w:t>/</w:t>
      </w:r>
      <w:r w:rsidR="00CE08CB" w:rsidRPr="004068F6">
        <w:rPr>
          <w:spacing w:val="-3"/>
        </w:rPr>
        <w:t>s</w:t>
      </w:r>
      <w:r w:rsidR="00F23C36" w:rsidRPr="004068F6">
        <w:rPr>
          <w:spacing w:val="-3"/>
        </w:rPr>
        <w:t xml:space="preserve">) </w:t>
      </w:r>
      <w:r w:rsidR="001C5695" w:rsidRPr="004068F6">
        <w:rPr>
          <w:spacing w:val="-3"/>
        </w:rPr>
        <w:t xml:space="preserve">o bien, el volumen de agua que provee cada </w:t>
      </w:r>
      <w:r w:rsidR="00707695" w:rsidRPr="004068F6">
        <w:rPr>
          <w:spacing w:val="-3"/>
        </w:rPr>
        <w:t xml:space="preserve">unidad de área de cada </w:t>
      </w:r>
      <w:r w:rsidR="001C5695" w:rsidRPr="004068F6">
        <w:rPr>
          <w:spacing w:val="-3"/>
        </w:rPr>
        <w:t>cuenca por unidad de tiempo</w:t>
      </w:r>
      <w:r w:rsidR="007455C0" w:rsidRPr="004068F6">
        <w:rPr>
          <w:spacing w:val="-3"/>
        </w:rPr>
        <w:t xml:space="preserve"> </w:t>
      </w:r>
      <w:r w:rsidR="00EE663B" w:rsidRPr="004068F6">
        <w:rPr>
          <w:spacing w:val="-3"/>
        </w:rPr>
        <w:t>(</w:t>
      </w:r>
      <w:r w:rsidR="005768E6" w:rsidRPr="004068F6">
        <w:rPr>
          <w:spacing w:val="-3"/>
        </w:rPr>
        <w:t>m</w:t>
      </w:r>
      <w:r w:rsidR="005768E6" w:rsidRPr="00127BD4">
        <w:rPr>
          <w:spacing w:val="-3"/>
          <w:vertAlign w:val="superscript"/>
        </w:rPr>
        <w:t>3</w:t>
      </w:r>
      <w:r w:rsidR="005768E6" w:rsidRPr="004068F6">
        <w:rPr>
          <w:spacing w:val="-3"/>
        </w:rPr>
        <w:t>/</w:t>
      </w:r>
      <w:r w:rsidR="00CE08CB" w:rsidRPr="004068F6">
        <w:rPr>
          <w:spacing w:val="-3"/>
        </w:rPr>
        <w:t>s</w:t>
      </w:r>
      <w:r w:rsidR="00E9637D" w:rsidRPr="004068F6">
        <w:rPr>
          <w:spacing w:val="-3"/>
        </w:rPr>
        <w:t>/ha</w:t>
      </w:r>
      <w:r w:rsidR="00EE663B" w:rsidRPr="004068F6">
        <w:rPr>
          <w:spacing w:val="-3"/>
        </w:rPr>
        <w:t>)</w:t>
      </w:r>
      <w:r w:rsidR="005768E6" w:rsidRPr="004068F6">
        <w:rPr>
          <w:spacing w:val="-3"/>
        </w:rPr>
        <w:t>.</w:t>
      </w:r>
    </w:p>
    <w:p w14:paraId="468CEFBC" w14:textId="10C5B3DC" w:rsidR="00093AC0" w:rsidRPr="004068F6" w:rsidRDefault="00093AC0" w:rsidP="00093AC0">
      <w:pPr>
        <w:numPr>
          <w:ilvl w:val="12"/>
          <w:numId w:val="0"/>
        </w:numPr>
        <w:tabs>
          <w:tab w:val="left" w:pos="-2268"/>
        </w:tabs>
        <w:suppressAutoHyphens/>
        <w:rPr>
          <w:rFonts w:cs="Arial"/>
          <w:spacing w:val="-3"/>
        </w:rPr>
      </w:pPr>
    </w:p>
    <w:p w14:paraId="27D5E3ED" w14:textId="206CE2E3" w:rsidR="00093AC0" w:rsidRPr="004068F6" w:rsidRDefault="00AD3F90" w:rsidP="009420F5">
      <w:pPr>
        <w:pStyle w:val="Ttulo4"/>
        <w:tabs>
          <w:tab w:val="clear" w:pos="1844"/>
          <w:tab w:val="num" w:pos="1134"/>
        </w:tabs>
        <w:ind w:left="0"/>
        <w:rPr>
          <w:lang w:val="es-CO"/>
        </w:rPr>
      </w:pPr>
      <w:r w:rsidRPr="004068F6">
        <w:rPr>
          <w:lang w:val="es-CO"/>
        </w:rPr>
        <w:t xml:space="preserve">Determinación </w:t>
      </w:r>
      <w:r w:rsidR="00093AC0" w:rsidRPr="004068F6">
        <w:rPr>
          <w:lang w:val="es-CO"/>
        </w:rPr>
        <w:t>y clasificación de los servicios ecosistémicos</w:t>
      </w:r>
    </w:p>
    <w:p w14:paraId="5395D2C3" w14:textId="77777777" w:rsidR="00093AC0" w:rsidRPr="004068F6" w:rsidRDefault="00093AC0" w:rsidP="00093AC0">
      <w:pPr>
        <w:numPr>
          <w:ilvl w:val="12"/>
          <w:numId w:val="0"/>
        </w:numPr>
        <w:tabs>
          <w:tab w:val="left" w:pos="-2268"/>
        </w:tabs>
        <w:suppressAutoHyphens/>
        <w:rPr>
          <w:rFonts w:cs="Arial"/>
          <w:spacing w:val="-3"/>
        </w:rPr>
      </w:pPr>
    </w:p>
    <w:p w14:paraId="35C3709C" w14:textId="7229FD3B" w:rsidR="00093AC0" w:rsidRPr="004068F6" w:rsidRDefault="00FD0050" w:rsidP="00093AC0">
      <w:pPr>
        <w:numPr>
          <w:ilvl w:val="12"/>
          <w:numId w:val="0"/>
        </w:numPr>
        <w:tabs>
          <w:tab w:val="left" w:pos="-2268"/>
        </w:tabs>
        <w:suppressAutoHyphens/>
        <w:rPr>
          <w:rFonts w:cs="Arial"/>
          <w:spacing w:val="-3"/>
        </w:rPr>
      </w:pPr>
      <w:r w:rsidRPr="004068F6">
        <w:rPr>
          <w:rFonts w:cs="Arial"/>
          <w:spacing w:val="-3"/>
        </w:rPr>
        <w:t>A partir de</w:t>
      </w:r>
      <w:r w:rsidR="00834828" w:rsidRPr="004068F6">
        <w:rPr>
          <w:rFonts w:cs="Arial"/>
          <w:spacing w:val="-3"/>
        </w:rPr>
        <w:t xml:space="preserve"> </w:t>
      </w:r>
      <w:r w:rsidR="00093AC0" w:rsidRPr="004068F6">
        <w:rPr>
          <w:rFonts w:cs="Arial"/>
          <w:spacing w:val="-3"/>
        </w:rPr>
        <w:t xml:space="preserve">las características de los elementos del ambiente (medios, componentes y factores), </w:t>
      </w:r>
      <w:r w:rsidR="00093AC0" w:rsidRPr="004068F6">
        <w:rPr>
          <w:spacing w:val="-3"/>
        </w:rPr>
        <w:t xml:space="preserve">así como </w:t>
      </w:r>
      <w:r w:rsidR="00093AC0" w:rsidRPr="004068F6">
        <w:rPr>
          <w:rFonts w:cs="Arial"/>
          <w:spacing w:val="-3"/>
        </w:rPr>
        <w:t>de las relaciones existentes entre ellos, se debe</w:t>
      </w:r>
      <w:r w:rsidR="00BA152F" w:rsidRPr="004068F6">
        <w:rPr>
          <w:rFonts w:cs="Arial"/>
          <w:spacing w:val="-3"/>
        </w:rPr>
        <w:t>n</w:t>
      </w:r>
      <w:r w:rsidR="00093AC0" w:rsidRPr="004068F6">
        <w:rPr>
          <w:rFonts w:cs="Arial"/>
          <w:spacing w:val="-3"/>
        </w:rPr>
        <w:t xml:space="preserve"> </w:t>
      </w:r>
      <w:r w:rsidR="0041436F" w:rsidRPr="004068F6">
        <w:rPr>
          <w:rFonts w:cs="Arial"/>
          <w:spacing w:val="-3"/>
        </w:rPr>
        <w:t xml:space="preserve">determinar </w:t>
      </w:r>
      <w:r w:rsidR="00796BCA" w:rsidRPr="004068F6">
        <w:rPr>
          <w:rFonts w:cs="Arial"/>
          <w:spacing w:val="-3"/>
        </w:rPr>
        <w:t xml:space="preserve">los </w:t>
      </w:r>
      <w:r w:rsidR="00093AC0" w:rsidRPr="004068F6">
        <w:rPr>
          <w:rFonts w:cs="Arial"/>
          <w:spacing w:val="-3"/>
        </w:rPr>
        <w:t xml:space="preserve">beneficios </w:t>
      </w:r>
      <w:r w:rsidR="00796BCA" w:rsidRPr="004068F6">
        <w:rPr>
          <w:rFonts w:cs="Arial"/>
          <w:spacing w:val="-3"/>
        </w:rPr>
        <w:t xml:space="preserve">que </w:t>
      </w:r>
      <w:r w:rsidR="00093AC0" w:rsidRPr="004068F6">
        <w:rPr>
          <w:rFonts w:cs="Arial"/>
          <w:spacing w:val="-3"/>
        </w:rPr>
        <w:t>provee la naturaleza a la sociedad</w:t>
      </w:r>
      <w:r w:rsidRPr="004068F6">
        <w:rPr>
          <w:rFonts w:cs="Arial"/>
          <w:spacing w:val="-3"/>
        </w:rPr>
        <w:t xml:space="preserve"> que pueden ser impactados por el proyecto, obra o actividad</w:t>
      </w:r>
      <w:r w:rsidR="00093AC0" w:rsidRPr="004068F6">
        <w:rPr>
          <w:rFonts w:cs="Arial"/>
          <w:spacing w:val="-3"/>
        </w:rPr>
        <w:t xml:space="preserve">. Para </w:t>
      </w:r>
      <w:r w:rsidR="00AD3F90" w:rsidRPr="004068F6">
        <w:rPr>
          <w:rFonts w:cs="Arial"/>
          <w:spacing w:val="-3"/>
        </w:rPr>
        <w:t>determina</w:t>
      </w:r>
      <w:r w:rsidR="0041436F" w:rsidRPr="004068F6">
        <w:rPr>
          <w:rFonts w:cs="Arial"/>
          <w:spacing w:val="-3"/>
        </w:rPr>
        <w:t xml:space="preserve">r los </w:t>
      </w:r>
      <w:r w:rsidR="00A75AD1" w:rsidRPr="004068F6">
        <w:rPr>
          <w:rFonts w:cs="Arial"/>
          <w:spacing w:val="-3"/>
        </w:rPr>
        <w:t>SSEE</w:t>
      </w:r>
      <w:r w:rsidR="00093AC0" w:rsidRPr="004068F6">
        <w:rPr>
          <w:rFonts w:cs="Arial"/>
          <w:spacing w:val="-3"/>
        </w:rPr>
        <w:t xml:space="preserve"> es </w:t>
      </w:r>
      <w:r w:rsidR="00BA152F" w:rsidRPr="004068F6">
        <w:rPr>
          <w:rFonts w:cs="Arial"/>
          <w:spacing w:val="-3"/>
        </w:rPr>
        <w:t xml:space="preserve">necesario </w:t>
      </w:r>
      <w:r w:rsidR="00AD3F90" w:rsidRPr="004068F6">
        <w:rPr>
          <w:rFonts w:cs="Arial"/>
          <w:spacing w:val="-3"/>
        </w:rPr>
        <w:t xml:space="preserve">establecer </w:t>
      </w:r>
      <w:r w:rsidR="00093AC0" w:rsidRPr="004068F6">
        <w:rPr>
          <w:rFonts w:cs="Arial"/>
          <w:spacing w:val="-3"/>
        </w:rPr>
        <w:t xml:space="preserve">de qué </w:t>
      </w:r>
      <w:r w:rsidR="00093AC0" w:rsidRPr="004068F6">
        <w:rPr>
          <w:rFonts w:cs="Arial"/>
          <w:spacing w:val="-3"/>
        </w:rPr>
        <w:lastRenderedPageBreak/>
        <w:t>manera los elementos de los medios abiótico y biótico</w:t>
      </w:r>
      <w:r w:rsidR="00093AC0" w:rsidRPr="004068F6">
        <w:rPr>
          <w:spacing w:val="-3"/>
        </w:rPr>
        <w:t xml:space="preserve">, </w:t>
      </w:r>
      <w:r w:rsidR="00093AC0" w:rsidRPr="004068F6">
        <w:rPr>
          <w:rFonts w:cs="Arial"/>
          <w:spacing w:val="-3"/>
        </w:rPr>
        <w:t xml:space="preserve">brindan beneficios al medio socioeconómico y qué relaciones culturales se han </w:t>
      </w:r>
      <w:r w:rsidR="00796BCA" w:rsidRPr="004068F6">
        <w:rPr>
          <w:rFonts w:cs="Arial"/>
          <w:spacing w:val="-3"/>
        </w:rPr>
        <w:t xml:space="preserve">desarrollado </w:t>
      </w:r>
      <w:r w:rsidR="00093AC0" w:rsidRPr="004068F6">
        <w:rPr>
          <w:rFonts w:cs="Arial"/>
          <w:spacing w:val="-3"/>
        </w:rPr>
        <w:t>desde el medio socioeconómico hacia los medios abiótico y biótico</w:t>
      </w:r>
      <w:r w:rsidR="00302175" w:rsidRPr="004068F6">
        <w:rPr>
          <w:rFonts w:cs="Arial"/>
          <w:spacing w:val="-3"/>
        </w:rPr>
        <w:t xml:space="preserve">, incorporando al estudio únicamente aquellas relaciones que puedan ser </w:t>
      </w:r>
      <w:r w:rsidR="00AF4D88" w:rsidRPr="004068F6">
        <w:rPr>
          <w:rFonts w:cs="Arial"/>
          <w:spacing w:val="-3"/>
        </w:rPr>
        <w:t xml:space="preserve">alteradas </w:t>
      </w:r>
      <w:r w:rsidR="00302175" w:rsidRPr="004068F6">
        <w:rPr>
          <w:rFonts w:cs="Arial"/>
          <w:spacing w:val="-3"/>
        </w:rPr>
        <w:t>por la ejecución del proyecto.</w:t>
      </w:r>
    </w:p>
    <w:p w14:paraId="25C3EE7C" w14:textId="77777777" w:rsidR="00093AC0" w:rsidRPr="004068F6" w:rsidRDefault="00093AC0" w:rsidP="00093AC0">
      <w:pPr>
        <w:numPr>
          <w:ilvl w:val="12"/>
          <w:numId w:val="0"/>
        </w:numPr>
        <w:tabs>
          <w:tab w:val="left" w:pos="-2268"/>
        </w:tabs>
        <w:suppressAutoHyphens/>
        <w:rPr>
          <w:rFonts w:cs="Arial"/>
          <w:spacing w:val="-3"/>
        </w:rPr>
      </w:pPr>
    </w:p>
    <w:p w14:paraId="68A0CE68" w14:textId="60DAD92D" w:rsidR="00093AC0" w:rsidRPr="004068F6" w:rsidRDefault="00E92380">
      <w:pPr>
        <w:numPr>
          <w:ilvl w:val="12"/>
          <w:numId w:val="0"/>
        </w:numPr>
        <w:tabs>
          <w:tab w:val="left" w:pos="-2268"/>
        </w:tabs>
        <w:suppressAutoHyphens/>
        <w:rPr>
          <w:rFonts w:cs="Arial"/>
          <w:spacing w:val="-3"/>
        </w:rPr>
      </w:pPr>
      <w:r w:rsidRPr="004068F6">
        <w:rPr>
          <w:rFonts w:cs="Arial"/>
          <w:spacing w:val="-3"/>
        </w:rPr>
        <w:t>L</w:t>
      </w:r>
      <w:r w:rsidR="00093AC0" w:rsidRPr="004068F6">
        <w:rPr>
          <w:spacing w:val="-3"/>
        </w:rPr>
        <w:t xml:space="preserve">a información de caracterización </w:t>
      </w:r>
      <w:r w:rsidR="00BC4C47" w:rsidRPr="004068F6">
        <w:rPr>
          <w:spacing w:val="-3"/>
        </w:rPr>
        <w:t xml:space="preserve">de los elementos </w:t>
      </w:r>
      <w:r w:rsidR="00093AC0" w:rsidRPr="004068F6">
        <w:rPr>
          <w:spacing w:val="-3"/>
        </w:rPr>
        <w:t>abiótic</w:t>
      </w:r>
      <w:r w:rsidR="00BC4C47" w:rsidRPr="004068F6">
        <w:rPr>
          <w:spacing w:val="-3"/>
        </w:rPr>
        <w:t>os</w:t>
      </w:r>
      <w:r w:rsidR="00093AC0" w:rsidRPr="004068F6">
        <w:rPr>
          <w:spacing w:val="-3"/>
        </w:rPr>
        <w:t>, biótic</w:t>
      </w:r>
      <w:r w:rsidR="00BC4C47" w:rsidRPr="004068F6">
        <w:rPr>
          <w:spacing w:val="-3"/>
        </w:rPr>
        <w:t>os</w:t>
      </w:r>
      <w:r w:rsidR="00093AC0" w:rsidRPr="004068F6">
        <w:rPr>
          <w:spacing w:val="-3"/>
        </w:rPr>
        <w:t xml:space="preserve"> y </w:t>
      </w:r>
      <w:r w:rsidR="00434EA7" w:rsidRPr="004068F6">
        <w:rPr>
          <w:spacing w:val="-3"/>
        </w:rPr>
        <w:t>socioeconómicos</w:t>
      </w:r>
      <w:r w:rsidR="00093AC0" w:rsidRPr="004068F6">
        <w:rPr>
          <w:spacing w:val="-3"/>
        </w:rPr>
        <w:t xml:space="preserve"> </w:t>
      </w:r>
      <w:r w:rsidR="004924B2" w:rsidRPr="004068F6">
        <w:rPr>
          <w:spacing w:val="-3"/>
        </w:rPr>
        <w:t xml:space="preserve">y la </w:t>
      </w:r>
      <w:r w:rsidR="00951C0E" w:rsidRPr="004068F6">
        <w:rPr>
          <w:spacing w:val="-3"/>
        </w:rPr>
        <w:t xml:space="preserve">que se </w:t>
      </w:r>
      <w:r w:rsidR="004924B2" w:rsidRPr="004068F6">
        <w:rPr>
          <w:spacing w:val="-3"/>
        </w:rPr>
        <w:t>recopil</w:t>
      </w:r>
      <w:r w:rsidR="00951C0E" w:rsidRPr="004068F6">
        <w:rPr>
          <w:spacing w:val="-3"/>
        </w:rPr>
        <w:t xml:space="preserve">e en los espacios de participación sobre los </w:t>
      </w:r>
      <w:r w:rsidR="00A75AD1" w:rsidRPr="004068F6">
        <w:rPr>
          <w:spacing w:val="-3"/>
        </w:rPr>
        <w:t>SSEE</w:t>
      </w:r>
      <w:r w:rsidR="00951C0E" w:rsidRPr="004068F6">
        <w:rPr>
          <w:spacing w:val="-3"/>
        </w:rPr>
        <w:t xml:space="preserve">, </w:t>
      </w:r>
      <w:r w:rsidR="00093AC0" w:rsidRPr="004068F6">
        <w:rPr>
          <w:spacing w:val="-3"/>
        </w:rPr>
        <w:t xml:space="preserve">debe ser integrada </w:t>
      </w:r>
      <w:r w:rsidR="00093AC0" w:rsidRPr="004068F6">
        <w:rPr>
          <w:rFonts w:cs="Arial"/>
          <w:spacing w:val="-3"/>
        </w:rPr>
        <w:t xml:space="preserve">de forma coherente </w:t>
      </w:r>
      <w:r w:rsidR="00093AC0" w:rsidRPr="004068F6">
        <w:rPr>
          <w:spacing w:val="-3"/>
        </w:rPr>
        <w:t xml:space="preserve">para </w:t>
      </w:r>
      <w:r w:rsidR="00DE54AB" w:rsidRPr="004068F6">
        <w:rPr>
          <w:spacing w:val="-3"/>
        </w:rPr>
        <w:t xml:space="preserve">evidenciar </w:t>
      </w:r>
      <w:r w:rsidR="00302175" w:rsidRPr="004068F6">
        <w:rPr>
          <w:spacing w:val="-3"/>
        </w:rPr>
        <w:t xml:space="preserve">y caracterizar </w:t>
      </w:r>
      <w:r w:rsidR="00093AC0" w:rsidRPr="004068F6">
        <w:rPr>
          <w:spacing w:val="-3"/>
        </w:rPr>
        <w:t xml:space="preserve">las interrelaciones </w:t>
      </w:r>
      <w:r w:rsidR="00AD333A" w:rsidRPr="004068F6">
        <w:rPr>
          <w:rFonts w:cs="Arial"/>
          <w:spacing w:val="-3"/>
        </w:rPr>
        <w:t xml:space="preserve">que </w:t>
      </w:r>
      <w:r w:rsidR="008F5A3D" w:rsidRPr="004068F6">
        <w:rPr>
          <w:rFonts w:cs="Arial"/>
          <w:spacing w:val="-3"/>
        </w:rPr>
        <w:t xml:space="preserve">hacen posible </w:t>
      </w:r>
      <w:r w:rsidR="00BC4C47" w:rsidRPr="004068F6">
        <w:rPr>
          <w:rFonts w:cs="Arial"/>
          <w:spacing w:val="-3"/>
        </w:rPr>
        <w:t xml:space="preserve">que </w:t>
      </w:r>
      <w:r w:rsidR="00093AC0" w:rsidRPr="004068F6">
        <w:rPr>
          <w:rFonts w:cs="Arial"/>
          <w:spacing w:val="-3"/>
        </w:rPr>
        <w:t>las sociedades</w:t>
      </w:r>
      <w:r w:rsidR="00093AC0" w:rsidRPr="004068F6">
        <w:rPr>
          <w:spacing w:val="-3"/>
        </w:rPr>
        <w:t xml:space="preserve"> se benefici</w:t>
      </w:r>
      <w:r w:rsidR="004C3CF6" w:rsidRPr="004068F6">
        <w:rPr>
          <w:spacing w:val="-3"/>
        </w:rPr>
        <w:t>e</w:t>
      </w:r>
      <w:r w:rsidR="00093AC0" w:rsidRPr="004068F6">
        <w:rPr>
          <w:spacing w:val="-3"/>
        </w:rPr>
        <w:t xml:space="preserve">n de los ecosistemas y a la vez, </w:t>
      </w:r>
      <w:r w:rsidR="006631B2" w:rsidRPr="004068F6">
        <w:rPr>
          <w:spacing w:val="-3"/>
        </w:rPr>
        <w:t xml:space="preserve">las relaciones </w:t>
      </w:r>
      <w:r w:rsidR="00BC4C47" w:rsidRPr="004068F6">
        <w:rPr>
          <w:spacing w:val="-3"/>
        </w:rPr>
        <w:t xml:space="preserve">que </w:t>
      </w:r>
      <w:r w:rsidR="006631B2" w:rsidRPr="004068F6">
        <w:rPr>
          <w:spacing w:val="-3"/>
        </w:rPr>
        <w:t xml:space="preserve">posibilitan que </w:t>
      </w:r>
      <w:r w:rsidR="00093AC0" w:rsidRPr="004068F6">
        <w:rPr>
          <w:spacing w:val="-3"/>
        </w:rPr>
        <w:t xml:space="preserve">los ecosistemas </w:t>
      </w:r>
      <w:r w:rsidR="00BC4C47" w:rsidRPr="004068F6">
        <w:rPr>
          <w:spacing w:val="-3"/>
        </w:rPr>
        <w:t xml:space="preserve">sean </w:t>
      </w:r>
      <w:r w:rsidR="00093AC0" w:rsidRPr="004068F6">
        <w:rPr>
          <w:spacing w:val="-3"/>
        </w:rPr>
        <w:t>modificados por las acciones humanas.</w:t>
      </w:r>
      <w:r w:rsidR="00093AC0" w:rsidRPr="004068F6">
        <w:rPr>
          <w:rFonts w:cs="Arial"/>
          <w:spacing w:val="-3"/>
        </w:rPr>
        <w:t xml:space="preserve"> Se debe tener en cuenta que además de la información particular sobre los medios, componentes</w:t>
      </w:r>
      <w:r w:rsidR="002634A4" w:rsidRPr="004068F6">
        <w:rPr>
          <w:rFonts w:cs="Arial"/>
          <w:spacing w:val="-3"/>
        </w:rPr>
        <w:t xml:space="preserve"> y</w:t>
      </w:r>
      <w:r w:rsidR="00093AC0" w:rsidRPr="004068F6">
        <w:rPr>
          <w:rFonts w:cs="Arial"/>
          <w:spacing w:val="-3"/>
        </w:rPr>
        <w:t xml:space="preserve"> factores, resulta necesario obtener información primaria o secundaria específica sobre los </w:t>
      </w:r>
      <w:r w:rsidR="00A75AD1" w:rsidRPr="004068F6">
        <w:rPr>
          <w:rFonts w:cs="Arial"/>
          <w:spacing w:val="-3"/>
        </w:rPr>
        <w:t>SSEE</w:t>
      </w:r>
      <w:r w:rsidR="00093AC0" w:rsidRPr="004068F6">
        <w:rPr>
          <w:rFonts w:cs="Arial"/>
          <w:spacing w:val="-3"/>
        </w:rPr>
        <w:t xml:space="preserve"> con el propósito de afinar la </w:t>
      </w:r>
      <w:r w:rsidR="00AD3F90" w:rsidRPr="004068F6">
        <w:rPr>
          <w:rFonts w:cs="Arial"/>
          <w:spacing w:val="-3"/>
        </w:rPr>
        <w:t xml:space="preserve">determinación </w:t>
      </w:r>
      <w:r w:rsidR="00093AC0" w:rsidRPr="004068F6">
        <w:rPr>
          <w:rFonts w:cs="Arial"/>
          <w:spacing w:val="-3"/>
        </w:rPr>
        <w:t xml:space="preserve">y descripción de </w:t>
      </w:r>
      <w:r w:rsidR="008740E1" w:rsidRPr="004068F6">
        <w:rPr>
          <w:rFonts w:cs="Arial"/>
          <w:spacing w:val="-3"/>
        </w:rPr>
        <w:t>éstos</w:t>
      </w:r>
      <w:r w:rsidR="00093AC0" w:rsidRPr="004068F6">
        <w:rPr>
          <w:rFonts w:cs="Arial"/>
          <w:spacing w:val="-3"/>
        </w:rPr>
        <w:t>.</w:t>
      </w:r>
    </w:p>
    <w:p w14:paraId="1807F4D3" w14:textId="77777777" w:rsidR="003635B1" w:rsidRPr="004068F6" w:rsidRDefault="003635B1">
      <w:pPr>
        <w:numPr>
          <w:ilvl w:val="12"/>
          <w:numId w:val="0"/>
        </w:numPr>
        <w:tabs>
          <w:tab w:val="left" w:pos="-2268"/>
        </w:tabs>
        <w:suppressAutoHyphens/>
        <w:rPr>
          <w:rFonts w:cs="Arial"/>
          <w:spacing w:val="-3"/>
        </w:rPr>
      </w:pPr>
    </w:p>
    <w:p w14:paraId="151D4194" w14:textId="6F1BA2B9" w:rsidR="00334793" w:rsidRPr="004068F6" w:rsidRDefault="00302175">
      <w:pPr>
        <w:numPr>
          <w:ilvl w:val="12"/>
          <w:numId w:val="0"/>
        </w:numPr>
        <w:tabs>
          <w:tab w:val="left" w:pos="-2268"/>
        </w:tabs>
        <w:suppressAutoHyphens/>
        <w:rPr>
          <w:spacing w:val="-3"/>
        </w:rPr>
      </w:pPr>
      <w:r w:rsidRPr="004068F6">
        <w:rPr>
          <w:rFonts w:cs="Arial"/>
          <w:spacing w:val="-3"/>
        </w:rPr>
        <w:t xml:space="preserve">Tras </w:t>
      </w:r>
      <w:r w:rsidR="00DD190C" w:rsidRPr="004068F6">
        <w:rPr>
          <w:rFonts w:cs="Arial"/>
          <w:spacing w:val="-3"/>
        </w:rPr>
        <w:t xml:space="preserve">determinar </w:t>
      </w:r>
      <w:r w:rsidRPr="004068F6">
        <w:rPr>
          <w:rFonts w:cs="Arial"/>
          <w:spacing w:val="-3"/>
        </w:rPr>
        <w:t xml:space="preserve">los </w:t>
      </w:r>
      <w:r w:rsidR="00A75AD1" w:rsidRPr="004068F6">
        <w:rPr>
          <w:rFonts w:cs="Arial"/>
          <w:spacing w:val="-3"/>
        </w:rPr>
        <w:t>SSEE</w:t>
      </w:r>
      <w:r w:rsidRPr="004068F6">
        <w:rPr>
          <w:rFonts w:cs="Arial"/>
          <w:spacing w:val="-3"/>
        </w:rPr>
        <w:t xml:space="preserve"> que pueden ser impactados por el proyecto, obra o actividad, éstos </w:t>
      </w:r>
      <w:r w:rsidRPr="004068F6">
        <w:rPr>
          <w:spacing w:val="-3"/>
        </w:rPr>
        <w:t xml:space="preserve">deben ser clasificarlos en </w:t>
      </w:r>
      <w:r w:rsidR="00A75AD1" w:rsidRPr="004068F6">
        <w:rPr>
          <w:spacing w:val="-3"/>
        </w:rPr>
        <w:t>SSEE</w:t>
      </w:r>
      <w:r w:rsidRPr="004068F6">
        <w:rPr>
          <w:spacing w:val="-3"/>
        </w:rPr>
        <w:t xml:space="preserve"> de </w:t>
      </w:r>
      <w:r w:rsidRPr="004068F6">
        <w:rPr>
          <w:rFonts w:cs="Arial"/>
          <w:spacing w:val="-3"/>
        </w:rPr>
        <w:t xml:space="preserve">soporte, regulación </w:t>
      </w:r>
      <w:r w:rsidRPr="004068F6">
        <w:rPr>
          <w:spacing w:val="-3"/>
        </w:rPr>
        <w:t>aprovisionamiento y culturales. En la</w:t>
      </w:r>
      <w:r w:rsidR="00800CB4" w:rsidRPr="004068F6">
        <w:rPr>
          <w:spacing w:val="-3"/>
        </w:rPr>
        <w:t xml:space="preserve"> </w:t>
      </w:r>
      <w:r w:rsidR="00800CB4" w:rsidRPr="004068F6">
        <w:rPr>
          <w:spacing w:val="-3"/>
        </w:rPr>
        <w:fldChar w:fldCharType="begin"/>
      </w:r>
      <w:r w:rsidR="00800CB4" w:rsidRPr="004068F6">
        <w:rPr>
          <w:spacing w:val="-3"/>
        </w:rPr>
        <w:instrText xml:space="preserve"> REF _Ref78536291 \h  \* MERGEFORMAT </w:instrText>
      </w:r>
      <w:r w:rsidR="00800CB4" w:rsidRPr="004068F6">
        <w:rPr>
          <w:spacing w:val="-3"/>
        </w:rPr>
      </w:r>
      <w:r w:rsidR="00800CB4" w:rsidRPr="004068F6">
        <w:rPr>
          <w:spacing w:val="-3"/>
        </w:rPr>
        <w:fldChar w:fldCharType="separate"/>
      </w:r>
      <w:r w:rsidR="009C4A81" w:rsidRPr="009C4A81">
        <w:rPr>
          <w:rFonts w:cs="Arial"/>
          <w:spacing w:val="-3"/>
        </w:rPr>
        <w:t>Tabla 28</w:t>
      </w:r>
      <w:r w:rsidR="00800CB4" w:rsidRPr="004068F6">
        <w:rPr>
          <w:spacing w:val="-3"/>
        </w:rPr>
        <w:fldChar w:fldCharType="end"/>
      </w:r>
      <w:r w:rsidRPr="004068F6">
        <w:rPr>
          <w:spacing w:val="-3"/>
        </w:rPr>
        <w:t xml:space="preserve"> se relacionan algunos ejemplos que ilustran esta categorización</w:t>
      </w:r>
      <w:r w:rsidR="00247ABF" w:rsidRPr="004068F6">
        <w:rPr>
          <w:spacing w:val="-3"/>
        </w:rPr>
        <w:t xml:space="preserve"> de </w:t>
      </w:r>
      <w:r w:rsidR="00A75AD1" w:rsidRPr="004068F6">
        <w:rPr>
          <w:spacing w:val="-3"/>
        </w:rPr>
        <w:t>SSEE</w:t>
      </w:r>
      <w:r w:rsidRPr="004068F6">
        <w:rPr>
          <w:spacing w:val="-3"/>
        </w:rPr>
        <w:t>.</w:t>
      </w:r>
    </w:p>
    <w:p w14:paraId="73FBB5DC" w14:textId="1EC54B53" w:rsidR="004707DC" w:rsidRPr="004068F6" w:rsidRDefault="004707DC">
      <w:pPr>
        <w:numPr>
          <w:ilvl w:val="12"/>
          <w:numId w:val="0"/>
        </w:numPr>
        <w:tabs>
          <w:tab w:val="left" w:pos="-2268"/>
        </w:tabs>
        <w:suppressAutoHyphens/>
        <w:rPr>
          <w:spacing w:val="-3"/>
        </w:rPr>
      </w:pPr>
    </w:p>
    <w:p w14:paraId="2E20911F" w14:textId="77602DE5" w:rsidR="00093AC0" w:rsidRPr="004068F6" w:rsidRDefault="00A15BD4" w:rsidP="009420F5">
      <w:pPr>
        <w:pStyle w:val="Ttulo4"/>
        <w:tabs>
          <w:tab w:val="clear" w:pos="1844"/>
          <w:tab w:val="num" w:pos="1134"/>
        </w:tabs>
        <w:ind w:left="0"/>
        <w:rPr>
          <w:lang w:val="es-CO"/>
        </w:rPr>
      </w:pPr>
      <w:r w:rsidRPr="004068F6">
        <w:rPr>
          <w:lang w:val="es-CO"/>
        </w:rPr>
        <w:t>Evaluación del e</w:t>
      </w:r>
      <w:r w:rsidR="00970A40" w:rsidRPr="004068F6">
        <w:rPr>
          <w:lang w:val="es-CO"/>
        </w:rPr>
        <w:t xml:space="preserve">stado </w:t>
      </w:r>
      <w:r w:rsidR="00481805" w:rsidRPr="004068F6">
        <w:rPr>
          <w:lang w:val="es-CO"/>
        </w:rPr>
        <w:t xml:space="preserve">y descripción </w:t>
      </w:r>
      <w:r w:rsidR="00093AC0" w:rsidRPr="004068F6">
        <w:rPr>
          <w:lang w:val="es-CO"/>
        </w:rPr>
        <w:t>de los servicios ecosistémicos</w:t>
      </w:r>
    </w:p>
    <w:p w14:paraId="65EC8FC9" w14:textId="77777777" w:rsidR="00B31D36" w:rsidRPr="004068F6" w:rsidRDefault="00B31D36">
      <w:pPr>
        <w:numPr>
          <w:ilvl w:val="12"/>
          <w:numId w:val="0"/>
        </w:numPr>
        <w:tabs>
          <w:tab w:val="left" w:pos="-2268"/>
        </w:tabs>
        <w:suppressAutoHyphens/>
        <w:rPr>
          <w:spacing w:val="-3"/>
        </w:rPr>
      </w:pPr>
    </w:p>
    <w:p w14:paraId="79E7C313" w14:textId="0ABD54E2" w:rsidR="008A2138" w:rsidRPr="004068F6" w:rsidRDefault="00486448">
      <w:pPr>
        <w:numPr>
          <w:ilvl w:val="12"/>
          <w:numId w:val="0"/>
        </w:numPr>
        <w:tabs>
          <w:tab w:val="left" w:pos="-2268"/>
        </w:tabs>
        <w:suppressAutoHyphens/>
        <w:rPr>
          <w:spacing w:val="-3"/>
        </w:rPr>
      </w:pPr>
      <w:r w:rsidRPr="004068F6">
        <w:rPr>
          <w:spacing w:val="-3"/>
        </w:rPr>
        <w:t xml:space="preserve">Se debe evaluar </w:t>
      </w:r>
      <w:r w:rsidR="00B31D36" w:rsidRPr="004068F6">
        <w:rPr>
          <w:spacing w:val="-3"/>
        </w:rPr>
        <w:t xml:space="preserve">el estado de los </w:t>
      </w:r>
      <w:r w:rsidR="00A75AD1" w:rsidRPr="004068F6">
        <w:rPr>
          <w:spacing w:val="-3"/>
        </w:rPr>
        <w:t>SSEE</w:t>
      </w:r>
      <w:r w:rsidR="00B31D36" w:rsidRPr="004068F6">
        <w:rPr>
          <w:spacing w:val="-3"/>
        </w:rPr>
        <w:t>, tanto de los que poseen dimensiones biofísicas que son susceptibles de medición</w:t>
      </w:r>
      <w:r w:rsidRPr="004068F6">
        <w:rPr>
          <w:spacing w:val="-3"/>
        </w:rPr>
        <w:t xml:space="preserve"> cuantitativa</w:t>
      </w:r>
      <w:r w:rsidR="00B31D36" w:rsidRPr="004068F6">
        <w:rPr>
          <w:spacing w:val="-3"/>
        </w:rPr>
        <w:t>, como de los que sólo pueden expresarse mediante parámetros cualitativos.</w:t>
      </w:r>
      <w:r w:rsidR="007C36B4" w:rsidRPr="004068F6">
        <w:rPr>
          <w:spacing w:val="-3"/>
        </w:rPr>
        <w:t xml:space="preserve"> Esta evaluación debe basarse en </w:t>
      </w:r>
      <w:r w:rsidRPr="004068F6">
        <w:rPr>
          <w:spacing w:val="-3"/>
        </w:rPr>
        <w:t xml:space="preserve">la </w:t>
      </w:r>
      <w:r w:rsidR="00093AC0" w:rsidRPr="004068F6">
        <w:rPr>
          <w:spacing w:val="-3"/>
        </w:rPr>
        <w:t>información primaria y secundaria</w:t>
      </w:r>
      <w:r w:rsidRPr="004068F6">
        <w:rPr>
          <w:spacing w:val="-3"/>
        </w:rPr>
        <w:t xml:space="preserve"> que se haya recolectado para los elementos ambientales de forma individual, y para </w:t>
      </w:r>
      <w:r w:rsidR="007C36B4" w:rsidRPr="004068F6">
        <w:rPr>
          <w:spacing w:val="-3"/>
        </w:rPr>
        <w:t xml:space="preserve">las relaciones </w:t>
      </w:r>
      <w:r w:rsidR="007C36B4" w:rsidRPr="004068F6">
        <w:rPr>
          <w:rFonts w:cs="Arial"/>
          <w:spacing w:val="-3"/>
        </w:rPr>
        <w:t xml:space="preserve">que configuran los </w:t>
      </w:r>
      <w:r w:rsidR="00A75AD1" w:rsidRPr="004068F6">
        <w:rPr>
          <w:rFonts w:cs="Arial"/>
          <w:spacing w:val="-3"/>
        </w:rPr>
        <w:t>SSEE</w:t>
      </w:r>
      <w:r w:rsidR="000F5172" w:rsidRPr="004068F6">
        <w:rPr>
          <w:rFonts w:cs="Arial"/>
          <w:spacing w:val="-3"/>
        </w:rPr>
        <w:t xml:space="preserve">; </w:t>
      </w:r>
      <w:r w:rsidR="000F5172" w:rsidRPr="004068F6">
        <w:rPr>
          <w:spacing w:val="-3"/>
        </w:rPr>
        <w:t xml:space="preserve">a este último respecto, es importante obtener información sobre cómo los grupos de interés del área de influencia valoran los </w:t>
      </w:r>
      <w:r w:rsidR="00A75AD1" w:rsidRPr="004068F6">
        <w:rPr>
          <w:spacing w:val="-3"/>
        </w:rPr>
        <w:t>SSEE</w:t>
      </w:r>
      <w:r w:rsidR="007C36B4" w:rsidRPr="004068F6">
        <w:rPr>
          <w:spacing w:val="-3"/>
        </w:rPr>
        <w:t>.</w:t>
      </w:r>
    </w:p>
    <w:p w14:paraId="63A9C55B" w14:textId="77777777" w:rsidR="00B25EE4" w:rsidRPr="004068F6" w:rsidRDefault="00B25EE4">
      <w:pPr>
        <w:tabs>
          <w:tab w:val="left" w:pos="-2268"/>
        </w:tabs>
        <w:suppressAutoHyphens/>
        <w:rPr>
          <w:spacing w:val="-3"/>
        </w:rPr>
      </w:pPr>
    </w:p>
    <w:p w14:paraId="3DE914CB" w14:textId="47BFDA9C" w:rsidR="00970A40" w:rsidRPr="004068F6" w:rsidRDefault="007C36B4" w:rsidP="009420F5">
      <w:pPr>
        <w:tabs>
          <w:tab w:val="left" w:pos="-2268"/>
        </w:tabs>
        <w:suppressAutoHyphens/>
        <w:rPr>
          <w:spacing w:val="-3"/>
          <w:u w:val="single"/>
        </w:rPr>
      </w:pPr>
      <w:r w:rsidRPr="004068F6">
        <w:rPr>
          <w:spacing w:val="-3"/>
        </w:rPr>
        <w:t xml:space="preserve">Para </w:t>
      </w:r>
      <w:r w:rsidR="00220E86" w:rsidRPr="004068F6">
        <w:rPr>
          <w:spacing w:val="-3"/>
        </w:rPr>
        <w:t xml:space="preserve">establecer </w:t>
      </w:r>
      <w:r w:rsidR="00970A40" w:rsidRPr="004068F6">
        <w:rPr>
          <w:spacing w:val="-3"/>
        </w:rPr>
        <w:t xml:space="preserve">el estado de los </w:t>
      </w:r>
      <w:r w:rsidR="00A75AD1" w:rsidRPr="004068F6">
        <w:rPr>
          <w:spacing w:val="-3"/>
        </w:rPr>
        <w:t>SSEE</w:t>
      </w:r>
      <w:r w:rsidR="00970A40" w:rsidRPr="004068F6">
        <w:rPr>
          <w:spacing w:val="-3"/>
        </w:rPr>
        <w:t xml:space="preserve"> </w:t>
      </w:r>
      <w:r w:rsidRPr="004068F6">
        <w:rPr>
          <w:spacing w:val="-3"/>
        </w:rPr>
        <w:t xml:space="preserve">es necesario </w:t>
      </w:r>
      <w:r w:rsidR="00970A40" w:rsidRPr="004068F6">
        <w:rPr>
          <w:spacing w:val="-3"/>
        </w:rPr>
        <w:t>defini</w:t>
      </w:r>
      <w:r w:rsidRPr="004068F6">
        <w:rPr>
          <w:spacing w:val="-3"/>
        </w:rPr>
        <w:t xml:space="preserve">r </w:t>
      </w:r>
      <w:r w:rsidR="00970A40" w:rsidRPr="004068F6">
        <w:rPr>
          <w:spacing w:val="-3"/>
        </w:rPr>
        <w:t>indicadores cuantitativos y cualitativos</w:t>
      </w:r>
      <w:r w:rsidR="00970A40" w:rsidRPr="004068F6">
        <w:rPr>
          <w:rFonts w:cs="Arial"/>
          <w:spacing w:val="-3"/>
        </w:rPr>
        <w:t xml:space="preserve"> que permitan </w:t>
      </w:r>
      <w:r w:rsidR="00DD190C" w:rsidRPr="004068F6">
        <w:rPr>
          <w:rFonts w:cs="Arial"/>
          <w:spacing w:val="-3"/>
        </w:rPr>
        <w:t xml:space="preserve">determinar </w:t>
      </w:r>
      <w:r w:rsidR="00220E86" w:rsidRPr="004068F6">
        <w:rPr>
          <w:rFonts w:cs="Arial"/>
          <w:spacing w:val="-3"/>
        </w:rPr>
        <w:t xml:space="preserve">y evaluar, en </w:t>
      </w:r>
      <w:r w:rsidR="009B3D19" w:rsidRPr="004068F6">
        <w:rPr>
          <w:rFonts w:cs="Arial"/>
          <w:spacing w:val="-3"/>
        </w:rPr>
        <w:t xml:space="preserve">la </w:t>
      </w:r>
      <w:r w:rsidR="00220E86" w:rsidRPr="004068F6">
        <w:rPr>
          <w:rFonts w:cs="Arial"/>
          <w:spacing w:val="-3"/>
        </w:rPr>
        <w:t>evaluación ambiental</w:t>
      </w:r>
      <w:r w:rsidR="009B3D19" w:rsidRPr="004068F6">
        <w:rPr>
          <w:rFonts w:cs="Arial"/>
          <w:spacing w:val="-3"/>
        </w:rPr>
        <w:t xml:space="preserve"> del EIA</w:t>
      </w:r>
      <w:r w:rsidR="00220E86" w:rsidRPr="004068F6">
        <w:rPr>
          <w:rFonts w:cs="Arial"/>
          <w:spacing w:val="-3"/>
        </w:rPr>
        <w:t xml:space="preserve">, </w:t>
      </w:r>
      <w:r w:rsidR="00970A40" w:rsidRPr="004068F6">
        <w:rPr>
          <w:rFonts w:cs="Arial"/>
          <w:spacing w:val="-3"/>
        </w:rPr>
        <w:t xml:space="preserve">los impactos </w:t>
      </w:r>
      <w:r w:rsidR="00510FB4" w:rsidRPr="004068F6">
        <w:rPr>
          <w:rFonts w:cs="Arial"/>
          <w:spacing w:val="-3"/>
        </w:rPr>
        <w:t xml:space="preserve">que </w:t>
      </w:r>
      <w:r w:rsidRPr="004068F6">
        <w:rPr>
          <w:rFonts w:cs="Arial"/>
          <w:spacing w:val="-3"/>
        </w:rPr>
        <w:t xml:space="preserve">el proyecto, obra o actividad </w:t>
      </w:r>
      <w:r w:rsidR="00970A40" w:rsidRPr="004068F6">
        <w:rPr>
          <w:rFonts w:cs="Arial"/>
          <w:spacing w:val="-3"/>
        </w:rPr>
        <w:t xml:space="preserve">puede </w:t>
      </w:r>
      <w:r w:rsidR="00510FB4" w:rsidRPr="004068F6">
        <w:rPr>
          <w:rFonts w:cs="Arial"/>
          <w:spacing w:val="-3"/>
        </w:rPr>
        <w:t xml:space="preserve">producir sobre los </w:t>
      </w:r>
      <w:r w:rsidR="00970A40" w:rsidRPr="004068F6">
        <w:rPr>
          <w:rFonts w:cs="Arial"/>
          <w:spacing w:val="-3"/>
        </w:rPr>
        <w:t>servicio</w:t>
      </w:r>
      <w:r w:rsidR="00510FB4" w:rsidRPr="004068F6">
        <w:rPr>
          <w:rFonts w:cs="Arial"/>
          <w:spacing w:val="-3"/>
        </w:rPr>
        <w:t>s</w:t>
      </w:r>
      <w:r w:rsidR="00970A40" w:rsidRPr="004068F6">
        <w:rPr>
          <w:rFonts w:cs="Arial"/>
          <w:spacing w:val="-3"/>
        </w:rPr>
        <w:t xml:space="preserve"> ecosistémico</w:t>
      </w:r>
      <w:r w:rsidR="00510FB4" w:rsidRPr="004068F6">
        <w:rPr>
          <w:rFonts w:cs="Arial"/>
          <w:spacing w:val="-3"/>
        </w:rPr>
        <w:t>s</w:t>
      </w:r>
      <w:r w:rsidRPr="004068F6">
        <w:rPr>
          <w:rFonts w:cs="Arial"/>
          <w:spacing w:val="-3"/>
        </w:rPr>
        <w:t xml:space="preserve">, </w:t>
      </w:r>
      <w:r w:rsidR="00220E86" w:rsidRPr="004068F6">
        <w:rPr>
          <w:rFonts w:cs="Arial"/>
          <w:spacing w:val="-3"/>
        </w:rPr>
        <w:t xml:space="preserve">así como desarrollar el </w:t>
      </w:r>
      <w:r w:rsidR="00510FB4" w:rsidRPr="004068F6">
        <w:rPr>
          <w:rFonts w:cs="Arial"/>
          <w:spacing w:val="-3"/>
        </w:rPr>
        <w:t xml:space="preserve">proceso de </w:t>
      </w:r>
      <w:r w:rsidR="00970A40" w:rsidRPr="004068F6">
        <w:rPr>
          <w:spacing w:val="-3"/>
        </w:rPr>
        <w:t xml:space="preserve">seguimiento </w:t>
      </w:r>
      <w:r w:rsidR="00510FB4" w:rsidRPr="004068F6">
        <w:rPr>
          <w:spacing w:val="-3"/>
        </w:rPr>
        <w:t xml:space="preserve">ambiental </w:t>
      </w:r>
      <w:r w:rsidR="00220E86" w:rsidRPr="004068F6">
        <w:rPr>
          <w:spacing w:val="-3"/>
        </w:rPr>
        <w:t xml:space="preserve">durante la </w:t>
      </w:r>
      <w:r w:rsidR="00303103">
        <w:rPr>
          <w:spacing w:val="-3"/>
        </w:rPr>
        <w:t xml:space="preserve">su </w:t>
      </w:r>
      <w:r w:rsidR="00220E86" w:rsidRPr="004068F6">
        <w:rPr>
          <w:spacing w:val="-3"/>
        </w:rPr>
        <w:t>ejecución</w:t>
      </w:r>
      <w:r w:rsidR="00510FB4" w:rsidRPr="004068F6">
        <w:rPr>
          <w:spacing w:val="-3"/>
        </w:rPr>
        <w:t>.</w:t>
      </w:r>
    </w:p>
    <w:p w14:paraId="31CF8AEF" w14:textId="77777777" w:rsidR="00970A40" w:rsidRPr="004068F6" w:rsidRDefault="00970A40" w:rsidP="009420F5">
      <w:pPr>
        <w:tabs>
          <w:tab w:val="left" w:pos="-2268"/>
        </w:tabs>
        <w:suppressAutoHyphens/>
        <w:rPr>
          <w:spacing w:val="-3"/>
        </w:rPr>
      </w:pPr>
    </w:p>
    <w:p w14:paraId="09E99F04" w14:textId="7755C0EA" w:rsidR="00B5495D" w:rsidRPr="004068F6" w:rsidRDefault="006468FE" w:rsidP="009420F5">
      <w:pPr>
        <w:tabs>
          <w:tab w:val="left" w:pos="-2268"/>
        </w:tabs>
        <w:suppressAutoHyphens/>
        <w:rPr>
          <w:rFonts w:cs="Arial"/>
          <w:spacing w:val="-3"/>
        </w:rPr>
      </w:pPr>
      <w:r w:rsidRPr="004068F6">
        <w:rPr>
          <w:spacing w:val="-3"/>
        </w:rPr>
        <w:t>L</w:t>
      </w:r>
      <w:r w:rsidR="00970A40" w:rsidRPr="004068F6">
        <w:rPr>
          <w:spacing w:val="-3"/>
        </w:rPr>
        <w:t xml:space="preserve">os indicadores </w:t>
      </w:r>
      <w:r w:rsidRPr="004068F6">
        <w:rPr>
          <w:spacing w:val="-3"/>
        </w:rPr>
        <w:t xml:space="preserve">seleccionados </w:t>
      </w:r>
      <w:r w:rsidR="00970A40" w:rsidRPr="004068F6">
        <w:rPr>
          <w:spacing w:val="-3"/>
        </w:rPr>
        <w:t>debe</w:t>
      </w:r>
      <w:r w:rsidRPr="004068F6">
        <w:rPr>
          <w:spacing w:val="-3"/>
        </w:rPr>
        <w:t>n</w:t>
      </w:r>
      <w:r w:rsidR="00970A40" w:rsidRPr="004068F6">
        <w:rPr>
          <w:spacing w:val="-3"/>
        </w:rPr>
        <w:t xml:space="preserve"> </w:t>
      </w:r>
      <w:r w:rsidR="00510FB4" w:rsidRPr="004068F6">
        <w:rPr>
          <w:spacing w:val="-3"/>
        </w:rPr>
        <w:t>ser coherente</w:t>
      </w:r>
      <w:r w:rsidRPr="004068F6">
        <w:rPr>
          <w:spacing w:val="-3"/>
        </w:rPr>
        <w:t>s</w:t>
      </w:r>
      <w:r w:rsidR="00510FB4" w:rsidRPr="004068F6">
        <w:rPr>
          <w:spacing w:val="-3"/>
        </w:rPr>
        <w:t xml:space="preserve"> con </w:t>
      </w:r>
      <w:r w:rsidR="00E84CD8" w:rsidRPr="004068F6">
        <w:rPr>
          <w:spacing w:val="-3"/>
        </w:rPr>
        <w:t xml:space="preserve">los </w:t>
      </w:r>
      <w:r w:rsidR="00510FB4" w:rsidRPr="004068F6">
        <w:rPr>
          <w:spacing w:val="-3"/>
        </w:rPr>
        <w:t>tipo</w:t>
      </w:r>
      <w:r w:rsidR="00E84CD8" w:rsidRPr="004068F6">
        <w:rPr>
          <w:spacing w:val="-3"/>
        </w:rPr>
        <w:t>s</w:t>
      </w:r>
      <w:r w:rsidR="00970A40" w:rsidRPr="004068F6">
        <w:rPr>
          <w:spacing w:val="-3"/>
        </w:rPr>
        <w:t xml:space="preserve"> de </w:t>
      </w:r>
      <w:r w:rsidR="00A75AD1" w:rsidRPr="004068F6">
        <w:rPr>
          <w:spacing w:val="-3"/>
        </w:rPr>
        <w:t>SSEE</w:t>
      </w:r>
      <w:r w:rsidR="00970A40" w:rsidRPr="004068F6">
        <w:rPr>
          <w:spacing w:val="-3"/>
        </w:rPr>
        <w:t xml:space="preserve"> evaluado</w:t>
      </w:r>
      <w:r w:rsidR="00E84CD8" w:rsidRPr="004068F6">
        <w:rPr>
          <w:spacing w:val="-3"/>
        </w:rPr>
        <w:t>s</w:t>
      </w:r>
      <w:r w:rsidR="00510FB4" w:rsidRPr="004068F6">
        <w:rPr>
          <w:spacing w:val="-3"/>
        </w:rPr>
        <w:t xml:space="preserve"> </w:t>
      </w:r>
      <w:r w:rsidRPr="004068F6">
        <w:rPr>
          <w:spacing w:val="-3"/>
        </w:rPr>
        <w:t xml:space="preserve">(aprovisionamiento, regulación, soporte y cultural) </w:t>
      </w:r>
      <w:r w:rsidR="00510FB4" w:rsidRPr="004068F6">
        <w:rPr>
          <w:spacing w:val="-3"/>
        </w:rPr>
        <w:t>y</w:t>
      </w:r>
      <w:r w:rsidR="00970A40" w:rsidRPr="004068F6">
        <w:rPr>
          <w:spacing w:val="-3"/>
        </w:rPr>
        <w:t xml:space="preserve"> </w:t>
      </w:r>
      <w:r w:rsidR="00510FB4" w:rsidRPr="004068F6">
        <w:rPr>
          <w:spacing w:val="-3"/>
        </w:rPr>
        <w:t>con</w:t>
      </w:r>
      <w:r w:rsidR="00970A40" w:rsidRPr="004068F6">
        <w:rPr>
          <w:spacing w:val="-3"/>
        </w:rPr>
        <w:t xml:space="preserve"> la</w:t>
      </w:r>
      <w:r w:rsidRPr="004068F6">
        <w:rPr>
          <w:spacing w:val="-3"/>
        </w:rPr>
        <w:t xml:space="preserve"> </w:t>
      </w:r>
      <w:r w:rsidR="00970A40" w:rsidRPr="004068F6">
        <w:rPr>
          <w:spacing w:val="-3"/>
        </w:rPr>
        <w:t>temporal</w:t>
      </w:r>
      <w:r w:rsidRPr="004068F6">
        <w:rPr>
          <w:spacing w:val="-3"/>
        </w:rPr>
        <w:t xml:space="preserve">idad </w:t>
      </w:r>
      <w:r w:rsidR="00970A40" w:rsidRPr="004068F6">
        <w:rPr>
          <w:spacing w:val="-3"/>
        </w:rPr>
        <w:t>y espacial</w:t>
      </w:r>
      <w:r w:rsidRPr="004068F6">
        <w:rPr>
          <w:spacing w:val="-3"/>
        </w:rPr>
        <w:t xml:space="preserve">idad </w:t>
      </w:r>
      <w:r w:rsidR="000F60F8" w:rsidRPr="004068F6">
        <w:rPr>
          <w:spacing w:val="-3"/>
        </w:rPr>
        <w:t>en</w:t>
      </w:r>
      <w:r w:rsidR="0072054C" w:rsidRPr="004068F6">
        <w:rPr>
          <w:spacing w:val="-3"/>
        </w:rPr>
        <w:t xml:space="preserve"> </w:t>
      </w:r>
      <w:r w:rsidR="00970A40" w:rsidRPr="004068F6">
        <w:rPr>
          <w:spacing w:val="-3"/>
        </w:rPr>
        <w:t>las cuales ést</w:t>
      </w:r>
      <w:r w:rsidR="00E84CD8" w:rsidRPr="004068F6">
        <w:rPr>
          <w:spacing w:val="-3"/>
        </w:rPr>
        <w:t>os</w:t>
      </w:r>
      <w:r w:rsidR="00970A40" w:rsidRPr="004068F6">
        <w:rPr>
          <w:spacing w:val="-3"/>
        </w:rPr>
        <w:t xml:space="preserve"> </w:t>
      </w:r>
      <w:r w:rsidR="00510FB4" w:rsidRPr="004068F6">
        <w:rPr>
          <w:spacing w:val="-3"/>
        </w:rPr>
        <w:t>se evidencia</w:t>
      </w:r>
      <w:r w:rsidR="00E84CD8" w:rsidRPr="004068F6">
        <w:rPr>
          <w:spacing w:val="-3"/>
        </w:rPr>
        <w:t>n</w:t>
      </w:r>
      <w:r w:rsidR="00510FB4" w:rsidRPr="004068F6">
        <w:rPr>
          <w:spacing w:val="-3"/>
        </w:rPr>
        <w:t xml:space="preserve">; </w:t>
      </w:r>
      <w:r w:rsidR="00E84CD8" w:rsidRPr="004068F6">
        <w:rPr>
          <w:spacing w:val="-3"/>
        </w:rPr>
        <w:t xml:space="preserve">por lo tanto, </w:t>
      </w:r>
      <w:r w:rsidR="00B5495D" w:rsidRPr="004068F6">
        <w:rPr>
          <w:spacing w:val="-3"/>
        </w:rPr>
        <w:t xml:space="preserve">es necesario </w:t>
      </w:r>
      <w:r w:rsidR="00E84CD8" w:rsidRPr="004068F6">
        <w:rPr>
          <w:spacing w:val="-3"/>
        </w:rPr>
        <w:t>ser conscientes</w:t>
      </w:r>
      <w:r w:rsidR="00B54E05" w:rsidRPr="004068F6">
        <w:rPr>
          <w:spacing w:val="-3"/>
        </w:rPr>
        <w:t xml:space="preserve"> de</w:t>
      </w:r>
      <w:r w:rsidR="00E84CD8" w:rsidRPr="004068F6">
        <w:rPr>
          <w:spacing w:val="-3"/>
        </w:rPr>
        <w:t xml:space="preserve"> que los indicadores operan en ciertas </w:t>
      </w:r>
      <w:r w:rsidRPr="004068F6">
        <w:rPr>
          <w:spacing w:val="-3"/>
        </w:rPr>
        <w:t>escala</w:t>
      </w:r>
      <w:r w:rsidR="00E84CD8" w:rsidRPr="004068F6">
        <w:rPr>
          <w:spacing w:val="-3"/>
        </w:rPr>
        <w:t>s</w:t>
      </w:r>
      <w:r w:rsidRPr="004068F6">
        <w:rPr>
          <w:spacing w:val="-3"/>
        </w:rPr>
        <w:t xml:space="preserve"> </w:t>
      </w:r>
      <w:r w:rsidR="00E84CD8" w:rsidRPr="004068F6">
        <w:rPr>
          <w:spacing w:val="-3"/>
        </w:rPr>
        <w:t xml:space="preserve">espaciales y temporales y que ello </w:t>
      </w:r>
      <w:r w:rsidRPr="004068F6">
        <w:rPr>
          <w:spacing w:val="-3"/>
        </w:rPr>
        <w:t xml:space="preserve">se debe reflejar en </w:t>
      </w:r>
      <w:r w:rsidR="00E84CD8" w:rsidRPr="004068F6">
        <w:rPr>
          <w:spacing w:val="-3"/>
        </w:rPr>
        <w:t xml:space="preserve">la </w:t>
      </w:r>
      <w:r w:rsidRPr="004068F6">
        <w:rPr>
          <w:spacing w:val="-3"/>
        </w:rPr>
        <w:t>unidad de medida</w:t>
      </w:r>
      <w:r w:rsidR="00E84CD8" w:rsidRPr="004068F6">
        <w:rPr>
          <w:spacing w:val="-3"/>
        </w:rPr>
        <w:t xml:space="preserve"> de los indicadores cuantitativos</w:t>
      </w:r>
      <w:r w:rsidR="00970A40" w:rsidRPr="004068F6">
        <w:rPr>
          <w:spacing w:val="-3"/>
        </w:rPr>
        <w:t>.</w:t>
      </w:r>
      <w:r w:rsidR="00B5495D" w:rsidRPr="004068F6">
        <w:rPr>
          <w:spacing w:val="-3"/>
        </w:rPr>
        <w:t xml:space="preserve"> </w:t>
      </w:r>
      <w:r w:rsidR="000F60F8" w:rsidRPr="004068F6">
        <w:rPr>
          <w:spacing w:val="-3"/>
        </w:rPr>
        <w:t xml:space="preserve">Así, los indicadores </w:t>
      </w:r>
      <w:r w:rsidR="00B44DE1" w:rsidRPr="004068F6">
        <w:rPr>
          <w:spacing w:val="-3"/>
        </w:rPr>
        <w:lastRenderedPageBreak/>
        <w:t>deben comunicar</w:t>
      </w:r>
      <w:r w:rsidR="00B5495D" w:rsidRPr="004068F6">
        <w:rPr>
          <w:spacing w:val="-3"/>
        </w:rPr>
        <w:t xml:space="preserve"> eficientemente las características de los </w:t>
      </w:r>
      <w:r w:rsidR="00A75AD1" w:rsidRPr="004068F6">
        <w:rPr>
          <w:spacing w:val="-3"/>
        </w:rPr>
        <w:t>SSEE</w:t>
      </w:r>
      <w:r w:rsidR="00B44DE1" w:rsidRPr="004068F6">
        <w:rPr>
          <w:spacing w:val="-3"/>
        </w:rPr>
        <w:t xml:space="preserve"> </w:t>
      </w:r>
      <w:r w:rsidR="00816BC8" w:rsidRPr="004068F6">
        <w:rPr>
          <w:spacing w:val="-3"/>
        </w:rPr>
        <w:t xml:space="preserve">que se quieren medir </w:t>
      </w:r>
      <w:r w:rsidR="00B44DE1" w:rsidRPr="004068F6">
        <w:rPr>
          <w:spacing w:val="-3"/>
        </w:rPr>
        <w:t xml:space="preserve">y </w:t>
      </w:r>
      <w:r w:rsidR="00B5495D" w:rsidRPr="004068F6">
        <w:rPr>
          <w:rFonts w:cs="Arial"/>
          <w:spacing w:val="-3"/>
        </w:rPr>
        <w:t xml:space="preserve">ser sensibles espacial y temporalmente a los </w:t>
      </w:r>
      <w:r w:rsidR="00197E47" w:rsidRPr="004068F6">
        <w:rPr>
          <w:rFonts w:cs="Arial"/>
          <w:spacing w:val="-3"/>
        </w:rPr>
        <w:t>impactos</w:t>
      </w:r>
      <w:r w:rsidR="00B5495D" w:rsidRPr="004068F6">
        <w:rPr>
          <w:rFonts w:cs="Arial"/>
          <w:spacing w:val="-3"/>
        </w:rPr>
        <w:t xml:space="preserve"> </w:t>
      </w:r>
      <w:r w:rsidR="00541D7C" w:rsidRPr="004068F6">
        <w:rPr>
          <w:rFonts w:cs="Arial"/>
          <w:spacing w:val="-3"/>
        </w:rPr>
        <w:t xml:space="preserve">a los </w:t>
      </w:r>
      <w:r w:rsidR="0045217B" w:rsidRPr="004068F6">
        <w:rPr>
          <w:rFonts w:cs="Arial"/>
          <w:spacing w:val="-3"/>
        </w:rPr>
        <w:t xml:space="preserve">cuáles </w:t>
      </w:r>
      <w:r w:rsidR="00541D7C" w:rsidRPr="004068F6">
        <w:rPr>
          <w:rFonts w:cs="Arial"/>
          <w:spacing w:val="-3"/>
        </w:rPr>
        <w:t>se asocia</w:t>
      </w:r>
      <w:r w:rsidR="00816BC8" w:rsidRPr="004068F6">
        <w:rPr>
          <w:rFonts w:cs="Arial"/>
          <w:spacing w:val="-3"/>
        </w:rPr>
        <w:t>n</w:t>
      </w:r>
      <w:r w:rsidR="00B5495D" w:rsidRPr="004068F6">
        <w:rPr>
          <w:rFonts w:cs="Arial"/>
          <w:spacing w:val="-3"/>
        </w:rPr>
        <w:t>.</w:t>
      </w:r>
    </w:p>
    <w:p w14:paraId="0211CED7" w14:textId="4B5315A2" w:rsidR="00970A40" w:rsidRPr="004068F6" w:rsidRDefault="00970A40" w:rsidP="009420F5">
      <w:pPr>
        <w:tabs>
          <w:tab w:val="left" w:pos="-2268"/>
        </w:tabs>
        <w:suppressAutoHyphens/>
        <w:rPr>
          <w:spacing w:val="-3"/>
        </w:rPr>
      </w:pPr>
    </w:p>
    <w:p w14:paraId="44194FF0" w14:textId="2FD6BB08" w:rsidR="009B0013" w:rsidRPr="004068F6" w:rsidRDefault="00970A40" w:rsidP="009420F5">
      <w:pPr>
        <w:tabs>
          <w:tab w:val="left" w:pos="-2268"/>
        </w:tabs>
        <w:suppressAutoHyphens/>
        <w:rPr>
          <w:spacing w:val="-3"/>
        </w:rPr>
      </w:pPr>
      <w:r w:rsidRPr="004068F6">
        <w:rPr>
          <w:spacing w:val="-3"/>
        </w:rPr>
        <w:t>Una vez se definan los indicadores</w:t>
      </w:r>
      <w:r w:rsidR="00A15BD4" w:rsidRPr="004068F6">
        <w:rPr>
          <w:spacing w:val="-3"/>
        </w:rPr>
        <w:t xml:space="preserve">, </w:t>
      </w:r>
      <w:r w:rsidR="00020571" w:rsidRPr="004068F6">
        <w:rPr>
          <w:spacing w:val="-3"/>
        </w:rPr>
        <w:t xml:space="preserve">y </w:t>
      </w:r>
      <w:r w:rsidR="00A15BD4" w:rsidRPr="004068F6">
        <w:rPr>
          <w:spacing w:val="-3"/>
        </w:rPr>
        <w:t xml:space="preserve">sus escalas </w:t>
      </w:r>
      <w:r w:rsidRPr="004068F6">
        <w:rPr>
          <w:spacing w:val="-3"/>
        </w:rPr>
        <w:t xml:space="preserve">y </w:t>
      </w:r>
      <w:r w:rsidR="00A15BD4" w:rsidRPr="004068F6">
        <w:rPr>
          <w:spacing w:val="-3"/>
        </w:rPr>
        <w:t xml:space="preserve">unidades </w:t>
      </w:r>
      <w:r w:rsidRPr="004068F6">
        <w:rPr>
          <w:spacing w:val="-3"/>
        </w:rPr>
        <w:t>de medida, se debe</w:t>
      </w:r>
      <w:r w:rsidR="00443789" w:rsidRPr="004068F6">
        <w:rPr>
          <w:spacing w:val="-3"/>
        </w:rPr>
        <w:t>n</w:t>
      </w:r>
      <w:r w:rsidRPr="004068F6">
        <w:rPr>
          <w:spacing w:val="-3"/>
        </w:rPr>
        <w:t xml:space="preserve"> </w:t>
      </w:r>
      <w:r w:rsidR="00443789" w:rsidRPr="004068F6">
        <w:rPr>
          <w:spacing w:val="-3"/>
        </w:rPr>
        <w:t xml:space="preserve">establecer </w:t>
      </w:r>
      <w:r w:rsidRPr="004068F6">
        <w:rPr>
          <w:spacing w:val="-3"/>
        </w:rPr>
        <w:t>los métodos para obtener e integrar la información necesaria para evaluarlos</w:t>
      </w:r>
      <w:r w:rsidR="00443789" w:rsidRPr="004068F6">
        <w:rPr>
          <w:spacing w:val="-3"/>
        </w:rPr>
        <w:t>.</w:t>
      </w:r>
      <w:r w:rsidRPr="004068F6">
        <w:rPr>
          <w:spacing w:val="-3"/>
        </w:rPr>
        <w:t xml:space="preserve"> </w:t>
      </w:r>
      <w:r w:rsidR="00E7232C" w:rsidRPr="004068F6">
        <w:rPr>
          <w:spacing w:val="-3"/>
        </w:rPr>
        <w:t xml:space="preserve">Los métodos pueden recurrir tanto a </w:t>
      </w:r>
      <w:r w:rsidRPr="004068F6">
        <w:rPr>
          <w:spacing w:val="-3"/>
        </w:rPr>
        <w:t>medici</w:t>
      </w:r>
      <w:r w:rsidR="00443789" w:rsidRPr="004068F6">
        <w:rPr>
          <w:spacing w:val="-3"/>
        </w:rPr>
        <w:t xml:space="preserve">ones </w:t>
      </w:r>
      <w:r w:rsidRPr="004068F6">
        <w:rPr>
          <w:spacing w:val="-3"/>
        </w:rPr>
        <w:t>directa</w:t>
      </w:r>
      <w:r w:rsidR="00443789" w:rsidRPr="004068F6">
        <w:rPr>
          <w:spacing w:val="-3"/>
        </w:rPr>
        <w:t>s</w:t>
      </w:r>
      <w:r w:rsidRPr="004068F6">
        <w:rPr>
          <w:spacing w:val="-3"/>
        </w:rPr>
        <w:t xml:space="preserve"> (</w:t>
      </w:r>
      <w:r w:rsidR="00041844" w:rsidRPr="004068F6">
        <w:rPr>
          <w:spacing w:val="-3"/>
        </w:rPr>
        <w:t>p. ej.</w:t>
      </w:r>
      <w:r w:rsidRPr="004068F6">
        <w:rPr>
          <w:spacing w:val="-3"/>
        </w:rPr>
        <w:t xml:space="preserve"> caudal de agua (m</w:t>
      </w:r>
      <w:r w:rsidRPr="004068F6">
        <w:rPr>
          <w:spacing w:val="-3"/>
          <w:vertAlign w:val="superscript"/>
        </w:rPr>
        <w:t>3</w:t>
      </w:r>
      <w:r w:rsidRPr="004068F6">
        <w:rPr>
          <w:spacing w:val="-3"/>
        </w:rPr>
        <w:t xml:space="preserve">/s), </w:t>
      </w:r>
      <w:r w:rsidR="00443789" w:rsidRPr="004068F6">
        <w:rPr>
          <w:spacing w:val="-3"/>
        </w:rPr>
        <w:t xml:space="preserve">volumen de madera </w:t>
      </w:r>
      <w:r w:rsidRPr="004068F6">
        <w:rPr>
          <w:spacing w:val="-3"/>
        </w:rPr>
        <w:t>aprovecha</w:t>
      </w:r>
      <w:r w:rsidR="00443789" w:rsidRPr="004068F6">
        <w:rPr>
          <w:spacing w:val="-3"/>
        </w:rPr>
        <w:t xml:space="preserve">do </w:t>
      </w:r>
      <w:r w:rsidRPr="004068F6">
        <w:rPr>
          <w:spacing w:val="-3"/>
        </w:rPr>
        <w:t>(m</w:t>
      </w:r>
      <w:r w:rsidRPr="004068F6">
        <w:rPr>
          <w:spacing w:val="-3"/>
          <w:vertAlign w:val="superscript"/>
        </w:rPr>
        <w:t>3</w:t>
      </w:r>
      <w:r w:rsidRPr="004068F6">
        <w:rPr>
          <w:spacing w:val="-3"/>
        </w:rPr>
        <w:t>/año)</w:t>
      </w:r>
      <w:r w:rsidR="00443789" w:rsidRPr="004068F6">
        <w:rPr>
          <w:spacing w:val="-3"/>
        </w:rPr>
        <w:t>,</w:t>
      </w:r>
      <w:r w:rsidRPr="004068F6">
        <w:rPr>
          <w:spacing w:val="-3"/>
        </w:rPr>
        <w:t xml:space="preserve"> producción de alimentos (t/año)</w:t>
      </w:r>
      <w:r w:rsidR="00443789" w:rsidRPr="004068F6">
        <w:rPr>
          <w:spacing w:val="-3"/>
        </w:rPr>
        <w:t xml:space="preserve">, o </w:t>
      </w:r>
      <w:r w:rsidR="000D662E" w:rsidRPr="004068F6">
        <w:rPr>
          <w:spacing w:val="-3"/>
        </w:rPr>
        <w:t>grado de disfrute del paisaje</w:t>
      </w:r>
      <w:r w:rsidR="003F13DA" w:rsidRPr="004068F6">
        <w:rPr>
          <w:spacing w:val="-3"/>
        </w:rPr>
        <w:t>)</w:t>
      </w:r>
      <w:r w:rsidRPr="004068F6">
        <w:rPr>
          <w:spacing w:val="-3"/>
        </w:rPr>
        <w:t xml:space="preserve">, </w:t>
      </w:r>
      <w:r w:rsidR="00E7232C" w:rsidRPr="004068F6">
        <w:rPr>
          <w:spacing w:val="-3"/>
        </w:rPr>
        <w:t xml:space="preserve">como a </w:t>
      </w:r>
      <w:r w:rsidRPr="004068F6">
        <w:rPr>
          <w:spacing w:val="-3"/>
        </w:rPr>
        <w:t>medici</w:t>
      </w:r>
      <w:r w:rsidR="000D662E" w:rsidRPr="004068F6">
        <w:rPr>
          <w:spacing w:val="-3"/>
        </w:rPr>
        <w:t xml:space="preserve">ones </w:t>
      </w:r>
      <w:r w:rsidRPr="004068F6">
        <w:rPr>
          <w:spacing w:val="-3"/>
        </w:rPr>
        <w:t>indirecta</w:t>
      </w:r>
      <w:r w:rsidR="000D662E" w:rsidRPr="004068F6">
        <w:rPr>
          <w:spacing w:val="-3"/>
        </w:rPr>
        <w:t>s</w:t>
      </w:r>
      <w:r w:rsidRPr="004068F6">
        <w:rPr>
          <w:spacing w:val="-3"/>
        </w:rPr>
        <w:t xml:space="preserve"> que </w:t>
      </w:r>
      <w:r w:rsidR="00C539A3" w:rsidRPr="004068F6">
        <w:rPr>
          <w:spacing w:val="-3"/>
        </w:rPr>
        <w:t xml:space="preserve">pueden emplearse como proxy del indicador seleccionado </w:t>
      </w:r>
      <w:r w:rsidR="00BE507F" w:rsidRPr="004068F6">
        <w:rPr>
          <w:spacing w:val="-3"/>
        </w:rPr>
        <w:t>(</w:t>
      </w:r>
      <w:r w:rsidR="00041844" w:rsidRPr="004068F6">
        <w:rPr>
          <w:spacing w:val="-3"/>
        </w:rPr>
        <w:t>p. ej.</w:t>
      </w:r>
      <w:r w:rsidR="00C539A3" w:rsidRPr="004068F6">
        <w:rPr>
          <w:spacing w:val="-3"/>
        </w:rPr>
        <w:t xml:space="preserve"> </w:t>
      </w:r>
      <w:r w:rsidR="00020571" w:rsidRPr="004068F6">
        <w:rPr>
          <w:spacing w:val="-3"/>
        </w:rPr>
        <w:t>datos de</w:t>
      </w:r>
      <w:r w:rsidR="00C539A3" w:rsidRPr="004068F6">
        <w:rPr>
          <w:spacing w:val="-3"/>
        </w:rPr>
        <w:t xml:space="preserve"> sensores remotos para evaluar la biomasa en bosques, la humedad del suelo o la calidad del agua en </w:t>
      </w:r>
      <w:r w:rsidR="00D62D48" w:rsidRPr="004068F6">
        <w:rPr>
          <w:spacing w:val="-3"/>
        </w:rPr>
        <w:t>cuerpos de agua</w:t>
      </w:r>
      <w:r w:rsidR="00C539A3" w:rsidRPr="004068F6">
        <w:rPr>
          <w:spacing w:val="-3"/>
        </w:rPr>
        <w:t xml:space="preserve">, </w:t>
      </w:r>
      <w:r w:rsidR="00020571" w:rsidRPr="004068F6">
        <w:rPr>
          <w:spacing w:val="-3"/>
        </w:rPr>
        <w:t>así como</w:t>
      </w:r>
      <w:r w:rsidR="00C539A3" w:rsidRPr="004068F6">
        <w:rPr>
          <w:spacing w:val="-3"/>
        </w:rPr>
        <w:t xml:space="preserve"> la disponibilidad a pagar por la conservación de un área natural</w:t>
      </w:r>
      <w:r w:rsidR="00020571" w:rsidRPr="004068F6">
        <w:rPr>
          <w:spacing w:val="-3"/>
        </w:rPr>
        <w:t xml:space="preserve"> para dar cuenta de </w:t>
      </w:r>
      <w:r w:rsidR="00B977EA" w:rsidRPr="004068F6">
        <w:rPr>
          <w:spacing w:val="-3"/>
        </w:rPr>
        <w:t>servicios como la provisión de agua potable</w:t>
      </w:r>
      <w:r w:rsidRPr="004068F6">
        <w:rPr>
          <w:spacing w:val="-3"/>
        </w:rPr>
        <w:t>)</w:t>
      </w:r>
      <w:r w:rsidR="009B0013" w:rsidRPr="004068F6">
        <w:rPr>
          <w:spacing w:val="-3"/>
        </w:rPr>
        <w:t>.</w:t>
      </w:r>
    </w:p>
    <w:p w14:paraId="5377ACE9" w14:textId="77777777" w:rsidR="009B0013" w:rsidRPr="004068F6" w:rsidRDefault="009B0013" w:rsidP="009420F5">
      <w:pPr>
        <w:tabs>
          <w:tab w:val="left" w:pos="-2268"/>
        </w:tabs>
        <w:suppressAutoHyphens/>
        <w:rPr>
          <w:spacing w:val="-3"/>
        </w:rPr>
      </w:pPr>
    </w:p>
    <w:p w14:paraId="3228E3C2" w14:textId="21D61E82" w:rsidR="00970A40" w:rsidRPr="004068F6" w:rsidRDefault="009B0013" w:rsidP="009420F5">
      <w:pPr>
        <w:tabs>
          <w:tab w:val="left" w:pos="-2268"/>
        </w:tabs>
        <w:suppressAutoHyphens/>
        <w:rPr>
          <w:spacing w:val="-3"/>
        </w:rPr>
      </w:pPr>
      <w:r w:rsidRPr="004068F6">
        <w:rPr>
          <w:spacing w:val="-3"/>
        </w:rPr>
        <w:t>L</w:t>
      </w:r>
      <w:r w:rsidR="00020571" w:rsidRPr="004068F6">
        <w:rPr>
          <w:spacing w:val="-3"/>
        </w:rPr>
        <w:t xml:space="preserve">os métodos </w:t>
      </w:r>
      <w:r w:rsidRPr="004068F6">
        <w:rPr>
          <w:spacing w:val="-3"/>
        </w:rPr>
        <w:t xml:space="preserve">de medición de los indicadores </w:t>
      </w:r>
      <w:r w:rsidR="00020571" w:rsidRPr="004068F6">
        <w:rPr>
          <w:spacing w:val="-3"/>
        </w:rPr>
        <w:t xml:space="preserve">también pueden </w:t>
      </w:r>
      <w:r w:rsidRPr="004068F6">
        <w:rPr>
          <w:spacing w:val="-3"/>
        </w:rPr>
        <w:t xml:space="preserve">recurrir al desarrollo de </w:t>
      </w:r>
      <w:r w:rsidR="00970A40" w:rsidRPr="004068F6">
        <w:rPr>
          <w:spacing w:val="-3"/>
        </w:rPr>
        <w:t>modelizaci</w:t>
      </w:r>
      <w:r w:rsidR="00E7232C" w:rsidRPr="004068F6">
        <w:rPr>
          <w:spacing w:val="-3"/>
        </w:rPr>
        <w:t>ones</w:t>
      </w:r>
      <w:r w:rsidRPr="004068F6">
        <w:rPr>
          <w:spacing w:val="-3"/>
        </w:rPr>
        <w:t xml:space="preserve"> que simulen el comportamiento del </w:t>
      </w:r>
      <w:r w:rsidR="000A7F59" w:rsidRPr="004068F6">
        <w:rPr>
          <w:spacing w:val="-3"/>
        </w:rPr>
        <w:t>servicio ecosistémico</w:t>
      </w:r>
      <w:r w:rsidRPr="004068F6">
        <w:rPr>
          <w:spacing w:val="-3"/>
        </w:rPr>
        <w:t xml:space="preserve"> a partir de la información ecológica y socioeconómica de la zona</w:t>
      </w:r>
      <w:r w:rsidR="00B826D3" w:rsidRPr="004068F6">
        <w:rPr>
          <w:spacing w:val="-3"/>
        </w:rPr>
        <w:t xml:space="preserve">, es decir, mediante </w:t>
      </w:r>
      <w:r w:rsidR="00970A40" w:rsidRPr="004068F6">
        <w:rPr>
          <w:spacing w:val="-3"/>
        </w:rPr>
        <w:t>múltiples mediciones</w:t>
      </w:r>
      <w:r w:rsidR="000D662E" w:rsidRPr="004068F6">
        <w:rPr>
          <w:spacing w:val="-3"/>
        </w:rPr>
        <w:t xml:space="preserve"> cualitativas o cuantitativas</w:t>
      </w:r>
      <w:r w:rsidR="00970A40" w:rsidRPr="004068F6">
        <w:rPr>
          <w:spacing w:val="-3"/>
        </w:rPr>
        <w:t xml:space="preserve">, relaciones causales, </w:t>
      </w:r>
      <w:r w:rsidR="000D662E" w:rsidRPr="004068F6">
        <w:rPr>
          <w:spacing w:val="-3"/>
        </w:rPr>
        <w:t>interacciones teóricas entre elementos del ambiente</w:t>
      </w:r>
      <w:r w:rsidR="00C539A3" w:rsidRPr="004068F6">
        <w:rPr>
          <w:spacing w:val="-3"/>
        </w:rPr>
        <w:t>, entre otro</w:t>
      </w:r>
      <w:r w:rsidR="00970A40" w:rsidRPr="004068F6">
        <w:rPr>
          <w:spacing w:val="-3"/>
        </w:rPr>
        <w:t>s</w:t>
      </w:r>
      <w:r w:rsidR="00C539A3" w:rsidRPr="004068F6">
        <w:rPr>
          <w:spacing w:val="-3"/>
        </w:rPr>
        <w:t xml:space="preserve"> elementos</w:t>
      </w:r>
      <w:r w:rsidR="00970A40" w:rsidRPr="004068F6">
        <w:rPr>
          <w:spacing w:val="-3"/>
        </w:rPr>
        <w:t>.</w:t>
      </w:r>
      <w:r w:rsidR="00B826D3" w:rsidRPr="004068F6">
        <w:rPr>
          <w:spacing w:val="-3"/>
        </w:rPr>
        <w:t xml:space="preserve"> </w:t>
      </w:r>
      <w:r w:rsidR="00020571" w:rsidRPr="004068F6">
        <w:rPr>
          <w:spacing w:val="-3"/>
        </w:rPr>
        <w:t xml:space="preserve">Importante tener en cuenta que los </w:t>
      </w:r>
      <w:r w:rsidR="00970A40" w:rsidRPr="004068F6">
        <w:rPr>
          <w:spacing w:val="-3"/>
        </w:rPr>
        <w:t xml:space="preserve">modelos son especialmente útiles para </w:t>
      </w:r>
      <w:r w:rsidR="00020571" w:rsidRPr="004068F6">
        <w:rPr>
          <w:spacing w:val="-3"/>
        </w:rPr>
        <w:t xml:space="preserve">evaluar los </w:t>
      </w:r>
      <w:r w:rsidR="00A75AD1" w:rsidRPr="004068F6">
        <w:rPr>
          <w:spacing w:val="-3"/>
        </w:rPr>
        <w:t>SSEE</w:t>
      </w:r>
      <w:r w:rsidR="00020571" w:rsidRPr="004068F6">
        <w:rPr>
          <w:spacing w:val="-3"/>
        </w:rPr>
        <w:t xml:space="preserve"> </w:t>
      </w:r>
      <w:r w:rsidR="00970A40" w:rsidRPr="004068F6">
        <w:rPr>
          <w:spacing w:val="-3"/>
        </w:rPr>
        <w:t>de regulación</w:t>
      </w:r>
      <w:r w:rsidR="00020571" w:rsidRPr="004068F6">
        <w:rPr>
          <w:spacing w:val="-3"/>
        </w:rPr>
        <w:t xml:space="preserve"> y en general para </w:t>
      </w:r>
      <w:r w:rsidR="00970A40" w:rsidRPr="004068F6">
        <w:rPr>
          <w:spacing w:val="-3"/>
        </w:rPr>
        <w:t xml:space="preserve">casos en </w:t>
      </w:r>
      <w:r w:rsidR="00020571" w:rsidRPr="004068F6">
        <w:rPr>
          <w:spacing w:val="-3"/>
        </w:rPr>
        <w:t xml:space="preserve">los que </w:t>
      </w:r>
      <w:r w:rsidR="00127BE1" w:rsidRPr="004068F6">
        <w:rPr>
          <w:spacing w:val="-3"/>
        </w:rPr>
        <w:t xml:space="preserve">hay una gran </w:t>
      </w:r>
      <w:r w:rsidR="00020571" w:rsidRPr="004068F6">
        <w:rPr>
          <w:spacing w:val="-3"/>
        </w:rPr>
        <w:t>complejidad</w:t>
      </w:r>
      <w:r w:rsidR="00970A40" w:rsidRPr="004068F6">
        <w:rPr>
          <w:spacing w:val="-3"/>
        </w:rPr>
        <w:t>.</w:t>
      </w:r>
    </w:p>
    <w:p w14:paraId="19DF9B4A" w14:textId="77777777" w:rsidR="00F40B29" w:rsidRPr="004068F6" w:rsidRDefault="00F40B29" w:rsidP="009420F5">
      <w:pPr>
        <w:tabs>
          <w:tab w:val="left" w:pos="-2268"/>
        </w:tabs>
        <w:suppressAutoHyphens/>
        <w:rPr>
          <w:spacing w:val="-3"/>
        </w:rPr>
      </w:pPr>
    </w:p>
    <w:p w14:paraId="4A0BA90A" w14:textId="39B00308" w:rsidR="00F40B29" w:rsidRPr="004068F6" w:rsidRDefault="00F40B29" w:rsidP="00F40B29">
      <w:pPr>
        <w:tabs>
          <w:tab w:val="left" w:pos="-2268"/>
        </w:tabs>
        <w:suppressAutoHyphens/>
        <w:rPr>
          <w:spacing w:val="-3"/>
        </w:rPr>
      </w:pPr>
      <w:r w:rsidRPr="004068F6">
        <w:rPr>
          <w:spacing w:val="-3"/>
        </w:rPr>
        <w:t>Para el caso de la caracterización, descripción y evaluación de los indicadores cualitativos, es necesario señalar el marco de referencia que permite su análisis e interpretación</w:t>
      </w:r>
      <w:r w:rsidR="00DF602C" w:rsidRPr="004068F6">
        <w:rPr>
          <w:spacing w:val="-3"/>
        </w:rPr>
        <w:t>, mencionando los supuestos, hechos históricos y demás condiciones socioculturales y ecológicas en los que se basan.</w:t>
      </w:r>
    </w:p>
    <w:p w14:paraId="081934CF" w14:textId="77777777" w:rsidR="00F40B29" w:rsidRPr="004068F6" w:rsidRDefault="00F40B29" w:rsidP="009420F5">
      <w:pPr>
        <w:tabs>
          <w:tab w:val="left" w:pos="-2268"/>
        </w:tabs>
        <w:suppressAutoHyphens/>
        <w:rPr>
          <w:spacing w:val="-3"/>
        </w:rPr>
      </w:pPr>
    </w:p>
    <w:p w14:paraId="7807C5E8" w14:textId="69BECBA9" w:rsidR="00B45BFB" w:rsidRPr="004068F6" w:rsidRDefault="00E86BA8" w:rsidP="00E43062">
      <w:pPr>
        <w:tabs>
          <w:tab w:val="left" w:pos="-2268"/>
        </w:tabs>
        <w:suppressAutoHyphens/>
        <w:rPr>
          <w:spacing w:val="-3"/>
        </w:rPr>
      </w:pPr>
      <w:r w:rsidRPr="004068F6">
        <w:rPr>
          <w:spacing w:val="-3"/>
        </w:rPr>
        <w:t>L</w:t>
      </w:r>
      <w:r w:rsidR="00DE31C7" w:rsidRPr="004068F6">
        <w:rPr>
          <w:spacing w:val="-3"/>
        </w:rPr>
        <w:t xml:space="preserve">a evaluación de los SSEE se </w:t>
      </w:r>
      <w:r w:rsidRPr="004068F6">
        <w:rPr>
          <w:spacing w:val="-3"/>
        </w:rPr>
        <w:t xml:space="preserve">debe </w:t>
      </w:r>
      <w:r w:rsidR="00DE31C7" w:rsidRPr="004068F6">
        <w:rPr>
          <w:spacing w:val="-3"/>
        </w:rPr>
        <w:t>reali</w:t>
      </w:r>
      <w:r w:rsidRPr="004068F6">
        <w:rPr>
          <w:spacing w:val="-3"/>
        </w:rPr>
        <w:t xml:space="preserve">zar </w:t>
      </w:r>
      <w:r w:rsidR="00DE31C7" w:rsidRPr="004068F6">
        <w:rPr>
          <w:spacing w:val="-3"/>
        </w:rPr>
        <w:t>desde una perspectiva geográfica</w:t>
      </w:r>
      <w:r w:rsidR="00C37347" w:rsidRPr="004068F6">
        <w:rPr>
          <w:spacing w:val="-3"/>
        </w:rPr>
        <w:t xml:space="preserve">. Así, </w:t>
      </w:r>
      <w:r w:rsidR="00612065" w:rsidRPr="004068F6">
        <w:rPr>
          <w:spacing w:val="-3"/>
        </w:rPr>
        <w:t xml:space="preserve">para cada </w:t>
      </w:r>
      <w:r w:rsidR="00EB6FF5" w:rsidRPr="004068F6">
        <w:rPr>
          <w:spacing w:val="-3"/>
        </w:rPr>
        <w:t xml:space="preserve">unidad de </w:t>
      </w:r>
      <w:r w:rsidR="00DE31C7" w:rsidRPr="004068F6">
        <w:rPr>
          <w:spacing w:val="-3"/>
        </w:rPr>
        <w:t>análisis</w:t>
      </w:r>
      <w:r w:rsidR="00C02E7D" w:rsidRPr="004068F6">
        <w:rPr>
          <w:spacing w:val="-3"/>
        </w:rPr>
        <w:t xml:space="preserve">, </w:t>
      </w:r>
      <w:r w:rsidR="00FC5318" w:rsidRPr="004068F6">
        <w:rPr>
          <w:spacing w:val="-3"/>
        </w:rPr>
        <w:t xml:space="preserve">se </w:t>
      </w:r>
      <w:r w:rsidR="00CE6A8F" w:rsidRPr="004068F6">
        <w:rPr>
          <w:spacing w:val="-3"/>
        </w:rPr>
        <w:t xml:space="preserve">debe </w:t>
      </w:r>
      <w:r w:rsidR="00C02E7D" w:rsidRPr="004068F6">
        <w:rPr>
          <w:spacing w:val="-3"/>
        </w:rPr>
        <w:t>estable</w:t>
      </w:r>
      <w:r w:rsidR="00CE6A8F" w:rsidRPr="004068F6">
        <w:rPr>
          <w:spacing w:val="-3"/>
        </w:rPr>
        <w:t xml:space="preserve">cer </w:t>
      </w:r>
      <w:r w:rsidR="00FC5318" w:rsidRPr="004068F6">
        <w:rPr>
          <w:spacing w:val="-3"/>
        </w:rPr>
        <w:t xml:space="preserve">el </w:t>
      </w:r>
      <w:r w:rsidR="00566C44" w:rsidRPr="004068F6">
        <w:rPr>
          <w:spacing w:val="-3"/>
        </w:rPr>
        <w:t xml:space="preserve">valor </w:t>
      </w:r>
      <w:r w:rsidR="00A24C86" w:rsidRPr="004068F6">
        <w:rPr>
          <w:spacing w:val="-3"/>
        </w:rPr>
        <w:t>cuantitat</w:t>
      </w:r>
      <w:r w:rsidR="00551411" w:rsidRPr="004068F6">
        <w:rPr>
          <w:spacing w:val="-3"/>
        </w:rPr>
        <w:t>i</w:t>
      </w:r>
      <w:r w:rsidR="00A24C86" w:rsidRPr="004068F6">
        <w:rPr>
          <w:spacing w:val="-3"/>
        </w:rPr>
        <w:t xml:space="preserve">vo o característica cualitativa </w:t>
      </w:r>
      <w:r w:rsidR="00CE6A8F" w:rsidRPr="004068F6">
        <w:rPr>
          <w:spacing w:val="-3"/>
        </w:rPr>
        <w:t xml:space="preserve">que corresponda según </w:t>
      </w:r>
      <w:r w:rsidR="00551411" w:rsidRPr="004068F6">
        <w:rPr>
          <w:spacing w:val="-3"/>
        </w:rPr>
        <w:t>el indicador seleccionado</w:t>
      </w:r>
      <w:r w:rsidR="00134D6C" w:rsidRPr="004068F6">
        <w:rPr>
          <w:spacing w:val="-3"/>
        </w:rPr>
        <w:t>;</w:t>
      </w:r>
      <w:r w:rsidR="00FF6D58" w:rsidRPr="004068F6">
        <w:rPr>
          <w:spacing w:val="-3"/>
        </w:rPr>
        <w:t xml:space="preserve"> </w:t>
      </w:r>
      <w:r w:rsidR="00134D6C" w:rsidRPr="004068F6">
        <w:rPr>
          <w:spacing w:val="-3"/>
        </w:rPr>
        <w:t>e</w:t>
      </w:r>
      <w:r w:rsidR="00AF3792" w:rsidRPr="004068F6">
        <w:rPr>
          <w:spacing w:val="-3"/>
        </w:rPr>
        <w:t xml:space="preserve">s decir, la información que resulta de las mediciones </w:t>
      </w:r>
      <w:r w:rsidR="007D0EB3" w:rsidRPr="004068F6">
        <w:rPr>
          <w:spacing w:val="-3"/>
        </w:rPr>
        <w:t>directa</w:t>
      </w:r>
      <w:r w:rsidR="00AF3792" w:rsidRPr="004068F6">
        <w:rPr>
          <w:spacing w:val="-3"/>
        </w:rPr>
        <w:t>s</w:t>
      </w:r>
      <w:r w:rsidR="007D0EB3" w:rsidRPr="004068F6">
        <w:rPr>
          <w:spacing w:val="-3"/>
        </w:rPr>
        <w:t xml:space="preserve"> o indirecta</w:t>
      </w:r>
      <w:r w:rsidR="00AF3792" w:rsidRPr="004068F6">
        <w:rPr>
          <w:spacing w:val="-3"/>
        </w:rPr>
        <w:t xml:space="preserve">s </w:t>
      </w:r>
      <w:r w:rsidR="003F04FA" w:rsidRPr="004068F6">
        <w:rPr>
          <w:spacing w:val="-3"/>
        </w:rPr>
        <w:t xml:space="preserve">de </w:t>
      </w:r>
      <w:r w:rsidR="004102D4" w:rsidRPr="004068F6">
        <w:rPr>
          <w:spacing w:val="-3"/>
        </w:rPr>
        <w:t xml:space="preserve">indicadores sobre </w:t>
      </w:r>
      <w:r w:rsidR="00A7230E" w:rsidRPr="004068F6">
        <w:rPr>
          <w:spacing w:val="-3"/>
        </w:rPr>
        <w:t xml:space="preserve">los SSEE debe </w:t>
      </w:r>
      <w:r w:rsidR="008408B3" w:rsidRPr="004068F6">
        <w:rPr>
          <w:spacing w:val="-3"/>
        </w:rPr>
        <w:t xml:space="preserve">asociarse </w:t>
      </w:r>
      <w:r w:rsidR="00AF3792" w:rsidRPr="004068F6">
        <w:rPr>
          <w:spacing w:val="-3"/>
        </w:rPr>
        <w:t>a cada una de las unidades de análisis.</w:t>
      </w:r>
      <w:r w:rsidR="00A7230E" w:rsidRPr="004068F6">
        <w:rPr>
          <w:spacing w:val="-3"/>
        </w:rPr>
        <w:t xml:space="preserve"> Por ejemplo, si </w:t>
      </w:r>
      <w:r w:rsidR="00702B11" w:rsidRPr="004068F6">
        <w:rPr>
          <w:spacing w:val="-3"/>
        </w:rPr>
        <w:t xml:space="preserve">el servicio ecosistémico evaluado es la provisión de alimentos </w:t>
      </w:r>
      <w:r w:rsidR="001D1BA1" w:rsidRPr="004068F6">
        <w:rPr>
          <w:spacing w:val="-3"/>
        </w:rPr>
        <w:t>(t/año)</w:t>
      </w:r>
      <w:r w:rsidR="001B434D" w:rsidRPr="004068F6">
        <w:rPr>
          <w:spacing w:val="-3"/>
        </w:rPr>
        <w:t xml:space="preserve"> y el tipo de unidad de análisis seleccion</w:t>
      </w:r>
      <w:r w:rsidR="001E2A94" w:rsidRPr="004068F6">
        <w:rPr>
          <w:spacing w:val="-3"/>
        </w:rPr>
        <w:t xml:space="preserve">ado </w:t>
      </w:r>
      <w:r w:rsidR="001B434D" w:rsidRPr="004068F6">
        <w:rPr>
          <w:spacing w:val="-3"/>
        </w:rPr>
        <w:t>es la cobertura de la tierra</w:t>
      </w:r>
      <w:r w:rsidR="001D1BA1" w:rsidRPr="004068F6">
        <w:rPr>
          <w:spacing w:val="-3"/>
        </w:rPr>
        <w:t xml:space="preserve">, </w:t>
      </w:r>
      <w:r w:rsidR="00F4019F" w:rsidRPr="004068F6">
        <w:rPr>
          <w:spacing w:val="-3"/>
        </w:rPr>
        <w:t xml:space="preserve">cada polígono </w:t>
      </w:r>
      <w:r w:rsidR="00775613" w:rsidRPr="004068F6">
        <w:rPr>
          <w:spacing w:val="-3"/>
        </w:rPr>
        <w:t>que represent</w:t>
      </w:r>
      <w:r w:rsidR="0049742E" w:rsidRPr="004068F6">
        <w:rPr>
          <w:spacing w:val="-3"/>
        </w:rPr>
        <w:t>e</w:t>
      </w:r>
      <w:r w:rsidR="00775613" w:rsidRPr="004068F6">
        <w:rPr>
          <w:spacing w:val="-3"/>
        </w:rPr>
        <w:t xml:space="preserve"> las coberturas de la tierra debe tener asociado un valor </w:t>
      </w:r>
      <w:r w:rsidR="005F397C" w:rsidRPr="004068F6">
        <w:rPr>
          <w:spacing w:val="-3"/>
        </w:rPr>
        <w:t>de producción de alimentos en toneladas por año.</w:t>
      </w:r>
    </w:p>
    <w:p w14:paraId="04453407" w14:textId="77777777" w:rsidR="00B45BFB" w:rsidRPr="004068F6" w:rsidRDefault="00B45BFB" w:rsidP="009420F5">
      <w:pPr>
        <w:tabs>
          <w:tab w:val="left" w:pos="-2268"/>
        </w:tabs>
        <w:suppressAutoHyphens/>
        <w:rPr>
          <w:spacing w:val="-3"/>
        </w:rPr>
      </w:pPr>
    </w:p>
    <w:p w14:paraId="5DFBF60F" w14:textId="46586ECA" w:rsidR="00C91826" w:rsidRPr="004068F6" w:rsidRDefault="00101F70" w:rsidP="00C91826">
      <w:pPr>
        <w:numPr>
          <w:ilvl w:val="12"/>
          <w:numId w:val="0"/>
        </w:numPr>
        <w:tabs>
          <w:tab w:val="left" w:pos="-2268"/>
        </w:tabs>
        <w:suppressAutoHyphens/>
        <w:rPr>
          <w:spacing w:val="-3"/>
        </w:rPr>
      </w:pPr>
      <w:r w:rsidRPr="004068F6">
        <w:rPr>
          <w:spacing w:val="-3"/>
        </w:rPr>
        <w:t>Asimismo, d</w:t>
      </w:r>
      <w:r w:rsidR="00C91826" w:rsidRPr="004068F6">
        <w:rPr>
          <w:spacing w:val="-3"/>
        </w:rPr>
        <w:t xml:space="preserve">ado que los SSEE sólo existen en la medida en que haya una sociedad que se beneficie de los ecosistemas, se </w:t>
      </w:r>
      <w:r w:rsidR="00B92A55" w:rsidRPr="004068F6">
        <w:rPr>
          <w:spacing w:val="-3"/>
        </w:rPr>
        <w:t xml:space="preserve">debe emplear </w:t>
      </w:r>
      <w:r w:rsidR="00C91826" w:rsidRPr="004068F6">
        <w:rPr>
          <w:spacing w:val="-3"/>
        </w:rPr>
        <w:t>la localización geográfica de las unidades de análisis</w:t>
      </w:r>
      <w:r w:rsidR="00CE4B17" w:rsidRPr="004068F6">
        <w:rPr>
          <w:spacing w:val="-3"/>
        </w:rPr>
        <w:t xml:space="preserve"> (que representa </w:t>
      </w:r>
      <w:r w:rsidR="002836CF" w:rsidRPr="004068F6">
        <w:rPr>
          <w:spacing w:val="-3"/>
        </w:rPr>
        <w:t xml:space="preserve">la ubicación de </w:t>
      </w:r>
      <w:r w:rsidR="00CE4B17" w:rsidRPr="004068F6">
        <w:rPr>
          <w:spacing w:val="-3"/>
        </w:rPr>
        <w:t>las estructuras prestadoras de SSEE)</w:t>
      </w:r>
      <w:r w:rsidR="00C91826" w:rsidRPr="004068F6">
        <w:rPr>
          <w:spacing w:val="-3"/>
        </w:rPr>
        <w:t xml:space="preserve">, para determinar cuáles son las relaciones entre ecosistemas y poblaciones </w:t>
      </w:r>
      <w:r w:rsidR="00C91826" w:rsidRPr="004068F6">
        <w:rPr>
          <w:spacing w:val="-3"/>
        </w:rPr>
        <w:lastRenderedPageBreak/>
        <w:t>que permiten la existencia de los SSEE, cuáles son los tipos</w:t>
      </w:r>
      <w:r w:rsidR="00C91826" w:rsidRPr="00127BD4">
        <w:rPr>
          <w:rStyle w:val="Refdenotaalpie"/>
          <w:spacing w:val="-3"/>
          <w:lang w:val="es-CO"/>
        </w:rPr>
        <w:footnoteReference w:id="184"/>
      </w:r>
      <w:r w:rsidR="00C91826" w:rsidRPr="004068F6">
        <w:rPr>
          <w:spacing w:val="-3"/>
        </w:rPr>
        <w:t xml:space="preserve"> y cantidad de beneficiarios, </w:t>
      </w:r>
      <w:r w:rsidR="00403FD9" w:rsidRPr="004068F6">
        <w:rPr>
          <w:spacing w:val="-3"/>
        </w:rPr>
        <w:t xml:space="preserve">cuál es su dependencia </w:t>
      </w:r>
      <w:r w:rsidR="00765665" w:rsidRPr="004068F6">
        <w:rPr>
          <w:spacing w:val="-3"/>
        </w:rPr>
        <w:t>de los SSEE</w:t>
      </w:r>
      <w:r w:rsidR="003F1B1A" w:rsidRPr="004068F6">
        <w:rPr>
          <w:spacing w:val="-3"/>
        </w:rPr>
        <w:t xml:space="preserve"> y</w:t>
      </w:r>
      <w:r w:rsidR="00765665" w:rsidRPr="004068F6">
        <w:rPr>
          <w:spacing w:val="-3"/>
        </w:rPr>
        <w:t xml:space="preserve"> </w:t>
      </w:r>
      <w:r w:rsidR="00C91826" w:rsidRPr="004068F6">
        <w:rPr>
          <w:spacing w:val="-3"/>
        </w:rPr>
        <w:t>cómo varían los beneficios en el espacio, entre otras</w:t>
      </w:r>
      <w:r w:rsidR="00CE5724" w:rsidRPr="004068F6">
        <w:rPr>
          <w:spacing w:val="-3"/>
        </w:rPr>
        <w:t xml:space="preserve"> características</w:t>
      </w:r>
      <w:r w:rsidR="00C91826" w:rsidRPr="004068F6">
        <w:rPr>
          <w:spacing w:val="-3"/>
        </w:rPr>
        <w:t>.</w:t>
      </w:r>
    </w:p>
    <w:p w14:paraId="36FFEF64" w14:textId="77777777" w:rsidR="00C91826" w:rsidRPr="004068F6" w:rsidRDefault="00C91826" w:rsidP="00D2164B">
      <w:pPr>
        <w:numPr>
          <w:ilvl w:val="12"/>
          <w:numId w:val="0"/>
        </w:numPr>
        <w:tabs>
          <w:tab w:val="left" w:pos="-2268"/>
        </w:tabs>
        <w:suppressAutoHyphens/>
        <w:rPr>
          <w:rFonts w:cs="Arial"/>
          <w:spacing w:val="-3"/>
        </w:rPr>
      </w:pPr>
    </w:p>
    <w:p w14:paraId="4843BF0D" w14:textId="78D2B58F" w:rsidR="000A01AC" w:rsidRPr="004068F6" w:rsidRDefault="00AA02FB" w:rsidP="00D2164B">
      <w:pPr>
        <w:numPr>
          <w:ilvl w:val="12"/>
          <w:numId w:val="0"/>
        </w:numPr>
        <w:tabs>
          <w:tab w:val="left" w:pos="-2268"/>
        </w:tabs>
        <w:suppressAutoHyphens/>
        <w:rPr>
          <w:rFonts w:cs="Arial"/>
          <w:spacing w:val="-3"/>
        </w:rPr>
      </w:pPr>
      <w:r w:rsidRPr="004068F6">
        <w:rPr>
          <w:rFonts w:cs="Arial"/>
          <w:spacing w:val="-3"/>
        </w:rPr>
        <w:t xml:space="preserve">A partir de </w:t>
      </w:r>
      <w:r w:rsidR="00BC3CA0" w:rsidRPr="004068F6">
        <w:rPr>
          <w:rFonts w:cs="Arial"/>
          <w:spacing w:val="-3"/>
        </w:rPr>
        <w:t>estos procedimientos</w:t>
      </w:r>
      <w:r w:rsidR="00DF602C" w:rsidRPr="004068F6">
        <w:rPr>
          <w:rFonts w:cs="Arial"/>
          <w:spacing w:val="-3"/>
        </w:rPr>
        <w:t>, l</w:t>
      </w:r>
      <w:r w:rsidR="00D2164B" w:rsidRPr="004068F6">
        <w:rPr>
          <w:rFonts w:cs="Arial"/>
          <w:spacing w:val="-3"/>
        </w:rPr>
        <w:t>os</w:t>
      </w:r>
      <w:r w:rsidR="00D2164B" w:rsidRPr="004068F6">
        <w:rPr>
          <w:spacing w:val="-3"/>
        </w:rPr>
        <w:t xml:space="preserve"> </w:t>
      </w:r>
      <w:r w:rsidR="00A75AD1" w:rsidRPr="004068F6">
        <w:rPr>
          <w:spacing w:val="-3"/>
        </w:rPr>
        <w:t>SSEE</w:t>
      </w:r>
      <w:r w:rsidR="00D2164B" w:rsidRPr="004068F6">
        <w:rPr>
          <w:spacing w:val="-3"/>
        </w:rPr>
        <w:t xml:space="preserve"> </w:t>
      </w:r>
      <w:r w:rsidR="00D2164B" w:rsidRPr="004068F6">
        <w:rPr>
          <w:rFonts w:cs="Arial"/>
          <w:spacing w:val="-3"/>
        </w:rPr>
        <w:t xml:space="preserve">deben ser </w:t>
      </w:r>
      <w:r w:rsidR="00D2164B" w:rsidRPr="004068F6">
        <w:rPr>
          <w:spacing w:val="-3"/>
        </w:rPr>
        <w:t xml:space="preserve">descritos </w:t>
      </w:r>
      <w:r w:rsidR="00D2164B" w:rsidRPr="004068F6">
        <w:rPr>
          <w:rFonts w:cs="Arial"/>
          <w:spacing w:val="-3"/>
        </w:rPr>
        <w:t>señalando</w:t>
      </w:r>
      <w:r w:rsidR="00D2164B" w:rsidRPr="004068F6">
        <w:rPr>
          <w:spacing w:val="-3"/>
        </w:rPr>
        <w:t xml:space="preserve"> en </w:t>
      </w:r>
      <w:r w:rsidR="00D2164B" w:rsidRPr="004068F6">
        <w:rPr>
          <w:rFonts w:cs="Arial"/>
          <w:spacing w:val="-3"/>
        </w:rPr>
        <w:t xml:space="preserve">qué consisten, cómo son las interacciones entre los </w:t>
      </w:r>
      <w:r w:rsidR="00D33CBD" w:rsidRPr="004068F6">
        <w:rPr>
          <w:rFonts w:cs="Arial"/>
          <w:spacing w:val="-3"/>
        </w:rPr>
        <w:t>elementos</w:t>
      </w:r>
      <w:r w:rsidR="00D33CBD" w:rsidRPr="004068F6">
        <w:rPr>
          <w:spacing w:val="-3"/>
        </w:rPr>
        <w:t xml:space="preserve"> </w:t>
      </w:r>
      <w:r w:rsidR="00D2164B" w:rsidRPr="004068F6">
        <w:rPr>
          <w:spacing w:val="-3"/>
        </w:rPr>
        <w:t xml:space="preserve">del </w:t>
      </w:r>
      <w:r w:rsidR="00D2164B" w:rsidRPr="004068F6">
        <w:rPr>
          <w:rFonts w:cs="Arial"/>
          <w:spacing w:val="-3"/>
        </w:rPr>
        <w:t>ambiente involucrados, dónde ocurren</w:t>
      </w:r>
      <w:r w:rsidR="00DF602C" w:rsidRPr="004068F6">
        <w:rPr>
          <w:rFonts w:cs="Arial"/>
          <w:spacing w:val="-3"/>
        </w:rPr>
        <w:t>, qué extensión tienen las áreas que los proveen</w:t>
      </w:r>
      <w:r w:rsidR="00D2164B" w:rsidRPr="004068F6">
        <w:rPr>
          <w:rFonts w:cs="Arial"/>
          <w:spacing w:val="-3"/>
        </w:rPr>
        <w:t>, qué situaciones influyen en ellos, qué aspectos tienen la capacidad de inducirles cambios</w:t>
      </w:r>
      <w:r w:rsidR="00D2164B" w:rsidRPr="004068F6">
        <w:rPr>
          <w:spacing w:val="-3"/>
        </w:rPr>
        <w:t>, entre otras</w:t>
      </w:r>
      <w:r w:rsidR="00D2164B" w:rsidRPr="004068F6">
        <w:rPr>
          <w:rFonts w:cs="Arial"/>
          <w:spacing w:val="-3"/>
        </w:rPr>
        <w:t>.</w:t>
      </w:r>
    </w:p>
    <w:p w14:paraId="344DD8C1" w14:textId="77777777" w:rsidR="003E5BA0" w:rsidRPr="004068F6" w:rsidRDefault="003E5BA0" w:rsidP="00D2164B">
      <w:pPr>
        <w:numPr>
          <w:ilvl w:val="12"/>
          <w:numId w:val="0"/>
        </w:numPr>
        <w:tabs>
          <w:tab w:val="left" w:pos="-2268"/>
        </w:tabs>
        <w:suppressAutoHyphens/>
        <w:rPr>
          <w:rFonts w:cs="Arial"/>
          <w:spacing w:val="-3"/>
        </w:rPr>
      </w:pPr>
    </w:p>
    <w:p w14:paraId="619BCD15" w14:textId="468C3140" w:rsidR="00E335C9" w:rsidRPr="00466E26" w:rsidRDefault="00E335C9" w:rsidP="000A1E20">
      <w:pPr>
        <w:pStyle w:val="Ttulo3"/>
      </w:pPr>
      <w:bookmarkStart w:id="3020" w:name="_Toc79443081"/>
      <w:bookmarkStart w:id="3021" w:name="_Toc79443082"/>
      <w:bookmarkStart w:id="3022" w:name="_Toc79443083"/>
      <w:bookmarkStart w:id="3023" w:name="_Toc79443084"/>
      <w:bookmarkStart w:id="3024" w:name="_Toc79443085"/>
      <w:bookmarkStart w:id="3025" w:name="_Toc79443086"/>
      <w:bookmarkStart w:id="3026" w:name="_Toc79443087"/>
      <w:bookmarkStart w:id="3027" w:name="_Toc79443088"/>
      <w:bookmarkStart w:id="3028" w:name="_Toc79443089"/>
      <w:bookmarkStart w:id="3029" w:name="_Toc79443090"/>
      <w:bookmarkStart w:id="3030" w:name="_Toc79443091"/>
      <w:bookmarkStart w:id="3031" w:name="_Toc79443092"/>
      <w:bookmarkStart w:id="3032" w:name="_Toc79443093"/>
      <w:bookmarkStart w:id="3033" w:name="_Toc79443094"/>
      <w:bookmarkStart w:id="3034" w:name="_Toc79443095"/>
      <w:bookmarkStart w:id="3035" w:name="_Toc79443096"/>
      <w:bookmarkStart w:id="3036" w:name="_Toc79443097"/>
      <w:bookmarkStart w:id="3037" w:name="_Toc79443098"/>
      <w:bookmarkStart w:id="3038" w:name="_Toc79443099"/>
      <w:bookmarkStart w:id="3039" w:name="_Toc79443100"/>
      <w:bookmarkStart w:id="3040" w:name="_Toc79443101"/>
      <w:bookmarkStart w:id="3041" w:name="_Toc79443102"/>
      <w:bookmarkStart w:id="3042" w:name="_Toc79443103"/>
      <w:bookmarkStart w:id="3043" w:name="_Toc79443104"/>
      <w:bookmarkStart w:id="3044" w:name="_Toc79443105"/>
      <w:bookmarkStart w:id="3045" w:name="_Toc79443106"/>
      <w:bookmarkStart w:id="3046" w:name="_Toc79443107"/>
      <w:bookmarkStart w:id="3047" w:name="_Toc79443108"/>
      <w:bookmarkStart w:id="3048" w:name="_Toc79443109"/>
      <w:bookmarkStart w:id="3049" w:name="_Toc79443110"/>
      <w:bookmarkStart w:id="3050" w:name="_Toc79443111"/>
      <w:bookmarkStart w:id="3051" w:name="_Toc79443112"/>
      <w:bookmarkStart w:id="3052" w:name="_Toc79443113"/>
      <w:bookmarkStart w:id="3053" w:name="_Toc79443141"/>
      <w:bookmarkStart w:id="3054" w:name="_Toc79443154"/>
      <w:bookmarkStart w:id="3055" w:name="_Toc79443180"/>
      <w:bookmarkStart w:id="3056" w:name="_Toc79443193"/>
      <w:bookmarkStart w:id="3057" w:name="_Toc79443206"/>
      <w:bookmarkStart w:id="3058" w:name="_Toc79443219"/>
      <w:bookmarkStart w:id="3059" w:name="_Toc79443234"/>
      <w:bookmarkStart w:id="3060" w:name="_Toc79443260"/>
      <w:bookmarkStart w:id="3061" w:name="_Toc79443288"/>
      <w:bookmarkStart w:id="3062" w:name="_Toc79443301"/>
      <w:bookmarkStart w:id="3063" w:name="_Toc79443316"/>
      <w:bookmarkStart w:id="3064" w:name="_Toc79443317"/>
      <w:bookmarkStart w:id="3065" w:name="_Toc79443318"/>
      <w:bookmarkStart w:id="3066" w:name="_Toc79443319"/>
      <w:bookmarkStart w:id="3067" w:name="_Toc412812762"/>
      <w:bookmarkStart w:id="3068" w:name="_Toc437936018"/>
      <w:bookmarkStart w:id="3069" w:name="_Toc42764359"/>
      <w:bookmarkStart w:id="3070" w:name="_Toc437936040"/>
      <w:bookmarkStart w:id="3071" w:name="_Ref510090181"/>
      <w:bookmarkStart w:id="3072" w:name="_Toc230879667"/>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r w:rsidRPr="00466E26">
        <w:t xml:space="preserve">Lineamientos </w:t>
      </w:r>
      <w:r w:rsidR="005A0DD9" w:rsidRPr="00466E26">
        <w:t xml:space="preserve">generales para la caracterización de </w:t>
      </w:r>
      <w:r w:rsidRPr="00466E26">
        <w:t xml:space="preserve">los </w:t>
      </w:r>
      <w:r w:rsidR="00A75AD1" w:rsidRPr="00466E26">
        <w:t>SSEE</w:t>
      </w:r>
      <w:r w:rsidRPr="00466E26">
        <w:t xml:space="preserve"> </w:t>
      </w:r>
      <w:r w:rsidR="00FA35FD" w:rsidRPr="00466E26">
        <w:t>asociados</w:t>
      </w:r>
      <w:r w:rsidRPr="00466E26">
        <w:t xml:space="preserve"> </w:t>
      </w:r>
      <w:r w:rsidR="00FA35FD" w:rsidRPr="00466E26">
        <w:t>a</w:t>
      </w:r>
      <w:r w:rsidRPr="00466E26">
        <w:t>l suelo</w:t>
      </w:r>
      <w:bookmarkEnd w:id="3072"/>
    </w:p>
    <w:p w14:paraId="6AC80135" w14:textId="77777777" w:rsidR="00E335C9" w:rsidRPr="004068F6" w:rsidRDefault="00E335C9" w:rsidP="00E335C9">
      <w:pPr>
        <w:numPr>
          <w:ilvl w:val="12"/>
          <w:numId w:val="0"/>
        </w:numPr>
        <w:tabs>
          <w:tab w:val="left" w:pos="-2268"/>
        </w:tabs>
        <w:suppressAutoHyphens/>
        <w:rPr>
          <w:rFonts w:cs="Arial"/>
          <w:spacing w:val="-3"/>
        </w:rPr>
      </w:pPr>
    </w:p>
    <w:p w14:paraId="4ED94B54" w14:textId="051668DD" w:rsidR="00186CD1" w:rsidRPr="004068F6" w:rsidRDefault="005A0DD9" w:rsidP="00E335C9">
      <w:pPr>
        <w:numPr>
          <w:ilvl w:val="12"/>
          <w:numId w:val="0"/>
        </w:numPr>
        <w:tabs>
          <w:tab w:val="left" w:pos="-2268"/>
        </w:tabs>
        <w:suppressAutoHyphens/>
        <w:rPr>
          <w:rFonts w:cs="Arial"/>
          <w:spacing w:val="-3"/>
        </w:rPr>
      </w:pPr>
      <w:r w:rsidRPr="004068F6">
        <w:rPr>
          <w:rFonts w:cs="Arial"/>
          <w:spacing w:val="-3"/>
        </w:rPr>
        <w:t xml:space="preserve">A </w:t>
      </w:r>
      <w:r w:rsidR="00434EA7" w:rsidRPr="004068F6">
        <w:rPr>
          <w:rFonts w:cs="Arial"/>
          <w:spacing w:val="-3"/>
        </w:rPr>
        <w:t>continuación,</w:t>
      </w:r>
      <w:r w:rsidRPr="004068F6">
        <w:rPr>
          <w:rFonts w:cs="Arial"/>
          <w:spacing w:val="-3"/>
        </w:rPr>
        <w:t xml:space="preserve"> se señalan algunos lineamientos para </w:t>
      </w:r>
      <w:r w:rsidR="00894C79" w:rsidRPr="004068F6">
        <w:rPr>
          <w:rFonts w:cs="Arial"/>
          <w:spacing w:val="-3"/>
        </w:rPr>
        <w:t>caracterizar</w:t>
      </w:r>
      <w:r w:rsidRPr="004068F6">
        <w:rPr>
          <w:rFonts w:cs="Arial"/>
          <w:spacing w:val="-3"/>
        </w:rPr>
        <w:t xml:space="preserve"> los </w:t>
      </w:r>
      <w:r w:rsidR="00A75AD1" w:rsidRPr="004068F6">
        <w:rPr>
          <w:rFonts w:cs="Arial"/>
          <w:spacing w:val="-3"/>
        </w:rPr>
        <w:t>SSEE</w:t>
      </w:r>
      <w:r w:rsidRPr="004068F6">
        <w:rPr>
          <w:rFonts w:cs="Arial"/>
          <w:spacing w:val="-3"/>
        </w:rPr>
        <w:t xml:space="preserve"> </w:t>
      </w:r>
      <w:r w:rsidR="00B32ED0" w:rsidRPr="004068F6">
        <w:rPr>
          <w:rFonts w:cs="Arial"/>
          <w:spacing w:val="-3"/>
        </w:rPr>
        <w:t xml:space="preserve">asociados </w:t>
      </w:r>
      <w:r w:rsidRPr="004068F6">
        <w:rPr>
          <w:rFonts w:cs="Arial"/>
          <w:spacing w:val="-3"/>
        </w:rPr>
        <w:t xml:space="preserve">a los suelos. </w:t>
      </w:r>
      <w:r w:rsidR="00B32ED0" w:rsidRPr="004068F6">
        <w:rPr>
          <w:rFonts w:cs="Arial"/>
          <w:spacing w:val="-3"/>
        </w:rPr>
        <w:t xml:space="preserve">En razón a </w:t>
      </w:r>
      <w:r w:rsidR="00894C79" w:rsidRPr="004068F6">
        <w:rPr>
          <w:rFonts w:cs="Arial"/>
          <w:spacing w:val="-3"/>
        </w:rPr>
        <w:t xml:space="preserve">que </w:t>
      </w:r>
      <w:r w:rsidR="00B32ED0" w:rsidRPr="004068F6">
        <w:rPr>
          <w:rFonts w:cs="Arial"/>
          <w:spacing w:val="-3"/>
        </w:rPr>
        <w:t xml:space="preserve">estos </w:t>
      </w:r>
      <w:r w:rsidR="00894C79" w:rsidRPr="004068F6">
        <w:rPr>
          <w:rFonts w:cs="Arial"/>
          <w:spacing w:val="-3"/>
        </w:rPr>
        <w:t>lineamientos no son exhaustivos</w:t>
      </w:r>
      <w:r w:rsidR="00B32ED0" w:rsidRPr="004068F6">
        <w:rPr>
          <w:rFonts w:cs="Arial"/>
          <w:spacing w:val="-3"/>
        </w:rPr>
        <w:t>,</w:t>
      </w:r>
      <w:r w:rsidR="00894C79" w:rsidRPr="004068F6">
        <w:rPr>
          <w:rFonts w:cs="Arial"/>
          <w:spacing w:val="-3"/>
        </w:rPr>
        <w:t xml:space="preserve"> </w:t>
      </w:r>
      <w:r w:rsidR="00B32ED0" w:rsidRPr="004068F6">
        <w:rPr>
          <w:rFonts w:cs="Arial"/>
          <w:spacing w:val="-3"/>
        </w:rPr>
        <w:t xml:space="preserve">a que </w:t>
      </w:r>
      <w:r w:rsidR="00894C79" w:rsidRPr="004068F6">
        <w:rPr>
          <w:rFonts w:cs="Arial"/>
          <w:spacing w:val="-3"/>
        </w:rPr>
        <w:t>n</w:t>
      </w:r>
      <w:r w:rsidR="00B32ED0" w:rsidRPr="004068F6">
        <w:rPr>
          <w:rFonts w:cs="Arial"/>
          <w:spacing w:val="-3"/>
        </w:rPr>
        <w:t>o</w:t>
      </w:r>
      <w:r w:rsidR="00894C79" w:rsidRPr="004068F6">
        <w:rPr>
          <w:rFonts w:cs="Arial"/>
          <w:spacing w:val="-3"/>
        </w:rPr>
        <w:t xml:space="preserve"> abarcan la totalidad de </w:t>
      </w:r>
      <w:r w:rsidR="00B32ED0" w:rsidRPr="004068F6">
        <w:rPr>
          <w:rFonts w:cs="Arial"/>
          <w:spacing w:val="-3"/>
        </w:rPr>
        <w:t xml:space="preserve">los </w:t>
      </w:r>
      <w:r w:rsidR="00A75AD1" w:rsidRPr="004068F6">
        <w:rPr>
          <w:rFonts w:cs="Arial"/>
          <w:spacing w:val="-3"/>
        </w:rPr>
        <w:t>SSEE</w:t>
      </w:r>
      <w:r w:rsidR="00894C79" w:rsidRPr="004068F6">
        <w:rPr>
          <w:rFonts w:cs="Arial"/>
          <w:spacing w:val="-3"/>
        </w:rPr>
        <w:t xml:space="preserve"> asociados al suelo, ni tampoco los </w:t>
      </w:r>
      <w:r w:rsidR="00A75AD1" w:rsidRPr="004068F6">
        <w:rPr>
          <w:rFonts w:cs="Arial"/>
          <w:spacing w:val="-3"/>
        </w:rPr>
        <w:t>SSEE</w:t>
      </w:r>
      <w:r w:rsidR="00894C79" w:rsidRPr="004068F6">
        <w:rPr>
          <w:rFonts w:cs="Arial"/>
          <w:spacing w:val="-3"/>
        </w:rPr>
        <w:t xml:space="preserve"> relacionados con otros elementos del ambiente como la biodiversidad o la hidrología, </w:t>
      </w:r>
      <w:r w:rsidR="00B32ED0" w:rsidRPr="004068F6">
        <w:rPr>
          <w:rFonts w:cs="Arial"/>
          <w:spacing w:val="-3"/>
        </w:rPr>
        <w:t xml:space="preserve">es necesario </w:t>
      </w:r>
      <w:r w:rsidR="00894C79" w:rsidRPr="004068F6">
        <w:rPr>
          <w:rFonts w:cs="Arial"/>
          <w:spacing w:val="-3"/>
        </w:rPr>
        <w:t>emplear información (cuantitativa o cualitativa)</w:t>
      </w:r>
      <w:r w:rsidR="00B32ED0" w:rsidRPr="004068F6">
        <w:rPr>
          <w:rFonts w:cs="Arial"/>
          <w:spacing w:val="-3"/>
        </w:rPr>
        <w:t xml:space="preserve">, indicadores, </w:t>
      </w:r>
      <w:r w:rsidR="00894C79" w:rsidRPr="004068F6">
        <w:rPr>
          <w:rFonts w:cs="Arial"/>
          <w:spacing w:val="-3"/>
        </w:rPr>
        <w:t xml:space="preserve">modelos </w:t>
      </w:r>
      <w:r w:rsidR="00B32ED0" w:rsidRPr="004068F6">
        <w:rPr>
          <w:rFonts w:cs="Arial"/>
          <w:spacing w:val="-3"/>
        </w:rPr>
        <w:t xml:space="preserve">y métodos </w:t>
      </w:r>
      <w:r w:rsidR="00894C79" w:rsidRPr="004068F6">
        <w:rPr>
          <w:rFonts w:cs="Arial"/>
          <w:spacing w:val="-3"/>
        </w:rPr>
        <w:t xml:space="preserve">adicionales </w:t>
      </w:r>
      <w:r w:rsidR="00B32ED0" w:rsidRPr="004068F6">
        <w:rPr>
          <w:rFonts w:cs="Arial"/>
          <w:spacing w:val="-3"/>
        </w:rPr>
        <w:t xml:space="preserve">que permitan </w:t>
      </w:r>
      <w:r w:rsidR="00894C79" w:rsidRPr="004068F6">
        <w:rPr>
          <w:rFonts w:cs="Arial"/>
          <w:spacing w:val="-3"/>
        </w:rPr>
        <w:t xml:space="preserve">evaluar los </w:t>
      </w:r>
      <w:r w:rsidR="00A75AD1" w:rsidRPr="004068F6">
        <w:rPr>
          <w:rFonts w:cs="Arial"/>
          <w:spacing w:val="-3"/>
        </w:rPr>
        <w:t>SSEE</w:t>
      </w:r>
      <w:r w:rsidR="00894C79" w:rsidRPr="004068F6">
        <w:rPr>
          <w:rFonts w:cs="Arial"/>
          <w:spacing w:val="-3"/>
        </w:rPr>
        <w:t xml:space="preserve"> que puedan </w:t>
      </w:r>
      <w:r w:rsidR="00B32ED0" w:rsidRPr="004068F6">
        <w:rPr>
          <w:rFonts w:cs="Arial"/>
          <w:spacing w:val="-3"/>
        </w:rPr>
        <w:t xml:space="preserve">ser </w:t>
      </w:r>
      <w:r w:rsidR="00894C79" w:rsidRPr="004068F6">
        <w:rPr>
          <w:rFonts w:cs="Arial"/>
          <w:spacing w:val="-3"/>
        </w:rPr>
        <w:t>impactados</w:t>
      </w:r>
      <w:r w:rsidR="00186CD1" w:rsidRPr="004068F6">
        <w:rPr>
          <w:rFonts w:cs="Arial"/>
          <w:spacing w:val="-3"/>
        </w:rPr>
        <w:t>.</w:t>
      </w:r>
    </w:p>
    <w:p w14:paraId="012BB49B" w14:textId="77777777" w:rsidR="00186CD1" w:rsidRPr="004068F6" w:rsidRDefault="00186CD1" w:rsidP="00E335C9">
      <w:pPr>
        <w:numPr>
          <w:ilvl w:val="12"/>
          <w:numId w:val="0"/>
        </w:numPr>
        <w:tabs>
          <w:tab w:val="left" w:pos="-2268"/>
        </w:tabs>
        <w:suppressAutoHyphens/>
        <w:rPr>
          <w:rFonts w:cs="Arial"/>
          <w:spacing w:val="-3"/>
        </w:rPr>
      </w:pPr>
    </w:p>
    <w:p w14:paraId="0B9F6F60" w14:textId="14DA16DB" w:rsidR="00E335C9" w:rsidRPr="004068F6" w:rsidRDefault="00537286" w:rsidP="0037186F">
      <w:pPr>
        <w:numPr>
          <w:ilvl w:val="12"/>
          <w:numId w:val="0"/>
        </w:numPr>
        <w:tabs>
          <w:tab w:val="left" w:pos="-2268"/>
        </w:tabs>
        <w:suppressAutoHyphens/>
        <w:rPr>
          <w:rFonts w:cs="Arial"/>
          <w:spacing w:val="-3"/>
        </w:rPr>
      </w:pPr>
      <w:r w:rsidRPr="004068F6">
        <w:rPr>
          <w:rFonts w:cs="Arial"/>
          <w:spacing w:val="-3"/>
        </w:rPr>
        <w:t xml:space="preserve">La </w:t>
      </w:r>
      <w:r w:rsidR="00F57B86" w:rsidRPr="004068F6">
        <w:rPr>
          <w:rFonts w:cs="Arial"/>
          <w:spacing w:val="-3"/>
        </w:rPr>
        <w:t>caracteriza</w:t>
      </w:r>
      <w:r w:rsidRPr="004068F6">
        <w:rPr>
          <w:rFonts w:cs="Arial"/>
          <w:spacing w:val="-3"/>
        </w:rPr>
        <w:t xml:space="preserve">ción de </w:t>
      </w:r>
      <w:r w:rsidR="00F57B86" w:rsidRPr="004068F6">
        <w:rPr>
          <w:rFonts w:cs="Arial"/>
          <w:spacing w:val="-3"/>
        </w:rPr>
        <w:t xml:space="preserve">los </w:t>
      </w:r>
      <w:r w:rsidRPr="004068F6">
        <w:rPr>
          <w:rFonts w:cs="Arial"/>
          <w:spacing w:val="-3"/>
        </w:rPr>
        <w:t xml:space="preserve">SSEE </w:t>
      </w:r>
      <w:r w:rsidR="00F57B86" w:rsidRPr="004068F6">
        <w:rPr>
          <w:rFonts w:cs="Arial"/>
          <w:spacing w:val="-3"/>
        </w:rPr>
        <w:t xml:space="preserve">que se asocian a los suelos </w:t>
      </w:r>
      <w:r w:rsidRPr="004068F6">
        <w:rPr>
          <w:rFonts w:cs="Arial"/>
          <w:spacing w:val="-3"/>
        </w:rPr>
        <w:t xml:space="preserve">debe </w:t>
      </w:r>
      <w:r w:rsidR="00E335C9" w:rsidRPr="004068F6">
        <w:rPr>
          <w:rFonts w:cs="Arial"/>
          <w:spacing w:val="-3"/>
        </w:rPr>
        <w:t xml:space="preserve">partir de </w:t>
      </w:r>
      <w:r w:rsidR="005A2DB6" w:rsidRPr="004068F6">
        <w:rPr>
          <w:rFonts w:cs="Arial"/>
          <w:spacing w:val="-3"/>
        </w:rPr>
        <w:t xml:space="preserve">las consideraciones </w:t>
      </w:r>
      <w:r w:rsidR="002C5080" w:rsidRPr="004068F6">
        <w:rPr>
          <w:rFonts w:cs="Arial"/>
          <w:spacing w:val="-3"/>
        </w:rPr>
        <w:t xml:space="preserve">de </w:t>
      </w:r>
      <w:r w:rsidR="005A2DB6" w:rsidRPr="004068F6">
        <w:rPr>
          <w:rFonts w:cs="Arial"/>
          <w:spacing w:val="-3"/>
        </w:rPr>
        <w:t>la Política para la gestión sostenible del suelo</w:t>
      </w:r>
      <w:r w:rsidR="002C5080" w:rsidRPr="004068F6">
        <w:rPr>
          <w:rFonts w:cs="Arial"/>
          <w:spacing w:val="-3"/>
        </w:rPr>
        <w:t>, de</w:t>
      </w:r>
      <w:r w:rsidR="005A2DB6" w:rsidRPr="004068F6">
        <w:rPr>
          <w:rFonts w:cs="Arial"/>
          <w:spacing w:val="-3"/>
        </w:rPr>
        <w:t xml:space="preserve"> </w:t>
      </w:r>
      <w:r w:rsidR="00E335C9" w:rsidRPr="004068F6">
        <w:rPr>
          <w:rFonts w:cs="Arial"/>
          <w:spacing w:val="-3"/>
        </w:rPr>
        <w:t xml:space="preserve">la información </w:t>
      </w:r>
      <w:r w:rsidR="004471F0" w:rsidRPr="004068F6">
        <w:rPr>
          <w:rFonts w:cs="Arial"/>
          <w:spacing w:val="-3"/>
        </w:rPr>
        <w:t xml:space="preserve">consignada en la caracterización ambiental </w:t>
      </w:r>
      <w:r w:rsidR="00E335C9" w:rsidRPr="004068F6">
        <w:rPr>
          <w:rFonts w:cs="Arial"/>
          <w:spacing w:val="-3"/>
        </w:rPr>
        <w:t>sobre las propiedades morfológicas, físicas, químicas y biológicas de los suelos</w:t>
      </w:r>
      <w:r w:rsidR="00721AAE" w:rsidRPr="004068F6">
        <w:rPr>
          <w:rFonts w:cs="Arial"/>
          <w:spacing w:val="-3"/>
        </w:rPr>
        <w:t xml:space="preserve"> (que evidencian entre otras</w:t>
      </w:r>
      <w:r w:rsidR="000A65B6" w:rsidRPr="004068F6">
        <w:rPr>
          <w:rFonts w:cs="Arial"/>
          <w:spacing w:val="-3"/>
        </w:rPr>
        <w:t xml:space="preserve"> cosas</w:t>
      </w:r>
      <w:r w:rsidR="00721AAE" w:rsidRPr="004068F6">
        <w:rPr>
          <w:rFonts w:cs="Arial"/>
          <w:spacing w:val="-3"/>
        </w:rPr>
        <w:t>, su estado de degradación)</w:t>
      </w:r>
      <w:r w:rsidR="00E335C9" w:rsidRPr="004068F6">
        <w:rPr>
          <w:rFonts w:cs="Arial"/>
          <w:spacing w:val="-3"/>
        </w:rPr>
        <w:t xml:space="preserve"> </w:t>
      </w:r>
      <w:r w:rsidR="002C5080" w:rsidRPr="004068F6">
        <w:rPr>
          <w:rFonts w:cs="Arial"/>
          <w:spacing w:val="-3"/>
        </w:rPr>
        <w:t xml:space="preserve">y de la información </w:t>
      </w:r>
      <w:r w:rsidR="0037186F" w:rsidRPr="004068F6">
        <w:rPr>
          <w:rFonts w:cs="Arial"/>
          <w:spacing w:val="-3"/>
        </w:rPr>
        <w:t xml:space="preserve">sobre </w:t>
      </w:r>
      <w:r w:rsidR="00862627" w:rsidRPr="004068F6">
        <w:rPr>
          <w:rFonts w:cs="Arial"/>
          <w:spacing w:val="-3"/>
        </w:rPr>
        <w:t>otros elementos del ambiente que, en comunión con los suelos, genera</w:t>
      </w:r>
      <w:r w:rsidR="008C56ED" w:rsidRPr="004068F6">
        <w:rPr>
          <w:rFonts w:cs="Arial"/>
          <w:spacing w:val="-3"/>
        </w:rPr>
        <w:t xml:space="preserve">n </w:t>
      </w:r>
      <w:r w:rsidR="00862627" w:rsidRPr="004068F6">
        <w:rPr>
          <w:rFonts w:cs="Arial"/>
          <w:spacing w:val="-3"/>
        </w:rPr>
        <w:t>procesos, funciones y estructuras que proveen los SSEE</w:t>
      </w:r>
      <w:r w:rsidR="00E335C9" w:rsidRPr="004068F6">
        <w:rPr>
          <w:rFonts w:cs="Arial"/>
          <w:spacing w:val="-3"/>
        </w:rPr>
        <w:t xml:space="preserve">. </w:t>
      </w:r>
      <w:r w:rsidR="00F831F7" w:rsidRPr="004068F6">
        <w:rPr>
          <w:rFonts w:cs="Arial"/>
          <w:spacing w:val="-3"/>
        </w:rPr>
        <w:t>L</w:t>
      </w:r>
      <w:r w:rsidR="00E335C9" w:rsidRPr="004068F6">
        <w:rPr>
          <w:rFonts w:cs="Arial"/>
          <w:spacing w:val="-3"/>
        </w:rPr>
        <w:t xml:space="preserve">a </w:t>
      </w:r>
      <w:r w:rsidR="00FA35FD" w:rsidRPr="004068F6">
        <w:rPr>
          <w:rFonts w:cs="Arial"/>
          <w:spacing w:val="-3"/>
        </w:rPr>
        <w:fldChar w:fldCharType="begin"/>
      </w:r>
      <w:r w:rsidR="00FA35FD" w:rsidRPr="004068F6">
        <w:rPr>
          <w:rFonts w:cs="Arial"/>
          <w:spacing w:val="-3"/>
        </w:rPr>
        <w:instrText xml:space="preserve"> REF _Ref69831198 \h  \* MERGEFORMAT </w:instrText>
      </w:r>
      <w:r w:rsidR="00FA35FD" w:rsidRPr="004068F6">
        <w:rPr>
          <w:rFonts w:cs="Arial"/>
          <w:spacing w:val="-3"/>
        </w:rPr>
      </w:r>
      <w:r w:rsidR="00FA35FD" w:rsidRPr="004068F6">
        <w:rPr>
          <w:rFonts w:cs="Arial"/>
          <w:spacing w:val="-3"/>
        </w:rPr>
        <w:fldChar w:fldCharType="separate"/>
      </w:r>
      <w:r w:rsidR="009C4A81" w:rsidRPr="009C4A81">
        <w:rPr>
          <w:rFonts w:cs="Arial"/>
          <w:bCs/>
          <w:spacing w:val="-3"/>
        </w:rPr>
        <w:t>Tabla 26</w:t>
      </w:r>
      <w:r w:rsidR="00FA35FD" w:rsidRPr="004068F6">
        <w:rPr>
          <w:rFonts w:cs="Arial"/>
          <w:spacing w:val="-3"/>
        </w:rPr>
        <w:fldChar w:fldCharType="end"/>
      </w:r>
      <w:r w:rsidR="00E335C9" w:rsidRPr="004068F6">
        <w:rPr>
          <w:rFonts w:cs="Arial"/>
          <w:spacing w:val="-3"/>
        </w:rPr>
        <w:t xml:space="preserve"> señala de forma ilustrativa algunas de las relaciones que existen entre las propiedades del suelo y </w:t>
      </w:r>
      <w:r w:rsidR="00A37F6B" w:rsidRPr="004068F6">
        <w:rPr>
          <w:rFonts w:cs="Arial"/>
          <w:spacing w:val="-3"/>
        </w:rPr>
        <w:t xml:space="preserve">los </w:t>
      </w:r>
      <w:r w:rsidR="00E335C9" w:rsidRPr="004068F6">
        <w:rPr>
          <w:rFonts w:cs="Arial"/>
          <w:spacing w:val="-3"/>
        </w:rPr>
        <w:t>servicios ecosistémicos.</w:t>
      </w:r>
    </w:p>
    <w:p w14:paraId="0DFC2803" w14:textId="77777777" w:rsidR="00FA35FD" w:rsidRPr="004068F6" w:rsidRDefault="00FA35FD" w:rsidP="00E335C9">
      <w:pPr>
        <w:numPr>
          <w:ilvl w:val="12"/>
          <w:numId w:val="0"/>
        </w:numPr>
        <w:tabs>
          <w:tab w:val="left" w:pos="-2268"/>
        </w:tabs>
        <w:suppressAutoHyphens/>
        <w:rPr>
          <w:rFonts w:cs="Arial"/>
          <w:spacing w:val="-3"/>
        </w:rPr>
      </w:pPr>
    </w:p>
    <w:p w14:paraId="318BF7A6" w14:textId="77777777" w:rsidR="00B40D21" w:rsidRPr="004068F6" w:rsidRDefault="00B40D21" w:rsidP="00B40D21">
      <w:pPr>
        <w:numPr>
          <w:ilvl w:val="12"/>
          <w:numId w:val="0"/>
        </w:numPr>
        <w:tabs>
          <w:tab w:val="left" w:pos="-2268"/>
        </w:tabs>
        <w:suppressAutoHyphens/>
        <w:rPr>
          <w:rFonts w:cs="Arial"/>
          <w:spacing w:val="-3"/>
        </w:rPr>
      </w:pPr>
      <w:r w:rsidRPr="004068F6">
        <w:rPr>
          <w:rFonts w:cs="Arial"/>
          <w:spacing w:val="-3"/>
        </w:rPr>
        <w:t>Para estimar el servicio de regulación hídrica de los suelos, se debe emplear la fórmula para el cálculo del almacenamiento y retención de humedad en el suelo, la cual está en función de los puntos de retención de humedad a saturación, capacidad de campo y marchitez permanente, de la profundidad efectiva del suelo y de las densidades de cada horizonte.</w:t>
      </w:r>
    </w:p>
    <w:p w14:paraId="2835C324" w14:textId="77777777" w:rsidR="00B40D21" w:rsidRPr="004068F6" w:rsidRDefault="00B40D21" w:rsidP="00E335C9">
      <w:pPr>
        <w:numPr>
          <w:ilvl w:val="12"/>
          <w:numId w:val="0"/>
        </w:numPr>
        <w:tabs>
          <w:tab w:val="left" w:pos="-2268"/>
        </w:tabs>
        <w:suppressAutoHyphens/>
        <w:rPr>
          <w:rFonts w:cs="Arial"/>
          <w:spacing w:val="-3"/>
        </w:rPr>
      </w:pPr>
    </w:p>
    <w:p w14:paraId="1FB82EF9" w14:textId="6FD1A1BD" w:rsidR="00E335C9" w:rsidRPr="004068F6" w:rsidRDefault="00E335C9" w:rsidP="00E335C9">
      <w:pPr>
        <w:numPr>
          <w:ilvl w:val="12"/>
          <w:numId w:val="0"/>
        </w:numPr>
        <w:tabs>
          <w:tab w:val="left" w:pos="-2268"/>
        </w:tabs>
        <w:suppressAutoHyphens/>
        <w:rPr>
          <w:rFonts w:cs="Arial"/>
          <w:spacing w:val="-3"/>
        </w:rPr>
      </w:pPr>
      <w:bookmarkStart w:id="3073" w:name="_Ref69831198"/>
      <w:r w:rsidRPr="004068F6">
        <w:rPr>
          <w:rFonts w:cs="Arial"/>
          <w:b/>
          <w:bCs/>
          <w:spacing w:val="-3"/>
        </w:rPr>
        <w:t xml:space="preserve">Tabla </w:t>
      </w:r>
      <w:r w:rsidRPr="004068F6">
        <w:rPr>
          <w:rFonts w:cs="Arial"/>
          <w:b/>
          <w:bCs/>
          <w:spacing w:val="-3"/>
        </w:rPr>
        <w:fldChar w:fldCharType="begin"/>
      </w:r>
      <w:r w:rsidRPr="004068F6">
        <w:rPr>
          <w:rFonts w:cs="Arial"/>
          <w:b/>
          <w:bCs/>
          <w:spacing w:val="-3"/>
        </w:rPr>
        <w:instrText xml:space="preserve"> SEQ Tabla \* ARABIC </w:instrText>
      </w:r>
      <w:r w:rsidRPr="004068F6">
        <w:rPr>
          <w:rFonts w:cs="Arial"/>
          <w:b/>
          <w:bCs/>
          <w:spacing w:val="-3"/>
        </w:rPr>
        <w:fldChar w:fldCharType="separate"/>
      </w:r>
      <w:r w:rsidR="009C4A81">
        <w:rPr>
          <w:rFonts w:cs="Arial"/>
          <w:b/>
          <w:bCs/>
          <w:noProof/>
          <w:spacing w:val="-3"/>
        </w:rPr>
        <w:t>26</w:t>
      </w:r>
      <w:r w:rsidRPr="004068F6">
        <w:rPr>
          <w:rFonts w:cs="Arial"/>
          <w:b/>
          <w:spacing w:val="-3"/>
        </w:rPr>
        <w:fldChar w:fldCharType="end"/>
      </w:r>
      <w:bookmarkEnd w:id="3073"/>
      <w:r w:rsidRPr="004068F6">
        <w:rPr>
          <w:rFonts w:cs="Arial"/>
          <w:b/>
          <w:spacing w:val="-3"/>
        </w:rPr>
        <w:t>.</w:t>
      </w:r>
      <w:r w:rsidRPr="004068F6">
        <w:rPr>
          <w:rFonts w:cs="Arial"/>
          <w:spacing w:val="-3"/>
        </w:rPr>
        <w:t xml:space="preserve"> Parámetros </w:t>
      </w:r>
      <w:r w:rsidR="00A37F6B" w:rsidRPr="004068F6">
        <w:rPr>
          <w:rFonts w:cs="Arial"/>
          <w:spacing w:val="-3"/>
        </w:rPr>
        <w:t xml:space="preserve">de caracterización del suelo </w:t>
      </w:r>
      <w:r w:rsidR="00721AAE" w:rsidRPr="004068F6">
        <w:rPr>
          <w:rFonts w:cs="Arial"/>
          <w:spacing w:val="-3"/>
        </w:rPr>
        <w:t>y su</w:t>
      </w:r>
      <w:r w:rsidR="00B80000" w:rsidRPr="004068F6">
        <w:rPr>
          <w:rFonts w:cs="Arial"/>
          <w:spacing w:val="-3"/>
        </w:rPr>
        <w:t>s</w:t>
      </w:r>
      <w:r w:rsidR="00721AAE" w:rsidRPr="004068F6">
        <w:rPr>
          <w:rFonts w:cs="Arial"/>
          <w:spacing w:val="-3"/>
        </w:rPr>
        <w:t xml:space="preserve"> </w:t>
      </w:r>
      <w:r w:rsidRPr="004068F6">
        <w:rPr>
          <w:rFonts w:cs="Arial"/>
          <w:spacing w:val="-3"/>
        </w:rPr>
        <w:t>servicios ecosistémicos</w:t>
      </w:r>
      <w:r w:rsidR="00B80000" w:rsidRPr="004068F6">
        <w:rPr>
          <w:rFonts w:cs="Arial"/>
          <w:spacing w:val="-3"/>
        </w:rPr>
        <w:t xml:space="preserve"> relacionados</w:t>
      </w:r>
      <w:r w:rsidRPr="004068F6">
        <w:rPr>
          <w:rFonts w:cs="Arial"/>
          <w:spacing w:val="-3"/>
        </w:rPr>
        <w:t>.</w:t>
      </w:r>
    </w:p>
    <w:tbl>
      <w:tblPr>
        <w:tblStyle w:val="Tablaconcuadrcula"/>
        <w:tblW w:w="10343" w:type="dxa"/>
        <w:jc w:val="center"/>
        <w:tblLook w:val="04A0" w:firstRow="1" w:lastRow="0" w:firstColumn="1" w:lastColumn="0" w:noHBand="0" w:noVBand="1"/>
      </w:tblPr>
      <w:tblGrid>
        <w:gridCol w:w="4248"/>
        <w:gridCol w:w="6095"/>
      </w:tblGrid>
      <w:tr w:rsidR="00E335C9" w:rsidRPr="00A12CE0" w14:paraId="3B2A21B9" w14:textId="77777777" w:rsidTr="001123ED">
        <w:trPr>
          <w:trHeight w:val="604"/>
          <w:tblHeader/>
          <w:jc w:val="center"/>
        </w:trPr>
        <w:tc>
          <w:tcPr>
            <w:tcW w:w="4248" w:type="dxa"/>
            <w:vAlign w:val="center"/>
          </w:tcPr>
          <w:p w14:paraId="77EEC6D1" w14:textId="6F97493E" w:rsidR="00E335C9" w:rsidRPr="00A12CE0" w:rsidRDefault="000A65B6" w:rsidP="00B32ED0">
            <w:pPr>
              <w:numPr>
                <w:ilvl w:val="12"/>
                <w:numId w:val="0"/>
              </w:numPr>
              <w:tabs>
                <w:tab w:val="left" w:pos="-2268"/>
              </w:tabs>
              <w:suppressAutoHyphens/>
              <w:jc w:val="center"/>
              <w:rPr>
                <w:rFonts w:cs="Arial"/>
                <w:b/>
                <w:spacing w:val="-3"/>
                <w:sz w:val="22"/>
                <w:szCs w:val="22"/>
              </w:rPr>
            </w:pPr>
            <w:r w:rsidRPr="00A12CE0">
              <w:rPr>
                <w:rFonts w:cs="Arial"/>
                <w:b/>
                <w:spacing w:val="-3"/>
                <w:sz w:val="22"/>
                <w:szCs w:val="22"/>
              </w:rPr>
              <w:lastRenderedPageBreak/>
              <w:t>Parámetro</w:t>
            </w:r>
          </w:p>
        </w:tc>
        <w:tc>
          <w:tcPr>
            <w:tcW w:w="6095" w:type="dxa"/>
            <w:vAlign w:val="center"/>
          </w:tcPr>
          <w:p w14:paraId="1E4E4141" w14:textId="2C27B91A" w:rsidR="00E335C9" w:rsidRPr="00A12CE0" w:rsidRDefault="00A75AD1" w:rsidP="00B32ED0">
            <w:pPr>
              <w:numPr>
                <w:ilvl w:val="12"/>
                <w:numId w:val="0"/>
              </w:numPr>
              <w:tabs>
                <w:tab w:val="left" w:pos="-2268"/>
              </w:tabs>
              <w:suppressAutoHyphens/>
              <w:jc w:val="center"/>
              <w:rPr>
                <w:rFonts w:cs="Arial"/>
                <w:b/>
                <w:spacing w:val="-3"/>
                <w:sz w:val="22"/>
                <w:szCs w:val="22"/>
              </w:rPr>
            </w:pPr>
            <w:r w:rsidRPr="00A12CE0">
              <w:rPr>
                <w:rFonts w:cs="Arial"/>
                <w:b/>
                <w:spacing w:val="-3"/>
                <w:sz w:val="22"/>
                <w:szCs w:val="22"/>
              </w:rPr>
              <w:t xml:space="preserve">Servicio ecosistémico </w:t>
            </w:r>
            <w:r w:rsidR="00721AAE" w:rsidRPr="00A12CE0">
              <w:rPr>
                <w:rFonts w:cs="Arial"/>
                <w:b/>
                <w:spacing w:val="-3"/>
                <w:sz w:val="22"/>
                <w:szCs w:val="22"/>
              </w:rPr>
              <w:t>relacionado</w:t>
            </w:r>
          </w:p>
        </w:tc>
      </w:tr>
      <w:tr w:rsidR="00E335C9" w:rsidRPr="004068F6" w14:paraId="0DE6DD61" w14:textId="77777777" w:rsidTr="00863458">
        <w:trPr>
          <w:trHeight w:val="1889"/>
          <w:jc w:val="center"/>
        </w:trPr>
        <w:tc>
          <w:tcPr>
            <w:tcW w:w="4248" w:type="dxa"/>
            <w:vAlign w:val="center"/>
          </w:tcPr>
          <w:p w14:paraId="5A5C7825" w14:textId="433B9F2C"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Textura (porce</w:t>
            </w:r>
            <w:r w:rsidR="00ED17E7" w:rsidRPr="004068F6">
              <w:rPr>
                <w:rFonts w:cs="Arial"/>
                <w:spacing w:val="-3"/>
                <w:sz w:val="20"/>
                <w:szCs w:val="20"/>
              </w:rPr>
              <w:t>ntaje de arena, limo y arcilla).</w:t>
            </w:r>
          </w:p>
          <w:p w14:paraId="2879F74A" w14:textId="4DE19598"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Conductividad hidráulica</w:t>
            </w:r>
            <w:r w:rsidR="00ED17E7" w:rsidRPr="004068F6">
              <w:rPr>
                <w:rFonts w:cs="Arial"/>
                <w:spacing w:val="-3"/>
                <w:sz w:val="20"/>
                <w:szCs w:val="20"/>
              </w:rPr>
              <w:t>.</w:t>
            </w:r>
          </w:p>
          <w:p w14:paraId="6A108F2C" w14:textId="4851D49A" w:rsidR="00E335C9" w:rsidRPr="004068F6" w:rsidRDefault="00B80000"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Retención de h</w:t>
            </w:r>
            <w:r w:rsidR="00E335C9" w:rsidRPr="004068F6">
              <w:rPr>
                <w:rFonts w:cs="Arial"/>
                <w:spacing w:val="-3"/>
                <w:sz w:val="20"/>
                <w:szCs w:val="20"/>
              </w:rPr>
              <w:t>umedad</w:t>
            </w:r>
            <w:r w:rsidR="00ED17E7" w:rsidRPr="004068F6">
              <w:rPr>
                <w:rFonts w:cs="Arial"/>
                <w:spacing w:val="-3"/>
                <w:sz w:val="20"/>
                <w:szCs w:val="20"/>
              </w:rPr>
              <w:t>.</w:t>
            </w:r>
          </w:p>
          <w:p w14:paraId="18517B28" w14:textId="55FFF4E8" w:rsidR="00E335C9" w:rsidRPr="004068F6" w:rsidRDefault="00B80000"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Velocidad de i</w:t>
            </w:r>
            <w:r w:rsidR="00E335C9" w:rsidRPr="004068F6">
              <w:rPr>
                <w:rFonts w:cs="Arial"/>
                <w:spacing w:val="-3"/>
                <w:sz w:val="20"/>
                <w:szCs w:val="20"/>
              </w:rPr>
              <w:t>nfiltración</w:t>
            </w:r>
            <w:r w:rsidR="0072054C" w:rsidRPr="004068F6">
              <w:rPr>
                <w:rFonts w:cs="Arial"/>
                <w:spacing w:val="-3"/>
                <w:sz w:val="20"/>
                <w:szCs w:val="20"/>
              </w:rPr>
              <w:t xml:space="preserve"> </w:t>
            </w:r>
            <w:r w:rsidR="00E335C9" w:rsidRPr="004068F6">
              <w:rPr>
                <w:rFonts w:cs="Arial"/>
                <w:spacing w:val="-3"/>
                <w:sz w:val="20"/>
                <w:szCs w:val="20"/>
              </w:rPr>
              <w:t>in situ</w:t>
            </w:r>
            <w:r w:rsidR="00ED17E7" w:rsidRPr="004068F6">
              <w:rPr>
                <w:rFonts w:cs="Arial"/>
                <w:spacing w:val="-3"/>
                <w:sz w:val="20"/>
                <w:szCs w:val="20"/>
              </w:rPr>
              <w:t>.</w:t>
            </w:r>
          </w:p>
          <w:p w14:paraId="08EE5DCA" w14:textId="533A17D2"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Conductividad hidráulica in situ</w:t>
            </w:r>
            <w:r w:rsidR="00ED17E7" w:rsidRPr="004068F6">
              <w:rPr>
                <w:rFonts w:cs="Arial"/>
                <w:spacing w:val="-3"/>
                <w:sz w:val="20"/>
                <w:szCs w:val="20"/>
              </w:rPr>
              <w:t>.</w:t>
            </w:r>
          </w:p>
          <w:p w14:paraId="3B90C0F6" w14:textId="30BC17B5"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Densidad real</w:t>
            </w:r>
            <w:r w:rsidR="00ED17E7" w:rsidRPr="004068F6">
              <w:rPr>
                <w:rFonts w:cs="Arial"/>
                <w:spacing w:val="-3"/>
                <w:sz w:val="20"/>
                <w:szCs w:val="20"/>
              </w:rPr>
              <w:t>.</w:t>
            </w:r>
          </w:p>
          <w:p w14:paraId="3D7337EC" w14:textId="3AE63E57"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Densidad aparente</w:t>
            </w:r>
            <w:r w:rsidR="00ED17E7" w:rsidRPr="004068F6">
              <w:rPr>
                <w:rFonts w:cs="Arial"/>
                <w:spacing w:val="-3"/>
                <w:sz w:val="20"/>
                <w:szCs w:val="20"/>
              </w:rPr>
              <w:t>.</w:t>
            </w:r>
          </w:p>
        </w:tc>
        <w:tc>
          <w:tcPr>
            <w:tcW w:w="6095" w:type="dxa"/>
            <w:vAlign w:val="center"/>
          </w:tcPr>
          <w:p w14:paraId="08352278" w14:textId="4459F774" w:rsidR="00E335C9" w:rsidRPr="004068F6" w:rsidRDefault="00B80000"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S</w:t>
            </w:r>
            <w:r w:rsidR="00E335C9" w:rsidRPr="004068F6">
              <w:rPr>
                <w:rFonts w:cs="Arial"/>
                <w:spacing w:val="-3"/>
                <w:sz w:val="20"/>
                <w:szCs w:val="20"/>
              </w:rPr>
              <w:t>uministr</w:t>
            </w:r>
            <w:r w:rsidRPr="004068F6">
              <w:rPr>
                <w:rFonts w:cs="Arial"/>
                <w:spacing w:val="-3"/>
                <w:sz w:val="20"/>
                <w:szCs w:val="20"/>
              </w:rPr>
              <w:t xml:space="preserve">o </w:t>
            </w:r>
            <w:r w:rsidR="00E335C9" w:rsidRPr="004068F6">
              <w:rPr>
                <w:rFonts w:cs="Arial"/>
                <w:spacing w:val="-3"/>
                <w:sz w:val="20"/>
                <w:szCs w:val="20"/>
              </w:rPr>
              <w:t>y filtra</w:t>
            </w:r>
            <w:r w:rsidRPr="004068F6">
              <w:rPr>
                <w:rFonts w:cs="Arial"/>
                <w:spacing w:val="-3"/>
                <w:sz w:val="20"/>
                <w:szCs w:val="20"/>
              </w:rPr>
              <w:t xml:space="preserve">ción de agua </w:t>
            </w:r>
            <w:r w:rsidR="00E335C9" w:rsidRPr="004068F6">
              <w:rPr>
                <w:rFonts w:cs="Arial"/>
                <w:spacing w:val="-3"/>
                <w:sz w:val="20"/>
                <w:szCs w:val="20"/>
              </w:rPr>
              <w:t>por los suelos en zonas de recarga de acuíferos</w:t>
            </w:r>
            <w:r w:rsidR="00ED17E7" w:rsidRPr="004068F6">
              <w:rPr>
                <w:rFonts w:cs="Arial"/>
                <w:spacing w:val="-3"/>
                <w:sz w:val="20"/>
                <w:szCs w:val="20"/>
              </w:rPr>
              <w:t>.</w:t>
            </w:r>
          </w:p>
          <w:p w14:paraId="7977FEE0" w14:textId="790BDACF"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Regulación del ciclo hidrológico, evitando o minimizando eventos extremos, almacenando aguas lluvias y distribuyendo aguas cuenca abajo incluso en épocas sin lluvias</w:t>
            </w:r>
            <w:r w:rsidR="00ED17E7" w:rsidRPr="004068F6">
              <w:rPr>
                <w:rFonts w:cs="Arial"/>
                <w:spacing w:val="-3"/>
                <w:sz w:val="20"/>
                <w:szCs w:val="20"/>
              </w:rPr>
              <w:t>.</w:t>
            </w:r>
          </w:p>
          <w:p w14:paraId="0B79DACE" w14:textId="4FFDE53A"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Filtr</w:t>
            </w:r>
            <w:r w:rsidR="00B80000" w:rsidRPr="004068F6">
              <w:rPr>
                <w:rFonts w:cs="Arial"/>
                <w:spacing w:val="-3"/>
                <w:sz w:val="20"/>
                <w:szCs w:val="20"/>
              </w:rPr>
              <w:t xml:space="preserve">ación </w:t>
            </w:r>
            <w:r w:rsidRPr="004068F6">
              <w:rPr>
                <w:rFonts w:cs="Arial"/>
                <w:spacing w:val="-3"/>
                <w:sz w:val="20"/>
                <w:szCs w:val="20"/>
              </w:rPr>
              <w:t>de aguas lluvias</w:t>
            </w:r>
            <w:r w:rsidR="00ED17E7" w:rsidRPr="004068F6">
              <w:rPr>
                <w:rFonts w:cs="Arial"/>
                <w:spacing w:val="-3"/>
                <w:sz w:val="20"/>
                <w:szCs w:val="20"/>
              </w:rPr>
              <w:t>.</w:t>
            </w:r>
          </w:p>
          <w:p w14:paraId="5CCBB4E0" w14:textId="713B11A1"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Mejoramiento de la calidad del aire y la calidad de las aguas subterráneas y superficiales</w:t>
            </w:r>
            <w:r w:rsidR="00ED17E7" w:rsidRPr="004068F6">
              <w:rPr>
                <w:rFonts w:cs="Arial"/>
                <w:spacing w:val="-3"/>
                <w:sz w:val="20"/>
                <w:szCs w:val="20"/>
              </w:rPr>
              <w:t>.</w:t>
            </w:r>
          </w:p>
        </w:tc>
      </w:tr>
      <w:tr w:rsidR="00E335C9" w:rsidRPr="004068F6" w14:paraId="0BBD2063" w14:textId="77777777" w:rsidTr="001123ED">
        <w:trPr>
          <w:trHeight w:val="1268"/>
          <w:jc w:val="center"/>
        </w:trPr>
        <w:tc>
          <w:tcPr>
            <w:tcW w:w="4248" w:type="dxa"/>
            <w:vAlign w:val="center"/>
          </w:tcPr>
          <w:p w14:paraId="6CC78A35" w14:textId="2DF2634D"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Contenido de carbono orgánico</w:t>
            </w:r>
            <w:r w:rsidR="00ED17E7" w:rsidRPr="004068F6">
              <w:rPr>
                <w:rFonts w:cs="Arial"/>
                <w:spacing w:val="-3"/>
                <w:sz w:val="20"/>
                <w:szCs w:val="20"/>
              </w:rPr>
              <w:t>.</w:t>
            </w:r>
          </w:p>
          <w:p w14:paraId="3E0E0765" w14:textId="46D856B1"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Capacidad de intercambio catiónico</w:t>
            </w:r>
            <w:r w:rsidR="00ED17E7" w:rsidRPr="004068F6">
              <w:rPr>
                <w:rFonts w:cs="Arial"/>
                <w:spacing w:val="-3"/>
                <w:sz w:val="20"/>
                <w:szCs w:val="20"/>
              </w:rPr>
              <w:t>.</w:t>
            </w:r>
          </w:p>
          <w:p w14:paraId="3B3E75FF" w14:textId="78F8A95A" w:rsidR="00E335C9" w:rsidRPr="004068F6" w:rsidRDefault="00B80000"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Cantidad</w:t>
            </w:r>
            <w:r w:rsidR="00E335C9" w:rsidRPr="004068F6">
              <w:rPr>
                <w:rFonts w:cs="Arial"/>
                <w:spacing w:val="-3"/>
                <w:sz w:val="20"/>
                <w:szCs w:val="20"/>
              </w:rPr>
              <w:t xml:space="preserve"> de microorganismos del ciclo del </w:t>
            </w:r>
            <w:r w:rsidRPr="004068F6">
              <w:rPr>
                <w:rFonts w:cs="Arial"/>
                <w:spacing w:val="-3"/>
                <w:sz w:val="20"/>
                <w:szCs w:val="20"/>
              </w:rPr>
              <w:t>n</w:t>
            </w:r>
            <w:r w:rsidR="00E335C9" w:rsidRPr="004068F6">
              <w:rPr>
                <w:rFonts w:cs="Arial"/>
                <w:spacing w:val="-3"/>
                <w:sz w:val="20"/>
                <w:szCs w:val="20"/>
              </w:rPr>
              <w:t xml:space="preserve">itrógeno </w:t>
            </w:r>
            <w:r w:rsidRPr="004068F6">
              <w:rPr>
                <w:rFonts w:cs="Arial"/>
                <w:spacing w:val="-3"/>
                <w:sz w:val="20"/>
                <w:szCs w:val="20"/>
              </w:rPr>
              <w:t>(n</w:t>
            </w:r>
            <w:r w:rsidR="00E335C9" w:rsidRPr="004068F6">
              <w:rPr>
                <w:rFonts w:cs="Arial"/>
                <w:spacing w:val="-3"/>
                <w:sz w:val="20"/>
                <w:szCs w:val="20"/>
              </w:rPr>
              <w:t>itrificantes</w:t>
            </w:r>
            <w:r w:rsidRPr="004068F6">
              <w:rPr>
                <w:rFonts w:cs="Arial"/>
                <w:spacing w:val="-3"/>
                <w:sz w:val="20"/>
                <w:szCs w:val="20"/>
              </w:rPr>
              <w:t>)</w:t>
            </w:r>
            <w:r w:rsidR="00ED17E7" w:rsidRPr="004068F6">
              <w:rPr>
                <w:rFonts w:cs="Arial"/>
                <w:spacing w:val="-3"/>
                <w:sz w:val="20"/>
                <w:szCs w:val="20"/>
              </w:rPr>
              <w:t>.</w:t>
            </w:r>
          </w:p>
        </w:tc>
        <w:tc>
          <w:tcPr>
            <w:tcW w:w="6095" w:type="dxa"/>
            <w:vAlign w:val="center"/>
          </w:tcPr>
          <w:p w14:paraId="66419C57" w14:textId="02204DC5"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Regulación del clima global y regional</w:t>
            </w:r>
            <w:r w:rsidR="00ED17E7" w:rsidRPr="004068F6">
              <w:rPr>
                <w:rFonts w:cs="Arial"/>
                <w:spacing w:val="-3"/>
                <w:sz w:val="20"/>
                <w:szCs w:val="20"/>
              </w:rPr>
              <w:t>.</w:t>
            </w:r>
          </w:p>
          <w:p w14:paraId="7E17943D" w14:textId="2C5430D8"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Captura de CO</w:t>
            </w:r>
            <w:r w:rsidRPr="004068F6">
              <w:rPr>
                <w:rFonts w:cs="Arial"/>
                <w:spacing w:val="-3"/>
                <w:sz w:val="20"/>
                <w:szCs w:val="20"/>
                <w:vertAlign w:val="subscript"/>
              </w:rPr>
              <w:t>2</w:t>
            </w:r>
            <w:r w:rsidR="00ED17E7" w:rsidRPr="004068F6">
              <w:rPr>
                <w:rFonts w:cs="Arial"/>
                <w:spacing w:val="-3"/>
                <w:sz w:val="20"/>
                <w:szCs w:val="20"/>
              </w:rPr>
              <w:t>.</w:t>
            </w:r>
          </w:p>
          <w:p w14:paraId="699ED1CF" w14:textId="34E2A3BE"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Purificación del aire</w:t>
            </w:r>
            <w:r w:rsidR="00ED17E7" w:rsidRPr="004068F6">
              <w:rPr>
                <w:rFonts w:cs="Arial"/>
                <w:spacing w:val="-3"/>
                <w:sz w:val="20"/>
                <w:szCs w:val="20"/>
              </w:rPr>
              <w:t>.</w:t>
            </w:r>
          </w:p>
          <w:p w14:paraId="0CE3D063" w14:textId="75B06F43"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Reciclaje de nutrientes</w:t>
            </w:r>
            <w:r w:rsidR="00ED17E7" w:rsidRPr="004068F6">
              <w:rPr>
                <w:rFonts w:cs="Arial"/>
                <w:spacing w:val="-3"/>
                <w:sz w:val="20"/>
                <w:szCs w:val="20"/>
              </w:rPr>
              <w:t>.</w:t>
            </w:r>
          </w:p>
          <w:p w14:paraId="1ABE25CE" w14:textId="0CA942DF"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Producción de alimentos, fibras, medicinas bioenergía</w:t>
            </w:r>
            <w:r w:rsidR="00ED17E7" w:rsidRPr="004068F6">
              <w:rPr>
                <w:rFonts w:cs="Arial"/>
                <w:spacing w:val="-3"/>
                <w:sz w:val="20"/>
                <w:szCs w:val="20"/>
              </w:rPr>
              <w:t>.</w:t>
            </w:r>
          </w:p>
        </w:tc>
      </w:tr>
      <w:tr w:rsidR="00E335C9" w:rsidRPr="004068F6" w14:paraId="56B7E646" w14:textId="77777777" w:rsidTr="001123ED">
        <w:trPr>
          <w:trHeight w:val="1541"/>
          <w:jc w:val="center"/>
        </w:trPr>
        <w:tc>
          <w:tcPr>
            <w:tcW w:w="4248" w:type="dxa"/>
            <w:vAlign w:val="center"/>
          </w:tcPr>
          <w:p w14:paraId="7190338E" w14:textId="165816D4" w:rsidR="00E335C9" w:rsidRPr="004068F6" w:rsidRDefault="00B80000"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Estabilidad e</w:t>
            </w:r>
            <w:r w:rsidR="00E335C9" w:rsidRPr="004068F6">
              <w:rPr>
                <w:rFonts w:cs="Arial"/>
                <w:spacing w:val="-3"/>
                <w:sz w:val="20"/>
                <w:szCs w:val="20"/>
              </w:rPr>
              <w:t>structural</w:t>
            </w:r>
            <w:r w:rsidR="00ED17E7" w:rsidRPr="004068F6">
              <w:rPr>
                <w:rFonts w:cs="Arial"/>
                <w:spacing w:val="-3"/>
                <w:sz w:val="20"/>
                <w:szCs w:val="20"/>
              </w:rPr>
              <w:t>.</w:t>
            </w:r>
          </w:p>
          <w:p w14:paraId="4416B444" w14:textId="23644683"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Porosidad</w:t>
            </w:r>
            <w:r w:rsidR="00ED17E7" w:rsidRPr="004068F6">
              <w:rPr>
                <w:rFonts w:cs="Arial"/>
                <w:spacing w:val="-3"/>
                <w:sz w:val="20"/>
                <w:szCs w:val="20"/>
              </w:rPr>
              <w:t>.</w:t>
            </w:r>
          </w:p>
          <w:p w14:paraId="360E5AE9" w14:textId="58F1DD37"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Resistencia a la penetración</w:t>
            </w:r>
            <w:r w:rsidR="00ED17E7" w:rsidRPr="004068F6">
              <w:rPr>
                <w:rFonts w:cs="Arial"/>
                <w:spacing w:val="-3"/>
                <w:sz w:val="20"/>
                <w:szCs w:val="20"/>
              </w:rPr>
              <w:t>.</w:t>
            </w:r>
          </w:p>
          <w:p w14:paraId="5FC27E0D" w14:textId="77777777" w:rsidR="00E335C9" w:rsidRPr="004068F6" w:rsidRDefault="00E335C9" w:rsidP="009420F5">
            <w:pPr>
              <w:numPr>
                <w:ilvl w:val="12"/>
                <w:numId w:val="0"/>
              </w:numPr>
              <w:tabs>
                <w:tab w:val="left" w:pos="-2268"/>
                <w:tab w:val="num" w:pos="567"/>
              </w:tabs>
              <w:suppressAutoHyphens/>
              <w:ind w:left="426" w:hanging="426"/>
              <w:rPr>
                <w:rFonts w:cs="Arial"/>
                <w:spacing w:val="-3"/>
                <w:sz w:val="20"/>
                <w:szCs w:val="20"/>
              </w:rPr>
            </w:pPr>
          </w:p>
        </w:tc>
        <w:tc>
          <w:tcPr>
            <w:tcW w:w="6095" w:type="dxa"/>
            <w:vAlign w:val="center"/>
          </w:tcPr>
          <w:p w14:paraId="436A97A8" w14:textId="54771D48"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Soporte de la estructura socioeconómica (industria, infraestructura, recreación y estética)</w:t>
            </w:r>
            <w:r w:rsidR="00ED17E7" w:rsidRPr="004068F6">
              <w:rPr>
                <w:rFonts w:cs="Arial"/>
                <w:spacing w:val="-3"/>
                <w:sz w:val="20"/>
                <w:szCs w:val="20"/>
              </w:rPr>
              <w:t>.</w:t>
            </w:r>
          </w:p>
          <w:p w14:paraId="6B48E730" w14:textId="78AB3CCD"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Soporte y mantenimiento de la biodiversidad</w:t>
            </w:r>
            <w:r w:rsidR="00ED17E7" w:rsidRPr="004068F6">
              <w:rPr>
                <w:rFonts w:cs="Arial"/>
                <w:spacing w:val="-3"/>
                <w:sz w:val="20"/>
                <w:szCs w:val="20"/>
              </w:rPr>
              <w:t>.</w:t>
            </w:r>
          </w:p>
          <w:p w14:paraId="66DA1080" w14:textId="5C488905"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Valor cultural, conservación del patrimonio histórico (conservación arqueológica, paleontológica, rasgos de la historia humana y del planeta)</w:t>
            </w:r>
            <w:r w:rsidR="00ED17E7" w:rsidRPr="004068F6">
              <w:rPr>
                <w:rFonts w:cs="Arial"/>
                <w:spacing w:val="-3"/>
                <w:sz w:val="20"/>
                <w:szCs w:val="20"/>
              </w:rPr>
              <w:t>.</w:t>
            </w:r>
          </w:p>
        </w:tc>
      </w:tr>
      <w:tr w:rsidR="00E335C9" w:rsidRPr="004068F6" w14:paraId="0C3D81BE" w14:textId="77777777" w:rsidTr="00863458">
        <w:trPr>
          <w:trHeight w:val="1417"/>
          <w:jc w:val="center"/>
        </w:trPr>
        <w:tc>
          <w:tcPr>
            <w:tcW w:w="4248" w:type="dxa"/>
            <w:vAlign w:val="center"/>
          </w:tcPr>
          <w:p w14:paraId="6809FB38" w14:textId="0E7BF811" w:rsidR="00E335C9" w:rsidRPr="004068F6" w:rsidRDefault="00B80000"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 xml:space="preserve">Cantidad </w:t>
            </w:r>
            <w:r w:rsidR="00E335C9" w:rsidRPr="004068F6">
              <w:rPr>
                <w:rFonts w:cs="Arial"/>
                <w:spacing w:val="-3"/>
                <w:sz w:val="20"/>
                <w:szCs w:val="20"/>
              </w:rPr>
              <w:t xml:space="preserve">de </w:t>
            </w:r>
            <w:r w:rsidRPr="004068F6">
              <w:rPr>
                <w:rFonts w:cs="Arial"/>
                <w:spacing w:val="-3"/>
                <w:sz w:val="20"/>
                <w:szCs w:val="20"/>
              </w:rPr>
              <w:t>h</w:t>
            </w:r>
            <w:r w:rsidR="00E335C9" w:rsidRPr="004068F6">
              <w:rPr>
                <w:rFonts w:cs="Arial"/>
                <w:spacing w:val="-3"/>
                <w:sz w:val="20"/>
                <w:szCs w:val="20"/>
              </w:rPr>
              <w:t xml:space="preserve">ongos y </w:t>
            </w:r>
            <w:r w:rsidRPr="004068F6">
              <w:rPr>
                <w:rFonts w:cs="Arial"/>
                <w:spacing w:val="-3"/>
                <w:sz w:val="20"/>
                <w:szCs w:val="20"/>
              </w:rPr>
              <w:t>b</w:t>
            </w:r>
            <w:r w:rsidR="00E335C9" w:rsidRPr="004068F6">
              <w:rPr>
                <w:rFonts w:cs="Arial"/>
                <w:spacing w:val="-3"/>
                <w:sz w:val="20"/>
                <w:szCs w:val="20"/>
              </w:rPr>
              <w:t>acterias</w:t>
            </w:r>
            <w:r w:rsidR="00ED17E7" w:rsidRPr="004068F6">
              <w:rPr>
                <w:rFonts w:cs="Arial"/>
                <w:spacing w:val="-3"/>
                <w:sz w:val="20"/>
                <w:szCs w:val="20"/>
              </w:rPr>
              <w:t>.</w:t>
            </w:r>
          </w:p>
          <w:p w14:paraId="61F793D8" w14:textId="5F60E510" w:rsidR="00E335C9" w:rsidRPr="004068F6" w:rsidRDefault="00B80000"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 xml:space="preserve">Cantidad </w:t>
            </w:r>
            <w:r w:rsidR="00E335C9" w:rsidRPr="004068F6">
              <w:rPr>
                <w:rFonts w:cs="Arial"/>
                <w:spacing w:val="-3"/>
                <w:sz w:val="20"/>
                <w:szCs w:val="20"/>
              </w:rPr>
              <w:t>de actinomicetos</w:t>
            </w:r>
            <w:r w:rsidR="00ED17E7" w:rsidRPr="004068F6">
              <w:rPr>
                <w:rFonts w:cs="Arial"/>
                <w:spacing w:val="-3"/>
                <w:sz w:val="20"/>
                <w:szCs w:val="20"/>
              </w:rPr>
              <w:t>.</w:t>
            </w:r>
          </w:p>
          <w:p w14:paraId="71EFB303" w14:textId="34F4F3E6" w:rsidR="00E335C9" w:rsidRPr="00127BD4" w:rsidRDefault="00B80000" w:rsidP="009420F5">
            <w:pPr>
              <w:numPr>
                <w:ilvl w:val="0"/>
                <w:numId w:val="480"/>
              </w:numPr>
              <w:tabs>
                <w:tab w:val="left" w:pos="-2268"/>
              </w:tabs>
              <w:suppressAutoHyphens/>
              <w:ind w:left="426" w:hanging="426"/>
              <w:rPr>
                <w:rFonts w:cs="Arial"/>
                <w:spacing w:val="-3"/>
                <w:sz w:val="20"/>
                <w:szCs w:val="20"/>
              </w:rPr>
            </w:pPr>
            <w:r w:rsidRPr="00127BD4">
              <w:rPr>
                <w:rFonts w:cs="Arial"/>
                <w:spacing w:val="-3"/>
                <w:sz w:val="20"/>
                <w:szCs w:val="20"/>
              </w:rPr>
              <w:t xml:space="preserve">Cantidad </w:t>
            </w:r>
            <w:r w:rsidR="00E335C9" w:rsidRPr="00127BD4">
              <w:rPr>
                <w:rFonts w:cs="Arial"/>
                <w:spacing w:val="-3"/>
                <w:sz w:val="20"/>
                <w:szCs w:val="20"/>
              </w:rPr>
              <w:t>de microorganismos solubilizadores de fosfato</w:t>
            </w:r>
            <w:r w:rsidR="00ED17E7" w:rsidRPr="00127BD4">
              <w:rPr>
                <w:rFonts w:cs="Arial"/>
                <w:spacing w:val="-3"/>
                <w:sz w:val="20"/>
                <w:szCs w:val="20"/>
              </w:rPr>
              <w:t>.</w:t>
            </w:r>
          </w:p>
          <w:p w14:paraId="13B3695D" w14:textId="3B25DFB1" w:rsidR="00E335C9" w:rsidRPr="004068F6" w:rsidRDefault="00B80000"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 xml:space="preserve">Cantidad </w:t>
            </w:r>
            <w:r w:rsidR="00E335C9" w:rsidRPr="004068F6">
              <w:rPr>
                <w:rFonts w:cs="Arial"/>
                <w:spacing w:val="-3"/>
                <w:sz w:val="20"/>
                <w:szCs w:val="20"/>
              </w:rPr>
              <w:t>de microorganismos celulolíticos aerobios</w:t>
            </w:r>
            <w:r w:rsidR="00ED17E7" w:rsidRPr="004068F6">
              <w:rPr>
                <w:rFonts w:cs="Arial"/>
                <w:spacing w:val="-3"/>
                <w:sz w:val="20"/>
                <w:szCs w:val="20"/>
              </w:rPr>
              <w:t>.</w:t>
            </w:r>
          </w:p>
        </w:tc>
        <w:tc>
          <w:tcPr>
            <w:tcW w:w="6095" w:type="dxa"/>
            <w:vAlign w:val="center"/>
          </w:tcPr>
          <w:p w14:paraId="64DDBE38" w14:textId="010C2A36"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Reserva de genes base de la biodiversidad</w:t>
            </w:r>
            <w:r w:rsidR="00B80000" w:rsidRPr="004068F6">
              <w:rPr>
                <w:rFonts w:cs="Arial"/>
                <w:spacing w:val="-3"/>
                <w:sz w:val="20"/>
                <w:szCs w:val="20"/>
              </w:rPr>
              <w:t>.</w:t>
            </w:r>
          </w:p>
          <w:p w14:paraId="29D75558" w14:textId="65BD6B17"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Hábitat fauna y flora</w:t>
            </w:r>
            <w:r w:rsidR="00ED17E7" w:rsidRPr="004068F6">
              <w:rPr>
                <w:rFonts w:cs="Arial"/>
                <w:spacing w:val="-3"/>
                <w:sz w:val="20"/>
                <w:szCs w:val="20"/>
              </w:rPr>
              <w:t>.</w:t>
            </w:r>
          </w:p>
          <w:p w14:paraId="44F1D321" w14:textId="2EC24F3D" w:rsidR="00E335C9" w:rsidRPr="004068F6" w:rsidRDefault="00E335C9" w:rsidP="009420F5">
            <w:pPr>
              <w:numPr>
                <w:ilvl w:val="0"/>
                <w:numId w:val="480"/>
              </w:numPr>
              <w:tabs>
                <w:tab w:val="left" w:pos="-2268"/>
              </w:tabs>
              <w:suppressAutoHyphens/>
              <w:ind w:left="426" w:hanging="426"/>
              <w:rPr>
                <w:rFonts w:cs="Arial"/>
                <w:spacing w:val="-3"/>
                <w:sz w:val="20"/>
                <w:szCs w:val="20"/>
              </w:rPr>
            </w:pPr>
            <w:r w:rsidRPr="004068F6">
              <w:rPr>
                <w:rFonts w:cs="Arial"/>
                <w:spacing w:val="-3"/>
                <w:sz w:val="20"/>
                <w:szCs w:val="20"/>
              </w:rPr>
              <w:t>Conservación de la biodiversidad</w:t>
            </w:r>
            <w:r w:rsidR="00ED17E7" w:rsidRPr="004068F6">
              <w:rPr>
                <w:rFonts w:cs="Arial"/>
                <w:spacing w:val="-3"/>
                <w:sz w:val="20"/>
                <w:szCs w:val="20"/>
              </w:rPr>
              <w:t>.</w:t>
            </w:r>
          </w:p>
        </w:tc>
      </w:tr>
    </w:tbl>
    <w:p w14:paraId="2EA706F4" w14:textId="77777777" w:rsidR="00E335C9" w:rsidRPr="004068F6" w:rsidRDefault="00E335C9" w:rsidP="00E335C9">
      <w:pPr>
        <w:numPr>
          <w:ilvl w:val="12"/>
          <w:numId w:val="0"/>
        </w:numPr>
        <w:tabs>
          <w:tab w:val="left" w:pos="-2268"/>
        </w:tabs>
        <w:suppressAutoHyphens/>
        <w:rPr>
          <w:rFonts w:cs="Arial"/>
          <w:spacing w:val="-3"/>
        </w:rPr>
      </w:pPr>
    </w:p>
    <w:p w14:paraId="2339C435" w14:textId="497E9856" w:rsidR="00E335C9" w:rsidRPr="004068F6" w:rsidRDefault="00FA35FD" w:rsidP="00E335C9">
      <w:pPr>
        <w:numPr>
          <w:ilvl w:val="12"/>
          <w:numId w:val="0"/>
        </w:numPr>
        <w:tabs>
          <w:tab w:val="left" w:pos="-2268"/>
        </w:tabs>
        <w:suppressAutoHyphens/>
        <w:rPr>
          <w:rFonts w:cs="Arial"/>
          <w:spacing w:val="-3"/>
        </w:rPr>
      </w:pPr>
      <w:r w:rsidRPr="004068F6">
        <w:rPr>
          <w:rFonts w:cs="Arial"/>
          <w:spacing w:val="-3"/>
        </w:rPr>
        <w:t xml:space="preserve">Ya que </w:t>
      </w:r>
      <w:r w:rsidR="00E335C9" w:rsidRPr="004068F6">
        <w:rPr>
          <w:rFonts w:cs="Arial"/>
          <w:spacing w:val="-3"/>
        </w:rPr>
        <w:t>el suelo juega un papel fundamental en la captura y reserva de carbono orgánico</w:t>
      </w:r>
      <w:r w:rsidRPr="004068F6">
        <w:rPr>
          <w:rFonts w:cs="Arial"/>
          <w:spacing w:val="-3"/>
        </w:rPr>
        <w:t xml:space="preserve">, las estimaciones del servicio de regulación climática relacionadas con gases efecto invernadero, en particular de carbono, deben incorporar </w:t>
      </w:r>
      <w:r w:rsidR="00E335C9" w:rsidRPr="004068F6">
        <w:rPr>
          <w:rFonts w:cs="Arial"/>
          <w:spacing w:val="-3"/>
        </w:rPr>
        <w:t>el contenido de carbono orgánico en los diferentes horizontes de</w:t>
      </w:r>
      <w:r w:rsidRPr="004068F6">
        <w:rPr>
          <w:rFonts w:cs="Arial"/>
          <w:spacing w:val="-3"/>
        </w:rPr>
        <w:t>l</w:t>
      </w:r>
      <w:r w:rsidR="00E335C9" w:rsidRPr="004068F6">
        <w:rPr>
          <w:rFonts w:cs="Arial"/>
          <w:spacing w:val="-3"/>
        </w:rPr>
        <w:t xml:space="preserve"> suelo </w:t>
      </w:r>
      <w:r w:rsidRPr="004068F6">
        <w:rPr>
          <w:rFonts w:cs="Arial"/>
          <w:spacing w:val="-3"/>
        </w:rPr>
        <w:t xml:space="preserve">(de acuerdo con </w:t>
      </w:r>
      <w:r w:rsidR="00E335C9" w:rsidRPr="004068F6">
        <w:rPr>
          <w:rFonts w:cs="Arial"/>
          <w:spacing w:val="-3"/>
        </w:rPr>
        <w:t>la metodología del IPCC</w:t>
      </w:r>
      <w:r w:rsidRPr="004068F6">
        <w:rPr>
          <w:rFonts w:cs="Arial"/>
          <w:spacing w:val="-3"/>
        </w:rPr>
        <w:t xml:space="preserve">, </w:t>
      </w:r>
      <w:r w:rsidR="00E335C9" w:rsidRPr="004068F6">
        <w:rPr>
          <w:rFonts w:cs="Arial"/>
          <w:spacing w:val="-3"/>
        </w:rPr>
        <w:t>hasta 50 c</w:t>
      </w:r>
      <w:r w:rsidR="009467EC" w:rsidRPr="004068F6">
        <w:rPr>
          <w:rFonts w:cs="Arial"/>
          <w:spacing w:val="-3"/>
        </w:rPr>
        <w:t xml:space="preserve">entímetros </w:t>
      </w:r>
      <w:r w:rsidR="00E335C9" w:rsidRPr="004068F6">
        <w:rPr>
          <w:rFonts w:cs="Arial"/>
          <w:spacing w:val="-3"/>
        </w:rPr>
        <w:t>de profundidad) y la densidad aparente.</w:t>
      </w:r>
    </w:p>
    <w:p w14:paraId="7A28F5A6" w14:textId="77777777" w:rsidR="00E335C9" w:rsidRPr="004068F6" w:rsidRDefault="00E335C9" w:rsidP="00E335C9">
      <w:pPr>
        <w:numPr>
          <w:ilvl w:val="12"/>
          <w:numId w:val="0"/>
        </w:numPr>
        <w:tabs>
          <w:tab w:val="left" w:pos="-2268"/>
        </w:tabs>
        <w:suppressAutoHyphens/>
        <w:rPr>
          <w:rFonts w:cs="Arial"/>
          <w:spacing w:val="-3"/>
        </w:rPr>
      </w:pPr>
    </w:p>
    <w:p w14:paraId="1064DDB0" w14:textId="45763E18" w:rsidR="00E335C9" w:rsidRPr="004068F6" w:rsidRDefault="00E335C9" w:rsidP="00E335C9">
      <w:pPr>
        <w:numPr>
          <w:ilvl w:val="12"/>
          <w:numId w:val="0"/>
        </w:numPr>
        <w:tabs>
          <w:tab w:val="left" w:pos="-2268"/>
        </w:tabs>
        <w:suppressAutoHyphens/>
        <w:rPr>
          <w:rFonts w:cs="Arial"/>
          <w:spacing w:val="-3"/>
        </w:rPr>
      </w:pPr>
      <w:r w:rsidRPr="004068F6">
        <w:rPr>
          <w:rFonts w:cs="Arial"/>
          <w:spacing w:val="-3"/>
        </w:rPr>
        <w:t xml:space="preserve">Para el servicio de regulación de sedimentos o control de erosión, </w:t>
      </w:r>
      <w:r w:rsidR="00B977EA" w:rsidRPr="004068F6">
        <w:rPr>
          <w:rFonts w:cs="Arial"/>
          <w:spacing w:val="-3"/>
        </w:rPr>
        <w:t xml:space="preserve">es posible emplear </w:t>
      </w:r>
      <w:r w:rsidRPr="004068F6">
        <w:rPr>
          <w:rFonts w:cs="Arial"/>
          <w:spacing w:val="-3"/>
        </w:rPr>
        <w:t xml:space="preserve">la metodología de la </w:t>
      </w:r>
      <w:r w:rsidR="00BA762C" w:rsidRPr="004068F6">
        <w:rPr>
          <w:rFonts w:cs="Arial"/>
          <w:spacing w:val="-3"/>
        </w:rPr>
        <w:t>e</w:t>
      </w:r>
      <w:r w:rsidRPr="004068F6">
        <w:rPr>
          <w:rFonts w:cs="Arial"/>
          <w:spacing w:val="-3"/>
        </w:rPr>
        <w:t>cuación universal de pérdida de suelo (</w:t>
      </w:r>
      <w:r w:rsidR="00B977EA" w:rsidRPr="004068F6">
        <w:rPr>
          <w:rFonts w:cs="Arial"/>
          <w:spacing w:val="-3"/>
        </w:rPr>
        <w:t xml:space="preserve">USLE, por sus </w:t>
      </w:r>
      <w:r w:rsidRPr="004068F6">
        <w:rPr>
          <w:rFonts w:cs="Arial"/>
          <w:spacing w:val="-3"/>
        </w:rPr>
        <w:t>siglas en inglés), donde la erodabilidad de los suelos (factor K de la ecuación) se calcul</w:t>
      </w:r>
      <w:r w:rsidR="00916D00" w:rsidRPr="004068F6">
        <w:rPr>
          <w:rFonts w:cs="Arial"/>
          <w:spacing w:val="-3"/>
        </w:rPr>
        <w:t>a</w:t>
      </w:r>
      <w:r w:rsidRPr="004068F6">
        <w:rPr>
          <w:rFonts w:cs="Arial"/>
          <w:spacing w:val="-3"/>
        </w:rPr>
        <w:t xml:space="preserve"> por medio de sus diferentes características de textura, materia orgánica, estructura e infiltración.</w:t>
      </w:r>
    </w:p>
    <w:p w14:paraId="705518A5" w14:textId="77777777" w:rsidR="00E335C9" w:rsidRPr="004068F6" w:rsidRDefault="00E335C9" w:rsidP="009420F5"/>
    <w:p w14:paraId="49C54E9D" w14:textId="0AF4E873" w:rsidR="00970A40" w:rsidRPr="00466E26" w:rsidRDefault="00970A40" w:rsidP="000A1E20">
      <w:pPr>
        <w:pStyle w:val="Ttulo3"/>
      </w:pPr>
      <w:bookmarkStart w:id="3074" w:name="_Ref229834913"/>
      <w:bookmarkStart w:id="3075" w:name="_Ref230010641"/>
      <w:bookmarkStart w:id="3076" w:name="_Toc230879668"/>
      <w:r w:rsidRPr="00466E26">
        <w:t xml:space="preserve">Información de los </w:t>
      </w:r>
      <w:r w:rsidR="00A75AD1" w:rsidRPr="00466E26">
        <w:t>SSEE</w:t>
      </w:r>
      <w:r w:rsidRPr="00466E26">
        <w:t xml:space="preserve"> a presentar</w:t>
      </w:r>
      <w:bookmarkEnd w:id="3074"/>
      <w:bookmarkEnd w:id="3075"/>
      <w:bookmarkEnd w:id="3076"/>
    </w:p>
    <w:p w14:paraId="25830AF5" w14:textId="77777777" w:rsidR="00970A40" w:rsidRPr="004068F6" w:rsidRDefault="00970A40" w:rsidP="00970A40">
      <w:pPr>
        <w:tabs>
          <w:tab w:val="left" w:pos="-2268"/>
        </w:tabs>
        <w:suppressAutoHyphens/>
        <w:rPr>
          <w:spacing w:val="-3"/>
        </w:rPr>
      </w:pPr>
    </w:p>
    <w:p w14:paraId="087C2561" w14:textId="6883E477" w:rsidR="00B5495D" w:rsidRPr="004068F6" w:rsidRDefault="00B5495D" w:rsidP="00970A40">
      <w:pPr>
        <w:tabs>
          <w:tab w:val="left" w:pos="-2268"/>
        </w:tabs>
        <w:suppressAutoHyphens/>
        <w:rPr>
          <w:spacing w:val="-3"/>
        </w:rPr>
      </w:pPr>
      <w:r w:rsidRPr="004068F6">
        <w:rPr>
          <w:spacing w:val="-3"/>
        </w:rPr>
        <w:t xml:space="preserve">A partir de la caracterización de los </w:t>
      </w:r>
      <w:r w:rsidR="00A75AD1" w:rsidRPr="004068F6">
        <w:rPr>
          <w:spacing w:val="-3"/>
        </w:rPr>
        <w:t>SSEE</w:t>
      </w:r>
      <w:r w:rsidRPr="004068F6">
        <w:rPr>
          <w:spacing w:val="-3"/>
        </w:rPr>
        <w:t xml:space="preserve"> es necesario presentar</w:t>
      </w:r>
      <w:r w:rsidR="002F4A49" w:rsidRPr="004068F6">
        <w:rPr>
          <w:spacing w:val="-3"/>
        </w:rPr>
        <w:t xml:space="preserve"> </w:t>
      </w:r>
      <w:r w:rsidR="007D7C43" w:rsidRPr="004068F6">
        <w:rPr>
          <w:spacing w:val="-3"/>
        </w:rPr>
        <w:t>la siguiente información:</w:t>
      </w:r>
    </w:p>
    <w:p w14:paraId="3B83EFC6" w14:textId="77777777" w:rsidR="007D7C43" w:rsidRPr="004068F6" w:rsidRDefault="007D7C43" w:rsidP="00970A40">
      <w:pPr>
        <w:tabs>
          <w:tab w:val="left" w:pos="-2268"/>
        </w:tabs>
        <w:suppressAutoHyphens/>
        <w:rPr>
          <w:spacing w:val="-3"/>
        </w:rPr>
      </w:pPr>
    </w:p>
    <w:p w14:paraId="7CF879FE" w14:textId="1D86EA80" w:rsidR="0000248C" w:rsidRPr="0000248C" w:rsidRDefault="00970A40" w:rsidP="00127BD4">
      <w:pPr>
        <w:numPr>
          <w:ilvl w:val="0"/>
          <w:numId w:val="70"/>
        </w:numPr>
        <w:tabs>
          <w:tab w:val="left" w:pos="-2268"/>
        </w:tabs>
        <w:suppressAutoHyphens/>
        <w:ind w:left="567" w:hanging="567"/>
        <w:rPr>
          <w:spacing w:val="-3"/>
        </w:rPr>
      </w:pPr>
      <w:r w:rsidRPr="004068F6">
        <w:rPr>
          <w:spacing w:val="-3"/>
        </w:rPr>
        <w:lastRenderedPageBreak/>
        <w:t xml:space="preserve">Estado de los </w:t>
      </w:r>
      <w:r w:rsidR="00A75AD1" w:rsidRPr="004068F6">
        <w:rPr>
          <w:spacing w:val="-3"/>
        </w:rPr>
        <w:t>SSEE</w:t>
      </w:r>
      <w:r w:rsidR="00F22CBC">
        <w:rPr>
          <w:spacing w:val="-3"/>
        </w:rPr>
        <w:t xml:space="preserve">. </w:t>
      </w:r>
      <w:r w:rsidR="004E39ED">
        <w:rPr>
          <w:spacing w:val="-3"/>
        </w:rPr>
        <w:t>Para ello, s</w:t>
      </w:r>
      <w:r w:rsidR="00F22CBC">
        <w:rPr>
          <w:spacing w:val="-3"/>
        </w:rPr>
        <w:t>e debe</w:t>
      </w:r>
      <w:r w:rsidR="004E39ED">
        <w:rPr>
          <w:spacing w:val="-3"/>
        </w:rPr>
        <w:t>n</w:t>
      </w:r>
      <w:r w:rsidRPr="004068F6">
        <w:rPr>
          <w:spacing w:val="-3"/>
        </w:rPr>
        <w:t xml:space="preserve"> defini</w:t>
      </w:r>
      <w:r w:rsidR="0030028E">
        <w:rPr>
          <w:spacing w:val="-3"/>
        </w:rPr>
        <w:t xml:space="preserve">r </w:t>
      </w:r>
      <w:r w:rsidRPr="004068F6">
        <w:rPr>
          <w:spacing w:val="-3"/>
        </w:rPr>
        <w:t xml:space="preserve">y </w:t>
      </w:r>
      <w:r w:rsidRPr="004068F6">
        <w:rPr>
          <w:rFonts w:cs="Arial"/>
          <w:spacing w:val="-3"/>
        </w:rPr>
        <w:t>medi</w:t>
      </w:r>
      <w:r w:rsidR="0030028E">
        <w:rPr>
          <w:rFonts w:cs="Arial"/>
          <w:spacing w:val="-3"/>
        </w:rPr>
        <w:t xml:space="preserve">r </w:t>
      </w:r>
      <w:r w:rsidRPr="004068F6">
        <w:rPr>
          <w:spacing w:val="-3"/>
        </w:rPr>
        <w:t>indicadores (cuantitativos y cualitativos</w:t>
      </w:r>
      <w:r w:rsidRPr="004068F6">
        <w:rPr>
          <w:rFonts w:cs="Arial"/>
          <w:spacing w:val="-3"/>
        </w:rPr>
        <w:t>)</w:t>
      </w:r>
      <w:r w:rsidR="004E39ED">
        <w:rPr>
          <w:rFonts w:cs="Arial"/>
          <w:spacing w:val="-3"/>
        </w:rPr>
        <w:t xml:space="preserve"> y, de acuerdo con </w:t>
      </w:r>
      <w:r w:rsidR="00A64E5C">
        <w:rPr>
          <w:rFonts w:cs="Arial"/>
          <w:spacing w:val="-3"/>
        </w:rPr>
        <w:t xml:space="preserve">los resultados de </w:t>
      </w:r>
      <w:r w:rsidR="00190B63">
        <w:rPr>
          <w:rFonts w:cs="Arial"/>
          <w:spacing w:val="-3"/>
        </w:rPr>
        <w:t xml:space="preserve">tal </w:t>
      </w:r>
      <w:r w:rsidR="00A64E5C">
        <w:rPr>
          <w:rFonts w:cs="Arial"/>
          <w:spacing w:val="-3"/>
        </w:rPr>
        <w:t xml:space="preserve">medición, </w:t>
      </w:r>
      <w:r w:rsidR="00190B63">
        <w:rPr>
          <w:rFonts w:cs="Arial"/>
          <w:spacing w:val="-3"/>
        </w:rPr>
        <w:t xml:space="preserve">se debe </w:t>
      </w:r>
      <w:r w:rsidR="00206AFB">
        <w:rPr>
          <w:rFonts w:cs="Arial"/>
          <w:spacing w:val="-3"/>
        </w:rPr>
        <w:t>clasifica</w:t>
      </w:r>
      <w:r w:rsidR="00190B63">
        <w:rPr>
          <w:rFonts w:cs="Arial"/>
          <w:spacing w:val="-3"/>
        </w:rPr>
        <w:t xml:space="preserve">r el estado de los SSEE </w:t>
      </w:r>
      <w:r w:rsidR="0000248C" w:rsidRPr="0000248C">
        <w:rPr>
          <w:spacing w:val="-3"/>
        </w:rPr>
        <w:t xml:space="preserve">en </w:t>
      </w:r>
      <w:r w:rsidR="002637BA">
        <w:rPr>
          <w:spacing w:val="-3"/>
        </w:rPr>
        <w:t xml:space="preserve">las </w:t>
      </w:r>
      <w:r w:rsidR="0000248C" w:rsidRPr="0000248C">
        <w:rPr>
          <w:spacing w:val="-3"/>
        </w:rPr>
        <w:t xml:space="preserve">categorías </w:t>
      </w:r>
      <w:r w:rsidR="00E8581B">
        <w:rPr>
          <w:spacing w:val="-3"/>
        </w:rPr>
        <w:t>Bueno</w:t>
      </w:r>
      <w:r w:rsidR="0000248C" w:rsidRPr="0000248C">
        <w:rPr>
          <w:spacing w:val="-3"/>
        </w:rPr>
        <w:t xml:space="preserve">, </w:t>
      </w:r>
      <w:r w:rsidR="00E8581B">
        <w:rPr>
          <w:spacing w:val="-3"/>
        </w:rPr>
        <w:t>Regular</w:t>
      </w:r>
      <w:r w:rsidR="0000248C" w:rsidRPr="0000248C">
        <w:rPr>
          <w:spacing w:val="-3"/>
        </w:rPr>
        <w:t xml:space="preserve"> o </w:t>
      </w:r>
      <w:r w:rsidR="00E8581B">
        <w:rPr>
          <w:spacing w:val="-3"/>
        </w:rPr>
        <w:t xml:space="preserve">Malo </w:t>
      </w:r>
      <w:r w:rsidR="002637BA">
        <w:rPr>
          <w:spacing w:val="-3"/>
        </w:rPr>
        <w:t xml:space="preserve">según su </w:t>
      </w:r>
      <w:r w:rsidR="0000248C" w:rsidRPr="0000248C">
        <w:rPr>
          <w:spacing w:val="-3"/>
        </w:rPr>
        <w:t>disponibilidad (suficiencia) y permanencia (continuidad/estabilidad)</w:t>
      </w:r>
      <w:r w:rsidR="001D4E29">
        <w:rPr>
          <w:spacing w:val="-3"/>
        </w:rPr>
        <w:t xml:space="preserve"> </w:t>
      </w:r>
      <w:r w:rsidR="001D4E29" w:rsidRPr="004068F6">
        <w:rPr>
          <w:spacing w:val="-3"/>
        </w:rPr>
        <w:t>de acuerdo con las siguientes consideraciones:</w:t>
      </w:r>
    </w:p>
    <w:p w14:paraId="636D0C84" w14:textId="77777777" w:rsidR="0000248C" w:rsidRPr="0000248C" w:rsidRDefault="0000248C" w:rsidP="0000248C">
      <w:pPr>
        <w:tabs>
          <w:tab w:val="left" w:pos="-2268"/>
        </w:tabs>
        <w:suppressAutoHyphens/>
        <w:rPr>
          <w:spacing w:val="-3"/>
        </w:rPr>
      </w:pPr>
    </w:p>
    <w:p w14:paraId="69861EE9" w14:textId="1250EA36" w:rsidR="0000248C" w:rsidRPr="0000248C" w:rsidRDefault="001D4E29" w:rsidP="00127BD4">
      <w:pPr>
        <w:numPr>
          <w:ilvl w:val="0"/>
          <w:numId w:val="37"/>
        </w:numPr>
        <w:tabs>
          <w:tab w:val="left" w:pos="-2268"/>
        </w:tabs>
        <w:suppressAutoHyphens/>
        <w:ind w:left="1134" w:hanging="567"/>
        <w:rPr>
          <w:spacing w:val="-3"/>
        </w:rPr>
      </w:pPr>
      <w:r>
        <w:rPr>
          <w:spacing w:val="-3"/>
        </w:rPr>
        <w:t>Bueno</w:t>
      </w:r>
      <w:r w:rsidR="0000248C" w:rsidRPr="0000248C">
        <w:rPr>
          <w:spacing w:val="-3"/>
        </w:rPr>
        <w:t xml:space="preserve">: el valor del indicador es óptimo ya que el </w:t>
      </w:r>
      <w:r w:rsidR="005B6BB7">
        <w:rPr>
          <w:spacing w:val="-3"/>
        </w:rPr>
        <w:t>servicio ecosistémico</w:t>
      </w:r>
      <w:r w:rsidR="005B6BB7" w:rsidRPr="0000248C">
        <w:rPr>
          <w:spacing w:val="-3"/>
        </w:rPr>
        <w:t xml:space="preserve"> </w:t>
      </w:r>
      <w:r w:rsidR="0000248C" w:rsidRPr="0000248C">
        <w:rPr>
          <w:spacing w:val="-3"/>
        </w:rPr>
        <w:t>está disponible permanente para todos los beneficiarios.</w:t>
      </w:r>
    </w:p>
    <w:p w14:paraId="7273E091" w14:textId="77777777" w:rsidR="00CA3CBC" w:rsidRDefault="00CA3CBC" w:rsidP="00127BD4">
      <w:pPr>
        <w:tabs>
          <w:tab w:val="left" w:pos="-2268"/>
        </w:tabs>
        <w:suppressAutoHyphens/>
        <w:rPr>
          <w:spacing w:val="-3"/>
        </w:rPr>
      </w:pPr>
    </w:p>
    <w:p w14:paraId="595CAD41" w14:textId="4535D5C9" w:rsidR="0000248C" w:rsidRPr="0000248C" w:rsidRDefault="00200E05" w:rsidP="00127BD4">
      <w:pPr>
        <w:numPr>
          <w:ilvl w:val="0"/>
          <w:numId w:val="37"/>
        </w:numPr>
        <w:tabs>
          <w:tab w:val="left" w:pos="-2268"/>
        </w:tabs>
        <w:suppressAutoHyphens/>
        <w:ind w:left="1134" w:hanging="567"/>
        <w:rPr>
          <w:spacing w:val="-3"/>
        </w:rPr>
      </w:pPr>
      <w:r>
        <w:rPr>
          <w:spacing w:val="-3"/>
        </w:rPr>
        <w:t>Regular</w:t>
      </w:r>
      <w:r w:rsidR="0000248C" w:rsidRPr="0000248C">
        <w:rPr>
          <w:spacing w:val="-3"/>
        </w:rPr>
        <w:t xml:space="preserve">: el valor del indicador es aceptable ya que el </w:t>
      </w:r>
      <w:r w:rsidR="005B6BB7">
        <w:rPr>
          <w:spacing w:val="-3"/>
        </w:rPr>
        <w:t>servicio ecosistémico</w:t>
      </w:r>
      <w:r w:rsidR="005B6BB7" w:rsidRPr="0000248C" w:rsidDel="005B6BB7">
        <w:rPr>
          <w:spacing w:val="-3"/>
        </w:rPr>
        <w:t xml:space="preserve"> </w:t>
      </w:r>
      <w:r w:rsidR="0000248C" w:rsidRPr="0000248C">
        <w:rPr>
          <w:spacing w:val="-3"/>
        </w:rPr>
        <w:t>está disponible de manera permanente pero no para todos los beneficiarios o</w:t>
      </w:r>
      <w:r w:rsidR="00C91768">
        <w:rPr>
          <w:spacing w:val="-3"/>
        </w:rPr>
        <w:t>,</w:t>
      </w:r>
      <w:r w:rsidR="0000248C" w:rsidRPr="0000248C">
        <w:rPr>
          <w:spacing w:val="-3"/>
        </w:rPr>
        <w:t xml:space="preserve"> está disponible para todos los </w:t>
      </w:r>
      <w:r w:rsidRPr="0000248C">
        <w:rPr>
          <w:spacing w:val="-3"/>
        </w:rPr>
        <w:t>beneficiarios,</w:t>
      </w:r>
      <w:r w:rsidR="0000248C" w:rsidRPr="0000248C">
        <w:rPr>
          <w:spacing w:val="-3"/>
        </w:rPr>
        <w:t xml:space="preserve"> pero no es permanente.</w:t>
      </w:r>
    </w:p>
    <w:p w14:paraId="26C3D680" w14:textId="77777777" w:rsidR="00CA3CBC" w:rsidRDefault="00CA3CBC" w:rsidP="00127BD4">
      <w:pPr>
        <w:tabs>
          <w:tab w:val="left" w:pos="-2268"/>
        </w:tabs>
        <w:suppressAutoHyphens/>
        <w:rPr>
          <w:spacing w:val="-3"/>
        </w:rPr>
      </w:pPr>
    </w:p>
    <w:p w14:paraId="11D3E1DA" w14:textId="3D575464" w:rsidR="007163B8" w:rsidRDefault="00200E05" w:rsidP="00127BD4">
      <w:pPr>
        <w:numPr>
          <w:ilvl w:val="0"/>
          <w:numId w:val="37"/>
        </w:numPr>
        <w:tabs>
          <w:tab w:val="left" w:pos="-2268"/>
        </w:tabs>
        <w:suppressAutoHyphens/>
        <w:ind w:left="1134" w:hanging="567"/>
        <w:rPr>
          <w:spacing w:val="-3"/>
        </w:rPr>
      </w:pPr>
      <w:r>
        <w:rPr>
          <w:spacing w:val="-3"/>
        </w:rPr>
        <w:t>Malo</w:t>
      </w:r>
      <w:r w:rsidR="0000248C" w:rsidRPr="0000248C">
        <w:rPr>
          <w:spacing w:val="-3"/>
        </w:rPr>
        <w:t xml:space="preserve">: el valor del indicador es deficiente ya que el </w:t>
      </w:r>
      <w:r w:rsidR="0011613C">
        <w:rPr>
          <w:spacing w:val="-3"/>
        </w:rPr>
        <w:t>servicio ecosistémico</w:t>
      </w:r>
      <w:r w:rsidR="0011613C" w:rsidRPr="0000248C" w:rsidDel="0011613C">
        <w:rPr>
          <w:spacing w:val="-3"/>
        </w:rPr>
        <w:t xml:space="preserve"> </w:t>
      </w:r>
      <w:r w:rsidR="0000248C" w:rsidRPr="0000248C">
        <w:rPr>
          <w:spacing w:val="-3"/>
        </w:rPr>
        <w:t>no está disponible para todos los beneficiarios y no es permanente.</w:t>
      </w:r>
    </w:p>
    <w:p w14:paraId="112251F2" w14:textId="77777777" w:rsidR="007163B8" w:rsidRPr="004068F6" w:rsidRDefault="007163B8" w:rsidP="00E8581B">
      <w:pPr>
        <w:tabs>
          <w:tab w:val="left" w:pos="-2268"/>
        </w:tabs>
        <w:suppressAutoHyphens/>
        <w:rPr>
          <w:spacing w:val="-3"/>
        </w:rPr>
      </w:pPr>
    </w:p>
    <w:p w14:paraId="187717D5" w14:textId="0C6C6818" w:rsidR="00970A40" w:rsidRDefault="000912AE" w:rsidP="00970A40">
      <w:pPr>
        <w:numPr>
          <w:ilvl w:val="0"/>
          <w:numId w:val="70"/>
        </w:numPr>
        <w:tabs>
          <w:tab w:val="left" w:pos="-2268"/>
        </w:tabs>
        <w:suppressAutoHyphens/>
        <w:ind w:left="567" w:hanging="567"/>
        <w:rPr>
          <w:spacing w:val="-3"/>
        </w:rPr>
      </w:pPr>
      <w:r>
        <w:rPr>
          <w:spacing w:val="-3"/>
        </w:rPr>
        <w:t>C</w:t>
      </w:r>
      <w:r w:rsidR="00970A40" w:rsidRPr="004068F6">
        <w:rPr>
          <w:spacing w:val="-3"/>
        </w:rPr>
        <w:t xml:space="preserve">antidad de beneficiarios directos de los </w:t>
      </w:r>
      <w:r w:rsidR="00A75AD1" w:rsidRPr="004068F6">
        <w:rPr>
          <w:spacing w:val="-3"/>
        </w:rPr>
        <w:t>SSEE</w:t>
      </w:r>
      <w:r w:rsidR="006F110F">
        <w:rPr>
          <w:spacing w:val="-3"/>
        </w:rPr>
        <w:t>.</w:t>
      </w:r>
    </w:p>
    <w:p w14:paraId="268B0701" w14:textId="77777777" w:rsidR="005F26FC" w:rsidRDefault="005F26FC" w:rsidP="00E64F04">
      <w:pPr>
        <w:tabs>
          <w:tab w:val="left" w:pos="-2268"/>
        </w:tabs>
        <w:suppressAutoHyphens/>
        <w:rPr>
          <w:spacing w:val="-3"/>
        </w:rPr>
      </w:pPr>
    </w:p>
    <w:p w14:paraId="2F3B1B9F" w14:textId="7259B148" w:rsidR="005F26FC" w:rsidRPr="005F26FC" w:rsidRDefault="005F26FC" w:rsidP="005F26FC">
      <w:pPr>
        <w:numPr>
          <w:ilvl w:val="0"/>
          <w:numId w:val="70"/>
        </w:numPr>
        <w:tabs>
          <w:tab w:val="left" w:pos="-2268"/>
        </w:tabs>
        <w:suppressAutoHyphens/>
        <w:ind w:left="567" w:hanging="567"/>
        <w:rPr>
          <w:spacing w:val="-3"/>
        </w:rPr>
      </w:pPr>
      <w:r w:rsidRPr="004068F6">
        <w:rPr>
          <w:spacing w:val="-3"/>
        </w:rPr>
        <w:t>Tipo de beneficiarios directos de los SSEE</w:t>
      </w:r>
      <w:r>
        <w:rPr>
          <w:spacing w:val="-3"/>
        </w:rPr>
        <w:t xml:space="preserve"> empleando las categorías que resulten de la aplicación del enfoque diferencial (p. ej. pueblos étnicos, mujeres rurales, p</w:t>
      </w:r>
      <w:r w:rsidRPr="00ED34F5">
        <w:rPr>
          <w:spacing w:val="-3"/>
        </w:rPr>
        <w:t>ersonas con discapacidad</w:t>
      </w:r>
      <w:r>
        <w:rPr>
          <w:spacing w:val="-3"/>
        </w:rPr>
        <w:t>,</w:t>
      </w:r>
      <w:r w:rsidRPr="00ED34F5">
        <w:rPr>
          <w:spacing w:val="-3"/>
        </w:rPr>
        <w:t xml:space="preserve"> </w:t>
      </w:r>
      <w:r w:rsidRPr="002450C4">
        <w:rPr>
          <w:spacing w:val="-3"/>
        </w:rPr>
        <w:t>sujetos de especial protección constitucional</w:t>
      </w:r>
      <w:r>
        <w:rPr>
          <w:spacing w:val="-3"/>
        </w:rPr>
        <w:t>).</w:t>
      </w:r>
    </w:p>
    <w:p w14:paraId="2BD9FF53" w14:textId="77777777" w:rsidR="00970A40" w:rsidRPr="004068F6" w:rsidRDefault="00970A40" w:rsidP="00970A40">
      <w:pPr>
        <w:tabs>
          <w:tab w:val="left" w:pos="-2268"/>
        </w:tabs>
        <w:suppressAutoHyphens/>
        <w:rPr>
          <w:spacing w:val="-3"/>
        </w:rPr>
      </w:pPr>
    </w:p>
    <w:p w14:paraId="6524EECA" w14:textId="35E22AF9" w:rsidR="00970A40" w:rsidRPr="004068F6" w:rsidRDefault="00970A40" w:rsidP="00970A40">
      <w:pPr>
        <w:numPr>
          <w:ilvl w:val="0"/>
          <w:numId w:val="70"/>
        </w:numPr>
        <w:tabs>
          <w:tab w:val="left" w:pos="-2268"/>
        </w:tabs>
        <w:suppressAutoHyphens/>
        <w:ind w:left="567" w:hanging="567"/>
        <w:rPr>
          <w:spacing w:val="-3"/>
        </w:rPr>
      </w:pPr>
      <w:r w:rsidRPr="004068F6">
        <w:rPr>
          <w:spacing w:val="-3"/>
        </w:rPr>
        <w:t xml:space="preserve">Dependencia estimada de </w:t>
      </w:r>
      <w:r w:rsidR="00BA159B">
        <w:rPr>
          <w:spacing w:val="-3"/>
        </w:rPr>
        <w:t xml:space="preserve">los tipos de beneficiarios </w:t>
      </w:r>
      <w:r w:rsidRPr="004068F6">
        <w:rPr>
          <w:spacing w:val="-3"/>
        </w:rPr>
        <w:t xml:space="preserve">a los </w:t>
      </w:r>
      <w:r w:rsidR="00A75AD1" w:rsidRPr="004068F6">
        <w:rPr>
          <w:spacing w:val="-3"/>
        </w:rPr>
        <w:t>SSEE</w:t>
      </w:r>
      <w:r w:rsidRPr="004068F6">
        <w:rPr>
          <w:spacing w:val="-3"/>
        </w:rPr>
        <w:t xml:space="preserve"> y clasificación de dicha dependencia en categorías (alta, media o baja), de acuerdo con las siguientes consideraciones:</w:t>
      </w:r>
    </w:p>
    <w:p w14:paraId="54E99AD7" w14:textId="77777777" w:rsidR="00970A40" w:rsidRPr="004068F6" w:rsidRDefault="00970A40" w:rsidP="00970A40">
      <w:pPr>
        <w:tabs>
          <w:tab w:val="left" w:pos="-2268"/>
        </w:tabs>
        <w:suppressAutoHyphens/>
        <w:rPr>
          <w:spacing w:val="-3"/>
        </w:rPr>
      </w:pPr>
    </w:p>
    <w:p w14:paraId="20E613AF" w14:textId="77777777" w:rsidR="00970A40" w:rsidRPr="004068F6" w:rsidRDefault="00970A40" w:rsidP="00970A40">
      <w:pPr>
        <w:numPr>
          <w:ilvl w:val="0"/>
          <w:numId w:val="37"/>
        </w:numPr>
        <w:tabs>
          <w:tab w:val="left" w:pos="-2268"/>
        </w:tabs>
        <w:suppressAutoHyphens/>
        <w:ind w:left="1134" w:hanging="567"/>
        <w:rPr>
          <w:spacing w:val="-3"/>
        </w:rPr>
      </w:pPr>
      <w:r w:rsidRPr="004068F6">
        <w:rPr>
          <w:spacing w:val="-3"/>
        </w:rPr>
        <w:t>Dependencia alta: los medios de subsistencia de la comunidad dependen directamente del servicio ecosistémico.</w:t>
      </w:r>
    </w:p>
    <w:p w14:paraId="358DD16E" w14:textId="77777777" w:rsidR="00970A40" w:rsidRPr="004068F6" w:rsidRDefault="00970A40" w:rsidP="00970A40">
      <w:pPr>
        <w:tabs>
          <w:tab w:val="left" w:pos="-2268"/>
        </w:tabs>
        <w:suppressAutoHyphens/>
        <w:rPr>
          <w:spacing w:val="-3"/>
        </w:rPr>
      </w:pPr>
    </w:p>
    <w:p w14:paraId="1CA82CEC" w14:textId="77777777" w:rsidR="00970A40" w:rsidRPr="004068F6" w:rsidRDefault="00970A40" w:rsidP="00970A40">
      <w:pPr>
        <w:numPr>
          <w:ilvl w:val="0"/>
          <w:numId w:val="37"/>
        </w:numPr>
        <w:tabs>
          <w:tab w:val="left" w:pos="-2268"/>
        </w:tabs>
        <w:suppressAutoHyphens/>
        <w:ind w:left="1134" w:hanging="567"/>
        <w:rPr>
          <w:spacing w:val="-3"/>
        </w:rPr>
      </w:pPr>
      <w:r w:rsidRPr="004068F6">
        <w:rPr>
          <w:spacing w:val="-3"/>
        </w:rPr>
        <w:t>Dependencia media: la comunidad se beneficia del servicio ecosistémico, pero su subsistencia no depende directamente del mismo.</w:t>
      </w:r>
    </w:p>
    <w:p w14:paraId="7AD029E8" w14:textId="77777777" w:rsidR="00970A40" w:rsidRPr="004068F6" w:rsidRDefault="00970A40" w:rsidP="00970A40">
      <w:pPr>
        <w:tabs>
          <w:tab w:val="left" w:pos="-2268"/>
        </w:tabs>
        <w:suppressAutoHyphens/>
        <w:rPr>
          <w:spacing w:val="-3"/>
        </w:rPr>
      </w:pPr>
    </w:p>
    <w:p w14:paraId="1EE490C2" w14:textId="66A96433" w:rsidR="00970A40" w:rsidRPr="004068F6" w:rsidRDefault="00970A40" w:rsidP="00970A40">
      <w:pPr>
        <w:numPr>
          <w:ilvl w:val="0"/>
          <w:numId w:val="37"/>
        </w:numPr>
        <w:tabs>
          <w:tab w:val="left" w:pos="-2268"/>
        </w:tabs>
        <w:suppressAutoHyphens/>
        <w:ind w:left="1134" w:hanging="567"/>
        <w:rPr>
          <w:spacing w:val="-3"/>
        </w:rPr>
      </w:pPr>
      <w:r w:rsidRPr="004068F6">
        <w:rPr>
          <w:spacing w:val="-3"/>
        </w:rPr>
        <w:t xml:space="preserve">Dependencia baja: la comunidad se beneficia del servicio ecosistémico, pero su subsistencia no depende directa ni indirectamente del mismo; existen múltiples </w:t>
      </w:r>
      <w:r w:rsidR="004A21E7" w:rsidRPr="004068F6">
        <w:rPr>
          <w:spacing w:val="-3"/>
        </w:rPr>
        <w:t>alternativas</w:t>
      </w:r>
      <w:r w:rsidRPr="004068F6">
        <w:rPr>
          <w:spacing w:val="-3"/>
        </w:rPr>
        <w:t xml:space="preserve"> para el aprovechamiento del servicio ecosistémico.</w:t>
      </w:r>
    </w:p>
    <w:p w14:paraId="41923679" w14:textId="77777777" w:rsidR="00970A40" w:rsidRPr="004068F6" w:rsidRDefault="00970A40" w:rsidP="00970A40">
      <w:pPr>
        <w:tabs>
          <w:tab w:val="left" w:pos="-2268"/>
        </w:tabs>
        <w:suppressAutoHyphens/>
        <w:rPr>
          <w:spacing w:val="-3"/>
        </w:rPr>
      </w:pPr>
    </w:p>
    <w:p w14:paraId="21408B30" w14:textId="756DFB33" w:rsidR="00970A40" w:rsidRPr="004068F6" w:rsidRDefault="00D2164B" w:rsidP="00970A40">
      <w:pPr>
        <w:numPr>
          <w:ilvl w:val="0"/>
          <w:numId w:val="70"/>
        </w:numPr>
        <w:tabs>
          <w:tab w:val="left" w:pos="-2268"/>
        </w:tabs>
        <w:suppressAutoHyphens/>
        <w:ind w:left="567" w:hanging="567"/>
        <w:rPr>
          <w:spacing w:val="-3"/>
        </w:rPr>
      </w:pPr>
      <w:r w:rsidRPr="004068F6">
        <w:rPr>
          <w:spacing w:val="-3"/>
        </w:rPr>
        <w:t>D</w:t>
      </w:r>
      <w:r w:rsidR="00970A40" w:rsidRPr="004068F6">
        <w:rPr>
          <w:spacing w:val="-3"/>
        </w:rPr>
        <w:t xml:space="preserve">inámica de los </w:t>
      </w:r>
      <w:r w:rsidR="00A75AD1" w:rsidRPr="004068F6">
        <w:rPr>
          <w:spacing w:val="-3"/>
        </w:rPr>
        <w:t>SSEE</w:t>
      </w:r>
      <w:r w:rsidR="00970A40" w:rsidRPr="004068F6">
        <w:rPr>
          <w:spacing w:val="-3"/>
        </w:rPr>
        <w:t>:</w:t>
      </w:r>
    </w:p>
    <w:p w14:paraId="44287200" w14:textId="77777777" w:rsidR="00970A40" w:rsidRPr="004068F6" w:rsidRDefault="00970A40" w:rsidP="00970A40">
      <w:pPr>
        <w:tabs>
          <w:tab w:val="left" w:pos="-2268"/>
        </w:tabs>
        <w:suppressAutoHyphens/>
        <w:rPr>
          <w:spacing w:val="-3"/>
        </w:rPr>
      </w:pPr>
    </w:p>
    <w:p w14:paraId="5EAA415D" w14:textId="2B36AF71" w:rsidR="00970A40" w:rsidRPr="004068F6" w:rsidRDefault="00DF602C" w:rsidP="00970A40">
      <w:pPr>
        <w:numPr>
          <w:ilvl w:val="0"/>
          <w:numId w:val="37"/>
        </w:numPr>
        <w:tabs>
          <w:tab w:val="left" w:pos="-2268"/>
        </w:tabs>
        <w:suppressAutoHyphens/>
        <w:ind w:left="1134" w:hanging="567"/>
        <w:rPr>
          <w:spacing w:val="-3"/>
        </w:rPr>
      </w:pPr>
      <w:r w:rsidRPr="004068F6">
        <w:rPr>
          <w:spacing w:val="-3"/>
        </w:rPr>
        <w:t>E</w:t>
      </w:r>
      <w:r w:rsidR="00D2164B" w:rsidRPr="004068F6">
        <w:rPr>
          <w:spacing w:val="-3"/>
        </w:rPr>
        <w:t>stimación c</w:t>
      </w:r>
      <w:r w:rsidR="00970A40" w:rsidRPr="004068F6">
        <w:rPr>
          <w:spacing w:val="-3"/>
        </w:rPr>
        <w:t>uantitativa o cualitativa</w:t>
      </w:r>
      <w:r w:rsidR="00D2164B" w:rsidRPr="004068F6">
        <w:rPr>
          <w:spacing w:val="-3"/>
        </w:rPr>
        <w:t xml:space="preserve"> de</w:t>
      </w:r>
      <w:r w:rsidR="00970A40" w:rsidRPr="004068F6">
        <w:rPr>
          <w:spacing w:val="-3"/>
        </w:rPr>
        <w:t xml:space="preserve"> la tendencia </w:t>
      </w:r>
      <w:r w:rsidR="00970A40" w:rsidRPr="004068F6">
        <w:rPr>
          <w:rFonts w:cs="Arial"/>
          <w:spacing w:val="-3"/>
        </w:rPr>
        <w:t xml:space="preserve">del estado </w:t>
      </w:r>
      <w:r w:rsidR="00970A40" w:rsidRPr="004068F6">
        <w:rPr>
          <w:spacing w:val="-3"/>
        </w:rPr>
        <w:t xml:space="preserve">de los </w:t>
      </w:r>
      <w:r w:rsidR="00A75AD1" w:rsidRPr="004068F6">
        <w:rPr>
          <w:spacing w:val="-3"/>
        </w:rPr>
        <w:t>SSEE</w:t>
      </w:r>
      <w:r w:rsidR="00970A40" w:rsidRPr="004068F6">
        <w:rPr>
          <w:spacing w:val="-3"/>
        </w:rPr>
        <w:t xml:space="preserve"> de acuerdo con la forma en que se prevea </w:t>
      </w:r>
      <w:r w:rsidR="00970A40" w:rsidRPr="004068F6">
        <w:rPr>
          <w:rFonts w:cs="Arial"/>
          <w:spacing w:val="-3"/>
        </w:rPr>
        <w:t>evolucionen</w:t>
      </w:r>
      <w:r w:rsidR="00970A40" w:rsidRPr="004068F6">
        <w:rPr>
          <w:spacing w:val="-3"/>
        </w:rPr>
        <w:t xml:space="preserve"> en el escenario sin </w:t>
      </w:r>
      <w:r w:rsidR="00970A40" w:rsidRPr="004068F6">
        <w:rPr>
          <w:spacing w:val="-3"/>
        </w:rPr>
        <w:lastRenderedPageBreak/>
        <w:t xml:space="preserve">proyecto, teniendo en cuenta parámetros relacionados con ellos, así como las tendencias de desarrollo identificadas, </w:t>
      </w:r>
      <w:r w:rsidR="005C43EF" w:rsidRPr="004068F6">
        <w:rPr>
          <w:spacing w:val="-3"/>
        </w:rPr>
        <w:t xml:space="preserve">cambio climático, </w:t>
      </w:r>
      <w:r w:rsidR="00970A40" w:rsidRPr="004068F6">
        <w:rPr>
          <w:spacing w:val="-3"/>
        </w:rPr>
        <w:t xml:space="preserve">entre otras variables. Dicha estimación puede categorizarse de la siguiente forma para señalar la evolución prevista en los </w:t>
      </w:r>
      <w:r w:rsidR="00A75AD1" w:rsidRPr="004068F6">
        <w:rPr>
          <w:spacing w:val="-3"/>
        </w:rPr>
        <w:t>SSEE</w:t>
      </w:r>
      <w:r w:rsidR="00970A40" w:rsidRPr="004068F6">
        <w:rPr>
          <w:spacing w:val="-3"/>
        </w:rPr>
        <w:t>:</w:t>
      </w:r>
    </w:p>
    <w:p w14:paraId="449A850C" w14:textId="77777777" w:rsidR="00970A40" w:rsidRPr="004068F6" w:rsidRDefault="00970A40" w:rsidP="00970A40">
      <w:pPr>
        <w:tabs>
          <w:tab w:val="left" w:pos="-2268"/>
        </w:tabs>
        <w:suppressAutoHyphens/>
        <w:rPr>
          <w:spacing w:val="-3"/>
        </w:rPr>
      </w:pPr>
    </w:p>
    <w:p w14:paraId="76EEE54A" w14:textId="77777777" w:rsidR="00970A40" w:rsidRPr="004068F6" w:rsidRDefault="00970A40" w:rsidP="00970A40">
      <w:pPr>
        <w:numPr>
          <w:ilvl w:val="0"/>
          <w:numId w:val="72"/>
        </w:numPr>
        <w:tabs>
          <w:tab w:val="left" w:pos="-3828"/>
        </w:tabs>
        <w:suppressAutoHyphens/>
        <w:ind w:left="1701" w:hanging="567"/>
      </w:pPr>
      <w:r w:rsidRPr="004068F6">
        <w:t>Tendencia creciente: la proyección del comportamiento del estado del servicio ecosistémico es ascendente.</w:t>
      </w:r>
    </w:p>
    <w:p w14:paraId="771A4AA0" w14:textId="77777777" w:rsidR="00DF602C" w:rsidRPr="004068F6" w:rsidRDefault="00DF602C" w:rsidP="009420F5">
      <w:pPr>
        <w:tabs>
          <w:tab w:val="left" w:pos="-3828"/>
        </w:tabs>
        <w:suppressAutoHyphens/>
      </w:pPr>
    </w:p>
    <w:p w14:paraId="45DF301C" w14:textId="77777777" w:rsidR="00970A40" w:rsidRPr="004068F6" w:rsidRDefault="00970A40" w:rsidP="00970A40">
      <w:pPr>
        <w:numPr>
          <w:ilvl w:val="0"/>
          <w:numId w:val="72"/>
        </w:numPr>
        <w:tabs>
          <w:tab w:val="left" w:pos="-3828"/>
        </w:tabs>
        <w:suppressAutoHyphens/>
        <w:ind w:left="1701" w:hanging="567"/>
      </w:pPr>
      <w:r w:rsidRPr="004068F6">
        <w:t>Tendencia estable: la proyección del comportamiento del estado del servicio ecosistémico se mantiene en la magnitud registrada actualmente.</w:t>
      </w:r>
    </w:p>
    <w:p w14:paraId="46ADCF5D" w14:textId="77777777" w:rsidR="00DF602C" w:rsidRPr="004068F6" w:rsidRDefault="00DF602C" w:rsidP="009420F5">
      <w:pPr>
        <w:tabs>
          <w:tab w:val="left" w:pos="-3828"/>
        </w:tabs>
        <w:suppressAutoHyphens/>
      </w:pPr>
    </w:p>
    <w:p w14:paraId="1E456F20" w14:textId="77777777" w:rsidR="00970A40" w:rsidRPr="004068F6" w:rsidRDefault="00970A40" w:rsidP="00970A40">
      <w:pPr>
        <w:numPr>
          <w:ilvl w:val="0"/>
          <w:numId w:val="72"/>
        </w:numPr>
        <w:tabs>
          <w:tab w:val="left" w:pos="-3828"/>
        </w:tabs>
        <w:suppressAutoHyphens/>
        <w:ind w:left="1701" w:hanging="567"/>
      </w:pPr>
      <w:r w:rsidRPr="004068F6">
        <w:t>Tendencia decreciente: la proyección del comportamiento del estado del servicio ecosistémico es descendente.</w:t>
      </w:r>
    </w:p>
    <w:p w14:paraId="68C4E701" w14:textId="77777777" w:rsidR="00970A40" w:rsidRDefault="00970A40" w:rsidP="00970A40">
      <w:pPr>
        <w:tabs>
          <w:tab w:val="left" w:pos="-3828"/>
        </w:tabs>
        <w:suppressAutoHyphens/>
      </w:pPr>
    </w:p>
    <w:p w14:paraId="14F3975B" w14:textId="2F102CD4" w:rsidR="007A704E" w:rsidRPr="009D2871" w:rsidRDefault="00930753" w:rsidP="009D2871">
      <w:pPr>
        <w:numPr>
          <w:ilvl w:val="0"/>
          <w:numId w:val="70"/>
        </w:numPr>
        <w:tabs>
          <w:tab w:val="left" w:pos="-3828"/>
          <w:tab w:val="left" w:pos="-2268"/>
        </w:tabs>
        <w:suppressAutoHyphens/>
        <w:ind w:left="567" w:hanging="567"/>
        <w:rPr>
          <w:spacing w:val="-3"/>
        </w:rPr>
      </w:pPr>
      <w:r w:rsidRPr="00E64F04">
        <w:rPr>
          <w:spacing w:val="-3"/>
        </w:rPr>
        <w:t>Derecho</w:t>
      </w:r>
      <w:r w:rsidR="00536086" w:rsidRPr="00E64F04">
        <w:rPr>
          <w:spacing w:val="-3"/>
        </w:rPr>
        <w:t>s</w:t>
      </w:r>
      <w:r w:rsidRPr="00E64F04">
        <w:rPr>
          <w:spacing w:val="-3"/>
        </w:rPr>
        <w:t xml:space="preserve"> humano</w:t>
      </w:r>
      <w:r w:rsidR="00536086" w:rsidRPr="00E64F04">
        <w:rPr>
          <w:spacing w:val="-3"/>
        </w:rPr>
        <w:t>s</w:t>
      </w:r>
      <w:r w:rsidRPr="00E64F04">
        <w:rPr>
          <w:spacing w:val="-3"/>
        </w:rPr>
        <w:t xml:space="preserve"> </w:t>
      </w:r>
      <w:r w:rsidR="00780431" w:rsidRPr="00E64F04">
        <w:rPr>
          <w:spacing w:val="-3"/>
        </w:rPr>
        <w:t xml:space="preserve">con </w:t>
      </w:r>
      <w:r w:rsidR="00536086" w:rsidRPr="00E64F04">
        <w:rPr>
          <w:spacing w:val="-3"/>
        </w:rPr>
        <w:t xml:space="preserve">los </w:t>
      </w:r>
      <w:r w:rsidR="00780431" w:rsidRPr="00E64F04">
        <w:rPr>
          <w:spacing w:val="-3"/>
        </w:rPr>
        <w:t xml:space="preserve">que </w:t>
      </w:r>
      <w:r w:rsidR="0026557A" w:rsidRPr="00E64F04">
        <w:rPr>
          <w:spacing w:val="-3"/>
        </w:rPr>
        <w:t xml:space="preserve">los SSEE </w:t>
      </w:r>
      <w:r w:rsidR="00780431" w:rsidRPr="00E64F04">
        <w:rPr>
          <w:spacing w:val="-3"/>
        </w:rPr>
        <w:t>tiene</w:t>
      </w:r>
      <w:r w:rsidR="0026557A" w:rsidRPr="00E64F04">
        <w:rPr>
          <w:spacing w:val="-3"/>
        </w:rPr>
        <w:t>n</w:t>
      </w:r>
      <w:r w:rsidR="00780431" w:rsidRPr="00E64F04">
        <w:rPr>
          <w:spacing w:val="-3"/>
        </w:rPr>
        <w:t xml:space="preserve"> </w:t>
      </w:r>
      <w:r w:rsidR="00E575A5">
        <w:rPr>
          <w:spacing w:val="-3"/>
        </w:rPr>
        <w:t xml:space="preserve">los </w:t>
      </w:r>
      <w:r w:rsidR="00780431" w:rsidRPr="00E64F04">
        <w:rPr>
          <w:spacing w:val="-3"/>
        </w:rPr>
        <w:t>vínculo</w:t>
      </w:r>
      <w:r w:rsidR="00E575A5">
        <w:rPr>
          <w:spacing w:val="-3"/>
        </w:rPr>
        <w:t>s más fuertes y directos</w:t>
      </w:r>
      <w:r w:rsidR="00507517" w:rsidRPr="00FD5E97">
        <w:rPr>
          <w:spacing w:val="-3"/>
        </w:rPr>
        <w:t>.</w:t>
      </w:r>
      <w:r w:rsidR="008D13E3" w:rsidRPr="00E64F04">
        <w:rPr>
          <w:spacing w:val="-3"/>
        </w:rPr>
        <w:t xml:space="preserve"> </w:t>
      </w:r>
      <w:r w:rsidR="009D2871" w:rsidRPr="00FD5E97">
        <w:rPr>
          <w:spacing w:val="-3"/>
        </w:rPr>
        <w:t>Teniendo</w:t>
      </w:r>
      <w:r w:rsidR="009D2871" w:rsidRPr="009D2871">
        <w:rPr>
          <w:spacing w:val="-3"/>
        </w:rPr>
        <w:t xml:space="preserve"> en cuenta que los derechos </w:t>
      </w:r>
      <w:r w:rsidR="0032376C">
        <w:rPr>
          <w:spacing w:val="-3"/>
        </w:rPr>
        <w:t xml:space="preserve">humanos </w:t>
      </w:r>
      <w:r w:rsidR="009D2871" w:rsidRPr="009D2871">
        <w:rPr>
          <w:spacing w:val="-3"/>
        </w:rPr>
        <w:t>son interdependientes entre sí, que no hay derechos que sean más importantes que otros y que los proyectos generan impactos sobre los servicios ecosistémicos que sustentan el derecho a gozar de un ambiente sano y que, por tanto, afectan los derechos</w:t>
      </w:r>
      <w:r w:rsidR="00EB1639">
        <w:rPr>
          <w:spacing w:val="-3"/>
        </w:rPr>
        <w:t xml:space="preserve"> conexos</w:t>
      </w:r>
      <w:r w:rsidR="009D2871" w:rsidRPr="009D2871">
        <w:rPr>
          <w:spacing w:val="-3"/>
        </w:rPr>
        <w:t>, es necesario establecer para cada servicio ecosistémico, cuál es el derecho humano con el que existe el vínculo más fuerte</w:t>
      </w:r>
      <w:r w:rsidR="00D248B0">
        <w:rPr>
          <w:spacing w:val="-3"/>
        </w:rPr>
        <w:t xml:space="preserve"> y</w:t>
      </w:r>
      <w:r w:rsidR="009D2871" w:rsidRPr="009D2871">
        <w:rPr>
          <w:spacing w:val="-3"/>
        </w:rPr>
        <w:t xml:space="preserve"> directo</w:t>
      </w:r>
      <w:r w:rsidR="00DE08A5">
        <w:rPr>
          <w:spacing w:val="-3"/>
        </w:rPr>
        <w:t>.</w:t>
      </w:r>
    </w:p>
    <w:p w14:paraId="5EAE130D" w14:textId="77777777" w:rsidR="007A704E" w:rsidRPr="00E64F04" w:rsidRDefault="007A704E" w:rsidP="00E64F04">
      <w:pPr>
        <w:tabs>
          <w:tab w:val="left" w:pos="-3828"/>
          <w:tab w:val="left" w:pos="-2268"/>
        </w:tabs>
        <w:suppressAutoHyphens/>
      </w:pPr>
    </w:p>
    <w:p w14:paraId="33FED5F8" w14:textId="687ED260" w:rsidR="004E5098" w:rsidRDefault="00593932" w:rsidP="007A704E">
      <w:pPr>
        <w:tabs>
          <w:tab w:val="left" w:pos="-3828"/>
          <w:tab w:val="left" w:pos="-2268"/>
        </w:tabs>
        <w:suppressAutoHyphens/>
        <w:ind w:left="567"/>
      </w:pPr>
      <w:r>
        <w:t xml:space="preserve">Para </w:t>
      </w:r>
      <w:r w:rsidR="00352FC6">
        <w:t xml:space="preserve">determinar el </w:t>
      </w:r>
      <w:r w:rsidR="00084652">
        <w:t xml:space="preserve">derecho humano </w:t>
      </w:r>
      <w:r w:rsidR="0082658B" w:rsidRPr="00FC709B">
        <w:t xml:space="preserve">interdependiente </w:t>
      </w:r>
      <w:r w:rsidR="00911C42" w:rsidRPr="00FC709B">
        <w:rPr>
          <w:spacing w:val="-3"/>
        </w:rPr>
        <w:t>(</w:t>
      </w:r>
      <w:r w:rsidR="00911C42" w:rsidRPr="00FC709B">
        <w:rPr>
          <w:spacing w:val="-3"/>
        </w:rPr>
        <w:fldChar w:fldCharType="begin"/>
      </w:r>
      <w:r w:rsidR="00911C42" w:rsidRPr="00FC709B">
        <w:rPr>
          <w:spacing w:val="-3"/>
        </w:rPr>
        <w:instrText xml:space="preserve"> REF _Ref229825628 \h </w:instrText>
      </w:r>
      <w:r w:rsidR="00FC709B">
        <w:rPr>
          <w:spacing w:val="-3"/>
        </w:rPr>
        <w:instrText xml:space="preserve"> \* MERGEFORMAT </w:instrText>
      </w:r>
      <w:r w:rsidR="00911C42" w:rsidRPr="00FC709B">
        <w:rPr>
          <w:spacing w:val="-3"/>
        </w:rPr>
      </w:r>
      <w:r w:rsidR="00911C42" w:rsidRPr="00FC709B">
        <w:rPr>
          <w:spacing w:val="-3"/>
        </w:rPr>
        <w:fldChar w:fldCharType="separate"/>
      </w:r>
      <w:r w:rsidR="009C4A81" w:rsidRPr="003B65B0">
        <w:t xml:space="preserve">Tabla </w:t>
      </w:r>
      <w:r w:rsidR="009C4A81">
        <w:rPr>
          <w:noProof/>
        </w:rPr>
        <w:t>27</w:t>
      </w:r>
      <w:r w:rsidR="00911C42" w:rsidRPr="00FC709B">
        <w:rPr>
          <w:spacing w:val="-3"/>
        </w:rPr>
        <w:fldChar w:fldCharType="end"/>
      </w:r>
      <w:r w:rsidR="00911C42" w:rsidRPr="00FC709B">
        <w:rPr>
          <w:spacing w:val="-3"/>
        </w:rPr>
        <w:t>)</w:t>
      </w:r>
      <w:r w:rsidR="00911C42" w:rsidRPr="009D2871">
        <w:rPr>
          <w:spacing w:val="-3"/>
        </w:rPr>
        <w:t xml:space="preserve"> </w:t>
      </w:r>
      <w:r w:rsidR="00A27A31">
        <w:rPr>
          <w:spacing w:val="-3"/>
        </w:rPr>
        <w:t xml:space="preserve">que tiene el vínculo más </w:t>
      </w:r>
      <w:r w:rsidR="001C2BD3">
        <w:rPr>
          <w:spacing w:val="-3"/>
        </w:rPr>
        <w:t>fuerte</w:t>
      </w:r>
      <w:r w:rsidR="00D248B0">
        <w:rPr>
          <w:spacing w:val="-3"/>
        </w:rPr>
        <w:t xml:space="preserve"> y</w:t>
      </w:r>
      <w:r w:rsidR="001C2BD3">
        <w:rPr>
          <w:spacing w:val="-3"/>
        </w:rPr>
        <w:t xml:space="preserve"> directo con cada servicio ecosistémico identificado, se </w:t>
      </w:r>
      <w:r>
        <w:t>debe</w:t>
      </w:r>
      <w:r w:rsidR="004417B6">
        <w:t xml:space="preserve"> aplicar el siguiente procedimiento</w:t>
      </w:r>
      <w:r w:rsidR="004E5098">
        <w:t>:</w:t>
      </w:r>
    </w:p>
    <w:p w14:paraId="7070A341" w14:textId="77777777" w:rsidR="004E5098" w:rsidRDefault="004E5098">
      <w:pPr>
        <w:tabs>
          <w:tab w:val="left" w:pos="-3828"/>
          <w:tab w:val="left" w:pos="-2268"/>
        </w:tabs>
        <w:suppressAutoHyphens/>
      </w:pPr>
    </w:p>
    <w:p w14:paraId="2A645130" w14:textId="41A745F3" w:rsidR="00683986" w:rsidRPr="00E64F04" w:rsidRDefault="00707894" w:rsidP="00E64F04">
      <w:pPr>
        <w:numPr>
          <w:ilvl w:val="0"/>
          <w:numId w:val="37"/>
        </w:numPr>
        <w:tabs>
          <w:tab w:val="left" w:pos="-2268"/>
        </w:tabs>
        <w:suppressAutoHyphens/>
        <w:ind w:left="1134" w:hanging="567"/>
        <w:rPr>
          <w:spacing w:val="-3"/>
        </w:rPr>
      </w:pPr>
      <w:r>
        <w:rPr>
          <w:spacing w:val="-3"/>
        </w:rPr>
        <w:t xml:space="preserve">Determinar de forma teórica </w:t>
      </w:r>
      <w:r w:rsidR="00606E60">
        <w:rPr>
          <w:spacing w:val="-3"/>
        </w:rPr>
        <w:t>la</w:t>
      </w:r>
      <w:r w:rsidR="004F25A1">
        <w:rPr>
          <w:spacing w:val="-3"/>
        </w:rPr>
        <w:t>s</w:t>
      </w:r>
      <w:r w:rsidR="00606E60">
        <w:rPr>
          <w:spacing w:val="-3"/>
        </w:rPr>
        <w:t xml:space="preserve"> relaci</w:t>
      </w:r>
      <w:r w:rsidR="004F25A1">
        <w:rPr>
          <w:spacing w:val="-3"/>
        </w:rPr>
        <w:t xml:space="preserve">ones que existen </w:t>
      </w:r>
      <w:r w:rsidR="00606E60">
        <w:rPr>
          <w:spacing w:val="-3"/>
        </w:rPr>
        <w:t xml:space="preserve">entre </w:t>
      </w:r>
      <w:r w:rsidR="00606E60" w:rsidRPr="007A1EED">
        <w:rPr>
          <w:spacing w:val="-3"/>
        </w:rPr>
        <w:t>el servicio ecosistémico objeto de análisis</w:t>
      </w:r>
      <w:r w:rsidR="00606E60">
        <w:rPr>
          <w:spacing w:val="-3"/>
        </w:rPr>
        <w:t xml:space="preserve"> y los derechos humanos</w:t>
      </w:r>
      <w:r w:rsidR="004F25A1">
        <w:rPr>
          <w:spacing w:val="-3"/>
        </w:rPr>
        <w:t xml:space="preserve">; </w:t>
      </w:r>
      <w:r w:rsidR="00E436EE">
        <w:rPr>
          <w:spacing w:val="-3"/>
        </w:rPr>
        <w:t xml:space="preserve">para ello </w:t>
      </w:r>
      <w:r w:rsidR="004F25A1">
        <w:rPr>
          <w:spacing w:val="-3"/>
        </w:rPr>
        <w:t xml:space="preserve">puede resultar útil establecer </w:t>
      </w:r>
      <w:r w:rsidR="00683986" w:rsidRPr="00E64F04">
        <w:rPr>
          <w:spacing w:val="-3"/>
        </w:rPr>
        <w:t xml:space="preserve">qué derechos humanos se afectan </w:t>
      </w:r>
      <w:r w:rsidR="0052485C">
        <w:rPr>
          <w:spacing w:val="-3"/>
        </w:rPr>
        <w:t xml:space="preserve">dada la manifestación de </w:t>
      </w:r>
      <w:r w:rsidR="00683986" w:rsidRPr="00E64F04">
        <w:rPr>
          <w:spacing w:val="-3"/>
        </w:rPr>
        <w:t>un impacto sobre el servicio ecosistémico</w:t>
      </w:r>
      <w:r w:rsidR="00792C4E">
        <w:rPr>
          <w:spacing w:val="-3"/>
        </w:rPr>
        <w:t>.</w:t>
      </w:r>
    </w:p>
    <w:p w14:paraId="658B59EE" w14:textId="77777777" w:rsidR="00683986" w:rsidRPr="00E64F04" w:rsidRDefault="00683986" w:rsidP="00E64F04">
      <w:pPr>
        <w:tabs>
          <w:tab w:val="left" w:pos="-2268"/>
        </w:tabs>
        <w:suppressAutoHyphens/>
        <w:rPr>
          <w:spacing w:val="-3"/>
        </w:rPr>
      </w:pPr>
    </w:p>
    <w:p w14:paraId="2E05E1D8" w14:textId="4465186B" w:rsidR="00683986" w:rsidRPr="00E64F04" w:rsidRDefault="00683986" w:rsidP="00E64F04">
      <w:pPr>
        <w:numPr>
          <w:ilvl w:val="0"/>
          <w:numId w:val="37"/>
        </w:numPr>
        <w:tabs>
          <w:tab w:val="left" w:pos="-2268"/>
        </w:tabs>
        <w:suppressAutoHyphens/>
        <w:ind w:left="1134" w:hanging="567"/>
        <w:rPr>
          <w:spacing w:val="-3"/>
        </w:rPr>
      </w:pPr>
      <w:r w:rsidRPr="00E64F04">
        <w:rPr>
          <w:spacing w:val="-3"/>
        </w:rPr>
        <w:t xml:space="preserve">Determinar </w:t>
      </w:r>
      <w:r w:rsidR="00464744">
        <w:rPr>
          <w:spacing w:val="-3"/>
        </w:rPr>
        <w:t xml:space="preserve">de forma teórica </w:t>
      </w:r>
      <w:r w:rsidRPr="00E64F04">
        <w:rPr>
          <w:spacing w:val="-3"/>
        </w:rPr>
        <w:t>la</w:t>
      </w:r>
      <w:r w:rsidR="005D5C5C">
        <w:rPr>
          <w:spacing w:val="-3"/>
        </w:rPr>
        <w:t>s</w:t>
      </w:r>
      <w:r w:rsidRPr="00E64F04">
        <w:rPr>
          <w:spacing w:val="-3"/>
        </w:rPr>
        <w:t xml:space="preserve"> relaci</w:t>
      </w:r>
      <w:r w:rsidR="005D5C5C">
        <w:rPr>
          <w:spacing w:val="-3"/>
        </w:rPr>
        <w:t xml:space="preserve">ones </w:t>
      </w:r>
      <w:r w:rsidRPr="00E64F04">
        <w:rPr>
          <w:spacing w:val="-3"/>
        </w:rPr>
        <w:t xml:space="preserve">de </w:t>
      </w:r>
      <w:r w:rsidR="00A11CDC">
        <w:rPr>
          <w:spacing w:val="-3"/>
        </w:rPr>
        <w:t>inter</w:t>
      </w:r>
      <w:r w:rsidRPr="00E64F04">
        <w:rPr>
          <w:spacing w:val="-3"/>
        </w:rPr>
        <w:t>dependencia entre los derechos humanos afectados</w:t>
      </w:r>
      <w:r w:rsidR="00464744">
        <w:rPr>
          <w:spacing w:val="-3"/>
        </w:rPr>
        <w:t xml:space="preserve"> (identificados en el punto anterior)</w:t>
      </w:r>
      <w:r w:rsidR="005D5C5C">
        <w:rPr>
          <w:spacing w:val="-3"/>
        </w:rPr>
        <w:t>.</w:t>
      </w:r>
    </w:p>
    <w:p w14:paraId="32B5E1E7" w14:textId="77777777" w:rsidR="00683986" w:rsidRPr="00E64F04" w:rsidRDefault="00683986" w:rsidP="00E64F04">
      <w:pPr>
        <w:tabs>
          <w:tab w:val="left" w:pos="-2268"/>
        </w:tabs>
        <w:suppressAutoHyphens/>
        <w:rPr>
          <w:spacing w:val="-3"/>
        </w:rPr>
      </w:pPr>
    </w:p>
    <w:p w14:paraId="06A82ADF" w14:textId="03C1ECC3" w:rsidR="00683986" w:rsidRPr="00E64F04" w:rsidRDefault="00172FA7" w:rsidP="00E64F04">
      <w:pPr>
        <w:numPr>
          <w:ilvl w:val="0"/>
          <w:numId w:val="37"/>
        </w:numPr>
        <w:tabs>
          <w:tab w:val="left" w:pos="-2268"/>
        </w:tabs>
        <w:suppressAutoHyphens/>
        <w:ind w:left="1134" w:hanging="567"/>
        <w:rPr>
          <w:spacing w:val="-3"/>
        </w:rPr>
      </w:pPr>
      <w:r>
        <w:rPr>
          <w:spacing w:val="-3"/>
        </w:rPr>
        <w:t>D</w:t>
      </w:r>
      <w:r w:rsidR="00683986" w:rsidRPr="00E64F04">
        <w:rPr>
          <w:spacing w:val="-3"/>
        </w:rPr>
        <w:t xml:space="preserve">eterminar cuál es el derecho humano que </w:t>
      </w:r>
      <w:r w:rsidR="00A5551B">
        <w:rPr>
          <w:spacing w:val="-3"/>
        </w:rPr>
        <w:t xml:space="preserve">tiene la </w:t>
      </w:r>
      <w:r w:rsidR="00C63E14">
        <w:rPr>
          <w:spacing w:val="-3"/>
        </w:rPr>
        <w:t xml:space="preserve">relación más directa con </w:t>
      </w:r>
      <w:r w:rsidR="00683986" w:rsidRPr="00E64F04">
        <w:rPr>
          <w:spacing w:val="-3"/>
        </w:rPr>
        <w:t>el servicio ecosistémico</w:t>
      </w:r>
      <w:r w:rsidR="004B575C">
        <w:rPr>
          <w:spacing w:val="-3"/>
        </w:rPr>
        <w:t xml:space="preserve"> </w:t>
      </w:r>
      <w:r w:rsidR="00E74632">
        <w:rPr>
          <w:spacing w:val="-3"/>
        </w:rPr>
        <w:t xml:space="preserve">dadas las relaciones </w:t>
      </w:r>
      <w:r w:rsidR="00E35DF5">
        <w:rPr>
          <w:spacing w:val="-3"/>
        </w:rPr>
        <w:t>evidenciadas en los puntos anteriores (</w:t>
      </w:r>
      <w:r w:rsidR="008A15ED">
        <w:rPr>
          <w:spacing w:val="-3"/>
        </w:rPr>
        <w:t xml:space="preserve">relación </w:t>
      </w:r>
      <w:r w:rsidR="00E74632">
        <w:rPr>
          <w:spacing w:val="-3"/>
        </w:rPr>
        <w:t xml:space="preserve">servicios ecosistémicos </w:t>
      </w:r>
      <w:r w:rsidR="00E35DF5">
        <w:rPr>
          <w:spacing w:val="-3"/>
        </w:rPr>
        <w:t xml:space="preserve">- </w:t>
      </w:r>
      <w:r w:rsidR="00E74632">
        <w:rPr>
          <w:spacing w:val="-3"/>
        </w:rPr>
        <w:t>derechos humanos y</w:t>
      </w:r>
      <w:r w:rsidR="00E35DF5">
        <w:rPr>
          <w:spacing w:val="-3"/>
        </w:rPr>
        <w:t>;</w:t>
      </w:r>
      <w:r w:rsidR="00E74632">
        <w:rPr>
          <w:spacing w:val="-3"/>
        </w:rPr>
        <w:t xml:space="preserve"> </w:t>
      </w:r>
      <w:r w:rsidR="008A15ED">
        <w:rPr>
          <w:spacing w:val="-3"/>
        </w:rPr>
        <w:t xml:space="preserve">relación </w:t>
      </w:r>
      <w:r w:rsidR="00E35DF5">
        <w:rPr>
          <w:spacing w:val="-3"/>
        </w:rPr>
        <w:t xml:space="preserve">derechos humanos - </w:t>
      </w:r>
      <w:r w:rsidR="00E74632">
        <w:rPr>
          <w:spacing w:val="-3"/>
        </w:rPr>
        <w:t>derechos humanos</w:t>
      </w:r>
      <w:r w:rsidR="00E35DF5">
        <w:rPr>
          <w:spacing w:val="-3"/>
        </w:rPr>
        <w:t>)</w:t>
      </w:r>
      <w:r w:rsidR="005D78CD">
        <w:rPr>
          <w:spacing w:val="-3"/>
        </w:rPr>
        <w:t>.</w:t>
      </w:r>
    </w:p>
    <w:p w14:paraId="7C815937" w14:textId="77777777" w:rsidR="00683986" w:rsidRPr="00E64F04" w:rsidRDefault="00683986" w:rsidP="00E64F04">
      <w:pPr>
        <w:tabs>
          <w:tab w:val="left" w:pos="-2268"/>
        </w:tabs>
        <w:suppressAutoHyphens/>
        <w:rPr>
          <w:spacing w:val="-3"/>
        </w:rPr>
      </w:pPr>
    </w:p>
    <w:p w14:paraId="7856363B" w14:textId="27485BD3" w:rsidR="004417B6" w:rsidRDefault="005D78CD" w:rsidP="00E64F04">
      <w:pPr>
        <w:numPr>
          <w:ilvl w:val="0"/>
          <w:numId w:val="37"/>
        </w:numPr>
        <w:tabs>
          <w:tab w:val="left" w:pos="-3828"/>
          <w:tab w:val="left" w:pos="-2268"/>
        </w:tabs>
        <w:suppressAutoHyphens/>
        <w:ind w:left="1134" w:hanging="567"/>
      </w:pPr>
      <w:r w:rsidRPr="00052FC1">
        <w:rPr>
          <w:spacing w:val="-3"/>
        </w:rPr>
        <w:t>D</w:t>
      </w:r>
      <w:r w:rsidR="00683986" w:rsidRPr="00E64F04">
        <w:rPr>
          <w:spacing w:val="-3"/>
        </w:rPr>
        <w:t>eterminar</w:t>
      </w:r>
      <w:r w:rsidR="00BB3F21">
        <w:rPr>
          <w:spacing w:val="-3"/>
        </w:rPr>
        <w:t xml:space="preserve">, dadas </w:t>
      </w:r>
      <w:r w:rsidR="00207BB8">
        <w:rPr>
          <w:spacing w:val="-3"/>
        </w:rPr>
        <w:t xml:space="preserve">las relaciones teóricas </w:t>
      </w:r>
      <w:r w:rsidR="00FB1D05">
        <w:rPr>
          <w:spacing w:val="-3"/>
        </w:rPr>
        <w:t>entre el servicio ecosistémico y los derechos humanos</w:t>
      </w:r>
      <w:r w:rsidR="003B230B">
        <w:rPr>
          <w:spacing w:val="-3"/>
        </w:rPr>
        <w:t xml:space="preserve"> (identificadas en el punto anterior)</w:t>
      </w:r>
      <w:r w:rsidR="00290C75">
        <w:rPr>
          <w:spacing w:val="-3"/>
        </w:rPr>
        <w:t xml:space="preserve"> y </w:t>
      </w:r>
      <w:r w:rsidR="00BB3F21">
        <w:t xml:space="preserve">las </w:t>
      </w:r>
      <w:r w:rsidR="00BB3F21">
        <w:lastRenderedPageBreak/>
        <w:t>características del área de influencia,</w:t>
      </w:r>
      <w:r w:rsidRPr="00052FC1">
        <w:rPr>
          <w:spacing w:val="-3"/>
        </w:rPr>
        <w:t xml:space="preserve"> </w:t>
      </w:r>
      <w:r w:rsidR="00683986" w:rsidRPr="00E64F04">
        <w:rPr>
          <w:spacing w:val="-3"/>
        </w:rPr>
        <w:t>cu</w:t>
      </w:r>
      <w:r w:rsidR="00BB409B" w:rsidRPr="00052FC1">
        <w:rPr>
          <w:spacing w:val="-3"/>
        </w:rPr>
        <w:t>á</w:t>
      </w:r>
      <w:r w:rsidR="00683986" w:rsidRPr="00E64F04">
        <w:rPr>
          <w:spacing w:val="-3"/>
        </w:rPr>
        <w:t xml:space="preserve">l es el </w:t>
      </w:r>
      <w:r w:rsidRPr="00052FC1">
        <w:rPr>
          <w:spacing w:val="-3"/>
        </w:rPr>
        <w:t xml:space="preserve">derecho humano </w:t>
      </w:r>
      <w:r w:rsidR="00683986" w:rsidRPr="00E64F04">
        <w:rPr>
          <w:spacing w:val="-3"/>
        </w:rPr>
        <w:t xml:space="preserve">con el vínculo más fuerte </w:t>
      </w:r>
      <w:r w:rsidR="003A6441">
        <w:rPr>
          <w:spacing w:val="-3"/>
        </w:rPr>
        <w:t xml:space="preserve">y directo </w:t>
      </w:r>
      <w:r w:rsidR="00A5551B" w:rsidRPr="00052FC1">
        <w:rPr>
          <w:spacing w:val="-3"/>
        </w:rPr>
        <w:t>con el servicio ecosistémico objeto de análisis</w:t>
      </w:r>
      <w:r w:rsidR="007827D5">
        <w:rPr>
          <w:spacing w:val="-3"/>
        </w:rPr>
        <w:t xml:space="preserve">. Para ello, </w:t>
      </w:r>
      <w:r w:rsidR="000E513D">
        <w:rPr>
          <w:spacing w:val="-3"/>
        </w:rPr>
        <w:t xml:space="preserve">los resultados </w:t>
      </w:r>
      <w:r w:rsidR="00937EFA">
        <w:rPr>
          <w:spacing w:val="-3"/>
        </w:rPr>
        <w:t xml:space="preserve">obtenidos mediante </w:t>
      </w:r>
      <w:r w:rsidR="00D751D8">
        <w:rPr>
          <w:spacing w:val="-3"/>
        </w:rPr>
        <w:t xml:space="preserve">el desarrollo de los puntos </w:t>
      </w:r>
      <w:r w:rsidR="00937EFA">
        <w:rPr>
          <w:spacing w:val="-3"/>
        </w:rPr>
        <w:t>previ</w:t>
      </w:r>
      <w:r w:rsidR="00D751D8">
        <w:rPr>
          <w:spacing w:val="-3"/>
        </w:rPr>
        <w:t>o</w:t>
      </w:r>
      <w:r w:rsidR="00937EFA">
        <w:rPr>
          <w:spacing w:val="-3"/>
        </w:rPr>
        <w:t xml:space="preserve">s </w:t>
      </w:r>
      <w:r w:rsidR="007827D5">
        <w:rPr>
          <w:spacing w:val="-3"/>
        </w:rPr>
        <w:t>debe</w:t>
      </w:r>
      <w:r w:rsidR="00114A10">
        <w:rPr>
          <w:spacing w:val="-3"/>
        </w:rPr>
        <w:t>n</w:t>
      </w:r>
      <w:r w:rsidR="007827D5">
        <w:rPr>
          <w:spacing w:val="-3"/>
        </w:rPr>
        <w:t xml:space="preserve"> </w:t>
      </w:r>
      <w:r w:rsidR="00114A10">
        <w:rPr>
          <w:spacing w:val="-3"/>
        </w:rPr>
        <w:t xml:space="preserve">ser </w:t>
      </w:r>
      <w:r w:rsidR="007827D5">
        <w:rPr>
          <w:spacing w:val="-3"/>
        </w:rPr>
        <w:t>complementa</w:t>
      </w:r>
      <w:r w:rsidR="00114A10">
        <w:rPr>
          <w:spacing w:val="-3"/>
        </w:rPr>
        <w:t xml:space="preserve">dos </w:t>
      </w:r>
      <w:r w:rsidR="00AF5463">
        <w:rPr>
          <w:spacing w:val="-3"/>
        </w:rPr>
        <w:t xml:space="preserve">con el </w:t>
      </w:r>
      <w:r w:rsidR="00937EFA">
        <w:rPr>
          <w:spacing w:val="-3"/>
        </w:rPr>
        <w:t>an</w:t>
      </w:r>
      <w:r w:rsidR="00AF5463">
        <w:rPr>
          <w:spacing w:val="-3"/>
        </w:rPr>
        <w:t>álisis</w:t>
      </w:r>
      <w:r w:rsidR="00937EFA">
        <w:rPr>
          <w:spacing w:val="-3"/>
        </w:rPr>
        <w:t xml:space="preserve">, como </w:t>
      </w:r>
      <w:r w:rsidR="004417B6">
        <w:t>mínimo</w:t>
      </w:r>
      <w:r w:rsidR="00937EFA">
        <w:t>,</w:t>
      </w:r>
      <w:r w:rsidR="004417B6">
        <w:t xml:space="preserve"> </w:t>
      </w:r>
      <w:r w:rsidR="00AF5463">
        <w:t xml:space="preserve">de </w:t>
      </w:r>
      <w:r w:rsidR="004417B6">
        <w:t>las siguientes variables</w:t>
      </w:r>
      <w:r w:rsidR="00052FC1">
        <w:t>:</w:t>
      </w:r>
    </w:p>
    <w:p w14:paraId="39349ACA" w14:textId="77777777" w:rsidR="00683986" w:rsidRDefault="00683986" w:rsidP="00E64F04">
      <w:pPr>
        <w:tabs>
          <w:tab w:val="left" w:pos="-3828"/>
          <w:tab w:val="left" w:pos="-2268"/>
        </w:tabs>
        <w:suppressAutoHyphens/>
      </w:pPr>
    </w:p>
    <w:p w14:paraId="1DD9A9DF" w14:textId="57EF1E0D" w:rsidR="004E5098" w:rsidRPr="00E64F04" w:rsidRDefault="004E5098" w:rsidP="00E64F04">
      <w:pPr>
        <w:numPr>
          <w:ilvl w:val="0"/>
          <w:numId w:val="72"/>
        </w:numPr>
        <w:tabs>
          <w:tab w:val="left" w:pos="-3828"/>
        </w:tabs>
        <w:suppressAutoHyphens/>
        <w:ind w:left="1701" w:hanging="567"/>
      </w:pPr>
      <w:r w:rsidRPr="00E64F04">
        <w:t>E</w:t>
      </w:r>
      <w:r w:rsidR="00CF5CDC" w:rsidRPr="00052FC1">
        <w:t>stado del servicio ecosistémico (</w:t>
      </w:r>
      <w:r w:rsidRPr="00E64F04">
        <w:t xml:space="preserve">Bueno, Regular </w:t>
      </w:r>
      <w:r w:rsidR="00CF5CDC" w:rsidRPr="00052FC1">
        <w:t xml:space="preserve">y </w:t>
      </w:r>
      <w:r w:rsidR="000E63AE" w:rsidRPr="00E64F04">
        <w:t>Malo</w:t>
      </w:r>
      <w:r w:rsidR="00CF5CDC" w:rsidRPr="00052FC1">
        <w:t>)</w:t>
      </w:r>
      <w:r w:rsidR="001A69C9" w:rsidRPr="00E64F04">
        <w:t>.</w:t>
      </w:r>
    </w:p>
    <w:p w14:paraId="562EB0B2" w14:textId="77777777" w:rsidR="004E5098" w:rsidRPr="00E64F04" w:rsidRDefault="004E5098" w:rsidP="00E64F04">
      <w:pPr>
        <w:tabs>
          <w:tab w:val="left" w:pos="-3828"/>
        </w:tabs>
        <w:suppressAutoHyphens/>
      </w:pPr>
    </w:p>
    <w:p w14:paraId="4F0B894A" w14:textId="0B60B82F" w:rsidR="00416E57" w:rsidRPr="00E64F04" w:rsidRDefault="000E63AE" w:rsidP="00E64F04">
      <w:pPr>
        <w:numPr>
          <w:ilvl w:val="0"/>
          <w:numId w:val="72"/>
        </w:numPr>
        <w:tabs>
          <w:tab w:val="left" w:pos="-3828"/>
        </w:tabs>
        <w:suppressAutoHyphens/>
        <w:ind w:left="1701" w:hanging="567"/>
      </w:pPr>
      <w:r w:rsidRPr="00E64F04">
        <w:t>Dependencia estimada de las comunidades a</w:t>
      </w:r>
      <w:r w:rsidR="00E622F0" w:rsidRPr="00E64F04">
        <w:t xml:space="preserve">l servicio ecosistémico </w:t>
      </w:r>
      <w:r w:rsidR="00CF5CDC" w:rsidRPr="00052FC1">
        <w:t>(</w:t>
      </w:r>
      <w:r w:rsidR="00416E57" w:rsidRPr="00E64F04">
        <w:t>A</w:t>
      </w:r>
      <w:r w:rsidR="00CF5CDC" w:rsidRPr="00052FC1">
        <w:t>lta</w:t>
      </w:r>
      <w:r w:rsidR="00416E57" w:rsidRPr="00E64F04">
        <w:t>,</w:t>
      </w:r>
      <w:r w:rsidR="00CF5CDC" w:rsidRPr="00052FC1">
        <w:t xml:space="preserve"> </w:t>
      </w:r>
      <w:r w:rsidR="00416E57" w:rsidRPr="00E64F04">
        <w:t>M</w:t>
      </w:r>
      <w:r w:rsidR="00CF5CDC" w:rsidRPr="00052FC1">
        <w:t xml:space="preserve">edia y </w:t>
      </w:r>
      <w:r w:rsidR="00416E57" w:rsidRPr="00E64F04">
        <w:t>B</w:t>
      </w:r>
      <w:r w:rsidR="00CF5CDC" w:rsidRPr="00052FC1">
        <w:t>aja)</w:t>
      </w:r>
      <w:r w:rsidR="001A69C9" w:rsidRPr="00E64F04">
        <w:t>.</w:t>
      </w:r>
    </w:p>
    <w:p w14:paraId="089EB1C1" w14:textId="77777777" w:rsidR="00416E57" w:rsidRPr="00052FC1" w:rsidRDefault="00416E57" w:rsidP="00E64F04">
      <w:pPr>
        <w:tabs>
          <w:tab w:val="left" w:pos="-3828"/>
        </w:tabs>
        <w:suppressAutoHyphens/>
      </w:pPr>
    </w:p>
    <w:p w14:paraId="7C4EA02B" w14:textId="5D3D1EEF" w:rsidR="001A69C9" w:rsidRPr="00E64F04" w:rsidRDefault="00394D4E" w:rsidP="00E64F04">
      <w:pPr>
        <w:numPr>
          <w:ilvl w:val="0"/>
          <w:numId w:val="72"/>
        </w:numPr>
        <w:tabs>
          <w:tab w:val="left" w:pos="-3828"/>
        </w:tabs>
        <w:suppressAutoHyphens/>
        <w:ind w:left="1701" w:hanging="567"/>
      </w:pPr>
      <w:r w:rsidRPr="00E64F04">
        <w:t>C</w:t>
      </w:r>
      <w:r w:rsidR="008C0EFF" w:rsidRPr="00052FC1">
        <w:t xml:space="preserve">antidad </w:t>
      </w:r>
      <w:r w:rsidR="00CF5CDC" w:rsidRPr="00052FC1">
        <w:t xml:space="preserve">de beneficiarios </w:t>
      </w:r>
      <w:r w:rsidR="00D72E58" w:rsidRPr="00E64F04">
        <w:t>directos de</w:t>
      </w:r>
      <w:r w:rsidR="005F6CEC" w:rsidRPr="00E64F04">
        <w:t>l servicio ecosistémico</w:t>
      </w:r>
      <w:r w:rsidR="001A69C9" w:rsidRPr="00E64F04">
        <w:t>.</w:t>
      </w:r>
    </w:p>
    <w:p w14:paraId="2CFF8C1F" w14:textId="77777777" w:rsidR="00394D4E" w:rsidRPr="00052FC1" w:rsidRDefault="00394D4E" w:rsidP="00E64F04">
      <w:pPr>
        <w:tabs>
          <w:tab w:val="left" w:pos="-3828"/>
        </w:tabs>
        <w:suppressAutoHyphens/>
      </w:pPr>
    </w:p>
    <w:p w14:paraId="4CE5F547" w14:textId="5FA25128" w:rsidR="00394D4E" w:rsidRPr="00E64F04" w:rsidRDefault="00394D4E" w:rsidP="00E64F04">
      <w:pPr>
        <w:numPr>
          <w:ilvl w:val="0"/>
          <w:numId w:val="72"/>
        </w:numPr>
        <w:tabs>
          <w:tab w:val="left" w:pos="-3828"/>
        </w:tabs>
        <w:suppressAutoHyphens/>
        <w:ind w:left="1701" w:hanging="567"/>
      </w:pPr>
      <w:r w:rsidRPr="00E64F04">
        <w:t>Tipo de beneficiarios directos de</w:t>
      </w:r>
      <w:r w:rsidR="005F6CEC" w:rsidRPr="00E64F04">
        <w:t>l servicio ecosistémico</w:t>
      </w:r>
      <w:r w:rsidRPr="00E64F04">
        <w:t>.</w:t>
      </w:r>
    </w:p>
    <w:p w14:paraId="6F637C3E" w14:textId="77777777" w:rsidR="001A69C9" w:rsidRPr="00052FC1" w:rsidRDefault="001A69C9" w:rsidP="00E64F04">
      <w:pPr>
        <w:tabs>
          <w:tab w:val="left" w:pos="-3828"/>
        </w:tabs>
        <w:suppressAutoHyphens/>
      </w:pPr>
    </w:p>
    <w:p w14:paraId="74B75D4F" w14:textId="31D95A52" w:rsidR="0044067B" w:rsidRPr="00052FC1" w:rsidRDefault="001A69C9" w:rsidP="00E64F04">
      <w:pPr>
        <w:numPr>
          <w:ilvl w:val="0"/>
          <w:numId w:val="72"/>
        </w:numPr>
        <w:tabs>
          <w:tab w:val="left" w:pos="-3828"/>
        </w:tabs>
        <w:suppressAutoHyphens/>
        <w:ind w:left="1701" w:hanging="567"/>
      </w:pPr>
      <w:r w:rsidRPr="00E64F04">
        <w:t>C</w:t>
      </w:r>
      <w:r w:rsidR="00CF5CDC" w:rsidRPr="00052FC1">
        <w:t>ondición socioeconómica</w:t>
      </w:r>
      <w:r w:rsidRPr="00E64F04">
        <w:t xml:space="preserve"> de los beneficiarios directos de</w:t>
      </w:r>
      <w:r w:rsidR="005F6CEC" w:rsidRPr="00E64F04">
        <w:t>l servicio ecosistémico</w:t>
      </w:r>
      <w:r w:rsidR="0013225B" w:rsidRPr="00E64F04">
        <w:t>.</w:t>
      </w:r>
    </w:p>
    <w:p w14:paraId="579A5D72" w14:textId="77777777" w:rsidR="00333267" w:rsidRDefault="00333267" w:rsidP="00CF5CDC">
      <w:pPr>
        <w:tabs>
          <w:tab w:val="left" w:pos="-3828"/>
        </w:tabs>
        <w:suppressAutoHyphens/>
      </w:pPr>
    </w:p>
    <w:p w14:paraId="00AB1B26" w14:textId="41592095" w:rsidR="004658F4" w:rsidRDefault="00EC2567" w:rsidP="00E64F04">
      <w:pPr>
        <w:tabs>
          <w:tab w:val="left" w:pos="-3828"/>
        </w:tabs>
        <w:suppressAutoHyphens/>
        <w:ind w:left="1701"/>
      </w:pPr>
      <w:r>
        <w:t>La información sobre e</w:t>
      </w:r>
      <w:r w:rsidR="00EB7D24">
        <w:t xml:space="preserve">stas variables debe </w:t>
      </w:r>
      <w:r w:rsidR="00F10D40">
        <w:t xml:space="preserve">tomarse de </w:t>
      </w:r>
      <w:r w:rsidR="00F10D40" w:rsidRPr="00EC2567">
        <w:t xml:space="preserve">la caracterización ambiental, </w:t>
      </w:r>
      <w:r w:rsidR="007C1418">
        <w:t>por ejemplo, la del medio socioec</w:t>
      </w:r>
      <w:r w:rsidR="005E7C13">
        <w:t xml:space="preserve">onómico referida a </w:t>
      </w:r>
      <w:r w:rsidR="00D87E0A" w:rsidRPr="00EC2567">
        <w:t>es</w:t>
      </w:r>
      <w:r w:rsidR="004658F4" w:rsidRPr="00E64F04">
        <w:t>tudios social</w:t>
      </w:r>
      <w:r w:rsidR="00D87E0A" w:rsidRPr="00E64F04">
        <w:t>es</w:t>
      </w:r>
      <w:r w:rsidR="004658F4" w:rsidRPr="00E64F04">
        <w:t xml:space="preserve"> y derechos humanos</w:t>
      </w:r>
      <w:r w:rsidR="00D87E0A" w:rsidRPr="00E64F04">
        <w:t xml:space="preserve">, </w:t>
      </w:r>
      <w:r w:rsidR="00DF2C04">
        <w:t xml:space="preserve">a indicadores socioeconómicos, </w:t>
      </w:r>
      <w:r w:rsidR="00837373">
        <w:t xml:space="preserve">a </w:t>
      </w:r>
      <w:r w:rsidR="00D87E0A" w:rsidRPr="00E64F04">
        <w:t>e</w:t>
      </w:r>
      <w:r w:rsidR="004658F4" w:rsidRPr="00E64F04">
        <w:t>ntrevistas comunitarias y diagnósticos participativos</w:t>
      </w:r>
      <w:r w:rsidR="00837373">
        <w:t xml:space="preserve"> y a</w:t>
      </w:r>
      <w:r w:rsidR="00D87E0A" w:rsidRPr="00E64F04">
        <w:t xml:space="preserve"> </w:t>
      </w:r>
      <w:r w:rsidR="004658F4" w:rsidRPr="00E64F04">
        <w:t xml:space="preserve">informes </w:t>
      </w:r>
      <w:r w:rsidR="00837373">
        <w:t xml:space="preserve">de </w:t>
      </w:r>
      <w:r w:rsidR="004658F4" w:rsidRPr="00E64F04">
        <w:t>entidades nacionales e internacionales, organizaciones sociales y cualquier fuente relevante.</w:t>
      </w:r>
    </w:p>
    <w:p w14:paraId="6855666D" w14:textId="77777777" w:rsidR="00D25909" w:rsidRDefault="00D25909" w:rsidP="00E64F04">
      <w:pPr>
        <w:tabs>
          <w:tab w:val="left" w:pos="-3828"/>
        </w:tabs>
        <w:suppressAutoHyphens/>
      </w:pPr>
    </w:p>
    <w:p w14:paraId="33C39551" w14:textId="1AC06141" w:rsidR="00B92C66" w:rsidRDefault="00A629A1" w:rsidP="00E64F04">
      <w:pPr>
        <w:tabs>
          <w:tab w:val="left" w:pos="-3828"/>
        </w:tabs>
        <w:suppressAutoHyphens/>
        <w:ind w:left="1134"/>
      </w:pPr>
      <w:r>
        <w:t>E</w:t>
      </w:r>
      <w:r w:rsidR="00D25909" w:rsidRPr="00E64F04">
        <w:t xml:space="preserve">n la tabla </w:t>
      </w:r>
      <w:r w:rsidR="009E32F7" w:rsidRPr="00E64F04">
        <w:t xml:space="preserve">que se </w:t>
      </w:r>
      <w:r w:rsidR="00D25909" w:rsidRPr="00E64F04">
        <w:t>present</w:t>
      </w:r>
      <w:r w:rsidR="009E32F7" w:rsidRPr="00E64F04">
        <w:t xml:space="preserve">e la información a </w:t>
      </w:r>
      <w:r w:rsidR="00D25909" w:rsidRPr="00E64F04">
        <w:t>la autoridad ambiental</w:t>
      </w:r>
      <w:r w:rsidR="00FA1013">
        <w:t xml:space="preserve"> debe referenciarse</w:t>
      </w:r>
      <w:r w:rsidR="00EF2B64">
        <w:t>,</w:t>
      </w:r>
      <w:r w:rsidR="00FA1013">
        <w:t xml:space="preserve"> para cada servicio ecosistémico</w:t>
      </w:r>
      <w:r w:rsidR="00EF2B64">
        <w:t>,</w:t>
      </w:r>
      <w:r w:rsidR="00FA1013">
        <w:t xml:space="preserve"> e</w:t>
      </w:r>
      <w:r w:rsidRPr="007A1EED">
        <w:rPr>
          <w:spacing w:val="-3"/>
        </w:rPr>
        <w:t xml:space="preserve">l </w:t>
      </w:r>
      <w:r w:rsidRPr="00052FC1">
        <w:rPr>
          <w:spacing w:val="-3"/>
        </w:rPr>
        <w:t xml:space="preserve">derecho humano </w:t>
      </w:r>
      <w:r w:rsidRPr="007A1EED">
        <w:rPr>
          <w:spacing w:val="-3"/>
        </w:rPr>
        <w:t xml:space="preserve">con el vínculo más fuerte </w:t>
      </w:r>
      <w:r>
        <w:rPr>
          <w:spacing w:val="-3"/>
        </w:rPr>
        <w:t>y d</w:t>
      </w:r>
      <w:r w:rsidRPr="009E32F7">
        <w:rPr>
          <w:spacing w:val="-3"/>
        </w:rPr>
        <w:t>irecto</w:t>
      </w:r>
      <w:r w:rsidR="008B1C09">
        <w:rPr>
          <w:spacing w:val="-3"/>
        </w:rPr>
        <w:t xml:space="preserve">. </w:t>
      </w:r>
      <w:r w:rsidR="008B1C09">
        <w:t xml:space="preserve">Los resultados </w:t>
      </w:r>
      <w:r w:rsidR="009641B9">
        <w:t xml:space="preserve">no </w:t>
      </w:r>
      <w:r w:rsidR="008B1C09">
        <w:t xml:space="preserve">se deben </w:t>
      </w:r>
      <w:r w:rsidR="009641B9">
        <w:t>desagregar</w:t>
      </w:r>
      <w:r w:rsidR="008B75E8">
        <w:t xml:space="preserve"> por </w:t>
      </w:r>
      <w:r w:rsidR="00BA3199">
        <w:t xml:space="preserve">tipo de </w:t>
      </w:r>
      <w:r w:rsidR="00E33050">
        <w:t>beneficiario</w:t>
      </w:r>
      <w:r w:rsidR="00BA3199">
        <w:t>, dependencia al servicio ecosistémico</w:t>
      </w:r>
      <w:r w:rsidR="00091D14">
        <w:t>,</w:t>
      </w:r>
      <w:r w:rsidR="00E33050">
        <w:t xml:space="preserve"> </w:t>
      </w:r>
      <w:r w:rsidR="00383AE0">
        <w:t xml:space="preserve">ni </w:t>
      </w:r>
      <w:r w:rsidR="00E33050">
        <w:t>mencionar varios derechos humanos relacionados.</w:t>
      </w:r>
    </w:p>
    <w:p w14:paraId="6D345E5A" w14:textId="77777777" w:rsidR="00895B91" w:rsidRDefault="00895B91" w:rsidP="00CF5CDC">
      <w:pPr>
        <w:tabs>
          <w:tab w:val="left" w:pos="-3828"/>
        </w:tabs>
        <w:suppressAutoHyphens/>
      </w:pPr>
    </w:p>
    <w:p w14:paraId="77F2A435" w14:textId="0098DA19" w:rsidR="00E678FD" w:rsidRPr="004068F6" w:rsidRDefault="00E678FD" w:rsidP="00E64F04">
      <w:pPr>
        <w:pStyle w:val="Descripcin"/>
        <w:ind w:left="1134"/>
        <w:jc w:val="center"/>
        <w:rPr>
          <w:b w:val="0"/>
          <w:spacing w:val="-3"/>
        </w:rPr>
      </w:pPr>
      <w:bookmarkStart w:id="3077" w:name="_Ref229825628"/>
      <w:r w:rsidRPr="003B65B0">
        <w:t xml:space="preserve">Tabla </w:t>
      </w:r>
      <w:fldSimple w:instr=" SEQ Tabla \* ARABIC ">
        <w:r w:rsidR="009C4A81">
          <w:rPr>
            <w:noProof/>
          </w:rPr>
          <w:t>27</w:t>
        </w:r>
      </w:fldSimple>
      <w:bookmarkEnd w:id="3077"/>
      <w:r w:rsidRPr="003B65B0">
        <w:t>.</w:t>
      </w:r>
      <w:r w:rsidRPr="003B65B0">
        <w:rPr>
          <w:b w:val="0"/>
        </w:rPr>
        <w:t xml:space="preserve"> </w:t>
      </w:r>
      <w:r w:rsidRPr="003B65B0">
        <w:rPr>
          <w:b w:val="0"/>
          <w:bCs w:val="0"/>
        </w:rPr>
        <w:t>Derechos</w:t>
      </w:r>
      <w:r w:rsidRPr="000467EE">
        <w:rPr>
          <w:b w:val="0"/>
          <w:bCs w:val="0"/>
        </w:rPr>
        <w:t xml:space="preserve"> interdependientes </w:t>
      </w:r>
      <w:r>
        <w:rPr>
          <w:b w:val="0"/>
          <w:bCs w:val="0"/>
        </w:rPr>
        <w:t>al derecho a gozar de un ambiente sano</w:t>
      </w:r>
    </w:p>
    <w:tbl>
      <w:tblPr>
        <w:tblStyle w:val="Tablaconcuadrcula"/>
        <w:tblW w:w="7650" w:type="dxa"/>
        <w:jc w:val="right"/>
        <w:tblLook w:val="04A0" w:firstRow="1" w:lastRow="0" w:firstColumn="1" w:lastColumn="0" w:noHBand="0" w:noVBand="1"/>
      </w:tblPr>
      <w:tblGrid>
        <w:gridCol w:w="1593"/>
        <w:gridCol w:w="6057"/>
      </w:tblGrid>
      <w:tr w:rsidR="00E678FD" w:rsidRPr="003B435F" w14:paraId="57F24532" w14:textId="77777777" w:rsidTr="00E64F04">
        <w:trPr>
          <w:trHeight w:val="667"/>
          <w:tblHeader/>
          <w:jc w:val="right"/>
        </w:trPr>
        <w:tc>
          <w:tcPr>
            <w:tcW w:w="1593" w:type="dxa"/>
            <w:vAlign w:val="center"/>
            <w:hideMark/>
          </w:tcPr>
          <w:p w14:paraId="329278B8" w14:textId="77777777" w:rsidR="00E678FD" w:rsidRPr="003B435F" w:rsidRDefault="00E678FD" w:rsidP="004B1F1B">
            <w:pPr>
              <w:jc w:val="center"/>
              <w:rPr>
                <w:rFonts w:cs="Arial"/>
                <w:b/>
                <w:bCs/>
                <w:sz w:val="22"/>
                <w:szCs w:val="22"/>
              </w:rPr>
            </w:pPr>
            <w:r w:rsidRPr="003B435F">
              <w:rPr>
                <w:rFonts w:cs="Arial"/>
                <w:b/>
                <w:bCs/>
                <w:sz w:val="22"/>
                <w:szCs w:val="22"/>
                <w:lang w:val="es-ES"/>
              </w:rPr>
              <w:t>Derecho asociado</w:t>
            </w:r>
          </w:p>
        </w:tc>
        <w:tc>
          <w:tcPr>
            <w:tcW w:w="6057" w:type="dxa"/>
            <w:vAlign w:val="center"/>
            <w:hideMark/>
          </w:tcPr>
          <w:p w14:paraId="382E013D" w14:textId="77777777" w:rsidR="00E678FD" w:rsidRPr="003B435F" w:rsidRDefault="00E678FD" w:rsidP="004B1F1B">
            <w:pPr>
              <w:jc w:val="center"/>
              <w:rPr>
                <w:rFonts w:cs="Arial"/>
                <w:b/>
                <w:bCs/>
                <w:sz w:val="22"/>
                <w:szCs w:val="22"/>
              </w:rPr>
            </w:pPr>
            <w:r w:rsidRPr="003B435F">
              <w:rPr>
                <w:rFonts w:cs="Arial"/>
                <w:b/>
                <w:bCs/>
                <w:sz w:val="22"/>
                <w:szCs w:val="22"/>
                <w:lang w:val="es-ES"/>
              </w:rPr>
              <w:t>Definición</w:t>
            </w:r>
          </w:p>
        </w:tc>
      </w:tr>
      <w:tr w:rsidR="00E678FD" w:rsidRPr="009B7BEF" w14:paraId="2641D799" w14:textId="77777777" w:rsidTr="00E64F04">
        <w:trPr>
          <w:trHeight w:hRule="exact" w:val="737"/>
          <w:jc w:val="right"/>
        </w:trPr>
        <w:tc>
          <w:tcPr>
            <w:tcW w:w="1593" w:type="dxa"/>
            <w:vAlign w:val="center"/>
            <w:hideMark/>
          </w:tcPr>
          <w:p w14:paraId="0455664F" w14:textId="77777777" w:rsidR="00E678FD" w:rsidRPr="009B7BEF" w:rsidRDefault="00E678FD" w:rsidP="004B1F1B">
            <w:pPr>
              <w:jc w:val="center"/>
              <w:rPr>
                <w:rFonts w:cs="Arial"/>
                <w:sz w:val="20"/>
                <w:szCs w:val="20"/>
              </w:rPr>
            </w:pPr>
            <w:r w:rsidRPr="009B7BEF">
              <w:rPr>
                <w:rFonts w:cs="Arial"/>
                <w:sz w:val="20"/>
                <w:szCs w:val="20"/>
                <w:lang w:val="es-ES"/>
              </w:rPr>
              <w:t>1. Mínimo Vital</w:t>
            </w:r>
          </w:p>
        </w:tc>
        <w:tc>
          <w:tcPr>
            <w:tcW w:w="6057" w:type="dxa"/>
            <w:vAlign w:val="center"/>
            <w:hideMark/>
          </w:tcPr>
          <w:p w14:paraId="5B42A1B1" w14:textId="77777777" w:rsidR="00E678FD" w:rsidRPr="009B7BEF" w:rsidRDefault="00E678FD" w:rsidP="004B1F1B">
            <w:pPr>
              <w:rPr>
                <w:rFonts w:cs="Arial"/>
                <w:sz w:val="20"/>
                <w:szCs w:val="20"/>
              </w:rPr>
            </w:pPr>
            <w:r w:rsidRPr="009B7BEF">
              <w:rPr>
                <w:rFonts w:cs="Arial"/>
                <w:sz w:val="20"/>
                <w:szCs w:val="20"/>
                <w:lang w:val="es-ES"/>
              </w:rPr>
              <w:t>Es el derecho fundamental de toda persona a contar con los recursos básicos indispensables para llevar una vida digna, garantizando condiciones mínimas de subsistencia.</w:t>
            </w:r>
          </w:p>
        </w:tc>
      </w:tr>
      <w:tr w:rsidR="00E678FD" w:rsidRPr="009B7BEF" w14:paraId="0AD77E4D" w14:textId="77777777" w:rsidTr="00E64F04">
        <w:trPr>
          <w:trHeight w:hRule="exact" w:val="737"/>
          <w:jc w:val="right"/>
        </w:trPr>
        <w:tc>
          <w:tcPr>
            <w:tcW w:w="1593" w:type="dxa"/>
            <w:vAlign w:val="center"/>
            <w:hideMark/>
          </w:tcPr>
          <w:p w14:paraId="46F8C952" w14:textId="77777777" w:rsidR="00E678FD" w:rsidRPr="009B7BEF" w:rsidRDefault="00E678FD" w:rsidP="004B1F1B">
            <w:pPr>
              <w:jc w:val="center"/>
              <w:rPr>
                <w:rFonts w:cs="Arial"/>
                <w:sz w:val="20"/>
                <w:szCs w:val="20"/>
              </w:rPr>
            </w:pPr>
            <w:r w:rsidRPr="009B7BEF">
              <w:rPr>
                <w:rFonts w:cs="Arial"/>
                <w:sz w:val="20"/>
                <w:szCs w:val="20"/>
                <w:lang w:val="es-ES"/>
              </w:rPr>
              <w:t>2. Alimentación</w:t>
            </w:r>
          </w:p>
        </w:tc>
        <w:tc>
          <w:tcPr>
            <w:tcW w:w="6057" w:type="dxa"/>
            <w:vAlign w:val="center"/>
            <w:hideMark/>
          </w:tcPr>
          <w:p w14:paraId="5150263B" w14:textId="77777777" w:rsidR="00E678FD" w:rsidRPr="009B7BEF" w:rsidRDefault="00E678FD" w:rsidP="004B1F1B">
            <w:pPr>
              <w:rPr>
                <w:rFonts w:cs="Arial"/>
                <w:sz w:val="20"/>
                <w:szCs w:val="20"/>
              </w:rPr>
            </w:pPr>
            <w:r w:rsidRPr="009B7BEF">
              <w:rPr>
                <w:rFonts w:cs="Arial"/>
                <w:sz w:val="20"/>
                <w:szCs w:val="20"/>
                <w:lang w:val="es-ES"/>
              </w:rPr>
              <w:t>Derecho fundamental que garantiza el acceso físico y económico a una alimentación adecuada y suficiente, tanto en calidad como en cantidad, para llevar una vida saludable y activa.</w:t>
            </w:r>
          </w:p>
        </w:tc>
      </w:tr>
      <w:tr w:rsidR="00E678FD" w:rsidRPr="009B7BEF" w14:paraId="6BA35554" w14:textId="77777777" w:rsidTr="00E64F04">
        <w:trPr>
          <w:trHeight w:hRule="exact" w:val="737"/>
          <w:jc w:val="right"/>
        </w:trPr>
        <w:tc>
          <w:tcPr>
            <w:tcW w:w="1593" w:type="dxa"/>
            <w:vAlign w:val="center"/>
            <w:hideMark/>
          </w:tcPr>
          <w:p w14:paraId="081513C9" w14:textId="77777777" w:rsidR="00E678FD" w:rsidRPr="009B7BEF" w:rsidRDefault="00E678FD" w:rsidP="004B1F1B">
            <w:pPr>
              <w:jc w:val="center"/>
              <w:rPr>
                <w:rFonts w:cs="Arial"/>
                <w:sz w:val="20"/>
                <w:szCs w:val="20"/>
              </w:rPr>
            </w:pPr>
            <w:r w:rsidRPr="009B7BEF">
              <w:rPr>
                <w:rFonts w:cs="Arial"/>
                <w:sz w:val="20"/>
                <w:szCs w:val="20"/>
                <w:lang w:val="es-ES"/>
              </w:rPr>
              <w:lastRenderedPageBreak/>
              <w:t>3. Salud</w:t>
            </w:r>
          </w:p>
        </w:tc>
        <w:tc>
          <w:tcPr>
            <w:tcW w:w="6057" w:type="dxa"/>
            <w:vAlign w:val="center"/>
            <w:hideMark/>
          </w:tcPr>
          <w:p w14:paraId="2BA4C842" w14:textId="77777777" w:rsidR="00E678FD" w:rsidRPr="009B7BEF" w:rsidRDefault="00E678FD" w:rsidP="004B1F1B">
            <w:pPr>
              <w:rPr>
                <w:rFonts w:cs="Arial"/>
                <w:sz w:val="20"/>
                <w:szCs w:val="20"/>
              </w:rPr>
            </w:pPr>
            <w:r w:rsidRPr="009B7BEF">
              <w:rPr>
                <w:rFonts w:cs="Arial"/>
                <w:sz w:val="20"/>
                <w:szCs w:val="20"/>
                <w:lang w:val="es-ES"/>
              </w:rPr>
              <w:t>Derecho fundamental a gozar del más nivel más alto posible de salud física y mental.</w:t>
            </w:r>
          </w:p>
        </w:tc>
      </w:tr>
      <w:tr w:rsidR="00E678FD" w:rsidRPr="009B7BEF" w14:paraId="799D53E3" w14:textId="77777777" w:rsidTr="00E64F04">
        <w:trPr>
          <w:trHeight w:hRule="exact" w:val="737"/>
          <w:jc w:val="right"/>
        </w:trPr>
        <w:tc>
          <w:tcPr>
            <w:tcW w:w="1593" w:type="dxa"/>
            <w:vAlign w:val="center"/>
            <w:hideMark/>
          </w:tcPr>
          <w:p w14:paraId="740D710C" w14:textId="77777777" w:rsidR="00E678FD" w:rsidRPr="009B7BEF" w:rsidRDefault="00E678FD" w:rsidP="004B1F1B">
            <w:pPr>
              <w:jc w:val="center"/>
              <w:rPr>
                <w:rFonts w:cs="Arial"/>
                <w:sz w:val="20"/>
                <w:szCs w:val="20"/>
              </w:rPr>
            </w:pPr>
            <w:r w:rsidRPr="009B7BEF">
              <w:rPr>
                <w:rFonts w:cs="Arial"/>
                <w:sz w:val="20"/>
                <w:szCs w:val="20"/>
                <w:lang w:val="es-ES"/>
              </w:rPr>
              <w:t>4. Cultura</w:t>
            </w:r>
          </w:p>
        </w:tc>
        <w:tc>
          <w:tcPr>
            <w:tcW w:w="6057" w:type="dxa"/>
            <w:vAlign w:val="center"/>
            <w:hideMark/>
          </w:tcPr>
          <w:p w14:paraId="42B6CB2D" w14:textId="4A1493AB" w:rsidR="00E678FD" w:rsidRPr="009B7BEF" w:rsidRDefault="00E678FD" w:rsidP="004B1F1B">
            <w:pPr>
              <w:rPr>
                <w:rFonts w:cs="Arial"/>
                <w:sz w:val="20"/>
                <w:szCs w:val="20"/>
              </w:rPr>
            </w:pPr>
            <w:r w:rsidRPr="009B7BEF">
              <w:rPr>
                <w:rFonts w:cs="Arial"/>
                <w:sz w:val="20"/>
                <w:szCs w:val="20"/>
                <w:lang w:val="es-ES"/>
              </w:rPr>
              <w:t xml:space="preserve">Consiste en el derecho a participar </w:t>
            </w:r>
            <w:r w:rsidR="00B33E18">
              <w:rPr>
                <w:rFonts w:cs="Arial"/>
                <w:sz w:val="20"/>
                <w:szCs w:val="20"/>
                <w:lang w:val="es-ES"/>
              </w:rPr>
              <w:t xml:space="preserve">de </w:t>
            </w:r>
            <w:r w:rsidRPr="009B7BEF">
              <w:rPr>
                <w:rFonts w:cs="Arial"/>
                <w:sz w:val="20"/>
                <w:szCs w:val="20"/>
                <w:lang w:val="es-ES"/>
              </w:rPr>
              <w:t>la vida cultural colectiva, el acceso a bienes culturales materiales e inmateriales, y la libertad de desarrollar y practicar expresiones culturales propias</w:t>
            </w:r>
            <w:r w:rsidR="0014428E">
              <w:rPr>
                <w:rFonts w:cs="Arial"/>
                <w:sz w:val="20"/>
                <w:szCs w:val="20"/>
                <w:lang w:val="es-ES"/>
              </w:rPr>
              <w:t>.</w:t>
            </w:r>
          </w:p>
        </w:tc>
      </w:tr>
      <w:tr w:rsidR="00E678FD" w:rsidRPr="009B7BEF" w14:paraId="2DD5665C" w14:textId="77777777" w:rsidTr="00E64F04">
        <w:trPr>
          <w:trHeight w:hRule="exact" w:val="737"/>
          <w:jc w:val="right"/>
        </w:trPr>
        <w:tc>
          <w:tcPr>
            <w:tcW w:w="1593" w:type="dxa"/>
            <w:vAlign w:val="center"/>
            <w:hideMark/>
          </w:tcPr>
          <w:p w14:paraId="23A823CD" w14:textId="77777777" w:rsidR="00E678FD" w:rsidRPr="009B7BEF" w:rsidRDefault="00E678FD" w:rsidP="004B1F1B">
            <w:pPr>
              <w:jc w:val="center"/>
              <w:rPr>
                <w:rFonts w:cs="Arial"/>
                <w:sz w:val="20"/>
                <w:szCs w:val="20"/>
              </w:rPr>
            </w:pPr>
            <w:r w:rsidRPr="009B7BEF">
              <w:rPr>
                <w:rFonts w:cs="Arial"/>
                <w:sz w:val="20"/>
                <w:szCs w:val="20"/>
                <w:lang w:val="es-ES"/>
              </w:rPr>
              <w:t>5. Tranquilidad</w:t>
            </w:r>
          </w:p>
        </w:tc>
        <w:tc>
          <w:tcPr>
            <w:tcW w:w="6057" w:type="dxa"/>
            <w:vAlign w:val="center"/>
            <w:hideMark/>
          </w:tcPr>
          <w:p w14:paraId="04723E87" w14:textId="31FD1CC3" w:rsidR="00E678FD" w:rsidRPr="009B7BEF" w:rsidRDefault="00E678FD" w:rsidP="004B1F1B">
            <w:pPr>
              <w:rPr>
                <w:rFonts w:cs="Arial"/>
                <w:sz w:val="20"/>
                <w:szCs w:val="20"/>
              </w:rPr>
            </w:pPr>
            <w:r w:rsidRPr="009B7BEF">
              <w:rPr>
                <w:rFonts w:cs="Arial"/>
                <w:sz w:val="20"/>
                <w:szCs w:val="20"/>
                <w:lang w:val="es-ES"/>
              </w:rPr>
              <w:t>Es el Derecho que protege a las personas frente a perturbaciones que afecten su bienestar físico, emocional o mental, especialmente en su entorno domiciliario y social</w:t>
            </w:r>
            <w:r w:rsidR="0014428E">
              <w:rPr>
                <w:rFonts w:cs="Arial"/>
                <w:sz w:val="20"/>
                <w:szCs w:val="20"/>
                <w:lang w:val="es-ES"/>
              </w:rPr>
              <w:t>.</w:t>
            </w:r>
          </w:p>
        </w:tc>
      </w:tr>
      <w:tr w:rsidR="00E678FD" w:rsidRPr="009B7BEF" w14:paraId="54A833E0" w14:textId="77777777" w:rsidTr="00E64F04">
        <w:trPr>
          <w:trHeight w:hRule="exact" w:val="737"/>
          <w:jc w:val="right"/>
        </w:trPr>
        <w:tc>
          <w:tcPr>
            <w:tcW w:w="1593" w:type="dxa"/>
            <w:vAlign w:val="center"/>
            <w:hideMark/>
          </w:tcPr>
          <w:p w14:paraId="6EC49C6E" w14:textId="77777777" w:rsidR="00E678FD" w:rsidRPr="009B7BEF" w:rsidRDefault="00E678FD" w:rsidP="004B1F1B">
            <w:pPr>
              <w:jc w:val="center"/>
              <w:rPr>
                <w:rFonts w:cs="Arial"/>
                <w:sz w:val="20"/>
                <w:szCs w:val="20"/>
              </w:rPr>
            </w:pPr>
            <w:r w:rsidRPr="009B7BEF">
              <w:rPr>
                <w:rFonts w:cs="Arial"/>
                <w:sz w:val="20"/>
                <w:szCs w:val="20"/>
                <w:lang w:val="es-ES"/>
              </w:rPr>
              <w:t>6. Agua</w:t>
            </w:r>
          </w:p>
        </w:tc>
        <w:tc>
          <w:tcPr>
            <w:tcW w:w="6057" w:type="dxa"/>
            <w:vAlign w:val="center"/>
            <w:hideMark/>
          </w:tcPr>
          <w:p w14:paraId="07B20CF8" w14:textId="77777777" w:rsidR="00E678FD" w:rsidRPr="009B7BEF" w:rsidRDefault="00E678FD" w:rsidP="004B1F1B">
            <w:pPr>
              <w:rPr>
                <w:rFonts w:cs="Arial"/>
                <w:sz w:val="20"/>
                <w:szCs w:val="20"/>
              </w:rPr>
            </w:pPr>
            <w:r w:rsidRPr="009B7BEF">
              <w:rPr>
                <w:rFonts w:cs="Arial"/>
                <w:sz w:val="20"/>
                <w:szCs w:val="20"/>
                <w:lang w:val="es-ES"/>
              </w:rPr>
              <w:t>Derecho fundamental que garantiza el acceso a agua suficiente, salubre, aceptable y accesible para el uso personal y doméstico.</w:t>
            </w:r>
          </w:p>
        </w:tc>
      </w:tr>
      <w:tr w:rsidR="00E678FD" w:rsidRPr="009B7BEF" w14:paraId="3B1E9C0B" w14:textId="77777777" w:rsidTr="00E64F04">
        <w:trPr>
          <w:trHeight w:hRule="exact" w:val="737"/>
          <w:jc w:val="right"/>
        </w:trPr>
        <w:tc>
          <w:tcPr>
            <w:tcW w:w="1593" w:type="dxa"/>
            <w:vAlign w:val="center"/>
            <w:hideMark/>
          </w:tcPr>
          <w:p w14:paraId="53DAF18A" w14:textId="77777777" w:rsidR="00E678FD" w:rsidRPr="009B7BEF" w:rsidRDefault="00E678FD" w:rsidP="004B1F1B">
            <w:pPr>
              <w:jc w:val="center"/>
              <w:rPr>
                <w:rFonts w:cs="Arial"/>
                <w:sz w:val="20"/>
                <w:szCs w:val="20"/>
              </w:rPr>
            </w:pPr>
            <w:r w:rsidRPr="009B7BEF">
              <w:rPr>
                <w:rFonts w:cs="Arial"/>
                <w:sz w:val="20"/>
                <w:szCs w:val="20"/>
                <w:lang w:val="es-ES"/>
              </w:rPr>
              <w:t>7. Vivienda</w:t>
            </w:r>
          </w:p>
        </w:tc>
        <w:tc>
          <w:tcPr>
            <w:tcW w:w="6057" w:type="dxa"/>
            <w:vAlign w:val="center"/>
            <w:hideMark/>
          </w:tcPr>
          <w:p w14:paraId="11711AD2" w14:textId="77777777" w:rsidR="00E678FD" w:rsidRPr="009B7BEF" w:rsidRDefault="00E678FD" w:rsidP="004B1F1B">
            <w:pPr>
              <w:rPr>
                <w:rFonts w:cs="Arial"/>
                <w:sz w:val="20"/>
                <w:szCs w:val="20"/>
              </w:rPr>
            </w:pPr>
            <w:r w:rsidRPr="009B7BEF">
              <w:rPr>
                <w:rFonts w:cs="Arial"/>
                <w:sz w:val="20"/>
                <w:szCs w:val="20"/>
                <w:lang w:val="es-ES"/>
              </w:rPr>
              <w:t>Derecho a acceder a una vivienda digna, adecuada, segura, con servicios públicos básicos y en condiciones de habitabilidad</w:t>
            </w:r>
          </w:p>
        </w:tc>
      </w:tr>
      <w:tr w:rsidR="00E678FD" w:rsidRPr="009B7BEF" w14:paraId="55B83BC3" w14:textId="77777777" w:rsidTr="00E64F04">
        <w:trPr>
          <w:trHeight w:hRule="exact" w:val="737"/>
          <w:jc w:val="right"/>
        </w:trPr>
        <w:tc>
          <w:tcPr>
            <w:tcW w:w="1593" w:type="dxa"/>
            <w:vAlign w:val="center"/>
            <w:hideMark/>
          </w:tcPr>
          <w:p w14:paraId="20551CDA" w14:textId="77777777" w:rsidR="00E678FD" w:rsidRPr="009B7BEF" w:rsidRDefault="00E678FD" w:rsidP="004B1F1B">
            <w:pPr>
              <w:jc w:val="center"/>
              <w:rPr>
                <w:rFonts w:cs="Arial"/>
                <w:sz w:val="20"/>
                <w:szCs w:val="20"/>
              </w:rPr>
            </w:pPr>
            <w:r w:rsidRPr="009B7BEF">
              <w:rPr>
                <w:rFonts w:cs="Arial"/>
                <w:sz w:val="20"/>
                <w:szCs w:val="20"/>
                <w:lang w:val="es-ES"/>
              </w:rPr>
              <w:t>8. Integridad personal</w:t>
            </w:r>
          </w:p>
        </w:tc>
        <w:tc>
          <w:tcPr>
            <w:tcW w:w="6057" w:type="dxa"/>
            <w:vAlign w:val="center"/>
            <w:hideMark/>
          </w:tcPr>
          <w:p w14:paraId="7C409C47" w14:textId="77777777" w:rsidR="00E678FD" w:rsidRPr="009B7BEF" w:rsidRDefault="00E678FD" w:rsidP="004B1F1B">
            <w:pPr>
              <w:rPr>
                <w:rFonts w:cs="Arial"/>
                <w:sz w:val="20"/>
                <w:szCs w:val="20"/>
              </w:rPr>
            </w:pPr>
            <w:r w:rsidRPr="009B7BEF">
              <w:rPr>
                <w:rFonts w:cs="Arial"/>
                <w:sz w:val="20"/>
                <w:szCs w:val="20"/>
                <w:lang w:val="es-ES"/>
              </w:rPr>
              <w:t>Derecho que protege a toda persona contra cualquier afectación psicológica, tratos crueles, inhumanos o degradantes.</w:t>
            </w:r>
          </w:p>
        </w:tc>
      </w:tr>
    </w:tbl>
    <w:p w14:paraId="17D99E4E" w14:textId="77777777" w:rsidR="00E678FD" w:rsidRPr="004068F6" w:rsidRDefault="00E678FD" w:rsidP="00703A33">
      <w:pPr>
        <w:pStyle w:val="Prrafodelista"/>
        <w:tabs>
          <w:tab w:val="left" w:pos="-2268"/>
        </w:tabs>
        <w:suppressAutoHyphens/>
        <w:ind w:left="1134" w:right="51"/>
        <w:jc w:val="center"/>
        <w:rPr>
          <w:spacing w:val="-3"/>
          <w:sz w:val="20"/>
          <w:szCs w:val="20"/>
          <w:lang w:val="es-CO"/>
        </w:rPr>
      </w:pPr>
      <w:r w:rsidRPr="004068F6">
        <w:rPr>
          <w:b/>
          <w:spacing w:val="-3"/>
          <w:sz w:val="20"/>
          <w:szCs w:val="20"/>
          <w:lang w:val="es-CO"/>
        </w:rPr>
        <w:t>Fuente:</w:t>
      </w:r>
      <w:r w:rsidRPr="004068F6">
        <w:rPr>
          <w:spacing w:val="-3"/>
          <w:sz w:val="20"/>
          <w:szCs w:val="20"/>
          <w:lang w:val="es-CO"/>
        </w:rPr>
        <w:t xml:space="preserve"> </w:t>
      </w:r>
      <w:r>
        <w:rPr>
          <w:spacing w:val="-3"/>
          <w:sz w:val="20"/>
          <w:szCs w:val="20"/>
          <w:lang w:val="es-CO"/>
        </w:rPr>
        <w:t>e</w:t>
      </w:r>
      <w:r w:rsidRPr="000C5813">
        <w:rPr>
          <w:spacing w:val="-3"/>
          <w:sz w:val="20"/>
          <w:szCs w:val="20"/>
          <w:lang w:val="es-CO"/>
        </w:rPr>
        <w:t>laborad</w:t>
      </w:r>
      <w:r>
        <w:rPr>
          <w:spacing w:val="-3"/>
          <w:sz w:val="20"/>
          <w:szCs w:val="20"/>
          <w:lang w:val="es-CO"/>
        </w:rPr>
        <w:t>a</w:t>
      </w:r>
      <w:r w:rsidRPr="000C5813">
        <w:rPr>
          <w:spacing w:val="-3"/>
          <w:sz w:val="20"/>
          <w:szCs w:val="20"/>
          <w:lang w:val="es-CO"/>
        </w:rPr>
        <w:t xml:space="preserve"> con base en la Opinión Consultiva 23 de 2017 de la Corte Interamericana de Derechos Humanos y </w:t>
      </w:r>
      <w:r>
        <w:rPr>
          <w:spacing w:val="-3"/>
          <w:sz w:val="20"/>
          <w:szCs w:val="20"/>
          <w:lang w:val="es-CO"/>
        </w:rPr>
        <w:t xml:space="preserve">en </w:t>
      </w:r>
      <w:r w:rsidRPr="000C5813">
        <w:rPr>
          <w:spacing w:val="-3"/>
          <w:sz w:val="20"/>
          <w:szCs w:val="20"/>
          <w:lang w:val="es-CO"/>
        </w:rPr>
        <w:t>sentencias de la Corte Constitucional</w:t>
      </w:r>
      <w:r w:rsidRPr="004068F6">
        <w:rPr>
          <w:spacing w:val="-3"/>
          <w:sz w:val="20"/>
          <w:szCs w:val="20"/>
          <w:lang w:val="es-CO"/>
        </w:rPr>
        <w:t>.</w:t>
      </w:r>
    </w:p>
    <w:p w14:paraId="2B91479F" w14:textId="77777777" w:rsidR="009269BA" w:rsidRPr="004068F6" w:rsidRDefault="009269BA" w:rsidP="00970A40">
      <w:pPr>
        <w:tabs>
          <w:tab w:val="left" w:pos="-3828"/>
        </w:tabs>
        <w:suppressAutoHyphens/>
      </w:pPr>
    </w:p>
    <w:p w14:paraId="64DEFD09" w14:textId="1271D161" w:rsidR="00970A40" w:rsidRPr="004068F6" w:rsidRDefault="00D2164B" w:rsidP="00970A40">
      <w:pPr>
        <w:numPr>
          <w:ilvl w:val="0"/>
          <w:numId w:val="70"/>
        </w:numPr>
        <w:tabs>
          <w:tab w:val="left" w:pos="-2268"/>
        </w:tabs>
        <w:suppressAutoHyphens/>
        <w:ind w:left="567" w:hanging="567"/>
        <w:rPr>
          <w:spacing w:val="-3"/>
        </w:rPr>
      </w:pPr>
      <w:r w:rsidRPr="004068F6">
        <w:rPr>
          <w:rFonts w:cs="Arial"/>
          <w:spacing w:val="-3"/>
        </w:rPr>
        <w:t>I</w:t>
      </w:r>
      <w:r w:rsidR="00970A40" w:rsidRPr="004068F6">
        <w:rPr>
          <w:spacing w:val="-3"/>
        </w:rPr>
        <w:t xml:space="preserve">mpacto que el proyecto, obra o actividad tendría sobre </w:t>
      </w:r>
      <w:r w:rsidR="00970A40" w:rsidRPr="004068F6">
        <w:rPr>
          <w:rFonts w:cs="Arial"/>
          <w:spacing w:val="-3"/>
        </w:rPr>
        <w:t xml:space="preserve">los </w:t>
      </w:r>
      <w:r w:rsidR="00A75AD1" w:rsidRPr="004068F6">
        <w:rPr>
          <w:rFonts w:cs="Arial"/>
          <w:spacing w:val="-3"/>
        </w:rPr>
        <w:t>SSEE</w:t>
      </w:r>
      <w:r w:rsidR="00970A40" w:rsidRPr="004068F6">
        <w:rPr>
          <w:rFonts w:cs="Arial"/>
          <w:spacing w:val="-3"/>
        </w:rPr>
        <w:t xml:space="preserve">, así como su </w:t>
      </w:r>
      <w:r w:rsidR="005C43EF" w:rsidRPr="004068F6">
        <w:rPr>
          <w:rFonts w:cs="Arial"/>
          <w:spacing w:val="-3"/>
        </w:rPr>
        <w:t>categoría de calificación</w:t>
      </w:r>
      <w:r w:rsidR="00970A40" w:rsidRPr="004068F6">
        <w:rPr>
          <w:rFonts w:cs="Arial"/>
          <w:spacing w:val="-3"/>
        </w:rPr>
        <w:t>,</w:t>
      </w:r>
      <w:r w:rsidR="00970A40" w:rsidRPr="004068F6">
        <w:rPr>
          <w:spacing w:val="-3"/>
        </w:rPr>
        <w:t xml:space="preserve"> de </w:t>
      </w:r>
      <w:r w:rsidR="00970A40" w:rsidRPr="004068F6">
        <w:rPr>
          <w:rFonts w:cs="Arial"/>
          <w:spacing w:val="-3"/>
        </w:rPr>
        <w:t xml:space="preserve">acuerdo con los resultados referidos a los </w:t>
      </w:r>
      <w:r w:rsidR="00A75AD1" w:rsidRPr="004068F6">
        <w:rPr>
          <w:rFonts w:cs="Arial"/>
          <w:spacing w:val="-3"/>
        </w:rPr>
        <w:t>SSEE</w:t>
      </w:r>
      <w:r w:rsidR="00970A40" w:rsidRPr="004068F6" w:rsidDel="00260147">
        <w:rPr>
          <w:rFonts w:cs="Arial"/>
          <w:spacing w:val="-3"/>
        </w:rPr>
        <w:t xml:space="preserve"> </w:t>
      </w:r>
      <w:r w:rsidR="00970A40" w:rsidRPr="004068F6">
        <w:rPr>
          <w:rFonts w:cs="Arial"/>
          <w:spacing w:val="-3"/>
        </w:rPr>
        <w:t xml:space="preserve">del numeral de </w:t>
      </w:r>
      <w:r w:rsidR="00970A40" w:rsidRPr="004068F6">
        <w:rPr>
          <w:spacing w:val="-3"/>
        </w:rPr>
        <w:t>evaluación ambiental.</w:t>
      </w:r>
    </w:p>
    <w:p w14:paraId="599E1CC8" w14:textId="77777777" w:rsidR="00970A40" w:rsidRPr="004068F6" w:rsidRDefault="00970A40" w:rsidP="00970A40">
      <w:pPr>
        <w:numPr>
          <w:ilvl w:val="12"/>
          <w:numId w:val="0"/>
        </w:numPr>
        <w:tabs>
          <w:tab w:val="left" w:pos="-2268"/>
        </w:tabs>
        <w:suppressAutoHyphens/>
        <w:rPr>
          <w:spacing w:val="-3"/>
        </w:rPr>
      </w:pPr>
    </w:p>
    <w:p w14:paraId="21C30EAF" w14:textId="592CC767" w:rsidR="00970A40" w:rsidRPr="004068F6" w:rsidRDefault="00970A40" w:rsidP="00970A40">
      <w:pPr>
        <w:numPr>
          <w:ilvl w:val="12"/>
          <w:numId w:val="0"/>
        </w:numPr>
        <w:tabs>
          <w:tab w:val="left" w:pos="-2268"/>
        </w:tabs>
        <w:suppressAutoHyphens/>
        <w:rPr>
          <w:rFonts w:cs="Arial"/>
          <w:spacing w:val="-3"/>
        </w:rPr>
      </w:pPr>
      <w:r w:rsidRPr="004068F6">
        <w:rPr>
          <w:spacing w:val="-3"/>
        </w:rPr>
        <w:t xml:space="preserve">La información obtenida y analizada respecto de los </w:t>
      </w:r>
      <w:r w:rsidR="00A75AD1" w:rsidRPr="004068F6">
        <w:rPr>
          <w:spacing w:val="-3"/>
        </w:rPr>
        <w:t>SSEE</w:t>
      </w:r>
      <w:r w:rsidRPr="004068F6">
        <w:rPr>
          <w:spacing w:val="-3"/>
        </w:rPr>
        <w:t xml:space="preserve"> debe </w:t>
      </w:r>
      <w:r w:rsidR="007D7C43" w:rsidRPr="004068F6">
        <w:rPr>
          <w:spacing w:val="-3"/>
        </w:rPr>
        <w:t>sintetizarse</w:t>
      </w:r>
      <w:r w:rsidRPr="004068F6">
        <w:rPr>
          <w:spacing w:val="-3"/>
        </w:rPr>
        <w:t xml:space="preserve"> </w:t>
      </w:r>
      <w:r w:rsidR="007D7C43" w:rsidRPr="004068F6">
        <w:rPr>
          <w:spacing w:val="-3"/>
        </w:rPr>
        <w:t xml:space="preserve">en </w:t>
      </w:r>
      <w:r w:rsidR="00FD144E">
        <w:rPr>
          <w:spacing w:val="-3"/>
        </w:rPr>
        <w:t xml:space="preserve">una </w:t>
      </w:r>
      <w:r w:rsidR="00E37A4E">
        <w:rPr>
          <w:spacing w:val="-3"/>
        </w:rPr>
        <w:t xml:space="preserve">matriz </w:t>
      </w:r>
      <w:r w:rsidR="00FD144E">
        <w:rPr>
          <w:spacing w:val="-3"/>
        </w:rPr>
        <w:t xml:space="preserve">que </w:t>
      </w:r>
      <w:r w:rsidR="00E37A4E">
        <w:rPr>
          <w:spacing w:val="-3"/>
        </w:rPr>
        <w:t xml:space="preserve">emplee las columnas definidas en </w:t>
      </w:r>
      <w:r w:rsidRPr="004068F6">
        <w:rPr>
          <w:spacing w:val="-3"/>
        </w:rPr>
        <w:t xml:space="preserve">la </w:t>
      </w:r>
      <w:r w:rsidR="00FC2D5D" w:rsidRPr="004068F6">
        <w:rPr>
          <w:spacing w:val="-3"/>
        </w:rPr>
        <w:fldChar w:fldCharType="begin"/>
      </w:r>
      <w:r w:rsidR="00FC2D5D" w:rsidRPr="004068F6">
        <w:rPr>
          <w:spacing w:val="-3"/>
        </w:rPr>
        <w:instrText xml:space="preserve"> REF _Ref78536291 \h  \* MERGEFORMAT </w:instrText>
      </w:r>
      <w:r w:rsidR="00FC2D5D" w:rsidRPr="004068F6">
        <w:rPr>
          <w:spacing w:val="-3"/>
        </w:rPr>
      </w:r>
      <w:r w:rsidR="00FC2D5D" w:rsidRPr="004068F6">
        <w:rPr>
          <w:spacing w:val="-3"/>
        </w:rPr>
        <w:fldChar w:fldCharType="separate"/>
      </w:r>
      <w:r w:rsidR="009C4A81" w:rsidRPr="009C4A81">
        <w:rPr>
          <w:rFonts w:cs="Arial"/>
          <w:spacing w:val="-3"/>
        </w:rPr>
        <w:t>Tabla 28</w:t>
      </w:r>
      <w:r w:rsidR="00FC2D5D" w:rsidRPr="004068F6">
        <w:rPr>
          <w:spacing w:val="-3"/>
        </w:rPr>
        <w:fldChar w:fldCharType="end"/>
      </w:r>
      <w:r w:rsidR="00FD144E">
        <w:rPr>
          <w:spacing w:val="-3"/>
        </w:rPr>
        <w:t xml:space="preserve"> de este documento</w:t>
      </w:r>
      <w:r w:rsidRPr="004068F6">
        <w:rPr>
          <w:rFonts w:cs="Arial"/>
          <w:spacing w:val="-3"/>
        </w:rPr>
        <w:t>,</w:t>
      </w:r>
      <w:r w:rsidRPr="004068F6">
        <w:rPr>
          <w:spacing w:val="-3"/>
        </w:rPr>
        <w:t xml:space="preserve"> a fin de facilitar el proceso de evaluación </w:t>
      </w:r>
      <w:r w:rsidRPr="004068F6">
        <w:rPr>
          <w:rFonts w:cs="Arial"/>
          <w:spacing w:val="-3"/>
        </w:rPr>
        <w:t xml:space="preserve">que efectúan las autoridades ambientales </w:t>
      </w:r>
      <w:r w:rsidRPr="004068F6">
        <w:rPr>
          <w:spacing w:val="-3"/>
        </w:rPr>
        <w:t>y de servir como insumo de otros capítulos</w:t>
      </w:r>
      <w:r w:rsidRPr="004068F6">
        <w:rPr>
          <w:rFonts w:cs="Arial"/>
          <w:spacing w:val="-3"/>
        </w:rPr>
        <w:t>,</w:t>
      </w:r>
      <w:r w:rsidRPr="004068F6">
        <w:rPr>
          <w:spacing w:val="-3"/>
        </w:rPr>
        <w:t xml:space="preserve"> como la </w:t>
      </w:r>
      <w:r w:rsidRPr="004068F6">
        <w:rPr>
          <w:rFonts w:cs="Arial"/>
          <w:spacing w:val="-3"/>
        </w:rPr>
        <w:t>evaluación económica ambiental</w:t>
      </w:r>
      <w:r w:rsidRPr="004068F6">
        <w:rPr>
          <w:spacing w:val="-3"/>
        </w:rPr>
        <w:t xml:space="preserve"> y la formulación de planes y programas</w:t>
      </w:r>
      <w:r w:rsidRPr="004068F6">
        <w:rPr>
          <w:rFonts w:cs="Arial"/>
          <w:spacing w:val="-3"/>
        </w:rPr>
        <w:t xml:space="preserve">. </w:t>
      </w:r>
      <w:r w:rsidR="009C2BE2">
        <w:rPr>
          <w:rFonts w:cs="Arial"/>
          <w:spacing w:val="-3"/>
        </w:rPr>
        <w:t xml:space="preserve">Los ejemplos </w:t>
      </w:r>
      <w:r w:rsidRPr="004068F6">
        <w:rPr>
          <w:rFonts w:cs="Arial"/>
          <w:spacing w:val="-3"/>
        </w:rPr>
        <w:t>consignad</w:t>
      </w:r>
      <w:r w:rsidR="009C2BE2">
        <w:rPr>
          <w:rFonts w:cs="Arial"/>
          <w:spacing w:val="-3"/>
        </w:rPr>
        <w:t>os</w:t>
      </w:r>
      <w:r w:rsidRPr="004068F6">
        <w:rPr>
          <w:rFonts w:cs="Arial"/>
          <w:spacing w:val="-3"/>
        </w:rPr>
        <w:t xml:space="preserve"> </w:t>
      </w:r>
      <w:r w:rsidR="00563954">
        <w:rPr>
          <w:rFonts w:cs="Arial"/>
          <w:spacing w:val="-3"/>
        </w:rPr>
        <w:t xml:space="preserve">en </w:t>
      </w:r>
      <w:r w:rsidR="00F71A83" w:rsidRPr="004068F6">
        <w:rPr>
          <w:rFonts w:cs="Arial"/>
          <w:spacing w:val="-3"/>
        </w:rPr>
        <w:t xml:space="preserve">la </w:t>
      </w:r>
      <w:r w:rsidR="00F71A83" w:rsidRPr="004068F6">
        <w:rPr>
          <w:spacing w:val="-3"/>
        </w:rPr>
        <w:fldChar w:fldCharType="begin"/>
      </w:r>
      <w:r w:rsidR="00F71A83" w:rsidRPr="004068F6">
        <w:rPr>
          <w:spacing w:val="-3"/>
        </w:rPr>
        <w:instrText xml:space="preserve"> REF _Ref78536291 \h  \* MERGEFORMAT </w:instrText>
      </w:r>
      <w:r w:rsidR="00F71A83" w:rsidRPr="004068F6">
        <w:rPr>
          <w:spacing w:val="-3"/>
        </w:rPr>
      </w:r>
      <w:r w:rsidR="00F71A83" w:rsidRPr="004068F6">
        <w:rPr>
          <w:spacing w:val="-3"/>
        </w:rPr>
        <w:fldChar w:fldCharType="separate"/>
      </w:r>
      <w:r w:rsidR="009C4A81" w:rsidRPr="009C4A81">
        <w:rPr>
          <w:rFonts w:cs="Arial"/>
          <w:spacing w:val="-3"/>
        </w:rPr>
        <w:t>Tabla 28</w:t>
      </w:r>
      <w:r w:rsidR="00F71A83" w:rsidRPr="004068F6">
        <w:rPr>
          <w:spacing w:val="-3"/>
        </w:rPr>
        <w:fldChar w:fldCharType="end"/>
      </w:r>
      <w:r w:rsidR="00F71A83" w:rsidRPr="004068F6">
        <w:rPr>
          <w:spacing w:val="-3"/>
        </w:rPr>
        <w:t xml:space="preserve"> </w:t>
      </w:r>
      <w:r w:rsidR="00F71A83" w:rsidRPr="004068F6">
        <w:rPr>
          <w:rFonts w:cs="Arial"/>
          <w:spacing w:val="-3"/>
        </w:rPr>
        <w:t xml:space="preserve">de este documento </w:t>
      </w:r>
      <w:r w:rsidR="009C2BE2">
        <w:rPr>
          <w:rFonts w:cs="Arial"/>
          <w:spacing w:val="-3"/>
        </w:rPr>
        <w:t xml:space="preserve">son </w:t>
      </w:r>
      <w:r w:rsidRPr="004068F6">
        <w:rPr>
          <w:rFonts w:cs="Arial"/>
          <w:spacing w:val="-3"/>
        </w:rPr>
        <w:t xml:space="preserve">sólo de referencia, y siempre se debe evaluar su pertinencia y aplicabilidad, </w:t>
      </w:r>
      <w:r w:rsidR="00467CE5" w:rsidRPr="004068F6">
        <w:rPr>
          <w:rFonts w:cs="Arial"/>
          <w:spacing w:val="-3"/>
        </w:rPr>
        <w:t>de acuerdo con</w:t>
      </w:r>
      <w:r w:rsidRPr="004068F6">
        <w:rPr>
          <w:rFonts w:cs="Arial"/>
          <w:spacing w:val="-3"/>
        </w:rPr>
        <w:t xml:space="preserve"> las particularidades de cada caso.</w:t>
      </w:r>
    </w:p>
    <w:p w14:paraId="531703E0" w14:textId="77777777" w:rsidR="00970A40" w:rsidRPr="004068F6" w:rsidRDefault="00970A40" w:rsidP="00970A40">
      <w:pPr>
        <w:numPr>
          <w:ilvl w:val="12"/>
          <w:numId w:val="0"/>
        </w:numPr>
        <w:tabs>
          <w:tab w:val="left" w:pos="-2268"/>
        </w:tabs>
        <w:suppressAutoHyphens/>
        <w:rPr>
          <w:rFonts w:cs="Arial"/>
          <w:spacing w:val="-3"/>
        </w:rPr>
      </w:pPr>
    </w:p>
    <w:p w14:paraId="2C223403" w14:textId="146E255D" w:rsidR="00970A40" w:rsidRPr="004068F6" w:rsidRDefault="00D7677D" w:rsidP="00970A40">
      <w:pPr>
        <w:numPr>
          <w:ilvl w:val="12"/>
          <w:numId w:val="0"/>
        </w:numPr>
        <w:tabs>
          <w:tab w:val="left" w:pos="-2268"/>
        </w:tabs>
        <w:suppressAutoHyphens/>
        <w:rPr>
          <w:rFonts w:cs="Arial"/>
          <w:spacing w:val="-3"/>
        </w:rPr>
        <w:sectPr w:rsidR="00970A40" w:rsidRPr="004068F6" w:rsidSect="006D5535">
          <w:headerReference w:type="even" r:id="rId66"/>
          <w:headerReference w:type="default" r:id="rId67"/>
          <w:headerReference w:type="first" r:id="rId68"/>
          <w:endnotePr>
            <w:numFmt w:val="decimal"/>
          </w:endnotePr>
          <w:pgSz w:w="12242" w:h="15842" w:code="1"/>
          <w:pgMar w:top="2268" w:right="1701" w:bottom="1701" w:left="1701" w:header="1134" w:footer="851" w:gutter="0"/>
          <w:cols w:space="720"/>
          <w:docGrid w:linePitch="326"/>
        </w:sectPr>
      </w:pPr>
      <w:r w:rsidRPr="004068F6">
        <w:rPr>
          <w:rFonts w:cs="Arial"/>
          <w:spacing w:val="-3"/>
        </w:rPr>
        <w:t>S</w:t>
      </w:r>
      <w:r w:rsidR="00C345B0" w:rsidRPr="004068F6">
        <w:rPr>
          <w:rFonts w:cs="Arial"/>
          <w:spacing w:val="-3"/>
        </w:rPr>
        <w:t>e debe</w:t>
      </w:r>
      <w:r w:rsidR="00C345B0" w:rsidRPr="004068F6">
        <w:rPr>
          <w:spacing w:val="-3"/>
        </w:rPr>
        <w:t xml:space="preserve"> </w:t>
      </w:r>
      <w:r w:rsidR="00B763F1" w:rsidRPr="004068F6">
        <w:rPr>
          <w:spacing w:val="-3"/>
        </w:rPr>
        <w:t xml:space="preserve">presentar la </w:t>
      </w:r>
      <w:r w:rsidR="00C345B0" w:rsidRPr="004068F6">
        <w:rPr>
          <w:spacing w:val="-3"/>
        </w:rPr>
        <w:t xml:space="preserve">información requerida en la </w:t>
      </w:r>
      <w:r w:rsidR="00C345B0" w:rsidRPr="004068F6">
        <w:rPr>
          <w:spacing w:val="-3"/>
        </w:rPr>
        <w:fldChar w:fldCharType="begin"/>
      </w:r>
      <w:r w:rsidR="00C345B0" w:rsidRPr="004068F6">
        <w:rPr>
          <w:spacing w:val="-3"/>
        </w:rPr>
        <w:instrText xml:space="preserve"> REF _Ref78536291 \h  \* MERGEFORMAT </w:instrText>
      </w:r>
      <w:r w:rsidR="00C345B0" w:rsidRPr="004068F6">
        <w:rPr>
          <w:spacing w:val="-3"/>
        </w:rPr>
      </w:r>
      <w:r w:rsidR="00C345B0" w:rsidRPr="004068F6">
        <w:rPr>
          <w:spacing w:val="-3"/>
        </w:rPr>
        <w:fldChar w:fldCharType="separate"/>
      </w:r>
      <w:r w:rsidR="009C4A81" w:rsidRPr="009C4A81">
        <w:rPr>
          <w:rFonts w:cs="Arial"/>
          <w:spacing w:val="-3"/>
        </w:rPr>
        <w:t>Tabla 28</w:t>
      </w:r>
      <w:r w:rsidR="00C345B0" w:rsidRPr="004068F6">
        <w:rPr>
          <w:spacing w:val="-3"/>
        </w:rPr>
        <w:fldChar w:fldCharType="end"/>
      </w:r>
      <w:r w:rsidR="00C345B0" w:rsidRPr="004068F6">
        <w:rPr>
          <w:spacing w:val="-3"/>
        </w:rPr>
        <w:t xml:space="preserve"> </w:t>
      </w:r>
      <w:r w:rsidR="00B763F1" w:rsidRPr="004068F6">
        <w:rPr>
          <w:spacing w:val="-3"/>
        </w:rPr>
        <w:t xml:space="preserve">para las </w:t>
      </w:r>
      <w:r w:rsidR="001E6617" w:rsidRPr="004068F6">
        <w:rPr>
          <w:spacing w:val="-3"/>
        </w:rPr>
        <w:t xml:space="preserve">unidades de análisis </w:t>
      </w:r>
      <w:r w:rsidR="002C0C08" w:rsidRPr="004068F6">
        <w:rPr>
          <w:spacing w:val="-3"/>
        </w:rPr>
        <w:t xml:space="preserve">que corresponden a cada </w:t>
      </w:r>
      <w:r w:rsidR="00AF0C07" w:rsidRPr="004068F6">
        <w:rPr>
          <w:spacing w:val="-3"/>
        </w:rPr>
        <w:t>servicio ecosistémico</w:t>
      </w:r>
      <w:r w:rsidR="00CF5C48" w:rsidRPr="004068F6">
        <w:rPr>
          <w:spacing w:val="-3"/>
        </w:rPr>
        <w:t xml:space="preserve"> según la estructura </w:t>
      </w:r>
      <w:r w:rsidR="00CF5C48" w:rsidRPr="004068F6">
        <w:rPr>
          <w:rFonts w:cs="Arial"/>
          <w:spacing w:val="-3"/>
        </w:rPr>
        <w:t>definida por la Resolución 2182 de 2016 o aquella que la modifique o sustituya.</w:t>
      </w:r>
      <w:r w:rsidR="00CF5C48" w:rsidRPr="004068F6">
        <w:rPr>
          <w:spacing w:val="-3"/>
        </w:rPr>
        <w:t xml:space="preserve"> </w:t>
      </w:r>
      <w:r w:rsidR="003E5798" w:rsidRPr="004068F6">
        <w:rPr>
          <w:spacing w:val="-3"/>
        </w:rPr>
        <w:t>Finalmente, se debe</w:t>
      </w:r>
      <w:r w:rsidR="004F49C0" w:rsidRPr="004068F6">
        <w:rPr>
          <w:spacing w:val="-3"/>
        </w:rPr>
        <w:t>n</w:t>
      </w:r>
      <w:r w:rsidR="003E5798" w:rsidRPr="004068F6">
        <w:rPr>
          <w:spacing w:val="-3"/>
        </w:rPr>
        <w:t xml:space="preserve"> </w:t>
      </w:r>
      <w:r w:rsidR="00AA25C4" w:rsidRPr="004068F6">
        <w:rPr>
          <w:spacing w:val="-3"/>
        </w:rPr>
        <w:t xml:space="preserve">representar </w:t>
      </w:r>
      <w:r w:rsidR="005D2415" w:rsidRPr="004068F6">
        <w:rPr>
          <w:spacing w:val="-3"/>
        </w:rPr>
        <w:t xml:space="preserve">en </w:t>
      </w:r>
      <w:r w:rsidR="00771CC6" w:rsidRPr="004068F6">
        <w:rPr>
          <w:spacing w:val="-3"/>
        </w:rPr>
        <w:t xml:space="preserve">un </w:t>
      </w:r>
      <w:r w:rsidR="005D2415" w:rsidRPr="004068F6">
        <w:rPr>
          <w:spacing w:val="-3"/>
        </w:rPr>
        <w:t xml:space="preserve">mapa </w:t>
      </w:r>
      <w:r w:rsidR="00EF1F5F" w:rsidRPr="004068F6">
        <w:rPr>
          <w:spacing w:val="-3"/>
        </w:rPr>
        <w:t>sobre SSEE</w:t>
      </w:r>
      <w:r w:rsidR="000D48B2" w:rsidRPr="004068F6">
        <w:rPr>
          <w:spacing w:val="-3"/>
        </w:rPr>
        <w:t>,</w:t>
      </w:r>
      <w:r w:rsidR="00EF1F5F" w:rsidRPr="004068F6">
        <w:rPr>
          <w:spacing w:val="-3"/>
        </w:rPr>
        <w:t xml:space="preserve"> </w:t>
      </w:r>
      <w:r w:rsidR="005D2415" w:rsidRPr="004068F6">
        <w:rPr>
          <w:spacing w:val="-3"/>
        </w:rPr>
        <w:t>variables</w:t>
      </w:r>
      <w:r w:rsidR="00EF1F5F" w:rsidRPr="004068F6">
        <w:rPr>
          <w:spacing w:val="-3"/>
        </w:rPr>
        <w:t xml:space="preserve"> como</w:t>
      </w:r>
      <w:r w:rsidR="007B7560" w:rsidRPr="004068F6">
        <w:rPr>
          <w:spacing w:val="-3"/>
        </w:rPr>
        <w:t xml:space="preserve"> </w:t>
      </w:r>
      <w:r w:rsidR="00970A40" w:rsidRPr="004068F6">
        <w:rPr>
          <w:spacing w:val="-3"/>
        </w:rPr>
        <w:t xml:space="preserve">la distribución </w:t>
      </w:r>
      <w:r w:rsidR="003218E3" w:rsidRPr="004068F6">
        <w:rPr>
          <w:spacing w:val="-3"/>
        </w:rPr>
        <w:t xml:space="preserve">espacial </w:t>
      </w:r>
      <w:r w:rsidR="00970A40" w:rsidRPr="004068F6">
        <w:rPr>
          <w:spacing w:val="-3"/>
        </w:rPr>
        <w:t xml:space="preserve">de los </w:t>
      </w:r>
      <w:r w:rsidR="00A75AD1" w:rsidRPr="004068F6">
        <w:rPr>
          <w:spacing w:val="-3"/>
        </w:rPr>
        <w:t>SSEE</w:t>
      </w:r>
      <w:r w:rsidR="00FC2D5D" w:rsidRPr="004068F6">
        <w:rPr>
          <w:rFonts w:cs="Arial"/>
          <w:spacing w:val="-3"/>
        </w:rPr>
        <w:t>, las áreas que los proveen, así como las zonas en las que se ubican sus beneficiarios</w:t>
      </w:r>
      <w:r w:rsidR="00970A40" w:rsidRPr="004068F6">
        <w:rPr>
          <w:spacing w:val="-3"/>
        </w:rPr>
        <w:t>.</w:t>
      </w:r>
    </w:p>
    <w:p w14:paraId="37322637" w14:textId="6187806B" w:rsidR="00970A40" w:rsidRPr="004068F6" w:rsidRDefault="00970A40" w:rsidP="00970A40">
      <w:pPr>
        <w:numPr>
          <w:ilvl w:val="12"/>
          <w:numId w:val="0"/>
        </w:numPr>
        <w:tabs>
          <w:tab w:val="left" w:pos="-2268"/>
        </w:tabs>
        <w:suppressAutoHyphens/>
        <w:jc w:val="center"/>
        <w:rPr>
          <w:bCs/>
          <w:spacing w:val="-3"/>
        </w:rPr>
      </w:pPr>
      <w:bookmarkStart w:id="3078" w:name="_Ref78536291"/>
      <w:r w:rsidRPr="004068F6">
        <w:rPr>
          <w:rFonts w:cs="Arial"/>
          <w:b/>
          <w:spacing w:val="-3"/>
        </w:rPr>
        <w:lastRenderedPageBreak/>
        <w:t xml:space="preserve">Tabla </w:t>
      </w:r>
      <w:r w:rsidRPr="004068F6">
        <w:rPr>
          <w:b/>
          <w:spacing w:val="-3"/>
        </w:rPr>
        <w:fldChar w:fldCharType="begin"/>
      </w:r>
      <w:r w:rsidRPr="004068F6">
        <w:rPr>
          <w:rFonts w:cs="Arial"/>
          <w:b/>
          <w:spacing w:val="-3"/>
        </w:rPr>
        <w:instrText xml:space="preserve"> SEQ Tabla \* ARABIC </w:instrText>
      </w:r>
      <w:r w:rsidRPr="004068F6">
        <w:rPr>
          <w:b/>
          <w:spacing w:val="-3"/>
        </w:rPr>
        <w:fldChar w:fldCharType="separate"/>
      </w:r>
      <w:r w:rsidR="009C4A81">
        <w:rPr>
          <w:rFonts w:cs="Arial"/>
          <w:b/>
          <w:noProof/>
          <w:spacing w:val="-3"/>
        </w:rPr>
        <w:t>28</w:t>
      </w:r>
      <w:r w:rsidRPr="004068F6">
        <w:rPr>
          <w:b/>
          <w:spacing w:val="-3"/>
        </w:rPr>
        <w:fldChar w:fldCharType="end"/>
      </w:r>
      <w:bookmarkEnd w:id="3078"/>
      <w:r w:rsidRPr="004068F6">
        <w:rPr>
          <w:b/>
          <w:spacing w:val="-3"/>
        </w:rPr>
        <w:t xml:space="preserve">. </w:t>
      </w:r>
      <w:r w:rsidRPr="004068F6">
        <w:rPr>
          <w:rFonts w:cs="Arial"/>
          <w:bCs/>
          <w:spacing w:val="-3"/>
        </w:rPr>
        <w:t>Evaluación</w:t>
      </w:r>
      <w:r w:rsidRPr="004068F6">
        <w:rPr>
          <w:bCs/>
          <w:spacing w:val="-3"/>
        </w:rPr>
        <w:t xml:space="preserve"> del estado y tendencia de los </w:t>
      </w:r>
      <w:r w:rsidRPr="004068F6">
        <w:rPr>
          <w:rFonts w:cs="Arial"/>
          <w:bCs/>
          <w:spacing w:val="-3"/>
        </w:rPr>
        <w:t>servicios ecosistémicos (</w:t>
      </w:r>
      <w:r w:rsidR="00A75AD1" w:rsidRPr="004068F6">
        <w:rPr>
          <w:bCs/>
          <w:spacing w:val="-3"/>
        </w:rPr>
        <w:t>SSEE</w:t>
      </w:r>
      <w:r w:rsidRPr="004068F6">
        <w:rPr>
          <w:rFonts w:cs="Arial"/>
          <w:bCs/>
          <w:spacing w:val="-3"/>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901"/>
        <w:gridCol w:w="1701"/>
        <w:gridCol w:w="1018"/>
        <w:gridCol w:w="1018"/>
        <w:gridCol w:w="1018"/>
        <w:gridCol w:w="1018"/>
        <w:gridCol w:w="1018"/>
        <w:gridCol w:w="1018"/>
        <w:gridCol w:w="1018"/>
        <w:gridCol w:w="1018"/>
        <w:gridCol w:w="1018"/>
        <w:gridCol w:w="1018"/>
        <w:gridCol w:w="1018"/>
      </w:tblGrid>
      <w:tr w:rsidR="00825F2A" w:rsidRPr="005F5510" w14:paraId="4A212A8D" w14:textId="67E6607D" w:rsidTr="00E64F04">
        <w:trPr>
          <w:cantSplit/>
          <w:trHeight w:val="1274"/>
          <w:tblHeader/>
          <w:jc w:val="center"/>
        </w:trPr>
        <w:tc>
          <w:tcPr>
            <w:tcW w:w="654" w:type="dxa"/>
            <w:vAlign w:val="center"/>
          </w:tcPr>
          <w:p w14:paraId="19F0DEA1" w14:textId="77777777" w:rsidR="00825F2A" w:rsidRPr="00127BD4" w:rsidRDefault="00825F2A" w:rsidP="006B0D0A">
            <w:pPr>
              <w:numPr>
                <w:ilvl w:val="12"/>
                <w:numId w:val="0"/>
              </w:numPr>
              <w:tabs>
                <w:tab w:val="left" w:pos="-2268"/>
              </w:tabs>
              <w:suppressAutoHyphens/>
              <w:jc w:val="center"/>
              <w:rPr>
                <w:rFonts w:cs="Arial"/>
                <w:b/>
                <w:bCs/>
                <w:spacing w:val="-3"/>
                <w:sz w:val="16"/>
                <w:szCs w:val="16"/>
              </w:rPr>
            </w:pPr>
            <w:r w:rsidRPr="00127BD4">
              <w:rPr>
                <w:rFonts w:cs="Arial"/>
                <w:b/>
                <w:bCs/>
                <w:spacing w:val="-3"/>
                <w:sz w:val="16"/>
                <w:szCs w:val="16"/>
              </w:rPr>
              <w:t>Tipo de SE</w:t>
            </w:r>
          </w:p>
        </w:tc>
        <w:tc>
          <w:tcPr>
            <w:tcW w:w="901" w:type="dxa"/>
            <w:tcMar>
              <w:left w:w="28" w:type="dxa"/>
              <w:right w:w="28" w:type="dxa"/>
            </w:tcMar>
            <w:vAlign w:val="center"/>
          </w:tcPr>
          <w:p w14:paraId="48998760" w14:textId="77777777" w:rsidR="00825F2A" w:rsidRPr="00127BD4" w:rsidRDefault="00825F2A" w:rsidP="006B0D0A">
            <w:pPr>
              <w:numPr>
                <w:ilvl w:val="12"/>
                <w:numId w:val="0"/>
              </w:numPr>
              <w:tabs>
                <w:tab w:val="left" w:pos="-2268"/>
              </w:tabs>
              <w:suppressAutoHyphens/>
              <w:jc w:val="center"/>
              <w:rPr>
                <w:rFonts w:cs="Arial"/>
                <w:b/>
                <w:spacing w:val="-3"/>
                <w:sz w:val="16"/>
                <w:szCs w:val="16"/>
              </w:rPr>
            </w:pPr>
            <w:r w:rsidRPr="00127BD4">
              <w:rPr>
                <w:rFonts w:cs="Arial"/>
                <w:b/>
                <w:spacing w:val="-3"/>
                <w:sz w:val="16"/>
                <w:szCs w:val="16"/>
              </w:rPr>
              <w:t xml:space="preserve">Categoría </w:t>
            </w:r>
            <w:r w:rsidRPr="00127BD4">
              <w:rPr>
                <w:rFonts w:cs="Arial"/>
                <w:b/>
                <w:bCs/>
                <w:spacing w:val="-3"/>
                <w:sz w:val="16"/>
                <w:szCs w:val="16"/>
              </w:rPr>
              <w:t>del SE</w:t>
            </w:r>
            <w:r w:rsidRPr="00127BD4">
              <w:rPr>
                <w:rFonts w:cs="Arial"/>
                <w:b/>
                <w:bCs/>
                <w:spacing w:val="-3"/>
                <w:sz w:val="16"/>
                <w:szCs w:val="16"/>
                <w:vertAlign w:val="superscript"/>
              </w:rPr>
              <w:t>1</w:t>
            </w:r>
          </w:p>
        </w:tc>
        <w:tc>
          <w:tcPr>
            <w:tcW w:w="1701" w:type="dxa"/>
            <w:vAlign w:val="center"/>
          </w:tcPr>
          <w:p w14:paraId="44EB5341" w14:textId="77777777" w:rsidR="00825F2A" w:rsidRPr="00127BD4" w:rsidRDefault="00825F2A" w:rsidP="006B0D0A">
            <w:pPr>
              <w:numPr>
                <w:ilvl w:val="12"/>
                <w:numId w:val="0"/>
              </w:numPr>
              <w:tabs>
                <w:tab w:val="left" w:pos="-2268"/>
              </w:tabs>
              <w:suppressAutoHyphens/>
              <w:jc w:val="center"/>
              <w:rPr>
                <w:rFonts w:cs="Arial"/>
                <w:b/>
                <w:spacing w:val="-3"/>
                <w:sz w:val="16"/>
                <w:szCs w:val="16"/>
              </w:rPr>
            </w:pPr>
            <w:r w:rsidRPr="00127BD4">
              <w:rPr>
                <w:rFonts w:cs="Arial"/>
                <w:b/>
                <w:bCs/>
                <w:spacing w:val="-3"/>
                <w:sz w:val="16"/>
                <w:szCs w:val="16"/>
              </w:rPr>
              <w:t>Descripción de la categoría del SE</w:t>
            </w:r>
          </w:p>
        </w:tc>
        <w:tc>
          <w:tcPr>
            <w:tcW w:w="1018" w:type="dxa"/>
            <w:tcMar>
              <w:left w:w="28" w:type="dxa"/>
              <w:right w:w="28" w:type="dxa"/>
            </w:tcMar>
            <w:vAlign w:val="center"/>
          </w:tcPr>
          <w:p w14:paraId="12E5B53D" w14:textId="77777777" w:rsidR="00825F2A" w:rsidRPr="00127BD4" w:rsidRDefault="00825F2A" w:rsidP="006B0D0A">
            <w:pPr>
              <w:numPr>
                <w:ilvl w:val="12"/>
                <w:numId w:val="0"/>
              </w:numPr>
              <w:tabs>
                <w:tab w:val="left" w:pos="-2268"/>
              </w:tabs>
              <w:suppressAutoHyphens/>
              <w:jc w:val="center"/>
              <w:rPr>
                <w:rFonts w:cs="Arial"/>
                <w:b/>
                <w:spacing w:val="-3"/>
                <w:sz w:val="16"/>
                <w:szCs w:val="16"/>
              </w:rPr>
            </w:pPr>
            <w:r w:rsidRPr="00127BD4">
              <w:rPr>
                <w:rFonts w:cs="Arial"/>
                <w:b/>
                <w:spacing w:val="-3"/>
                <w:sz w:val="16"/>
                <w:szCs w:val="16"/>
              </w:rPr>
              <w:t>Unidad de medida</w:t>
            </w:r>
            <w:r w:rsidRPr="00127BD4">
              <w:rPr>
                <w:rFonts w:cs="Arial"/>
                <w:b/>
                <w:spacing w:val="-3"/>
                <w:sz w:val="16"/>
                <w:szCs w:val="16"/>
                <w:vertAlign w:val="superscript"/>
              </w:rPr>
              <w:t>2</w:t>
            </w:r>
          </w:p>
        </w:tc>
        <w:tc>
          <w:tcPr>
            <w:tcW w:w="1018" w:type="dxa"/>
            <w:vAlign w:val="center"/>
          </w:tcPr>
          <w:p w14:paraId="46806740" w14:textId="0A03E1EA" w:rsidR="00825F2A" w:rsidRPr="00127BD4" w:rsidRDefault="00825F2A" w:rsidP="006B0D0A">
            <w:pPr>
              <w:numPr>
                <w:ilvl w:val="12"/>
                <w:numId w:val="0"/>
              </w:numPr>
              <w:tabs>
                <w:tab w:val="left" w:pos="-2268"/>
              </w:tabs>
              <w:suppressAutoHyphens/>
              <w:ind w:left="-102" w:right="-95"/>
              <w:jc w:val="center"/>
              <w:rPr>
                <w:rFonts w:cs="Arial"/>
                <w:b/>
                <w:spacing w:val="-3"/>
                <w:sz w:val="16"/>
                <w:szCs w:val="16"/>
              </w:rPr>
            </w:pPr>
            <w:r w:rsidRPr="00127BD4">
              <w:rPr>
                <w:rFonts w:cs="Arial"/>
                <w:b/>
                <w:spacing w:val="-3"/>
                <w:sz w:val="16"/>
                <w:szCs w:val="16"/>
              </w:rPr>
              <w:t>Unidad de análisis / Unidad de análisis</w:t>
            </w:r>
            <w:r w:rsidRPr="00127BD4">
              <w:rPr>
                <w:rFonts w:cs="Arial"/>
                <w:b/>
                <w:spacing w:val="-3"/>
                <w:sz w:val="16"/>
                <w:szCs w:val="16"/>
                <w:vertAlign w:val="superscript"/>
              </w:rPr>
              <w:t xml:space="preserve"> </w:t>
            </w:r>
            <w:r w:rsidRPr="00127BD4">
              <w:rPr>
                <w:rFonts w:cs="Arial"/>
                <w:b/>
                <w:spacing w:val="-3"/>
                <w:sz w:val="16"/>
                <w:szCs w:val="16"/>
              </w:rPr>
              <w:t>territorial</w:t>
            </w:r>
            <w:r w:rsidRPr="00127BD4">
              <w:rPr>
                <w:rFonts w:cs="Arial"/>
                <w:b/>
                <w:spacing w:val="-3"/>
                <w:sz w:val="16"/>
                <w:szCs w:val="16"/>
                <w:vertAlign w:val="superscript"/>
              </w:rPr>
              <w:t>3</w:t>
            </w:r>
          </w:p>
        </w:tc>
        <w:tc>
          <w:tcPr>
            <w:tcW w:w="1018" w:type="dxa"/>
            <w:vAlign w:val="center"/>
          </w:tcPr>
          <w:p w14:paraId="1166A9B9" w14:textId="09DB8B6C" w:rsidR="00825F2A" w:rsidRPr="00127BD4" w:rsidRDefault="00825F2A" w:rsidP="006B0D0A">
            <w:pPr>
              <w:numPr>
                <w:ilvl w:val="12"/>
                <w:numId w:val="0"/>
              </w:numPr>
              <w:tabs>
                <w:tab w:val="left" w:pos="-2268"/>
              </w:tabs>
              <w:suppressAutoHyphens/>
              <w:ind w:left="-102" w:right="-95"/>
              <w:jc w:val="center"/>
              <w:rPr>
                <w:rFonts w:cs="Arial"/>
                <w:b/>
                <w:spacing w:val="-3"/>
                <w:sz w:val="16"/>
                <w:szCs w:val="16"/>
              </w:rPr>
            </w:pPr>
            <w:r w:rsidRPr="00127BD4">
              <w:rPr>
                <w:rFonts w:cs="Arial"/>
                <w:b/>
                <w:spacing w:val="-3"/>
                <w:sz w:val="16"/>
                <w:szCs w:val="16"/>
              </w:rPr>
              <w:t>Estado actual del SE</w:t>
            </w:r>
          </w:p>
          <w:p w14:paraId="2A89D967" w14:textId="77777777" w:rsidR="00825F2A" w:rsidRPr="00127BD4" w:rsidRDefault="00825F2A" w:rsidP="006B0D0A">
            <w:pPr>
              <w:numPr>
                <w:ilvl w:val="12"/>
                <w:numId w:val="0"/>
              </w:numPr>
              <w:tabs>
                <w:tab w:val="left" w:pos="-2268"/>
              </w:tabs>
              <w:suppressAutoHyphens/>
              <w:ind w:left="-102" w:right="-95"/>
              <w:jc w:val="center"/>
              <w:rPr>
                <w:rFonts w:cs="Arial"/>
                <w:b/>
                <w:spacing w:val="-3"/>
                <w:sz w:val="16"/>
                <w:szCs w:val="16"/>
              </w:rPr>
            </w:pPr>
            <w:r w:rsidRPr="00127BD4">
              <w:rPr>
                <w:rFonts w:cs="Arial"/>
                <w:b/>
                <w:spacing w:val="-3"/>
                <w:sz w:val="16"/>
                <w:szCs w:val="16"/>
              </w:rPr>
              <w:t>(valor del indicador)</w:t>
            </w:r>
          </w:p>
        </w:tc>
        <w:tc>
          <w:tcPr>
            <w:tcW w:w="1018" w:type="dxa"/>
            <w:vAlign w:val="center"/>
          </w:tcPr>
          <w:p w14:paraId="2C14D8F7" w14:textId="19BF46EA" w:rsidR="00825F2A" w:rsidRPr="00AE4AB8" w:rsidRDefault="00825F2A" w:rsidP="006B0D0A">
            <w:pPr>
              <w:numPr>
                <w:ilvl w:val="12"/>
                <w:numId w:val="0"/>
              </w:numPr>
              <w:tabs>
                <w:tab w:val="left" w:pos="-2268"/>
              </w:tabs>
              <w:suppressAutoHyphens/>
              <w:ind w:left="-102" w:right="-95"/>
              <w:jc w:val="center"/>
              <w:rPr>
                <w:rFonts w:cs="Arial"/>
                <w:b/>
                <w:spacing w:val="-3"/>
                <w:sz w:val="16"/>
                <w:szCs w:val="16"/>
              </w:rPr>
            </w:pPr>
            <w:r>
              <w:rPr>
                <w:rFonts w:cs="Arial"/>
                <w:b/>
                <w:spacing w:val="-3"/>
                <w:sz w:val="16"/>
                <w:szCs w:val="16"/>
              </w:rPr>
              <w:t>Clasificación del e</w:t>
            </w:r>
            <w:r w:rsidRPr="00AE4AB8">
              <w:rPr>
                <w:rFonts w:cs="Arial"/>
                <w:b/>
                <w:spacing w:val="-3"/>
                <w:sz w:val="16"/>
                <w:szCs w:val="16"/>
              </w:rPr>
              <w:t>stado del SE</w:t>
            </w:r>
          </w:p>
          <w:p w14:paraId="1D0D1826" w14:textId="505B03A2" w:rsidR="00825F2A" w:rsidRPr="00874F22" w:rsidRDefault="00825F2A" w:rsidP="006B0D0A">
            <w:pPr>
              <w:numPr>
                <w:ilvl w:val="12"/>
                <w:numId w:val="0"/>
              </w:numPr>
              <w:tabs>
                <w:tab w:val="left" w:pos="-2268"/>
              </w:tabs>
              <w:suppressAutoHyphens/>
              <w:ind w:left="-102" w:right="-95"/>
              <w:jc w:val="center"/>
              <w:rPr>
                <w:rFonts w:cs="Arial"/>
                <w:b/>
                <w:spacing w:val="-3"/>
                <w:sz w:val="16"/>
                <w:szCs w:val="16"/>
              </w:rPr>
            </w:pPr>
            <w:r w:rsidRPr="00AE4AB8">
              <w:rPr>
                <w:rFonts w:cs="Arial"/>
                <w:b/>
                <w:spacing w:val="-3"/>
                <w:sz w:val="16"/>
                <w:szCs w:val="16"/>
              </w:rPr>
              <w:t>(</w:t>
            </w:r>
            <w:r>
              <w:rPr>
                <w:rFonts w:cs="Arial"/>
                <w:b/>
                <w:spacing w:val="-3"/>
                <w:sz w:val="16"/>
                <w:szCs w:val="16"/>
              </w:rPr>
              <w:t>Bueno, Regular, Malo</w:t>
            </w:r>
            <w:r w:rsidRPr="00AE4AB8">
              <w:rPr>
                <w:rFonts w:cs="Arial"/>
                <w:b/>
                <w:spacing w:val="-3"/>
                <w:sz w:val="16"/>
                <w:szCs w:val="16"/>
              </w:rPr>
              <w:t>)</w:t>
            </w:r>
          </w:p>
        </w:tc>
        <w:tc>
          <w:tcPr>
            <w:tcW w:w="1018" w:type="dxa"/>
            <w:tcMar>
              <w:left w:w="28" w:type="dxa"/>
              <w:right w:w="28" w:type="dxa"/>
            </w:tcMar>
            <w:vAlign w:val="center"/>
          </w:tcPr>
          <w:p w14:paraId="05660AEE" w14:textId="48A27606" w:rsidR="00825F2A" w:rsidRPr="00127BD4" w:rsidRDefault="00825F2A" w:rsidP="006B0D0A">
            <w:pPr>
              <w:numPr>
                <w:ilvl w:val="12"/>
                <w:numId w:val="0"/>
              </w:numPr>
              <w:tabs>
                <w:tab w:val="left" w:pos="-2268"/>
              </w:tabs>
              <w:suppressAutoHyphens/>
              <w:jc w:val="center"/>
              <w:rPr>
                <w:rFonts w:cs="Arial"/>
                <w:b/>
                <w:spacing w:val="-3"/>
                <w:sz w:val="16"/>
                <w:szCs w:val="16"/>
              </w:rPr>
            </w:pPr>
            <w:r w:rsidRPr="00127BD4">
              <w:rPr>
                <w:rFonts w:cs="Arial"/>
                <w:b/>
                <w:spacing w:val="-3"/>
                <w:sz w:val="16"/>
                <w:szCs w:val="16"/>
              </w:rPr>
              <w:t>Tendencia futura del SE</w:t>
            </w:r>
            <w:r w:rsidRPr="00127BD4">
              <w:rPr>
                <w:rFonts w:cs="Arial"/>
                <w:b/>
                <w:bCs/>
                <w:spacing w:val="-3"/>
                <w:sz w:val="16"/>
                <w:szCs w:val="16"/>
              </w:rPr>
              <w:t xml:space="preserve"> en el escenario sin proyecto</w:t>
            </w:r>
            <w:r w:rsidRPr="00127BD4">
              <w:rPr>
                <w:rFonts w:cs="Arial"/>
                <w:b/>
                <w:spacing w:val="-3"/>
                <w:sz w:val="16"/>
                <w:szCs w:val="16"/>
                <w:vertAlign w:val="superscript"/>
              </w:rPr>
              <w:t>4</w:t>
            </w:r>
          </w:p>
        </w:tc>
        <w:tc>
          <w:tcPr>
            <w:tcW w:w="1018" w:type="dxa"/>
            <w:vAlign w:val="center"/>
          </w:tcPr>
          <w:p w14:paraId="2BE5B214" w14:textId="04A73403" w:rsidR="00F44C53" w:rsidRPr="00127BD4" w:rsidRDefault="00F44C53" w:rsidP="009951DE">
            <w:pPr>
              <w:numPr>
                <w:ilvl w:val="12"/>
                <w:numId w:val="0"/>
              </w:numPr>
              <w:tabs>
                <w:tab w:val="left" w:pos="-2268"/>
              </w:tabs>
              <w:suppressAutoHyphens/>
              <w:ind w:left="-102" w:right="-95"/>
              <w:jc w:val="center"/>
              <w:rPr>
                <w:rFonts w:cs="Arial"/>
                <w:b/>
                <w:spacing w:val="-3"/>
                <w:sz w:val="16"/>
                <w:szCs w:val="16"/>
              </w:rPr>
            </w:pPr>
            <w:r>
              <w:rPr>
                <w:rFonts w:cs="Arial"/>
                <w:b/>
                <w:bCs/>
                <w:spacing w:val="-3"/>
                <w:sz w:val="16"/>
                <w:szCs w:val="16"/>
              </w:rPr>
              <w:t>C</w:t>
            </w:r>
            <w:r w:rsidRPr="00127BD4">
              <w:rPr>
                <w:rFonts w:cs="Arial"/>
                <w:b/>
                <w:bCs/>
                <w:spacing w:val="-3"/>
                <w:sz w:val="16"/>
                <w:szCs w:val="16"/>
              </w:rPr>
              <w:t>antidad</w:t>
            </w:r>
            <w:r w:rsidRPr="00127BD4">
              <w:rPr>
                <w:rFonts w:cs="Arial"/>
                <w:b/>
                <w:spacing w:val="-3"/>
                <w:sz w:val="16"/>
                <w:szCs w:val="16"/>
              </w:rPr>
              <w:t xml:space="preserve"> de </w:t>
            </w:r>
            <w:r>
              <w:rPr>
                <w:rFonts w:cs="Arial"/>
                <w:b/>
                <w:spacing w:val="-3"/>
                <w:sz w:val="16"/>
                <w:szCs w:val="16"/>
              </w:rPr>
              <w:t xml:space="preserve">beneficiarios </w:t>
            </w:r>
            <w:r w:rsidRPr="00127BD4">
              <w:rPr>
                <w:rFonts w:cs="Arial"/>
                <w:b/>
                <w:spacing w:val="-3"/>
                <w:sz w:val="16"/>
                <w:szCs w:val="16"/>
              </w:rPr>
              <w:t>del SE</w:t>
            </w:r>
          </w:p>
          <w:p w14:paraId="5AE0438C" w14:textId="6A622FC5" w:rsidR="00825F2A" w:rsidRDefault="00F44C53" w:rsidP="009951DE">
            <w:pPr>
              <w:numPr>
                <w:ilvl w:val="12"/>
                <w:numId w:val="0"/>
              </w:numPr>
              <w:tabs>
                <w:tab w:val="left" w:pos="-2268"/>
              </w:tabs>
              <w:suppressAutoHyphens/>
              <w:ind w:left="-102" w:right="-95"/>
              <w:jc w:val="center"/>
              <w:rPr>
                <w:rFonts w:cs="Arial"/>
                <w:b/>
                <w:bCs/>
                <w:spacing w:val="-3"/>
                <w:sz w:val="16"/>
                <w:szCs w:val="16"/>
              </w:rPr>
            </w:pPr>
            <w:r w:rsidRPr="00127BD4">
              <w:rPr>
                <w:rFonts w:cs="Arial"/>
                <w:b/>
                <w:spacing w:val="-3"/>
                <w:sz w:val="16"/>
                <w:szCs w:val="16"/>
              </w:rPr>
              <w:t>(número de personas)</w:t>
            </w:r>
            <w:r w:rsidR="009951DE">
              <w:rPr>
                <w:rFonts w:cs="Arial"/>
                <w:b/>
                <w:bCs/>
                <w:spacing w:val="-3"/>
                <w:sz w:val="16"/>
                <w:szCs w:val="16"/>
                <w:vertAlign w:val="superscript"/>
              </w:rPr>
              <w:t xml:space="preserve"> 5</w:t>
            </w:r>
          </w:p>
        </w:tc>
        <w:tc>
          <w:tcPr>
            <w:tcW w:w="1018" w:type="dxa"/>
            <w:vAlign w:val="center"/>
          </w:tcPr>
          <w:p w14:paraId="65F107A6" w14:textId="5A67F146" w:rsidR="00825F2A" w:rsidRPr="00127BD4" w:rsidRDefault="00825F2A" w:rsidP="006B0D0A">
            <w:pPr>
              <w:numPr>
                <w:ilvl w:val="12"/>
                <w:numId w:val="0"/>
              </w:numPr>
              <w:tabs>
                <w:tab w:val="left" w:pos="-2268"/>
              </w:tabs>
              <w:suppressAutoHyphens/>
              <w:ind w:left="-102" w:right="-95"/>
              <w:jc w:val="center"/>
              <w:rPr>
                <w:rFonts w:cs="Arial"/>
                <w:b/>
                <w:spacing w:val="-3"/>
                <w:sz w:val="16"/>
                <w:szCs w:val="16"/>
              </w:rPr>
            </w:pPr>
            <w:r>
              <w:rPr>
                <w:rFonts w:cs="Arial"/>
                <w:b/>
                <w:bCs/>
                <w:spacing w:val="-3"/>
                <w:sz w:val="16"/>
                <w:szCs w:val="16"/>
              </w:rPr>
              <w:t xml:space="preserve">Tipo </w:t>
            </w:r>
            <w:r w:rsidRPr="00127BD4">
              <w:rPr>
                <w:rFonts w:cs="Arial"/>
                <w:b/>
                <w:spacing w:val="-3"/>
                <w:sz w:val="16"/>
                <w:szCs w:val="16"/>
              </w:rPr>
              <w:t xml:space="preserve">de </w:t>
            </w:r>
            <w:r>
              <w:rPr>
                <w:rFonts w:cs="Arial"/>
                <w:b/>
                <w:spacing w:val="-3"/>
                <w:sz w:val="16"/>
                <w:szCs w:val="16"/>
              </w:rPr>
              <w:t xml:space="preserve">beneficiarios </w:t>
            </w:r>
            <w:r w:rsidRPr="00127BD4">
              <w:rPr>
                <w:rFonts w:cs="Arial"/>
                <w:b/>
                <w:spacing w:val="-3"/>
                <w:sz w:val="16"/>
                <w:szCs w:val="16"/>
              </w:rPr>
              <w:t>del SE</w:t>
            </w:r>
          </w:p>
          <w:p w14:paraId="4E44B642" w14:textId="75ADE711" w:rsidR="00825F2A" w:rsidRPr="00127BD4" w:rsidRDefault="00825F2A" w:rsidP="006B0D0A">
            <w:pPr>
              <w:numPr>
                <w:ilvl w:val="12"/>
                <w:numId w:val="0"/>
              </w:numPr>
              <w:tabs>
                <w:tab w:val="left" w:pos="-2268"/>
              </w:tabs>
              <w:suppressAutoHyphens/>
              <w:ind w:left="-102" w:right="-95"/>
              <w:jc w:val="center"/>
              <w:rPr>
                <w:rFonts w:cs="Arial"/>
                <w:b/>
                <w:bCs/>
                <w:spacing w:val="-3"/>
                <w:sz w:val="16"/>
                <w:szCs w:val="16"/>
              </w:rPr>
            </w:pPr>
          </w:p>
        </w:tc>
        <w:tc>
          <w:tcPr>
            <w:tcW w:w="1018" w:type="dxa"/>
            <w:vAlign w:val="center"/>
          </w:tcPr>
          <w:p w14:paraId="6A4E9491" w14:textId="5D379D18" w:rsidR="00825F2A" w:rsidRPr="00127BD4" w:rsidRDefault="00825F2A" w:rsidP="006B0D0A">
            <w:pPr>
              <w:numPr>
                <w:ilvl w:val="12"/>
                <w:numId w:val="0"/>
              </w:numPr>
              <w:tabs>
                <w:tab w:val="left" w:pos="-2268"/>
              </w:tabs>
              <w:suppressAutoHyphens/>
              <w:ind w:left="-102" w:right="-95"/>
              <w:jc w:val="center"/>
              <w:rPr>
                <w:rFonts w:cs="Arial"/>
                <w:b/>
                <w:spacing w:val="-3"/>
                <w:sz w:val="16"/>
                <w:szCs w:val="16"/>
              </w:rPr>
            </w:pPr>
            <w:r w:rsidRPr="00127BD4">
              <w:rPr>
                <w:rFonts w:cs="Arial"/>
                <w:b/>
                <w:spacing w:val="-3"/>
                <w:sz w:val="16"/>
                <w:szCs w:val="16"/>
              </w:rPr>
              <w:t>Dependencia de l</w:t>
            </w:r>
            <w:r w:rsidR="00751E23">
              <w:rPr>
                <w:rFonts w:cs="Arial"/>
                <w:b/>
                <w:spacing w:val="-3"/>
                <w:sz w:val="16"/>
                <w:szCs w:val="16"/>
              </w:rPr>
              <w:t>o</w:t>
            </w:r>
            <w:r w:rsidRPr="00127BD4">
              <w:rPr>
                <w:rFonts w:cs="Arial"/>
                <w:b/>
                <w:spacing w:val="-3"/>
                <w:sz w:val="16"/>
                <w:szCs w:val="16"/>
              </w:rPr>
              <w:t xml:space="preserve">s </w:t>
            </w:r>
            <w:r w:rsidR="00751E23">
              <w:rPr>
                <w:rFonts w:cs="Arial"/>
                <w:b/>
                <w:spacing w:val="-3"/>
                <w:sz w:val="16"/>
                <w:szCs w:val="16"/>
              </w:rPr>
              <w:t xml:space="preserve">beneficiarios </w:t>
            </w:r>
            <w:r w:rsidRPr="00127BD4">
              <w:rPr>
                <w:rFonts w:cs="Arial"/>
                <w:b/>
                <w:spacing w:val="-3"/>
                <w:sz w:val="16"/>
                <w:szCs w:val="16"/>
              </w:rPr>
              <w:t>al SE</w:t>
            </w:r>
          </w:p>
          <w:p w14:paraId="7548C42F" w14:textId="63A66DA5" w:rsidR="00825F2A" w:rsidRPr="00127BD4" w:rsidRDefault="00825F2A" w:rsidP="006B0D0A">
            <w:pPr>
              <w:numPr>
                <w:ilvl w:val="12"/>
                <w:numId w:val="0"/>
              </w:numPr>
              <w:tabs>
                <w:tab w:val="left" w:pos="-2268"/>
              </w:tabs>
              <w:suppressAutoHyphens/>
              <w:ind w:left="-102" w:right="-95"/>
              <w:jc w:val="center"/>
              <w:rPr>
                <w:rFonts w:cs="Arial"/>
                <w:b/>
                <w:bCs/>
                <w:spacing w:val="-3"/>
                <w:sz w:val="16"/>
                <w:szCs w:val="16"/>
              </w:rPr>
            </w:pPr>
            <w:r w:rsidRPr="00127BD4">
              <w:rPr>
                <w:rFonts w:cs="Arial"/>
                <w:b/>
                <w:spacing w:val="-3"/>
                <w:sz w:val="16"/>
                <w:szCs w:val="16"/>
              </w:rPr>
              <w:t>(Alta, Media, Baja)</w:t>
            </w:r>
          </w:p>
        </w:tc>
        <w:tc>
          <w:tcPr>
            <w:tcW w:w="1018" w:type="dxa"/>
            <w:vAlign w:val="center"/>
          </w:tcPr>
          <w:p w14:paraId="6127787E" w14:textId="4CC13BD0" w:rsidR="00825F2A" w:rsidRPr="00127BD4" w:rsidRDefault="007A502A" w:rsidP="006B0D0A">
            <w:pPr>
              <w:numPr>
                <w:ilvl w:val="12"/>
                <w:numId w:val="0"/>
              </w:numPr>
              <w:tabs>
                <w:tab w:val="left" w:pos="-2268"/>
              </w:tabs>
              <w:suppressAutoHyphens/>
              <w:ind w:left="-102" w:right="-95"/>
              <w:jc w:val="center"/>
              <w:rPr>
                <w:rFonts w:cs="Arial"/>
                <w:b/>
                <w:bCs/>
                <w:spacing w:val="-3"/>
                <w:sz w:val="16"/>
                <w:szCs w:val="16"/>
              </w:rPr>
            </w:pPr>
            <w:r>
              <w:rPr>
                <w:rFonts w:cs="Arial"/>
                <w:b/>
                <w:spacing w:val="-3"/>
                <w:sz w:val="16"/>
                <w:szCs w:val="16"/>
              </w:rPr>
              <w:t>D</w:t>
            </w:r>
            <w:r w:rsidR="00825F2A">
              <w:rPr>
                <w:rFonts w:cs="Arial"/>
                <w:b/>
                <w:spacing w:val="-3"/>
                <w:sz w:val="16"/>
                <w:szCs w:val="16"/>
              </w:rPr>
              <w:t xml:space="preserve">erecho humano </w:t>
            </w:r>
            <w:r w:rsidR="00491B6E">
              <w:rPr>
                <w:rFonts w:cs="Arial"/>
                <w:b/>
                <w:spacing w:val="-3"/>
                <w:sz w:val="16"/>
                <w:szCs w:val="16"/>
              </w:rPr>
              <w:t>con vínculo más fuerte y directo</w:t>
            </w:r>
            <w:r w:rsidR="00825F2A">
              <w:rPr>
                <w:rFonts w:cs="Arial"/>
                <w:b/>
                <w:spacing w:val="-3"/>
                <w:sz w:val="16"/>
                <w:szCs w:val="16"/>
                <w:vertAlign w:val="superscript"/>
              </w:rPr>
              <w:t>6</w:t>
            </w:r>
          </w:p>
        </w:tc>
        <w:tc>
          <w:tcPr>
            <w:tcW w:w="1018" w:type="dxa"/>
            <w:vAlign w:val="center"/>
          </w:tcPr>
          <w:p w14:paraId="36BDFD04" w14:textId="7B1B4B5F" w:rsidR="00825F2A" w:rsidRPr="00127BD4" w:rsidRDefault="00825F2A" w:rsidP="006B0D0A">
            <w:pPr>
              <w:numPr>
                <w:ilvl w:val="12"/>
                <w:numId w:val="0"/>
              </w:numPr>
              <w:tabs>
                <w:tab w:val="left" w:pos="-2268"/>
              </w:tabs>
              <w:suppressAutoHyphens/>
              <w:ind w:left="-102" w:right="-95"/>
              <w:jc w:val="center"/>
              <w:rPr>
                <w:rFonts w:cs="Arial"/>
                <w:b/>
                <w:bCs/>
                <w:spacing w:val="-3"/>
                <w:sz w:val="16"/>
                <w:szCs w:val="16"/>
              </w:rPr>
            </w:pPr>
            <w:r w:rsidRPr="00127BD4">
              <w:rPr>
                <w:rFonts w:cs="Arial"/>
                <w:b/>
                <w:bCs/>
                <w:spacing w:val="-3"/>
                <w:sz w:val="16"/>
                <w:szCs w:val="16"/>
              </w:rPr>
              <w:t>Impacto del proyecto asociado al SE</w:t>
            </w:r>
            <w:r w:rsidRPr="00127BD4">
              <w:rPr>
                <w:rFonts w:cs="Arial"/>
                <w:b/>
                <w:bCs/>
                <w:spacing w:val="-3"/>
                <w:sz w:val="16"/>
                <w:szCs w:val="16"/>
                <w:vertAlign w:val="superscript"/>
              </w:rPr>
              <w:t>5</w:t>
            </w:r>
          </w:p>
        </w:tc>
        <w:tc>
          <w:tcPr>
            <w:tcW w:w="1018" w:type="dxa"/>
            <w:tcMar>
              <w:left w:w="28" w:type="dxa"/>
              <w:right w:w="28" w:type="dxa"/>
            </w:tcMar>
            <w:vAlign w:val="center"/>
          </w:tcPr>
          <w:p w14:paraId="31A050E7" w14:textId="6DDCFA2E" w:rsidR="00825F2A" w:rsidRPr="00127BD4" w:rsidRDefault="00825F2A" w:rsidP="00CD2B1E">
            <w:pPr>
              <w:numPr>
                <w:ilvl w:val="12"/>
                <w:numId w:val="0"/>
              </w:numPr>
              <w:tabs>
                <w:tab w:val="left" w:pos="-2268"/>
              </w:tabs>
              <w:suppressAutoHyphens/>
              <w:ind w:left="3" w:right="-23"/>
              <w:jc w:val="center"/>
              <w:rPr>
                <w:rFonts w:cs="Arial"/>
                <w:b/>
                <w:bCs/>
                <w:spacing w:val="-3"/>
                <w:sz w:val="16"/>
                <w:szCs w:val="16"/>
              </w:rPr>
            </w:pPr>
            <w:r w:rsidRPr="00127BD4">
              <w:rPr>
                <w:rFonts w:cs="Arial"/>
                <w:b/>
                <w:bCs/>
                <w:spacing w:val="-3"/>
                <w:sz w:val="16"/>
                <w:szCs w:val="16"/>
              </w:rPr>
              <w:t xml:space="preserve">Categoría </w:t>
            </w:r>
            <w:r>
              <w:rPr>
                <w:rFonts w:cs="Arial"/>
                <w:b/>
                <w:bCs/>
                <w:spacing w:val="-3"/>
                <w:sz w:val="16"/>
                <w:szCs w:val="16"/>
              </w:rPr>
              <w:t xml:space="preserve">normalizada </w:t>
            </w:r>
            <w:r w:rsidRPr="00127BD4">
              <w:rPr>
                <w:rFonts w:cs="Arial"/>
                <w:b/>
                <w:bCs/>
                <w:spacing w:val="-3"/>
                <w:sz w:val="16"/>
                <w:szCs w:val="16"/>
              </w:rPr>
              <w:t>de calificación del impacto al SE</w:t>
            </w:r>
            <w:r w:rsidRPr="00AC764E">
              <w:rPr>
                <w:rFonts w:cs="Arial"/>
                <w:b/>
                <w:bCs/>
                <w:spacing w:val="-3"/>
                <w:sz w:val="16"/>
                <w:szCs w:val="16"/>
                <w:vertAlign w:val="superscript"/>
              </w:rPr>
              <w:t>7</w:t>
            </w:r>
          </w:p>
        </w:tc>
      </w:tr>
      <w:tr w:rsidR="00825F2A" w:rsidRPr="005F5510" w14:paraId="7985C15A" w14:textId="177B7D06" w:rsidTr="00E64F04">
        <w:trPr>
          <w:cantSplit/>
          <w:trHeight w:val="1134"/>
          <w:jc w:val="center"/>
        </w:trPr>
        <w:tc>
          <w:tcPr>
            <w:tcW w:w="654" w:type="dxa"/>
            <w:vMerge w:val="restart"/>
            <w:textDirection w:val="btLr"/>
            <w:vAlign w:val="center"/>
          </w:tcPr>
          <w:p w14:paraId="756A345E" w14:textId="77777777" w:rsidR="00825F2A" w:rsidRPr="00127BD4" w:rsidRDefault="00825F2A" w:rsidP="00825F2A">
            <w:pPr>
              <w:numPr>
                <w:ilvl w:val="12"/>
                <w:numId w:val="0"/>
              </w:numPr>
              <w:tabs>
                <w:tab w:val="left" w:pos="-2268"/>
              </w:tabs>
              <w:suppressAutoHyphens/>
              <w:ind w:left="113" w:right="113"/>
              <w:jc w:val="center"/>
              <w:rPr>
                <w:rFonts w:cs="Arial"/>
                <w:color w:val="000000"/>
                <w:sz w:val="16"/>
                <w:szCs w:val="16"/>
              </w:rPr>
            </w:pPr>
            <w:r w:rsidRPr="00127BD4">
              <w:rPr>
                <w:rFonts w:cs="Arial"/>
                <w:b/>
                <w:bCs/>
                <w:color w:val="000000"/>
                <w:sz w:val="16"/>
                <w:szCs w:val="16"/>
                <w:lang w:eastAsia="es-CO"/>
              </w:rPr>
              <w:t>Aprovisionamiento</w:t>
            </w:r>
          </w:p>
        </w:tc>
        <w:tc>
          <w:tcPr>
            <w:tcW w:w="901" w:type="dxa"/>
            <w:tcMar>
              <w:left w:w="28" w:type="dxa"/>
              <w:right w:w="28" w:type="dxa"/>
            </w:tcMar>
            <w:textDirection w:val="btLr"/>
            <w:vAlign w:val="center"/>
          </w:tcPr>
          <w:p w14:paraId="0667EF7D" w14:textId="77777777" w:rsidR="00825F2A" w:rsidRPr="00127BD4" w:rsidRDefault="00825F2A" w:rsidP="00825F2A">
            <w:pPr>
              <w:numPr>
                <w:ilvl w:val="12"/>
                <w:numId w:val="0"/>
              </w:numPr>
              <w:tabs>
                <w:tab w:val="left" w:pos="-2268"/>
              </w:tabs>
              <w:suppressAutoHyphens/>
              <w:jc w:val="center"/>
              <w:rPr>
                <w:rFonts w:cs="Arial"/>
                <w:spacing w:val="-3"/>
                <w:sz w:val="16"/>
                <w:szCs w:val="16"/>
              </w:rPr>
            </w:pPr>
            <w:r w:rsidRPr="00127BD4">
              <w:rPr>
                <w:rFonts w:cs="Arial"/>
                <w:color w:val="000000"/>
                <w:sz w:val="16"/>
                <w:szCs w:val="16"/>
                <w:lang w:eastAsia="es-CO"/>
              </w:rPr>
              <w:t>Provisión de agua</w:t>
            </w:r>
          </w:p>
        </w:tc>
        <w:tc>
          <w:tcPr>
            <w:tcW w:w="1701" w:type="dxa"/>
            <w:vAlign w:val="center"/>
          </w:tcPr>
          <w:p w14:paraId="5C5B531E" w14:textId="77777777" w:rsidR="00825F2A" w:rsidRPr="005F5510" w:rsidRDefault="00825F2A" w:rsidP="00825F2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Contribución del ecosistema al aporte del recurso hídrico superficial y/o subterráneo necesario para el consumo humano y el desarrollo de sus actividades socioeconómicas, conforme a sus requerimientos particulares de calidad.</w:t>
            </w:r>
          </w:p>
        </w:tc>
        <w:tc>
          <w:tcPr>
            <w:tcW w:w="1018" w:type="dxa"/>
            <w:tcMar>
              <w:left w:w="28" w:type="dxa"/>
              <w:right w:w="28" w:type="dxa"/>
            </w:tcMar>
            <w:vAlign w:val="center"/>
          </w:tcPr>
          <w:p w14:paraId="36909565" w14:textId="77777777" w:rsidR="00825F2A" w:rsidRPr="005F5510" w:rsidRDefault="00825F2A" w:rsidP="00825F2A">
            <w:pPr>
              <w:jc w:val="center"/>
              <w:rPr>
                <w:rFonts w:cs="Arial"/>
                <w:color w:val="000000"/>
                <w:sz w:val="16"/>
                <w:szCs w:val="16"/>
                <w:lang w:eastAsia="es-CO"/>
              </w:rPr>
            </w:pPr>
            <w:r w:rsidRPr="005F5510">
              <w:rPr>
                <w:rFonts w:cs="Arial"/>
                <w:color w:val="000000"/>
                <w:sz w:val="16"/>
                <w:szCs w:val="16"/>
                <w:lang w:eastAsia="es-CO"/>
              </w:rPr>
              <w:t>Caudal de agua por unidad de área</w:t>
            </w:r>
          </w:p>
          <w:p w14:paraId="63C001F4" w14:textId="77777777" w:rsidR="00825F2A" w:rsidRPr="005F5510" w:rsidRDefault="00825F2A" w:rsidP="00825F2A">
            <w:pPr>
              <w:jc w:val="center"/>
              <w:rPr>
                <w:rFonts w:cs="Arial"/>
                <w:color w:val="000000"/>
                <w:sz w:val="16"/>
                <w:szCs w:val="16"/>
                <w:lang w:eastAsia="es-CO"/>
              </w:rPr>
            </w:pPr>
          </w:p>
          <w:p w14:paraId="5817EBAB" w14:textId="77777777" w:rsidR="00825F2A" w:rsidRPr="005F5510" w:rsidRDefault="00825F2A" w:rsidP="00825F2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(m</w:t>
            </w:r>
            <w:r w:rsidRPr="005F5510">
              <w:rPr>
                <w:rFonts w:cs="Arial"/>
                <w:color w:val="000000"/>
                <w:sz w:val="16"/>
                <w:szCs w:val="16"/>
                <w:vertAlign w:val="superscript"/>
                <w:lang w:eastAsia="es-CO"/>
              </w:rPr>
              <w:t>3</w:t>
            </w:r>
            <w:r w:rsidRPr="005F5510">
              <w:rPr>
                <w:rFonts w:cs="Arial"/>
                <w:color w:val="000000"/>
                <w:sz w:val="16"/>
                <w:szCs w:val="16"/>
                <w:lang w:eastAsia="es-CO"/>
              </w:rPr>
              <w:t>/s/ha)</w:t>
            </w:r>
          </w:p>
        </w:tc>
        <w:tc>
          <w:tcPr>
            <w:tcW w:w="1018" w:type="dxa"/>
          </w:tcPr>
          <w:p w14:paraId="7EEBACAA" w14:textId="2B68CB70" w:rsidR="00825F2A" w:rsidRPr="00E64F04" w:rsidRDefault="00825F2A" w:rsidP="00825F2A">
            <w:pPr>
              <w:numPr>
                <w:ilvl w:val="12"/>
                <w:numId w:val="0"/>
              </w:numPr>
              <w:tabs>
                <w:tab w:val="left" w:pos="-2268"/>
              </w:tabs>
              <w:suppressAutoHyphens/>
              <w:rPr>
                <w:rFonts w:cs="Arial"/>
                <w:color w:val="808080" w:themeColor="background1" w:themeShade="80"/>
                <w:spacing w:val="-3"/>
                <w:sz w:val="14"/>
                <w:szCs w:val="14"/>
              </w:rPr>
            </w:pPr>
            <w:r w:rsidRPr="00E64F04">
              <w:rPr>
                <w:rFonts w:cs="Arial"/>
                <w:color w:val="808080" w:themeColor="background1" w:themeShade="80"/>
                <w:spacing w:val="-3"/>
                <w:sz w:val="14"/>
                <w:szCs w:val="14"/>
              </w:rPr>
              <w:t>Microcuenca</w:t>
            </w:r>
          </w:p>
        </w:tc>
        <w:tc>
          <w:tcPr>
            <w:tcW w:w="1018" w:type="dxa"/>
          </w:tcPr>
          <w:p w14:paraId="28B8ECE5" w14:textId="7E8808BF" w:rsidR="00825F2A" w:rsidRPr="00E64F04" w:rsidRDefault="00825F2A" w:rsidP="00825F2A">
            <w:pPr>
              <w:numPr>
                <w:ilvl w:val="12"/>
                <w:numId w:val="0"/>
              </w:numPr>
              <w:tabs>
                <w:tab w:val="left" w:pos="-2268"/>
              </w:tabs>
              <w:suppressAutoHyphens/>
              <w:rPr>
                <w:rFonts w:cs="Arial"/>
                <w:color w:val="808080" w:themeColor="background1" w:themeShade="80"/>
                <w:spacing w:val="-3"/>
                <w:sz w:val="14"/>
                <w:szCs w:val="14"/>
              </w:rPr>
            </w:pPr>
            <w:r w:rsidRPr="00E64F04">
              <w:rPr>
                <w:rFonts w:cs="Arial"/>
                <w:color w:val="808080" w:themeColor="background1" w:themeShade="80"/>
                <w:spacing w:val="-3"/>
                <w:sz w:val="14"/>
                <w:szCs w:val="14"/>
              </w:rPr>
              <w:t>0,02 m</w:t>
            </w:r>
            <w:r w:rsidRPr="00E64F04">
              <w:rPr>
                <w:rFonts w:cs="Arial"/>
                <w:color w:val="808080" w:themeColor="background1" w:themeShade="80"/>
                <w:spacing w:val="-3"/>
                <w:sz w:val="14"/>
                <w:szCs w:val="14"/>
                <w:vertAlign w:val="superscript"/>
              </w:rPr>
              <w:t>3</w:t>
            </w:r>
            <w:r w:rsidRPr="00E64F04">
              <w:rPr>
                <w:rFonts w:cs="Arial"/>
                <w:color w:val="808080" w:themeColor="background1" w:themeShade="80"/>
                <w:spacing w:val="-3"/>
                <w:sz w:val="14"/>
                <w:szCs w:val="14"/>
              </w:rPr>
              <w:t>/s/ha</w:t>
            </w:r>
          </w:p>
        </w:tc>
        <w:tc>
          <w:tcPr>
            <w:tcW w:w="1018" w:type="dxa"/>
          </w:tcPr>
          <w:p w14:paraId="7A9F3CB0" w14:textId="455C82E6" w:rsidR="00825F2A" w:rsidRPr="00E64F04" w:rsidRDefault="00825F2A" w:rsidP="00E64F04">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Regular</w:t>
            </w:r>
          </w:p>
        </w:tc>
        <w:tc>
          <w:tcPr>
            <w:tcW w:w="1018" w:type="dxa"/>
            <w:tcMar>
              <w:left w:w="28" w:type="dxa"/>
              <w:right w:w="28" w:type="dxa"/>
            </w:tcMar>
          </w:tcPr>
          <w:p w14:paraId="5964C4A3" w14:textId="46F66AA2" w:rsidR="00825F2A" w:rsidRPr="00E64F04" w:rsidRDefault="00825F2A" w:rsidP="00E64F04">
            <w:pPr>
              <w:numPr>
                <w:ilvl w:val="12"/>
                <w:numId w:val="0"/>
              </w:numPr>
              <w:tabs>
                <w:tab w:val="left" w:pos="-2268"/>
              </w:tabs>
              <w:suppressAutoHyphens/>
              <w:jc w:val="center"/>
              <w:rPr>
                <w:rFonts w:cs="Arial"/>
                <w:spacing w:val="-3"/>
                <w:sz w:val="14"/>
                <w:szCs w:val="14"/>
              </w:rPr>
            </w:pPr>
            <w:r w:rsidRPr="00E64F04">
              <w:rPr>
                <w:rFonts w:cs="Arial"/>
                <w:color w:val="808080" w:themeColor="background1" w:themeShade="80"/>
                <w:spacing w:val="-3"/>
                <w:sz w:val="14"/>
                <w:szCs w:val="14"/>
              </w:rPr>
              <w:t>Decreciente</w:t>
            </w:r>
          </w:p>
        </w:tc>
        <w:tc>
          <w:tcPr>
            <w:tcW w:w="1018" w:type="dxa"/>
          </w:tcPr>
          <w:p w14:paraId="4FF87573" w14:textId="6C55A065" w:rsidR="00825F2A" w:rsidRPr="00E64F04" w:rsidRDefault="00AE173B" w:rsidP="00825F2A">
            <w:pPr>
              <w:numPr>
                <w:ilvl w:val="12"/>
                <w:numId w:val="0"/>
              </w:numPr>
              <w:tabs>
                <w:tab w:val="left" w:pos="-2268"/>
              </w:tabs>
              <w:suppressAutoHyphens/>
              <w:jc w:val="center"/>
              <w:rPr>
                <w:rFonts w:cs="Arial"/>
                <w:color w:val="808080" w:themeColor="background1" w:themeShade="80"/>
                <w:spacing w:val="-3"/>
                <w:sz w:val="14"/>
                <w:szCs w:val="14"/>
              </w:rPr>
            </w:pPr>
            <w:r>
              <w:rPr>
                <w:rFonts w:cs="Arial"/>
                <w:color w:val="808080" w:themeColor="background1" w:themeShade="80"/>
                <w:spacing w:val="-3"/>
                <w:sz w:val="14"/>
                <w:szCs w:val="14"/>
              </w:rPr>
              <w:t>2</w:t>
            </w:r>
            <w:r w:rsidR="0078633B" w:rsidRPr="00E64F04">
              <w:rPr>
                <w:rFonts w:cs="Arial"/>
                <w:color w:val="808080" w:themeColor="background1" w:themeShade="80"/>
                <w:spacing w:val="-3"/>
                <w:sz w:val="14"/>
                <w:szCs w:val="14"/>
              </w:rPr>
              <w:t>41</w:t>
            </w:r>
          </w:p>
        </w:tc>
        <w:tc>
          <w:tcPr>
            <w:tcW w:w="1018" w:type="dxa"/>
          </w:tcPr>
          <w:p w14:paraId="5CEEB270" w14:textId="4E9F28DA" w:rsidR="00825F2A" w:rsidRPr="00E64F04" w:rsidRDefault="00825F2A" w:rsidP="00825F2A">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Campesino</w:t>
            </w:r>
          </w:p>
          <w:p w14:paraId="4C406999" w14:textId="77777777" w:rsidR="00825F2A" w:rsidRPr="00E64F04" w:rsidRDefault="00825F2A" w:rsidP="00825F2A">
            <w:pPr>
              <w:numPr>
                <w:ilvl w:val="12"/>
                <w:numId w:val="0"/>
              </w:numPr>
              <w:tabs>
                <w:tab w:val="left" w:pos="-2268"/>
              </w:tabs>
              <w:suppressAutoHyphens/>
              <w:jc w:val="center"/>
              <w:rPr>
                <w:rFonts w:cs="Arial"/>
                <w:color w:val="808080" w:themeColor="background1" w:themeShade="80"/>
                <w:spacing w:val="-3"/>
                <w:sz w:val="14"/>
                <w:szCs w:val="14"/>
              </w:rPr>
            </w:pPr>
          </w:p>
          <w:p w14:paraId="5E1FF689" w14:textId="6085428D" w:rsidR="00825F2A" w:rsidRPr="00E64F04" w:rsidRDefault="00825F2A" w:rsidP="00825F2A">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 xml:space="preserve">Indígena </w:t>
            </w:r>
          </w:p>
          <w:p w14:paraId="0B41CB73" w14:textId="77777777" w:rsidR="00825F2A" w:rsidRPr="00E64F04" w:rsidRDefault="00825F2A" w:rsidP="00825F2A">
            <w:pPr>
              <w:numPr>
                <w:ilvl w:val="12"/>
                <w:numId w:val="0"/>
              </w:numPr>
              <w:tabs>
                <w:tab w:val="left" w:pos="-2268"/>
              </w:tabs>
              <w:suppressAutoHyphens/>
              <w:jc w:val="center"/>
              <w:rPr>
                <w:rFonts w:cs="Arial"/>
                <w:color w:val="808080" w:themeColor="background1" w:themeShade="80"/>
                <w:spacing w:val="-3"/>
                <w:sz w:val="14"/>
                <w:szCs w:val="14"/>
              </w:rPr>
            </w:pPr>
          </w:p>
          <w:p w14:paraId="37D067C5" w14:textId="6997F0C9" w:rsidR="00825F2A" w:rsidRPr="00E64F04" w:rsidRDefault="00825F2A" w:rsidP="00E64F04">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Negr</w:t>
            </w:r>
            <w:r w:rsidR="00AE173B">
              <w:rPr>
                <w:rFonts w:cs="Arial"/>
                <w:color w:val="808080" w:themeColor="background1" w:themeShade="80"/>
                <w:spacing w:val="-3"/>
                <w:sz w:val="14"/>
                <w:szCs w:val="14"/>
              </w:rPr>
              <w:t>o</w:t>
            </w:r>
            <w:r w:rsidRPr="00E64F04">
              <w:rPr>
                <w:rFonts w:cs="Arial"/>
                <w:color w:val="808080" w:themeColor="background1" w:themeShade="80"/>
                <w:spacing w:val="-3"/>
                <w:sz w:val="14"/>
                <w:szCs w:val="14"/>
              </w:rPr>
              <w:t>, afro</w:t>
            </w:r>
            <w:r w:rsidR="00356FC6" w:rsidRPr="00E64F04">
              <w:rPr>
                <w:rFonts w:cs="Arial"/>
                <w:color w:val="808080" w:themeColor="background1" w:themeShade="80"/>
                <w:spacing w:val="-3"/>
                <w:sz w:val="14"/>
                <w:szCs w:val="14"/>
              </w:rPr>
              <w:t>colombian</w:t>
            </w:r>
            <w:r w:rsidR="00AE173B">
              <w:rPr>
                <w:rFonts w:cs="Arial"/>
                <w:color w:val="808080" w:themeColor="background1" w:themeShade="80"/>
                <w:spacing w:val="-3"/>
                <w:sz w:val="14"/>
                <w:szCs w:val="14"/>
              </w:rPr>
              <w:t>o</w:t>
            </w:r>
            <w:r w:rsidRPr="00E64F04">
              <w:rPr>
                <w:rFonts w:cs="Arial"/>
                <w:color w:val="808080" w:themeColor="background1" w:themeShade="80"/>
                <w:spacing w:val="-3"/>
                <w:sz w:val="14"/>
                <w:szCs w:val="14"/>
              </w:rPr>
              <w:t>, raizal y palenquer</w:t>
            </w:r>
            <w:r w:rsidR="00AE173B">
              <w:rPr>
                <w:rFonts w:cs="Arial"/>
                <w:color w:val="808080" w:themeColor="background1" w:themeShade="80"/>
                <w:spacing w:val="-3"/>
                <w:sz w:val="14"/>
                <w:szCs w:val="14"/>
              </w:rPr>
              <w:t>o</w:t>
            </w:r>
          </w:p>
        </w:tc>
        <w:tc>
          <w:tcPr>
            <w:tcW w:w="1018" w:type="dxa"/>
          </w:tcPr>
          <w:p w14:paraId="4B9B5154" w14:textId="64D9D654" w:rsidR="00CA781E" w:rsidRPr="00E64F04" w:rsidRDefault="00CA781E" w:rsidP="00CA781E">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Campesino: Media</w:t>
            </w:r>
          </w:p>
          <w:p w14:paraId="208BE899" w14:textId="77777777" w:rsidR="00CA781E" w:rsidRPr="00E64F04" w:rsidRDefault="00CA781E" w:rsidP="00CA781E">
            <w:pPr>
              <w:numPr>
                <w:ilvl w:val="12"/>
                <w:numId w:val="0"/>
              </w:numPr>
              <w:tabs>
                <w:tab w:val="left" w:pos="-2268"/>
              </w:tabs>
              <w:suppressAutoHyphens/>
              <w:jc w:val="center"/>
              <w:rPr>
                <w:rFonts w:cs="Arial"/>
                <w:color w:val="808080" w:themeColor="background1" w:themeShade="80"/>
                <w:spacing w:val="-3"/>
                <w:sz w:val="14"/>
                <w:szCs w:val="14"/>
              </w:rPr>
            </w:pPr>
          </w:p>
          <w:p w14:paraId="3266EA55" w14:textId="77777777" w:rsidR="00CA781E" w:rsidRPr="00E64F04" w:rsidRDefault="00CA781E" w:rsidP="00CA781E">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 xml:space="preserve">Indígena: </w:t>
            </w:r>
          </w:p>
          <w:p w14:paraId="313893EC" w14:textId="4FEEC42E" w:rsidR="00CA781E" w:rsidRPr="00E64F04" w:rsidRDefault="001D15E3" w:rsidP="00CA781E">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Alta</w:t>
            </w:r>
          </w:p>
          <w:p w14:paraId="1E28D9A7" w14:textId="77777777" w:rsidR="001D15E3" w:rsidRPr="00E64F04" w:rsidRDefault="001D15E3" w:rsidP="00CA781E">
            <w:pPr>
              <w:numPr>
                <w:ilvl w:val="12"/>
                <w:numId w:val="0"/>
              </w:numPr>
              <w:tabs>
                <w:tab w:val="left" w:pos="-2268"/>
              </w:tabs>
              <w:suppressAutoHyphens/>
              <w:jc w:val="center"/>
              <w:rPr>
                <w:rFonts w:cs="Arial"/>
                <w:color w:val="808080" w:themeColor="background1" w:themeShade="80"/>
                <w:spacing w:val="-3"/>
                <w:sz w:val="14"/>
                <w:szCs w:val="14"/>
              </w:rPr>
            </w:pPr>
          </w:p>
          <w:p w14:paraId="4523A027" w14:textId="22F770EF" w:rsidR="00CA781E" w:rsidRPr="00E64F04" w:rsidRDefault="00CA781E" w:rsidP="00CA781E">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Negra, afrocolombiana, raizal y palenquera</w:t>
            </w:r>
            <w:r w:rsidR="001D15E3" w:rsidRPr="00E64F04">
              <w:rPr>
                <w:rFonts w:cs="Arial"/>
                <w:color w:val="808080" w:themeColor="background1" w:themeShade="80"/>
                <w:spacing w:val="-3"/>
                <w:sz w:val="14"/>
                <w:szCs w:val="14"/>
              </w:rPr>
              <w:t>:</w:t>
            </w:r>
          </w:p>
          <w:p w14:paraId="64260C6E" w14:textId="55953377" w:rsidR="00825F2A" w:rsidRPr="00E64F04" w:rsidRDefault="001D15E3" w:rsidP="00E64F04">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Alta</w:t>
            </w:r>
          </w:p>
        </w:tc>
        <w:tc>
          <w:tcPr>
            <w:tcW w:w="1018" w:type="dxa"/>
          </w:tcPr>
          <w:p w14:paraId="31B2C33C" w14:textId="5330653C" w:rsidR="00825F2A" w:rsidRPr="00E64F04" w:rsidRDefault="00825F2A" w:rsidP="00E64F04">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Agua</w:t>
            </w:r>
          </w:p>
        </w:tc>
        <w:tc>
          <w:tcPr>
            <w:tcW w:w="1018" w:type="dxa"/>
          </w:tcPr>
          <w:p w14:paraId="09D88AF1" w14:textId="164F9751" w:rsidR="00825F2A" w:rsidRPr="00E64F04" w:rsidRDefault="00825F2A" w:rsidP="00E64F04">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Disminución del caudal de agua</w:t>
            </w:r>
          </w:p>
        </w:tc>
        <w:tc>
          <w:tcPr>
            <w:tcW w:w="1018" w:type="dxa"/>
            <w:tcMar>
              <w:left w:w="28" w:type="dxa"/>
              <w:right w:w="28" w:type="dxa"/>
            </w:tcMar>
          </w:tcPr>
          <w:p w14:paraId="5356FE57" w14:textId="066CBBF2" w:rsidR="00825F2A" w:rsidRPr="00E64F04" w:rsidRDefault="00825F2A" w:rsidP="00E64F04">
            <w:pPr>
              <w:numPr>
                <w:ilvl w:val="12"/>
                <w:numId w:val="0"/>
              </w:numPr>
              <w:tabs>
                <w:tab w:val="left" w:pos="-2268"/>
              </w:tabs>
              <w:suppressAutoHyphens/>
              <w:jc w:val="center"/>
              <w:rPr>
                <w:rFonts w:cs="Arial"/>
                <w:color w:val="808080" w:themeColor="background1" w:themeShade="80"/>
                <w:spacing w:val="-3"/>
                <w:sz w:val="14"/>
                <w:szCs w:val="14"/>
              </w:rPr>
            </w:pPr>
            <w:r w:rsidRPr="00E64F04">
              <w:rPr>
                <w:rFonts w:cs="Arial"/>
                <w:color w:val="808080" w:themeColor="background1" w:themeShade="80"/>
                <w:spacing w:val="-3"/>
                <w:sz w:val="14"/>
                <w:szCs w:val="14"/>
              </w:rPr>
              <w:t>Medio</w:t>
            </w:r>
          </w:p>
        </w:tc>
      </w:tr>
      <w:tr w:rsidR="00825F2A" w:rsidRPr="005F5510" w14:paraId="6A697949" w14:textId="35F98389" w:rsidTr="00E64F04">
        <w:trPr>
          <w:cantSplit/>
          <w:trHeight w:val="1134"/>
          <w:jc w:val="center"/>
        </w:trPr>
        <w:tc>
          <w:tcPr>
            <w:tcW w:w="654" w:type="dxa"/>
            <w:vMerge/>
            <w:textDirection w:val="btLr"/>
          </w:tcPr>
          <w:p w14:paraId="1B579135" w14:textId="77777777" w:rsidR="00825F2A" w:rsidRPr="00127BD4" w:rsidRDefault="00825F2A" w:rsidP="006B0D0A">
            <w:pPr>
              <w:numPr>
                <w:ilvl w:val="12"/>
                <w:numId w:val="0"/>
              </w:numPr>
              <w:tabs>
                <w:tab w:val="left" w:pos="-2268"/>
              </w:tabs>
              <w:suppressAutoHyphens/>
              <w:rPr>
                <w:rFonts w:cs="Arial"/>
                <w:color w:val="000000"/>
                <w:sz w:val="16"/>
                <w:szCs w:val="16"/>
              </w:rPr>
            </w:pPr>
          </w:p>
        </w:tc>
        <w:tc>
          <w:tcPr>
            <w:tcW w:w="901" w:type="dxa"/>
            <w:tcMar>
              <w:left w:w="28" w:type="dxa"/>
              <w:right w:w="28" w:type="dxa"/>
            </w:tcMar>
            <w:textDirection w:val="btLr"/>
            <w:vAlign w:val="center"/>
          </w:tcPr>
          <w:p w14:paraId="096A6D4F" w14:textId="77777777" w:rsidR="00825F2A" w:rsidRPr="00127BD4" w:rsidRDefault="00825F2A" w:rsidP="006B0D0A">
            <w:pPr>
              <w:numPr>
                <w:ilvl w:val="12"/>
                <w:numId w:val="0"/>
              </w:numPr>
              <w:tabs>
                <w:tab w:val="left" w:pos="-2268"/>
              </w:tabs>
              <w:suppressAutoHyphens/>
              <w:jc w:val="center"/>
              <w:rPr>
                <w:rFonts w:cs="Arial"/>
                <w:spacing w:val="-3"/>
                <w:sz w:val="16"/>
                <w:szCs w:val="16"/>
              </w:rPr>
            </w:pPr>
            <w:r w:rsidRPr="00127BD4">
              <w:rPr>
                <w:rFonts w:cs="Arial"/>
                <w:color w:val="000000"/>
                <w:sz w:val="16"/>
                <w:szCs w:val="16"/>
                <w:lang w:eastAsia="es-CO"/>
              </w:rPr>
              <w:t>Provisión de alimentos</w:t>
            </w:r>
          </w:p>
        </w:tc>
        <w:tc>
          <w:tcPr>
            <w:tcW w:w="1701" w:type="dxa"/>
            <w:vAlign w:val="center"/>
          </w:tcPr>
          <w:p w14:paraId="52F01503" w14:textId="77777777" w:rsidR="00825F2A" w:rsidRPr="005F5510" w:rsidRDefault="00825F2A" w:rsidP="006B0D0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Contribución del ecosistema</w:t>
            </w:r>
            <w:r w:rsidRPr="005F5510" w:rsidDel="00A03955">
              <w:rPr>
                <w:rFonts w:cs="Arial"/>
                <w:color w:val="000000"/>
                <w:sz w:val="16"/>
                <w:szCs w:val="16"/>
                <w:lang w:eastAsia="es-CO"/>
              </w:rPr>
              <w:t xml:space="preserve"> </w:t>
            </w:r>
            <w:r w:rsidRPr="005F5510">
              <w:rPr>
                <w:rFonts w:cs="Arial"/>
                <w:color w:val="000000"/>
                <w:sz w:val="16"/>
                <w:szCs w:val="16"/>
                <w:lang w:eastAsia="es-CO"/>
              </w:rPr>
              <w:t xml:space="preserve">a la provisión de alimentos en sistemas </w:t>
            </w:r>
            <w:r w:rsidRPr="00E64F04">
              <w:rPr>
                <w:rFonts w:cs="Arial"/>
                <w:color w:val="000000"/>
                <w:sz w:val="16"/>
                <w:szCs w:val="16"/>
                <w:u w:val="single"/>
                <w:lang w:eastAsia="es-CO"/>
              </w:rPr>
              <w:t>naturales</w:t>
            </w:r>
            <w:r w:rsidRPr="005F5510">
              <w:rPr>
                <w:rFonts w:cs="Arial"/>
                <w:color w:val="000000"/>
                <w:sz w:val="16"/>
                <w:szCs w:val="16"/>
                <w:lang w:eastAsia="es-CO"/>
              </w:rPr>
              <w:t xml:space="preserve"> (bosques, sabanas, lagunas, ciénagas, océanos, entre otros) y a la producción de alimentos en sistemas transformados (agropecuarios y acuícolas).</w:t>
            </w:r>
          </w:p>
        </w:tc>
        <w:tc>
          <w:tcPr>
            <w:tcW w:w="1018" w:type="dxa"/>
            <w:tcMar>
              <w:left w:w="28" w:type="dxa"/>
              <w:right w:w="28" w:type="dxa"/>
            </w:tcMar>
            <w:vAlign w:val="center"/>
          </w:tcPr>
          <w:p w14:paraId="5F62FF76"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Cantidad o volumen de provisión y/o producción por unidad de área y tiempo</w:t>
            </w:r>
          </w:p>
          <w:p w14:paraId="73EF36DE" w14:textId="77777777" w:rsidR="00825F2A" w:rsidRPr="005F5510" w:rsidRDefault="00825F2A" w:rsidP="006B0D0A">
            <w:pPr>
              <w:jc w:val="center"/>
              <w:rPr>
                <w:rFonts w:cs="Arial"/>
                <w:color w:val="000000"/>
                <w:sz w:val="16"/>
                <w:szCs w:val="16"/>
                <w:lang w:eastAsia="es-CO"/>
              </w:rPr>
            </w:pPr>
          </w:p>
          <w:p w14:paraId="3B18DD28" w14:textId="77777777"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(t/ha/año; m</w:t>
            </w:r>
            <w:r w:rsidRPr="005F5510">
              <w:rPr>
                <w:rFonts w:cs="Arial"/>
                <w:color w:val="000000"/>
                <w:sz w:val="16"/>
                <w:szCs w:val="16"/>
                <w:vertAlign w:val="superscript"/>
                <w:lang w:eastAsia="es-CO"/>
              </w:rPr>
              <w:t>3</w:t>
            </w:r>
            <w:r w:rsidRPr="005F5510">
              <w:rPr>
                <w:rFonts w:cs="Arial"/>
                <w:color w:val="000000"/>
                <w:sz w:val="16"/>
                <w:szCs w:val="16"/>
                <w:lang w:eastAsia="es-CO"/>
              </w:rPr>
              <w:t>/ha/año)</w:t>
            </w:r>
          </w:p>
        </w:tc>
        <w:tc>
          <w:tcPr>
            <w:tcW w:w="1018" w:type="dxa"/>
          </w:tcPr>
          <w:p w14:paraId="5F069B38"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43E920C5" w14:textId="0D10F7FF"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8F0B9F8"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619B0C37" w14:textId="4774DA8A"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F23683F"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4FBC603D" w14:textId="5E24A6E4"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957B693"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C466135"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4309457" w14:textId="1038C0BA"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26B798D6"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6F26A8EA" w14:textId="11EC06DF" w:rsidTr="00E64F04">
        <w:trPr>
          <w:cantSplit/>
          <w:trHeight w:val="1134"/>
          <w:jc w:val="center"/>
        </w:trPr>
        <w:tc>
          <w:tcPr>
            <w:tcW w:w="654" w:type="dxa"/>
            <w:vMerge/>
            <w:textDirection w:val="btLr"/>
          </w:tcPr>
          <w:p w14:paraId="6B5ED3E3" w14:textId="77777777" w:rsidR="00825F2A" w:rsidRPr="00127BD4" w:rsidRDefault="00825F2A" w:rsidP="006B0D0A">
            <w:pPr>
              <w:numPr>
                <w:ilvl w:val="12"/>
                <w:numId w:val="0"/>
              </w:numPr>
              <w:tabs>
                <w:tab w:val="left" w:pos="-2268"/>
              </w:tabs>
              <w:suppressAutoHyphens/>
              <w:rPr>
                <w:rFonts w:cs="Arial"/>
                <w:color w:val="000000"/>
                <w:sz w:val="16"/>
                <w:szCs w:val="16"/>
              </w:rPr>
            </w:pPr>
          </w:p>
        </w:tc>
        <w:tc>
          <w:tcPr>
            <w:tcW w:w="901" w:type="dxa"/>
            <w:tcMar>
              <w:left w:w="28" w:type="dxa"/>
              <w:right w:w="28" w:type="dxa"/>
            </w:tcMar>
            <w:textDirection w:val="btLr"/>
            <w:vAlign w:val="center"/>
          </w:tcPr>
          <w:p w14:paraId="2FF39AA9" w14:textId="77777777" w:rsidR="00825F2A" w:rsidRPr="00127BD4" w:rsidRDefault="00825F2A" w:rsidP="006B0D0A">
            <w:pPr>
              <w:numPr>
                <w:ilvl w:val="12"/>
                <w:numId w:val="0"/>
              </w:numPr>
              <w:tabs>
                <w:tab w:val="left" w:pos="-2268"/>
              </w:tabs>
              <w:suppressAutoHyphens/>
              <w:jc w:val="center"/>
              <w:rPr>
                <w:rFonts w:cs="Arial"/>
                <w:spacing w:val="-3"/>
                <w:sz w:val="16"/>
                <w:szCs w:val="16"/>
              </w:rPr>
            </w:pPr>
            <w:r w:rsidRPr="00127BD4">
              <w:rPr>
                <w:rFonts w:cs="Arial"/>
                <w:color w:val="000000"/>
                <w:sz w:val="16"/>
                <w:szCs w:val="16"/>
                <w:lang w:eastAsia="es-CO"/>
              </w:rPr>
              <w:t>Provisión de materias primas</w:t>
            </w:r>
          </w:p>
        </w:tc>
        <w:tc>
          <w:tcPr>
            <w:tcW w:w="1701" w:type="dxa"/>
            <w:vAlign w:val="center"/>
          </w:tcPr>
          <w:p w14:paraId="2F810E27" w14:textId="77777777" w:rsidR="00825F2A" w:rsidRPr="005F5510" w:rsidRDefault="00825F2A" w:rsidP="006B0D0A">
            <w:pPr>
              <w:numPr>
                <w:ilvl w:val="12"/>
                <w:numId w:val="0"/>
              </w:numPr>
              <w:tabs>
                <w:tab w:val="left" w:pos="-2268"/>
              </w:tabs>
              <w:suppressAutoHyphens/>
              <w:jc w:val="center"/>
              <w:rPr>
                <w:rFonts w:cs="Arial"/>
                <w:b/>
                <w:bCs/>
                <w:spacing w:val="-3"/>
                <w:sz w:val="16"/>
                <w:szCs w:val="16"/>
              </w:rPr>
            </w:pPr>
            <w:r w:rsidRPr="005F5510">
              <w:rPr>
                <w:rFonts w:cs="Arial"/>
                <w:color w:val="000000"/>
                <w:sz w:val="16"/>
                <w:szCs w:val="16"/>
                <w:lang w:eastAsia="es-CO"/>
              </w:rPr>
              <w:t>Contribución del ecosistema a la provisión y producción, en sistemas naturales y transformados, de maderas, fibras, resinas, medicinas, productos no maderables, entre otros.</w:t>
            </w:r>
          </w:p>
        </w:tc>
        <w:tc>
          <w:tcPr>
            <w:tcW w:w="1018" w:type="dxa"/>
            <w:tcMar>
              <w:left w:w="28" w:type="dxa"/>
              <w:right w:w="28" w:type="dxa"/>
            </w:tcMar>
            <w:vAlign w:val="center"/>
          </w:tcPr>
          <w:p w14:paraId="0508AFF5"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Cantidad o volumen de provisión y/o producción por unidad de área y tiempo</w:t>
            </w:r>
          </w:p>
          <w:p w14:paraId="39530FEA" w14:textId="77777777" w:rsidR="00825F2A" w:rsidRPr="005F5510" w:rsidRDefault="00825F2A" w:rsidP="006B0D0A">
            <w:pPr>
              <w:jc w:val="center"/>
              <w:rPr>
                <w:rFonts w:cs="Arial"/>
                <w:color w:val="000000"/>
                <w:sz w:val="16"/>
                <w:szCs w:val="16"/>
                <w:lang w:eastAsia="es-CO"/>
              </w:rPr>
            </w:pPr>
          </w:p>
          <w:p w14:paraId="4296498B" w14:textId="77777777"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(t/ha/año; m</w:t>
            </w:r>
            <w:r w:rsidRPr="005F5510">
              <w:rPr>
                <w:rFonts w:cs="Arial"/>
                <w:color w:val="000000"/>
                <w:sz w:val="16"/>
                <w:szCs w:val="16"/>
                <w:vertAlign w:val="superscript"/>
                <w:lang w:eastAsia="es-CO"/>
              </w:rPr>
              <w:t>3</w:t>
            </w:r>
            <w:r w:rsidRPr="005F5510">
              <w:rPr>
                <w:rFonts w:cs="Arial"/>
                <w:color w:val="000000"/>
                <w:sz w:val="16"/>
                <w:szCs w:val="16"/>
                <w:lang w:eastAsia="es-CO"/>
              </w:rPr>
              <w:t>/ha/año)</w:t>
            </w:r>
          </w:p>
        </w:tc>
        <w:tc>
          <w:tcPr>
            <w:tcW w:w="1018" w:type="dxa"/>
          </w:tcPr>
          <w:p w14:paraId="6060B9AA"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A90228E" w14:textId="21DAC26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B5231DB"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268A58E3" w14:textId="68666589"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0A3FE394"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502E6B5" w14:textId="073EAB5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00CD94E"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BAD5A21"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480B1E4" w14:textId="56AC510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78353EDB"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1503E4A9" w14:textId="2325C00E" w:rsidTr="00E64F04">
        <w:trPr>
          <w:cantSplit/>
          <w:trHeight w:val="1134"/>
          <w:jc w:val="center"/>
        </w:trPr>
        <w:tc>
          <w:tcPr>
            <w:tcW w:w="654" w:type="dxa"/>
            <w:vMerge w:val="restart"/>
            <w:textDirection w:val="btLr"/>
            <w:vAlign w:val="center"/>
          </w:tcPr>
          <w:p w14:paraId="392B0894" w14:textId="77777777" w:rsidR="00825F2A" w:rsidRPr="00127BD4" w:rsidRDefault="00825F2A" w:rsidP="006B0D0A">
            <w:pPr>
              <w:numPr>
                <w:ilvl w:val="12"/>
                <w:numId w:val="0"/>
              </w:numPr>
              <w:tabs>
                <w:tab w:val="left" w:pos="-2268"/>
              </w:tabs>
              <w:suppressAutoHyphens/>
              <w:ind w:left="113" w:right="113"/>
              <w:jc w:val="center"/>
              <w:rPr>
                <w:rFonts w:cs="Arial"/>
                <w:color w:val="000000"/>
                <w:sz w:val="16"/>
                <w:szCs w:val="16"/>
              </w:rPr>
            </w:pPr>
            <w:r w:rsidRPr="00127BD4">
              <w:rPr>
                <w:rFonts w:cs="Arial"/>
                <w:b/>
                <w:color w:val="000000"/>
                <w:sz w:val="16"/>
                <w:szCs w:val="16"/>
              </w:rPr>
              <w:lastRenderedPageBreak/>
              <w:t>Regulación</w:t>
            </w:r>
          </w:p>
        </w:tc>
        <w:tc>
          <w:tcPr>
            <w:tcW w:w="901" w:type="dxa"/>
            <w:tcMar>
              <w:left w:w="28" w:type="dxa"/>
              <w:right w:w="28" w:type="dxa"/>
            </w:tcMar>
            <w:textDirection w:val="btLr"/>
            <w:vAlign w:val="center"/>
          </w:tcPr>
          <w:p w14:paraId="42F4DB13" w14:textId="77777777" w:rsidR="00825F2A" w:rsidRPr="00127BD4" w:rsidRDefault="00825F2A" w:rsidP="006B0D0A">
            <w:pPr>
              <w:numPr>
                <w:ilvl w:val="12"/>
                <w:numId w:val="0"/>
              </w:numPr>
              <w:tabs>
                <w:tab w:val="left" w:pos="-2268"/>
              </w:tabs>
              <w:suppressAutoHyphens/>
              <w:jc w:val="center"/>
              <w:rPr>
                <w:rFonts w:cs="Arial"/>
                <w:spacing w:val="-3"/>
                <w:sz w:val="16"/>
                <w:szCs w:val="16"/>
              </w:rPr>
            </w:pPr>
            <w:r w:rsidRPr="00127BD4">
              <w:rPr>
                <w:rFonts w:cs="Arial"/>
                <w:color w:val="000000"/>
                <w:sz w:val="16"/>
                <w:szCs w:val="16"/>
                <w:lang w:eastAsia="es-CO"/>
              </w:rPr>
              <w:t>Regulación de la calidad del aire</w:t>
            </w:r>
          </w:p>
        </w:tc>
        <w:tc>
          <w:tcPr>
            <w:tcW w:w="1701" w:type="dxa"/>
            <w:vAlign w:val="center"/>
          </w:tcPr>
          <w:p w14:paraId="4685426A" w14:textId="77777777" w:rsidR="00825F2A" w:rsidRPr="005F5510" w:rsidRDefault="00825F2A" w:rsidP="006B0D0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Contribución del ecosistema para modificar la dispersión de contaminantes atmosféricos, y evitar efectos adversos en receptores sensibles por el deterioro de la calidad del aire.</w:t>
            </w:r>
          </w:p>
        </w:tc>
        <w:tc>
          <w:tcPr>
            <w:tcW w:w="1018" w:type="dxa"/>
            <w:tcMar>
              <w:left w:w="28" w:type="dxa"/>
              <w:right w:w="28" w:type="dxa"/>
            </w:tcMar>
            <w:vAlign w:val="center"/>
          </w:tcPr>
          <w:p w14:paraId="0151C689"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Cantidad de contaminantes criterio por unidad de volumen en un periodo determinado</w:t>
            </w:r>
          </w:p>
          <w:p w14:paraId="393A2A12" w14:textId="77777777" w:rsidR="00825F2A" w:rsidRPr="005F5510" w:rsidRDefault="00825F2A" w:rsidP="006B0D0A">
            <w:pPr>
              <w:jc w:val="center"/>
              <w:rPr>
                <w:rFonts w:cs="Arial"/>
                <w:color w:val="000000"/>
                <w:sz w:val="16"/>
                <w:szCs w:val="16"/>
                <w:lang w:eastAsia="es-CO"/>
              </w:rPr>
            </w:pPr>
          </w:p>
          <w:p w14:paraId="076CC624" w14:textId="77777777"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(µg/m</w:t>
            </w:r>
            <w:r w:rsidRPr="005F5510">
              <w:rPr>
                <w:rFonts w:cs="Arial"/>
                <w:color w:val="000000"/>
                <w:sz w:val="16"/>
                <w:szCs w:val="16"/>
                <w:vertAlign w:val="superscript"/>
                <w:lang w:eastAsia="es-CO"/>
              </w:rPr>
              <w:t>3</w:t>
            </w:r>
            <w:r w:rsidRPr="005F5510">
              <w:rPr>
                <w:rFonts w:cs="Arial"/>
                <w:color w:val="000000"/>
                <w:sz w:val="16"/>
                <w:szCs w:val="16"/>
                <w:lang w:eastAsia="es-CO"/>
              </w:rPr>
              <w:t>)</w:t>
            </w:r>
          </w:p>
        </w:tc>
        <w:tc>
          <w:tcPr>
            <w:tcW w:w="1018" w:type="dxa"/>
          </w:tcPr>
          <w:p w14:paraId="26BA7639"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72FA0A99" w14:textId="31DA8203"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15114EE"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7D758045" w14:textId="23341D34"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4BF78FBE"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7ACFE033" w14:textId="187B444A"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0CF6DA8"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72D8711"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FC6DE77" w14:textId="144E9EC4"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2B513766"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4382E823" w14:textId="7936BF04" w:rsidTr="00E64F04">
        <w:trPr>
          <w:cantSplit/>
          <w:trHeight w:val="1134"/>
          <w:jc w:val="center"/>
        </w:trPr>
        <w:tc>
          <w:tcPr>
            <w:tcW w:w="654" w:type="dxa"/>
            <w:vMerge/>
          </w:tcPr>
          <w:p w14:paraId="5167DA45" w14:textId="77777777" w:rsidR="00825F2A" w:rsidRPr="00127BD4" w:rsidRDefault="00825F2A" w:rsidP="006B0D0A">
            <w:pPr>
              <w:numPr>
                <w:ilvl w:val="12"/>
                <w:numId w:val="0"/>
              </w:numPr>
              <w:tabs>
                <w:tab w:val="left" w:pos="-2268"/>
              </w:tabs>
              <w:suppressAutoHyphens/>
              <w:rPr>
                <w:rFonts w:cs="Arial"/>
                <w:color w:val="000000"/>
                <w:sz w:val="16"/>
                <w:szCs w:val="16"/>
                <w:lang w:eastAsia="es-CO"/>
              </w:rPr>
            </w:pPr>
          </w:p>
        </w:tc>
        <w:tc>
          <w:tcPr>
            <w:tcW w:w="901" w:type="dxa"/>
            <w:tcMar>
              <w:left w:w="28" w:type="dxa"/>
              <w:right w:w="28" w:type="dxa"/>
            </w:tcMar>
            <w:textDirection w:val="btLr"/>
            <w:vAlign w:val="center"/>
          </w:tcPr>
          <w:p w14:paraId="182D6FB9"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lang w:eastAsia="es-CO"/>
              </w:rPr>
              <w:t>Regulación de fenómenos naturales extremos</w:t>
            </w:r>
          </w:p>
        </w:tc>
        <w:tc>
          <w:tcPr>
            <w:tcW w:w="1701" w:type="dxa"/>
            <w:vAlign w:val="center"/>
          </w:tcPr>
          <w:p w14:paraId="2223B9D7" w14:textId="77777777" w:rsidR="00825F2A" w:rsidRPr="005F5510" w:rsidRDefault="00825F2A" w:rsidP="006B0D0A">
            <w:pPr>
              <w:numPr>
                <w:ilvl w:val="12"/>
                <w:numId w:val="0"/>
              </w:numPr>
              <w:tabs>
                <w:tab w:val="left" w:pos="-2268"/>
              </w:tabs>
              <w:suppressAutoHyphens/>
              <w:jc w:val="center"/>
              <w:rPr>
                <w:rFonts w:cs="Arial"/>
                <w:b/>
                <w:bCs/>
                <w:spacing w:val="-3"/>
                <w:sz w:val="16"/>
                <w:szCs w:val="16"/>
              </w:rPr>
            </w:pPr>
            <w:r w:rsidRPr="005F5510">
              <w:rPr>
                <w:rFonts w:cs="Arial"/>
                <w:color w:val="000000"/>
                <w:sz w:val="16"/>
                <w:szCs w:val="16"/>
                <w:lang w:eastAsia="es-CO"/>
              </w:rPr>
              <w:t>Contribución del ecosistema a la protección y adaptación a fluctuaciones de fenómenos naturales (inundaciones, vendavales, erosión costera, entre otros).</w:t>
            </w:r>
          </w:p>
        </w:tc>
        <w:tc>
          <w:tcPr>
            <w:tcW w:w="1018" w:type="dxa"/>
            <w:tcMar>
              <w:left w:w="28" w:type="dxa"/>
              <w:right w:w="28" w:type="dxa"/>
            </w:tcMar>
            <w:vAlign w:val="center"/>
          </w:tcPr>
          <w:p w14:paraId="4F9D3855"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Área protegida y/o regulada por el ecosistema</w:t>
            </w:r>
          </w:p>
          <w:p w14:paraId="5D86FCCE" w14:textId="77777777" w:rsidR="00825F2A" w:rsidRPr="005F5510" w:rsidRDefault="00825F2A" w:rsidP="006B0D0A">
            <w:pPr>
              <w:jc w:val="center"/>
              <w:rPr>
                <w:rFonts w:cs="Arial"/>
                <w:color w:val="000000"/>
                <w:sz w:val="16"/>
                <w:szCs w:val="16"/>
                <w:lang w:eastAsia="es-CO"/>
              </w:rPr>
            </w:pPr>
          </w:p>
          <w:p w14:paraId="1E9D4234" w14:textId="77777777"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(ha)</w:t>
            </w:r>
          </w:p>
        </w:tc>
        <w:tc>
          <w:tcPr>
            <w:tcW w:w="1018" w:type="dxa"/>
          </w:tcPr>
          <w:p w14:paraId="298A9DB8"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20196CA" w14:textId="4FEBF108"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07EA6A3B"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62028B50" w14:textId="19F28524"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47F8949"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07987736" w14:textId="1FB74284"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DB6D640"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D635D9A"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6A7644A" w14:textId="38FEADEE"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2EBF37C3"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6617E322" w14:textId="38904B14" w:rsidTr="00E64F04">
        <w:trPr>
          <w:cantSplit/>
          <w:trHeight w:val="1134"/>
          <w:jc w:val="center"/>
        </w:trPr>
        <w:tc>
          <w:tcPr>
            <w:tcW w:w="654" w:type="dxa"/>
            <w:vMerge/>
          </w:tcPr>
          <w:p w14:paraId="10104DE6" w14:textId="77777777" w:rsidR="00825F2A" w:rsidRPr="00127BD4" w:rsidRDefault="00825F2A" w:rsidP="006B0D0A">
            <w:pPr>
              <w:numPr>
                <w:ilvl w:val="12"/>
                <w:numId w:val="0"/>
              </w:numPr>
              <w:tabs>
                <w:tab w:val="left" w:pos="-2268"/>
              </w:tabs>
              <w:suppressAutoHyphens/>
              <w:rPr>
                <w:rFonts w:cs="Arial"/>
                <w:color w:val="000000"/>
                <w:sz w:val="16"/>
                <w:szCs w:val="16"/>
              </w:rPr>
            </w:pPr>
          </w:p>
        </w:tc>
        <w:tc>
          <w:tcPr>
            <w:tcW w:w="901" w:type="dxa"/>
            <w:tcMar>
              <w:left w:w="28" w:type="dxa"/>
              <w:right w:w="28" w:type="dxa"/>
            </w:tcMar>
            <w:textDirection w:val="btLr"/>
            <w:vAlign w:val="center"/>
          </w:tcPr>
          <w:p w14:paraId="5C893975"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rPr>
              <w:t xml:space="preserve">Regulación del </w:t>
            </w:r>
            <w:r w:rsidRPr="00127BD4">
              <w:rPr>
                <w:rFonts w:cs="Arial"/>
                <w:color w:val="000000"/>
                <w:sz w:val="16"/>
                <w:szCs w:val="16"/>
                <w:lang w:eastAsia="es-CO"/>
              </w:rPr>
              <w:t>clima</w:t>
            </w:r>
          </w:p>
        </w:tc>
        <w:tc>
          <w:tcPr>
            <w:tcW w:w="1701" w:type="dxa"/>
            <w:vAlign w:val="center"/>
          </w:tcPr>
          <w:p w14:paraId="176E3398" w14:textId="77777777" w:rsidR="00825F2A" w:rsidRPr="005F5510" w:rsidRDefault="00825F2A" w:rsidP="006B0D0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Contribución del ecosistema a la captura y almacenamiento de carbono.</w:t>
            </w:r>
          </w:p>
        </w:tc>
        <w:tc>
          <w:tcPr>
            <w:tcW w:w="1018" w:type="dxa"/>
            <w:tcMar>
              <w:left w:w="28" w:type="dxa"/>
              <w:right w:w="28" w:type="dxa"/>
            </w:tcMar>
            <w:vAlign w:val="center"/>
          </w:tcPr>
          <w:p w14:paraId="79BE0BE2"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Masa de carbono por unidad de área</w:t>
            </w:r>
          </w:p>
          <w:p w14:paraId="0ADAC9C0" w14:textId="77777777" w:rsidR="00825F2A" w:rsidRPr="005F5510" w:rsidRDefault="00825F2A" w:rsidP="006B0D0A">
            <w:pPr>
              <w:jc w:val="center"/>
              <w:rPr>
                <w:rFonts w:cs="Arial"/>
                <w:color w:val="000000"/>
                <w:sz w:val="16"/>
                <w:szCs w:val="16"/>
                <w:lang w:eastAsia="es-CO"/>
              </w:rPr>
            </w:pPr>
          </w:p>
          <w:p w14:paraId="067A8CC4" w14:textId="20713128"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(t C/ha)</w:t>
            </w:r>
          </w:p>
        </w:tc>
        <w:tc>
          <w:tcPr>
            <w:tcW w:w="1018" w:type="dxa"/>
          </w:tcPr>
          <w:p w14:paraId="2D044331"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676EFA8" w14:textId="49390F14"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B942FF2"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3BD4B934" w14:textId="65F10D32"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75E16049"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011460DB" w14:textId="6C117C7B"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E8A2159"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BA0D30A"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AD1CA11" w14:textId="19AA76EB"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0D41E7A3"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49D6AAC8" w14:textId="132C1D17" w:rsidTr="00E64F04">
        <w:trPr>
          <w:cantSplit/>
          <w:trHeight w:val="1134"/>
          <w:jc w:val="center"/>
        </w:trPr>
        <w:tc>
          <w:tcPr>
            <w:tcW w:w="654" w:type="dxa"/>
            <w:vMerge/>
          </w:tcPr>
          <w:p w14:paraId="3D718BE2" w14:textId="77777777" w:rsidR="00825F2A" w:rsidRPr="00127BD4" w:rsidRDefault="00825F2A" w:rsidP="006B0D0A">
            <w:pPr>
              <w:numPr>
                <w:ilvl w:val="12"/>
                <w:numId w:val="0"/>
              </w:numPr>
              <w:tabs>
                <w:tab w:val="left" w:pos="-2268"/>
              </w:tabs>
              <w:suppressAutoHyphens/>
              <w:rPr>
                <w:rFonts w:cs="Arial"/>
                <w:color w:val="000000"/>
                <w:sz w:val="16"/>
                <w:szCs w:val="16"/>
              </w:rPr>
            </w:pPr>
          </w:p>
        </w:tc>
        <w:tc>
          <w:tcPr>
            <w:tcW w:w="901" w:type="dxa"/>
            <w:tcMar>
              <w:left w:w="28" w:type="dxa"/>
              <w:right w:w="28" w:type="dxa"/>
            </w:tcMar>
            <w:textDirection w:val="btLr"/>
            <w:vAlign w:val="center"/>
          </w:tcPr>
          <w:p w14:paraId="48103298"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lang w:eastAsia="es-CO"/>
              </w:rPr>
              <w:t>Regulación de nutrientes</w:t>
            </w:r>
          </w:p>
        </w:tc>
        <w:tc>
          <w:tcPr>
            <w:tcW w:w="1701" w:type="dxa"/>
            <w:vAlign w:val="center"/>
          </w:tcPr>
          <w:p w14:paraId="3071D4BA" w14:textId="77777777" w:rsidR="00825F2A" w:rsidRPr="005F5510" w:rsidRDefault="00825F2A" w:rsidP="006B0D0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Contribución del ecosistema al almacenamiento y aporte de nutrientes en el suelo</w:t>
            </w:r>
          </w:p>
        </w:tc>
        <w:tc>
          <w:tcPr>
            <w:tcW w:w="1018" w:type="dxa"/>
            <w:tcMar>
              <w:left w:w="28" w:type="dxa"/>
              <w:right w:w="28" w:type="dxa"/>
            </w:tcMar>
            <w:vAlign w:val="center"/>
          </w:tcPr>
          <w:p w14:paraId="19FA9F71"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Cantidad o flujo de nutrientes por unidad de área</w:t>
            </w:r>
          </w:p>
          <w:p w14:paraId="3EC36A8C" w14:textId="77777777" w:rsidR="00825F2A" w:rsidRPr="005F5510" w:rsidRDefault="00825F2A" w:rsidP="006B0D0A">
            <w:pPr>
              <w:jc w:val="center"/>
              <w:rPr>
                <w:rFonts w:cs="Arial"/>
                <w:color w:val="000000"/>
                <w:sz w:val="16"/>
                <w:szCs w:val="16"/>
                <w:lang w:eastAsia="es-CO"/>
              </w:rPr>
            </w:pPr>
          </w:p>
          <w:p w14:paraId="69DB550C" w14:textId="77777777"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(cantidad de nutriente/ha)</w:t>
            </w:r>
          </w:p>
        </w:tc>
        <w:tc>
          <w:tcPr>
            <w:tcW w:w="1018" w:type="dxa"/>
          </w:tcPr>
          <w:p w14:paraId="1F9130D5"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E5AA58C" w14:textId="087F8801"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F6F74CC"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168DACD3" w14:textId="7F4D9C3B"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8F6B8EB"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E3F5B2E" w14:textId="25DEA1ED"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68165EC"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47A010A"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42BE0A2" w14:textId="14A04B6B"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325599B8"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72E3CB16" w14:textId="54C744AD" w:rsidTr="00E64F04">
        <w:trPr>
          <w:cantSplit/>
          <w:trHeight w:val="1134"/>
          <w:jc w:val="center"/>
        </w:trPr>
        <w:tc>
          <w:tcPr>
            <w:tcW w:w="654" w:type="dxa"/>
            <w:vMerge/>
          </w:tcPr>
          <w:p w14:paraId="4B629372" w14:textId="77777777" w:rsidR="00825F2A" w:rsidRPr="00127BD4" w:rsidRDefault="00825F2A" w:rsidP="006B0D0A">
            <w:pPr>
              <w:numPr>
                <w:ilvl w:val="12"/>
                <w:numId w:val="0"/>
              </w:numPr>
              <w:tabs>
                <w:tab w:val="left" w:pos="-2268"/>
              </w:tabs>
              <w:suppressAutoHyphens/>
              <w:rPr>
                <w:rFonts w:cs="Arial"/>
                <w:color w:val="000000"/>
                <w:sz w:val="16"/>
                <w:szCs w:val="16"/>
              </w:rPr>
            </w:pPr>
          </w:p>
        </w:tc>
        <w:tc>
          <w:tcPr>
            <w:tcW w:w="901" w:type="dxa"/>
            <w:tcMar>
              <w:left w:w="28" w:type="dxa"/>
              <w:right w:w="28" w:type="dxa"/>
            </w:tcMar>
            <w:textDirection w:val="btLr"/>
            <w:vAlign w:val="center"/>
          </w:tcPr>
          <w:p w14:paraId="1FBF5F9F"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lang w:eastAsia="es-CO"/>
              </w:rPr>
              <w:t>Regulación oferta hídrica</w:t>
            </w:r>
          </w:p>
        </w:tc>
        <w:tc>
          <w:tcPr>
            <w:tcW w:w="1701" w:type="dxa"/>
            <w:vAlign w:val="center"/>
          </w:tcPr>
          <w:p w14:paraId="0BC41D1F" w14:textId="77777777" w:rsidR="00825F2A" w:rsidRPr="005F5510" w:rsidRDefault="00825F2A" w:rsidP="006B0D0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Contribución del ecosistema al flujo base (agua subterránea) y a la escorrentía superficial.</w:t>
            </w:r>
          </w:p>
        </w:tc>
        <w:tc>
          <w:tcPr>
            <w:tcW w:w="1018" w:type="dxa"/>
            <w:tcMar>
              <w:left w:w="28" w:type="dxa"/>
              <w:right w:w="28" w:type="dxa"/>
            </w:tcMar>
            <w:vAlign w:val="center"/>
          </w:tcPr>
          <w:p w14:paraId="7D9DF73D"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Caudal de agua de flujo base por unidad de área</w:t>
            </w:r>
          </w:p>
          <w:p w14:paraId="3022DC37" w14:textId="77777777" w:rsidR="00825F2A" w:rsidRPr="005F5510" w:rsidRDefault="00825F2A" w:rsidP="006B0D0A">
            <w:pPr>
              <w:jc w:val="center"/>
              <w:rPr>
                <w:rFonts w:cs="Arial"/>
                <w:color w:val="000000"/>
                <w:sz w:val="16"/>
                <w:szCs w:val="16"/>
                <w:lang w:eastAsia="es-CO"/>
              </w:rPr>
            </w:pPr>
          </w:p>
          <w:p w14:paraId="446709F7"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(caudal de escorrentía superficial por unidad de área)</w:t>
            </w:r>
          </w:p>
          <w:p w14:paraId="3FF6165B" w14:textId="77777777" w:rsidR="00825F2A" w:rsidRPr="005F5510" w:rsidRDefault="00825F2A" w:rsidP="006B0D0A">
            <w:pPr>
              <w:jc w:val="center"/>
              <w:rPr>
                <w:rFonts w:cs="Arial"/>
                <w:color w:val="000000"/>
                <w:sz w:val="16"/>
                <w:szCs w:val="16"/>
                <w:lang w:eastAsia="es-CO"/>
              </w:rPr>
            </w:pPr>
          </w:p>
          <w:p w14:paraId="5EC481CA" w14:textId="77777777"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(m</w:t>
            </w:r>
            <w:r w:rsidRPr="005F5510">
              <w:rPr>
                <w:rFonts w:cs="Arial"/>
                <w:color w:val="000000"/>
                <w:sz w:val="16"/>
                <w:szCs w:val="16"/>
                <w:vertAlign w:val="superscript"/>
                <w:lang w:eastAsia="es-CO"/>
              </w:rPr>
              <w:t>3</w:t>
            </w:r>
            <w:r w:rsidRPr="005F5510">
              <w:rPr>
                <w:rFonts w:cs="Arial"/>
                <w:color w:val="000000"/>
                <w:sz w:val="16"/>
                <w:szCs w:val="16"/>
                <w:lang w:eastAsia="es-CO"/>
              </w:rPr>
              <w:t>/s/ha)</w:t>
            </w:r>
          </w:p>
        </w:tc>
        <w:tc>
          <w:tcPr>
            <w:tcW w:w="1018" w:type="dxa"/>
          </w:tcPr>
          <w:p w14:paraId="45299777"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3B40F54" w14:textId="5AFD5EC5"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91B18EA"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1DBCE767" w14:textId="56CB878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8B5AB43"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0CD4540" w14:textId="1884C63C"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A060E36"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36B4167"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730624BE" w14:textId="69EF7BBF"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4DBC946B"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47F42442" w14:textId="67865B4D" w:rsidTr="00E64F04">
        <w:trPr>
          <w:cantSplit/>
          <w:trHeight w:val="1134"/>
          <w:jc w:val="center"/>
        </w:trPr>
        <w:tc>
          <w:tcPr>
            <w:tcW w:w="654" w:type="dxa"/>
            <w:vMerge/>
          </w:tcPr>
          <w:p w14:paraId="27F304C1" w14:textId="77777777" w:rsidR="00825F2A" w:rsidRPr="00127BD4" w:rsidRDefault="00825F2A" w:rsidP="006B0D0A">
            <w:pPr>
              <w:numPr>
                <w:ilvl w:val="12"/>
                <w:numId w:val="0"/>
              </w:numPr>
              <w:tabs>
                <w:tab w:val="left" w:pos="-2268"/>
              </w:tabs>
              <w:suppressAutoHyphens/>
              <w:rPr>
                <w:rFonts w:cs="Arial"/>
                <w:color w:val="000000"/>
                <w:sz w:val="16"/>
                <w:szCs w:val="16"/>
              </w:rPr>
            </w:pPr>
          </w:p>
        </w:tc>
        <w:tc>
          <w:tcPr>
            <w:tcW w:w="901" w:type="dxa"/>
            <w:tcMar>
              <w:left w:w="28" w:type="dxa"/>
              <w:right w:w="28" w:type="dxa"/>
            </w:tcMar>
            <w:textDirection w:val="btLr"/>
            <w:vAlign w:val="center"/>
          </w:tcPr>
          <w:p w14:paraId="310A1A09"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rPr>
              <w:t xml:space="preserve">Regulación </w:t>
            </w:r>
            <w:r w:rsidRPr="00127BD4">
              <w:rPr>
                <w:rFonts w:cs="Arial"/>
                <w:color w:val="000000"/>
                <w:sz w:val="16"/>
                <w:szCs w:val="16"/>
                <w:lang w:eastAsia="es-CO"/>
              </w:rPr>
              <w:t xml:space="preserve">calidad </w:t>
            </w:r>
            <w:r w:rsidRPr="00127BD4">
              <w:rPr>
                <w:rFonts w:cs="Arial"/>
                <w:color w:val="000000"/>
                <w:sz w:val="16"/>
                <w:szCs w:val="16"/>
              </w:rPr>
              <w:t>hídrica</w:t>
            </w:r>
          </w:p>
        </w:tc>
        <w:tc>
          <w:tcPr>
            <w:tcW w:w="1701" w:type="dxa"/>
            <w:vAlign w:val="center"/>
          </w:tcPr>
          <w:p w14:paraId="6B958E67" w14:textId="77777777" w:rsidR="00825F2A" w:rsidRPr="005F5510" w:rsidRDefault="00825F2A" w:rsidP="006B0D0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Capacidad del sistema para asimilar una carga de contaminantes en aguas superficiales y/o subterráneas</w:t>
            </w:r>
          </w:p>
        </w:tc>
        <w:tc>
          <w:tcPr>
            <w:tcW w:w="1018" w:type="dxa"/>
            <w:tcMar>
              <w:left w:w="28" w:type="dxa"/>
              <w:right w:w="28" w:type="dxa"/>
            </w:tcMar>
            <w:vAlign w:val="center"/>
          </w:tcPr>
          <w:p w14:paraId="22DC633C" w14:textId="77777777" w:rsidR="00825F2A" w:rsidRPr="005F5510" w:rsidRDefault="00825F2A" w:rsidP="006B0D0A">
            <w:pPr>
              <w:jc w:val="center"/>
              <w:rPr>
                <w:rFonts w:cs="Arial"/>
                <w:color w:val="000000"/>
                <w:sz w:val="16"/>
                <w:szCs w:val="16"/>
                <w:lang w:eastAsia="es-CO"/>
              </w:rPr>
            </w:pPr>
          </w:p>
          <w:p w14:paraId="6384FC07" w14:textId="1375A234"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Cantidad o concentración de contaminantes por unidad de volumen en época seca y de lluvias.</w:t>
            </w:r>
          </w:p>
          <w:p w14:paraId="7FC5870F" w14:textId="77777777" w:rsidR="00825F2A" w:rsidRPr="005F5510" w:rsidRDefault="00825F2A" w:rsidP="006B0D0A">
            <w:pPr>
              <w:jc w:val="center"/>
              <w:rPr>
                <w:rFonts w:cs="Arial"/>
                <w:color w:val="000000"/>
                <w:sz w:val="16"/>
                <w:szCs w:val="16"/>
                <w:lang w:eastAsia="es-CO"/>
              </w:rPr>
            </w:pPr>
          </w:p>
          <w:p w14:paraId="01B8392A"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(cantidad del contaminante / m</w:t>
            </w:r>
            <w:r w:rsidRPr="005F5510">
              <w:rPr>
                <w:rFonts w:cs="Arial"/>
                <w:color w:val="000000"/>
                <w:sz w:val="16"/>
                <w:szCs w:val="16"/>
                <w:vertAlign w:val="superscript"/>
                <w:lang w:eastAsia="es-CO"/>
              </w:rPr>
              <w:t>3</w:t>
            </w:r>
            <w:r w:rsidRPr="005F5510">
              <w:rPr>
                <w:rFonts w:cs="Arial"/>
                <w:color w:val="000000"/>
                <w:sz w:val="16"/>
                <w:szCs w:val="16"/>
                <w:lang w:eastAsia="es-CO"/>
              </w:rPr>
              <w:t>)</w:t>
            </w:r>
          </w:p>
          <w:p w14:paraId="57DB4794" w14:textId="64E35EC9" w:rsidR="00825F2A" w:rsidRPr="005F5510" w:rsidRDefault="00825F2A" w:rsidP="006B0D0A">
            <w:pPr>
              <w:jc w:val="center"/>
              <w:rPr>
                <w:rFonts w:cs="Arial"/>
                <w:spacing w:val="-3"/>
                <w:sz w:val="16"/>
                <w:szCs w:val="16"/>
              </w:rPr>
            </w:pPr>
          </w:p>
        </w:tc>
        <w:tc>
          <w:tcPr>
            <w:tcW w:w="1018" w:type="dxa"/>
          </w:tcPr>
          <w:p w14:paraId="2A51D089"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255DFA5" w14:textId="0FC59780"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7E1F06F6"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03717F7B" w14:textId="712A482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FF71BE3"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0D86580B" w14:textId="748C2868"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A297B2D"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F5A2808"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434508D" w14:textId="72A998DC"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5602F3E8"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27614964" w14:textId="2FDA664F" w:rsidTr="00E64F04">
        <w:trPr>
          <w:cantSplit/>
          <w:trHeight w:val="1134"/>
          <w:jc w:val="center"/>
        </w:trPr>
        <w:tc>
          <w:tcPr>
            <w:tcW w:w="654" w:type="dxa"/>
            <w:vMerge w:val="restart"/>
            <w:textDirection w:val="btLr"/>
            <w:vAlign w:val="center"/>
          </w:tcPr>
          <w:p w14:paraId="7C1FD1BD" w14:textId="0AD1BBEA" w:rsidR="00825F2A" w:rsidRPr="00127BD4" w:rsidRDefault="00825F2A" w:rsidP="006B0D0A">
            <w:pPr>
              <w:numPr>
                <w:ilvl w:val="12"/>
                <w:numId w:val="0"/>
              </w:numPr>
              <w:tabs>
                <w:tab w:val="left" w:pos="-2268"/>
              </w:tabs>
              <w:suppressAutoHyphens/>
              <w:ind w:left="113" w:right="113"/>
              <w:jc w:val="center"/>
              <w:rPr>
                <w:rFonts w:cs="Arial"/>
                <w:color w:val="000000"/>
                <w:sz w:val="16"/>
                <w:szCs w:val="16"/>
              </w:rPr>
            </w:pPr>
            <w:r w:rsidRPr="00127BD4">
              <w:rPr>
                <w:rFonts w:cs="Arial"/>
                <w:b/>
                <w:color w:val="000000"/>
                <w:sz w:val="16"/>
                <w:szCs w:val="16"/>
              </w:rPr>
              <w:lastRenderedPageBreak/>
              <w:t>Soporte</w:t>
            </w:r>
          </w:p>
        </w:tc>
        <w:tc>
          <w:tcPr>
            <w:tcW w:w="901" w:type="dxa"/>
            <w:tcMar>
              <w:left w:w="28" w:type="dxa"/>
              <w:right w:w="28" w:type="dxa"/>
            </w:tcMar>
            <w:textDirection w:val="btLr"/>
            <w:vAlign w:val="center"/>
          </w:tcPr>
          <w:p w14:paraId="6BBE30BA"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lang w:eastAsia="es-CO"/>
              </w:rPr>
              <w:t>Polinización</w:t>
            </w:r>
          </w:p>
        </w:tc>
        <w:tc>
          <w:tcPr>
            <w:tcW w:w="1701" w:type="dxa"/>
            <w:vAlign w:val="center"/>
          </w:tcPr>
          <w:p w14:paraId="7A602D27" w14:textId="77777777" w:rsidR="00825F2A" w:rsidRPr="005F5510" w:rsidRDefault="00825F2A" w:rsidP="006B0D0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Proceso que se da en el ecosistema para transferir polen desde los estambres hasta el estigma o parte receptiva de las flores por medio de polinizadores naturales</w:t>
            </w:r>
            <w:r w:rsidRPr="005F5510">
              <w:rPr>
                <w:rStyle w:val="Refdenotaalpie"/>
                <w:rFonts w:cs="Arial"/>
                <w:color w:val="000000"/>
                <w:sz w:val="16"/>
                <w:szCs w:val="16"/>
                <w:lang w:val="es-CO" w:eastAsia="es-CO"/>
              </w:rPr>
              <w:footnoteReference w:id="185"/>
            </w:r>
            <w:r w:rsidRPr="005F5510">
              <w:rPr>
                <w:rFonts w:cs="Arial"/>
                <w:color w:val="000000"/>
                <w:sz w:val="16"/>
                <w:szCs w:val="16"/>
                <w:lang w:eastAsia="es-CO"/>
              </w:rPr>
              <w:t>.</w:t>
            </w:r>
          </w:p>
        </w:tc>
        <w:tc>
          <w:tcPr>
            <w:tcW w:w="1018" w:type="dxa"/>
            <w:tcMar>
              <w:left w:w="28" w:type="dxa"/>
              <w:right w:w="28" w:type="dxa"/>
            </w:tcMar>
            <w:vAlign w:val="center"/>
          </w:tcPr>
          <w:p w14:paraId="56B12C6D" w14:textId="77777777" w:rsidR="00825F2A" w:rsidRPr="005F5510" w:rsidRDefault="00825F2A" w:rsidP="006B0D0A">
            <w:pPr>
              <w:numPr>
                <w:ilvl w:val="12"/>
                <w:numId w:val="0"/>
              </w:numPr>
              <w:tabs>
                <w:tab w:val="left" w:pos="-2268"/>
              </w:tabs>
              <w:suppressAutoHyphens/>
              <w:jc w:val="center"/>
              <w:rPr>
                <w:rFonts w:cs="Arial"/>
                <w:color w:val="000000"/>
                <w:sz w:val="16"/>
                <w:szCs w:val="16"/>
                <w:lang w:eastAsia="es-CO"/>
              </w:rPr>
            </w:pPr>
            <w:r w:rsidRPr="005F5510">
              <w:rPr>
                <w:rFonts w:cs="Arial"/>
                <w:color w:val="000000"/>
                <w:sz w:val="16"/>
                <w:szCs w:val="16"/>
                <w:lang w:eastAsia="es-CO"/>
              </w:rPr>
              <w:t>Abundancia de potenciales polinizadores por especie y unidad de área</w:t>
            </w:r>
          </w:p>
          <w:p w14:paraId="660223CB" w14:textId="77777777" w:rsidR="00825F2A" w:rsidRPr="005F5510" w:rsidRDefault="00825F2A" w:rsidP="006B0D0A">
            <w:pPr>
              <w:numPr>
                <w:ilvl w:val="12"/>
                <w:numId w:val="0"/>
              </w:numPr>
              <w:tabs>
                <w:tab w:val="left" w:pos="-2268"/>
              </w:tabs>
              <w:suppressAutoHyphens/>
              <w:jc w:val="center"/>
              <w:rPr>
                <w:rFonts w:cs="Arial"/>
                <w:color w:val="000000"/>
                <w:sz w:val="16"/>
                <w:szCs w:val="16"/>
                <w:lang w:eastAsia="es-CO"/>
              </w:rPr>
            </w:pPr>
          </w:p>
          <w:p w14:paraId="7B24068C" w14:textId="10BB5646"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(cantidad/especie/ ha)</w:t>
            </w:r>
          </w:p>
        </w:tc>
        <w:tc>
          <w:tcPr>
            <w:tcW w:w="1018" w:type="dxa"/>
          </w:tcPr>
          <w:p w14:paraId="5E53C01B"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01C26F7" w14:textId="5C45016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D0697D2"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430FA02E" w14:textId="57E4510F"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D58EF4D"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474FE9A" w14:textId="3E0F55BC"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4F7969EF"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0C0D36F0"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4980E55E" w14:textId="2D00A02A"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70EC2D20"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012068E1" w14:textId="21718112" w:rsidTr="00E64F04">
        <w:trPr>
          <w:cantSplit/>
          <w:trHeight w:val="1134"/>
          <w:jc w:val="center"/>
        </w:trPr>
        <w:tc>
          <w:tcPr>
            <w:tcW w:w="654" w:type="dxa"/>
            <w:vMerge/>
          </w:tcPr>
          <w:p w14:paraId="5A495206" w14:textId="00D8EFFD" w:rsidR="00825F2A" w:rsidRPr="00127BD4" w:rsidRDefault="00825F2A" w:rsidP="006B0D0A">
            <w:pPr>
              <w:numPr>
                <w:ilvl w:val="12"/>
                <w:numId w:val="0"/>
              </w:numPr>
              <w:tabs>
                <w:tab w:val="left" w:pos="-2268"/>
              </w:tabs>
              <w:suppressAutoHyphens/>
              <w:rPr>
                <w:rFonts w:cs="Arial"/>
                <w:color w:val="000000"/>
                <w:sz w:val="16"/>
                <w:szCs w:val="16"/>
                <w:lang w:eastAsia="es-CO"/>
              </w:rPr>
            </w:pPr>
          </w:p>
        </w:tc>
        <w:tc>
          <w:tcPr>
            <w:tcW w:w="901" w:type="dxa"/>
            <w:tcMar>
              <w:left w:w="28" w:type="dxa"/>
              <w:right w:w="28" w:type="dxa"/>
            </w:tcMar>
            <w:textDirection w:val="btLr"/>
            <w:vAlign w:val="center"/>
          </w:tcPr>
          <w:p w14:paraId="49DCA212"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lang w:eastAsia="es-CO"/>
              </w:rPr>
              <w:t>Calidad de hábitat</w:t>
            </w:r>
          </w:p>
        </w:tc>
        <w:tc>
          <w:tcPr>
            <w:tcW w:w="1701" w:type="dxa"/>
            <w:vAlign w:val="center"/>
          </w:tcPr>
          <w:p w14:paraId="304269FA" w14:textId="77777777" w:rsidR="00825F2A" w:rsidRPr="005F5510" w:rsidRDefault="00825F2A" w:rsidP="006B0D0A">
            <w:pPr>
              <w:numPr>
                <w:ilvl w:val="12"/>
                <w:numId w:val="0"/>
              </w:numPr>
              <w:tabs>
                <w:tab w:val="left" w:pos="-2268"/>
              </w:tabs>
              <w:suppressAutoHyphens/>
              <w:jc w:val="center"/>
              <w:rPr>
                <w:rFonts w:cs="Arial"/>
                <w:b/>
                <w:bCs/>
                <w:spacing w:val="-3"/>
                <w:sz w:val="16"/>
                <w:szCs w:val="16"/>
              </w:rPr>
            </w:pPr>
            <w:r w:rsidRPr="005F5510">
              <w:rPr>
                <w:rFonts w:cs="Arial"/>
                <w:color w:val="000000"/>
                <w:sz w:val="16"/>
                <w:szCs w:val="16"/>
                <w:lang w:eastAsia="es-CO"/>
              </w:rPr>
              <w:t>Capacidad del ecosistema para proveer el hábitat necesario para el desarrollo natural de la biodiversidad</w:t>
            </w:r>
          </w:p>
        </w:tc>
        <w:tc>
          <w:tcPr>
            <w:tcW w:w="1018" w:type="dxa"/>
            <w:tcMar>
              <w:left w:w="28" w:type="dxa"/>
              <w:right w:w="28" w:type="dxa"/>
            </w:tcMar>
            <w:vAlign w:val="center"/>
          </w:tcPr>
          <w:p w14:paraId="341F66C9" w14:textId="77777777" w:rsidR="00825F2A" w:rsidRPr="005F5510" w:rsidRDefault="00825F2A" w:rsidP="006B0D0A">
            <w:pPr>
              <w:jc w:val="center"/>
              <w:rPr>
                <w:rFonts w:cs="Arial"/>
                <w:color w:val="000000"/>
                <w:sz w:val="16"/>
                <w:szCs w:val="16"/>
                <w:lang w:eastAsia="es-CO"/>
              </w:rPr>
            </w:pPr>
          </w:p>
          <w:p w14:paraId="33B70D4E" w14:textId="2B22A792"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(Área potencial de hábitat/área intervenida)</w:t>
            </w:r>
          </w:p>
          <w:p w14:paraId="10862C7A" w14:textId="77777777" w:rsidR="00825F2A" w:rsidRPr="005F5510" w:rsidRDefault="00825F2A" w:rsidP="006B0D0A">
            <w:pPr>
              <w:jc w:val="center"/>
              <w:rPr>
                <w:rFonts w:cs="Arial"/>
                <w:color w:val="000000"/>
                <w:sz w:val="16"/>
                <w:szCs w:val="16"/>
                <w:lang w:eastAsia="es-CO"/>
              </w:rPr>
            </w:pPr>
          </w:p>
          <w:p w14:paraId="0664EE36" w14:textId="77777777"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(factor de compensación)</w:t>
            </w:r>
          </w:p>
        </w:tc>
        <w:tc>
          <w:tcPr>
            <w:tcW w:w="1018" w:type="dxa"/>
          </w:tcPr>
          <w:p w14:paraId="5285D6E2"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9132F55" w14:textId="19F120D9"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FF49375"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200BC60B" w14:textId="3AF6FA7E"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98A3463"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520F0BD" w14:textId="7AD71D41"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0DE2CCB0"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70D7C65D"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7EB958A0" w14:textId="20AEE6C5"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278A0104"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5A97E845" w14:textId="5DB6F2E1" w:rsidTr="00E64F04">
        <w:trPr>
          <w:cantSplit/>
          <w:trHeight w:val="1134"/>
          <w:jc w:val="center"/>
        </w:trPr>
        <w:tc>
          <w:tcPr>
            <w:tcW w:w="654" w:type="dxa"/>
            <w:vMerge w:val="restart"/>
            <w:textDirection w:val="btLr"/>
            <w:vAlign w:val="center"/>
          </w:tcPr>
          <w:p w14:paraId="536425CD" w14:textId="77777777" w:rsidR="00825F2A" w:rsidRPr="00127BD4" w:rsidRDefault="00825F2A" w:rsidP="006B0D0A">
            <w:pPr>
              <w:numPr>
                <w:ilvl w:val="12"/>
                <w:numId w:val="0"/>
              </w:numPr>
              <w:tabs>
                <w:tab w:val="left" w:pos="-2268"/>
              </w:tabs>
              <w:suppressAutoHyphens/>
              <w:ind w:left="113" w:right="113"/>
              <w:jc w:val="center"/>
              <w:rPr>
                <w:rFonts w:cs="Arial"/>
                <w:color w:val="000000"/>
                <w:sz w:val="16"/>
                <w:szCs w:val="16"/>
              </w:rPr>
            </w:pPr>
            <w:r w:rsidRPr="00127BD4">
              <w:rPr>
                <w:rFonts w:cs="Arial"/>
                <w:b/>
                <w:color w:val="000000"/>
                <w:sz w:val="16"/>
                <w:szCs w:val="16"/>
              </w:rPr>
              <w:t>Culturales</w:t>
            </w:r>
          </w:p>
        </w:tc>
        <w:tc>
          <w:tcPr>
            <w:tcW w:w="901" w:type="dxa"/>
            <w:tcMar>
              <w:left w:w="28" w:type="dxa"/>
              <w:right w:w="28" w:type="dxa"/>
            </w:tcMar>
            <w:textDirection w:val="btLr"/>
            <w:vAlign w:val="center"/>
          </w:tcPr>
          <w:p w14:paraId="440B0DCE"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rPr>
              <w:t>Recreación y turismo</w:t>
            </w:r>
          </w:p>
        </w:tc>
        <w:tc>
          <w:tcPr>
            <w:tcW w:w="1701" w:type="dxa"/>
            <w:vAlign w:val="center"/>
          </w:tcPr>
          <w:p w14:paraId="771D5F17" w14:textId="77777777" w:rsidR="00825F2A" w:rsidRPr="005F5510" w:rsidRDefault="00825F2A" w:rsidP="006B0D0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Contribución del ecosistema de proveer lugares y/o sitios para el desarrollo de actividades de recreación y turismo que contribuyen con el bienestar de la sociedad</w:t>
            </w:r>
          </w:p>
        </w:tc>
        <w:tc>
          <w:tcPr>
            <w:tcW w:w="1018" w:type="dxa"/>
            <w:tcMar>
              <w:left w:w="28" w:type="dxa"/>
              <w:right w:w="28" w:type="dxa"/>
            </w:tcMar>
            <w:vAlign w:val="center"/>
          </w:tcPr>
          <w:p w14:paraId="3CD5EB98" w14:textId="3AE9B975" w:rsidR="00825F2A" w:rsidRPr="005F5510" w:rsidRDefault="00825F2A" w:rsidP="006B0D0A">
            <w:pPr>
              <w:numPr>
                <w:ilvl w:val="12"/>
                <w:numId w:val="0"/>
              </w:numPr>
              <w:tabs>
                <w:tab w:val="left" w:pos="-2268"/>
              </w:tabs>
              <w:suppressAutoHyphens/>
              <w:jc w:val="center"/>
              <w:rPr>
                <w:rFonts w:cs="Arial"/>
                <w:color w:val="000000"/>
                <w:sz w:val="16"/>
                <w:szCs w:val="16"/>
                <w:lang w:eastAsia="es-CO"/>
              </w:rPr>
            </w:pPr>
            <w:r w:rsidRPr="005F5510">
              <w:rPr>
                <w:rFonts w:cs="Arial"/>
                <w:color w:val="000000"/>
                <w:sz w:val="16"/>
                <w:szCs w:val="16"/>
                <w:lang w:eastAsia="es-CO"/>
              </w:rPr>
              <w:t>Cantidad de beneficiarios residentes en el área de Influencia y/o número de beneficiarios no residentes en el área de influencia por unidad de tiempo</w:t>
            </w:r>
          </w:p>
          <w:p w14:paraId="337C94C2" w14:textId="77777777" w:rsidR="00825F2A" w:rsidRPr="005F5510" w:rsidRDefault="00825F2A" w:rsidP="006B0D0A">
            <w:pPr>
              <w:numPr>
                <w:ilvl w:val="12"/>
                <w:numId w:val="0"/>
              </w:numPr>
              <w:tabs>
                <w:tab w:val="left" w:pos="-2268"/>
              </w:tabs>
              <w:suppressAutoHyphens/>
              <w:jc w:val="center"/>
              <w:rPr>
                <w:rFonts w:cs="Arial"/>
                <w:color w:val="000000"/>
                <w:sz w:val="16"/>
                <w:szCs w:val="16"/>
                <w:lang w:eastAsia="es-CO"/>
              </w:rPr>
            </w:pPr>
          </w:p>
          <w:p w14:paraId="4638E9B1" w14:textId="1BEA27E5"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(No. /mes, año)</w:t>
            </w:r>
          </w:p>
        </w:tc>
        <w:tc>
          <w:tcPr>
            <w:tcW w:w="1018" w:type="dxa"/>
          </w:tcPr>
          <w:p w14:paraId="751773EC"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06A146E" w14:textId="423B3971"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B17B5A7"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509E6D5E" w14:textId="6A3E177B"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C1391D5"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697BBDF" w14:textId="1A683DB2"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26CF715"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76E78EE"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8D68BD5" w14:textId="235FA5F5"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09BF5EAC"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290F82FF" w14:textId="2A8BBE49" w:rsidTr="00E64F04">
        <w:trPr>
          <w:cantSplit/>
          <w:trHeight w:val="1134"/>
          <w:jc w:val="center"/>
        </w:trPr>
        <w:tc>
          <w:tcPr>
            <w:tcW w:w="654" w:type="dxa"/>
            <w:vMerge/>
          </w:tcPr>
          <w:p w14:paraId="10B681AD" w14:textId="77777777" w:rsidR="00825F2A" w:rsidRPr="00127BD4" w:rsidRDefault="00825F2A" w:rsidP="006B0D0A">
            <w:pPr>
              <w:numPr>
                <w:ilvl w:val="12"/>
                <w:numId w:val="0"/>
              </w:numPr>
              <w:tabs>
                <w:tab w:val="left" w:pos="-2268"/>
              </w:tabs>
              <w:suppressAutoHyphens/>
              <w:rPr>
                <w:rFonts w:cs="Arial"/>
                <w:color w:val="000000"/>
                <w:sz w:val="16"/>
                <w:szCs w:val="16"/>
                <w:lang w:eastAsia="es-CO"/>
              </w:rPr>
            </w:pPr>
          </w:p>
        </w:tc>
        <w:tc>
          <w:tcPr>
            <w:tcW w:w="901" w:type="dxa"/>
            <w:tcMar>
              <w:left w:w="28" w:type="dxa"/>
              <w:right w:w="28" w:type="dxa"/>
            </w:tcMar>
            <w:textDirection w:val="btLr"/>
            <w:vAlign w:val="center"/>
          </w:tcPr>
          <w:p w14:paraId="44997ED2"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lang w:eastAsia="es-CO"/>
              </w:rPr>
              <w:t>Calidad escénica</w:t>
            </w:r>
          </w:p>
        </w:tc>
        <w:tc>
          <w:tcPr>
            <w:tcW w:w="1701" w:type="dxa"/>
            <w:vAlign w:val="center"/>
          </w:tcPr>
          <w:p w14:paraId="4FA3283D" w14:textId="77777777" w:rsidR="00825F2A" w:rsidRPr="005F5510" w:rsidRDefault="00825F2A" w:rsidP="006B0D0A">
            <w:pPr>
              <w:numPr>
                <w:ilvl w:val="12"/>
                <w:numId w:val="0"/>
              </w:numPr>
              <w:tabs>
                <w:tab w:val="left" w:pos="-2268"/>
              </w:tabs>
              <w:suppressAutoHyphens/>
              <w:jc w:val="center"/>
              <w:rPr>
                <w:rFonts w:cs="Arial"/>
                <w:b/>
                <w:bCs/>
                <w:spacing w:val="-3"/>
                <w:sz w:val="16"/>
                <w:szCs w:val="16"/>
              </w:rPr>
            </w:pPr>
            <w:r w:rsidRPr="005F5510">
              <w:rPr>
                <w:rFonts w:cs="Arial"/>
                <w:color w:val="000000"/>
                <w:sz w:val="16"/>
                <w:szCs w:val="16"/>
                <w:lang w:eastAsia="es-CO"/>
              </w:rPr>
              <w:t>Contribución del ecosistema en entornos naturales que generan bienestar en la sociedad por la percepción de la calidad escénica.</w:t>
            </w:r>
          </w:p>
        </w:tc>
        <w:tc>
          <w:tcPr>
            <w:tcW w:w="1018" w:type="dxa"/>
            <w:tcMar>
              <w:left w:w="28" w:type="dxa"/>
              <w:right w:w="28" w:type="dxa"/>
            </w:tcMar>
            <w:vAlign w:val="center"/>
          </w:tcPr>
          <w:p w14:paraId="414B7FDB" w14:textId="77777777" w:rsidR="00825F2A" w:rsidRPr="005F5510" w:rsidRDefault="00825F2A" w:rsidP="006B0D0A">
            <w:pPr>
              <w:numPr>
                <w:ilvl w:val="12"/>
                <w:numId w:val="0"/>
              </w:numPr>
              <w:tabs>
                <w:tab w:val="left" w:pos="-2268"/>
              </w:tabs>
              <w:suppressAutoHyphens/>
              <w:jc w:val="center"/>
              <w:rPr>
                <w:rFonts w:cs="Arial"/>
                <w:color w:val="000000"/>
                <w:sz w:val="16"/>
                <w:szCs w:val="16"/>
                <w:lang w:eastAsia="es-CO"/>
              </w:rPr>
            </w:pPr>
            <w:r w:rsidRPr="005F5510">
              <w:rPr>
                <w:rFonts w:cs="Arial"/>
                <w:color w:val="000000"/>
                <w:sz w:val="16"/>
                <w:szCs w:val="16"/>
                <w:lang w:eastAsia="es-CO"/>
              </w:rPr>
              <w:t>Área afectada en la calidad escénica</w:t>
            </w:r>
          </w:p>
          <w:p w14:paraId="0874CA48" w14:textId="77777777" w:rsidR="00825F2A" w:rsidRPr="005F5510" w:rsidRDefault="00825F2A" w:rsidP="006B0D0A">
            <w:pPr>
              <w:numPr>
                <w:ilvl w:val="12"/>
                <w:numId w:val="0"/>
              </w:numPr>
              <w:tabs>
                <w:tab w:val="left" w:pos="-2268"/>
              </w:tabs>
              <w:suppressAutoHyphens/>
              <w:jc w:val="center"/>
              <w:rPr>
                <w:rFonts w:cs="Arial"/>
                <w:color w:val="000000"/>
                <w:sz w:val="16"/>
                <w:szCs w:val="16"/>
                <w:lang w:eastAsia="es-CO"/>
              </w:rPr>
            </w:pPr>
          </w:p>
          <w:p w14:paraId="0380D7D8" w14:textId="77777777"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(ha)</w:t>
            </w:r>
          </w:p>
        </w:tc>
        <w:tc>
          <w:tcPr>
            <w:tcW w:w="1018" w:type="dxa"/>
          </w:tcPr>
          <w:p w14:paraId="375F57A7"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00E528FA" w14:textId="364605F5"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9375065"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7261B870" w14:textId="12F9EE4A"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0FD657E5"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6728AF39" w14:textId="2CF360D3"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1141991"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1A061B22"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29ED94AE" w14:textId="0D553CB1"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1A6D9D1F" w14:textId="77777777" w:rsidR="00825F2A" w:rsidRPr="00127BD4" w:rsidRDefault="00825F2A" w:rsidP="006B0D0A">
            <w:pPr>
              <w:numPr>
                <w:ilvl w:val="12"/>
                <w:numId w:val="0"/>
              </w:numPr>
              <w:tabs>
                <w:tab w:val="left" w:pos="-2268"/>
              </w:tabs>
              <w:suppressAutoHyphens/>
              <w:rPr>
                <w:rFonts w:cs="Arial"/>
                <w:spacing w:val="-3"/>
                <w:sz w:val="16"/>
                <w:szCs w:val="16"/>
              </w:rPr>
            </w:pPr>
          </w:p>
        </w:tc>
      </w:tr>
      <w:tr w:rsidR="00825F2A" w:rsidRPr="005F5510" w14:paraId="60C3857A" w14:textId="2634CC25" w:rsidTr="00E64F04">
        <w:trPr>
          <w:cantSplit/>
          <w:trHeight w:val="1134"/>
          <w:jc w:val="center"/>
        </w:trPr>
        <w:tc>
          <w:tcPr>
            <w:tcW w:w="654" w:type="dxa"/>
            <w:vMerge/>
          </w:tcPr>
          <w:p w14:paraId="53212D07" w14:textId="77777777" w:rsidR="00825F2A" w:rsidRPr="00127BD4" w:rsidRDefault="00825F2A" w:rsidP="006B0D0A">
            <w:pPr>
              <w:numPr>
                <w:ilvl w:val="12"/>
                <w:numId w:val="0"/>
              </w:numPr>
              <w:tabs>
                <w:tab w:val="left" w:pos="-2268"/>
              </w:tabs>
              <w:suppressAutoHyphens/>
              <w:rPr>
                <w:rFonts w:cs="Arial"/>
                <w:color w:val="000000"/>
                <w:sz w:val="16"/>
                <w:szCs w:val="16"/>
              </w:rPr>
            </w:pPr>
          </w:p>
        </w:tc>
        <w:tc>
          <w:tcPr>
            <w:tcW w:w="901" w:type="dxa"/>
            <w:tcMar>
              <w:left w:w="28" w:type="dxa"/>
              <w:right w:w="28" w:type="dxa"/>
            </w:tcMar>
            <w:textDirection w:val="btLr"/>
            <w:vAlign w:val="center"/>
          </w:tcPr>
          <w:p w14:paraId="3AC94ED1" w14:textId="77777777" w:rsidR="00825F2A" w:rsidRPr="00127BD4" w:rsidRDefault="00825F2A" w:rsidP="006B0D0A">
            <w:pPr>
              <w:numPr>
                <w:ilvl w:val="12"/>
                <w:numId w:val="0"/>
              </w:numPr>
              <w:tabs>
                <w:tab w:val="left" w:pos="-2268"/>
              </w:tabs>
              <w:suppressAutoHyphens/>
              <w:ind w:left="113" w:right="113"/>
              <w:jc w:val="center"/>
              <w:rPr>
                <w:rFonts w:cs="Arial"/>
                <w:spacing w:val="-3"/>
                <w:sz w:val="16"/>
                <w:szCs w:val="16"/>
              </w:rPr>
            </w:pPr>
            <w:r w:rsidRPr="00127BD4">
              <w:rPr>
                <w:rFonts w:cs="Arial"/>
                <w:color w:val="000000"/>
                <w:sz w:val="16"/>
                <w:szCs w:val="16"/>
              </w:rPr>
              <w:t>Espirituales y religiosos</w:t>
            </w:r>
          </w:p>
        </w:tc>
        <w:tc>
          <w:tcPr>
            <w:tcW w:w="1701" w:type="dxa"/>
            <w:vAlign w:val="center"/>
          </w:tcPr>
          <w:p w14:paraId="57E189A2" w14:textId="77777777" w:rsidR="00825F2A" w:rsidRPr="005F5510" w:rsidRDefault="00825F2A" w:rsidP="006B0D0A">
            <w:pPr>
              <w:numPr>
                <w:ilvl w:val="12"/>
                <w:numId w:val="0"/>
              </w:numPr>
              <w:tabs>
                <w:tab w:val="left" w:pos="-2268"/>
              </w:tabs>
              <w:suppressAutoHyphens/>
              <w:jc w:val="center"/>
              <w:rPr>
                <w:rFonts w:cs="Arial"/>
                <w:b/>
                <w:spacing w:val="-3"/>
                <w:sz w:val="16"/>
                <w:szCs w:val="16"/>
              </w:rPr>
            </w:pPr>
            <w:r w:rsidRPr="005F5510">
              <w:rPr>
                <w:rFonts w:cs="Arial"/>
                <w:color w:val="000000"/>
                <w:sz w:val="16"/>
                <w:szCs w:val="16"/>
                <w:lang w:eastAsia="es-CO"/>
              </w:rPr>
              <w:t>Contribución de la naturaleza a proveer espacios o recursos para el sistema de creencias espirituales y/o religiosas.</w:t>
            </w:r>
          </w:p>
        </w:tc>
        <w:tc>
          <w:tcPr>
            <w:tcW w:w="1018" w:type="dxa"/>
            <w:tcMar>
              <w:left w:w="28" w:type="dxa"/>
              <w:right w:w="28" w:type="dxa"/>
            </w:tcMar>
            <w:vAlign w:val="center"/>
          </w:tcPr>
          <w:p w14:paraId="0269E04D"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Cantidad de personas asociada a prácticas religiosas o espirituales en los espacios afectados</w:t>
            </w:r>
          </w:p>
          <w:p w14:paraId="048F83AE" w14:textId="77777777" w:rsidR="00825F2A" w:rsidRPr="005F5510" w:rsidRDefault="00825F2A" w:rsidP="006B0D0A">
            <w:pPr>
              <w:jc w:val="center"/>
              <w:rPr>
                <w:rFonts w:cs="Arial"/>
                <w:color w:val="000000"/>
                <w:sz w:val="16"/>
                <w:szCs w:val="16"/>
                <w:lang w:eastAsia="es-CO"/>
              </w:rPr>
            </w:pPr>
          </w:p>
          <w:p w14:paraId="39CEC9B9" w14:textId="77777777" w:rsidR="00825F2A" w:rsidRPr="005F5510" w:rsidRDefault="00825F2A" w:rsidP="006B0D0A">
            <w:pPr>
              <w:jc w:val="center"/>
              <w:rPr>
                <w:rFonts w:cs="Arial"/>
                <w:color w:val="000000"/>
                <w:sz w:val="16"/>
                <w:szCs w:val="16"/>
                <w:lang w:eastAsia="es-CO"/>
              </w:rPr>
            </w:pPr>
            <w:r w:rsidRPr="005F5510">
              <w:rPr>
                <w:rFonts w:cs="Arial"/>
                <w:color w:val="000000"/>
                <w:sz w:val="16"/>
                <w:szCs w:val="16"/>
                <w:lang w:eastAsia="es-CO"/>
              </w:rPr>
              <w:t>(No.)</w:t>
            </w:r>
          </w:p>
          <w:p w14:paraId="4D1D8876" w14:textId="77777777" w:rsidR="00825F2A" w:rsidRPr="005F5510" w:rsidRDefault="00825F2A" w:rsidP="006B0D0A">
            <w:pPr>
              <w:jc w:val="center"/>
              <w:rPr>
                <w:rFonts w:cs="Arial"/>
                <w:color w:val="000000"/>
                <w:sz w:val="16"/>
                <w:szCs w:val="16"/>
                <w:lang w:eastAsia="es-CO"/>
              </w:rPr>
            </w:pPr>
          </w:p>
          <w:p w14:paraId="0108F0EF" w14:textId="77777777" w:rsidR="00825F2A" w:rsidRPr="005F5510" w:rsidRDefault="00825F2A" w:rsidP="006B0D0A">
            <w:pPr>
              <w:numPr>
                <w:ilvl w:val="12"/>
                <w:numId w:val="0"/>
              </w:numPr>
              <w:tabs>
                <w:tab w:val="left" w:pos="-2268"/>
              </w:tabs>
              <w:suppressAutoHyphens/>
              <w:jc w:val="center"/>
              <w:rPr>
                <w:rFonts w:cs="Arial"/>
                <w:spacing w:val="-3"/>
                <w:sz w:val="16"/>
                <w:szCs w:val="16"/>
              </w:rPr>
            </w:pPr>
            <w:r w:rsidRPr="005F5510">
              <w:rPr>
                <w:rFonts w:cs="Arial"/>
                <w:color w:val="000000"/>
                <w:sz w:val="16"/>
                <w:szCs w:val="16"/>
                <w:lang w:eastAsia="es-CO"/>
              </w:rPr>
              <w:t>Localización geográfica del área dedicada a las prácticas religiosas o espirituales afectadas</w:t>
            </w:r>
          </w:p>
        </w:tc>
        <w:tc>
          <w:tcPr>
            <w:tcW w:w="1018" w:type="dxa"/>
          </w:tcPr>
          <w:p w14:paraId="171EADDC"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4F0FC10A" w14:textId="73F8493D"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554BC6B8" w14:textId="77777777" w:rsidR="00825F2A" w:rsidRPr="00F62C3F"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2A6D69A9" w14:textId="1C2868DE"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35A6849D"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43A25449" w14:textId="57F6E470"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45161143"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71079B11" w14:textId="77777777"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Pr>
          <w:p w14:paraId="427B5335" w14:textId="4FC91A6D" w:rsidR="00825F2A" w:rsidRPr="00127BD4" w:rsidRDefault="00825F2A" w:rsidP="006B0D0A">
            <w:pPr>
              <w:numPr>
                <w:ilvl w:val="12"/>
                <w:numId w:val="0"/>
              </w:numPr>
              <w:tabs>
                <w:tab w:val="left" w:pos="-2268"/>
              </w:tabs>
              <w:suppressAutoHyphens/>
              <w:rPr>
                <w:rFonts w:cs="Arial"/>
                <w:spacing w:val="-3"/>
                <w:sz w:val="16"/>
                <w:szCs w:val="16"/>
              </w:rPr>
            </w:pPr>
          </w:p>
        </w:tc>
        <w:tc>
          <w:tcPr>
            <w:tcW w:w="1018" w:type="dxa"/>
            <w:tcMar>
              <w:left w:w="28" w:type="dxa"/>
              <w:right w:w="28" w:type="dxa"/>
            </w:tcMar>
          </w:tcPr>
          <w:p w14:paraId="1033F7CA" w14:textId="77777777" w:rsidR="00825F2A" w:rsidRPr="00127BD4" w:rsidRDefault="00825F2A" w:rsidP="006B0D0A">
            <w:pPr>
              <w:numPr>
                <w:ilvl w:val="12"/>
                <w:numId w:val="0"/>
              </w:numPr>
              <w:tabs>
                <w:tab w:val="left" w:pos="-2268"/>
              </w:tabs>
              <w:suppressAutoHyphens/>
              <w:rPr>
                <w:rFonts w:cs="Arial"/>
                <w:spacing w:val="-3"/>
                <w:sz w:val="16"/>
                <w:szCs w:val="16"/>
              </w:rPr>
            </w:pPr>
          </w:p>
        </w:tc>
      </w:tr>
    </w:tbl>
    <w:p w14:paraId="47E48C56" w14:textId="357174E5" w:rsidR="00970A40" w:rsidRPr="004068F6" w:rsidRDefault="00970A40" w:rsidP="00970A40">
      <w:pPr>
        <w:numPr>
          <w:ilvl w:val="12"/>
          <w:numId w:val="0"/>
        </w:numPr>
        <w:tabs>
          <w:tab w:val="left" w:pos="-2268"/>
        </w:tabs>
        <w:suppressAutoHyphens/>
        <w:ind w:left="142" w:hanging="142"/>
        <w:rPr>
          <w:spacing w:val="-3"/>
          <w:sz w:val="16"/>
        </w:rPr>
      </w:pPr>
      <w:r w:rsidRPr="004068F6">
        <w:rPr>
          <w:spacing w:val="-3"/>
          <w:sz w:val="16"/>
          <w:vertAlign w:val="superscript"/>
        </w:rPr>
        <w:t>1</w:t>
      </w:r>
      <w:r w:rsidRPr="004068F6">
        <w:rPr>
          <w:spacing w:val="-3"/>
          <w:sz w:val="16"/>
        </w:rPr>
        <w:tab/>
      </w:r>
      <w:r w:rsidR="0022633D">
        <w:rPr>
          <w:spacing w:val="-3"/>
          <w:sz w:val="16"/>
        </w:rPr>
        <w:t>E</w:t>
      </w:r>
      <w:r w:rsidR="00782821" w:rsidRPr="004068F6">
        <w:rPr>
          <w:spacing w:val="-3"/>
          <w:sz w:val="16"/>
        </w:rPr>
        <w:t>st</w:t>
      </w:r>
      <w:r w:rsidR="00E00176">
        <w:rPr>
          <w:spacing w:val="-3"/>
          <w:sz w:val="16"/>
        </w:rPr>
        <w:t>a</w:t>
      </w:r>
      <w:r w:rsidRPr="004068F6">
        <w:rPr>
          <w:spacing w:val="-3"/>
          <w:sz w:val="16"/>
        </w:rPr>
        <w:t xml:space="preserve"> </w:t>
      </w:r>
      <w:r w:rsidR="00E00176">
        <w:rPr>
          <w:spacing w:val="-3"/>
          <w:sz w:val="16"/>
        </w:rPr>
        <w:t xml:space="preserve">tabla </w:t>
      </w:r>
      <w:r w:rsidR="0095358F">
        <w:rPr>
          <w:spacing w:val="-3"/>
          <w:sz w:val="16"/>
        </w:rPr>
        <w:t xml:space="preserve">establece </w:t>
      </w:r>
      <w:r w:rsidR="00705543">
        <w:rPr>
          <w:spacing w:val="-3"/>
          <w:sz w:val="16"/>
        </w:rPr>
        <w:t xml:space="preserve">en sus columnas </w:t>
      </w:r>
      <w:r w:rsidR="0095358F">
        <w:rPr>
          <w:spacing w:val="-3"/>
          <w:sz w:val="16"/>
        </w:rPr>
        <w:t xml:space="preserve">la información que debe presentarse en </w:t>
      </w:r>
      <w:r w:rsidR="00705543">
        <w:rPr>
          <w:spacing w:val="-3"/>
          <w:sz w:val="16"/>
        </w:rPr>
        <w:t xml:space="preserve">los EIA. Adicionalmente, </w:t>
      </w:r>
      <w:r w:rsidRPr="004068F6">
        <w:rPr>
          <w:spacing w:val="-3"/>
          <w:sz w:val="16"/>
        </w:rPr>
        <w:t xml:space="preserve">ilustra </w:t>
      </w:r>
      <w:r w:rsidR="001171C5">
        <w:rPr>
          <w:spacing w:val="-3"/>
          <w:sz w:val="16"/>
        </w:rPr>
        <w:t xml:space="preserve">sobre </w:t>
      </w:r>
      <w:r w:rsidR="006E06F2">
        <w:rPr>
          <w:spacing w:val="-3"/>
          <w:sz w:val="16"/>
        </w:rPr>
        <w:t xml:space="preserve">las </w:t>
      </w:r>
      <w:r w:rsidRPr="004068F6">
        <w:rPr>
          <w:rFonts w:cs="Arial"/>
          <w:spacing w:val="-3"/>
          <w:sz w:val="16"/>
          <w:szCs w:val="16"/>
        </w:rPr>
        <w:t xml:space="preserve">categorías de </w:t>
      </w:r>
      <w:r w:rsidR="00A75AD1" w:rsidRPr="004068F6">
        <w:rPr>
          <w:spacing w:val="-3"/>
          <w:sz w:val="16"/>
        </w:rPr>
        <w:t>SSEE</w:t>
      </w:r>
      <w:r w:rsidRPr="004068F6">
        <w:rPr>
          <w:spacing w:val="-3"/>
          <w:sz w:val="16"/>
        </w:rPr>
        <w:t xml:space="preserve"> </w:t>
      </w:r>
      <w:r w:rsidR="00790C7A">
        <w:rPr>
          <w:spacing w:val="-3"/>
          <w:sz w:val="16"/>
        </w:rPr>
        <w:t xml:space="preserve">e </w:t>
      </w:r>
      <w:r w:rsidR="003A339F">
        <w:rPr>
          <w:spacing w:val="-3"/>
          <w:sz w:val="16"/>
        </w:rPr>
        <w:t xml:space="preserve">incluye </w:t>
      </w:r>
      <w:r w:rsidR="00790C7A">
        <w:rPr>
          <w:spacing w:val="-3"/>
          <w:sz w:val="16"/>
        </w:rPr>
        <w:t>como ejemplo</w:t>
      </w:r>
      <w:r w:rsidR="00F32A34">
        <w:rPr>
          <w:spacing w:val="-3"/>
          <w:sz w:val="16"/>
        </w:rPr>
        <w:t>,</w:t>
      </w:r>
      <w:r w:rsidR="00790C7A">
        <w:rPr>
          <w:spacing w:val="-3"/>
          <w:sz w:val="16"/>
        </w:rPr>
        <w:t xml:space="preserve"> </w:t>
      </w:r>
      <w:r w:rsidR="00585793">
        <w:rPr>
          <w:spacing w:val="-3"/>
          <w:sz w:val="16"/>
        </w:rPr>
        <w:t xml:space="preserve">los datos </w:t>
      </w:r>
      <w:r w:rsidR="00AC2A4A">
        <w:rPr>
          <w:spacing w:val="-3"/>
          <w:sz w:val="16"/>
        </w:rPr>
        <w:t xml:space="preserve">para un </w:t>
      </w:r>
      <w:r w:rsidR="006D63AD">
        <w:rPr>
          <w:rFonts w:cs="Arial"/>
          <w:spacing w:val="-3"/>
          <w:sz w:val="16"/>
          <w:szCs w:val="16"/>
        </w:rPr>
        <w:t>servicio ecosistémico</w:t>
      </w:r>
      <w:r w:rsidR="00AC2A4A">
        <w:rPr>
          <w:rFonts w:cs="Arial"/>
          <w:spacing w:val="-3"/>
          <w:sz w:val="16"/>
          <w:szCs w:val="16"/>
        </w:rPr>
        <w:t xml:space="preserve"> </w:t>
      </w:r>
      <w:r w:rsidR="00B66FA0">
        <w:rPr>
          <w:rFonts w:cs="Arial"/>
          <w:spacing w:val="-3"/>
          <w:sz w:val="16"/>
          <w:szCs w:val="16"/>
        </w:rPr>
        <w:t>(textos grises)</w:t>
      </w:r>
      <w:r w:rsidR="001171C5">
        <w:rPr>
          <w:rFonts w:cs="Arial"/>
          <w:spacing w:val="-3"/>
          <w:sz w:val="16"/>
          <w:szCs w:val="16"/>
        </w:rPr>
        <w:t xml:space="preserve">; este contenido </w:t>
      </w:r>
      <w:r w:rsidRPr="004068F6">
        <w:rPr>
          <w:spacing w:val="-3"/>
          <w:sz w:val="16"/>
        </w:rPr>
        <w:t>debe ser ajustad</w:t>
      </w:r>
      <w:r w:rsidR="001171C5">
        <w:rPr>
          <w:spacing w:val="-3"/>
          <w:sz w:val="16"/>
        </w:rPr>
        <w:t>o</w:t>
      </w:r>
      <w:r w:rsidRPr="004068F6">
        <w:rPr>
          <w:spacing w:val="-3"/>
          <w:sz w:val="16"/>
        </w:rPr>
        <w:t xml:space="preserve"> </w:t>
      </w:r>
      <w:r w:rsidRPr="004068F6">
        <w:rPr>
          <w:rFonts w:cs="Arial"/>
          <w:spacing w:val="-3"/>
          <w:sz w:val="16"/>
          <w:szCs w:val="16"/>
        </w:rPr>
        <w:t>incluyendo o retirando categorías</w:t>
      </w:r>
      <w:r w:rsidR="00790037">
        <w:rPr>
          <w:rFonts w:cs="Arial"/>
          <w:spacing w:val="-3"/>
          <w:sz w:val="16"/>
          <w:szCs w:val="16"/>
        </w:rPr>
        <w:t xml:space="preserve"> y presentando los datos </w:t>
      </w:r>
      <w:r w:rsidR="00171227">
        <w:rPr>
          <w:rFonts w:cs="Arial"/>
          <w:spacing w:val="-3"/>
          <w:sz w:val="16"/>
          <w:szCs w:val="16"/>
        </w:rPr>
        <w:t xml:space="preserve">específicos para cada </w:t>
      </w:r>
      <w:r w:rsidR="00C26BF0">
        <w:rPr>
          <w:rFonts w:cs="Arial"/>
          <w:spacing w:val="-3"/>
          <w:sz w:val="16"/>
          <w:szCs w:val="16"/>
        </w:rPr>
        <w:t xml:space="preserve">servicio ecosistémico </w:t>
      </w:r>
      <w:r w:rsidR="00467CE5" w:rsidRPr="004068F6">
        <w:rPr>
          <w:spacing w:val="-3"/>
          <w:sz w:val="16"/>
        </w:rPr>
        <w:t>de acuerdo con</w:t>
      </w:r>
      <w:r w:rsidRPr="004068F6">
        <w:rPr>
          <w:spacing w:val="-3"/>
          <w:sz w:val="16"/>
        </w:rPr>
        <w:t xml:space="preserve"> </w:t>
      </w:r>
      <w:r w:rsidR="006239EA">
        <w:rPr>
          <w:spacing w:val="-3"/>
          <w:sz w:val="16"/>
        </w:rPr>
        <w:t xml:space="preserve">las condiciones particulares de </w:t>
      </w:r>
      <w:r w:rsidRPr="004068F6">
        <w:rPr>
          <w:spacing w:val="-3"/>
          <w:sz w:val="16"/>
        </w:rPr>
        <w:t>cada caso.</w:t>
      </w:r>
    </w:p>
    <w:p w14:paraId="25E8921D" w14:textId="5BAE21E5" w:rsidR="00970A40" w:rsidRPr="004068F6" w:rsidRDefault="00970A40" w:rsidP="00970A40">
      <w:pPr>
        <w:numPr>
          <w:ilvl w:val="12"/>
          <w:numId w:val="0"/>
        </w:numPr>
        <w:tabs>
          <w:tab w:val="left" w:pos="-2268"/>
        </w:tabs>
        <w:suppressAutoHyphens/>
        <w:ind w:left="142" w:hanging="142"/>
        <w:rPr>
          <w:rFonts w:cs="Arial"/>
          <w:spacing w:val="-3"/>
          <w:sz w:val="16"/>
          <w:szCs w:val="16"/>
        </w:rPr>
      </w:pPr>
      <w:r w:rsidRPr="004068F6">
        <w:rPr>
          <w:spacing w:val="-3"/>
          <w:sz w:val="16"/>
          <w:vertAlign w:val="superscript"/>
        </w:rPr>
        <w:t>2</w:t>
      </w:r>
      <w:r w:rsidRPr="004068F6">
        <w:rPr>
          <w:spacing w:val="-3"/>
          <w:sz w:val="16"/>
        </w:rPr>
        <w:tab/>
      </w:r>
      <w:r w:rsidR="0022633D">
        <w:rPr>
          <w:spacing w:val="-3"/>
          <w:sz w:val="16"/>
        </w:rPr>
        <w:t>L</w:t>
      </w:r>
      <w:r w:rsidR="00782821" w:rsidRPr="004068F6">
        <w:rPr>
          <w:spacing w:val="-3"/>
          <w:sz w:val="16"/>
        </w:rPr>
        <w:t>a</w:t>
      </w:r>
      <w:r w:rsidRPr="004068F6">
        <w:rPr>
          <w:spacing w:val="-3"/>
          <w:sz w:val="16"/>
        </w:rPr>
        <w:t xml:space="preserve"> unidad de medida debe corresponder en lo posible a indicadores cuantitativos, pero puede referirse también a indicadores cualitativos cuando </w:t>
      </w:r>
      <w:r w:rsidRPr="004068F6">
        <w:rPr>
          <w:rFonts w:cs="Arial"/>
          <w:spacing w:val="-3"/>
          <w:sz w:val="16"/>
          <w:szCs w:val="16"/>
        </w:rPr>
        <w:t xml:space="preserve">un </w:t>
      </w:r>
      <w:r w:rsidR="00A75AD1" w:rsidRPr="004068F6">
        <w:rPr>
          <w:rFonts w:cs="Arial"/>
          <w:spacing w:val="-3"/>
          <w:sz w:val="16"/>
          <w:szCs w:val="16"/>
        </w:rPr>
        <w:t xml:space="preserve">servicio ecosistémico </w:t>
      </w:r>
      <w:r w:rsidRPr="004068F6">
        <w:rPr>
          <w:rFonts w:cs="Arial"/>
          <w:spacing w:val="-3"/>
          <w:sz w:val="16"/>
          <w:szCs w:val="16"/>
        </w:rPr>
        <w:t>es inconmensurable o representa valores superiores</w:t>
      </w:r>
      <w:r w:rsidRPr="004068F6">
        <w:rPr>
          <w:spacing w:val="-3"/>
          <w:sz w:val="16"/>
        </w:rPr>
        <w:t xml:space="preserve">. Se debe argumentar </w:t>
      </w:r>
      <w:r w:rsidRPr="004068F6">
        <w:rPr>
          <w:rFonts w:cs="Arial"/>
          <w:spacing w:val="-3"/>
          <w:sz w:val="16"/>
          <w:szCs w:val="16"/>
        </w:rPr>
        <w:t xml:space="preserve">científica y </w:t>
      </w:r>
      <w:r w:rsidRPr="004068F6">
        <w:rPr>
          <w:spacing w:val="-3"/>
          <w:sz w:val="16"/>
        </w:rPr>
        <w:t>técnicamente la decisión de utilizar indicadores cualitativos o de definir unidades de medida diferentes a las sugeridas en esta tabla</w:t>
      </w:r>
      <w:r w:rsidRPr="004068F6">
        <w:rPr>
          <w:rFonts w:cs="Arial"/>
          <w:spacing w:val="-3"/>
          <w:sz w:val="16"/>
          <w:szCs w:val="16"/>
        </w:rPr>
        <w:t>.</w:t>
      </w:r>
    </w:p>
    <w:p w14:paraId="165E7A43" w14:textId="42572542" w:rsidR="007A4F64" w:rsidRPr="004068F6" w:rsidRDefault="007A4F64" w:rsidP="007A4F64">
      <w:pPr>
        <w:numPr>
          <w:ilvl w:val="12"/>
          <w:numId w:val="0"/>
        </w:numPr>
        <w:tabs>
          <w:tab w:val="left" w:pos="-2268"/>
        </w:tabs>
        <w:suppressAutoHyphens/>
        <w:ind w:left="142" w:hanging="142"/>
        <w:rPr>
          <w:spacing w:val="-3"/>
          <w:sz w:val="16"/>
        </w:rPr>
      </w:pPr>
      <w:r w:rsidRPr="004068F6">
        <w:rPr>
          <w:rFonts w:cs="Arial"/>
          <w:spacing w:val="-3"/>
          <w:sz w:val="16"/>
          <w:szCs w:val="16"/>
          <w:vertAlign w:val="superscript"/>
        </w:rPr>
        <w:t>3</w:t>
      </w:r>
      <w:r w:rsidRPr="004068F6">
        <w:rPr>
          <w:rFonts w:cs="Arial"/>
          <w:spacing w:val="-3"/>
          <w:sz w:val="16"/>
          <w:szCs w:val="16"/>
          <w:vertAlign w:val="superscript"/>
        </w:rPr>
        <w:tab/>
      </w:r>
      <w:r w:rsidR="0022633D">
        <w:rPr>
          <w:spacing w:val="-3"/>
          <w:sz w:val="16"/>
        </w:rPr>
        <w:t>S</w:t>
      </w:r>
      <w:r w:rsidR="00782821" w:rsidRPr="004068F6">
        <w:rPr>
          <w:spacing w:val="-3"/>
          <w:sz w:val="16"/>
        </w:rPr>
        <w:t>eñala</w:t>
      </w:r>
      <w:r w:rsidR="00B53E09" w:rsidRPr="004068F6">
        <w:rPr>
          <w:spacing w:val="-3"/>
          <w:sz w:val="16"/>
        </w:rPr>
        <w:t xml:space="preserve"> la unidad de análisis </w:t>
      </w:r>
      <w:r w:rsidR="001C02D4" w:rsidRPr="004068F6">
        <w:rPr>
          <w:spacing w:val="-3"/>
          <w:sz w:val="16"/>
        </w:rPr>
        <w:t xml:space="preserve">o la unidad de análisis territorial </w:t>
      </w:r>
      <w:r w:rsidR="003D757D" w:rsidRPr="004068F6">
        <w:rPr>
          <w:spacing w:val="-3"/>
          <w:sz w:val="16"/>
        </w:rPr>
        <w:t xml:space="preserve">en la cual se evalúa cada </w:t>
      </w:r>
      <w:r w:rsidR="000A7F59" w:rsidRPr="004068F6">
        <w:rPr>
          <w:spacing w:val="-3"/>
          <w:sz w:val="16"/>
        </w:rPr>
        <w:t>servicio ecosistémico</w:t>
      </w:r>
      <w:r w:rsidR="00461653" w:rsidRPr="004068F6">
        <w:rPr>
          <w:spacing w:val="-3"/>
          <w:sz w:val="16"/>
        </w:rPr>
        <w:t>; por ejemplo, ecosistema, cobertura de la tierra, cuenca hidrográfica</w:t>
      </w:r>
      <w:r w:rsidR="00FD4D90" w:rsidRPr="004068F6">
        <w:rPr>
          <w:spacing w:val="-3"/>
          <w:sz w:val="16"/>
        </w:rPr>
        <w:t>, unidad de paisaje</w:t>
      </w:r>
      <w:r w:rsidR="0026565A" w:rsidRPr="004068F6">
        <w:rPr>
          <w:spacing w:val="-3"/>
          <w:sz w:val="16"/>
        </w:rPr>
        <w:t>,</w:t>
      </w:r>
      <w:r w:rsidR="00461653" w:rsidRPr="004068F6">
        <w:rPr>
          <w:spacing w:val="-3"/>
          <w:sz w:val="16"/>
        </w:rPr>
        <w:t xml:space="preserve"> unidad </w:t>
      </w:r>
      <w:r w:rsidR="004B0360" w:rsidRPr="004068F6">
        <w:rPr>
          <w:spacing w:val="-3"/>
          <w:sz w:val="16"/>
        </w:rPr>
        <w:t>cartográfica de suelos</w:t>
      </w:r>
      <w:r w:rsidR="00222E7D" w:rsidRPr="004068F6">
        <w:rPr>
          <w:spacing w:val="-3"/>
          <w:sz w:val="16"/>
        </w:rPr>
        <w:t xml:space="preserve"> o</w:t>
      </w:r>
      <w:r w:rsidR="0026565A" w:rsidRPr="004068F6">
        <w:rPr>
          <w:spacing w:val="-3"/>
          <w:sz w:val="16"/>
        </w:rPr>
        <w:t xml:space="preserve"> vereda</w:t>
      </w:r>
      <w:r w:rsidRPr="004068F6">
        <w:rPr>
          <w:spacing w:val="-3"/>
          <w:sz w:val="16"/>
        </w:rPr>
        <w:t>.</w:t>
      </w:r>
    </w:p>
    <w:p w14:paraId="663A3853" w14:textId="101A38E0" w:rsidR="00970A40" w:rsidRPr="004068F6" w:rsidRDefault="007A4F64" w:rsidP="00970A40">
      <w:pPr>
        <w:numPr>
          <w:ilvl w:val="12"/>
          <w:numId w:val="0"/>
        </w:numPr>
        <w:tabs>
          <w:tab w:val="left" w:pos="-2268"/>
        </w:tabs>
        <w:suppressAutoHyphens/>
        <w:ind w:left="142" w:hanging="142"/>
        <w:rPr>
          <w:spacing w:val="-3"/>
          <w:sz w:val="16"/>
        </w:rPr>
      </w:pPr>
      <w:r w:rsidRPr="004068F6">
        <w:rPr>
          <w:rFonts w:cs="Arial"/>
          <w:spacing w:val="-3"/>
          <w:sz w:val="16"/>
          <w:szCs w:val="16"/>
          <w:vertAlign w:val="superscript"/>
        </w:rPr>
        <w:t>4</w:t>
      </w:r>
      <w:r w:rsidR="00970A40" w:rsidRPr="004068F6">
        <w:rPr>
          <w:rFonts w:cs="Arial"/>
          <w:spacing w:val="-3"/>
          <w:sz w:val="16"/>
          <w:szCs w:val="16"/>
          <w:vertAlign w:val="superscript"/>
        </w:rPr>
        <w:tab/>
      </w:r>
      <w:r w:rsidR="0022633D">
        <w:rPr>
          <w:spacing w:val="-3"/>
          <w:sz w:val="16"/>
        </w:rPr>
        <w:t>E</w:t>
      </w:r>
      <w:r w:rsidR="00782821" w:rsidRPr="004068F6">
        <w:rPr>
          <w:spacing w:val="-3"/>
          <w:sz w:val="16"/>
        </w:rPr>
        <w:t>stimación</w:t>
      </w:r>
      <w:r w:rsidR="00970A40" w:rsidRPr="004068F6">
        <w:rPr>
          <w:spacing w:val="-3"/>
          <w:sz w:val="16"/>
        </w:rPr>
        <w:t xml:space="preserve"> cuantitativa o cualitativa de la forma en que se prevé cambiarán los </w:t>
      </w:r>
      <w:r w:rsidR="00A75AD1" w:rsidRPr="004068F6">
        <w:rPr>
          <w:spacing w:val="-3"/>
          <w:sz w:val="16"/>
        </w:rPr>
        <w:t>SSEE</w:t>
      </w:r>
      <w:r w:rsidR="00970A40" w:rsidRPr="004068F6">
        <w:rPr>
          <w:spacing w:val="-3"/>
          <w:sz w:val="16"/>
        </w:rPr>
        <w:t xml:space="preserve"> en el escenario sin proyecto.</w:t>
      </w:r>
    </w:p>
    <w:p w14:paraId="3975AD6C" w14:textId="2F77EE1D" w:rsidR="00CB44DC" w:rsidRDefault="00AC764E" w:rsidP="00CB44DC">
      <w:pPr>
        <w:numPr>
          <w:ilvl w:val="12"/>
          <w:numId w:val="0"/>
        </w:numPr>
        <w:tabs>
          <w:tab w:val="left" w:pos="-2268"/>
        </w:tabs>
        <w:suppressAutoHyphens/>
        <w:ind w:left="142" w:hanging="142"/>
        <w:rPr>
          <w:spacing w:val="-3"/>
          <w:sz w:val="16"/>
        </w:rPr>
      </w:pPr>
      <w:r>
        <w:rPr>
          <w:rFonts w:cs="Arial"/>
          <w:spacing w:val="-3"/>
          <w:sz w:val="16"/>
          <w:szCs w:val="16"/>
          <w:vertAlign w:val="superscript"/>
        </w:rPr>
        <w:t>5</w:t>
      </w:r>
      <w:r w:rsidR="00CB44DC" w:rsidRPr="004068F6">
        <w:rPr>
          <w:spacing w:val="-3"/>
          <w:sz w:val="16"/>
        </w:rPr>
        <w:tab/>
        <w:t xml:space="preserve">La cuantificación de los </w:t>
      </w:r>
      <w:r w:rsidR="004554AB">
        <w:rPr>
          <w:spacing w:val="-3"/>
          <w:sz w:val="16"/>
        </w:rPr>
        <w:t>beneficiarios</w:t>
      </w:r>
      <w:r w:rsidR="004554AB" w:rsidRPr="004068F6">
        <w:rPr>
          <w:spacing w:val="-3"/>
          <w:sz w:val="16"/>
        </w:rPr>
        <w:t xml:space="preserve"> </w:t>
      </w:r>
      <w:r w:rsidR="00CB44DC" w:rsidRPr="004068F6">
        <w:rPr>
          <w:spacing w:val="-3"/>
          <w:sz w:val="16"/>
        </w:rPr>
        <w:t>del servicio ecosistémico debe realiza</w:t>
      </w:r>
      <w:r w:rsidR="007F4629">
        <w:rPr>
          <w:spacing w:val="-3"/>
          <w:sz w:val="16"/>
        </w:rPr>
        <w:t xml:space="preserve">rse </w:t>
      </w:r>
      <w:r w:rsidR="00CB44DC" w:rsidRPr="004068F6">
        <w:rPr>
          <w:spacing w:val="-3"/>
          <w:sz w:val="16"/>
        </w:rPr>
        <w:t>a partir de la caracterización de la línea base del medio socioeconómico.</w:t>
      </w:r>
    </w:p>
    <w:p w14:paraId="717CD41B" w14:textId="48E70C3E" w:rsidR="00727213" w:rsidRPr="00EC0ECC" w:rsidRDefault="00AC764E" w:rsidP="00784492">
      <w:pPr>
        <w:numPr>
          <w:ilvl w:val="12"/>
          <w:numId w:val="0"/>
        </w:numPr>
        <w:tabs>
          <w:tab w:val="left" w:pos="-2268"/>
        </w:tabs>
        <w:suppressAutoHyphens/>
        <w:ind w:left="142" w:hanging="142"/>
        <w:rPr>
          <w:spacing w:val="-3"/>
          <w:sz w:val="16"/>
          <w:szCs w:val="16"/>
        </w:rPr>
      </w:pPr>
      <w:r>
        <w:rPr>
          <w:rFonts w:cs="Arial"/>
          <w:spacing w:val="-3"/>
          <w:sz w:val="16"/>
          <w:szCs w:val="16"/>
          <w:vertAlign w:val="superscript"/>
        </w:rPr>
        <w:t>6</w:t>
      </w:r>
      <w:r w:rsidR="008F6EF6" w:rsidRPr="004068F6">
        <w:rPr>
          <w:spacing w:val="-3"/>
          <w:sz w:val="16"/>
        </w:rPr>
        <w:tab/>
      </w:r>
      <w:r w:rsidR="001365BD">
        <w:rPr>
          <w:spacing w:val="-3"/>
          <w:sz w:val="16"/>
        </w:rPr>
        <w:t>Se</w:t>
      </w:r>
      <w:r w:rsidR="002D631B">
        <w:rPr>
          <w:spacing w:val="-3"/>
          <w:sz w:val="16"/>
        </w:rPr>
        <w:t xml:space="preserve">ñala </w:t>
      </w:r>
      <w:r w:rsidR="00343472">
        <w:rPr>
          <w:spacing w:val="-3"/>
          <w:sz w:val="16"/>
        </w:rPr>
        <w:t xml:space="preserve">únicamente el derecho humano con el </w:t>
      </w:r>
      <w:r w:rsidR="00343472" w:rsidRPr="00EC0ECC">
        <w:rPr>
          <w:spacing w:val="-3"/>
          <w:sz w:val="16"/>
        </w:rPr>
        <w:t xml:space="preserve">cual el </w:t>
      </w:r>
      <w:r w:rsidR="001365BD" w:rsidRPr="00EC0ECC">
        <w:rPr>
          <w:spacing w:val="-3"/>
          <w:sz w:val="16"/>
        </w:rPr>
        <w:t xml:space="preserve">servicio ecosistémico </w:t>
      </w:r>
      <w:r w:rsidR="002D631B" w:rsidRPr="00E64F04">
        <w:rPr>
          <w:spacing w:val="-3"/>
          <w:sz w:val="16"/>
        </w:rPr>
        <w:t xml:space="preserve">analizado </w:t>
      </w:r>
      <w:r w:rsidR="00343472" w:rsidRPr="00E64F04">
        <w:rPr>
          <w:spacing w:val="-3"/>
          <w:sz w:val="16"/>
        </w:rPr>
        <w:t>tiene la relación más fuerte y directa</w:t>
      </w:r>
      <w:r w:rsidR="005D1176" w:rsidRPr="00EC0ECC">
        <w:rPr>
          <w:spacing w:val="-3"/>
          <w:sz w:val="16"/>
          <w:szCs w:val="16"/>
        </w:rPr>
        <w:t>.</w:t>
      </w:r>
    </w:p>
    <w:p w14:paraId="21EBE7A3" w14:textId="35198D18" w:rsidR="003A1276" w:rsidRPr="004068F6" w:rsidRDefault="003A1276" w:rsidP="003A1276">
      <w:pPr>
        <w:numPr>
          <w:ilvl w:val="12"/>
          <w:numId w:val="0"/>
        </w:numPr>
        <w:tabs>
          <w:tab w:val="left" w:pos="-2268"/>
        </w:tabs>
        <w:suppressAutoHyphens/>
        <w:ind w:left="142" w:hanging="142"/>
        <w:rPr>
          <w:rFonts w:cs="Arial"/>
          <w:spacing w:val="-3"/>
          <w:sz w:val="16"/>
          <w:szCs w:val="16"/>
        </w:rPr>
      </w:pPr>
      <w:r w:rsidRPr="00EC0ECC">
        <w:rPr>
          <w:rFonts w:cs="Arial"/>
          <w:spacing w:val="-3"/>
          <w:sz w:val="16"/>
          <w:szCs w:val="16"/>
          <w:vertAlign w:val="superscript"/>
        </w:rPr>
        <w:t>7</w:t>
      </w:r>
      <w:r w:rsidRPr="00EC0ECC">
        <w:rPr>
          <w:rFonts w:cs="Arial"/>
          <w:spacing w:val="-3"/>
          <w:sz w:val="16"/>
          <w:szCs w:val="16"/>
        </w:rPr>
        <w:tab/>
        <w:t>Debe corresponder a un impacto y a su categoría normalizada de calificación, de acuerdo con los resultados de la evaluación</w:t>
      </w:r>
      <w:r w:rsidRPr="004068F6">
        <w:rPr>
          <w:rFonts w:cs="Arial"/>
          <w:spacing w:val="-3"/>
          <w:sz w:val="16"/>
          <w:szCs w:val="16"/>
        </w:rPr>
        <w:t xml:space="preserve"> ambiental (capítulo </w:t>
      </w:r>
      <w:r w:rsidRPr="004068F6">
        <w:rPr>
          <w:rFonts w:cs="Arial"/>
          <w:spacing w:val="-3"/>
          <w:sz w:val="16"/>
          <w:szCs w:val="16"/>
        </w:rPr>
        <w:fldChar w:fldCharType="begin"/>
      </w:r>
      <w:r w:rsidRPr="004068F6">
        <w:rPr>
          <w:rFonts w:cs="Arial"/>
          <w:spacing w:val="-3"/>
          <w:sz w:val="16"/>
          <w:szCs w:val="16"/>
        </w:rPr>
        <w:instrText xml:space="preserve"> REF _Ref515723704 \r \h  \* MERGEFORMAT </w:instrText>
      </w:r>
      <w:r w:rsidRPr="004068F6">
        <w:rPr>
          <w:rFonts w:cs="Arial"/>
          <w:spacing w:val="-3"/>
          <w:sz w:val="16"/>
          <w:szCs w:val="16"/>
        </w:rPr>
      </w:r>
      <w:r w:rsidRPr="004068F6">
        <w:rPr>
          <w:rFonts w:cs="Arial"/>
          <w:spacing w:val="-3"/>
          <w:sz w:val="16"/>
          <w:szCs w:val="16"/>
        </w:rPr>
        <w:fldChar w:fldCharType="separate"/>
      </w:r>
      <w:r w:rsidR="009C4A81">
        <w:rPr>
          <w:rFonts w:cs="Arial"/>
          <w:spacing w:val="-3"/>
          <w:sz w:val="16"/>
          <w:szCs w:val="16"/>
        </w:rPr>
        <w:t>7</w:t>
      </w:r>
      <w:r w:rsidRPr="004068F6">
        <w:rPr>
          <w:rFonts w:cs="Arial"/>
          <w:spacing w:val="-3"/>
          <w:sz w:val="16"/>
          <w:szCs w:val="16"/>
        </w:rPr>
        <w:fldChar w:fldCharType="end"/>
      </w:r>
      <w:r w:rsidRPr="004068F6">
        <w:rPr>
          <w:rFonts w:cs="Arial"/>
          <w:spacing w:val="-3"/>
          <w:sz w:val="16"/>
          <w:szCs w:val="16"/>
        </w:rPr>
        <w:t>).</w:t>
      </w:r>
    </w:p>
    <w:p w14:paraId="65827E86" w14:textId="498199A3" w:rsidR="00970A40" w:rsidRPr="004068F6" w:rsidRDefault="00970A40" w:rsidP="00970A40">
      <w:pPr>
        <w:numPr>
          <w:ilvl w:val="12"/>
          <w:numId w:val="0"/>
        </w:numPr>
        <w:tabs>
          <w:tab w:val="left" w:pos="-2268"/>
        </w:tabs>
        <w:suppressAutoHyphens/>
        <w:rPr>
          <w:rFonts w:cs="Arial"/>
          <w:spacing w:val="-3"/>
          <w:sz w:val="16"/>
          <w:szCs w:val="16"/>
        </w:rPr>
        <w:sectPr w:rsidR="00970A40" w:rsidRPr="004068F6" w:rsidSect="00544833">
          <w:headerReference w:type="even" r:id="rId69"/>
          <w:headerReference w:type="default" r:id="rId70"/>
          <w:footerReference w:type="default" r:id="rId71"/>
          <w:headerReference w:type="first" r:id="rId72"/>
          <w:footerReference w:type="first" r:id="rId73"/>
          <w:endnotePr>
            <w:numFmt w:val="decimal"/>
          </w:endnotePr>
          <w:pgSz w:w="15842" w:h="12242" w:orient="landscape" w:code="1"/>
          <w:pgMar w:top="1701" w:right="2268" w:bottom="1134" w:left="1701" w:header="1134" w:footer="1009" w:gutter="0"/>
          <w:cols w:space="720"/>
          <w:docGrid w:linePitch="326"/>
        </w:sectPr>
      </w:pPr>
    </w:p>
    <w:p w14:paraId="3877BCD7" w14:textId="77777777" w:rsidR="004C29D0" w:rsidRPr="004068F6" w:rsidRDefault="004C29D0" w:rsidP="0068149C">
      <w:pPr>
        <w:pStyle w:val="Ttulo2"/>
        <w:rPr>
          <w:lang w:val="es-CO"/>
        </w:rPr>
      </w:pPr>
      <w:bookmarkStart w:id="3079" w:name="_Toc230879669"/>
      <w:r w:rsidRPr="004068F6">
        <w:rPr>
          <w:lang w:val="es-CO"/>
        </w:rPr>
        <w:lastRenderedPageBreak/>
        <w:t>PAISAJE</w:t>
      </w:r>
      <w:bookmarkEnd w:id="3067"/>
      <w:bookmarkEnd w:id="3068"/>
      <w:bookmarkEnd w:id="3069"/>
      <w:bookmarkEnd w:id="3079"/>
    </w:p>
    <w:p w14:paraId="6494655D" w14:textId="77777777" w:rsidR="004C29D0" w:rsidRPr="004068F6" w:rsidRDefault="004C29D0">
      <w:pPr>
        <w:numPr>
          <w:ilvl w:val="12"/>
          <w:numId w:val="0"/>
        </w:numPr>
        <w:tabs>
          <w:tab w:val="left" w:pos="-2268"/>
        </w:tabs>
        <w:suppressAutoHyphens/>
        <w:rPr>
          <w:rFonts w:cs="Arial"/>
          <w:spacing w:val="-3"/>
        </w:rPr>
      </w:pPr>
    </w:p>
    <w:p w14:paraId="28FF3ABC" w14:textId="038268CC" w:rsidR="008026E5" w:rsidRPr="004068F6" w:rsidRDefault="008026E5" w:rsidP="008026E5">
      <w:pPr>
        <w:rPr>
          <w:rStyle w:val="eop"/>
          <w:rFonts w:cs="Arial"/>
        </w:rPr>
      </w:pPr>
      <w:r w:rsidRPr="004068F6">
        <w:rPr>
          <w:rStyle w:val="eop"/>
          <w:rFonts w:cs="Arial"/>
        </w:rPr>
        <w:t xml:space="preserve">La caracterización del paisaje parte del análisis de tres elementos principales, a saber: i) fisiografía o geomorfología, ii) coberturas de la tierra asociadas a cada ecosistema (lo cual incluye a los ecosistemas estratégicos terrestres, marinos y marino costeros) y, iii) percepción visual del paisaje. Por tanto, la caracterización del paisaje obedece a la integración de los </w:t>
      </w:r>
      <w:r w:rsidR="009125B2" w:rsidRPr="004068F6">
        <w:rPr>
          <w:rStyle w:val="eop"/>
          <w:rFonts w:cs="Arial"/>
        </w:rPr>
        <w:t xml:space="preserve">factores o </w:t>
      </w:r>
      <w:r w:rsidRPr="004068F6">
        <w:rPr>
          <w:rStyle w:val="eop"/>
          <w:rFonts w:cs="Arial"/>
        </w:rPr>
        <w:t>componentes que se le asocian de los medios abiótico, biótico y socioeconómico.</w:t>
      </w:r>
    </w:p>
    <w:p w14:paraId="627CFA9D" w14:textId="77777777" w:rsidR="008026E5" w:rsidRPr="00127BD4" w:rsidRDefault="008026E5" w:rsidP="008026E5">
      <w:pPr>
        <w:pStyle w:val="paragraph"/>
        <w:spacing w:before="0" w:beforeAutospacing="0" w:after="0" w:afterAutospacing="0"/>
        <w:textAlignment w:val="baseline"/>
        <w:rPr>
          <w:rStyle w:val="eop"/>
          <w:rFonts w:cs="Arial"/>
          <w:lang w:val="es-CO"/>
        </w:rPr>
      </w:pPr>
    </w:p>
    <w:p w14:paraId="6FA73B57" w14:textId="3CBB919C" w:rsidR="008026E5" w:rsidRPr="00127BD4" w:rsidRDefault="008026E5" w:rsidP="008026E5">
      <w:pPr>
        <w:pStyle w:val="paragraph"/>
        <w:spacing w:before="0" w:beforeAutospacing="0" w:after="0" w:afterAutospacing="0"/>
        <w:textAlignment w:val="baseline"/>
        <w:rPr>
          <w:rFonts w:cs="Arial"/>
          <w:lang w:val="es-CO"/>
        </w:rPr>
      </w:pPr>
      <w:r w:rsidRPr="00127BD4">
        <w:rPr>
          <w:rStyle w:val="eop"/>
          <w:rFonts w:cs="Arial"/>
          <w:lang w:val="es-CO"/>
        </w:rPr>
        <w:t>La caracterización de los elementos principales del paisaje debe describir lo siguiente:</w:t>
      </w:r>
    </w:p>
    <w:p w14:paraId="7D9C5E6E" w14:textId="77777777" w:rsidR="008026E5" w:rsidRPr="00127BD4" w:rsidRDefault="008026E5" w:rsidP="008026E5">
      <w:pPr>
        <w:pStyle w:val="paragraph"/>
        <w:spacing w:before="0" w:beforeAutospacing="0" w:after="0" w:afterAutospacing="0"/>
        <w:textAlignment w:val="baseline"/>
        <w:rPr>
          <w:rStyle w:val="eop"/>
          <w:rFonts w:cs="Arial"/>
          <w:lang w:val="es-CO"/>
        </w:rPr>
      </w:pPr>
    </w:p>
    <w:p w14:paraId="72DF9C77" w14:textId="02CDF1EE" w:rsidR="008026E5" w:rsidRPr="004068F6" w:rsidRDefault="008026E5" w:rsidP="008026E5">
      <w:pPr>
        <w:numPr>
          <w:ilvl w:val="0"/>
          <w:numId w:val="70"/>
        </w:numPr>
        <w:tabs>
          <w:tab w:val="left" w:pos="-2268"/>
        </w:tabs>
        <w:suppressAutoHyphens/>
        <w:ind w:left="567" w:hanging="567"/>
        <w:rPr>
          <w:spacing w:val="-3"/>
        </w:rPr>
      </w:pPr>
      <w:r w:rsidRPr="004068F6">
        <w:rPr>
          <w:spacing w:val="-3"/>
        </w:rPr>
        <w:t>Condiciones fisiográficas o geomorfológicas.</w:t>
      </w:r>
    </w:p>
    <w:p w14:paraId="078280D6" w14:textId="77777777" w:rsidR="008026E5" w:rsidRPr="004068F6" w:rsidRDefault="008026E5" w:rsidP="008026E5">
      <w:pPr>
        <w:tabs>
          <w:tab w:val="left" w:pos="-2268"/>
        </w:tabs>
        <w:suppressAutoHyphens/>
        <w:rPr>
          <w:spacing w:val="-3"/>
        </w:rPr>
      </w:pPr>
    </w:p>
    <w:p w14:paraId="3495521B" w14:textId="2116AB4C"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spacing w:val="-3"/>
        </w:rPr>
      </w:pPr>
      <w:r w:rsidRPr="004068F6">
        <w:rPr>
          <w:rFonts w:cs="Arial"/>
          <w:spacing w:val="-3"/>
        </w:rPr>
        <w:t xml:space="preserve">Delimitar, describir y representar cartográficamente los elementos físicos del paisaje, considerando la información presentada en el numeral </w:t>
      </w:r>
      <w:r w:rsidR="00862E33" w:rsidRPr="004068F6">
        <w:rPr>
          <w:rFonts w:cs="Arial"/>
          <w:spacing w:val="-3"/>
          <w:highlight w:val="yellow"/>
        </w:rPr>
        <w:fldChar w:fldCharType="begin"/>
      </w:r>
      <w:r w:rsidR="00862E33" w:rsidRPr="004068F6">
        <w:rPr>
          <w:rFonts w:cs="Arial"/>
          <w:spacing w:val="-3"/>
        </w:rPr>
        <w:instrText xml:space="preserve"> REF _Ref144301989 \r \h </w:instrText>
      </w:r>
      <w:r w:rsidR="00862E33" w:rsidRPr="004068F6">
        <w:rPr>
          <w:rFonts w:cs="Arial"/>
          <w:spacing w:val="-3"/>
          <w:highlight w:val="yellow"/>
        </w:rPr>
      </w:r>
      <w:r w:rsidR="00862E33" w:rsidRPr="004068F6">
        <w:rPr>
          <w:rFonts w:cs="Arial"/>
          <w:spacing w:val="-3"/>
          <w:highlight w:val="yellow"/>
        </w:rPr>
        <w:fldChar w:fldCharType="separate"/>
      </w:r>
      <w:r w:rsidR="009C4A81">
        <w:rPr>
          <w:rFonts w:cs="Arial"/>
          <w:spacing w:val="-3"/>
        </w:rPr>
        <w:t>4.1</w:t>
      </w:r>
      <w:r w:rsidR="00862E33" w:rsidRPr="004068F6">
        <w:rPr>
          <w:rFonts w:cs="Arial"/>
          <w:spacing w:val="-3"/>
          <w:highlight w:val="yellow"/>
        </w:rPr>
        <w:fldChar w:fldCharType="end"/>
      </w:r>
      <w:r w:rsidRPr="004068F6">
        <w:rPr>
          <w:rFonts w:cs="Arial"/>
          <w:spacing w:val="-3"/>
        </w:rPr>
        <w:t xml:space="preserve"> del capítulo III.</w:t>
      </w:r>
    </w:p>
    <w:p w14:paraId="5F7BB0C5" w14:textId="77777777" w:rsidR="008026E5" w:rsidRPr="004068F6" w:rsidRDefault="008026E5" w:rsidP="008026E5">
      <w:pPr>
        <w:tabs>
          <w:tab w:val="left" w:pos="-2268"/>
        </w:tabs>
        <w:suppressAutoHyphens/>
        <w:rPr>
          <w:spacing w:val="-3"/>
        </w:rPr>
      </w:pPr>
    </w:p>
    <w:p w14:paraId="2739630A" w14:textId="77777777" w:rsidR="008026E5" w:rsidRPr="004068F6" w:rsidRDefault="008026E5" w:rsidP="008026E5">
      <w:pPr>
        <w:numPr>
          <w:ilvl w:val="0"/>
          <w:numId w:val="70"/>
        </w:numPr>
        <w:tabs>
          <w:tab w:val="left" w:pos="-2268"/>
        </w:tabs>
        <w:suppressAutoHyphens/>
        <w:ind w:left="567" w:hanging="567"/>
        <w:rPr>
          <w:spacing w:val="-3"/>
        </w:rPr>
      </w:pPr>
      <w:r w:rsidRPr="004068F6">
        <w:rPr>
          <w:spacing w:val="-3"/>
        </w:rPr>
        <w:t xml:space="preserve">Coberturas de la tierra asociadas a ecosistemas terrestres, marinos y marino costeros. </w:t>
      </w:r>
    </w:p>
    <w:p w14:paraId="5F993891" w14:textId="77777777" w:rsidR="008026E5" w:rsidRPr="004068F6" w:rsidRDefault="008026E5" w:rsidP="008026E5">
      <w:pPr>
        <w:tabs>
          <w:tab w:val="left" w:pos="-2268"/>
        </w:tabs>
        <w:suppressAutoHyphens/>
        <w:rPr>
          <w:spacing w:val="-3"/>
        </w:rPr>
      </w:pPr>
    </w:p>
    <w:p w14:paraId="141C0CE3" w14:textId="553C9985"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 xml:space="preserve">Describir los elementos de las coberturas que caracterizan el paisaje predominante a partir de la delimitación, representación cartográfica y demás características que fueron identificadas siguiendo los lineamientos sobre coberturas de la tierra señalados en el numeral </w:t>
      </w:r>
      <w:r w:rsidRPr="004068F6">
        <w:rPr>
          <w:rFonts w:cs="Arial"/>
          <w:color w:val="2B579A"/>
          <w:spacing w:val="-3"/>
          <w:shd w:val="clear" w:color="auto" w:fill="E6E6E6"/>
        </w:rPr>
        <w:fldChar w:fldCharType="begin"/>
      </w:r>
      <w:r w:rsidRPr="004068F6">
        <w:rPr>
          <w:rFonts w:cs="Arial"/>
          <w:spacing w:val="-3"/>
        </w:rPr>
        <w:instrText xml:space="preserve"> REF _Ref78538891 \r \h  \* MERGEFORMAT </w:instrText>
      </w:r>
      <w:r w:rsidRPr="004068F6">
        <w:rPr>
          <w:rFonts w:cs="Arial"/>
          <w:color w:val="2B579A"/>
          <w:spacing w:val="-3"/>
          <w:shd w:val="clear" w:color="auto" w:fill="E6E6E6"/>
        </w:rPr>
      </w:r>
      <w:r w:rsidRPr="004068F6">
        <w:rPr>
          <w:rFonts w:cs="Arial"/>
          <w:color w:val="2B579A"/>
          <w:spacing w:val="-3"/>
          <w:shd w:val="clear" w:color="auto" w:fill="E6E6E6"/>
        </w:rPr>
        <w:fldChar w:fldCharType="separate"/>
      </w:r>
      <w:r w:rsidR="009C4A81">
        <w:rPr>
          <w:rFonts w:cs="Arial"/>
          <w:spacing w:val="-3"/>
        </w:rPr>
        <w:t>4.2.1</w:t>
      </w:r>
      <w:r w:rsidRPr="004068F6">
        <w:rPr>
          <w:rFonts w:cs="Arial"/>
          <w:color w:val="2B579A"/>
          <w:spacing w:val="-3"/>
          <w:shd w:val="clear" w:color="auto" w:fill="E6E6E6"/>
        </w:rPr>
        <w:fldChar w:fldCharType="end"/>
      </w:r>
      <w:r w:rsidRPr="004068F6">
        <w:rPr>
          <w:rFonts w:cs="Arial"/>
          <w:spacing w:val="-3"/>
        </w:rPr>
        <w:t xml:space="preserve"> de este capítulo.</w:t>
      </w:r>
    </w:p>
    <w:p w14:paraId="13271DC2" w14:textId="77777777" w:rsidR="008026E5" w:rsidRPr="004068F6" w:rsidRDefault="008026E5" w:rsidP="008026E5">
      <w:pPr>
        <w:tabs>
          <w:tab w:val="left" w:pos="-2268"/>
        </w:tabs>
        <w:suppressAutoHyphens/>
        <w:rPr>
          <w:spacing w:val="-3"/>
        </w:rPr>
      </w:pPr>
    </w:p>
    <w:p w14:paraId="5EAD6548" w14:textId="2F3DA8CF" w:rsidR="008026E5" w:rsidRPr="004068F6" w:rsidRDefault="008026E5" w:rsidP="008026E5">
      <w:pPr>
        <w:pStyle w:val="paragraph"/>
        <w:spacing w:before="0" w:beforeAutospacing="0" w:after="0" w:afterAutospacing="0"/>
        <w:textAlignment w:val="baseline"/>
        <w:rPr>
          <w:rFonts w:cs="Arial"/>
          <w:spacing w:val="-3"/>
          <w:lang w:val="es-CO"/>
        </w:rPr>
      </w:pPr>
      <w:r w:rsidRPr="00127BD4">
        <w:rPr>
          <w:rStyle w:val="eop"/>
          <w:rFonts w:cs="Arial"/>
          <w:lang w:val="es-CO"/>
        </w:rPr>
        <w:t>A partir de estas dos características se deben definir las unidades de paisaje local a la escala establecida en los términos de referencia (</w:t>
      </w:r>
      <w:r w:rsidRPr="004068F6">
        <w:rPr>
          <w:spacing w:val="-3"/>
          <w:lang w:val="es-CO"/>
        </w:rPr>
        <w:t>o a una más detallada si el análisis lo requiere</w:t>
      </w:r>
      <w:r w:rsidRPr="00127BD4">
        <w:rPr>
          <w:rStyle w:val="eop"/>
          <w:rFonts w:cs="Arial"/>
          <w:lang w:val="es-CO"/>
        </w:rPr>
        <w:t>), empleando métodos de delimitación aceptados internacionalmente, así como imágenes de satélite, de radar o fotografías aéreas, entre otras fuentes de información. Se debe</w:t>
      </w:r>
      <w:r w:rsidR="00D72396" w:rsidRPr="00127BD4">
        <w:rPr>
          <w:rStyle w:val="eop"/>
          <w:rFonts w:cs="Arial"/>
          <w:lang w:val="es-CO"/>
        </w:rPr>
        <w:t>n</w:t>
      </w:r>
      <w:r w:rsidRPr="00127BD4">
        <w:rPr>
          <w:rStyle w:val="eop"/>
          <w:rFonts w:cs="Arial"/>
          <w:lang w:val="es-CO"/>
        </w:rPr>
        <w:t xml:space="preserve"> describir las características biofísicas de cada unidad de paisaje </w:t>
      </w:r>
      <w:r w:rsidRPr="004068F6">
        <w:rPr>
          <w:rFonts w:cs="Arial"/>
          <w:spacing w:val="-3"/>
          <w:lang w:val="es-CO"/>
        </w:rPr>
        <w:t xml:space="preserve">y señalar su porcentaje de ocupación con respecto </w:t>
      </w:r>
      <w:r w:rsidR="0009128D" w:rsidRPr="004068F6">
        <w:rPr>
          <w:rFonts w:cs="Arial"/>
          <w:spacing w:val="-3"/>
          <w:lang w:val="es-CO"/>
        </w:rPr>
        <w:t>a la superficie total del área que configura el paisaje</w:t>
      </w:r>
      <w:r w:rsidRPr="004068F6">
        <w:rPr>
          <w:rFonts w:cs="Arial"/>
          <w:spacing w:val="-3"/>
          <w:lang w:val="es-CO"/>
        </w:rPr>
        <w:t>.</w:t>
      </w:r>
    </w:p>
    <w:p w14:paraId="3D1351C6" w14:textId="77777777" w:rsidR="008026E5" w:rsidRPr="00127BD4" w:rsidRDefault="008026E5" w:rsidP="008026E5">
      <w:pPr>
        <w:pStyle w:val="paragraph"/>
        <w:spacing w:before="0" w:beforeAutospacing="0" w:after="0" w:afterAutospacing="0"/>
        <w:rPr>
          <w:rStyle w:val="eop"/>
          <w:rFonts w:cs="Arial"/>
          <w:lang w:val="es-CO" w:eastAsia="es-ES"/>
        </w:rPr>
      </w:pPr>
    </w:p>
    <w:p w14:paraId="2934F1DF" w14:textId="77777777" w:rsidR="008026E5" w:rsidRPr="00127BD4" w:rsidRDefault="008026E5" w:rsidP="008026E5">
      <w:pPr>
        <w:pStyle w:val="paragraph"/>
        <w:spacing w:before="0" w:beforeAutospacing="0" w:after="0" w:afterAutospacing="0"/>
        <w:rPr>
          <w:rStyle w:val="eop"/>
          <w:rFonts w:cs="Arial"/>
          <w:lang w:val="es-CO"/>
        </w:rPr>
      </w:pPr>
      <w:r w:rsidRPr="00127BD4">
        <w:rPr>
          <w:rStyle w:val="eop"/>
          <w:rFonts w:cs="Arial"/>
          <w:lang w:val="es-CO"/>
        </w:rPr>
        <w:t>Teniendo en cuenta los insumos mencionados anteriormente, se deben realizar los siguientes análisis:</w:t>
      </w:r>
    </w:p>
    <w:p w14:paraId="6F2FC2CA" w14:textId="77777777" w:rsidR="008026E5" w:rsidRPr="00127BD4" w:rsidRDefault="008026E5" w:rsidP="008026E5">
      <w:pPr>
        <w:pStyle w:val="paragraph"/>
        <w:spacing w:before="0" w:beforeAutospacing="0" w:after="0" w:afterAutospacing="0"/>
        <w:rPr>
          <w:rStyle w:val="eop"/>
          <w:rFonts w:cs="Arial"/>
          <w:lang w:val="es-CO"/>
        </w:rPr>
      </w:pPr>
    </w:p>
    <w:p w14:paraId="1650A3DD" w14:textId="77777777" w:rsidR="008026E5" w:rsidRPr="004068F6" w:rsidRDefault="008026E5" w:rsidP="008026E5">
      <w:pPr>
        <w:numPr>
          <w:ilvl w:val="0"/>
          <w:numId w:val="70"/>
        </w:numPr>
        <w:tabs>
          <w:tab w:val="left" w:pos="-2268"/>
        </w:tabs>
        <w:suppressAutoHyphens/>
        <w:ind w:left="567" w:hanging="567"/>
        <w:rPr>
          <w:spacing w:val="-3"/>
        </w:rPr>
      </w:pPr>
      <w:r w:rsidRPr="004068F6">
        <w:rPr>
          <w:spacing w:val="-3"/>
        </w:rPr>
        <w:t>Valoración de la calidad visual del paisaje</w:t>
      </w:r>
      <w:r w:rsidRPr="00127BD4">
        <w:rPr>
          <w:rStyle w:val="Refdenotaalpie"/>
          <w:spacing w:val="-3"/>
          <w:lang w:val="es-CO"/>
        </w:rPr>
        <w:footnoteReference w:id="186"/>
      </w:r>
      <w:r w:rsidRPr="004068F6">
        <w:rPr>
          <w:spacing w:val="-3"/>
        </w:rPr>
        <w:t>, contemplando como mínimo los elementos que se mencionan a continuación:</w:t>
      </w:r>
    </w:p>
    <w:p w14:paraId="2EAB1F17" w14:textId="77777777" w:rsidR="008026E5" w:rsidRPr="004068F6" w:rsidRDefault="008026E5" w:rsidP="008026E5">
      <w:pPr>
        <w:tabs>
          <w:tab w:val="left" w:pos="-2268"/>
        </w:tabs>
        <w:suppressAutoHyphens/>
        <w:rPr>
          <w:spacing w:val="-3"/>
        </w:rPr>
      </w:pPr>
    </w:p>
    <w:p w14:paraId="75D48BF8" w14:textId="77777777"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spacing w:val="-3"/>
        </w:rPr>
      </w:pPr>
      <w:r w:rsidRPr="004068F6">
        <w:rPr>
          <w:rFonts w:cs="Arial"/>
          <w:spacing w:val="-3"/>
        </w:rPr>
        <w:t>Agua: presencia o ausencia de cuerpos de agua.</w:t>
      </w:r>
    </w:p>
    <w:p w14:paraId="760AA865" w14:textId="77777777" w:rsidR="008026E5" w:rsidRPr="004068F6" w:rsidRDefault="008026E5" w:rsidP="008026E5">
      <w:pPr>
        <w:tabs>
          <w:tab w:val="left" w:pos="-2268"/>
        </w:tabs>
        <w:suppressAutoHyphens/>
        <w:rPr>
          <w:spacing w:val="-3"/>
        </w:rPr>
      </w:pPr>
    </w:p>
    <w:p w14:paraId="11EB1BE9" w14:textId="77777777"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Vegetación: variedad de tipos de vegetación, texturas y contrastes.</w:t>
      </w:r>
    </w:p>
    <w:p w14:paraId="039A7ECF" w14:textId="77777777" w:rsidR="008026E5" w:rsidRPr="004068F6" w:rsidRDefault="008026E5" w:rsidP="008026E5">
      <w:pPr>
        <w:tabs>
          <w:tab w:val="left" w:pos="-2268"/>
        </w:tabs>
        <w:suppressAutoHyphens/>
        <w:rPr>
          <w:spacing w:val="-3"/>
        </w:rPr>
      </w:pPr>
    </w:p>
    <w:p w14:paraId="58FF7169" w14:textId="77777777"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Grado de intervención: intensidad de las modificaciones que ha tenido el paisaje por actividades antrópicas.</w:t>
      </w:r>
    </w:p>
    <w:p w14:paraId="5AAEBB69" w14:textId="77777777" w:rsidR="008026E5" w:rsidRPr="00F63FDA" w:rsidRDefault="008026E5" w:rsidP="00F63FDA">
      <w:pPr>
        <w:rPr>
          <w:rFonts w:cs="Arial"/>
          <w:spacing w:val="-3"/>
        </w:rPr>
      </w:pPr>
    </w:p>
    <w:p w14:paraId="7C58850E" w14:textId="71E5382A"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rFonts w:cs="Arial"/>
          <w:spacing w:val="-3"/>
        </w:rPr>
      </w:pPr>
      <w:r w:rsidRPr="00127BD4">
        <w:rPr>
          <w:rFonts w:cs="Arial"/>
          <w:spacing w:val="-3"/>
        </w:rPr>
        <w:t>Relieve:</w:t>
      </w:r>
      <w:r w:rsidRPr="004068F6">
        <w:rPr>
          <w:rFonts w:cs="Arial"/>
          <w:spacing w:val="-3"/>
        </w:rPr>
        <w:t xml:space="preserve"> variedad de los rasgos geomorfológicos en función del tipo de forma y la pendiente.</w:t>
      </w:r>
    </w:p>
    <w:p w14:paraId="6AF56916" w14:textId="77777777" w:rsidR="008026E5" w:rsidRPr="004068F6" w:rsidRDefault="008026E5" w:rsidP="008026E5">
      <w:pPr>
        <w:tabs>
          <w:tab w:val="left" w:pos="-2268"/>
        </w:tabs>
        <w:suppressAutoHyphens/>
        <w:rPr>
          <w:spacing w:val="-3"/>
        </w:rPr>
      </w:pPr>
    </w:p>
    <w:p w14:paraId="63CD6CB2" w14:textId="77777777" w:rsidR="008026E5" w:rsidRPr="004068F6" w:rsidRDefault="008026E5" w:rsidP="008026E5">
      <w:pPr>
        <w:tabs>
          <w:tab w:val="left" w:pos="-2268"/>
        </w:tabs>
        <w:suppressAutoHyphens/>
        <w:ind w:left="567"/>
        <w:rPr>
          <w:spacing w:val="-3"/>
        </w:rPr>
      </w:pPr>
      <w:r w:rsidRPr="004068F6">
        <w:rPr>
          <w:spacing w:val="-3"/>
        </w:rPr>
        <w:t>A partir de esta valoración se debe establecer la calidad visual de las unidades paisajísticas empleando las categorías “baja”, “media” y “alta”.</w:t>
      </w:r>
    </w:p>
    <w:p w14:paraId="5ACFE4AB" w14:textId="77777777" w:rsidR="008026E5" w:rsidRPr="004068F6" w:rsidRDefault="008026E5" w:rsidP="008026E5">
      <w:pPr>
        <w:tabs>
          <w:tab w:val="left" w:pos="-2268"/>
        </w:tabs>
        <w:suppressAutoHyphens/>
        <w:rPr>
          <w:spacing w:val="-3"/>
        </w:rPr>
      </w:pPr>
    </w:p>
    <w:p w14:paraId="7484658F" w14:textId="77777777" w:rsidR="008026E5" w:rsidRPr="004068F6" w:rsidRDefault="008026E5" w:rsidP="008026E5">
      <w:pPr>
        <w:numPr>
          <w:ilvl w:val="0"/>
          <w:numId w:val="70"/>
        </w:numPr>
        <w:tabs>
          <w:tab w:val="left" w:pos="-2268"/>
        </w:tabs>
        <w:suppressAutoHyphens/>
        <w:ind w:left="567" w:hanging="567"/>
        <w:rPr>
          <w:spacing w:val="-3"/>
        </w:rPr>
      </w:pPr>
      <w:r w:rsidRPr="004068F6">
        <w:rPr>
          <w:spacing w:val="-3"/>
        </w:rPr>
        <w:t>Valoración de la fragilidad visual del paisaje</w:t>
      </w:r>
      <w:r w:rsidRPr="00127BD4">
        <w:rPr>
          <w:rStyle w:val="Refdenotaalpie"/>
          <w:spacing w:val="-3"/>
          <w:lang w:val="es-CO"/>
        </w:rPr>
        <w:footnoteReference w:id="187"/>
      </w:r>
      <w:r w:rsidRPr="004068F6">
        <w:rPr>
          <w:spacing w:val="-3"/>
        </w:rPr>
        <w:t>, contemplando como mínimo las siguientes características:</w:t>
      </w:r>
    </w:p>
    <w:p w14:paraId="16391F4E" w14:textId="77777777" w:rsidR="008026E5" w:rsidRPr="004068F6" w:rsidRDefault="008026E5" w:rsidP="008026E5">
      <w:pPr>
        <w:tabs>
          <w:tab w:val="left" w:pos="-2268"/>
        </w:tabs>
        <w:suppressAutoHyphens/>
        <w:rPr>
          <w:spacing w:val="-3"/>
        </w:rPr>
      </w:pPr>
    </w:p>
    <w:p w14:paraId="2872ACA8" w14:textId="01A89261"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Cobertura vegetal: características de la vegetación en términos de diversidad, estructura o composición.</w:t>
      </w:r>
    </w:p>
    <w:p w14:paraId="52568125" w14:textId="77777777" w:rsidR="008026E5" w:rsidRPr="004068F6" w:rsidRDefault="008026E5" w:rsidP="008026E5">
      <w:pPr>
        <w:tabs>
          <w:tab w:val="left" w:pos="-2268"/>
        </w:tabs>
        <w:suppressAutoHyphens/>
        <w:rPr>
          <w:spacing w:val="-3"/>
        </w:rPr>
      </w:pPr>
    </w:p>
    <w:p w14:paraId="5BA559A8" w14:textId="77777777"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Pendiente: grado de inclinación del terreno.</w:t>
      </w:r>
    </w:p>
    <w:p w14:paraId="716D6D7A" w14:textId="77777777" w:rsidR="008026E5" w:rsidRPr="00F63FDA" w:rsidRDefault="008026E5" w:rsidP="00F63FDA">
      <w:pPr>
        <w:rPr>
          <w:rFonts w:cs="Arial"/>
          <w:spacing w:val="-3"/>
        </w:rPr>
      </w:pPr>
    </w:p>
    <w:p w14:paraId="0E0DCD4C" w14:textId="77777777"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rFonts w:cs="Arial"/>
          <w:spacing w:val="-3"/>
        </w:rPr>
      </w:pPr>
      <w:r w:rsidRPr="00127BD4">
        <w:rPr>
          <w:rFonts w:cs="Arial"/>
          <w:spacing w:val="-3"/>
        </w:rPr>
        <w:t>Contraste:</w:t>
      </w:r>
      <w:r w:rsidRPr="004068F6">
        <w:rPr>
          <w:rFonts w:cs="Arial"/>
          <w:spacing w:val="-3"/>
        </w:rPr>
        <w:t xml:space="preserve"> diferencias notables entre colores y matices.</w:t>
      </w:r>
    </w:p>
    <w:p w14:paraId="42898658" w14:textId="77777777" w:rsidR="008026E5" w:rsidRPr="004068F6" w:rsidRDefault="008026E5" w:rsidP="008026E5">
      <w:pPr>
        <w:tabs>
          <w:tab w:val="left" w:pos="-2268"/>
        </w:tabs>
        <w:suppressAutoHyphens/>
        <w:overflowPunct/>
        <w:autoSpaceDE/>
        <w:autoSpaceDN/>
        <w:adjustRightInd/>
        <w:textAlignment w:val="auto"/>
        <w:rPr>
          <w:rFonts w:cs="Arial"/>
          <w:spacing w:val="-3"/>
        </w:rPr>
      </w:pPr>
    </w:p>
    <w:p w14:paraId="30F3BE7A" w14:textId="77777777" w:rsidR="008026E5" w:rsidRPr="004068F6" w:rsidRDefault="008026E5" w:rsidP="00127BD4">
      <w:pPr>
        <w:tabs>
          <w:tab w:val="left" w:pos="-2268"/>
        </w:tabs>
        <w:suppressAutoHyphens/>
        <w:overflowPunct/>
        <w:autoSpaceDE/>
        <w:autoSpaceDN/>
        <w:adjustRightInd/>
        <w:ind w:left="567"/>
        <w:textAlignment w:val="auto"/>
        <w:rPr>
          <w:spacing w:val="-3"/>
        </w:rPr>
      </w:pPr>
      <w:r w:rsidRPr="004068F6">
        <w:rPr>
          <w:rFonts w:cs="Arial"/>
          <w:spacing w:val="-3"/>
        </w:rPr>
        <w:t xml:space="preserve">A partir de </w:t>
      </w:r>
      <w:r w:rsidRPr="004068F6">
        <w:rPr>
          <w:spacing w:val="-3"/>
        </w:rPr>
        <w:t>esta valoración se debe establecer la fragilidad visual de las unidades paisajísticas empleando las categorías “baja”, “media” y “alta”.</w:t>
      </w:r>
    </w:p>
    <w:p w14:paraId="11DF265D" w14:textId="77777777" w:rsidR="008026E5" w:rsidRDefault="008026E5" w:rsidP="008026E5">
      <w:pPr>
        <w:tabs>
          <w:tab w:val="left" w:pos="-2268"/>
        </w:tabs>
        <w:suppressAutoHyphens/>
        <w:rPr>
          <w:spacing w:val="-3"/>
        </w:rPr>
      </w:pPr>
    </w:p>
    <w:p w14:paraId="6C01E00B" w14:textId="3B04551A" w:rsidR="00160B76" w:rsidRDefault="00FD388E" w:rsidP="008026E5">
      <w:pPr>
        <w:tabs>
          <w:tab w:val="left" w:pos="-2268"/>
        </w:tabs>
        <w:suppressAutoHyphens/>
        <w:rPr>
          <w:spacing w:val="-3"/>
        </w:rPr>
      </w:pPr>
      <w:r w:rsidRPr="009C3892">
        <w:rPr>
          <w:spacing w:val="-3"/>
        </w:rPr>
        <w:t xml:space="preserve">Para proyectos localizados en áreas declaradas como </w:t>
      </w:r>
      <w:r w:rsidR="00033C78" w:rsidRPr="00127BD4">
        <w:rPr>
          <w:spacing w:val="-3"/>
        </w:rPr>
        <w:t>p</w:t>
      </w:r>
      <w:r w:rsidRPr="009C3892">
        <w:rPr>
          <w:spacing w:val="-3"/>
        </w:rPr>
        <w:t xml:space="preserve">aisajes </w:t>
      </w:r>
      <w:r w:rsidR="00033C78" w:rsidRPr="00127BD4">
        <w:rPr>
          <w:spacing w:val="-3"/>
        </w:rPr>
        <w:t>c</w:t>
      </w:r>
      <w:r w:rsidRPr="009C3892">
        <w:rPr>
          <w:spacing w:val="-3"/>
        </w:rPr>
        <w:t>ulturales (</w:t>
      </w:r>
      <w:r w:rsidR="00033C78" w:rsidRPr="00127BD4">
        <w:rPr>
          <w:spacing w:val="-3"/>
        </w:rPr>
        <w:t xml:space="preserve">p. </w:t>
      </w:r>
      <w:r w:rsidRPr="009C3892">
        <w:rPr>
          <w:spacing w:val="-3"/>
        </w:rPr>
        <w:t xml:space="preserve">ej. </w:t>
      </w:r>
      <w:r w:rsidR="00EB2458" w:rsidRPr="00127BD4">
        <w:rPr>
          <w:spacing w:val="-3"/>
        </w:rPr>
        <w:t xml:space="preserve">el Paisaje </w:t>
      </w:r>
      <w:r w:rsidR="007463BF" w:rsidRPr="00127BD4">
        <w:rPr>
          <w:spacing w:val="-3"/>
        </w:rPr>
        <w:t>cultural cafetero colombiano</w:t>
      </w:r>
      <w:r w:rsidRPr="009C3892">
        <w:rPr>
          <w:spacing w:val="-3"/>
        </w:rPr>
        <w:t xml:space="preserve">), la valoración de la calidad y </w:t>
      </w:r>
      <w:r w:rsidR="00EB2458" w:rsidRPr="00127BD4">
        <w:rPr>
          <w:spacing w:val="-3"/>
        </w:rPr>
        <w:t xml:space="preserve">de la </w:t>
      </w:r>
      <w:r w:rsidRPr="009C3892">
        <w:rPr>
          <w:spacing w:val="-3"/>
        </w:rPr>
        <w:t xml:space="preserve">fragilidad </w:t>
      </w:r>
      <w:r w:rsidR="00EB2458" w:rsidRPr="00127BD4">
        <w:rPr>
          <w:spacing w:val="-3"/>
        </w:rPr>
        <w:t xml:space="preserve">visual </w:t>
      </w:r>
      <w:r w:rsidRPr="009C3892">
        <w:rPr>
          <w:spacing w:val="-3"/>
        </w:rPr>
        <w:t xml:space="preserve">del paisaje debe considerar, además de las variables biofísicas, la presencia e integridad de sus atributos y valores (históricos, estéticos, simbólicos y productivos). Se </w:t>
      </w:r>
      <w:r w:rsidR="00546E7C" w:rsidRPr="00127BD4">
        <w:rPr>
          <w:spacing w:val="-3"/>
        </w:rPr>
        <w:t>puede</w:t>
      </w:r>
      <w:r w:rsidR="00320334" w:rsidRPr="00127BD4">
        <w:rPr>
          <w:spacing w:val="-3"/>
        </w:rPr>
        <w:t>n</w:t>
      </w:r>
      <w:r w:rsidR="00546E7C" w:rsidRPr="00127BD4">
        <w:rPr>
          <w:spacing w:val="-3"/>
        </w:rPr>
        <w:t xml:space="preserve"> </w:t>
      </w:r>
      <w:r w:rsidRPr="009C3892">
        <w:rPr>
          <w:spacing w:val="-3"/>
        </w:rPr>
        <w:t>emplear como referencia técnica los instrumentos de gestión oficiales o guías técnicas expedidas por la autoridad competente (</w:t>
      </w:r>
      <w:r w:rsidR="00546E7C" w:rsidRPr="00127BD4">
        <w:rPr>
          <w:spacing w:val="-3"/>
        </w:rPr>
        <w:t xml:space="preserve">p. ej. </w:t>
      </w:r>
      <w:r w:rsidRPr="009C3892">
        <w:rPr>
          <w:spacing w:val="-3"/>
        </w:rPr>
        <w:t xml:space="preserve">la </w:t>
      </w:r>
      <w:r w:rsidR="00FC3DCB" w:rsidRPr="00127BD4">
        <w:rPr>
          <w:i/>
          <w:iCs/>
          <w:spacing w:val="-3"/>
        </w:rPr>
        <w:t xml:space="preserve">Guía de parámetros técnicos para orientar las intervenciones en el </w:t>
      </w:r>
      <w:r w:rsidR="006948A1" w:rsidRPr="00127BD4">
        <w:rPr>
          <w:i/>
          <w:iCs/>
          <w:spacing w:val="-3"/>
        </w:rPr>
        <w:t>P</w:t>
      </w:r>
      <w:r w:rsidR="00FC3DCB" w:rsidRPr="00127BD4">
        <w:rPr>
          <w:i/>
          <w:iCs/>
          <w:spacing w:val="-3"/>
        </w:rPr>
        <w:t xml:space="preserve">aisaje </w:t>
      </w:r>
      <w:r w:rsidR="00D85076" w:rsidRPr="00127BD4">
        <w:rPr>
          <w:i/>
          <w:iCs/>
          <w:spacing w:val="-3"/>
        </w:rPr>
        <w:t>cultural cafetero colombiano</w:t>
      </w:r>
      <w:r w:rsidR="00D85076" w:rsidRPr="00127BD4">
        <w:rPr>
          <w:spacing w:val="-3"/>
        </w:rPr>
        <w:t xml:space="preserve"> </w:t>
      </w:r>
      <w:r w:rsidRPr="009C3892">
        <w:rPr>
          <w:spacing w:val="-3"/>
        </w:rPr>
        <w:t xml:space="preserve">de </w:t>
      </w:r>
      <w:r w:rsidR="00C71CAD" w:rsidRPr="00C71CAD">
        <w:rPr>
          <w:spacing w:val="-3"/>
        </w:rPr>
        <w:t>Ministerio de las Culturas, las Artes y Los Saberes</w:t>
      </w:r>
      <w:r w:rsidRPr="009C3892">
        <w:rPr>
          <w:spacing w:val="-3"/>
        </w:rPr>
        <w:t>).</w:t>
      </w:r>
    </w:p>
    <w:p w14:paraId="5EABB728" w14:textId="77777777" w:rsidR="00FD388E" w:rsidRPr="004068F6" w:rsidRDefault="00FD388E" w:rsidP="008026E5">
      <w:pPr>
        <w:tabs>
          <w:tab w:val="left" w:pos="-2268"/>
        </w:tabs>
        <w:suppressAutoHyphens/>
        <w:rPr>
          <w:spacing w:val="-3"/>
        </w:rPr>
      </w:pPr>
    </w:p>
    <w:p w14:paraId="38CF81AC" w14:textId="77777777" w:rsidR="008026E5" w:rsidRPr="00CD4321" w:rsidRDefault="008026E5" w:rsidP="00127BD4">
      <w:pPr>
        <w:pStyle w:val="Prrafodelista"/>
        <w:numPr>
          <w:ilvl w:val="0"/>
          <w:numId w:val="70"/>
        </w:numPr>
        <w:tabs>
          <w:tab w:val="left" w:pos="-2268"/>
        </w:tabs>
        <w:suppressAutoHyphens/>
        <w:ind w:left="567" w:hanging="567"/>
        <w:rPr>
          <w:rFonts w:cs="Arial"/>
          <w:spacing w:val="-3"/>
        </w:rPr>
      </w:pPr>
      <w:r w:rsidRPr="00127BD4">
        <w:rPr>
          <w:rFonts w:cs="Arial"/>
          <w:spacing w:val="-3"/>
          <w:lang w:val="es-CO"/>
        </w:rPr>
        <w:t>Valor</w:t>
      </w:r>
      <w:r w:rsidRPr="00127BD4">
        <w:rPr>
          <w:rFonts w:cs="Arial"/>
          <w:lang w:val="es-CO"/>
        </w:rPr>
        <w:t>ación</w:t>
      </w:r>
      <w:r w:rsidRPr="00127BD4">
        <w:rPr>
          <w:rFonts w:cs="Arial"/>
          <w:spacing w:val="-3"/>
          <w:lang w:val="es-CO"/>
        </w:rPr>
        <w:t xml:space="preserve"> de integridad escénica del paisaje</w:t>
      </w:r>
      <w:r w:rsidRPr="00CD4321">
        <w:rPr>
          <w:vertAlign w:val="superscript"/>
          <w:lang w:val="es-CO"/>
        </w:rPr>
        <w:footnoteReference w:id="188"/>
      </w:r>
      <w:r w:rsidRPr="00127BD4">
        <w:rPr>
          <w:rFonts w:cs="Arial"/>
          <w:spacing w:val="-3"/>
          <w:lang w:val="es-CO"/>
        </w:rPr>
        <w:t xml:space="preserve"> a partir de</w:t>
      </w:r>
      <w:r w:rsidRPr="00127BD4">
        <w:rPr>
          <w:rFonts w:cs="Arial"/>
          <w:lang w:val="es-CO"/>
        </w:rPr>
        <w:t xml:space="preserve"> la identificación de elementos discordantes en términos de</w:t>
      </w:r>
      <w:r w:rsidRPr="00127BD4">
        <w:rPr>
          <w:rFonts w:cs="Arial"/>
          <w:spacing w:val="-3"/>
          <w:lang w:val="es-CO"/>
        </w:rPr>
        <w:t>:</w:t>
      </w:r>
    </w:p>
    <w:p w14:paraId="0BAE6CB1" w14:textId="77777777" w:rsidR="008026E5" w:rsidRPr="004068F6" w:rsidRDefault="008026E5" w:rsidP="008026E5">
      <w:pPr>
        <w:tabs>
          <w:tab w:val="left" w:pos="-2268"/>
        </w:tabs>
        <w:suppressAutoHyphens/>
        <w:rPr>
          <w:spacing w:val="-3"/>
        </w:rPr>
      </w:pPr>
    </w:p>
    <w:p w14:paraId="3D8C8789" w14:textId="30419353" w:rsidR="008026E5" w:rsidRPr="00127BD4" w:rsidRDefault="008026E5" w:rsidP="00127BD4">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La cantidad</w:t>
      </w:r>
      <w:r w:rsidRPr="00127BD4">
        <w:rPr>
          <w:rFonts w:cs="Arial"/>
          <w:spacing w:val="-3"/>
        </w:rPr>
        <w:t xml:space="preserve"> de elementos discordantes.</w:t>
      </w:r>
    </w:p>
    <w:p w14:paraId="53386650" w14:textId="77777777" w:rsidR="008026E5" w:rsidRPr="00127BD4" w:rsidRDefault="008026E5" w:rsidP="00127BD4">
      <w:pPr>
        <w:tabs>
          <w:tab w:val="left" w:pos="-2268"/>
        </w:tabs>
        <w:suppressAutoHyphens/>
        <w:overflowPunct/>
        <w:autoSpaceDE/>
        <w:autoSpaceDN/>
        <w:adjustRightInd/>
        <w:textAlignment w:val="auto"/>
        <w:rPr>
          <w:rFonts w:cs="Arial"/>
          <w:spacing w:val="-3"/>
        </w:rPr>
      </w:pPr>
    </w:p>
    <w:p w14:paraId="35B9F935" w14:textId="77777777" w:rsidR="008026E5" w:rsidRPr="00127BD4" w:rsidRDefault="008026E5" w:rsidP="00127BD4">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 xml:space="preserve">La valoración del </w:t>
      </w:r>
      <w:r w:rsidRPr="00127BD4">
        <w:rPr>
          <w:rFonts w:cs="Arial"/>
          <w:spacing w:val="-3"/>
        </w:rPr>
        <w:t>tamaño de la discordancia.</w:t>
      </w:r>
    </w:p>
    <w:p w14:paraId="3A9A408B" w14:textId="77777777" w:rsidR="008026E5" w:rsidRPr="00127BD4" w:rsidRDefault="008026E5" w:rsidP="00127BD4">
      <w:pPr>
        <w:tabs>
          <w:tab w:val="left" w:pos="-2268"/>
        </w:tabs>
        <w:suppressAutoHyphens/>
        <w:overflowPunct/>
        <w:autoSpaceDE/>
        <w:autoSpaceDN/>
        <w:adjustRightInd/>
        <w:textAlignment w:val="auto"/>
        <w:rPr>
          <w:rFonts w:cs="Arial"/>
          <w:spacing w:val="-3"/>
        </w:rPr>
      </w:pPr>
    </w:p>
    <w:p w14:paraId="4AAAE99D" w14:textId="77777777" w:rsidR="008026E5" w:rsidRPr="00127BD4" w:rsidRDefault="008026E5" w:rsidP="00127BD4">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lastRenderedPageBreak/>
        <w:t xml:space="preserve">El análisis de </w:t>
      </w:r>
      <w:r w:rsidRPr="00127BD4">
        <w:rPr>
          <w:rFonts w:cs="Arial"/>
          <w:spacing w:val="-3"/>
        </w:rPr>
        <w:t>correspondencia cromática.</w:t>
      </w:r>
    </w:p>
    <w:p w14:paraId="19D11310" w14:textId="77777777" w:rsidR="008026E5" w:rsidRPr="004068F6" w:rsidRDefault="008026E5" w:rsidP="008026E5">
      <w:pPr>
        <w:tabs>
          <w:tab w:val="left" w:pos="-2268"/>
        </w:tabs>
        <w:suppressAutoHyphens/>
        <w:rPr>
          <w:spacing w:val="-3"/>
        </w:rPr>
      </w:pPr>
    </w:p>
    <w:p w14:paraId="04D51D4A" w14:textId="5EBDA407" w:rsidR="008026E5" w:rsidRPr="004068F6" w:rsidRDefault="008026E5" w:rsidP="008026E5">
      <w:pPr>
        <w:tabs>
          <w:tab w:val="left" w:pos="-2268"/>
        </w:tabs>
        <w:suppressAutoHyphens/>
        <w:ind w:left="567"/>
        <w:rPr>
          <w:spacing w:val="-3"/>
        </w:rPr>
      </w:pPr>
      <w:r w:rsidRPr="004068F6">
        <w:rPr>
          <w:spacing w:val="-3"/>
        </w:rPr>
        <w:t>A partir de esta valoración se debe establecer la integridad escénica de las unidades paisajísticas empleando las categorías “muy baja”, “baja”, “moderada”, “alta” y “muy alta”.</w:t>
      </w:r>
    </w:p>
    <w:p w14:paraId="7ED15681" w14:textId="77777777" w:rsidR="008026E5" w:rsidRPr="004068F6" w:rsidRDefault="008026E5" w:rsidP="008026E5">
      <w:pPr>
        <w:tabs>
          <w:tab w:val="left" w:pos="-2268"/>
        </w:tabs>
        <w:suppressAutoHyphens/>
        <w:rPr>
          <w:spacing w:val="-3"/>
        </w:rPr>
      </w:pPr>
    </w:p>
    <w:p w14:paraId="3FF07CAA" w14:textId="425C7B38" w:rsidR="008026E5" w:rsidRPr="004068F6" w:rsidRDefault="008026E5" w:rsidP="008026E5">
      <w:pPr>
        <w:numPr>
          <w:ilvl w:val="0"/>
          <w:numId w:val="70"/>
        </w:numPr>
        <w:tabs>
          <w:tab w:val="left" w:pos="-2268"/>
        </w:tabs>
        <w:suppressAutoHyphens/>
        <w:ind w:left="567" w:hanging="567"/>
        <w:rPr>
          <w:spacing w:val="-3"/>
        </w:rPr>
      </w:pPr>
      <w:r w:rsidRPr="004068F6">
        <w:rPr>
          <w:spacing w:val="-3"/>
        </w:rPr>
        <w:t>Evaluación de la percepción visual del paisaje a partir de lo siguiente:</w:t>
      </w:r>
    </w:p>
    <w:p w14:paraId="07EB4B85" w14:textId="77777777" w:rsidR="008026E5" w:rsidRPr="004068F6" w:rsidRDefault="008026E5" w:rsidP="008026E5">
      <w:pPr>
        <w:tabs>
          <w:tab w:val="left" w:pos="-2268"/>
        </w:tabs>
        <w:suppressAutoHyphens/>
        <w:rPr>
          <w:spacing w:val="-3"/>
        </w:rPr>
      </w:pPr>
    </w:p>
    <w:p w14:paraId="68BCE4E9" w14:textId="67330243" w:rsidR="008026E5" w:rsidRPr="004068F6" w:rsidRDefault="008026E5" w:rsidP="008026E5">
      <w:pPr>
        <w:numPr>
          <w:ilvl w:val="0"/>
          <w:numId w:val="386"/>
        </w:numPr>
        <w:suppressAutoHyphens/>
        <w:overflowPunct/>
        <w:autoSpaceDE/>
        <w:autoSpaceDN/>
        <w:adjustRightInd/>
        <w:ind w:left="1134" w:hanging="567"/>
        <w:textAlignment w:val="auto"/>
        <w:rPr>
          <w:rFonts w:cs="Arial"/>
          <w:spacing w:val="-3"/>
        </w:rPr>
      </w:pPr>
      <w:r w:rsidRPr="004068F6">
        <w:rPr>
          <w:rFonts w:cs="Arial"/>
          <w:spacing w:val="-3"/>
        </w:rPr>
        <w:t>Análisis de visibilidad teniendo en cuenta diferentes puntos de observación, identificando las escalas visuales o planos</w:t>
      </w:r>
      <w:r w:rsidRPr="00127BD4">
        <w:rPr>
          <w:rStyle w:val="Refdenotaalpie"/>
          <w:rFonts w:cs="Arial"/>
          <w:spacing w:val="-3"/>
          <w:lang w:val="es-CO"/>
        </w:rPr>
        <w:footnoteReference w:id="189"/>
      </w:r>
      <w:r w:rsidRPr="004068F6">
        <w:rPr>
          <w:rFonts w:cs="Arial"/>
          <w:spacing w:val="-3"/>
        </w:rPr>
        <w:t xml:space="preserve"> en los cuales es visible cada unidad de paisaje. Definir qué puntos emplear a partir de la concentración demográfica, la accesibilidad y el flujo de personas, priorizando aquellos cercanos a centros poblados o que tengan interés paisajístico para los habitantes de la zona u otros actores relevantes.</w:t>
      </w:r>
    </w:p>
    <w:p w14:paraId="31A6B64E" w14:textId="77777777" w:rsidR="008026E5" w:rsidRPr="004068F6" w:rsidRDefault="008026E5" w:rsidP="00127BD4">
      <w:pPr>
        <w:suppressAutoHyphens/>
        <w:overflowPunct/>
        <w:autoSpaceDE/>
        <w:autoSpaceDN/>
        <w:adjustRightInd/>
        <w:textAlignment w:val="auto"/>
        <w:rPr>
          <w:rFonts w:cs="Arial"/>
          <w:spacing w:val="-3"/>
        </w:rPr>
      </w:pPr>
    </w:p>
    <w:p w14:paraId="63ACAB3F" w14:textId="455DBF58" w:rsidR="008026E5" w:rsidRPr="004068F6" w:rsidRDefault="008026E5" w:rsidP="00127BD4">
      <w:pPr>
        <w:suppressAutoHyphens/>
        <w:overflowPunct/>
        <w:autoSpaceDE/>
        <w:autoSpaceDN/>
        <w:adjustRightInd/>
        <w:ind w:left="1134"/>
        <w:textAlignment w:val="auto"/>
        <w:rPr>
          <w:spacing w:val="-3"/>
        </w:rPr>
      </w:pPr>
      <w:r w:rsidRPr="004068F6">
        <w:rPr>
          <w:rFonts w:cs="Arial"/>
          <w:spacing w:val="-3"/>
        </w:rPr>
        <w:t xml:space="preserve">El análisis de visibilidad se desarrolla mediante la formulación de modelos que consideren como mínimo la localización de puntos de observación, el relieve y la cobertura de la tierra. Presentar la ubicación geográfica de estos puntos </w:t>
      </w:r>
      <w:r w:rsidR="00F07219" w:rsidRPr="004068F6">
        <w:rPr>
          <w:rFonts w:cs="Arial"/>
          <w:spacing w:val="-3"/>
        </w:rPr>
        <w:t xml:space="preserve">de observación </w:t>
      </w:r>
      <w:r w:rsidRPr="004068F6">
        <w:rPr>
          <w:rFonts w:cs="Arial"/>
          <w:spacing w:val="-3"/>
        </w:rPr>
        <w:t>y los insumos de entrada del modelo.</w:t>
      </w:r>
    </w:p>
    <w:p w14:paraId="723272B7" w14:textId="77777777" w:rsidR="008026E5" w:rsidRPr="004068F6" w:rsidRDefault="008026E5" w:rsidP="008026E5">
      <w:pPr>
        <w:tabs>
          <w:tab w:val="left" w:pos="-2268"/>
        </w:tabs>
        <w:suppressAutoHyphens/>
        <w:rPr>
          <w:spacing w:val="-3"/>
        </w:rPr>
      </w:pPr>
    </w:p>
    <w:p w14:paraId="1467C6BA" w14:textId="3C5CA210" w:rsidR="008026E5" w:rsidRPr="004068F6" w:rsidRDefault="008026E5" w:rsidP="008026E5">
      <w:pPr>
        <w:numPr>
          <w:ilvl w:val="0"/>
          <w:numId w:val="386"/>
        </w:numPr>
        <w:suppressAutoHyphens/>
        <w:overflowPunct/>
        <w:autoSpaceDE/>
        <w:autoSpaceDN/>
        <w:adjustRightInd/>
        <w:ind w:left="1134" w:hanging="567"/>
        <w:textAlignment w:val="auto"/>
        <w:rPr>
          <w:rFonts w:cs="Arial"/>
          <w:spacing w:val="-3"/>
        </w:rPr>
      </w:pPr>
      <w:r w:rsidRPr="004068F6">
        <w:rPr>
          <w:rFonts w:cs="Arial"/>
          <w:spacing w:val="-3"/>
        </w:rPr>
        <w:t>Determinación de sitios de interés paisajístico mediante información primaria o secundaria, los cuales pueden corresponder tanto a puntos como a áreas o a segmentos del terreno. Para proyectos ubicados en zonas costeras, se deben tener en cuenta aquellos sitios de interés turístico localizados en áreas terrestres y en áreas marinas. Presentar la ubicación geográfica de estos puntos.</w:t>
      </w:r>
    </w:p>
    <w:p w14:paraId="6C3F84F1" w14:textId="77777777" w:rsidR="008026E5" w:rsidRPr="004068F6" w:rsidRDefault="008026E5" w:rsidP="008026E5">
      <w:pPr>
        <w:tabs>
          <w:tab w:val="left" w:pos="-2268"/>
        </w:tabs>
        <w:suppressAutoHyphens/>
        <w:rPr>
          <w:spacing w:val="-3"/>
        </w:rPr>
      </w:pPr>
    </w:p>
    <w:p w14:paraId="5BDBF44E" w14:textId="1B823C27" w:rsidR="008026E5" w:rsidRPr="004068F6" w:rsidRDefault="008026E5" w:rsidP="008026E5">
      <w:pPr>
        <w:numPr>
          <w:ilvl w:val="0"/>
          <w:numId w:val="386"/>
        </w:numPr>
        <w:tabs>
          <w:tab w:val="left" w:pos="-2268"/>
        </w:tabs>
        <w:suppressAutoHyphens/>
        <w:overflowPunct/>
        <w:autoSpaceDE/>
        <w:autoSpaceDN/>
        <w:adjustRightInd/>
        <w:ind w:left="1134" w:hanging="567"/>
        <w:textAlignment w:val="auto"/>
        <w:rPr>
          <w:rFonts w:cs="Arial"/>
          <w:spacing w:val="-3"/>
        </w:rPr>
      </w:pPr>
      <w:r w:rsidRPr="004068F6">
        <w:rPr>
          <w:rFonts w:cs="Arial"/>
          <w:spacing w:val="-3"/>
        </w:rPr>
        <w:t>Determinación de la percepción del valor paisajístico que tienen los grupos de interés y de la relación de éste con su cultura e identidad local y regional, donde se establezca la importancia de los elementos del paisaje</w:t>
      </w:r>
      <w:r w:rsidR="00FA0716">
        <w:rPr>
          <w:rFonts w:cs="Arial"/>
          <w:spacing w:val="-3"/>
        </w:rPr>
        <w:t xml:space="preserve"> considerando, entre otros, </w:t>
      </w:r>
      <w:r w:rsidR="00FA0716" w:rsidRPr="00FA0716">
        <w:rPr>
          <w:rFonts w:cs="Arial"/>
          <w:spacing w:val="-3"/>
        </w:rPr>
        <w:t>los atributos y valores inmateriales</w:t>
      </w:r>
      <w:r w:rsidRPr="004068F6">
        <w:rPr>
          <w:rFonts w:cs="Arial"/>
          <w:spacing w:val="-3"/>
        </w:rPr>
        <w:t xml:space="preserve"> y los cambios percibidos en el tiempo. Para ello, se debe analizar la información primaria relativa al paisaje y a los </w:t>
      </w:r>
      <w:r w:rsidR="00E14ED6" w:rsidRPr="004068F6">
        <w:rPr>
          <w:rFonts w:cs="Arial"/>
          <w:spacing w:val="-3"/>
        </w:rPr>
        <w:t xml:space="preserve">factores y </w:t>
      </w:r>
      <w:r w:rsidRPr="004068F6">
        <w:rPr>
          <w:rFonts w:cs="Arial"/>
          <w:spacing w:val="-3"/>
        </w:rPr>
        <w:t>componentes que se le asocian que fue recabada en los espacios de participación con los grupos de interés mediante cartografía social, reuniones, entrevistas, encuestas, entre otras herramientas.</w:t>
      </w:r>
    </w:p>
    <w:p w14:paraId="20383DC3" w14:textId="77777777" w:rsidR="008026E5" w:rsidRPr="004068F6" w:rsidRDefault="008026E5" w:rsidP="008026E5">
      <w:pPr>
        <w:tabs>
          <w:tab w:val="left" w:pos="-2268"/>
        </w:tabs>
        <w:suppressAutoHyphens/>
        <w:rPr>
          <w:spacing w:val="-3"/>
        </w:rPr>
      </w:pPr>
    </w:p>
    <w:p w14:paraId="28A62B1F" w14:textId="1E2F2A74" w:rsidR="008026E5" w:rsidRPr="00127BD4" w:rsidRDefault="008026E5" w:rsidP="008026E5">
      <w:pPr>
        <w:pStyle w:val="paragraph"/>
        <w:spacing w:before="0" w:beforeAutospacing="0" w:after="0" w:afterAutospacing="0"/>
        <w:textAlignment w:val="baseline"/>
        <w:rPr>
          <w:rStyle w:val="eop"/>
          <w:rFonts w:cs="Arial"/>
          <w:lang w:val="es-CO"/>
        </w:rPr>
      </w:pPr>
      <w:r w:rsidRPr="00127BD4">
        <w:rPr>
          <w:rStyle w:val="eop"/>
          <w:rFonts w:cs="Arial"/>
          <w:lang w:val="es-CO"/>
        </w:rPr>
        <w:t>Una vez realizados los análisis de calidad visual, fragilidad visual, integridad escénica y percepción visual del paisaje</w:t>
      </w:r>
      <w:r w:rsidRPr="00127BD4">
        <w:rPr>
          <w:rStyle w:val="Refdenotaalpie"/>
          <w:rFonts w:cs="Arial"/>
          <w:lang w:val="es-CO"/>
        </w:rPr>
        <w:footnoteReference w:id="190"/>
      </w:r>
      <w:r w:rsidRPr="00127BD4">
        <w:rPr>
          <w:rStyle w:val="eop"/>
          <w:rFonts w:cs="Arial"/>
          <w:lang w:val="es-CO"/>
        </w:rPr>
        <w:t xml:space="preserve">, se debe zonificar el área </w:t>
      </w:r>
      <w:r w:rsidR="00707C97" w:rsidRPr="004068F6">
        <w:rPr>
          <w:rFonts w:cs="Arial"/>
          <w:spacing w:val="-3"/>
          <w:lang w:val="es-CO"/>
        </w:rPr>
        <w:t>que configura el paisaje</w:t>
      </w:r>
      <w:r w:rsidR="00707C97" w:rsidRPr="004068F6" w:rsidDel="00DB0C62">
        <w:rPr>
          <w:rStyle w:val="eop"/>
          <w:rFonts w:cs="Arial"/>
          <w:lang w:val="es-CO"/>
        </w:rPr>
        <w:t xml:space="preserve"> </w:t>
      </w:r>
      <w:r w:rsidRPr="00127BD4">
        <w:rPr>
          <w:rStyle w:val="eop"/>
          <w:rFonts w:cs="Arial"/>
          <w:lang w:val="es-CO"/>
        </w:rPr>
        <w:t xml:space="preserve">de acuerdo con el grado de sensibilidad que tiene cada unidad de paisaje a las </w:t>
      </w:r>
      <w:r w:rsidRPr="00127BD4">
        <w:rPr>
          <w:rStyle w:val="eop"/>
          <w:rFonts w:cs="Arial"/>
          <w:lang w:val="es-CO"/>
        </w:rPr>
        <w:lastRenderedPageBreak/>
        <w:t>intervenciones del proyecto, insumo que debe ser tenido en cuenta en la zonificación ambiental.</w:t>
      </w:r>
    </w:p>
    <w:p w14:paraId="722F80C3" w14:textId="77777777" w:rsidR="00C75DF7" w:rsidRPr="004068F6" w:rsidRDefault="00C75DF7" w:rsidP="009420F5">
      <w:pPr>
        <w:tabs>
          <w:tab w:val="left" w:pos="-2268"/>
        </w:tabs>
        <w:suppressAutoHyphens/>
        <w:rPr>
          <w:spacing w:val="-3"/>
        </w:rPr>
      </w:pPr>
    </w:p>
    <w:p w14:paraId="0256012D" w14:textId="77777777" w:rsidR="004C29D0" w:rsidRPr="004068F6" w:rsidRDefault="004C29D0" w:rsidP="00C86DA5"/>
    <w:p w14:paraId="427B4D24" w14:textId="16CA7534" w:rsidR="001D3FF9" w:rsidRPr="004068F6" w:rsidRDefault="001D3FF9" w:rsidP="00CB4557">
      <w:pPr>
        <w:pStyle w:val="Ttulo1"/>
        <w:numPr>
          <w:ilvl w:val="0"/>
          <w:numId w:val="8"/>
        </w:numPr>
        <w:rPr>
          <w:lang w:val="es-CO"/>
        </w:rPr>
      </w:pPr>
      <w:bookmarkStart w:id="3080" w:name="_Ref79297297"/>
      <w:bookmarkStart w:id="3081" w:name="_Ref79297302"/>
      <w:bookmarkStart w:id="3082" w:name="_Toc230879670"/>
      <w:r w:rsidRPr="004068F6">
        <w:rPr>
          <w:lang w:val="es-CO"/>
        </w:rPr>
        <w:t>ZONIFICACIÓN AMBIENTAL</w:t>
      </w:r>
      <w:r w:rsidR="00C41281" w:rsidRPr="004068F6">
        <w:rPr>
          <w:rStyle w:val="Refdenotaalpie"/>
          <w:spacing w:val="-3"/>
          <w:lang w:val="es-CO"/>
        </w:rPr>
        <w:footnoteReference w:id="191"/>
      </w:r>
      <w:bookmarkEnd w:id="3070"/>
      <w:bookmarkEnd w:id="3071"/>
      <w:bookmarkEnd w:id="3080"/>
      <w:bookmarkEnd w:id="3081"/>
      <w:bookmarkEnd w:id="3082"/>
    </w:p>
    <w:p w14:paraId="0F4B403D" w14:textId="4CBC531D" w:rsidR="001D3FF9" w:rsidRPr="004068F6" w:rsidRDefault="001D3FF9">
      <w:pPr>
        <w:numPr>
          <w:ilvl w:val="12"/>
          <w:numId w:val="0"/>
        </w:numPr>
        <w:tabs>
          <w:tab w:val="left" w:pos="-2268"/>
        </w:tabs>
        <w:suppressAutoHyphens/>
        <w:rPr>
          <w:spacing w:val="-3"/>
        </w:rPr>
      </w:pPr>
    </w:p>
    <w:p w14:paraId="2AECBBD4" w14:textId="1FD7AF9B" w:rsidR="00E67139" w:rsidRPr="004068F6" w:rsidRDefault="00E67139" w:rsidP="00E67139">
      <w:pPr>
        <w:numPr>
          <w:ilvl w:val="12"/>
          <w:numId w:val="0"/>
        </w:numPr>
        <w:tabs>
          <w:tab w:val="left" w:pos="-2268"/>
        </w:tabs>
        <w:suppressAutoHyphens/>
        <w:rPr>
          <w:spacing w:val="-3"/>
        </w:rPr>
      </w:pPr>
      <w:r w:rsidRPr="004068F6">
        <w:rPr>
          <w:rFonts w:cs="Arial"/>
          <w:spacing w:val="-3"/>
        </w:rPr>
        <w:t xml:space="preserve">La zonificación ambiental es el proceso de sectorización del área de influencia en áreas homogéneas de acuerdo </w:t>
      </w:r>
      <w:r w:rsidR="006F13EC" w:rsidRPr="004068F6">
        <w:rPr>
          <w:rFonts w:cs="Arial"/>
          <w:spacing w:val="-3"/>
        </w:rPr>
        <w:t>con</w:t>
      </w:r>
      <w:r w:rsidRPr="004068F6">
        <w:rPr>
          <w:rFonts w:cs="Arial"/>
          <w:spacing w:val="-3"/>
        </w:rPr>
        <w:t xml:space="preserve"> la sensibilidad ambiental de los </w:t>
      </w:r>
      <w:r w:rsidR="00D977D3" w:rsidRPr="004068F6">
        <w:rPr>
          <w:rFonts w:cs="Arial"/>
          <w:spacing w:val="-3"/>
        </w:rPr>
        <w:t xml:space="preserve">factores o </w:t>
      </w:r>
      <w:r w:rsidRPr="004068F6">
        <w:rPr>
          <w:rFonts w:cs="Arial"/>
          <w:spacing w:val="-3"/>
        </w:rPr>
        <w:t xml:space="preserve">componentes de los medios abiótico, biótico y socioeconómico. </w:t>
      </w:r>
      <w:r w:rsidR="003E29E6" w:rsidRPr="004068F6">
        <w:rPr>
          <w:rFonts w:cs="Arial"/>
          <w:spacing w:val="-3"/>
        </w:rPr>
        <w:t>E</w:t>
      </w:r>
      <w:r w:rsidRPr="004068F6">
        <w:rPr>
          <w:rFonts w:cs="Arial"/>
          <w:spacing w:val="-3"/>
        </w:rPr>
        <w:t xml:space="preserve">s un proceso </w:t>
      </w:r>
      <w:r w:rsidR="00EA4EAD" w:rsidRPr="004068F6">
        <w:rPr>
          <w:rFonts w:cs="Arial"/>
          <w:spacing w:val="-3"/>
        </w:rPr>
        <w:t>que sintetiza</w:t>
      </w:r>
      <w:r w:rsidR="003E29E6" w:rsidRPr="004068F6">
        <w:rPr>
          <w:rFonts w:cs="Arial"/>
          <w:spacing w:val="-3"/>
        </w:rPr>
        <w:t>, en términos de sensibilidad ambiental,</w:t>
      </w:r>
      <w:r w:rsidR="00EA4EAD" w:rsidRPr="004068F6">
        <w:rPr>
          <w:rFonts w:cs="Arial"/>
          <w:spacing w:val="-3"/>
        </w:rPr>
        <w:t xml:space="preserve"> </w:t>
      </w:r>
      <w:r w:rsidRPr="004068F6">
        <w:rPr>
          <w:rFonts w:cs="Arial"/>
          <w:spacing w:val="-3"/>
        </w:rPr>
        <w:t>la información de la caracterización ambiental de línea base</w:t>
      </w:r>
      <w:r w:rsidR="00EA4EAD" w:rsidRPr="004068F6">
        <w:rPr>
          <w:rFonts w:cs="Arial"/>
          <w:spacing w:val="-3"/>
        </w:rPr>
        <w:t xml:space="preserve"> </w:t>
      </w:r>
      <w:r w:rsidR="003D25D2" w:rsidRPr="004068F6">
        <w:rPr>
          <w:rFonts w:cs="Arial"/>
          <w:spacing w:val="-3"/>
        </w:rPr>
        <w:t xml:space="preserve">a partir de </w:t>
      </w:r>
      <w:r w:rsidRPr="004068F6">
        <w:rPr>
          <w:rFonts w:cs="Arial"/>
          <w:spacing w:val="-3"/>
        </w:rPr>
        <w:t xml:space="preserve">las propiedades de </w:t>
      </w:r>
      <w:r w:rsidR="00EA4EAD" w:rsidRPr="004068F6">
        <w:rPr>
          <w:rFonts w:cs="Arial"/>
          <w:spacing w:val="-3"/>
        </w:rPr>
        <w:t xml:space="preserve">los </w:t>
      </w:r>
      <w:r w:rsidR="006F13EC" w:rsidRPr="004068F6">
        <w:rPr>
          <w:rFonts w:cs="Arial"/>
          <w:spacing w:val="-3"/>
        </w:rPr>
        <w:t>factores</w:t>
      </w:r>
      <w:r w:rsidRPr="004068F6">
        <w:rPr>
          <w:rFonts w:cs="Arial"/>
          <w:spacing w:val="-3"/>
        </w:rPr>
        <w:t xml:space="preserve"> ambientales</w:t>
      </w:r>
      <w:r w:rsidR="002D4EBB" w:rsidRPr="004068F6">
        <w:rPr>
          <w:rFonts w:cs="Arial"/>
          <w:spacing w:val="-3"/>
        </w:rPr>
        <w:t xml:space="preserve"> y </w:t>
      </w:r>
      <w:r w:rsidR="00EA4EAD" w:rsidRPr="004068F6">
        <w:rPr>
          <w:rFonts w:cs="Arial"/>
          <w:spacing w:val="-3"/>
        </w:rPr>
        <w:t xml:space="preserve">de </w:t>
      </w:r>
      <w:r w:rsidR="002D4EBB" w:rsidRPr="004068F6">
        <w:rPr>
          <w:rFonts w:cs="Arial"/>
          <w:spacing w:val="-3"/>
        </w:rPr>
        <w:t>la normativa ambiental vigente</w:t>
      </w:r>
      <w:r w:rsidR="002D4EBB" w:rsidRPr="004068F6">
        <w:rPr>
          <w:rStyle w:val="Refdenotaalpie"/>
          <w:rFonts w:cs="Arial"/>
          <w:spacing w:val="-3"/>
          <w:lang w:val="es-CO"/>
        </w:rPr>
        <w:footnoteReference w:id="192"/>
      </w:r>
      <w:r w:rsidRPr="004068F6">
        <w:rPr>
          <w:spacing w:val="-3"/>
        </w:rPr>
        <w:t>.</w:t>
      </w:r>
    </w:p>
    <w:p w14:paraId="0B8D3762" w14:textId="77777777" w:rsidR="001C6B0F" w:rsidRPr="004068F6" w:rsidRDefault="001C6B0F" w:rsidP="00E67139">
      <w:pPr>
        <w:numPr>
          <w:ilvl w:val="12"/>
          <w:numId w:val="0"/>
        </w:numPr>
        <w:tabs>
          <w:tab w:val="left" w:pos="-2268"/>
        </w:tabs>
        <w:suppressAutoHyphens/>
        <w:rPr>
          <w:rFonts w:cs="Arial"/>
          <w:spacing w:val="-3"/>
        </w:rPr>
      </w:pPr>
    </w:p>
    <w:p w14:paraId="6C801598" w14:textId="3D19C4F3" w:rsidR="006F13EC" w:rsidRPr="004068F6" w:rsidRDefault="00E67139" w:rsidP="00E67139">
      <w:pPr>
        <w:numPr>
          <w:ilvl w:val="12"/>
          <w:numId w:val="0"/>
        </w:numPr>
        <w:tabs>
          <w:tab w:val="left" w:pos="-2268"/>
        </w:tabs>
        <w:suppressAutoHyphens/>
        <w:rPr>
          <w:rFonts w:cs="Arial"/>
          <w:spacing w:val="-3"/>
        </w:rPr>
      </w:pPr>
      <w:r w:rsidRPr="004068F6">
        <w:rPr>
          <w:rFonts w:cs="Arial"/>
          <w:spacing w:val="-3"/>
        </w:rPr>
        <w:t xml:space="preserve">La sensibilidad del área de influencia </w:t>
      </w:r>
      <w:r w:rsidR="00C06FA2" w:rsidRPr="004068F6">
        <w:rPr>
          <w:rFonts w:cs="Arial"/>
          <w:spacing w:val="-3"/>
        </w:rPr>
        <w:t xml:space="preserve">del proyecto </w:t>
      </w:r>
      <w:r w:rsidRPr="004068F6">
        <w:rPr>
          <w:rFonts w:cs="Arial"/>
          <w:spacing w:val="-3"/>
        </w:rPr>
        <w:t xml:space="preserve">resulta de la integración </w:t>
      </w:r>
      <w:r w:rsidR="00C06FA2" w:rsidRPr="004068F6">
        <w:rPr>
          <w:rFonts w:cs="Arial"/>
          <w:spacing w:val="-3"/>
        </w:rPr>
        <w:t xml:space="preserve">geográfica </w:t>
      </w:r>
      <w:r w:rsidRPr="004068F6">
        <w:rPr>
          <w:rFonts w:cs="Arial"/>
          <w:spacing w:val="-3"/>
        </w:rPr>
        <w:t xml:space="preserve">de la sensibilidad ambiental de los </w:t>
      </w:r>
      <w:r w:rsidR="00C707AC" w:rsidRPr="004068F6">
        <w:rPr>
          <w:rFonts w:cs="Arial"/>
          <w:spacing w:val="-3"/>
        </w:rPr>
        <w:t xml:space="preserve">factores o </w:t>
      </w:r>
      <w:r w:rsidRPr="004068F6">
        <w:rPr>
          <w:rFonts w:cs="Arial"/>
          <w:spacing w:val="-3"/>
        </w:rPr>
        <w:t>componentes de los medios abiótico, biótico y socioeconómico</w:t>
      </w:r>
      <w:r w:rsidR="002C1E4E" w:rsidRPr="004068F6">
        <w:rPr>
          <w:rFonts w:cs="Arial"/>
          <w:spacing w:val="-3"/>
        </w:rPr>
        <w:t>;</w:t>
      </w:r>
      <w:r w:rsidRPr="004068F6">
        <w:rPr>
          <w:rFonts w:cs="Arial"/>
          <w:spacing w:val="-3"/>
        </w:rPr>
        <w:t xml:space="preserve"> </w:t>
      </w:r>
      <w:r w:rsidR="002C1E4E" w:rsidRPr="004068F6">
        <w:rPr>
          <w:rFonts w:cs="Arial"/>
          <w:spacing w:val="-3"/>
        </w:rPr>
        <w:t>e</w:t>
      </w:r>
      <w:r w:rsidRPr="004068F6">
        <w:rPr>
          <w:rFonts w:cs="Arial"/>
          <w:spacing w:val="-3"/>
        </w:rPr>
        <w:t xml:space="preserve">n este sentido, </w:t>
      </w:r>
      <w:r w:rsidR="00F52114" w:rsidRPr="004068F6">
        <w:rPr>
          <w:rFonts w:cs="Arial"/>
          <w:spacing w:val="-3"/>
        </w:rPr>
        <w:t xml:space="preserve">cada unidad de análisis de </w:t>
      </w:r>
      <w:r w:rsidRPr="004068F6">
        <w:rPr>
          <w:rFonts w:cs="Arial"/>
          <w:spacing w:val="-3"/>
        </w:rPr>
        <w:t xml:space="preserve">cada </w:t>
      </w:r>
      <w:r w:rsidR="00C707AC" w:rsidRPr="004068F6">
        <w:rPr>
          <w:rFonts w:cs="Arial"/>
          <w:spacing w:val="-3"/>
        </w:rPr>
        <w:t xml:space="preserve">factor o </w:t>
      </w:r>
      <w:r w:rsidRPr="004068F6">
        <w:rPr>
          <w:rFonts w:cs="Arial"/>
          <w:spacing w:val="-3"/>
        </w:rPr>
        <w:t xml:space="preserve">componente debe ser zonificado de forma independiente de acuerdo con </w:t>
      </w:r>
      <w:r w:rsidR="00342606" w:rsidRPr="004068F6">
        <w:rPr>
          <w:rFonts w:cs="Arial"/>
          <w:spacing w:val="-3"/>
        </w:rPr>
        <w:t xml:space="preserve">su </w:t>
      </w:r>
      <w:r w:rsidR="00C06FA2" w:rsidRPr="004068F6">
        <w:rPr>
          <w:rFonts w:cs="Arial"/>
          <w:spacing w:val="-3"/>
        </w:rPr>
        <w:t xml:space="preserve">sensibilidad </w:t>
      </w:r>
      <w:r w:rsidR="00342606" w:rsidRPr="004068F6">
        <w:rPr>
          <w:rFonts w:cs="Arial"/>
          <w:spacing w:val="-3"/>
        </w:rPr>
        <w:t>ambiental</w:t>
      </w:r>
      <w:r w:rsidR="002C1E4E" w:rsidRPr="004068F6">
        <w:rPr>
          <w:rFonts w:cs="Arial"/>
          <w:spacing w:val="-3"/>
        </w:rPr>
        <w:t>.</w:t>
      </w:r>
      <w:r w:rsidRPr="004068F6">
        <w:rPr>
          <w:rFonts w:cs="Arial"/>
          <w:spacing w:val="-3"/>
        </w:rPr>
        <w:t xml:space="preserve"> </w:t>
      </w:r>
      <w:r w:rsidR="000C3C34" w:rsidRPr="004068F6">
        <w:rPr>
          <w:rFonts w:cs="Arial"/>
          <w:spacing w:val="-3"/>
        </w:rPr>
        <w:t>P</w:t>
      </w:r>
      <w:r w:rsidR="00E87F3E" w:rsidRPr="004068F6">
        <w:rPr>
          <w:rFonts w:cs="Arial"/>
          <w:spacing w:val="-3"/>
        </w:rPr>
        <w:t xml:space="preserve">ara que el área de influencia de cada </w:t>
      </w:r>
      <w:r w:rsidR="00C707AC" w:rsidRPr="004068F6">
        <w:rPr>
          <w:rFonts w:cs="Arial"/>
          <w:spacing w:val="-3"/>
        </w:rPr>
        <w:t xml:space="preserve">factor o </w:t>
      </w:r>
      <w:r w:rsidR="00E87F3E" w:rsidRPr="004068F6">
        <w:rPr>
          <w:rFonts w:cs="Arial"/>
          <w:spacing w:val="-3"/>
        </w:rPr>
        <w:t>componente pueda representarse cartográficamente en términos de sensibilidad ambiental</w:t>
      </w:r>
      <w:r w:rsidR="000C3C34" w:rsidRPr="004068F6">
        <w:rPr>
          <w:rFonts w:cs="Arial"/>
          <w:spacing w:val="-3"/>
        </w:rPr>
        <w:t>,</w:t>
      </w:r>
      <w:r w:rsidR="00E87F3E" w:rsidRPr="004068F6" w:rsidDel="00785C87">
        <w:rPr>
          <w:rFonts w:cs="Arial"/>
          <w:spacing w:val="-3"/>
        </w:rPr>
        <w:t xml:space="preserve"> </w:t>
      </w:r>
      <w:r w:rsidR="000C3C34" w:rsidRPr="004068F6">
        <w:rPr>
          <w:rFonts w:cs="Arial"/>
          <w:spacing w:val="-3"/>
        </w:rPr>
        <w:t>e</w:t>
      </w:r>
      <w:r w:rsidR="00C06FA2" w:rsidRPr="004068F6">
        <w:rPr>
          <w:rFonts w:cs="Arial"/>
          <w:spacing w:val="-3"/>
        </w:rPr>
        <w:t xml:space="preserve">s necesario </w:t>
      </w:r>
      <w:r w:rsidRPr="004068F6">
        <w:rPr>
          <w:rFonts w:cs="Arial"/>
          <w:spacing w:val="-3"/>
        </w:rPr>
        <w:t>clasificar</w:t>
      </w:r>
      <w:r w:rsidR="00D16FEB" w:rsidRPr="004068F6">
        <w:rPr>
          <w:rFonts w:cs="Arial"/>
          <w:spacing w:val="-3"/>
        </w:rPr>
        <w:t xml:space="preserve"> cada unidad de análisis </w:t>
      </w:r>
      <w:r w:rsidR="00640BF1" w:rsidRPr="004068F6">
        <w:rPr>
          <w:spacing w:val="-3"/>
        </w:rPr>
        <w:t xml:space="preserve">en una de las siguientes </w:t>
      </w:r>
      <w:r w:rsidR="00640BF1" w:rsidRPr="004068F6">
        <w:rPr>
          <w:rFonts w:cs="Arial"/>
          <w:spacing w:val="-3"/>
        </w:rPr>
        <w:t>categorías</w:t>
      </w:r>
      <w:r w:rsidR="000C3C34" w:rsidRPr="004068F6">
        <w:rPr>
          <w:rFonts w:cs="Arial"/>
          <w:spacing w:val="-3"/>
        </w:rPr>
        <w:t xml:space="preserve"> de sensibilidad</w:t>
      </w:r>
      <w:r w:rsidR="00640BF1" w:rsidRPr="004068F6">
        <w:rPr>
          <w:rFonts w:cs="Arial"/>
          <w:spacing w:val="-3"/>
        </w:rPr>
        <w:t xml:space="preserve">: </w:t>
      </w:r>
      <w:r w:rsidRPr="004068F6">
        <w:rPr>
          <w:rFonts w:cs="Arial"/>
          <w:spacing w:val="-3"/>
        </w:rPr>
        <w:t>muy alta, alta, media, baja</w:t>
      </w:r>
      <w:r w:rsidR="00203F64" w:rsidRPr="004068F6">
        <w:rPr>
          <w:rFonts w:cs="Arial"/>
          <w:spacing w:val="-3"/>
        </w:rPr>
        <w:t xml:space="preserve"> y</w:t>
      </w:r>
      <w:r w:rsidRPr="004068F6">
        <w:rPr>
          <w:rFonts w:cs="Arial"/>
          <w:spacing w:val="-3"/>
        </w:rPr>
        <w:t xml:space="preserve"> muy baja</w:t>
      </w:r>
      <w:r w:rsidR="006F13EC" w:rsidRPr="004068F6">
        <w:rPr>
          <w:rFonts w:cs="Arial"/>
          <w:spacing w:val="-3"/>
        </w:rPr>
        <w:t>.</w:t>
      </w:r>
    </w:p>
    <w:p w14:paraId="6391D92C" w14:textId="77777777" w:rsidR="000B3269" w:rsidRPr="004068F6" w:rsidRDefault="000B3269" w:rsidP="00E67139">
      <w:pPr>
        <w:numPr>
          <w:ilvl w:val="12"/>
          <w:numId w:val="0"/>
        </w:numPr>
        <w:tabs>
          <w:tab w:val="left" w:pos="-2268"/>
        </w:tabs>
        <w:suppressAutoHyphens/>
        <w:rPr>
          <w:rFonts w:cs="Arial"/>
          <w:spacing w:val="-3"/>
        </w:rPr>
      </w:pPr>
    </w:p>
    <w:p w14:paraId="5AD7E4F0" w14:textId="72244859" w:rsidR="005F2F57" w:rsidRPr="004068F6" w:rsidRDefault="005F2F57" w:rsidP="005F2F57">
      <w:pPr>
        <w:numPr>
          <w:ilvl w:val="12"/>
          <w:numId w:val="0"/>
        </w:numPr>
        <w:tabs>
          <w:tab w:val="left" w:pos="-2268"/>
        </w:tabs>
        <w:suppressAutoHyphens/>
        <w:rPr>
          <w:rFonts w:cs="Arial"/>
          <w:spacing w:val="-3"/>
        </w:rPr>
      </w:pPr>
      <w:r w:rsidRPr="004068F6">
        <w:rPr>
          <w:rFonts w:cs="Arial"/>
          <w:spacing w:val="-3"/>
        </w:rPr>
        <w:t xml:space="preserve">Luego de sintetizar la información de línea base en función de la susceptibilidad intrínseca de </w:t>
      </w:r>
      <w:r w:rsidR="00CF0B93">
        <w:rPr>
          <w:rFonts w:cs="Arial"/>
          <w:spacing w:val="-3"/>
        </w:rPr>
        <w:t xml:space="preserve">las unidades de análisis de </w:t>
      </w:r>
      <w:r w:rsidRPr="004068F6">
        <w:rPr>
          <w:rFonts w:cs="Arial"/>
          <w:spacing w:val="-3"/>
        </w:rPr>
        <w:t xml:space="preserve">los factores del ambiente y de expresarla en términos de sensibilidad ambiental (muy alta, alta, media, baja, muy baja), se debe establecer un método para integrar tal información en el área de influencia de los factores, </w:t>
      </w:r>
      <w:r w:rsidR="004879BB">
        <w:rPr>
          <w:rFonts w:cs="Arial"/>
          <w:spacing w:val="-3"/>
        </w:rPr>
        <w:t xml:space="preserve">de los </w:t>
      </w:r>
      <w:r w:rsidRPr="004068F6">
        <w:rPr>
          <w:rFonts w:cs="Arial"/>
          <w:spacing w:val="-3"/>
        </w:rPr>
        <w:t>componentes, de los medios y del proyecto.</w:t>
      </w:r>
    </w:p>
    <w:p w14:paraId="35AD995E" w14:textId="77777777" w:rsidR="005F2F57" w:rsidRDefault="005F2F57" w:rsidP="00E67139">
      <w:pPr>
        <w:numPr>
          <w:ilvl w:val="12"/>
          <w:numId w:val="0"/>
        </w:numPr>
        <w:tabs>
          <w:tab w:val="left" w:pos="-2268"/>
        </w:tabs>
        <w:suppressAutoHyphens/>
        <w:rPr>
          <w:rFonts w:cs="Arial"/>
          <w:spacing w:val="-3"/>
        </w:rPr>
      </w:pPr>
    </w:p>
    <w:p w14:paraId="7DE3B732" w14:textId="6CEC05F6" w:rsidR="00E67139" w:rsidRPr="004068F6" w:rsidRDefault="006F13EC" w:rsidP="00E67139">
      <w:pPr>
        <w:numPr>
          <w:ilvl w:val="12"/>
          <w:numId w:val="0"/>
        </w:numPr>
        <w:tabs>
          <w:tab w:val="left" w:pos="-2268"/>
        </w:tabs>
        <w:suppressAutoHyphens/>
        <w:rPr>
          <w:rFonts w:cs="Arial"/>
          <w:spacing w:val="-3"/>
        </w:rPr>
      </w:pPr>
      <w:r w:rsidRPr="004068F6">
        <w:rPr>
          <w:rFonts w:cs="Arial"/>
          <w:spacing w:val="-3"/>
        </w:rPr>
        <w:t xml:space="preserve">Es importante tener en cuenta que el proceso de zonificación ambiental se vale de la </w:t>
      </w:r>
      <w:r w:rsidRPr="004068F6">
        <w:rPr>
          <w:rFonts w:cs="Arial"/>
          <w:i/>
          <w:iCs/>
          <w:spacing w:val="-3"/>
        </w:rPr>
        <w:t>sensibilidad</w:t>
      </w:r>
      <w:r w:rsidRPr="004068F6">
        <w:rPr>
          <w:rFonts w:cs="Arial"/>
          <w:spacing w:val="-3"/>
        </w:rPr>
        <w:t xml:space="preserve"> para efectuar el proceso de integración </w:t>
      </w:r>
      <w:r w:rsidR="00EA4EAD" w:rsidRPr="004068F6">
        <w:rPr>
          <w:rFonts w:cs="Arial"/>
          <w:spacing w:val="-3"/>
        </w:rPr>
        <w:t>geográfica</w:t>
      </w:r>
      <w:r w:rsidRPr="004068F6">
        <w:rPr>
          <w:rFonts w:cs="Arial"/>
          <w:spacing w:val="-3"/>
        </w:rPr>
        <w:t>,</w:t>
      </w:r>
      <w:r w:rsidR="00E67139" w:rsidRPr="004068F6">
        <w:rPr>
          <w:rFonts w:cs="Arial"/>
          <w:spacing w:val="-3"/>
        </w:rPr>
        <w:t xml:space="preserve"> es decir, </w:t>
      </w:r>
      <w:r w:rsidRPr="004068F6">
        <w:rPr>
          <w:rFonts w:cs="Arial"/>
          <w:spacing w:val="-3"/>
        </w:rPr>
        <w:t xml:space="preserve">establece zonas homogéneas </w:t>
      </w:r>
      <w:r w:rsidR="00E67139" w:rsidRPr="004068F6">
        <w:rPr>
          <w:rFonts w:cs="Arial"/>
          <w:spacing w:val="-3"/>
        </w:rPr>
        <w:t xml:space="preserve">de un elemento adimensional (sensibilidad) que </w:t>
      </w:r>
      <w:r w:rsidR="00203F64" w:rsidRPr="004068F6">
        <w:rPr>
          <w:rFonts w:cs="Arial"/>
          <w:spacing w:val="-3"/>
        </w:rPr>
        <w:t xml:space="preserve">puede </w:t>
      </w:r>
      <w:r w:rsidRPr="004068F6">
        <w:rPr>
          <w:rFonts w:cs="Arial"/>
          <w:spacing w:val="-3"/>
        </w:rPr>
        <w:t>conjugar</w:t>
      </w:r>
      <w:r w:rsidR="00203F64" w:rsidRPr="004068F6">
        <w:rPr>
          <w:rFonts w:cs="Arial"/>
          <w:spacing w:val="-3"/>
        </w:rPr>
        <w:t>se</w:t>
      </w:r>
      <w:r w:rsidRPr="004068F6">
        <w:rPr>
          <w:rFonts w:cs="Arial"/>
          <w:spacing w:val="-3"/>
        </w:rPr>
        <w:t xml:space="preserve"> </w:t>
      </w:r>
      <w:r w:rsidR="00203F64" w:rsidRPr="004068F6">
        <w:rPr>
          <w:rFonts w:cs="Arial"/>
          <w:spacing w:val="-3"/>
        </w:rPr>
        <w:t>geográficamente</w:t>
      </w:r>
      <w:r w:rsidRPr="004068F6">
        <w:rPr>
          <w:rFonts w:cs="Arial"/>
          <w:spacing w:val="-3"/>
        </w:rPr>
        <w:t>.</w:t>
      </w:r>
    </w:p>
    <w:p w14:paraId="23F80309" w14:textId="77777777" w:rsidR="00E67139" w:rsidRPr="004068F6" w:rsidRDefault="00E67139" w:rsidP="00E67139">
      <w:pPr>
        <w:numPr>
          <w:ilvl w:val="12"/>
          <w:numId w:val="0"/>
        </w:numPr>
        <w:tabs>
          <w:tab w:val="left" w:pos="-2268"/>
        </w:tabs>
        <w:suppressAutoHyphens/>
        <w:rPr>
          <w:rFonts w:cs="Arial"/>
          <w:spacing w:val="-3"/>
        </w:rPr>
      </w:pPr>
    </w:p>
    <w:p w14:paraId="6238B6CB" w14:textId="77777777" w:rsidR="00E35BDE" w:rsidRPr="004068F6" w:rsidRDefault="00E35BDE" w:rsidP="00E35BDE">
      <w:pPr>
        <w:numPr>
          <w:ilvl w:val="12"/>
          <w:numId w:val="0"/>
        </w:numPr>
        <w:tabs>
          <w:tab w:val="left" w:pos="-2268"/>
        </w:tabs>
        <w:suppressAutoHyphens/>
        <w:rPr>
          <w:rFonts w:cs="Arial"/>
          <w:spacing w:val="-3"/>
        </w:rPr>
      </w:pPr>
      <w:r w:rsidRPr="004068F6">
        <w:rPr>
          <w:rFonts w:cs="Arial"/>
          <w:spacing w:val="-3"/>
        </w:rPr>
        <w:t xml:space="preserve">Cuando el procedimiento de zonificación de un factor o componente (p. ej. geotecnia) resulte del procesamiento de información sobre la sensibilidad ambiental de otros factores o componentes (p. ej. geológico, geomorfológico, sismicidad), la agregación para establecer la zonificación ambiental del área de influencia del proyecto debe emplear solamente la zonificación del factor o componente resultado (p. ej. geotecnia) y descartar la sensibilidad </w:t>
      </w:r>
      <w:r w:rsidRPr="004068F6">
        <w:rPr>
          <w:rFonts w:cs="Arial"/>
          <w:spacing w:val="-3"/>
        </w:rPr>
        <w:lastRenderedPageBreak/>
        <w:t>de los factores o componentes en los que se basó el procedimiento (p. ej. geológico, geomorfológico, sismicidad), con el fin de evitar la doble contabilización.</w:t>
      </w:r>
    </w:p>
    <w:p w14:paraId="34C97352" w14:textId="77777777" w:rsidR="00E35BDE" w:rsidRPr="004068F6" w:rsidRDefault="00E35BDE" w:rsidP="00E35BDE">
      <w:pPr>
        <w:numPr>
          <w:ilvl w:val="12"/>
          <w:numId w:val="0"/>
        </w:numPr>
        <w:tabs>
          <w:tab w:val="left" w:pos="-2268"/>
        </w:tabs>
        <w:suppressAutoHyphens/>
        <w:rPr>
          <w:rFonts w:cs="Arial"/>
          <w:spacing w:val="-3"/>
        </w:rPr>
      </w:pPr>
    </w:p>
    <w:p w14:paraId="2F59E802" w14:textId="77777777" w:rsidR="00E35BDE" w:rsidRPr="00AA40F6" w:rsidRDefault="00E35BDE" w:rsidP="00E35BDE">
      <w:pPr>
        <w:numPr>
          <w:ilvl w:val="12"/>
          <w:numId w:val="0"/>
        </w:numPr>
        <w:tabs>
          <w:tab w:val="left" w:pos="-2268"/>
        </w:tabs>
        <w:suppressAutoHyphens/>
        <w:rPr>
          <w:rFonts w:cs="Arial"/>
          <w:spacing w:val="-3"/>
        </w:rPr>
      </w:pPr>
      <w:r w:rsidRPr="004068F6">
        <w:rPr>
          <w:rFonts w:cs="Arial"/>
          <w:spacing w:val="-3"/>
        </w:rPr>
        <w:t xml:space="preserve">Si los factores o componentes en los que se basó el procedimiento (p. ej. geológico, geomorfológico, sismicidad) tienen un área de influencia diferente al área de influencia del factor o componente resultado (p. ej. geotecnia), la agregación final para establecer la zonificación del área de influencia del proyecto debe incluir, adicionalmente a la sensibilidad del factor o componente resultado (p. ej. geotecnia), la sensibilidad ambiental de los factores o componentes base (p. ej. geológico, geomorfológico, sismicidad) para las áreas que no </w:t>
      </w:r>
      <w:r w:rsidRPr="00AA40F6">
        <w:rPr>
          <w:rFonts w:cs="Arial"/>
          <w:spacing w:val="-3"/>
        </w:rPr>
        <w:t>comparten con el factor o componente resultado.</w:t>
      </w:r>
    </w:p>
    <w:p w14:paraId="66CB25A7" w14:textId="77777777" w:rsidR="00E35BDE" w:rsidRPr="00AA40F6" w:rsidRDefault="00E35BDE" w:rsidP="00E67139">
      <w:pPr>
        <w:numPr>
          <w:ilvl w:val="12"/>
          <w:numId w:val="0"/>
        </w:numPr>
        <w:tabs>
          <w:tab w:val="left" w:pos="-2268"/>
        </w:tabs>
        <w:suppressAutoHyphens/>
        <w:rPr>
          <w:rFonts w:cs="Arial"/>
          <w:spacing w:val="-3"/>
        </w:rPr>
      </w:pPr>
    </w:p>
    <w:p w14:paraId="7B365CBE" w14:textId="27D7EF4E" w:rsidR="00002CE7" w:rsidRPr="00AA40F6" w:rsidRDefault="004F2E24" w:rsidP="00002CE7">
      <w:pPr>
        <w:numPr>
          <w:ilvl w:val="12"/>
          <w:numId w:val="0"/>
        </w:numPr>
        <w:tabs>
          <w:tab w:val="left" w:pos="-2268"/>
        </w:tabs>
        <w:suppressAutoHyphens/>
        <w:rPr>
          <w:rFonts w:cs="Arial"/>
          <w:spacing w:val="-3"/>
        </w:rPr>
      </w:pPr>
      <w:r w:rsidRPr="00127BD4">
        <w:rPr>
          <w:rFonts w:cs="Arial"/>
          <w:spacing w:val="-3"/>
        </w:rPr>
        <w:t>L</w:t>
      </w:r>
      <w:r w:rsidR="00002CE7" w:rsidRPr="00AA40F6">
        <w:rPr>
          <w:rFonts w:cs="Arial"/>
          <w:spacing w:val="-3"/>
        </w:rPr>
        <w:t xml:space="preserve">a </w:t>
      </w:r>
      <w:r w:rsidR="001B2880" w:rsidRPr="00127BD4">
        <w:rPr>
          <w:rFonts w:cs="Arial"/>
          <w:spacing w:val="-3"/>
        </w:rPr>
        <w:t xml:space="preserve">determinación </w:t>
      </w:r>
      <w:r w:rsidR="00002CE7" w:rsidRPr="00AA40F6">
        <w:rPr>
          <w:rFonts w:cs="Arial"/>
          <w:spacing w:val="-3"/>
        </w:rPr>
        <w:t xml:space="preserve">de la sensibilidad ambiental </w:t>
      </w:r>
      <w:r w:rsidR="00ED393A" w:rsidRPr="00AA40F6">
        <w:rPr>
          <w:rFonts w:cs="Arial"/>
          <w:spacing w:val="-3"/>
        </w:rPr>
        <w:t>para</w:t>
      </w:r>
      <w:r w:rsidRPr="00AA40F6">
        <w:rPr>
          <w:rFonts w:cs="Arial"/>
          <w:spacing w:val="-3"/>
        </w:rPr>
        <w:t xml:space="preserve"> proyectos, obras o actividades de larga duración </w:t>
      </w:r>
      <w:r w:rsidR="001B2880" w:rsidRPr="00127BD4">
        <w:rPr>
          <w:rFonts w:cs="Arial"/>
          <w:spacing w:val="-3"/>
        </w:rPr>
        <w:t xml:space="preserve">debe </w:t>
      </w:r>
      <w:r w:rsidR="00002CE7" w:rsidRPr="00AA40F6">
        <w:rPr>
          <w:rFonts w:cs="Arial"/>
          <w:spacing w:val="-3"/>
        </w:rPr>
        <w:t xml:space="preserve">considerar </w:t>
      </w:r>
      <w:r w:rsidR="00EA3735" w:rsidRPr="00127BD4">
        <w:rPr>
          <w:rFonts w:cs="Arial"/>
          <w:spacing w:val="-3"/>
        </w:rPr>
        <w:t xml:space="preserve">los escenarios prospectivos de cambio que se desarrollen en el marco del Plan de gestión de cambio climático (numeral </w:t>
      </w:r>
      <w:r w:rsidR="00EA3735" w:rsidRPr="00127BD4">
        <w:rPr>
          <w:rFonts w:cs="Arial"/>
          <w:spacing w:val="-3"/>
        </w:rPr>
        <w:fldChar w:fldCharType="begin"/>
      </w:r>
      <w:r w:rsidR="00EA3735" w:rsidRPr="00127BD4">
        <w:rPr>
          <w:rFonts w:cs="Arial"/>
          <w:spacing w:val="-3"/>
        </w:rPr>
        <w:instrText xml:space="preserve"> REF _Ref208926634 \r \h  \* MERGEFORMAT </w:instrText>
      </w:r>
      <w:r w:rsidR="00EA3735" w:rsidRPr="00127BD4">
        <w:rPr>
          <w:rFonts w:cs="Arial"/>
          <w:spacing w:val="-3"/>
        </w:rPr>
      </w:r>
      <w:r w:rsidR="00EA3735" w:rsidRPr="00127BD4">
        <w:rPr>
          <w:rFonts w:cs="Arial"/>
          <w:spacing w:val="-3"/>
        </w:rPr>
        <w:fldChar w:fldCharType="separate"/>
      </w:r>
      <w:r w:rsidR="009C4A81">
        <w:rPr>
          <w:rFonts w:cs="Arial"/>
          <w:spacing w:val="-3"/>
        </w:rPr>
        <w:t>10.7.3.1</w:t>
      </w:r>
      <w:r w:rsidR="00EA3735" w:rsidRPr="00127BD4">
        <w:rPr>
          <w:rFonts w:cs="Arial"/>
          <w:spacing w:val="-3"/>
        </w:rPr>
        <w:fldChar w:fldCharType="end"/>
      </w:r>
      <w:r w:rsidR="00EA3735" w:rsidRPr="00127BD4">
        <w:rPr>
          <w:rFonts w:cs="Arial"/>
          <w:spacing w:val="-3"/>
        </w:rPr>
        <w:t xml:space="preserve"> de este capítulo), por ejemplo, los </w:t>
      </w:r>
      <w:r w:rsidR="00976F1C" w:rsidRPr="00AA40F6">
        <w:rPr>
          <w:szCs w:val="20"/>
        </w:rPr>
        <w:t xml:space="preserve">basados en variables como precipitación y temperatura </w:t>
      </w:r>
      <w:r w:rsidR="00EA3735" w:rsidRPr="00127BD4">
        <w:rPr>
          <w:rFonts w:cs="Arial"/>
          <w:spacing w:val="-3"/>
        </w:rPr>
        <w:t>para los componentes hidrológico e hidrogeológico y para el medio biótico</w:t>
      </w:r>
      <w:r w:rsidR="00002CE7" w:rsidRPr="00AA40F6">
        <w:rPr>
          <w:rFonts w:cs="Arial"/>
          <w:spacing w:val="-3"/>
        </w:rPr>
        <w:t>.</w:t>
      </w:r>
      <w:r w:rsidR="00043A98" w:rsidRPr="00127BD4">
        <w:rPr>
          <w:rFonts w:cs="Arial"/>
          <w:spacing w:val="-3"/>
        </w:rPr>
        <w:t xml:space="preserve"> E</w:t>
      </w:r>
      <w:r w:rsidR="00002CE7" w:rsidRPr="00AA40F6">
        <w:rPr>
          <w:rFonts w:cs="Arial"/>
          <w:spacing w:val="-3"/>
        </w:rPr>
        <w:t>st</w:t>
      </w:r>
      <w:r w:rsidR="00612AB8" w:rsidRPr="00AA40F6">
        <w:rPr>
          <w:rFonts w:cs="Arial"/>
          <w:spacing w:val="-3"/>
        </w:rPr>
        <w:t xml:space="preserve">e análisis </w:t>
      </w:r>
      <w:r w:rsidR="00002CE7" w:rsidRPr="00AA40F6">
        <w:rPr>
          <w:rFonts w:cs="Arial"/>
          <w:spacing w:val="-3"/>
        </w:rPr>
        <w:t>complementari</w:t>
      </w:r>
      <w:r w:rsidR="00612AB8" w:rsidRPr="00AA40F6">
        <w:rPr>
          <w:rFonts w:cs="Arial"/>
          <w:spacing w:val="-3"/>
        </w:rPr>
        <w:t>o</w:t>
      </w:r>
      <w:r w:rsidR="00002CE7" w:rsidRPr="00AA40F6">
        <w:rPr>
          <w:rFonts w:cs="Arial"/>
          <w:spacing w:val="-3"/>
        </w:rPr>
        <w:t xml:space="preserve"> </w:t>
      </w:r>
      <w:r w:rsidR="00BF2945" w:rsidRPr="00127BD4">
        <w:rPr>
          <w:rFonts w:cs="Arial"/>
          <w:spacing w:val="-3"/>
        </w:rPr>
        <w:t>es indispensable</w:t>
      </w:r>
      <w:r w:rsidR="00521E79" w:rsidRPr="00127BD4">
        <w:rPr>
          <w:rFonts w:cs="Arial"/>
          <w:spacing w:val="-3"/>
        </w:rPr>
        <w:t xml:space="preserve"> pues </w:t>
      </w:r>
      <w:r w:rsidR="00002CE7" w:rsidRPr="00AA40F6">
        <w:rPr>
          <w:rFonts w:cs="Arial"/>
          <w:spacing w:val="-3"/>
        </w:rPr>
        <w:t>brinda información sobre cómo se altera la clasificación de sensib</w:t>
      </w:r>
      <w:r w:rsidR="00584C81" w:rsidRPr="00127BD4">
        <w:rPr>
          <w:rFonts w:cs="Arial"/>
          <w:spacing w:val="-3"/>
        </w:rPr>
        <w:t>ilidad ambiental (</w:t>
      </w:r>
      <w:r w:rsidR="00584C81" w:rsidRPr="00AA40F6">
        <w:rPr>
          <w:rFonts w:cs="Arial"/>
          <w:spacing w:val="-3"/>
        </w:rPr>
        <w:t>muy alta, alta, media, baja, muy baja</w:t>
      </w:r>
      <w:r w:rsidR="00584C81" w:rsidRPr="00127BD4">
        <w:rPr>
          <w:rFonts w:cs="Arial"/>
          <w:spacing w:val="-3"/>
        </w:rPr>
        <w:t>) en el tiempo</w:t>
      </w:r>
      <w:r w:rsidR="00002CE7" w:rsidRPr="00AA40F6">
        <w:rPr>
          <w:rFonts w:cs="Arial"/>
          <w:spacing w:val="-3"/>
        </w:rPr>
        <w:t>.</w:t>
      </w:r>
    </w:p>
    <w:p w14:paraId="469C50B0" w14:textId="77777777" w:rsidR="00C840A9" w:rsidRPr="00AA40F6" w:rsidRDefault="00C840A9" w:rsidP="00E67139">
      <w:pPr>
        <w:numPr>
          <w:ilvl w:val="12"/>
          <w:numId w:val="0"/>
        </w:numPr>
        <w:tabs>
          <w:tab w:val="left" w:pos="-2268"/>
        </w:tabs>
        <w:suppressAutoHyphens/>
        <w:rPr>
          <w:rFonts w:cs="Arial"/>
          <w:spacing w:val="-3"/>
        </w:rPr>
      </w:pPr>
    </w:p>
    <w:p w14:paraId="44E83D0A" w14:textId="2DC701C9" w:rsidR="00E67139" w:rsidRPr="004068F6" w:rsidRDefault="00570397" w:rsidP="00E67139">
      <w:pPr>
        <w:numPr>
          <w:ilvl w:val="12"/>
          <w:numId w:val="0"/>
        </w:numPr>
        <w:tabs>
          <w:tab w:val="left" w:pos="-2268"/>
        </w:tabs>
        <w:suppressAutoHyphens/>
        <w:rPr>
          <w:rFonts w:cs="Arial"/>
          <w:spacing w:val="-3"/>
        </w:rPr>
      </w:pPr>
      <w:r w:rsidRPr="00AA40F6">
        <w:rPr>
          <w:rFonts w:cs="Arial"/>
          <w:spacing w:val="-3"/>
        </w:rPr>
        <w:t>S</w:t>
      </w:r>
      <w:r w:rsidR="00E67139" w:rsidRPr="00AA40F6">
        <w:rPr>
          <w:rFonts w:cs="Arial"/>
          <w:spacing w:val="-3"/>
        </w:rPr>
        <w:t xml:space="preserve">e debe describir tanto el método para establecer la sensibilidad de los </w:t>
      </w:r>
      <w:r w:rsidR="00AB40C9" w:rsidRPr="00AA40F6">
        <w:rPr>
          <w:rFonts w:cs="Arial"/>
          <w:spacing w:val="-3"/>
        </w:rPr>
        <w:t xml:space="preserve">factores o </w:t>
      </w:r>
      <w:r w:rsidR="00E67139" w:rsidRPr="00AA40F6">
        <w:rPr>
          <w:rFonts w:cs="Arial"/>
          <w:spacing w:val="-3"/>
        </w:rPr>
        <w:t>componentes</w:t>
      </w:r>
      <w:r w:rsidR="002E32A3" w:rsidRPr="00AA40F6">
        <w:rPr>
          <w:rFonts w:cs="Arial"/>
          <w:spacing w:val="-3"/>
        </w:rPr>
        <w:t xml:space="preserve"> ambientales</w:t>
      </w:r>
      <w:r w:rsidR="00E67139" w:rsidRPr="00AA40F6">
        <w:rPr>
          <w:rFonts w:cs="Arial"/>
          <w:spacing w:val="-3"/>
        </w:rPr>
        <w:t xml:space="preserve">, como el </w:t>
      </w:r>
      <w:r w:rsidR="00457F51" w:rsidRPr="00AA40F6">
        <w:rPr>
          <w:rFonts w:cs="Arial"/>
          <w:spacing w:val="-3"/>
        </w:rPr>
        <w:t xml:space="preserve">método de </w:t>
      </w:r>
      <w:r w:rsidR="001D64E0" w:rsidRPr="00AA40F6">
        <w:rPr>
          <w:rFonts w:cs="Arial"/>
          <w:spacing w:val="-3"/>
        </w:rPr>
        <w:t xml:space="preserve">procesamiento de información </w:t>
      </w:r>
      <w:r w:rsidR="00457F51" w:rsidRPr="00AA40F6">
        <w:rPr>
          <w:rFonts w:cs="Arial"/>
          <w:spacing w:val="-3"/>
        </w:rPr>
        <w:t xml:space="preserve">espacial </w:t>
      </w:r>
      <w:r w:rsidR="00E67139" w:rsidRPr="00AA40F6">
        <w:rPr>
          <w:rFonts w:cs="Arial"/>
          <w:spacing w:val="-3"/>
        </w:rPr>
        <w:t>empleado para</w:t>
      </w:r>
      <w:r w:rsidR="00E67139" w:rsidRPr="004068F6">
        <w:rPr>
          <w:rFonts w:cs="Arial"/>
          <w:spacing w:val="-3"/>
        </w:rPr>
        <w:t xml:space="preserve"> integrar tales susceptibilidades en los mapas de zonificación ambiental del área de influencia los </w:t>
      </w:r>
      <w:r w:rsidR="00E67139" w:rsidRPr="004068F6">
        <w:rPr>
          <w:spacing w:val="-3"/>
        </w:rPr>
        <w:t>medios abiótico, biótico y socioeconómico</w:t>
      </w:r>
      <w:r w:rsidR="00457F51" w:rsidRPr="004068F6">
        <w:rPr>
          <w:spacing w:val="-3"/>
        </w:rPr>
        <w:t xml:space="preserve"> (uno para cada medio)</w:t>
      </w:r>
      <w:r w:rsidR="00E67139" w:rsidRPr="004068F6">
        <w:rPr>
          <w:spacing w:val="-3"/>
        </w:rPr>
        <w:t xml:space="preserve"> </w:t>
      </w:r>
      <w:r w:rsidR="00457F51" w:rsidRPr="004068F6">
        <w:rPr>
          <w:spacing w:val="-3"/>
        </w:rPr>
        <w:t xml:space="preserve">y de </w:t>
      </w:r>
      <w:r w:rsidR="002E32A3" w:rsidRPr="004068F6">
        <w:rPr>
          <w:rFonts w:cs="Arial"/>
          <w:spacing w:val="-3"/>
        </w:rPr>
        <w:t xml:space="preserve">zonificación ambiental </w:t>
      </w:r>
      <w:r w:rsidR="00457F51" w:rsidRPr="004068F6">
        <w:rPr>
          <w:rFonts w:cs="Arial"/>
          <w:spacing w:val="-3"/>
        </w:rPr>
        <w:t xml:space="preserve">del área de influencia del proyecto, </w:t>
      </w:r>
      <w:r w:rsidRPr="004068F6">
        <w:rPr>
          <w:rFonts w:cs="Arial"/>
          <w:spacing w:val="-3"/>
        </w:rPr>
        <w:t xml:space="preserve">obra o actividad, </w:t>
      </w:r>
      <w:r w:rsidR="007A7881" w:rsidRPr="004068F6">
        <w:rPr>
          <w:rFonts w:cs="Arial"/>
          <w:spacing w:val="-3"/>
        </w:rPr>
        <w:t xml:space="preserve">los cuales </w:t>
      </w:r>
      <w:r w:rsidR="00E67139" w:rsidRPr="004068F6">
        <w:rPr>
          <w:spacing w:val="-3"/>
        </w:rPr>
        <w:t xml:space="preserve">deben ser </w:t>
      </w:r>
      <w:r w:rsidR="00EA4EAD" w:rsidRPr="004068F6">
        <w:rPr>
          <w:spacing w:val="-3"/>
        </w:rPr>
        <w:t xml:space="preserve">presentados </w:t>
      </w:r>
      <w:r w:rsidR="00E67139" w:rsidRPr="004068F6">
        <w:rPr>
          <w:spacing w:val="-3"/>
        </w:rPr>
        <w:t>a la autoridad ambiental</w:t>
      </w:r>
      <w:r w:rsidR="00E67139" w:rsidRPr="004068F6">
        <w:rPr>
          <w:rFonts w:cs="Arial"/>
          <w:spacing w:val="-3"/>
        </w:rPr>
        <w:t>.</w:t>
      </w:r>
    </w:p>
    <w:p w14:paraId="74A88379" w14:textId="77777777" w:rsidR="00FA74AA" w:rsidRPr="004068F6" w:rsidRDefault="00FA74AA" w:rsidP="00FA74AA">
      <w:pPr>
        <w:numPr>
          <w:ilvl w:val="12"/>
          <w:numId w:val="0"/>
        </w:numPr>
        <w:tabs>
          <w:tab w:val="left" w:pos="-2268"/>
        </w:tabs>
        <w:suppressAutoHyphens/>
        <w:rPr>
          <w:rFonts w:cs="Arial"/>
          <w:spacing w:val="-3"/>
        </w:rPr>
      </w:pPr>
    </w:p>
    <w:p w14:paraId="11710247" w14:textId="28F13171" w:rsidR="00FA74AA" w:rsidRPr="004068F6" w:rsidRDefault="00FA74AA" w:rsidP="00FA74AA">
      <w:pPr>
        <w:numPr>
          <w:ilvl w:val="12"/>
          <w:numId w:val="0"/>
        </w:numPr>
        <w:tabs>
          <w:tab w:val="left" w:pos="-2268"/>
        </w:tabs>
        <w:suppressAutoHyphens/>
        <w:rPr>
          <w:rFonts w:cs="Arial"/>
          <w:spacing w:val="-3"/>
        </w:rPr>
      </w:pPr>
      <w:r w:rsidRPr="004068F6">
        <w:rPr>
          <w:rFonts w:cs="Arial"/>
          <w:spacing w:val="-3"/>
        </w:rPr>
        <w:t xml:space="preserve">La descripción detallada del </w:t>
      </w:r>
      <w:r w:rsidRPr="004068F6">
        <w:rPr>
          <w:spacing w:val="-3"/>
        </w:rPr>
        <w:t xml:space="preserve">método utilizado para </w:t>
      </w:r>
      <w:r w:rsidR="00331689" w:rsidRPr="004068F6">
        <w:rPr>
          <w:rFonts w:cs="Arial"/>
          <w:spacing w:val="-3"/>
        </w:rPr>
        <w:t xml:space="preserve">desarrollar </w:t>
      </w:r>
      <w:r w:rsidRPr="004068F6">
        <w:rPr>
          <w:rFonts w:cs="Arial"/>
          <w:spacing w:val="-3"/>
        </w:rPr>
        <w:t>la zonificación ambiental debe indicar lo siguiente:</w:t>
      </w:r>
    </w:p>
    <w:p w14:paraId="37711072" w14:textId="77777777" w:rsidR="00FA74AA" w:rsidRPr="004068F6" w:rsidRDefault="00FA74AA" w:rsidP="00FA74AA">
      <w:pPr>
        <w:numPr>
          <w:ilvl w:val="12"/>
          <w:numId w:val="0"/>
        </w:numPr>
        <w:tabs>
          <w:tab w:val="left" w:pos="-2268"/>
        </w:tabs>
        <w:suppressAutoHyphens/>
        <w:rPr>
          <w:rFonts w:cs="Arial"/>
          <w:spacing w:val="-3"/>
        </w:rPr>
      </w:pPr>
    </w:p>
    <w:p w14:paraId="0790B72A" w14:textId="28731592" w:rsidR="00FA74AA" w:rsidRPr="004068F6" w:rsidRDefault="00FA74AA" w:rsidP="00456AB1">
      <w:pPr>
        <w:numPr>
          <w:ilvl w:val="0"/>
          <w:numId w:val="19"/>
        </w:numPr>
        <w:tabs>
          <w:tab w:val="left" w:pos="-2268"/>
        </w:tabs>
        <w:suppressAutoHyphens/>
        <w:ind w:left="567" w:hanging="567"/>
        <w:rPr>
          <w:rFonts w:cs="Arial"/>
          <w:spacing w:val="-3"/>
        </w:rPr>
      </w:pPr>
      <w:r w:rsidRPr="004068F6">
        <w:rPr>
          <w:rFonts w:cs="Arial"/>
          <w:spacing w:val="-3"/>
        </w:rPr>
        <w:t>La</w:t>
      </w:r>
      <w:r w:rsidR="00793CE4" w:rsidRPr="004068F6">
        <w:rPr>
          <w:rFonts w:cs="Arial"/>
          <w:spacing w:val="-3"/>
        </w:rPr>
        <w:t>s</w:t>
      </w:r>
      <w:r w:rsidRPr="004068F6">
        <w:rPr>
          <w:rFonts w:cs="Arial"/>
          <w:spacing w:val="-3"/>
        </w:rPr>
        <w:t xml:space="preserve"> unidades </w:t>
      </w:r>
      <w:r w:rsidR="00793CE4" w:rsidRPr="004068F6">
        <w:rPr>
          <w:rFonts w:cs="Arial"/>
          <w:spacing w:val="-3"/>
        </w:rPr>
        <w:t xml:space="preserve">de análisis </w:t>
      </w:r>
      <w:r w:rsidRPr="004068F6">
        <w:rPr>
          <w:rFonts w:cs="Arial"/>
          <w:spacing w:val="-3"/>
        </w:rPr>
        <w:t xml:space="preserve">de los </w:t>
      </w:r>
      <w:r w:rsidR="00110B6B" w:rsidRPr="004068F6">
        <w:rPr>
          <w:rFonts w:cs="Arial"/>
          <w:spacing w:val="-3"/>
        </w:rPr>
        <w:t>factore</w:t>
      </w:r>
      <w:r w:rsidR="00CC076D" w:rsidRPr="004068F6">
        <w:rPr>
          <w:rFonts w:cs="Arial"/>
          <w:spacing w:val="-3"/>
        </w:rPr>
        <w:t>s</w:t>
      </w:r>
      <w:r w:rsidR="00110B6B" w:rsidRPr="004068F6">
        <w:rPr>
          <w:rFonts w:cs="Arial"/>
          <w:spacing w:val="-3"/>
        </w:rPr>
        <w:t xml:space="preserve"> o </w:t>
      </w:r>
      <w:r w:rsidRPr="004068F6">
        <w:rPr>
          <w:rFonts w:cs="Arial"/>
          <w:spacing w:val="-3"/>
        </w:rPr>
        <w:t>componentes</w:t>
      </w:r>
      <w:r w:rsidR="004E0E56" w:rsidRPr="004068F6">
        <w:rPr>
          <w:rFonts w:cs="Arial"/>
          <w:spacing w:val="-3"/>
        </w:rPr>
        <w:t xml:space="preserve"> que se</w:t>
      </w:r>
      <w:r w:rsidR="00793CE4" w:rsidRPr="004068F6">
        <w:rPr>
          <w:rFonts w:cs="Arial"/>
          <w:spacing w:val="-3"/>
        </w:rPr>
        <w:t xml:space="preserve"> </w:t>
      </w:r>
      <w:r w:rsidR="004E0E56" w:rsidRPr="004068F6">
        <w:rPr>
          <w:rFonts w:cs="Arial"/>
          <w:spacing w:val="-3"/>
        </w:rPr>
        <w:t xml:space="preserve">emplearon para </w:t>
      </w:r>
      <w:r w:rsidRPr="004068F6">
        <w:rPr>
          <w:rFonts w:cs="Arial"/>
          <w:spacing w:val="-3"/>
        </w:rPr>
        <w:t>la zonificación ambiental de cada medio.</w:t>
      </w:r>
    </w:p>
    <w:p w14:paraId="55CF8040" w14:textId="77777777" w:rsidR="00FA74AA" w:rsidRPr="004068F6" w:rsidRDefault="00FA74AA" w:rsidP="00FA74AA">
      <w:pPr>
        <w:tabs>
          <w:tab w:val="left" w:pos="-2268"/>
        </w:tabs>
        <w:suppressAutoHyphens/>
        <w:rPr>
          <w:rFonts w:cs="Arial"/>
          <w:spacing w:val="-3"/>
        </w:rPr>
      </w:pPr>
    </w:p>
    <w:p w14:paraId="147807B8" w14:textId="6774DC88" w:rsidR="00FA74AA" w:rsidRPr="004068F6" w:rsidRDefault="00793CE4" w:rsidP="00C86DA5">
      <w:pPr>
        <w:numPr>
          <w:ilvl w:val="0"/>
          <w:numId w:val="19"/>
        </w:numPr>
        <w:tabs>
          <w:tab w:val="left" w:pos="-2268"/>
        </w:tabs>
        <w:suppressAutoHyphens/>
        <w:ind w:left="567" w:hanging="567"/>
        <w:rPr>
          <w:spacing w:val="-3"/>
        </w:rPr>
      </w:pPr>
      <w:r w:rsidRPr="004068F6">
        <w:rPr>
          <w:rFonts w:cs="Arial"/>
          <w:spacing w:val="-3"/>
        </w:rPr>
        <w:t>L</w:t>
      </w:r>
      <w:r w:rsidR="00FA74AA" w:rsidRPr="004068F6">
        <w:rPr>
          <w:rFonts w:cs="Arial"/>
          <w:spacing w:val="-3"/>
        </w:rPr>
        <w:t xml:space="preserve">os criterios </w:t>
      </w:r>
      <w:r w:rsidR="004E0E56" w:rsidRPr="004068F6">
        <w:rPr>
          <w:rFonts w:cs="Arial"/>
          <w:spacing w:val="-3"/>
        </w:rPr>
        <w:t xml:space="preserve">utilizados </w:t>
      </w:r>
      <w:r w:rsidR="00FA74AA" w:rsidRPr="004068F6">
        <w:rPr>
          <w:rFonts w:cs="Arial"/>
          <w:spacing w:val="-3"/>
        </w:rPr>
        <w:t xml:space="preserve">para </w:t>
      </w:r>
      <w:r w:rsidRPr="004068F6">
        <w:rPr>
          <w:rFonts w:cs="Arial"/>
          <w:spacing w:val="-3"/>
        </w:rPr>
        <w:t>valora</w:t>
      </w:r>
      <w:r w:rsidR="004E0E56" w:rsidRPr="004068F6">
        <w:rPr>
          <w:rFonts w:cs="Arial"/>
          <w:spacing w:val="-3"/>
        </w:rPr>
        <w:t xml:space="preserve">r </w:t>
      </w:r>
      <w:r w:rsidR="00570397" w:rsidRPr="004068F6">
        <w:rPr>
          <w:rFonts w:cs="Arial"/>
          <w:spacing w:val="-3"/>
        </w:rPr>
        <w:t>cuantitativa</w:t>
      </w:r>
      <w:r w:rsidR="00570397" w:rsidRPr="004068F6" w:rsidDel="00570397">
        <w:rPr>
          <w:rFonts w:cs="Arial"/>
          <w:spacing w:val="-3"/>
        </w:rPr>
        <w:t xml:space="preserve"> </w:t>
      </w:r>
      <w:r w:rsidRPr="004068F6">
        <w:rPr>
          <w:rFonts w:cs="Arial"/>
          <w:spacing w:val="-3"/>
        </w:rPr>
        <w:t>o</w:t>
      </w:r>
      <w:r w:rsidR="00FA74AA" w:rsidRPr="004068F6">
        <w:rPr>
          <w:rFonts w:cs="Arial"/>
          <w:spacing w:val="-3"/>
        </w:rPr>
        <w:t xml:space="preserve"> </w:t>
      </w:r>
      <w:r w:rsidR="00570397" w:rsidRPr="004068F6">
        <w:rPr>
          <w:rFonts w:cs="Arial"/>
          <w:spacing w:val="-3"/>
        </w:rPr>
        <w:t>cualitativa</w:t>
      </w:r>
      <w:r w:rsidR="004E0E56" w:rsidRPr="004068F6">
        <w:rPr>
          <w:rFonts w:cs="Arial"/>
          <w:spacing w:val="-3"/>
        </w:rPr>
        <w:t>mente</w:t>
      </w:r>
      <w:r w:rsidR="00FA74AA" w:rsidRPr="004068F6">
        <w:rPr>
          <w:rFonts w:cs="Arial"/>
          <w:spacing w:val="-3"/>
        </w:rPr>
        <w:t xml:space="preserve"> la sensibilidad ambiental de las unidades </w:t>
      </w:r>
      <w:r w:rsidR="004E0E56" w:rsidRPr="004068F6">
        <w:rPr>
          <w:rFonts w:cs="Arial"/>
          <w:spacing w:val="-3"/>
        </w:rPr>
        <w:t xml:space="preserve">de análisis de </w:t>
      </w:r>
      <w:r w:rsidR="00FA74AA" w:rsidRPr="004068F6">
        <w:rPr>
          <w:rFonts w:cs="Arial"/>
          <w:spacing w:val="-3"/>
        </w:rPr>
        <w:t xml:space="preserve">cada </w:t>
      </w:r>
      <w:r w:rsidR="00110B6B" w:rsidRPr="004068F6">
        <w:rPr>
          <w:rFonts w:cs="Arial"/>
          <w:spacing w:val="-3"/>
        </w:rPr>
        <w:t xml:space="preserve">factor o </w:t>
      </w:r>
      <w:r w:rsidR="00FA74AA" w:rsidRPr="004068F6">
        <w:rPr>
          <w:rFonts w:cs="Arial"/>
          <w:spacing w:val="-3"/>
        </w:rPr>
        <w:t>componente</w:t>
      </w:r>
      <w:r w:rsidR="004E0E56" w:rsidRPr="004068F6">
        <w:rPr>
          <w:rFonts w:cs="Arial"/>
          <w:spacing w:val="-3"/>
        </w:rPr>
        <w:t xml:space="preserve">, teniendo en cuenta </w:t>
      </w:r>
      <w:r w:rsidR="00A54F45" w:rsidRPr="004068F6">
        <w:rPr>
          <w:rFonts w:cs="Arial"/>
          <w:spacing w:val="-3"/>
        </w:rPr>
        <w:t>los valores de los p</w:t>
      </w:r>
      <w:r w:rsidR="00A54F45" w:rsidRPr="004068F6">
        <w:rPr>
          <w:spacing w:val="-3"/>
        </w:rPr>
        <w:t>arámetros</w:t>
      </w:r>
      <w:r w:rsidR="00A54F45" w:rsidRPr="004068F6">
        <w:rPr>
          <w:rFonts w:cs="Arial"/>
          <w:spacing w:val="-3"/>
        </w:rPr>
        <w:t>,</w:t>
      </w:r>
      <w:r w:rsidR="00A54F45" w:rsidRPr="004068F6">
        <w:rPr>
          <w:spacing w:val="-3"/>
        </w:rPr>
        <w:t xml:space="preserve"> indicadores</w:t>
      </w:r>
      <w:r w:rsidR="00A54F45" w:rsidRPr="004068F6">
        <w:rPr>
          <w:rFonts w:cs="Arial"/>
          <w:spacing w:val="-3"/>
        </w:rPr>
        <w:t xml:space="preserve"> o índices</w:t>
      </w:r>
      <w:r w:rsidR="007D4BC0" w:rsidRPr="00127BD4">
        <w:rPr>
          <w:rStyle w:val="Refdenotaalpie"/>
          <w:rFonts w:cs="Arial"/>
          <w:spacing w:val="-3"/>
          <w:lang w:val="es-CO"/>
        </w:rPr>
        <w:footnoteReference w:id="193"/>
      </w:r>
      <w:r w:rsidR="00A54F45" w:rsidRPr="004068F6">
        <w:rPr>
          <w:spacing w:val="-3"/>
        </w:rPr>
        <w:t xml:space="preserve"> </w:t>
      </w:r>
      <w:r w:rsidR="00A54F45" w:rsidRPr="004068F6">
        <w:rPr>
          <w:rFonts w:cs="Arial"/>
          <w:spacing w:val="-3"/>
        </w:rPr>
        <w:t>que describen sus factores</w:t>
      </w:r>
      <w:r w:rsidR="00E21DA4" w:rsidRPr="004068F6">
        <w:rPr>
          <w:rFonts w:cs="Arial"/>
          <w:spacing w:val="-3"/>
        </w:rPr>
        <w:t xml:space="preserve"> ambientales</w:t>
      </w:r>
      <w:r w:rsidR="00A54F45" w:rsidRPr="004068F6">
        <w:rPr>
          <w:rFonts w:cs="Arial"/>
          <w:spacing w:val="-3"/>
        </w:rPr>
        <w:t xml:space="preserve"> constitutivos</w:t>
      </w:r>
      <w:r w:rsidR="007D4BC0" w:rsidRPr="004068F6">
        <w:rPr>
          <w:rFonts w:cs="Arial"/>
          <w:spacing w:val="-3"/>
        </w:rPr>
        <w:t>.</w:t>
      </w:r>
    </w:p>
    <w:p w14:paraId="5BCCE9F8" w14:textId="77777777" w:rsidR="00FA74AA" w:rsidRPr="004068F6" w:rsidRDefault="00FA74AA">
      <w:pPr>
        <w:tabs>
          <w:tab w:val="left" w:pos="-2268"/>
        </w:tabs>
        <w:suppressAutoHyphens/>
        <w:rPr>
          <w:spacing w:val="-3"/>
        </w:rPr>
      </w:pPr>
    </w:p>
    <w:p w14:paraId="025E2109" w14:textId="58B38CF9" w:rsidR="004E0E56" w:rsidRPr="004068F6" w:rsidRDefault="00FA74AA" w:rsidP="00C86DA5">
      <w:pPr>
        <w:numPr>
          <w:ilvl w:val="0"/>
          <w:numId w:val="19"/>
        </w:numPr>
        <w:tabs>
          <w:tab w:val="left" w:pos="-2268"/>
        </w:tabs>
        <w:suppressAutoHyphens/>
        <w:ind w:left="567" w:hanging="567"/>
        <w:rPr>
          <w:spacing w:val="-3"/>
        </w:rPr>
      </w:pPr>
      <w:r w:rsidRPr="004068F6">
        <w:rPr>
          <w:spacing w:val="-3"/>
        </w:rPr>
        <w:t xml:space="preserve">El </w:t>
      </w:r>
      <w:r w:rsidR="004E0E56" w:rsidRPr="004068F6">
        <w:rPr>
          <w:spacing w:val="-3"/>
        </w:rPr>
        <w:t xml:space="preserve">método </w:t>
      </w:r>
      <w:r w:rsidRPr="004068F6">
        <w:rPr>
          <w:spacing w:val="-3"/>
        </w:rPr>
        <w:t xml:space="preserve">de procesamiento de </w:t>
      </w:r>
      <w:r w:rsidRPr="004068F6">
        <w:rPr>
          <w:rFonts w:cs="Arial"/>
          <w:spacing w:val="-3"/>
        </w:rPr>
        <w:t xml:space="preserve">información geográfica, señalando los cálculos, funciones, ponderaciones y demás procedimientos </w:t>
      </w:r>
      <w:r w:rsidR="00B96EB5" w:rsidRPr="004068F6">
        <w:rPr>
          <w:rFonts w:cs="Arial"/>
          <w:spacing w:val="-3"/>
        </w:rPr>
        <w:t xml:space="preserve">empleados </w:t>
      </w:r>
      <w:r w:rsidRPr="004068F6">
        <w:rPr>
          <w:rFonts w:cs="Arial"/>
          <w:spacing w:val="-3"/>
        </w:rPr>
        <w:t xml:space="preserve">para establecer la </w:t>
      </w:r>
      <w:r w:rsidRPr="004068F6">
        <w:rPr>
          <w:rFonts w:cs="Arial"/>
          <w:spacing w:val="-3"/>
        </w:rPr>
        <w:lastRenderedPageBreak/>
        <w:t xml:space="preserve">sensibilidad de las unidades </w:t>
      </w:r>
      <w:r w:rsidR="004E0E56" w:rsidRPr="004068F6">
        <w:rPr>
          <w:rFonts w:cs="Arial"/>
          <w:spacing w:val="-3"/>
        </w:rPr>
        <w:t xml:space="preserve">de análisis </w:t>
      </w:r>
      <w:r w:rsidRPr="004068F6">
        <w:rPr>
          <w:rFonts w:cs="Arial"/>
          <w:spacing w:val="-3"/>
        </w:rPr>
        <w:t xml:space="preserve">de los </w:t>
      </w:r>
      <w:r w:rsidR="00110B6B" w:rsidRPr="004068F6">
        <w:rPr>
          <w:rFonts w:cs="Arial"/>
          <w:spacing w:val="-3"/>
        </w:rPr>
        <w:t xml:space="preserve">factores o </w:t>
      </w:r>
      <w:r w:rsidRPr="004068F6">
        <w:rPr>
          <w:rFonts w:cs="Arial"/>
          <w:spacing w:val="-3"/>
        </w:rPr>
        <w:t xml:space="preserve">componentes, así como para agrupar y obtener áreas homogéneas con diferentes </w:t>
      </w:r>
      <w:r w:rsidR="004E0E56" w:rsidRPr="004068F6">
        <w:rPr>
          <w:rFonts w:cs="Arial"/>
          <w:spacing w:val="-3"/>
        </w:rPr>
        <w:t xml:space="preserve">categorías </w:t>
      </w:r>
      <w:r w:rsidRPr="004068F6">
        <w:rPr>
          <w:rFonts w:cs="Arial"/>
          <w:spacing w:val="-3"/>
        </w:rPr>
        <w:t xml:space="preserve">de sensibilidad ambiental para el </w:t>
      </w:r>
      <w:r w:rsidR="004E0E56" w:rsidRPr="004068F6">
        <w:rPr>
          <w:rFonts w:cs="Arial"/>
          <w:spacing w:val="-3"/>
        </w:rPr>
        <w:t xml:space="preserve">área de influencia de los medios abiótico, biótico y socioeconómico y para el </w:t>
      </w:r>
      <w:r w:rsidRPr="004068F6">
        <w:rPr>
          <w:rFonts w:cs="Arial"/>
          <w:spacing w:val="-3"/>
        </w:rPr>
        <w:t>área de influencia</w:t>
      </w:r>
      <w:r w:rsidR="004E0E56" w:rsidRPr="004068F6">
        <w:rPr>
          <w:rFonts w:cs="Arial"/>
          <w:spacing w:val="-3"/>
        </w:rPr>
        <w:t xml:space="preserve"> del proyecto, obra o actividad</w:t>
      </w:r>
      <w:r w:rsidRPr="004068F6">
        <w:rPr>
          <w:rFonts w:cs="Arial"/>
          <w:spacing w:val="-3"/>
        </w:rPr>
        <w:t>.</w:t>
      </w:r>
    </w:p>
    <w:p w14:paraId="37D71172" w14:textId="77777777" w:rsidR="002D4EBB" w:rsidRPr="004068F6" w:rsidRDefault="002D4EBB" w:rsidP="009420F5">
      <w:pPr>
        <w:rPr>
          <w:spacing w:val="-3"/>
        </w:rPr>
      </w:pPr>
    </w:p>
    <w:p w14:paraId="4C822520" w14:textId="63A3861B" w:rsidR="002D4EBB" w:rsidRPr="004068F6" w:rsidRDefault="002D4EBB" w:rsidP="009420F5">
      <w:pPr>
        <w:numPr>
          <w:ilvl w:val="0"/>
          <w:numId w:val="19"/>
        </w:numPr>
        <w:tabs>
          <w:tab w:val="left" w:pos="-2268"/>
        </w:tabs>
        <w:suppressAutoHyphens/>
        <w:ind w:left="567" w:hanging="567"/>
        <w:rPr>
          <w:spacing w:val="-3"/>
        </w:rPr>
      </w:pPr>
      <w:r w:rsidRPr="004068F6">
        <w:rPr>
          <w:spacing w:val="-3"/>
        </w:rPr>
        <w:t>Las restricciones impuestas por las figuras de protección ambiental adoptadas mediante la reglamentación expedida por la autoridad competente que se tuvieron en cuenta para establecer la zonificación ambiental.</w:t>
      </w:r>
    </w:p>
    <w:p w14:paraId="7D1D23E5" w14:textId="77777777" w:rsidR="004E0E56" w:rsidRPr="004068F6" w:rsidRDefault="004E0E56" w:rsidP="009420F5">
      <w:pPr>
        <w:rPr>
          <w:rFonts w:cs="Arial"/>
          <w:spacing w:val="-3"/>
        </w:rPr>
      </w:pPr>
    </w:p>
    <w:p w14:paraId="00BF9B95" w14:textId="240F7697" w:rsidR="004E0E56" w:rsidRPr="004068F6" w:rsidRDefault="00FA74AA" w:rsidP="004E0E56">
      <w:pPr>
        <w:numPr>
          <w:ilvl w:val="12"/>
          <w:numId w:val="0"/>
        </w:numPr>
        <w:tabs>
          <w:tab w:val="left" w:pos="-2268"/>
        </w:tabs>
        <w:suppressAutoHyphens/>
        <w:rPr>
          <w:rFonts w:cs="Arial"/>
          <w:spacing w:val="-3"/>
        </w:rPr>
      </w:pPr>
      <w:r w:rsidRPr="004068F6">
        <w:rPr>
          <w:rFonts w:cs="Arial"/>
          <w:spacing w:val="-3"/>
        </w:rPr>
        <w:t xml:space="preserve">La zonificación ambiental </w:t>
      </w:r>
      <w:r w:rsidR="00DC4B55" w:rsidRPr="004068F6">
        <w:rPr>
          <w:rFonts w:cs="Arial"/>
          <w:spacing w:val="-3"/>
        </w:rPr>
        <w:t xml:space="preserve">del área de influencia </w:t>
      </w:r>
      <w:r w:rsidRPr="004068F6">
        <w:rPr>
          <w:rFonts w:cs="Arial"/>
          <w:spacing w:val="-3"/>
        </w:rPr>
        <w:t xml:space="preserve">de cada medio </w:t>
      </w:r>
      <w:r w:rsidR="00DC4B55" w:rsidRPr="004068F6">
        <w:rPr>
          <w:rFonts w:cs="Arial"/>
          <w:spacing w:val="-3"/>
        </w:rPr>
        <w:t xml:space="preserve">y del área de influencia del proyecto, obra o actividad debe </w:t>
      </w:r>
      <w:r w:rsidRPr="004068F6">
        <w:rPr>
          <w:rFonts w:cs="Arial"/>
          <w:spacing w:val="-3"/>
        </w:rPr>
        <w:t>cartografiarse a la escala que establezcan los términos de referencia, o a una más detallada de acuerdo con la sensibilidad ambiental del</w:t>
      </w:r>
      <w:r w:rsidR="00B81402" w:rsidRPr="004068F6">
        <w:rPr>
          <w:rFonts w:cs="Arial"/>
          <w:spacing w:val="-3"/>
        </w:rPr>
        <w:t xml:space="preserve"> factor o </w:t>
      </w:r>
      <w:r w:rsidRPr="004068F6">
        <w:rPr>
          <w:rFonts w:cs="Arial"/>
          <w:spacing w:val="-3"/>
        </w:rPr>
        <w:t>componente analizado</w:t>
      </w:r>
      <w:r w:rsidR="00C65E6C" w:rsidRPr="004068F6">
        <w:rPr>
          <w:rFonts w:cs="Arial"/>
          <w:spacing w:val="-3"/>
        </w:rPr>
        <w:t>;</w:t>
      </w:r>
      <w:r w:rsidR="004E0E56" w:rsidRPr="004068F6">
        <w:rPr>
          <w:rFonts w:cs="Arial"/>
          <w:spacing w:val="-3"/>
        </w:rPr>
        <w:t xml:space="preserve"> </w:t>
      </w:r>
      <w:r w:rsidR="00C65E6C" w:rsidRPr="004068F6">
        <w:rPr>
          <w:rFonts w:cs="Arial"/>
          <w:spacing w:val="-3"/>
        </w:rPr>
        <w:t xml:space="preserve">esta </w:t>
      </w:r>
      <w:r w:rsidR="004E0E56" w:rsidRPr="004068F6">
        <w:rPr>
          <w:rFonts w:cs="Arial"/>
          <w:spacing w:val="-3"/>
        </w:rPr>
        <w:t>información geográfica debe presentarse en la estructura definida por la Resolución 2182 de 2016 o aquella que la modifique o sustituya.</w:t>
      </w:r>
    </w:p>
    <w:p w14:paraId="66D9F223" w14:textId="75B375EA" w:rsidR="00FA74AA" w:rsidRPr="004068F6" w:rsidRDefault="00FA74AA" w:rsidP="00FA74AA">
      <w:pPr>
        <w:numPr>
          <w:ilvl w:val="12"/>
          <w:numId w:val="0"/>
        </w:numPr>
        <w:tabs>
          <w:tab w:val="left" w:pos="-2268"/>
        </w:tabs>
        <w:suppressAutoHyphens/>
        <w:rPr>
          <w:rFonts w:cs="Arial"/>
          <w:spacing w:val="-3"/>
        </w:rPr>
      </w:pPr>
    </w:p>
    <w:p w14:paraId="5BEDEFBF" w14:textId="399808A4" w:rsidR="00C41281" w:rsidRPr="004068F6" w:rsidRDefault="00C41281" w:rsidP="00C41281">
      <w:pPr>
        <w:tabs>
          <w:tab w:val="left" w:pos="-2268"/>
        </w:tabs>
        <w:suppressAutoHyphens/>
        <w:rPr>
          <w:rFonts w:cs="Arial"/>
          <w:spacing w:val="-3"/>
        </w:rPr>
      </w:pPr>
      <w:r w:rsidRPr="004068F6">
        <w:rPr>
          <w:rFonts w:cs="Arial"/>
          <w:spacing w:val="-3"/>
        </w:rPr>
        <w:t>Asimismo, se debe realizar un análisis</w:t>
      </w:r>
      <w:r w:rsidRPr="004068F6">
        <w:rPr>
          <w:spacing w:val="-3"/>
        </w:rPr>
        <w:t xml:space="preserve"> de los resultados obtenidos de la zonificación ambiental, señalando para el área de influencia de cada medio y para el área de influencia del proyecto, obra o actividad (zonificación ambiental final), la extensión en hectáreas </w:t>
      </w:r>
      <w:r w:rsidRPr="004068F6">
        <w:rPr>
          <w:rFonts w:cs="Arial"/>
          <w:spacing w:val="-3"/>
        </w:rPr>
        <w:t>de cada categoría de sensibilidad ambiental y su participación porcentual con relación a la superficie total del área de influencia a la cual corresponde.</w:t>
      </w:r>
    </w:p>
    <w:p w14:paraId="2872A0DE" w14:textId="77777777" w:rsidR="00C41281" w:rsidRPr="004068F6" w:rsidRDefault="00C41281" w:rsidP="00FA74AA">
      <w:pPr>
        <w:numPr>
          <w:ilvl w:val="12"/>
          <w:numId w:val="0"/>
        </w:numPr>
        <w:tabs>
          <w:tab w:val="left" w:pos="-2268"/>
        </w:tabs>
        <w:suppressAutoHyphens/>
        <w:rPr>
          <w:rFonts w:cs="Arial"/>
          <w:spacing w:val="-3"/>
        </w:rPr>
      </w:pPr>
    </w:p>
    <w:p w14:paraId="587AF9D6" w14:textId="12D02510" w:rsidR="00FA74AA" w:rsidRPr="004068F6" w:rsidRDefault="00FA74AA">
      <w:pPr>
        <w:numPr>
          <w:ilvl w:val="12"/>
          <w:numId w:val="0"/>
        </w:numPr>
        <w:tabs>
          <w:tab w:val="left" w:pos="-2268"/>
        </w:tabs>
        <w:suppressAutoHyphens/>
        <w:rPr>
          <w:spacing w:val="-3"/>
        </w:rPr>
      </w:pPr>
      <w:r w:rsidRPr="004068F6">
        <w:rPr>
          <w:rFonts w:cs="Arial"/>
          <w:spacing w:val="-3"/>
        </w:rPr>
        <w:t xml:space="preserve">A continuación, se </w:t>
      </w:r>
      <w:r w:rsidR="00E44EAD" w:rsidRPr="004068F6">
        <w:rPr>
          <w:rFonts w:cs="Arial"/>
          <w:spacing w:val="-3"/>
        </w:rPr>
        <w:t xml:space="preserve">señala </w:t>
      </w:r>
      <w:r w:rsidRPr="004068F6">
        <w:rPr>
          <w:rFonts w:cs="Arial"/>
          <w:spacing w:val="-3"/>
        </w:rPr>
        <w:t>un listado de</w:t>
      </w:r>
      <w:r w:rsidRPr="004068F6">
        <w:rPr>
          <w:spacing w:val="-3"/>
        </w:rPr>
        <w:t xml:space="preserve"> áreas </w:t>
      </w:r>
      <w:r w:rsidR="00E44EAD" w:rsidRPr="004068F6">
        <w:rPr>
          <w:spacing w:val="-3"/>
        </w:rPr>
        <w:t xml:space="preserve">cuyas </w:t>
      </w:r>
      <w:r w:rsidRPr="004068F6">
        <w:rPr>
          <w:spacing w:val="-3"/>
        </w:rPr>
        <w:t xml:space="preserve">características </w:t>
      </w:r>
      <w:r w:rsidR="001F6937" w:rsidRPr="00A03419">
        <w:rPr>
          <w:spacing w:val="-3"/>
        </w:rPr>
        <w:t>o</w:t>
      </w:r>
      <w:r w:rsidR="00D632DF" w:rsidRPr="00A03419">
        <w:rPr>
          <w:spacing w:val="-3"/>
        </w:rPr>
        <w:t xml:space="preserve"> restricciones</w:t>
      </w:r>
      <w:r w:rsidR="00D632DF" w:rsidRPr="004068F6">
        <w:rPr>
          <w:spacing w:val="-3"/>
        </w:rPr>
        <w:t xml:space="preserve"> legales </w:t>
      </w:r>
      <w:r w:rsidR="00602E26" w:rsidRPr="004068F6">
        <w:rPr>
          <w:spacing w:val="-3"/>
        </w:rPr>
        <w:t xml:space="preserve">pueden </w:t>
      </w:r>
      <w:r w:rsidR="00E44EAD" w:rsidRPr="004068F6">
        <w:rPr>
          <w:spacing w:val="-3"/>
        </w:rPr>
        <w:t>conf</w:t>
      </w:r>
      <w:r w:rsidR="00602E26" w:rsidRPr="004068F6">
        <w:rPr>
          <w:spacing w:val="-3"/>
        </w:rPr>
        <w:t xml:space="preserve">erirles </w:t>
      </w:r>
      <w:r w:rsidR="00DC4B55" w:rsidRPr="004068F6">
        <w:rPr>
          <w:spacing w:val="-3"/>
        </w:rPr>
        <w:t>una fuerte sensibilidad</w:t>
      </w:r>
      <w:r w:rsidR="00ED3CDB" w:rsidRPr="004068F6">
        <w:rPr>
          <w:spacing w:val="-3"/>
        </w:rPr>
        <w:t>. Las características ambientales y restricciones legales</w:t>
      </w:r>
      <w:r w:rsidRPr="004068F6">
        <w:rPr>
          <w:spacing w:val="-3"/>
        </w:rPr>
        <w:t xml:space="preserve"> </w:t>
      </w:r>
      <w:r w:rsidR="00ED3CDB" w:rsidRPr="004068F6">
        <w:rPr>
          <w:spacing w:val="-3"/>
        </w:rPr>
        <w:t xml:space="preserve">de estas áreas </w:t>
      </w:r>
      <w:r w:rsidRPr="004068F6">
        <w:rPr>
          <w:rFonts w:cs="Arial"/>
          <w:spacing w:val="-3"/>
        </w:rPr>
        <w:t>deben</w:t>
      </w:r>
      <w:r w:rsidRPr="004068F6">
        <w:rPr>
          <w:spacing w:val="-3"/>
        </w:rPr>
        <w:t xml:space="preserve"> </w:t>
      </w:r>
      <w:r w:rsidR="00DC4B55" w:rsidRPr="004068F6">
        <w:rPr>
          <w:spacing w:val="-3"/>
        </w:rPr>
        <w:t>ser estudiad</w:t>
      </w:r>
      <w:r w:rsidR="00ED3CDB" w:rsidRPr="004068F6">
        <w:rPr>
          <w:spacing w:val="-3"/>
        </w:rPr>
        <w:t>a</w:t>
      </w:r>
      <w:r w:rsidR="00DC4B55" w:rsidRPr="004068F6">
        <w:rPr>
          <w:spacing w:val="-3"/>
        </w:rPr>
        <w:t xml:space="preserve">s en profundidad </w:t>
      </w:r>
      <w:r w:rsidR="00DC4B55" w:rsidRPr="004068F6">
        <w:rPr>
          <w:rFonts w:cs="Arial"/>
          <w:spacing w:val="-3"/>
        </w:rPr>
        <w:t xml:space="preserve">para </w:t>
      </w:r>
      <w:r w:rsidRPr="004068F6">
        <w:rPr>
          <w:spacing w:val="-3"/>
        </w:rPr>
        <w:t xml:space="preserve">establecer </w:t>
      </w:r>
      <w:r w:rsidR="00803E53" w:rsidRPr="004068F6">
        <w:rPr>
          <w:spacing w:val="-3"/>
        </w:rPr>
        <w:t>su sensibilidad ambiental</w:t>
      </w:r>
      <w:r w:rsidR="006236B4" w:rsidRPr="004068F6">
        <w:rPr>
          <w:spacing w:val="-3"/>
        </w:rPr>
        <w:t xml:space="preserve"> y, a partir de ello</w:t>
      </w:r>
      <w:r w:rsidR="00EB08E3" w:rsidRPr="004068F6">
        <w:rPr>
          <w:spacing w:val="-3"/>
        </w:rPr>
        <w:t>,</w:t>
      </w:r>
      <w:r w:rsidR="006236B4" w:rsidRPr="004068F6">
        <w:rPr>
          <w:spacing w:val="-3"/>
        </w:rPr>
        <w:t xml:space="preserve"> </w:t>
      </w:r>
      <w:r w:rsidR="000C0B8D" w:rsidRPr="004068F6">
        <w:rPr>
          <w:spacing w:val="-3"/>
        </w:rPr>
        <w:t xml:space="preserve">y </w:t>
      </w:r>
      <w:r w:rsidR="00F13897" w:rsidRPr="004068F6">
        <w:rPr>
          <w:spacing w:val="-3"/>
        </w:rPr>
        <w:t xml:space="preserve">de </w:t>
      </w:r>
      <w:r w:rsidR="000C0B8D" w:rsidRPr="004068F6">
        <w:rPr>
          <w:spacing w:val="-3"/>
        </w:rPr>
        <w:t xml:space="preserve">la </w:t>
      </w:r>
      <w:r w:rsidR="00F13897" w:rsidRPr="004068F6">
        <w:rPr>
          <w:spacing w:val="-3"/>
        </w:rPr>
        <w:t xml:space="preserve">localización geográfica </w:t>
      </w:r>
      <w:r w:rsidR="00ED3CDB" w:rsidRPr="004068F6">
        <w:rPr>
          <w:spacing w:val="-3"/>
        </w:rPr>
        <w:t>de tales áreas</w:t>
      </w:r>
      <w:r w:rsidR="00F13897" w:rsidRPr="004068F6">
        <w:rPr>
          <w:spacing w:val="-3"/>
        </w:rPr>
        <w:t>,</w:t>
      </w:r>
      <w:r w:rsidR="00ED3CDB" w:rsidRPr="004068F6">
        <w:rPr>
          <w:spacing w:val="-3"/>
        </w:rPr>
        <w:t xml:space="preserve"> </w:t>
      </w:r>
      <w:r w:rsidR="0034579E" w:rsidRPr="004068F6">
        <w:rPr>
          <w:spacing w:val="-3"/>
        </w:rPr>
        <w:t xml:space="preserve">estructurar </w:t>
      </w:r>
      <w:r w:rsidRPr="004068F6">
        <w:rPr>
          <w:spacing w:val="-3"/>
        </w:rPr>
        <w:t>la zonificación ambiental:</w:t>
      </w:r>
    </w:p>
    <w:p w14:paraId="00CF64C8" w14:textId="77777777" w:rsidR="00FA74AA" w:rsidRPr="004068F6" w:rsidRDefault="00FA74AA">
      <w:pPr>
        <w:numPr>
          <w:ilvl w:val="12"/>
          <w:numId w:val="0"/>
        </w:numPr>
        <w:tabs>
          <w:tab w:val="left" w:pos="-2268"/>
        </w:tabs>
        <w:suppressAutoHyphens/>
        <w:rPr>
          <w:spacing w:val="-3"/>
        </w:rPr>
      </w:pPr>
    </w:p>
    <w:p w14:paraId="2F59FE8F" w14:textId="100B3E6A" w:rsidR="00FA74AA" w:rsidRPr="004068F6" w:rsidRDefault="00674888" w:rsidP="00C86DA5">
      <w:pPr>
        <w:numPr>
          <w:ilvl w:val="0"/>
          <w:numId w:val="19"/>
        </w:numPr>
        <w:tabs>
          <w:tab w:val="left" w:pos="-2268"/>
        </w:tabs>
        <w:suppressAutoHyphens/>
        <w:ind w:left="567" w:hanging="567"/>
        <w:rPr>
          <w:spacing w:val="-3"/>
        </w:rPr>
      </w:pPr>
      <w:r w:rsidRPr="004068F6">
        <w:t>Áreas de Especial Interés Ambiental</w:t>
      </w:r>
      <w:r w:rsidR="00FA74AA" w:rsidRPr="004068F6">
        <w:rPr>
          <w:spacing w:val="-3"/>
        </w:rPr>
        <w:t xml:space="preserve"> (</w:t>
      </w:r>
      <w:r w:rsidR="0086126A" w:rsidRPr="004068F6">
        <w:rPr>
          <w:spacing w:val="-3"/>
        </w:rPr>
        <w:t>A</w:t>
      </w:r>
      <w:r w:rsidR="00AC388D" w:rsidRPr="004068F6">
        <w:rPr>
          <w:spacing w:val="-3"/>
        </w:rPr>
        <w:t>EI</w:t>
      </w:r>
      <w:r w:rsidR="0086126A" w:rsidRPr="004068F6">
        <w:rPr>
          <w:spacing w:val="-3"/>
        </w:rPr>
        <w:t>A</w:t>
      </w:r>
      <w:r w:rsidR="00FA74AA" w:rsidRPr="004068F6">
        <w:rPr>
          <w:spacing w:val="-3"/>
        </w:rPr>
        <w:t>).</w:t>
      </w:r>
    </w:p>
    <w:p w14:paraId="2A878CBE" w14:textId="77777777" w:rsidR="00FA74AA" w:rsidRPr="004068F6" w:rsidRDefault="00FA74AA">
      <w:pPr>
        <w:tabs>
          <w:tab w:val="left" w:pos="-2268"/>
        </w:tabs>
        <w:suppressAutoHyphens/>
        <w:rPr>
          <w:spacing w:val="-3"/>
        </w:rPr>
      </w:pPr>
    </w:p>
    <w:p w14:paraId="3BDD1FB2" w14:textId="44FC70F0" w:rsidR="00234810" w:rsidRPr="004068F6" w:rsidRDefault="00234810" w:rsidP="00234810">
      <w:pPr>
        <w:numPr>
          <w:ilvl w:val="0"/>
          <w:numId w:val="19"/>
        </w:numPr>
        <w:tabs>
          <w:tab w:val="left" w:pos="-2268"/>
        </w:tabs>
        <w:suppressAutoHyphens/>
        <w:ind w:left="567" w:hanging="567"/>
        <w:rPr>
          <w:rFonts w:cs="Arial"/>
          <w:spacing w:val="-3"/>
        </w:rPr>
      </w:pPr>
      <w:r w:rsidRPr="004068F6">
        <w:rPr>
          <w:rFonts w:cs="Arial"/>
          <w:spacing w:val="-3"/>
        </w:rPr>
        <w:t>Áreas con reglamentación especial definida en los instrumentos de ordenamiento territorial</w:t>
      </w:r>
      <w:r w:rsidR="003052EF">
        <w:rPr>
          <w:rStyle w:val="Refdenotaalpie"/>
          <w:rFonts w:cs="Arial"/>
          <w:spacing w:val="-3"/>
        </w:rPr>
        <w:footnoteReference w:id="194"/>
      </w:r>
      <w:r w:rsidRPr="004068F6">
        <w:rPr>
          <w:rFonts w:cs="Arial"/>
          <w:spacing w:val="-3"/>
        </w:rPr>
        <w:t xml:space="preserve"> y planificación ambiental del territorio (</w:t>
      </w:r>
      <w:r w:rsidR="00041844" w:rsidRPr="004068F6">
        <w:rPr>
          <w:rFonts w:cs="Arial"/>
          <w:spacing w:val="-3"/>
        </w:rPr>
        <w:t>p. ej.</w:t>
      </w:r>
      <w:r w:rsidRPr="004068F6">
        <w:rPr>
          <w:rFonts w:cs="Arial"/>
          <w:spacing w:val="-3"/>
        </w:rPr>
        <w:t xml:space="preserve"> POT, EOT, PBOT, </w:t>
      </w:r>
      <w:r w:rsidR="003C70CD" w:rsidRPr="004068F6">
        <w:rPr>
          <w:rFonts w:cs="Arial"/>
          <w:spacing w:val="-3"/>
        </w:rPr>
        <w:t>Pomca</w:t>
      </w:r>
      <w:r w:rsidRPr="004068F6">
        <w:rPr>
          <w:rFonts w:cs="Arial"/>
          <w:spacing w:val="-3"/>
        </w:rPr>
        <w:t xml:space="preserve">, PORH, </w:t>
      </w:r>
      <w:r w:rsidR="00733FEA" w:rsidRPr="004068F6">
        <w:rPr>
          <w:rFonts w:cs="Arial"/>
          <w:spacing w:val="-3"/>
        </w:rPr>
        <w:t>Pomiuac</w:t>
      </w:r>
      <w:r w:rsidRPr="004068F6">
        <w:rPr>
          <w:rFonts w:cs="Arial"/>
          <w:spacing w:val="-3"/>
        </w:rPr>
        <w:t>).</w:t>
      </w:r>
    </w:p>
    <w:p w14:paraId="2D15B799" w14:textId="77777777" w:rsidR="00234810" w:rsidRPr="004068F6" w:rsidRDefault="00234810" w:rsidP="009420F5">
      <w:pPr>
        <w:tabs>
          <w:tab w:val="left" w:pos="-2268"/>
        </w:tabs>
        <w:suppressAutoHyphens/>
        <w:rPr>
          <w:spacing w:val="-3"/>
        </w:rPr>
      </w:pPr>
    </w:p>
    <w:p w14:paraId="5822EBEC" w14:textId="1775C689" w:rsidR="00FA74AA" w:rsidRPr="004068F6" w:rsidRDefault="00FA74AA" w:rsidP="00C86DA5">
      <w:pPr>
        <w:numPr>
          <w:ilvl w:val="0"/>
          <w:numId w:val="19"/>
        </w:numPr>
        <w:tabs>
          <w:tab w:val="left" w:pos="-2268"/>
        </w:tabs>
        <w:suppressAutoHyphens/>
        <w:ind w:left="567" w:hanging="567"/>
        <w:rPr>
          <w:spacing w:val="-3"/>
        </w:rPr>
      </w:pPr>
      <w:r w:rsidRPr="004068F6">
        <w:rPr>
          <w:spacing w:val="-3"/>
        </w:rPr>
        <w:t>Áreas degradadas (</w:t>
      </w:r>
      <w:r w:rsidR="00041844" w:rsidRPr="004068F6">
        <w:rPr>
          <w:spacing w:val="-3"/>
        </w:rPr>
        <w:t>p. ej.</w:t>
      </w:r>
      <w:r w:rsidRPr="004068F6">
        <w:rPr>
          <w:spacing w:val="-3"/>
        </w:rPr>
        <w:t xml:space="preserve"> por erosión, salinización o contaminación del suelo</w:t>
      </w:r>
      <w:r w:rsidRPr="004068F6">
        <w:rPr>
          <w:rFonts w:cs="Arial"/>
          <w:spacing w:val="-3"/>
        </w:rPr>
        <w:t>), áreas</w:t>
      </w:r>
      <w:r w:rsidRPr="004068F6">
        <w:rPr>
          <w:spacing w:val="-3"/>
        </w:rPr>
        <w:t xml:space="preserve"> en recuperación ambiental o en las que se prevé adelantar acciones de recuperación ambiental y, áreas con conflicto por uso del suelo.</w:t>
      </w:r>
    </w:p>
    <w:p w14:paraId="4EC1A692" w14:textId="77777777" w:rsidR="00FA74AA" w:rsidRPr="004068F6" w:rsidRDefault="00FA74AA">
      <w:pPr>
        <w:tabs>
          <w:tab w:val="left" w:pos="-2268"/>
        </w:tabs>
        <w:suppressAutoHyphens/>
        <w:rPr>
          <w:spacing w:val="-3"/>
        </w:rPr>
      </w:pPr>
    </w:p>
    <w:p w14:paraId="76200B7F" w14:textId="77777777" w:rsidR="00FA74AA" w:rsidRPr="004068F6" w:rsidRDefault="00FA74AA" w:rsidP="00C86DA5">
      <w:pPr>
        <w:numPr>
          <w:ilvl w:val="0"/>
          <w:numId w:val="19"/>
        </w:numPr>
        <w:tabs>
          <w:tab w:val="left" w:pos="-2268"/>
        </w:tabs>
        <w:suppressAutoHyphens/>
        <w:ind w:left="567" w:hanging="567"/>
        <w:rPr>
          <w:spacing w:val="-3"/>
        </w:rPr>
      </w:pPr>
      <w:r w:rsidRPr="004068F6">
        <w:rPr>
          <w:spacing w:val="-3"/>
        </w:rPr>
        <w:lastRenderedPageBreak/>
        <w:t>Áreas susceptibles a eventos amenazantes de origen hidrometeorológico y geológico, como inundaciones, movimientos en masa, avenidas torrenciales, sismos, erupciones volcánicas, tsunamis, entre otros, en los ámbitos nacional, regional y local.</w:t>
      </w:r>
    </w:p>
    <w:p w14:paraId="46660CE2" w14:textId="77777777" w:rsidR="00FA74AA" w:rsidRPr="004068F6" w:rsidRDefault="00FA74AA">
      <w:pPr>
        <w:tabs>
          <w:tab w:val="left" w:pos="-2268"/>
        </w:tabs>
        <w:suppressAutoHyphens/>
        <w:rPr>
          <w:spacing w:val="-3"/>
        </w:rPr>
      </w:pPr>
    </w:p>
    <w:p w14:paraId="54091CC8" w14:textId="77777777" w:rsidR="00FA74AA" w:rsidRPr="004068F6" w:rsidRDefault="00FA74AA" w:rsidP="00C86DA5">
      <w:pPr>
        <w:numPr>
          <w:ilvl w:val="0"/>
          <w:numId w:val="19"/>
        </w:numPr>
        <w:tabs>
          <w:tab w:val="left" w:pos="-2268"/>
        </w:tabs>
        <w:suppressAutoHyphens/>
        <w:ind w:left="567" w:hanging="567"/>
        <w:rPr>
          <w:spacing w:val="-3"/>
        </w:rPr>
      </w:pPr>
      <w:r w:rsidRPr="004068F6">
        <w:rPr>
          <w:spacing w:val="-3"/>
        </w:rPr>
        <w:t>Áreas destinadas a la producción económica agropecuaria, forestal, pesquera, acuícola, minera, entre otras.</w:t>
      </w:r>
    </w:p>
    <w:p w14:paraId="7CA206F5" w14:textId="77777777" w:rsidR="00FA74AA" w:rsidRPr="004068F6" w:rsidRDefault="00FA74AA">
      <w:pPr>
        <w:tabs>
          <w:tab w:val="left" w:pos="-2268"/>
        </w:tabs>
        <w:suppressAutoHyphens/>
        <w:rPr>
          <w:spacing w:val="-3"/>
        </w:rPr>
      </w:pPr>
    </w:p>
    <w:p w14:paraId="6EF1F131" w14:textId="154F08F9" w:rsidR="00FA74AA" w:rsidRPr="004068F6" w:rsidRDefault="00FA74AA" w:rsidP="00C86DA5">
      <w:pPr>
        <w:numPr>
          <w:ilvl w:val="0"/>
          <w:numId w:val="19"/>
        </w:numPr>
        <w:tabs>
          <w:tab w:val="left" w:pos="-2268"/>
        </w:tabs>
        <w:suppressAutoHyphens/>
        <w:ind w:left="567" w:hanging="567"/>
        <w:rPr>
          <w:spacing w:val="-3"/>
        </w:rPr>
      </w:pPr>
      <w:r w:rsidRPr="004068F6">
        <w:rPr>
          <w:spacing w:val="-3"/>
        </w:rPr>
        <w:t>Áreas de importancia social tales como asentamientos humanos</w:t>
      </w:r>
      <w:r w:rsidR="00FB6981" w:rsidRPr="004068F6">
        <w:rPr>
          <w:spacing w:val="-3"/>
        </w:rPr>
        <w:t>,</w:t>
      </w:r>
      <w:r w:rsidRPr="004068F6">
        <w:rPr>
          <w:spacing w:val="-3"/>
        </w:rPr>
        <w:t xml:space="preserve"> y áreas con infraestructura física y social y de importancia histórica cultural</w:t>
      </w:r>
      <w:r w:rsidRPr="004068F6">
        <w:rPr>
          <w:rFonts w:cs="Arial"/>
          <w:spacing w:val="-3"/>
        </w:rPr>
        <w:t xml:space="preserve"> o religiosa</w:t>
      </w:r>
      <w:r w:rsidRPr="004068F6">
        <w:rPr>
          <w:spacing w:val="-3"/>
        </w:rPr>
        <w:t>.</w:t>
      </w:r>
    </w:p>
    <w:p w14:paraId="52BEDF4F" w14:textId="77777777" w:rsidR="00FA74AA" w:rsidRPr="004068F6" w:rsidRDefault="00FA74AA" w:rsidP="00C86DA5">
      <w:pPr>
        <w:rPr>
          <w:spacing w:val="-3"/>
        </w:rPr>
      </w:pPr>
    </w:p>
    <w:p w14:paraId="7F89B2EF" w14:textId="75101F47" w:rsidR="00FA74AA" w:rsidRPr="004068F6" w:rsidRDefault="00FA74AA" w:rsidP="00456AB1">
      <w:pPr>
        <w:numPr>
          <w:ilvl w:val="0"/>
          <w:numId w:val="19"/>
        </w:numPr>
        <w:tabs>
          <w:tab w:val="left" w:pos="-2268"/>
        </w:tabs>
        <w:suppressAutoHyphens/>
        <w:ind w:left="567" w:hanging="567"/>
        <w:rPr>
          <w:rFonts w:cs="Arial"/>
          <w:spacing w:val="-3"/>
        </w:rPr>
      </w:pPr>
      <w:r w:rsidRPr="004068F6">
        <w:rPr>
          <w:rFonts w:cs="Arial"/>
          <w:spacing w:val="-3"/>
        </w:rPr>
        <w:t>Áreas</w:t>
      </w:r>
      <w:r w:rsidRPr="004068F6">
        <w:rPr>
          <w:spacing w:val="-3"/>
        </w:rPr>
        <w:t xml:space="preserve"> de </w:t>
      </w:r>
      <w:r w:rsidRPr="004068F6">
        <w:rPr>
          <w:rFonts w:cs="Arial"/>
          <w:spacing w:val="-3"/>
        </w:rPr>
        <w:t xml:space="preserve">inversión estatal </w:t>
      </w:r>
      <w:r w:rsidRPr="004068F6">
        <w:rPr>
          <w:spacing w:val="-3"/>
        </w:rPr>
        <w:t xml:space="preserve">para </w:t>
      </w:r>
      <w:r w:rsidRPr="004068F6">
        <w:rPr>
          <w:rFonts w:cs="Arial"/>
          <w:spacing w:val="-3"/>
        </w:rPr>
        <w:t>conservación y protección de microcuencas, ya sea adquiridas para tal fin o con fines de reforestación o protección de suelos.</w:t>
      </w:r>
    </w:p>
    <w:p w14:paraId="563378B0" w14:textId="77777777" w:rsidR="00393225" w:rsidRPr="004068F6" w:rsidRDefault="00393225" w:rsidP="00C86DA5">
      <w:pPr>
        <w:tabs>
          <w:tab w:val="left" w:pos="-2268"/>
        </w:tabs>
        <w:suppressAutoHyphens/>
        <w:rPr>
          <w:rFonts w:cs="Arial"/>
          <w:spacing w:val="-3"/>
        </w:rPr>
      </w:pPr>
    </w:p>
    <w:p w14:paraId="56421740" w14:textId="50A3650E" w:rsidR="00FA74AA" w:rsidRPr="004068F6" w:rsidRDefault="00FA74AA" w:rsidP="00456AB1">
      <w:pPr>
        <w:numPr>
          <w:ilvl w:val="0"/>
          <w:numId w:val="19"/>
        </w:numPr>
        <w:tabs>
          <w:tab w:val="left" w:pos="-2268"/>
        </w:tabs>
        <w:suppressAutoHyphens/>
        <w:ind w:left="567" w:hanging="567"/>
        <w:rPr>
          <w:rFonts w:cs="Arial"/>
          <w:spacing w:val="-3"/>
        </w:rPr>
      </w:pPr>
      <w:r w:rsidRPr="004068F6">
        <w:rPr>
          <w:rFonts w:cs="Arial"/>
          <w:spacing w:val="-3"/>
        </w:rPr>
        <w:t xml:space="preserve">Distritos de </w:t>
      </w:r>
      <w:r w:rsidR="00B66978" w:rsidRPr="004068F6">
        <w:rPr>
          <w:rFonts w:cs="Arial"/>
          <w:spacing w:val="-3"/>
        </w:rPr>
        <w:t>r</w:t>
      </w:r>
      <w:r w:rsidRPr="004068F6">
        <w:rPr>
          <w:rFonts w:cs="Arial"/>
          <w:spacing w:val="-3"/>
        </w:rPr>
        <w:t>iego.</w:t>
      </w:r>
    </w:p>
    <w:p w14:paraId="6839D378" w14:textId="77777777" w:rsidR="000341D8" w:rsidRPr="00127BD4" w:rsidRDefault="000341D8" w:rsidP="00127BD4">
      <w:pPr>
        <w:rPr>
          <w:rFonts w:cs="Arial"/>
          <w:spacing w:val="-3"/>
        </w:rPr>
      </w:pPr>
    </w:p>
    <w:p w14:paraId="3921FED4" w14:textId="6EF9D98A" w:rsidR="000341D8" w:rsidRDefault="000341D8" w:rsidP="00456AB1">
      <w:pPr>
        <w:numPr>
          <w:ilvl w:val="0"/>
          <w:numId w:val="19"/>
        </w:numPr>
        <w:tabs>
          <w:tab w:val="left" w:pos="-2268"/>
        </w:tabs>
        <w:suppressAutoHyphens/>
        <w:ind w:left="567" w:hanging="567"/>
        <w:rPr>
          <w:rFonts w:cs="Arial"/>
          <w:spacing w:val="-3"/>
        </w:rPr>
      </w:pPr>
      <w:r w:rsidRPr="004068F6">
        <w:rPr>
          <w:rFonts w:cs="Arial"/>
          <w:spacing w:val="-3"/>
        </w:rPr>
        <w:t>Áreas Arqueológicas Protegidas declaradas por el ICANH</w:t>
      </w:r>
      <w:r w:rsidR="008148BB" w:rsidRPr="004068F6">
        <w:rPr>
          <w:rFonts w:cs="Arial"/>
          <w:spacing w:val="-3"/>
        </w:rPr>
        <w:t>.</w:t>
      </w:r>
    </w:p>
    <w:p w14:paraId="64ADAA22" w14:textId="77777777" w:rsidR="008103B2" w:rsidRPr="00127BD4" w:rsidRDefault="008103B2" w:rsidP="00127BD4">
      <w:pPr>
        <w:rPr>
          <w:rFonts w:cs="Arial"/>
          <w:spacing w:val="-3"/>
        </w:rPr>
      </w:pPr>
    </w:p>
    <w:p w14:paraId="39BEB835" w14:textId="47615E47" w:rsidR="008103B2" w:rsidRPr="004068F6" w:rsidRDefault="00A55FE2" w:rsidP="00456AB1">
      <w:pPr>
        <w:numPr>
          <w:ilvl w:val="0"/>
          <w:numId w:val="19"/>
        </w:numPr>
        <w:tabs>
          <w:tab w:val="left" w:pos="-2268"/>
        </w:tabs>
        <w:suppressAutoHyphens/>
        <w:ind w:left="567" w:hanging="567"/>
        <w:rPr>
          <w:rFonts w:cs="Arial"/>
          <w:spacing w:val="-3"/>
        </w:rPr>
      </w:pPr>
      <w:r>
        <w:rPr>
          <w:rFonts w:cs="Arial"/>
          <w:spacing w:val="-3"/>
        </w:rPr>
        <w:t>Á</w:t>
      </w:r>
      <w:r w:rsidRPr="00270A70">
        <w:rPr>
          <w:rFonts w:cs="Arial"/>
          <w:spacing w:val="-3"/>
        </w:rPr>
        <w:t xml:space="preserve">reas de interés forense </w:t>
      </w:r>
      <w:r w:rsidR="00750AD5">
        <w:rPr>
          <w:rFonts w:cs="Arial"/>
          <w:spacing w:val="-3"/>
        </w:rPr>
        <w:t>determinadas</w:t>
      </w:r>
      <w:r w:rsidR="00270A70" w:rsidRPr="00270A70">
        <w:rPr>
          <w:rFonts w:cs="Arial"/>
          <w:spacing w:val="-3"/>
        </w:rPr>
        <w:t xml:space="preserve"> por la Unidad de Búsqueda de Personas dadas por Desaparecidas (UBPD) o por la Fiscalía General</w:t>
      </w:r>
      <w:r w:rsidR="00B92A9A">
        <w:rPr>
          <w:rFonts w:cs="Arial"/>
          <w:spacing w:val="-3"/>
        </w:rPr>
        <w:t xml:space="preserve"> </w:t>
      </w:r>
      <w:r w:rsidR="00B92A9A" w:rsidRPr="00B92A9A">
        <w:rPr>
          <w:rFonts w:cs="Arial"/>
          <w:spacing w:val="-3"/>
        </w:rPr>
        <w:t>de la Nación</w:t>
      </w:r>
      <w:r w:rsidR="00270A70" w:rsidRPr="00270A70">
        <w:rPr>
          <w:rFonts w:cs="Arial"/>
          <w:spacing w:val="-3"/>
        </w:rPr>
        <w:t>.</w:t>
      </w:r>
    </w:p>
    <w:p w14:paraId="4082CB6A" w14:textId="77777777" w:rsidR="00FA74AA" w:rsidRPr="004068F6" w:rsidRDefault="00FA74AA" w:rsidP="00FA74AA">
      <w:pPr>
        <w:numPr>
          <w:ilvl w:val="12"/>
          <w:numId w:val="0"/>
        </w:numPr>
        <w:tabs>
          <w:tab w:val="left" w:pos="-2268"/>
        </w:tabs>
        <w:suppressAutoHyphens/>
        <w:rPr>
          <w:rFonts w:cs="Arial"/>
          <w:spacing w:val="-3"/>
        </w:rPr>
      </w:pPr>
    </w:p>
    <w:p w14:paraId="74C28130" w14:textId="1A7004DA" w:rsidR="00FA74AA" w:rsidRPr="004068F6" w:rsidRDefault="00C65E6C" w:rsidP="007F1776">
      <w:pPr>
        <w:numPr>
          <w:ilvl w:val="12"/>
          <w:numId w:val="0"/>
        </w:numPr>
        <w:tabs>
          <w:tab w:val="left" w:pos="-2268"/>
        </w:tabs>
        <w:suppressAutoHyphens/>
        <w:rPr>
          <w:rFonts w:cs="Arial"/>
          <w:spacing w:val="-3"/>
        </w:rPr>
      </w:pPr>
      <w:r w:rsidRPr="004068F6">
        <w:rPr>
          <w:rFonts w:cs="Arial"/>
          <w:spacing w:val="-3"/>
        </w:rPr>
        <w:t xml:space="preserve">Asimismo, </w:t>
      </w:r>
      <w:r w:rsidR="00FA74AA" w:rsidRPr="004068F6">
        <w:rPr>
          <w:rFonts w:cs="Arial"/>
          <w:spacing w:val="-3"/>
        </w:rPr>
        <w:t>a partir del</w:t>
      </w:r>
      <w:r w:rsidR="00BA5F4E" w:rsidRPr="004068F6">
        <w:rPr>
          <w:rFonts w:cs="Arial"/>
          <w:spacing w:val="-3"/>
        </w:rPr>
        <w:t xml:space="preserve"> </w:t>
      </w:r>
      <w:r w:rsidR="00FA74AA" w:rsidRPr="004068F6">
        <w:rPr>
          <w:rFonts w:cs="Arial"/>
          <w:spacing w:val="-3"/>
        </w:rPr>
        <w:t>m</w:t>
      </w:r>
      <w:r w:rsidR="00BA5F4E" w:rsidRPr="004068F6">
        <w:rPr>
          <w:rFonts w:cs="Arial"/>
          <w:spacing w:val="-3"/>
        </w:rPr>
        <w:t xml:space="preserve">étodo </w:t>
      </w:r>
      <w:r w:rsidR="00FA74AA" w:rsidRPr="004068F6">
        <w:rPr>
          <w:rFonts w:cs="Arial"/>
          <w:spacing w:val="-3"/>
        </w:rPr>
        <w:t xml:space="preserve">y </w:t>
      </w:r>
      <w:r w:rsidR="00CC40C3" w:rsidRPr="004068F6">
        <w:rPr>
          <w:rFonts w:cs="Arial"/>
          <w:spacing w:val="-3"/>
        </w:rPr>
        <w:t xml:space="preserve">de </w:t>
      </w:r>
      <w:r w:rsidR="00BA5F4E" w:rsidRPr="004068F6">
        <w:rPr>
          <w:rFonts w:cs="Arial"/>
          <w:spacing w:val="-3"/>
        </w:rPr>
        <w:t xml:space="preserve">los </w:t>
      </w:r>
      <w:r w:rsidR="00FA74AA" w:rsidRPr="004068F6">
        <w:rPr>
          <w:rFonts w:cs="Arial"/>
          <w:spacing w:val="-3"/>
        </w:rPr>
        <w:t>criterios elegidos para la construcción de la zonificación ambiental</w:t>
      </w:r>
      <w:r w:rsidRPr="004068F6">
        <w:rPr>
          <w:rFonts w:cs="Arial"/>
          <w:spacing w:val="-3"/>
        </w:rPr>
        <w:t xml:space="preserve"> </w:t>
      </w:r>
      <w:r w:rsidR="00331689" w:rsidRPr="004068F6">
        <w:rPr>
          <w:rFonts w:cs="Arial"/>
          <w:spacing w:val="-3"/>
        </w:rPr>
        <w:t>del área de influencia del proyecto</w:t>
      </w:r>
      <w:r w:rsidRPr="004068F6">
        <w:rPr>
          <w:rFonts w:cs="Arial"/>
          <w:spacing w:val="-3"/>
        </w:rPr>
        <w:t xml:space="preserve"> y de </w:t>
      </w:r>
      <w:r w:rsidR="00331689" w:rsidRPr="004068F6">
        <w:rPr>
          <w:rFonts w:cs="Arial"/>
          <w:spacing w:val="-3"/>
        </w:rPr>
        <w:t xml:space="preserve">las de </w:t>
      </w:r>
      <w:r w:rsidRPr="004068F6">
        <w:rPr>
          <w:spacing w:val="-3"/>
        </w:rPr>
        <w:t>cada uno de los medios</w:t>
      </w:r>
      <w:r w:rsidR="00FA74AA" w:rsidRPr="004068F6">
        <w:rPr>
          <w:rFonts w:cs="Arial"/>
          <w:spacing w:val="-3"/>
        </w:rPr>
        <w:t xml:space="preserve">, se </w:t>
      </w:r>
      <w:r w:rsidR="00103345" w:rsidRPr="004068F6">
        <w:rPr>
          <w:rFonts w:cs="Arial"/>
          <w:spacing w:val="-3"/>
        </w:rPr>
        <w:t>debe</w:t>
      </w:r>
      <w:r w:rsidR="00182386" w:rsidRPr="004068F6">
        <w:rPr>
          <w:rFonts w:cs="Arial"/>
          <w:spacing w:val="-3"/>
        </w:rPr>
        <w:t>n</w:t>
      </w:r>
      <w:r w:rsidR="00FA74AA" w:rsidRPr="004068F6">
        <w:rPr>
          <w:rFonts w:cs="Arial"/>
          <w:spacing w:val="-3"/>
        </w:rPr>
        <w:t xml:space="preserve"> tener en cuenta l</w:t>
      </w:r>
      <w:r w:rsidR="00870C02" w:rsidRPr="004068F6">
        <w:rPr>
          <w:rFonts w:cs="Arial"/>
          <w:spacing w:val="-3"/>
        </w:rPr>
        <w:t>a</w:t>
      </w:r>
      <w:r w:rsidR="00FA74AA" w:rsidRPr="004068F6">
        <w:rPr>
          <w:rFonts w:cs="Arial"/>
          <w:spacing w:val="-3"/>
        </w:rPr>
        <w:t xml:space="preserve">s </w:t>
      </w:r>
      <w:r w:rsidR="001C2C41" w:rsidRPr="004068F6">
        <w:rPr>
          <w:rFonts w:cs="Arial"/>
          <w:spacing w:val="-3"/>
        </w:rPr>
        <w:t>consideraciones</w:t>
      </w:r>
      <w:r w:rsidR="00870C02" w:rsidRPr="004068F6">
        <w:rPr>
          <w:rFonts w:cs="Arial"/>
          <w:spacing w:val="-3"/>
        </w:rPr>
        <w:t xml:space="preserve"> de la </w:t>
      </w:r>
      <w:r w:rsidR="00084B89" w:rsidRPr="004068F6">
        <w:rPr>
          <w:rFonts w:cs="Arial"/>
          <w:spacing w:val="-3"/>
        </w:rPr>
        <w:fldChar w:fldCharType="begin"/>
      </w:r>
      <w:r w:rsidR="00084B89" w:rsidRPr="004068F6">
        <w:rPr>
          <w:rFonts w:cs="Arial"/>
          <w:spacing w:val="-3"/>
        </w:rPr>
        <w:instrText xml:space="preserve"> REF _Ref207724349 \h </w:instrText>
      </w:r>
      <w:r w:rsidR="00084B89" w:rsidRPr="004068F6">
        <w:rPr>
          <w:rFonts w:cs="Arial"/>
          <w:spacing w:val="-3"/>
        </w:rPr>
      </w:r>
      <w:r w:rsidR="00084B89" w:rsidRPr="004068F6">
        <w:rPr>
          <w:rFonts w:cs="Arial"/>
          <w:spacing w:val="-3"/>
        </w:rPr>
        <w:fldChar w:fldCharType="separate"/>
      </w:r>
      <w:r w:rsidR="009C4A81" w:rsidRPr="004068F6">
        <w:t xml:space="preserve">Tabla </w:t>
      </w:r>
      <w:r w:rsidR="009C4A81">
        <w:rPr>
          <w:noProof/>
        </w:rPr>
        <w:t>29</w:t>
      </w:r>
      <w:r w:rsidR="00084B89" w:rsidRPr="004068F6">
        <w:rPr>
          <w:rFonts w:cs="Arial"/>
          <w:spacing w:val="-3"/>
        </w:rPr>
        <w:fldChar w:fldCharType="end"/>
      </w:r>
      <w:r w:rsidR="00FA74AA" w:rsidRPr="004068F6">
        <w:rPr>
          <w:rFonts w:cs="Arial"/>
          <w:spacing w:val="-3"/>
        </w:rPr>
        <w:t>, según aplique:</w:t>
      </w:r>
    </w:p>
    <w:p w14:paraId="3021D527" w14:textId="3460A15B" w:rsidR="00FA74AA" w:rsidRPr="004068F6" w:rsidRDefault="00FA74AA" w:rsidP="00FA74AA">
      <w:pPr>
        <w:numPr>
          <w:ilvl w:val="12"/>
          <w:numId w:val="0"/>
        </w:numPr>
        <w:tabs>
          <w:tab w:val="left" w:pos="-2268"/>
        </w:tabs>
        <w:suppressAutoHyphens/>
        <w:rPr>
          <w:rFonts w:cs="Arial"/>
          <w:spacing w:val="-3"/>
        </w:rPr>
      </w:pPr>
    </w:p>
    <w:p w14:paraId="0A25524D" w14:textId="58B5ACCB" w:rsidR="00870C02" w:rsidRPr="004068F6" w:rsidRDefault="00870C02" w:rsidP="007206F5">
      <w:pPr>
        <w:pStyle w:val="Descripcin"/>
        <w:keepNext/>
        <w:jc w:val="center"/>
        <w:rPr>
          <w:b w:val="0"/>
          <w:bCs w:val="0"/>
        </w:rPr>
      </w:pPr>
      <w:bookmarkStart w:id="3083" w:name="_Ref207724349"/>
      <w:r w:rsidRPr="004068F6">
        <w:t xml:space="preserve">Tabla </w:t>
      </w:r>
      <w:fldSimple w:instr=" SEQ Tabla \* ARABIC ">
        <w:r w:rsidR="009C4A81">
          <w:rPr>
            <w:noProof/>
          </w:rPr>
          <w:t>29</w:t>
        </w:r>
      </w:fldSimple>
      <w:bookmarkEnd w:id="3083"/>
      <w:r w:rsidRPr="004068F6">
        <w:t>.</w:t>
      </w:r>
      <w:r w:rsidRPr="004068F6">
        <w:rPr>
          <w:b w:val="0"/>
          <w:bCs w:val="0"/>
        </w:rPr>
        <w:t xml:space="preserve"> Consideraciones para </w:t>
      </w:r>
      <w:r w:rsidR="00B616CB" w:rsidRPr="004068F6">
        <w:rPr>
          <w:b w:val="0"/>
          <w:bCs w:val="0"/>
        </w:rPr>
        <w:t>definir la zonificación ambiental</w:t>
      </w: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3"/>
        <w:gridCol w:w="7224"/>
      </w:tblGrid>
      <w:tr w:rsidR="00A02651" w:rsidRPr="004068F6" w14:paraId="53BCD2C6" w14:textId="77777777" w:rsidTr="00A12CE0">
        <w:trPr>
          <w:trHeight w:hRule="exact" w:val="567"/>
          <w:tblHeader/>
          <w:jc w:val="center"/>
        </w:trPr>
        <w:tc>
          <w:tcPr>
            <w:tcW w:w="1413" w:type="dxa"/>
            <w:vAlign w:val="center"/>
          </w:tcPr>
          <w:p w14:paraId="2B3021F6" w14:textId="759CE19F" w:rsidR="00A02651" w:rsidRPr="004068F6" w:rsidRDefault="00A02651" w:rsidP="009D5E07">
            <w:pPr>
              <w:numPr>
                <w:ilvl w:val="12"/>
                <w:numId w:val="0"/>
              </w:numPr>
              <w:tabs>
                <w:tab w:val="left" w:pos="-2268"/>
              </w:tabs>
              <w:suppressAutoHyphens/>
              <w:jc w:val="center"/>
              <w:rPr>
                <w:rFonts w:cs="Arial"/>
                <w:b/>
                <w:bCs/>
                <w:spacing w:val="-3"/>
                <w:sz w:val="22"/>
                <w:szCs w:val="22"/>
              </w:rPr>
            </w:pPr>
            <w:r w:rsidRPr="004068F6">
              <w:rPr>
                <w:rFonts w:cs="Arial"/>
                <w:b/>
                <w:bCs/>
                <w:spacing w:val="-3"/>
                <w:sz w:val="22"/>
                <w:szCs w:val="22"/>
              </w:rPr>
              <w:t>Medio</w:t>
            </w:r>
          </w:p>
        </w:tc>
        <w:tc>
          <w:tcPr>
            <w:tcW w:w="1843" w:type="dxa"/>
            <w:vAlign w:val="center"/>
          </w:tcPr>
          <w:p w14:paraId="7D6D75D2" w14:textId="1C6D6108" w:rsidR="00A02651" w:rsidRPr="004068F6" w:rsidRDefault="00A02651" w:rsidP="009D5E07">
            <w:pPr>
              <w:numPr>
                <w:ilvl w:val="12"/>
                <w:numId w:val="0"/>
              </w:numPr>
              <w:tabs>
                <w:tab w:val="left" w:pos="-2268"/>
              </w:tabs>
              <w:suppressAutoHyphens/>
              <w:jc w:val="center"/>
              <w:rPr>
                <w:b/>
                <w:spacing w:val="-3"/>
                <w:sz w:val="22"/>
                <w:szCs w:val="22"/>
              </w:rPr>
            </w:pPr>
            <w:r w:rsidRPr="004068F6">
              <w:rPr>
                <w:rFonts w:cs="Arial"/>
                <w:b/>
                <w:bCs/>
                <w:spacing w:val="-3"/>
                <w:sz w:val="22"/>
                <w:szCs w:val="22"/>
              </w:rPr>
              <w:t>Componente</w:t>
            </w:r>
          </w:p>
        </w:tc>
        <w:tc>
          <w:tcPr>
            <w:tcW w:w="7224" w:type="dxa"/>
            <w:vAlign w:val="center"/>
          </w:tcPr>
          <w:p w14:paraId="6B4E0328" w14:textId="4EEF3BCA" w:rsidR="00A02651" w:rsidRPr="004068F6" w:rsidRDefault="006F0C17" w:rsidP="009D5E07">
            <w:pPr>
              <w:numPr>
                <w:ilvl w:val="12"/>
                <w:numId w:val="0"/>
              </w:numPr>
              <w:tabs>
                <w:tab w:val="left" w:pos="-2268"/>
              </w:tabs>
              <w:suppressAutoHyphens/>
              <w:jc w:val="center"/>
              <w:rPr>
                <w:b/>
                <w:spacing w:val="-3"/>
                <w:sz w:val="22"/>
                <w:szCs w:val="22"/>
              </w:rPr>
            </w:pPr>
            <w:r w:rsidRPr="004068F6">
              <w:rPr>
                <w:rFonts w:cs="Arial"/>
                <w:b/>
                <w:bCs/>
                <w:spacing w:val="-3"/>
                <w:sz w:val="22"/>
                <w:szCs w:val="22"/>
              </w:rPr>
              <w:t>Consideración</w:t>
            </w:r>
          </w:p>
        </w:tc>
      </w:tr>
      <w:tr w:rsidR="004271CF" w:rsidRPr="004068F6" w14:paraId="6C4FE65F" w14:textId="77777777" w:rsidTr="00F33AD5">
        <w:trPr>
          <w:trHeight w:val="588"/>
          <w:jc w:val="center"/>
        </w:trPr>
        <w:tc>
          <w:tcPr>
            <w:tcW w:w="1413" w:type="dxa"/>
            <w:vMerge w:val="restart"/>
            <w:vAlign w:val="center"/>
          </w:tcPr>
          <w:p w14:paraId="51DCF1C3" w14:textId="6A473192" w:rsidR="004271CF" w:rsidRPr="004068F6" w:rsidRDefault="004271CF" w:rsidP="009D5E07">
            <w:pPr>
              <w:numPr>
                <w:ilvl w:val="12"/>
                <w:numId w:val="0"/>
              </w:numPr>
              <w:tabs>
                <w:tab w:val="left" w:pos="-2268"/>
              </w:tabs>
              <w:suppressAutoHyphens/>
              <w:jc w:val="center"/>
              <w:rPr>
                <w:b/>
                <w:spacing w:val="-3"/>
                <w:sz w:val="20"/>
                <w:szCs w:val="20"/>
              </w:rPr>
            </w:pPr>
            <w:r w:rsidRPr="004068F6">
              <w:rPr>
                <w:b/>
                <w:spacing w:val="-3"/>
                <w:sz w:val="20"/>
                <w:szCs w:val="20"/>
              </w:rPr>
              <w:t>Abiótico</w:t>
            </w:r>
          </w:p>
        </w:tc>
        <w:tc>
          <w:tcPr>
            <w:tcW w:w="1843" w:type="dxa"/>
            <w:vAlign w:val="center"/>
          </w:tcPr>
          <w:p w14:paraId="5668359D" w14:textId="05C9EC84" w:rsidR="004271CF" w:rsidRPr="004068F6" w:rsidRDefault="004271CF" w:rsidP="009D5E07">
            <w:pPr>
              <w:numPr>
                <w:ilvl w:val="12"/>
                <w:numId w:val="0"/>
              </w:numPr>
              <w:tabs>
                <w:tab w:val="left" w:pos="-2268"/>
              </w:tabs>
              <w:suppressAutoHyphens/>
              <w:jc w:val="center"/>
              <w:rPr>
                <w:b/>
                <w:spacing w:val="-3"/>
                <w:sz w:val="20"/>
                <w:szCs w:val="20"/>
              </w:rPr>
            </w:pPr>
            <w:r w:rsidRPr="004068F6">
              <w:rPr>
                <w:b/>
                <w:spacing w:val="-3"/>
                <w:sz w:val="20"/>
                <w:szCs w:val="20"/>
              </w:rPr>
              <w:t>Geotécnica</w:t>
            </w:r>
          </w:p>
        </w:tc>
        <w:tc>
          <w:tcPr>
            <w:tcW w:w="7224" w:type="dxa"/>
            <w:vAlign w:val="center"/>
          </w:tcPr>
          <w:p w14:paraId="76DDAB16" w14:textId="3B2F08BF" w:rsidR="004271CF" w:rsidRPr="004068F6" w:rsidRDefault="004271CF" w:rsidP="0053057D">
            <w:pPr>
              <w:tabs>
                <w:tab w:val="left" w:pos="-2268"/>
              </w:tabs>
              <w:suppressAutoHyphens/>
              <w:ind w:left="34"/>
              <w:rPr>
                <w:spacing w:val="-3"/>
                <w:sz w:val="20"/>
                <w:szCs w:val="20"/>
              </w:rPr>
            </w:pPr>
            <w:r w:rsidRPr="004068F6">
              <w:rPr>
                <w:spacing w:val="-3"/>
                <w:sz w:val="20"/>
                <w:szCs w:val="20"/>
              </w:rPr>
              <w:t>El grado de sensibilidad ambiental está asociado a movimientos en masa y a la potencialización de fenómenos erosivos, como consecuencia de la dinámica e interacción de variables físicas tales como pendiente, geomorfología, sismicidad, hidrología, litología, entre otras, con agentes naturales y antrópicos.</w:t>
            </w:r>
          </w:p>
        </w:tc>
      </w:tr>
      <w:tr w:rsidR="004271CF" w:rsidRPr="004068F6" w14:paraId="5295EB06" w14:textId="77777777" w:rsidTr="00F33AD5">
        <w:trPr>
          <w:trHeight w:val="1083"/>
          <w:jc w:val="center"/>
        </w:trPr>
        <w:tc>
          <w:tcPr>
            <w:tcW w:w="1413" w:type="dxa"/>
            <w:vMerge/>
            <w:vAlign w:val="center"/>
          </w:tcPr>
          <w:p w14:paraId="59F5267C" w14:textId="77777777" w:rsidR="004271CF" w:rsidRPr="004068F6" w:rsidRDefault="004271CF" w:rsidP="009D5E07">
            <w:pPr>
              <w:numPr>
                <w:ilvl w:val="12"/>
                <w:numId w:val="0"/>
              </w:numPr>
              <w:tabs>
                <w:tab w:val="left" w:pos="-2268"/>
              </w:tabs>
              <w:suppressAutoHyphens/>
              <w:jc w:val="center"/>
              <w:rPr>
                <w:b/>
                <w:spacing w:val="-3"/>
                <w:sz w:val="20"/>
                <w:szCs w:val="20"/>
              </w:rPr>
            </w:pPr>
          </w:p>
        </w:tc>
        <w:tc>
          <w:tcPr>
            <w:tcW w:w="1843" w:type="dxa"/>
            <w:vAlign w:val="center"/>
          </w:tcPr>
          <w:p w14:paraId="2CD25A69" w14:textId="4716F812" w:rsidR="004271CF" w:rsidRPr="004068F6" w:rsidRDefault="004271CF" w:rsidP="009D5E07">
            <w:pPr>
              <w:numPr>
                <w:ilvl w:val="12"/>
                <w:numId w:val="0"/>
              </w:numPr>
              <w:tabs>
                <w:tab w:val="left" w:pos="-2268"/>
              </w:tabs>
              <w:suppressAutoHyphens/>
              <w:jc w:val="center"/>
              <w:rPr>
                <w:b/>
                <w:spacing w:val="-3"/>
                <w:sz w:val="20"/>
                <w:szCs w:val="20"/>
              </w:rPr>
            </w:pPr>
            <w:r w:rsidRPr="004068F6">
              <w:rPr>
                <w:b/>
                <w:spacing w:val="-3"/>
                <w:sz w:val="20"/>
                <w:szCs w:val="20"/>
              </w:rPr>
              <w:t>Edafológico</w:t>
            </w:r>
          </w:p>
        </w:tc>
        <w:tc>
          <w:tcPr>
            <w:tcW w:w="7224" w:type="dxa"/>
            <w:vAlign w:val="center"/>
          </w:tcPr>
          <w:p w14:paraId="1CE32F2F" w14:textId="3ECD12EC" w:rsidR="004271CF" w:rsidRPr="004068F6" w:rsidRDefault="004271CF" w:rsidP="0053057D">
            <w:pPr>
              <w:numPr>
                <w:ilvl w:val="12"/>
                <w:numId w:val="0"/>
              </w:numPr>
              <w:tabs>
                <w:tab w:val="left" w:pos="-2268"/>
              </w:tabs>
              <w:suppressAutoHyphens/>
              <w:ind w:left="34"/>
              <w:rPr>
                <w:spacing w:val="-3"/>
                <w:sz w:val="20"/>
                <w:szCs w:val="20"/>
              </w:rPr>
            </w:pPr>
            <w:r w:rsidRPr="004068F6">
              <w:rPr>
                <w:spacing w:val="-3"/>
                <w:sz w:val="20"/>
                <w:szCs w:val="20"/>
              </w:rPr>
              <w:t>Tener en cuenta la susceptibilidad del suelo y sus servicios ecosistémicos de acuerdo con sus características físicas, químicas y biológicas. Los mapas de capacidad de uso de las tierras pueden dar una aproximación inicial a la determinación de la susceptibilidad del suelo.</w:t>
            </w:r>
          </w:p>
        </w:tc>
      </w:tr>
      <w:tr w:rsidR="004271CF" w:rsidRPr="004068F6" w14:paraId="68368AD3" w14:textId="77777777" w:rsidTr="00F33AD5">
        <w:trPr>
          <w:trHeight w:val="1254"/>
          <w:jc w:val="center"/>
        </w:trPr>
        <w:tc>
          <w:tcPr>
            <w:tcW w:w="1413" w:type="dxa"/>
            <w:vMerge/>
            <w:vAlign w:val="center"/>
          </w:tcPr>
          <w:p w14:paraId="51B22745" w14:textId="77777777" w:rsidR="004271CF" w:rsidRPr="004068F6" w:rsidRDefault="004271CF" w:rsidP="009D5E07">
            <w:pPr>
              <w:numPr>
                <w:ilvl w:val="12"/>
                <w:numId w:val="0"/>
              </w:numPr>
              <w:tabs>
                <w:tab w:val="left" w:pos="-2268"/>
              </w:tabs>
              <w:suppressAutoHyphens/>
              <w:jc w:val="center"/>
              <w:rPr>
                <w:b/>
                <w:spacing w:val="-3"/>
                <w:sz w:val="20"/>
                <w:szCs w:val="20"/>
              </w:rPr>
            </w:pPr>
          </w:p>
        </w:tc>
        <w:tc>
          <w:tcPr>
            <w:tcW w:w="1843" w:type="dxa"/>
            <w:vAlign w:val="center"/>
          </w:tcPr>
          <w:p w14:paraId="3A995CBB" w14:textId="4349D078" w:rsidR="004271CF" w:rsidRPr="004068F6" w:rsidRDefault="004271CF" w:rsidP="009D5E07">
            <w:pPr>
              <w:numPr>
                <w:ilvl w:val="12"/>
                <w:numId w:val="0"/>
              </w:numPr>
              <w:tabs>
                <w:tab w:val="left" w:pos="-2268"/>
              </w:tabs>
              <w:suppressAutoHyphens/>
              <w:jc w:val="center"/>
              <w:rPr>
                <w:b/>
                <w:spacing w:val="-3"/>
                <w:sz w:val="20"/>
                <w:szCs w:val="20"/>
              </w:rPr>
            </w:pPr>
            <w:r w:rsidRPr="004068F6">
              <w:rPr>
                <w:b/>
                <w:spacing w:val="-3"/>
                <w:sz w:val="20"/>
                <w:szCs w:val="20"/>
              </w:rPr>
              <w:t>Hidrológico</w:t>
            </w:r>
          </w:p>
        </w:tc>
        <w:tc>
          <w:tcPr>
            <w:tcW w:w="7224" w:type="dxa"/>
            <w:vAlign w:val="center"/>
          </w:tcPr>
          <w:p w14:paraId="28874388" w14:textId="273AC522" w:rsidR="004271CF" w:rsidRPr="004068F6" w:rsidRDefault="004271CF" w:rsidP="0053057D">
            <w:pPr>
              <w:numPr>
                <w:ilvl w:val="12"/>
                <w:numId w:val="0"/>
              </w:numPr>
              <w:tabs>
                <w:tab w:val="left" w:pos="-2268"/>
              </w:tabs>
              <w:suppressAutoHyphens/>
              <w:ind w:left="34"/>
              <w:rPr>
                <w:spacing w:val="-3"/>
                <w:sz w:val="20"/>
                <w:szCs w:val="20"/>
              </w:rPr>
            </w:pPr>
            <w:r w:rsidRPr="004068F6">
              <w:rPr>
                <w:spacing w:val="-3"/>
                <w:sz w:val="20"/>
                <w:szCs w:val="20"/>
              </w:rPr>
              <w:t>La sensibilidad ambiental de los cuerpos de agua debe ser establecida incorporando al análisis estimaciones de oferta hídrica disponible neta y de demanda del recurso, haciendo uso de metodologías establecidas por el Ideam (p. ej. el índice de escasez</w:t>
            </w:r>
            <w:r w:rsidRPr="004068F6">
              <w:rPr>
                <w:spacing w:val="-3"/>
                <w:sz w:val="20"/>
                <w:szCs w:val="20"/>
                <w:vertAlign w:val="superscript"/>
              </w:rPr>
              <w:footnoteReference w:id="195"/>
            </w:r>
            <w:r w:rsidRPr="004068F6">
              <w:rPr>
                <w:spacing w:val="-3"/>
                <w:sz w:val="20"/>
                <w:szCs w:val="20"/>
              </w:rPr>
              <w:t>), y considerar, la huella de inundación de los cuerpos de agua sujetos a afectación.</w:t>
            </w:r>
            <w:r w:rsidR="00C94E1A">
              <w:rPr>
                <w:spacing w:val="-3"/>
                <w:sz w:val="20"/>
                <w:szCs w:val="20"/>
              </w:rPr>
              <w:t xml:space="preserve"> </w:t>
            </w:r>
            <w:r w:rsidR="009E7477">
              <w:rPr>
                <w:spacing w:val="-3"/>
                <w:sz w:val="20"/>
                <w:szCs w:val="20"/>
              </w:rPr>
              <w:t>S</w:t>
            </w:r>
            <w:r w:rsidR="0002436B">
              <w:rPr>
                <w:spacing w:val="-3"/>
                <w:sz w:val="20"/>
                <w:szCs w:val="20"/>
              </w:rPr>
              <w:t xml:space="preserve">e deben </w:t>
            </w:r>
            <w:r w:rsidR="0032040C">
              <w:rPr>
                <w:spacing w:val="-3"/>
                <w:sz w:val="20"/>
                <w:szCs w:val="20"/>
              </w:rPr>
              <w:t xml:space="preserve">considerar </w:t>
            </w:r>
            <w:r w:rsidR="0032040C" w:rsidRPr="00C94E1A">
              <w:rPr>
                <w:spacing w:val="-3"/>
                <w:sz w:val="20"/>
                <w:szCs w:val="20"/>
              </w:rPr>
              <w:t>los</w:t>
            </w:r>
            <w:r w:rsidR="00CE2CC8">
              <w:rPr>
                <w:spacing w:val="-3"/>
                <w:sz w:val="20"/>
                <w:szCs w:val="20"/>
              </w:rPr>
              <w:t xml:space="preserve"> resultados </w:t>
            </w:r>
            <w:r w:rsidR="00C94E1A" w:rsidRPr="00C94E1A">
              <w:rPr>
                <w:spacing w:val="-3"/>
                <w:sz w:val="20"/>
                <w:szCs w:val="20"/>
              </w:rPr>
              <w:t xml:space="preserve">del </w:t>
            </w:r>
            <w:r w:rsidR="0002436B">
              <w:rPr>
                <w:spacing w:val="-3"/>
                <w:sz w:val="20"/>
                <w:szCs w:val="20"/>
              </w:rPr>
              <w:t xml:space="preserve">numeral </w:t>
            </w:r>
            <w:r w:rsidR="0032040C" w:rsidRPr="0032040C">
              <w:rPr>
                <w:spacing w:val="-3"/>
                <w:sz w:val="20"/>
                <w:szCs w:val="20"/>
              </w:rPr>
              <w:fldChar w:fldCharType="begin"/>
            </w:r>
            <w:r w:rsidR="0032040C" w:rsidRPr="0032040C">
              <w:rPr>
                <w:spacing w:val="-3"/>
                <w:sz w:val="20"/>
                <w:szCs w:val="20"/>
              </w:rPr>
              <w:instrText xml:space="preserve"> REF _Ref208926634 \r \h  \* MERGEFORMAT </w:instrText>
            </w:r>
            <w:r w:rsidR="0032040C" w:rsidRPr="0032040C">
              <w:rPr>
                <w:spacing w:val="-3"/>
                <w:sz w:val="20"/>
                <w:szCs w:val="20"/>
              </w:rPr>
            </w:r>
            <w:r w:rsidR="0032040C" w:rsidRPr="0032040C">
              <w:rPr>
                <w:spacing w:val="-3"/>
                <w:sz w:val="20"/>
                <w:szCs w:val="20"/>
              </w:rPr>
              <w:fldChar w:fldCharType="separate"/>
            </w:r>
            <w:r w:rsidR="009C4A81">
              <w:rPr>
                <w:spacing w:val="-3"/>
                <w:sz w:val="20"/>
                <w:szCs w:val="20"/>
              </w:rPr>
              <w:t>10.7.3.1</w:t>
            </w:r>
            <w:r w:rsidR="0032040C" w:rsidRPr="0032040C">
              <w:rPr>
                <w:spacing w:val="-3"/>
                <w:sz w:val="20"/>
                <w:szCs w:val="20"/>
              </w:rPr>
              <w:fldChar w:fldCharType="end"/>
            </w:r>
            <w:r w:rsidR="0032040C" w:rsidRPr="0032040C">
              <w:rPr>
                <w:spacing w:val="-3"/>
                <w:sz w:val="20"/>
                <w:szCs w:val="20"/>
              </w:rPr>
              <w:t xml:space="preserve"> </w:t>
            </w:r>
            <w:r w:rsidR="00C94E1A" w:rsidRPr="00C94E1A">
              <w:rPr>
                <w:spacing w:val="-3"/>
                <w:sz w:val="20"/>
                <w:szCs w:val="20"/>
              </w:rPr>
              <w:t xml:space="preserve">para definir </w:t>
            </w:r>
            <w:r w:rsidR="0002436B">
              <w:rPr>
                <w:spacing w:val="-3"/>
                <w:sz w:val="20"/>
                <w:szCs w:val="20"/>
              </w:rPr>
              <w:t xml:space="preserve">la </w:t>
            </w:r>
            <w:r w:rsidR="00C94E1A" w:rsidRPr="00C94E1A">
              <w:rPr>
                <w:spacing w:val="-3"/>
                <w:sz w:val="20"/>
                <w:szCs w:val="20"/>
              </w:rPr>
              <w:t xml:space="preserve">sensibilidad ambiental </w:t>
            </w:r>
            <w:r w:rsidR="0002436B">
              <w:rPr>
                <w:spacing w:val="-3"/>
                <w:sz w:val="20"/>
                <w:szCs w:val="20"/>
              </w:rPr>
              <w:t>d</w:t>
            </w:r>
            <w:r w:rsidR="00C94E1A" w:rsidRPr="00C94E1A">
              <w:rPr>
                <w:spacing w:val="-3"/>
                <w:sz w:val="20"/>
                <w:szCs w:val="20"/>
              </w:rPr>
              <w:t>el componente.</w:t>
            </w:r>
          </w:p>
        </w:tc>
      </w:tr>
      <w:tr w:rsidR="004271CF" w:rsidRPr="004068F6" w14:paraId="6CFBBE2F" w14:textId="77777777" w:rsidTr="00F33AD5">
        <w:trPr>
          <w:trHeight w:val="563"/>
          <w:jc w:val="center"/>
        </w:trPr>
        <w:tc>
          <w:tcPr>
            <w:tcW w:w="1413" w:type="dxa"/>
            <w:vMerge/>
            <w:vAlign w:val="center"/>
          </w:tcPr>
          <w:p w14:paraId="68E5C399" w14:textId="77777777" w:rsidR="004271CF" w:rsidRPr="004068F6" w:rsidRDefault="004271CF" w:rsidP="009D5E07">
            <w:pPr>
              <w:numPr>
                <w:ilvl w:val="12"/>
                <w:numId w:val="0"/>
              </w:numPr>
              <w:tabs>
                <w:tab w:val="left" w:pos="-2268"/>
              </w:tabs>
              <w:suppressAutoHyphens/>
              <w:jc w:val="center"/>
              <w:rPr>
                <w:b/>
                <w:spacing w:val="-3"/>
                <w:sz w:val="20"/>
                <w:szCs w:val="20"/>
              </w:rPr>
            </w:pPr>
          </w:p>
        </w:tc>
        <w:tc>
          <w:tcPr>
            <w:tcW w:w="1843" w:type="dxa"/>
            <w:vAlign w:val="center"/>
          </w:tcPr>
          <w:p w14:paraId="518DBD97" w14:textId="7387F632" w:rsidR="004271CF" w:rsidRPr="004068F6" w:rsidRDefault="004271CF" w:rsidP="009D5E07">
            <w:pPr>
              <w:numPr>
                <w:ilvl w:val="12"/>
                <w:numId w:val="0"/>
              </w:numPr>
              <w:tabs>
                <w:tab w:val="left" w:pos="-2268"/>
              </w:tabs>
              <w:suppressAutoHyphens/>
              <w:jc w:val="center"/>
              <w:rPr>
                <w:b/>
                <w:spacing w:val="-3"/>
                <w:sz w:val="20"/>
                <w:szCs w:val="20"/>
              </w:rPr>
            </w:pPr>
            <w:r w:rsidRPr="004068F6">
              <w:rPr>
                <w:b/>
                <w:spacing w:val="-3"/>
                <w:sz w:val="20"/>
                <w:szCs w:val="20"/>
              </w:rPr>
              <w:t>Hidrogeología</w:t>
            </w:r>
          </w:p>
        </w:tc>
        <w:tc>
          <w:tcPr>
            <w:tcW w:w="7224" w:type="dxa"/>
            <w:vAlign w:val="center"/>
          </w:tcPr>
          <w:p w14:paraId="45AF311B" w14:textId="42FE844C" w:rsidR="004271CF" w:rsidRPr="004068F6" w:rsidRDefault="004271CF" w:rsidP="0053057D">
            <w:pPr>
              <w:numPr>
                <w:ilvl w:val="12"/>
                <w:numId w:val="0"/>
              </w:numPr>
              <w:tabs>
                <w:tab w:val="left" w:pos="-2268"/>
              </w:tabs>
              <w:suppressAutoHyphens/>
              <w:ind w:left="34"/>
              <w:rPr>
                <w:spacing w:val="-3"/>
                <w:sz w:val="20"/>
                <w:szCs w:val="20"/>
              </w:rPr>
            </w:pPr>
            <w:r w:rsidRPr="004068F6">
              <w:rPr>
                <w:spacing w:val="-3"/>
                <w:sz w:val="20"/>
                <w:szCs w:val="20"/>
              </w:rPr>
              <w:t>Los grados de sensibilidad ambiental están relacionados con características físicas como porosidad, permeabilidad, litología y capacidad.</w:t>
            </w:r>
            <w:r w:rsidR="0085249D">
              <w:rPr>
                <w:spacing w:val="-3"/>
                <w:sz w:val="20"/>
                <w:szCs w:val="20"/>
              </w:rPr>
              <w:t xml:space="preserve"> </w:t>
            </w:r>
            <w:r w:rsidR="009E7477">
              <w:rPr>
                <w:spacing w:val="-3"/>
                <w:sz w:val="20"/>
                <w:szCs w:val="20"/>
              </w:rPr>
              <w:t>S</w:t>
            </w:r>
            <w:r w:rsidR="0085249D" w:rsidRPr="0085249D">
              <w:rPr>
                <w:spacing w:val="-3"/>
                <w:sz w:val="20"/>
                <w:szCs w:val="20"/>
              </w:rPr>
              <w:t xml:space="preserve">e deben considerar los resultados del numeral </w:t>
            </w:r>
            <w:r w:rsidR="0085249D" w:rsidRPr="0085249D">
              <w:rPr>
                <w:spacing w:val="-3"/>
                <w:sz w:val="20"/>
                <w:szCs w:val="20"/>
              </w:rPr>
              <w:fldChar w:fldCharType="begin"/>
            </w:r>
            <w:r w:rsidR="0085249D" w:rsidRPr="0085249D">
              <w:rPr>
                <w:spacing w:val="-3"/>
                <w:sz w:val="20"/>
                <w:szCs w:val="20"/>
              </w:rPr>
              <w:instrText xml:space="preserve"> REF _Ref208926634 \r \h  \* MERGEFORMAT </w:instrText>
            </w:r>
            <w:r w:rsidR="0085249D" w:rsidRPr="0085249D">
              <w:rPr>
                <w:spacing w:val="-3"/>
                <w:sz w:val="20"/>
                <w:szCs w:val="20"/>
              </w:rPr>
            </w:r>
            <w:r w:rsidR="0085249D" w:rsidRPr="0085249D">
              <w:rPr>
                <w:spacing w:val="-3"/>
                <w:sz w:val="20"/>
                <w:szCs w:val="20"/>
              </w:rPr>
              <w:fldChar w:fldCharType="separate"/>
            </w:r>
            <w:r w:rsidR="009C4A81">
              <w:rPr>
                <w:spacing w:val="-3"/>
                <w:sz w:val="20"/>
                <w:szCs w:val="20"/>
              </w:rPr>
              <w:t>10.7.3.1</w:t>
            </w:r>
            <w:r w:rsidR="0085249D" w:rsidRPr="0085249D">
              <w:rPr>
                <w:spacing w:val="-3"/>
                <w:sz w:val="20"/>
                <w:szCs w:val="20"/>
              </w:rPr>
              <w:fldChar w:fldCharType="end"/>
            </w:r>
            <w:r w:rsidR="0085249D" w:rsidRPr="0085249D">
              <w:rPr>
                <w:spacing w:val="-3"/>
                <w:sz w:val="20"/>
                <w:szCs w:val="20"/>
              </w:rPr>
              <w:t xml:space="preserve"> para definir la sensibilidad ambiental del componente.</w:t>
            </w:r>
          </w:p>
        </w:tc>
      </w:tr>
      <w:tr w:rsidR="00B775FF" w:rsidRPr="004068F6" w14:paraId="0725152F" w14:textId="77777777" w:rsidTr="00F33AD5">
        <w:trPr>
          <w:trHeight w:val="543"/>
          <w:jc w:val="center"/>
        </w:trPr>
        <w:tc>
          <w:tcPr>
            <w:tcW w:w="1413" w:type="dxa"/>
            <w:vMerge w:val="restart"/>
            <w:vAlign w:val="center"/>
          </w:tcPr>
          <w:p w14:paraId="1333810D" w14:textId="5015A197" w:rsidR="00B775FF" w:rsidRPr="004068F6" w:rsidRDefault="00B775FF" w:rsidP="009D5E07">
            <w:pPr>
              <w:numPr>
                <w:ilvl w:val="12"/>
                <w:numId w:val="0"/>
              </w:numPr>
              <w:tabs>
                <w:tab w:val="left" w:pos="-2268"/>
              </w:tabs>
              <w:suppressAutoHyphens/>
              <w:jc w:val="center"/>
              <w:rPr>
                <w:b/>
                <w:spacing w:val="-3"/>
                <w:sz w:val="20"/>
                <w:szCs w:val="20"/>
              </w:rPr>
            </w:pPr>
            <w:r w:rsidRPr="004068F6">
              <w:rPr>
                <w:b/>
                <w:spacing w:val="-3"/>
                <w:sz w:val="20"/>
                <w:szCs w:val="20"/>
              </w:rPr>
              <w:t>Biótico</w:t>
            </w:r>
          </w:p>
        </w:tc>
        <w:tc>
          <w:tcPr>
            <w:tcW w:w="1843" w:type="dxa"/>
            <w:vAlign w:val="center"/>
          </w:tcPr>
          <w:p w14:paraId="39EA8047" w14:textId="7F6C37FD" w:rsidR="00B775FF" w:rsidRPr="004068F6" w:rsidRDefault="00084B89" w:rsidP="009D5E07">
            <w:pPr>
              <w:numPr>
                <w:ilvl w:val="12"/>
                <w:numId w:val="0"/>
              </w:numPr>
              <w:tabs>
                <w:tab w:val="left" w:pos="-2268"/>
              </w:tabs>
              <w:suppressAutoHyphens/>
              <w:jc w:val="center"/>
              <w:rPr>
                <w:b/>
                <w:spacing w:val="-3"/>
                <w:sz w:val="20"/>
                <w:szCs w:val="20"/>
              </w:rPr>
            </w:pPr>
            <w:r w:rsidRPr="004068F6">
              <w:rPr>
                <w:b/>
                <w:spacing w:val="-3"/>
                <w:sz w:val="20"/>
                <w:szCs w:val="20"/>
              </w:rPr>
              <w:t>Ecosistemas</w:t>
            </w:r>
          </w:p>
        </w:tc>
        <w:tc>
          <w:tcPr>
            <w:tcW w:w="7224" w:type="dxa"/>
            <w:vAlign w:val="center"/>
          </w:tcPr>
          <w:p w14:paraId="7447F23D" w14:textId="07408254" w:rsidR="00B775FF" w:rsidRPr="004068F6" w:rsidRDefault="00B775FF" w:rsidP="0053057D">
            <w:pPr>
              <w:numPr>
                <w:ilvl w:val="12"/>
                <w:numId w:val="0"/>
              </w:numPr>
              <w:tabs>
                <w:tab w:val="left" w:pos="-2268"/>
              </w:tabs>
              <w:suppressAutoHyphens/>
              <w:ind w:left="34"/>
              <w:rPr>
                <w:spacing w:val="-3"/>
                <w:sz w:val="20"/>
                <w:szCs w:val="20"/>
              </w:rPr>
            </w:pPr>
            <w:r w:rsidRPr="004068F6">
              <w:rPr>
                <w:spacing w:val="-3"/>
                <w:sz w:val="20"/>
                <w:szCs w:val="20"/>
              </w:rPr>
              <w:t>Áreas de importancia para la conectividad ecológica potencial y para la conformación y conservación de corredores biológicos.</w:t>
            </w:r>
          </w:p>
        </w:tc>
      </w:tr>
      <w:tr w:rsidR="00B775FF" w:rsidRPr="004068F6" w14:paraId="17A7E638" w14:textId="77777777" w:rsidTr="00F33AD5">
        <w:trPr>
          <w:trHeight w:val="565"/>
          <w:jc w:val="center"/>
        </w:trPr>
        <w:tc>
          <w:tcPr>
            <w:tcW w:w="1413" w:type="dxa"/>
            <w:vMerge/>
            <w:vAlign w:val="center"/>
          </w:tcPr>
          <w:p w14:paraId="7241A29B" w14:textId="77777777" w:rsidR="00B775FF" w:rsidRPr="004068F6" w:rsidRDefault="00B775FF" w:rsidP="009D5E07">
            <w:pPr>
              <w:numPr>
                <w:ilvl w:val="12"/>
                <w:numId w:val="0"/>
              </w:numPr>
              <w:tabs>
                <w:tab w:val="left" w:pos="-2268"/>
              </w:tabs>
              <w:suppressAutoHyphens/>
              <w:jc w:val="center"/>
              <w:rPr>
                <w:b/>
                <w:spacing w:val="-3"/>
                <w:sz w:val="20"/>
                <w:szCs w:val="20"/>
              </w:rPr>
            </w:pPr>
          </w:p>
        </w:tc>
        <w:tc>
          <w:tcPr>
            <w:tcW w:w="1843" w:type="dxa"/>
            <w:vAlign w:val="center"/>
          </w:tcPr>
          <w:p w14:paraId="5B080453" w14:textId="75ACE496" w:rsidR="00B775FF" w:rsidRPr="004068F6" w:rsidRDefault="00084B89" w:rsidP="009D5E07">
            <w:pPr>
              <w:numPr>
                <w:ilvl w:val="12"/>
                <w:numId w:val="0"/>
              </w:numPr>
              <w:tabs>
                <w:tab w:val="left" w:pos="-2268"/>
              </w:tabs>
              <w:suppressAutoHyphens/>
              <w:jc w:val="center"/>
              <w:rPr>
                <w:b/>
                <w:spacing w:val="-3"/>
                <w:sz w:val="20"/>
                <w:szCs w:val="20"/>
              </w:rPr>
            </w:pPr>
            <w:r w:rsidRPr="004068F6">
              <w:rPr>
                <w:b/>
                <w:spacing w:val="-3"/>
                <w:sz w:val="20"/>
                <w:szCs w:val="20"/>
              </w:rPr>
              <w:t>Ecosistemas</w:t>
            </w:r>
          </w:p>
        </w:tc>
        <w:tc>
          <w:tcPr>
            <w:tcW w:w="7224" w:type="dxa"/>
            <w:vAlign w:val="center"/>
          </w:tcPr>
          <w:p w14:paraId="5D9AD345" w14:textId="59E35DB0" w:rsidR="00B775FF" w:rsidRPr="004068F6" w:rsidRDefault="00B775FF" w:rsidP="0053057D">
            <w:pPr>
              <w:tabs>
                <w:tab w:val="left" w:pos="-2268"/>
              </w:tabs>
              <w:suppressAutoHyphens/>
              <w:ind w:left="34"/>
              <w:rPr>
                <w:spacing w:val="-3"/>
                <w:sz w:val="20"/>
                <w:szCs w:val="20"/>
              </w:rPr>
            </w:pPr>
            <w:r w:rsidRPr="004068F6">
              <w:rPr>
                <w:spacing w:val="-3"/>
                <w:sz w:val="20"/>
                <w:szCs w:val="20"/>
              </w:rPr>
              <w:t>Coberturas de la tierra de preferencia, paso o establecimiento temporal de especies con comportamiento migratorio.</w:t>
            </w:r>
          </w:p>
        </w:tc>
      </w:tr>
      <w:tr w:rsidR="00B775FF" w:rsidRPr="004068F6" w14:paraId="33077FC0" w14:textId="77777777" w:rsidTr="00F33AD5">
        <w:trPr>
          <w:trHeight w:val="843"/>
          <w:jc w:val="center"/>
        </w:trPr>
        <w:tc>
          <w:tcPr>
            <w:tcW w:w="1413" w:type="dxa"/>
            <w:vMerge/>
            <w:vAlign w:val="center"/>
          </w:tcPr>
          <w:p w14:paraId="1B3A9A96" w14:textId="77777777" w:rsidR="00B775FF" w:rsidRPr="004068F6" w:rsidRDefault="00B775FF" w:rsidP="009D5E07">
            <w:pPr>
              <w:numPr>
                <w:ilvl w:val="12"/>
                <w:numId w:val="0"/>
              </w:numPr>
              <w:tabs>
                <w:tab w:val="left" w:pos="-2268"/>
              </w:tabs>
              <w:suppressAutoHyphens/>
              <w:jc w:val="center"/>
              <w:rPr>
                <w:b/>
                <w:spacing w:val="-3"/>
                <w:sz w:val="20"/>
                <w:szCs w:val="20"/>
              </w:rPr>
            </w:pPr>
          </w:p>
        </w:tc>
        <w:tc>
          <w:tcPr>
            <w:tcW w:w="1843" w:type="dxa"/>
            <w:vAlign w:val="center"/>
          </w:tcPr>
          <w:p w14:paraId="324921EB" w14:textId="3543CAC4" w:rsidR="00B775FF" w:rsidRPr="004068F6" w:rsidRDefault="00310E55" w:rsidP="009D5E07">
            <w:pPr>
              <w:numPr>
                <w:ilvl w:val="12"/>
                <w:numId w:val="0"/>
              </w:numPr>
              <w:tabs>
                <w:tab w:val="left" w:pos="-2268"/>
              </w:tabs>
              <w:suppressAutoHyphens/>
              <w:jc w:val="center"/>
              <w:rPr>
                <w:b/>
                <w:spacing w:val="-3"/>
                <w:sz w:val="20"/>
                <w:szCs w:val="20"/>
              </w:rPr>
            </w:pPr>
            <w:r w:rsidRPr="004068F6">
              <w:rPr>
                <w:b/>
                <w:spacing w:val="-3"/>
                <w:sz w:val="20"/>
                <w:szCs w:val="20"/>
              </w:rPr>
              <w:t>Ecosistemas terrestres</w:t>
            </w:r>
          </w:p>
        </w:tc>
        <w:tc>
          <w:tcPr>
            <w:tcW w:w="7224" w:type="dxa"/>
            <w:vAlign w:val="center"/>
          </w:tcPr>
          <w:p w14:paraId="3AA6FB67" w14:textId="028E2001" w:rsidR="00B775FF" w:rsidRPr="004068F6" w:rsidRDefault="00B775FF" w:rsidP="0053057D">
            <w:pPr>
              <w:tabs>
                <w:tab w:val="left" w:pos="-2268"/>
              </w:tabs>
              <w:suppressAutoHyphens/>
              <w:ind w:left="34"/>
              <w:rPr>
                <w:spacing w:val="-3"/>
                <w:sz w:val="20"/>
                <w:szCs w:val="20"/>
              </w:rPr>
            </w:pPr>
            <w:r w:rsidRPr="00127BD4">
              <w:rPr>
                <w:spacing w:val="-3"/>
                <w:sz w:val="20"/>
                <w:szCs w:val="20"/>
              </w:rPr>
              <w:t xml:space="preserve">Áreas de bosque seco tropical. </w:t>
            </w:r>
            <w:r w:rsidRPr="004068F6">
              <w:rPr>
                <w:spacing w:val="-3"/>
                <w:sz w:val="20"/>
                <w:szCs w:val="20"/>
              </w:rPr>
              <w:t>Áreas delimitadas como ecosistema estratégico de Bosque seco tropical por la autoridad competente (CAR, Minambiente e institutos de investigación adscritos y vinculados a Minambiente).</w:t>
            </w:r>
          </w:p>
        </w:tc>
      </w:tr>
      <w:tr w:rsidR="00B775FF" w:rsidRPr="004068F6" w14:paraId="7C000369" w14:textId="77777777" w:rsidTr="00F33AD5">
        <w:trPr>
          <w:trHeight w:val="1266"/>
          <w:jc w:val="center"/>
        </w:trPr>
        <w:tc>
          <w:tcPr>
            <w:tcW w:w="1413" w:type="dxa"/>
            <w:vMerge/>
            <w:vAlign w:val="center"/>
          </w:tcPr>
          <w:p w14:paraId="3AE42B7B" w14:textId="77777777" w:rsidR="00B775FF" w:rsidRPr="004068F6" w:rsidRDefault="00B775FF" w:rsidP="009D5E07">
            <w:pPr>
              <w:numPr>
                <w:ilvl w:val="12"/>
                <w:numId w:val="0"/>
              </w:numPr>
              <w:tabs>
                <w:tab w:val="left" w:pos="-2268"/>
              </w:tabs>
              <w:suppressAutoHyphens/>
              <w:jc w:val="center"/>
              <w:rPr>
                <w:b/>
                <w:spacing w:val="-3"/>
                <w:sz w:val="20"/>
                <w:szCs w:val="20"/>
              </w:rPr>
            </w:pPr>
          </w:p>
        </w:tc>
        <w:tc>
          <w:tcPr>
            <w:tcW w:w="1843" w:type="dxa"/>
            <w:vAlign w:val="center"/>
          </w:tcPr>
          <w:p w14:paraId="5E64F040" w14:textId="04CA3C1E" w:rsidR="00B775FF" w:rsidRPr="004068F6" w:rsidRDefault="00084B89" w:rsidP="009D5E07">
            <w:pPr>
              <w:numPr>
                <w:ilvl w:val="12"/>
                <w:numId w:val="0"/>
              </w:numPr>
              <w:tabs>
                <w:tab w:val="left" w:pos="-2268"/>
              </w:tabs>
              <w:suppressAutoHyphens/>
              <w:jc w:val="center"/>
              <w:rPr>
                <w:b/>
                <w:spacing w:val="-3"/>
                <w:sz w:val="20"/>
                <w:szCs w:val="20"/>
              </w:rPr>
            </w:pPr>
            <w:r w:rsidRPr="004068F6">
              <w:rPr>
                <w:b/>
                <w:spacing w:val="-3"/>
                <w:sz w:val="20"/>
                <w:szCs w:val="20"/>
              </w:rPr>
              <w:t>Ecosistemas</w:t>
            </w:r>
          </w:p>
        </w:tc>
        <w:tc>
          <w:tcPr>
            <w:tcW w:w="7224" w:type="dxa"/>
            <w:vAlign w:val="center"/>
          </w:tcPr>
          <w:p w14:paraId="5E4FE27F" w14:textId="216E6B88" w:rsidR="00B775FF" w:rsidRDefault="00B775FF" w:rsidP="0053057D">
            <w:pPr>
              <w:tabs>
                <w:tab w:val="left" w:pos="-2268"/>
              </w:tabs>
              <w:suppressAutoHyphens/>
              <w:ind w:left="34"/>
              <w:rPr>
                <w:spacing w:val="-3"/>
                <w:sz w:val="20"/>
                <w:szCs w:val="20"/>
              </w:rPr>
            </w:pPr>
            <w:r w:rsidRPr="004068F6">
              <w:rPr>
                <w:spacing w:val="-3"/>
                <w:sz w:val="20"/>
                <w:szCs w:val="20"/>
              </w:rPr>
              <w:t>Ecosistemas de la Lista roja de ecosistemas de Colombia (versión 2.0 - IUCN) en las categorías de amenaza “En peligro” (EN) y “Peligro crítico” (CR). Ecosistemas identificados a la escala que establezcan los términos de referencia para la caracterización del medio biótico y corroboración en campo. Estos ecosistemas requieren acciones de gestión y monitoreo especial.</w:t>
            </w:r>
          </w:p>
          <w:p w14:paraId="2A3A581B" w14:textId="77777777" w:rsidR="00B31C30" w:rsidRDefault="00B31C30" w:rsidP="0053057D">
            <w:pPr>
              <w:tabs>
                <w:tab w:val="left" w:pos="-2268"/>
              </w:tabs>
              <w:suppressAutoHyphens/>
              <w:ind w:left="34"/>
              <w:rPr>
                <w:spacing w:val="-3"/>
                <w:sz w:val="20"/>
                <w:szCs w:val="20"/>
              </w:rPr>
            </w:pPr>
          </w:p>
          <w:p w14:paraId="6161B23F" w14:textId="07CB4B65" w:rsidR="002B5C7D" w:rsidRPr="004068F6" w:rsidRDefault="00206181" w:rsidP="00FF5FA2">
            <w:pPr>
              <w:tabs>
                <w:tab w:val="left" w:pos="-2268"/>
              </w:tabs>
              <w:suppressAutoHyphens/>
              <w:ind w:left="34"/>
              <w:rPr>
                <w:spacing w:val="-3"/>
                <w:sz w:val="20"/>
                <w:szCs w:val="20"/>
              </w:rPr>
            </w:pPr>
            <w:r>
              <w:rPr>
                <w:spacing w:val="-3"/>
                <w:sz w:val="20"/>
                <w:szCs w:val="20"/>
              </w:rPr>
              <w:t>M</w:t>
            </w:r>
            <w:r w:rsidR="009668F5" w:rsidRPr="009668F5">
              <w:rPr>
                <w:spacing w:val="-3"/>
                <w:sz w:val="20"/>
                <w:szCs w:val="20"/>
              </w:rPr>
              <w:t>odel</w:t>
            </w:r>
            <w:r w:rsidR="001E2849">
              <w:rPr>
                <w:spacing w:val="-3"/>
                <w:sz w:val="20"/>
                <w:szCs w:val="20"/>
              </w:rPr>
              <w:t>iz</w:t>
            </w:r>
            <w:r w:rsidR="009668F5" w:rsidRPr="009668F5">
              <w:rPr>
                <w:spacing w:val="-3"/>
                <w:sz w:val="20"/>
                <w:szCs w:val="20"/>
              </w:rPr>
              <w:t xml:space="preserve">aciones sobre la distribución potencial de las especies de fauna o flora sensibles </w:t>
            </w:r>
            <w:r w:rsidR="00536DB1">
              <w:rPr>
                <w:spacing w:val="-3"/>
                <w:sz w:val="20"/>
                <w:szCs w:val="20"/>
              </w:rPr>
              <w:t xml:space="preserve">en ecosistemas </w:t>
            </w:r>
            <w:r w:rsidR="009668F5" w:rsidRPr="009668F5">
              <w:rPr>
                <w:spacing w:val="-3"/>
                <w:sz w:val="20"/>
                <w:szCs w:val="20"/>
              </w:rPr>
              <w:t xml:space="preserve">ante cambios de temperatura y precipitación </w:t>
            </w:r>
            <w:r w:rsidR="008048FF">
              <w:rPr>
                <w:spacing w:val="-3"/>
                <w:sz w:val="20"/>
                <w:szCs w:val="20"/>
              </w:rPr>
              <w:t xml:space="preserve">(desarrolladas en el numeral </w:t>
            </w:r>
            <w:r w:rsidR="008048FF" w:rsidRPr="0085249D">
              <w:rPr>
                <w:spacing w:val="-3"/>
                <w:sz w:val="20"/>
                <w:szCs w:val="20"/>
              </w:rPr>
              <w:fldChar w:fldCharType="begin"/>
            </w:r>
            <w:r w:rsidR="008048FF" w:rsidRPr="0085249D">
              <w:rPr>
                <w:spacing w:val="-3"/>
                <w:sz w:val="20"/>
                <w:szCs w:val="20"/>
              </w:rPr>
              <w:instrText xml:space="preserve"> REF _Ref208926634 \r \h  \* MERGEFORMAT </w:instrText>
            </w:r>
            <w:r w:rsidR="008048FF" w:rsidRPr="0085249D">
              <w:rPr>
                <w:spacing w:val="-3"/>
                <w:sz w:val="20"/>
                <w:szCs w:val="20"/>
              </w:rPr>
            </w:r>
            <w:r w:rsidR="008048FF" w:rsidRPr="0085249D">
              <w:rPr>
                <w:spacing w:val="-3"/>
                <w:sz w:val="20"/>
                <w:szCs w:val="20"/>
              </w:rPr>
              <w:fldChar w:fldCharType="separate"/>
            </w:r>
            <w:r w:rsidR="009C4A81">
              <w:rPr>
                <w:spacing w:val="-3"/>
                <w:sz w:val="20"/>
                <w:szCs w:val="20"/>
              </w:rPr>
              <w:t>10.7.3.1</w:t>
            </w:r>
            <w:r w:rsidR="008048FF" w:rsidRPr="0085249D">
              <w:rPr>
                <w:spacing w:val="-3"/>
                <w:sz w:val="20"/>
                <w:szCs w:val="20"/>
              </w:rPr>
              <w:fldChar w:fldCharType="end"/>
            </w:r>
            <w:r w:rsidR="008048FF">
              <w:rPr>
                <w:spacing w:val="-3"/>
                <w:sz w:val="20"/>
                <w:szCs w:val="20"/>
              </w:rPr>
              <w:t>)</w:t>
            </w:r>
            <w:r w:rsidR="009668F5" w:rsidRPr="009668F5">
              <w:rPr>
                <w:spacing w:val="-3"/>
                <w:sz w:val="20"/>
                <w:szCs w:val="20"/>
              </w:rPr>
              <w:t>.</w:t>
            </w:r>
          </w:p>
        </w:tc>
      </w:tr>
      <w:tr w:rsidR="009A45B7" w:rsidRPr="004068F6" w14:paraId="375C5DB9" w14:textId="77777777" w:rsidTr="00F33AD5">
        <w:trPr>
          <w:jc w:val="center"/>
        </w:trPr>
        <w:tc>
          <w:tcPr>
            <w:tcW w:w="1413" w:type="dxa"/>
            <w:vMerge w:val="restart"/>
            <w:vAlign w:val="center"/>
          </w:tcPr>
          <w:p w14:paraId="5A5A910F" w14:textId="136F9291" w:rsidR="009A45B7" w:rsidRPr="004068F6" w:rsidRDefault="009A45B7" w:rsidP="009D5E07">
            <w:pPr>
              <w:numPr>
                <w:ilvl w:val="12"/>
                <w:numId w:val="0"/>
              </w:numPr>
              <w:tabs>
                <w:tab w:val="left" w:pos="-2268"/>
              </w:tabs>
              <w:suppressAutoHyphens/>
              <w:jc w:val="center"/>
              <w:rPr>
                <w:b/>
                <w:sz w:val="20"/>
                <w:szCs w:val="20"/>
              </w:rPr>
            </w:pPr>
            <w:r w:rsidRPr="004068F6">
              <w:rPr>
                <w:b/>
                <w:sz w:val="20"/>
                <w:szCs w:val="20"/>
              </w:rPr>
              <w:t>Socioeconómico</w:t>
            </w:r>
          </w:p>
        </w:tc>
        <w:tc>
          <w:tcPr>
            <w:tcW w:w="1843" w:type="dxa"/>
            <w:vAlign w:val="center"/>
          </w:tcPr>
          <w:p w14:paraId="5F7BE130" w14:textId="77777777" w:rsidR="009A45B7" w:rsidRPr="004068F6" w:rsidRDefault="009A45B7" w:rsidP="009D5E07">
            <w:pPr>
              <w:numPr>
                <w:ilvl w:val="12"/>
                <w:numId w:val="0"/>
              </w:numPr>
              <w:tabs>
                <w:tab w:val="left" w:pos="-2268"/>
              </w:tabs>
              <w:suppressAutoHyphens/>
              <w:jc w:val="center"/>
              <w:rPr>
                <w:b/>
                <w:spacing w:val="-3"/>
                <w:sz w:val="20"/>
                <w:szCs w:val="20"/>
              </w:rPr>
            </w:pPr>
          </w:p>
        </w:tc>
        <w:tc>
          <w:tcPr>
            <w:tcW w:w="7224" w:type="dxa"/>
            <w:vAlign w:val="center"/>
          </w:tcPr>
          <w:p w14:paraId="2E7AC821" w14:textId="79660791" w:rsidR="009A45B7" w:rsidRPr="004068F6" w:rsidRDefault="00784B9A" w:rsidP="009A45B7">
            <w:pPr>
              <w:numPr>
                <w:ilvl w:val="12"/>
                <w:numId w:val="0"/>
              </w:numPr>
              <w:tabs>
                <w:tab w:val="left" w:pos="-2268"/>
              </w:tabs>
              <w:suppressAutoHyphens/>
              <w:ind w:left="34"/>
              <w:rPr>
                <w:spacing w:val="-3"/>
                <w:sz w:val="20"/>
                <w:szCs w:val="20"/>
              </w:rPr>
            </w:pPr>
            <w:r w:rsidRPr="004068F6">
              <w:rPr>
                <w:spacing w:val="-3"/>
                <w:sz w:val="20"/>
                <w:szCs w:val="20"/>
              </w:rPr>
              <w:t>I</w:t>
            </w:r>
            <w:r w:rsidR="009A45B7" w:rsidRPr="004068F6">
              <w:rPr>
                <w:spacing w:val="-3"/>
                <w:sz w:val="20"/>
                <w:szCs w:val="20"/>
              </w:rPr>
              <w:t xml:space="preserve">nformación cartográfica oficial sobre áreas de interés forense emitida por la Unidad de Búsqueda de Personas dadas por Desaparecidas (UBPD) o por la Fiscalía </w:t>
            </w:r>
            <w:r w:rsidR="006218B2" w:rsidRPr="004068F6">
              <w:rPr>
                <w:spacing w:val="-3"/>
                <w:sz w:val="20"/>
                <w:szCs w:val="20"/>
              </w:rPr>
              <w:t xml:space="preserve">General </w:t>
            </w:r>
            <w:r w:rsidR="009A45B7" w:rsidRPr="004068F6">
              <w:rPr>
                <w:spacing w:val="-3"/>
                <w:sz w:val="20"/>
                <w:szCs w:val="20"/>
              </w:rPr>
              <w:t xml:space="preserve">de la </w:t>
            </w:r>
            <w:r w:rsidR="00EC0CE7" w:rsidRPr="004068F6">
              <w:rPr>
                <w:spacing w:val="-3"/>
                <w:sz w:val="20"/>
                <w:szCs w:val="20"/>
              </w:rPr>
              <w:t>N</w:t>
            </w:r>
            <w:r w:rsidR="009A45B7" w:rsidRPr="004068F6">
              <w:rPr>
                <w:spacing w:val="-3"/>
                <w:sz w:val="20"/>
                <w:szCs w:val="20"/>
              </w:rPr>
              <w:t xml:space="preserve">ación para el área de </w:t>
            </w:r>
            <w:r w:rsidRPr="004068F6">
              <w:rPr>
                <w:spacing w:val="-3"/>
                <w:sz w:val="20"/>
                <w:szCs w:val="20"/>
              </w:rPr>
              <w:t xml:space="preserve">influencia </w:t>
            </w:r>
            <w:r w:rsidR="009A45B7" w:rsidRPr="004068F6">
              <w:rPr>
                <w:spacing w:val="-3"/>
                <w:sz w:val="20"/>
                <w:szCs w:val="20"/>
              </w:rPr>
              <w:t>del proyecto, obra o actividad</w:t>
            </w:r>
            <w:r w:rsidR="009A45B7" w:rsidRPr="00127BD4">
              <w:rPr>
                <w:spacing w:val="-3"/>
                <w:sz w:val="20"/>
                <w:szCs w:val="20"/>
              </w:rPr>
              <w:t>.</w:t>
            </w:r>
          </w:p>
        </w:tc>
      </w:tr>
      <w:tr w:rsidR="009A45B7" w:rsidRPr="004068F6" w14:paraId="1DF7017D" w14:textId="77777777" w:rsidTr="00F33AD5">
        <w:trPr>
          <w:jc w:val="center"/>
        </w:trPr>
        <w:tc>
          <w:tcPr>
            <w:tcW w:w="1413" w:type="dxa"/>
            <w:vMerge/>
            <w:vAlign w:val="center"/>
          </w:tcPr>
          <w:p w14:paraId="197DB03C" w14:textId="16836B4B" w:rsidR="009A45B7" w:rsidRPr="004068F6" w:rsidRDefault="009A45B7" w:rsidP="009D5E07">
            <w:pPr>
              <w:numPr>
                <w:ilvl w:val="12"/>
                <w:numId w:val="0"/>
              </w:numPr>
              <w:tabs>
                <w:tab w:val="left" w:pos="-2268"/>
              </w:tabs>
              <w:suppressAutoHyphens/>
              <w:jc w:val="center"/>
              <w:rPr>
                <w:b/>
                <w:sz w:val="20"/>
                <w:szCs w:val="20"/>
              </w:rPr>
            </w:pPr>
          </w:p>
        </w:tc>
        <w:tc>
          <w:tcPr>
            <w:tcW w:w="1843" w:type="dxa"/>
            <w:vAlign w:val="center"/>
          </w:tcPr>
          <w:p w14:paraId="5045CDC9" w14:textId="259ED522" w:rsidR="009A45B7" w:rsidRPr="004068F6" w:rsidRDefault="009A45B7" w:rsidP="009D5E07">
            <w:pPr>
              <w:numPr>
                <w:ilvl w:val="12"/>
                <w:numId w:val="0"/>
              </w:numPr>
              <w:tabs>
                <w:tab w:val="left" w:pos="-2268"/>
              </w:tabs>
              <w:suppressAutoHyphens/>
              <w:jc w:val="center"/>
              <w:rPr>
                <w:b/>
                <w:spacing w:val="-3"/>
                <w:sz w:val="20"/>
                <w:szCs w:val="20"/>
              </w:rPr>
            </w:pPr>
            <w:r w:rsidRPr="004068F6">
              <w:rPr>
                <w:b/>
                <w:spacing w:val="-3"/>
                <w:sz w:val="20"/>
                <w:szCs w:val="20"/>
              </w:rPr>
              <w:t>Demográfico</w:t>
            </w:r>
          </w:p>
        </w:tc>
        <w:tc>
          <w:tcPr>
            <w:tcW w:w="7224" w:type="dxa"/>
            <w:vAlign w:val="center"/>
          </w:tcPr>
          <w:p w14:paraId="20F47ADA" w14:textId="795B952D" w:rsidR="009A45B7" w:rsidRPr="004068F6" w:rsidRDefault="009A45B7" w:rsidP="0053057D">
            <w:pPr>
              <w:numPr>
                <w:ilvl w:val="12"/>
                <w:numId w:val="0"/>
              </w:numPr>
              <w:tabs>
                <w:tab w:val="left" w:pos="-2268"/>
              </w:tabs>
              <w:suppressAutoHyphens/>
              <w:ind w:left="34"/>
              <w:rPr>
                <w:spacing w:val="-3"/>
                <w:sz w:val="20"/>
                <w:szCs w:val="20"/>
              </w:rPr>
            </w:pPr>
            <w:r w:rsidRPr="004068F6">
              <w:rPr>
                <w:spacing w:val="-3"/>
                <w:sz w:val="20"/>
                <w:szCs w:val="20"/>
              </w:rPr>
              <w:t>Grupos poblaciones, los niveles de concentración de la población, su composición y distribución. Importante analizar cómo las variables demográficas generan presión sobre los recursos naturales y la infraestructura social para determinar su sensibilidad ambiental.</w:t>
            </w:r>
          </w:p>
        </w:tc>
      </w:tr>
      <w:tr w:rsidR="009A45B7" w:rsidRPr="004068F6" w14:paraId="5C3CBD3A" w14:textId="77777777" w:rsidTr="00F33AD5">
        <w:trPr>
          <w:jc w:val="center"/>
        </w:trPr>
        <w:tc>
          <w:tcPr>
            <w:tcW w:w="1413" w:type="dxa"/>
            <w:vMerge/>
            <w:vAlign w:val="center"/>
          </w:tcPr>
          <w:p w14:paraId="3B23A702" w14:textId="77777777" w:rsidR="009A45B7" w:rsidRPr="004068F6" w:rsidRDefault="009A45B7" w:rsidP="009D5E07">
            <w:pPr>
              <w:numPr>
                <w:ilvl w:val="12"/>
                <w:numId w:val="0"/>
              </w:numPr>
              <w:tabs>
                <w:tab w:val="left" w:pos="-2268"/>
              </w:tabs>
              <w:suppressAutoHyphens/>
              <w:jc w:val="center"/>
              <w:rPr>
                <w:b/>
                <w:sz w:val="20"/>
                <w:szCs w:val="20"/>
              </w:rPr>
            </w:pPr>
          </w:p>
        </w:tc>
        <w:tc>
          <w:tcPr>
            <w:tcW w:w="1843" w:type="dxa"/>
            <w:vAlign w:val="center"/>
          </w:tcPr>
          <w:p w14:paraId="61CABCA9" w14:textId="1F972686" w:rsidR="009A45B7" w:rsidRPr="004068F6" w:rsidRDefault="009A45B7" w:rsidP="009D5E07">
            <w:pPr>
              <w:numPr>
                <w:ilvl w:val="12"/>
                <w:numId w:val="0"/>
              </w:numPr>
              <w:tabs>
                <w:tab w:val="left" w:pos="-2268"/>
              </w:tabs>
              <w:suppressAutoHyphens/>
              <w:jc w:val="center"/>
              <w:rPr>
                <w:b/>
                <w:sz w:val="20"/>
                <w:szCs w:val="20"/>
              </w:rPr>
            </w:pPr>
            <w:r w:rsidRPr="004068F6">
              <w:rPr>
                <w:b/>
                <w:sz w:val="20"/>
                <w:szCs w:val="20"/>
              </w:rPr>
              <w:t>Espacial</w:t>
            </w:r>
          </w:p>
        </w:tc>
        <w:tc>
          <w:tcPr>
            <w:tcW w:w="7224" w:type="dxa"/>
            <w:vAlign w:val="center"/>
          </w:tcPr>
          <w:p w14:paraId="39B47D6E" w14:textId="13E14630" w:rsidR="009A45B7" w:rsidRPr="00127BD4" w:rsidRDefault="009A45B7" w:rsidP="0053057D">
            <w:pPr>
              <w:numPr>
                <w:ilvl w:val="12"/>
                <w:numId w:val="0"/>
              </w:numPr>
              <w:tabs>
                <w:tab w:val="left" w:pos="-2268"/>
              </w:tabs>
              <w:suppressAutoHyphens/>
              <w:ind w:left="34"/>
              <w:rPr>
                <w:spacing w:val="-3"/>
                <w:sz w:val="20"/>
                <w:szCs w:val="20"/>
              </w:rPr>
            </w:pPr>
            <w:r w:rsidRPr="004068F6">
              <w:rPr>
                <w:spacing w:val="-3"/>
                <w:sz w:val="20"/>
                <w:szCs w:val="20"/>
              </w:rPr>
              <w:t>Acceso y cobertura de servicios públicos y sociales, infraestructura de vivienda y servicios de salud, transporte, recreación, entre otros, así como condiciones de calidad de vida de la población.</w:t>
            </w:r>
          </w:p>
        </w:tc>
      </w:tr>
      <w:tr w:rsidR="009A45B7" w:rsidRPr="004068F6" w14:paraId="3F702954" w14:textId="77777777" w:rsidTr="00F33AD5">
        <w:trPr>
          <w:jc w:val="center"/>
        </w:trPr>
        <w:tc>
          <w:tcPr>
            <w:tcW w:w="1413" w:type="dxa"/>
            <w:vMerge/>
            <w:vAlign w:val="center"/>
          </w:tcPr>
          <w:p w14:paraId="19BE9D16" w14:textId="77777777" w:rsidR="009A45B7" w:rsidRPr="004068F6" w:rsidRDefault="009A45B7" w:rsidP="009D5E07">
            <w:pPr>
              <w:numPr>
                <w:ilvl w:val="12"/>
                <w:numId w:val="0"/>
              </w:numPr>
              <w:tabs>
                <w:tab w:val="left" w:pos="-2268"/>
              </w:tabs>
              <w:suppressAutoHyphens/>
              <w:jc w:val="center"/>
              <w:rPr>
                <w:b/>
                <w:sz w:val="20"/>
                <w:szCs w:val="20"/>
              </w:rPr>
            </w:pPr>
          </w:p>
        </w:tc>
        <w:tc>
          <w:tcPr>
            <w:tcW w:w="1843" w:type="dxa"/>
            <w:vAlign w:val="center"/>
          </w:tcPr>
          <w:p w14:paraId="409D0DCA" w14:textId="0D823C78" w:rsidR="009A45B7" w:rsidRPr="004068F6" w:rsidRDefault="009A45B7" w:rsidP="009D5E07">
            <w:pPr>
              <w:numPr>
                <w:ilvl w:val="12"/>
                <w:numId w:val="0"/>
              </w:numPr>
              <w:tabs>
                <w:tab w:val="left" w:pos="-2268"/>
              </w:tabs>
              <w:suppressAutoHyphens/>
              <w:jc w:val="center"/>
              <w:rPr>
                <w:b/>
                <w:sz w:val="20"/>
                <w:szCs w:val="20"/>
              </w:rPr>
            </w:pPr>
            <w:r w:rsidRPr="004068F6">
              <w:rPr>
                <w:b/>
                <w:sz w:val="20"/>
                <w:szCs w:val="20"/>
              </w:rPr>
              <w:t>Económico</w:t>
            </w:r>
          </w:p>
        </w:tc>
        <w:tc>
          <w:tcPr>
            <w:tcW w:w="7224" w:type="dxa"/>
            <w:vAlign w:val="center"/>
          </w:tcPr>
          <w:p w14:paraId="6426CC15" w14:textId="4976E82B" w:rsidR="009A45B7" w:rsidRPr="00127BD4" w:rsidRDefault="009A45B7" w:rsidP="0053057D">
            <w:pPr>
              <w:numPr>
                <w:ilvl w:val="12"/>
                <w:numId w:val="0"/>
              </w:numPr>
              <w:tabs>
                <w:tab w:val="left" w:pos="-2268"/>
              </w:tabs>
              <w:suppressAutoHyphens/>
              <w:ind w:left="34"/>
              <w:rPr>
                <w:spacing w:val="-3"/>
                <w:sz w:val="20"/>
                <w:szCs w:val="20"/>
              </w:rPr>
            </w:pPr>
            <w:r w:rsidRPr="004068F6">
              <w:rPr>
                <w:spacing w:val="-3"/>
                <w:sz w:val="20"/>
                <w:szCs w:val="20"/>
              </w:rPr>
              <w:t>Estructura de la propiedad (latifundios, minifundios, microfundios), uso del suelo, sistemas de producción y dependencia de las comunidades a las actividades económicas.</w:t>
            </w:r>
          </w:p>
        </w:tc>
      </w:tr>
      <w:tr w:rsidR="009A45B7" w:rsidRPr="004068F6" w14:paraId="6B9D87B7" w14:textId="77777777" w:rsidTr="00F33AD5">
        <w:trPr>
          <w:jc w:val="center"/>
        </w:trPr>
        <w:tc>
          <w:tcPr>
            <w:tcW w:w="1413" w:type="dxa"/>
            <w:vMerge/>
            <w:vAlign w:val="center"/>
          </w:tcPr>
          <w:p w14:paraId="2E851D27" w14:textId="77777777" w:rsidR="009A45B7" w:rsidRPr="004068F6" w:rsidRDefault="009A45B7" w:rsidP="009D5E07">
            <w:pPr>
              <w:numPr>
                <w:ilvl w:val="12"/>
                <w:numId w:val="0"/>
              </w:numPr>
              <w:tabs>
                <w:tab w:val="left" w:pos="-2268"/>
              </w:tabs>
              <w:suppressAutoHyphens/>
              <w:jc w:val="center"/>
              <w:rPr>
                <w:b/>
                <w:sz w:val="20"/>
                <w:szCs w:val="20"/>
              </w:rPr>
            </w:pPr>
          </w:p>
        </w:tc>
        <w:tc>
          <w:tcPr>
            <w:tcW w:w="1843" w:type="dxa"/>
            <w:vAlign w:val="center"/>
          </w:tcPr>
          <w:p w14:paraId="43BC2A5F" w14:textId="16BB78FC" w:rsidR="009A45B7" w:rsidRPr="004068F6" w:rsidRDefault="009A45B7" w:rsidP="009D5E07">
            <w:pPr>
              <w:numPr>
                <w:ilvl w:val="12"/>
                <w:numId w:val="0"/>
              </w:numPr>
              <w:tabs>
                <w:tab w:val="left" w:pos="-2268"/>
              </w:tabs>
              <w:suppressAutoHyphens/>
              <w:jc w:val="center"/>
              <w:rPr>
                <w:b/>
                <w:sz w:val="20"/>
                <w:szCs w:val="20"/>
              </w:rPr>
            </w:pPr>
            <w:r w:rsidRPr="004068F6">
              <w:rPr>
                <w:b/>
                <w:sz w:val="20"/>
                <w:szCs w:val="20"/>
              </w:rPr>
              <w:t>Cultural</w:t>
            </w:r>
          </w:p>
        </w:tc>
        <w:tc>
          <w:tcPr>
            <w:tcW w:w="7224" w:type="dxa"/>
            <w:vAlign w:val="center"/>
          </w:tcPr>
          <w:p w14:paraId="24B26A1C" w14:textId="7B08AD2C" w:rsidR="009A45B7" w:rsidRPr="00127BD4" w:rsidRDefault="009A45B7" w:rsidP="0053057D">
            <w:pPr>
              <w:numPr>
                <w:ilvl w:val="12"/>
                <w:numId w:val="0"/>
              </w:numPr>
              <w:tabs>
                <w:tab w:val="left" w:pos="-2268"/>
              </w:tabs>
              <w:suppressAutoHyphens/>
              <w:ind w:left="34"/>
              <w:rPr>
                <w:spacing w:val="-3"/>
                <w:sz w:val="20"/>
                <w:szCs w:val="20"/>
              </w:rPr>
            </w:pPr>
            <w:r w:rsidRPr="004068F6">
              <w:rPr>
                <w:spacing w:val="-3"/>
                <w:sz w:val="20"/>
                <w:szCs w:val="20"/>
              </w:rPr>
              <w:t>Grado de relacionamiento establecido entre la comunidad y los ecosistemas naturales, grado de reconocimiento por sus tradiciones, así como presencia de sitios de valor cultural e histórico.</w:t>
            </w:r>
          </w:p>
        </w:tc>
      </w:tr>
      <w:tr w:rsidR="009A45B7" w:rsidRPr="004068F6" w14:paraId="01AD4896" w14:textId="77777777" w:rsidTr="00F33AD5">
        <w:trPr>
          <w:jc w:val="center"/>
        </w:trPr>
        <w:tc>
          <w:tcPr>
            <w:tcW w:w="1413" w:type="dxa"/>
            <w:vMerge/>
            <w:vAlign w:val="center"/>
          </w:tcPr>
          <w:p w14:paraId="5E64D454" w14:textId="77777777" w:rsidR="009A45B7" w:rsidRPr="004068F6" w:rsidRDefault="009A45B7" w:rsidP="009D5E07">
            <w:pPr>
              <w:numPr>
                <w:ilvl w:val="12"/>
                <w:numId w:val="0"/>
              </w:numPr>
              <w:tabs>
                <w:tab w:val="left" w:pos="-2268"/>
              </w:tabs>
              <w:suppressAutoHyphens/>
              <w:jc w:val="center"/>
              <w:rPr>
                <w:b/>
                <w:sz w:val="20"/>
                <w:szCs w:val="20"/>
              </w:rPr>
            </w:pPr>
          </w:p>
        </w:tc>
        <w:tc>
          <w:tcPr>
            <w:tcW w:w="1843" w:type="dxa"/>
            <w:vAlign w:val="center"/>
          </w:tcPr>
          <w:p w14:paraId="5D328584" w14:textId="6AF29BD6" w:rsidR="009A45B7" w:rsidRPr="004068F6" w:rsidRDefault="009A45B7" w:rsidP="009D5E07">
            <w:pPr>
              <w:numPr>
                <w:ilvl w:val="12"/>
                <w:numId w:val="0"/>
              </w:numPr>
              <w:tabs>
                <w:tab w:val="left" w:pos="-2268"/>
              </w:tabs>
              <w:suppressAutoHyphens/>
              <w:jc w:val="center"/>
              <w:rPr>
                <w:b/>
                <w:sz w:val="20"/>
                <w:szCs w:val="20"/>
              </w:rPr>
            </w:pPr>
            <w:r w:rsidRPr="004068F6">
              <w:rPr>
                <w:b/>
                <w:sz w:val="20"/>
                <w:szCs w:val="20"/>
              </w:rPr>
              <w:t>Político organizativo</w:t>
            </w:r>
          </w:p>
        </w:tc>
        <w:tc>
          <w:tcPr>
            <w:tcW w:w="7224" w:type="dxa"/>
            <w:vAlign w:val="center"/>
          </w:tcPr>
          <w:p w14:paraId="7638F21D" w14:textId="60007EF9" w:rsidR="009A45B7" w:rsidRPr="004068F6" w:rsidRDefault="009A45B7" w:rsidP="0053057D">
            <w:pPr>
              <w:tabs>
                <w:tab w:val="left" w:pos="-2268"/>
              </w:tabs>
              <w:suppressAutoHyphens/>
              <w:ind w:left="34"/>
              <w:rPr>
                <w:spacing w:val="-3"/>
                <w:sz w:val="20"/>
                <w:szCs w:val="20"/>
              </w:rPr>
            </w:pPr>
            <w:r w:rsidRPr="004068F6">
              <w:rPr>
                <w:spacing w:val="-3"/>
                <w:sz w:val="20"/>
                <w:szCs w:val="20"/>
              </w:rPr>
              <w:t>Niveles de participación y capacidad que tienen las comunidades y organizaciones presentes en las unidades de análisis territorial, para la gestión de recursos y la organización del territorio con el propósito de mejorar su calidad de vida.</w:t>
            </w:r>
          </w:p>
        </w:tc>
      </w:tr>
      <w:tr w:rsidR="009A45B7" w:rsidRPr="004068F6" w14:paraId="293AF944" w14:textId="77777777" w:rsidTr="00F33AD5">
        <w:trPr>
          <w:jc w:val="center"/>
        </w:trPr>
        <w:tc>
          <w:tcPr>
            <w:tcW w:w="1413" w:type="dxa"/>
            <w:vMerge/>
            <w:vAlign w:val="center"/>
          </w:tcPr>
          <w:p w14:paraId="728FD7A4" w14:textId="77777777" w:rsidR="009A45B7" w:rsidRPr="004068F6" w:rsidRDefault="009A45B7" w:rsidP="009D5E07">
            <w:pPr>
              <w:numPr>
                <w:ilvl w:val="12"/>
                <w:numId w:val="0"/>
              </w:numPr>
              <w:tabs>
                <w:tab w:val="left" w:pos="-2268"/>
              </w:tabs>
              <w:suppressAutoHyphens/>
              <w:jc w:val="center"/>
              <w:rPr>
                <w:b/>
                <w:sz w:val="20"/>
                <w:szCs w:val="20"/>
              </w:rPr>
            </w:pPr>
          </w:p>
        </w:tc>
        <w:tc>
          <w:tcPr>
            <w:tcW w:w="1843" w:type="dxa"/>
            <w:vAlign w:val="center"/>
          </w:tcPr>
          <w:p w14:paraId="2800ED3B" w14:textId="0F9F6FC7" w:rsidR="009A45B7" w:rsidRPr="004068F6" w:rsidRDefault="009A45B7" w:rsidP="009D5E07">
            <w:pPr>
              <w:numPr>
                <w:ilvl w:val="12"/>
                <w:numId w:val="0"/>
              </w:numPr>
              <w:tabs>
                <w:tab w:val="left" w:pos="-2268"/>
              </w:tabs>
              <w:suppressAutoHyphens/>
              <w:jc w:val="center"/>
              <w:rPr>
                <w:b/>
                <w:spacing w:val="-3"/>
                <w:sz w:val="20"/>
                <w:szCs w:val="20"/>
              </w:rPr>
            </w:pPr>
            <w:r w:rsidRPr="004068F6">
              <w:rPr>
                <w:b/>
                <w:sz w:val="20"/>
                <w:szCs w:val="20"/>
              </w:rPr>
              <w:t>Conflictividad socioambiental</w:t>
            </w:r>
          </w:p>
        </w:tc>
        <w:tc>
          <w:tcPr>
            <w:tcW w:w="7224" w:type="dxa"/>
            <w:vAlign w:val="center"/>
          </w:tcPr>
          <w:p w14:paraId="4699BB96" w14:textId="74A9FD3D" w:rsidR="009A45B7" w:rsidRPr="004068F6" w:rsidRDefault="009A45B7" w:rsidP="0053057D">
            <w:pPr>
              <w:tabs>
                <w:tab w:val="left" w:pos="-2268"/>
              </w:tabs>
              <w:suppressAutoHyphens/>
              <w:ind w:left="34"/>
              <w:rPr>
                <w:spacing w:val="-3"/>
                <w:sz w:val="20"/>
                <w:szCs w:val="20"/>
              </w:rPr>
            </w:pPr>
            <w:r w:rsidRPr="004068F6">
              <w:rPr>
                <w:spacing w:val="-3"/>
                <w:sz w:val="20"/>
                <w:szCs w:val="20"/>
              </w:rPr>
              <w:t>Conflictos socioambientales activos que pueden ser exacerbados por los impactos y el uso y aprovechamiento de recursos naturales renovables que implicarían la ejecución del proyecto.</w:t>
            </w:r>
          </w:p>
        </w:tc>
      </w:tr>
      <w:tr w:rsidR="00D720F9" w:rsidRPr="004068F6" w14:paraId="3A4ED773" w14:textId="77777777">
        <w:trPr>
          <w:jc w:val="center"/>
        </w:trPr>
        <w:tc>
          <w:tcPr>
            <w:tcW w:w="3256" w:type="dxa"/>
            <w:gridSpan w:val="2"/>
            <w:vAlign w:val="center"/>
          </w:tcPr>
          <w:p w14:paraId="686C500A" w14:textId="56ED1F2C" w:rsidR="00D720F9" w:rsidRPr="004068F6" w:rsidRDefault="00D720F9" w:rsidP="009D5E07">
            <w:pPr>
              <w:numPr>
                <w:ilvl w:val="12"/>
                <w:numId w:val="0"/>
              </w:numPr>
              <w:tabs>
                <w:tab w:val="left" w:pos="-2268"/>
              </w:tabs>
              <w:suppressAutoHyphens/>
              <w:jc w:val="center"/>
              <w:rPr>
                <w:b/>
                <w:sz w:val="20"/>
                <w:szCs w:val="20"/>
              </w:rPr>
            </w:pPr>
            <w:r w:rsidRPr="004068F6">
              <w:rPr>
                <w:b/>
                <w:sz w:val="20"/>
                <w:szCs w:val="20"/>
              </w:rPr>
              <w:t>Paisaje</w:t>
            </w:r>
          </w:p>
        </w:tc>
        <w:tc>
          <w:tcPr>
            <w:tcW w:w="7224" w:type="dxa"/>
            <w:vAlign w:val="center"/>
          </w:tcPr>
          <w:p w14:paraId="1E478F3D" w14:textId="5B29074C" w:rsidR="00D720F9" w:rsidRPr="004068F6" w:rsidRDefault="003C15FC" w:rsidP="00D720F9">
            <w:pPr>
              <w:tabs>
                <w:tab w:val="left" w:pos="-2268"/>
              </w:tabs>
              <w:suppressAutoHyphens/>
              <w:ind w:left="34"/>
              <w:rPr>
                <w:spacing w:val="-3"/>
                <w:sz w:val="20"/>
                <w:szCs w:val="20"/>
              </w:rPr>
            </w:pPr>
            <w:r w:rsidRPr="004068F6">
              <w:rPr>
                <w:spacing w:val="-3"/>
                <w:sz w:val="20"/>
                <w:szCs w:val="20"/>
              </w:rPr>
              <w:t>L</w:t>
            </w:r>
            <w:r w:rsidR="00D720F9" w:rsidRPr="004068F6">
              <w:rPr>
                <w:spacing w:val="-3"/>
                <w:sz w:val="20"/>
                <w:szCs w:val="20"/>
              </w:rPr>
              <w:t xml:space="preserve">a sensibilidad ambiental de cada unidad de paisaje </w:t>
            </w:r>
            <w:r w:rsidRPr="004068F6">
              <w:rPr>
                <w:spacing w:val="-3"/>
                <w:sz w:val="20"/>
                <w:szCs w:val="20"/>
              </w:rPr>
              <w:t xml:space="preserve">debe establecerse </w:t>
            </w:r>
            <w:r w:rsidR="00D720F9" w:rsidRPr="004068F6">
              <w:rPr>
                <w:spacing w:val="-3"/>
                <w:sz w:val="20"/>
                <w:szCs w:val="20"/>
              </w:rPr>
              <w:t>de acuerdo con los resultados de los análisis de visibilidad, calidad visual, fragilidad visual, atractivo escénico y percepción social del paisaje.</w:t>
            </w:r>
            <w:r w:rsidR="006A19E1">
              <w:rPr>
                <w:spacing w:val="-3"/>
                <w:sz w:val="20"/>
                <w:szCs w:val="20"/>
              </w:rPr>
              <w:t xml:space="preserve"> </w:t>
            </w:r>
            <w:r w:rsidR="006A19E1" w:rsidRPr="003A2635">
              <w:rPr>
                <w:spacing w:val="-3"/>
                <w:sz w:val="20"/>
                <w:szCs w:val="20"/>
              </w:rPr>
              <w:t xml:space="preserve">La sensibilidad ambiental de las unidades </w:t>
            </w:r>
            <w:r w:rsidR="00351401" w:rsidRPr="003A2635">
              <w:rPr>
                <w:spacing w:val="-3"/>
                <w:sz w:val="20"/>
                <w:szCs w:val="20"/>
              </w:rPr>
              <w:t xml:space="preserve">de </w:t>
            </w:r>
            <w:r w:rsidR="006A19E1" w:rsidRPr="003A2635">
              <w:rPr>
                <w:spacing w:val="-3"/>
                <w:sz w:val="20"/>
                <w:szCs w:val="20"/>
              </w:rPr>
              <w:t>paisaj</w:t>
            </w:r>
            <w:r w:rsidR="00351401" w:rsidRPr="003A2635">
              <w:rPr>
                <w:spacing w:val="-3"/>
                <w:sz w:val="20"/>
                <w:szCs w:val="20"/>
              </w:rPr>
              <w:t xml:space="preserve">e </w:t>
            </w:r>
            <w:r w:rsidR="006A19E1" w:rsidRPr="003A2635">
              <w:rPr>
                <w:spacing w:val="-3"/>
                <w:sz w:val="20"/>
                <w:szCs w:val="20"/>
              </w:rPr>
              <w:t xml:space="preserve">dentro de </w:t>
            </w:r>
            <w:r w:rsidR="00351401" w:rsidRPr="003A2635">
              <w:rPr>
                <w:spacing w:val="-3"/>
                <w:sz w:val="20"/>
                <w:szCs w:val="20"/>
              </w:rPr>
              <w:t>área</w:t>
            </w:r>
            <w:r w:rsidR="00903400">
              <w:rPr>
                <w:spacing w:val="-3"/>
                <w:sz w:val="20"/>
                <w:szCs w:val="20"/>
              </w:rPr>
              <w:t>s</w:t>
            </w:r>
            <w:r w:rsidR="00351401" w:rsidRPr="003A2635">
              <w:rPr>
                <w:spacing w:val="-3"/>
                <w:sz w:val="20"/>
                <w:szCs w:val="20"/>
              </w:rPr>
              <w:t xml:space="preserve"> de </w:t>
            </w:r>
            <w:r w:rsidR="006A19E1" w:rsidRPr="003A2635">
              <w:rPr>
                <w:spacing w:val="-3"/>
                <w:sz w:val="20"/>
                <w:szCs w:val="20"/>
              </w:rPr>
              <w:t xml:space="preserve">Paisaje </w:t>
            </w:r>
            <w:r w:rsidR="00351401" w:rsidRPr="003A2635">
              <w:rPr>
                <w:spacing w:val="-3"/>
                <w:sz w:val="20"/>
                <w:szCs w:val="20"/>
              </w:rPr>
              <w:t xml:space="preserve">cultural de </w:t>
            </w:r>
            <w:r w:rsidR="006A19E1" w:rsidRPr="003A2635">
              <w:rPr>
                <w:spacing w:val="-3"/>
                <w:sz w:val="20"/>
                <w:szCs w:val="20"/>
              </w:rPr>
              <w:t xml:space="preserve">la Nación o </w:t>
            </w:r>
            <w:r w:rsidR="00351401" w:rsidRPr="003A2635">
              <w:rPr>
                <w:spacing w:val="-3"/>
                <w:sz w:val="20"/>
                <w:szCs w:val="20"/>
              </w:rPr>
              <w:t xml:space="preserve">de </w:t>
            </w:r>
            <w:r w:rsidR="006A19E1" w:rsidRPr="003A2635">
              <w:rPr>
                <w:spacing w:val="-3"/>
                <w:sz w:val="20"/>
                <w:szCs w:val="20"/>
              </w:rPr>
              <w:lastRenderedPageBreak/>
              <w:t>Patrimonio Mundial debe considerar, además de los análisis biofísicos y visuales, la susceptibilidad a la afectación de los atributos y valores culturales, productivos e inmateriales que le otorgan su reconocimiento (</w:t>
            </w:r>
            <w:r w:rsidR="00034C85" w:rsidRPr="003A2635">
              <w:rPr>
                <w:spacing w:val="-3"/>
                <w:sz w:val="20"/>
                <w:szCs w:val="20"/>
              </w:rPr>
              <w:t xml:space="preserve">p. </w:t>
            </w:r>
            <w:r w:rsidR="006A19E1" w:rsidRPr="003A2635">
              <w:rPr>
                <w:spacing w:val="-3"/>
                <w:sz w:val="20"/>
                <w:szCs w:val="20"/>
              </w:rPr>
              <w:t>ej. el cultivo tradicional del café, la vivienda rural tradicional, la arriería, u otras manifestaciones)</w:t>
            </w:r>
            <w:r w:rsidR="003A2635">
              <w:rPr>
                <w:spacing w:val="-3"/>
                <w:sz w:val="20"/>
                <w:szCs w:val="20"/>
              </w:rPr>
              <w:t>;</w:t>
            </w:r>
            <w:r w:rsidR="006A19E1" w:rsidRPr="003A2635">
              <w:rPr>
                <w:spacing w:val="-3"/>
                <w:sz w:val="20"/>
                <w:szCs w:val="20"/>
              </w:rPr>
              <w:t xml:space="preserve"> </w:t>
            </w:r>
            <w:r w:rsidR="003A2635">
              <w:rPr>
                <w:spacing w:val="-3"/>
                <w:sz w:val="20"/>
                <w:szCs w:val="20"/>
              </w:rPr>
              <w:t>l</w:t>
            </w:r>
            <w:r w:rsidR="006A19E1" w:rsidRPr="003A2635">
              <w:rPr>
                <w:spacing w:val="-3"/>
                <w:sz w:val="20"/>
                <w:szCs w:val="20"/>
              </w:rPr>
              <w:t xml:space="preserve">a zonificación debe reflejar las </w:t>
            </w:r>
            <w:r w:rsidR="00037C59" w:rsidRPr="00127BD4">
              <w:rPr>
                <w:spacing w:val="-3"/>
                <w:sz w:val="20"/>
                <w:szCs w:val="20"/>
              </w:rPr>
              <w:t>condiciones</w:t>
            </w:r>
            <w:r w:rsidR="006A19E1" w:rsidRPr="003A2635">
              <w:rPr>
                <w:spacing w:val="-3"/>
                <w:sz w:val="20"/>
                <w:szCs w:val="20"/>
              </w:rPr>
              <w:t xml:space="preserve"> de protección </w:t>
            </w:r>
            <w:r w:rsidR="00037C59" w:rsidRPr="00127BD4">
              <w:rPr>
                <w:spacing w:val="-3"/>
                <w:sz w:val="20"/>
                <w:szCs w:val="20"/>
              </w:rPr>
              <w:t xml:space="preserve">señaladas en </w:t>
            </w:r>
            <w:r w:rsidR="006A19E1" w:rsidRPr="003A2635">
              <w:rPr>
                <w:spacing w:val="-3"/>
                <w:sz w:val="20"/>
                <w:szCs w:val="20"/>
              </w:rPr>
              <w:t xml:space="preserve">los instrumentos de gestión específicos para </w:t>
            </w:r>
            <w:r w:rsidR="00037C59" w:rsidRPr="00127BD4">
              <w:rPr>
                <w:spacing w:val="-3"/>
                <w:sz w:val="20"/>
                <w:szCs w:val="20"/>
              </w:rPr>
              <w:t xml:space="preserve">las áreas </w:t>
            </w:r>
            <w:r w:rsidR="006A19E1" w:rsidRPr="003A2635">
              <w:rPr>
                <w:spacing w:val="-3"/>
                <w:sz w:val="20"/>
                <w:szCs w:val="20"/>
              </w:rPr>
              <w:t>declara</w:t>
            </w:r>
            <w:r w:rsidR="00037C59" w:rsidRPr="00127BD4">
              <w:rPr>
                <w:spacing w:val="-3"/>
                <w:sz w:val="20"/>
                <w:szCs w:val="20"/>
              </w:rPr>
              <w:t>das</w:t>
            </w:r>
            <w:r w:rsidR="00370629">
              <w:rPr>
                <w:spacing w:val="-3"/>
                <w:sz w:val="20"/>
                <w:szCs w:val="20"/>
              </w:rPr>
              <w:t xml:space="preserve"> como </w:t>
            </w:r>
            <w:r w:rsidR="00370629" w:rsidRPr="003A2635">
              <w:rPr>
                <w:spacing w:val="-3"/>
                <w:sz w:val="20"/>
                <w:szCs w:val="20"/>
              </w:rPr>
              <w:t>Paisaje cultural de la Nación o Patrimonio Mundial</w:t>
            </w:r>
            <w:r w:rsidR="006A19E1" w:rsidRPr="003A2635">
              <w:rPr>
                <w:spacing w:val="-3"/>
                <w:sz w:val="20"/>
                <w:szCs w:val="20"/>
              </w:rPr>
              <w:t>.</w:t>
            </w:r>
          </w:p>
        </w:tc>
      </w:tr>
    </w:tbl>
    <w:p w14:paraId="0563BC93" w14:textId="77777777" w:rsidR="00331689" w:rsidRPr="004068F6" w:rsidRDefault="00331689">
      <w:pPr>
        <w:numPr>
          <w:ilvl w:val="12"/>
          <w:numId w:val="0"/>
        </w:numPr>
        <w:tabs>
          <w:tab w:val="left" w:pos="-2268"/>
        </w:tabs>
        <w:suppressAutoHyphens/>
        <w:rPr>
          <w:spacing w:val="-3"/>
        </w:rPr>
      </w:pPr>
    </w:p>
    <w:p w14:paraId="236BA1E4" w14:textId="77777777" w:rsidR="00C75DF7" w:rsidRPr="004068F6" w:rsidRDefault="00C75DF7">
      <w:pPr>
        <w:numPr>
          <w:ilvl w:val="12"/>
          <w:numId w:val="0"/>
        </w:numPr>
        <w:tabs>
          <w:tab w:val="left" w:pos="-2268"/>
        </w:tabs>
        <w:suppressAutoHyphens/>
        <w:rPr>
          <w:spacing w:val="-3"/>
        </w:rPr>
      </w:pPr>
    </w:p>
    <w:p w14:paraId="3F6BBB1B" w14:textId="7999AFA6" w:rsidR="001D3FF9" w:rsidRPr="004068F6" w:rsidRDefault="001D3FF9" w:rsidP="00CB4557">
      <w:pPr>
        <w:pStyle w:val="Ttulo1"/>
        <w:numPr>
          <w:ilvl w:val="0"/>
          <w:numId w:val="8"/>
        </w:numPr>
        <w:rPr>
          <w:lang w:val="es-CO"/>
        </w:rPr>
      </w:pPr>
      <w:bookmarkStart w:id="3084" w:name="_Toc405366856"/>
      <w:bookmarkStart w:id="3085" w:name="_Toc405372403"/>
      <w:bookmarkStart w:id="3086" w:name="_Toc412803201"/>
      <w:bookmarkStart w:id="3087" w:name="_Toc437936041"/>
      <w:bookmarkStart w:id="3088" w:name="_Ref510089186"/>
      <w:bookmarkStart w:id="3089" w:name="_Toc230879671"/>
      <w:r w:rsidRPr="004068F6">
        <w:rPr>
          <w:lang w:val="es-CO"/>
        </w:rPr>
        <w:t>DEMANDA, USO, APROVECHAMIENTO Y AFECTACIÓN DE RECURSOS NATURALES</w:t>
      </w:r>
      <w:bookmarkEnd w:id="3084"/>
      <w:bookmarkEnd w:id="3085"/>
      <w:bookmarkEnd w:id="3086"/>
      <w:bookmarkEnd w:id="3087"/>
      <w:bookmarkEnd w:id="3088"/>
      <w:bookmarkEnd w:id="3089"/>
    </w:p>
    <w:p w14:paraId="22F5DC38" w14:textId="77777777" w:rsidR="001D3FF9" w:rsidRPr="004068F6" w:rsidRDefault="001D3FF9">
      <w:pPr>
        <w:numPr>
          <w:ilvl w:val="12"/>
          <w:numId w:val="0"/>
        </w:numPr>
        <w:tabs>
          <w:tab w:val="left" w:pos="-2268"/>
        </w:tabs>
        <w:suppressAutoHyphens/>
        <w:rPr>
          <w:spacing w:val="-3"/>
        </w:rPr>
      </w:pPr>
    </w:p>
    <w:p w14:paraId="04789B2B" w14:textId="52186E82" w:rsidR="004A1B3C" w:rsidRPr="004068F6" w:rsidRDefault="004A1B3C">
      <w:pPr>
        <w:numPr>
          <w:ilvl w:val="12"/>
          <w:numId w:val="0"/>
        </w:numPr>
        <w:tabs>
          <w:tab w:val="left" w:pos="-2268"/>
        </w:tabs>
        <w:suppressAutoHyphens/>
        <w:rPr>
          <w:spacing w:val="-3"/>
        </w:rPr>
      </w:pPr>
      <w:r w:rsidRPr="004068F6">
        <w:rPr>
          <w:spacing w:val="-3"/>
        </w:rPr>
        <w:t>Presentar una caracterización detallada de los recursos naturales renovables que demanda el proyecto</w:t>
      </w:r>
      <w:r w:rsidR="00953BF3" w:rsidRPr="004068F6">
        <w:rPr>
          <w:spacing w:val="-3"/>
        </w:rPr>
        <w:t>, obra o actividad</w:t>
      </w:r>
      <w:r w:rsidRPr="004068F6">
        <w:rPr>
          <w:spacing w:val="-3"/>
        </w:rPr>
        <w:t xml:space="preserve"> </w:t>
      </w:r>
      <w:r w:rsidRPr="004068F6">
        <w:rPr>
          <w:rFonts w:cs="Arial"/>
          <w:spacing w:val="-3"/>
        </w:rPr>
        <w:t xml:space="preserve">objeto de licenciamiento ambiental </w:t>
      </w:r>
      <w:r w:rsidRPr="004068F6">
        <w:rPr>
          <w:spacing w:val="-3"/>
        </w:rPr>
        <w:t xml:space="preserve">y que serían utilizados, aprovechados o afectados durante las diferentes </w:t>
      </w:r>
      <w:r w:rsidR="00B01D3A">
        <w:rPr>
          <w:spacing w:val="-3"/>
        </w:rPr>
        <w:t>etapas</w:t>
      </w:r>
      <w:r w:rsidR="00B01D3A" w:rsidRPr="004068F6" w:rsidDel="00B01D3A">
        <w:rPr>
          <w:spacing w:val="-3"/>
        </w:rPr>
        <w:t xml:space="preserve"> </w:t>
      </w:r>
      <w:r w:rsidR="008740E1" w:rsidRPr="004068F6">
        <w:rPr>
          <w:spacing w:val="-3"/>
        </w:rPr>
        <w:t>de éste</w:t>
      </w:r>
      <w:r w:rsidRPr="004068F6">
        <w:rPr>
          <w:spacing w:val="-3"/>
        </w:rPr>
        <w:t>.</w:t>
      </w:r>
    </w:p>
    <w:p w14:paraId="21E56F87" w14:textId="77777777" w:rsidR="004A1B3C" w:rsidRPr="004068F6" w:rsidRDefault="004A1B3C">
      <w:pPr>
        <w:numPr>
          <w:ilvl w:val="12"/>
          <w:numId w:val="0"/>
        </w:numPr>
        <w:tabs>
          <w:tab w:val="left" w:pos="-2268"/>
        </w:tabs>
        <w:suppressAutoHyphens/>
        <w:rPr>
          <w:spacing w:val="-3"/>
        </w:rPr>
      </w:pPr>
    </w:p>
    <w:p w14:paraId="79F45CA4" w14:textId="1E41F61E" w:rsidR="004A1B3C" w:rsidRPr="004068F6" w:rsidRDefault="004A1B3C">
      <w:pPr>
        <w:numPr>
          <w:ilvl w:val="12"/>
          <w:numId w:val="0"/>
        </w:numPr>
        <w:tabs>
          <w:tab w:val="left" w:pos="-2268"/>
        </w:tabs>
        <w:suppressAutoHyphens/>
        <w:rPr>
          <w:spacing w:val="-3"/>
        </w:rPr>
      </w:pPr>
      <w:r w:rsidRPr="004068F6">
        <w:rPr>
          <w:spacing w:val="-3"/>
        </w:rPr>
        <w:t>En cuanto a los permisos, concesiones y autorizaciones para aprovechamiento de los recursos naturales, se debe</w:t>
      </w:r>
      <w:r w:rsidR="00972B99" w:rsidRPr="004068F6">
        <w:rPr>
          <w:spacing w:val="-3"/>
        </w:rPr>
        <w:t>n</w:t>
      </w:r>
      <w:r w:rsidRPr="004068F6">
        <w:rPr>
          <w:spacing w:val="-3"/>
        </w:rPr>
        <w:t xml:space="preserve"> presentar los Formularios Únicos Nacionales</w:t>
      </w:r>
      <w:r w:rsidR="00E77B0F" w:rsidRPr="004068F6">
        <w:rPr>
          <w:spacing w:val="-3"/>
        </w:rPr>
        <w:t xml:space="preserve"> (FUN)</w:t>
      </w:r>
      <w:r w:rsidR="00212C87" w:rsidRPr="004068F6">
        <w:rPr>
          <w:spacing w:val="-3"/>
        </w:rPr>
        <w:t xml:space="preserve"> para la solicitud de permisos, autorizaciones y concesiones ambientales</w:t>
      </w:r>
      <w:r w:rsidRPr="004068F6">
        <w:rPr>
          <w:spacing w:val="-3"/>
        </w:rPr>
        <w:t xml:space="preserve"> existentes para tal fin</w:t>
      </w:r>
      <w:r w:rsidR="00972B99" w:rsidRPr="004068F6">
        <w:rPr>
          <w:spacing w:val="-3"/>
        </w:rPr>
        <w:t>, con los anexos correspondientes.</w:t>
      </w:r>
      <w:r w:rsidR="00972B99" w:rsidRPr="004068F6">
        <w:rPr>
          <w:rFonts w:cs="Arial"/>
          <w:spacing w:val="-3"/>
        </w:rPr>
        <w:t xml:space="preserve"> Para aquellos permisos, concesiones y autorizaciones que requieran</w:t>
      </w:r>
      <w:r w:rsidRPr="004068F6">
        <w:rPr>
          <w:rFonts w:cs="Arial"/>
          <w:spacing w:val="-3"/>
        </w:rPr>
        <w:t xml:space="preserve"> toma de muestras y análisis </w:t>
      </w:r>
      <w:r w:rsidR="00972B99" w:rsidRPr="004068F6">
        <w:rPr>
          <w:rFonts w:cs="Arial"/>
          <w:spacing w:val="-3"/>
        </w:rPr>
        <w:t xml:space="preserve">de laboratorio, dichos procedimientos </w:t>
      </w:r>
      <w:r w:rsidRPr="004068F6">
        <w:rPr>
          <w:rFonts w:cs="Arial"/>
          <w:spacing w:val="-3"/>
        </w:rPr>
        <w:t xml:space="preserve">deben </w:t>
      </w:r>
      <w:r w:rsidR="00972B99" w:rsidRPr="004068F6">
        <w:rPr>
          <w:rFonts w:cs="Arial"/>
          <w:spacing w:val="-3"/>
        </w:rPr>
        <w:t xml:space="preserve">ser </w:t>
      </w:r>
      <w:r w:rsidRPr="004068F6">
        <w:rPr>
          <w:rFonts w:cs="Arial"/>
          <w:spacing w:val="-3"/>
        </w:rPr>
        <w:t>realiza</w:t>
      </w:r>
      <w:r w:rsidR="00972B99" w:rsidRPr="004068F6">
        <w:rPr>
          <w:rFonts w:cs="Arial"/>
          <w:spacing w:val="-3"/>
        </w:rPr>
        <w:t>dos</w:t>
      </w:r>
      <w:r w:rsidRPr="004068F6">
        <w:rPr>
          <w:rFonts w:cs="Arial"/>
          <w:spacing w:val="-3"/>
        </w:rPr>
        <w:t xml:space="preserve"> por laboratorios con acreditación vigente ante el </w:t>
      </w:r>
      <w:r w:rsidR="00A92356" w:rsidRPr="004068F6">
        <w:rPr>
          <w:rFonts w:cs="Arial"/>
          <w:spacing w:val="-3"/>
        </w:rPr>
        <w:t>Ideam</w:t>
      </w:r>
      <w:r w:rsidRPr="004068F6">
        <w:rPr>
          <w:rFonts w:cs="Arial"/>
          <w:spacing w:val="-3"/>
        </w:rPr>
        <w:t>.</w:t>
      </w:r>
    </w:p>
    <w:p w14:paraId="0103CE73" w14:textId="77777777" w:rsidR="00972B99" w:rsidRPr="004068F6" w:rsidRDefault="00972B99" w:rsidP="00972B99">
      <w:pPr>
        <w:numPr>
          <w:ilvl w:val="12"/>
          <w:numId w:val="0"/>
        </w:numPr>
        <w:tabs>
          <w:tab w:val="left" w:pos="-2268"/>
        </w:tabs>
        <w:suppressAutoHyphens/>
        <w:rPr>
          <w:spacing w:val="-3"/>
        </w:rPr>
      </w:pPr>
    </w:p>
    <w:p w14:paraId="2F2030FB" w14:textId="210BC435" w:rsidR="00972B99" w:rsidRPr="004068F6" w:rsidRDefault="00972B99" w:rsidP="00972B99">
      <w:pPr>
        <w:numPr>
          <w:ilvl w:val="12"/>
          <w:numId w:val="0"/>
        </w:numPr>
        <w:tabs>
          <w:tab w:val="left" w:pos="-2268"/>
        </w:tabs>
        <w:suppressAutoHyphens/>
        <w:rPr>
          <w:spacing w:val="-3"/>
        </w:rPr>
      </w:pPr>
      <w:r w:rsidRPr="004068F6">
        <w:rPr>
          <w:spacing w:val="-3"/>
        </w:rPr>
        <w:t>En caso de que no se cuente con la capacidad analítica en el país, se aceptan los resultados de análisis que provengan de laboratorios extranjeros acreditados en la norma ISO 17025 (versión vigente).</w:t>
      </w:r>
    </w:p>
    <w:p w14:paraId="73556C14" w14:textId="77777777" w:rsidR="00972B99" w:rsidRPr="004068F6" w:rsidRDefault="00972B99">
      <w:pPr>
        <w:numPr>
          <w:ilvl w:val="12"/>
          <w:numId w:val="0"/>
        </w:numPr>
        <w:tabs>
          <w:tab w:val="left" w:pos="-2268"/>
        </w:tabs>
        <w:suppressAutoHyphens/>
        <w:rPr>
          <w:spacing w:val="-3"/>
        </w:rPr>
      </w:pPr>
    </w:p>
    <w:p w14:paraId="55C7EBB8" w14:textId="638B9B63" w:rsidR="004A1B3C" w:rsidRPr="004068F6" w:rsidRDefault="004A1B3C">
      <w:pPr>
        <w:numPr>
          <w:ilvl w:val="12"/>
          <w:numId w:val="0"/>
        </w:numPr>
        <w:tabs>
          <w:tab w:val="left" w:pos="-2268"/>
        </w:tabs>
        <w:suppressAutoHyphens/>
        <w:rPr>
          <w:spacing w:val="-3"/>
        </w:rPr>
      </w:pPr>
      <w:r w:rsidRPr="004068F6">
        <w:rPr>
          <w:spacing w:val="-3"/>
        </w:rPr>
        <w:t>De acuerdo con la Ley 373 de 1997, la Política Nacional para la Gestión Integral del Recurso Hídrico y la Política de Producción más Limpia y Consumo Sostenible, se deben presentar programas de ahorro y uso eficiente del agua para las concesiones solicitadas.</w:t>
      </w:r>
    </w:p>
    <w:p w14:paraId="71AAD499" w14:textId="7E84B40E" w:rsidR="004A1B3C" w:rsidRPr="004068F6" w:rsidRDefault="004A1B3C">
      <w:pPr>
        <w:numPr>
          <w:ilvl w:val="12"/>
          <w:numId w:val="0"/>
        </w:numPr>
        <w:tabs>
          <w:tab w:val="left" w:pos="-2268"/>
        </w:tabs>
        <w:suppressAutoHyphens/>
        <w:rPr>
          <w:spacing w:val="-3"/>
        </w:rPr>
      </w:pPr>
    </w:p>
    <w:p w14:paraId="63B61BE8" w14:textId="5537C12C" w:rsidR="004806B5" w:rsidRPr="004068F6" w:rsidRDefault="004A1B3C">
      <w:pPr>
        <w:numPr>
          <w:ilvl w:val="12"/>
          <w:numId w:val="0"/>
        </w:numPr>
        <w:tabs>
          <w:tab w:val="left" w:pos="-2268"/>
        </w:tabs>
        <w:suppressAutoHyphens/>
        <w:rPr>
          <w:spacing w:val="-3"/>
        </w:rPr>
      </w:pPr>
      <w:r w:rsidRPr="004068F6">
        <w:rPr>
          <w:spacing w:val="-3"/>
        </w:rPr>
        <w:t xml:space="preserve">El desarrollo de este </w:t>
      </w:r>
      <w:r w:rsidR="00E77B0F" w:rsidRPr="004068F6">
        <w:rPr>
          <w:spacing w:val="-3"/>
        </w:rPr>
        <w:t xml:space="preserve">numeral </w:t>
      </w:r>
      <w:r w:rsidRPr="004068F6">
        <w:rPr>
          <w:spacing w:val="-3"/>
        </w:rPr>
        <w:t xml:space="preserve">debe tener en cuenta e incorporar, en caso de ser pertinentes, </w:t>
      </w:r>
      <w:r w:rsidR="004806B5" w:rsidRPr="004068F6">
        <w:rPr>
          <w:spacing w:val="-3"/>
        </w:rPr>
        <w:t xml:space="preserve">los insumos, saberes, sugerencias, recomendaciones o alertas que resulten de los procesos de información y participación con los grupos de interés del área de influencia. Dichos aportes deben ser incorporados de manera expresa en el documento, de tal forma que se evidencie su incidencia en el resultado de este numeral y, en caso de estimarlos como no pertinentes, se deben indicar y sustentar las razones por las cuales no se incluyen </w:t>
      </w:r>
      <w:r w:rsidR="00440C46" w:rsidRPr="004068F6">
        <w:rPr>
          <w:spacing w:val="-3"/>
        </w:rPr>
        <w:t>como parte de la información sobre demanda, uso, aprovechamiento y afectación de recursos naturales</w:t>
      </w:r>
      <w:r w:rsidR="004806B5" w:rsidRPr="004068F6">
        <w:rPr>
          <w:spacing w:val="-3"/>
        </w:rPr>
        <w:t>.</w:t>
      </w:r>
      <w:r w:rsidR="00B30AEF" w:rsidRPr="004068F6">
        <w:rPr>
          <w:spacing w:val="-3"/>
        </w:rPr>
        <w:t xml:space="preserve"> </w:t>
      </w:r>
      <w:r w:rsidR="00B30AEF" w:rsidRPr="004068F6">
        <w:rPr>
          <w:rFonts w:cs="Arial"/>
          <w:spacing w:val="-3"/>
        </w:rPr>
        <w:t>En caso de que los grupos de interés no brinden insumos, saberes, sugerencias, recomendaciones o alertas, esta situación debe consignarse y documentarse en el estudio ambiental.</w:t>
      </w:r>
    </w:p>
    <w:p w14:paraId="529AE557" w14:textId="77777777" w:rsidR="004A1B3C" w:rsidRDefault="004A1B3C">
      <w:pPr>
        <w:numPr>
          <w:ilvl w:val="12"/>
          <w:numId w:val="0"/>
        </w:numPr>
        <w:tabs>
          <w:tab w:val="left" w:pos="-2268"/>
        </w:tabs>
        <w:suppressAutoHyphens/>
        <w:rPr>
          <w:spacing w:val="-3"/>
        </w:rPr>
      </w:pPr>
    </w:p>
    <w:p w14:paraId="184173A3" w14:textId="77777777" w:rsidR="00F63FDA" w:rsidRDefault="00F63FDA">
      <w:pPr>
        <w:numPr>
          <w:ilvl w:val="12"/>
          <w:numId w:val="0"/>
        </w:numPr>
        <w:tabs>
          <w:tab w:val="left" w:pos="-2268"/>
        </w:tabs>
        <w:suppressAutoHyphens/>
        <w:rPr>
          <w:spacing w:val="-3"/>
        </w:rPr>
      </w:pPr>
    </w:p>
    <w:p w14:paraId="24D6812A" w14:textId="77777777" w:rsidR="00F63FDA" w:rsidRDefault="00F63FDA">
      <w:pPr>
        <w:numPr>
          <w:ilvl w:val="12"/>
          <w:numId w:val="0"/>
        </w:numPr>
        <w:tabs>
          <w:tab w:val="left" w:pos="-2268"/>
        </w:tabs>
        <w:suppressAutoHyphens/>
        <w:rPr>
          <w:spacing w:val="-3"/>
        </w:rPr>
      </w:pPr>
    </w:p>
    <w:p w14:paraId="210F7C80" w14:textId="77777777" w:rsidR="00F63FDA" w:rsidRPr="004068F6" w:rsidRDefault="00F63FDA">
      <w:pPr>
        <w:numPr>
          <w:ilvl w:val="12"/>
          <w:numId w:val="0"/>
        </w:numPr>
        <w:tabs>
          <w:tab w:val="left" w:pos="-2268"/>
        </w:tabs>
        <w:suppressAutoHyphens/>
        <w:rPr>
          <w:spacing w:val="-3"/>
        </w:rPr>
      </w:pPr>
    </w:p>
    <w:p w14:paraId="1B5D1605" w14:textId="50765105" w:rsidR="004A1B3C" w:rsidRPr="004068F6" w:rsidRDefault="004A1B3C" w:rsidP="0068149C">
      <w:pPr>
        <w:pStyle w:val="Ttulo2"/>
        <w:rPr>
          <w:lang w:val="es-CO"/>
        </w:rPr>
      </w:pPr>
      <w:bookmarkStart w:id="3090" w:name="_Toc393967340"/>
      <w:bookmarkStart w:id="3091" w:name="_Toc405366857"/>
      <w:bookmarkStart w:id="3092" w:name="_Toc405372404"/>
      <w:bookmarkStart w:id="3093" w:name="_Toc412803202"/>
      <w:bookmarkStart w:id="3094" w:name="_Toc437936042"/>
      <w:bookmarkStart w:id="3095" w:name="_Toc42874871"/>
      <w:bookmarkStart w:id="3096" w:name="_Toc230879672"/>
      <w:r w:rsidRPr="004068F6">
        <w:rPr>
          <w:lang w:val="es-CO"/>
        </w:rPr>
        <w:t>CONCESIÓN DE AGUA SUPERFICIAL</w:t>
      </w:r>
      <w:bookmarkEnd w:id="3090"/>
      <w:bookmarkEnd w:id="3091"/>
      <w:bookmarkEnd w:id="3092"/>
      <w:bookmarkEnd w:id="3093"/>
      <w:bookmarkEnd w:id="3094"/>
      <w:bookmarkEnd w:id="3095"/>
      <w:bookmarkEnd w:id="3096"/>
    </w:p>
    <w:p w14:paraId="5D22885E" w14:textId="77777777" w:rsidR="004A1B3C" w:rsidRPr="004068F6" w:rsidRDefault="004A1B3C">
      <w:pPr>
        <w:numPr>
          <w:ilvl w:val="12"/>
          <w:numId w:val="0"/>
        </w:numPr>
        <w:tabs>
          <w:tab w:val="left" w:pos="-2268"/>
        </w:tabs>
        <w:suppressAutoHyphens/>
        <w:rPr>
          <w:spacing w:val="-3"/>
        </w:rPr>
      </w:pPr>
    </w:p>
    <w:p w14:paraId="10D67417" w14:textId="4EBAC3A5" w:rsidR="004A1B3C" w:rsidRPr="004068F6" w:rsidRDefault="004A1B3C">
      <w:pPr>
        <w:numPr>
          <w:ilvl w:val="12"/>
          <w:numId w:val="0"/>
        </w:numPr>
        <w:tabs>
          <w:tab w:val="left" w:pos="-2268"/>
        </w:tabs>
        <w:suppressAutoHyphens/>
        <w:rPr>
          <w:spacing w:val="-3"/>
        </w:rPr>
      </w:pPr>
      <w:r w:rsidRPr="004068F6">
        <w:rPr>
          <w:spacing w:val="-3"/>
        </w:rPr>
        <w:t xml:space="preserve">Cuando se requiera el </w:t>
      </w:r>
      <w:r w:rsidRPr="004068F6">
        <w:rPr>
          <w:rFonts w:cs="Arial"/>
          <w:spacing w:val="-3"/>
        </w:rPr>
        <w:t>permiso de concesión de agua</w:t>
      </w:r>
      <w:r w:rsidR="005472C6" w:rsidRPr="004068F6">
        <w:rPr>
          <w:rFonts w:cs="Arial"/>
          <w:spacing w:val="-3"/>
        </w:rPr>
        <w:t xml:space="preserve">, sea </w:t>
      </w:r>
      <w:r w:rsidR="006762EC" w:rsidRPr="004068F6">
        <w:rPr>
          <w:rFonts w:cs="Arial"/>
          <w:spacing w:val="-3"/>
        </w:rPr>
        <w:t xml:space="preserve">ésta </w:t>
      </w:r>
      <w:r w:rsidRPr="004068F6">
        <w:rPr>
          <w:rFonts w:cs="Arial"/>
          <w:spacing w:val="-3"/>
        </w:rPr>
        <w:t>superficial</w:t>
      </w:r>
      <w:r w:rsidR="005472C6" w:rsidRPr="004068F6">
        <w:rPr>
          <w:rFonts w:cs="Arial"/>
          <w:spacing w:val="-3"/>
        </w:rPr>
        <w:t xml:space="preserve"> o </w:t>
      </w:r>
      <w:r w:rsidR="00F1505A" w:rsidRPr="004068F6">
        <w:rPr>
          <w:rFonts w:cs="Arial"/>
          <w:spacing w:val="-3"/>
        </w:rPr>
        <w:t>residual (según lo establecido en la Resolución 1256 de 2021 o aquella que la modifique o sustituya),</w:t>
      </w:r>
      <w:r w:rsidRPr="004068F6">
        <w:rPr>
          <w:spacing w:val="-3"/>
        </w:rPr>
        <w:t xml:space="preserve"> se debe presentar el </w:t>
      </w:r>
      <w:r w:rsidR="00FF0811" w:rsidRPr="004068F6">
        <w:rPr>
          <w:rFonts w:cs="Arial"/>
          <w:spacing w:val="-3"/>
        </w:rPr>
        <w:t>FUN</w:t>
      </w:r>
      <w:r w:rsidRPr="004068F6">
        <w:rPr>
          <w:rFonts w:cs="Arial"/>
          <w:spacing w:val="-3"/>
        </w:rPr>
        <w:t xml:space="preserve"> de </w:t>
      </w:r>
      <w:r w:rsidR="00E77B0F" w:rsidRPr="004068F6">
        <w:rPr>
          <w:rFonts w:cs="Arial"/>
          <w:spacing w:val="-3"/>
        </w:rPr>
        <w:t>s</w:t>
      </w:r>
      <w:r w:rsidRPr="004068F6">
        <w:rPr>
          <w:rFonts w:cs="Arial"/>
          <w:spacing w:val="-3"/>
        </w:rPr>
        <w:t xml:space="preserve">olicitud de </w:t>
      </w:r>
      <w:r w:rsidR="00E77B0F" w:rsidRPr="004068F6">
        <w:rPr>
          <w:rFonts w:cs="Arial"/>
          <w:spacing w:val="-3"/>
        </w:rPr>
        <w:t>c</w:t>
      </w:r>
      <w:r w:rsidRPr="004068F6">
        <w:rPr>
          <w:rFonts w:cs="Arial"/>
          <w:spacing w:val="-3"/>
        </w:rPr>
        <w:t xml:space="preserve">oncesión de </w:t>
      </w:r>
      <w:r w:rsidR="00E77B0F" w:rsidRPr="004068F6">
        <w:rPr>
          <w:rFonts w:cs="Arial"/>
          <w:spacing w:val="-3"/>
        </w:rPr>
        <w:t>a</w:t>
      </w:r>
      <w:r w:rsidRPr="004068F6">
        <w:rPr>
          <w:rFonts w:cs="Arial"/>
          <w:spacing w:val="-3"/>
        </w:rPr>
        <w:t xml:space="preserve">guas </w:t>
      </w:r>
      <w:r w:rsidR="00E77B0F" w:rsidRPr="004068F6">
        <w:rPr>
          <w:rFonts w:cs="Arial"/>
          <w:spacing w:val="-3"/>
        </w:rPr>
        <w:t>s</w:t>
      </w:r>
      <w:r w:rsidRPr="004068F6">
        <w:rPr>
          <w:rFonts w:cs="Arial"/>
          <w:spacing w:val="-3"/>
        </w:rPr>
        <w:t xml:space="preserve">uperficiales adoptado por la Resolución </w:t>
      </w:r>
      <w:r w:rsidR="00E72182" w:rsidRPr="004068F6">
        <w:rPr>
          <w:rFonts w:cs="Arial"/>
          <w:spacing w:val="-3"/>
        </w:rPr>
        <w:t>1058</w:t>
      </w:r>
      <w:r w:rsidRPr="004068F6">
        <w:rPr>
          <w:rFonts w:cs="Arial"/>
          <w:spacing w:val="-3"/>
        </w:rPr>
        <w:t xml:space="preserve"> de 20</w:t>
      </w:r>
      <w:r w:rsidR="00E72182" w:rsidRPr="004068F6">
        <w:rPr>
          <w:rFonts w:cs="Arial"/>
          <w:spacing w:val="-3"/>
        </w:rPr>
        <w:t>21</w:t>
      </w:r>
      <w:r w:rsidRPr="004068F6">
        <w:rPr>
          <w:rFonts w:cs="Arial"/>
          <w:spacing w:val="-3"/>
        </w:rPr>
        <w:t xml:space="preserve"> o por aquella norma que la modifique o sustituya, así como lo estipulado en los artículos 2.2.3.2.9.1. Solicitud de concesión y 2.2.3.2.9.2. Anexos a la </w:t>
      </w:r>
      <w:r w:rsidRPr="004068F6">
        <w:rPr>
          <w:spacing w:val="-3"/>
        </w:rPr>
        <w:t>solicitud</w:t>
      </w:r>
      <w:r w:rsidRPr="004068F6">
        <w:rPr>
          <w:rFonts w:cs="Arial"/>
          <w:spacing w:val="-3"/>
        </w:rPr>
        <w:t xml:space="preserve"> del Decreto 1076</w:t>
      </w:r>
      <w:r w:rsidRPr="004068F6">
        <w:rPr>
          <w:spacing w:val="-3"/>
        </w:rPr>
        <w:t xml:space="preserve"> de </w:t>
      </w:r>
      <w:r w:rsidRPr="004068F6">
        <w:rPr>
          <w:rFonts w:cs="Arial"/>
          <w:spacing w:val="-3"/>
        </w:rPr>
        <w:t>2015</w:t>
      </w:r>
      <w:r w:rsidR="00BE6C44" w:rsidRPr="004068F6">
        <w:rPr>
          <w:rFonts w:cs="Arial"/>
          <w:spacing w:val="-3"/>
        </w:rPr>
        <w:t>,</w:t>
      </w:r>
      <w:r w:rsidRPr="004068F6">
        <w:rPr>
          <w:spacing w:val="-3"/>
        </w:rPr>
        <w:t xml:space="preserve"> que incluye</w:t>
      </w:r>
      <w:r w:rsidR="00BE6C44" w:rsidRPr="004068F6">
        <w:rPr>
          <w:spacing w:val="-3"/>
        </w:rPr>
        <w:t>n</w:t>
      </w:r>
      <w:r w:rsidRPr="004068F6">
        <w:rPr>
          <w:spacing w:val="-3"/>
        </w:rPr>
        <w:t xml:space="preserve"> entre otra, la siguiente información:</w:t>
      </w:r>
    </w:p>
    <w:p w14:paraId="0E304617" w14:textId="77777777" w:rsidR="004A1B3C" w:rsidRPr="004068F6" w:rsidRDefault="004A1B3C">
      <w:pPr>
        <w:numPr>
          <w:ilvl w:val="12"/>
          <w:numId w:val="0"/>
        </w:numPr>
        <w:tabs>
          <w:tab w:val="left" w:pos="-2268"/>
        </w:tabs>
        <w:suppressAutoHyphens/>
        <w:rPr>
          <w:spacing w:val="-3"/>
        </w:rPr>
      </w:pPr>
    </w:p>
    <w:p w14:paraId="6CFD8884" w14:textId="56FA8ED3"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Caudal de agua solicitado, expresado en litros por segundo, así como el estimativo del consumo de agua requerido para las diferentes </w:t>
      </w:r>
      <w:r w:rsidRPr="004068F6">
        <w:rPr>
          <w:rFonts w:cs="Arial"/>
          <w:spacing w:val="-3"/>
          <w:lang w:val="es-CO"/>
        </w:rPr>
        <w:t>actividades</w:t>
      </w:r>
      <w:r w:rsidRPr="004068F6">
        <w:rPr>
          <w:spacing w:val="-3"/>
          <w:lang w:val="es-CO"/>
        </w:rPr>
        <w:t xml:space="preserve"> del proyecto</w:t>
      </w:r>
      <w:r w:rsidRPr="004068F6">
        <w:rPr>
          <w:rFonts w:cs="Arial"/>
          <w:spacing w:val="-3"/>
          <w:lang w:val="es-CO"/>
        </w:rPr>
        <w:t xml:space="preserve"> en cada una de sus </w:t>
      </w:r>
      <w:r w:rsidR="008015C3">
        <w:rPr>
          <w:spacing w:val="-3"/>
        </w:rPr>
        <w:t>etapas</w:t>
      </w:r>
      <w:r w:rsidRPr="004068F6">
        <w:rPr>
          <w:spacing w:val="-3"/>
          <w:lang w:val="es-CO"/>
        </w:rPr>
        <w:t>, expresado en las mismas unidades, discriminando el tipo de uso (doméstico, industrial)</w:t>
      </w:r>
      <w:r w:rsidR="00E45478" w:rsidRPr="004068F6">
        <w:rPr>
          <w:spacing w:val="-3"/>
          <w:lang w:val="es-CO"/>
        </w:rPr>
        <w:t xml:space="preserve">, tal como lo indica la Resolución </w:t>
      </w:r>
      <w:r w:rsidR="00CA4BEC" w:rsidRPr="004068F6">
        <w:rPr>
          <w:rFonts w:cs="Arial"/>
          <w:spacing w:val="-3"/>
          <w:lang w:val="es-CO"/>
        </w:rPr>
        <w:t>1058 de 2021</w:t>
      </w:r>
      <w:r w:rsidR="00E45478" w:rsidRPr="004068F6">
        <w:rPr>
          <w:spacing w:val="-3"/>
          <w:lang w:val="es-CO"/>
        </w:rPr>
        <w:t xml:space="preserve"> o aquella que la modifique o sustituya</w:t>
      </w:r>
      <w:r w:rsidRPr="004068F6">
        <w:rPr>
          <w:spacing w:val="-3"/>
          <w:lang w:val="es-CO"/>
        </w:rPr>
        <w:t>.</w:t>
      </w:r>
      <w:r w:rsidRPr="004068F6">
        <w:rPr>
          <w:rFonts w:cs="Arial"/>
          <w:spacing w:val="-3"/>
          <w:lang w:val="es-CO"/>
        </w:rPr>
        <w:t xml:space="preserve"> </w:t>
      </w:r>
    </w:p>
    <w:p w14:paraId="556B1794" w14:textId="77777777" w:rsidR="004A1B3C" w:rsidRPr="004068F6" w:rsidRDefault="004A1B3C" w:rsidP="00C86DA5">
      <w:pPr>
        <w:pStyle w:val="Prrafodelista"/>
        <w:tabs>
          <w:tab w:val="left" w:pos="-2268"/>
        </w:tabs>
        <w:suppressAutoHyphens/>
        <w:ind w:left="567" w:hanging="567"/>
        <w:rPr>
          <w:spacing w:val="-3"/>
          <w:lang w:val="es-CO"/>
        </w:rPr>
      </w:pPr>
    </w:p>
    <w:p w14:paraId="08746AB3" w14:textId="6DF0768B" w:rsidR="004A1B3C" w:rsidRPr="004068F6" w:rsidRDefault="00F61EA4"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Determinación </w:t>
      </w:r>
      <w:r w:rsidR="004A1B3C" w:rsidRPr="004068F6">
        <w:rPr>
          <w:spacing w:val="-3"/>
          <w:lang w:val="es-CO"/>
        </w:rPr>
        <w:t>de la fuente o sitio de captación, indicando los siguientes datos:</w:t>
      </w:r>
    </w:p>
    <w:p w14:paraId="2D2806B4" w14:textId="77777777" w:rsidR="00BE6C44" w:rsidRPr="004068F6" w:rsidRDefault="00BE6C44" w:rsidP="009420F5">
      <w:pPr>
        <w:tabs>
          <w:tab w:val="left" w:pos="-2268"/>
        </w:tabs>
        <w:suppressAutoHyphens/>
        <w:rPr>
          <w:spacing w:val="-3"/>
        </w:rPr>
      </w:pPr>
    </w:p>
    <w:p w14:paraId="045C13C5" w14:textId="7DE7555B"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 xml:space="preserve">Nombre de la fuente a utilizar de acuerdo con las clasificaciones establecidas en el Registro </w:t>
      </w:r>
      <w:r w:rsidR="00BE6C44" w:rsidRPr="004068F6">
        <w:rPr>
          <w:rFonts w:cs="Arial"/>
          <w:spacing w:val="-3"/>
        </w:rPr>
        <w:t>ú</w:t>
      </w:r>
      <w:r w:rsidRPr="004068F6">
        <w:rPr>
          <w:rFonts w:cs="Arial"/>
          <w:spacing w:val="-3"/>
        </w:rPr>
        <w:t xml:space="preserve">nico de </w:t>
      </w:r>
      <w:r w:rsidR="00BE6C44" w:rsidRPr="004068F6">
        <w:rPr>
          <w:rFonts w:cs="Arial"/>
          <w:spacing w:val="-3"/>
        </w:rPr>
        <w:t>r</w:t>
      </w:r>
      <w:r w:rsidRPr="004068F6">
        <w:rPr>
          <w:rFonts w:cs="Arial"/>
          <w:spacing w:val="-3"/>
        </w:rPr>
        <w:t xml:space="preserve">ecurso </w:t>
      </w:r>
      <w:r w:rsidR="00BE6C44" w:rsidRPr="004068F6">
        <w:rPr>
          <w:rFonts w:cs="Arial"/>
          <w:spacing w:val="-3"/>
        </w:rPr>
        <w:t>h</w:t>
      </w:r>
      <w:r w:rsidRPr="004068F6">
        <w:rPr>
          <w:rFonts w:cs="Arial"/>
          <w:spacing w:val="-3"/>
        </w:rPr>
        <w:t>ídrico.</w:t>
      </w:r>
    </w:p>
    <w:p w14:paraId="5B6F169A" w14:textId="77777777" w:rsidR="004A1B3C" w:rsidRPr="004068F6" w:rsidRDefault="004A1B3C" w:rsidP="009420F5">
      <w:pPr>
        <w:rPr>
          <w:spacing w:val="-3"/>
        </w:rPr>
      </w:pPr>
    </w:p>
    <w:p w14:paraId="4FC2E7F6" w14:textId="77777777"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Localización georreferenciada del punto o tramo homogéneo de captación propuesto.</w:t>
      </w:r>
    </w:p>
    <w:p w14:paraId="0349B64B" w14:textId="77777777" w:rsidR="004A1B3C" w:rsidRPr="004068F6" w:rsidRDefault="004A1B3C" w:rsidP="009420F5">
      <w:pPr>
        <w:rPr>
          <w:spacing w:val="-3"/>
        </w:rPr>
      </w:pPr>
    </w:p>
    <w:p w14:paraId="47A7E430" w14:textId="5CFFE709"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Predio en donde se ubica la fuente o a través del cual se accede directamente a</w:t>
      </w:r>
      <w:r w:rsidR="00E77B0F" w:rsidRPr="004068F6">
        <w:rPr>
          <w:rFonts w:cs="Arial"/>
          <w:spacing w:val="-3"/>
        </w:rPr>
        <w:t xml:space="preserve"> </w:t>
      </w:r>
      <w:r w:rsidRPr="004068F6">
        <w:rPr>
          <w:rFonts w:cs="Arial"/>
          <w:spacing w:val="-3"/>
        </w:rPr>
        <w:t>ésta (nombre del predio, propietario, vereda y municipio).</w:t>
      </w:r>
    </w:p>
    <w:p w14:paraId="0EE9DBFC" w14:textId="77777777" w:rsidR="004A1B3C" w:rsidRPr="004068F6" w:rsidRDefault="004A1B3C" w:rsidP="009420F5">
      <w:pPr>
        <w:rPr>
          <w:spacing w:val="-3"/>
        </w:rPr>
      </w:pPr>
    </w:p>
    <w:p w14:paraId="3CA8FE28" w14:textId="73D0174D"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Análisis de los conflictos actuales y potenciales sobre la disponibilidad del recurso hídrico, teniendo en cuenta el análisis hidrológico de caudales mínimos; así como el inventario y cuantificación aguas abajo de la captación hasta el límite del área </w:t>
      </w:r>
      <w:r w:rsidR="000300E0" w:rsidRPr="004068F6">
        <w:rPr>
          <w:spacing w:val="-3"/>
          <w:lang w:val="es-CO"/>
        </w:rPr>
        <w:t xml:space="preserve">que se caracterizó </w:t>
      </w:r>
      <w:r w:rsidR="0063578C" w:rsidRPr="004068F6">
        <w:rPr>
          <w:spacing w:val="-3"/>
          <w:lang w:val="es-CO"/>
        </w:rPr>
        <w:t>hidrológicamente</w:t>
      </w:r>
      <w:r w:rsidRPr="004068F6">
        <w:rPr>
          <w:spacing w:val="-3"/>
          <w:lang w:val="es-CO"/>
        </w:rPr>
        <w:t>, de los usos y usuarios registrados y</w:t>
      </w:r>
      <w:r w:rsidR="0082531F" w:rsidRPr="004068F6">
        <w:rPr>
          <w:spacing w:val="-3"/>
          <w:lang w:val="es-CO"/>
        </w:rPr>
        <w:t>,</w:t>
      </w:r>
      <w:r w:rsidRPr="004068F6">
        <w:rPr>
          <w:spacing w:val="-3"/>
          <w:lang w:val="es-CO"/>
        </w:rPr>
        <w:t xml:space="preserve"> </w:t>
      </w:r>
      <w:r w:rsidR="0082531F" w:rsidRPr="004068F6">
        <w:rPr>
          <w:spacing w:val="-3"/>
          <w:lang w:val="es-CO"/>
        </w:rPr>
        <w:t xml:space="preserve">en lo posible, los no registrados </w:t>
      </w:r>
      <w:r w:rsidRPr="004068F6">
        <w:rPr>
          <w:spacing w:val="-3"/>
          <w:lang w:val="es-CO"/>
        </w:rPr>
        <w:t>ante la autoridad ambiental competente (analizando los volúmenes y caudales captados), de acuerdo con la caracterización del recurso hídrico superficial presentado en la línea base ambiental para el componente hidrológico (oferta hídrica total</w:t>
      </w:r>
      <w:r w:rsidR="00E45478" w:rsidRPr="004068F6">
        <w:rPr>
          <w:spacing w:val="-3"/>
          <w:lang w:val="es-CO"/>
        </w:rPr>
        <w:t xml:space="preserve"> y</w:t>
      </w:r>
      <w:r w:rsidRPr="004068F6">
        <w:rPr>
          <w:spacing w:val="-3"/>
          <w:lang w:val="es-CO"/>
        </w:rPr>
        <w:t xml:space="preserve"> oferta hídrica disponible </w:t>
      </w:r>
      <w:r w:rsidR="00E45478" w:rsidRPr="004068F6">
        <w:rPr>
          <w:spacing w:val="-3"/>
          <w:lang w:val="es-CO"/>
        </w:rPr>
        <w:t>considerando el</w:t>
      </w:r>
      <w:r w:rsidRPr="004068F6">
        <w:rPr>
          <w:spacing w:val="-3"/>
          <w:lang w:val="es-CO"/>
        </w:rPr>
        <w:t xml:space="preserve"> caudal ambiental). Para cada punto </w:t>
      </w:r>
      <w:r w:rsidR="0013354F">
        <w:rPr>
          <w:spacing w:val="-3"/>
          <w:lang w:val="es-CO"/>
        </w:rPr>
        <w:t>por</w:t>
      </w:r>
      <w:r w:rsidRPr="004068F6">
        <w:rPr>
          <w:spacing w:val="-3"/>
          <w:lang w:val="es-CO"/>
        </w:rPr>
        <w:t xml:space="preserve"> intervenir, calcular el Índice de Uso de Agua (IUA), índice de Vulnerabilidad Hídrica (IVH) e Índice de Retención y Regulación Hídrica (IRH), de acuerdo </w:t>
      </w:r>
      <w:r w:rsidR="00E45478" w:rsidRPr="004068F6">
        <w:rPr>
          <w:spacing w:val="-3"/>
          <w:lang w:val="es-CO"/>
        </w:rPr>
        <w:t>con</w:t>
      </w:r>
      <w:r w:rsidRPr="004068F6">
        <w:rPr>
          <w:spacing w:val="-3"/>
          <w:lang w:val="es-CO"/>
        </w:rPr>
        <w:t xml:space="preserve"> la metodología del ENA </w:t>
      </w:r>
      <w:r w:rsidRPr="004068F6">
        <w:rPr>
          <w:rFonts w:cs="Arial"/>
          <w:spacing w:val="-3"/>
          <w:lang w:val="es-CO"/>
        </w:rPr>
        <w:t>2018</w:t>
      </w:r>
      <w:r w:rsidRPr="004068F6">
        <w:rPr>
          <w:spacing w:val="-3"/>
          <w:lang w:val="es-CO"/>
        </w:rPr>
        <w:t xml:space="preserve"> o su versión más actualizada.</w:t>
      </w:r>
    </w:p>
    <w:p w14:paraId="3A2B136E" w14:textId="77777777" w:rsidR="004A1B3C" w:rsidRPr="004068F6" w:rsidRDefault="004A1B3C" w:rsidP="00E77B0F">
      <w:pPr>
        <w:tabs>
          <w:tab w:val="left" w:pos="-2268"/>
        </w:tabs>
        <w:suppressAutoHyphens/>
        <w:ind w:left="567" w:hanging="567"/>
        <w:rPr>
          <w:spacing w:val="-3"/>
        </w:rPr>
      </w:pPr>
    </w:p>
    <w:p w14:paraId="21954711" w14:textId="377E96B1" w:rsidR="004A1B3C" w:rsidRPr="004068F6" w:rsidRDefault="00E45478" w:rsidP="00C86DA5">
      <w:pPr>
        <w:pStyle w:val="Prrafodelista"/>
        <w:numPr>
          <w:ilvl w:val="0"/>
          <w:numId w:val="5"/>
        </w:numPr>
        <w:tabs>
          <w:tab w:val="left" w:pos="-2268"/>
        </w:tabs>
        <w:suppressAutoHyphens/>
        <w:ind w:left="567" w:hanging="567"/>
        <w:rPr>
          <w:spacing w:val="-3"/>
          <w:lang w:val="es-CO"/>
        </w:rPr>
      </w:pPr>
      <w:r w:rsidRPr="004068F6">
        <w:rPr>
          <w:rFonts w:cs="Arial"/>
          <w:spacing w:val="-3"/>
          <w:lang w:val="es-CO"/>
        </w:rPr>
        <w:lastRenderedPageBreak/>
        <w:t>Información sobre los</w:t>
      </w:r>
      <w:r w:rsidR="004A1B3C" w:rsidRPr="004068F6">
        <w:rPr>
          <w:spacing w:val="-3"/>
          <w:lang w:val="es-CO"/>
        </w:rPr>
        <w:t xml:space="preserve"> sistemas </w:t>
      </w:r>
      <w:r w:rsidRPr="004068F6">
        <w:rPr>
          <w:rFonts w:cs="Arial"/>
          <w:spacing w:val="-3"/>
          <w:lang w:val="es-CO"/>
        </w:rPr>
        <w:t>previstos para la</w:t>
      </w:r>
      <w:r w:rsidR="004A1B3C" w:rsidRPr="004068F6">
        <w:rPr>
          <w:spacing w:val="-3"/>
          <w:lang w:val="es-CO"/>
        </w:rPr>
        <w:t xml:space="preserve"> captación, derivación, conducción, restitución de sobrantes y distribución</w:t>
      </w:r>
      <w:r w:rsidRPr="004068F6">
        <w:rPr>
          <w:spacing w:val="-3"/>
          <w:lang w:val="es-CO"/>
        </w:rPr>
        <w:t xml:space="preserve"> </w:t>
      </w:r>
      <w:r w:rsidRPr="004068F6">
        <w:rPr>
          <w:rFonts w:cs="Arial"/>
          <w:spacing w:val="-3"/>
          <w:lang w:val="es-CO"/>
        </w:rPr>
        <w:t>y drenaje</w:t>
      </w:r>
      <w:r w:rsidR="004A1B3C" w:rsidRPr="004068F6">
        <w:rPr>
          <w:spacing w:val="-3"/>
          <w:lang w:val="es-CO"/>
        </w:rPr>
        <w:t>.</w:t>
      </w:r>
    </w:p>
    <w:p w14:paraId="76D4246D" w14:textId="77777777" w:rsidR="004A1B3C" w:rsidRPr="004068F6" w:rsidRDefault="004A1B3C" w:rsidP="00E77B0F">
      <w:pPr>
        <w:tabs>
          <w:tab w:val="left" w:pos="-2268"/>
        </w:tabs>
        <w:suppressAutoHyphens/>
        <w:ind w:left="567" w:hanging="567"/>
        <w:rPr>
          <w:spacing w:val="-3"/>
        </w:rPr>
      </w:pPr>
    </w:p>
    <w:p w14:paraId="43864DDA" w14:textId="41E9C333"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Si la concesión de agua incluye el uso para consumo humano y doméstico, se debe dar cumplimiento al Decreto 1575 de 2007 y a la Resolución 2115 de 2007, o a aquellas normas que los modifiquen</w:t>
      </w:r>
      <w:r w:rsidRPr="004068F6">
        <w:rPr>
          <w:rFonts w:cs="Arial"/>
          <w:spacing w:val="-3"/>
          <w:lang w:val="es-CO"/>
        </w:rPr>
        <w:t xml:space="preserve"> o</w:t>
      </w:r>
      <w:r w:rsidRPr="004068F6">
        <w:rPr>
          <w:spacing w:val="-3"/>
          <w:lang w:val="es-CO"/>
        </w:rPr>
        <w:t xml:space="preserve"> sustituyan.</w:t>
      </w:r>
    </w:p>
    <w:p w14:paraId="08C86CC2" w14:textId="77777777" w:rsidR="004A1B3C" w:rsidRPr="004068F6" w:rsidRDefault="004A1B3C">
      <w:pPr>
        <w:numPr>
          <w:ilvl w:val="12"/>
          <w:numId w:val="0"/>
        </w:numPr>
        <w:tabs>
          <w:tab w:val="left" w:pos="-2268"/>
        </w:tabs>
        <w:suppressAutoHyphens/>
        <w:rPr>
          <w:spacing w:val="-3"/>
        </w:rPr>
      </w:pPr>
    </w:p>
    <w:p w14:paraId="0C00FDD6" w14:textId="3971456D" w:rsidR="004A1B3C" w:rsidRPr="004068F6" w:rsidRDefault="004A1B3C" w:rsidP="0068149C">
      <w:pPr>
        <w:pStyle w:val="Ttulo2"/>
        <w:rPr>
          <w:lang w:val="es-CO"/>
        </w:rPr>
      </w:pPr>
      <w:bookmarkStart w:id="3097" w:name="_Toc150593803"/>
      <w:bookmarkStart w:id="3098" w:name="_Toc274067220"/>
      <w:bookmarkStart w:id="3099" w:name="_Toc370214521"/>
      <w:bookmarkStart w:id="3100" w:name="_Toc378923308"/>
      <w:bookmarkStart w:id="3101" w:name="_Toc387312766"/>
      <w:bookmarkStart w:id="3102" w:name="_Toc393967341"/>
      <w:bookmarkStart w:id="3103" w:name="_Toc393464171"/>
      <w:bookmarkStart w:id="3104" w:name="_Toc405366858"/>
      <w:bookmarkStart w:id="3105" w:name="_Toc405372405"/>
      <w:bookmarkStart w:id="3106" w:name="_Toc412803203"/>
      <w:bookmarkStart w:id="3107" w:name="_Toc437936043"/>
      <w:bookmarkStart w:id="3108" w:name="_Toc42874872"/>
      <w:bookmarkStart w:id="3109" w:name="_Ref77316770"/>
      <w:bookmarkStart w:id="3110" w:name="_Hlk135387259"/>
      <w:bookmarkStart w:id="3111" w:name="_Toc230879673"/>
      <w:r w:rsidRPr="004068F6">
        <w:rPr>
          <w:lang w:val="es-CO"/>
        </w:rPr>
        <w:t>EXPLORACIÓN DE AGUA SUBTERRÁNEA</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1D16A66E" w14:textId="77777777" w:rsidR="004A1B3C" w:rsidRPr="004068F6" w:rsidRDefault="004A1B3C">
      <w:pPr>
        <w:numPr>
          <w:ilvl w:val="12"/>
          <w:numId w:val="0"/>
        </w:numPr>
        <w:tabs>
          <w:tab w:val="left" w:pos="-2268"/>
        </w:tabs>
        <w:suppressAutoHyphens/>
        <w:rPr>
          <w:spacing w:val="-3"/>
        </w:rPr>
      </w:pPr>
    </w:p>
    <w:p w14:paraId="08FB7978" w14:textId="3D009806" w:rsidR="004A1B3C" w:rsidRPr="004068F6" w:rsidRDefault="004A1B3C">
      <w:pPr>
        <w:numPr>
          <w:ilvl w:val="12"/>
          <w:numId w:val="0"/>
        </w:numPr>
        <w:tabs>
          <w:tab w:val="left" w:pos="-2268"/>
        </w:tabs>
        <w:suppressAutoHyphens/>
        <w:rPr>
          <w:spacing w:val="-3"/>
        </w:rPr>
      </w:pPr>
      <w:r w:rsidRPr="004068F6">
        <w:rPr>
          <w:rFonts w:cs="Arial"/>
          <w:spacing w:val="-3"/>
        </w:rPr>
        <w:t xml:space="preserve">Cuando se requiera el permiso de exploración de aguas subterráneas se debe presentar debidamente diligenciado el </w:t>
      </w:r>
      <w:r w:rsidR="00FF0811" w:rsidRPr="004068F6">
        <w:rPr>
          <w:rFonts w:cs="Arial"/>
          <w:spacing w:val="-3"/>
        </w:rPr>
        <w:t xml:space="preserve">FUN </w:t>
      </w:r>
      <w:r w:rsidRPr="004068F6">
        <w:rPr>
          <w:rFonts w:cs="Arial"/>
          <w:spacing w:val="-3"/>
        </w:rPr>
        <w:t xml:space="preserve">de </w:t>
      </w:r>
      <w:r w:rsidR="00FF0811" w:rsidRPr="004068F6">
        <w:rPr>
          <w:rFonts w:cs="Arial"/>
          <w:spacing w:val="-3"/>
        </w:rPr>
        <w:t>s</w:t>
      </w:r>
      <w:r w:rsidRPr="004068F6">
        <w:rPr>
          <w:rFonts w:cs="Arial"/>
          <w:spacing w:val="-3"/>
        </w:rPr>
        <w:t xml:space="preserve">olicitud de </w:t>
      </w:r>
      <w:bookmarkStart w:id="3112" w:name="_Hlk96499047"/>
      <w:r w:rsidR="00FF0811" w:rsidRPr="004068F6">
        <w:rPr>
          <w:rFonts w:cs="Arial"/>
          <w:spacing w:val="-3"/>
        </w:rPr>
        <w:t>p</w:t>
      </w:r>
      <w:r w:rsidRPr="004068F6">
        <w:rPr>
          <w:rFonts w:cs="Arial"/>
          <w:spacing w:val="-3"/>
        </w:rPr>
        <w:t xml:space="preserve">rospección y </w:t>
      </w:r>
      <w:r w:rsidR="00FF0811" w:rsidRPr="004068F6">
        <w:rPr>
          <w:rFonts w:cs="Arial"/>
          <w:spacing w:val="-3"/>
        </w:rPr>
        <w:t>e</w:t>
      </w:r>
      <w:r w:rsidRPr="004068F6">
        <w:rPr>
          <w:rFonts w:cs="Arial"/>
          <w:spacing w:val="-3"/>
        </w:rPr>
        <w:t xml:space="preserve">xploración de </w:t>
      </w:r>
      <w:r w:rsidR="00FF0811" w:rsidRPr="004068F6">
        <w:rPr>
          <w:rFonts w:cs="Arial"/>
          <w:spacing w:val="-3"/>
        </w:rPr>
        <w:t>a</w:t>
      </w:r>
      <w:r w:rsidRPr="004068F6">
        <w:rPr>
          <w:rFonts w:cs="Arial"/>
          <w:spacing w:val="-3"/>
        </w:rPr>
        <w:t xml:space="preserve">guas </w:t>
      </w:r>
      <w:r w:rsidR="00FF0811" w:rsidRPr="004068F6">
        <w:rPr>
          <w:rFonts w:cs="Arial"/>
          <w:spacing w:val="-3"/>
        </w:rPr>
        <w:t>s</w:t>
      </w:r>
      <w:r w:rsidRPr="004068F6">
        <w:rPr>
          <w:rFonts w:cs="Arial"/>
          <w:spacing w:val="-3"/>
        </w:rPr>
        <w:t>ubterráneas</w:t>
      </w:r>
      <w:bookmarkEnd w:id="3112"/>
      <w:r w:rsidRPr="004068F6">
        <w:rPr>
          <w:rFonts w:cs="Arial"/>
          <w:spacing w:val="-3"/>
        </w:rPr>
        <w:t xml:space="preserve"> adoptado por la Resolución </w:t>
      </w:r>
      <w:r w:rsidR="00017DA7" w:rsidRPr="004068F6">
        <w:rPr>
          <w:rFonts w:cs="Arial"/>
          <w:spacing w:val="-3"/>
        </w:rPr>
        <w:t>1058 de 2021</w:t>
      </w:r>
      <w:r w:rsidRPr="004068F6">
        <w:rPr>
          <w:rFonts w:cs="Arial"/>
          <w:spacing w:val="-3"/>
        </w:rPr>
        <w:t xml:space="preserve"> o aquella que lo modifique o sustituya, así como lo estipulado en los artículos 2.2.3.2.16.5. Requisitos para la obtención del permiso, 2.2.3.2.16.6. Anexos solicitud de permiso y 2.2.3.2.16.9</w:t>
      </w:r>
      <w:r w:rsidR="00FF0811" w:rsidRPr="004068F6">
        <w:rPr>
          <w:rFonts w:cs="Arial"/>
          <w:spacing w:val="-3"/>
        </w:rPr>
        <w:t>.</w:t>
      </w:r>
      <w:r w:rsidRPr="004068F6">
        <w:rPr>
          <w:rFonts w:cs="Arial"/>
          <w:spacing w:val="-3"/>
        </w:rPr>
        <w:t xml:space="preserve"> </w:t>
      </w:r>
      <w:r w:rsidR="00FF0811" w:rsidRPr="004068F6">
        <w:rPr>
          <w:rFonts w:cs="Arial"/>
          <w:spacing w:val="-3"/>
        </w:rPr>
        <w:t>E</w:t>
      </w:r>
      <w:r w:rsidRPr="004068F6">
        <w:rPr>
          <w:rFonts w:cs="Arial"/>
          <w:spacing w:val="-3"/>
        </w:rPr>
        <w:t>xploración y aspectos a considerar del Decreto 1076 de 2015. Teniendo en cuenta lo anterior y con</w:t>
      </w:r>
      <w:r w:rsidRPr="004068F6">
        <w:rPr>
          <w:spacing w:val="-3"/>
        </w:rPr>
        <w:t xml:space="preserve"> base en la caracterización hidrogeológica, para la exploración de agua subterránea se debe presentar:</w:t>
      </w:r>
    </w:p>
    <w:p w14:paraId="326FAA37" w14:textId="77777777" w:rsidR="004A1B3C" w:rsidRPr="004068F6" w:rsidRDefault="004A1B3C">
      <w:pPr>
        <w:numPr>
          <w:ilvl w:val="12"/>
          <w:numId w:val="0"/>
        </w:numPr>
        <w:tabs>
          <w:tab w:val="left" w:pos="-2268"/>
        </w:tabs>
        <w:suppressAutoHyphens/>
        <w:rPr>
          <w:spacing w:val="-3"/>
        </w:rPr>
      </w:pPr>
    </w:p>
    <w:p w14:paraId="00E1CD9C" w14:textId="5AD4FCD0"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Localización georreferenciada de los polígonos en los que se </w:t>
      </w:r>
      <w:r w:rsidR="00972B99" w:rsidRPr="004068F6">
        <w:rPr>
          <w:spacing w:val="-3"/>
          <w:lang w:val="es-CO"/>
        </w:rPr>
        <w:t xml:space="preserve">plantea </w:t>
      </w:r>
      <w:r w:rsidRPr="004068F6">
        <w:rPr>
          <w:spacing w:val="-3"/>
          <w:lang w:val="es-CO"/>
        </w:rPr>
        <w:t xml:space="preserve">ubicar los sitios propuestos para realizar las perforaciones exploratorias, presentando la cartografía a la escala que establezcan los términos de referencia, o a una más detallada si el análisis lo requiere, señalando los predios en los que se localizan y la </w:t>
      </w:r>
      <w:r w:rsidR="00972B99" w:rsidRPr="004068F6">
        <w:rPr>
          <w:spacing w:val="-3"/>
          <w:lang w:val="es-CO"/>
        </w:rPr>
        <w:t xml:space="preserve">tenencia </w:t>
      </w:r>
      <w:r w:rsidRPr="004068F6">
        <w:rPr>
          <w:spacing w:val="-3"/>
          <w:lang w:val="es-CO"/>
        </w:rPr>
        <w:t xml:space="preserve">de </w:t>
      </w:r>
      <w:r w:rsidR="00FF0811" w:rsidRPr="004068F6">
        <w:rPr>
          <w:spacing w:val="-3"/>
          <w:lang w:val="es-CO"/>
        </w:rPr>
        <w:t>é</w:t>
      </w:r>
      <w:r w:rsidR="00E45478" w:rsidRPr="004068F6">
        <w:rPr>
          <w:spacing w:val="-3"/>
          <w:lang w:val="es-CO"/>
        </w:rPr>
        <w:t xml:space="preserve">stos (propios, ajenos o baldíos). En los proyectos en donde la zonificación </w:t>
      </w:r>
      <w:r w:rsidR="00E91078" w:rsidRPr="004068F6">
        <w:rPr>
          <w:spacing w:val="-3"/>
          <w:lang w:val="es-CO"/>
        </w:rPr>
        <w:t xml:space="preserve">ambiental </w:t>
      </w:r>
      <w:r w:rsidR="002F2681" w:rsidRPr="004068F6">
        <w:rPr>
          <w:spacing w:val="-3"/>
          <w:lang w:val="es-CO"/>
        </w:rPr>
        <w:t xml:space="preserve">constituye el elemento fundamental </w:t>
      </w:r>
      <w:r w:rsidR="00E91078" w:rsidRPr="004068F6">
        <w:rPr>
          <w:spacing w:val="-3"/>
          <w:lang w:val="es-CO"/>
        </w:rPr>
        <w:t xml:space="preserve">para </w:t>
      </w:r>
      <w:r w:rsidR="002F2681" w:rsidRPr="004068F6">
        <w:rPr>
          <w:spacing w:val="-3"/>
          <w:lang w:val="es-CO"/>
        </w:rPr>
        <w:t xml:space="preserve">su </w:t>
      </w:r>
      <w:r w:rsidR="00E45478" w:rsidRPr="004068F6">
        <w:rPr>
          <w:spacing w:val="-3"/>
          <w:lang w:val="es-CO"/>
        </w:rPr>
        <w:t>planificación</w:t>
      </w:r>
      <w:r w:rsidR="002F2681" w:rsidRPr="004068F6">
        <w:rPr>
          <w:spacing w:val="-3"/>
          <w:lang w:val="es-CO"/>
        </w:rPr>
        <w:t xml:space="preserve"> (</w:t>
      </w:r>
      <w:r w:rsidR="00041844" w:rsidRPr="004068F6">
        <w:rPr>
          <w:spacing w:val="-3"/>
          <w:lang w:val="es-CO"/>
        </w:rPr>
        <w:t>p. ej.</w:t>
      </w:r>
      <w:r w:rsidR="002F2681" w:rsidRPr="004068F6">
        <w:rPr>
          <w:spacing w:val="-3"/>
          <w:lang w:val="es-CO"/>
        </w:rPr>
        <w:t xml:space="preserve"> proyectos del sector hidrocarburos)</w:t>
      </w:r>
      <w:r w:rsidR="00E45478" w:rsidRPr="004068F6">
        <w:rPr>
          <w:spacing w:val="-3"/>
          <w:lang w:val="es-CO"/>
        </w:rPr>
        <w:t>, se debe presentar la localización georreferenciada más aproximada del sitio en donde se proyecta realizar la exploración de aguas subterráneas</w:t>
      </w:r>
      <w:r w:rsidR="00FF0811" w:rsidRPr="004068F6">
        <w:rPr>
          <w:spacing w:val="-3"/>
          <w:lang w:val="es-CO"/>
        </w:rPr>
        <w:t xml:space="preserve">; la ubicación definitiva se informa </w:t>
      </w:r>
      <w:r w:rsidR="00E45478" w:rsidRPr="004068F6">
        <w:rPr>
          <w:spacing w:val="-3"/>
          <w:lang w:val="es-CO"/>
        </w:rPr>
        <w:t>en los Planes de Manejo Ambiental específicos</w:t>
      </w:r>
      <w:r w:rsidRPr="004068F6">
        <w:rPr>
          <w:spacing w:val="-3"/>
          <w:lang w:val="es-CO"/>
        </w:rPr>
        <w:t>.</w:t>
      </w:r>
    </w:p>
    <w:p w14:paraId="7199940A" w14:textId="77777777" w:rsidR="004A1B3C" w:rsidRPr="004068F6" w:rsidRDefault="004A1B3C" w:rsidP="00E77B0F">
      <w:pPr>
        <w:tabs>
          <w:tab w:val="left" w:pos="-2268"/>
        </w:tabs>
        <w:suppressAutoHyphens/>
        <w:ind w:left="567" w:hanging="567"/>
        <w:rPr>
          <w:spacing w:val="-3"/>
        </w:rPr>
      </w:pPr>
    </w:p>
    <w:p w14:paraId="2BD13095" w14:textId="354D30B4"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Inventario de puntos de agua subterránea del área donde se proyecta realizar la exploración diligenciando el </w:t>
      </w:r>
      <w:r w:rsidR="00E91078" w:rsidRPr="004068F6">
        <w:rPr>
          <w:spacing w:val="-3"/>
          <w:lang w:val="es-CO"/>
        </w:rPr>
        <w:t xml:space="preserve">correspondiente </w:t>
      </w:r>
      <w:r w:rsidR="00317CBA" w:rsidRPr="004068F6">
        <w:rPr>
          <w:spacing w:val="-3"/>
          <w:lang w:val="es-CO"/>
        </w:rPr>
        <w:t>FUN</w:t>
      </w:r>
      <w:r w:rsidRPr="004068F6">
        <w:rPr>
          <w:spacing w:val="-3"/>
          <w:lang w:val="es-CO"/>
        </w:rPr>
        <w:t>.</w:t>
      </w:r>
    </w:p>
    <w:p w14:paraId="13418731" w14:textId="77777777" w:rsidR="004A1B3C" w:rsidRPr="004068F6" w:rsidRDefault="004A1B3C" w:rsidP="00E77B0F">
      <w:pPr>
        <w:tabs>
          <w:tab w:val="left" w:pos="-2268"/>
        </w:tabs>
        <w:suppressAutoHyphens/>
        <w:ind w:left="567" w:hanging="567"/>
        <w:rPr>
          <w:spacing w:val="-3"/>
        </w:rPr>
      </w:pPr>
    </w:p>
    <w:p w14:paraId="53EC2C14"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Estudio geofísico empleado para determinar la localización de los pozos exploratorios, con la ubicación y la interpretación de los sondeos eléctricos verticales (u otros métodos geofísicos) y los perfiles geológico-geofísicos realizados. Se deben adjuntar los datos de campo.</w:t>
      </w:r>
    </w:p>
    <w:p w14:paraId="2663EDD5" w14:textId="77777777" w:rsidR="004A1B3C" w:rsidRPr="004068F6" w:rsidRDefault="004A1B3C" w:rsidP="00E77B0F">
      <w:pPr>
        <w:tabs>
          <w:tab w:val="left" w:pos="-2268"/>
        </w:tabs>
        <w:suppressAutoHyphens/>
        <w:ind w:left="567" w:hanging="567"/>
        <w:rPr>
          <w:spacing w:val="-3"/>
        </w:rPr>
      </w:pPr>
    </w:p>
    <w:p w14:paraId="62A7D3CD" w14:textId="6D52359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Localización georreferenciada de los sitios propuestos para realizar las perforaciones exploratorias en cartografía con la escala que definan los términos de referencia o </w:t>
      </w:r>
      <w:r w:rsidR="00317CBA" w:rsidRPr="004068F6">
        <w:rPr>
          <w:spacing w:val="-3"/>
          <w:lang w:val="es-CO"/>
        </w:rPr>
        <w:t xml:space="preserve">una </w:t>
      </w:r>
      <w:r w:rsidRPr="004068F6">
        <w:rPr>
          <w:spacing w:val="-3"/>
          <w:lang w:val="es-CO"/>
        </w:rPr>
        <w:t>más detallada, de ser necesario.</w:t>
      </w:r>
    </w:p>
    <w:p w14:paraId="5B754DFE" w14:textId="77777777" w:rsidR="004A1B3C" w:rsidRPr="004068F6" w:rsidRDefault="004A1B3C" w:rsidP="00E77B0F">
      <w:pPr>
        <w:tabs>
          <w:tab w:val="left" w:pos="-2268"/>
        </w:tabs>
        <w:suppressAutoHyphens/>
        <w:ind w:left="567" w:hanging="567"/>
        <w:rPr>
          <w:spacing w:val="-3"/>
        </w:rPr>
      </w:pPr>
    </w:p>
    <w:p w14:paraId="3E3DE00A"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Descripción del sistema de perforación a emplear, señalando las especificaciones del equipo, características técnicas, manejo ambiental, registros físicos del pozo y diseño </w:t>
      </w:r>
      <w:r w:rsidRPr="004068F6">
        <w:rPr>
          <w:spacing w:val="-3"/>
          <w:lang w:val="es-CO"/>
        </w:rPr>
        <w:lastRenderedPageBreak/>
        <w:t>preliminar del mismo (profundidad, diámetro, material de entubado, ubicación tentativa de filtros, tubería ciega y sello sanitario).</w:t>
      </w:r>
    </w:p>
    <w:p w14:paraId="66C8C682" w14:textId="77777777" w:rsidR="004A1B3C" w:rsidRPr="004068F6" w:rsidRDefault="004A1B3C" w:rsidP="00C86DA5">
      <w:pPr>
        <w:numPr>
          <w:ilvl w:val="12"/>
          <w:numId w:val="0"/>
        </w:numPr>
        <w:tabs>
          <w:tab w:val="left" w:pos="-2268"/>
        </w:tabs>
        <w:suppressAutoHyphens/>
        <w:rPr>
          <w:spacing w:val="-3"/>
        </w:rPr>
      </w:pPr>
    </w:p>
    <w:p w14:paraId="4215ADE1" w14:textId="654D3E5A" w:rsidR="005010C7" w:rsidRPr="004068F6" w:rsidRDefault="004654A3" w:rsidP="00C86DA5">
      <w:pPr>
        <w:numPr>
          <w:ilvl w:val="12"/>
          <w:numId w:val="0"/>
        </w:numPr>
        <w:tabs>
          <w:tab w:val="left" w:pos="-2268"/>
        </w:tabs>
        <w:suppressAutoHyphens/>
        <w:rPr>
          <w:rFonts w:cs="Arial"/>
          <w:spacing w:val="-3"/>
        </w:rPr>
      </w:pPr>
      <w:r w:rsidRPr="004068F6">
        <w:rPr>
          <w:rFonts w:cs="Arial"/>
          <w:spacing w:val="-3"/>
        </w:rPr>
        <w:t xml:space="preserve">En caso de que exista una línea base regional que sirva de insumo técnico a la autoridad ambiental competente para la exoneración del permiso de exploración de aguas subterráneas, no es </w:t>
      </w:r>
      <w:r w:rsidR="005010C7" w:rsidRPr="004068F6">
        <w:rPr>
          <w:rFonts w:cs="Arial"/>
          <w:spacing w:val="-3"/>
        </w:rPr>
        <w:t xml:space="preserve">necesario solicitar </w:t>
      </w:r>
      <w:r w:rsidRPr="004068F6">
        <w:rPr>
          <w:rFonts w:cs="Arial"/>
          <w:spacing w:val="-3"/>
        </w:rPr>
        <w:t xml:space="preserve">dicho </w:t>
      </w:r>
      <w:r w:rsidR="005010C7" w:rsidRPr="004068F6">
        <w:rPr>
          <w:rFonts w:cs="Arial"/>
          <w:spacing w:val="-3"/>
        </w:rPr>
        <w:t xml:space="preserve">permiso </w:t>
      </w:r>
      <w:r w:rsidR="00A7482C" w:rsidRPr="004068F6">
        <w:rPr>
          <w:rFonts w:cs="Arial"/>
          <w:spacing w:val="-3"/>
        </w:rPr>
        <w:t xml:space="preserve">ni </w:t>
      </w:r>
      <w:r w:rsidR="005010C7" w:rsidRPr="004068F6">
        <w:rPr>
          <w:rFonts w:cs="Arial"/>
          <w:spacing w:val="-3"/>
        </w:rPr>
        <w:t xml:space="preserve">adelantar </w:t>
      </w:r>
      <w:r w:rsidRPr="004068F6">
        <w:rPr>
          <w:rFonts w:cs="Arial"/>
          <w:spacing w:val="-3"/>
        </w:rPr>
        <w:t xml:space="preserve">el </w:t>
      </w:r>
      <w:r w:rsidR="005010C7" w:rsidRPr="004068F6">
        <w:rPr>
          <w:rFonts w:cs="Arial"/>
          <w:spacing w:val="-3"/>
        </w:rPr>
        <w:t>proceso de exploración</w:t>
      </w:r>
      <w:r w:rsidR="0072054C" w:rsidRPr="004068F6">
        <w:rPr>
          <w:rFonts w:cs="Arial"/>
          <w:spacing w:val="-3"/>
        </w:rPr>
        <w:t xml:space="preserve"> </w:t>
      </w:r>
      <w:r w:rsidR="00A7482C" w:rsidRPr="004068F6">
        <w:rPr>
          <w:rFonts w:cs="Arial"/>
          <w:spacing w:val="-3"/>
        </w:rPr>
        <w:t xml:space="preserve">(de acuerdo con el artículo 2.2.3.2.16.15. del Decreto 1076 de 2015 o aquel que lo modifique o sustituya). </w:t>
      </w:r>
      <w:r w:rsidR="005010C7" w:rsidRPr="004068F6">
        <w:rPr>
          <w:rFonts w:cs="Arial"/>
          <w:spacing w:val="-3"/>
        </w:rPr>
        <w:t xml:space="preserve">Para que la autoridad ambiental evalúe esta posibilidad, debe presentarse en el EIA información que </w:t>
      </w:r>
      <w:r w:rsidR="00A7482C" w:rsidRPr="004068F6">
        <w:rPr>
          <w:rFonts w:cs="Arial"/>
          <w:spacing w:val="-3"/>
        </w:rPr>
        <w:t xml:space="preserve">le </w:t>
      </w:r>
      <w:r w:rsidR="005010C7" w:rsidRPr="004068F6">
        <w:rPr>
          <w:rFonts w:cs="Arial"/>
          <w:spacing w:val="-3"/>
        </w:rPr>
        <w:t>permita establecer con claridad el conocimiento y potencial hídrico</w:t>
      </w:r>
      <w:r w:rsidR="00A7482C" w:rsidRPr="004068F6">
        <w:rPr>
          <w:rFonts w:cs="Arial"/>
          <w:spacing w:val="-3"/>
        </w:rPr>
        <w:t xml:space="preserve"> de la cuenca subterránea que se plantea intervenir</w:t>
      </w:r>
      <w:r w:rsidR="005010C7" w:rsidRPr="004068F6">
        <w:rPr>
          <w:rFonts w:cs="Arial"/>
          <w:spacing w:val="-3"/>
        </w:rPr>
        <w:t>, incluyendo el modelo hidrogeológico</w:t>
      </w:r>
      <w:r w:rsidR="00A7482C" w:rsidRPr="004068F6">
        <w:rPr>
          <w:rFonts w:cs="Arial"/>
          <w:spacing w:val="-3"/>
        </w:rPr>
        <w:t>,</w:t>
      </w:r>
      <w:r w:rsidR="005010C7" w:rsidRPr="004068F6">
        <w:rPr>
          <w:rFonts w:cs="Arial"/>
          <w:spacing w:val="-3"/>
        </w:rPr>
        <w:t xml:space="preserve"> pronunciamientos de las autoridades respectivas, estudios regionales</w:t>
      </w:r>
      <w:r w:rsidR="00A7482C" w:rsidRPr="004068F6">
        <w:rPr>
          <w:rFonts w:cs="Arial"/>
          <w:spacing w:val="-3"/>
        </w:rPr>
        <w:t xml:space="preserve"> u otros soportes</w:t>
      </w:r>
      <w:r w:rsidR="00AF5874" w:rsidRPr="004068F6">
        <w:rPr>
          <w:rFonts w:cs="Arial"/>
          <w:spacing w:val="-3"/>
        </w:rPr>
        <w:t xml:space="preserve"> relacionados</w:t>
      </w:r>
      <w:r w:rsidR="00A7482C" w:rsidRPr="004068F6">
        <w:rPr>
          <w:rFonts w:cs="Arial"/>
          <w:spacing w:val="-3"/>
        </w:rPr>
        <w:t>.</w:t>
      </w:r>
    </w:p>
    <w:p w14:paraId="54FEB6EC" w14:textId="77777777" w:rsidR="005010C7" w:rsidRPr="004068F6" w:rsidRDefault="005010C7" w:rsidP="00C86DA5">
      <w:pPr>
        <w:numPr>
          <w:ilvl w:val="12"/>
          <w:numId w:val="0"/>
        </w:numPr>
        <w:tabs>
          <w:tab w:val="left" w:pos="-2268"/>
        </w:tabs>
        <w:suppressAutoHyphens/>
        <w:rPr>
          <w:spacing w:val="-3"/>
        </w:rPr>
      </w:pPr>
    </w:p>
    <w:p w14:paraId="71D6D674" w14:textId="081CF3AE" w:rsidR="00E45478" w:rsidRPr="004068F6" w:rsidRDefault="00E91078" w:rsidP="00C86DA5">
      <w:pPr>
        <w:numPr>
          <w:ilvl w:val="12"/>
          <w:numId w:val="0"/>
        </w:numPr>
        <w:tabs>
          <w:tab w:val="left" w:pos="-2268"/>
        </w:tabs>
        <w:suppressAutoHyphens/>
        <w:rPr>
          <w:spacing w:val="-3"/>
        </w:rPr>
      </w:pPr>
      <w:r w:rsidRPr="004068F6">
        <w:rPr>
          <w:spacing w:val="-3"/>
        </w:rPr>
        <w:t>En caso de que la</w:t>
      </w:r>
      <w:r w:rsidR="00840EAA" w:rsidRPr="004068F6">
        <w:rPr>
          <w:spacing w:val="-3"/>
        </w:rPr>
        <w:t>s</w:t>
      </w:r>
      <w:r w:rsidRPr="004068F6">
        <w:rPr>
          <w:spacing w:val="-3"/>
        </w:rPr>
        <w:t xml:space="preserve"> </w:t>
      </w:r>
      <w:r w:rsidR="00840EAA" w:rsidRPr="004068F6">
        <w:rPr>
          <w:spacing w:val="-3"/>
        </w:rPr>
        <w:t xml:space="preserve">actividades de </w:t>
      </w:r>
      <w:r w:rsidRPr="004068F6">
        <w:rPr>
          <w:spacing w:val="-3"/>
        </w:rPr>
        <w:t xml:space="preserve">exploración </w:t>
      </w:r>
      <w:r w:rsidR="00840EAA" w:rsidRPr="004068F6">
        <w:rPr>
          <w:spacing w:val="-3"/>
        </w:rPr>
        <w:t>establezcan que hay potencial de aprovechamiento de aguas subterráneas</w:t>
      </w:r>
      <w:r w:rsidR="00602E26" w:rsidRPr="004068F6">
        <w:rPr>
          <w:spacing w:val="-3"/>
        </w:rPr>
        <w:t xml:space="preserve"> y que la licencia ambiental sea otorgada para tal aprovechamiento</w:t>
      </w:r>
      <w:r w:rsidR="00E45478" w:rsidRPr="004068F6">
        <w:rPr>
          <w:spacing w:val="-3"/>
        </w:rPr>
        <w:t xml:space="preserve">, </w:t>
      </w:r>
      <w:r w:rsidR="00840EAA" w:rsidRPr="004068F6">
        <w:rPr>
          <w:spacing w:val="-3"/>
        </w:rPr>
        <w:t xml:space="preserve">se debe solicitar la </w:t>
      </w:r>
      <w:r w:rsidR="00E45478" w:rsidRPr="004068F6">
        <w:rPr>
          <w:spacing w:val="-3"/>
        </w:rPr>
        <w:t>modifica</w:t>
      </w:r>
      <w:r w:rsidRPr="004068F6">
        <w:rPr>
          <w:spacing w:val="-3"/>
        </w:rPr>
        <w:t xml:space="preserve">ción de </w:t>
      </w:r>
      <w:r w:rsidR="00E45478" w:rsidRPr="004068F6">
        <w:rPr>
          <w:spacing w:val="-3"/>
        </w:rPr>
        <w:t xml:space="preserve">la licencia ambiental </w:t>
      </w:r>
      <w:r w:rsidRPr="004068F6">
        <w:rPr>
          <w:spacing w:val="-3"/>
        </w:rPr>
        <w:t xml:space="preserve">a fin de </w:t>
      </w:r>
      <w:r w:rsidR="00E45478" w:rsidRPr="004068F6">
        <w:rPr>
          <w:spacing w:val="-3"/>
        </w:rPr>
        <w:t>tramitar el permiso de concesión de aguas</w:t>
      </w:r>
      <w:r w:rsidRPr="004068F6">
        <w:rPr>
          <w:spacing w:val="-3"/>
        </w:rPr>
        <w:t xml:space="preserve"> subterráneas</w:t>
      </w:r>
      <w:r w:rsidR="00E45478" w:rsidRPr="004068F6">
        <w:rPr>
          <w:spacing w:val="-3"/>
        </w:rPr>
        <w:t>.</w:t>
      </w:r>
    </w:p>
    <w:p w14:paraId="1D1CBB95" w14:textId="77777777" w:rsidR="00E45478" w:rsidRPr="004068F6" w:rsidRDefault="00E45478" w:rsidP="00C86DA5">
      <w:pPr>
        <w:numPr>
          <w:ilvl w:val="12"/>
          <w:numId w:val="0"/>
        </w:numPr>
        <w:tabs>
          <w:tab w:val="left" w:pos="-2268"/>
        </w:tabs>
        <w:suppressAutoHyphens/>
        <w:rPr>
          <w:spacing w:val="-3"/>
        </w:rPr>
      </w:pPr>
    </w:p>
    <w:p w14:paraId="3F745220" w14:textId="6E2C92A5" w:rsidR="004A1B3C" w:rsidRPr="004068F6" w:rsidRDefault="004A1B3C" w:rsidP="0068149C">
      <w:pPr>
        <w:pStyle w:val="Ttulo2"/>
        <w:rPr>
          <w:lang w:val="es-CO"/>
        </w:rPr>
      </w:pPr>
      <w:bookmarkStart w:id="3113" w:name="_Toc42874873"/>
      <w:bookmarkStart w:id="3114" w:name="_Toc230879674"/>
      <w:r w:rsidRPr="004068F6">
        <w:rPr>
          <w:lang w:val="es-CO"/>
        </w:rPr>
        <w:t>CONCESIÓN DE AGUA SUBTERRÁNEA</w:t>
      </w:r>
      <w:bookmarkEnd w:id="3113"/>
      <w:bookmarkEnd w:id="3114"/>
    </w:p>
    <w:p w14:paraId="6C7F7ADA" w14:textId="77777777" w:rsidR="004A1B3C" w:rsidRPr="004068F6" w:rsidRDefault="004A1B3C" w:rsidP="004A1B3C">
      <w:pPr>
        <w:numPr>
          <w:ilvl w:val="12"/>
          <w:numId w:val="0"/>
        </w:numPr>
        <w:tabs>
          <w:tab w:val="left" w:pos="-2268"/>
        </w:tabs>
        <w:suppressAutoHyphens/>
        <w:rPr>
          <w:rFonts w:cs="Arial"/>
          <w:spacing w:val="-3"/>
        </w:rPr>
      </w:pPr>
    </w:p>
    <w:p w14:paraId="3BC79DBC" w14:textId="404A0049" w:rsidR="00E45478" w:rsidRPr="004068F6" w:rsidRDefault="004A1B3C">
      <w:pPr>
        <w:numPr>
          <w:ilvl w:val="12"/>
          <w:numId w:val="0"/>
        </w:numPr>
        <w:tabs>
          <w:tab w:val="left" w:pos="-2268"/>
        </w:tabs>
        <w:suppressAutoHyphens/>
        <w:rPr>
          <w:rFonts w:cs="Arial"/>
          <w:spacing w:val="-3"/>
        </w:rPr>
      </w:pPr>
      <w:r w:rsidRPr="004068F6">
        <w:rPr>
          <w:rFonts w:cs="Arial"/>
          <w:spacing w:val="-3"/>
        </w:rPr>
        <w:t>En caso</w:t>
      </w:r>
      <w:r w:rsidRPr="004068F6">
        <w:rPr>
          <w:spacing w:val="-3"/>
        </w:rPr>
        <w:t xml:space="preserve"> de </w:t>
      </w:r>
      <w:r w:rsidRPr="004068F6">
        <w:rPr>
          <w:rFonts w:cs="Arial"/>
          <w:spacing w:val="-3"/>
        </w:rPr>
        <w:t>requerir</w:t>
      </w:r>
      <w:r w:rsidRPr="004068F6">
        <w:rPr>
          <w:spacing w:val="-3"/>
        </w:rPr>
        <w:t xml:space="preserve"> una concesión de agua</w:t>
      </w:r>
      <w:r w:rsidR="005472C6" w:rsidRPr="004068F6">
        <w:rPr>
          <w:spacing w:val="-3"/>
        </w:rPr>
        <w:t xml:space="preserve">, </w:t>
      </w:r>
      <w:r w:rsidR="006762EC" w:rsidRPr="004068F6">
        <w:rPr>
          <w:spacing w:val="-3"/>
        </w:rPr>
        <w:t xml:space="preserve">sea ésta </w:t>
      </w:r>
      <w:r w:rsidR="005472C6" w:rsidRPr="004068F6">
        <w:rPr>
          <w:spacing w:val="-3"/>
        </w:rPr>
        <w:t>subterránea</w:t>
      </w:r>
      <w:r w:rsidR="005472C6" w:rsidRPr="004068F6">
        <w:rPr>
          <w:rFonts w:cs="Arial"/>
          <w:spacing w:val="-3"/>
        </w:rPr>
        <w:t xml:space="preserve"> o residual (según lo establecido en la Resolución 1256 de 2021 o aquella que la modifique o sustituya)</w:t>
      </w:r>
      <w:r w:rsidRPr="004068F6">
        <w:rPr>
          <w:rFonts w:cs="Arial"/>
          <w:spacing w:val="-3"/>
        </w:rPr>
        <w:t xml:space="preserve">, se debe </w:t>
      </w:r>
      <w:r w:rsidR="00E45478" w:rsidRPr="004068F6">
        <w:rPr>
          <w:rFonts w:cs="Arial"/>
          <w:spacing w:val="-3"/>
        </w:rPr>
        <w:t xml:space="preserve">contar previamente con </w:t>
      </w:r>
      <w:r w:rsidRPr="004068F6">
        <w:rPr>
          <w:rFonts w:cs="Arial"/>
          <w:spacing w:val="-3"/>
        </w:rPr>
        <w:t xml:space="preserve">el permiso de exploración de agua subterránea de acuerdo con lo establecido en el numeral </w:t>
      </w:r>
      <w:r w:rsidR="00FC23F8" w:rsidRPr="004068F6">
        <w:rPr>
          <w:rFonts w:cs="Arial"/>
          <w:spacing w:val="-3"/>
        </w:rPr>
        <w:fldChar w:fldCharType="begin"/>
      </w:r>
      <w:r w:rsidR="00FC23F8" w:rsidRPr="004068F6">
        <w:rPr>
          <w:rFonts w:cs="Arial"/>
          <w:spacing w:val="-3"/>
        </w:rPr>
        <w:instrText xml:space="preserve"> REF _Ref77316770 \r \h </w:instrText>
      </w:r>
      <w:r w:rsidR="006A4128" w:rsidRPr="004068F6">
        <w:rPr>
          <w:rFonts w:cs="Arial"/>
          <w:spacing w:val="-3"/>
        </w:rPr>
        <w:instrText xml:space="preserve"> \* MERGEFORMAT </w:instrText>
      </w:r>
      <w:r w:rsidR="00FC23F8" w:rsidRPr="004068F6">
        <w:rPr>
          <w:rFonts w:cs="Arial"/>
          <w:spacing w:val="-3"/>
        </w:rPr>
      </w:r>
      <w:r w:rsidR="00FC23F8" w:rsidRPr="004068F6">
        <w:rPr>
          <w:rFonts w:cs="Arial"/>
          <w:spacing w:val="-3"/>
        </w:rPr>
        <w:fldChar w:fldCharType="separate"/>
      </w:r>
      <w:r w:rsidR="009C4A81">
        <w:rPr>
          <w:rFonts w:cs="Arial"/>
          <w:spacing w:val="-3"/>
        </w:rPr>
        <w:t>6.2</w:t>
      </w:r>
      <w:r w:rsidR="00FC23F8" w:rsidRPr="004068F6">
        <w:rPr>
          <w:rFonts w:cs="Arial"/>
          <w:spacing w:val="-3"/>
        </w:rPr>
        <w:fldChar w:fldCharType="end"/>
      </w:r>
      <w:r w:rsidR="00FC23F8" w:rsidRPr="004068F6">
        <w:rPr>
          <w:rFonts w:cs="Arial"/>
          <w:spacing w:val="-3"/>
        </w:rPr>
        <w:t xml:space="preserve"> </w:t>
      </w:r>
      <w:r w:rsidRPr="004068F6">
        <w:rPr>
          <w:rFonts w:cs="Arial"/>
          <w:spacing w:val="-3"/>
        </w:rPr>
        <w:t xml:space="preserve">del </w:t>
      </w:r>
      <w:r w:rsidR="00FC23F8" w:rsidRPr="004068F6">
        <w:rPr>
          <w:rFonts w:cs="Arial"/>
          <w:spacing w:val="-3"/>
        </w:rPr>
        <w:t xml:space="preserve">capítulo III del </w:t>
      </w:r>
      <w:r w:rsidRPr="004068F6">
        <w:rPr>
          <w:rFonts w:cs="Arial"/>
          <w:spacing w:val="-3"/>
        </w:rPr>
        <w:t>presente documento.</w:t>
      </w:r>
    </w:p>
    <w:p w14:paraId="027D7803" w14:textId="77777777" w:rsidR="00E45478" w:rsidRPr="004068F6" w:rsidRDefault="00E45478">
      <w:pPr>
        <w:numPr>
          <w:ilvl w:val="12"/>
          <w:numId w:val="0"/>
        </w:numPr>
        <w:tabs>
          <w:tab w:val="left" w:pos="-2268"/>
        </w:tabs>
        <w:suppressAutoHyphens/>
        <w:rPr>
          <w:rFonts w:cs="Arial"/>
          <w:spacing w:val="-3"/>
        </w:rPr>
      </w:pPr>
    </w:p>
    <w:p w14:paraId="7198E63E" w14:textId="4887B12B" w:rsidR="004A1B3C" w:rsidRPr="004068F6" w:rsidRDefault="004A1B3C">
      <w:pPr>
        <w:numPr>
          <w:ilvl w:val="12"/>
          <w:numId w:val="0"/>
        </w:numPr>
        <w:tabs>
          <w:tab w:val="left" w:pos="-2268"/>
        </w:tabs>
        <w:suppressAutoHyphens/>
        <w:rPr>
          <w:spacing w:val="-3"/>
        </w:rPr>
      </w:pPr>
      <w:r w:rsidRPr="004068F6">
        <w:rPr>
          <w:rFonts w:cs="Arial"/>
          <w:spacing w:val="-3"/>
        </w:rPr>
        <w:t>Una vez obtenido este permiso,</w:t>
      </w:r>
      <w:r w:rsidRPr="004068F6">
        <w:rPr>
          <w:spacing w:val="-3"/>
        </w:rPr>
        <w:t xml:space="preserve"> se debe presentar la información requerida en el </w:t>
      </w:r>
      <w:r w:rsidR="00FC23F8" w:rsidRPr="004068F6">
        <w:rPr>
          <w:spacing w:val="-3"/>
        </w:rPr>
        <w:t xml:space="preserve">FUN </w:t>
      </w:r>
      <w:r w:rsidRPr="004068F6">
        <w:rPr>
          <w:spacing w:val="-3"/>
        </w:rPr>
        <w:t xml:space="preserve">de </w:t>
      </w:r>
      <w:r w:rsidR="00FC23F8" w:rsidRPr="004068F6">
        <w:rPr>
          <w:spacing w:val="-3"/>
        </w:rPr>
        <w:t>s</w:t>
      </w:r>
      <w:r w:rsidRPr="004068F6">
        <w:rPr>
          <w:spacing w:val="-3"/>
        </w:rPr>
        <w:t xml:space="preserve">olicitud de </w:t>
      </w:r>
      <w:r w:rsidR="00FC23F8" w:rsidRPr="004068F6">
        <w:rPr>
          <w:spacing w:val="-3"/>
        </w:rPr>
        <w:t>c</w:t>
      </w:r>
      <w:r w:rsidRPr="004068F6">
        <w:rPr>
          <w:spacing w:val="-3"/>
        </w:rPr>
        <w:t xml:space="preserve">oncesión de </w:t>
      </w:r>
      <w:r w:rsidR="00FC23F8" w:rsidRPr="004068F6">
        <w:rPr>
          <w:spacing w:val="-3"/>
        </w:rPr>
        <w:t>a</w:t>
      </w:r>
      <w:r w:rsidRPr="004068F6">
        <w:rPr>
          <w:spacing w:val="-3"/>
        </w:rPr>
        <w:t xml:space="preserve">guas </w:t>
      </w:r>
      <w:r w:rsidR="00FC23F8" w:rsidRPr="004068F6">
        <w:rPr>
          <w:spacing w:val="-3"/>
        </w:rPr>
        <w:t>s</w:t>
      </w:r>
      <w:r w:rsidRPr="004068F6">
        <w:rPr>
          <w:spacing w:val="-3"/>
        </w:rPr>
        <w:t>ubterráneas</w:t>
      </w:r>
      <w:r w:rsidRPr="004068F6">
        <w:rPr>
          <w:rFonts w:cs="Arial"/>
          <w:spacing w:val="-3"/>
        </w:rPr>
        <w:t xml:space="preserve"> adoptado por la Resolución </w:t>
      </w:r>
      <w:r w:rsidR="00017DA7" w:rsidRPr="004068F6">
        <w:rPr>
          <w:rFonts w:cs="Arial"/>
          <w:spacing w:val="-3"/>
        </w:rPr>
        <w:t>1058 de 2021</w:t>
      </w:r>
      <w:r w:rsidRPr="004068F6">
        <w:rPr>
          <w:rFonts w:cs="Arial"/>
          <w:spacing w:val="-3"/>
        </w:rPr>
        <w:t>, l</w:t>
      </w:r>
      <w:r w:rsidR="00FC23F8" w:rsidRPr="004068F6">
        <w:rPr>
          <w:rFonts w:cs="Arial"/>
          <w:spacing w:val="-3"/>
        </w:rPr>
        <w:t>a</w:t>
      </w:r>
      <w:r w:rsidRPr="004068F6">
        <w:rPr>
          <w:rFonts w:cs="Arial"/>
          <w:spacing w:val="-3"/>
        </w:rPr>
        <w:t xml:space="preserve"> estipulad</w:t>
      </w:r>
      <w:r w:rsidR="00FC23F8" w:rsidRPr="004068F6">
        <w:rPr>
          <w:rFonts w:cs="Arial"/>
          <w:spacing w:val="-3"/>
        </w:rPr>
        <w:t>a</w:t>
      </w:r>
      <w:r w:rsidRPr="004068F6">
        <w:rPr>
          <w:rFonts w:cs="Arial"/>
          <w:spacing w:val="-3"/>
        </w:rPr>
        <w:t xml:space="preserve"> en los artículos 2.2.3.2.16.14</w:t>
      </w:r>
      <w:r w:rsidR="00BA1EE1" w:rsidRPr="004068F6">
        <w:rPr>
          <w:rFonts w:cs="Arial"/>
          <w:spacing w:val="-3"/>
        </w:rPr>
        <w:t>.</w:t>
      </w:r>
      <w:r w:rsidRPr="004068F6">
        <w:rPr>
          <w:rFonts w:cs="Arial"/>
          <w:spacing w:val="-3"/>
        </w:rPr>
        <w:t xml:space="preserve"> Requisitos y trámite concesión, 2.2.3.2.9.1</w:t>
      </w:r>
      <w:r w:rsidR="00BA1EE1" w:rsidRPr="004068F6">
        <w:rPr>
          <w:rFonts w:cs="Arial"/>
          <w:spacing w:val="-3"/>
        </w:rPr>
        <w:t>.</w:t>
      </w:r>
      <w:r w:rsidRPr="004068F6">
        <w:rPr>
          <w:rFonts w:cs="Arial"/>
          <w:spacing w:val="-3"/>
        </w:rPr>
        <w:t xml:space="preserve"> Solicitud de concesión y 2.2.3.2.9.2. </w:t>
      </w:r>
      <w:r w:rsidR="00E77B0F" w:rsidRPr="004068F6">
        <w:rPr>
          <w:rFonts w:cs="Arial"/>
          <w:spacing w:val="-3"/>
        </w:rPr>
        <w:t>A</w:t>
      </w:r>
      <w:r w:rsidRPr="004068F6">
        <w:rPr>
          <w:rFonts w:cs="Arial"/>
          <w:spacing w:val="-3"/>
        </w:rPr>
        <w:t>nexos a la solicitud, del Decreto 1076 de 2015 o aquella norma que lo modifique o sustituya</w:t>
      </w:r>
      <w:r w:rsidR="00BA1EE1" w:rsidRPr="004068F6">
        <w:rPr>
          <w:rFonts w:cs="Arial"/>
          <w:spacing w:val="-3"/>
        </w:rPr>
        <w:t>,</w:t>
      </w:r>
      <w:r w:rsidRPr="004068F6">
        <w:rPr>
          <w:rFonts w:cs="Arial"/>
          <w:spacing w:val="-3"/>
        </w:rPr>
        <w:t xml:space="preserve"> así como la siguiente información</w:t>
      </w:r>
      <w:r w:rsidRPr="004068F6">
        <w:rPr>
          <w:spacing w:val="-3"/>
        </w:rPr>
        <w:t>:</w:t>
      </w:r>
    </w:p>
    <w:p w14:paraId="11C5CBD7" w14:textId="77777777" w:rsidR="004A1B3C" w:rsidRPr="004068F6" w:rsidRDefault="004A1B3C">
      <w:pPr>
        <w:numPr>
          <w:ilvl w:val="12"/>
          <w:numId w:val="0"/>
        </w:numPr>
        <w:tabs>
          <w:tab w:val="left" w:pos="-2268"/>
        </w:tabs>
        <w:suppressAutoHyphens/>
        <w:rPr>
          <w:spacing w:val="-3"/>
        </w:rPr>
      </w:pPr>
    </w:p>
    <w:p w14:paraId="6C29BF8F" w14:textId="2BB80E59"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rFonts w:cs="Arial"/>
          <w:spacing w:val="-3"/>
          <w:lang w:val="es-CO"/>
        </w:rPr>
        <w:t>Descripción</w:t>
      </w:r>
      <w:r w:rsidRPr="004068F6">
        <w:rPr>
          <w:spacing w:val="-3"/>
          <w:lang w:val="es-CO"/>
        </w:rPr>
        <w:t xml:space="preserve"> de los requerimientos de agua en términos de volumen, caudal y régimen de explotación.</w:t>
      </w:r>
    </w:p>
    <w:p w14:paraId="18A6C398" w14:textId="77777777" w:rsidR="004A1B3C" w:rsidRPr="004068F6" w:rsidRDefault="004A1B3C" w:rsidP="00C86DA5">
      <w:pPr>
        <w:numPr>
          <w:ilvl w:val="12"/>
          <w:numId w:val="0"/>
        </w:numPr>
        <w:tabs>
          <w:tab w:val="left" w:pos="-2268"/>
        </w:tabs>
        <w:suppressAutoHyphens/>
        <w:ind w:left="567" w:hanging="567"/>
        <w:rPr>
          <w:spacing w:val="-3"/>
        </w:rPr>
      </w:pPr>
    </w:p>
    <w:p w14:paraId="50AA4E66" w14:textId="68D705D9"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Localización georreferenciada de los pozos exploratorios perforados en mapas con la escala definida en los términos de referencia </w:t>
      </w:r>
      <w:r w:rsidR="00037008" w:rsidRPr="004068F6">
        <w:rPr>
          <w:spacing w:val="-3"/>
          <w:lang w:val="es-CO"/>
        </w:rPr>
        <w:t xml:space="preserve">que correspondan, </w:t>
      </w:r>
      <w:r w:rsidRPr="004068F6">
        <w:rPr>
          <w:spacing w:val="-3"/>
          <w:lang w:val="es-CO"/>
        </w:rPr>
        <w:t>o más detallada, si ello se requiere.</w:t>
      </w:r>
    </w:p>
    <w:p w14:paraId="308E7107" w14:textId="77777777" w:rsidR="004A1B3C" w:rsidRPr="004068F6" w:rsidRDefault="004A1B3C" w:rsidP="00C86DA5">
      <w:pPr>
        <w:numPr>
          <w:ilvl w:val="12"/>
          <w:numId w:val="0"/>
        </w:numPr>
        <w:tabs>
          <w:tab w:val="left" w:pos="-2268"/>
        </w:tabs>
        <w:suppressAutoHyphens/>
        <w:ind w:left="567" w:hanging="567"/>
        <w:rPr>
          <w:spacing w:val="-3"/>
        </w:rPr>
      </w:pPr>
    </w:p>
    <w:p w14:paraId="6392E871"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Informe de los resultados de los estudios de exploración, que incluya los estudios hidrogeológicos que se hubieran realizado indicando el tipo de investigación, método </w:t>
      </w:r>
      <w:r w:rsidRPr="004068F6">
        <w:rPr>
          <w:spacing w:val="-3"/>
          <w:lang w:val="es-CO"/>
        </w:rPr>
        <w:lastRenderedPageBreak/>
        <w:t>y análisis de las pruebas realizadas y los parámetros geohidráulicos de los acuíferos</w:t>
      </w:r>
      <w:r w:rsidRPr="004068F6">
        <w:rPr>
          <w:rStyle w:val="Refdenotaalpie"/>
          <w:rFonts w:cs="Arial"/>
          <w:spacing w:val="-3"/>
          <w:lang w:val="es-CO"/>
        </w:rPr>
        <w:footnoteReference w:id="196"/>
      </w:r>
      <w:r w:rsidRPr="004068F6">
        <w:rPr>
          <w:spacing w:val="-3"/>
          <w:lang w:val="es-CO"/>
        </w:rPr>
        <w:t xml:space="preserve"> identificados en los estudios.</w:t>
      </w:r>
    </w:p>
    <w:p w14:paraId="15EC1B28" w14:textId="77777777" w:rsidR="004A1B3C" w:rsidRPr="004068F6" w:rsidRDefault="004A1B3C" w:rsidP="00C86DA5">
      <w:pPr>
        <w:pStyle w:val="Prrafodelista"/>
        <w:ind w:left="567" w:hanging="567"/>
        <w:rPr>
          <w:spacing w:val="-3"/>
          <w:lang w:val="es-CO"/>
        </w:rPr>
      </w:pPr>
    </w:p>
    <w:p w14:paraId="1DDA9AC9" w14:textId="187C72CE" w:rsidR="004A1B3C" w:rsidRPr="004068F6" w:rsidRDefault="00F61EA4" w:rsidP="00E77B0F">
      <w:pPr>
        <w:pStyle w:val="Prrafodelista"/>
        <w:numPr>
          <w:ilvl w:val="0"/>
          <w:numId w:val="5"/>
        </w:numPr>
        <w:tabs>
          <w:tab w:val="left" w:pos="-2268"/>
        </w:tabs>
        <w:suppressAutoHyphens/>
        <w:ind w:left="567" w:hanging="567"/>
        <w:rPr>
          <w:rFonts w:cs="Arial"/>
          <w:spacing w:val="-3"/>
          <w:lang w:val="es-CO"/>
        </w:rPr>
      </w:pPr>
      <w:r w:rsidRPr="004068F6">
        <w:rPr>
          <w:rFonts w:cs="Arial"/>
          <w:spacing w:val="-3"/>
          <w:lang w:val="es-CO"/>
        </w:rPr>
        <w:t xml:space="preserve">Determinación </w:t>
      </w:r>
      <w:r w:rsidR="004A1B3C" w:rsidRPr="004068F6">
        <w:rPr>
          <w:rFonts w:cs="Arial"/>
          <w:spacing w:val="-3"/>
          <w:lang w:val="es-CO"/>
        </w:rPr>
        <w:t xml:space="preserve">y análisis de los posibles conflictos por la disponibilidad y usos del recurso, de acuerdo con la caracterización hidrogeológica del área que se presenta </w:t>
      </w:r>
      <w:r w:rsidR="00BA1EE1" w:rsidRPr="004068F6">
        <w:rPr>
          <w:rFonts w:cs="Arial"/>
          <w:spacing w:val="-3"/>
          <w:lang w:val="es-CO"/>
        </w:rPr>
        <w:t xml:space="preserve">en </w:t>
      </w:r>
      <w:r w:rsidR="004A1B3C" w:rsidRPr="004068F6">
        <w:rPr>
          <w:rFonts w:cs="Arial"/>
          <w:spacing w:val="-3"/>
          <w:lang w:val="es-CO"/>
        </w:rPr>
        <w:t>la caracterización del medio abiótico (</w:t>
      </w:r>
      <w:r w:rsidR="00041844" w:rsidRPr="004068F6">
        <w:rPr>
          <w:rFonts w:cs="Arial"/>
          <w:spacing w:val="-3"/>
          <w:lang w:val="es-CO"/>
        </w:rPr>
        <w:t>p. ej.</w:t>
      </w:r>
      <w:r w:rsidR="004A1B3C" w:rsidRPr="004068F6">
        <w:rPr>
          <w:rFonts w:cs="Arial"/>
          <w:spacing w:val="-3"/>
          <w:lang w:val="es-CO"/>
        </w:rPr>
        <w:t xml:space="preserve"> inventario de los puntos de agua subterránea).</w:t>
      </w:r>
    </w:p>
    <w:p w14:paraId="6670CEE9" w14:textId="77777777" w:rsidR="004A1B3C" w:rsidRPr="004068F6" w:rsidRDefault="004A1B3C" w:rsidP="00E77B0F">
      <w:pPr>
        <w:numPr>
          <w:ilvl w:val="12"/>
          <w:numId w:val="0"/>
        </w:numPr>
        <w:tabs>
          <w:tab w:val="left" w:pos="-2268"/>
        </w:tabs>
        <w:suppressAutoHyphens/>
        <w:ind w:left="567" w:hanging="567"/>
        <w:rPr>
          <w:rFonts w:cs="Arial"/>
          <w:spacing w:val="-3"/>
        </w:rPr>
      </w:pPr>
    </w:p>
    <w:p w14:paraId="10BE9BD6" w14:textId="1C083658"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Descripción litológica de las muestras obtenidas de la perforación exploratoria (para todos los pozos perforados, contengan agua o no), señalando </w:t>
      </w:r>
      <w:r w:rsidRPr="004068F6">
        <w:rPr>
          <w:rFonts w:cs="Arial"/>
          <w:spacing w:val="-3"/>
          <w:lang w:val="es-CO"/>
        </w:rPr>
        <w:t xml:space="preserve">como mínimo </w:t>
      </w:r>
      <w:r w:rsidRPr="004068F6">
        <w:rPr>
          <w:spacing w:val="-3"/>
          <w:lang w:val="es-CO"/>
        </w:rPr>
        <w:t>su espesor, composición, textura, granulometría y porosidad primaria o secundaria.</w:t>
      </w:r>
    </w:p>
    <w:p w14:paraId="7B6D1663" w14:textId="77777777" w:rsidR="004A1B3C" w:rsidRPr="004068F6" w:rsidRDefault="004A1B3C" w:rsidP="00C86DA5">
      <w:pPr>
        <w:numPr>
          <w:ilvl w:val="12"/>
          <w:numId w:val="0"/>
        </w:numPr>
        <w:tabs>
          <w:tab w:val="left" w:pos="-2268"/>
        </w:tabs>
        <w:suppressAutoHyphens/>
        <w:ind w:left="567" w:hanging="567"/>
        <w:rPr>
          <w:spacing w:val="-3"/>
        </w:rPr>
      </w:pPr>
    </w:p>
    <w:p w14:paraId="2300D644" w14:textId="02198B1D"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Perfil estratigráfico de los pozos perforados y descripción de las formaciones geológicas, elaborado con base en la descripción litológica, determinando el espesor y la porosidad primaria o secundaria de todos los pozos perforados, tengan o no agua.</w:t>
      </w:r>
    </w:p>
    <w:p w14:paraId="7228C3BE" w14:textId="77777777" w:rsidR="004A1B3C" w:rsidRPr="004068F6" w:rsidRDefault="004A1B3C" w:rsidP="00C86DA5">
      <w:pPr>
        <w:numPr>
          <w:ilvl w:val="12"/>
          <w:numId w:val="0"/>
        </w:numPr>
        <w:tabs>
          <w:tab w:val="left" w:pos="-2268"/>
        </w:tabs>
        <w:suppressAutoHyphens/>
        <w:ind w:left="567" w:hanging="567"/>
        <w:rPr>
          <w:spacing w:val="-3"/>
        </w:rPr>
      </w:pPr>
    </w:p>
    <w:p w14:paraId="20EA5672" w14:textId="003853FE"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Registros geofísicos de los pozos perforados, aportando los perfiles Gamma Ray, potencial espontáneo y resistividad sonda larga y corta con su correspondiente escala horizontal y vertical (profundidad). Se debe presentar la correlación de estos resultados con la rata de perforación del pozo y con el perfil estratigráfico, </w:t>
      </w:r>
      <w:r w:rsidR="00BA1EE1" w:rsidRPr="004068F6">
        <w:rPr>
          <w:spacing w:val="-3"/>
          <w:lang w:val="es-CO"/>
        </w:rPr>
        <w:t xml:space="preserve">a partir de la </w:t>
      </w:r>
      <w:r w:rsidRPr="004068F6">
        <w:rPr>
          <w:spacing w:val="-3"/>
          <w:lang w:val="es-CO"/>
        </w:rPr>
        <w:t>cual se debe sustentar el diseño definitivo del pozo, el tamaño de apertura de los filtros y el tamaño del empaque de grava.</w:t>
      </w:r>
    </w:p>
    <w:p w14:paraId="59032828" w14:textId="77777777" w:rsidR="004A1B3C" w:rsidRPr="004068F6" w:rsidRDefault="004A1B3C" w:rsidP="00C86DA5">
      <w:pPr>
        <w:numPr>
          <w:ilvl w:val="12"/>
          <w:numId w:val="0"/>
        </w:numPr>
        <w:tabs>
          <w:tab w:val="left" w:pos="-2268"/>
        </w:tabs>
        <w:suppressAutoHyphens/>
        <w:ind w:left="567" w:hanging="567"/>
        <w:rPr>
          <w:spacing w:val="-3"/>
        </w:rPr>
      </w:pPr>
    </w:p>
    <w:p w14:paraId="69287114" w14:textId="6625573F"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Diseño definitivo de los pozos perforados, incluyendo la descripción del tipo de tubería de revestimiento, filtros, empaque de grava y material utilizado para el sello sanitario,</w:t>
      </w:r>
      <w:r w:rsidR="00BA1EE1" w:rsidRPr="004068F6">
        <w:rPr>
          <w:spacing w:val="-3"/>
          <w:lang w:val="es-CO"/>
        </w:rPr>
        <w:t xml:space="preserve"> así como</w:t>
      </w:r>
      <w:r w:rsidRPr="004068F6">
        <w:rPr>
          <w:spacing w:val="-3"/>
          <w:lang w:val="es-CO"/>
        </w:rPr>
        <w:t xml:space="preserve"> nivelación topográfica. Ubicación y descripción de la infraestructura instalada (bomba sumergible, tubería de conducción y accesorios para su funcionamiento y tubería para medición de niveles, entre otras).</w:t>
      </w:r>
    </w:p>
    <w:p w14:paraId="4F86F158" w14:textId="77777777" w:rsidR="004A1B3C" w:rsidRPr="004068F6" w:rsidRDefault="004A1B3C" w:rsidP="00C86DA5">
      <w:pPr>
        <w:numPr>
          <w:ilvl w:val="12"/>
          <w:numId w:val="0"/>
        </w:numPr>
        <w:tabs>
          <w:tab w:val="left" w:pos="-2268"/>
        </w:tabs>
        <w:suppressAutoHyphens/>
        <w:ind w:left="567" w:hanging="567"/>
        <w:rPr>
          <w:spacing w:val="-3"/>
        </w:rPr>
      </w:pPr>
    </w:p>
    <w:p w14:paraId="26D73748" w14:textId="27E9EE51" w:rsidR="005010C7"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Datos de campo </w:t>
      </w:r>
      <w:r w:rsidR="00BA1EE1" w:rsidRPr="004068F6">
        <w:rPr>
          <w:spacing w:val="-3"/>
          <w:lang w:val="es-CO"/>
        </w:rPr>
        <w:t xml:space="preserve">sobre la </w:t>
      </w:r>
      <w:r w:rsidRPr="004068F6">
        <w:rPr>
          <w:spacing w:val="-3"/>
          <w:lang w:val="es-CO"/>
        </w:rPr>
        <w:t>variación de los niveles del agua subterránea con relación al tiempo y resultados de las pruebas de bombeo escalonadas, a caudal constante y de recuperación, especificando tipo, duración y caudal de la prueba</w:t>
      </w:r>
      <w:r w:rsidR="005010C7" w:rsidRPr="004068F6">
        <w:rPr>
          <w:spacing w:val="-3"/>
          <w:lang w:val="es-CO"/>
        </w:rPr>
        <w:t>,</w:t>
      </w:r>
      <w:r w:rsidRPr="004068F6">
        <w:rPr>
          <w:spacing w:val="-3"/>
          <w:lang w:val="es-CO"/>
        </w:rPr>
        <w:t xml:space="preserve"> así como la interpretación de las mismas, describiendo el método de análisis empleado, los parámetros hidráulicos obtenidos (trasmisividad, conductividad hidráulica, coeficiente de almacenamiento, capacidad específica, entre otros), la delimitación del radio de influencia del pozo y el caudal óptimo de producción. </w:t>
      </w:r>
    </w:p>
    <w:p w14:paraId="5F9EF92C" w14:textId="77777777" w:rsidR="005010C7" w:rsidRPr="004068F6" w:rsidRDefault="005010C7" w:rsidP="009420F5">
      <w:pPr>
        <w:rPr>
          <w:spacing w:val="-3"/>
        </w:rPr>
      </w:pPr>
    </w:p>
    <w:p w14:paraId="36992BDC" w14:textId="43141C3A" w:rsidR="005010C7" w:rsidRPr="004068F6" w:rsidRDefault="004A1B3C" w:rsidP="009420F5">
      <w:pPr>
        <w:pStyle w:val="Prrafodelista"/>
        <w:tabs>
          <w:tab w:val="left" w:pos="-2268"/>
        </w:tabs>
        <w:suppressAutoHyphens/>
        <w:ind w:left="567"/>
        <w:rPr>
          <w:spacing w:val="-3"/>
          <w:lang w:val="es-CO"/>
        </w:rPr>
      </w:pPr>
      <w:r w:rsidRPr="004068F6">
        <w:rPr>
          <w:spacing w:val="-3"/>
          <w:lang w:val="es-CO"/>
        </w:rPr>
        <w:lastRenderedPageBreak/>
        <w:t>Las pruebas de bombeo deben realizarse midiendo niveles tanto en el pozo bombeado como en pozos de observación que capten de los mismos niveles</w:t>
      </w:r>
      <w:r w:rsidR="005010C7" w:rsidRPr="004068F6">
        <w:rPr>
          <w:spacing w:val="-3"/>
          <w:lang w:val="es-CO"/>
        </w:rPr>
        <w:t>,</w:t>
      </w:r>
      <w:r w:rsidRPr="004068F6">
        <w:rPr>
          <w:spacing w:val="-3"/>
          <w:lang w:val="es-CO"/>
        </w:rPr>
        <w:t xml:space="preserve"> para lo cual </w:t>
      </w:r>
      <w:r w:rsidR="00BA1EE1" w:rsidRPr="004068F6">
        <w:rPr>
          <w:spacing w:val="-3"/>
          <w:lang w:val="es-CO"/>
        </w:rPr>
        <w:t xml:space="preserve">se </w:t>
      </w:r>
      <w:r w:rsidRPr="004068F6">
        <w:rPr>
          <w:spacing w:val="-3"/>
          <w:lang w:val="es-CO"/>
        </w:rPr>
        <w:t>pueden utilizar piezómetros o pozos existentes, siempre y cuando se conozca su diseño, para garantizar que capte la misma unidad hidrogeológica y que permita la accesibilidad del personal</w:t>
      </w:r>
      <w:r w:rsidR="005010C7" w:rsidRPr="004068F6">
        <w:rPr>
          <w:spacing w:val="-3"/>
          <w:lang w:val="es-CO"/>
        </w:rPr>
        <w:t xml:space="preserve"> y la</w:t>
      </w:r>
      <w:r w:rsidRPr="004068F6">
        <w:rPr>
          <w:spacing w:val="-3"/>
          <w:lang w:val="es-CO"/>
        </w:rPr>
        <w:t xml:space="preserve"> toma de muestra</w:t>
      </w:r>
      <w:r w:rsidR="005010C7" w:rsidRPr="004068F6">
        <w:rPr>
          <w:spacing w:val="-3"/>
          <w:lang w:val="es-CO"/>
        </w:rPr>
        <w:t>s</w:t>
      </w:r>
      <w:r w:rsidRPr="004068F6">
        <w:rPr>
          <w:spacing w:val="-3"/>
          <w:lang w:val="es-CO"/>
        </w:rPr>
        <w:t xml:space="preserve"> (considerando que la bomba no obstruya esta actividad).</w:t>
      </w:r>
    </w:p>
    <w:p w14:paraId="4DDFB125" w14:textId="77777777" w:rsidR="005010C7" w:rsidRPr="004068F6" w:rsidRDefault="005010C7" w:rsidP="009420F5">
      <w:pPr>
        <w:tabs>
          <w:tab w:val="left" w:pos="-2268"/>
        </w:tabs>
        <w:suppressAutoHyphens/>
        <w:rPr>
          <w:spacing w:val="-3"/>
        </w:rPr>
      </w:pPr>
    </w:p>
    <w:p w14:paraId="06E59816" w14:textId="758BC7C4" w:rsidR="004A1B3C" w:rsidRPr="004068F6" w:rsidRDefault="004A1B3C" w:rsidP="009420F5">
      <w:pPr>
        <w:pStyle w:val="Prrafodelista"/>
        <w:tabs>
          <w:tab w:val="left" w:pos="-2268"/>
        </w:tabs>
        <w:suppressAutoHyphens/>
        <w:ind w:left="567"/>
        <w:rPr>
          <w:spacing w:val="-3"/>
          <w:lang w:val="es-CO"/>
        </w:rPr>
      </w:pPr>
      <w:r w:rsidRPr="004068F6">
        <w:rPr>
          <w:spacing w:val="-3"/>
          <w:lang w:val="es-CO"/>
        </w:rPr>
        <w:t>En pozos productivos, para garantizar que el nivel de inicio de la prueba sea el más cercano al estático, se debe suspender el bombeo con por lo menos 12 horas de antelación al inicio de la prueba. A partir de esta información es posible determinar además de los parámetros hidráulicos antes mencionados, el cono de abatimiento o radio de influencia del pozo.</w:t>
      </w:r>
    </w:p>
    <w:p w14:paraId="310832AC" w14:textId="77777777" w:rsidR="004A1B3C" w:rsidRPr="004068F6" w:rsidRDefault="004A1B3C" w:rsidP="00C86DA5">
      <w:pPr>
        <w:numPr>
          <w:ilvl w:val="12"/>
          <w:numId w:val="0"/>
        </w:numPr>
        <w:tabs>
          <w:tab w:val="left" w:pos="-2268"/>
        </w:tabs>
        <w:suppressAutoHyphens/>
        <w:ind w:left="567" w:hanging="567"/>
        <w:rPr>
          <w:spacing w:val="-3"/>
        </w:rPr>
      </w:pPr>
    </w:p>
    <w:p w14:paraId="228CD08B" w14:textId="794D08AC"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Inventario de puntos de agua subterránea (manantiales, aljibes, pozos y piezómetros) existentes en el radio de influencia de cada pozo, </w:t>
      </w:r>
      <w:r w:rsidR="00F61EA4" w:rsidRPr="004068F6">
        <w:rPr>
          <w:spacing w:val="-3"/>
          <w:lang w:val="es-CO"/>
        </w:rPr>
        <w:t xml:space="preserve">y determinación </w:t>
      </w:r>
      <w:r w:rsidRPr="004068F6">
        <w:rPr>
          <w:spacing w:val="-3"/>
          <w:lang w:val="es-CO"/>
        </w:rPr>
        <w:t>de usos y usuarios que puedan verse afectados por la captación.</w:t>
      </w:r>
    </w:p>
    <w:p w14:paraId="0F293918" w14:textId="77777777" w:rsidR="004A1B3C" w:rsidRPr="004068F6" w:rsidRDefault="004A1B3C" w:rsidP="00C86DA5">
      <w:pPr>
        <w:numPr>
          <w:ilvl w:val="12"/>
          <w:numId w:val="0"/>
        </w:numPr>
        <w:tabs>
          <w:tab w:val="left" w:pos="-2268"/>
        </w:tabs>
        <w:suppressAutoHyphens/>
        <w:ind w:left="567" w:hanging="567"/>
        <w:rPr>
          <w:spacing w:val="-3"/>
        </w:rPr>
      </w:pPr>
    </w:p>
    <w:p w14:paraId="3B8003F8" w14:textId="14DDF3BB"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Análisis f</w:t>
      </w:r>
      <w:r w:rsidR="00520B78" w:rsidRPr="004068F6">
        <w:rPr>
          <w:spacing w:val="-3"/>
          <w:lang w:val="es-CO"/>
        </w:rPr>
        <w:t>i</w:t>
      </w:r>
      <w:r w:rsidRPr="004068F6">
        <w:rPr>
          <w:spacing w:val="-3"/>
          <w:lang w:val="es-CO"/>
        </w:rPr>
        <w:t>sicoquímico y microbiológico del agua, incluyendo los parámetros de calidad de acuerdo con la destinación de uso (</w:t>
      </w:r>
      <w:r w:rsidRPr="004068F6">
        <w:rPr>
          <w:rFonts w:cs="Arial"/>
          <w:spacing w:val="-3"/>
          <w:lang w:val="es-CO"/>
        </w:rPr>
        <w:t>artículos</w:t>
      </w:r>
      <w:r w:rsidRPr="004068F6">
        <w:rPr>
          <w:spacing w:val="-3"/>
          <w:lang w:val="es-CO"/>
        </w:rPr>
        <w:t xml:space="preserve"> 2</w:t>
      </w:r>
      <w:r w:rsidRPr="004068F6">
        <w:rPr>
          <w:rFonts w:cs="Arial"/>
          <w:spacing w:val="-3"/>
          <w:lang w:val="es-CO"/>
        </w:rPr>
        <w:t>.</w:t>
      </w:r>
      <w:r w:rsidRPr="004068F6">
        <w:rPr>
          <w:spacing w:val="-3"/>
          <w:lang w:val="es-CO"/>
        </w:rPr>
        <w:t>2</w:t>
      </w:r>
      <w:r w:rsidRPr="004068F6">
        <w:rPr>
          <w:rFonts w:cs="Arial"/>
          <w:spacing w:val="-3"/>
          <w:lang w:val="es-CO"/>
        </w:rPr>
        <w:t>.3.3.9.1 al</w:t>
      </w:r>
      <w:r w:rsidRPr="004068F6">
        <w:rPr>
          <w:spacing w:val="-3"/>
          <w:lang w:val="es-CO"/>
        </w:rPr>
        <w:t xml:space="preserve"> 2</w:t>
      </w:r>
      <w:r w:rsidRPr="004068F6">
        <w:rPr>
          <w:rFonts w:cs="Arial"/>
          <w:spacing w:val="-3"/>
          <w:lang w:val="es-CO"/>
        </w:rPr>
        <w:t>.2.3.3.9.13</w:t>
      </w:r>
      <w:r w:rsidRPr="004068F6">
        <w:rPr>
          <w:spacing w:val="-3"/>
          <w:lang w:val="es-CO"/>
        </w:rPr>
        <w:t xml:space="preserve"> del Decreto 1076 de 2015, o las normas que lo modifiquen</w:t>
      </w:r>
      <w:r w:rsidRPr="004068F6">
        <w:rPr>
          <w:rFonts w:cs="Arial"/>
          <w:spacing w:val="-3"/>
          <w:lang w:val="es-CO"/>
        </w:rPr>
        <w:t xml:space="preserve"> o</w:t>
      </w:r>
      <w:r w:rsidRPr="004068F6">
        <w:rPr>
          <w:spacing w:val="-3"/>
          <w:lang w:val="es-CO"/>
        </w:rPr>
        <w:t xml:space="preserve"> sustituyan) y considerando los lineamientos establecidos en el numeral </w:t>
      </w:r>
      <w:r w:rsidR="00520B78" w:rsidRPr="004068F6">
        <w:rPr>
          <w:spacing w:val="-3"/>
          <w:lang w:val="es-CO"/>
        </w:rPr>
        <w:fldChar w:fldCharType="begin"/>
      </w:r>
      <w:r w:rsidR="00520B78" w:rsidRPr="004068F6">
        <w:rPr>
          <w:spacing w:val="-3"/>
          <w:lang w:val="es-CO"/>
        </w:rPr>
        <w:instrText xml:space="preserve"> REF _Ref516121352 \r \h </w:instrText>
      </w:r>
      <w:r w:rsidR="006A4128" w:rsidRPr="004068F6">
        <w:rPr>
          <w:spacing w:val="-3"/>
          <w:lang w:val="es-CO"/>
        </w:rPr>
        <w:instrText xml:space="preserve"> \* MERGEFORMAT </w:instrText>
      </w:r>
      <w:r w:rsidR="00520B78" w:rsidRPr="004068F6">
        <w:rPr>
          <w:spacing w:val="-3"/>
          <w:lang w:val="es-CO"/>
        </w:rPr>
      </w:r>
      <w:r w:rsidR="00520B78" w:rsidRPr="004068F6">
        <w:rPr>
          <w:spacing w:val="-3"/>
          <w:lang w:val="es-CO"/>
        </w:rPr>
        <w:fldChar w:fldCharType="separate"/>
      </w:r>
      <w:r w:rsidR="009C4A81">
        <w:rPr>
          <w:spacing w:val="-3"/>
          <w:lang w:val="es-CO"/>
        </w:rPr>
        <w:t>4.1.5</w:t>
      </w:r>
      <w:r w:rsidR="00520B78" w:rsidRPr="004068F6">
        <w:rPr>
          <w:spacing w:val="-3"/>
          <w:lang w:val="es-CO"/>
        </w:rPr>
        <w:fldChar w:fldCharType="end"/>
      </w:r>
      <w:r w:rsidR="00520B78" w:rsidRPr="004068F6">
        <w:rPr>
          <w:spacing w:val="-3"/>
          <w:lang w:val="es-CO"/>
        </w:rPr>
        <w:t xml:space="preserve"> </w:t>
      </w:r>
      <w:r w:rsidRPr="004068F6">
        <w:rPr>
          <w:spacing w:val="-3"/>
          <w:lang w:val="es-CO"/>
        </w:rPr>
        <w:t>de las especificaciones técnicas del EIA, referidos a la calidad del agua subterránea.</w:t>
      </w:r>
    </w:p>
    <w:p w14:paraId="3925080D" w14:textId="77777777" w:rsidR="004A1B3C" w:rsidRPr="004068F6" w:rsidRDefault="004A1B3C" w:rsidP="00C86DA5">
      <w:pPr>
        <w:numPr>
          <w:ilvl w:val="12"/>
          <w:numId w:val="0"/>
        </w:numPr>
        <w:tabs>
          <w:tab w:val="left" w:pos="-2268"/>
        </w:tabs>
        <w:suppressAutoHyphens/>
        <w:ind w:left="567" w:hanging="567"/>
        <w:rPr>
          <w:spacing w:val="-3"/>
        </w:rPr>
      </w:pPr>
    </w:p>
    <w:p w14:paraId="5CB2B516" w14:textId="11FFEF20"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rFonts w:cs="Arial"/>
          <w:spacing w:val="-3"/>
          <w:lang w:val="es-CO"/>
        </w:rPr>
        <w:t>Descripción de las obras</w:t>
      </w:r>
      <w:r w:rsidRPr="004068F6">
        <w:rPr>
          <w:spacing w:val="-3"/>
          <w:lang w:val="es-CO"/>
        </w:rPr>
        <w:t xml:space="preserve"> de conducción almacenamiento y sistema de tratamiento a construir</w:t>
      </w:r>
      <w:r w:rsidR="00520B78" w:rsidRPr="004068F6">
        <w:rPr>
          <w:spacing w:val="-3"/>
          <w:lang w:val="es-CO"/>
        </w:rPr>
        <w:t>,</w:t>
      </w:r>
      <w:r w:rsidRPr="004068F6">
        <w:rPr>
          <w:spacing w:val="-3"/>
          <w:lang w:val="es-CO"/>
        </w:rPr>
        <w:t xml:space="preserve"> incluidos los sistemas de regulación y medición.</w:t>
      </w:r>
    </w:p>
    <w:p w14:paraId="4ED9E914" w14:textId="77777777" w:rsidR="004A1B3C" w:rsidRPr="004068F6" w:rsidRDefault="004A1B3C" w:rsidP="00C86DA5">
      <w:pPr>
        <w:numPr>
          <w:ilvl w:val="12"/>
          <w:numId w:val="0"/>
        </w:numPr>
        <w:tabs>
          <w:tab w:val="left" w:pos="-2268"/>
        </w:tabs>
        <w:suppressAutoHyphens/>
        <w:ind w:left="567" w:hanging="567"/>
        <w:rPr>
          <w:spacing w:val="-3"/>
        </w:rPr>
      </w:pPr>
    </w:p>
    <w:p w14:paraId="18CF872C" w14:textId="6D52DAD5"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rFonts w:cs="Arial"/>
          <w:spacing w:val="-3"/>
          <w:lang w:val="es-CO"/>
        </w:rPr>
        <w:t>Descripción de los elementos</w:t>
      </w:r>
      <w:r w:rsidRPr="004068F6">
        <w:rPr>
          <w:spacing w:val="-3"/>
          <w:lang w:val="es-CO"/>
        </w:rPr>
        <w:t xml:space="preserve"> de medición y control de niveles (estáticos y dinámicos), caudales y régimen de bombeo.</w:t>
      </w:r>
    </w:p>
    <w:p w14:paraId="6C8173D4" w14:textId="77777777" w:rsidR="004A1B3C" w:rsidRPr="004068F6" w:rsidRDefault="004A1B3C" w:rsidP="00C86DA5">
      <w:pPr>
        <w:numPr>
          <w:ilvl w:val="12"/>
          <w:numId w:val="0"/>
        </w:numPr>
        <w:tabs>
          <w:tab w:val="left" w:pos="-2268"/>
        </w:tabs>
        <w:suppressAutoHyphens/>
        <w:ind w:left="567" w:hanging="567"/>
        <w:rPr>
          <w:spacing w:val="-3"/>
        </w:rPr>
      </w:pPr>
    </w:p>
    <w:p w14:paraId="3D458BD8" w14:textId="1EA200E3"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Medidas de protección del pozo, incluyendo sello sanitario, aislamiento, cerra</w:t>
      </w:r>
      <w:r w:rsidR="00163A42" w:rsidRPr="004068F6">
        <w:rPr>
          <w:spacing w:val="-3"/>
          <w:lang w:val="es-CO"/>
        </w:rPr>
        <w:t xml:space="preserve">miento y manejo del agua </w:t>
      </w:r>
      <w:r w:rsidR="00163A42" w:rsidRPr="004068F6">
        <w:rPr>
          <w:rFonts w:cs="Arial"/>
          <w:spacing w:val="-3"/>
          <w:lang w:val="es-CO"/>
        </w:rPr>
        <w:t>lluvia</w:t>
      </w:r>
      <w:r w:rsidRPr="004068F6">
        <w:rPr>
          <w:spacing w:val="-3"/>
          <w:lang w:val="es-CO"/>
        </w:rPr>
        <w:t>.</w:t>
      </w:r>
    </w:p>
    <w:p w14:paraId="4C07FEC1" w14:textId="77777777" w:rsidR="004A1B3C" w:rsidRPr="004068F6" w:rsidRDefault="004A1B3C" w:rsidP="00C86DA5">
      <w:pPr>
        <w:tabs>
          <w:tab w:val="left" w:pos="-2268"/>
        </w:tabs>
        <w:suppressAutoHyphens/>
        <w:rPr>
          <w:spacing w:val="-3"/>
        </w:rPr>
      </w:pPr>
    </w:p>
    <w:p w14:paraId="358EBFEF" w14:textId="20D42B42" w:rsidR="00E45478" w:rsidRDefault="00E45478" w:rsidP="00C86DA5">
      <w:pPr>
        <w:tabs>
          <w:tab w:val="left" w:pos="-2268"/>
        </w:tabs>
        <w:suppressAutoHyphens/>
        <w:rPr>
          <w:spacing w:val="-3"/>
        </w:rPr>
      </w:pPr>
      <w:r w:rsidRPr="004068F6">
        <w:rPr>
          <w:spacing w:val="-3"/>
        </w:rPr>
        <w:t>Cuando se contemple la concesión de aguas subterráneas de fuentes como manantiales, drenes subhorizontales de las obras que se construyan y diseñen, aguas de infiltración de excavaciones subterráneas, aguas de infiltración de minas de tajo abierto y demás aguas alumbradas</w:t>
      </w:r>
      <w:r w:rsidR="00520B78" w:rsidRPr="004068F6">
        <w:rPr>
          <w:spacing w:val="-3"/>
        </w:rPr>
        <w:t>,</w:t>
      </w:r>
      <w:r w:rsidRPr="004068F6">
        <w:rPr>
          <w:spacing w:val="-3"/>
        </w:rPr>
        <w:t xml:space="preserve"> se debe realizar el trámite de solicitud de concesión de aguas subterráneas en tanto </w:t>
      </w:r>
      <w:r w:rsidR="00520B78" w:rsidRPr="004068F6">
        <w:rPr>
          <w:spacing w:val="-3"/>
        </w:rPr>
        <w:t>é</w:t>
      </w:r>
      <w:r w:rsidRPr="004068F6">
        <w:rPr>
          <w:spacing w:val="-3"/>
        </w:rPr>
        <w:t>stas siguen siendo aguas subterráneas. En ese sentido, se deben seguir los lineamientos descritos para la solicitud de esta concesión</w:t>
      </w:r>
      <w:r w:rsidR="00520B78" w:rsidRPr="004068F6">
        <w:rPr>
          <w:spacing w:val="-3"/>
        </w:rPr>
        <w:t xml:space="preserve">, a excepción de </w:t>
      </w:r>
      <w:r w:rsidRPr="004068F6">
        <w:rPr>
          <w:spacing w:val="-3"/>
        </w:rPr>
        <w:t>la presentación del permiso de exploración</w:t>
      </w:r>
      <w:r w:rsidR="0007315E" w:rsidRPr="004068F6">
        <w:rPr>
          <w:spacing w:val="-3"/>
        </w:rPr>
        <w:t xml:space="preserve"> y todo aquello relacionado con pruebas de bombeo y perforación de pozos</w:t>
      </w:r>
      <w:r w:rsidRPr="004068F6">
        <w:rPr>
          <w:spacing w:val="-3"/>
        </w:rPr>
        <w:t>.</w:t>
      </w:r>
    </w:p>
    <w:p w14:paraId="4BD12F1E" w14:textId="77777777" w:rsidR="002408B6" w:rsidRPr="004068F6" w:rsidRDefault="002408B6" w:rsidP="00C86DA5">
      <w:pPr>
        <w:tabs>
          <w:tab w:val="left" w:pos="-2268"/>
        </w:tabs>
        <w:suppressAutoHyphens/>
        <w:rPr>
          <w:spacing w:val="-3"/>
        </w:rPr>
      </w:pPr>
    </w:p>
    <w:p w14:paraId="233E85ED" w14:textId="77777777" w:rsidR="00E45478" w:rsidRPr="004068F6" w:rsidRDefault="00E45478" w:rsidP="00C86DA5">
      <w:pPr>
        <w:tabs>
          <w:tab w:val="left" w:pos="-2268"/>
        </w:tabs>
        <w:suppressAutoHyphens/>
        <w:rPr>
          <w:spacing w:val="-3"/>
        </w:rPr>
      </w:pPr>
    </w:p>
    <w:p w14:paraId="69C515B1" w14:textId="359F0C3C" w:rsidR="004A1B3C" w:rsidRPr="004068F6" w:rsidRDefault="004A1B3C" w:rsidP="0068149C">
      <w:pPr>
        <w:pStyle w:val="Ttulo2"/>
        <w:rPr>
          <w:lang w:val="es-CO"/>
        </w:rPr>
      </w:pPr>
      <w:bookmarkStart w:id="3115" w:name="_Toc393967342"/>
      <w:bookmarkStart w:id="3116" w:name="_Toc393464172"/>
      <w:bookmarkStart w:id="3117" w:name="_Toc405366859"/>
      <w:bookmarkStart w:id="3118" w:name="_Toc405372406"/>
      <w:bookmarkStart w:id="3119" w:name="_Toc412803204"/>
      <w:bookmarkStart w:id="3120" w:name="_Toc437936044"/>
      <w:bookmarkStart w:id="3121" w:name="_Toc42874874"/>
      <w:bookmarkStart w:id="3122" w:name="_Toc230879675"/>
      <w:r w:rsidRPr="004068F6">
        <w:rPr>
          <w:lang w:val="es-CO"/>
        </w:rPr>
        <w:lastRenderedPageBreak/>
        <w:t>PERMISO DE VERTIMIENTO</w:t>
      </w:r>
      <w:bookmarkEnd w:id="3115"/>
      <w:bookmarkEnd w:id="3116"/>
      <w:bookmarkEnd w:id="3117"/>
      <w:bookmarkEnd w:id="3118"/>
      <w:bookmarkEnd w:id="3119"/>
      <w:bookmarkEnd w:id="3120"/>
      <w:bookmarkEnd w:id="3121"/>
      <w:bookmarkEnd w:id="3122"/>
    </w:p>
    <w:p w14:paraId="48DE1080" w14:textId="77777777" w:rsidR="004A1B3C" w:rsidRPr="004068F6" w:rsidRDefault="004A1B3C">
      <w:pPr>
        <w:numPr>
          <w:ilvl w:val="12"/>
          <w:numId w:val="0"/>
        </w:numPr>
        <w:tabs>
          <w:tab w:val="left" w:pos="-2268"/>
        </w:tabs>
        <w:suppressAutoHyphens/>
        <w:rPr>
          <w:spacing w:val="-3"/>
        </w:rPr>
      </w:pPr>
    </w:p>
    <w:p w14:paraId="3AF2AC2B" w14:textId="2624201F" w:rsidR="00EC0FED" w:rsidRPr="004068F6" w:rsidRDefault="004A1B3C">
      <w:pPr>
        <w:numPr>
          <w:ilvl w:val="12"/>
          <w:numId w:val="0"/>
        </w:numPr>
        <w:tabs>
          <w:tab w:val="left" w:pos="-2268"/>
        </w:tabs>
        <w:suppressAutoHyphens/>
        <w:rPr>
          <w:spacing w:val="-3"/>
        </w:rPr>
      </w:pPr>
      <w:r w:rsidRPr="004068F6">
        <w:rPr>
          <w:spacing w:val="-3"/>
        </w:rPr>
        <w:t>Cuando se requiera realizar vertimientos de aguas residuales domésticas y no domésticas, se debe presentar el F</w:t>
      </w:r>
      <w:r w:rsidR="00520B78" w:rsidRPr="004068F6">
        <w:rPr>
          <w:spacing w:val="-3"/>
        </w:rPr>
        <w:t xml:space="preserve">UN </w:t>
      </w:r>
      <w:r w:rsidRPr="004068F6">
        <w:rPr>
          <w:spacing w:val="-3"/>
        </w:rPr>
        <w:t xml:space="preserve">de </w:t>
      </w:r>
      <w:r w:rsidR="00E77B0F" w:rsidRPr="004068F6">
        <w:rPr>
          <w:spacing w:val="-3"/>
        </w:rPr>
        <w:t>p</w:t>
      </w:r>
      <w:r w:rsidRPr="004068F6">
        <w:rPr>
          <w:spacing w:val="-3"/>
        </w:rPr>
        <w:t xml:space="preserve">ermiso de </w:t>
      </w:r>
      <w:r w:rsidR="00E77B0F" w:rsidRPr="004068F6">
        <w:rPr>
          <w:spacing w:val="-3"/>
        </w:rPr>
        <w:t>v</w:t>
      </w:r>
      <w:r w:rsidRPr="004068F6">
        <w:rPr>
          <w:spacing w:val="-3"/>
        </w:rPr>
        <w:t xml:space="preserve">ertimientos establecido mediante la Resolución </w:t>
      </w:r>
      <w:r w:rsidR="00017DA7" w:rsidRPr="004068F6">
        <w:rPr>
          <w:rFonts w:cs="Arial"/>
          <w:spacing w:val="-3"/>
        </w:rPr>
        <w:t>1058 de 2021</w:t>
      </w:r>
      <w:r w:rsidRPr="004068F6">
        <w:rPr>
          <w:spacing w:val="-3"/>
        </w:rPr>
        <w:t xml:space="preserve"> o lo que disponga aquella norma que la modifique</w:t>
      </w:r>
      <w:r w:rsidRPr="004068F6">
        <w:rPr>
          <w:rFonts w:cs="Arial"/>
          <w:spacing w:val="-3"/>
        </w:rPr>
        <w:t xml:space="preserve"> o</w:t>
      </w:r>
      <w:r w:rsidR="0072054C" w:rsidRPr="004068F6">
        <w:rPr>
          <w:rFonts w:cs="Arial"/>
          <w:spacing w:val="-3"/>
        </w:rPr>
        <w:t xml:space="preserve"> </w:t>
      </w:r>
      <w:r w:rsidRPr="004068F6">
        <w:rPr>
          <w:spacing w:val="-3"/>
        </w:rPr>
        <w:t>sustituya y la información que dicta la sección 5 del capítulo 3</w:t>
      </w:r>
      <w:r w:rsidR="00E90CB9" w:rsidRPr="004068F6">
        <w:rPr>
          <w:spacing w:val="-3"/>
        </w:rPr>
        <w:t>, del Título 3, de la Parte 2, del Libro 2</w:t>
      </w:r>
      <w:r w:rsidR="0072054C" w:rsidRPr="004068F6">
        <w:rPr>
          <w:spacing w:val="-3"/>
        </w:rPr>
        <w:t xml:space="preserve"> </w:t>
      </w:r>
      <w:r w:rsidRPr="004068F6">
        <w:rPr>
          <w:spacing w:val="-3"/>
        </w:rPr>
        <w:t xml:space="preserve">del </w:t>
      </w:r>
      <w:r w:rsidR="001F5560" w:rsidRPr="004068F6">
        <w:rPr>
          <w:spacing w:val="-3"/>
        </w:rPr>
        <w:t xml:space="preserve">Decreto </w:t>
      </w:r>
      <w:r w:rsidRPr="004068F6">
        <w:rPr>
          <w:spacing w:val="-3"/>
        </w:rPr>
        <w:t xml:space="preserve">1076 de 2015 </w:t>
      </w:r>
      <w:r w:rsidR="00E90CB9" w:rsidRPr="004068F6">
        <w:rPr>
          <w:spacing w:val="-3"/>
        </w:rPr>
        <w:t xml:space="preserve">(de la obtención de los permisos de vertimiento y planes de cumplimiento) </w:t>
      </w:r>
      <w:r w:rsidRPr="004068F6">
        <w:rPr>
          <w:spacing w:val="-3"/>
        </w:rPr>
        <w:t xml:space="preserve">o aquella norma que lo modifique o </w:t>
      </w:r>
      <w:r w:rsidRPr="004068F6">
        <w:rPr>
          <w:rFonts w:cs="Arial"/>
          <w:spacing w:val="-3"/>
        </w:rPr>
        <w:t>sustituya</w:t>
      </w:r>
      <w:r w:rsidR="00EC0FED" w:rsidRPr="004068F6">
        <w:rPr>
          <w:spacing w:val="-3"/>
        </w:rPr>
        <w:t>.</w:t>
      </w:r>
      <w:r w:rsidRPr="004068F6">
        <w:rPr>
          <w:spacing w:val="-3"/>
        </w:rPr>
        <w:t xml:space="preserve"> </w:t>
      </w:r>
      <w:r w:rsidR="00EC0FED" w:rsidRPr="004068F6">
        <w:rPr>
          <w:spacing w:val="-3"/>
        </w:rPr>
        <w:t>En función de la matriz receptora del vertimiento s</w:t>
      </w:r>
      <w:r w:rsidRPr="004068F6">
        <w:rPr>
          <w:spacing w:val="-3"/>
        </w:rPr>
        <w:t xml:space="preserve">e debe dar cumplimiento a la regulación </w:t>
      </w:r>
      <w:r w:rsidR="00AC52D8" w:rsidRPr="004068F6">
        <w:rPr>
          <w:spacing w:val="-3"/>
        </w:rPr>
        <w:t xml:space="preserve">vigente </w:t>
      </w:r>
      <w:r w:rsidR="00EC0FED" w:rsidRPr="004068F6">
        <w:rPr>
          <w:spacing w:val="-3"/>
        </w:rPr>
        <w:t>aplicable</w:t>
      </w:r>
      <w:r w:rsidR="0007315E" w:rsidRPr="004068F6">
        <w:rPr>
          <w:spacing w:val="-3"/>
        </w:rPr>
        <w:t>;</w:t>
      </w:r>
      <w:r w:rsidR="00EC0FED" w:rsidRPr="004068F6">
        <w:rPr>
          <w:spacing w:val="-3"/>
        </w:rPr>
        <w:t xml:space="preserve"> </w:t>
      </w:r>
      <w:r w:rsidR="00AC52D8" w:rsidRPr="004068F6">
        <w:rPr>
          <w:spacing w:val="-3"/>
        </w:rPr>
        <w:t xml:space="preserve">por ejemplo, para vertimientos en suelos </w:t>
      </w:r>
      <w:r w:rsidR="00AC52D8" w:rsidRPr="004068F6">
        <w:rPr>
          <w:rFonts w:cs="Arial"/>
          <w:lang w:eastAsia="en-US"/>
        </w:rPr>
        <w:t>el Decreto 1076 de 2015 y la Resolución 699 de 2021</w:t>
      </w:r>
      <w:r w:rsidR="0007315E" w:rsidRPr="004068F6">
        <w:rPr>
          <w:rFonts w:cs="Arial"/>
          <w:lang w:eastAsia="en-US"/>
        </w:rPr>
        <w:t>;</w:t>
      </w:r>
      <w:r w:rsidR="00AC52D8" w:rsidRPr="004068F6">
        <w:rPr>
          <w:spacing w:val="-3"/>
        </w:rPr>
        <w:t xml:space="preserve"> para aguas marino-costeras la Resolución 883 de 2018</w:t>
      </w:r>
      <w:r w:rsidR="0007315E" w:rsidRPr="004068F6">
        <w:rPr>
          <w:spacing w:val="-3"/>
        </w:rPr>
        <w:t xml:space="preserve"> o aquella norma que la modifique o sustituya y, cuando se utilicen buques o artefactos navales, las disposiciones del convenio MARPOL 73/78 y la reglamentación de la Dimar y;</w:t>
      </w:r>
      <w:r w:rsidR="00AC52D8" w:rsidRPr="004068F6">
        <w:rPr>
          <w:spacing w:val="-3"/>
        </w:rPr>
        <w:t xml:space="preserve"> para aguas superficiales</w:t>
      </w:r>
      <w:r w:rsidR="0007315E" w:rsidRPr="004068F6">
        <w:rPr>
          <w:spacing w:val="-3"/>
        </w:rPr>
        <w:t>,</w:t>
      </w:r>
      <w:r w:rsidR="00AC52D8" w:rsidRPr="004068F6">
        <w:rPr>
          <w:spacing w:val="-3"/>
        </w:rPr>
        <w:t xml:space="preserve"> el Decreto 1076 de 2015 y la Resolución 631 de 2015</w:t>
      </w:r>
      <w:r w:rsidR="00214F8F" w:rsidRPr="004068F6">
        <w:rPr>
          <w:spacing w:val="-3"/>
        </w:rPr>
        <w:t xml:space="preserve"> o aquella norma que la modifique o sustituya</w:t>
      </w:r>
      <w:r w:rsidR="00AC52D8" w:rsidRPr="004068F6">
        <w:rPr>
          <w:spacing w:val="-3"/>
        </w:rPr>
        <w:t>.</w:t>
      </w:r>
    </w:p>
    <w:p w14:paraId="14578513" w14:textId="77777777" w:rsidR="00EC0FED" w:rsidRPr="004068F6" w:rsidRDefault="00EC0FED">
      <w:pPr>
        <w:numPr>
          <w:ilvl w:val="12"/>
          <w:numId w:val="0"/>
        </w:numPr>
        <w:tabs>
          <w:tab w:val="left" w:pos="-2268"/>
        </w:tabs>
        <w:suppressAutoHyphens/>
        <w:rPr>
          <w:spacing w:val="-3"/>
        </w:rPr>
      </w:pPr>
    </w:p>
    <w:p w14:paraId="0A2BD93E" w14:textId="11A439B5" w:rsidR="004A1B3C" w:rsidRPr="004068F6" w:rsidRDefault="00EC0FED">
      <w:pPr>
        <w:numPr>
          <w:ilvl w:val="12"/>
          <w:numId w:val="0"/>
        </w:numPr>
        <w:tabs>
          <w:tab w:val="left" w:pos="-2268"/>
        </w:tabs>
        <w:suppressAutoHyphens/>
        <w:rPr>
          <w:spacing w:val="-3"/>
        </w:rPr>
      </w:pPr>
      <w:r w:rsidRPr="004068F6">
        <w:rPr>
          <w:spacing w:val="-3"/>
        </w:rPr>
        <w:t>Para el caso de vertimientos a cuerpos de aguas superficiales la información presentada en el estudio debe permitir</w:t>
      </w:r>
      <w:r w:rsidR="00520B78" w:rsidRPr="004068F6">
        <w:rPr>
          <w:spacing w:val="-3"/>
        </w:rPr>
        <w:t>:</w:t>
      </w:r>
    </w:p>
    <w:p w14:paraId="4F39D1BA" w14:textId="77777777" w:rsidR="004A1B3C" w:rsidRPr="004068F6" w:rsidRDefault="004A1B3C">
      <w:pPr>
        <w:numPr>
          <w:ilvl w:val="12"/>
          <w:numId w:val="0"/>
        </w:numPr>
        <w:tabs>
          <w:tab w:val="left" w:pos="-2268"/>
        </w:tabs>
        <w:suppressAutoHyphens/>
        <w:rPr>
          <w:spacing w:val="-3"/>
        </w:rPr>
      </w:pPr>
    </w:p>
    <w:p w14:paraId="369DE8F6" w14:textId="4C9FF7B8" w:rsidR="0061134E" w:rsidRPr="004068F6" w:rsidRDefault="00753425" w:rsidP="0061134E">
      <w:pPr>
        <w:pStyle w:val="Prrafodelista"/>
        <w:numPr>
          <w:ilvl w:val="0"/>
          <w:numId w:val="5"/>
        </w:numPr>
        <w:tabs>
          <w:tab w:val="left" w:pos="-2268"/>
        </w:tabs>
        <w:suppressAutoHyphens/>
        <w:ind w:left="567" w:hanging="567"/>
        <w:rPr>
          <w:spacing w:val="-3"/>
          <w:lang w:val="es-CO"/>
        </w:rPr>
      </w:pPr>
      <w:r w:rsidRPr="004068F6">
        <w:rPr>
          <w:spacing w:val="-3"/>
          <w:lang w:val="es-CO"/>
        </w:rPr>
        <w:t xml:space="preserve">Determinar </w:t>
      </w:r>
      <w:r w:rsidR="0061134E" w:rsidRPr="004068F6">
        <w:rPr>
          <w:spacing w:val="-3"/>
          <w:lang w:val="es-CO"/>
        </w:rPr>
        <w:t>y localiza</w:t>
      </w:r>
      <w:r w:rsidR="00EC0FED" w:rsidRPr="004068F6">
        <w:rPr>
          <w:spacing w:val="-3"/>
          <w:lang w:val="es-CO"/>
        </w:rPr>
        <w:t xml:space="preserve">r </w:t>
      </w:r>
      <w:r w:rsidR="0061134E" w:rsidRPr="004068F6">
        <w:rPr>
          <w:spacing w:val="-3"/>
          <w:lang w:val="es-CO"/>
        </w:rPr>
        <w:t>(georreferencia</w:t>
      </w:r>
      <w:r w:rsidR="00EC0FED" w:rsidRPr="004068F6">
        <w:rPr>
          <w:spacing w:val="-3"/>
          <w:lang w:val="es-CO"/>
        </w:rPr>
        <w:t>r</w:t>
      </w:r>
      <w:r w:rsidR="0061134E" w:rsidRPr="004068F6">
        <w:rPr>
          <w:spacing w:val="-3"/>
          <w:lang w:val="es-CO"/>
        </w:rPr>
        <w:t>) las corrientes o tramos homogéneos receptores de las descargas de agua residual.</w:t>
      </w:r>
    </w:p>
    <w:p w14:paraId="62FEE774" w14:textId="77777777" w:rsidR="0061134E" w:rsidRPr="004068F6" w:rsidRDefault="0061134E" w:rsidP="0061134E">
      <w:pPr>
        <w:pStyle w:val="Prrafodelista"/>
        <w:tabs>
          <w:tab w:val="left" w:pos="-2268"/>
        </w:tabs>
        <w:suppressAutoHyphens/>
        <w:ind w:left="567" w:hanging="567"/>
        <w:rPr>
          <w:spacing w:val="-3"/>
          <w:lang w:val="es-CO"/>
        </w:rPr>
      </w:pPr>
    </w:p>
    <w:p w14:paraId="68022EEC" w14:textId="5E951AC1" w:rsidR="0061134E" w:rsidRPr="004068F6" w:rsidRDefault="0061134E" w:rsidP="0061134E">
      <w:pPr>
        <w:pStyle w:val="Prrafodelista"/>
        <w:numPr>
          <w:ilvl w:val="0"/>
          <w:numId w:val="5"/>
        </w:numPr>
        <w:tabs>
          <w:tab w:val="left" w:pos="-2268"/>
        </w:tabs>
        <w:suppressAutoHyphens/>
        <w:ind w:left="567" w:hanging="567"/>
        <w:rPr>
          <w:spacing w:val="-3"/>
          <w:lang w:val="es-CO"/>
        </w:rPr>
      </w:pPr>
      <w:r w:rsidRPr="004068F6">
        <w:rPr>
          <w:spacing w:val="-3"/>
          <w:lang w:val="es-CO"/>
        </w:rPr>
        <w:t>Determina</w:t>
      </w:r>
      <w:r w:rsidR="00EC0FED" w:rsidRPr="004068F6">
        <w:rPr>
          <w:spacing w:val="-3"/>
          <w:lang w:val="es-CO"/>
        </w:rPr>
        <w:t xml:space="preserve">r </w:t>
      </w:r>
      <w:r w:rsidRPr="004068F6">
        <w:rPr>
          <w:spacing w:val="-3"/>
          <w:lang w:val="es-CO"/>
        </w:rPr>
        <w:t>los caudales o niveles característicos del tramo o sector estudiado, los cuales deben ser consistentes con el estudio hidrológico presentado en la caracterización ambiental.</w:t>
      </w:r>
    </w:p>
    <w:p w14:paraId="610C797F" w14:textId="77777777" w:rsidR="0061134E" w:rsidRPr="004068F6" w:rsidRDefault="0061134E" w:rsidP="004A1B3C">
      <w:pPr>
        <w:numPr>
          <w:ilvl w:val="12"/>
          <w:numId w:val="0"/>
        </w:numPr>
        <w:tabs>
          <w:tab w:val="left" w:pos="-2268"/>
        </w:tabs>
        <w:suppressAutoHyphens/>
        <w:rPr>
          <w:rFonts w:cs="Arial"/>
          <w:spacing w:val="-3"/>
        </w:rPr>
      </w:pPr>
    </w:p>
    <w:p w14:paraId="4DA17E91" w14:textId="77777777" w:rsidR="000E49EE" w:rsidRPr="004068F6" w:rsidRDefault="000E49EE" w:rsidP="000E49EE">
      <w:pPr>
        <w:numPr>
          <w:ilvl w:val="12"/>
          <w:numId w:val="5"/>
        </w:numPr>
        <w:tabs>
          <w:tab w:val="left" w:pos="-2268"/>
        </w:tabs>
        <w:suppressAutoHyphens/>
        <w:rPr>
          <w:rFonts w:cs="Arial"/>
          <w:spacing w:val="-3"/>
        </w:rPr>
      </w:pPr>
      <w:r w:rsidRPr="004068F6">
        <w:rPr>
          <w:rFonts w:cs="Arial"/>
          <w:spacing w:val="-3"/>
        </w:rPr>
        <w:t>A continuación, se presentan los lineamientos para la modelización en cuerpos de agua superficial (lénticos o lóticos). En el caso de vertimiento en ambientes marinos, la modelización debe desarrollarse con base en las condiciones oceanográficas descritas en el componente oceanográfico, las cuales constituyen el insumo técnico para este tipo de análisis.</w:t>
      </w:r>
    </w:p>
    <w:p w14:paraId="17A98E47" w14:textId="77777777" w:rsidR="000E49EE" w:rsidRPr="004068F6" w:rsidRDefault="000E49EE" w:rsidP="004A1B3C">
      <w:pPr>
        <w:numPr>
          <w:ilvl w:val="12"/>
          <w:numId w:val="0"/>
        </w:numPr>
        <w:tabs>
          <w:tab w:val="left" w:pos="-2268"/>
        </w:tabs>
        <w:suppressAutoHyphens/>
        <w:rPr>
          <w:rFonts w:cs="Arial"/>
          <w:spacing w:val="-3"/>
        </w:rPr>
      </w:pPr>
    </w:p>
    <w:p w14:paraId="4BB7AD28" w14:textId="348E206C" w:rsidR="004A1B3C" w:rsidRPr="004068F6" w:rsidRDefault="004A1B3C">
      <w:pPr>
        <w:numPr>
          <w:ilvl w:val="12"/>
          <w:numId w:val="0"/>
        </w:numPr>
        <w:tabs>
          <w:tab w:val="left" w:pos="-2268"/>
        </w:tabs>
        <w:suppressAutoHyphens/>
        <w:rPr>
          <w:spacing w:val="-3"/>
        </w:rPr>
      </w:pPr>
      <w:r w:rsidRPr="004068F6">
        <w:rPr>
          <w:spacing w:val="-3"/>
        </w:rPr>
        <w:t>Para la model</w:t>
      </w:r>
      <w:r w:rsidR="00A60447" w:rsidRPr="004068F6">
        <w:rPr>
          <w:spacing w:val="-3"/>
        </w:rPr>
        <w:t>iz</w:t>
      </w:r>
      <w:r w:rsidRPr="004068F6">
        <w:rPr>
          <w:spacing w:val="-3"/>
        </w:rPr>
        <w:t xml:space="preserve">ación de la capacidad de asimilación del cuerpo de agua </w:t>
      </w:r>
      <w:r w:rsidR="000E49EE" w:rsidRPr="004068F6">
        <w:rPr>
          <w:spacing w:val="-3"/>
        </w:rPr>
        <w:t xml:space="preserve">superficial </w:t>
      </w:r>
      <w:r w:rsidRPr="004068F6">
        <w:rPr>
          <w:spacing w:val="-3"/>
        </w:rPr>
        <w:t xml:space="preserve">receptor frente a las descargas de agua residual producidas por las actividades del proyecto, </w:t>
      </w:r>
      <w:r w:rsidR="00520B78" w:rsidRPr="004068F6">
        <w:rPr>
          <w:spacing w:val="-3"/>
        </w:rPr>
        <w:t xml:space="preserve">obra o actividad, </w:t>
      </w:r>
      <w:r w:rsidRPr="004068F6">
        <w:rPr>
          <w:spacing w:val="-3"/>
        </w:rPr>
        <w:t xml:space="preserve">se debe tener en cuenta lo estipulado en la Guía </w:t>
      </w:r>
      <w:r w:rsidR="00E77B0F" w:rsidRPr="004068F6">
        <w:rPr>
          <w:spacing w:val="-3"/>
        </w:rPr>
        <w:t>n</w:t>
      </w:r>
      <w:r w:rsidRPr="004068F6">
        <w:rPr>
          <w:spacing w:val="-3"/>
        </w:rPr>
        <w:t xml:space="preserve">acional de </w:t>
      </w:r>
      <w:r w:rsidR="00E77B0F" w:rsidRPr="004068F6">
        <w:rPr>
          <w:spacing w:val="-3"/>
        </w:rPr>
        <w:t>m</w:t>
      </w:r>
      <w:r w:rsidRPr="004068F6">
        <w:rPr>
          <w:spacing w:val="-3"/>
        </w:rPr>
        <w:t xml:space="preserve">odelación del </w:t>
      </w:r>
      <w:r w:rsidR="00E77B0F" w:rsidRPr="004068F6">
        <w:rPr>
          <w:spacing w:val="-3"/>
        </w:rPr>
        <w:t>r</w:t>
      </w:r>
      <w:r w:rsidRPr="004068F6">
        <w:rPr>
          <w:spacing w:val="-3"/>
        </w:rPr>
        <w:t xml:space="preserve">ecurso </w:t>
      </w:r>
      <w:r w:rsidR="00E77B0F" w:rsidRPr="004068F6">
        <w:rPr>
          <w:spacing w:val="-3"/>
        </w:rPr>
        <w:t>h</w:t>
      </w:r>
      <w:r w:rsidRPr="004068F6">
        <w:rPr>
          <w:spacing w:val="-3"/>
        </w:rPr>
        <w:t xml:space="preserve">ídrico, presentando como mínimo </w:t>
      </w:r>
      <w:r w:rsidR="00E77B0F" w:rsidRPr="004068F6">
        <w:rPr>
          <w:spacing w:val="-3"/>
        </w:rPr>
        <w:t xml:space="preserve">la </w:t>
      </w:r>
      <w:r w:rsidRPr="004068F6">
        <w:rPr>
          <w:spacing w:val="-3"/>
        </w:rPr>
        <w:t>siguiente</w:t>
      </w:r>
      <w:r w:rsidR="00E77B0F" w:rsidRPr="004068F6">
        <w:rPr>
          <w:spacing w:val="-3"/>
        </w:rPr>
        <w:t xml:space="preserve"> información</w:t>
      </w:r>
      <w:r w:rsidR="00520B78" w:rsidRPr="004068F6">
        <w:rPr>
          <w:spacing w:val="-3"/>
        </w:rPr>
        <w:t>:</w:t>
      </w:r>
    </w:p>
    <w:p w14:paraId="607AC407" w14:textId="77777777" w:rsidR="004A1B3C" w:rsidRPr="004068F6" w:rsidRDefault="004A1B3C">
      <w:pPr>
        <w:numPr>
          <w:ilvl w:val="12"/>
          <w:numId w:val="0"/>
        </w:numPr>
        <w:tabs>
          <w:tab w:val="left" w:pos="-2268"/>
        </w:tabs>
        <w:suppressAutoHyphens/>
        <w:rPr>
          <w:spacing w:val="-3"/>
        </w:rPr>
      </w:pPr>
    </w:p>
    <w:p w14:paraId="60BF1AFB" w14:textId="26FDD4E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Estudio de model</w:t>
      </w:r>
      <w:r w:rsidR="00520B78" w:rsidRPr="004068F6">
        <w:rPr>
          <w:spacing w:val="-3"/>
          <w:lang w:val="es-CO"/>
        </w:rPr>
        <w:t>ización</w:t>
      </w:r>
      <w:r w:rsidRPr="004068F6">
        <w:rPr>
          <w:spacing w:val="-3"/>
          <w:lang w:val="es-CO"/>
        </w:rPr>
        <w:t xml:space="preserve"> hidrodinámica</w:t>
      </w:r>
      <w:r w:rsidR="00214F8F" w:rsidRPr="004068F6">
        <w:rPr>
          <w:spacing w:val="-3"/>
          <w:lang w:val="es-CO"/>
        </w:rPr>
        <w:t xml:space="preserve"> </w:t>
      </w:r>
      <w:r w:rsidRPr="004068F6">
        <w:rPr>
          <w:spacing w:val="-3"/>
          <w:lang w:val="es-CO"/>
        </w:rPr>
        <w:t>o ensayos con trazadores con el fin de caracterizar la variación espacial y temporal de la velocidad</w:t>
      </w:r>
      <w:r w:rsidR="002A2CD9" w:rsidRPr="004068F6">
        <w:rPr>
          <w:spacing w:val="-3"/>
          <w:lang w:val="es-CO"/>
        </w:rPr>
        <w:t>, la</w:t>
      </w:r>
      <w:r w:rsidRPr="004068F6">
        <w:rPr>
          <w:spacing w:val="-3"/>
          <w:lang w:val="es-CO"/>
        </w:rPr>
        <w:t xml:space="preserve"> profundidad del agua y las principales propiedades geométricas en cada tramo o sector de análisis</w:t>
      </w:r>
      <w:r w:rsidR="002A2CD9" w:rsidRPr="004068F6">
        <w:rPr>
          <w:spacing w:val="-3"/>
          <w:lang w:val="es-CO"/>
        </w:rPr>
        <w:t xml:space="preserve"> (el estudio debe ser realizado antes de las campañas de monitoreo)</w:t>
      </w:r>
      <w:r w:rsidRPr="004068F6">
        <w:rPr>
          <w:spacing w:val="-3"/>
          <w:lang w:val="es-CO"/>
        </w:rPr>
        <w:t xml:space="preserve">. </w:t>
      </w:r>
      <w:r w:rsidR="002A2CD9" w:rsidRPr="004068F6">
        <w:rPr>
          <w:spacing w:val="-3"/>
          <w:lang w:val="es-CO"/>
        </w:rPr>
        <w:t>Los ensayos con trazadores se consideran una alternativa válida cuando la model</w:t>
      </w:r>
      <w:r w:rsidR="001710D8">
        <w:rPr>
          <w:spacing w:val="-3"/>
          <w:lang w:val="es-CO"/>
        </w:rPr>
        <w:t>iz</w:t>
      </w:r>
      <w:r w:rsidR="002A2CD9" w:rsidRPr="004068F6">
        <w:rPr>
          <w:spacing w:val="-3"/>
          <w:lang w:val="es-CO"/>
        </w:rPr>
        <w:t xml:space="preserve">ación numérica no sea técnica o económicamente inviable, o como método complementario de verificación de </w:t>
      </w:r>
      <w:r w:rsidR="002A2CD9" w:rsidRPr="004068F6">
        <w:rPr>
          <w:spacing w:val="-3"/>
          <w:lang w:val="es-CO"/>
        </w:rPr>
        <w:lastRenderedPageBreak/>
        <w:t xml:space="preserve">resultados; por ejemplo, puede utilizarse Rhodamina como trazador, cumpliendo con las normas de bioseguridad e inocuidad ambiental. </w:t>
      </w:r>
      <w:r w:rsidRPr="004068F6">
        <w:rPr>
          <w:spacing w:val="-3"/>
          <w:lang w:val="es-CO"/>
        </w:rPr>
        <w:t>Específicamente, para el caso de cuerpos lóticos model</w:t>
      </w:r>
      <w:r w:rsidR="00A60447" w:rsidRPr="004068F6">
        <w:rPr>
          <w:spacing w:val="-3"/>
          <w:lang w:val="es-CO"/>
        </w:rPr>
        <w:t>iz</w:t>
      </w:r>
      <w:r w:rsidRPr="004068F6">
        <w:rPr>
          <w:spacing w:val="-3"/>
          <w:lang w:val="es-CO"/>
        </w:rPr>
        <w:t>ados unidimensionalmente, se requieren curvas de calibración de profundidad, área mojada, perímetro mojado, ancho superficial, velocidad media y velocidad máxima como función del caudal; asimismo, se debe reportar la pendiente longitudinal y la descripción o caracterización del material del lecho para el tramo homogéneo analizado.</w:t>
      </w:r>
    </w:p>
    <w:p w14:paraId="1E7AF23E" w14:textId="77777777" w:rsidR="004A1B3C" w:rsidRPr="004068F6" w:rsidRDefault="004A1B3C" w:rsidP="00E77B0F">
      <w:pPr>
        <w:tabs>
          <w:tab w:val="left" w:pos="-2268"/>
        </w:tabs>
        <w:suppressAutoHyphens/>
        <w:ind w:left="567" w:hanging="567"/>
        <w:rPr>
          <w:spacing w:val="-3"/>
        </w:rPr>
      </w:pPr>
    </w:p>
    <w:p w14:paraId="6DABECF1" w14:textId="658ED313"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Modelo de tiempos de viaje, debidamente calibrado a partir de datos de ensayos con trazadores, model</w:t>
      </w:r>
      <w:r w:rsidR="00A60447" w:rsidRPr="004068F6">
        <w:rPr>
          <w:spacing w:val="-3"/>
          <w:lang w:val="es-CO"/>
        </w:rPr>
        <w:t>iz</w:t>
      </w:r>
      <w:r w:rsidRPr="004068F6">
        <w:rPr>
          <w:spacing w:val="-3"/>
          <w:lang w:val="es-CO"/>
        </w:rPr>
        <w:t>ación hidrodinámica en dos o tres dimensiones o model</w:t>
      </w:r>
      <w:r w:rsidR="00A60447" w:rsidRPr="004068F6">
        <w:rPr>
          <w:spacing w:val="-3"/>
          <w:lang w:val="es-CO"/>
        </w:rPr>
        <w:t>iz</w:t>
      </w:r>
      <w:r w:rsidRPr="004068F6">
        <w:rPr>
          <w:spacing w:val="-3"/>
          <w:lang w:val="es-CO"/>
        </w:rPr>
        <w:t>ación hidráulica para flujo uniforme, no uniforme o no permanente. En el caso de reali</w:t>
      </w:r>
      <w:r w:rsidR="007D7A77" w:rsidRPr="004068F6">
        <w:rPr>
          <w:spacing w:val="-3"/>
          <w:lang w:val="es-CO"/>
        </w:rPr>
        <w:t>zar</w:t>
      </w:r>
      <w:r w:rsidRPr="004068F6">
        <w:rPr>
          <w:spacing w:val="-3"/>
          <w:lang w:val="es-CO"/>
        </w:rPr>
        <w:t xml:space="preserve"> ensayos con trazadores, se debe reportar la siguiente información para cada tramo o sector estudiado, a partir de la calibración de modelos de transporte de solutos y/o </w:t>
      </w:r>
      <w:r w:rsidR="004E1DDB" w:rsidRPr="004068F6">
        <w:rPr>
          <w:spacing w:val="-3"/>
          <w:lang w:val="es-CO"/>
        </w:rPr>
        <w:t>d</w:t>
      </w:r>
      <w:r w:rsidRPr="004068F6">
        <w:rPr>
          <w:spacing w:val="-3"/>
          <w:lang w:val="es-CO"/>
        </w:rPr>
        <w:t>el análisis estadístico de los datos obtenidos en campo:</w:t>
      </w:r>
    </w:p>
    <w:p w14:paraId="0B02AF35" w14:textId="77777777" w:rsidR="00E77B0F" w:rsidRPr="004068F6" w:rsidRDefault="00E77B0F" w:rsidP="00C86DA5">
      <w:pPr>
        <w:tabs>
          <w:tab w:val="left" w:pos="-2268"/>
        </w:tabs>
        <w:suppressAutoHyphens/>
        <w:rPr>
          <w:spacing w:val="-3"/>
        </w:rPr>
      </w:pPr>
    </w:p>
    <w:p w14:paraId="623D01A8" w14:textId="77777777" w:rsidR="004A1B3C" w:rsidRPr="004068F6" w:rsidRDefault="004A1B3C" w:rsidP="00C86DA5">
      <w:pPr>
        <w:pStyle w:val="Prrafodelista"/>
        <w:numPr>
          <w:ilvl w:val="0"/>
          <w:numId w:val="402"/>
        </w:numPr>
        <w:tabs>
          <w:tab w:val="left" w:pos="-2268"/>
        </w:tabs>
        <w:suppressAutoHyphens/>
        <w:ind w:left="1134" w:hanging="567"/>
        <w:rPr>
          <w:spacing w:val="-3"/>
          <w:lang w:val="es-CO"/>
        </w:rPr>
      </w:pPr>
      <w:r w:rsidRPr="004068F6">
        <w:rPr>
          <w:spacing w:val="-3"/>
          <w:lang w:val="es-CO"/>
        </w:rPr>
        <w:t>Para cuerpos lóticos:</w:t>
      </w:r>
    </w:p>
    <w:p w14:paraId="5975710E" w14:textId="77777777" w:rsidR="004A1B3C" w:rsidRPr="004068F6" w:rsidRDefault="004A1B3C" w:rsidP="009420F5">
      <w:pPr>
        <w:numPr>
          <w:ilvl w:val="12"/>
          <w:numId w:val="0"/>
        </w:numPr>
        <w:tabs>
          <w:tab w:val="left" w:pos="-2268"/>
        </w:tabs>
        <w:suppressAutoHyphens/>
        <w:rPr>
          <w:spacing w:val="-3"/>
        </w:rPr>
      </w:pPr>
    </w:p>
    <w:p w14:paraId="097F1CED"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Modelo de tiempos de viaje debidamente calibrado.</w:t>
      </w:r>
    </w:p>
    <w:p w14:paraId="782B7B48" w14:textId="77777777" w:rsidR="00A43243" w:rsidRPr="004068F6" w:rsidRDefault="00A43243" w:rsidP="009420F5">
      <w:pPr>
        <w:tabs>
          <w:tab w:val="left" w:pos="-2268"/>
        </w:tabs>
        <w:suppressAutoHyphens/>
        <w:rPr>
          <w:spacing w:val="-3"/>
        </w:rPr>
      </w:pPr>
    </w:p>
    <w:p w14:paraId="6C8566B8"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Tiempo de primer arribo.</w:t>
      </w:r>
    </w:p>
    <w:p w14:paraId="1E944838" w14:textId="3F9B325F" w:rsidR="00A43243" w:rsidRPr="004068F6" w:rsidRDefault="00A43243" w:rsidP="009420F5">
      <w:pPr>
        <w:tabs>
          <w:tab w:val="left" w:pos="-2268"/>
          <w:tab w:val="left" w:pos="1875"/>
        </w:tabs>
        <w:suppressAutoHyphens/>
        <w:rPr>
          <w:spacing w:val="-3"/>
        </w:rPr>
      </w:pPr>
    </w:p>
    <w:p w14:paraId="54C28AA4"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Tiempo medio de viaje (en el caso de inyección instantánea).</w:t>
      </w:r>
    </w:p>
    <w:p w14:paraId="5A843EA3" w14:textId="77777777" w:rsidR="00A43243" w:rsidRPr="004068F6" w:rsidRDefault="00A43243" w:rsidP="009420F5">
      <w:pPr>
        <w:tabs>
          <w:tab w:val="left" w:pos="-2268"/>
        </w:tabs>
        <w:suppressAutoHyphens/>
        <w:rPr>
          <w:spacing w:val="-3"/>
        </w:rPr>
      </w:pPr>
    </w:p>
    <w:p w14:paraId="464DA1B3"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Tiempo al pico.</w:t>
      </w:r>
    </w:p>
    <w:p w14:paraId="5942F0E1" w14:textId="77777777" w:rsidR="00A43243" w:rsidRPr="004068F6" w:rsidRDefault="00A43243" w:rsidP="009420F5">
      <w:pPr>
        <w:tabs>
          <w:tab w:val="left" w:pos="-2268"/>
        </w:tabs>
        <w:suppressAutoHyphens/>
        <w:rPr>
          <w:spacing w:val="-3"/>
        </w:rPr>
      </w:pPr>
    </w:p>
    <w:p w14:paraId="2B412DFD"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Tiempo de pasaje.</w:t>
      </w:r>
    </w:p>
    <w:p w14:paraId="2FC2E8E1" w14:textId="77777777" w:rsidR="00A43243" w:rsidRPr="004068F6" w:rsidRDefault="00A43243" w:rsidP="009420F5">
      <w:pPr>
        <w:tabs>
          <w:tab w:val="left" w:pos="-2268"/>
        </w:tabs>
        <w:suppressAutoHyphens/>
        <w:rPr>
          <w:spacing w:val="-3"/>
        </w:rPr>
      </w:pPr>
    </w:p>
    <w:p w14:paraId="7E8E1434"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Coeficiente de dispersión longitudinal y área transversal efectiva del tramo.</w:t>
      </w:r>
    </w:p>
    <w:p w14:paraId="60EF1708" w14:textId="77777777" w:rsidR="00A43243" w:rsidRPr="004068F6" w:rsidRDefault="00A43243" w:rsidP="009420F5">
      <w:pPr>
        <w:tabs>
          <w:tab w:val="left" w:pos="-2268"/>
        </w:tabs>
        <w:suppressAutoHyphens/>
        <w:rPr>
          <w:spacing w:val="-3"/>
        </w:rPr>
      </w:pPr>
    </w:p>
    <w:p w14:paraId="2BAA122B"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Coeficientes de dispersión longitudinal, transversal y/o vertical, cuando se realicen ensayos con trazadores de inyección continúa.</w:t>
      </w:r>
    </w:p>
    <w:p w14:paraId="20C14C71" w14:textId="77777777" w:rsidR="00A43243" w:rsidRPr="004068F6" w:rsidRDefault="00A43243" w:rsidP="009420F5">
      <w:pPr>
        <w:tabs>
          <w:tab w:val="left" w:pos="-2268"/>
        </w:tabs>
        <w:suppressAutoHyphens/>
        <w:rPr>
          <w:spacing w:val="-3"/>
        </w:rPr>
      </w:pPr>
    </w:p>
    <w:p w14:paraId="3687B817"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Fracción dispersiva.</w:t>
      </w:r>
    </w:p>
    <w:p w14:paraId="0FAE143D" w14:textId="77777777" w:rsidR="004A1B3C" w:rsidRPr="004068F6" w:rsidRDefault="004A1B3C" w:rsidP="009420F5">
      <w:pPr>
        <w:tabs>
          <w:tab w:val="left" w:pos="-2268"/>
        </w:tabs>
        <w:suppressAutoHyphens/>
        <w:rPr>
          <w:spacing w:val="-3"/>
        </w:rPr>
      </w:pPr>
    </w:p>
    <w:p w14:paraId="244B1F62" w14:textId="77777777" w:rsidR="004A1B3C" w:rsidRPr="004068F6" w:rsidRDefault="004A1B3C" w:rsidP="00C86DA5">
      <w:pPr>
        <w:pStyle w:val="Prrafodelista"/>
        <w:numPr>
          <w:ilvl w:val="0"/>
          <w:numId w:val="402"/>
        </w:numPr>
        <w:tabs>
          <w:tab w:val="left" w:pos="-2268"/>
        </w:tabs>
        <w:suppressAutoHyphens/>
        <w:ind w:left="1134" w:hanging="567"/>
        <w:rPr>
          <w:spacing w:val="-3"/>
          <w:lang w:val="es-CO"/>
        </w:rPr>
      </w:pPr>
      <w:r w:rsidRPr="004068F6">
        <w:rPr>
          <w:spacing w:val="-3"/>
          <w:lang w:val="es-CO"/>
        </w:rPr>
        <w:t>Para cuerpos lénticos:</w:t>
      </w:r>
    </w:p>
    <w:p w14:paraId="70FFC76B" w14:textId="77777777" w:rsidR="004A1B3C" w:rsidRPr="004068F6" w:rsidRDefault="004A1B3C" w:rsidP="009420F5">
      <w:pPr>
        <w:tabs>
          <w:tab w:val="left" w:pos="-2268"/>
        </w:tabs>
        <w:suppressAutoHyphens/>
        <w:rPr>
          <w:spacing w:val="-3"/>
          <w:u w:val="single"/>
        </w:rPr>
      </w:pPr>
    </w:p>
    <w:p w14:paraId="1F924564"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Coeficientes de dispersión/difusión longitudinal, transversal y/o vertical.</w:t>
      </w:r>
    </w:p>
    <w:p w14:paraId="497CC7FF" w14:textId="77777777" w:rsidR="004A1B3C" w:rsidRPr="004068F6" w:rsidRDefault="004A1B3C" w:rsidP="009420F5">
      <w:pPr>
        <w:tabs>
          <w:tab w:val="left" w:pos="-2268"/>
        </w:tabs>
        <w:suppressAutoHyphens/>
        <w:rPr>
          <w:spacing w:val="-3"/>
        </w:rPr>
      </w:pPr>
    </w:p>
    <w:p w14:paraId="53116417" w14:textId="41E95CEA" w:rsidR="004A1B3C" w:rsidRPr="004068F6" w:rsidRDefault="004A1B3C" w:rsidP="00C86DA5">
      <w:pPr>
        <w:pStyle w:val="Prrafodelista"/>
        <w:numPr>
          <w:ilvl w:val="0"/>
          <w:numId w:val="404"/>
        </w:numPr>
        <w:tabs>
          <w:tab w:val="left" w:pos="-2268"/>
        </w:tabs>
        <w:suppressAutoHyphens/>
        <w:ind w:left="567" w:hanging="567"/>
        <w:rPr>
          <w:spacing w:val="-3"/>
          <w:lang w:val="es-CO"/>
        </w:rPr>
      </w:pPr>
      <w:r w:rsidRPr="004068F6">
        <w:rPr>
          <w:spacing w:val="-3"/>
          <w:lang w:val="es-CO"/>
        </w:rPr>
        <w:lastRenderedPageBreak/>
        <w:t xml:space="preserve">Estimación de la longitud o dimensión del tramo o </w:t>
      </w:r>
      <w:r w:rsidR="00214F8F" w:rsidRPr="004068F6">
        <w:rPr>
          <w:spacing w:val="-3"/>
          <w:lang w:val="es-CO"/>
        </w:rPr>
        <w:t xml:space="preserve">área </w:t>
      </w:r>
      <w:r w:rsidRPr="004068F6">
        <w:rPr>
          <w:spacing w:val="-3"/>
          <w:lang w:val="es-CO"/>
        </w:rPr>
        <w:t>de model</w:t>
      </w:r>
      <w:r w:rsidR="004E1DDB" w:rsidRPr="004068F6">
        <w:rPr>
          <w:spacing w:val="-3"/>
          <w:lang w:val="es-CO"/>
        </w:rPr>
        <w:t>iza</w:t>
      </w:r>
      <w:r w:rsidRPr="004068F6">
        <w:rPr>
          <w:spacing w:val="-3"/>
          <w:lang w:val="es-CO"/>
        </w:rPr>
        <w:t>ción, respectivamente, mediante una metodología debidamente sustentada y justificada</w:t>
      </w:r>
      <w:r w:rsidRPr="004068F6">
        <w:rPr>
          <w:spacing w:val="-3"/>
          <w:vertAlign w:val="superscript"/>
          <w:lang w:val="es-CO"/>
        </w:rPr>
        <w:footnoteReference w:id="197"/>
      </w:r>
      <w:r w:rsidRPr="004068F6">
        <w:rPr>
          <w:spacing w:val="-3"/>
          <w:lang w:val="es-CO"/>
        </w:rPr>
        <w:t>.</w:t>
      </w:r>
    </w:p>
    <w:p w14:paraId="5D39BA1E" w14:textId="77777777" w:rsidR="004A1B3C" w:rsidRPr="004068F6" w:rsidRDefault="004A1B3C" w:rsidP="00C86DA5">
      <w:pPr>
        <w:tabs>
          <w:tab w:val="left" w:pos="-2268"/>
        </w:tabs>
        <w:suppressAutoHyphens/>
        <w:rPr>
          <w:spacing w:val="-3"/>
        </w:rPr>
      </w:pPr>
    </w:p>
    <w:p w14:paraId="0AA60318" w14:textId="0CABFB77" w:rsidR="004A1B3C" w:rsidRPr="004068F6" w:rsidRDefault="004A1B3C">
      <w:pPr>
        <w:numPr>
          <w:ilvl w:val="12"/>
          <w:numId w:val="0"/>
        </w:numPr>
        <w:tabs>
          <w:tab w:val="left" w:pos="-2268"/>
        </w:tabs>
        <w:suppressAutoHyphens/>
        <w:rPr>
          <w:spacing w:val="-3"/>
        </w:rPr>
      </w:pPr>
      <w:r w:rsidRPr="004068F6">
        <w:rPr>
          <w:spacing w:val="-3"/>
        </w:rPr>
        <w:t>Para el caso de cuerpos lóticos, con la información hidráulica obtenida, se debe reportar la longitud de mezcla en cada sitio de medición, estimada a partir de ecuaciones empíricas (</w:t>
      </w:r>
      <w:r w:rsidR="00041844" w:rsidRPr="004068F6">
        <w:rPr>
          <w:spacing w:val="-3"/>
        </w:rPr>
        <w:t>p. ej.</w:t>
      </w:r>
      <w:r w:rsidRPr="004068F6">
        <w:rPr>
          <w:spacing w:val="-3"/>
        </w:rPr>
        <w:t xml:space="preserve"> Yotsukura y Cobb, 1972; Fischer et al., 1979; Day, 1977; Thomann y Mueller, 1987; Kilpatrick y Wilson, 1989; Dingman, 2002) y/o de la simulación de modelos de zona de mezcla (</w:t>
      </w:r>
      <w:r w:rsidR="00041844" w:rsidRPr="004068F6">
        <w:rPr>
          <w:spacing w:val="-3"/>
        </w:rPr>
        <w:t>p. ej.</w:t>
      </w:r>
      <w:r w:rsidRPr="004068F6">
        <w:rPr>
          <w:spacing w:val="-3"/>
        </w:rPr>
        <w:t xml:space="preserve"> </w:t>
      </w:r>
      <w:r w:rsidR="00AF5874" w:rsidRPr="004068F6">
        <w:rPr>
          <w:spacing w:val="-3"/>
        </w:rPr>
        <w:t>Cormix</w:t>
      </w:r>
      <w:r w:rsidRPr="004068F6">
        <w:rPr>
          <w:spacing w:val="-3"/>
        </w:rPr>
        <w:t xml:space="preserve">, Visual </w:t>
      </w:r>
      <w:r w:rsidR="00AF5874" w:rsidRPr="004068F6">
        <w:rPr>
          <w:spacing w:val="-3"/>
        </w:rPr>
        <w:t>p</w:t>
      </w:r>
      <w:r w:rsidRPr="004068F6">
        <w:rPr>
          <w:spacing w:val="-3"/>
        </w:rPr>
        <w:t>lumes, tubos de corriente, dinámica de fluidos computacional), considerando diferentes condiciones de localización de la descarga (</w:t>
      </w:r>
      <w:r w:rsidR="00041844" w:rsidRPr="004068F6">
        <w:rPr>
          <w:spacing w:val="-3"/>
        </w:rPr>
        <w:t>p. ej.</w:t>
      </w:r>
      <w:r w:rsidRPr="004068F6">
        <w:rPr>
          <w:spacing w:val="-3"/>
        </w:rPr>
        <w:t xml:space="preserve"> central y lateral). Para el caso de cuerpos lénticos, se debe reportar la extensión de la pluma contaminante proveniente de tributarios y/o vertimientos directos bajo diferentes escenarios de caudal descargado y nivel en el cuerpo receptor.</w:t>
      </w:r>
    </w:p>
    <w:p w14:paraId="1DD15C4E" w14:textId="77777777" w:rsidR="004A1B3C" w:rsidRPr="004068F6" w:rsidRDefault="004A1B3C">
      <w:pPr>
        <w:numPr>
          <w:ilvl w:val="12"/>
          <w:numId w:val="0"/>
        </w:numPr>
        <w:tabs>
          <w:tab w:val="left" w:pos="-2268"/>
        </w:tabs>
        <w:suppressAutoHyphens/>
        <w:rPr>
          <w:spacing w:val="-3"/>
        </w:rPr>
      </w:pPr>
    </w:p>
    <w:p w14:paraId="03CED2BD" w14:textId="2F1FA18D" w:rsidR="004A1B3C" w:rsidRPr="004068F6" w:rsidRDefault="004A1B3C">
      <w:pPr>
        <w:numPr>
          <w:ilvl w:val="12"/>
          <w:numId w:val="0"/>
        </w:numPr>
        <w:tabs>
          <w:tab w:val="left" w:pos="-2268"/>
        </w:tabs>
        <w:suppressAutoHyphens/>
        <w:rPr>
          <w:spacing w:val="-3"/>
        </w:rPr>
      </w:pPr>
      <w:r w:rsidRPr="004068F6">
        <w:rPr>
          <w:spacing w:val="-3"/>
        </w:rPr>
        <w:t xml:space="preserve">Se debe justificar la selección del modelo </w:t>
      </w:r>
      <w:r w:rsidRPr="004068F6">
        <w:rPr>
          <w:rFonts w:cs="Arial"/>
          <w:spacing w:val="-3"/>
        </w:rPr>
        <w:t>empleado de acuerdo con</w:t>
      </w:r>
      <w:r w:rsidRPr="004068F6">
        <w:rPr>
          <w:spacing w:val="-3"/>
        </w:rPr>
        <w:t xml:space="preserve"> las condiciones del sistema a model</w:t>
      </w:r>
      <w:r w:rsidR="00A60447" w:rsidRPr="004068F6">
        <w:rPr>
          <w:spacing w:val="-3"/>
        </w:rPr>
        <w:t>iz</w:t>
      </w:r>
      <w:r w:rsidRPr="004068F6">
        <w:rPr>
          <w:spacing w:val="-3"/>
        </w:rPr>
        <w:t xml:space="preserve">ar, teniendo en cuenta los procesos dominantes, la complejidad </w:t>
      </w:r>
      <w:r w:rsidRPr="004068F6">
        <w:rPr>
          <w:rFonts w:cs="Arial"/>
          <w:spacing w:val="-3"/>
        </w:rPr>
        <w:t>de la condición a model</w:t>
      </w:r>
      <w:r w:rsidR="00A60447" w:rsidRPr="004068F6">
        <w:rPr>
          <w:rFonts w:cs="Arial"/>
          <w:spacing w:val="-3"/>
        </w:rPr>
        <w:t>iz</w:t>
      </w:r>
      <w:r w:rsidRPr="004068F6">
        <w:rPr>
          <w:rFonts w:cs="Arial"/>
          <w:spacing w:val="-3"/>
        </w:rPr>
        <w:t>ar</w:t>
      </w:r>
      <w:r w:rsidRPr="004068F6">
        <w:rPr>
          <w:spacing w:val="-3"/>
        </w:rPr>
        <w:t>, la variación espacial (unidimensional, bidimensional o tridimensional) y temporal (dinámico</w:t>
      </w:r>
      <w:r w:rsidR="00407751" w:rsidRPr="004068F6">
        <w:rPr>
          <w:spacing w:val="-3"/>
        </w:rPr>
        <w:t xml:space="preserve"> o</w:t>
      </w:r>
      <w:r w:rsidRPr="004068F6">
        <w:rPr>
          <w:spacing w:val="-3"/>
        </w:rPr>
        <w:t xml:space="preserve"> estado estable) de la calidad del agua y </w:t>
      </w:r>
      <w:r w:rsidRPr="004068F6">
        <w:rPr>
          <w:rFonts w:cs="Arial"/>
          <w:spacing w:val="-3"/>
        </w:rPr>
        <w:t xml:space="preserve">condiciones de frecuencia </w:t>
      </w:r>
      <w:r w:rsidRPr="004068F6">
        <w:rPr>
          <w:spacing w:val="-3"/>
        </w:rPr>
        <w:t xml:space="preserve">de las descargas existentes en el tramo o </w:t>
      </w:r>
      <w:r w:rsidR="00214F8F" w:rsidRPr="004068F6">
        <w:rPr>
          <w:spacing w:val="-3"/>
        </w:rPr>
        <w:t xml:space="preserve">área </w:t>
      </w:r>
      <w:r w:rsidRPr="004068F6">
        <w:rPr>
          <w:spacing w:val="-3"/>
        </w:rPr>
        <w:t>estudiad</w:t>
      </w:r>
      <w:r w:rsidR="00214F8F" w:rsidRPr="004068F6">
        <w:rPr>
          <w:spacing w:val="-3"/>
        </w:rPr>
        <w:t>a</w:t>
      </w:r>
      <w:r w:rsidRPr="004068F6">
        <w:rPr>
          <w:spacing w:val="-3"/>
        </w:rPr>
        <w:t xml:space="preserve">. </w:t>
      </w:r>
      <w:r w:rsidR="00214F8F" w:rsidRPr="004068F6">
        <w:rPr>
          <w:spacing w:val="-3"/>
        </w:rPr>
        <w:t xml:space="preserve">Adicionalmente, se deben señalar los procesos y variables empleados en el modelo, dado que no todos permiten evaluar las posibles transformaciones fisicoquímicas o microbiológicas del tramo o área estudiada. </w:t>
      </w:r>
      <w:r w:rsidRPr="004068F6">
        <w:rPr>
          <w:spacing w:val="-3"/>
        </w:rPr>
        <w:t>El programa de monitoreo debe ajustarse de acuerdo con el modelo seleccionado</w:t>
      </w:r>
      <w:r w:rsidR="00542769" w:rsidRPr="004068F6">
        <w:rPr>
          <w:spacing w:val="-3"/>
        </w:rPr>
        <w:t xml:space="preserve"> y los lineamientos establecidos en el artículo 2.2.3.3.4.13 del Decreto 1076 de 2015</w:t>
      </w:r>
      <w:r w:rsidR="00FD08CD">
        <w:rPr>
          <w:spacing w:val="-3"/>
        </w:rPr>
        <w:t xml:space="preserve"> (o en las normas que lo modifiquen o sustituyan)</w:t>
      </w:r>
      <w:r w:rsidR="00542769" w:rsidRPr="004068F6">
        <w:rPr>
          <w:spacing w:val="-3"/>
        </w:rPr>
        <w:t>, especialmente en lo referente a la selección de puntos, parámetros y frecuencias de medición del vertimiento</w:t>
      </w:r>
      <w:r w:rsidRPr="004068F6">
        <w:rPr>
          <w:spacing w:val="-3"/>
        </w:rPr>
        <w:t>.</w:t>
      </w:r>
    </w:p>
    <w:p w14:paraId="30774B31" w14:textId="77777777" w:rsidR="004A1B3C" w:rsidRPr="004068F6" w:rsidRDefault="004A1B3C">
      <w:pPr>
        <w:numPr>
          <w:ilvl w:val="12"/>
          <w:numId w:val="0"/>
        </w:numPr>
        <w:tabs>
          <w:tab w:val="left" w:pos="-2268"/>
        </w:tabs>
        <w:suppressAutoHyphens/>
        <w:rPr>
          <w:spacing w:val="-3"/>
        </w:rPr>
      </w:pPr>
    </w:p>
    <w:p w14:paraId="6B8C68EB" w14:textId="5E0C8D68" w:rsidR="004A1B3C" w:rsidRPr="004068F6" w:rsidRDefault="004A1B3C">
      <w:pPr>
        <w:numPr>
          <w:ilvl w:val="12"/>
          <w:numId w:val="0"/>
        </w:numPr>
        <w:tabs>
          <w:tab w:val="left" w:pos="-2268"/>
        </w:tabs>
        <w:suppressAutoHyphens/>
        <w:rPr>
          <w:spacing w:val="-3"/>
        </w:rPr>
      </w:pPr>
      <w:r w:rsidRPr="004068F6">
        <w:rPr>
          <w:spacing w:val="-3"/>
        </w:rPr>
        <w:t>Definir la estructura conceptual para la model</w:t>
      </w:r>
      <w:r w:rsidR="00407751" w:rsidRPr="004068F6">
        <w:rPr>
          <w:spacing w:val="-3"/>
        </w:rPr>
        <w:t>iz</w:t>
      </w:r>
      <w:r w:rsidRPr="004068F6">
        <w:rPr>
          <w:spacing w:val="-3"/>
        </w:rPr>
        <w:t>ación de la calidad del agua, incluyendo como mínimo los siguientes puntos:</w:t>
      </w:r>
    </w:p>
    <w:p w14:paraId="04A20293" w14:textId="77777777" w:rsidR="004A1B3C" w:rsidRPr="004068F6" w:rsidRDefault="004A1B3C">
      <w:pPr>
        <w:numPr>
          <w:ilvl w:val="12"/>
          <w:numId w:val="0"/>
        </w:numPr>
        <w:tabs>
          <w:tab w:val="left" w:pos="-2268"/>
        </w:tabs>
        <w:suppressAutoHyphens/>
        <w:rPr>
          <w:spacing w:val="-3"/>
        </w:rPr>
      </w:pPr>
    </w:p>
    <w:p w14:paraId="564976FA" w14:textId="2299C1B9"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Protocolo o marco de model</w:t>
      </w:r>
      <w:r w:rsidR="00407751" w:rsidRPr="004068F6">
        <w:rPr>
          <w:spacing w:val="-3"/>
          <w:lang w:val="es-CO"/>
        </w:rPr>
        <w:t>iz</w:t>
      </w:r>
      <w:r w:rsidRPr="004068F6">
        <w:rPr>
          <w:spacing w:val="-3"/>
          <w:lang w:val="es-CO"/>
        </w:rPr>
        <w:t>ación.</w:t>
      </w:r>
    </w:p>
    <w:p w14:paraId="5B6629CA" w14:textId="77777777" w:rsidR="004A1B3C" w:rsidRPr="004068F6" w:rsidRDefault="004A1B3C" w:rsidP="00C86DA5">
      <w:pPr>
        <w:pStyle w:val="Prrafodelista"/>
        <w:tabs>
          <w:tab w:val="left" w:pos="-2268"/>
        </w:tabs>
        <w:suppressAutoHyphens/>
        <w:ind w:left="567" w:hanging="567"/>
        <w:rPr>
          <w:spacing w:val="-3"/>
          <w:lang w:val="es-CO"/>
        </w:rPr>
      </w:pPr>
    </w:p>
    <w:p w14:paraId="795E0378"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Síntesis de la información preliminar para definir el modelo conceptual.</w:t>
      </w:r>
    </w:p>
    <w:p w14:paraId="26B811AD" w14:textId="77777777" w:rsidR="004A1B3C" w:rsidRPr="004068F6" w:rsidRDefault="004A1B3C" w:rsidP="00C86DA5">
      <w:pPr>
        <w:pStyle w:val="Prrafodelista"/>
        <w:ind w:left="567" w:hanging="567"/>
        <w:rPr>
          <w:spacing w:val="-3"/>
          <w:lang w:val="es-CO"/>
        </w:rPr>
      </w:pPr>
    </w:p>
    <w:p w14:paraId="7E8ACFB8" w14:textId="3B6D6986"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Esquemas que indiquen entradas, salidas, fuentes</w:t>
      </w:r>
      <w:r w:rsidR="002465AA" w:rsidRPr="004068F6">
        <w:rPr>
          <w:spacing w:val="-3"/>
          <w:lang w:val="es-CO"/>
        </w:rPr>
        <w:t xml:space="preserve"> puntuales o difusas</w:t>
      </w:r>
      <w:r w:rsidRPr="004068F6">
        <w:rPr>
          <w:spacing w:val="-3"/>
          <w:lang w:val="es-CO"/>
        </w:rPr>
        <w:t xml:space="preserve">, sumideros y procesos </w:t>
      </w:r>
      <w:r w:rsidRPr="004068F6">
        <w:rPr>
          <w:rFonts w:cs="Arial"/>
          <w:spacing w:val="-3"/>
          <w:lang w:val="es-CO"/>
        </w:rPr>
        <w:t>fisicoquímicos</w:t>
      </w:r>
      <w:r w:rsidRPr="004068F6">
        <w:rPr>
          <w:spacing w:val="-3"/>
          <w:lang w:val="es-CO"/>
        </w:rPr>
        <w:t xml:space="preserve"> y biológicos dominantes identificados en el sistema a model</w:t>
      </w:r>
      <w:r w:rsidR="00A60447" w:rsidRPr="004068F6">
        <w:rPr>
          <w:spacing w:val="-3"/>
          <w:lang w:val="es-CO"/>
        </w:rPr>
        <w:t>iz</w:t>
      </w:r>
      <w:r w:rsidRPr="004068F6">
        <w:rPr>
          <w:spacing w:val="-3"/>
          <w:lang w:val="es-CO"/>
        </w:rPr>
        <w:t>ar.</w:t>
      </w:r>
    </w:p>
    <w:p w14:paraId="2E4FB6B0" w14:textId="77777777" w:rsidR="004A1B3C" w:rsidRPr="004068F6" w:rsidRDefault="004A1B3C" w:rsidP="00C86DA5">
      <w:pPr>
        <w:pStyle w:val="Prrafodelista"/>
        <w:ind w:left="567" w:hanging="567"/>
        <w:rPr>
          <w:spacing w:val="-3"/>
          <w:lang w:val="es-CO"/>
        </w:rPr>
      </w:pPr>
    </w:p>
    <w:p w14:paraId="432046B1"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lastRenderedPageBreak/>
        <w:t>Segmentación inicial del sistema, teniendo en cuenta la definición de los tramos o sectores de análisis y, si es necesario, la estabilidad y precisión numérica para la implementación del código del modelo seleccionado.</w:t>
      </w:r>
    </w:p>
    <w:p w14:paraId="4844DC73" w14:textId="77777777" w:rsidR="004A1B3C" w:rsidRPr="004068F6" w:rsidRDefault="004A1B3C" w:rsidP="00C86DA5">
      <w:pPr>
        <w:pStyle w:val="Prrafodelista"/>
        <w:ind w:left="567" w:hanging="567"/>
        <w:rPr>
          <w:spacing w:val="-3"/>
          <w:lang w:val="es-CO"/>
        </w:rPr>
      </w:pPr>
    </w:p>
    <w:p w14:paraId="14CA140D" w14:textId="0AC96FCD"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Definición </w:t>
      </w:r>
      <w:r w:rsidR="004770C9" w:rsidRPr="004068F6">
        <w:rPr>
          <w:spacing w:val="-3"/>
          <w:lang w:val="es-CO"/>
        </w:rPr>
        <w:t xml:space="preserve">y justificación </w:t>
      </w:r>
      <w:r w:rsidRPr="004068F6">
        <w:rPr>
          <w:spacing w:val="-3"/>
          <w:lang w:val="es-CO"/>
        </w:rPr>
        <w:t>de los determinantes de calidad del agua a simular.</w:t>
      </w:r>
    </w:p>
    <w:p w14:paraId="276FFC42" w14:textId="77777777" w:rsidR="004A1B3C" w:rsidRPr="004068F6" w:rsidRDefault="004A1B3C" w:rsidP="00C86DA5">
      <w:pPr>
        <w:pStyle w:val="Prrafodelista"/>
        <w:ind w:left="567" w:hanging="567"/>
        <w:rPr>
          <w:spacing w:val="-3"/>
          <w:lang w:val="es-CO"/>
        </w:rPr>
      </w:pPr>
    </w:p>
    <w:p w14:paraId="0E2D3909" w14:textId="2CF5A2C3"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Descripción general de la estructura del modelo seleccionado</w:t>
      </w:r>
      <w:r w:rsidR="00407751" w:rsidRPr="004068F6">
        <w:rPr>
          <w:spacing w:val="-3"/>
          <w:lang w:val="es-CO"/>
        </w:rPr>
        <w:t>, señalando</w:t>
      </w:r>
      <w:r w:rsidRPr="004068F6">
        <w:rPr>
          <w:spacing w:val="-3"/>
          <w:lang w:val="es-CO"/>
        </w:rPr>
        <w:t xml:space="preserve"> procesos model</w:t>
      </w:r>
      <w:r w:rsidR="00407751" w:rsidRPr="004068F6">
        <w:rPr>
          <w:spacing w:val="-3"/>
          <w:lang w:val="es-CO"/>
        </w:rPr>
        <w:t>iz</w:t>
      </w:r>
      <w:r w:rsidRPr="004068F6">
        <w:rPr>
          <w:spacing w:val="-3"/>
          <w:lang w:val="es-CO"/>
        </w:rPr>
        <w:t>ados, ecuaciones matemáticas, variables de estado, parámetros del modelo, condiciones de frontera, condiciones iniciales, método de solución numérica o analítica, plataforma de solución, ventajas, limitaciones y suposiciones.</w:t>
      </w:r>
    </w:p>
    <w:p w14:paraId="77F1C590" w14:textId="77777777" w:rsidR="004A1B3C" w:rsidRPr="004068F6" w:rsidRDefault="004A1B3C" w:rsidP="00C86DA5">
      <w:pPr>
        <w:numPr>
          <w:ilvl w:val="12"/>
          <w:numId w:val="0"/>
        </w:numPr>
        <w:tabs>
          <w:tab w:val="left" w:pos="-2268"/>
        </w:tabs>
        <w:suppressAutoHyphens/>
        <w:ind w:left="567" w:hanging="567"/>
        <w:rPr>
          <w:spacing w:val="-3"/>
        </w:rPr>
      </w:pPr>
    </w:p>
    <w:p w14:paraId="6E425BC2" w14:textId="2F7FDF27" w:rsidR="00A43243" w:rsidRPr="004068F6" w:rsidRDefault="004A1B3C" w:rsidP="00C86DA5">
      <w:pPr>
        <w:pStyle w:val="Prrafodelista"/>
        <w:tabs>
          <w:tab w:val="left" w:pos="-2268"/>
        </w:tabs>
        <w:suppressAutoHyphens/>
        <w:ind w:left="567"/>
        <w:rPr>
          <w:spacing w:val="-3"/>
          <w:lang w:val="es-CO"/>
        </w:rPr>
      </w:pPr>
      <w:r w:rsidRPr="004068F6">
        <w:rPr>
          <w:spacing w:val="-3"/>
          <w:lang w:val="es-CO"/>
        </w:rPr>
        <w:t>Definición de criterios para la calibración</w:t>
      </w:r>
      <w:r w:rsidR="002465AA" w:rsidRPr="004068F6">
        <w:rPr>
          <w:spacing w:val="-3"/>
          <w:lang w:val="es-CO"/>
        </w:rPr>
        <w:t>,</w:t>
      </w:r>
      <w:r w:rsidRPr="004068F6">
        <w:rPr>
          <w:spacing w:val="-3"/>
          <w:lang w:val="es-CO"/>
        </w:rPr>
        <w:t xml:space="preserve"> validación </w:t>
      </w:r>
      <w:r w:rsidR="002465AA" w:rsidRPr="004068F6">
        <w:rPr>
          <w:spacing w:val="-3"/>
          <w:lang w:val="es-CO"/>
        </w:rPr>
        <w:t>y análisis de sensibilidad paramétrica del modelo</w:t>
      </w:r>
      <w:r w:rsidRPr="004068F6">
        <w:rPr>
          <w:spacing w:val="-3"/>
          <w:lang w:val="es-CO"/>
        </w:rPr>
        <w:t>, lo cual incluye la descripción de la función objetivo, las tasas, constantes y velocidades de transformación por calibrar, y rangos, algoritmos de calibración y validación y criterios de aceptabilidad del modelo.</w:t>
      </w:r>
    </w:p>
    <w:p w14:paraId="3F37C756" w14:textId="77777777" w:rsidR="004A1B3C" w:rsidRPr="004068F6" w:rsidRDefault="004A1B3C" w:rsidP="00C86DA5">
      <w:pPr>
        <w:tabs>
          <w:tab w:val="left" w:pos="-2268"/>
        </w:tabs>
        <w:suppressAutoHyphens/>
        <w:rPr>
          <w:spacing w:val="-3"/>
        </w:rPr>
      </w:pPr>
    </w:p>
    <w:p w14:paraId="59E7168B" w14:textId="77777777" w:rsidR="004A1B3C" w:rsidRPr="004068F6" w:rsidRDefault="004A1B3C" w:rsidP="00C86DA5">
      <w:pPr>
        <w:tabs>
          <w:tab w:val="left" w:pos="-2268"/>
        </w:tabs>
        <w:suppressAutoHyphens/>
        <w:rPr>
          <w:spacing w:val="-3"/>
        </w:rPr>
      </w:pPr>
      <w:r w:rsidRPr="004068F6">
        <w:rPr>
          <w:spacing w:val="-3"/>
        </w:rPr>
        <w:t>Plantear la simulación como mínimo, en los siguientes escenarios:</w:t>
      </w:r>
    </w:p>
    <w:p w14:paraId="1158A658" w14:textId="77777777" w:rsidR="004A1B3C" w:rsidRPr="004068F6" w:rsidRDefault="004A1B3C" w:rsidP="00C86DA5">
      <w:pPr>
        <w:tabs>
          <w:tab w:val="left" w:pos="-2268"/>
        </w:tabs>
        <w:suppressAutoHyphens/>
        <w:rPr>
          <w:spacing w:val="-3"/>
        </w:rPr>
      </w:pPr>
    </w:p>
    <w:p w14:paraId="10F23B43"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Condición sin proyecto (línea base).</w:t>
      </w:r>
    </w:p>
    <w:p w14:paraId="37D84325" w14:textId="77777777" w:rsidR="004A1B3C" w:rsidRPr="004068F6" w:rsidRDefault="004A1B3C" w:rsidP="00A43243">
      <w:pPr>
        <w:tabs>
          <w:tab w:val="left" w:pos="-2268"/>
        </w:tabs>
        <w:suppressAutoHyphens/>
        <w:ind w:left="567" w:hanging="567"/>
        <w:rPr>
          <w:spacing w:val="-3"/>
        </w:rPr>
      </w:pPr>
    </w:p>
    <w:p w14:paraId="7E94B90E"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Carga máxima en el vertimiento tratado y caudal/nivel característico de condiciones mínimas sobre el cuerpo de agua receptor.</w:t>
      </w:r>
    </w:p>
    <w:p w14:paraId="2A8C4D64" w14:textId="77777777" w:rsidR="004A1B3C" w:rsidRPr="004068F6" w:rsidRDefault="004A1B3C" w:rsidP="00A43243">
      <w:pPr>
        <w:tabs>
          <w:tab w:val="left" w:pos="-2268"/>
        </w:tabs>
        <w:suppressAutoHyphens/>
        <w:ind w:left="567" w:hanging="567"/>
        <w:rPr>
          <w:spacing w:val="-3"/>
        </w:rPr>
      </w:pPr>
    </w:p>
    <w:p w14:paraId="6381C02E"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Carga promedio en el vertimiento tratado y caudal/nivel promedio sobre el cuerpo de agua receptor.</w:t>
      </w:r>
    </w:p>
    <w:p w14:paraId="03B6902A" w14:textId="77777777" w:rsidR="004A1B3C" w:rsidRPr="004068F6" w:rsidRDefault="004A1B3C" w:rsidP="00C86DA5">
      <w:pPr>
        <w:pStyle w:val="Prrafodelista"/>
        <w:tabs>
          <w:tab w:val="left" w:pos="-2268"/>
        </w:tabs>
        <w:suppressAutoHyphens/>
        <w:ind w:left="567" w:hanging="567"/>
        <w:rPr>
          <w:spacing w:val="-3"/>
          <w:lang w:val="es-CO"/>
        </w:rPr>
      </w:pPr>
    </w:p>
    <w:p w14:paraId="0DC53A82" w14:textId="1A619779"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Carga máxima en el vertimiento tratado y caudal/nivel máximo ordinario sobre el cuerpo de agua receptor. En este escenario y para el caso de cuerpos lóticos, se debe considerar </w:t>
      </w:r>
      <w:r w:rsidR="00542769" w:rsidRPr="004068F6">
        <w:rPr>
          <w:spacing w:val="-3"/>
          <w:lang w:val="es-CO"/>
        </w:rPr>
        <w:t>la interacción y procesos con la zona hiporréica y los sedimentos de fondo según las características del vertimiento y el cuerpo de agua receptor. Se debe justificar la inclusión de este escenario basado en las características del proyecto y la caracterización de calidad de agua y sedimentos</w:t>
      </w:r>
      <w:r w:rsidRPr="004068F6">
        <w:rPr>
          <w:spacing w:val="-3"/>
          <w:lang w:val="es-CO"/>
        </w:rPr>
        <w:t>.</w:t>
      </w:r>
    </w:p>
    <w:p w14:paraId="626236E3" w14:textId="77777777" w:rsidR="004A1B3C" w:rsidRPr="004068F6" w:rsidRDefault="004A1B3C" w:rsidP="00C86DA5">
      <w:pPr>
        <w:pStyle w:val="Prrafodelista"/>
        <w:tabs>
          <w:tab w:val="left" w:pos="-2268"/>
        </w:tabs>
        <w:suppressAutoHyphens/>
        <w:ind w:left="567" w:hanging="567"/>
        <w:rPr>
          <w:spacing w:val="-3"/>
          <w:lang w:val="es-CO"/>
        </w:rPr>
      </w:pPr>
    </w:p>
    <w:p w14:paraId="26B42968" w14:textId="7248E816" w:rsidR="001F5560" w:rsidRPr="004068F6" w:rsidRDefault="004A1B3C" w:rsidP="001F5560">
      <w:pPr>
        <w:pStyle w:val="Prrafodelista"/>
        <w:numPr>
          <w:ilvl w:val="0"/>
          <w:numId w:val="5"/>
        </w:numPr>
        <w:tabs>
          <w:tab w:val="left" w:pos="-2268"/>
        </w:tabs>
        <w:suppressAutoHyphens/>
        <w:ind w:left="567" w:hanging="567"/>
        <w:rPr>
          <w:spacing w:val="-3"/>
          <w:lang w:val="es-CO"/>
        </w:rPr>
      </w:pPr>
      <w:r w:rsidRPr="004068F6">
        <w:rPr>
          <w:spacing w:val="-3"/>
          <w:lang w:val="es-CO"/>
        </w:rPr>
        <w:t>Carga máxima en el vertimiento antes del tratamiento y caudal/nivel característico de condiciones mínimas sobre el cuerpo de agua receptor.</w:t>
      </w:r>
      <w:r w:rsidR="001F5560" w:rsidRPr="004068F6">
        <w:rPr>
          <w:spacing w:val="-3"/>
          <w:lang w:val="es-CO"/>
        </w:rPr>
        <w:t xml:space="preserve"> </w:t>
      </w:r>
      <w:r w:rsidR="00407751" w:rsidRPr="004068F6">
        <w:rPr>
          <w:spacing w:val="-3"/>
          <w:lang w:val="es-CO"/>
        </w:rPr>
        <w:t xml:space="preserve">Se </w:t>
      </w:r>
      <w:r w:rsidR="001F5560" w:rsidRPr="004068F6">
        <w:rPr>
          <w:spacing w:val="-3"/>
          <w:lang w:val="es-CO"/>
        </w:rPr>
        <w:t xml:space="preserve">debe presentar información que permita establecer la carga máxima de este tipo de vertimiento, de acuerdo con las actividades generadoras y </w:t>
      </w:r>
      <w:r w:rsidR="00407751" w:rsidRPr="004068F6">
        <w:rPr>
          <w:spacing w:val="-3"/>
          <w:lang w:val="es-CO"/>
        </w:rPr>
        <w:t>e</w:t>
      </w:r>
      <w:r w:rsidR="001F5560" w:rsidRPr="004068F6">
        <w:rPr>
          <w:spacing w:val="-3"/>
          <w:lang w:val="es-CO"/>
        </w:rPr>
        <w:t>l tipo de tratamiento a utilizar.</w:t>
      </w:r>
    </w:p>
    <w:p w14:paraId="7B020E86" w14:textId="77777777" w:rsidR="004A1B3C" w:rsidRPr="004068F6" w:rsidRDefault="004A1B3C">
      <w:pPr>
        <w:numPr>
          <w:ilvl w:val="12"/>
          <w:numId w:val="0"/>
        </w:numPr>
        <w:tabs>
          <w:tab w:val="left" w:pos="-2268"/>
        </w:tabs>
        <w:suppressAutoHyphens/>
        <w:rPr>
          <w:spacing w:val="-3"/>
        </w:rPr>
      </w:pPr>
    </w:p>
    <w:p w14:paraId="5C774CA6" w14:textId="7F54E71D" w:rsidR="00AF7A30" w:rsidRPr="00127BD4" w:rsidRDefault="00AF7A30" w:rsidP="000D6E21">
      <w:pPr>
        <w:pStyle w:val="Prrafodelista"/>
        <w:numPr>
          <w:ilvl w:val="0"/>
          <w:numId w:val="5"/>
        </w:numPr>
        <w:tabs>
          <w:tab w:val="left" w:pos="-2268"/>
        </w:tabs>
        <w:suppressAutoHyphens/>
        <w:ind w:left="567" w:hanging="567"/>
        <w:rPr>
          <w:spacing w:val="-3"/>
          <w:lang w:val="es-CO"/>
        </w:rPr>
      </w:pPr>
      <w:r w:rsidRPr="004068F6">
        <w:rPr>
          <w:spacing w:val="-3"/>
          <w:lang w:val="es-CO"/>
        </w:rPr>
        <w:t>Carga máxima en el vertimiento tratado y caudal / nivel característico de condiciones mínimas sobre el cuerpo de agua receptor en escenarios de cambio climático.</w:t>
      </w:r>
    </w:p>
    <w:p w14:paraId="1F1A8DA3" w14:textId="77777777" w:rsidR="00AF7A30" w:rsidRPr="004068F6" w:rsidRDefault="00AF7A30" w:rsidP="00C86DA5">
      <w:pPr>
        <w:numPr>
          <w:ilvl w:val="12"/>
          <w:numId w:val="0"/>
        </w:numPr>
        <w:tabs>
          <w:tab w:val="left" w:pos="-2268"/>
        </w:tabs>
        <w:suppressAutoHyphens/>
        <w:ind w:left="567"/>
        <w:rPr>
          <w:spacing w:val="-3"/>
        </w:rPr>
      </w:pPr>
    </w:p>
    <w:p w14:paraId="18F414B5" w14:textId="384DE36D" w:rsidR="004A1B3C" w:rsidRPr="004068F6" w:rsidRDefault="004A1B3C" w:rsidP="00C86DA5">
      <w:pPr>
        <w:numPr>
          <w:ilvl w:val="12"/>
          <w:numId w:val="0"/>
        </w:numPr>
        <w:tabs>
          <w:tab w:val="left" w:pos="-2268"/>
        </w:tabs>
        <w:suppressAutoHyphens/>
        <w:ind w:left="567"/>
        <w:rPr>
          <w:spacing w:val="-3"/>
        </w:rPr>
      </w:pPr>
      <w:r w:rsidRPr="004068F6">
        <w:rPr>
          <w:spacing w:val="-3"/>
        </w:rPr>
        <w:lastRenderedPageBreak/>
        <w:t>Realizar una comparación entre todos los escenarios de model</w:t>
      </w:r>
      <w:r w:rsidR="00407751" w:rsidRPr="004068F6">
        <w:rPr>
          <w:spacing w:val="-3"/>
        </w:rPr>
        <w:t>iz</w:t>
      </w:r>
      <w:r w:rsidRPr="004068F6">
        <w:rPr>
          <w:spacing w:val="-3"/>
        </w:rPr>
        <w:t>ación, y analizarlos teniendo en cuenta los criterios de calidad para la destinación del recurso hídrico establecidos por la autoridad ambiental competente (si existen) o los definidos para el ámbito nacional, y los análisis de los conflictos de usos actuales y potenciales del recurso hídrico.</w:t>
      </w:r>
    </w:p>
    <w:p w14:paraId="66CB1820" w14:textId="77777777" w:rsidR="004A1B3C" w:rsidRPr="004068F6" w:rsidRDefault="004A1B3C">
      <w:pPr>
        <w:numPr>
          <w:ilvl w:val="12"/>
          <w:numId w:val="0"/>
        </w:numPr>
        <w:tabs>
          <w:tab w:val="left" w:pos="-2268"/>
        </w:tabs>
        <w:suppressAutoHyphens/>
        <w:rPr>
          <w:spacing w:val="-3"/>
        </w:rPr>
      </w:pPr>
    </w:p>
    <w:p w14:paraId="1869828E"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Cálculo de los factores de asimilación de cada corriente.</w:t>
      </w:r>
    </w:p>
    <w:p w14:paraId="22C24FE3" w14:textId="77777777" w:rsidR="004A1B3C" w:rsidRPr="004068F6" w:rsidRDefault="004A1B3C">
      <w:pPr>
        <w:numPr>
          <w:ilvl w:val="12"/>
          <w:numId w:val="0"/>
        </w:numPr>
        <w:tabs>
          <w:tab w:val="left" w:pos="-2268"/>
        </w:tabs>
        <w:suppressAutoHyphens/>
        <w:rPr>
          <w:spacing w:val="-3"/>
        </w:rPr>
      </w:pPr>
    </w:p>
    <w:p w14:paraId="137F8A30" w14:textId="77777777" w:rsidR="004A1B3C" w:rsidRPr="004068F6" w:rsidRDefault="004A1B3C" w:rsidP="00A43243">
      <w:pPr>
        <w:numPr>
          <w:ilvl w:val="12"/>
          <w:numId w:val="0"/>
        </w:numPr>
        <w:tabs>
          <w:tab w:val="left" w:pos="-2268"/>
        </w:tabs>
        <w:suppressAutoHyphens/>
        <w:ind w:left="567"/>
        <w:rPr>
          <w:spacing w:val="-3"/>
        </w:rPr>
      </w:pPr>
      <w:r w:rsidRPr="004068F6">
        <w:rPr>
          <w:spacing w:val="-3"/>
        </w:rPr>
        <w:t>En estos análisis se debe tener en cuenta lo dispuesto en los instrumentos de planificación y administración del recurso hídrico, contenidos en la Política Nacional para la Gestión Integral del Recurso Hídrico (PNGIRH).</w:t>
      </w:r>
    </w:p>
    <w:p w14:paraId="1EE51B4C" w14:textId="77777777" w:rsidR="004A1B3C" w:rsidRPr="004068F6" w:rsidRDefault="004A1B3C" w:rsidP="00A43243">
      <w:pPr>
        <w:numPr>
          <w:ilvl w:val="12"/>
          <w:numId w:val="0"/>
        </w:numPr>
        <w:tabs>
          <w:tab w:val="left" w:pos="-2268"/>
        </w:tabs>
        <w:suppressAutoHyphens/>
        <w:ind w:left="567"/>
        <w:rPr>
          <w:spacing w:val="-3"/>
        </w:rPr>
      </w:pPr>
    </w:p>
    <w:p w14:paraId="13283EDD" w14:textId="3713D49D" w:rsidR="004A1B3C" w:rsidRPr="004068F6" w:rsidRDefault="004A1B3C" w:rsidP="00A43243">
      <w:pPr>
        <w:numPr>
          <w:ilvl w:val="12"/>
          <w:numId w:val="0"/>
        </w:numPr>
        <w:tabs>
          <w:tab w:val="left" w:pos="-2268"/>
        </w:tabs>
        <w:suppressAutoHyphens/>
        <w:ind w:left="567"/>
        <w:rPr>
          <w:rFonts w:cs="Arial"/>
          <w:spacing w:val="-3"/>
        </w:rPr>
      </w:pPr>
      <w:r w:rsidRPr="004068F6">
        <w:rPr>
          <w:spacing w:val="-3"/>
        </w:rPr>
        <w:t>Para la toma de los parámetros f</w:t>
      </w:r>
      <w:r w:rsidR="00407751" w:rsidRPr="004068F6">
        <w:rPr>
          <w:spacing w:val="-3"/>
        </w:rPr>
        <w:t>i</w:t>
      </w:r>
      <w:r w:rsidRPr="004068F6">
        <w:rPr>
          <w:spacing w:val="-3"/>
        </w:rPr>
        <w:t>sicoquímicos y microbiológicos se debe considerar lo</w:t>
      </w:r>
      <w:r w:rsidR="00A43243" w:rsidRPr="004068F6">
        <w:rPr>
          <w:rFonts w:cs="Arial"/>
          <w:spacing w:val="-3"/>
        </w:rPr>
        <w:t xml:space="preserve"> </w:t>
      </w:r>
      <w:r w:rsidRPr="004068F6">
        <w:rPr>
          <w:rFonts w:cs="Arial"/>
          <w:spacing w:val="-3"/>
        </w:rPr>
        <w:t>siguiente:</w:t>
      </w:r>
    </w:p>
    <w:p w14:paraId="0A006554" w14:textId="77777777" w:rsidR="004A1B3C" w:rsidRPr="004068F6" w:rsidRDefault="004A1B3C">
      <w:pPr>
        <w:numPr>
          <w:ilvl w:val="12"/>
          <w:numId w:val="0"/>
        </w:numPr>
        <w:tabs>
          <w:tab w:val="left" w:pos="-2268"/>
        </w:tabs>
        <w:suppressAutoHyphens/>
        <w:rPr>
          <w:spacing w:val="-3"/>
        </w:rPr>
      </w:pPr>
    </w:p>
    <w:p w14:paraId="4C3BEE1A" w14:textId="77777777" w:rsidR="004A1B3C" w:rsidRPr="004068F6" w:rsidRDefault="004A1B3C" w:rsidP="00C86DA5">
      <w:pPr>
        <w:pStyle w:val="Prrafodelista"/>
        <w:numPr>
          <w:ilvl w:val="0"/>
          <w:numId w:val="402"/>
        </w:numPr>
        <w:tabs>
          <w:tab w:val="left" w:pos="-2268"/>
        </w:tabs>
        <w:suppressAutoHyphens/>
        <w:ind w:left="1134" w:hanging="567"/>
        <w:rPr>
          <w:spacing w:val="-3"/>
          <w:lang w:val="es-CO"/>
        </w:rPr>
      </w:pPr>
      <w:r w:rsidRPr="004068F6">
        <w:rPr>
          <w:spacing w:val="-3"/>
          <w:lang w:val="es-CO"/>
        </w:rPr>
        <w:t>Para cuerpos lóticos:</w:t>
      </w:r>
    </w:p>
    <w:p w14:paraId="322A4A31" w14:textId="77777777" w:rsidR="004A1B3C" w:rsidRPr="004068F6" w:rsidRDefault="004A1B3C" w:rsidP="00C86DA5">
      <w:pPr>
        <w:tabs>
          <w:tab w:val="left" w:pos="-2268"/>
        </w:tabs>
        <w:suppressAutoHyphens/>
        <w:rPr>
          <w:spacing w:val="-3"/>
        </w:rPr>
      </w:pPr>
    </w:p>
    <w:p w14:paraId="1B6CFF1D"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La toma de muestras se debe realizar siguiendo la misma masa de agua, desde aguas arriba hacia aguas abajo, incluyendo los afluentes y vertimientos en el orden que confluyen en la corriente principal, para lo cual se debe generar previamente un programa de monitoreo y tiempos de viaje.</w:t>
      </w:r>
    </w:p>
    <w:p w14:paraId="3F83AFB0" w14:textId="77777777" w:rsidR="004A1B3C" w:rsidRPr="004068F6" w:rsidRDefault="004A1B3C" w:rsidP="009420F5">
      <w:pPr>
        <w:tabs>
          <w:tab w:val="left" w:pos="-2268"/>
        </w:tabs>
        <w:suppressAutoHyphens/>
        <w:rPr>
          <w:spacing w:val="-3"/>
        </w:rPr>
      </w:pPr>
    </w:p>
    <w:p w14:paraId="39F7B699" w14:textId="6B7B79E4"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Las muestras tomadas para los parámetros f</w:t>
      </w:r>
      <w:r w:rsidR="003F4048" w:rsidRPr="004068F6">
        <w:rPr>
          <w:spacing w:val="-3"/>
          <w:lang w:val="es-CO"/>
        </w:rPr>
        <w:t>i</w:t>
      </w:r>
      <w:r w:rsidRPr="004068F6">
        <w:rPr>
          <w:spacing w:val="-3"/>
          <w:lang w:val="es-CO"/>
        </w:rPr>
        <w:t>sicoquímicos sobre los cuerpos de agua deben ser integradas en la sección transversal y en la profundidad, en los parámetros a los que haya lugar.</w:t>
      </w:r>
    </w:p>
    <w:p w14:paraId="6F24E63E" w14:textId="77777777" w:rsidR="004A1B3C" w:rsidRPr="004068F6" w:rsidRDefault="004A1B3C" w:rsidP="009420F5">
      <w:pPr>
        <w:tabs>
          <w:tab w:val="left" w:pos="-2268"/>
        </w:tabs>
        <w:suppressAutoHyphens/>
        <w:rPr>
          <w:spacing w:val="-3"/>
        </w:rPr>
      </w:pPr>
    </w:p>
    <w:p w14:paraId="75A1D07B"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Las muestras de los parámetros microbiológicos se deben tomar de forma puntual, en lo posible, en el centro del cauce o en la vertical asociada con el punto más profundo en la sección transversal.</w:t>
      </w:r>
    </w:p>
    <w:p w14:paraId="5BC7F78B" w14:textId="77777777" w:rsidR="004A1B3C" w:rsidRPr="004068F6" w:rsidRDefault="004A1B3C" w:rsidP="00C86DA5">
      <w:pPr>
        <w:tabs>
          <w:tab w:val="left" w:pos="-2268"/>
        </w:tabs>
        <w:suppressAutoHyphens/>
        <w:rPr>
          <w:spacing w:val="-3"/>
        </w:rPr>
      </w:pPr>
    </w:p>
    <w:p w14:paraId="217068E3" w14:textId="77777777" w:rsidR="004A1B3C" w:rsidRPr="004068F6" w:rsidRDefault="004A1B3C" w:rsidP="00C86DA5">
      <w:pPr>
        <w:tabs>
          <w:tab w:val="left" w:pos="-2268"/>
        </w:tabs>
        <w:suppressAutoHyphens/>
        <w:ind w:left="1134"/>
        <w:rPr>
          <w:spacing w:val="-3"/>
        </w:rPr>
      </w:pPr>
      <w:r w:rsidRPr="004068F6">
        <w:rPr>
          <w:spacing w:val="-3"/>
        </w:rPr>
        <w:t>Para la toma de muestras siguiendo la misma masa de agua, se deben tener en cuenta los resultados obtenidos en el modelo de tiempos de viaje.</w:t>
      </w:r>
    </w:p>
    <w:p w14:paraId="70749AB0" w14:textId="77777777" w:rsidR="004A1B3C" w:rsidRPr="004068F6" w:rsidRDefault="004A1B3C" w:rsidP="00C86DA5">
      <w:pPr>
        <w:tabs>
          <w:tab w:val="left" w:pos="-2268"/>
        </w:tabs>
        <w:suppressAutoHyphens/>
        <w:rPr>
          <w:spacing w:val="-3"/>
        </w:rPr>
      </w:pPr>
    </w:p>
    <w:p w14:paraId="445F440E" w14:textId="77777777" w:rsidR="004A1B3C" w:rsidRPr="004068F6" w:rsidRDefault="004A1B3C" w:rsidP="00C86DA5">
      <w:pPr>
        <w:pStyle w:val="Prrafodelista"/>
        <w:numPr>
          <w:ilvl w:val="0"/>
          <w:numId w:val="402"/>
        </w:numPr>
        <w:tabs>
          <w:tab w:val="left" w:pos="-2268"/>
        </w:tabs>
        <w:suppressAutoHyphens/>
        <w:ind w:left="1134" w:hanging="567"/>
        <w:rPr>
          <w:spacing w:val="-3"/>
          <w:lang w:val="es-CO"/>
        </w:rPr>
      </w:pPr>
      <w:r w:rsidRPr="004068F6">
        <w:rPr>
          <w:spacing w:val="-3"/>
          <w:lang w:val="es-CO"/>
        </w:rPr>
        <w:t>Para cuerpos lénticos:</w:t>
      </w:r>
    </w:p>
    <w:p w14:paraId="15C29924" w14:textId="77777777" w:rsidR="004A1B3C" w:rsidRPr="004068F6" w:rsidRDefault="004A1B3C" w:rsidP="00C86DA5">
      <w:pPr>
        <w:tabs>
          <w:tab w:val="left" w:pos="-2268"/>
        </w:tabs>
        <w:suppressAutoHyphens/>
        <w:rPr>
          <w:spacing w:val="-3"/>
        </w:rPr>
      </w:pPr>
    </w:p>
    <w:p w14:paraId="6579BB90"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Tomar una muestra integrada en la profundidad o varias puntuales representativas en la zona fótica y otras puntuales representativas de la zona afótica o el hipolimnio, para su caracterización fisicoquímica, microbiológica e hidrobiológica (fitoplancton y zooplancton).</w:t>
      </w:r>
    </w:p>
    <w:p w14:paraId="0A1D7A14" w14:textId="77777777" w:rsidR="004A1B3C" w:rsidRPr="004068F6" w:rsidRDefault="004A1B3C" w:rsidP="009420F5">
      <w:pPr>
        <w:tabs>
          <w:tab w:val="left" w:pos="-2268"/>
        </w:tabs>
        <w:suppressAutoHyphens/>
        <w:rPr>
          <w:spacing w:val="-3"/>
        </w:rPr>
      </w:pPr>
    </w:p>
    <w:p w14:paraId="27E100EC"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Cuando haya captaciones de agua para consumo humano, se debe tomar y analizar una muestra puntual a la altura de cada captación.</w:t>
      </w:r>
    </w:p>
    <w:p w14:paraId="577197B4" w14:textId="77777777" w:rsidR="00A43243" w:rsidRPr="004068F6" w:rsidRDefault="00A43243" w:rsidP="009420F5">
      <w:pPr>
        <w:rPr>
          <w:spacing w:val="-3"/>
        </w:rPr>
      </w:pPr>
    </w:p>
    <w:p w14:paraId="7DED254A" w14:textId="4B1F4F9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 xml:space="preserve">Se deben obtener los perfiles de temperatura, conductividad y de oxígeno disuelto en toda la profundidad con un equipo perfilador tipo CTD-O (Conductividad-Temperatura-Profundidad con sensor de oxígeno disuelto) o mediante un método alternativo, y a partir de dichos perfiles </w:t>
      </w:r>
      <w:r w:rsidR="003F4048" w:rsidRPr="004068F6">
        <w:rPr>
          <w:spacing w:val="-3"/>
          <w:lang w:val="es-CO"/>
        </w:rPr>
        <w:t>s</w:t>
      </w:r>
      <w:r w:rsidRPr="004068F6">
        <w:rPr>
          <w:spacing w:val="-3"/>
          <w:lang w:val="es-CO"/>
        </w:rPr>
        <w:t>e debe determinar la estratificación del cuerpo de agua (reportando, por ejemplo, el epilimnio, el mesolimnio, el hipolimnio y la termoclina).</w:t>
      </w:r>
    </w:p>
    <w:p w14:paraId="0DBC73A2" w14:textId="77777777" w:rsidR="004A1B3C" w:rsidRPr="004068F6" w:rsidRDefault="004A1B3C" w:rsidP="009420F5">
      <w:pPr>
        <w:tabs>
          <w:tab w:val="left" w:pos="-2268"/>
        </w:tabs>
        <w:suppressAutoHyphens/>
        <w:rPr>
          <w:spacing w:val="-3"/>
        </w:rPr>
      </w:pPr>
    </w:p>
    <w:p w14:paraId="11ACC91F" w14:textId="77777777" w:rsidR="004A1B3C" w:rsidRPr="004068F6" w:rsidRDefault="004A1B3C" w:rsidP="00C86DA5">
      <w:pPr>
        <w:pStyle w:val="Prrafodelista"/>
        <w:numPr>
          <w:ilvl w:val="0"/>
          <w:numId w:val="403"/>
        </w:numPr>
        <w:tabs>
          <w:tab w:val="left" w:pos="-2268"/>
        </w:tabs>
        <w:suppressAutoHyphens/>
        <w:ind w:left="1701" w:hanging="567"/>
        <w:rPr>
          <w:spacing w:val="-3"/>
          <w:lang w:val="es-CO"/>
        </w:rPr>
      </w:pPr>
      <w:r w:rsidRPr="004068F6">
        <w:rPr>
          <w:spacing w:val="-3"/>
          <w:lang w:val="es-CO"/>
        </w:rPr>
        <w:t>Se debe estimar la profundidad de la zona fótica y reportar las profundidades de toma de las muestras en la zona fótica y afótica.</w:t>
      </w:r>
    </w:p>
    <w:p w14:paraId="2CAC77BD" w14:textId="77777777" w:rsidR="004A1B3C" w:rsidRPr="004068F6" w:rsidRDefault="004A1B3C" w:rsidP="00C86DA5">
      <w:pPr>
        <w:tabs>
          <w:tab w:val="left" w:pos="-2268"/>
        </w:tabs>
        <w:suppressAutoHyphens/>
        <w:rPr>
          <w:spacing w:val="-3"/>
        </w:rPr>
      </w:pPr>
    </w:p>
    <w:p w14:paraId="6F7A6074" w14:textId="517A1491" w:rsidR="004A1B3C" w:rsidRPr="004068F6" w:rsidRDefault="004A1B3C" w:rsidP="00C86DA5">
      <w:pPr>
        <w:tabs>
          <w:tab w:val="left" w:pos="-2268"/>
        </w:tabs>
        <w:suppressAutoHyphens/>
        <w:rPr>
          <w:spacing w:val="-3"/>
        </w:rPr>
      </w:pPr>
      <w:r w:rsidRPr="004068F6">
        <w:rPr>
          <w:spacing w:val="-3"/>
        </w:rPr>
        <w:t>Las consideraciones para la model</w:t>
      </w:r>
      <w:r w:rsidR="00171DF2" w:rsidRPr="004068F6">
        <w:rPr>
          <w:spacing w:val="-3"/>
        </w:rPr>
        <w:t>iz</w:t>
      </w:r>
      <w:r w:rsidRPr="004068F6">
        <w:rPr>
          <w:spacing w:val="-3"/>
        </w:rPr>
        <w:t xml:space="preserve">ación de la capacidad de asimilación del cuerpo receptor frente a las descargas del agua residual producida por las </w:t>
      </w:r>
      <w:r w:rsidR="003D2F41" w:rsidRPr="004068F6">
        <w:rPr>
          <w:spacing w:val="-3"/>
        </w:rPr>
        <w:t>actividades</w:t>
      </w:r>
      <w:r w:rsidRPr="004068F6">
        <w:rPr>
          <w:spacing w:val="-3"/>
        </w:rPr>
        <w:t xml:space="preserve"> </w:t>
      </w:r>
      <w:r w:rsidRPr="004068F6">
        <w:rPr>
          <w:rFonts w:cs="Arial"/>
          <w:spacing w:val="-3"/>
        </w:rPr>
        <w:t>están</w:t>
      </w:r>
      <w:r w:rsidRPr="004068F6">
        <w:rPr>
          <w:spacing w:val="-3"/>
        </w:rPr>
        <w:t xml:space="preserve"> establecidas por Minambiente mediante la Guía </w:t>
      </w:r>
      <w:r w:rsidR="00A43243" w:rsidRPr="004068F6">
        <w:rPr>
          <w:spacing w:val="-3"/>
        </w:rPr>
        <w:t>n</w:t>
      </w:r>
      <w:r w:rsidRPr="004068F6">
        <w:rPr>
          <w:spacing w:val="-3"/>
        </w:rPr>
        <w:t xml:space="preserve">acional de </w:t>
      </w:r>
      <w:r w:rsidR="00A43243" w:rsidRPr="004068F6">
        <w:rPr>
          <w:spacing w:val="-3"/>
        </w:rPr>
        <w:t>m</w:t>
      </w:r>
      <w:r w:rsidRPr="004068F6">
        <w:rPr>
          <w:spacing w:val="-3"/>
        </w:rPr>
        <w:t xml:space="preserve">odelación del </w:t>
      </w:r>
      <w:r w:rsidR="00A43243" w:rsidRPr="004068F6">
        <w:rPr>
          <w:spacing w:val="-3"/>
        </w:rPr>
        <w:t>r</w:t>
      </w:r>
      <w:r w:rsidRPr="004068F6">
        <w:rPr>
          <w:spacing w:val="-3"/>
        </w:rPr>
        <w:t xml:space="preserve">ecurso </w:t>
      </w:r>
      <w:r w:rsidR="00A43243" w:rsidRPr="004068F6">
        <w:rPr>
          <w:spacing w:val="-3"/>
        </w:rPr>
        <w:t>h</w:t>
      </w:r>
      <w:r w:rsidRPr="004068F6">
        <w:rPr>
          <w:spacing w:val="-3"/>
        </w:rPr>
        <w:t>ídrico</w:t>
      </w:r>
      <w:r w:rsidRPr="004068F6">
        <w:rPr>
          <w:rFonts w:cs="Arial"/>
          <w:spacing w:val="-3"/>
        </w:rPr>
        <w:t xml:space="preserve"> </w:t>
      </w:r>
      <w:r w:rsidR="000D11AE" w:rsidRPr="004068F6">
        <w:rPr>
          <w:rFonts w:cs="Arial"/>
          <w:spacing w:val="-3"/>
        </w:rPr>
        <w:t xml:space="preserve">para aguas superficiales continentales </w:t>
      </w:r>
      <w:r w:rsidRPr="004068F6">
        <w:rPr>
          <w:rFonts w:cs="Arial"/>
          <w:spacing w:val="-3"/>
        </w:rPr>
        <w:t>(2018)</w:t>
      </w:r>
      <w:r w:rsidR="001F5560" w:rsidRPr="004068F6">
        <w:rPr>
          <w:rFonts w:cs="Arial"/>
          <w:spacing w:val="-3"/>
        </w:rPr>
        <w:t xml:space="preserve"> o su versión más reciente</w:t>
      </w:r>
      <w:r w:rsidRPr="004068F6">
        <w:rPr>
          <w:rFonts w:cs="Arial"/>
          <w:spacing w:val="-3"/>
        </w:rPr>
        <w:t>.</w:t>
      </w:r>
    </w:p>
    <w:p w14:paraId="75FE6EA6" w14:textId="77777777" w:rsidR="004A1B3C" w:rsidRPr="004068F6" w:rsidRDefault="004A1B3C">
      <w:pPr>
        <w:numPr>
          <w:ilvl w:val="12"/>
          <w:numId w:val="0"/>
        </w:numPr>
        <w:tabs>
          <w:tab w:val="left" w:pos="-2268"/>
        </w:tabs>
        <w:suppressAutoHyphens/>
        <w:rPr>
          <w:spacing w:val="-3"/>
        </w:rPr>
      </w:pPr>
    </w:p>
    <w:p w14:paraId="1A4554E3" w14:textId="61FAE973" w:rsidR="001F5560" w:rsidRPr="004068F6" w:rsidRDefault="001F5560" w:rsidP="001F5560">
      <w:pPr>
        <w:tabs>
          <w:tab w:val="left" w:pos="-2268"/>
        </w:tabs>
        <w:suppressAutoHyphens/>
        <w:rPr>
          <w:rFonts w:cs="Arial"/>
          <w:spacing w:val="-3"/>
        </w:rPr>
      </w:pPr>
      <w:r w:rsidRPr="004068F6">
        <w:rPr>
          <w:rFonts w:cs="Arial"/>
          <w:spacing w:val="-3"/>
        </w:rPr>
        <w:t xml:space="preserve">La información para la evaluación de los vertimientos generados por el proyecto, obra o actividad a cuerpos de agua o al suelo, debe contener como mínimo los requisitos establecidos en el artículo 2.2.3.3.5.3 del Decreto 1076 del 2015, y para vertimientos puntuales a cuerpos de agua, </w:t>
      </w:r>
      <w:r w:rsidR="003D5E7A" w:rsidRPr="004068F6">
        <w:rPr>
          <w:rFonts w:cs="Arial"/>
          <w:spacing w:val="-3"/>
        </w:rPr>
        <w:t xml:space="preserve">se </w:t>
      </w:r>
      <w:r w:rsidRPr="004068F6">
        <w:rPr>
          <w:rFonts w:cs="Arial"/>
          <w:spacing w:val="-3"/>
        </w:rPr>
        <w:t>debe tener en cuenta que cuando exista un P</w:t>
      </w:r>
      <w:r w:rsidR="003F4048" w:rsidRPr="004068F6">
        <w:rPr>
          <w:rFonts w:cs="Arial"/>
          <w:spacing w:val="-3"/>
        </w:rPr>
        <w:t xml:space="preserve">ORH </w:t>
      </w:r>
      <w:r w:rsidRPr="004068F6">
        <w:rPr>
          <w:rFonts w:cs="Arial"/>
          <w:spacing w:val="-3"/>
        </w:rPr>
        <w:t xml:space="preserve">adoptado o la </w:t>
      </w:r>
      <w:r w:rsidR="003F4048" w:rsidRPr="004068F6">
        <w:rPr>
          <w:rFonts w:cs="Arial"/>
          <w:spacing w:val="-3"/>
        </w:rPr>
        <w:t>a</w:t>
      </w:r>
      <w:r w:rsidRPr="004068F6">
        <w:rPr>
          <w:rFonts w:cs="Arial"/>
          <w:spacing w:val="-3"/>
        </w:rPr>
        <w:t xml:space="preserve">utoridad </w:t>
      </w:r>
      <w:r w:rsidR="003F4048" w:rsidRPr="004068F6">
        <w:rPr>
          <w:rFonts w:cs="Arial"/>
          <w:spacing w:val="-3"/>
        </w:rPr>
        <w:t>a</w:t>
      </w:r>
      <w:r w:rsidRPr="004068F6">
        <w:rPr>
          <w:rFonts w:cs="Arial"/>
          <w:spacing w:val="-3"/>
        </w:rPr>
        <w:t xml:space="preserve">mbiental competente cuente con un modelo regional de calidad del agua, la predicción del impacto del vertimiento la realizará dicha autoridad. </w:t>
      </w:r>
    </w:p>
    <w:p w14:paraId="70D6387E" w14:textId="77777777" w:rsidR="001F5560" w:rsidRPr="004068F6" w:rsidRDefault="001F5560" w:rsidP="001F5560">
      <w:pPr>
        <w:tabs>
          <w:tab w:val="left" w:pos="-2268"/>
        </w:tabs>
        <w:suppressAutoHyphens/>
        <w:rPr>
          <w:rFonts w:cs="Arial"/>
          <w:spacing w:val="-3"/>
        </w:rPr>
      </w:pPr>
    </w:p>
    <w:p w14:paraId="6542242B" w14:textId="684AF09D" w:rsidR="001F5560" w:rsidRPr="004068F6" w:rsidRDefault="001F5560" w:rsidP="001F5560">
      <w:pPr>
        <w:tabs>
          <w:tab w:val="left" w:pos="-2268"/>
        </w:tabs>
        <w:suppressAutoHyphens/>
        <w:rPr>
          <w:rFonts w:cs="Arial"/>
          <w:spacing w:val="-3"/>
        </w:rPr>
      </w:pPr>
      <w:r w:rsidRPr="004068F6">
        <w:rPr>
          <w:rFonts w:cs="Arial"/>
          <w:spacing w:val="-3"/>
        </w:rPr>
        <w:t xml:space="preserve">Para los vertimientos generados por el proyecto, obra o actividad a suelos, se </w:t>
      </w:r>
      <w:r w:rsidR="003F4048" w:rsidRPr="004068F6">
        <w:rPr>
          <w:rFonts w:cs="Arial"/>
          <w:spacing w:val="-3"/>
        </w:rPr>
        <w:t xml:space="preserve">debe </w:t>
      </w:r>
      <w:r w:rsidRPr="004068F6">
        <w:rPr>
          <w:rFonts w:cs="Arial"/>
          <w:spacing w:val="-3"/>
        </w:rPr>
        <w:t xml:space="preserve">considerar su vocación conforme a lo dispuesto en los instrumentos de ordenamiento territorial y </w:t>
      </w:r>
      <w:r w:rsidR="003F4048" w:rsidRPr="004068F6">
        <w:rPr>
          <w:rFonts w:cs="Arial"/>
          <w:spacing w:val="-3"/>
        </w:rPr>
        <w:t xml:space="preserve">en </w:t>
      </w:r>
      <w:r w:rsidRPr="004068F6">
        <w:rPr>
          <w:rFonts w:cs="Arial"/>
          <w:spacing w:val="-3"/>
        </w:rPr>
        <w:t xml:space="preserve">los </w:t>
      </w:r>
      <w:r w:rsidR="003F4048" w:rsidRPr="004068F6">
        <w:rPr>
          <w:rFonts w:cs="Arial"/>
          <w:spacing w:val="-3"/>
        </w:rPr>
        <w:t>p</w:t>
      </w:r>
      <w:r w:rsidRPr="004068F6">
        <w:rPr>
          <w:rFonts w:cs="Arial"/>
          <w:spacing w:val="-3"/>
        </w:rPr>
        <w:t xml:space="preserve">lanes de </w:t>
      </w:r>
      <w:r w:rsidR="003F4048" w:rsidRPr="004068F6">
        <w:rPr>
          <w:rFonts w:cs="Arial"/>
          <w:spacing w:val="-3"/>
        </w:rPr>
        <w:t>m</w:t>
      </w:r>
      <w:r w:rsidRPr="004068F6">
        <w:rPr>
          <w:rFonts w:cs="Arial"/>
          <w:spacing w:val="-3"/>
        </w:rPr>
        <w:t xml:space="preserve">anejo </w:t>
      </w:r>
      <w:r w:rsidR="003F4048" w:rsidRPr="004068F6">
        <w:rPr>
          <w:rFonts w:cs="Arial"/>
          <w:spacing w:val="-3"/>
        </w:rPr>
        <w:t>a</w:t>
      </w:r>
      <w:r w:rsidRPr="004068F6">
        <w:rPr>
          <w:rFonts w:cs="Arial"/>
          <w:spacing w:val="-3"/>
        </w:rPr>
        <w:t xml:space="preserve">mbiental de </w:t>
      </w:r>
      <w:r w:rsidR="003F4048" w:rsidRPr="004068F6">
        <w:rPr>
          <w:rFonts w:cs="Arial"/>
          <w:spacing w:val="-3"/>
        </w:rPr>
        <w:t>a</w:t>
      </w:r>
      <w:r w:rsidRPr="004068F6">
        <w:rPr>
          <w:rFonts w:cs="Arial"/>
          <w:spacing w:val="-3"/>
        </w:rPr>
        <w:t>cuíferos. En caso de no existir dichos instrumentos</w:t>
      </w:r>
      <w:r w:rsidR="003F4048" w:rsidRPr="004068F6">
        <w:rPr>
          <w:rFonts w:cs="Arial"/>
          <w:spacing w:val="-3"/>
        </w:rPr>
        <w:t>,</w:t>
      </w:r>
      <w:r w:rsidRPr="004068F6">
        <w:rPr>
          <w:rFonts w:cs="Arial"/>
          <w:spacing w:val="-3"/>
        </w:rPr>
        <w:t xml:space="preserve"> la autoridad ambiental competente defin</w:t>
      </w:r>
      <w:r w:rsidR="003F4048" w:rsidRPr="004068F6">
        <w:rPr>
          <w:rFonts w:cs="Arial"/>
          <w:spacing w:val="-3"/>
        </w:rPr>
        <w:t>e</w:t>
      </w:r>
      <w:r w:rsidRPr="004068F6">
        <w:rPr>
          <w:rFonts w:cs="Arial"/>
          <w:spacing w:val="-3"/>
        </w:rPr>
        <w:t xml:space="preserve"> los términos y condiciones bajo los cuales se debe realizar la </w:t>
      </w:r>
      <w:r w:rsidR="00F61EA4" w:rsidRPr="004068F6">
        <w:rPr>
          <w:rFonts w:cs="Arial"/>
          <w:spacing w:val="-3"/>
        </w:rPr>
        <w:t xml:space="preserve">determinación </w:t>
      </w:r>
      <w:r w:rsidRPr="004068F6">
        <w:rPr>
          <w:rFonts w:cs="Arial"/>
          <w:spacing w:val="-3"/>
        </w:rPr>
        <w:t>de los impactos y la gestión ambiental de los mismos</w:t>
      </w:r>
      <w:r w:rsidR="00FC7B8A" w:rsidRPr="004068F6">
        <w:rPr>
          <w:rFonts w:cs="Arial"/>
          <w:spacing w:val="-3"/>
        </w:rPr>
        <w:t xml:space="preserve"> según lo establecido en el Decreto 3930 de 2010, el Decreto 1076 de 2015, el Decreto 050 de 2018 y la Resolución 699 de2021</w:t>
      </w:r>
      <w:r w:rsidRPr="004068F6">
        <w:rPr>
          <w:rFonts w:cs="Arial"/>
          <w:spacing w:val="-3"/>
        </w:rPr>
        <w:t>.</w:t>
      </w:r>
    </w:p>
    <w:p w14:paraId="5690A1FE" w14:textId="0D06A9D5" w:rsidR="002408B6" w:rsidRDefault="002408B6">
      <w:pPr>
        <w:overflowPunct/>
        <w:autoSpaceDE/>
        <w:autoSpaceDN/>
        <w:adjustRightInd/>
        <w:jc w:val="left"/>
        <w:textAlignment w:val="auto"/>
        <w:rPr>
          <w:spacing w:val="-3"/>
        </w:rPr>
      </w:pPr>
      <w:r>
        <w:rPr>
          <w:spacing w:val="-3"/>
        </w:rPr>
        <w:br w:type="page"/>
      </w:r>
    </w:p>
    <w:p w14:paraId="53AE06A0" w14:textId="77777777" w:rsidR="002408B6" w:rsidRPr="004068F6" w:rsidRDefault="002408B6">
      <w:pPr>
        <w:numPr>
          <w:ilvl w:val="12"/>
          <w:numId w:val="0"/>
        </w:numPr>
        <w:tabs>
          <w:tab w:val="left" w:pos="-2268"/>
        </w:tabs>
        <w:suppressAutoHyphens/>
        <w:rPr>
          <w:spacing w:val="-3"/>
        </w:rPr>
      </w:pPr>
    </w:p>
    <w:p w14:paraId="3CE7CE0A" w14:textId="088A4DF7" w:rsidR="004A1B3C" w:rsidRPr="004068F6" w:rsidRDefault="004A1B3C" w:rsidP="0068149C">
      <w:pPr>
        <w:pStyle w:val="Ttulo2"/>
        <w:rPr>
          <w:lang w:val="es-CO"/>
        </w:rPr>
      </w:pPr>
      <w:bookmarkStart w:id="3123" w:name="_Toc393967345"/>
      <w:bookmarkStart w:id="3124" w:name="_Toc393464175"/>
      <w:bookmarkStart w:id="3125" w:name="_Toc405366862"/>
      <w:bookmarkStart w:id="3126" w:name="_Toc405372410"/>
      <w:bookmarkStart w:id="3127" w:name="_Toc412803206"/>
      <w:bookmarkStart w:id="3128" w:name="_Toc437936045"/>
      <w:bookmarkStart w:id="3129" w:name="_Toc42874875"/>
      <w:bookmarkStart w:id="3130" w:name="_Toc230879676"/>
      <w:r w:rsidRPr="004068F6">
        <w:rPr>
          <w:lang w:val="es-CO"/>
        </w:rPr>
        <w:t>OCUPACIÓN DE CAUCE</w:t>
      </w:r>
      <w:bookmarkEnd w:id="3123"/>
      <w:bookmarkEnd w:id="3124"/>
      <w:bookmarkEnd w:id="3125"/>
      <w:bookmarkEnd w:id="3126"/>
      <w:bookmarkEnd w:id="3127"/>
      <w:bookmarkEnd w:id="3128"/>
      <w:r w:rsidRPr="004068F6">
        <w:rPr>
          <w:lang w:val="es-CO"/>
        </w:rPr>
        <w:t>S, PLAYAS Y LECHOS</w:t>
      </w:r>
      <w:bookmarkEnd w:id="3129"/>
      <w:r w:rsidR="001F5560" w:rsidRPr="004068F6">
        <w:rPr>
          <w:rStyle w:val="Refdenotaalpie"/>
          <w:lang w:val="es-CO"/>
        </w:rPr>
        <w:footnoteReference w:id="198"/>
      </w:r>
      <w:bookmarkEnd w:id="3130"/>
    </w:p>
    <w:p w14:paraId="23D839AA" w14:textId="77777777" w:rsidR="004A1B3C" w:rsidRPr="004068F6" w:rsidRDefault="004A1B3C" w:rsidP="004A1B3C">
      <w:pPr>
        <w:numPr>
          <w:ilvl w:val="12"/>
          <w:numId w:val="0"/>
        </w:numPr>
        <w:tabs>
          <w:tab w:val="left" w:pos="-2268"/>
        </w:tabs>
        <w:suppressAutoHyphens/>
        <w:rPr>
          <w:rFonts w:cs="Arial"/>
          <w:spacing w:val="-3"/>
        </w:rPr>
      </w:pPr>
    </w:p>
    <w:p w14:paraId="701EDB5B" w14:textId="2CFCB65B" w:rsidR="003B6E5C" w:rsidRPr="004068F6" w:rsidRDefault="003B6E5C" w:rsidP="00C86DA5">
      <w:pPr>
        <w:tabs>
          <w:tab w:val="left" w:pos="-2268"/>
        </w:tabs>
        <w:suppressAutoHyphens/>
        <w:rPr>
          <w:spacing w:val="-3"/>
        </w:rPr>
      </w:pPr>
      <w:r w:rsidRPr="004068F6">
        <w:rPr>
          <w:rFonts w:cs="Arial"/>
          <w:spacing w:val="-3"/>
        </w:rPr>
        <w:t>Para tener un mayor entendimiento</w:t>
      </w:r>
      <w:r w:rsidRPr="004068F6">
        <w:rPr>
          <w:spacing w:val="-3"/>
        </w:rPr>
        <w:t xml:space="preserve"> de </w:t>
      </w:r>
      <w:r w:rsidRPr="004068F6">
        <w:rPr>
          <w:rFonts w:cs="Arial"/>
          <w:spacing w:val="-3"/>
        </w:rPr>
        <w:t>la información a presentar para la obtención de este permiso</w:t>
      </w:r>
      <w:r w:rsidRPr="004068F6">
        <w:rPr>
          <w:spacing w:val="-3"/>
        </w:rPr>
        <w:t xml:space="preserve">, se </w:t>
      </w:r>
      <w:r w:rsidR="001F5560" w:rsidRPr="004068F6">
        <w:rPr>
          <w:rFonts w:cs="Arial"/>
          <w:spacing w:val="-3"/>
        </w:rPr>
        <w:t xml:space="preserve">deben dividir las ocupaciones </w:t>
      </w:r>
      <w:r w:rsidRPr="004068F6">
        <w:rPr>
          <w:rFonts w:cs="Arial"/>
          <w:spacing w:val="-3"/>
        </w:rPr>
        <w:t xml:space="preserve">de cauce </w:t>
      </w:r>
      <w:r w:rsidR="002749DD" w:rsidRPr="004068F6">
        <w:rPr>
          <w:rFonts w:cs="Arial"/>
          <w:spacing w:val="-3"/>
        </w:rPr>
        <w:t xml:space="preserve">según la dimensión de las obras </w:t>
      </w:r>
      <w:r w:rsidR="00845A02" w:rsidRPr="004068F6">
        <w:rPr>
          <w:rFonts w:cs="Arial"/>
          <w:spacing w:val="-3"/>
        </w:rPr>
        <w:t xml:space="preserve">hidráulicas </w:t>
      </w:r>
      <w:r w:rsidR="002749DD" w:rsidRPr="004068F6">
        <w:rPr>
          <w:rFonts w:cs="Arial"/>
          <w:spacing w:val="-3"/>
        </w:rPr>
        <w:t>a ejecutar, a saber,</w:t>
      </w:r>
      <w:r w:rsidRPr="004068F6">
        <w:rPr>
          <w:rFonts w:cs="Arial"/>
          <w:spacing w:val="-3"/>
        </w:rPr>
        <w:t xml:space="preserve"> obras mayores y obras menores</w:t>
      </w:r>
      <w:r w:rsidR="00845A02" w:rsidRPr="004068F6">
        <w:rPr>
          <w:rStyle w:val="Refdenotaalpie"/>
          <w:rFonts w:cs="Arial"/>
          <w:spacing w:val="-3"/>
          <w:lang w:val="es-CO"/>
        </w:rPr>
        <w:footnoteReference w:id="199"/>
      </w:r>
      <w:r w:rsidRPr="004068F6">
        <w:rPr>
          <w:rFonts w:cs="Arial"/>
          <w:spacing w:val="-3"/>
        </w:rPr>
        <w:t xml:space="preserve">. </w:t>
      </w:r>
      <w:r w:rsidR="001F5886" w:rsidRPr="004068F6">
        <w:rPr>
          <w:rFonts w:cs="Arial"/>
          <w:bCs/>
          <w:spacing w:val="-3"/>
        </w:rPr>
        <w:t xml:space="preserve">A su vez, </w:t>
      </w:r>
      <w:r w:rsidR="0096600E" w:rsidRPr="004068F6">
        <w:rPr>
          <w:rFonts w:cs="Arial"/>
          <w:bCs/>
          <w:spacing w:val="-3"/>
        </w:rPr>
        <w:t xml:space="preserve">es posible </w:t>
      </w:r>
      <w:r w:rsidR="001F5886" w:rsidRPr="004068F6">
        <w:rPr>
          <w:rFonts w:cs="Arial"/>
          <w:bCs/>
          <w:spacing w:val="-3"/>
        </w:rPr>
        <w:t xml:space="preserve">armonizar el análisis técnico del permiso </w:t>
      </w:r>
      <w:r w:rsidR="0096600E" w:rsidRPr="004068F6">
        <w:rPr>
          <w:rFonts w:cs="Arial"/>
          <w:bCs/>
          <w:spacing w:val="-3"/>
        </w:rPr>
        <w:t xml:space="preserve">de </w:t>
      </w:r>
      <w:r w:rsidR="001F5886" w:rsidRPr="004068F6">
        <w:rPr>
          <w:rFonts w:cs="Arial"/>
          <w:bCs/>
          <w:spacing w:val="-3"/>
        </w:rPr>
        <w:t xml:space="preserve">ocupación de playas, cauces y lechos con las estrategias de manejo y delimitación de ronda hídrica en aquellos cuerpos de agua donde las </w:t>
      </w:r>
      <w:r w:rsidR="0096600E" w:rsidRPr="004068F6">
        <w:rPr>
          <w:rFonts w:cs="Arial"/>
          <w:bCs/>
          <w:spacing w:val="-3"/>
        </w:rPr>
        <w:t>a</w:t>
      </w:r>
      <w:r w:rsidR="001F5886" w:rsidRPr="004068F6">
        <w:rPr>
          <w:rFonts w:cs="Arial"/>
          <w:bCs/>
          <w:spacing w:val="-3"/>
        </w:rPr>
        <w:t xml:space="preserve">utoridades </w:t>
      </w:r>
      <w:r w:rsidR="0096600E" w:rsidRPr="004068F6">
        <w:rPr>
          <w:rFonts w:cs="Arial"/>
          <w:bCs/>
          <w:spacing w:val="-3"/>
        </w:rPr>
        <w:t>a</w:t>
      </w:r>
      <w:r w:rsidR="001F5886" w:rsidRPr="004068F6">
        <w:rPr>
          <w:rFonts w:cs="Arial"/>
          <w:bCs/>
          <w:spacing w:val="-3"/>
        </w:rPr>
        <w:t>mbientales hayan efectuado acotamiento y</w:t>
      </w:r>
      <w:r w:rsidR="0096600E" w:rsidRPr="004068F6">
        <w:rPr>
          <w:rFonts w:cs="Arial"/>
          <w:bCs/>
          <w:spacing w:val="-3"/>
        </w:rPr>
        <w:t>,</w:t>
      </w:r>
      <w:r w:rsidR="001F5886" w:rsidRPr="004068F6">
        <w:rPr>
          <w:rFonts w:cs="Arial"/>
          <w:bCs/>
          <w:spacing w:val="-3"/>
        </w:rPr>
        <w:t xml:space="preserve"> en caso </w:t>
      </w:r>
      <w:r w:rsidR="00847009" w:rsidRPr="004068F6">
        <w:rPr>
          <w:rFonts w:cs="Arial"/>
          <w:bCs/>
          <w:spacing w:val="-3"/>
        </w:rPr>
        <w:t xml:space="preserve">de </w:t>
      </w:r>
      <w:r w:rsidR="001F5886" w:rsidRPr="004068F6">
        <w:rPr>
          <w:rFonts w:cs="Arial"/>
          <w:bCs/>
          <w:spacing w:val="-3"/>
        </w:rPr>
        <w:t xml:space="preserve">que no exista la delimitación de la ronda hídrica, </w:t>
      </w:r>
      <w:r w:rsidR="0096600E" w:rsidRPr="004068F6">
        <w:rPr>
          <w:rFonts w:cs="Arial"/>
          <w:bCs/>
          <w:spacing w:val="-3"/>
        </w:rPr>
        <w:t xml:space="preserve">es posible </w:t>
      </w:r>
      <w:r w:rsidR="001F5886" w:rsidRPr="004068F6">
        <w:rPr>
          <w:rFonts w:cs="Arial"/>
          <w:bCs/>
          <w:spacing w:val="-3"/>
        </w:rPr>
        <w:t xml:space="preserve">articular </w:t>
      </w:r>
      <w:r w:rsidR="000C4D2A" w:rsidRPr="004068F6">
        <w:rPr>
          <w:rFonts w:cs="Arial"/>
          <w:bCs/>
          <w:spacing w:val="-3"/>
        </w:rPr>
        <w:t xml:space="preserve">el análisis con </w:t>
      </w:r>
      <w:r w:rsidR="001F5886" w:rsidRPr="004068F6">
        <w:rPr>
          <w:rFonts w:cs="Arial"/>
          <w:bCs/>
          <w:spacing w:val="-3"/>
        </w:rPr>
        <w:t xml:space="preserve">los criterios técnicos establecidos en el Anexo 3 de la </w:t>
      </w:r>
      <w:r w:rsidR="001F5886" w:rsidRPr="00127BD4">
        <w:rPr>
          <w:rFonts w:cs="Arial"/>
          <w:spacing w:val="-3"/>
        </w:rPr>
        <w:t>Guía técnica de criterios para el acotamiento de rondas hídricas en Colombia.</w:t>
      </w:r>
      <w:r w:rsidR="001F5886" w:rsidRPr="004068F6">
        <w:rPr>
          <w:rFonts w:cs="Arial"/>
          <w:bCs/>
          <w:spacing w:val="-3"/>
        </w:rPr>
        <w:t xml:space="preserve"> </w:t>
      </w:r>
      <w:r w:rsidRPr="004068F6">
        <w:rPr>
          <w:rFonts w:cs="Arial"/>
          <w:spacing w:val="-3"/>
        </w:rPr>
        <w:t xml:space="preserve">Teniendo </w:t>
      </w:r>
      <w:r w:rsidRPr="004068F6">
        <w:rPr>
          <w:spacing w:val="-3"/>
        </w:rPr>
        <w:t xml:space="preserve">en cuenta lo </w:t>
      </w:r>
      <w:r w:rsidRPr="004068F6">
        <w:rPr>
          <w:rFonts w:cs="Arial"/>
          <w:spacing w:val="-3"/>
        </w:rPr>
        <w:t>anterior, cuándo</w:t>
      </w:r>
      <w:r w:rsidRPr="004068F6">
        <w:rPr>
          <w:spacing w:val="-3"/>
        </w:rPr>
        <w:t xml:space="preserve"> el proyecto</w:t>
      </w:r>
      <w:r w:rsidR="00953BF3" w:rsidRPr="004068F6">
        <w:rPr>
          <w:spacing w:val="-3"/>
        </w:rPr>
        <w:t>, obra o actividad</w:t>
      </w:r>
      <w:r w:rsidRPr="004068F6">
        <w:rPr>
          <w:spacing w:val="-3"/>
        </w:rPr>
        <w:t xml:space="preserve"> requiera realizar ocupación de cauces</w:t>
      </w:r>
      <w:r w:rsidRPr="004068F6">
        <w:rPr>
          <w:rFonts w:cs="Arial"/>
          <w:spacing w:val="-3"/>
        </w:rPr>
        <w:t xml:space="preserve">, playas o lechos en </w:t>
      </w:r>
      <w:r w:rsidRPr="004068F6">
        <w:rPr>
          <w:spacing w:val="-3"/>
        </w:rPr>
        <w:t>cuerpos de agua</w:t>
      </w:r>
      <w:r w:rsidR="00195E7B" w:rsidRPr="004068F6">
        <w:rPr>
          <w:spacing w:val="-3"/>
        </w:rPr>
        <w:t xml:space="preserve"> para la construcción de obras hidráulicas únicamente</w:t>
      </w:r>
      <w:r w:rsidRPr="004068F6">
        <w:rPr>
          <w:spacing w:val="-3"/>
        </w:rPr>
        <w:t>, se debe</w:t>
      </w:r>
      <w:r w:rsidRPr="004068F6">
        <w:rPr>
          <w:rFonts w:cs="Arial"/>
          <w:spacing w:val="-3"/>
        </w:rPr>
        <w:t xml:space="preserve"> presentar la siguiente información.</w:t>
      </w:r>
    </w:p>
    <w:p w14:paraId="734D6901" w14:textId="77777777" w:rsidR="004A1B3C" w:rsidRPr="004068F6" w:rsidRDefault="004A1B3C">
      <w:pPr>
        <w:numPr>
          <w:ilvl w:val="12"/>
          <w:numId w:val="0"/>
        </w:numPr>
        <w:tabs>
          <w:tab w:val="left" w:pos="-2268"/>
        </w:tabs>
        <w:suppressAutoHyphens/>
        <w:rPr>
          <w:spacing w:val="-3"/>
        </w:rPr>
      </w:pPr>
    </w:p>
    <w:p w14:paraId="5444E4BC" w14:textId="0ED21BC9" w:rsidR="00591A1D" w:rsidRPr="004068F6" w:rsidRDefault="00591A1D"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La relacionada en el numeral </w:t>
      </w:r>
      <w:r w:rsidRPr="004068F6">
        <w:rPr>
          <w:spacing w:val="-3"/>
          <w:lang w:val="es-CO"/>
        </w:rPr>
        <w:fldChar w:fldCharType="begin"/>
      </w:r>
      <w:r w:rsidRPr="004068F6">
        <w:rPr>
          <w:spacing w:val="-3"/>
          <w:lang w:val="es-CO"/>
        </w:rPr>
        <w:instrText xml:space="preserve"> REF _Ref152580735 \r \h </w:instrText>
      </w:r>
      <w:r w:rsidR="00BD1319" w:rsidRPr="004068F6">
        <w:rPr>
          <w:spacing w:val="-3"/>
          <w:lang w:val="es-CO"/>
        </w:rPr>
        <w:instrText xml:space="preserve"> \* MERGEFORMAT </w:instrText>
      </w:r>
      <w:r w:rsidRPr="004068F6">
        <w:rPr>
          <w:spacing w:val="-3"/>
          <w:lang w:val="es-CO"/>
        </w:rPr>
      </w:r>
      <w:r w:rsidRPr="004068F6">
        <w:rPr>
          <w:spacing w:val="-3"/>
          <w:lang w:val="es-CO"/>
        </w:rPr>
        <w:fldChar w:fldCharType="separate"/>
      </w:r>
      <w:r w:rsidR="009C4A81">
        <w:rPr>
          <w:spacing w:val="-3"/>
          <w:lang w:val="es-CO"/>
        </w:rPr>
        <w:t>4.1.4</w:t>
      </w:r>
      <w:r w:rsidRPr="004068F6">
        <w:rPr>
          <w:spacing w:val="-3"/>
          <w:lang w:val="es-CO"/>
        </w:rPr>
        <w:fldChar w:fldCharType="end"/>
      </w:r>
      <w:r w:rsidRPr="004068F6">
        <w:rPr>
          <w:spacing w:val="-3"/>
          <w:lang w:val="es-CO"/>
        </w:rPr>
        <w:t xml:space="preserve"> en cuanto caracterización hidrológica.</w:t>
      </w:r>
    </w:p>
    <w:p w14:paraId="76EC25CB" w14:textId="77777777" w:rsidR="00591A1D" w:rsidRPr="004068F6" w:rsidRDefault="00591A1D" w:rsidP="000D6E21">
      <w:pPr>
        <w:tabs>
          <w:tab w:val="left" w:pos="-2268"/>
        </w:tabs>
        <w:suppressAutoHyphens/>
        <w:rPr>
          <w:spacing w:val="-3"/>
        </w:rPr>
      </w:pPr>
    </w:p>
    <w:p w14:paraId="7BC24C89" w14:textId="47F7A1D2" w:rsidR="004A1B3C" w:rsidRPr="004068F6" w:rsidRDefault="00F26B48" w:rsidP="00C86DA5">
      <w:pPr>
        <w:pStyle w:val="Prrafodelista"/>
        <w:numPr>
          <w:ilvl w:val="0"/>
          <w:numId w:val="5"/>
        </w:numPr>
        <w:tabs>
          <w:tab w:val="left" w:pos="-2268"/>
        </w:tabs>
        <w:suppressAutoHyphens/>
        <w:ind w:left="567" w:hanging="567"/>
        <w:rPr>
          <w:spacing w:val="-3"/>
          <w:lang w:val="es-CO"/>
        </w:rPr>
      </w:pPr>
      <w:r w:rsidRPr="004068F6">
        <w:rPr>
          <w:spacing w:val="-3"/>
          <w:lang w:val="es-CO"/>
        </w:rPr>
        <w:t>A</w:t>
      </w:r>
      <w:r w:rsidR="004A1B3C" w:rsidRPr="004068F6">
        <w:rPr>
          <w:spacing w:val="-3"/>
          <w:lang w:val="es-CO"/>
        </w:rPr>
        <w:t xml:space="preserve">nálisis de frecuencia para caudales </w:t>
      </w:r>
      <w:r w:rsidR="004A1B3C" w:rsidRPr="004068F6">
        <w:rPr>
          <w:rFonts w:cs="Arial"/>
          <w:spacing w:val="-3"/>
          <w:lang w:val="es-CO"/>
        </w:rPr>
        <w:t xml:space="preserve">medios y </w:t>
      </w:r>
      <w:r w:rsidR="004A1B3C" w:rsidRPr="004068F6">
        <w:rPr>
          <w:spacing w:val="-3"/>
          <w:lang w:val="es-CO"/>
        </w:rPr>
        <w:t xml:space="preserve">máximos, justificándolos técnicamente mediante el uso de metodologías de valores extremos. </w:t>
      </w:r>
      <w:r w:rsidR="00591A1D" w:rsidRPr="004068F6">
        <w:rPr>
          <w:spacing w:val="-3"/>
          <w:lang w:val="es-CO"/>
        </w:rPr>
        <w:t>Los períodos de retorno mínimos a considerar en caudales máximos deben ser, 2, 5, 10, 15, 25, 50 y 100 años.</w:t>
      </w:r>
    </w:p>
    <w:p w14:paraId="67FF29AA" w14:textId="77777777" w:rsidR="004A1B3C" w:rsidRPr="004068F6" w:rsidRDefault="004A1B3C" w:rsidP="00C86DA5">
      <w:pPr>
        <w:pStyle w:val="Prrafodelista"/>
        <w:tabs>
          <w:tab w:val="left" w:pos="-2268"/>
        </w:tabs>
        <w:suppressAutoHyphens/>
        <w:ind w:left="567" w:hanging="567"/>
        <w:rPr>
          <w:spacing w:val="-3"/>
          <w:lang w:val="es-CO"/>
        </w:rPr>
      </w:pPr>
    </w:p>
    <w:p w14:paraId="42EE4F60" w14:textId="3DFA4DEF" w:rsidR="004A1B3C" w:rsidRPr="004068F6" w:rsidRDefault="00F26B48" w:rsidP="00C86DA5">
      <w:pPr>
        <w:pStyle w:val="Prrafodelista"/>
        <w:numPr>
          <w:ilvl w:val="0"/>
          <w:numId w:val="5"/>
        </w:numPr>
        <w:tabs>
          <w:tab w:val="left" w:pos="-2268"/>
        </w:tabs>
        <w:suppressAutoHyphens/>
        <w:ind w:left="567" w:hanging="567"/>
        <w:rPr>
          <w:spacing w:val="-3"/>
          <w:lang w:val="es-CO"/>
        </w:rPr>
      </w:pPr>
      <w:r w:rsidRPr="004068F6">
        <w:rPr>
          <w:spacing w:val="-3"/>
          <w:lang w:val="es-CO"/>
        </w:rPr>
        <w:lastRenderedPageBreak/>
        <w:t>U</w:t>
      </w:r>
      <w:r w:rsidR="004A1B3C" w:rsidRPr="004068F6">
        <w:rPr>
          <w:spacing w:val="-3"/>
          <w:lang w:val="es-CO"/>
        </w:rPr>
        <w:t>bicación georreferenciada de los tramos donde se implementarán las obras</w:t>
      </w:r>
      <w:r w:rsidR="00591A1D" w:rsidRPr="004068F6">
        <w:rPr>
          <w:spacing w:val="-3"/>
          <w:lang w:val="es-CO"/>
        </w:rPr>
        <w:t>, de acuerdo con lo establecido en el MAG vigente</w:t>
      </w:r>
      <w:r w:rsidR="004A1B3C" w:rsidRPr="004068F6">
        <w:rPr>
          <w:spacing w:val="-3"/>
          <w:lang w:val="es-CO"/>
        </w:rPr>
        <w:t>.</w:t>
      </w:r>
    </w:p>
    <w:p w14:paraId="4B67EFF0" w14:textId="77777777" w:rsidR="004A1B3C" w:rsidRPr="004068F6" w:rsidRDefault="004A1B3C" w:rsidP="00C86DA5">
      <w:pPr>
        <w:pStyle w:val="Prrafodelista"/>
        <w:tabs>
          <w:tab w:val="left" w:pos="-2268"/>
        </w:tabs>
        <w:suppressAutoHyphens/>
        <w:ind w:left="567" w:hanging="567"/>
        <w:rPr>
          <w:spacing w:val="-3"/>
          <w:lang w:val="es-CO"/>
        </w:rPr>
      </w:pPr>
    </w:p>
    <w:p w14:paraId="6D6CB0C3" w14:textId="6567996D" w:rsidR="004A1B3C" w:rsidRPr="004068F6" w:rsidRDefault="00F26B48" w:rsidP="00A43243">
      <w:pPr>
        <w:pStyle w:val="Prrafodelista"/>
        <w:numPr>
          <w:ilvl w:val="0"/>
          <w:numId w:val="5"/>
        </w:numPr>
        <w:tabs>
          <w:tab w:val="left" w:pos="-2268"/>
        </w:tabs>
        <w:suppressAutoHyphens/>
        <w:ind w:left="567" w:hanging="567"/>
        <w:rPr>
          <w:rFonts w:cs="Arial"/>
          <w:spacing w:val="-3"/>
          <w:lang w:val="es-CO"/>
        </w:rPr>
      </w:pPr>
      <w:r w:rsidRPr="004068F6">
        <w:rPr>
          <w:rFonts w:cs="Arial"/>
          <w:spacing w:val="-3"/>
          <w:lang w:val="es-CO"/>
        </w:rPr>
        <w:t>L</w:t>
      </w:r>
      <w:r w:rsidR="004A1B3C" w:rsidRPr="004068F6">
        <w:rPr>
          <w:rFonts w:cs="Arial"/>
          <w:spacing w:val="-3"/>
          <w:lang w:val="es-CO"/>
        </w:rPr>
        <w:t>a relacionada en la siguiente tabla</w:t>
      </w:r>
      <w:r w:rsidRPr="004068F6">
        <w:rPr>
          <w:rFonts w:cs="Arial"/>
          <w:spacing w:val="-3"/>
          <w:lang w:val="es-CO"/>
        </w:rPr>
        <w:t>, teniendo en cuenta el tipo de obra a realizar</w:t>
      </w:r>
      <w:r w:rsidR="004A1B3C" w:rsidRPr="004068F6">
        <w:rPr>
          <w:rFonts w:cs="Arial"/>
          <w:spacing w:val="-3"/>
          <w:lang w:val="es-CO"/>
        </w:rPr>
        <w:t>:</w:t>
      </w:r>
    </w:p>
    <w:p w14:paraId="09261D12" w14:textId="77777777" w:rsidR="004A1B3C" w:rsidRPr="004068F6" w:rsidRDefault="004A1B3C" w:rsidP="009420F5">
      <w:pPr>
        <w:tabs>
          <w:tab w:val="left" w:pos="-2268"/>
        </w:tabs>
        <w:suppressAutoHyphens/>
        <w:rPr>
          <w:rFonts w:cs="Arial"/>
          <w:spacing w:val="-3"/>
        </w:rPr>
      </w:pPr>
    </w:p>
    <w:p w14:paraId="1635FEAD" w14:textId="2B8F3851" w:rsidR="004A1B3C" w:rsidRPr="004068F6" w:rsidRDefault="004A1B3C" w:rsidP="004A1B3C">
      <w:pPr>
        <w:pStyle w:val="Descripcin"/>
        <w:keepNext/>
        <w:jc w:val="center"/>
        <w:rPr>
          <w:rFonts w:cs="Arial"/>
          <w:b w:val="0"/>
          <w:spacing w:val="-3"/>
        </w:rPr>
      </w:pPr>
      <w:r w:rsidRPr="004068F6">
        <w:rPr>
          <w:rFonts w:cs="Arial"/>
        </w:rPr>
        <w:t xml:space="preserve">Tabla </w:t>
      </w:r>
      <w:r w:rsidRPr="004068F6">
        <w:rPr>
          <w:rFonts w:cs="Arial"/>
        </w:rPr>
        <w:fldChar w:fldCharType="begin"/>
      </w:r>
      <w:r w:rsidRPr="004068F6">
        <w:rPr>
          <w:rFonts w:cs="Arial"/>
        </w:rPr>
        <w:instrText xml:space="preserve"> SEQ Tabla \* ARABIC </w:instrText>
      </w:r>
      <w:r w:rsidRPr="004068F6">
        <w:rPr>
          <w:rFonts w:cs="Arial"/>
        </w:rPr>
        <w:fldChar w:fldCharType="separate"/>
      </w:r>
      <w:r w:rsidR="009C4A81">
        <w:rPr>
          <w:rFonts w:cs="Arial"/>
          <w:noProof/>
        </w:rPr>
        <w:t>30</w:t>
      </w:r>
      <w:r w:rsidRPr="004068F6">
        <w:rPr>
          <w:rFonts w:cs="Arial"/>
        </w:rPr>
        <w:fldChar w:fldCharType="end"/>
      </w:r>
      <w:r w:rsidR="00A43243" w:rsidRPr="004068F6">
        <w:rPr>
          <w:rFonts w:cs="Arial"/>
        </w:rPr>
        <w:t>.</w:t>
      </w:r>
      <w:r w:rsidRPr="004068F6">
        <w:rPr>
          <w:rFonts w:cs="Arial"/>
          <w:b w:val="0"/>
          <w:spacing w:val="-3"/>
        </w:rPr>
        <w:t xml:space="preserve"> Información </w:t>
      </w:r>
      <w:r w:rsidR="00262C6C" w:rsidRPr="004068F6">
        <w:rPr>
          <w:rFonts w:cs="Arial"/>
          <w:b w:val="0"/>
          <w:spacing w:val="-3"/>
        </w:rPr>
        <w:t>por</w:t>
      </w:r>
      <w:r w:rsidRPr="004068F6">
        <w:rPr>
          <w:rFonts w:cs="Arial"/>
          <w:b w:val="0"/>
          <w:spacing w:val="-3"/>
        </w:rPr>
        <w:t xml:space="preserve"> presentar de acuerdo con el tipo de obra a construir</w:t>
      </w:r>
      <w:r w:rsidR="00B0379E" w:rsidRPr="004068F6">
        <w:rPr>
          <w:rFonts w:cs="Arial"/>
          <w:b w:val="0"/>
          <w:spacing w:val="-3"/>
        </w:rPr>
        <w:t>.</w:t>
      </w:r>
    </w:p>
    <w:tbl>
      <w:tblPr>
        <w:tblStyle w:val="Tablaconcuadrcula"/>
        <w:tblW w:w="0" w:type="auto"/>
        <w:tblLook w:val="04A0" w:firstRow="1" w:lastRow="0" w:firstColumn="1" w:lastColumn="0" w:noHBand="0" w:noVBand="1"/>
      </w:tblPr>
      <w:tblGrid>
        <w:gridCol w:w="4698"/>
        <w:gridCol w:w="4699"/>
      </w:tblGrid>
      <w:tr w:rsidR="004A1B3C" w:rsidRPr="004068F6" w14:paraId="498F810E" w14:textId="77777777" w:rsidTr="00C86DA5">
        <w:trPr>
          <w:trHeight w:val="587"/>
          <w:tblHeader/>
        </w:trPr>
        <w:tc>
          <w:tcPr>
            <w:tcW w:w="4698" w:type="dxa"/>
            <w:vAlign w:val="center"/>
          </w:tcPr>
          <w:p w14:paraId="30780319" w14:textId="34ACE319" w:rsidR="004A1B3C" w:rsidRPr="004068F6" w:rsidRDefault="00A43243" w:rsidP="00BA45DD">
            <w:pPr>
              <w:tabs>
                <w:tab w:val="left" w:pos="-2268"/>
              </w:tabs>
              <w:suppressAutoHyphens/>
              <w:jc w:val="center"/>
              <w:rPr>
                <w:rFonts w:cs="Arial"/>
                <w:b/>
                <w:spacing w:val="-3"/>
                <w:sz w:val="22"/>
                <w:szCs w:val="22"/>
              </w:rPr>
            </w:pPr>
            <w:r w:rsidRPr="004068F6">
              <w:rPr>
                <w:rFonts w:cs="Arial"/>
                <w:b/>
                <w:spacing w:val="-3"/>
                <w:sz w:val="22"/>
                <w:szCs w:val="22"/>
              </w:rPr>
              <w:t>Para obras mayores</w:t>
            </w:r>
          </w:p>
        </w:tc>
        <w:tc>
          <w:tcPr>
            <w:tcW w:w="4699" w:type="dxa"/>
            <w:vAlign w:val="center"/>
          </w:tcPr>
          <w:p w14:paraId="071B9E2B" w14:textId="446A1368" w:rsidR="004A1B3C" w:rsidRPr="004068F6" w:rsidRDefault="00A43243" w:rsidP="00BA45DD">
            <w:pPr>
              <w:tabs>
                <w:tab w:val="left" w:pos="-2268"/>
              </w:tabs>
              <w:suppressAutoHyphens/>
              <w:jc w:val="center"/>
              <w:rPr>
                <w:rFonts w:cs="Arial"/>
                <w:b/>
                <w:spacing w:val="-3"/>
                <w:sz w:val="22"/>
                <w:szCs w:val="22"/>
              </w:rPr>
            </w:pPr>
            <w:r w:rsidRPr="004068F6">
              <w:rPr>
                <w:rFonts w:cs="Arial"/>
                <w:b/>
                <w:spacing w:val="-3"/>
                <w:sz w:val="22"/>
                <w:szCs w:val="22"/>
              </w:rPr>
              <w:t>Para obras menores</w:t>
            </w:r>
          </w:p>
        </w:tc>
      </w:tr>
      <w:tr w:rsidR="004A1B3C" w:rsidRPr="004068F6" w14:paraId="024F7FEC" w14:textId="77777777" w:rsidTr="00F04E9F">
        <w:trPr>
          <w:trHeight w:val="901"/>
        </w:trPr>
        <w:tc>
          <w:tcPr>
            <w:tcW w:w="4698" w:type="dxa"/>
            <w:vAlign w:val="center"/>
          </w:tcPr>
          <w:p w14:paraId="2156E116" w14:textId="21194997" w:rsidR="004A1B3C" w:rsidRPr="0012792C" w:rsidRDefault="00F26B48">
            <w:pPr>
              <w:tabs>
                <w:tab w:val="left" w:pos="-2268"/>
              </w:tabs>
              <w:suppressAutoHyphens/>
              <w:rPr>
                <w:rFonts w:cs="Arial"/>
                <w:spacing w:val="-3"/>
                <w:sz w:val="20"/>
                <w:szCs w:val="20"/>
              </w:rPr>
            </w:pPr>
            <w:r w:rsidRPr="0012792C">
              <w:rPr>
                <w:rFonts w:cs="Arial"/>
                <w:spacing w:val="-3"/>
                <w:sz w:val="20"/>
                <w:szCs w:val="20"/>
              </w:rPr>
              <w:t>S</w:t>
            </w:r>
            <w:r w:rsidR="004A1B3C" w:rsidRPr="0012792C">
              <w:rPr>
                <w:rFonts w:cs="Arial"/>
                <w:spacing w:val="-3"/>
                <w:sz w:val="20"/>
                <w:szCs w:val="20"/>
              </w:rPr>
              <w:t xml:space="preserve">ección topo-batimétrica, aguas arriba y aguas abajo de </w:t>
            </w:r>
            <w:r w:rsidRPr="0012792C">
              <w:rPr>
                <w:rFonts w:cs="Arial"/>
                <w:spacing w:val="-3"/>
                <w:sz w:val="20"/>
                <w:szCs w:val="20"/>
              </w:rPr>
              <w:t xml:space="preserve">la </w:t>
            </w:r>
            <w:r w:rsidR="004A1B3C" w:rsidRPr="0012792C">
              <w:rPr>
                <w:rFonts w:cs="Arial"/>
                <w:spacing w:val="-3"/>
                <w:sz w:val="20"/>
                <w:szCs w:val="20"/>
              </w:rPr>
              <w:t>ocupación, incluyendo la llanura inundable</w:t>
            </w:r>
            <w:r w:rsidR="008D3F9A" w:rsidRPr="0012792C">
              <w:rPr>
                <w:rFonts w:cs="Arial"/>
                <w:spacing w:val="-3"/>
                <w:sz w:val="20"/>
                <w:szCs w:val="20"/>
              </w:rPr>
              <w:t xml:space="preserve"> y aforo de caudal</w:t>
            </w:r>
            <w:r w:rsidR="004A1B3C" w:rsidRPr="0012792C">
              <w:rPr>
                <w:rFonts w:cs="Arial"/>
                <w:spacing w:val="-3"/>
                <w:sz w:val="20"/>
                <w:szCs w:val="20"/>
              </w:rPr>
              <w:t>.</w:t>
            </w:r>
          </w:p>
        </w:tc>
        <w:tc>
          <w:tcPr>
            <w:tcW w:w="4699" w:type="dxa"/>
            <w:vAlign w:val="center"/>
          </w:tcPr>
          <w:p w14:paraId="1D05CB28" w14:textId="75EC79C7" w:rsidR="004A1B3C" w:rsidRPr="0012792C" w:rsidRDefault="00F26B48">
            <w:pPr>
              <w:tabs>
                <w:tab w:val="left" w:pos="-2268"/>
              </w:tabs>
              <w:suppressAutoHyphens/>
              <w:rPr>
                <w:rFonts w:cs="Arial"/>
                <w:spacing w:val="-3"/>
                <w:sz w:val="20"/>
                <w:szCs w:val="20"/>
              </w:rPr>
            </w:pPr>
            <w:r w:rsidRPr="0012792C">
              <w:rPr>
                <w:rFonts w:cs="Arial"/>
                <w:spacing w:val="-3"/>
                <w:sz w:val="20"/>
                <w:szCs w:val="20"/>
              </w:rPr>
              <w:t>S</w:t>
            </w:r>
            <w:r w:rsidR="004A1B3C" w:rsidRPr="0012792C">
              <w:rPr>
                <w:rFonts w:cs="Arial"/>
                <w:spacing w:val="-3"/>
                <w:sz w:val="20"/>
                <w:szCs w:val="20"/>
              </w:rPr>
              <w:t xml:space="preserve">ección representativa (teniendo en cuenta ancho y profundidad del cauce </w:t>
            </w:r>
            <w:r w:rsidR="0013354F" w:rsidRPr="0012792C">
              <w:rPr>
                <w:rFonts w:cs="Arial"/>
                <w:spacing w:val="-3"/>
                <w:sz w:val="20"/>
                <w:szCs w:val="20"/>
              </w:rPr>
              <w:t>por</w:t>
            </w:r>
            <w:r w:rsidR="004A1B3C" w:rsidRPr="0012792C">
              <w:rPr>
                <w:rFonts w:cs="Arial"/>
                <w:spacing w:val="-3"/>
                <w:sz w:val="20"/>
                <w:szCs w:val="20"/>
              </w:rPr>
              <w:t xml:space="preserve"> intervenir) aguas arriba y aguas </w:t>
            </w:r>
            <w:r w:rsidRPr="0012792C">
              <w:rPr>
                <w:rFonts w:cs="Arial"/>
                <w:spacing w:val="-3"/>
                <w:sz w:val="20"/>
                <w:szCs w:val="20"/>
              </w:rPr>
              <w:t>a</w:t>
            </w:r>
            <w:r w:rsidR="004A1B3C" w:rsidRPr="0012792C">
              <w:rPr>
                <w:rFonts w:cs="Arial"/>
                <w:spacing w:val="-3"/>
                <w:sz w:val="20"/>
                <w:szCs w:val="20"/>
              </w:rPr>
              <w:t>bajo de dicha ocupación</w:t>
            </w:r>
            <w:r w:rsidR="008D3F9A" w:rsidRPr="0012792C">
              <w:rPr>
                <w:rFonts w:cs="Arial"/>
                <w:spacing w:val="-3"/>
                <w:sz w:val="20"/>
                <w:szCs w:val="20"/>
              </w:rPr>
              <w:t xml:space="preserve"> y aforo de caudal</w:t>
            </w:r>
            <w:r w:rsidR="004A1B3C" w:rsidRPr="0012792C">
              <w:rPr>
                <w:rFonts w:cs="Arial"/>
                <w:spacing w:val="-3"/>
                <w:sz w:val="20"/>
                <w:szCs w:val="20"/>
              </w:rPr>
              <w:t>.</w:t>
            </w:r>
          </w:p>
        </w:tc>
      </w:tr>
      <w:tr w:rsidR="004A1B3C" w:rsidRPr="004068F6" w14:paraId="3EFC6FFE" w14:textId="77777777" w:rsidTr="00F04E9F">
        <w:trPr>
          <w:trHeight w:val="2625"/>
        </w:trPr>
        <w:tc>
          <w:tcPr>
            <w:tcW w:w="4698" w:type="dxa"/>
            <w:vAlign w:val="center"/>
          </w:tcPr>
          <w:p w14:paraId="3EEB31AA" w14:textId="456060D9" w:rsidR="004A1B3C" w:rsidRPr="0012792C" w:rsidRDefault="00F26B48">
            <w:pPr>
              <w:tabs>
                <w:tab w:val="left" w:pos="-2268"/>
              </w:tabs>
              <w:suppressAutoHyphens/>
              <w:rPr>
                <w:rFonts w:cs="Arial"/>
                <w:spacing w:val="-3"/>
                <w:sz w:val="20"/>
                <w:szCs w:val="20"/>
              </w:rPr>
            </w:pPr>
            <w:r w:rsidRPr="0012792C">
              <w:rPr>
                <w:rFonts w:cs="Arial"/>
                <w:spacing w:val="-3"/>
                <w:sz w:val="20"/>
                <w:szCs w:val="20"/>
              </w:rPr>
              <w:t>E</w:t>
            </w:r>
            <w:r w:rsidR="004A1B3C" w:rsidRPr="0012792C">
              <w:rPr>
                <w:rFonts w:cs="Arial"/>
                <w:spacing w:val="-3"/>
                <w:sz w:val="20"/>
                <w:szCs w:val="20"/>
              </w:rPr>
              <w:t>studio de dinámica fluvial que contenga estudios hidráulicos</w:t>
            </w:r>
            <w:r w:rsidR="008D3F9A" w:rsidRPr="0012792C">
              <w:rPr>
                <w:rFonts w:cs="Arial"/>
                <w:spacing w:val="-3"/>
                <w:sz w:val="20"/>
                <w:szCs w:val="20"/>
              </w:rPr>
              <w:t xml:space="preserve"> (modelización hidráulica)</w:t>
            </w:r>
            <w:r w:rsidR="004A1B3C" w:rsidRPr="0012792C">
              <w:rPr>
                <w:rFonts w:cs="Arial"/>
                <w:spacing w:val="-3"/>
                <w:sz w:val="20"/>
                <w:szCs w:val="20"/>
              </w:rPr>
              <w:t>, hidrológicos, sedimentológicos (</w:t>
            </w:r>
            <w:r w:rsidR="008D3F9A" w:rsidRPr="0012792C">
              <w:rPr>
                <w:rFonts w:cs="Arial"/>
                <w:spacing w:val="-3"/>
                <w:sz w:val="20"/>
                <w:szCs w:val="20"/>
              </w:rPr>
              <w:t xml:space="preserve">profundidades de socavación y </w:t>
            </w:r>
            <w:r w:rsidR="004A1B3C" w:rsidRPr="0012792C">
              <w:rPr>
                <w:rFonts w:cs="Arial"/>
                <w:spacing w:val="-3"/>
                <w:sz w:val="20"/>
                <w:szCs w:val="20"/>
              </w:rPr>
              <w:t>model</w:t>
            </w:r>
            <w:r w:rsidRPr="0012792C">
              <w:rPr>
                <w:rFonts w:cs="Arial"/>
                <w:spacing w:val="-3"/>
                <w:sz w:val="20"/>
                <w:szCs w:val="20"/>
              </w:rPr>
              <w:t>iz</w:t>
            </w:r>
            <w:r w:rsidR="004A1B3C" w:rsidRPr="0012792C">
              <w:rPr>
                <w:rFonts w:cs="Arial"/>
                <w:spacing w:val="-3"/>
                <w:sz w:val="20"/>
                <w:szCs w:val="20"/>
              </w:rPr>
              <w:t xml:space="preserve">ación de transporte de sedimentos), geológicos y geomorfológicos (asociados </w:t>
            </w:r>
            <w:r w:rsidR="008D3F9A" w:rsidRPr="0012792C">
              <w:rPr>
                <w:rFonts w:cs="Arial"/>
                <w:spacing w:val="-3"/>
                <w:sz w:val="20"/>
                <w:szCs w:val="20"/>
              </w:rPr>
              <w:t xml:space="preserve">al cauce y </w:t>
            </w:r>
            <w:r w:rsidR="004A1B3C" w:rsidRPr="0012792C">
              <w:rPr>
                <w:rFonts w:cs="Arial"/>
                <w:spacing w:val="-3"/>
                <w:sz w:val="20"/>
                <w:szCs w:val="20"/>
              </w:rPr>
              <w:t xml:space="preserve">a la llanura de inundación establecida en el </w:t>
            </w:r>
            <w:r w:rsidRPr="0012792C">
              <w:rPr>
                <w:rFonts w:cs="Arial"/>
                <w:spacing w:val="-3"/>
                <w:sz w:val="20"/>
                <w:szCs w:val="20"/>
              </w:rPr>
              <w:t xml:space="preserve">punto </w:t>
            </w:r>
            <w:r w:rsidR="004A1B3C" w:rsidRPr="0012792C">
              <w:rPr>
                <w:rFonts w:cs="Arial"/>
                <w:spacing w:val="-3"/>
                <w:sz w:val="20"/>
                <w:szCs w:val="20"/>
              </w:rPr>
              <w:t>anterior</w:t>
            </w:r>
            <w:r w:rsidR="008D3F9A" w:rsidRPr="0012792C">
              <w:rPr>
                <w:rFonts w:cs="Arial"/>
                <w:spacing w:val="-3"/>
                <w:sz w:val="20"/>
                <w:szCs w:val="20"/>
              </w:rPr>
              <w:t xml:space="preserve"> para diferentes épocas representativas</w:t>
            </w:r>
            <w:r w:rsidR="004A1B3C" w:rsidRPr="0012792C">
              <w:rPr>
                <w:rFonts w:cs="Arial"/>
                <w:spacing w:val="-3"/>
                <w:sz w:val="20"/>
                <w:szCs w:val="20"/>
              </w:rPr>
              <w:t>), asociados al tramo de obra a diseñar, incluyendo niveles y áreas de inundación para diferentes escenarios hidrológicos.</w:t>
            </w:r>
            <w:r w:rsidR="008D3F9A" w:rsidRPr="0012792C">
              <w:rPr>
                <w:rFonts w:cs="Arial"/>
                <w:spacing w:val="-3"/>
                <w:sz w:val="20"/>
                <w:szCs w:val="20"/>
              </w:rPr>
              <w:t xml:space="preserve"> Se deben comparar las condiciones con y sin proyecto.</w:t>
            </w:r>
          </w:p>
        </w:tc>
        <w:tc>
          <w:tcPr>
            <w:tcW w:w="4699" w:type="dxa"/>
            <w:vAlign w:val="center"/>
          </w:tcPr>
          <w:p w14:paraId="5FDD11B0" w14:textId="49B3BFBD" w:rsidR="004A1B3C" w:rsidRPr="0012792C" w:rsidRDefault="00F26B48">
            <w:pPr>
              <w:tabs>
                <w:tab w:val="left" w:pos="-2268"/>
              </w:tabs>
              <w:suppressAutoHyphens/>
              <w:rPr>
                <w:rFonts w:cs="Arial"/>
                <w:spacing w:val="-3"/>
                <w:sz w:val="20"/>
                <w:szCs w:val="20"/>
              </w:rPr>
            </w:pPr>
            <w:r w:rsidRPr="0012792C">
              <w:rPr>
                <w:rFonts w:cs="Arial"/>
                <w:spacing w:val="-3"/>
                <w:sz w:val="20"/>
                <w:szCs w:val="20"/>
              </w:rPr>
              <w:t>E</w:t>
            </w:r>
            <w:r w:rsidR="004A1B3C" w:rsidRPr="0012792C">
              <w:rPr>
                <w:rFonts w:cs="Arial"/>
                <w:spacing w:val="-3"/>
                <w:sz w:val="20"/>
                <w:szCs w:val="20"/>
              </w:rPr>
              <w:t xml:space="preserve">studio de dinámica fluvial que contenga estudios hidrológicos, </w:t>
            </w:r>
            <w:r w:rsidR="008D3F9A" w:rsidRPr="0012792C">
              <w:rPr>
                <w:rFonts w:cs="Arial"/>
                <w:spacing w:val="-3"/>
                <w:sz w:val="20"/>
                <w:szCs w:val="20"/>
              </w:rPr>
              <w:t xml:space="preserve">análisis hidráulicos, </w:t>
            </w:r>
            <w:r w:rsidR="001F5560" w:rsidRPr="0012792C">
              <w:rPr>
                <w:rFonts w:cs="Arial"/>
                <w:spacing w:val="-3"/>
                <w:sz w:val="20"/>
                <w:szCs w:val="20"/>
              </w:rPr>
              <w:t xml:space="preserve">de socavación </w:t>
            </w:r>
            <w:r w:rsidR="004A1B3C" w:rsidRPr="0012792C">
              <w:rPr>
                <w:rFonts w:cs="Arial"/>
                <w:spacing w:val="-3"/>
                <w:sz w:val="20"/>
                <w:szCs w:val="20"/>
              </w:rPr>
              <w:t xml:space="preserve">y geomorfológicos, asociados al tramo de </w:t>
            </w:r>
            <w:r w:rsidRPr="0012792C">
              <w:rPr>
                <w:rFonts w:cs="Arial"/>
                <w:spacing w:val="-3"/>
                <w:sz w:val="20"/>
                <w:szCs w:val="20"/>
              </w:rPr>
              <w:t xml:space="preserve">la </w:t>
            </w:r>
            <w:r w:rsidR="004A1B3C" w:rsidRPr="0012792C">
              <w:rPr>
                <w:rFonts w:cs="Arial"/>
                <w:spacing w:val="-3"/>
                <w:sz w:val="20"/>
                <w:szCs w:val="20"/>
              </w:rPr>
              <w:t xml:space="preserve">obra, incluyendo niveles y áreas de inundación </w:t>
            </w:r>
            <w:r w:rsidR="001F5560" w:rsidRPr="0012792C">
              <w:rPr>
                <w:rFonts w:cs="Arial"/>
                <w:spacing w:val="-3"/>
                <w:sz w:val="20"/>
                <w:szCs w:val="20"/>
              </w:rPr>
              <w:t xml:space="preserve">y profundidades de socavación </w:t>
            </w:r>
            <w:r w:rsidR="004A1B3C" w:rsidRPr="0012792C">
              <w:rPr>
                <w:rFonts w:cs="Arial"/>
                <w:spacing w:val="-3"/>
                <w:sz w:val="20"/>
                <w:szCs w:val="20"/>
              </w:rPr>
              <w:t>para diferentes escenarios hidrológicos</w:t>
            </w:r>
            <w:r w:rsidR="008D3F9A" w:rsidRPr="0012792C">
              <w:rPr>
                <w:rFonts w:cs="Arial"/>
                <w:spacing w:val="-3"/>
                <w:sz w:val="20"/>
                <w:szCs w:val="20"/>
              </w:rPr>
              <w:t>. Se deben comparar las condiciones con y sin proyecto.</w:t>
            </w:r>
          </w:p>
        </w:tc>
      </w:tr>
      <w:tr w:rsidR="004A1B3C" w:rsidRPr="004068F6" w14:paraId="2F300AAC" w14:textId="77777777" w:rsidTr="00F04E9F">
        <w:trPr>
          <w:trHeight w:val="635"/>
        </w:trPr>
        <w:tc>
          <w:tcPr>
            <w:tcW w:w="9397" w:type="dxa"/>
            <w:gridSpan w:val="2"/>
            <w:vAlign w:val="center"/>
          </w:tcPr>
          <w:p w14:paraId="7561420E" w14:textId="046442FF" w:rsidR="004A1B3C" w:rsidRPr="0012792C" w:rsidRDefault="004A1B3C">
            <w:pPr>
              <w:tabs>
                <w:tab w:val="left" w:pos="-2268"/>
              </w:tabs>
              <w:suppressAutoHyphens/>
              <w:rPr>
                <w:rFonts w:cs="Arial"/>
                <w:spacing w:val="-3"/>
                <w:sz w:val="20"/>
                <w:szCs w:val="20"/>
              </w:rPr>
            </w:pPr>
            <w:r w:rsidRPr="0012792C">
              <w:rPr>
                <w:rFonts w:cs="Arial"/>
                <w:spacing w:val="-3"/>
                <w:sz w:val="20"/>
                <w:szCs w:val="20"/>
              </w:rPr>
              <w:t xml:space="preserve">Para el caso de cuerpos lénticos, se debe levantar la </w:t>
            </w:r>
            <w:r w:rsidR="00C25130" w:rsidRPr="0012792C">
              <w:rPr>
                <w:rFonts w:cs="Arial"/>
                <w:spacing w:val="-3"/>
                <w:sz w:val="20"/>
                <w:szCs w:val="20"/>
              </w:rPr>
              <w:t>topo-</w:t>
            </w:r>
            <w:r w:rsidRPr="0012792C">
              <w:rPr>
                <w:rFonts w:cs="Arial"/>
                <w:spacing w:val="-3"/>
                <w:sz w:val="20"/>
                <w:szCs w:val="20"/>
              </w:rPr>
              <w:t>batimetría</w:t>
            </w:r>
            <w:r w:rsidR="00EF1A28" w:rsidRPr="0012792C">
              <w:rPr>
                <w:rFonts w:cs="Arial"/>
                <w:spacing w:val="-3"/>
                <w:sz w:val="20"/>
                <w:szCs w:val="20"/>
              </w:rPr>
              <w:t xml:space="preserve"> y</w:t>
            </w:r>
            <w:r w:rsidRPr="0012792C">
              <w:rPr>
                <w:rFonts w:cs="Arial"/>
                <w:spacing w:val="-3"/>
                <w:sz w:val="20"/>
                <w:szCs w:val="20"/>
              </w:rPr>
              <w:t xml:space="preserve"> obten</w:t>
            </w:r>
            <w:r w:rsidR="00EF1A28" w:rsidRPr="0012792C">
              <w:rPr>
                <w:rFonts w:cs="Arial"/>
                <w:spacing w:val="-3"/>
                <w:sz w:val="20"/>
                <w:szCs w:val="20"/>
              </w:rPr>
              <w:t>er</w:t>
            </w:r>
            <w:r w:rsidRPr="0012792C">
              <w:rPr>
                <w:rFonts w:cs="Arial"/>
                <w:spacing w:val="-3"/>
                <w:sz w:val="20"/>
                <w:szCs w:val="20"/>
              </w:rPr>
              <w:t xml:space="preserve"> además las curvas nivel – volumen y nivel – área superficial.</w:t>
            </w:r>
          </w:p>
        </w:tc>
      </w:tr>
    </w:tbl>
    <w:p w14:paraId="61163E6D" w14:textId="77777777" w:rsidR="004A1B3C" w:rsidRPr="004068F6" w:rsidRDefault="004A1B3C" w:rsidP="004A1B3C">
      <w:pPr>
        <w:numPr>
          <w:ilvl w:val="12"/>
          <w:numId w:val="0"/>
        </w:numPr>
        <w:tabs>
          <w:tab w:val="left" w:pos="-2268"/>
        </w:tabs>
        <w:suppressAutoHyphens/>
        <w:rPr>
          <w:rFonts w:cs="Arial"/>
          <w:spacing w:val="-3"/>
        </w:rPr>
      </w:pPr>
    </w:p>
    <w:p w14:paraId="2D65C28D" w14:textId="18C0E0B8" w:rsidR="004A1B3C" w:rsidRPr="004068F6" w:rsidRDefault="004A1B3C" w:rsidP="00FB4B5C">
      <w:pPr>
        <w:pStyle w:val="Prrafodelista"/>
        <w:numPr>
          <w:ilvl w:val="0"/>
          <w:numId w:val="5"/>
        </w:numPr>
        <w:tabs>
          <w:tab w:val="left" w:pos="-2268"/>
        </w:tabs>
        <w:suppressAutoHyphens/>
        <w:ind w:left="567" w:hanging="567"/>
        <w:rPr>
          <w:rFonts w:cs="Arial"/>
          <w:spacing w:val="-3"/>
          <w:lang w:val="es-CO"/>
        </w:rPr>
      </w:pPr>
      <w:r w:rsidRPr="004068F6">
        <w:rPr>
          <w:rFonts w:cs="Arial"/>
          <w:spacing w:val="-3"/>
          <w:lang w:val="es-CO"/>
        </w:rPr>
        <w:t>Análisis de estabilidad geotécnica del tramo analizado para la ocupación de cauce</w:t>
      </w:r>
      <w:r w:rsidR="006938C3" w:rsidRPr="004068F6">
        <w:rPr>
          <w:rFonts w:cs="Arial"/>
          <w:spacing w:val="-3"/>
          <w:lang w:val="es-CO"/>
        </w:rPr>
        <w:t xml:space="preserve"> teniendo en cuenta el tipo y complejidad de la obra a realizar, así como las características del cauce objeto de intervención</w:t>
      </w:r>
      <w:r w:rsidRPr="004068F6">
        <w:rPr>
          <w:rFonts w:cs="Arial"/>
          <w:spacing w:val="-3"/>
          <w:lang w:val="es-CO"/>
        </w:rPr>
        <w:t>.</w:t>
      </w:r>
    </w:p>
    <w:p w14:paraId="33E564BA" w14:textId="77777777" w:rsidR="004A1B3C" w:rsidRPr="004068F6" w:rsidRDefault="004A1B3C" w:rsidP="00C86DA5">
      <w:pPr>
        <w:numPr>
          <w:ilvl w:val="12"/>
          <w:numId w:val="0"/>
        </w:numPr>
        <w:tabs>
          <w:tab w:val="left" w:pos="-2268"/>
        </w:tabs>
        <w:suppressAutoHyphens/>
        <w:ind w:left="567" w:hanging="567"/>
        <w:rPr>
          <w:spacing w:val="-3"/>
        </w:rPr>
      </w:pPr>
    </w:p>
    <w:p w14:paraId="025614AE" w14:textId="3D797995" w:rsidR="004A1B3C" w:rsidRPr="004068F6" w:rsidRDefault="00EF1A28" w:rsidP="00C86DA5">
      <w:pPr>
        <w:pStyle w:val="Prrafodelista"/>
        <w:numPr>
          <w:ilvl w:val="0"/>
          <w:numId w:val="5"/>
        </w:numPr>
        <w:tabs>
          <w:tab w:val="left" w:pos="-2268"/>
        </w:tabs>
        <w:suppressAutoHyphens/>
        <w:ind w:left="567" w:hanging="567"/>
        <w:rPr>
          <w:spacing w:val="-3"/>
          <w:lang w:val="es-CO"/>
        </w:rPr>
      </w:pPr>
      <w:r w:rsidRPr="004068F6">
        <w:rPr>
          <w:spacing w:val="-3"/>
          <w:lang w:val="es-CO"/>
        </w:rPr>
        <w:t>A</w:t>
      </w:r>
      <w:r w:rsidR="004A1B3C" w:rsidRPr="004068F6">
        <w:rPr>
          <w:spacing w:val="-3"/>
          <w:lang w:val="es-CO"/>
        </w:rPr>
        <w:t xml:space="preserve">nálisis de dinámica fluvial anteriormente mencionado </w:t>
      </w:r>
      <w:r w:rsidR="00D14170" w:rsidRPr="004068F6">
        <w:rPr>
          <w:spacing w:val="-3"/>
          <w:lang w:val="es-CO"/>
        </w:rPr>
        <w:t xml:space="preserve">(incluyendo los análisis hidrológico, hidráulico y sedimentológico) </w:t>
      </w:r>
      <w:r w:rsidR="004A1B3C" w:rsidRPr="004068F6">
        <w:rPr>
          <w:spacing w:val="-3"/>
          <w:lang w:val="es-CO"/>
        </w:rPr>
        <w:t>para garantizar la estabilidad ambiental del cauce en el tramo analizado</w:t>
      </w:r>
      <w:r w:rsidRPr="004068F6">
        <w:rPr>
          <w:spacing w:val="-3"/>
          <w:lang w:val="es-CO"/>
        </w:rPr>
        <w:t xml:space="preserve"> (en caso de existir obras de protección permanentes asociadas a la infraestructura proyectada)</w:t>
      </w:r>
      <w:r w:rsidR="004A1B3C" w:rsidRPr="004068F6">
        <w:rPr>
          <w:spacing w:val="-3"/>
          <w:lang w:val="es-CO"/>
        </w:rPr>
        <w:t>.</w:t>
      </w:r>
    </w:p>
    <w:p w14:paraId="55CB0152" w14:textId="77777777" w:rsidR="004A1B3C" w:rsidRPr="004068F6" w:rsidRDefault="004A1B3C" w:rsidP="00C86DA5">
      <w:pPr>
        <w:pStyle w:val="Prrafodelista"/>
        <w:tabs>
          <w:tab w:val="left" w:pos="-2268"/>
        </w:tabs>
        <w:suppressAutoHyphens/>
        <w:ind w:left="567" w:hanging="567"/>
        <w:rPr>
          <w:spacing w:val="-3"/>
          <w:lang w:val="es-CO"/>
        </w:rPr>
      </w:pPr>
    </w:p>
    <w:p w14:paraId="2C6DD192" w14:textId="343F28B1" w:rsidR="004A1B3C" w:rsidRPr="004068F6" w:rsidRDefault="00EF1A28" w:rsidP="009420F5">
      <w:pPr>
        <w:pStyle w:val="Prrafodelista"/>
        <w:numPr>
          <w:ilvl w:val="0"/>
          <w:numId w:val="5"/>
        </w:numPr>
        <w:tabs>
          <w:tab w:val="left" w:pos="-2268"/>
        </w:tabs>
        <w:suppressAutoHyphens/>
        <w:ind w:left="567" w:hanging="567"/>
        <w:rPr>
          <w:spacing w:val="-3"/>
          <w:lang w:val="es-CO"/>
        </w:rPr>
      </w:pPr>
      <w:r w:rsidRPr="004068F6">
        <w:rPr>
          <w:spacing w:val="-3"/>
          <w:lang w:val="es-CO"/>
        </w:rPr>
        <w:t>D</w:t>
      </w:r>
      <w:r w:rsidR="005E3668" w:rsidRPr="004068F6">
        <w:rPr>
          <w:spacing w:val="-3"/>
          <w:lang w:val="es-CO"/>
        </w:rPr>
        <w:t xml:space="preserve">iseños </w:t>
      </w:r>
      <w:r w:rsidR="00D00D36">
        <w:rPr>
          <w:spacing w:val="-3"/>
          <w:lang w:val="es-CO"/>
        </w:rPr>
        <w:t xml:space="preserve">preliminares </w:t>
      </w:r>
      <w:r w:rsidR="005E3668" w:rsidRPr="004068F6">
        <w:rPr>
          <w:spacing w:val="-3"/>
          <w:lang w:val="es-CO"/>
        </w:rPr>
        <w:t>de las obras a construir</w:t>
      </w:r>
      <w:r w:rsidR="00772312" w:rsidRPr="004068F6">
        <w:rPr>
          <w:spacing w:val="-3"/>
          <w:lang w:val="es-CO"/>
        </w:rPr>
        <w:t xml:space="preserve"> </w:t>
      </w:r>
      <w:r w:rsidR="00D14170" w:rsidRPr="004068F6">
        <w:rPr>
          <w:spacing w:val="-3"/>
          <w:lang w:val="es-CO"/>
        </w:rPr>
        <w:t xml:space="preserve">(planos planta, perfil y detalles) y procedimientos constructivos </w:t>
      </w:r>
      <w:r w:rsidR="005E3668" w:rsidRPr="004068F6">
        <w:rPr>
          <w:spacing w:val="-3"/>
          <w:lang w:val="es-CO"/>
        </w:rPr>
        <w:t xml:space="preserve">de acuerdo con </w:t>
      </w:r>
      <w:r w:rsidR="00664FAF" w:rsidRPr="004068F6">
        <w:rPr>
          <w:spacing w:val="-3"/>
          <w:lang w:val="es-CO"/>
        </w:rPr>
        <w:t xml:space="preserve">el </w:t>
      </w:r>
      <w:r w:rsidR="00AE6840" w:rsidRPr="004068F6">
        <w:rPr>
          <w:spacing w:val="-3"/>
          <w:lang w:val="es-CO"/>
        </w:rPr>
        <w:t>grado de detalle requerido en los términos de referencia, así como</w:t>
      </w:r>
      <w:r w:rsidR="00AE6840" w:rsidRPr="004068F6" w:rsidDel="00AE6840">
        <w:rPr>
          <w:spacing w:val="-3"/>
          <w:lang w:val="es-CO"/>
        </w:rPr>
        <w:t xml:space="preserve"> </w:t>
      </w:r>
      <w:r w:rsidR="00772312" w:rsidRPr="004068F6">
        <w:rPr>
          <w:spacing w:val="-3"/>
          <w:lang w:val="es-CO"/>
        </w:rPr>
        <w:t xml:space="preserve">con </w:t>
      </w:r>
      <w:r w:rsidR="003508EB" w:rsidRPr="004068F6">
        <w:rPr>
          <w:spacing w:val="-3"/>
          <w:lang w:val="es-CO"/>
        </w:rPr>
        <w:t xml:space="preserve">lo exigido </w:t>
      </w:r>
      <w:r w:rsidR="00664FAF" w:rsidRPr="004068F6">
        <w:rPr>
          <w:spacing w:val="-3"/>
          <w:lang w:val="es-CO"/>
        </w:rPr>
        <w:t xml:space="preserve">por </w:t>
      </w:r>
      <w:r w:rsidR="00772312" w:rsidRPr="004068F6">
        <w:rPr>
          <w:spacing w:val="-3"/>
          <w:lang w:val="es-CO"/>
        </w:rPr>
        <w:t xml:space="preserve">la </w:t>
      </w:r>
      <w:r w:rsidR="005E0C78" w:rsidRPr="004068F6">
        <w:rPr>
          <w:spacing w:val="-3"/>
          <w:lang w:val="es-CO"/>
        </w:rPr>
        <w:t>normativa vigente</w:t>
      </w:r>
      <w:r w:rsidR="007C0EA7" w:rsidRPr="004068F6">
        <w:rPr>
          <w:spacing w:val="-3"/>
          <w:lang w:val="es-CO"/>
        </w:rPr>
        <w:t xml:space="preserve"> para el trámite de autorizaciones o permisos para la</w:t>
      </w:r>
      <w:r w:rsidR="008E269A" w:rsidRPr="004068F6">
        <w:rPr>
          <w:spacing w:val="-3"/>
          <w:lang w:val="es-CO"/>
        </w:rPr>
        <w:t xml:space="preserve"> ocupación de playas, cauces y lechos</w:t>
      </w:r>
      <w:r w:rsidR="007C0EA7" w:rsidRPr="004068F6">
        <w:rPr>
          <w:spacing w:val="-3"/>
          <w:lang w:val="es-CO"/>
        </w:rPr>
        <w:t>.</w:t>
      </w:r>
    </w:p>
    <w:p w14:paraId="4A0E73A9" w14:textId="77777777" w:rsidR="00D0396C" w:rsidRPr="004068F6" w:rsidRDefault="00D0396C" w:rsidP="000D6E21">
      <w:pPr>
        <w:rPr>
          <w:spacing w:val="-3"/>
        </w:rPr>
      </w:pPr>
    </w:p>
    <w:p w14:paraId="6953AC86" w14:textId="67D21ED2" w:rsidR="00D0396C" w:rsidRPr="004068F6" w:rsidRDefault="00D0396C" w:rsidP="00D0396C">
      <w:pPr>
        <w:pStyle w:val="Prrafodelista"/>
        <w:numPr>
          <w:ilvl w:val="0"/>
          <w:numId w:val="5"/>
        </w:numPr>
        <w:tabs>
          <w:tab w:val="left" w:pos="-2268"/>
        </w:tabs>
        <w:suppressAutoHyphens/>
        <w:ind w:left="567" w:hanging="567"/>
        <w:rPr>
          <w:spacing w:val="-3"/>
          <w:lang w:val="es-CO"/>
        </w:rPr>
      </w:pPr>
      <w:r w:rsidRPr="004068F6">
        <w:rPr>
          <w:spacing w:val="-3"/>
          <w:lang w:val="es-CO"/>
        </w:rPr>
        <w:t xml:space="preserve">Modelos numéricos físicamente basados según el tipo de cuerpo de agua, de acuerdo con la </w:t>
      </w:r>
      <w:r w:rsidR="000815C7" w:rsidRPr="000815C7">
        <w:rPr>
          <w:spacing w:val="-3"/>
          <w:lang w:val="es-CO"/>
        </w:rPr>
        <w:fldChar w:fldCharType="begin"/>
      </w:r>
      <w:r w:rsidR="000815C7" w:rsidRPr="000815C7">
        <w:rPr>
          <w:spacing w:val="-3"/>
          <w:lang w:val="es-CO"/>
        </w:rPr>
        <w:instrText xml:space="preserve"> REF _Ref217638964 \h  \* MERGEFORMAT </w:instrText>
      </w:r>
      <w:r w:rsidR="000815C7" w:rsidRPr="000815C7">
        <w:rPr>
          <w:spacing w:val="-3"/>
          <w:lang w:val="es-CO"/>
        </w:rPr>
      </w:r>
      <w:r w:rsidR="000815C7" w:rsidRPr="000815C7">
        <w:rPr>
          <w:spacing w:val="-3"/>
          <w:lang w:val="es-CO"/>
        </w:rPr>
        <w:fldChar w:fldCharType="separate"/>
      </w:r>
      <w:r w:rsidR="009C4A81" w:rsidRPr="009C4A81">
        <w:rPr>
          <w:spacing w:val="-3"/>
        </w:rPr>
        <w:t xml:space="preserve">Tabla </w:t>
      </w:r>
      <w:r w:rsidR="009C4A81" w:rsidRPr="009C4A81">
        <w:rPr>
          <w:noProof/>
          <w:spacing w:val="-3"/>
        </w:rPr>
        <w:t>31</w:t>
      </w:r>
      <w:r w:rsidR="000815C7" w:rsidRPr="000815C7">
        <w:rPr>
          <w:spacing w:val="-3"/>
          <w:lang w:val="es-CO"/>
        </w:rPr>
        <w:fldChar w:fldCharType="end"/>
      </w:r>
      <w:r w:rsidRPr="000815C7">
        <w:rPr>
          <w:spacing w:val="-3"/>
          <w:lang w:val="es-CO"/>
        </w:rPr>
        <w:t>.</w:t>
      </w:r>
      <w:r w:rsidR="003B27EB" w:rsidRPr="000815C7">
        <w:rPr>
          <w:spacing w:val="-3"/>
          <w:lang w:val="es-CO"/>
        </w:rPr>
        <w:t xml:space="preserve"> Estos</w:t>
      </w:r>
      <w:r w:rsidR="003B27EB" w:rsidRPr="004068F6">
        <w:rPr>
          <w:spacing w:val="-3"/>
          <w:lang w:val="es-CO"/>
        </w:rPr>
        <w:t xml:space="preserve"> modelos son obligatorios cuando la ocupación pueda generar alteraciones significativas en la morfodinámica del cauce (p. ej. grandes desvíos, </w:t>
      </w:r>
      <w:r w:rsidR="003B27EB" w:rsidRPr="004068F6">
        <w:rPr>
          <w:spacing w:val="-3"/>
          <w:lang w:val="es-CO"/>
        </w:rPr>
        <w:lastRenderedPageBreak/>
        <w:t>canalizaciones o rellenos); en intervenciones menores o temporales es posible emplear métodos simplificados con la debida justificación técnica.</w:t>
      </w:r>
    </w:p>
    <w:p w14:paraId="20E17807" w14:textId="77777777" w:rsidR="007C0EA7" w:rsidRPr="004068F6" w:rsidRDefault="007C0EA7" w:rsidP="009420F5">
      <w:pPr>
        <w:tabs>
          <w:tab w:val="left" w:pos="-2268"/>
        </w:tabs>
        <w:suppressAutoHyphens/>
        <w:rPr>
          <w:spacing w:val="-3"/>
        </w:rPr>
      </w:pPr>
    </w:p>
    <w:p w14:paraId="08ACDAB3" w14:textId="6A519C99" w:rsidR="00D0396C" w:rsidRPr="00127BD4" w:rsidRDefault="00D0396C" w:rsidP="00D0396C">
      <w:pPr>
        <w:numPr>
          <w:ilvl w:val="12"/>
          <w:numId w:val="0"/>
        </w:numPr>
        <w:tabs>
          <w:tab w:val="left" w:pos="-2268"/>
        </w:tabs>
        <w:suppressAutoHyphens/>
        <w:jc w:val="center"/>
        <w:rPr>
          <w:spacing w:val="-3"/>
        </w:rPr>
      </w:pPr>
      <w:bookmarkStart w:id="3131" w:name="_Ref217638964"/>
      <w:r w:rsidRPr="00127BD4">
        <w:rPr>
          <w:b/>
          <w:bCs/>
          <w:spacing w:val="-3"/>
        </w:rPr>
        <w:t xml:space="preserve">Tabla </w:t>
      </w:r>
      <w:r w:rsidRPr="004068F6">
        <w:rPr>
          <w:b/>
          <w:bCs/>
          <w:spacing w:val="-3"/>
        </w:rPr>
        <w:fldChar w:fldCharType="begin"/>
      </w:r>
      <w:r w:rsidRPr="00127BD4">
        <w:rPr>
          <w:b/>
          <w:bCs/>
          <w:spacing w:val="-3"/>
        </w:rPr>
        <w:instrText xml:space="preserve"> SEQ Tabla \* ARABIC </w:instrText>
      </w:r>
      <w:r w:rsidRPr="004068F6">
        <w:rPr>
          <w:b/>
          <w:bCs/>
          <w:spacing w:val="-3"/>
        </w:rPr>
        <w:fldChar w:fldCharType="separate"/>
      </w:r>
      <w:r w:rsidR="009C4A81">
        <w:rPr>
          <w:b/>
          <w:bCs/>
          <w:noProof/>
          <w:spacing w:val="-3"/>
        </w:rPr>
        <w:t>31</w:t>
      </w:r>
      <w:r w:rsidRPr="004068F6">
        <w:rPr>
          <w:b/>
          <w:bCs/>
          <w:spacing w:val="-3"/>
        </w:rPr>
        <w:fldChar w:fldCharType="end"/>
      </w:r>
      <w:bookmarkEnd w:id="3131"/>
      <w:r w:rsidRPr="00127BD4">
        <w:rPr>
          <w:b/>
          <w:bCs/>
          <w:spacing w:val="-3"/>
        </w:rPr>
        <w:t>.</w:t>
      </w:r>
      <w:r w:rsidRPr="00127BD4">
        <w:rPr>
          <w:spacing w:val="-3"/>
        </w:rPr>
        <w:t xml:space="preserve"> Ecuaciones </w:t>
      </w:r>
      <w:r w:rsidR="00CB1945" w:rsidRPr="00127BD4">
        <w:rPr>
          <w:spacing w:val="-3"/>
        </w:rPr>
        <w:t>por</w:t>
      </w:r>
      <w:r w:rsidRPr="00127BD4">
        <w:rPr>
          <w:spacing w:val="-3"/>
        </w:rPr>
        <w:t xml:space="preserve"> solucionar según cuerpo de agua a modelizar</w:t>
      </w:r>
    </w:p>
    <w:tbl>
      <w:tblPr>
        <w:tblStyle w:val="Tablaconcuadrcula"/>
        <w:tblW w:w="0" w:type="auto"/>
        <w:jc w:val="center"/>
        <w:tblLook w:val="04A0" w:firstRow="1" w:lastRow="0" w:firstColumn="1" w:lastColumn="0" w:noHBand="0" w:noVBand="1"/>
      </w:tblPr>
      <w:tblGrid>
        <w:gridCol w:w="3064"/>
        <w:gridCol w:w="2992"/>
      </w:tblGrid>
      <w:tr w:rsidR="00D0396C" w:rsidRPr="00A12CE0" w14:paraId="6C04E983" w14:textId="77777777">
        <w:trPr>
          <w:trHeight w:val="469"/>
          <w:tblHeader/>
          <w:jc w:val="center"/>
        </w:trPr>
        <w:tc>
          <w:tcPr>
            <w:tcW w:w="0" w:type="auto"/>
            <w:vAlign w:val="center"/>
          </w:tcPr>
          <w:p w14:paraId="6A4EB009" w14:textId="77777777" w:rsidR="00D0396C" w:rsidRPr="00A12CE0" w:rsidRDefault="00D0396C">
            <w:pPr>
              <w:numPr>
                <w:ilvl w:val="12"/>
                <w:numId w:val="0"/>
              </w:numPr>
              <w:tabs>
                <w:tab w:val="left" w:pos="-2268"/>
              </w:tabs>
              <w:suppressAutoHyphens/>
              <w:jc w:val="center"/>
              <w:rPr>
                <w:b/>
                <w:spacing w:val="-3"/>
                <w:sz w:val="22"/>
                <w:szCs w:val="22"/>
              </w:rPr>
            </w:pPr>
            <w:r w:rsidRPr="00A12CE0">
              <w:rPr>
                <w:b/>
                <w:spacing w:val="-3"/>
                <w:sz w:val="22"/>
                <w:szCs w:val="22"/>
              </w:rPr>
              <w:t>Tipo</w:t>
            </w:r>
          </w:p>
        </w:tc>
        <w:tc>
          <w:tcPr>
            <w:tcW w:w="0" w:type="auto"/>
            <w:vAlign w:val="center"/>
          </w:tcPr>
          <w:p w14:paraId="67C42D26" w14:textId="77777777" w:rsidR="00D0396C" w:rsidRPr="00A12CE0" w:rsidRDefault="00D0396C">
            <w:pPr>
              <w:numPr>
                <w:ilvl w:val="12"/>
                <w:numId w:val="0"/>
              </w:numPr>
              <w:tabs>
                <w:tab w:val="left" w:pos="-2268"/>
              </w:tabs>
              <w:suppressAutoHyphens/>
              <w:jc w:val="center"/>
              <w:rPr>
                <w:b/>
                <w:spacing w:val="-3"/>
                <w:sz w:val="22"/>
                <w:szCs w:val="22"/>
              </w:rPr>
            </w:pPr>
            <w:r w:rsidRPr="00A12CE0">
              <w:rPr>
                <w:b/>
                <w:spacing w:val="-3"/>
                <w:sz w:val="22"/>
                <w:szCs w:val="22"/>
              </w:rPr>
              <w:t>Ecuación</w:t>
            </w:r>
          </w:p>
        </w:tc>
      </w:tr>
      <w:tr w:rsidR="00D0396C" w:rsidRPr="00755498" w14:paraId="4B48D7DF" w14:textId="77777777">
        <w:trPr>
          <w:trHeight w:val="429"/>
          <w:jc w:val="center"/>
        </w:trPr>
        <w:tc>
          <w:tcPr>
            <w:tcW w:w="0" w:type="auto"/>
            <w:vAlign w:val="center"/>
          </w:tcPr>
          <w:p w14:paraId="137F3736" w14:textId="77777777" w:rsidR="00D0396C" w:rsidRPr="00127BD4" w:rsidRDefault="00D0396C">
            <w:pPr>
              <w:numPr>
                <w:ilvl w:val="12"/>
                <w:numId w:val="0"/>
              </w:numPr>
              <w:tabs>
                <w:tab w:val="left" w:pos="-2268"/>
              </w:tabs>
              <w:suppressAutoHyphens/>
              <w:rPr>
                <w:spacing w:val="-3"/>
                <w:sz w:val="20"/>
                <w:szCs w:val="20"/>
              </w:rPr>
            </w:pPr>
            <w:r w:rsidRPr="00127BD4">
              <w:rPr>
                <w:spacing w:val="-3"/>
                <w:sz w:val="20"/>
                <w:szCs w:val="20"/>
              </w:rPr>
              <w:t>Ríos sinuosos o meándricos</w:t>
            </w:r>
          </w:p>
        </w:tc>
        <w:tc>
          <w:tcPr>
            <w:tcW w:w="0" w:type="auto"/>
            <w:vAlign w:val="center"/>
          </w:tcPr>
          <w:p w14:paraId="1275C665" w14:textId="77777777" w:rsidR="00D0396C" w:rsidRPr="006C00FC" w:rsidRDefault="00D0396C">
            <w:pPr>
              <w:numPr>
                <w:ilvl w:val="12"/>
                <w:numId w:val="0"/>
              </w:numPr>
              <w:tabs>
                <w:tab w:val="left" w:pos="-2268"/>
              </w:tabs>
              <w:suppressAutoHyphens/>
              <w:rPr>
                <w:spacing w:val="-3"/>
                <w:sz w:val="20"/>
                <w:szCs w:val="20"/>
                <w:lang w:val="fr-FR"/>
              </w:rPr>
            </w:pPr>
            <w:r w:rsidRPr="006C00FC">
              <w:rPr>
                <w:spacing w:val="-3"/>
                <w:sz w:val="20"/>
                <w:szCs w:val="20"/>
                <w:lang w:val="fr-FR"/>
              </w:rPr>
              <w:t>Saint-Venant 2D u onda difusiva</w:t>
            </w:r>
          </w:p>
        </w:tc>
      </w:tr>
      <w:tr w:rsidR="00D0396C" w:rsidRPr="00755498" w14:paraId="3EB20DC5" w14:textId="77777777">
        <w:trPr>
          <w:trHeight w:val="407"/>
          <w:jc w:val="center"/>
        </w:trPr>
        <w:tc>
          <w:tcPr>
            <w:tcW w:w="0" w:type="auto"/>
            <w:vAlign w:val="center"/>
          </w:tcPr>
          <w:p w14:paraId="448E7548" w14:textId="77777777" w:rsidR="00D0396C" w:rsidRPr="00127BD4" w:rsidRDefault="00D0396C">
            <w:pPr>
              <w:numPr>
                <w:ilvl w:val="12"/>
                <w:numId w:val="0"/>
              </w:numPr>
              <w:tabs>
                <w:tab w:val="left" w:pos="-2268"/>
              </w:tabs>
              <w:suppressAutoHyphens/>
              <w:rPr>
                <w:spacing w:val="-3"/>
                <w:sz w:val="20"/>
                <w:szCs w:val="20"/>
              </w:rPr>
            </w:pPr>
            <w:r w:rsidRPr="00127BD4">
              <w:rPr>
                <w:spacing w:val="-3"/>
                <w:sz w:val="20"/>
                <w:szCs w:val="20"/>
              </w:rPr>
              <w:t>Ríos rectilíneos</w:t>
            </w:r>
          </w:p>
        </w:tc>
        <w:tc>
          <w:tcPr>
            <w:tcW w:w="0" w:type="auto"/>
            <w:vAlign w:val="center"/>
          </w:tcPr>
          <w:p w14:paraId="28361AE2" w14:textId="77777777" w:rsidR="00D0396C" w:rsidRPr="006C00FC" w:rsidRDefault="00D0396C">
            <w:pPr>
              <w:numPr>
                <w:ilvl w:val="12"/>
                <w:numId w:val="0"/>
              </w:numPr>
              <w:tabs>
                <w:tab w:val="left" w:pos="-2268"/>
              </w:tabs>
              <w:suppressAutoHyphens/>
              <w:rPr>
                <w:spacing w:val="-3"/>
                <w:sz w:val="20"/>
                <w:szCs w:val="20"/>
                <w:lang w:val="fr-FR"/>
              </w:rPr>
            </w:pPr>
            <w:r w:rsidRPr="006C00FC">
              <w:rPr>
                <w:spacing w:val="-3"/>
                <w:sz w:val="20"/>
                <w:szCs w:val="20"/>
                <w:lang w:val="fr-FR"/>
              </w:rPr>
              <w:t>Saint-Venant 1D o FGV</w:t>
            </w:r>
          </w:p>
        </w:tc>
      </w:tr>
      <w:tr w:rsidR="00D0396C" w:rsidRPr="00755498" w14:paraId="45F98911" w14:textId="77777777">
        <w:trPr>
          <w:trHeight w:val="428"/>
          <w:jc w:val="center"/>
        </w:trPr>
        <w:tc>
          <w:tcPr>
            <w:tcW w:w="0" w:type="auto"/>
            <w:vAlign w:val="center"/>
          </w:tcPr>
          <w:p w14:paraId="4FC704D9" w14:textId="77777777" w:rsidR="00D0396C" w:rsidRPr="00127BD4" w:rsidRDefault="00D0396C">
            <w:pPr>
              <w:numPr>
                <w:ilvl w:val="12"/>
                <w:numId w:val="0"/>
              </w:numPr>
              <w:tabs>
                <w:tab w:val="left" w:pos="-2268"/>
              </w:tabs>
              <w:suppressAutoHyphens/>
              <w:rPr>
                <w:spacing w:val="-3"/>
                <w:sz w:val="20"/>
                <w:szCs w:val="20"/>
              </w:rPr>
            </w:pPr>
            <w:r w:rsidRPr="00127BD4">
              <w:rPr>
                <w:spacing w:val="-3"/>
                <w:sz w:val="20"/>
                <w:szCs w:val="20"/>
              </w:rPr>
              <w:t>Ciénagas</w:t>
            </w:r>
          </w:p>
        </w:tc>
        <w:tc>
          <w:tcPr>
            <w:tcW w:w="0" w:type="auto"/>
            <w:vAlign w:val="center"/>
          </w:tcPr>
          <w:p w14:paraId="2111E136" w14:textId="77777777" w:rsidR="00D0396C" w:rsidRPr="006C00FC" w:rsidRDefault="00D0396C">
            <w:pPr>
              <w:numPr>
                <w:ilvl w:val="12"/>
                <w:numId w:val="0"/>
              </w:numPr>
              <w:tabs>
                <w:tab w:val="left" w:pos="-2268"/>
              </w:tabs>
              <w:suppressAutoHyphens/>
              <w:rPr>
                <w:spacing w:val="-3"/>
                <w:sz w:val="20"/>
                <w:szCs w:val="20"/>
                <w:lang w:val="fr-FR"/>
              </w:rPr>
            </w:pPr>
            <w:r w:rsidRPr="006C00FC">
              <w:rPr>
                <w:spacing w:val="-3"/>
                <w:sz w:val="20"/>
                <w:szCs w:val="20"/>
                <w:lang w:val="fr-FR"/>
              </w:rPr>
              <w:t>Saint-Venant 2D u onda difusiva</w:t>
            </w:r>
          </w:p>
        </w:tc>
      </w:tr>
      <w:tr w:rsidR="00D0396C" w:rsidRPr="00755498" w14:paraId="1D07B6B5" w14:textId="77777777">
        <w:trPr>
          <w:trHeight w:val="406"/>
          <w:jc w:val="center"/>
        </w:trPr>
        <w:tc>
          <w:tcPr>
            <w:tcW w:w="0" w:type="auto"/>
            <w:vAlign w:val="center"/>
          </w:tcPr>
          <w:p w14:paraId="110C30B6" w14:textId="77777777" w:rsidR="00D0396C" w:rsidRPr="00127BD4" w:rsidRDefault="00D0396C">
            <w:pPr>
              <w:numPr>
                <w:ilvl w:val="12"/>
                <w:numId w:val="0"/>
              </w:numPr>
              <w:tabs>
                <w:tab w:val="left" w:pos="-2268"/>
              </w:tabs>
              <w:suppressAutoHyphens/>
              <w:rPr>
                <w:spacing w:val="-3"/>
                <w:sz w:val="20"/>
                <w:szCs w:val="20"/>
              </w:rPr>
            </w:pPr>
            <w:r w:rsidRPr="00127BD4">
              <w:rPr>
                <w:spacing w:val="-3"/>
                <w:sz w:val="20"/>
                <w:szCs w:val="20"/>
              </w:rPr>
              <w:t>Zonas estuarinas</w:t>
            </w:r>
          </w:p>
        </w:tc>
        <w:tc>
          <w:tcPr>
            <w:tcW w:w="0" w:type="auto"/>
            <w:vAlign w:val="center"/>
          </w:tcPr>
          <w:p w14:paraId="1BB5804C" w14:textId="77777777" w:rsidR="00D0396C" w:rsidRPr="006C00FC" w:rsidRDefault="00D0396C">
            <w:pPr>
              <w:numPr>
                <w:ilvl w:val="12"/>
                <w:numId w:val="0"/>
              </w:numPr>
              <w:tabs>
                <w:tab w:val="left" w:pos="-2268"/>
              </w:tabs>
              <w:suppressAutoHyphens/>
              <w:rPr>
                <w:spacing w:val="-3"/>
                <w:sz w:val="20"/>
                <w:szCs w:val="20"/>
                <w:lang w:val="fr-FR"/>
              </w:rPr>
            </w:pPr>
            <w:r w:rsidRPr="006C00FC">
              <w:rPr>
                <w:spacing w:val="-3"/>
                <w:sz w:val="20"/>
                <w:szCs w:val="20"/>
                <w:lang w:val="fr-FR"/>
              </w:rPr>
              <w:t>Saint-Venant 2D u onda difusiva</w:t>
            </w:r>
          </w:p>
        </w:tc>
      </w:tr>
      <w:tr w:rsidR="00D0396C" w:rsidRPr="00755498" w14:paraId="544A9499" w14:textId="77777777">
        <w:trPr>
          <w:trHeight w:val="425"/>
          <w:jc w:val="center"/>
        </w:trPr>
        <w:tc>
          <w:tcPr>
            <w:tcW w:w="0" w:type="auto"/>
            <w:vAlign w:val="center"/>
          </w:tcPr>
          <w:p w14:paraId="4BF90217" w14:textId="77777777" w:rsidR="00D0396C" w:rsidRPr="00127BD4" w:rsidRDefault="00D0396C">
            <w:pPr>
              <w:numPr>
                <w:ilvl w:val="12"/>
                <w:numId w:val="0"/>
              </w:numPr>
              <w:tabs>
                <w:tab w:val="left" w:pos="-2268"/>
              </w:tabs>
              <w:suppressAutoHyphens/>
              <w:rPr>
                <w:spacing w:val="-3"/>
                <w:sz w:val="20"/>
                <w:szCs w:val="20"/>
              </w:rPr>
            </w:pPr>
            <w:r w:rsidRPr="00127BD4">
              <w:rPr>
                <w:spacing w:val="-3"/>
                <w:sz w:val="20"/>
                <w:szCs w:val="20"/>
              </w:rPr>
              <w:t>Canales rectilíneos</w:t>
            </w:r>
          </w:p>
        </w:tc>
        <w:tc>
          <w:tcPr>
            <w:tcW w:w="0" w:type="auto"/>
            <w:vAlign w:val="center"/>
          </w:tcPr>
          <w:p w14:paraId="2AD1F902" w14:textId="77777777" w:rsidR="00D0396C" w:rsidRPr="006C00FC" w:rsidRDefault="00D0396C">
            <w:pPr>
              <w:numPr>
                <w:ilvl w:val="12"/>
                <w:numId w:val="0"/>
              </w:numPr>
              <w:tabs>
                <w:tab w:val="left" w:pos="-2268"/>
              </w:tabs>
              <w:suppressAutoHyphens/>
              <w:rPr>
                <w:spacing w:val="-3"/>
                <w:sz w:val="20"/>
                <w:szCs w:val="20"/>
                <w:lang w:val="fr-FR"/>
              </w:rPr>
            </w:pPr>
            <w:r w:rsidRPr="006C00FC">
              <w:rPr>
                <w:spacing w:val="-3"/>
                <w:sz w:val="20"/>
                <w:szCs w:val="20"/>
                <w:lang w:val="fr-FR"/>
              </w:rPr>
              <w:t>Saint-Venant 1D o FGV</w:t>
            </w:r>
          </w:p>
        </w:tc>
      </w:tr>
      <w:tr w:rsidR="00D0396C" w:rsidRPr="004068F6" w14:paraId="16F56A94" w14:textId="77777777">
        <w:trPr>
          <w:trHeight w:val="403"/>
          <w:jc w:val="center"/>
        </w:trPr>
        <w:tc>
          <w:tcPr>
            <w:tcW w:w="0" w:type="auto"/>
            <w:vAlign w:val="center"/>
          </w:tcPr>
          <w:p w14:paraId="4C338760" w14:textId="77777777" w:rsidR="00D0396C" w:rsidRPr="00127BD4" w:rsidRDefault="00D0396C">
            <w:pPr>
              <w:numPr>
                <w:ilvl w:val="12"/>
                <w:numId w:val="0"/>
              </w:numPr>
              <w:tabs>
                <w:tab w:val="left" w:pos="-2268"/>
              </w:tabs>
              <w:suppressAutoHyphens/>
              <w:rPr>
                <w:spacing w:val="-3"/>
                <w:sz w:val="20"/>
                <w:szCs w:val="20"/>
              </w:rPr>
            </w:pPr>
            <w:r w:rsidRPr="00127BD4">
              <w:rPr>
                <w:spacing w:val="-3"/>
                <w:sz w:val="20"/>
                <w:szCs w:val="20"/>
              </w:rPr>
              <w:t>Modelos hidrológicos distribuidos</w:t>
            </w:r>
          </w:p>
        </w:tc>
        <w:tc>
          <w:tcPr>
            <w:tcW w:w="0" w:type="auto"/>
            <w:vAlign w:val="center"/>
          </w:tcPr>
          <w:p w14:paraId="6FDD46E3" w14:textId="77777777" w:rsidR="00D0396C" w:rsidRPr="00127BD4" w:rsidRDefault="00D0396C">
            <w:pPr>
              <w:numPr>
                <w:ilvl w:val="12"/>
                <w:numId w:val="0"/>
              </w:numPr>
              <w:tabs>
                <w:tab w:val="left" w:pos="-2268"/>
              </w:tabs>
              <w:suppressAutoHyphens/>
              <w:rPr>
                <w:spacing w:val="-3"/>
                <w:sz w:val="20"/>
                <w:szCs w:val="20"/>
              </w:rPr>
            </w:pPr>
            <w:r w:rsidRPr="00127BD4">
              <w:rPr>
                <w:spacing w:val="-3"/>
                <w:sz w:val="20"/>
                <w:szCs w:val="20"/>
              </w:rPr>
              <w:t>Onda difusiva</w:t>
            </w:r>
          </w:p>
        </w:tc>
      </w:tr>
    </w:tbl>
    <w:p w14:paraId="600669D5" w14:textId="77777777" w:rsidR="00D0396C" w:rsidRPr="004068F6" w:rsidRDefault="00D0396C" w:rsidP="00D0396C">
      <w:pPr>
        <w:tabs>
          <w:tab w:val="left" w:pos="-2268"/>
        </w:tabs>
        <w:suppressAutoHyphens/>
        <w:ind w:left="1701" w:right="1752"/>
        <w:jc w:val="center"/>
        <w:rPr>
          <w:rFonts w:cs="Arial"/>
          <w:spacing w:val="-3"/>
          <w:sz w:val="20"/>
        </w:rPr>
      </w:pPr>
      <w:r w:rsidRPr="004068F6">
        <w:rPr>
          <w:rFonts w:cs="Arial"/>
          <w:b/>
          <w:spacing w:val="-3"/>
          <w:sz w:val="20"/>
        </w:rPr>
        <w:t>Fuente:</w:t>
      </w:r>
      <w:r w:rsidRPr="004068F6">
        <w:rPr>
          <w:rFonts w:cs="Arial"/>
          <w:spacing w:val="-3"/>
          <w:sz w:val="20"/>
        </w:rPr>
        <w:t xml:space="preserve"> ANLA -2020.</w:t>
      </w:r>
    </w:p>
    <w:p w14:paraId="70E3955C" w14:textId="77777777" w:rsidR="00D0396C" w:rsidRPr="004068F6" w:rsidRDefault="00D0396C" w:rsidP="009420F5">
      <w:pPr>
        <w:tabs>
          <w:tab w:val="left" w:pos="-2268"/>
        </w:tabs>
        <w:suppressAutoHyphens/>
        <w:rPr>
          <w:spacing w:val="-3"/>
        </w:rPr>
      </w:pPr>
    </w:p>
    <w:p w14:paraId="0C0DA4BC" w14:textId="1766653D" w:rsidR="004A1B3C" w:rsidRPr="004068F6" w:rsidRDefault="004A1B3C" w:rsidP="0068149C">
      <w:pPr>
        <w:pStyle w:val="Ttulo2"/>
        <w:rPr>
          <w:lang w:val="es-CO"/>
        </w:rPr>
      </w:pPr>
      <w:bookmarkStart w:id="3132" w:name="_Toc393967346"/>
      <w:bookmarkStart w:id="3133" w:name="_Toc405366863"/>
      <w:bookmarkStart w:id="3134" w:name="_Toc405372411"/>
      <w:bookmarkStart w:id="3135" w:name="_Toc412803208"/>
      <w:bookmarkStart w:id="3136" w:name="_Toc437936046"/>
      <w:bookmarkStart w:id="3137" w:name="_Toc42874876"/>
      <w:bookmarkStart w:id="3138" w:name="_Toc230879677"/>
      <w:r w:rsidRPr="004068F6">
        <w:rPr>
          <w:lang w:val="es-CO"/>
        </w:rPr>
        <w:t>APROVECHAMIENTO FORESTAL</w:t>
      </w:r>
      <w:bookmarkEnd w:id="3132"/>
      <w:bookmarkEnd w:id="3133"/>
      <w:bookmarkEnd w:id="3134"/>
      <w:bookmarkEnd w:id="3135"/>
      <w:bookmarkEnd w:id="3136"/>
      <w:bookmarkEnd w:id="3137"/>
      <w:bookmarkEnd w:id="3138"/>
    </w:p>
    <w:p w14:paraId="027579D9" w14:textId="77777777" w:rsidR="004A1B3C" w:rsidRPr="004068F6" w:rsidRDefault="004A1B3C">
      <w:pPr>
        <w:numPr>
          <w:ilvl w:val="12"/>
          <w:numId w:val="0"/>
        </w:numPr>
        <w:tabs>
          <w:tab w:val="left" w:pos="-2268"/>
        </w:tabs>
        <w:suppressAutoHyphens/>
        <w:rPr>
          <w:spacing w:val="-3"/>
        </w:rPr>
      </w:pPr>
    </w:p>
    <w:p w14:paraId="6FD01A20" w14:textId="1830FE65" w:rsidR="004A1B3C" w:rsidRPr="004068F6" w:rsidRDefault="004A1B3C" w:rsidP="00C86DA5">
      <w:pPr>
        <w:rPr>
          <w:spacing w:val="-3"/>
        </w:rPr>
      </w:pPr>
      <w:r w:rsidRPr="004068F6">
        <w:rPr>
          <w:rFonts w:cs="Arial"/>
          <w:spacing w:val="-3"/>
        </w:rPr>
        <w:t xml:space="preserve">Para la solicitud y tramite del </w:t>
      </w:r>
      <w:r w:rsidRPr="004068F6">
        <w:rPr>
          <w:spacing w:val="-3"/>
        </w:rPr>
        <w:t xml:space="preserve">permiso </w:t>
      </w:r>
      <w:r w:rsidRPr="004068F6">
        <w:rPr>
          <w:rFonts w:cs="Arial"/>
          <w:spacing w:val="-3"/>
        </w:rPr>
        <w:t>de</w:t>
      </w:r>
      <w:r w:rsidRPr="004068F6">
        <w:rPr>
          <w:spacing w:val="-3"/>
        </w:rPr>
        <w:t xml:space="preserve"> aprovechamiento forestal</w:t>
      </w:r>
      <w:r w:rsidRPr="004068F6">
        <w:rPr>
          <w:rStyle w:val="Refdenotaalpie"/>
          <w:rFonts w:cs="Arial"/>
          <w:spacing w:val="-3"/>
          <w:lang w:val="es-CO"/>
        </w:rPr>
        <w:footnoteReference w:id="200"/>
      </w:r>
      <w:r w:rsidRPr="004068F6">
        <w:rPr>
          <w:spacing w:val="-3"/>
        </w:rPr>
        <w:t xml:space="preserve">, se debe </w:t>
      </w:r>
      <w:r w:rsidRPr="004068F6">
        <w:rPr>
          <w:rFonts w:cs="Arial"/>
          <w:spacing w:val="-3"/>
        </w:rPr>
        <w:t xml:space="preserve">consultar el Decreto 1076 de 2015, Parte 2 Reglamentaciones, Título 2 Biodiversidad, Capítulo 1 Flora </w:t>
      </w:r>
      <w:r w:rsidR="004E1960" w:rsidRPr="004068F6">
        <w:rPr>
          <w:rFonts w:cs="Arial"/>
          <w:spacing w:val="-3"/>
        </w:rPr>
        <w:t>s</w:t>
      </w:r>
      <w:r w:rsidRPr="004068F6">
        <w:rPr>
          <w:rFonts w:cs="Arial"/>
          <w:spacing w:val="-3"/>
        </w:rPr>
        <w:t>ilvestre</w:t>
      </w:r>
      <w:r w:rsidR="004E1960" w:rsidRPr="004068F6">
        <w:rPr>
          <w:rFonts w:cs="Arial"/>
          <w:spacing w:val="-3"/>
        </w:rPr>
        <w:t>;</w:t>
      </w:r>
      <w:r w:rsidRPr="004068F6">
        <w:rPr>
          <w:rFonts w:cs="Arial"/>
          <w:spacing w:val="-3"/>
        </w:rPr>
        <w:t xml:space="preserve"> </w:t>
      </w:r>
      <w:r w:rsidR="00F23EFB" w:rsidRPr="004068F6">
        <w:rPr>
          <w:rFonts w:cs="Arial"/>
          <w:spacing w:val="-3"/>
        </w:rPr>
        <w:t>as</w:t>
      </w:r>
      <w:r w:rsidR="004E1960" w:rsidRPr="004068F6">
        <w:rPr>
          <w:rFonts w:cs="Arial"/>
          <w:spacing w:val="-3"/>
        </w:rPr>
        <w:t>i</w:t>
      </w:r>
      <w:r w:rsidR="00F23EFB" w:rsidRPr="004068F6">
        <w:rPr>
          <w:rFonts w:cs="Arial"/>
          <w:spacing w:val="-3"/>
        </w:rPr>
        <w:t>mismo, en caso de requerir la intervención y aprovechamiento en plantaciones forestales</w:t>
      </w:r>
      <w:r w:rsidR="004E1960" w:rsidRPr="004068F6">
        <w:rPr>
          <w:rFonts w:cs="Arial"/>
          <w:spacing w:val="-3"/>
        </w:rPr>
        <w:t>,</w:t>
      </w:r>
      <w:r w:rsidR="00F23EFB" w:rsidRPr="004068F6">
        <w:rPr>
          <w:rFonts w:cs="Arial"/>
          <w:spacing w:val="-3"/>
        </w:rPr>
        <w:t xml:space="preserve"> se debe considerar lo establecido </w:t>
      </w:r>
      <w:r w:rsidR="004E1960" w:rsidRPr="004068F6">
        <w:rPr>
          <w:rFonts w:cs="Arial"/>
          <w:spacing w:val="-3"/>
        </w:rPr>
        <w:t xml:space="preserve">en </w:t>
      </w:r>
      <w:r w:rsidR="00F23EFB" w:rsidRPr="004068F6">
        <w:rPr>
          <w:rFonts w:cs="Arial"/>
          <w:spacing w:val="-3"/>
        </w:rPr>
        <w:t>el Decreto 1532 de 2019</w:t>
      </w:r>
      <w:r w:rsidR="00AF5CFC" w:rsidRPr="004068F6">
        <w:rPr>
          <w:rFonts w:cs="Arial"/>
          <w:spacing w:val="-3"/>
        </w:rPr>
        <w:t xml:space="preserve"> o aquella norma que modifique o sustituya</w:t>
      </w:r>
      <w:r w:rsidR="004E1960" w:rsidRPr="004068F6">
        <w:rPr>
          <w:rFonts w:cs="Arial"/>
          <w:spacing w:val="-3"/>
        </w:rPr>
        <w:t>.</w:t>
      </w:r>
      <w:r w:rsidR="00F23EFB" w:rsidRPr="004068F6">
        <w:rPr>
          <w:rFonts w:cs="Arial"/>
          <w:spacing w:val="-3"/>
        </w:rPr>
        <w:t xml:space="preserve"> </w:t>
      </w:r>
      <w:r w:rsidR="004E1960" w:rsidRPr="004068F6">
        <w:rPr>
          <w:rFonts w:cs="Arial"/>
          <w:spacing w:val="-3"/>
        </w:rPr>
        <w:t>En ambos casos</w:t>
      </w:r>
      <w:r w:rsidR="004E1960" w:rsidRPr="004068F6">
        <w:rPr>
          <w:rStyle w:val="Refdecomentario"/>
        </w:rPr>
        <w:t xml:space="preserve"> </w:t>
      </w:r>
      <w:r w:rsidRPr="004068F6">
        <w:rPr>
          <w:rFonts w:cs="Arial"/>
          <w:spacing w:val="-3"/>
        </w:rPr>
        <w:t xml:space="preserve">se </w:t>
      </w:r>
      <w:r w:rsidR="004E1960" w:rsidRPr="004068F6">
        <w:rPr>
          <w:rFonts w:cs="Arial"/>
          <w:spacing w:val="-3"/>
        </w:rPr>
        <w:t xml:space="preserve">deben </w:t>
      </w:r>
      <w:r w:rsidRPr="004068F6">
        <w:rPr>
          <w:rFonts w:cs="Arial"/>
          <w:spacing w:val="-3"/>
        </w:rPr>
        <w:t>contempl</w:t>
      </w:r>
      <w:r w:rsidR="004E1960" w:rsidRPr="004068F6">
        <w:rPr>
          <w:rFonts w:cs="Arial"/>
          <w:spacing w:val="-3"/>
        </w:rPr>
        <w:t>ar</w:t>
      </w:r>
      <w:r w:rsidRPr="004068F6">
        <w:rPr>
          <w:rFonts w:cs="Arial"/>
          <w:spacing w:val="-3"/>
        </w:rPr>
        <w:t xml:space="preserve"> </w:t>
      </w:r>
      <w:r w:rsidR="004E1960" w:rsidRPr="004068F6">
        <w:rPr>
          <w:rFonts w:cs="Arial"/>
          <w:spacing w:val="-3"/>
        </w:rPr>
        <w:t xml:space="preserve">e </w:t>
      </w:r>
      <w:r w:rsidRPr="004068F6">
        <w:rPr>
          <w:rFonts w:cs="Arial"/>
          <w:spacing w:val="-3"/>
        </w:rPr>
        <w:t>inclu</w:t>
      </w:r>
      <w:r w:rsidR="004E1960" w:rsidRPr="004068F6">
        <w:rPr>
          <w:rFonts w:cs="Arial"/>
          <w:spacing w:val="-3"/>
        </w:rPr>
        <w:t>ir</w:t>
      </w:r>
      <w:r w:rsidRPr="004068F6">
        <w:rPr>
          <w:rFonts w:cs="Arial"/>
          <w:spacing w:val="-3"/>
        </w:rPr>
        <w:t xml:space="preserve"> los requerimientos establecidos por la norma </w:t>
      </w:r>
      <w:r w:rsidR="004E1960" w:rsidRPr="004068F6">
        <w:rPr>
          <w:rFonts w:cs="Arial"/>
          <w:spacing w:val="-3"/>
        </w:rPr>
        <w:t xml:space="preserve">que corresponda </w:t>
      </w:r>
      <w:r w:rsidRPr="004068F6">
        <w:rPr>
          <w:rFonts w:cs="Arial"/>
          <w:spacing w:val="-3"/>
        </w:rPr>
        <w:t xml:space="preserve">o aquella que la modifique o sustituya. En este sentido, </w:t>
      </w:r>
      <w:r w:rsidR="004E1960" w:rsidRPr="004068F6">
        <w:rPr>
          <w:rFonts w:cs="Arial"/>
          <w:spacing w:val="-3"/>
        </w:rPr>
        <w:t xml:space="preserve">para </w:t>
      </w:r>
      <w:r w:rsidRPr="004068F6">
        <w:rPr>
          <w:rFonts w:cs="Arial"/>
          <w:spacing w:val="-3"/>
        </w:rPr>
        <w:t xml:space="preserve">la solicitud del permiso de aprovechamiento forestal </w:t>
      </w:r>
      <w:r w:rsidR="009661A1" w:rsidRPr="004068F6">
        <w:rPr>
          <w:rFonts w:cs="Arial"/>
          <w:spacing w:val="-3"/>
        </w:rPr>
        <w:t>es necesario atender los siguientes lineamientos</w:t>
      </w:r>
      <w:r w:rsidR="004E1960" w:rsidRPr="004068F6">
        <w:rPr>
          <w:spacing w:val="-3"/>
        </w:rPr>
        <w:t>.</w:t>
      </w:r>
    </w:p>
    <w:p w14:paraId="1D87227C" w14:textId="77777777" w:rsidR="004A1B3C" w:rsidRPr="004068F6" w:rsidRDefault="004A1B3C" w:rsidP="00C86DA5">
      <w:pPr>
        <w:rPr>
          <w:spacing w:val="-3"/>
        </w:rPr>
      </w:pPr>
    </w:p>
    <w:p w14:paraId="6442A5F8" w14:textId="5E1E5C4D" w:rsidR="004A1B3C" w:rsidRPr="004068F6" w:rsidRDefault="004E1960" w:rsidP="004A1B3C">
      <w:pPr>
        <w:rPr>
          <w:rFonts w:cs="Arial"/>
          <w:spacing w:val="-3"/>
        </w:rPr>
      </w:pPr>
      <w:r w:rsidRPr="004068F6">
        <w:rPr>
          <w:spacing w:val="-3"/>
        </w:rPr>
        <w:t>De acuerdo c</w:t>
      </w:r>
      <w:r w:rsidR="00F23EFB" w:rsidRPr="004068F6">
        <w:rPr>
          <w:spacing w:val="-3"/>
        </w:rPr>
        <w:t xml:space="preserve">on </w:t>
      </w:r>
      <w:r w:rsidRPr="004068F6">
        <w:rPr>
          <w:spacing w:val="-3"/>
        </w:rPr>
        <w:t xml:space="preserve">las </w:t>
      </w:r>
      <w:r w:rsidR="00F23EFB" w:rsidRPr="004068F6">
        <w:rPr>
          <w:rFonts w:cs="Arial"/>
          <w:spacing w:val="-3"/>
        </w:rPr>
        <w:t>características del proyecto</w:t>
      </w:r>
      <w:r w:rsidR="00F23EFB" w:rsidRPr="004068F6">
        <w:rPr>
          <w:spacing w:val="-3"/>
        </w:rPr>
        <w:t xml:space="preserve">, obra o actividad, </w:t>
      </w:r>
      <w:r w:rsidRPr="004068F6">
        <w:rPr>
          <w:spacing w:val="-3"/>
        </w:rPr>
        <w:t xml:space="preserve">se debe </w:t>
      </w:r>
      <w:r w:rsidR="00F23EFB" w:rsidRPr="004068F6">
        <w:rPr>
          <w:rFonts w:cs="Arial"/>
          <w:spacing w:val="-3"/>
        </w:rPr>
        <w:t xml:space="preserve">realizar </w:t>
      </w:r>
      <w:r w:rsidRPr="004068F6">
        <w:rPr>
          <w:rFonts w:cs="Arial"/>
          <w:spacing w:val="-3"/>
        </w:rPr>
        <w:t>un</w:t>
      </w:r>
      <w:r w:rsidR="004A1B3C" w:rsidRPr="004068F6">
        <w:rPr>
          <w:rFonts w:cs="Arial"/>
          <w:spacing w:val="-3"/>
        </w:rPr>
        <w:t xml:space="preserve"> muestreo o </w:t>
      </w:r>
      <w:r w:rsidRPr="004068F6">
        <w:rPr>
          <w:rFonts w:cs="Arial"/>
          <w:spacing w:val="-3"/>
        </w:rPr>
        <w:t xml:space="preserve">un </w:t>
      </w:r>
      <w:r w:rsidR="004A1B3C" w:rsidRPr="004068F6">
        <w:rPr>
          <w:rFonts w:cs="Arial"/>
          <w:spacing w:val="-3"/>
        </w:rPr>
        <w:t>censo</w:t>
      </w:r>
      <w:r w:rsidR="00F23EFB" w:rsidRPr="004068F6">
        <w:rPr>
          <w:rFonts w:cs="Arial"/>
          <w:spacing w:val="-3"/>
        </w:rPr>
        <w:t xml:space="preserve"> forestal</w:t>
      </w:r>
      <w:r w:rsidR="004A1B3C" w:rsidRPr="004068F6">
        <w:rPr>
          <w:rFonts w:cs="Arial"/>
          <w:vertAlign w:val="superscript"/>
        </w:rPr>
        <w:footnoteReference w:id="201"/>
      </w:r>
      <w:r w:rsidR="004A1B3C" w:rsidRPr="004068F6">
        <w:rPr>
          <w:spacing w:val="-3"/>
        </w:rPr>
        <w:t xml:space="preserve"> en </w:t>
      </w:r>
      <w:r w:rsidR="00B47C6E" w:rsidRPr="004068F6">
        <w:rPr>
          <w:spacing w:val="-3"/>
        </w:rPr>
        <w:t xml:space="preserve">las unidades de cobertura de la tierra en las </w:t>
      </w:r>
      <w:r w:rsidR="009661A1" w:rsidRPr="004068F6">
        <w:rPr>
          <w:spacing w:val="-3"/>
        </w:rPr>
        <w:t xml:space="preserve">que </w:t>
      </w:r>
      <w:r w:rsidR="004A1B3C" w:rsidRPr="004068F6">
        <w:rPr>
          <w:spacing w:val="-3"/>
        </w:rPr>
        <w:t>se prevé realizar el aprovechamiento forestal (</w:t>
      </w:r>
      <w:r w:rsidR="00C73C64" w:rsidRPr="004068F6">
        <w:rPr>
          <w:spacing w:val="-3"/>
        </w:rPr>
        <w:t xml:space="preserve">dadas </w:t>
      </w:r>
      <w:r w:rsidR="004A1B3C" w:rsidRPr="004068F6">
        <w:rPr>
          <w:spacing w:val="-3"/>
        </w:rPr>
        <w:t>las actividades y obras del proyecto)</w:t>
      </w:r>
      <w:r w:rsidR="009661A1" w:rsidRPr="004068F6">
        <w:rPr>
          <w:spacing w:val="-3"/>
        </w:rPr>
        <w:t xml:space="preserve">; el periodo de tiempo </w:t>
      </w:r>
      <w:r w:rsidR="004A1B3C" w:rsidRPr="004068F6">
        <w:rPr>
          <w:rFonts w:cs="Arial"/>
          <w:spacing w:val="-3"/>
        </w:rPr>
        <w:t xml:space="preserve">entre la toma de datos y la solicitud del permiso no </w:t>
      </w:r>
      <w:r w:rsidR="009661A1" w:rsidRPr="004068F6">
        <w:rPr>
          <w:rFonts w:cs="Arial"/>
          <w:spacing w:val="-3"/>
        </w:rPr>
        <w:t xml:space="preserve">debe </w:t>
      </w:r>
      <w:r w:rsidR="004A1B3C" w:rsidRPr="004068F6">
        <w:rPr>
          <w:rFonts w:cs="Arial"/>
          <w:spacing w:val="-3"/>
        </w:rPr>
        <w:t>exced</w:t>
      </w:r>
      <w:r w:rsidR="009661A1" w:rsidRPr="004068F6">
        <w:rPr>
          <w:rFonts w:cs="Arial"/>
          <w:spacing w:val="-3"/>
        </w:rPr>
        <w:t>er</w:t>
      </w:r>
      <w:r w:rsidR="004A1B3C" w:rsidRPr="004068F6">
        <w:rPr>
          <w:rFonts w:cs="Arial"/>
          <w:spacing w:val="-3"/>
        </w:rPr>
        <w:t xml:space="preserve"> los 3 años.</w:t>
      </w:r>
    </w:p>
    <w:p w14:paraId="559E35F1" w14:textId="77777777" w:rsidR="00B47C6E" w:rsidRPr="004068F6" w:rsidRDefault="00B47C6E" w:rsidP="00B47C6E">
      <w:pPr>
        <w:numPr>
          <w:ilvl w:val="12"/>
          <w:numId w:val="0"/>
        </w:numPr>
        <w:tabs>
          <w:tab w:val="left" w:pos="-2268"/>
        </w:tabs>
        <w:suppressAutoHyphens/>
        <w:rPr>
          <w:spacing w:val="-3"/>
        </w:rPr>
      </w:pPr>
    </w:p>
    <w:p w14:paraId="3E2028C0" w14:textId="76FF9EFF" w:rsidR="00C71A3E" w:rsidRPr="004068F6" w:rsidRDefault="00B47C6E" w:rsidP="00CF0F6C">
      <w:pPr>
        <w:numPr>
          <w:ilvl w:val="12"/>
          <w:numId w:val="0"/>
        </w:numPr>
        <w:tabs>
          <w:tab w:val="left" w:pos="-2268"/>
        </w:tabs>
        <w:suppressAutoHyphens/>
        <w:rPr>
          <w:spacing w:val="-3"/>
        </w:rPr>
      </w:pPr>
      <w:bookmarkStart w:id="3139" w:name="_Hlk208318100"/>
      <w:r w:rsidRPr="004068F6">
        <w:rPr>
          <w:spacing w:val="-3"/>
        </w:rPr>
        <w:t xml:space="preserve">En el caso de muestreo forestal estadístico, para individuos con Diámetro a la Altura del Pecho (DAP) mayor o igual a 10 cm, se debe realizar un muestreo con una probabilidad del 95% y un error de muestreo no superior al 15%. Se debe presentar un cuadro resumen por </w:t>
      </w:r>
      <w:r w:rsidR="00D90F9F" w:rsidRPr="004068F6">
        <w:rPr>
          <w:spacing w:val="-3"/>
        </w:rPr>
        <w:t>cobertura</w:t>
      </w:r>
      <w:r w:rsidRPr="004068F6">
        <w:rPr>
          <w:spacing w:val="-3"/>
        </w:rPr>
        <w:t>, que señale los parámetros estadísticos con los cuales se calculó el tamaño de la muestra.</w:t>
      </w:r>
      <w:r w:rsidR="00CF0F6C" w:rsidRPr="004068F6">
        <w:rPr>
          <w:spacing w:val="-3"/>
        </w:rPr>
        <w:t xml:space="preserve"> </w:t>
      </w:r>
    </w:p>
    <w:bookmarkEnd w:id="3139"/>
    <w:p w14:paraId="44C5D861" w14:textId="77777777" w:rsidR="00B47C6E" w:rsidRPr="004068F6" w:rsidRDefault="00B47C6E" w:rsidP="00C86DA5">
      <w:pPr>
        <w:numPr>
          <w:ilvl w:val="12"/>
          <w:numId w:val="0"/>
        </w:numPr>
        <w:tabs>
          <w:tab w:val="left" w:pos="-2268"/>
        </w:tabs>
        <w:suppressAutoHyphens/>
        <w:rPr>
          <w:spacing w:val="-3"/>
        </w:rPr>
      </w:pPr>
    </w:p>
    <w:p w14:paraId="70C41D0D" w14:textId="329F538E" w:rsidR="004A1B3C" w:rsidRPr="004068F6" w:rsidRDefault="009D3113" w:rsidP="00C86DA5">
      <w:pPr>
        <w:rPr>
          <w:spacing w:val="-3"/>
        </w:rPr>
      </w:pPr>
      <w:r w:rsidRPr="004068F6">
        <w:rPr>
          <w:spacing w:val="-3"/>
        </w:rPr>
        <w:t xml:space="preserve">Se deben indicar las técnicas empleadas en cualquiera de los casos (muestreo o censo), teniendo en cuenta que, para los muestreos en cada </w:t>
      </w:r>
      <w:r w:rsidR="005E2BA7" w:rsidRPr="004068F6">
        <w:rPr>
          <w:spacing w:val="-3"/>
        </w:rPr>
        <w:t xml:space="preserve">unidad de cobertura de la tierra </w:t>
      </w:r>
      <w:r w:rsidRPr="004068F6">
        <w:rPr>
          <w:spacing w:val="-3"/>
        </w:rPr>
        <w:t xml:space="preserve">de manera independiente, el error de muestreo no puede ser superior al 15% y la probabilidad debe ser del 95% utilizando como variables el volumen total o el área basal de las unidades de </w:t>
      </w:r>
      <w:r w:rsidR="005E2BA7" w:rsidRPr="004068F6">
        <w:rPr>
          <w:spacing w:val="-3"/>
        </w:rPr>
        <w:t xml:space="preserve">cobertura de la tierra </w:t>
      </w:r>
      <w:r w:rsidRPr="004068F6">
        <w:rPr>
          <w:spacing w:val="-3"/>
        </w:rPr>
        <w:t xml:space="preserve">en las que se prevé el aprovechamiento; se deben presentar los análisis estadísticos detallados incluyendo los soportes correspondientes a los inventarios forestales. Asimismo, se debe presentar un cuadro resumen por tipo de </w:t>
      </w:r>
      <w:r w:rsidR="005E2BA7" w:rsidRPr="004068F6">
        <w:rPr>
          <w:spacing w:val="-3"/>
        </w:rPr>
        <w:t xml:space="preserve">cobertura de la tierra </w:t>
      </w:r>
      <w:r w:rsidRPr="004068F6">
        <w:rPr>
          <w:spacing w:val="-3"/>
        </w:rPr>
        <w:t>de los principales parámetros estadísticos conducentes al cálculo del error de muestreo.</w:t>
      </w:r>
    </w:p>
    <w:p w14:paraId="2E9B819F" w14:textId="77777777" w:rsidR="004A1B3C" w:rsidRPr="004068F6" w:rsidRDefault="004A1B3C" w:rsidP="00C86DA5">
      <w:pPr>
        <w:rPr>
          <w:spacing w:val="-3"/>
        </w:rPr>
      </w:pPr>
    </w:p>
    <w:p w14:paraId="1EC87B05" w14:textId="184E2F6F" w:rsidR="004A1B3C" w:rsidRPr="004068F6" w:rsidRDefault="004A1B3C" w:rsidP="004A1B3C">
      <w:pPr>
        <w:rPr>
          <w:rFonts w:cs="Arial"/>
          <w:spacing w:val="-3"/>
        </w:rPr>
      </w:pPr>
      <w:bookmarkStart w:id="3140" w:name="_Hlk42766209"/>
      <w:r w:rsidRPr="004068F6">
        <w:rPr>
          <w:rFonts w:cs="Arial"/>
          <w:spacing w:val="-3"/>
        </w:rPr>
        <w:t>En caso de requ</w:t>
      </w:r>
      <w:r w:rsidR="007D7A77" w:rsidRPr="004068F6">
        <w:rPr>
          <w:rFonts w:cs="Arial"/>
          <w:spacing w:val="-3"/>
        </w:rPr>
        <w:t>erir</w:t>
      </w:r>
      <w:r w:rsidRPr="004068F6">
        <w:rPr>
          <w:rFonts w:cs="Arial"/>
          <w:spacing w:val="-3"/>
        </w:rPr>
        <w:t xml:space="preserve"> el aprovechamiento de especies en veda nacional o regional, se debe presentar la información específica de </w:t>
      </w:r>
      <w:r w:rsidR="00FB4B5C" w:rsidRPr="004068F6">
        <w:rPr>
          <w:rFonts w:cs="Arial"/>
          <w:spacing w:val="-3"/>
        </w:rPr>
        <w:t xml:space="preserve">tales </w:t>
      </w:r>
      <w:r w:rsidRPr="004068F6">
        <w:rPr>
          <w:rFonts w:cs="Arial"/>
          <w:spacing w:val="-3"/>
        </w:rPr>
        <w:t>individuos de acuerdo con l</w:t>
      </w:r>
      <w:r w:rsidR="005678D8" w:rsidRPr="004068F6">
        <w:rPr>
          <w:rFonts w:cs="Arial"/>
          <w:spacing w:val="-3"/>
        </w:rPr>
        <w:t>o</w:t>
      </w:r>
      <w:r w:rsidRPr="004068F6">
        <w:rPr>
          <w:rFonts w:cs="Arial"/>
          <w:spacing w:val="-3"/>
        </w:rPr>
        <w:t xml:space="preserve"> </w:t>
      </w:r>
      <w:r w:rsidR="001352A3" w:rsidRPr="004068F6">
        <w:rPr>
          <w:rFonts w:cs="Arial"/>
          <w:spacing w:val="-3"/>
        </w:rPr>
        <w:t>identificado</w:t>
      </w:r>
      <w:r w:rsidR="005678D8" w:rsidRPr="004068F6">
        <w:rPr>
          <w:rFonts w:cs="Arial"/>
          <w:spacing w:val="-3"/>
        </w:rPr>
        <w:t xml:space="preserve"> en </w:t>
      </w:r>
      <w:r w:rsidR="001352A3" w:rsidRPr="004068F6">
        <w:rPr>
          <w:rFonts w:cs="Arial"/>
          <w:spacing w:val="-3"/>
        </w:rPr>
        <w:t xml:space="preserve">la </w:t>
      </w:r>
      <w:r w:rsidRPr="004068F6">
        <w:rPr>
          <w:rFonts w:cs="Arial"/>
          <w:spacing w:val="-3"/>
        </w:rPr>
        <w:t>caracterización</w:t>
      </w:r>
      <w:r w:rsidR="005678D8" w:rsidRPr="004068F6">
        <w:rPr>
          <w:rFonts w:cs="Arial"/>
          <w:spacing w:val="-3"/>
        </w:rPr>
        <w:t xml:space="preserve"> ambiental</w:t>
      </w:r>
      <w:r w:rsidR="001352A3" w:rsidRPr="004068F6">
        <w:rPr>
          <w:rFonts w:cs="Arial"/>
          <w:spacing w:val="-3"/>
        </w:rPr>
        <w:t xml:space="preserve"> (numeral </w:t>
      </w:r>
      <w:r w:rsidR="001352A3" w:rsidRPr="004068F6">
        <w:rPr>
          <w:rFonts w:cs="Arial"/>
          <w:spacing w:val="-3"/>
        </w:rPr>
        <w:fldChar w:fldCharType="begin"/>
      </w:r>
      <w:r w:rsidR="001352A3" w:rsidRPr="004068F6">
        <w:rPr>
          <w:rFonts w:cs="Arial"/>
          <w:spacing w:val="-3"/>
        </w:rPr>
        <w:instrText xml:space="preserve"> REF _Ref78450392 \r \h  \* MERGEFORMAT </w:instrText>
      </w:r>
      <w:r w:rsidR="001352A3" w:rsidRPr="004068F6">
        <w:rPr>
          <w:rFonts w:cs="Arial"/>
          <w:spacing w:val="-3"/>
        </w:rPr>
      </w:r>
      <w:r w:rsidR="001352A3" w:rsidRPr="004068F6">
        <w:rPr>
          <w:rFonts w:cs="Arial"/>
          <w:spacing w:val="-3"/>
        </w:rPr>
        <w:fldChar w:fldCharType="separate"/>
      </w:r>
      <w:r w:rsidR="009C4A81">
        <w:rPr>
          <w:rFonts w:cs="Arial"/>
          <w:spacing w:val="-3"/>
        </w:rPr>
        <w:t>4.2.2.1.1.1</w:t>
      </w:r>
      <w:r w:rsidR="001352A3" w:rsidRPr="004068F6">
        <w:rPr>
          <w:rFonts w:cs="Arial"/>
          <w:spacing w:val="-3"/>
        </w:rPr>
        <w:fldChar w:fldCharType="end"/>
      </w:r>
      <w:r w:rsidR="001352A3" w:rsidRPr="004068F6">
        <w:rPr>
          <w:rFonts w:cs="Arial"/>
          <w:spacing w:val="-3"/>
        </w:rPr>
        <w:t>)</w:t>
      </w:r>
      <w:r w:rsidR="005678D8" w:rsidRPr="004068F6">
        <w:rPr>
          <w:rFonts w:cs="Arial"/>
          <w:spacing w:val="-3"/>
        </w:rPr>
        <w:t>,</w:t>
      </w:r>
      <w:r w:rsidRPr="004068F6">
        <w:rPr>
          <w:rFonts w:cs="Arial"/>
          <w:spacing w:val="-3"/>
        </w:rPr>
        <w:t xml:space="preserve"> en </w:t>
      </w:r>
      <w:r w:rsidR="005678D8" w:rsidRPr="004068F6">
        <w:rPr>
          <w:rFonts w:cs="Arial"/>
          <w:spacing w:val="-3"/>
        </w:rPr>
        <w:t>e</w:t>
      </w:r>
      <w:r w:rsidRPr="004068F6">
        <w:rPr>
          <w:rFonts w:cs="Arial"/>
          <w:spacing w:val="-3"/>
        </w:rPr>
        <w:t xml:space="preserve">l cual se establecen los lineamientos para la </w:t>
      </w:r>
      <w:r w:rsidR="005678D8" w:rsidRPr="004068F6">
        <w:rPr>
          <w:rFonts w:cs="Arial"/>
          <w:spacing w:val="-3"/>
        </w:rPr>
        <w:t xml:space="preserve">recolección </w:t>
      </w:r>
      <w:r w:rsidRPr="004068F6">
        <w:rPr>
          <w:rFonts w:cs="Arial"/>
          <w:spacing w:val="-3"/>
        </w:rPr>
        <w:t xml:space="preserve">de información de </w:t>
      </w:r>
      <w:r w:rsidR="001352A3" w:rsidRPr="004068F6">
        <w:rPr>
          <w:rFonts w:cs="Arial"/>
          <w:spacing w:val="-3"/>
        </w:rPr>
        <w:t xml:space="preserve">especies arbóreas y helechos arborescentes </w:t>
      </w:r>
      <w:r w:rsidR="005678D8" w:rsidRPr="004068F6">
        <w:rPr>
          <w:rFonts w:cs="Arial"/>
          <w:spacing w:val="-3"/>
        </w:rPr>
        <w:t>en veda</w:t>
      </w:r>
      <w:r w:rsidRPr="004068F6">
        <w:rPr>
          <w:rFonts w:cs="Arial"/>
          <w:spacing w:val="-3"/>
        </w:rPr>
        <w:t>.</w:t>
      </w:r>
    </w:p>
    <w:bookmarkEnd w:id="3140"/>
    <w:p w14:paraId="0C242285" w14:textId="77777777" w:rsidR="004A1B3C" w:rsidRPr="004068F6" w:rsidRDefault="004A1B3C" w:rsidP="004A1B3C">
      <w:pPr>
        <w:numPr>
          <w:ilvl w:val="12"/>
          <w:numId w:val="0"/>
        </w:numPr>
        <w:tabs>
          <w:tab w:val="left" w:pos="-2268"/>
        </w:tabs>
        <w:suppressAutoHyphens/>
        <w:rPr>
          <w:rFonts w:cs="Arial"/>
          <w:spacing w:val="-3"/>
        </w:rPr>
      </w:pPr>
    </w:p>
    <w:p w14:paraId="614D0887" w14:textId="25553878" w:rsidR="004A1B3C" w:rsidRPr="004068F6" w:rsidRDefault="004A1B3C" w:rsidP="00C86DA5">
      <w:pPr>
        <w:rPr>
          <w:spacing w:val="-3"/>
        </w:rPr>
      </w:pPr>
      <w:r w:rsidRPr="004068F6">
        <w:rPr>
          <w:rFonts w:cs="Arial"/>
          <w:spacing w:val="-3"/>
        </w:rPr>
        <w:t>Se debe presentar el tipo</w:t>
      </w:r>
      <w:r w:rsidRPr="004068F6">
        <w:rPr>
          <w:spacing w:val="-3"/>
        </w:rPr>
        <w:t xml:space="preserve"> de muestreo realizado, incluyendo el número</w:t>
      </w:r>
      <w:r w:rsidR="00FB4B5C" w:rsidRPr="004068F6">
        <w:rPr>
          <w:spacing w:val="-3"/>
        </w:rPr>
        <w:t>,</w:t>
      </w:r>
      <w:r w:rsidRPr="004068F6">
        <w:rPr>
          <w:spacing w:val="-3"/>
        </w:rPr>
        <w:t xml:space="preserve"> tamaño </w:t>
      </w:r>
      <w:r w:rsidR="00FB4B5C" w:rsidRPr="004068F6">
        <w:rPr>
          <w:spacing w:val="-3"/>
        </w:rPr>
        <w:t xml:space="preserve">y forma </w:t>
      </w:r>
      <w:r w:rsidRPr="004068F6">
        <w:rPr>
          <w:spacing w:val="-3"/>
        </w:rPr>
        <w:t>de las parcelas de muestreo</w:t>
      </w:r>
      <w:r w:rsidRPr="004068F6">
        <w:rPr>
          <w:rFonts w:cs="Arial"/>
          <w:spacing w:val="-3"/>
        </w:rPr>
        <w:t>,</w:t>
      </w:r>
      <w:r w:rsidRPr="004068F6">
        <w:rPr>
          <w:spacing w:val="-3"/>
        </w:rPr>
        <w:t xml:space="preserve"> </w:t>
      </w:r>
      <w:r w:rsidR="002268B5">
        <w:rPr>
          <w:spacing w:val="-3"/>
        </w:rPr>
        <w:t xml:space="preserve">la superficie </w:t>
      </w:r>
      <w:r w:rsidR="001F5232">
        <w:rPr>
          <w:spacing w:val="-3"/>
        </w:rPr>
        <w:t xml:space="preserve">(medida en hectáreas) en la que proyecta el aprovechamiento y </w:t>
      </w:r>
      <w:r w:rsidRPr="004068F6">
        <w:rPr>
          <w:spacing w:val="-3"/>
        </w:rPr>
        <w:t xml:space="preserve">los volúmenes totales de aprovechamiento por cada tipo de </w:t>
      </w:r>
      <w:r w:rsidR="005678D8" w:rsidRPr="004068F6">
        <w:rPr>
          <w:spacing w:val="-3"/>
        </w:rPr>
        <w:t xml:space="preserve">unidad de </w:t>
      </w:r>
      <w:r w:rsidRPr="004068F6">
        <w:rPr>
          <w:spacing w:val="-3"/>
        </w:rPr>
        <w:t xml:space="preserve">cobertura vegetal </w:t>
      </w:r>
      <w:r w:rsidR="004B51C8">
        <w:rPr>
          <w:spacing w:val="-3"/>
        </w:rPr>
        <w:t>y ecosistema</w:t>
      </w:r>
      <w:r w:rsidR="00351045">
        <w:rPr>
          <w:spacing w:val="-3"/>
        </w:rPr>
        <w:t xml:space="preserve"> (como insumo para el </w:t>
      </w:r>
      <w:r w:rsidR="00BE45B6">
        <w:rPr>
          <w:spacing w:val="-3"/>
        </w:rPr>
        <w:t>Plan de compensaciones del medio biótico</w:t>
      </w:r>
      <w:r w:rsidR="00351045">
        <w:rPr>
          <w:spacing w:val="-3"/>
        </w:rPr>
        <w:t>)</w:t>
      </w:r>
      <w:r w:rsidR="00403AA1">
        <w:rPr>
          <w:spacing w:val="-3"/>
        </w:rPr>
        <w:t>, así como</w:t>
      </w:r>
      <w:r w:rsidRPr="004068F6">
        <w:rPr>
          <w:spacing w:val="-3"/>
        </w:rPr>
        <w:t xml:space="preserve"> </w:t>
      </w:r>
      <w:r w:rsidR="005678D8" w:rsidRPr="004068F6">
        <w:rPr>
          <w:spacing w:val="-3"/>
        </w:rPr>
        <w:t xml:space="preserve">los </w:t>
      </w:r>
      <w:r w:rsidRPr="004068F6">
        <w:rPr>
          <w:spacing w:val="-3"/>
        </w:rPr>
        <w:t>cálculos que soporten el volumen promedio por hectárea, especificando las fórmulas utilizadas y el factor de forma. De igual manera, se deben presentar los cálculos para la determinación del tamaño de la muestra para cada unidad de cobertura vegetal.</w:t>
      </w:r>
    </w:p>
    <w:p w14:paraId="634D166E" w14:textId="77777777" w:rsidR="004A1B3C" w:rsidRPr="004068F6" w:rsidRDefault="004A1B3C" w:rsidP="00C86DA5">
      <w:pPr>
        <w:rPr>
          <w:spacing w:val="-3"/>
        </w:rPr>
      </w:pPr>
    </w:p>
    <w:p w14:paraId="1F626FAD" w14:textId="77777777" w:rsidR="004A1B3C" w:rsidRPr="004068F6" w:rsidRDefault="004A1B3C" w:rsidP="004A1B3C">
      <w:pPr>
        <w:rPr>
          <w:rFonts w:cs="Arial"/>
          <w:spacing w:val="-3"/>
        </w:rPr>
      </w:pPr>
      <w:r w:rsidRPr="004068F6">
        <w:rPr>
          <w:rFonts w:cs="Arial"/>
          <w:spacing w:val="-3"/>
        </w:rPr>
        <w:t>Cada individuo muestreado o censado debe ser marcado mediante un sistema que permita su clara identificación en el marco de la evaluación y seguimiento de las actividades de ejecución del proyecto, sin que esto implique el detrimento del estado fitosanitario del individuo.</w:t>
      </w:r>
    </w:p>
    <w:p w14:paraId="1E63010A" w14:textId="77777777" w:rsidR="004A1B3C" w:rsidRPr="004068F6" w:rsidRDefault="004A1B3C" w:rsidP="004A1B3C">
      <w:pPr>
        <w:rPr>
          <w:rFonts w:cs="Arial"/>
          <w:spacing w:val="-3"/>
        </w:rPr>
      </w:pPr>
    </w:p>
    <w:p w14:paraId="572B9128" w14:textId="300AF6A3" w:rsidR="004A1B3C" w:rsidRPr="004068F6" w:rsidRDefault="005678D8" w:rsidP="004A1B3C">
      <w:pPr>
        <w:rPr>
          <w:rFonts w:cs="Arial"/>
          <w:spacing w:val="-3"/>
        </w:rPr>
      </w:pPr>
      <w:r w:rsidRPr="004068F6">
        <w:rPr>
          <w:rFonts w:cs="Arial"/>
          <w:spacing w:val="-3"/>
        </w:rPr>
        <w:t xml:space="preserve">Se deben </w:t>
      </w:r>
      <w:r w:rsidR="00753425" w:rsidRPr="004068F6">
        <w:rPr>
          <w:rFonts w:cs="Arial"/>
          <w:spacing w:val="-3"/>
        </w:rPr>
        <w:t xml:space="preserve">determinar </w:t>
      </w:r>
      <w:r w:rsidR="004A1B3C" w:rsidRPr="004068F6">
        <w:rPr>
          <w:rFonts w:cs="Arial"/>
          <w:spacing w:val="-3"/>
        </w:rPr>
        <w:t>todos los individuos a nivel de especie (genero, epíteto espec</w:t>
      </w:r>
      <w:r w:rsidR="00F23EFB" w:rsidRPr="004068F6">
        <w:rPr>
          <w:rFonts w:cs="Arial"/>
          <w:spacing w:val="-3"/>
        </w:rPr>
        <w:t>í</w:t>
      </w:r>
      <w:r w:rsidR="004A1B3C" w:rsidRPr="004068F6">
        <w:rPr>
          <w:rFonts w:cs="Arial"/>
          <w:spacing w:val="-3"/>
        </w:rPr>
        <w:t>fico y autor)</w:t>
      </w:r>
      <w:r w:rsidR="005E2BA7" w:rsidRPr="004068F6">
        <w:rPr>
          <w:rFonts w:cs="Arial"/>
        </w:rPr>
        <w:t xml:space="preserve"> </w:t>
      </w:r>
      <w:r w:rsidR="005E2BA7" w:rsidRPr="004068F6">
        <w:rPr>
          <w:rFonts w:cs="Arial"/>
          <w:spacing w:val="-3"/>
        </w:rPr>
        <w:t xml:space="preserve">o al nivel </w:t>
      </w:r>
      <w:r w:rsidR="005E2BA7" w:rsidRPr="004068F6" w:rsidDel="00551BD4">
        <w:rPr>
          <w:rFonts w:cs="Arial"/>
          <w:spacing w:val="-3"/>
        </w:rPr>
        <w:t xml:space="preserve">taxonómico más detallado </w:t>
      </w:r>
      <w:r w:rsidR="005E2BA7" w:rsidRPr="004068F6">
        <w:rPr>
          <w:rFonts w:cs="Arial"/>
          <w:spacing w:val="-3"/>
        </w:rPr>
        <w:t>posible</w:t>
      </w:r>
      <w:r w:rsidRPr="004068F6">
        <w:rPr>
          <w:rFonts w:cs="Arial"/>
          <w:spacing w:val="-3"/>
        </w:rPr>
        <w:t>,</w:t>
      </w:r>
      <w:r w:rsidR="004A1B3C" w:rsidRPr="004068F6">
        <w:rPr>
          <w:rFonts w:cs="Arial"/>
          <w:spacing w:val="-3"/>
        </w:rPr>
        <w:t xml:space="preserve"> </w:t>
      </w:r>
      <w:r w:rsidRPr="004068F6">
        <w:rPr>
          <w:rFonts w:cs="Arial"/>
          <w:spacing w:val="-3"/>
        </w:rPr>
        <w:t xml:space="preserve">señalando </w:t>
      </w:r>
      <w:r w:rsidR="00A76DFF" w:rsidRPr="004068F6">
        <w:rPr>
          <w:rFonts w:cs="Arial"/>
          <w:spacing w:val="-3"/>
        </w:rPr>
        <w:t xml:space="preserve">el estado de conservación de </w:t>
      </w:r>
      <w:r w:rsidR="001352A3" w:rsidRPr="004068F6">
        <w:rPr>
          <w:rFonts w:cs="Arial"/>
          <w:spacing w:val="-3"/>
        </w:rPr>
        <w:t>ésta</w:t>
      </w:r>
      <w:r w:rsidR="00A76DFF" w:rsidRPr="004068F6">
        <w:rPr>
          <w:rFonts w:cs="Arial"/>
          <w:spacing w:val="-3"/>
        </w:rPr>
        <w:t xml:space="preserve"> (categoría de amenaza) y sus condiciones particulares de </w:t>
      </w:r>
      <w:r w:rsidR="004A1B3C" w:rsidRPr="004068F6">
        <w:rPr>
          <w:rFonts w:cs="Arial"/>
          <w:spacing w:val="-3"/>
        </w:rPr>
        <w:t>veda o endemismo.</w:t>
      </w:r>
    </w:p>
    <w:p w14:paraId="3D6C9209" w14:textId="77777777" w:rsidR="004A1B3C" w:rsidRPr="004068F6" w:rsidRDefault="004A1B3C" w:rsidP="004A1B3C">
      <w:pPr>
        <w:rPr>
          <w:rFonts w:cs="Arial"/>
          <w:spacing w:val="-3"/>
        </w:rPr>
      </w:pPr>
    </w:p>
    <w:p w14:paraId="092B2955" w14:textId="5A8F7FC8" w:rsidR="004A1B3C" w:rsidRPr="004068F6" w:rsidRDefault="00A76DFF" w:rsidP="004A1B3C">
      <w:pPr>
        <w:rPr>
          <w:rFonts w:cs="Arial"/>
          <w:spacing w:val="-3"/>
        </w:rPr>
      </w:pPr>
      <w:r w:rsidRPr="004068F6">
        <w:rPr>
          <w:rFonts w:cs="Arial"/>
          <w:spacing w:val="-3"/>
        </w:rPr>
        <w:t>Se debe elaborar c</w:t>
      </w:r>
      <w:r w:rsidR="004A1B3C" w:rsidRPr="004068F6">
        <w:rPr>
          <w:rFonts w:cs="Arial"/>
          <w:spacing w:val="-3"/>
        </w:rPr>
        <w:t>artografía de acuerdo con la estructura del Modelo de Almacenamiento Geográfico que contenga</w:t>
      </w:r>
      <w:r w:rsidRPr="004068F6">
        <w:rPr>
          <w:rFonts w:cs="Arial"/>
          <w:spacing w:val="-3"/>
        </w:rPr>
        <w:t xml:space="preserve"> la siguiente información</w:t>
      </w:r>
      <w:r w:rsidR="004A1B3C" w:rsidRPr="004068F6">
        <w:rPr>
          <w:rFonts w:cs="Arial"/>
          <w:spacing w:val="-3"/>
        </w:rPr>
        <w:t>:</w:t>
      </w:r>
    </w:p>
    <w:p w14:paraId="57DD4EFC" w14:textId="77777777" w:rsidR="004A1B3C" w:rsidRPr="004068F6" w:rsidRDefault="004A1B3C" w:rsidP="004A1B3C">
      <w:pPr>
        <w:numPr>
          <w:ilvl w:val="12"/>
          <w:numId w:val="0"/>
        </w:numPr>
        <w:tabs>
          <w:tab w:val="left" w:pos="-2268"/>
        </w:tabs>
        <w:suppressAutoHyphens/>
        <w:rPr>
          <w:rFonts w:cs="Arial"/>
          <w:spacing w:val="-3"/>
        </w:rPr>
      </w:pPr>
    </w:p>
    <w:p w14:paraId="602C00B9" w14:textId="4FB1D8F0" w:rsidR="004A1B3C" w:rsidRPr="004068F6" w:rsidRDefault="004A1B3C" w:rsidP="00C86DA5">
      <w:pPr>
        <w:pStyle w:val="Prrafodelista"/>
        <w:numPr>
          <w:ilvl w:val="0"/>
          <w:numId w:val="76"/>
        </w:numPr>
        <w:ind w:left="567" w:hanging="567"/>
        <w:rPr>
          <w:spacing w:val="-3"/>
          <w:lang w:val="es-CO"/>
        </w:rPr>
      </w:pPr>
      <w:r w:rsidRPr="004068F6">
        <w:rPr>
          <w:spacing w:val="-3"/>
          <w:lang w:val="es-CO"/>
        </w:rPr>
        <w:t xml:space="preserve">Localización y georreferenciación de </w:t>
      </w:r>
      <w:r w:rsidRPr="004068F6">
        <w:rPr>
          <w:rFonts w:cs="Arial"/>
          <w:spacing w:val="-3"/>
          <w:lang w:val="es-CO"/>
        </w:rPr>
        <w:t xml:space="preserve">individuos censados o </w:t>
      </w:r>
      <w:r w:rsidR="00A76DFF" w:rsidRPr="004068F6">
        <w:rPr>
          <w:rFonts w:cs="Arial"/>
          <w:spacing w:val="-3"/>
          <w:lang w:val="es-CO"/>
        </w:rPr>
        <w:t xml:space="preserve">de </w:t>
      </w:r>
      <w:r w:rsidRPr="004068F6">
        <w:rPr>
          <w:spacing w:val="-3"/>
          <w:lang w:val="es-CO"/>
        </w:rPr>
        <w:t xml:space="preserve">las parcelas </w:t>
      </w:r>
      <w:r w:rsidRPr="004068F6">
        <w:rPr>
          <w:rFonts w:cs="Arial"/>
          <w:spacing w:val="-3"/>
          <w:lang w:val="es-CO"/>
        </w:rPr>
        <w:t>de muestreo asociad</w:t>
      </w:r>
      <w:r w:rsidR="00A76DFF" w:rsidRPr="004068F6">
        <w:rPr>
          <w:rFonts w:cs="Arial"/>
          <w:spacing w:val="-3"/>
          <w:lang w:val="es-CO"/>
        </w:rPr>
        <w:t>a</w:t>
      </w:r>
      <w:r w:rsidRPr="004068F6">
        <w:rPr>
          <w:rFonts w:cs="Arial"/>
          <w:spacing w:val="-3"/>
          <w:lang w:val="es-CO"/>
        </w:rPr>
        <w:t xml:space="preserve">s a las </w:t>
      </w:r>
      <w:r w:rsidR="00A76DFF" w:rsidRPr="004068F6">
        <w:rPr>
          <w:rFonts w:cs="Arial"/>
          <w:spacing w:val="-3"/>
          <w:lang w:val="es-CO"/>
        </w:rPr>
        <w:t xml:space="preserve">unidades de </w:t>
      </w:r>
      <w:r w:rsidRPr="004068F6">
        <w:rPr>
          <w:rFonts w:cs="Arial"/>
          <w:spacing w:val="-3"/>
          <w:lang w:val="es-CO"/>
        </w:rPr>
        <w:t xml:space="preserve">cobertura de la tierra, </w:t>
      </w:r>
      <w:r w:rsidRPr="004068F6">
        <w:rPr>
          <w:spacing w:val="-3"/>
          <w:lang w:val="es-CO"/>
        </w:rPr>
        <w:t xml:space="preserve">en un mapa a la escala que establezcan los términos de referencia, o a una más detallada si el análisis lo requiere, relacionando las veredas o los corregimientos </w:t>
      </w:r>
      <w:r w:rsidR="00F23EFB" w:rsidRPr="004068F6">
        <w:rPr>
          <w:spacing w:val="-3"/>
          <w:lang w:val="es-CO"/>
        </w:rPr>
        <w:t xml:space="preserve">municipales </w:t>
      </w:r>
      <w:r w:rsidRPr="004068F6">
        <w:rPr>
          <w:spacing w:val="-3"/>
          <w:lang w:val="es-CO"/>
        </w:rPr>
        <w:t>y municipios en los cuales se ubican.</w:t>
      </w:r>
    </w:p>
    <w:p w14:paraId="1324979F" w14:textId="77777777" w:rsidR="004A1B3C" w:rsidRPr="004068F6" w:rsidRDefault="004A1B3C" w:rsidP="00C86DA5">
      <w:pPr>
        <w:ind w:left="567" w:hanging="567"/>
        <w:rPr>
          <w:spacing w:val="-3"/>
        </w:rPr>
      </w:pPr>
    </w:p>
    <w:p w14:paraId="7DD95D24" w14:textId="51640AD1" w:rsidR="004A1B3C" w:rsidRPr="004068F6" w:rsidRDefault="004A1B3C" w:rsidP="00C86DA5">
      <w:pPr>
        <w:pStyle w:val="Prrafodelista"/>
        <w:numPr>
          <w:ilvl w:val="0"/>
          <w:numId w:val="76"/>
        </w:numPr>
        <w:ind w:left="567" w:hanging="567"/>
        <w:rPr>
          <w:spacing w:val="-3"/>
          <w:lang w:val="es-CO"/>
        </w:rPr>
      </w:pPr>
      <w:r w:rsidRPr="004068F6">
        <w:rPr>
          <w:rFonts w:cs="Arial"/>
          <w:spacing w:val="-3"/>
          <w:lang w:val="es-CO"/>
        </w:rPr>
        <w:t>Cantidad</w:t>
      </w:r>
      <w:r w:rsidRPr="004068F6">
        <w:rPr>
          <w:spacing w:val="-3"/>
          <w:lang w:val="es-CO"/>
        </w:rPr>
        <w:t xml:space="preserve"> y superficie </w:t>
      </w:r>
      <w:r w:rsidR="008E68CA" w:rsidRPr="004068F6">
        <w:rPr>
          <w:spacing w:val="-3"/>
          <w:lang w:val="es-CO"/>
        </w:rPr>
        <w:t xml:space="preserve">(área) ocupada </w:t>
      </w:r>
      <w:r w:rsidRPr="004068F6">
        <w:rPr>
          <w:spacing w:val="-3"/>
          <w:lang w:val="es-CO"/>
        </w:rPr>
        <w:t>de la</w:t>
      </w:r>
      <w:r w:rsidR="00A76DFF" w:rsidRPr="004068F6">
        <w:rPr>
          <w:spacing w:val="-3"/>
          <w:lang w:val="es-CO"/>
        </w:rPr>
        <w:t xml:space="preserve"> infraestructura,</w:t>
      </w:r>
      <w:r w:rsidRPr="004068F6">
        <w:rPr>
          <w:spacing w:val="-3"/>
          <w:lang w:val="es-CO"/>
        </w:rPr>
        <w:t xml:space="preserve"> obras y/o actividades constructivas del proyecto que implican efectuar el aprovechamiento forestal, estableciendo las unidades de cobertura vegetal </w:t>
      </w:r>
      <w:r w:rsidR="00094E87">
        <w:rPr>
          <w:spacing w:val="-3"/>
          <w:lang w:val="es-CO"/>
        </w:rPr>
        <w:t>por</w:t>
      </w:r>
      <w:r w:rsidRPr="004068F6">
        <w:rPr>
          <w:spacing w:val="-3"/>
          <w:lang w:val="es-CO"/>
        </w:rPr>
        <w:t xml:space="preserve"> intervenir</w:t>
      </w:r>
      <w:r w:rsidR="001352A3" w:rsidRPr="004068F6">
        <w:rPr>
          <w:spacing w:val="-3"/>
          <w:lang w:val="es-CO"/>
        </w:rPr>
        <w:t xml:space="preserve"> y el estimado del volumen de aprovechamiento</w:t>
      </w:r>
      <w:r w:rsidR="008E68CA" w:rsidRPr="004068F6">
        <w:rPr>
          <w:spacing w:val="-3"/>
          <w:lang w:val="es-CO"/>
        </w:rPr>
        <w:t xml:space="preserve"> en cada una de ellas</w:t>
      </w:r>
      <w:r w:rsidRPr="004068F6">
        <w:rPr>
          <w:rFonts w:cs="Arial"/>
          <w:spacing w:val="-3"/>
          <w:lang w:val="es-CO"/>
        </w:rPr>
        <w:t>.</w:t>
      </w:r>
    </w:p>
    <w:p w14:paraId="16D718A1" w14:textId="77777777" w:rsidR="004A1B3C" w:rsidRPr="004068F6" w:rsidRDefault="004A1B3C" w:rsidP="00C86DA5">
      <w:pPr>
        <w:pStyle w:val="Prrafodelista"/>
        <w:ind w:left="567" w:hanging="567"/>
        <w:rPr>
          <w:spacing w:val="-3"/>
          <w:lang w:val="es-CO"/>
        </w:rPr>
      </w:pPr>
    </w:p>
    <w:p w14:paraId="54D8975A" w14:textId="2B720CF3" w:rsidR="004A1B3C" w:rsidRPr="004068F6" w:rsidRDefault="00A76DFF" w:rsidP="00C86DA5">
      <w:pPr>
        <w:pStyle w:val="Prrafodelista"/>
        <w:numPr>
          <w:ilvl w:val="0"/>
          <w:numId w:val="76"/>
        </w:numPr>
        <w:ind w:left="567" w:hanging="567"/>
        <w:rPr>
          <w:spacing w:val="-3"/>
          <w:lang w:val="es-CO"/>
        </w:rPr>
      </w:pPr>
      <w:r w:rsidRPr="004068F6">
        <w:rPr>
          <w:spacing w:val="-3"/>
          <w:lang w:val="es-CO"/>
        </w:rPr>
        <w:t>I</w:t>
      </w:r>
      <w:r w:rsidR="004A1B3C" w:rsidRPr="004068F6">
        <w:rPr>
          <w:spacing w:val="-3"/>
          <w:lang w:val="es-CO"/>
        </w:rPr>
        <w:t>dentifica</w:t>
      </w:r>
      <w:r w:rsidRPr="004068F6">
        <w:rPr>
          <w:spacing w:val="-3"/>
          <w:lang w:val="es-CO"/>
        </w:rPr>
        <w:t>ción de los puntos. D</w:t>
      </w:r>
      <w:r w:rsidR="004A1B3C" w:rsidRPr="004068F6">
        <w:rPr>
          <w:spacing w:val="-3"/>
          <w:lang w:val="es-CO"/>
        </w:rPr>
        <w:t xml:space="preserve">ebe coincidir con la marcación de los individuos en campo </w:t>
      </w:r>
      <w:r w:rsidR="004A1B3C" w:rsidRPr="004068F6">
        <w:rPr>
          <w:rFonts w:cs="Arial"/>
          <w:spacing w:val="-3"/>
          <w:lang w:val="es-CO"/>
        </w:rPr>
        <w:t>o</w:t>
      </w:r>
      <w:r w:rsidR="004A1B3C" w:rsidRPr="004068F6">
        <w:rPr>
          <w:spacing w:val="-3"/>
          <w:lang w:val="es-CO"/>
        </w:rPr>
        <w:t xml:space="preserve"> con la numeración </w:t>
      </w:r>
      <w:r w:rsidR="004A1B3C" w:rsidRPr="004068F6">
        <w:rPr>
          <w:rFonts w:cs="Arial"/>
          <w:spacing w:val="-3"/>
          <w:lang w:val="es-CO"/>
        </w:rPr>
        <w:t xml:space="preserve">de las parcelas </w:t>
      </w:r>
      <w:r w:rsidRPr="004068F6">
        <w:rPr>
          <w:rFonts w:cs="Arial"/>
          <w:spacing w:val="-3"/>
          <w:lang w:val="es-CO"/>
        </w:rPr>
        <w:t xml:space="preserve">levantadas </w:t>
      </w:r>
      <w:r w:rsidR="004A1B3C" w:rsidRPr="004068F6">
        <w:rPr>
          <w:rFonts w:cs="Arial"/>
          <w:spacing w:val="-3"/>
          <w:lang w:val="es-CO"/>
        </w:rPr>
        <w:t>para el</w:t>
      </w:r>
      <w:r w:rsidR="004A1B3C" w:rsidRPr="004068F6">
        <w:rPr>
          <w:spacing w:val="-3"/>
          <w:lang w:val="es-CO"/>
        </w:rPr>
        <w:t xml:space="preserve"> inventario forestal.</w:t>
      </w:r>
    </w:p>
    <w:p w14:paraId="143340BF" w14:textId="77777777" w:rsidR="004A1B3C" w:rsidRPr="004068F6" w:rsidRDefault="004A1B3C" w:rsidP="00C86DA5">
      <w:pPr>
        <w:numPr>
          <w:ilvl w:val="12"/>
          <w:numId w:val="0"/>
        </w:numPr>
        <w:tabs>
          <w:tab w:val="left" w:pos="-2268"/>
        </w:tabs>
        <w:suppressAutoHyphens/>
        <w:rPr>
          <w:spacing w:val="-3"/>
        </w:rPr>
      </w:pPr>
    </w:p>
    <w:p w14:paraId="0D47AC31" w14:textId="018A8BA9" w:rsidR="004A1B3C" w:rsidRPr="004068F6" w:rsidRDefault="004A1B3C" w:rsidP="00C86DA5">
      <w:pPr>
        <w:rPr>
          <w:spacing w:val="-3"/>
        </w:rPr>
      </w:pPr>
      <w:r w:rsidRPr="004068F6">
        <w:rPr>
          <w:rFonts w:cs="Arial"/>
          <w:spacing w:val="-3"/>
        </w:rPr>
        <w:t>La</w:t>
      </w:r>
      <w:r w:rsidRPr="004068F6">
        <w:rPr>
          <w:spacing w:val="-3"/>
        </w:rPr>
        <w:t xml:space="preserve"> información </w:t>
      </w:r>
      <w:r w:rsidR="00C161BC" w:rsidRPr="004068F6">
        <w:rPr>
          <w:spacing w:val="-3"/>
        </w:rPr>
        <w:t xml:space="preserve">obtenida en </w:t>
      </w:r>
      <w:r w:rsidRPr="004068F6">
        <w:rPr>
          <w:spacing w:val="-3"/>
        </w:rPr>
        <w:t>campo</w:t>
      </w:r>
      <w:r w:rsidR="00C161BC" w:rsidRPr="004068F6">
        <w:rPr>
          <w:spacing w:val="-3"/>
        </w:rPr>
        <w:t>, que incluye los</w:t>
      </w:r>
      <w:r w:rsidRPr="004068F6">
        <w:rPr>
          <w:spacing w:val="-3"/>
        </w:rPr>
        <w:t xml:space="preserve"> datos </w:t>
      </w:r>
      <w:r w:rsidR="00C161BC" w:rsidRPr="004068F6">
        <w:rPr>
          <w:spacing w:val="-3"/>
        </w:rPr>
        <w:t xml:space="preserve">registrados mediante </w:t>
      </w:r>
      <w:r w:rsidRPr="004068F6">
        <w:rPr>
          <w:spacing w:val="-3"/>
        </w:rPr>
        <w:t>el inventario forestal</w:t>
      </w:r>
      <w:r w:rsidR="00C161BC" w:rsidRPr="004068F6">
        <w:rPr>
          <w:spacing w:val="-3"/>
        </w:rPr>
        <w:t>,</w:t>
      </w:r>
      <w:r w:rsidRPr="004068F6">
        <w:rPr>
          <w:spacing w:val="-3"/>
        </w:rPr>
        <w:t xml:space="preserve"> </w:t>
      </w:r>
      <w:r w:rsidRPr="004068F6">
        <w:rPr>
          <w:rFonts w:cs="Arial"/>
          <w:spacing w:val="-3"/>
        </w:rPr>
        <w:t>debe incluir</w:t>
      </w:r>
      <w:r w:rsidRPr="004068F6">
        <w:rPr>
          <w:spacing w:val="-3"/>
        </w:rPr>
        <w:t xml:space="preserve"> como mínimo </w:t>
      </w:r>
      <w:r w:rsidRPr="004068F6">
        <w:rPr>
          <w:rFonts w:cs="Arial"/>
          <w:spacing w:val="-3"/>
        </w:rPr>
        <w:t>lo</w:t>
      </w:r>
      <w:r w:rsidRPr="004068F6">
        <w:rPr>
          <w:spacing w:val="-3"/>
        </w:rPr>
        <w:t xml:space="preserve"> siguiente: </w:t>
      </w:r>
      <w:r w:rsidR="00A76DFF" w:rsidRPr="004068F6">
        <w:rPr>
          <w:spacing w:val="-3"/>
        </w:rPr>
        <w:t xml:space="preserve">unidad </w:t>
      </w:r>
      <w:r w:rsidRPr="004068F6">
        <w:rPr>
          <w:spacing w:val="-3"/>
        </w:rPr>
        <w:t>de cobertura</w:t>
      </w:r>
      <w:r w:rsidR="00A76DFF" w:rsidRPr="004068F6">
        <w:rPr>
          <w:spacing w:val="-3"/>
        </w:rPr>
        <w:t xml:space="preserve"> vegetal</w:t>
      </w:r>
      <w:r w:rsidRPr="004068F6">
        <w:rPr>
          <w:spacing w:val="-3"/>
        </w:rPr>
        <w:t xml:space="preserve">, superficie a aprovechar (medida en hectáreas), localización (coordenadas </w:t>
      </w:r>
      <w:r w:rsidRPr="004068F6">
        <w:rPr>
          <w:rFonts w:cs="Arial"/>
          <w:spacing w:val="-3"/>
        </w:rPr>
        <w:t>planas</w:t>
      </w:r>
      <w:r w:rsidRPr="004068F6">
        <w:rPr>
          <w:spacing w:val="-3"/>
        </w:rPr>
        <w:t>, vereda, municipio), individuos inventariados</w:t>
      </w:r>
      <w:r w:rsidRPr="004068F6">
        <w:rPr>
          <w:rFonts w:cs="Arial"/>
          <w:spacing w:val="-3"/>
        </w:rPr>
        <w:t>,</w:t>
      </w:r>
      <w:r w:rsidRPr="004068F6">
        <w:rPr>
          <w:spacing w:val="-3"/>
        </w:rPr>
        <w:t xml:space="preserve"> clasificación taxonómica (al nivel </w:t>
      </w:r>
      <w:r w:rsidRPr="004068F6">
        <w:rPr>
          <w:rFonts w:cs="Arial"/>
          <w:spacing w:val="-3"/>
        </w:rPr>
        <w:t>de especie</w:t>
      </w:r>
      <w:r w:rsidR="005E2BA7" w:rsidRPr="004068F6">
        <w:rPr>
          <w:rFonts w:cs="Arial"/>
          <w:spacing w:val="-3"/>
        </w:rPr>
        <w:t xml:space="preserve"> o al nivel </w:t>
      </w:r>
      <w:r w:rsidR="005E2BA7" w:rsidRPr="004068F6" w:rsidDel="00382325">
        <w:rPr>
          <w:rFonts w:cs="Arial"/>
          <w:spacing w:val="-3"/>
        </w:rPr>
        <w:t>taxonómico más detallado</w:t>
      </w:r>
      <w:r w:rsidR="005E2BA7" w:rsidRPr="004068F6">
        <w:rPr>
          <w:rFonts w:cs="Arial"/>
          <w:spacing w:val="-3"/>
        </w:rPr>
        <w:t xml:space="preserve"> posible</w:t>
      </w:r>
      <w:r w:rsidRPr="004068F6">
        <w:rPr>
          <w:spacing w:val="-3"/>
        </w:rPr>
        <w:t xml:space="preserve">), DAP, área basal, altura total, </w:t>
      </w:r>
      <w:r w:rsidR="001352A3" w:rsidRPr="004068F6">
        <w:rPr>
          <w:spacing w:val="-3"/>
        </w:rPr>
        <w:t xml:space="preserve">altura comercial </w:t>
      </w:r>
      <w:r w:rsidRPr="004068F6">
        <w:rPr>
          <w:spacing w:val="-3"/>
        </w:rPr>
        <w:t>y observaciones</w:t>
      </w:r>
      <w:r w:rsidR="00A76DFF" w:rsidRPr="004068F6">
        <w:rPr>
          <w:spacing w:val="-3"/>
        </w:rPr>
        <w:t>,</w:t>
      </w:r>
      <w:r w:rsidRPr="004068F6">
        <w:rPr>
          <w:rFonts w:cs="Arial"/>
          <w:spacing w:val="-3"/>
        </w:rPr>
        <w:t xml:space="preserve"> entre otras</w:t>
      </w:r>
      <w:r w:rsidRPr="004068F6">
        <w:rPr>
          <w:spacing w:val="-3"/>
        </w:rPr>
        <w:t>.</w:t>
      </w:r>
    </w:p>
    <w:p w14:paraId="11A58E3F" w14:textId="77777777" w:rsidR="004A1B3C" w:rsidRPr="004068F6" w:rsidRDefault="004A1B3C" w:rsidP="00C86DA5">
      <w:pPr>
        <w:rPr>
          <w:spacing w:val="-3"/>
        </w:rPr>
      </w:pPr>
    </w:p>
    <w:p w14:paraId="174ED471" w14:textId="5D9FEF36" w:rsidR="004A1B3C" w:rsidRPr="004068F6" w:rsidRDefault="004A1B3C" w:rsidP="00C86DA5">
      <w:pPr>
        <w:rPr>
          <w:spacing w:val="-3"/>
        </w:rPr>
      </w:pPr>
      <w:r w:rsidRPr="004068F6">
        <w:rPr>
          <w:rFonts w:cs="Arial"/>
          <w:spacing w:val="-3"/>
        </w:rPr>
        <w:t xml:space="preserve">En caso </w:t>
      </w:r>
      <w:r w:rsidR="00353C55" w:rsidRPr="004068F6">
        <w:rPr>
          <w:rFonts w:cs="Arial"/>
          <w:spacing w:val="-3"/>
        </w:rPr>
        <w:t>de requerirse</w:t>
      </w:r>
      <w:r w:rsidR="00353C55" w:rsidRPr="004068F6">
        <w:rPr>
          <w:spacing w:val="-3"/>
        </w:rPr>
        <w:t xml:space="preserve"> </w:t>
      </w:r>
      <w:r w:rsidRPr="004068F6">
        <w:rPr>
          <w:spacing w:val="-3"/>
        </w:rPr>
        <w:t xml:space="preserve">la movilización de productos forestales en primer grado de transformación derivados del aprovechamiento, se debe tramitar con anterioridad ante la autoridad ambiental competente </w:t>
      </w:r>
      <w:r w:rsidRPr="004068F6">
        <w:rPr>
          <w:rFonts w:cs="Arial"/>
          <w:spacing w:val="-3"/>
        </w:rPr>
        <w:t xml:space="preserve">el salvoconducto único nacional en línea (SUNL) para la movilización de especímenes de la diversidad biológica, </w:t>
      </w:r>
      <w:r w:rsidRPr="004068F6">
        <w:rPr>
          <w:spacing w:val="-3"/>
        </w:rPr>
        <w:t>atendiendo las disposiciones de la Resolución 1909 de 2017 o aquella que la modifique</w:t>
      </w:r>
      <w:r w:rsidRPr="004068F6">
        <w:rPr>
          <w:rFonts w:cs="Arial"/>
          <w:spacing w:val="-3"/>
        </w:rPr>
        <w:t xml:space="preserve"> o</w:t>
      </w:r>
      <w:r w:rsidRPr="004068F6">
        <w:rPr>
          <w:spacing w:val="-3"/>
        </w:rPr>
        <w:t xml:space="preserve"> sustituya.</w:t>
      </w:r>
    </w:p>
    <w:p w14:paraId="697690A3" w14:textId="77777777" w:rsidR="00533DA2" w:rsidRPr="004068F6" w:rsidRDefault="00533DA2" w:rsidP="004A1B3C">
      <w:pPr>
        <w:rPr>
          <w:rFonts w:cs="Arial"/>
        </w:rPr>
      </w:pPr>
    </w:p>
    <w:p w14:paraId="0C76CAEB" w14:textId="67602C07" w:rsidR="004A1B3C" w:rsidRPr="004068F6" w:rsidRDefault="004A1B3C" w:rsidP="0068149C">
      <w:pPr>
        <w:pStyle w:val="Ttulo2"/>
        <w:rPr>
          <w:lang w:val="es-CO"/>
        </w:rPr>
      </w:pPr>
      <w:bookmarkStart w:id="3141" w:name="_Toc150593808"/>
      <w:bookmarkStart w:id="3142" w:name="_Toc274067225"/>
      <w:bookmarkStart w:id="3143" w:name="_Toc378923316"/>
      <w:bookmarkStart w:id="3144" w:name="_Toc387312773"/>
      <w:bookmarkStart w:id="3145" w:name="_Toc393967347"/>
      <w:bookmarkStart w:id="3146" w:name="_Toc405366864"/>
      <w:bookmarkStart w:id="3147" w:name="_Toc405372412"/>
      <w:bookmarkStart w:id="3148" w:name="_Toc412803209"/>
      <w:bookmarkStart w:id="3149" w:name="_Toc42874878"/>
      <w:bookmarkStart w:id="3150" w:name="_Toc437936048"/>
      <w:bookmarkStart w:id="3151" w:name="_Toc230879678"/>
      <w:r w:rsidRPr="004068F6">
        <w:rPr>
          <w:lang w:val="es-CO"/>
        </w:rPr>
        <w:t>PERMISO DE EMISIÓN ATMOSFÉRIC</w:t>
      </w:r>
      <w:bookmarkEnd w:id="3141"/>
      <w:bookmarkEnd w:id="3142"/>
      <w:bookmarkEnd w:id="3143"/>
      <w:bookmarkEnd w:id="3144"/>
      <w:bookmarkEnd w:id="3145"/>
      <w:bookmarkEnd w:id="3146"/>
      <w:bookmarkEnd w:id="3147"/>
      <w:bookmarkEnd w:id="3148"/>
      <w:r w:rsidRPr="004068F6">
        <w:rPr>
          <w:lang w:val="es-CO"/>
        </w:rPr>
        <w:t>A</w:t>
      </w:r>
      <w:bookmarkEnd w:id="3149"/>
      <w:bookmarkEnd w:id="3150"/>
      <w:bookmarkEnd w:id="3151"/>
    </w:p>
    <w:p w14:paraId="44535384" w14:textId="77777777" w:rsidR="004A1B3C" w:rsidRPr="004068F6" w:rsidRDefault="004A1B3C" w:rsidP="00C86DA5"/>
    <w:p w14:paraId="5ECE3D6E" w14:textId="46583FEF" w:rsidR="00F23EFB" w:rsidRPr="004068F6" w:rsidRDefault="00F23EFB" w:rsidP="00F23EFB">
      <w:r w:rsidRPr="004068F6">
        <w:t>Para las fuentes fijas de emisión que requieran permiso de acuerdo con lo establecido en el Capítulo 1, Titulo 5, Parte 2, Libro 2 del Decreto 1076 de 2015 y en la Resolución 619 de 1997, o aquellas normas que l</w:t>
      </w:r>
      <w:r w:rsidR="00183309" w:rsidRPr="004068F6">
        <w:t>o</w:t>
      </w:r>
      <w:r w:rsidRPr="004068F6">
        <w:t xml:space="preserve">s modifiquen o sustituyan, se debe entregar la información allí prevista. De la misma manera, </w:t>
      </w:r>
      <w:r w:rsidR="00183309" w:rsidRPr="004068F6">
        <w:t xml:space="preserve">se </w:t>
      </w:r>
      <w:r w:rsidRPr="004068F6">
        <w:t xml:space="preserve">debe </w:t>
      </w:r>
      <w:r w:rsidR="00183309" w:rsidRPr="004068F6">
        <w:t xml:space="preserve">entregar </w:t>
      </w:r>
      <w:r w:rsidRPr="004068F6">
        <w:t xml:space="preserve">debidamente diligenciado el </w:t>
      </w:r>
      <w:r w:rsidR="00183309" w:rsidRPr="004068F6">
        <w:t xml:space="preserve">FUN </w:t>
      </w:r>
      <w:r w:rsidRPr="004068F6">
        <w:t xml:space="preserve">de </w:t>
      </w:r>
      <w:r w:rsidR="00183309" w:rsidRPr="004068F6">
        <w:t>s</w:t>
      </w:r>
      <w:r w:rsidRPr="004068F6">
        <w:t xml:space="preserve">olicitud de </w:t>
      </w:r>
      <w:r w:rsidR="00183309" w:rsidRPr="004068F6">
        <w:t>p</w:t>
      </w:r>
      <w:r w:rsidRPr="004068F6">
        <w:t xml:space="preserve">ermiso de </w:t>
      </w:r>
      <w:r w:rsidR="00183309" w:rsidRPr="004068F6">
        <w:t>e</w:t>
      </w:r>
      <w:r w:rsidRPr="004068F6">
        <w:t xml:space="preserve">misiones </w:t>
      </w:r>
      <w:r w:rsidR="00183309" w:rsidRPr="004068F6">
        <w:t>a</w:t>
      </w:r>
      <w:r w:rsidRPr="004068F6">
        <w:t xml:space="preserve">tmosféricas </w:t>
      </w:r>
      <w:r w:rsidR="00183309" w:rsidRPr="004068F6">
        <w:t>f</w:t>
      </w:r>
      <w:r w:rsidRPr="004068F6">
        <w:t xml:space="preserve">uentes </w:t>
      </w:r>
      <w:r w:rsidR="00183309" w:rsidRPr="004068F6">
        <w:t>f</w:t>
      </w:r>
      <w:r w:rsidRPr="004068F6">
        <w:t>ijas establecido mediante la Resolución 2202 de 200</w:t>
      </w:r>
      <w:r w:rsidR="0088239C" w:rsidRPr="004068F6">
        <w:t>5</w:t>
      </w:r>
      <w:r w:rsidRPr="004068F6">
        <w:t xml:space="preserve"> o lo que disponga aquella norma que la modifique o sustituya.</w:t>
      </w:r>
    </w:p>
    <w:p w14:paraId="29178266" w14:textId="77777777" w:rsidR="00F23EFB" w:rsidRPr="004068F6" w:rsidRDefault="00F23EFB" w:rsidP="00F23EFB"/>
    <w:p w14:paraId="340614D7" w14:textId="305CC9FE" w:rsidR="00624C16" w:rsidRPr="004068F6" w:rsidRDefault="00624C16" w:rsidP="00F23EFB">
      <w:r w:rsidRPr="004068F6">
        <w:t>En caso de que el proyecto, obra o actividad genere olores ofensivos</w:t>
      </w:r>
      <w:r w:rsidR="00470A9C" w:rsidRPr="004068F6">
        <w:t xml:space="preserve"> y una vez Minambiente reglamente el permiso de emisión de olores,</w:t>
      </w:r>
      <w:r w:rsidRPr="004068F6">
        <w:t xml:space="preserve"> se debe</w:t>
      </w:r>
      <w:r w:rsidR="00FF6958" w:rsidRPr="004068F6">
        <w:t>n</w:t>
      </w:r>
      <w:r w:rsidRPr="004068F6">
        <w:t xml:space="preserve"> </w:t>
      </w:r>
      <w:r w:rsidR="00FF6958" w:rsidRPr="004068F6">
        <w:t xml:space="preserve">incluir dentro del trámite del </w:t>
      </w:r>
      <w:r w:rsidRPr="004068F6">
        <w:t>permiso de emisión atmosférica</w:t>
      </w:r>
      <w:r w:rsidR="00FF6958" w:rsidRPr="004068F6">
        <w:t xml:space="preserve">, las </w:t>
      </w:r>
      <w:r w:rsidRPr="004068F6">
        <w:t xml:space="preserve">actividades generadoras de olores ofensivos </w:t>
      </w:r>
      <w:r w:rsidR="00562399" w:rsidRPr="004068F6">
        <w:t>describiendo de manera detallada las características de las fuentes y de sus emisiones.</w:t>
      </w:r>
    </w:p>
    <w:p w14:paraId="685A557E" w14:textId="77777777" w:rsidR="00624C16" w:rsidRPr="004068F6" w:rsidRDefault="00624C16" w:rsidP="00F23EFB"/>
    <w:p w14:paraId="4BB7C6FE" w14:textId="2E1585FE" w:rsidR="004A1B3C" w:rsidRPr="004068F6" w:rsidRDefault="00F23EFB" w:rsidP="00F23EFB">
      <w:r w:rsidRPr="004068F6">
        <w:t xml:space="preserve">En caso de que el proyecto contemple fuentes de emisiones sujetas o no a permiso de emisiones, se debe presentar </w:t>
      </w:r>
      <w:r w:rsidR="004A1B3C" w:rsidRPr="004068F6">
        <w:t xml:space="preserve">un inventario de emisiones atmosféricas de </w:t>
      </w:r>
      <w:r w:rsidR="00796EEA" w:rsidRPr="004068F6">
        <w:t xml:space="preserve">todas las </w:t>
      </w:r>
      <w:r w:rsidR="004A1B3C" w:rsidRPr="004068F6">
        <w:t>fuentes asociadas al proyecto</w:t>
      </w:r>
      <w:r w:rsidR="00953BF3" w:rsidRPr="004068F6">
        <w:rPr>
          <w:spacing w:val="-3"/>
        </w:rPr>
        <w:t>, obra o actividad</w:t>
      </w:r>
      <w:r w:rsidR="00796EEA" w:rsidRPr="004068F6">
        <w:t xml:space="preserve"> </w:t>
      </w:r>
      <w:r w:rsidR="00183309" w:rsidRPr="004068F6">
        <w:t xml:space="preserve">siguiendo los lineamientos señalados en el </w:t>
      </w:r>
      <w:r w:rsidR="00796EEA" w:rsidRPr="004068F6">
        <w:t xml:space="preserve">numeral </w:t>
      </w:r>
      <w:r w:rsidR="00183309" w:rsidRPr="004068F6">
        <w:fldChar w:fldCharType="begin"/>
      </w:r>
      <w:r w:rsidR="00183309" w:rsidRPr="004068F6">
        <w:instrText xml:space="preserve"> REF _Ref77325696 \r \h  \* MERGEFORMAT </w:instrText>
      </w:r>
      <w:r w:rsidR="00183309" w:rsidRPr="004068F6">
        <w:fldChar w:fldCharType="separate"/>
      </w:r>
      <w:r w:rsidR="009C4A81">
        <w:t>6.7.1</w:t>
      </w:r>
      <w:r w:rsidR="00183309" w:rsidRPr="004068F6">
        <w:fldChar w:fldCharType="end"/>
      </w:r>
      <w:r w:rsidR="00183309" w:rsidRPr="004068F6">
        <w:t xml:space="preserve"> del capítulo III de este documento,</w:t>
      </w:r>
      <w:r w:rsidR="004A1B3C" w:rsidRPr="004068F6">
        <w:t xml:space="preserve"> y una model</w:t>
      </w:r>
      <w:r w:rsidR="00183309" w:rsidRPr="004068F6">
        <w:t>iz</w:t>
      </w:r>
      <w:r w:rsidR="004A1B3C" w:rsidRPr="004068F6">
        <w:t xml:space="preserve">ación de dispersión de </w:t>
      </w:r>
      <w:r w:rsidR="004A1B3C" w:rsidRPr="004068F6">
        <w:lastRenderedPageBreak/>
        <w:t xml:space="preserve">contaminantes para tres escenarios posibles (actual sin proyecto, futuro con proyecto sin medidas de </w:t>
      </w:r>
      <w:r w:rsidR="00402CE7" w:rsidRPr="004068F6">
        <w:t xml:space="preserve">manejo </w:t>
      </w:r>
      <w:r w:rsidR="004A1B3C" w:rsidRPr="004068F6">
        <w:t xml:space="preserve">y futuro con proyecto con medidas de </w:t>
      </w:r>
      <w:r w:rsidR="00402CE7" w:rsidRPr="004068F6">
        <w:t>manejo</w:t>
      </w:r>
      <w:r w:rsidR="004A1B3C" w:rsidRPr="004068F6">
        <w:t xml:space="preserve">) </w:t>
      </w:r>
      <w:r w:rsidR="00183309" w:rsidRPr="004068F6">
        <w:t xml:space="preserve">de acuerdo con los lineamientos mencionados en el </w:t>
      </w:r>
      <w:r w:rsidR="00796EEA" w:rsidRPr="004068F6">
        <w:t xml:space="preserve">numeral </w:t>
      </w:r>
      <w:r w:rsidR="00183309" w:rsidRPr="004068F6">
        <w:fldChar w:fldCharType="begin"/>
      </w:r>
      <w:r w:rsidR="00183309" w:rsidRPr="004068F6">
        <w:instrText xml:space="preserve"> REF _Ref77325705 \r \h  \* MERGEFORMAT </w:instrText>
      </w:r>
      <w:r w:rsidR="00183309" w:rsidRPr="004068F6">
        <w:fldChar w:fldCharType="separate"/>
      </w:r>
      <w:r w:rsidR="009C4A81">
        <w:t>6.7.2</w:t>
      </w:r>
      <w:r w:rsidR="00183309" w:rsidRPr="004068F6">
        <w:fldChar w:fldCharType="end"/>
      </w:r>
      <w:r w:rsidR="00183309" w:rsidRPr="004068F6">
        <w:t xml:space="preserve"> del capítulo III de esta metodología</w:t>
      </w:r>
      <w:r w:rsidR="004A1B3C" w:rsidRPr="004068F6">
        <w:t>.</w:t>
      </w:r>
    </w:p>
    <w:p w14:paraId="6459E885" w14:textId="77777777" w:rsidR="004A1B3C" w:rsidRPr="004068F6" w:rsidRDefault="004A1B3C" w:rsidP="00C86DA5"/>
    <w:p w14:paraId="683A25E2" w14:textId="61E7CBA9" w:rsidR="004A1B3C" w:rsidRPr="00466E26" w:rsidRDefault="004A1B3C" w:rsidP="000A1E20">
      <w:pPr>
        <w:pStyle w:val="Ttulo3"/>
      </w:pPr>
      <w:bookmarkStart w:id="3152" w:name="_Toc42874879"/>
      <w:bookmarkStart w:id="3153" w:name="_Toc437936049"/>
      <w:bookmarkStart w:id="3154" w:name="_Ref77325696"/>
      <w:bookmarkStart w:id="3155" w:name="_Toc230879679"/>
      <w:r w:rsidRPr="00466E26">
        <w:t xml:space="preserve">Emisión de contaminantes del aire – </w:t>
      </w:r>
      <w:r w:rsidR="00953BF3" w:rsidRPr="00466E26">
        <w:t>f</w:t>
      </w:r>
      <w:r w:rsidRPr="00466E26">
        <w:t>uentes de emisión</w:t>
      </w:r>
      <w:bookmarkEnd w:id="3152"/>
      <w:bookmarkEnd w:id="3153"/>
      <w:bookmarkEnd w:id="3154"/>
      <w:bookmarkEnd w:id="3155"/>
    </w:p>
    <w:p w14:paraId="19CC3AB4" w14:textId="77777777" w:rsidR="004A1B3C" w:rsidRPr="004068F6" w:rsidRDefault="004A1B3C" w:rsidP="00C86DA5">
      <w:bookmarkStart w:id="3156" w:name="_Toc274067227"/>
    </w:p>
    <w:p w14:paraId="4AF4B892" w14:textId="1D34DAB8" w:rsidR="004A1B3C" w:rsidRPr="004068F6" w:rsidRDefault="004A1B3C">
      <w:pPr>
        <w:numPr>
          <w:ilvl w:val="12"/>
          <w:numId w:val="0"/>
        </w:numPr>
        <w:tabs>
          <w:tab w:val="left" w:pos="-2268"/>
        </w:tabs>
        <w:suppressAutoHyphens/>
      </w:pPr>
      <w:r w:rsidRPr="004068F6">
        <w:t xml:space="preserve">Adicionalmente, para </w:t>
      </w:r>
      <w:r w:rsidR="0035104C" w:rsidRPr="004068F6">
        <w:t xml:space="preserve">todas </w:t>
      </w:r>
      <w:r w:rsidRPr="004068F6">
        <w:t>las fuentes de emisión del proyecto</w:t>
      </w:r>
      <w:r w:rsidR="00953BF3" w:rsidRPr="004068F6">
        <w:rPr>
          <w:spacing w:val="-3"/>
        </w:rPr>
        <w:t>, obra o actividad</w:t>
      </w:r>
      <w:r w:rsidRPr="004068F6">
        <w:t xml:space="preserve"> se debe realizar lo siguiente:</w:t>
      </w:r>
    </w:p>
    <w:p w14:paraId="2959A72F" w14:textId="77777777" w:rsidR="004A1B3C" w:rsidRPr="004068F6" w:rsidRDefault="004A1B3C" w:rsidP="00C86DA5"/>
    <w:p w14:paraId="6F6F905C" w14:textId="695148C9" w:rsidR="004A1B3C" w:rsidRPr="004068F6" w:rsidRDefault="00753425"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Determinar </w:t>
      </w:r>
      <w:r w:rsidR="004A1B3C" w:rsidRPr="004068F6">
        <w:rPr>
          <w:spacing w:val="-3"/>
          <w:lang w:val="es-CO"/>
        </w:rPr>
        <w:t xml:space="preserve">las fuentes de emisiones atmosféricas </w:t>
      </w:r>
      <w:r w:rsidR="00E3246B" w:rsidRPr="004068F6">
        <w:rPr>
          <w:spacing w:val="-3"/>
          <w:lang w:val="es-CO"/>
        </w:rPr>
        <w:t xml:space="preserve">fijas, de área y móviles </w:t>
      </w:r>
      <w:r w:rsidR="004A1B3C" w:rsidRPr="004068F6">
        <w:rPr>
          <w:spacing w:val="-3"/>
          <w:lang w:val="es-CO"/>
        </w:rPr>
        <w:t xml:space="preserve">asociadas a cada una de las </w:t>
      </w:r>
      <w:r w:rsidR="008015C3">
        <w:rPr>
          <w:spacing w:val="-3"/>
        </w:rPr>
        <w:t>etapas</w:t>
      </w:r>
      <w:r w:rsidR="008015C3" w:rsidRPr="004068F6" w:rsidDel="008015C3">
        <w:rPr>
          <w:spacing w:val="-3"/>
          <w:lang w:val="es-CO"/>
        </w:rPr>
        <w:t xml:space="preserve"> </w:t>
      </w:r>
      <w:r w:rsidR="004A1B3C" w:rsidRPr="004068F6">
        <w:rPr>
          <w:spacing w:val="-3"/>
          <w:lang w:val="es-CO"/>
        </w:rPr>
        <w:t>del proyecto</w:t>
      </w:r>
      <w:r w:rsidR="00E3246B" w:rsidRPr="004068F6">
        <w:rPr>
          <w:spacing w:val="-3"/>
          <w:lang w:val="es-CO"/>
        </w:rPr>
        <w:t xml:space="preserve">. Para las móviles se debe </w:t>
      </w:r>
      <w:r w:rsidR="004A1B3C" w:rsidRPr="004068F6">
        <w:rPr>
          <w:spacing w:val="-3"/>
          <w:lang w:val="es-CO"/>
        </w:rPr>
        <w:t>ten</w:t>
      </w:r>
      <w:r w:rsidR="00E3246B" w:rsidRPr="004068F6">
        <w:rPr>
          <w:spacing w:val="-3"/>
          <w:lang w:val="es-CO"/>
        </w:rPr>
        <w:t xml:space="preserve">er </w:t>
      </w:r>
      <w:r w:rsidR="004A1B3C" w:rsidRPr="004068F6">
        <w:rPr>
          <w:spacing w:val="-3"/>
          <w:lang w:val="es-CO"/>
        </w:rPr>
        <w:t xml:space="preserve">en cuenta los trazados de operación </w:t>
      </w:r>
      <w:r w:rsidR="00E3246B" w:rsidRPr="004068F6">
        <w:rPr>
          <w:spacing w:val="-3"/>
          <w:lang w:val="es-CO"/>
        </w:rPr>
        <w:t xml:space="preserve">y </w:t>
      </w:r>
      <w:r w:rsidR="004A1B3C" w:rsidRPr="004068F6">
        <w:rPr>
          <w:spacing w:val="-3"/>
          <w:lang w:val="es-CO"/>
        </w:rPr>
        <w:t>sus respectivos aforos.</w:t>
      </w:r>
    </w:p>
    <w:p w14:paraId="260214E8" w14:textId="77777777" w:rsidR="004A1B3C" w:rsidRPr="004068F6" w:rsidRDefault="004A1B3C" w:rsidP="00C86DA5">
      <w:pPr>
        <w:ind w:left="567" w:hanging="567"/>
      </w:pPr>
    </w:p>
    <w:p w14:paraId="38E8C8F2"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Incluir el plan de contingencia de los sistemas de control de emisiones.</w:t>
      </w:r>
    </w:p>
    <w:p w14:paraId="5571BC63" w14:textId="77777777" w:rsidR="004A1B3C" w:rsidRPr="004068F6" w:rsidRDefault="004A1B3C" w:rsidP="00C86DA5">
      <w:pPr>
        <w:pStyle w:val="Prrafodelista"/>
        <w:tabs>
          <w:tab w:val="left" w:pos="-2268"/>
        </w:tabs>
        <w:suppressAutoHyphens/>
        <w:ind w:left="567" w:hanging="567"/>
        <w:rPr>
          <w:spacing w:val="-3"/>
          <w:lang w:val="es-CO"/>
        </w:rPr>
      </w:pPr>
    </w:p>
    <w:p w14:paraId="0754FEF4" w14:textId="6E62280D"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Ubicar en planos georreferenciados las fuentes de emisiones de línea base y proyectadas de la actividad</w:t>
      </w:r>
      <w:r w:rsidR="0035104C" w:rsidRPr="00127BD4">
        <w:rPr>
          <w:lang w:val="es-CO"/>
        </w:rPr>
        <w:t xml:space="preserve"> </w:t>
      </w:r>
      <w:r w:rsidR="0035104C" w:rsidRPr="004068F6">
        <w:rPr>
          <w:spacing w:val="-3"/>
          <w:lang w:val="es-CO"/>
        </w:rPr>
        <w:t xml:space="preserve">diferenciadas para cada una de las </w:t>
      </w:r>
      <w:r w:rsidR="008015C3">
        <w:rPr>
          <w:spacing w:val="-3"/>
        </w:rPr>
        <w:t>etapas</w:t>
      </w:r>
      <w:r w:rsidR="008015C3" w:rsidRPr="004068F6" w:rsidDel="008015C3">
        <w:rPr>
          <w:spacing w:val="-3"/>
          <w:lang w:val="es-CO"/>
        </w:rPr>
        <w:t xml:space="preserve"> </w:t>
      </w:r>
      <w:r w:rsidR="0035104C" w:rsidRPr="004068F6">
        <w:rPr>
          <w:spacing w:val="-3"/>
          <w:lang w:val="es-CO"/>
        </w:rPr>
        <w:t>del proyecto</w:t>
      </w:r>
      <w:r w:rsidRPr="004068F6">
        <w:rPr>
          <w:spacing w:val="-3"/>
          <w:lang w:val="es-CO"/>
        </w:rPr>
        <w:t>.</w:t>
      </w:r>
      <w:r w:rsidR="00796EEA" w:rsidRPr="004068F6">
        <w:rPr>
          <w:spacing w:val="-3"/>
          <w:lang w:val="es-CO"/>
        </w:rPr>
        <w:t xml:space="preserve"> </w:t>
      </w:r>
      <w:r w:rsidR="00A7482C" w:rsidRPr="004068F6">
        <w:rPr>
          <w:spacing w:val="-3"/>
          <w:lang w:val="es-CO"/>
        </w:rPr>
        <w:t>En los proyectos en donde la zonificación ambiental constituye el elemento fundamental para su planificación (</w:t>
      </w:r>
      <w:r w:rsidR="00041844" w:rsidRPr="004068F6">
        <w:rPr>
          <w:spacing w:val="-3"/>
          <w:lang w:val="es-CO"/>
        </w:rPr>
        <w:t>p. ej.</w:t>
      </w:r>
      <w:r w:rsidR="00A7482C" w:rsidRPr="004068F6">
        <w:rPr>
          <w:spacing w:val="-3"/>
          <w:lang w:val="es-CO"/>
        </w:rPr>
        <w:t xml:space="preserve"> proyectos del sector hidrocarburos)</w:t>
      </w:r>
      <w:r w:rsidR="00796EEA" w:rsidRPr="004068F6">
        <w:rPr>
          <w:spacing w:val="-3"/>
          <w:lang w:val="es-CO"/>
        </w:rPr>
        <w:t>, se debe presentar la posible localización de las fuentes de emisión.</w:t>
      </w:r>
    </w:p>
    <w:p w14:paraId="62C59A13" w14:textId="77777777" w:rsidR="004A1B3C" w:rsidRPr="004068F6" w:rsidRDefault="004A1B3C" w:rsidP="00C86DA5">
      <w:pPr>
        <w:ind w:left="567" w:hanging="567"/>
      </w:pPr>
    </w:p>
    <w:p w14:paraId="397F7D68" w14:textId="46A75D2E" w:rsidR="0035104C" w:rsidRPr="004068F6" w:rsidRDefault="004A1B3C" w:rsidP="009420F5">
      <w:pPr>
        <w:pStyle w:val="Prrafodelista"/>
        <w:numPr>
          <w:ilvl w:val="0"/>
          <w:numId w:val="5"/>
        </w:numPr>
        <w:tabs>
          <w:tab w:val="left" w:pos="-2268"/>
        </w:tabs>
        <w:suppressAutoHyphens/>
        <w:ind w:left="567" w:hanging="567"/>
        <w:rPr>
          <w:spacing w:val="-3"/>
          <w:lang w:val="es-CO"/>
        </w:rPr>
      </w:pPr>
      <w:r w:rsidRPr="004068F6">
        <w:rPr>
          <w:spacing w:val="-3"/>
          <w:lang w:val="es-CO"/>
        </w:rPr>
        <w:t>Estimar la masa de descarga de los contaminantes atmosféricos previstos en los procesos y actividades, identificados como fuentes de emisión</w:t>
      </w:r>
      <w:r w:rsidR="0035104C" w:rsidRPr="004068F6">
        <w:rPr>
          <w:spacing w:val="-3"/>
          <w:lang w:val="es-CO"/>
        </w:rPr>
        <w:t xml:space="preserve"> en cada una de sus </w:t>
      </w:r>
      <w:r w:rsidR="009B1716">
        <w:rPr>
          <w:spacing w:val="-3"/>
        </w:rPr>
        <w:t>etapas</w:t>
      </w:r>
      <w:r w:rsidRPr="004068F6">
        <w:rPr>
          <w:spacing w:val="-3"/>
          <w:lang w:val="es-CO"/>
        </w:rPr>
        <w:t>.</w:t>
      </w:r>
    </w:p>
    <w:p w14:paraId="6AFAC104" w14:textId="77777777" w:rsidR="0035104C" w:rsidRPr="004068F6" w:rsidRDefault="0035104C" w:rsidP="000D6E21">
      <w:pPr>
        <w:rPr>
          <w:spacing w:val="-3"/>
        </w:rPr>
      </w:pPr>
    </w:p>
    <w:p w14:paraId="420FA58D" w14:textId="77777777" w:rsidR="0035104C" w:rsidRPr="004068F6" w:rsidRDefault="004A1B3C" w:rsidP="0035104C">
      <w:pPr>
        <w:pStyle w:val="Prrafodelista"/>
        <w:tabs>
          <w:tab w:val="left" w:pos="-2268"/>
        </w:tabs>
        <w:suppressAutoHyphens/>
        <w:ind w:left="567"/>
        <w:rPr>
          <w:spacing w:val="-3"/>
          <w:lang w:val="es-CO"/>
        </w:rPr>
      </w:pPr>
      <w:r w:rsidRPr="004068F6">
        <w:rPr>
          <w:spacing w:val="-3"/>
          <w:lang w:val="es-CO"/>
        </w:rPr>
        <w:t xml:space="preserve">Esta estimación se debe realizar con base en los lineamientos establecidos en </w:t>
      </w:r>
      <w:r w:rsidR="00796EEA" w:rsidRPr="004068F6">
        <w:rPr>
          <w:spacing w:val="-3"/>
          <w:lang w:val="es-CO"/>
        </w:rPr>
        <w:t xml:space="preserve">documentos como </w:t>
      </w:r>
      <w:r w:rsidRPr="004068F6">
        <w:rPr>
          <w:spacing w:val="-3"/>
          <w:lang w:val="es-CO"/>
        </w:rPr>
        <w:t xml:space="preserve">el Protocolo para el </w:t>
      </w:r>
      <w:r w:rsidR="00E3246B" w:rsidRPr="004068F6">
        <w:rPr>
          <w:spacing w:val="-3"/>
          <w:lang w:val="es-CO"/>
        </w:rPr>
        <w:t>c</w:t>
      </w:r>
      <w:r w:rsidRPr="004068F6">
        <w:rPr>
          <w:spacing w:val="-3"/>
          <w:lang w:val="es-CO"/>
        </w:rPr>
        <w:t>ontrol y vigilancia de la contaminación atmosférica generada por fuentes fijas (MAVDT, 2010b)</w:t>
      </w:r>
      <w:r w:rsidR="00796EEA" w:rsidRPr="004068F6">
        <w:rPr>
          <w:spacing w:val="-3"/>
          <w:lang w:val="es-CO"/>
        </w:rPr>
        <w:t xml:space="preserve"> y la Guía para la </w:t>
      </w:r>
      <w:r w:rsidR="00E3246B" w:rsidRPr="004068F6">
        <w:rPr>
          <w:spacing w:val="-3"/>
          <w:lang w:val="es-CO"/>
        </w:rPr>
        <w:t>e</w:t>
      </w:r>
      <w:r w:rsidR="00796EEA" w:rsidRPr="004068F6">
        <w:rPr>
          <w:spacing w:val="-3"/>
          <w:lang w:val="es-CO"/>
        </w:rPr>
        <w:t xml:space="preserve">laboración de </w:t>
      </w:r>
      <w:r w:rsidR="00E3246B" w:rsidRPr="004068F6">
        <w:rPr>
          <w:spacing w:val="-3"/>
          <w:lang w:val="es-CO"/>
        </w:rPr>
        <w:t>i</w:t>
      </w:r>
      <w:r w:rsidR="00796EEA" w:rsidRPr="004068F6">
        <w:rPr>
          <w:spacing w:val="-3"/>
          <w:lang w:val="es-CO"/>
        </w:rPr>
        <w:t xml:space="preserve">nventarios de </w:t>
      </w:r>
      <w:r w:rsidR="00E3246B" w:rsidRPr="004068F6">
        <w:rPr>
          <w:spacing w:val="-3"/>
          <w:lang w:val="es-CO"/>
        </w:rPr>
        <w:t>e</w:t>
      </w:r>
      <w:r w:rsidR="00796EEA" w:rsidRPr="004068F6">
        <w:rPr>
          <w:spacing w:val="-3"/>
          <w:lang w:val="es-CO"/>
        </w:rPr>
        <w:t xml:space="preserve">misiones </w:t>
      </w:r>
      <w:r w:rsidR="00E3246B" w:rsidRPr="004068F6">
        <w:rPr>
          <w:spacing w:val="-3"/>
          <w:lang w:val="es-CO"/>
        </w:rPr>
        <w:t>a</w:t>
      </w:r>
      <w:r w:rsidR="00796EEA" w:rsidRPr="004068F6">
        <w:rPr>
          <w:spacing w:val="-3"/>
          <w:lang w:val="es-CO"/>
        </w:rPr>
        <w:t>tmosféricas (</w:t>
      </w:r>
      <w:r w:rsidR="008F453F" w:rsidRPr="004068F6">
        <w:rPr>
          <w:spacing w:val="-3"/>
          <w:lang w:val="es-CO"/>
        </w:rPr>
        <w:t>Gaitán &amp; Cárdenas</w:t>
      </w:r>
      <w:r w:rsidR="00796EEA" w:rsidRPr="004068F6">
        <w:rPr>
          <w:spacing w:val="-3"/>
          <w:lang w:val="es-CO"/>
        </w:rPr>
        <w:t>, 2017)</w:t>
      </w:r>
      <w:r w:rsidRPr="004068F6">
        <w:rPr>
          <w:spacing w:val="-3"/>
          <w:lang w:val="es-CO"/>
        </w:rPr>
        <w:t>.</w:t>
      </w:r>
    </w:p>
    <w:p w14:paraId="08BEB077" w14:textId="77777777" w:rsidR="0035104C" w:rsidRPr="004068F6" w:rsidRDefault="0035104C" w:rsidP="000D6E21">
      <w:pPr>
        <w:tabs>
          <w:tab w:val="left" w:pos="-2268"/>
        </w:tabs>
        <w:suppressAutoHyphens/>
        <w:rPr>
          <w:spacing w:val="-3"/>
        </w:rPr>
      </w:pPr>
    </w:p>
    <w:p w14:paraId="1BBC5B8A" w14:textId="0E1E96AC" w:rsidR="0035104C" w:rsidRPr="004068F6" w:rsidRDefault="00A74731" w:rsidP="0035104C">
      <w:pPr>
        <w:pStyle w:val="Prrafodelista"/>
        <w:tabs>
          <w:tab w:val="left" w:pos="-2268"/>
        </w:tabs>
        <w:suppressAutoHyphens/>
        <w:ind w:left="567"/>
        <w:rPr>
          <w:spacing w:val="-3"/>
          <w:lang w:val="es-CO"/>
        </w:rPr>
      </w:pPr>
      <w:r w:rsidRPr="004068F6">
        <w:rPr>
          <w:spacing w:val="-3"/>
          <w:lang w:val="es-CO"/>
        </w:rPr>
        <w:t>Hasta tanto se adopten factores de emisión locales</w:t>
      </w:r>
      <w:r w:rsidR="004A1B3C" w:rsidRPr="004068F6">
        <w:rPr>
          <w:spacing w:val="-3"/>
          <w:lang w:val="es-CO"/>
        </w:rPr>
        <w:t>, se debe</w:t>
      </w:r>
      <w:r w:rsidR="005A371C" w:rsidRPr="004068F6">
        <w:rPr>
          <w:spacing w:val="-3"/>
          <w:lang w:val="es-CO"/>
        </w:rPr>
        <w:t>n</w:t>
      </w:r>
      <w:r w:rsidR="004A1B3C" w:rsidRPr="004068F6">
        <w:rPr>
          <w:spacing w:val="-3"/>
          <w:lang w:val="es-CO"/>
        </w:rPr>
        <w:t xml:space="preserve"> tener </w:t>
      </w:r>
      <w:r w:rsidR="0035104C" w:rsidRPr="004068F6">
        <w:rPr>
          <w:spacing w:val="-3"/>
          <w:lang w:val="es-CO"/>
        </w:rPr>
        <w:t xml:space="preserve">emplear </w:t>
      </w:r>
      <w:r w:rsidR="004A1B3C" w:rsidRPr="004068F6">
        <w:rPr>
          <w:spacing w:val="-3"/>
          <w:lang w:val="es-CO"/>
        </w:rPr>
        <w:t xml:space="preserve">los factores de emisión reportados por </w:t>
      </w:r>
      <w:r w:rsidR="00300B16" w:rsidRPr="004068F6">
        <w:rPr>
          <w:spacing w:val="-3"/>
          <w:lang w:val="es-CO"/>
        </w:rPr>
        <w:t xml:space="preserve">la </w:t>
      </w:r>
      <w:r w:rsidR="006E0938" w:rsidRPr="004068F6">
        <w:rPr>
          <w:spacing w:val="-3"/>
          <w:lang w:val="es-CO"/>
        </w:rPr>
        <w:t>U.S. Environmental Protection Agency</w:t>
      </w:r>
      <w:r w:rsidR="00D64853" w:rsidRPr="004068F6">
        <w:rPr>
          <w:spacing w:val="-3"/>
          <w:lang w:val="es-CO"/>
        </w:rPr>
        <w:t xml:space="preserve"> </w:t>
      </w:r>
      <w:r w:rsidR="00300B16" w:rsidRPr="004068F6">
        <w:rPr>
          <w:spacing w:val="-3"/>
          <w:lang w:val="es-CO"/>
        </w:rPr>
        <w:t xml:space="preserve">(US </w:t>
      </w:r>
      <w:r w:rsidR="004A1B3C" w:rsidRPr="004068F6">
        <w:rPr>
          <w:spacing w:val="-3"/>
          <w:lang w:val="es-CO"/>
        </w:rPr>
        <w:t>EPA</w:t>
      </w:r>
      <w:r w:rsidR="00300B16" w:rsidRPr="004068F6">
        <w:rPr>
          <w:spacing w:val="-3"/>
          <w:lang w:val="es-CO"/>
        </w:rPr>
        <w:t>)</w:t>
      </w:r>
      <w:r w:rsidR="004A1B3C" w:rsidRPr="004068F6">
        <w:rPr>
          <w:spacing w:val="-3"/>
          <w:lang w:val="es-CO"/>
        </w:rPr>
        <w:t xml:space="preserve">, </w:t>
      </w:r>
      <w:r w:rsidR="006E0938" w:rsidRPr="004068F6">
        <w:rPr>
          <w:spacing w:val="-3"/>
          <w:lang w:val="es-CO"/>
        </w:rPr>
        <w:t xml:space="preserve">el </w:t>
      </w:r>
      <w:r w:rsidR="005A371C" w:rsidRPr="004068F6">
        <w:rPr>
          <w:spacing w:val="-3"/>
          <w:lang w:val="es-CO"/>
        </w:rPr>
        <w:t>EMEP/EEA air pollutant emission inventory guidebook 2019</w:t>
      </w:r>
      <w:r w:rsidR="005A371C" w:rsidRPr="004068F6">
        <w:rPr>
          <w:iCs/>
          <w:spacing w:val="-3"/>
          <w:lang w:val="es-CO"/>
        </w:rPr>
        <w:t xml:space="preserve"> (EMEP &amp; EEA, 2019)</w:t>
      </w:r>
      <w:r w:rsidR="004A1B3C" w:rsidRPr="004068F6">
        <w:rPr>
          <w:spacing w:val="-3"/>
          <w:lang w:val="es-CO"/>
        </w:rPr>
        <w:t xml:space="preserve"> y </w:t>
      </w:r>
      <w:r w:rsidR="00FC03A0" w:rsidRPr="004068F6">
        <w:rPr>
          <w:spacing w:val="-3"/>
          <w:lang w:val="es-CO"/>
        </w:rPr>
        <w:t>el The National Pollutant Inventory (NPI) de Australia</w:t>
      </w:r>
      <w:r w:rsidR="004A1B3C" w:rsidRPr="004068F6">
        <w:rPr>
          <w:rFonts w:cs="Arial"/>
          <w:spacing w:val="-3"/>
          <w:lang w:val="es-CO"/>
        </w:rPr>
        <w:t>, u otr</w:t>
      </w:r>
      <w:r w:rsidR="00FC03A0" w:rsidRPr="004068F6">
        <w:rPr>
          <w:rFonts w:cs="Arial"/>
          <w:spacing w:val="-3"/>
          <w:lang w:val="es-CO"/>
        </w:rPr>
        <w:t>a</w:t>
      </w:r>
      <w:r w:rsidR="004A1B3C" w:rsidRPr="004068F6">
        <w:rPr>
          <w:rFonts w:cs="Arial"/>
          <w:spacing w:val="-3"/>
          <w:lang w:val="es-CO"/>
        </w:rPr>
        <w:t xml:space="preserve"> </w:t>
      </w:r>
      <w:r w:rsidR="00FC03A0" w:rsidRPr="004068F6">
        <w:rPr>
          <w:rFonts w:cs="Arial"/>
          <w:spacing w:val="-3"/>
          <w:lang w:val="es-CO"/>
        </w:rPr>
        <w:t xml:space="preserve">fuente </w:t>
      </w:r>
      <w:r w:rsidR="004A1B3C" w:rsidRPr="004068F6">
        <w:rPr>
          <w:rFonts w:cs="Arial"/>
          <w:spacing w:val="-3"/>
          <w:lang w:val="es-CO"/>
        </w:rPr>
        <w:t>que cuente con reconocimiento técnico y científico a nivel nacional e internacional</w:t>
      </w:r>
      <w:r w:rsidR="0035104C" w:rsidRPr="004068F6">
        <w:rPr>
          <w:rFonts w:cs="Arial"/>
          <w:spacing w:val="-3"/>
          <w:lang w:val="es-CO"/>
        </w:rPr>
        <w:t>.</w:t>
      </w:r>
      <w:r w:rsidR="0035104C" w:rsidRPr="00127BD4">
        <w:rPr>
          <w:lang w:val="es-CO"/>
        </w:rPr>
        <w:t xml:space="preserve"> </w:t>
      </w:r>
      <w:r w:rsidR="0035104C" w:rsidRPr="004068F6">
        <w:rPr>
          <w:rFonts w:cs="Arial"/>
          <w:spacing w:val="-3"/>
          <w:lang w:val="es-CO"/>
        </w:rPr>
        <w:t>El uso de estos factores debe ser fiel a la metodología seleccionada y realizarse dentro de los rangos recomendados, evitando la subestimación</w:t>
      </w:r>
      <w:r w:rsidR="004A1B3C" w:rsidRPr="004068F6">
        <w:rPr>
          <w:rFonts w:cs="Arial"/>
          <w:spacing w:val="-3"/>
          <w:lang w:val="es-CO"/>
        </w:rPr>
        <w:t>.</w:t>
      </w:r>
    </w:p>
    <w:p w14:paraId="4F72C77C" w14:textId="77777777" w:rsidR="0035104C" w:rsidRPr="004068F6" w:rsidRDefault="0035104C" w:rsidP="000D6E21">
      <w:pPr>
        <w:tabs>
          <w:tab w:val="left" w:pos="-2268"/>
        </w:tabs>
        <w:suppressAutoHyphens/>
        <w:rPr>
          <w:spacing w:val="-3"/>
        </w:rPr>
      </w:pPr>
    </w:p>
    <w:p w14:paraId="51B4B706" w14:textId="306C361B" w:rsidR="004A1B3C" w:rsidRPr="004068F6" w:rsidRDefault="0035104C" w:rsidP="0035104C">
      <w:pPr>
        <w:pStyle w:val="Prrafodelista"/>
        <w:tabs>
          <w:tab w:val="left" w:pos="-2268"/>
        </w:tabs>
        <w:suppressAutoHyphens/>
        <w:ind w:left="567"/>
        <w:rPr>
          <w:spacing w:val="-3"/>
          <w:lang w:val="es-CO"/>
        </w:rPr>
      </w:pPr>
      <w:r w:rsidRPr="004068F6">
        <w:rPr>
          <w:spacing w:val="-3"/>
          <w:lang w:val="es-CO"/>
        </w:rPr>
        <w:t>Se debe a</w:t>
      </w:r>
      <w:r w:rsidR="004A1B3C" w:rsidRPr="004068F6">
        <w:rPr>
          <w:spacing w:val="-3"/>
          <w:lang w:val="es-CO"/>
        </w:rPr>
        <w:t xml:space="preserve">nexar sustento de los cálculos </w:t>
      </w:r>
      <w:r w:rsidR="008F453F" w:rsidRPr="004068F6">
        <w:rPr>
          <w:spacing w:val="-3"/>
          <w:lang w:val="es-CO"/>
        </w:rPr>
        <w:t>con</w:t>
      </w:r>
      <w:r w:rsidR="00796EEA" w:rsidRPr="004068F6">
        <w:rPr>
          <w:spacing w:val="-3"/>
          <w:lang w:val="es-CO"/>
        </w:rPr>
        <w:t xml:space="preserve"> suposiciones realizadas en formato editable</w:t>
      </w:r>
      <w:r w:rsidRPr="004068F6">
        <w:rPr>
          <w:spacing w:val="-3"/>
          <w:lang w:val="es-CO"/>
        </w:rPr>
        <w:t xml:space="preserve"> en un archivo Excel o similar</w:t>
      </w:r>
      <w:r w:rsidR="00796EEA" w:rsidRPr="004068F6">
        <w:rPr>
          <w:spacing w:val="-3"/>
          <w:lang w:val="es-CO"/>
        </w:rPr>
        <w:t xml:space="preserve">, </w:t>
      </w:r>
      <w:r w:rsidRPr="004068F6">
        <w:rPr>
          <w:spacing w:val="-3"/>
          <w:lang w:val="es-CO"/>
        </w:rPr>
        <w:t xml:space="preserve">formulado y sin restricciones de ningún tipo, en el que se presenten </w:t>
      </w:r>
      <w:r w:rsidR="00796EEA" w:rsidRPr="004068F6">
        <w:rPr>
          <w:spacing w:val="-3"/>
          <w:lang w:val="es-CO"/>
        </w:rPr>
        <w:t>las referencias usadas en la selección en factores de actividad, factores de emisión, parámetros</w:t>
      </w:r>
      <w:r w:rsidRPr="004068F6">
        <w:rPr>
          <w:spacing w:val="-3"/>
          <w:lang w:val="es-CO"/>
        </w:rPr>
        <w:t xml:space="preserve"> de cálculo</w:t>
      </w:r>
      <w:r w:rsidR="00796EEA" w:rsidRPr="004068F6">
        <w:rPr>
          <w:spacing w:val="-3"/>
          <w:lang w:val="es-CO"/>
        </w:rPr>
        <w:t>, entre otros</w:t>
      </w:r>
      <w:r w:rsidRPr="004068F6">
        <w:rPr>
          <w:spacing w:val="-3"/>
          <w:lang w:val="es-CO"/>
        </w:rPr>
        <w:t>.</w:t>
      </w:r>
      <w:r w:rsidR="00796EEA" w:rsidRPr="004068F6">
        <w:rPr>
          <w:spacing w:val="-3"/>
          <w:lang w:val="es-CO"/>
        </w:rPr>
        <w:t xml:space="preserve"> </w:t>
      </w:r>
      <w:r w:rsidRPr="004068F6">
        <w:rPr>
          <w:spacing w:val="-3"/>
          <w:lang w:val="es-CO"/>
        </w:rPr>
        <w:t xml:space="preserve">Lo anterior para que sea </w:t>
      </w:r>
      <w:r w:rsidRPr="004068F6">
        <w:rPr>
          <w:spacing w:val="-3"/>
          <w:lang w:val="es-CO"/>
        </w:rPr>
        <w:lastRenderedPageBreak/>
        <w:t xml:space="preserve">posible </w:t>
      </w:r>
      <w:r w:rsidR="00796EEA" w:rsidRPr="004068F6">
        <w:rPr>
          <w:spacing w:val="-3"/>
          <w:lang w:val="es-CO"/>
        </w:rPr>
        <w:t xml:space="preserve">verificar </w:t>
      </w:r>
      <w:r w:rsidRPr="004068F6">
        <w:rPr>
          <w:spacing w:val="-3"/>
          <w:lang w:val="es-CO"/>
        </w:rPr>
        <w:t xml:space="preserve">toda </w:t>
      </w:r>
      <w:r w:rsidR="00796EEA" w:rsidRPr="004068F6">
        <w:rPr>
          <w:spacing w:val="-3"/>
          <w:lang w:val="es-CO"/>
        </w:rPr>
        <w:t xml:space="preserve">la trazabilidad de </w:t>
      </w:r>
      <w:r w:rsidRPr="004068F6">
        <w:rPr>
          <w:spacing w:val="-3"/>
          <w:lang w:val="es-CO"/>
        </w:rPr>
        <w:t xml:space="preserve">los niveles de actividad y de </w:t>
      </w:r>
      <w:r w:rsidR="00796EEA" w:rsidRPr="004068F6">
        <w:rPr>
          <w:spacing w:val="-3"/>
          <w:lang w:val="es-CO"/>
        </w:rPr>
        <w:t xml:space="preserve">las estimaciones </w:t>
      </w:r>
      <w:r w:rsidRPr="004068F6">
        <w:rPr>
          <w:spacing w:val="-3"/>
          <w:lang w:val="es-CO"/>
        </w:rPr>
        <w:t xml:space="preserve">de emisiones </w:t>
      </w:r>
      <w:r w:rsidR="00796EEA" w:rsidRPr="004068F6">
        <w:rPr>
          <w:spacing w:val="-3"/>
          <w:lang w:val="es-CO"/>
        </w:rPr>
        <w:t>obtenidas</w:t>
      </w:r>
      <w:r w:rsidR="004A1B3C" w:rsidRPr="004068F6">
        <w:rPr>
          <w:spacing w:val="-3"/>
          <w:lang w:val="es-CO"/>
        </w:rPr>
        <w:t>.</w:t>
      </w:r>
    </w:p>
    <w:p w14:paraId="4F5CE736" w14:textId="77777777" w:rsidR="00AF6F4B" w:rsidRPr="004068F6" w:rsidRDefault="00AF6F4B" w:rsidP="000D6E21">
      <w:pPr>
        <w:tabs>
          <w:tab w:val="left" w:pos="-2268"/>
        </w:tabs>
        <w:suppressAutoHyphens/>
        <w:rPr>
          <w:spacing w:val="-3"/>
        </w:rPr>
      </w:pPr>
    </w:p>
    <w:p w14:paraId="1CCF9ADA" w14:textId="0FC437DC" w:rsidR="00AF6F4B" w:rsidRPr="004068F6" w:rsidRDefault="007F4BC6" w:rsidP="000D6E21">
      <w:pPr>
        <w:pStyle w:val="Prrafodelista"/>
        <w:tabs>
          <w:tab w:val="left" w:pos="-2268"/>
        </w:tabs>
        <w:suppressAutoHyphens/>
        <w:ind w:left="567"/>
        <w:rPr>
          <w:spacing w:val="-3"/>
          <w:lang w:val="es-CO"/>
        </w:rPr>
      </w:pPr>
      <w:r w:rsidRPr="004068F6">
        <w:rPr>
          <w:spacing w:val="-3"/>
          <w:lang w:val="es-CO"/>
        </w:rPr>
        <w:t xml:space="preserve">En caso de que </w:t>
      </w:r>
      <w:r w:rsidR="00AF6F4B" w:rsidRPr="004068F6">
        <w:rPr>
          <w:spacing w:val="-3"/>
          <w:lang w:val="es-CO"/>
        </w:rPr>
        <w:t>no se encuentre información que permita la estimación de las emisiones, se debe</w:t>
      </w:r>
      <w:r w:rsidRPr="004068F6">
        <w:rPr>
          <w:spacing w:val="-3"/>
          <w:lang w:val="es-CO"/>
        </w:rPr>
        <w:t>n</w:t>
      </w:r>
      <w:r w:rsidR="00AF6F4B" w:rsidRPr="004068F6">
        <w:rPr>
          <w:spacing w:val="-3"/>
          <w:lang w:val="es-CO"/>
        </w:rPr>
        <w:t xml:space="preserve"> realizar homologaciones </w:t>
      </w:r>
      <w:r w:rsidR="00063F94" w:rsidRPr="004068F6">
        <w:rPr>
          <w:spacing w:val="-3"/>
          <w:lang w:val="es-CO"/>
        </w:rPr>
        <w:t xml:space="preserve">y justificar </w:t>
      </w:r>
      <w:r w:rsidR="00AF6F4B" w:rsidRPr="004068F6">
        <w:rPr>
          <w:spacing w:val="-3"/>
          <w:lang w:val="es-CO"/>
        </w:rPr>
        <w:t xml:space="preserve">adecuadamente </w:t>
      </w:r>
      <w:r w:rsidR="00063F94" w:rsidRPr="004068F6">
        <w:rPr>
          <w:spacing w:val="-3"/>
          <w:lang w:val="es-CO"/>
        </w:rPr>
        <w:t xml:space="preserve">su uso; si ello </w:t>
      </w:r>
      <w:r w:rsidR="00AF6F4B" w:rsidRPr="004068F6">
        <w:rPr>
          <w:spacing w:val="-3"/>
          <w:lang w:val="es-CO"/>
        </w:rPr>
        <w:t xml:space="preserve">no </w:t>
      </w:r>
      <w:r w:rsidR="00063F94" w:rsidRPr="004068F6">
        <w:rPr>
          <w:spacing w:val="-3"/>
          <w:lang w:val="es-CO"/>
        </w:rPr>
        <w:t>es</w:t>
      </w:r>
      <w:r w:rsidR="00AF6F4B" w:rsidRPr="004068F6">
        <w:rPr>
          <w:spacing w:val="-3"/>
          <w:lang w:val="es-CO"/>
        </w:rPr>
        <w:t xml:space="preserve"> posible</w:t>
      </w:r>
      <w:r w:rsidR="00063F94" w:rsidRPr="004068F6">
        <w:rPr>
          <w:spacing w:val="-3"/>
          <w:lang w:val="es-CO"/>
        </w:rPr>
        <w:t>,</w:t>
      </w:r>
      <w:r w:rsidR="00AF6F4B" w:rsidRPr="004068F6">
        <w:rPr>
          <w:spacing w:val="-3"/>
          <w:lang w:val="es-CO"/>
        </w:rPr>
        <w:t xml:space="preserve"> se debe</w:t>
      </w:r>
      <w:r w:rsidR="00063F94" w:rsidRPr="004068F6">
        <w:rPr>
          <w:spacing w:val="-3"/>
          <w:lang w:val="es-CO"/>
        </w:rPr>
        <w:t xml:space="preserve">n señalar las razones que no permiten emplearlas </w:t>
      </w:r>
      <w:r w:rsidR="00006901" w:rsidRPr="004068F6">
        <w:rPr>
          <w:spacing w:val="-3"/>
          <w:lang w:val="es-CO"/>
        </w:rPr>
        <w:t xml:space="preserve">ni </w:t>
      </w:r>
      <w:r w:rsidR="00AF6F4B" w:rsidRPr="004068F6">
        <w:rPr>
          <w:spacing w:val="-3"/>
          <w:lang w:val="es-CO"/>
        </w:rPr>
        <w:t>inclu</w:t>
      </w:r>
      <w:r w:rsidR="00006901" w:rsidRPr="004068F6">
        <w:rPr>
          <w:spacing w:val="-3"/>
          <w:lang w:val="es-CO"/>
        </w:rPr>
        <w:t xml:space="preserve">ir </w:t>
      </w:r>
      <w:r w:rsidR="00AF6F4B" w:rsidRPr="004068F6">
        <w:rPr>
          <w:spacing w:val="-3"/>
          <w:lang w:val="es-CO"/>
        </w:rPr>
        <w:t xml:space="preserve">la actividad </w:t>
      </w:r>
      <w:r w:rsidR="00006901" w:rsidRPr="004068F6">
        <w:rPr>
          <w:spacing w:val="-3"/>
          <w:lang w:val="es-CO"/>
        </w:rPr>
        <w:t xml:space="preserve">asociada </w:t>
      </w:r>
      <w:r w:rsidR="00AF6F4B" w:rsidRPr="004068F6">
        <w:rPr>
          <w:spacing w:val="-3"/>
          <w:lang w:val="es-CO"/>
        </w:rPr>
        <w:t>en el inventario.</w:t>
      </w:r>
    </w:p>
    <w:p w14:paraId="1CDE3F24" w14:textId="77777777" w:rsidR="004A1B3C" w:rsidRPr="004068F6" w:rsidRDefault="004A1B3C" w:rsidP="00C86DA5"/>
    <w:p w14:paraId="207D6307" w14:textId="57E67A05" w:rsidR="0087262F" w:rsidRPr="00127BD4" w:rsidRDefault="0087262F" w:rsidP="000D6E21">
      <w:pPr>
        <w:pStyle w:val="Prrafodelista"/>
        <w:numPr>
          <w:ilvl w:val="0"/>
          <w:numId w:val="5"/>
        </w:numPr>
        <w:tabs>
          <w:tab w:val="left" w:pos="-2268"/>
        </w:tabs>
        <w:suppressAutoHyphens/>
        <w:ind w:left="567" w:hanging="567"/>
        <w:rPr>
          <w:spacing w:val="-3"/>
          <w:lang w:val="es-CO"/>
        </w:rPr>
      </w:pPr>
      <w:r w:rsidRPr="004068F6">
        <w:rPr>
          <w:spacing w:val="-3"/>
          <w:lang w:val="es-CO"/>
        </w:rPr>
        <w:t>Incluir, para las fuentes que cuenten con equipos de control al final del proceso, el plan de contingencia de los sistemas de control de emisiones, así como las demás obligaciones para este tipo de fuentes definidas por el Protocolo para el Control y Vigilancia de la Contaminación Atmosférica generada por Fuentes Fijas adoptado mediante la Resolución 760 de 2010, ajustado por la Resolución 2153 de 2010 y adicionado mediante Resolución 1632 de 2012, o aquellas normas que las modifiquen o sustituyan.</w:t>
      </w:r>
    </w:p>
    <w:p w14:paraId="11C02F69" w14:textId="77777777" w:rsidR="0087262F" w:rsidRPr="004068F6" w:rsidRDefault="0087262F" w:rsidP="00C86DA5"/>
    <w:p w14:paraId="15291961" w14:textId="42648525" w:rsidR="004A1B3C" w:rsidRPr="004068F6" w:rsidRDefault="004A1B3C" w:rsidP="00C86DA5">
      <w:r w:rsidRPr="004068F6">
        <w:t xml:space="preserve">Para </w:t>
      </w:r>
      <w:r w:rsidR="00306946" w:rsidRPr="004068F6">
        <w:t xml:space="preserve">las </w:t>
      </w:r>
      <w:r w:rsidRPr="004068F6">
        <w:t>fuentes móviles se pueden utilizar modelos de emisión de fuentes móviles (</w:t>
      </w:r>
      <w:r w:rsidR="00041844" w:rsidRPr="004068F6">
        <w:t>p. ej.</w:t>
      </w:r>
      <w:r w:rsidRPr="004068F6">
        <w:t xml:space="preserve"> IVE, MOBILE, MOVES y COPERT) combinados con variables locales (distancias viajadas por la flota, </w:t>
      </w:r>
      <w:r w:rsidR="00306946" w:rsidRPr="004068F6">
        <w:t xml:space="preserve">estimaciones de viaje de la flota ida y vuelta, </w:t>
      </w:r>
      <w:r w:rsidRPr="004068F6">
        <w:t>velocidades</w:t>
      </w:r>
      <w:r w:rsidR="00306946" w:rsidRPr="004068F6">
        <w:t xml:space="preserve"> de vehículos</w:t>
      </w:r>
      <w:r w:rsidRPr="004068F6">
        <w:t>, entre otros), o factores de emisión de entidades de reconocida idoneidad en la materia.</w:t>
      </w:r>
    </w:p>
    <w:p w14:paraId="64BF54C9" w14:textId="77777777" w:rsidR="004A1B3C" w:rsidRPr="004068F6" w:rsidRDefault="004A1B3C" w:rsidP="00C86DA5"/>
    <w:p w14:paraId="1B2485DA" w14:textId="2554C664" w:rsidR="004A1B3C" w:rsidRPr="004068F6" w:rsidRDefault="004A1B3C" w:rsidP="00C86DA5">
      <w:r w:rsidRPr="004068F6">
        <w:t>El aforo vehicular</w:t>
      </w:r>
      <w:r w:rsidRPr="004068F6">
        <w:rPr>
          <w:rFonts w:cs="Arial"/>
        </w:rPr>
        <w:t xml:space="preserve"> </w:t>
      </w:r>
      <w:r w:rsidR="00262C6C" w:rsidRPr="004068F6">
        <w:rPr>
          <w:rFonts w:cs="Arial"/>
        </w:rPr>
        <w:t xml:space="preserve">que se debe </w:t>
      </w:r>
      <w:r w:rsidR="008F453F" w:rsidRPr="004068F6">
        <w:t xml:space="preserve">realizar </w:t>
      </w:r>
      <w:r w:rsidRPr="004068F6">
        <w:rPr>
          <w:rFonts w:cs="Arial"/>
        </w:rPr>
        <w:t xml:space="preserve">(diario o nocturno, dependiendo de las particularidades del </w:t>
      </w:r>
      <w:r w:rsidR="00676DE6" w:rsidRPr="004068F6">
        <w:rPr>
          <w:rFonts w:cs="Arial"/>
        </w:rPr>
        <w:t>proyecto, obra o actividad</w:t>
      </w:r>
      <w:r w:rsidRPr="004068F6">
        <w:rPr>
          <w:rFonts w:cs="Arial"/>
        </w:rPr>
        <w:t>)</w:t>
      </w:r>
      <w:r w:rsidRPr="004068F6">
        <w:t xml:space="preserve"> tiene como propósito la </w:t>
      </w:r>
      <w:r w:rsidR="00B624F9" w:rsidRPr="004068F6">
        <w:t xml:space="preserve">determinación </w:t>
      </w:r>
      <w:r w:rsidRPr="004068F6">
        <w:t xml:space="preserve">de las fuentes móviles que </w:t>
      </w:r>
      <w:r w:rsidR="008F453F" w:rsidRPr="004068F6">
        <w:t xml:space="preserve">han de </w:t>
      </w:r>
      <w:r w:rsidRPr="004068F6">
        <w:t>transita</w:t>
      </w:r>
      <w:r w:rsidR="008F453F" w:rsidRPr="004068F6">
        <w:t>r</w:t>
      </w:r>
      <w:r w:rsidRPr="004068F6">
        <w:t xml:space="preserve"> por las vías del proyecto o que se encuentr</w:t>
      </w:r>
      <w:r w:rsidR="008F453F" w:rsidRPr="004068F6">
        <w:t>e</w:t>
      </w:r>
      <w:r w:rsidRPr="004068F6">
        <w:t>n en el área de influencia.</w:t>
      </w:r>
    </w:p>
    <w:p w14:paraId="632FC613" w14:textId="77777777" w:rsidR="004A1B3C" w:rsidRPr="004068F6" w:rsidRDefault="004A1B3C" w:rsidP="00C86DA5"/>
    <w:p w14:paraId="3ACEA47D" w14:textId="7C8F5AC7" w:rsidR="004A1B3C" w:rsidRPr="00466E26" w:rsidRDefault="004A1B3C" w:rsidP="000A1E20">
      <w:pPr>
        <w:pStyle w:val="Ttulo3"/>
      </w:pPr>
      <w:bookmarkStart w:id="3157" w:name="_Toc42874880"/>
      <w:bookmarkStart w:id="3158" w:name="_Toc344298126"/>
      <w:bookmarkStart w:id="3159" w:name="_Toc344461218"/>
      <w:bookmarkStart w:id="3160" w:name="_Toc351541457"/>
      <w:bookmarkStart w:id="3161" w:name="_Toc378923318"/>
      <w:bookmarkStart w:id="3162" w:name="_Toc387312775"/>
      <w:bookmarkStart w:id="3163" w:name="_Toc393967349"/>
      <w:bookmarkStart w:id="3164" w:name="_Toc405366866"/>
      <w:bookmarkStart w:id="3165" w:name="_Toc405372414"/>
      <w:bookmarkStart w:id="3166" w:name="_Toc412803211"/>
      <w:bookmarkStart w:id="3167" w:name="_Toc437936050"/>
      <w:bookmarkStart w:id="3168" w:name="_Ref77325705"/>
      <w:bookmarkStart w:id="3169" w:name="_Toc230879680"/>
      <w:r w:rsidRPr="00466E26">
        <w:t>Modelo de dispersión</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2489243B" w14:textId="77777777" w:rsidR="004A1B3C" w:rsidRPr="004068F6" w:rsidRDefault="004A1B3C" w:rsidP="00C86DA5"/>
    <w:p w14:paraId="3C3FB696" w14:textId="1073FD0C" w:rsidR="004A1B3C" w:rsidRPr="004068F6" w:rsidRDefault="004A1B3C" w:rsidP="00C86DA5">
      <w:r w:rsidRPr="004068F6">
        <w:t xml:space="preserve">Los parámetros </w:t>
      </w:r>
      <w:r w:rsidR="00262C6C" w:rsidRPr="004068F6">
        <w:t xml:space="preserve">objeto de </w:t>
      </w:r>
      <w:r w:rsidRPr="004068F6">
        <w:t>model</w:t>
      </w:r>
      <w:r w:rsidR="008F325D" w:rsidRPr="004068F6">
        <w:t>iz</w:t>
      </w:r>
      <w:r w:rsidRPr="004068F6">
        <w:t>a</w:t>
      </w:r>
      <w:r w:rsidR="00262C6C" w:rsidRPr="004068F6">
        <w:t>ción</w:t>
      </w:r>
      <w:r w:rsidRPr="004068F6">
        <w:t xml:space="preserve"> deben ser aquellos que se identifi</w:t>
      </w:r>
      <w:r w:rsidR="008F325D" w:rsidRPr="004068F6">
        <w:t xml:space="preserve">quen </w:t>
      </w:r>
      <w:r w:rsidRPr="004068F6">
        <w:t>durante la estimación de emisiones atmosféricas.</w:t>
      </w:r>
      <w:r w:rsidR="00796EEA" w:rsidRPr="004068F6">
        <w:t xml:space="preserve"> En caso de que los parámetros evaluados no cuenten con niveles máximos permisibles </w:t>
      </w:r>
      <w:r w:rsidR="001F6F00" w:rsidRPr="004068F6">
        <w:t xml:space="preserve">en el ámbito </w:t>
      </w:r>
      <w:r w:rsidR="00796EEA" w:rsidRPr="004068F6">
        <w:t xml:space="preserve">nacional, se deben utilizar niveles máximos permisibles </w:t>
      </w:r>
      <w:r w:rsidR="001F6F00" w:rsidRPr="004068F6">
        <w:t xml:space="preserve">definidos </w:t>
      </w:r>
      <w:r w:rsidR="00796EEA" w:rsidRPr="004068F6">
        <w:t>internacional</w:t>
      </w:r>
      <w:r w:rsidR="009F4208" w:rsidRPr="004068F6">
        <w:t>mente</w:t>
      </w:r>
      <w:r w:rsidR="00796EEA" w:rsidRPr="004068F6">
        <w:t xml:space="preserve"> (</w:t>
      </w:r>
      <w:r w:rsidR="00041844" w:rsidRPr="004068F6">
        <w:t>p. ej.</w:t>
      </w:r>
      <w:r w:rsidR="00796EEA" w:rsidRPr="004068F6">
        <w:t xml:space="preserve"> </w:t>
      </w:r>
      <w:r w:rsidR="008F325D" w:rsidRPr="004068F6">
        <w:t xml:space="preserve">los establecidos para Estados Unidos </w:t>
      </w:r>
      <w:r w:rsidR="00796EEA" w:rsidRPr="004068F6">
        <w:t xml:space="preserve">o </w:t>
      </w:r>
      <w:r w:rsidR="008F325D" w:rsidRPr="004068F6">
        <w:t xml:space="preserve">para la </w:t>
      </w:r>
      <w:r w:rsidR="00796EEA" w:rsidRPr="004068F6">
        <w:t>Unión Europea).</w:t>
      </w:r>
    </w:p>
    <w:p w14:paraId="734C7972" w14:textId="77777777" w:rsidR="004A1B3C" w:rsidRPr="004068F6" w:rsidRDefault="004A1B3C" w:rsidP="00C86DA5"/>
    <w:p w14:paraId="57DC0C43" w14:textId="27B79AF2" w:rsidR="004A1B3C" w:rsidRPr="004068F6" w:rsidRDefault="00DD6F38" w:rsidP="00C86DA5">
      <w:r w:rsidRPr="004068F6">
        <w:t xml:space="preserve">En tanto Minambiente adopte </w:t>
      </w:r>
      <w:r w:rsidR="00A74731" w:rsidRPr="004068F6">
        <w:t xml:space="preserve">el instrumento </w:t>
      </w:r>
      <w:r w:rsidRPr="004068F6">
        <w:t xml:space="preserve">de modelización de calidad del aire, la modelización de contaminantes atmosféricos </w:t>
      </w:r>
      <w:r w:rsidR="004A1B3C" w:rsidRPr="004068F6">
        <w:t xml:space="preserve">debe seguir los lineamientos </w:t>
      </w:r>
      <w:r w:rsidR="006E0938" w:rsidRPr="004068F6">
        <w:t xml:space="preserve">que se establecen a </w:t>
      </w:r>
      <w:r w:rsidR="00796EEA" w:rsidRPr="004068F6">
        <w:t>continuación</w:t>
      </w:r>
      <w:r w:rsidR="004A1B3C" w:rsidRPr="004068F6">
        <w:t>:</w:t>
      </w:r>
    </w:p>
    <w:p w14:paraId="2FCF5E4D" w14:textId="77777777" w:rsidR="004A1B3C" w:rsidRPr="004068F6" w:rsidRDefault="004A1B3C" w:rsidP="00C86DA5"/>
    <w:p w14:paraId="41618265" w14:textId="49BFF2C1"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Formulación </w:t>
      </w:r>
      <w:r w:rsidRPr="004068F6">
        <w:rPr>
          <w:rFonts w:cs="Arial"/>
          <w:spacing w:val="-3"/>
          <w:lang w:val="es-CO"/>
        </w:rPr>
        <w:t>de la condición a simular</w:t>
      </w:r>
      <w:r w:rsidRPr="004068F6">
        <w:rPr>
          <w:spacing w:val="-3"/>
          <w:lang w:val="es-CO"/>
        </w:rPr>
        <w:t xml:space="preserve">: procedimiento que conlleva la selección de los procesos a representar y de las escalas y resoluciones </w:t>
      </w:r>
      <w:r w:rsidR="00735E9F" w:rsidRPr="004068F6">
        <w:rPr>
          <w:spacing w:val="-3"/>
          <w:lang w:val="es-CO"/>
        </w:rPr>
        <w:t xml:space="preserve">para desarrollar </w:t>
      </w:r>
      <w:r w:rsidRPr="004068F6">
        <w:rPr>
          <w:spacing w:val="-3"/>
          <w:lang w:val="es-CO"/>
        </w:rPr>
        <w:t xml:space="preserve">la </w:t>
      </w:r>
      <w:r w:rsidRPr="004068F6">
        <w:rPr>
          <w:spacing w:val="-3"/>
          <w:lang w:val="es-CO"/>
        </w:rPr>
        <w:lastRenderedPageBreak/>
        <w:t>representación. En esta fase se identifican también las fuentes y receptores de interés y se elige el método más adecuado para su representación.</w:t>
      </w:r>
    </w:p>
    <w:p w14:paraId="54D42F09" w14:textId="77777777" w:rsidR="004A1B3C" w:rsidRPr="004068F6" w:rsidRDefault="004A1B3C" w:rsidP="00C86DA5">
      <w:pPr>
        <w:pStyle w:val="Prrafodelista"/>
        <w:tabs>
          <w:tab w:val="left" w:pos="-2268"/>
        </w:tabs>
        <w:suppressAutoHyphens/>
        <w:ind w:left="567" w:hanging="567"/>
        <w:rPr>
          <w:spacing w:val="-3"/>
          <w:lang w:val="es-CO"/>
        </w:rPr>
      </w:pPr>
    </w:p>
    <w:p w14:paraId="6B1D5E02" w14:textId="77777777"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Selección y validación de los datos de entrada: procedimiento estándar dentro del proceso experimental que resulta de suma importancia en razón a que la disponibilidad de los datos es con frecuencia uno de los criterios decisivos en la formulación o selección del modelo matemático. Se deben describir los criterios de selección y validación utilizados.</w:t>
      </w:r>
    </w:p>
    <w:p w14:paraId="60AC6896" w14:textId="77777777" w:rsidR="004A1B3C" w:rsidRPr="004068F6" w:rsidRDefault="004A1B3C" w:rsidP="00C86DA5">
      <w:pPr>
        <w:ind w:left="567" w:hanging="567"/>
      </w:pPr>
    </w:p>
    <w:p w14:paraId="5135380E" w14:textId="61C9210B" w:rsidR="004A1B3C" w:rsidRPr="004068F6" w:rsidRDefault="00796EEA" w:rsidP="00C86DA5">
      <w:pPr>
        <w:pStyle w:val="Prrafodelista"/>
        <w:numPr>
          <w:ilvl w:val="0"/>
          <w:numId w:val="5"/>
        </w:numPr>
        <w:tabs>
          <w:tab w:val="left" w:pos="-2268"/>
        </w:tabs>
        <w:suppressAutoHyphens/>
        <w:ind w:left="567" w:hanging="567"/>
        <w:rPr>
          <w:spacing w:val="-3"/>
          <w:lang w:val="es-CO"/>
        </w:rPr>
      </w:pPr>
      <w:r w:rsidRPr="004068F6">
        <w:rPr>
          <w:rFonts w:cs="Arial"/>
          <w:spacing w:val="-3"/>
          <w:lang w:val="es-CO"/>
        </w:rPr>
        <w:t>Formulación</w:t>
      </w:r>
      <w:r w:rsidRPr="004068F6">
        <w:rPr>
          <w:spacing w:val="-3"/>
          <w:lang w:val="es-CO"/>
        </w:rPr>
        <w:t xml:space="preserve"> del modelo matemático: se selecciona la aproximación matemática más adecuada para la representación del problema (por ejemplo, Gaussiana, Lagrangiana, Euleriana) y se define el modelo computacional que mejor represente el escenario, justificando los criterios tenidos en cuenta para la selección del modelo, así como las configuraciones y parametrizaciones utilizadas. En caso de utilizar los modelos matemáticos recomendados por la Agencia de Protección Ambiental de los Estados Unidos (US-EPA) se deberá formular el modelo matemático a implementar</w:t>
      </w:r>
      <w:r w:rsidR="004A1B3C" w:rsidRPr="004068F6">
        <w:rPr>
          <w:spacing w:val="-3"/>
          <w:lang w:val="es-CO"/>
        </w:rPr>
        <w:t>.</w:t>
      </w:r>
    </w:p>
    <w:p w14:paraId="49F81684" w14:textId="61CB1ECB" w:rsidR="00F92563" w:rsidRPr="00E64F04" w:rsidRDefault="00F92563" w:rsidP="00E64F04">
      <w:pPr>
        <w:rPr>
          <w:spacing w:val="-3"/>
        </w:rPr>
      </w:pPr>
    </w:p>
    <w:p w14:paraId="373B214A" w14:textId="04F666D3" w:rsidR="00413E79" w:rsidRPr="00413E79" w:rsidRDefault="00A33397" w:rsidP="00E64F04">
      <w:pPr>
        <w:pStyle w:val="Prrafodelista"/>
        <w:numPr>
          <w:ilvl w:val="0"/>
          <w:numId w:val="5"/>
        </w:numPr>
        <w:tabs>
          <w:tab w:val="left" w:pos="-2268"/>
        </w:tabs>
        <w:suppressAutoHyphens/>
        <w:ind w:left="567" w:hanging="567"/>
        <w:rPr>
          <w:spacing w:val="-3"/>
        </w:rPr>
      </w:pPr>
      <w:r>
        <w:rPr>
          <w:spacing w:val="-3"/>
          <w:lang w:val="es-CO"/>
        </w:rPr>
        <w:t>A</w:t>
      </w:r>
      <w:r w:rsidR="00413E79" w:rsidRPr="00413E79">
        <w:rPr>
          <w:spacing w:val="-3"/>
          <w:lang w:val="es-CO"/>
        </w:rPr>
        <w:t>nálisis de sensibilidad del modelo de dispersión</w:t>
      </w:r>
      <w:r>
        <w:rPr>
          <w:spacing w:val="-3"/>
          <w:lang w:val="es-CO"/>
        </w:rPr>
        <w:t>. Para ello, se</w:t>
      </w:r>
      <w:r w:rsidR="00413E79" w:rsidRPr="00413E79">
        <w:rPr>
          <w:spacing w:val="-3"/>
          <w:lang w:val="es-CO"/>
        </w:rPr>
        <w:t xml:space="preserve"> debe</w:t>
      </w:r>
      <w:r w:rsidR="009A7064">
        <w:rPr>
          <w:spacing w:val="-3"/>
          <w:lang w:val="es-CO"/>
        </w:rPr>
        <w:t>n</w:t>
      </w:r>
      <w:r w:rsidR="00413E79" w:rsidRPr="00413E79">
        <w:rPr>
          <w:spacing w:val="-3"/>
          <w:lang w:val="es-CO"/>
        </w:rPr>
        <w:t xml:space="preserve"> </w:t>
      </w:r>
      <w:r w:rsidR="00F4284E">
        <w:rPr>
          <w:spacing w:val="-3"/>
          <w:lang w:val="es-CO"/>
        </w:rPr>
        <w:t xml:space="preserve">desarrollar </w:t>
      </w:r>
      <w:r w:rsidR="00413E79" w:rsidRPr="00413E79">
        <w:rPr>
          <w:spacing w:val="-3"/>
          <w:lang w:val="es-CO"/>
        </w:rPr>
        <w:t>como mínimo l</w:t>
      </w:r>
      <w:r w:rsidR="00F4284E">
        <w:rPr>
          <w:spacing w:val="-3"/>
          <w:lang w:val="es-CO"/>
        </w:rPr>
        <w:t>as</w:t>
      </w:r>
      <w:r w:rsidR="00413E79" w:rsidRPr="00413E79">
        <w:rPr>
          <w:spacing w:val="-3"/>
          <w:lang w:val="es-CO"/>
        </w:rPr>
        <w:t xml:space="preserve"> siguientes </w:t>
      </w:r>
      <w:r w:rsidR="00F4284E">
        <w:rPr>
          <w:spacing w:val="-3"/>
          <w:lang w:val="es-CO"/>
        </w:rPr>
        <w:t>actividades</w:t>
      </w:r>
      <w:r w:rsidR="00413E79" w:rsidRPr="00413E79">
        <w:rPr>
          <w:spacing w:val="-3"/>
          <w:lang w:val="es-CO"/>
        </w:rPr>
        <w:t>:</w:t>
      </w:r>
    </w:p>
    <w:p w14:paraId="7278EC72" w14:textId="77777777" w:rsidR="00413E79" w:rsidRPr="00413E79" w:rsidRDefault="00413E79" w:rsidP="00413E79">
      <w:pPr>
        <w:tabs>
          <w:tab w:val="left" w:pos="-2268"/>
        </w:tabs>
        <w:suppressAutoHyphens/>
        <w:rPr>
          <w:spacing w:val="-3"/>
        </w:rPr>
      </w:pPr>
    </w:p>
    <w:p w14:paraId="45979CBD" w14:textId="6C73735C" w:rsidR="00D17FB7" w:rsidRDefault="00413E79" w:rsidP="00D17FB7">
      <w:pPr>
        <w:pStyle w:val="Prrafodelista"/>
        <w:numPr>
          <w:ilvl w:val="0"/>
          <w:numId w:val="402"/>
        </w:numPr>
        <w:tabs>
          <w:tab w:val="left" w:pos="-2268"/>
        </w:tabs>
        <w:suppressAutoHyphens/>
        <w:ind w:left="1134" w:hanging="567"/>
        <w:rPr>
          <w:spacing w:val="-3"/>
          <w:lang w:val="es-CO"/>
        </w:rPr>
      </w:pPr>
      <w:r w:rsidRPr="00E64F04">
        <w:rPr>
          <w:spacing w:val="-3"/>
          <w:lang w:val="es-CO"/>
        </w:rPr>
        <w:t xml:space="preserve">Identificación de </w:t>
      </w:r>
      <w:r w:rsidR="00E642BF">
        <w:rPr>
          <w:spacing w:val="-3"/>
          <w:lang w:val="es-CO"/>
        </w:rPr>
        <w:t xml:space="preserve">las </w:t>
      </w:r>
      <w:r w:rsidRPr="00E64F04">
        <w:rPr>
          <w:spacing w:val="-3"/>
          <w:lang w:val="es-CO"/>
        </w:rPr>
        <w:t>variables críticas</w:t>
      </w:r>
      <w:r w:rsidR="00443D03">
        <w:rPr>
          <w:rStyle w:val="Refdenotaalpie"/>
          <w:spacing w:val="-3"/>
        </w:rPr>
        <w:footnoteReference w:id="202"/>
      </w:r>
      <w:r w:rsidR="00484827">
        <w:rPr>
          <w:spacing w:val="-3"/>
          <w:lang w:val="es-CO"/>
        </w:rPr>
        <w:t>. A partir del conjunto de variables</w:t>
      </w:r>
      <w:r w:rsidR="00D17FB7" w:rsidRPr="00D17FB7">
        <w:rPr>
          <w:spacing w:val="-3"/>
          <w:lang w:val="es-CO"/>
        </w:rPr>
        <w:t xml:space="preserve"> </w:t>
      </w:r>
      <w:r w:rsidR="00493BEE">
        <w:rPr>
          <w:spacing w:val="-3"/>
          <w:lang w:val="es-CO"/>
        </w:rPr>
        <w:t xml:space="preserve">empleadas como </w:t>
      </w:r>
      <w:r w:rsidR="00493BEE" w:rsidRPr="00D17FB7">
        <w:rPr>
          <w:spacing w:val="-3"/>
          <w:lang w:val="es-CO"/>
        </w:rPr>
        <w:t xml:space="preserve">entrada </w:t>
      </w:r>
      <w:r w:rsidR="00493BEE">
        <w:rPr>
          <w:spacing w:val="-3"/>
          <w:lang w:val="es-CO"/>
        </w:rPr>
        <w:t xml:space="preserve">al </w:t>
      </w:r>
      <w:r w:rsidR="00493BEE" w:rsidRPr="00D17FB7">
        <w:rPr>
          <w:spacing w:val="-3"/>
          <w:lang w:val="es-CO"/>
        </w:rPr>
        <w:t>modelo</w:t>
      </w:r>
      <w:r w:rsidR="00384FEB">
        <w:rPr>
          <w:spacing w:val="-3"/>
          <w:lang w:val="es-CO"/>
        </w:rPr>
        <w:t xml:space="preserve">, se deben identificar aquellas </w:t>
      </w:r>
      <w:r w:rsidR="0061755F">
        <w:rPr>
          <w:spacing w:val="-3"/>
          <w:lang w:val="es-CO"/>
        </w:rPr>
        <w:t xml:space="preserve">variables </w:t>
      </w:r>
      <w:r w:rsidR="00384FEB" w:rsidRPr="00CB580F">
        <w:rPr>
          <w:spacing w:val="-3"/>
          <w:lang w:val="es-CO"/>
        </w:rPr>
        <w:t>críticas</w:t>
      </w:r>
      <w:r w:rsidR="00384FEB">
        <w:rPr>
          <w:spacing w:val="-3"/>
          <w:lang w:val="es-CO"/>
        </w:rPr>
        <w:t xml:space="preserve"> </w:t>
      </w:r>
      <w:r w:rsidR="0008054A">
        <w:rPr>
          <w:spacing w:val="-3"/>
          <w:lang w:val="es-CO"/>
        </w:rPr>
        <w:t xml:space="preserve">que presentan mayor </w:t>
      </w:r>
      <w:r w:rsidR="00CA0C00">
        <w:rPr>
          <w:spacing w:val="-3"/>
          <w:lang w:val="es-CO"/>
        </w:rPr>
        <w:t>incertidumbre, ya sea porque fueron asumidas a partir de información secundaria o porque las medici</w:t>
      </w:r>
      <w:r w:rsidR="005178D6">
        <w:rPr>
          <w:spacing w:val="-3"/>
          <w:lang w:val="es-CO"/>
        </w:rPr>
        <w:t>o</w:t>
      </w:r>
      <w:r w:rsidR="00CA0C00">
        <w:rPr>
          <w:spacing w:val="-3"/>
          <w:lang w:val="es-CO"/>
        </w:rPr>
        <w:t xml:space="preserve">nes de campo </w:t>
      </w:r>
      <w:r w:rsidR="00DF7870">
        <w:rPr>
          <w:spacing w:val="-3"/>
          <w:lang w:val="es-CO"/>
        </w:rPr>
        <w:t>disponibles tienen limitaciones de representatividad o precisión</w:t>
      </w:r>
      <w:r w:rsidR="00D17FB7" w:rsidRPr="00D17FB7">
        <w:rPr>
          <w:spacing w:val="-3"/>
          <w:lang w:val="es-CO"/>
        </w:rPr>
        <w:t>. Estas variables se agrupan en dos categorías:</w:t>
      </w:r>
    </w:p>
    <w:p w14:paraId="652A95D5" w14:textId="77777777" w:rsidR="000B5A72" w:rsidRPr="00E64F04" w:rsidRDefault="000B5A72" w:rsidP="00E64F04">
      <w:pPr>
        <w:tabs>
          <w:tab w:val="left" w:pos="-2268"/>
        </w:tabs>
        <w:suppressAutoHyphens/>
        <w:rPr>
          <w:spacing w:val="-3"/>
        </w:rPr>
      </w:pPr>
    </w:p>
    <w:p w14:paraId="6464DCFE" w14:textId="2B849A21" w:rsidR="00D17FB7" w:rsidRDefault="00D71E7E" w:rsidP="000B5A72">
      <w:pPr>
        <w:pStyle w:val="Prrafodelista"/>
        <w:numPr>
          <w:ilvl w:val="0"/>
          <w:numId w:val="403"/>
        </w:numPr>
        <w:tabs>
          <w:tab w:val="left" w:pos="-2268"/>
        </w:tabs>
        <w:suppressAutoHyphens/>
        <w:ind w:left="1701" w:hanging="567"/>
        <w:rPr>
          <w:spacing w:val="-3"/>
          <w:lang w:val="es-CO"/>
        </w:rPr>
      </w:pPr>
      <w:r>
        <w:rPr>
          <w:spacing w:val="-3"/>
          <w:lang w:val="es-CO"/>
        </w:rPr>
        <w:t>V</w:t>
      </w:r>
      <w:r w:rsidR="00D17FB7" w:rsidRPr="00D17FB7">
        <w:rPr>
          <w:spacing w:val="-3"/>
          <w:lang w:val="es-CO"/>
        </w:rPr>
        <w:t xml:space="preserve">ariables asociadas a la fuente emisora </w:t>
      </w:r>
      <w:r w:rsidR="00450BF8">
        <w:rPr>
          <w:spacing w:val="-3"/>
          <w:lang w:val="es-CO"/>
        </w:rPr>
        <w:t>(</w:t>
      </w:r>
      <w:r w:rsidR="00D17FB7" w:rsidRPr="00D17FB7">
        <w:rPr>
          <w:spacing w:val="-3"/>
          <w:lang w:val="es-CO"/>
        </w:rPr>
        <w:t>dependen del tipo de fuente modelada</w:t>
      </w:r>
      <w:r w:rsidR="00450BF8">
        <w:rPr>
          <w:spacing w:val="-3"/>
          <w:lang w:val="es-CO"/>
        </w:rPr>
        <w:t>)</w:t>
      </w:r>
      <w:r w:rsidR="00D17FB7" w:rsidRPr="00D17FB7">
        <w:rPr>
          <w:spacing w:val="-3"/>
          <w:lang w:val="es-CO"/>
        </w:rPr>
        <w:t>. En todos los casos la variable principal es la tasa de emisión del contaminante. Para fuentes puntuales se agregan la temperatura y velocidad de gases de salida, la altura y el diámetro de la chimenea. Para fuentes de área se agregan el ancho y largo de la superficie emisora y su altura sobre el suelo. Para fuentes de volumen se agregan el ancho, largo y altura del volumen emisor. Para fuentes de línea se agregan la longitud, el ancho y la altura de emisión sobre el suelo.</w:t>
      </w:r>
    </w:p>
    <w:p w14:paraId="4BA16654" w14:textId="77777777" w:rsidR="000B5A72" w:rsidRPr="00E64F04" w:rsidRDefault="000B5A72" w:rsidP="00E64F04">
      <w:pPr>
        <w:tabs>
          <w:tab w:val="left" w:pos="-2268"/>
        </w:tabs>
        <w:suppressAutoHyphens/>
        <w:rPr>
          <w:spacing w:val="-3"/>
        </w:rPr>
      </w:pPr>
    </w:p>
    <w:p w14:paraId="0C7EF06A" w14:textId="2C1FA437" w:rsidR="00D17FB7" w:rsidRDefault="00D71E7E" w:rsidP="000B5A72">
      <w:pPr>
        <w:pStyle w:val="Prrafodelista"/>
        <w:numPr>
          <w:ilvl w:val="0"/>
          <w:numId w:val="403"/>
        </w:numPr>
        <w:tabs>
          <w:tab w:val="left" w:pos="-2268"/>
        </w:tabs>
        <w:suppressAutoHyphens/>
        <w:ind w:left="1701" w:hanging="567"/>
        <w:rPr>
          <w:spacing w:val="-3"/>
          <w:lang w:val="es-CO"/>
        </w:rPr>
      </w:pPr>
      <w:r>
        <w:rPr>
          <w:spacing w:val="-3"/>
          <w:lang w:val="es-CO"/>
        </w:rPr>
        <w:t>V</w:t>
      </w:r>
      <w:r w:rsidR="00D17FB7" w:rsidRPr="00D17FB7">
        <w:rPr>
          <w:spacing w:val="-3"/>
          <w:lang w:val="es-CO"/>
        </w:rPr>
        <w:t>ariables meteorológicas de entrada</w:t>
      </w:r>
      <w:r w:rsidR="00E7418A">
        <w:rPr>
          <w:spacing w:val="-3"/>
          <w:lang w:val="es-CO"/>
        </w:rPr>
        <w:t>.</w:t>
      </w:r>
      <w:r w:rsidR="00D17FB7" w:rsidRPr="00D17FB7">
        <w:rPr>
          <w:spacing w:val="-3"/>
          <w:lang w:val="es-CO"/>
        </w:rPr>
        <w:t xml:space="preserve"> </w:t>
      </w:r>
      <w:r w:rsidR="00E7418A">
        <w:rPr>
          <w:spacing w:val="-3"/>
          <w:lang w:val="es-CO"/>
        </w:rPr>
        <w:t>I</w:t>
      </w:r>
      <w:r w:rsidR="00D17FB7" w:rsidRPr="00D17FB7">
        <w:rPr>
          <w:spacing w:val="-3"/>
          <w:lang w:val="es-CO"/>
        </w:rPr>
        <w:t>ncluyen la velocidad y dirección del viento, temperatura ambiente, cobertura de nubes y parámetros de superficie como rugosidad y albedo.</w:t>
      </w:r>
    </w:p>
    <w:p w14:paraId="38D38E2C" w14:textId="77777777" w:rsidR="00D17FB7" w:rsidRPr="00E64F04" w:rsidRDefault="00D17FB7" w:rsidP="00E64F04">
      <w:pPr>
        <w:tabs>
          <w:tab w:val="left" w:pos="-2268"/>
        </w:tabs>
        <w:suppressAutoHyphens/>
        <w:rPr>
          <w:spacing w:val="-3"/>
        </w:rPr>
      </w:pPr>
    </w:p>
    <w:p w14:paraId="6FAEF4A2" w14:textId="1183300F" w:rsidR="00413E79" w:rsidRPr="006B3884" w:rsidRDefault="00413E79" w:rsidP="00E64F04">
      <w:pPr>
        <w:pStyle w:val="Prrafodelista"/>
        <w:numPr>
          <w:ilvl w:val="0"/>
          <w:numId w:val="402"/>
        </w:numPr>
        <w:tabs>
          <w:tab w:val="left" w:pos="-2268"/>
        </w:tabs>
        <w:suppressAutoHyphens/>
        <w:ind w:left="1134" w:hanging="567"/>
        <w:rPr>
          <w:spacing w:val="-3"/>
        </w:rPr>
      </w:pPr>
      <w:r w:rsidRPr="006B3884">
        <w:rPr>
          <w:spacing w:val="-3"/>
          <w:lang w:val="es-CO"/>
        </w:rPr>
        <w:lastRenderedPageBreak/>
        <w:t>Definición de rangos de variación</w:t>
      </w:r>
      <w:r w:rsidR="00355A2F">
        <w:rPr>
          <w:spacing w:val="-3"/>
          <w:lang w:val="es-CO"/>
        </w:rPr>
        <w:t>.</w:t>
      </w:r>
      <w:r w:rsidRPr="006B3884">
        <w:rPr>
          <w:spacing w:val="-3"/>
          <w:lang w:val="es-CO"/>
        </w:rPr>
        <w:t xml:space="preserve"> Para cada variable crítica identificada, se deben establecer rangos de variación con base en los valores mínimos y máximos reportados en la bibliografía técnica o normas aplicables. </w:t>
      </w:r>
      <w:r w:rsidR="005B2B37">
        <w:rPr>
          <w:spacing w:val="-3"/>
          <w:lang w:val="es-CO"/>
        </w:rPr>
        <w:t xml:space="preserve">De ser posible, se deben </w:t>
      </w:r>
      <w:r w:rsidRPr="006B3884">
        <w:rPr>
          <w:spacing w:val="-3"/>
          <w:lang w:val="es-CO"/>
        </w:rPr>
        <w:t>evaluar al menos tres escenarios por variable: valor mínimo, valor central (base) y valor máximo.</w:t>
      </w:r>
    </w:p>
    <w:p w14:paraId="25EBEE5A" w14:textId="77777777" w:rsidR="00413E79" w:rsidRPr="00413E79" w:rsidRDefault="00413E79" w:rsidP="00413E79">
      <w:pPr>
        <w:tabs>
          <w:tab w:val="left" w:pos="-2268"/>
        </w:tabs>
        <w:suppressAutoHyphens/>
        <w:rPr>
          <w:spacing w:val="-3"/>
        </w:rPr>
      </w:pPr>
    </w:p>
    <w:p w14:paraId="6723C424" w14:textId="7B69C82C" w:rsidR="00413E79" w:rsidRPr="006B3884" w:rsidRDefault="00413E79" w:rsidP="00E64F04">
      <w:pPr>
        <w:pStyle w:val="Prrafodelista"/>
        <w:numPr>
          <w:ilvl w:val="0"/>
          <w:numId w:val="402"/>
        </w:numPr>
        <w:tabs>
          <w:tab w:val="left" w:pos="-2268"/>
        </w:tabs>
        <w:suppressAutoHyphens/>
        <w:ind w:left="1134" w:hanging="567"/>
        <w:rPr>
          <w:spacing w:val="-3"/>
        </w:rPr>
      </w:pPr>
      <w:r w:rsidRPr="006B3884">
        <w:rPr>
          <w:spacing w:val="-3"/>
          <w:lang w:val="es-CO"/>
        </w:rPr>
        <w:t>Corrida de escenarios</w:t>
      </w:r>
      <w:r w:rsidR="00F80A0B">
        <w:rPr>
          <w:spacing w:val="-3"/>
          <w:lang w:val="es-CO"/>
        </w:rPr>
        <w:t xml:space="preserve"> modificando variables</w:t>
      </w:r>
      <w:r w:rsidR="00595F89">
        <w:rPr>
          <w:spacing w:val="-3"/>
          <w:lang w:val="es-CO"/>
        </w:rPr>
        <w:t xml:space="preserve">. </w:t>
      </w:r>
      <w:r w:rsidR="005546EE">
        <w:rPr>
          <w:spacing w:val="-3"/>
          <w:lang w:val="es-CO"/>
        </w:rPr>
        <w:t xml:space="preserve">Se deben </w:t>
      </w:r>
      <w:r w:rsidRPr="006B3884">
        <w:rPr>
          <w:spacing w:val="-3"/>
          <w:lang w:val="es-CO"/>
        </w:rPr>
        <w:t>corre</w:t>
      </w:r>
      <w:r w:rsidR="005A694D">
        <w:rPr>
          <w:spacing w:val="-3"/>
          <w:lang w:val="es-CO"/>
        </w:rPr>
        <w:t xml:space="preserve">r los </w:t>
      </w:r>
      <w:r w:rsidRPr="006B3884">
        <w:rPr>
          <w:spacing w:val="-3"/>
          <w:lang w:val="es-CO"/>
        </w:rPr>
        <w:t>escenarios modifica</w:t>
      </w:r>
      <w:r w:rsidR="000F18A5">
        <w:rPr>
          <w:spacing w:val="-3"/>
          <w:lang w:val="es-CO"/>
        </w:rPr>
        <w:t>ndo</w:t>
      </w:r>
      <w:r w:rsidR="005A694D">
        <w:rPr>
          <w:spacing w:val="-3"/>
          <w:lang w:val="es-CO"/>
        </w:rPr>
        <w:t xml:space="preserve"> </w:t>
      </w:r>
      <w:r w:rsidRPr="006B3884">
        <w:rPr>
          <w:spacing w:val="-3"/>
          <w:lang w:val="es-CO"/>
        </w:rPr>
        <w:t>una variable a la vez</w:t>
      </w:r>
      <w:r w:rsidR="00EA5871">
        <w:rPr>
          <w:spacing w:val="-3"/>
          <w:lang w:val="es-CO"/>
        </w:rPr>
        <w:t xml:space="preserve"> mientras </w:t>
      </w:r>
      <w:r w:rsidR="001C383F">
        <w:rPr>
          <w:spacing w:val="-3"/>
          <w:lang w:val="es-CO"/>
        </w:rPr>
        <w:t xml:space="preserve">se </w:t>
      </w:r>
      <w:r w:rsidRPr="006B3884">
        <w:rPr>
          <w:spacing w:val="-3"/>
          <w:lang w:val="es-CO"/>
        </w:rPr>
        <w:t>mant</w:t>
      </w:r>
      <w:r w:rsidR="001C383F">
        <w:rPr>
          <w:spacing w:val="-3"/>
          <w:lang w:val="es-CO"/>
        </w:rPr>
        <w:t xml:space="preserve">ienen </w:t>
      </w:r>
      <w:r w:rsidRPr="006B3884">
        <w:rPr>
          <w:spacing w:val="-3"/>
          <w:lang w:val="es-CO"/>
        </w:rPr>
        <w:t>las demás en su valor base</w:t>
      </w:r>
      <w:r w:rsidR="001C383F">
        <w:rPr>
          <w:spacing w:val="-3"/>
          <w:lang w:val="es-CO"/>
        </w:rPr>
        <w:t xml:space="preserve"> y se </w:t>
      </w:r>
      <w:r w:rsidRPr="006B3884">
        <w:rPr>
          <w:spacing w:val="-3"/>
          <w:lang w:val="es-CO"/>
        </w:rPr>
        <w:t>registra</w:t>
      </w:r>
      <w:r w:rsidR="001C383F">
        <w:rPr>
          <w:spacing w:val="-3"/>
          <w:lang w:val="es-CO"/>
        </w:rPr>
        <w:t xml:space="preserve"> </w:t>
      </w:r>
      <w:r w:rsidRPr="006B3884">
        <w:rPr>
          <w:spacing w:val="-3"/>
          <w:lang w:val="es-CO"/>
        </w:rPr>
        <w:t>en cada caso la concentración máxima obtenida en los receptores configurados. Adicionalmente, se debe correr al menos un escenario en el que todas las variables críticas tomen simultáneamente sus valores más desfavorables</w:t>
      </w:r>
      <w:r w:rsidR="005C2151">
        <w:rPr>
          <w:spacing w:val="-3"/>
          <w:lang w:val="es-CO"/>
        </w:rPr>
        <w:t>; e</w:t>
      </w:r>
      <w:r w:rsidRPr="006B3884">
        <w:rPr>
          <w:spacing w:val="-3"/>
          <w:lang w:val="es-CO"/>
        </w:rPr>
        <w:t>ste escenario representa la condición más crítica posible y permite verificar si, aún en el peor caso, las concentraciones estimadas en los receptores se mantienen dentro de los límites permisibles establecidos por la normativa aplicable.</w:t>
      </w:r>
    </w:p>
    <w:p w14:paraId="622883ED" w14:textId="77777777" w:rsidR="00413E79" w:rsidRPr="00413E79" w:rsidRDefault="00413E79" w:rsidP="00413E79">
      <w:pPr>
        <w:tabs>
          <w:tab w:val="left" w:pos="-2268"/>
        </w:tabs>
        <w:suppressAutoHyphens/>
        <w:rPr>
          <w:spacing w:val="-3"/>
        </w:rPr>
      </w:pPr>
    </w:p>
    <w:p w14:paraId="4759F5B0" w14:textId="1F3030E0" w:rsidR="00413E79" w:rsidRPr="006B3884" w:rsidRDefault="00413E79" w:rsidP="00E64F04">
      <w:pPr>
        <w:pStyle w:val="Prrafodelista"/>
        <w:numPr>
          <w:ilvl w:val="0"/>
          <w:numId w:val="402"/>
        </w:numPr>
        <w:tabs>
          <w:tab w:val="left" w:pos="-2268"/>
        </w:tabs>
        <w:suppressAutoHyphens/>
        <w:ind w:left="1134" w:hanging="567"/>
        <w:rPr>
          <w:spacing w:val="-3"/>
        </w:rPr>
      </w:pPr>
      <w:r w:rsidRPr="006B3884">
        <w:rPr>
          <w:spacing w:val="-3"/>
          <w:lang w:val="es-CO"/>
        </w:rPr>
        <w:t>Análisis e interpretación de resultados</w:t>
      </w:r>
      <w:r w:rsidR="009C4D00">
        <w:rPr>
          <w:spacing w:val="-3"/>
          <w:lang w:val="es-CO"/>
        </w:rPr>
        <w:t>.</w:t>
      </w:r>
      <w:r w:rsidRPr="006B3884">
        <w:rPr>
          <w:spacing w:val="-3"/>
          <w:lang w:val="es-CO"/>
        </w:rPr>
        <w:t xml:space="preserve"> Se deben comparar las concentraciones obtenidas en cada escenario frente al escenario base, utilizando los siguientes indicadores:</w:t>
      </w:r>
    </w:p>
    <w:p w14:paraId="61332B90" w14:textId="77777777" w:rsidR="00413E79" w:rsidRPr="00413E79" w:rsidRDefault="00413E79" w:rsidP="00413E79">
      <w:pPr>
        <w:tabs>
          <w:tab w:val="left" w:pos="-2268"/>
        </w:tabs>
        <w:suppressAutoHyphens/>
        <w:rPr>
          <w:spacing w:val="-3"/>
        </w:rPr>
      </w:pPr>
    </w:p>
    <w:p w14:paraId="031B3039" w14:textId="77777777" w:rsidR="00413E79" w:rsidRDefault="00413E79" w:rsidP="006B3884">
      <w:pPr>
        <w:pStyle w:val="Prrafodelista"/>
        <w:numPr>
          <w:ilvl w:val="0"/>
          <w:numId w:val="403"/>
        </w:numPr>
        <w:tabs>
          <w:tab w:val="left" w:pos="-2268"/>
        </w:tabs>
        <w:suppressAutoHyphens/>
        <w:ind w:left="1701" w:hanging="567"/>
        <w:rPr>
          <w:spacing w:val="-3"/>
          <w:lang w:val="es-CO"/>
        </w:rPr>
      </w:pPr>
      <w:r w:rsidRPr="00E64F04">
        <w:rPr>
          <w:spacing w:val="-3"/>
          <w:lang w:val="es-CO"/>
        </w:rPr>
        <w:t>Variación porcentual de la concentración máxima en receptor, para cada escenario evaluado.</w:t>
      </w:r>
    </w:p>
    <w:p w14:paraId="0DEDF878" w14:textId="77777777" w:rsidR="006B3884" w:rsidRPr="006B3884" w:rsidRDefault="006B3884" w:rsidP="006B3884">
      <w:pPr>
        <w:tabs>
          <w:tab w:val="left" w:pos="-2268"/>
        </w:tabs>
        <w:suppressAutoHyphens/>
        <w:rPr>
          <w:spacing w:val="-3"/>
        </w:rPr>
      </w:pPr>
    </w:p>
    <w:p w14:paraId="4515A651" w14:textId="77777777" w:rsidR="00413E79" w:rsidRDefault="00413E79" w:rsidP="006B3884">
      <w:pPr>
        <w:pStyle w:val="Prrafodelista"/>
        <w:numPr>
          <w:ilvl w:val="0"/>
          <w:numId w:val="403"/>
        </w:numPr>
        <w:tabs>
          <w:tab w:val="left" w:pos="-2268"/>
        </w:tabs>
        <w:suppressAutoHyphens/>
        <w:ind w:left="1701" w:hanging="567"/>
        <w:rPr>
          <w:spacing w:val="-3"/>
          <w:lang w:val="es-CO"/>
        </w:rPr>
      </w:pPr>
      <w:r w:rsidRPr="00E64F04">
        <w:rPr>
          <w:spacing w:val="-3"/>
          <w:lang w:val="es-CO"/>
        </w:rPr>
        <w:t>Rango de variación, expresado como la diferencia entre la concentración máxima y mínima obtenida en todos los escenarios, indicando cuánto puede alejarse el resultado del valor base.</w:t>
      </w:r>
    </w:p>
    <w:p w14:paraId="1BA48A59" w14:textId="77777777" w:rsidR="006B3884" w:rsidRPr="006B3884" w:rsidRDefault="006B3884" w:rsidP="006B3884">
      <w:pPr>
        <w:tabs>
          <w:tab w:val="left" w:pos="-2268"/>
        </w:tabs>
        <w:suppressAutoHyphens/>
        <w:rPr>
          <w:spacing w:val="-3"/>
        </w:rPr>
      </w:pPr>
    </w:p>
    <w:p w14:paraId="6A9A4053" w14:textId="77777777" w:rsidR="00413E79" w:rsidRPr="006B3884" w:rsidRDefault="00413E79" w:rsidP="00E64F04">
      <w:pPr>
        <w:pStyle w:val="Prrafodelista"/>
        <w:numPr>
          <w:ilvl w:val="0"/>
          <w:numId w:val="403"/>
        </w:numPr>
        <w:tabs>
          <w:tab w:val="left" w:pos="-2268"/>
        </w:tabs>
        <w:suppressAutoHyphens/>
        <w:ind w:left="1701" w:hanging="567"/>
        <w:rPr>
          <w:spacing w:val="-3"/>
        </w:rPr>
      </w:pPr>
      <w:r w:rsidRPr="006B3884">
        <w:rPr>
          <w:spacing w:val="-3"/>
          <w:lang w:val="es-CO"/>
        </w:rPr>
        <w:t>Variable de mayor influencia, identificada como aquella cuya variación individual genera el mayor cambio porcentual en la concentración estimada.</w:t>
      </w:r>
    </w:p>
    <w:p w14:paraId="3AA2AB43" w14:textId="77777777" w:rsidR="00413E79" w:rsidRPr="00413E79" w:rsidRDefault="00413E79" w:rsidP="00413E79">
      <w:pPr>
        <w:tabs>
          <w:tab w:val="left" w:pos="-2268"/>
        </w:tabs>
        <w:suppressAutoHyphens/>
        <w:rPr>
          <w:spacing w:val="-3"/>
        </w:rPr>
      </w:pPr>
    </w:p>
    <w:p w14:paraId="0D90ED87" w14:textId="0D628E1C" w:rsidR="00413E79" w:rsidRPr="00413E79" w:rsidRDefault="00413E79" w:rsidP="00E64F04">
      <w:pPr>
        <w:tabs>
          <w:tab w:val="left" w:pos="-2268"/>
        </w:tabs>
        <w:suppressAutoHyphens/>
        <w:ind w:left="567"/>
        <w:rPr>
          <w:spacing w:val="-3"/>
        </w:rPr>
      </w:pPr>
      <w:r w:rsidRPr="00413E79">
        <w:rPr>
          <w:spacing w:val="-3"/>
        </w:rPr>
        <w:t>Con base en estos indicadores se debe concluir qué tan sensible es el modelo frente a cada variable evaluada</w:t>
      </w:r>
      <w:r w:rsidR="00BB6C6E">
        <w:rPr>
          <w:spacing w:val="-3"/>
        </w:rPr>
        <w:t xml:space="preserve"> e</w:t>
      </w:r>
      <w:r w:rsidRPr="00413E79">
        <w:rPr>
          <w:spacing w:val="-3"/>
        </w:rPr>
        <w:t xml:space="preserve"> identifica</w:t>
      </w:r>
      <w:r w:rsidR="00BB6C6E">
        <w:rPr>
          <w:spacing w:val="-3"/>
        </w:rPr>
        <w:t xml:space="preserve">r </w:t>
      </w:r>
      <w:r w:rsidRPr="00413E79">
        <w:rPr>
          <w:spacing w:val="-3"/>
        </w:rPr>
        <w:t>cuáles supuestos tienen mayor influencia en el resultado final y cuáles pueden asumirse con mayor tranquilidad por su bajo impacto en la concentración estimada.</w:t>
      </w:r>
    </w:p>
    <w:p w14:paraId="0BF512C3" w14:textId="77777777" w:rsidR="00413E79" w:rsidRPr="00413E79" w:rsidRDefault="00413E79" w:rsidP="006B3884">
      <w:pPr>
        <w:tabs>
          <w:tab w:val="left" w:pos="-2268"/>
        </w:tabs>
        <w:suppressAutoHyphens/>
        <w:rPr>
          <w:spacing w:val="-3"/>
        </w:rPr>
      </w:pPr>
    </w:p>
    <w:p w14:paraId="08734A5A" w14:textId="69DFE4A8" w:rsidR="00F92563" w:rsidRDefault="00413E79" w:rsidP="00E64F04">
      <w:pPr>
        <w:tabs>
          <w:tab w:val="left" w:pos="-2268"/>
        </w:tabs>
        <w:suppressAutoHyphens/>
        <w:ind w:left="567"/>
        <w:rPr>
          <w:spacing w:val="-3"/>
        </w:rPr>
      </w:pPr>
      <w:r w:rsidRPr="00413E79">
        <w:rPr>
          <w:spacing w:val="-3"/>
        </w:rPr>
        <w:t>El análisis de sensibilidad es un ejercicio que evalúa la influencia de las variables de entrada sobre el resultado</w:t>
      </w:r>
      <w:r w:rsidR="00F41118">
        <w:rPr>
          <w:spacing w:val="-3"/>
        </w:rPr>
        <w:t xml:space="preserve"> del modelo</w:t>
      </w:r>
      <w:r w:rsidRPr="00413E79">
        <w:rPr>
          <w:spacing w:val="-3"/>
        </w:rPr>
        <w:t xml:space="preserve">. Este análisis no debe confundirse con el análisis de desempeño del modelo, </w:t>
      </w:r>
      <w:r w:rsidR="00BF6697">
        <w:rPr>
          <w:spacing w:val="-3"/>
        </w:rPr>
        <w:t xml:space="preserve">el cual </w:t>
      </w:r>
      <w:r w:rsidR="009307D9" w:rsidRPr="00413E79">
        <w:rPr>
          <w:spacing w:val="-3"/>
        </w:rPr>
        <w:t xml:space="preserve">compara las concentraciones simuladas frente a concentraciones medidas en estaciones de monitoreo </w:t>
      </w:r>
      <w:r w:rsidR="009307D9">
        <w:rPr>
          <w:spacing w:val="-3"/>
        </w:rPr>
        <w:t xml:space="preserve">con el </w:t>
      </w:r>
      <w:r w:rsidRPr="00413E79">
        <w:rPr>
          <w:spacing w:val="-3"/>
        </w:rPr>
        <w:t xml:space="preserve">propósito </w:t>
      </w:r>
      <w:r w:rsidR="009307D9">
        <w:rPr>
          <w:spacing w:val="-3"/>
        </w:rPr>
        <w:t xml:space="preserve">de </w:t>
      </w:r>
      <w:r w:rsidRPr="00413E79">
        <w:rPr>
          <w:spacing w:val="-3"/>
        </w:rPr>
        <w:t xml:space="preserve">evaluar qué tan bien </w:t>
      </w:r>
      <w:r w:rsidR="00986917">
        <w:rPr>
          <w:spacing w:val="-3"/>
        </w:rPr>
        <w:t xml:space="preserve">se </w:t>
      </w:r>
      <w:r w:rsidRPr="00413E79">
        <w:rPr>
          <w:spacing w:val="-3"/>
        </w:rPr>
        <w:t>reproduce la realidad</w:t>
      </w:r>
      <w:r w:rsidR="00986917">
        <w:rPr>
          <w:spacing w:val="-3"/>
        </w:rPr>
        <w:t xml:space="preserve"> mediante el modelo</w:t>
      </w:r>
      <w:r w:rsidRPr="00413E79">
        <w:rPr>
          <w:spacing w:val="-3"/>
        </w:rPr>
        <w:t>.</w:t>
      </w:r>
    </w:p>
    <w:p w14:paraId="6551E30D" w14:textId="77777777" w:rsidR="00796EEA" w:rsidRPr="004068F6" w:rsidRDefault="00796EEA" w:rsidP="00C86DA5">
      <w:pPr>
        <w:ind w:left="567" w:hanging="567"/>
      </w:pPr>
    </w:p>
    <w:p w14:paraId="217DE157" w14:textId="1314871C" w:rsidR="00796EEA" w:rsidRPr="004068F6" w:rsidRDefault="009A7064" w:rsidP="00796EEA">
      <w:pPr>
        <w:pStyle w:val="Prrafodelista"/>
        <w:numPr>
          <w:ilvl w:val="0"/>
          <w:numId w:val="5"/>
        </w:numPr>
        <w:tabs>
          <w:tab w:val="left" w:pos="-2268"/>
        </w:tabs>
        <w:suppressAutoHyphens/>
        <w:ind w:left="567" w:hanging="567"/>
        <w:rPr>
          <w:spacing w:val="-3"/>
          <w:lang w:val="es-CO"/>
        </w:rPr>
      </w:pPr>
      <w:r>
        <w:rPr>
          <w:spacing w:val="-3"/>
          <w:lang w:val="es-CO"/>
        </w:rPr>
        <w:lastRenderedPageBreak/>
        <w:t>V</w:t>
      </w:r>
      <w:r w:rsidR="00796EEA" w:rsidRPr="004068F6">
        <w:rPr>
          <w:spacing w:val="-3"/>
          <w:lang w:val="es-CO"/>
        </w:rPr>
        <w:t>alidación de la información meteorológica e información de elevación de terreno (modelo digital de terreno) mediante su comparación con datos primarios.</w:t>
      </w:r>
    </w:p>
    <w:p w14:paraId="04B41C4A" w14:textId="5FABAF76" w:rsidR="004A1B3C" w:rsidRPr="004068F6" w:rsidRDefault="004A1B3C" w:rsidP="00C86DA5">
      <w:pPr>
        <w:ind w:left="567" w:hanging="567"/>
      </w:pPr>
    </w:p>
    <w:p w14:paraId="0CAE00B4" w14:textId="1D81F409"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Definición del dominio de model</w:t>
      </w:r>
      <w:r w:rsidR="00A60447" w:rsidRPr="004068F6">
        <w:rPr>
          <w:spacing w:val="-3"/>
          <w:lang w:val="es-CO"/>
        </w:rPr>
        <w:t>iz</w:t>
      </w:r>
      <w:r w:rsidRPr="004068F6">
        <w:rPr>
          <w:spacing w:val="-3"/>
          <w:lang w:val="es-CO"/>
        </w:rPr>
        <w:t>ación: durante esta etapa se determina el área de influencia del componente atmosférico, la cual debe incluir todas las fuentes de emisión y los receptores que se tendrán en cuenta dentro del proceso de model</w:t>
      </w:r>
      <w:r w:rsidR="00A60447" w:rsidRPr="004068F6">
        <w:rPr>
          <w:spacing w:val="-3"/>
          <w:lang w:val="es-CO"/>
        </w:rPr>
        <w:t>iz</w:t>
      </w:r>
      <w:r w:rsidRPr="004068F6">
        <w:rPr>
          <w:spacing w:val="-3"/>
          <w:lang w:val="es-CO"/>
        </w:rPr>
        <w:t>ación. El tamaño del dominio de model</w:t>
      </w:r>
      <w:r w:rsidR="00A60447" w:rsidRPr="004068F6">
        <w:rPr>
          <w:spacing w:val="-3"/>
          <w:lang w:val="es-CO"/>
        </w:rPr>
        <w:t>iz</w:t>
      </w:r>
      <w:r w:rsidRPr="004068F6">
        <w:rPr>
          <w:spacing w:val="-3"/>
          <w:lang w:val="es-CO"/>
        </w:rPr>
        <w:t>ación depende del tipo de fuente, de las emisiones másicas, del tipo de contaminante y del modelo seleccionado para llevar a cabo el estudio. Modelos simples pueden requerir información de las actividades presentes en el dominio de model</w:t>
      </w:r>
      <w:r w:rsidR="00A60447" w:rsidRPr="004068F6">
        <w:rPr>
          <w:spacing w:val="-3"/>
          <w:lang w:val="es-CO"/>
        </w:rPr>
        <w:t>iz</w:t>
      </w:r>
      <w:r w:rsidRPr="004068F6">
        <w:rPr>
          <w:spacing w:val="-3"/>
          <w:lang w:val="es-CO"/>
        </w:rPr>
        <w:t>ación (rural o urbano) y la complejidad del terreno. Para elegir el tamaño del dominio de model</w:t>
      </w:r>
      <w:r w:rsidR="00A60447" w:rsidRPr="004068F6">
        <w:rPr>
          <w:spacing w:val="-3"/>
          <w:lang w:val="es-CO"/>
        </w:rPr>
        <w:t>iz</w:t>
      </w:r>
      <w:r w:rsidRPr="004068F6">
        <w:rPr>
          <w:spacing w:val="-3"/>
          <w:lang w:val="es-CO"/>
        </w:rPr>
        <w:t>ación se deben considerar:</w:t>
      </w:r>
    </w:p>
    <w:p w14:paraId="0A5DA740" w14:textId="77777777" w:rsidR="004A1B3C" w:rsidRPr="004068F6" w:rsidRDefault="004A1B3C" w:rsidP="00C86DA5"/>
    <w:p w14:paraId="45E5FC05" w14:textId="77777777"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Las áreas donde los receptores sean sensibles a la dispersión.</w:t>
      </w:r>
    </w:p>
    <w:p w14:paraId="23022762" w14:textId="77777777" w:rsidR="004A1B3C" w:rsidRPr="004068F6" w:rsidRDefault="004A1B3C" w:rsidP="009420F5"/>
    <w:p w14:paraId="30FCA944" w14:textId="57B34118"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Otras fuentes de emisión que deban ser incluidas en la model</w:t>
      </w:r>
      <w:r w:rsidR="00A60447" w:rsidRPr="004068F6">
        <w:rPr>
          <w:rFonts w:cs="Arial"/>
          <w:spacing w:val="-3"/>
        </w:rPr>
        <w:t>iz</w:t>
      </w:r>
      <w:r w:rsidRPr="004068F6">
        <w:rPr>
          <w:rFonts w:cs="Arial"/>
          <w:spacing w:val="-3"/>
        </w:rPr>
        <w:t>ación, en la medida</w:t>
      </w:r>
      <w:r w:rsidR="00032616" w:rsidRPr="004068F6">
        <w:rPr>
          <w:rFonts w:cs="Arial"/>
          <w:spacing w:val="-3"/>
        </w:rPr>
        <w:t xml:space="preserve"> </w:t>
      </w:r>
      <w:r w:rsidRPr="004068F6">
        <w:rPr>
          <w:rFonts w:cs="Arial"/>
          <w:spacing w:val="-3"/>
        </w:rPr>
        <w:t xml:space="preserve">que </w:t>
      </w:r>
      <w:r w:rsidR="00796EEA" w:rsidRPr="004068F6">
        <w:rPr>
          <w:rFonts w:cs="Arial"/>
          <w:spacing w:val="-3"/>
        </w:rPr>
        <w:t xml:space="preserve">sus emisiones no sean adecuadamente representadas por </w:t>
      </w:r>
      <w:r w:rsidRPr="004068F6">
        <w:rPr>
          <w:rFonts w:cs="Arial"/>
          <w:spacing w:val="-3"/>
        </w:rPr>
        <w:t>la concentración de fondo</w:t>
      </w:r>
      <w:r w:rsidR="00796EEA" w:rsidRPr="004068F6">
        <w:rPr>
          <w:rFonts w:cs="Arial"/>
          <w:spacing w:val="-3"/>
        </w:rPr>
        <w:t xml:space="preserve"> determinada a partir de monitoreos de calidad del aire</w:t>
      </w:r>
      <w:r w:rsidR="00FF6958" w:rsidRPr="004068F6">
        <w:rPr>
          <w:rFonts w:cs="Arial"/>
          <w:spacing w:val="-3"/>
        </w:rPr>
        <w:t xml:space="preserve"> (por ejemplo, las vías del proyecto que se encuentren en el área de influencia y para las cuales se realizó el aforo vehicular según los lineamientos dados en el numeral </w:t>
      </w:r>
      <w:r w:rsidR="00FF6958" w:rsidRPr="004068F6">
        <w:rPr>
          <w:rFonts w:cs="Arial"/>
          <w:spacing w:val="-3"/>
        </w:rPr>
        <w:fldChar w:fldCharType="begin"/>
      </w:r>
      <w:r w:rsidR="00FF6958" w:rsidRPr="004068F6">
        <w:rPr>
          <w:rFonts w:cs="Arial"/>
          <w:spacing w:val="-3"/>
        </w:rPr>
        <w:instrText xml:space="preserve"> REF _Ref495933617 \r \h </w:instrText>
      </w:r>
      <w:r w:rsidR="00FF6958" w:rsidRPr="004068F6">
        <w:rPr>
          <w:rFonts w:cs="Arial"/>
          <w:spacing w:val="-3"/>
        </w:rPr>
      </w:r>
      <w:r w:rsidR="00FF6958" w:rsidRPr="004068F6">
        <w:rPr>
          <w:rFonts w:cs="Arial"/>
          <w:spacing w:val="-3"/>
        </w:rPr>
        <w:fldChar w:fldCharType="separate"/>
      </w:r>
      <w:r w:rsidR="009C4A81">
        <w:rPr>
          <w:rFonts w:cs="Arial"/>
          <w:spacing w:val="-3"/>
        </w:rPr>
        <w:t>4.1.7.2</w:t>
      </w:r>
      <w:r w:rsidR="00FF6958" w:rsidRPr="004068F6">
        <w:rPr>
          <w:rFonts w:cs="Arial"/>
          <w:spacing w:val="-3"/>
        </w:rPr>
        <w:fldChar w:fldCharType="end"/>
      </w:r>
      <w:r w:rsidRPr="004068F6">
        <w:rPr>
          <w:rFonts w:cs="Arial"/>
          <w:spacing w:val="-3"/>
        </w:rPr>
        <w:t>.</w:t>
      </w:r>
    </w:p>
    <w:p w14:paraId="67F66C8B" w14:textId="77777777" w:rsidR="004A1B3C" w:rsidRPr="004068F6" w:rsidRDefault="004A1B3C" w:rsidP="00C86DA5"/>
    <w:p w14:paraId="73AEFE57" w14:textId="4CBF75DF"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 xml:space="preserve">Simulación atmosférica de la dispersión de contaminantes: el objetivo de esta fase es </w:t>
      </w:r>
      <w:r w:rsidR="00753425" w:rsidRPr="004068F6">
        <w:rPr>
          <w:spacing w:val="-3"/>
          <w:lang w:val="es-CO"/>
        </w:rPr>
        <w:t xml:space="preserve">determinar </w:t>
      </w:r>
      <w:r w:rsidRPr="004068F6">
        <w:rPr>
          <w:spacing w:val="-3"/>
          <w:lang w:val="es-CO"/>
        </w:rPr>
        <w:t>el comportamiento de los contaminantes en el dominio de model</w:t>
      </w:r>
      <w:r w:rsidR="00A60447" w:rsidRPr="004068F6">
        <w:rPr>
          <w:spacing w:val="-3"/>
          <w:lang w:val="es-CO"/>
        </w:rPr>
        <w:t>iz</w:t>
      </w:r>
      <w:r w:rsidRPr="004068F6">
        <w:rPr>
          <w:spacing w:val="-3"/>
          <w:lang w:val="es-CO"/>
        </w:rPr>
        <w:t>ación. Se deben model</w:t>
      </w:r>
      <w:r w:rsidR="00A60447" w:rsidRPr="004068F6">
        <w:rPr>
          <w:spacing w:val="-3"/>
          <w:lang w:val="es-CO"/>
        </w:rPr>
        <w:t>iz</w:t>
      </w:r>
      <w:r w:rsidRPr="004068F6">
        <w:rPr>
          <w:spacing w:val="-3"/>
          <w:lang w:val="es-CO"/>
        </w:rPr>
        <w:t>ar bajo los siguientes escenarios:</w:t>
      </w:r>
    </w:p>
    <w:p w14:paraId="1B603463" w14:textId="77777777" w:rsidR="004A1B3C" w:rsidRPr="004068F6" w:rsidRDefault="004A1B3C">
      <w:pPr>
        <w:tabs>
          <w:tab w:val="left" w:pos="-2268"/>
        </w:tabs>
        <w:suppressAutoHyphens/>
        <w:rPr>
          <w:spacing w:val="-3"/>
        </w:rPr>
      </w:pPr>
    </w:p>
    <w:p w14:paraId="54C67947" w14:textId="7C9B2119"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 xml:space="preserve">Primer escenario: </w:t>
      </w:r>
      <w:r w:rsidR="00796EEA" w:rsidRPr="004068F6">
        <w:rPr>
          <w:rFonts w:cs="Arial"/>
          <w:spacing w:val="-3"/>
        </w:rPr>
        <w:t>actual</w:t>
      </w:r>
      <w:r w:rsidRPr="004068F6">
        <w:rPr>
          <w:rFonts w:cs="Arial"/>
          <w:spacing w:val="-3"/>
        </w:rPr>
        <w:t xml:space="preserve"> (aplica en caso de contar con inventario de emisiones formal de la zona</w:t>
      </w:r>
      <w:r w:rsidR="00796EEA" w:rsidRPr="004068F6">
        <w:rPr>
          <w:rFonts w:cs="Arial"/>
          <w:spacing w:val="-3"/>
        </w:rPr>
        <w:t xml:space="preserve"> o en el marco de una modificación del instrumento ambiental)</w:t>
      </w:r>
      <w:r w:rsidRPr="004068F6">
        <w:rPr>
          <w:rFonts w:cs="Arial"/>
          <w:spacing w:val="-3"/>
        </w:rPr>
        <w:t xml:space="preserve">. Si no se posee inventario de emisiones, </w:t>
      </w:r>
      <w:r w:rsidR="00796EEA" w:rsidRPr="004068F6">
        <w:rPr>
          <w:rFonts w:cs="Arial"/>
          <w:spacing w:val="-3"/>
        </w:rPr>
        <w:t>se debe prescindir de la model</w:t>
      </w:r>
      <w:r w:rsidR="00A60447" w:rsidRPr="004068F6">
        <w:rPr>
          <w:rFonts w:cs="Arial"/>
          <w:spacing w:val="-3"/>
        </w:rPr>
        <w:t>iz</w:t>
      </w:r>
      <w:r w:rsidR="00796EEA" w:rsidRPr="004068F6">
        <w:rPr>
          <w:rFonts w:cs="Arial"/>
          <w:spacing w:val="-3"/>
        </w:rPr>
        <w:t xml:space="preserve">ación y considerar </w:t>
      </w:r>
      <w:r w:rsidRPr="004068F6">
        <w:rPr>
          <w:rFonts w:cs="Arial"/>
          <w:spacing w:val="-3"/>
        </w:rPr>
        <w:t xml:space="preserve">la línea base </w:t>
      </w:r>
      <w:r w:rsidR="00796EEA" w:rsidRPr="004068F6">
        <w:rPr>
          <w:rFonts w:cs="Arial"/>
          <w:spacing w:val="-3"/>
        </w:rPr>
        <w:t xml:space="preserve">que </w:t>
      </w:r>
      <w:r w:rsidRPr="004068F6">
        <w:rPr>
          <w:rFonts w:cs="Arial"/>
          <w:spacing w:val="-3"/>
        </w:rPr>
        <w:t>corresponderá a las concentraciones de los niveles de inmisión del monitoreo de calidad</w:t>
      </w:r>
      <w:r w:rsidR="00796EEA" w:rsidRPr="004068F6">
        <w:rPr>
          <w:rFonts w:cs="Arial"/>
          <w:spacing w:val="-3"/>
        </w:rPr>
        <w:t xml:space="preserve"> del aire</w:t>
      </w:r>
      <w:r w:rsidRPr="004068F6">
        <w:rPr>
          <w:rFonts w:cs="Arial"/>
          <w:spacing w:val="-3"/>
        </w:rPr>
        <w:t xml:space="preserve"> según su cobertura espacial).</w:t>
      </w:r>
    </w:p>
    <w:p w14:paraId="5D27854A" w14:textId="77777777" w:rsidR="004A1B3C" w:rsidRPr="004068F6" w:rsidRDefault="004A1B3C" w:rsidP="009420F5">
      <w:pPr>
        <w:tabs>
          <w:tab w:val="left" w:pos="-2268"/>
        </w:tabs>
        <w:suppressAutoHyphens/>
        <w:rPr>
          <w:spacing w:val="-3"/>
        </w:rPr>
      </w:pPr>
    </w:p>
    <w:p w14:paraId="50314252" w14:textId="24014D5F"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Segundo escenario: proyecto</w:t>
      </w:r>
      <w:r w:rsidR="009F4208" w:rsidRPr="004068F6">
        <w:rPr>
          <w:rFonts w:cs="Arial"/>
          <w:vertAlign w:val="superscript"/>
        </w:rPr>
        <w:footnoteReference w:id="203"/>
      </w:r>
      <w:r w:rsidRPr="004068F6">
        <w:rPr>
          <w:rFonts w:cs="Arial"/>
          <w:spacing w:val="-3"/>
        </w:rPr>
        <w:t xml:space="preserve"> sin medidas de </w:t>
      </w:r>
      <w:r w:rsidR="00E86AF3" w:rsidRPr="004068F6">
        <w:rPr>
          <w:rFonts w:cs="Arial"/>
          <w:spacing w:val="-3"/>
        </w:rPr>
        <w:t>manejo</w:t>
      </w:r>
      <w:r w:rsidR="00796EEA" w:rsidRPr="004068F6">
        <w:rPr>
          <w:rFonts w:cs="Arial"/>
          <w:spacing w:val="-3"/>
          <w:vertAlign w:val="superscript"/>
        </w:rPr>
        <w:footnoteReference w:id="204"/>
      </w:r>
      <w:r w:rsidRPr="004068F6">
        <w:rPr>
          <w:rFonts w:cs="Arial"/>
          <w:spacing w:val="-3"/>
        </w:rPr>
        <w:t>.</w:t>
      </w:r>
    </w:p>
    <w:p w14:paraId="0CCA26D9" w14:textId="77777777" w:rsidR="004A1B3C" w:rsidRPr="004068F6" w:rsidRDefault="004A1B3C" w:rsidP="009420F5">
      <w:pPr>
        <w:tabs>
          <w:tab w:val="left" w:pos="-2268"/>
        </w:tabs>
        <w:suppressAutoHyphens/>
        <w:rPr>
          <w:spacing w:val="-3"/>
        </w:rPr>
      </w:pPr>
    </w:p>
    <w:p w14:paraId="42410B41" w14:textId="610204A2"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 xml:space="preserve">Tercer escenario: proyecto con medidas de </w:t>
      </w:r>
      <w:r w:rsidR="00E86AF3" w:rsidRPr="004068F6">
        <w:rPr>
          <w:rFonts w:cs="Arial"/>
          <w:spacing w:val="-3"/>
        </w:rPr>
        <w:t>manejo</w:t>
      </w:r>
      <w:r w:rsidR="00FF6958" w:rsidRPr="00127BD4">
        <w:rPr>
          <w:rFonts w:cs="Arial"/>
          <w:spacing w:val="-3"/>
          <w:vertAlign w:val="superscript"/>
        </w:rPr>
        <w:footnoteReference w:id="205"/>
      </w:r>
      <w:r w:rsidRPr="004068F6">
        <w:rPr>
          <w:rFonts w:cs="Arial"/>
          <w:spacing w:val="-3"/>
        </w:rPr>
        <w:t>.</w:t>
      </w:r>
    </w:p>
    <w:p w14:paraId="54598DD6" w14:textId="77777777" w:rsidR="004A1B3C" w:rsidRPr="004068F6" w:rsidRDefault="004A1B3C" w:rsidP="00C86DA5"/>
    <w:p w14:paraId="0AA320B0" w14:textId="77777777" w:rsidR="004A1B3C" w:rsidRPr="004068F6" w:rsidRDefault="004A1B3C" w:rsidP="00C86DA5">
      <w:pPr>
        <w:ind w:left="567"/>
      </w:pPr>
      <w:r w:rsidRPr="004068F6">
        <w:t>Para cada escenario se debe aplicar un modelo de dispersión en cuyo procedimiento contemple, como mínimo un análisis de los datos de entrada y de salida utilizados (anexar los archivos de entrada y de salida originales del modelo o software) y que describa el procedimiento utilizado y los criterios de selección y validación de la información de entrada. Se debe presentar información detallada de los parámetros requeridos para ejecutar la simulación, entre los cuales se encuentran:</w:t>
      </w:r>
    </w:p>
    <w:p w14:paraId="5A1FC750" w14:textId="77777777" w:rsidR="00032616" w:rsidRPr="004068F6" w:rsidRDefault="00032616" w:rsidP="00C86DA5"/>
    <w:p w14:paraId="6FCBC48C" w14:textId="61DFB52F"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Inventario y posible localización de todas las fuentes de emisión de material particulado que contempla el proyecto, las cuales deben ser incluidas como parte de los datos de entrada para alimentar la model</w:t>
      </w:r>
      <w:r w:rsidR="00A60447" w:rsidRPr="004068F6">
        <w:rPr>
          <w:rFonts w:cs="Arial"/>
          <w:spacing w:val="-3"/>
        </w:rPr>
        <w:t>iz</w:t>
      </w:r>
      <w:r w:rsidRPr="004068F6">
        <w:rPr>
          <w:rFonts w:cs="Arial"/>
          <w:spacing w:val="-3"/>
        </w:rPr>
        <w:t>ación (fuentes fijas que a su vez pueden ser dispersas, de área o puntuales, y fuentes móviles). A partir de los criterios adoptados internacionalmente para el análisis de emisiones, se deben estimar las emisiones de cada una de las fuentes del proyecto.</w:t>
      </w:r>
    </w:p>
    <w:p w14:paraId="77400FF7" w14:textId="77777777" w:rsidR="004A1B3C" w:rsidRPr="004068F6" w:rsidRDefault="004A1B3C" w:rsidP="009420F5"/>
    <w:p w14:paraId="6FB16027" w14:textId="2578B3DD"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Análisis de la información meteorológica utilizada (velocidad y dirección del viento, temperatura, precipitación, radiación solar, nubosidad, altura de mezcla y estabilidad atmosférica, entre otros) y características de la estación o estaciones de donde se tome dicha información (mínimo un año de información de las variables meteorológicas). Se deben precisar los análisis de consistencia que se realicen a los datos meteorológicos disponibles y a los utilizados en la model</w:t>
      </w:r>
      <w:r w:rsidR="00A60447" w:rsidRPr="004068F6">
        <w:rPr>
          <w:rFonts w:cs="Arial"/>
          <w:spacing w:val="-3"/>
        </w:rPr>
        <w:t>iz</w:t>
      </w:r>
      <w:r w:rsidRPr="004068F6">
        <w:rPr>
          <w:rFonts w:cs="Arial"/>
          <w:spacing w:val="-3"/>
        </w:rPr>
        <w:t>ación</w:t>
      </w:r>
      <w:r w:rsidR="00CC4E11" w:rsidRPr="004068F6">
        <w:rPr>
          <w:rFonts w:cs="Arial"/>
          <w:spacing w:val="-3"/>
        </w:rPr>
        <w:t xml:space="preserve"> y se debe garantizar que estos presenten coherencia y representatividad </w:t>
      </w:r>
      <w:r w:rsidR="00CF22FD" w:rsidRPr="004068F6">
        <w:rPr>
          <w:rFonts w:cs="Arial"/>
          <w:spacing w:val="-3"/>
        </w:rPr>
        <w:t xml:space="preserve">temporal y </w:t>
      </w:r>
      <w:r w:rsidR="00CC4E11" w:rsidRPr="004068F6">
        <w:rPr>
          <w:rFonts w:cs="Arial"/>
          <w:spacing w:val="-3"/>
        </w:rPr>
        <w:t>espacial de acuerdo con la ubicación del proyecto</w:t>
      </w:r>
      <w:r w:rsidRPr="004068F6">
        <w:rPr>
          <w:rFonts w:cs="Arial"/>
          <w:spacing w:val="-3"/>
        </w:rPr>
        <w:t>. Se debe tener en cuenta que para que un modelo de dispersión provea estimaciones precisas, la información meteorológica usada en el mismo debe ser representativa de las condiciones de transporte y dispersión de partículas (anexar los archivos meteorológicos de model</w:t>
      </w:r>
      <w:r w:rsidR="00A60447" w:rsidRPr="004068F6">
        <w:rPr>
          <w:rFonts w:cs="Arial"/>
          <w:spacing w:val="-3"/>
        </w:rPr>
        <w:t>iz</w:t>
      </w:r>
      <w:r w:rsidRPr="004068F6">
        <w:rPr>
          <w:rFonts w:cs="Arial"/>
          <w:spacing w:val="-3"/>
        </w:rPr>
        <w:t>ación y aquellos utilizados para su generación y construcción).</w:t>
      </w:r>
      <w:r w:rsidR="00CC4E11" w:rsidRPr="004068F6">
        <w:rPr>
          <w:rFonts w:cs="Arial"/>
          <w:spacing w:val="-3"/>
        </w:rPr>
        <w:t xml:space="preserve"> La estación meteorológica considerada, debe proveer información que cumpla con los estándares de calidad de acuerdo con lo especificado por el </w:t>
      </w:r>
      <w:r w:rsidR="00A92356" w:rsidRPr="004068F6">
        <w:rPr>
          <w:rFonts w:cs="Arial"/>
          <w:spacing w:val="-3"/>
        </w:rPr>
        <w:t>Ideam</w:t>
      </w:r>
      <w:r w:rsidR="00CC4E11" w:rsidRPr="004068F6">
        <w:rPr>
          <w:rFonts w:cs="Arial"/>
          <w:spacing w:val="-3"/>
        </w:rPr>
        <w:t>.</w:t>
      </w:r>
      <w:r w:rsidR="00CF22FD" w:rsidRPr="004068F6">
        <w:rPr>
          <w:rFonts w:cs="Arial"/>
          <w:spacing w:val="-3"/>
        </w:rPr>
        <w:t xml:space="preserve"> Se deben justificar técnicamente los casos en los que se considera que las estaciones no son válidas para la comparación.</w:t>
      </w:r>
    </w:p>
    <w:p w14:paraId="02C2A7E4" w14:textId="77777777" w:rsidR="004A1B3C" w:rsidRPr="004068F6" w:rsidRDefault="004A1B3C" w:rsidP="009420F5"/>
    <w:p w14:paraId="00861F58" w14:textId="6819D4E9" w:rsidR="004F4764" w:rsidRPr="004068F6" w:rsidRDefault="004F4764" w:rsidP="005050B4">
      <w:pPr>
        <w:numPr>
          <w:ilvl w:val="1"/>
          <w:numId w:val="573"/>
        </w:numPr>
        <w:tabs>
          <w:tab w:val="left" w:pos="-2268"/>
        </w:tabs>
        <w:suppressAutoHyphens/>
        <w:ind w:left="1134" w:hanging="567"/>
        <w:rPr>
          <w:rFonts w:cs="Arial"/>
          <w:spacing w:val="-3"/>
        </w:rPr>
      </w:pPr>
      <w:r w:rsidRPr="004068F6">
        <w:rPr>
          <w:rFonts w:cs="Arial"/>
          <w:spacing w:val="-3"/>
        </w:rPr>
        <w:t xml:space="preserve">Cuando no exista información disponible de estaciones meteorológicas avaladas por el </w:t>
      </w:r>
      <w:r w:rsidR="00A92356" w:rsidRPr="004068F6">
        <w:rPr>
          <w:rFonts w:cs="Arial"/>
          <w:spacing w:val="-3"/>
        </w:rPr>
        <w:t>Ideam</w:t>
      </w:r>
      <w:r w:rsidRPr="004068F6">
        <w:rPr>
          <w:rFonts w:cs="Arial"/>
          <w:spacing w:val="-3"/>
        </w:rPr>
        <w:t>, la información meteorológica puede ser tomada de resultados de simulaciones con modelos meteorológicos (</w:t>
      </w:r>
      <w:r w:rsidR="00041844" w:rsidRPr="004068F6">
        <w:rPr>
          <w:rFonts w:cs="Arial"/>
          <w:spacing w:val="-3"/>
        </w:rPr>
        <w:t>p. ej.</w:t>
      </w:r>
      <w:r w:rsidRPr="004068F6">
        <w:rPr>
          <w:rFonts w:cs="Arial"/>
          <w:spacing w:val="-3"/>
        </w:rPr>
        <w:t xml:space="preserve"> Weather Research and Forecasting) siempre y cuando se garantice su representatividad espacial y temporal de acuerdo con las características del proyecto. As</w:t>
      </w:r>
      <w:r w:rsidR="00A47385" w:rsidRPr="004068F6">
        <w:rPr>
          <w:rFonts w:cs="Arial"/>
          <w:spacing w:val="-3"/>
        </w:rPr>
        <w:t>i</w:t>
      </w:r>
      <w:r w:rsidRPr="004068F6">
        <w:rPr>
          <w:rFonts w:cs="Arial"/>
          <w:spacing w:val="-3"/>
        </w:rPr>
        <w:t xml:space="preserve">mismo, la resolución espacial y temporal debe permitir evidenciar variaciones que influyan en la dispersión de contaminantes. Se debe realizar un análisis de validación de los resultados de este modelo, en función de información monitoreada por parte del </w:t>
      </w:r>
      <w:r w:rsidR="00A92356" w:rsidRPr="004068F6">
        <w:rPr>
          <w:rFonts w:cs="Arial"/>
          <w:spacing w:val="-3"/>
        </w:rPr>
        <w:t>Ideam</w:t>
      </w:r>
      <w:r w:rsidRPr="004068F6">
        <w:rPr>
          <w:rFonts w:cs="Arial"/>
          <w:spacing w:val="-3"/>
        </w:rPr>
        <w:t xml:space="preserve"> o redes de Autoridades Ambientales en la zona cercana al proyecto.</w:t>
      </w:r>
    </w:p>
    <w:p w14:paraId="3E78B6B6" w14:textId="77777777" w:rsidR="004F4764" w:rsidRPr="004068F6" w:rsidRDefault="004F4764" w:rsidP="009420F5"/>
    <w:p w14:paraId="1B57632A" w14:textId="4F62418F" w:rsidR="000B17B1" w:rsidRPr="004068F6" w:rsidRDefault="000B17B1" w:rsidP="000B17B1">
      <w:pPr>
        <w:ind w:left="1134"/>
      </w:pPr>
      <w:r w:rsidRPr="004068F6">
        <w:t>La información meteorológica que se utilice en los modelos de dispersión debe corresponder al periodo más crítico del fenómeno ENSO registrado en la última década, en el cual se haya incrementado la probabilidad de disminución de las precipitaciones. Esta condición permite evaluar el comportamiento del sistema bajo escenarios atmosféricos adversos, representativos de situaciones de mayor impacto potencial sobre la calidad del aire teniendo en cuenta que la probabilidad de ocurrencia de este fenómeno tiende aumentar</w:t>
      </w:r>
      <w:r w:rsidRPr="00127BD4">
        <w:rPr>
          <w:vertAlign w:val="superscript"/>
        </w:rPr>
        <w:footnoteReference w:id="206"/>
      </w:r>
      <w:r w:rsidRPr="004068F6">
        <w:t>.</w:t>
      </w:r>
    </w:p>
    <w:p w14:paraId="2E889D82" w14:textId="77777777" w:rsidR="000B17B1" w:rsidRPr="004068F6" w:rsidRDefault="000B17B1" w:rsidP="00127BD4">
      <w:pPr>
        <w:ind w:left="1134"/>
      </w:pPr>
    </w:p>
    <w:p w14:paraId="00AF82B7" w14:textId="73140EEC"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 xml:space="preserve">Información topográfica </w:t>
      </w:r>
      <w:r w:rsidR="00CC4E11" w:rsidRPr="004068F6">
        <w:rPr>
          <w:rFonts w:cs="Arial"/>
          <w:spacing w:val="-3"/>
        </w:rPr>
        <w:t xml:space="preserve">o de herramientas virtuales </w:t>
      </w:r>
      <w:r w:rsidRPr="004068F6">
        <w:rPr>
          <w:rFonts w:cs="Arial"/>
          <w:spacing w:val="-3"/>
        </w:rPr>
        <w:t>del área model</w:t>
      </w:r>
      <w:r w:rsidR="00A60447" w:rsidRPr="004068F6">
        <w:rPr>
          <w:rFonts w:cs="Arial"/>
          <w:spacing w:val="-3"/>
        </w:rPr>
        <w:t>iz</w:t>
      </w:r>
      <w:r w:rsidRPr="004068F6">
        <w:rPr>
          <w:rFonts w:cs="Arial"/>
          <w:spacing w:val="-3"/>
        </w:rPr>
        <w:t>ada que pueda influir en los resultados de la model</w:t>
      </w:r>
      <w:r w:rsidR="00A60447" w:rsidRPr="004068F6">
        <w:rPr>
          <w:rFonts w:cs="Arial"/>
          <w:spacing w:val="-3"/>
        </w:rPr>
        <w:t>iz</w:t>
      </w:r>
      <w:r w:rsidRPr="004068F6">
        <w:rPr>
          <w:rFonts w:cs="Arial"/>
          <w:spacing w:val="-3"/>
        </w:rPr>
        <w:t xml:space="preserve">ación (anexar los archivos topográficos </w:t>
      </w:r>
      <w:r w:rsidR="00CC4E11" w:rsidRPr="004068F6">
        <w:rPr>
          <w:rFonts w:cs="Arial"/>
          <w:spacing w:val="-3"/>
        </w:rPr>
        <w:t xml:space="preserve">o de herramientas virtuales </w:t>
      </w:r>
      <w:r w:rsidRPr="004068F6">
        <w:rPr>
          <w:rFonts w:cs="Arial"/>
          <w:spacing w:val="-3"/>
        </w:rPr>
        <w:t>ingresados al modelo).</w:t>
      </w:r>
    </w:p>
    <w:p w14:paraId="68365263" w14:textId="77777777" w:rsidR="004A1B3C" w:rsidRPr="004068F6" w:rsidRDefault="004A1B3C" w:rsidP="009420F5"/>
    <w:p w14:paraId="0703A1BD" w14:textId="2298E62D"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 xml:space="preserve">Localización de los lugares o sitios de interés (receptores) sobre los cuales se debe enfocar el análisis del impacto atmosférico, teniendo en cuenta especialmente las áreas pobladas (anexar la cartografía base utilizada en la </w:t>
      </w:r>
      <w:r w:rsidR="00A86BC5" w:rsidRPr="004068F6">
        <w:rPr>
          <w:rFonts w:cs="Arial"/>
          <w:spacing w:val="-3"/>
        </w:rPr>
        <w:t xml:space="preserve">determinación </w:t>
      </w:r>
      <w:r w:rsidRPr="004068F6">
        <w:rPr>
          <w:rFonts w:cs="Arial"/>
          <w:spacing w:val="-3"/>
        </w:rPr>
        <w:t>de centros poblados o receptores).</w:t>
      </w:r>
    </w:p>
    <w:p w14:paraId="3160871C" w14:textId="77777777" w:rsidR="004A1B3C" w:rsidRPr="004068F6" w:rsidRDefault="004A1B3C" w:rsidP="009420F5"/>
    <w:p w14:paraId="5F2C0088" w14:textId="0E928E10" w:rsidR="004A1B3C" w:rsidRPr="004068F6" w:rsidRDefault="00CC4E11" w:rsidP="005050B4">
      <w:pPr>
        <w:numPr>
          <w:ilvl w:val="1"/>
          <w:numId w:val="573"/>
        </w:numPr>
        <w:tabs>
          <w:tab w:val="left" w:pos="-2268"/>
        </w:tabs>
        <w:suppressAutoHyphens/>
        <w:ind w:left="1134" w:hanging="567"/>
        <w:rPr>
          <w:rFonts w:cs="Arial"/>
          <w:spacing w:val="-3"/>
        </w:rPr>
      </w:pPr>
      <w:r w:rsidRPr="004068F6">
        <w:rPr>
          <w:rFonts w:cs="Arial"/>
          <w:spacing w:val="-3"/>
        </w:rPr>
        <w:t>Información disponible de monitoreo de la calidad del aire que permita determinar las concentraciones de fondo del dominio de model</w:t>
      </w:r>
      <w:r w:rsidR="00A60447" w:rsidRPr="004068F6">
        <w:rPr>
          <w:rFonts w:cs="Arial"/>
          <w:spacing w:val="-3"/>
        </w:rPr>
        <w:t>iz</w:t>
      </w:r>
      <w:r w:rsidRPr="004068F6">
        <w:rPr>
          <w:rFonts w:cs="Arial"/>
          <w:spacing w:val="-3"/>
        </w:rPr>
        <w:t>ación y sirvan como insumo para validar los resultados de las simulaciones realizadas para el escenario en particular</w:t>
      </w:r>
      <w:r w:rsidR="004A1B3C" w:rsidRPr="004068F6">
        <w:rPr>
          <w:rFonts w:cs="Arial"/>
          <w:spacing w:val="-3"/>
        </w:rPr>
        <w:t>.</w:t>
      </w:r>
    </w:p>
    <w:p w14:paraId="620F09D4" w14:textId="77777777" w:rsidR="004A1B3C" w:rsidRPr="004068F6" w:rsidRDefault="004A1B3C" w:rsidP="00127BD4">
      <w:pPr>
        <w:tabs>
          <w:tab w:val="left" w:pos="-2268"/>
        </w:tabs>
        <w:suppressAutoHyphens/>
      </w:pPr>
    </w:p>
    <w:p w14:paraId="75F8EA72" w14:textId="15DEEECD" w:rsidR="004A1B3C" w:rsidRPr="004068F6" w:rsidRDefault="004A1B3C" w:rsidP="00C86DA5">
      <w:pPr>
        <w:pStyle w:val="Prrafodelista"/>
        <w:numPr>
          <w:ilvl w:val="0"/>
          <w:numId w:val="5"/>
        </w:numPr>
        <w:tabs>
          <w:tab w:val="left" w:pos="-2268"/>
        </w:tabs>
        <w:suppressAutoHyphens/>
        <w:ind w:left="567" w:hanging="567"/>
        <w:rPr>
          <w:spacing w:val="-3"/>
          <w:lang w:val="es-CO"/>
        </w:rPr>
      </w:pPr>
      <w:r w:rsidRPr="004068F6">
        <w:rPr>
          <w:spacing w:val="-3"/>
          <w:lang w:val="es-CO"/>
        </w:rPr>
        <w:t>Informe de resultados de model</w:t>
      </w:r>
      <w:r w:rsidR="00A60447" w:rsidRPr="004068F6">
        <w:rPr>
          <w:spacing w:val="-3"/>
          <w:lang w:val="es-CO"/>
        </w:rPr>
        <w:t>iz</w:t>
      </w:r>
      <w:r w:rsidRPr="004068F6">
        <w:rPr>
          <w:spacing w:val="-3"/>
          <w:lang w:val="es-CO"/>
        </w:rPr>
        <w:t>ación: los resultados de la model</w:t>
      </w:r>
      <w:r w:rsidR="00A60447" w:rsidRPr="004068F6">
        <w:rPr>
          <w:spacing w:val="-3"/>
          <w:lang w:val="es-CO"/>
        </w:rPr>
        <w:t>iz</w:t>
      </w:r>
      <w:r w:rsidRPr="004068F6">
        <w:rPr>
          <w:spacing w:val="-3"/>
          <w:lang w:val="es-CO"/>
        </w:rPr>
        <w:t>ación deben ser reportados de manera concisa y clara. El desarrollo de la model</w:t>
      </w:r>
      <w:r w:rsidR="00A60447" w:rsidRPr="004068F6">
        <w:rPr>
          <w:spacing w:val="-3"/>
          <w:lang w:val="es-CO"/>
        </w:rPr>
        <w:t>iz</w:t>
      </w:r>
      <w:r w:rsidRPr="004068F6">
        <w:rPr>
          <w:spacing w:val="-3"/>
          <w:lang w:val="es-CO"/>
        </w:rPr>
        <w:t xml:space="preserve">ación debe indicar cuáles son los aportes de contaminación producto de las actividades del proyecto, en relación con las concentraciones de fondo y los aportes de las fuentes ajenas al </w:t>
      </w:r>
      <w:r w:rsidRPr="004068F6">
        <w:rPr>
          <w:spacing w:val="-3"/>
          <w:lang w:val="es-CO"/>
        </w:rPr>
        <w:lastRenderedPageBreak/>
        <w:t>proyecto que tienen incidencia en la zona</w:t>
      </w:r>
      <w:r w:rsidR="000B17B1" w:rsidRPr="004068F6">
        <w:rPr>
          <w:spacing w:val="-3"/>
          <w:lang w:val="es-CO"/>
        </w:rPr>
        <w:t xml:space="preserve"> (por ejemplo, la vías del proyecto ya existentes que van a ser utilizadas en las distintas etapas, para las cuales se desarrolla el aforo vehicular de acuerdo con los lineamientos dados en el numeral </w:t>
      </w:r>
      <w:r w:rsidR="000B17B1" w:rsidRPr="004068F6">
        <w:rPr>
          <w:spacing w:val="-3"/>
          <w:lang w:val="es-CO"/>
        </w:rPr>
        <w:fldChar w:fldCharType="begin"/>
      </w:r>
      <w:r w:rsidR="000B17B1" w:rsidRPr="004068F6">
        <w:rPr>
          <w:spacing w:val="-3"/>
          <w:lang w:val="es-CO"/>
        </w:rPr>
        <w:instrText xml:space="preserve"> REF _Ref495933617 \r \h </w:instrText>
      </w:r>
      <w:r w:rsidR="000B17B1" w:rsidRPr="004068F6">
        <w:rPr>
          <w:spacing w:val="-3"/>
          <w:lang w:val="es-CO"/>
        </w:rPr>
      </w:r>
      <w:r w:rsidR="000B17B1" w:rsidRPr="004068F6">
        <w:rPr>
          <w:spacing w:val="-3"/>
          <w:lang w:val="es-CO"/>
        </w:rPr>
        <w:fldChar w:fldCharType="separate"/>
      </w:r>
      <w:r w:rsidR="009C4A81">
        <w:rPr>
          <w:spacing w:val="-3"/>
          <w:lang w:val="es-CO"/>
        </w:rPr>
        <w:t>4.1.7.2</w:t>
      </w:r>
      <w:r w:rsidR="000B17B1" w:rsidRPr="004068F6">
        <w:rPr>
          <w:spacing w:val="-3"/>
          <w:lang w:val="es-CO"/>
        </w:rPr>
        <w:fldChar w:fldCharType="end"/>
      </w:r>
      <w:r w:rsidR="000B17B1" w:rsidRPr="004068F6">
        <w:rPr>
          <w:spacing w:val="-3"/>
          <w:lang w:val="es-CO"/>
        </w:rPr>
        <w:t>)</w:t>
      </w:r>
      <w:r w:rsidRPr="004068F6">
        <w:rPr>
          <w:spacing w:val="-3"/>
          <w:lang w:val="es-CO"/>
        </w:rPr>
        <w:t>, haciendo estimaciones de inmisión para las áreas de asentamientos humanos y zonas críticas identificadas. Por otra parte, la model</w:t>
      </w:r>
      <w:r w:rsidR="00A60447" w:rsidRPr="004068F6">
        <w:rPr>
          <w:spacing w:val="-3"/>
          <w:lang w:val="es-CO"/>
        </w:rPr>
        <w:t>iz</w:t>
      </w:r>
      <w:r w:rsidRPr="004068F6">
        <w:rPr>
          <w:spacing w:val="-3"/>
          <w:lang w:val="es-CO"/>
        </w:rPr>
        <w:t>ación debe permitir:</w:t>
      </w:r>
    </w:p>
    <w:p w14:paraId="69470ED9" w14:textId="77777777" w:rsidR="004A1B3C" w:rsidRPr="004068F6" w:rsidRDefault="004A1B3C" w:rsidP="00C86DA5"/>
    <w:p w14:paraId="66118959" w14:textId="0E11FB11" w:rsidR="004A1B3C" w:rsidRPr="004068F6" w:rsidRDefault="00753425" w:rsidP="005050B4">
      <w:pPr>
        <w:numPr>
          <w:ilvl w:val="1"/>
          <w:numId w:val="573"/>
        </w:numPr>
        <w:tabs>
          <w:tab w:val="left" w:pos="-2268"/>
        </w:tabs>
        <w:suppressAutoHyphens/>
        <w:ind w:left="1134" w:hanging="567"/>
        <w:rPr>
          <w:rFonts w:cs="Arial"/>
          <w:spacing w:val="-3"/>
        </w:rPr>
      </w:pPr>
      <w:r w:rsidRPr="004068F6">
        <w:rPr>
          <w:rFonts w:cs="Arial"/>
          <w:spacing w:val="-3"/>
        </w:rPr>
        <w:t xml:space="preserve">Determinar </w:t>
      </w:r>
      <w:r w:rsidR="004A1B3C" w:rsidRPr="004068F6">
        <w:rPr>
          <w:rFonts w:cs="Arial"/>
          <w:spacing w:val="-3"/>
        </w:rPr>
        <w:t>las zonas de mayor incremento en la presencia de contaminantes de interés para cada uno de los escenarios del proyecto.</w:t>
      </w:r>
    </w:p>
    <w:p w14:paraId="49CF1876" w14:textId="77777777" w:rsidR="004A1B3C" w:rsidRPr="004068F6" w:rsidRDefault="004A1B3C" w:rsidP="009420F5"/>
    <w:p w14:paraId="28EA4DBF" w14:textId="19262290" w:rsidR="004A1B3C" w:rsidRPr="004068F6" w:rsidRDefault="004A1B3C" w:rsidP="005050B4">
      <w:pPr>
        <w:numPr>
          <w:ilvl w:val="1"/>
          <w:numId w:val="573"/>
        </w:numPr>
        <w:tabs>
          <w:tab w:val="left" w:pos="-2268"/>
        </w:tabs>
        <w:suppressAutoHyphens/>
        <w:ind w:left="1134" w:hanging="567"/>
        <w:rPr>
          <w:rFonts w:cs="Arial"/>
          <w:spacing w:val="-3"/>
        </w:rPr>
      </w:pPr>
      <w:r w:rsidRPr="004068F6">
        <w:rPr>
          <w:rFonts w:cs="Arial"/>
          <w:spacing w:val="-3"/>
        </w:rPr>
        <w:t xml:space="preserve">Valorar la magnitud del impacto ocasionado por los procesos del proyecto, obra o actividad, sobre las condiciones de la calidad del aire en poblaciones potencialmente afectadas, teniendo en cuenta el marco normativo vigente (Resolución </w:t>
      </w:r>
      <w:r w:rsidR="00CC4E11" w:rsidRPr="004068F6">
        <w:rPr>
          <w:rFonts w:cs="Arial"/>
          <w:spacing w:val="-3"/>
        </w:rPr>
        <w:t>2254 de 2017 o aquella que la modifique o sustituya</w:t>
      </w:r>
      <w:r w:rsidRPr="004068F6">
        <w:rPr>
          <w:rFonts w:cs="Arial"/>
          <w:spacing w:val="-3"/>
        </w:rPr>
        <w:t>).</w:t>
      </w:r>
    </w:p>
    <w:p w14:paraId="3FB55AEC" w14:textId="77777777" w:rsidR="004A1B3C" w:rsidRPr="004068F6" w:rsidRDefault="004A1B3C" w:rsidP="009420F5"/>
    <w:p w14:paraId="2B6DF4F7" w14:textId="62D9619D" w:rsidR="004A1B3C" w:rsidRPr="004068F6" w:rsidRDefault="00753425" w:rsidP="005050B4">
      <w:pPr>
        <w:numPr>
          <w:ilvl w:val="1"/>
          <w:numId w:val="573"/>
        </w:numPr>
        <w:tabs>
          <w:tab w:val="left" w:pos="-2268"/>
        </w:tabs>
        <w:suppressAutoHyphens/>
        <w:ind w:left="1134" w:hanging="567"/>
        <w:rPr>
          <w:rFonts w:cs="Arial"/>
          <w:spacing w:val="-3"/>
        </w:rPr>
      </w:pPr>
      <w:r w:rsidRPr="004068F6">
        <w:rPr>
          <w:rFonts w:cs="Arial"/>
          <w:spacing w:val="-3"/>
        </w:rPr>
        <w:t xml:space="preserve">Establecer </w:t>
      </w:r>
      <w:r w:rsidR="004A1B3C" w:rsidRPr="004068F6">
        <w:rPr>
          <w:rFonts w:cs="Arial"/>
          <w:spacing w:val="-3"/>
        </w:rPr>
        <w:t>el aporte de contaminantes que realiza cada fuente o grupos de fuentes sobre la calidad del aire.</w:t>
      </w:r>
    </w:p>
    <w:p w14:paraId="345B6A6B" w14:textId="77777777" w:rsidR="004A1B3C" w:rsidRPr="004068F6" w:rsidRDefault="004A1B3C" w:rsidP="009420F5"/>
    <w:p w14:paraId="320E57AC" w14:textId="77777777" w:rsidR="004A1B3C" w:rsidRPr="004068F6" w:rsidRDefault="004A1B3C" w:rsidP="00C86DA5">
      <w:pPr>
        <w:ind w:left="567"/>
      </w:pPr>
      <w:r w:rsidRPr="004068F6">
        <w:t>La estructura del informe debe incorporar el contenido señalado en la siguiente tabla:</w:t>
      </w:r>
    </w:p>
    <w:p w14:paraId="6B46424A" w14:textId="77777777" w:rsidR="004A1B3C" w:rsidRPr="004068F6" w:rsidRDefault="004A1B3C" w:rsidP="00C86DA5"/>
    <w:p w14:paraId="4AC9DD0E" w14:textId="7CE0C579" w:rsidR="00FA6ABA" w:rsidRPr="004068F6" w:rsidRDefault="00FA6ABA" w:rsidP="009420F5">
      <w:pPr>
        <w:jc w:val="center"/>
      </w:pPr>
      <w:r w:rsidRPr="004068F6">
        <w:rPr>
          <w:b/>
        </w:rPr>
        <w:t xml:space="preserve">Tabla </w:t>
      </w:r>
      <w:r w:rsidRPr="004068F6">
        <w:rPr>
          <w:b/>
        </w:rPr>
        <w:fldChar w:fldCharType="begin"/>
      </w:r>
      <w:r w:rsidRPr="004068F6">
        <w:rPr>
          <w:b/>
        </w:rPr>
        <w:instrText xml:space="preserve"> SEQ Tabla \* ARABIC </w:instrText>
      </w:r>
      <w:r w:rsidRPr="004068F6">
        <w:rPr>
          <w:b/>
        </w:rPr>
        <w:fldChar w:fldCharType="separate"/>
      </w:r>
      <w:r w:rsidR="009C4A81">
        <w:rPr>
          <w:b/>
          <w:noProof/>
        </w:rPr>
        <w:t>32</w:t>
      </w:r>
      <w:r w:rsidRPr="004068F6">
        <w:rPr>
          <w:b/>
        </w:rPr>
        <w:fldChar w:fldCharType="end"/>
      </w:r>
      <w:r w:rsidRPr="004068F6">
        <w:t>. Estructura y contenido de resultados de la model</w:t>
      </w:r>
      <w:r w:rsidR="00A60447" w:rsidRPr="004068F6">
        <w:t>iz</w:t>
      </w:r>
      <w:r w:rsidRPr="004068F6">
        <w:t>ación de dispersión</w:t>
      </w:r>
    </w:p>
    <w:tbl>
      <w:tblPr>
        <w:tblStyle w:val="Tablaconcuadrcula"/>
        <w:tblW w:w="0" w:type="auto"/>
        <w:tblLayout w:type="fixed"/>
        <w:tblLook w:val="04A0" w:firstRow="1" w:lastRow="0" w:firstColumn="1" w:lastColumn="0" w:noHBand="0" w:noVBand="1"/>
      </w:tblPr>
      <w:tblGrid>
        <w:gridCol w:w="1980"/>
        <w:gridCol w:w="7417"/>
      </w:tblGrid>
      <w:tr w:rsidR="004A1B3C" w:rsidRPr="004068F6" w14:paraId="291DD522" w14:textId="77777777" w:rsidTr="00C86DA5">
        <w:trPr>
          <w:trHeight w:val="561"/>
          <w:tblHeader/>
        </w:trPr>
        <w:tc>
          <w:tcPr>
            <w:tcW w:w="1980" w:type="dxa"/>
            <w:vAlign w:val="center"/>
          </w:tcPr>
          <w:p w14:paraId="5B46DFF2" w14:textId="10B09E3B" w:rsidR="004A1B3C" w:rsidRPr="004068F6" w:rsidRDefault="00032616" w:rsidP="00C86DA5">
            <w:pPr>
              <w:jc w:val="center"/>
              <w:rPr>
                <w:b/>
                <w:sz w:val="22"/>
              </w:rPr>
            </w:pPr>
            <w:r w:rsidRPr="004068F6">
              <w:rPr>
                <w:rFonts w:cs="Arial"/>
                <w:b/>
                <w:sz w:val="22"/>
                <w:szCs w:val="22"/>
              </w:rPr>
              <w:t>Sección</w:t>
            </w:r>
          </w:p>
        </w:tc>
        <w:tc>
          <w:tcPr>
            <w:tcW w:w="7417" w:type="dxa"/>
            <w:vAlign w:val="center"/>
          </w:tcPr>
          <w:p w14:paraId="490A3EF3" w14:textId="08507F8C" w:rsidR="004A1B3C" w:rsidRPr="004068F6" w:rsidRDefault="00032616" w:rsidP="00C86DA5">
            <w:pPr>
              <w:jc w:val="center"/>
              <w:rPr>
                <w:b/>
                <w:sz w:val="22"/>
              </w:rPr>
            </w:pPr>
            <w:r w:rsidRPr="004068F6">
              <w:rPr>
                <w:rFonts w:cs="Arial"/>
                <w:b/>
                <w:sz w:val="22"/>
                <w:szCs w:val="22"/>
              </w:rPr>
              <w:t>Contenido</w:t>
            </w:r>
          </w:p>
        </w:tc>
      </w:tr>
      <w:tr w:rsidR="004A1B3C" w:rsidRPr="004068F6" w14:paraId="4D35ABFE" w14:textId="77777777" w:rsidTr="00533DA2">
        <w:trPr>
          <w:trHeight w:val="737"/>
        </w:trPr>
        <w:tc>
          <w:tcPr>
            <w:tcW w:w="1980" w:type="dxa"/>
            <w:vAlign w:val="center"/>
          </w:tcPr>
          <w:p w14:paraId="78863F8E" w14:textId="1A9F56DB" w:rsidR="004A1B3C" w:rsidRPr="00533DA2" w:rsidRDefault="004A1B3C" w:rsidP="00C86DA5">
            <w:pPr>
              <w:rPr>
                <w:sz w:val="20"/>
                <w:szCs w:val="22"/>
              </w:rPr>
            </w:pPr>
            <w:r w:rsidRPr="00533DA2">
              <w:rPr>
                <w:sz w:val="20"/>
                <w:szCs w:val="22"/>
              </w:rPr>
              <w:t>Objetivo de la model</w:t>
            </w:r>
            <w:r w:rsidR="00A60447" w:rsidRPr="00533DA2">
              <w:rPr>
                <w:sz w:val="20"/>
                <w:szCs w:val="22"/>
              </w:rPr>
              <w:t>iz</w:t>
            </w:r>
            <w:r w:rsidRPr="00533DA2">
              <w:rPr>
                <w:sz w:val="20"/>
                <w:szCs w:val="22"/>
              </w:rPr>
              <w:t>ación / simulación</w:t>
            </w:r>
          </w:p>
        </w:tc>
        <w:tc>
          <w:tcPr>
            <w:tcW w:w="7417" w:type="dxa"/>
            <w:vAlign w:val="center"/>
          </w:tcPr>
          <w:p w14:paraId="5141325B" w14:textId="1339C187" w:rsidR="004A1B3C" w:rsidRPr="00533DA2" w:rsidRDefault="004A1B3C" w:rsidP="00C86DA5">
            <w:pPr>
              <w:pStyle w:val="Prrafodelista"/>
              <w:numPr>
                <w:ilvl w:val="0"/>
                <w:numId w:val="74"/>
              </w:numPr>
              <w:ind w:left="320"/>
              <w:rPr>
                <w:sz w:val="20"/>
                <w:szCs w:val="22"/>
                <w:lang w:val="es-CO"/>
              </w:rPr>
            </w:pPr>
            <w:r w:rsidRPr="00533DA2">
              <w:rPr>
                <w:sz w:val="20"/>
                <w:szCs w:val="22"/>
                <w:lang w:val="es-CO"/>
              </w:rPr>
              <w:t xml:space="preserve">Descripción </w:t>
            </w:r>
            <w:r w:rsidRPr="00533DA2">
              <w:rPr>
                <w:rFonts w:cs="Arial"/>
                <w:sz w:val="20"/>
                <w:szCs w:val="22"/>
                <w:lang w:val="es-CO"/>
              </w:rPr>
              <w:t>de la condición a simular</w:t>
            </w:r>
            <w:r w:rsidRPr="00533DA2">
              <w:rPr>
                <w:sz w:val="20"/>
                <w:szCs w:val="22"/>
                <w:lang w:val="es-CO"/>
              </w:rPr>
              <w:t xml:space="preserve"> a representar y las preguntas a responder.</w:t>
            </w:r>
          </w:p>
        </w:tc>
      </w:tr>
      <w:tr w:rsidR="004A1B3C" w:rsidRPr="004068F6" w14:paraId="501625A6" w14:textId="77777777" w:rsidTr="00533DA2">
        <w:trPr>
          <w:trHeight w:val="833"/>
        </w:trPr>
        <w:tc>
          <w:tcPr>
            <w:tcW w:w="1980" w:type="dxa"/>
            <w:vAlign w:val="center"/>
          </w:tcPr>
          <w:p w14:paraId="1F140E6F" w14:textId="17A40376" w:rsidR="004A1B3C" w:rsidRPr="00533DA2" w:rsidRDefault="009E0510" w:rsidP="00C86DA5">
            <w:pPr>
              <w:rPr>
                <w:sz w:val="20"/>
                <w:szCs w:val="22"/>
              </w:rPr>
            </w:pPr>
            <w:r w:rsidRPr="00533DA2">
              <w:rPr>
                <w:sz w:val="20"/>
                <w:szCs w:val="22"/>
              </w:rPr>
              <w:t>Escenarios</w:t>
            </w:r>
          </w:p>
        </w:tc>
        <w:tc>
          <w:tcPr>
            <w:tcW w:w="7417" w:type="dxa"/>
            <w:vAlign w:val="center"/>
          </w:tcPr>
          <w:p w14:paraId="0B682F1F" w14:textId="77777777" w:rsidR="009E0510" w:rsidRPr="00533DA2" w:rsidRDefault="009E0510" w:rsidP="009E0510">
            <w:pPr>
              <w:pStyle w:val="Prrafodelista"/>
              <w:numPr>
                <w:ilvl w:val="0"/>
                <w:numId w:val="74"/>
              </w:numPr>
              <w:ind w:left="320"/>
              <w:rPr>
                <w:sz w:val="20"/>
                <w:szCs w:val="22"/>
                <w:lang w:val="es-CO"/>
              </w:rPr>
            </w:pPr>
            <w:r w:rsidRPr="00533DA2">
              <w:rPr>
                <w:sz w:val="20"/>
                <w:szCs w:val="22"/>
                <w:lang w:val="es-CO"/>
              </w:rPr>
              <w:t>Descripción de los escenarios: propósito de cada escenario, fuentes de emisión correspondientes, receptores sensibles identificados, entre otros.</w:t>
            </w:r>
          </w:p>
          <w:p w14:paraId="61C14F90" w14:textId="40F7259A" w:rsidR="004A1B3C" w:rsidRPr="00533DA2" w:rsidRDefault="009E0510" w:rsidP="00C86DA5">
            <w:pPr>
              <w:pStyle w:val="Prrafodelista"/>
              <w:numPr>
                <w:ilvl w:val="0"/>
                <w:numId w:val="74"/>
              </w:numPr>
              <w:ind w:left="320"/>
              <w:rPr>
                <w:sz w:val="20"/>
                <w:szCs w:val="22"/>
                <w:lang w:val="es-CO"/>
              </w:rPr>
            </w:pPr>
            <w:r w:rsidRPr="00533DA2">
              <w:rPr>
                <w:sz w:val="20"/>
                <w:szCs w:val="22"/>
                <w:lang w:val="es-CO"/>
              </w:rPr>
              <w:t>Contraste de escenarios: selección de alternativas, entre otros.</w:t>
            </w:r>
          </w:p>
        </w:tc>
      </w:tr>
      <w:tr w:rsidR="004A1B3C" w:rsidRPr="004068F6" w14:paraId="17F16264" w14:textId="77777777" w:rsidTr="00533DA2">
        <w:trPr>
          <w:trHeight w:val="2120"/>
        </w:trPr>
        <w:tc>
          <w:tcPr>
            <w:tcW w:w="1980" w:type="dxa"/>
            <w:vAlign w:val="center"/>
          </w:tcPr>
          <w:p w14:paraId="654830EF" w14:textId="2CD848BA" w:rsidR="004A1B3C" w:rsidRPr="00533DA2" w:rsidRDefault="009E0510" w:rsidP="00C86DA5">
            <w:pPr>
              <w:rPr>
                <w:sz w:val="20"/>
                <w:szCs w:val="22"/>
              </w:rPr>
            </w:pPr>
            <w:r w:rsidRPr="00533DA2">
              <w:rPr>
                <w:sz w:val="20"/>
                <w:szCs w:val="22"/>
              </w:rPr>
              <w:t>Modelo conceptual</w:t>
            </w:r>
          </w:p>
        </w:tc>
        <w:tc>
          <w:tcPr>
            <w:tcW w:w="7417" w:type="dxa"/>
            <w:vAlign w:val="center"/>
          </w:tcPr>
          <w:p w14:paraId="0D139615" w14:textId="77777777" w:rsidR="009E0510" w:rsidRPr="00533DA2" w:rsidRDefault="009E0510" w:rsidP="009E0510">
            <w:pPr>
              <w:pStyle w:val="Prrafodelista"/>
              <w:numPr>
                <w:ilvl w:val="0"/>
                <w:numId w:val="74"/>
              </w:numPr>
              <w:ind w:left="320"/>
              <w:rPr>
                <w:sz w:val="20"/>
                <w:szCs w:val="22"/>
                <w:lang w:val="es-CO"/>
              </w:rPr>
            </w:pPr>
            <w:r w:rsidRPr="00533DA2">
              <w:rPr>
                <w:sz w:val="20"/>
                <w:szCs w:val="22"/>
                <w:lang w:val="es-CO"/>
              </w:rPr>
              <w:t>Características de las fuentes: número, tipo, ubicación, geometría, altura, entre otras.</w:t>
            </w:r>
          </w:p>
          <w:p w14:paraId="437163EB" w14:textId="77777777" w:rsidR="009E0510" w:rsidRPr="00533DA2" w:rsidRDefault="009E0510" w:rsidP="009E0510">
            <w:pPr>
              <w:pStyle w:val="Prrafodelista"/>
              <w:numPr>
                <w:ilvl w:val="0"/>
                <w:numId w:val="74"/>
              </w:numPr>
              <w:ind w:left="320"/>
              <w:rPr>
                <w:sz w:val="20"/>
                <w:szCs w:val="22"/>
                <w:lang w:val="es-CO"/>
              </w:rPr>
            </w:pPr>
            <w:r w:rsidRPr="00533DA2">
              <w:rPr>
                <w:sz w:val="20"/>
                <w:szCs w:val="22"/>
                <w:lang w:val="es-CO"/>
              </w:rPr>
              <w:t>Características de la emisión: contaminantes emitidos, tasas de emisión, factores de emisión, temperaturas, velocidades, entre otras.</w:t>
            </w:r>
          </w:p>
          <w:p w14:paraId="7013025D" w14:textId="77777777" w:rsidR="009E0510" w:rsidRPr="00533DA2" w:rsidRDefault="009E0510" w:rsidP="009E0510">
            <w:pPr>
              <w:pStyle w:val="Prrafodelista"/>
              <w:numPr>
                <w:ilvl w:val="0"/>
                <w:numId w:val="74"/>
              </w:numPr>
              <w:ind w:left="320"/>
              <w:rPr>
                <w:sz w:val="20"/>
                <w:szCs w:val="22"/>
                <w:lang w:val="es-CO"/>
              </w:rPr>
            </w:pPr>
            <w:r w:rsidRPr="00533DA2">
              <w:rPr>
                <w:sz w:val="20"/>
                <w:szCs w:val="22"/>
                <w:lang w:val="es-CO"/>
              </w:rPr>
              <w:t>Condiciones iniciales y de frontera: concentración de fondo, topografía, usos del suelo y coberturas.</w:t>
            </w:r>
          </w:p>
          <w:p w14:paraId="57D16A8C" w14:textId="3E4C320B" w:rsidR="004A1B3C" w:rsidRPr="00533DA2" w:rsidRDefault="009E0510" w:rsidP="00C86DA5">
            <w:pPr>
              <w:pStyle w:val="Prrafodelista"/>
              <w:numPr>
                <w:ilvl w:val="0"/>
                <w:numId w:val="74"/>
              </w:numPr>
              <w:ind w:left="320"/>
              <w:rPr>
                <w:sz w:val="20"/>
                <w:szCs w:val="22"/>
                <w:lang w:val="es-CO"/>
              </w:rPr>
            </w:pPr>
            <w:r w:rsidRPr="00533DA2">
              <w:rPr>
                <w:sz w:val="20"/>
                <w:szCs w:val="22"/>
                <w:lang w:val="es-CO"/>
              </w:rPr>
              <w:t>Información meteorológica inicial (sondeos, superficie, salida de modelos mesoescala).</w:t>
            </w:r>
          </w:p>
        </w:tc>
      </w:tr>
      <w:tr w:rsidR="004A1B3C" w:rsidRPr="004068F6" w14:paraId="426F7220" w14:textId="77777777" w:rsidTr="00C86DA5">
        <w:tc>
          <w:tcPr>
            <w:tcW w:w="1980" w:type="dxa"/>
            <w:vAlign w:val="center"/>
          </w:tcPr>
          <w:p w14:paraId="22584E87" w14:textId="26C0E6A3" w:rsidR="004A1B3C" w:rsidRPr="00533DA2" w:rsidRDefault="009E0510" w:rsidP="00533DA2">
            <w:pPr>
              <w:rPr>
                <w:sz w:val="20"/>
                <w:szCs w:val="22"/>
              </w:rPr>
            </w:pPr>
            <w:r w:rsidRPr="00533DA2">
              <w:rPr>
                <w:sz w:val="20"/>
                <w:szCs w:val="22"/>
              </w:rPr>
              <w:t>Descripción del</w:t>
            </w:r>
            <w:r w:rsidR="00533DA2">
              <w:rPr>
                <w:sz w:val="20"/>
                <w:szCs w:val="22"/>
              </w:rPr>
              <w:t xml:space="preserve"> </w:t>
            </w:r>
            <w:r w:rsidRPr="00533DA2">
              <w:rPr>
                <w:sz w:val="20"/>
                <w:szCs w:val="22"/>
              </w:rPr>
              <w:t>modelo</w:t>
            </w:r>
          </w:p>
        </w:tc>
        <w:tc>
          <w:tcPr>
            <w:tcW w:w="7417" w:type="dxa"/>
            <w:vAlign w:val="center"/>
          </w:tcPr>
          <w:p w14:paraId="1DBF2E23" w14:textId="77777777" w:rsidR="009E0510" w:rsidRPr="00533DA2" w:rsidRDefault="009E0510" w:rsidP="009E0510">
            <w:pPr>
              <w:pStyle w:val="Prrafodelista"/>
              <w:numPr>
                <w:ilvl w:val="0"/>
                <w:numId w:val="74"/>
              </w:numPr>
              <w:ind w:left="320"/>
              <w:rPr>
                <w:sz w:val="20"/>
                <w:szCs w:val="22"/>
                <w:lang w:val="es-CO"/>
              </w:rPr>
            </w:pPr>
            <w:r w:rsidRPr="00533DA2">
              <w:rPr>
                <w:rFonts w:cs="Arial"/>
                <w:sz w:val="20"/>
                <w:szCs w:val="22"/>
                <w:lang w:val="es-CO"/>
              </w:rPr>
              <w:t>Modelo y justificación de los criterios usados para su selección, y de su capacidad para representar los escenarios planteados para el proyecto</w:t>
            </w:r>
            <w:r w:rsidRPr="00533DA2">
              <w:rPr>
                <w:sz w:val="20"/>
                <w:szCs w:val="22"/>
                <w:lang w:val="es-CO"/>
              </w:rPr>
              <w:t>.</w:t>
            </w:r>
          </w:p>
          <w:p w14:paraId="48215966" w14:textId="02AF3A3D" w:rsidR="004A1B3C" w:rsidRPr="00533DA2" w:rsidRDefault="009E0510" w:rsidP="00C86DA5">
            <w:pPr>
              <w:pStyle w:val="Prrafodelista"/>
              <w:numPr>
                <w:ilvl w:val="0"/>
                <w:numId w:val="74"/>
              </w:numPr>
              <w:ind w:left="320"/>
              <w:rPr>
                <w:sz w:val="20"/>
                <w:szCs w:val="22"/>
                <w:lang w:val="es-CO"/>
              </w:rPr>
            </w:pPr>
            <w:r w:rsidRPr="00533DA2">
              <w:rPr>
                <w:sz w:val="20"/>
                <w:szCs w:val="22"/>
                <w:lang w:val="es-CO"/>
              </w:rPr>
              <w:t>Configuraciones y parametrizaciones utilizadas</w:t>
            </w:r>
          </w:p>
        </w:tc>
      </w:tr>
      <w:tr w:rsidR="004A1B3C" w:rsidRPr="004068F6" w14:paraId="2BF7E14B" w14:textId="77777777" w:rsidTr="00533DA2">
        <w:trPr>
          <w:trHeight w:val="1837"/>
        </w:trPr>
        <w:tc>
          <w:tcPr>
            <w:tcW w:w="1980" w:type="dxa"/>
            <w:vAlign w:val="center"/>
          </w:tcPr>
          <w:p w14:paraId="71F67B2D" w14:textId="77777777" w:rsidR="004A1B3C" w:rsidRPr="00533DA2" w:rsidRDefault="004A1B3C" w:rsidP="00C86DA5">
            <w:pPr>
              <w:rPr>
                <w:sz w:val="20"/>
                <w:szCs w:val="22"/>
              </w:rPr>
            </w:pPr>
            <w:r w:rsidRPr="00533DA2">
              <w:rPr>
                <w:sz w:val="20"/>
                <w:szCs w:val="22"/>
              </w:rPr>
              <w:lastRenderedPageBreak/>
              <w:t>Análisis de resultados</w:t>
            </w:r>
          </w:p>
        </w:tc>
        <w:tc>
          <w:tcPr>
            <w:tcW w:w="7417" w:type="dxa"/>
            <w:vAlign w:val="center"/>
          </w:tcPr>
          <w:p w14:paraId="409251DC" w14:textId="567DF7F1" w:rsidR="009E0510" w:rsidRPr="00533DA2" w:rsidRDefault="009E0510" w:rsidP="009420F5">
            <w:pPr>
              <w:rPr>
                <w:sz w:val="20"/>
                <w:szCs w:val="22"/>
              </w:rPr>
            </w:pPr>
            <w:r w:rsidRPr="00533DA2">
              <w:rPr>
                <w:sz w:val="20"/>
                <w:szCs w:val="22"/>
              </w:rPr>
              <w:t>Para los escenarios simulados:</w:t>
            </w:r>
          </w:p>
          <w:p w14:paraId="14F68CE2" w14:textId="77777777" w:rsidR="009E0510" w:rsidRPr="00533DA2" w:rsidRDefault="009E0510" w:rsidP="009420F5">
            <w:pPr>
              <w:rPr>
                <w:sz w:val="20"/>
                <w:szCs w:val="22"/>
              </w:rPr>
            </w:pPr>
          </w:p>
          <w:p w14:paraId="1864658F" w14:textId="77777777" w:rsidR="004A1B3C" w:rsidRPr="00533DA2" w:rsidRDefault="004A1B3C" w:rsidP="00C86DA5">
            <w:pPr>
              <w:pStyle w:val="Prrafodelista"/>
              <w:numPr>
                <w:ilvl w:val="0"/>
                <w:numId w:val="74"/>
              </w:numPr>
              <w:ind w:left="320"/>
              <w:rPr>
                <w:sz w:val="20"/>
                <w:szCs w:val="22"/>
                <w:lang w:val="es-CO"/>
              </w:rPr>
            </w:pPr>
            <w:r w:rsidRPr="00533DA2">
              <w:rPr>
                <w:sz w:val="20"/>
                <w:szCs w:val="22"/>
                <w:lang w:val="es-CO"/>
              </w:rPr>
              <w:t>Valores simulados (presentados en tablas), estadísticos, gráficos, mapas, entre otros. Según sea relevante.</w:t>
            </w:r>
          </w:p>
          <w:p w14:paraId="104DC955" w14:textId="77777777" w:rsidR="004A1B3C" w:rsidRPr="00533DA2" w:rsidRDefault="004A1B3C" w:rsidP="00C86DA5">
            <w:pPr>
              <w:pStyle w:val="Prrafodelista"/>
              <w:numPr>
                <w:ilvl w:val="0"/>
                <w:numId w:val="74"/>
              </w:numPr>
              <w:ind w:left="320"/>
              <w:rPr>
                <w:sz w:val="20"/>
                <w:szCs w:val="22"/>
                <w:lang w:val="es-CO"/>
              </w:rPr>
            </w:pPr>
            <w:r w:rsidRPr="00533DA2">
              <w:rPr>
                <w:sz w:val="20"/>
                <w:szCs w:val="22"/>
                <w:lang w:val="es-CO"/>
              </w:rPr>
              <w:t>Análisis de las concentraciones simuladas en términos de la normativa aplicable.</w:t>
            </w:r>
          </w:p>
          <w:p w14:paraId="5E98EE39" w14:textId="1593E6C0" w:rsidR="009E0510" w:rsidRPr="00533DA2" w:rsidRDefault="009E0510" w:rsidP="00C86DA5">
            <w:pPr>
              <w:pStyle w:val="Prrafodelista"/>
              <w:numPr>
                <w:ilvl w:val="0"/>
                <w:numId w:val="74"/>
              </w:numPr>
              <w:ind w:left="320"/>
              <w:rPr>
                <w:sz w:val="20"/>
                <w:szCs w:val="22"/>
                <w:lang w:val="es-CO"/>
              </w:rPr>
            </w:pPr>
            <w:r w:rsidRPr="00533DA2">
              <w:rPr>
                <w:sz w:val="20"/>
                <w:szCs w:val="22"/>
                <w:lang w:val="es-CO"/>
              </w:rPr>
              <w:t>Tablas con valores simulados para los principales receptores de interés para los diferentes escenarios simulados</w:t>
            </w:r>
            <w:r w:rsidR="003048EC" w:rsidRPr="00533DA2">
              <w:rPr>
                <w:sz w:val="20"/>
                <w:szCs w:val="22"/>
                <w:lang w:val="es-CO"/>
              </w:rPr>
              <w:t>, discriminando además el aporte por tipo de fuente</w:t>
            </w:r>
            <w:r w:rsidRPr="00533DA2">
              <w:rPr>
                <w:sz w:val="20"/>
                <w:szCs w:val="22"/>
                <w:lang w:val="es-CO"/>
              </w:rPr>
              <w:t>.</w:t>
            </w:r>
          </w:p>
        </w:tc>
      </w:tr>
      <w:tr w:rsidR="004A1B3C" w:rsidRPr="004068F6" w14:paraId="2EFA1296" w14:textId="77777777" w:rsidTr="00C86DA5">
        <w:tc>
          <w:tcPr>
            <w:tcW w:w="1980" w:type="dxa"/>
            <w:vAlign w:val="center"/>
          </w:tcPr>
          <w:p w14:paraId="5F8AB2E4" w14:textId="77777777" w:rsidR="004A1B3C" w:rsidRPr="00533DA2" w:rsidRDefault="004A1B3C" w:rsidP="00C86DA5">
            <w:pPr>
              <w:rPr>
                <w:sz w:val="20"/>
                <w:szCs w:val="22"/>
              </w:rPr>
            </w:pPr>
            <w:r w:rsidRPr="00533DA2">
              <w:rPr>
                <w:sz w:val="20"/>
                <w:szCs w:val="22"/>
              </w:rPr>
              <w:t>Conclusiones y recomendaciones</w:t>
            </w:r>
          </w:p>
        </w:tc>
        <w:tc>
          <w:tcPr>
            <w:tcW w:w="7417" w:type="dxa"/>
            <w:vAlign w:val="center"/>
          </w:tcPr>
          <w:p w14:paraId="66FDBAF4" w14:textId="77777777" w:rsidR="004A1B3C" w:rsidRPr="00533DA2" w:rsidRDefault="004A1B3C" w:rsidP="00C86DA5">
            <w:pPr>
              <w:pStyle w:val="Prrafodelista"/>
              <w:numPr>
                <w:ilvl w:val="0"/>
                <w:numId w:val="74"/>
              </w:numPr>
              <w:ind w:left="320"/>
              <w:rPr>
                <w:sz w:val="20"/>
                <w:szCs w:val="22"/>
                <w:lang w:val="es-CO"/>
              </w:rPr>
            </w:pPr>
            <w:r w:rsidRPr="00533DA2">
              <w:rPr>
                <w:sz w:val="20"/>
                <w:szCs w:val="22"/>
                <w:lang w:val="es-CO"/>
              </w:rPr>
              <w:t>Deben ser congruentes con el objetivo y las preguntas.</w:t>
            </w:r>
          </w:p>
        </w:tc>
      </w:tr>
      <w:tr w:rsidR="004A1B3C" w:rsidRPr="004068F6" w14:paraId="38A0ADD2" w14:textId="77777777" w:rsidTr="00533DA2">
        <w:trPr>
          <w:trHeight w:val="549"/>
        </w:trPr>
        <w:tc>
          <w:tcPr>
            <w:tcW w:w="1980" w:type="dxa"/>
            <w:vAlign w:val="center"/>
          </w:tcPr>
          <w:p w14:paraId="4AA7C634" w14:textId="77777777" w:rsidR="004A1B3C" w:rsidRPr="00533DA2" w:rsidRDefault="004A1B3C" w:rsidP="00C86DA5">
            <w:pPr>
              <w:rPr>
                <w:sz w:val="20"/>
                <w:szCs w:val="22"/>
              </w:rPr>
            </w:pPr>
            <w:r w:rsidRPr="00533DA2">
              <w:rPr>
                <w:sz w:val="20"/>
                <w:szCs w:val="22"/>
              </w:rPr>
              <w:t>Referencias</w:t>
            </w:r>
          </w:p>
        </w:tc>
        <w:tc>
          <w:tcPr>
            <w:tcW w:w="7417" w:type="dxa"/>
            <w:vAlign w:val="center"/>
          </w:tcPr>
          <w:p w14:paraId="216B9E32" w14:textId="77777777" w:rsidR="004A1B3C" w:rsidRPr="00533DA2" w:rsidRDefault="004A1B3C" w:rsidP="00C86DA5">
            <w:pPr>
              <w:pStyle w:val="Prrafodelista"/>
              <w:numPr>
                <w:ilvl w:val="0"/>
                <w:numId w:val="74"/>
              </w:numPr>
              <w:ind w:left="320"/>
              <w:rPr>
                <w:sz w:val="20"/>
                <w:szCs w:val="22"/>
                <w:lang w:val="es-CO"/>
              </w:rPr>
            </w:pPr>
            <w:r w:rsidRPr="00533DA2">
              <w:rPr>
                <w:sz w:val="20"/>
                <w:szCs w:val="22"/>
                <w:lang w:val="es-CO"/>
              </w:rPr>
              <w:t>Referencias a trabajos citados</w:t>
            </w:r>
            <w:r w:rsidRPr="00533DA2">
              <w:rPr>
                <w:rFonts w:cs="Arial"/>
                <w:sz w:val="20"/>
                <w:szCs w:val="22"/>
                <w:lang w:val="es-CO"/>
              </w:rPr>
              <w:t>.</w:t>
            </w:r>
          </w:p>
        </w:tc>
      </w:tr>
      <w:tr w:rsidR="004A1B3C" w:rsidRPr="004068F6" w14:paraId="64310DD2" w14:textId="77777777" w:rsidTr="00533DA2">
        <w:trPr>
          <w:trHeight w:val="571"/>
        </w:trPr>
        <w:tc>
          <w:tcPr>
            <w:tcW w:w="1980" w:type="dxa"/>
            <w:vAlign w:val="center"/>
          </w:tcPr>
          <w:p w14:paraId="073919F9" w14:textId="77777777" w:rsidR="004A1B3C" w:rsidRPr="00533DA2" w:rsidRDefault="004A1B3C" w:rsidP="00C86DA5">
            <w:pPr>
              <w:rPr>
                <w:sz w:val="20"/>
                <w:szCs w:val="22"/>
              </w:rPr>
            </w:pPr>
            <w:r w:rsidRPr="00533DA2">
              <w:rPr>
                <w:sz w:val="20"/>
                <w:szCs w:val="22"/>
              </w:rPr>
              <w:t>Anexos electrónicos</w:t>
            </w:r>
          </w:p>
        </w:tc>
        <w:tc>
          <w:tcPr>
            <w:tcW w:w="7417" w:type="dxa"/>
            <w:vAlign w:val="center"/>
          </w:tcPr>
          <w:p w14:paraId="34A62047" w14:textId="77777777" w:rsidR="004A1B3C" w:rsidRPr="00533DA2" w:rsidRDefault="004A1B3C" w:rsidP="00C86DA5">
            <w:pPr>
              <w:pStyle w:val="Prrafodelista"/>
              <w:numPr>
                <w:ilvl w:val="0"/>
                <w:numId w:val="74"/>
              </w:numPr>
              <w:ind w:left="320"/>
              <w:rPr>
                <w:sz w:val="20"/>
                <w:szCs w:val="22"/>
                <w:lang w:val="es-CO"/>
              </w:rPr>
            </w:pPr>
            <w:r w:rsidRPr="00533DA2">
              <w:rPr>
                <w:sz w:val="20"/>
                <w:szCs w:val="22"/>
                <w:lang w:val="es-CO"/>
              </w:rPr>
              <w:t>Archivos de entrada y salida, archivos de control y demás información necesaria para reproducir los resultados.</w:t>
            </w:r>
          </w:p>
        </w:tc>
      </w:tr>
    </w:tbl>
    <w:p w14:paraId="48EC1CD0" w14:textId="77777777" w:rsidR="004A1B3C" w:rsidRPr="004068F6" w:rsidRDefault="004A1B3C" w:rsidP="00C86DA5"/>
    <w:p w14:paraId="251A2424" w14:textId="6CA55994" w:rsidR="004A1B3C" w:rsidRPr="004068F6" w:rsidRDefault="004A1B3C" w:rsidP="00C86DA5">
      <w:r w:rsidRPr="004068F6">
        <w:t xml:space="preserve">Los mapas de dispersión de contaminantes se deben presentar con el tiempo de exposición para cada parámetro de acuerdo </w:t>
      </w:r>
      <w:r w:rsidRPr="004068F6">
        <w:rPr>
          <w:rFonts w:cs="Arial"/>
        </w:rPr>
        <w:t>con</w:t>
      </w:r>
      <w:r w:rsidRPr="004068F6">
        <w:t xml:space="preserve"> la normativa vigente, teniendo en cuenta la adición de la concentración de fondo (</w:t>
      </w:r>
      <w:r w:rsidR="00306946" w:rsidRPr="004068F6">
        <w:t>m</w:t>
      </w:r>
      <w:r w:rsidRPr="004068F6">
        <w:t xml:space="preserve">onitoreo de </w:t>
      </w:r>
      <w:r w:rsidR="00306946" w:rsidRPr="004068F6">
        <w:t>c</w:t>
      </w:r>
      <w:r w:rsidRPr="004068F6">
        <w:t xml:space="preserve">alidad del </w:t>
      </w:r>
      <w:r w:rsidR="00306946" w:rsidRPr="004068F6">
        <w:t>a</w:t>
      </w:r>
      <w:r w:rsidRPr="004068F6">
        <w:t>ire en caso no contar con inventario de emisiones), con la cual se determine el área de afectación debido a las fuentes presentes hacia cada uno de los receptores o centros poblados identificados, para los tres escenarios definidos.</w:t>
      </w:r>
    </w:p>
    <w:p w14:paraId="55FB57A9" w14:textId="77777777" w:rsidR="00CC4E11" w:rsidRPr="004068F6" w:rsidRDefault="00CC4E11" w:rsidP="00CC4E11">
      <w:pPr>
        <w:numPr>
          <w:ilvl w:val="12"/>
          <w:numId w:val="0"/>
        </w:numPr>
        <w:tabs>
          <w:tab w:val="left" w:pos="-2268"/>
        </w:tabs>
        <w:suppressAutoHyphens/>
        <w:rPr>
          <w:rFonts w:cs="Arial"/>
          <w:spacing w:val="-3"/>
        </w:rPr>
      </w:pPr>
    </w:p>
    <w:p w14:paraId="7E477ACA" w14:textId="2DE344EE" w:rsidR="00CC4E11" w:rsidRPr="004068F6" w:rsidRDefault="00624C16" w:rsidP="00CC4E11">
      <w:pPr>
        <w:numPr>
          <w:ilvl w:val="12"/>
          <w:numId w:val="0"/>
        </w:numPr>
        <w:tabs>
          <w:tab w:val="left" w:pos="-2268"/>
        </w:tabs>
        <w:suppressAutoHyphens/>
        <w:rPr>
          <w:rFonts w:cs="Arial"/>
          <w:spacing w:val="-3"/>
        </w:rPr>
      </w:pPr>
      <w:r w:rsidRPr="004068F6">
        <w:rPr>
          <w:rFonts w:cs="Arial"/>
          <w:spacing w:val="-3"/>
        </w:rPr>
        <w:t>Para mejorar la calidad y representatividad de los resultados</w:t>
      </w:r>
      <w:r w:rsidR="00306946" w:rsidRPr="004068F6">
        <w:rPr>
          <w:rFonts w:cs="Arial"/>
          <w:spacing w:val="-3"/>
        </w:rPr>
        <w:t>,</w:t>
      </w:r>
      <w:r w:rsidRPr="004068F6">
        <w:rPr>
          <w:rFonts w:cs="Arial"/>
          <w:spacing w:val="-3"/>
        </w:rPr>
        <w:t xml:space="preserve"> los modelos de dispersión </w:t>
      </w:r>
      <w:r w:rsidR="00CC4E11" w:rsidRPr="004068F6">
        <w:rPr>
          <w:rFonts w:cs="Arial"/>
          <w:spacing w:val="-3"/>
        </w:rPr>
        <w:t xml:space="preserve">de contaminantes atmosféricos (partículas y gases), además de ser alimentados con el monitoreo ambiental que se realice para la caracterización del respectivo estudio ambiental, </w:t>
      </w:r>
      <w:r w:rsidRPr="004068F6">
        <w:rPr>
          <w:rFonts w:cs="Arial"/>
          <w:spacing w:val="-3"/>
        </w:rPr>
        <w:t xml:space="preserve">éstos pueden </w:t>
      </w:r>
      <w:r w:rsidR="00CC4E11" w:rsidRPr="004068F6">
        <w:rPr>
          <w:rFonts w:cs="Arial"/>
          <w:spacing w:val="-3"/>
        </w:rPr>
        <w:t>nutr</w:t>
      </w:r>
      <w:r w:rsidRPr="004068F6">
        <w:rPr>
          <w:rFonts w:cs="Arial"/>
          <w:spacing w:val="-3"/>
        </w:rPr>
        <w:t xml:space="preserve">irse </w:t>
      </w:r>
      <w:r w:rsidR="00CC4E11" w:rsidRPr="004068F6">
        <w:rPr>
          <w:rFonts w:cs="Arial"/>
          <w:spacing w:val="-3"/>
        </w:rPr>
        <w:t>de la información referente a monitoreos contenida en el modelo de almacenamiento geográfico (MAG) de los ICA o de las licencias ambientales otorgadas a proyectos aledaños; asimismo</w:t>
      </w:r>
      <w:r w:rsidR="00E227C3" w:rsidRPr="004068F6">
        <w:rPr>
          <w:rFonts w:cs="Arial"/>
          <w:spacing w:val="-3"/>
        </w:rPr>
        <w:t xml:space="preserve"> y en la medida de los posible</w:t>
      </w:r>
      <w:r w:rsidR="00CC4E11" w:rsidRPr="004068F6">
        <w:rPr>
          <w:rFonts w:cs="Arial"/>
          <w:spacing w:val="-3"/>
        </w:rPr>
        <w:t xml:space="preserve">, </w:t>
      </w:r>
      <w:r w:rsidR="00E227C3" w:rsidRPr="004068F6">
        <w:rPr>
          <w:rFonts w:cs="Arial"/>
          <w:spacing w:val="-3"/>
        </w:rPr>
        <w:t xml:space="preserve">se debe </w:t>
      </w:r>
      <w:r w:rsidR="00CC4E11" w:rsidRPr="004068F6">
        <w:rPr>
          <w:rFonts w:cs="Arial"/>
          <w:spacing w:val="-3"/>
        </w:rPr>
        <w:t>hacer uso de la información oficial que las autoridades ambientales han dispuesto en sus herramientas de planificación, redes de monitoreo, estudios específicos, entre otras fuentes de datos e información.</w:t>
      </w:r>
    </w:p>
    <w:p w14:paraId="173E811C" w14:textId="77777777" w:rsidR="00CC4E11" w:rsidRPr="004068F6" w:rsidRDefault="00CC4E11" w:rsidP="00CC4E11"/>
    <w:p w14:paraId="53EBCE09" w14:textId="124A0CE7" w:rsidR="00CC4E11" w:rsidRPr="004068F6" w:rsidRDefault="00CC4E11" w:rsidP="00CC4E11">
      <w:bookmarkStart w:id="3170" w:name="_Hlk59166855"/>
      <w:r w:rsidRPr="004068F6">
        <w:t>Es importante destacar que para tiempos de exposición cortos (inferiores a 24 horas), los mapas de dispersión deben representar condiciones críticas dentro del periodo simulado.</w:t>
      </w:r>
      <w:bookmarkEnd w:id="3170"/>
    </w:p>
    <w:p w14:paraId="6C2A7637" w14:textId="77777777" w:rsidR="00624C16" w:rsidRPr="004068F6" w:rsidRDefault="00624C16" w:rsidP="00CC4E11"/>
    <w:p w14:paraId="3E165F25" w14:textId="77C4A4CF" w:rsidR="004F01DD" w:rsidRPr="004068F6" w:rsidRDefault="004A1B3C" w:rsidP="00402FB4">
      <w:pPr>
        <w:numPr>
          <w:ilvl w:val="12"/>
          <w:numId w:val="0"/>
        </w:numPr>
        <w:tabs>
          <w:tab w:val="left" w:pos="-2268"/>
        </w:tabs>
        <w:suppressAutoHyphens/>
        <w:rPr>
          <w:rFonts w:cs="Arial"/>
          <w:spacing w:val="-3"/>
        </w:rPr>
      </w:pPr>
      <w:r w:rsidRPr="004068F6">
        <w:t xml:space="preserve">La metodología de modelos de dispersión utilizada para parámetros generadores de olores ofensivos corresponde a la establecida mediante la Resolución 2087 de 2014, la cual adopta el Protocolo para el monitoreo, control y vigilancia de </w:t>
      </w:r>
      <w:r w:rsidR="00085DCC" w:rsidRPr="004068F6">
        <w:t>o</w:t>
      </w:r>
      <w:r w:rsidRPr="004068F6">
        <w:t xml:space="preserve">lores </w:t>
      </w:r>
      <w:r w:rsidR="00085DCC" w:rsidRPr="004068F6">
        <w:t>o</w:t>
      </w:r>
      <w:r w:rsidRPr="004068F6">
        <w:t>fensivos</w:t>
      </w:r>
      <w:r w:rsidR="00306946" w:rsidRPr="004068F6">
        <w:t>, o aquella norma que la modifique o sustituya</w:t>
      </w:r>
      <w:r w:rsidRPr="004068F6">
        <w:t>.</w:t>
      </w:r>
    </w:p>
    <w:p w14:paraId="5D46BF36" w14:textId="77777777" w:rsidR="004845DE" w:rsidRDefault="004845DE" w:rsidP="00402FB4">
      <w:pPr>
        <w:numPr>
          <w:ilvl w:val="12"/>
          <w:numId w:val="0"/>
        </w:numPr>
        <w:tabs>
          <w:tab w:val="left" w:pos="-2268"/>
        </w:tabs>
        <w:suppressAutoHyphens/>
        <w:rPr>
          <w:rFonts w:cs="Arial"/>
          <w:spacing w:val="-3"/>
        </w:rPr>
      </w:pPr>
    </w:p>
    <w:p w14:paraId="4B02A0D0" w14:textId="77777777" w:rsidR="00865E78" w:rsidRPr="004068F6" w:rsidRDefault="00865E78" w:rsidP="00402FB4">
      <w:pPr>
        <w:numPr>
          <w:ilvl w:val="12"/>
          <w:numId w:val="0"/>
        </w:numPr>
        <w:tabs>
          <w:tab w:val="left" w:pos="-2268"/>
        </w:tabs>
        <w:suppressAutoHyphens/>
        <w:rPr>
          <w:rFonts w:cs="Arial"/>
          <w:spacing w:val="-3"/>
        </w:rPr>
      </w:pPr>
    </w:p>
    <w:p w14:paraId="7C5F60AD" w14:textId="74EA8FF6" w:rsidR="00511B28" w:rsidRPr="004068F6" w:rsidRDefault="009E17F6" w:rsidP="00511B28">
      <w:pPr>
        <w:pStyle w:val="Ttulo2"/>
        <w:rPr>
          <w:lang w:val="es-CO"/>
        </w:rPr>
      </w:pPr>
      <w:bookmarkStart w:id="3171" w:name="_Toc230879681"/>
      <w:r w:rsidRPr="004068F6">
        <w:rPr>
          <w:lang w:val="es-CO"/>
        </w:rPr>
        <w:lastRenderedPageBreak/>
        <w:t xml:space="preserve">PERMISO DE </w:t>
      </w:r>
      <w:r w:rsidR="0040217B" w:rsidRPr="004068F6">
        <w:rPr>
          <w:lang w:val="es-CO"/>
        </w:rPr>
        <w:t>CAZA DE FOMENTO</w:t>
      </w:r>
      <w:bookmarkEnd w:id="3171"/>
    </w:p>
    <w:p w14:paraId="1FA02BF2" w14:textId="77777777" w:rsidR="00511B28" w:rsidRPr="004068F6" w:rsidRDefault="00511B28" w:rsidP="00402FB4">
      <w:pPr>
        <w:numPr>
          <w:ilvl w:val="12"/>
          <w:numId w:val="0"/>
        </w:numPr>
        <w:tabs>
          <w:tab w:val="left" w:pos="-2268"/>
        </w:tabs>
        <w:suppressAutoHyphens/>
        <w:rPr>
          <w:rFonts w:cs="Arial"/>
          <w:spacing w:val="-3"/>
        </w:rPr>
      </w:pPr>
    </w:p>
    <w:p w14:paraId="63872E3C" w14:textId="3CC0AF55" w:rsidR="00511B28" w:rsidRPr="004068F6" w:rsidRDefault="0040217B" w:rsidP="00402FB4">
      <w:pPr>
        <w:numPr>
          <w:ilvl w:val="12"/>
          <w:numId w:val="0"/>
        </w:numPr>
        <w:tabs>
          <w:tab w:val="left" w:pos="-2268"/>
        </w:tabs>
        <w:suppressAutoHyphens/>
        <w:rPr>
          <w:rFonts w:cs="Arial"/>
          <w:spacing w:val="-3"/>
        </w:rPr>
      </w:pPr>
      <w:r w:rsidRPr="004068F6">
        <w:rPr>
          <w:rFonts w:cs="Arial"/>
          <w:spacing w:val="-3"/>
        </w:rPr>
        <w:t xml:space="preserve">Para solicitar </w:t>
      </w:r>
      <w:r w:rsidR="0060637A" w:rsidRPr="004068F6">
        <w:rPr>
          <w:rFonts w:cs="Arial"/>
          <w:spacing w:val="-3"/>
        </w:rPr>
        <w:t xml:space="preserve">el permiso de </w:t>
      </w:r>
      <w:r w:rsidRPr="004068F6">
        <w:rPr>
          <w:rFonts w:cs="Arial"/>
          <w:spacing w:val="-3"/>
        </w:rPr>
        <w:t xml:space="preserve">caza de fomento es necesario atender las directrices y requerimientos establecidos en la Ley 611 de 2000, el Decreto-Ley 2811 de 1974, el Decreto 1608 de 1978 (compilado en el Decreto 1076 de 2015), el Decreto 1076 de 2015 y la Resolución 1317 de 2000, así como los lineamientos que se señalan </w:t>
      </w:r>
      <w:r w:rsidR="006F0E9F" w:rsidRPr="004068F6">
        <w:rPr>
          <w:rFonts w:cs="Arial"/>
          <w:spacing w:val="-3"/>
        </w:rPr>
        <w:t>más adelante</w:t>
      </w:r>
      <w:r w:rsidRPr="004068F6">
        <w:rPr>
          <w:rFonts w:cs="Arial"/>
          <w:spacing w:val="-3"/>
        </w:rPr>
        <w:t>.</w:t>
      </w:r>
      <w:r w:rsidR="003B1A38" w:rsidRPr="004068F6">
        <w:rPr>
          <w:rFonts w:cs="Arial"/>
          <w:spacing w:val="-3"/>
        </w:rPr>
        <w:t xml:space="preserve"> En cualquier caso, es pertinente que de forma previa a la solicitud de este permiso se evalúe si es posible recurrir a ejemplares que hayan sido rehabilita</w:t>
      </w:r>
      <w:r w:rsidR="00D1505E" w:rsidRPr="004068F6">
        <w:rPr>
          <w:rFonts w:cs="Arial"/>
          <w:spacing w:val="-3"/>
        </w:rPr>
        <w:t xml:space="preserve">dos o que se encuentren en centros de fauna silvestre decomisada, </w:t>
      </w:r>
      <w:r w:rsidR="003B1A38" w:rsidRPr="004068F6">
        <w:rPr>
          <w:rFonts w:cs="Arial"/>
          <w:spacing w:val="-3"/>
        </w:rPr>
        <w:t xml:space="preserve">con el fin de </w:t>
      </w:r>
      <w:r w:rsidR="00A11F0C" w:rsidRPr="004068F6">
        <w:rPr>
          <w:rFonts w:cs="Arial"/>
          <w:spacing w:val="-3"/>
        </w:rPr>
        <w:t xml:space="preserve">suplir </w:t>
      </w:r>
      <w:r w:rsidR="00D1505E" w:rsidRPr="004068F6">
        <w:rPr>
          <w:rFonts w:cs="Arial"/>
          <w:spacing w:val="-3"/>
        </w:rPr>
        <w:t xml:space="preserve">con ellos </w:t>
      </w:r>
      <w:r w:rsidR="00A11F0C" w:rsidRPr="004068F6">
        <w:rPr>
          <w:rFonts w:cs="Arial"/>
          <w:spacing w:val="-3"/>
        </w:rPr>
        <w:t xml:space="preserve">el pie parental y de esta forma obviar la necesidad del </w:t>
      </w:r>
      <w:r w:rsidR="003B1A38" w:rsidRPr="004068F6">
        <w:rPr>
          <w:rFonts w:cs="Arial"/>
          <w:spacing w:val="-3"/>
        </w:rPr>
        <w:t>permiso</w:t>
      </w:r>
      <w:r w:rsidR="00A11F0C" w:rsidRPr="004068F6">
        <w:rPr>
          <w:rFonts w:cs="Arial"/>
          <w:spacing w:val="-3"/>
        </w:rPr>
        <w:t>.</w:t>
      </w:r>
    </w:p>
    <w:p w14:paraId="5327D579" w14:textId="77777777" w:rsidR="0040217B" w:rsidRPr="004068F6" w:rsidRDefault="0040217B" w:rsidP="00402FB4">
      <w:pPr>
        <w:numPr>
          <w:ilvl w:val="12"/>
          <w:numId w:val="0"/>
        </w:numPr>
        <w:tabs>
          <w:tab w:val="left" w:pos="-2268"/>
        </w:tabs>
        <w:suppressAutoHyphens/>
        <w:rPr>
          <w:rFonts w:cs="Arial"/>
          <w:spacing w:val="-3"/>
        </w:rPr>
      </w:pPr>
    </w:p>
    <w:p w14:paraId="58CC313A" w14:textId="657FD16F" w:rsidR="00255FB6" w:rsidRPr="004068F6" w:rsidRDefault="00255FB6" w:rsidP="00255FB6">
      <w:pPr>
        <w:numPr>
          <w:ilvl w:val="12"/>
          <w:numId w:val="0"/>
        </w:numPr>
        <w:tabs>
          <w:tab w:val="left" w:pos="-2268"/>
        </w:tabs>
        <w:suppressAutoHyphens/>
        <w:rPr>
          <w:rFonts w:cs="Arial"/>
          <w:spacing w:val="-3"/>
        </w:rPr>
      </w:pPr>
      <w:r w:rsidRPr="004068F6">
        <w:rPr>
          <w:rFonts w:cs="Arial"/>
          <w:spacing w:val="-3"/>
        </w:rPr>
        <w:t xml:space="preserve">Considerando que de conformidad con el Decreto 1608 de 1978, compilado en el Decreto 1076 de 2015, la caza de fomento se entiende como </w:t>
      </w:r>
      <w:r w:rsidRPr="004068F6">
        <w:rPr>
          <w:rFonts w:cs="Arial"/>
          <w:i/>
          <w:iCs/>
          <w:spacing w:val="-3"/>
        </w:rPr>
        <w:t>aquella que se realiza con el exclusivo propósito de adquirir individuos o especímenes de la fauna silvestre para el establecimiento de zoocriaderos o cotos de caza</w:t>
      </w:r>
      <w:r w:rsidRPr="004068F6">
        <w:rPr>
          <w:rFonts w:cs="Arial"/>
          <w:spacing w:val="-3"/>
        </w:rPr>
        <w:t xml:space="preserve"> y que, según lo establecido en el parágrafo 2 del artículo 2.2.2.3.2.3, la licencia ambiental para el establecimiento de zoocriaderos con fines comerciales </w:t>
      </w:r>
      <w:r w:rsidRPr="004068F6">
        <w:rPr>
          <w:rFonts w:cs="Arial"/>
          <w:i/>
          <w:iCs/>
          <w:spacing w:val="-3"/>
        </w:rPr>
        <w:t>“contemplará las fases experimental y comercial. La fase experimental incluye las actividades de caza de fomento, construcción o instalación del zoocriadero y las actividades de investigación del proyecto”</w:t>
      </w:r>
      <w:r w:rsidRPr="004068F6">
        <w:rPr>
          <w:rFonts w:cs="Arial"/>
          <w:spacing w:val="-3"/>
        </w:rPr>
        <w:t>, la caza de fomento se incluye en la licencia ambiental como una actividad para el establecimiento de zoocriaderos con fines comerciales, en concordancia con el artículo 2 de la Resolución 1317 de 2000, el cual señala que, cuando sea viable, se otorgará una licencia ambiental que incluya todas las actividades del zoocriadero, incluyendo la caza con fines de fomento</w:t>
      </w:r>
      <w:r w:rsidRPr="004068F6">
        <w:rPr>
          <w:sz w:val="22"/>
          <w:szCs w:val="22"/>
        </w:rPr>
        <w:t>.</w:t>
      </w:r>
    </w:p>
    <w:p w14:paraId="52789357" w14:textId="77777777" w:rsidR="00363B4C" w:rsidRPr="004068F6" w:rsidRDefault="00363B4C" w:rsidP="00402FB4">
      <w:pPr>
        <w:numPr>
          <w:ilvl w:val="12"/>
          <w:numId w:val="0"/>
        </w:numPr>
        <w:tabs>
          <w:tab w:val="left" w:pos="-2268"/>
        </w:tabs>
        <w:suppressAutoHyphens/>
        <w:rPr>
          <w:rFonts w:cs="Arial"/>
          <w:spacing w:val="-3"/>
        </w:rPr>
      </w:pPr>
    </w:p>
    <w:p w14:paraId="52399645" w14:textId="71243C51" w:rsidR="006F0E9F" w:rsidRPr="004068F6" w:rsidRDefault="006F0E9F" w:rsidP="00402FB4">
      <w:pPr>
        <w:numPr>
          <w:ilvl w:val="12"/>
          <w:numId w:val="0"/>
        </w:numPr>
        <w:tabs>
          <w:tab w:val="left" w:pos="-2268"/>
        </w:tabs>
        <w:suppressAutoHyphens/>
        <w:rPr>
          <w:rFonts w:cs="Arial"/>
          <w:spacing w:val="-3"/>
        </w:rPr>
      </w:pPr>
      <w:r w:rsidRPr="004068F6">
        <w:rPr>
          <w:rFonts w:cs="Arial"/>
          <w:spacing w:val="-3"/>
        </w:rPr>
        <w:t xml:space="preserve">En caso de que el área en la cual se busca desarrollar la actividad de caza de fomento se localice en la jurisdicción de una autoridad ambiental diferente a la </w:t>
      </w:r>
      <w:r w:rsidR="001068D5" w:rsidRPr="004068F6">
        <w:rPr>
          <w:rFonts w:cs="Arial"/>
          <w:spacing w:val="-3"/>
        </w:rPr>
        <w:t xml:space="preserve">jurisdicción </w:t>
      </w:r>
      <w:r w:rsidRPr="004068F6">
        <w:rPr>
          <w:rFonts w:cs="Arial"/>
          <w:spacing w:val="-3"/>
        </w:rPr>
        <w:t xml:space="preserve">de la </w:t>
      </w:r>
      <w:r w:rsidR="001068D5" w:rsidRPr="004068F6">
        <w:rPr>
          <w:rFonts w:cs="Arial"/>
          <w:spacing w:val="-3"/>
        </w:rPr>
        <w:t xml:space="preserve">autoridad </w:t>
      </w:r>
      <w:r w:rsidRPr="004068F6">
        <w:rPr>
          <w:rFonts w:cs="Arial"/>
          <w:spacing w:val="-3"/>
        </w:rPr>
        <w:t xml:space="preserve">competente para evaluar la licencia de establecimiento del zoocriadero con fines comerciales, es necesario solicitar </w:t>
      </w:r>
      <w:r w:rsidR="0060637A" w:rsidRPr="004068F6">
        <w:rPr>
          <w:rFonts w:cs="Arial"/>
          <w:spacing w:val="-3"/>
        </w:rPr>
        <w:t xml:space="preserve">el permiso </w:t>
      </w:r>
      <w:r w:rsidR="005369C2" w:rsidRPr="004068F6">
        <w:rPr>
          <w:rFonts w:cs="Arial"/>
          <w:spacing w:val="-3"/>
        </w:rPr>
        <w:t xml:space="preserve">de caza de fomento </w:t>
      </w:r>
      <w:r w:rsidRPr="004068F6">
        <w:rPr>
          <w:rFonts w:cs="Arial"/>
          <w:spacing w:val="-3"/>
        </w:rPr>
        <w:t xml:space="preserve">ante la autoridad ambiental con jurisdicción en el área de distribución del recurso </w:t>
      </w:r>
      <w:r w:rsidR="001068D5" w:rsidRPr="004068F6">
        <w:rPr>
          <w:rFonts w:cs="Arial"/>
          <w:spacing w:val="-3"/>
        </w:rPr>
        <w:t xml:space="preserve">de forma posterior </w:t>
      </w:r>
      <w:r w:rsidRPr="004068F6">
        <w:rPr>
          <w:rFonts w:cs="Arial"/>
          <w:spacing w:val="-3"/>
        </w:rPr>
        <w:t>a la obtención de la licencia para el establecimiento de zoocriaderos con fines comerciales.</w:t>
      </w:r>
    </w:p>
    <w:p w14:paraId="796141E3" w14:textId="77777777" w:rsidR="00C52839" w:rsidRPr="004068F6" w:rsidRDefault="00C52839" w:rsidP="00402FB4">
      <w:pPr>
        <w:numPr>
          <w:ilvl w:val="12"/>
          <w:numId w:val="0"/>
        </w:numPr>
        <w:tabs>
          <w:tab w:val="left" w:pos="-2268"/>
        </w:tabs>
        <w:suppressAutoHyphens/>
        <w:rPr>
          <w:rFonts w:cs="Arial"/>
          <w:spacing w:val="-3"/>
        </w:rPr>
      </w:pPr>
    </w:p>
    <w:p w14:paraId="36C5373D" w14:textId="7CDF835A" w:rsidR="002555F4" w:rsidRPr="004068F6" w:rsidRDefault="002555F4" w:rsidP="00402FB4">
      <w:pPr>
        <w:numPr>
          <w:ilvl w:val="12"/>
          <w:numId w:val="0"/>
        </w:numPr>
        <w:tabs>
          <w:tab w:val="left" w:pos="-2268"/>
        </w:tabs>
        <w:suppressAutoHyphens/>
        <w:rPr>
          <w:rFonts w:cs="Arial"/>
          <w:spacing w:val="-3"/>
        </w:rPr>
      </w:pPr>
      <w:r w:rsidRPr="004068F6">
        <w:rPr>
          <w:rFonts w:cs="Arial"/>
          <w:spacing w:val="-3"/>
        </w:rPr>
        <w:t xml:space="preserve">En caso de requerir un permiso de caza de fomento para alguna de las especies listadas en los Apéndices CITES, se deben atender las recomendaciones de las </w:t>
      </w:r>
      <w:r w:rsidR="00EC5312" w:rsidRPr="004068F6">
        <w:rPr>
          <w:rFonts w:cs="Arial"/>
          <w:spacing w:val="-3"/>
        </w:rPr>
        <w:t xml:space="preserve">entidades que fueron </w:t>
      </w:r>
      <w:r w:rsidRPr="004068F6">
        <w:rPr>
          <w:rFonts w:cs="Arial"/>
          <w:spacing w:val="-3"/>
        </w:rPr>
        <w:t xml:space="preserve">designadas </w:t>
      </w:r>
      <w:r w:rsidR="00EC5312" w:rsidRPr="004068F6">
        <w:rPr>
          <w:rFonts w:cs="Arial"/>
          <w:spacing w:val="-3"/>
        </w:rPr>
        <w:t xml:space="preserve">mediante la Resolución 1317 de 2000 como autoridades científicas de Colombia </w:t>
      </w:r>
      <w:r w:rsidRPr="004068F6">
        <w:rPr>
          <w:rFonts w:cs="Arial"/>
          <w:spacing w:val="-3"/>
        </w:rPr>
        <w:t>ante dicha convención.</w:t>
      </w:r>
    </w:p>
    <w:p w14:paraId="58AFEC7E" w14:textId="77777777" w:rsidR="002555F4" w:rsidRPr="004068F6" w:rsidRDefault="002555F4" w:rsidP="00402FB4">
      <w:pPr>
        <w:numPr>
          <w:ilvl w:val="12"/>
          <w:numId w:val="0"/>
        </w:numPr>
        <w:tabs>
          <w:tab w:val="left" w:pos="-2268"/>
        </w:tabs>
        <w:suppressAutoHyphens/>
        <w:rPr>
          <w:rFonts w:cs="Arial"/>
          <w:spacing w:val="-3"/>
        </w:rPr>
      </w:pPr>
    </w:p>
    <w:p w14:paraId="72FD4019" w14:textId="162ADA80" w:rsidR="00363B4C" w:rsidRPr="004068F6" w:rsidRDefault="00EA7226" w:rsidP="00402FB4">
      <w:pPr>
        <w:numPr>
          <w:ilvl w:val="12"/>
          <w:numId w:val="0"/>
        </w:numPr>
        <w:tabs>
          <w:tab w:val="left" w:pos="-2268"/>
        </w:tabs>
        <w:suppressAutoHyphens/>
        <w:rPr>
          <w:rFonts w:cs="Arial"/>
          <w:spacing w:val="-3"/>
        </w:rPr>
      </w:pPr>
      <w:r w:rsidRPr="004068F6">
        <w:rPr>
          <w:rFonts w:cs="Arial"/>
          <w:spacing w:val="-3"/>
        </w:rPr>
        <w:t xml:space="preserve">Para solicitar </w:t>
      </w:r>
      <w:r w:rsidR="0060637A" w:rsidRPr="004068F6">
        <w:rPr>
          <w:rFonts w:cs="Arial"/>
          <w:spacing w:val="-3"/>
        </w:rPr>
        <w:t xml:space="preserve">el permiso </w:t>
      </w:r>
      <w:r w:rsidR="005369C2" w:rsidRPr="004068F6">
        <w:rPr>
          <w:rFonts w:cs="Arial"/>
          <w:spacing w:val="-3"/>
        </w:rPr>
        <w:t xml:space="preserve">de caza de fomento </w:t>
      </w:r>
      <w:r w:rsidR="00F56B5D" w:rsidRPr="004068F6">
        <w:rPr>
          <w:rFonts w:cs="Arial"/>
          <w:spacing w:val="-3"/>
        </w:rPr>
        <w:t>en el marco de un</w:t>
      </w:r>
      <w:r w:rsidR="00434497" w:rsidRPr="004068F6">
        <w:rPr>
          <w:rFonts w:cs="Arial"/>
          <w:spacing w:val="-3"/>
        </w:rPr>
        <w:t xml:space="preserve"> EIA elaborado con el fin de obtener un</w:t>
      </w:r>
      <w:r w:rsidR="00F56B5D" w:rsidRPr="004068F6">
        <w:rPr>
          <w:rFonts w:cs="Arial"/>
          <w:spacing w:val="-3"/>
        </w:rPr>
        <w:t xml:space="preserve">a licencia ambiental </w:t>
      </w:r>
      <w:r w:rsidR="00434497" w:rsidRPr="004068F6">
        <w:rPr>
          <w:rFonts w:cs="Arial"/>
          <w:spacing w:val="-3"/>
        </w:rPr>
        <w:t xml:space="preserve">para </w:t>
      </w:r>
      <w:r w:rsidR="00F56B5D" w:rsidRPr="004068F6">
        <w:rPr>
          <w:rFonts w:cs="Arial"/>
          <w:spacing w:val="-3"/>
        </w:rPr>
        <w:t xml:space="preserve">un zoocriadero, </w:t>
      </w:r>
      <w:r w:rsidRPr="004068F6">
        <w:rPr>
          <w:rFonts w:cs="Arial"/>
          <w:spacing w:val="-3"/>
        </w:rPr>
        <w:t>se debe</w:t>
      </w:r>
      <w:r w:rsidR="00A11F0C" w:rsidRPr="004068F6">
        <w:rPr>
          <w:rFonts w:cs="Arial"/>
          <w:spacing w:val="-3"/>
        </w:rPr>
        <w:t>n realizar las siguientes actividades</w:t>
      </w:r>
      <w:r w:rsidRPr="004068F6">
        <w:rPr>
          <w:rFonts w:cs="Arial"/>
          <w:spacing w:val="-3"/>
        </w:rPr>
        <w:t>:</w:t>
      </w:r>
    </w:p>
    <w:p w14:paraId="0D939DAF" w14:textId="4403C2F8" w:rsidR="00CB0B9E" w:rsidRDefault="00CB0B9E" w:rsidP="00434497">
      <w:pPr>
        <w:tabs>
          <w:tab w:val="left" w:pos="-2268"/>
        </w:tabs>
        <w:suppressAutoHyphens/>
        <w:rPr>
          <w:spacing w:val="-3"/>
        </w:rPr>
      </w:pPr>
    </w:p>
    <w:p w14:paraId="3AFE8FF3" w14:textId="77777777" w:rsidR="00865E78" w:rsidRDefault="00865E78" w:rsidP="00434497">
      <w:pPr>
        <w:tabs>
          <w:tab w:val="left" w:pos="-2268"/>
        </w:tabs>
        <w:suppressAutoHyphens/>
        <w:rPr>
          <w:spacing w:val="-3"/>
        </w:rPr>
      </w:pPr>
    </w:p>
    <w:p w14:paraId="488E99E9" w14:textId="77777777" w:rsidR="00865E78" w:rsidRPr="004068F6" w:rsidRDefault="00865E78" w:rsidP="00434497">
      <w:pPr>
        <w:tabs>
          <w:tab w:val="left" w:pos="-2268"/>
        </w:tabs>
        <w:suppressAutoHyphens/>
        <w:rPr>
          <w:spacing w:val="-3"/>
        </w:rPr>
      </w:pPr>
    </w:p>
    <w:p w14:paraId="32092D58" w14:textId="2DC95635" w:rsidR="00434497" w:rsidRPr="00466E26" w:rsidRDefault="0079660E" w:rsidP="000A1E20">
      <w:pPr>
        <w:pStyle w:val="Ttulo3"/>
      </w:pPr>
      <w:bookmarkStart w:id="3172" w:name="_Toc230879682"/>
      <w:r w:rsidRPr="00466E26">
        <w:lastRenderedPageBreak/>
        <w:t>Caracterización del área donde se pretende llevar a cabo la caza de fomento</w:t>
      </w:r>
      <w:bookmarkEnd w:id="3172"/>
    </w:p>
    <w:p w14:paraId="251D5E50" w14:textId="77777777" w:rsidR="00434497" w:rsidRPr="004068F6" w:rsidRDefault="00434497" w:rsidP="000D6E21">
      <w:pPr>
        <w:rPr>
          <w:spacing w:val="-3"/>
        </w:rPr>
      </w:pPr>
    </w:p>
    <w:p w14:paraId="17F57B4A" w14:textId="276D608C" w:rsidR="0079660E" w:rsidRPr="00127BD4" w:rsidRDefault="002D248F" w:rsidP="000D6E21">
      <w:pPr>
        <w:pStyle w:val="Prrafodelista"/>
        <w:tabs>
          <w:tab w:val="left" w:pos="-2268"/>
        </w:tabs>
        <w:suppressAutoHyphens/>
        <w:ind w:left="0"/>
        <w:rPr>
          <w:spacing w:val="-3"/>
          <w:lang w:val="es-CO"/>
        </w:rPr>
      </w:pPr>
      <w:r w:rsidRPr="00127BD4">
        <w:rPr>
          <w:spacing w:val="-3"/>
          <w:lang w:val="es-CO"/>
        </w:rPr>
        <w:t xml:space="preserve">Adicional a la información señalada en el numeral de caracterización ambiental, es necesario </w:t>
      </w:r>
      <w:r w:rsidR="0079660E" w:rsidRPr="00127BD4">
        <w:rPr>
          <w:spacing w:val="-3"/>
          <w:lang w:val="es-CO"/>
        </w:rPr>
        <w:t xml:space="preserve">describir las principales amenazas a las especies objeto de caza en las áreas seleccionadas, en especial las señaladas en los reportes de tráfico ilegal de especies generados por las autoridades ambientales regionales. Asimismo, se debe </w:t>
      </w:r>
      <w:r w:rsidRPr="00127BD4">
        <w:rPr>
          <w:spacing w:val="-3"/>
          <w:lang w:val="es-CO"/>
        </w:rPr>
        <w:t xml:space="preserve">mencionar cuán cerca se prevé ejecutar </w:t>
      </w:r>
      <w:r w:rsidR="0079660E" w:rsidRPr="00127BD4">
        <w:rPr>
          <w:spacing w:val="-3"/>
          <w:lang w:val="es-CO"/>
        </w:rPr>
        <w:t xml:space="preserve">las actividades de caza de fomento </w:t>
      </w:r>
      <w:r w:rsidRPr="00127BD4">
        <w:rPr>
          <w:spacing w:val="-3"/>
          <w:lang w:val="es-CO"/>
        </w:rPr>
        <w:t xml:space="preserve">de </w:t>
      </w:r>
      <w:r w:rsidR="0079660E" w:rsidRPr="00127BD4">
        <w:rPr>
          <w:spacing w:val="-3"/>
          <w:lang w:val="es-CO"/>
        </w:rPr>
        <w:t xml:space="preserve">las </w:t>
      </w:r>
      <w:r w:rsidR="00AC388D" w:rsidRPr="00127BD4">
        <w:rPr>
          <w:lang w:val="es-CO"/>
        </w:rPr>
        <w:t>Áreas de Especial Interés Ambiental</w:t>
      </w:r>
      <w:r w:rsidR="0079660E" w:rsidRPr="00127BD4">
        <w:rPr>
          <w:spacing w:val="-3"/>
          <w:lang w:val="es-CO"/>
        </w:rPr>
        <w:t xml:space="preserve"> (A</w:t>
      </w:r>
      <w:r w:rsidR="00AC388D" w:rsidRPr="00127BD4">
        <w:rPr>
          <w:spacing w:val="-3"/>
          <w:lang w:val="es-CO"/>
        </w:rPr>
        <w:t>EI</w:t>
      </w:r>
      <w:r w:rsidR="0079660E" w:rsidRPr="00127BD4">
        <w:rPr>
          <w:spacing w:val="-3"/>
          <w:lang w:val="es-CO"/>
        </w:rPr>
        <w:t xml:space="preserve">A) señaladas en el numeral </w:t>
      </w:r>
      <w:r w:rsidR="001E443F">
        <w:rPr>
          <w:spacing w:val="-3"/>
          <w:lang w:val="es-CO"/>
        </w:rPr>
        <w:fldChar w:fldCharType="begin"/>
      </w:r>
      <w:r w:rsidR="001E443F">
        <w:rPr>
          <w:spacing w:val="-3"/>
          <w:lang w:val="es-CO"/>
        </w:rPr>
        <w:instrText xml:space="preserve"> REF _Ref230872774 \r \h </w:instrText>
      </w:r>
      <w:r w:rsidR="001E443F">
        <w:rPr>
          <w:spacing w:val="-3"/>
          <w:lang w:val="es-CO"/>
        </w:rPr>
      </w:r>
      <w:r w:rsidR="001E443F">
        <w:rPr>
          <w:spacing w:val="-3"/>
          <w:lang w:val="es-CO"/>
        </w:rPr>
        <w:fldChar w:fldCharType="separate"/>
      </w:r>
      <w:r w:rsidR="001E443F">
        <w:rPr>
          <w:spacing w:val="-3"/>
          <w:lang w:val="es-CO"/>
        </w:rPr>
        <w:t>4.4</w:t>
      </w:r>
      <w:r w:rsidR="001E443F">
        <w:rPr>
          <w:spacing w:val="-3"/>
          <w:lang w:val="es-CO"/>
        </w:rPr>
        <w:fldChar w:fldCharType="end"/>
      </w:r>
      <w:r w:rsidR="0079660E" w:rsidRPr="00127BD4">
        <w:rPr>
          <w:spacing w:val="-3"/>
          <w:lang w:val="es-CO"/>
        </w:rPr>
        <w:t xml:space="preserve"> de este capítulo</w:t>
      </w:r>
      <w:r w:rsidRPr="00127BD4">
        <w:rPr>
          <w:spacing w:val="-3"/>
          <w:lang w:val="es-CO"/>
        </w:rPr>
        <w:t xml:space="preserve"> o, si en efecto, se plantea desarrollarlas al interior de éstas</w:t>
      </w:r>
      <w:r w:rsidR="0079660E" w:rsidRPr="00127BD4">
        <w:rPr>
          <w:spacing w:val="-3"/>
          <w:lang w:val="es-CO"/>
        </w:rPr>
        <w:t>.</w:t>
      </w:r>
    </w:p>
    <w:p w14:paraId="2F231997" w14:textId="77777777" w:rsidR="0079660E" w:rsidRPr="00127BD4" w:rsidRDefault="0079660E">
      <w:pPr>
        <w:tabs>
          <w:tab w:val="left" w:pos="-2268"/>
        </w:tabs>
        <w:suppressAutoHyphens/>
        <w:rPr>
          <w:spacing w:val="-3"/>
        </w:rPr>
      </w:pPr>
    </w:p>
    <w:p w14:paraId="5249C367" w14:textId="7686672A" w:rsidR="00DD6627" w:rsidRPr="00466E26" w:rsidRDefault="00DD6627" w:rsidP="000A1E20">
      <w:pPr>
        <w:pStyle w:val="Ttulo3"/>
      </w:pPr>
      <w:bookmarkStart w:id="3173" w:name="_Toc230879683"/>
      <w:r w:rsidRPr="00466E26">
        <w:t xml:space="preserve">Recopilación de información </w:t>
      </w:r>
      <w:r w:rsidR="00A11F0C" w:rsidRPr="00466E26">
        <w:t xml:space="preserve">actual </w:t>
      </w:r>
      <w:r w:rsidRPr="00466E26">
        <w:t xml:space="preserve">sobre </w:t>
      </w:r>
      <w:r w:rsidR="00A11F0C" w:rsidRPr="00466E26">
        <w:t>las poblaciones naturales en el país</w:t>
      </w:r>
      <w:bookmarkEnd w:id="3173"/>
    </w:p>
    <w:p w14:paraId="49383468" w14:textId="77777777" w:rsidR="00DD6627" w:rsidRPr="004068F6" w:rsidRDefault="00DD6627" w:rsidP="000D6E21">
      <w:pPr>
        <w:tabs>
          <w:tab w:val="left" w:pos="-2268"/>
        </w:tabs>
        <w:suppressAutoHyphens/>
        <w:rPr>
          <w:spacing w:val="-3"/>
        </w:rPr>
      </w:pPr>
    </w:p>
    <w:p w14:paraId="37A1EE84" w14:textId="51E3825E" w:rsidR="00A11F0C" w:rsidRPr="00127BD4" w:rsidRDefault="00DD6627" w:rsidP="000D6E21">
      <w:pPr>
        <w:pStyle w:val="Prrafodelista"/>
        <w:tabs>
          <w:tab w:val="left" w:pos="-2268"/>
        </w:tabs>
        <w:suppressAutoHyphens/>
        <w:ind w:left="0"/>
        <w:rPr>
          <w:spacing w:val="-3"/>
          <w:lang w:val="es-CO"/>
        </w:rPr>
      </w:pPr>
      <w:r w:rsidRPr="00127BD4">
        <w:rPr>
          <w:spacing w:val="-3"/>
          <w:lang w:val="es-CO"/>
        </w:rPr>
        <w:t xml:space="preserve">Se debe recopilar la siguiente información a partir de fuentes </w:t>
      </w:r>
      <w:r w:rsidR="00EA7DB9" w:rsidRPr="00127BD4">
        <w:rPr>
          <w:spacing w:val="-3"/>
          <w:lang w:val="es-CO"/>
        </w:rPr>
        <w:t xml:space="preserve">disponibles </w:t>
      </w:r>
      <w:r w:rsidRPr="00127BD4">
        <w:rPr>
          <w:spacing w:val="-3"/>
          <w:lang w:val="es-CO"/>
        </w:rPr>
        <w:t>como revistas científicas, publicaciones de centros o institutos de investigación, estudios académicos</w:t>
      </w:r>
      <w:r w:rsidR="00DB1603" w:rsidRPr="00127BD4">
        <w:rPr>
          <w:spacing w:val="-3"/>
          <w:lang w:val="es-CO"/>
        </w:rPr>
        <w:t xml:space="preserve"> o</w:t>
      </w:r>
      <w:r w:rsidRPr="00127BD4">
        <w:rPr>
          <w:spacing w:val="-3"/>
          <w:lang w:val="es-CO"/>
        </w:rPr>
        <w:t xml:space="preserve"> bases de datos especializadas:</w:t>
      </w:r>
    </w:p>
    <w:p w14:paraId="5A481624" w14:textId="77777777" w:rsidR="00A11F0C" w:rsidRPr="004068F6" w:rsidRDefault="00A11F0C" w:rsidP="000D6E21">
      <w:pPr>
        <w:rPr>
          <w:spacing w:val="-3"/>
        </w:rPr>
      </w:pPr>
    </w:p>
    <w:p w14:paraId="1A865B44" w14:textId="7939421E" w:rsidR="00A11F0C" w:rsidRPr="00127BD4" w:rsidRDefault="00DD6627" w:rsidP="000D6E21">
      <w:pPr>
        <w:pStyle w:val="Prrafodelista"/>
        <w:numPr>
          <w:ilvl w:val="0"/>
          <w:numId w:val="5"/>
        </w:numPr>
        <w:tabs>
          <w:tab w:val="left" w:pos="-2268"/>
        </w:tabs>
        <w:suppressAutoHyphens/>
        <w:ind w:left="567" w:hanging="567"/>
        <w:rPr>
          <w:spacing w:val="-3"/>
          <w:lang w:val="es-CO"/>
        </w:rPr>
      </w:pPr>
      <w:r w:rsidRPr="004068F6">
        <w:rPr>
          <w:spacing w:val="-3"/>
          <w:lang w:val="es-CO"/>
        </w:rPr>
        <w:t>B</w:t>
      </w:r>
      <w:r w:rsidR="00A11F0C" w:rsidRPr="004068F6">
        <w:rPr>
          <w:spacing w:val="-3"/>
          <w:lang w:val="es-CO"/>
        </w:rPr>
        <w:t>iología de la</w:t>
      </w:r>
      <w:r w:rsidRPr="004068F6">
        <w:rPr>
          <w:spacing w:val="-3"/>
          <w:lang w:val="es-CO"/>
        </w:rPr>
        <w:t>s</w:t>
      </w:r>
      <w:r w:rsidR="00A11F0C" w:rsidRPr="004068F6">
        <w:rPr>
          <w:spacing w:val="-3"/>
          <w:lang w:val="es-CO"/>
        </w:rPr>
        <w:t xml:space="preserve"> especie</w:t>
      </w:r>
      <w:r w:rsidRPr="004068F6">
        <w:rPr>
          <w:spacing w:val="-3"/>
          <w:lang w:val="es-CO"/>
        </w:rPr>
        <w:t>s</w:t>
      </w:r>
      <w:r w:rsidR="00A11F0C" w:rsidRPr="004068F6">
        <w:rPr>
          <w:spacing w:val="-3"/>
          <w:lang w:val="es-CO"/>
        </w:rPr>
        <w:t xml:space="preserve"> </w:t>
      </w:r>
      <w:r w:rsidRPr="004068F6">
        <w:rPr>
          <w:spacing w:val="-3"/>
          <w:lang w:val="es-CO"/>
        </w:rPr>
        <w:t>respecto de sus</w:t>
      </w:r>
      <w:r w:rsidR="00A11F0C" w:rsidRPr="004068F6">
        <w:rPr>
          <w:spacing w:val="-3"/>
          <w:lang w:val="es-CO"/>
        </w:rPr>
        <w:t xml:space="preserve"> estrategias reproductivas, tasas de crecimiento y natalidad y comportamientos sexuales.</w:t>
      </w:r>
    </w:p>
    <w:p w14:paraId="646DBE25" w14:textId="77777777" w:rsidR="00A11F0C" w:rsidRPr="004068F6" w:rsidRDefault="00A11F0C" w:rsidP="000D6E21">
      <w:pPr>
        <w:tabs>
          <w:tab w:val="left" w:pos="-2268"/>
        </w:tabs>
        <w:suppressAutoHyphens/>
        <w:rPr>
          <w:spacing w:val="-3"/>
        </w:rPr>
      </w:pPr>
    </w:p>
    <w:p w14:paraId="2F6800AB" w14:textId="78547E4F" w:rsidR="00A11F0C" w:rsidRPr="00127BD4" w:rsidRDefault="00DD6627" w:rsidP="000D6E21">
      <w:pPr>
        <w:pStyle w:val="Prrafodelista"/>
        <w:numPr>
          <w:ilvl w:val="0"/>
          <w:numId w:val="5"/>
        </w:numPr>
        <w:tabs>
          <w:tab w:val="left" w:pos="-2268"/>
        </w:tabs>
        <w:suppressAutoHyphens/>
        <w:ind w:left="567" w:hanging="567"/>
        <w:rPr>
          <w:spacing w:val="-3"/>
          <w:lang w:val="es-CO"/>
        </w:rPr>
      </w:pPr>
      <w:r w:rsidRPr="004068F6">
        <w:rPr>
          <w:spacing w:val="-3"/>
          <w:lang w:val="es-CO"/>
        </w:rPr>
        <w:t>E</w:t>
      </w:r>
      <w:r w:rsidR="00A11F0C" w:rsidRPr="004068F6">
        <w:rPr>
          <w:spacing w:val="-3"/>
          <w:lang w:val="es-CO"/>
        </w:rPr>
        <w:t>cología de la</w:t>
      </w:r>
      <w:r w:rsidRPr="004068F6">
        <w:rPr>
          <w:spacing w:val="-3"/>
          <w:lang w:val="es-CO"/>
        </w:rPr>
        <w:t>s</w:t>
      </w:r>
      <w:r w:rsidR="00A11F0C" w:rsidRPr="004068F6">
        <w:rPr>
          <w:spacing w:val="-3"/>
          <w:lang w:val="es-CO"/>
        </w:rPr>
        <w:t xml:space="preserve"> especie</w:t>
      </w:r>
      <w:r w:rsidRPr="004068F6">
        <w:rPr>
          <w:spacing w:val="-3"/>
          <w:lang w:val="es-CO"/>
        </w:rPr>
        <w:t>s</w:t>
      </w:r>
      <w:r w:rsidR="00A11F0C" w:rsidRPr="004068F6">
        <w:rPr>
          <w:spacing w:val="-3"/>
          <w:lang w:val="es-CO"/>
        </w:rPr>
        <w:t xml:space="preserve"> </w:t>
      </w:r>
      <w:r w:rsidRPr="004068F6">
        <w:rPr>
          <w:spacing w:val="-3"/>
          <w:lang w:val="es-CO"/>
        </w:rPr>
        <w:t xml:space="preserve">respecto </w:t>
      </w:r>
      <w:r w:rsidR="00F85E87" w:rsidRPr="004068F6">
        <w:rPr>
          <w:spacing w:val="-3"/>
          <w:lang w:val="es-CO"/>
        </w:rPr>
        <w:t>de</w:t>
      </w:r>
      <w:r w:rsidR="00A11F0C" w:rsidRPr="004068F6">
        <w:rPr>
          <w:spacing w:val="-3"/>
          <w:lang w:val="es-CO"/>
        </w:rPr>
        <w:t xml:space="preserve"> la estructura, dinámica y estado</w:t>
      </w:r>
      <w:r w:rsidR="00EA7DB9" w:rsidRPr="004068F6">
        <w:rPr>
          <w:spacing w:val="-3"/>
          <w:lang w:val="es-CO"/>
        </w:rPr>
        <w:t xml:space="preserve"> de sus poblaciones</w:t>
      </w:r>
      <w:r w:rsidR="00A11F0C" w:rsidRPr="004068F6">
        <w:rPr>
          <w:spacing w:val="-3"/>
          <w:lang w:val="es-CO"/>
        </w:rPr>
        <w:t>.</w:t>
      </w:r>
    </w:p>
    <w:p w14:paraId="48DFAC9D" w14:textId="77777777" w:rsidR="00A11F0C" w:rsidRPr="004068F6" w:rsidRDefault="00A11F0C" w:rsidP="000D6E21">
      <w:pPr>
        <w:tabs>
          <w:tab w:val="left" w:pos="-2268"/>
        </w:tabs>
        <w:suppressAutoHyphens/>
        <w:rPr>
          <w:spacing w:val="-3"/>
        </w:rPr>
      </w:pPr>
    </w:p>
    <w:p w14:paraId="43EE661B" w14:textId="4B2A3DDF" w:rsidR="00A11F0C" w:rsidRPr="00127BD4" w:rsidRDefault="00EA7DB9" w:rsidP="000D6E21">
      <w:pPr>
        <w:pStyle w:val="Prrafodelista"/>
        <w:numPr>
          <w:ilvl w:val="0"/>
          <w:numId w:val="5"/>
        </w:numPr>
        <w:tabs>
          <w:tab w:val="left" w:pos="-2268"/>
        </w:tabs>
        <w:suppressAutoHyphens/>
        <w:ind w:left="567" w:hanging="567"/>
        <w:rPr>
          <w:spacing w:val="-3"/>
          <w:lang w:val="es-CO"/>
        </w:rPr>
      </w:pPr>
      <w:r w:rsidRPr="004068F6">
        <w:rPr>
          <w:spacing w:val="-3"/>
          <w:lang w:val="es-CO"/>
        </w:rPr>
        <w:t>V</w:t>
      </w:r>
      <w:r w:rsidR="00A11F0C" w:rsidRPr="004068F6">
        <w:rPr>
          <w:spacing w:val="-3"/>
          <w:lang w:val="es-CO"/>
        </w:rPr>
        <w:t>ariables y parámetros ecológicos reportados para las especies (</w:t>
      </w:r>
      <w:r w:rsidRPr="004068F6">
        <w:rPr>
          <w:spacing w:val="-3"/>
          <w:lang w:val="es-CO"/>
        </w:rPr>
        <w:t xml:space="preserve">p. ej. </w:t>
      </w:r>
      <w:r w:rsidR="00A11F0C" w:rsidRPr="004068F6">
        <w:rPr>
          <w:spacing w:val="-3"/>
          <w:lang w:val="es-CO"/>
        </w:rPr>
        <w:t>frecuencias absolutas y relativas, proporción sexual, población de inmaduros).</w:t>
      </w:r>
    </w:p>
    <w:p w14:paraId="6CD3EB10" w14:textId="77777777" w:rsidR="00A11F0C" w:rsidRPr="004068F6" w:rsidRDefault="00A11F0C" w:rsidP="000D6E21">
      <w:pPr>
        <w:tabs>
          <w:tab w:val="left" w:pos="-2268"/>
        </w:tabs>
        <w:suppressAutoHyphens/>
        <w:rPr>
          <w:spacing w:val="-3"/>
        </w:rPr>
      </w:pPr>
    </w:p>
    <w:p w14:paraId="2BCFE650" w14:textId="076305F0" w:rsidR="00A11F0C" w:rsidRPr="00127BD4" w:rsidRDefault="00EA7DB9" w:rsidP="000D6E21">
      <w:pPr>
        <w:pStyle w:val="Prrafodelista"/>
        <w:numPr>
          <w:ilvl w:val="0"/>
          <w:numId w:val="5"/>
        </w:numPr>
        <w:tabs>
          <w:tab w:val="left" w:pos="-2268"/>
        </w:tabs>
        <w:suppressAutoHyphens/>
        <w:ind w:left="567" w:hanging="567"/>
        <w:rPr>
          <w:spacing w:val="-3"/>
          <w:lang w:val="es-CO"/>
        </w:rPr>
      </w:pPr>
      <w:r w:rsidRPr="004068F6">
        <w:rPr>
          <w:spacing w:val="-3"/>
          <w:lang w:val="es-CO"/>
        </w:rPr>
        <w:t>C</w:t>
      </w:r>
      <w:r w:rsidR="00A11F0C" w:rsidRPr="004068F6">
        <w:rPr>
          <w:spacing w:val="-3"/>
          <w:lang w:val="es-CO"/>
        </w:rPr>
        <w:t>aracterizaci</w:t>
      </w:r>
      <w:r w:rsidRPr="004068F6">
        <w:rPr>
          <w:spacing w:val="-3"/>
          <w:lang w:val="es-CO"/>
        </w:rPr>
        <w:t xml:space="preserve">ones </w:t>
      </w:r>
      <w:r w:rsidR="00A11F0C" w:rsidRPr="004068F6">
        <w:rPr>
          <w:spacing w:val="-3"/>
          <w:lang w:val="es-CO"/>
        </w:rPr>
        <w:t>taxonómica</w:t>
      </w:r>
      <w:r w:rsidRPr="004068F6">
        <w:rPr>
          <w:spacing w:val="-3"/>
          <w:lang w:val="es-CO"/>
        </w:rPr>
        <w:t>s</w:t>
      </w:r>
      <w:r w:rsidR="00A11F0C" w:rsidRPr="004068F6">
        <w:rPr>
          <w:spacing w:val="-3"/>
          <w:lang w:val="es-CO"/>
        </w:rPr>
        <w:t xml:space="preserve"> </w:t>
      </w:r>
      <w:r w:rsidR="00F85E87" w:rsidRPr="004068F6">
        <w:rPr>
          <w:spacing w:val="-3"/>
          <w:lang w:val="es-CO"/>
        </w:rPr>
        <w:t xml:space="preserve">del </w:t>
      </w:r>
      <w:r w:rsidRPr="004068F6">
        <w:rPr>
          <w:spacing w:val="-3"/>
          <w:lang w:val="es-CO"/>
        </w:rPr>
        <w:t xml:space="preserve">mayor detalle taxonómico posible </w:t>
      </w:r>
      <w:r w:rsidR="00F85E87" w:rsidRPr="004068F6">
        <w:rPr>
          <w:spacing w:val="-3"/>
          <w:lang w:val="es-CO"/>
        </w:rPr>
        <w:t xml:space="preserve">que permitan </w:t>
      </w:r>
      <w:r w:rsidRPr="004068F6">
        <w:rPr>
          <w:spacing w:val="-3"/>
          <w:lang w:val="es-CO"/>
        </w:rPr>
        <w:t xml:space="preserve">determinar </w:t>
      </w:r>
      <w:r w:rsidR="00A11F0C" w:rsidRPr="004068F6">
        <w:rPr>
          <w:spacing w:val="-3"/>
          <w:lang w:val="es-CO"/>
        </w:rPr>
        <w:t>complejos de especies o subespecies.</w:t>
      </w:r>
    </w:p>
    <w:p w14:paraId="0BC5A773" w14:textId="77777777" w:rsidR="00B67706" w:rsidRPr="004068F6" w:rsidRDefault="00B67706" w:rsidP="000D6E21">
      <w:pPr>
        <w:rPr>
          <w:spacing w:val="-3"/>
        </w:rPr>
      </w:pPr>
    </w:p>
    <w:p w14:paraId="64EBA363" w14:textId="10486DFD" w:rsidR="00CB0B9E" w:rsidRPr="00466E26" w:rsidRDefault="00F97215" w:rsidP="000A1E20">
      <w:pPr>
        <w:pStyle w:val="Ttulo3"/>
      </w:pPr>
      <w:bookmarkStart w:id="3174" w:name="_Toc230879684"/>
      <w:r w:rsidRPr="00466E26">
        <w:t>E</w:t>
      </w:r>
      <w:r w:rsidR="00DB1603" w:rsidRPr="00466E26">
        <w:t>laboración del e</w:t>
      </w:r>
      <w:r w:rsidR="00CB0B9E" w:rsidRPr="00466E26">
        <w:t xml:space="preserve">studio </w:t>
      </w:r>
      <w:r w:rsidR="000509FD" w:rsidRPr="00466E26">
        <w:t>para determinar la viabilidad biológica de la caza de fomento</w:t>
      </w:r>
      <w:bookmarkEnd w:id="3174"/>
    </w:p>
    <w:p w14:paraId="1B65E3D8" w14:textId="77777777" w:rsidR="000F37A5" w:rsidRPr="004068F6" w:rsidRDefault="000F37A5" w:rsidP="000D6E21">
      <w:pPr>
        <w:rPr>
          <w:spacing w:val="-3"/>
        </w:rPr>
      </w:pPr>
    </w:p>
    <w:p w14:paraId="655CEECF" w14:textId="6A2C2E5C" w:rsidR="00DD6627" w:rsidRPr="00127BD4" w:rsidRDefault="00DB1603" w:rsidP="000D6E21">
      <w:pPr>
        <w:pStyle w:val="Prrafodelista"/>
        <w:tabs>
          <w:tab w:val="left" w:pos="-2268"/>
        </w:tabs>
        <w:suppressAutoHyphens/>
        <w:ind w:left="0"/>
        <w:rPr>
          <w:spacing w:val="-3"/>
          <w:lang w:val="es-CO"/>
        </w:rPr>
      </w:pPr>
      <w:r w:rsidRPr="00127BD4">
        <w:rPr>
          <w:spacing w:val="-3"/>
          <w:lang w:val="es-CO"/>
        </w:rPr>
        <w:t xml:space="preserve">Para elaborar este </w:t>
      </w:r>
      <w:r w:rsidR="000F37A5" w:rsidRPr="00127BD4">
        <w:rPr>
          <w:spacing w:val="-3"/>
          <w:lang w:val="es-CO"/>
        </w:rPr>
        <w:t xml:space="preserve">estudio </w:t>
      </w:r>
      <w:r w:rsidRPr="00127BD4">
        <w:rPr>
          <w:spacing w:val="-3"/>
          <w:lang w:val="es-CO"/>
        </w:rPr>
        <w:t xml:space="preserve">se </w:t>
      </w:r>
      <w:r w:rsidR="000F37A5" w:rsidRPr="00127BD4">
        <w:rPr>
          <w:spacing w:val="-3"/>
          <w:lang w:val="es-CO"/>
        </w:rPr>
        <w:t>debe</w:t>
      </w:r>
      <w:r w:rsidRPr="00127BD4">
        <w:rPr>
          <w:spacing w:val="-3"/>
          <w:lang w:val="es-CO"/>
        </w:rPr>
        <w:t>n</w:t>
      </w:r>
      <w:r w:rsidR="000F37A5" w:rsidRPr="00127BD4">
        <w:rPr>
          <w:spacing w:val="-3"/>
          <w:lang w:val="es-CO"/>
        </w:rPr>
        <w:t xml:space="preserve"> </w:t>
      </w:r>
      <w:r w:rsidR="007A4185" w:rsidRPr="00127BD4">
        <w:rPr>
          <w:spacing w:val="-3"/>
          <w:lang w:val="es-CO"/>
        </w:rPr>
        <w:t xml:space="preserve">desarrollar </w:t>
      </w:r>
      <w:r w:rsidR="00221904" w:rsidRPr="00127BD4">
        <w:rPr>
          <w:spacing w:val="-3"/>
          <w:lang w:val="es-CO"/>
        </w:rPr>
        <w:t xml:space="preserve">los </w:t>
      </w:r>
      <w:r w:rsidR="007A4185" w:rsidRPr="00127BD4">
        <w:rPr>
          <w:spacing w:val="-3"/>
          <w:lang w:val="es-CO"/>
        </w:rPr>
        <w:t xml:space="preserve">contenidos que </w:t>
      </w:r>
      <w:r w:rsidR="00221904" w:rsidRPr="00127BD4">
        <w:rPr>
          <w:spacing w:val="-3"/>
          <w:lang w:val="es-CO"/>
        </w:rPr>
        <w:t>se señalan a continuación</w:t>
      </w:r>
      <w:r w:rsidRPr="00127BD4">
        <w:rPr>
          <w:spacing w:val="-3"/>
          <w:lang w:val="es-CO"/>
        </w:rPr>
        <w:t>,</w:t>
      </w:r>
      <w:r w:rsidR="00221904" w:rsidRPr="00127BD4">
        <w:rPr>
          <w:spacing w:val="-3"/>
          <w:lang w:val="es-CO"/>
        </w:rPr>
        <w:t xml:space="preserve"> </w:t>
      </w:r>
      <w:r w:rsidR="000F37A5" w:rsidRPr="00127BD4">
        <w:rPr>
          <w:spacing w:val="-3"/>
          <w:lang w:val="es-CO"/>
        </w:rPr>
        <w:t xml:space="preserve">empleando información </w:t>
      </w:r>
      <w:r w:rsidRPr="00127BD4">
        <w:rPr>
          <w:spacing w:val="-3"/>
          <w:lang w:val="es-CO"/>
        </w:rPr>
        <w:t xml:space="preserve">primaria y secundaria </w:t>
      </w:r>
      <w:r w:rsidR="000F37A5" w:rsidRPr="00127BD4">
        <w:rPr>
          <w:spacing w:val="-3"/>
          <w:lang w:val="es-CO"/>
        </w:rPr>
        <w:t>de al menos dos épocas climáticas y una réplica de éstas</w:t>
      </w:r>
      <w:r w:rsidR="00221904" w:rsidRPr="00127BD4">
        <w:rPr>
          <w:spacing w:val="-3"/>
          <w:lang w:val="es-CO"/>
        </w:rPr>
        <w:t xml:space="preserve">, </w:t>
      </w:r>
      <w:r w:rsidR="000F37A5" w:rsidRPr="00127BD4">
        <w:rPr>
          <w:spacing w:val="-3"/>
          <w:lang w:val="es-CO"/>
        </w:rPr>
        <w:t xml:space="preserve">a fin de contar con datos poblacionales suficientes y ajustados a </w:t>
      </w:r>
      <w:r w:rsidR="00221904" w:rsidRPr="00127BD4">
        <w:rPr>
          <w:spacing w:val="-3"/>
          <w:lang w:val="es-CO"/>
        </w:rPr>
        <w:t xml:space="preserve">la </w:t>
      </w:r>
      <w:r w:rsidR="000F37A5" w:rsidRPr="00127BD4">
        <w:rPr>
          <w:spacing w:val="-3"/>
          <w:lang w:val="es-CO"/>
        </w:rPr>
        <w:t>realidad espaciotemporal</w:t>
      </w:r>
      <w:r w:rsidR="00221904" w:rsidRPr="00127BD4">
        <w:rPr>
          <w:spacing w:val="-3"/>
          <w:lang w:val="es-CO"/>
        </w:rPr>
        <w:t xml:space="preserve"> de las poblaciones de las especies objeto de caza</w:t>
      </w:r>
      <w:r w:rsidR="000F37A5" w:rsidRPr="00127BD4">
        <w:rPr>
          <w:spacing w:val="-3"/>
          <w:lang w:val="es-CO"/>
        </w:rPr>
        <w:t>.</w:t>
      </w:r>
      <w:r w:rsidRPr="00127BD4">
        <w:rPr>
          <w:spacing w:val="-3"/>
          <w:lang w:val="es-CO"/>
        </w:rPr>
        <w:t xml:space="preserve"> Es importante señalar que esta información también puede ser </w:t>
      </w:r>
      <w:r w:rsidR="007A4185" w:rsidRPr="00127BD4">
        <w:rPr>
          <w:spacing w:val="-3"/>
          <w:lang w:val="es-CO"/>
        </w:rPr>
        <w:t xml:space="preserve">complementada con </w:t>
      </w:r>
      <w:r w:rsidRPr="00127BD4">
        <w:rPr>
          <w:spacing w:val="-3"/>
          <w:lang w:val="es-CO"/>
        </w:rPr>
        <w:t xml:space="preserve">los </w:t>
      </w:r>
      <w:r w:rsidR="007A4185" w:rsidRPr="00127BD4">
        <w:rPr>
          <w:spacing w:val="-3"/>
          <w:lang w:val="es-CO"/>
        </w:rPr>
        <w:t xml:space="preserve">aportes que surjan de los </w:t>
      </w:r>
      <w:r w:rsidR="00DD6627" w:rsidRPr="00127BD4">
        <w:rPr>
          <w:spacing w:val="-3"/>
          <w:lang w:val="es-CO"/>
        </w:rPr>
        <w:t>espacios de participación</w:t>
      </w:r>
      <w:r w:rsidRPr="00127BD4">
        <w:rPr>
          <w:spacing w:val="-3"/>
          <w:lang w:val="es-CO"/>
        </w:rPr>
        <w:t xml:space="preserve"> ejecutados con los grupos de interés.</w:t>
      </w:r>
    </w:p>
    <w:p w14:paraId="190F0B77" w14:textId="002E8F0A" w:rsidR="00CB0B9E" w:rsidRPr="004068F6" w:rsidRDefault="00CB0B9E" w:rsidP="00FC4B25">
      <w:pPr>
        <w:tabs>
          <w:tab w:val="left" w:pos="-2268"/>
        </w:tabs>
        <w:suppressAutoHyphens/>
        <w:rPr>
          <w:iCs/>
          <w:spacing w:val="-3"/>
        </w:rPr>
      </w:pPr>
    </w:p>
    <w:p w14:paraId="157CD407" w14:textId="2355AC22" w:rsidR="00776615" w:rsidRPr="00127BD4" w:rsidRDefault="00776615" w:rsidP="000D6E21">
      <w:pPr>
        <w:pStyle w:val="Prrafodelista"/>
        <w:numPr>
          <w:ilvl w:val="0"/>
          <w:numId w:val="5"/>
        </w:numPr>
        <w:tabs>
          <w:tab w:val="left" w:pos="-2268"/>
        </w:tabs>
        <w:suppressAutoHyphens/>
        <w:ind w:left="567" w:hanging="567"/>
        <w:rPr>
          <w:spacing w:val="-3"/>
          <w:lang w:val="es-CO"/>
        </w:rPr>
      </w:pPr>
      <w:r w:rsidRPr="004068F6">
        <w:rPr>
          <w:spacing w:val="-3"/>
          <w:lang w:val="es-CO"/>
        </w:rPr>
        <w:t xml:space="preserve">Información sobre </w:t>
      </w:r>
      <w:r w:rsidR="006A74A3" w:rsidRPr="004068F6">
        <w:rPr>
          <w:spacing w:val="-3"/>
          <w:lang w:val="es-CO"/>
        </w:rPr>
        <w:t xml:space="preserve">la </w:t>
      </w:r>
      <w:r w:rsidRPr="004068F6">
        <w:rPr>
          <w:spacing w:val="-3"/>
          <w:lang w:val="es-CO"/>
        </w:rPr>
        <w:t xml:space="preserve">biología de las especies </w:t>
      </w:r>
      <w:r w:rsidR="006A74A3" w:rsidRPr="004068F6">
        <w:rPr>
          <w:spacing w:val="-3"/>
          <w:lang w:val="es-CO"/>
        </w:rPr>
        <w:t xml:space="preserve">respecto de </w:t>
      </w:r>
      <w:r w:rsidRPr="004068F6">
        <w:rPr>
          <w:spacing w:val="-3"/>
          <w:lang w:val="es-CO"/>
        </w:rPr>
        <w:t>sus ciclos de vida y comportamientos sexuales.</w:t>
      </w:r>
    </w:p>
    <w:p w14:paraId="70DED0C1" w14:textId="77777777" w:rsidR="00776615" w:rsidRPr="004068F6" w:rsidRDefault="00776615" w:rsidP="00776615">
      <w:pPr>
        <w:tabs>
          <w:tab w:val="left" w:pos="-2268"/>
        </w:tabs>
        <w:suppressAutoHyphens/>
        <w:rPr>
          <w:iCs/>
          <w:spacing w:val="-3"/>
        </w:rPr>
      </w:pPr>
    </w:p>
    <w:p w14:paraId="2EFB6F81" w14:textId="62AF5FF1" w:rsidR="00776615" w:rsidRPr="004068F6" w:rsidRDefault="00776615" w:rsidP="000D6E21">
      <w:pPr>
        <w:numPr>
          <w:ilvl w:val="1"/>
          <w:numId w:val="40"/>
        </w:numPr>
        <w:tabs>
          <w:tab w:val="left" w:pos="-2268"/>
        </w:tabs>
        <w:suppressAutoHyphens/>
        <w:ind w:left="1134" w:hanging="567"/>
        <w:rPr>
          <w:iCs/>
          <w:spacing w:val="-3"/>
        </w:rPr>
      </w:pPr>
      <w:r w:rsidRPr="004068F6">
        <w:rPr>
          <w:iCs/>
          <w:spacing w:val="-3"/>
        </w:rPr>
        <w:t>Duración fases del ciclo de vida.</w:t>
      </w:r>
    </w:p>
    <w:p w14:paraId="64044F3F" w14:textId="77777777" w:rsidR="006A74A3" w:rsidRPr="004068F6" w:rsidRDefault="006A74A3" w:rsidP="007B763A">
      <w:pPr>
        <w:tabs>
          <w:tab w:val="left" w:pos="-2268"/>
        </w:tabs>
        <w:suppressAutoHyphens/>
        <w:rPr>
          <w:iCs/>
          <w:spacing w:val="-3"/>
        </w:rPr>
      </w:pPr>
    </w:p>
    <w:p w14:paraId="7EF17735" w14:textId="73C7700C" w:rsidR="00776615" w:rsidRPr="004068F6" w:rsidRDefault="00776615" w:rsidP="000D6E21">
      <w:pPr>
        <w:numPr>
          <w:ilvl w:val="1"/>
          <w:numId w:val="40"/>
        </w:numPr>
        <w:tabs>
          <w:tab w:val="left" w:pos="-2268"/>
        </w:tabs>
        <w:suppressAutoHyphens/>
        <w:ind w:left="1134" w:hanging="567"/>
        <w:rPr>
          <w:iCs/>
          <w:spacing w:val="-3"/>
        </w:rPr>
      </w:pPr>
      <w:r w:rsidRPr="004068F6">
        <w:rPr>
          <w:iCs/>
          <w:spacing w:val="-3"/>
        </w:rPr>
        <w:t>Longevidad adultos hembra y macho.</w:t>
      </w:r>
    </w:p>
    <w:p w14:paraId="2B6A8F22" w14:textId="77777777" w:rsidR="006A74A3" w:rsidRPr="004068F6" w:rsidRDefault="006A74A3" w:rsidP="000D6E21">
      <w:pPr>
        <w:tabs>
          <w:tab w:val="left" w:pos="-2268"/>
        </w:tabs>
        <w:suppressAutoHyphens/>
        <w:rPr>
          <w:iCs/>
          <w:spacing w:val="-3"/>
        </w:rPr>
      </w:pPr>
    </w:p>
    <w:p w14:paraId="10773A2C" w14:textId="27F6BF28" w:rsidR="00776615" w:rsidRPr="004068F6" w:rsidRDefault="00776615" w:rsidP="000D6E21">
      <w:pPr>
        <w:numPr>
          <w:ilvl w:val="1"/>
          <w:numId w:val="40"/>
        </w:numPr>
        <w:tabs>
          <w:tab w:val="left" w:pos="-2268"/>
        </w:tabs>
        <w:suppressAutoHyphens/>
        <w:ind w:left="1134" w:hanging="567"/>
        <w:rPr>
          <w:iCs/>
          <w:spacing w:val="-3"/>
        </w:rPr>
      </w:pPr>
      <w:r w:rsidRPr="004068F6">
        <w:rPr>
          <w:iCs/>
          <w:spacing w:val="-3"/>
        </w:rPr>
        <w:t>Proporción sexual</w:t>
      </w:r>
      <w:r w:rsidR="00264135" w:rsidRPr="004068F6">
        <w:rPr>
          <w:iCs/>
          <w:spacing w:val="-3"/>
        </w:rPr>
        <w:t xml:space="preserve"> establecida mediante </w:t>
      </w:r>
      <w:r w:rsidRPr="004068F6">
        <w:rPr>
          <w:iCs/>
          <w:spacing w:val="-3"/>
        </w:rPr>
        <w:t>un m</w:t>
      </w:r>
      <w:r w:rsidR="00264135" w:rsidRPr="004068F6">
        <w:rPr>
          <w:iCs/>
          <w:spacing w:val="-3"/>
        </w:rPr>
        <w:t xml:space="preserve">étodo </w:t>
      </w:r>
      <w:r w:rsidRPr="004068F6">
        <w:rPr>
          <w:iCs/>
          <w:spacing w:val="-3"/>
        </w:rPr>
        <w:t>de sexaje adecuad</w:t>
      </w:r>
      <w:r w:rsidR="00264135" w:rsidRPr="004068F6">
        <w:rPr>
          <w:iCs/>
          <w:spacing w:val="-3"/>
        </w:rPr>
        <w:t>o</w:t>
      </w:r>
      <w:r w:rsidR="006A74A3" w:rsidRPr="004068F6">
        <w:rPr>
          <w:iCs/>
          <w:spacing w:val="-3"/>
        </w:rPr>
        <w:t xml:space="preserve"> y</w:t>
      </w:r>
      <w:r w:rsidRPr="004068F6">
        <w:rPr>
          <w:iCs/>
          <w:spacing w:val="-3"/>
        </w:rPr>
        <w:t xml:space="preserve"> considerando que en algunas especies no hay dimorfismo sexual.</w:t>
      </w:r>
    </w:p>
    <w:p w14:paraId="1B08EC97" w14:textId="340C5591" w:rsidR="006A74A3" w:rsidRPr="004068F6" w:rsidRDefault="006A74A3" w:rsidP="000D6E21">
      <w:pPr>
        <w:tabs>
          <w:tab w:val="left" w:pos="-2268"/>
        </w:tabs>
        <w:suppressAutoHyphens/>
        <w:rPr>
          <w:iCs/>
          <w:spacing w:val="-3"/>
        </w:rPr>
      </w:pPr>
    </w:p>
    <w:p w14:paraId="48FF5EA9" w14:textId="5D65876B" w:rsidR="00776615" w:rsidRPr="004068F6" w:rsidRDefault="00776615" w:rsidP="000D6E21">
      <w:pPr>
        <w:numPr>
          <w:ilvl w:val="1"/>
          <w:numId w:val="40"/>
        </w:numPr>
        <w:tabs>
          <w:tab w:val="left" w:pos="-2268"/>
        </w:tabs>
        <w:suppressAutoHyphens/>
        <w:ind w:left="1134" w:hanging="567"/>
        <w:rPr>
          <w:iCs/>
          <w:spacing w:val="-3"/>
        </w:rPr>
      </w:pPr>
      <w:r w:rsidRPr="004068F6">
        <w:rPr>
          <w:iCs/>
          <w:spacing w:val="-3"/>
        </w:rPr>
        <w:t>Fecundidad media de las hembras.</w:t>
      </w:r>
    </w:p>
    <w:p w14:paraId="36DD977B" w14:textId="77777777" w:rsidR="006A74A3" w:rsidRPr="004068F6" w:rsidRDefault="006A74A3" w:rsidP="000D6E21">
      <w:pPr>
        <w:tabs>
          <w:tab w:val="left" w:pos="-2268"/>
        </w:tabs>
        <w:suppressAutoHyphens/>
        <w:rPr>
          <w:iCs/>
          <w:spacing w:val="-3"/>
        </w:rPr>
      </w:pPr>
    </w:p>
    <w:p w14:paraId="07DF4779" w14:textId="1AA13E3E" w:rsidR="00776615" w:rsidRPr="004068F6" w:rsidRDefault="00776615" w:rsidP="000D6E21">
      <w:pPr>
        <w:numPr>
          <w:ilvl w:val="1"/>
          <w:numId w:val="40"/>
        </w:numPr>
        <w:tabs>
          <w:tab w:val="left" w:pos="-2268"/>
        </w:tabs>
        <w:suppressAutoHyphens/>
        <w:ind w:left="1134" w:hanging="567"/>
        <w:rPr>
          <w:iCs/>
          <w:spacing w:val="-3"/>
        </w:rPr>
      </w:pPr>
      <w:r w:rsidRPr="004068F6">
        <w:rPr>
          <w:iCs/>
          <w:spacing w:val="-3"/>
        </w:rPr>
        <w:t>Comportamiento reproductivo de los adultos.</w:t>
      </w:r>
    </w:p>
    <w:p w14:paraId="27E178B5" w14:textId="77777777" w:rsidR="006A74A3" w:rsidRPr="004068F6" w:rsidRDefault="006A74A3" w:rsidP="000D6E21">
      <w:pPr>
        <w:tabs>
          <w:tab w:val="left" w:pos="-2268"/>
        </w:tabs>
        <w:suppressAutoHyphens/>
        <w:rPr>
          <w:iCs/>
          <w:spacing w:val="-3"/>
        </w:rPr>
      </w:pPr>
    </w:p>
    <w:p w14:paraId="1BC5AAC7" w14:textId="7F4C2983" w:rsidR="00776615" w:rsidRPr="004068F6" w:rsidRDefault="00776615" w:rsidP="000D6E21">
      <w:pPr>
        <w:numPr>
          <w:ilvl w:val="1"/>
          <w:numId w:val="40"/>
        </w:numPr>
        <w:tabs>
          <w:tab w:val="left" w:pos="-2268"/>
        </w:tabs>
        <w:suppressAutoHyphens/>
        <w:ind w:left="1134" w:hanging="567"/>
        <w:rPr>
          <w:iCs/>
          <w:spacing w:val="-3"/>
        </w:rPr>
      </w:pPr>
      <w:r w:rsidRPr="004068F6">
        <w:rPr>
          <w:iCs/>
          <w:spacing w:val="-3"/>
        </w:rPr>
        <w:t>Conducta sexual (monogamia, poligamia).</w:t>
      </w:r>
    </w:p>
    <w:p w14:paraId="55D4B7B3" w14:textId="77777777" w:rsidR="006A74A3" w:rsidRPr="004068F6" w:rsidRDefault="006A74A3" w:rsidP="000D6E21">
      <w:pPr>
        <w:tabs>
          <w:tab w:val="left" w:pos="-2268"/>
        </w:tabs>
        <w:suppressAutoHyphens/>
        <w:rPr>
          <w:iCs/>
          <w:spacing w:val="-3"/>
        </w:rPr>
      </w:pPr>
    </w:p>
    <w:p w14:paraId="33C7DBA5" w14:textId="4A3E4AFA" w:rsidR="00484EE2" w:rsidRPr="004068F6" w:rsidRDefault="00484EE2" w:rsidP="007B763A">
      <w:pPr>
        <w:numPr>
          <w:ilvl w:val="1"/>
          <w:numId w:val="40"/>
        </w:numPr>
        <w:tabs>
          <w:tab w:val="left" w:pos="-2268"/>
        </w:tabs>
        <w:suppressAutoHyphens/>
        <w:ind w:left="1134" w:hanging="567"/>
        <w:rPr>
          <w:iCs/>
          <w:spacing w:val="-3"/>
        </w:rPr>
      </w:pPr>
      <w:r w:rsidRPr="004068F6">
        <w:rPr>
          <w:iCs/>
          <w:spacing w:val="-3"/>
        </w:rPr>
        <w:t>Cantidad de parejas establecidas</w:t>
      </w:r>
    </w:p>
    <w:p w14:paraId="15421346" w14:textId="77777777" w:rsidR="00484EE2" w:rsidRPr="004068F6" w:rsidRDefault="00484EE2" w:rsidP="000D6E21">
      <w:pPr>
        <w:rPr>
          <w:iCs/>
          <w:spacing w:val="-3"/>
        </w:rPr>
      </w:pPr>
    </w:p>
    <w:p w14:paraId="09354227" w14:textId="058754AB" w:rsidR="00776615" w:rsidRPr="004068F6" w:rsidRDefault="00776615" w:rsidP="000D6E21">
      <w:pPr>
        <w:numPr>
          <w:ilvl w:val="1"/>
          <w:numId w:val="40"/>
        </w:numPr>
        <w:tabs>
          <w:tab w:val="left" w:pos="-2268"/>
        </w:tabs>
        <w:suppressAutoHyphens/>
        <w:ind w:left="1134" w:hanging="567"/>
        <w:rPr>
          <w:iCs/>
          <w:spacing w:val="-3"/>
        </w:rPr>
      </w:pPr>
      <w:r w:rsidRPr="004068F6">
        <w:rPr>
          <w:iCs/>
          <w:spacing w:val="-3"/>
        </w:rPr>
        <w:t>Patologías reproductivas</w:t>
      </w:r>
      <w:r w:rsidR="00484EE2" w:rsidRPr="004068F6">
        <w:rPr>
          <w:iCs/>
          <w:spacing w:val="-3"/>
        </w:rPr>
        <w:t>.</w:t>
      </w:r>
    </w:p>
    <w:p w14:paraId="7E5A6E83" w14:textId="7B69945A" w:rsidR="00CB0B9E" w:rsidRPr="004068F6" w:rsidRDefault="00CB0B9E" w:rsidP="007B763A">
      <w:pPr>
        <w:tabs>
          <w:tab w:val="left" w:pos="-2268"/>
        </w:tabs>
        <w:suppressAutoHyphens/>
        <w:rPr>
          <w:spacing w:val="-3"/>
        </w:rPr>
      </w:pPr>
    </w:p>
    <w:p w14:paraId="2F19028C" w14:textId="4CE069CD" w:rsidR="00873056" w:rsidRPr="00127BD4" w:rsidRDefault="00873056" w:rsidP="000D6E21">
      <w:pPr>
        <w:pStyle w:val="Prrafodelista"/>
        <w:numPr>
          <w:ilvl w:val="0"/>
          <w:numId w:val="5"/>
        </w:numPr>
        <w:tabs>
          <w:tab w:val="left" w:pos="-2268"/>
        </w:tabs>
        <w:suppressAutoHyphens/>
        <w:ind w:left="567" w:hanging="567"/>
        <w:rPr>
          <w:spacing w:val="-3"/>
          <w:lang w:val="es-CO"/>
        </w:rPr>
      </w:pPr>
      <w:r w:rsidRPr="004068F6">
        <w:rPr>
          <w:spacing w:val="-3"/>
          <w:lang w:val="es-CO"/>
        </w:rPr>
        <w:t xml:space="preserve">Información sobre </w:t>
      </w:r>
      <w:r w:rsidR="004D352C" w:rsidRPr="004068F6">
        <w:rPr>
          <w:spacing w:val="-3"/>
          <w:lang w:val="es-CO"/>
        </w:rPr>
        <w:t xml:space="preserve">la </w:t>
      </w:r>
      <w:r w:rsidRPr="004068F6">
        <w:rPr>
          <w:spacing w:val="-3"/>
          <w:lang w:val="es-CO"/>
        </w:rPr>
        <w:t>biología de la</w:t>
      </w:r>
      <w:r w:rsidR="004D352C" w:rsidRPr="004068F6">
        <w:rPr>
          <w:spacing w:val="-3"/>
          <w:lang w:val="es-CO"/>
        </w:rPr>
        <w:t>s</w:t>
      </w:r>
      <w:r w:rsidRPr="004068F6">
        <w:rPr>
          <w:spacing w:val="-3"/>
          <w:lang w:val="es-CO"/>
        </w:rPr>
        <w:t xml:space="preserve"> especie</w:t>
      </w:r>
      <w:r w:rsidR="004D352C" w:rsidRPr="004068F6">
        <w:rPr>
          <w:spacing w:val="-3"/>
          <w:lang w:val="es-CO"/>
        </w:rPr>
        <w:t>s</w:t>
      </w:r>
      <w:r w:rsidRPr="004068F6">
        <w:rPr>
          <w:spacing w:val="-3"/>
          <w:lang w:val="es-CO"/>
        </w:rPr>
        <w:t xml:space="preserve"> </w:t>
      </w:r>
      <w:r w:rsidR="004D352C" w:rsidRPr="004068F6">
        <w:rPr>
          <w:spacing w:val="-3"/>
          <w:lang w:val="es-CO"/>
        </w:rPr>
        <w:t xml:space="preserve">respecto de su </w:t>
      </w:r>
      <w:r w:rsidRPr="004068F6">
        <w:rPr>
          <w:spacing w:val="-3"/>
          <w:lang w:val="es-CO"/>
        </w:rPr>
        <w:t>dinámica poblacional</w:t>
      </w:r>
      <w:r w:rsidR="004D352C" w:rsidRPr="004068F6">
        <w:rPr>
          <w:spacing w:val="-3"/>
          <w:lang w:val="es-CO"/>
        </w:rPr>
        <w:t xml:space="preserve">, </w:t>
      </w:r>
      <w:r w:rsidR="00264135" w:rsidRPr="004068F6">
        <w:rPr>
          <w:spacing w:val="-3"/>
          <w:lang w:val="es-CO"/>
        </w:rPr>
        <w:t xml:space="preserve">estimando </w:t>
      </w:r>
      <w:r w:rsidR="004D352C" w:rsidRPr="004068F6">
        <w:rPr>
          <w:spacing w:val="-3"/>
          <w:lang w:val="es-CO"/>
        </w:rPr>
        <w:t>como mínimo</w:t>
      </w:r>
      <w:r w:rsidR="00573ED0" w:rsidRPr="004068F6">
        <w:rPr>
          <w:spacing w:val="-3"/>
          <w:lang w:val="es-CO"/>
        </w:rPr>
        <w:t xml:space="preserve"> lo siguiente:</w:t>
      </w:r>
    </w:p>
    <w:p w14:paraId="6D838E2C" w14:textId="77777777" w:rsidR="00873056" w:rsidRPr="004068F6" w:rsidRDefault="00873056" w:rsidP="00873056">
      <w:pPr>
        <w:tabs>
          <w:tab w:val="left" w:pos="-2268"/>
        </w:tabs>
        <w:suppressAutoHyphens/>
        <w:rPr>
          <w:iCs/>
          <w:spacing w:val="-3"/>
        </w:rPr>
      </w:pPr>
    </w:p>
    <w:p w14:paraId="6AF21B9A" w14:textId="7E232DE6" w:rsidR="00873056" w:rsidRPr="004068F6" w:rsidRDefault="00B1738D" w:rsidP="000D6E21">
      <w:pPr>
        <w:numPr>
          <w:ilvl w:val="1"/>
          <w:numId w:val="40"/>
        </w:numPr>
        <w:tabs>
          <w:tab w:val="left" w:pos="-2268"/>
        </w:tabs>
        <w:suppressAutoHyphens/>
        <w:ind w:left="1134" w:hanging="567"/>
        <w:rPr>
          <w:iCs/>
          <w:spacing w:val="-3"/>
        </w:rPr>
      </w:pPr>
      <w:r w:rsidRPr="004068F6">
        <w:rPr>
          <w:iCs/>
          <w:spacing w:val="-3"/>
        </w:rPr>
        <w:t>P</w:t>
      </w:r>
      <w:r w:rsidR="00873056" w:rsidRPr="004068F6">
        <w:rPr>
          <w:iCs/>
          <w:spacing w:val="-3"/>
        </w:rPr>
        <w:t>arámetros demográficos de densidad poblacional.</w:t>
      </w:r>
    </w:p>
    <w:p w14:paraId="7F6734C2" w14:textId="77777777" w:rsidR="001142BE" w:rsidRPr="004068F6" w:rsidRDefault="001142BE" w:rsidP="00573ED0">
      <w:pPr>
        <w:tabs>
          <w:tab w:val="left" w:pos="-2268"/>
        </w:tabs>
        <w:suppressAutoHyphens/>
        <w:rPr>
          <w:iCs/>
          <w:spacing w:val="-3"/>
        </w:rPr>
      </w:pPr>
    </w:p>
    <w:p w14:paraId="6519D941" w14:textId="486CBADE" w:rsidR="00873056" w:rsidRPr="004068F6" w:rsidRDefault="00873056" w:rsidP="000D6E21">
      <w:pPr>
        <w:numPr>
          <w:ilvl w:val="1"/>
          <w:numId w:val="40"/>
        </w:numPr>
        <w:tabs>
          <w:tab w:val="left" w:pos="-2268"/>
        </w:tabs>
        <w:suppressAutoHyphens/>
        <w:ind w:left="1134" w:hanging="567"/>
        <w:rPr>
          <w:iCs/>
          <w:spacing w:val="-3"/>
        </w:rPr>
      </w:pPr>
      <w:r w:rsidRPr="004068F6">
        <w:rPr>
          <w:iCs/>
          <w:spacing w:val="-3"/>
        </w:rPr>
        <w:t>Tasa de natalidad (porcentaje de éxito de eclosión de neonatos).</w:t>
      </w:r>
    </w:p>
    <w:p w14:paraId="31BBCB66" w14:textId="77777777" w:rsidR="001142BE" w:rsidRPr="004068F6" w:rsidRDefault="001142BE" w:rsidP="000D6E21">
      <w:pPr>
        <w:tabs>
          <w:tab w:val="left" w:pos="-2268"/>
        </w:tabs>
        <w:suppressAutoHyphens/>
        <w:rPr>
          <w:iCs/>
          <w:spacing w:val="-3"/>
        </w:rPr>
      </w:pPr>
    </w:p>
    <w:p w14:paraId="2BB08BA0" w14:textId="0EF6EBAB" w:rsidR="00873056" w:rsidRPr="004068F6" w:rsidRDefault="00873056" w:rsidP="000D6E21">
      <w:pPr>
        <w:numPr>
          <w:ilvl w:val="1"/>
          <w:numId w:val="40"/>
        </w:numPr>
        <w:tabs>
          <w:tab w:val="left" w:pos="-2268"/>
        </w:tabs>
        <w:suppressAutoHyphens/>
        <w:ind w:left="1134" w:hanging="567"/>
        <w:rPr>
          <w:iCs/>
          <w:spacing w:val="-3"/>
        </w:rPr>
      </w:pPr>
      <w:r w:rsidRPr="004068F6">
        <w:rPr>
          <w:iCs/>
          <w:spacing w:val="-3"/>
        </w:rPr>
        <w:t>Tasa de mortalidad.</w:t>
      </w:r>
    </w:p>
    <w:p w14:paraId="6E584A20" w14:textId="77777777" w:rsidR="001142BE" w:rsidRPr="004068F6" w:rsidRDefault="001142BE" w:rsidP="000D6E21">
      <w:pPr>
        <w:tabs>
          <w:tab w:val="left" w:pos="-2268"/>
        </w:tabs>
        <w:suppressAutoHyphens/>
        <w:rPr>
          <w:iCs/>
          <w:spacing w:val="-3"/>
        </w:rPr>
      </w:pPr>
    </w:p>
    <w:p w14:paraId="2EE93A04" w14:textId="293EEEB4" w:rsidR="00873056" w:rsidRPr="004068F6" w:rsidRDefault="00873056" w:rsidP="000D6E21">
      <w:pPr>
        <w:numPr>
          <w:ilvl w:val="1"/>
          <w:numId w:val="40"/>
        </w:numPr>
        <w:tabs>
          <w:tab w:val="left" w:pos="-2268"/>
        </w:tabs>
        <w:suppressAutoHyphens/>
        <w:ind w:left="1134" w:hanging="567"/>
        <w:rPr>
          <w:iCs/>
          <w:spacing w:val="-3"/>
        </w:rPr>
      </w:pPr>
      <w:r w:rsidRPr="004068F6">
        <w:rPr>
          <w:iCs/>
          <w:spacing w:val="-3"/>
        </w:rPr>
        <w:t>Tasa de inmigración.</w:t>
      </w:r>
    </w:p>
    <w:p w14:paraId="55E280A0" w14:textId="77777777" w:rsidR="001142BE" w:rsidRPr="004068F6" w:rsidRDefault="001142BE" w:rsidP="000D6E21">
      <w:pPr>
        <w:tabs>
          <w:tab w:val="left" w:pos="-2268"/>
        </w:tabs>
        <w:suppressAutoHyphens/>
        <w:rPr>
          <w:iCs/>
          <w:spacing w:val="-3"/>
        </w:rPr>
      </w:pPr>
    </w:p>
    <w:p w14:paraId="44636A78" w14:textId="3FEF2EC8" w:rsidR="00873056" w:rsidRPr="004068F6" w:rsidRDefault="00873056" w:rsidP="000D6E21">
      <w:pPr>
        <w:numPr>
          <w:ilvl w:val="1"/>
          <w:numId w:val="40"/>
        </w:numPr>
        <w:tabs>
          <w:tab w:val="left" w:pos="-2268"/>
        </w:tabs>
        <w:suppressAutoHyphens/>
        <w:ind w:left="1134" w:hanging="567"/>
        <w:rPr>
          <w:iCs/>
          <w:spacing w:val="-3"/>
        </w:rPr>
      </w:pPr>
      <w:r w:rsidRPr="004068F6">
        <w:rPr>
          <w:iCs/>
          <w:spacing w:val="-3"/>
        </w:rPr>
        <w:t>Tasa de emigración.</w:t>
      </w:r>
    </w:p>
    <w:p w14:paraId="5839C2CE" w14:textId="77777777" w:rsidR="001142BE" w:rsidRPr="004068F6" w:rsidRDefault="001142BE" w:rsidP="000D6E21">
      <w:pPr>
        <w:tabs>
          <w:tab w:val="left" w:pos="-2268"/>
        </w:tabs>
        <w:suppressAutoHyphens/>
        <w:rPr>
          <w:iCs/>
          <w:spacing w:val="-3"/>
        </w:rPr>
      </w:pPr>
    </w:p>
    <w:p w14:paraId="34F84E38" w14:textId="7FAE2E79" w:rsidR="00873056" w:rsidRPr="004068F6" w:rsidRDefault="00873056" w:rsidP="000D6E21">
      <w:pPr>
        <w:numPr>
          <w:ilvl w:val="1"/>
          <w:numId w:val="40"/>
        </w:numPr>
        <w:tabs>
          <w:tab w:val="left" w:pos="-2268"/>
        </w:tabs>
        <w:suppressAutoHyphens/>
        <w:ind w:left="1134" w:hanging="567"/>
        <w:rPr>
          <w:iCs/>
          <w:spacing w:val="-3"/>
        </w:rPr>
      </w:pPr>
      <w:r w:rsidRPr="004068F6">
        <w:rPr>
          <w:iCs/>
          <w:spacing w:val="-3"/>
        </w:rPr>
        <w:t>Tasa intrínseca de crecimiento poblacional.</w:t>
      </w:r>
    </w:p>
    <w:p w14:paraId="4EC0A55B" w14:textId="77777777" w:rsidR="001142BE" w:rsidRPr="004068F6" w:rsidRDefault="001142BE" w:rsidP="000D6E21">
      <w:pPr>
        <w:tabs>
          <w:tab w:val="left" w:pos="-2268"/>
        </w:tabs>
        <w:suppressAutoHyphens/>
        <w:rPr>
          <w:iCs/>
          <w:spacing w:val="-3"/>
        </w:rPr>
      </w:pPr>
    </w:p>
    <w:p w14:paraId="34DD7EE7" w14:textId="04305F32" w:rsidR="00873056" w:rsidRPr="004068F6" w:rsidRDefault="00873056" w:rsidP="000D6E21">
      <w:pPr>
        <w:numPr>
          <w:ilvl w:val="1"/>
          <w:numId w:val="40"/>
        </w:numPr>
        <w:tabs>
          <w:tab w:val="left" w:pos="-2268"/>
        </w:tabs>
        <w:suppressAutoHyphens/>
        <w:ind w:left="1134" w:hanging="567"/>
        <w:rPr>
          <w:iCs/>
          <w:spacing w:val="-3"/>
        </w:rPr>
      </w:pPr>
      <w:r w:rsidRPr="004068F6">
        <w:rPr>
          <w:iCs/>
          <w:spacing w:val="-3"/>
        </w:rPr>
        <w:t>Tasa neta de recambio de la población.</w:t>
      </w:r>
    </w:p>
    <w:p w14:paraId="21B6AC1B" w14:textId="77777777" w:rsidR="001142BE" w:rsidRPr="004068F6" w:rsidRDefault="001142BE" w:rsidP="000D6E21">
      <w:pPr>
        <w:tabs>
          <w:tab w:val="left" w:pos="-2268"/>
        </w:tabs>
        <w:suppressAutoHyphens/>
        <w:rPr>
          <w:iCs/>
          <w:spacing w:val="-3"/>
        </w:rPr>
      </w:pPr>
    </w:p>
    <w:p w14:paraId="18420CA6" w14:textId="73E7E12F" w:rsidR="00873056" w:rsidRPr="004068F6" w:rsidRDefault="00873056" w:rsidP="000D6E21">
      <w:pPr>
        <w:numPr>
          <w:ilvl w:val="1"/>
          <w:numId w:val="40"/>
        </w:numPr>
        <w:tabs>
          <w:tab w:val="left" w:pos="-2268"/>
        </w:tabs>
        <w:suppressAutoHyphens/>
        <w:ind w:left="1134" w:hanging="567"/>
        <w:rPr>
          <w:iCs/>
          <w:spacing w:val="-3"/>
        </w:rPr>
      </w:pPr>
      <w:r w:rsidRPr="004068F6">
        <w:rPr>
          <w:iCs/>
          <w:spacing w:val="-3"/>
        </w:rPr>
        <w:t>Tiempo generacional.</w:t>
      </w:r>
    </w:p>
    <w:p w14:paraId="443D3263" w14:textId="77777777" w:rsidR="00873056" w:rsidRPr="004068F6" w:rsidRDefault="00873056" w:rsidP="00FC4B25">
      <w:pPr>
        <w:tabs>
          <w:tab w:val="left" w:pos="-2268"/>
        </w:tabs>
        <w:suppressAutoHyphens/>
        <w:rPr>
          <w:iCs/>
          <w:spacing w:val="-3"/>
        </w:rPr>
      </w:pPr>
    </w:p>
    <w:p w14:paraId="6A7FC41C" w14:textId="2F3E0970" w:rsidR="00720D42" w:rsidRPr="00127BD4" w:rsidRDefault="00720D42" w:rsidP="000D6E21">
      <w:pPr>
        <w:pStyle w:val="Prrafodelista"/>
        <w:numPr>
          <w:ilvl w:val="0"/>
          <w:numId w:val="5"/>
        </w:numPr>
        <w:tabs>
          <w:tab w:val="left" w:pos="-2268"/>
        </w:tabs>
        <w:suppressAutoHyphens/>
        <w:ind w:left="567" w:hanging="567"/>
        <w:rPr>
          <w:spacing w:val="-3"/>
          <w:lang w:val="es-CO"/>
        </w:rPr>
      </w:pPr>
      <w:r w:rsidRPr="004068F6">
        <w:rPr>
          <w:spacing w:val="-3"/>
          <w:lang w:val="es-CO"/>
        </w:rPr>
        <w:t>Información sobre la biología de las especies respecto de su estructura poblacional.</w:t>
      </w:r>
    </w:p>
    <w:p w14:paraId="4293579D" w14:textId="77777777" w:rsidR="00720D42" w:rsidRPr="004068F6" w:rsidRDefault="00720D42" w:rsidP="00720D42">
      <w:pPr>
        <w:tabs>
          <w:tab w:val="left" w:pos="-2268"/>
        </w:tabs>
        <w:suppressAutoHyphens/>
        <w:rPr>
          <w:iCs/>
          <w:spacing w:val="-3"/>
        </w:rPr>
      </w:pPr>
    </w:p>
    <w:p w14:paraId="2994FC07" w14:textId="4E734C3B" w:rsidR="00720D42" w:rsidRPr="004068F6" w:rsidRDefault="00720D42" w:rsidP="000D6E21">
      <w:pPr>
        <w:numPr>
          <w:ilvl w:val="1"/>
          <w:numId w:val="40"/>
        </w:numPr>
        <w:tabs>
          <w:tab w:val="left" w:pos="-2268"/>
        </w:tabs>
        <w:suppressAutoHyphens/>
        <w:ind w:left="1134" w:hanging="567"/>
        <w:rPr>
          <w:iCs/>
          <w:spacing w:val="-3"/>
        </w:rPr>
      </w:pPr>
      <w:r w:rsidRPr="004068F6">
        <w:rPr>
          <w:iCs/>
          <w:spacing w:val="-3"/>
        </w:rPr>
        <w:t>Tamaño meta</w:t>
      </w:r>
      <w:r w:rsidR="00B30D53" w:rsidRPr="004068F6">
        <w:rPr>
          <w:iCs/>
          <w:spacing w:val="-3"/>
        </w:rPr>
        <w:t>-</w:t>
      </w:r>
      <w:r w:rsidRPr="004068F6">
        <w:rPr>
          <w:iCs/>
          <w:spacing w:val="-3"/>
        </w:rPr>
        <w:t xml:space="preserve">poblacional, distribución de área, uniformidad o agrupación, hábitats de encuentro de los ejemplares (estableciendo el patrón de distribución, </w:t>
      </w:r>
      <w:r w:rsidRPr="004068F6">
        <w:rPr>
          <w:iCs/>
          <w:spacing w:val="-3"/>
        </w:rPr>
        <w:lastRenderedPageBreak/>
        <w:t xml:space="preserve">ya sea aleatorio, agregado o uniforme). </w:t>
      </w:r>
      <w:r w:rsidR="00B30D53" w:rsidRPr="004068F6">
        <w:rPr>
          <w:iCs/>
          <w:spacing w:val="-3"/>
        </w:rPr>
        <w:t xml:space="preserve">Se debe realizar un análisis </w:t>
      </w:r>
      <w:r w:rsidR="006653B9" w:rsidRPr="004068F6">
        <w:rPr>
          <w:iCs/>
          <w:spacing w:val="-3"/>
        </w:rPr>
        <w:t>a partir de los valores que tome cada una de las variables.</w:t>
      </w:r>
    </w:p>
    <w:p w14:paraId="1F823A8F" w14:textId="77777777" w:rsidR="00720D42" w:rsidRPr="004068F6" w:rsidRDefault="00720D42" w:rsidP="000D6E21">
      <w:pPr>
        <w:tabs>
          <w:tab w:val="left" w:pos="-2268"/>
        </w:tabs>
        <w:suppressAutoHyphens/>
        <w:rPr>
          <w:iCs/>
          <w:spacing w:val="-3"/>
        </w:rPr>
      </w:pPr>
    </w:p>
    <w:p w14:paraId="539551CA" w14:textId="5C50B6D0" w:rsidR="00720D42" w:rsidRPr="004068F6" w:rsidRDefault="00720D42" w:rsidP="000D6E21">
      <w:pPr>
        <w:numPr>
          <w:ilvl w:val="1"/>
          <w:numId w:val="40"/>
        </w:numPr>
        <w:tabs>
          <w:tab w:val="left" w:pos="-2268"/>
        </w:tabs>
        <w:suppressAutoHyphens/>
        <w:ind w:left="1134" w:hanging="567"/>
        <w:rPr>
          <w:iCs/>
          <w:spacing w:val="-3"/>
        </w:rPr>
      </w:pPr>
      <w:r w:rsidRPr="004068F6">
        <w:rPr>
          <w:iCs/>
          <w:spacing w:val="-3"/>
        </w:rPr>
        <w:t>Abundancia absoluta y relativa.</w:t>
      </w:r>
    </w:p>
    <w:p w14:paraId="35CCC551" w14:textId="77777777" w:rsidR="00720D42" w:rsidRPr="004068F6" w:rsidRDefault="00720D42" w:rsidP="000D6E21">
      <w:pPr>
        <w:tabs>
          <w:tab w:val="left" w:pos="-2268"/>
        </w:tabs>
        <w:suppressAutoHyphens/>
        <w:rPr>
          <w:iCs/>
          <w:spacing w:val="-3"/>
        </w:rPr>
      </w:pPr>
    </w:p>
    <w:p w14:paraId="226F8388" w14:textId="7380F891" w:rsidR="00720D42" w:rsidRPr="004068F6" w:rsidRDefault="00720D42" w:rsidP="000D6E21">
      <w:pPr>
        <w:numPr>
          <w:ilvl w:val="1"/>
          <w:numId w:val="40"/>
        </w:numPr>
        <w:tabs>
          <w:tab w:val="left" w:pos="-2268"/>
        </w:tabs>
        <w:suppressAutoHyphens/>
        <w:ind w:left="1134" w:hanging="567"/>
        <w:rPr>
          <w:iCs/>
          <w:spacing w:val="-3"/>
        </w:rPr>
      </w:pPr>
      <w:r w:rsidRPr="004068F6">
        <w:rPr>
          <w:iCs/>
          <w:spacing w:val="-3"/>
        </w:rPr>
        <w:t>Estructura de edades de la población.</w:t>
      </w:r>
    </w:p>
    <w:p w14:paraId="51F484F7" w14:textId="77777777" w:rsidR="00720D42" w:rsidRPr="004068F6" w:rsidRDefault="00720D42" w:rsidP="000D6E21">
      <w:pPr>
        <w:tabs>
          <w:tab w:val="left" w:pos="-2268"/>
        </w:tabs>
        <w:suppressAutoHyphens/>
        <w:rPr>
          <w:iCs/>
          <w:spacing w:val="-3"/>
        </w:rPr>
      </w:pPr>
    </w:p>
    <w:p w14:paraId="2B15C762" w14:textId="02613BCA" w:rsidR="00720D42" w:rsidRPr="004068F6" w:rsidRDefault="00720D42" w:rsidP="000D6E21">
      <w:pPr>
        <w:numPr>
          <w:ilvl w:val="1"/>
          <w:numId w:val="40"/>
        </w:numPr>
        <w:tabs>
          <w:tab w:val="left" w:pos="-2268"/>
        </w:tabs>
        <w:suppressAutoHyphens/>
        <w:ind w:left="1134" w:hanging="567"/>
        <w:rPr>
          <w:iCs/>
          <w:spacing w:val="-3"/>
        </w:rPr>
      </w:pPr>
      <w:r w:rsidRPr="004068F6">
        <w:rPr>
          <w:iCs/>
          <w:spacing w:val="-3"/>
        </w:rPr>
        <w:t xml:space="preserve">Cantidad de posturas, nidadas, huevos, inmaduros, </w:t>
      </w:r>
      <w:r w:rsidR="0051059C" w:rsidRPr="004068F6">
        <w:rPr>
          <w:iCs/>
          <w:spacing w:val="-3"/>
        </w:rPr>
        <w:t>entre otras variables</w:t>
      </w:r>
      <w:r w:rsidRPr="004068F6">
        <w:rPr>
          <w:iCs/>
          <w:spacing w:val="-3"/>
        </w:rPr>
        <w:t>, según el grupo de interés de que se trate.</w:t>
      </w:r>
    </w:p>
    <w:p w14:paraId="257921DD" w14:textId="77777777" w:rsidR="00720D42" w:rsidRPr="004068F6" w:rsidRDefault="00720D42" w:rsidP="000D6E21">
      <w:pPr>
        <w:tabs>
          <w:tab w:val="left" w:pos="-2268"/>
        </w:tabs>
        <w:suppressAutoHyphens/>
        <w:rPr>
          <w:iCs/>
          <w:spacing w:val="-3"/>
        </w:rPr>
      </w:pPr>
    </w:p>
    <w:p w14:paraId="0DF35DAB" w14:textId="0C07E216" w:rsidR="00720D42" w:rsidRPr="004068F6" w:rsidRDefault="00720D42" w:rsidP="000D6E21">
      <w:pPr>
        <w:numPr>
          <w:ilvl w:val="1"/>
          <w:numId w:val="40"/>
        </w:numPr>
        <w:tabs>
          <w:tab w:val="left" w:pos="-2268"/>
        </w:tabs>
        <w:suppressAutoHyphens/>
        <w:ind w:left="1134" w:hanging="567"/>
        <w:rPr>
          <w:iCs/>
          <w:spacing w:val="-3"/>
        </w:rPr>
      </w:pPr>
      <w:r w:rsidRPr="004068F6">
        <w:rPr>
          <w:iCs/>
          <w:spacing w:val="-3"/>
        </w:rPr>
        <w:t>Sobrevivencia por categorías de edades.</w:t>
      </w:r>
    </w:p>
    <w:p w14:paraId="2916A2AA" w14:textId="77777777" w:rsidR="00720D42" w:rsidRPr="004068F6" w:rsidRDefault="00720D42" w:rsidP="00FC4B25">
      <w:pPr>
        <w:tabs>
          <w:tab w:val="left" w:pos="-2268"/>
        </w:tabs>
        <w:suppressAutoHyphens/>
        <w:rPr>
          <w:iCs/>
          <w:spacing w:val="-3"/>
        </w:rPr>
      </w:pPr>
    </w:p>
    <w:p w14:paraId="196A44D5" w14:textId="142EB2E1" w:rsidR="002B3AE7" w:rsidRPr="00127BD4" w:rsidRDefault="002B3AE7" w:rsidP="000D6E21">
      <w:pPr>
        <w:pStyle w:val="Prrafodelista"/>
        <w:numPr>
          <w:ilvl w:val="0"/>
          <w:numId w:val="5"/>
        </w:numPr>
        <w:tabs>
          <w:tab w:val="left" w:pos="-2268"/>
        </w:tabs>
        <w:suppressAutoHyphens/>
        <w:ind w:left="567" w:hanging="567"/>
        <w:rPr>
          <w:spacing w:val="-3"/>
          <w:lang w:val="es-CO"/>
        </w:rPr>
      </w:pPr>
      <w:r w:rsidRPr="004068F6">
        <w:rPr>
          <w:spacing w:val="-3"/>
          <w:lang w:val="es-CO"/>
        </w:rPr>
        <w:t xml:space="preserve">Determinación de la capacidad de las poblaciones y </w:t>
      </w:r>
      <w:r w:rsidR="006D0E6A" w:rsidRPr="004068F6">
        <w:rPr>
          <w:spacing w:val="-3"/>
          <w:lang w:val="es-CO"/>
        </w:rPr>
        <w:t xml:space="preserve">de </w:t>
      </w:r>
      <w:r w:rsidRPr="004068F6">
        <w:rPr>
          <w:spacing w:val="-3"/>
          <w:lang w:val="es-CO"/>
        </w:rPr>
        <w:t>su hábitat para mantener su estabilidad frente al desarrollo de la actividad de caza de fomento</w:t>
      </w:r>
      <w:r w:rsidR="006D0E6A" w:rsidRPr="004068F6">
        <w:rPr>
          <w:spacing w:val="-3"/>
          <w:lang w:val="es-CO"/>
        </w:rPr>
        <w:t>.</w:t>
      </w:r>
      <w:r w:rsidR="00EA0AA9" w:rsidRPr="004068F6">
        <w:rPr>
          <w:spacing w:val="-3"/>
          <w:lang w:val="es-CO"/>
        </w:rPr>
        <w:t xml:space="preserve"> Con este propósito se deben ejecutar las siguientes acciones.</w:t>
      </w:r>
    </w:p>
    <w:p w14:paraId="6F4DC690" w14:textId="77777777" w:rsidR="006D0E6A" w:rsidRPr="004068F6" w:rsidRDefault="006D0E6A" w:rsidP="000D6E21">
      <w:pPr>
        <w:tabs>
          <w:tab w:val="left" w:pos="-2268"/>
        </w:tabs>
        <w:suppressAutoHyphens/>
        <w:rPr>
          <w:iCs/>
          <w:spacing w:val="-3"/>
        </w:rPr>
      </w:pPr>
    </w:p>
    <w:p w14:paraId="739264E7" w14:textId="4DFA2933" w:rsidR="006D0E6A" w:rsidRPr="004068F6" w:rsidRDefault="006D0E6A" w:rsidP="000D6E21">
      <w:pPr>
        <w:numPr>
          <w:ilvl w:val="1"/>
          <w:numId w:val="40"/>
        </w:numPr>
        <w:tabs>
          <w:tab w:val="left" w:pos="-2268"/>
        </w:tabs>
        <w:suppressAutoHyphens/>
        <w:ind w:left="1134" w:hanging="567"/>
        <w:rPr>
          <w:iCs/>
          <w:spacing w:val="-3"/>
        </w:rPr>
      </w:pPr>
      <w:r w:rsidRPr="004068F6">
        <w:rPr>
          <w:iCs/>
          <w:spacing w:val="-3"/>
        </w:rPr>
        <w:t xml:space="preserve">Evaluación de </w:t>
      </w:r>
      <w:r w:rsidR="00EA0AA9" w:rsidRPr="004068F6">
        <w:rPr>
          <w:iCs/>
          <w:spacing w:val="-3"/>
        </w:rPr>
        <w:t xml:space="preserve">la </w:t>
      </w:r>
      <w:r w:rsidRPr="004068F6">
        <w:rPr>
          <w:iCs/>
          <w:spacing w:val="-3"/>
        </w:rPr>
        <w:t xml:space="preserve">representatividad estadística de las capturas en relación </w:t>
      </w:r>
      <w:r w:rsidR="00EA0AA9" w:rsidRPr="004068F6">
        <w:rPr>
          <w:iCs/>
          <w:spacing w:val="-3"/>
        </w:rPr>
        <w:t xml:space="preserve">con </w:t>
      </w:r>
      <w:r w:rsidRPr="004068F6">
        <w:rPr>
          <w:iCs/>
          <w:spacing w:val="-3"/>
        </w:rPr>
        <w:t xml:space="preserve">las poblaciones y el área de posible ubicación de los ejemplares, o </w:t>
      </w:r>
      <w:r w:rsidR="00EA0AA9" w:rsidRPr="004068F6">
        <w:rPr>
          <w:iCs/>
          <w:spacing w:val="-3"/>
        </w:rPr>
        <w:t xml:space="preserve">con los </w:t>
      </w:r>
      <w:r w:rsidRPr="004068F6">
        <w:rPr>
          <w:iCs/>
          <w:spacing w:val="-3"/>
        </w:rPr>
        <w:t>modelos de predicción de hábitat.</w:t>
      </w:r>
    </w:p>
    <w:p w14:paraId="6A146302" w14:textId="77777777" w:rsidR="006D0E6A" w:rsidRPr="004068F6" w:rsidRDefault="006D0E6A" w:rsidP="000D6E21">
      <w:pPr>
        <w:tabs>
          <w:tab w:val="left" w:pos="-2268"/>
        </w:tabs>
        <w:suppressAutoHyphens/>
        <w:rPr>
          <w:iCs/>
          <w:spacing w:val="-3"/>
        </w:rPr>
      </w:pPr>
    </w:p>
    <w:p w14:paraId="5235D8A5" w14:textId="65914851" w:rsidR="006D0E6A" w:rsidRPr="004068F6" w:rsidRDefault="006D0E6A" w:rsidP="000D6E21">
      <w:pPr>
        <w:numPr>
          <w:ilvl w:val="1"/>
          <w:numId w:val="40"/>
        </w:numPr>
        <w:tabs>
          <w:tab w:val="left" w:pos="-2268"/>
        </w:tabs>
        <w:suppressAutoHyphens/>
        <w:ind w:left="1134" w:hanging="567"/>
        <w:rPr>
          <w:iCs/>
          <w:spacing w:val="-3"/>
        </w:rPr>
      </w:pPr>
      <w:r w:rsidRPr="004068F6">
        <w:rPr>
          <w:iCs/>
          <w:spacing w:val="-3"/>
        </w:rPr>
        <w:t xml:space="preserve">Determinación de </w:t>
      </w:r>
      <w:r w:rsidR="00EA0AA9" w:rsidRPr="004068F6">
        <w:rPr>
          <w:iCs/>
          <w:spacing w:val="-3"/>
        </w:rPr>
        <w:t xml:space="preserve">la cantidad </w:t>
      </w:r>
      <w:r w:rsidRPr="004068F6">
        <w:rPr>
          <w:iCs/>
          <w:spacing w:val="-3"/>
        </w:rPr>
        <w:t>poblacional con relación al área y la ubicación de las poblaciones respecto a un territorio.</w:t>
      </w:r>
    </w:p>
    <w:p w14:paraId="21B88955" w14:textId="77777777" w:rsidR="006D0E6A" w:rsidRPr="004068F6" w:rsidRDefault="006D0E6A" w:rsidP="000D6E21">
      <w:pPr>
        <w:tabs>
          <w:tab w:val="left" w:pos="-2268"/>
        </w:tabs>
        <w:suppressAutoHyphens/>
        <w:rPr>
          <w:iCs/>
          <w:spacing w:val="-3"/>
        </w:rPr>
      </w:pPr>
    </w:p>
    <w:p w14:paraId="76C523E8" w14:textId="75B4D69E" w:rsidR="006D0E6A" w:rsidRPr="004068F6" w:rsidRDefault="00EA0AA9" w:rsidP="000D6E21">
      <w:pPr>
        <w:numPr>
          <w:ilvl w:val="1"/>
          <w:numId w:val="40"/>
        </w:numPr>
        <w:tabs>
          <w:tab w:val="left" w:pos="-2268"/>
        </w:tabs>
        <w:suppressAutoHyphens/>
        <w:ind w:left="1134" w:hanging="567"/>
        <w:rPr>
          <w:iCs/>
          <w:spacing w:val="-3"/>
        </w:rPr>
      </w:pPr>
      <w:r w:rsidRPr="004068F6">
        <w:rPr>
          <w:iCs/>
          <w:spacing w:val="-3"/>
        </w:rPr>
        <w:t>Desarrollo de un m</w:t>
      </w:r>
      <w:r w:rsidR="006D0E6A" w:rsidRPr="004068F6">
        <w:rPr>
          <w:iCs/>
          <w:spacing w:val="-3"/>
        </w:rPr>
        <w:t>odelo poblacional</w:t>
      </w:r>
      <w:r w:rsidRPr="004068F6">
        <w:rPr>
          <w:iCs/>
          <w:spacing w:val="-3"/>
        </w:rPr>
        <w:t xml:space="preserve"> que </w:t>
      </w:r>
      <w:r w:rsidR="006D0E6A" w:rsidRPr="004068F6">
        <w:rPr>
          <w:iCs/>
          <w:spacing w:val="-3"/>
        </w:rPr>
        <w:t>incluy</w:t>
      </w:r>
      <w:r w:rsidRPr="004068F6">
        <w:rPr>
          <w:iCs/>
          <w:spacing w:val="-3"/>
        </w:rPr>
        <w:t xml:space="preserve">a la </w:t>
      </w:r>
      <w:r w:rsidR="006D0E6A" w:rsidRPr="004068F6">
        <w:rPr>
          <w:iCs/>
          <w:spacing w:val="-3"/>
        </w:rPr>
        <w:t>estructura de edades, parámetros de sobrevivencia, reproducción y tasas de recambio neto de la población</w:t>
      </w:r>
      <w:r w:rsidRPr="004068F6">
        <w:rPr>
          <w:iCs/>
          <w:spacing w:val="-3"/>
        </w:rPr>
        <w:t xml:space="preserve">, con el fin de </w:t>
      </w:r>
      <w:r w:rsidR="006D0E6A" w:rsidRPr="004068F6">
        <w:rPr>
          <w:iCs/>
          <w:spacing w:val="-3"/>
        </w:rPr>
        <w:t>establecer si la población se encuentra en aumento, estabilización o reducción.</w:t>
      </w:r>
    </w:p>
    <w:p w14:paraId="6A05D551" w14:textId="77777777" w:rsidR="006D0E6A" w:rsidRPr="004068F6" w:rsidRDefault="006D0E6A" w:rsidP="000D6E21">
      <w:pPr>
        <w:tabs>
          <w:tab w:val="left" w:pos="-2268"/>
        </w:tabs>
        <w:suppressAutoHyphens/>
        <w:rPr>
          <w:iCs/>
          <w:spacing w:val="-3"/>
        </w:rPr>
      </w:pPr>
    </w:p>
    <w:p w14:paraId="03FF5FB0" w14:textId="58DCEE46" w:rsidR="006D0E6A" w:rsidRPr="004068F6" w:rsidRDefault="006D0E6A" w:rsidP="000D6E21">
      <w:pPr>
        <w:numPr>
          <w:ilvl w:val="1"/>
          <w:numId w:val="40"/>
        </w:numPr>
        <w:tabs>
          <w:tab w:val="left" w:pos="-2268"/>
        </w:tabs>
        <w:suppressAutoHyphens/>
        <w:ind w:left="1134" w:hanging="567"/>
        <w:rPr>
          <w:iCs/>
          <w:spacing w:val="-3"/>
        </w:rPr>
      </w:pPr>
      <w:r w:rsidRPr="004068F6">
        <w:rPr>
          <w:iCs/>
          <w:spacing w:val="-3"/>
        </w:rPr>
        <w:t>Justificación de</w:t>
      </w:r>
      <w:r w:rsidR="00EA0AA9" w:rsidRPr="004068F6">
        <w:rPr>
          <w:iCs/>
          <w:spacing w:val="-3"/>
        </w:rPr>
        <w:t xml:space="preserve"> </w:t>
      </w:r>
      <w:r w:rsidRPr="004068F6">
        <w:rPr>
          <w:iCs/>
          <w:spacing w:val="-3"/>
        </w:rPr>
        <w:t>l</w:t>
      </w:r>
      <w:r w:rsidR="00EA0AA9" w:rsidRPr="004068F6">
        <w:rPr>
          <w:iCs/>
          <w:spacing w:val="-3"/>
        </w:rPr>
        <w:t>a</w:t>
      </w:r>
      <w:r w:rsidRPr="004068F6">
        <w:rPr>
          <w:iCs/>
          <w:spacing w:val="-3"/>
        </w:rPr>
        <w:t xml:space="preserve"> </w:t>
      </w:r>
      <w:r w:rsidR="00EA0AA9" w:rsidRPr="004068F6">
        <w:rPr>
          <w:iCs/>
          <w:spacing w:val="-3"/>
        </w:rPr>
        <w:t xml:space="preserve">cantidad </w:t>
      </w:r>
      <w:r w:rsidRPr="004068F6">
        <w:rPr>
          <w:iCs/>
          <w:spacing w:val="-3"/>
        </w:rPr>
        <w:t xml:space="preserve">de especímenes de cada especie </w:t>
      </w:r>
      <w:r w:rsidR="00897CE5" w:rsidRPr="004068F6">
        <w:rPr>
          <w:iCs/>
          <w:spacing w:val="-3"/>
        </w:rPr>
        <w:t xml:space="preserve">que se solicita cazar </w:t>
      </w:r>
      <w:r w:rsidRPr="004068F6">
        <w:rPr>
          <w:iCs/>
          <w:spacing w:val="-3"/>
        </w:rPr>
        <w:t>para conformar el pie parental</w:t>
      </w:r>
      <w:r w:rsidR="00897CE5" w:rsidRPr="004068F6">
        <w:rPr>
          <w:iCs/>
          <w:spacing w:val="-3"/>
        </w:rPr>
        <w:t xml:space="preserve">, así como </w:t>
      </w:r>
      <w:r w:rsidRPr="004068F6">
        <w:rPr>
          <w:iCs/>
          <w:spacing w:val="-3"/>
        </w:rPr>
        <w:t>su proporción por sexo y edad.</w:t>
      </w:r>
    </w:p>
    <w:p w14:paraId="00A21A0A" w14:textId="77777777" w:rsidR="006D0E6A" w:rsidRPr="004068F6" w:rsidRDefault="006D0E6A" w:rsidP="000D6E21">
      <w:pPr>
        <w:tabs>
          <w:tab w:val="left" w:pos="-2268"/>
        </w:tabs>
        <w:suppressAutoHyphens/>
        <w:rPr>
          <w:iCs/>
          <w:spacing w:val="-3"/>
        </w:rPr>
      </w:pPr>
    </w:p>
    <w:p w14:paraId="7706A5B2" w14:textId="1970B4C3" w:rsidR="006D0E6A" w:rsidRPr="004068F6" w:rsidRDefault="00897CE5" w:rsidP="000D6E21">
      <w:pPr>
        <w:numPr>
          <w:ilvl w:val="1"/>
          <w:numId w:val="40"/>
        </w:numPr>
        <w:tabs>
          <w:tab w:val="left" w:pos="-2268"/>
        </w:tabs>
        <w:suppressAutoHyphens/>
        <w:ind w:left="1134" w:hanging="567"/>
        <w:rPr>
          <w:iCs/>
          <w:spacing w:val="-3"/>
        </w:rPr>
      </w:pPr>
      <w:r w:rsidRPr="004068F6">
        <w:rPr>
          <w:iCs/>
          <w:spacing w:val="-3"/>
        </w:rPr>
        <w:t xml:space="preserve">Definición de la </w:t>
      </w:r>
      <w:r w:rsidR="006D0E6A" w:rsidRPr="004068F6">
        <w:rPr>
          <w:iCs/>
          <w:spacing w:val="-3"/>
        </w:rPr>
        <w:t xml:space="preserve">periodicidad de extracción de ejemplares </w:t>
      </w:r>
      <w:r w:rsidRPr="004068F6">
        <w:rPr>
          <w:iCs/>
          <w:spacing w:val="-3"/>
        </w:rPr>
        <w:t xml:space="preserve">que </w:t>
      </w:r>
      <w:r w:rsidR="006D0E6A" w:rsidRPr="004068F6">
        <w:rPr>
          <w:iCs/>
          <w:spacing w:val="-3"/>
        </w:rPr>
        <w:t>es poblacionalmente viable, teniendo en cuenta el tipo de zoocriadero que se establecerá (ciclo cerrado, abierto o mixto).</w:t>
      </w:r>
    </w:p>
    <w:p w14:paraId="1A9B5B4C" w14:textId="77777777" w:rsidR="006D0E6A" w:rsidRPr="004068F6" w:rsidRDefault="006D0E6A" w:rsidP="000D6E21">
      <w:pPr>
        <w:tabs>
          <w:tab w:val="left" w:pos="-2268"/>
        </w:tabs>
        <w:suppressAutoHyphens/>
        <w:rPr>
          <w:iCs/>
          <w:spacing w:val="-3"/>
        </w:rPr>
      </w:pPr>
    </w:p>
    <w:p w14:paraId="4C979526" w14:textId="153E9E95" w:rsidR="002B3AE7" w:rsidRPr="004068F6" w:rsidRDefault="00A244A7" w:rsidP="000D6E21">
      <w:pPr>
        <w:numPr>
          <w:ilvl w:val="1"/>
          <w:numId w:val="40"/>
        </w:numPr>
        <w:tabs>
          <w:tab w:val="left" w:pos="-2268"/>
        </w:tabs>
        <w:suppressAutoHyphens/>
        <w:ind w:left="1134" w:hanging="567"/>
        <w:rPr>
          <w:iCs/>
          <w:spacing w:val="-3"/>
        </w:rPr>
      </w:pPr>
      <w:r w:rsidRPr="004068F6">
        <w:rPr>
          <w:iCs/>
          <w:spacing w:val="-3"/>
        </w:rPr>
        <w:t>Fo</w:t>
      </w:r>
      <w:r w:rsidR="005D1F3D" w:rsidRPr="004068F6">
        <w:rPr>
          <w:iCs/>
          <w:spacing w:val="-3"/>
        </w:rPr>
        <w:t>r</w:t>
      </w:r>
      <w:r w:rsidRPr="004068F6">
        <w:rPr>
          <w:iCs/>
          <w:spacing w:val="-3"/>
        </w:rPr>
        <w:t xml:space="preserve">mulación de </w:t>
      </w:r>
      <w:r w:rsidR="006D0E6A" w:rsidRPr="004068F6">
        <w:rPr>
          <w:iCs/>
          <w:spacing w:val="-3"/>
        </w:rPr>
        <w:t xml:space="preserve">modelos ecológicos </w:t>
      </w:r>
      <w:r w:rsidRPr="004068F6">
        <w:rPr>
          <w:iCs/>
          <w:spacing w:val="-3"/>
        </w:rPr>
        <w:t xml:space="preserve">que </w:t>
      </w:r>
      <w:r w:rsidR="005C41AB" w:rsidRPr="004068F6">
        <w:rPr>
          <w:iCs/>
          <w:spacing w:val="-3"/>
        </w:rPr>
        <w:t xml:space="preserve">permitan evaluar </w:t>
      </w:r>
      <w:r w:rsidR="006D0E6A" w:rsidRPr="004068F6">
        <w:rPr>
          <w:iCs/>
          <w:spacing w:val="-3"/>
        </w:rPr>
        <w:t xml:space="preserve">la viabilidad de </w:t>
      </w:r>
      <w:r w:rsidR="005C41AB" w:rsidRPr="004068F6">
        <w:rPr>
          <w:iCs/>
          <w:spacing w:val="-3"/>
        </w:rPr>
        <w:t xml:space="preserve">ejecución de las actividades de </w:t>
      </w:r>
      <w:r w:rsidR="006D0E6A" w:rsidRPr="004068F6">
        <w:rPr>
          <w:iCs/>
          <w:spacing w:val="-3"/>
        </w:rPr>
        <w:t>caza de fomento</w:t>
      </w:r>
      <w:r w:rsidR="005D1F3D" w:rsidRPr="004068F6">
        <w:rPr>
          <w:iCs/>
          <w:spacing w:val="-3"/>
        </w:rPr>
        <w:t xml:space="preserve"> propuesta</w:t>
      </w:r>
      <w:r w:rsidR="005C41AB" w:rsidRPr="004068F6">
        <w:rPr>
          <w:iCs/>
          <w:spacing w:val="-3"/>
        </w:rPr>
        <w:t>s</w:t>
      </w:r>
      <w:r w:rsidR="006D0E6A" w:rsidRPr="004068F6">
        <w:rPr>
          <w:iCs/>
          <w:spacing w:val="-3"/>
        </w:rPr>
        <w:t>.</w:t>
      </w:r>
    </w:p>
    <w:p w14:paraId="3DDA44AB" w14:textId="77777777" w:rsidR="006D0E6A" w:rsidRPr="004068F6" w:rsidRDefault="006D0E6A">
      <w:pPr>
        <w:rPr>
          <w:spacing w:val="-3"/>
        </w:rPr>
      </w:pPr>
    </w:p>
    <w:p w14:paraId="4D8A3854" w14:textId="5B79332F" w:rsidR="00CA3F4E" w:rsidRPr="004068F6" w:rsidRDefault="00CA3F4E">
      <w:pPr>
        <w:rPr>
          <w:spacing w:val="-3"/>
        </w:rPr>
      </w:pPr>
      <w:r w:rsidRPr="004068F6">
        <w:rPr>
          <w:spacing w:val="-3"/>
        </w:rPr>
        <w:t xml:space="preserve">Dado que </w:t>
      </w:r>
      <w:r w:rsidR="00C50F8A" w:rsidRPr="004068F6">
        <w:rPr>
          <w:spacing w:val="-3"/>
        </w:rPr>
        <w:t xml:space="preserve">cada ecosistema </w:t>
      </w:r>
      <w:r w:rsidR="008913E4" w:rsidRPr="004068F6">
        <w:rPr>
          <w:spacing w:val="-3"/>
        </w:rPr>
        <w:t>tiene</w:t>
      </w:r>
      <w:r w:rsidR="00C50F8A" w:rsidRPr="004068F6">
        <w:rPr>
          <w:spacing w:val="-3"/>
        </w:rPr>
        <w:t xml:space="preserve"> </w:t>
      </w:r>
      <w:r w:rsidRPr="004068F6">
        <w:rPr>
          <w:spacing w:val="-3"/>
        </w:rPr>
        <w:t xml:space="preserve">características </w:t>
      </w:r>
      <w:r w:rsidR="00C50F8A" w:rsidRPr="004068F6">
        <w:rPr>
          <w:spacing w:val="-3"/>
        </w:rPr>
        <w:t xml:space="preserve">bióticas y abióticas únicas, </w:t>
      </w:r>
      <w:r w:rsidRPr="004068F6">
        <w:rPr>
          <w:spacing w:val="-3"/>
        </w:rPr>
        <w:t>se deben incorporar variables ecosistémicas complementarias y realizar análisis locales sobre la biología de las especies objetivo</w:t>
      </w:r>
      <w:r w:rsidR="00C50F8A" w:rsidRPr="004068F6">
        <w:rPr>
          <w:spacing w:val="-3"/>
        </w:rPr>
        <w:t xml:space="preserve"> en caso de que la información sobre </w:t>
      </w:r>
      <w:r w:rsidR="008913E4" w:rsidRPr="004068F6">
        <w:rPr>
          <w:spacing w:val="-3"/>
        </w:rPr>
        <w:t xml:space="preserve">sus </w:t>
      </w:r>
      <w:r w:rsidR="00C50F8A" w:rsidRPr="004068F6">
        <w:rPr>
          <w:spacing w:val="-3"/>
        </w:rPr>
        <w:t>ciclos de vida</w:t>
      </w:r>
      <w:r w:rsidR="008913E4" w:rsidRPr="004068F6">
        <w:rPr>
          <w:spacing w:val="-3"/>
        </w:rPr>
        <w:t>,</w:t>
      </w:r>
      <w:r w:rsidR="00C50F8A" w:rsidRPr="004068F6">
        <w:rPr>
          <w:spacing w:val="-3"/>
        </w:rPr>
        <w:t xml:space="preserve"> comportamientos sexuales</w:t>
      </w:r>
      <w:r w:rsidR="008913E4" w:rsidRPr="004068F6">
        <w:rPr>
          <w:spacing w:val="-3"/>
        </w:rPr>
        <w:t xml:space="preserve"> y</w:t>
      </w:r>
      <w:r w:rsidR="00C50F8A" w:rsidRPr="004068F6">
        <w:rPr>
          <w:spacing w:val="-3"/>
        </w:rPr>
        <w:t xml:space="preserve"> estructura y dinámica poblacional no sea suficiente para </w:t>
      </w:r>
      <w:r w:rsidR="008913E4" w:rsidRPr="004068F6">
        <w:rPr>
          <w:spacing w:val="-3"/>
        </w:rPr>
        <w:lastRenderedPageBreak/>
        <w:t>d</w:t>
      </w:r>
      <w:r w:rsidR="00C50F8A" w:rsidRPr="004068F6">
        <w:rPr>
          <w:spacing w:val="-3"/>
        </w:rPr>
        <w:t>etermina</w:t>
      </w:r>
      <w:r w:rsidR="008913E4" w:rsidRPr="004068F6">
        <w:rPr>
          <w:spacing w:val="-3"/>
        </w:rPr>
        <w:t xml:space="preserve">r </w:t>
      </w:r>
      <w:r w:rsidR="00C50F8A" w:rsidRPr="004068F6">
        <w:rPr>
          <w:spacing w:val="-3"/>
        </w:rPr>
        <w:t xml:space="preserve">la capacidad de </w:t>
      </w:r>
      <w:r w:rsidR="008913E4" w:rsidRPr="004068F6">
        <w:rPr>
          <w:spacing w:val="-3"/>
        </w:rPr>
        <w:t xml:space="preserve">sus </w:t>
      </w:r>
      <w:r w:rsidR="00C50F8A" w:rsidRPr="004068F6">
        <w:rPr>
          <w:spacing w:val="-3"/>
        </w:rPr>
        <w:t>poblaciones y de su</w:t>
      </w:r>
      <w:r w:rsidR="008913E4" w:rsidRPr="004068F6">
        <w:rPr>
          <w:spacing w:val="-3"/>
        </w:rPr>
        <w:t>s</w:t>
      </w:r>
      <w:r w:rsidR="00C50F8A" w:rsidRPr="004068F6">
        <w:rPr>
          <w:spacing w:val="-3"/>
        </w:rPr>
        <w:t xml:space="preserve"> hábitat</w:t>
      </w:r>
      <w:r w:rsidR="008913E4" w:rsidRPr="004068F6">
        <w:rPr>
          <w:spacing w:val="-3"/>
        </w:rPr>
        <w:t>s</w:t>
      </w:r>
      <w:r w:rsidR="00C50F8A" w:rsidRPr="004068F6">
        <w:rPr>
          <w:spacing w:val="-3"/>
        </w:rPr>
        <w:t xml:space="preserve"> para </w:t>
      </w:r>
      <w:r w:rsidR="008913E4" w:rsidRPr="004068F6">
        <w:rPr>
          <w:spacing w:val="-3"/>
        </w:rPr>
        <w:t>soportar e</w:t>
      </w:r>
      <w:r w:rsidR="00C50F8A" w:rsidRPr="004068F6">
        <w:rPr>
          <w:spacing w:val="-3"/>
        </w:rPr>
        <w:t>l desarrollo de actividad</w:t>
      </w:r>
      <w:r w:rsidR="008913E4" w:rsidRPr="004068F6">
        <w:rPr>
          <w:spacing w:val="-3"/>
        </w:rPr>
        <w:t>es</w:t>
      </w:r>
      <w:r w:rsidR="00C50F8A" w:rsidRPr="004068F6">
        <w:rPr>
          <w:spacing w:val="-3"/>
        </w:rPr>
        <w:t xml:space="preserve"> de caza de fomento</w:t>
      </w:r>
      <w:r w:rsidRPr="004068F6">
        <w:rPr>
          <w:spacing w:val="-3"/>
        </w:rPr>
        <w:t>.</w:t>
      </w:r>
    </w:p>
    <w:p w14:paraId="6F4357D0" w14:textId="77777777" w:rsidR="00CA3F4E" w:rsidRPr="004068F6" w:rsidRDefault="00CA3F4E">
      <w:pPr>
        <w:rPr>
          <w:spacing w:val="-3"/>
        </w:rPr>
      </w:pPr>
    </w:p>
    <w:p w14:paraId="78E42F9F" w14:textId="2907D404" w:rsidR="00751EF1" w:rsidRPr="004068F6" w:rsidRDefault="00751EF1" w:rsidP="000D6E21">
      <w:pPr>
        <w:rPr>
          <w:spacing w:val="-3"/>
        </w:rPr>
      </w:pPr>
      <w:r w:rsidRPr="004068F6">
        <w:rPr>
          <w:spacing w:val="-3"/>
        </w:rPr>
        <w:t xml:space="preserve">Asimismo, se deben desarrollar </w:t>
      </w:r>
      <w:r w:rsidR="006964FD" w:rsidRPr="004068F6">
        <w:rPr>
          <w:spacing w:val="-3"/>
        </w:rPr>
        <w:t xml:space="preserve">información </w:t>
      </w:r>
      <w:r w:rsidRPr="004068F6">
        <w:rPr>
          <w:spacing w:val="-3"/>
        </w:rPr>
        <w:t>geográfica que señale la distribución potencial y la distribución real de las especies objeto del permiso de caza de fomento. La información geográfica sobre la distribución potencial debe elaborase mediante un análisis espacial que relacione las preferencias de las especies objeto de captura con variables climáticas como precipitación, humedad, temperatura máxima y mínima e intensidad lumínica y, la información geográfica sobre la distribución real de tales especies debe desarrollarse a partir de los resultados de los estudios poblacionales y de registros biológicos existentes en sistemas de información oficial. Esta información geográfica debe presentarse de acuerdo con la estructura establecida en el MAG.</w:t>
      </w:r>
    </w:p>
    <w:p w14:paraId="7304F3E3" w14:textId="77777777" w:rsidR="00751EF1" w:rsidRPr="004068F6" w:rsidRDefault="00751EF1" w:rsidP="000D6E21">
      <w:pPr>
        <w:rPr>
          <w:spacing w:val="-3"/>
        </w:rPr>
      </w:pPr>
    </w:p>
    <w:p w14:paraId="6813548A" w14:textId="511B6E2C" w:rsidR="001E530C" w:rsidRPr="004068F6" w:rsidRDefault="001E530C" w:rsidP="000D6E21">
      <w:pPr>
        <w:tabs>
          <w:tab w:val="left" w:pos="-2268"/>
        </w:tabs>
        <w:suppressAutoHyphens/>
        <w:rPr>
          <w:spacing w:val="-3"/>
        </w:rPr>
      </w:pPr>
      <w:r w:rsidRPr="004068F6">
        <w:rPr>
          <w:spacing w:val="-3"/>
        </w:rPr>
        <w:t>Si para la elaboración del estudio para determinar la viabilidad biológica de la caza de fomento</w:t>
      </w:r>
      <w:r w:rsidRPr="004068F6" w:rsidDel="000509FD">
        <w:rPr>
          <w:spacing w:val="-3"/>
        </w:rPr>
        <w:t xml:space="preserve"> </w:t>
      </w:r>
      <w:r w:rsidRPr="004068F6">
        <w:rPr>
          <w:spacing w:val="-3"/>
        </w:rPr>
        <w:t xml:space="preserve">resulta necesario recolectar especímenes de especies silvestres, se debe tramitar el permiso de estudio para la recolección de especímenes de especies silvestres de la diversidad biológica con fines de elaboración de estudios ambientales, de acuerdo con lo establecido en la Sección 2, Capítulo 9, Título 2, Parte 2, Libro 2 del Decreto 1076 de 2015, o </w:t>
      </w:r>
      <w:r w:rsidRPr="004068F6">
        <w:rPr>
          <w:rFonts w:cs="Arial"/>
          <w:spacing w:val="-3"/>
        </w:rPr>
        <w:t>aquella</w:t>
      </w:r>
      <w:r w:rsidRPr="004068F6">
        <w:rPr>
          <w:spacing w:val="-3"/>
        </w:rPr>
        <w:t xml:space="preserve"> norma que </w:t>
      </w:r>
      <w:r w:rsidRPr="004068F6">
        <w:rPr>
          <w:rFonts w:cs="Arial"/>
          <w:spacing w:val="-3"/>
        </w:rPr>
        <w:t>lo</w:t>
      </w:r>
      <w:r w:rsidRPr="004068F6">
        <w:rPr>
          <w:spacing w:val="-3"/>
        </w:rPr>
        <w:t xml:space="preserve"> modifique</w:t>
      </w:r>
      <w:r w:rsidRPr="004068F6">
        <w:rPr>
          <w:rFonts w:cs="Arial"/>
          <w:spacing w:val="-3"/>
        </w:rPr>
        <w:t xml:space="preserve"> o</w:t>
      </w:r>
      <w:r w:rsidRPr="004068F6">
        <w:rPr>
          <w:spacing w:val="-3"/>
        </w:rPr>
        <w:t xml:space="preserve"> sustituya.</w:t>
      </w:r>
      <w:r w:rsidR="00DB0301" w:rsidRPr="004068F6">
        <w:rPr>
          <w:spacing w:val="-3"/>
        </w:rPr>
        <w:t xml:space="preserve"> En este caso</w:t>
      </w:r>
      <w:r w:rsidRPr="004068F6">
        <w:rPr>
          <w:spacing w:val="-3"/>
        </w:rPr>
        <w:t xml:space="preserve">, </w:t>
      </w:r>
      <w:r w:rsidR="00DB0301" w:rsidRPr="004068F6">
        <w:rPr>
          <w:spacing w:val="-3"/>
        </w:rPr>
        <w:t xml:space="preserve">con el fin de adelantar las acciones de </w:t>
      </w:r>
      <w:r w:rsidRPr="004068F6">
        <w:rPr>
          <w:spacing w:val="-3"/>
        </w:rPr>
        <w:t>recolección o captura de especímenes fomento, es necesario lo siguiente:</w:t>
      </w:r>
    </w:p>
    <w:p w14:paraId="5A8FC12E" w14:textId="77777777" w:rsidR="001E530C" w:rsidRPr="004068F6" w:rsidRDefault="001E530C" w:rsidP="000D6E21">
      <w:pPr>
        <w:tabs>
          <w:tab w:val="left" w:pos="-2268"/>
        </w:tabs>
        <w:suppressAutoHyphens/>
        <w:rPr>
          <w:spacing w:val="-3"/>
        </w:rPr>
      </w:pPr>
    </w:p>
    <w:p w14:paraId="58194B16" w14:textId="09E1221D" w:rsidR="00B90B2D" w:rsidRPr="004068F6" w:rsidRDefault="00B90B2D" w:rsidP="000D6E21">
      <w:pPr>
        <w:pStyle w:val="Prrafodelista"/>
        <w:numPr>
          <w:ilvl w:val="0"/>
          <w:numId w:val="5"/>
        </w:numPr>
        <w:tabs>
          <w:tab w:val="left" w:pos="-2268"/>
        </w:tabs>
        <w:suppressAutoHyphens/>
        <w:ind w:left="567" w:hanging="567"/>
        <w:rPr>
          <w:spacing w:val="-3"/>
          <w:lang w:val="es-CO"/>
        </w:rPr>
      </w:pPr>
      <w:r w:rsidRPr="004068F6">
        <w:rPr>
          <w:spacing w:val="-3"/>
          <w:lang w:val="es-CO"/>
        </w:rPr>
        <w:t>Especificar los objetivos y alcances de la captura de los ejemplares para el estudio poblacional.</w:t>
      </w:r>
    </w:p>
    <w:p w14:paraId="1C7F6193" w14:textId="77777777" w:rsidR="001E530C" w:rsidRPr="004068F6" w:rsidRDefault="001E530C" w:rsidP="000D6E21">
      <w:pPr>
        <w:tabs>
          <w:tab w:val="left" w:pos="-2268"/>
        </w:tabs>
        <w:suppressAutoHyphens/>
        <w:rPr>
          <w:spacing w:val="-3"/>
        </w:rPr>
      </w:pPr>
    </w:p>
    <w:p w14:paraId="5D627B15" w14:textId="383B8AAF" w:rsidR="00B90B2D" w:rsidRPr="00127BD4" w:rsidRDefault="00B90B2D" w:rsidP="000D6E21">
      <w:pPr>
        <w:pStyle w:val="Prrafodelista"/>
        <w:numPr>
          <w:ilvl w:val="0"/>
          <w:numId w:val="5"/>
        </w:numPr>
        <w:tabs>
          <w:tab w:val="left" w:pos="-2268"/>
        </w:tabs>
        <w:suppressAutoHyphens/>
        <w:ind w:left="567" w:hanging="567"/>
        <w:rPr>
          <w:spacing w:val="-3"/>
          <w:lang w:val="es-CO"/>
        </w:rPr>
      </w:pPr>
      <w:r w:rsidRPr="004068F6">
        <w:rPr>
          <w:spacing w:val="-3"/>
          <w:lang w:val="es-CO"/>
        </w:rPr>
        <w:t xml:space="preserve">Estructurar </w:t>
      </w:r>
      <w:r w:rsidR="00DB0301" w:rsidRPr="004068F6">
        <w:rPr>
          <w:spacing w:val="-3"/>
          <w:lang w:val="es-CO"/>
        </w:rPr>
        <w:t xml:space="preserve">el método </w:t>
      </w:r>
      <w:r w:rsidRPr="004068F6">
        <w:rPr>
          <w:spacing w:val="-3"/>
          <w:lang w:val="es-CO"/>
        </w:rPr>
        <w:t xml:space="preserve">y la representatividad de </w:t>
      </w:r>
      <w:r w:rsidR="00EF632D" w:rsidRPr="004068F6">
        <w:rPr>
          <w:spacing w:val="-3"/>
          <w:lang w:val="es-CO"/>
        </w:rPr>
        <w:t>los muestreos</w:t>
      </w:r>
      <w:r w:rsidRPr="004068F6">
        <w:rPr>
          <w:spacing w:val="-3"/>
          <w:lang w:val="es-CO"/>
        </w:rPr>
        <w:t>, en unidades y esfuerzos de muestreo, tanto de encuentro como de registros poblacionales</w:t>
      </w:r>
      <w:r w:rsidR="00EF632D" w:rsidRPr="004068F6">
        <w:rPr>
          <w:spacing w:val="-3"/>
          <w:lang w:val="es-CO"/>
        </w:rPr>
        <w:t xml:space="preserve">. Si resulta pertinente, es posible emplear técnicas de </w:t>
      </w:r>
      <w:r w:rsidRPr="004068F6">
        <w:rPr>
          <w:spacing w:val="-3"/>
          <w:lang w:val="es-CO"/>
        </w:rPr>
        <w:t>marcaje o anillamiento de individuos</w:t>
      </w:r>
      <w:r w:rsidR="00EF632D" w:rsidRPr="004068F6">
        <w:rPr>
          <w:spacing w:val="-3"/>
          <w:lang w:val="es-CO"/>
        </w:rPr>
        <w:t xml:space="preserve"> para </w:t>
      </w:r>
      <w:r w:rsidRPr="004068F6">
        <w:rPr>
          <w:spacing w:val="-3"/>
          <w:lang w:val="es-CO"/>
        </w:rPr>
        <w:t xml:space="preserve">obtener información de </w:t>
      </w:r>
      <w:r w:rsidR="00123A5C" w:rsidRPr="004068F6">
        <w:rPr>
          <w:spacing w:val="-3"/>
          <w:lang w:val="es-CO"/>
        </w:rPr>
        <w:t xml:space="preserve">ejemplares </w:t>
      </w:r>
      <w:r w:rsidRPr="004068F6">
        <w:rPr>
          <w:spacing w:val="-3"/>
          <w:lang w:val="es-CO"/>
        </w:rPr>
        <w:t>individuales</w:t>
      </w:r>
      <w:r w:rsidR="00123A5C" w:rsidRPr="004068F6">
        <w:rPr>
          <w:spacing w:val="-3"/>
          <w:lang w:val="es-CO"/>
        </w:rPr>
        <w:t>.</w:t>
      </w:r>
    </w:p>
    <w:p w14:paraId="1E0F5603" w14:textId="77777777" w:rsidR="001E530C" w:rsidRPr="004068F6" w:rsidRDefault="001E530C" w:rsidP="000D6E21">
      <w:pPr>
        <w:tabs>
          <w:tab w:val="left" w:pos="-2268"/>
        </w:tabs>
        <w:suppressAutoHyphens/>
        <w:rPr>
          <w:spacing w:val="-3"/>
        </w:rPr>
      </w:pPr>
    </w:p>
    <w:p w14:paraId="2618CAA5" w14:textId="2A83999F" w:rsidR="00B90B2D" w:rsidRPr="00127BD4" w:rsidRDefault="00B90B2D" w:rsidP="000D6E21">
      <w:pPr>
        <w:pStyle w:val="Prrafodelista"/>
        <w:numPr>
          <w:ilvl w:val="0"/>
          <w:numId w:val="5"/>
        </w:numPr>
        <w:tabs>
          <w:tab w:val="left" w:pos="-2268"/>
        </w:tabs>
        <w:suppressAutoHyphens/>
        <w:ind w:left="567" w:hanging="567"/>
        <w:rPr>
          <w:spacing w:val="-3"/>
          <w:lang w:val="es-CO"/>
        </w:rPr>
      </w:pPr>
      <w:r w:rsidRPr="004068F6">
        <w:rPr>
          <w:spacing w:val="-3"/>
          <w:lang w:val="es-CO"/>
        </w:rPr>
        <w:t xml:space="preserve">Realizar </w:t>
      </w:r>
      <w:r w:rsidR="00BA65F5" w:rsidRPr="004068F6">
        <w:rPr>
          <w:spacing w:val="-3"/>
          <w:lang w:val="es-CO"/>
        </w:rPr>
        <w:t xml:space="preserve">el muestreo contemplando </w:t>
      </w:r>
      <w:r w:rsidRPr="004068F6">
        <w:rPr>
          <w:spacing w:val="-3"/>
          <w:lang w:val="es-CO"/>
        </w:rPr>
        <w:t>diferentes sitios</w:t>
      </w:r>
      <w:r w:rsidR="00BA65F5" w:rsidRPr="004068F6">
        <w:rPr>
          <w:spacing w:val="-3"/>
          <w:lang w:val="es-CO"/>
        </w:rPr>
        <w:t xml:space="preserve"> y</w:t>
      </w:r>
      <w:r w:rsidRPr="004068F6">
        <w:rPr>
          <w:spacing w:val="-3"/>
          <w:lang w:val="es-CO"/>
        </w:rPr>
        <w:t xml:space="preserve"> periodos climáticos o temporales, </w:t>
      </w:r>
      <w:r w:rsidR="00BA65F5" w:rsidRPr="004068F6">
        <w:rPr>
          <w:spacing w:val="-3"/>
          <w:lang w:val="es-CO"/>
        </w:rPr>
        <w:t xml:space="preserve">a fin de asegurar su </w:t>
      </w:r>
      <w:r w:rsidRPr="004068F6">
        <w:rPr>
          <w:spacing w:val="-3"/>
          <w:lang w:val="es-CO"/>
        </w:rPr>
        <w:t>representativ</w:t>
      </w:r>
      <w:r w:rsidR="00BA65F5" w:rsidRPr="004068F6">
        <w:rPr>
          <w:spacing w:val="-3"/>
          <w:lang w:val="es-CO"/>
        </w:rPr>
        <w:t xml:space="preserve">idad y así </w:t>
      </w:r>
      <w:r w:rsidRPr="004068F6">
        <w:rPr>
          <w:spacing w:val="-3"/>
          <w:lang w:val="es-CO"/>
        </w:rPr>
        <w:t>ten</w:t>
      </w:r>
      <w:r w:rsidR="00BA65F5" w:rsidRPr="004068F6">
        <w:rPr>
          <w:spacing w:val="-3"/>
          <w:lang w:val="es-CO"/>
        </w:rPr>
        <w:t xml:space="preserve">er </w:t>
      </w:r>
      <w:r w:rsidRPr="004068F6">
        <w:rPr>
          <w:spacing w:val="-3"/>
          <w:lang w:val="es-CO"/>
        </w:rPr>
        <w:t xml:space="preserve">certeza del comportamiento </w:t>
      </w:r>
      <w:r w:rsidR="00BA65F5" w:rsidRPr="004068F6">
        <w:rPr>
          <w:spacing w:val="-3"/>
          <w:lang w:val="es-CO"/>
        </w:rPr>
        <w:t>de las poblaciones</w:t>
      </w:r>
      <w:r w:rsidRPr="004068F6">
        <w:rPr>
          <w:spacing w:val="-3"/>
          <w:lang w:val="es-CO"/>
        </w:rPr>
        <w:t>.</w:t>
      </w:r>
      <w:r w:rsidR="00DB0301" w:rsidRPr="004068F6">
        <w:rPr>
          <w:spacing w:val="-3"/>
          <w:lang w:val="es-CO"/>
        </w:rPr>
        <w:t xml:space="preserve"> Los datos deben ser registrados en tablas que evidencien la información referida a cada individuo de las especies de interés.</w:t>
      </w:r>
    </w:p>
    <w:p w14:paraId="3DFC9DE2" w14:textId="77777777" w:rsidR="001E530C" w:rsidRPr="004068F6" w:rsidRDefault="001E530C" w:rsidP="000D6E21">
      <w:pPr>
        <w:tabs>
          <w:tab w:val="left" w:pos="-2268"/>
        </w:tabs>
        <w:suppressAutoHyphens/>
        <w:rPr>
          <w:spacing w:val="-3"/>
        </w:rPr>
      </w:pPr>
    </w:p>
    <w:p w14:paraId="2022D2A4" w14:textId="70A7FF7C" w:rsidR="00B90B2D" w:rsidRPr="00127BD4" w:rsidRDefault="00BA65F5" w:rsidP="000D6E21">
      <w:pPr>
        <w:pStyle w:val="Prrafodelista"/>
        <w:numPr>
          <w:ilvl w:val="0"/>
          <w:numId w:val="5"/>
        </w:numPr>
        <w:tabs>
          <w:tab w:val="left" w:pos="-2268"/>
        </w:tabs>
        <w:suppressAutoHyphens/>
        <w:ind w:left="567" w:hanging="567"/>
        <w:rPr>
          <w:spacing w:val="-3"/>
          <w:lang w:val="es-CO"/>
        </w:rPr>
      </w:pPr>
      <w:r w:rsidRPr="004068F6">
        <w:rPr>
          <w:spacing w:val="-3"/>
          <w:lang w:val="es-CO"/>
        </w:rPr>
        <w:t>Socializar</w:t>
      </w:r>
      <w:r w:rsidR="00B90B2D" w:rsidRPr="004068F6">
        <w:rPr>
          <w:spacing w:val="-3"/>
          <w:lang w:val="es-CO"/>
        </w:rPr>
        <w:t xml:space="preserve"> el esfuerzo de muestreo con cada uno de los miembros del equipo que realizará las capturas </w:t>
      </w:r>
      <w:r w:rsidRPr="004068F6">
        <w:rPr>
          <w:spacing w:val="-3"/>
          <w:lang w:val="es-CO"/>
        </w:rPr>
        <w:t xml:space="preserve">y </w:t>
      </w:r>
      <w:r w:rsidR="00B90B2D" w:rsidRPr="004068F6">
        <w:rPr>
          <w:spacing w:val="-3"/>
          <w:lang w:val="es-CO"/>
        </w:rPr>
        <w:t xml:space="preserve">especificar si las búsquedas de los diferentes colectores se </w:t>
      </w:r>
      <w:r w:rsidR="00DB0301" w:rsidRPr="004068F6">
        <w:rPr>
          <w:spacing w:val="-3"/>
          <w:lang w:val="es-CO"/>
        </w:rPr>
        <w:t>localizan</w:t>
      </w:r>
      <w:r w:rsidR="00B90B2D" w:rsidRPr="004068F6">
        <w:rPr>
          <w:spacing w:val="-3"/>
          <w:lang w:val="es-CO"/>
        </w:rPr>
        <w:t xml:space="preserve"> en las mism</w:t>
      </w:r>
      <w:r w:rsidRPr="004068F6">
        <w:rPr>
          <w:spacing w:val="-3"/>
          <w:lang w:val="es-CO"/>
        </w:rPr>
        <w:t>a</w:t>
      </w:r>
      <w:r w:rsidR="00B90B2D" w:rsidRPr="004068F6">
        <w:rPr>
          <w:spacing w:val="-3"/>
          <w:lang w:val="es-CO"/>
        </w:rPr>
        <w:t>s o en diferentes unidades de muestreo. El esfuerzo de muestreo debe estar respaldado por curvas de acumulación, análisis de captura/recaptura y otros análisis estadísticos que demuestren la suficiencia del muestreo.</w:t>
      </w:r>
    </w:p>
    <w:p w14:paraId="7B00DE06" w14:textId="77777777" w:rsidR="001E530C" w:rsidRPr="004068F6" w:rsidRDefault="001E530C" w:rsidP="000D6E21">
      <w:pPr>
        <w:tabs>
          <w:tab w:val="left" w:pos="-2268"/>
        </w:tabs>
        <w:suppressAutoHyphens/>
        <w:rPr>
          <w:spacing w:val="-3"/>
        </w:rPr>
      </w:pPr>
    </w:p>
    <w:p w14:paraId="72F7A7FB" w14:textId="7DC38F5D" w:rsidR="00B90B2D" w:rsidRPr="00127BD4" w:rsidRDefault="00B90B2D" w:rsidP="000D6E21">
      <w:pPr>
        <w:pStyle w:val="Prrafodelista"/>
        <w:numPr>
          <w:ilvl w:val="0"/>
          <w:numId w:val="5"/>
        </w:numPr>
        <w:tabs>
          <w:tab w:val="left" w:pos="-2268"/>
        </w:tabs>
        <w:suppressAutoHyphens/>
        <w:ind w:left="567" w:hanging="567"/>
        <w:rPr>
          <w:spacing w:val="-3"/>
          <w:lang w:val="es-CO"/>
        </w:rPr>
      </w:pPr>
      <w:r w:rsidRPr="004068F6">
        <w:rPr>
          <w:spacing w:val="-3"/>
          <w:lang w:val="es-CO"/>
        </w:rPr>
        <w:lastRenderedPageBreak/>
        <w:t xml:space="preserve">Establecer </w:t>
      </w:r>
      <w:r w:rsidR="00DD4E34" w:rsidRPr="004068F6">
        <w:rPr>
          <w:spacing w:val="-3"/>
          <w:lang w:val="es-CO"/>
        </w:rPr>
        <w:t xml:space="preserve">métodos </w:t>
      </w:r>
      <w:r w:rsidRPr="004068F6">
        <w:rPr>
          <w:spacing w:val="-3"/>
          <w:lang w:val="es-CO"/>
        </w:rPr>
        <w:t>de encuentro o reporte de nidos, huevos, polluelos, juveniles o inmaduros, según el grupo de fauna de interés.</w:t>
      </w:r>
    </w:p>
    <w:p w14:paraId="7A5FD9AD" w14:textId="77777777" w:rsidR="001E530C" w:rsidRPr="004068F6" w:rsidRDefault="001E530C" w:rsidP="000D6E21">
      <w:pPr>
        <w:tabs>
          <w:tab w:val="left" w:pos="-2268"/>
        </w:tabs>
        <w:suppressAutoHyphens/>
        <w:rPr>
          <w:spacing w:val="-3"/>
        </w:rPr>
      </w:pPr>
    </w:p>
    <w:p w14:paraId="21F43030" w14:textId="2EA72F4B" w:rsidR="00B90B2D" w:rsidRPr="004068F6" w:rsidRDefault="00B90B2D" w:rsidP="00573ED0">
      <w:pPr>
        <w:pStyle w:val="Prrafodelista"/>
        <w:numPr>
          <w:ilvl w:val="0"/>
          <w:numId w:val="5"/>
        </w:numPr>
        <w:tabs>
          <w:tab w:val="left" w:pos="-2268"/>
        </w:tabs>
        <w:suppressAutoHyphens/>
        <w:ind w:left="567" w:hanging="567"/>
        <w:rPr>
          <w:spacing w:val="-3"/>
          <w:lang w:val="es-CO"/>
        </w:rPr>
      </w:pPr>
      <w:r w:rsidRPr="004068F6">
        <w:rPr>
          <w:spacing w:val="-3"/>
          <w:lang w:val="es-CO"/>
        </w:rPr>
        <w:t xml:space="preserve">Considerar la posible sub o sobrestimación de los ejemplares de acuerdo con la proporción sexual de cada especie. </w:t>
      </w:r>
      <w:r w:rsidR="000A276B" w:rsidRPr="004068F6">
        <w:rPr>
          <w:spacing w:val="-3"/>
          <w:lang w:val="es-CO"/>
        </w:rPr>
        <w:t xml:space="preserve">En este sentido, </w:t>
      </w:r>
      <w:r w:rsidRPr="004068F6">
        <w:rPr>
          <w:spacing w:val="-3"/>
          <w:lang w:val="es-CO"/>
        </w:rPr>
        <w:t xml:space="preserve">se debe realizar el marcaje o anillamiento de individuos </w:t>
      </w:r>
      <w:r w:rsidR="000A276B" w:rsidRPr="004068F6">
        <w:rPr>
          <w:spacing w:val="-3"/>
          <w:lang w:val="es-CO"/>
        </w:rPr>
        <w:t xml:space="preserve">y </w:t>
      </w:r>
      <w:r w:rsidRPr="004068F6">
        <w:rPr>
          <w:spacing w:val="-3"/>
          <w:lang w:val="es-CO"/>
        </w:rPr>
        <w:t xml:space="preserve">obtener información sobre el sexo de </w:t>
      </w:r>
      <w:r w:rsidR="000A276B" w:rsidRPr="004068F6">
        <w:rPr>
          <w:spacing w:val="-3"/>
          <w:lang w:val="es-CO"/>
        </w:rPr>
        <w:t xml:space="preserve">éstos con el fin de determinar el </w:t>
      </w:r>
      <w:r w:rsidRPr="004068F6">
        <w:rPr>
          <w:spacing w:val="-3"/>
          <w:lang w:val="es-CO"/>
        </w:rPr>
        <w:t xml:space="preserve">efecto </w:t>
      </w:r>
      <w:r w:rsidR="00272CBF" w:rsidRPr="004068F6">
        <w:rPr>
          <w:spacing w:val="-3"/>
          <w:lang w:val="es-CO"/>
        </w:rPr>
        <w:t xml:space="preserve">que tendrá </w:t>
      </w:r>
      <w:r w:rsidR="000A276B" w:rsidRPr="004068F6">
        <w:rPr>
          <w:spacing w:val="-3"/>
          <w:lang w:val="es-CO"/>
        </w:rPr>
        <w:t xml:space="preserve">la captura </w:t>
      </w:r>
      <w:r w:rsidRPr="004068F6">
        <w:rPr>
          <w:spacing w:val="-3"/>
          <w:lang w:val="es-CO"/>
        </w:rPr>
        <w:t xml:space="preserve">durante las actividades de caza, así como </w:t>
      </w:r>
      <w:r w:rsidR="000A276B" w:rsidRPr="004068F6">
        <w:rPr>
          <w:spacing w:val="-3"/>
          <w:lang w:val="es-CO"/>
        </w:rPr>
        <w:t xml:space="preserve">de </w:t>
      </w:r>
      <w:r w:rsidRPr="004068F6">
        <w:rPr>
          <w:spacing w:val="-3"/>
          <w:lang w:val="es-CO"/>
        </w:rPr>
        <w:t>garantizar la independencia de los datos y evitar el registro de ejemplares “repetidos”.</w:t>
      </w:r>
    </w:p>
    <w:p w14:paraId="6E67F08F" w14:textId="77777777" w:rsidR="00DB0301" w:rsidRPr="004068F6" w:rsidRDefault="00DB0301" w:rsidP="000D6E21">
      <w:pPr>
        <w:tabs>
          <w:tab w:val="left" w:pos="-2268"/>
        </w:tabs>
        <w:suppressAutoHyphens/>
        <w:rPr>
          <w:spacing w:val="-3"/>
        </w:rPr>
      </w:pPr>
    </w:p>
    <w:p w14:paraId="2FE95969" w14:textId="1069CBA8" w:rsidR="00B90B2D" w:rsidRPr="00127BD4" w:rsidRDefault="000A276B" w:rsidP="000D6E21">
      <w:pPr>
        <w:pStyle w:val="Prrafodelista"/>
        <w:numPr>
          <w:ilvl w:val="0"/>
          <w:numId w:val="5"/>
        </w:numPr>
        <w:tabs>
          <w:tab w:val="left" w:pos="-2268"/>
        </w:tabs>
        <w:suppressAutoHyphens/>
        <w:ind w:left="567" w:hanging="567"/>
        <w:rPr>
          <w:spacing w:val="-3"/>
          <w:lang w:val="es-CO"/>
        </w:rPr>
      </w:pPr>
      <w:r w:rsidRPr="00127BD4">
        <w:rPr>
          <w:iCs/>
          <w:spacing w:val="-3"/>
          <w:lang w:val="es-CO"/>
        </w:rPr>
        <w:t>E</w:t>
      </w:r>
      <w:r w:rsidR="00B90B2D" w:rsidRPr="00127BD4">
        <w:rPr>
          <w:iCs/>
          <w:spacing w:val="-3"/>
          <w:lang w:val="es-CO"/>
        </w:rPr>
        <w:t xml:space="preserve">specificar si las especies presentan monogamia, y en caso tal, establecer </w:t>
      </w:r>
      <w:r w:rsidRPr="00127BD4">
        <w:rPr>
          <w:iCs/>
          <w:spacing w:val="-3"/>
          <w:lang w:val="es-CO"/>
        </w:rPr>
        <w:t xml:space="preserve">acciones que </w:t>
      </w:r>
      <w:r w:rsidR="00B90B2D" w:rsidRPr="00127BD4">
        <w:rPr>
          <w:iCs/>
          <w:spacing w:val="-3"/>
          <w:lang w:val="es-CO"/>
        </w:rPr>
        <w:t>evit</w:t>
      </w:r>
      <w:r w:rsidRPr="00127BD4">
        <w:rPr>
          <w:iCs/>
          <w:spacing w:val="-3"/>
          <w:lang w:val="es-CO"/>
        </w:rPr>
        <w:t>en</w:t>
      </w:r>
      <w:r w:rsidR="00B90B2D" w:rsidRPr="00127BD4">
        <w:rPr>
          <w:iCs/>
          <w:spacing w:val="-3"/>
          <w:lang w:val="es-CO"/>
        </w:rPr>
        <w:t xml:space="preserve"> la separación de parejas establecidas. </w:t>
      </w:r>
      <w:r w:rsidRPr="00127BD4">
        <w:rPr>
          <w:iCs/>
          <w:spacing w:val="-3"/>
          <w:lang w:val="es-CO"/>
        </w:rPr>
        <w:t xml:space="preserve">La cantidad de parejas establecidas </w:t>
      </w:r>
      <w:r w:rsidR="00B90B2D" w:rsidRPr="00127BD4">
        <w:rPr>
          <w:iCs/>
          <w:spacing w:val="-3"/>
          <w:lang w:val="es-CO"/>
        </w:rPr>
        <w:t>debe ser registrad</w:t>
      </w:r>
      <w:r w:rsidRPr="00127BD4">
        <w:rPr>
          <w:iCs/>
          <w:spacing w:val="-3"/>
          <w:lang w:val="es-CO"/>
        </w:rPr>
        <w:t>a</w:t>
      </w:r>
      <w:r w:rsidR="00B90B2D" w:rsidRPr="00127BD4">
        <w:rPr>
          <w:iCs/>
          <w:spacing w:val="-3"/>
          <w:lang w:val="es-CO"/>
        </w:rPr>
        <w:t xml:space="preserve"> como un parámetro dentro de los estudios poblacionales</w:t>
      </w:r>
      <w:r w:rsidRPr="00127BD4">
        <w:rPr>
          <w:iCs/>
          <w:spacing w:val="-3"/>
          <w:lang w:val="es-CO"/>
        </w:rPr>
        <w:t xml:space="preserve">, con el propósito de brindar un criterio adicional que complemente </w:t>
      </w:r>
      <w:r w:rsidR="00B90B2D" w:rsidRPr="00127BD4">
        <w:rPr>
          <w:iCs/>
          <w:spacing w:val="-3"/>
          <w:lang w:val="es-CO"/>
        </w:rPr>
        <w:t xml:space="preserve">la estimación del </w:t>
      </w:r>
      <w:r w:rsidRPr="00127BD4">
        <w:rPr>
          <w:iCs/>
          <w:spacing w:val="-3"/>
          <w:lang w:val="es-CO"/>
        </w:rPr>
        <w:t xml:space="preserve">impacto </w:t>
      </w:r>
      <w:r w:rsidR="00B90B2D" w:rsidRPr="00127BD4">
        <w:rPr>
          <w:iCs/>
          <w:spacing w:val="-3"/>
          <w:lang w:val="es-CO"/>
        </w:rPr>
        <w:t>de la caza de fomento</w:t>
      </w:r>
      <w:r w:rsidRPr="00127BD4">
        <w:rPr>
          <w:iCs/>
          <w:spacing w:val="-3"/>
          <w:lang w:val="es-CO"/>
        </w:rPr>
        <w:t xml:space="preserve"> en las poblaciones naturales</w:t>
      </w:r>
      <w:r w:rsidR="00B90B2D" w:rsidRPr="00127BD4">
        <w:rPr>
          <w:iCs/>
          <w:spacing w:val="-3"/>
          <w:lang w:val="es-CO"/>
        </w:rPr>
        <w:t>.</w:t>
      </w:r>
    </w:p>
    <w:p w14:paraId="2949F52C" w14:textId="77777777" w:rsidR="001E530C" w:rsidRPr="004068F6" w:rsidRDefault="001E530C" w:rsidP="000D6E21">
      <w:pPr>
        <w:tabs>
          <w:tab w:val="left" w:pos="-2268"/>
        </w:tabs>
        <w:suppressAutoHyphens/>
        <w:rPr>
          <w:iCs/>
          <w:spacing w:val="-3"/>
        </w:rPr>
      </w:pPr>
    </w:p>
    <w:p w14:paraId="2617DEEC" w14:textId="13C953C1" w:rsidR="00B90B2D" w:rsidRPr="004068F6" w:rsidRDefault="000A276B" w:rsidP="000D6E21">
      <w:pPr>
        <w:pStyle w:val="Prrafodelista"/>
        <w:numPr>
          <w:ilvl w:val="0"/>
          <w:numId w:val="5"/>
        </w:numPr>
        <w:tabs>
          <w:tab w:val="left" w:pos="-2268"/>
        </w:tabs>
        <w:suppressAutoHyphens/>
        <w:ind w:left="567" w:hanging="567"/>
        <w:rPr>
          <w:spacing w:val="-3"/>
          <w:lang w:val="es-CO"/>
        </w:rPr>
      </w:pPr>
      <w:r w:rsidRPr="004068F6">
        <w:rPr>
          <w:spacing w:val="-3"/>
          <w:lang w:val="es-CO"/>
        </w:rPr>
        <w:t>G</w:t>
      </w:r>
      <w:r w:rsidR="00B90B2D" w:rsidRPr="004068F6">
        <w:rPr>
          <w:spacing w:val="-3"/>
          <w:lang w:val="es-CO"/>
        </w:rPr>
        <w:t>arantizar la liberación de los individuos colectados en campo exactamente en el mismo lugar de captura en el sentido micro</w:t>
      </w:r>
      <w:r w:rsidRPr="004068F6">
        <w:rPr>
          <w:spacing w:val="-3"/>
          <w:lang w:val="es-CO"/>
        </w:rPr>
        <w:t xml:space="preserve"> </w:t>
      </w:r>
      <w:r w:rsidR="00B90B2D" w:rsidRPr="004068F6">
        <w:rPr>
          <w:spacing w:val="-3"/>
          <w:lang w:val="es-CO"/>
        </w:rPr>
        <w:t>espacial</w:t>
      </w:r>
      <w:r w:rsidRPr="004068F6">
        <w:rPr>
          <w:spacing w:val="-3"/>
          <w:lang w:val="es-CO"/>
        </w:rPr>
        <w:t>; por ello</w:t>
      </w:r>
      <w:r w:rsidR="00B90B2D" w:rsidRPr="004068F6">
        <w:rPr>
          <w:spacing w:val="-3"/>
          <w:lang w:val="es-CO"/>
        </w:rPr>
        <w:t>, todo evento de colecta de individuos durante el estudio poblacional debe registra</w:t>
      </w:r>
      <w:r w:rsidRPr="004068F6">
        <w:rPr>
          <w:spacing w:val="-3"/>
          <w:lang w:val="es-CO"/>
        </w:rPr>
        <w:t xml:space="preserve">rse </w:t>
      </w:r>
      <w:r w:rsidR="00B90B2D" w:rsidRPr="004068F6">
        <w:rPr>
          <w:spacing w:val="-3"/>
          <w:lang w:val="es-CO"/>
        </w:rPr>
        <w:t>fotográficamente y con GPS. L</w:t>
      </w:r>
      <w:r w:rsidRPr="004068F6">
        <w:rPr>
          <w:spacing w:val="-3"/>
          <w:lang w:val="es-CO"/>
        </w:rPr>
        <w:t>os</w:t>
      </w:r>
      <w:r w:rsidR="00B90B2D" w:rsidRPr="004068F6">
        <w:rPr>
          <w:spacing w:val="-3"/>
          <w:lang w:val="es-CO"/>
        </w:rPr>
        <w:t xml:space="preserve"> metadat</w:t>
      </w:r>
      <w:r w:rsidRPr="004068F6">
        <w:rPr>
          <w:spacing w:val="-3"/>
          <w:lang w:val="es-CO"/>
        </w:rPr>
        <w:t>os</w:t>
      </w:r>
      <w:r w:rsidR="00B90B2D" w:rsidRPr="004068F6">
        <w:rPr>
          <w:spacing w:val="-3"/>
          <w:lang w:val="es-CO"/>
        </w:rPr>
        <w:t xml:space="preserve"> de la fotografía debe</w:t>
      </w:r>
      <w:r w:rsidRPr="004068F6">
        <w:rPr>
          <w:spacing w:val="-3"/>
          <w:lang w:val="es-CO"/>
        </w:rPr>
        <w:t xml:space="preserve">n </w:t>
      </w:r>
      <w:r w:rsidR="00B90B2D" w:rsidRPr="004068F6">
        <w:rPr>
          <w:spacing w:val="-3"/>
          <w:lang w:val="es-CO"/>
        </w:rPr>
        <w:t xml:space="preserve">incluir </w:t>
      </w:r>
      <w:r w:rsidRPr="004068F6">
        <w:rPr>
          <w:spacing w:val="-3"/>
          <w:lang w:val="es-CO"/>
        </w:rPr>
        <w:t>los datos espaciales</w:t>
      </w:r>
      <w:r w:rsidR="00B90B2D" w:rsidRPr="004068F6">
        <w:rPr>
          <w:spacing w:val="-3"/>
          <w:lang w:val="es-CO"/>
        </w:rPr>
        <w:t>.</w:t>
      </w:r>
    </w:p>
    <w:p w14:paraId="46A44922" w14:textId="77777777" w:rsidR="001E530C" w:rsidRPr="004068F6" w:rsidRDefault="001E530C" w:rsidP="000D6E21">
      <w:pPr>
        <w:tabs>
          <w:tab w:val="left" w:pos="-2268"/>
        </w:tabs>
        <w:suppressAutoHyphens/>
        <w:rPr>
          <w:spacing w:val="-3"/>
        </w:rPr>
      </w:pPr>
    </w:p>
    <w:p w14:paraId="7CCFCC09" w14:textId="6592B92E" w:rsidR="00B90B2D" w:rsidRPr="00127BD4" w:rsidRDefault="00B90B2D" w:rsidP="000D6E21">
      <w:pPr>
        <w:pStyle w:val="Prrafodelista"/>
        <w:numPr>
          <w:ilvl w:val="0"/>
          <w:numId w:val="5"/>
        </w:numPr>
        <w:tabs>
          <w:tab w:val="left" w:pos="-2268"/>
        </w:tabs>
        <w:suppressAutoHyphens/>
        <w:ind w:left="567" w:hanging="567"/>
        <w:rPr>
          <w:spacing w:val="-3"/>
          <w:lang w:val="es-CO"/>
        </w:rPr>
      </w:pPr>
      <w:r w:rsidRPr="004068F6">
        <w:rPr>
          <w:spacing w:val="-3"/>
          <w:lang w:val="es-CO"/>
        </w:rPr>
        <w:t xml:space="preserve">Presentar la información espacial, incluidos los registros biológicos de colectas de individuos y de las estaciones de muestreo en </w:t>
      </w:r>
      <w:r w:rsidR="000A276B" w:rsidRPr="004068F6">
        <w:rPr>
          <w:spacing w:val="-3"/>
          <w:lang w:val="es-CO"/>
        </w:rPr>
        <w:t xml:space="preserve">tablas </w:t>
      </w:r>
      <w:r w:rsidRPr="004068F6">
        <w:rPr>
          <w:spacing w:val="-3"/>
          <w:lang w:val="es-CO"/>
        </w:rPr>
        <w:t>de datos estandarizad</w:t>
      </w:r>
      <w:r w:rsidR="000A276B" w:rsidRPr="004068F6">
        <w:rPr>
          <w:spacing w:val="-3"/>
          <w:lang w:val="es-CO"/>
        </w:rPr>
        <w:t>as</w:t>
      </w:r>
      <w:r w:rsidRPr="004068F6">
        <w:rPr>
          <w:spacing w:val="-3"/>
          <w:lang w:val="es-CO"/>
        </w:rPr>
        <w:t>. La información cartográfica debe incluir los puntos de muestreo y las tablas de atributos asociadas a cada registro, de acuerdo con los parámetros establecidos en la Resolución 2182 de 2016 o aquella que la modifique o sustituya.</w:t>
      </w:r>
    </w:p>
    <w:p w14:paraId="4C6D2CFB" w14:textId="77777777" w:rsidR="001E530C" w:rsidRPr="004068F6" w:rsidRDefault="001E530C" w:rsidP="000D6E21">
      <w:pPr>
        <w:tabs>
          <w:tab w:val="left" w:pos="-2268"/>
        </w:tabs>
        <w:suppressAutoHyphens/>
        <w:rPr>
          <w:spacing w:val="-3"/>
        </w:rPr>
      </w:pPr>
    </w:p>
    <w:p w14:paraId="30321BE5" w14:textId="637549B7" w:rsidR="00B90B2D" w:rsidRPr="00127BD4" w:rsidRDefault="00603930" w:rsidP="000D6E21">
      <w:pPr>
        <w:pStyle w:val="Prrafodelista"/>
        <w:numPr>
          <w:ilvl w:val="0"/>
          <w:numId w:val="5"/>
        </w:numPr>
        <w:tabs>
          <w:tab w:val="left" w:pos="-2268"/>
        </w:tabs>
        <w:suppressAutoHyphens/>
        <w:ind w:left="567" w:hanging="567"/>
        <w:rPr>
          <w:spacing w:val="-3"/>
          <w:lang w:val="es-CO"/>
        </w:rPr>
      </w:pPr>
      <w:r w:rsidRPr="004068F6">
        <w:rPr>
          <w:spacing w:val="-3"/>
          <w:lang w:val="es-CO"/>
        </w:rPr>
        <w:t xml:space="preserve">Publicar </w:t>
      </w:r>
      <w:r w:rsidR="000E3904" w:rsidRPr="004068F6">
        <w:rPr>
          <w:spacing w:val="-3"/>
          <w:lang w:val="es-CO"/>
        </w:rPr>
        <w:t>a través de</w:t>
      </w:r>
      <w:r w:rsidR="00B90B2D" w:rsidRPr="004068F6">
        <w:rPr>
          <w:spacing w:val="-3"/>
          <w:lang w:val="es-CO"/>
        </w:rPr>
        <w:t xml:space="preserve">l </w:t>
      </w:r>
      <w:r w:rsidR="002C22B8" w:rsidRPr="004068F6">
        <w:rPr>
          <w:spacing w:val="-3"/>
          <w:lang w:val="es-CO"/>
        </w:rPr>
        <w:t>SiB Colombia</w:t>
      </w:r>
      <w:r w:rsidR="00B90B2D" w:rsidRPr="004068F6">
        <w:rPr>
          <w:spacing w:val="-3"/>
          <w:lang w:val="es-CO"/>
        </w:rPr>
        <w:t xml:space="preserve"> toda la información de colecta de individuos, incluyendo los conteos realizados, las especies identificadas, las localidades de colecta, las coordenadas registradas y demás información solicitada en el aplicativo </w:t>
      </w:r>
      <w:r w:rsidR="002C22B8" w:rsidRPr="004068F6">
        <w:rPr>
          <w:spacing w:val="-3"/>
          <w:lang w:val="es-CO"/>
        </w:rPr>
        <w:t>de dicho sistema</w:t>
      </w:r>
      <w:r w:rsidR="00B90B2D" w:rsidRPr="004068F6">
        <w:rPr>
          <w:spacing w:val="-3"/>
          <w:lang w:val="es-CO"/>
        </w:rPr>
        <w:t>.</w:t>
      </w:r>
    </w:p>
    <w:p w14:paraId="09E18702" w14:textId="44CD4292" w:rsidR="00FF2506" w:rsidRPr="004068F6" w:rsidRDefault="00FF2506">
      <w:pPr>
        <w:tabs>
          <w:tab w:val="left" w:pos="-2268"/>
        </w:tabs>
        <w:suppressAutoHyphens/>
        <w:rPr>
          <w:spacing w:val="-3"/>
        </w:rPr>
      </w:pPr>
    </w:p>
    <w:p w14:paraId="694F6B76" w14:textId="45B03D47" w:rsidR="007A3BA6" w:rsidRPr="00466E26" w:rsidRDefault="007A3BA6" w:rsidP="000A1E20">
      <w:pPr>
        <w:pStyle w:val="Ttulo3"/>
      </w:pPr>
      <w:bookmarkStart w:id="3175" w:name="_Toc230879685"/>
      <w:r w:rsidRPr="00466E26">
        <w:t>Determinación de las especies y cantidad de especímenes que compondrán la población parental</w:t>
      </w:r>
      <w:bookmarkEnd w:id="3175"/>
    </w:p>
    <w:p w14:paraId="0F8DFC8B" w14:textId="77777777" w:rsidR="007A3BA6" w:rsidRPr="004068F6" w:rsidRDefault="007A3BA6">
      <w:pPr>
        <w:tabs>
          <w:tab w:val="left" w:pos="-2268"/>
        </w:tabs>
        <w:suppressAutoHyphens/>
        <w:rPr>
          <w:spacing w:val="-3"/>
        </w:rPr>
      </w:pPr>
    </w:p>
    <w:p w14:paraId="7B26FC80" w14:textId="177C1251" w:rsidR="007A3BA6" w:rsidRPr="004068F6" w:rsidRDefault="007A3BA6">
      <w:pPr>
        <w:tabs>
          <w:tab w:val="left" w:pos="-2268"/>
        </w:tabs>
        <w:suppressAutoHyphens/>
        <w:rPr>
          <w:spacing w:val="-3"/>
        </w:rPr>
      </w:pPr>
      <w:r w:rsidRPr="004068F6">
        <w:rPr>
          <w:spacing w:val="-3"/>
        </w:rPr>
        <w:t xml:space="preserve">A partir de los resultados del estudio para determinar la viabilidad biológica de las actividades de caza de fomento, se debe </w:t>
      </w:r>
      <w:r w:rsidR="00801D9C" w:rsidRPr="004068F6">
        <w:rPr>
          <w:spacing w:val="-3"/>
        </w:rPr>
        <w:t>establecer</w:t>
      </w:r>
      <w:r w:rsidRPr="004068F6">
        <w:rPr>
          <w:spacing w:val="-3"/>
        </w:rPr>
        <w:t xml:space="preserve"> tanto las especies, como la cantidad de especímenes </w:t>
      </w:r>
      <w:r w:rsidR="00F83C9D" w:rsidRPr="004068F6">
        <w:rPr>
          <w:spacing w:val="-3"/>
        </w:rPr>
        <w:t xml:space="preserve">destinada a componer </w:t>
      </w:r>
      <w:r w:rsidRPr="004068F6">
        <w:rPr>
          <w:spacing w:val="-3"/>
        </w:rPr>
        <w:t xml:space="preserve">la población parental </w:t>
      </w:r>
      <w:r w:rsidR="00004DA5" w:rsidRPr="004068F6">
        <w:rPr>
          <w:spacing w:val="-3"/>
        </w:rPr>
        <w:t xml:space="preserve">para </w:t>
      </w:r>
      <w:r w:rsidR="00F83C9D" w:rsidRPr="004068F6">
        <w:rPr>
          <w:spacing w:val="-3"/>
        </w:rPr>
        <w:t xml:space="preserve">las cuales se solicita el permiso </w:t>
      </w:r>
      <w:r w:rsidRPr="004068F6">
        <w:rPr>
          <w:spacing w:val="-3"/>
        </w:rPr>
        <w:t>de caza</w:t>
      </w:r>
      <w:r w:rsidR="00F83C9D" w:rsidRPr="004068F6">
        <w:rPr>
          <w:spacing w:val="-3"/>
        </w:rPr>
        <w:t xml:space="preserve"> de fomento</w:t>
      </w:r>
      <w:r w:rsidRPr="004068F6">
        <w:rPr>
          <w:spacing w:val="-3"/>
        </w:rPr>
        <w:t>.</w:t>
      </w:r>
    </w:p>
    <w:p w14:paraId="1BFD9BE2" w14:textId="77777777" w:rsidR="007A3BA6" w:rsidRDefault="007A3BA6" w:rsidP="000D6E21">
      <w:pPr>
        <w:tabs>
          <w:tab w:val="left" w:pos="-2268"/>
        </w:tabs>
        <w:suppressAutoHyphens/>
        <w:rPr>
          <w:spacing w:val="-3"/>
        </w:rPr>
      </w:pPr>
    </w:p>
    <w:p w14:paraId="1E6D3D19" w14:textId="77777777" w:rsidR="007A79DC" w:rsidRPr="004068F6" w:rsidRDefault="007A79DC" w:rsidP="000D6E21">
      <w:pPr>
        <w:tabs>
          <w:tab w:val="left" w:pos="-2268"/>
        </w:tabs>
        <w:suppressAutoHyphens/>
        <w:rPr>
          <w:spacing w:val="-3"/>
        </w:rPr>
      </w:pPr>
    </w:p>
    <w:p w14:paraId="4321B1DD" w14:textId="152BB9BE" w:rsidR="00BE1894" w:rsidRPr="00466E26" w:rsidRDefault="00BE1894" w:rsidP="000A1E20">
      <w:pPr>
        <w:pStyle w:val="Ttulo3"/>
      </w:pPr>
      <w:bookmarkStart w:id="3176" w:name="_Toc175326458"/>
      <w:bookmarkStart w:id="3177" w:name="_Toc175326459"/>
      <w:bookmarkStart w:id="3178" w:name="_Toc175326460"/>
      <w:bookmarkStart w:id="3179" w:name="_Toc175326461"/>
      <w:bookmarkStart w:id="3180" w:name="_Toc230879686"/>
      <w:bookmarkEnd w:id="3176"/>
      <w:bookmarkEnd w:id="3177"/>
      <w:bookmarkEnd w:id="3178"/>
      <w:bookmarkEnd w:id="3179"/>
      <w:r w:rsidRPr="00466E26">
        <w:lastRenderedPageBreak/>
        <w:t xml:space="preserve">Descripción de los sistemas de selección de especímenes, de caza y </w:t>
      </w:r>
      <w:r w:rsidR="00503070" w:rsidRPr="00466E26">
        <w:t xml:space="preserve">de </w:t>
      </w:r>
      <w:r w:rsidRPr="00466E26">
        <w:t>captura a emplear, señalando la época de ejecución de estas labores</w:t>
      </w:r>
      <w:bookmarkEnd w:id="3180"/>
    </w:p>
    <w:p w14:paraId="3ABC051D" w14:textId="77777777" w:rsidR="005E0D79" w:rsidRPr="004068F6" w:rsidRDefault="005E0D79" w:rsidP="000D6E21">
      <w:pPr>
        <w:rPr>
          <w:rFonts w:cs="Arial"/>
          <w:spacing w:val="-3"/>
        </w:rPr>
      </w:pPr>
    </w:p>
    <w:p w14:paraId="1E1DBDDE" w14:textId="77777777" w:rsidR="00387CD2" w:rsidRPr="004068F6" w:rsidRDefault="00743F14" w:rsidP="003D211E">
      <w:pPr>
        <w:rPr>
          <w:rFonts w:cs="Arial"/>
          <w:spacing w:val="-3"/>
        </w:rPr>
      </w:pPr>
      <w:r w:rsidRPr="004068F6">
        <w:rPr>
          <w:rFonts w:cs="Arial"/>
          <w:spacing w:val="-3"/>
        </w:rPr>
        <w:t xml:space="preserve">La descripción de las actividades asociadas a la caza de fomento debe </w:t>
      </w:r>
      <w:r w:rsidR="006517C1" w:rsidRPr="004068F6">
        <w:rPr>
          <w:rFonts w:cs="Arial"/>
          <w:spacing w:val="-3"/>
        </w:rPr>
        <w:t xml:space="preserve">especificar las técnicas a emplear para </w:t>
      </w:r>
      <w:r w:rsidR="00CA64D6" w:rsidRPr="004068F6">
        <w:rPr>
          <w:rFonts w:cs="Arial"/>
          <w:spacing w:val="-3"/>
        </w:rPr>
        <w:t xml:space="preserve">seleccionar y </w:t>
      </w:r>
      <w:r w:rsidR="006517C1" w:rsidRPr="004068F6">
        <w:rPr>
          <w:rFonts w:cs="Arial"/>
          <w:spacing w:val="-3"/>
        </w:rPr>
        <w:t>captura</w:t>
      </w:r>
      <w:r w:rsidR="00CA64D6" w:rsidRPr="004068F6">
        <w:rPr>
          <w:rFonts w:cs="Arial"/>
          <w:spacing w:val="-3"/>
        </w:rPr>
        <w:t>r</w:t>
      </w:r>
      <w:r w:rsidR="006517C1" w:rsidRPr="004068F6">
        <w:rPr>
          <w:rFonts w:cs="Arial"/>
          <w:spacing w:val="-3"/>
        </w:rPr>
        <w:t xml:space="preserve"> los individuos</w:t>
      </w:r>
      <w:r w:rsidR="00594B4C" w:rsidRPr="004068F6">
        <w:rPr>
          <w:rFonts w:cs="Arial"/>
          <w:spacing w:val="-3"/>
        </w:rPr>
        <w:t>, así como</w:t>
      </w:r>
      <w:r w:rsidR="006517C1" w:rsidRPr="004068F6">
        <w:rPr>
          <w:rFonts w:cs="Arial"/>
          <w:spacing w:val="-3"/>
        </w:rPr>
        <w:t xml:space="preserve"> </w:t>
      </w:r>
      <w:r w:rsidRPr="004068F6">
        <w:rPr>
          <w:rFonts w:cs="Arial"/>
          <w:spacing w:val="-3"/>
        </w:rPr>
        <w:t xml:space="preserve">acompañarse de </w:t>
      </w:r>
      <w:r w:rsidR="00FF2506" w:rsidRPr="004068F6">
        <w:rPr>
          <w:rFonts w:cs="Arial"/>
          <w:spacing w:val="-3"/>
        </w:rPr>
        <w:t>un cronograma detallado</w:t>
      </w:r>
      <w:r w:rsidRPr="004068F6">
        <w:rPr>
          <w:rFonts w:cs="Arial"/>
          <w:spacing w:val="-3"/>
        </w:rPr>
        <w:t xml:space="preserve"> que señale el periodo de </w:t>
      </w:r>
      <w:r w:rsidR="00FF2506" w:rsidRPr="004068F6">
        <w:rPr>
          <w:rFonts w:cs="Arial"/>
          <w:spacing w:val="-3"/>
        </w:rPr>
        <w:t xml:space="preserve">tiempo estimado de </w:t>
      </w:r>
      <w:r w:rsidRPr="004068F6">
        <w:rPr>
          <w:rFonts w:cs="Arial"/>
          <w:spacing w:val="-3"/>
        </w:rPr>
        <w:t xml:space="preserve">ejecución de </w:t>
      </w:r>
      <w:r w:rsidR="00FF2506" w:rsidRPr="004068F6">
        <w:rPr>
          <w:rFonts w:cs="Arial"/>
          <w:spacing w:val="-3"/>
        </w:rPr>
        <w:t>cada actividad</w:t>
      </w:r>
      <w:r w:rsidR="006517C1" w:rsidRPr="004068F6">
        <w:rPr>
          <w:rFonts w:cs="Arial"/>
          <w:spacing w:val="-3"/>
        </w:rPr>
        <w:t xml:space="preserve"> y</w:t>
      </w:r>
      <w:r w:rsidR="00FF2506" w:rsidRPr="004068F6">
        <w:rPr>
          <w:rFonts w:cs="Arial"/>
          <w:spacing w:val="-3"/>
        </w:rPr>
        <w:t xml:space="preserve"> la cantidad de individuos a ser capturados para cada una de las especies objeto de </w:t>
      </w:r>
      <w:r w:rsidRPr="004068F6">
        <w:rPr>
          <w:rFonts w:cs="Arial"/>
          <w:spacing w:val="-3"/>
        </w:rPr>
        <w:t>caza</w:t>
      </w:r>
      <w:r w:rsidR="00FF2506" w:rsidRPr="004068F6">
        <w:rPr>
          <w:rFonts w:cs="Arial"/>
          <w:spacing w:val="-3"/>
        </w:rPr>
        <w:t>. Dicho cronograma debe ser presentado en formato Gantt en escala semanal.</w:t>
      </w:r>
    </w:p>
    <w:p w14:paraId="6D7C5781" w14:textId="77777777" w:rsidR="00387CD2" w:rsidRPr="004068F6" w:rsidRDefault="00387CD2" w:rsidP="003D211E">
      <w:pPr>
        <w:rPr>
          <w:rFonts w:cs="Arial"/>
          <w:spacing w:val="-3"/>
        </w:rPr>
      </w:pPr>
    </w:p>
    <w:p w14:paraId="7D760A6E" w14:textId="568BCD3E" w:rsidR="005D1F3D" w:rsidRPr="004068F6" w:rsidRDefault="00801D9C" w:rsidP="000D6E21">
      <w:pPr>
        <w:rPr>
          <w:spacing w:val="-3"/>
        </w:rPr>
      </w:pPr>
      <w:r w:rsidRPr="004068F6">
        <w:rPr>
          <w:rFonts w:cs="Arial"/>
          <w:spacing w:val="-3"/>
        </w:rPr>
        <w:t xml:space="preserve">La </w:t>
      </w:r>
      <w:r w:rsidR="00387CD2" w:rsidRPr="004068F6">
        <w:rPr>
          <w:rFonts w:cs="Arial"/>
          <w:spacing w:val="-3"/>
        </w:rPr>
        <w:t xml:space="preserve">descripción de las </w:t>
      </w:r>
      <w:r w:rsidRPr="004068F6">
        <w:rPr>
          <w:rFonts w:cs="Arial"/>
          <w:spacing w:val="-3"/>
        </w:rPr>
        <w:t>actividades de caza de fomento debe</w:t>
      </w:r>
      <w:r w:rsidR="00387CD2" w:rsidRPr="004068F6">
        <w:rPr>
          <w:rFonts w:cs="Arial"/>
          <w:spacing w:val="-3"/>
        </w:rPr>
        <w:t xml:space="preserve"> referirse también a los sistemas de transporte a emplear, </w:t>
      </w:r>
      <w:r w:rsidR="00387CD2" w:rsidRPr="004068F6">
        <w:rPr>
          <w:spacing w:val="-3"/>
        </w:rPr>
        <w:t xml:space="preserve">mencionando </w:t>
      </w:r>
      <w:r w:rsidR="005D1F3D" w:rsidRPr="004068F6">
        <w:rPr>
          <w:spacing w:val="-3"/>
        </w:rPr>
        <w:t xml:space="preserve">detalladamente cómo se </w:t>
      </w:r>
      <w:r w:rsidR="00387CD2" w:rsidRPr="004068F6">
        <w:rPr>
          <w:spacing w:val="-3"/>
        </w:rPr>
        <w:t xml:space="preserve">prevé </w:t>
      </w:r>
      <w:r w:rsidR="005D1F3D" w:rsidRPr="004068F6">
        <w:rPr>
          <w:spacing w:val="-3"/>
        </w:rPr>
        <w:t>el transporte de los especímenes desde el lugar de captura hasta el lugar de experimentación o hasta el zoocriadero.</w:t>
      </w:r>
    </w:p>
    <w:p w14:paraId="659176FA" w14:textId="77777777" w:rsidR="00BE1894" w:rsidRPr="004068F6" w:rsidRDefault="00BE1894" w:rsidP="00402FB4">
      <w:pPr>
        <w:numPr>
          <w:ilvl w:val="12"/>
          <w:numId w:val="0"/>
        </w:numPr>
        <w:tabs>
          <w:tab w:val="left" w:pos="-2268"/>
        </w:tabs>
        <w:suppressAutoHyphens/>
        <w:rPr>
          <w:rFonts w:cs="Arial"/>
          <w:spacing w:val="-3"/>
        </w:rPr>
      </w:pPr>
    </w:p>
    <w:p w14:paraId="2C83F26D" w14:textId="6E5C8E28" w:rsidR="000870C1" w:rsidRPr="004068F6" w:rsidRDefault="00387CD2" w:rsidP="000D6E21">
      <w:pPr>
        <w:rPr>
          <w:rFonts w:cs="Arial"/>
          <w:spacing w:val="-3"/>
        </w:rPr>
      </w:pPr>
      <w:r w:rsidRPr="004068F6">
        <w:rPr>
          <w:rFonts w:cs="Arial"/>
          <w:spacing w:val="-3"/>
        </w:rPr>
        <w:t xml:space="preserve">Asimismo, las actividades de caza de fomento deben considerar las medidas de bienestar animal señaladas más adelante con el fin de </w:t>
      </w:r>
      <w:r w:rsidR="000870C1" w:rsidRPr="004068F6">
        <w:rPr>
          <w:rFonts w:cs="Arial"/>
          <w:spacing w:val="-3"/>
        </w:rPr>
        <w:t>garantizar la calidad de vida de los animales</w:t>
      </w:r>
      <w:r w:rsidRPr="004068F6">
        <w:rPr>
          <w:rFonts w:cs="Arial"/>
          <w:spacing w:val="-3"/>
        </w:rPr>
        <w:t>.</w:t>
      </w:r>
    </w:p>
    <w:p w14:paraId="26199447" w14:textId="77777777" w:rsidR="000870C1" w:rsidRPr="004068F6" w:rsidRDefault="000870C1" w:rsidP="000870C1">
      <w:pPr>
        <w:numPr>
          <w:ilvl w:val="12"/>
          <w:numId w:val="0"/>
        </w:numPr>
        <w:tabs>
          <w:tab w:val="left" w:pos="-2268"/>
        </w:tabs>
        <w:suppressAutoHyphens/>
        <w:rPr>
          <w:rFonts w:cs="Arial"/>
          <w:spacing w:val="-3"/>
        </w:rPr>
      </w:pPr>
    </w:p>
    <w:p w14:paraId="5CF808BA" w14:textId="29BAD7BB" w:rsidR="000870C1" w:rsidRPr="00127BD4" w:rsidRDefault="000870C1" w:rsidP="000D6E21">
      <w:pPr>
        <w:pStyle w:val="Prrafodelista"/>
        <w:numPr>
          <w:ilvl w:val="0"/>
          <w:numId w:val="5"/>
        </w:numPr>
        <w:tabs>
          <w:tab w:val="left" w:pos="-2268"/>
        </w:tabs>
        <w:suppressAutoHyphens/>
        <w:ind w:left="567" w:hanging="567"/>
        <w:rPr>
          <w:spacing w:val="-3"/>
          <w:lang w:val="es-CO"/>
        </w:rPr>
      </w:pPr>
      <w:r w:rsidRPr="004068F6">
        <w:rPr>
          <w:spacing w:val="-3"/>
          <w:lang w:val="es-CO"/>
        </w:rPr>
        <w:t>Acceso permanente a una cantidad apropiada de agua fresca y a una dieta saludable.</w:t>
      </w:r>
    </w:p>
    <w:p w14:paraId="390A2558" w14:textId="77777777" w:rsidR="000870C1" w:rsidRPr="004068F6" w:rsidRDefault="000870C1" w:rsidP="000D6E21">
      <w:pPr>
        <w:tabs>
          <w:tab w:val="left" w:pos="-2268"/>
        </w:tabs>
        <w:suppressAutoHyphens/>
        <w:rPr>
          <w:spacing w:val="-3"/>
        </w:rPr>
      </w:pPr>
    </w:p>
    <w:p w14:paraId="3273AC33" w14:textId="70344D5A" w:rsidR="000870C1" w:rsidRPr="00127BD4" w:rsidRDefault="000870C1" w:rsidP="000D6E21">
      <w:pPr>
        <w:pStyle w:val="Prrafodelista"/>
        <w:numPr>
          <w:ilvl w:val="0"/>
          <w:numId w:val="5"/>
        </w:numPr>
        <w:tabs>
          <w:tab w:val="left" w:pos="-2268"/>
        </w:tabs>
        <w:suppressAutoHyphens/>
        <w:ind w:left="567" w:hanging="567"/>
        <w:rPr>
          <w:spacing w:val="-3"/>
          <w:lang w:val="es-CO"/>
        </w:rPr>
      </w:pPr>
      <w:r w:rsidRPr="004068F6">
        <w:rPr>
          <w:spacing w:val="-3"/>
          <w:lang w:val="es-CO"/>
        </w:rPr>
        <w:t>Aseguramiento de espacios limpios y confortables en los que los animales no sufran frío o calor, o permanezcan en condiciones insalubres.</w:t>
      </w:r>
    </w:p>
    <w:p w14:paraId="1E7B4B7D" w14:textId="77777777" w:rsidR="000870C1" w:rsidRPr="004068F6" w:rsidRDefault="000870C1" w:rsidP="000D6E21">
      <w:pPr>
        <w:tabs>
          <w:tab w:val="left" w:pos="-2268"/>
        </w:tabs>
        <w:suppressAutoHyphens/>
        <w:rPr>
          <w:spacing w:val="-3"/>
        </w:rPr>
      </w:pPr>
    </w:p>
    <w:p w14:paraId="1AA1F832" w14:textId="30E7FF83" w:rsidR="000870C1" w:rsidRPr="00127BD4" w:rsidRDefault="000870C1" w:rsidP="000D6E21">
      <w:pPr>
        <w:pStyle w:val="Prrafodelista"/>
        <w:numPr>
          <w:ilvl w:val="0"/>
          <w:numId w:val="5"/>
        </w:numPr>
        <w:tabs>
          <w:tab w:val="left" w:pos="-2268"/>
        </w:tabs>
        <w:suppressAutoHyphens/>
        <w:ind w:left="567" w:hanging="567"/>
        <w:rPr>
          <w:spacing w:val="-3"/>
          <w:lang w:val="es-CO"/>
        </w:rPr>
      </w:pPr>
      <w:r w:rsidRPr="004068F6">
        <w:rPr>
          <w:spacing w:val="-3"/>
          <w:lang w:val="es-CO"/>
        </w:rPr>
        <w:t>Acceso a la salud. En este sentido, debe haber disponibilidad de un veterinario para efectuar chequeos, diagnósticos y tratamientos, si fuera necesario, procurando que tales actividades se realicen mitigando el dolor</w:t>
      </w:r>
      <w:r w:rsidR="00534558" w:rsidRPr="004068F6">
        <w:rPr>
          <w:spacing w:val="-3"/>
          <w:lang w:val="es-CO"/>
        </w:rPr>
        <w:t xml:space="preserve"> de los animales</w:t>
      </w:r>
      <w:r w:rsidRPr="004068F6">
        <w:rPr>
          <w:spacing w:val="-3"/>
          <w:lang w:val="es-CO"/>
        </w:rPr>
        <w:t>.</w:t>
      </w:r>
    </w:p>
    <w:p w14:paraId="01B401DD" w14:textId="77777777" w:rsidR="000870C1" w:rsidRPr="004068F6" w:rsidRDefault="000870C1" w:rsidP="000D6E21">
      <w:pPr>
        <w:tabs>
          <w:tab w:val="left" w:pos="-2268"/>
        </w:tabs>
        <w:suppressAutoHyphens/>
        <w:rPr>
          <w:spacing w:val="-3"/>
        </w:rPr>
      </w:pPr>
    </w:p>
    <w:p w14:paraId="52BB5D92" w14:textId="2A582206" w:rsidR="000870C1" w:rsidRPr="00127BD4" w:rsidRDefault="00534558" w:rsidP="000D6E21">
      <w:pPr>
        <w:pStyle w:val="Prrafodelista"/>
        <w:numPr>
          <w:ilvl w:val="0"/>
          <w:numId w:val="5"/>
        </w:numPr>
        <w:tabs>
          <w:tab w:val="left" w:pos="-2268"/>
        </w:tabs>
        <w:suppressAutoHyphens/>
        <w:ind w:left="567" w:hanging="567"/>
        <w:rPr>
          <w:spacing w:val="-3"/>
          <w:lang w:val="es-CO"/>
        </w:rPr>
      </w:pPr>
      <w:r w:rsidRPr="004068F6">
        <w:rPr>
          <w:spacing w:val="-3"/>
          <w:lang w:val="es-CO"/>
        </w:rPr>
        <w:t>Aseguramiento de s</w:t>
      </w:r>
      <w:r w:rsidR="000870C1" w:rsidRPr="004068F6">
        <w:rPr>
          <w:spacing w:val="-3"/>
          <w:lang w:val="es-CO"/>
        </w:rPr>
        <w:t>uficiente espacio en su hábitat o en instalaciones adecuadas y compañía de individuos de la misma especie para actuar según su naturaleza.</w:t>
      </w:r>
    </w:p>
    <w:p w14:paraId="08EEC2DE" w14:textId="77777777" w:rsidR="000870C1" w:rsidRPr="004068F6" w:rsidRDefault="000870C1" w:rsidP="000D6E21">
      <w:pPr>
        <w:tabs>
          <w:tab w:val="left" w:pos="-2268"/>
        </w:tabs>
        <w:suppressAutoHyphens/>
        <w:rPr>
          <w:spacing w:val="-3"/>
        </w:rPr>
      </w:pPr>
    </w:p>
    <w:p w14:paraId="13C4FDCA" w14:textId="4C4DA1DC" w:rsidR="007D0B49" w:rsidRPr="00127BD4" w:rsidRDefault="00534558" w:rsidP="000D6E21">
      <w:pPr>
        <w:pStyle w:val="Prrafodelista"/>
        <w:numPr>
          <w:ilvl w:val="0"/>
          <w:numId w:val="5"/>
        </w:numPr>
        <w:tabs>
          <w:tab w:val="left" w:pos="-2268"/>
        </w:tabs>
        <w:suppressAutoHyphens/>
        <w:ind w:left="567" w:hanging="567"/>
        <w:rPr>
          <w:spacing w:val="-3"/>
          <w:lang w:val="es-CO"/>
        </w:rPr>
      </w:pPr>
      <w:r w:rsidRPr="004068F6">
        <w:rPr>
          <w:spacing w:val="-3"/>
          <w:lang w:val="es-CO"/>
        </w:rPr>
        <w:t>Aseguramiento de c</w:t>
      </w:r>
      <w:r w:rsidR="000870C1" w:rsidRPr="004068F6">
        <w:rPr>
          <w:spacing w:val="-3"/>
          <w:lang w:val="es-CO"/>
        </w:rPr>
        <w:t xml:space="preserve">ondiciones que le provean un ámbito saludable y tranquilo, </w:t>
      </w:r>
      <w:r w:rsidRPr="004068F6">
        <w:rPr>
          <w:spacing w:val="-3"/>
          <w:lang w:val="es-CO"/>
        </w:rPr>
        <w:t xml:space="preserve">y </w:t>
      </w:r>
      <w:r w:rsidR="000870C1" w:rsidRPr="004068F6">
        <w:rPr>
          <w:spacing w:val="-3"/>
          <w:lang w:val="es-CO"/>
        </w:rPr>
        <w:t>evitando cualquier tipo de sufrimiento mental.</w:t>
      </w:r>
    </w:p>
    <w:p w14:paraId="066A7E76" w14:textId="77777777" w:rsidR="00FF2506" w:rsidRPr="004068F6" w:rsidRDefault="00FF2506" w:rsidP="00FF2506">
      <w:pPr>
        <w:numPr>
          <w:ilvl w:val="12"/>
          <w:numId w:val="0"/>
        </w:numPr>
        <w:tabs>
          <w:tab w:val="left" w:pos="-2268"/>
        </w:tabs>
        <w:suppressAutoHyphens/>
        <w:rPr>
          <w:rFonts w:cs="Arial"/>
          <w:spacing w:val="-3"/>
        </w:rPr>
      </w:pPr>
    </w:p>
    <w:p w14:paraId="3E8227E5" w14:textId="4981658C" w:rsidR="00FF2506" w:rsidRPr="00466E26" w:rsidRDefault="009E1EAA" w:rsidP="000A1E20">
      <w:pPr>
        <w:pStyle w:val="Ttulo3"/>
      </w:pPr>
      <w:bookmarkStart w:id="3181" w:name="_Toc230879687"/>
      <w:r w:rsidRPr="00466E26">
        <w:t>Delimitación de los l</w:t>
      </w:r>
      <w:r w:rsidR="00FF2506" w:rsidRPr="00466E26">
        <w:t>ugares en los que se propone capturar los especímenes para los cuales se solicita el permiso</w:t>
      </w:r>
      <w:bookmarkEnd w:id="3181"/>
    </w:p>
    <w:p w14:paraId="22414A6B" w14:textId="77777777" w:rsidR="00FF2506" w:rsidRPr="004068F6" w:rsidRDefault="00FF2506" w:rsidP="00FF2506">
      <w:pPr>
        <w:tabs>
          <w:tab w:val="left" w:pos="-2268"/>
        </w:tabs>
        <w:suppressAutoHyphens/>
        <w:rPr>
          <w:spacing w:val="-3"/>
        </w:rPr>
      </w:pPr>
    </w:p>
    <w:p w14:paraId="15431D1E" w14:textId="324DC359" w:rsidR="002F21B8" w:rsidRPr="004068F6" w:rsidRDefault="006A30EF" w:rsidP="009E1EAA">
      <w:pPr>
        <w:tabs>
          <w:tab w:val="left" w:pos="-2268"/>
        </w:tabs>
        <w:suppressAutoHyphens/>
        <w:rPr>
          <w:spacing w:val="-3"/>
        </w:rPr>
      </w:pPr>
      <w:r w:rsidRPr="004068F6">
        <w:rPr>
          <w:spacing w:val="-3"/>
        </w:rPr>
        <w:t>L</w:t>
      </w:r>
      <w:r w:rsidR="0001351F" w:rsidRPr="004068F6">
        <w:rPr>
          <w:spacing w:val="-3"/>
        </w:rPr>
        <w:t xml:space="preserve">as áreas en las que se prevé </w:t>
      </w:r>
      <w:r w:rsidRPr="004068F6">
        <w:rPr>
          <w:spacing w:val="-3"/>
        </w:rPr>
        <w:t xml:space="preserve">capturar los especímenes objeto del permiso deben delimitarse </w:t>
      </w:r>
      <w:r w:rsidR="009C3C40" w:rsidRPr="004068F6">
        <w:rPr>
          <w:spacing w:val="-3"/>
        </w:rPr>
        <w:t xml:space="preserve">a partir de </w:t>
      </w:r>
      <w:r w:rsidR="0083650C" w:rsidRPr="004068F6">
        <w:rPr>
          <w:spacing w:val="-3"/>
        </w:rPr>
        <w:t>l</w:t>
      </w:r>
      <w:r w:rsidR="006964FD" w:rsidRPr="004068F6">
        <w:rPr>
          <w:spacing w:val="-3"/>
        </w:rPr>
        <w:t xml:space="preserve">os resultados del </w:t>
      </w:r>
      <w:r w:rsidR="0083650C" w:rsidRPr="004068F6">
        <w:rPr>
          <w:spacing w:val="-3"/>
        </w:rPr>
        <w:t>estudio para determinar la viabilidad biológica de la caza de fomento</w:t>
      </w:r>
      <w:r w:rsidR="006964FD" w:rsidRPr="004068F6">
        <w:rPr>
          <w:spacing w:val="-3"/>
        </w:rPr>
        <w:t>, especialmente de la información geográfica sobre la distribución potencial y sobre la distribución real de las especies objeto del permiso</w:t>
      </w:r>
      <w:r w:rsidR="0083650C" w:rsidRPr="004068F6">
        <w:rPr>
          <w:spacing w:val="-3"/>
        </w:rPr>
        <w:t>.</w:t>
      </w:r>
      <w:r w:rsidR="006964FD" w:rsidRPr="004068F6">
        <w:rPr>
          <w:spacing w:val="-3"/>
        </w:rPr>
        <w:t xml:space="preserve"> </w:t>
      </w:r>
      <w:r w:rsidR="009C3C40" w:rsidRPr="004068F6">
        <w:rPr>
          <w:spacing w:val="-3"/>
        </w:rPr>
        <w:t>L</w:t>
      </w:r>
      <w:r w:rsidR="00852DAA" w:rsidRPr="004068F6">
        <w:rPr>
          <w:spacing w:val="-3"/>
        </w:rPr>
        <w:t>a</w:t>
      </w:r>
      <w:r w:rsidR="009C3C40" w:rsidRPr="004068F6">
        <w:rPr>
          <w:spacing w:val="-3"/>
        </w:rPr>
        <w:t xml:space="preserve"> </w:t>
      </w:r>
      <w:r w:rsidR="00852DAA" w:rsidRPr="004068F6">
        <w:rPr>
          <w:spacing w:val="-3"/>
        </w:rPr>
        <w:t xml:space="preserve">información geográfica </w:t>
      </w:r>
      <w:r w:rsidR="006964FD" w:rsidRPr="004068F6">
        <w:rPr>
          <w:spacing w:val="-3"/>
        </w:rPr>
        <w:t xml:space="preserve">relativa a las </w:t>
      </w:r>
      <w:r w:rsidR="009C3C40" w:rsidRPr="004068F6">
        <w:rPr>
          <w:spacing w:val="-3"/>
        </w:rPr>
        <w:t>áreas de caza de fomento se debe presentar de acuerdo con la estructura establecida en el MAG.</w:t>
      </w:r>
    </w:p>
    <w:p w14:paraId="46562127" w14:textId="77777777" w:rsidR="002F21B8" w:rsidRPr="004068F6" w:rsidRDefault="002F21B8" w:rsidP="002F21B8">
      <w:pPr>
        <w:tabs>
          <w:tab w:val="left" w:pos="-2268"/>
        </w:tabs>
        <w:suppressAutoHyphens/>
        <w:rPr>
          <w:spacing w:val="-3"/>
        </w:rPr>
      </w:pPr>
    </w:p>
    <w:p w14:paraId="2678E15D" w14:textId="5FA2846D" w:rsidR="00FF2506" w:rsidRPr="004068F6" w:rsidRDefault="00431EDF" w:rsidP="000D6E21">
      <w:pPr>
        <w:rPr>
          <w:rFonts w:cs="Arial"/>
          <w:spacing w:val="-3"/>
        </w:rPr>
      </w:pPr>
      <w:r w:rsidRPr="004068F6">
        <w:rPr>
          <w:rFonts w:cs="Arial"/>
          <w:spacing w:val="-3"/>
        </w:rPr>
        <w:lastRenderedPageBreak/>
        <w:t>Est</w:t>
      </w:r>
      <w:r w:rsidR="000C153E" w:rsidRPr="004068F6">
        <w:rPr>
          <w:rFonts w:cs="Arial"/>
          <w:spacing w:val="-3"/>
        </w:rPr>
        <w:t xml:space="preserve">a información geográfica </w:t>
      </w:r>
      <w:r w:rsidRPr="004068F6">
        <w:rPr>
          <w:rFonts w:cs="Arial"/>
          <w:spacing w:val="-3"/>
        </w:rPr>
        <w:t xml:space="preserve">se debe acompañar de </w:t>
      </w:r>
      <w:r w:rsidR="00FF2506" w:rsidRPr="004068F6">
        <w:rPr>
          <w:rFonts w:cs="Arial"/>
          <w:spacing w:val="-3"/>
        </w:rPr>
        <w:t xml:space="preserve">una tabla </w:t>
      </w:r>
      <w:r w:rsidRPr="004068F6">
        <w:rPr>
          <w:rFonts w:cs="Arial"/>
          <w:spacing w:val="-3"/>
        </w:rPr>
        <w:t xml:space="preserve">que señale </w:t>
      </w:r>
      <w:r w:rsidR="00FF2506" w:rsidRPr="004068F6">
        <w:rPr>
          <w:rFonts w:cs="Arial"/>
          <w:spacing w:val="-3"/>
        </w:rPr>
        <w:t xml:space="preserve">las especies, </w:t>
      </w:r>
      <w:r w:rsidR="002F21B8" w:rsidRPr="004068F6">
        <w:rPr>
          <w:rFonts w:cs="Arial"/>
          <w:spacing w:val="-3"/>
        </w:rPr>
        <w:t xml:space="preserve">la cantidad </w:t>
      </w:r>
      <w:r w:rsidR="00FF2506" w:rsidRPr="004068F6">
        <w:rPr>
          <w:rFonts w:cs="Arial"/>
          <w:spacing w:val="-3"/>
        </w:rPr>
        <w:t xml:space="preserve">de individuos a ser colectados y la autoridad ambiental </w:t>
      </w:r>
      <w:r w:rsidR="002F21B8" w:rsidRPr="004068F6">
        <w:rPr>
          <w:rFonts w:cs="Arial"/>
          <w:spacing w:val="-3"/>
        </w:rPr>
        <w:t xml:space="preserve">con </w:t>
      </w:r>
      <w:r w:rsidR="00FF2506" w:rsidRPr="004068F6">
        <w:rPr>
          <w:rFonts w:cs="Arial"/>
          <w:spacing w:val="-3"/>
        </w:rPr>
        <w:t>jurisdicción</w:t>
      </w:r>
      <w:r w:rsidR="00303765" w:rsidRPr="004068F6">
        <w:rPr>
          <w:rFonts w:cs="Arial"/>
          <w:spacing w:val="-3"/>
        </w:rPr>
        <w:t xml:space="preserve"> </w:t>
      </w:r>
      <w:r w:rsidR="00E27BF5" w:rsidRPr="004068F6">
        <w:rPr>
          <w:rFonts w:cs="Arial"/>
          <w:spacing w:val="-3"/>
        </w:rPr>
        <w:t xml:space="preserve">en cada una de </w:t>
      </w:r>
      <w:r w:rsidR="00303765" w:rsidRPr="004068F6">
        <w:rPr>
          <w:rFonts w:cs="Arial"/>
          <w:spacing w:val="-3"/>
        </w:rPr>
        <w:t xml:space="preserve">las localidades en </w:t>
      </w:r>
      <w:r w:rsidR="00E27BF5" w:rsidRPr="004068F6">
        <w:rPr>
          <w:rFonts w:cs="Arial"/>
          <w:spacing w:val="-3"/>
        </w:rPr>
        <w:t xml:space="preserve">las que </w:t>
      </w:r>
      <w:r w:rsidR="00303765" w:rsidRPr="004068F6">
        <w:rPr>
          <w:rFonts w:cs="Arial"/>
          <w:spacing w:val="-3"/>
        </w:rPr>
        <w:t xml:space="preserve">se prevé </w:t>
      </w:r>
      <w:r w:rsidR="00E27BF5" w:rsidRPr="004068F6">
        <w:rPr>
          <w:rFonts w:cs="Arial"/>
          <w:spacing w:val="-3"/>
        </w:rPr>
        <w:t xml:space="preserve">ejecutar </w:t>
      </w:r>
      <w:r w:rsidR="00303765" w:rsidRPr="004068F6">
        <w:rPr>
          <w:rFonts w:cs="Arial"/>
          <w:spacing w:val="-3"/>
        </w:rPr>
        <w:t>la caza de fomento</w:t>
      </w:r>
      <w:r w:rsidR="00E27BF5" w:rsidRPr="004068F6">
        <w:rPr>
          <w:rFonts w:cs="Arial"/>
          <w:spacing w:val="-3"/>
        </w:rPr>
        <w:t>. Asimismo</w:t>
      </w:r>
      <w:r w:rsidR="00303765" w:rsidRPr="004068F6">
        <w:rPr>
          <w:rFonts w:cs="Arial"/>
          <w:spacing w:val="-3"/>
        </w:rPr>
        <w:t>,</w:t>
      </w:r>
      <w:r w:rsidR="00FF2506" w:rsidRPr="004068F6">
        <w:rPr>
          <w:rFonts w:cs="Arial"/>
          <w:spacing w:val="-3"/>
        </w:rPr>
        <w:t xml:space="preserve"> </w:t>
      </w:r>
      <w:r w:rsidR="00E27BF5" w:rsidRPr="004068F6">
        <w:rPr>
          <w:rFonts w:cs="Arial"/>
          <w:spacing w:val="-3"/>
        </w:rPr>
        <w:t xml:space="preserve">se deben </w:t>
      </w:r>
      <w:r w:rsidR="00303765" w:rsidRPr="004068F6">
        <w:rPr>
          <w:rFonts w:cs="Arial"/>
          <w:spacing w:val="-3"/>
        </w:rPr>
        <w:t>menciona</w:t>
      </w:r>
      <w:r w:rsidR="00E27BF5" w:rsidRPr="004068F6">
        <w:rPr>
          <w:rFonts w:cs="Arial"/>
          <w:spacing w:val="-3"/>
        </w:rPr>
        <w:t>r</w:t>
      </w:r>
      <w:r w:rsidR="00303765" w:rsidRPr="004068F6">
        <w:rPr>
          <w:rFonts w:cs="Arial"/>
          <w:spacing w:val="-3"/>
        </w:rPr>
        <w:t xml:space="preserve"> las coordenadas que enmarcan </w:t>
      </w:r>
      <w:r w:rsidR="000C153E" w:rsidRPr="004068F6">
        <w:rPr>
          <w:rFonts w:cs="Arial"/>
          <w:spacing w:val="-3"/>
        </w:rPr>
        <w:t xml:space="preserve">dichas </w:t>
      </w:r>
      <w:r w:rsidR="00E27BF5" w:rsidRPr="004068F6">
        <w:rPr>
          <w:rFonts w:cs="Arial"/>
          <w:spacing w:val="-3"/>
        </w:rPr>
        <w:t xml:space="preserve">áreas de </w:t>
      </w:r>
      <w:r w:rsidR="000C153E" w:rsidRPr="004068F6">
        <w:rPr>
          <w:rFonts w:cs="Arial"/>
          <w:spacing w:val="-3"/>
        </w:rPr>
        <w:t>captura</w:t>
      </w:r>
      <w:r w:rsidR="00303765" w:rsidRPr="004068F6">
        <w:rPr>
          <w:rFonts w:cs="Arial"/>
          <w:spacing w:val="-3"/>
        </w:rPr>
        <w:t>.</w:t>
      </w:r>
    </w:p>
    <w:p w14:paraId="41E8476C" w14:textId="77777777" w:rsidR="007D0B49" w:rsidRPr="004068F6" w:rsidRDefault="007D0B49" w:rsidP="007D0B49">
      <w:pPr>
        <w:numPr>
          <w:ilvl w:val="12"/>
          <w:numId w:val="0"/>
        </w:numPr>
        <w:tabs>
          <w:tab w:val="left" w:pos="-2268"/>
        </w:tabs>
        <w:suppressAutoHyphens/>
        <w:rPr>
          <w:rFonts w:cs="Arial"/>
          <w:spacing w:val="-3"/>
        </w:rPr>
      </w:pPr>
    </w:p>
    <w:p w14:paraId="0FD13533" w14:textId="0BE2ABA5" w:rsidR="009E1EAA" w:rsidRPr="004068F6" w:rsidRDefault="00231695" w:rsidP="009E1EAA">
      <w:pPr>
        <w:tabs>
          <w:tab w:val="left" w:pos="-2268"/>
        </w:tabs>
        <w:suppressAutoHyphens/>
        <w:rPr>
          <w:rFonts w:cs="Arial"/>
          <w:spacing w:val="-3"/>
        </w:rPr>
      </w:pPr>
      <w:r w:rsidRPr="004068F6">
        <w:rPr>
          <w:rFonts w:cs="Arial"/>
          <w:spacing w:val="-3"/>
        </w:rPr>
        <w:t xml:space="preserve">Finalmente, </w:t>
      </w:r>
      <w:r w:rsidR="009E1EAA" w:rsidRPr="004068F6">
        <w:rPr>
          <w:rFonts w:cs="Arial"/>
          <w:spacing w:val="-3"/>
        </w:rPr>
        <w:t xml:space="preserve">se debe </w:t>
      </w:r>
      <w:r w:rsidRPr="004068F6">
        <w:rPr>
          <w:rFonts w:cs="Arial"/>
          <w:spacing w:val="-3"/>
        </w:rPr>
        <w:t xml:space="preserve">recordar que la información que se genera para solicitar el permiso de caza de fomento, fundamentalmente la referida a la caracterización, </w:t>
      </w:r>
      <w:r w:rsidR="00087FA2" w:rsidRPr="004068F6">
        <w:rPr>
          <w:rFonts w:cs="Arial"/>
          <w:spacing w:val="-3"/>
        </w:rPr>
        <w:t>a</w:t>
      </w:r>
      <w:r w:rsidRPr="004068F6">
        <w:rPr>
          <w:rFonts w:cs="Arial"/>
          <w:spacing w:val="-3"/>
        </w:rPr>
        <w:t xml:space="preserve">l estudio de viabilidad biológica, </w:t>
      </w:r>
      <w:r w:rsidR="00087FA2" w:rsidRPr="004068F6">
        <w:rPr>
          <w:rFonts w:cs="Arial"/>
          <w:spacing w:val="-3"/>
        </w:rPr>
        <w:t xml:space="preserve">a </w:t>
      </w:r>
      <w:r w:rsidRPr="004068F6">
        <w:rPr>
          <w:rFonts w:cs="Arial"/>
          <w:spacing w:val="-3"/>
        </w:rPr>
        <w:t xml:space="preserve">la descripción de las actividades de caza y </w:t>
      </w:r>
      <w:r w:rsidR="00087FA2" w:rsidRPr="004068F6">
        <w:rPr>
          <w:rFonts w:cs="Arial"/>
          <w:spacing w:val="-3"/>
        </w:rPr>
        <w:t xml:space="preserve">a </w:t>
      </w:r>
      <w:r w:rsidRPr="004068F6">
        <w:rPr>
          <w:rFonts w:cs="Arial"/>
          <w:spacing w:val="-3"/>
        </w:rPr>
        <w:t>la delimitación de los lugares en los que se planea ejecutar tales actividades, deben emplearse en el numeral de evaluación ambiental de este capítulo (</w:t>
      </w:r>
      <w:r w:rsidRPr="004068F6">
        <w:rPr>
          <w:rFonts w:cs="Arial"/>
          <w:spacing w:val="-3"/>
        </w:rPr>
        <w:fldChar w:fldCharType="begin"/>
      </w:r>
      <w:r w:rsidRPr="004068F6">
        <w:rPr>
          <w:rFonts w:cs="Arial"/>
          <w:spacing w:val="-3"/>
        </w:rPr>
        <w:instrText xml:space="preserve"> REF _Ref161750678 \r \h </w:instrText>
      </w:r>
      <w:r w:rsidR="00BD1319" w:rsidRPr="004068F6">
        <w:rPr>
          <w:rFonts w:cs="Arial"/>
          <w:spacing w:val="-3"/>
        </w:rPr>
        <w:instrText xml:space="preserve"> \* MERGEFORMAT </w:instrText>
      </w:r>
      <w:r w:rsidRPr="004068F6">
        <w:rPr>
          <w:rFonts w:cs="Arial"/>
          <w:spacing w:val="-3"/>
        </w:rPr>
      </w:r>
      <w:r w:rsidRPr="004068F6">
        <w:rPr>
          <w:rFonts w:cs="Arial"/>
          <w:spacing w:val="-3"/>
        </w:rPr>
        <w:fldChar w:fldCharType="separate"/>
      </w:r>
      <w:r w:rsidR="009C4A81">
        <w:rPr>
          <w:rFonts w:cs="Arial"/>
          <w:spacing w:val="-3"/>
        </w:rPr>
        <w:t>7</w:t>
      </w:r>
      <w:r w:rsidRPr="004068F6">
        <w:rPr>
          <w:rFonts w:cs="Arial"/>
          <w:spacing w:val="-3"/>
        </w:rPr>
        <w:fldChar w:fldCharType="end"/>
      </w:r>
      <w:r w:rsidRPr="004068F6">
        <w:rPr>
          <w:rFonts w:cs="Arial"/>
          <w:spacing w:val="-3"/>
        </w:rPr>
        <w:t xml:space="preserve">) con el fin de asegurar </w:t>
      </w:r>
      <w:r w:rsidR="009E1EAA" w:rsidRPr="004068F6">
        <w:rPr>
          <w:rFonts w:cs="Arial"/>
          <w:spacing w:val="-3"/>
        </w:rPr>
        <w:t xml:space="preserve">que </w:t>
      </w:r>
      <w:r w:rsidR="009E1EAA" w:rsidRPr="004068F6">
        <w:rPr>
          <w:spacing w:val="-3"/>
        </w:rPr>
        <w:t xml:space="preserve">los impactos ambientales significativos que resulten de </w:t>
      </w:r>
      <w:r w:rsidRPr="004068F6">
        <w:rPr>
          <w:spacing w:val="-3"/>
        </w:rPr>
        <w:t xml:space="preserve">estas </w:t>
      </w:r>
      <w:r w:rsidR="009E1EAA" w:rsidRPr="004068F6">
        <w:rPr>
          <w:spacing w:val="-3"/>
        </w:rPr>
        <w:t xml:space="preserve">actividades </w:t>
      </w:r>
      <w:r w:rsidRPr="004068F6">
        <w:rPr>
          <w:spacing w:val="-3"/>
        </w:rPr>
        <w:t xml:space="preserve">se </w:t>
      </w:r>
      <w:r w:rsidR="009E1EAA" w:rsidRPr="004068F6">
        <w:rPr>
          <w:spacing w:val="-3"/>
        </w:rPr>
        <w:t>emple</w:t>
      </w:r>
      <w:r w:rsidRPr="004068F6">
        <w:rPr>
          <w:spacing w:val="-3"/>
        </w:rPr>
        <w:t xml:space="preserve">en </w:t>
      </w:r>
      <w:r w:rsidR="009E1EAA" w:rsidRPr="004068F6">
        <w:rPr>
          <w:spacing w:val="-3"/>
        </w:rPr>
        <w:t xml:space="preserve">para delimitar </w:t>
      </w:r>
      <w:r w:rsidR="009E1EAA" w:rsidRPr="004068F6">
        <w:rPr>
          <w:rFonts w:cs="Arial"/>
          <w:spacing w:val="-3"/>
        </w:rPr>
        <w:t>el área de influencia.</w:t>
      </w:r>
    </w:p>
    <w:p w14:paraId="2BE47986" w14:textId="77777777" w:rsidR="009E1EAA" w:rsidRPr="004068F6" w:rsidRDefault="009E1EAA" w:rsidP="007D0B49">
      <w:pPr>
        <w:numPr>
          <w:ilvl w:val="12"/>
          <w:numId w:val="0"/>
        </w:numPr>
        <w:tabs>
          <w:tab w:val="left" w:pos="-2268"/>
        </w:tabs>
        <w:suppressAutoHyphens/>
        <w:rPr>
          <w:rFonts w:cs="Arial"/>
          <w:spacing w:val="-3"/>
        </w:rPr>
      </w:pPr>
    </w:p>
    <w:p w14:paraId="20BA18F8" w14:textId="7A619DFD" w:rsidR="00231695" w:rsidRPr="004068F6" w:rsidRDefault="00231695" w:rsidP="007D0B49">
      <w:pPr>
        <w:numPr>
          <w:ilvl w:val="12"/>
          <w:numId w:val="0"/>
        </w:numPr>
        <w:tabs>
          <w:tab w:val="left" w:pos="-2268"/>
        </w:tabs>
        <w:suppressAutoHyphens/>
        <w:rPr>
          <w:rFonts w:cs="Arial"/>
          <w:spacing w:val="-3"/>
        </w:rPr>
      </w:pPr>
      <w:r w:rsidRPr="004068F6">
        <w:rPr>
          <w:rFonts w:cs="Arial"/>
          <w:spacing w:val="-3"/>
        </w:rPr>
        <w:t xml:space="preserve">En este sentido, se debe tener en cuenta que la caza de fomento además de generar impactos inmediatos sobre una especie al remover individuos de sus poblaciones naturales genera impactos sobre otras especies de fauna y flora y sobre los ecosistemas terrestres y acuáticos, especialmente sobre aquellos ambientalmente críticos, sensibles y de importancia ecológica y ambiental. Por ello, es necesario basarse en las cadenas tróficas y </w:t>
      </w:r>
      <w:r w:rsidR="00C96E17" w:rsidRPr="004068F6">
        <w:rPr>
          <w:rFonts w:cs="Arial"/>
          <w:spacing w:val="-3"/>
        </w:rPr>
        <w:t xml:space="preserve">en </w:t>
      </w:r>
      <w:r w:rsidRPr="004068F6">
        <w:rPr>
          <w:rFonts w:cs="Arial"/>
          <w:spacing w:val="-3"/>
        </w:rPr>
        <w:t xml:space="preserve">las relaciones de dependencia directa o indirecta que existen entre las especies objeto de caza y otras especies de fauna y flora, para determinar y valorar </w:t>
      </w:r>
      <w:r w:rsidR="00C96E17" w:rsidRPr="004068F6">
        <w:rPr>
          <w:rFonts w:cs="Arial"/>
          <w:spacing w:val="-3"/>
        </w:rPr>
        <w:t xml:space="preserve">los </w:t>
      </w:r>
      <w:r w:rsidRPr="004068F6">
        <w:rPr>
          <w:rFonts w:cs="Arial"/>
          <w:spacing w:val="-3"/>
        </w:rPr>
        <w:t>impactos ambientales</w:t>
      </w:r>
      <w:r w:rsidR="00C96E17" w:rsidRPr="004068F6">
        <w:rPr>
          <w:rFonts w:cs="Arial"/>
          <w:spacing w:val="-3"/>
        </w:rPr>
        <w:t xml:space="preserve"> de esta actividad</w:t>
      </w:r>
      <w:r w:rsidRPr="004068F6">
        <w:rPr>
          <w:rFonts w:cs="Arial"/>
          <w:spacing w:val="-3"/>
        </w:rPr>
        <w:t>.</w:t>
      </w:r>
    </w:p>
    <w:p w14:paraId="1DCB4DF3" w14:textId="77777777" w:rsidR="00C96E17" w:rsidRPr="004068F6" w:rsidRDefault="00C96E17" w:rsidP="007D0B49">
      <w:pPr>
        <w:numPr>
          <w:ilvl w:val="12"/>
          <w:numId w:val="0"/>
        </w:numPr>
        <w:tabs>
          <w:tab w:val="left" w:pos="-2268"/>
        </w:tabs>
        <w:suppressAutoHyphens/>
        <w:rPr>
          <w:rFonts w:cs="Arial"/>
          <w:spacing w:val="-3"/>
        </w:rPr>
      </w:pPr>
    </w:p>
    <w:p w14:paraId="5C2B586B" w14:textId="77777777" w:rsidR="00CB479F" w:rsidRPr="004068F6" w:rsidRDefault="00CB479F" w:rsidP="00402FB4">
      <w:pPr>
        <w:numPr>
          <w:ilvl w:val="12"/>
          <w:numId w:val="0"/>
        </w:numPr>
        <w:tabs>
          <w:tab w:val="left" w:pos="-2268"/>
        </w:tabs>
        <w:suppressAutoHyphens/>
        <w:rPr>
          <w:rFonts w:cs="Arial"/>
          <w:spacing w:val="-3"/>
        </w:rPr>
      </w:pPr>
    </w:p>
    <w:p w14:paraId="39A7E5A5" w14:textId="3446A10D" w:rsidR="00402FB4" w:rsidRPr="004068F6" w:rsidRDefault="00402FB4" w:rsidP="00696453">
      <w:pPr>
        <w:pStyle w:val="Ttulo1"/>
        <w:numPr>
          <w:ilvl w:val="0"/>
          <w:numId w:val="8"/>
        </w:numPr>
        <w:rPr>
          <w:lang w:val="es-CO"/>
        </w:rPr>
      </w:pPr>
      <w:bookmarkStart w:id="3182" w:name="_Toc43485746"/>
      <w:bookmarkStart w:id="3183" w:name="_Toc43485747"/>
      <w:bookmarkStart w:id="3184" w:name="_Toc43485748"/>
      <w:bookmarkStart w:id="3185" w:name="_Toc43485749"/>
      <w:bookmarkStart w:id="3186" w:name="_Toc43485750"/>
      <w:bookmarkStart w:id="3187" w:name="_Toc43485751"/>
      <w:bookmarkStart w:id="3188" w:name="_Toc43485752"/>
      <w:bookmarkStart w:id="3189" w:name="_Toc43485753"/>
      <w:bookmarkStart w:id="3190" w:name="_Toc43485754"/>
      <w:bookmarkStart w:id="3191" w:name="_Toc43485755"/>
      <w:bookmarkStart w:id="3192" w:name="_Toc43485756"/>
      <w:bookmarkStart w:id="3193" w:name="_Toc43485757"/>
      <w:bookmarkStart w:id="3194" w:name="_Toc43485758"/>
      <w:bookmarkStart w:id="3195" w:name="_Toc43485759"/>
      <w:bookmarkStart w:id="3196" w:name="_Toc43485760"/>
      <w:bookmarkStart w:id="3197" w:name="_Toc43485761"/>
      <w:bookmarkStart w:id="3198" w:name="_Toc43485762"/>
      <w:bookmarkStart w:id="3199" w:name="_Toc43485763"/>
      <w:bookmarkStart w:id="3200" w:name="_Toc43485764"/>
      <w:bookmarkStart w:id="3201" w:name="_Toc43485765"/>
      <w:bookmarkStart w:id="3202" w:name="_Toc43485766"/>
      <w:bookmarkStart w:id="3203" w:name="_Toc43485767"/>
      <w:bookmarkStart w:id="3204" w:name="_Toc43485768"/>
      <w:bookmarkStart w:id="3205" w:name="_Toc43485769"/>
      <w:bookmarkStart w:id="3206" w:name="_Toc43485770"/>
      <w:bookmarkStart w:id="3207" w:name="_Toc43485771"/>
      <w:bookmarkStart w:id="3208" w:name="_Toc43485774"/>
      <w:bookmarkStart w:id="3209" w:name="_Toc43485775"/>
      <w:bookmarkStart w:id="3210" w:name="_Toc43485776"/>
      <w:bookmarkStart w:id="3211" w:name="_Toc43485777"/>
      <w:bookmarkStart w:id="3212" w:name="_Toc43485778"/>
      <w:bookmarkStart w:id="3213" w:name="_Toc43485779"/>
      <w:bookmarkStart w:id="3214" w:name="_Toc43485780"/>
      <w:bookmarkStart w:id="3215" w:name="_Toc437936053"/>
      <w:bookmarkStart w:id="3216" w:name="_Ref507574346"/>
      <w:bookmarkStart w:id="3217" w:name="_Ref510089213"/>
      <w:bookmarkStart w:id="3218" w:name="_Ref515428734"/>
      <w:bookmarkStart w:id="3219" w:name="_Ref515723704"/>
      <w:bookmarkStart w:id="3220" w:name="_Ref43356983"/>
      <w:bookmarkStart w:id="3221" w:name="_Ref78556131"/>
      <w:bookmarkStart w:id="3222" w:name="_Ref82611206"/>
      <w:bookmarkStart w:id="3223" w:name="_Ref161750678"/>
      <w:bookmarkStart w:id="3224" w:name="_Ref208385587"/>
      <w:bookmarkStart w:id="3225" w:name="_Ref208927603"/>
      <w:bookmarkStart w:id="3226" w:name="_Ref230183783"/>
      <w:bookmarkStart w:id="3227" w:name="_Hlk153184706"/>
      <w:bookmarkStart w:id="3228" w:name="_Toc230879688"/>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r w:rsidRPr="004068F6">
        <w:rPr>
          <w:lang w:val="es-CO"/>
        </w:rPr>
        <w:t>EVALUACIÓN AMBIENTAL</w:t>
      </w:r>
      <w:bookmarkEnd w:id="3215"/>
      <w:bookmarkEnd w:id="3216"/>
      <w:bookmarkEnd w:id="3217"/>
      <w:bookmarkEnd w:id="3218"/>
      <w:bookmarkEnd w:id="3219"/>
      <w:bookmarkEnd w:id="3220"/>
      <w:bookmarkEnd w:id="3221"/>
      <w:bookmarkEnd w:id="3222"/>
      <w:bookmarkEnd w:id="3223"/>
      <w:bookmarkEnd w:id="3224"/>
      <w:bookmarkEnd w:id="3225"/>
      <w:bookmarkEnd w:id="3226"/>
      <w:bookmarkEnd w:id="3228"/>
    </w:p>
    <w:bookmarkEnd w:id="3227"/>
    <w:p w14:paraId="6BBB1FD5" w14:textId="77777777" w:rsidR="000B7129" w:rsidRPr="004068F6" w:rsidRDefault="000B7129">
      <w:pPr>
        <w:numPr>
          <w:ilvl w:val="12"/>
          <w:numId w:val="0"/>
        </w:numPr>
        <w:tabs>
          <w:tab w:val="left" w:pos="-2268"/>
        </w:tabs>
        <w:suppressAutoHyphens/>
        <w:rPr>
          <w:spacing w:val="-3"/>
        </w:rPr>
      </w:pPr>
    </w:p>
    <w:p w14:paraId="7FFD4565" w14:textId="2D4A1BC3" w:rsidR="007B7358" w:rsidRPr="004068F6" w:rsidRDefault="007B7358" w:rsidP="007B7358">
      <w:pPr>
        <w:numPr>
          <w:ilvl w:val="12"/>
          <w:numId w:val="0"/>
        </w:numPr>
        <w:tabs>
          <w:tab w:val="left" w:pos="-2268"/>
        </w:tabs>
        <w:suppressAutoHyphens/>
        <w:rPr>
          <w:rFonts w:cs="Arial"/>
          <w:spacing w:val="-3"/>
        </w:rPr>
      </w:pPr>
      <w:bookmarkStart w:id="3229" w:name="_Toc343187974"/>
      <w:r w:rsidRPr="004068F6">
        <w:rPr>
          <w:rFonts w:cs="Arial"/>
          <w:spacing w:val="-3"/>
        </w:rPr>
        <w:t xml:space="preserve">Este numeral </w:t>
      </w:r>
      <w:r w:rsidR="008E1F8C" w:rsidRPr="004068F6">
        <w:rPr>
          <w:rFonts w:cs="Arial"/>
          <w:spacing w:val="-3"/>
        </w:rPr>
        <w:t xml:space="preserve">del EIA </w:t>
      </w:r>
      <w:r w:rsidRPr="004068F6">
        <w:rPr>
          <w:rFonts w:cs="Arial"/>
          <w:spacing w:val="-3"/>
        </w:rPr>
        <w:t>tiene como propósito evaluar los impactos ambientales que podría generar un proyecto, obra o actividad, es decir, evaluar los cambios que sufriría</w:t>
      </w:r>
      <w:r w:rsidR="008E1F8C" w:rsidRPr="004068F6">
        <w:rPr>
          <w:rFonts w:cs="Arial"/>
          <w:spacing w:val="-3"/>
        </w:rPr>
        <w:t xml:space="preserve"> un conjunto de </w:t>
      </w:r>
      <w:r w:rsidRPr="004068F6">
        <w:rPr>
          <w:rFonts w:cs="Arial"/>
          <w:spacing w:val="-3"/>
        </w:rPr>
        <w:t>parámetro</w:t>
      </w:r>
      <w:r w:rsidR="008E1F8C" w:rsidRPr="004068F6">
        <w:rPr>
          <w:rFonts w:cs="Arial"/>
          <w:spacing w:val="-3"/>
        </w:rPr>
        <w:t>s</w:t>
      </w:r>
      <w:r w:rsidRPr="004068F6">
        <w:rPr>
          <w:rFonts w:cs="Arial"/>
          <w:spacing w:val="-3"/>
        </w:rPr>
        <w:t xml:space="preserve"> ambiental</w:t>
      </w:r>
      <w:r w:rsidR="008E1F8C" w:rsidRPr="004068F6">
        <w:rPr>
          <w:rFonts w:cs="Arial"/>
          <w:spacing w:val="-3"/>
        </w:rPr>
        <w:t>es</w:t>
      </w:r>
      <w:r w:rsidRPr="004068F6">
        <w:rPr>
          <w:rFonts w:cs="Arial"/>
          <w:spacing w:val="-3"/>
        </w:rPr>
        <w:t xml:space="preserve"> (cualitativo</w:t>
      </w:r>
      <w:r w:rsidR="008E1F8C" w:rsidRPr="004068F6">
        <w:rPr>
          <w:rFonts w:cs="Arial"/>
          <w:spacing w:val="-3"/>
        </w:rPr>
        <w:t>s</w:t>
      </w:r>
      <w:r w:rsidRPr="004068F6">
        <w:rPr>
          <w:rFonts w:cs="Arial"/>
          <w:spacing w:val="-3"/>
        </w:rPr>
        <w:t xml:space="preserve"> o cuantitativo</w:t>
      </w:r>
      <w:r w:rsidR="008E1F8C" w:rsidRPr="004068F6">
        <w:rPr>
          <w:rFonts w:cs="Arial"/>
          <w:spacing w:val="-3"/>
        </w:rPr>
        <w:t>s</w:t>
      </w:r>
      <w:r w:rsidRPr="004068F6">
        <w:rPr>
          <w:rFonts w:cs="Arial"/>
          <w:spacing w:val="-3"/>
        </w:rPr>
        <w:t>) entre dos escenarios diferentes, uno en el que no se desarrolla el proyecto</w:t>
      </w:r>
      <w:r w:rsidR="00953BF3" w:rsidRPr="004068F6">
        <w:rPr>
          <w:spacing w:val="-3"/>
        </w:rPr>
        <w:t>, obra o actividad</w:t>
      </w:r>
      <w:r w:rsidRPr="004068F6">
        <w:rPr>
          <w:rFonts w:cs="Arial"/>
          <w:spacing w:val="-3"/>
        </w:rPr>
        <w:t xml:space="preserve"> y otro en el que sí. Mediante este ejercicio de predicción de las repercusiones ambientales se gener</w:t>
      </w:r>
      <w:r w:rsidR="00D7628F" w:rsidRPr="004068F6">
        <w:rPr>
          <w:rFonts w:cs="Arial"/>
          <w:spacing w:val="-3"/>
        </w:rPr>
        <w:t>a</w:t>
      </w:r>
      <w:r w:rsidRPr="004068F6">
        <w:rPr>
          <w:rFonts w:cs="Arial"/>
          <w:spacing w:val="-3"/>
        </w:rPr>
        <w:t xml:space="preserve"> conocimiento para la toma de decisiones, ya sea</w:t>
      </w:r>
      <w:r w:rsidR="00963B99" w:rsidRPr="004068F6">
        <w:rPr>
          <w:rFonts w:cs="Arial"/>
          <w:spacing w:val="-3"/>
        </w:rPr>
        <w:t xml:space="preserve"> de </w:t>
      </w:r>
      <w:r w:rsidRPr="004068F6">
        <w:rPr>
          <w:rFonts w:cs="Arial"/>
          <w:spacing w:val="-3"/>
        </w:rPr>
        <w:t>quien</w:t>
      </w:r>
      <w:r w:rsidR="00705707" w:rsidRPr="004068F6">
        <w:rPr>
          <w:rFonts w:cs="Arial"/>
          <w:spacing w:val="-3"/>
        </w:rPr>
        <w:t>es</w:t>
      </w:r>
      <w:r w:rsidRPr="004068F6">
        <w:rPr>
          <w:rFonts w:cs="Arial"/>
          <w:spacing w:val="-3"/>
        </w:rPr>
        <w:t xml:space="preserve"> formulan</w:t>
      </w:r>
      <w:r w:rsidR="00705707" w:rsidRPr="004068F6">
        <w:rPr>
          <w:rFonts w:cs="Arial"/>
          <w:spacing w:val="-3"/>
        </w:rPr>
        <w:t xml:space="preserve"> </w:t>
      </w:r>
      <w:r w:rsidRPr="004068F6">
        <w:rPr>
          <w:rFonts w:cs="Arial"/>
          <w:spacing w:val="-3"/>
        </w:rPr>
        <w:t>un proyecto</w:t>
      </w:r>
      <w:r w:rsidR="00953BF3" w:rsidRPr="004068F6">
        <w:rPr>
          <w:rFonts w:cs="Arial"/>
          <w:spacing w:val="-3"/>
        </w:rPr>
        <w:t>,</w:t>
      </w:r>
      <w:r w:rsidRPr="004068F6">
        <w:rPr>
          <w:rFonts w:cs="Arial"/>
          <w:spacing w:val="-3"/>
        </w:rPr>
        <w:t xml:space="preserve"> obra o actividad, o </w:t>
      </w:r>
      <w:r w:rsidR="00963B99" w:rsidRPr="004068F6">
        <w:rPr>
          <w:rFonts w:cs="Arial"/>
          <w:spacing w:val="-3"/>
        </w:rPr>
        <w:t xml:space="preserve">de </w:t>
      </w:r>
      <w:r w:rsidRPr="004068F6">
        <w:rPr>
          <w:rFonts w:cs="Arial"/>
          <w:spacing w:val="-3"/>
        </w:rPr>
        <w:t xml:space="preserve">la autoridad </w:t>
      </w:r>
      <w:r w:rsidR="000D7E4F" w:rsidRPr="004068F6">
        <w:rPr>
          <w:rFonts w:cs="Arial"/>
          <w:spacing w:val="-3"/>
        </w:rPr>
        <w:t xml:space="preserve">que evalúa su </w:t>
      </w:r>
      <w:r w:rsidRPr="004068F6">
        <w:rPr>
          <w:rFonts w:cs="Arial"/>
          <w:spacing w:val="-3"/>
        </w:rPr>
        <w:t>viabilidad ambiental.</w:t>
      </w:r>
    </w:p>
    <w:p w14:paraId="325C2570" w14:textId="77777777" w:rsidR="007B7358" w:rsidRPr="004068F6" w:rsidRDefault="007B7358" w:rsidP="007B7358">
      <w:pPr>
        <w:numPr>
          <w:ilvl w:val="12"/>
          <w:numId w:val="0"/>
        </w:numPr>
        <w:tabs>
          <w:tab w:val="left" w:pos="-2268"/>
        </w:tabs>
        <w:suppressAutoHyphens/>
        <w:rPr>
          <w:rFonts w:cs="Arial"/>
          <w:spacing w:val="-3"/>
        </w:rPr>
      </w:pPr>
    </w:p>
    <w:p w14:paraId="6EE92356" w14:textId="02DA2D94" w:rsidR="00571B66" w:rsidRPr="004068F6" w:rsidRDefault="007B7358" w:rsidP="007B7358">
      <w:pPr>
        <w:numPr>
          <w:ilvl w:val="12"/>
          <w:numId w:val="0"/>
        </w:numPr>
        <w:tabs>
          <w:tab w:val="left" w:pos="-2268"/>
        </w:tabs>
        <w:suppressAutoHyphens/>
        <w:rPr>
          <w:rFonts w:cs="Arial"/>
          <w:spacing w:val="-3"/>
        </w:rPr>
      </w:pPr>
      <w:r w:rsidRPr="004068F6">
        <w:rPr>
          <w:rFonts w:cs="Arial"/>
          <w:spacing w:val="-3"/>
        </w:rPr>
        <w:t xml:space="preserve">En la medida en que la evaluación ambiental permite prever cuáles son los impactos y cómo modificarían las condiciones ambientales, </w:t>
      </w:r>
      <w:r w:rsidR="00C5412B" w:rsidRPr="004068F6">
        <w:rPr>
          <w:rFonts w:cs="Arial"/>
          <w:spacing w:val="-3"/>
        </w:rPr>
        <w:t xml:space="preserve">el </w:t>
      </w:r>
      <w:r w:rsidRPr="004068F6">
        <w:rPr>
          <w:rFonts w:cs="Arial"/>
          <w:spacing w:val="-3"/>
        </w:rPr>
        <w:t>formula</w:t>
      </w:r>
      <w:r w:rsidR="00C5412B" w:rsidRPr="004068F6">
        <w:rPr>
          <w:rFonts w:cs="Arial"/>
          <w:spacing w:val="-3"/>
        </w:rPr>
        <w:t>dor de</w:t>
      </w:r>
      <w:r w:rsidRPr="004068F6">
        <w:rPr>
          <w:rFonts w:cs="Arial"/>
          <w:spacing w:val="-3"/>
        </w:rPr>
        <w:t xml:space="preserve"> un proyecto, obra o actividad, puede utilizar esta información para replantear tanto su ubicación o trazado, como sus características de ingeniería, tecnología y diseño a fin de que su propuesta genere menos impactos o </w:t>
      </w:r>
      <w:r w:rsidR="00B30B8E" w:rsidRPr="004068F6">
        <w:rPr>
          <w:rFonts w:cs="Arial"/>
          <w:spacing w:val="-3"/>
        </w:rPr>
        <w:t xml:space="preserve">de </w:t>
      </w:r>
      <w:r w:rsidRPr="004068F6">
        <w:rPr>
          <w:rFonts w:cs="Arial"/>
          <w:spacing w:val="-3"/>
        </w:rPr>
        <w:t xml:space="preserve">que éstos modifiquen en menor medida las condiciones ambientales, especialmente, las de las </w:t>
      </w:r>
      <w:r w:rsidR="00A10EEF" w:rsidRPr="004068F6">
        <w:rPr>
          <w:rFonts w:cs="Arial"/>
          <w:spacing w:val="-3"/>
        </w:rPr>
        <w:t>áreas de especial interés ambiental</w:t>
      </w:r>
      <w:r w:rsidRPr="004068F6">
        <w:rPr>
          <w:rFonts w:cs="Arial"/>
          <w:spacing w:val="-3"/>
        </w:rPr>
        <w:t>.</w:t>
      </w:r>
    </w:p>
    <w:p w14:paraId="03BE2035" w14:textId="77777777" w:rsidR="007B7358" w:rsidRPr="004068F6" w:rsidRDefault="007B7358" w:rsidP="007B7358">
      <w:pPr>
        <w:numPr>
          <w:ilvl w:val="12"/>
          <w:numId w:val="0"/>
        </w:numPr>
        <w:tabs>
          <w:tab w:val="left" w:pos="-2268"/>
        </w:tabs>
        <w:suppressAutoHyphens/>
        <w:rPr>
          <w:rFonts w:cs="Arial"/>
          <w:spacing w:val="-3"/>
        </w:rPr>
      </w:pPr>
    </w:p>
    <w:p w14:paraId="2FE6427C" w14:textId="3B72F119" w:rsidR="007B7358" w:rsidRPr="004068F6" w:rsidRDefault="007A53B4" w:rsidP="007B7358">
      <w:pPr>
        <w:numPr>
          <w:ilvl w:val="12"/>
          <w:numId w:val="0"/>
        </w:numPr>
        <w:tabs>
          <w:tab w:val="left" w:pos="-2268"/>
        </w:tabs>
        <w:suppressAutoHyphens/>
        <w:rPr>
          <w:rFonts w:cs="Arial"/>
          <w:spacing w:val="-3"/>
        </w:rPr>
      </w:pPr>
      <w:r w:rsidRPr="004068F6">
        <w:rPr>
          <w:rFonts w:cs="Arial"/>
          <w:spacing w:val="-3"/>
        </w:rPr>
        <w:t>La</w:t>
      </w:r>
      <w:r w:rsidR="007B7358" w:rsidRPr="004068F6">
        <w:rPr>
          <w:rFonts w:cs="Arial"/>
          <w:spacing w:val="-3"/>
        </w:rPr>
        <w:t xml:space="preserve"> evaluación ambiental </w:t>
      </w:r>
      <w:r w:rsidR="0029057E" w:rsidRPr="004068F6">
        <w:rPr>
          <w:rFonts w:cs="Arial"/>
          <w:spacing w:val="-3"/>
        </w:rPr>
        <w:t xml:space="preserve">brinda información que permite </w:t>
      </w:r>
      <w:r w:rsidR="007B7358" w:rsidRPr="004068F6">
        <w:rPr>
          <w:rFonts w:cs="Arial"/>
          <w:spacing w:val="-3"/>
        </w:rPr>
        <w:t xml:space="preserve">disminuciones importantes </w:t>
      </w:r>
      <w:r w:rsidR="0029057E" w:rsidRPr="004068F6">
        <w:rPr>
          <w:rFonts w:cs="Arial"/>
          <w:spacing w:val="-3"/>
        </w:rPr>
        <w:t xml:space="preserve">en los </w:t>
      </w:r>
      <w:r w:rsidR="007B7358" w:rsidRPr="004068F6">
        <w:rPr>
          <w:rFonts w:cs="Arial"/>
          <w:spacing w:val="-3"/>
        </w:rPr>
        <w:t>costos</w:t>
      </w:r>
      <w:r w:rsidR="0029057E" w:rsidRPr="004068F6">
        <w:rPr>
          <w:rFonts w:cs="Arial"/>
          <w:spacing w:val="-3"/>
        </w:rPr>
        <w:t xml:space="preserve"> de un proyecto, obra o actividad</w:t>
      </w:r>
      <w:r w:rsidR="007B7358" w:rsidRPr="004068F6">
        <w:rPr>
          <w:rFonts w:cs="Arial"/>
          <w:spacing w:val="-3"/>
        </w:rPr>
        <w:t xml:space="preserve">, pues un proyecto concebido con un óptimo desempeño ambiental, además de tener un área de influencia más pequeña o ubicada en </w:t>
      </w:r>
      <w:r w:rsidR="007B7358" w:rsidRPr="004068F6">
        <w:rPr>
          <w:rFonts w:cs="Arial"/>
          <w:spacing w:val="-3"/>
        </w:rPr>
        <w:lastRenderedPageBreak/>
        <w:t>áreas poco sensibles, requerirá de un manejo menos intensivo y complejo, y seguramente, de una menor cantidad de solicitudes de permisos o autorizaciones ambientales.</w:t>
      </w:r>
    </w:p>
    <w:p w14:paraId="2F914F7D" w14:textId="77777777" w:rsidR="007B7358" w:rsidRPr="004068F6" w:rsidRDefault="007B7358" w:rsidP="007B7358">
      <w:pPr>
        <w:numPr>
          <w:ilvl w:val="12"/>
          <w:numId w:val="0"/>
        </w:numPr>
        <w:tabs>
          <w:tab w:val="left" w:pos="-2268"/>
        </w:tabs>
        <w:suppressAutoHyphens/>
        <w:rPr>
          <w:rFonts w:cs="Arial"/>
          <w:spacing w:val="-3"/>
        </w:rPr>
      </w:pPr>
    </w:p>
    <w:p w14:paraId="74A329FA" w14:textId="158FF080" w:rsidR="007B7358" w:rsidRPr="004068F6" w:rsidRDefault="007B7358" w:rsidP="007B7358">
      <w:pPr>
        <w:numPr>
          <w:ilvl w:val="12"/>
          <w:numId w:val="0"/>
        </w:numPr>
        <w:tabs>
          <w:tab w:val="left" w:pos="-2268"/>
        </w:tabs>
        <w:suppressAutoHyphens/>
        <w:rPr>
          <w:rFonts w:cs="Arial"/>
          <w:spacing w:val="-3"/>
        </w:rPr>
      </w:pPr>
      <w:r w:rsidRPr="004068F6">
        <w:rPr>
          <w:rFonts w:cs="Arial"/>
          <w:spacing w:val="-3"/>
        </w:rPr>
        <w:t xml:space="preserve">En este mismo sentido, la evaluación ambiental es esencial para el proceso de elaboración del </w:t>
      </w:r>
      <w:r w:rsidR="009B68FD" w:rsidRPr="004068F6">
        <w:rPr>
          <w:rFonts w:cs="Arial"/>
          <w:spacing w:val="-3"/>
        </w:rPr>
        <w:t>estudio ambiental</w:t>
      </w:r>
      <w:r w:rsidRPr="004068F6">
        <w:rPr>
          <w:rFonts w:cs="Arial"/>
          <w:spacing w:val="-3"/>
        </w:rPr>
        <w:t xml:space="preserve">, pues es mediante la información que en ella se genera, que es posible formular medidas de manejo que </w:t>
      </w:r>
      <w:r w:rsidR="00661586" w:rsidRPr="004068F6">
        <w:rPr>
          <w:rFonts w:cs="Arial"/>
          <w:spacing w:val="-3"/>
        </w:rPr>
        <w:t>prevengan</w:t>
      </w:r>
      <w:r w:rsidRPr="004068F6">
        <w:rPr>
          <w:rFonts w:cs="Arial"/>
          <w:spacing w:val="-3"/>
        </w:rPr>
        <w:t xml:space="preserve">, mitiguen, corrijan y compensen de forma eficaz los impactos que </w:t>
      </w:r>
      <w:r w:rsidR="00CA04FC" w:rsidRPr="004068F6">
        <w:rPr>
          <w:rFonts w:cs="Arial"/>
          <w:spacing w:val="-3"/>
        </w:rPr>
        <w:t>generar</w:t>
      </w:r>
      <w:r w:rsidR="0089624D" w:rsidRPr="004068F6">
        <w:rPr>
          <w:rFonts w:cs="Arial"/>
          <w:spacing w:val="-3"/>
        </w:rPr>
        <w:t>ía la ejecución de</w:t>
      </w:r>
      <w:r w:rsidR="00CA04FC" w:rsidRPr="004068F6">
        <w:rPr>
          <w:rFonts w:cs="Arial"/>
          <w:spacing w:val="-3"/>
        </w:rPr>
        <w:t xml:space="preserve"> </w:t>
      </w:r>
      <w:r w:rsidRPr="004068F6">
        <w:rPr>
          <w:rFonts w:cs="Arial"/>
          <w:spacing w:val="-3"/>
        </w:rPr>
        <w:t>un proyecto</w:t>
      </w:r>
      <w:r w:rsidR="00953BF3" w:rsidRPr="004068F6">
        <w:rPr>
          <w:rFonts w:cs="Arial"/>
          <w:spacing w:val="-3"/>
        </w:rPr>
        <w:t>,</w:t>
      </w:r>
      <w:r w:rsidRPr="004068F6">
        <w:rPr>
          <w:rFonts w:cs="Arial"/>
          <w:spacing w:val="-3"/>
        </w:rPr>
        <w:t xml:space="preserve"> obra o actividad</w:t>
      </w:r>
      <w:r w:rsidR="004D5AB4">
        <w:rPr>
          <w:rFonts w:cs="Arial"/>
          <w:spacing w:val="-3"/>
        </w:rPr>
        <w:t>,</w:t>
      </w:r>
      <w:r w:rsidR="00B33D64">
        <w:rPr>
          <w:rFonts w:cs="Arial"/>
          <w:spacing w:val="-3"/>
        </w:rPr>
        <w:t xml:space="preserve"> así como</w:t>
      </w:r>
      <w:r w:rsidR="004D5AB4" w:rsidRPr="004D5AB4">
        <w:rPr>
          <w:rFonts w:cs="Arial"/>
          <w:spacing w:val="-3"/>
        </w:rPr>
        <w:t xml:space="preserve"> </w:t>
      </w:r>
      <w:r w:rsidR="004D5AB4" w:rsidRPr="004068F6">
        <w:rPr>
          <w:rFonts w:cs="Arial"/>
          <w:spacing w:val="-3"/>
        </w:rPr>
        <w:t xml:space="preserve">delimitar </w:t>
      </w:r>
      <w:r w:rsidR="00B33D64">
        <w:rPr>
          <w:rFonts w:cs="Arial"/>
          <w:spacing w:val="-3"/>
        </w:rPr>
        <w:t xml:space="preserve">su </w:t>
      </w:r>
      <w:r w:rsidR="004D5AB4" w:rsidRPr="004068F6">
        <w:rPr>
          <w:rFonts w:cs="Arial"/>
          <w:spacing w:val="-3"/>
        </w:rPr>
        <w:t>área de influencia</w:t>
      </w:r>
      <w:r w:rsidR="004D5AB4">
        <w:rPr>
          <w:rFonts w:cs="Arial"/>
          <w:spacing w:val="-3"/>
        </w:rPr>
        <w:t xml:space="preserve"> (al determinar los impactos ambientales significativos)</w:t>
      </w:r>
      <w:r w:rsidRPr="004068F6">
        <w:rPr>
          <w:rFonts w:cs="Arial"/>
          <w:spacing w:val="-3"/>
        </w:rPr>
        <w:t xml:space="preserve">, </w:t>
      </w:r>
      <w:r w:rsidR="009B68FD" w:rsidRPr="004068F6">
        <w:rPr>
          <w:rFonts w:cs="Arial"/>
          <w:spacing w:val="-3"/>
        </w:rPr>
        <w:t xml:space="preserve">entre otras acciones que </w:t>
      </w:r>
      <w:r w:rsidRPr="004068F6">
        <w:rPr>
          <w:rFonts w:cs="Arial"/>
          <w:spacing w:val="-3"/>
        </w:rPr>
        <w:t>aseguran el cumplimiento de los propósitos de la licencia ambiental como instrumento de manejo y control.</w:t>
      </w:r>
    </w:p>
    <w:p w14:paraId="328E452C" w14:textId="77777777" w:rsidR="007B7358" w:rsidRPr="004068F6" w:rsidRDefault="007B7358" w:rsidP="007B7358">
      <w:pPr>
        <w:numPr>
          <w:ilvl w:val="12"/>
          <w:numId w:val="0"/>
        </w:numPr>
        <w:tabs>
          <w:tab w:val="left" w:pos="-2268"/>
        </w:tabs>
        <w:suppressAutoHyphens/>
        <w:rPr>
          <w:rFonts w:cs="Arial"/>
          <w:spacing w:val="-3"/>
        </w:rPr>
      </w:pPr>
    </w:p>
    <w:p w14:paraId="49BA443B" w14:textId="20EAC48F" w:rsidR="00F55C4B" w:rsidRPr="004068F6" w:rsidRDefault="0044028B" w:rsidP="007B7358">
      <w:pPr>
        <w:numPr>
          <w:ilvl w:val="12"/>
          <w:numId w:val="0"/>
        </w:numPr>
        <w:tabs>
          <w:tab w:val="left" w:pos="-2268"/>
        </w:tabs>
        <w:suppressAutoHyphens/>
        <w:rPr>
          <w:rFonts w:cs="Arial"/>
          <w:spacing w:val="-3"/>
        </w:rPr>
      </w:pPr>
      <w:r w:rsidRPr="004068F6">
        <w:rPr>
          <w:rFonts w:cs="Arial"/>
          <w:spacing w:val="-3"/>
        </w:rPr>
        <w:t xml:space="preserve">Los lineamientos sobre la evaluación ambiental se dividen en </w:t>
      </w:r>
      <w:r w:rsidR="002C2415">
        <w:rPr>
          <w:rFonts w:cs="Arial"/>
          <w:spacing w:val="-3"/>
        </w:rPr>
        <w:t>cinco</w:t>
      </w:r>
      <w:r w:rsidR="002C2415" w:rsidRPr="004068F6">
        <w:rPr>
          <w:rFonts w:cs="Arial"/>
          <w:spacing w:val="-3"/>
        </w:rPr>
        <w:t xml:space="preserve"> </w:t>
      </w:r>
      <w:r w:rsidRPr="004068F6">
        <w:rPr>
          <w:rFonts w:cs="Arial"/>
          <w:spacing w:val="-3"/>
        </w:rPr>
        <w:t>secciones</w:t>
      </w:r>
      <w:r w:rsidR="000D7E4F" w:rsidRPr="004068F6">
        <w:rPr>
          <w:rFonts w:cs="Arial"/>
          <w:spacing w:val="-3"/>
        </w:rPr>
        <w:t xml:space="preserve">. </w:t>
      </w:r>
      <w:r w:rsidRPr="004068F6">
        <w:rPr>
          <w:rFonts w:cs="Arial"/>
          <w:spacing w:val="-3"/>
        </w:rPr>
        <w:t xml:space="preserve">La </w:t>
      </w:r>
      <w:r w:rsidR="000D7E4F" w:rsidRPr="004068F6">
        <w:rPr>
          <w:rFonts w:cs="Arial"/>
          <w:spacing w:val="-3"/>
        </w:rPr>
        <w:t>primer</w:t>
      </w:r>
      <w:r w:rsidRPr="004068F6">
        <w:rPr>
          <w:rFonts w:cs="Arial"/>
          <w:spacing w:val="-3"/>
        </w:rPr>
        <w:t>a</w:t>
      </w:r>
      <w:r w:rsidR="000D7E4F" w:rsidRPr="004068F6">
        <w:rPr>
          <w:rFonts w:cs="Arial"/>
          <w:spacing w:val="-3"/>
        </w:rPr>
        <w:t xml:space="preserve"> de ell</w:t>
      </w:r>
      <w:r w:rsidRPr="004068F6">
        <w:rPr>
          <w:rFonts w:cs="Arial"/>
          <w:spacing w:val="-3"/>
        </w:rPr>
        <w:t>a</w:t>
      </w:r>
      <w:r w:rsidR="000D7E4F" w:rsidRPr="004068F6">
        <w:rPr>
          <w:rFonts w:cs="Arial"/>
          <w:spacing w:val="-3"/>
        </w:rPr>
        <w:t xml:space="preserve">s </w:t>
      </w:r>
      <w:r w:rsidR="00711C84">
        <w:rPr>
          <w:rFonts w:cs="Arial"/>
          <w:spacing w:val="-3"/>
        </w:rPr>
        <w:t>s</w:t>
      </w:r>
      <w:r w:rsidR="002C2415">
        <w:rPr>
          <w:rFonts w:cs="Arial"/>
          <w:spacing w:val="-3"/>
        </w:rPr>
        <w:t>eñala el procedimiento general que se debe seguir para desarrollar la evaluación ambiental</w:t>
      </w:r>
      <w:r w:rsidR="00711C84">
        <w:rPr>
          <w:rFonts w:cs="Arial"/>
          <w:spacing w:val="-3"/>
        </w:rPr>
        <w:t>;</w:t>
      </w:r>
      <w:r w:rsidR="002C2415" w:rsidRPr="004068F6">
        <w:rPr>
          <w:rFonts w:cs="Arial"/>
          <w:spacing w:val="-3"/>
        </w:rPr>
        <w:t xml:space="preserve"> </w:t>
      </w:r>
      <w:r w:rsidR="00711C84">
        <w:rPr>
          <w:rFonts w:cs="Arial"/>
          <w:spacing w:val="-3"/>
        </w:rPr>
        <w:t xml:space="preserve">la segunda </w:t>
      </w:r>
      <w:r w:rsidR="000A0928" w:rsidRPr="004068F6">
        <w:rPr>
          <w:rFonts w:cs="Arial"/>
          <w:spacing w:val="-3"/>
        </w:rPr>
        <w:t xml:space="preserve">ofrece </w:t>
      </w:r>
      <w:r w:rsidR="007B7358" w:rsidRPr="004068F6">
        <w:rPr>
          <w:rFonts w:cs="Arial"/>
          <w:spacing w:val="-3"/>
        </w:rPr>
        <w:t xml:space="preserve">lineamientos y reglas generales </w:t>
      </w:r>
      <w:r w:rsidR="000A0928" w:rsidRPr="004068F6">
        <w:rPr>
          <w:rFonts w:cs="Arial"/>
          <w:spacing w:val="-3"/>
        </w:rPr>
        <w:t xml:space="preserve">que aplican tanto a </w:t>
      </w:r>
      <w:r w:rsidR="007B7358" w:rsidRPr="004068F6">
        <w:rPr>
          <w:rFonts w:cs="Arial"/>
          <w:spacing w:val="-3"/>
        </w:rPr>
        <w:t xml:space="preserve">la evaluación ambiental </w:t>
      </w:r>
      <w:r w:rsidR="00FA2D91" w:rsidRPr="004068F6">
        <w:rPr>
          <w:rFonts w:cs="Arial"/>
          <w:spacing w:val="-3"/>
        </w:rPr>
        <w:t>d</w:t>
      </w:r>
      <w:r w:rsidR="003E7CC2" w:rsidRPr="004068F6">
        <w:rPr>
          <w:rFonts w:cs="Arial"/>
          <w:spacing w:val="-3"/>
        </w:rPr>
        <w:t>e</w:t>
      </w:r>
      <w:r w:rsidR="000A0928" w:rsidRPr="004068F6">
        <w:rPr>
          <w:rFonts w:cs="Arial"/>
          <w:spacing w:val="-3"/>
        </w:rPr>
        <w:t xml:space="preserve">l escenario </w:t>
      </w:r>
      <w:r w:rsidR="003E7CC2" w:rsidRPr="004068F6">
        <w:rPr>
          <w:rFonts w:cs="Arial"/>
          <w:spacing w:val="-3"/>
        </w:rPr>
        <w:t xml:space="preserve">sin </w:t>
      </w:r>
      <w:r w:rsidR="000A0928" w:rsidRPr="004068F6">
        <w:rPr>
          <w:rFonts w:cs="Arial"/>
          <w:spacing w:val="-3"/>
        </w:rPr>
        <w:t xml:space="preserve">proyecto, como a la evaluación ambiental del escenario con </w:t>
      </w:r>
      <w:r w:rsidR="003E7CC2" w:rsidRPr="004068F6">
        <w:rPr>
          <w:rFonts w:cs="Arial"/>
          <w:spacing w:val="-3"/>
        </w:rPr>
        <w:t>proyecto</w:t>
      </w:r>
      <w:r w:rsidR="000A0928" w:rsidRPr="004068F6">
        <w:rPr>
          <w:rFonts w:cs="Arial"/>
          <w:spacing w:val="-3"/>
        </w:rPr>
        <w:t>; l</w:t>
      </w:r>
      <w:r w:rsidRPr="004068F6">
        <w:rPr>
          <w:rFonts w:cs="Arial"/>
          <w:spacing w:val="-3"/>
        </w:rPr>
        <w:t>a</w:t>
      </w:r>
      <w:r w:rsidR="000A0928" w:rsidRPr="004068F6">
        <w:rPr>
          <w:rFonts w:cs="Arial"/>
          <w:spacing w:val="-3"/>
        </w:rPr>
        <w:t xml:space="preserve"> tercer</w:t>
      </w:r>
      <w:r w:rsidRPr="004068F6">
        <w:rPr>
          <w:rFonts w:cs="Arial"/>
          <w:spacing w:val="-3"/>
        </w:rPr>
        <w:t>a</w:t>
      </w:r>
      <w:r w:rsidR="000A0928" w:rsidRPr="004068F6">
        <w:rPr>
          <w:rFonts w:cs="Arial"/>
          <w:spacing w:val="-3"/>
        </w:rPr>
        <w:t xml:space="preserve"> </w:t>
      </w:r>
      <w:r w:rsidR="00711C84">
        <w:rPr>
          <w:rFonts w:cs="Arial"/>
          <w:spacing w:val="-3"/>
        </w:rPr>
        <w:t xml:space="preserve">y cuarta </w:t>
      </w:r>
      <w:r w:rsidR="000A0928" w:rsidRPr="004068F6">
        <w:rPr>
          <w:rFonts w:cs="Arial"/>
          <w:spacing w:val="-3"/>
        </w:rPr>
        <w:t>establece</w:t>
      </w:r>
      <w:r w:rsidRPr="004068F6">
        <w:rPr>
          <w:rFonts w:cs="Arial"/>
          <w:spacing w:val="-3"/>
        </w:rPr>
        <w:t>n</w:t>
      </w:r>
      <w:r w:rsidR="000A0928" w:rsidRPr="004068F6">
        <w:rPr>
          <w:rFonts w:cs="Arial"/>
          <w:spacing w:val="-3"/>
        </w:rPr>
        <w:t xml:space="preserve"> orientaciones </w:t>
      </w:r>
      <w:r w:rsidR="00BF7051" w:rsidRPr="004068F6">
        <w:rPr>
          <w:rFonts w:cs="Arial"/>
          <w:spacing w:val="-3"/>
        </w:rPr>
        <w:t xml:space="preserve">y procedimientos </w:t>
      </w:r>
      <w:r w:rsidR="000A0928" w:rsidRPr="004068F6">
        <w:rPr>
          <w:rFonts w:cs="Arial"/>
          <w:spacing w:val="-3"/>
        </w:rPr>
        <w:t>específic</w:t>
      </w:r>
      <w:r w:rsidR="00BF7051" w:rsidRPr="004068F6">
        <w:rPr>
          <w:rFonts w:cs="Arial"/>
          <w:spacing w:val="-3"/>
        </w:rPr>
        <w:t>o</w:t>
      </w:r>
      <w:r w:rsidR="000A0928" w:rsidRPr="004068F6">
        <w:rPr>
          <w:rFonts w:cs="Arial"/>
          <w:spacing w:val="-3"/>
        </w:rPr>
        <w:t>s para el escenario sin proyecto y para el escenario con proyecto, respectivamente</w:t>
      </w:r>
      <w:r w:rsidR="009B4646" w:rsidRPr="004068F6">
        <w:rPr>
          <w:rFonts w:cs="Arial"/>
          <w:spacing w:val="-3"/>
        </w:rPr>
        <w:t xml:space="preserve"> y</w:t>
      </w:r>
      <w:r w:rsidR="000A0928" w:rsidRPr="004068F6">
        <w:rPr>
          <w:rFonts w:cs="Arial"/>
          <w:spacing w:val="-3"/>
        </w:rPr>
        <w:t>; l</w:t>
      </w:r>
      <w:r w:rsidRPr="004068F6">
        <w:rPr>
          <w:rFonts w:cs="Arial"/>
          <w:spacing w:val="-3"/>
        </w:rPr>
        <w:t>a</w:t>
      </w:r>
      <w:r w:rsidR="000A0928" w:rsidRPr="004068F6">
        <w:rPr>
          <w:rFonts w:cs="Arial"/>
          <w:spacing w:val="-3"/>
        </w:rPr>
        <w:t xml:space="preserve"> </w:t>
      </w:r>
      <w:r w:rsidR="002208B5">
        <w:rPr>
          <w:rFonts w:cs="Arial"/>
          <w:spacing w:val="-3"/>
        </w:rPr>
        <w:t xml:space="preserve">quinta </w:t>
      </w:r>
      <w:r w:rsidR="000A0928" w:rsidRPr="004068F6">
        <w:rPr>
          <w:rFonts w:cs="Arial"/>
          <w:spacing w:val="-3"/>
        </w:rPr>
        <w:t xml:space="preserve">brinda </w:t>
      </w:r>
      <w:r w:rsidRPr="004068F6">
        <w:rPr>
          <w:rFonts w:cs="Arial"/>
          <w:spacing w:val="-3"/>
        </w:rPr>
        <w:t xml:space="preserve">orientaciones </w:t>
      </w:r>
      <w:r w:rsidR="00483053" w:rsidRPr="004068F6">
        <w:rPr>
          <w:rFonts w:cs="Arial"/>
          <w:spacing w:val="-3"/>
        </w:rPr>
        <w:t>para desarrollar modelos de algunos de los escenarios prospectivos empleados en la evaluación ambiental</w:t>
      </w:r>
      <w:r w:rsidR="003E7CC2" w:rsidRPr="004068F6">
        <w:rPr>
          <w:rFonts w:cs="Arial"/>
          <w:spacing w:val="-3"/>
        </w:rPr>
        <w:t>.</w:t>
      </w:r>
    </w:p>
    <w:p w14:paraId="20DD8908" w14:textId="77777777" w:rsidR="007C551D" w:rsidRDefault="007C551D" w:rsidP="007B7358">
      <w:pPr>
        <w:numPr>
          <w:ilvl w:val="12"/>
          <w:numId w:val="0"/>
        </w:numPr>
        <w:tabs>
          <w:tab w:val="left" w:pos="-2268"/>
        </w:tabs>
        <w:suppressAutoHyphens/>
        <w:rPr>
          <w:rFonts w:cs="Arial"/>
          <w:spacing w:val="-3"/>
        </w:rPr>
      </w:pPr>
    </w:p>
    <w:p w14:paraId="73EE9AC4" w14:textId="2503F3FF" w:rsidR="00AC3AF1" w:rsidRPr="00127BD4" w:rsidRDefault="00AC3AF1" w:rsidP="00AC3AF1">
      <w:pPr>
        <w:pStyle w:val="Ttulo2"/>
        <w:rPr>
          <w:lang w:val="es-CO"/>
        </w:rPr>
      </w:pPr>
      <w:bookmarkStart w:id="3230" w:name="_Toc230879689"/>
      <w:r>
        <w:rPr>
          <w:lang w:val="es-CO"/>
        </w:rPr>
        <w:t xml:space="preserve">PROCEDIMIENTO </w:t>
      </w:r>
      <w:r w:rsidRPr="004068F6">
        <w:rPr>
          <w:lang w:val="es-CO"/>
        </w:rPr>
        <w:t>GENERAL PARA LA EVALUACIÓN AMBIENTAL</w:t>
      </w:r>
      <w:bookmarkEnd w:id="3230"/>
    </w:p>
    <w:p w14:paraId="23C266CD" w14:textId="77777777" w:rsidR="00AC3AF1" w:rsidRDefault="00AC3AF1" w:rsidP="007B7358">
      <w:pPr>
        <w:numPr>
          <w:ilvl w:val="12"/>
          <w:numId w:val="0"/>
        </w:numPr>
        <w:tabs>
          <w:tab w:val="left" w:pos="-2268"/>
        </w:tabs>
        <w:suppressAutoHyphens/>
        <w:rPr>
          <w:rFonts w:cs="Arial"/>
          <w:spacing w:val="-3"/>
        </w:rPr>
      </w:pPr>
    </w:p>
    <w:p w14:paraId="59D84741" w14:textId="31438C76" w:rsidR="00F55C4B" w:rsidRDefault="00FD7F1C" w:rsidP="00F55C4B">
      <w:pPr>
        <w:numPr>
          <w:ilvl w:val="12"/>
          <w:numId w:val="0"/>
        </w:numPr>
        <w:tabs>
          <w:tab w:val="left" w:pos="-2268"/>
        </w:tabs>
        <w:suppressAutoHyphens/>
        <w:rPr>
          <w:rFonts w:cs="Arial"/>
          <w:spacing w:val="-3"/>
        </w:rPr>
      </w:pPr>
      <w:r>
        <w:rPr>
          <w:rFonts w:cs="Arial"/>
          <w:spacing w:val="-3"/>
        </w:rPr>
        <w:t>E</w:t>
      </w:r>
      <w:r w:rsidR="007E2A99">
        <w:rPr>
          <w:rFonts w:cs="Arial"/>
          <w:spacing w:val="-3"/>
        </w:rPr>
        <w:t xml:space="preserve">l </w:t>
      </w:r>
      <w:r>
        <w:rPr>
          <w:rFonts w:cs="Arial"/>
          <w:spacing w:val="-3"/>
        </w:rPr>
        <w:t xml:space="preserve">procedimiento </w:t>
      </w:r>
      <w:r w:rsidR="007E2A99">
        <w:rPr>
          <w:rFonts w:cs="Arial"/>
          <w:spacing w:val="-3"/>
        </w:rPr>
        <w:t xml:space="preserve">general de la evaluación ambiental </w:t>
      </w:r>
      <w:r w:rsidR="00613E66">
        <w:rPr>
          <w:rFonts w:cs="Arial"/>
          <w:spacing w:val="-3"/>
        </w:rPr>
        <w:t xml:space="preserve">comprende la </w:t>
      </w:r>
      <w:r w:rsidR="00AF4A66">
        <w:rPr>
          <w:rFonts w:cs="Arial"/>
          <w:spacing w:val="-3"/>
        </w:rPr>
        <w:t xml:space="preserve">evaluación del </w:t>
      </w:r>
      <w:r w:rsidR="00B93E8A">
        <w:rPr>
          <w:rFonts w:cs="Arial"/>
          <w:spacing w:val="-3"/>
        </w:rPr>
        <w:t xml:space="preserve">escenario sin </w:t>
      </w:r>
      <w:r w:rsidR="0044469A">
        <w:rPr>
          <w:rFonts w:cs="Arial"/>
          <w:spacing w:val="-3"/>
        </w:rPr>
        <w:t>proyecto</w:t>
      </w:r>
      <w:r w:rsidR="00DE7D5C">
        <w:rPr>
          <w:rFonts w:cs="Arial"/>
          <w:spacing w:val="-3"/>
        </w:rPr>
        <w:t xml:space="preserve">, la evaluación </w:t>
      </w:r>
      <w:r w:rsidR="00E35920">
        <w:rPr>
          <w:rFonts w:cs="Arial"/>
          <w:spacing w:val="-3"/>
        </w:rPr>
        <w:t>de</w:t>
      </w:r>
      <w:r w:rsidR="0027587D">
        <w:rPr>
          <w:rFonts w:cs="Arial"/>
          <w:spacing w:val="-3"/>
        </w:rPr>
        <w:t>l</w:t>
      </w:r>
      <w:r w:rsidR="00E35920">
        <w:rPr>
          <w:rFonts w:cs="Arial"/>
          <w:spacing w:val="-3"/>
        </w:rPr>
        <w:t xml:space="preserve"> escenario </w:t>
      </w:r>
      <w:r w:rsidR="00B93E8A">
        <w:rPr>
          <w:rFonts w:cs="Arial"/>
          <w:spacing w:val="-3"/>
        </w:rPr>
        <w:t>con proyecto</w:t>
      </w:r>
      <w:r w:rsidR="000A171F">
        <w:rPr>
          <w:rFonts w:cs="Arial"/>
          <w:spacing w:val="-3"/>
        </w:rPr>
        <w:t xml:space="preserve"> </w:t>
      </w:r>
      <w:r w:rsidR="00DC2A07">
        <w:rPr>
          <w:rFonts w:cs="Arial"/>
          <w:spacing w:val="-3"/>
        </w:rPr>
        <w:t xml:space="preserve">y la </w:t>
      </w:r>
      <w:r w:rsidR="000A171F">
        <w:rPr>
          <w:rFonts w:cs="Arial"/>
          <w:spacing w:val="-3"/>
        </w:rPr>
        <w:t>compara</w:t>
      </w:r>
      <w:r w:rsidR="007C28E4">
        <w:rPr>
          <w:rFonts w:cs="Arial"/>
          <w:spacing w:val="-3"/>
        </w:rPr>
        <w:t xml:space="preserve">ción </w:t>
      </w:r>
      <w:r w:rsidR="00CE0DB7">
        <w:rPr>
          <w:rFonts w:cs="Arial"/>
          <w:spacing w:val="-3"/>
        </w:rPr>
        <w:t xml:space="preserve">entre ambos </w:t>
      </w:r>
      <w:r w:rsidR="000A171F">
        <w:rPr>
          <w:rFonts w:cs="Arial"/>
          <w:spacing w:val="-3"/>
        </w:rPr>
        <w:t>escenario</w:t>
      </w:r>
      <w:r w:rsidR="00CE0DB7">
        <w:rPr>
          <w:rFonts w:cs="Arial"/>
          <w:spacing w:val="-3"/>
        </w:rPr>
        <w:t>s</w:t>
      </w:r>
      <w:r w:rsidR="007C28E4">
        <w:rPr>
          <w:rFonts w:cs="Arial"/>
          <w:spacing w:val="-3"/>
        </w:rPr>
        <w:t xml:space="preserve"> para determinar </w:t>
      </w:r>
      <w:r w:rsidR="00F5443F">
        <w:rPr>
          <w:rFonts w:cs="Arial"/>
          <w:spacing w:val="-3"/>
        </w:rPr>
        <w:t>los cambios ambientales entre uno y otro</w:t>
      </w:r>
      <w:r w:rsidR="007C4C8D">
        <w:rPr>
          <w:rFonts w:cs="Arial"/>
          <w:spacing w:val="-3"/>
        </w:rPr>
        <w:t>; la evaluación del escenario con proyecto</w:t>
      </w:r>
      <w:r w:rsidR="00145CCD">
        <w:rPr>
          <w:rFonts w:cs="Arial"/>
          <w:spacing w:val="-3"/>
        </w:rPr>
        <w:t xml:space="preserve"> y </w:t>
      </w:r>
      <w:r w:rsidR="00B70982">
        <w:rPr>
          <w:rFonts w:cs="Arial"/>
          <w:spacing w:val="-3"/>
        </w:rPr>
        <w:t>la comparación entre escenarios</w:t>
      </w:r>
      <w:r w:rsidR="00C81A54">
        <w:rPr>
          <w:rFonts w:cs="Arial"/>
          <w:spacing w:val="-3"/>
        </w:rPr>
        <w:t xml:space="preserve"> </w:t>
      </w:r>
      <w:r w:rsidR="00145CCD">
        <w:rPr>
          <w:rFonts w:cs="Arial"/>
          <w:spacing w:val="-3"/>
        </w:rPr>
        <w:t xml:space="preserve">se realiza simultáneamente </w:t>
      </w:r>
      <w:r w:rsidR="00C81A54">
        <w:rPr>
          <w:rFonts w:cs="Arial"/>
          <w:spacing w:val="-3"/>
        </w:rPr>
        <w:t>a fin de abreviar el procedimiento</w:t>
      </w:r>
      <w:r w:rsidR="00AA17F7">
        <w:rPr>
          <w:rFonts w:cs="Arial"/>
          <w:spacing w:val="-3"/>
        </w:rPr>
        <w:t>. Además de señalar e</w:t>
      </w:r>
      <w:r w:rsidR="00381A2B">
        <w:rPr>
          <w:rFonts w:cs="Arial"/>
          <w:spacing w:val="-3"/>
        </w:rPr>
        <w:t xml:space="preserve">l procedimiento general </w:t>
      </w:r>
      <w:r w:rsidR="007F26CF">
        <w:rPr>
          <w:rFonts w:cs="Arial"/>
          <w:spacing w:val="-3"/>
        </w:rPr>
        <w:t xml:space="preserve">de la evaluación ambiental </w:t>
      </w:r>
      <w:r w:rsidR="00911667">
        <w:rPr>
          <w:rFonts w:cs="Arial"/>
        </w:rPr>
        <w:t xml:space="preserve">(ver </w:t>
      </w:r>
      <w:r w:rsidR="00911667">
        <w:rPr>
          <w:rFonts w:cs="Arial"/>
        </w:rPr>
        <w:fldChar w:fldCharType="begin"/>
      </w:r>
      <w:r w:rsidR="00911667">
        <w:rPr>
          <w:rFonts w:cs="Arial"/>
        </w:rPr>
        <w:instrText xml:space="preserve"> REF _Ref230172394 \h </w:instrText>
      </w:r>
      <w:r w:rsidR="00911667">
        <w:rPr>
          <w:rFonts w:cs="Arial"/>
        </w:rPr>
      </w:r>
      <w:r w:rsidR="00911667">
        <w:rPr>
          <w:rFonts w:cs="Arial"/>
        </w:rPr>
        <w:fldChar w:fldCharType="separate"/>
      </w:r>
      <w:r w:rsidR="009C4A81">
        <w:t xml:space="preserve">Figura </w:t>
      </w:r>
      <w:r w:rsidR="009C4A81">
        <w:rPr>
          <w:noProof/>
        </w:rPr>
        <w:t>16</w:t>
      </w:r>
      <w:r w:rsidR="00911667">
        <w:rPr>
          <w:rFonts w:cs="Arial"/>
        </w:rPr>
        <w:fldChar w:fldCharType="end"/>
      </w:r>
      <w:r w:rsidR="00D4137F">
        <w:rPr>
          <w:rFonts w:cs="Arial"/>
        </w:rPr>
        <w:t xml:space="preserve"> y numerales </w:t>
      </w:r>
      <w:r w:rsidR="00D4137F">
        <w:rPr>
          <w:rFonts w:cs="Arial"/>
        </w:rPr>
        <w:fldChar w:fldCharType="begin"/>
      </w:r>
      <w:r w:rsidR="00D4137F">
        <w:rPr>
          <w:rFonts w:cs="Arial"/>
        </w:rPr>
        <w:instrText xml:space="preserve"> REF _Ref230679977 \r \h </w:instrText>
      </w:r>
      <w:r w:rsidR="00D4137F">
        <w:rPr>
          <w:rFonts w:cs="Arial"/>
        </w:rPr>
      </w:r>
      <w:r w:rsidR="00D4137F">
        <w:rPr>
          <w:rFonts w:cs="Arial"/>
        </w:rPr>
        <w:fldChar w:fldCharType="separate"/>
      </w:r>
      <w:r w:rsidR="009C4A81">
        <w:rPr>
          <w:rFonts w:cs="Arial"/>
        </w:rPr>
        <w:t>7.1.1</w:t>
      </w:r>
      <w:r w:rsidR="00D4137F">
        <w:rPr>
          <w:rFonts w:cs="Arial"/>
        </w:rPr>
        <w:fldChar w:fldCharType="end"/>
      </w:r>
      <w:r w:rsidR="00D4137F">
        <w:rPr>
          <w:rFonts w:cs="Arial"/>
        </w:rPr>
        <w:t xml:space="preserve"> y </w:t>
      </w:r>
      <w:r w:rsidR="00D4137F">
        <w:rPr>
          <w:rFonts w:cs="Arial"/>
        </w:rPr>
        <w:fldChar w:fldCharType="begin"/>
      </w:r>
      <w:r w:rsidR="00D4137F">
        <w:rPr>
          <w:rFonts w:cs="Arial"/>
        </w:rPr>
        <w:instrText xml:space="preserve"> REF _Ref230679980 \r \h </w:instrText>
      </w:r>
      <w:r w:rsidR="00D4137F">
        <w:rPr>
          <w:rFonts w:cs="Arial"/>
        </w:rPr>
      </w:r>
      <w:r w:rsidR="00D4137F">
        <w:rPr>
          <w:rFonts w:cs="Arial"/>
        </w:rPr>
        <w:fldChar w:fldCharType="separate"/>
      </w:r>
      <w:r w:rsidR="009C4A81">
        <w:rPr>
          <w:rFonts w:cs="Arial"/>
        </w:rPr>
        <w:t>7.1.2</w:t>
      </w:r>
      <w:r w:rsidR="00D4137F">
        <w:rPr>
          <w:rFonts w:cs="Arial"/>
        </w:rPr>
        <w:fldChar w:fldCharType="end"/>
      </w:r>
      <w:r w:rsidR="00911667">
        <w:rPr>
          <w:rFonts w:cs="Arial"/>
        </w:rPr>
        <w:t>)</w:t>
      </w:r>
      <w:r w:rsidR="00065467">
        <w:rPr>
          <w:rFonts w:cs="Arial"/>
        </w:rPr>
        <w:t xml:space="preserve">, este </w:t>
      </w:r>
      <w:r w:rsidR="00065467">
        <w:rPr>
          <w:rFonts w:cs="Arial"/>
          <w:spacing w:val="-3"/>
        </w:rPr>
        <w:t xml:space="preserve">numeral menciona en qué </w:t>
      </w:r>
      <w:r w:rsidR="00A66703">
        <w:rPr>
          <w:rFonts w:cs="Arial"/>
          <w:spacing w:val="-3"/>
        </w:rPr>
        <w:t xml:space="preserve">apartado </w:t>
      </w:r>
      <w:r w:rsidR="003075B4">
        <w:rPr>
          <w:rFonts w:cs="Arial"/>
          <w:spacing w:val="-3"/>
        </w:rPr>
        <w:t xml:space="preserve">de </w:t>
      </w:r>
      <w:r w:rsidR="000F62D1">
        <w:rPr>
          <w:rFonts w:cs="Arial"/>
          <w:spacing w:val="-3"/>
        </w:rPr>
        <w:t xml:space="preserve">este capítulo (III) </w:t>
      </w:r>
      <w:r w:rsidR="00065467">
        <w:rPr>
          <w:rFonts w:cs="Arial"/>
          <w:spacing w:val="-3"/>
        </w:rPr>
        <w:t xml:space="preserve">se encuentran las orientaciones necesarias para </w:t>
      </w:r>
      <w:r w:rsidR="00D4137F">
        <w:rPr>
          <w:rFonts w:cs="Arial"/>
          <w:spacing w:val="-3"/>
        </w:rPr>
        <w:t>su desarrollo</w:t>
      </w:r>
      <w:r w:rsidR="00065467">
        <w:rPr>
          <w:rStyle w:val="Refdenotaalpie"/>
          <w:rFonts w:cs="Arial"/>
        </w:rPr>
        <w:footnoteReference w:id="207"/>
      </w:r>
      <w:r w:rsidR="00065467" w:rsidRPr="00883755">
        <w:rPr>
          <w:rFonts w:cs="Arial"/>
          <w:spacing w:val="-3"/>
          <w:lang w:val="es-MX"/>
        </w:rPr>
        <w:t>.</w:t>
      </w:r>
    </w:p>
    <w:p w14:paraId="11659A1A" w14:textId="77777777" w:rsidR="00D80C83" w:rsidRDefault="00D80C83" w:rsidP="00F55C4B">
      <w:pPr>
        <w:tabs>
          <w:tab w:val="left" w:pos="-2268"/>
        </w:tabs>
        <w:suppressAutoHyphens/>
        <w:rPr>
          <w:rFonts w:cs="Arial"/>
          <w:spacing w:val="-3"/>
          <w:lang w:val="es-ES_tradnl"/>
        </w:rPr>
        <w:sectPr w:rsidR="00D80C83" w:rsidSect="00967B56">
          <w:headerReference w:type="even" r:id="rId74"/>
          <w:headerReference w:type="default" r:id="rId75"/>
          <w:footerReference w:type="default" r:id="rId76"/>
          <w:headerReference w:type="first" r:id="rId77"/>
          <w:pgSz w:w="12242" w:h="15842" w:code="1"/>
          <w:pgMar w:top="2268" w:right="1134" w:bottom="1701" w:left="1701" w:header="1134" w:footer="850" w:gutter="0"/>
          <w:cols w:space="720"/>
          <w:docGrid w:linePitch="326"/>
        </w:sectPr>
      </w:pPr>
    </w:p>
    <w:p w14:paraId="009FFBDD" w14:textId="5D72DC53" w:rsidR="00F55C4B" w:rsidRDefault="00F55C4B" w:rsidP="00F55C4B">
      <w:pPr>
        <w:tabs>
          <w:tab w:val="left" w:pos="-2268"/>
        </w:tabs>
        <w:suppressAutoHyphens/>
        <w:rPr>
          <w:rFonts w:cs="Arial"/>
          <w:spacing w:val="-3"/>
          <w:lang w:val="es-ES_tradnl"/>
        </w:rPr>
      </w:pPr>
    </w:p>
    <w:p w14:paraId="064E2BB4" w14:textId="7D18F074" w:rsidR="009E2484" w:rsidRPr="00881EA0" w:rsidRDefault="001B0AAD" w:rsidP="009E2484">
      <w:pPr>
        <w:pStyle w:val="Descripcin"/>
        <w:keepNext/>
        <w:jc w:val="center"/>
        <w:rPr>
          <w:b w:val="0"/>
          <w:bCs w:val="0"/>
        </w:rPr>
      </w:pPr>
      <w:bookmarkStart w:id="3231" w:name="_Ref230172394"/>
      <w:r>
        <w:rPr>
          <w:noProof/>
        </w:rPr>
        <mc:AlternateContent>
          <mc:Choice Requires="wpg">
            <w:drawing>
              <wp:anchor distT="0" distB="0" distL="114300" distR="114300" simplePos="0" relativeHeight="251658250" behindDoc="0" locked="0" layoutInCell="1" allowOverlap="1" wp14:anchorId="38667F9F" wp14:editId="0A437C64">
                <wp:simplePos x="0" y="0"/>
                <wp:positionH relativeFrom="column">
                  <wp:posOffset>-348615</wp:posOffset>
                </wp:positionH>
                <wp:positionV relativeFrom="paragraph">
                  <wp:posOffset>222885</wp:posOffset>
                </wp:positionV>
                <wp:extent cx="8481060" cy="5295900"/>
                <wp:effectExtent l="0" t="0" r="15240" b="19050"/>
                <wp:wrapNone/>
                <wp:docPr id="1169781185" name="Grupo 431"/>
                <wp:cNvGraphicFramePr/>
                <a:graphic xmlns:a="http://schemas.openxmlformats.org/drawingml/2006/main">
                  <a:graphicData uri="http://schemas.microsoft.com/office/word/2010/wordprocessingGroup">
                    <wpg:wgp>
                      <wpg:cNvGrpSpPr/>
                      <wpg:grpSpPr>
                        <a:xfrm>
                          <a:off x="0" y="0"/>
                          <a:ext cx="8481060" cy="5295900"/>
                          <a:chOff x="-15240" y="0"/>
                          <a:chExt cx="8481060" cy="5295900"/>
                        </a:xfrm>
                      </wpg:grpSpPr>
                      <wps:wsp>
                        <wps:cNvPr id="628304681" name="Rectángulo 1"/>
                        <wps:cNvSpPr/>
                        <wps:spPr>
                          <a:xfrm>
                            <a:off x="2849880" y="15240"/>
                            <a:ext cx="5615940" cy="528066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F8AEF6" w14:textId="77777777" w:rsidR="001B0AAD" w:rsidRPr="00EE74CA" w:rsidRDefault="001B0AAD" w:rsidP="001B0AAD">
                              <w:pPr>
                                <w:rPr>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1471183846" name="Grupo 430"/>
                        <wpg:cNvGrpSpPr/>
                        <wpg:grpSpPr>
                          <a:xfrm>
                            <a:off x="-15240" y="0"/>
                            <a:ext cx="8393430" cy="5295900"/>
                            <a:chOff x="-15240" y="0"/>
                            <a:chExt cx="8393430" cy="5295900"/>
                          </a:xfrm>
                        </wpg:grpSpPr>
                        <wps:wsp>
                          <wps:cNvPr id="807041687" name="Rectángulo 1"/>
                          <wps:cNvSpPr/>
                          <wps:spPr>
                            <a:xfrm>
                              <a:off x="-15240" y="15240"/>
                              <a:ext cx="2843530" cy="528066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70C6C7" w14:textId="77777777" w:rsidR="007753B2" w:rsidRPr="00EE74CA" w:rsidRDefault="007753B2" w:rsidP="007753B2">
                                <w:pPr>
                                  <w:rPr>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2119333446" name="Grupo 415"/>
                          <wpg:cNvGrpSpPr/>
                          <wpg:grpSpPr>
                            <a:xfrm>
                              <a:off x="83820" y="0"/>
                              <a:ext cx="8294370" cy="5198745"/>
                              <a:chOff x="0" y="-15240"/>
                              <a:chExt cx="8294370" cy="5198745"/>
                            </a:xfrm>
                          </wpg:grpSpPr>
                          <wpg:grpSp>
                            <wpg:cNvPr id="1685398801" name="Grupo 408"/>
                            <wpg:cNvGrpSpPr/>
                            <wpg:grpSpPr>
                              <a:xfrm>
                                <a:off x="2781300" y="0"/>
                                <a:ext cx="5513070" cy="5183505"/>
                                <a:chOff x="0" y="-314560"/>
                                <a:chExt cx="5513070" cy="5183740"/>
                              </a:xfrm>
                            </wpg:grpSpPr>
                            <wpg:grpSp>
                              <wpg:cNvPr id="1657776755" name="Grupo 12"/>
                              <wpg:cNvGrpSpPr/>
                              <wpg:grpSpPr>
                                <a:xfrm>
                                  <a:off x="0" y="297180"/>
                                  <a:ext cx="5513070" cy="4572000"/>
                                  <a:chOff x="1554480" y="654618"/>
                                  <a:chExt cx="5513088" cy="4572365"/>
                                </a:xfrm>
                              </wpg:grpSpPr>
                              <wpg:grpSp>
                                <wpg:cNvPr id="750389032" name="Grupo 11"/>
                                <wpg:cNvGrpSpPr/>
                                <wpg:grpSpPr>
                                  <a:xfrm>
                                    <a:off x="1554480" y="654618"/>
                                    <a:ext cx="5513088" cy="4572365"/>
                                    <a:chOff x="1554480" y="547938"/>
                                    <a:chExt cx="5513088" cy="4572365"/>
                                  </a:xfrm>
                                </wpg:grpSpPr>
                                <wpg:grpSp>
                                  <wpg:cNvPr id="631975468" name="Grupo 10"/>
                                  <wpg:cNvGrpSpPr/>
                                  <wpg:grpSpPr>
                                    <a:xfrm>
                                      <a:off x="1554480" y="547938"/>
                                      <a:ext cx="5513088" cy="4572365"/>
                                      <a:chOff x="1554480" y="547938"/>
                                      <a:chExt cx="5513088" cy="4572365"/>
                                    </a:xfrm>
                                  </wpg:grpSpPr>
                                  <wpg:grpSp>
                                    <wpg:cNvPr id="640132497" name="Grupo 9"/>
                                    <wpg:cNvGrpSpPr/>
                                    <wpg:grpSpPr>
                                      <a:xfrm>
                                        <a:off x="1554480" y="547938"/>
                                        <a:ext cx="5513088" cy="4572365"/>
                                        <a:chOff x="293370" y="547938"/>
                                        <a:chExt cx="5513088" cy="4572365"/>
                                      </a:xfrm>
                                    </wpg:grpSpPr>
                                    <wpg:grpSp>
                                      <wpg:cNvPr id="1867886448" name="Grupo 7"/>
                                      <wpg:cNvGrpSpPr/>
                                      <wpg:grpSpPr>
                                        <a:xfrm>
                                          <a:off x="293370" y="547938"/>
                                          <a:ext cx="5513088" cy="4572365"/>
                                          <a:chOff x="-22860" y="547938"/>
                                          <a:chExt cx="5513088" cy="4572365"/>
                                        </a:xfrm>
                                      </wpg:grpSpPr>
                                      <wps:wsp>
                                        <wps:cNvPr id="182470734" name="Rectángulo 1"/>
                                        <wps:cNvSpPr/>
                                        <wps:spPr>
                                          <a:xfrm>
                                            <a:off x="2754229" y="548192"/>
                                            <a:ext cx="2735999" cy="4572111"/>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17A973" w14:textId="77777777" w:rsidR="009E2484" w:rsidRPr="00EE74CA" w:rsidRDefault="009E2484" w:rsidP="009E2484">
                                              <w:pPr>
                                                <w:rPr>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981755636" name="Grupo 6"/>
                                        <wpg:cNvGrpSpPr/>
                                        <wpg:grpSpPr>
                                          <a:xfrm>
                                            <a:off x="-22860" y="547938"/>
                                            <a:ext cx="5341621" cy="4572112"/>
                                            <a:chOff x="-152401" y="547938"/>
                                            <a:chExt cx="5341621" cy="4572112"/>
                                          </a:xfrm>
                                        </wpg:grpSpPr>
                                        <wps:wsp>
                                          <wps:cNvPr id="998814862" name="Rectángulo 1"/>
                                          <wps:cNvSpPr/>
                                          <wps:spPr>
                                            <a:xfrm>
                                              <a:off x="-152401" y="547938"/>
                                              <a:ext cx="2736000" cy="4572112"/>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CC7DD6" w14:textId="77777777" w:rsidR="009E2484" w:rsidRPr="00EE74CA" w:rsidRDefault="009E2484" w:rsidP="009E2484">
                                                <w:pPr>
                                                  <w:rPr>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1845929869" name="Grupo 5"/>
                                          <wpg:cNvGrpSpPr/>
                                          <wpg:grpSpPr>
                                            <a:xfrm>
                                              <a:off x="0" y="623580"/>
                                              <a:ext cx="5189220" cy="4340052"/>
                                              <a:chOff x="137018" y="482226"/>
                                              <a:chExt cx="4182182" cy="3823530"/>
                                            </a:xfrm>
                                          </wpg:grpSpPr>
                                          <wpg:grpSp>
                                            <wpg:cNvPr id="2029161247" name="Grupo 4"/>
                                            <wpg:cNvGrpSpPr/>
                                            <wpg:grpSpPr>
                                              <a:xfrm>
                                                <a:off x="137018" y="482226"/>
                                                <a:ext cx="4182182" cy="3823530"/>
                                                <a:chOff x="137020" y="634626"/>
                                                <a:chExt cx="4182250" cy="3823530"/>
                                              </a:xfrm>
                                            </wpg:grpSpPr>
                                            <wpg:grpSp>
                                              <wpg:cNvPr id="471399357" name="Grupo 3"/>
                                              <wpg:cNvGrpSpPr/>
                                              <wpg:grpSpPr>
                                                <a:xfrm>
                                                  <a:off x="137020" y="897547"/>
                                                  <a:ext cx="4182250" cy="3560609"/>
                                                  <a:chOff x="137020" y="950934"/>
                                                  <a:chExt cx="4182250" cy="3560813"/>
                                                </a:xfrm>
                                              </wpg:grpSpPr>
                                              <wps:wsp>
                                                <wps:cNvPr id="1506881475" name="Rectángulo 1"/>
                                                <wps:cNvSpPr/>
                                                <wps:spPr>
                                                  <a:xfrm>
                                                    <a:off x="137160" y="1927590"/>
                                                    <a:ext cx="1979930" cy="126869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046B82" w14:textId="300D8BD9" w:rsidR="009E2484" w:rsidRPr="00E64F04" w:rsidRDefault="009E2484" w:rsidP="00E64F04">
                                                      <w:pPr>
                                                        <w:pStyle w:val="Prrafodelista"/>
                                                        <w:numPr>
                                                          <w:ilvl w:val="0"/>
                                                          <w:numId w:val="796"/>
                                                        </w:numPr>
                                                        <w:ind w:left="284" w:hanging="284"/>
                                                        <w:jc w:val="center"/>
                                                        <w:rPr>
                                                          <w:sz w:val="20"/>
                                                          <w:szCs w:val="20"/>
                                                        </w:rPr>
                                                      </w:pPr>
                                                      <w:r w:rsidRPr="00E64F04">
                                                        <w:rPr>
                                                          <w:rFonts w:cs="Arial"/>
                                                          <w:sz w:val="20"/>
                                                          <w:szCs w:val="20"/>
                                                        </w:rPr>
                                                        <w:t>Determinación de impactos significativos</w:t>
                                                      </w:r>
                                                    </w:p>
                                                    <w:p w14:paraId="1A9D423B" w14:textId="77777777" w:rsidR="009E2484" w:rsidRDefault="009E2484" w:rsidP="009E2484">
                                                      <w:pPr>
                                                        <w:ind w:left="284" w:hanging="284"/>
                                                        <w:jc w:val="center"/>
                                                      </w:pPr>
                                                    </w:p>
                                                    <w:p w14:paraId="1E028968" w14:textId="77777777" w:rsidR="009E2484" w:rsidRPr="00CC4CBF" w:rsidRDefault="009E2484" w:rsidP="009E2484">
                                                      <w:pPr>
                                                        <w:pStyle w:val="Prrafodelista"/>
                                                        <w:numPr>
                                                          <w:ilvl w:val="0"/>
                                                          <w:numId w:val="786"/>
                                                        </w:numPr>
                                                        <w:ind w:left="284" w:hanging="284"/>
                                                        <w:jc w:val="center"/>
                                                        <w:rPr>
                                                          <w:rFonts w:cs="Arial"/>
                                                          <w:sz w:val="18"/>
                                                          <w:szCs w:val="18"/>
                                                        </w:rPr>
                                                      </w:pPr>
                                                      <w:r w:rsidRPr="00CC4CBF">
                                                        <w:rPr>
                                                          <w:rFonts w:cs="Arial"/>
                                                          <w:sz w:val="18"/>
                                                          <w:szCs w:val="18"/>
                                                        </w:rPr>
                                                        <w:t>Ajust</w:t>
                                                      </w:r>
                                                      <w:r>
                                                        <w:rPr>
                                                          <w:rFonts w:cs="Arial"/>
                                                          <w:sz w:val="18"/>
                                                          <w:szCs w:val="18"/>
                                                        </w:rPr>
                                                        <w:t>e</w:t>
                                                      </w:r>
                                                      <w:r w:rsidRPr="00CC4CBF">
                                                        <w:rPr>
                                                          <w:rFonts w:cs="Arial"/>
                                                          <w:sz w:val="18"/>
                                                          <w:szCs w:val="18"/>
                                                        </w:rPr>
                                                        <w:t xml:space="preserve"> </w:t>
                                                      </w:r>
                                                      <w:r>
                                                        <w:rPr>
                                                          <w:rFonts w:cs="Arial"/>
                                                          <w:sz w:val="18"/>
                                                          <w:szCs w:val="18"/>
                                                        </w:rPr>
                                                        <w:t xml:space="preserve">del </w:t>
                                                      </w:r>
                                                      <w:r w:rsidRPr="00CC4CBF">
                                                        <w:rPr>
                                                          <w:rFonts w:cs="Arial"/>
                                                          <w:sz w:val="18"/>
                                                          <w:szCs w:val="18"/>
                                                        </w:rPr>
                                                        <w:t>método inicial para que emplee sólo atributos sobre significancia</w:t>
                                                      </w:r>
                                                    </w:p>
                                                    <w:p w14:paraId="625E288E" w14:textId="68A12904" w:rsidR="009E2484" w:rsidRPr="00CC4CBF" w:rsidRDefault="009E2484" w:rsidP="009E2484">
                                                      <w:pPr>
                                                        <w:pStyle w:val="Prrafodelista"/>
                                                        <w:numPr>
                                                          <w:ilvl w:val="0"/>
                                                          <w:numId w:val="786"/>
                                                        </w:numPr>
                                                        <w:ind w:left="284" w:hanging="284"/>
                                                        <w:jc w:val="center"/>
                                                        <w:rPr>
                                                          <w:sz w:val="18"/>
                                                          <w:szCs w:val="18"/>
                                                        </w:rPr>
                                                      </w:pPr>
                                                      <w:r w:rsidRPr="00CC4CBF">
                                                        <w:rPr>
                                                          <w:rFonts w:cs="Arial"/>
                                                          <w:sz w:val="18"/>
                                                          <w:szCs w:val="18"/>
                                                        </w:rPr>
                                                        <w:t>Normaliza</w:t>
                                                      </w:r>
                                                      <w:r w:rsidR="00E56ABD">
                                                        <w:rPr>
                                                          <w:rFonts w:cs="Arial"/>
                                                          <w:sz w:val="18"/>
                                                          <w:szCs w:val="18"/>
                                                        </w:rPr>
                                                        <w:t>ción</w:t>
                                                      </w:r>
                                                      <w:r w:rsidR="00FD3EA9">
                                                        <w:rPr>
                                                          <w:rFonts w:cs="Arial"/>
                                                          <w:sz w:val="18"/>
                                                          <w:szCs w:val="18"/>
                                                        </w:rPr>
                                                        <w:t xml:space="preserve"> de resultados</w:t>
                                                      </w:r>
                                                    </w:p>
                                                    <w:p w14:paraId="5146BE41" w14:textId="77777777" w:rsidR="009E2484" w:rsidRDefault="009E2484" w:rsidP="009E2484">
                                                      <w:pPr>
                                                        <w:jc w:val="center"/>
                                                        <w:rPr>
                                                          <w:sz w:val="16"/>
                                                          <w:szCs w:val="16"/>
                                                        </w:rPr>
                                                      </w:pPr>
                                                    </w:p>
                                                    <w:p w14:paraId="21FDA852" w14:textId="77777777" w:rsidR="009E2484" w:rsidRPr="00FD1A69" w:rsidRDefault="009E2484" w:rsidP="009E2484">
                                                      <w:pPr>
                                                        <w:jc w:val="center"/>
                                                        <w:rPr>
                                                          <w:sz w:val="16"/>
                                                          <w:szCs w:val="16"/>
                                                        </w:rPr>
                                                      </w:pPr>
                                                      <w:r>
                                                        <w:rPr>
                                                          <w:sz w:val="14"/>
                                                          <w:szCs w:val="14"/>
                                                        </w:rPr>
                                                        <w:t>Aplica o</w:t>
                                                      </w:r>
                                                      <w:r w:rsidRPr="005D2A5A">
                                                        <w:rPr>
                                                          <w:sz w:val="14"/>
                                                          <w:szCs w:val="14"/>
                                                        </w:rPr>
                                                        <w:t xml:space="preserve">rientaciones </w:t>
                                                      </w:r>
                                                      <w:r>
                                                        <w:rPr>
                                                          <w:sz w:val="14"/>
                                                          <w:szCs w:val="14"/>
                                                        </w:rPr>
                                                        <w:t>numeral 7</w:t>
                                                      </w:r>
                                                      <w:r w:rsidRPr="005D2A5A">
                                                        <w:rPr>
                                                          <w:sz w:val="14"/>
                                                          <w:szCs w:val="14"/>
                                                        </w:rPr>
                                                        <w:t>.4.</w:t>
                                                      </w:r>
                                                      <w:r>
                                                        <w:rPr>
                                                          <w:sz w:val="14"/>
                                                          <w:szCs w:val="14"/>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79509419" name="Rectángulo 1"/>
                                                <wps:cNvSpPr/>
                                                <wps:spPr>
                                                  <a:xfrm>
                                                    <a:off x="137160" y="952498"/>
                                                    <a:ext cx="1979930" cy="79293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2F0A10" w14:textId="74238D9B" w:rsidR="009E2484" w:rsidRPr="00E64F04" w:rsidRDefault="009E2484" w:rsidP="00E64F04">
                                                      <w:pPr>
                                                        <w:pStyle w:val="Prrafodelista"/>
                                                        <w:numPr>
                                                          <w:ilvl w:val="0"/>
                                                          <w:numId w:val="793"/>
                                                        </w:numPr>
                                                        <w:ind w:left="284" w:hanging="284"/>
                                                        <w:jc w:val="center"/>
                                                        <w:rPr>
                                                          <w:rFonts w:cs="Arial"/>
                                                          <w:sz w:val="20"/>
                                                          <w:szCs w:val="20"/>
                                                        </w:rPr>
                                                      </w:pPr>
                                                      <w:r w:rsidRPr="00E64F04">
                                                        <w:rPr>
                                                          <w:rFonts w:cs="Arial"/>
                                                          <w:sz w:val="20"/>
                                                          <w:szCs w:val="20"/>
                                                        </w:rPr>
                                                        <w:t>Determinación y valoración</w:t>
                                                      </w:r>
                                                    </w:p>
                                                    <w:p w14:paraId="76A1CB18" w14:textId="77777777" w:rsidR="009E2484" w:rsidRDefault="009E2484" w:rsidP="009E2484">
                                                      <w:pPr>
                                                        <w:jc w:val="center"/>
                                                        <w:rPr>
                                                          <w:rFonts w:cs="Arial"/>
                                                          <w:sz w:val="20"/>
                                                          <w:szCs w:val="20"/>
                                                        </w:rPr>
                                                      </w:pPr>
                                                    </w:p>
                                                    <w:p w14:paraId="37F95C45" w14:textId="77777777" w:rsidR="009E2484" w:rsidRDefault="009E2484" w:rsidP="009E2484">
                                                      <w:pPr>
                                                        <w:jc w:val="center"/>
                                                        <w:rPr>
                                                          <w:rFonts w:cs="Arial"/>
                                                          <w:sz w:val="18"/>
                                                          <w:szCs w:val="18"/>
                                                        </w:rPr>
                                                      </w:pPr>
                                                      <w:r w:rsidRPr="00E24DF7">
                                                        <w:rPr>
                                                          <w:rFonts w:cs="Arial"/>
                                                          <w:sz w:val="18"/>
                                                          <w:szCs w:val="18"/>
                                                        </w:rPr>
                                                        <w:t>Método seleccionado por elaborador</w:t>
                                                      </w:r>
                                                    </w:p>
                                                    <w:p w14:paraId="745582FA" w14:textId="77777777" w:rsidR="009E2484" w:rsidRPr="00E24DF7" w:rsidRDefault="009E2484" w:rsidP="009E2484">
                                                      <w:pPr>
                                                        <w:jc w:val="center"/>
                                                        <w:rPr>
                                                          <w:rFonts w:cs="Arial"/>
                                                          <w:sz w:val="18"/>
                                                          <w:szCs w:val="18"/>
                                                        </w:rPr>
                                                      </w:pPr>
                                                    </w:p>
                                                    <w:p w14:paraId="0F8EAEB4" w14:textId="77777777" w:rsidR="009E2484" w:rsidRPr="005D2A5A" w:rsidRDefault="009E2484" w:rsidP="009E2484">
                                                      <w:pPr>
                                                        <w:jc w:val="center"/>
                                                        <w:rPr>
                                                          <w:rFonts w:cs="Arial"/>
                                                          <w:sz w:val="14"/>
                                                          <w:szCs w:val="14"/>
                                                        </w:rPr>
                                                      </w:pPr>
                                                    </w:p>
                                                    <w:p w14:paraId="6FD0E8DC" w14:textId="77777777" w:rsidR="009E2484" w:rsidRPr="005D2A5A" w:rsidRDefault="009E2484" w:rsidP="009E2484">
                                                      <w:pPr>
                                                        <w:jc w:val="center"/>
                                                        <w:rPr>
                                                          <w:sz w:val="14"/>
                                                          <w:szCs w:val="14"/>
                                                        </w:rPr>
                                                      </w:pPr>
                                                      <w:r>
                                                        <w:rPr>
                                                          <w:sz w:val="14"/>
                                                          <w:szCs w:val="14"/>
                                                        </w:rPr>
                                                        <w:t>Aplica o</w:t>
                                                      </w:r>
                                                      <w:r w:rsidRPr="005D2A5A">
                                                        <w:rPr>
                                                          <w:sz w:val="14"/>
                                                          <w:szCs w:val="14"/>
                                                        </w:rPr>
                                                        <w:t xml:space="preserve">rientaciones </w:t>
                                                      </w:r>
                                                      <w:r>
                                                        <w:rPr>
                                                          <w:sz w:val="14"/>
                                                          <w:szCs w:val="14"/>
                                                        </w:rPr>
                                                        <w:t xml:space="preserve">numerales </w:t>
                                                      </w:r>
                                                      <w:r w:rsidRPr="005D2A5A">
                                                        <w:rPr>
                                                          <w:sz w:val="14"/>
                                                          <w:szCs w:val="14"/>
                                                        </w:rPr>
                                                        <w:t>7.2, 7.4.1 y 7.4.2</w:t>
                                                      </w:r>
                                                      <w:r>
                                                        <w:rPr>
                                                          <w:sz w:val="14"/>
                                                          <w:szCs w:val="14"/>
                                                        </w:rPr>
                                                        <w:t>, y 7.5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09405486" name="Rectángulo 1"/>
                                                <wps:cNvSpPr/>
                                                <wps:spPr>
                                                  <a:xfrm>
                                                    <a:off x="137090" y="3378390"/>
                                                    <a:ext cx="1979930" cy="634349"/>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8225FA" w14:textId="77777777" w:rsidR="009E2484" w:rsidRPr="00E64F04" w:rsidRDefault="009E2484" w:rsidP="00E64F04">
                                                      <w:pPr>
                                                        <w:pStyle w:val="Prrafodelista"/>
                                                        <w:numPr>
                                                          <w:ilvl w:val="0"/>
                                                          <w:numId w:val="797"/>
                                                        </w:numPr>
                                                        <w:ind w:left="284" w:hanging="284"/>
                                                        <w:jc w:val="center"/>
                                                        <w:rPr>
                                                          <w:rFonts w:cs="Arial"/>
                                                          <w:sz w:val="20"/>
                                                          <w:szCs w:val="20"/>
                                                        </w:rPr>
                                                      </w:pPr>
                                                      <w:r w:rsidRPr="00E64F04">
                                                        <w:rPr>
                                                          <w:rFonts w:cs="Arial"/>
                                                          <w:sz w:val="20"/>
                                                          <w:szCs w:val="20"/>
                                                        </w:rPr>
                                                        <w:t>Evaluación de impactos residuales</w:t>
                                                      </w:r>
                                                    </w:p>
                                                    <w:p w14:paraId="67F7AA94" w14:textId="77777777" w:rsidR="009E2484" w:rsidRDefault="009E2484" w:rsidP="009E2484">
                                                      <w:pPr>
                                                        <w:jc w:val="center"/>
                                                        <w:rPr>
                                                          <w:rFonts w:cs="Arial"/>
                                                          <w:sz w:val="20"/>
                                                          <w:szCs w:val="20"/>
                                                        </w:rPr>
                                                      </w:pPr>
                                                    </w:p>
                                                    <w:p w14:paraId="2357E9E7" w14:textId="77777777" w:rsidR="009E2484" w:rsidRPr="00FD1A69" w:rsidRDefault="009E2484" w:rsidP="009E2484">
                                                      <w:pPr>
                                                        <w:jc w:val="center"/>
                                                        <w:rPr>
                                                          <w:sz w:val="16"/>
                                                          <w:szCs w:val="16"/>
                                                        </w:rPr>
                                                      </w:pPr>
                                                      <w:r>
                                                        <w:rPr>
                                                          <w:sz w:val="14"/>
                                                          <w:szCs w:val="14"/>
                                                        </w:rPr>
                                                        <w:t>Aplica o</w:t>
                                                      </w:r>
                                                      <w:r w:rsidRPr="005D2A5A">
                                                        <w:rPr>
                                                          <w:sz w:val="14"/>
                                                          <w:szCs w:val="14"/>
                                                        </w:rPr>
                                                        <w:t xml:space="preserve">rientaciones </w:t>
                                                      </w:r>
                                                      <w:r>
                                                        <w:rPr>
                                                          <w:sz w:val="14"/>
                                                          <w:szCs w:val="14"/>
                                                        </w:rPr>
                                                        <w:t>numeral 7</w:t>
                                                      </w:r>
                                                      <w:r w:rsidRPr="005D2A5A">
                                                        <w:rPr>
                                                          <w:sz w:val="14"/>
                                                          <w:szCs w:val="14"/>
                                                        </w:rPr>
                                                        <w:t>.4.</w:t>
                                                      </w:r>
                                                      <w:r>
                                                        <w:rPr>
                                                          <w:sz w:val="14"/>
                                                          <w:szCs w:val="14"/>
                                                        </w:rPr>
                                                        <w:t>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60341688" name="Rectángulo 1"/>
                                                <wps:cNvSpPr/>
                                                <wps:spPr>
                                                  <a:xfrm>
                                                    <a:off x="2339340" y="3376034"/>
                                                    <a:ext cx="1979930" cy="634349"/>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B4F93D" w14:textId="77777777" w:rsidR="009E2484" w:rsidRPr="00E64F04" w:rsidRDefault="009E2484" w:rsidP="00E64F04">
                                                      <w:pPr>
                                                        <w:pStyle w:val="Prrafodelista"/>
                                                        <w:numPr>
                                                          <w:ilvl w:val="0"/>
                                                          <w:numId w:val="798"/>
                                                        </w:numPr>
                                                        <w:ind w:left="284" w:hanging="284"/>
                                                        <w:jc w:val="center"/>
                                                        <w:rPr>
                                                          <w:rFonts w:cs="Arial"/>
                                                          <w:sz w:val="20"/>
                                                          <w:szCs w:val="20"/>
                                                        </w:rPr>
                                                      </w:pPr>
                                                      <w:r w:rsidRPr="00E64F04">
                                                        <w:rPr>
                                                          <w:rFonts w:cs="Arial"/>
                                                          <w:sz w:val="20"/>
                                                          <w:szCs w:val="20"/>
                                                        </w:rPr>
                                                        <w:t>Evaluación de impactos residuales</w:t>
                                                      </w:r>
                                                    </w:p>
                                                    <w:p w14:paraId="7FCA8D72" w14:textId="77777777" w:rsidR="009E2484" w:rsidRDefault="009E2484" w:rsidP="009E2484">
                                                      <w:pPr>
                                                        <w:jc w:val="center"/>
                                                        <w:rPr>
                                                          <w:rFonts w:cs="Arial"/>
                                                          <w:sz w:val="20"/>
                                                          <w:szCs w:val="20"/>
                                                        </w:rPr>
                                                      </w:pPr>
                                                    </w:p>
                                                    <w:p w14:paraId="18A14B06" w14:textId="77777777" w:rsidR="009E2484" w:rsidRPr="00FD1A69" w:rsidRDefault="009E2484" w:rsidP="009E2484">
                                                      <w:pPr>
                                                        <w:jc w:val="center"/>
                                                        <w:rPr>
                                                          <w:sz w:val="16"/>
                                                          <w:szCs w:val="16"/>
                                                        </w:rPr>
                                                      </w:pPr>
                                                      <w:r>
                                                        <w:rPr>
                                                          <w:sz w:val="14"/>
                                                          <w:szCs w:val="14"/>
                                                        </w:rPr>
                                                        <w:t>Aplica o</w:t>
                                                      </w:r>
                                                      <w:r w:rsidRPr="005D2A5A">
                                                        <w:rPr>
                                                          <w:sz w:val="14"/>
                                                          <w:szCs w:val="14"/>
                                                        </w:rPr>
                                                        <w:t xml:space="preserve">rientaciones </w:t>
                                                      </w:r>
                                                      <w:r>
                                                        <w:rPr>
                                                          <w:sz w:val="14"/>
                                                          <w:szCs w:val="14"/>
                                                        </w:rPr>
                                                        <w:t>numeral 7</w:t>
                                                      </w:r>
                                                      <w:r w:rsidRPr="005D2A5A">
                                                        <w:rPr>
                                                          <w:sz w:val="14"/>
                                                          <w:szCs w:val="14"/>
                                                        </w:rPr>
                                                        <w:t>.4.</w:t>
                                                      </w:r>
                                                      <w:r>
                                                        <w:rPr>
                                                          <w:sz w:val="14"/>
                                                          <w:szCs w:val="14"/>
                                                        </w:rPr>
                                                        <w:t>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3698587" name="Rectángulo 1"/>
                                                <wps:cNvSpPr/>
                                                <wps:spPr>
                                                  <a:xfrm>
                                                    <a:off x="137020" y="4194573"/>
                                                    <a:ext cx="1980000" cy="31717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C7DB59" w14:textId="2B3654BE" w:rsidR="009E2484" w:rsidRPr="00D52D11" w:rsidRDefault="009E2484" w:rsidP="009E2484">
                                                      <w:pPr>
                                                        <w:jc w:val="center"/>
                                                        <w:rPr>
                                                          <w:sz w:val="18"/>
                                                          <w:szCs w:val="18"/>
                                                        </w:rPr>
                                                      </w:pPr>
                                                      <w:r w:rsidRPr="00D52D11">
                                                        <w:rPr>
                                                          <w:rFonts w:cs="Arial"/>
                                                          <w:sz w:val="18"/>
                                                          <w:szCs w:val="18"/>
                                                        </w:rPr>
                                                        <w:t xml:space="preserve">Más </w:t>
                                                      </w:r>
                                                      <w:r w:rsidR="004F7E8B">
                                                        <w:rPr>
                                                          <w:rFonts w:cs="Arial"/>
                                                          <w:sz w:val="18"/>
                                                          <w:szCs w:val="18"/>
                                                        </w:rPr>
                                                        <w:t>largo</w:t>
                                                      </w:r>
                                                      <w:r>
                                                        <w:rPr>
                                                          <w:rFonts w:cs="Arial"/>
                                                          <w:sz w:val="18"/>
                                                          <w:szCs w:val="18"/>
                                                        </w:rPr>
                                                        <w:t>.</w:t>
                                                      </w:r>
                                                      <w:r w:rsidRPr="00D52D11">
                                                        <w:rPr>
                                                          <w:rFonts w:cs="Arial"/>
                                                          <w:sz w:val="18"/>
                                                          <w:szCs w:val="18"/>
                                                        </w:rPr>
                                                        <w:t xml:space="preserve"> </w:t>
                                                      </w:r>
                                                      <w:r>
                                                        <w:rPr>
                                                          <w:rFonts w:cs="Arial"/>
                                                          <w:sz w:val="18"/>
                                                          <w:szCs w:val="18"/>
                                                        </w:rPr>
                                                        <w:t>G</w:t>
                                                      </w:r>
                                                      <w:r w:rsidRPr="00D52D11">
                                                        <w:rPr>
                                                          <w:rFonts w:cs="Arial"/>
                                                          <w:sz w:val="18"/>
                                                          <w:szCs w:val="18"/>
                                                        </w:rPr>
                                                        <w:t>enera información</w:t>
                                                      </w:r>
                                                      <w:r w:rsidR="001A085E">
                                                        <w:rPr>
                                                          <w:rFonts w:cs="Arial"/>
                                                          <w:sz w:val="18"/>
                                                          <w:szCs w:val="18"/>
                                                        </w:rPr>
                                                        <w:t xml:space="preserve"> complementaria</w:t>
                                                      </w:r>
                                                      <w:r w:rsidRPr="00D52D11">
                                                        <w:rPr>
                                                          <w:rFonts w:cs="Arial"/>
                                                          <w:sz w:val="18"/>
                                                          <w:szCs w:val="18"/>
                                                        </w:rPr>
                                                        <w:t xml:space="preserve"> para </w:t>
                                                      </w:r>
                                                      <w:r>
                                                        <w:rPr>
                                                          <w:rFonts w:cs="Arial"/>
                                                          <w:sz w:val="18"/>
                                                          <w:szCs w:val="18"/>
                                                        </w:rPr>
                                                        <w:t xml:space="preserve">el </w:t>
                                                      </w:r>
                                                      <w:r w:rsidRPr="00D52D11">
                                                        <w:rPr>
                                                          <w:rFonts w:cs="Arial"/>
                                                          <w:sz w:val="18"/>
                                                          <w:szCs w:val="18"/>
                                                        </w:rPr>
                                                        <w:t>PMA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19231716" name="Rectángulo 1"/>
                                                <wps:cNvSpPr/>
                                                <wps:spPr>
                                                  <a:xfrm>
                                                    <a:off x="2339711" y="950934"/>
                                                    <a:ext cx="1978768" cy="79293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36F20C" w14:textId="6AC2F3EB" w:rsidR="009E2484" w:rsidRPr="00E64F04" w:rsidRDefault="009E2484" w:rsidP="00E64F04">
                                                      <w:pPr>
                                                        <w:pStyle w:val="Prrafodelista"/>
                                                        <w:numPr>
                                                          <w:ilvl w:val="0"/>
                                                          <w:numId w:val="794"/>
                                                        </w:numPr>
                                                        <w:ind w:left="284" w:hanging="284"/>
                                                        <w:jc w:val="center"/>
                                                        <w:rPr>
                                                          <w:rFonts w:cs="Arial"/>
                                                          <w:sz w:val="20"/>
                                                          <w:szCs w:val="20"/>
                                                        </w:rPr>
                                                      </w:pPr>
                                                      <w:r w:rsidRPr="00E64F04">
                                                        <w:rPr>
                                                          <w:rFonts w:cs="Arial"/>
                                                          <w:sz w:val="20"/>
                                                          <w:szCs w:val="20"/>
                                                        </w:rPr>
                                                        <w:t>Determinación y valoración</w:t>
                                                      </w:r>
                                                    </w:p>
                                                    <w:p w14:paraId="5AF094FE" w14:textId="77777777" w:rsidR="009E2484" w:rsidRDefault="009E2484" w:rsidP="008F2144">
                                                      <w:pPr>
                                                        <w:jc w:val="center"/>
                                                        <w:rPr>
                                                          <w:rFonts w:cs="Arial"/>
                                                          <w:sz w:val="20"/>
                                                          <w:szCs w:val="20"/>
                                                        </w:rPr>
                                                      </w:pPr>
                                                    </w:p>
                                                    <w:p w14:paraId="5A90BDEC" w14:textId="77777777" w:rsidR="009E2484" w:rsidRPr="00E24DF7" w:rsidRDefault="009E2484" w:rsidP="008F2144">
                                                      <w:pPr>
                                                        <w:jc w:val="center"/>
                                                        <w:rPr>
                                                          <w:rFonts w:cs="Arial"/>
                                                          <w:sz w:val="18"/>
                                                          <w:szCs w:val="18"/>
                                                        </w:rPr>
                                                      </w:pPr>
                                                      <w:r w:rsidRPr="00E24DF7">
                                                        <w:rPr>
                                                          <w:rFonts w:cs="Arial"/>
                                                          <w:sz w:val="18"/>
                                                          <w:szCs w:val="18"/>
                                                        </w:rPr>
                                                        <w:t>Método seleccionado por elaborador ajustado (enfocado en significancia)</w:t>
                                                      </w:r>
                                                    </w:p>
                                                    <w:p w14:paraId="7DD2E4EA" w14:textId="77777777" w:rsidR="009E2484" w:rsidRDefault="009E2484" w:rsidP="00E64F04">
                                                      <w:pPr>
                                                        <w:jc w:val="center"/>
                                                        <w:rPr>
                                                          <w:sz w:val="14"/>
                                                          <w:szCs w:val="14"/>
                                                        </w:rPr>
                                                      </w:pPr>
                                                    </w:p>
                                                    <w:p w14:paraId="1EA4F193" w14:textId="77777777" w:rsidR="009E2484" w:rsidRPr="005D2A5A" w:rsidRDefault="009E2484" w:rsidP="008F2144">
                                                      <w:pPr>
                                                        <w:jc w:val="center"/>
                                                        <w:rPr>
                                                          <w:sz w:val="14"/>
                                                          <w:szCs w:val="14"/>
                                                        </w:rPr>
                                                      </w:pPr>
                                                      <w:r>
                                                        <w:rPr>
                                                          <w:sz w:val="14"/>
                                                          <w:szCs w:val="14"/>
                                                        </w:rPr>
                                                        <w:t>Aplica o</w:t>
                                                      </w:r>
                                                      <w:r w:rsidRPr="005D2A5A">
                                                        <w:rPr>
                                                          <w:sz w:val="14"/>
                                                          <w:szCs w:val="14"/>
                                                        </w:rPr>
                                                        <w:t xml:space="preserve">rientaciones </w:t>
                                                      </w:r>
                                                      <w:r>
                                                        <w:rPr>
                                                          <w:sz w:val="14"/>
                                                          <w:szCs w:val="14"/>
                                                        </w:rPr>
                                                        <w:t xml:space="preserve">numerales </w:t>
                                                      </w:r>
                                                      <w:r w:rsidRPr="005D2A5A">
                                                        <w:rPr>
                                                          <w:sz w:val="14"/>
                                                          <w:szCs w:val="14"/>
                                                        </w:rPr>
                                                        <w:t>7.2, 7.4.1</w:t>
                                                      </w:r>
                                                      <w:r>
                                                        <w:rPr>
                                                          <w:sz w:val="14"/>
                                                          <w:szCs w:val="14"/>
                                                        </w:rPr>
                                                        <w:t>,</w:t>
                                                      </w:r>
                                                      <w:r w:rsidRPr="005D2A5A">
                                                        <w:rPr>
                                                          <w:sz w:val="14"/>
                                                          <w:szCs w:val="14"/>
                                                        </w:rPr>
                                                        <w:t xml:space="preserve"> 7.4.2</w:t>
                                                      </w:r>
                                                      <w:r>
                                                        <w:rPr>
                                                          <w:sz w:val="14"/>
                                                          <w:szCs w:val="14"/>
                                                        </w:rPr>
                                                        <w:t xml:space="preserve">, </w:t>
                                                      </w:r>
                                                      <w:r w:rsidRPr="005D2A5A">
                                                        <w:rPr>
                                                          <w:sz w:val="14"/>
                                                          <w:szCs w:val="14"/>
                                                        </w:rPr>
                                                        <w:t>7.4.</w:t>
                                                      </w:r>
                                                      <w:r>
                                                        <w:rPr>
                                                          <w:sz w:val="14"/>
                                                          <w:szCs w:val="14"/>
                                                        </w:rPr>
                                                        <w:t>3 y 7.5</w:t>
                                                      </w:r>
                                                    </w:p>
                                                    <w:p w14:paraId="38D464F3" w14:textId="77777777" w:rsidR="009E2484" w:rsidRPr="008E07AC" w:rsidRDefault="009E2484" w:rsidP="009E2484">
                                                      <w:pPr>
                                                        <w:jc w:val="center"/>
                                                        <w:rPr>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36946306" name="Rectángulo 1"/>
                                                <wps:cNvSpPr/>
                                                <wps:spPr>
                                                  <a:xfrm>
                                                    <a:off x="2339340" y="1925575"/>
                                                    <a:ext cx="1979930" cy="126869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31A23B" w14:textId="3F65E394" w:rsidR="009E2484" w:rsidRPr="00E64F04" w:rsidRDefault="009E2484" w:rsidP="00E64F04">
                                                      <w:pPr>
                                                        <w:pStyle w:val="Prrafodelista"/>
                                                        <w:numPr>
                                                          <w:ilvl w:val="0"/>
                                                          <w:numId w:val="795"/>
                                                        </w:numPr>
                                                        <w:ind w:left="284" w:hanging="284"/>
                                                        <w:jc w:val="center"/>
                                                        <w:rPr>
                                                          <w:sz w:val="20"/>
                                                          <w:szCs w:val="20"/>
                                                        </w:rPr>
                                                      </w:pPr>
                                                      <w:r w:rsidRPr="00E64F04">
                                                        <w:rPr>
                                                          <w:rFonts w:cs="Arial"/>
                                                          <w:sz w:val="20"/>
                                                          <w:szCs w:val="20"/>
                                                        </w:rPr>
                                                        <w:t>Determinación de impactos significativos</w:t>
                                                      </w:r>
                                                    </w:p>
                                                    <w:p w14:paraId="5629971C" w14:textId="77777777" w:rsidR="009E2484" w:rsidRDefault="009E2484" w:rsidP="009E2484">
                                                      <w:pPr>
                                                        <w:ind w:left="284" w:hanging="284"/>
                                                        <w:jc w:val="center"/>
                                                      </w:pPr>
                                                    </w:p>
                                                    <w:p w14:paraId="1496F9AC" w14:textId="7856FE10" w:rsidR="009E2484" w:rsidRPr="00D272BE" w:rsidRDefault="009E2484" w:rsidP="009E2484">
                                                      <w:pPr>
                                                        <w:pStyle w:val="Prrafodelista"/>
                                                        <w:numPr>
                                                          <w:ilvl w:val="0"/>
                                                          <w:numId w:val="786"/>
                                                        </w:numPr>
                                                        <w:ind w:left="284" w:hanging="284"/>
                                                        <w:jc w:val="center"/>
                                                        <w:rPr>
                                                          <w:sz w:val="18"/>
                                                          <w:szCs w:val="18"/>
                                                        </w:rPr>
                                                      </w:pPr>
                                                      <w:r w:rsidRPr="00CC4CBF">
                                                        <w:rPr>
                                                          <w:rFonts w:cs="Arial"/>
                                                          <w:sz w:val="18"/>
                                                          <w:szCs w:val="18"/>
                                                        </w:rPr>
                                                        <w:t>Normaliza</w:t>
                                                      </w:r>
                                                      <w:r>
                                                        <w:rPr>
                                                          <w:rFonts w:cs="Arial"/>
                                                          <w:sz w:val="18"/>
                                                          <w:szCs w:val="18"/>
                                                        </w:rPr>
                                                        <w:t>ción</w:t>
                                                      </w:r>
                                                      <w:r w:rsidR="00FD3EA9">
                                                        <w:rPr>
                                                          <w:rFonts w:cs="Arial"/>
                                                          <w:sz w:val="18"/>
                                                          <w:szCs w:val="18"/>
                                                        </w:rPr>
                                                        <w:t xml:space="preserve"> de resultados</w:t>
                                                      </w:r>
                                                    </w:p>
                                                    <w:p w14:paraId="7EF4EF8E" w14:textId="77777777" w:rsidR="009E2484" w:rsidRDefault="009E2484" w:rsidP="009E2484">
                                                      <w:pPr>
                                                        <w:pStyle w:val="Prrafodelista"/>
                                                        <w:ind w:left="284"/>
                                                        <w:rPr>
                                                          <w:rFonts w:cs="Arial"/>
                                                          <w:sz w:val="18"/>
                                                          <w:szCs w:val="18"/>
                                                        </w:rPr>
                                                      </w:pPr>
                                                    </w:p>
                                                    <w:p w14:paraId="15972402" w14:textId="77777777" w:rsidR="009E2484" w:rsidRPr="00CC4CBF" w:rsidRDefault="009E2484" w:rsidP="009E2484">
                                                      <w:pPr>
                                                        <w:pStyle w:val="Prrafodelista"/>
                                                        <w:ind w:left="284"/>
                                                        <w:rPr>
                                                          <w:sz w:val="18"/>
                                                          <w:szCs w:val="18"/>
                                                        </w:rPr>
                                                      </w:pPr>
                                                    </w:p>
                                                    <w:p w14:paraId="624D194C" w14:textId="77777777" w:rsidR="009E2484" w:rsidRDefault="009E2484" w:rsidP="009E2484">
                                                      <w:pPr>
                                                        <w:jc w:val="center"/>
                                                        <w:rPr>
                                                          <w:sz w:val="14"/>
                                                          <w:szCs w:val="14"/>
                                                        </w:rPr>
                                                      </w:pPr>
                                                    </w:p>
                                                    <w:p w14:paraId="42D057C5" w14:textId="77777777" w:rsidR="009E2484" w:rsidRPr="006379CC" w:rsidRDefault="009E2484" w:rsidP="009E2484">
                                                      <w:pPr>
                                                        <w:jc w:val="center"/>
                                                        <w:rPr>
                                                          <w:sz w:val="16"/>
                                                          <w:szCs w:val="16"/>
                                                        </w:rPr>
                                                      </w:pPr>
                                                      <w:r>
                                                        <w:rPr>
                                                          <w:sz w:val="14"/>
                                                          <w:szCs w:val="14"/>
                                                        </w:rPr>
                                                        <w:t>Aplica o</w:t>
                                                      </w:r>
                                                      <w:r w:rsidRPr="005D2A5A">
                                                        <w:rPr>
                                                          <w:sz w:val="14"/>
                                                          <w:szCs w:val="14"/>
                                                        </w:rPr>
                                                        <w:t xml:space="preserve">rientaciones </w:t>
                                                      </w:r>
                                                      <w:r>
                                                        <w:rPr>
                                                          <w:sz w:val="14"/>
                                                          <w:szCs w:val="14"/>
                                                        </w:rPr>
                                                        <w:t>numeral 7</w:t>
                                                      </w:r>
                                                      <w:r w:rsidRPr="005D2A5A">
                                                        <w:rPr>
                                                          <w:sz w:val="14"/>
                                                          <w:szCs w:val="14"/>
                                                        </w:rPr>
                                                        <w:t>.4.</w:t>
                                                      </w:r>
                                                      <w:r>
                                                        <w:rPr>
                                                          <w:sz w:val="14"/>
                                                          <w:szCs w:val="14"/>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74686259" name="Rectángulo 1"/>
                                                <wps:cNvSpPr/>
                                                <wps:spPr>
                                                  <a:xfrm>
                                                    <a:off x="2339712" y="4191879"/>
                                                    <a:ext cx="1978768" cy="31717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C3EE44" w14:textId="5E5DBC56" w:rsidR="009E2484" w:rsidRPr="00D52D11" w:rsidRDefault="009E2484" w:rsidP="009E2484">
                                                      <w:pPr>
                                                        <w:jc w:val="center"/>
                                                        <w:rPr>
                                                          <w:sz w:val="18"/>
                                                          <w:szCs w:val="18"/>
                                                        </w:rPr>
                                                      </w:pPr>
                                                      <w:r w:rsidRPr="00D52D11">
                                                        <w:rPr>
                                                          <w:rFonts w:cs="Arial"/>
                                                          <w:sz w:val="18"/>
                                                          <w:szCs w:val="18"/>
                                                        </w:rPr>
                                                        <w:t>Más rápido</w:t>
                                                      </w:r>
                                                      <w:r>
                                                        <w:rPr>
                                                          <w:rFonts w:cs="Arial"/>
                                                          <w:sz w:val="18"/>
                                                          <w:szCs w:val="18"/>
                                                        </w:rPr>
                                                        <w:t>.</w:t>
                                                      </w:r>
                                                      <w:r w:rsidRPr="00D52D11">
                                                        <w:rPr>
                                                          <w:rFonts w:cs="Arial"/>
                                                          <w:sz w:val="18"/>
                                                          <w:szCs w:val="18"/>
                                                        </w:rPr>
                                                        <w:t xml:space="preserve"> </w:t>
                                                      </w:r>
                                                      <w:r>
                                                        <w:rPr>
                                                          <w:rFonts w:cs="Arial"/>
                                                          <w:sz w:val="18"/>
                                                          <w:szCs w:val="18"/>
                                                        </w:rPr>
                                                        <w:t>N</w:t>
                                                      </w:r>
                                                      <w:r w:rsidRPr="00D52D11">
                                                        <w:rPr>
                                                          <w:rFonts w:cs="Arial"/>
                                                          <w:sz w:val="18"/>
                                                          <w:szCs w:val="18"/>
                                                        </w:rPr>
                                                        <w:t xml:space="preserve">o brinda información </w:t>
                                                      </w:r>
                                                      <w:r w:rsidR="001A085E">
                                                        <w:rPr>
                                                          <w:rFonts w:cs="Arial"/>
                                                          <w:sz w:val="18"/>
                                                          <w:szCs w:val="18"/>
                                                        </w:rPr>
                                                        <w:t xml:space="preserve">complementaria </w:t>
                                                      </w:r>
                                                      <w:r w:rsidRPr="00D52D11">
                                                        <w:rPr>
                                                          <w:rFonts w:cs="Arial"/>
                                                          <w:sz w:val="18"/>
                                                          <w:szCs w:val="18"/>
                                                        </w:rPr>
                                                        <w:t xml:space="preserve">para </w:t>
                                                      </w:r>
                                                      <w:r>
                                                        <w:rPr>
                                                          <w:rFonts w:cs="Arial"/>
                                                          <w:sz w:val="18"/>
                                                          <w:szCs w:val="18"/>
                                                        </w:rPr>
                                                        <w:t xml:space="preserve">el </w:t>
                                                      </w:r>
                                                      <w:r w:rsidRPr="00D52D11">
                                                        <w:rPr>
                                                          <w:rFonts w:cs="Arial"/>
                                                          <w:sz w:val="18"/>
                                                          <w:szCs w:val="18"/>
                                                        </w:rPr>
                                                        <w:t>PMA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s:wsp>
                                              <wps:cNvPr id="394121740" name="Rectángulo 1"/>
                                              <wps:cNvSpPr/>
                                              <wps:spPr>
                                                <a:xfrm>
                                                  <a:off x="2339783" y="634626"/>
                                                  <a:ext cx="1978767" cy="21566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0988E67" w14:textId="57A7FC19" w:rsidR="009E2484" w:rsidRPr="004C10A0" w:rsidRDefault="005000E4" w:rsidP="009E2484">
                                                    <w:pPr>
                                                      <w:jc w:val="center"/>
                                                      <w:rPr>
                                                        <w:rFonts w:cs="Arial"/>
                                                        <w:b/>
                                                        <w:bCs/>
                                                        <w:sz w:val="22"/>
                                                        <w:szCs w:val="22"/>
                                                      </w:rPr>
                                                    </w:pPr>
                                                    <w:r>
                                                      <w:rPr>
                                                        <w:rFonts w:cs="Arial"/>
                                                        <w:b/>
                                                        <w:bCs/>
                                                        <w:sz w:val="22"/>
                                                        <w:szCs w:val="22"/>
                                                      </w:rPr>
                                                      <w:t>Modalidad</w:t>
                                                    </w:r>
                                                    <w:r w:rsidRPr="004C10A0">
                                                      <w:rPr>
                                                        <w:rFonts w:cs="Arial"/>
                                                        <w:b/>
                                                        <w:bCs/>
                                                        <w:sz w:val="22"/>
                                                        <w:szCs w:val="22"/>
                                                      </w:rPr>
                                                      <w:t xml:space="preserve"> </w:t>
                                                    </w:r>
                                                    <w:r w:rsidR="009E2484" w:rsidRPr="004C10A0">
                                                      <w:rPr>
                                                        <w:rFonts w:cs="Arial"/>
                                                        <w:b/>
                                                        <w:bCs/>
                                                        <w:sz w:val="22"/>
                                                        <w:szCs w:val="22"/>
                                                      </w:rPr>
                                                      <w:t>alternativ</w:t>
                                                    </w:r>
                                                    <w:r>
                                                      <w:rPr>
                                                        <w:rFonts w:cs="Arial"/>
                                                        <w:b/>
                                                        <w:bCs/>
                                                        <w:sz w:val="22"/>
                                                        <w:szCs w:val="22"/>
                                                      </w:rPr>
                                                      <w:t>a</w:t>
                                                    </w:r>
                                                    <w:r w:rsidR="009E2484" w:rsidRPr="004C10A0">
                                                      <w:rPr>
                                                        <w:rFonts w:cs="Arial"/>
                                                        <w:b/>
                                                        <w:bCs/>
                                                        <w:sz w:val="22"/>
                                                        <w:szCs w:val="22"/>
                                                      </w:rPr>
                                                      <w:t xml:space="preserve"> 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2114633621" name="Rectángulo 1"/>
                                            <wps:cNvSpPr/>
                                            <wps:spPr>
                                              <a:xfrm>
                                                <a:off x="137158" y="483941"/>
                                                <a:ext cx="1979898" cy="216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9BEE3F" w14:textId="4419D380" w:rsidR="009E2484" w:rsidRPr="004C10A0" w:rsidRDefault="005000E4" w:rsidP="009E2484">
                                                  <w:pPr>
                                                    <w:jc w:val="center"/>
                                                    <w:rPr>
                                                      <w:rFonts w:cs="Arial"/>
                                                      <w:b/>
                                                      <w:bCs/>
                                                      <w:sz w:val="22"/>
                                                      <w:szCs w:val="22"/>
                                                    </w:rPr>
                                                  </w:pPr>
                                                  <w:r>
                                                    <w:rPr>
                                                      <w:rFonts w:cs="Arial"/>
                                                      <w:b/>
                                                      <w:bCs/>
                                                      <w:sz w:val="22"/>
                                                      <w:szCs w:val="22"/>
                                                    </w:rPr>
                                                    <w:t>Modalidad</w:t>
                                                  </w:r>
                                                  <w:r w:rsidRPr="004C10A0">
                                                    <w:rPr>
                                                      <w:rFonts w:cs="Arial"/>
                                                      <w:b/>
                                                      <w:bCs/>
                                                      <w:sz w:val="22"/>
                                                      <w:szCs w:val="22"/>
                                                    </w:rPr>
                                                    <w:t xml:space="preserve"> </w:t>
                                                  </w:r>
                                                  <w:r w:rsidR="009E2484" w:rsidRPr="004C10A0">
                                                    <w:rPr>
                                                      <w:rFonts w:cs="Arial"/>
                                                      <w:b/>
                                                      <w:bCs/>
                                                      <w:sz w:val="22"/>
                                                      <w:szCs w:val="22"/>
                                                    </w:rPr>
                                                    <w:t>alternativ</w:t>
                                                  </w:r>
                                                  <w:r>
                                                    <w:rPr>
                                                      <w:rFonts w:cs="Arial"/>
                                                      <w:b/>
                                                      <w:bCs/>
                                                      <w:sz w:val="22"/>
                                                      <w:szCs w:val="22"/>
                                                    </w:rPr>
                                                    <w:t>a</w:t>
                                                  </w:r>
                                                  <w:r w:rsidR="009E2484" w:rsidRPr="004C10A0">
                                                    <w:rPr>
                                                      <w:rFonts w:cs="Arial"/>
                                                      <w:b/>
                                                      <w:bCs/>
                                                      <w:sz w:val="22"/>
                                                      <w:szCs w:val="22"/>
                                                    </w:rPr>
                                                    <w:t xml:space="preserve"> 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grpSp>
                                    <wps:wsp>
                                      <wps:cNvPr id="1063818851" name="Conector recto de flecha 8"/>
                                      <wps:cNvCnPr/>
                                      <wps:spPr>
                                        <a:xfrm>
                                          <a:off x="1674259" y="1823793"/>
                                          <a:ext cx="0" cy="2067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5844008" name="Conector recto de flecha 8"/>
                                    <wps:cNvCnPr/>
                                    <wps:spPr>
                                      <a:xfrm>
                                        <a:off x="5667769" y="3468100"/>
                                        <a:ext cx="0" cy="2062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765493" name="Conector recto de flecha 8"/>
                                  <wps:cNvCnPr/>
                                  <wps:spPr>
                                    <a:xfrm flipH="1">
                                      <a:off x="2935283" y="3470386"/>
                                      <a:ext cx="87" cy="2066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485248892" name="Conector recto de flecha 8"/>
                                <wps:cNvCnPr/>
                                <wps:spPr>
                                  <a:xfrm>
                                    <a:off x="5667508" y="1928613"/>
                                    <a:ext cx="261" cy="20623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261350969" name="Rectángulo 1"/>
                              <wps:cNvSpPr/>
                              <wps:spPr>
                                <a:xfrm>
                                  <a:off x="1386840" y="-314560"/>
                                  <a:ext cx="2736000" cy="612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6AB3C74" w14:textId="1C00AA81" w:rsidR="00D74029" w:rsidRDefault="00EB4109" w:rsidP="00467AB9">
                                    <w:pPr>
                                      <w:jc w:val="center"/>
                                      <w:rPr>
                                        <w:b/>
                                        <w:bCs/>
                                      </w:rPr>
                                    </w:pPr>
                                    <w:r>
                                      <w:rPr>
                                        <w:rFonts w:cs="Arial"/>
                                        <w:b/>
                                        <w:bCs/>
                                      </w:rPr>
                                      <w:t xml:space="preserve">2. </w:t>
                                    </w:r>
                                    <w:r w:rsidR="00467AB9" w:rsidRPr="00E64F04">
                                      <w:rPr>
                                        <w:rFonts w:cs="Arial"/>
                                        <w:b/>
                                        <w:bCs/>
                                      </w:rPr>
                                      <w:t>Determinación y valoración de</w:t>
                                    </w:r>
                                    <w:r w:rsidR="00816BB4">
                                      <w:rPr>
                                        <w:rFonts w:cs="Arial"/>
                                        <w:b/>
                                        <w:bCs/>
                                      </w:rPr>
                                      <w:t xml:space="preserve"> </w:t>
                                    </w:r>
                                    <w:r w:rsidR="00467AB9" w:rsidRPr="00E64F04">
                                      <w:rPr>
                                        <w:rFonts w:cs="Arial"/>
                                        <w:b/>
                                        <w:bCs/>
                                      </w:rPr>
                                      <w:t>impactos</w:t>
                                    </w:r>
                                    <w:r w:rsidR="0015220E">
                                      <w:rPr>
                                        <w:rFonts w:cs="Arial"/>
                                        <w:b/>
                                        <w:bCs/>
                                      </w:rPr>
                                      <w:t xml:space="preserve"> </w:t>
                                    </w:r>
                                    <w:r w:rsidR="00467AB9" w:rsidRPr="00E64F04">
                                      <w:rPr>
                                        <w:rFonts w:cs="Arial"/>
                                        <w:b/>
                                        <w:bCs/>
                                      </w:rPr>
                                      <w:t>en el escenario con</w:t>
                                    </w:r>
                                    <w:r w:rsidR="00816BB4">
                                      <w:rPr>
                                        <w:rFonts w:cs="Arial"/>
                                        <w:b/>
                                        <w:bCs/>
                                      </w:rPr>
                                      <w:t xml:space="preserve"> </w:t>
                                    </w:r>
                                    <w:r w:rsidR="00467AB9" w:rsidRPr="00E64F04">
                                      <w:rPr>
                                        <w:rFonts w:cs="Arial"/>
                                        <w:b/>
                                        <w:bCs/>
                                      </w:rPr>
                                      <w:t>proyecto</w:t>
                                    </w:r>
                                  </w:p>
                                  <w:p w14:paraId="310F7A60" w14:textId="77777777" w:rsidR="00F11098" w:rsidRDefault="00F11098" w:rsidP="00467AB9">
                                    <w:pPr>
                                      <w:jc w:val="center"/>
                                      <w:rPr>
                                        <w:b/>
                                        <w:bCs/>
                                      </w:rPr>
                                    </w:pPr>
                                  </w:p>
                                  <w:p w14:paraId="69CDBBD0" w14:textId="77777777" w:rsidR="00F11098" w:rsidRPr="00E64F04" w:rsidRDefault="00F11098" w:rsidP="00467AB9">
                                    <w:pPr>
                                      <w:jc w:val="center"/>
                                      <w:rPr>
                                        <w:b/>
                                        <w:bC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cNvPr id="1366540032" name="Grupo 414"/>
                            <wpg:cNvGrpSpPr/>
                            <wpg:grpSpPr>
                              <a:xfrm>
                                <a:off x="0" y="-15240"/>
                                <a:ext cx="2736850" cy="5196380"/>
                                <a:chOff x="0" y="-15240"/>
                                <a:chExt cx="2736850" cy="5196380"/>
                              </a:xfrm>
                            </wpg:grpSpPr>
                            <wps:wsp>
                              <wps:cNvPr id="503580910" name="Rectángulo 1"/>
                              <wps:cNvSpPr/>
                              <wps:spPr>
                                <a:xfrm>
                                  <a:off x="0" y="-15240"/>
                                  <a:ext cx="2736850" cy="612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172B50F" w14:textId="43B4D83C" w:rsidR="00467AB9" w:rsidRPr="00E64F04" w:rsidRDefault="002F71AC" w:rsidP="00467AB9">
                                    <w:pPr>
                                      <w:jc w:val="center"/>
                                      <w:rPr>
                                        <w:b/>
                                        <w:bCs/>
                                      </w:rPr>
                                    </w:pPr>
                                    <w:r>
                                      <w:rPr>
                                        <w:rFonts w:cs="Arial"/>
                                        <w:b/>
                                        <w:bCs/>
                                      </w:rPr>
                                      <w:t xml:space="preserve">1. </w:t>
                                    </w:r>
                                    <w:r w:rsidR="00467AB9" w:rsidRPr="00E64F04">
                                      <w:rPr>
                                        <w:rFonts w:cs="Arial"/>
                                        <w:b/>
                                        <w:bCs/>
                                      </w:rPr>
                                      <w:t xml:space="preserve">Determinación y valoración de impactos en el escenario </w:t>
                                    </w:r>
                                    <w:r w:rsidR="00467AB9">
                                      <w:rPr>
                                        <w:rFonts w:cs="Arial"/>
                                        <w:b/>
                                        <w:bCs/>
                                      </w:rPr>
                                      <w:t xml:space="preserve">sin </w:t>
                                    </w:r>
                                    <w:r w:rsidR="00467AB9" w:rsidRPr="00E64F04">
                                      <w:rPr>
                                        <w:rFonts w:cs="Arial"/>
                                        <w:b/>
                                        <w:bCs/>
                                      </w:rPr>
                                      <w:t>proyecto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2048076631" name="Grupo 413"/>
                              <wpg:cNvGrpSpPr/>
                              <wpg:grpSpPr>
                                <a:xfrm>
                                  <a:off x="0" y="609600"/>
                                  <a:ext cx="2735991" cy="4571540"/>
                                  <a:chOff x="0" y="0"/>
                                  <a:chExt cx="2735991" cy="4571540"/>
                                </a:xfrm>
                              </wpg:grpSpPr>
                              <wps:wsp>
                                <wps:cNvPr id="1179873133" name="Rectángulo 1"/>
                                <wps:cNvSpPr/>
                                <wps:spPr>
                                  <a:xfrm>
                                    <a:off x="0" y="0"/>
                                    <a:ext cx="2735991" cy="457154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4FCEF7" w14:textId="77777777" w:rsidR="00350913" w:rsidRPr="00EE74CA" w:rsidRDefault="00350913" w:rsidP="00350913">
                                      <w:pPr>
                                        <w:rPr>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50080863" name="Rectángulo 1"/>
                                <wps:cNvSpPr/>
                                <wps:spPr>
                                  <a:xfrm>
                                    <a:off x="137160" y="4053840"/>
                                    <a:ext cx="2456721" cy="35995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101A7BE" w14:textId="4F405B95" w:rsidR="00C62EDC" w:rsidRPr="00D52D11" w:rsidRDefault="00C62EDC" w:rsidP="00C62EDC">
                                      <w:pPr>
                                        <w:jc w:val="center"/>
                                        <w:rPr>
                                          <w:sz w:val="18"/>
                                          <w:szCs w:val="18"/>
                                        </w:rPr>
                                      </w:pPr>
                                      <w:r>
                                        <w:rPr>
                                          <w:rFonts w:cs="Arial"/>
                                          <w:sz w:val="18"/>
                                          <w:szCs w:val="18"/>
                                        </w:rPr>
                                        <w:t xml:space="preserve">Establece en nivel de referencia para </w:t>
                                      </w:r>
                                      <w:r w:rsidR="00CE16E8">
                                        <w:rPr>
                                          <w:rFonts w:cs="Arial"/>
                                          <w:sz w:val="18"/>
                                          <w:szCs w:val="18"/>
                                        </w:rPr>
                                        <w:t>comparar y establecer impactos del proyecto</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553246508" name="Grupo 412"/>
                                <wpg:cNvGrpSpPr/>
                                <wpg:grpSpPr>
                                  <a:xfrm>
                                    <a:off x="167640" y="76200"/>
                                    <a:ext cx="2456635" cy="1204728"/>
                                    <a:chOff x="0" y="0"/>
                                    <a:chExt cx="2456635" cy="1204728"/>
                                  </a:xfrm>
                                </wpg:grpSpPr>
                                <wps:wsp>
                                  <wps:cNvPr id="1748517866" name="Rectángulo 1"/>
                                  <wps:cNvSpPr/>
                                  <wps:spPr>
                                    <a:xfrm>
                                      <a:off x="0" y="304800"/>
                                      <a:ext cx="2455193" cy="89992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3D841A" w14:textId="023E0922" w:rsidR="00D74029" w:rsidRPr="00E64F04" w:rsidRDefault="00D74029" w:rsidP="00E64F04">
                                        <w:pPr>
                                          <w:pStyle w:val="Prrafodelista"/>
                                          <w:numPr>
                                            <w:ilvl w:val="0"/>
                                            <w:numId w:val="792"/>
                                          </w:numPr>
                                          <w:ind w:left="284" w:hanging="284"/>
                                          <w:jc w:val="center"/>
                                          <w:rPr>
                                            <w:rFonts w:cs="Arial"/>
                                            <w:sz w:val="20"/>
                                            <w:szCs w:val="20"/>
                                          </w:rPr>
                                        </w:pPr>
                                        <w:r w:rsidRPr="00E64F04">
                                          <w:rPr>
                                            <w:rFonts w:cs="Arial"/>
                                            <w:sz w:val="20"/>
                                            <w:szCs w:val="20"/>
                                          </w:rPr>
                                          <w:t>Determinación y valoración</w:t>
                                        </w:r>
                                      </w:p>
                                      <w:p w14:paraId="6F01C6EA" w14:textId="77777777" w:rsidR="00D74029" w:rsidRDefault="00D74029" w:rsidP="008F2144">
                                        <w:pPr>
                                          <w:jc w:val="center"/>
                                          <w:rPr>
                                            <w:rFonts w:cs="Arial"/>
                                            <w:sz w:val="20"/>
                                            <w:szCs w:val="20"/>
                                          </w:rPr>
                                        </w:pPr>
                                      </w:p>
                                      <w:p w14:paraId="3238E74F" w14:textId="53B68CBC" w:rsidR="00D74029" w:rsidRPr="00E24DF7" w:rsidRDefault="00D74029" w:rsidP="008F2144">
                                        <w:pPr>
                                          <w:jc w:val="center"/>
                                          <w:rPr>
                                            <w:rFonts w:cs="Arial"/>
                                            <w:sz w:val="18"/>
                                            <w:szCs w:val="18"/>
                                          </w:rPr>
                                        </w:pPr>
                                        <w:r w:rsidRPr="00E24DF7">
                                          <w:rPr>
                                            <w:rFonts w:cs="Arial"/>
                                            <w:sz w:val="18"/>
                                            <w:szCs w:val="18"/>
                                          </w:rPr>
                                          <w:t xml:space="preserve">Método </w:t>
                                        </w:r>
                                        <w:r w:rsidR="00235F0B">
                                          <w:rPr>
                                            <w:rFonts w:cs="Arial"/>
                                            <w:sz w:val="18"/>
                                            <w:szCs w:val="18"/>
                                          </w:rPr>
                                          <w:t>empleado para el escenario con proyecto</w:t>
                                        </w:r>
                                      </w:p>
                                      <w:p w14:paraId="4C0E958B" w14:textId="77777777" w:rsidR="00D74029" w:rsidRDefault="00D74029" w:rsidP="00E64F04">
                                        <w:pPr>
                                          <w:jc w:val="center"/>
                                          <w:rPr>
                                            <w:sz w:val="14"/>
                                            <w:szCs w:val="14"/>
                                          </w:rPr>
                                        </w:pPr>
                                      </w:p>
                                      <w:p w14:paraId="1E1676FA" w14:textId="1CCD6019" w:rsidR="00D74029" w:rsidRPr="008E07AC" w:rsidRDefault="00D74029" w:rsidP="008F2144">
                                        <w:pPr>
                                          <w:jc w:val="center"/>
                                          <w:rPr>
                                            <w:sz w:val="16"/>
                                            <w:szCs w:val="16"/>
                                          </w:rPr>
                                        </w:pPr>
                                        <w:r>
                                          <w:rPr>
                                            <w:sz w:val="14"/>
                                            <w:szCs w:val="14"/>
                                          </w:rPr>
                                          <w:t>Aplica o</w:t>
                                        </w:r>
                                        <w:r w:rsidRPr="005D2A5A">
                                          <w:rPr>
                                            <w:sz w:val="14"/>
                                            <w:szCs w:val="14"/>
                                          </w:rPr>
                                          <w:t xml:space="preserve">rientaciones </w:t>
                                        </w:r>
                                        <w:r>
                                          <w:rPr>
                                            <w:sz w:val="14"/>
                                            <w:szCs w:val="14"/>
                                          </w:rPr>
                                          <w:t xml:space="preserve">numerales </w:t>
                                        </w:r>
                                        <w:r w:rsidRPr="005D2A5A">
                                          <w:rPr>
                                            <w:sz w:val="14"/>
                                            <w:szCs w:val="14"/>
                                          </w:rPr>
                                          <w:t>7.2, 7.</w:t>
                                        </w:r>
                                        <w:r>
                                          <w:rPr>
                                            <w:sz w:val="14"/>
                                            <w:szCs w:val="14"/>
                                          </w:rPr>
                                          <w:t>3 y 7.5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87454306" name="Rectángulo 1"/>
                                  <wps:cNvSpPr/>
                                  <wps:spPr>
                                    <a:xfrm>
                                      <a:off x="0" y="0"/>
                                      <a:ext cx="2456635" cy="24514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0D988A" w14:textId="3E75A621" w:rsidR="00543970" w:rsidRPr="004C10A0" w:rsidRDefault="00543970" w:rsidP="00543970">
                                        <w:pPr>
                                          <w:jc w:val="center"/>
                                          <w:rPr>
                                            <w:rFonts w:cs="Arial"/>
                                            <w:b/>
                                            <w:bCs/>
                                            <w:sz w:val="22"/>
                                            <w:szCs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grpSp>
                        </wpg:grpSp>
                      </wpg:grpSp>
                    </wpg:wgp>
                  </a:graphicData>
                </a:graphic>
                <wp14:sizeRelH relativeFrom="margin">
                  <wp14:pctWidth>0</wp14:pctWidth>
                </wp14:sizeRelH>
              </wp:anchor>
            </w:drawing>
          </mc:Choice>
          <mc:Fallback>
            <w:pict>
              <v:group w14:anchorId="38667F9F" id="Grupo 431" o:spid="_x0000_s1323" style="position:absolute;left:0;text-align:left;margin-left:-27.45pt;margin-top:17.55pt;width:667.8pt;height:417pt;z-index:251658250;mso-position-horizontal-relative:text;mso-position-vertical-relative:text;mso-width-relative:margin" coordorigin="-152" coordsize="84810,5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">
                <v:rect id="Rectángulo 1" o:spid="_x0000_s1324" style="position:absolute;left:28498;top:152;width:56160;height:5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" filled="f" strokecolor="black [3213]">
                  <v:textbox inset="1mm,1mm,1mm,1mm">
                    <w:txbxContent>
                      <w:p w14:paraId="60F8AEF6" w14:textId="77777777" w:rsidR="001B0AAD" w:rsidRPr="00EE74CA" w:rsidRDefault="001B0AAD" w:rsidP="001B0AAD">
                        <w:pPr>
                          <w:rPr>
                            <w:sz w:val="20"/>
                            <w:szCs w:val="20"/>
                          </w:rPr>
                        </w:pPr>
                      </w:p>
                    </w:txbxContent>
                  </v:textbox>
                </v:rect>
                <v:group id="Grupo 430" o:spid="_x0000_s1325" style="position:absolute;left:-152;width:83933;height:52959" coordorigin="-152" coordsize="83934,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">
                  <v:rect id="Rectángulo 1" o:spid="_x0000_s1326" style="position:absolute;left:-152;top:152;width:28434;height:5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" filled="f" strokecolor="black [3213]">
                    <v:textbox inset="1mm,1mm,1mm,1mm">
                      <w:txbxContent>
                        <w:p w14:paraId="3E70C6C7" w14:textId="77777777" w:rsidR="007753B2" w:rsidRPr="00EE74CA" w:rsidRDefault="007753B2" w:rsidP="007753B2">
                          <w:pPr>
                            <w:rPr>
                              <w:sz w:val="20"/>
                              <w:szCs w:val="20"/>
                            </w:rPr>
                          </w:pPr>
                        </w:p>
                      </w:txbxContent>
                    </v:textbox>
                  </v:rect>
                  <v:group id="Grupo 415" o:spid="_x0000_s1327" style="position:absolute;left:838;width:82943;height:51987" coordorigin=",-152" coordsize="82943,5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">
                    <v:group id="Grupo 408" o:spid="_x0000_s1328" style="position:absolute;left:27813;width:55130;height:51835" coordorigin=",-3145" coordsize="55130,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">
                      <v:group id="Grupo 12" o:spid="_x0000_s1329" style="position:absolute;top:2971;width:55130;height:45720" coordorigin="15544,6546" coordsize="55130,4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">
                        <v:group id="Grupo 11" o:spid="_x0000_s1330" style="position:absolute;left:15544;top:6546;width:55131;height:45723" coordorigin="15544,5479" coordsize="55130,4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">
                          <v:group id="Grupo 10" o:spid="_x0000_s1331" style="position:absolute;left:15544;top:5479;width:55131;height:45724" coordorigin="15544,5479" coordsize="55130,4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">
                            <v:group id="Grupo 9" o:spid="_x0000_s1332" style="position:absolute;left:15544;top:5479;width:55131;height:45724" coordorigin="2933,5479" coordsize="55130,4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">
                              <v:group id="Grupo 7" o:spid="_x0000_s1333" style="position:absolute;left:2933;top:5479;width:55131;height:45724" coordorigin="-228,5479" coordsize="55130,4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">
                                <v:rect id="Rectángulo 1" o:spid="_x0000_s1334" style="position:absolute;left:27542;top:5481;width:27360;height:45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" fillcolor="#f2f2f2 [3052]" strokecolor="black [3213]" strokeweight="2pt">
                                  <v:textbox inset="1mm,1mm,1mm,1mm">
                                    <w:txbxContent>
                                      <w:p w14:paraId="4017A973" w14:textId="77777777" w:rsidR="009E2484" w:rsidRPr="00EE74CA" w:rsidRDefault="009E2484" w:rsidP="009E2484">
                                        <w:pPr>
                                          <w:rPr>
                                            <w:sz w:val="20"/>
                                            <w:szCs w:val="20"/>
                                          </w:rPr>
                                        </w:pPr>
                                      </w:p>
                                    </w:txbxContent>
                                  </v:textbox>
                                </v:rect>
                                <v:group id="Grupo 6" o:spid="_x0000_s1335" style="position:absolute;left:-228;top:5479;width:53415;height:45721" coordorigin="-1524,5479" coordsize="53416,4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">
                                  <v:rect id="Rectángulo 1" o:spid="_x0000_s1336" style="position:absolute;left:-1524;top:5479;width:27359;height:4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" fillcolor="#f2f2f2 [3052]" strokecolor="black [3213]" strokeweight="2pt">
                                    <v:textbox inset="1mm,1mm,1mm,1mm">
                                      <w:txbxContent>
                                        <w:p w14:paraId="66CC7DD6" w14:textId="77777777" w:rsidR="009E2484" w:rsidRPr="00EE74CA" w:rsidRDefault="009E2484" w:rsidP="009E2484">
                                          <w:pPr>
                                            <w:rPr>
                                              <w:sz w:val="20"/>
                                              <w:szCs w:val="20"/>
                                            </w:rPr>
                                          </w:pPr>
                                        </w:p>
                                      </w:txbxContent>
                                    </v:textbox>
                                  </v:rect>
                                  <v:group id="Grupo 5" o:spid="_x0000_s1337" style="position:absolute;top:6235;width:51892;height:43401" coordorigin="1370,4822" coordsize="41821,3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">
                                    <v:group id="Grupo 4" o:spid="_x0000_s1338" style="position:absolute;left:1370;top:4822;width:41822;height:38235" coordorigin="1370,6346" coordsize="41822,3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">
                                      <v:group id="Grupo 3" o:spid="_x0000_s1339" style="position:absolute;left:1370;top:8975;width:41822;height:35606" coordorigin="1370,9509" coordsize="41822,3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">
                                        <v:rect id="Rectángulo 1" o:spid="_x0000_s1340" style="position:absolute;left:1371;top:19275;width:19799;height:1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" filled="f" strokecolor="black [3213]" strokeweight="2pt">
                                          <v:textbox inset="1mm,1mm,1mm,1mm">
                                            <w:txbxContent>
                                              <w:p w14:paraId="4E046B82" w14:textId="300D8BD9" w:rsidR="009E2484" w:rsidRPr="00E64F04" w:rsidRDefault="009E2484" w:rsidP="00E64F04">
                                                <w:pPr>
                                                  <w:pStyle w:val="Prrafodelista"/>
                                                  <w:numPr>
                                                    <w:ilvl w:val="0"/>
                                                    <w:numId w:val="796"/>
                                                  </w:numPr>
                                                  <w:ind w:left="284" w:hanging="284"/>
                                                  <w:jc w:val="center"/>
                                                  <w:rPr>
                                                    <w:sz w:val="20"/>
                                                    <w:szCs w:val="20"/>
                                                  </w:rPr>
                                                </w:pPr>
                                                <w:r w:rsidRPr="00E64F04">
                                                  <w:rPr>
                                                    <w:rFonts w:cs="Arial"/>
                                                    <w:sz w:val="20"/>
                                                    <w:szCs w:val="20"/>
                                                  </w:rPr>
                                                  <w:t>Determinación de impactos significativos</w:t>
                                                </w:r>
                                              </w:p>
                                              <w:p w14:paraId="1A9D423B" w14:textId="77777777" w:rsidR="009E2484" w:rsidRDefault="009E2484" w:rsidP="009E2484">
                                                <w:pPr>
                                                  <w:ind w:left="284" w:hanging="284"/>
                                                  <w:jc w:val="center"/>
                                                </w:pPr>
                                              </w:p>
                                              <w:p w14:paraId="1E028968" w14:textId="77777777" w:rsidR="009E2484" w:rsidRPr="00CC4CBF" w:rsidRDefault="009E2484" w:rsidP="009E2484">
                                                <w:pPr>
                                                  <w:pStyle w:val="Prrafodelista"/>
                                                  <w:numPr>
                                                    <w:ilvl w:val="0"/>
                                                    <w:numId w:val="786"/>
                                                  </w:numPr>
                                                  <w:ind w:left="284" w:hanging="284"/>
                                                  <w:jc w:val="center"/>
                                                  <w:rPr>
                                                    <w:rFonts w:cs="Arial"/>
                                                    <w:sz w:val="18"/>
                                                    <w:szCs w:val="18"/>
                                                  </w:rPr>
                                                </w:pPr>
                                                <w:r w:rsidRPr="00CC4CBF">
                                                  <w:rPr>
                                                    <w:rFonts w:cs="Arial"/>
                                                    <w:sz w:val="18"/>
                                                    <w:szCs w:val="18"/>
                                                  </w:rPr>
                                                  <w:t>Ajust</w:t>
                                                </w:r>
                                                <w:r>
                                                  <w:rPr>
                                                    <w:rFonts w:cs="Arial"/>
                                                    <w:sz w:val="18"/>
                                                    <w:szCs w:val="18"/>
                                                  </w:rPr>
                                                  <w:t>e</w:t>
                                                </w:r>
                                                <w:r w:rsidRPr="00CC4CBF">
                                                  <w:rPr>
                                                    <w:rFonts w:cs="Arial"/>
                                                    <w:sz w:val="18"/>
                                                    <w:szCs w:val="18"/>
                                                  </w:rPr>
                                                  <w:t xml:space="preserve"> </w:t>
                                                </w:r>
                                                <w:r>
                                                  <w:rPr>
                                                    <w:rFonts w:cs="Arial"/>
                                                    <w:sz w:val="18"/>
                                                    <w:szCs w:val="18"/>
                                                  </w:rPr>
                                                  <w:t xml:space="preserve">del </w:t>
                                                </w:r>
                                                <w:r w:rsidRPr="00CC4CBF">
                                                  <w:rPr>
                                                    <w:rFonts w:cs="Arial"/>
                                                    <w:sz w:val="18"/>
                                                    <w:szCs w:val="18"/>
                                                  </w:rPr>
                                                  <w:t>método inicial para que emplee sólo atributos sobre significancia</w:t>
                                                </w:r>
                                              </w:p>
                                              <w:p w14:paraId="625E288E" w14:textId="68A12904" w:rsidR="009E2484" w:rsidRPr="00CC4CBF" w:rsidRDefault="009E2484" w:rsidP="009E2484">
                                                <w:pPr>
                                                  <w:pStyle w:val="Prrafodelista"/>
                                                  <w:numPr>
                                                    <w:ilvl w:val="0"/>
                                                    <w:numId w:val="786"/>
                                                  </w:numPr>
                                                  <w:ind w:left="284" w:hanging="284"/>
                                                  <w:jc w:val="center"/>
                                                  <w:rPr>
                                                    <w:sz w:val="18"/>
                                                    <w:szCs w:val="18"/>
                                                  </w:rPr>
                                                </w:pPr>
                                                <w:r w:rsidRPr="00CC4CBF">
                                                  <w:rPr>
                                                    <w:rFonts w:cs="Arial"/>
                                                    <w:sz w:val="18"/>
                                                    <w:szCs w:val="18"/>
                                                  </w:rPr>
                                                  <w:t>Normaliza</w:t>
                                                </w:r>
                                                <w:r w:rsidR="00E56ABD">
                                                  <w:rPr>
                                                    <w:rFonts w:cs="Arial"/>
                                                    <w:sz w:val="18"/>
                                                    <w:szCs w:val="18"/>
                                                  </w:rPr>
                                                  <w:t>ción</w:t>
                                                </w:r>
                                                <w:r w:rsidR="00FD3EA9">
                                                  <w:rPr>
                                                    <w:rFonts w:cs="Arial"/>
                                                    <w:sz w:val="18"/>
                                                    <w:szCs w:val="18"/>
                                                  </w:rPr>
                                                  <w:t xml:space="preserve"> de resultados</w:t>
                                                </w:r>
                                              </w:p>
                                              <w:p w14:paraId="5146BE41" w14:textId="77777777" w:rsidR="009E2484" w:rsidRDefault="009E2484" w:rsidP="009E2484">
                                                <w:pPr>
                                                  <w:jc w:val="center"/>
                                                  <w:rPr>
                                                    <w:sz w:val="16"/>
                                                    <w:szCs w:val="16"/>
                                                  </w:rPr>
                                                </w:pPr>
                                              </w:p>
                                              <w:p w14:paraId="21FDA852" w14:textId="77777777" w:rsidR="009E2484" w:rsidRPr="00FD1A69" w:rsidRDefault="009E2484" w:rsidP="009E2484">
                                                <w:pPr>
                                                  <w:jc w:val="center"/>
                                                  <w:rPr>
                                                    <w:sz w:val="16"/>
                                                    <w:szCs w:val="16"/>
                                                  </w:rPr>
                                                </w:pPr>
                                                <w:r>
                                                  <w:rPr>
                                                    <w:sz w:val="14"/>
                                                    <w:szCs w:val="14"/>
                                                  </w:rPr>
                                                  <w:t>Aplica o</w:t>
                                                </w:r>
                                                <w:r w:rsidRPr="005D2A5A">
                                                  <w:rPr>
                                                    <w:sz w:val="14"/>
                                                    <w:szCs w:val="14"/>
                                                  </w:rPr>
                                                  <w:t xml:space="preserve">rientaciones </w:t>
                                                </w:r>
                                                <w:r>
                                                  <w:rPr>
                                                    <w:sz w:val="14"/>
                                                    <w:szCs w:val="14"/>
                                                  </w:rPr>
                                                  <w:t>numeral 7</w:t>
                                                </w:r>
                                                <w:r w:rsidRPr="005D2A5A">
                                                  <w:rPr>
                                                    <w:sz w:val="14"/>
                                                    <w:szCs w:val="14"/>
                                                  </w:rPr>
                                                  <w:t>.4.</w:t>
                                                </w:r>
                                                <w:r>
                                                  <w:rPr>
                                                    <w:sz w:val="14"/>
                                                    <w:szCs w:val="14"/>
                                                  </w:rPr>
                                                  <w:t>3</w:t>
                                                </w:r>
                                              </w:p>
                                            </w:txbxContent>
                                          </v:textbox>
                                        </v:rect>
                                        <v:rect id="Rectángulo 1" o:spid="_x0000_s1341" style="position:absolute;left:1371;top:9524;width:19799;height:7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" filled="f" strokecolor="black [3213]" strokeweight="2pt">
                                          <v:textbox inset="1mm,1mm,1mm,1mm">
                                            <w:txbxContent>
                                              <w:p w14:paraId="1B2F0A10" w14:textId="74238D9B" w:rsidR="009E2484" w:rsidRPr="00E64F04" w:rsidRDefault="009E2484" w:rsidP="00E64F04">
                                                <w:pPr>
                                                  <w:pStyle w:val="Prrafodelista"/>
                                                  <w:numPr>
                                                    <w:ilvl w:val="0"/>
                                                    <w:numId w:val="793"/>
                                                  </w:numPr>
                                                  <w:ind w:left="284" w:hanging="284"/>
                                                  <w:jc w:val="center"/>
                                                  <w:rPr>
                                                    <w:rFonts w:cs="Arial"/>
                                                    <w:sz w:val="20"/>
                                                    <w:szCs w:val="20"/>
                                                  </w:rPr>
                                                </w:pPr>
                                                <w:r w:rsidRPr="00E64F04">
                                                  <w:rPr>
                                                    <w:rFonts w:cs="Arial"/>
                                                    <w:sz w:val="20"/>
                                                    <w:szCs w:val="20"/>
                                                  </w:rPr>
                                                  <w:t>Determinación y valoración</w:t>
                                                </w:r>
                                              </w:p>
                                              <w:p w14:paraId="76A1CB18" w14:textId="77777777" w:rsidR="009E2484" w:rsidRDefault="009E2484" w:rsidP="009E2484">
                                                <w:pPr>
                                                  <w:jc w:val="center"/>
                                                  <w:rPr>
                                                    <w:rFonts w:cs="Arial"/>
                                                    <w:sz w:val="20"/>
                                                    <w:szCs w:val="20"/>
                                                  </w:rPr>
                                                </w:pPr>
                                              </w:p>
                                              <w:p w14:paraId="37F95C45" w14:textId="77777777" w:rsidR="009E2484" w:rsidRDefault="009E2484" w:rsidP="009E2484">
                                                <w:pPr>
                                                  <w:jc w:val="center"/>
                                                  <w:rPr>
                                                    <w:rFonts w:cs="Arial"/>
                                                    <w:sz w:val="18"/>
                                                    <w:szCs w:val="18"/>
                                                  </w:rPr>
                                                </w:pPr>
                                                <w:r w:rsidRPr="00E24DF7">
                                                  <w:rPr>
                                                    <w:rFonts w:cs="Arial"/>
                                                    <w:sz w:val="18"/>
                                                    <w:szCs w:val="18"/>
                                                  </w:rPr>
                                                  <w:t>Método seleccionado por elaborador</w:t>
                                                </w:r>
                                              </w:p>
                                              <w:p w14:paraId="745582FA" w14:textId="77777777" w:rsidR="009E2484" w:rsidRPr="00E24DF7" w:rsidRDefault="009E2484" w:rsidP="009E2484">
                                                <w:pPr>
                                                  <w:jc w:val="center"/>
                                                  <w:rPr>
                                                    <w:rFonts w:cs="Arial"/>
                                                    <w:sz w:val="18"/>
                                                    <w:szCs w:val="18"/>
                                                  </w:rPr>
                                                </w:pPr>
                                              </w:p>
                                              <w:p w14:paraId="0F8EAEB4" w14:textId="77777777" w:rsidR="009E2484" w:rsidRPr="005D2A5A" w:rsidRDefault="009E2484" w:rsidP="009E2484">
                                                <w:pPr>
                                                  <w:jc w:val="center"/>
                                                  <w:rPr>
                                                    <w:rFonts w:cs="Arial"/>
                                                    <w:sz w:val="14"/>
                                                    <w:szCs w:val="14"/>
                                                  </w:rPr>
                                                </w:pPr>
                                              </w:p>
                                              <w:p w14:paraId="6FD0E8DC" w14:textId="77777777" w:rsidR="009E2484" w:rsidRPr="005D2A5A" w:rsidRDefault="009E2484" w:rsidP="009E2484">
                                                <w:pPr>
                                                  <w:jc w:val="center"/>
                                                  <w:rPr>
                                                    <w:sz w:val="14"/>
                                                    <w:szCs w:val="14"/>
                                                  </w:rPr>
                                                </w:pPr>
                                                <w:r>
                                                  <w:rPr>
                                                    <w:sz w:val="14"/>
                                                    <w:szCs w:val="14"/>
                                                  </w:rPr>
                                                  <w:t>Aplica o</w:t>
                                                </w:r>
                                                <w:r w:rsidRPr="005D2A5A">
                                                  <w:rPr>
                                                    <w:sz w:val="14"/>
                                                    <w:szCs w:val="14"/>
                                                  </w:rPr>
                                                  <w:t xml:space="preserve">rientaciones </w:t>
                                                </w:r>
                                                <w:r>
                                                  <w:rPr>
                                                    <w:sz w:val="14"/>
                                                    <w:szCs w:val="14"/>
                                                  </w:rPr>
                                                  <w:t xml:space="preserve">numerales </w:t>
                                                </w:r>
                                                <w:r w:rsidRPr="005D2A5A">
                                                  <w:rPr>
                                                    <w:sz w:val="14"/>
                                                    <w:szCs w:val="14"/>
                                                  </w:rPr>
                                                  <w:t>7.2, 7.4.1 y 7.4.2</w:t>
                                                </w:r>
                                                <w:r>
                                                  <w:rPr>
                                                    <w:sz w:val="14"/>
                                                    <w:szCs w:val="14"/>
                                                  </w:rPr>
                                                  <w:t>, y 7.5</w:t>
                                                </w:r>
                                              </w:p>
                                            </w:txbxContent>
                                          </v:textbox>
                                        </v:rect>
                                        <v:rect id="Rectángulo 1" o:spid="_x0000_s1342" style="position:absolute;left:1370;top:33783;width:19800;height:6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" filled="f" strokecolor="black [3213]" strokeweight="2pt">
                                          <v:textbox inset="1mm,1mm,1mm,1mm">
                                            <w:txbxContent>
                                              <w:p w14:paraId="3C8225FA" w14:textId="77777777" w:rsidR="009E2484" w:rsidRPr="00E64F04" w:rsidRDefault="009E2484" w:rsidP="00E64F04">
                                                <w:pPr>
                                                  <w:pStyle w:val="Prrafodelista"/>
                                                  <w:numPr>
                                                    <w:ilvl w:val="0"/>
                                                    <w:numId w:val="797"/>
                                                  </w:numPr>
                                                  <w:ind w:left="284" w:hanging="284"/>
                                                  <w:jc w:val="center"/>
                                                  <w:rPr>
                                                    <w:rFonts w:cs="Arial"/>
                                                    <w:sz w:val="20"/>
                                                    <w:szCs w:val="20"/>
                                                  </w:rPr>
                                                </w:pPr>
                                                <w:r w:rsidRPr="00E64F04">
                                                  <w:rPr>
                                                    <w:rFonts w:cs="Arial"/>
                                                    <w:sz w:val="20"/>
                                                    <w:szCs w:val="20"/>
                                                  </w:rPr>
                                                  <w:t>Evaluación de impactos residuales</w:t>
                                                </w:r>
                                              </w:p>
                                              <w:p w14:paraId="67F7AA94" w14:textId="77777777" w:rsidR="009E2484" w:rsidRDefault="009E2484" w:rsidP="009E2484">
                                                <w:pPr>
                                                  <w:jc w:val="center"/>
                                                  <w:rPr>
                                                    <w:rFonts w:cs="Arial"/>
                                                    <w:sz w:val="20"/>
                                                    <w:szCs w:val="20"/>
                                                  </w:rPr>
                                                </w:pPr>
                                              </w:p>
                                              <w:p w14:paraId="2357E9E7" w14:textId="77777777" w:rsidR="009E2484" w:rsidRPr="00FD1A69" w:rsidRDefault="009E2484" w:rsidP="009E2484">
                                                <w:pPr>
                                                  <w:jc w:val="center"/>
                                                  <w:rPr>
                                                    <w:sz w:val="16"/>
                                                    <w:szCs w:val="16"/>
                                                  </w:rPr>
                                                </w:pPr>
                                                <w:r>
                                                  <w:rPr>
                                                    <w:sz w:val="14"/>
                                                    <w:szCs w:val="14"/>
                                                  </w:rPr>
                                                  <w:t>Aplica o</w:t>
                                                </w:r>
                                                <w:r w:rsidRPr="005D2A5A">
                                                  <w:rPr>
                                                    <w:sz w:val="14"/>
                                                    <w:szCs w:val="14"/>
                                                  </w:rPr>
                                                  <w:t xml:space="preserve">rientaciones </w:t>
                                                </w:r>
                                                <w:r>
                                                  <w:rPr>
                                                    <w:sz w:val="14"/>
                                                    <w:szCs w:val="14"/>
                                                  </w:rPr>
                                                  <w:t>numeral 7</w:t>
                                                </w:r>
                                                <w:r w:rsidRPr="005D2A5A">
                                                  <w:rPr>
                                                    <w:sz w:val="14"/>
                                                    <w:szCs w:val="14"/>
                                                  </w:rPr>
                                                  <w:t>.4.</w:t>
                                                </w:r>
                                                <w:r>
                                                  <w:rPr>
                                                    <w:sz w:val="14"/>
                                                    <w:szCs w:val="14"/>
                                                  </w:rPr>
                                                  <w:t>4</w:t>
                                                </w:r>
                                              </w:p>
                                            </w:txbxContent>
                                          </v:textbox>
                                        </v:rect>
                                        <v:rect id="Rectángulo 1" o:spid="_x0000_s1343" style="position:absolute;left:23393;top:33760;width:19799;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" filled="f" strokecolor="black [3213]" strokeweight="2pt">
                                          <v:textbox inset="1mm,1mm,1mm,1mm">
                                            <w:txbxContent>
                                              <w:p w14:paraId="7EB4F93D" w14:textId="77777777" w:rsidR="009E2484" w:rsidRPr="00E64F04" w:rsidRDefault="009E2484" w:rsidP="00E64F04">
                                                <w:pPr>
                                                  <w:pStyle w:val="Prrafodelista"/>
                                                  <w:numPr>
                                                    <w:ilvl w:val="0"/>
                                                    <w:numId w:val="798"/>
                                                  </w:numPr>
                                                  <w:ind w:left="284" w:hanging="284"/>
                                                  <w:jc w:val="center"/>
                                                  <w:rPr>
                                                    <w:rFonts w:cs="Arial"/>
                                                    <w:sz w:val="20"/>
                                                    <w:szCs w:val="20"/>
                                                  </w:rPr>
                                                </w:pPr>
                                                <w:r w:rsidRPr="00E64F04">
                                                  <w:rPr>
                                                    <w:rFonts w:cs="Arial"/>
                                                    <w:sz w:val="20"/>
                                                    <w:szCs w:val="20"/>
                                                  </w:rPr>
                                                  <w:t>Evaluación de impactos residuales</w:t>
                                                </w:r>
                                              </w:p>
                                              <w:p w14:paraId="7FCA8D72" w14:textId="77777777" w:rsidR="009E2484" w:rsidRDefault="009E2484" w:rsidP="009E2484">
                                                <w:pPr>
                                                  <w:jc w:val="center"/>
                                                  <w:rPr>
                                                    <w:rFonts w:cs="Arial"/>
                                                    <w:sz w:val="20"/>
                                                    <w:szCs w:val="20"/>
                                                  </w:rPr>
                                                </w:pPr>
                                              </w:p>
                                              <w:p w14:paraId="18A14B06" w14:textId="77777777" w:rsidR="009E2484" w:rsidRPr="00FD1A69" w:rsidRDefault="009E2484" w:rsidP="009E2484">
                                                <w:pPr>
                                                  <w:jc w:val="center"/>
                                                  <w:rPr>
                                                    <w:sz w:val="16"/>
                                                    <w:szCs w:val="16"/>
                                                  </w:rPr>
                                                </w:pPr>
                                                <w:r>
                                                  <w:rPr>
                                                    <w:sz w:val="14"/>
                                                    <w:szCs w:val="14"/>
                                                  </w:rPr>
                                                  <w:t>Aplica o</w:t>
                                                </w:r>
                                                <w:r w:rsidRPr="005D2A5A">
                                                  <w:rPr>
                                                    <w:sz w:val="14"/>
                                                    <w:szCs w:val="14"/>
                                                  </w:rPr>
                                                  <w:t xml:space="preserve">rientaciones </w:t>
                                                </w:r>
                                                <w:r>
                                                  <w:rPr>
                                                    <w:sz w:val="14"/>
                                                    <w:szCs w:val="14"/>
                                                  </w:rPr>
                                                  <w:t>numeral 7</w:t>
                                                </w:r>
                                                <w:r w:rsidRPr="005D2A5A">
                                                  <w:rPr>
                                                    <w:sz w:val="14"/>
                                                    <w:szCs w:val="14"/>
                                                  </w:rPr>
                                                  <w:t>.4.</w:t>
                                                </w:r>
                                                <w:r>
                                                  <w:rPr>
                                                    <w:sz w:val="14"/>
                                                    <w:szCs w:val="14"/>
                                                  </w:rPr>
                                                  <w:t>4</w:t>
                                                </w:r>
                                              </w:p>
                                            </w:txbxContent>
                                          </v:textbox>
                                        </v:rect>
                                        <v:rect id="Rectángulo 1" o:spid="_x0000_s1344" style="position:absolute;left:1370;top:41945;width:19800;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" filled="f" stroked="f" strokeweight="2pt">
                                          <v:textbox inset="1mm,0,1mm,0">
                                            <w:txbxContent>
                                              <w:p w14:paraId="7EC7DB59" w14:textId="2B3654BE" w:rsidR="009E2484" w:rsidRPr="00D52D11" w:rsidRDefault="009E2484" w:rsidP="009E2484">
                                                <w:pPr>
                                                  <w:jc w:val="center"/>
                                                  <w:rPr>
                                                    <w:sz w:val="18"/>
                                                    <w:szCs w:val="18"/>
                                                  </w:rPr>
                                                </w:pPr>
                                                <w:r w:rsidRPr="00D52D11">
                                                  <w:rPr>
                                                    <w:rFonts w:cs="Arial"/>
                                                    <w:sz w:val="18"/>
                                                    <w:szCs w:val="18"/>
                                                  </w:rPr>
                                                  <w:t xml:space="preserve">Más </w:t>
                                                </w:r>
                                                <w:r w:rsidR="004F7E8B">
                                                  <w:rPr>
                                                    <w:rFonts w:cs="Arial"/>
                                                    <w:sz w:val="18"/>
                                                    <w:szCs w:val="18"/>
                                                  </w:rPr>
                                                  <w:t>largo</w:t>
                                                </w:r>
                                                <w:r>
                                                  <w:rPr>
                                                    <w:rFonts w:cs="Arial"/>
                                                    <w:sz w:val="18"/>
                                                    <w:szCs w:val="18"/>
                                                  </w:rPr>
                                                  <w:t>.</w:t>
                                                </w:r>
                                                <w:r w:rsidRPr="00D52D11">
                                                  <w:rPr>
                                                    <w:rFonts w:cs="Arial"/>
                                                    <w:sz w:val="18"/>
                                                    <w:szCs w:val="18"/>
                                                  </w:rPr>
                                                  <w:t xml:space="preserve"> </w:t>
                                                </w:r>
                                                <w:r>
                                                  <w:rPr>
                                                    <w:rFonts w:cs="Arial"/>
                                                    <w:sz w:val="18"/>
                                                    <w:szCs w:val="18"/>
                                                  </w:rPr>
                                                  <w:t>G</w:t>
                                                </w:r>
                                                <w:r w:rsidRPr="00D52D11">
                                                  <w:rPr>
                                                    <w:rFonts w:cs="Arial"/>
                                                    <w:sz w:val="18"/>
                                                    <w:szCs w:val="18"/>
                                                  </w:rPr>
                                                  <w:t>enera información</w:t>
                                                </w:r>
                                                <w:r w:rsidR="001A085E">
                                                  <w:rPr>
                                                    <w:rFonts w:cs="Arial"/>
                                                    <w:sz w:val="18"/>
                                                    <w:szCs w:val="18"/>
                                                  </w:rPr>
                                                  <w:t xml:space="preserve"> complementaria</w:t>
                                                </w:r>
                                                <w:r w:rsidRPr="00D52D11">
                                                  <w:rPr>
                                                    <w:rFonts w:cs="Arial"/>
                                                    <w:sz w:val="18"/>
                                                    <w:szCs w:val="18"/>
                                                  </w:rPr>
                                                  <w:t xml:space="preserve"> para </w:t>
                                                </w:r>
                                                <w:r>
                                                  <w:rPr>
                                                    <w:rFonts w:cs="Arial"/>
                                                    <w:sz w:val="18"/>
                                                    <w:szCs w:val="18"/>
                                                  </w:rPr>
                                                  <w:t xml:space="preserve">el </w:t>
                                                </w:r>
                                                <w:r w:rsidRPr="00D52D11">
                                                  <w:rPr>
                                                    <w:rFonts w:cs="Arial"/>
                                                    <w:sz w:val="18"/>
                                                    <w:szCs w:val="18"/>
                                                  </w:rPr>
                                                  <w:t>PMA</w:t>
                                                </w:r>
                                              </w:p>
                                            </w:txbxContent>
                                          </v:textbox>
                                        </v:rect>
                                        <v:rect id="Rectángulo 1" o:spid="_x0000_s1345" style="position:absolute;left:23397;top:9509;width:19787;height:7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" filled="f" strokecolor="black [3213]" strokeweight="2pt">
                                          <v:textbox inset="1mm,1mm,1mm,1mm">
                                            <w:txbxContent>
                                              <w:p w14:paraId="5436F20C" w14:textId="6AC2F3EB" w:rsidR="009E2484" w:rsidRPr="00E64F04" w:rsidRDefault="009E2484" w:rsidP="00E64F04">
                                                <w:pPr>
                                                  <w:pStyle w:val="Prrafodelista"/>
                                                  <w:numPr>
                                                    <w:ilvl w:val="0"/>
                                                    <w:numId w:val="794"/>
                                                  </w:numPr>
                                                  <w:ind w:left="284" w:hanging="284"/>
                                                  <w:jc w:val="center"/>
                                                  <w:rPr>
                                                    <w:rFonts w:cs="Arial"/>
                                                    <w:sz w:val="20"/>
                                                    <w:szCs w:val="20"/>
                                                  </w:rPr>
                                                </w:pPr>
                                                <w:r w:rsidRPr="00E64F04">
                                                  <w:rPr>
                                                    <w:rFonts w:cs="Arial"/>
                                                    <w:sz w:val="20"/>
                                                    <w:szCs w:val="20"/>
                                                  </w:rPr>
                                                  <w:t>Determinación y valoración</w:t>
                                                </w:r>
                                              </w:p>
                                              <w:p w14:paraId="5AF094FE" w14:textId="77777777" w:rsidR="009E2484" w:rsidRDefault="009E2484" w:rsidP="008F2144">
                                                <w:pPr>
                                                  <w:jc w:val="center"/>
                                                  <w:rPr>
                                                    <w:rFonts w:cs="Arial"/>
                                                    <w:sz w:val="20"/>
                                                    <w:szCs w:val="20"/>
                                                  </w:rPr>
                                                </w:pPr>
                                              </w:p>
                                              <w:p w14:paraId="5A90BDEC" w14:textId="77777777" w:rsidR="009E2484" w:rsidRPr="00E24DF7" w:rsidRDefault="009E2484" w:rsidP="008F2144">
                                                <w:pPr>
                                                  <w:jc w:val="center"/>
                                                  <w:rPr>
                                                    <w:rFonts w:cs="Arial"/>
                                                    <w:sz w:val="18"/>
                                                    <w:szCs w:val="18"/>
                                                  </w:rPr>
                                                </w:pPr>
                                                <w:r w:rsidRPr="00E24DF7">
                                                  <w:rPr>
                                                    <w:rFonts w:cs="Arial"/>
                                                    <w:sz w:val="18"/>
                                                    <w:szCs w:val="18"/>
                                                  </w:rPr>
                                                  <w:t>Método seleccionado por elaborador ajustado (enfocado en significancia)</w:t>
                                                </w:r>
                                              </w:p>
                                              <w:p w14:paraId="7DD2E4EA" w14:textId="77777777" w:rsidR="009E2484" w:rsidRDefault="009E2484" w:rsidP="00E64F04">
                                                <w:pPr>
                                                  <w:jc w:val="center"/>
                                                  <w:rPr>
                                                    <w:sz w:val="14"/>
                                                    <w:szCs w:val="14"/>
                                                  </w:rPr>
                                                </w:pPr>
                                              </w:p>
                                              <w:p w14:paraId="1EA4F193" w14:textId="77777777" w:rsidR="009E2484" w:rsidRPr="005D2A5A" w:rsidRDefault="009E2484" w:rsidP="008F2144">
                                                <w:pPr>
                                                  <w:jc w:val="center"/>
                                                  <w:rPr>
                                                    <w:sz w:val="14"/>
                                                    <w:szCs w:val="14"/>
                                                  </w:rPr>
                                                </w:pPr>
                                                <w:r>
                                                  <w:rPr>
                                                    <w:sz w:val="14"/>
                                                    <w:szCs w:val="14"/>
                                                  </w:rPr>
                                                  <w:t>Aplica o</w:t>
                                                </w:r>
                                                <w:r w:rsidRPr="005D2A5A">
                                                  <w:rPr>
                                                    <w:sz w:val="14"/>
                                                    <w:szCs w:val="14"/>
                                                  </w:rPr>
                                                  <w:t xml:space="preserve">rientaciones </w:t>
                                                </w:r>
                                                <w:r>
                                                  <w:rPr>
                                                    <w:sz w:val="14"/>
                                                    <w:szCs w:val="14"/>
                                                  </w:rPr>
                                                  <w:t xml:space="preserve">numerales </w:t>
                                                </w:r>
                                                <w:r w:rsidRPr="005D2A5A">
                                                  <w:rPr>
                                                    <w:sz w:val="14"/>
                                                    <w:szCs w:val="14"/>
                                                  </w:rPr>
                                                  <w:t>7.2, 7.4.1</w:t>
                                                </w:r>
                                                <w:r>
                                                  <w:rPr>
                                                    <w:sz w:val="14"/>
                                                    <w:szCs w:val="14"/>
                                                  </w:rPr>
                                                  <w:t>,</w:t>
                                                </w:r>
                                                <w:r w:rsidRPr="005D2A5A">
                                                  <w:rPr>
                                                    <w:sz w:val="14"/>
                                                    <w:szCs w:val="14"/>
                                                  </w:rPr>
                                                  <w:t xml:space="preserve"> 7.4.2</w:t>
                                                </w:r>
                                                <w:r>
                                                  <w:rPr>
                                                    <w:sz w:val="14"/>
                                                    <w:szCs w:val="14"/>
                                                  </w:rPr>
                                                  <w:t xml:space="preserve">, </w:t>
                                                </w:r>
                                                <w:r w:rsidRPr="005D2A5A">
                                                  <w:rPr>
                                                    <w:sz w:val="14"/>
                                                    <w:szCs w:val="14"/>
                                                  </w:rPr>
                                                  <w:t>7.4.</w:t>
                                                </w:r>
                                                <w:r>
                                                  <w:rPr>
                                                    <w:sz w:val="14"/>
                                                    <w:szCs w:val="14"/>
                                                  </w:rPr>
                                                  <w:t>3 y 7.5</w:t>
                                                </w:r>
                                              </w:p>
                                              <w:p w14:paraId="38D464F3" w14:textId="77777777" w:rsidR="009E2484" w:rsidRPr="008E07AC" w:rsidRDefault="009E2484" w:rsidP="009E2484">
                                                <w:pPr>
                                                  <w:jc w:val="center"/>
                                                  <w:rPr>
                                                    <w:sz w:val="16"/>
                                                    <w:szCs w:val="16"/>
                                                  </w:rPr>
                                                </w:pPr>
                                              </w:p>
                                            </w:txbxContent>
                                          </v:textbox>
                                        </v:rect>
                                        <v:rect id="Rectángulo 1" o:spid="_x0000_s1346" style="position:absolute;left:23393;top:19255;width:19799;height:1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" filled="f" strokecolor="black [3213]" strokeweight="2pt">
                                          <v:textbox inset="1mm,1mm,1mm,1mm">
                                            <w:txbxContent>
                                              <w:p w14:paraId="4731A23B" w14:textId="3F65E394" w:rsidR="009E2484" w:rsidRPr="00E64F04" w:rsidRDefault="009E2484" w:rsidP="00E64F04">
                                                <w:pPr>
                                                  <w:pStyle w:val="Prrafodelista"/>
                                                  <w:numPr>
                                                    <w:ilvl w:val="0"/>
                                                    <w:numId w:val="795"/>
                                                  </w:numPr>
                                                  <w:ind w:left="284" w:hanging="284"/>
                                                  <w:jc w:val="center"/>
                                                  <w:rPr>
                                                    <w:sz w:val="20"/>
                                                    <w:szCs w:val="20"/>
                                                  </w:rPr>
                                                </w:pPr>
                                                <w:r w:rsidRPr="00E64F04">
                                                  <w:rPr>
                                                    <w:rFonts w:cs="Arial"/>
                                                    <w:sz w:val="20"/>
                                                    <w:szCs w:val="20"/>
                                                  </w:rPr>
                                                  <w:t>Determinación de impactos significativos</w:t>
                                                </w:r>
                                              </w:p>
                                              <w:p w14:paraId="5629971C" w14:textId="77777777" w:rsidR="009E2484" w:rsidRDefault="009E2484" w:rsidP="009E2484">
                                                <w:pPr>
                                                  <w:ind w:left="284" w:hanging="284"/>
                                                  <w:jc w:val="center"/>
                                                </w:pPr>
                                              </w:p>
                                              <w:p w14:paraId="1496F9AC" w14:textId="7856FE10" w:rsidR="009E2484" w:rsidRPr="00D272BE" w:rsidRDefault="009E2484" w:rsidP="009E2484">
                                                <w:pPr>
                                                  <w:pStyle w:val="Prrafodelista"/>
                                                  <w:numPr>
                                                    <w:ilvl w:val="0"/>
                                                    <w:numId w:val="786"/>
                                                  </w:numPr>
                                                  <w:ind w:left="284" w:hanging="284"/>
                                                  <w:jc w:val="center"/>
                                                  <w:rPr>
                                                    <w:sz w:val="18"/>
                                                    <w:szCs w:val="18"/>
                                                  </w:rPr>
                                                </w:pPr>
                                                <w:r w:rsidRPr="00CC4CBF">
                                                  <w:rPr>
                                                    <w:rFonts w:cs="Arial"/>
                                                    <w:sz w:val="18"/>
                                                    <w:szCs w:val="18"/>
                                                  </w:rPr>
                                                  <w:t>Normaliza</w:t>
                                                </w:r>
                                                <w:r>
                                                  <w:rPr>
                                                    <w:rFonts w:cs="Arial"/>
                                                    <w:sz w:val="18"/>
                                                    <w:szCs w:val="18"/>
                                                  </w:rPr>
                                                  <w:t>ción</w:t>
                                                </w:r>
                                                <w:r w:rsidR="00FD3EA9">
                                                  <w:rPr>
                                                    <w:rFonts w:cs="Arial"/>
                                                    <w:sz w:val="18"/>
                                                    <w:szCs w:val="18"/>
                                                  </w:rPr>
                                                  <w:t xml:space="preserve"> de resultados</w:t>
                                                </w:r>
                                              </w:p>
                                              <w:p w14:paraId="7EF4EF8E" w14:textId="77777777" w:rsidR="009E2484" w:rsidRDefault="009E2484" w:rsidP="009E2484">
                                                <w:pPr>
                                                  <w:pStyle w:val="Prrafodelista"/>
                                                  <w:ind w:left="284"/>
                                                  <w:rPr>
                                                    <w:rFonts w:cs="Arial"/>
                                                    <w:sz w:val="18"/>
                                                    <w:szCs w:val="18"/>
                                                  </w:rPr>
                                                </w:pPr>
                                              </w:p>
                                              <w:p w14:paraId="15972402" w14:textId="77777777" w:rsidR="009E2484" w:rsidRPr="00CC4CBF" w:rsidRDefault="009E2484" w:rsidP="009E2484">
                                                <w:pPr>
                                                  <w:pStyle w:val="Prrafodelista"/>
                                                  <w:ind w:left="284"/>
                                                  <w:rPr>
                                                    <w:sz w:val="18"/>
                                                    <w:szCs w:val="18"/>
                                                  </w:rPr>
                                                </w:pPr>
                                              </w:p>
                                              <w:p w14:paraId="624D194C" w14:textId="77777777" w:rsidR="009E2484" w:rsidRDefault="009E2484" w:rsidP="009E2484">
                                                <w:pPr>
                                                  <w:jc w:val="center"/>
                                                  <w:rPr>
                                                    <w:sz w:val="14"/>
                                                    <w:szCs w:val="14"/>
                                                  </w:rPr>
                                                </w:pPr>
                                              </w:p>
                                              <w:p w14:paraId="42D057C5" w14:textId="77777777" w:rsidR="009E2484" w:rsidRPr="006379CC" w:rsidRDefault="009E2484" w:rsidP="009E2484">
                                                <w:pPr>
                                                  <w:jc w:val="center"/>
                                                  <w:rPr>
                                                    <w:sz w:val="16"/>
                                                    <w:szCs w:val="16"/>
                                                  </w:rPr>
                                                </w:pPr>
                                                <w:r>
                                                  <w:rPr>
                                                    <w:sz w:val="14"/>
                                                    <w:szCs w:val="14"/>
                                                  </w:rPr>
                                                  <w:t>Aplica o</w:t>
                                                </w:r>
                                                <w:r w:rsidRPr="005D2A5A">
                                                  <w:rPr>
                                                    <w:sz w:val="14"/>
                                                    <w:szCs w:val="14"/>
                                                  </w:rPr>
                                                  <w:t xml:space="preserve">rientaciones </w:t>
                                                </w:r>
                                                <w:r>
                                                  <w:rPr>
                                                    <w:sz w:val="14"/>
                                                    <w:szCs w:val="14"/>
                                                  </w:rPr>
                                                  <w:t>numeral 7</w:t>
                                                </w:r>
                                                <w:r w:rsidRPr="005D2A5A">
                                                  <w:rPr>
                                                    <w:sz w:val="14"/>
                                                    <w:szCs w:val="14"/>
                                                  </w:rPr>
                                                  <w:t>.4.</w:t>
                                                </w:r>
                                                <w:r>
                                                  <w:rPr>
                                                    <w:sz w:val="14"/>
                                                    <w:szCs w:val="14"/>
                                                  </w:rPr>
                                                  <w:t>3</w:t>
                                                </w:r>
                                              </w:p>
                                            </w:txbxContent>
                                          </v:textbox>
                                        </v:rect>
                                        <v:rect id="Rectángulo 1" o:spid="_x0000_s1347" style="position:absolute;left:23397;top:41918;width:19787;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" filled="f" stroked="f" strokeweight="2pt">
                                          <v:textbox inset="1mm,0,1mm,0">
                                            <w:txbxContent>
                                              <w:p w14:paraId="4DC3EE44" w14:textId="5E5DBC56" w:rsidR="009E2484" w:rsidRPr="00D52D11" w:rsidRDefault="009E2484" w:rsidP="009E2484">
                                                <w:pPr>
                                                  <w:jc w:val="center"/>
                                                  <w:rPr>
                                                    <w:sz w:val="18"/>
                                                    <w:szCs w:val="18"/>
                                                  </w:rPr>
                                                </w:pPr>
                                                <w:r w:rsidRPr="00D52D11">
                                                  <w:rPr>
                                                    <w:rFonts w:cs="Arial"/>
                                                    <w:sz w:val="18"/>
                                                    <w:szCs w:val="18"/>
                                                  </w:rPr>
                                                  <w:t>Más rápido</w:t>
                                                </w:r>
                                                <w:r>
                                                  <w:rPr>
                                                    <w:rFonts w:cs="Arial"/>
                                                    <w:sz w:val="18"/>
                                                    <w:szCs w:val="18"/>
                                                  </w:rPr>
                                                  <w:t>.</w:t>
                                                </w:r>
                                                <w:r w:rsidRPr="00D52D11">
                                                  <w:rPr>
                                                    <w:rFonts w:cs="Arial"/>
                                                    <w:sz w:val="18"/>
                                                    <w:szCs w:val="18"/>
                                                  </w:rPr>
                                                  <w:t xml:space="preserve"> </w:t>
                                                </w:r>
                                                <w:r>
                                                  <w:rPr>
                                                    <w:rFonts w:cs="Arial"/>
                                                    <w:sz w:val="18"/>
                                                    <w:szCs w:val="18"/>
                                                  </w:rPr>
                                                  <w:t>N</w:t>
                                                </w:r>
                                                <w:r w:rsidRPr="00D52D11">
                                                  <w:rPr>
                                                    <w:rFonts w:cs="Arial"/>
                                                    <w:sz w:val="18"/>
                                                    <w:szCs w:val="18"/>
                                                  </w:rPr>
                                                  <w:t xml:space="preserve">o brinda información </w:t>
                                                </w:r>
                                                <w:r w:rsidR="001A085E">
                                                  <w:rPr>
                                                    <w:rFonts w:cs="Arial"/>
                                                    <w:sz w:val="18"/>
                                                    <w:szCs w:val="18"/>
                                                  </w:rPr>
                                                  <w:t xml:space="preserve">complementaria </w:t>
                                                </w:r>
                                                <w:r w:rsidRPr="00D52D11">
                                                  <w:rPr>
                                                    <w:rFonts w:cs="Arial"/>
                                                    <w:sz w:val="18"/>
                                                    <w:szCs w:val="18"/>
                                                  </w:rPr>
                                                  <w:t xml:space="preserve">para </w:t>
                                                </w:r>
                                                <w:r>
                                                  <w:rPr>
                                                    <w:rFonts w:cs="Arial"/>
                                                    <w:sz w:val="18"/>
                                                    <w:szCs w:val="18"/>
                                                  </w:rPr>
                                                  <w:t xml:space="preserve">el </w:t>
                                                </w:r>
                                                <w:r w:rsidRPr="00D52D11">
                                                  <w:rPr>
                                                    <w:rFonts w:cs="Arial"/>
                                                    <w:sz w:val="18"/>
                                                    <w:szCs w:val="18"/>
                                                  </w:rPr>
                                                  <w:t>PMA</w:t>
                                                </w:r>
                                              </w:p>
                                            </w:txbxContent>
                                          </v:textbox>
                                        </v:rect>
                                      </v:group>
                                      <v:rect id="Rectángulo 1" o:spid="_x0000_s1348" style="position:absolute;left:23397;top:6346;width:19788;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" filled="f" stroked="f" strokeweight="2pt">
                                        <v:textbox inset="1mm,1mm,1mm,1mm">
                                          <w:txbxContent>
                                            <w:p w14:paraId="70988E67" w14:textId="57A7FC19" w:rsidR="009E2484" w:rsidRPr="004C10A0" w:rsidRDefault="005000E4" w:rsidP="009E2484">
                                              <w:pPr>
                                                <w:jc w:val="center"/>
                                                <w:rPr>
                                                  <w:rFonts w:cs="Arial"/>
                                                  <w:b/>
                                                  <w:bCs/>
                                                  <w:sz w:val="22"/>
                                                  <w:szCs w:val="22"/>
                                                </w:rPr>
                                              </w:pPr>
                                              <w:r>
                                                <w:rPr>
                                                  <w:rFonts w:cs="Arial"/>
                                                  <w:b/>
                                                  <w:bCs/>
                                                  <w:sz w:val="22"/>
                                                  <w:szCs w:val="22"/>
                                                </w:rPr>
                                                <w:t>Modalidad</w:t>
                                              </w:r>
                                              <w:r w:rsidRPr="004C10A0">
                                                <w:rPr>
                                                  <w:rFonts w:cs="Arial"/>
                                                  <w:b/>
                                                  <w:bCs/>
                                                  <w:sz w:val="22"/>
                                                  <w:szCs w:val="22"/>
                                                </w:rPr>
                                                <w:t xml:space="preserve"> </w:t>
                                              </w:r>
                                              <w:r w:rsidR="009E2484" w:rsidRPr="004C10A0">
                                                <w:rPr>
                                                  <w:rFonts w:cs="Arial"/>
                                                  <w:b/>
                                                  <w:bCs/>
                                                  <w:sz w:val="22"/>
                                                  <w:szCs w:val="22"/>
                                                </w:rPr>
                                                <w:t>alternativ</w:t>
                                              </w:r>
                                              <w:r>
                                                <w:rPr>
                                                  <w:rFonts w:cs="Arial"/>
                                                  <w:b/>
                                                  <w:bCs/>
                                                  <w:sz w:val="22"/>
                                                  <w:szCs w:val="22"/>
                                                </w:rPr>
                                                <w:t>a</w:t>
                                              </w:r>
                                              <w:r w:rsidR="009E2484" w:rsidRPr="004C10A0">
                                                <w:rPr>
                                                  <w:rFonts w:cs="Arial"/>
                                                  <w:b/>
                                                  <w:bCs/>
                                                  <w:sz w:val="22"/>
                                                  <w:szCs w:val="22"/>
                                                </w:rPr>
                                                <w:t xml:space="preserve"> 2</w:t>
                                              </w:r>
                                            </w:p>
                                          </w:txbxContent>
                                        </v:textbox>
                                      </v:rect>
                                    </v:group>
                                    <v:rect id="Rectángulo 1" o:spid="_x0000_s1349" style="position:absolute;left:1371;top:4839;width:1979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" filled="f" stroked="f" strokeweight="2pt">
                                      <v:textbox inset="1mm,1mm,1mm,1mm">
                                        <w:txbxContent>
                                          <w:p w14:paraId="279BEE3F" w14:textId="4419D380" w:rsidR="009E2484" w:rsidRPr="004C10A0" w:rsidRDefault="005000E4" w:rsidP="009E2484">
                                            <w:pPr>
                                              <w:jc w:val="center"/>
                                              <w:rPr>
                                                <w:rFonts w:cs="Arial"/>
                                                <w:b/>
                                                <w:bCs/>
                                                <w:sz w:val="22"/>
                                                <w:szCs w:val="22"/>
                                              </w:rPr>
                                            </w:pPr>
                                            <w:r>
                                              <w:rPr>
                                                <w:rFonts w:cs="Arial"/>
                                                <w:b/>
                                                <w:bCs/>
                                                <w:sz w:val="22"/>
                                                <w:szCs w:val="22"/>
                                              </w:rPr>
                                              <w:t>Modalidad</w:t>
                                            </w:r>
                                            <w:r w:rsidRPr="004C10A0">
                                              <w:rPr>
                                                <w:rFonts w:cs="Arial"/>
                                                <w:b/>
                                                <w:bCs/>
                                                <w:sz w:val="22"/>
                                                <w:szCs w:val="22"/>
                                              </w:rPr>
                                              <w:t xml:space="preserve"> </w:t>
                                            </w:r>
                                            <w:r w:rsidR="009E2484" w:rsidRPr="004C10A0">
                                              <w:rPr>
                                                <w:rFonts w:cs="Arial"/>
                                                <w:b/>
                                                <w:bCs/>
                                                <w:sz w:val="22"/>
                                                <w:szCs w:val="22"/>
                                              </w:rPr>
                                              <w:t>alternativ</w:t>
                                            </w:r>
                                            <w:r>
                                              <w:rPr>
                                                <w:rFonts w:cs="Arial"/>
                                                <w:b/>
                                                <w:bCs/>
                                                <w:sz w:val="22"/>
                                                <w:szCs w:val="22"/>
                                              </w:rPr>
                                              <w:t>a</w:t>
                                            </w:r>
                                            <w:r w:rsidR="009E2484" w:rsidRPr="004C10A0">
                                              <w:rPr>
                                                <w:rFonts w:cs="Arial"/>
                                                <w:b/>
                                                <w:bCs/>
                                                <w:sz w:val="22"/>
                                                <w:szCs w:val="22"/>
                                              </w:rPr>
                                              <w:t xml:space="preserve"> 1</w:t>
                                            </w:r>
                                          </w:p>
                                        </w:txbxContent>
                                      </v:textbox>
                                    </v:rect>
                                  </v:group>
                                </v:group>
                              </v:group>
                              <v:shape id="Conector recto de flecha 8" o:spid="_x0000_s1350" type="#_x0000_t32" style="position:absolute;left:16742;top:18237;width:0;height:2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" strokecolor="black [3213]" strokeweight="1pt">
                                <v:stroke endarrow="block"/>
                              </v:shape>
                            </v:group>
                            <v:shape id="Conector recto de flecha 8" o:spid="_x0000_s1351" type="#_x0000_t32" style="position:absolute;left:56677;top:34681;width:0;height:2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" strokecolor="black [3213]" strokeweight="1pt">
                              <v:stroke endarrow="block"/>
                            </v:shape>
                          </v:group>
                          <v:shape id="Conector recto de flecha 8" o:spid="_x0000_s1352" type="#_x0000_t32" style="position:absolute;left:29352;top:34703;width:1;height: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" strokecolor="black [3213]" strokeweight="1pt">
                            <v:stroke endarrow="block"/>
                          </v:shape>
                        </v:group>
                        <v:shape id="Conector recto de flecha 8" o:spid="_x0000_s1353" type="#_x0000_t32" style="position:absolute;left:56675;top:19286;width:2;height:2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" strokecolor="black [3213]" strokeweight="1pt">
                          <v:stroke endarrow="block"/>
                        </v:shape>
                      </v:group>
                      <v:rect id="Rectángulo 1" o:spid="_x0000_s1354" style="position:absolute;left:13868;top:-3145;width:27360;height:6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" filled="f" stroked="f" strokeweight="2pt">
                        <v:textbox inset="1mm,1mm,1mm,1mm">
                          <w:txbxContent>
                            <w:p w14:paraId="06AB3C74" w14:textId="1C00AA81" w:rsidR="00D74029" w:rsidRDefault="00EB4109" w:rsidP="00467AB9">
                              <w:pPr>
                                <w:jc w:val="center"/>
                                <w:rPr>
                                  <w:b/>
                                  <w:bCs/>
                                </w:rPr>
                              </w:pPr>
                              <w:r>
                                <w:rPr>
                                  <w:rFonts w:cs="Arial"/>
                                  <w:b/>
                                  <w:bCs/>
                                </w:rPr>
                                <w:t xml:space="preserve">2. </w:t>
                              </w:r>
                              <w:r w:rsidR="00467AB9" w:rsidRPr="00E64F04">
                                <w:rPr>
                                  <w:rFonts w:cs="Arial"/>
                                  <w:b/>
                                  <w:bCs/>
                                </w:rPr>
                                <w:t>Determinación y valoración de</w:t>
                              </w:r>
                              <w:r w:rsidR="00816BB4">
                                <w:rPr>
                                  <w:rFonts w:cs="Arial"/>
                                  <w:b/>
                                  <w:bCs/>
                                </w:rPr>
                                <w:t xml:space="preserve"> </w:t>
                              </w:r>
                              <w:r w:rsidR="00467AB9" w:rsidRPr="00E64F04">
                                <w:rPr>
                                  <w:rFonts w:cs="Arial"/>
                                  <w:b/>
                                  <w:bCs/>
                                </w:rPr>
                                <w:t>impactos</w:t>
                              </w:r>
                              <w:r w:rsidR="0015220E">
                                <w:rPr>
                                  <w:rFonts w:cs="Arial"/>
                                  <w:b/>
                                  <w:bCs/>
                                </w:rPr>
                                <w:t xml:space="preserve"> </w:t>
                              </w:r>
                              <w:r w:rsidR="00467AB9" w:rsidRPr="00E64F04">
                                <w:rPr>
                                  <w:rFonts w:cs="Arial"/>
                                  <w:b/>
                                  <w:bCs/>
                                </w:rPr>
                                <w:t>en el escenario con</w:t>
                              </w:r>
                              <w:r w:rsidR="00816BB4">
                                <w:rPr>
                                  <w:rFonts w:cs="Arial"/>
                                  <w:b/>
                                  <w:bCs/>
                                </w:rPr>
                                <w:t xml:space="preserve"> </w:t>
                              </w:r>
                              <w:r w:rsidR="00467AB9" w:rsidRPr="00E64F04">
                                <w:rPr>
                                  <w:rFonts w:cs="Arial"/>
                                  <w:b/>
                                  <w:bCs/>
                                </w:rPr>
                                <w:t>proyecto</w:t>
                              </w:r>
                            </w:p>
                            <w:p w14:paraId="310F7A60" w14:textId="77777777" w:rsidR="00F11098" w:rsidRDefault="00F11098" w:rsidP="00467AB9">
                              <w:pPr>
                                <w:jc w:val="center"/>
                                <w:rPr>
                                  <w:b/>
                                  <w:bCs/>
                                </w:rPr>
                              </w:pPr>
                            </w:p>
                            <w:p w14:paraId="69CDBBD0" w14:textId="77777777" w:rsidR="00F11098" w:rsidRPr="00E64F04" w:rsidRDefault="00F11098" w:rsidP="00467AB9">
                              <w:pPr>
                                <w:jc w:val="center"/>
                                <w:rPr>
                                  <w:b/>
                                  <w:bCs/>
                                </w:rPr>
                              </w:pPr>
                            </w:p>
                          </w:txbxContent>
                        </v:textbox>
                      </v:rect>
                    </v:group>
                    <v:group id="Grupo 414" o:spid="_x0000_s1355" style="position:absolute;top:-152;width:27368;height:51963" coordorigin=",-152" coordsize="27368,5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">
                      <v:rect id="Rectángulo 1" o:spid="_x0000_s1356" style="position:absolute;top:-152;width:27368;height:6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" filled="f" stroked="f" strokeweight="2pt">
                        <v:textbox inset="1mm,1mm,1mm,1mm">
                          <w:txbxContent>
                            <w:p w14:paraId="6172B50F" w14:textId="43B4D83C" w:rsidR="00467AB9" w:rsidRPr="00E64F04" w:rsidRDefault="002F71AC" w:rsidP="00467AB9">
                              <w:pPr>
                                <w:jc w:val="center"/>
                                <w:rPr>
                                  <w:b/>
                                  <w:bCs/>
                                </w:rPr>
                              </w:pPr>
                              <w:r>
                                <w:rPr>
                                  <w:rFonts w:cs="Arial"/>
                                  <w:b/>
                                  <w:bCs/>
                                </w:rPr>
                                <w:t xml:space="preserve">1. </w:t>
                              </w:r>
                              <w:r w:rsidR="00467AB9" w:rsidRPr="00E64F04">
                                <w:rPr>
                                  <w:rFonts w:cs="Arial"/>
                                  <w:b/>
                                  <w:bCs/>
                                </w:rPr>
                                <w:t xml:space="preserve">Determinación y valoración de impactos en el escenario </w:t>
                              </w:r>
                              <w:r w:rsidR="00467AB9">
                                <w:rPr>
                                  <w:rFonts w:cs="Arial"/>
                                  <w:b/>
                                  <w:bCs/>
                                </w:rPr>
                                <w:t xml:space="preserve">sin </w:t>
                              </w:r>
                              <w:r w:rsidR="00467AB9" w:rsidRPr="00E64F04">
                                <w:rPr>
                                  <w:rFonts w:cs="Arial"/>
                                  <w:b/>
                                  <w:bCs/>
                                </w:rPr>
                                <w:t>proyecto</w:t>
                              </w:r>
                            </w:p>
                          </w:txbxContent>
                        </v:textbox>
                      </v:rect>
                      <v:group id="Grupo 413" o:spid="_x0000_s1357" style="position:absolute;top:6096;width:27359;height:45715" coordsize="27359,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">
                        <v:rect id="Rectángulo 1" o:spid="_x0000_s1358" style="position:absolute;width:27359;height:4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" fillcolor="#f2f2f2 [3052]" strokecolor="black [3213]" strokeweight="2pt">
                          <v:textbox inset="1mm,1mm,1mm,1mm">
                            <w:txbxContent>
                              <w:p w14:paraId="534FCEF7" w14:textId="77777777" w:rsidR="00350913" w:rsidRPr="00EE74CA" w:rsidRDefault="00350913" w:rsidP="00350913">
                                <w:pPr>
                                  <w:rPr>
                                    <w:sz w:val="20"/>
                                    <w:szCs w:val="20"/>
                                  </w:rPr>
                                </w:pPr>
                              </w:p>
                            </w:txbxContent>
                          </v:textbox>
                        </v:rect>
                        <v:rect id="Rectángulo 1" o:spid="_x0000_s1359" style="position:absolute;left:1371;top:40538;width:24567;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" filled="f" stroked="f" strokeweight="2pt">
                          <v:textbox inset="1mm,0,1mm,0">
                            <w:txbxContent>
                              <w:p w14:paraId="6101A7BE" w14:textId="4F405B95" w:rsidR="00C62EDC" w:rsidRPr="00D52D11" w:rsidRDefault="00C62EDC" w:rsidP="00C62EDC">
                                <w:pPr>
                                  <w:jc w:val="center"/>
                                  <w:rPr>
                                    <w:sz w:val="18"/>
                                    <w:szCs w:val="18"/>
                                  </w:rPr>
                                </w:pPr>
                                <w:r>
                                  <w:rPr>
                                    <w:rFonts w:cs="Arial"/>
                                    <w:sz w:val="18"/>
                                    <w:szCs w:val="18"/>
                                  </w:rPr>
                                  <w:t xml:space="preserve">Establece en nivel de referencia para </w:t>
                                </w:r>
                                <w:r w:rsidR="00CE16E8">
                                  <w:rPr>
                                    <w:rFonts w:cs="Arial"/>
                                    <w:sz w:val="18"/>
                                    <w:szCs w:val="18"/>
                                  </w:rPr>
                                  <w:t>comparar y establecer impactos del proyecto</w:t>
                                </w:r>
                              </w:p>
                            </w:txbxContent>
                          </v:textbox>
                        </v:rect>
                        <v:group id="_x0000_s1360" style="position:absolute;left:1676;top:762;width:24566;height:12047" coordsize="24566,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">
                          <v:rect id="Rectángulo 1" o:spid="_x0000_s1361" style="position:absolute;top:3048;width:24551;height:8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" filled="f" strokecolor="black [3213]" strokeweight="2pt">
                            <v:textbox inset="1mm,1mm,1mm,1mm">
                              <w:txbxContent>
                                <w:p w14:paraId="4C3D841A" w14:textId="023E0922" w:rsidR="00D74029" w:rsidRPr="00E64F04" w:rsidRDefault="00D74029" w:rsidP="00E64F04">
                                  <w:pPr>
                                    <w:pStyle w:val="Prrafodelista"/>
                                    <w:numPr>
                                      <w:ilvl w:val="0"/>
                                      <w:numId w:val="792"/>
                                    </w:numPr>
                                    <w:ind w:left="284" w:hanging="284"/>
                                    <w:jc w:val="center"/>
                                    <w:rPr>
                                      <w:rFonts w:cs="Arial"/>
                                      <w:sz w:val="20"/>
                                      <w:szCs w:val="20"/>
                                    </w:rPr>
                                  </w:pPr>
                                  <w:r w:rsidRPr="00E64F04">
                                    <w:rPr>
                                      <w:rFonts w:cs="Arial"/>
                                      <w:sz w:val="20"/>
                                      <w:szCs w:val="20"/>
                                    </w:rPr>
                                    <w:t>Determinación y valoración</w:t>
                                  </w:r>
                                </w:p>
                                <w:p w14:paraId="6F01C6EA" w14:textId="77777777" w:rsidR="00D74029" w:rsidRDefault="00D74029" w:rsidP="008F2144">
                                  <w:pPr>
                                    <w:jc w:val="center"/>
                                    <w:rPr>
                                      <w:rFonts w:cs="Arial"/>
                                      <w:sz w:val="20"/>
                                      <w:szCs w:val="20"/>
                                    </w:rPr>
                                  </w:pPr>
                                </w:p>
                                <w:p w14:paraId="3238E74F" w14:textId="53B68CBC" w:rsidR="00D74029" w:rsidRPr="00E24DF7" w:rsidRDefault="00D74029" w:rsidP="008F2144">
                                  <w:pPr>
                                    <w:jc w:val="center"/>
                                    <w:rPr>
                                      <w:rFonts w:cs="Arial"/>
                                      <w:sz w:val="18"/>
                                      <w:szCs w:val="18"/>
                                    </w:rPr>
                                  </w:pPr>
                                  <w:r w:rsidRPr="00E24DF7">
                                    <w:rPr>
                                      <w:rFonts w:cs="Arial"/>
                                      <w:sz w:val="18"/>
                                      <w:szCs w:val="18"/>
                                    </w:rPr>
                                    <w:t xml:space="preserve">Método </w:t>
                                  </w:r>
                                  <w:r w:rsidR="00235F0B">
                                    <w:rPr>
                                      <w:rFonts w:cs="Arial"/>
                                      <w:sz w:val="18"/>
                                      <w:szCs w:val="18"/>
                                    </w:rPr>
                                    <w:t>empleado para el escenario con proyecto</w:t>
                                  </w:r>
                                </w:p>
                                <w:p w14:paraId="4C0E958B" w14:textId="77777777" w:rsidR="00D74029" w:rsidRDefault="00D74029" w:rsidP="00E64F04">
                                  <w:pPr>
                                    <w:jc w:val="center"/>
                                    <w:rPr>
                                      <w:sz w:val="14"/>
                                      <w:szCs w:val="14"/>
                                    </w:rPr>
                                  </w:pPr>
                                </w:p>
                                <w:p w14:paraId="1E1676FA" w14:textId="1CCD6019" w:rsidR="00D74029" w:rsidRPr="008E07AC" w:rsidRDefault="00D74029" w:rsidP="008F2144">
                                  <w:pPr>
                                    <w:jc w:val="center"/>
                                    <w:rPr>
                                      <w:sz w:val="16"/>
                                      <w:szCs w:val="16"/>
                                    </w:rPr>
                                  </w:pPr>
                                  <w:r>
                                    <w:rPr>
                                      <w:sz w:val="14"/>
                                      <w:szCs w:val="14"/>
                                    </w:rPr>
                                    <w:t>Aplica o</w:t>
                                  </w:r>
                                  <w:r w:rsidRPr="005D2A5A">
                                    <w:rPr>
                                      <w:sz w:val="14"/>
                                      <w:szCs w:val="14"/>
                                    </w:rPr>
                                    <w:t xml:space="preserve">rientaciones </w:t>
                                  </w:r>
                                  <w:r>
                                    <w:rPr>
                                      <w:sz w:val="14"/>
                                      <w:szCs w:val="14"/>
                                    </w:rPr>
                                    <w:t xml:space="preserve">numerales </w:t>
                                  </w:r>
                                  <w:r w:rsidRPr="005D2A5A">
                                    <w:rPr>
                                      <w:sz w:val="14"/>
                                      <w:szCs w:val="14"/>
                                    </w:rPr>
                                    <w:t>7.2, 7.</w:t>
                                  </w:r>
                                  <w:r>
                                    <w:rPr>
                                      <w:sz w:val="14"/>
                                      <w:szCs w:val="14"/>
                                    </w:rPr>
                                    <w:t>3 y 7.5</w:t>
                                  </w:r>
                                </w:p>
                              </w:txbxContent>
                            </v:textbox>
                          </v:rect>
                          <v:rect id="Rectángulo 1" o:spid="_x0000_s1362" style="position:absolute;width:24566;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" filled="f" stroked="f" strokeweight="2pt">
                            <v:textbox inset="1mm,1mm,1mm,1mm">
                              <w:txbxContent>
                                <w:p w14:paraId="340D988A" w14:textId="3E75A621" w:rsidR="00543970" w:rsidRPr="004C10A0" w:rsidRDefault="00543970" w:rsidP="00543970">
                                  <w:pPr>
                                    <w:jc w:val="center"/>
                                    <w:rPr>
                                      <w:rFonts w:cs="Arial"/>
                                      <w:b/>
                                      <w:bCs/>
                                      <w:sz w:val="22"/>
                                      <w:szCs w:val="22"/>
                                    </w:rPr>
                                  </w:pPr>
                                </w:p>
                              </w:txbxContent>
                            </v:textbox>
                          </v:rect>
                        </v:group>
                      </v:group>
                    </v:group>
                  </v:group>
                </v:group>
              </v:group>
            </w:pict>
          </mc:Fallback>
        </mc:AlternateContent>
      </w:r>
      <w:r w:rsidR="009E2484">
        <w:t xml:space="preserve">Figura </w:t>
      </w:r>
      <w:fldSimple w:instr=" SEQ Figura \* ARABIC ">
        <w:r w:rsidR="009C4A81">
          <w:rPr>
            <w:noProof/>
          </w:rPr>
          <w:t>16</w:t>
        </w:r>
      </w:fldSimple>
      <w:bookmarkEnd w:id="3231"/>
      <w:r w:rsidR="009E2484" w:rsidRPr="004647AE">
        <w:t>.</w:t>
      </w:r>
      <w:r w:rsidR="009E2484" w:rsidRPr="00881EA0">
        <w:rPr>
          <w:b w:val="0"/>
          <w:bCs w:val="0"/>
        </w:rPr>
        <w:t xml:space="preserve"> Procedimiento </w:t>
      </w:r>
      <w:r w:rsidR="00986B4C">
        <w:rPr>
          <w:b w:val="0"/>
          <w:bCs w:val="0"/>
        </w:rPr>
        <w:t xml:space="preserve">general para </w:t>
      </w:r>
      <w:r w:rsidR="009E2484" w:rsidRPr="00881EA0">
        <w:rPr>
          <w:b w:val="0"/>
          <w:bCs w:val="0"/>
        </w:rPr>
        <w:t xml:space="preserve">la </w:t>
      </w:r>
      <w:r w:rsidR="00986B4C">
        <w:rPr>
          <w:b w:val="0"/>
          <w:bCs w:val="0"/>
        </w:rPr>
        <w:t>evaluación ambiental</w:t>
      </w:r>
    </w:p>
    <w:p w14:paraId="72902090" w14:textId="77777777" w:rsidR="00D80C83" w:rsidRDefault="00D80C83" w:rsidP="00F55C4B">
      <w:pPr>
        <w:tabs>
          <w:tab w:val="left" w:pos="-2268"/>
        </w:tabs>
        <w:suppressAutoHyphens/>
        <w:rPr>
          <w:rFonts w:cs="Arial"/>
          <w:spacing w:val="-3"/>
        </w:rPr>
        <w:sectPr w:rsidR="00D80C83" w:rsidSect="00E64F04">
          <w:pgSz w:w="15842" w:h="12242" w:orient="landscape" w:code="1"/>
          <w:pgMar w:top="1701" w:right="2268" w:bottom="1134" w:left="1701" w:header="1134" w:footer="850" w:gutter="0"/>
          <w:cols w:space="720"/>
          <w:docGrid w:linePitch="326"/>
        </w:sectPr>
      </w:pPr>
    </w:p>
    <w:p w14:paraId="2143639C" w14:textId="77777777" w:rsidR="00F046B4" w:rsidRDefault="00F046B4" w:rsidP="00F046B4">
      <w:pPr>
        <w:numPr>
          <w:ilvl w:val="12"/>
          <w:numId w:val="0"/>
        </w:numPr>
        <w:tabs>
          <w:tab w:val="left" w:pos="-2268"/>
        </w:tabs>
        <w:suppressAutoHyphens/>
        <w:rPr>
          <w:rFonts w:cs="Arial"/>
          <w:spacing w:val="-3"/>
        </w:rPr>
      </w:pPr>
    </w:p>
    <w:p w14:paraId="31512B71" w14:textId="77777777" w:rsidR="00F046B4" w:rsidRPr="00E64F04" w:rsidRDefault="00F046B4" w:rsidP="00F046B4">
      <w:pPr>
        <w:pStyle w:val="Ttulo3"/>
      </w:pPr>
      <w:bookmarkStart w:id="3232" w:name="_Ref230679977"/>
      <w:bookmarkStart w:id="3233" w:name="_Toc230879690"/>
      <w:r w:rsidRPr="00E64F04">
        <w:t>Determinación y valoración de los impactos ambientales para el escenario sin proyecto.</w:t>
      </w:r>
      <w:bookmarkEnd w:id="3232"/>
      <w:bookmarkEnd w:id="3233"/>
    </w:p>
    <w:p w14:paraId="11FC6ABD" w14:textId="77777777" w:rsidR="00F046B4" w:rsidRDefault="00F046B4" w:rsidP="00F046B4">
      <w:pPr>
        <w:contextualSpacing/>
        <w:rPr>
          <w:rFonts w:cs="Arial"/>
        </w:rPr>
      </w:pPr>
    </w:p>
    <w:p w14:paraId="1B97A297" w14:textId="77777777" w:rsidR="00F046B4" w:rsidRPr="00581A37" w:rsidRDefault="00F046B4" w:rsidP="00F046B4">
      <w:pPr>
        <w:contextualSpacing/>
        <w:rPr>
          <w:rFonts w:cs="Arial"/>
        </w:rPr>
      </w:pPr>
      <w:r>
        <w:rPr>
          <w:rFonts w:cs="Arial"/>
        </w:rPr>
        <w:t>Esta es la primera acción del procedimiento de la evaluación ambiental, debe emplear el mismo método que se utilice para desarrollar la evaluación del escenario con proyecto y, p</w:t>
      </w:r>
      <w:r w:rsidRPr="00581A37">
        <w:rPr>
          <w:rFonts w:cs="Arial"/>
        </w:rPr>
        <w:t>ara desarrollar</w:t>
      </w:r>
      <w:r>
        <w:rPr>
          <w:rFonts w:cs="Arial"/>
        </w:rPr>
        <w:t xml:space="preserve">la, se deben atender </w:t>
      </w:r>
      <w:r w:rsidRPr="00581A37">
        <w:rPr>
          <w:rFonts w:cs="Arial"/>
        </w:rPr>
        <w:t>las orientaciones</w:t>
      </w:r>
      <w:r>
        <w:rPr>
          <w:rFonts w:cs="Arial"/>
        </w:rPr>
        <w:t xml:space="preserve"> señaladas en l</w:t>
      </w:r>
      <w:r w:rsidRPr="00581A37">
        <w:rPr>
          <w:rFonts w:cs="Arial"/>
        </w:rPr>
        <w:t>os siguientes numerales:</w:t>
      </w:r>
    </w:p>
    <w:p w14:paraId="23452ABD" w14:textId="77777777" w:rsidR="00F046B4" w:rsidRPr="00C8001D" w:rsidRDefault="00F046B4" w:rsidP="00F046B4">
      <w:pPr>
        <w:contextualSpacing/>
        <w:rPr>
          <w:rFonts w:cs="Arial"/>
        </w:rPr>
      </w:pPr>
    </w:p>
    <w:p w14:paraId="2F854AC2" w14:textId="77777777" w:rsidR="00F046B4" w:rsidRDefault="00F046B4" w:rsidP="00F046B4">
      <w:pPr>
        <w:pStyle w:val="Prrafodelista"/>
        <w:numPr>
          <w:ilvl w:val="0"/>
          <w:numId w:val="18"/>
        </w:numPr>
        <w:ind w:left="567" w:hanging="567"/>
        <w:contextualSpacing/>
        <w:rPr>
          <w:rFonts w:cs="Arial"/>
          <w:lang w:val="es-CO"/>
        </w:rPr>
      </w:pPr>
      <w:r>
        <w:rPr>
          <w:rFonts w:cs="Arial"/>
          <w:lang w:val="es-CO"/>
        </w:rPr>
        <w:t>N</w:t>
      </w:r>
      <w:r w:rsidRPr="00127BD4">
        <w:rPr>
          <w:rFonts w:cs="Arial"/>
          <w:lang w:val="es-CO"/>
        </w:rPr>
        <w:t xml:space="preserve">umeral </w:t>
      </w:r>
      <w:r>
        <w:rPr>
          <w:rFonts w:cs="Arial"/>
          <w:lang w:val="es-CO"/>
        </w:rPr>
        <w:fldChar w:fldCharType="begin"/>
      </w:r>
      <w:r>
        <w:rPr>
          <w:rFonts w:cs="Arial"/>
          <w:lang w:val="es-CO"/>
        </w:rPr>
        <w:instrText xml:space="preserve"> REF _Ref136953274 \r \h  \* MERGEFORMAT </w:instrText>
      </w:r>
      <w:r>
        <w:rPr>
          <w:rFonts w:cs="Arial"/>
          <w:lang w:val="es-CO"/>
        </w:rPr>
      </w:r>
      <w:r>
        <w:rPr>
          <w:rFonts w:cs="Arial"/>
          <w:lang w:val="es-CO"/>
        </w:rPr>
        <w:fldChar w:fldCharType="separate"/>
      </w:r>
      <w:r>
        <w:rPr>
          <w:rFonts w:cs="Arial"/>
          <w:lang w:val="es-CO"/>
        </w:rPr>
        <w:t>7.2</w:t>
      </w:r>
      <w:r>
        <w:rPr>
          <w:rFonts w:cs="Arial"/>
          <w:lang w:val="es-CO"/>
        </w:rPr>
        <w:fldChar w:fldCharType="end"/>
      </w:r>
      <w:r>
        <w:rPr>
          <w:rFonts w:cs="Arial"/>
          <w:lang w:val="es-CO"/>
        </w:rPr>
        <w:t>. Orientaciones g</w:t>
      </w:r>
      <w:r w:rsidRPr="00127BD4">
        <w:rPr>
          <w:rFonts w:cs="Arial"/>
          <w:lang w:val="es-CO"/>
        </w:rPr>
        <w:t xml:space="preserve">enerales </w:t>
      </w:r>
      <w:r>
        <w:rPr>
          <w:rFonts w:cs="Arial"/>
          <w:lang w:val="es-CO"/>
        </w:rPr>
        <w:t>para la evaluación ambiental;</w:t>
      </w:r>
    </w:p>
    <w:p w14:paraId="2791D3DD" w14:textId="77777777" w:rsidR="00F046B4" w:rsidRPr="00C8001D" w:rsidRDefault="00F046B4" w:rsidP="00F046B4">
      <w:pPr>
        <w:ind w:left="567"/>
        <w:contextualSpacing/>
        <w:rPr>
          <w:rFonts w:cs="Arial"/>
        </w:rPr>
      </w:pPr>
    </w:p>
    <w:p w14:paraId="20798188" w14:textId="77777777" w:rsidR="00F046B4" w:rsidRDefault="00F046B4" w:rsidP="00F046B4">
      <w:pPr>
        <w:pStyle w:val="Prrafodelista"/>
        <w:numPr>
          <w:ilvl w:val="0"/>
          <w:numId w:val="18"/>
        </w:numPr>
        <w:ind w:left="567" w:hanging="567"/>
        <w:contextualSpacing/>
        <w:rPr>
          <w:rFonts w:cs="Arial"/>
          <w:lang w:val="es-CO"/>
        </w:rPr>
      </w:pPr>
      <w:r>
        <w:rPr>
          <w:rFonts w:cs="Arial"/>
          <w:lang w:val="es-CO"/>
        </w:rPr>
        <w:t>N</w:t>
      </w:r>
      <w:r w:rsidRPr="00127BD4">
        <w:rPr>
          <w:rFonts w:cs="Arial"/>
          <w:lang w:val="es-CO"/>
        </w:rPr>
        <w:t xml:space="preserve">umeral </w:t>
      </w:r>
      <w:r w:rsidRPr="00127BD4">
        <w:rPr>
          <w:rFonts w:cs="Arial"/>
          <w:lang w:val="es-CO"/>
        </w:rPr>
        <w:fldChar w:fldCharType="begin"/>
      </w:r>
      <w:r w:rsidRPr="00CD4321">
        <w:rPr>
          <w:rFonts w:cs="Arial"/>
          <w:lang w:val="es-CO"/>
        </w:rPr>
        <w:instrText xml:space="preserve"> REF _Ref192235529 \r \h </w:instrText>
      </w:r>
      <w:r>
        <w:rPr>
          <w:rFonts w:cs="Arial"/>
          <w:lang w:val="es-CO"/>
        </w:rPr>
        <w:instrText xml:space="preserve"> \* MERGEFORMAT </w:instrText>
      </w:r>
      <w:r w:rsidRPr="00127BD4">
        <w:rPr>
          <w:rFonts w:cs="Arial"/>
          <w:lang w:val="es-CO"/>
        </w:rPr>
      </w:r>
      <w:r w:rsidRPr="00127BD4">
        <w:rPr>
          <w:rFonts w:cs="Arial"/>
          <w:lang w:val="es-CO"/>
        </w:rPr>
        <w:fldChar w:fldCharType="separate"/>
      </w:r>
      <w:r>
        <w:rPr>
          <w:rFonts w:cs="Arial"/>
          <w:lang w:val="es-CO"/>
        </w:rPr>
        <w:t>7.3</w:t>
      </w:r>
      <w:r w:rsidRPr="00127BD4">
        <w:rPr>
          <w:rFonts w:cs="Arial"/>
          <w:lang w:val="es-CO"/>
        </w:rPr>
        <w:fldChar w:fldCharType="end"/>
      </w:r>
      <w:r>
        <w:rPr>
          <w:rFonts w:cs="Arial"/>
          <w:lang w:val="es-CO"/>
        </w:rPr>
        <w:t>. Orientaciones e</w:t>
      </w:r>
      <w:r w:rsidRPr="00127BD4">
        <w:rPr>
          <w:rFonts w:cs="Arial"/>
          <w:lang w:val="es-CO"/>
        </w:rPr>
        <w:t>specíficas para el escenario sin proyecto</w:t>
      </w:r>
      <w:r>
        <w:rPr>
          <w:rFonts w:cs="Arial"/>
          <w:lang w:val="es-CO"/>
        </w:rPr>
        <w:t>;</w:t>
      </w:r>
    </w:p>
    <w:p w14:paraId="706AF361" w14:textId="77777777" w:rsidR="00F046B4" w:rsidRPr="00C8001D" w:rsidRDefault="00F046B4" w:rsidP="00F046B4">
      <w:pPr>
        <w:ind w:left="567"/>
        <w:contextualSpacing/>
        <w:rPr>
          <w:rFonts w:cs="Arial"/>
        </w:rPr>
      </w:pPr>
    </w:p>
    <w:p w14:paraId="5207BA30" w14:textId="77777777" w:rsidR="00F046B4" w:rsidRPr="004854EF" w:rsidRDefault="00F046B4" w:rsidP="00F046B4">
      <w:pPr>
        <w:pStyle w:val="Prrafodelista"/>
        <w:numPr>
          <w:ilvl w:val="0"/>
          <w:numId w:val="18"/>
        </w:numPr>
        <w:ind w:left="567" w:hanging="567"/>
        <w:contextualSpacing/>
        <w:rPr>
          <w:rFonts w:cs="Arial"/>
          <w:lang w:val="es-CO"/>
        </w:rPr>
      </w:pPr>
      <w:r>
        <w:rPr>
          <w:rFonts w:cs="Arial"/>
          <w:lang w:val="es-CO"/>
        </w:rPr>
        <w:t>N</w:t>
      </w:r>
      <w:r w:rsidRPr="00127BD4">
        <w:rPr>
          <w:rFonts w:cs="Arial"/>
          <w:lang w:val="es-CO"/>
        </w:rPr>
        <w:t xml:space="preserve">umeral </w:t>
      </w:r>
      <w:r w:rsidRPr="00127BD4">
        <w:rPr>
          <w:rFonts w:cs="Arial"/>
          <w:lang w:val="es-CO"/>
        </w:rPr>
        <w:fldChar w:fldCharType="begin"/>
      </w:r>
      <w:r w:rsidRPr="00CD4321">
        <w:rPr>
          <w:rFonts w:cs="Arial"/>
          <w:lang w:val="es-CO"/>
        </w:rPr>
        <w:instrText xml:space="preserve"> REF _Ref79430805 \r \h </w:instrText>
      </w:r>
      <w:r>
        <w:rPr>
          <w:rFonts w:cs="Arial"/>
          <w:lang w:val="es-CO"/>
        </w:rPr>
        <w:instrText xml:space="preserve"> \* MERGEFORMAT </w:instrText>
      </w:r>
      <w:r w:rsidRPr="00127BD4">
        <w:rPr>
          <w:rFonts w:cs="Arial"/>
          <w:lang w:val="es-CO"/>
        </w:rPr>
      </w:r>
      <w:r w:rsidRPr="00127BD4">
        <w:rPr>
          <w:rFonts w:cs="Arial"/>
          <w:lang w:val="es-CO"/>
        </w:rPr>
        <w:fldChar w:fldCharType="separate"/>
      </w:r>
      <w:r>
        <w:rPr>
          <w:rFonts w:cs="Arial"/>
          <w:lang w:val="es-CO"/>
        </w:rPr>
        <w:t>7.5</w:t>
      </w:r>
      <w:r w:rsidRPr="00127BD4">
        <w:rPr>
          <w:rFonts w:cs="Arial"/>
          <w:lang w:val="es-CO"/>
        </w:rPr>
        <w:fldChar w:fldCharType="end"/>
      </w:r>
      <w:r>
        <w:rPr>
          <w:rFonts w:cs="Arial"/>
          <w:lang w:val="es-CO"/>
        </w:rPr>
        <w:t>. Orientaciones s</w:t>
      </w:r>
      <w:r w:rsidRPr="00127BD4">
        <w:rPr>
          <w:rFonts w:cs="Arial"/>
          <w:lang w:val="es-CO"/>
        </w:rPr>
        <w:t>obre escenarios prospectivos</w:t>
      </w:r>
      <w:r>
        <w:rPr>
          <w:rFonts w:cs="Arial"/>
          <w:lang w:val="es-CO"/>
        </w:rPr>
        <w:t xml:space="preserve">, cuando </w:t>
      </w:r>
      <w:r w:rsidRPr="00127BD4">
        <w:rPr>
          <w:rFonts w:cs="Arial"/>
          <w:lang w:val="es-CO"/>
        </w:rPr>
        <w:t>sean aplicables</w:t>
      </w:r>
      <w:r>
        <w:rPr>
          <w:rFonts w:cs="Arial"/>
          <w:lang w:val="es-CO"/>
        </w:rPr>
        <w:t>.</w:t>
      </w:r>
    </w:p>
    <w:p w14:paraId="0D7E9749" w14:textId="77777777" w:rsidR="00F046B4" w:rsidRDefault="00F046B4" w:rsidP="00F046B4">
      <w:pPr>
        <w:numPr>
          <w:ilvl w:val="12"/>
          <w:numId w:val="0"/>
        </w:numPr>
        <w:tabs>
          <w:tab w:val="left" w:pos="-2268"/>
        </w:tabs>
        <w:suppressAutoHyphens/>
        <w:rPr>
          <w:rFonts w:cs="Arial"/>
          <w:spacing w:val="-3"/>
          <w:lang w:val="es-ES_tradnl"/>
        </w:rPr>
      </w:pPr>
    </w:p>
    <w:p w14:paraId="4C7E88CF" w14:textId="77777777" w:rsidR="00F046B4" w:rsidRPr="004854EF" w:rsidRDefault="00F046B4" w:rsidP="00F046B4">
      <w:pPr>
        <w:pStyle w:val="Ttulo3"/>
      </w:pPr>
      <w:bookmarkStart w:id="3234" w:name="_Ref230679980"/>
      <w:bookmarkStart w:id="3235" w:name="_Toc230879691"/>
      <w:r w:rsidRPr="00E64F04">
        <w:t>Determinación y valoración de los impactos ambientales para el escenario con proyecto.</w:t>
      </w:r>
      <w:bookmarkEnd w:id="3234"/>
      <w:bookmarkEnd w:id="3235"/>
    </w:p>
    <w:p w14:paraId="2D535D5E" w14:textId="77777777" w:rsidR="00F046B4" w:rsidRPr="00A25BBB" w:rsidRDefault="00F046B4" w:rsidP="00F046B4">
      <w:pPr>
        <w:contextualSpacing/>
        <w:rPr>
          <w:rFonts w:cs="Arial"/>
        </w:rPr>
      </w:pPr>
    </w:p>
    <w:p w14:paraId="7231B5C3" w14:textId="77777777" w:rsidR="00F046B4" w:rsidRPr="006F4758" w:rsidRDefault="00F046B4" w:rsidP="00F046B4">
      <w:pPr>
        <w:rPr>
          <w:rFonts w:cs="Arial"/>
        </w:rPr>
      </w:pPr>
      <w:r>
        <w:rPr>
          <w:rFonts w:cs="Arial"/>
        </w:rPr>
        <w:t xml:space="preserve">Esta es la segunda acción del procedimiento de la evaluación ambiental. Para cumplir con los propósitos y normas sobre licenciamiento ambiental, la determinación y valoración de impactos del escenario con proyecto debe desarrollarse mediante </w:t>
      </w:r>
      <w:r w:rsidRPr="009A421D">
        <w:rPr>
          <w:rFonts w:cs="Arial"/>
        </w:rPr>
        <w:t>cualquiera de l</w:t>
      </w:r>
      <w:r>
        <w:rPr>
          <w:rFonts w:cs="Arial"/>
        </w:rPr>
        <w:t>a</w:t>
      </w:r>
      <w:r w:rsidRPr="009A421D">
        <w:rPr>
          <w:rFonts w:cs="Arial"/>
        </w:rPr>
        <w:t xml:space="preserve">s dos </w:t>
      </w:r>
      <w:r>
        <w:rPr>
          <w:rFonts w:cs="Arial"/>
        </w:rPr>
        <w:t>modalidades</w:t>
      </w:r>
      <w:r w:rsidRPr="009A421D">
        <w:rPr>
          <w:rFonts w:cs="Arial"/>
        </w:rPr>
        <w:t xml:space="preserve"> alternativ</w:t>
      </w:r>
      <w:r>
        <w:rPr>
          <w:rFonts w:cs="Arial"/>
        </w:rPr>
        <w:t>a</w:t>
      </w:r>
      <w:r w:rsidRPr="009A421D">
        <w:rPr>
          <w:rFonts w:cs="Arial"/>
        </w:rPr>
        <w:t>s que se enuncian a continuación:</w:t>
      </w:r>
    </w:p>
    <w:p w14:paraId="46257D2D" w14:textId="77777777" w:rsidR="009E2484" w:rsidRPr="00E64F04" w:rsidRDefault="009E2484" w:rsidP="00F55C4B">
      <w:pPr>
        <w:tabs>
          <w:tab w:val="left" w:pos="-2268"/>
        </w:tabs>
        <w:suppressAutoHyphens/>
        <w:rPr>
          <w:rFonts w:cs="Arial"/>
          <w:spacing w:val="-3"/>
        </w:rPr>
      </w:pPr>
    </w:p>
    <w:p w14:paraId="148E0CFA" w14:textId="03E92600" w:rsidR="00F55C4B" w:rsidRPr="00E64F04" w:rsidRDefault="00792673" w:rsidP="00E64F04">
      <w:pPr>
        <w:pStyle w:val="Ttulo4"/>
        <w:tabs>
          <w:tab w:val="clear" w:pos="1844"/>
          <w:tab w:val="num" w:pos="1134"/>
        </w:tabs>
        <w:ind w:left="0"/>
        <w:rPr>
          <w:b w:val="0"/>
          <w:lang w:val="es-CO"/>
        </w:rPr>
      </w:pPr>
      <w:r>
        <w:rPr>
          <w:lang w:val="es-CO"/>
        </w:rPr>
        <w:t>Modalidad</w:t>
      </w:r>
      <w:r w:rsidR="00F55C4B" w:rsidRPr="00E64F04">
        <w:rPr>
          <w:lang w:val="es-CO"/>
        </w:rPr>
        <w:t xml:space="preserve"> alternativ</w:t>
      </w:r>
      <w:r>
        <w:rPr>
          <w:lang w:val="es-CO"/>
        </w:rPr>
        <w:t>a</w:t>
      </w:r>
      <w:r w:rsidR="00F55C4B" w:rsidRPr="00E64F04">
        <w:rPr>
          <w:lang w:val="es-CO"/>
        </w:rPr>
        <w:t xml:space="preserve"> 1</w:t>
      </w:r>
    </w:p>
    <w:p w14:paraId="2894956F" w14:textId="77777777" w:rsidR="00F55C4B" w:rsidRDefault="00F55C4B" w:rsidP="00F55C4B">
      <w:pPr>
        <w:tabs>
          <w:tab w:val="left" w:pos="-2268"/>
        </w:tabs>
        <w:suppressAutoHyphens/>
        <w:rPr>
          <w:rFonts w:cs="Arial"/>
          <w:spacing w:val="-3"/>
          <w:lang w:val="es-ES_tradnl"/>
        </w:rPr>
      </w:pPr>
    </w:p>
    <w:p w14:paraId="39E2BFD0" w14:textId="243F2F29" w:rsidR="00670BB5" w:rsidRDefault="00670BB5" w:rsidP="00F55C4B">
      <w:pPr>
        <w:tabs>
          <w:tab w:val="left" w:pos="-2268"/>
        </w:tabs>
        <w:suppressAutoHyphens/>
        <w:rPr>
          <w:rFonts w:cs="Arial"/>
          <w:spacing w:val="-3"/>
          <w:lang w:val="es-ES_tradnl"/>
        </w:rPr>
      </w:pPr>
      <w:r>
        <w:rPr>
          <w:rFonts w:cs="Arial"/>
          <w:spacing w:val="-3"/>
          <w:lang w:val="es-ES_tradnl"/>
        </w:rPr>
        <w:t>Consiste en:</w:t>
      </w:r>
    </w:p>
    <w:p w14:paraId="479DC63C" w14:textId="77777777" w:rsidR="00670BB5" w:rsidRPr="004854EF" w:rsidRDefault="00670BB5" w:rsidP="00F55C4B">
      <w:pPr>
        <w:tabs>
          <w:tab w:val="left" w:pos="-2268"/>
        </w:tabs>
        <w:suppressAutoHyphens/>
        <w:rPr>
          <w:rFonts w:cs="Arial"/>
          <w:spacing w:val="-3"/>
          <w:lang w:val="es-ES_tradnl"/>
        </w:rPr>
      </w:pPr>
    </w:p>
    <w:p w14:paraId="673594A8" w14:textId="024B74DE" w:rsidR="00F55C4B" w:rsidRPr="004854EF" w:rsidRDefault="00F55C4B" w:rsidP="00E64F04">
      <w:pPr>
        <w:pStyle w:val="Prrafodelista"/>
        <w:numPr>
          <w:ilvl w:val="0"/>
          <w:numId w:val="799"/>
        </w:numPr>
        <w:ind w:left="567" w:hanging="567"/>
        <w:contextualSpacing/>
        <w:rPr>
          <w:rFonts w:cs="Arial"/>
          <w:lang w:val="es-CO"/>
        </w:rPr>
      </w:pPr>
      <w:r w:rsidRPr="004854EF">
        <w:rPr>
          <w:rFonts w:cs="Arial"/>
          <w:lang w:val="es-CO"/>
        </w:rPr>
        <w:t xml:space="preserve">Determinar y valorar los impactos ambientales </w:t>
      </w:r>
      <w:r w:rsidRPr="00127BD4">
        <w:rPr>
          <w:rFonts w:cs="Arial"/>
          <w:lang w:val="es-CO"/>
        </w:rPr>
        <w:t xml:space="preserve">empleando el método </w:t>
      </w:r>
      <w:r w:rsidRPr="004854EF">
        <w:rPr>
          <w:rFonts w:cs="Arial"/>
          <w:lang w:val="es-CO"/>
        </w:rPr>
        <w:t>seleccion</w:t>
      </w:r>
      <w:r>
        <w:rPr>
          <w:rFonts w:cs="Arial"/>
          <w:lang w:val="es-CO"/>
        </w:rPr>
        <w:t xml:space="preserve">ado por </w:t>
      </w:r>
      <w:r w:rsidRPr="00127BD4">
        <w:rPr>
          <w:rFonts w:cs="Arial"/>
          <w:lang w:val="es-CO"/>
        </w:rPr>
        <w:t>el elaborador del estudio</w:t>
      </w:r>
      <w:r w:rsidRPr="004854EF">
        <w:rPr>
          <w:rFonts w:cs="Arial"/>
          <w:lang w:val="es-CO"/>
        </w:rPr>
        <w:t xml:space="preserve"> y aplicando las orientaciones señaladas en los </w:t>
      </w:r>
      <w:r w:rsidRPr="00127BD4">
        <w:rPr>
          <w:rFonts w:cs="Arial"/>
          <w:lang w:val="es-CO"/>
        </w:rPr>
        <w:t xml:space="preserve">numerales </w:t>
      </w:r>
      <w:r w:rsidRPr="004068F6">
        <w:rPr>
          <w:rFonts w:cs="Arial"/>
          <w:lang w:val="es-CO"/>
        </w:rPr>
        <w:fldChar w:fldCharType="begin"/>
      </w:r>
      <w:r w:rsidRPr="004068F6">
        <w:rPr>
          <w:rFonts w:cs="Arial"/>
          <w:lang w:val="es-CO"/>
        </w:rPr>
        <w:instrText xml:space="preserve"> REF _Ref136953274 \r \h </w:instrText>
      </w:r>
      <w:r>
        <w:rPr>
          <w:rFonts w:cs="Arial"/>
          <w:lang w:val="es-CO"/>
        </w:rPr>
        <w:instrText xml:space="preserve"> \* MERGEFORMAT </w:instrText>
      </w:r>
      <w:r w:rsidRPr="004068F6">
        <w:rPr>
          <w:rFonts w:cs="Arial"/>
          <w:lang w:val="es-CO"/>
        </w:rPr>
      </w:r>
      <w:r w:rsidRPr="004068F6">
        <w:rPr>
          <w:rFonts w:cs="Arial"/>
          <w:lang w:val="es-CO"/>
        </w:rPr>
        <w:fldChar w:fldCharType="separate"/>
      </w:r>
      <w:r w:rsidR="009C4A81">
        <w:rPr>
          <w:rFonts w:cs="Arial"/>
          <w:lang w:val="es-CO"/>
        </w:rPr>
        <w:t>7.2</w:t>
      </w:r>
      <w:r w:rsidRPr="004068F6">
        <w:rPr>
          <w:rFonts w:cs="Arial"/>
          <w:lang w:val="es-CO"/>
        </w:rPr>
        <w:fldChar w:fldCharType="end"/>
      </w:r>
      <w:r w:rsidRPr="004068F6">
        <w:rPr>
          <w:rFonts w:cs="Arial"/>
          <w:lang w:val="es-CO"/>
        </w:rPr>
        <w:t xml:space="preserve">, </w:t>
      </w:r>
      <w:r w:rsidRPr="00127BD4">
        <w:rPr>
          <w:rFonts w:cs="Arial"/>
          <w:lang w:val="es-CO"/>
        </w:rPr>
        <w:fldChar w:fldCharType="begin"/>
      </w:r>
      <w:r w:rsidRPr="00127BD4">
        <w:rPr>
          <w:rFonts w:cs="Arial"/>
          <w:lang w:val="es-CO"/>
        </w:rPr>
        <w:instrText xml:space="preserve"> REF _Ref192235717 \r \h </w:instrText>
      </w:r>
      <w:r w:rsidRPr="004068F6">
        <w:rPr>
          <w:rFonts w:cs="Arial"/>
          <w:lang w:val="es-CO"/>
        </w:rPr>
        <w:instrText xml:space="preserve"> \* MERGEFORMAT </w:instrText>
      </w:r>
      <w:r w:rsidRPr="00127BD4">
        <w:rPr>
          <w:rFonts w:cs="Arial"/>
          <w:lang w:val="es-CO"/>
        </w:rPr>
      </w:r>
      <w:r w:rsidRPr="00127BD4">
        <w:rPr>
          <w:rFonts w:cs="Arial"/>
          <w:lang w:val="es-CO"/>
        </w:rPr>
        <w:fldChar w:fldCharType="separate"/>
      </w:r>
      <w:r w:rsidR="009C4A81">
        <w:rPr>
          <w:rFonts w:cs="Arial"/>
          <w:lang w:val="es-CO"/>
        </w:rPr>
        <w:t>7.4.1</w:t>
      </w:r>
      <w:r w:rsidRPr="00127BD4">
        <w:rPr>
          <w:rFonts w:cs="Arial"/>
          <w:lang w:val="es-CO"/>
        </w:rPr>
        <w:fldChar w:fldCharType="end"/>
      </w:r>
      <w:r>
        <w:rPr>
          <w:rFonts w:cs="Arial"/>
          <w:lang w:val="es-CO"/>
        </w:rPr>
        <w:t xml:space="preserve"> y</w:t>
      </w:r>
      <w:r w:rsidRPr="00127BD4">
        <w:rPr>
          <w:rFonts w:cs="Arial"/>
          <w:lang w:val="es-CO"/>
        </w:rPr>
        <w:t xml:space="preserve"> </w:t>
      </w:r>
      <w:r w:rsidRPr="00127BD4">
        <w:rPr>
          <w:rFonts w:cs="Arial"/>
          <w:lang w:val="es-CO"/>
        </w:rPr>
        <w:fldChar w:fldCharType="begin"/>
      </w:r>
      <w:r w:rsidRPr="00127BD4">
        <w:rPr>
          <w:rFonts w:cs="Arial"/>
          <w:lang w:val="es-CO"/>
        </w:rPr>
        <w:instrText xml:space="preserve"> REF _Ref192235719 \r \h </w:instrText>
      </w:r>
      <w:r w:rsidRPr="004068F6">
        <w:rPr>
          <w:rFonts w:cs="Arial"/>
          <w:lang w:val="es-CO"/>
        </w:rPr>
        <w:instrText xml:space="preserve"> \* MERGEFORMAT </w:instrText>
      </w:r>
      <w:r w:rsidRPr="00127BD4">
        <w:rPr>
          <w:rFonts w:cs="Arial"/>
          <w:lang w:val="es-CO"/>
        </w:rPr>
      </w:r>
      <w:r w:rsidRPr="00127BD4">
        <w:rPr>
          <w:rFonts w:cs="Arial"/>
          <w:lang w:val="es-CO"/>
        </w:rPr>
        <w:fldChar w:fldCharType="separate"/>
      </w:r>
      <w:r w:rsidR="009C4A81">
        <w:rPr>
          <w:rFonts w:cs="Arial"/>
          <w:lang w:val="es-CO"/>
        </w:rPr>
        <w:t>7.4.2</w:t>
      </w:r>
      <w:r w:rsidRPr="00127BD4">
        <w:rPr>
          <w:rFonts w:cs="Arial"/>
          <w:lang w:val="es-CO"/>
        </w:rPr>
        <w:fldChar w:fldCharType="end"/>
      </w:r>
      <w:r w:rsidR="00D62C85">
        <w:rPr>
          <w:rFonts w:cs="Arial"/>
          <w:lang w:val="es-CO"/>
        </w:rPr>
        <w:t xml:space="preserve"> y en el numeral </w:t>
      </w:r>
      <w:r w:rsidR="00D62C85" w:rsidRPr="00D62C85">
        <w:rPr>
          <w:rFonts w:cs="Arial"/>
          <w:lang w:val="es-CO"/>
        </w:rPr>
        <w:fldChar w:fldCharType="begin"/>
      </w:r>
      <w:r w:rsidR="00D62C85" w:rsidRPr="00D62C85">
        <w:rPr>
          <w:rFonts w:cs="Arial"/>
          <w:lang w:val="es-CO"/>
        </w:rPr>
        <w:instrText xml:space="preserve"> REF _Ref79430805 \r \h  \* MERGEFORMAT </w:instrText>
      </w:r>
      <w:r w:rsidR="00D62C85" w:rsidRPr="00D62C85">
        <w:rPr>
          <w:rFonts w:cs="Arial"/>
          <w:lang w:val="es-CO"/>
        </w:rPr>
      </w:r>
      <w:r w:rsidR="00D62C85" w:rsidRPr="00D62C85">
        <w:rPr>
          <w:rFonts w:cs="Arial"/>
          <w:lang w:val="es-CO"/>
        </w:rPr>
        <w:fldChar w:fldCharType="separate"/>
      </w:r>
      <w:r w:rsidR="009C4A81">
        <w:rPr>
          <w:rFonts w:cs="Arial"/>
          <w:lang w:val="es-CO"/>
        </w:rPr>
        <w:t>7.5</w:t>
      </w:r>
      <w:r w:rsidR="00D62C85" w:rsidRPr="00D62C85">
        <w:rPr>
          <w:rFonts w:cs="Arial"/>
          <w:lang w:val="es-CO"/>
        </w:rPr>
        <w:fldChar w:fldCharType="end"/>
      </w:r>
      <w:r w:rsidR="00D62C85">
        <w:rPr>
          <w:rFonts w:cs="Arial"/>
          <w:lang w:val="es-CO"/>
        </w:rPr>
        <w:t xml:space="preserve">, </w:t>
      </w:r>
      <w:r w:rsidR="00D62C85" w:rsidRPr="00D62C85">
        <w:rPr>
          <w:rFonts w:cs="Arial"/>
          <w:lang w:val="es-CO"/>
        </w:rPr>
        <w:t>cuando apli</w:t>
      </w:r>
      <w:r w:rsidR="00ED702F">
        <w:rPr>
          <w:rFonts w:cs="Arial"/>
          <w:lang w:val="es-CO"/>
        </w:rPr>
        <w:t>quen</w:t>
      </w:r>
      <w:r>
        <w:rPr>
          <w:rFonts w:cs="Arial"/>
          <w:lang w:val="es-CO"/>
        </w:rPr>
        <w:t>.</w:t>
      </w:r>
    </w:p>
    <w:p w14:paraId="0D94E49D" w14:textId="77777777" w:rsidR="00F55C4B" w:rsidRPr="000B0992" w:rsidRDefault="00F55C4B" w:rsidP="00E64F04">
      <w:pPr>
        <w:ind w:left="567" w:hanging="567"/>
        <w:contextualSpacing/>
        <w:rPr>
          <w:rFonts w:cs="Arial"/>
        </w:rPr>
      </w:pPr>
    </w:p>
    <w:p w14:paraId="2413024D" w14:textId="6CB5DF61" w:rsidR="00F55C4B" w:rsidRPr="00FA33F0" w:rsidRDefault="00F55C4B" w:rsidP="00E64F04">
      <w:pPr>
        <w:pStyle w:val="Prrafodelista"/>
        <w:numPr>
          <w:ilvl w:val="0"/>
          <w:numId w:val="799"/>
        </w:numPr>
        <w:tabs>
          <w:tab w:val="left" w:pos="-2268"/>
        </w:tabs>
        <w:suppressAutoHyphens/>
        <w:ind w:left="567" w:hanging="567"/>
        <w:contextualSpacing/>
        <w:rPr>
          <w:rFonts w:cs="Arial"/>
          <w:spacing w:val="-3"/>
        </w:rPr>
      </w:pPr>
      <w:r w:rsidRPr="00FA33F0">
        <w:rPr>
          <w:rFonts w:cs="Arial"/>
          <w:lang w:val="es-CO"/>
        </w:rPr>
        <w:t xml:space="preserve">Determinar los impactos ambientales significativos empleando el método establecido en el numeral </w:t>
      </w:r>
      <w:r w:rsidRPr="00FA33F0">
        <w:rPr>
          <w:rFonts w:cs="Arial"/>
          <w:lang w:val="es-CO"/>
        </w:rPr>
        <w:fldChar w:fldCharType="begin"/>
      </w:r>
      <w:r w:rsidRPr="00FA33F0">
        <w:rPr>
          <w:rFonts w:cs="Arial"/>
          <w:lang w:val="es-CO"/>
        </w:rPr>
        <w:instrText xml:space="preserve"> REF _Ref137112878 \r \h  \* MERGEFORMAT </w:instrText>
      </w:r>
      <w:r w:rsidRPr="00FA33F0">
        <w:rPr>
          <w:rFonts w:cs="Arial"/>
          <w:lang w:val="es-CO"/>
        </w:rPr>
      </w:r>
      <w:r w:rsidRPr="00FA33F0">
        <w:rPr>
          <w:rFonts w:cs="Arial"/>
          <w:lang w:val="es-CO"/>
        </w:rPr>
        <w:fldChar w:fldCharType="separate"/>
      </w:r>
      <w:r w:rsidR="009C4A81">
        <w:rPr>
          <w:rFonts w:cs="Arial"/>
          <w:lang w:val="es-CO"/>
        </w:rPr>
        <w:t>7.4.3</w:t>
      </w:r>
      <w:r w:rsidRPr="00FA33F0">
        <w:rPr>
          <w:rFonts w:cs="Arial"/>
          <w:lang w:val="es-CO"/>
        </w:rPr>
        <w:fldChar w:fldCharType="end"/>
      </w:r>
      <w:r w:rsidRPr="00FA33F0">
        <w:rPr>
          <w:rFonts w:cs="Arial"/>
          <w:lang w:val="es-CO"/>
        </w:rPr>
        <w:t xml:space="preserve"> </w:t>
      </w:r>
      <w:r w:rsidRPr="00FA33F0">
        <w:rPr>
          <w:rFonts w:cs="Arial"/>
          <w:spacing w:val="-3"/>
          <w:lang w:val="es-CO"/>
        </w:rPr>
        <w:t xml:space="preserve">a fin de brindar insumos </w:t>
      </w:r>
      <w:r w:rsidR="003D4A1C">
        <w:rPr>
          <w:rFonts w:cs="Arial"/>
          <w:spacing w:val="-3"/>
          <w:lang w:val="es-CO"/>
        </w:rPr>
        <w:t>para</w:t>
      </w:r>
      <w:r w:rsidRPr="00FA33F0">
        <w:rPr>
          <w:rFonts w:cs="Arial"/>
          <w:spacing w:val="-3"/>
          <w:lang w:val="es-CO"/>
        </w:rPr>
        <w:t xml:space="preserve"> la delimitación del área de influencia y la evaluación económica ambiental</w:t>
      </w:r>
      <w:r w:rsidRPr="00FA33F0">
        <w:rPr>
          <w:rFonts w:cs="Arial"/>
          <w:lang w:val="es-CO"/>
        </w:rPr>
        <w:t>. E</w:t>
      </w:r>
      <w:r>
        <w:rPr>
          <w:rFonts w:cs="Arial"/>
          <w:lang w:val="es-CO"/>
        </w:rPr>
        <w:t>n este caso, se debe</w:t>
      </w:r>
      <w:r w:rsidR="00E04B00">
        <w:rPr>
          <w:rFonts w:cs="Arial"/>
          <w:lang w:val="es-CO"/>
        </w:rPr>
        <w:t>: i)</w:t>
      </w:r>
      <w:r>
        <w:rPr>
          <w:rFonts w:cs="Arial"/>
          <w:lang w:val="es-CO"/>
        </w:rPr>
        <w:t xml:space="preserve"> a</w:t>
      </w:r>
      <w:r w:rsidRPr="00FA33F0">
        <w:rPr>
          <w:rFonts w:cs="Arial"/>
          <w:spacing w:val="-3"/>
        </w:rPr>
        <w:t xml:space="preserve">justar el método de evaluación seleccionado por elaborador del estudio con el fin de asegurar que los </w:t>
      </w:r>
      <w:r w:rsidRPr="00FA33F0">
        <w:rPr>
          <w:rFonts w:cs="Arial"/>
          <w:spacing w:val="-3"/>
          <w:lang w:val="es-CO"/>
        </w:rPr>
        <w:t xml:space="preserve">impactos </w:t>
      </w:r>
      <w:r w:rsidRPr="00FA33F0">
        <w:rPr>
          <w:rFonts w:cs="Arial"/>
          <w:spacing w:val="-3"/>
        </w:rPr>
        <w:t xml:space="preserve">se evalúen únicamente mediante </w:t>
      </w:r>
      <w:r w:rsidRPr="00FA33F0">
        <w:rPr>
          <w:rFonts w:cs="Arial"/>
          <w:spacing w:val="-3"/>
          <w:lang w:val="es-CO"/>
        </w:rPr>
        <w:t>procedimientos o atributos enfocados en la significancia de los impactos</w:t>
      </w:r>
      <w:r w:rsidRPr="00FA33F0">
        <w:rPr>
          <w:rFonts w:cs="Arial"/>
          <w:spacing w:val="-3"/>
        </w:rPr>
        <w:t xml:space="preserve"> y; </w:t>
      </w:r>
      <w:r w:rsidR="00E04B00">
        <w:rPr>
          <w:rFonts w:cs="Arial"/>
          <w:spacing w:val="-3"/>
        </w:rPr>
        <w:t xml:space="preserve">ii) </w:t>
      </w:r>
      <w:r w:rsidRPr="00FA33F0">
        <w:rPr>
          <w:rFonts w:cs="Arial"/>
          <w:spacing w:val="-3"/>
        </w:rPr>
        <w:t>normalizar</w:t>
      </w:r>
      <w:r w:rsidRPr="00FA33F0">
        <w:rPr>
          <w:rFonts w:cs="Arial"/>
          <w:spacing w:val="-3"/>
          <w:lang w:val="es-CO"/>
        </w:rPr>
        <w:t xml:space="preserve"> </w:t>
      </w:r>
      <w:r w:rsidRPr="00FA33F0">
        <w:rPr>
          <w:rFonts w:cs="Arial"/>
          <w:spacing w:val="-3"/>
        </w:rPr>
        <w:t>los resultados de la evaluación del método ajustado. Las orientaciones para desarrollar a</w:t>
      </w:r>
      <w:r w:rsidRPr="00FA33F0">
        <w:rPr>
          <w:rFonts w:cs="Arial"/>
        </w:rPr>
        <w:t xml:space="preserve">mbos procedimientos se detallan en </w:t>
      </w:r>
      <w:r w:rsidRPr="00FA33F0">
        <w:rPr>
          <w:rFonts w:cs="Arial"/>
          <w:lang w:val="es-CO"/>
        </w:rPr>
        <w:t xml:space="preserve">el numeral </w:t>
      </w:r>
      <w:r w:rsidRPr="00FA33F0">
        <w:rPr>
          <w:rFonts w:cs="Arial"/>
          <w:lang w:val="es-CO"/>
        </w:rPr>
        <w:fldChar w:fldCharType="begin"/>
      </w:r>
      <w:r w:rsidRPr="00FA33F0">
        <w:rPr>
          <w:rFonts w:cs="Arial"/>
          <w:lang w:val="es-CO"/>
        </w:rPr>
        <w:instrText xml:space="preserve"> REF _Ref137112878 \r \h  \* MERGEFORMAT </w:instrText>
      </w:r>
      <w:r w:rsidRPr="00FA33F0">
        <w:rPr>
          <w:rFonts w:cs="Arial"/>
          <w:lang w:val="es-CO"/>
        </w:rPr>
      </w:r>
      <w:r w:rsidRPr="00FA33F0">
        <w:rPr>
          <w:rFonts w:cs="Arial"/>
          <w:lang w:val="es-CO"/>
        </w:rPr>
        <w:fldChar w:fldCharType="separate"/>
      </w:r>
      <w:r w:rsidR="009C4A81" w:rsidRPr="009C4A81">
        <w:rPr>
          <w:rFonts w:cs="Arial"/>
        </w:rPr>
        <w:t>7.4.3</w:t>
      </w:r>
      <w:r w:rsidRPr="00FA33F0">
        <w:rPr>
          <w:rFonts w:cs="Arial"/>
          <w:lang w:val="es-CO"/>
        </w:rPr>
        <w:fldChar w:fldCharType="end"/>
      </w:r>
      <w:r w:rsidRPr="00FA33F0">
        <w:rPr>
          <w:rFonts w:cs="Arial"/>
        </w:rPr>
        <w:t>.</w:t>
      </w:r>
    </w:p>
    <w:p w14:paraId="084BFE58" w14:textId="77777777" w:rsidR="00F55C4B" w:rsidRPr="009D04D4" w:rsidRDefault="00F55C4B" w:rsidP="00E64F04">
      <w:pPr>
        <w:ind w:left="567" w:hanging="567"/>
        <w:contextualSpacing/>
        <w:rPr>
          <w:rFonts w:cs="Arial"/>
        </w:rPr>
      </w:pPr>
    </w:p>
    <w:p w14:paraId="66693C8D" w14:textId="0B9BC01C" w:rsidR="00F55C4B" w:rsidRPr="009D04D4" w:rsidRDefault="00F55C4B" w:rsidP="00E64F04">
      <w:pPr>
        <w:pStyle w:val="Prrafodelista"/>
        <w:numPr>
          <w:ilvl w:val="0"/>
          <w:numId w:val="799"/>
        </w:numPr>
        <w:ind w:left="567" w:hanging="567"/>
        <w:contextualSpacing/>
        <w:rPr>
          <w:rFonts w:cs="Arial"/>
          <w:lang w:val="es-CO"/>
        </w:rPr>
      </w:pPr>
      <w:r w:rsidRPr="009D04D4">
        <w:rPr>
          <w:rFonts w:cs="Arial"/>
          <w:lang w:val="es-CO"/>
        </w:rPr>
        <w:t xml:space="preserve">Evaluar los impactos ambientales residuales que son acumulativos o que son sinérgicos empleando las orientaciones establecidas en el numeral </w:t>
      </w:r>
      <w:r w:rsidRPr="009D04D4">
        <w:rPr>
          <w:rFonts w:cs="Arial"/>
          <w:lang w:val="es-CO"/>
        </w:rPr>
        <w:fldChar w:fldCharType="begin"/>
      </w:r>
      <w:r w:rsidRPr="009D04D4">
        <w:rPr>
          <w:rFonts w:cs="Arial"/>
          <w:lang w:val="es-CO"/>
        </w:rPr>
        <w:instrText xml:space="preserve"> REF _Ref148077260 \r \h  \* MERGEFORMAT </w:instrText>
      </w:r>
      <w:r w:rsidRPr="009D04D4">
        <w:rPr>
          <w:rFonts w:cs="Arial"/>
          <w:lang w:val="es-CO"/>
        </w:rPr>
      </w:r>
      <w:r w:rsidRPr="009D04D4">
        <w:rPr>
          <w:rFonts w:cs="Arial"/>
          <w:lang w:val="es-CO"/>
        </w:rPr>
        <w:fldChar w:fldCharType="separate"/>
      </w:r>
      <w:r w:rsidR="009C4A81">
        <w:rPr>
          <w:rFonts w:cs="Arial"/>
          <w:lang w:val="es-CO"/>
        </w:rPr>
        <w:t>7.4.4</w:t>
      </w:r>
      <w:r w:rsidRPr="009D04D4">
        <w:rPr>
          <w:rFonts w:cs="Arial"/>
          <w:lang w:val="es-CO"/>
        </w:rPr>
        <w:fldChar w:fldCharType="end"/>
      </w:r>
      <w:r w:rsidRPr="009D04D4">
        <w:rPr>
          <w:rFonts w:cs="Arial"/>
          <w:lang w:val="es-CO"/>
        </w:rPr>
        <w:t xml:space="preserve">. Esta </w:t>
      </w:r>
      <w:r w:rsidRPr="009D04D4">
        <w:rPr>
          <w:rFonts w:cs="Arial"/>
          <w:lang w:val="es-CO"/>
        </w:rPr>
        <w:lastRenderedPageBreak/>
        <w:t xml:space="preserve">evaluación busca que, en la medida de lo posible, se ajusten algunas medidas de manejo y </w:t>
      </w:r>
      <w:r w:rsidR="00E04B00">
        <w:rPr>
          <w:rFonts w:cs="Arial"/>
          <w:lang w:val="es-CO"/>
        </w:rPr>
        <w:t xml:space="preserve">se </w:t>
      </w:r>
      <w:r w:rsidRPr="009D04D4">
        <w:rPr>
          <w:rFonts w:cs="Arial"/>
          <w:lang w:val="es-CO"/>
        </w:rPr>
        <w:t>mejor</w:t>
      </w:r>
      <w:r w:rsidR="00E04B00">
        <w:rPr>
          <w:rFonts w:cs="Arial"/>
          <w:lang w:val="es-CO"/>
        </w:rPr>
        <w:t>e</w:t>
      </w:r>
      <w:r w:rsidRPr="009D04D4">
        <w:rPr>
          <w:rFonts w:cs="Arial"/>
          <w:lang w:val="es-CO"/>
        </w:rPr>
        <w:t xml:space="preserve"> el desempeño ambiental del proyecto.</w:t>
      </w:r>
    </w:p>
    <w:p w14:paraId="6E44CB1B" w14:textId="77777777" w:rsidR="00F55C4B" w:rsidRDefault="00F55C4B" w:rsidP="00F55C4B">
      <w:pPr>
        <w:tabs>
          <w:tab w:val="left" w:pos="-2268"/>
        </w:tabs>
        <w:suppressAutoHyphens/>
        <w:rPr>
          <w:rFonts w:cs="Arial"/>
        </w:rPr>
      </w:pPr>
    </w:p>
    <w:p w14:paraId="6030BB80" w14:textId="17B0CD1E" w:rsidR="00F55C4B" w:rsidRDefault="004E12F2" w:rsidP="00F55C4B">
      <w:pPr>
        <w:tabs>
          <w:tab w:val="left" w:pos="-2268"/>
        </w:tabs>
        <w:suppressAutoHyphens/>
        <w:rPr>
          <w:rFonts w:cs="Arial"/>
        </w:rPr>
      </w:pPr>
      <w:r>
        <w:rPr>
          <w:rFonts w:cs="Arial"/>
        </w:rPr>
        <w:t xml:space="preserve">Dado que </w:t>
      </w:r>
      <w:r w:rsidR="002A193C">
        <w:rPr>
          <w:rFonts w:cs="Arial"/>
        </w:rPr>
        <w:t xml:space="preserve">la modalidad alternativa </w:t>
      </w:r>
      <w:r>
        <w:rPr>
          <w:rFonts w:cs="Arial"/>
        </w:rPr>
        <w:t>1 se aplica c</w:t>
      </w:r>
      <w:r w:rsidR="00F55C4B">
        <w:rPr>
          <w:rFonts w:cs="Arial"/>
        </w:rPr>
        <w:t xml:space="preserve">uando el método seleccionado por el elaborador de estudio ambiental incorpora atributos </w:t>
      </w:r>
      <w:r w:rsidR="00204072">
        <w:rPr>
          <w:rFonts w:cs="Arial"/>
        </w:rPr>
        <w:t xml:space="preserve">o procedimientos </w:t>
      </w:r>
      <w:r w:rsidR="00F55C4B">
        <w:rPr>
          <w:rFonts w:cs="Arial"/>
        </w:rPr>
        <w:t xml:space="preserve">complementarios a los atributos </w:t>
      </w:r>
      <w:r w:rsidR="00662B93">
        <w:rPr>
          <w:rFonts w:cs="Arial"/>
        </w:rPr>
        <w:t xml:space="preserve">o procedimientos </w:t>
      </w:r>
      <w:r w:rsidR="00F55C4B">
        <w:rPr>
          <w:rFonts w:cs="Arial"/>
        </w:rPr>
        <w:t xml:space="preserve">relativos a la significancia de los impactos, </w:t>
      </w:r>
      <w:r w:rsidR="008A1ADF">
        <w:rPr>
          <w:rFonts w:cs="Arial"/>
        </w:rPr>
        <w:t xml:space="preserve">es posible </w:t>
      </w:r>
      <w:r w:rsidR="00F55C4B">
        <w:rPr>
          <w:rFonts w:cs="Arial"/>
        </w:rPr>
        <w:t xml:space="preserve">generar información </w:t>
      </w:r>
      <w:r w:rsidR="00D955A3">
        <w:rPr>
          <w:rFonts w:cs="Arial"/>
        </w:rPr>
        <w:t xml:space="preserve">complementaria </w:t>
      </w:r>
      <w:r w:rsidR="00F55C4B">
        <w:rPr>
          <w:rFonts w:cs="Arial"/>
        </w:rPr>
        <w:t>sobre las características de los impactos que es útil para formular medidas de manejo</w:t>
      </w:r>
      <w:r w:rsidR="00F55C4B" w:rsidRPr="00C04F42">
        <w:rPr>
          <w:rFonts w:cs="Arial"/>
        </w:rPr>
        <w:t xml:space="preserve"> </w:t>
      </w:r>
      <w:r w:rsidR="00F55C4B">
        <w:rPr>
          <w:rFonts w:cs="Arial"/>
        </w:rPr>
        <w:t xml:space="preserve">efectivas, así como para planear su implementación y procurar que su aplicación </w:t>
      </w:r>
      <w:r w:rsidR="00E47C9D">
        <w:rPr>
          <w:rFonts w:cs="Arial"/>
        </w:rPr>
        <w:t xml:space="preserve">sea </w:t>
      </w:r>
      <w:r w:rsidR="00F55C4B">
        <w:rPr>
          <w:rFonts w:cs="Arial"/>
        </w:rPr>
        <w:t>coordina</w:t>
      </w:r>
      <w:r w:rsidR="00E47C9D">
        <w:rPr>
          <w:rFonts w:cs="Arial"/>
        </w:rPr>
        <w:t xml:space="preserve">da </w:t>
      </w:r>
      <w:r w:rsidR="00F55C4B">
        <w:rPr>
          <w:rFonts w:cs="Arial"/>
        </w:rPr>
        <w:t>espaci</w:t>
      </w:r>
      <w:r w:rsidR="00210497">
        <w:rPr>
          <w:rFonts w:cs="Arial"/>
        </w:rPr>
        <w:t xml:space="preserve">al y </w:t>
      </w:r>
      <w:r w:rsidR="00F55C4B">
        <w:rPr>
          <w:rFonts w:cs="Arial"/>
        </w:rPr>
        <w:t>temporal</w:t>
      </w:r>
      <w:r w:rsidR="00210497">
        <w:rPr>
          <w:rFonts w:cs="Arial"/>
        </w:rPr>
        <w:t>mente</w:t>
      </w:r>
      <w:r w:rsidR="00F55C4B">
        <w:rPr>
          <w:rFonts w:cs="Arial"/>
        </w:rPr>
        <w:t>.</w:t>
      </w:r>
    </w:p>
    <w:p w14:paraId="4895FE88" w14:textId="77777777" w:rsidR="00F55C4B" w:rsidRDefault="00F55C4B" w:rsidP="00F55C4B">
      <w:pPr>
        <w:tabs>
          <w:tab w:val="left" w:pos="-2268"/>
        </w:tabs>
        <w:suppressAutoHyphens/>
        <w:rPr>
          <w:rFonts w:cs="Arial"/>
        </w:rPr>
      </w:pPr>
    </w:p>
    <w:p w14:paraId="3D5289DD" w14:textId="31AAFAB7" w:rsidR="00F55C4B" w:rsidRPr="00F10CD0" w:rsidRDefault="00F55C4B" w:rsidP="00F55C4B">
      <w:pPr>
        <w:contextualSpacing/>
        <w:rPr>
          <w:rFonts w:cs="Arial"/>
        </w:rPr>
      </w:pPr>
      <w:r w:rsidRPr="00F10CD0">
        <w:rPr>
          <w:rFonts w:cs="Arial"/>
        </w:rPr>
        <w:t>El desarrollo de estas tres actividades de evaluación (</w:t>
      </w:r>
      <w:r w:rsidR="00555798">
        <w:rPr>
          <w:rFonts w:cs="Arial"/>
        </w:rPr>
        <w:t xml:space="preserve">A. </w:t>
      </w:r>
      <w:r w:rsidRPr="00F10CD0">
        <w:rPr>
          <w:rFonts w:cs="Arial"/>
        </w:rPr>
        <w:t xml:space="preserve">evaluación inicial, </w:t>
      </w:r>
      <w:r w:rsidR="00555798">
        <w:rPr>
          <w:rFonts w:cs="Arial"/>
        </w:rPr>
        <w:t xml:space="preserve">B. </w:t>
      </w:r>
      <w:r w:rsidRPr="00F10CD0">
        <w:rPr>
          <w:rFonts w:cs="Arial"/>
        </w:rPr>
        <w:t>determinación de impactos significativos</w:t>
      </w:r>
      <w:r w:rsidR="00555798">
        <w:rPr>
          <w:rFonts w:cs="Arial"/>
        </w:rPr>
        <w:t xml:space="preserve"> y</w:t>
      </w:r>
      <w:r w:rsidRPr="00F10CD0">
        <w:rPr>
          <w:rFonts w:cs="Arial"/>
        </w:rPr>
        <w:t xml:space="preserve"> </w:t>
      </w:r>
      <w:r w:rsidR="00555798">
        <w:rPr>
          <w:rFonts w:cs="Arial"/>
        </w:rPr>
        <w:t xml:space="preserve">C. </w:t>
      </w:r>
      <w:r w:rsidRPr="00F10CD0">
        <w:rPr>
          <w:rFonts w:cs="Arial"/>
        </w:rPr>
        <w:t>evaluación de impactos residuales) no implica necesariamente tres procedimientos aislados; es posible abordarla</w:t>
      </w:r>
      <w:r w:rsidR="00876363">
        <w:rPr>
          <w:rFonts w:cs="Arial"/>
        </w:rPr>
        <w:t>s</w:t>
      </w:r>
      <w:r w:rsidRPr="00F10CD0">
        <w:rPr>
          <w:rFonts w:cs="Arial"/>
        </w:rPr>
        <w:t xml:space="preserve"> </w:t>
      </w:r>
      <w:r w:rsidR="001B3318">
        <w:rPr>
          <w:rFonts w:cs="Arial"/>
        </w:rPr>
        <w:t xml:space="preserve">simultáneamente </w:t>
      </w:r>
      <w:r w:rsidRPr="00F10CD0">
        <w:rPr>
          <w:rFonts w:cs="Arial"/>
        </w:rPr>
        <w:t>mediante un solo procedimiento que, en cada caso, emplee la información que se requiere.</w:t>
      </w:r>
    </w:p>
    <w:p w14:paraId="227FB0B0" w14:textId="77777777" w:rsidR="00F55C4B" w:rsidRPr="0066067F" w:rsidRDefault="00F55C4B" w:rsidP="00F55C4B">
      <w:pPr>
        <w:contextualSpacing/>
        <w:rPr>
          <w:rFonts w:cs="Arial"/>
        </w:rPr>
      </w:pPr>
    </w:p>
    <w:p w14:paraId="17AA1BC5" w14:textId="0CDCA0B1" w:rsidR="00F55C4B" w:rsidRPr="0066067F" w:rsidRDefault="00F55C4B" w:rsidP="00F55C4B">
      <w:pPr>
        <w:contextualSpacing/>
        <w:rPr>
          <w:rFonts w:cs="Arial"/>
        </w:rPr>
      </w:pPr>
      <w:r w:rsidRPr="0066067F">
        <w:rPr>
          <w:rFonts w:cs="Arial"/>
        </w:rPr>
        <w:t>Por ejemplo, es posible ordenar toda la información requerida para las tres actividades en una misma matriz que diferencie los atributos</w:t>
      </w:r>
      <w:r w:rsidR="00FC24FF">
        <w:rPr>
          <w:rFonts w:cs="Arial"/>
        </w:rPr>
        <w:t>/procedimientos</w:t>
      </w:r>
      <w:r w:rsidRPr="0066067F">
        <w:rPr>
          <w:rFonts w:cs="Arial"/>
        </w:rPr>
        <w:t xml:space="preserve"> y resultados referidos a</w:t>
      </w:r>
      <w:r w:rsidR="005209BF">
        <w:rPr>
          <w:rFonts w:cs="Arial"/>
        </w:rPr>
        <w:t>:</w:t>
      </w:r>
      <w:r w:rsidRPr="0066067F">
        <w:rPr>
          <w:rFonts w:cs="Arial"/>
        </w:rPr>
        <w:t xml:space="preserve"> </w:t>
      </w:r>
      <w:r w:rsidR="005209BF">
        <w:rPr>
          <w:rFonts w:cs="Arial"/>
        </w:rPr>
        <w:t xml:space="preserve">i) </w:t>
      </w:r>
      <w:r w:rsidRPr="0066067F">
        <w:rPr>
          <w:rFonts w:cs="Arial"/>
        </w:rPr>
        <w:t xml:space="preserve">la significancia de los impactos, </w:t>
      </w:r>
      <w:r w:rsidR="005209BF">
        <w:rPr>
          <w:rFonts w:cs="Arial"/>
        </w:rPr>
        <w:t xml:space="preserve">ii) </w:t>
      </w:r>
      <w:r w:rsidRPr="0066067F">
        <w:rPr>
          <w:rFonts w:cs="Arial"/>
        </w:rPr>
        <w:t xml:space="preserve">a los </w:t>
      </w:r>
      <w:r w:rsidR="00FC24FF">
        <w:rPr>
          <w:rFonts w:cs="Arial"/>
        </w:rPr>
        <w:t xml:space="preserve">elementos </w:t>
      </w:r>
      <w:r w:rsidRPr="0066067F">
        <w:rPr>
          <w:rFonts w:cs="Arial"/>
        </w:rPr>
        <w:t xml:space="preserve">complementarios y </w:t>
      </w:r>
      <w:r w:rsidR="005209BF">
        <w:rPr>
          <w:rFonts w:cs="Arial"/>
        </w:rPr>
        <w:t xml:space="preserve">iii) </w:t>
      </w:r>
      <w:r w:rsidRPr="0066067F">
        <w:rPr>
          <w:rFonts w:cs="Arial"/>
        </w:rPr>
        <w:t xml:space="preserve">a </w:t>
      </w:r>
      <w:r w:rsidR="00551D46">
        <w:rPr>
          <w:rFonts w:cs="Arial"/>
        </w:rPr>
        <w:t xml:space="preserve">la </w:t>
      </w:r>
      <w:r w:rsidRPr="0066067F">
        <w:rPr>
          <w:rFonts w:cs="Arial"/>
        </w:rPr>
        <w:t>acumula</w:t>
      </w:r>
      <w:r w:rsidR="00DF1C58">
        <w:rPr>
          <w:rFonts w:cs="Arial"/>
        </w:rPr>
        <w:t>ción</w:t>
      </w:r>
      <w:r w:rsidR="00551D46">
        <w:rPr>
          <w:rFonts w:cs="Arial"/>
        </w:rPr>
        <w:t xml:space="preserve"> </w:t>
      </w:r>
      <w:r w:rsidRPr="0066067F">
        <w:rPr>
          <w:rFonts w:cs="Arial"/>
        </w:rPr>
        <w:t>o sin</w:t>
      </w:r>
      <w:r w:rsidR="00DF1C58">
        <w:rPr>
          <w:rFonts w:cs="Arial"/>
        </w:rPr>
        <w:t>e</w:t>
      </w:r>
      <w:r w:rsidRPr="0066067F">
        <w:rPr>
          <w:rFonts w:cs="Arial"/>
        </w:rPr>
        <w:t>rgi</w:t>
      </w:r>
      <w:r w:rsidR="00551D46">
        <w:rPr>
          <w:rFonts w:cs="Arial"/>
        </w:rPr>
        <w:t xml:space="preserve">a de </w:t>
      </w:r>
      <w:r w:rsidRPr="0066067F">
        <w:rPr>
          <w:rFonts w:cs="Arial"/>
        </w:rPr>
        <w:t xml:space="preserve">los impactos (ver como referencia la </w:t>
      </w:r>
      <w:r w:rsidR="00460E35" w:rsidRPr="00784DD0">
        <w:rPr>
          <w:rFonts w:cs="Arial"/>
        </w:rPr>
        <w:fldChar w:fldCharType="begin"/>
      </w:r>
      <w:r w:rsidR="00460E35" w:rsidRPr="00784DD0">
        <w:rPr>
          <w:rFonts w:cs="Arial"/>
        </w:rPr>
        <w:instrText xml:space="preserve"> REF _Ref230682701 \h </w:instrText>
      </w:r>
      <w:r w:rsidR="00784DD0" w:rsidRPr="00E64F04">
        <w:rPr>
          <w:rFonts w:cs="Arial"/>
        </w:rPr>
        <w:instrText xml:space="preserve"> \* MERGEFORMAT </w:instrText>
      </w:r>
      <w:r w:rsidR="00460E35" w:rsidRPr="00784DD0">
        <w:rPr>
          <w:rFonts w:cs="Arial"/>
        </w:rPr>
      </w:r>
      <w:r w:rsidR="00460E35" w:rsidRPr="00784DD0">
        <w:rPr>
          <w:rFonts w:cs="Arial"/>
        </w:rPr>
        <w:fldChar w:fldCharType="separate"/>
      </w:r>
      <w:r w:rsidR="009C4A81" w:rsidRPr="009C4A81">
        <w:rPr>
          <w:spacing w:val="-3"/>
        </w:rPr>
        <w:t xml:space="preserve">Tabla </w:t>
      </w:r>
      <w:r w:rsidR="009C4A81" w:rsidRPr="009C4A81">
        <w:rPr>
          <w:noProof/>
          <w:spacing w:val="-3"/>
        </w:rPr>
        <w:t>33</w:t>
      </w:r>
      <w:r w:rsidR="00460E35" w:rsidRPr="00784DD0">
        <w:rPr>
          <w:rFonts w:cs="Arial"/>
        </w:rPr>
        <w:fldChar w:fldCharType="end"/>
      </w:r>
      <w:r w:rsidRPr="0066067F">
        <w:rPr>
          <w:rFonts w:cs="Arial"/>
        </w:rPr>
        <w:t>).</w:t>
      </w:r>
    </w:p>
    <w:p w14:paraId="33190E3B" w14:textId="77777777" w:rsidR="00B1236B" w:rsidRDefault="00B1236B" w:rsidP="00B1236B">
      <w:pPr>
        <w:numPr>
          <w:ilvl w:val="12"/>
          <w:numId w:val="0"/>
        </w:numPr>
        <w:tabs>
          <w:tab w:val="left" w:pos="-2268"/>
        </w:tabs>
        <w:suppressAutoHyphens/>
        <w:rPr>
          <w:rFonts w:cs="Arial"/>
          <w:spacing w:val="-3"/>
        </w:rPr>
      </w:pPr>
    </w:p>
    <w:p w14:paraId="6343B643" w14:textId="03D1FB92" w:rsidR="00B1236B" w:rsidRPr="004068F6" w:rsidRDefault="00B1236B" w:rsidP="00B1236B">
      <w:pPr>
        <w:numPr>
          <w:ilvl w:val="12"/>
          <w:numId w:val="0"/>
        </w:numPr>
        <w:tabs>
          <w:tab w:val="left" w:pos="-2268"/>
        </w:tabs>
        <w:suppressAutoHyphens/>
        <w:jc w:val="center"/>
        <w:rPr>
          <w:spacing w:val="-3"/>
        </w:rPr>
      </w:pPr>
      <w:bookmarkStart w:id="3236" w:name="_Ref230682701"/>
      <w:r w:rsidRPr="004068F6">
        <w:rPr>
          <w:b/>
          <w:bCs/>
          <w:spacing w:val="-3"/>
        </w:rPr>
        <w:t xml:space="preserve">Tabla </w:t>
      </w:r>
      <w:r w:rsidRPr="004068F6">
        <w:rPr>
          <w:b/>
          <w:bCs/>
          <w:spacing w:val="-3"/>
        </w:rPr>
        <w:fldChar w:fldCharType="begin"/>
      </w:r>
      <w:r w:rsidRPr="004068F6">
        <w:rPr>
          <w:b/>
          <w:bCs/>
          <w:spacing w:val="-3"/>
        </w:rPr>
        <w:instrText xml:space="preserve"> SEQ Tabla \* ARABIC </w:instrText>
      </w:r>
      <w:r w:rsidRPr="004068F6">
        <w:rPr>
          <w:b/>
          <w:bCs/>
          <w:spacing w:val="-3"/>
        </w:rPr>
        <w:fldChar w:fldCharType="separate"/>
      </w:r>
      <w:r w:rsidR="009C4A81">
        <w:rPr>
          <w:b/>
          <w:bCs/>
          <w:noProof/>
          <w:spacing w:val="-3"/>
        </w:rPr>
        <w:t>33</w:t>
      </w:r>
      <w:r w:rsidRPr="004068F6">
        <w:rPr>
          <w:spacing w:val="-3"/>
        </w:rPr>
        <w:fldChar w:fldCharType="end"/>
      </w:r>
      <w:bookmarkEnd w:id="3236"/>
      <w:r w:rsidRPr="004068F6">
        <w:rPr>
          <w:b/>
          <w:bCs/>
          <w:spacing w:val="-3"/>
        </w:rPr>
        <w:t xml:space="preserve">. </w:t>
      </w:r>
      <w:r w:rsidRPr="004068F6">
        <w:rPr>
          <w:spacing w:val="-3"/>
        </w:rPr>
        <w:t xml:space="preserve">Ejemplo de </w:t>
      </w:r>
      <w:r>
        <w:rPr>
          <w:spacing w:val="-3"/>
        </w:rPr>
        <w:t>m</w:t>
      </w:r>
      <w:r w:rsidRPr="004068F6">
        <w:rPr>
          <w:spacing w:val="-3"/>
        </w:rPr>
        <w:t xml:space="preserve">atriz </w:t>
      </w:r>
      <w:r>
        <w:rPr>
          <w:spacing w:val="-3"/>
        </w:rPr>
        <w:t xml:space="preserve">para organizar información de </w:t>
      </w:r>
      <w:r w:rsidRPr="004068F6">
        <w:rPr>
          <w:spacing w:val="-3"/>
        </w:rPr>
        <w:t>evalua</w:t>
      </w:r>
      <w:r>
        <w:rPr>
          <w:spacing w:val="-3"/>
        </w:rPr>
        <w:t>ción de impactos</w:t>
      </w:r>
    </w:p>
    <w:tbl>
      <w:tblPr>
        <w:tblStyle w:val="Tablaconcuadrcula"/>
        <w:tblW w:w="10060" w:type="dxa"/>
        <w:jc w:val="center"/>
        <w:tblLayout w:type="fixed"/>
        <w:tblLook w:val="04A0" w:firstRow="1" w:lastRow="0" w:firstColumn="1" w:lastColumn="0" w:noHBand="0" w:noVBand="1"/>
      </w:tblPr>
      <w:tblGrid>
        <w:gridCol w:w="1235"/>
        <w:gridCol w:w="768"/>
        <w:gridCol w:w="768"/>
        <w:gridCol w:w="768"/>
        <w:gridCol w:w="769"/>
        <w:gridCol w:w="768"/>
        <w:gridCol w:w="768"/>
        <w:gridCol w:w="768"/>
        <w:gridCol w:w="896"/>
        <w:gridCol w:w="641"/>
        <w:gridCol w:w="768"/>
        <w:gridCol w:w="1143"/>
      </w:tblGrid>
      <w:tr w:rsidR="00B1236B" w:rsidRPr="007B0076" w14:paraId="0E59850D" w14:textId="77777777" w:rsidTr="00E64F04">
        <w:trPr>
          <w:trHeight w:hRule="exact" w:val="741"/>
          <w:tblHeader/>
          <w:jc w:val="center"/>
        </w:trPr>
        <w:tc>
          <w:tcPr>
            <w:tcW w:w="1235" w:type="dxa"/>
            <w:vMerge w:val="restart"/>
            <w:vAlign w:val="center"/>
          </w:tcPr>
          <w:p w14:paraId="37B41776"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Impacto</w:t>
            </w:r>
          </w:p>
        </w:tc>
        <w:tc>
          <w:tcPr>
            <w:tcW w:w="3073" w:type="dxa"/>
            <w:gridSpan w:val="4"/>
            <w:vAlign w:val="center"/>
          </w:tcPr>
          <w:p w14:paraId="12F4CBA8" w14:textId="77777777" w:rsidR="00B1236B" w:rsidRPr="004854EF" w:rsidRDefault="00B1236B" w:rsidP="00881EA0">
            <w:pPr>
              <w:numPr>
                <w:ilvl w:val="12"/>
                <w:numId w:val="0"/>
              </w:numPr>
              <w:tabs>
                <w:tab w:val="left" w:pos="-2268"/>
              </w:tabs>
              <w:suppressAutoHyphens/>
              <w:jc w:val="center"/>
              <w:rPr>
                <w:b/>
                <w:bCs/>
                <w:spacing w:val="-3"/>
                <w:sz w:val="20"/>
                <w:szCs w:val="20"/>
              </w:rPr>
            </w:pPr>
            <w:r>
              <w:rPr>
                <w:b/>
                <w:bCs/>
                <w:spacing w:val="-3"/>
                <w:sz w:val="20"/>
                <w:szCs w:val="20"/>
              </w:rPr>
              <w:t>Atributos o procedimientos relativos a s</w:t>
            </w:r>
            <w:r w:rsidRPr="004854EF">
              <w:rPr>
                <w:b/>
                <w:bCs/>
                <w:spacing w:val="-3"/>
                <w:sz w:val="20"/>
                <w:szCs w:val="20"/>
              </w:rPr>
              <w:t>ignificancia</w:t>
            </w:r>
            <w:r>
              <w:rPr>
                <w:b/>
                <w:bCs/>
                <w:spacing w:val="-3"/>
                <w:sz w:val="20"/>
                <w:szCs w:val="20"/>
              </w:rPr>
              <w:t xml:space="preserve"> de los impactos</w:t>
            </w:r>
          </w:p>
        </w:tc>
        <w:tc>
          <w:tcPr>
            <w:tcW w:w="3200" w:type="dxa"/>
            <w:gridSpan w:val="4"/>
            <w:vAlign w:val="center"/>
          </w:tcPr>
          <w:p w14:paraId="5435B1F0" w14:textId="77777777" w:rsidR="00B1236B" w:rsidRPr="004854EF" w:rsidRDefault="00B1236B" w:rsidP="00881EA0">
            <w:pPr>
              <w:numPr>
                <w:ilvl w:val="12"/>
                <w:numId w:val="0"/>
              </w:numPr>
              <w:tabs>
                <w:tab w:val="left" w:pos="-2268"/>
              </w:tabs>
              <w:suppressAutoHyphens/>
              <w:jc w:val="center"/>
              <w:rPr>
                <w:b/>
                <w:bCs/>
                <w:spacing w:val="-3"/>
                <w:sz w:val="20"/>
                <w:szCs w:val="20"/>
              </w:rPr>
            </w:pPr>
            <w:r>
              <w:rPr>
                <w:b/>
                <w:bCs/>
                <w:spacing w:val="-3"/>
                <w:sz w:val="20"/>
                <w:szCs w:val="20"/>
              </w:rPr>
              <w:t>Atributos o procedimientos complementarios</w:t>
            </w:r>
          </w:p>
        </w:tc>
        <w:tc>
          <w:tcPr>
            <w:tcW w:w="2552" w:type="dxa"/>
            <w:gridSpan w:val="3"/>
            <w:vAlign w:val="center"/>
          </w:tcPr>
          <w:p w14:paraId="2AF83016" w14:textId="77777777" w:rsidR="00B1236B" w:rsidRPr="004854EF" w:rsidRDefault="00B1236B" w:rsidP="00881EA0">
            <w:pPr>
              <w:numPr>
                <w:ilvl w:val="12"/>
                <w:numId w:val="0"/>
              </w:numPr>
              <w:tabs>
                <w:tab w:val="left" w:pos="-2268"/>
              </w:tabs>
              <w:suppressAutoHyphens/>
              <w:jc w:val="center"/>
              <w:rPr>
                <w:b/>
                <w:bCs/>
                <w:spacing w:val="-3"/>
                <w:sz w:val="20"/>
                <w:szCs w:val="20"/>
              </w:rPr>
            </w:pPr>
            <w:r>
              <w:rPr>
                <w:b/>
                <w:bCs/>
                <w:spacing w:val="-3"/>
                <w:sz w:val="20"/>
                <w:szCs w:val="20"/>
              </w:rPr>
              <w:t>Atributos o procedimientos relativos a los I. r</w:t>
            </w:r>
            <w:r w:rsidRPr="004854EF">
              <w:rPr>
                <w:b/>
                <w:bCs/>
                <w:spacing w:val="-3"/>
                <w:sz w:val="20"/>
                <w:szCs w:val="20"/>
              </w:rPr>
              <w:t>esiduales</w:t>
            </w:r>
          </w:p>
        </w:tc>
      </w:tr>
      <w:tr w:rsidR="00B1236B" w:rsidRPr="007B0076" w14:paraId="5F3AAA07" w14:textId="77777777" w:rsidTr="00E64F04">
        <w:trPr>
          <w:trHeight w:hRule="exact" w:val="567"/>
          <w:tblHeader/>
          <w:jc w:val="center"/>
        </w:trPr>
        <w:tc>
          <w:tcPr>
            <w:tcW w:w="1235" w:type="dxa"/>
            <w:vMerge/>
            <w:vAlign w:val="center"/>
          </w:tcPr>
          <w:p w14:paraId="1B51FB06" w14:textId="77777777" w:rsidR="00B1236B" w:rsidRPr="004854EF" w:rsidRDefault="00B1236B" w:rsidP="00881EA0">
            <w:pPr>
              <w:numPr>
                <w:ilvl w:val="12"/>
                <w:numId w:val="0"/>
              </w:numPr>
              <w:tabs>
                <w:tab w:val="left" w:pos="-2268"/>
              </w:tabs>
              <w:suppressAutoHyphens/>
              <w:jc w:val="center"/>
              <w:rPr>
                <w:b/>
                <w:bCs/>
                <w:spacing w:val="-3"/>
                <w:sz w:val="20"/>
                <w:szCs w:val="20"/>
              </w:rPr>
            </w:pPr>
          </w:p>
        </w:tc>
        <w:tc>
          <w:tcPr>
            <w:tcW w:w="768" w:type="dxa"/>
            <w:vAlign w:val="center"/>
          </w:tcPr>
          <w:p w14:paraId="3317CA9B"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A. 1</w:t>
            </w:r>
          </w:p>
        </w:tc>
        <w:tc>
          <w:tcPr>
            <w:tcW w:w="768" w:type="dxa"/>
            <w:vAlign w:val="center"/>
          </w:tcPr>
          <w:p w14:paraId="32C46357"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A. 2</w:t>
            </w:r>
          </w:p>
        </w:tc>
        <w:tc>
          <w:tcPr>
            <w:tcW w:w="768" w:type="dxa"/>
            <w:vAlign w:val="center"/>
          </w:tcPr>
          <w:p w14:paraId="3323E1F0"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A. 3</w:t>
            </w:r>
          </w:p>
        </w:tc>
        <w:tc>
          <w:tcPr>
            <w:tcW w:w="769" w:type="dxa"/>
            <w:vAlign w:val="center"/>
          </w:tcPr>
          <w:p w14:paraId="029F8C28"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S</w:t>
            </w:r>
          </w:p>
        </w:tc>
        <w:tc>
          <w:tcPr>
            <w:tcW w:w="768" w:type="dxa"/>
            <w:vAlign w:val="center"/>
          </w:tcPr>
          <w:p w14:paraId="3DD09773"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A. 4</w:t>
            </w:r>
          </w:p>
        </w:tc>
        <w:tc>
          <w:tcPr>
            <w:tcW w:w="768" w:type="dxa"/>
            <w:vAlign w:val="center"/>
          </w:tcPr>
          <w:p w14:paraId="064EE41C"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A. 5</w:t>
            </w:r>
          </w:p>
        </w:tc>
        <w:tc>
          <w:tcPr>
            <w:tcW w:w="768" w:type="dxa"/>
            <w:vAlign w:val="center"/>
          </w:tcPr>
          <w:p w14:paraId="1B91BBAC"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A. 6</w:t>
            </w:r>
          </w:p>
        </w:tc>
        <w:tc>
          <w:tcPr>
            <w:tcW w:w="896" w:type="dxa"/>
            <w:vAlign w:val="center"/>
          </w:tcPr>
          <w:p w14:paraId="40D9837C" w14:textId="77777777" w:rsidR="00B1236B" w:rsidRPr="004854EF" w:rsidRDefault="00B1236B" w:rsidP="00881EA0">
            <w:pPr>
              <w:numPr>
                <w:ilvl w:val="12"/>
                <w:numId w:val="0"/>
              </w:numPr>
              <w:tabs>
                <w:tab w:val="left" w:pos="-2268"/>
              </w:tabs>
              <w:suppressAutoHyphens/>
              <w:jc w:val="center"/>
              <w:rPr>
                <w:b/>
                <w:bCs/>
                <w:spacing w:val="-3"/>
                <w:sz w:val="20"/>
                <w:szCs w:val="20"/>
              </w:rPr>
            </w:pPr>
            <w:r>
              <w:rPr>
                <w:b/>
                <w:bCs/>
                <w:spacing w:val="-3"/>
                <w:sz w:val="20"/>
                <w:szCs w:val="20"/>
              </w:rPr>
              <w:t>S + C</w:t>
            </w:r>
          </w:p>
        </w:tc>
        <w:tc>
          <w:tcPr>
            <w:tcW w:w="641" w:type="dxa"/>
            <w:vAlign w:val="center"/>
          </w:tcPr>
          <w:p w14:paraId="73960941"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A. 7</w:t>
            </w:r>
          </w:p>
        </w:tc>
        <w:tc>
          <w:tcPr>
            <w:tcW w:w="768" w:type="dxa"/>
            <w:vAlign w:val="center"/>
          </w:tcPr>
          <w:p w14:paraId="5DEE0151"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A. 8</w:t>
            </w:r>
          </w:p>
        </w:tc>
        <w:tc>
          <w:tcPr>
            <w:tcW w:w="1143" w:type="dxa"/>
            <w:vAlign w:val="center"/>
          </w:tcPr>
          <w:p w14:paraId="0EB56043"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R</w:t>
            </w:r>
          </w:p>
        </w:tc>
      </w:tr>
      <w:tr w:rsidR="00B1236B" w:rsidRPr="007B0076" w14:paraId="4829EE77" w14:textId="77777777" w:rsidTr="00881EA0">
        <w:trPr>
          <w:trHeight w:hRule="exact" w:val="567"/>
          <w:jc w:val="center"/>
        </w:trPr>
        <w:tc>
          <w:tcPr>
            <w:tcW w:w="1235" w:type="dxa"/>
            <w:vAlign w:val="center"/>
          </w:tcPr>
          <w:p w14:paraId="6899B784"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Impacto 1</w:t>
            </w:r>
          </w:p>
        </w:tc>
        <w:tc>
          <w:tcPr>
            <w:tcW w:w="768" w:type="dxa"/>
            <w:vAlign w:val="center"/>
          </w:tcPr>
          <w:p w14:paraId="6C222F26"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1</w:t>
            </w:r>
            <w:r w:rsidRPr="004854EF">
              <w:rPr>
                <w:spacing w:val="-3"/>
                <w:sz w:val="20"/>
                <w:szCs w:val="20"/>
              </w:rPr>
              <w:t>A</w:t>
            </w:r>
            <w:r w:rsidRPr="004854EF">
              <w:rPr>
                <w:spacing w:val="-3"/>
                <w:sz w:val="20"/>
                <w:szCs w:val="20"/>
                <w:vertAlign w:val="subscript"/>
              </w:rPr>
              <w:t>1</w:t>
            </w:r>
          </w:p>
        </w:tc>
        <w:tc>
          <w:tcPr>
            <w:tcW w:w="768" w:type="dxa"/>
            <w:vAlign w:val="center"/>
          </w:tcPr>
          <w:p w14:paraId="7677A9BB"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1</w:t>
            </w:r>
            <w:r w:rsidRPr="004854EF">
              <w:rPr>
                <w:spacing w:val="-3"/>
                <w:sz w:val="20"/>
                <w:szCs w:val="20"/>
              </w:rPr>
              <w:t>A</w:t>
            </w:r>
            <w:r w:rsidRPr="004854EF">
              <w:rPr>
                <w:spacing w:val="-3"/>
                <w:sz w:val="20"/>
                <w:szCs w:val="20"/>
                <w:vertAlign w:val="subscript"/>
              </w:rPr>
              <w:t>2</w:t>
            </w:r>
          </w:p>
        </w:tc>
        <w:tc>
          <w:tcPr>
            <w:tcW w:w="768" w:type="dxa"/>
            <w:vAlign w:val="center"/>
          </w:tcPr>
          <w:p w14:paraId="67B75E8C"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1</w:t>
            </w:r>
            <w:r w:rsidRPr="004854EF">
              <w:rPr>
                <w:spacing w:val="-3"/>
                <w:sz w:val="20"/>
                <w:szCs w:val="20"/>
              </w:rPr>
              <w:t>A</w:t>
            </w:r>
            <w:r w:rsidRPr="004854EF">
              <w:rPr>
                <w:spacing w:val="-3"/>
                <w:sz w:val="20"/>
                <w:szCs w:val="20"/>
                <w:vertAlign w:val="subscript"/>
              </w:rPr>
              <w:t>3</w:t>
            </w:r>
          </w:p>
        </w:tc>
        <w:tc>
          <w:tcPr>
            <w:tcW w:w="769" w:type="dxa"/>
            <w:vAlign w:val="center"/>
          </w:tcPr>
          <w:p w14:paraId="00B30531"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S I</w:t>
            </w:r>
            <w:r w:rsidRPr="004854EF">
              <w:rPr>
                <w:spacing w:val="-3"/>
                <w:sz w:val="20"/>
                <w:szCs w:val="20"/>
                <w:vertAlign w:val="subscript"/>
              </w:rPr>
              <w:t>1</w:t>
            </w:r>
          </w:p>
        </w:tc>
        <w:tc>
          <w:tcPr>
            <w:tcW w:w="768" w:type="dxa"/>
            <w:vAlign w:val="center"/>
          </w:tcPr>
          <w:p w14:paraId="6EDAE497"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1</w:t>
            </w:r>
            <w:r w:rsidRPr="004854EF">
              <w:rPr>
                <w:spacing w:val="-3"/>
                <w:sz w:val="20"/>
                <w:szCs w:val="20"/>
              </w:rPr>
              <w:t>A</w:t>
            </w:r>
            <w:r w:rsidRPr="004854EF">
              <w:rPr>
                <w:spacing w:val="-3"/>
                <w:sz w:val="20"/>
                <w:szCs w:val="20"/>
                <w:vertAlign w:val="subscript"/>
              </w:rPr>
              <w:t>4</w:t>
            </w:r>
          </w:p>
        </w:tc>
        <w:tc>
          <w:tcPr>
            <w:tcW w:w="768" w:type="dxa"/>
            <w:vAlign w:val="center"/>
          </w:tcPr>
          <w:p w14:paraId="5E80731C"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1</w:t>
            </w:r>
            <w:r w:rsidRPr="004854EF">
              <w:rPr>
                <w:spacing w:val="-3"/>
                <w:sz w:val="20"/>
                <w:szCs w:val="20"/>
              </w:rPr>
              <w:t>A</w:t>
            </w:r>
            <w:r w:rsidRPr="004854EF">
              <w:rPr>
                <w:spacing w:val="-3"/>
                <w:sz w:val="20"/>
                <w:szCs w:val="20"/>
                <w:vertAlign w:val="subscript"/>
              </w:rPr>
              <w:t>5</w:t>
            </w:r>
          </w:p>
        </w:tc>
        <w:tc>
          <w:tcPr>
            <w:tcW w:w="768" w:type="dxa"/>
            <w:vAlign w:val="center"/>
          </w:tcPr>
          <w:p w14:paraId="00CCE11A"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1</w:t>
            </w:r>
            <w:r w:rsidRPr="004854EF">
              <w:rPr>
                <w:spacing w:val="-3"/>
                <w:sz w:val="20"/>
                <w:szCs w:val="20"/>
              </w:rPr>
              <w:t>A</w:t>
            </w:r>
            <w:r w:rsidRPr="004854EF">
              <w:rPr>
                <w:spacing w:val="-3"/>
                <w:sz w:val="20"/>
                <w:szCs w:val="20"/>
                <w:vertAlign w:val="subscript"/>
              </w:rPr>
              <w:t>6</w:t>
            </w:r>
          </w:p>
        </w:tc>
        <w:tc>
          <w:tcPr>
            <w:tcW w:w="896" w:type="dxa"/>
            <w:vAlign w:val="center"/>
          </w:tcPr>
          <w:p w14:paraId="4EE45373" w14:textId="77777777" w:rsidR="00B1236B" w:rsidRPr="004854EF" w:rsidRDefault="00B1236B" w:rsidP="00881EA0">
            <w:pPr>
              <w:numPr>
                <w:ilvl w:val="12"/>
                <w:numId w:val="0"/>
              </w:numPr>
              <w:tabs>
                <w:tab w:val="left" w:pos="-2268"/>
              </w:tabs>
              <w:suppressAutoHyphens/>
              <w:ind w:left="-63"/>
              <w:jc w:val="center"/>
              <w:rPr>
                <w:spacing w:val="-3"/>
                <w:sz w:val="20"/>
                <w:szCs w:val="20"/>
              </w:rPr>
            </w:pPr>
            <w:r>
              <w:rPr>
                <w:spacing w:val="-3"/>
                <w:sz w:val="20"/>
                <w:szCs w:val="20"/>
              </w:rPr>
              <w:t>S+ C</w:t>
            </w:r>
            <w:r w:rsidRPr="004854EF">
              <w:rPr>
                <w:spacing w:val="-3"/>
                <w:sz w:val="20"/>
                <w:szCs w:val="20"/>
              </w:rPr>
              <w:t xml:space="preserve"> I</w:t>
            </w:r>
            <w:r w:rsidRPr="004854EF">
              <w:rPr>
                <w:spacing w:val="-3"/>
                <w:sz w:val="20"/>
                <w:szCs w:val="20"/>
                <w:vertAlign w:val="subscript"/>
              </w:rPr>
              <w:t>1</w:t>
            </w:r>
          </w:p>
        </w:tc>
        <w:tc>
          <w:tcPr>
            <w:tcW w:w="641" w:type="dxa"/>
            <w:vAlign w:val="center"/>
          </w:tcPr>
          <w:p w14:paraId="286234AD"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1</w:t>
            </w:r>
            <w:r w:rsidRPr="004854EF">
              <w:rPr>
                <w:spacing w:val="-3"/>
                <w:sz w:val="20"/>
                <w:szCs w:val="20"/>
              </w:rPr>
              <w:t>A</w:t>
            </w:r>
            <w:r w:rsidRPr="004854EF">
              <w:rPr>
                <w:spacing w:val="-3"/>
                <w:sz w:val="20"/>
                <w:szCs w:val="20"/>
                <w:vertAlign w:val="subscript"/>
              </w:rPr>
              <w:t>7</w:t>
            </w:r>
          </w:p>
        </w:tc>
        <w:tc>
          <w:tcPr>
            <w:tcW w:w="768" w:type="dxa"/>
            <w:vAlign w:val="center"/>
          </w:tcPr>
          <w:p w14:paraId="5A8BA43E"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1</w:t>
            </w:r>
            <w:r w:rsidRPr="004854EF">
              <w:rPr>
                <w:spacing w:val="-3"/>
                <w:sz w:val="20"/>
                <w:szCs w:val="20"/>
              </w:rPr>
              <w:t>A</w:t>
            </w:r>
            <w:r w:rsidRPr="004854EF">
              <w:rPr>
                <w:spacing w:val="-3"/>
                <w:sz w:val="20"/>
                <w:szCs w:val="20"/>
                <w:vertAlign w:val="subscript"/>
              </w:rPr>
              <w:t>8</w:t>
            </w:r>
          </w:p>
        </w:tc>
        <w:tc>
          <w:tcPr>
            <w:tcW w:w="1143" w:type="dxa"/>
            <w:vAlign w:val="center"/>
          </w:tcPr>
          <w:p w14:paraId="3A28BEBB" w14:textId="77777777" w:rsidR="00B1236B" w:rsidRPr="004854EF" w:rsidRDefault="00B1236B" w:rsidP="00881EA0">
            <w:pPr>
              <w:numPr>
                <w:ilvl w:val="12"/>
                <w:numId w:val="0"/>
              </w:numPr>
              <w:tabs>
                <w:tab w:val="left" w:pos="-2268"/>
              </w:tabs>
              <w:suppressAutoHyphens/>
              <w:ind w:left="-63"/>
              <w:jc w:val="center"/>
              <w:rPr>
                <w:spacing w:val="-3"/>
                <w:sz w:val="20"/>
                <w:szCs w:val="20"/>
              </w:rPr>
            </w:pPr>
            <w:r>
              <w:rPr>
                <w:spacing w:val="-3"/>
                <w:sz w:val="20"/>
                <w:szCs w:val="20"/>
              </w:rPr>
              <w:t xml:space="preserve">S+ C+ </w:t>
            </w:r>
            <w:r w:rsidRPr="004854EF">
              <w:rPr>
                <w:spacing w:val="-3"/>
                <w:sz w:val="20"/>
                <w:szCs w:val="20"/>
              </w:rPr>
              <w:t>R I</w:t>
            </w:r>
            <w:r w:rsidRPr="004854EF">
              <w:rPr>
                <w:spacing w:val="-3"/>
                <w:sz w:val="20"/>
                <w:szCs w:val="20"/>
                <w:vertAlign w:val="subscript"/>
              </w:rPr>
              <w:t>1</w:t>
            </w:r>
          </w:p>
        </w:tc>
      </w:tr>
      <w:tr w:rsidR="00B1236B" w:rsidRPr="007B0076" w14:paraId="6F3DDC9F" w14:textId="77777777" w:rsidTr="00881EA0">
        <w:trPr>
          <w:trHeight w:hRule="exact" w:val="567"/>
          <w:jc w:val="center"/>
        </w:trPr>
        <w:tc>
          <w:tcPr>
            <w:tcW w:w="1235" w:type="dxa"/>
            <w:vAlign w:val="center"/>
          </w:tcPr>
          <w:p w14:paraId="0BAE1F9A"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Impacto 2</w:t>
            </w:r>
          </w:p>
        </w:tc>
        <w:tc>
          <w:tcPr>
            <w:tcW w:w="768" w:type="dxa"/>
            <w:vAlign w:val="center"/>
          </w:tcPr>
          <w:p w14:paraId="31FF1EA7"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2</w:t>
            </w:r>
            <w:r w:rsidRPr="004854EF">
              <w:rPr>
                <w:spacing w:val="-3"/>
                <w:sz w:val="20"/>
                <w:szCs w:val="20"/>
              </w:rPr>
              <w:t>A</w:t>
            </w:r>
            <w:r w:rsidRPr="004854EF">
              <w:rPr>
                <w:spacing w:val="-3"/>
                <w:sz w:val="20"/>
                <w:szCs w:val="20"/>
                <w:vertAlign w:val="subscript"/>
              </w:rPr>
              <w:t>1</w:t>
            </w:r>
          </w:p>
        </w:tc>
        <w:tc>
          <w:tcPr>
            <w:tcW w:w="768" w:type="dxa"/>
            <w:vAlign w:val="center"/>
          </w:tcPr>
          <w:p w14:paraId="2347BFFE"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2</w:t>
            </w:r>
            <w:r w:rsidRPr="004854EF">
              <w:rPr>
                <w:spacing w:val="-3"/>
                <w:sz w:val="20"/>
                <w:szCs w:val="20"/>
              </w:rPr>
              <w:t>A</w:t>
            </w:r>
            <w:r w:rsidRPr="004854EF">
              <w:rPr>
                <w:spacing w:val="-3"/>
                <w:sz w:val="20"/>
                <w:szCs w:val="20"/>
                <w:vertAlign w:val="subscript"/>
              </w:rPr>
              <w:t>2</w:t>
            </w:r>
          </w:p>
        </w:tc>
        <w:tc>
          <w:tcPr>
            <w:tcW w:w="768" w:type="dxa"/>
            <w:vAlign w:val="center"/>
          </w:tcPr>
          <w:p w14:paraId="129D2627"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2</w:t>
            </w:r>
            <w:r w:rsidRPr="004854EF">
              <w:rPr>
                <w:spacing w:val="-3"/>
                <w:sz w:val="20"/>
                <w:szCs w:val="20"/>
              </w:rPr>
              <w:t>A</w:t>
            </w:r>
            <w:r w:rsidRPr="004854EF">
              <w:rPr>
                <w:spacing w:val="-3"/>
                <w:sz w:val="20"/>
                <w:szCs w:val="20"/>
                <w:vertAlign w:val="subscript"/>
              </w:rPr>
              <w:t>3</w:t>
            </w:r>
          </w:p>
        </w:tc>
        <w:tc>
          <w:tcPr>
            <w:tcW w:w="769" w:type="dxa"/>
            <w:vAlign w:val="center"/>
          </w:tcPr>
          <w:p w14:paraId="31CD6675"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S I</w:t>
            </w:r>
            <w:r w:rsidRPr="004854EF">
              <w:rPr>
                <w:spacing w:val="-3"/>
                <w:sz w:val="20"/>
                <w:szCs w:val="20"/>
                <w:vertAlign w:val="subscript"/>
              </w:rPr>
              <w:t>2</w:t>
            </w:r>
          </w:p>
        </w:tc>
        <w:tc>
          <w:tcPr>
            <w:tcW w:w="768" w:type="dxa"/>
            <w:vAlign w:val="center"/>
          </w:tcPr>
          <w:p w14:paraId="2FE06A80"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2</w:t>
            </w:r>
            <w:r w:rsidRPr="004854EF">
              <w:rPr>
                <w:spacing w:val="-3"/>
                <w:sz w:val="20"/>
                <w:szCs w:val="20"/>
              </w:rPr>
              <w:t>A</w:t>
            </w:r>
            <w:r w:rsidRPr="004854EF">
              <w:rPr>
                <w:spacing w:val="-3"/>
                <w:sz w:val="20"/>
                <w:szCs w:val="20"/>
                <w:vertAlign w:val="subscript"/>
              </w:rPr>
              <w:t>4</w:t>
            </w:r>
          </w:p>
        </w:tc>
        <w:tc>
          <w:tcPr>
            <w:tcW w:w="768" w:type="dxa"/>
            <w:vAlign w:val="center"/>
          </w:tcPr>
          <w:p w14:paraId="4F627BBA"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2</w:t>
            </w:r>
            <w:r w:rsidRPr="004854EF">
              <w:rPr>
                <w:spacing w:val="-3"/>
                <w:sz w:val="20"/>
                <w:szCs w:val="20"/>
              </w:rPr>
              <w:t>A</w:t>
            </w:r>
            <w:r w:rsidRPr="004854EF">
              <w:rPr>
                <w:spacing w:val="-3"/>
                <w:sz w:val="20"/>
                <w:szCs w:val="20"/>
                <w:vertAlign w:val="subscript"/>
              </w:rPr>
              <w:t>5</w:t>
            </w:r>
          </w:p>
        </w:tc>
        <w:tc>
          <w:tcPr>
            <w:tcW w:w="768" w:type="dxa"/>
            <w:vAlign w:val="center"/>
          </w:tcPr>
          <w:p w14:paraId="10317680"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2</w:t>
            </w:r>
            <w:r w:rsidRPr="004854EF">
              <w:rPr>
                <w:spacing w:val="-3"/>
                <w:sz w:val="20"/>
                <w:szCs w:val="20"/>
              </w:rPr>
              <w:t>A</w:t>
            </w:r>
            <w:r w:rsidRPr="004854EF">
              <w:rPr>
                <w:spacing w:val="-3"/>
                <w:sz w:val="20"/>
                <w:szCs w:val="20"/>
                <w:vertAlign w:val="subscript"/>
              </w:rPr>
              <w:t>6</w:t>
            </w:r>
          </w:p>
        </w:tc>
        <w:tc>
          <w:tcPr>
            <w:tcW w:w="896" w:type="dxa"/>
            <w:vAlign w:val="center"/>
          </w:tcPr>
          <w:p w14:paraId="549BBD81" w14:textId="77777777" w:rsidR="00B1236B" w:rsidRPr="004854EF" w:rsidRDefault="00B1236B" w:rsidP="00881EA0">
            <w:pPr>
              <w:numPr>
                <w:ilvl w:val="12"/>
                <w:numId w:val="0"/>
              </w:numPr>
              <w:tabs>
                <w:tab w:val="left" w:pos="-2268"/>
              </w:tabs>
              <w:suppressAutoHyphens/>
              <w:ind w:left="-63"/>
              <w:jc w:val="center"/>
              <w:rPr>
                <w:spacing w:val="-3"/>
                <w:sz w:val="20"/>
                <w:szCs w:val="20"/>
              </w:rPr>
            </w:pPr>
            <w:r>
              <w:rPr>
                <w:spacing w:val="-3"/>
                <w:sz w:val="20"/>
                <w:szCs w:val="20"/>
              </w:rPr>
              <w:t>S+ C</w:t>
            </w:r>
            <w:r w:rsidRPr="004854EF">
              <w:rPr>
                <w:spacing w:val="-3"/>
                <w:sz w:val="20"/>
                <w:szCs w:val="20"/>
              </w:rPr>
              <w:t xml:space="preserve"> I</w:t>
            </w:r>
            <w:r w:rsidRPr="004854EF">
              <w:rPr>
                <w:spacing w:val="-3"/>
                <w:sz w:val="20"/>
                <w:szCs w:val="20"/>
                <w:vertAlign w:val="subscript"/>
              </w:rPr>
              <w:t>2</w:t>
            </w:r>
          </w:p>
        </w:tc>
        <w:tc>
          <w:tcPr>
            <w:tcW w:w="641" w:type="dxa"/>
            <w:vAlign w:val="center"/>
          </w:tcPr>
          <w:p w14:paraId="75C1CFC2"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2</w:t>
            </w:r>
            <w:r w:rsidRPr="004854EF">
              <w:rPr>
                <w:spacing w:val="-3"/>
                <w:sz w:val="20"/>
                <w:szCs w:val="20"/>
              </w:rPr>
              <w:t>A</w:t>
            </w:r>
            <w:r w:rsidRPr="004854EF">
              <w:rPr>
                <w:spacing w:val="-3"/>
                <w:sz w:val="20"/>
                <w:szCs w:val="20"/>
                <w:vertAlign w:val="subscript"/>
              </w:rPr>
              <w:t>7</w:t>
            </w:r>
          </w:p>
        </w:tc>
        <w:tc>
          <w:tcPr>
            <w:tcW w:w="768" w:type="dxa"/>
            <w:vAlign w:val="center"/>
          </w:tcPr>
          <w:p w14:paraId="274C33C6"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2</w:t>
            </w:r>
            <w:r w:rsidRPr="004854EF">
              <w:rPr>
                <w:spacing w:val="-3"/>
                <w:sz w:val="20"/>
                <w:szCs w:val="20"/>
              </w:rPr>
              <w:t>A</w:t>
            </w:r>
            <w:r w:rsidRPr="004854EF">
              <w:rPr>
                <w:spacing w:val="-3"/>
                <w:sz w:val="20"/>
                <w:szCs w:val="20"/>
                <w:vertAlign w:val="subscript"/>
              </w:rPr>
              <w:t>8</w:t>
            </w:r>
          </w:p>
        </w:tc>
        <w:tc>
          <w:tcPr>
            <w:tcW w:w="1143" w:type="dxa"/>
            <w:vAlign w:val="center"/>
          </w:tcPr>
          <w:p w14:paraId="316AF4CB" w14:textId="77777777" w:rsidR="00B1236B" w:rsidRPr="004854EF" w:rsidRDefault="00B1236B" w:rsidP="00881EA0">
            <w:pPr>
              <w:numPr>
                <w:ilvl w:val="12"/>
                <w:numId w:val="0"/>
              </w:numPr>
              <w:tabs>
                <w:tab w:val="left" w:pos="-2268"/>
              </w:tabs>
              <w:suppressAutoHyphens/>
              <w:ind w:left="-63"/>
              <w:jc w:val="center"/>
              <w:rPr>
                <w:spacing w:val="-3"/>
                <w:sz w:val="20"/>
                <w:szCs w:val="20"/>
              </w:rPr>
            </w:pPr>
            <w:r>
              <w:rPr>
                <w:spacing w:val="-3"/>
                <w:sz w:val="20"/>
                <w:szCs w:val="20"/>
              </w:rPr>
              <w:t xml:space="preserve">S+ C+ </w:t>
            </w:r>
            <w:r w:rsidRPr="004854EF">
              <w:rPr>
                <w:spacing w:val="-3"/>
                <w:sz w:val="20"/>
                <w:szCs w:val="20"/>
              </w:rPr>
              <w:t>R I</w:t>
            </w:r>
            <w:r w:rsidRPr="004854EF">
              <w:rPr>
                <w:spacing w:val="-3"/>
                <w:sz w:val="20"/>
                <w:szCs w:val="20"/>
                <w:vertAlign w:val="subscript"/>
              </w:rPr>
              <w:t>2</w:t>
            </w:r>
          </w:p>
        </w:tc>
      </w:tr>
      <w:tr w:rsidR="00B1236B" w:rsidRPr="007B0076" w14:paraId="42FA0853" w14:textId="77777777" w:rsidTr="00881EA0">
        <w:trPr>
          <w:trHeight w:hRule="exact" w:val="567"/>
          <w:jc w:val="center"/>
        </w:trPr>
        <w:tc>
          <w:tcPr>
            <w:tcW w:w="1235" w:type="dxa"/>
            <w:vAlign w:val="center"/>
          </w:tcPr>
          <w:p w14:paraId="3345A78A" w14:textId="77777777" w:rsidR="00B1236B" w:rsidRPr="004854EF" w:rsidRDefault="00B1236B" w:rsidP="00881EA0">
            <w:pPr>
              <w:numPr>
                <w:ilvl w:val="12"/>
                <w:numId w:val="0"/>
              </w:numPr>
              <w:tabs>
                <w:tab w:val="left" w:pos="-2268"/>
              </w:tabs>
              <w:suppressAutoHyphens/>
              <w:jc w:val="center"/>
              <w:rPr>
                <w:b/>
                <w:bCs/>
                <w:spacing w:val="-3"/>
                <w:sz w:val="20"/>
                <w:szCs w:val="20"/>
              </w:rPr>
            </w:pPr>
            <w:r w:rsidRPr="004854EF">
              <w:rPr>
                <w:b/>
                <w:bCs/>
                <w:spacing w:val="-3"/>
                <w:sz w:val="20"/>
                <w:szCs w:val="20"/>
              </w:rPr>
              <w:t>Impacto n</w:t>
            </w:r>
          </w:p>
        </w:tc>
        <w:tc>
          <w:tcPr>
            <w:tcW w:w="768" w:type="dxa"/>
            <w:vAlign w:val="center"/>
          </w:tcPr>
          <w:p w14:paraId="123922A4"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n</w:t>
            </w:r>
            <w:r w:rsidRPr="004854EF">
              <w:rPr>
                <w:spacing w:val="-3"/>
                <w:sz w:val="20"/>
                <w:szCs w:val="20"/>
              </w:rPr>
              <w:t>A</w:t>
            </w:r>
            <w:r w:rsidRPr="004854EF">
              <w:rPr>
                <w:spacing w:val="-3"/>
                <w:sz w:val="20"/>
                <w:szCs w:val="20"/>
                <w:vertAlign w:val="subscript"/>
              </w:rPr>
              <w:t>1</w:t>
            </w:r>
          </w:p>
        </w:tc>
        <w:tc>
          <w:tcPr>
            <w:tcW w:w="768" w:type="dxa"/>
            <w:vAlign w:val="center"/>
          </w:tcPr>
          <w:p w14:paraId="34F2A853"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n</w:t>
            </w:r>
            <w:r w:rsidRPr="004854EF">
              <w:rPr>
                <w:spacing w:val="-3"/>
                <w:sz w:val="20"/>
                <w:szCs w:val="20"/>
              </w:rPr>
              <w:t>A</w:t>
            </w:r>
            <w:r w:rsidRPr="004854EF">
              <w:rPr>
                <w:spacing w:val="-3"/>
                <w:sz w:val="20"/>
                <w:szCs w:val="20"/>
                <w:vertAlign w:val="subscript"/>
              </w:rPr>
              <w:t>2</w:t>
            </w:r>
          </w:p>
        </w:tc>
        <w:tc>
          <w:tcPr>
            <w:tcW w:w="768" w:type="dxa"/>
            <w:vAlign w:val="center"/>
          </w:tcPr>
          <w:p w14:paraId="5C303B36"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n</w:t>
            </w:r>
            <w:r w:rsidRPr="004854EF">
              <w:rPr>
                <w:spacing w:val="-3"/>
                <w:sz w:val="20"/>
                <w:szCs w:val="20"/>
              </w:rPr>
              <w:t>A</w:t>
            </w:r>
            <w:r w:rsidRPr="004854EF">
              <w:rPr>
                <w:spacing w:val="-3"/>
                <w:sz w:val="20"/>
                <w:szCs w:val="20"/>
                <w:vertAlign w:val="subscript"/>
              </w:rPr>
              <w:t>3</w:t>
            </w:r>
          </w:p>
        </w:tc>
        <w:tc>
          <w:tcPr>
            <w:tcW w:w="769" w:type="dxa"/>
            <w:vAlign w:val="center"/>
          </w:tcPr>
          <w:p w14:paraId="415C7643"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S I</w:t>
            </w:r>
            <w:r w:rsidRPr="004854EF">
              <w:rPr>
                <w:spacing w:val="-3"/>
                <w:sz w:val="20"/>
                <w:szCs w:val="20"/>
                <w:vertAlign w:val="subscript"/>
              </w:rPr>
              <w:t>n</w:t>
            </w:r>
          </w:p>
        </w:tc>
        <w:tc>
          <w:tcPr>
            <w:tcW w:w="768" w:type="dxa"/>
            <w:vAlign w:val="center"/>
          </w:tcPr>
          <w:p w14:paraId="1331B48C"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n</w:t>
            </w:r>
            <w:r w:rsidRPr="004854EF">
              <w:rPr>
                <w:spacing w:val="-3"/>
                <w:sz w:val="20"/>
                <w:szCs w:val="20"/>
              </w:rPr>
              <w:t>A</w:t>
            </w:r>
            <w:r w:rsidRPr="004854EF">
              <w:rPr>
                <w:spacing w:val="-3"/>
                <w:sz w:val="20"/>
                <w:szCs w:val="20"/>
                <w:vertAlign w:val="subscript"/>
              </w:rPr>
              <w:t>4</w:t>
            </w:r>
          </w:p>
        </w:tc>
        <w:tc>
          <w:tcPr>
            <w:tcW w:w="768" w:type="dxa"/>
            <w:vAlign w:val="center"/>
          </w:tcPr>
          <w:p w14:paraId="74E807EB"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n</w:t>
            </w:r>
            <w:r w:rsidRPr="004854EF">
              <w:rPr>
                <w:spacing w:val="-3"/>
                <w:sz w:val="20"/>
                <w:szCs w:val="20"/>
              </w:rPr>
              <w:t>A</w:t>
            </w:r>
            <w:r w:rsidRPr="004854EF">
              <w:rPr>
                <w:spacing w:val="-3"/>
                <w:sz w:val="20"/>
                <w:szCs w:val="20"/>
                <w:vertAlign w:val="subscript"/>
              </w:rPr>
              <w:t>5</w:t>
            </w:r>
          </w:p>
        </w:tc>
        <w:tc>
          <w:tcPr>
            <w:tcW w:w="768" w:type="dxa"/>
            <w:vAlign w:val="center"/>
          </w:tcPr>
          <w:p w14:paraId="0484B0E5"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n</w:t>
            </w:r>
            <w:r w:rsidRPr="004854EF">
              <w:rPr>
                <w:spacing w:val="-3"/>
                <w:sz w:val="20"/>
                <w:szCs w:val="20"/>
              </w:rPr>
              <w:t>A</w:t>
            </w:r>
            <w:r w:rsidRPr="004854EF">
              <w:rPr>
                <w:spacing w:val="-3"/>
                <w:sz w:val="20"/>
                <w:szCs w:val="20"/>
                <w:vertAlign w:val="subscript"/>
              </w:rPr>
              <w:t>6</w:t>
            </w:r>
          </w:p>
        </w:tc>
        <w:tc>
          <w:tcPr>
            <w:tcW w:w="896" w:type="dxa"/>
            <w:vAlign w:val="center"/>
          </w:tcPr>
          <w:p w14:paraId="7182F1AB" w14:textId="77777777" w:rsidR="00B1236B" w:rsidRPr="004854EF" w:rsidRDefault="00B1236B" w:rsidP="00881EA0">
            <w:pPr>
              <w:numPr>
                <w:ilvl w:val="12"/>
                <w:numId w:val="0"/>
              </w:numPr>
              <w:tabs>
                <w:tab w:val="left" w:pos="-2268"/>
              </w:tabs>
              <w:suppressAutoHyphens/>
              <w:ind w:left="-63"/>
              <w:jc w:val="center"/>
              <w:rPr>
                <w:spacing w:val="-3"/>
                <w:sz w:val="20"/>
                <w:szCs w:val="20"/>
              </w:rPr>
            </w:pPr>
            <w:r>
              <w:rPr>
                <w:spacing w:val="-3"/>
                <w:sz w:val="20"/>
                <w:szCs w:val="20"/>
              </w:rPr>
              <w:t>S+ C</w:t>
            </w:r>
            <w:r w:rsidRPr="004854EF">
              <w:rPr>
                <w:spacing w:val="-3"/>
                <w:sz w:val="20"/>
                <w:szCs w:val="20"/>
              </w:rPr>
              <w:t xml:space="preserve"> I</w:t>
            </w:r>
            <w:r w:rsidRPr="004854EF">
              <w:rPr>
                <w:spacing w:val="-3"/>
                <w:sz w:val="20"/>
                <w:szCs w:val="20"/>
                <w:vertAlign w:val="subscript"/>
              </w:rPr>
              <w:t>n</w:t>
            </w:r>
          </w:p>
        </w:tc>
        <w:tc>
          <w:tcPr>
            <w:tcW w:w="641" w:type="dxa"/>
            <w:vAlign w:val="center"/>
          </w:tcPr>
          <w:p w14:paraId="477E1AF7"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n</w:t>
            </w:r>
            <w:r w:rsidRPr="004854EF">
              <w:rPr>
                <w:spacing w:val="-3"/>
                <w:sz w:val="20"/>
                <w:szCs w:val="20"/>
              </w:rPr>
              <w:t>A</w:t>
            </w:r>
            <w:r w:rsidRPr="004854EF">
              <w:rPr>
                <w:spacing w:val="-3"/>
                <w:sz w:val="20"/>
                <w:szCs w:val="20"/>
                <w:vertAlign w:val="subscript"/>
              </w:rPr>
              <w:t>7</w:t>
            </w:r>
          </w:p>
        </w:tc>
        <w:tc>
          <w:tcPr>
            <w:tcW w:w="768" w:type="dxa"/>
            <w:vAlign w:val="center"/>
          </w:tcPr>
          <w:p w14:paraId="4BDD5AA9" w14:textId="77777777" w:rsidR="00B1236B" w:rsidRPr="004854EF" w:rsidRDefault="00B1236B" w:rsidP="00881EA0">
            <w:pPr>
              <w:numPr>
                <w:ilvl w:val="12"/>
                <w:numId w:val="0"/>
              </w:numPr>
              <w:tabs>
                <w:tab w:val="left" w:pos="-2268"/>
              </w:tabs>
              <w:suppressAutoHyphens/>
              <w:ind w:left="-63"/>
              <w:jc w:val="center"/>
              <w:rPr>
                <w:spacing w:val="-3"/>
                <w:sz w:val="20"/>
                <w:szCs w:val="20"/>
              </w:rPr>
            </w:pPr>
            <w:r w:rsidRPr="004854EF">
              <w:rPr>
                <w:spacing w:val="-3"/>
                <w:sz w:val="20"/>
                <w:szCs w:val="20"/>
              </w:rPr>
              <w:t>I</w:t>
            </w:r>
            <w:r w:rsidRPr="004854EF">
              <w:rPr>
                <w:spacing w:val="-3"/>
                <w:sz w:val="20"/>
                <w:szCs w:val="20"/>
                <w:vertAlign w:val="subscript"/>
              </w:rPr>
              <w:t>n</w:t>
            </w:r>
            <w:r w:rsidRPr="004854EF">
              <w:rPr>
                <w:spacing w:val="-3"/>
                <w:sz w:val="20"/>
                <w:szCs w:val="20"/>
              </w:rPr>
              <w:t>A</w:t>
            </w:r>
            <w:r w:rsidRPr="004854EF">
              <w:rPr>
                <w:spacing w:val="-3"/>
                <w:sz w:val="20"/>
                <w:szCs w:val="20"/>
                <w:vertAlign w:val="subscript"/>
              </w:rPr>
              <w:t>8</w:t>
            </w:r>
          </w:p>
        </w:tc>
        <w:tc>
          <w:tcPr>
            <w:tcW w:w="1143" w:type="dxa"/>
            <w:vAlign w:val="center"/>
          </w:tcPr>
          <w:p w14:paraId="05EBD293" w14:textId="77777777" w:rsidR="00B1236B" w:rsidRPr="004854EF" w:rsidRDefault="00B1236B" w:rsidP="00881EA0">
            <w:pPr>
              <w:numPr>
                <w:ilvl w:val="12"/>
                <w:numId w:val="0"/>
              </w:numPr>
              <w:tabs>
                <w:tab w:val="left" w:pos="-2268"/>
              </w:tabs>
              <w:suppressAutoHyphens/>
              <w:ind w:left="-63"/>
              <w:jc w:val="center"/>
              <w:rPr>
                <w:spacing w:val="-3"/>
                <w:sz w:val="20"/>
                <w:szCs w:val="20"/>
              </w:rPr>
            </w:pPr>
            <w:r>
              <w:rPr>
                <w:spacing w:val="-3"/>
                <w:sz w:val="20"/>
                <w:szCs w:val="20"/>
              </w:rPr>
              <w:t xml:space="preserve">S+ C+ </w:t>
            </w:r>
            <w:r w:rsidRPr="004854EF">
              <w:rPr>
                <w:spacing w:val="-3"/>
                <w:sz w:val="20"/>
                <w:szCs w:val="20"/>
              </w:rPr>
              <w:t>R I</w:t>
            </w:r>
            <w:r w:rsidRPr="004854EF">
              <w:rPr>
                <w:spacing w:val="-3"/>
                <w:sz w:val="20"/>
                <w:szCs w:val="20"/>
                <w:vertAlign w:val="subscript"/>
              </w:rPr>
              <w:t>n</w:t>
            </w:r>
          </w:p>
        </w:tc>
      </w:tr>
    </w:tbl>
    <w:p w14:paraId="3140E99D" w14:textId="14992DFC" w:rsidR="00F26824" w:rsidRDefault="00D54885" w:rsidP="00B1236B">
      <w:pPr>
        <w:numPr>
          <w:ilvl w:val="12"/>
          <w:numId w:val="0"/>
        </w:numPr>
        <w:tabs>
          <w:tab w:val="left" w:pos="-2268"/>
        </w:tabs>
        <w:suppressAutoHyphens/>
        <w:rPr>
          <w:rFonts w:cs="Arial"/>
          <w:spacing w:val="-3"/>
          <w:sz w:val="20"/>
          <w:szCs w:val="20"/>
        </w:rPr>
      </w:pPr>
      <w:r>
        <w:rPr>
          <w:rFonts w:cs="Arial"/>
          <w:spacing w:val="-3"/>
          <w:sz w:val="20"/>
          <w:szCs w:val="20"/>
        </w:rPr>
        <w:t xml:space="preserve">Esta es una tabla </w:t>
      </w:r>
      <w:r w:rsidR="00DA3CDD">
        <w:rPr>
          <w:rFonts w:cs="Arial"/>
          <w:spacing w:val="-3"/>
          <w:sz w:val="20"/>
          <w:szCs w:val="20"/>
        </w:rPr>
        <w:t xml:space="preserve">de </w:t>
      </w:r>
      <w:r w:rsidR="00664C19">
        <w:rPr>
          <w:rFonts w:cs="Arial"/>
          <w:spacing w:val="-3"/>
          <w:sz w:val="20"/>
          <w:szCs w:val="20"/>
        </w:rPr>
        <w:t>referencia que busca ilustrar la forma en que se puede</w:t>
      </w:r>
      <w:r w:rsidR="00062134">
        <w:rPr>
          <w:rFonts w:cs="Arial"/>
          <w:spacing w:val="-3"/>
          <w:sz w:val="20"/>
          <w:szCs w:val="20"/>
        </w:rPr>
        <w:t>n</w:t>
      </w:r>
      <w:r w:rsidR="00664C19">
        <w:rPr>
          <w:rFonts w:cs="Arial"/>
          <w:spacing w:val="-3"/>
          <w:sz w:val="20"/>
          <w:szCs w:val="20"/>
        </w:rPr>
        <w:t xml:space="preserve"> ordenar </w:t>
      </w:r>
      <w:r w:rsidR="00062134">
        <w:rPr>
          <w:rFonts w:cs="Arial"/>
          <w:spacing w:val="-3"/>
          <w:sz w:val="20"/>
          <w:szCs w:val="20"/>
        </w:rPr>
        <w:t>los datos</w:t>
      </w:r>
      <w:r w:rsidR="007B0EA1">
        <w:rPr>
          <w:rFonts w:cs="Arial"/>
          <w:spacing w:val="-3"/>
          <w:sz w:val="20"/>
          <w:szCs w:val="20"/>
        </w:rPr>
        <w:t xml:space="preserve">; así, es posible </w:t>
      </w:r>
      <w:r w:rsidR="00B1236B">
        <w:rPr>
          <w:rFonts w:cs="Arial"/>
          <w:spacing w:val="-3"/>
          <w:sz w:val="20"/>
          <w:szCs w:val="20"/>
        </w:rPr>
        <w:t>analizar los impactos según cada atributo o procedimiento y hallar resultados de forma independiente o agregada según se requiera. Por ejemplo, es posible analizar el impacto 1 y hallar un resultado al aplicar los atributos sobre significancia, hallar un resultado que contemple a la vez los atributos</w:t>
      </w:r>
      <w:r w:rsidR="00D107F1">
        <w:rPr>
          <w:rFonts w:cs="Arial"/>
          <w:spacing w:val="-3"/>
          <w:sz w:val="20"/>
          <w:szCs w:val="20"/>
        </w:rPr>
        <w:t>/procedimientos</w:t>
      </w:r>
      <w:r w:rsidR="00B1236B">
        <w:rPr>
          <w:rFonts w:cs="Arial"/>
          <w:spacing w:val="-3"/>
          <w:sz w:val="20"/>
          <w:szCs w:val="20"/>
        </w:rPr>
        <w:t xml:space="preserve"> sobre significancia y los complementarios y, hallar un resultado que contemple la totalidad de atributos</w:t>
      </w:r>
      <w:r w:rsidR="00897617">
        <w:rPr>
          <w:rFonts w:cs="Arial"/>
          <w:spacing w:val="-3"/>
          <w:sz w:val="20"/>
          <w:szCs w:val="20"/>
        </w:rPr>
        <w:t>/</w:t>
      </w:r>
      <w:r w:rsidR="004D50F5">
        <w:rPr>
          <w:rFonts w:cs="Arial"/>
          <w:spacing w:val="-3"/>
          <w:sz w:val="20"/>
          <w:szCs w:val="20"/>
        </w:rPr>
        <w:t>procedimientos</w:t>
      </w:r>
      <w:r w:rsidR="00B1236B">
        <w:rPr>
          <w:rFonts w:cs="Arial"/>
          <w:spacing w:val="-3"/>
          <w:sz w:val="20"/>
          <w:szCs w:val="20"/>
        </w:rPr>
        <w:t xml:space="preserve"> (significancia, complementarios y de impactos residuales).</w:t>
      </w:r>
    </w:p>
    <w:p w14:paraId="0C95EEBF" w14:textId="77777777" w:rsidR="00F26824" w:rsidRDefault="00F26824" w:rsidP="00B1236B">
      <w:pPr>
        <w:numPr>
          <w:ilvl w:val="12"/>
          <w:numId w:val="0"/>
        </w:numPr>
        <w:tabs>
          <w:tab w:val="left" w:pos="-2268"/>
        </w:tabs>
        <w:suppressAutoHyphens/>
        <w:rPr>
          <w:rFonts w:cs="Arial"/>
          <w:spacing w:val="-3"/>
          <w:sz w:val="20"/>
          <w:szCs w:val="20"/>
        </w:rPr>
      </w:pPr>
    </w:p>
    <w:p w14:paraId="0D1E3777" w14:textId="24964BD9" w:rsidR="00B1236B" w:rsidRDefault="00B1236B" w:rsidP="00B1236B">
      <w:pPr>
        <w:numPr>
          <w:ilvl w:val="12"/>
          <w:numId w:val="0"/>
        </w:numPr>
        <w:tabs>
          <w:tab w:val="left" w:pos="-2268"/>
        </w:tabs>
        <w:suppressAutoHyphens/>
        <w:rPr>
          <w:rFonts w:cs="Arial"/>
          <w:spacing w:val="-3"/>
          <w:sz w:val="20"/>
          <w:szCs w:val="20"/>
        </w:rPr>
      </w:pPr>
      <w:r w:rsidRPr="004854EF">
        <w:rPr>
          <w:rFonts w:cs="Arial"/>
          <w:spacing w:val="-3"/>
          <w:sz w:val="20"/>
          <w:szCs w:val="20"/>
        </w:rPr>
        <w:t xml:space="preserve">Lógicamente, las columnas relativas a los impactos residuales deben estar vacías para los impactos ambientales que no </w:t>
      </w:r>
      <w:r w:rsidR="00B01D7B">
        <w:rPr>
          <w:rFonts w:cs="Arial"/>
          <w:spacing w:val="-3"/>
          <w:sz w:val="20"/>
          <w:szCs w:val="20"/>
        </w:rPr>
        <w:t xml:space="preserve">se seleccionen </w:t>
      </w:r>
      <w:r w:rsidR="000504CD">
        <w:rPr>
          <w:rFonts w:cs="Arial"/>
          <w:spacing w:val="-3"/>
          <w:sz w:val="20"/>
          <w:szCs w:val="20"/>
        </w:rPr>
        <w:t xml:space="preserve">para este análisis (ver numeral </w:t>
      </w:r>
      <w:r w:rsidR="008F10D0" w:rsidRPr="008F10D0">
        <w:rPr>
          <w:rFonts w:cs="Arial"/>
          <w:spacing w:val="-3"/>
          <w:sz w:val="20"/>
          <w:szCs w:val="20"/>
        </w:rPr>
        <w:fldChar w:fldCharType="begin"/>
      </w:r>
      <w:r w:rsidR="008F10D0" w:rsidRPr="008F10D0">
        <w:rPr>
          <w:rFonts w:cs="Arial"/>
          <w:spacing w:val="-3"/>
          <w:sz w:val="20"/>
          <w:szCs w:val="20"/>
        </w:rPr>
        <w:instrText xml:space="preserve"> REF _Ref148077260 \r \h  \* MERGEFORMAT </w:instrText>
      </w:r>
      <w:r w:rsidR="008F10D0" w:rsidRPr="008F10D0">
        <w:rPr>
          <w:rFonts w:cs="Arial"/>
          <w:spacing w:val="-3"/>
          <w:sz w:val="20"/>
          <w:szCs w:val="20"/>
        </w:rPr>
      </w:r>
      <w:r w:rsidR="008F10D0" w:rsidRPr="008F10D0">
        <w:rPr>
          <w:rFonts w:cs="Arial"/>
          <w:spacing w:val="-3"/>
          <w:sz w:val="20"/>
          <w:szCs w:val="20"/>
        </w:rPr>
        <w:fldChar w:fldCharType="separate"/>
      </w:r>
      <w:r w:rsidR="009C4A81">
        <w:rPr>
          <w:rFonts w:cs="Arial"/>
          <w:spacing w:val="-3"/>
          <w:sz w:val="20"/>
          <w:szCs w:val="20"/>
        </w:rPr>
        <w:t>7.4.4</w:t>
      </w:r>
      <w:r w:rsidR="008F10D0" w:rsidRPr="008F10D0">
        <w:rPr>
          <w:rFonts w:cs="Arial"/>
          <w:spacing w:val="-3"/>
          <w:sz w:val="20"/>
          <w:szCs w:val="20"/>
        </w:rPr>
        <w:fldChar w:fldCharType="end"/>
      </w:r>
      <w:r w:rsidR="000504CD">
        <w:rPr>
          <w:rFonts w:cs="Arial"/>
          <w:spacing w:val="-3"/>
          <w:sz w:val="20"/>
          <w:szCs w:val="20"/>
        </w:rPr>
        <w:t>)</w:t>
      </w:r>
      <w:r w:rsidRPr="004854EF">
        <w:rPr>
          <w:rFonts w:cs="Arial"/>
          <w:spacing w:val="-3"/>
          <w:sz w:val="20"/>
          <w:szCs w:val="20"/>
        </w:rPr>
        <w:t>.</w:t>
      </w:r>
      <w:r w:rsidR="00F26824">
        <w:rPr>
          <w:rFonts w:cs="Arial"/>
          <w:spacing w:val="-3"/>
          <w:sz w:val="20"/>
          <w:szCs w:val="20"/>
        </w:rPr>
        <w:t xml:space="preserve"> </w:t>
      </w:r>
      <w:r w:rsidR="00F26824" w:rsidRPr="00F26824">
        <w:rPr>
          <w:rFonts w:cs="Arial"/>
          <w:spacing w:val="-3"/>
          <w:sz w:val="20"/>
          <w:szCs w:val="20"/>
        </w:rPr>
        <w:tab/>
      </w:r>
      <w:r w:rsidR="00D92FBC">
        <w:rPr>
          <w:rFonts w:cs="Arial"/>
          <w:spacing w:val="-3"/>
          <w:sz w:val="20"/>
          <w:szCs w:val="20"/>
        </w:rPr>
        <w:t xml:space="preserve">Si </w:t>
      </w:r>
      <w:r w:rsidR="008A5FE2">
        <w:rPr>
          <w:rFonts w:cs="Arial"/>
          <w:spacing w:val="-3"/>
          <w:sz w:val="20"/>
          <w:szCs w:val="20"/>
        </w:rPr>
        <w:t xml:space="preserve">se consideraron </w:t>
      </w:r>
      <w:r w:rsidR="008A5FE2" w:rsidRPr="00E64F04">
        <w:rPr>
          <w:rFonts w:cs="Arial"/>
          <w:i/>
          <w:iCs/>
          <w:spacing w:val="-3"/>
          <w:sz w:val="20"/>
          <w:szCs w:val="20"/>
        </w:rPr>
        <w:t xml:space="preserve">atributos/procedimientos </w:t>
      </w:r>
      <w:r w:rsidR="004775C1" w:rsidRPr="00E64F04">
        <w:rPr>
          <w:rFonts w:cs="Arial"/>
          <w:i/>
          <w:iCs/>
          <w:spacing w:val="-3"/>
          <w:sz w:val="20"/>
          <w:szCs w:val="20"/>
        </w:rPr>
        <w:t>complementarios</w:t>
      </w:r>
      <w:r w:rsidR="004775C1">
        <w:rPr>
          <w:rFonts w:cs="Arial"/>
          <w:spacing w:val="-3"/>
          <w:sz w:val="20"/>
          <w:szCs w:val="20"/>
        </w:rPr>
        <w:t xml:space="preserve"> </w:t>
      </w:r>
      <w:r w:rsidR="00282BEA">
        <w:rPr>
          <w:rFonts w:cs="Arial"/>
          <w:spacing w:val="-3"/>
          <w:sz w:val="20"/>
          <w:szCs w:val="20"/>
        </w:rPr>
        <w:t xml:space="preserve">relativos a </w:t>
      </w:r>
      <w:r w:rsidR="008A5FE2">
        <w:rPr>
          <w:rFonts w:cs="Arial"/>
          <w:spacing w:val="-3"/>
          <w:sz w:val="20"/>
          <w:szCs w:val="20"/>
        </w:rPr>
        <w:t xml:space="preserve">la acumulación y la sinergia, éstos pueden emplearse para </w:t>
      </w:r>
      <w:r w:rsidR="005C6A31" w:rsidRPr="00E64F04">
        <w:rPr>
          <w:rFonts w:cs="Arial"/>
          <w:i/>
          <w:iCs/>
          <w:spacing w:val="-3"/>
          <w:sz w:val="20"/>
          <w:szCs w:val="20"/>
        </w:rPr>
        <w:t>valorar l</w:t>
      </w:r>
      <w:r w:rsidR="00F26824" w:rsidRPr="00E64F04">
        <w:rPr>
          <w:rFonts w:cs="Arial"/>
          <w:i/>
          <w:iCs/>
          <w:spacing w:val="-3"/>
          <w:sz w:val="20"/>
          <w:szCs w:val="20"/>
        </w:rPr>
        <w:t>a acumulación y la sinergia de los impactos residuales</w:t>
      </w:r>
      <w:r w:rsidR="00F26824" w:rsidRPr="00F26824">
        <w:rPr>
          <w:rFonts w:cs="Arial"/>
          <w:spacing w:val="-3"/>
          <w:sz w:val="20"/>
          <w:szCs w:val="20"/>
        </w:rPr>
        <w:t xml:space="preserve"> </w:t>
      </w:r>
      <w:r w:rsidR="005C6A31">
        <w:rPr>
          <w:rFonts w:cs="Arial"/>
          <w:spacing w:val="-3"/>
          <w:sz w:val="20"/>
          <w:szCs w:val="20"/>
        </w:rPr>
        <w:t xml:space="preserve">sólo cuando se </w:t>
      </w:r>
      <w:r w:rsidR="00F26824" w:rsidRPr="00F26824">
        <w:rPr>
          <w:rFonts w:cs="Arial"/>
          <w:spacing w:val="-3"/>
          <w:sz w:val="20"/>
          <w:szCs w:val="20"/>
        </w:rPr>
        <w:t>verifi</w:t>
      </w:r>
      <w:r w:rsidR="005C6A31">
        <w:rPr>
          <w:rFonts w:cs="Arial"/>
          <w:spacing w:val="-3"/>
          <w:sz w:val="20"/>
          <w:szCs w:val="20"/>
        </w:rPr>
        <w:t xml:space="preserve">que </w:t>
      </w:r>
      <w:r w:rsidR="00F26824" w:rsidRPr="00F26824">
        <w:rPr>
          <w:rFonts w:cs="Arial"/>
          <w:spacing w:val="-3"/>
          <w:sz w:val="20"/>
          <w:szCs w:val="20"/>
        </w:rPr>
        <w:t>que la ejecución de medidas de manejo no gener</w:t>
      </w:r>
      <w:r w:rsidR="0024134B">
        <w:rPr>
          <w:rFonts w:cs="Arial"/>
          <w:spacing w:val="-3"/>
          <w:sz w:val="20"/>
          <w:szCs w:val="20"/>
        </w:rPr>
        <w:t>a</w:t>
      </w:r>
      <w:r w:rsidR="00F26824" w:rsidRPr="00F26824">
        <w:rPr>
          <w:rFonts w:cs="Arial"/>
          <w:spacing w:val="-3"/>
          <w:sz w:val="20"/>
          <w:szCs w:val="20"/>
        </w:rPr>
        <w:t xml:space="preserve"> dinámicas y comportamientos </w:t>
      </w:r>
      <w:r w:rsidR="0024134B">
        <w:rPr>
          <w:rFonts w:cs="Arial"/>
          <w:spacing w:val="-3"/>
          <w:sz w:val="20"/>
          <w:szCs w:val="20"/>
        </w:rPr>
        <w:t xml:space="preserve">de </w:t>
      </w:r>
      <w:r w:rsidR="00F26824" w:rsidRPr="00F26824">
        <w:rPr>
          <w:rFonts w:cs="Arial"/>
          <w:spacing w:val="-3"/>
          <w:sz w:val="20"/>
          <w:szCs w:val="20"/>
        </w:rPr>
        <w:t>acumulación y sinergia</w:t>
      </w:r>
      <w:r w:rsidR="0024134B">
        <w:rPr>
          <w:rFonts w:cs="Arial"/>
          <w:spacing w:val="-3"/>
          <w:sz w:val="20"/>
          <w:szCs w:val="20"/>
        </w:rPr>
        <w:t xml:space="preserve"> diferentes</w:t>
      </w:r>
      <w:r w:rsidR="00F26824" w:rsidRPr="00F26824">
        <w:rPr>
          <w:rFonts w:cs="Arial"/>
          <w:spacing w:val="-3"/>
          <w:sz w:val="20"/>
          <w:szCs w:val="20"/>
        </w:rPr>
        <w:t>.</w:t>
      </w:r>
    </w:p>
    <w:p w14:paraId="1090F798" w14:textId="77777777" w:rsidR="00B1236B" w:rsidRDefault="00B1236B" w:rsidP="00F55C4B">
      <w:pPr>
        <w:tabs>
          <w:tab w:val="left" w:pos="-2268"/>
        </w:tabs>
        <w:suppressAutoHyphens/>
        <w:rPr>
          <w:rFonts w:cs="Arial"/>
          <w:lang w:val="es-ES_tradnl"/>
        </w:rPr>
      </w:pPr>
    </w:p>
    <w:p w14:paraId="55F7E8E7" w14:textId="7897E14C" w:rsidR="00F55C4B" w:rsidRPr="00E64F04" w:rsidRDefault="008A64C8" w:rsidP="00E64F04">
      <w:pPr>
        <w:pStyle w:val="Ttulo4"/>
        <w:tabs>
          <w:tab w:val="clear" w:pos="1844"/>
          <w:tab w:val="num" w:pos="1134"/>
        </w:tabs>
        <w:ind w:left="0"/>
        <w:rPr>
          <w:b w:val="0"/>
          <w:lang w:val="es-CO"/>
        </w:rPr>
      </w:pPr>
      <w:bookmarkStart w:id="3237" w:name="_Ref230700038"/>
      <w:r>
        <w:rPr>
          <w:lang w:val="es-CO"/>
        </w:rPr>
        <w:t>Modalidad</w:t>
      </w:r>
      <w:r w:rsidR="00F55C4B" w:rsidRPr="00E64F04">
        <w:rPr>
          <w:lang w:val="es-CO"/>
        </w:rPr>
        <w:t xml:space="preserve"> alternativ</w:t>
      </w:r>
      <w:r>
        <w:rPr>
          <w:lang w:val="es-CO"/>
        </w:rPr>
        <w:t>a</w:t>
      </w:r>
      <w:r w:rsidR="00F55C4B" w:rsidRPr="00E64F04">
        <w:rPr>
          <w:lang w:val="es-CO"/>
        </w:rPr>
        <w:t xml:space="preserve"> 2</w:t>
      </w:r>
      <w:bookmarkEnd w:id="3237"/>
    </w:p>
    <w:p w14:paraId="22AEBA84" w14:textId="77777777" w:rsidR="00F55C4B" w:rsidRDefault="00F55C4B" w:rsidP="00F55C4B">
      <w:pPr>
        <w:tabs>
          <w:tab w:val="left" w:pos="-2268"/>
        </w:tabs>
        <w:suppressAutoHyphens/>
        <w:rPr>
          <w:rFonts w:cs="Arial"/>
          <w:lang w:val="es-ES_tradnl"/>
        </w:rPr>
      </w:pPr>
    </w:p>
    <w:p w14:paraId="51EDDD71" w14:textId="77777777" w:rsidR="00670BB5" w:rsidRDefault="00670BB5" w:rsidP="00670BB5">
      <w:pPr>
        <w:tabs>
          <w:tab w:val="left" w:pos="-2268"/>
        </w:tabs>
        <w:suppressAutoHyphens/>
        <w:rPr>
          <w:rFonts w:cs="Arial"/>
          <w:spacing w:val="-3"/>
          <w:lang w:val="es-ES_tradnl"/>
        </w:rPr>
      </w:pPr>
      <w:r>
        <w:rPr>
          <w:rFonts w:cs="Arial"/>
          <w:spacing w:val="-3"/>
          <w:lang w:val="es-ES_tradnl"/>
        </w:rPr>
        <w:t>Consiste en:</w:t>
      </w:r>
    </w:p>
    <w:p w14:paraId="4AB5600F" w14:textId="77777777" w:rsidR="00670BB5" w:rsidRDefault="00670BB5" w:rsidP="00F55C4B">
      <w:pPr>
        <w:tabs>
          <w:tab w:val="left" w:pos="-2268"/>
        </w:tabs>
        <w:suppressAutoHyphens/>
        <w:rPr>
          <w:rFonts w:cs="Arial"/>
          <w:lang w:val="es-ES_tradnl"/>
        </w:rPr>
      </w:pPr>
    </w:p>
    <w:p w14:paraId="3211DEBC" w14:textId="07AA1F54" w:rsidR="00ED702F" w:rsidRDefault="00F55C4B" w:rsidP="00E64F04">
      <w:pPr>
        <w:pStyle w:val="Prrafodelista"/>
        <w:numPr>
          <w:ilvl w:val="0"/>
          <w:numId w:val="800"/>
        </w:numPr>
        <w:ind w:left="567" w:hanging="567"/>
        <w:contextualSpacing/>
        <w:rPr>
          <w:rFonts w:cs="Arial"/>
          <w:lang w:val="es-CO"/>
        </w:rPr>
      </w:pPr>
      <w:r w:rsidRPr="004854EF">
        <w:rPr>
          <w:rFonts w:cs="Arial"/>
          <w:lang w:val="es-CO"/>
        </w:rPr>
        <w:t xml:space="preserve">Determinar y valorar los impactos ambientales </w:t>
      </w:r>
      <w:r w:rsidRPr="00127BD4">
        <w:rPr>
          <w:rFonts w:cs="Arial"/>
          <w:lang w:val="es-CO"/>
        </w:rPr>
        <w:t xml:space="preserve">empleando </w:t>
      </w:r>
      <w:r>
        <w:rPr>
          <w:rFonts w:cs="Arial"/>
          <w:lang w:val="es-CO"/>
        </w:rPr>
        <w:t xml:space="preserve">un </w:t>
      </w:r>
      <w:r w:rsidRPr="00127BD4">
        <w:rPr>
          <w:rFonts w:cs="Arial"/>
          <w:lang w:val="es-CO"/>
        </w:rPr>
        <w:t xml:space="preserve">método </w:t>
      </w:r>
      <w:r>
        <w:rPr>
          <w:rFonts w:cs="Arial"/>
          <w:lang w:val="es-CO"/>
        </w:rPr>
        <w:t xml:space="preserve">que contemple </w:t>
      </w:r>
      <w:r w:rsidRPr="001918B6">
        <w:rPr>
          <w:rFonts w:cs="Arial"/>
          <w:lang w:val="es-CO"/>
        </w:rPr>
        <w:t>únicamente procedimientos o atributos enfocados en la significancia de los impactos</w:t>
      </w:r>
      <w:r w:rsidRPr="004854EF">
        <w:rPr>
          <w:rFonts w:cs="Arial"/>
          <w:lang w:val="es-CO"/>
        </w:rPr>
        <w:t xml:space="preserve"> y aplicando las orientaciones señaladas en los </w:t>
      </w:r>
      <w:r w:rsidRPr="00127BD4">
        <w:rPr>
          <w:rFonts w:cs="Arial"/>
          <w:lang w:val="es-CO"/>
        </w:rPr>
        <w:t xml:space="preserve">numerales </w:t>
      </w:r>
      <w:r w:rsidRPr="004068F6">
        <w:rPr>
          <w:rFonts w:cs="Arial"/>
          <w:lang w:val="es-CO"/>
        </w:rPr>
        <w:fldChar w:fldCharType="begin"/>
      </w:r>
      <w:r w:rsidRPr="004068F6">
        <w:rPr>
          <w:rFonts w:cs="Arial"/>
          <w:lang w:val="es-CO"/>
        </w:rPr>
        <w:instrText xml:space="preserve"> REF _Ref136953274 \r \h </w:instrText>
      </w:r>
      <w:r>
        <w:rPr>
          <w:rFonts w:cs="Arial"/>
          <w:lang w:val="es-CO"/>
        </w:rPr>
        <w:instrText xml:space="preserve"> \* MERGEFORMAT </w:instrText>
      </w:r>
      <w:r w:rsidRPr="004068F6">
        <w:rPr>
          <w:rFonts w:cs="Arial"/>
          <w:lang w:val="es-CO"/>
        </w:rPr>
      </w:r>
      <w:r w:rsidRPr="004068F6">
        <w:rPr>
          <w:rFonts w:cs="Arial"/>
          <w:lang w:val="es-CO"/>
        </w:rPr>
        <w:fldChar w:fldCharType="separate"/>
      </w:r>
      <w:r w:rsidR="009C4A81">
        <w:rPr>
          <w:rFonts w:cs="Arial"/>
          <w:lang w:val="es-CO"/>
        </w:rPr>
        <w:t>7.2</w:t>
      </w:r>
      <w:r w:rsidRPr="004068F6">
        <w:rPr>
          <w:rFonts w:cs="Arial"/>
          <w:lang w:val="es-CO"/>
        </w:rPr>
        <w:fldChar w:fldCharType="end"/>
      </w:r>
      <w:r w:rsidRPr="004068F6">
        <w:rPr>
          <w:rFonts w:cs="Arial"/>
          <w:lang w:val="es-CO"/>
        </w:rPr>
        <w:t xml:space="preserve">, </w:t>
      </w:r>
      <w:r w:rsidRPr="00127BD4">
        <w:rPr>
          <w:rFonts w:cs="Arial"/>
          <w:lang w:val="es-CO"/>
        </w:rPr>
        <w:fldChar w:fldCharType="begin"/>
      </w:r>
      <w:r w:rsidRPr="00127BD4">
        <w:rPr>
          <w:rFonts w:cs="Arial"/>
          <w:lang w:val="es-CO"/>
        </w:rPr>
        <w:instrText xml:space="preserve"> REF _Ref192235717 \r \h </w:instrText>
      </w:r>
      <w:r w:rsidRPr="004068F6">
        <w:rPr>
          <w:rFonts w:cs="Arial"/>
          <w:lang w:val="es-CO"/>
        </w:rPr>
        <w:instrText xml:space="preserve"> \* MERGEFORMAT </w:instrText>
      </w:r>
      <w:r w:rsidRPr="00127BD4">
        <w:rPr>
          <w:rFonts w:cs="Arial"/>
          <w:lang w:val="es-CO"/>
        </w:rPr>
      </w:r>
      <w:r w:rsidRPr="00127BD4">
        <w:rPr>
          <w:rFonts w:cs="Arial"/>
          <w:lang w:val="es-CO"/>
        </w:rPr>
        <w:fldChar w:fldCharType="separate"/>
      </w:r>
      <w:r w:rsidR="009C4A81">
        <w:rPr>
          <w:rFonts w:cs="Arial"/>
          <w:lang w:val="es-CO"/>
        </w:rPr>
        <w:t>7.4.1</w:t>
      </w:r>
      <w:r w:rsidRPr="00127BD4">
        <w:rPr>
          <w:rFonts w:cs="Arial"/>
          <w:lang w:val="es-CO"/>
        </w:rPr>
        <w:fldChar w:fldCharType="end"/>
      </w:r>
      <w:r>
        <w:rPr>
          <w:rFonts w:cs="Arial"/>
          <w:lang w:val="es-CO"/>
        </w:rPr>
        <w:t xml:space="preserve"> y</w:t>
      </w:r>
      <w:r w:rsidRPr="00127BD4">
        <w:rPr>
          <w:rFonts w:cs="Arial"/>
          <w:lang w:val="es-CO"/>
        </w:rPr>
        <w:t xml:space="preserve"> </w:t>
      </w:r>
      <w:r w:rsidRPr="00127BD4">
        <w:rPr>
          <w:rFonts w:cs="Arial"/>
          <w:lang w:val="es-CO"/>
        </w:rPr>
        <w:fldChar w:fldCharType="begin"/>
      </w:r>
      <w:r w:rsidRPr="00127BD4">
        <w:rPr>
          <w:rFonts w:cs="Arial"/>
          <w:lang w:val="es-CO"/>
        </w:rPr>
        <w:instrText xml:space="preserve"> REF _Ref192235719 \r \h </w:instrText>
      </w:r>
      <w:r w:rsidRPr="004068F6">
        <w:rPr>
          <w:rFonts w:cs="Arial"/>
          <w:lang w:val="es-CO"/>
        </w:rPr>
        <w:instrText xml:space="preserve"> \* MERGEFORMAT </w:instrText>
      </w:r>
      <w:r w:rsidRPr="00127BD4">
        <w:rPr>
          <w:rFonts w:cs="Arial"/>
          <w:lang w:val="es-CO"/>
        </w:rPr>
      </w:r>
      <w:r w:rsidRPr="00127BD4">
        <w:rPr>
          <w:rFonts w:cs="Arial"/>
          <w:lang w:val="es-CO"/>
        </w:rPr>
        <w:fldChar w:fldCharType="separate"/>
      </w:r>
      <w:r w:rsidR="009C4A81">
        <w:rPr>
          <w:rFonts w:cs="Arial"/>
          <w:lang w:val="es-CO"/>
        </w:rPr>
        <w:t>7.4.2</w:t>
      </w:r>
      <w:r w:rsidRPr="00127BD4">
        <w:rPr>
          <w:rFonts w:cs="Arial"/>
          <w:lang w:val="es-CO"/>
        </w:rPr>
        <w:fldChar w:fldCharType="end"/>
      </w:r>
      <w:r w:rsidR="00ED702F" w:rsidRPr="00ED702F">
        <w:rPr>
          <w:rFonts w:cs="Arial"/>
          <w:lang w:val="es-CO"/>
        </w:rPr>
        <w:t xml:space="preserve"> </w:t>
      </w:r>
      <w:r w:rsidR="00ED702F">
        <w:rPr>
          <w:rFonts w:cs="Arial"/>
          <w:lang w:val="es-CO"/>
        </w:rPr>
        <w:t xml:space="preserve">y en el numeral </w:t>
      </w:r>
      <w:r w:rsidR="00ED702F" w:rsidRPr="00D62C85">
        <w:rPr>
          <w:rFonts w:cs="Arial"/>
          <w:lang w:val="es-CO"/>
        </w:rPr>
        <w:fldChar w:fldCharType="begin"/>
      </w:r>
      <w:r w:rsidR="00ED702F" w:rsidRPr="00D62C85">
        <w:rPr>
          <w:rFonts w:cs="Arial"/>
          <w:lang w:val="es-CO"/>
        </w:rPr>
        <w:instrText xml:space="preserve"> REF _Ref79430805 \r \h  \* MERGEFORMAT </w:instrText>
      </w:r>
      <w:r w:rsidR="00ED702F" w:rsidRPr="00D62C85">
        <w:rPr>
          <w:rFonts w:cs="Arial"/>
          <w:lang w:val="es-CO"/>
        </w:rPr>
      </w:r>
      <w:r w:rsidR="00ED702F" w:rsidRPr="00D62C85">
        <w:rPr>
          <w:rFonts w:cs="Arial"/>
          <w:lang w:val="es-CO"/>
        </w:rPr>
        <w:fldChar w:fldCharType="separate"/>
      </w:r>
      <w:r w:rsidR="009C4A81">
        <w:rPr>
          <w:rFonts w:cs="Arial"/>
          <w:lang w:val="es-CO"/>
        </w:rPr>
        <w:t>7.5</w:t>
      </w:r>
      <w:r w:rsidR="00ED702F" w:rsidRPr="00D62C85">
        <w:rPr>
          <w:rFonts w:cs="Arial"/>
          <w:lang w:val="es-CO"/>
        </w:rPr>
        <w:fldChar w:fldCharType="end"/>
      </w:r>
      <w:r w:rsidR="00ED702F">
        <w:rPr>
          <w:rFonts w:cs="Arial"/>
          <w:lang w:val="es-CO"/>
        </w:rPr>
        <w:t xml:space="preserve">, </w:t>
      </w:r>
      <w:r w:rsidR="00ED702F" w:rsidRPr="00D62C85">
        <w:rPr>
          <w:rFonts w:cs="Arial"/>
          <w:lang w:val="es-CO"/>
        </w:rPr>
        <w:t>cuando apli</w:t>
      </w:r>
      <w:r w:rsidR="00ED702F">
        <w:rPr>
          <w:rFonts w:cs="Arial"/>
          <w:lang w:val="es-CO"/>
        </w:rPr>
        <w:t>quen</w:t>
      </w:r>
      <w:r>
        <w:rPr>
          <w:rFonts w:cs="Arial"/>
          <w:lang w:val="es-CO"/>
        </w:rPr>
        <w:t>.</w:t>
      </w:r>
    </w:p>
    <w:p w14:paraId="1200F7D2" w14:textId="77777777" w:rsidR="00ED702F" w:rsidRDefault="00ED702F" w:rsidP="00E64F04">
      <w:pPr>
        <w:pStyle w:val="Prrafodelista"/>
        <w:ind w:left="567" w:hanging="567"/>
        <w:contextualSpacing/>
        <w:rPr>
          <w:rFonts w:cs="Arial"/>
          <w:lang w:val="es-CO"/>
        </w:rPr>
      </w:pPr>
    </w:p>
    <w:p w14:paraId="24361034" w14:textId="753FA458" w:rsidR="00F55C4B" w:rsidRPr="004854EF" w:rsidRDefault="00F55C4B" w:rsidP="00E64F04">
      <w:pPr>
        <w:pStyle w:val="Prrafodelista"/>
        <w:ind w:left="567"/>
        <w:contextualSpacing/>
        <w:rPr>
          <w:rFonts w:cs="Arial"/>
          <w:lang w:val="es-CO"/>
        </w:rPr>
      </w:pPr>
      <w:r>
        <w:rPr>
          <w:rFonts w:cs="Arial"/>
          <w:lang w:val="es-CO"/>
        </w:rPr>
        <w:t xml:space="preserve">En este caso el elaborador del estudio puede utilizar cualquier </w:t>
      </w:r>
      <w:r w:rsidRPr="00127BD4">
        <w:rPr>
          <w:rFonts w:cs="Arial"/>
          <w:lang w:val="es-CO"/>
        </w:rPr>
        <w:t>método</w:t>
      </w:r>
      <w:r>
        <w:rPr>
          <w:rFonts w:cs="Arial"/>
          <w:lang w:val="es-CO"/>
        </w:rPr>
        <w:t xml:space="preserve">, pero debe ajustarlo para que éste contemple </w:t>
      </w:r>
      <w:r w:rsidRPr="001918B6">
        <w:rPr>
          <w:rFonts w:cs="Arial"/>
          <w:lang w:val="es-CO"/>
        </w:rPr>
        <w:t>únicamente procedimientos o atributos enfocados en la significancia de los impactos</w:t>
      </w:r>
      <w:r>
        <w:rPr>
          <w:rFonts w:cs="Arial"/>
          <w:lang w:val="es-CO"/>
        </w:rPr>
        <w:t xml:space="preserve"> (e</w:t>
      </w:r>
      <w:r w:rsidRPr="001918B6">
        <w:rPr>
          <w:rFonts w:cs="Arial"/>
          <w:lang w:val="es-CO"/>
        </w:rPr>
        <w:t xml:space="preserve">l numeral </w:t>
      </w:r>
      <w:r w:rsidRPr="001918B6">
        <w:rPr>
          <w:rFonts w:cs="Arial"/>
          <w:lang w:val="es-CO"/>
        </w:rPr>
        <w:fldChar w:fldCharType="begin"/>
      </w:r>
      <w:r w:rsidRPr="001918B6">
        <w:rPr>
          <w:rFonts w:cs="Arial"/>
          <w:lang w:val="es-CO"/>
        </w:rPr>
        <w:instrText xml:space="preserve"> REF _Ref137112878 \r \h  \* MERGEFORMAT </w:instrText>
      </w:r>
      <w:r w:rsidRPr="001918B6">
        <w:rPr>
          <w:rFonts w:cs="Arial"/>
          <w:lang w:val="es-CO"/>
        </w:rPr>
      </w:r>
      <w:r w:rsidRPr="001918B6">
        <w:rPr>
          <w:rFonts w:cs="Arial"/>
          <w:lang w:val="es-CO"/>
        </w:rPr>
        <w:fldChar w:fldCharType="separate"/>
      </w:r>
      <w:r w:rsidR="009C4A81">
        <w:rPr>
          <w:rFonts w:cs="Arial"/>
          <w:lang w:val="es-CO"/>
        </w:rPr>
        <w:t>7.4.3</w:t>
      </w:r>
      <w:r w:rsidRPr="001918B6">
        <w:rPr>
          <w:rFonts w:cs="Arial"/>
          <w:lang w:val="es-CO"/>
        </w:rPr>
        <w:fldChar w:fldCharType="end"/>
      </w:r>
      <w:r>
        <w:rPr>
          <w:rFonts w:cs="Arial"/>
          <w:lang w:val="es-CO"/>
        </w:rPr>
        <w:t xml:space="preserve"> señala qué tipo de atributos </w:t>
      </w:r>
      <w:r w:rsidR="00917181">
        <w:rPr>
          <w:rFonts w:cs="Arial"/>
          <w:lang w:val="es-CO"/>
        </w:rPr>
        <w:t xml:space="preserve">o atributos </w:t>
      </w:r>
      <w:r>
        <w:rPr>
          <w:rFonts w:cs="Arial"/>
          <w:lang w:val="es-CO"/>
        </w:rPr>
        <w:t>no deben usarse).</w:t>
      </w:r>
    </w:p>
    <w:p w14:paraId="491861D9" w14:textId="77777777" w:rsidR="00F55C4B" w:rsidRPr="000B0992" w:rsidRDefault="00F55C4B" w:rsidP="00E64F04">
      <w:pPr>
        <w:ind w:left="567" w:hanging="567"/>
        <w:contextualSpacing/>
        <w:rPr>
          <w:rFonts w:cs="Arial"/>
        </w:rPr>
      </w:pPr>
    </w:p>
    <w:p w14:paraId="476E9C32" w14:textId="3B0AFD07" w:rsidR="00F55C4B" w:rsidRPr="001918B6" w:rsidRDefault="00F55C4B" w:rsidP="00E64F04">
      <w:pPr>
        <w:pStyle w:val="Prrafodelista"/>
        <w:numPr>
          <w:ilvl w:val="0"/>
          <w:numId w:val="800"/>
        </w:numPr>
        <w:ind w:left="567" w:hanging="567"/>
        <w:contextualSpacing/>
        <w:rPr>
          <w:rFonts w:cs="Arial"/>
          <w:lang w:val="es-CO"/>
        </w:rPr>
      </w:pPr>
      <w:r w:rsidRPr="001918B6">
        <w:rPr>
          <w:rFonts w:cs="Arial"/>
          <w:lang w:val="es-CO"/>
        </w:rPr>
        <w:t xml:space="preserve">Determinar los impactos ambientales significativos empleando el método establecido en el numeral </w:t>
      </w:r>
      <w:r w:rsidRPr="001918B6">
        <w:rPr>
          <w:rFonts w:cs="Arial"/>
          <w:lang w:val="es-CO"/>
        </w:rPr>
        <w:fldChar w:fldCharType="begin"/>
      </w:r>
      <w:r w:rsidRPr="001918B6">
        <w:rPr>
          <w:rFonts w:cs="Arial"/>
          <w:lang w:val="es-CO"/>
        </w:rPr>
        <w:instrText xml:space="preserve"> REF _Ref137112878 \r \h  \* MERGEFORMAT </w:instrText>
      </w:r>
      <w:r w:rsidRPr="001918B6">
        <w:rPr>
          <w:rFonts w:cs="Arial"/>
          <w:lang w:val="es-CO"/>
        </w:rPr>
      </w:r>
      <w:r w:rsidRPr="001918B6">
        <w:rPr>
          <w:rFonts w:cs="Arial"/>
          <w:lang w:val="es-CO"/>
        </w:rPr>
        <w:fldChar w:fldCharType="separate"/>
      </w:r>
      <w:r w:rsidR="009C4A81">
        <w:rPr>
          <w:rFonts w:cs="Arial"/>
          <w:lang w:val="es-CO"/>
        </w:rPr>
        <w:t>7.4.3</w:t>
      </w:r>
      <w:r w:rsidRPr="001918B6">
        <w:rPr>
          <w:rFonts w:cs="Arial"/>
          <w:lang w:val="es-CO"/>
        </w:rPr>
        <w:fldChar w:fldCharType="end"/>
      </w:r>
      <w:r w:rsidRPr="001918B6">
        <w:rPr>
          <w:rFonts w:cs="Arial"/>
          <w:lang w:val="es-CO"/>
        </w:rPr>
        <w:t xml:space="preserve"> a fin de brindar insumos </w:t>
      </w:r>
      <w:r w:rsidR="00A1411D">
        <w:rPr>
          <w:rFonts w:cs="Arial"/>
          <w:lang w:val="es-CO"/>
        </w:rPr>
        <w:t>para</w:t>
      </w:r>
      <w:r w:rsidRPr="001918B6">
        <w:rPr>
          <w:rFonts w:cs="Arial"/>
          <w:lang w:val="es-CO"/>
        </w:rPr>
        <w:t xml:space="preserve"> la delimitación del área de influencia y la evaluación económica ambiental. En este caso, </w:t>
      </w:r>
      <w:r>
        <w:rPr>
          <w:rFonts w:cs="Arial"/>
          <w:lang w:val="es-CO"/>
        </w:rPr>
        <w:t xml:space="preserve">solamente </w:t>
      </w:r>
      <w:r w:rsidRPr="001918B6">
        <w:rPr>
          <w:rFonts w:cs="Arial"/>
          <w:lang w:val="es-CO"/>
        </w:rPr>
        <w:t>se debe</w:t>
      </w:r>
      <w:r>
        <w:rPr>
          <w:rFonts w:cs="Arial"/>
          <w:lang w:val="es-CO"/>
        </w:rPr>
        <w:t>n</w:t>
      </w:r>
      <w:r w:rsidRPr="001918B6">
        <w:rPr>
          <w:rFonts w:cs="Arial"/>
          <w:lang w:val="es-CO"/>
        </w:rPr>
        <w:t xml:space="preserve"> </w:t>
      </w:r>
      <w:r>
        <w:rPr>
          <w:rFonts w:cs="Arial"/>
          <w:lang w:val="es-CO"/>
        </w:rPr>
        <w:t>normalizar</w:t>
      </w:r>
      <w:r w:rsidRPr="001918B6">
        <w:rPr>
          <w:rFonts w:cs="Arial"/>
          <w:lang w:val="es-CO"/>
        </w:rPr>
        <w:t xml:space="preserve"> los resultados del método de evaluación.</w:t>
      </w:r>
    </w:p>
    <w:p w14:paraId="796B063F" w14:textId="77777777" w:rsidR="00F55C4B" w:rsidRPr="0099211C" w:rsidRDefault="00F55C4B" w:rsidP="00E64F04">
      <w:pPr>
        <w:ind w:left="567" w:hanging="567"/>
        <w:contextualSpacing/>
        <w:rPr>
          <w:rFonts w:cs="Arial"/>
        </w:rPr>
      </w:pPr>
    </w:p>
    <w:p w14:paraId="19DBA828" w14:textId="3BAA0948" w:rsidR="00F55C4B" w:rsidRPr="001918B6" w:rsidRDefault="00F55C4B" w:rsidP="00E64F04">
      <w:pPr>
        <w:pStyle w:val="Prrafodelista"/>
        <w:numPr>
          <w:ilvl w:val="0"/>
          <w:numId w:val="800"/>
        </w:numPr>
        <w:ind w:left="567" w:hanging="567"/>
        <w:contextualSpacing/>
        <w:rPr>
          <w:rFonts w:cs="Arial"/>
          <w:lang w:val="es-CO"/>
        </w:rPr>
      </w:pPr>
      <w:r w:rsidRPr="001918B6">
        <w:rPr>
          <w:rFonts w:cs="Arial"/>
          <w:lang w:val="es-CO"/>
        </w:rPr>
        <w:t xml:space="preserve">Evaluar los impactos ambientales residuales que son acumulativos o que son sinérgicos empleando las orientaciones establecidas en el numeral </w:t>
      </w:r>
      <w:r w:rsidRPr="001918B6">
        <w:rPr>
          <w:rFonts w:cs="Arial"/>
          <w:lang w:val="es-CO"/>
        </w:rPr>
        <w:fldChar w:fldCharType="begin"/>
      </w:r>
      <w:r w:rsidRPr="001918B6">
        <w:rPr>
          <w:rFonts w:cs="Arial"/>
          <w:lang w:val="es-CO"/>
        </w:rPr>
        <w:instrText xml:space="preserve"> REF _Ref148077260 \r \h  \* MERGEFORMAT </w:instrText>
      </w:r>
      <w:r w:rsidRPr="001918B6">
        <w:rPr>
          <w:rFonts w:cs="Arial"/>
          <w:lang w:val="es-CO"/>
        </w:rPr>
      </w:r>
      <w:r w:rsidRPr="001918B6">
        <w:rPr>
          <w:rFonts w:cs="Arial"/>
          <w:lang w:val="es-CO"/>
        </w:rPr>
        <w:fldChar w:fldCharType="separate"/>
      </w:r>
      <w:r w:rsidR="009C4A81">
        <w:rPr>
          <w:rFonts w:cs="Arial"/>
          <w:lang w:val="es-CO"/>
        </w:rPr>
        <w:t>7.4.4</w:t>
      </w:r>
      <w:r w:rsidRPr="001918B6">
        <w:rPr>
          <w:rFonts w:cs="Arial"/>
          <w:lang w:val="es-CO"/>
        </w:rPr>
        <w:fldChar w:fldCharType="end"/>
      </w:r>
      <w:r w:rsidRPr="001918B6">
        <w:rPr>
          <w:rFonts w:cs="Arial"/>
          <w:lang w:val="es-CO"/>
        </w:rPr>
        <w:t xml:space="preserve">. Esta evaluación busca que, en la medida de lo posible, se ajusten algunas medidas de manejo y </w:t>
      </w:r>
      <w:r w:rsidR="00C664C1">
        <w:rPr>
          <w:rFonts w:cs="Arial"/>
          <w:lang w:val="es-CO"/>
        </w:rPr>
        <w:t>se</w:t>
      </w:r>
      <w:r w:rsidRPr="001918B6">
        <w:rPr>
          <w:rFonts w:cs="Arial"/>
          <w:lang w:val="es-CO"/>
        </w:rPr>
        <w:t xml:space="preserve"> mejor</w:t>
      </w:r>
      <w:r w:rsidR="00C664C1">
        <w:rPr>
          <w:rFonts w:cs="Arial"/>
          <w:lang w:val="es-CO"/>
        </w:rPr>
        <w:t>e</w:t>
      </w:r>
      <w:r w:rsidRPr="001918B6">
        <w:rPr>
          <w:rFonts w:cs="Arial"/>
          <w:lang w:val="es-CO"/>
        </w:rPr>
        <w:t xml:space="preserve"> el desempeño ambiental del proyecto.</w:t>
      </w:r>
    </w:p>
    <w:p w14:paraId="1ACED762" w14:textId="77777777" w:rsidR="00F55C4B" w:rsidRDefault="00F55C4B" w:rsidP="00F55C4B">
      <w:pPr>
        <w:contextualSpacing/>
        <w:rPr>
          <w:rFonts w:cs="Arial"/>
        </w:rPr>
      </w:pPr>
    </w:p>
    <w:p w14:paraId="0C297DB5" w14:textId="05852745" w:rsidR="00F55C4B" w:rsidRPr="0099211C" w:rsidRDefault="00F55C4B" w:rsidP="00F55C4B">
      <w:pPr>
        <w:contextualSpacing/>
        <w:rPr>
          <w:rFonts w:cs="Arial"/>
        </w:rPr>
      </w:pPr>
      <w:r w:rsidRPr="0099211C">
        <w:rPr>
          <w:rFonts w:cs="Arial"/>
        </w:rPr>
        <w:t xml:space="preserve">Si bien </w:t>
      </w:r>
      <w:r w:rsidR="00B61C8D">
        <w:rPr>
          <w:rFonts w:cs="Arial"/>
        </w:rPr>
        <w:t xml:space="preserve">la modalidad </w:t>
      </w:r>
      <w:r>
        <w:rPr>
          <w:rFonts w:cs="Arial"/>
        </w:rPr>
        <w:t>alternativ</w:t>
      </w:r>
      <w:r w:rsidR="00B61C8D">
        <w:rPr>
          <w:rFonts w:cs="Arial"/>
        </w:rPr>
        <w:t>a</w:t>
      </w:r>
      <w:r>
        <w:rPr>
          <w:rFonts w:cs="Arial"/>
        </w:rPr>
        <w:t xml:space="preserve"> </w:t>
      </w:r>
      <w:r w:rsidR="00C664C1">
        <w:rPr>
          <w:rFonts w:cs="Arial"/>
        </w:rPr>
        <w:t xml:space="preserve">2 </w:t>
      </w:r>
      <w:r w:rsidR="00A15482">
        <w:rPr>
          <w:rFonts w:cs="Arial"/>
        </w:rPr>
        <w:t xml:space="preserve">contempla el </w:t>
      </w:r>
      <w:r>
        <w:rPr>
          <w:rFonts w:cs="Arial"/>
        </w:rPr>
        <w:t>ajust</w:t>
      </w:r>
      <w:r w:rsidR="00A15482">
        <w:rPr>
          <w:rFonts w:cs="Arial"/>
        </w:rPr>
        <w:t>e</w:t>
      </w:r>
      <w:r>
        <w:rPr>
          <w:rFonts w:cs="Arial"/>
        </w:rPr>
        <w:t xml:space="preserve"> </w:t>
      </w:r>
      <w:r w:rsidR="00A15482">
        <w:rPr>
          <w:rFonts w:cs="Arial"/>
        </w:rPr>
        <w:t>d</w:t>
      </w:r>
      <w:r w:rsidRPr="0099211C">
        <w:rPr>
          <w:rFonts w:cs="Arial"/>
        </w:rPr>
        <w:t xml:space="preserve">el método </w:t>
      </w:r>
      <w:r>
        <w:rPr>
          <w:rFonts w:cs="Arial"/>
        </w:rPr>
        <w:t xml:space="preserve">de </w:t>
      </w:r>
      <w:r w:rsidRPr="0099211C">
        <w:rPr>
          <w:rFonts w:cs="Arial"/>
        </w:rPr>
        <w:t>evaluación de impactos</w:t>
      </w:r>
      <w:r>
        <w:rPr>
          <w:rFonts w:cs="Arial"/>
        </w:rPr>
        <w:t xml:space="preserve"> desde el comienzo y </w:t>
      </w:r>
      <w:r w:rsidR="00EF57DC">
        <w:rPr>
          <w:rFonts w:cs="Arial"/>
        </w:rPr>
        <w:t xml:space="preserve">es más breve </w:t>
      </w:r>
      <w:r>
        <w:rPr>
          <w:rFonts w:cs="Arial"/>
        </w:rPr>
        <w:t>al obviar algunos atributos o procedimientos</w:t>
      </w:r>
      <w:r w:rsidRPr="0099211C">
        <w:rPr>
          <w:rFonts w:cs="Arial"/>
        </w:rPr>
        <w:t xml:space="preserve">, no brinda la posibilidad de estudiar los impactos </w:t>
      </w:r>
      <w:r>
        <w:rPr>
          <w:rFonts w:cs="Arial"/>
        </w:rPr>
        <w:t xml:space="preserve">desde otras perspectivas </w:t>
      </w:r>
      <w:r w:rsidRPr="0099211C">
        <w:rPr>
          <w:rFonts w:cs="Arial"/>
        </w:rPr>
        <w:t xml:space="preserve">que </w:t>
      </w:r>
      <w:r>
        <w:rPr>
          <w:rFonts w:cs="Arial"/>
        </w:rPr>
        <w:t xml:space="preserve">son útiles para </w:t>
      </w:r>
      <w:r w:rsidRPr="0099211C">
        <w:rPr>
          <w:rFonts w:cs="Arial"/>
        </w:rPr>
        <w:t>la formulación del plan de manejo ambiental.</w:t>
      </w:r>
    </w:p>
    <w:p w14:paraId="2EC83796" w14:textId="77777777" w:rsidR="00F55C4B" w:rsidRPr="0039183D" w:rsidRDefault="00F55C4B" w:rsidP="00F55C4B">
      <w:pPr>
        <w:contextualSpacing/>
        <w:rPr>
          <w:rFonts w:cs="Arial"/>
        </w:rPr>
      </w:pPr>
    </w:p>
    <w:p w14:paraId="52093D1F" w14:textId="07C1D8EA" w:rsidR="00F55C4B" w:rsidRPr="0039183D" w:rsidRDefault="00F55C4B" w:rsidP="00F55C4B">
      <w:pPr>
        <w:contextualSpacing/>
        <w:rPr>
          <w:rFonts w:cs="Arial"/>
        </w:rPr>
      </w:pPr>
      <w:r w:rsidRPr="0039183D">
        <w:rPr>
          <w:rFonts w:cs="Arial"/>
        </w:rPr>
        <w:t xml:space="preserve">En este caso, es posible analizar y ordenar la información en una tabla similar a la </w:t>
      </w:r>
      <w:r w:rsidR="00784DD0" w:rsidRPr="00784DD0">
        <w:rPr>
          <w:rFonts w:cs="Arial"/>
        </w:rPr>
        <w:fldChar w:fldCharType="begin"/>
      </w:r>
      <w:r w:rsidR="00784DD0" w:rsidRPr="00784DD0">
        <w:rPr>
          <w:rFonts w:cs="Arial"/>
        </w:rPr>
        <w:instrText xml:space="preserve"> REF _Ref230682701 \h </w:instrText>
      </w:r>
      <w:r w:rsidR="00784DD0" w:rsidRPr="00883755">
        <w:rPr>
          <w:rFonts w:cs="Arial"/>
        </w:rPr>
        <w:instrText xml:space="preserve"> \* MERGEFORMAT </w:instrText>
      </w:r>
      <w:r w:rsidR="00784DD0" w:rsidRPr="00784DD0">
        <w:rPr>
          <w:rFonts w:cs="Arial"/>
        </w:rPr>
      </w:r>
      <w:r w:rsidR="00784DD0" w:rsidRPr="00784DD0">
        <w:rPr>
          <w:rFonts w:cs="Arial"/>
        </w:rPr>
        <w:fldChar w:fldCharType="separate"/>
      </w:r>
      <w:r w:rsidR="009C4A81" w:rsidRPr="009C4A81">
        <w:rPr>
          <w:spacing w:val="-3"/>
        </w:rPr>
        <w:t xml:space="preserve">Tabla </w:t>
      </w:r>
      <w:r w:rsidR="009C4A81" w:rsidRPr="009C4A81">
        <w:rPr>
          <w:noProof/>
          <w:spacing w:val="-3"/>
        </w:rPr>
        <w:t>33</w:t>
      </w:r>
      <w:r w:rsidR="00784DD0" w:rsidRPr="00784DD0">
        <w:rPr>
          <w:rFonts w:cs="Arial"/>
        </w:rPr>
        <w:fldChar w:fldCharType="end"/>
      </w:r>
      <w:r w:rsidR="00784DD0">
        <w:rPr>
          <w:rFonts w:cs="Arial"/>
        </w:rPr>
        <w:t xml:space="preserve"> </w:t>
      </w:r>
      <w:r w:rsidRPr="0039183D">
        <w:rPr>
          <w:rFonts w:cs="Arial"/>
        </w:rPr>
        <w:t>que</w:t>
      </w:r>
      <w:r w:rsidR="007B1E0C">
        <w:rPr>
          <w:rFonts w:cs="Arial"/>
        </w:rPr>
        <w:t xml:space="preserve"> </w:t>
      </w:r>
      <w:r w:rsidRPr="0039183D">
        <w:rPr>
          <w:rFonts w:cs="Arial"/>
        </w:rPr>
        <w:t>no incluya las columnas relativas a los atributos</w:t>
      </w:r>
      <w:r w:rsidR="001505D8">
        <w:rPr>
          <w:rFonts w:cs="Arial"/>
        </w:rPr>
        <w:t>/procedimientos</w:t>
      </w:r>
      <w:r w:rsidRPr="0039183D">
        <w:rPr>
          <w:rFonts w:cs="Arial"/>
        </w:rPr>
        <w:t xml:space="preserve"> complementarios de evaluación.</w:t>
      </w:r>
    </w:p>
    <w:p w14:paraId="1382507C" w14:textId="77777777" w:rsidR="00184F80" w:rsidRPr="004068F6" w:rsidRDefault="00184F80" w:rsidP="007B7358">
      <w:pPr>
        <w:numPr>
          <w:ilvl w:val="12"/>
          <w:numId w:val="0"/>
        </w:numPr>
        <w:tabs>
          <w:tab w:val="left" w:pos="-2268"/>
        </w:tabs>
        <w:suppressAutoHyphens/>
        <w:rPr>
          <w:rFonts w:cs="Arial"/>
          <w:spacing w:val="-3"/>
        </w:rPr>
      </w:pPr>
    </w:p>
    <w:p w14:paraId="062112F0" w14:textId="7123513C" w:rsidR="007B7358" w:rsidRPr="00127BD4" w:rsidRDefault="0044028B" w:rsidP="008A4FE9">
      <w:pPr>
        <w:pStyle w:val="Ttulo2"/>
        <w:rPr>
          <w:lang w:val="es-CO"/>
        </w:rPr>
      </w:pPr>
      <w:bookmarkStart w:id="3238" w:name="_Toc138760020"/>
      <w:bookmarkStart w:id="3239" w:name="_Toc153811861"/>
      <w:bookmarkStart w:id="3240" w:name="_Toc153812075"/>
      <w:bookmarkStart w:id="3241" w:name="_Toc153812480"/>
      <w:bookmarkStart w:id="3242" w:name="_Toc153817512"/>
      <w:bookmarkStart w:id="3243" w:name="_Toc158907191"/>
      <w:bookmarkStart w:id="3244" w:name="_Toc159826191"/>
      <w:bookmarkStart w:id="3245" w:name="_Toc159826625"/>
      <w:bookmarkStart w:id="3246" w:name="_Toc175326465"/>
      <w:bookmarkStart w:id="3247" w:name="_Ref136953274"/>
      <w:bookmarkStart w:id="3248" w:name="_Toc230879692"/>
      <w:bookmarkEnd w:id="3238"/>
      <w:bookmarkEnd w:id="3239"/>
      <w:bookmarkEnd w:id="3240"/>
      <w:bookmarkEnd w:id="3241"/>
      <w:bookmarkEnd w:id="3242"/>
      <w:bookmarkEnd w:id="3243"/>
      <w:bookmarkEnd w:id="3244"/>
      <w:bookmarkEnd w:id="3245"/>
      <w:bookmarkEnd w:id="3246"/>
      <w:r w:rsidRPr="004068F6">
        <w:rPr>
          <w:lang w:val="es-CO"/>
        </w:rPr>
        <w:t>LINEAMIENTOS GENERALES PARA LA EVALUACIÓN AMBIENTAL</w:t>
      </w:r>
      <w:bookmarkEnd w:id="3247"/>
      <w:bookmarkEnd w:id="3248"/>
    </w:p>
    <w:p w14:paraId="7AFB9380" w14:textId="77777777" w:rsidR="0044028B" w:rsidRPr="004068F6" w:rsidRDefault="0044028B" w:rsidP="007B7358">
      <w:pPr>
        <w:numPr>
          <w:ilvl w:val="12"/>
          <w:numId w:val="0"/>
        </w:numPr>
        <w:tabs>
          <w:tab w:val="left" w:pos="-2268"/>
        </w:tabs>
        <w:suppressAutoHyphens/>
        <w:rPr>
          <w:rFonts w:cs="Arial"/>
          <w:spacing w:val="-3"/>
        </w:rPr>
      </w:pPr>
    </w:p>
    <w:p w14:paraId="1D482560" w14:textId="6D8CBCD6" w:rsidR="0068381C" w:rsidRPr="004068F6" w:rsidRDefault="00B129E0" w:rsidP="007B7358">
      <w:pPr>
        <w:numPr>
          <w:ilvl w:val="12"/>
          <w:numId w:val="0"/>
        </w:numPr>
        <w:tabs>
          <w:tab w:val="left" w:pos="-2268"/>
        </w:tabs>
        <w:suppressAutoHyphens/>
        <w:rPr>
          <w:rFonts w:cs="Arial"/>
          <w:spacing w:val="-3"/>
        </w:rPr>
      </w:pPr>
      <w:bookmarkStart w:id="3249" w:name="_Hlk137116874"/>
      <w:r w:rsidRPr="004068F6">
        <w:rPr>
          <w:rFonts w:cs="Arial"/>
          <w:spacing w:val="-3"/>
        </w:rPr>
        <w:t xml:space="preserve">La evaluación ambiental implica la determinación y valoración de los impactos ambientales en </w:t>
      </w:r>
      <w:r w:rsidR="00C21E68" w:rsidRPr="004068F6">
        <w:rPr>
          <w:rFonts w:cs="Arial"/>
          <w:spacing w:val="-3"/>
        </w:rPr>
        <w:t xml:space="preserve">el escenario sin proyecto y en el </w:t>
      </w:r>
      <w:r w:rsidRPr="004068F6">
        <w:rPr>
          <w:rFonts w:cs="Arial"/>
          <w:spacing w:val="-3"/>
        </w:rPr>
        <w:t>escenario</w:t>
      </w:r>
      <w:r w:rsidR="00C21E68" w:rsidRPr="004068F6">
        <w:rPr>
          <w:rFonts w:cs="Arial"/>
          <w:spacing w:val="-3"/>
        </w:rPr>
        <w:t xml:space="preserve"> con proyecto</w:t>
      </w:r>
      <w:r w:rsidR="0068381C" w:rsidRPr="004068F6">
        <w:rPr>
          <w:rFonts w:cs="Arial"/>
          <w:spacing w:val="-3"/>
        </w:rPr>
        <w:t>. A continuación, se establecen las orientaciones que son comunes a ambos escenarios y</w:t>
      </w:r>
      <w:r w:rsidR="007C3085" w:rsidRPr="004068F6">
        <w:rPr>
          <w:rFonts w:cs="Arial"/>
          <w:spacing w:val="-3"/>
        </w:rPr>
        <w:t xml:space="preserve"> que,</w:t>
      </w:r>
      <w:r w:rsidR="0068381C" w:rsidRPr="004068F6">
        <w:rPr>
          <w:rFonts w:cs="Arial"/>
          <w:spacing w:val="-3"/>
        </w:rPr>
        <w:t xml:space="preserve"> por tanto, deben emplearse para evaluarlos.</w:t>
      </w:r>
    </w:p>
    <w:bookmarkEnd w:id="3249"/>
    <w:p w14:paraId="2AF8E5A2" w14:textId="472B6E67" w:rsidR="0044028B" w:rsidRDefault="0044028B" w:rsidP="007B7358">
      <w:pPr>
        <w:numPr>
          <w:ilvl w:val="12"/>
          <w:numId w:val="0"/>
        </w:numPr>
        <w:tabs>
          <w:tab w:val="left" w:pos="-2268"/>
        </w:tabs>
        <w:suppressAutoHyphens/>
        <w:rPr>
          <w:rFonts w:cs="Arial"/>
          <w:spacing w:val="-3"/>
        </w:rPr>
      </w:pPr>
    </w:p>
    <w:p w14:paraId="00685BFC" w14:textId="77777777" w:rsidR="00BC386A" w:rsidRDefault="00BC386A" w:rsidP="007B7358">
      <w:pPr>
        <w:numPr>
          <w:ilvl w:val="12"/>
          <w:numId w:val="0"/>
        </w:numPr>
        <w:tabs>
          <w:tab w:val="left" w:pos="-2268"/>
        </w:tabs>
        <w:suppressAutoHyphens/>
        <w:rPr>
          <w:rFonts w:cs="Arial"/>
          <w:spacing w:val="-3"/>
        </w:rPr>
      </w:pPr>
    </w:p>
    <w:p w14:paraId="3B5C6F2A" w14:textId="77777777" w:rsidR="00BC386A" w:rsidRPr="004068F6" w:rsidRDefault="00BC386A" w:rsidP="007B7358">
      <w:pPr>
        <w:numPr>
          <w:ilvl w:val="12"/>
          <w:numId w:val="0"/>
        </w:numPr>
        <w:tabs>
          <w:tab w:val="left" w:pos="-2268"/>
        </w:tabs>
        <w:suppressAutoHyphens/>
        <w:rPr>
          <w:rFonts w:cs="Arial"/>
          <w:spacing w:val="-3"/>
        </w:rPr>
      </w:pPr>
    </w:p>
    <w:p w14:paraId="3DE029E0" w14:textId="3800D049" w:rsidR="007B7358" w:rsidRPr="00466E26" w:rsidRDefault="00A86BC5" w:rsidP="000A1E20">
      <w:pPr>
        <w:pStyle w:val="Ttulo3"/>
      </w:pPr>
      <w:bookmarkStart w:id="3250" w:name="_Ref230097849"/>
      <w:bookmarkStart w:id="3251" w:name="_Toc230879693"/>
      <w:r w:rsidRPr="00466E26">
        <w:lastRenderedPageBreak/>
        <w:t xml:space="preserve">Determinación </w:t>
      </w:r>
      <w:r w:rsidR="007B7358" w:rsidRPr="00466E26">
        <w:t>de impactos ambientales</w:t>
      </w:r>
      <w:bookmarkEnd w:id="3250"/>
      <w:bookmarkEnd w:id="3251"/>
    </w:p>
    <w:p w14:paraId="1B61EB3D" w14:textId="77777777" w:rsidR="00665402" w:rsidRPr="004068F6" w:rsidRDefault="00665402" w:rsidP="007B7358">
      <w:pPr>
        <w:numPr>
          <w:ilvl w:val="12"/>
          <w:numId w:val="0"/>
        </w:numPr>
        <w:tabs>
          <w:tab w:val="left" w:pos="-2268"/>
        </w:tabs>
        <w:suppressAutoHyphens/>
        <w:rPr>
          <w:rFonts w:cs="Arial"/>
          <w:spacing w:val="-3"/>
        </w:rPr>
      </w:pPr>
    </w:p>
    <w:p w14:paraId="2AEF84E6" w14:textId="589B87A8" w:rsidR="007E0934" w:rsidRPr="004068F6" w:rsidRDefault="007E0934" w:rsidP="00665402">
      <w:pPr>
        <w:numPr>
          <w:ilvl w:val="12"/>
          <w:numId w:val="0"/>
        </w:numPr>
        <w:tabs>
          <w:tab w:val="left" w:pos="-2268"/>
        </w:tabs>
        <w:suppressAutoHyphens/>
        <w:rPr>
          <w:rFonts w:cs="Arial"/>
          <w:spacing w:val="-3"/>
        </w:rPr>
      </w:pPr>
      <w:r w:rsidRPr="004068F6">
        <w:rPr>
          <w:rFonts w:cs="Arial"/>
          <w:spacing w:val="-3"/>
        </w:rPr>
        <w:t xml:space="preserve">La primera actividad de la evaluación ambiental consiste en determinar qué impactos ambientales van a ocurrir en dos escenarios futuros, uno en el que las condiciones ambientales evolucionan sin la influencia del proyecto, obra o actividad propuesto, y otro en el que </w:t>
      </w:r>
      <w:r w:rsidR="000834D1" w:rsidRPr="004068F6">
        <w:rPr>
          <w:rFonts w:cs="Arial"/>
          <w:spacing w:val="-3"/>
        </w:rPr>
        <w:t xml:space="preserve">las </w:t>
      </w:r>
      <w:r w:rsidRPr="004068F6">
        <w:rPr>
          <w:rFonts w:cs="Arial"/>
          <w:spacing w:val="-3"/>
        </w:rPr>
        <w:t xml:space="preserve">condiciones </w:t>
      </w:r>
      <w:r w:rsidR="000834D1" w:rsidRPr="004068F6">
        <w:rPr>
          <w:rFonts w:cs="Arial"/>
          <w:spacing w:val="-3"/>
        </w:rPr>
        <w:t xml:space="preserve">ambientales </w:t>
      </w:r>
      <w:r w:rsidR="005D3234" w:rsidRPr="004068F6">
        <w:rPr>
          <w:rFonts w:cs="Arial"/>
          <w:spacing w:val="-3"/>
        </w:rPr>
        <w:t xml:space="preserve">de los medios, los servicios ecosistémicos y el paisaje </w:t>
      </w:r>
      <w:r w:rsidR="00C21E68" w:rsidRPr="004068F6">
        <w:rPr>
          <w:rFonts w:cs="Arial"/>
          <w:spacing w:val="-3"/>
        </w:rPr>
        <w:t xml:space="preserve">sí </w:t>
      </w:r>
      <w:r w:rsidRPr="004068F6">
        <w:rPr>
          <w:rFonts w:cs="Arial"/>
          <w:spacing w:val="-3"/>
        </w:rPr>
        <w:t xml:space="preserve">se ven modificadas por </w:t>
      </w:r>
      <w:r w:rsidR="001F7F38" w:rsidRPr="004068F6">
        <w:rPr>
          <w:rFonts w:cs="Arial"/>
          <w:spacing w:val="-3"/>
        </w:rPr>
        <w:t>la influencia del proyecto, obra o actividad</w:t>
      </w:r>
      <w:r w:rsidRPr="004068F6">
        <w:rPr>
          <w:rFonts w:cs="Arial"/>
          <w:spacing w:val="-3"/>
        </w:rPr>
        <w:t>.</w:t>
      </w:r>
    </w:p>
    <w:p w14:paraId="044EC853" w14:textId="77777777" w:rsidR="007E0934" w:rsidRPr="004068F6" w:rsidRDefault="007E0934" w:rsidP="00665402">
      <w:pPr>
        <w:numPr>
          <w:ilvl w:val="12"/>
          <w:numId w:val="0"/>
        </w:numPr>
        <w:tabs>
          <w:tab w:val="left" w:pos="-2268"/>
        </w:tabs>
        <w:suppressAutoHyphens/>
        <w:rPr>
          <w:rFonts w:cs="Arial"/>
          <w:spacing w:val="-3"/>
        </w:rPr>
      </w:pPr>
    </w:p>
    <w:p w14:paraId="4DA7118D" w14:textId="37845131" w:rsidR="007B7358" w:rsidRPr="004068F6" w:rsidRDefault="007B7358" w:rsidP="007B7358">
      <w:pPr>
        <w:numPr>
          <w:ilvl w:val="12"/>
          <w:numId w:val="0"/>
        </w:numPr>
        <w:tabs>
          <w:tab w:val="left" w:pos="-2268"/>
        </w:tabs>
        <w:suppressAutoHyphens/>
        <w:rPr>
          <w:rFonts w:cs="Arial"/>
          <w:spacing w:val="-3"/>
        </w:rPr>
      </w:pPr>
      <w:r w:rsidRPr="004068F6">
        <w:rPr>
          <w:rFonts w:cs="Arial"/>
          <w:spacing w:val="-3"/>
        </w:rPr>
        <w:t xml:space="preserve">Con el propósito de </w:t>
      </w:r>
      <w:r w:rsidR="00F34A5B" w:rsidRPr="004068F6">
        <w:rPr>
          <w:rFonts w:cs="Arial"/>
          <w:spacing w:val="-3"/>
        </w:rPr>
        <w:t xml:space="preserve">determinar </w:t>
      </w:r>
      <w:r w:rsidRPr="004068F6">
        <w:rPr>
          <w:rFonts w:cs="Arial"/>
          <w:spacing w:val="-3"/>
        </w:rPr>
        <w:t xml:space="preserve">los impactos ambientales </w:t>
      </w:r>
      <w:r w:rsidR="004C40EA" w:rsidRPr="004068F6">
        <w:rPr>
          <w:rFonts w:cs="Arial"/>
          <w:spacing w:val="-3"/>
        </w:rPr>
        <w:t xml:space="preserve">para los escenarios sin proyecto y con proyecto </w:t>
      </w:r>
      <w:r w:rsidRPr="004068F6">
        <w:rPr>
          <w:rFonts w:cs="Arial"/>
          <w:spacing w:val="-3"/>
        </w:rPr>
        <w:t xml:space="preserve">es posible hacer uso de las herramientas que se emplean </w:t>
      </w:r>
      <w:r w:rsidR="00225FD8" w:rsidRPr="004068F6">
        <w:rPr>
          <w:rFonts w:cs="Arial"/>
          <w:spacing w:val="-3"/>
        </w:rPr>
        <w:t xml:space="preserve">habitualmente con este fin </w:t>
      </w:r>
      <w:r w:rsidRPr="004068F6">
        <w:rPr>
          <w:rFonts w:cs="Arial"/>
          <w:spacing w:val="-3"/>
        </w:rPr>
        <w:t>en los métodos de evaluación ambiental, entre ellas</w:t>
      </w:r>
      <w:r w:rsidR="0003389B" w:rsidRPr="004068F6">
        <w:rPr>
          <w:rFonts w:cs="Arial"/>
          <w:spacing w:val="-3"/>
        </w:rPr>
        <w:t>,</w:t>
      </w:r>
      <w:r w:rsidRPr="004068F6">
        <w:rPr>
          <w:rFonts w:cs="Arial"/>
          <w:spacing w:val="-3"/>
        </w:rPr>
        <w:t xml:space="preserve"> las listas de chequeo, diagramas de flujo, matrices causa-efecto</w:t>
      </w:r>
      <w:r w:rsidR="00C124EC" w:rsidRPr="004068F6">
        <w:rPr>
          <w:rStyle w:val="Refdenotaalpie"/>
          <w:rFonts w:cs="Arial"/>
          <w:spacing w:val="-3"/>
          <w:lang w:val="es-CO"/>
        </w:rPr>
        <w:footnoteReference w:id="208"/>
      </w:r>
      <w:r w:rsidRPr="004068F6">
        <w:rPr>
          <w:rFonts w:cs="Arial"/>
          <w:spacing w:val="-3"/>
        </w:rPr>
        <w:t xml:space="preserve"> o consultas a expertos; </w:t>
      </w:r>
      <w:r w:rsidR="007509B8" w:rsidRPr="004068F6">
        <w:rPr>
          <w:rFonts w:cs="Arial"/>
          <w:spacing w:val="-3"/>
        </w:rPr>
        <w:t>asimismo</w:t>
      </w:r>
      <w:r w:rsidR="00CC7B68" w:rsidRPr="004068F6">
        <w:rPr>
          <w:rFonts w:cs="Arial"/>
          <w:spacing w:val="-3"/>
        </w:rPr>
        <w:t>,</w:t>
      </w:r>
      <w:r w:rsidRPr="004068F6">
        <w:rPr>
          <w:rFonts w:cs="Arial"/>
          <w:spacing w:val="-3"/>
        </w:rPr>
        <w:t xml:space="preserve"> </w:t>
      </w:r>
      <w:r w:rsidR="007509B8" w:rsidRPr="004068F6">
        <w:rPr>
          <w:rFonts w:cs="Arial"/>
          <w:spacing w:val="-3"/>
        </w:rPr>
        <w:t xml:space="preserve">es posible utilizar </w:t>
      </w:r>
      <w:r w:rsidRPr="004068F6">
        <w:rPr>
          <w:rFonts w:cs="Arial"/>
          <w:spacing w:val="-3"/>
        </w:rPr>
        <w:t xml:space="preserve">el concepto de </w:t>
      </w:r>
      <w:r w:rsidRPr="00127BD4">
        <w:rPr>
          <w:rFonts w:cs="Arial"/>
          <w:i/>
          <w:iCs/>
          <w:spacing w:val="-3"/>
        </w:rPr>
        <w:t>impacto ambiental potencial</w:t>
      </w:r>
      <w:r w:rsidRPr="004068F6">
        <w:rPr>
          <w:rStyle w:val="Refdenotaalpie"/>
          <w:rFonts w:cs="Arial"/>
          <w:spacing w:val="-3"/>
          <w:lang w:val="es-CO"/>
        </w:rPr>
        <w:footnoteReference w:id="209"/>
      </w:r>
      <w:r w:rsidRPr="004068F6">
        <w:rPr>
          <w:rFonts w:cs="Arial"/>
          <w:spacing w:val="-3"/>
        </w:rPr>
        <w:t xml:space="preserve"> </w:t>
      </w:r>
      <w:r w:rsidR="004C40EA" w:rsidRPr="004068F6">
        <w:rPr>
          <w:rFonts w:cs="Arial"/>
          <w:spacing w:val="-3"/>
        </w:rPr>
        <w:t xml:space="preserve">de forma complementaria a estas herramientas con el fin de </w:t>
      </w:r>
      <w:r w:rsidRPr="004068F6">
        <w:rPr>
          <w:rFonts w:cs="Arial"/>
          <w:spacing w:val="-3"/>
        </w:rPr>
        <w:t xml:space="preserve">abordar la primera aproximación a la </w:t>
      </w:r>
      <w:r w:rsidR="00A86BC5" w:rsidRPr="004068F6">
        <w:rPr>
          <w:rFonts w:cs="Arial"/>
          <w:spacing w:val="-3"/>
        </w:rPr>
        <w:t xml:space="preserve">determinación </w:t>
      </w:r>
      <w:r w:rsidRPr="004068F6">
        <w:rPr>
          <w:rFonts w:cs="Arial"/>
          <w:spacing w:val="-3"/>
        </w:rPr>
        <w:t>de los impactos ambientales</w:t>
      </w:r>
      <w:r w:rsidR="00CA6EAF">
        <w:rPr>
          <w:rFonts w:cs="Arial"/>
          <w:spacing w:val="-3"/>
        </w:rPr>
        <w:t xml:space="preserve"> y consecuentemente, </w:t>
      </w:r>
      <w:r w:rsidR="00371BC5" w:rsidRPr="00371BC5">
        <w:rPr>
          <w:rFonts w:cs="Arial"/>
          <w:spacing w:val="-3"/>
        </w:rPr>
        <w:t>la delimitación del área de influencia en su fase preliminar</w:t>
      </w:r>
      <w:r w:rsidRPr="004068F6">
        <w:rPr>
          <w:rFonts w:cs="Arial"/>
          <w:spacing w:val="-3"/>
        </w:rPr>
        <w:t>.</w:t>
      </w:r>
    </w:p>
    <w:p w14:paraId="1D591A21" w14:textId="77777777" w:rsidR="007B7358" w:rsidRPr="004068F6" w:rsidRDefault="007B7358" w:rsidP="007B7358">
      <w:pPr>
        <w:numPr>
          <w:ilvl w:val="12"/>
          <w:numId w:val="0"/>
        </w:numPr>
        <w:tabs>
          <w:tab w:val="left" w:pos="-2268"/>
        </w:tabs>
        <w:suppressAutoHyphens/>
        <w:rPr>
          <w:rFonts w:cs="Arial"/>
          <w:spacing w:val="-3"/>
        </w:rPr>
      </w:pPr>
    </w:p>
    <w:p w14:paraId="7E4C1789" w14:textId="6C0E8BCE" w:rsidR="007B7358" w:rsidRPr="004068F6" w:rsidRDefault="00C21E68" w:rsidP="007B7358">
      <w:pPr>
        <w:numPr>
          <w:ilvl w:val="12"/>
          <w:numId w:val="0"/>
        </w:numPr>
        <w:tabs>
          <w:tab w:val="left" w:pos="-2268"/>
        </w:tabs>
        <w:suppressAutoHyphens/>
        <w:rPr>
          <w:rFonts w:cs="Arial"/>
          <w:spacing w:val="-3"/>
        </w:rPr>
      </w:pPr>
      <w:r w:rsidRPr="004068F6">
        <w:rPr>
          <w:rFonts w:cs="Arial"/>
          <w:spacing w:val="-3"/>
        </w:rPr>
        <w:t>Así</w:t>
      </w:r>
      <w:r w:rsidR="007B7358" w:rsidRPr="004068F6">
        <w:rPr>
          <w:rFonts w:cs="Arial"/>
          <w:spacing w:val="-3"/>
        </w:rPr>
        <w:t xml:space="preserve">, </w:t>
      </w:r>
      <w:r w:rsidR="00EF41AA" w:rsidRPr="004068F6">
        <w:rPr>
          <w:rFonts w:cs="Arial"/>
          <w:spacing w:val="-3"/>
        </w:rPr>
        <w:t xml:space="preserve">la </w:t>
      </w:r>
      <w:r w:rsidR="00A86BC5" w:rsidRPr="004068F6">
        <w:rPr>
          <w:rFonts w:cs="Arial"/>
          <w:spacing w:val="-3"/>
        </w:rPr>
        <w:t xml:space="preserve">determinación </w:t>
      </w:r>
      <w:r w:rsidR="007B7358" w:rsidRPr="004068F6">
        <w:rPr>
          <w:rFonts w:cs="Arial"/>
          <w:spacing w:val="-3"/>
        </w:rPr>
        <w:t xml:space="preserve">puede iniciar </w:t>
      </w:r>
      <w:r w:rsidR="00EF41AA" w:rsidRPr="004068F6">
        <w:rPr>
          <w:rFonts w:cs="Arial"/>
          <w:spacing w:val="-3"/>
        </w:rPr>
        <w:t xml:space="preserve">identificando </w:t>
      </w:r>
      <w:r w:rsidR="007B7358" w:rsidRPr="004068F6">
        <w:rPr>
          <w:rFonts w:cs="Arial"/>
          <w:spacing w:val="-3"/>
        </w:rPr>
        <w:t xml:space="preserve">los </w:t>
      </w:r>
      <w:r w:rsidR="007B7358" w:rsidRPr="00127BD4">
        <w:rPr>
          <w:rFonts w:cs="Arial"/>
          <w:i/>
          <w:iCs/>
          <w:spacing w:val="-3"/>
        </w:rPr>
        <w:t>impactos ambientales potenciales</w:t>
      </w:r>
      <w:r w:rsidR="007B7358" w:rsidRPr="004068F6">
        <w:rPr>
          <w:rFonts w:cs="Arial"/>
          <w:spacing w:val="-3"/>
        </w:rPr>
        <w:t xml:space="preserve"> del proyecto, obra o actividad, es decir, los impactos que </w:t>
      </w:r>
      <w:r w:rsidR="00B846D8" w:rsidRPr="004068F6">
        <w:rPr>
          <w:rFonts w:cs="Arial"/>
          <w:spacing w:val="-3"/>
        </w:rPr>
        <w:t xml:space="preserve">generaría </w:t>
      </w:r>
      <w:r w:rsidR="007B7358" w:rsidRPr="004068F6">
        <w:rPr>
          <w:rFonts w:cs="Arial"/>
          <w:spacing w:val="-3"/>
        </w:rPr>
        <w:t xml:space="preserve">de manera inevitable independientemente de su lugar de ejecución, </w:t>
      </w:r>
      <w:r w:rsidR="00F640D4" w:rsidRPr="004068F6">
        <w:rPr>
          <w:rFonts w:cs="Arial"/>
          <w:spacing w:val="-3"/>
        </w:rPr>
        <w:t xml:space="preserve">para luego </w:t>
      </w:r>
      <w:r w:rsidR="007B7358" w:rsidRPr="004068F6">
        <w:rPr>
          <w:rFonts w:cs="Arial"/>
          <w:spacing w:val="-3"/>
        </w:rPr>
        <w:t>afina</w:t>
      </w:r>
      <w:r w:rsidR="00F640D4" w:rsidRPr="004068F6">
        <w:rPr>
          <w:rFonts w:cs="Arial"/>
          <w:spacing w:val="-3"/>
        </w:rPr>
        <w:t>r</w:t>
      </w:r>
      <w:r w:rsidR="007B7358" w:rsidRPr="004068F6">
        <w:rPr>
          <w:rFonts w:cs="Arial"/>
          <w:spacing w:val="-3"/>
        </w:rPr>
        <w:t xml:space="preserve"> el análisis con las herramientas antes mencionadas, </w:t>
      </w:r>
      <w:r w:rsidR="0066273E" w:rsidRPr="004068F6">
        <w:rPr>
          <w:rFonts w:cs="Arial"/>
          <w:spacing w:val="-3"/>
        </w:rPr>
        <w:t xml:space="preserve">o con </w:t>
      </w:r>
      <w:r w:rsidR="007B7358" w:rsidRPr="004068F6">
        <w:rPr>
          <w:rFonts w:cs="Arial"/>
          <w:spacing w:val="-3"/>
        </w:rPr>
        <w:t xml:space="preserve">otras </w:t>
      </w:r>
      <w:r w:rsidR="00225FD8" w:rsidRPr="004068F6">
        <w:rPr>
          <w:rFonts w:cs="Arial"/>
          <w:spacing w:val="-3"/>
        </w:rPr>
        <w:t xml:space="preserve">que sean apropiadas para conocer </w:t>
      </w:r>
      <w:r w:rsidR="007B7358" w:rsidRPr="004068F6">
        <w:rPr>
          <w:rFonts w:cs="Arial"/>
          <w:spacing w:val="-3"/>
        </w:rPr>
        <w:t>de forma precisa</w:t>
      </w:r>
      <w:r w:rsidR="00EF41AA" w:rsidRPr="004068F6">
        <w:rPr>
          <w:rFonts w:cs="Arial"/>
          <w:spacing w:val="-3"/>
        </w:rPr>
        <w:t>, según las condiciones particulares del área de influencia,</w:t>
      </w:r>
      <w:r w:rsidR="007B7358" w:rsidRPr="004068F6">
        <w:rPr>
          <w:rFonts w:cs="Arial"/>
          <w:spacing w:val="-3"/>
        </w:rPr>
        <w:t xml:space="preserve"> </w:t>
      </w:r>
      <w:r w:rsidR="00225FD8" w:rsidRPr="004068F6">
        <w:rPr>
          <w:rFonts w:cs="Arial"/>
          <w:spacing w:val="-3"/>
        </w:rPr>
        <w:t xml:space="preserve">qué </w:t>
      </w:r>
      <w:r w:rsidR="007B7358" w:rsidRPr="004068F6">
        <w:rPr>
          <w:rFonts w:cs="Arial"/>
          <w:spacing w:val="-3"/>
        </w:rPr>
        <w:t xml:space="preserve">impactos </w:t>
      </w:r>
      <w:r w:rsidR="00CF4008" w:rsidRPr="004068F6">
        <w:rPr>
          <w:rFonts w:cs="Arial"/>
          <w:spacing w:val="-3"/>
        </w:rPr>
        <w:t xml:space="preserve">generan los proyectos y actividades presentes en el área de influencia y aquellos que </w:t>
      </w:r>
      <w:r w:rsidR="00225FD8" w:rsidRPr="004068F6">
        <w:rPr>
          <w:rFonts w:cs="Arial"/>
          <w:spacing w:val="-3"/>
        </w:rPr>
        <w:t xml:space="preserve">se </w:t>
      </w:r>
      <w:r w:rsidR="007B7358" w:rsidRPr="004068F6">
        <w:rPr>
          <w:rFonts w:cs="Arial"/>
          <w:spacing w:val="-3"/>
        </w:rPr>
        <w:t>generaría</w:t>
      </w:r>
      <w:r w:rsidR="00225FD8" w:rsidRPr="004068F6">
        <w:rPr>
          <w:rFonts w:cs="Arial"/>
          <w:spacing w:val="-3"/>
        </w:rPr>
        <w:t>n</w:t>
      </w:r>
      <w:r w:rsidR="007B7358" w:rsidRPr="004068F6">
        <w:rPr>
          <w:rFonts w:cs="Arial"/>
          <w:spacing w:val="-3"/>
        </w:rPr>
        <w:t xml:space="preserve"> </w:t>
      </w:r>
      <w:r w:rsidR="00CF4008" w:rsidRPr="004068F6">
        <w:rPr>
          <w:rFonts w:cs="Arial"/>
          <w:spacing w:val="-3"/>
        </w:rPr>
        <w:t>por el proyecto en formulación</w:t>
      </w:r>
      <w:r w:rsidR="00353A0E" w:rsidRPr="004068F6">
        <w:rPr>
          <w:rFonts w:cs="Arial"/>
          <w:spacing w:val="-3"/>
        </w:rPr>
        <w:t xml:space="preserve">, </w:t>
      </w:r>
      <w:r w:rsidR="006E7A71" w:rsidRPr="004068F6">
        <w:rPr>
          <w:rFonts w:cs="Arial"/>
          <w:spacing w:val="-3"/>
        </w:rPr>
        <w:t xml:space="preserve">contemplando </w:t>
      </w:r>
      <w:r w:rsidR="003920A9" w:rsidRPr="004068F6">
        <w:rPr>
          <w:rFonts w:cs="Arial"/>
          <w:spacing w:val="-3"/>
        </w:rPr>
        <w:t xml:space="preserve">en ambos casos, escenarios </w:t>
      </w:r>
      <w:r w:rsidR="00353A0E" w:rsidRPr="004068F6">
        <w:rPr>
          <w:rFonts w:cs="Arial"/>
          <w:spacing w:val="-3"/>
        </w:rPr>
        <w:t>previsibles de cambio climático</w:t>
      </w:r>
      <w:r w:rsidR="00593099" w:rsidRPr="004068F6">
        <w:rPr>
          <w:rFonts w:cs="Arial"/>
          <w:spacing w:val="-3"/>
        </w:rPr>
        <w:t xml:space="preserve">; con este propósito, se deben tener en cuenta los escenarios de variabilidad y cambio climático que se desarrollen en el marco del Plan de gestión de cambio climático (numeral </w:t>
      </w:r>
      <w:r w:rsidR="00123628" w:rsidRPr="00127BD4">
        <w:rPr>
          <w:rFonts w:cs="Arial"/>
          <w:spacing w:val="-3"/>
        </w:rPr>
        <w:fldChar w:fldCharType="begin"/>
      </w:r>
      <w:r w:rsidR="00123628" w:rsidRPr="00127BD4">
        <w:rPr>
          <w:rFonts w:cs="Arial"/>
          <w:spacing w:val="-3"/>
        </w:rPr>
        <w:instrText xml:space="preserve"> REF _Ref208926634 \r \h </w:instrText>
      </w:r>
      <w:r w:rsidR="00123628" w:rsidRPr="004068F6">
        <w:rPr>
          <w:rFonts w:cs="Arial"/>
          <w:spacing w:val="-3"/>
        </w:rPr>
        <w:instrText xml:space="preserve"> \* MERGEFORMAT </w:instrText>
      </w:r>
      <w:r w:rsidR="00123628" w:rsidRPr="00127BD4">
        <w:rPr>
          <w:rFonts w:cs="Arial"/>
          <w:spacing w:val="-3"/>
        </w:rPr>
      </w:r>
      <w:r w:rsidR="00123628" w:rsidRPr="00127BD4">
        <w:rPr>
          <w:rFonts w:cs="Arial"/>
          <w:spacing w:val="-3"/>
        </w:rPr>
        <w:fldChar w:fldCharType="separate"/>
      </w:r>
      <w:r w:rsidR="009C4A81">
        <w:rPr>
          <w:rFonts w:cs="Arial"/>
          <w:spacing w:val="-3"/>
        </w:rPr>
        <w:t>10.7.3.1</w:t>
      </w:r>
      <w:r w:rsidR="00123628" w:rsidRPr="00127BD4">
        <w:rPr>
          <w:rFonts w:cs="Arial"/>
          <w:spacing w:val="-3"/>
        </w:rPr>
        <w:fldChar w:fldCharType="end"/>
      </w:r>
      <w:r w:rsidR="00593099" w:rsidRPr="004068F6">
        <w:rPr>
          <w:rFonts w:cs="Arial"/>
          <w:spacing w:val="-3"/>
        </w:rPr>
        <w:t xml:space="preserve"> de este capítulo), por ejemplo, los generados para los componentes hidrológico e hidrogeológico y para el medio biótico</w:t>
      </w:r>
      <w:r w:rsidR="007B7358" w:rsidRPr="004068F6">
        <w:rPr>
          <w:rFonts w:cs="Arial"/>
          <w:spacing w:val="-3"/>
        </w:rPr>
        <w:t>.</w:t>
      </w:r>
    </w:p>
    <w:p w14:paraId="3B887E99" w14:textId="77777777" w:rsidR="00336481" w:rsidRPr="004068F6" w:rsidRDefault="00336481" w:rsidP="007B7358">
      <w:pPr>
        <w:numPr>
          <w:ilvl w:val="12"/>
          <w:numId w:val="0"/>
        </w:numPr>
        <w:tabs>
          <w:tab w:val="left" w:pos="-2268"/>
        </w:tabs>
        <w:suppressAutoHyphens/>
        <w:rPr>
          <w:rFonts w:cs="Arial"/>
          <w:spacing w:val="-3"/>
        </w:rPr>
      </w:pPr>
    </w:p>
    <w:p w14:paraId="212B991D" w14:textId="059C441B" w:rsidR="007B7358" w:rsidRPr="004068F6" w:rsidRDefault="00C21E68" w:rsidP="001D4534">
      <w:pPr>
        <w:numPr>
          <w:ilvl w:val="12"/>
          <w:numId w:val="0"/>
        </w:numPr>
        <w:tabs>
          <w:tab w:val="left" w:pos="-2268"/>
        </w:tabs>
        <w:suppressAutoHyphens/>
        <w:rPr>
          <w:rFonts w:cs="Arial"/>
          <w:spacing w:val="-3"/>
        </w:rPr>
      </w:pPr>
      <w:r w:rsidRPr="004068F6">
        <w:rPr>
          <w:rFonts w:cs="Arial"/>
          <w:spacing w:val="-3"/>
        </w:rPr>
        <w:lastRenderedPageBreak/>
        <w:t>L</w:t>
      </w:r>
      <w:r w:rsidR="00133820" w:rsidRPr="004068F6">
        <w:rPr>
          <w:rFonts w:cs="Arial"/>
          <w:spacing w:val="-3"/>
        </w:rPr>
        <w:t xml:space="preserve">os </w:t>
      </w:r>
      <w:r w:rsidR="007B7358" w:rsidRPr="004068F6">
        <w:rPr>
          <w:rFonts w:cs="Arial"/>
          <w:spacing w:val="-3"/>
        </w:rPr>
        <w:t xml:space="preserve">impactos </w:t>
      </w:r>
      <w:r w:rsidR="008569D9" w:rsidRPr="004068F6">
        <w:rPr>
          <w:rFonts w:cs="Arial"/>
          <w:spacing w:val="-3"/>
        </w:rPr>
        <w:t>ambientales que se determinen</w:t>
      </w:r>
      <w:r w:rsidR="00763735">
        <w:rPr>
          <w:rFonts w:cs="Arial"/>
          <w:spacing w:val="-3"/>
        </w:rPr>
        <w:t>,</w:t>
      </w:r>
      <w:r w:rsidR="008569D9" w:rsidRPr="004068F6">
        <w:rPr>
          <w:rFonts w:cs="Arial"/>
          <w:spacing w:val="-3"/>
        </w:rPr>
        <w:t xml:space="preserve"> </w:t>
      </w:r>
      <w:r w:rsidRPr="004068F6">
        <w:rPr>
          <w:rFonts w:cs="Arial"/>
          <w:spacing w:val="-3"/>
        </w:rPr>
        <w:t>idealmente</w:t>
      </w:r>
      <w:r w:rsidR="00763735">
        <w:rPr>
          <w:rFonts w:cs="Arial"/>
          <w:spacing w:val="-3"/>
        </w:rPr>
        <w:t>,</w:t>
      </w:r>
      <w:r w:rsidRPr="004068F6">
        <w:rPr>
          <w:rFonts w:cs="Arial"/>
          <w:spacing w:val="-3"/>
        </w:rPr>
        <w:t xml:space="preserve"> debe</w:t>
      </w:r>
      <w:r w:rsidR="008569D9" w:rsidRPr="004068F6">
        <w:rPr>
          <w:rFonts w:cs="Arial"/>
          <w:spacing w:val="-3"/>
        </w:rPr>
        <w:t>n</w:t>
      </w:r>
      <w:r w:rsidRPr="004068F6">
        <w:rPr>
          <w:rFonts w:cs="Arial"/>
          <w:spacing w:val="-3"/>
        </w:rPr>
        <w:t xml:space="preserve"> corresponder </w:t>
      </w:r>
      <w:r w:rsidR="007B7358" w:rsidRPr="004068F6">
        <w:rPr>
          <w:rFonts w:cs="Arial"/>
          <w:spacing w:val="-3"/>
        </w:rPr>
        <w:t>a un parámetro ambiental cuantitativo o cualitativo, por lo cual</w:t>
      </w:r>
      <w:r w:rsidR="002A7FFB" w:rsidRPr="004068F6">
        <w:rPr>
          <w:rFonts w:cs="Arial"/>
          <w:spacing w:val="-3"/>
        </w:rPr>
        <w:t xml:space="preserve">, </w:t>
      </w:r>
      <w:r w:rsidR="001E016A" w:rsidRPr="004068F6">
        <w:rPr>
          <w:rFonts w:cs="Arial"/>
          <w:spacing w:val="-3"/>
        </w:rPr>
        <w:t xml:space="preserve">para </w:t>
      </w:r>
      <w:r w:rsidR="002A7FFB" w:rsidRPr="004068F6">
        <w:rPr>
          <w:rFonts w:cs="Arial"/>
          <w:spacing w:val="-3"/>
        </w:rPr>
        <w:t xml:space="preserve">seleccionar los parámetros que mejor describan los impactos del caso en evaluación, </w:t>
      </w:r>
      <w:r w:rsidR="007B7358" w:rsidRPr="004068F6">
        <w:rPr>
          <w:rFonts w:cs="Arial"/>
          <w:spacing w:val="-3"/>
        </w:rPr>
        <w:t>conviene revisar documentos especializados sobre los impactos que pueden ocurrir en los factores del ambiente</w:t>
      </w:r>
      <w:r w:rsidR="00822F1C" w:rsidRPr="004068F6">
        <w:rPr>
          <w:rFonts w:cs="Arial"/>
          <w:spacing w:val="-3"/>
        </w:rPr>
        <w:t xml:space="preserve"> y sus parámetros asociados</w:t>
      </w:r>
      <w:r w:rsidR="007B7358" w:rsidRPr="004068F6">
        <w:rPr>
          <w:rFonts w:cs="Arial"/>
          <w:spacing w:val="-3"/>
        </w:rPr>
        <w:t xml:space="preserve">, </w:t>
      </w:r>
      <w:r w:rsidR="00CA04FC" w:rsidRPr="004068F6">
        <w:rPr>
          <w:rFonts w:cs="Arial"/>
          <w:spacing w:val="-3"/>
        </w:rPr>
        <w:t xml:space="preserve">los términos de referencia aplicables al proyecto, obra o actividad para el que se elabora el estudio ambiental, </w:t>
      </w:r>
      <w:r w:rsidR="007B7358" w:rsidRPr="004068F6">
        <w:rPr>
          <w:rFonts w:cs="Arial"/>
          <w:spacing w:val="-3"/>
        </w:rPr>
        <w:t>así como</w:t>
      </w:r>
      <w:r w:rsidR="00D02BF1">
        <w:rPr>
          <w:rFonts w:cs="Arial"/>
          <w:spacing w:val="-3"/>
        </w:rPr>
        <w:t xml:space="preserve"> </w:t>
      </w:r>
      <w:r w:rsidR="00D02BF1" w:rsidRPr="00D02BF1">
        <w:rPr>
          <w:rFonts w:cs="Arial"/>
          <w:spacing w:val="-3"/>
        </w:rPr>
        <w:t>las versiones más actualizadas d</w:t>
      </w:r>
      <w:r w:rsidR="007B7358" w:rsidRPr="004068F6">
        <w:rPr>
          <w:rFonts w:cs="Arial"/>
          <w:spacing w:val="-3"/>
        </w:rPr>
        <w:t xml:space="preserve">el </w:t>
      </w:r>
      <w:r w:rsidR="005D74E5" w:rsidRPr="00127BD4">
        <w:rPr>
          <w:rFonts w:cs="Arial"/>
          <w:i/>
          <w:iCs/>
          <w:spacing w:val="-3"/>
        </w:rPr>
        <w:t>L</w:t>
      </w:r>
      <w:r w:rsidR="007B7358" w:rsidRPr="00127BD4">
        <w:rPr>
          <w:rFonts w:cs="Arial"/>
          <w:i/>
          <w:iCs/>
          <w:spacing w:val="-3"/>
        </w:rPr>
        <w:t xml:space="preserve">istado de impactos ambientales </w:t>
      </w:r>
      <w:r w:rsidR="00CA04FC" w:rsidRPr="00127BD4">
        <w:rPr>
          <w:rFonts w:cs="Arial"/>
          <w:i/>
          <w:iCs/>
          <w:spacing w:val="-3"/>
        </w:rPr>
        <w:t xml:space="preserve">específicos </w:t>
      </w:r>
      <w:r w:rsidR="007B7358" w:rsidRPr="00127BD4">
        <w:rPr>
          <w:rFonts w:cs="Arial"/>
          <w:i/>
          <w:iCs/>
          <w:spacing w:val="-3"/>
        </w:rPr>
        <w:t>que pueden resultar de los proyectos obras, o actividades sujetos a licenciamiento ambiental</w:t>
      </w:r>
      <w:r w:rsidR="007B7358" w:rsidRPr="004068F6">
        <w:rPr>
          <w:rFonts w:cs="Arial"/>
          <w:spacing w:val="-3"/>
        </w:rPr>
        <w:t xml:space="preserve"> </w:t>
      </w:r>
      <w:r w:rsidR="007E01F0">
        <w:rPr>
          <w:rFonts w:cs="Arial"/>
          <w:spacing w:val="-3"/>
        </w:rPr>
        <w:t xml:space="preserve">y </w:t>
      </w:r>
      <w:r w:rsidR="00D02BF1">
        <w:rPr>
          <w:rFonts w:cs="Arial"/>
          <w:spacing w:val="-3"/>
        </w:rPr>
        <w:t>d</w:t>
      </w:r>
      <w:r w:rsidR="007E01F0">
        <w:rPr>
          <w:rFonts w:cs="Arial"/>
          <w:spacing w:val="-3"/>
        </w:rPr>
        <w:t xml:space="preserve">el </w:t>
      </w:r>
      <w:r w:rsidR="001D4534" w:rsidRPr="00E64F04">
        <w:rPr>
          <w:rFonts w:cs="Arial"/>
          <w:i/>
          <w:iCs/>
          <w:spacing w:val="-3"/>
        </w:rPr>
        <w:t>Banco de indicadores para el proceso de licenciamiento ambiental</w:t>
      </w:r>
      <w:r w:rsidR="007B7358" w:rsidRPr="004068F6">
        <w:rPr>
          <w:rStyle w:val="Refdenotaalpie"/>
          <w:rFonts w:cs="Arial"/>
          <w:spacing w:val="-3"/>
          <w:lang w:val="es-CO"/>
        </w:rPr>
        <w:footnoteReference w:id="210"/>
      </w:r>
      <w:r w:rsidR="007B7358" w:rsidRPr="004068F6">
        <w:rPr>
          <w:rFonts w:cs="Arial"/>
          <w:spacing w:val="-3"/>
        </w:rPr>
        <w:t>.</w:t>
      </w:r>
    </w:p>
    <w:p w14:paraId="574BE9C7" w14:textId="77777777" w:rsidR="00246F69" w:rsidRDefault="00246F69" w:rsidP="007B7358">
      <w:pPr>
        <w:numPr>
          <w:ilvl w:val="12"/>
          <w:numId w:val="0"/>
        </w:numPr>
        <w:tabs>
          <w:tab w:val="left" w:pos="-2268"/>
        </w:tabs>
        <w:suppressAutoHyphens/>
        <w:rPr>
          <w:rFonts w:cs="Arial"/>
          <w:spacing w:val="-3"/>
        </w:rPr>
      </w:pPr>
    </w:p>
    <w:p w14:paraId="0AC3651A" w14:textId="77777777" w:rsidR="00DA55CF" w:rsidRPr="004068F6" w:rsidRDefault="00DA55CF" w:rsidP="00DA55CF">
      <w:pPr>
        <w:numPr>
          <w:ilvl w:val="12"/>
          <w:numId w:val="0"/>
        </w:numPr>
        <w:tabs>
          <w:tab w:val="left" w:pos="-2268"/>
        </w:tabs>
        <w:suppressAutoHyphens/>
        <w:rPr>
          <w:rFonts w:cs="Arial"/>
          <w:spacing w:val="-3"/>
        </w:rPr>
      </w:pPr>
      <w:r w:rsidRPr="004068F6">
        <w:rPr>
          <w:rFonts w:cs="Arial"/>
          <w:spacing w:val="-3"/>
        </w:rPr>
        <w:t>Es importante que la determinación de impactos ambientales del escenario sin proyecto se acote a los impactos que puede generar el proyecto, obra o actividad objeto de evaluación; lo anterior, para brindar una base de comparación que permita evidenciar el cambio ambiental ocasionado exclusivamente por el proyecto de interés. Por ejemplo, si la ejecución del proyecto propuesto no genera impactos sobre los cuerpos de agua, no es necesario que la determinación de impactos ambientales del escenario sin proyecto contemple los impactos que las actividades y proyectos presentes en el área de influencia generan sobre dicho elemento del ambiente.</w:t>
      </w:r>
    </w:p>
    <w:p w14:paraId="70630575" w14:textId="77777777" w:rsidR="00DA55CF" w:rsidRPr="004068F6" w:rsidRDefault="00DA55CF" w:rsidP="007B7358">
      <w:pPr>
        <w:numPr>
          <w:ilvl w:val="12"/>
          <w:numId w:val="0"/>
        </w:numPr>
        <w:tabs>
          <w:tab w:val="left" w:pos="-2268"/>
        </w:tabs>
        <w:suppressAutoHyphens/>
        <w:rPr>
          <w:rFonts w:cs="Arial"/>
          <w:spacing w:val="-3"/>
        </w:rPr>
      </w:pPr>
    </w:p>
    <w:p w14:paraId="75142027" w14:textId="53435782" w:rsidR="00EE0E4F" w:rsidRPr="004068F6" w:rsidRDefault="00EE0E4F" w:rsidP="007B7358">
      <w:pPr>
        <w:numPr>
          <w:ilvl w:val="12"/>
          <w:numId w:val="0"/>
        </w:numPr>
        <w:tabs>
          <w:tab w:val="left" w:pos="-2268"/>
        </w:tabs>
        <w:suppressAutoHyphens/>
        <w:rPr>
          <w:rFonts w:cs="Arial"/>
          <w:spacing w:val="-3"/>
        </w:rPr>
      </w:pPr>
      <w:r w:rsidRPr="004068F6">
        <w:rPr>
          <w:rFonts w:cs="Arial"/>
          <w:spacing w:val="-3"/>
        </w:rPr>
        <w:t xml:space="preserve">La denominación de los impactos ambientales </w:t>
      </w:r>
      <w:r w:rsidR="001D744C">
        <w:rPr>
          <w:rFonts w:cs="Arial"/>
          <w:spacing w:val="-3"/>
        </w:rPr>
        <w:t xml:space="preserve">determinados </w:t>
      </w:r>
      <w:r w:rsidRPr="004068F6">
        <w:rPr>
          <w:rFonts w:cs="Arial"/>
          <w:spacing w:val="-3"/>
        </w:rPr>
        <w:t xml:space="preserve">debe </w:t>
      </w:r>
      <w:r w:rsidR="009010F5" w:rsidRPr="004068F6">
        <w:rPr>
          <w:rFonts w:cs="Arial"/>
          <w:spacing w:val="-3"/>
        </w:rPr>
        <w:t xml:space="preserve">tomar como referencia </w:t>
      </w:r>
      <w:r w:rsidRPr="004068F6">
        <w:rPr>
          <w:rFonts w:cs="Arial"/>
          <w:spacing w:val="-3"/>
        </w:rPr>
        <w:t>los nombres que se establecen en el listado de impactos ambientales específicos</w:t>
      </w:r>
      <w:r w:rsidR="00BD1DC1" w:rsidRPr="004068F6">
        <w:rPr>
          <w:rFonts w:cs="Arial"/>
          <w:spacing w:val="-3"/>
        </w:rPr>
        <w:t>.</w:t>
      </w:r>
      <w:r w:rsidRPr="004068F6">
        <w:rPr>
          <w:rFonts w:cs="Arial"/>
          <w:spacing w:val="-3"/>
        </w:rPr>
        <w:t xml:space="preserve"> </w:t>
      </w:r>
      <w:r w:rsidR="00BD1DC1" w:rsidRPr="004068F6">
        <w:rPr>
          <w:rFonts w:cs="Arial"/>
          <w:spacing w:val="-3"/>
        </w:rPr>
        <w:t>E</w:t>
      </w:r>
      <w:r w:rsidRPr="004068F6">
        <w:rPr>
          <w:rFonts w:cs="Arial"/>
          <w:spacing w:val="-3"/>
        </w:rPr>
        <w:t>n caso de que dicho listado no mencione el impacto de interés, éste debe ser denominado de acuerdo con los siguientes lineamientos:</w:t>
      </w:r>
    </w:p>
    <w:p w14:paraId="65C122A3" w14:textId="77777777" w:rsidR="00EE0E4F" w:rsidRPr="004068F6" w:rsidRDefault="00EE0E4F" w:rsidP="007B7358">
      <w:pPr>
        <w:numPr>
          <w:ilvl w:val="12"/>
          <w:numId w:val="0"/>
        </w:numPr>
        <w:tabs>
          <w:tab w:val="left" w:pos="-2268"/>
        </w:tabs>
        <w:suppressAutoHyphens/>
        <w:rPr>
          <w:rFonts w:cs="Arial"/>
          <w:spacing w:val="-3"/>
        </w:rPr>
      </w:pPr>
    </w:p>
    <w:p w14:paraId="5B0E6F62" w14:textId="6E4676AE" w:rsidR="00EE0E4F" w:rsidRPr="00CD4321" w:rsidRDefault="003770D5" w:rsidP="00E64F04">
      <w:pPr>
        <w:pStyle w:val="Prrafodelista"/>
        <w:numPr>
          <w:ilvl w:val="0"/>
          <w:numId w:val="745"/>
        </w:numPr>
        <w:tabs>
          <w:tab w:val="left" w:pos="-2268"/>
        </w:tabs>
        <w:suppressAutoHyphens/>
        <w:ind w:left="567" w:hanging="567"/>
        <w:rPr>
          <w:spacing w:val="-3"/>
        </w:rPr>
      </w:pPr>
      <w:r w:rsidRPr="00CD4321">
        <w:rPr>
          <w:spacing w:val="-3"/>
          <w:lang w:val="es-CO"/>
        </w:rPr>
        <w:t xml:space="preserve">Denotar cómo cambia el parámetro asociado al impacto. En algunas oportunidades es posible establecer </w:t>
      </w:r>
      <w:r w:rsidR="00BD1DC1" w:rsidRPr="00CD4321">
        <w:rPr>
          <w:spacing w:val="-3"/>
          <w:lang w:val="es-CO"/>
        </w:rPr>
        <w:t>e</w:t>
      </w:r>
      <w:r w:rsidR="00EE0E4F" w:rsidRPr="00FE1B78">
        <w:rPr>
          <w:spacing w:val="-3"/>
          <w:lang w:val="es-CO"/>
        </w:rPr>
        <w:t xml:space="preserve">l sentido de cambio, por ejemplo, </w:t>
      </w:r>
      <w:r w:rsidR="00EE0E4F" w:rsidRPr="00127BD4">
        <w:rPr>
          <w:i/>
          <w:iCs/>
          <w:spacing w:val="-3"/>
          <w:lang w:val="es-CO"/>
        </w:rPr>
        <w:t>disminución</w:t>
      </w:r>
      <w:r w:rsidR="00EE0E4F" w:rsidRPr="00FE1B78">
        <w:rPr>
          <w:spacing w:val="-3"/>
          <w:lang w:val="es-CO"/>
        </w:rPr>
        <w:t xml:space="preserve"> o </w:t>
      </w:r>
      <w:r w:rsidR="00EE0E4F" w:rsidRPr="00127BD4">
        <w:rPr>
          <w:i/>
          <w:iCs/>
          <w:spacing w:val="-3"/>
          <w:lang w:val="es-CO"/>
        </w:rPr>
        <w:t>aumento</w:t>
      </w:r>
      <w:r w:rsidR="00BD1DC1" w:rsidRPr="00CD4321">
        <w:rPr>
          <w:i/>
          <w:iCs/>
          <w:spacing w:val="-3"/>
          <w:lang w:val="es-CO"/>
        </w:rPr>
        <w:t>,</w:t>
      </w:r>
      <w:r w:rsidR="00EE0E4F" w:rsidRPr="00FE1B78">
        <w:rPr>
          <w:spacing w:val="-3"/>
          <w:lang w:val="es-CO"/>
        </w:rPr>
        <w:t xml:space="preserve"> </w:t>
      </w:r>
      <w:r w:rsidR="00BD1DC1" w:rsidRPr="00CD4321">
        <w:rPr>
          <w:spacing w:val="-3"/>
          <w:lang w:val="es-CO"/>
        </w:rPr>
        <w:t xml:space="preserve">o bien, </w:t>
      </w:r>
      <w:r w:rsidR="00BD1DC1" w:rsidRPr="00127BD4">
        <w:rPr>
          <w:i/>
          <w:iCs/>
          <w:spacing w:val="-3"/>
          <w:lang w:val="es-CO"/>
        </w:rPr>
        <w:t>deterioro</w:t>
      </w:r>
      <w:r w:rsidR="00BD1DC1" w:rsidRPr="00CD4321">
        <w:rPr>
          <w:spacing w:val="-3"/>
          <w:lang w:val="es-CO"/>
        </w:rPr>
        <w:t xml:space="preserve"> o </w:t>
      </w:r>
      <w:r w:rsidR="00BD1DC1" w:rsidRPr="00127BD4">
        <w:rPr>
          <w:i/>
          <w:iCs/>
          <w:spacing w:val="-3"/>
          <w:lang w:val="es-CO"/>
        </w:rPr>
        <w:t>mejora</w:t>
      </w:r>
      <w:r w:rsidRPr="00CD4321">
        <w:rPr>
          <w:spacing w:val="-3"/>
          <w:lang w:val="es-CO"/>
        </w:rPr>
        <w:t xml:space="preserve">; cuando </w:t>
      </w:r>
      <w:r w:rsidR="00EE0E4F" w:rsidRPr="00FE1B78">
        <w:rPr>
          <w:spacing w:val="-3"/>
          <w:lang w:val="es-CO"/>
        </w:rPr>
        <w:t xml:space="preserve">el sentido del cambio del parámetro ambiental no puede ser determinado, el nombre del impacto debe iniciar con la palabra </w:t>
      </w:r>
      <w:r w:rsidR="00BD1DC1" w:rsidRPr="00127BD4">
        <w:rPr>
          <w:i/>
          <w:iCs/>
          <w:spacing w:val="-3"/>
          <w:lang w:val="es-CO"/>
        </w:rPr>
        <w:t>cambio</w:t>
      </w:r>
      <w:r w:rsidR="00EE0E4F" w:rsidRPr="00FE1B78">
        <w:rPr>
          <w:spacing w:val="-3"/>
          <w:lang w:val="es-CO"/>
        </w:rPr>
        <w:t xml:space="preserve">, </w:t>
      </w:r>
      <w:r w:rsidR="00BD1DC1" w:rsidRPr="00CD4321">
        <w:rPr>
          <w:spacing w:val="-3"/>
          <w:lang w:val="es-CO"/>
        </w:rPr>
        <w:t xml:space="preserve">o </w:t>
      </w:r>
      <w:r w:rsidRPr="00CD4321">
        <w:rPr>
          <w:spacing w:val="-3"/>
          <w:lang w:val="es-CO"/>
        </w:rPr>
        <w:t xml:space="preserve">con </w:t>
      </w:r>
      <w:r w:rsidR="00BD1DC1" w:rsidRPr="00CD4321">
        <w:rPr>
          <w:spacing w:val="-3"/>
          <w:lang w:val="es-CO"/>
        </w:rPr>
        <w:t xml:space="preserve">cualquier otra que </w:t>
      </w:r>
      <w:r w:rsidR="0010566B" w:rsidRPr="00CD4321">
        <w:rPr>
          <w:spacing w:val="-3"/>
          <w:lang w:val="es-CO"/>
        </w:rPr>
        <w:t>evidencie</w:t>
      </w:r>
      <w:r w:rsidR="00BD1DC1" w:rsidRPr="00CD4321">
        <w:rPr>
          <w:spacing w:val="-3"/>
          <w:lang w:val="es-CO"/>
        </w:rPr>
        <w:t xml:space="preserve"> cómo se modifica el parámetro de interés con la ejecución del proyecto</w:t>
      </w:r>
      <w:r w:rsidR="00EE0E4F" w:rsidRPr="00FE1B78">
        <w:rPr>
          <w:spacing w:val="-3"/>
          <w:lang w:val="es-CO"/>
        </w:rPr>
        <w:t>.</w:t>
      </w:r>
    </w:p>
    <w:p w14:paraId="0EA452F6" w14:textId="77777777" w:rsidR="00EE0E4F" w:rsidRPr="004068F6" w:rsidRDefault="00EE0E4F" w:rsidP="00E64F04">
      <w:pPr>
        <w:tabs>
          <w:tab w:val="left" w:pos="-2268"/>
        </w:tabs>
        <w:suppressAutoHyphens/>
        <w:ind w:left="567" w:hanging="567"/>
        <w:rPr>
          <w:spacing w:val="-3"/>
        </w:rPr>
      </w:pPr>
    </w:p>
    <w:p w14:paraId="56AC702A" w14:textId="70440D5A" w:rsidR="00EE0E4F" w:rsidRPr="004068F6" w:rsidRDefault="003770D5" w:rsidP="00E64F04">
      <w:pPr>
        <w:pStyle w:val="Prrafodelista"/>
        <w:numPr>
          <w:ilvl w:val="0"/>
          <w:numId w:val="745"/>
        </w:numPr>
        <w:tabs>
          <w:tab w:val="left" w:pos="-2268"/>
        </w:tabs>
        <w:suppressAutoHyphens/>
        <w:ind w:left="567" w:hanging="567"/>
        <w:rPr>
          <w:spacing w:val="-3"/>
          <w:lang w:val="es-CO"/>
        </w:rPr>
      </w:pPr>
      <w:r w:rsidRPr="004068F6">
        <w:rPr>
          <w:spacing w:val="-3"/>
          <w:lang w:val="es-CO"/>
        </w:rPr>
        <w:t>M</w:t>
      </w:r>
      <w:r w:rsidR="00BD1DC1" w:rsidRPr="004068F6">
        <w:rPr>
          <w:spacing w:val="-3"/>
          <w:lang w:val="es-CO"/>
        </w:rPr>
        <w:t>encionar e</w:t>
      </w:r>
      <w:r w:rsidR="00EE0E4F" w:rsidRPr="00FE1B78">
        <w:rPr>
          <w:spacing w:val="-3"/>
          <w:lang w:val="es-CO"/>
        </w:rPr>
        <w:t>l parámetro ambiental al cual se refiere el impacto.</w:t>
      </w:r>
    </w:p>
    <w:p w14:paraId="363F3198" w14:textId="77777777" w:rsidR="00CE2A65" w:rsidRPr="00127BD4" w:rsidRDefault="00CE2A65" w:rsidP="00E64F04">
      <w:pPr>
        <w:ind w:left="567" w:hanging="567"/>
        <w:rPr>
          <w:spacing w:val="-3"/>
        </w:rPr>
      </w:pPr>
    </w:p>
    <w:p w14:paraId="040B0804" w14:textId="3065BEB7" w:rsidR="00CE2A65" w:rsidRPr="00CD4321" w:rsidRDefault="00CE2A65" w:rsidP="00E64F04">
      <w:pPr>
        <w:pStyle w:val="Prrafodelista"/>
        <w:numPr>
          <w:ilvl w:val="0"/>
          <w:numId w:val="745"/>
        </w:numPr>
        <w:tabs>
          <w:tab w:val="left" w:pos="-2268"/>
        </w:tabs>
        <w:suppressAutoHyphens/>
        <w:ind w:left="567" w:hanging="567"/>
        <w:rPr>
          <w:spacing w:val="-3"/>
        </w:rPr>
      </w:pPr>
      <w:r w:rsidRPr="00CD4321">
        <w:rPr>
          <w:spacing w:val="-3"/>
          <w:lang w:val="es-CO"/>
        </w:rPr>
        <w:t xml:space="preserve">Unir ambos elementos. Por ejemplo, </w:t>
      </w:r>
      <w:r w:rsidRPr="00127BD4">
        <w:rPr>
          <w:i/>
          <w:iCs/>
          <w:spacing w:val="-3"/>
          <w:lang w:val="es-CO"/>
        </w:rPr>
        <w:t>Incremento de la concentración de acidez total</w:t>
      </w:r>
      <w:r w:rsidR="00A96FCE" w:rsidRPr="00CD4321">
        <w:rPr>
          <w:spacing w:val="-3"/>
          <w:lang w:val="es-CO"/>
        </w:rPr>
        <w:t>;</w:t>
      </w:r>
      <w:r w:rsidRPr="00CD4321">
        <w:rPr>
          <w:spacing w:val="-3"/>
          <w:lang w:val="es-CO"/>
        </w:rPr>
        <w:t xml:space="preserve"> </w:t>
      </w:r>
      <w:r w:rsidRPr="00127BD4">
        <w:rPr>
          <w:i/>
          <w:iCs/>
          <w:spacing w:val="-3"/>
          <w:lang w:val="es-CO"/>
        </w:rPr>
        <w:t>Cambio en las geoformas</w:t>
      </w:r>
      <w:r w:rsidR="00A96FCE" w:rsidRPr="00CD4321">
        <w:rPr>
          <w:spacing w:val="-3"/>
          <w:lang w:val="es-CO"/>
        </w:rPr>
        <w:t>;</w:t>
      </w:r>
      <w:r w:rsidRPr="00CD4321">
        <w:rPr>
          <w:spacing w:val="-3"/>
          <w:lang w:val="es-CO"/>
        </w:rPr>
        <w:t xml:space="preserve"> </w:t>
      </w:r>
      <w:r w:rsidRPr="00127BD4">
        <w:rPr>
          <w:i/>
          <w:iCs/>
          <w:spacing w:val="-3"/>
          <w:lang w:val="es-CO"/>
        </w:rPr>
        <w:t>Disminución de la biomasa vegetal</w:t>
      </w:r>
      <w:r w:rsidR="00A96FCE" w:rsidRPr="00CD4321">
        <w:rPr>
          <w:spacing w:val="-3"/>
          <w:lang w:val="es-CO"/>
        </w:rPr>
        <w:t>;</w:t>
      </w:r>
      <w:r w:rsidRPr="00CD4321">
        <w:rPr>
          <w:spacing w:val="-3"/>
          <w:lang w:val="es-CO"/>
        </w:rPr>
        <w:t xml:space="preserve"> </w:t>
      </w:r>
      <w:r w:rsidRPr="00127BD4">
        <w:rPr>
          <w:i/>
          <w:iCs/>
          <w:spacing w:val="-3"/>
          <w:lang w:val="es-CO"/>
        </w:rPr>
        <w:t>Cambio en la percepción de la calidad visual del paisaje</w:t>
      </w:r>
      <w:r w:rsidRPr="00CD4321">
        <w:rPr>
          <w:spacing w:val="-3"/>
          <w:lang w:val="es-CO"/>
        </w:rPr>
        <w:t xml:space="preserve"> o </w:t>
      </w:r>
      <w:r w:rsidRPr="00127BD4">
        <w:rPr>
          <w:i/>
          <w:iCs/>
          <w:spacing w:val="-3"/>
          <w:lang w:val="es-CO"/>
        </w:rPr>
        <w:t>Desincentivo a los sistemas productivos tradicionales</w:t>
      </w:r>
      <w:r w:rsidRPr="00CD4321">
        <w:rPr>
          <w:spacing w:val="-3"/>
          <w:lang w:val="es-CO"/>
        </w:rPr>
        <w:t>.</w:t>
      </w:r>
    </w:p>
    <w:p w14:paraId="1AC5B761" w14:textId="77777777" w:rsidR="00EE0E4F" w:rsidRPr="004068F6" w:rsidRDefault="00EE0E4F" w:rsidP="007B7358">
      <w:pPr>
        <w:numPr>
          <w:ilvl w:val="12"/>
          <w:numId w:val="0"/>
        </w:numPr>
        <w:tabs>
          <w:tab w:val="left" w:pos="-2268"/>
        </w:tabs>
        <w:suppressAutoHyphens/>
        <w:rPr>
          <w:rFonts w:cs="Arial"/>
          <w:spacing w:val="-3"/>
        </w:rPr>
      </w:pPr>
    </w:p>
    <w:p w14:paraId="587267BA" w14:textId="56ED8651" w:rsidR="003A37C2" w:rsidRPr="004068F6" w:rsidRDefault="007B7358" w:rsidP="007B7358">
      <w:pPr>
        <w:numPr>
          <w:ilvl w:val="12"/>
          <w:numId w:val="0"/>
        </w:numPr>
        <w:tabs>
          <w:tab w:val="left" w:pos="-2268"/>
        </w:tabs>
        <w:suppressAutoHyphens/>
        <w:rPr>
          <w:rFonts w:cs="Arial"/>
          <w:spacing w:val="-3"/>
        </w:rPr>
      </w:pPr>
      <w:r w:rsidRPr="004068F6">
        <w:rPr>
          <w:rFonts w:cs="Arial"/>
          <w:spacing w:val="-3"/>
        </w:rPr>
        <w:lastRenderedPageBreak/>
        <w:t xml:space="preserve">Una vez se </w:t>
      </w:r>
      <w:r w:rsidR="00F34A5B" w:rsidRPr="004068F6">
        <w:rPr>
          <w:rFonts w:cs="Arial"/>
          <w:spacing w:val="-3"/>
        </w:rPr>
        <w:t>determinen</w:t>
      </w:r>
      <w:r w:rsidR="00C13063" w:rsidRPr="004068F6">
        <w:rPr>
          <w:rFonts w:cs="Arial"/>
          <w:spacing w:val="-3"/>
        </w:rPr>
        <w:t xml:space="preserve"> y denominen</w:t>
      </w:r>
      <w:r w:rsidR="00F34A5B" w:rsidRPr="004068F6">
        <w:rPr>
          <w:rFonts w:cs="Arial"/>
          <w:spacing w:val="-3"/>
        </w:rPr>
        <w:t xml:space="preserve"> </w:t>
      </w:r>
      <w:r w:rsidRPr="004068F6">
        <w:rPr>
          <w:rFonts w:cs="Arial"/>
          <w:spacing w:val="-3"/>
        </w:rPr>
        <w:t xml:space="preserve">los impactos ambientales </w:t>
      </w:r>
      <w:r w:rsidR="00C21E68" w:rsidRPr="004068F6">
        <w:rPr>
          <w:rFonts w:cs="Arial"/>
          <w:spacing w:val="-3"/>
        </w:rPr>
        <w:t>de cada escenario</w:t>
      </w:r>
      <w:r w:rsidR="008C2516" w:rsidRPr="004068F6">
        <w:rPr>
          <w:rFonts w:cs="Arial"/>
          <w:spacing w:val="-3"/>
        </w:rPr>
        <w:t xml:space="preserve">, </w:t>
      </w:r>
      <w:r w:rsidR="00F02995" w:rsidRPr="004068F6">
        <w:rPr>
          <w:rFonts w:cs="Arial"/>
          <w:spacing w:val="-3"/>
        </w:rPr>
        <w:t xml:space="preserve">éstos deben ser </w:t>
      </w:r>
      <w:r w:rsidR="008C2516" w:rsidRPr="004068F6">
        <w:rPr>
          <w:rFonts w:cs="Arial"/>
          <w:spacing w:val="-3"/>
        </w:rPr>
        <w:t xml:space="preserve">clasificados </w:t>
      </w:r>
      <w:r w:rsidRPr="004068F6">
        <w:rPr>
          <w:rFonts w:cs="Arial"/>
          <w:spacing w:val="-3"/>
        </w:rPr>
        <w:t xml:space="preserve">en alguna de las categorías </w:t>
      </w:r>
      <w:r w:rsidR="009842E0" w:rsidRPr="004068F6">
        <w:rPr>
          <w:rFonts w:cs="Arial"/>
          <w:spacing w:val="-3"/>
        </w:rPr>
        <w:t xml:space="preserve">estandarizadas </w:t>
      </w:r>
      <w:r w:rsidRPr="004068F6">
        <w:rPr>
          <w:rFonts w:cs="Arial"/>
          <w:spacing w:val="-3"/>
        </w:rPr>
        <w:t xml:space="preserve">de impactos ambientales </w:t>
      </w:r>
      <w:r w:rsidR="008C2516" w:rsidRPr="004068F6">
        <w:rPr>
          <w:rFonts w:cs="Arial"/>
          <w:spacing w:val="-3"/>
        </w:rPr>
        <w:t xml:space="preserve">de acuerdo con la información y definiciones presentadas </w:t>
      </w:r>
      <w:r w:rsidRPr="004068F6">
        <w:rPr>
          <w:rFonts w:cs="Arial"/>
          <w:spacing w:val="-3"/>
        </w:rPr>
        <w:t xml:space="preserve">en la </w:t>
      </w:r>
      <w:r w:rsidR="00D965C3" w:rsidRPr="00127BD4">
        <w:rPr>
          <w:rFonts w:cs="Arial"/>
          <w:i/>
          <w:iCs/>
          <w:spacing w:val="-3"/>
        </w:rPr>
        <w:t xml:space="preserve">Tabla </w:t>
      </w:r>
      <w:r w:rsidR="00700BDB" w:rsidRPr="00127BD4">
        <w:rPr>
          <w:rFonts w:cs="Arial"/>
          <w:i/>
          <w:iCs/>
          <w:spacing w:val="-3"/>
        </w:rPr>
        <w:t>de categorías estandarizadas de impactos ambientales</w:t>
      </w:r>
      <w:r w:rsidR="00700BDB" w:rsidRPr="004068F6">
        <w:rPr>
          <w:rFonts w:cs="Arial"/>
          <w:spacing w:val="-3"/>
        </w:rPr>
        <w:t xml:space="preserve"> publicada en</w:t>
      </w:r>
      <w:r w:rsidR="00525999" w:rsidRPr="004068F6">
        <w:rPr>
          <w:rFonts w:cs="Arial"/>
          <w:spacing w:val="-3"/>
        </w:rPr>
        <w:t xml:space="preserve"> la página Web de Minambiente</w:t>
      </w:r>
      <w:r w:rsidR="00700BDB" w:rsidRPr="004068F6">
        <w:rPr>
          <w:rStyle w:val="Refdenotaalpie"/>
          <w:rFonts w:cs="Arial"/>
          <w:spacing w:val="-3"/>
          <w:lang w:val="es-CO"/>
        </w:rPr>
        <w:footnoteReference w:id="211"/>
      </w:r>
      <w:r w:rsidR="00D965C3" w:rsidRPr="004068F6">
        <w:rPr>
          <w:rFonts w:cs="Arial"/>
          <w:spacing w:val="-3"/>
        </w:rPr>
        <w:t xml:space="preserve">; dado </w:t>
      </w:r>
      <w:r w:rsidR="00D965C3" w:rsidRPr="004068F6">
        <w:rPr>
          <w:rFonts w:cs="Arial"/>
          <w:szCs w:val="20"/>
        </w:rPr>
        <w:t xml:space="preserve">que esta </w:t>
      </w:r>
      <w:r w:rsidR="005D750B" w:rsidRPr="004068F6">
        <w:rPr>
          <w:rFonts w:cs="Arial"/>
          <w:szCs w:val="20"/>
        </w:rPr>
        <w:t>tabla</w:t>
      </w:r>
      <w:r w:rsidR="00D965C3" w:rsidRPr="004068F6">
        <w:rPr>
          <w:rFonts w:cs="Arial"/>
          <w:szCs w:val="20"/>
        </w:rPr>
        <w:t xml:space="preserve"> tiene un carácter dinámico, es necesario mencionar en el estudio ambiental la versión empleada para clasificar los impactos ambientales</w:t>
      </w:r>
      <w:r w:rsidRPr="004068F6">
        <w:rPr>
          <w:rFonts w:cs="Arial"/>
          <w:spacing w:val="-3"/>
        </w:rPr>
        <w:t xml:space="preserve">. </w:t>
      </w:r>
      <w:r w:rsidR="009E6424" w:rsidRPr="004068F6">
        <w:rPr>
          <w:rFonts w:cs="Arial"/>
          <w:spacing w:val="-3"/>
        </w:rPr>
        <w:t>Si</w:t>
      </w:r>
      <w:r w:rsidRPr="004068F6">
        <w:rPr>
          <w:rFonts w:cs="Arial"/>
          <w:spacing w:val="-3"/>
        </w:rPr>
        <w:t xml:space="preserve"> uno o más impactos </w:t>
      </w:r>
      <w:r w:rsidR="00CC524D">
        <w:rPr>
          <w:rFonts w:cs="Arial"/>
          <w:spacing w:val="-3"/>
        </w:rPr>
        <w:t>determinados</w:t>
      </w:r>
      <w:r w:rsidR="00CC524D" w:rsidRPr="004068F6">
        <w:rPr>
          <w:rFonts w:cs="Arial"/>
          <w:spacing w:val="-3"/>
        </w:rPr>
        <w:t xml:space="preserve"> </w:t>
      </w:r>
      <w:r w:rsidRPr="004068F6">
        <w:rPr>
          <w:rFonts w:cs="Arial"/>
          <w:spacing w:val="-3"/>
        </w:rPr>
        <w:t>no pued</w:t>
      </w:r>
      <w:r w:rsidR="009E6424" w:rsidRPr="004068F6">
        <w:rPr>
          <w:rFonts w:cs="Arial"/>
          <w:spacing w:val="-3"/>
        </w:rPr>
        <w:t>e</w:t>
      </w:r>
      <w:r w:rsidRPr="004068F6">
        <w:rPr>
          <w:rFonts w:cs="Arial"/>
          <w:spacing w:val="-3"/>
        </w:rPr>
        <w:t xml:space="preserve">n ser asociados a </w:t>
      </w:r>
      <w:r w:rsidR="00742D76">
        <w:rPr>
          <w:rFonts w:cs="Arial"/>
          <w:spacing w:val="-3"/>
        </w:rPr>
        <w:t xml:space="preserve">alguna de </w:t>
      </w:r>
      <w:r w:rsidRPr="004068F6">
        <w:rPr>
          <w:rFonts w:cs="Arial"/>
          <w:spacing w:val="-3"/>
        </w:rPr>
        <w:t xml:space="preserve">las categorías de </w:t>
      </w:r>
      <w:r w:rsidR="00700BDB" w:rsidRPr="004068F6">
        <w:rPr>
          <w:rFonts w:cs="Arial"/>
          <w:spacing w:val="-3"/>
        </w:rPr>
        <w:t xml:space="preserve">dicha </w:t>
      </w:r>
      <w:r w:rsidR="00C21E68" w:rsidRPr="004068F6">
        <w:rPr>
          <w:rFonts w:cs="Arial"/>
          <w:spacing w:val="-3"/>
        </w:rPr>
        <w:t>tabla</w:t>
      </w:r>
      <w:r w:rsidR="00037008" w:rsidRPr="004068F6">
        <w:rPr>
          <w:rFonts w:cs="Arial"/>
          <w:spacing w:val="-3"/>
        </w:rPr>
        <w:t>,</w:t>
      </w:r>
      <w:r w:rsidRPr="004068F6">
        <w:rPr>
          <w:rFonts w:cs="Arial"/>
          <w:spacing w:val="-3"/>
        </w:rPr>
        <w:t xml:space="preserve"> </w:t>
      </w:r>
      <w:r w:rsidR="000B0392" w:rsidRPr="004068F6">
        <w:rPr>
          <w:rFonts w:cs="Arial"/>
          <w:spacing w:val="-3"/>
        </w:rPr>
        <w:t>es necesario</w:t>
      </w:r>
      <w:r w:rsidRPr="004068F6">
        <w:rPr>
          <w:rFonts w:cs="Arial"/>
          <w:spacing w:val="-3"/>
        </w:rPr>
        <w:t xml:space="preserve"> plantear nuevas categorías en las cuales se puedan clasificar, </w:t>
      </w:r>
      <w:r w:rsidR="000B0392" w:rsidRPr="004068F6">
        <w:rPr>
          <w:rFonts w:cs="Arial"/>
          <w:spacing w:val="-3"/>
        </w:rPr>
        <w:t xml:space="preserve">así como </w:t>
      </w:r>
      <w:r w:rsidRPr="004068F6">
        <w:rPr>
          <w:rFonts w:cs="Arial"/>
          <w:spacing w:val="-3"/>
        </w:rPr>
        <w:t>establecer sus definiciones</w:t>
      </w:r>
      <w:r w:rsidR="000B0392" w:rsidRPr="004068F6">
        <w:rPr>
          <w:rFonts w:cs="Arial"/>
          <w:spacing w:val="-3"/>
        </w:rPr>
        <w:t xml:space="preserve"> y </w:t>
      </w:r>
      <w:r w:rsidRPr="004068F6">
        <w:rPr>
          <w:rFonts w:cs="Arial"/>
          <w:spacing w:val="-3"/>
        </w:rPr>
        <w:t>justificar la necesidad de su inclusión.</w:t>
      </w:r>
    </w:p>
    <w:p w14:paraId="4CC7CD76" w14:textId="77777777" w:rsidR="00D965C3" w:rsidRPr="004068F6" w:rsidRDefault="00D965C3" w:rsidP="007B7358">
      <w:pPr>
        <w:numPr>
          <w:ilvl w:val="12"/>
          <w:numId w:val="0"/>
        </w:numPr>
        <w:tabs>
          <w:tab w:val="left" w:pos="-2268"/>
        </w:tabs>
        <w:suppressAutoHyphens/>
        <w:rPr>
          <w:rFonts w:cs="Arial"/>
          <w:spacing w:val="-3"/>
        </w:rPr>
      </w:pPr>
    </w:p>
    <w:p w14:paraId="34829438" w14:textId="103F0B80" w:rsidR="007B7358" w:rsidRPr="004068F6" w:rsidRDefault="007B7358" w:rsidP="007B7358">
      <w:pPr>
        <w:numPr>
          <w:ilvl w:val="12"/>
          <w:numId w:val="0"/>
        </w:numPr>
        <w:tabs>
          <w:tab w:val="left" w:pos="-2268"/>
        </w:tabs>
        <w:suppressAutoHyphens/>
        <w:rPr>
          <w:rFonts w:cs="Arial"/>
          <w:spacing w:val="-3"/>
        </w:rPr>
      </w:pPr>
      <w:r w:rsidRPr="004068F6">
        <w:rPr>
          <w:rFonts w:cs="Arial"/>
          <w:spacing w:val="-3"/>
        </w:rPr>
        <w:t>El objetivo</w:t>
      </w:r>
      <w:r w:rsidR="0033579D" w:rsidRPr="004068F6">
        <w:rPr>
          <w:rFonts w:cs="Arial"/>
          <w:spacing w:val="-3"/>
        </w:rPr>
        <w:t xml:space="preserve"> de denominar impactos empleando parámetros y de clasificarlos de forma estandarizada</w:t>
      </w:r>
      <w:r w:rsidRPr="004068F6">
        <w:rPr>
          <w:rFonts w:cs="Arial"/>
          <w:spacing w:val="-3"/>
        </w:rPr>
        <w:t xml:space="preserve">, es dar total coherencia al proceso de licenciamiento ambiental, de manera que los parámetros a los cuales se refieren los impactos </w:t>
      </w:r>
      <w:r w:rsidR="00084C99" w:rsidRPr="004068F6">
        <w:rPr>
          <w:rFonts w:cs="Arial"/>
          <w:spacing w:val="-3"/>
        </w:rPr>
        <w:t>correspond</w:t>
      </w:r>
      <w:r w:rsidR="00CB5CA5" w:rsidRPr="004068F6">
        <w:rPr>
          <w:rFonts w:cs="Arial"/>
          <w:spacing w:val="-3"/>
        </w:rPr>
        <w:t xml:space="preserve">an </w:t>
      </w:r>
      <w:r w:rsidR="00465F22" w:rsidRPr="004068F6">
        <w:rPr>
          <w:rFonts w:cs="Arial"/>
          <w:spacing w:val="-3"/>
        </w:rPr>
        <w:t>con la caracterización ambiental</w:t>
      </w:r>
      <w:r w:rsidR="00E9210D" w:rsidRPr="004068F6">
        <w:rPr>
          <w:rFonts w:cs="Arial"/>
          <w:spacing w:val="-3"/>
        </w:rPr>
        <w:t xml:space="preserve">, tengan relación directa </w:t>
      </w:r>
      <w:r w:rsidR="00F31267" w:rsidRPr="004068F6">
        <w:rPr>
          <w:rFonts w:cs="Arial"/>
          <w:spacing w:val="-3"/>
        </w:rPr>
        <w:t>con las medidas que se formulen para su manejo</w:t>
      </w:r>
      <w:r w:rsidRPr="004068F6">
        <w:rPr>
          <w:rFonts w:cs="Arial"/>
          <w:spacing w:val="-3"/>
        </w:rPr>
        <w:t xml:space="preserve">, sean </w:t>
      </w:r>
      <w:r w:rsidR="00ED702E" w:rsidRPr="004068F6">
        <w:rPr>
          <w:rFonts w:cs="Arial"/>
          <w:spacing w:val="-3"/>
        </w:rPr>
        <w:t>fácilmente</w:t>
      </w:r>
      <w:r w:rsidRPr="004068F6">
        <w:rPr>
          <w:rFonts w:cs="Arial"/>
          <w:spacing w:val="-3"/>
        </w:rPr>
        <w:t xml:space="preserve"> identificados e interpretados en el proceso de evaluación de los estudios que le </w:t>
      </w:r>
      <w:r w:rsidR="00ED702E" w:rsidRPr="004068F6">
        <w:rPr>
          <w:rFonts w:cs="Arial"/>
          <w:spacing w:val="-3"/>
        </w:rPr>
        <w:t>corresponde</w:t>
      </w:r>
      <w:r w:rsidRPr="004068F6">
        <w:rPr>
          <w:rFonts w:cs="Arial"/>
          <w:spacing w:val="-3"/>
        </w:rPr>
        <w:t xml:space="preserve"> a las autoridades ambientales, y permitan que el monitoreo y seguimiento a las condiciones ambientales y a las medidas de manejo</w:t>
      </w:r>
      <w:r w:rsidR="000A3DB9" w:rsidRPr="004068F6">
        <w:rPr>
          <w:rFonts w:cs="Arial"/>
          <w:spacing w:val="-3"/>
        </w:rPr>
        <w:t xml:space="preserve"> durante la ejecución del proyecto, obra o actividad (si se concede la licencia)</w:t>
      </w:r>
      <w:r w:rsidR="00001F0C" w:rsidRPr="004068F6">
        <w:rPr>
          <w:rFonts w:cs="Arial"/>
          <w:spacing w:val="-3"/>
        </w:rPr>
        <w:t xml:space="preserve"> se desarrolle de forma consistente con la línea base</w:t>
      </w:r>
      <w:r w:rsidRPr="004068F6">
        <w:rPr>
          <w:rFonts w:cs="Arial"/>
          <w:spacing w:val="-3"/>
        </w:rPr>
        <w:t>.</w:t>
      </w:r>
    </w:p>
    <w:p w14:paraId="5A10A3F3" w14:textId="77777777" w:rsidR="00C21E68" w:rsidRPr="004068F6" w:rsidRDefault="00C21E68" w:rsidP="007B7358">
      <w:pPr>
        <w:numPr>
          <w:ilvl w:val="12"/>
          <w:numId w:val="0"/>
        </w:numPr>
        <w:tabs>
          <w:tab w:val="left" w:pos="-2268"/>
        </w:tabs>
        <w:suppressAutoHyphens/>
        <w:rPr>
          <w:rFonts w:cs="Arial"/>
          <w:spacing w:val="-3"/>
        </w:rPr>
      </w:pPr>
    </w:p>
    <w:p w14:paraId="559908E8" w14:textId="6B2DA21E" w:rsidR="00C21E68" w:rsidRPr="004068F6" w:rsidRDefault="00C21E68" w:rsidP="007B7358">
      <w:pPr>
        <w:numPr>
          <w:ilvl w:val="12"/>
          <w:numId w:val="0"/>
        </w:numPr>
        <w:tabs>
          <w:tab w:val="left" w:pos="-2268"/>
        </w:tabs>
        <w:suppressAutoHyphens/>
        <w:rPr>
          <w:rFonts w:cs="Arial"/>
          <w:spacing w:val="-3"/>
        </w:rPr>
      </w:pPr>
      <w:r w:rsidRPr="004068F6">
        <w:rPr>
          <w:rFonts w:cs="Arial"/>
          <w:spacing w:val="-3"/>
        </w:rPr>
        <w:t>S</w:t>
      </w:r>
      <w:r w:rsidR="00040A8A" w:rsidRPr="004068F6">
        <w:rPr>
          <w:rFonts w:cs="Arial"/>
          <w:spacing w:val="-3"/>
        </w:rPr>
        <w:t xml:space="preserve">ólo se deben </w:t>
      </w:r>
      <w:r w:rsidRPr="004068F6">
        <w:rPr>
          <w:rFonts w:cs="Arial"/>
          <w:spacing w:val="-3"/>
        </w:rPr>
        <w:t xml:space="preserve">establecer los impactos ambientales específicos si </w:t>
      </w:r>
      <w:r w:rsidR="00040A8A" w:rsidRPr="004068F6">
        <w:rPr>
          <w:rFonts w:cs="Arial"/>
          <w:spacing w:val="-3"/>
        </w:rPr>
        <w:t xml:space="preserve">ello es necesario para </w:t>
      </w:r>
      <w:r w:rsidRPr="004068F6">
        <w:rPr>
          <w:rFonts w:cs="Arial"/>
          <w:spacing w:val="-3"/>
        </w:rPr>
        <w:t xml:space="preserve">formular medidas </w:t>
      </w:r>
      <w:r w:rsidR="00040A8A" w:rsidRPr="004068F6">
        <w:rPr>
          <w:rFonts w:cs="Arial"/>
          <w:spacing w:val="-3"/>
        </w:rPr>
        <w:t xml:space="preserve">de </w:t>
      </w:r>
      <w:r w:rsidRPr="004068F6">
        <w:rPr>
          <w:rFonts w:cs="Arial"/>
          <w:spacing w:val="-3"/>
        </w:rPr>
        <w:t>manejo</w:t>
      </w:r>
      <w:r w:rsidR="00040A8A" w:rsidRPr="004068F6">
        <w:rPr>
          <w:rFonts w:cs="Arial"/>
          <w:spacing w:val="-3"/>
        </w:rPr>
        <w:t xml:space="preserve"> eficaces</w:t>
      </w:r>
      <w:r w:rsidRPr="004068F6">
        <w:rPr>
          <w:rFonts w:cs="Arial"/>
          <w:spacing w:val="-3"/>
        </w:rPr>
        <w:t xml:space="preserve">; si en una categoría ocurre más de un impacto </w:t>
      </w:r>
      <w:r w:rsidR="00040A8A" w:rsidRPr="004068F6">
        <w:rPr>
          <w:rFonts w:cs="Arial"/>
          <w:spacing w:val="-3"/>
        </w:rPr>
        <w:t xml:space="preserve">ambiental </w:t>
      </w:r>
      <w:r w:rsidRPr="004068F6">
        <w:rPr>
          <w:rFonts w:cs="Arial"/>
          <w:spacing w:val="-3"/>
        </w:rPr>
        <w:t xml:space="preserve">específico y todos ellos pueden ser manejados mediante la misma medida, no </w:t>
      </w:r>
      <w:r w:rsidR="00001F0C" w:rsidRPr="004068F6">
        <w:rPr>
          <w:rFonts w:cs="Arial"/>
          <w:spacing w:val="-3"/>
        </w:rPr>
        <w:t>hace falta</w:t>
      </w:r>
      <w:r w:rsidR="00040A8A" w:rsidRPr="004068F6">
        <w:rPr>
          <w:rFonts w:cs="Arial"/>
          <w:spacing w:val="-3"/>
        </w:rPr>
        <w:t xml:space="preserve"> </w:t>
      </w:r>
      <w:r w:rsidRPr="004068F6">
        <w:rPr>
          <w:rFonts w:cs="Arial"/>
          <w:spacing w:val="-3"/>
        </w:rPr>
        <w:t xml:space="preserve">señalar cuáles son </w:t>
      </w:r>
      <w:r w:rsidR="00040A8A" w:rsidRPr="004068F6">
        <w:rPr>
          <w:rFonts w:cs="Arial"/>
          <w:spacing w:val="-3"/>
        </w:rPr>
        <w:t xml:space="preserve">los </w:t>
      </w:r>
      <w:r w:rsidRPr="004068F6">
        <w:rPr>
          <w:rFonts w:cs="Arial"/>
          <w:spacing w:val="-3"/>
        </w:rPr>
        <w:t xml:space="preserve">impactos ambientales específicos ni tampoco valorarlos de forma independiente, </w:t>
      </w:r>
      <w:r w:rsidR="00040A8A" w:rsidRPr="004068F6">
        <w:rPr>
          <w:rFonts w:cs="Arial"/>
          <w:spacing w:val="-3"/>
        </w:rPr>
        <w:t xml:space="preserve">en ese caso, basta con determinar y valorar </w:t>
      </w:r>
      <w:r w:rsidRPr="004068F6">
        <w:rPr>
          <w:rFonts w:cs="Arial"/>
          <w:spacing w:val="-3"/>
        </w:rPr>
        <w:t xml:space="preserve">la categoría estandarizada. </w:t>
      </w:r>
      <w:r w:rsidR="00040A8A" w:rsidRPr="004068F6">
        <w:rPr>
          <w:rFonts w:cs="Arial"/>
          <w:spacing w:val="-3"/>
        </w:rPr>
        <w:t>No obstante</w:t>
      </w:r>
      <w:r w:rsidRPr="004068F6">
        <w:rPr>
          <w:rFonts w:cs="Arial"/>
          <w:spacing w:val="-3"/>
        </w:rPr>
        <w:t xml:space="preserve">, </w:t>
      </w:r>
      <w:r w:rsidR="00040A8A" w:rsidRPr="004068F6">
        <w:rPr>
          <w:rFonts w:cs="Arial"/>
          <w:spacing w:val="-3"/>
        </w:rPr>
        <w:t xml:space="preserve">procedimentalmente </w:t>
      </w:r>
      <w:r w:rsidRPr="004068F6">
        <w:rPr>
          <w:rFonts w:cs="Arial"/>
          <w:spacing w:val="-3"/>
        </w:rPr>
        <w:t>es conveniente determinar</w:t>
      </w:r>
      <w:r w:rsidR="00001F0C" w:rsidRPr="004068F6">
        <w:rPr>
          <w:rFonts w:cs="Arial"/>
          <w:spacing w:val="-3"/>
        </w:rPr>
        <w:t xml:space="preserve"> todos</w:t>
      </w:r>
      <w:r w:rsidRPr="004068F6">
        <w:rPr>
          <w:rFonts w:cs="Arial"/>
          <w:spacing w:val="-3"/>
        </w:rPr>
        <w:t xml:space="preserve"> los impactos ambientales específicos que ocurren para establecer</w:t>
      </w:r>
      <w:r w:rsidR="00040A8A" w:rsidRPr="004068F6">
        <w:rPr>
          <w:rFonts w:cs="Arial"/>
          <w:spacing w:val="-3"/>
        </w:rPr>
        <w:t>,</w:t>
      </w:r>
      <w:r w:rsidRPr="004068F6">
        <w:rPr>
          <w:rFonts w:cs="Arial"/>
          <w:spacing w:val="-3"/>
        </w:rPr>
        <w:t xml:space="preserve"> si pueden o no</w:t>
      </w:r>
      <w:r w:rsidR="00040A8A" w:rsidRPr="004068F6">
        <w:rPr>
          <w:rFonts w:cs="Arial"/>
          <w:spacing w:val="-3"/>
        </w:rPr>
        <w:t>,</w:t>
      </w:r>
      <w:r w:rsidRPr="004068F6">
        <w:rPr>
          <w:rFonts w:cs="Arial"/>
          <w:spacing w:val="-3"/>
        </w:rPr>
        <w:t xml:space="preserve"> ser manejados mediante la misma medida.</w:t>
      </w:r>
    </w:p>
    <w:p w14:paraId="51B7D4C4" w14:textId="77777777" w:rsidR="00C21E68" w:rsidRPr="004068F6" w:rsidRDefault="00C21E68" w:rsidP="007B7358">
      <w:pPr>
        <w:numPr>
          <w:ilvl w:val="12"/>
          <w:numId w:val="0"/>
        </w:numPr>
        <w:tabs>
          <w:tab w:val="left" w:pos="-2268"/>
        </w:tabs>
        <w:suppressAutoHyphens/>
        <w:rPr>
          <w:rFonts w:cs="Arial"/>
          <w:spacing w:val="-3"/>
        </w:rPr>
      </w:pPr>
    </w:p>
    <w:p w14:paraId="52039F20" w14:textId="40717D54" w:rsidR="0005379C" w:rsidRPr="004068F6" w:rsidRDefault="00C85664" w:rsidP="009F26CD">
      <w:pPr>
        <w:numPr>
          <w:ilvl w:val="12"/>
          <w:numId w:val="0"/>
        </w:numPr>
        <w:tabs>
          <w:tab w:val="left" w:pos="-2268"/>
        </w:tabs>
        <w:suppressAutoHyphens/>
        <w:rPr>
          <w:rFonts w:cs="Arial"/>
          <w:spacing w:val="-3"/>
        </w:rPr>
      </w:pPr>
      <w:r w:rsidRPr="004068F6">
        <w:rPr>
          <w:rFonts w:cs="Arial"/>
          <w:spacing w:val="-3"/>
        </w:rPr>
        <w:t>Es fundamental tener en cuenta la información sobre relaciones y cadenas causales asociada</w:t>
      </w:r>
      <w:r w:rsidR="007A0197" w:rsidRPr="004068F6">
        <w:rPr>
          <w:rFonts w:cs="Arial"/>
          <w:spacing w:val="-3"/>
        </w:rPr>
        <w:t>s</w:t>
      </w:r>
      <w:r w:rsidRPr="004068F6">
        <w:rPr>
          <w:rFonts w:cs="Arial"/>
          <w:spacing w:val="-3"/>
        </w:rPr>
        <w:t xml:space="preserve"> a los servicios ecosistémicos para determinar qué impactos ambientales se generarían con la ejecución del proyecto, teniendo presente que muchos de sus impactos pueden alterar tanto a las estructuras y funciones relacionadas con los servicios ecosistémicos</w:t>
      </w:r>
      <w:r w:rsidR="003B295A" w:rsidRPr="004068F6">
        <w:rPr>
          <w:rFonts w:cs="Arial"/>
          <w:spacing w:val="-3"/>
        </w:rPr>
        <w:t xml:space="preserve"> (</w:t>
      </w:r>
      <w:r w:rsidR="00CD0FD4" w:rsidRPr="004068F6">
        <w:rPr>
          <w:rFonts w:cs="Arial"/>
          <w:spacing w:val="-3"/>
        </w:rPr>
        <w:t xml:space="preserve">p. ej. bosques, </w:t>
      </w:r>
      <w:r w:rsidR="001E4042" w:rsidRPr="004068F6">
        <w:rPr>
          <w:rFonts w:cs="Arial"/>
          <w:spacing w:val="-3"/>
        </w:rPr>
        <w:t>plantas silvestres, cuerpos de agua</w:t>
      </w:r>
      <w:r w:rsidR="003B295A" w:rsidRPr="004068F6">
        <w:rPr>
          <w:rFonts w:cs="Arial"/>
          <w:spacing w:val="-3"/>
        </w:rPr>
        <w:t>)</w:t>
      </w:r>
      <w:r w:rsidRPr="004068F6">
        <w:rPr>
          <w:rFonts w:cs="Arial"/>
          <w:spacing w:val="-3"/>
        </w:rPr>
        <w:t>, como a los servicios ecosistémicos en sí</w:t>
      </w:r>
      <w:r w:rsidR="001E4042" w:rsidRPr="004068F6">
        <w:rPr>
          <w:rFonts w:cs="Arial"/>
          <w:spacing w:val="-3"/>
        </w:rPr>
        <w:t xml:space="preserve"> (p. ej. provisión de madera</w:t>
      </w:r>
      <w:r w:rsidR="00D23845" w:rsidRPr="004068F6">
        <w:rPr>
          <w:rFonts w:cs="Arial"/>
          <w:spacing w:val="-3"/>
        </w:rPr>
        <w:t>, provisión de alimentos o medicinas, provisión de agua</w:t>
      </w:r>
      <w:r w:rsidR="001E4042" w:rsidRPr="004068F6">
        <w:rPr>
          <w:rFonts w:cs="Arial"/>
          <w:spacing w:val="-3"/>
        </w:rPr>
        <w:t>)</w:t>
      </w:r>
      <w:r w:rsidR="00CD5C89" w:rsidRPr="004068F6">
        <w:rPr>
          <w:rFonts w:cs="Arial"/>
          <w:spacing w:val="-3"/>
        </w:rPr>
        <w:t>.</w:t>
      </w:r>
    </w:p>
    <w:p w14:paraId="61EF114E" w14:textId="77777777" w:rsidR="00D56149" w:rsidRPr="004068F6" w:rsidRDefault="00D56149" w:rsidP="009F26CD">
      <w:pPr>
        <w:numPr>
          <w:ilvl w:val="12"/>
          <w:numId w:val="0"/>
        </w:numPr>
        <w:tabs>
          <w:tab w:val="left" w:pos="-2268"/>
        </w:tabs>
        <w:suppressAutoHyphens/>
        <w:rPr>
          <w:rFonts w:cs="Arial"/>
          <w:spacing w:val="-3"/>
        </w:rPr>
      </w:pPr>
    </w:p>
    <w:p w14:paraId="662C24F2" w14:textId="409DC52C" w:rsidR="00D56149" w:rsidRPr="004068F6" w:rsidRDefault="00C63793" w:rsidP="009F26CD">
      <w:pPr>
        <w:numPr>
          <w:ilvl w:val="12"/>
          <w:numId w:val="0"/>
        </w:numPr>
        <w:tabs>
          <w:tab w:val="left" w:pos="-2268"/>
        </w:tabs>
        <w:suppressAutoHyphens/>
        <w:rPr>
          <w:rFonts w:cs="Arial"/>
          <w:spacing w:val="-3"/>
        </w:rPr>
      </w:pPr>
      <w:r w:rsidRPr="004068F6">
        <w:rPr>
          <w:rFonts w:cs="Arial"/>
          <w:spacing w:val="-3"/>
        </w:rPr>
        <w:t xml:space="preserve">En este sentido, se deben </w:t>
      </w:r>
      <w:r w:rsidR="008D580F" w:rsidRPr="004068F6">
        <w:rPr>
          <w:rFonts w:cs="Arial"/>
          <w:spacing w:val="-3"/>
        </w:rPr>
        <w:t>i</w:t>
      </w:r>
      <w:r w:rsidRPr="004068F6">
        <w:rPr>
          <w:rFonts w:cs="Arial"/>
          <w:spacing w:val="-3"/>
        </w:rPr>
        <w:t xml:space="preserve">ncorporar a la evaluación ambiental los impactos ambientales </w:t>
      </w:r>
      <w:r w:rsidR="00AC1596" w:rsidRPr="004068F6">
        <w:rPr>
          <w:rFonts w:cs="Arial"/>
          <w:spacing w:val="-3"/>
        </w:rPr>
        <w:t xml:space="preserve">que generaría la ejecución del proyecto </w:t>
      </w:r>
      <w:r w:rsidRPr="004068F6">
        <w:rPr>
          <w:rFonts w:cs="Arial"/>
          <w:spacing w:val="-3"/>
        </w:rPr>
        <w:t xml:space="preserve">sobre estructuras y funciones que no </w:t>
      </w:r>
      <w:r w:rsidR="004B05C8" w:rsidRPr="004068F6">
        <w:rPr>
          <w:rFonts w:cs="Arial"/>
          <w:spacing w:val="-3"/>
        </w:rPr>
        <w:t>están asociadas a</w:t>
      </w:r>
      <w:r w:rsidR="00920F57" w:rsidRPr="004068F6">
        <w:rPr>
          <w:rFonts w:cs="Arial"/>
          <w:spacing w:val="-3"/>
        </w:rPr>
        <w:t xml:space="preserve"> </w:t>
      </w:r>
      <w:r w:rsidRPr="004068F6">
        <w:rPr>
          <w:rFonts w:cs="Arial"/>
          <w:spacing w:val="-3"/>
        </w:rPr>
        <w:t>servicios ecosistémicos</w:t>
      </w:r>
      <w:r w:rsidR="00610EFC" w:rsidRPr="004068F6">
        <w:rPr>
          <w:rFonts w:cs="Arial"/>
          <w:spacing w:val="-3"/>
        </w:rPr>
        <w:t xml:space="preserve"> </w:t>
      </w:r>
      <w:r w:rsidR="00702E86" w:rsidRPr="004068F6">
        <w:rPr>
          <w:rFonts w:cs="Arial"/>
          <w:spacing w:val="-3"/>
        </w:rPr>
        <w:t xml:space="preserve">(beneficios) </w:t>
      </w:r>
      <w:r w:rsidR="00610EFC" w:rsidRPr="004068F6">
        <w:rPr>
          <w:rFonts w:cs="Arial"/>
          <w:spacing w:val="-3"/>
        </w:rPr>
        <w:t xml:space="preserve">para las comunidades del área </w:t>
      </w:r>
      <w:r w:rsidR="00FA7F7C" w:rsidRPr="004068F6">
        <w:rPr>
          <w:rFonts w:cs="Arial"/>
          <w:spacing w:val="-3"/>
        </w:rPr>
        <w:t xml:space="preserve">objeto de </w:t>
      </w:r>
      <w:r w:rsidR="00FA7F7C" w:rsidRPr="004068F6">
        <w:rPr>
          <w:rFonts w:cs="Arial"/>
          <w:spacing w:val="-3"/>
        </w:rPr>
        <w:lastRenderedPageBreak/>
        <w:t>estudio</w:t>
      </w:r>
      <w:r w:rsidRPr="004068F6">
        <w:rPr>
          <w:rFonts w:cs="Arial"/>
          <w:spacing w:val="-3"/>
        </w:rPr>
        <w:t xml:space="preserve">, así como los impactos ambientales sobre los servicios ecosistémicos. Por ejemplo, es posible que </w:t>
      </w:r>
      <w:r w:rsidR="00FA7F7C" w:rsidRPr="004068F6">
        <w:rPr>
          <w:rFonts w:cs="Arial"/>
          <w:spacing w:val="-3"/>
        </w:rPr>
        <w:t>la ejecución d</w:t>
      </w:r>
      <w:r w:rsidRPr="004068F6">
        <w:rPr>
          <w:rFonts w:cs="Arial"/>
          <w:spacing w:val="-3"/>
        </w:rPr>
        <w:t>e</w:t>
      </w:r>
      <w:r w:rsidR="009C4B49" w:rsidRPr="004068F6">
        <w:rPr>
          <w:rFonts w:cs="Arial"/>
          <w:spacing w:val="-3"/>
        </w:rPr>
        <w:t xml:space="preserve"> un</w:t>
      </w:r>
      <w:r w:rsidRPr="004068F6">
        <w:rPr>
          <w:rFonts w:cs="Arial"/>
          <w:spacing w:val="-3"/>
        </w:rPr>
        <w:t xml:space="preserve"> proyecto genere impactos </w:t>
      </w:r>
      <w:r w:rsidR="009C4B49" w:rsidRPr="004068F6">
        <w:rPr>
          <w:rFonts w:cs="Arial"/>
          <w:spacing w:val="-3"/>
        </w:rPr>
        <w:t xml:space="preserve">a estructuras y funciones </w:t>
      </w:r>
      <w:r w:rsidRPr="004068F6">
        <w:rPr>
          <w:rFonts w:cs="Arial"/>
          <w:spacing w:val="-3"/>
        </w:rPr>
        <w:t xml:space="preserve">como </w:t>
      </w:r>
      <w:r w:rsidRPr="00127BD4">
        <w:rPr>
          <w:rFonts w:cs="Arial"/>
          <w:i/>
          <w:iCs/>
          <w:spacing w:val="-3"/>
        </w:rPr>
        <w:t>disminución de la superficie con vegetación secundaria</w:t>
      </w:r>
      <w:r w:rsidRPr="004068F6">
        <w:rPr>
          <w:rFonts w:cs="Arial"/>
          <w:spacing w:val="-3"/>
        </w:rPr>
        <w:t xml:space="preserve"> </w:t>
      </w:r>
      <w:r w:rsidR="00692D68" w:rsidRPr="004068F6">
        <w:rPr>
          <w:rFonts w:cs="Arial"/>
          <w:spacing w:val="-3"/>
        </w:rPr>
        <w:t xml:space="preserve">o </w:t>
      </w:r>
      <w:r w:rsidR="005A77E9">
        <w:rPr>
          <w:rFonts w:cs="Arial"/>
          <w:i/>
          <w:iCs/>
          <w:spacing w:val="-3"/>
        </w:rPr>
        <w:t>r</w:t>
      </w:r>
      <w:r w:rsidR="005A77E9" w:rsidRPr="00E64F04">
        <w:rPr>
          <w:rFonts w:cs="Arial"/>
          <w:i/>
          <w:iCs/>
          <w:spacing w:val="-3"/>
        </w:rPr>
        <w:t>etención de sedimentos y filtrado</w:t>
      </w:r>
      <w:r w:rsidR="00EE488C" w:rsidRPr="004068F6">
        <w:rPr>
          <w:rFonts w:cs="Arial"/>
          <w:spacing w:val="-3"/>
        </w:rPr>
        <w:t xml:space="preserve"> </w:t>
      </w:r>
      <w:r w:rsidRPr="004068F6">
        <w:rPr>
          <w:rFonts w:cs="Arial"/>
          <w:spacing w:val="-3"/>
        </w:rPr>
        <w:t xml:space="preserve">que no </w:t>
      </w:r>
      <w:r w:rsidR="00F47384" w:rsidRPr="004068F6">
        <w:rPr>
          <w:rFonts w:cs="Arial"/>
          <w:spacing w:val="-3"/>
        </w:rPr>
        <w:t xml:space="preserve">implican </w:t>
      </w:r>
      <w:r w:rsidRPr="004068F6">
        <w:rPr>
          <w:rFonts w:cs="Arial"/>
          <w:spacing w:val="-3"/>
        </w:rPr>
        <w:t xml:space="preserve">servicios ecosistémicos y que, a la vez, ocasione impactos sobre servicios ecosistémicos como </w:t>
      </w:r>
      <w:r w:rsidRPr="00127BD4">
        <w:rPr>
          <w:rFonts w:cs="Arial"/>
          <w:i/>
          <w:iCs/>
          <w:spacing w:val="-3"/>
        </w:rPr>
        <w:t xml:space="preserve">disminución de la provisión de </w:t>
      </w:r>
      <w:r w:rsidR="00B86BE3" w:rsidRPr="004068F6">
        <w:rPr>
          <w:rFonts w:cs="Arial"/>
          <w:i/>
          <w:iCs/>
          <w:spacing w:val="-3"/>
        </w:rPr>
        <w:t xml:space="preserve">agua </w:t>
      </w:r>
      <w:r w:rsidRPr="004068F6">
        <w:rPr>
          <w:rFonts w:cs="Arial"/>
          <w:spacing w:val="-3"/>
        </w:rPr>
        <w:t xml:space="preserve">o </w:t>
      </w:r>
      <w:r w:rsidR="00FA23FB" w:rsidRPr="00127BD4">
        <w:rPr>
          <w:rFonts w:cs="Arial"/>
          <w:i/>
          <w:iCs/>
          <w:spacing w:val="-3"/>
        </w:rPr>
        <w:t>c</w:t>
      </w:r>
      <w:r w:rsidRPr="00127BD4">
        <w:rPr>
          <w:rFonts w:cs="Arial"/>
          <w:i/>
          <w:iCs/>
          <w:spacing w:val="-3"/>
        </w:rPr>
        <w:t>ambio en la percepción de la calidad visual del paisaje</w:t>
      </w:r>
      <w:r w:rsidRPr="004068F6">
        <w:rPr>
          <w:rFonts w:cs="Arial"/>
          <w:spacing w:val="-3"/>
        </w:rPr>
        <w:t>.</w:t>
      </w:r>
    </w:p>
    <w:p w14:paraId="42A7BEBD" w14:textId="77777777" w:rsidR="0005379C" w:rsidRPr="004068F6" w:rsidRDefault="0005379C" w:rsidP="009F26CD">
      <w:pPr>
        <w:numPr>
          <w:ilvl w:val="12"/>
          <w:numId w:val="0"/>
        </w:numPr>
        <w:tabs>
          <w:tab w:val="left" w:pos="-2268"/>
        </w:tabs>
        <w:suppressAutoHyphens/>
        <w:rPr>
          <w:rFonts w:cs="Arial"/>
          <w:spacing w:val="-3"/>
        </w:rPr>
      </w:pPr>
    </w:p>
    <w:p w14:paraId="672FFDBC" w14:textId="57011B05" w:rsidR="0005379C" w:rsidRPr="004068F6" w:rsidRDefault="00013DDC" w:rsidP="009F26CD">
      <w:pPr>
        <w:numPr>
          <w:ilvl w:val="12"/>
          <w:numId w:val="0"/>
        </w:numPr>
        <w:tabs>
          <w:tab w:val="left" w:pos="-2268"/>
        </w:tabs>
        <w:suppressAutoHyphens/>
        <w:rPr>
          <w:rFonts w:cs="Arial"/>
          <w:spacing w:val="-3"/>
        </w:rPr>
      </w:pPr>
      <w:r w:rsidRPr="004068F6">
        <w:rPr>
          <w:rFonts w:cs="Arial"/>
          <w:spacing w:val="-3"/>
        </w:rPr>
        <w:t xml:space="preserve">Cuando hay </w:t>
      </w:r>
      <w:r w:rsidR="003E6FEB" w:rsidRPr="004068F6">
        <w:rPr>
          <w:rFonts w:cs="Arial"/>
          <w:spacing w:val="-3"/>
        </w:rPr>
        <w:t xml:space="preserve">un </w:t>
      </w:r>
      <w:r w:rsidRPr="004068F6">
        <w:rPr>
          <w:rFonts w:cs="Arial"/>
          <w:spacing w:val="-3"/>
        </w:rPr>
        <w:t>impacto ambiental a un servicio ecosistémico</w:t>
      </w:r>
      <w:r w:rsidR="002F696B" w:rsidRPr="004068F6">
        <w:rPr>
          <w:rFonts w:cs="Arial"/>
          <w:spacing w:val="-3"/>
        </w:rPr>
        <w:t>,</w:t>
      </w:r>
      <w:r w:rsidRPr="004068F6">
        <w:rPr>
          <w:rFonts w:cs="Arial"/>
          <w:spacing w:val="-3"/>
        </w:rPr>
        <w:t xml:space="preserve"> no es necesario considerar el impacto ambiental sobre la</w:t>
      </w:r>
      <w:r w:rsidR="00523BF3" w:rsidRPr="004068F6">
        <w:rPr>
          <w:rFonts w:cs="Arial"/>
          <w:spacing w:val="-3"/>
        </w:rPr>
        <w:t>s</w:t>
      </w:r>
      <w:r w:rsidRPr="004068F6">
        <w:rPr>
          <w:rFonts w:cs="Arial"/>
          <w:spacing w:val="-3"/>
        </w:rPr>
        <w:t xml:space="preserve"> estructura</w:t>
      </w:r>
      <w:r w:rsidR="00523BF3" w:rsidRPr="004068F6">
        <w:rPr>
          <w:rFonts w:cs="Arial"/>
          <w:spacing w:val="-3"/>
        </w:rPr>
        <w:t>s</w:t>
      </w:r>
      <w:r w:rsidRPr="004068F6">
        <w:rPr>
          <w:rFonts w:cs="Arial"/>
          <w:spacing w:val="-3"/>
        </w:rPr>
        <w:t xml:space="preserve"> o la</w:t>
      </w:r>
      <w:r w:rsidR="00750155" w:rsidRPr="004068F6">
        <w:rPr>
          <w:rFonts w:cs="Arial"/>
          <w:spacing w:val="-3"/>
        </w:rPr>
        <w:t>s</w:t>
      </w:r>
      <w:r w:rsidRPr="004068F6">
        <w:rPr>
          <w:rFonts w:cs="Arial"/>
          <w:spacing w:val="-3"/>
        </w:rPr>
        <w:t xml:space="preserve"> funci</w:t>
      </w:r>
      <w:r w:rsidR="00523BF3" w:rsidRPr="004068F6">
        <w:rPr>
          <w:rFonts w:cs="Arial"/>
          <w:spacing w:val="-3"/>
        </w:rPr>
        <w:t xml:space="preserve">ones que lo soportan </w:t>
      </w:r>
      <w:r w:rsidRPr="004068F6">
        <w:rPr>
          <w:rFonts w:cs="Arial"/>
          <w:spacing w:val="-3"/>
        </w:rPr>
        <w:t xml:space="preserve">de </w:t>
      </w:r>
      <w:r w:rsidR="00750155" w:rsidRPr="004068F6">
        <w:rPr>
          <w:rFonts w:cs="Arial"/>
          <w:spacing w:val="-3"/>
        </w:rPr>
        <w:t xml:space="preserve">manera </w:t>
      </w:r>
      <w:r w:rsidRPr="004068F6">
        <w:rPr>
          <w:rFonts w:cs="Arial"/>
          <w:spacing w:val="-3"/>
        </w:rPr>
        <w:t xml:space="preserve">independiente siempre </w:t>
      </w:r>
      <w:r w:rsidR="00AC45D2" w:rsidRPr="004068F6">
        <w:rPr>
          <w:rFonts w:cs="Arial"/>
          <w:spacing w:val="-3"/>
        </w:rPr>
        <w:t>y cuando</w:t>
      </w:r>
      <w:r w:rsidR="009049CF">
        <w:rPr>
          <w:rFonts w:cs="Arial"/>
          <w:spacing w:val="-3"/>
        </w:rPr>
        <w:t>,</w:t>
      </w:r>
      <w:r w:rsidR="00AC45D2" w:rsidRPr="004068F6">
        <w:rPr>
          <w:rFonts w:cs="Arial"/>
          <w:spacing w:val="-3"/>
        </w:rPr>
        <w:t xml:space="preserve"> </w:t>
      </w:r>
      <w:r w:rsidRPr="004068F6">
        <w:rPr>
          <w:rFonts w:cs="Arial"/>
          <w:spacing w:val="-3"/>
        </w:rPr>
        <w:t xml:space="preserve">una medida de manejo </w:t>
      </w:r>
      <w:r w:rsidR="00AD198D" w:rsidRPr="004068F6">
        <w:rPr>
          <w:rFonts w:cs="Arial"/>
          <w:spacing w:val="-3"/>
        </w:rPr>
        <w:t xml:space="preserve">para </w:t>
      </w:r>
      <w:r w:rsidRPr="004068F6">
        <w:rPr>
          <w:rFonts w:cs="Arial"/>
          <w:spacing w:val="-3"/>
        </w:rPr>
        <w:t xml:space="preserve">el impacto ambiental al servicio ecosistémico </w:t>
      </w:r>
      <w:r w:rsidRPr="00127BD4">
        <w:rPr>
          <w:rFonts w:cs="Arial"/>
          <w:spacing w:val="-3"/>
        </w:rPr>
        <w:t>permita manejar también el impacto a</w:t>
      </w:r>
      <w:r w:rsidRPr="004068F6">
        <w:rPr>
          <w:rFonts w:cs="Arial"/>
          <w:spacing w:val="-3"/>
        </w:rPr>
        <w:t xml:space="preserve"> la estructura o función; si no es así, debe incluirse el impacto ambiental al servicio ecosistémico y, también,</w:t>
      </w:r>
      <w:r w:rsidRPr="00127BD4">
        <w:rPr>
          <w:rFonts w:cs="Arial"/>
          <w:spacing w:val="-3"/>
        </w:rPr>
        <w:t xml:space="preserve"> el impacto</w:t>
      </w:r>
      <w:r w:rsidRPr="004068F6">
        <w:rPr>
          <w:rFonts w:cs="Arial"/>
          <w:spacing w:val="-3"/>
        </w:rPr>
        <w:t xml:space="preserve"> a la estructura o función que lo </w:t>
      </w:r>
      <w:r w:rsidR="007072E1" w:rsidRPr="004068F6">
        <w:rPr>
          <w:rFonts w:cs="Arial"/>
          <w:spacing w:val="-3"/>
        </w:rPr>
        <w:t>sustenta</w:t>
      </w:r>
      <w:r w:rsidR="00ED3CAB" w:rsidRPr="004068F6">
        <w:rPr>
          <w:rFonts w:cs="Arial"/>
          <w:spacing w:val="-3"/>
        </w:rPr>
        <w:t>.</w:t>
      </w:r>
    </w:p>
    <w:p w14:paraId="4BD2CE7D" w14:textId="77777777" w:rsidR="00ED3CAB" w:rsidRPr="004068F6" w:rsidRDefault="00ED3CAB" w:rsidP="009F26CD">
      <w:pPr>
        <w:numPr>
          <w:ilvl w:val="12"/>
          <w:numId w:val="0"/>
        </w:numPr>
        <w:tabs>
          <w:tab w:val="left" w:pos="-2268"/>
        </w:tabs>
        <w:suppressAutoHyphens/>
        <w:rPr>
          <w:rFonts w:cs="Arial"/>
          <w:spacing w:val="-3"/>
        </w:rPr>
      </w:pPr>
    </w:p>
    <w:p w14:paraId="3D8FC50B" w14:textId="09D15C8F" w:rsidR="00DC66B8" w:rsidRPr="004068F6" w:rsidRDefault="00ED763A" w:rsidP="0023627A">
      <w:pPr>
        <w:numPr>
          <w:ilvl w:val="12"/>
          <w:numId w:val="0"/>
        </w:numPr>
        <w:tabs>
          <w:tab w:val="left" w:pos="-2268"/>
        </w:tabs>
        <w:suppressAutoHyphens/>
        <w:rPr>
          <w:rFonts w:cs="Arial"/>
          <w:spacing w:val="-3"/>
        </w:rPr>
      </w:pPr>
      <w:r w:rsidRPr="004068F6">
        <w:rPr>
          <w:rFonts w:cs="Arial"/>
          <w:spacing w:val="-3"/>
        </w:rPr>
        <w:t xml:space="preserve">Así, </w:t>
      </w:r>
      <w:r w:rsidR="00BC21D3" w:rsidRPr="004068F6">
        <w:rPr>
          <w:rFonts w:cs="Arial"/>
          <w:spacing w:val="-3"/>
        </w:rPr>
        <w:t xml:space="preserve">para determinar los impactos del proyecto </w:t>
      </w:r>
      <w:r w:rsidR="00C07C31" w:rsidRPr="004068F6">
        <w:rPr>
          <w:rFonts w:cs="Arial"/>
          <w:spacing w:val="-3"/>
        </w:rPr>
        <w:t>desde la perspectiva de los servicios ecosistémicos</w:t>
      </w:r>
      <w:r w:rsidR="00F05316" w:rsidRPr="004068F6">
        <w:rPr>
          <w:rFonts w:cs="Arial"/>
          <w:spacing w:val="-3"/>
        </w:rPr>
        <w:t xml:space="preserve">, </w:t>
      </w:r>
      <w:r w:rsidR="00F70976" w:rsidRPr="004068F6">
        <w:rPr>
          <w:rFonts w:cs="Arial"/>
          <w:spacing w:val="-3"/>
        </w:rPr>
        <w:t xml:space="preserve">es posible </w:t>
      </w:r>
      <w:r w:rsidRPr="004068F6">
        <w:rPr>
          <w:rFonts w:cs="Arial"/>
          <w:spacing w:val="-3"/>
        </w:rPr>
        <w:t xml:space="preserve">desarrollar el </w:t>
      </w:r>
      <w:r w:rsidR="00A34ECE" w:rsidRPr="004068F6">
        <w:rPr>
          <w:rFonts w:cs="Arial"/>
          <w:spacing w:val="-3"/>
        </w:rPr>
        <w:t>siguiente</w:t>
      </w:r>
      <w:r w:rsidRPr="004068F6">
        <w:rPr>
          <w:rFonts w:cs="Arial"/>
          <w:spacing w:val="-3"/>
        </w:rPr>
        <w:t xml:space="preserve"> procedimiento</w:t>
      </w:r>
      <w:r w:rsidR="00A34ECE" w:rsidRPr="004068F6">
        <w:rPr>
          <w:rFonts w:cs="Arial"/>
          <w:spacing w:val="-3"/>
        </w:rPr>
        <w:t xml:space="preserve">: i) </w:t>
      </w:r>
      <w:r w:rsidR="00764F13" w:rsidRPr="004068F6">
        <w:rPr>
          <w:rFonts w:cs="Arial"/>
          <w:spacing w:val="-3"/>
        </w:rPr>
        <w:t xml:space="preserve">determinar </w:t>
      </w:r>
      <w:r w:rsidR="00F05316" w:rsidRPr="004068F6">
        <w:rPr>
          <w:rFonts w:cs="Arial"/>
          <w:spacing w:val="-3"/>
        </w:rPr>
        <w:t xml:space="preserve">los </w:t>
      </w:r>
      <w:r w:rsidR="00764F13" w:rsidRPr="004068F6">
        <w:rPr>
          <w:rFonts w:cs="Arial"/>
          <w:spacing w:val="-3"/>
        </w:rPr>
        <w:t xml:space="preserve">impactos ambientales </w:t>
      </w:r>
      <w:r w:rsidR="00F05316" w:rsidRPr="004068F6">
        <w:rPr>
          <w:rFonts w:cs="Arial"/>
          <w:spacing w:val="-3"/>
        </w:rPr>
        <w:t xml:space="preserve">que se generarían con la ejecución del proyecto </w:t>
      </w:r>
      <w:r w:rsidR="00764F13" w:rsidRPr="004068F6">
        <w:rPr>
          <w:rFonts w:cs="Arial"/>
          <w:spacing w:val="-3"/>
        </w:rPr>
        <w:t xml:space="preserve">a </w:t>
      </w:r>
      <w:r w:rsidR="002904CE" w:rsidRPr="004068F6">
        <w:rPr>
          <w:rFonts w:cs="Arial"/>
          <w:spacing w:val="-3"/>
        </w:rPr>
        <w:t xml:space="preserve">las </w:t>
      </w:r>
      <w:r w:rsidR="00764F13" w:rsidRPr="004068F6">
        <w:rPr>
          <w:rFonts w:cs="Arial"/>
          <w:spacing w:val="-3"/>
        </w:rPr>
        <w:t>estructuras y funciones</w:t>
      </w:r>
      <w:r w:rsidR="002904CE" w:rsidRPr="004068F6">
        <w:rPr>
          <w:rFonts w:cs="Arial"/>
          <w:spacing w:val="-3"/>
        </w:rPr>
        <w:t xml:space="preserve"> de los ecosistemas</w:t>
      </w:r>
      <w:r w:rsidR="00A34ECE" w:rsidRPr="004068F6">
        <w:rPr>
          <w:rFonts w:cs="Arial"/>
          <w:spacing w:val="-3"/>
        </w:rPr>
        <w:t>; ii)</w:t>
      </w:r>
      <w:r w:rsidR="00F05316" w:rsidRPr="004068F6">
        <w:rPr>
          <w:rFonts w:cs="Arial"/>
          <w:spacing w:val="-3"/>
        </w:rPr>
        <w:t xml:space="preserve"> determinar </w:t>
      </w:r>
      <w:r w:rsidR="005C4D83" w:rsidRPr="004068F6">
        <w:rPr>
          <w:rFonts w:cs="Arial"/>
          <w:spacing w:val="-3"/>
        </w:rPr>
        <w:t xml:space="preserve">qué </w:t>
      </w:r>
      <w:r w:rsidR="00F05316" w:rsidRPr="004068F6">
        <w:rPr>
          <w:rFonts w:cs="Arial"/>
          <w:spacing w:val="-3"/>
        </w:rPr>
        <w:t>impactos a los servicios ecosistémicos</w:t>
      </w:r>
      <w:r w:rsidR="005C4D83" w:rsidRPr="004068F6">
        <w:rPr>
          <w:rFonts w:cs="Arial"/>
          <w:spacing w:val="-3"/>
        </w:rPr>
        <w:t xml:space="preserve"> se derivan de los impactos a </w:t>
      </w:r>
      <w:r w:rsidR="002904CE" w:rsidRPr="004068F6">
        <w:rPr>
          <w:rFonts w:cs="Arial"/>
          <w:spacing w:val="-3"/>
        </w:rPr>
        <w:t xml:space="preserve">las </w:t>
      </w:r>
      <w:r w:rsidR="005C4D83" w:rsidRPr="004068F6">
        <w:rPr>
          <w:rFonts w:cs="Arial"/>
          <w:spacing w:val="-3"/>
        </w:rPr>
        <w:t>estructuras y funciones</w:t>
      </w:r>
      <w:r w:rsidR="00A34ECE" w:rsidRPr="004068F6">
        <w:rPr>
          <w:rFonts w:cs="Arial"/>
          <w:spacing w:val="-3"/>
        </w:rPr>
        <w:t xml:space="preserve"> y</w:t>
      </w:r>
      <w:r w:rsidR="00F05316" w:rsidRPr="004068F6">
        <w:rPr>
          <w:rFonts w:cs="Arial"/>
          <w:spacing w:val="-3"/>
        </w:rPr>
        <w:t xml:space="preserve">; </w:t>
      </w:r>
      <w:r w:rsidR="00A34ECE" w:rsidRPr="004068F6">
        <w:rPr>
          <w:rFonts w:cs="Arial"/>
          <w:spacing w:val="-3"/>
        </w:rPr>
        <w:t xml:space="preserve">iii) </w:t>
      </w:r>
      <w:r w:rsidR="00913AF2" w:rsidRPr="004068F6">
        <w:rPr>
          <w:rFonts w:cs="Arial"/>
          <w:spacing w:val="-3"/>
        </w:rPr>
        <w:t xml:space="preserve">descartar impactos a estructuras y funciones que puedan ser manejados con las medidas de manejo </w:t>
      </w:r>
      <w:r w:rsidR="00AA3E6E" w:rsidRPr="004068F6">
        <w:rPr>
          <w:rFonts w:cs="Arial"/>
          <w:spacing w:val="-3"/>
        </w:rPr>
        <w:t>de los servicios ecosistémicos que soportan.</w:t>
      </w:r>
    </w:p>
    <w:p w14:paraId="0E4071E0" w14:textId="77777777" w:rsidR="00D93EDD" w:rsidRPr="004068F6" w:rsidRDefault="00D93EDD" w:rsidP="00C6345E">
      <w:pPr>
        <w:numPr>
          <w:ilvl w:val="12"/>
          <w:numId w:val="0"/>
        </w:numPr>
        <w:tabs>
          <w:tab w:val="left" w:pos="-2268"/>
        </w:tabs>
        <w:suppressAutoHyphens/>
        <w:rPr>
          <w:rFonts w:cs="Arial"/>
          <w:spacing w:val="-3"/>
        </w:rPr>
      </w:pPr>
    </w:p>
    <w:p w14:paraId="13C21073" w14:textId="3DC93105" w:rsidR="00FD6274" w:rsidRPr="004068F6" w:rsidRDefault="00263AD7" w:rsidP="007B7358">
      <w:pPr>
        <w:numPr>
          <w:ilvl w:val="12"/>
          <w:numId w:val="0"/>
        </w:numPr>
        <w:tabs>
          <w:tab w:val="left" w:pos="-2268"/>
        </w:tabs>
        <w:suppressAutoHyphens/>
        <w:rPr>
          <w:rFonts w:cs="Arial"/>
          <w:spacing w:val="-3"/>
        </w:rPr>
      </w:pPr>
      <w:r w:rsidRPr="004068F6">
        <w:rPr>
          <w:rFonts w:cs="Arial"/>
          <w:spacing w:val="-3"/>
        </w:rPr>
        <w:t>Por otra parte</w:t>
      </w:r>
      <w:r w:rsidR="00915587" w:rsidRPr="004068F6">
        <w:rPr>
          <w:rFonts w:cs="Arial"/>
          <w:spacing w:val="-3"/>
        </w:rPr>
        <w:t xml:space="preserve">, es necesario que la determinación de impactos ambientales se realice desde una perspectiva geográfica, de forma que sea posible </w:t>
      </w:r>
      <w:r w:rsidR="007E1463" w:rsidRPr="004068F6">
        <w:rPr>
          <w:rFonts w:cs="Arial"/>
          <w:spacing w:val="-3"/>
        </w:rPr>
        <w:t xml:space="preserve">determinar </w:t>
      </w:r>
      <w:r w:rsidR="000303D3" w:rsidRPr="004068F6">
        <w:rPr>
          <w:rFonts w:cs="Arial"/>
          <w:spacing w:val="-3"/>
        </w:rPr>
        <w:t xml:space="preserve">espacialmente cómo el proyecto altera las condiciones de </w:t>
      </w:r>
      <w:r w:rsidR="00F83815" w:rsidRPr="004068F6">
        <w:rPr>
          <w:rFonts w:cs="Arial"/>
          <w:spacing w:val="-3"/>
        </w:rPr>
        <w:t xml:space="preserve">las unidades de análisis de </w:t>
      </w:r>
      <w:r w:rsidR="000303D3" w:rsidRPr="004068F6">
        <w:rPr>
          <w:rFonts w:cs="Arial"/>
          <w:spacing w:val="-3"/>
        </w:rPr>
        <w:t>los factores o componentes ambientales</w:t>
      </w:r>
      <w:r w:rsidR="00395462" w:rsidRPr="004068F6">
        <w:rPr>
          <w:rFonts w:cs="Arial"/>
          <w:spacing w:val="-3"/>
        </w:rPr>
        <w:t xml:space="preserve">; si se considera pertinente, es posible simplificar el proceso asumiendo </w:t>
      </w:r>
      <w:r w:rsidR="00A30FC7" w:rsidRPr="004068F6">
        <w:rPr>
          <w:rFonts w:cs="Arial"/>
          <w:spacing w:val="-3"/>
        </w:rPr>
        <w:t>como unidad mínima a</w:t>
      </w:r>
      <w:r w:rsidR="00007279" w:rsidRPr="004068F6">
        <w:rPr>
          <w:rFonts w:cs="Arial"/>
          <w:spacing w:val="-3"/>
        </w:rPr>
        <w:t xml:space="preserve">l factor o </w:t>
      </w:r>
      <w:r w:rsidR="00A30FC7" w:rsidRPr="004068F6">
        <w:rPr>
          <w:rFonts w:cs="Arial"/>
          <w:spacing w:val="-3"/>
        </w:rPr>
        <w:t xml:space="preserve">al </w:t>
      </w:r>
      <w:r w:rsidR="00007279" w:rsidRPr="004068F6">
        <w:rPr>
          <w:rFonts w:cs="Arial"/>
          <w:spacing w:val="-3"/>
        </w:rPr>
        <w:t>componente en su totalidad y no</w:t>
      </w:r>
      <w:r w:rsidR="00A30FC7" w:rsidRPr="004068F6">
        <w:rPr>
          <w:rFonts w:cs="Arial"/>
          <w:spacing w:val="-3"/>
        </w:rPr>
        <w:t>,</w:t>
      </w:r>
      <w:r w:rsidR="00007279" w:rsidRPr="004068F6">
        <w:rPr>
          <w:rFonts w:cs="Arial"/>
          <w:spacing w:val="-3"/>
        </w:rPr>
        <w:t xml:space="preserve"> </w:t>
      </w:r>
      <w:r w:rsidR="00A30FC7" w:rsidRPr="004068F6">
        <w:rPr>
          <w:rFonts w:cs="Arial"/>
          <w:spacing w:val="-3"/>
        </w:rPr>
        <w:t xml:space="preserve">a </w:t>
      </w:r>
      <w:r w:rsidR="00007279" w:rsidRPr="004068F6">
        <w:rPr>
          <w:rFonts w:cs="Arial"/>
          <w:spacing w:val="-3"/>
        </w:rPr>
        <w:t xml:space="preserve">cada </w:t>
      </w:r>
      <w:r w:rsidR="007E2435" w:rsidRPr="004068F6">
        <w:rPr>
          <w:rFonts w:cs="Arial"/>
          <w:spacing w:val="-3"/>
        </w:rPr>
        <w:t xml:space="preserve">una de sus </w:t>
      </w:r>
      <w:r w:rsidR="00007279" w:rsidRPr="004068F6">
        <w:rPr>
          <w:rFonts w:cs="Arial"/>
          <w:spacing w:val="-3"/>
        </w:rPr>
        <w:t>unidad</w:t>
      </w:r>
      <w:r w:rsidR="007E2435" w:rsidRPr="004068F6">
        <w:rPr>
          <w:rFonts w:cs="Arial"/>
          <w:spacing w:val="-3"/>
        </w:rPr>
        <w:t>es</w:t>
      </w:r>
      <w:r w:rsidR="00007279" w:rsidRPr="004068F6">
        <w:rPr>
          <w:rFonts w:cs="Arial"/>
          <w:spacing w:val="-3"/>
        </w:rPr>
        <w:t xml:space="preserve"> de análisis</w:t>
      </w:r>
      <w:r w:rsidR="00184B14" w:rsidRPr="004068F6">
        <w:rPr>
          <w:rFonts w:cs="Arial"/>
          <w:spacing w:val="-3"/>
        </w:rPr>
        <w:t xml:space="preserve">. Esta información es requerida para abordar otros numerales del EIA que se relacionan estrechamente con la evaluación ambiental, </w:t>
      </w:r>
      <w:r w:rsidR="00B2778D" w:rsidRPr="004068F6">
        <w:rPr>
          <w:rFonts w:cs="Arial"/>
          <w:spacing w:val="-3"/>
        </w:rPr>
        <w:t xml:space="preserve">por ejemplo, </w:t>
      </w:r>
      <w:r w:rsidR="00F45A80" w:rsidRPr="004068F6">
        <w:rPr>
          <w:rFonts w:cs="Arial"/>
          <w:spacing w:val="-3"/>
        </w:rPr>
        <w:t xml:space="preserve">los de </w:t>
      </w:r>
      <w:r w:rsidR="00184B14" w:rsidRPr="004068F6">
        <w:rPr>
          <w:rFonts w:cs="Arial"/>
          <w:spacing w:val="-3"/>
        </w:rPr>
        <w:t>delimitación del área de influencia, caracterización ambiental, zonificación ambiental y zonificación de manejo ambiental.</w:t>
      </w:r>
    </w:p>
    <w:p w14:paraId="51B62317" w14:textId="77777777" w:rsidR="00FC191C" w:rsidRPr="004068F6" w:rsidRDefault="00FC191C" w:rsidP="007B7358">
      <w:pPr>
        <w:numPr>
          <w:ilvl w:val="12"/>
          <w:numId w:val="0"/>
        </w:numPr>
        <w:tabs>
          <w:tab w:val="left" w:pos="-2268"/>
        </w:tabs>
        <w:suppressAutoHyphens/>
        <w:rPr>
          <w:rFonts w:cs="Arial"/>
          <w:spacing w:val="-3"/>
        </w:rPr>
      </w:pPr>
    </w:p>
    <w:p w14:paraId="7FEE3F07" w14:textId="7FA20D3C" w:rsidR="00FC191C" w:rsidRPr="004068F6" w:rsidRDefault="00FC191C" w:rsidP="00FC191C">
      <w:pPr>
        <w:numPr>
          <w:ilvl w:val="12"/>
          <w:numId w:val="0"/>
        </w:numPr>
        <w:tabs>
          <w:tab w:val="left" w:pos="-2268"/>
        </w:tabs>
        <w:suppressAutoHyphens/>
        <w:rPr>
          <w:rFonts w:cs="Arial"/>
          <w:spacing w:val="-3"/>
        </w:rPr>
      </w:pPr>
      <w:r w:rsidRPr="004068F6">
        <w:t xml:space="preserve">En síntesis, </w:t>
      </w:r>
      <w:r w:rsidR="00F14A23" w:rsidRPr="004068F6">
        <w:t xml:space="preserve">el proceso </w:t>
      </w:r>
      <w:r w:rsidR="008C3DDB" w:rsidRPr="004068F6">
        <w:t xml:space="preserve">de determinación de impactos ambientales </w:t>
      </w:r>
      <w:r w:rsidR="00F14A23" w:rsidRPr="004068F6">
        <w:t xml:space="preserve">consiste en lo siguiente: i) </w:t>
      </w:r>
      <w:r w:rsidRPr="004068F6">
        <w:t xml:space="preserve">determinar los impactos ambientales negativos </w:t>
      </w:r>
      <w:r w:rsidR="00C837B7" w:rsidRPr="004068F6">
        <w:t xml:space="preserve">de los escenarios sin </w:t>
      </w:r>
      <w:r w:rsidR="006E39A6" w:rsidRPr="004068F6">
        <w:t xml:space="preserve">y con </w:t>
      </w:r>
      <w:r w:rsidR="00C837B7" w:rsidRPr="004068F6">
        <w:t>proyecto</w:t>
      </w:r>
      <w:r w:rsidR="00B75DB5" w:rsidRPr="004068F6">
        <w:t xml:space="preserve"> aludiendo </w:t>
      </w:r>
      <w:r w:rsidR="00584F1A" w:rsidRPr="004068F6">
        <w:t xml:space="preserve">idealmente </w:t>
      </w:r>
      <w:r w:rsidR="00B75DB5" w:rsidRPr="004068F6">
        <w:t>a parámetros ambientales</w:t>
      </w:r>
      <w:r w:rsidR="008F2B10">
        <w:t xml:space="preserve"> y</w:t>
      </w:r>
      <w:r w:rsidR="007A34CA" w:rsidRPr="004068F6">
        <w:t xml:space="preserve"> </w:t>
      </w:r>
      <w:r w:rsidR="00A242C3" w:rsidRPr="004068F6">
        <w:t>procura</w:t>
      </w:r>
      <w:r w:rsidR="007A34CA" w:rsidRPr="004068F6">
        <w:t xml:space="preserve">ndo </w:t>
      </w:r>
      <w:r w:rsidR="00A242C3" w:rsidRPr="004068F6">
        <w:t>que e</w:t>
      </w:r>
      <w:r w:rsidR="008800EC" w:rsidRPr="004068F6">
        <w:t xml:space="preserve">sta determinación </w:t>
      </w:r>
      <w:r w:rsidR="00F14A23" w:rsidRPr="004068F6">
        <w:t xml:space="preserve">se realice </w:t>
      </w:r>
      <w:r w:rsidR="004E7C59" w:rsidRPr="004068F6">
        <w:t xml:space="preserve">desde una perspectiva </w:t>
      </w:r>
      <w:r w:rsidR="00A832F6" w:rsidRPr="004068F6">
        <w:t>espacial</w:t>
      </w:r>
      <w:r w:rsidR="00C837B7" w:rsidRPr="004068F6">
        <w:t xml:space="preserve"> </w:t>
      </w:r>
      <w:r w:rsidR="00A242C3" w:rsidRPr="004068F6">
        <w:t>y; ii) c</w:t>
      </w:r>
      <w:r w:rsidRPr="004068F6">
        <w:t>lasifica</w:t>
      </w:r>
      <w:r w:rsidR="00A242C3" w:rsidRPr="004068F6">
        <w:t xml:space="preserve">r </w:t>
      </w:r>
      <w:r w:rsidR="009D6F5C" w:rsidRPr="004068F6">
        <w:t xml:space="preserve">los impactos determinados </w:t>
      </w:r>
      <w:r w:rsidRPr="004068F6">
        <w:t xml:space="preserve">en alguna de las categorías estandarizadas de impactos que ha fijado Minambiente. </w:t>
      </w:r>
      <w:r w:rsidR="00D05046" w:rsidRPr="004068F6">
        <w:t xml:space="preserve">Para desarrollar </w:t>
      </w:r>
      <w:r w:rsidR="004E138A">
        <w:t xml:space="preserve">este </w:t>
      </w:r>
      <w:r w:rsidR="00D05046" w:rsidRPr="004068F6">
        <w:t>proceso</w:t>
      </w:r>
      <w:r w:rsidRPr="004068F6">
        <w:t xml:space="preserve"> se </w:t>
      </w:r>
      <w:r w:rsidR="00461040" w:rsidRPr="004068F6">
        <w:t xml:space="preserve">deben </w:t>
      </w:r>
      <w:r w:rsidRPr="004068F6">
        <w:t xml:space="preserve">emplear diferentes fuentes de información y herramientas; por ejemplo, </w:t>
      </w:r>
      <w:r w:rsidR="00433F2F" w:rsidRPr="004068F6">
        <w:t xml:space="preserve">la </w:t>
      </w:r>
      <w:r w:rsidRPr="004068F6">
        <w:t xml:space="preserve">literatura especializada, </w:t>
      </w:r>
      <w:r w:rsidR="00433F2F" w:rsidRPr="004068F6">
        <w:t xml:space="preserve">los </w:t>
      </w:r>
      <w:r w:rsidRPr="004068F6">
        <w:t xml:space="preserve">términos de referencia, </w:t>
      </w:r>
      <w:r w:rsidR="00384614">
        <w:t xml:space="preserve">las versiones más actualizadas </w:t>
      </w:r>
      <w:r w:rsidR="009326E0">
        <w:t>d</w:t>
      </w:r>
      <w:r w:rsidRPr="004068F6">
        <w:t>e</w:t>
      </w:r>
      <w:r w:rsidRPr="004068F6">
        <w:rPr>
          <w:rFonts w:cs="Arial"/>
          <w:spacing w:val="-3"/>
        </w:rPr>
        <w:t xml:space="preserve">l </w:t>
      </w:r>
      <w:r w:rsidR="00447CE6" w:rsidRPr="00127BD4">
        <w:rPr>
          <w:rFonts w:cs="Arial"/>
          <w:i/>
          <w:iCs/>
          <w:spacing w:val="-3"/>
        </w:rPr>
        <w:t>L</w:t>
      </w:r>
      <w:r w:rsidRPr="00127BD4">
        <w:rPr>
          <w:rFonts w:cs="Arial"/>
          <w:i/>
          <w:iCs/>
          <w:spacing w:val="-3"/>
        </w:rPr>
        <w:t>istado de impactos ambientales específicos</w:t>
      </w:r>
      <w:r w:rsidRPr="004068F6">
        <w:rPr>
          <w:rFonts w:cs="Arial"/>
          <w:spacing w:val="-3"/>
        </w:rPr>
        <w:t xml:space="preserve"> </w:t>
      </w:r>
      <w:r w:rsidR="00181C6A">
        <w:rPr>
          <w:rFonts w:cs="Arial"/>
          <w:spacing w:val="-3"/>
        </w:rPr>
        <w:t xml:space="preserve">y </w:t>
      </w:r>
      <w:r w:rsidR="009326E0">
        <w:rPr>
          <w:rFonts w:cs="Arial"/>
          <w:spacing w:val="-3"/>
        </w:rPr>
        <w:t>d</w:t>
      </w:r>
      <w:r w:rsidR="00181C6A">
        <w:rPr>
          <w:rFonts w:cs="Arial"/>
          <w:spacing w:val="-3"/>
        </w:rPr>
        <w:t xml:space="preserve">el </w:t>
      </w:r>
      <w:r w:rsidR="00181C6A" w:rsidRPr="001E6AB4">
        <w:rPr>
          <w:rFonts w:cs="Arial"/>
          <w:i/>
          <w:iCs/>
          <w:spacing w:val="-3"/>
        </w:rPr>
        <w:t>Banco de indicadores para el proceso de licenciamiento ambiental</w:t>
      </w:r>
      <w:r w:rsidR="009E4302">
        <w:rPr>
          <w:rFonts w:cs="Arial"/>
          <w:i/>
          <w:iCs/>
          <w:spacing w:val="-3"/>
        </w:rPr>
        <w:t xml:space="preserve"> </w:t>
      </w:r>
      <w:r w:rsidR="00F664DC" w:rsidRPr="004068F6">
        <w:rPr>
          <w:rFonts w:cs="Arial"/>
          <w:spacing w:val="-3"/>
        </w:rPr>
        <w:t>desarrollado</w:t>
      </w:r>
      <w:r w:rsidR="009E4302">
        <w:rPr>
          <w:rFonts w:cs="Arial"/>
          <w:spacing w:val="-3"/>
        </w:rPr>
        <w:t>s</w:t>
      </w:r>
      <w:r w:rsidR="00F664DC" w:rsidRPr="004068F6">
        <w:rPr>
          <w:rFonts w:cs="Arial"/>
          <w:spacing w:val="-3"/>
        </w:rPr>
        <w:t xml:space="preserve"> por Minambiente</w:t>
      </w:r>
      <w:r w:rsidR="000D5716" w:rsidRPr="004068F6">
        <w:rPr>
          <w:rFonts w:cs="Arial"/>
          <w:spacing w:val="-3"/>
        </w:rPr>
        <w:t>,</w:t>
      </w:r>
      <w:r w:rsidR="00F664DC" w:rsidRPr="004068F6">
        <w:rPr>
          <w:rFonts w:cs="Arial"/>
          <w:spacing w:val="-3"/>
        </w:rPr>
        <w:t xml:space="preserve"> </w:t>
      </w:r>
      <w:r w:rsidR="009326E0">
        <w:rPr>
          <w:rFonts w:cs="Arial"/>
          <w:spacing w:val="-3"/>
        </w:rPr>
        <w:t xml:space="preserve">así como de </w:t>
      </w:r>
      <w:r w:rsidRPr="004068F6">
        <w:t xml:space="preserve">la herramienta </w:t>
      </w:r>
      <w:r w:rsidR="009431EC" w:rsidRPr="009431EC">
        <w:rPr>
          <w:i/>
          <w:iCs/>
        </w:rPr>
        <w:t xml:space="preserve">Estandarización y </w:t>
      </w:r>
      <w:r w:rsidR="009431EC" w:rsidRPr="009431EC">
        <w:rPr>
          <w:i/>
          <w:iCs/>
        </w:rPr>
        <w:lastRenderedPageBreak/>
        <w:t>jerarquización de impactos ambientales de proyectos licenciados por ANLA</w:t>
      </w:r>
      <w:r w:rsidR="009431EC" w:rsidRPr="009431EC" w:rsidDel="009431EC">
        <w:rPr>
          <w:i/>
          <w:iCs/>
        </w:rPr>
        <w:t xml:space="preserve"> </w:t>
      </w:r>
      <w:r w:rsidRPr="004068F6">
        <w:rPr>
          <w:rStyle w:val="Refdenotaalpie"/>
          <w:lang w:val="es-CO"/>
        </w:rPr>
        <w:footnoteReference w:id="212"/>
      </w:r>
      <w:r w:rsidR="000D5716" w:rsidRPr="004068F6">
        <w:t xml:space="preserve"> y </w:t>
      </w:r>
      <w:r w:rsidR="00017762" w:rsidRPr="004068F6">
        <w:rPr>
          <w:rFonts w:cs="Arial"/>
          <w:spacing w:val="-3"/>
        </w:rPr>
        <w:t>software de procesamiento geoespacial</w:t>
      </w:r>
      <w:r w:rsidR="00EF1087" w:rsidRPr="004068F6">
        <w:t>.</w:t>
      </w:r>
    </w:p>
    <w:p w14:paraId="107CEB2F" w14:textId="77777777" w:rsidR="007B7358" w:rsidRPr="004068F6" w:rsidRDefault="007B7358" w:rsidP="007B7358">
      <w:pPr>
        <w:numPr>
          <w:ilvl w:val="12"/>
          <w:numId w:val="0"/>
        </w:numPr>
        <w:tabs>
          <w:tab w:val="left" w:pos="-2268"/>
        </w:tabs>
        <w:suppressAutoHyphens/>
        <w:rPr>
          <w:rFonts w:cs="Arial"/>
          <w:spacing w:val="-3"/>
        </w:rPr>
      </w:pPr>
    </w:p>
    <w:p w14:paraId="77E7E407" w14:textId="33829CB7" w:rsidR="007B7358" w:rsidRPr="00466E26" w:rsidRDefault="007B7358" w:rsidP="000A1E20">
      <w:pPr>
        <w:pStyle w:val="Ttulo3"/>
      </w:pPr>
      <w:bookmarkStart w:id="3252" w:name="_Ref205196865"/>
      <w:bookmarkStart w:id="3253" w:name="_Toc230879694"/>
      <w:r w:rsidRPr="00466E26">
        <w:t>Valoración de impactos ambientales</w:t>
      </w:r>
      <w:bookmarkEnd w:id="3252"/>
      <w:bookmarkEnd w:id="3253"/>
    </w:p>
    <w:p w14:paraId="1623DDFA" w14:textId="77777777" w:rsidR="007B7358" w:rsidRPr="004068F6" w:rsidRDefault="007B7358" w:rsidP="007B7358">
      <w:pPr>
        <w:numPr>
          <w:ilvl w:val="12"/>
          <w:numId w:val="0"/>
        </w:numPr>
        <w:tabs>
          <w:tab w:val="left" w:pos="-2268"/>
        </w:tabs>
        <w:suppressAutoHyphens/>
        <w:rPr>
          <w:rFonts w:cs="Arial"/>
          <w:spacing w:val="-3"/>
        </w:rPr>
      </w:pPr>
    </w:p>
    <w:p w14:paraId="20379E37" w14:textId="348F5434" w:rsidR="00133E5B" w:rsidRPr="004068F6" w:rsidRDefault="007B7358">
      <w:pPr>
        <w:numPr>
          <w:ilvl w:val="12"/>
          <w:numId w:val="0"/>
        </w:numPr>
        <w:tabs>
          <w:tab w:val="left" w:pos="-2268"/>
        </w:tabs>
        <w:suppressAutoHyphens/>
        <w:rPr>
          <w:rFonts w:cs="Arial"/>
          <w:spacing w:val="-3"/>
        </w:rPr>
      </w:pPr>
      <w:r w:rsidRPr="004068F6">
        <w:rPr>
          <w:rFonts w:cs="Arial"/>
          <w:spacing w:val="-3"/>
        </w:rPr>
        <w:t xml:space="preserve">Este proceso consiste en asignar valores cuantitativos o cualitativos, positivos o negativos, a todos los impactos </w:t>
      </w:r>
      <w:r w:rsidR="004460F2" w:rsidRPr="004068F6">
        <w:rPr>
          <w:rFonts w:cs="Arial"/>
          <w:spacing w:val="-3"/>
        </w:rPr>
        <w:t>que se determinen</w:t>
      </w:r>
      <w:r w:rsidRPr="004068F6">
        <w:rPr>
          <w:rFonts w:cs="Arial"/>
          <w:spacing w:val="-3"/>
        </w:rPr>
        <w:t xml:space="preserve"> en función del grado con el cual pueden modificar las condiciones ambientales del área </w:t>
      </w:r>
      <w:r w:rsidR="00684412" w:rsidRPr="004068F6">
        <w:rPr>
          <w:rFonts w:cs="Arial"/>
          <w:spacing w:val="-3"/>
        </w:rPr>
        <w:t>objeto de análisis</w:t>
      </w:r>
      <w:r w:rsidRPr="004068F6">
        <w:rPr>
          <w:rFonts w:cs="Arial"/>
          <w:spacing w:val="-3"/>
        </w:rPr>
        <w:t>.</w:t>
      </w:r>
    </w:p>
    <w:p w14:paraId="4DB3B3F0" w14:textId="77777777" w:rsidR="00133E5B" w:rsidRPr="004068F6" w:rsidRDefault="00133E5B">
      <w:pPr>
        <w:numPr>
          <w:ilvl w:val="12"/>
          <w:numId w:val="0"/>
        </w:numPr>
        <w:tabs>
          <w:tab w:val="left" w:pos="-2268"/>
        </w:tabs>
        <w:suppressAutoHyphens/>
        <w:rPr>
          <w:rFonts w:cs="Arial"/>
          <w:spacing w:val="-3"/>
        </w:rPr>
      </w:pPr>
    </w:p>
    <w:p w14:paraId="144F6AFA" w14:textId="30A13D81" w:rsidR="009F4C0F" w:rsidRPr="004068F6" w:rsidRDefault="009658F3">
      <w:pPr>
        <w:numPr>
          <w:ilvl w:val="12"/>
          <w:numId w:val="0"/>
        </w:numPr>
        <w:tabs>
          <w:tab w:val="left" w:pos="-2268"/>
        </w:tabs>
        <w:suppressAutoHyphens/>
        <w:rPr>
          <w:rFonts w:cs="Arial"/>
          <w:spacing w:val="-3"/>
        </w:rPr>
      </w:pPr>
      <w:r w:rsidRPr="004068F6">
        <w:rPr>
          <w:rFonts w:cs="Arial"/>
          <w:spacing w:val="-3"/>
        </w:rPr>
        <w:t>La</w:t>
      </w:r>
      <w:r w:rsidR="007B7358" w:rsidRPr="004068F6">
        <w:rPr>
          <w:rFonts w:cs="Arial"/>
          <w:spacing w:val="-3"/>
        </w:rPr>
        <w:t xml:space="preserve"> valoración </w:t>
      </w:r>
      <w:r w:rsidR="00D60616" w:rsidRPr="004068F6">
        <w:rPr>
          <w:rFonts w:cs="Arial"/>
          <w:spacing w:val="-3"/>
        </w:rPr>
        <w:t xml:space="preserve">del escenario sin proyecto se basa en un </w:t>
      </w:r>
      <w:r w:rsidR="00D60616" w:rsidRPr="004068F6">
        <w:rPr>
          <w:color w:val="000000"/>
        </w:rPr>
        <w:t>análisis tendencial de las condiciones ambientales de línea base</w:t>
      </w:r>
      <w:r w:rsidR="003065C6" w:rsidRPr="004068F6">
        <w:rPr>
          <w:color w:val="000000"/>
        </w:rPr>
        <w:t xml:space="preserve">. </w:t>
      </w:r>
      <w:r w:rsidR="009A61E1" w:rsidRPr="004068F6">
        <w:rPr>
          <w:color w:val="000000"/>
        </w:rPr>
        <w:t>Por su parte, l</w:t>
      </w:r>
      <w:r w:rsidR="003065C6" w:rsidRPr="004068F6">
        <w:rPr>
          <w:color w:val="000000"/>
        </w:rPr>
        <w:t>a valoración</w:t>
      </w:r>
      <w:r w:rsidR="00D60616" w:rsidRPr="004068F6">
        <w:rPr>
          <w:rFonts w:cs="Arial"/>
          <w:spacing w:val="-3"/>
        </w:rPr>
        <w:t xml:space="preserve"> </w:t>
      </w:r>
      <w:r w:rsidR="009A61E1" w:rsidRPr="004068F6">
        <w:rPr>
          <w:rFonts w:cs="Arial"/>
          <w:spacing w:val="-3"/>
        </w:rPr>
        <w:t>d</w:t>
      </w:r>
      <w:r w:rsidR="004D023E" w:rsidRPr="004068F6">
        <w:rPr>
          <w:rFonts w:cs="Arial"/>
          <w:spacing w:val="-3"/>
        </w:rPr>
        <w:t xml:space="preserve">el escenario con proyecto </w:t>
      </w:r>
      <w:r w:rsidR="007B7358" w:rsidRPr="004068F6">
        <w:rPr>
          <w:rFonts w:cs="Arial"/>
          <w:spacing w:val="-3"/>
        </w:rPr>
        <w:t xml:space="preserve">implica conjugar la información </w:t>
      </w:r>
      <w:r w:rsidR="00A33A87" w:rsidRPr="004068F6">
        <w:rPr>
          <w:rFonts w:cs="Arial"/>
          <w:spacing w:val="-3"/>
        </w:rPr>
        <w:t xml:space="preserve">de línea base </w:t>
      </w:r>
      <w:r w:rsidR="0060552F" w:rsidRPr="004068F6">
        <w:rPr>
          <w:rFonts w:cs="Arial"/>
          <w:spacing w:val="-3"/>
        </w:rPr>
        <w:t xml:space="preserve">sobre </w:t>
      </w:r>
      <w:r w:rsidR="004460F2" w:rsidRPr="004068F6">
        <w:rPr>
          <w:rFonts w:cs="Arial"/>
          <w:spacing w:val="-3"/>
        </w:rPr>
        <w:t xml:space="preserve">las condiciones </w:t>
      </w:r>
      <w:r w:rsidR="00A33A87" w:rsidRPr="004068F6">
        <w:rPr>
          <w:rFonts w:cs="Arial"/>
          <w:spacing w:val="-3"/>
        </w:rPr>
        <w:t xml:space="preserve">ambientales </w:t>
      </w:r>
      <w:r w:rsidR="005323E3" w:rsidRPr="004068F6">
        <w:rPr>
          <w:rFonts w:cs="Arial"/>
          <w:spacing w:val="-3"/>
        </w:rPr>
        <w:t xml:space="preserve">de </w:t>
      </w:r>
      <w:r w:rsidR="007B7358" w:rsidRPr="004068F6">
        <w:rPr>
          <w:rFonts w:cs="Arial"/>
          <w:spacing w:val="-3"/>
        </w:rPr>
        <w:t xml:space="preserve">la caracterización del área de influencia y </w:t>
      </w:r>
      <w:r w:rsidR="005323E3" w:rsidRPr="004068F6">
        <w:rPr>
          <w:rFonts w:cs="Arial"/>
          <w:spacing w:val="-3"/>
        </w:rPr>
        <w:t>de</w:t>
      </w:r>
      <w:r w:rsidR="00A33A87" w:rsidRPr="004068F6">
        <w:rPr>
          <w:rFonts w:cs="Arial"/>
          <w:spacing w:val="-3"/>
        </w:rPr>
        <w:t xml:space="preserve"> </w:t>
      </w:r>
      <w:r w:rsidR="007B7358" w:rsidRPr="004068F6">
        <w:rPr>
          <w:rFonts w:cs="Arial"/>
          <w:spacing w:val="-3"/>
        </w:rPr>
        <w:t xml:space="preserve">la zonificación ambiental, con la información que describe </w:t>
      </w:r>
      <w:r w:rsidR="008F4F24" w:rsidRPr="004068F6">
        <w:rPr>
          <w:rFonts w:cs="Arial"/>
          <w:spacing w:val="-3"/>
        </w:rPr>
        <w:t xml:space="preserve">las </w:t>
      </w:r>
      <w:r w:rsidR="007B7358" w:rsidRPr="004068F6">
        <w:rPr>
          <w:rFonts w:cs="Arial"/>
          <w:spacing w:val="-3"/>
        </w:rPr>
        <w:t>particularidades de ubicación, tecnología y diseño, uso, aprovechamiento y afectación a los recursos naturales, entre otras</w:t>
      </w:r>
      <w:r w:rsidR="008F4F24" w:rsidRPr="004068F6">
        <w:rPr>
          <w:rFonts w:cs="Arial"/>
          <w:spacing w:val="-3"/>
        </w:rPr>
        <w:t xml:space="preserve"> propiedades del proyecto</w:t>
      </w:r>
      <w:r w:rsidR="007B7358" w:rsidRPr="004068F6">
        <w:rPr>
          <w:rFonts w:cs="Arial"/>
          <w:spacing w:val="-3"/>
        </w:rPr>
        <w:t xml:space="preserve">, </w:t>
      </w:r>
      <w:r w:rsidR="006B696D" w:rsidRPr="004068F6">
        <w:rPr>
          <w:rFonts w:cs="Arial"/>
          <w:spacing w:val="-3"/>
        </w:rPr>
        <w:t xml:space="preserve">obra o actividad, </w:t>
      </w:r>
      <w:r w:rsidR="00AD01A7" w:rsidRPr="004068F6">
        <w:rPr>
          <w:rFonts w:cs="Arial"/>
          <w:spacing w:val="-3"/>
        </w:rPr>
        <w:t xml:space="preserve">a fin </w:t>
      </w:r>
      <w:r w:rsidR="007B7358" w:rsidRPr="004068F6">
        <w:rPr>
          <w:rFonts w:cs="Arial"/>
          <w:spacing w:val="-3"/>
        </w:rPr>
        <w:t>de establecer cómo</w:t>
      </w:r>
      <w:r w:rsidR="00136408" w:rsidRPr="004068F6">
        <w:rPr>
          <w:rFonts w:cs="Arial"/>
          <w:spacing w:val="-3"/>
        </w:rPr>
        <w:t>, dónde</w:t>
      </w:r>
      <w:r w:rsidR="007B7358" w:rsidRPr="004068F6">
        <w:rPr>
          <w:rFonts w:cs="Arial"/>
          <w:spacing w:val="-3"/>
        </w:rPr>
        <w:t xml:space="preserve"> y en qué medida </w:t>
      </w:r>
      <w:r w:rsidR="004460F2" w:rsidRPr="004068F6">
        <w:rPr>
          <w:rFonts w:cs="Arial"/>
          <w:spacing w:val="-3"/>
        </w:rPr>
        <w:t xml:space="preserve">se modificarían las condiciones ambientales </w:t>
      </w:r>
      <w:r w:rsidR="004D023E" w:rsidRPr="004068F6">
        <w:rPr>
          <w:rFonts w:cs="Arial"/>
          <w:spacing w:val="-3"/>
        </w:rPr>
        <w:t>con su ejecución</w:t>
      </w:r>
      <w:r w:rsidR="007B7358" w:rsidRPr="004068F6">
        <w:rPr>
          <w:rFonts w:cs="Arial"/>
          <w:spacing w:val="-3"/>
        </w:rPr>
        <w:t>.</w:t>
      </w:r>
    </w:p>
    <w:p w14:paraId="3BF2A27E" w14:textId="77777777" w:rsidR="009F4C0F" w:rsidRPr="004068F6" w:rsidRDefault="009F4C0F">
      <w:pPr>
        <w:numPr>
          <w:ilvl w:val="12"/>
          <w:numId w:val="0"/>
        </w:numPr>
        <w:tabs>
          <w:tab w:val="left" w:pos="-2268"/>
        </w:tabs>
        <w:suppressAutoHyphens/>
        <w:rPr>
          <w:rFonts w:cs="Arial"/>
          <w:spacing w:val="-3"/>
        </w:rPr>
      </w:pPr>
    </w:p>
    <w:p w14:paraId="1C19896A" w14:textId="452582C3" w:rsidR="00B61DE7" w:rsidRPr="004068F6" w:rsidRDefault="00420EDE">
      <w:pPr>
        <w:numPr>
          <w:ilvl w:val="12"/>
          <w:numId w:val="0"/>
        </w:numPr>
        <w:tabs>
          <w:tab w:val="left" w:pos="-2268"/>
        </w:tabs>
        <w:suppressAutoHyphens/>
        <w:rPr>
          <w:rFonts w:cs="Arial"/>
          <w:spacing w:val="-3"/>
        </w:rPr>
      </w:pPr>
      <w:r w:rsidRPr="004068F6">
        <w:rPr>
          <w:rFonts w:cs="Arial"/>
          <w:spacing w:val="-3"/>
        </w:rPr>
        <w:t xml:space="preserve">Tanto la valoración del escenario con proyecto, como la del escenario sin proyecto, debe considerar la forma en que el cambio climático modifica la significancia de los impactos asumiendo, según las particularidades del proyecto, uno de los escenarios prospectivos de cambio de acuerdo con los resultados del numeral </w:t>
      </w:r>
      <w:r w:rsidR="00F33138" w:rsidRPr="00127BD4">
        <w:rPr>
          <w:rFonts w:cs="Arial"/>
          <w:spacing w:val="-3"/>
        </w:rPr>
        <w:fldChar w:fldCharType="begin"/>
      </w:r>
      <w:r w:rsidR="00F33138" w:rsidRPr="00127BD4">
        <w:rPr>
          <w:rFonts w:cs="Arial"/>
          <w:spacing w:val="-3"/>
        </w:rPr>
        <w:instrText xml:space="preserve"> REF _Ref208926634 \r \h </w:instrText>
      </w:r>
      <w:r w:rsidR="00F33138" w:rsidRPr="004068F6">
        <w:rPr>
          <w:rFonts w:cs="Arial"/>
          <w:spacing w:val="-3"/>
        </w:rPr>
        <w:instrText xml:space="preserve"> \* MERGEFORMAT </w:instrText>
      </w:r>
      <w:r w:rsidR="00F33138" w:rsidRPr="00127BD4">
        <w:rPr>
          <w:rFonts w:cs="Arial"/>
          <w:spacing w:val="-3"/>
        </w:rPr>
      </w:r>
      <w:r w:rsidR="00F33138" w:rsidRPr="00127BD4">
        <w:rPr>
          <w:rFonts w:cs="Arial"/>
          <w:spacing w:val="-3"/>
        </w:rPr>
        <w:fldChar w:fldCharType="separate"/>
      </w:r>
      <w:r w:rsidR="009C4A81">
        <w:rPr>
          <w:rFonts w:cs="Arial"/>
          <w:spacing w:val="-3"/>
        </w:rPr>
        <w:t>10.7.3.1</w:t>
      </w:r>
      <w:r w:rsidR="00F33138" w:rsidRPr="00127BD4">
        <w:rPr>
          <w:rFonts w:cs="Arial"/>
          <w:spacing w:val="-3"/>
        </w:rPr>
        <w:fldChar w:fldCharType="end"/>
      </w:r>
      <w:r w:rsidRPr="004068F6">
        <w:rPr>
          <w:rFonts w:cs="Arial"/>
          <w:spacing w:val="-3"/>
          <w:vertAlign w:val="superscript"/>
        </w:rPr>
        <w:footnoteReference w:id="213"/>
      </w:r>
      <w:r w:rsidRPr="004068F6">
        <w:rPr>
          <w:rFonts w:cs="Arial"/>
          <w:spacing w:val="-3"/>
        </w:rPr>
        <w:t xml:space="preserve">. La variación en la significancia de los impactos en razón al cambio climático se refiere a todo tipo de impactos, inclusive los acumulativos, los sinérgicos y los indirectos; por ejemplo, la modificación del clima puede hacer que los impactos indirectos a los medios de vida de la población, luego de </w:t>
      </w:r>
      <w:r w:rsidR="00AC49E6">
        <w:rPr>
          <w:rFonts w:cs="Arial"/>
          <w:spacing w:val="-3"/>
        </w:rPr>
        <w:t xml:space="preserve">la ocurrencia de </w:t>
      </w:r>
      <w:r w:rsidRPr="004068F6">
        <w:rPr>
          <w:rFonts w:cs="Arial"/>
          <w:spacing w:val="-3"/>
        </w:rPr>
        <w:t>impact</w:t>
      </w:r>
      <w:r w:rsidR="00AC49E6">
        <w:rPr>
          <w:rFonts w:cs="Arial"/>
          <w:spacing w:val="-3"/>
        </w:rPr>
        <w:t xml:space="preserve">os a </w:t>
      </w:r>
      <w:r w:rsidRPr="004068F6">
        <w:rPr>
          <w:rFonts w:cs="Arial"/>
          <w:spacing w:val="-3"/>
        </w:rPr>
        <w:t>la calidad del recurso hídrico o de</w:t>
      </w:r>
      <w:r w:rsidR="00974472">
        <w:rPr>
          <w:rFonts w:cs="Arial"/>
          <w:spacing w:val="-3"/>
        </w:rPr>
        <w:t>l</w:t>
      </w:r>
      <w:r w:rsidRPr="004068F6">
        <w:rPr>
          <w:rFonts w:cs="Arial"/>
          <w:spacing w:val="-3"/>
        </w:rPr>
        <w:t xml:space="preserve"> </w:t>
      </w:r>
      <w:r w:rsidR="00974472">
        <w:rPr>
          <w:rFonts w:cs="Arial"/>
          <w:spacing w:val="-3"/>
        </w:rPr>
        <w:t xml:space="preserve">desarrollo de actividades de </w:t>
      </w:r>
      <w:r w:rsidR="00863FAB">
        <w:rPr>
          <w:rFonts w:cs="Arial"/>
          <w:spacing w:val="-3"/>
        </w:rPr>
        <w:t>reasentamiento</w:t>
      </w:r>
      <w:r w:rsidRPr="004068F6">
        <w:rPr>
          <w:rFonts w:cs="Arial"/>
          <w:spacing w:val="-3"/>
        </w:rPr>
        <w:t xml:space="preserve"> involuntario, tengan mayor significancia que en un contexto con clima estable</w:t>
      </w:r>
      <w:r w:rsidR="00B61DE7" w:rsidRPr="004068F6">
        <w:rPr>
          <w:rFonts w:cs="Arial"/>
          <w:spacing w:val="-3"/>
        </w:rPr>
        <w:t>.</w:t>
      </w:r>
    </w:p>
    <w:p w14:paraId="33ECE4A0" w14:textId="77777777" w:rsidR="00017931" w:rsidRPr="004068F6" w:rsidRDefault="00017931" w:rsidP="00A56B78">
      <w:pPr>
        <w:numPr>
          <w:ilvl w:val="12"/>
          <w:numId w:val="0"/>
        </w:numPr>
        <w:tabs>
          <w:tab w:val="left" w:pos="-2268"/>
        </w:tabs>
        <w:suppressAutoHyphens/>
        <w:rPr>
          <w:rFonts w:cs="Arial"/>
          <w:spacing w:val="-3"/>
          <w:highlight w:val="yellow"/>
        </w:rPr>
      </w:pPr>
    </w:p>
    <w:p w14:paraId="2492136C" w14:textId="486F8E75" w:rsidR="0012052B" w:rsidRPr="004068F6" w:rsidRDefault="0060552F" w:rsidP="007B7358">
      <w:pPr>
        <w:numPr>
          <w:ilvl w:val="12"/>
          <w:numId w:val="0"/>
        </w:numPr>
        <w:tabs>
          <w:tab w:val="left" w:pos="-2268"/>
        </w:tabs>
        <w:suppressAutoHyphens/>
        <w:rPr>
          <w:rFonts w:cs="Arial"/>
          <w:spacing w:val="-3"/>
        </w:rPr>
      </w:pPr>
      <w:r w:rsidRPr="004068F6">
        <w:rPr>
          <w:rFonts w:cs="Arial"/>
          <w:spacing w:val="-3"/>
        </w:rPr>
        <w:t xml:space="preserve">Para </w:t>
      </w:r>
      <w:r w:rsidR="007B7358" w:rsidRPr="004068F6">
        <w:rPr>
          <w:rFonts w:cs="Arial"/>
          <w:spacing w:val="-3"/>
        </w:rPr>
        <w:t>valora</w:t>
      </w:r>
      <w:r w:rsidRPr="004068F6">
        <w:rPr>
          <w:rFonts w:cs="Arial"/>
          <w:spacing w:val="-3"/>
        </w:rPr>
        <w:t xml:space="preserve">r </w:t>
      </w:r>
      <w:r w:rsidR="00107D67" w:rsidRPr="004068F6">
        <w:rPr>
          <w:rFonts w:cs="Arial"/>
          <w:spacing w:val="-3"/>
        </w:rPr>
        <w:t xml:space="preserve">el grado </w:t>
      </w:r>
      <w:r w:rsidR="00903F8C" w:rsidRPr="004068F6">
        <w:rPr>
          <w:rFonts w:cs="Arial"/>
          <w:spacing w:val="-3"/>
        </w:rPr>
        <w:t xml:space="preserve">de </w:t>
      </w:r>
      <w:r w:rsidR="00107D67" w:rsidRPr="004068F6">
        <w:rPr>
          <w:rFonts w:cs="Arial"/>
          <w:spacing w:val="-3"/>
        </w:rPr>
        <w:t>modifica</w:t>
      </w:r>
      <w:r w:rsidR="005760B3" w:rsidRPr="004068F6">
        <w:rPr>
          <w:rFonts w:cs="Arial"/>
          <w:spacing w:val="-3"/>
        </w:rPr>
        <w:t>ción</w:t>
      </w:r>
      <w:r w:rsidR="00107D67" w:rsidRPr="004068F6">
        <w:rPr>
          <w:rFonts w:cs="Arial"/>
          <w:spacing w:val="-3"/>
        </w:rPr>
        <w:t xml:space="preserve"> </w:t>
      </w:r>
      <w:r w:rsidR="005760B3" w:rsidRPr="004068F6">
        <w:rPr>
          <w:rFonts w:cs="Arial"/>
          <w:spacing w:val="-3"/>
        </w:rPr>
        <w:t xml:space="preserve">de </w:t>
      </w:r>
      <w:r w:rsidR="00107D67" w:rsidRPr="004068F6">
        <w:rPr>
          <w:rFonts w:cs="Arial"/>
          <w:spacing w:val="-3"/>
        </w:rPr>
        <w:t xml:space="preserve">las condiciones ambientales </w:t>
      </w:r>
      <w:r w:rsidR="008508DC" w:rsidRPr="004068F6">
        <w:rPr>
          <w:rFonts w:cs="Arial"/>
          <w:spacing w:val="-3"/>
        </w:rPr>
        <w:t xml:space="preserve">de cada impacto </w:t>
      </w:r>
      <w:r w:rsidRPr="004068F6">
        <w:rPr>
          <w:rFonts w:cs="Arial"/>
          <w:spacing w:val="-3"/>
        </w:rPr>
        <w:t xml:space="preserve">se </w:t>
      </w:r>
      <w:r w:rsidR="007B7358" w:rsidRPr="004068F6">
        <w:rPr>
          <w:rFonts w:cs="Arial"/>
          <w:spacing w:val="-3"/>
        </w:rPr>
        <w:t xml:space="preserve">debe considerar </w:t>
      </w:r>
      <w:r w:rsidR="0016339C" w:rsidRPr="004068F6">
        <w:rPr>
          <w:rFonts w:cs="Arial"/>
          <w:spacing w:val="-3"/>
        </w:rPr>
        <w:t xml:space="preserve">uno o </w:t>
      </w:r>
      <w:r w:rsidR="007B7358" w:rsidRPr="004068F6">
        <w:rPr>
          <w:rFonts w:cs="Arial"/>
          <w:spacing w:val="-3"/>
        </w:rPr>
        <w:t>múltiples criterios</w:t>
      </w:r>
      <w:r w:rsidR="0053494E" w:rsidRPr="00127BD4">
        <w:rPr>
          <w:rStyle w:val="Refdenotaalpie"/>
          <w:rFonts w:cs="Arial"/>
          <w:spacing w:val="-3"/>
          <w:lang w:val="es-CO"/>
        </w:rPr>
        <w:footnoteReference w:id="214"/>
      </w:r>
      <w:r w:rsidR="00DF0F1C" w:rsidRPr="004068F6">
        <w:rPr>
          <w:rFonts w:cs="Arial"/>
          <w:spacing w:val="-3"/>
        </w:rPr>
        <w:t xml:space="preserve"> que sean aplicables</w:t>
      </w:r>
      <w:r w:rsidR="0012052B" w:rsidRPr="004068F6">
        <w:rPr>
          <w:rFonts w:cs="Arial"/>
          <w:spacing w:val="-3"/>
        </w:rPr>
        <w:t xml:space="preserve"> </w:t>
      </w:r>
      <w:r w:rsidR="001B21F9" w:rsidRPr="004068F6">
        <w:rPr>
          <w:rFonts w:cs="Arial"/>
          <w:spacing w:val="-3"/>
        </w:rPr>
        <w:t>a</w:t>
      </w:r>
      <w:r w:rsidR="000D4D81" w:rsidRPr="004068F6">
        <w:rPr>
          <w:rFonts w:cs="Arial"/>
          <w:spacing w:val="-3"/>
        </w:rPr>
        <w:t>l</w:t>
      </w:r>
      <w:r w:rsidR="0012052B" w:rsidRPr="004068F6">
        <w:rPr>
          <w:rFonts w:cs="Arial"/>
          <w:spacing w:val="-3"/>
        </w:rPr>
        <w:t xml:space="preserve"> </w:t>
      </w:r>
      <w:r w:rsidR="00FA2D39" w:rsidRPr="004068F6">
        <w:rPr>
          <w:rFonts w:cs="Arial"/>
          <w:spacing w:val="-3"/>
        </w:rPr>
        <w:t>parámetro</w:t>
      </w:r>
      <w:r w:rsidR="000D4D81" w:rsidRPr="004068F6">
        <w:rPr>
          <w:rFonts w:cs="Arial"/>
          <w:spacing w:val="-3"/>
        </w:rPr>
        <w:t xml:space="preserve"> </w:t>
      </w:r>
      <w:r w:rsidR="0012052B" w:rsidRPr="004068F6">
        <w:rPr>
          <w:rFonts w:cs="Arial"/>
          <w:spacing w:val="-3"/>
        </w:rPr>
        <w:t xml:space="preserve">ambiental que </w:t>
      </w:r>
      <w:r w:rsidR="0012052B" w:rsidRPr="004068F6">
        <w:rPr>
          <w:rFonts w:cs="Arial"/>
          <w:spacing w:val="-3"/>
        </w:rPr>
        <w:lastRenderedPageBreak/>
        <w:t>sería alterad</w:t>
      </w:r>
      <w:r w:rsidR="00FA2D39" w:rsidRPr="004068F6">
        <w:rPr>
          <w:rFonts w:cs="Arial"/>
          <w:spacing w:val="-3"/>
        </w:rPr>
        <w:t>o</w:t>
      </w:r>
      <w:r w:rsidR="0012052B" w:rsidRPr="004068F6">
        <w:rPr>
          <w:rFonts w:cs="Arial"/>
          <w:spacing w:val="-3"/>
        </w:rPr>
        <w:t xml:space="preserve"> con la ejecución del proyecto</w:t>
      </w:r>
      <w:r w:rsidR="00B33566" w:rsidRPr="004068F6">
        <w:rPr>
          <w:rFonts w:cs="Arial"/>
          <w:spacing w:val="-3"/>
        </w:rPr>
        <w:t>; en este sentido, e</w:t>
      </w:r>
      <w:r w:rsidR="0012052B" w:rsidRPr="004068F6">
        <w:rPr>
          <w:rFonts w:cs="Arial"/>
          <w:spacing w:val="-3"/>
        </w:rPr>
        <w:t>s importante seleccionar adecuadamente los criterios para evaluar con mayor apego a la realidad los impactos, especialmente cuando éstos se manifiestan en AE</w:t>
      </w:r>
      <w:r w:rsidR="00C33E32" w:rsidRPr="004068F6">
        <w:rPr>
          <w:rFonts w:cs="Arial"/>
          <w:spacing w:val="-3"/>
        </w:rPr>
        <w:t>I</w:t>
      </w:r>
      <w:r w:rsidR="0012052B" w:rsidRPr="004068F6">
        <w:rPr>
          <w:rFonts w:cs="Arial"/>
          <w:spacing w:val="-3"/>
        </w:rPr>
        <w:t>A</w:t>
      </w:r>
      <w:r w:rsidR="007B7358" w:rsidRPr="004068F6">
        <w:rPr>
          <w:rFonts w:cs="Arial"/>
          <w:spacing w:val="-3"/>
        </w:rPr>
        <w:t>.</w:t>
      </w:r>
    </w:p>
    <w:p w14:paraId="7D2E9727" w14:textId="77777777" w:rsidR="0012052B" w:rsidRPr="004068F6" w:rsidRDefault="0012052B" w:rsidP="007B7358">
      <w:pPr>
        <w:numPr>
          <w:ilvl w:val="12"/>
          <w:numId w:val="0"/>
        </w:numPr>
        <w:tabs>
          <w:tab w:val="left" w:pos="-2268"/>
        </w:tabs>
        <w:suppressAutoHyphens/>
        <w:rPr>
          <w:rFonts w:cs="Arial"/>
          <w:spacing w:val="-3"/>
        </w:rPr>
      </w:pPr>
    </w:p>
    <w:p w14:paraId="03DB3FD5" w14:textId="0F82ACEF" w:rsidR="007B7358" w:rsidRPr="004068F6" w:rsidRDefault="00EB4FE5" w:rsidP="007B7358">
      <w:pPr>
        <w:numPr>
          <w:ilvl w:val="12"/>
          <w:numId w:val="0"/>
        </w:numPr>
        <w:tabs>
          <w:tab w:val="left" w:pos="-2268"/>
        </w:tabs>
        <w:suppressAutoHyphens/>
        <w:rPr>
          <w:rFonts w:cs="Arial"/>
          <w:spacing w:val="-3"/>
        </w:rPr>
      </w:pPr>
      <w:r w:rsidRPr="004068F6">
        <w:rPr>
          <w:rFonts w:cs="Arial"/>
          <w:spacing w:val="-3"/>
        </w:rPr>
        <w:t xml:space="preserve">La valoración de impactos puede </w:t>
      </w:r>
      <w:r w:rsidR="005F30FA" w:rsidRPr="004068F6">
        <w:rPr>
          <w:rFonts w:cs="Arial"/>
          <w:spacing w:val="-3"/>
        </w:rPr>
        <w:t>emplear criterios como</w:t>
      </w:r>
      <w:r w:rsidR="006C4AB0" w:rsidRPr="004068F6">
        <w:rPr>
          <w:rFonts w:cs="Arial"/>
          <w:spacing w:val="-3"/>
        </w:rPr>
        <w:t>:</w:t>
      </w:r>
      <w:r w:rsidR="005F30FA" w:rsidRPr="004068F6">
        <w:rPr>
          <w:rFonts w:cs="Arial"/>
          <w:spacing w:val="-3"/>
        </w:rPr>
        <w:t xml:space="preserve"> </w:t>
      </w:r>
      <w:r w:rsidR="006C4AB0" w:rsidRPr="004068F6">
        <w:rPr>
          <w:rFonts w:cs="Arial"/>
          <w:spacing w:val="-3"/>
        </w:rPr>
        <w:t>límites permisibles de los contaminantes que define la normativa ambiental vigente</w:t>
      </w:r>
      <w:r w:rsidR="007B7358" w:rsidRPr="004068F6">
        <w:rPr>
          <w:rStyle w:val="Refdenotaalpie"/>
          <w:rFonts w:cs="Arial"/>
          <w:spacing w:val="-3"/>
          <w:lang w:val="es-CO"/>
        </w:rPr>
        <w:footnoteReference w:id="215"/>
      </w:r>
      <w:r w:rsidR="006C4AB0" w:rsidRPr="004068F6">
        <w:rPr>
          <w:rFonts w:cs="Arial"/>
          <w:spacing w:val="-3"/>
        </w:rPr>
        <w:t>; sensibilidad ambiental y capacidad de asimilación de los elementos ambientales que son impactados; consecuencias sobre especies y ecosistemas amenazados; repercusiones sobre especies endémicas o con distribución restringida</w:t>
      </w:r>
      <w:r w:rsidR="008D3851" w:rsidRPr="004068F6">
        <w:rPr>
          <w:rFonts w:cs="Arial"/>
          <w:spacing w:val="-3"/>
        </w:rPr>
        <w:t>;</w:t>
      </w:r>
      <w:r w:rsidR="006C4AB0" w:rsidRPr="004068F6">
        <w:rPr>
          <w:rFonts w:cs="Arial"/>
          <w:spacing w:val="-3"/>
        </w:rPr>
        <w:t xml:space="preserve"> cambios sobre la composición y estructura de los ecosistemas que puedan resultar irreversibles</w:t>
      </w:r>
      <w:r w:rsidR="008D3851" w:rsidRPr="004068F6">
        <w:rPr>
          <w:rFonts w:cs="Arial"/>
          <w:spacing w:val="-3"/>
        </w:rPr>
        <w:t>;</w:t>
      </w:r>
      <w:r w:rsidR="006C4AB0" w:rsidRPr="004068F6">
        <w:rPr>
          <w:rFonts w:cs="Arial"/>
          <w:spacing w:val="-3"/>
        </w:rPr>
        <w:t xml:space="preserve"> consecuencias en los sistemas sociales, producción económica y sitios de especial importancia para las tradiciones y la cultura</w:t>
      </w:r>
      <w:r w:rsidR="00DC5FD8" w:rsidRPr="004068F6">
        <w:rPr>
          <w:rFonts w:cs="Arial"/>
          <w:spacing w:val="-3"/>
        </w:rPr>
        <w:t>;</w:t>
      </w:r>
      <w:r w:rsidR="00C20582" w:rsidRPr="004068F6">
        <w:rPr>
          <w:rFonts w:cs="Arial"/>
          <w:spacing w:val="-3"/>
        </w:rPr>
        <w:t xml:space="preserve"> </w:t>
      </w:r>
      <w:r w:rsidR="00BD7C18">
        <w:rPr>
          <w:rFonts w:cs="Arial"/>
          <w:spacing w:val="-3"/>
        </w:rPr>
        <w:t xml:space="preserve">relación entre </w:t>
      </w:r>
      <w:r w:rsidR="004C44AF">
        <w:rPr>
          <w:rFonts w:cs="Arial"/>
          <w:spacing w:val="-3"/>
        </w:rPr>
        <w:t xml:space="preserve">los servicios ecosistémicos </w:t>
      </w:r>
      <w:r w:rsidR="006F7E7F">
        <w:rPr>
          <w:rFonts w:cs="Arial"/>
          <w:spacing w:val="-3"/>
        </w:rPr>
        <w:t xml:space="preserve">impactados </w:t>
      </w:r>
      <w:r w:rsidR="00B1143C">
        <w:rPr>
          <w:rFonts w:cs="Arial"/>
          <w:spacing w:val="-3"/>
        </w:rPr>
        <w:t xml:space="preserve">y </w:t>
      </w:r>
      <w:r w:rsidR="00966686">
        <w:rPr>
          <w:rFonts w:cs="Arial"/>
          <w:spacing w:val="-3"/>
        </w:rPr>
        <w:t>los derechos humanos interdependientes al derecho a gozar de un ambiente sano</w:t>
      </w:r>
      <w:r w:rsidR="00A7364A" w:rsidRPr="004068F6">
        <w:rPr>
          <w:rFonts w:cs="Arial"/>
          <w:spacing w:val="-3"/>
        </w:rPr>
        <w:t xml:space="preserve"> </w:t>
      </w:r>
      <w:r w:rsidR="00C20582" w:rsidRPr="004068F6">
        <w:rPr>
          <w:rFonts w:cs="Arial"/>
          <w:spacing w:val="-3"/>
        </w:rPr>
        <w:t>y</w:t>
      </w:r>
      <w:r w:rsidR="008D3851" w:rsidRPr="004068F6">
        <w:rPr>
          <w:rFonts w:cs="Arial"/>
          <w:spacing w:val="-3"/>
        </w:rPr>
        <w:t>;</w:t>
      </w:r>
      <w:r w:rsidR="006C4AB0" w:rsidRPr="004068F6">
        <w:rPr>
          <w:rFonts w:cs="Arial"/>
          <w:spacing w:val="-3"/>
        </w:rPr>
        <w:t xml:space="preserve"> relaciones causales entre actividades del proyecto e impactos, o entre impactos </w:t>
      </w:r>
      <w:r w:rsidR="00C53E01" w:rsidRPr="004068F6">
        <w:rPr>
          <w:rFonts w:cs="Arial"/>
          <w:spacing w:val="-3"/>
        </w:rPr>
        <w:t xml:space="preserve">y otros </w:t>
      </w:r>
      <w:r w:rsidR="006C4AB0" w:rsidRPr="004068F6">
        <w:rPr>
          <w:rFonts w:cs="Arial"/>
          <w:spacing w:val="-3"/>
        </w:rPr>
        <w:t>impactos</w:t>
      </w:r>
      <w:r w:rsidR="007B7358" w:rsidRPr="004068F6">
        <w:rPr>
          <w:rFonts w:cs="Arial"/>
          <w:spacing w:val="-3"/>
        </w:rPr>
        <w:t>.</w:t>
      </w:r>
    </w:p>
    <w:p w14:paraId="0D2C82FB" w14:textId="77777777" w:rsidR="007B7358" w:rsidRPr="004068F6" w:rsidRDefault="007B7358" w:rsidP="007B7358">
      <w:pPr>
        <w:numPr>
          <w:ilvl w:val="12"/>
          <w:numId w:val="0"/>
        </w:numPr>
        <w:tabs>
          <w:tab w:val="left" w:pos="-2268"/>
        </w:tabs>
        <w:suppressAutoHyphens/>
        <w:rPr>
          <w:rFonts w:cs="Arial"/>
          <w:spacing w:val="-3"/>
        </w:rPr>
      </w:pPr>
    </w:p>
    <w:p w14:paraId="29BC568C" w14:textId="132BD712" w:rsidR="002C55FE" w:rsidRPr="00127BD4" w:rsidRDefault="00B83E4C" w:rsidP="00645438">
      <w:pPr>
        <w:numPr>
          <w:ilvl w:val="12"/>
          <w:numId w:val="0"/>
        </w:numPr>
        <w:tabs>
          <w:tab w:val="left" w:pos="-2268"/>
        </w:tabs>
        <w:suppressAutoHyphens/>
        <w:rPr>
          <w:rFonts w:cs="Arial"/>
          <w:spacing w:val="-3"/>
        </w:rPr>
      </w:pPr>
      <w:r w:rsidRPr="00127BD4">
        <w:rPr>
          <w:rFonts w:cs="Arial"/>
          <w:spacing w:val="-3"/>
        </w:rPr>
        <w:t xml:space="preserve">Al emplear </w:t>
      </w:r>
      <w:r w:rsidR="001C7FAA" w:rsidRPr="004068F6">
        <w:rPr>
          <w:rFonts w:cs="Arial"/>
          <w:spacing w:val="-3"/>
        </w:rPr>
        <w:t xml:space="preserve">como criterio de valoración </w:t>
      </w:r>
      <w:r w:rsidR="008A5102" w:rsidRPr="00127BD4">
        <w:rPr>
          <w:rFonts w:cs="Arial"/>
          <w:spacing w:val="-3"/>
        </w:rPr>
        <w:t xml:space="preserve">las relaciones causales entre actividades e impactos </w:t>
      </w:r>
      <w:r w:rsidR="00645438" w:rsidRPr="00127BD4">
        <w:rPr>
          <w:rFonts w:cs="Arial"/>
          <w:spacing w:val="-3"/>
        </w:rPr>
        <w:t>y</w:t>
      </w:r>
      <w:r w:rsidR="00226766" w:rsidRPr="004068F6">
        <w:rPr>
          <w:rFonts w:cs="Arial"/>
          <w:spacing w:val="-3"/>
        </w:rPr>
        <w:t>,</w:t>
      </w:r>
      <w:r w:rsidR="00645438" w:rsidRPr="00127BD4">
        <w:rPr>
          <w:rFonts w:cs="Arial"/>
          <w:spacing w:val="-3"/>
        </w:rPr>
        <w:t xml:space="preserve"> entre impactos y otros impactos, es </w:t>
      </w:r>
      <w:r w:rsidR="00555C05" w:rsidRPr="00127BD4">
        <w:rPr>
          <w:rFonts w:cs="Arial"/>
          <w:spacing w:val="-3"/>
        </w:rPr>
        <w:t>importante retomar la información de l</w:t>
      </w:r>
      <w:r w:rsidR="00CB208A" w:rsidRPr="00127BD4">
        <w:rPr>
          <w:rFonts w:cs="Arial"/>
          <w:spacing w:val="-3"/>
        </w:rPr>
        <w:t xml:space="preserve">a caracterización de los </w:t>
      </w:r>
      <w:r w:rsidR="00E53E6C">
        <w:rPr>
          <w:rFonts w:cs="Arial"/>
          <w:spacing w:val="-3"/>
        </w:rPr>
        <w:t>s</w:t>
      </w:r>
      <w:r w:rsidR="00CB208A" w:rsidRPr="00127BD4">
        <w:rPr>
          <w:rFonts w:cs="Arial"/>
          <w:spacing w:val="-3"/>
        </w:rPr>
        <w:t xml:space="preserve">ervicios </w:t>
      </w:r>
      <w:r w:rsidR="00E53E6C">
        <w:rPr>
          <w:rFonts w:cs="Arial"/>
          <w:spacing w:val="-3"/>
        </w:rPr>
        <w:t>e</w:t>
      </w:r>
      <w:r w:rsidR="00CB208A" w:rsidRPr="00127BD4">
        <w:rPr>
          <w:rFonts w:cs="Arial"/>
          <w:spacing w:val="-3"/>
        </w:rPr>
        <w:t xml:space="preserve">cosistémicos </w:t>
      </w:r>
      <w:r w:rsidR="007B0059" w:rsidRPr="00127BD4">
        <w:rPr>
          <w:rFonts w:cs="Arial"/>
          <w:spacing w:val="-3"/>
        </w:rPr>
        <w:t xml:space="preserve">para </w:t>
      </w:r>
      <w:r w:rsidR="002420C1" w:rsidRPr="00127BD4">
        <w:rPr>
          <w:rFonts w:cs="Arial"/>
          <w:spacing w:val="-3"/>
        </w:rPr>
        <w:t xml:space="preserve">evidenciar más fácilmente </w:t>
      </w:r>
      <w:r w:rsidR="00495EAD" w:rsidRPr="00127BD4">
        <w:rPr>
          <w:rFonts w:cs="Arial"/>
          <w:spacing w:val="-3"/>
        </w:rPr>
        <w:t xml:space="preserve">dichas </w:t>
      </w:r>
      <w:r w:rsidR="002420C1" w:rsidRPr="00127BD4">
        <w:rPr>
          <w:rFonts w:cs="Arial"/>
          <w:spacing w:val="-3"/>
        </w:rPr>
        <w:t xml:space="preserve">relaciones causales </w:t>
      </w:r>
      <w:r w:rsidR="007C3D30" w:rsidRPr="00127BD4">
        <w:rPr>
          <w:rFonts w:cs="Arial"/>
          <w:spacing w:val="-3"/>
        </w:rPr>
        <w:t xml:space="preserve">y valorar </w:t>
      </w:r>
      <w:r w:rsidR="00E53E6C">
        <w:rPr>
          <w:rFonts w:cs="Arial"/>
          <w:spacing w:val="-3"/>
        </w:rPr>
        <w:t xml:space="preserve">de manera </w:t>
      </w:r>
      <w:r w:rsidR="00FF5B6F">
        <w:rPr>
          <w:rFonts w:cs="Arial"/>
          <w:spacing w:val="-3"/>
        </w:rPr>
        <w:t xml:space="preserve">más </w:t>
      </w:r>
      <w:r w:rsidR="00E53E6C">
        <w:rPr>
          <w:rFonts w:cs="Arial"/>
          <w:spacing w:val="-3"/>
        </w:rPr>
        <w:t xml:space="preserve">sencilla </w:t>
      </w:r>
      <w:r w:rsidR="00163430" w:rsidRPr="00127BD4">
        <w:rPr>
          <w:rFonts w:cs="Arial"/>
          <w:spacing w:val="-3"/>
        </w:rPr>
        <w:t>los impactos</w:t>
      </w:r>
      <w:r w:rsidR="00226766" w:rsidRPr="00127BD4">
        <w:rPr>
          <w:rFonts w:cs="Arial"/>
          <w:spacing w:val="-3"/>
        </w:rPr>
        <w:t>.</w:t>
      </w:r>
    </w:p>
    <w:p w14:paraId="6C7F27A5" w14:textId="77777777" w:rsidR="00956B12" w:rsidRPr="004068F6" w:rsidRDefault="00956B12" w:rsidP="007B7358">
      <w:pPr>
        <w:numPr>
          <w:ilvl w:val="12"/>
          <w:numId w:val="0"/>
        </w:numPr>
        <w:tabs>
          <w:tab w:val="left" w:pos="-2268"/>
        </w:tabs>
        <w:suppressAutoHyphens/>
        <w:rPr>
          <w:rFonts w:cs="Arial"/>
          <w:spacing w:val="-3"/>
        </w:rPr>
      </w:pPr>
    </w:p>
    <w:p w14:paraId="7313CFC1" w14:textId="13E68D4E" w:rsidR="00BC7B85" w:rsidRPr="004068F6" w:rsidRDefault="00C26FB6" w:rsidP="00BC7B85">
      <w:pPr>
        <w:numPr>
          <w:ilvl w:val="12"/>
          <w:numId w:val="0"/>
        </w:numPr>
        <w:tabs>
          <w:tab w:val="left" w:pos="-2268"/>
        </w:tabs>
        <w:suppressAutoHyphens/>
        <w:rPr>
          <w:rFonts w:cs="Arial"/>
          <w:spacing w:val="-3"/>
        </w:rPr>
      </w:pPr>
      <w:r w:rsidRPr="004068F6">
        <w:rPr>
          <w:rFonts w:cs="Arial"/>
          <w:spacing w:val="-3"/>
        </w:rPr>
        <w:t>Al aplicar los criterios mencionados previamente</w:t>
      </w:r>
      <w:r w:rsidR="00D95617" w:rsidRPr="004068F6">
        <w:rPr>
          <w:rFonts w:cs="Arial"/>
          <w:spacing w:val="-3"/>
        </w:rPr>
        <w:t>,</w:t>
      </w:r>
      <w:r w:rsidRPr="004068F6">
        <w:rPr>
          <w:rFonts w:cs="Arial"/>
          <w:spacing w:val="-3"/>
        </w:rPr>
        <w:t xml:space="preserve"> </w:t>
      </w:r>
      <w:r w:rsidR="00D95617" w:rsidRPr="004068F6">
        <w:rPr>
          <w:rFonts w:cs="Arial"/>
          <w:spacing w:val="-3"/>
        </w:rPr>
        <w:t xml:space="preserve">u </w:t>
      </w:r>
      <w:r w:rsidRPr="004068F6">
        <w:rPr>
          <w:rFonts w:cs="Arial"/>
          <w:spacing w:val="-3"/>
        </w:rPr>
        <w:t>otros que se consideren pertinentes</w:t>
      </w:r>
      <w:r w:rsidR="002B355A" w:rsidRPr="004068F6">
        <w:rPr>
          <w:rFonts w:cs="Arial"/>
          <w:spacing w:val="-3"/>
        </w:rPr>
        <w:t xml:space="preserve">, </w:t>
      </w:r>
      <w:r w:rsidR="00D95617" w:rsidRPr="004068F6">
        <w:rPr>
          <w:rFonts w:cs="Arial"/>
          <w:spacing w:val="-3"/>
        </w:rPr>
        <w:t xml:space="preserve">es </w:t>
      </w:r>
      <w:r w:rsidR="00B70C36" w:rsidRPr="004068F6">
        <w:rPr>
          <w:rFonts w:cs="Arial"/>
          <w:spacing w:val="-3"/>
        </w:rPr>
        <w:t>necesario</w:t>
      </w:r>
      <w:r w:rsidR="00D95617" w:rsidRPr="004068F6">
        <w:rPr>
          <w:rFonts w:cs="Arial"/>
          <w:spacing w:val="-3"/>
        </w:rPr>
        <w:t xml:space="preserve"> </w:t>
      </w:r>
      <w:r w:rsidR="00FD3902" w:rsidRPr="004068F6">
        <w:rPr>
          <w:rFonts w:cs="Arial"/>
          <w:spacing w:val="-3"/>
        </w:rPr>
        <w:t>evaluar</w:t>
      </w:r>
      <w:r w:rsidR="002B355A" w:rsidRPr="004068F6">
        <w:rPr>
          <w:rFonts w:cs="Arial"/>
          <w:spacing w:val="-3"/>
        </w:rPr>
        <w:t xml:space="preserve"> cómo se manifiesta </w:t>
      </w:r>
      <w:r w:rsidR="00D95617" w:rsidRPr="004068F6">
        <w:rPr>
          <w:rFonts w:cs="Arial"/>
          <w:spacing w:val="-3"/>
        </w:rPr>
        <w:t xml:space="preserve">cada impacto </w:t>
      </w:r>
      <w:r w:rsidR="002B355A" w:rsidRPr="004068F6">
        <w:rPr>
          <w:rFonts w:cs="Arial"/>
          <w:spacing w:val="-3"/>
        </w:rPr>
        <w:t>en el tiempo y en el espacio</w:t>
      </w:r>
      <w:r w:rsidR="00E14741" w:rsidRPr="004068F6">
        <w:rPr>
          <w:rFonts w:cs="Arial"/>
          <w:spacing w:val="-3"/>
        </w:rPr>
        <w:t>,</w:t>
      </w:r>
      <w:r w:rsidR="002B355A" w:rsidRPr="004068F6">
        <w:rPr>
          <w:rFonts w:cs="Arial"/>
          <w:spacing w:val="-3"/>
        </w:rPr>
        <w:t xml:space="preserve"> con el fin </w:t>
      </w:r>
      <w:r w:rsidR="00D95617" w:rsidRPr="004068F6">
        <w:rPr>
          <w:rFonts w:cs="Arial"/>
          <w:spacing w:val="-3"/>
        </w:rPr>
        <w:t xml:space="preserve">de </w:t>
      </w:r>
      <w:r w:rsidR="00E14741" w:rsidRPr="004068F6">
        <w:rPr>
          <w:rFonts w:cs="Arial"/>
          <w:spacing w:val="-3"/>
        </w:rPr>
        <w:t xml:space="preserve">que la </w:t>
      </w:r>
      <w:r w:rsidR="00B70C36" w:rsidRPr="004068F6">
        <w:rPr>
          <w:rFonts w:cs="Arial"/>
          <w:spacing w:val="-3"/>
        </w:rPr>
        <w:t>valora</w:t>
      </w:r>
      <w:r w:rsidR="00E14741" w:rsidRPr="004068F6">
        <w:rPr>
          <w:rFonts w:cs="Arial"/>
          <w:spacing w:val="-3"/>
        </w:rPr>
        <w:t>ción se refiera a</w:t>
      </w:r>
      <w:r w:rsidR="00FD3902" w:rsidRPr="004068F6">
        <w:rPr>
          <w:rFonts w:cs="Arial"/>
          <w:spacing w:val="-3"/>
        </w:rPr>
        <w:t xml:space="preserve">l </w:t>
      </w:r>
      <w:r w:rsidR="00D95617" w:rsidRPr="004068F6">
        <w:rPr>
          <w:rFonts w:cs="Arial"/>
          <w:spacing w:val="-3"/>
        </w:rPr>
        <w:t xml:space="preserve">momento y </w:t>
      </w:r>
      <w:r w:rsidR="00E14741" w:rsidRPr="004068F6">
        <w:rPr>
          <w:rFonts w:cs="Arial"/>
          <w:spacing w:val="-3"/>
        </w:rPr>
        <w:t>a</w:t>
      </w:r>
      <w:r w:rsidR="00072AD5" w:rsidRPr="004068F6">
        <w:rPr>
          <w:rFonts w:cs="Arial"/>
          <w:spacing w:val="-3"/>
        </w:rPr>
        <w:t xml:space="preserve">l </w:t>
      </w:r>
      <w:r w:rsidR="00D95617" w:rsidRPr="004068F6">
        <w:rPr>
          <w:rFonts w:cs="Arial"/>
          <w:spacing w:val="-3"/>
        </w:rPr>
        <w:t xml:space="preserve">lugar en </w:t>
      </w:r>
      <w:r w:rsidR="00E14741" w:rsidRPr="004068F6">
        <w:rPr>
          <w:rFonts w:cs="Arial"/>
          <w:spacing w:val="-3"/>
        </w:rPr>
        <w:t xml:space="preserve">el </w:t>
      </w:r>
      <w:r w:rsidR="00D95617" w:rsidRPr="004068F6">
        <w:rPr>
          <w:rFonts w:cs="Arial"/>
          <w:spacing w:val="-3"/>
        </w:rPr>
        <w:t>que alcanzaría su máxima capacidad de generar cambios</w:t>
      </w:r>
      <w:r w:rsidR="00B70C36" w:rsidRPr="004068F6">
        <w:rPr>
          <w:rFonts w:cs="Arial"/>
          <w:spacing w:val="-3"/>
        </w:rPr>
        <w:t xml:space="preserve">, así como </w:t>
      </w:r>
      <w:r w:rsidR="00D95617" w:rsidRPr="004068F6">
        <w:rPr>
          <w:rFonts w:cs="Arial"/>
          <w:spacing w:val="-3"/>
        </w:rPr>
        <w:t>de plantear</w:t>
      </w:r>
      <w:r w:rsidR="00A40C9C" w:rsidRPr="004068F6">
        <w:rPr>
          <w:rFonts w:cs="Arial"/>
          <w:spacing w:val="-3"/>
        </w:rPr>
        <w:t xml:space="preserve">, en el plan de manejo ambiental, </w:t>
      </w:r>
      <w:r w:rsidR="00D95617" w:rsidRPr="004068F6">
        <w:rPr>
          <w:rFonts w:cs="Arial"/>
          <w:spacing w:val="-3"/>
        </w:rPr>
        <w:t xml:space="preserve">medidas efectivas </w:t>
      </w:r>
      <w:r w:rsidR="00B70C36" w:rsidRPr="004068F6">
        <w:rPr>
          <w:rFonts w:cs="Arial"/>
          <w:spacing w:val="-3"/>
        </w:rPr>
        <w:t>para tal situación</w:t>
      </w:r>
      <w:r w:rsidR="00D95617" w:rsidRPr="004068F6">
        <w:rPr>
          <w:rFonts w:cs="Arial"/>
          <w:spacing w:val="-3"/>
        </w:rPr>
        <w:t>.</w:t>
      </w:r>
      <w:r w:rsidR="00B70C36" w:rsidRPr="004068F6">
        <w:rPr>
          <w:rFonts w:cs="Arial"/>
          <w:spacing w:val="-3"/>
        </w:rPr>
        <w:t xml:space="preserve"> </w:t>
      </w:r>
      <w:r w:rsidR="004C1CDB" w:rsidRPr="004068F6">
        <w:rPr>
          <w:rFonts w:cs="Arial"/>
          <w:spacing w:val="-3"/>
        </w:rPr>
        <w:t>Con este propósito e</w:t>
      </w:r>
      <w:r w:rsidR="00B70C36" w:rsidRPr="004068F6">
        <w:rPr>
          <w:rFonts w:cs="Arial"/>
          <w:spacing w:val="-3"/>
        </w:rPr>
        <w:t>s útil desarrollar análisis espaciales</w:t>
      </w:r>
      <w:r w:rsidR="002B3A4D" w:rsidRPr="004068F6">
        <w:rPr>
          <w:rFonts w:cs="Arial"/>
          <w:spacing w:val="-3"/>
        </w:rPr>
        <w:t>,</w:t>
      </w:r>
      <w:r w:rsidR="00B70C36" w:rsidRPr="004068F6">
        <w:rPr>
          <w:rFonts w:cs="Arial"/>
          <w:spacing w:val="-3"/>
        </w:rPr>
        <w:t xml:space="preserve"> gráficas </w:t>
      </w:r>
      <w:r w:rsidR="002B3A4D" w:rsidRPr="004068F6">
        <w:rPr>
          <w:rFonts w:cs="Arial"/>
          <w:spacing w:val="-3"/>
        </w:rPr>
        <w:t>u otros procedimiento</w:t>
      </w:r>
      <w:r w:rsidR="00A92928" w:rsidRPr="004068F6">
        <w:rPr>
          <w:rFonts w:cs="Arial"/>
          <w:spacing w:val="-3"/>
        </w:rPr>
        <w:t>s</w:t>
      </w:r>
      <w:r w:rsidR="002B3A4D" w:rsidRPr="004068F6">
        <w:rPr>
          <w:rFonts w:cs="Arial"/>
          <w:spacing w:val="-3"/>
        </w:rPr>
        <w:t xml:space="preserve"> </w:t>
      </w:r>
      <w:r w:rsidR="00B70C36" w:rsidRPr="004068F6">
        <w:rPr>
          <w:rFonts w:cs="Arial"/>
          <w:spacing w:val="-3"/>
        </w:rPr>
        <w:t xml:space="preserve">que </w:t>
      </w:r>
      <w:r w:rsidR="004C1CDB" w:rsidRPr="004068F6">
        <w:rPr>
          <w:rFonts w:cs="Arial"/>
          <w:spacing w:val="-3"/>
        </w:rPr>
        <w:t>estimen de forma cuantitativa, de ser posible, el comportamiento del impacto en el tiempo</w:t>
      </w:r>
      <w:r w:rsidR="008E6D34" w:rsidRPr="004068F6">
        <w:rPr>
          <w:rFonts w:cs="Arial"/>
          <w:spacing w:val="-3"/>
        </w:rPr>
        <w:t xml:space="preserve"> y el espacio</w:t>
      </w:r>
      <w:r w:rsidR="004C1CDB" w:rsidRPr="004068F6">
        <w:rPr>
          <w:rFonts w:cs="Arial"/>
          <w:spacing w:val="-3"/>
        </w:rPr>
        <w:t>.</w:t>
      </w:r>
    </w:p>
    <w:p w14:paraId="6D180BDA" w14:textId="77777777" w:rsidR="00410844" w:rsidRPr="004068F6" w:rsidRDefault="00410844" w:rsidP="00BC7B85">
      <w:pPr>
        <w:numPr>
          <w:ilvl w:val="12"/>
          <w:numId w:val="0"/>
        </w:numPr>
        <w:tabs>
          <w:tab w:val="left" w:pos="-2268"/>
        </w:tabs>
        <w:suppressAutoHyphens/>
        <w:rPr>
          <w:rFonts w:cs="Arial"/>
          <w:spacing w:val="-3"/>
        </w:rPr>
      </w:pPr>
    </w:p>
    <w:p w14:paraId="68AFFB58" w14:textId="749DD30D" w:rsidR="003A6F7B" w:rsidRPr="004068F6" w:rsidRDefault="00D42D64" w:rsidP="00FA5C03">
      <w:pPr>
        <w:numPr>
          <w:ilvl w:val="12"/>
          <w:numId w:val="0"/>
        </w:numPr>
        <w:tabs>
          <w:tab w:val="left" w:pos="-2268"/>
        </w:tabs>
        <w:suppressAutoHyphens/>
        <w:rPr>
          <w:rFonts w:cs="Arial"/>
          <w:spacing w:val="-3"/>
        </w:rPr>
      </w:pPr>
      <w:r w:rsidRPr="004068F6">
        <w:rPr>
          <w:rFonts w:cs="Arial"/>
          <w:spacing w:val="-3"/>
        </w:rPr>
        <w:t>La valoración de</w:t>
      </w:r>
      <w:r w:rsidR="004F755C" w:rsidRPr="004068F6">
        <w:rPr>
          <w:rFonts w:cs="Arial"/>
          <w:spacing w:val="-3"/>
        </w:rPr>
        <w:t xml:space="preserve"> los impactos </w:t>
      </w:r>
      <w:r w:rsidR="003A6F7B" w:rsidRPr="004068F6">
        <w:rPr>
          <w:rFonts w:cs="Arial"/>
          <w:spacing w:val="-3"/>
        </w:rPr>
        <w:t xml:space="preserve">en el ámbito espacial </w:t>
      </w:r>
      <w:r w:rsidR="00FA5C03" w:rsidRPr="004068F6">
        <w:rPr>
          <w:rFonts w:cs="Arial"/>
          <w:spacing w:val="-3"/>
        </w:rPr>
        <w:t xml:space="preserve">puede </w:t>
      </w:r>
      <w:r w:rsidR="00FC5EB5" w:rsidRPr="004068F6">
        <w:rPr>
          <w:rFonts w:cs="Arial"/>
          <w:spacing w:val="-3"/>
        </w:rPr>
        <w:t xml:space="preserve">desarrollarse </w:t>
      </w:r>
      <w:r w:rsidR="00FA5C03" w:rsidRPr="004068F6">
        <w:rPr>
          <w:rFonts w:cs="Arial"/>
          <w:spacing w:val="-3"/>
        </w:rPr>
        <w:t xml:space="preserve">detalladamente </w:t>
      </w:r>
      <w:r w:rsidR="00F52FE7" w:rsidRPr="004068F6">
        <w:rPr>
          <w:rFonts w:cs="Arial"/>
          <w:spacing w:val="-3"/>
        </w:rPr>
        <w:t xml:space="preserve">empleando </w:t>
      </w:r>
      <w:r w:rsidR="003A6F7B" w:rsidRPr="004068F6">
        <w:rPr>
          <w:rFonts w:cs="Arial"/>
          <w:spacing w:val="-3"/>
        </w:rPr>
        <w:t>las unidades de análisis de los factores o componentes ambientales</w:t>
      </w:r>
      <w:r w:rsidR="00FA5C03" w:rsidRPr="004068F6">
        <w:rPr>
          <w:rFonts w:cs="Arial"/>
          <w:spacing w:val="-3"/>
        </w:rPr>
        <w:t xml:space="preserve">, o bien, de forma más </w:t>
      </w:r>
      <w:r w:rsidR="003A6F7B" w:rsidRPr="004068F6">
        <w:rPr>
          <w:rFonts w:cs="Arial"/>
          <w:spacing w:val="-3"/>
        </w:rPr>
        <w:t>simplifica</w:t>
      </w:r>
      <w:r w:rsidR="00FA5C03" w:rsidRPr="004068F6">
        <w:rPr>
          <w:rFonts w:cs="Arial"/>
          <w:spacing w:val="-3"/>
        </w:rPr>
        <w:t>da</w:t>
      </w:r>
      <w:r w:rsidR="003A6F7B" w:rsidRPr="004068F6">
        <w:rPr>
          <w:rFonts w:cs="Arial"/>
          <w:spacing w:val="-3"/>
        </w:rPr>
        <w:t xml:space="preserve"> </w:t>
      </w:r>
      <w:r w:rsidR="00F52FE7" w:rsidRPr="004068F6">
        <w:rPr>
          <w:rFonts w:cs="Arial"/>
          <w:spacing w:val="-3"/>
        </w:rPr>
        <w:t xml:space="preserve">utilizando </w:t>
      </w:r>
      <w:r w:rsidR="00E93299" w:rsidRPr="004068F6">
        <w:rPr>
          <w:rFonts w:cs="Arial"/>
          <w:spacing w:val="-3"/>
        </w:rPr>
        <w:t>e</w:t>
      </w:r>
      <w:r w:rsidR="003A6F7B" w:rsidRPr="004068F6">
        <w:rPr>
          <w:rFonts w:cs="Arial"/>
          <w:spacing w:val="-3"/>
        </w:rPr>
        <w:t xml:space="preserve">l factor o </w:t>
      </w:r>
      <w:r w:rsidR="00E93299" w:rsidRPr="004068F6">
        <w:rPr>
          <w:rFonts w:cs="Arial"/>
          <w:spacing w:val="-3"/>
        </w:rPr>
        <w:t>e</w:t>
      </w:r>
      <w:r w:rsidR="003A6F7B" w:rsidRPr="004068F6">
        <w:rPr>
          <w:rFonts w:cs="Arial"/>
          <w:spacing w:val="-3"/>
        </w:rPr>
        <w:t>l componente en su totalidad</w:t>
      </w:r>
      <w:r w:rsidR="00E93299" w:rsidRPr="004068F6">
        <w:rPr>
          <w:rFonts w:cs="Arial"/>
          <w:spacing w:val="-3"/>
        </w:rPr>
        <w:t xml:space="preserve"> como unidad mínima</w:t>
      </w:r>
      <w:r w:rsidR="00AC6808" w:rsidRPr="004068F6">
        <w:rPr>
          <w:rFonts w:cs="Arial"/>
          <w:spacing w:val="-3"/>
        </w:rPr>
        <w:t xml:space="preserve">; en este último caso, </w:t>
      </w:r>
      <w:r w:rsidR="00EF6018" w:rsidRPr="004068F6">
        <w:rPr>
          <w:rFonts w:cs="Arial"/>
          <w:spacing w:val="-3"/>
        </w:rPr>
        <w:t xml:space="preserve">se debe </w:t>
      </w:r>
      <w:r w:rsidR="00380038" w:rsidRPr="004068F6">
        <w:rPr>
          <w:rFonts w:cs="Arial"/>
          <w:spacing w:val="-3"/>
        </w:rPr>
        <w:t xml:space="preserve">adjudicar </w:t>
      </w:r>
      <w:r w:rsidR="00EF6018" w:rsidRPr="004068F6">
        <w:rPr>
          <w:rFonts w:cs="Arial"/>
          <w:spacing w:val="-3"/>
        </w:rPr>
        <w:t xml:space="preserve">la valoración más crítica </w:t>
      </w:r>
      <w:r w:rsidR="001C116A" w:rsidRPr="004068F6">
        <w:rPr>
          <w:rFonts w:cs="Arial"/>
          <w:spacing w:val="-3"/>
        </w:rPr>
        <w:t xml:space="preserve">del impacto </w:t>
      </w:r>
      <w:r w:rsidR="00EF6018" w:rsidRPr="004068F6">
        <w:rPr>
          <w:rFonts w:cs="Arial"/>
          <w:spacing w:val="-3"/>
        </w:rPr>
        <w:t>que pueda ocurrir en</w:t>
      </w:r>
      <w:r w:rsidR="00A72A78" w:rsidRPr="004068F6">
        <w:rPr>
          <w:rFonts w:cs="Arial"/>
          <w:spacing w:val="-3"/>
        </w:rPr>
        <w:t xml:space="preserve"> toda </w:t>
      </w:r>
      <w:r w:rsidR="00AC6808" w:rsidRPr="004068F6">
        <w:rPr>
          <w:rFonts w:cs="Arial"/>
          <w:spacing w:val="-3"/>
        </w:rPr>
        <w:t xml:space="preserve">la </w:t>
      </w:r>
      <w:r w:rsidR="00A72A78" w:rsidRPr="004068F6">
        <w:rPr>
          <w:rFonts w:cs="Arial"/>
          <w:spacing w:val="-3"/>
        </w:rPr>
        <w:t>superficie</w:t>
      </w:r>
      <w:r w:rsidR="00AC6808" w:rsidRPr="004068F6">
        <w:rPr>
          <w:rFonts w:cs="Arial"/>
          <w:spacing w:val="-3"/>
        </w:rPr>
        <w:t xml:space="preserve"> del factor o el componente</w:t>
      </w:r>
      <w:r w:rsidR="00A72A78" w:rsidRPr="004068F6">
        <w:rPr>
          <w:rFonts w:cs="Arial"/>
          <w:spacing w:val="-3"/>
        </w:rPr>
        <w:t>.</w:t>
      </w:r>
      <w:r w:rsidR="00140B0D" w:rsidRPr="004068F6">
        <w:rPr>
          <w:rFonts w:cs="Arial"/>
          <w:spacing w:val="-3"/>
        </w:rPr>
        <w:t xml:space="preserve"> Se deben describir las consideraciones empleadas para establecer la ubicación espacial de cada uno de los impactos ambientales negativos</w:t>
      </w:r>
      <w:r w:rsidR="006632DA" w:rsidRPr="004068F6">
        <w:rPr>
          <w:rFonts w:cs="Arial"/>
          <w:spacing w:val="-3"/>
        </w:rPr>
        <w:t xml:space="preserve"> valorados</w:t>
      </w:r>
      <w:r w:rsidR="00140B0D" w:rsidRPr="004068F6">
        <w:rPr>
          <w:rFonts w:cs="Arial"/>
          <w:spacing w:val="-3"/>
        </w:rPr>
        <w:t>.</w:t>
      </w:r>
    </w:p>
    <w:p w14:paraId="454E6638" w14:textId="77777777" w:rsidR="004758B0" w:rsidRPr="004068F6" w:rsidRDefault="004758B0" w:rsidP="007B7358">
      <w:pPr>
        <w:numPr>
          <w:ilvl w:val="12"/>
          <w:numId w:val="0"/>
        </w:numPr>
        <w:tabs>
          <w:tab w:val="left" w:pos="-2268"/>
        </w:tabs>
        <w:suppressAutoHyphens/>
        <w:rPr>
          <w:rFonts w:cs="Arial"/>
          <w:spacing w:val="-3"/>
        </w:rPr>
      </w:pPr>
    </w:p>
    <w:p w14:paraId="5A788FEB" w14:textId="1CB30E54" w:rsidR="007B7358" w:rsidRPr="004068F6" w:rsidRDefault="007B7358" w:rsidP="007B7358">
      <w:pPr>
        <w:numPr>
          <w:ilvl w:val="12"/>
          <w:numId w:val="0"/>
        </w:numPr>
        <w:tabs>
          <w:tab w:val="left" w:pos="-2268"/>
        </w:tabs>
        <w:suppressAutoHyphens/>
        <w:rPr>
          <w:rFonts w:cs="Arial"/>
          <w:spacing w:val="-3"/>
        </w:rPr>
      </w:pPr>
      <w:r w:rsidRPr="004068F6">
        <w:rPr>
          <w:rFonts w:cs="Arial"/>
          <w:spacing w:val="-3"/>
        </w:rPr>
        <w:t xml:space="preserve">En razón a que los impactos tienen diferentes propiedades que los caracterizan </w:t>
      </w:r>
      <w:r w:rsidR="000B706B" w:rsidRPr="004068F6">
        <w:rPr>
          <w:rFonts w:cs="Arial"/>
          <w:spacing w:val="-3"/>
        </w:rPr>
        <w:t xml:space="preserve">y </w:t>
      </w:r>
      <w:r w:rsidR="00921041" w:rsidRPr="004068F6">
        <w:rPr>
          <w:rFonts w:cs="Arial"/>
          <w:spacing w:val="-3"/>
        </w:rPr>
        <w:t xml:space="preserve">a </w:t>
      </w:r>
      <w:r w:rsidRPr="004068F6">
        <w:rPr>
          <w:rFonts w:cs="Arial"/>
          <w:spacing w:val="-3"/>
        </w:rPr>
        <w:t xml:space="preserve">que varían </w:t>
      </w:r>
      <w:r w:rsidR="00467CE5" w:rsidRPr="004068F6">
        <w:rPr>
          <w:rFonts w:cs="Arial"/>
          <w:spacing w:val="-3"/>
        </w:rPr>
        <w:t>de acuerdo con</w:t>
      </w:r>
      <w:r w:rsidRPr="004068F6">
        <w:rPr>
          <w:rFonts w:cs="Arial"/>
          <w:spacing w:val="-3"/>
        </w:rPr>
        <w:t xml:space="preserve"> la gran multiplicidad de condiciones ambientales que ocurren en el país, es posible hacer uso de cualquier método de valoración de impactos, sea </w:t>
      </w:r>
      <w:r w:rsidR="003D2F41" w:rsidRPr="004068F6">
        <w:rPr>
          <w:rFonts w:cs="Arial"/>
          <w:spacing w:val="-3"/>
        </w:rPr>
        <w:t>este</w:t>
      </w:r>
      <w:r w:rsidRPr="004068F6">
        <w:rPr>
          <w:rFonts w:cs="Arial"/>
          <w:spacing w:val="-3"/>
        </w:rPr>
        <w:t xml:space="preserve"> uno </w:t>
      </w:r>
      <w:r w:rsidRPr="004068F6">
        <w:rPr>
          <w:rFonts w:cs="Arial"/>
          <w:spacing w:val="-3"/>
        </w:rPr>
        <w:lastRenderedPageBreak/>
        <w:t>definido en el ámbito académico, de investigación o de ejecución de proyectos sectoriales, o bien, uno desarrollado por el formulador del estudio ambiental.</w:t>
      </w:r>
    </w:p>
    <w:p w14:paraId="5E360E06" w14:textId="77777777" w:rsidR="007B7358" w:rsidRPr="004068F6" w:rsidRDefault="007B7358" w:rsidP="007B7358">
      <w:pPr>
        <w:numPr>
          <w:ilvl w:val="12"/>
          <w:numId w:val="0"/>
        </w:numPr>
        <w:tabs>
          <w:tab w:val="left" w:pos="-2268"/>
        </w:tabs>
        <w:suppressAutoHyphens/>
        <w:rPr>
          <w:rFonts w:cs="Arial"/>
          <w:spacing w:val="-3"/>
        </w:rPr>
      </w:pPr>
    </w:p>
    <w:p w14:paraId="5AC4EC59" w14:textId="0EC7B2EB" w:rsidR="007B7358" w:rsidRPr="004068F6" w:rsidRDefault="007B7358" w:rsidP="007B7358">
      <w:pPr>
        <w:numPr>
          <w:ilvl w:val="12"/>
          <w:numId w:val="0"/>
        </w:numPr>
        <w:tabs>
          <w:tab w:val="left" w:pos="-2268"/>
        </w:tabs>
        <w:suppressAutoHyphens/>
        <w:rPr>
          <w:rFonts w:cs="Arial"/>
          <w:spacing w:val="-3"/>
        </w:rPr>
      </w:pPr>
      <w:r w:rsidRPr="004068F6">
        <w:rPr>
          <w:rFonts w:cs="Arial"/>
          <w:spacing w:val="-3"/>
        </w:rPr>
        <w:t>Si se opta por el uso de un método ya establecido y documentado (</w:t>
      </w:r>
      <w:r w:rsidR="00041844" w:rsidRPr="004068F6">
        <w:rPr>
          <w:rFonts w:cs="Arial"/>
          <w:spacing w:val="-3"/>
        </w:rPr>
        <w:t>p. ej.</w:t>
      </w:r>
      <w:r w:rsidRPr="004068F6">
        <w:rPr>
          <w:rFonts w:cs="Arial"/>
          <w:spacing w:val="-3"/>
        </w:rPr>
        <w:t xml:space="preserve"> Battelle-Columbus, cualitativ</w:t>
      </w:r>
      <w:r w:rsidR="00C50661" w:rsidRPr="004068F6">
        <w:rPr>
          <w:rFonts w:cs="Arial"/>
          <w:spacing w:val="-3"/>
        </w:rPr>
        <w:t>o</w:t>
      </w:r>
      <w:r w:rsidRPr="004068F6">
        <w:rPr>
          <w:rFonts w:cs="Arial"/>
          <w:spacing w:val="-3"/>
        </w:rPr>
        <w:t xml:space="preserve"> de Conesa, </w:t>
      </w:r>
      <w:r w:rsidR="0014610E">
        <w:rPr>
          <w:rFonts w:cs="Arial"/>
          <w:spacing w:val="-3"/>
        </w:rPr>
        <w:t>Arboleda</w:t>
      </w:r>
      <w:r w:rsidRPr="004068F6">
        <w:rPr>
          <w:rFonts w:cs="Arial"/>
          <w:spacing w:val="-3"/>
        </w:rPr>
        <w:t xml:space="preserve">, Ecopetrol), su aplicación debe </w:t>
      </w:r>
      <w:r w:rsidR="0016339C" w:rsidRPr="004068F6">
        <w:rPr>
          <w:rFonts w:cs="Arial"/>
          <w:spacing w:val="-3"/>
        </w:rPr>
        <w:t xml:space="preserve">seguir </w:t>
      </w:r>
      <w:r w:rsidRPr="004068F6">
        <w:rPr>
          <w:rFonts w:cs="Arial"/>
          <w:spacing w:val="-3"/>
        </w:rPr>
        <w:t xml:space="preserve">las definiciones, conceptos y procedimientos propios de dicho método. Si se emplea un método resultado de la modificación de una </w:t>
      </w:r>
      <w:r w:rsidR="0016339C" w:rsidRPr="004068F6">
        <w:rPr>
          <w:rFonts w:cs="Arial"/>
          <w:spacing w:val="-3"/>
        </w:rPr>
        <w:t>metodología ya instaurada</w:t>
      </w:r>
      <w:r w:rsidRPr="004068F6">
        <w:rPr>
          <w:rFonts w:cs="Arial"/>
          <w:spacing w:val="-3"/>
        </w:rPr>
        <w:t>, se deben utilizar en la medida de lo posible, los mismos conceptos y definiciones del método en el que se basa, sin in</w:t>
      </w:r>
      <w:r w:rsidR="00791FD5" w:rsidRPr="004068F6">
        <w:rPr>
          <w:rFonts w:cs="Arial"/>
          <w:spacing w:val="-3"/>
        </w:rPr>
        <w:t>t</w:t>
      </w:r>
      <w:r w:rsidRPr="004068F6">
        <w:rPr>
          <w:rFonts w:cs="Arial"/>
          <w:spacing w:val="-3"/>
        </w:rPr>
        <w:t xml:space="preserve">roducir cambios a los nombres y </w:t>
      </w:r>
      <w:r w:rsidR="00A27AAA" w:rsidRPr="004068F6">
        <w:rPr>
          <w:rFonts w:cs="Arial"/>
          <w:spacing w:val="-3"/>
        </w:rPr>
        <w:t xml:space="preserve">a los </w:t>
      </w:r>
      <w:r w:rsidRPr="004068F6">
        <w:rPr>
          <w:rFonts w:cs="Arial"/>
          <w:spacing w:val="-3"/>
        </w:rPr>
        <w:t>significados de los atributos de valoración.</w:t>
      </w:r>
    </w:p>
    <w:p w14:paraId="4FABE8F3" w14:textId="77777777" w:rsidR="007B7358" w:rsidRPr="004068F6" w:rsidRDefault="007B7358" w:rsidP="007B7358">
      <w:pPr>
        <w:numPr>
          <w:ilvl w:val="12"/>
          <w:numId w:val="0"/>
        </w:numPr>
        <w:tabs>
          <w:tab w:val="left" w:pos="-2268"/>
        </w:tabs>
        <w:suppressAutoHyphens/>
        <w:rPr>
          <w:rFonts w:cs="Arial"/>
          <w:spacing w:val="-3"/>
        </w:rPr>
      </w:pPr>
    </w:p>
    <w:p w14:paraId="4715BA02" w14:textId="186633DE" w:rsidR="00B70583" w:rsidRDefault="004521FC" w:rsidP="00B70583">
      <w:pPr>
        <w:numPr>
          <w:ilvl w:val="12"/>
          <w:numId w:val="0"/>
        </w:numPr>
        <w:tabs>
          <w:tab w:val="left" w:pos="-2268"/>
        </w:tabs>
        <w:suppressAutoHyphens/>
        <w:rPr>
          <w:rFonts w:cs="Arial"/>
          <w:spacing w:val="-3"/>
        </w:rPr>
      </w:pPr>
      <w:r w:rsidRPr="00E64F04">
        <w:rPr>
          <w:rFonts w:cs="Arial"/>
          <w:spacing w:val="-3"/>
        </w:rPr>
        <w:t xml:space="preserve">En caso de optar por una valoración de impactos </w:t>
      </w:r>
      <w:r w:rsidR="0093521B">
        <w:rPr>
          <w:rFonts w:cs="Arial"/>
          <w:spacing w:val="-3"/>
        </w:rPr>
        <w:t>desarrollando</w:t>
      </w:r>
      <w:r w:rsidRPr="00E64F04">
        <w:rPr>
          <w:rFonts w:cs="Arial"/>
          <w:spacing w:val="-3"/>
        </w:rPr>
        <w:t xml:space="preserve"> la m</w:t>
      </w:r>
      <w:r w:rsidR="00B70583" w:rsidRPr="00E64F04">
        <w:rPr>
          <w:rFonts w:cs="Arial"/>
          <w:spacing w:val="-3"/>
        </w:rPr>
        <w:t>odalidad</w:t>
      </w:r>
      <w:r w:rsidRPr="00E64F04">
        <w:rPr>
          <w:rFonts w:cs="Arial"/>
          <w:spacing w:val="-3"/>
        </w:rPr>
        <w:t xml:space="preserve"> </w:t>
      </w:r>
      <w:r w:rsidR="00B70583" w:rsidRPr="00E64F04">
        <w:rPr>
          <w:rFonts w:cs="Arial"/>
          <w:spacing w:val="-3"/>
        </w:rPr>
        <w:t>alternativa</w:t>
      </w:r>
      <w:r w:rsidRPr="00D46C79">
        <w:rPr>
          <w:rFonts w:cs="Arial"/>
          <w:spacing w:val="-3"/>
        </w:rPr>
        <w:t xml:space="preserve"> 2 (</w:t>
      </w:r>
      <w:r w:rsidR="005D39E8">
        <w:rPr>
          <w:rFonts w:cs="Arial"/>
          <w:spacing w:val="-3"/>
        </w:rPr>
        <w:t>descrita</w:t>
      </w:r>
      <w:r w:rsidRPr="00D46C79">
        <w:rPr>
          <w:rFonts w:cs="Arial"/>
          <w:spacing w:val="-3"/>
        </w:rPr>
        <w:t xml:space="preserve"> en el numeral </w:t>
      </w:r>
      <w:r w:rsidR="00DE2AAB" w:rsidRPr="00D46C79">
        <w:rPr>
          <w:rFonts w:cs="Arial"/>
          <w:spacing w:val="-3"/>
        </w:rPr>
        <w:fldChar w:fldCharType="begin"/>
      </w:r>
      <w:r w:rsidR="00DE2AAB" w:rsidRPr="00D46C79">
        <w:rPr>
          <w:rFonts w:cs="Arial"/>
          <w:spacing w:val="-3"/>
        </w:rPr>
        <w:instrText xml:space="preserve"> REF _Ref230700038 \r \h </w:instrText>
      </w:r>
      <w:r w:rsidR="00DE2AAB">
        <w:rPr>
          <w:rFonts w:cs="Arial"/>
          <w:spacing w:val="-3"/>
        </w:rPr>
        <w:instrText xml:space="preserve"> \* MERGEFORMAT </w:instrText>
      </w:r>
      <w:r w:rsidR="00DE2AAB" w:rsidRPr="00D46C79">
        <w:rPr>
          <w:rFonts w:cs="Arial"/>
          <w:spacing w:val="-3"/>
        </w:rPr>
      </w:r>
      <w:r w:rsidR="00DE2AAB" w:rsidRPr="00D46C79">
        <w:rPr>
          <w:rFonts w:cs="Arial"/>
          <w:spacing w:val="-3"/>
        </w:rPr>
        <w:fldChar w:fldCharType="separate"/>
      </w:r>
      <w:r w:rsidR="009C4A81">
        <w:rPr>
          <w:rFonts w:cs="Arial"/>
          <w:spacing w:val="-3"/>
        </w:rPr>
        <w:t>7.1.2.2</w:t>
      </w:r>
      <w:r w:rsidR="00DE2AAB" w:rsidRPr="00D46C79">
        <w:rPr>
          <w:rFonts w:cs="Arial"/>
          <w:spacing w:val="-3"/>
        </w:rPr>
        <w:fldChar w:fldCharType="end"/>
      </w:r>
      <w:r w:rsidRPr="00D46C79">
        <w:rPr>
          <w:rFonts w:cs="Arial"/>
          <w:spacing w:val="-3"/>
        </w:rPr>
        <w:t>)</w:t>
      </w:r>
      <w:r w:rsidR="001051F7" w:rsidRPr="00D46C79">
        <w:rPr>
          <w:rFonts w:cs="Arial"/>
          <w:spacing w:val="-3"/>
        </w:rPr>
        <w:t>, se debe modificar un método definido previamente o bien,</w:t>
      </w:r>
      <w:r w:rsidR="001051F7">
        <w:rPr>
          <w:rFonts w:cs="Arial"/>
          <w:spacing w:val="-3"/>
        </w:rPr>
        <w:t xml:space="preserve"> desarrollar otro </w:t>
      </w:r>
      <w:r w:rsidR="00D46C79">
        <w:rPr>
          <w:rFonts w:cs="Arial"/>
          <w:spacing w:val="-3"/>
        </w:rPr>
        <w:t xml:space="preserve">a fin de </w:t>
      </w:r>
      <w:r w:rsidR="001051F7">
        <w:rPr>
          <w:rFonts w:cs="Arial"/>
          <w:spacing w:val="-3"/>
        </w:rPr>
        <w:t xml:space="preserve">que </w:t>
      </w:r>
      <w:r w:rsidR="00DD0AE8">
        <w:rPr>
          <w:rFonts w:cs="Arial"/>
          <w:spacing w:val="-3"/>
        </w:rPr>
        <w:t xml:space="preserve">la </w:t>
      </w:r>
      <w:r w:rsidR="00463B3A">
        <w:rPr>
          <w:rFonts w:cs="Arial"/>
          <w:spacing w:val="-3"/>
        </w:rPr>
        <w:t xml:space="preserve">valoración </w:t>
      </w:r>
      <w:r w:rsidR="00DD0AE8">
        <w:rPr>
          <w:rFonts w:cs="Arial"/>
          <w:spacing w:val="-3"/>
        </w:rPr>
        <w:t xml:space="preserve">emplee </w:t>
      </w:r>
      <w:r w:rsidR="001051F7">
        <w:rPr>
          <w:rFonts w:cs="Arial"/>
          <w:spacing w:val="-3"/>
        </w:rPr>
        <w:t xml:space="preserve">exclusivamente </w:t>
      </w:r>
      <w:r w:rsidR="00611ACA">
        <w:rPr>
          <w:rFonts w:cs="Arial"/>
          <w:spacing w:val="-3"/>
        </w:rPr>
        <w:t>atributos o procedimientos que den cuenta</w:t>
      </w:r>
      <w:r w:rsidR="00610E4B">
        <w:rPr>
          <w:rFonts w:cs="Arial"/>
          <w:spacing w:val="-3"/>
        </w:rPr>
        <w:t>,</w:t>
      </w:r>
      <w:r w:rsidR="00611ACA">
        <w:rPr>
          <w:rFonts w:cs="Arial"/>
          <w:spacing w:val="-3"/>
        </w:rPr>
        <w:t xml:space="preserve"> de forma directa</w:t>
      </w:r>
      <w:r w:rsidR="00610E4B">
        <w:rPr>
          <w:rFonts w:cs="Arial"/>
          <w:spacing w:val="-3"/>
        </w:rPr>
        <w:t>,</w:t>
      </w:r>
      <w:r w:rsidR="00611ACA">
        <w:rPr>
          <w:rFonts w:cs="Arial"/>
          <w:spacing w:val="-3"/>
        </w:rPr>
        <w:t xml:space="preserve"> de la </w:t>
      </w:r>
      <w:r w:rsidR="000D3C09">
        <w:rPr>
          <w:rFonts w:cs="Arial"/>
          <w:spacing w:val="-3"/>
        </w:rPr>
        <w:t xml:space="preserve">significancia de </w:t>
      </w:r>
      <w:r w:rsidR="00130697">
        <w:rPr>
          <w:rFonts w:cs="Arial"/>
          <w:spacing w:val="-3"/>
        </w:rPr>
        <w:t xml:space="preserve">los impactos </w:t>
      </w:r>
      <w:r w:rsidR="00611ACA">
        <w:rPr>
          <w:rFonts w:cs="Arial"/>
          <w:spacing w:val="-3"/>
        </w:rPr>
        <w:t>ambientales</w:t>
      </w:r>
      <w:r w:rsidR="00130697">
        <w:rPr>
          <w:rFonts w:cs="Arial"/>
          <w:spacing w:val="-3"/>
        </w:rPr>
        <w:t>.</w:t>
      </w:r>
      <w:r w:rsidR="0065114B">
        <w:rPr>
          <w:rFonts w:cs="Arial"/>
          <w:spacing w:val="-3"/>
        </w:rPr>
        <w:t xml:space="preserve"> En el numeral </w:t>
      </w:r>
      <w:r w:rsidR="0065114B">
        <w:rPr>
          <w:rFonts w:cs="Arial"/>
          <w:spacing w:val="-3"/>
        </w:rPr>
        <w:fldChar w:fldCharType="begin"/>
      </w:r>
      <w:r w:rsidR="0065114B">
        <w:rPr>
          <w:rFonts w:cs="Arial"/>
          <w:spacing w:val="-3"/>
        </w:rPr>
        <w:instrText xml:space="preserve"> REF _Ref137112878 \r \h </w:instrText>
      </w:r>
      <w:r w:rsidR="0065114B">
        <w:rPr>
          <w:rFonts w:cs="Arial"/>
          <w:spacing w:val="-3"/>
        </w:rPr>
      </w:r>
      <w:r w:rsidR="0065114B">
        <w:rPr>
          <w:rFonts w:cs="Arial"/>
          <w:spacing w:val="-3"/>
        </w:rPr>
        <w:fldChar w:fldCharType="separate"/>
      </w:r>
      <w:r w:rsidR="009C4A81">
        <w:rPr>
          <w:rFonts w:cs="Arial"/>
          <w:spacing w:val="-3"/>
        </w:rPr>
        <w:t>7.4.3</w:t>
      </w:r>
      <w:r w:rsidR="0065114B">
        <w:rPr>
          <w:rFonts w:cs="Arial"/>
          <w:spacing w:val="-3"/>
        </w:rPr>
        <w:fldChar w:fldCharType="end"/>
      </w:r>
      <w:r w:rsidR="0065114B">
        <w:rPr>
          <w:rFonts w:cs="Arial"/>
          <w:spacing w:val="-3"/>
        </w:rPr>
        <w:t xml:space="preserve"> se señalan los tipos de atributos y procedimientos que deben evitarse </w:t>
      </w:r>
      <w:r w:rsidR="00184578">
        <w:rPr>
          <w:rFonts w:cs="Arial"/>
          <w:spacing w:val="-3"/>
        </w:rPr>
        <w:t xml:space="preserve">para </w:t>
      </w:r>
      <w:r w:rsidR="00A5195F">
        <w:rPr>
          <w:rFonts w:cs="Arial"/>
          <w:spacing w:val="-3"/>
        </w:rPr>
        <w:t xml:space="preserve">que la evaluación se </w:t>
      </w:r>
      <w:r w:rsidR="00E05CA4">
        <w:rPr>
          <w:rFonts w:cs="Arial"/>
          <w:spacing w:val="-3"/>
        </w:rPr>
        <w:t>enfo</w:t>
      </w:r>
      <w:r w:rsidR="00A5195F">
        <w:rPr>
          <w:rFonts w:cs="Arial"/>
          <w:spacing w:val="-3"/>
        </w:rPr>
        <w:t xml:space="preserve">que </w:t>
      </w:r>
      <w:r w:rsidR="00E05CA4">
        <w:rPr>
          <w:rFonts w:cs="Arial"/>
          <w:spacing w:val="-3"/>
        </w:rPr>
        <w:t xml:space="preserve">en </w:t>
      </w:r>
      <w:r w:rsidR="00184578">
        <w:rPr>
          <w:rFonts w:cs="Arial"/>
          <w:spacing w:val="-3"/>
        </w:rPr>
        <w:t>los impactos ambientales significativos</w:t>
      </w:r>
      <w:r w:rsidR="0065114B">
        <w:rPr>
          <w:rFonts w:cs="Arial"/>
          <w:spacing w:val="-3"/>
        </w:rPr>
        <w:t>.</w:t>
      </w:r>
    </w:p>
    <w:p w14:paraId="4D470C79" w14:textId="77777777" w:rsidR="00B70583" w:rsidRDefault="00B70583" w:rsidP="007B7358">
      <w:pPr>
        <w:numPr>
          <w:ilvl w:val="12"/>
          <w:numId w:val="0"/>
        </w:numPr>
        <w:tabs>
          <w:tab w:val="left" w:pos="-2268"/>
        </w:tabs>
        <w:suppressAutoHyphens/>
        <w:rPr>
          <w:rFonts w:cs="Arial"/>
          <w:spacing w:val="-3"/>
        </w:rPr>
      </w:pPr>
    </w:p>
    <w:p w14:paraId="11148B38" w14:textId="31455E7F" w:rsidR="007B7358" w:rsidRPr="004068F6" w:rsidRDefault="007B7358" w:rsidP="007B7358">
      <w:pPr>
        <w:numPr>
          <w:ilvl w:val="12"/>
          <w:numId w:val="0"/>
        </w:numPr>
        <w:tabs>
          <w:tab w:val="left" w:pos="-2268"/>
        </w:tabs>
        <w:suppressAutoHyphens/>
        <w:rPr>
          <w:rFonts w:cs="Arial"/>
          <w:spacing w:val="-3"/>
        </w:rPr>
      </w:pPr>
      <w:r w:rsidRPr="004068F6">
        <w:rPr>
          <w:rFonts w:cs="Arial"/>
          <w:spacing w:val="-3"/>
        </w:rPr>
        <w:t>Si se utiliza un método de valoración que no esté soportado por un documento técnico, como en el caso de la modificación a métodos reconocidos o del desarrollo de un método nuevo, es necesario descri</w:t>
      </w:r>
      <w:r w:rsidR="007417CF" w:rsidRPr="004068F6">
        <w:rPr>
          <w:rFonts w:cs="Arial"/>
          <w:spacing w:val="-3"/>
        </w:rPr>
        <w:t xml:space="preserve">bir </w:t>
      </w:r>
      <w:r w:rsidRPr="004068F6">
        <w:rPr>
          <w:rFonts w:cs="Arial"/>
          <w:spacing w:val="-3"/>
        </w:rPr>
        <w:t>detallada</w:t>
      </w:r>
      <w:r w:rsidR="007417CF" w:rsidRPr="004068F6">
        <w:rPr>
          <w:rFonts w:cs="Arial"/>
          <w:spacing w:val="-3"/>
        </w:rPr>
        <w:t>mente</w:t>
      </w:r>
      <w:r w:rsidRPr="004068F6">
        <w:rPr>
          <w:rFonts w:cs="Arial"/>
          <w:spacing w:val="-3"/>
        </w:rPr>
        <w:t xml:space="preserve"> cómo se valoran los impactos (por ejemplo</w:t>
      </w:r>
      <w:r w:rsidR="00A368B6" w:rsidRPr="004068F6">
        <w:rPr>
          <w:rFonts w:cs="Arial"/>
          <w:spacing w:val="-3"/>
        </w:rPr>
        <w:t>,</w:t>
      </w:r>
      <w:r w:rsidRPr="004068F6">
        <w:rPr>
          <w:rFonts w:cs="Arial"/>
          <w:spacing w:val="-3"/>
        </w:rPr>
        <w:t xml:space="preserve"> mediante múltiples atributos cualitativos o cuantitativos, haciendo uso de la lógica difusa</w:t>
      </w:r>
      <w:r w:rsidR="00EA31A1">
        <w:rPr>
          <w:rFonts w:cs="Arial"/>
          <w:spacing w:val="-3"/>
        </w:rPr>
        <w:t xml:space="preserve">, </w:t>
      </w:r>
      <w:r w:rsidR="006C74C4">
        <w:rPr>
          <w:rFonts w:cs="Arial"/>
          <w:spacing w:val="-3"/>
        </w:rPr>
        <w:t>empleando la dinámica de sistemas</w:t>
      </w:r>
      <w:r w:rsidRPr="004068F6">
        <w:rPr>
          <w:rFonts w:cs="Arial"/>
          <w:spacing w:val="-3"/>
        </w:rPr>
        <w:t xml:space="preserve"> o recurriendo a </w:t>
      </w:r>
      <w:r w:rsidR="007417CF" w:rsidRPr="004068F6">
        <w:rPr>
          <w:rFonts w:cs="Arial"/>
          <w:spacing w:val="-3"/>
        </w:rPr>
        <w:t>los análisis de redes</w:t>
      </w:r>
      <w:r w:rsidRPr="004068F6">
        <w:rPr>
          <w:rFonts w:cs="Arial"/>
          <w:spacing w:val="-3"/>
        </w:rPr>
        <w:t xml:space="preserve">), cuál es la escala espacial y temporal de la valoración, cuál es la relación matemática o la regla de ponderación de los atributos utilizados (en caso de que se incorporen al método), cómo se definen las categorías </w:t>
      </w:r>
      <w:r w:rsidR="00403635" w:rsidRPr="004068F6">
        <w:rPr>
          <w:rFonts w:cs="Arial"/>
          <w:spacing w:val="-3"/>
        </w:rPr>
        <w:t xml:space="preserve">cualitativas o cuantitativas </w:t>
      </w:r>
      <w:r w:rsidRPr="004068F6">
        <w:rPr>
          <w:rFonts w:cs="Arial"/>
          <w:spacing w:val="-3"/>
        </w:rPr>
        <w:t>de valoración, y por último, cómo se interpretan los resultados.</w:t>
      </w:r>
    </w:p>
    <w:p w14:paraId="25542F04" w14:textId="77777777" w:rsidR="00FA1F5E" w:rsidRPr="004068F6" w:rsidRDefault="00FA1F5E" w:rsidP="007B7358">
      <w:pPr>
        <w:numPr>
          <w:ilvl w:val="12"/>
          <w:numId w:val="0"/>
        </w:numPr>
        <w:tabs>
          <w:tab w:val="left" w:pos="-2268"/>
        </w:tabs>
        <w:suppressAutoHyphens/>
        <w:rPr>
          <w:rFonts w:cs="Arial"/>
          <w:spacing w:val="-3"/>
        </w:rPr>
      </w:pPr>
    </w:p>
    <w:p w14:paraId="5F7DBFBD" w14:textId="5FDF680C" w:rsidR="007B7358" w:rsidRPr="004068F6" w:rsidRDefault="007B7358" w:rsidP="007B7358">
      <w:pPr>
        <w:numPr>
          <w:ilvl w:val="12"/>
          <w:numId w:val="0"/>
        </w:numPr>
        <w:tabs>
          <w:tab w:val="left" w:pos="-2268"/>
        </w:tabs>
        <w:suppressAutoHyphens/>
        <w:rPr>
          <w:rFonts w:cs="Arial"/>
          <w:spacing w:val="-3"/>
        </w:rPr>
      </w:pPr>
      <w:r w:rsidRPr="004068F6">
        <w:rPr>
          <w:rFonts w:cs="Arial"/>
          <w:spacing w:val="-3"/>
        </w:rPr>
        <w:t xml:space="preserve">Es necesario que el método seleccionado para la elaboración del estudio ambiental sea aplicable al caso objeto de evaluación, que incorpore las relaciones causales que pueden ocurrir no solo entre actividades e impactos, sino también entre diferentes tipos de impactos, que señale con la mayor certidumbre posible la forma en que el impacto modifica las condiciones </w:t>
      </w:r>
      <w:r w:rsidR="000B1336" w:rsidRPr="004068F6">
        <w:rPr>
          <w:rFonts w:cs="Arial"/>
          <w:spacing w:val="-3"/>
        </w:rPr>
        <w:t xml:space="preserve">ambientales </w:t>
      </w:r>
      <w:r w:rsidRPr="004068F6">
        <w:rPr>
          <w:rFonts w:cs="Arial"/>
          <w:spacing w:val="-3"/>
        </w:rPr>
        <w:t xml:space="preserve">del área de influencia, y que propenda por un proceso integrado, global, sistemático </w:t>
      </w:r>
      <w:r w:rsidR="0069472A" w:rsidRPr="004068F6">
        <w:rPr>
          <w:rFonts w:cs="Arial"/>
          <w:spacing w:val="-3"/>
        </w:rPr>
        <w:t>e</w:t>
      </w:r>
      <w:r w:rsidRPr="004068F6">
        <w:rPr>
          <w:rFonts w:cs="Arial"/>
          <w:spacing w:val="-3"/>
        </w:rPr>
        <w:t xml:space="preserve"> </w:t>
      </w:r>
      <w:r w:rsidR="00126F0B" w:rsidRPr="004068F6">
        <w:rPr>
          <w:rFonts w:cs="Arial"/>
          <w:spacing w:val="-3"/>
        </w:rPr>
        <w:t xml:space="preserve">interdisciplinario </w:t>
      </w:r>
      <w:r w:rsidRPr="004068F6">
        <w:rPr>
          <w:rFonts w:cs="Arial"/>
          <w:spacing w:val="-3"/>
        </w:rPr>
        <w:t xml:space="preserve">para la evaluación de los impactos ambientales </w:t>
      </w:r>
      <w:r w:rsidR="007417CF" w:rsidRPr="004068F6">
        <w:rPr>
          <w:rFonts w:cs="Arial"/>
          <w:spacing w:val="-3"/>
        </w:rPr>
        <w:t>que se determinaron</w:t>
      </w:r>
      <w:r w:rsidRPr="004068F6">
        <w:rPr>
          <w:rFonts w:cs="Arial"/>
          <w:spacing w:val="-3"/>
        </w:rPr>
        <w:t>.</w:t>
      </w:r>
    </w:p>
    <w:p w14:paraId="7631A5C0" w14:textId="77777777" w:rsidR="007B7358" w:rsidRPr="004068F6" w:rsidRDefault="007B7358" w:rsidP="007B7358">
      <w:pPr>
        <w:numPr>
          <w:ilvl w:val="12"/>
          <w:numId w:val="0"/>
        </w:numPr>
        <w:tabs>
          <w:tab w:val="left" w:pos="-2268"/>
        </w:tabs>
        <w:suppressAutoHyphens/>
        <w:rPr>
          <w:rFonts w:cs="Arial"/>
          <w:spacing w:val="-3"/>
        </w:rPr>
      </w:pPr>
    </w:p>
    <w:p w14:paraId="69B0ACC3" w14:textId="18A783EE" w:rsidR="007B7358" w:rsidRPr="004068F6" w:rsidRDefault="007B7358" w:rsidP="007B7358">
      <w:pPr>
        <w:numPr>
          <w:ilvl w:val="12"/>
          <w:numId w:val="0"/>
        </w:numPr>
        <w:tabs>
          <w:tab w:val="left" w:pos="-2268"/>
        </w:tabs>
        <w:suppressAutoHyphens/>
        <w:rPr>
          <w:rFonts w:cs="Arial"/>
          <w:spacing w:val="-3"/>
        </w:rPr>
      </w:pPr>
      <w:r w:rsidRPr="004068F6">
        <w:rPr>
          <w:rFonts w:cs="Arial"/>
          <w:spacing w:val="-3"/>
        </w:rPr>
        <w:t xml:space="preserve">Independientemente del método de valoración de impactos que se utilice, es imprescindible que la valoración (positiva o negativa) que se adjudique a cada impacto, sea justificada mediante textos de manera clara y sucinta. Para el caso de los métodos que utilizan varios atributos (cualitativos </w:t>
      </w:r>
      <w:r w:rsidR="0047139D" w:rsidRPr="004068F6">
        <w:rPr>
          <w:rFonts w:cs="Arial"/>
          <w:spacing w:val="-3"/>
        </w:rPr>
        <w:t>o</w:t>
      </w:r>
      <w:r w:rsidRPr="004068F6">
        <w:rPr>
          <w:rFonts w:cs="Arial"/>
          <w:spacing w:val="-3"/>
        </w:rPr>
        <w:t xml:space="preserve"> cuantitativos), se debe realizar la justificación del </w:t>
      </w:r>
      <w:r w:rsidR="00B61DE7" w:rsidRPr="004068F6">
        <w:rPr>
          <w:rFonts w:cs="Arial"/>
          <w:spacing w:val="-3"/>
        </w:rPr>
        <w:t xml:space="preserve">porqué del </w:t>
      </w:r>
      <w:r w:rsidRPr="004068F6">
        <w:rPr>
          <w:rFonts w:cs="Arial"/>
          <w:spacing w:val="-3"/>
        </w:rPr>
        <w:t>valor asignado a cada uno de los atributos utilizados para valorar cada impacto.</w:t>
      </w:r>
    </w:p>
    <w:p w14:paraId="388BB0A6" w14:textId="77777777" w:rsidR="008D5D25" w:rsidRPr="004068F6" w:rsidRDefault="008D5D25" w:rsidP="007B7358">
      <w:pPr>
        <w:numPr>
          <w:ilvl w:val="12"/>
          <w:numId w:val="0"/>
        </w:numPr>
        <w:tabs>
          <w:tab w:val="left" w:pos="-2268"/>
        </w:tabs>
        <w:suppressAutoHyphens/>
        <w:rPr>
          <w:rFonts w:cs="Arial"/>
          <w:spacing w:val="-3"/>
        </w:rPr>
      </w:pPr>
    </w:p>
    <w:p w14:paraId="41D1A9FA" w14:textId="79F5E8E1" w:rsidR="008D5D25" w:rsidRPr="004068F6" w:rsidRDefault="008D5D25" w:rsidP="008D5D25">
      <w:pPr>
        <w:numPr>
          <w:ilvl w:val="12"/>
          <w:numId w:val="0"/>
        </w:numPr>
        <w:tabs>
          <w:tab w:val="left" w:pos="-2268"/>
        </w:tabs>
        <w:suppressAutoHyphens/>
        <w:rPr>
          <w:rFonts w:cs="Arial"/>
          <w:spacing w:val="-3"/>
        </w:rPr>
      </w:pPr>
      <w:r w:rsidRPr="004068F6">
        <w:rPr>
          <w:rFonts w:cs="Arial"/>
          <w:spacing w:val="-3"/>
        </w:rPr>
        <w:t xml:space="preserve">La valoración de impactos debe incorporar de forma expresa los </w:t>
      </w:r>
      <w:r w:rsidRPr="004068F6">
        <w:t>saberes, sugerencias, recomendaciones, alertas,</w:t>
      </w:r>
      <w:r w:rsidRPr="00127BD4" w:rsidDel="00822306">
        <w:rPr>
          <w:rFonts w:cs="Arial"/>
          <w:spacing w:val="-3"/>
        </w:rPr>
        <w:t xml:space="preserve"> </w:t>
      </w:r>
      <w:r w:rsidRPr="004068F6">
        <w:rPr>
          <w:rFonts w:cs="Arial"/>
          <w:spacing w:val="-3"/>
        </w:rPr>
        <w:t xml:space="preserve">percepciones y comentarios que se reciban en los procesos </w:t>
      </w:r>
      <w:r w:rsidRPr="004068F6">
        <w:rPr>
          <w:rFonts w:cs="Arial"/>
          <w:spacing w:val="-3"/>
        </w:rPr>
        <w:lastRenderedPageBreak/>
        <w:t>participativos con los grupos de interés y autoridades del área de influencia cuando estos aportes permitan una mejor valoración y sean razonablemente acertados; en caso de estimarlos como no pertinentes</w:t>
      </w:r>
      <w:r w:rsidRPr="00127BD4">
        <w:rPr>
          <w:rFonts w:cs="Arial"/>
          <w:spacing w:val="-3"/>
        </w:rPr>
        <w:t>, se deben indicar y sustentar</w:t>
      </w:r>
      <w:r w:rsidRPr="004068F6">
        <w:rPr>
          <w:rFonts w:cs="Arial"/>
          <w:spacing w:val="-3"/>
        </w:rPr>
        <w:t xml:space="preserve"> las razones por las cuales no se toman en cuenta para la valoración. De haber realizado consulta previa, los impactos ambientales determinados y valorados en dicho proceso deben ser incorporados en el EIA, diferenciándolos de los demás impactos para facilitar el seguimiento de las autoridades competentes.</w:t>
      </w:r>
    </w:p>
    <w:p w14:paraId="2372A314" w14:textId="77777777" w:rsidR="008D5D25" w:rsidRPr="004068F6" w:rsidRDefault="008D5D25" w:rsidP="008D5D25">
      <w:pPr>
        <w:numPr>
          <w:ilvl w:val="12"/>
          <w:numId w:val="0"/>
        </w:numPr>
        <w:tabs>
          <w:tab w:val="left" w:pos="-2268"/>
        </w:tabs>
        <w:suppressAutoHyphens/>
        <w:rPr>
          <w:rFonts w:cs="Arial"/>
          <w:spacing w:val="-3"/>
        </w:rPr>
      </w:pPr>
    </w:p>
    <w:p w14:paraId="76EBD029" w14:textId="53BAB1C6" w:rsidR="00402FB4" w:rsidRPr="004068F6" w:rsidRDefault="004313CC" w:rsidP="0068149C">
      <w:pPr>
        <w:pStyle w:val="Ttulo2"/>
        <w:rPr>
          <w:lang w:val="es-CO"/>
        </w:rPr>
      </w:pPr>
      <w:bookmarkStart w:id="3254" w:name="_Toc216968157"/>
      <w:bookmarkStart w:id="3255" w:name="_Toc217035846"/>
      <w:bookmarkStart w:id="3256" w:name="_Toc216968158"/>
      <w:bookmarkStart w:id="3257" w:name="_Toc217035847"/>
      <w:bookmarkStart w:id="3258" w:name="_Toc378923320"/>
      <w:bookmarkStart w:id="3259" w:name="_Toc405366869"/>
      <w:bookmarkStart w:id="3260" w:name="_Toc405372417"/>
      <w:bookmarkStart w:id="3261" w:name="_Toc437936054"/>
      <w:bookmarkStart w:id="3262" w:name="_Ref192235529"/>
      <w:bookmarkStart w:id="3263" w:name="_Toc230879695"/>
      <w:bookmarkEnd w:id="3254"/>
      <w:bookmarkEnd w:id="3255"/>
      <w:bookmarkEnd w:id="3256"/>
      <w:bookmarkEnd w:id="3257"/>
      <w:r>
        <w:rPr>
          <w:lang w:val="es-CO"/>
        </w:rPr>
        <w:t xml:space="preserve">LINEAMIENTOS PARA LA </w:t>
      </w:r>
      <w:r w:rsidR="000845EB" w:rsidRPr="004068F6">
        <w:rPr>
          <w:lang w:val="es-CO"/>
        </w:rPr>
        <w:t>DETERMINACIÓN</w:t>
      </w:r>
      <w:r w:rsidR="000845EB" w:rsidRPr="004068F6" w:rsidDel="000845EB">
        <w:rPr>
          <w:lang w:val="es-CO"/>
        </w:rPr>
        <w:t xml:space="preserve"> </w:t>
      </w:r>
      <w:r w:rsidR="00402FB4" w:rsidRPr="004068F6">
        <w:rPr>
          <w:lang w:val="es-CO"/>
        </w:rPr>
        <w:t xml:space="preserve">Y </w:t>
      </w:r>
      <w:r w:rsidR="00E011AD" w:rsidRPr="004068F6">
        <w:rPr>
          <w:lang w:val="es-CO"/>
        </w:rPr>
        <w:t xml:space="preserve">VALORACIÓN </w:t>
      </w:r>
      <w:r w:rsidR="00402FB4" w:rsidRPr="004068F6">
        <w:rPr>
          <w:lang w:val="es-CO"/>
        </w:rPr>
        <w:t>DE IMPACTOS PARA EL ESCENARIO SIN PROYECTO</w:t>
      </w:r>
      <w:bookmarkEnd w:id="3229"/>
      <w:bookmarkEnd w:id="3258"/>
      <w:bookmarkEnd w:id="3259"/>
      <w:bookmarkEnd w:id="3260"/>
      <w:bookmarkEnd w:id="3261"/>
      <w:bookmarkEnd w:id="3262"/>
      <w:bookmarkEnd w:id="3263"/>
    </w:p>
    <w:p w14:paraId="4F9DA702" w14:textId="77777777" w:rsidR="00402FB4" w:rsidRPr="004068F6" w:rsidRDefault="00402FB4">
      <w:pPr>
        <w:numPr>
          <w:ilvl w:val="12"/>
          <w:numId w:val="0"/>
        </w:numPr>
        <w:tabs>
          <w:tab w:val="left" w:pos="-2268"/>
        </w:tabs>
        <w:suppressAutoHyphens/>
        <w:rPr>
          <w:spacing w:val="-3"/>
        </w:rPr>
      </w:pPr>
    </w:p>
    <w:p w14:paraId="6A6D2642" w14:textId="787C4925" w:rsidR="00BC7538" w:rsidRPr="004068F6" w:rsidRDefault="00BC7538" w:rsidP="00BC7538">
      <w:pPr>
        <w:overflowPunct/>
        <w:textAlignment w:val="auto"/>
        <w:rPr>
          <w:color w:val="000000"/>
        </w:rPr>
      </w:pPr>
      <w:r w:rsidRPr="004068F6">
        <w:rPr>
          <w:color w:val="000000"/>
        </w:rPr>
        <w:t xml:space="preserve">La evaluación ambiental para el escenario sin proyecto debe desarrollar un análisis tendencial de la evolución que tendrían las condiciones ambientales del área de influencia </w:t>
      </w:r>
      <w:r w:rsidR="005F32F7" w:rsidRPr="004068F6">
        <w:rPr>
          <w:color w:val="000000"/>
        </w:rPr>
        <w:t xml:space="preserve">del proyecto </w:t>
      </w:r>
      <w:r w:rsidRPr="004068F6">
        <w:rPr>
          <w:color w:val="000000"/>
        </w:rPr>
        <w:t>que refleje los cambios previsibles en ésta</w:t>
      </w:r>
      <w:r w:rsidR="00711B15" w:rsidRPr="004068F6">
        <w:rPr>
          <w:color w:val="000000"/>
        </w:rPr>
        <w:t xml:space="preserve">; </w:t>
      </w:r>
      <w:r w:rsidR="00EB58F0" w:rsidRPr="004068F6">
        <w:rPr>
          <w:color w:val="000000"/>
        </w:rPr>
        <w:t xml:space="preserve">tal </w:t>
      </w:r>
      <w:r w:rsidRPr="004068F6">
        <w:rPr>
          <w:color w:val="000000"/>
        </w:rPr>
        <w:t>análisis</w:t>
      </w:r>
      <w:r w:rsidR="00711B15" w:rsidRPr="004068F6">
        <w:rPr>
          <w:color w:val="000000"/>
        </w:rPr>
        <w:t xml:space="preserve"> debe considerar </w:t>
      </w:r>
      <w:r w:rsidRPr="004068F6">
        <w:rPr>
          <w:color w:val="000000"/>
        </w:rPr>
        <w:t xml:space="preserve">las orientaciones del numeral </w:t>
      </w:r>
      <w:r w:rsidRPr="004068F6">
        <w:rPr>
          <w:color w:val="000000"/>
        </w:rPr>
        <w:fldChar w:fldCharType="begin"/>
      </w:r>
      <w:r w:rsidRPr="004068F6">
        <w:rPr>
          <w:color w:val="000000"/>
        </w:rPr>
        <w:instrText xml:space="preserve"> REF _Ref136953274 \r \h </w:instrText>
      </w:r>
      <w:r w:rsidR="00BD1319" w:rsidRPr="004068F6">
        <w:rPr>
          <w:color w:val="000000"/>
        </w:rPr>
        <w:instrText xml:space="preserve"> \* MERGEFORMAT </w:instrText>
      </w:r>
      <w:r w:rsidRPr="004068F6">
        <w:rPr>
          <w:color w:val="000000"/>
        </w:rPr>
      </w:r>
      <w:r w:rsidRPr="004068F6">
        <w:rPr>
          <w:color w:val="000000"/>
        </w:rPr>
        <w:fldChar w:fldCharType="separate"/>
      </w:r>
      <w:r w:rsidR="009C4A81">
        <w:rPr>
          <w:color w:val="000000"/>
        </w:rPr>
        <w:t>7.2</w:t>
      </w:r>
      <w:r w:rsidRPr="004068F6">
        <w:rPr>
          <w:color w:val="000000"/>
        </w:rPr>
        <w:fldChar w:fldCharType="end"/>
      </w:r>
      <w:r w:rsidRPr="004068F6">
        <w:rPr>
          <w:color w:val="000000"/>
        </w:rPr>
        <w:t xml:space="preserve"> para determinar y valorar los impactos ambientales que llevarían a ese cambio ambiental futuro.</w:t>
      </w:r>
    </w:p>
    <w:p w14:paraId="0FD49BE4" w14:textId="77777777" w:rsidR="00BC7538" w:rsidRPr="004068F6" w:rsidRDefault="00BC7538" w:rsidP="003C56DE">
      <w:pPr>
        <w:overflowPunct/>
        <w:textAlignment w:val="auto"/>
        <w:rPr>
          <w:color w:val="000000"/>
        </w:rPr>
      </w:pPr>
    </w:p>
    <w:p w14:paraId="0B31C8B8" w14:textId="7ABE1EB2" w:rsidR="00711B15" w:rsidRPr="004068F6" w:rsidRDefault="00650285" w:rsidP="00C86DA5">
      <w:pPr>
        <w:overflowPunct/>
        <w:textAlignment w:val="auto"/>
        <w:rPr>
          <w:color w:val="000000"/>
        </w:rPr>
      </w:pPr>
      <w:r w:rsidRPr="004068F6">
        <w:rPr>
          <w:color w:val="000000"/>
        </w:rPr>
        <w:t xml:space="preserve">El análisis tendencial debe </w:t>
      </w:r>
      <w:r w:rsidR="003945B4" w:rsidRPr="004068F6">
        <w:rPr>
          <w:color w:val="000000"/>
        </w:rPr>
        <w:t xml:space="preserve">integrar y </w:t>
      </w:r>
      <w:r w:rsidRPr="004068F6">
        <w:rPr>
          <w:color w:val="000000"/>
        </w:rPr>
        <w:t xml:space="preserve">valerse de </w:t>
      </w:r>
      <w:r w:rsidR="00DB0E1D" w:rsidRPr="004068F6">
        <w:rPr>
          <w:color w:val="000000"/>
        </w:rPr>
        <w:t>la caracterización ambiental de los medios abiótico, biótico y socioeconómico</w:t>
      </w:r>
      <w:r w:rsidR="00535F65" w:rsidRPr="00127BD4">
        <w:rPr>
          <w:rStyle w:val="Refdenotaalpie"/>
          <w:color w:val="000000"/>
          <w:lang w:val="es-CO"/>
        </w:rPr>
        <w:footnoteReference w:id="216"/>
      </w:r>
      <w:r w:rsidR="00711B15" w:rsidRPr="004068F6">
        <w:rPr>
          <w:color w:val="000000"/>
        </w:rPr>
        <w:t xml:space="preserve">, del paisaje y de los servicios ecosistémicos, de la </w:t>
      </w:r>
      <w:r w:rsidR="00DB0E1D" w:rsidRPr="004068F6">
        <w:rPr>
          <w:color w:val="000000"/>
        </w:rPr>
        <w:t xml:space="preserve">sensibilidad ambiental, </w:t>
      </w:r>
      <w:r w:rsidRPr="004068F6">
        <w:rPr>
          <w:color w:val="000000"/>
        </w:rPr>
        <w:t xml:space="preserve">así como </w:t>
      </w:r>
      <w:r w:rsidR="003C56DE" w:rsidRPr="004068F6">
        <w:rPr>
          <w:color w:val="000000"/>
        </w:rPr>
        <w:t>de la determinación de las</w:t>
      </w:r>
      <w:r w:rsidR="001154B5" w:rsidRPr="004068F6">
        <w:rPr>
          <w:color w:val="000000"/>
        </w:rPr>
        <w:t xml:space="preserve"> actividades que han tenido la mayor incidencia en la modificación ambiental </w:t>
      </w:r>
      <w:r w:rsidR="003C56DE" w:rsidRPr="004068F6">
        <w:rPr>
          <w:color w:val="000000"/>
        </w:rPr>
        <w:t>del área de influencia</w:t>
      </w:r>
      <w:r w:rsidR="004669DF" w:rsidRPr="004068F6">
        <w:rPr>
          <w:color w:val="000000"/>
        </w:rPr>
        <w:t>, de las model</w:t>
      </w:r>
      <w:r w:rsidR="000C5397" w:rsidRPr="004068F6">
        <w:rPr>
          <w:color w:val="000000"/>
        </w:rPr>
        <w:t>iz</w:t>
      </w:r>
      <w:r w:rsidR="004669DF" w:rsidRPr="004068F6">
        <w:rPr>
          <w:color w:val="000000"/>
        </w:rPr>
        <w:t>aciones de cambio climático</w:t>
      </w:r>
      <w:r w:rsidR="001154B5" w:rsidRPr="004068F6">
        <w:rPr>
          <w:color w:val="000000"/>
        </w:rPr>
        <w:t xml:space="preserve"> </w:t>
      </w:r>
      <w:r w:rsidR="000C5397" w:rsidRPr="004068F6">
        <w:rPr>
          <w:color w:val="000000"/>
        </w:rPr>
        <w:t xml:space="preserve">aplicables </w:t>
      </w:r>
      <w:r w:rsidR="001154B5" w:rsidRPr="004068F6">
        <w:rPr>
          <w:color w:val="000000"/>
        </w:rPr>
        <w:t xml:space="preserve">y </w:t>
      </w:r>
      <w:r w:rsidR="003C56DE" w:rsidRPr="004068F6">
        <w:rPr>
          <w:color w:val="000000"/>
        </w:rPr>
        <w:t xml:space="preserve">de </w:t>
      </w:r>
      <w:r w:rsidR="001154B5" w:rsidRPr="004068F6">
        <w:rPr>
          <w:color w:val="000000"/>
        </w:rPr>
        <w:t xml:space="preserve">los procesos </w:t>
      </w:r>
      <w:r w:rsidR="00A30F71" w:rsidRPr="004068F6">
        <w:rPr>
          <w:color w:val="000000"/>
        </w:rPr>
        <w:t xml:space="preserve">de cambio </w:t>
      </w:r>
      <w:r w:rsidR="001154B5" w:rsidRPr="004068F6">
        <w:rPr>
          <w:color w:val="000000"/>
        </w:rPr>
        <w:t xml:space="preserve">natural propios de la región, </w:t>
      </w:r>
      <w:r w:rsidRPr="004068F6">
        <w:rPr>
          <w:color w:val="000000"/>
        </w:rPr>
        <w:t xml:space="preserve">para </w:t>
      </w:r>
      <w:r w:rsidR="001154B5" w:rsidRPr="004068F6">
        <w:rPr>
          <w:color w:val="000000"/>
        </w:rPr>
        <w:t>estim</w:t>
      </w:r>
      <w:r w:rsidRPr="004068F6">
        <w:rPr>
          <w:color w:val="000000"/>
        </w:rPr>
        <w:t>ar</w:t>
      </w:r>
      <w:r w:rsidR="001154B5" w:rsidRPr="004068F6">
        <w:rPr>
          <w:color w:val="000000"/>
        </w:rPr>
        <w:t xml:space="preserve"> las </w:t>
      </w:r>
      <w:r w:rsidR="00D31193" w:rsidRPr="004068F6">
        <w:rPr>
          <w:color w:val="000000"/>
        </w:rPr>
        <w:t xml:space="preserve">condiciones </w:t>
      </w:r>
      <w:r w:rsidR="001154B5" w:rsidRPr="004068F6">
        <w:rPr>
          <w:color w:val="000000"/>
        </w:rPr>
        <w:t xml:space="preserve">ambientales </w:t>
      </w:r>
      <w:r w:rsidR="00D31193" w:rsidRPr="004068F6">
        <w:rPr>
          <w:color w:val="000000"/>
        </w:rPr>
        <w:t xml:space="preserve">que tendría </w:t>
      </w:r>
      <w:r w:rsidR="001154B5" w:rsidRPr="004068F6">
        <w:rPr>
          <w:color w:val="000000"/>
        </w:rPr>
        <w:t>el área de influencia</w:t>
      </w:r>
      <w:r w:rsidR="00D31193" w:rsidRPr="004068F6">
        <w:rPr>
          <w:color w:val="000000"/>
        </w:rPr>
        <w:t xml:space="preserve"> en el futuro</w:t>
      </w:r>
      <w:r w:rsidR="00DB0E1D" w:rsidRPr="004068F6">
        <w:rPr>
          <w:color w:val="000000"/>
        </w:rPr>
        <w:t>.</w:t>
      </w:r>
    </w:p>
    <w:p w14:paraId="127536D3" w14:textId="77777777" w:rsidR="004F01DD" w:rsidRPr="004068F6" w:rsidRDefault="004F01DD" w:rsidP="00C86DA5">
      <w:pPr>
        <w:overflowPunct/>
        <w:textAlignment w:val="auto"/>
        <w:rPr>
          <w:color w:val="000000"/>
        </w:rPr>
      </w:pPr>
    </w:p>
    <w:p w14:paraId="75D48211" w14:textId="23D39663" w:rsidR="00402FB4" w:rsidRPr="004068F6" w:rsidRDefault="004313CC" w:rsidP="0068149C">
      <w:pPr>
        <w:pStyle w:val="Ttulo2"/>
        <w:rPr>
          <w:lang w:val="es-CO"/>
        </w:rPr>
      </w:pPr>
      <w:bookmarkStart w:id="3264" w:name="_Toc138760025"/>
      <w:bookmarkStart w:id="3265" w:name="_Toc153811866"/>
      <w:bookmarkStart w:id="3266" w:name="_Toc153812080"/>
      <w:bookmarkStart w:id="3267" w:name="_Toc153812485"/>
      <w:bookmarkStart w:id="3268" w:name="_Toc158907196"/>
      <w:bookmarkStart w:id="3269" w:name="_Toc159826196"/>
      <w:bookmarkStart w:id="3270" w:name="_Toc159826630"/>
      <w:bookmarkStart w:id="3271" w:name="_Toc175326470"/>
      <w:bookmarkStart w:id="3272" w:name="_Toc138760026"/>
      <w:bookmarkStart w:id="3273" w:name="_Toc153811867"/>
      <w:bookmarkStart w:id="3274" w:name="_Toc153812081"/>
      <w:bookmarkStart w:id="3275" w:name="_Toc153812486"/>
      <w:bookmarkStart w:id="3276" w:name="_Toc158907197"/>
      <w:bookmarkStart w:id="3277" w:name="_Toc159826197"/>
      <w:bookmarkStart w:id="3278" w:name="_Toc159826631"/>
      <w:bookmarkStart w:id="3279" w:name="_Toc175326471"/>
      <w:bookmarkStart w:id="3280" w:name="_Toc138760027"/>
      <w:bookmarkStart w:id="3281" w:name="_Toc153811868"/>
      <w:bookmarkStart w:id="3282" w:name="_Toc153812082"/>
      <w:bookmarkStart w:id="3283" w:name="_Toc153812487"/>
      <w:bookmarkStart w:id="3284" w:name="_Toc158907198"/>
      <w:bookmarkStart w:id="3285" w:name="_Toc159826198"/>
      <w:bookmarkStart w:id="3286" w:name="_Toc159826632"/>
      <w:bookmarkStart w:id="3287" w:name="_Toc175326472"/>
      <w:bookmarkStart w:id="3288" w:name="_Toc138760028"/>
      <w:bookmarkStart w:id="3289" w:name="_Toc153811869"/>
      <w:bookmarkStart w:id="3290" w:name="_Toc153812083"/>
      <w:bookmarkStart w:id="3291" w:name="_Toc153812488"/>
      <w:bookmarkStart w:id="3292" w:name="_Toc158907199"/>
      <w:bookmarkStart w:id="3293" w:name="_Toc159826199"/>
      <w:bookmarkStart w:id="3294" w:name="_Toc159826633"/>
      <w:bookmarkStart w:id="3295" w:name="_Toc175326473"/>
      <w:bookmarkStart w:id="3296" w:name="_Toc343187975"/>
      <w:bookmarkStart w:id="3297" w:name="_Toc378923321"/>
      <w:bookmarkStart w:id="3298" w:name="_Toc405366870"/>
      <w:bookmarkStart w:id="3299" w:name="_Toc405372418"/>
      <w:bookmarkStart w:id="3300" w:name="_Toc437936055"/>
      <w:bookmarkStart w:id="3301" w:name="_Ref508612278"/>
      <w:bookmarkStart w:id="3302" w:name="_Ref192235584"/>
      <w:bookmarkStart w:id="3303" w:name="_Ref230105317"/>
      <w:bookmarkStart w:id="3304" w:name="_Toc230879696"/>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r>
        <w:rPr>
          <w:lang w:val="es-CO"/>
        </w:rPr>
        <w:t xml:space="preserve">LINEAMIENTOS PARA LA </w:t>
      </w:r>
      <w:r w:rsidR="000845EB" w:rsidRPr="004068F6">
        <w:rPr>
          <w:lang w:val="es-CO"/>
        </w:rPr>
        <w:t>DETERMINACIÓN</w:t>
      </w:r>
      <w:r w:rsidR="000845EB" w:rsidRPr="004068F6" w:rsidDel="000845EB">
        <w:rPr>
          <w:lang w:val="es-CO"/>
        </w:rPr>
        <w:t xml:space="preserve"> </w:t>
      </w:r>
      <w:r w:rsidR="00402FB4" w:rsidRPr="004068F6">
        <w:rPr>
          <w:lang w:val="es-CO"/>
        </w:rPr>
        <w:t xml:space="preserve">Y </w:t>
      </w:r>
      <w:r w:rsidR="00B30AD0" w:rsidRPr="004068F6">
        <w:rPr>
          <w:lang w:val="es-CO"/>
        </w:rPr>
        <w:t xml:space="preserve">VALORACIÓN </w:t>
      </w:r>
      <w:r w:rsidR="00402FB4" w:rsidRPr="004068F6">
        <w:rPr>
          <w:lang w:val="es-CO"/>
        </w:rPr>
        <w:t>DE IMPACTOS PARA EL ESCENARIO CON PROYECTO</w:t>
      </w:r>
      <w:bookmarkEnd w:id="3296"/>
      <w:bookmarkEnd w:id="3297"/>
      <w:bookmarkEnd w:id="3298"/>
      <w:bookmarkEnd w:id="3299"/>
      <w:bookmarkEnd w:id="3300"/>
      <w:bookmarkEnd w:id="3301"/>
      <w:bookmarkEnd w:id="3302"/>
      <w:bookmarkEnd w:id="3303"/>
      <w:bookmarkEnd w:id="3304"/>
    </w:p>
    <w:p w14:paraId="52F9053C" w14:textId="6C1B90CB" w:rsidR="00A20F0D" w:rsidRPr="004068F6" w:rsidRDefault="00A20F0D">
      <w:pPr>
        <w:numPr>
          <w:ilvl w:val="12"/>
          <w:numId w:val="0"/>
        </w:numPr>
        <w:tabs>
          <w:tab w:val="left" w:pos="-2268"/>
        </w:tabs>
        <w:suppressAutoHyphens/>
        <w:rPr>
          <w:spacing w:val="-3"/>
        </w:rPr>
      </w:pPr>
    </w:p>
    <w:p w14:paraId="7DD84935" w14:textId="5EF6377A" w:rsidR="0086100C" w:rsidRPr="004068F6" w:rsidRDefault="000813BB" w:rsidP="0086100C">
      <w:pPr>
        <w:overflowPunct/>
        <w:textAlignment w:val="auto"/>
        <w:rPr>
          <w:rFonts w:cs="Arial"/>
          <w:spacing w:val="-3"/>
        </w:rPr>
      </w:pPr>
      <w:r>
        <w:rPr>
          <w:rFonts w:cs="Arial"/>
          <w:spacing w:val="-3"/>
        </w:rPr>
        <w:t>E</w:t>
      </w:r>
      <w:r w:rsidR="0086100C" w:rsidRPr="004068F6">
        <w:rPr>
          <w:rFonts w:cs="Arial"/>
          <w:spacing w:val="-3"/>
        </w:rPr>
        <w:t xml:space="preserve">l propósito de la determinación y valoración de impactos </w:t>
      </w:r>
      <w:r>
        <w:rPr>
          <w:rFonts w:cs="Arial"/>
          <w:spacing w:val="-3"/>
        </w:rPr>
        <w:t xml:space="preserve">para este escenario </w:t>
      </w:r>
      <w:r w:rsidR="0086100C" w:rsidRPr="004068F6">
        <w:rPr>
          <w:rFonts w:cs="Arial"/>
          <w:spacing w:val="-3"/>
        </w:rPr>
        <w:t>es prever entre otras situaciones, por qué suceden, cómo ocurren, cuándo y dónde se manifiestan, qué grado de modificación al ambiente pueden ocasionar en el tiempo, a tal punto que sea posible tomar determinaciones sobre las características del proyecto, obra o actividad o sobre las medidas que deben aplicarse para gestionar sus impactos</w:t>
      </w:r>
      <w:r w:rsidR="0082018F">
        <w:rPr>
          <w:rFonts w:cs="Arial"/>
          <w:spacing w:val="-3"/>
        </w:rPr>
        <w:t>, así como desarrollar otros procedimientos propios del licenciamiento ambiental colombiano como la delimitación del área de influencia</w:t>
      </w:r>
      <w:r w:rsidR="0086100C" w:rsidRPr="004068F6">
        <w:rPr>
          <w:rFonts w:cs="Arial"/>
          <w:spacing w:val="-3"/>
        </w:rPr>
        <w:t>.</w:t>
      </w:r>
    </w:p>
    <w:p w14:paraId="62A726F2" w14:textId="77777777" w:rsidR="0086100C" w:rsidRDefault="0086100C" w:rsidP="00EB2D82">
      <w:pPr>
        <w:overflowPunct/>
        <w:textAlignment w:val="auto"/>
        <w:rPr>
          <w:color w:val="000000"/>
        </w:rPr>
      </w:pPr>
    </w:p>
    <w:p w14:paraId="7BA66279" w14:textId="029CCB86" w:rsidR="0042485A" w:rsidRPr="004068F6" w:rsidRDefault="00931982" w:rsidP="00EB2D82">
      <w:pPr>
        <w:overflowPunct/>
        <w:textAlignment w:val="auto"/>
        <w:rPr>
          <w:color w:val="000000"/>
        </w:rPr>
      </w:pPr>
      <w:r>
        <w:rPr>
          <w:color w:val="000000"/>
        </w:rPr>
        <w:t>En este sentido</w:t>
      </w:r>
      <w:r w:rsidR="00EF2BDD">
        <w:rPr>
          <w:color w:val="000000"/>
        </w:rPr>
        <w:t>, a</w:t>
      </w:r>
      <w:r w:rsidR="0042485A" w:rsidRPr="004068F6">
        <w:rPr>
          <w:color w:val="000000"/>
        </w:rPr>
        <w:t xml:space="preserve"> partir de lo</w:t>
      </w:r>
      <w:r w:rsidR="002F1FA8" w:rsidRPr="004068F6">
        <w:rPr>
          <w:color w:val="000000"/>
        </w:rPr>
        <w:t xml:space="preserve">s lineamientos </w:t>
      </w:r>
      <w:r w:rsidR="0042485A" w:rsidRPr="004068F6">
        <w:rPr>
          <w:color w:val="000000"/>
        </w:rPr>
        <w:t>establecido</w:t>
      </w:r>
      <w:r w:rsidR="002F1FA8" w:rsidRPr="004068F6">
        <w:rPr>
          <w:color w:val="000000"/>
        </w:rPr>
        <w:t>s</w:t>
      </w:r>
      <w:r w:rsidR="0042485A" w:rsidRPr="004068F6">
        <w:rPr>
          <w:color w:val="000000"/>
        </w:rPr>
        <w:t xml:space="preserve"> en el numeral </w:t>
      </w:r>
      <w:r w:rsidR="0042485A" w:rsidRPr="004068F6">
        <w:rPr>
          <w:color w:val="000000"/>
        </w:rPr>
        <w:fldChar w:fldCharType="begin"/>
      </w:r>
      <w:r w:rsidR="0042485A" w:rsidRPr="004068F6">
        <w:rPr>
          <w:color w:val="000000"/>
        </w:rPr>
        <w:instrText xml:space="preserve"> REF _Ref136953274 \r \h </w:instrText>
      </w:r>
      <w:r w:rsidR="00BD1319" w:rsidRPr="004068F6">
        <w:rPr>
          <w:color w:val="000000"/>
        </w:rPr>
        <w:instrText xml:space="preserve"> \* MERGEFORMAT </w:instrText>
      </w:r>
      <w:r w:rsidR="0042485A" w:rsidRPr="004068F6">
        <w:rPr>
          <w:color w:val="000000"/>
        </w:rPr>
      </w:r>
      <w:r w:rsidR="0042485A" w:rsidRPr="004068F6">
        <w:rPr>
          <w:color w:val="000000"/>
        </w:rPr>
        <w:fldChar w:fldCharType="separate"/>
      </w:r>
      <w:r w:rsidR="009C4A81">
        <w:rPr>
          <w:color w:val="000000"/>
        </w:rPr>
        <w:t>7.2</w:t>
      </w:r>
      <w:r w:rsidR="0042485A" w:rsidRPr="004068F6">
        <w:rPr>
          <w:color w:val="000000"/>
        </w:rPr>
        <w:fldChar w:fldCharType="end"/>
      </w:r>
      <w:r w:rsidR="0042485A" w:rsidRPr="004068F6">
        <w:rPr>
          <w:color w:val="000000"/>
        </w:rPr>
        <w:t xml:space="preserve">, del estudio de las interacciones </w:t>
      </w:r>
      <w:r w:rsidR="00BD6A30" w:rsidRPr="004068F6">
        <w:rPr>
          <w:color w:val="000000"/>
        </w:rPr>
        <w:t xml:space="preserve">de </w:t>
      </w:r>
      <w:r w:rsidR="0042485A" w:rsidRPr="004068F6">
        <w:rPr>
          <w:color w:val="000000"/>
        </w:rPr>
        <w:t xml:space="preserve">las actividades del proyecto, obra o actividad </w:t>
      </w:r>
      <w:r w:rsidR="00BD6A30" w:rsidRPr="004068F6">
        <w:rPr>
          <w:color w:val="000000"/>
        </w:rPr>
        <w:t xml:space="preserve">con </w:t>
      </w:r>
      <w:r w:rsidR="0042485A" w:rsidRPr="004068F6">
        <w:rPr>
          <w:color w:val="000000"/>
        </w:rPr>
        <w:t xml:space="preserve">los factores de </w:t>
      </w:r>
      <w:r w:rsidR="0042485A" w:rsidRPr="004068F6">
        <w:rPr>
          <w:color w:val="000000"/>
        </w:rPr>
        <w:lastRenderedPageBreak/>
        <w:t>cada componente, y de las orientaciones que se señalan a continuación, se deben determinar</w:t>
      </w:r>
      <w:r w:rsidR="00A64E70" w:rsidRPr="004068F6">
        <w:rPr>
          <w:color w:val="000000"/>
        </w:rPr>
        <w:t xml:space="preserve"> </w:t>
      </w:r>
      <w:r w:rsidR="0042485A" w:rsidRPr="004068F6">
        <w:rPr>
          <w:color w:val="000000"/>
        </w:rPr>
        <w:t xml:space="preserve">y valorar los impactos que el proyecto genera sobre el </w:t>
      </w:r>
      <w:r w:rsidR="0021080F" w:rsidRPr="004068F6">
        <w:rPr>
          <w:color w:val="000000"/>
        </w:rPr>
        <w:t>escenario sin proyecto</w:t>
      </w:r>
      <w:r w:rsidR="00015E78" w:rsidRPr="004068F6">
        <w:rPr>
          <w:color w:val="000000"/>
        </w:rPr>
        <w:t>, determinar cuáles de ellos son significativos</w:t>
      </w:r>
      <w:r w:rsidR="00E61AE9" w:rsidRPr="004068F6">
        <w:rPr>
          <w:color w:val="000000"/>
        </w:rPr>
        <w:t>, así como evaluar los impactos ambientales residuales acumulativos y sinérgicos</w:t>
      </w:r>
      <w:r w:rsidR="0042485A" w:rsidRPr="004068F6">
        <w:rPr>
          <w:color w:val="000000"/>
        </w:rPr>
        <w:t>.</w:t>
      </w:r>
    </w:p>
    <w:p w14:paraId="26572216" w14:textId="77777777" w:rsidR="00653280" w:rsidRPr="004068F6" w:rsidRDefault="00653280" w:rsidP="00EB2D82">
      <w:pPr>
        <w:overflowPunct/>
        <w:textAlignment w:val="auto"/>
        <w:rPr>
          <w:color w:val="000000"/>
        </w:rPr>
      </w:pPr>
    </w:p>
    <w:p w14:paraId="35ED9ED3" w14:textId="1DE07FD1" w:rsidR="00EB2D82" w:rsidRPr="00466E26" w:rsidRDefault="00EB2D82" w:rsidP="000A1E20">
      <w:pPr>
        <w:pStyle w:val="Ttulo3"/>
      </w:pPr>
      <w:bookmarkStart w:id="3305" w:name="_Ref192235717"/>
      <w:bookmarkStart w:id="3306" w:name="_Toc230879697"/>
      <w:r w:rsidRPr="00466E26">
        <w:t>Determinación</w:t>
      </w:r>
      <w:r w:rsidR="00A64E70" w:rsidRPr="00466E26">
        <w:t xml:space="preserve"> en el escenario con proyecto</w:t>
      </w:r>
      <w:bookmarkEnd w:id="3305"/>
      <w:bookmarkEnd w:id="3306"/>
    </w:p>
    <w:p w14:paraId="64BB1D4C" w14:textId="77777777" w:rsidR="00EB2D82" w:rsidRPr="004068F6" w:rsidRDefault="00EB2D82" w:rsidP="007B7358">
      <w:pPr>
        <w:overflowPunct/>
        <w:textAlignment w:val="auto"/>
        <w:rPr>
          <w:color w:val="000000"/>
        </w:rPr>
      </w:pPr>
    </w:p>
    <w:p w14:paraId="1D8B660F" w14:textId="3C8237DB" w:rsidR="00AF4967" w:rsidRPr="004068F6" w:rsidRDefault="00E63F45" w:rsidP="00E63F45">
      <w:pPr>
        <w:numPr>
          <w:ilvl w:val="12"/>
          <w:numId w:val="0"/>
        </w:numPr>
        <w:tabs>
          <w:tab w:val="left" w:pos="-2268"/>
        </w:tabs>
        <w:suppressAutoHyphens/>
        <w:rPr>
          <w:rFonts w:cs="Arial"/>
          <w:spacing w:val="-3"/>
        </w:rPr>
      </w:pPr>
      <w:r w:rsidRPr="004068F6">
        <w:rPr>
          <w:rFonts w:cs="Arial"/>
          <w:spacing w:val="-3"/>
        </w:rPr>
        <w:t>La determinación de los impactos ambientales que puede ocasionar la ejecución de un proyecto, obra o actividad es fundamental para asegurar la calidad del estudio ambiental y</w:t>
      </w:r>
      <w:r w:rsidR="007903F5">
        <w:rPr>
          <w:rFonts w:cs="Arial"/>
          <w:spacing w:val="-3"/>
        </w:rPr>
        <w:t>,</w:t>
      </w:r>
      <w:r w:rsidRPr="004068F6">
        <w:rPr>
          <w:rFonts w:cs="Arial"/>
          <w:spacing w:val="-3"/>
        </w:rPr>
        <w:t xml:space="preserve"> como se mencionó en el capítulo I de esta metodología, es un momento crucial para el proceso de licenciamiento ambiental, pues tiene repercusiones en la </w:t>
      </w:r>
      <w:r w:rsidR="00AF4967" w:rsidRPr="004068F6">
        <w:rPr>
          <w:rFonts w:cs="Arial"/>
          <w:spacing w:val="-3"/>
        </w:rPr>
        <w:t xml:space="preserve">valoración </w:t>
      </w:r>
      <w:r w:rsidRPr="004068F6">
        <w:rPr>
          <w:rFonts w:cs="Arial"/>
          <w:spacing w:val="-3"/>
        </w:rPr>
        <w:t>de impactos, en la delimitación del área de influencia, en la formulación de las medidas de manejo, en la zonificación de manejo ambiental, en la evaluación económica, en las decisiones que tomen las autoridades ambientales frente a la viabilidad ambiental del proyecto, obra o actividad, y por supuesto, en el cumplimiento de los objetivos del licenciamiento ambiental</w:t>
      </w:r>
      <w:r w:rsidR="0009764E" w:rsidRPr="004068F6">
        <w:rPr>
          <w:rFonts w:cs="Arial"/>
          <w:spacing w:val="-3"/>
        </w:rPr>
        <w:t>.</w:t>
      </w:r>
    </w:p>
    <w:p w14:paraId="7E7625E7" w14:textId="77777777" w:rsidR="00AF4967" w:rsidRPr="004068F6" w:rsidRDefault="00AF4967" w:rsidP="00E63F45">
      <w:pPr>
        <w:numPr>
          <w:ilvl w:val="12"/>
          <w:numId w:val="0"/>
        </w:numPr>
        <w:tabs>
          <w:tab w:val="left" w:pos="-2268"/>
        </w:tabs>
        <w:suppressAutoHyphens/>
        <w:rPr>
          <w:rFonts w:cs="Arial"/>
          <w:spacing w:val="-3"/>
        </w:rPr>
      </w:pPr>
    </w:p>
    <w:p w14:paraId="47035CDB" w14:textId="5C11EC55" w:rsidR="00E63F45" w:rsidRPr="004068F6" w:rsidRDefault="0009764E" w:rsidP="00E63F45">
      <w:pPr>
        <w:numPr>
          <w:ilvl w:val="12"/>
          <w:numId w:val="0"/>
        </w:numPr>
        <w:tabs>
          <w:tab w:val="left" w:pos="-2268"/>
        </w:tabs>
        <w:suppressAutoHyphens/>
        <w:rPr>
          <w:rFonts w:cs="Arial"/>
          <w:spacing w:val="-3"/>
        </w:rPr>
      </w:pPr>
      <w:r w:rsidRPr="004068F6">
        <w:rPr>
          <w:rFonts w:cs="Arial"/>
          <w:spacing w:val="-3"/>
        </w:rPr>
        <w:t>U</w:t>
      </w:r>
      <w:r w:rsidR="00E63F45" w:rsidRPr="004068F6">
        <w:rPr>
          <w:rFonts w:cs="Arial"/>
          <w:spacing w:val="-3"/>
        </w:rPr>
        <w:t>na buena determinación reduce la posibilidad de que una vez se ponga en marcha el proyecto</w:t>
      </w:r>
      <w:r w:rsidR="00E63F45" w:rsidRPr="004068F6">
        <w:rPr>
          <w:spacing w:val="-3"/>
        </w:rPr>
        <w:t>, obra o actividad</w:t>
      </w:r>
      <w:r w:rsidR="00E63F45" w:rsidRPr="004068F6">
        <w:rPr>
          <w:rFonts w:cs="Arial"/>
          <w:spacing w:val="-3"/>
        </w:rPr>
        <w:t xml:space="preserve"> (si las autoridades deciden licenciarlo), se configuren impactos ambientales no previstos.</w:t>
      </w:r>
    </w:p>
    <w:p w14:paraId="670E14B3" w14:textId="77777777" w:rsidR="00E63F45" w:rsidRPr="004068F6" w:rsidRDefault="00E63F45" w:rsidP="00E63F45">
      <w:pPr>
        <w:numPr>
          <w:ilvl w:val="12"/>
          <w:numId w:val="0"/>
        </w:numPr>
        <w:tabs>
          <w:tab w:val="left" w:pos="-2268"/>
        </w:tabs>
        <w:suppressAutoHyphens/>
        <w:rPr>
          <w:rFonts w:cs="Arial"/>
          <w:spacing w:val="-3"/>
        </w:rPr>
      </w:pPr>
    </w:p>
    <w:p w14:paraId="223CFA62" w14:textId="5C68AD64" w:rsidR="00E63F45" w:rsidRPr="004068F6" w:rsidRDefault="002F1FA8" w:rsidP="008A4FE9">
      <w:pPr>
        <w:overflowPunct/>
        <w:textAlignment w:val="auto"/>
        <w:rPr>
          <w:rFonts w:cs="Arial"/>
          <w:spacing w:val="-3"/>
        </w:rPr>
      </w:pPr>
      <w:r w:rsidRPr="004068F6">
        <w:rPr>
          <w:rFonts w:cs="Arial"/>
          <w:spacing w:val="-3"/>
        </w:rPr>
        <w:t>En este escenario, l</w:t>
      </w:r>
      <w:r w:rsidR="00E63F45" w:rsidRPr="004068F6">
        <w:rPr>
          <w:rFonts w:cs="Arial"/>
          <w:spacing w:val="-3"/>
        </w:rPr>
        <w:t>os impactos ambientales corresponden a cualquier alteración del ambiente motivada por el desarrollo de un proyecto, obra o actividad, en un periodo específico de tiempo y dentro de un área definida, que se describe como el cambio en un parámetro ambiental cualitativo o cuantitativo</w:t>
      </w:r>
      <w:r w:rsidR="00E63F45" w:rsidRPr="004068F6">
        <w:rPr>
          <w:rStyle w:val="Refdenotaalpie"/>
          <w:rFonts w:cs="Arial"/>
          <w:spacing w:val="-3"/>
          <w:lang w:val="es-CO"/>
        </w:rPr>
        <w:footnoteReference w:id="217"/>
      </w:r>
      <w:r w:rsidR="00E63F45" w:rsidRPr="004068F6">
        <w:rPr>
          <w:rFonts w:cs="Arial"/>
          <w:spacing w:val="-3"/>
        </w:rPr>
        <w:t>. Esta alteración es el resultado de la interacción entre una actividad que ejerce presión (aspecto ambiental), y un factor ambiental que tiene ciertas condiciones de susceptibilidad al cambio que le son inherentes (sensibilidad ambiental); por ello, tanto el impacto como sus características adquieren una configuración única de acuerdo con la actividad y las condiciones ambientales que se estén evaluando.</w:t>
      </w:r>
      <w:r w:rsidR="00BD53D6" w:rsidRPr="004068F6">
        <w:rPr>
          <w:rFonts w:cs="Arial"/>
          <w:spacing w:val="-3"/>
        </w:rPr>
        <w:t xml:space="preserve"> </w:t>
      </w:r>
      <w:r w:rsidR="00BD53D6" w:rsidRPr="00AA5E7C">
        <w:rPr>
          <w:color w:val="000000"/>
        </w:rPr>
        <w:t xml:space="preserve">Cabe aclarar que la </w:t>
      </w:r>
      <w:r w:rsidR="00B9673D">
        <w:rPr>
          <w:color w:val="000000"/>
        </w:rPr>
        <w:t xml:space="preserve">determinación </w:t>
      </w:r>
      <w:r w:rsidR="00BD53D6" w:rsidRPr="00AA5E7C">
        <w:rPr>
          <w:color w:val="000000"/>
        </w:rPr>
        <w:t xml:space="preserve">de impactos para el escenario con proyecto </w:t>
      </w:r>
      <w:r w:rsidR="003E60B3">
        <w:rPr>
          <w:color w:val="000000"/>
        </w:rPr>
        <w:t xml:space="preserve">considera los </w:t>
      </w:r>
      <w:r w:rsidR="00BD53D6" w:rsidRPr="00AA5E7C">
        <w:rPr>
          <w:color w:val="000000"/>
        </w:rPr>
        <w:t>cambio</w:t>
      </w:r>
      <w:r w:rsidR="003E60B3">
        <w:rPr>
          <w:color w:val="000000"/>
        </w:rPr>
        <w:t>s</w:t>
      </w:r>
      <w:r w:rsidR="00BD53D6" w:rsidRPr="00AA5E7C">
        <w:rPr>
          <w:color w:val="000000"/>
        </w:rPr>
        <w:t xml:space="preserve"> en </w:t>
      </w:r>
      <w:r w:rsidR="003E60B3">
        <w:rPr>
          <w:color w:val="000000"/>
        </w:rPr>
        <w:t xml:space="preserve">los </w:t>
      </w:r>
      <w:r w:rsidR="00BD53D6" w:rsidRPr="00AA5E7C">
        <w:rPr>
          <w:color w:val="000000"/>
        </w:rPr>
        <w:t>parámetro</w:t>
      </w:r>
      <w:r w:rsidR="003E60B3">
        <w:rPr>
          <w:color w:val="000000"/>
        </w:rPr>
        <w:t>s</w:t>
      </w:r>
      <w:r w:rsidR="00BD53D6" w:rsidRPr="00AA5E7C">
        <w:rPr>
          <w:color w:val="000000"/>
        </w:rPr>
        <w:t xml:space="preserve"> ambiental</w:t>
      </w:r>
      <w:r w:rsidR="003E60B3">
        <w:rPr>
          <w:color w:val="000000"/>
        </w:rPr>
        <w:t>es</w:t>
      </w:r>
      <w:r w:rsidR="00BD53D6" w:rsidRPr="00AA5E7C">
        <w:rPr>
          <w:color w:val="000000"/>
        </w:rPr>
        <w:t xml:space="preserve"> sin que medie ninguna medida de manejo.</w:t>
      </w:r>
    </w:p>
    <w:p w14:paraId="185E55E6" w14:textId="77777777" w:rsidR="00E63F45" w:rsidRPr="004068F6" w:rsidRDefault="00E63F45" w:rsidP="00E63F45">
      <w:pPr>
        <w:numPr>
          <w:ilvl w:val="12"/>
          <w:numId w:val="0"/>
        </w:numPr>
        <w:tabs>
          <w:tab w:val="left" w:pos="-2268"/>
        </w:tabs>
        <w:suppressAutoHyphens/>
        <w:rPr>
          <w:rFonts w:cs="Arial"/>
          <w:spacing w:val="-3"/>
        </w:rPr>
      </w:pPr>
    </w:p>
    <w:p w14:paraId="190BF691" w14:textId="5099DEA0" w:rsidR="00B771A1" w:rsidRPr="004068F6" w:rsidRDefault="00E642EA" w:rsidP="001C2C8C">
      <w:pPr>
        <w:numPr>
          <w:ilvl w:val="12"/>
          <w:numId w:val="0"/>
        </w:numPr>
        <w:tabs>
          <w:tab w:val="left" w:pos="-2268"/>
        </w:tabs>
        <w:suppressAutoHyphens/>
        <w:rPr>
          <w:rFonts w:cs="Arial"/>
          <w:spacing w:val="-3"/>
        </w:rPr>
      </w:pPr>
      <w:r w:rsidRPr="00127BD4">
        <w:rPr>
          <w:color w:val="000000"/>
        </w:rPr>
        <w:t>La selección de</w:t>
      </w:r>
      <w:r w:rsidR="006B712F" w:rsidRPr="00127BD4">
        <w:rPr>
          <w:color w:val="000000"/>
        </w:rPr>
        <w:t xml:space="preserve"> </w:t>
      </w:r>
      <w:r w:rsidR="0053142B" w:rsidRPr="00127BD4">
        <w:rPr>
          <w:color w:val="000000"/>
        </w:rPr>
        <w:t>l</w:t>
      </w:r>
      <w:r w:rsidR="006B712F" w:rsidRPr="00127BD4">
        <w:rPr>
          <w:color w:val="000000"/>
        </w:rPr>
        <w:t>os</w:t>
      </w:r>
      <w:r w:rsidR="0053142B" w:rsidRPr="00127BD4">
        <w:rPr>
          <w:color w:val="000000"/>
        </w:rPr>
        <w:t xml:space="preserve"> parámetro</w:t>
      </w:r>
      <w:r w:rsidR="006B712F" w:rsidRPr="00127BD4">
        <w:rPr>
          <w:color w:val="000000"/>
        </w:rPr>
        <w:t>s</w:t>
      </w:r>
      <w:r w:rsidR="0053142B" w:rsidRPr="00127BD4">
        <w:rPr>
          <w:color w:val="000000"/>
        </w:rPr>
        <w:t xml:space="preserve"> ambiental</w:t>
      </w:r>
      <w:r w:rsidR="006B712F" w:rsidRPr="00127BD4">
        <w:rPr>
          <w:color w:val="000000"/>
        </w:rPr>
        <w:t>es</w:t>
      </w:r>
      <w:r w:rsidR="00B771A1" w:rsidRPr="00127BD4">
        <w:rPr>
          <w:color w:val="000000"/>
        </w:rPr>
        <w:t>,</w:t>
      </w:r>
      <w:r w:rsidR="0053142B" w:rsidRPr="00127BD4">
        <w:rPr>
          <w:color w:val="000000"/>
        </w:rPr>
        <w:t xml:space="preserve"> de</w:t>
      </w:r>
      <w:r w:rsidR="006B712F" w:rsidRPr="00127BD4">
        <w:rPr>
          <w:color w:val="000000"/>
        </w:rPr>
        <w:t xml:space="preserve"> </w:t>
      </w:r>
      <w:r w:rsidR="0053142B" w:rsidRPr="00127BD4">
        <w:rPr>
          <w:color w:val="000000"/>
        </w:rPr>
        <w:t>l</w:t>
      </w:r>
      <w:r w:rsidR="006B712F" w:rsidRPr="00127BD4">
        <w:rPr>
          <w:color w:val="000000"/>
        </w:rPr>
        <w:t>os</w:t>
      </w:r>
      <w:r w:rsidR="0053142B" w:rsidRPr="00127BD4">
        <w:rPr>
          <w:color w:val="000000"/>
        </w:rPr>
        <w:t xml:space="preserve"> indicador</w:t>
      </w:r>
      <w:r w:rsidR="006B712F" w:rsidRPr="00127BD4">
        <w:rPr>
          <w:color w:val="000000"/>
        </w:rPr>
        <w:t>es</w:t>
      </w:r>
      <w:r w:rsidR="0053142B" w:rsidRPr="00127BD4">
        <w:rPr>
          <w:color w:val="000000"/>
        </w:rPr>
        <w:t xml:space="preserve"> o </w:t>
      </w:r>
      <w:r w:rsidR="00B771A1" w:rsidRPr="00127BD4">
        <w:rPr>
          <w:color w:val="000000"/>
        </w:rPr>
        <w:t>de</w:t>
      </w:r>
      <w:r w:rsidR="006B712F" w:rsidRPr="00127BD4">
        <w:rPr>
          <w:color w:val="000000"/>
        </w:rPr>
        <w:t xml:space="preserve"> </w:t>
      </w:r>
      <w:r w:rsidR="00B771A1" w:rsidRPr="00127BD4">
        <w:rPr>
          <w:color w:val="000000"/>
        </w:rPr>
        <w:t>l</w:t>
      </w:r>
      <w:r w:rsidR="006B712F" w:rsidRPr="00127BD4">
        <w:rPr>
          <w:color w:val="000000"/>
        </w:rPr>
        <w:t>os</w:t>
      </w:r>
      <w:r w:rsidR="00B771A1" w:rsidRPr="00127BD4">
        <w:rPr>
          <w:color w:val="000000"/>
        </w:rPr>
        <w:t xml:space="preserve"> </w:t>
      </w:r>
      <w:r w:rsidR="0053142B" w:rsidRPr="00127BD4">
        <w:rPr>
          <w:color w:val="000000"/>
        </w:rPr>
        <w:t>índice</w:t>
      </w:r>
      <w:r w:rsidR="006B712F" w:rsidRPr="00127BD4">
        <w:rPr>
          <w:color w:val="000000"/>
        </w:rPr>
        <w:t>s</w:t>
      </w:r>
      <w:r w:rsidR="0053142B" w:rsidRPr="00127BD4">
        <w:rPr>
          <w:color w:val="000000"/>
        </w:rPr>
        <w:t xml:space="preserve"> </w:t>
      </w:r>
      <w:r w:rsidR="007A7D75" w:rsidRPr="00127BD4">
        <w:rPr>
          <w:color w:val="000000"/>
        </w:rPr>
        <w:t>que da</w:t>
      </w:r>
      <w:r w:rsidR="006B712F" w:rsidRPr="00127BD4">
        <w:rPr>
          <w:color w:val="000000"/>
        </w:rPr>
        <w:t>n</w:t>
      </w:r>
      <w:r w:rsidR="007A7D75" w:rsidRPr="00127BD4">
        <w:rPr>
          <w:color w:val="000000"/>
        </w:rPr>
        <w:t xml:space="preserve"> cuenta de</w:t>
      </w:r>
      <w:r w:rsidR="00B771A1" w:rsidRPr="00127BD4">
        <w:rPr>
          <w:color w:val="000000"/>
        </w:rPr>
        <w:t xml:space="preserve"> </w:t>
      </w:r>
      <w:r w:rsidR="007A7D75" w:rsidRPr="00127BD4">
        <w:rPr>
          <w:color w:val="000000"/>
        </w:rPr>
        <w:t>l</w:t>
      </w:r>
      <w:r w:rsidR="00B771A1" w:rsidRPr="00127BD4">
        <w:rPr>
          <w:color w:val="000000"/>
        </w:rPr>
        <w:t>os</w:t>
      </w:r>
      <w:r w:rsidR="007A7D75" w:rsidRPr="00127BD4">
        <w:rPr>
          <w:color w:val="000000"/>
        </w:rPr>
        <w:t xml:space="preserve"> impacto</w:t>
      </w:r>
      <w:r w:rsidR="00B771A1" w:rsidRPr="00127BD4">
        <w:rPr>
          <w:color w:val="000000"/>
        </w:rPr>
        <w:t>s</w:t>
      </w:r>
      <w:r w:rsidR="007A7D75" w:rsidRPr="00127BD4">
        <w:rPr>
          <w:color w:val="000000"/>
        </w:rPr>
        <w:t xml:space="preserve"> debe buscar </w:t>
      </w:r>
      <w:r w:rsidR="00B771A1" w:rsidRPr="00127BD4">
        <w:rPr>
          <w:color w:val="000000"/>
        </w:rPr>
        <w:t xml:space="preserve">emplear </w:t>
      </w:r>
      <w:r w:rsidR="003D62F4" w:rsidRPr="00127BD4">
        <w:rPr>
          <w:color w:val="000000"/>
        </w:rPr>
        <w:t xml:space="preserve">los </w:t>
      </w:r>
      <w:r w:rsidR="0057408E" w:rsidRPr="00127BD4">
        <w:rPr>
          <w:color w:val="000000"/>
        </w:rPr>
        <w:t>parámetro</w:t>
      </w:r>
      <w:r w:rsidR="003D62F4" w:rsidRPr="00127BD4">
        <w:rPr>
          <w:color w:val="000000"/>
        </w:rPr>
        <w:t>s</w:t>
      </w:r>
      <w:r w:rsidR="0057408E" w:rsidRPr="00127BD4">
        <w:rPr>
          <w:color w:val="000000"/>
        </w:rPr>
        <w:t xml:space="preserve"> o indicador</w:t>
      </w:r>
      <w:r w:rsidR="003D62F4" w:rsidRPr="00127BD4">
        <w:rPr>
          <w:color w:val="000000"/>
        </w:rPr>
        <w:t>es</w:t>
      </w:r>
      <w:r w:rsidR="0057408E" w:rsidRPr="00127BD4">
        <w:rPr>
          <w:color w:val="000000"/>
        </w:rPr>
        <w:t xml:space="preserve"> </w:t>
      </w:r>
      <w:r w:rsidR="003D62F4" w:rsidRPr="00127BD4">
        <w:rPr>
          <w:color w:val="000000"/>
        </w:rPr>
        <w:t xml:space="preserve">que </w:t>
      </w:r>
      <w:r w:rsidR="0057408E" w:rsidRPr="00127BD4">
        <w:rPr>
          <w:color w:val="000000"/>
        </w:rPr>
        <w:t xml:space="preserve">haya fijado la autoridad ambiental </w:t>
      </w:r>
      <w:r w:rsidR="003D62F4" w:rsidRPr="00127BD4">
        <w:rPr>
          <w:color w:val="000000"/>
        </w:rPr>
        <w:t xml:space="preserve">competente </w:t>
      </w:r>
      <w:r w:rsidR="0057408E" w:rsidRPr="00127BD4">
        <w:rPr>
          <w:color w:val="000000"/>
        </w:rPr>
        <w:t xml:space="preserve">como instrumento para evaluar el estado de </w:t>
      </w:r>
      <w:r w:rsidR="00E51DAD" w:rsidRPr="00127BD4">
        <w:rPr>
          <w:color w:val="000000"/>
        </w:rPr>
        <w:t xml:space="preserve">los </w:t>
      </w:r>
      <w:r w:rsidR="003D62F4" w:rsidRPr="00127BD4">
        <w:rPr>
          <w:color w:val="000000"/>
        </w:rPr>
        <w:t>Elemento</w:t>
      </w:r>
      <w:r w:rsidR="00E51DAD" w:rsidRPr="00127BD4">
        <w:rPr>
          <w:color w:val="000000"/>
        </w:rPr>
        <w:t>s</w:t>
      </w:r>
      <w:r w:rsidR="003D62F4" w:rsidRPr="00127BD4">
        <w:rPr>
          <w:color w:val="000000"/>
        </w:rPr>
        <w:t xml:space="preserve"> Ambiental</w:t>
      </w:r>
      <w:r w:rsidR="00E51DAD" w:rsidRPr="00127BD4">
        <w:rPr>
          <w:color w:val="000000"/>
        </w:rPr>
        <w:t>es</w:t>
      </w:r>
      <w:r w:rsidR="003D62F4" w:rsidRPr="00127BD4">
        <w:rPr>
          <w:color w:val="000000"/>
        </w:rPr>
        <w:t xml:space="preserve"> Valorado</w:t>
      </w:r>
      <w:r w:rsidR="00E51DAD" w:rsidRPr="00127BD4">
        <w:rPr>
          <w:color w:val="000000"/>
        </w:rPr>
        <w:t>s</w:t>
      </w:r>
      <w:r w:rsidR="003D62F4" w:rsidRPr="00127BD4">
        <w:rPr>
          <w:color w:val="000000"/>
        </w:rPr>
        <w:t xml:space="preserve"> </w:t>
      </w:r>
      <w:r w:rsidR="0057408E" w:rsidRPr="00127BD4">
        <w:rPr>
          <w:color w:val="000000"/>
        </w:rPr>
        <w:t>(EAV)</w:t>
      </w:r>
      <w:r w:rsidR="001C24F8" w:rsidRPr="00127BD4">
        <w:rPr>
          <w:color w:val="000000"/>
        </w:rPr>
        <w:t xml:space="preserve">, si es que ello </w:t>
      </w:r>
      <w:r w:rsidR="005D592B" w:rsidRPr="00127BD4">
        <w:rPr>
          <w:color w:val="000000"/>
        </w:rPr>
        <w:t>es posible</w:t>
      </w:r>
      <w:r w:rsidR="00A955B3" w:rsidRPr="004068F6">
        <w:rPr>
          <w:color w:val="000000"/>
        </w:rPr>
        <w:t>.</w:t>
      </w:r>
      <w:r w:rsidR="0057408E" w:rsidRPr="00127BD4">
        <w:rPr>
          <w:color w:val="000000"/>
        </w:rPr>
        <w:t xml:space="preserve"> </w:t>
      </w:r>
      <w:r w:rsidR="00A955B3" w:rsidRPr="004068F6">
        <w:rPr>
          <w:color w:val="000000"/>
        </w:rPr>
        <w:t>P</w:t>
      </w:r>
      <w:r w:rsidR="00075135" w:rsidRPr="004068F6">
        <w:rPr>
          <w:color w:val="000000"/>
        </w:rPr>
        <w:t xml:space="preserve">or tal motivo, es necesario consultar </w:t>
      </w:r>
      <w:r w:rsidR="001C2C8C" w:rsidRPr="004068F6">
        <w:rPr>
          <w:color w:val="000000"/>
        </w:rPr>
        <w:t>a</w:t>
      </w:r>
      <w:r w:rsidR="00B771A1" w:rsidRPr="00127BD4">
        <w:rPr>
          <w:color w:val="000000"/>
        </w:rPr>
        <w:t xml:space="preserve"> la autoridad ambiental competente </w:t>
      </w:r>
      <w:r w:rsidR="001C2C8C" w:rsidRPr="00127BD4">
        <w:rPr>
          <w:color w:val="000000"/>
        </w:rPr>
        <w:t xml:space="preserve">qué EAV </w:t>
      </w:r>
      <w:r w:rsidR="008434E1" w:rsidRPr="00127BD4">
        <w:rPr>
          <w:color w:val="000000"/>
        </w:rPr>
        <w:t>existen para el área de influencia, así como los parámetros</w:t>
      </w:r>
      <w:r w:rsidR="00677B46" w:rsidRPr="004068F6">
        <w:rPr>
          <w:color w:val="000000"/>
        </w:rPr>
        <w:t xml:space="preserve"> o</w:t>
      </w:r>
      <w:r w:rsidR="008434E1" w:rsidRPr="00127BD4">
        <w:rPr>
          <w:color w:val="000000"/>
        </w:rPr>
        <w:t xml:space="preserve"> indicadores establecidos para su seguimiento</w:t>
      </w:r>
      <w:r w:rsidR="008434E1" w:rsidRPr="004068F6">
        <w:rPr>
          <w:color w:val="000000"/>
        </w:rPr>
        <w:t>.</w:t>
      </w:r>
      <w:r w:rsidR="00FD45D0" w:rsidRPr="004068F6">
        <w:rPr>
          <w:color w:val="000000"/>
        </w:rPr>
        <w:t xml:space="preserve"> </w:t>
      </w:r>
      <w:r w:rsidR="00A757D2" w:rsidRPr="004068F6">
        <w:rPr>
          <w:color w:val="000000"/>
        </w:rPr>
        <w:t>En cualquier caso, l</w:t>
      </w:r>
      <w:r w:rsidR="009348CA" w:rsidRPr="004068F6">
        <w:rPr>
          <w:color w:val="000000"/>
        </w:rPr>
        <w:t xml:space="preserve">os parámetros e indicadores </w:t>
      </w:r>
      <w:r w:rsidR="00447950" w:rsidRPr="004068F6">
        <w:rPr>
          <w:color w:val="000000"/>
        </w:rPr>
        <w:t xml:space="preserve">para el seguimiento de EAV sólo deben </w:t>
      </w:r>
      <w:r w:rsidR="00447950" w:rsidRPr="004068F6">
        <w:rPr>
          <w:color w:val="000000"/>
        </w:rPr>
        <w:lastRenderedPageBreak/>
        <w:t xml:space="preserve">emplearse si </w:t>
      </w:r>
      <w:r w:rsidR="00996491" w:rsidRPr="004068F6">
        <w:rPr>
          <w:color w:val="000000"/>
        </w:rPr>
        <w:t xml:space="preserve">permiten evaluar los impactos del proyecto, es decir, si permiten evaluar cómo cambian condiciones ambientales </w:t>
      </w:r>
      <w:r w:rsidR="00996491" w:rsidRPr="00127BD4">
        <w:rPr>
          <w:i/>
          <w:iCs/>
          <w:color w:val="000000"/>
        </w:rPr>
        <w:t>específicas</w:t>
      </w:r>
      <w:r w:rsidR="00996491" w:rsidRPr="004068F6">
        <w:rPr>
          <w:color w:val="000000"/>
        </w:rPr>
        <w:t xml:space="preserve"> con su ejecución.</w:t>
      </w:r>
    </w:p>
    <w:p w14:paraId="355CBB8F" w14:textId="77777777" w:rsidR="0057408E" w:rsidRPr="004068F6" w:rsidRDefault="0057408E" w:rsidP="00E63F45">
      <w:pPr>
        <w:numPr>
          <w:ilvl w:val="12"/>
          <w:numId w:val="0"/>
        </w:numPr>
        <w:tabs>
          <w:tab w:val="left" w:pos="-2268"/>
        </w:tabs>
        <w:suppressAutoHyphens/>
        <w:rPr>
          <w:rFonts w:cs="Arial"/>
          <w:spacing w:val="-3"/>
        </w:rPr>
      </w:pPr>
    </w:p>
    <w:p w14:paraId="4996DC1C" w14:textId="66DF793F" w:rsidR="00BD53D6" w:rsidRPr="004068F6" w:rsidRDefault="00BD53D6" w:rsidP="00AD1136">
      <w:pPr>
        <w:numPr>
          <w:ilvl w:val="12"/>
          <w:numId w:val="0"/>
        </w:numPr>
        <w:tabs>
          <w:tab w:val="left" w:pos="-2268"/>
        </w:tabs>
        <w:suppressAutoHyphens/>
        <w:rPr>
          <w:rFonts w:cs="Arial"/>
        </w:rPr>
      </w:pPr>
      <w:r w:rsidRPr="004068F6">
        <w:rPr>
          <w:rFonts w:cs="Arial"/>
          <w:spacing w:val="-3"/>
        </w:rPr>
        <w:t>S</w:t>
      </w:r>
      <w:r w:rsidR="00E63F45" w:rsidRPr="004068F6">
        <w:rPr>
          <w:rFonts w:cs="Arial"/>
          <w:spacing w:val="-3"/>
        </w:rPr>
        <w:t xml:space="preserve">e deben determinar </w:t>
      </w:r>
      <w:r w:rsidR="00E63F45" w:rsidRPr="004068F6">
        <w:rPr>
          <w:rFonts w:cs="Arial"/>
          <w:i/>
          <w:spacing w:val="-3"/>
        </w:rPr>
        <w:t xml:space="preserve">todos </w:t>
      </w:r>
      <w:r w:rsidR="00E63F45" w:rsidRPr="004068F6">
        <w:rPr>
          <w:rFonts w:cs="Arial"/>
          <w:spacing w:val="-3"/>
        </w:rPr>
        <w:t>los</w:t>
      </w:r>
      <w:r w:rsidR="00E63F45" w:rsidRPr="004068F6">
        <w:rPr>
          <w:rFonts w:cs="Arial"/>
          <w:i/>
          <w:spacing w:val="-3"/>
        </w:rPr>
        <w:t xml:space="preserve"> </w:t>
      </w:r>
      <w:r w:rsidR="00E63F45" w:rsidRPr="004068F6">
        <w:rPr>
          <w:rFonts w:cs="Arial"/>
          <w:spacing w:val="-3"/>
        </w:rPr>
        <w:t>impactos ambientales positivos y negativos que puede ocasionar el normal desarrollo del proyecto, obra o actividad</w:t>
      </w:r>
      <w:r w:rsidR="00C03BD1">
        <w:rPr>
          <w:rFonts w:cs="Arial"/>
          <w:spacing w:val="-3"/>
        </w:rPr>
        <w:t xml:space="preserve"> durante todas sus etapas de ejecución</w:t>
      </w:r>
      <w:r w:rsidR="00E63F45" w:rsidRPr="004068F6">
        <w:rPr>
          <w:rFonts w:cs="Arial"/>
          <w:spacing w:val="-3"/>
        </w:rPr>
        <w:t>, y no, aquellos impactos ambientales producto de contingencias o de eventos no planeados. Esta determinación debe contemplar no sólo los impactos directos, también debe referirse a los impactos indirectos</w:t>
      </w:r>
      <w:r w:rsidRPr="004068F6">
        <w:rPr>
          <w:rFonts w:cs="Arial"/>
          <w:spacing w:val="-3"/>
        </w:rPr>
        <w:t xml:space="preserve"> que son causados por el proyecto</w:t>
      </w:r>
      <w:r w:rsidR="00AD1136" w:rsidRPr="004068F6">
        <w:rPr>
          <w:rFonts w:cs="Arial"/>
          <w:spacing w:val="-3"/>
        </w:rPr>
        <w:t xml:space="preserve"> como</w:t>
      </w:r>
      <w:r w:rsidR="00605D66" w:rsidRPr="004068F6">
        <w:rPr>
          <w:rFonts w:cs="Arial"/>
          <w:spacing w:val="-3"/>
        </w:rPr>
        <w:t>,</w:t>
      </w:r>
      <w:r w:rsidR="00AD1136" w:rsidRPr="004068F6">
        <w:rPr>
          <w:rFonts w:cs="Arial"/>
          <w:spacing w:val="-3"/>
        </w:rPr>
        <w:t xml:space="preserve"> por </w:t>
      </w:r>
      <w:r w:rsidR="00744FB7" w:rsidRPr="004068F6">
        <w:rPr>
          <w:rFonts w:cs="Arial"/>
        </w:rPr>
        <w:t xml:space="preserve">ejemplo, los </w:t>
      </w:r>
      <w:r w:rsidR="00AD1136" w:rsidRPr="004068F6">
        <w:rPr>
          <w:rFonts w:cs="Arial"/>
        </w:rPr>
        <w:t xml:space="preserve">causados </w:t>
      </w:r>
      <w:r w:rsidR="00744FB7" w:rsidRPr="004068F6">
        <w:rPr>
          <w:rFonts w:cs="Arial"/>
        </w:rPr>
        <w:t xml:space="preserve">sobre el medio socioeconómico </w:t>
      </w:r>
      <w:r w:rsidR="00AD1136" w:rsidRPr="004068F6">
        <w:rPr>
          <w:rFonts w:cs="Arial"/>
        </w:rPr>
        <w:t xml:space="preserve">que tienen origen de forma indirecta en </w:t>
      </w:r>
      <w:r w:rsidR="00744FB7" w:rsidRPr="004068F6">
        <w:rPr>
          <w:rFonts w:cs="Arial"/>
        </w:rPr>
        <w:t xml:space="preserve">otros </w:t>
      </w:r>
      <w:r w:rsidRPr="004068F6">
        <w:rPr>
          <w:rFonts w:cs="Arial"/>
        </w:rPr>
        <w:t xml:space="preserve">impactos </w:t>
      </w:r>
      <w:r w:rsidR="00744FB7" w:rsidRPr="004068F6">
        <w:rPr>
          <w:rFonts w:cs="Arial"/>
        </w:rPr>
        <w:t xml:space="preserve">del proyecto sobre </w:t>
      </w:r>
      <w:r w:rsidRPr="004068F6">
        <w:rPr>
          <w:rFonts w:cs="Arial"/>
        </w:rPr>
        <w:t>los medios abiótico, biótico y socioeconómico.</w:t>
      </w:r>
    </w:p>
    <w:p w14:paraId="73FD2FA0" w14:textId="77777777" w:rsidR="00744FB7" w:rsidRPr="004068F6" w:rsidRDefault="00744FB7" w:rsidP="00BD53D6">
      <w:pPr>
        <w:numPr>
          <w:ilvl w:val="12"/>
          <w:numId w:val="0"/>
        </w:numPr>
        <w:tabs>
          <w:tab w:val="left" w:pos="-2268"/>
        </w:tabs>
        <w:suppressAutoHyphens/>
        <w:rPr>
          <w:rFonts w:cs="Arial"/>
        </w:rPr>
      </w:pPr>
    </w:p>
    <w:p w14:paraId="071DB422" w14:textId="5CAB3C9C" w:rsidR="00744FB7" w:rsidRPr="004068F6" w:rsidRDefault="00744FB7" w:rsidP="00744FB7">
      <w:pPr>
        <w:numPr>
          <w:ilvl w:val="12"/>
          <w:numId w:val="0"/>
        </w:numPr>
        <w:tabs>
          <w:tab w:val="left" w:pos="-2268"/>
        </w:tabs>
        <w:suppressAutoHyphens/>
        <w:rPr>
          <w:rFonts w:cs="Arial"/>
          <w:spacing w:val="-3"/>
        </w:rPr>
      </w:pPr>
      <w:r w:rsidRPr="004068F6">
        <w:rPr>
          <w:rFonts w:cs="Arial"/>
          <w:spacing w:val="-3"/>
        </w:rPr>
        <w:t xml:space="preserve">Asimismo, la determinación de impactos debe considerar que la propuesta de desarrollo puede desencadenar impactos sinérgicos e impactos con la capacidad de </w:t>
      </w:r>
      <w:r w:rsidRPr="004068F6">
        <w:rPr>
          <w:rFonts w:cs="Arial"/>
          <w:iCs/>
          <w:spacing w:val="-3"/>
        </w:rPr>
        <w:t>acumularse en el tiempo</w:t>
      </w:r>
      <w:r w:rsidRPr="004068F6">
        <w:rPr>
          <w:rFonts w:cs="Arial"/>
          <w:spacing w:val="-3"/>
        </w:rPr>
        <w:t>.</w:t>
      </w:r>
      <w:r w:rsidR="004B192B" w:rsidRPr="004068F6">
        <w:rPr>
          <w:rFonts w:cs="Arial"/>
          <w:spacing w:val="-3"/>
        </w:rPr>
        <w:t xml:space="preserve"> </w:t>
      </w:r>
      <w:r w:rsidR="00507DFD">
        <w:rPr>
          <w:rFonts w:cs="Arial"/>
          <w:spacing w:val="-3"/>
        </w:rPr>
        <w:t xml:space="preserve">Más adelante en este </w:t>
      </w:r>
      <w:r w:rsidR="005A4981" w:rsidRPr="004068F6">
        <w:rPr>
          <w:rFonts w:cs="Arial"/>
          <w:spacing w:val="-3"/>
        </w:rPr>
        <w:t>numeral</w:t>
      </w:r>
      <w:r w:rsidR="00507DFD">
        <w:rPr>
          <w:rFonts w:cs="Arial"/>
          <w:spacing w:val="-3"/>
        </w:rPr>
        <w:t>,</w:t>
      </w:r>
      <w:r w:rsidR="005A4981" w:rsidRPr="004068F6">
        <w:rPr>
          <w:rFonts w:cs="Arial"/>
          <w:spacing w:val="-3"/>
        </w:rPr>
        <w:t xml:space="preserve"> se brindan lineamientos específicos para evaluar</w:t>
      </w:r>
      <w:r w:rsidR="00EB2D82" w:rsidRPr="004068F6">
        <w:rPr>
          <w:rFonts w:cs="Arial"/>
          <w:spacing w:val="-3"/>
        </w:rPr>
        <w:t>los</w:t>
      </w:r>
      <w:r w:rsidR="005A4981" w:rsidRPr="004068F6">
        <w:rPr>
          <w:rFonts w:cs="Arial"/>
          <w:spacing w:val="-3"/>
        </w:rPr>
        <w:t>.</w:t>
      </w:r>
    </w:p>
    <w:p w14:paraId="34578B0E" w14:textId="77777777" w:rsidR="00E63F45" w:rsidRPr="004068F6" w:rsidRDefault="00E63F45" w:rsidP="00E63F45">
      <w:pPr>
        <w:numPr>
          <w:ilvl w:val="12"/>
          <w:numId w:val="0"/>
        </w:numPr>
        <w:tabs>
          <w:tab w:val="left" w:pos="-2268"/>
        </w:tabs>
        <w:suppressAutoHyphens/>
        <w:rPr>
          <w:rFonts w:cs="Arial"/>
          <w:spacing w:val="-3"/>
        </w:rPr>
      </w:pPr>
    </w:p>
    <w:p w14:paraId="1D7E67BD" w14:textId="33D5B925" w:rsidR="00E63F45" w:rsidRPr="004068F6" w:rsidRDefault="00E63F45" w:rsidP="00E63F45">
      <w:pPr>
        <w:numPr>
          <w:ilvl w:val="12"/>
          <w:numId w:val="0"/>
        </w:numPr>
        <w:tabs>
          <w:tab w:val="left" w:pos="-2268"/>
        </w:tabs>
        <w:suppressAutoHyphens/>
        <w:rPr>
          <w:rFonts w:cs="Arial"/>
          <w:spacing w:val="-3"/>
        </w:rPr>
      </w:pPr>
      <w:r w:rsidRPr="004068F6">
        <w:rPr>
          <w:rFonts w:cs="Arial"/>
          <w:spacing w:val="-3"/>
        </w:rPr>
        <w:t xml:space="preserve">La determinación de impactos </w:t>
      </w:r>
      <w:r w:rsidR="0082276F" w:rsidRPr="004068F6">
        <w:rPr>
          <w:rFonts w:cs="Arial"/>
          <w:spacing w:val="-3"/>
        </w:rPr>
        <w:t xml:space="preserve">aborda </w:t>
      </w:r>
      <w:r w:rsidRPr="004068F6">
        <w:rPr>
          <w:rFonts w:cs="Arial"/>
          <w:spacing w:val="-3"/>
        </w:rPr>
        <w:t>también aquellos que el proyecto, obra o actividad ocasiona en el paisaje y los servicios ecosistémicos, de modo que resulta imprescindible estudiar las relaciones entre los factores biofísicos y socioeconómicos del ambiente para establecer, de acuerdo con las características propias de las actividades a ejecutar, qué parámetros (cualitativos o cuantitativos) referidos al paisaje o a estos servicios, resultarían alterados de forma directa o indirecta.</w:t>
      </w:r>
    </w:p>
    <w:p w14:paraId="04F2BD43" w14:textId="77777777" w:rsidR="0009764E" w:rsidRPr="004068F6" w:rsidRDefault="0009764E" w:rsidP="004A1C59">
      <w:pPr>
        <w:overflowPunct/>
        <w:textAlignment w:val="auto"/>
        <w:rPr>
          <w:color w:val="000000"/>
        </w:rPr>
      </w:pPr>
    </w:p>
    <w:p w14:paraId="77A49C7F" w14:textId="73CB8EA5" w:rsidR="004F7EE5" w:rsidRPr="009B62C0" w:rsidRDefault="00B756DC" w:rsidP="00B756DC">
      <w:pPr>
        <w:numPr>
          <w:ilvl w:val="12"/>
          <w:numId w:val="0"/>
        </w:numPr>
        <w:tabs>
          <w:tab w:val="left" w:pos="-2268"/>
        </w:tabs>
        <w:suppressAutoHyphens/>
        <w:rPr>
          <w:rFonts w:cs="Arial"/>
        </w:rPr>
      </w:pPr>
      <w:r w:rsidRPr="009B62C0">
        <w:rPr>
          <w:rFonts w:cs="Arial"/>
          <w:spacing w:val="-3"/>
        </w:rPr>
        <w:t xml:space="preserve">Asimismo, con el fin de </w:t>
      </w:r>
      <w:r w:rsidR="00E02E23" w:rsidRPr="009B62C0">
        <w:rPr>
          <w:rFonts w:cs="Arial"/>
          <w:spacing w:val="-3"/>
        </w:rPr>
        <w:t xml:space="preserve">prevenir </w:t>
      </w:r>
      <w:r w:rsidRPr="009B62C0">
        <w:rPr>
          <w:rFonts w:cs="Arial"/>
          <w:spacing w:val="-3"/>
        </w:rPr>
        <w:t xml:space="preserve">el riesgo o vulneración de derechos humanos, es necesario </w:t>
      </w:r>
      <w:r w:rsidR="00301C76">
        <w:rPr>
          <w:rFonts w:cs="Arial"/>
          <w:spacing w:val="-3"/>
        </w:rPr>
        <w:t xml:space="preserve">señalar </w:t>
      </w:r>
      <w:r w:rsidRPr="009B62C0">
        <w:rPr>
          <w:rFonts w:cs="Arial"/>
          <w:spacing w:val="-3"/>
        </w:rPr>
        <w:t>qué derecho</w:t>
      </w:r>
      <w:r w:rsidR="00FD20BF" w:rsidRPr="009B62C0">
        <w:rPr>
          <w:rFonts w:cs="Arial"/>
          <w:spacing w:val="-3"/>
        </w:rPr>
        <w:t>s</w:t>
      </w:r>
      <w:r w:rsidRPr="009B62C0">
        <w:rPr>
          <w:rFonts w:cs="Arial"/>
          <w:spacing w:val="-3"/>
        </w:rPr>
        <w:t xml:space="preserve"> humano</w:t>
      </w:r>
      <w:r w:rsidR="00FD20BF" w:rsidRPr="009B62C0">
        <w:rPr>
          <w:rFonts w:cs="Arial"/>
          <w:spacing w:val="-3"/>
        </w:rPr>
        <w:t>s</w:t>
      </w:r>
      <w:r w:rsidR="00C66A7A" w:rsidRPr="009B62C0">
        <w:rPr>
          <w:rFonts w:cs="Arial"/>
          <w:spacing w:val="-3"/>
        </w:rPr>
        <w:t xml:space="preserve"> </w:t>
      </w:r>
      <w:r w:rsidR="00301C76">
        <w:rPr>
          <w:rFonts w:cs="Arial"/>
          <w:spacing w:val="-3"/>
        </w:rPr>
        <w:t xml:space="preserve">podrían </w:t>
      </w:r>
      <w:r w:rsidR="00AA01A8">
        <w:rPr>
          <w:rFonts w:cs="Arial"/>
          <w:spacing w:val="-3"/>
        </w:rPr>
        <w:t xml:space="preserve">resultar incididos </w:t>
      </w:r>
      <w:r w:rsidR="00CC2432">
        <w:rPr>
          <w:rFonts w:cs="Arial"/>
          <w:spacing w:val="-3"/>
        </w:rPr>
        <w:t xml:space="preserve">negativamente </w:t>
      </w:r>
      <w:r w:rsidR="005371E7">
        <w:rPr>
          <w:rFonts w:cs="Arial"/>
          <w:spacing w:val="-3"/>
        </w:rPr>
        <w:t>dada</w:t>
      </w:r>
      <w:r w:rsidR="002C4D70">
        <w:rPr>
          <w:rFonts w:cs="Arial"/>
          <w:spacing w:val="-3"/>
        </w:rPr>
        <w:t xml:space="preserve"> </w:t>
      </w:r>
      <w:r w:rsidR="002A4065">
        <w:rPr>
          <w:rFonts w:cs="Arial"/>
          <w:spacing w:val="-3"/>
        </w:rPr>
        <w:t xml:space="preserve">la manifestación de </w:t>
      </w:r>
      <w:r w:rsidR="005371E7">
        <w:rPr>
          <w:rFonts w:cs="Arial"/>
          <w:spacing w:val="-3"/>
        </w:rPr>
        <w:t xml:space="preserve">los </w:t>
      </w:r>
      <w:r w:rsidR="00541802">
        <w:rPr>
          <w:rFonts w:cs="Arial"/>
          <w:spacing w:val="-3"/>
        </w:rPr>
        <w:t xml:space="preserve">impactos </w:t>
      </w:r>
      <w:r w:rsidR="005371E7">
        <w:rPr>
          <w:rFonts w:cs="Arial"/>
          <w:spacing w:val="-3"/>
        </w:rPr>
        <w:t xml:space="preserve">que </w:t>
      </w:r>
      <w:r w:rsidR="002C4D70">
        <w:rPr>
          <w:rFonts w:cs="Arial"/>
          <w:spacing w:val="-3"/>
        </w:rPr>
        <w:t xml:space="preserve">el proyecto </w:t>
      </w:r>
      <w:r w:rsidR="005371E7">
        <w:rPr>
          <w:rFonts w:cs="Arial"/>
          <w:spacing w:val="-3"/>
        </w:rPr>
        <w:t xml:space="preserve">genera </w:t>
      </w:r>
      <w:r w:rsidR="00B212CD">
        <w:rPr>
          <w:rFonts w:cs="Arial"/>
          <w:spacing w:val="-3"/>
        </w:rPr>
        <w:t>sobre los servicios ecosistémicos</w:t>
      </w:r>
      <w:r w:rsidR="00744057">
        <w:rPr>
          <w:rFonts w:cs="Arial"/>
          <w:spacing w:val="-3"/>
        </w:rPr>
        <w:t>;</w:t>
      </w:r>
      <w:r w:rsidR="00C12110" w:rsidRPr="00C12110">
        <w:rPr>
          <w:rFonts w:cs="Arial"/>
          <w:spacing w:val="-3"/>
        </w:rPr>
        <w:t xml:space="preserve"> </w:t>
      </w:r>
      <w:r w:rsidR="00744057">
        <w:rPr>
          <w:rFonts w:cs="Arial"/>
          <w:spacing w:val="-3"/>
        </w:rPr>
        <w:t>e</w:t>
      </w:r>
      <w:r w:rsidR="002726AB">
        <w:rPr>
          <w:rFonts w:cs="Arial"/>
          <w:spacing w:val="-3"/>
        </w:rPr>
        <w:t xml:space="preserve">stos derechos humanos son determinados </w:t>
      </w:r>
      <w:r w:rsidR="00E211D8">
        <w:rPr>
          <w:rFonts w:cs="Arial"/>
          <w:spacing w:val="-3"/>
        </w:rPr>
        <w:t xml:space="preserve">en el numeral de caracterización de los servicios ecosistémicos </w:t>
      </w:r>
      <w:r w:rsidR="002726AB">
        <w:rPr>
          <w:rFonts w:cs="Arial"/>
          <w:spacing w:val="-3"/>
        </w:rPr>
        <w:t>y ref</w:t>
      </w:r>
      <w:r w:rsidR="00E211D8">
        <w:rPr>
          <w:rFonts w:cs="Arial"/>
          <w:spacing w:val="-3"/>
        </w:rPr>
        <w:t>e</w:t>
      </w:r>
      <w:r w:rsidR="002726AB">
        <w:rPr>
          <w:rFonts w:cs="Arial"/>
          <w:spacing w:val="-3"/>
        </w:rPr>
        <w:t xml:space="preserve">renciados </w:t>
      </w:r>
      <w:r w:rsidR="00E211D8" w:rsidRPr="00E3056A">
        <w:rPr>
          <w:rFonts w:cs="Arial"/>
          <w:spacing w:val="-3"/>
        </w:rPr>
        <w:t xml:space="preserve">en </w:t>
      </w:r>
      <w:r w:rsidR="00BF7733" w:rsidRPr="00E3056A">
        <w:rPr>
          <w:rFonts w:cs="Arial"/>
        </w:rPr>
        <w:t xml:space="preserve">la </w:t>
      </w:r>
      <w:r w:rsidR="00BF7733" w:rsidRPr="00E3056A">
        <w:rPr>
          <w:rFonts w:cs="Arial"/>
        </w:rPr>
        <w:fldChar w:fldCharType="begin"/>
      </w:r>
      <w:r w:rsidR="00BF7733" w:rsidRPr="00E3056A">
        <w:rPr>
          <w:rFonts w:cs="Arial"/>
        </w:rPr>
        <w:instrText xml:space="preserve"> REF _Ref78536291 \h  \* MERGEFORMAT </w:instrText>
      </w:r>
      <w:r w:rsidR="00BF7733" w:rsidRPr="00E3056A">
        <w:rPr>
          <w:rFonts w:cs="Arial"/>
        </w:rPr>
      </w:r>
      <w:r w:rsidR="00BF7733" w:rsidRPr="00E3056A">
        <w:rPr>
          <w:rFonts w:cs="Arial"/>
        </w:rPr>
        <w:fldChar w:fldCharType="separate"/>
      </w:r>
      <w:r w:rsidR="009C4A81" w:rsidRPr="009C4A81">
        <w:rPr>
          <w:rFonts w:cs="Arial"/>
          <w:spacing w:val="-3"/>
        </w:rPr>
        <w:t xml:space="preserve">Tabla </w:t>
      </w:r>
      <w:r w:rsidR="009C4A81" w:rsidRPr="009C4A81">
        <w:rPr>
          <w:rFonts w:cs="Arial"/>
          <w:noProof/>
          <w:spacing w:val="-3"/>
        </w:rPr>
        <w:t>28</w:t>
      </w:r>
      <w:r w:rsidR="00BF7733" w:rsidRPr="00E3056A">
        <w:rPr>
          <w:rFonts w:cs="Arial"/>
        </w:rPr>
        <w:fldChar w:fldCharType="end"/>
      </w:r>
      <w:r w:rsidR="00415C87" w:rsidRPr="00E3056A">
        <w:rPr>
          <w:rFonts w:cs="Arial"/>
        </w:rPr>
        <w:t>.</w:t>
      </w:r>
      <w:r w:rsidR="00D8346D" w:rsidRPr="00E3056A">
        <w:rPr>
          <w:rFonts w:cs="Arial"/>
          <w:spacing w:val="-3"/>
        </w:rPr>
        <w:t xml:space="preserve"> </w:t>
      </w:r>
      <w:r w:rsidR="003A59FD" w:rsidRPr="00E3056A">
        <w:rPr>
          <w:rFonts w:cs="Arial"/>
          <w:spacing w:val="-3"/>
        </w:rPr>
        <w:t>Igualmente</w:t>
      </w:r>
      <w:r w:rsidR="006249CF" w:rsidRPr="00E3056A">
        <w:rPr>
          <w:rFonts w:cs="Arial"/>
          <w:spacing w:val="-3"/>
        </w:rPr>
        <w:t>,</w:t>
      </w:r>
      <w:r w:rsidR="006249CF" w:rsidRPr="00C12110">
        <w:rPr>
          <w:rFonts w:cs="Arial"/>
          <w:spacing w:val="-3"/>
        </w:rPr>
        <w:t xml:space="preserve"> s</w:t>
      </w:r>
      <w:r w:rsidR="00A47A1D" w:rsidRPr="00C12110">
        <w:rPr>
          <w:rFonts w:cs="Arial"/>
          <w:spacing w:val="-3"/>
        </w:rPr>
        <w:t>e</w:t>
      </w:r>
      <w:r w:rsidR="0092283B" w:rsidRPr="00C12110">
        <w:rPr>
          <w:rFonts w:cs="Arial"/>
          <w:spacing w:val="-3"/>
        </w:rPr>
        <w:t xml:space="preserve"> debe </w:t>
      </w:r>
      <w:r w:rsidRPr="00C12110">
        <w:rPr>
          <w:rFonts w:cs="Arial"/>
          <w:spacing w:val="-3"/>
        </w:rPr>
        <w:t xml:space="preserve">mencionar </w:t>
      </w:r>
      <w:r w:rsidR="00E3056A">
        <w:rPr>
          <w:rFonts w:cs="Arial"/>
          <w:spacing w:val="-3"/>
        </w:rPr>
        <w:t>cuáles son los</w:t>
      </w:r>
      <w:r w:rsidRPr="00C12110">
        <w:rPr>
          <w:rFonts w:cs="Arial"/>
          <w:spacing w:val="-3"/>
        </w:rPr>
        <w:t xml:space="preserve"> grupos humanos titulares</w:t>
      </w:r>
      <w:r w:rsidR="000A78FA" w:rsidRPr="00C12110">
        <w:rPr>
          <w:rStyle w:val="Refdenotaalpie"/>
          <w:rFonts w:cs="Arial"/>
          <w:lang w:val="es-CO"/>
        </w:rPr>
        <w:footnoteReference w:id="218"/>
      </w:r>
      <w:r w:rsidRPr="00C12110">
        <w:rPr>
          <w:rFonts w:cs="Arial"/>
          <w:spacing w:val="-3"/>
        </w:rPr>
        <w:t xml:space="preserve"> de </w:t>
      </w:r>
      <w:r w:rsidR="00A47A1D" w:rsidRPr="00C12110">
        <w:rPr>
          <w:rFonts w:cs="Arial"/>
          <w:spacing w:val="-3"/>
        </w:rPr>
        <w:t xml:space="preserve">los </w:t>
      </w:r>
      <w:r w:rsidRPr="00C12110">
        <w:rPr>
          <w:rFonts w:cs="Arial"/>
          <w:spacing w:val="-3"/>
        </w:rPr>
        <w:t>derechos</w:t>
      </w:r>
      <w:r w:rsidR="006249CF" w:rsidRPr="00C12110">
        <w:rPr>
          <w:rFonts w:cs="Arial"/>
          <w:spacing w:val="-3"/>
        </w:rPr>
        <w:t xml:space="preserve"> </w:t>
      </w:r>
      <w:r w:rsidR="007B51FF">
        <w:rPr>
          <w:rFonts w:cs="Arial"/>
          <w:spacing w:val="-3"/>
        </w:rPr>
        <w:t xml:space="preserve">que resultarían </w:t>
      </w:r>
      <w:r w:rsidR="00A47A1D" w:rsidRPr="00C12110">
        <w:rPr>
          <w:rFonts w:cs="Arial"/>
          <w:spacing w:val="-3"/>
        </w:rPr>
        <w:t>afectados</w:t>
      </w:r>
      <w:r w:rsidRPr="00C12110">
        <w:rPr>
          <w:rFonts w:cs="Arial"/>
        </w:rPr>
        <w:t>.</w:t>
      </w:r>
    </w:p>
    <w:p w14:paraId="2B02DEC5" w14:textId="77777777" w:rsidR="00EB2D82" w:rsidRPr="004068F6" w:rsidRDefault="00EB2D82" w:rsidP="004A1C59">
      <w:pPr>
        <w:overflowPunct/>
        <w:textAlignment w:val="auto"/>
        <w:rPr>
          <w:color w:val="000000"/>
        </w:rPr>
      </w:pPr>
    </w:p>
    <w:p w14:paraId="74487E94" w14:textId="39C84CC5" w:rsidR="00E63F45" w:rsidRPr="00466E26" w:rsidRDefault="00E63F45" w:rsidP="000A1E20">
      <w:pPr>
        <w:pStyle w:val="Ttulo3"/>
      </w:pPr>
      <w:bookmarkStart w:id="3307" w:name="_Toc138760031"/>
      <w:bookmarkStart w:id="3308" w:name="_Toc153811872"/>
      <w:bookmarkStart w:id="3309" w:name="_Toc153812086"/>
      <w:bookmarkStart w:id="3310" w:name="_Toc153812491"/>
      <w:bookmarkStart w:id="3311" w:name="_Toc153817519"/>
      <w:bookmarkStart w:id="3312" w:name="_Toc158907202"/>
      <w:bookmarkStart w:id="3313" w:name="_Toc159826202"/>
      <w:bookmarkStart w:id="3314" w:name="_Toc159826636"/>
      <w:bookmarkStart w:id="3315" w:name="_Toc175326476"/>
      <w:bookmarkStart w:id="3316" w:name="_Ref137114509"/>
      <w:bookmarkStart w:id="3317" w:name="_Ref192235719"/>
      <w:bookmarkStart w:id="3318" w:name="_Ref192673189"/>
      <w:bookmarkStart w:id="3319" w:name="_Ref204692735"/>
      <w:bookmarkStart w:id="3320" w:name="_Toc230879698"/>
      <w:bookmarkEnd w:id="3307"/>
      <w:bookmarkEnd w:id="3308"/>
      <w:bookmarkEnd w:id="3309"/>
      <w:bookmarkEnd w:id="3310"/>
      <w:bookmarkEnd w:id="3311"/>
      <w:bookmarkEnd w:id="3312"/>
      <w:bookmarkEnd w:id="3313"/>
      <w:bookmarkEnd w:id="3314"/>
      <w:bookmarkEnd w:id="3315"/>
      <w:r w:rsidRPr="00466E26">
        <w:t>Valoración</w:t>
      </w:r>
      <w:bookmarkEnd w:id="3316"/>
      <w:r w:rsidR="00A64E70" w:rsidRPr="00466E26">
        <w:t xml:space="preserve"> en el escenario con proyecto</w:t>
      </w:r>
      <w:bookmarkEnd w:id="3317"/>
      <w:bookmarkEnd w:id="3318"/>
      <w:bookmarkEnd w:id="3319"/>
      <w:bookmarkEnd w:id="3320"/>
    </w:p>
    <w:p w14:paraId="7D798DE3" w14:textId="77777777" w:rsidR="00F97F99" w:rsidRPr="004068F6" w:rsidRDefault="00F97F99" w:rsidP="00E63F45">
      <w:pPr>
        <w:numPr>
          <w:ilvl w:val="12"/>
          <w:numId w:val="0"/>
        </w:numPr>
        <w:tabs>
          <w:tab w:val="left" w:pos="-2268"/>
        </w:tabs>
        <w:suppressAutoHyphens/>
        <w:rPr>
          <w:rFonts w:cs="Arial"/>
          <w:spacing w:val="-3"/>
        </w:rPr>
      </w:pPr>
    </w:p>
    <w:p w14:paraId="20754A71" w14:textId="7AE1FBF7" w:rsidR="003F28B9" w:rsidRPr="004068F6" w:rsidRDefault="003F28B9" w:rsidP="003F28B9">
      <w:pPr>
        <w:overflowPunct/>
        <w:textAlignment w:val="auto"/>
        <w:rPr>
          <w:rFonts w:cs="Arial"/>
          <w:spacing w:val="-3"/>
        </w:rPr>
      </w:pPr>
      <w:r w:rsidRPr="004068F6">
        <w:rPr>
          <w:color w:val="000000"/>
        </w:rPr>
        <w:t xml:space="preserve">La valoración debe realizarse para todos los impactos positivos y negativos determinados, así como </w:t>
      </w:r>
      <w:r w:rsidR="001A5057" w:rsidRPr="004068F6">
        <w:rPr>
          <w:rFonts w:cs="Arial"/>
          <w:spacing w:val="-3"/>
        </w:rPr>
        <w:t xml:space="preserve">considerar las variaciones y tendencias </w:t>
      </w:r>
      <w:r w:rsidR="00F45523" w:rsidRPr="004068F6">
        <w:rPr>
          <w:rFonts w:cs="Arial"/>
          <w:spacing w:val="-3"/>
        </w:rPr>
        <w:t xml:space="preserve">ambientales </w:t>
      </w:r>
      <w:r w:rsidR="001A5057" w:rsidRPr="004068F6">
        <w:rPr>
          <w:rFonts w:cs="Arial"/>
          <w:spacing w:val="-3"/>
        </w:rPr>
        <w:t xml:space="preserve">esperadas en </w:t>
      </w:r>
      <w:r w:rsidR="00F97F99" w:rsidRPr="004068F6">
        <w:rPr>
          <w:rFonts w:cs="Arial"/>
          <w:spacing w:val="-3"/>
        </w:rPr>
        <w:t>el escenario sin proyecto</w:t>
      </w:r>
      <w:r w:rsidR="001A5057" w:rsidRPr="004068F6">
        <w:rPr>
          <w:rFonts w:cs="Arial"/>
          <w:spacing w:val="-3"/>
        </w:rPr>
        <w:t>, con el fin</w:t>
      </w:r>
      <w:r w:rsidR="00F97F99" w:rsidRPr="004068F6">
        <w:rPr>
          <w:rFonts w:cs="Arial"/>
          <w:spacing w:val="-3"/>
        </w:rPr>
        <w:t xml:space="preserve"> </w:t>
      </w:r>
      <w:r w:rsidR="001A5057" w:rsidRPr="004068F6">
        <w:rPr>
          <w:rFonts w:cs="Arial"/>
          <w:spacing w:val="-3"/>
        </w:rPr>
        <w:t>de establecer la</w:t>
      </w:r>
      <w:r w:rsidR="00730600" w:rsidRPr="004068F6">
        <w:rPr>
          <w:rFonts w:cs="Arial"/>
          <w:spacing w:val="-3"/>
        </w:rPr>
        <w:t>s</w:t>
      </w:r>
      <w:r w:rsidR="001A5057" w:rsidRPr="004068F6">
        <w:rPr>
          <w:rFonts w:cs="Arial"/>
          <w:spacing w:val="-3"/>
        </w:rPr>
        <w:t xml:space="preserve"> diferencia</w:t>
      </w:r>
      <w:r w:rsidR="00730600" w:rsidRPr="004068F6">
        <w:rPr>
          <w:rFonts w:cs="Arial"/>
          <w:spacing w:val="-3"/>
        </w:rPr>
        <w:t>s</w:t>
      </w:r>
      <w:r w:rsidR="001A5057" w:rsidRPr="004068F6">
        <w:rPr>
          <w:rFonts w:cs="Arial"/>
          <w:spacing w:val="-3"/>
        </w:rPr>
        <w:t xml:space="preserve"> </w:t>
      </w:r>
      <w:r w:rsidRPr="004068F6">
        <w:rPr>
          <w:rFonts w:cs="Arial"/>
          <w:spacing w:val="-3"/>
        </w:rPr>
        <w:t xml:space="preserve">entre escenarios </w:t>
      </w:r>
      <w:r w:rsidR="00730600" w:rsidRPr="004068F6">
        <w:rPr>
          <w:rFonts w:cs="Arial"/>
          <w:spacing w:val="-3"/>
        </w:rPr>
        <w:t xml:space="preserve">y en tal medida valorar </w:t>
      </w:r>
      <w:r w:rsidRPr="004068F6">
        <w:rPr>
          <w:rFonts w:cs="Arial"/>
          <w:spacing w:val="-3"/>
        </w:rPr>
        <w:t xml:space="preserve">los </w:t>
      </w:r>
      <w:r w:rsidR="00730600" w:rsidRPr="004068F6">
        <w:rPr>
          <w:rFonts w:cs="Arial"/>
          <w:spacing w:val="-3"/>
        </w:rPr>
        <w:t>impactos</w:t>
      </w:r>
      <w:r w:rsidRPr="004068F6">
        <w:rPr>
          <w:rFonts w:cs="Arial"/>
          <w:spacing w:val="-3"/>
        </w:rPr>
        <w:t xml:space="preserve"> del escenario con proyecto</w:t>
      </w:r>
      <w:r w:rsidR="001A5057" w:rsidRPr="004068F6">
        <w:rPr>
          <w:rFonts w:cs="Arial"/>
          <w:spacing w:val="-3"/>
        </w:rPr>
        <w:t>.</w:t>
      </w:r>
    </w:p>
    <w:p w14:paraId="74004247" w14:textId="77777777" w:rsidR="003F28B9" w:rsidRPr="004068F6" w:rsidRDefault="003F28B9" w:rsidP="003F28B9">
      <w:pPr>
        <w:overflowPunct/>
        <w:textAlignment w:val="auto"/>
        <w:rPr>
          <w:rFonts w:cs="Arial"/>
          <w:spacing w:val="-3"/>
        </w:rPr>
      </w:pPr>
    </w:p>
    <w:p w14:paraId="00D96556" w14:textId="49A73EE7" w:rsidR="001A5057" w:rsidRPr="004068F6" w:rsidRDefault="000E070B" w:rsidP="008A4FE9">
      <w:pPr>
        <w:overflowPunct/>
        <w:textAlignment w:val="auto"/>
        <w:rPr>
          <w:rFonts w:cs="Arial"/>
          <w:spacing w:val="-3"/>
        </w:rPr>
      </w:pPr>
      <w:r w:rsidRPr="004068F6">
        <w:rPr>
          <w:rFonts w:cs="Arial"/>
          <w:spacing w:val="-3"/>
        </w:rPr>
        <w:t>L</w:t>
      </w:r>
      <w:r w:rsidR="00730600" w:rsidRPr="004068F6">
        <w:rPr>
          <w:rFonts w:cs="Arial"/>
          <w:spacing w:val="-3"/>
        </w:rPr>
        <w:t>a comparación debe medir con escalas cuantitativas</w:t>
      </w:r>
      <w:r w:rsidR="0031656F" w:rsidRPr="004068F6">
        <w:rPr>
          <w:rFonts w:cs="Arial"/>
          <w:spacing w:val="-3"/>
        </w:rPr>
        <w:t>, de ser posible,</w:t>
      </w:r>
      <w:r w:rsidR="00730600" w:rsidRPr="004068F6">
        <w:rPr>
          <w:rFonts w:cs="Arial"/>
          <w:spacing w:val="-3"/>
        </w:rPr>
        <w:t xml:space="preserve"> las diferencias</w:t>
      </w:r>
      <w:r w:rsidR="00F45523" w:rsidRPr="004068F6">
        <w:rPr>
          <w:rFonts w:cs="Arial"/>
          <w:spacing w:val="-3"/>
        </w:rPr>
        <w:t xml:space="preserve"> entre escenarios</w:t>
      </w:r>
      <w:r w:rsidR="004E46FF" w:rsidRPr="004068F6">
        <w:rPr>
          <w:rFonts w:cs="Arial"/>
          <w:spacing w:val="-3"/>
        </w:rPr>
        <w:t>.</w:t>
      </w:r>
      <w:r w:rsidR="00730600" w:rsidRPr="004068F6">
        <w:rPr>
          <w:rFonts w:cs="Arial"/>
          <w:spacing w:val="-3"/>
        </w:rPr>
        <w:t xml:space="preserve"> </w:t>
      </w:r>
      <w:r w:rsidR="004E46FF" w:rsidRPr="004068F6">
        <w:rPr>
          <w:rFonts w:cs="Arial"/>
          <w:spacing w:val="-3"/>
        </w:rPr>
        <w:t>A</w:t>
      </w:r>
      <w:r w:rsidR="00730600" w:rsidRPr="004068F6">
        <w:rPr>
          <w:rFonts w:cs="Arial"/>
          <w:spacing w:val="-3"/>
        </w:rPr>
        <w:t xml:space="preserve">l emplear métodos basados en </w:t>
      </w:r>
      <w:r w:rsidR="004E46FF" w:rsidRPr="004068F6">
        <w:rPr>
          <w:rFonts w:cs="Arial"/>
          <w:spacing w:val="-3"/>
        </w:rPr>
        <w:t>el análisis de redes</w:t>
      </w:r>
      <w:r w:rsidR="00730600" w:rsidRPr="004068F6">
        <w:rPr>
          <w:rFonts w:cs="Arial"/>
          <w:spacing w:val="-3"/>
        </w:rPr>
        <w:t xml:space="preserve">, </w:t>
      </w:r>
      <w:r w:rsidR="00F45523" w:rsidRPr="004068F6">
        <w:rPr>
          <w:rFonts w:cs="Arial"/>
          <w:spacing w:val="-3"/>
        </w:rPr>
        <w:t xml:space="preserve">el análisis de estas </w:t>
      </w:r>
      <w:r w:rsidR="00730600" w:rsidRPr="004068F6">
        <w:rPr>
          <w:rFonts w:cs="Arial"/>
          <w:spacing w:val="-3"/>
        </w:rPr>
        <w:t>diferencias debe enfocarse en determinar los impactos generados por el proyecto, obra o actividad y en establecer la variaci</w:t>
      </w:r>
      <w:r w:rsidR="00F45523" w:rsidRPr="004068F6">
        <w:rPr>
          <w:rFonts w:cs="Arial"/>
          <w:spacing w:val="-3"/>
        </w:rPr>
        <w:t>ón</w:t>
      </w:r>
      <w:r w:rsidR="00730600" w:rsidRPr="004068F6">
        <w:rPr>
          <w:rFonts w:cs="Arial"/>
          <w:spacing w:val="-3"/>
        </w:rPr>
        <w:t xml:space="preserve"> en el total de relaciones (grado total) de los nodos que se fijen (actividades o impactos).</w:t>
      </w:r>
    </w:p>
    <w:p w14:paraId="2C78790B" w14:textId="77777777" w:rsidR="001A5057" w:rsidRPr="004068F6" w:rsidRDefault="001A5057" w:rsidP="00E63F45">
      <w:pPr>
        <w:numPr>
          <w:ilvl w:val="12"/>
          <w:numId w:val="0"/>
        </w:numPr>
        <w:tabs>
          <w:tab w:val="left" w:pos="-2268"/>
        </w:tabs>
        <w:suppressAutoHyphens/>
        <w:rPr>
          <w:rFonts w:cs="Arial"/>
          <w:spacing w:val="-3"/>
        </w:rPr>
      </w:pPr>
    </w:p>
    <w:p w14:paraId="4B9C25CE" w14:textId="53014B22" w:rsidR="00ED0A2C" w:rsidRPr="004068F6" w:rsidRDefault="004758B0" w:rsidP="00ED0A2C">
      <w:pPr>
        <w:overflowPunct/>
        <w:textAlignment w:val="auto"/>
        <w:rPr>
          <w:color w:val="000000"/>
        </w:rPr>
      </w:pPr>
      <w:r w:rsidRPr="004068F6">
        <w:rPr>
          <w:rFonts w:cs="Arial"/>
          <w:spacing w:val="-3"/>
        </w:rPr>
        <w:t>Al estudiar la manifestación de los impactos en el tiempo y en el espacio</w:t>
      </w:r>
      <w:r w:rsidR="004E46FF" w:rsidRPr="004068F6">
        <w:rPr>
          <w:rFonts w:cs="Arial"/>
          <w:spacing w:val="-3"/>
        </w:rPr>
        <w:t xml:space="preserve"> (según las </w:t>
      </w:r>
      <w:r w:rsidR="009C6F80">
        <w:rPr>
          <w:spacing w:val="-3"/>
        </w:rPr>
        <w:t>etapas</w:t>
      </w:r>
      <w:r w:rsidR="009C6F80" w:rsidRPr="004068F6" w:rsidDel="009C6F80">
        <w:rPr>
          <w:color w:val="000000"/>
        </w:rPr>
        <w:t xml:space="preserve"> </w:t>
      </w:r>
      <w:r w:rsidR="004E46FF" w:rsidRPr="004068F6">
        <w:rPr>
          <w:color w:val="000000"/>
        </w:rPr>
        <w:t>de ejecución del proyecto</w:t>
      </w:r>
      <w:r w:rsidR="004E46FF" w:rsidRPr="004068F6">
        <w:rPr>
          <w:rFonts w:cs="Arial"/>
          <w:spacing w:val="-3"/>
        </w:rPr>
        <w:t>)</w:t>
      </w:r>
      <w:r w:rsidRPr="004068F6">
        <w:rPr>
          <w:rFonts w:cs="Arial"/>
          <w:spacing w:val="-3"/>
        </w:rPr>
        <w:t xml:space="preserve">, y concluir que </w:t>
      </w:r>
      <w:r w:rsidR="00ED0A2C" w:rsidRPr="004068F6">
        <w:rPr>
          <w:color w:val="000000"/>
        </w:rPr>
        <w:t>exist</w:t>
      </w:r>
      <w:r w:rsidRPr="004068F6">
        <w:rPr>
          <w:color w:val="000000"/>
        </w:rPr>
        <w:t>e</w:t>
      </w:r>
      <w:r w:rsidR="00ED0A2C" w:rsidRPr="004068F6">
        <w:rPr>
          <w:color w:val="000000"/>
        </w:rPr>
        <w:t xml:space="preserve"> un alto grado de incertidumbre acerca de la magnitud o alcance de </w:t>
      </w:r>
      <w:r w:rsidRPr="004068F6">
        <w:rPr>
          <w:color w:val="000000"/>
        </w:rPr>
        <w:t>uno de ellos</w:t>
      </w:r>
      <w:r w:rsidR="00ED0A2C" w:rsidRPr="004068F6">
        <w:rPr>
          <w:color w:val="000000"/>
        </w:rPr>
        <w:t xml:space="preserve">, </w:t>
      </w:r>
      <w:r w:rsidRPr="004068F6">
        <w:rPr>
          <w:color w:val="000000"/>
        </w:rPr>
        <w:t xml:space="preserve">las </w:t>
      </w:r>
      <w:r w:rsidR="00ED0A2C" w:rsidRPr="004068F6">
        <w:rPr>
          <w:color w:val="000000"/>
        </w:rPr>
        <w:t xml:space="preserve">predicciones </w:t>
      </w:r>
      <w:r w:rsidRPr="004068F6">
        <w:rPr>
          <w:color w:val="000000"/>
        </w:rPr>
        <w:t xml:space="preserve">deben realizarse </w:t>
      </w:r>
      <w:r w:rsidR="00ED0A2C" w:rsidRPr="004068F6">
        <w:rPr>
          <w:color w:val="000000"/>
        </w:rPr>
        <w:t>para el escenario más crítico posible</w:t>
      </w:r>
      <w:r w:rsidRPr="004068F6">
        <w:rPr>
          <w:color w:val="000000"/>
        </w:rPr>
        <w:t xml:space="preserve">, es decir, </w:t>
      </w:r>
      <w:r w:rsidR="000B666B" w:rsidRPr="004068F6">
        <w:rPr>
          <w:color w:val="000000"/>
        </w:rPr>
        <w:t>debe</w:t>
      </w:r>
      <w:r w:rsidR="004E46FF" w:rsidRPr="004068F6">
        <w:rPr>
          <w:color w:val="000000"/>
        </w:rPr>
        <w:t>n</w:t>
      </w:r>
      <w:r w:rsidR="000B666B" w:rsidRPr="004068F6">
        <w:rPr>
          <w:color w:val="000000"/>
        </w:rPr>
        <w:t xml:space="preserve"> </w:t>
      </w:r>
      <w:r w:rsidR="00E23939" w:rsidRPr="004068F6">
        <w:rPr>
          <w:color w:val="000000"/>
        </w:rPr>
        <w:t xml:space="preserve">tomar como referente </w:t>
      </w:r>
      <w:r w:rsidR="000B666B" w:rsidRPr="004068F6">
        <w:rPr>
          <w:color w:val="000000"/>
        </w:rPr>
        <w:t xml:space="preserve">el </w:t>
      </w:r>
      <w:r w:rsidR="00ED0A2C" w:rsidRPr="004068F6">
        <w:rPr>
          <w:color w:val="000000"/>
        </w:rPr>
        <w:t xml:space="preserve">impacto con mayor grado de significancia negativa que haya ocurrido históricamente </w:t>
      </w:r>
      <w:r w:rsidR="003E45A1" w:rsidRPr="004068F6">
        <w:rPr>
          <w:color w:val="000000"/>
        </w:rPr>
        <w:t xml:space="preserve">dada la ejecución </w:t>
      </w:r>
      <w:r w:rsidR="00D2105B" w:rsidRPr="004068F6">
        <w:rPr>
          <w:color w:val="000000"/>
        </w:rPr>
        <w:t xml:space="preserve">de la </w:t>
      </w:r>
      <w:r w:rsidR="00D2105B" w:rsidRPr="004068F6">
        <w:rPr>
          <w:i/>
          <w:iCs/>
          <w:color w:val="000000"/>
        </w:rPr>
        <w:t>actividad</w:t>
      </w:r>
      <w:r w:rsidR="00D2105B" w:rsidRPr="004068F6">
        <w:rPr>
          <w:color w:val="000000"/>
        </w:rPr>
        <w:t xml:space="preserve"> impactante </w:t>
      </w:r>
      <w:r w:rsidR="00204D1F" w:rsidRPr="004068F6">
        <w:rPr>
          <w:color w:val="000000"/>
        </w:rPr>
        <w:t>en el marco de</w:t>
      </w:r>
      <w:r w:rsidR="003E45A1" w:rsidRPr="004068F6">
        <w:rPr>
          <w:color w:val="000000"/>
        </w:rPr>
        <w:t xml:space="preserve"> </w:t>
      </w:r>
      <w:r w:rsidR="00ED0A2C" w:rsidRPr="004068F6">
        <w:rPr>
          <w:color w:val="000000"/>
        </w:rPr>
        <w:t>proyecto</w:t>
      </w:r>
      <w:r w:rsidR="002D21BF" w:rsidRPr="004068F6">
        <w:rPr>
          <w:color w:val="000000"/>
        </w:rPr>
        <w:t>s</w:t>
      </w:r>
      <w:r w:rsidR="00ED0A2C" w:rsidRPr="004068F6">
        <w:rPr>
          <w:color w:val="000000"/>
        </w:rPr>
        <w:t xml:space="preserve"> </w:t>
      </w:r>
      <w:r w:rsidR="008E4592" w:rsidRPr="004068F6">
        <w:rPr>
          <w:color w:val="000000"/>
        </w:rPr>
        <w:t>de similar magnitud</w:t>
      </w:r>
      <w:r w:rsidR="008B0FAB" w:rsidRPr="004068F6">
        <w:rPr>
          <w:color w:val="000000"/>
        </w:rPr>
        <w:t xml:space="preserve"> y características tecn</w:t>
      </w:r>
      <w:r w:rsidR="00D944EA" w:rsidRPr="004068F6">
        <w:rPr>
          <w:color w:val="000000"/>
        </w:rPr>
        <w:t>ológicas</w:t>
      </w:r>
      <w:r w:rsidR="00C81843" w:rsidRPr="004068F6">
        <w:rPr>
          <w:color w:val="000000"/>
        </w:rPr>
        <w:t xml:space="preserve"> (</w:t>
      </w:r>
      <w:r w:rsidR="00FC67DA" w:rsidRPr="004068F6">
        <w:rPr>
          <w:color w:val="000000"/>
        </w:rPr>
        <w:t xml:space="preserve">incluso de </w:t>
      </w:r>
      <w:r w:rsidR="00D6303C" w:rsidRPr="004068F6">
        <w:rPr>
          <w:color w:val="000000"/>
        </w:rPr>
        <w:t>otros sectores</w:t>
      </w:r>
      <w:r w:rsidR="00FC67DA" w:rsidRPr="004068F6">
        <w:rPr>
          <w:color w:val="000000"/>
        </w:rPr>
        <w:t>)</w:t>
      </w:r>
      <w:r w:rsidR="00D6303C" w:rsidRPr="004068F6">
        <w:rPr>
          <w:color w:val="000000"/>
        </w:rPr>
        <w:t xml:space="preserve"> </w:t>
      </w:r>
      <w:r w:rsidR="006D5F3F" w:rsidRPr="004068F6">
        <w:rPr>
          <w:color w:val="000000"/>
        </w:rPr>
        <w:t>o bien</w:t>
      </w:r>
      <w:r w:rsidR="00B11616" w:rsidRPr="004068F6">
        <w:rPr>
          <w:color w:val="000000"/>
        </w:rPr>
        <w:t xml:space="preserve">, desarrollar la predicción empleando los estados </w:t>
      </w:r>
      <w:r w:rsidR="00D02F9C" w:rsidRPr="004068F6">
        <w:rPr>
          <w:color w:val="000000"/>
        </w:rPr>
        <w:t>(valores) de las variables que maximi</w:t>
      </w:r>
      <w:r w:rsidR="006B14EA" w:rsidRPr="004068F6">
        <w:rPr>
          <w:color w:val="000000"/>
        </w:rPr>
        <w:t>za</w:t>
      </w:r>
      <w:r w:rsidR="00D02F9C" w:rsidRPr="004068F6">
        <w:rPr>
          <w:color w:val="000000"/>
        </w:rPr>
        <w:t xml:space="preserve">n los impactos que </w:t>
      </w:r>
      <w:r w:rsidR="00052AED" w:rsidRPr="004068F6">
        <w:rPr>
          <w:color w:val="000000"/>
        </w:rPr>
        <w:t>ocurrirían en caso de ejecutar la actividad impactante</w:t>
      </w:r>
      <w:r w:rsidR="00E84039" w:rsidRPr="00127BD4">
        <w:rPr>
          <w:rStyle w:val="Refdenotaalpie"/>
          <w:color w:val="000000"/>
          <w:lang w:val="es-CO"/>
        </w:rPr>
        <w:footnoteReference w:id="219"/>
      </w:r>
      <w:r w:rsidR="004E46FF" w:rsidRPr="004068F6">
        <w:rPr>
          <w:color w:val="000000"/>
        </w:rPr>
        <w:t>.</w:t>
      </w:r>
      <w:r w:rsidR="00E23939" w:rsidRPr="004068F6">
        <w:rPr>
          <w:color w:val="000000"/>
        </w:rPr>
        <w:t xml:space="preserve"> </w:t>
      </w:r>
      <w:r w:rsidR="004E46FF" w:rsidRPr="004068F6">
        <w:rPr>
          <w:color w:val="000000"/>
        </w:rPr>
        <w:t>E</w:t>
      </w:r>
      <w:r w:rsidR="000B666B" w:rsidRPr="004068F6">
        <w:rPr>
          <w:color w:val="000000"/>
        </w:rPr>
        <w:t xml:space="preserve">n </w:t>
      </w:r>
      <w:r w:rsidR="00ED0A2C" w:rsidRPr="004068F6">
        <w:rPr>
          <w:color w:val="000000"/>
        </w:rPr>
        <w:t>consecuen</w:t>
      </w:r>
      <w:r w:rsidR="000B666B" w:rsidRPr="004068F6">
        <w:rPr>
          <w:color w:val="000000"/>
        </w:rPr>
        <w:t>cia</w:t>
      </w:r>
      <w:r w:rsidR="00ED0A2C" w:rsidRPr="004068F6">
        <w:rPr>
          <w:color w:val="000000"/>
        </w:rPr>
        <w:t xml:space="preserve">, </w:t>
      </w:r>
      <w:r w:rsidR="000B666B" w:rsidRPr="004068F6">
        <w:rPr>
          <w:color w:val="000000"/>
        </w:rPr>
        <w:t xml:space="preserve">los </w:t>
      </w:r>
      <w:r w:rsidR="00ED0A2C" w:rsidRPr="004068F6">
        <w:rPr>
          <w:color w:val="000000"/>
        </w:rPr>
        <w:t xml:space="preserve">impactos </w:t>
      </w:r>
      <w:r w:rsidR="000B666B" w:rsidRPr="004068F6">
        <w:rPr>
          <w:color w:val="000000"/>
        </w:rPr>
        <w:t xml:space="preserve">con alta incertidumbre </w:t>
      </w:r>
      <w:r w:rsidR="00ED0A2C" w:rsidRPr="004068F6">
        <w:rPr>
          <w:color w:val="000000"/>
        </w:rPr>
        <w:t xml:space="preserve">deben ser valorados con el mayor valor posible </w:t>
      </w:r>
      <w:r w:rsidR="000B666B" w:rsidRPr="004068F6">
        <w:rPr>
          <w:color w:val="000000"/>
        </w:rPr>
        <w:t xml:space="preserve">de significancia </w:t>
      </w:r>
      <w:r w:rsidR="00ED0A2C" w:rsidRPr="004068F6">
        <w:rPr>
          <w:color w:val="000000"/>
        </w:rPr>
        <w:t xml:space="preserve">de acuerdo con </w:t>
      </w:r>
      <w:r w:rsidR="00E23939" w:rsidRPr="004068F6">
        <w:rPr>
          <w:color w:val="000000"/>
        </w:rPr>
        <w:t>el método empleado</w:t>
      </w:r>
      <w:r w:rsidR="00ED0A2C" w:rsidRPr="004068F6">
        <w:rPr>
          <w:color w:val="000000"/>
        </w:rPr>
        <w:t>.</w:t>
      </w:r>
    </w:p>
    <w:p w14:paraId="3EFD00AE" w14:textId="77777777" w:rsidR="004758B0" w:rsidRDefault="004758B0" w:rsidP="00ED0A2C">
      <w:pPr>
        <w:overflowPunct/>
        <w:textAlignment w:val="auto"/>
        <w:rPr>
          <w:color w:val="000000"/>
        </w:rPr>
      </w:pPr>
    </w:p>
    <w:p w14:paraId="2634304F" w14:textId="77777777" w:rsidR="00B943E2" w:rsidRPr="004068F6" w:rsidRDefault="00B943E2" w:rsidP="00B943E2">
      <w:pPr>
        <w:overflowPunct/>
        <w:textAlignment w:val="auto"/>
        <w:rPr>
          <w:color w:val="000000"/>
        </w:rPr>
      </w:pPr>
      <w:r w:rsidRPr="004068F6">
        <w:rPr>
          <w:color w:val="000000"/>
        </w:rPr>
        <w:t xml:space="preserve">Los impactos determinados </w:t>
      </w:r>
      <w:r>
        <w:rPr>
          <w:color w:val="000000"/>
        </w:rPr>
        <w:t xml:space="preserve">y valorados </w:t>
      </w:r>
      <w:r w:rsidRPr="004068F6">
        <w:rPr>
          <w:color w:val="000000"/>
        </w:rPr>
        <w:t xml:space="preserve">deben </w:t>
      </w:r>
      <w:r w:rsidRPr="005D200E">
        <w:rPr>
          <w:color w:val="000000"/>
        </w:rPr>
        <w:t>ser descritos de forma sucinta señalando en qué consisten y cómo, dónde, cuándo</w:t>
      </w:r>
      <w:r w:rsidRPr="00E64F04">
        <w:rPr>
          <w:color w:val="000000"/>
        </w:rPr>
        <w:t>, en qué medida alteran las</w:t>
      </w:r>
      <w:r w:rsidRPr="005D200E">
        <w:rPr>
          <w:color w:val="000000"/>
        </w:rPr>
        <w:t xml:space="preserve"> condiciones ambientales</w:t>
      </w:r>
      <w:r w:rsidRPr="00E64F04">
        <w:rPr>
          <w:color w:val="000000"/>
        </w:rPr>
        <w:t>, y mencionando, de ser posible, cómo varían en el tiempo</w:t>
      </w:r>
      <w:r w:rsidRPr="005D200E">
        <w:rPr>
          <w:color w:val="000000"/>
        </w:rPr>
        <w:t>.</w:t>
      </w:r>
    </w:p>
    <w:p w14:paraId="4230ADA0" w14:textId="77777777" w:rsidR="00B943E2" w:rsidRPr="004068F6" w:rsidRDefault="00B943E2" w:rsidP="00ED0A2C">
      <w:pPr>
        <w:overflowPunct/>
        <w:textAlignment w:val="auto"/>
        <w:rPr>
          <w:color w:val="000000"/>
        </w:rPr>
      </w:pPr>
    </w:p>
    <w:p w14:paraId="7804DB8C" w14:textId="0CBF8ED1" w:rsidR="00E63F45" w:rsidRPr="004068F6" w:rsidRDefault="00E63F45" w:rsidP="00E63F45">
      <w:pPr>
        <w:numPr>
          <w:ilvl w:val="12"/>
          <w:numId w:val="0"/>
        </w:numPr>
        <w:tabs>
          <w:tab w:val="left" w:pos="-2268"/>
        </w:tabs>
        <w:suppressAutoHyphens/>
        <w:rPr>
          <w:rFonts w:cs="Arial"/>
          <w:spacing w:val="-3"/>
        </w:rPr>
      </w:pPr>
      <w:r w:rsidRPr="004068F6">
        <w:rPr>
          <w:rFonts w:cs="Arial"/>
          <w:spacing w:val="-3"/>
        </w:rPr>
        <w:t xml:space="preserve">Los métodos de valoración de impactos ambientales que se usen deben ofrecer la posibilidad de organizar los impactos que genera </w:t>
      </w:r>
      <w:r w:rsidR="00664FBA" w:rsidRPr="004068F6">
        <w:rPr>
          <w:rFonts w:cs="Arial"/>
          <w:spacing w:val="-3"/>
        </w:rPr>
        <w:t xml:space="preserve">el </w:t>
      </w:r>
      <w:r w:rsidRPr="004068F6">
        <w:rPr>
          <w:rFonts w:cs="Arial"/>
          <w:spacing w:val="-3"/>
        </w:rPr>
        <w:t xml:space="preserve">proyecto, obra o actividad, de acuerdo con el grado con el cual </w:t>
      </w:r>
      <w:r w:rsidR="00EB2D82" w:rsidRPr="004068F6">
        <w:rPr>
          <w:rFonts w:cs="Arial"/>
          <w:spacing w:val="-3"/>
        </w:rPr>
        <w:t xml:space="preserve">puede </w:t>
      </w:r>
      <w:r w:rsidRPr="004068F6">
        <w:rPr>
          <w:rFonts w:cs="Arial"/>
          <w:spacing w:val="-3"/>
        </w:rPr>
        <w:t>modifica</w:t>
      </w:r>
      <w:r w:rsidR="00EB2D82" w:rsidRPr="004068F6">
        <w:rPr>
          <w:rFonts w:cs="Arial"/>
          <w:spacing w:val="-3"/>
        </w:rPr>
        <w:t>r</w:t>
      </w:r>
      <w:r w:rsidRPr="004068F6">
        <w:rPr>
          <w:rFonts w:cs="Arial"/>
          <w:spacing w:val="-3"/>
        </w:rPr>
        <w:t xml:space="preserve"> las condiciones ambientales, no sólo con el propósito de evaluarlos de forma individual, sino también, de evaluar la manera en que el proyecto como conjunto impacta al ambiente. Por ejemplo, si la mayor parte de los impactos ambientales, de acuerdo con la clasificación propia del método elegido, se clasifica en la categoría de mayor grado de impacto, habrá una señal clara sobre las decisiones que deberían tomar tanto los formuladores del proyecto</w:t>
      </w:r>
      <w:r w:rsidRPr="004068F6">
        <w:rPr>
          <w:spacing w:val="-3"/>
        </w:rPr>
        <w:t>, obra o actividad</w:t>
      </w:r>
      <w:r w:rsidRPr="004068F6">
        <w:rPr>
          <w:rFonts w:cs="Arial"/>
          <w:spacing w:val="-3"/>
        </w:rPr>
        <w:t xml:space="preserve"> y del estudio ambiental, como las autoridades ambientales que lo evalúen.</w:t>
      </w:r>
    </w:p>
    <w:p w14:paraId="6D676FAF" w14:textId="77777777" w:rsidR="00E63F45" w:rsidRPr="004068F6" w:rsidRDefault="00E63F45" w:rsidP="00E63F45">
      <w:pPr>
        <w:numPr>
          <w:ilvl w:val="12"/>
          <w:numId w:val="0"/>
        </w:numPr>
        <w:tabs>
          <w:tab w:val="left" w:pos="-2268"/>
        </w:tabs>
        <w:suppressAutoHyphens/>
        <w:rPr>
          <w:rFonts w:cs="Arial"/>
          <w:spacing w:val="-3"/>
        </w:rPr>
      </w:pPr>
    </w:p>
    <w:p w14:paraId="7CC8E088" w14:textId="769D2E4D" w:rsidR="0003000C" w:rsidRPr="004068F6" w:rsidRDefault="00664FBA" w:rsidP="00E63F45">
      <w:pPr>
        <w:numPr>
          <w:ilvl w:val="12"/>
          <w:numId w:val="0"/>
        </w:numPr>
        <w:tabs>
          <w:tab w:val="left" w:pos="-2268"/>
        </w:tabs>
        <w:suppressAutoHyphens/>
        <w:rPr>
          <w:rFonts w:cs="Arial"/>
          <w:spacing w:val="-3"/>
        </w:rPr>
      </w:pPr>
      <w:r w:rsidRPr="004068F6">
        <w:rPr>
          <w:rFonts w:cs="Arial"/>
          <w:spacing w:val="-3"/>
        </w:rPr>
        <w:t>La c</w:t>
      </w:r>
      <w:r w:rsidR="00E63F45" w:rsidRPr="004068F6">
        <w:rPr>
          <w:rFonts w:cs="Arial"/>
          <w:spacing w:val="-3"/>
        </w:rPr>
        <w:t>lasifica</w:t>
      </w:r>
      <w:r w:rsidRPr="004068F6">
        <w:rPr>
          <w:rFonts w:cs="Arial"/>
          <w:spacing w:val="-3"/>
        </w:rPr>
        <w:t xml:space="preserve">ción de </w:t>
      </w:r>
      <w:r w:rsidR="00E63F45" w:rsidRPr="004068F6">
        <w:rPr>
          <w:rFonts w:cs="Arial"/>
          <w:spacing w:val="-3"/>
        </w:rPr>
        <w:t>los impactos</w:t>
      </w:r>
      <w:r w:rsidRPr="004068F6">
        <w:rPr>
          <w:rFonts w:cs="Arial"/>
          <w:spacing w:val="-3"/>
        </w:rPr>
        <w:t>,</w:t>
      </w:r>
      <w:r w:rsidR="00E63F45" w:rsidRPr="004068F6">
        <w:rPr>
          <w:rFonts w:cs="Arial"/>
          <w:spacing w:val="-3"/>
        </w:rPr>
        <w:t xml:space="preserve"> de acuerdo con la valoración que resulte de la aplicación de</w:t>
      </w:r>
      <w:r w:rsidRPr="004068F6">
        <w:rPr>
          <w:rFonts w:cs="Arial"/>
          <w:spacing w:val="-3"/>
        </w:rPr>
        <w:t xml:space="preserve">l </w:t>
      </w:r>
      <w:r w:rsidR="00E63F45" w:rsidRPr="004068F6">
        <w:rPr>
          <w:rFonts w:cs="Arial"/>
          <w:spacing w:val="-3"/>
        </w:rPr>
        <w:t xml:space="preserve">método </w:t>
      </w:r>
      <w:r w:rsidRPr="004068F6">
        <w:rPr>
          <w:rFonts w:cs="Arial"/>
          <w:spacing w:val="-3"/>
        </w:rPr>
        <w:t>seleccionado</w:t>
      </w:r>
      <w:r w:rsidR="00E63F45" w:rsidRPr="004068F6">
        <w:rPr>
          <w:rFonts w:cs="Arial"/>
          <w:spacing w:val="-3"/>
        </w:rPr>
        <w:t xml:space="preserve">, </w:t>
      </w:r>
      <w:r w:rsidRPr="004068F6">
        <w:rPr>
          <w:rFonts w:cs="Arial"/>
          <w:spacing w:val="-3"/>
        </w:rPr>
        <w:t xml:space="preserve">debe emplearse para </w:t>
      </w:r>
      <w:r w:rsidR="00E63F45" w:rsidRPr="004068F6">
        <w:rPr>
          <w:rFonts w:cs="Arial"/>
          <w:spacing w:val="-3"/>
        </w:rPr>
        <w:t>tomar decisiones en consonancia con los lineamientos de la jerarquía de las medidas de manejo; es decir, idealmente y en la medida de lo posible</w:t>
      </w:r>
      <w:r w:rsidR="0003000C" w:rsidRPr="004068F6">
        <w:rPr>
          <w:rFonts w:cs="Arial"/>
          <w:spacing w:val="-3"/>
        </w:rPr>
        <w:t xml:space="preserve">, </w:t>
      </w:r>
      <w:r w:rsidR="006D0006" w:rsidRPr="004068F6">
        <w:rPr>
          <w:rFonts w:cs="Arial"/>
          <w:spacing w:val="-3"/>
        </w:rPr>
        <w:t xml:space="preserve">procurando </w:t>
      </w:r>
      <w:r w:rsidR="00FD750B" w:rsidRPr="004068F6">
        <w:rPr>
          <w:rFonts w:cs="Arial"/>
          <w:spacing w:val="-3"/>
        </w:rPr>
        <w:t xml:space="preserve">formular medidas para </w:t>
      </w:r>
      <w:r w:rsidR="0003000C" w:rsidRPr="004068F6">
        <w:rPr>
          <w:rFonts w:cs="Arial"/>
          <w:spacing w:val="-3"/>
        </w:rPr>
        <w:t>preven</w:t>
      </w:r>
      <w:r w:rsidR="006D0006" w:rsidRPr="004068F6">
        <w:rPr>
          <w:rFonts w:cs="Arial"/>
          <w:spacing w:val="-3"/>
        </w:rPr>
        <w:t xml:space="preserve">ir </w:t>
      </w:r>
      <w:r w:rsidR="0003000C" w:rsidRPr="004068F6">
        <w:rPr>
          <w:rFonts w:cs="Arial"/>
          <w:spacing w:val="-3"/>
        </w:rPr>
        <w:t xml:space="preserve">la mayor cantidad de impactos, especialmente los de potencial de alteración negativa considerable y los irreversibles; </w:t>
      </w:r>
      <w:r w:rsidR="0003000C" w:rsidRPr="004068F6">
        <w:rPr>
          <w:rFonts w:cs="Arial"/>
          <w:spacing w:val="-3"/>
        </w:rPr>
        <w:lastRenderedPageBreak/>
        <w:t>mitig</w:t>
      </w:r>
      <w:r w:rsidR="006D0006" w:rsidRPr="004068F6">
        <w:rPr>
          <w:rFonts w:cs="Arial"/>
          <w:spacing w:val="-3"/>
        </w:rPr>
        <w:t xml:space="preserve">ar </w:t>
      </w:r>
      <w:r w:rsidR="0003000C" w:rsidRPr="004068F6">
        <w:rPr>
          <w:rFonts w:cs="Arial"/>
          <w:spacing w:val="-3"/>
        </w:rPr>
        <w:t>o corr</w:t>
      </w:r>
      <w:r w:rsidR="006D0006" w:rsidRPr="004068F6">
        <w:rPr>
          <w:rFonts w:cs="Arial"/>
          <w:spacing w:val="-3"/>
        </w:rPr>
        <w:t xml:space="preserve">egir </w:t>
      </w:r>
      <w:r w:rsidR="0003000C" w:rsidRPr="004068F6">
        <w:rPr>
          <w:rFonts w:cs="Arial"/>
          <w:spacing w:val="-3"/>
        </w:rPr>
        <w:t>los impactos que no pueden prevenirse y; compens</w:t>
      </w:r>
      <w:r w:rsidR="001F0D06" w:rsidRPr="004068F6">
        <w:rPr>
          <w:rFonts w:cs="Arial"/>
          <w:spacing w:val="-3"/>
        </w:rPr>
        <w:t xml:space="preserve">ar </w:t>
      </w:r>
      <w:r w:rsidR="0003000C" w:rsidRPr="004068F6">
        <w:rPr>
          <w:rFonts w:cs="Arial"/>
          <w:spacing w:val="-3"/>
        </w:rPr>
        <w:t xml:space="preserve">los impactos residuales que permanecen en el medio. </w:t>
      </w:r>
    </w:p>
    <w:p w14:paraId="0F128071" w14:textId="77777777" w:rsidR="001B1D4B" w:rsidRPr="004068F6" w:rsidRDefault="001B1D4B" w:rsidP="00E63F45">
      <w:pPr>
        <w:numPr>
          <w:ilvl w:val="12"/>
          <w:numId w:val="0"/>
        </w:numPr>
        <w:tabs>
          <w:tab w:val="left" w:pos="-2268"/>
        </w:tabs>
        <w:suppressAutoHyphens/>
        <w:rPr>
          <w:rFonts w:cs="Arial"/>
          <w:spacing w:val="-3"/>
        </w:rPr>
      </w:pPr>
    </w:p>
    <w:p w14:paraId="7923A87E" w14:textId="5048643C" w:rsidR="003F28B9" w:rsidRPr="004068F6" w:rsidRDefault="003F28B9" w:rsidP="003F28B9">
      <w:pPr>
        <w:overflowPunct/>
        <w:textAlignment w:val="auto"/>
        <w:rPr>
          <w:color w:val="000000"/>
        </w:rPr>
      </w:pPr>
      <w:r w:rsidRPr="004068F6">
        <w:rPr>
          <w:color w:val="000000"/>
        </w:rPr>
        <w:t xml:space="preserve">La </w:t>
      </w:r>
      <w:r w:rsidR="008F5DE4" w:rsidRPr="004068F6">
        <w:rPr>
          <w:color w:val="000000"/>
        </w:rPr>
        <w:t xml:space="preserve">valoración </w:t>
      </w:r>
      <w:r w:rsidRPr="004068F6">
        <w:rPr>
          <w:color w:val="000000"/>
        </w:rPr>
        <w:t xml:space="preserve">de los impactos asociados a conflictos </w:t>
      </w:r>
      <w:r w:rsidR="008C5243" w:rsidRPr="004068F6">
        <w:rPr>
          <w:color w:val="000000"/>
        </w:rPr>
        <w:t>socio</w:t>
      </w:r>
      <w:r w:rsidRPr="004068F6">
        <w:rPr>
          <w:color w:val="000000"/>
        </w:rPr>
        <w:t xml:space="preserve">ambientales como los que se presentan por el uso de los recursos naturales (agua, suelo, bosque, entre otros), debe </w:t>
      </w:r>
      <w:r w:rsidR="008F5DE4" w:rsidRPr="004068F6">
        <w:rPr>
          <w:color w:val="000000"/>
        </w:rPr>
        <w:t xml:space="preserve">prever </w:t>
      </w:r>
      <w:r w:rsidRPr="004068F6">
        <w:rPr>
          <w:color w:val="000000"/>
        </w:rPr>
        <w:t>cómo los conflictos existentes pueden</w:t>
      </w:r>
      <w:r w:rsidR="008C5243" w:rsidRPr="004068F6">
        <w:rPr>
          <w:color w:val="000000"/>
        </w:rPr>
        <w:t xml:space="preserve"> tramitarse o</w:t>
      </w:r>
      <w:r w:rsidRPr="004068F6">
        <w:rPr>
          <w:color w:val="000000"/>
        </w:rPr>
        <w:t xml:space="preserve"> potenciarse </w:t>
      </w:r>
      <w:r w:rsidR="008F5DE4" w:rsidRPr="004068F6">
        <w:rPr>
          <w:color w:val="000000"/>
        </w:rPr>
        <w:t xml:space="preserve">y cómo </w:t>
      </w:r>
      <w:r w:rsidRPr="004068F6">
        <w:rPr>
          <w:color w:val="000000"/>
        </w:rPr>
        <w:t xml:space="preserve">podrían configurarse </w:t>
      </w:r>
      <w:r w:rsidR="008F5DE4" w:rsidRPr="004068F6">
        <w:rPr>
          <w:color w:val="000000"/>
        </w:rPr>
        <w:t xml:space="preserve">nuevos conflictos </w:t>
      </w:r>
      <w:r w:rsidRPr="004068F6">
        <w:rPr>
          <w:color w:val="000000"/>
        </w:rPr>
        <w:t>debido a la ejecución del proyecto</w:t>
      </w:r>
      <w:r w:rsidR="00AC0075" w:rsidRPr="004068F6">
        <w:rPr>
          <w:color w:val="000000"/>
        </w:rPr>
        <w:t>, obra o actividad</w:t>
      </w:r>
      <w:r w:rsidRPr="004068F6">
        <w:rPr>
          <w:color w:val="000000"/>
        </w:rPr>
        <w:t>.</w:t>
      </w:r>
    </w:p>
    <w:p w14:paraId="6803F54A" w14:textId="77777777" w:rsidR="003F28B9" w:rsidRDefault="003F28B9" w:rsidP="003F28B9">
      <w:pPr>
        <w:overflowPunct/>
        <w:textAlignment w:val="auto"/>
        <w:rPr>
          <w:color w:val="000000"/>
        </w:rPr>
      </w:pPr>
    </w:p>
    <w:p w14:paraId="1BDB5BE3" w14:textId="54DDBA5D" w:rsidR="004B6D87" w:rsidRDefault="00BB4B2B" w:rsidP="001946C0">
      <w:pPr>
        <w:numPr>
          <w:ilvl w:val="12"/>
          <w:numId w:val="0"/>
        </w:numPr>
        <w:tabs>
          <w:tab w:val="left" w:pos="-2268"/>
        </w:tabs>
        <w:suppressAutoHyphens/>
        <w:rPr>
          <w:rFonts w:cs="Arial"/>
        </w:rPr>
      </w:pPr>
      <w:r w:rsidRPr="008C1B85">
        <w:rPr>
          <w:rFonts w:cs="Arial"/>
        </w:rPr>
        <w:t xml:space="preserve">La valoración </w:t>
      </w:r>
      <w:r w:rsidR="009737CA">
        <w:rPr>
          <w:rFonts w:cs="Arial"/>
        </w:rPr>
        <w:t xml:space="preserve">de los impactos a los servicios ecosistémicos </w:t>
      </w:r>
      <w:r w:rsidRPr="008C1B85">
        <w:rPr>
          <w:rFonts w:cs="Arial"/>
        </w:rPr>
        <w:t>debe tener en</w:t>
      </w:r>
      <w:r w:rsidR="009737CA">
        <w:rPr>
          <w:rFonts w:cs="Arial"/>
        </w:rPr>
        <w:t xml:space="preserve"> cuenta cómo </w:t>
      </w:r>
      <w:r w:rsidR="00A2041A">
        <w:rPr>
          <w:rFonts w:cs="Arial"/>
        </w:rPr>
        <w:t xml:space="preserve">dichos </w:t>
      </w:r>
      <w:r w:rsidR="00A3543F">
        <w:rPr>
          <w:rFonts w:cs="Arial"/>
        </w:rPr>
        <w:t xml:space="preserve">servicios </w:t>
      </w:r>
      <w:r w:rsidR="00386D99">
        <w:rPr>
          <w:rFonts w:cs="Arial"/>
        </w:rPr>
        <w:t xml:space="preserve">se relacionan con </w:t>
      </w:r>
      <w:r w:rsidR="00A3543F">
        <w:rPr>
          <w:rFonts w:cs="Arial"/>
        </w:rPr>
        <w:t xml:space="preserve">los </w:t>
      </w:r>
      <w:r w:rsidRPr="008C1B85">
        <w:rPr>
          <w:rFonts w:cs="Arial"/>
        </w:rPr>
        <w:t xml:space="preserve">derechos humanos </w:t>
      </w:r>
      <w:r w:rsidR="00A3543F">
        <w:rPr>
          <w:rFonts w:cs="Arial"/>
        </w:rPr>
        <w:t xml:space="preserve">interdependientes </w:t>
      </w:r>
      <w:r w:rsidR="00A2041A">
        <w:rPr>
          <w:rFonts w:cs="Arial"/>
        </w:rPr>
        <w:t>a</w:t>
      </w:r>
      <w:r w:rsidR="00A3543F">
        <w:rPr>
          <w:rFonts w:cs="Arial"/>
        </w:rPr>
        <w:t>l derecho a gozar de un ambiente sano</w:t>
      </w:r>
      <w:r w:rsidR="00A6126D">
        <w:rPr>
          <w:rFonts w:cs="Arial"/>
        </w:rPr>
        <w:t xml:space="preserve">. </w:t>
      </w:r>
      <w:r w:rsidR="00D71E5A">
        <w:rPr>
          <w:rFonts w:cs="Arial"/>
        </w:rPr>
        <w:t xml:space="preserve">El procedimiento para </w:t>
      </w:r>
      <w:r w:rsidR="00BA5C8C">
        <w:rPr>
          <w:rFonts w:cs="Arial"/>
        </w:rPr>
        <w:t xml:space="preserve">estudiar las relaciones entre los </w:t>
      </w:r>
      <w:r w:rsidR="00FF1EFD">
        <w:rPr>
          <w:rFonts w:cs="Arial"/>
        </w:rPr>
        <w:t xml:space="preserve">servicios ecosistémicos </w:t>
      </w:r>
      <w:r w:rsidR="00BA5C8C">
        <w:rPr>
          <w:rFonts w:cs="Arial"/>
        </w:rPr>
        <w:t xml:space="preserve">y </w:t>
      </w:r>
      <w:r w:rsidR="00A6126D">
        <w:rPr>
          <w:rFonts w:cs="Arial"/>
        </w:rPr>
        <w:t>los derechos</w:t>
      </w:r>
      <w:r w:rsidR="009501B1">
        <w:rPr>
          <w:rFonts w:cs="Arial"/>
        </w:rPr>
        <w:t xml:space="preserve"> humanos </w:t>
      </w:r>
      <w:r w:rsidR="00D71E5A">
        <w:rPr>
          <w:rFonts w:cs="Arial"/>
        </w:rPr>
        <w:t xml:space="preserve">se detalla en el </w:t>
      </w:r>
      <w:r w:rsidRPr="008C1B85">
        <w:rPr>
          <w:rFonts w:cs="Arial"/>
        </w:rPr>
        <w:t>numeral</w:t>
      </w:r>
      <w:r w:rsidR="00D00474">
        <w:rPr>
          <w:rFonts w:cs="Arial"/>
        </w:rPr>
        <w:t xml:space="preserve"> </w:t>
      </w:r>
      <w:r w:rsidR="00844394">
        <w:rPr>
          <w:rFonts w:cs="Arial"/>
        </w:rPr>
        <w:fldChar w:fldCharType="begin"/>
      </w:r>
      <w:r w:rsidR="00844394">
        <w:rPr>
          <w:rFonts w:cs="Arial"/>
        </w:rPr>
        <w:instrText xml:space="preserve"> REF _Ref229834913 \r \h </w:instrText>
      </w:r>
      <w:r w:rsidR="00844394">
        <w:rPr>
          <w:rFonts w:cs="Arial"/>
        </w:rPr>
      </w:r>
      <w:r w:rsidR="00844394">
        <w:rPr>
          <w:rFonts w:cs="Arial"/>
        </w:rPr>
        <w:fldChar w:fldCharType="separate"/>
      </w:r>
      <w:r w:rsidR="009C4A81">
        <w:rPr>
          <w:rFonts w:cs="Arial"/>
        </w:rPr>
        <w:t>4.5.3</w:t>
      </w:r>
      <w:r w:rsidR="00844394">
        <w:rPr>
          <w:rFonts w:cs="Arial"/>
        </w:rPr>
        <w:fldChar w:fldCharType="end"/>
      </w:r>
      <w:r w:rsidR="00844394">
        <w:rPr>
          <w:rFonts w:cs="Arial"/>
        </w:rPr>
        <w:t xml:space="preserve"> de este capítulo (I</w:t>
      </w:r>
      <w:r w:rsidR="00F56CB4">
        <w:rPr>
          <w:rFonts w:cs="Arial"/>
        </w:rPr>
        <w:t>II</w:t>
      </w:r>
      <w:r w:rsidR="00844394">
        <w:rPr>
          <w:rFonts w:cs="Arial"/>
        </w:rPr>
        <w:t>)</w:t>
      </w:r>
      <w:r w:rsidR="007A78B2">
        <w:rPr>
          <w:rFonts w:cs="Arial"/>
        </w:rPr>
        <w:t xml:space="preserve"> y sus resultados </w:t>
      </w:r>
      <w:r w:rsidR="009501B1">
        <w:rPr>
          <w:rFonts w:cs="Arial"/>
        </w:rPr>
        <w:t xml:space="preserve">deben </w:t>
      </w:r>
      <w:r w:rsidR="007A78B2">
        <w:rPr>
          <w:rFonts w:cs="Arial"/>
        </w:rPr>
        <w:t>se</w:t>
      </w:r>
      <w:r w:rsidR="009501B1">
        <w:rPr>
          <w:rFonts w:cs="Arial"/>
        </w:rPr>
        <w:t>r</w:t>
      </w:r>
      <w:r w:rsidR="007A78B2">
        <w:rPr>
          <w:rFonts w:cs="Arial"/>
        </w:rPr>
        <w:t xml:space="preserve"> presenta</w:t>
      </w:r>
      <w:r w:rsidR="009501B1">
        <w:rPr>
          <w:rFonts w:cs="Arial"/>
        </w:rPr>
        <w:t>dos</w:t>
      </w:r>
      <w:r w:rsidR="007A78B2">
        <w:rPr>
          <w:rFonts w:cs="Arial"/>
        </w:rPr>
        <w:t xml:space="preserve"> en </w:t>
      </w:r>
      <w:r w:rsidR="009501B1">
        <w:rPr>
          <w:rFonts w:cs="Arial"/>
        </w:rPr>
        <w:t xml:space="preserve">una tabla que contenga </w:t>
      </w:r>
      <w:r w:rsidR="004B6D87">
        <w:rPr>
          <w:rFonts w:cs="Arial"/>
        </w:rPr>
        <w:t xml:space="preserve">la información enunciada en </w:t>
      </w:r>
      <w:r w:rsidR="007A78B2">
        <w:rPr>
          <w:rFonts w:cs="Arial"/>
        </w:rPr>
        <w:t xml:space="preserve">la </w:t>
      </w:r>
      <w:r w:rsidR="007A78B2" w:rsidRPr="007A78B2">
        <w:rPr>
          <w:rFonts w:cs="Arial"/>
        </w:rPr>
        <w:fldChar w:fldCharType="begin"/>
      </w:r>
      <w:r w:rsidR="007A78B2" w:rsidRPr="007A78B2">
        <w:rPr>
          <w:rFonts w:cs="Arial"/>
        </w:rPr>
        <w:instrText xml:space="preserve"> REF _Ref78536291 \h </w:instrText>
      </w:r>
      <w:r w:rsidR="007A78B2" w:rsidRPr="00E64F04">
        <w:rPr>
          <w:rFonts w:cs="Arial"/>
        </w:rPr>
        <w:instrText xml:space="preserve"> \* MERGEFORMAT </w:instrText>
      </w:r>
      <w:r w:rsidR="007A78B2" w:rsidRPr="007A78B2">
        <w:rPr>
          <w:rFonts w:cs="Arial"/>
        </w:rPr>
      </w:r>
      <w:r w:rsidR="007A78B2" w:rsidRPr="007A78B2">
        <w:rPr>
          <w:rFonts w:cs="Arial"/>
        </w:rPr>
        <w:fldChar w:fldCharType="separate"/>
      </w:r>
      <w:r w:rsidR="009C4A81" w:rsidRPr="009C4A81">
        <w:rPr>
          <w:rFonts w:cs="Arial"/>
          <w:spacing w:val="-3"/>
        </w:rPr>
        <w:t xml:space="preserve">Tabla </w:t>
      </w:r>
      <w:r w:rsidR="009C4A81" w:rsidRPr="009C4A81">
        <w:rPr>
          <w:rFonts w:cs="Arial"/>
          <w:noProof/>
          <w:spacing w:val="-3"/>
        </w:rPr>
        <w:t>28</w:t>
      </w:r>
      <w:r w:rsidR="007A78B2" w:rsidRPr="007A78B2">
        <w:rPr>
          <w:rFonts w:cs="Arial"/>
        </w:rPr>
        <w:fldChar w:fldCharType="end"/>
      </w:r>
      <w:r w:rsidR="00394D11">
        <w:rPr>
          <w:rFonts w:cs="Arial"/>
        </w:rPr>
        <w:t xml:space="preserve"> de este documento</w:t>
      </w:r>
      <w:r w:rsidRPr="00B763B8">
        <w:rPr>
          <w:rFonts w:cs="Arial"/>
        </w:rPr>
        <w:t>.</w:t>
      </w:r>
    </w:p>
    <w:p w14:paraId="235B0D38" w14:textId="77777777" w:rsidR="004B6D87" w:rsidRDefault="004B6D87" w:rsidP="001946C0">
      <w:pPr>
        <w:numPr>
          <w:ilvl w:val="12"/>
          <w:numId w:val="0"/>
        </w:numPr>
        <w:tabs>
          <w:tab w:val="left" w:pos="-2268"/>
        </w:tabs>
        <w:suppressAutoHyphens/>
        <w:rPr>
          <w:rFonts w:cs="Arial"/>
        </w:rPr>
      </w:pPr>
    </w:p>
    <w:p w14:paraId="44C02D5F" w14:textId="106301FC" w:rsidR="00BB4B2B" w:rsidRDefault="00A94D7C" w:rsidP="00E64F04">
      <w:pPr>
        <w:numPr>
          <w:ilvl w:val="12"/>
          <w:numId w:val="0"/>
        </w:numPr>
        <w:tabs>
          <w:tab w:val="left" w:pos="-2268"/>
        </w:tabs>
        <w:suppressAutoHyphens/>
        <w:rPr>
          <w:color w:val="000000"/>
        </w:rPr>
      </w:pPr>
      <w:r>
        <w:rPr>
          <w:rFonts w:cs="Arial"/>
        </w:rPr>
        <w:t xml:space="preserve">Al </w:t>
      </w:r>
      <w:r w:rsidR="00BB4B2B" w:rsidRPr="00E64F04">
        <w:t>evalua</w:t>
      </w:r>
      <w:r>
        <w:t xml:space="preserve">r los impactos sobre los servicios ecosistémicos de este modo, se </w:t>
      </w:r>
      <w:r w:rsidR="001946C0" w:rsidRPr="00E64F04">
        <w:t xml:space="preserve">brinda </w:t>
      </w:r>
      <w:r w:rsidR="00BB4B2B" w:rsidRPr="00E64F04">
        <w:t>trazab</w:t>
      </w:r>
      <w:r w:rsidR="001946C0" w:rsidRPr="00E64F04">
        <w:t>ilidad</w:t>
      </w:r>
      <w:r w:rsidR="00BB4B2B" w:rsidRPr="00E64F04">
        <w:t>, comparab</w:t>
      </w:r>
      <w:r w:rsidR="001946C0" w:rsidRPr="00E64F04">
        <w:t xml:space="preserve">ilidad </w:t>
      </w:r>
      <w:r w:rsidR="00BB4B2B" w:rsidRPr="00E64F04">
        <w:t>y coheren</w:t>
      </w:r>
      <w:r w:rsidR="001946C0" w:rsidRPr="00E64F04">
        <w:t>cia al proceso</w:t>
      </w:r>
      <w:r w:rsidR="00F20EF2">
        <w:t xml:space="preserve"> de elaboración del EIA</w:t>
      </w:r>
      <w:r w:rsidR="00BB4B2B" w:rsidRPr="00E64F04">
        <w:t xml:space="preserve">, contribuyendo </w:t>
      </w:r>
      <w:r w:rsidR="00604315">
        <w:t xml:space="preserve">a </w:t>
      </w:r>
      <w:r w:rsidR="00701C21" w:rsidRPr="00E64F04">
        <w:t xml:space="preserve">que las </w:t>
      </w:r>
      <w:r w:rsidR="00BB4B2B" w:rsidRPr="00E64F04">
        <w:t xml:space="preserve">decisiones </w:t>
      </w:r>
      <w:r w:rsidR="00701C21" w:rsidRPr="00E64F04">
        <w:t xml:space="preserve">que se tomen </w:t>
      </w:r>
      <w:r w:rsidR="00F20EF2">
        <w:t xml:space="preserve">durante su elaboración </w:t>
      </w:r>
      <w:r w:rsidR="007A7D2D">
        <w:t xml:space="preserve">y en fases posteriores del licenciamiento ambiental </w:t>
      </w:r>
      <w:r w:rsidR="002272DB">
        <w:t xml:space="preserve">(en caso de que se conceda licencia ambiental) </w:t>
      </w:r>
      <w:r w:rsidR="00701C21" w:rsidRPr="00E64F04">
        <w:t xml:space="preserve">aborden </w:t>
      </w:r>
      <w:r w:rsidR="003145F5">
        <w:t xml:space="preserve">todas sus posibles implicaciones </w:t>
      </w:r>
      <w:r w:rsidR="00BB4B2B" w:rsidRPr="00E64F04">
        <w:t xml:space="preserve">y </w:t>
      </w:r>
      <w:r w:rsidR="00373E10" w:rsidRPr="00E64F04">
        <w:t xml:space="preserve">se </w:t>
      </w:r>
      <w:r w:rsidR="00BB4B2B" w:rsidRPr="00E64F04">
        <w:t>aline</w:t>
      </w:r>
      <w:r w:rsidR="00373E10" w:rsidRPr="00E64F04">
        <w:t xml:space="preserve">en </w:t>
      </w:r>
      <w:r w:rsidR="00BB4B2B" w:rsidRPr="00E64F04">
        <w:t>con los principios de sostenibilidad, prevención</w:t>
      </w:r>
      <w:r w:rsidR="00B763B8" w:rsidRPr="00E64F04">
        <w:t>,</w:t>
      </w:r>
      <w:r w:rsidR="00BB4B2B" w:rsidRPr="00E64F04">
        <w:t xml:space="preserve"> protección de poblaciones vulnerables</w:t>
      </w:r>
      <w:r w:rsidR="00B763B8" w:rsidRPr="00E64F04">
        <w:t xml:space="preserve"> y debida diligencia en materia de derechos humanos</w:t>
      </w:r>
      <w:r w:rsidR="00BB4B2B" w:rsidRPr="00E64F04">
        <w:t>.</w:t>
      </w:r>
    </w:p>
    <w:p w14:paraId="49E5EAD4" w14:textId="77777777" w:rsidR="00BB4B2B" w:rsidRDefault="00BB4B2B" w:rsidP="003F28B9">
      <w:pPr>
        <w:overflowPunct/>
        <w:textAlignment w:val="auto"/>
        <w:rPr>
          <w:color w:val="000000"/>
        </w:rPr>
      </w:pPr>
    </w:p>
    <w:p w14:paraId="0E0DD840" w14:textId="10EA251B" w:rsidR="002B1143" w:rsidRPr="004068F6" w:rsidRDefault="00185B64" w:rsidP="003F28B9">
      <w:pPr>
        <w:overflowPunct/>
        <w:textAlignment w:val="auto"/>
        <w:rPr>
          <w:color w:val="000000"/>
        </w:rPr>
      </w:pPr>
      <w:r w:rsidRPr="004068F6">
        <w:rPr>
          <w:color w:val="000000"/>
        </w:rPr>
        <w:t xml:space="preserve">La determinación y valoración de impactos </w:t>
      </w:r>
      <w:r w:rsidR="00C76C88" w:rsidRPr="004068F6">
        <w:rPr>
          <w:color w:val="000000"/>
        </w:rPr>
        <w:t>de</w:t>
      </w:r>
      <w:r w:rsidR="00542FAC" w:rsidRPr="004068F6">
        <w:rPr>
          <w:color w:val="000000"/>
        </w:rPr>
        <w:t xml:space="preserve"> </w:t>
      </w:r>
      <w:r w:rsidR="00FB0EC7" w:rsidRPr="004068F6">
        <w:rPr>
          <w:color w:val="000000"/>
        </w:rPr>
        <w:t xml:space="preserve">proyectos para los cuales </w:t>
      </w:r>
      <w:r w:rsidR="00542FAC" w:rsidRPr="004068F6">
        <w:rPr>
          <w:color w:val="000000"/>
        </w:rPr>
        <w:t xml:space="preserve">al momento de la elaboración del EIA </w:t>
      </w:r>
      <w:r w:rsidR="00FB0EC7" w:rsidRPr="004068F6">
        <w:rPr>
          <w:color w:val="000000"/>
        </w:rPr>
        <w:t xml:space="preserve">se </w:t>
      </w:r>
      <w:r w:rsidR="001A31EF" w:rsidRPr="004068F6">
        <w:rPr>
          <w:color w:val="000000"/>
        </w:rPr>
        <w:t>des</w:t>
      </w:r>
      <w:r w:rsidR="00FB0EC7" w:rsidRPr="004068F6">
        <w:rPr>
          <w:color w:val="000000"/>
        </w:rPr>
        <w:t xml:space="preserve">conoce la localización </w:t>
      </w:r>
      <w:r w:rsidR="00FD7B37" w:rsidRPr="004068F6">
        <w:rPr>
          <w:color w:val="000000"/>
        </w:rPr>
        <w:t xml:space="preserve">definitiva </w:t>
      </w:r>
      <w:r w:rsidR="00FB0EC7" w:rsidRPr="004068F6">
        <w:rPr>
          <w:color w:val="000000"/>
        </w:rPr>
        <w:t xml:space="preserve">de las infraestructuras, </w:t>
      </w:r>
      <w:r w:rsidR="00FD7B37" w:rsidRPr="004068F6">
        <w:rPr>
          <w:color w:val="000000"/>
        </w:rPr>
        <w:t xml:space="preserve">obras </w:t>
      </w:r>
      <w:r w:rsidR="00522B93" w:rsidRPr="004068F6">
        <w:rPr>
          <w:color w:val="000000"/>
        </w:rPr>
        <w:t>y actividades</w:t>
      </w:r>
      <w:r w:rsidR="00A83C20" w:rsidRPr="004068F6">
        <w:rPr>
          <w:color w:val="000000"/>
        </w:rPr>
        <w:t>,</w:t>
      </w:r>
      <w:r w:rsidR="00522B93" w:rsidRPr="004068F6">
        <w:rPr>
          <w:color w:val="000000"/>
        </w:rPr>
        <w:t xml:space="preserve"> </w:t>
      </w:r>
      <w:r w:rsidR="00FB0EC7" w:rsidRPr="004068F6">
        <w:rPr>
          <w:color w:val="000000"/>
        </w:rPr>
        <w:t xml:space="preserve">debe abordarse contemplando </w:t>
      </w:r>
      <w:r w:rsidR="00A83C20" w:rsidRPr="004068F6">
        <w:rPr>
          <w:color w:val="000000"/>
        </w:rPr>
        <w:t xml:space="preserve">todos </w:t>
      </w:r>
      <w:r w:rsidR="00FB0EC7" w:rsidRPr="004068F6">
        <w:rPr>
          <w:color w:val="000000"/>
        </w:rPr>
        <w:t xml:space="preserve">los posibles lugares de emplazamiento de </w:t>
      </w:r>
      <w:r w:rsidR="006D3619" w:rsidRPr="004068F6">
        <w:rPr>
          <w:color w:val="000000"/>
        </w:rPr>
        <w:t>tales infra</w:t>
      </w:r>
      <w:r w:rsidR="00FB0EC7" w:rsidRPr="004068F6">
        <w:rPr>
          <w:color w:val="000000"/>
        </w:rPr>
        <w:t>estructuras</w:t>
      </w:r>
      <w:r w:rsidR="006D3619" w:rsidRPr="004068F6">
        <w:rPr>
          <w:color w:val="000000"/>
        </w:rPr>
        <w:t>, obras</w:t>
      </w:r>
      <w:r w:rsidR="00FB0EC7" w:rsidRPr="004068F6">
        <w:rPr>
          <w:color w:val="000000"/>
        </w:rPr>
        <w:t xml:space="preserve"> y actividades.</w:t>
      </w:r>
    </w:p>
    <w:p w14:paraId="6F1483A7" w14:textId="77777777" w:rsidR="00EE5BF2" w:rsidRPr="004068F6" w:rsidRDefault="00EE5BF2" w:rsidP="003F28B9">
      <w:pPr>
        <w:overflowPunct/>
        <w:textAlignment w:val="auto"/>
        <w:rPr>
          <w:color w:val="000000"/>
        </w:rPr>
      </w:pPr>
    </w:p>
    <w:p w14:paraId="1ABF5808" w14:textId="3DC00B6B" w:rsidR="00EE5BF2" w:rsidRPr="004068F6" w:rsidRDefault="00EE5BF2" w:rsidP="00EE5BF2">
      <w:pPr>
        <w:overflowPunct/>
        <w:textAlignment w:val="auto"/>
        <w:rPr>
          <w:color w:val="000000"/>
        </w:rPr>
      </w:pPr>
      <w:r w:rsidRPr="004068F6">
        <w:rPr>
          <w:color w:val="000000"/>
        </w:rPr>
        <w:t xml:space="preserve">Cuando un impacto </w:t>
      </w:r>
      <w:r w:rsidR="008F112A" w:rsidRPr="004068F6">
        <w:rPr>
          <w:color w:val="000000"/>
        </w:rPr>
        <w:t xml:space="preserve">ocurre </w:t>
      </w:r>
      <w:r w:rsidR="0022511E" w:rsidRPr="004068F6">
        <w:rPr>
          <w:color w:val="000000"/>
        </w:rPr>
        <w:t xml:space="preserve">en varias </w:t>
      </w:r>
      <w:r w:rsidR="00517DAD">
        <w:rPr>
          <w:spacing w:val="-3"/>
        </w:rPr>
        <w:t>etapas</w:t>
      </w:r>
      <w:r w:rsidR="00517DAD" w:rsidRPr="004068F6" w:rsidDel="00517DAD">
        <w:rPr>
          <w:color w:val="000000"/>
        </w:rPr>
        <w:t xml:space="preserve"> </w:t>
      </w:r>
      <w:r w:rsidR="00D8752F" w:rsidRPr="004068F6">
        <w:rPr>
          <w:color w:val="000000"/>
        </w:rPr>
        <w:t xml:space="preserve">del </w:t>
      </w:r>
      <w:r w:rsidRPr="004068F6">
        <w:rPr>
          <w:color w:val="000000"/>
        </w:rPr>
        <w:t>proyecto</w:t>
      </w:r>
      <w:r w:rsidR="00B45E1C" w:rsidRPr="004068F6">
        <w:rPr>
          <w:color w:val="000000"/>
        </w:rPr>
        <w:t xml:space="preserve"> y</w:t>
      </w:r>
      <w:r w:rsidRPr="004068F6">
        <w:rPr>
          <w:color w:val="000000"/>
        </w:rPr>
        <w:t xml:space="preserve"> </w:t>
      </w:r>
      <w:r w:rsidR="0022511E" w:rsidRPr="004068F6">
        <w:rPr>
          <w:color w:val="000000"/>
        </w:rPr>
        <w:t>se espera</w:t>
      </w:r>
      <w:r w:rsidR="00426D85" w:rsidRPr="004068F6">
        <w:rPr>
          <w:color w:val="000000"/>
        </w:rPr>
        <w:t xml:space="preserve"> que en cada una de </w:t>
      </w:r>
      <w:r w:rsidR="00B45E1C" w:rsidRPr="004068F6">
        <w:rPr>
          <w:color w:val="000000"/>
        </w:rPr>
        <w:t xml:space="preserve">éstas </w:t>
      </w:r>
      <w:r w:rsidR="000F563E" w:rsidRPr="004068F6">
        <w:rPr>
          <w:color w:val="000000"/>
        </w:rPr>
        <w:t>se presenten</w:t>
      </w:r>
      <w:r w:rsidR="005A304F" w:rsidRPr="004068F6">
        <w:rPr>
          <w:color w:val="000000"/>
        </w:rPr>
        <w:t xml:space="preserve"> </w:t>
      </w:r>
      <w:r w:rsidR="0022511E" w:rsidRPr="004068F6">
        <w:rPr>
          <w:color w:val="000000"/>
        </w:rPr>
        <w:t xml:space="preserve">diferencias sustanciales en su significancia </w:t>
      </w:r>
      <w:r w:rsidR="00037013" w:rsidRPr="004068F6">
        <w:rPr>
          <w:color w:val="000000"/>
        </w:rPr>
        <w:t>y</w:t>
      </w:r>
      <w:r w:rsidR="00B45E1C" w:rsidRPr="004068F6">
        <w:rPr>
          <w:color w:val="000000"/>
        </w:rPr>
        <w:t xml:space="preserve">, además, </w:t>
      </w:r>
      <w:r w:rsidR="0010710E" w:rsidRPr="004068F6">
        <w:rPr>
          <w:color w:val="000000"/>
        </w:rPr>
        <w:t xml:space="preserve">esta situación </w:t>
      </w:r>
      <w:r w:rsidRPr="004068F6">
        <w:rPr>
          <w:color w:val="000000"/>
        </w:rPr>
        <w:t>impli</w:t>
      </w:r>
      <w:r w:rsidR="00BD68DE">
        <w:rPr>
          <w:color w:val="000000"/>
        </w:rPr>
        <w:t>que</w:t>
      </w:r>
      <w:r w:rsidRPr="004068F6">
        <w:rPr>
          <w:color w:val="000000"/>
        </w:rPr>
        <w:t xml:space="preserve"> el ajuste o </w:t>
      </w:r>
      <w:r w:rsidR="00037013" w:rsidRPr="004068F6">
        <w:rPr>
          <w:color w:val="000000"/>
        </w:rPr>
        <w:t xml:space="preserve">la </w:t>
      </w:r>
      <w:r w:rsidRPr="004068F6">
        <w:rPr>
          <w:color w:val="000000"/>
        </w:rPr>
        <w:t xml:space="preserve">formulación de nuevas medidas de manejo, </w:t>
      </w:r>
      <w:r w:rsidR="009501D4" w:rsidRPr="004068F6">
        <w:rPr>
          <w:color w:val="000000"/>
        </w:rPr>
        <w:t>como pu</w:t>
      </w:r>
      <w:r w:rsidR="00F55034">
        <w:rPr>
          <w:color w:val="000000"/>
        </w:rPr>
        <w:t>e</w:t>
      </w:r>
      <w:r w:rsidR="009501D4" w:rsidRPr="004068F6">
        <w:rPr>
          <w:color w:val="000000"/>
        </w:rPr>
        <w:t xml:space="preserve">de </w:t>
      </w:r>
      <w:r w:rsidR="008D679E">
        <w:rPr>
          <w:color w:val="000000"/>
        </w:rPr>
        <w:t xml:space="preserve">ocurrir en </w:t>
      </w:r>
      <w:r w:rsidR="009501D4" w:rsidRPr="004068F6">
        <w:rPr>
          <w:color w:val="000000"/>
        </w:rPr>
        <w:t xml:space="preserve">el caso de algunos proyectos mineros, </w:t>
      </w:r>
      <w:r w:rsidRPr="004068F6">
        <w:rPr>
          <w:color w:val="000000"/>
        </w:rPr>
        <w:t xml:space="preserve">es necesario realizar </w:t>
      </w:r>
      <w:r w:rsidR="00037DA7">
        <w:rPr>
          <w:color w:val="000000"/>
        </w:rPr>
        <w:t>la</w:t>
      </w:r>
      <w:r w:rsidR="00037DA7" w:rsidRPr="004068F6">
        <w:rPr>
          <w:color w:val="000000"/>
        </w:rPr>
        <w:t xml:space="preserve"> </w:t>
      </w:r>
      <w:r w:rsidRPr="004068F6">
        <w:rPr>
          <w:color w:val="000000"/>
        </w:rPr>
        <w:t xml:space="preserve">evaluación ambiental de forma independiente para cada </w:t>
      </w:r>
      <w:r w:rsidR="00EB05A3">
        <w:rPr>
          <w:spacing w:val="-3"/>
        </w:rPr>
        <w:t>etapa</w:t>
      </w:r>
      <w:r w:rsidR="00EB05A3" w:rsidRPr="004068F6" w:rsidDel="00EB05A3">
        <w:rPr>
          <w:color w:val="000000"/>
        </w:rPr>
        <w:t xml:space="preserve"> </w:t>
      </w:r>
      <w:r w:rsidRPr="004068F6">
        <w:rPr>
          <w:color w:val="000000"/>
        </w:rPr>
        <w:t>del proyecto.</w:t>
      </w:r>
    </w:p>
    <w:p w14:paraId="680A9E2B" w14:textId="77777777" w:rsidR="00982B1F" w:rsidRPr="004068F6" w:rsidRDefault="00982B1F" w:rsidP="003F28B9">
      <w:pPr>
        <w:overflowPunct/>
        <w:textAlignment w:val="auto"/>
        <w:rPr>
          <w:color w:val="000000"/>
        </w:rPr>
      </w:pPr>
    </w:p>
    <w:p w14:paraId="3E1FDB24" w14:textId="0ACAFC05" w:rsidR="00FA2A6E" w:rsidRDefault="0004331B" w:rsidP="00E63F45">
      <w:pPr>
        <w:numPr>
          <w:ilvl w:val="12"/>
          <w:numId w:val="0"/>
        </w:numPr>
        <w:tabs>
          <w:tab w:val="left" w:pos="-2268"/>
        </w:tabs>
        <w:suppressAutoHyphens/>
        <w:rPr>
          <w:rFonts w:cs="Arial"/>
          <w:spacing w:val="-3"/>
        </w:rPr>
      </w:pPr>
      <w:r w:rsidRPr="00B551C0">
        <w:rPr>
          <w:rFonts w:cs="Arial"/>
          <w:spacing w:val="-3"/>
        </w:rPr>
        <w:t>Adicional</w:t>
      </w:r>
      <w:r w:rsidR="009774E8" w:rsidRPr="004068F6">
        <w:rPr>
          <w:rFonts w:cs="Arial"/>
          <w:spacing w:val="-3"/>
        </w:rPr>
        <w:t xml:space="preserve"> a la </w:t>
      </w:r>
      <w:r w:rsidR="00ED0A2C" w:rsidRPr="004068F6">
        <w:rPr>
          <w:rFonts w:cs="Arial"/>
          <w:spacing w:val="-3"/>
        </w:rPr>
        <w:t xml:space="preserve">aplicación del método de </w:t>
      </w:r>
      <w:r w:rsidR="009774E8" w:rsidRPr="004068F6">
        <w:rPr>
          <w:rFonts w:cs="Arial"/>
          <w:spacing w:val="-3"/>
        </w:rPr>
        <w:t>valoración de impactos</w:t>
      </w:r>
      <w:r w:rsidR="00ED0A2C" w:rsidRPr="004068F6">
        <w:rPr>
          <w:rFonts w:cs="Arial"/>
          <w:spacing w:val="-3"/>
        </w:rPr>
        <w:t xml:space="preserve"> que se seleccione</w:t>
      </w:r>
      <w:r w:rsidRPr="004068F6">
        <w:rPr>
          <w:rFonts w:cs="Arial"/>
          <w:spacing w:val="-3"/>
        </w:rPr>
        <w:t xml:space="preserve">, </w:t>
      </w:r>
      <w:r w:rsidR="006979EC" w:rsidRPr="004068F6">
        <w:rPr>
          <w:rFonts w:cs="Arial"/>
          <w:spacing w:val="-3"/>
        </w:rPr>
        <w:t xml:space="preserve">para </w:t>
      </w:r>
      <w:r w:rsidRPr="004068F6">
        <w:rPr>
          <w:rFonts w:cs="Arial"/>
          <w:spacing w:val="-3"/>
        </w:rPr>
        <w:t>determina</w:t>
      </w:r>
      <w:r w:rsidR="006979EC" w:rsidRPr="004068F6">
        <w:rPr>
          <w:rFonts w:cs="Arial"/>
          <w:spacing w:val="-3"/>
        </w:rPr>
        <w:t xml:space="preserve">r </w:t>
      </w:r>
      <w:r w:rsidRPr="004068F6">
        <w:rPr>
          <w:rFonts w:cs="Arial"/>
          <w:spacing w:val="-3"/>
        </w:rPr>
        <w:t>los impactos ambientales significativos</w:t>
      </w:r>
      <w:r w:rsidR="005B6AEC" w:rsidRPr="004068F6">
        <w:rPr>
          <w:rFonts w:cs="Arial"/>
          <w:spacing w:val="-3"/>
        </w:rPr>
        <w:t xml:space="preserve"> negativos</w:t>
      </w:r>
      <w:r w:rsidR="006979EC" w:rsidRPr="004068F6">
        <w:rPr>
          <w:rFonts w:cs="Arial"/>
          <w:spacing w:val="-3"/>
        </w:rPr>
        <w:t>, que</w:t>
      </w:r>
      <w:r w:rsidRPr="004068F6">
        <w:rPr>
          <w:rFonts w:cs="Arial"/>
          <w:spacing w:val="-3"/>
        </w:rPr>
        <w:t xml:space="preserve"> en el marco del licenciamiento ambiental son indispensables para la delimitación del área de influencia</w:t>
      </w:r>
      <w:r w:rsidR="00EB4C69">
        <w:rPr>
          <w:rFonts w:cs="Arial"/>
          <w:spacing w:val="-3"/>
        </w:rPr>
        <w:t xml:space="preserve"> y la evaluación económica am</w:t>
      </w:r>
      <w:r w:rsidR="00060C90">
        <w:rPr>
          <w:rFonts w:cs="Arial"/>
          <w:spacing w:val="-3"/>
        </w:rPr>
        <w:t>b</w:t>
      </w:r>
      <w:r w:rsidR="00EB4C69">
        <w:rPr>
          <w:rFonts w:cs="Arial"/>
          <w:spacing w:val="-3"/>
        </w:rPr>
        <w:t>iental</w:t>
      </w:r>
      <w:r w:rsidRPr="004068F6">
        <w:rPr>
          <w:rFonts w:cs="Arial"/>
          <w:spacing w:val="-3"/>
        </w:rPr>
        <w:t xml:space="preserve">, </w:t>
      </w:r>
      <w:r w:rsidR="006979EC" w:rsidRPr="004068F6">
        <w:rPr>
          <w:rFonts w:cs="Arial"/>
          <w:spacing w:val="-3"/>
        </w:rPr>
        <w:t xml:space="preserve">se </w:t>
      </w:r>
      <w:r w:rsidR="009774E8" w:rsidRPr="004068F6">
        <w:rPr>
          <w:rFonts w:cs="Arial"/>
          <w:spacing w:val="-3"/>
        </w:rPr>
        <w:t xml:space="preserve">debe </w:t>
      </w:r>
      <w:r w:rsidR="006979EC" w:rsidRPr="004068F6">
        <w:rPr>
          <w:rFonts w:cs="Arial"/>
          <w:spacing w:val="-3"/>
        </w:rPr>
        <w:t xml:space="preserve">desarrollar </w:t>
      </w:r>
      <w:r w:rsidR="009774E8" w:rsidRPr="004068F6">
        <w:rPr>
          <w:rFonts w:cs="Arial"/>
          <w:spacing w:val="-3"/>
        </w:rPr>
        <w:t xml:space="preserve">el </w:t>
      </w:r>
      <w:r w:rsidRPr="004068F6">
        <w:rPr>
          <w:rFonts w:cs="Arial"/>
          <w:spacing w:val="-3"/>
        </w:rPr>
        <w:t>proce</w:t>
      </w:r>
      <w:r w:rsidR="00ED0A2C" w:rsidRPr="004068F6">
        <w:rPr>
          <w:rFonts w:cs="Arial"/>
          <w:spacing w:val="-3"/>
        </w:rPr>
        <w:t xml:space="preserve">dimiento </w:t>
      </w:r>
      <w:r w:rsidRPr="004068F6">
        <w:rPr>
          <w:rFonts w:cs="Arial"/>
          <w:spacing w:val="-3"/>
        </w:rPr>
        <w:t xml:space="preserve">que se </w:t>
      </w:r>
      <w:r w:rsidR="00060C90">
        <w:rPr>
          <w:rFonts w:cs="Arial"/>
          <w:spacing w:val="-3"/>
        </w:rPr>
        <w:t xml:space="preserve">establece </w:t>
      </w:r>
      <w:r w:rsidRPr="004068F6">
        <w:rPr>
          <w:rFonts w:cs="Arial"/>
          <w:spacing w:val="-3"/>
        </w:rPr>
        <w:t>en el numeral</w:t>
      </w:r>
      <w:r w:rsidR="00767FEF" w:rsidRPr="004068F6">
        <w:rPr>
          <w:rFonts w:cs="Arial"/>
          <w:spacing w:val="-3"/>
        </w:rPr>
        <w:t xml:space="preserve"> </w:t>
      </w:r>
      <w:r w:rsidR="001167C8" w:rsidRPr="004068F6">
        <w:rPr>
          <w:rFonts w:cs="Arial"/>
          <w:spacing w:val="-3"/>
        </w:rPr>
        <w:fldChar w:fldCharType="begin"/>
      </w:r>
      <w:r w:rsidR="001167C8" w:rsidRPr="004068F6">
        <w:rPr>
          <w:rFonts w:cs="Arial"/>
          <w:spacing w:val="-3"/>
        </w:rPr>
        <w:instrText xml:space="preserve"> REF _Ref137112878 \r \h  \* MERGEFORMAT </w:instrText>
      </w:r>
      <w:r w:rsidR="001167C8" w:rsidRPr="004068F6">
        <w:rPr>
          <w:rFonts w:cs="Arial"/>
          <w:spacing w:val="-3"/>
        </w:rPr>
      </w:r>
      <w:r w:rsidR="001167C8" w:rsidRPr="004068F6">
        <w:rPr>
          <w:rFonts w:cs="Arial"/>
          <w:spacing w:val="-3"/>
        </w:rPr>
        <w:fldChar w:fldCharType="separate"/>
      </w:r>
      <w:r w:rsidR="009C4A81">
        <w:rPr>
          <w:rFonts w:cs="Arial"/>
          <w:spacing w:val="-3"/>
        </w:rPr>
        <w:t>7.4.3</w:t>
      </w:r>
      <w:r w:rsidR="001167C8" w:rsidRPr="004068F6">
        <w:rPr>
          <w:rFonts w:cs="Arial"/>
          <w:spacing w:val="-3"/>
        </w:rPr>
        <w:fldChar w:fldCharType="end"/>
      </w:r>
      <w:r w:rsidRPr="004068F6">
        <w:rPr>
          <w:rFonts w:cs="Arial"/>
          <w:spacing w:val="-3"/>
        </w:rPr>
        <w:t>.</w:t>
      </w:r>
    </w:p>
    <w:p w14:paraId="07F94E5E" w14:textId="77777777" w:rsidR="00DC71E7" w:rsidRDefault="00DC71E7" w:rsidP="00E63F45">
      <w:pPr>
        <w:numPr>
          <w:ilvl w:val="12"/>
          <w:numId w:val="0"/>
        </w:numPr>
        <w:tabs>
          <w:tab w:val="left" w:pos="-2268"/>
        </w:tabs>
        <w:suppressAutoHyphens/>
        <w:rPr>
          <w:rFonts w:cs="Arial"/>
          <w:spacing w:val="-3"/>
        </w:rPr>
      </w:pPr>
    </w:p>
    <w:p w14:paraId="3A9A97D0" w14:textId="77777777" w:rsidR="00BC386A" w:rsidRDefault="00BC386A" w:rsidP="00E63F45">
      <w:pPr>
        <w:numPr>
          <w:ilvl w:val="12"/>
          <w:numId w:val="0"/>
        </w:numPr>
        <w:tabs>
          <w:tab w:val="left" w:pos="-2268"/>
        </w:tabs>
        <w:suppressAutoHyphens/>
        <w:rPr>
          <w:rFonts w:cs="Arial"/>
          <w:spacing w:val="-3"/>
        </w:rPr>
      </w:pPr>
    </w:p>
    <w:p w14:paraId="5BE9248D" w14:textId="77777777" w:rsidR="00BC386A" w:rsidRDefault="00BC386A" w:rsidP="00E63F45">
      <w:pPr>
        <w:numPr>
          <w:ilvl w:val="12"/>
          <w:numId w:val="0"/>
        </w:numPr>
        <w:tabs>
          <w:tab w:val="left" w:pos="-2268"/>
        </w:tabs>
        <w:suppressAutoHyphens/>
        <w:rPr>
          <w:rFonts w:cs="Arial"/>
          <w:spacing w:val="-3"/>
        </w:rPr>
      </w:pPr>
    </w:p>
    <w:p w14:paraId="2E90F62D" w14:textId="434E73C0" w:rsidR="00276D10" w:rsidRPr="004068F6" w:rsidRDefault="00276D10" w:rsidP="00212816">
      <w:pPr>
        <w:numPr>
          <w:ilvl w:val="12"/>
          <w:numId w:val="0"/>
        </w:numPr>
        <w:tabs>
          <w:tab w:val="left" w:pos="-2268"/>
        </w:tabs>
        <w:suppressAutoHyphens/>
        <w:rPr>
          <w:b/>
          <w:bCs/>
          <w:spacing w:val="-3"/>
          <w:u w:val="single"/>
        </w:rPr>
      </w:pPr>
      <w:r w:rsidRPr="004068F6">
        <w:rPr>
          <w:b/>
          <w:bCs/>
          <w:spacing w:val="-3"/>
          <w:u w:val="single"/>
        </w:rPr>
        <w:lastRenderedPageBreak/>
        <w:t xml:space="preserve">Sobre </w:t>
      </w:r>
      <w:r w:rsidR="0068433C" w:rsidRPr="004068F6">
        <w:rPr>
          <w:b/>
          <w:bCs/>
          <w:spacing w:val="-3"/>
          <w:u w:val="single"/>
        </w:rPr>
        <w:t xml:space="preserve">la valoración de </w:t>
      </w:r>
      <w:r w:rsidRPr="004068F6">
        <w:rPr>
          <w:b/>
          <w:bCs/>
          <w:spacing w:val="-3"/>
          <w:u w:val="single"/>
        </w:rPr>
        <w:t xml:space="preserve">los impactos ambientales acumulativos y </w:t>
      </w:r>
      <w:r w:rsidR="0068433C" w:rsidRPr="004068F6">
        <w:rPr>
          <w:b/>
          <w:bCs/>
          <w:spacing w:val="-3"/>
          <w:u w:val="single"/>
        </w:rPr>
        <w:t xml:space="preserve">de </w:t>
      </w:r>
      <w:r w:rsidRPr="004068F6">
        <w:rPr>
          <w:b/>
          <w:bCs/>
          <w:spacing w:val="-3"/>
          <w:u w:val="single"/>
        </w:rPr>
        <w:t>los impactos ambientales sinérg</w:t>
      </w:r>
      <w:r w:rsidR="007867F2" w:rsidRPr="004068F6">
        <w:rPr>
          <w:b/>
          <w:bCs/>
          <w:spacing w:val="-3"/>
          <w:u w:val="single"/>
        </w:rPr>
        <w:t>i</w:t>
      </w:r>
      <w:r w:rsidRPr="004068F6">
        <w:rPr>
          <w:b/>
          <w:bCs/>
          <w:spacing w:val="-3"/>
          <w:u w:val="single"/>
        </w:rPr>
        <w:t>cos</w:t>
      </w:r>
    </w:p>
    <w:p w14:paraId="73112E2F" w14:textId="77777777" w:rsidR="00276D10" w:rsidRPr="004068F6" w:rsidRDefault="00276D10" w:rsidP="00212816">
      <w:pPr>
        <w:numPr>
          <w:ilvl w:val="12"/>
          <w:numId w:val="0"/>
        </w:numPr>
        <w:tabs>
          <w:tab w:val="left" w:pos="-2268"/>
        </w:tabs>
        <w:suppressAutoHyphens/>
        <w:rPr>
          <w:spacing w:val="-3"/>
        </w:rPr>
      </w:pPr>
    </w:p>
    <w:p w14:paraId="2F737D6B" w14:textId="5588AB15" w:rsidR="00212816" w:rsidRPr="004068F6" w:rsidRDefault="00212816" w:rsidP="00212816">
      <w:pPr>
        <w:numPr>
          <w:ilvl w:val="12"/>
          <w:numId w:val="0"/>
        </w:numPr>
        <w:tabs>
          <w:tab w:val="left" w:pos="-2268"/>
        </w:tabs>
        <w:suppressAutoHyphens/>
        <w:rPr>
          <w:rFonts w:cs="Arial"/>
          <w:spacing w:val="-3"/>
        </w:rPr>
      </w:pPr>
      <w:r w:rsidRPr="004068F6">
        <w:rPr>
          <w:rFonts w:cs="Arial"/>
          <w:spacing w:val="-3"/>
        </w:rPr>
        <w:t xml:space="preserve">Con el propósito de dar mayor precisión a la evaluación ambiental </w:t>
      </w:r>
      <w:r w:rsidR="00A64E70" w:rsidRPr="004068F6">
        <w:rPr>
          <w:rFonts w:cs="Arial"/>
          <w:spacing w:val="-3"/>
        </w:rPr>
        <w:t xml:space="preserve">del escenario con proyecto </w:t>
      </w:r>
      <w:r w:rsidRPr="004068F6">
        <w:rPr>
          <w:rFonts w:cs="Arial"/>
          <w:spacing w:val="-3"/>
        </w:rPr>
        <w:t xml:space="preserve">es preciso adelantar un estudio detallado de los impactos ambientales acumulativos y de los impactos </w:t>
      </w:r>
      <w:r w:rsidR="0005493F" w:rsidRPr="004068F6">
        <w:rPr>
          <w:rFonts w:cs="Arial"/>
          <w:spacing w:val="-3"/>
        </w:rPr>
        <w:t xml:space="preserve">ambientales </w:t>
      </w:r>
      <w:r w:rsidRPr="004068F6">
        <w:rPr>
          <w:rFonts w:cs="Arial"/>
          <w:spacing w:val="-3"/>
        </w:rPr>
        <w:t>sinérgicos.</w:t>
      </w:r>
    </w:p>
    <w:p w14:paraId="7C9F31EE" w14:textId="77777777" w:rsidR="00212816" w:rsidRPr="004068F6" w:rsidRDefault="00212816" w:rsidP="00212816">
      <w:pPr>
        <w:numPr>
          <w:ilvl w:val="12"/>
          <w:numId w:val="0"/>
        </w:numPr>
        <w:tabs>
          <w:tab w:val="left" w:pos="-2268"/>
        </w:tabs>
        <w:suppressAutoHyphens/>
        <w:rPr>
          <w:rFonts w:cs="Arial"/>
          <w:spacing w:val="-3"/>
        </w:rPr>
      </w:pPr>
    </w:p>
    <w:p w14:paraId="38EBE026" w14:textId="0D13E34F" w:rsidR="00212816" w:rsidRPr="004068F6" w:rsidRDefault="00212816" w:rsidP="00212816">
      <w:pPr>
        <w:numPr>
          <w:ilvl w:val="12"/>
          <w:numId w:val="0"/>
        </w:numPr>
        <w:tabs>
          <w:tab w:val="left" w:pos="-2268"/>
        </w:tabs>
        <w:suppressAutoHyphens/>
        <w:rPr>
          <w:rFonts w:cs="Arial"/>
          <w:spacing w:val="-3"/>
        </w:rPr>
      </w:pPr>
      <w:r w:rsidRPr="004068F6">
        <w:rPr>
          <w:rFonts w:cs="Arial"/>
          <w:spacing w:val="-3"/>
        </w:rPr>
        <w:t>En el marco del licenciamiento ambiental, un impacto ambiental acumulativo es aquel impacto cuya significancia se incrementa, no necesariamente de forma lineal, con el tiempo. Los impactos acumulativos pueden presentarse cuando un impacto ambiental del proyecto, obra o actividad se acumula con uno igual (referido al mismo parámetro ambiental) preexistente en el área de influencia</w:t>
      </w:r>
      <w:r w:rsidR="00A62317" w:rsidRPr="004068F6">
        <w:rPr>
          <w:rFonts w:cs="Arial"/>
          <w:spacing w:val="-3"/>
        </w:rPr>
        <w:t xml:space="preserve"> dado el desarrollo de proyectos sujetos o no a licencia ambiental;</w:t>
      </w:r>
      <w:r w:rsidRPr="004068F6">
        <w:rPr>
          <w:rFonts w:cs="Arial"/>
          <w:spacing w:val="-3"/>
        </w:rPr>
        <w:t xml:space="preserve"> o bien, cuando no existiendo dicho impacto en el escenario sin proyecto, su significancia se incrementa progresivamente dada la ejecución de las actividades del proyecto, obra o actividad.</w:t>
      </w:r>
    </w:p>
    <w:p w14:paraId="4C02DC22" w14:textId="77777777" w:rsidR="00212816" w:rsidRPr="004068F6" w:rsidRDefault="00212816" w:rsidP="00212816">
      <w:pPr>
        <w:numPr>
          <w:ilvl w:val="12"/>
          <w:numId w:val="0"/>
        </w:numPr>
        <w:tabs>
          <w:tab w:val="left" w:pos="-2268"/>
        </w:tabs>
        <w:suppressAutoHyphens/>
        <w:rPr>
          <w:rFonts w:cs="Arial"/>
          <w:spacing w:val="-3"/>
        </w:rPr>
      </w:pPr>
    </w:p>
    <w:p w14:paraId="24C3E563" w14:textId="6CD5F3E2" w:rsidR="00212816" w:rsidRPr="004068F6" w:rsidRDefault="00212816" w:rsidP="006F724D">
      <w:pPr>
        <w:numPr>
          <w:ilvl w:val="12"/>
          <w:numId w:val="0"/>
        </w:numPr>
        <w:tabs>
          <w:tab w:val="left" w:pos="-2268"/>
        </w:tabs>
        <w:suppressAutoHyphens/>
        <w:rPr>
          <w:rFonts w:cs="Arial"/>
          <w:spacing w:val="-3"/>
        </w:rPr>
      </w:pPr>
      <w:r w:rsidRPr="004068F6">
        <w:rPr>
          <w:rFonts w:cs="Arial"/>
          <w:spacing w:val="-3"/>
        </w:rPr>
        <w:t xml:space="preserve">El aumento de la significancia </w:t>
      </w:r>
      <w:r w:rsidR="002A378A" w:rsidRPr="004068F6">
        <w:rPr>
          <w:rFonts w:cs="Arial"/>
          <w:spacing w:val="-3"/>
        </w:rPr>
        <w:t xml:space="preserve">(acumulación) </w:t>
      </w:r>
      <w:r w:rsidR="005F09A1" w:rsidRPr="004068F6">
        <w:rPr>
          <w:rFonts w:cs="Arial"/>
          <w:spacing w:val="-3"/>
        </w:rPr>
        <w:t xml:space="preserve">se presenta cuando la </w:t>
      </w:r>
      <w:r w:rsidR="006C0349" w:rsidRPr="004068F6">
        <w:rPr>
          <w:rFonts w:cs="Arial"/>
          <w:spacing w:val="-3"/>
        </w:rPr>
        <w:t xml:space="preserve">modificación ambiental que genera </w:t>
      </w:r>
      <w:r w:rsidR="005F09A1" w:rsidRPr="004068F6">
        <w:rPr>
          <w:rFonts w:cs="Arial"/>
          <w:spacing w:val="-3"/>
        </w:rPr>
        <w:t>el impacto es superior a la tasa de recuperación del sistema que lo recibe</w:t>
      </w:r>
      <w:r w:rsidR="001E58E8" w:rsidRPr="004068F6">
        <w:rPr>
          <w:rFonts w:cs="Arial"/>
          <w:spacing w:val="-3"/>
        </w:rPr>
        <w:t>. Esta situación</w:t>
      </w:r>
      <w:r w:rsidR="005F09A1" w:rsidRPr="004068F6">
        <w:rPr>
          <w:rFonts w:cs="Arial"/>
          <w:spacing w:val="-3"/>
        </w:rPr>
        <w:t xml:space="preserve"> </w:t>
      </w:r>
      <w:r w:rsidRPr="004068F6">
        <w:rPr>
          <w:rFonts w:cs="Arial"/>
          <w:spacing w:val="-3"/>
        </w:rPr>
        <w:t xml:space="preserve">puede generarse por varios motivos, entre ellos, </w:t>
      </w:r>
      <w:r w:rsidR="00D35B77" w:rsidRPr="004068F6">
        <w:rPr>
          <w:rFonts w:cs="Arial"/>
          <w:spacing w:val="-3"/>
        </w:rPr>
        <w:t xml:space="preserve">por un incremento en la intensidad o frecuencia </w:t>
      </w:r>
      <w:r w:rsidR="00B77872" w:rsidRPr="004068F6">
        <w:rPr>
          <w:rFonts w:cs="Arial"/>
          <w:spacing w:val="-3"/>
        </w:rPr>
        <w:t xml:space="preserve">de ejecución </w:t>
      </w:r>
      <w:r w:rsidR="00D35B77" w:rsidRPr="004068F6">
        <w:rPr>
          <w:rFonts w:cs="Arial"/>
          <w:spacing w:val="-3"/>
        </w:rPr>
        <w:t xml:space="preserve">de la actividad que </w:t>
      </w:r>
      <w:r w:rsidR="00127F58" w:rsidRPr="004068F6">
        <w:rPr>
          <w:rFonts w:cs="Arial"/>
          <w:spacing w:val="-3"/>
        </w:rPr>
        <w:t>produce</w:t>
      </w:r>
      <w:r w:rsidR="00D35B77" w:rsidRPr="004068F6">
        <w:rPr>
          <w:rFonts w:cs="Arial"/>
          <w:spacing w:val="-3"/>
        </w:rPr>
        <w:t xml:space="preserve"> el impacto</w:t>
      </w:r>
      <w:r w:rsidRPr="004068F6">
        <w:rPr>
          <w:rFonts w:cs="Arial"/>
          <w:spacing w:val="-3"/>
        </w:rPr>
        <w:t xml:space="preserve"> o</w:t>
      </w:r>
      <w:r w:rsidR="00814132" w:rsidRPr="004068F6">
        <w:rPr>
          <w:rFonts w:cs="Arial"/>
          <w:spacing w:val="-3"/>
        </w:rPr>
        <w:t>,</w:t>
      </w:r>
      <w:r w:rsidRPr="004068F6">
        <w:rPr>
          <w:rFonts w:cs="Arial"/>
          <w:spacing w:val="-3"/>
        </w:rPr>
        <w:t xml:space="preserve"> </w:t>
      </w:r>
      <w:r w:rsidR="00CB5DBB" w:rsidRPr="004068F6">
        <w:rPr>
          <w:rFonts w:cs="Arial"/>
          <w:spacing w:val="-3"/>
        </w:rPr>
        <w:t>por el traslape de las áreas de manifestación del impacto</w:t>
      </w:r>
      <w:r w:rsidR="000669D5" w:rsidRPr="004068F6">
        <w:rPr>
          <w:rFonts w:cs="Arial"/>
          <w:spacing w:val="-3"/>
        </w:rPr>
        <w:t>, ya sea</w:t>
      </w:r>
      <w:r w:rsidR="00814132" w:rsidRPr="004068F6">
        <w:rPr>
          <w:rFonts w:cs="Arial"/>
          <w:spacing w:val="-3"/>
        </w:rPr>
        <w:t xml:space="preserve"> que éstas se </w:t>
      </w:r>
      <w:r w:rsidR="006F724D" w:rsidRPr="004068F6">
        <w:rPr>
          <w:rFonts w:cs="Arial"/>
          <w:spacing w:val="-3"/>
        </w:rPr>
        <w:t>gener</w:t>
      </w:r>
      <w:r w:rsidR="00814132" w:rsidRPr="004068F6">
        <w:rPr>
          <w:rFonts w:cs="Arial"/>
          <w:spacing w:val="-3"/>
        </w:rPr>
        <w:t xml:space="preserve">en </w:t>
      </w:r>
      <w:r w:rsidR="006F724D" w:rsidRPr="004068F6">
        <w:rPr>
          <w:rFonts w:cs="Arial"/>
          <w:spacing w:val="-3"/>
        </w:rPr>
        <w:t xml:space="preserve">por </w:t>
      </w:r>
      <w:r w:rsidR="00CB5DBB" w:rsidRPr="004068F6">
        <w:rPr>
          <w:rFonts w:cs="Arial"/>
          <w:spacing w:val="-3"/>
        </w:rPr>
        <w:t xml:space="preserve">el mismo </w:t>
      </w:r>
      <w:r w:rsidR="00814132" w:rsidRPr="004068F6">
        <w:rPr>
          <w:rFonts w:cs="Arial"/>
          <w:spacing w:val="-3"/>
        </w:rPr>
        <w:t xml:space="preserve">proyecto </w:t>
      </w:r>
      <w:r w:rsidR="00CB5DBB" w:rsidRPr="004068F6">
        <w:rPr>
          <w:rFonts w:cs="Arial"/>
          <w:spacing w:val="-3"/>
        </w:rPr>
        <w:t xml:space="preserve">o </w:t>
      </w:r>
      <w:r w:rsidR="006F724D" w:rsidRPr="004068F6">
        <w:rPr>
          <w:rFonts w:cs="Arial"/>
          <w:spacing w:val="-3"/>
        </w:rPr>
        <w:t xml:space="preserve">por </w:t>
      </w:r>
      <w:r w:rsidR="00CB5DBB" w:rsidRPr="004068F6">
        <w:rPr>
          <w:rFonts w:cs="Arial"/>
          <w:spacing w:val="-3"/>
        </w:rPr>
        <w:t>otros proyectos</w:t>
      </w:r>
      <w:r w:rsidR="006F724D" w:rsidRPr="004068F6">
        <w:rPr>
          <w:rFonts w:cs="Arial"/>
          <w:spacing w:val="-3"/>
        </w:rPr>
        <w:t xml:space="preserve"> o actividades.</w:t>
      </w:r>
      <w:r w:rsidRPr="004068F6">
        <w:rPr>
          <w:rFonts w:cs="Arial"/>
          <w:spacing w:val="-3"/>
        </w:rPr>
        <w:t xml:space="preserve"> Es importante tener en cuenta estos mecanismos de acumulación para evaluar los impactos y para formular medidas efectivas de manejo.</w:t>
      </w:r>
    </w:p>
    <w:p w14:paraId="0A43C310" w14:textId="77777777" w:rsidR="00212816" w:rsidRPr="004068F6" w:rsidRDefault="00212816" w:rsidP="00212816">
      <w:pPr>
        <w:numPr>
          <w:ilvl w:val="12"/>
          <w:numId w:val="0"/>
        </w:numPr>
        <w:tabs>
          <w:tab w:val="left" w:pos="-2268"/>
        </w:tabs>
        <w:suppressAutoHyphens/>
        <w:rPr>
          <w:rFonts w:cs="Arial"/>
          <w:spacing w:val="-3"/>
        </w:rPr>
      </w:pPr>
    </w:p>
    <w:p w14:paraId="649EE3D9" w14:textId="71010049" w:rsidR="00212816" w:rsidRPr="004068F6" w:rsidRDefault="00212816" w:rsidP="00212816">
      <w:pPr>
        <w:numPr>
          <w:ilvl w:val="12"/>
          <w:numId w:val="0"/>
        </w:numPr>
        <w:tabs>
          <w:tab w:val="left" w:pos="-2268"/>
        </w:tabs>
        <w:suppressAutoHyphens/>
        <w:rPr>
          <w:rFonts w:cs="Arial"/>
          <w:spacing w:val="-3"/>
        </w:rPr>
      </w:pPr>
      <w:r w:rsidRPr="004068F6">
        <w:rPr>
          <w:rFonts w:cs="Arial"/>
          <w:spacing w:val="-3"/>
        </w:rPr>
        <w:t xml:space="preserve">De otra parte, los impactos ambientales sinérgicos son aquellos impactos que </w:t>
      </w:r>
      <w:r w:rsidR="00A95B91" w:rsidRPr="004068F6">
        <w:rPr>
          <w:rFonts w:cs="Arial"/>
          <w:spacing w:val="-3"/>
        </w:rPr>
        <w:t>tienen la capacidad de interactuar con otros impactos y gracias a esa interacción</w:t>
      </w:r>
      <w:r w:rsidRPr="004068F6">
        <w:rPr>
          <w:rFonts w:cs="Arial"/>
          <w:spacing w:val="-3"/>
        </w:rPr>
        <w:t xml:space="preserve">, </w:t>
      </w:r>
      <w:r w:rsidR="00A95B91" w:rsidRPr="004068F6">
        <w:rPr>
          <w:rFonts w:cs="Arial"/>
          <w:spacing w:val="-3"/>
        </w:rPr>
        <w:t>pueden producir un incremento en la significancia de los impactos interactuantes o bien, generar otros impactos no contemplados previamente</w:t>
      </w:r>
      <w:r w:rsidRPr="004068F6">
        <w:rPr>
          <w:rFonts w:cs="Arial"/>
          <w:spacing w:val="-3"/>
        </w:rPr>
        <w:t>.</w:t>
      </w:r>
    </w:p>
    <w:p w14:paraId="3E97EE06" w14:textId="77777777" w:rsidR="00212816" w:rsidRPr="004068F6" w:rsidRDefault="00212816" w:rsidP="00212816">
      <w:pPr>
        <w:numPr>
          <w:ilvl w:val="12"/>
          <w:numId w:val="0"/>
        </w:numPr>
        <w:tabs>
          <w:tab w:val="left" w:pos="-2268"/>
        </w:tabs>
        <w:suppressAutoHyphens/>
        <w:rPr>
          <w:rFonts w:cs="Arial"/>
          <w:spacing w:val="-3"/>
        </w:rPr>
      </w:pPr>
    </w:p>
    <w:p w14:paraId="52C12729" w14:textId="4797DA12" w:rsidR="003B1548" w:rsidRDefault="00590BD1" w:rsidP="00212816">
      <w:pPr>
        <w:numPr>
          <w:ilvl w:val="12"/>
          <w:numId w:val="0"/>
        </w:numPr>
        <w:tabs>
          <w:tab w:val="left" w:pos="-2268"/>
        </w:tabs>
        <w:suppressAutoHyphens/>
        <w:rPr>
          <w:rFonts w:cs="Arial"/>
          <w:spacing w:val="-3"/>
        </w:rPr>
      </w:pPr>
      <w:r>
        <w:rPr>
          <w:color w:val="000000"/>
        </w:rPr>
        <w:t xml:space="preserve">Es de primordial importancia que la determinación de </w:t>
      </w:r>
      <w:r w:rsidR="00314D86">
        <w:rPr>
          <w:color w:val="000000"/>
        </w:rPr>
        <w:t xml:space="preserve">los impactos ambientales acumulativos y de los impactos ambientales sinérgicos </w:t>
      </w:r>
      <w:r w:rsidRPr="00EC26FB">
        <w:rPr>
          <w:color w:val="000000"/>
        </w:rPr>
        <w:t>emple</w:t>
      </w:r>
      <w:r w:rsidR="00314D86">
        <w:rPr>
          <w:color w:val="000000"/>
        </w:rPr>
        <w:t>e</w:t>
      </w:r>
      <w:r w:rsidRPr="00EC26FB">
        <w:rPr>
          <w:color w:val="000000"/>
        </w:rPr>
        <w:t xml:space="preserve"> los parámetros o indicadores que la autoridad ambiental competente </w:t>
      </w:r>
      <w:r w:rsidR="00314D86" w:rsidRPr="00EC26FB">
        <w:rPr>
          <w:color w:val="000000"/>
        </w:rPr>
        <w:t xml:space="preserve">haya fijado </w:t>
      </w:r>
      <w:r w:rsidRPr="00EC26FB">
        <w:rPr>
          <w:color w:val="000000"/>
        </w:rPr>
        <w:t>como instrumento para evaluar el estado de los Elementos Ambientales Valorados (EAV), si es que ello es posible</w:t>
      </w:r>
      <w:r w:rsidRPr="004068F6">
        <w:rPr>
          <w:color w:val="000000"/>
        </w:rPr>
        <w:t>.</w:t>
      </w:r>
      <w:r w:rsidRPr="00EC26FB">
        <w:rPr>
          <w:color w:val="000000"/>
        </w:rPr>
        <w:t xml:space="preserve"> </w:t>
      </w:r>
      <w:r w:rsidRPr="004068F6">
        <w:rPr>
          <w:color w:val="000000"/>
        </w:rPr>
        <w:t>Por tal motivo, es necesario consultar a</w:t>
      </w:r>
      <w:r w:rsidRPr="00EC26FB">
        <w:rPr>
          <w:color w:val="000000"/>
        </w:rPr>
        <w:t xml:space="preserve"> la autoridad ambiental competente qué EAV existen para el área de influencia, así como los parámetros</w:t>
      </w:r>
      <w:r w:rsidRPr="004068F6">
        <w:rPr>
          <w:color w:val="000000"/>
        </w:rPr>
        <w:t xml:space="preserve"> o</w:t>
      </w:r>
      <w:r w:rsidRPr="00EC26FB">
        <w:rPr>
          <w:color w:val="000000"/>
        </w:rPr>
        <w:t xml:space="preserve"> indicadores establecidos para su seguimiento</w:t>
      </w:r>
      <w:r w:rsidRPr="004068F6">
        <w:rPr>
          <w:color w:val="000000"/>
        </w:rPr>
        <w:t xml:space="preserve">. En cualquier caso, los parámetros e indicadores para el seguimiento de EAV </w:t>
      </w:r>
      <w:r w:rsidR="00FC6F5E">
        <w:rPr>
          <w:color w:val="000000"/>
        </w:rPr>
        <w:t xml:space="preserve">fijados por la autoridad ambiental </w:t>
      </w:r>
      <w:r w:rsidRPr="004068F6">
        <w:rPr>
          <w:color w:val="000000"/>
        </w:rPr>
        <w:t xml:space="preserve">sólo deben emplearse si permiten evaluar </w:t>
      </w:r>
      <w:r w:rsidR="00206B61">
        <w:rPr>
          <w:color w:val="000000"/>
        </w:rPr>
        <w:t xml:space="preserve">los </w:t>
      </w:r>
      <w:r w:rsidRPr="004068F6">
        <w:rPr>
          <w:color w:val="000000"/>
        </w:rPr>
        <w:t>impactos</w:t>
      </w:r>
      <w:r w:rsidR="00FC6F5E">
        <w:rPr>
          <w:color w:val="000000"/>
        </w:rPr>
        <w:t xml:space="preserve"> del proyecto</w:t>
      </w:r>
      <w:r w:rsidRPr="004068F6">
        <w:rPr>
          <w:color w:val="000000"/>
        </w:rPr>
        <w:t xml:space="preserve">, es decir, si permiten evaluar cómo </w:t>
      </w:r>
      <w:r w:rsidR="00486A27">
        <w:rPr>
          <w:color w:val="000000"/>
        </w:rPr>
        <w:t xml:space="preserve">se acumulan los cambios </w:t>
      </w:r>
      <w:r w:rsidRPr="004068F6">
        <w:rPr>
          <w:color w:val="000000"/>
        </w:rPr>
        <w:t xml:space="preserve">ambientales </w:t>
      </w:r>
      <w:r w:rsidR="00486A27">
        <w:rPr>
          <w:color w:val="000000"/>
        </w:rPr>
        <w:t xml:space="preserve">o cómo </w:t>
      </w:r>
      <w:r w:rsidR="00FC6F5E">
        <w:rPr>
          <w:color w:val="000000"/>
        </w:rPr>
        <w:t>dicha alteración ambiental genera sinergias</w:t>
      </w:r>
      <w:r w:rsidRPr="004068F6">
        <w:rPr>
          <w:color w:val="000000"/>
        </w:rPr>
        <w:t>.</w:t>
      </w:r>
    </w:p>
    <w:p w14:paraId="6E6CAC05" w14:textId="77777777" w:rsidR="003B1548" w:rsidRPr="004068F6" w:rsidRDefault="003B1548" w:rsidP="00212816">
      <w:pPr>
        <w:numPr>
          <w:ilvl w:val="12"/>
          <w:numId w:val="0"/>
        </w:numPr>
        <w:tabs>
          <w:tab w:val="left" w:pos="-2268"/>
        </w:tabs>
        <w:suppressAutoHyphens/>
        <w:rPr>
          <w:rFonts w:cs="Arial"/>
          <w:spacing w:val="-3"/>
        </w:rPr>
      </w:pPr>
    </w:p>
    <w:p w14:paraId="12D3D8EE" w14:textId="77777777" w:rsidR="005D200E" w:rsidRDefault="00C944F2" w:rsidP="00212816">
      <w:pPr>
        <w:numPr>
          <w:ilvl w:val="12"/>
          <w:numId w:val="0"/>
        </w:numPr>
        <w:tabs>
          <w:tab w:val="left" w:pos="-2268"/>
        </w:tabs>
        <w:suppressAutoHyphens/>
        <w:rPr>
          <w:rFonts w:cs="Arial"/>
          <w:spacing w:val="-3"/>
        </w:rPr>
      </w:pPr>
      <w:r w:rsidRPr="004068F6">
        <w:rPr>
          <w:rFonts w:cs="Arial"/>
          <w:spacing w:val="-3"/>
        </w:rPr>
        <w:t>P</w:t>
      </w:r>
      <w:r w:rsidR="000574FC" w:rsidRPr="004068F6">
        <w:rPr>
          <w:rFonts w:cs="Arial"/>
          <w:spacing w:val="-3"/>
        </w:rPr>
        <w:t xml:space="preserve">ara determinar y valorar impactos y establecer si se acumulan en el tiempo o si generan relaciones sinérgicas, </w:t>
      </w:r>
      <w:r w:rsidR="00D04966" w:rsidRPr="004068F6">
        <w:rPr>
          <w:rFonts w:cs="Arial"/>
          <w:spacing w:val="-3"/>
        </w:rPr>
        <w:t xml:space="preserve">se </w:t>
      </w:r>
      <w:r w:rsidR="000574FC" w:rsidRPr="004068F6">
        <w:rPr>
          <w:rFonts w:cs="Arial"/>
          <w:spacing w:val="-3"/>
        </w:rPr>
        <w:t>debe</w:t>
      </w:r>
      <w:r w:rsidR="001C2690" w:rsidRPr="004068F6">
        <w:rPr>
          <w:rFonts w:cs="Arial"/>
          <w:spacing w:val="-3"/>
        </w:rPr>
        <w:t>n</w:t>
      </w:r>
      <w:r w:rsidR="000574FC" w:rsidRPr="004068F6">
        <w:rPr>
          <w:rFonts w:cs="Arial"/>
          <w:spacing w:val="-3"/>
        </w:rPr>
        <w:t xml:space="preserve"> </w:t>
      </w:r>
      <w:r w:rsidR="00AF40D6" w:rsidRPr="00127BD4">
        <w:rPr>
          <w:rFonts w:cs="Arial"/>
          <w:spacing w:val="-3"/>
        </w:rPr>
        <w:t xml:space="preserve">emplear herramientas como los diagramas de Gantt, los </w:t>
      </w:r>
      <w:r w:rsidR="00AF40D6" w:rsidRPr="00127BD4">
        <w:rPr>
          <w:rFonts w:cs="Arial"/>
          <w:spacing w:val="-3"/>
        </w:rPr>
        <w:lastRenderedPageBreak/>
        <w:t>análisis de causalidad</w:t>
      </w:r>
      <w:r w:rsidR="00B6282B">
        <w:rPr>
          <w:rFonts w:cs="Arial"/>
          <w:spacing w:val="-3"/>
        </w:rPr>
        <w:t>, la dinámica de sistemas</w:t>
      </w:r>
      <w:r w:rsidR="00AF40D6" w:rsidRPr="00127BD4">
        <w:rPr>
          <w:rFonts w:cs="Arial"/>
          <w:spacing w:val="-3"/>
        </w:rPr>
        <w:t xml:space="preserve"> o los análisis de redes. </w:t>
      </w:r>
      <w:r w:rsidR="0046147B" w:rsidRPr="00127BD4">
        <w:rPr>
          <w:rFonts w:cs="Arial"/>
          <w:spacing w:val="-3"/>
        </w:rPr>
        <w:t xml:space="preserve">Tales herramientas, </w:t>
      </w:r>
      <w:r w:rsidR="0046147B" w:rsidRPr="004068F6">
        <w:rPr>
          <w:rFonts w:cs="Arial"/>
          <w:spacing w:val="-3"/>
        </w:rPr>
        <w:t>a partir de</w:t>
      </w:r>
      <w:r w:rsidR="00C42430" w:rsidRPr="004068F6">
        <w:rPr>
          <w:rFonts w:cs="Arial"/>
          <w:spacing w:val="-3"/>
        </w:rPr>
        <w:t xml:space="preserve">l análisis </w:t>
      </w:r>
      <w:r w:rsidR="00CC4422" w:rsidRPr="004068F6">
        <w:rPr>
          <w:rFonts w:cs="Arial"/>
          <w:spacing w:val="-3"/>
        </w:rPr>
        <w:t xml:space="preserve">de </w:t>
      </w:r>
      <w:r w:rsidR="00C42430" w:rsidRPr="004068F6">
        <w:rPr>
          <w:rFonts w:cs="Arial"/>
          <w:spacing w:val="-3"/>
        </w:rPr>
        <w:t xml:space="preserve">las </w:t>
      </w:r>
      <w:r w:rsidR="00CC4422" w:rsidRPr="004068F6">
        <w:rPr>
          <w:rFonts w:cs="Arial"/>
          <w:spacing w:val="-3"/>
        </w:rPr>
        <w:t xml:space="preserve">relaciones </w:t>
      </w:r>
      <w:r w:rsidR="00C42430" w:rsidRPr="004068F6">
        <w:rPr>
          <w:rFonts w:cs="Arial"/>
          <w:spacing w:val="-3"/>
        </w:rPr>
        <w:t>que exist</w:t>
      </w:r>
      <w:r w:rsidR="00AD32A8" w:rsidRPr="004068F6">
        <w:rPr>
          <w:rFonts w:cs="Arial"/>
          <w:spacing w:val="-3"/>
        </w:rPr>
        <w:t xml:space="preserve">irían </w:t>
      </w:r>
      <w:r w:rsidR="00CC4422" w:rsidRPr="004068F6">
        <w:rPr>
          <w:rFonts w:cs="Arial"/>
          <w:spacing w:val="-3"/>
        </w:rPr>
        <w:t xml:space="preserve">entre </w:t>
      </w:r>
      <w:r w:rsidR="00DA131E" w:rsidRPr="004068F6">
        <w:rPr>
          <w:rFonts w:cs="Arial"/>
          <w:spacing w:val="-3"/>
        </w:rPr>
        <w:t xml:space="preserve">las </w:t>
      </w:r>
      <w:r w:rsidR="00AF4BEF" w:rsidRPr="004068F6">
        <w:rPr>
          <w:rFonts w:cs="Arial"/>
          <w:spacing w:val="-3"/>
        </w:rPr>
        <w:t xml:space="preserve">infraestructuras, obras, </w:t>
      </w:r>
      <w:r w:rsidR="004102F4" w:rsidRPr="004068F6">
        <w:rPr>
          <w:rFonts w:cs="Arial"/>
          <w:spacing w:val="-3"/>
        </w:rPr>
        <w:t>actividades</w:t>
      </w:r>
      <w:r w:rsidR="00AD32A8" w:rsidRPr="004068F6">
        <w:rPr>
          <w:rFonts w:cs="Arial"/>
          <w:spacing w:val="-3"/>
        </w:rPr>
        <w:t xml:space="preserve"> </w:t>
      </w:r>
      <w:r w:rsidR="00AF4BEF" w:rsidRPr="004068F6">
        <w:rPr>
          <w:rFonts w:cs="Arial"/>
          <w:spacing w:val="-3"/>
        </w:rPr>
        <w:t xml:space="preserve">y demás características </w:t>
      </w:r>
      <w:r w:rsidR="00DA131E" w:rsidRPr="004068F6">
        <w:rPr>
          <w:rFonts w:cs="Arial"/>
          <w:spacing w:val="-3"/>
        </w:rPr>
        <w:t xml:space="preserve">del proyecto </w:t>
      </w:r>
      <w:r w:rsidR="00AD32A8" w:rsidRPr="004068F6">
        <w:rPr>
          <w:rFonts w:cs="Arial"/>
          <w:spacing w:val="-3"/>
        </w:rPr>
        <w:t>y las condiciones ambientales de línea base</w:t>
      </w:r>
      <w:r w:rsidR="0017433E" w:rsidRPr="004068F6">
        <w:rPr>
          <w:rFonts w:cs="Arial"/>
          <w:spacing w:val="-3"/>
        </w:rPr>
        <w:t>,</w:t>
      </w:r>
      <w:r w:rsidR="0046147B" w:rsidRPr="004068F6">
        <w:rPr>
          <w:rFonts w:cs="Arial"/>
          <w:spacing w:val="-3"/>
        </w:rPr>
        <w:t xml:space="preserve"> </w:t>
      </w:r>
      <w:r w:rsidR="00E13D9E" w:rsidRPr="004068F6">
        <w:rPr>
          <w:rFonts w:cs="Arial"/>
          <w:spacing w:val="-3"/>
        </w:rPr>
        <w:t>facilitan</w:t>
      </w:r>
      <w:r w:rsidR="009538D4" w:rsidRPr="004068F6">
        <w:rPr>
          <w:rFonts w:cs="Arial"/>
          <w:spacing w:val="-3"/>
        </w:rPr>
        <w:t>, entre otras</w:t>
      </w:r>
      <w:r w:rsidR="00657E0D" w:rsidRPr="004068F6">
        <w:rPr>
          <w:rFonts w:cs="Arial"/>
          <w:spacing w:val="-3"/>
        </w:rPr>
        <w:t>:</w:t>
      </w:r>
      <w:r w:rsidR="00E13D9E" w:rsidRPr="004068F6">
        <w:rPr>
          <w:rFonts w:cs="Arial"/>
          <w:spacing w:val="-3"/>
        </w:rPr>
        <w:t xml:space="preserve"> </w:t>
      </w:r>
      <w:r w:rsidR="00F50A38" w:rsidRPr="004068F6">
        <w:rPr>
          <w:rFonts w:cs="Arial"/>
          <w:spacing w:val="-3"/>
        </w:rPr>
        <w:t xml:space="preserve">i) </w:t>
      </w:r>
      <w:r w:rsidR="00AF40D6" w:rsidRPr="00127BD4">
        <w:rPr>
          <w:rFonts w:cs="Arial"/>
          <w:spacing w:val="-3"/>
        </w:rPr>
        <w:t>determina</w:t>
      </w:r>
      <w:r w:rsidR="00BF6057" w:rsidRPr="004068F6">
        <w:rPr>
          <w:rFonts w:cs="Arial"/>
          <w:spacing w:val="-3"/>
        </w:rPr>
        <w:t xml:space="preserve">r </w:t>
      </w:r>
      <w:r w:rsidR="00341C63" w:rsidRPr="00127BD4">
        <w:rPr>
          <w:rFonts w:cs="Arial"/>
          <w:spacing w:val="-3"/>
        </w:rPr>
        <w:t>impactos</w:t>
      </w:r>
      <w:r w:rsidR="00F50A38" w:rsidRPr="004068F6">
        <w:rPr>
          <w:rFonts w:cs="Arial"/>
          <w:spacing w:val="-3"/>
        </w:rPr>
        <w:t>;</w:t>
      </w:r>
      <w:r w:rsidR="00341C63" w:rsidRPr="00127BD4">
        <w:rPr>
          <w:rFonts w:cs="Arial"/>
          <w:spacing w:val="-3"/>
        </w:rPr>
        <w:t xml:space="preserve"> </w:t>
      </w:r>
      <w:r w:rsidR="00F50A38" w:rsidRPr="004068F6">
        <w:rPr>
          <w:rFonts w:cs="Arial"/>
          <w:spacing w:val="-3"/>
        </w:rPr>
        <w:t xml:space="preserve">ii) </w:t>
      </w:r>
      <w:r w:rsidR="00BF6057" w:rsidRPr="004068F6">
        <w:rPr>
          <w:rFonts w:cs="Arial"/>
          <w:spacing w:val="-3"/>
        </w:rPr>
        <w:t>conocer</w:t>
      </w:r>
      <w:r w:rsidR="00881B97" w:rsidRPr="00127BD4">
        <w:rPr>
          <w:rFonts w:cs="Arial"/>
          <w:spacing w:val="-3"/>
        </w:rPr>
        <w:t xml:space="preserve"> </w:t>
      </w:r>
      <w:r w:rsidR="00AF40D6" w:rsidRPr="00127BD4">
        <w:rPr>
          <w:rFonts w:cs="Arial"/>
          <w:spacing w:val="-3"/>
        </w:rPr>
        <w:t xml:space="preserve">si </w:t>
      </w:r>
      <w:r w:rsidR="00341C63" w:rsidRPr="00127BD4">
        <w:rPr>
          <w:rFonts w:cs="Arial"/>
          <w:spacing w:val="-3"/>
        </w:rPr>
        <w:t xml:space="preserve">éstos </w:t>
      </w:r>
      <w:r w:rsidR="00AF40D6" w:rsidRPr="00127BD4">
        <w:rPr>
          <w:rFonts w:cs="Arial"/>
          <w:spacing w:val="-3"/>
        </w:rPr>
        <w:t>ocurren de manera simultánea (y</w:t>
      </w:r>
      <w:r w:rsidR="00EA7A59" w:rsidRPr="00127BD4">
        <w:rPr>
          <w:rFonts w:cs="Arial"/>
          <w:spacing w:val="-3"/>
        </w:rPr>
        <w:t>,</w:t>
      </w:r>
      <w:r w:rsidR="00AF40D6" w:rsidRPr="00127BD4">
        <w:rPr>
          <w:rFonts w:cs="Arial"/>
          <w:spacing w:val="-3"/>
        </w:rPr>
        <w:t xml:space="preserve"> por tanto, si pueden </w:t>
      </w:r>
      <w:r w:rsidR="008F687B" w:rsidRPr="00127BD4">
        <w:rPr>
          <w:rFonts w:cs="Arial"/>
          <w:spacing w:val="-3"/>
        </w:rPr>
        <w:t xml:space="preserve">acumularse o </w:t>
      </w:r>
      <w:r w:rsidR="00AF40D6" w:rsidRPr="00127BD4">
        <w:rPr>
          <w:rFonts w:cs="Arial"/>
          <w:spacing w:val="-3"/>
        </w:rPr>
        <w:t>interactuar)</w:t>
      </w:r>
      <w:r w:rsidR="00F50A38" w:rsidRPr="004068F6">
        <w:rPr>
          <w:rFonts w:cs="Arial"/>
          <w:spacing w:val="-3"/>
        </w:rPr>
        <w:t>; iii)</w:t>
      </w:r>
      <w:r w:rsidR="00AF40D6" w:rsidRPr="00127BD4">
        <w:rPr>
          <w:rFonts w:cs="Arial"/>
          <w:spacing w:val="-3"/>
        </w:rPr>
        <w:t xml:space="preserve"> </w:t>
      </w:r>
      <w:r w:rsidR="00565C9B" w:rsidRPr="004068F6">
        <w:rPr>
          <w:rFonts w:cs="Arial"/>
          <w:spacing w:val="-3"/>
        </w:rPr>
        <w:t xml:space="preserve">determinar </w:t>
      </w:r>
      <w:r w:rsidR="00AF40D6" w:rsidRPr="00127BD4">
        <w:rPr>
          <w:rFonts w:cs="Arial"/>
          <w:spacing w:val="-3"/>
        </w:rPr>
        <w:t>si tienen la capacidad de interactuar entre sí</w:t>
      </w:r>
      <w:r w:rsidR="00D35ECF" w:rsidRPr="004068F6">
        <w:rPr>
          <w:rFonts w:cs="Arial"/>
          <w:spacing w:val="-3"/>
        </w:rPr>
        <w:t xml:space="preserve"> y</w:t>
      </w:r>
      <w:r w:rsidR="00F50A38" w:rsidRPr="004068F6">
        <w:rPr>
          <w:rFonts w:cs="Arial"/>
          <w:spacing w:val="-3"/>
        </w:rPr>
        <w:t>; iv)</w:t>
      </w:r>
      <w:r w:rsidR="00D35ECF" w:rsidRPr="004068F6">
        <w:rPr>
          <w:rFonts w:cs="Arial"/>
          <w:spacing w:val="-3"/>
        </w:rPr>
        <w:t xml:space="preserve"> </w:t>
      </w:r>
      <w:r w:rsidR="008972A0" w:rsidRPr="004068F6">
        <w:rPr>
          <w:rFonts w:cs="Arial"/>
          <w:spacing w:val="-3"/>
        </w:rPr>
        <w:t xml:space="preserve">determinar </w:t>
      </w:r>
      <w:r w:rsidR="00D35ECF" w:rsidRPr="004068F6">
        <w:rPr>
          <w:rFonts w:cs="Arial"/>
          <w:spacing w:val="-3"/>
        </w:rPr>
        <w:t>si pueden da</w:t>
      </w:r>
      <w:r w:rsidR="00D361DF" w:rsidRPr="004068F6">
        <w:rPr>
          <w:rFonts w:cs="Arial"/>
          <w:spacing w:val="-3"/>
        </w:rPr>
        <w:t>r</w:t>
      </w:r>
      <w:r w:rsidR="00D35ECF" w:rsidRPr="004068F6">
        <w:rPr>
          <w:rFonts w:cs="Arial"/>
          <w:spacing w:val="-3"/>
        </w:rPr>
        <w:t xml:space="preserve"> lugar a cadenas causales de impactos</w:t>
      </w:r>
      <w:r w:rsidR="00AF40D6" w:rsidRPr="00127BD4">
        <w:rPr>
          <w:rFonts w:cs="Arial"/>
          <w:spacing w:val="-3"/>
        </w:rPr>
        <w:t>.</w:t>
      </w:r>
    </w:p>
    <w:p w14:paraId="66CB0E3E" w14:textId="77777777" w:rsidR="005D200E" w:rsidRDefault="005D200E" w:rsidP="00212816">
      <w:pPr>
        <w:numPr>
          <w:ilvl w:val="12"/>
          <w:numId w:val="0"/>
        </w:numPr>
        <w:tabs>
          <w:tab w:val="left" w:pos="-2268"/>
        </w:tabs>
        <w:suppressAutoHyphens/>
        <w:rPr>
          <w:rFonts w:cs="Arial"/>
          <w:spacing w:val="-3"/>
        </w:rPr>
      </w:pPr>
    </w:p>
    <w:p w14:paraId="076CBA70" w14:textId="4609CC8F" w:rsidR="00AF40D6" w:rsidRPr="004068F6" w:rsidRDefault="00CF25EB" w:rsidP="00212816">
      <w:pPr>
        <w:numPr>
          <w:ilvl w:val="12"/>
          <w:numId w:val="0"/>
        </w:numPr>
        <w:tabs>
          <w:tab w:val="left" w:pos="-2268"/>
        </w:tabs>
        <w:suppressAutoHyphens/>
        <w:rPr>
          <w:rFonts w:cs="Arial"/>
          <w:spacing w:val="-3"/>
        </w:rPr>
      </w:pPr>
      <w:r w:rsidRPr="004068F6">
        <w:rPr>
          <w:rFonts w:cs="Arial"/>
          <w:spacing w:val="-3"/>
        </w:rPr>
        <w:t>I</w:t>
      </w:r>
      <w:r w:rsidR="00AF40D6" w:rsidRPr="00127BD4">
        <w:rPr>
          <w:rFonts w:cs="Arial"/>
          <w:spacing w:val="-3"/>
        </w:rPr>
        <w:t xml:space="preserve">ndependientemente del procedimiento empleado </w:t>
      </w:r>
      <w:r w:rsidR="002C1697" w:rsidRPr="004068F6">
        <w:rPr>
          <w:rFonts w:cs="Arial"/>
          <w:spacing w:val="-3"/>
        </w:rPr>
        <w:t>para determinar las interacciones de acumulación o sinergia</w:t>
      </w:r>
      <w:r w:rsidRPr="004068F6">
        <w:rPr>
          <w:rFonts w:cs="Arial"/>
          <w:spacing w:val="-3"/>
        </w:rPr>
        <w:t xml:space="preserve"> (p. ej. diagrama de Gantt junto con análisis de causalidad, diagrama de Gantt junto con análisis de redes, análisis de causalidad, análisis de redes</w:t>
      </w:r>
      <w:r w:rsidR="00AB00D6">
        <w:rPr>
          <w:rFonts w:cs="Arial"/>
          <w:spacing w:val="-3"/>
        </w:rPr>
        <w:t>, dinámica de sistemas</w:t>
      </w:r>
      <w:r w:rsidRPr="004068F6">
        <w:rPr>
          <w:rFonts w:cs="Arial"/>
          <w:spacing w:val="-3"/>
        </w:rPr>
        <w:t xml:space="preserve">), se deben explicar </w:t>
      </w:r>
      <w:r w:rsidR="00957D2B" w:rsidRPr="004068F6">
        <w:rPr>
          <w:rFonts w:cs="Arial"/>
          <w:spacing w:val="-3"/>
        </w:rPr>
        <w:t>su</w:t>
      </w:r>
      <w:r w:rsidRPr="004068F6">
        <w:rPr>
          <w:rFonts w:cs="Arial"/>
          <w:spacing w:val="-3"/>
        </w:rPr>
        <w:t>s resultados</w:t>
      </w:r>
      <w:r w:rsidR="00AF40D6" w:rsidRPr="00127BD4">
        <w:rPr>
          <w:rFonts w:cs="Arial"/>
          <w:spacing w:val="-3"/>
        </w:rPr>
        <w:t>.</w:t>
      </w:r>
    </w:p>
    <w:p w14:paraId="32579029" w14:textId="77777777" w:rsidR="00AF40D6" w:rsidRPr="004068F6" w:rsidRDefault="00AF40D6" w:rsidP="00212816">
      <w:pPr>
        <w:numPr>
          <w:ilvl w:val="12"/>
          <w:numId w:val="0"/>
        </w:numPr>
        <w:tabs>
          <w:tab w:val="left" w:pos="-2268"/>
        </w:tabs>
        <w:suppressAutoHyphens/>
        <w:rPr>
          <w:rFonts w:cs="Arial"/>
          <w:spacing w:val="-3"/>
        </w:rPr>
      </w:pPr>
    </w:p>
    <w:p w14:paraId="4353FA37" w14:textId="5A4DB1AC" w:rsidR="00DD02ED" w:rsidRPr="004068F6" w:rsidRDefault="001C75FD" w:rsidP="00212816">
      <w:pPr>
        <w:numPr>
          <w:ilvl w:val="12"/>
          <w:numId w:val="0"/>
        </w:numPr>
        <w:tabs>
          <w:tab w:val="left" w:pos="-2268"/>
        </w:tabs>
        <w:suppressAutoHyphens/>
        <w:rPr>
          <w:rFonts w:cs="Arial"/>
          <w:spacing w:val="-3"/>
        </w:rPr>
      </w:pPr>
      <w:r w:rsidRPr="004068F6">
        <w:rPr>
          <w:rFonts w:cs="Arial"/>
          <w:spacing w:val="-3"/>
        </w:rPr>
        <w:t xml:space="preserve">Para evaluar </w:t>
      </w:r>
      <w:r w:rsidR="008D253F" w:rsidRPr="004068F6">
        <w:rPr>
          <w:rFonts w:cs="Arial"/>
          <w:spacing w:val="-3"/>
        </w:rPr>
        <w:t>los impactos acumulativos y los impactos sinérgicos</w:t>
      </w:r>
      <w:r w:rsidR="008D253F" w:rsidRPr="004068F6" w:rsidDel="0061287E">
        <w:rPr>
          <w:rFonts w:cs="Arial"/>
          <w:spacing w:val="-3"/>
        </w:rPr>
        <w:t xml:space="preserve"> </w:t>
      </w:r>
      <w:r w:rsidR="00212816" w:rsidRPr="004068F6">
        <w:rPr>
          <w:rFonts w:cs="Arial"/>
          <w:spacing w:val="-3"/>
        </w:rPr>
        <w:t>no basta con conocer las relaciones que existen entre actividades e impactos y entre impactos y otros impactos</w:t>
      </w:r>
      <w:r w:rsidR="00F96E88" w:rsidRPr="004068F6">
        <w:rPr>
          <w:rFonts w:cs="Arial"/>
          <w:spacing w:val="-3"/>
        </w:rPr>
        <w:t>; por ello</w:t>
      </w:r>
      <w:r w:rsidR="00212816" w:rsidRPr="004068F6">
        <w:rPr>
          <w:rFonts w:cs="Arial"/>
          <w:spacing w:val="-3"/>
        </w:rPr>
        <w:t xml:space="preserve">, es necesario determinar </w:t>
      </w:r>
      <w:r w:rsidR="008D253F" w:rsidRPr="004068F6">
        <w:rPr>
          <w:rFonts w:cs="Arial"/>
          <w:spacing w:val="-3"/>
        </w:rPr>
        <w:t xml:space="preserve">sus </w:t>
      </w:r>
      <w:r w:rsidR="00212816" w:rsidRPr="004068F6">
        <w:rPr>
          <w:rFonts w:cs="Arial"/>
          <w:spacing w:val="-3"/>
        </w:rPr>
        <w:t>principales características mediante paneles de expertos, modelos, análisis de la capacidad asimilativa</w:t>
      </w:r>
      <w:r w:rsidR="00C55C46" w:rsidRPr="004068F6">
        <w:rPr>
          <w:rFonts w:cs="Arial"/>
          <w:spacing w:val="-3"/>
        </w:rPr>
        <w:t xml:space="preserve">, aplicación de atributos de valoración </w:t>
      </w:r>
      <w:r w:rsidR="00212816" w:rsidRPr="004068F6">
        <w:rPr>
          <w:rFonts w:cs="Arial"/>
          <w:spacing w:val="-3"/>
        </w:rPr>
        <w:t xml:space="preserve">u otros métodos, con el fin de prever qué </w:t>
      </w:r>
      <w:r w:rsidR="00DA4486" w:rsidRPr="004068F6">
        <w:rPr>
          <w:rFonts w:cs="Arial"/>
          <w:spacing w:val="-3"/>
        </w:rPr>
        <w:t xml:space="preserve">tanto </w:t>
      </w:r>
      <w:r w:rsidR="00212816" w:rsidRPr="004068F6">
        <w:rPr>
          <w:rFonts w:cs="Arial"/>
          <w:spacing w:val="-3"/>
        </w:rPr>
        <w:t xml:space="preserve">pueden </w:t>
      </w:r>
      <w:r w:rsidR="0085097B" w:rsidRPr="004068F6">
        <w:rPr>
          <w:rFonts w:cs="Arial"/>
          <w:spacing w:val="-3"/>
        </w:rPr>
        <w:t xml:space="preserve">modificar las condiciones ambientales </w:t>
      </w:r>
      <w:r w:rsidR="00212816" w:rsidRPr="004068F6">
        <w:rPr>
          <w:rFonts w:cs="Arial"/>
          <w:spacing w:val="-3"/>
        </w:rPr>
        <w:t xml:space="preserve">y cómo </w:t>
      </w:r>
      <w:r w:rsidR="0085097B" w:rsidRPr="004068F6">
        <w:rPr>
          <w:rFonts w:cs="Arial"/>
          <w:spacing w:val="-3"/>
        </w:rPr>
        <w:t xml:space="preserve">dicha modificación </w:t>
      </w:r>
      <w:r w:rsidR="00212816" w:rsidRPr="004068F6">
        <w:rPr>
          <w:rFonts w:cs="Arial"/>
          <w:spacing w:val="-3"/>
        </w:rPr>
        <w:t xml:space="preserve">puede cambiar en el tiempo, en qué lugares se manifestarían, cuán rápido </w:t>
      </w:r>
      <w:r w:rsidR="00960D91" w:rsidRPr="004068F6">
        <w:rPr>
          <w:rFonts w:cs="Arial"/>
          <w:spacing w:val="-3"/>
        </w:rPr>
        <w:t xml:space="preserve">podrían </w:t>
      </w:r>
      <w:r w:rsidR="00212816" w:rsidRPr="004068F6">
        <w:rPr>
          <w:rFonts w:cs="Arial"/>
          <w:spacing w:val="-3"/>
        </w:rPr>
        <w:t>ser asimilados por los sistemas que impactan, entre otras</w:t>
      </w:r>
      <w:r w:rsidR="00DD02ED" w:rsidRPr="004068F6">
        <w:rPr>
          <w:rFonts w:cs="Arial"/>
          <w:spacing w:val="-3"/>
        </w:rPr>
        <w:t>.</w:t>
      </w:r>
    </w:p>
    <w:p w14:paraId="73654A1E" w14:textId="77777777" w:rsidR="00DD02ED" w:rsidRPr="004068F6" w:rsidRDefault="00DD02ED" w:rsidP="00212816">
      <w:pPr>
        <w:numPr>
          <w:ilvl w:val="12"/>
          <w:numId w:val="0"/>
        </w:numPr>
        <w:tabs>
          <w:tab w:val="left" w:pos="-2268"/>
        </w:tabs>
        <w:suppressAutoHyphens/>
        <w:rPr>
          <w:rFonts w:cs="Arial"/>
          <w:spacing w:val="-3"/>
        </w:rPr>
      </w:pPr>
    </w:p>
    <w:p w14:paraId="27D5779D" w14:textId="339FE104" w:rsidR="00FE65FA" w:rsidRPr="00127BD4" w:rsidRDefault="00CF0341" w:rsidP="00FE65FA">
      <w:pPr>
        <w:numPr>
          <w:ilvl w:val="12"/>
          <w:numId w:val="0"/>
        </w:numPr>
        <w:tabs>
          <w:tab w:val="left" w:pos="-2268"/>
        </w:tabs>
        <w:suppressAutoHyphens/>
        <w:rPr>
          <w:rFonts w:cs="Arial"/>
          <w:spacing w:val="-3"/>
        </w:rPr>
      </w:pPr>
      <w:r w:rsidRPr="00127BD4">
        <w:rPr>
          <w:rFonts w:cs="Arial"/>
          <w:spacing w:val="-3"/>
        </w:rPr>
        <w:t xml:space="preserve">En </w:t>
      </w:r>
      <w:r w:rsidR="000F3843" w:rsidRPr="00127BD4">
        <w:rPr>
          <w:rFonts w:cs="Arial"/>
          <w:spacing w:val="-3"/>
        </w:rPr>
        <w:t xml:space="preserve">la </w:t>
      </w:r>
      <w:r w:rsidR="00FE65FA" w:rsidRPr="004068F6">
        <w:rPr>
          <w:rFonts w:cs="Arial"/>
          <w:spacing w:val="-3"/>
        </w:rPr>
        <w:t xml:space="preserve">evaluación </w:t>
      </w:r>
      <w:r w:rsidR="000F3843" w:rsidRPr="00127BD4">
        <w:rPr>
          <w:rFonts w:cs="Arial"/>
          <w:spacing w:val="-3"/>
        </w:rPr>
        <w:t xml:space="preserve">de este tipo de impactos es fundamental </w:t>
      </w:r>
      <w:r w:rsidR="00FE65FA" w:rsidRPr="004068F6">
        <w:rPr>
          <w:rFonts w:cs="Arial"/>
          <w:spacing w:val="-3"/>
        </w:rPr>
        <w:t xml:space="preserve">tener en cuenta </w:t>
      </w:r>
      <w:r w:rsidR="00CA5D2C" w:rsidRPr="00127BD4">
        <w:rPr>
          <w:rFonts w:cs="Arial"/>
          <w:spacing w:val="-3"/>
        </w:rPr>
        <w:t xml:space="preserve">la forma en que </w:t>
      </w:r>
      <w:r w:rsidR="00FE65FA" w:rsidRPr="004068F6">
        <w:rPr>
          <w:rFonts w:cs="Arial"/>
          <w:spacing w:val="-3"/>
        </w:rPr>
        <w:t>se manifiestan temporal y espacialmente</w:t>
      </w:r>
      <w:r w:rsidR="008973FB" w:rsidRPr="00127BD4">
        <w:rPr>
          <w:rFonts w:cs="Arial"/>
          <w:spacing w:val="-3"/>
        </w:rPr>
        <w:t>, pues ello posibilita</w:t>
      </w:r>
      <w:r w:rsidR="00FE65FA" w:rsidRPr="004068F6">
        <w:rPr>
          <w:rFonts w:cs="Arial"/>
          <w:spacing w:val="-3"/>
        </w:rPr>
        <w:t xml:space="preserve"> prever integralmente sus procesos de acumulación o sinergia.</w:t>
      </w:r>
      <w:r w:rsidR="0011289C" w:rsidRPr="00127BD4">
        <w:rPr>
          <w:rFonts w:cs="Arial"/>
          <w:spacing w:val="-3"/>
        </w:rPr>
        <w:t xml:space="preserve"> La </w:t>
      </w:r>
      <w:r w:rsidR="00FE65FA" w:rsidRPr="004068F6">
        <w:rPr>
          <w:rFonts w:cs="Arial"/>
          <w:spacing w:val="-3"/>
        </w:rPr>
        <w:t>evalua</w:t>
      </w:r>
      <w:r w:rsidR="0011289C" w:rsidRPr="00127BD4">
        <w:rPr>
          <w:rFonts w:cs="Arial"/>
          <w:spacing w:val="-3"/>
        </w:rPr>
        <w:t>ción de</w:t>
      </w:r>
      <w:r w:rsidR="00FE65FA" w:rsidRPr="004068F6">
        <w:rPr>
          <w:rFonts w:cs="Arial"/>
          <w:spacing w:val="-3"/>
        </w:rPr>
        <w:t xml:space="preserve"> la dimensión temporal debe estimar cómo cambia la significancia de los impactos en el tiempo, ojalá de forma cuantitativa, teniendo en cuenta características ambientales como la sensibilidad ambiental y la capacidad de asimilación de los elementos ambientales que son impactados, así como las particularidades de las actividades que los generan, </w:t>
      </w:r>
      <w:r w:rsidR="00A62317" w:rsidRPr="004068F6">
        <w:rPr>
          <w:rFonts w:cs="Arial"/>
          <w:spacing w:val="-3"/>
        </w:rPr>
        <w:t xml:space="preserve">por ejemplo, </w:t>
      </w:r>
      <w:r w:rsidR="00FE65FA" w:rsidRPr="004068F6">
        <w:rPr>
          <w:rFonts w:cs="Arial"/>
          <w:spacing w:val="-3"/>
        </w:rPr>
        <w:t>la frecuencia, duración e intensidad de ejecución.</w:t>
      </w:r>
    </w:p>
    <w:p w14:paraId="026AA21A" w14:textId="77777777" w:rsidR="00CB7346" w:rsidRPr="00127BD4" w:rsidRDefault="00CB7346" w:rsidP="00FE65FA">
      <w:pPr>
        <w:numPr>
          <w:ilvl w:val="12"/>
          <w:numId w:val="0"/>
        </w:numPr>
        <w:tabs>
          <w:tab w:val="left" w:pos="-2268"/>
        </w:tabs>
        <w:suppressAutoHyphens/>
        <w:rPr>
          <w:rFonts w:cs="Arial"/>
          <w:spacing w:val="-3"/>
        </w:rPr>
      </w:pPr>
    </w:p>
    <w:p w14:paraId="62432E9E" w14:textId="6CA37FE7" w:rsidR="00CB7346" w:rsidRPr="004068F6" w:rsidRDefault="00FD00AE" w:rsidP="00FE65FA">
      <w:pPr>
        <w:numPr>
          <w:ilvl w:val="12"/>
          <w:numId w:val="0"/>
        </w:numPr>
        <w:tabs>
          <w:tab w:val="left" w:pos="-2268"/>
        </w:tabs>
        <w:suppressAutoHyphens/>
        <w:rPr>
          <w:rFonts w:cs="Arial"/>
          <w:spacing w:val="-3"/>
        </w:rPr>
      </w:pPr>
      <w:r w:rsidRPr="004068F6">
        <w:rPr>
          <w:rFonts w:cs="Arial"/>
          <w:spacing w:val="-3"/>
        </w:rPr>
        <w:t>A</w:t>
      </w:r>
      <w:r w:rsidR="004D7319" w:rsidRPr="004068F6">
        <w:rPr>
          <w:rFonts w:cs="Arial"/>
          <w:spacing w:val="-3"/>
        </w:rPr>
        <w:t xml:space="preserve">l igual que </w:t>
      </w:r>
      <w:r w:rsidR="00A80459" w:rsidRPr="004068F6">
        <w:rPr>
          <w:rFonts w:cs="Arial"/>
          <w:spacing w:val="-3"/>
        </w:rPr>
        <w:t xml:space="preserve">la evaluación de todos </w:t>
      </w:r>
      <w:r w:rsidR="004D7319" w:rsidRPr="004068F6">
        <w:rPr>
          <w:rFonts w:cs="Arial"/>
          <w:spacing w:val="-3"/>
        </w:rPr>
        <w:t xml:space="preserve">los impactos </w:t>
      </w:r>
      <w:r w:rsidR="00A80459" w:rsidRPr="004068F6">
        <w:rPr>
          <w:rFonts w:cs="Arial"/>
          <w:spacing w:val="-3"/>
        </w:rPr>
        <w:t>d</w:t>
      </w:r>
      <w:r w:rsidR="004D7319" w:rsidRPr="004068F6">
        <w:rPr>
          <w:rFonts w:cs="Arial"/>
          <w:spacing w:val="-3"/>
        </w:rPr>
        <w:t xml:space="preserve">el proyecto, obra o actividad, </w:t>
      </w:r>
      <w:r w:rsidR="00A80459" w:rsidRPr="004068F6">
        <w:rPr>
          <w:rFonts w:cs="Arial"/>
          <w:spacing w:val="-3"/>
        </w:rPr>
        <w:t xml:space="preserve">el estudio de los </w:t>
      </w:r>
      <w:r w:rsidR="004251A7" w:rsidRPr="004068F6">
        <w:rPr>
          <w:rFonts w:cs="Arial"/>
          <w:spacing w:val="-3"/>
        </w:rPr>
        <w:t xml:space="preserve">impactos </w:t>
      </w:r>
      <w:r w:rsidR="00A80459" w:rsidRPr="004068F6">
        <w:rPr>
          <w:rFonts w:cs="Arial"/>
          <w:spacing w:val="-3"/>
        </w:rPr>
        <w:t xml:space="preserve">acumulativos y </w:t>
      </w:r>
      <w:r w:rsidR="004251A7" w:rsidRPr="004068F6">
        <w:rPr>
          <w:rFonts w:cs="Arial"/>
          <w:spacing w:val="-3"/>
        </w:rPr>
        <w:t xml:space="preserve">de los impactos </w:t>
      </w:r>
      <w:r w:rsidR="00A80459" w:rsidRPr="004068F6">
        <w:rPr>
          <w:rFonts w:cs="Arial"/>
          <w:spacing w:val="-3"/>
        </w:rPr>
        <w:t xml:space="preserve">sinérgicos </w:t>
      </w:r>
      <w:r w:rsidR="00870395" w:rsidRPr="004068F6">
        <w:rPr>
          <w:rFonts w:cs="Arial"/>
          <w:spacing w:val="-3"/>
        </w:rPr>
        <w:t xml:space="preserve">debe </w:t>
      </w:r>
      <w:r w:rsidR="00891C4E" w:rsidRPr="004068F6">
        <w:rPr>
          <w:rFonts w:cs="Arial"/>
          <w:spacing w:val="-3"/>
        </w:rPr>
        <w:t xml:space="preserve">partir </w:t>
      </w:r>
      <w:r w:rsidR="003234C3" w:rsidRPr="004068F6">
        <w:rPr>
          <w:rFonts w:cs="Arial"/>
          <w:spacing w:val="-3"/>
        </w:rPr>
        <w:t xml:space="preserve">de la comparación </w:t>
      </w:r>
      <w:r w:rsidR="00891C4E" w:rsidRPr="004068F6">
        <w:rPr>
          <w:rFonts w:cs="Arial"/>
          <w:spacing w:val="-3"/>
        </w:rPr>
        <w:t>de</w:t>
      </w:r>
      <w:r w:rsidR="003234C3" w:rsidRPr="004068F6">
        <w:rPr>
          <w:rFonts w:cs="Arial"/>
          <w:spacing w:val="-3"/>
        </w:rPr>
        <w:t xml:space="preserve"> las condiciones ambientales que existirían </w:t>
      </w:r>
      <w:r w:rsidR="0000175F" w:rsidRPr="004068F6">
        <w:rPr>
          <w:rFonts w:cs="Arial"/>
          <w:spacing w:val="-3"/>
        </w:rPr>
        <w:t xml:space="preserve">a futuro </w:t>
      </w:r>
      <w:r w:rsidR="003234C3" w:rsidRPr="004068F6">
        <w:rPr>
          <w:rFonts w:cs="Arial"/>
          <w:spacing w:val="-3"/>
        </w:rPr>
        <w:t xml:space="preserve">en los escenarios </w:t>
      </w:r>
      <w:r w:rsidR="00891C4E" w:rsidRPr="004068F6">
        <w:rPr>
          <w:rFonts w:cs="Arial"/>
          <w:spacing w:val="-3"/>
        </w:rPr>
        <w:t xml:space="preserve">sin </w:t>
      </w:r>
      <w:r w:rsidR="003234C3" w:rsidRPr="004068F6">
        <w:rPr>
          <w:rFonts w:cs="Arial"/>
          <w:spacing w:val="-3"/>
        </w:rPr>
        <w:t xml:space="preserve">y con </w:t>
      </w:r>
      <w:r w:rsidR="00891C4E" w:rsidRPr="004068F6">
        <w:rPr>
          <w:rFonts w:cs="Arial"/>
          <w:spacing w:val="-3"/>
        </w:rPr>
        <w:t>proyecto</w:t>
      </w:r>
      <w:r w:rsidR="00F21493" w:rsidRPr="004068F6">
        <w:rPr>
          <w:rFonts w:cs="Arial"/>
          <w:spacing w:val="-3"/>
        </w:rPr>
        <w:t>. Este procedimi</w:t>
      </w:r>
      <w:r w:rsidR="004B721B" w:rsidRPr="004068F6">
        <w:rPr>
          <w:rFonts w:cs="Arial"/>
          <w:spacing w:val="-3"/>
        </w:rPr>
        <w:t>e</w:t>
      </w:r>
      <w:r w:rsidR="00F21493" w:rsidRPr="004068F6">
        <w:rPr>
          <w:rFonts w:cs="Arial"/>
          <w:spacing w:val="-3"/>
        </w:rPr>
        <w:t xml:space="preserve">nto implica </w:t>
      </w:r>
      <w:r w:rsidR="00AC5921" w:rsidRPr="004068F6">
        <w:rPr>
          <w:rFonts w:cs="Arial"/>
          <w:spacing w:val="-3"/>
        </w:rPr>
        <w:t xml:space="preserve">considerar </w:t>
      </w:r>
      <w:r w:rsidR="00CB7346" w:rsidRPr="004068F6">
        <w:rPr>
          <w:rFonts w:cs="Arial"/>
          <w:spacing w:val="-3"/>
        </w:rPr>
        <w:t xml:space="preserve">las tendencias </w:t>
      </w:r>
      <w:r w:rsidR="0013101C" w:rsidRPr="004068F6">
        <w:rPr>
          <w:rFonts w:cs="Arial"/>
          <w:spacing w:val="-3"/>
        </w:rPr>
        <w:t xml:space="preserve">de cambio </w:t>
      </w:r>
      <w:r w:rsidR="00CB7346" w:rsidRPr="004068F6">
        <w:rPr>
          <w:rFonts w:cs="Arial"/>
          <w:spacing w:val="-3"/>
        </w:rPr>
        <w:t xml:space="preserve">observadas </w:t>
      </w:r>
      <w:r w:rsidR="001437A1" w:rsidRPr="004068F6">
        <w:rPr>
          <w:rFonts w:cs="Arial"/>
          <w:spacing w:val="-3"/>
        </w:rPr>
        <w:t xml:space="preserve">y esperadas </w:t>
      </w:r>
      <w:r w:rsidR="00694F07" w:rsidRPr="004068F6">
        <w:rPr>
          <w:rFonts w:cs="Arial"/>
          <w:spacing w:val="-3"/>
        </w:rPr>
        <w:t xml:space="preserve">para </w:t>
      </w:r>
      <w:r w:rsidR="00CB7346" w:rsidRPr="004068F6">
        <w:rPr>
          <w:rFonts w:cs="Arial"/>
          <w:spacing w:val="-3"/>
        </w:rPr>
        <w:t>el escenario sin proyecto</w:t>
      </w:r>
      <w:r w:rsidR="004C49B3" w:rsidRPr="00127BD4">
        <w:rPr>
          <w:rStyle w:val="Refdenotaalpie"/>
          <w:rFonts w:cs="Arial"/>
          <w:spacing w:val="-3"/>
          <w:lang w:val="es-CO"/>
        </w:rPr>
        <w:footnoteReference w:id="220"/>
      </w:r>
      <w:r w:rsidR="00604B71" w:rsidRPr="004068F6">
        <w:rPr>
          <w:rFonts w:cs="Arial"/>
          <w:spacing w:val="-3"/>
        </w:rPr>
        <w:t>,</w:t>
      </w:r>
      <w:r w:rsidR="00CB7346" w:rsidRPr="004068F6">
        <w:rPr>
          <w:rFonts w:cs="Arial"/>
          <w:spacing w:val="-3"/>
        </w:rPr>
        <w:t xml:space="preserve"> </w:t>
      </w:r>
      <w:r w:rsidR="00884D6D" w:rsidRPr="004068F6">
        <w:rPr>
          <w:rFonts w:cs="Arial"/>
          <w:spacing w:val="-3"/>
        </w:rPr>
        <w:t xml:space="preserve">a fin de </w:t>
      </w:r>
      <w:r w:rsidR="00CB7346" w:rsidRPr="004068F6">
        <w:rPr>
          <w:rFonts w:cs="Arial"/>
          <w:spacing w:val="-3"/>
        </w:rPr>
        <w:t>predecir más ac</w:t>
      </w:r>
      <w:r w:rsidR="004B33EA" w:rsidRPr="004068F6">
        <w:rPr>
          <w:rFonts w:cs="Arial"/>
          <w:spacing w:val="-3"/>
        </w:rPr>
        <w:t xml:space="preserve">ertadamente </w:t>
      </w:r>
      <w:r w:rsidR="00DA5A7F" w:rsidRPr="004068F6">
        <w:rPr>
          <w:rFonts w:cs="Arial"/>
          <w:spacing w:val="-3"/>
        </w:rPr>
        <w:t xml:space="preserve">cómo se modificarían </w:t>
      </w:r>
      <w:r w:rsidR="00A058CA" w:rsidRPr="004068F6">
        <w:rPr>
          <w:rFonts w:cs="Arial"/>
          <w:spacing w:val="-3"/>
        </w:rPr>
        <w:t xml:space="preserve">las condiciones ambientales </w:t>
      </w:r>
      <w:r w:rsidR="00DA5A7F" w:rsidRPr="004068F6">
        <w:rPr>
          <w:rFonts w:cs="Arial"/>
          <w:spacing w:val="-3"/>
        </w:rPr>
        <w:t xml:space="preserve">dada la ejecución del </w:t>
      </w:r>
      <w:r w:rsidR="009301BD" w:rsidRPr="004068F6">
        <w:rPr>
          <w:rFonts w:cs="Arial"/>
          <w:spacing w:val="-3"/>
        </w:rPr>
        <w:t>proyecto</w:t>
      </w:r>
      <w:r w:rsidR="0034780C" w:rsidRPr="004068F6">
        <w:rPr>
          <w:rFonts w:cs="Arial"/>
          <w:spacing w:val="-3"/>
        </w:rPr>
        <w:t xml:space="preserve"> de interés</w:t>
      </w:r>
      <w:r w:rsidR="000964FD" w:rsidRPr="004068F6">
        <w:rPr>
          <w:rFonts w:cs="Arial"/>
          <w:spacing w:val="-3"/>
        </w:rPr>
        <w:t xml:space="preserve">, </w:t>
      </w:r>
      <w:r w:rsidR="00DA5A7F" w:rsidRPr="004068F6">
        <w:rPr>
          <w:rFonts w:cs="Arial"/>
          <w:spacing w:val="-3"/>
        </w:rPr>
        <w:t>específicamente</w:t>
      </w:r>
      <w:r w:rsidR="0034780C" w:rsidRPr="004068F6">
        <w:rPr>
          <w:rFonts w:cs="Arial"/>
          <w:spacing w:val="-3"/>
        </w:rPr>
        <w:t xml:space="preserve"> </w:t>
      </w:r>
      <w:r w:rsidR="0034780C" w:rsidRPr="004068F6">
        <w:rPr>
          <w:rFonts w:cs="Arial"/>
          <w:spacing w:val="-3"/>
        </w:rPr>
        <w:lastRenderedPageBreak/>
        <w:t xml:space="preserve">para </w:t>
      </w:r>
      <w:r w:rsidR="00674549" w:rsidRPr="004068F6">
        <w:rPr>
          <w:rFonts w:cs="Arial"/>
          <w:spacing w:val="-3"/>
        </w:rPr>
        <w:t xml:space="preserve">este </w:t>
      </w:r>
      <w:r w:rsidR="00D65C83" w:rsidRPr="004068F6">
        <w:rPr>
          <w:rFonts w:cs="Arial"/>
          <w:spacing w:val="-3"/>
        </w:rPr>
        <w:t>caso</w:t>
      </w:r>
      <w:r w:rsidR="000964FD" w:rsidRPr="004068F6">
        <w:rPr>
          <w:rFonts w:cs="Arial"/>
          <w:spacing w:val="-3"/>
        </w:rPr>
        <w:t xml:space="preserve">, </w:t>
      </w:r>
      <w:r w:rsidR="0009248E" w:rsidRPr="004068F6">
        <w:rPr>
          <w:rFonts w:cs="Arial"/>
          <w:spacing w:val="-3"/>
        </w:rPr>
        <w:t xml:space="preserve">para predecir </w:t>
      </w:r>
      <w:r w:rsidR="000964FD" w:rsidRPr="004068F6">
        <w:rPr>
          <w:rFonts w:cs="Arial"/>
          <w:spacing w:val="-3"/>
        </w:rPr>
        <w:t>cómo se acumula</w:t>
      </w:r>
      <w:r w:rsidR="00DA5A7F" w:rsidRPr="004068F6">
        <w:rPr>
          <w:rFonts w:cs="Arial"/>
          <w:spacing w:val="-3"/>
        </w:rPr>
        <w:t xml:space="preserve">rían </w:t>
      </w:r>
      <w:r w:rsidR="0034780C" w:rsidRPr="004068F6">
        <w:rPr>
          <w:rFonts w:cs="Arial"/>
          <w:spacing w:val="-3"/>
        </w:rPr>
        <w:t xml:space="preserve">los impactos </w:t>
      </w:r>
      <w:r w:rsidR="00D7404C" w:rsidRPr="004068F6">
        <w:rPr>
          <w:rFonts w:cs="Arial"/>
          <w:spacing w:val="-3"/>
        </w:rPr>
        <w:t xml:space="preserve">o cómo </w:t>
      </w:r>
      <w:r w:rsidR="006610D7" w:rsidRPr="004068F6">
        <w:rPr>
          <w:rFonts w:cs="Arial"/>
          <w:spacing w:val="-3"/>
        </w:rPr>
        <w:t xml:space="preserve">se </w:t>
      </w:r>
      <w:r w:rsidR="00D7404C" w:rsidRPr="004068F6">
        <w:rPr>
          <w:rFonts w:cs="Arial"/>
          <w:spacing w:val="-3"/>
        </w:rPr>
        <w:t>genera</w:t>
      </w:r>
      <w:r w:rsidR="00DA5A7F" w:rsidRPr="004068F6">
        <w:rPr>
          <w:rFonts w:cs="Arial"/>
          <w:spacing w:val="-3"/>
        </w:rPr>
        <w:t xml:space="preserve">rían </w:t>
      </w:r>
      <w:r w:rsidR="00D7404C" w:rsidRPr="004068F6">
        <w:rPr>
          <w:rFonts w:cs="Arial"/>
          <w:spacing w:val="-3"/>
        </w:rPr>
        <w:t>sinergias</w:t>
      </w:r>
      <w:r w:rsidR="00B87AF1" w:rsidRPr="004068F6">
        <w:rPr>
          <w:rFonts w:cs="Arial"/>
          <w:spacing w:val="-3"/>
        </w:rPr>
        <w:t xml:space="preserve"> entre ellos</w:t>
      </w:r>
      <w:r w:rsidR="00CB7346" w:rsidRPr="004068F6">
        <w:rPr>
          <w:rFonts w:cs="Arial"/>
          <w:spacing w:val="-3"/>
        </w:rPr>
        <w:t>.</w:t>
      </w:r>
    </w:p>
    <w:p w14:paraId="102AD822" w14:textId="77777777" w:rsidR="00570EDF" w:rsidRPr="004068F6" w:rsidRDefault="00570EDF" w:rsidP="00FE65FA">
      <w:pPr>
        <w:numPr>
          <w:ilvl w:val="12"/>
          <w:numId w:val="0"/>
        </w:numPr>
        <w:tabs>
          <w:tab w:val="left" w:pos="-2268"/>
        </w:tabs>
        <w:suppressAutoHyphens/>
        <w:rPr>
          <w:rFonts w:cs="Arial"/>
          <w:spacing w:val="-3"/>
        </w:rPr>
      </w:pPr>
    </w:p>
    <w:p w14:paraId="0E3A60B4" w14:textId="7644D3A4" w:rsidR="00570EDF" w:rsidRPr="00127BD4" w:rsidRDefault="006C5440" w:rsidP="00FE65FA">
      <w:pPr>
        <w:numPr>
          <w:ilvl w:val="12"/>
          <w:numId w:val="0"/>
        </w:numPr>
        <w:tabs>
          <w:tab w:val="left" w:pos="-2268"/>
        </w:tabs>
        <w:suppressAutoHyphens/>
        <w:rPr>
          <w:rFonts w:cs="Arial"/>
          <w:spacing w:val="-3"/>
          <w:highlight w:val="green"/>
        </w:rPr>
      </w:pPr>
      <w:r w:rsidRPr="004068F6">
        <w:rPr>
          <w:rFonts w:cs="Arial"/>
          <w:spacing w:val="-3"/>
        </w:rPr>
        <w:t xml:space="preserve">La comparación de ambos escenarios </w:t>
      </w:r>
      <w:r w:rsidR="00204B71" w:rsidRPr="004068F6">
        <w:rPr>
          <w:rFonts w:cs="Arial"/>
          <w:spacing w:val="-3"/>
        </w:rPr>
        <w:t xml:space="preserve">y la evaluación de los impactos acumulativos y los impactos sinérgicos </w:t>
      </w:r>
      <w:r w:rsidR="00570EDF" w:rsidRPr="004068F6">
        <w:rPr>
          <w:rFonts w:cs="Arial"/>
          <w:spacing w:val="-3"/>
        </w:rPr>
        <w:t>requ</w:t>
      </w:r>
      <w:r w:rsidR="0002195B" w:rsidRPr="004068F6">
        <w:rPr>
          <w:rFonts w:cs="Arial"/>
          <w:spacing w:val="-3"/>
        </w:rPr>
        <w:t xml:space="preserve">iere </w:t>
      </w:r>
      <w:r w:rsidR="00570EDF" w:rsidRPr="004068F6">
        <w:rPr>
          <w:rFonts w:cs="Arial"/>
          <w:spacing w:val="-3"/>
        </w:rPr>
        <w:t>conoc</w:t>
      </w:r>
      <w:r w:rsidR="00C86E92" w:rsidRPr="004068F6">
        <w:rPr>
          <w:rFonts w:cs="Arial"/>
          <w:spacing w:val="-3"/>
        </w:rPr>
        <w:t xml:space="preserve">er </w:t>
      </w:r>
      <w:r w:rsidR="00570EDF" w:rsidRPr="004068F6">
        <w:rPr>
          <w:rFonts w:cs="Arial"/>
          <w:spacing w:val="-3"/>
        </w:rPr>
        <w:t xml:space="preserve">cómo se ha modificado </w:t>
      </w:r>
      <w:r w:rsidR="00D84344" w:rsidRPr="004068F6">
        <w:rPr>
          <w:rFonts w:cs="Arial"/>
          <w:spacing w:val="-3"/>
        </w:rPr>
        <w:t xml:space="preserve">y cómo se modificará </w:t>
      </w:r>
      <w:r w:rsidR="00570EDF" w:rsidRPr="004068F6">
        <w:rPr>
          <w:rFonts w:cs="Arial"/>
          <w:spacing w:val="-3"/>
        </w:rPr>
        <w:t xml:space="preserve">el área de influencia </w:t>
      </w:r>
      <w:r w:rsidR="0002195B" w:rsidRPr="004068F6">
        <w:rPr>
          <w:rFonts w:cs="Arial"/>
          <w:spacing w:val="-3"/>
        </w:rPr>
        <w:t xml:space="preserve">del proyecto </w:t>
      </w:r>
      <w:r w:rsidR="00570EDF" w:rsidRPr="004068F6">
        <w:rPr>
          <w:rFonts w:cs="Arial"/>
          <w:spacing w:val="-3"/>
        </w:rPr>
        <w:t>en el tiempo</w:t>
      </w:r>
      <w:r w:rsidR="005F34B8" w:rsidRPr="004068F6">
        <w:rPr>
          <w:rFonts w:cs="Arial"/>
          <w:spacing w:val="-3"/>
        </w:rPr>
        <w:t xml:space="preserve">; </w:t>
      </w:r>
      <w:r w:rsidR="008F386D" w:rsidRPr="004068F6">
        <w:rPr>
          <w:rFonts w:cs="Arial"/>
          <w:spacing w:val="-3"/>
        </w:rPr>
        <w:t xml:space="preserve">por lo cual es necesario </w:t>
      </w:r>
      <w:r w:rsidR="005F34B8" w:rsidRPr="004068F6">
        <w:rPr>
          <w:rFonts w:cs="Arial"/>
          <w:spacing w:val="-3"/>
        </w:rPr>
        <w:t>emplear</w:t>
      </w:r>
      <w:r w:rsidR="00570EDF" w:rsidRPr="004068F6">
        <w:rPr>
          <w:rFonts w:cs="Arial"/>
          <w:spacing w:val="-3"/>
        </w:rPr>
        <w:t xml:space="preserve"> </w:t>
      </w:r>
      <w:r w:rsidR="005F34B8" w:rsidRPr="004068F6">
        <w:rPr>
          <w:rFonts w:cs="Arial"/>
          <w:spacing w:val="-3"/>
        </w:rPr>
        <w:t xml:space="preserve">tanto </w:t>
      </w:r>
      <w:r w:rsidR="00570EDF" w:rsidRPr="004068F6">
        <w:rPr>
          <w:rFonts w:cs="Arial"/>
          <w:spacing w:val="-3"/>
        </w:rPr>
        <w:t>los análisis multitemporales de coberturas de la tierra</w:t>
      </w:r>
      <w:r w:rsidR="00791097" w:rsidRPr="004068F6">
        <w:rPr>
          <w:rFonts w:cs="Arial"/>
          <w:spacing w:val="-3"/>
        </w:rPr>
        <w:t xml:space="preserve"> y</w:t>
      </w:r>
      <w:r w:rsidR="00D45A56" w:rsidRPr="004068F6">
        <w:rPr>
          <w:rFonts w:cs="Arial"/>
          <w:spacing w:val="-3"/>
        </w:rPr>
        <w:t xml:space="preserve"> </w:t>
      </w:r>
      <w:r w:rsidR="00472D1D" w:rsidRPr="004068F6">
        <w:rPr>
          <w:rFonts w:cs="Arial"/>
          <w:spacing w:val="-3"/>
        </w:rPr>
        <w:t>los cambios en los pa</w:t>
      </w:r>
      <w:r w:rsidR="001B5770" w:rsidRPr="004068F6">
        <w:rPr>
          <w:rFonts w:cs="Arial"/>
          <w:spacing w:val="-3"/>
        </w:rPr>
        <w:t>ráme</w:t>
      </w:r>
      <w:r w:rsidR="00472D1D" w:rsidRPr="004068F6">
        <w:rPr>
          <w:rFonts w:cs="Arial"/>
          <w:spacing w:val="-3"/>
        </w:rPr>
        <w:t>tros at</w:t>
      </w:r>
      <w:r w:rsidR="001B5770" w:rsidRPr="004068F6">
        <w:rPr>
          <w:rFonts w:cs="Arial"/>
          <w:spacing w:val="-3"/>
        </w:rPr>
        <w:t>mosféricos</w:t>
      </w:r>
      <w:r w:rsidR="00A05A7D" w:rsidRPr="004068F6">
        <w:rPr>
          <w:rFonts w:cs="Arial"/>
          <w:spacing w:val="-3"/>
        </w:rPr>
        <w:t xml:space="preserve"> o hidrológicos</w:t>
      </w:r>
      <w:r w:rsidR="00F32A45" w:rsidRPr="004068F6">
        <w:rPr>
          <w:rFonts w:cs="Arial"/>
          <w:spacing w:val="-3"/>
        </w:rPr>
        <w:t>,</w:t>
      </w:r>
      <w:r w:rsidR="00BD4EEA" w:rsidRPr="004068F6">
        <w:rPr>
          <w:rFonts w:cs="Arial"/>
          <w:spacing w:val="-3"/>
        </w:rPr>
        <w:t xml:space="preserve"> </w:t>
      </w:r>
      <w:r w:rsidR="00791097" w:rsidRPr="004068F6">
        <w:rPr>
          <w:rFonts w:cs="Arial"/>
          <w:spacing w:val="-3"/>
        </w:rPr>
        <w:t>como la</w:t>
      </w:r>
      <w:r w:rsidR="00022807" w:rsidRPr="004068F6">
        <w:rPr>
          <w:rFonts w:cs="Arial"/>
          <w:spacing w:val="-3"/>
        </w:rPr>
        <w:t xml:space="preserve">s </w:t>
      </w:r>
      <w:r w:rsidR="00791097" w:rsidRPr="004068F6">
        <w:rPr>
          <w:rFonts w:cs="Arial"/>
          <w:spacing w:val="-3"/>
        </w:rPr>
        <w:t xml:space="preserve">tendencias del desarrollo </w:t>
      </w:r>
      <w:r w:rsidR="00022807" w:rsidRPr="004068F6">
        <w:rPr>
          <w:rFonts w:cs="Arial"/>
          <w:spacing w:val="-3"/>
        </w:rPr>
        <w:t xml:space="preserve">sobre </w:t>
      </w:r>
      <w:r w:rsidR="00791097" w:rsidRPr="004068F6">
        <w:rPr>
          <w:rFonts w:cs="Arial"/>
          <w:spacing w:val="-3"/>
        </w:rPr>
        <w:t xml:space="preserve">nuevos </w:t>
      </w:r>
      <w:r w:rsidR="00F32A45" w:rsidRPr="004068F6">
        <w:rPr>
          <w:rFonts w:cs="Arial"/>
          <w:spacing w:val="-3"/>
        </w:rPr>
        <w:t>proyectos</w:t>
      </w:r>
      <w:r w:rsidR="00593B0C" w:rsidRPr="004068F6">
        <w:rPr>
          <w:rFonts w:cs="Arial"/>
          <w:spacing w:val="-3"/>
        </w:rPr>
        <w:t xml:space="preserve"> y</w:t>
      </w:r>
      <w:r w:rsidR="002D0782" w:rsidRPr="004068F6">
        <w:rPr>
          <w:rFonts w:cs="Arial"/>
          <w:spacing w:val="-3"/>
        </w:rPr>
        <w:t xml:space="preserve"> la</w:t>
      </w:r>
      <w:r w:rsidR="00022807" w:rsidRPr="004068F6">
        <w:rPr>
          <w:rFonts w:cs="Arial"/>
          <w:spacing w:val="-3"/>
        </w:rPr>
        <w:t>s</w:t>
      </w:r>
      <w:r w:rsidR="002D0782" w:rsidRPr="004068F6">
        <w:rPr>
          <w:rFonts w:cs="Arial"/>
          <w:spacing w:val="-3"/>
        </w:rPr>
        <w:t xml:space="preserve"> perspectiva</w:t>
      </w:r>
      <w:r w:rsidR="00022807" w:rsidRPr="004068F6">
        <w:rPr>
          <w:rFonts w:cs="Arial"/>
          <w:spacing w:val="-3"/>
        </w:rPr>
        <w:t>s</w:t>
      </w:r>
      <w:r w:rsidR="002D0782" w:rsidRPr="004068F6">
        <w:rPr>
          <w:rFonts w:cs="Arial"/>
          <w:spacing w:val="-3"/>
        </w:rPr>
        <w:t xml:space="preserve"> de implementa</w:t>
      </w:r>
      <w:r w:rsidR="00022807" w:rsidRPr="004068F6">
        <w:rPr>
          <w:rFonts w:cs="Arial"/>
          <w:spacing w:val="-3"/>
        </w:rPr>
        <w:t xml:space="preserve">ción </w:t>
      </w:r>
      <w:r w:rsidR="007D23C3" w:rsidRPr="004068F6">
        <w:rPr>
          <w:rFonts w:cs="Arial"/>
          <w:spacing w:val="-3"/>
        </w:rPr>
        <w:t>o</w:t>
      </w:r>
      <w:r w:rsidR="00560859" w:rsidRPr="004068F6">
        <w:rPr>
          <w:rFonts w:cs="Arial"/>
          <w:spacing w:val="-3"/>
        </w:rPr>
        <w:t xml:space="preserve"> ajust</w:t>
      </w:r>
      <w:r w:rsidR="00022807" w:rsidRPr="004068F6">
        <w:rPr>
          <w:rFonts w:cs="Arial"/>
          <w:spacing w:val="-3"/>
        </w:rPr>
        <w:t>e</w:t>
      </w:r>
      <w:r w:rsidR="00560859" w:rsidRPr="004068F6">
        <w:rPr>
          <w:rFonts w:cs="Arial"/>
          <w:spacing w:val="-3"/>
        </w:rPr>
        <w:t xml:space="preserve"> </w:t>
      </w:r>
      <w:r w:rsidR="001A7A41" w:rsidRPr="004068F6">
        <w:rPr>
          <w:rFonts w:cs="Arial"/>
          <w:spacing w:val="-3"/>
        </w:rPr>
        <w:t xml:space="preserve">a </w:t>
      </w:r>
      <w:r w:rsidR="00560859" w:rsidRPr="004068F6">
        <w:rPr>
          <w:rFonts w:cs="Arial"/>
          <w:spacing w:val="-3"/>
        </w:rPr>
        <w:t xml:space="preserve">las </w:t>
      </w:r>
      <w:r w:rsidR="00F32A45" w:rsidRPr="004068F6">
        <w:rPr>
          <w:rFonts w:cs="Arial"/>
          <w:spacing w:val="-3"/>
        </w:rPr>
        <w:t>actividades económicas</w:t>
      </w:r>
      <w:r w:rsidR="009E5C4C" w:rsidRPr="004068F6">
        <w:rPr>
          <w:rFonts w:cs="Arial"/>
          <w:spacing w:val="-3"/>
        </w:rPr>
        <w:t>,</w:t>
      </w:r>
      <w:r w:rsidR="00535F51" w:rsidRPr="004068F6">
        <w:rPr>
          <w:rFonts w:cs="Arial"/>
          <w:spacing w:val="-3"/>
        </w:rPr>
        <w:t xml:space="preserve"> entre </w:t>
      </w:r>
      <w:r w:rsidR="00A05A7D" w:rsidRPr="004068F6">
        <w:rPr>
          <w:rFonts w:cs="Arial"/>
          <w:spacing w:val="-3"/>
        </w:rPr>
        <w:t>otra información referenciada en la caracterización ambiental de línea base</w:t>
      </w:r>
      <w:r w:rsidR="00535F51" w:rsidRPr="004068F6">
        <w:rPr>
          <w:rFonts w:cs="Arial"/>
          <w:spacing w:val="-3"/>
        </w:rPr>
        <w:t>.</w:t>
      </w:r>
    </w:p>
    <w:p w14:paraId="435A871F" w14:textId="77777777" w:rsidR="00FE65FA" w:rsidRPr="00127BD4" w:rsidRDefault="00FE65FA" w:rsidP="00FE65FA">
      <w:pPr>
        <w:numPr>
          <w:ilvl w:val="12"/>
          <w:numId w:val="0"/>
        </w:numPr>
        <w:tabs>
          <w:tab w:val="left" w:pos="-2268"/>
        </w:tabs>
        <w:suppressAutoHyphens/>
        <w:rPr>
          <w:rFonts w:cs="Arial"/>
          <w:spacing w:val="-3"/>
          <w:highlight w:val="green"/>
        </w:rPr>
      </w:pPr>
    </w:p>
    <w:p w14:paraId="02FE75E0" w14:textId="2DDDC857" w:rsidR="00FE65FA" w:rsidRPr="004068F6" w:rsidRDefault="00FE65FA" w:rsidP="00FE65FA">
      <w:pPr>
        <w:numPr>
          <w:ilvl w:val="12"/>
          <w:numId w:val="0"/>
        </w:numPr>
        <w:tabs>
          <w:tab w:val="left" w:pos="-2268"/>
        </w:tabs>
        <w:suppressAutoHyphens/>
        <w:rPr>
          <w:rFonts w:cs="Arial"/>
          <w:spacing w:val="-3"/>
        </w:rPr>
      </w:pPr>
      <w:r w:rsidRPr="004068F6">
        <w:rPr>
          <w:rFonts w:cs="Arial"/>
          <w:spacing w:val="-3"/>
        </w:rPr>
        <w:t>De otra parte, para evaluar la dimensión espacial, debe realizarse un análisis espacial para los impactos que se manifiesten en el mismo momento con el propósito de determinar si</w:t>
      </w:r>
      <w:r w:rsidR="000B1054" w:rsidRPr="00127BD4">
        <w:rPr>
          <w:rFonts w:cs="Arial"/>
          <w:spacing w:val="-3"/>
        </w:rPr>
        <w:t xml:space="preserve">, según </w:t>
      </w:r>
      <w:r w:rsidR="00FF10FA" w:rsidRPr="00127BD4">
        <w:rPr>
          <w:rFonts w:cs="Arial"/>
          <w:spacing w:val="-3"/>
        </w:rPr>
        <w:t>sus características y las condiciones ambientales particulares del área de influencia,</w:t>
      </w:r>
      <w:r w:rsidRPr="004068F6">
        <w:rPr>
          <w:rFonts w:cs="Arial"/>
          <w:spacing w:val="-3"/>
        </w:rPr>
        <w:t xml:space="preserve"> </w:t>
      </w:r>
      <w:r w:rsidR="00727E37">
        <w:rPr>
          <w:rFonts w:cs="Arial"/>
          <w:spacing w:val="-3"/>
        </w:rPr>
        <w:t xml:space="preserve">se traslapan y </w:t>
      </w:r>
      <w:r w:rsidRPr="004068F6">
        <w:rPr>
          <w:rFonts w:cs="Arial"/>
          <w:spacing w:val="-3"/>
        </w:rPr>
        <w:t xml:space="preserve">pueden acumularse o si pueden </w:t>
      </w:r>
      <w:r w:rsidR="004C791B" w:rsidRPr="00127BD4">
        <w:rPr>
          <w:rFonts w:cs="Arial"/>
          <w:spacing w:val="-3"/>
        </w:rPr>
        <w:t xml:space="preserve">interactuar y </w:t>
      </w:r>
      <w:r w:rsidRPr="004068F6">
        <w:rPr>
          <w:rFonts w:cs="Arial"/>
          <w:spacing w:val="-3"/>
        </w:rPr>
        <w:t>ocasionar impactos adicionales.</w:t>
      </w:r>
      <w:r w:rsidR="007A1919" w:rsidRPr="00127BD4">
        <w:rPr>
          <w:rFonts w:cs="Arial"/>
          <w:spacing w:val="-3"/>
        </w:rPr>
        <w:t xml:space="preserve"> </w:t>
      </w:r>
      <w:r w:rsidR="007A1919" w:rsidRPr="004068F6">
        <w:rPr>
          <w:rFonts w:cs="Arial"/>
          <w:spacing w:val="-3"/>
        </w:rPr>
        <w:t>Estos análisis espaciales deben atender los lineamientos para la elaboración de cartografía, análisis espaciales y almacenamiento de información geográfica fijados en el marco del licenciamiento ambiental.</w:t>
      </w:r>
    </w:p>
    <w:p w14:paraId="44142590" w14:textId="77777777" w:rsidR="00E36007" w:rsidRPr="004068F6" w:rsidRDefault="00E36007" w:rsidP="00FE65FA">
      <w:pPr>
        <w:numPr>
          <w:ilvl w:val="12"/>
          <w:numId w:val="0"/>
        </w:numPr>
        <w:tabs>
          <w:tab w:val="left" w:pos="-2268"/>
        </w:tabs>
        <w:suppressAutoHyphens/>
        <w:rPr>
          <w:rFonts w:cs="Arial"/>
          <w:spacing w:val="-3"/>
        </w:rPr>
      </w:pPr>
    </w:p>
    <w:p w14:paraId="0AB899DD" w14:textId="49E595FC" w:rsidR="00212816" w:rsidRPr="004068F6" w:rsidRDefault="00925881" w:rsidP="00212816">
      <w:pPr>
        <w:numPr>
          <w:ilvl w:val="12"/>
          <w:numId w:val="0"/>
        </w:numPr>
        <w:tabs>
          <w:tab w:val="left" w:pos="-2268"/>
        </w:tabs>
        <w:suppressAutoHyphens/>
        <w:rPr>
          <w:rFonts w:cs="Arial"/>
          <w:spacing w:val="-3"/>
        </w:rPr>
      </w:pPr>
      <w:r w:rsidRPr="004068F6">
        <w:rPr>
          <w:rFonts w:cs="Arial"/>
          <w:spacing w:val="-3"/>
        </w:rPr>
        <w:t>La</w:t>
      </w:r>
      <w:r w:rsidR="00174E51" w:rsidRPr="004068F6">
        <w:rPr>
          <w:rFonts w:cs="Arial"/>
          <w:spacing w:val="-3"/>
        </w:rPr>
        <w:t>s</w:t>
      </w:r>
      <w:r w:rsidRPr="004068F6">
        <w:rPr>
          <w:rFonts w:cs="Arial"/>
          <w:spacing w:val="-3"/>
        </w:rPr>
        <w:t xml:space="preserve"> </w:t>
      </w:r>
      <w:r w:rsidR="00174E51" w:rsidRPr="004068F6">
        <w:rPr>
          <w:rFonts w:cs="Arial"/>
          <w:spacing w:val="-3"/>
        </w:rPr>
        <w:t xml:space="preserve">relaciones y principales características de </w:t>
      </w:r>
      <w:r w:rsidR="007867F2" w:rsidRPr="004068F6">
        <w:rPr>
          <w:rFonts w:cs="Arial"/>
          <w:spacing w:val="-3"/>
        </w:rPr>
        <w:t>los impactos acumulativos y de los impactos sinérgicos</w:t>
      </w:r>
      <w:r w:rsidRPr="004068F6">
        <w:rPr>
          <w:rFonts w:cs="Arial"/>
          <w:spacing w:val="-3"/>
        </w:rPr>
        <w:t xml:space="preserve"> debe</w:t>
      </w:r>
      <w:r w:rsidR="00174E51" w:rsidRPr="004068F6">
        <w:rPr>
          <w:rFonts w:cs="Arial"/>
          <w:spacing w:val="-3"/>
        </w:rPr>
        <w:t>n</w:t>
      </w:r>
      <w:r w:rsidRPr="004068F6">
        <w:rPr>
          <w:rFonts w:cs="Arial"/>
          <w:spacing w:val="-3"/>
        </w:rPr>
        <w:t xml:space="preserve"> emplearse para </w:t>
      </w:r>
      <w:r w:rsidR="00212816" w:rsidRPr="004068F6">
        <w:rPr>
          <w:rFonts w:cs="Arial"/>
          <w:spacing w:val="-3"/>
        </w:rPr>
        <w:t>valorarlos a través de los atributos o del método de valoración de impactos elegido para la elaboración del estudio ambiental</w:t>
      </w:r>
      <w:r w:rsidR="00960D91" w:rsidRPr="004068F6">
        <w:rPr>
          <w:rFonts w:cs="Arial"/>
          <w:spacing w:val="-3"/>
        </w:rPr>
        <w:t>,</w:t>
      </w:r>
      <w:r w:rsidR="00DD02ED" w:rsidRPr="004068F6">
        <w:rPr>
          <w:rFonts w:cs="Arial"/>
          <w:spacing w:val="-3"/>
        </w:rPr>
        <w:t xml:space="preserve"> </w:t>
      </w:r>
      <w:r w:rsidR="00CD1AD6" w:rsidRPr="004068F6">
        <w:rPr>
          <w:rFonts w:cs="Arial"/>
          <w:spacing w:val="-3"/>
        </w:rPr>
        <w:t xml:space="preserve">considerando </w:t>
      </w:r>
      <w:r w:rsidR="00DD02ED" w:rsidRPr="004068F6">
        <w:rPr>
          <w:rFonts w:cs="Arial"/>
          <w:spacing w:val="-3"/>
        </w:rPr>
        <w:t xml:space="preserve">las orientaciones dadas en </w:t>
      </w:r>
      <w:r w:rsidR="0068433C" w:rsidRPr="004068F6">
        <w:rPr>
          <w:rFonts w:cs="Arial"/>
          <w:spacing w:val="-3"/>
        </w:rPr>
        <w:t xml:space="preserve">la parte inicial de este </w:t>
      </w:r>
      <w:r w:rsidR="00DD02ED" w:rsidRPr="004068F6">
        <w:rPr>
          <w:rFonts w:cs="Arial"/>
          <w:spacing w:val="-3"/>
        </w:rPr>
        <w:t xml:space="preserve">numeral </w:t>
      </w:r>
      <w:r w:rsidR="0068433C" w:rsidRPr="004068F6">
        <w:rPr>
          <w:rFonts w:cs="Arial"/>
          <w:spacing w:val="-3"/>
        </w:rPr>
        <w:t>(</w:t>
      </w:r>
      <w:r w:rsidR="00DD02ED" w:rsidRPr="004068F6">
        <w:rPr>
          <w:rFonts w:cs="Arial"/>
          <w:spacing w:val="-3"/>
        </w:rPr>
        <w:fldChar w:fldCharType="begin"/>
      </w:r>
      <w:r w:rsidR="00DD02ED" w:rsidRPr="004068F6">
        <w:rPr>
          <w:rFonts w:cs="Arial"/>
          <w:spacing w:val="-3"/>
        </w:rPr>
        <w:instrText xml:space="preserve"> REF _Ref137114509 \r \h </w:instrText>
      </w:r>
      <w:r w:rsidR="00BD1319" w:rsidRPr="004068F6">
        <w:rPr>
          <w:rFonts w:cs="Arial"/>
          <w:spacing w:val="-3"/>
        </w:rPr>
        <w:instrText xml:space="preserve"> \* MERGEFORMAT </w:instrText>
      </w:r>
      <w:r w:rsidR="00DD02ED" w:rsidRPr="004068F6">
        <w:rPr>
          <w:rFonts w:cs="Arial"/>
          <w:spacing w:val="-3"/>
        </w:rPr>
      </w:r>
      <w:r w:rsidR="00DD02ED" w:rsidRPr="004068F6">
        <w:rPr>
          <w:rFonts w:cs="Arial"/>
          <w:spacing w:val="-3"/>
        </w:rPr>
        <w:fldChar w:fldCharType="separate"/>
      </w:r>
      <w:r w:rsidR="009C4A81">
        <w:rPr>
          <w:rFonts w:cs="Arial"/>
          <w:spacing w:val="-3"/>
        </w:rPr>
        <w:t>7.4.2</w:t>
      </w:r>
      <w:r w:rsidR="00DD02ED" w:rsidRPr="004068F6">
        <w:rPr>
          <w:rFonts w:cs="Arial"/>
          <w:spacing w:val="-3"/>
        </w:rPr>
        <w:fldChar w:fldCharType="end"/>
      </w:r>
      <w:r w:rsidR="0068433C" w:rsidRPr="004068F6">
        <w:rPr>
          <w:rFonts w:cs="Arial"/>
          <w:spacing w:val="-3"/>
        </w:rPr>
        <w:t>, capítulo I</w:t>
      </w:r>
      <w:r w:rsidR="006765F6" w:rsidRPr="004068F6">
        <w:rPr>
          <w:rFonts w:cs="Arial"/>
          <w:spacing w:val="-3"/>
        </w:rPr>
        <w:t>II</w:t>
      </w:r>
      <w:r w:rsidR="0068433C" w:rsidRPr="004068F6">
        <w:rPr>
          <w:rFonts w:cs="Arial"/>
          <w:spacing w:val="-3"/>
        </w:rPr>
        <w:t>)</w:t>
      </w:r>
      <w:r w:rsidR="00212816" w:rsidRPr="004068F6">
        <w:rPr>
          <w:rFonts w:cs="Arial"/>
          <w:spacing w:val="-3"/>
        </w:rPr>
        <w:t xml:space="preserve">. </w:t>
      </w:r>
      <w:r w:rsidR="00DD02ED" w:rsidRPr="004068F6">
        <w:rPr>
          <w:rFonts w:cs="Arial"/>
          <w:spacing w:val="-3"/>
        </w:rPr>
        <w:t>Ya</w:t>
      </w:r>
      <w:r w:rsidR="00212816" w:rsidRPr="004068F6">
        <w:rPr>
          <w:rFonts w:cs="Arial"/>
          <w:spacing w:val="-3"/>
        </w:rPr>
        <w:t xml:space="preserve"> que la significancia de los impactos acumulativos cambia en el tiempo, su valoración </w:t>
      </w:r>
      <w:r w:rsidR="008F4716">
        <w:rPr>
          <w:rFonts w:cs="Arial"/>
          <w:spacing w:val="-3"/>
        </w:rPr>
        <w:t>definitiva</w:t>
      </w:r>
      <w:r w:rsidR="008F4716" w:rsidRPr="004068F6">
        <w:rPr>
          <w:rFonts w:cs="Arial"/>
          <w:spacing w:val="-3"/>
        </w:rPr>
        <w:t xml:space="preserve"> </w:t>
      </w:r>
      <w:r w:rsidR="00212816" w:rsidRPr="004068F6">
        <w:rPr>
          <w:rFonts w:cs="Arial"/>
          <w:spacing w:val="-3"/>
        </w:rPr>
        <w:t>debe reflejar la máxima significancia posible.</w:t>
      </w:r>
    </w:p>
    <w:p w14:paraId="66F35F0B" w14:textId="77777777" w:rsidR="00212816" w:rsidRPr="004068F6" w:rsidRDefault="00212816" w:rsidP="00212816">
      <w:pPr>
        <w:numPr>
          <w:ilvl w:val="12"/>
          <w:numId w:val="0"/>
        </w:numPr>
        <w:tabs>
          <w:tab w:val="left" w:pos="-2268"/>
        </w:tabs>
        <w:suppressAutoHyphens/>
        <w:rPr>
          <w:rFonts w:cs="Arial"/>
          <w:spacing w:val="-3"/>
        </w:rPr>
      </w:pPr>
    </w:p>
    <w:p w14:paraId="219205D6" w14:textId="0009BD91" w:rsidR="00212816" w:rsidRPr="004068F6" w:rsidRDefault="00644D37" w:rsidP="00212816">
      <w:pPr>
        <w:numPr>
          <w:ilvl w:val="12"/>
          <w:numId w:val="0"/>
        </w:numPr>
        <w:tabs>
          <w:tab w:val="left" w:pos="-2268"/>
        </w:tabs>
        <w:suppressAutoHyphens/>
        <w:rPr>
          <w:rFonts w:cs="Arial"/>
          <w:spacing w:val="-3"/>
        </w:rPr>
      </w:pPr>
      <w:r w:rsidRPr="004068F6">
        <w:rPr>
          <w:rFonts w:cs="Arial"/>
          <w:spacing w:val="-3"/>
        </w:rPr>
        <w:t>Idealmente, l</w:t>
      </w:r>
      <w:r w:rsidR="00212816" w:rsidRPr="004068F6">
        <w:rPr>
          <w:rFonts w:cs="Arial"/>
          <w:spacing w:val="-3"/>
        </w:rPr>
        <w:t xml:space="preserve">os resultados de esta </w:t>
      </w:r>
      <w:r w:rsidR="00CD1AD6" w:rsidRPr="004068F6">
        <w:rPr>
          <w:rFonts w:cs="Arial"/>
          <w:spacing w:val="-3"/>
        </w:rPr>
        <w:t>valoración</w:t>
      </w:r>
      <w:r w:rsidR="00212816" w:rsidRPr="004068F6">
        <w:rPr>
          <w:rFonts w:cs="Arial"/>
          <w:spacing w:val="-3"/>
        </w:rPr>
        <w:t xml:space="preserve"> deben emplearse para ajustar las características del proyecto, obra o actividad con el propósito de disminuir las situaciones de acumulación</w:t>
      </w:r>
      <w:r w:rsidR="00AF0022" w:rsidRPr="004068F6">
        <w:rPr>
          <w:rFonts w:cs="Arial"/>
          <w:spacing w:val="-3"/>
        </w:rPr>
        <w:t xml:space="preserve"> o sinergia</w:t>
      </w:r>
      <w:r w:rsidRPr="004068F6">
        <w:rPr>
          <w:rFonts w:cs="Arial"/>
          <w:spacing w:val="-3"/>
        </w:rPr>
        <w:t>; si ello no es posible</w:t>
      </w:r>
      <w:r w:rsidR="00212816" w:rsidRPr="004068F6">
        <w:rPr>
          <w:rFonts w:cs="Arial"/>
          <w:spacing w:val="-3"/>
        </w:rPr>
        <w:t xml:space="preserve">, </w:t>
      </w:r>
      <w:r w:rsidR="0094473B" w:rsidRPr="004068F6">
        <w:rPr>
          <w:rFonts w:cs="Arial"/>
          <w:spacing w:val="-3"/>
        </w:rPr>
        <w:t xml:space="preserve">se deben utilizar </w:t>
      </w:r>
      <w:r w:rsidR="00212816" w:rsidRPr="004068F6">
        <w:rPr>
          <w:rFonts w:cs="Arial"/>
          <w:spacing w:val="-3"/>
        </w:rPr>
        <w:t xml:space="preserve">para la formulación de medidas de manejo </w:t>
      </w:r>
      <w:r w:rsidR="00231667" w:rsidRPr="004068F6">
        <w:rPr>
          <w:rFonts w:cs="Arial"/>
          <w:spacing w:val="-3"/>
        </w:rPr>
        <w:t xml:space="preserve">de </w:t>
      </w:r>
      <w:r w:rsidR="009C0A98" w:rsidRPr="004068F6">
        <w:rPr>
          <w:rFonts w:cs="Arial"/>
          <w:spacing w:val="-3"/>
        </w:rPr>
        <w:t xml:space="preserve">los </w:t>
      </w:r>
      <w:r w:rsidR="00231667" w:rsidRPr="004068F6">
        <w:rPr>
          <w:rFonts w:cs="Arial"/>
          <w:spacing w:val="-3"/>
        </w:rPr>
        <w:t xml:space="preserve">impactos </w:t>
      </w:r>
      <w:r w:rsidR="009C0A98" w:rsidRPr="004068F6">
        <w:rPr>
          <w:rFonts w:cs="Arial"/>
          <w:spacing w:val="-3"/>
        </w:rPr>
        <w:t xml:space="preserve">del proyecto </w:t>
      </w:r>
      <w:r w:rsidR="007B2DBA" w:rsidRPr="004068F6">
        <w:rPr>
          <w:rFonts w:cs="Arial"/>
          <w:spacing w:val="-3"/>
        </w:rPr>
        <w:t xml:space="preserve">que sean </w:t>
      </w:r>
      <w:r w:rsidR="004F4BA9" w:rsidRPr="004068F6">
        <w:rPr>
          <w:rFonts w:cs="Arial"/>
          <w:spacing w:val="-3"/>
        </w:rPr>
        <w:t xml:space="preserve">apropiadas </w:t>
      </w:r>
      <w:r w:rsidR="007B2DBA" w:rsidRPr="004068F6">
        <w:rPr>
          <w:rFonts w:cs="Arial"/>
          <w:spacing w:val="-3"/>
        </w:rPr>
        <w:t>a las siguientes situaciones:</w:t>
      </w:r>
      <w:r w:rsidR="00601500" w:rsidRPr="004068F6">
        <w:rPr>
          <w:rFonts w:cs="Arial"/>
          <w:spacing w:val="-3"/>
        </w:rPr>
        <w:t xml:space="preserve"> </w:t>
      </w:r>
      <w:r w:rsidR="007B2DBA" w:rsidRPr="004068F6">
        <w:rPr>
          <w:rFonts w:cs="Arial"/>
          <w:spacing w:val="-3"/>
        </w:rPr>
        <w:t xml:space="preserve">i) </w:t>
      </w:r>
      <w:r w:rsidR="00212816" w:rsidRPr="004068F6">
        <w:rPr>
          <w:rFonts w:cs="Arial"/>
          <w:spacing w:val="-3"/>
        </w:rPr>
        <w:t>varia</w:t>
      </w:r>
      <w:r w:rsidR="00502E7B" w:rsidRPr="004068F6">
        <w:rPr>
          <w:rFonts w:cs="Arial"/>
          <w:spacing w:val="-3"/>
        </w:rPr>
        <w:t xml:space="preserve">ción </w:t>
      </w:r>
      <w:r w:rsidR="00212816" w:rsidRPr="004068F6">
        <w:rPr>
          <w:rFonts w:cs="Arial"/>
          <w:spacing w:val="-3"/>
        </w:rPr>
        <w:t xml:space="preserve">de </w:t>
      </w:r>
      <w:r w:rsidR="00167987" w:rsidRPr="004068F6">
        <w:rPr>
          <w:rFonts w:cs="Arial"/>
          <w:spacing w:val="-3"/>
        </w:rPr>
        <w:t xml:space="preserve">la </w:t>
      </w:r>
      <w:r w:rsidR="00212816" w:rsidRPr="004068F6">
        <w:rPr>
          <w:rFonts w:cs="Arial"/>
          <w:spacing w:val="-3"/>
        </w:rPr>
        <w:t xml:space="preserve">significancia </w:t>
      </w:r>
      <w:r w:rsidR="00CE0218" w:rsidRPr="004068F6">
        <w:rPr>
          <w:rFonts w:cs="Arial"/>
          <w:spacing w:val="-3"/>
        </w:rPr>
        <w:t xml:space="preserve">en el tiempo </w:t>
      </w:r>
      <w:r w:rsidR="00167987" w:rsidRPr="004068F6">
        <w:rPr>
          <w:rFonts w:cs="Arial"/>
          <w:spacing w:val="-3"/>
        </w:rPr>
        <w:t xml:space="preserve">de los </w:t>
      </w:r>
      <w:r w:rsidR="00212816" w:rsidRPr="004068F6">
        <w:rPr>
          <w:rFonts w:cs="Arial"/>
          <w:spacing w:val="-3"/>
        </w:rPr>
        <w:t>impacto</w:t>
      </w:r>
      <w:r w:rsidR="00167987" w:rsidRPr="004068F6">
        <w:rPr>
          <w:rFonts w:cs="Arial"/>
          <w:spacing w:val="-3"/>
        </w:rPr>
        <w:t>s</w:t>
      </w:r>
      <w:r w:rsidR="00212816" w:rsidRPr="004068F6">
        <w:rPr>
          <w:rFonts w:cs="Arial"/>
          <w:spacing w:val="-3"/>
        </w:rPr>
        <w:t xml:space="preserve"> acumulativo</w:t>
      </w:r>
      <w:r w:rsidR="00167987" w:rsidRPr="004068F6">
        <w:rPr>
          <w:rFonts w:cs="Arial"/>
          <w:spacing w:val="-3"/>
        </w:rPr>
        <w:t>s</w:t>
      </w:r>
      <w:r w:rsidR="00AE2BF2" w:rsidRPr="004068F6">
        <w:rPr>
          <w:rFonts w:cs="Arial"/>
          <w:spacing w:val="-3"/>
        </w:rPr>
        <w:t>, ii)</w:t>
      </w:r>
      <w:r w:rsidR="00212816" w:rsidRPr="004068F6">
        <w:rPr>
          <w:rFonts w:cs="Arial"/>
          <w:spacing w:val="-3"/>
        </w:rPr>
        <w:t xml:space="preserve"> </w:t>
      </w:r>
      <w:r w:rsidR="00AF0022" w:rsidRPr="004068F6">
        <w:rPr>
          <w:rFonts w:cs="Arial"/>
          <w:spacing w:val="-3"/>
        </w:rPr>
        <w:t>cadenas causales de impactos</w:t>
      </w:r>
      <w:r w:rsidR="003B711B" w:rsidRPr="004068F6">
        <w:rPr>
          <w:rFonts w:cs="Arial"/>
          <w:spacing w:val="-3"/>
        </w:rPr>
        <w:t xml:space="preserve"> </w:t>
      </w:r>
      <w:r w:rsidR="00825F9E" w:rsidRPr="004068F6">
        <w:rPr>
          <w:rFonts w:cs="Arial"/>
          <w:spacing w:val="-3"/>
        </w:rPr>
        <w:t xml:space="preserve">que generen sinergias o acumulaciones </w:t>
      </w:r>
      <w:r w:rsidR="00AE2BF2" w:rsidRPr="004068F6">
        <w:rPr>
          <w:rFonts w:cs="Arial"/>
          <w:spacing w:val="-3"/>
        </w:rPr>
        <w:t>y</w:t>
      </w:r>
      <w:r w:rsidR="00DF654C" w:rsidRPr="004068F6">
        <w:rPr>
          <w:rFonts w:cs="Arial"/>
          <w:spacing w:val="-3"/>
        </w:rPr>
        <w:t>,</w:t>
      </w:r>
      <w:r w:rsidR="00AE2BF2" w:rsidRPr="004068F6">
        <w:rPr>
          <w:rFonts w:cs="Arial"/>
          <w:spacing w:val="-3"/>
        </w:rPr>
        <w:t xml:space="preserve"> iii)</w:t>
      </w:r>
      <w:r w:rsidR="00AF0022" w:rsidRPr="004068F6">
        <w:rPr>
          <w:rFonts w:cs="Arial"/>
          <w:spacing w:val="-3"/>
        </w:rPr>
        <w:t xml:space="preserve"> cambios en las condiciones del área de influencia generados por otras actividades económicas o proyectos que puedan exacerbar los impactos </w:t>
      </w:r>
      <w:r w:rsidR="00504C11" w:rsidRPr="004068F6">
        <w:rPr>
          <w:rFonts w:cs="Arial"/>
          <w:spacing w:val="-3"/>
        </w:rPr>
        <w:t xml:space="preserve">acumulativos o sinérgicos </w:t>
      </w:r>
      <w:r w:rsidR="00AF0022" w:rsidRPr="004068F6">
        <w:rPr>
          <w:rFonts w:cs="Arial"/>
          <w:spacing w:val="-3"/>
        </w:rPr>
        <w:t>que genera el proyecto objeto de evaluación</w:t>
      </w:r>
      <w:r w:rsidR="00212816" w:rsidRPr="004068F6">
        <w:rPr>
          <w:rFonts w:cs="Arial"/>
          <w:spacing w:val="-3"/>
        </w:rPr>
        <w:t>.</w:t>
      </w:r>
    </w:p>
    <w:p w14:paraId="79F6983D" w14:textId="77777777" w:rsidR="00212816" w:rsidRPr="004068F6" w:rsidRDefault="00212816" w:rsidP="00212816">
      <w:pPr>
        <w:numPr>
          <w:ilvl w:val="12"/>
          <w:numId w:val="0"/>
        </w:numPr>
        <w:tabs>
          <w:tab w:val="left" w:pos="-2268"/>
        </w:tabs>
        <w:suppressAutoHyphens/>
        <w:rPr>
          <w:rFonts w:cs="Arial"/>
          <w:spacing w:val="-3"/>
        </w:rPr>
      </w:pPr>
    </w:p>
    <w:p w14:paraId="043B5087" w14:textId="10BA1F3F" w:rsidR="00212816" w:rsidRPr="004068F6" w:rsidRDefault="00212816" w:rsidP="00212816">
      <w:pPr>
        <w:numPr>
          <w:ilvl w:val="12"/>
          <w:numId w:val="0"/>
        </w:numPr>
        <w:tabs>
          <w:tab w:val="left" w:pos="-2268"/>
        </w:tabs>
        <w:suppressAutoHyphens/>
        <w:rPr>
          <w:rFonts w:cs="Arial"/>
          <w:spacing w:val="-3"/>
        </w:rPr>
      </w:pPr>
      <w:r w:rsidRPr="004068F6">
        <w:rPr>
          <w:rFonts w:cs="Arial"/>
          <w:spacing w:val="-3"/>
        </w:rPr>
        <w:t xml:space="preserve">Cuando el área de influencia del proyecto se superponga con las áreas de influencia de proyectos, obras o actividades licenciados, la evaluación debe establecer cómo y en qué medida los impactos del proyecto podrían acumularse o producir comportamientos sinérgicos, a fin de determinar si a la luz de tales impactos, de las medidas de manejo que se formulen </w:t>
      </w:r>
      <w:r w:rsidR="003A06F4" w:rsidRPr="004068F6">
        <w:rPr>
          <w:rFonts w:cs="Arial"/>
          <w:spacing w:val="-3"/>
        </w:rPr>
        <w:t xml:space="preserve">en el PMA </w:t>
      </w:r>
      <w:r w:rsidRPr="004068F6">
        <w:rPr>
          <w:rFonts w:cs="Arial"/>
          <w:spacing w:val="-3"/>
        </w:rPr>
        <w:t xml:space="preserve">y de la responsabilidad individual que se fije para cada uno de ellos en el área superpuesta, el proyecto </w:t>
      </w:r>
      <w:r w:rsidR="009C0A98" w:rsidRPr="004068F6">
        <w:rPr>
          <w:rFonts w:cs="Arial"/>
          <w:spacing w:val="-3"/>
        </w:rPr>
        <w:t xml:space="preserve">en formulación </w:t>
      </w:r>
      <w:r w:rsidRPr="004068F6">
        <w:rPr>
          <w:rFonts w:cs="Arial"/>
          <w:spacing w:val="-3"/>
        </w:rPr>
        <w:t xml:space="preserve">puede coexistir con los proyectos </w:t>
      </w:r>
      <w:r w:rsidRPr="004068F6">
        <w:rPr>
          <w:rFonts w:cs="Arial"/>
          <w:spacing w:val="-3"/>
        </w:rPr>
        <w:lastRenderedPageBreak/>
        <w:t>licenciados de acuerdo con lo establecido en el artículo 2.2.2.3.6.4 del Decreto 1076 de 2015, o aquella norma que lo modifique o sustituya.</w:t>
      </w:r>
    </w:p>
    <w:p w14:paraId="728D01F6" w14:textId="77777777" w:rsidR="00212816" w:rsidRPr="004068F6" w:rsidRDefault="00212816" w:rsidP="00212816">
      <w:pPr>
        <w:numPr>
          <w:ilvl w:val="12"/>
          <w:numId w:val="0"/>
        </w:numPr>
        <w:tabs>
          <w:tab w:val="left" w:pos="-2268"/>
        </w:tabs>
        <w:suppressAutoHyphens/>
        <w:rPr>
          <w:rFonts w:cs="Arial"/>
          <w:spacing w:val="-3"/>
        </w:rPr>
      </w:pPr>
    </w:p>
    <w:p w14:paraId="664B8BDB" w14:textId="1DD86AD8" w:rsidR="002A14FB" w:rsidRPr="004068F6" w:rsidRDefault="00E67F85" w:rsidP="005B5E95">
      <w:pPr>
        <w:numPr>
          <w:ilvl w:val="12"/>
          <w:numId w:val="0"/>
        </w:numPr>
        <w:tabs>
          <w:tab w:val="left" w:pos="-2268"/>
        </w:tabs>
        <w:suppressAutoHyphens/>
        <w:rPr>
          <w:rFonts w:cs="Arial"/>
          <w:spacing w:val="-3"/>
        </w:rPr>
      </w:pPr>
      <w:r w:rsidRPr="004068F6">
        <w:rPr>
          <w:rFonts w:cs="Arial"/>
          <w:spacing w:val="-3"/>
        </w:rPr>
        <w:t>En este sentido, s</w:t>
      </w:r>
      <w:r w:rsidR="002A14FB" w:rsidRPr="004068F6">
        <w:rPr>
          <w:rFonts w:cs="Arial"/>
          <w:spacing w:val="-3"/>
        </w:rPr>
        <w:t xml:space="preserve">e debe considerar que la evaluación de la coexistencia es una </w:t>
      </w:r>
      <w:r w:rsidR="006E5761" w:rsidRPr="004068F6">
        <w:rPr>
          <w:rFonts w:cs="Arial"/>
          <w:spacing w:val="-3"/>
        </w:rPr>
        <w:t xml:space="preserve">actividad </w:t>
      </w:r>
      <w:r w:rsidR="002A14FB" w:rsidRPr="004068F6">
        <w:rPr>
          <w:rFonts w:cs="Arial"/>
          <w:spacing w:val="-3"/>
        </w:rPr>
        <w:t xml:space="preserve">que </w:t>
      </w:r>
      <w:r w:rsidR="00AE4E02" w:rsidRPr="004068F6">
        <w:rPr>
          <w:rFonts w:cs="Arial"/>
          <w:spacing w:val="-3"/>
        </w:rPr>
        <w:t xml:space="preserve">se aborda en </w:t>
      </w:r>
      <w:r w:rsidR="002A14FB" w:rsidRPr="004068F6">
        <w:rPr>
          <w:rFonts w:cs="Arial"/>
          <w:spacing w:val="-3"/>
        </w:rPr>
        <w:t>varios numerales del EIA</w:t>
      </w:r>
      <w:r w:rsidR="00287104" w:rsidRPr="004068F6">
        <w:rPr>
          <w:rFonts w:cs="Arial"/>
          <w:spacing w:val="-3"/>
        </w:rPr>
        <w:t>.</w:t>
      </w:r>
      <w:r w:rsidR="006E5761" w:rsidRPr="004068F6">
        <w:rPr>
          <w:rFonts w:cs="Arial"/>
          <w:spacing w:val="-3"/>
        </w:rPr>
        <w:t xml:space="preserve"> </w:t>
      </w:r>
      <w:r w:rsidR="00287104" w:rsidRPr="004068F6">
        <w:rPr>
          <w:rFonts w:cs="Arial"/>
          <w:spacing w:val="-3"/>
        </w:rPr>
        <w:t>E</w:t>
      </w:r>
      <w:r w:rsidR="006E5761" w:rsidRPr="004068F6">
        <w:rPr>
          <w:rFonts w:cs="Arial"/>
          <w:spacing w:val="-3"/>
        </w:rPr>
        <w:t xml:space="preserve">specíficamente, </w:t>
      </w:r>
      <w:r w:rsidR="00064493" w:rsidRPr="004068F6">
        <w:rPr>
          <w:rFonts w:cs="Arial"/>
          <w:spacing w:val="-3"/>
        </w:rPr>
        <w:t>se desarrolla a través de</w:t>
      </w:r>
      <w:r w:rsidR="006E5761" w:rsidRPr="004068F6">
        <w:rPr>
          <w:rFonts w:cs="Arial"/>
          <w:spacing w:val="-3"/>
        </w:rPr>
        <w:t xml:space="preserve"> la </w:t>
      </w:r>
      <w:r w:rsidR="002A14FB" w:rsidRPr="004068F6">
        <w:rPr>
          <w:rFonts w:cs="Arial"/>
          <w:spacing w:val="-3"/>
        </w:rPr>
        <w:t>caracterización ambiental</w:t>
      </w:r>
      <w:r w:rsidR="006E5761" w:rsidRPr="004068F6">
        <w:rPr>
          <w:rFonts w:cs="Arial"/>
          <w:spacing w:val="-3"/>
        </w:rPr>
        <w:t xml:space="preserve"> </w:t>
      </w:r>
      <w:r w:rsidR="00824092" w:rsidRPr="00127BD4">
        <w:rPr>
          <w:rFonts w:cs="Arial"/>
          <w:spacing w:val="-3"/>
        </w:rPr>
        <w:t xml:space="preserve">a fin de </w:t>
      </w:r>
      <w:r w:rsidR="006E5761" w:rsidRPr="004068F6">
        <w:rPr>
          <w:rFonts w:cs="Arial"/>
          <w:spacing w:val="-3"/>
        </w:rPr>
        <w:t>menciona</w:t>
      </w:r>
      <w:r w:rsidR="00824092" w:rsidRPr="00127BD4">
        <w:rPr>
          <w:rFonts w:cs="Arial"/>
          <w:spacing w:val="-3"/>
        </w:rPr>
        <w:t>r</w:t>
      </w:r>
      <w:r w:rsidR="006E5761" w:rsidRPr="004068F6">
        <w:rPr>
          <w:rFonts w:cs="Arial"/>
          <w:spacing w:val="-3"/>
        </w:rPr>
        <w:t xml:space="preserve"> las </w:t>
      </w:r>
      <w:r w:rsidR="00D61DBF" w:rsidRPr="004068F6">
        <w:rPr>
          <w:rFonts w:cs="Arial"/>
          <w:spacing w:val="-3"/>
        </w:rPr>
        <w:t xml:space="preserve">principales </w:t>
      </w:r>
      <w:r w:rsidR="006E5761" w:rsidRPr="004068F6">
        <w:rPr>
          <w:rFonts w:cs="Arial"/>
          <w:spacing w:val="-3"/>
        </w:rPr>
        <w:t>características de los proyectos licenciados</w:t>
      </w:r>
      <w:r w:rsidR="00064493" w:rsidRPr="004068F6">
        <w:rPr>
          <w:rFonts w:cs="Arial"/>
          <w:spacing w:val="-3"/>
        </w:rPr>
        <w:t>;</w:t>
      </w:r>
      <w:r w:rsidR="002A14FB" w:rsidRPr="004068F6">
        <w:rPr>
          <w:rFonts w:cs="Arial"/>
          <w:spacing w:val="-3"/>
        </w:rPr>
        <w:t xml:space="preserve"> </w:t>
      </w:r>
      <w:r w:rsidR="00064493" w:rsidRPr="004068F6">
        <w:rPr>
          <w:rFonts w:cs="Arial"/>
          <w:spacing w:val="-3"/>
        </w:rPr>
        <w:t>de</w:t>
      </w:r>
      <w:r w:rsidR="009B2204" w:rsidRPr="004068F6">
        <w:rPr>
          <w:rFonts w:cs="Arial"/>
          <w:spacing w:val="-3"/>
        </w:rPr>
        <w:t xml:space="preserve"> la </w:t>
      </w:r>
      <w:r w:rsidR="002A14FB" w:rsidRPr="004068F6">
        <w:rPr>
          <w:rFonts w:cs="Arial"/>
          <w:spacing w:val="-3"/>
        </w:rPr>
        <w:t xml:space="preserve">evaluación ambiental </w:t>
      </w:r>
      <w:r w:rsidR="000575BF" w:rsidRPr="004068F6">
        <w:rPr>
          <w:rFonts w:cs="Arial"/>
          <w:spacing w:val="-3"/>
        </w:rPr>
        <w:t xml:space="preserve">para </w:t>
      </w:r>
      <w:r w:rsidR="009B2204" w:rsidRPr="004068F6">
        <w:rPr>
          <w:rFonts w:cs="Arial"/>
          <w:spacing w:val="-3"/>
        </w:rPr>
        <w:t>examina</w:t>
      </w:r>
      <w:r w:rsidR="000575BF" w:rsidRPr="004068F6">
        <w:rPr>
          <w:rFonts w:cs="Arial"/>
          <w:spacing w:val="-3"/>
        </w:rPr>
        <w:t>r</w:t>
      </w:r>
      <w:r w:rsidR="009B2204" w:rsidRPr="004068F6">
        <w:rPr>
          <w:rFonts w:cs="Arial"/>
          <w:spacing w:val="-3"/>
        </w:rPr>
        <w:t xml:space="preserve"> </w:t>
      </w:r>
      <w:r w:rsidR="00A03895" w:rsidRPr="004068F6">
        <w:rPr>
          <w:rFonts w:cs="Arial"/>
          <w:spacing w:val="-3"/>
        </w:rPr>
        <w:t>cómo pueden interactuar los impactos</w:t>
      </w:r>
      <w:r w:rsidR="00D71994" w:rsidRPr="004068F6">
        <w:rPr>
          <w:rFonts w:cs="Arial"/>
          <w:spacing w:val="-3"/>
        </w:rPr>
        <w:t>,</w:t>
      </w:r>
      <w:r w:rsidR="00A03895" w:rsidRPr="004068F6">
        <w:rPr>
          <w:rFonts w:cs="Arial"/>
          <w:spacing w:val="-3"/>
        </w:rPr>
        <w:t xml:space="preserve"> </w:t>
      </w:r>
      <w:r w:rsidR="006D36D0" w:rsidRPr="004068F6">
        <w:rPr>
          <w:rFonts w:cs="Arial"/>
          <w:spacing w:val="-3"/>
        </w:rPr>
        <w:t xml:space="preserve">ya sea mediante </w:t>
      </w:r>
      <w:r w:rsidR="00D71994" w:rsidRPr="004068F6">
        <w:rPr>
          <w:rFonts w:cs="Arial"/>
          <w:spacing w:val="-3"/>
        </w:rPr>
        <w:t xml:space="preserve">procesos de </w:t>
      </w:r>
      <w:r w:rsidR="006D36D0" w:rsidRPr="004068F6">
        <w:rPr>
          <w:rFonts w:cs="Arial"/>
          <w:spacing w:val="-3"/>
        </w:rPr>
        <w:t xml:space="preserve">acumulación o </w:t>
      </w:r>
      <w:r w:rsidR="00D71994" w:rsidRPr="004068F6">
        <w:rPr>
          <w:rFonts w:cs="Arial"/>
          <w:spacing w:val="-3"/>
        </w:rPr>
        <w:t xml:space="preserve">de </w:t>
      </w:r>
      <w:r w:rsidR="006D36D0" w:rsidRPr="004068F6">
        <w:rPr>
          <w:rFonts w:cs="Arial"/>
          <w:spacing w:val="-3"/>
        </w:rPr>
        <w:t xml:space="preserve">sinergia </w:t>
      </w:r>
      <w:r w:rsidR="002A14FB" w:rsidRPr="004068F6">
        <w:rPr>
          <w:rFonts w:cs="Arial"/>
          <w:spacing w:val="-3"/>
        </w:rPr>
        <w:t>y</w:t>
      </w:r>
      <w:r w:rsidR="00064493" w:rsidRPr="004068F6">
        <w:rPr>
          <w:rFonts w:cs="Arial"/>
          <w:spacing w:val="-3"/>
        </w:rPr>
        <w:t>;</w:t>
      </w:r>
      <w:r w:rsidR="002A14FB" w:rsidRPr="004068F6">
        <w:rPr>
          <w:rFonts w:cs="Arial"/>
          <w:spacing w:val="-3"/>
        </w:rPr>
        <w:t xml:space="preserve"> </w:t>
      </w:r>
      <w:r w:rsidR="00064493" w:rsidRPr="004068F6">
        <w:rPr>
          <w:rFonts w:cs="Arial"/>
          <w:spacing w:val="-3"/>
        </w:rPr>
        <w:t>de</w:t>
      </w:r>
      <w:r w:rsidR="00FD0748" w:rsidRPr="004068F6">
        <w:rPr>
          <w:rFonts w:cs="Arial"/>
          <w:spacing w:val="-3"/>
        </w:rPr>
        <w:t xml:space="preserve">l </w:t>
      </w:r>
      <w:r w:rsidR="002A14FB" w:rsidRPr="004068F6">
        <w:rPr>
          <w:rFonts w:cs="Arial"/>
          <w:spacing w:val="-3"/>
        </w:rPr>
        <w:t>PMA</w:t>
      </w:r>
      <w:r w:rsidR="00FD0748" w:rsidRPr="004068F6">
        <w:rPr>
          <w:rFonts w:cs="Arial"/>
          <w:spacing w:val="-3"/>
        </w:rPr>
        <w:t xml:space="preserve"> </w:t>
      </w:r>
      <w:r w:rsidR="00C02B69" w:rsidRPr="004068F6">
        <w:rPr>
          <w:rFonts w:cs="Arial"/>
          <w:spacing w:val="-3"/>
        </w:rPr>
        <w:t xml:space="preserve">para </w:t>
      </w:r>
      <w:r w:rsidR="00FD0748" w:rsidRPr="004068F6">
        <w:rPr>
          <w:rFonts w:cs="Arial"/>
          <w:spacing w:val="-3"/>
        </w:rPr>
        <w:t>formula</w:t>
      </w:r>
      <w:r w:rsidR="00C02B69" w:rsidRPr="004068F6">
        <w:rPr>
          <w:rFonts w:cs="Arial"/>
          <w:spacing w:val="-3"/>
        </w:rPr>
        <w:t>r</w:t>
      </w:r>
      <w:r w:rsidR="00FD0748" w:rsidRPr="004068F6">
        <w:rPr>
          <w:rFonts w:cs="Arial"/>
          <w:spacing w:val="-3"/>
        </w:rPr>
        <w:t xml:space="preserve"> </w:t>
      </w:r>
      <w:r w:rsidR="002A14FB" w:rsidRPr="004068F6">
        <w:rPr>
          <w:rFonts w:cs="Arial"/>
          <w:spacing w:val="-3"/>
        </w:rPr>
        <w:t xml:space="preserve">medidas </w:t>
      </w:r>
      <w:r w:rsidR="00FD0748" w:rsidRPr="004068F6">
        <w:rPr>
          <w:rFonts w:cs="Arial"/>
          <w:spacing w:val="-3"/>
        </w:rPr>
        <w:t xml:space="preserve">que </w:t>
      </w:r>
      <w:r w:rsidR="00CD624D" w:rsidRPr="004068F6">
        <w:rPr>
          <w:rFonts w:cs="Arial"/>
          <w:spacing w:val="-3"/>
        </w:rPr>
        <w:t>gestionen</w:t>
      </w:r>
      <w:r w:rsidR="006812C0" w:rsidRPr="004068F6">
        <w:rPr>
          <w:rFonts w:cs="Arial"/>
          <w:spacing w:val="-3"/>
        </w:rPr>
        <w:t xml:space="preserve"> </w:t>
      </w:r>
      <w:r w:rsidR="009B1072" w:rsidRPr="004068F6">
        <w:rPr>
          <w:rFonts w:cs="Arial"/>
          <w:spacing w:val="-3"/>
        </w:rPr>
        <w:t xml:space="preserve">apropiadamente </w:t>
      </w:r>
      <w:r w:rsidR="0049656F" w:rsidRPr="004068F6">
        <w:rPr>
          <w:rFonts w:cs="Arial"/>
          <w:spacing w:val="-3"/>
        </w:rPr>
        <w:t xml:space="preserve">los impactos que </w:t>
      </w:r>
      <w:r w:rsidR="00854F0A" w:rsidRPr="004068F6">
        <w:rPr>
          <w:rFonts w:cs="Arial"/>
          <w:spacing w:val="-3"/>
        </w:rPr>
        <w:t xml:space="preserve">se </w:t>
      </w:r>
      <w:r w:rsidR="0049656F" w:rsidRPr="004068F6">
        <w:rPr>
          <w:rFonts w:cs="Arial"/>
          <w:spacing w:val="-3"/>
        </w:rPr>
        <w:t>acumula</w:t>
      </w:r>
      <w:r w:rsidR="00854F0A" w:rsidRPr="004068F6">
        <w:rPr>
          <w:rFonts w:cs="Arial"/>
          <w:spacing w:val="-3"/>
        </w:rPr>
        <w:t xml:space="preserve">n </w:t>
      </w:r>
      <w:r w:rsidR="0049656F" w:rsidRPr="004068F6">
        <w:rPr>
          <w:rFonts w:cs="Arial"/>
          <w:spacing w:val="-3"/>
        </w:rPr>
        <w:t xml:space="preserve">o </w:t>
      </w:r>
      <w:r w:rsidR="00854F0A" w:rsidRPr="004068F6">
        <w:rPr>
          <w:rFonts w:cs="Arial"/>
          <w:spacing w:val="-3"/>
        </w:rPr>
        <w:t xml:space="preserve">que </w:t>
      </w:r>
      <w:r w:rsidR="0049656F" w:rsidRPr="004068F6">
        <w:rPr>
          <w:rFonts w:cs="Arial"/>
          <w:spacing w:val="-3"/>
        </w:rPr>
        <w:t>genera</w:t>
      </w:r>
      <w:r w:rsidR="00854F0A" w:rsidRPr="004068F6">
        <w:rPr>
          <w:rFonts w:cs="Arial"/>
          <w:spacing w:val="-3"/>
        </w:rPr>
        <w:t>n</w:t>
      </w:r>
      <w:r w:rsidR="0049656F" w:rsidRPr="004068F6">
        <w:rPr>
          <w:rFonts w:cs="Arial"/>
          <w:spacing w:val="-3"/>
        </w:rPr>
        <w:t xml:space="preserve"> sinergias con los </w:t>
      </w:r>
      <w:r w:rsidR="006C0060" w:rsidRPr="004068F6">
        <w:rPr>
          <w:rFonts w:cs="Arial"/>
          <w:spacing w:val="-3"/>
        </w:rPr>
        <w:t>impactos de los proyectos licenciados</w:t>
      </w:r>
      <w:r w:rsidR="002A14FB" w:rsidRPr="004068F6">
        <w:rPr>
          <w:rFonts w:cs="Arial"/>
          <w:spacing w:val="-3"/>
        </w:rPr>
        <w:t>.</w:t>
      </w:r>
    </w:p>
    <w:p w14:paraId="11CD1126" w14:textId="77777777" w:rsidR="002A14FB" w:rsidRPr="004068F6" w:rsidRDefault="002A14FB" w:rsidP="005B5E95">
      <w:pPr>
        <w:numPr>
          <w:ilvl w:val="12"/>
          <w:numId w:val="0"/>
        </w:numPr>
        <w:tabs>
          <w:tab w:val="left" w:pos="-2268"/>
        </w:tabs>
        <w:suppressAutoHyphens/>
        <w:rPr>
          <w:rFonts w:cs="Arial"/>
          <w:spacing w:val="-3"/>
        </w:rPr>
      </w:pPr>
    </w:p>
    <w:p w14:paraId="306C94F5" w14:textId="04A4ACDF" w:rsidR="007E09E8" w:rsidRPr="004068F6" w:rsidRDefault="007E09E8" w:rsidP="005B5E95">
      <w:pPr>
        <w:numPr>
          <w:ilvl w:val="12"/>
          <w:numId w:val="0"/>
        </w:numPr>
        <w:tabs>
          <w:tab w:val="left" w:pos="-2268"/>
        </w:tabs>
        <w:suppressAutoHyphens/>
        <w:rPr>
          <w:rFonts w:cs="Arial"/>
          <w:spacing w:val="-3"/>
        </w:rPr>
      </w:pPr>
      <w:r w:rsidRPr="004068F6">
        <w:rPr>
          <w:rFonts w:cs="Arial"/>
          <w:spacing w:val="-3"/>
        </w:rPr>
        <w:t xml:space="preserve">Dado que </w:t>
      </w:r>
      <w:r w:rsidR="006D753D" w:rsidRPr="004068F6">
        <w:rPr>
          <w:rFonts w:cs="Arial"/>
          <w:spacing w:val="-3"/>
        </w:rPr>
        <w:t xml:space="preserve">la </w:t>
      </w:r>
      <w:r w:rsidRPr="004068F6">
        <w:rPr>
          <w:rFonts w:cs="Arial"/>
          <w:spacing w:val="-3"/>
        </w:rPr>
        <w:t>evalua</w:t>
      </w:r>
      <w:r w:rsidR="006D753D" w:rsidRPr="004068F6">
        <w:rPr>
          <w:rFonts w:cs="Arial"/>
          <w:spacing w:val="-3"/>
        </w:rPr>
        <w:t xml:space="preserve">ción de </w:t>
      </w:r>
      <w:r w:rsidRPr="004068F6">
        <w:rPr>
          <w:rFonts w:cs="Arial"/>
          <w:spacing w:val="-3"/>
        </w:rPr>
        <w:t xml:space="preserve">los impactos acumulativos y </w:t>
      </w:r>
      <w:r w:rsidR="006D753D" w:rsidRPr="004068F6">
        <w:rPr>
          <w:rFonts w:cs="Arial"/>
          <w:spacing w:val="-3"/>
        </w:rPr>
        <w:t xml:space="preserve">de </w:t>
      </w:r>
      <w:r w:rsidRPr="004068F6">
        <w:rPr>
          <w:rFonts w:cs="Arial"/>
          <w:spacing w:val="-3"/>
        </w:rPr>
        <w:t xml:space="preserve">los impactos sinérgicos </w:t>
      </w:r>
      <w:r w:rsidR="006D753D" w:rsidRPr="004068F6">
        <w:rPr>
          <w:rFonts w:cs="Arial"/>
          <w:spacing w:val="-3"/>
        </w:rPr>
        <w:t xml:space="preserve">debe considerar </w:t>
      </w:r>
      <w:r w:rsidR="00DD06EC">
        <w:rPr>
          <w:rFonts w:cs="Arial"/>
          <w:spacing w:val="-3"/>
        </w:rPr>
        <w:t xml:space="preserve">cómo han cambiado y cómo cambiarán </w:t>
      </w:r>
      <w:r w:rsidR="006D753D" w:rsidRPr="004068F6">
        <w:rPr>
          <w:rFonts w:cs="Arial"/>
          <w:spacing w:val="-3"/>
        </w:rPr>
        <w:t>las condiciones ambientales</w:t>
      </w:r>
      <w:r w:rsidR="00254489" w:rsidRPr="004068F6">
        <w:rPr>
          <w:rFonts w:cs="Arial"/>
          <w:spacing w:val="-3"/>
        </w:rPr>
        <w:t xml:space="preserve"> de línea base</w:t>
      </w:r>
      <w:r w:rsidR="006D753D" w:rsidRPr="004068F6">
        <w:rPr>
          <w:rFonts w:cs="Arial"/>
          <w:spacing w:val="-3"/>
        </w:rPr>
        <w:t xml:space="preserve"> </w:t>
      </w:r>
      <w:r w:rsidR="008871E1">
        <w:rPr>
          <w:rFonts w:cs="Arial"/>
          <w:spacing w:val="-3"/>
        </w:rPr>
        <w:t xml:space="preserve">(lo cual comprende </w:t>
      </w:r>
      <w:r w:rsidR="006D753D" w:rsidRPr="004068F6">
        <w:rPr>
          <w:rFonts w:cs="Arial"/>
          <w:spacing w:val="-3"/>
        </w:rPr>
        <w:t>los impactos genera</w:t>
      </w:r>
      <w:r w:rsidR="00DC0EDA">
        <w:rPr>
          <w:rFonts w:cs="Arial"/>
          <w:spacing w:val="-3"/>
        </w:rPr>
        <w:t xml:space="preserve">dos por </w:t>
      </w:r>
      <w:r w:rsidRPr="004068F6">
        <w:rPr>
          <w:rFonts w:cs="Arial"/>
          <w:spacing w:val="-3"/>
        </w:rPr>
        <w:t xml:space="preserve">proyectos </w:t>
      </w:r>
      <w:r w:rsidR="005B5E95" w:rsidRPr="004068F6">
        <w:rPr>
          <w:rFonts w:cs="Arial"/>
          <w:spacing w:val="-3"/>
        </w:rPr>
        <w:t xml:space="preserve">licenciados </w:t>
      </w:r>
      <w:r w:rsidR="00C5449B">
        <w:rPr>
          <w:rFonts w:cs="Arial"/>
          <w:spacing w:val="-3"/>
        </w:rPr>
        <w:t>y por</w:t>
      </w:r>
      <w:r w:rsidR="00C5449B" w:rsidRPr="004068F6">
        <w:rPr>
          <w:rFonts w:cs="Arial"/>
          <w:spacing w:val="-3"/>
        </w:rPr>
        <w:t xml:space="preserve"> otras actividades económicas </w:t>
      </w:r>
      <w:r w:rsidR="005B5E95" w:rsidRPr="004068F6">
        <w:rPr>
          <w:rFonts w:cs="Arial"/>
          <w:spacing w:val="-3"/>
        </w:rPr>
        <w:t>en el área de influencia</w:t>
      </w:r>
      <w:r w:rsidR="00DC0EDA">
        <w:rPr>
          <w:rFonts w:cs="Arial"/>
          <w:spacing w:val="-3"/>
        </w:rPr>
        <w:t>)</w:t>
      </w:r>
      <w:r w:rsidR="006D753D" w:rsidRPr="004068F6">
        <w:rPr>
          <w:rFonts w:cs="Arial"/>
          <w:spacing w:val="-3"/>
        </w:rPr>
        <w:t>,</w:t>
      </w:r>
      <w:r w:rsidR="005B5E95" w:rsidRPr="004068F6">
        <w:rPr>
          <w:rFonts w:cs="Arial"/>
          <w:spacing w:val="-3"/>
        </w:rPr>
        <w:t xml:space="preserve"> es necesario que </w:t>
      </w:r>
      <w:r w:rsidR="006D753D" w:rsidRPr="004068F6">
        <w:rPr>
          <w:rFonts w:cs="Arial"/>
          <w:spacing w:val="-3"/>
        </w:rPr>
        <w:t xml:space="preserve">este ejercicio </w:t>
      </w:r>
      <w:r w:rsidR="005B5E95" w:rsidRPr="004068F6">
        <w:rPr>
          <w:rFonts w:cs="Arial"/>
          <w:spacing w:val="-3"/>
        </w:rPr>
        <w:t>emplee</w:t>
      </w:r>
      <w:r w:rsidR="00AA0986" w:rsidRPr="004068F6">
        <w:rPr>
          <w:rFonts w:cs="Arial"/>
          <w:spacing w:val="-3"/>
        </w:rPr>
        <w:t>, entre otras fuentes de información,</w:t>
      </w:r>
      <w:r w:rsidR="005B5E95" w:rsidRPr="004068F6">
        <w:rPr>
          <w:rFonts w:cs="Arial"/>
          <w:spacing w:val="-3"/>
        </w:rPr>
        <w:t xml:space="preserve"> </w:t>
      </w:r>
      <w:r w:rsidRPr="004068F6">
        <w:rPr>
          <w:rFonts w:cs="Arial"/>
          <w:spacing w:val="-3"/>
        </w:rPr>
        <w:t xml:space="preserve">los análisis regionales </w:t>
      </w:r>
      <w:r w:rsidR="00453DF9" w:rsidRPr="004068F6">
        <w:rPr>
          <w:rFonts w:cs="Arial"/>
          <w:spacing w:val="-3"/>
        </w:rPr>
        <w:t xml:space="preserve">sobre evaluación de impactos </w:t>
      </w:r>
      <w:r w:rsidR="00EA3521" w:rsidRPr="004068F6">
        <w:rPr>
          <w:rFonts w:cs="Arial"/>
          <w:spacing w:val="-3"/>
        </w:rPr>
        <w:t xml:space="preserve">desarrollados por </w:t>
      </w:r>
      <w:r w:rsidR="00AC005E" w:rsidRPr="004068F6">
        <w:rPr>
          <w:rFonts w:cs="Arial"/>
          <w:spacing w:val="-3"/>
        </w:rPr>
        <w:t>las autoridades ambientales</w:t>
      </w:r>
      <w:r w:rsidR="00195FC0" w:rsidRPr="00127BD4">
        <w:rPr>
          <w:rFonts w:cs="Arial"/>
          <w:spacing w:val="-3"/>
          <w:vertAlign w:val="superscript"/>
        </w:rPr>
        <w:footnoteReference w:id="221"/>
      </w:r>
      <w:r w:rsidR="00AA0986" w:rsidRPr="004068F6">
        <w:rPr>
          <w:rFonts w:cs="Arial"/>
          <w:spacing w:val="-3"/>
        </w:rPr>
        <w:t xml:space="preserve"> cuya</w:t>
      </w:r>
      <w:r w:rsidR="00B439A5" w:rsidRPr="004068F6">
        <w:rPr>
          <w:rFonts w:cs="Arial"/>
          <w:spacing w:val="-3"/>
        </w:rPr>
        <w:t xml:space="preserve"> oportunidad</w:t>
      </w:r>
      <w:r w:rsidR="00B80F53">
        <w:rPr>
          <w:rFonts w:cs="Arial"/>
          <w:spacing w:val="-3"/>
        </w:rPr>
        <w:t>,</w:t>
      </w:r>
      <w:r w:rsidR="00D6149D" w:rsidRPr="004068F6">
        <w:rPr>
          <w:rFonts w:cs="Arial"/>
          <w:spacing w:val="-3"/>
        </w:rPr>
        <w:t xml:space="preserve"> </w:t>
      </w:r>
      <w:r w:rsidR="00AA0986" w:rsidRPr="004068F6">
        <w:rPr>
          <w:rFonts w:cs="Arial"/>
          <w:spacing w:val="-3"/>
        </w:rPr>
        <w:t xml:space="preserve">características temáticas y escala permitan su uso en </w:t>
      </w:r>
      <w:r w:rsidR="008F0CCE" w:rsidRPr="004068F6">
        <w:rPr>
          <w:rFonts w:cs="Arial"/>
          <w:spacing w:val="-3"/>
        </w:rPr>
        <w:t xml:space="preserve">esta </w:t>
      </w:r>
      <w:r w:rsidR="00AA0986" w:rsidRPr="004068F6">
        <w:rPr>
          <w:rFonts w:cs="Arial"/>
          <w:spacing w:val="-3"/>
        </w:rPr>
        <w:t>evaluación</w:t>
      </w:r>
      <w:r w:rsidRPr="004068F6">
        <w:rPr>
          <w:rFonts w:cs="Arial"/>
          <w:spacing w:val="-3"/>
        </w:rPr>
        <w:t>.</w:t>
      </w:r>
      <w:r w:rsidR="00D6149D" w:rsidRPr="004068F6">
        <w:rPr>
          <w:rFonts w:cs="Arial"/>
          <w:spacing w:val="-3"/>
        </w:rPr>
        <w:t xml:space="preserve"> </w:t>
      </w:r>
      <w:r w:rsidR="00C158D7" w:rsidRPr="004068F6">
        <w:rPr>
          <w:rFonts w:cs="Arial"/>
          <w:spacing w:val="-3"/>
        </w:rPr>
        <w:t>Es necesario verificar</w:t>
      </w:r>
      <w:r w:rsidR="00994270" w:rsidRPr="004068F6">
        <w:rPr>
          <w:rFonts w:cs="Arial"/>
          <w:spacing w:val="-3"/>
        </w:rPr>
        <w:t xml:space="preserve"> y complementar</w:t>
      </w:r>
      <w:r w:rsidR="00C158D7" w:rsidRPr="004068F6">
        <w:rPr>
          <w:rFonts w:cs="Arial"/>
          <w:spacing w:val="-3"/>
        </w:rPr>
        <w:t xml:space="preserve">, </w:t>
      </w:r>
      <w:r w:rsidR="002B5718" w:rsidRPr="004068F6">
        <w:rPr>
          <w:rFonts w:cs="Arial"/>
          <w:spacing w:val="-3"/>
        </w:rPr>
        <w:t>a partir de los datos recabados en la caracterización ambiental,</w:t>
      </w:r>
      <w:r w:rsidR="00C158D7" w:rsidRPr="004068F6">
        <w:rPr>
          <w:rFonts w:cs="Arial"/>
          <w:spacing w:val="-3"/>
        </w:rPr>
        <w:t xml:space="preserve"> </w:t>
      </w:r>
      <w:r w:rsidR="002B5718" w:rsidRPr="004068F6">
        <w:rPr>
          <w:rFonts w:cs="Arial"/>
          <w:spacing w:val="-3"/>
        </w:rPr>
        <w:t xml:space="preserve">la </w:t>
      </w:r>
      <w:r w:rsidR="00D6149D" w:rsidRPr="004068F6">
        <w:rPr>
          <w:rFonts w:cs="Arial"/>
          <w:spacing w:val="-3"/>
        </w:rPr>
        <w:t xml:space="preserve">información </w:t>
      </w:r>
      <w:r w:rsidR="002B5718" w:rsidRPr="004068F6">
        <w:rPr>
          <w:rFonts w:cs="Arial"/>
          <w:spacing w:val="-3"/>
        </w:rPr>
        <w:t xml:space="preserve">obtenida de análisis y estudios regionales </w:t>
      </w:r>
      <w:r w:rsidR="006F28AB" w:rsidRPr="004068F6">
        <w:rPr>
          <w:rFonts w:cs="Arial"/>
          <w:spacing w:val="-3"/>
        </w:rPr>
        <w:t xml:space="preserve">que </w:t>
      </w:r>
      <w:r w:rsidR="00063889" w:rsidRPr="004068F6">
        <w:rPr>
          <w:rFonts w:cs="Arial"/>
          <w:spacing w:val="-3"/>
        </w:rPr>
        <w:t>pueda estar desactualizada</w:t>
      </w:r>
      <w:r w:rsidR="002B5718" w:rsidRPr="004068F6">
        <w:rPr>
          <w:rFonts w:cs="Arial"/>
          <w:spacing w:val="-3"/>
        </w:rPr>
        <w:t>.</w:t>
      </w:r>
    </w:p>
    <w:p w14:paraId="00CF9593" w14:textId="77777777" w:rsidR="00D25439" w:rsidRPr="004068F6" w:rsidRDefault="00D25439" w:rsidP="00E63F45">
      <w:pPr>
        <w:numPr>
          <w:ilvl w:val="12"/>
          <w:numId w:val="0"/>
        </w:numPr>
        <w:tabs>
          <w:tab w:val="left" w:pos="-2268"/>
        </w:tabs>
        <w:suppressAutoHyphens/>
        <w:rPr>
          <w:rFonts w:cs="Arial"/>
          <w:spacing w:val="-3"/>
        </w:rPr>
      </w:pPr>
    </w:p>
    <w:p w14:paraId="60CD94CA" w14:textId="34BD8470" w:rsidR="0092109F" w:rsidRPr="00466E26" w:rsidRDefault="001167C8" w:rsidP="000A1E20">
      <w:pPr>
        <w:pStyle w:val="Ttulo3"/>
      </w:pPr>
      <w:bookmarkStart w:id="3321" w:name="_Ref137112878"/>
      <w:bookmarkStart w:id="3322" w:name="_Toc230879699"/>
      <w:r w:rsidRPr="00466E26">
        <w:t>Determinación de impactos ambientales significativos</w:t>
      </w:r>
      <w:r w:rsidR="00285550" w:rsidRPr="00466E26">
        <w:t xml:space="preserve"> negativos</w:t>
      </w:r>
      <w:r w:rsidRPr="00466E26">
        <w:rPr>
          <w:vertAlign w:val="superscript"/>
        </w:rPr>
        <w:footnoteReference w:id="222"/>
      </w:r>
      <w:bookmarkEnd w:id="3321"/>
      <w:bookmarkEnd w:id="3322"/>
    </w:p>
    <w:p w14:paraId="5B1524F5" w14:textId="77777777" w:rsidR="007A3E84" w:rsidRPr="004068F6" w:rsidRDefault="007A3E84" w:rsidP="00E63F45">
      <w:pPr>
        <w:numPr>
          <w:ilvl w:val="12"/>
          <w:numId w:val="0"/>
        </w:numPr>
        <w:tabs>
          <w:tab w:val="left" w:pos="-2268"/>
        </w:tabs>
        <w:suppressAutoHyphens/>
        <w:rPr>
          <w:rFonts w:cs="Arial"/>
          <w:spacing w:val="-3"/>
        </w:rPr>
      </w:pPr>
    </w:p>
    <w:p w14:paraId="7B0F3467" w14:textId="691A8BE1" w:rsidR="00E63F45" w:rsidRPr="004068F6" w:rsidRDefault="00E63F45" w:rsidP="00E63F45">
      <w:pPr>
        <w:numPr>
          <w:ilvl w:val="12"/>
          <w:numId w:val="0"/>
        </w:numPr>
        <w:tabs>
          <w:tab w:val="left" w:pos="-2268"/>
        </w:tabs>
        <w:suppressAutoHyphens/>
        <w:rPr>
          <w:rFonts w:cs="Arial"/>
          <w:spacing w:val="-3"/>
        </w:rPr>
      </w:pPr>
      <w:bookmarkStart w:id="3323" w:name="_Toc153817523"/>
      <w:bookmarkStart w:id="3324" w:name="_Toc153817524"/>
      <w:bookmarkEnd w:id="3323"/>
      <w:bookmarkEnd w:id="3324"/>
      <w:r w:rsidRPr="004068F6">
        <w:rPr>
          <w:rFonts w:cs="Arial"/>
          <w:spacing w:val="-3"/>
        </w:rPr>
        <w:t xml:space="preserve">El procedimiento que se </w:t>
      </w:r>
      <w:r w:rsidR="001B36AE" w:rsidRPr="004068F6">
        <w:rPr>
          <w:rFonts w:cs="Arial"/>
          <w:spacing w:val="-3"/>
        </w:rPr>
        <w:t xml:space="preserve">describe </w:t>
      </w:r>
      <w:r w:rsidRPr="004068F6">
        <w:rPr>
          <w:rFonts w:cs="Arial"/>
          <w:spacing w:val="-3"/>
        </w:rPr>
        <w:t xml:space="preserve">a continuación busca normalizar la valoración y clasificación de los impactos ambientales </w:t>
      </w:r>
      <w:r w:rsidR="00962269" w:rsidRPr="004068F6">
        <w:rPr>
          <w:rFonts w:cs="Arial"/>
          <w:spacing w:val="-3"/>
        </w:rPr>
        <w:t xml:space="preserve">negativos </w:t>
      </w:r>
      <w:r w:rsidRPr="004068F6">
        <w:rPr>
          <w:rFonts w:cs="Arial"/>
          <w:spacing w:val="-3"/>
        </w:rPr>
        <w:t>de un proyecto, obra o actividad sujeto a licenciamiento ambiental, a fin de aplicar una regla de decisión que permit</w:t>
      </w:r>
      <w:r w:rsidR="006A1A36" w:rsidRPr="004068F6">
        <w:rPr>
          <w:rFonts w:cs="Arial"/>
          <w:spacing w:val="-3"/>
        </w:rPr>
        <w:t>a</w:t>
      </w:r>
      <w:r w:rsidRPr="004068F6">
        <w:rPr>
          <w:rFonts w:cs="Arial"/>
          <w:spacing w:val="-3"/>
        </w:rPr>
        <w:t xml:space="preserve"> determinar cuáles de ellos son significativos, y así contar con los insumos necesarios para la delimitación del área de influencia</w:t>
      </w:r>
      <w:r w:rsidR="00011D6D">
        <w:rPr>
          <w:rFonts w:cs="Arial"/>
          <w:spacing w:val="-3"/>
        </w:rPr>
        <w:t xml:space="preserve"> y la evaluación económica ambiental</w:t>
      </w:r>
      <w:r w:rsidRPr="004068F6">
        <w:rPr>
          <w:rFonts w:cs="Arial"/>
          <w:spacing w:val="-3"/>
        </w:rPr>
        <w:t>.</w:t>
      </w:r>
    </w:p>
    <w:p w14:paraId="4ACA46A8" w14:textId="77777777" w:rsidR="0056240F" w:rsidRDefault="0056240F" w:rsidP="00E63F45">
      <w:pPr>
        <w:numPr>
          <w:ilvl w:val="12"/>
          <w:numId w:val="0"/>
        </w:numPr>
        <w:tabs>
          <w:tab w:val="left" w:pos="-2268"/>
        </w:tabs>
        <w:suppressAutoHyphens/>
        <w:rPr>
          <w:rFonts w:cs="Arial"/>
          <w:spacing w:val="-3"/>
        </w:rPr>
      </w:pPr>
    </w:p>
    <w:p w14:paraId="51181DD2" w14:textId="3C889C49" w:rsidR="00C31488" w:rsidRDefault="009F2B73" w:rsidP="00E63F45">
      <w:pPr>
        <w:numPr>
          <w:ilvl w:val="12"/>
          <w:numId w:val="0"/>
        </w:numPr>
        <w:tabs>
          <w:tab w:val="left" w:pos="-2268"/>
        </w:tabs>
        <w:suppressAutoHyphens/>
        <w:rPr>
          <w:rFonts w:cs="Arial"/>
          <w:spacing w:val="-3"/>
        </w:rPr>
      </w:pPr>
      <w:r w:rsidRPr="00E64F04">
        <w:rPr>
          <w:rFonts w:cs="Arial"/>
          <w:spacing w:val="-3"/>
        </w:rPr>
        <w:t>Dependiendo de</w:t>
      </w:r>
      <w:r w:rsidR="00EE321B">
        <w:rPr>
          <w:rFonts w:cs="Arial"/>
          <w:spacing w:val="-3"/>
        </w:rPr>
        <w:t xml:space="preserve"> </w:t>
      </w:r>
      <w:r w:rsidRPr="00E64F04">
        <w:rPr>
          <w:rFonts w:cs="Arial"/>
          <w:spacing w:val="-3"/>
        </w:rPr>
        <w:t>l</w:t>
      </w:r>
      <w:r w:rsidR="00EE321B">
        <w:rPr>
          <w:rFonts w:cs="Arial"/>
          <w:spacing w:val="-3"/>
        </w:rPr>
        <w:t>a</w:t>
      </w:r>
      <w:r w:rsidRPr="00E64F04">
        <w:rPr>
          <w:rFonts w:cs="Arial"/>
          <w:spacing w:val="-3"/>
        </w:rPr>
        <w:t xml:space="preserve"> </w:t>
      </w:r>
      <w:r w:rsidR="00EE321B">
        <w:rPr>
          <w:rFonts w:cs="Arial"/>
          <w:spacing w:val="-3"/>
        </w:rPr>
        <w:t xml:space="preserve">modalidad </w:t>
      </w:r>
      <w:r w:rsidRPr="00E64F04">
        <w:rPr>
          <w:rFonts w:cs="Arial"/>
          <w:spacing w:val="-3"/>
        </w:rPr>
        <w:t>alternativ</w:t>
      </w:r>
      <w:r w:rsidR="00EE321B">
        <w:rPr>
          <w:rFonts w:cs="Arial"/>
          <w:spacing w:val="-3"/>
        </w:rPr>
        <w:t>a</w:t>
      </w:r>
      <w:r w:rsidRPr="00E64F04">
        <w:rPr>
          <w:rFonts w:cs="Arial"/>
          <w:spacing w:val="-3"/>
        </w:rPr>
        <w:t xml:space="preserve"> seleccionad</w:t>
      </w:r>
      <w:r w:rsidR="0027696C">
        <w:rPr>
          <w:rFonts w:cs="Arial"/>
          <w:spacing w:val="-3"/>
        </w:rPr>
        <w:t>a</w:t>
      </w:r>
      <w:r w:rsidRPr="00E64F04">
        <w:rPr>
          <w:rFonts w:cs="Arial"/>
          <w:spacing w:val="-3"/>
        </w:rPr>
        <w:t xml:space="preserve"> para </w:t>
      </w:r>
      <w:r w:rsidR="002569A8" w:rsidRPr="00E64F04">
        <w:rPr>
          <w:rFonts w:cs="Arial"/>
          <w:spacing w:val="-3"/>
        </w:rPr>
        <w:t xml:space="preserve">valorar </w:t>
      </w:r>
      <w:r w:rsidRPr="00E64F04">
        <w:rPr>
          <w:rFonts w:cs="Arial"/>
          <w:spacing w:val="-3"/>
        </w:rPr>
        <w:t>los impactos ambientales</w:t>
      </w:r>
      <w:r w:rsidR="00F62EE0" w:rsidRPr="00E64F04">
        <w:rPr>
          <w:rFonts w:cs="Arial"/>
          <w:spacing w:val="-3"/>
        </w:rPr>
        <w:t xml:space="preserve">, será necesario abordar </w:t>
      </w:r>
      <w:r w:rsidR="00770621" w:rsidRPr="00E64F04">
        <w:rPr>
          <w:rFonts w:cs="Arial"/>
          <w:spacing w:val="-3"/>
        </w:rPr>
        <w:t xml:space="preserve">el </w:t>
      </w:r>
      <w:r w:rsidR="00D45512" w:rsidRPr="00E64F04">
        <w:rPr>
          <w:rFonts w:cs="Arial"/>
          <w:spacing w:val="-3"/>
        </w:rPr>
        <w:t>procedimiento para la determinación de los impactos ambientales significativos</w:t>
      </w:r>
      <w:r w:rsidR="001A6A9C" w:rsidRPr="00E64F04">
        <w:rPr>
          <w:rFonts w:cs="Arial"/>
          <w:spacing w:val="-3"/>
        </w:rPr>
        <w:t xml:space="preserve"> </w:t>
      </w:r>
      <w:r w:rsidR="00DE7F1F">
        <w:rPr>
          <w:rFonts w:cs="Arial"/>
          <w:spacing w:val="-3"/>
        </w:rPr>
        <w:t xml:space="preserve">negativos </w:t>
      </w:r>
      <w:r w:rsidR="001A6A9C" w:rsidRPr="00E64F04">
        <w:rPr>
          <w:rFonts w:cs="Arial"/>
          <w:spacing w:val="-3"/>
        </w:rPr>
        <w:t>de forma completa o parcial</w:t>
      </w:r>
      <w:r w:rsidR="00D45512" w:rsidRPr="00E64F04">
        <w:rPr>
          <w:rFonts w:cs="Arial"/>
          <w:spacing w:val="-3"/>
        </w:rPr>
        <w:t>.</w:t>
      </w:r>
    </w:p>
    <w:p w14:paraId="2520D922" w14:textId="77777777" w:rsidR="00C31488" w:rsidRDefault="00C31488" w:rsidP="00E63F45">
      <w:pPr>
        <w:numPr>
          <w:ilvl w:val="12"/>
          <w:numId w:val="0"/>
        </w:numPr>
        <w:tabs>
          <w:tab w:val="left" w:pos="-2268"/>
        </w:tabs>
        <w:suppressAutoHyphens/>
        <w:rPr>
          <w:rFonts w:cs="Arial"/>
          <w:spacing w:val="-3"/>
        </w:rPr>
      </w:pPr>
    </w:p>
    <w:p w14:paraId="1CD9B52A" w14:textId="5FE07BFA" w:rsidR="00BC54B5" w:rsidRDefault="00D45512" w:rsidP="00C31488">
      <w:pPr>
        <w:pStyle w:val="Prrafodelista"/>
        <w:numPr>
          <w:ilvl w:val="0"/>
          <w:numId w:val="409"/>
        </w:numPr>
        <w:tabs>
          <w:tab w:val="left" w:pos="-2268"/>
        </w:tabs>
        <w:suppressAutoHyphens/>
        <w:ind w:left="567" w:hanging="567"/>
        <w:rPr>
          <w:rFonts w:cs="Arial"/>
          <w:spacing w:val="-3"/>
          <w:lang w:val="es-CO"/>
        </w:rPr>
      </w:pPr>
      <w:r w:rsidRPr="00E64F04">
        <w:rPr>
          <w:rFonts w:cs="Arial"/>
          <w:spacing w:val="-3"/>
          <w:lang w:val="es-CO"/>
        </w:rPr>
        <w:t xml:space="preserve">Si se desarrolló </w:t>
      </w:r>
      <w:r w:rsidR="00EE321B" w:rsidRPr="00E64F04">
        <w:rPr>
          <w:rFonts w:cs="Arial"/>
          <w:spacing w:val="-3"/>
          <w:lang w:val="es-CO"/>
        </w:rPr>
        <w:t xml:space="preserve">la modalidad </w:t>
      </w:r>
      <w:r w:rsidRPr="00E64F04">
        <w:rPr>
          <w:rFonts w:cs="Arial"/>
          <w:spacing w:val="-3"/>
          <w:lang w:val="es-CO"/>
        </w:rPr>
        <w:t>alternativ</w:t>
      </w:r>
      <w:r w:rsidR="00EE321B" w:rsidRPr="00E64F04">
        <w:rPr>
          <w:rFonts w:cs="Arial"/>
          <w:spacing w:val="-3"/>
          <w:lang w:val="es-CO"/>
        </w:rPr>
        <w:t>a</w:t>
      </w:r>
      <w:r w:rsidRPr="00E64F04">
        <w:rPr>
          <w:rFonts w:cs="Arial"/>
          <w:spacing w:val="-3"/>
          <w:lang w:val="es-CO"/>
        </w:rPr>
        <w:t xml:space="preserve"> 1</w:t>
      </w:r>
      <w:r w:rsidR="00C31488">
        <w:rPr>
          <w:rFonts w:cs="Arial"/>
          <w:spacing w:val="-3"/>
          <w:lang w:val="es-CO"/>
        </w:rPr>
        <w:t>,</w:t>
      </w:r>
      <w:r w:rsidR="00C21D61" w:rsidRPr="00E64F04">
        <w:rPr>
          <w:rFonts w:cs="Arial"/>
          <w:spacing w:val="-3"/>
          <w:lang w:val="es-CO"/>
        </w:rPr>
        <w:t xml:space="preserve"> se debe </w:t>
      </w:r>
      <w:r w:rsidR="001B5F3A" w:rsidRPr="00E64F04">
        <w:rPr>
          <w:rFonts w:cs="Arial"/>
          <w:spacing w:val="-3"/>
          <w:lang w:val="es-CO"/>
        </w:rPr>
        <w:t xml:space="preserve">ejecutar </w:t>
      </w:r>
      <w:r w:rsidR="00012F22" w:rsidRPr="00E64F04">
        <w:rPr>
          <w:rFonts w:cs="Arial"/>
          <w:spacing w:val="-3"/>
          <w:lang w:val="es-CO"/>
        </w:rPr>
        <w:t xml:space="preserve">el proceso </w:t>
      </w:r>
      <w:r w:rsidR="00037F66" w:rsidRPr="00E64F04">
        <w:rPr>
          <w:rFonts w:cs="Arial"/>
          <w:spacing w:val="-3"/>
          <w:lang w:val="es-CO"/>
        </w:rPr>
        <w:t xml:space="preserve">de determinación de impactos significativos </w:t>
      </w:r>
      <w:r w:rsidR="00012F22" w:rsidRPr="00E64F04">
        <w:rPr>
          <w:rFonts w:cs="Arial"/>
          <w:spacing w:val="-3"/>
          <w:lang w:val="es-CO"/>
        </w:rPr>
        <w:t>completamente, esto es</w:t>
      </w:r>
      <w:r w:rsidRPr="00E64F04">
        <w:rPr>
          <w:rFonts w:cs="Arial"/>
          <w:spacing w:val="-3"/>
          <w:lang w:val="es-CO"/>
        </w:rPr>
        <w:t xml:space="preserve">, </w:t>
      </w:r>
      <w:r w:rsidR="0029397F" w:rsidRPr="00E64F04">
        <w:rPr>
          <w:rFonts w:cs="Arial"/>
          <w:spacing w:val="-3"/>
          <w:lang w:val="es-CO"/>
        </w:rPr>
        <w:t xml:space="preserve">ajustar el método </w:t>
      </w:r>
      <w:r w:rsidR="00647149" w:rsidRPr="00E64F04">
        <w:rPr>
          <w:rFonts w:cs="Arial"/>
          <w:spacing w:val="-3"/>
          <w:lang w:val="es-CO"/>
        </w:rPr>
        <w:t xml:space="preserve">de valoración </w:t>
      </w:r>
      <w:r w:rsidR="0029397F" w:rsidRPr="00E64F04">
        <w:rPr>
          <w:rFonts w:cs="Arial"/>
          <w:spacing w:val="-3"/>
          <w:lang w:val="es-CO"/>
        </w:rPr>
        <w:t>para asegurar que se emplee</w:t>
      </w:r>
      <w:r w:rsidR="005C38B6" w:rsidRPr="00E64F04">
        <w:rPr>
          <w:rFonts w:cs="Arial"/>
          <w:spacing w:val="-3"/>
          <w:lang w:val="es-CO"/>
        </w:rPr>
        <w:t>n</w:t>
      </w:r>
      <w:r w:rsidR="0029397F" w:rsidRPr="00E64F04">
        <w:rPr>
          <w:rFonts w:cs="Arial"/>
          <w:spacing w:val="-3"/>
          <w:lang w:val="es-CO"/>
        </w:rPr>
        <w:t xml:space="preserve"> solamente </w:t>
      </w:r>
      <w:r w:rsidR="005C38B6" w:rsidRPr="00E64F04">
        <w:rPr>
          <w:rFonts w:cs="Arial"/>
          <w:spacing w:val="-3"/>
          <w:lang w:val="es-CO"/>
        </w:rPr>
        <w:t xml:space="preserve">los resultados </w:t>
      </w:r>
      <w:r w:rsidR="00CA0557" w:rsidRPr="00E64F04">
        <w:rPr>
          <w:rFonts w:cs="Arial"/>
          <w:spacing w:val="-3"/>
          <w:lang w:val="es-CO"/>
        </w:rPr>
        <w:t xml:space="preserve">de </w:t>
      </w:r>
      <w:r w:rsidR="0029397F" w:rsidRPr="00E64F04">
        <w:rPr>
          <w:rFonts w:cs="Arial"/>
          <w:spacing w:val="-3"/>
          <w:lang w:val="es-CO"/>
        </w:rPr>
        <w:t xml:space="preserve">atributos y </w:t>
      </w:r>
      <w:r w:rsidR="0029397F" w:rsidRPr="00E64F04">
        <w:rPr>
          <w:rFonts w:cs="Arial"/>
          <w:spacing w:val="-3"/>
          <w:lang w:val="es-CO"/>
        </w:rPr>
        <w:lastRenderedPageBreak/>
        <w:t xml:space="preserve">procedimientos referidos a la significancia de los impactos y, además, aplicar la </w:t>
      </w:r>
      <w:r w:rsidR="005450D1" w:rsidRPr="00E64F04">
        <w:rPr>
          <w:rFonts w:cs="Arial"/>
          <w:spacing w:val="-3"/>
          <w:lang w:val="es-CO"/>
        </w:rPr>
        <w:t>normalización</w:t>
      </w:r>
      <w:r w:rsidR="00DC3374" w:rsidRPr="00E64F04">
        <w:rPr>
          <w:rFonts w:cs="Arial"/>
          <w:spacing w:val="-3"/>
          <w:lang w:val="es-CO"/>
        </w:rPr>
        <w:t>.</w:t>
      </w:r>
      <w:r w:rsidR="005450D1" w:rsidRPr="00E64F04">
        <w:rPr>
          <w:rFonts w:cs="Arial"/>
          <w:spacing w:val="-3"/>
          <w:lang w:val="es-CO"/>
        </w:rPr>
        <w:t xml:space="preserve"> </w:t>
      </w:r>
    </w:p>
    <w:p w14:paraId="68A2960D" w14:textId="77777777" w:rsidR="00BC54B5" w:rsidRPr="00E64F04" w:rsidRDefault="00BC54B5" w:rsidP="00E64F04">
      <w:pPr>
        <w:tabs>
          <w:tab w:val="left" w:pos="-2268"/>
        </w:tabs>
        <w:suppressAutoHyphens/>
        <w:rPr>
          <w:rFonts w:cs="Arial"/>
          <w:spacing w:val="-3"/>
        </w:rPr>
      </w:pPr>
    </w:p>
    <w:p w14:paraId="115A507A" w14:textId="42010F65" w:rsidR="00E63F45" w:rsidRPr="00C31488" w:rsidRDefault="00DC3374" w:rsidP="00E64F04">
      <w:pPr>
        <w:pStyle w:val="Prrafodelista"/>
        <w:numPr>
          <w:ilvl w:val="0"/>
          <w:numId w:val="409"/>
        </w:numPr>
        <w:tabs>
          <w:tab w:val="left" w:pos="-2268"/>
        </w:tabs>
        <w:suppressAutoHyphens/>
        <w:ind w:left="567" w:hanging="567"/>
        <w:rPr>
          <w:rFonts w:cs="Arial"/>
          <w:spacing w:val="-3"/>
        </w:rPr>
      </w:pPr>
      <w:r w:rsidRPr="00E64F04">
        <w:rPr>
          <w:rFonts w:cs="Arial"/>
          <w:spacing w:val="-3"/>
          <w:lang w:val="es-CO"/>
        </w:rPr>
        <w:t>S</w:t>
      </w:r>
      <w:r w:rsidR="005450D1" w:rsidRPr="00E64F04">
        <w:rPr>
          <w:rFonts w:cs="Arial"/>
          <w:spacing w:val="-3"/>
          <w:lang w:val="es-CO"/>
        </w:rPr>
        <w:t xml:space="preserve">i se </w:t>
      </w:r>
      <w:r w:rsidR="00D50D99" w:rsidRPr="00C31488">
        <w:rPr>
          <w:rFonts w:cs="Arial"/>
          <w:spacing w:val="-3"/>
          <w:lang w:val="es-CO"/>
        </w:rPr>
        <w:t>implementó</w:t>
      </w:r>
      <w:r w:rsidR="005450D1" w:rsidRPr="00E64F04">
        <w:rPr>
          <w:rFonts w:cs="Arial"/>
          <w:spacing w:val="-3"/>
          <w:lang w:val="es-CO"/>
        </w:rPr>
        <w:t xml:space="preserve"> </w:t>
      </w:r>
      <w:r w:rsidR="00EE321B" w:rsidRPr="00C31488">
        <w:rPr>
          <w:rFonts w:cs="Arial"/>
          <w:spacing w:val="-3"/>
          <w:lang w:val="es-CO"/>
        </w:rPr>
        <w:t xml:space="preserve">la modalidad </w:t>
      </w:r>
      <w:r w:rsidR="005450D1" w:rsidRPr="00E64F04">
        <w:rPr>
          <w:rFonts w:cs="Arial"/>
          <w:spacing w:val="-3"/>
          <w:lang w:val="es-CO"/>
        </w:rPr>
        <w:t>alternativ</w:t>
      </w:r>
      <w:r w:rsidR="00EE321B" w:rsidRPr="00C31488">
        <w:rPr>
          <w:rFonts w:cs="Arial"/>
          <w:spacing w:val="-3"/>
          <w:lang w:val="es-CO"/>
        </w:rPr>
        <w:t>a</w:t>
      </w:r>
      <w:r w:rsidR="005450D1" w:rsidRPr="00E64F04">
        <w:rPr>
          <w:rFonts w:cs="Arial"/>
          <w:spacing w:val="-3"/>
          <w:lang w:val="es-CO"/>
        </w:rPr>
        <w:t xml:space="preserve"> 2, </w:t>
      </w:r>
      <w:r w:rsidR="006D3CC2" w:rsidRPr="00E64F04">
        <w:rPr>
          <w:rFonts w:cs="Arial"/>
          <w:spacing w:val="-3"/>
          <w:lang w:val="es-CO"/>
        </w:rPr>
        <w:t xml:space="preserve">se debe </w:t>
      </w:r>
      <w:r w:rsidR="00776783" w:rsidRPr="00C31488">
        <w:rPr>
          <w:rFonts w:cs="Arial"/>
          <w:spacing w:val="-3"/>
          <w:lang w:val="es-CO"/>
        </w:rPr>
        <w:t>utilizar</w:t>
      </w:r>
      <w:r w:rsidR="006D3CC2" w:rsidRPr="00E64F04">
        <w:rPr>
          <w:rFonts w:cs="Arial"/>
          <w:spacing w:val="-3"/>
          <w:lang w:val="es-CO"/>
        </w:rPr>
        <w:t xml:space="preserve"> el procedimiento</w:t>
      </w:r>
      <w:r w:rsidR="00BC54B5">
        <w:rPr>
          <w:rFonts w:cs="Arial"/>
          <w:spacing w:val="-3"/>
          <w:lang w:val="es-CO"/>
        </w:rPr>
        <w:t xml:space="preserve"> de </w:t>
      </w:r>
      <w:r w:rsidR="00BC54B5" w:rsidRPr="00883755">
        <w:rPr>
          <w:rFonts w:cs="Arial"/>
          <w:spacing w:val="-3"/>
          <w:lang w:val="es-CO"/>
        </w:rPr>
        <w:t>determinación de impactos significativos</w:t>
      </w:r>
      <w:r w:rsidR="006D3CC2" w:rsidRPr="00E64F04">
        <w:rPr>
          <w:rFonts w:cs="Arial"/>
          <w:spacing w:val="-3"/>
          <w:lang w:val="es-CO"/>
        </w:rPr>
        <w:t xml:space="preserve"> de manera parcial, es decir, </w:t>
      </w:r>
      <w:r w:rsidR="00743B1A" w:rsidRPr="00E64F04">
        <w:rPr>
          <w:rFonts w:cs="Arial"/>
          <w:spacing w:val="-3"/>
          <w:lang w:val="es-CO"/>
        </w:rPr>
        <w:t>normaliza</w:t>
      </w:r>
      <w:r w:rsidRPr="00E64F04">
        <w:rPr>
          <w:rFonts w:cs="Arial"/>
          <w:spacing w:val="-3"/>
          <w:lang w:val="es-CO"/>
        </w:rPr>
        <w:t xml:space="preserve">r </w:t>
      </w:r>
      <w:r w:rsidR="006D3CC2" w:rsidRPr="00E64F04">
        <w:rPr>
          <w:rFonts w:cs="Arial"/>
          <w:spacing w:val="-3"/>
          <w:lang w:val="es-CO"/>
        </w:rPr>
        <w:t xml:space="preserve">los </w:t>
      </w:r>
      <w:r w:rsidR="00743B1A" w:rsidRPr="00E64F04">
        <w:rPr>
          <w:rFonts w:cs="Arial"/>
          <w:spacing w:val="-3"/>
          <w:lang w:val="es-CO"/>
        </w:rPr>
        <w:t>resultados</w:t>
      </w:r>
      <w:r w:rsidR="006D3CC2" w:rsidRPr="00C31488">
        <w:rPr>
          <w:rFonts w:cs="Arial"/>
          <w:spacing w:val="-3"/>
          <w:lang w:val="es-CO"/>
        </w:rPr>
        <w:t xml:space="preserve"> de la </w:t>
      </w:r>
      <w:r w:rsidR="00353138" w:rsidRPr="00C31488">
        <w:rPr>
          <w:rFonts w:cs="Arial"/>
          <w:spacing w:val="-3"/>
          <w:lang w:val="es-CO"/>
        </w:rPr>
        <w:t>valoración de impactos</w:t>
      </w:r>
      <w:r w:rsidR="00743B1A" w:rsidRPr="00C31488">
        <w:rPr>
          <w:rFonts w:cs="Arial"/>
          <w:spacing w:val="-3"/>
          <w:lang w:val="es-CO"/>
        </w:rPr>
        <w:t>.</w:t>
      </w:r>
    </w:p>
    <w:p w14:paraId="14BE8F8F" w14:textId="77777777" w:rsidR="00F42D8E" w:rsidRPr="004068F6" w:rsidRDefault="00F42D8E" w:rsidP="00E63F45">
      <w:pPr>
        <w:numPr>
          <w:ilvl w:val="12"/>
          <w:numId w:val="0"/>
        </w:numPr>
        <w:tabs>
          <w:tab w:val="left" w:pos="-2268"/>
        </w:tabs>
        <w:suppressAutoHyphens/>
        <w:rPr>
          <w:rFonts w:cs="Arial"/>
          <w:spacing w:val="-3"/>
        </w:rPr>
      </w:pPr>
    </w:p>
    <w:p w14:paraId="50CE11F1" w14:textId="624B7C75" w:rsidR="00E63F45" w:rsidRPr="004068F6" w:rsidRDefault="00E63F45" w:rsidP="00E63F45">
      <w:pPr>
        <w:numPr>
          <w:ilvl w:val="12"/>
          <w:numId w:val="0"/>
        </w:numPr>
        <w:tabs>
          <w:tab w:val="left" w:pos="-2268"/>
        </w:tabs>
        <w:suppressAutoHyphens/>
        <w:rPr>
          <w:rFonts w:cs="Arial"/>
          <w:spacing w:val="-3"/>
        </w:rPr>
      </w:pPr>
      <w:r w:rsidRPr="004068F6">
        <w:rPr>
          <w:rFonts w:cs="Arial"/>
          <w:spacing w:val="-3"/>
        </w:rPr>
        <w:t>E</w:t>
      </w:r>
      <w:r w:rsidR="00D92C68">
        <w:rPr>
          <w:rFonts w:cs="Arial"/>
          <w:spacing w:val="-3"/>
        </w:rPr>
        <w:t>l</w:t>
      </w:r>
      <w:r w:rsidRPr="004068F6">
        <w:rPr>
          <w:rFonts w:cs="Arial"/>
          <w:spacing w:val="-3"/>
        </w:rPr>
        <w:t xml:space="preserve"> procedimiento</w:t>
      </w:r>
      <w:r w:rsidR="007F1105">
        <w:rPr>
          <w:rFonts w:cs="Arial"/>
          <w:spacing w:val="-3"/>
        </w:rPr>
        <w:t xml:space="preserve"> </w:t>
      </w:r>
      <w:r w:rsidR="00D92C68">
        <w:rPr>
          <w:rFonts w:cs="Arial"/>
          <w:spacing w:val="-3"/>
        </w:rPr>
        <w:t xml:space="preserve">de determinación de impactos ambientales significativos negativos </w:t>
      </w:r>
      <w:r w:rsidR="00847AD0">
        <w:rPr>
          <w:rFonts w:cs="Arial"/>
          <w:spacing w:val="-3"/>
        </w:rPr>
        <w:t xml:space="preserve">toma como base </w:t>
      </w:r>
      <w:r w:rsidRPr="004068F6">
        <w:rPr>
          <w:rFonts w:cs="Arial"/>
          <w:spacing w:val="-3"/>
        </w:rPr>
        <w:t xml:space="preserve">una valoración de impactos </w:t>
      </w:r>
      <w:r w:rsidR="00905266" w:rsidRPr="004068F6">
        <w:rPr>
          <w:rFonts w:cs="Arial"/>
          <w:i/>
          <w:iCs/>
          <w:spacing w:val="-3"/>
        </w:rPr>
        <w:t xml:space="preserve">orientada a </w:t>
      </w:r>
      <w:r w:rsidRPr="004068F6">
        <w:rPr>
          <w:rFonts w:cs="Arial"/>
          <w:i/>
          <w:iCs/>
          <w:spacing w:val="-3"/>
        </w:rPr>
        <w:t>la determinación de impactos significativos</w:t>
      </w:r>
      <w:r w:rsidR="008D4AE1">
        <w:rPr>
          <w:rFonts w:cs="Arial"/>
          <w:spacing w:val="-3"/>
        </w:rPr>
        <w:t>;</w:t>
      </w:r>
      <w:r w:rsidRPr="004068F6">
        <w:rPr>
          <w:rFonts w:cs="Arial"/>
          <w:spacing w:val="-3"/>
        </w:rPr>
        <w:t xml:space="preserve"> </w:t>
      </w:r>
      <w:r w:rsidR="008D4AE1">
        <w:rPr>
          <w:rFonts w:cs="Arial"/>
          <w:spacing w:val="-3"/>
        </w:rPr>
        <w:t xml:space="preserve">es decir, una </w:t>
      </w:r>
      <w:r w:rsidRPr="004068F6">
        <w:rPr>
          <w:rFonts w:cs="Arial"/>
          <w:spacing w:val="-3"/>
        </w:rPr>
        <w:t>valoración</w:t>
      </w:r>
      <w:r w:rsidR="008D4AE1">
        <w:rPr>
          <w:rFonts w:cs="Arial"/>
          <w:spacing w:val="-3"/>
        </w:rPr>
        <w:t xml:space="preserve"> que </w:t>
      </w:r>
      <w:r w:rsidRPr="004068F6">
        <w:rPr>
          <w:rFonts w:cs="Arial"/>
          <w:spacing w:val="-3"/>
        </w:rPr>
        <w:t>emple</w:t>
      </w:r>
      <w:r w:rsidR="00817B41">
        <w:rPr>
          <w:rFonts w:cs="Arial"/>
          <w:spacing w:val="-3"/>
        </w:rPr>
        <w:t>a</w:t>
      </w:r>
      <w:r w:rsidRPr="004068F6">
        <w:rPr>
          <w:rFonts w:cs="Arial"/>
          <w:spacing w:val="-3"/>
        </w:rPr>
        <w:t xml:space="preserve"> </w:t>
      </w:r>
      <w:r w:rsidR="007E3B9F" w:rsidRPr="004068F6">
        <w:rPr>
          <w:rFonts w:cs="Arial"/>
          <w:spacing w:val="-3"/>
        </w:rPr>
        <w:t xml:space="preserve">únicamente </w:t>
      </w:r>
      <w:r w:rsidRPr="004068F6">
        <w:rPr>
          <w:rFonts w:cs="Arial"/>
          <w:spacing w:val="-3"/>
        </w:rPr>
        <w:t xml:space="preserve">atributos </w:t>
      </w:r>
      <w:r w:rsidR="00C652A2" w:rsidRPr="004068F6">
        <w:rPr>
          <w:rFonts w:cs="Arial"/>
          <w:spacing w:val="-3"/>
        </w:rPr>
        <w:t xml:space="preserve">o procedimientos </w:t>
      </w:r>
      <w:r w:rsidRPr="004068F6">
        <w:rPr>
          <w:rFonts w:cs="Arial"/>
          <w:spacing w:val="-3"/>
        </w:rPr>
        <w:t xml:space="preserve">que </w:t>
      </w:r>
      <w:r w:rsidR="00C652A2" w:rsidRPr="004068F6">
        <w:rPr>
          <w:rFonts w:cs="Arial"/>
          <w:spacing w:val="-3"/>
        </w:rPr>
        <w:t>d</w:t>
      </w:r>
      <w:r w:rsidR="00C33369">
        <w:rPr>
          <w:rFonts w:cs="Arial"/>
          <w:spacing w:val="-3"/>
        </w:rPr>
        <w:t>a</w:t>
      </w:r>
      <w:r w:rsidR="00C652A2" w:rsidRPr="004068F6">
        <w:rPr>
          <w:rFonts w:cs="Arial"/>
          <w:spacing w:val="-3"/>
        </w:rPr>
        <w:t xml:space="preserve">n cuenta, </w:t>
      </w:r>
      <w:r w:rsidRPr="004068F6">
        <w:rPr>
          <w:rFonts w:cs="Arial"/>
          <w:spacing w:val="-3"/>
        </w:rPr>
        <w:t>directamente</w:t>
      </w:r>
      <w:r w:rsidR="00C652A2" w:rsidRPr="004068F6">
        <w:rPr>
          <w:rFonts w:cs="Arial"/>
          <w:spacing w:val="-3"/>
        </w:rPr>
        <w:t>,</w:t>
      </w:r>
      <w:r w:rsidRPr="004068F6">
        <w:rPr>
          <w:rFonts w:cs="Arial"/>
          <w:spacing w:val="-3"/>
        </w:rPr>
        <w:t xml:space="preserve"> </w:t>
      </w:r>
      <w:r w:rsidR="00C652A2" w:rsidRPr="004068F6">
        <w:rPr>
          <w:rFonts w:cs="Arial"/>
          <w:spacing w:val="-3"/>
        </w:rPr>
        <w:t>d</w:t>
      </w:r>
      <w:r w:rsidRPr="004068F6">
        <w:rPr>
          <w:rFonts w:cs="Arial"/>
          <w:spacing w:val="-3"/>
        </w:rPr>
        <w:t>el grado con el que los impactos pueden modificar las condiciones ambientales</w:t>
      </w:r>
      <w:r w:rsidR="0047788A">
        <w:rPr>
          <w:rFonts w:cs="Arial"/>
          <w:spacing w:val="-3"/>
        </w:rPr>
        <w:t>. P</w:t>
      </w:r>
      <w:r w:rsidRPr="004068F6">
        <w:rPr>
          <w:rFonts w:cs="Arial"/>
          <w:spacing w:val="-3"/>
        </w:rPr>
        <w:t>or tal motivo, no admite el uso de los siguientes tipos de atributos</w:t>
      </w:r>
      <w:r w:rsidR="00C41F17">
        <w:rPr>
          <w:rFonts w:cs="Arial"/>
          <w:spacing w:val="-3"/>
        </w:rPr>
        <w:t xml:space="preserve"> o procedimientos</w:t>
      </w:r>
      <w:r w:rsidRPr="004068F6">
        <w:rPr>
          <w:rFonts w:cs="Arial"/>
          <w:spacing w:val="-3"/>
        </w:rPr>
        <w:t xml:space="preserve"> de valoración:</w:t>
      </w:r>
    </w:p>
    <w:p w14:paraId="0C93182E" w14:textId="77777777" w:rsidR="00E63F45" w:rsidRPr="004068F6" w:rsidRDefault="00E63F45" w:rsidP="00E63F45">
      <w:pPr>
        <w:numPr>
          <w:ilvl w:val="12"/>
          <w:numId w:val="0"/>
        </w:numPr>
        <w:tabs>
          <w:tab w:val="left" w:pos="-2268"/>
        </w:tabs>
        <w:suppressAutoHyphens/>
        <w:rPr>
          <w:rFonts w:cs="Arial"/>
          <w:spacing w:val="-3"/>
        </w:rPr>
      </w:pPr>
    </w:p>
    <w:p w14:paraId="02135716" w14:textId="3B8504DC" w:rsidR="00E63F45" w:rsidRPr="004068F6" w:rsidRDefault="00E63F45" w:rsidP="00E63F45">
      <w:pPr>
        <w:pStyle w:val="Prrafodelista"/>
        <w:numPr>
          <w:ilvl w:val="0"/>
          <w:numId w:val="409"/>
        </w:numPr>
        <w:tabs>
          <w:tab w:val="left" w:pos="-2268"/>
        </w:tabs>
        <w:suppressAutoHyphens/>
        <w:ind w:left="567" w:hanging="567"/>
        <w:rPr>
          <w:rFonts w:cs="Arial"/>
          <w:spacing w:val="-3"/>
          <w:lang w:val="es-CO"/>
        </w:rPr>
      </w:pPr>
      <w:r w:rsidRPr="004068F6">
        <w:rPr>
          <w:rFonts w:cs="Arial"/>
          <w:spacing w:val="-3"/>
          <w:lang w:val="es-CO"/>
        </w:rPr>
        <w:t>Relativos a la probabilidad de ocurrencia (p. ej. posibilidad de ocurrencia, presencia).</w:t>
      </w:r>
    </w:p>
    <w:p w14:paraId="3B008736" w14:textId="77777777" w:rsidR="00E63F45" w:rsidRPr="004068F6" w:rsidRDefault="00E63F45" w:rsidP="00E63F45">
      <w:pPr>
        <w:numPr>
          <w:ilvl w:val="12"/>
          <w:numId w:val="0"/>
        </w:numPr>
        <w:tabs>
          <w:tab w:val="left" w:pos="-2268"/>
        </w:tabs>
        <w:suppressAutoHyphens/>
        <w:ind w:left="567" w:hanging="567"/>
        <w:rPr>
          <w:rFonts w:cs="Arial"/>
          <w:spacing w:val="-3"/>
        </w:rPr>
      </w:pPr>
    </w:p>
    <w:p w14:paraId="1E500082" w14:textId="79184981" w:rsidR="00E63F45" w:rsidRPr="004068F6" w:rsidRDefault="00E63F45" w:rsidP="00E63F45">
      <w:pPr>
        <w:pStyle w:val="Prrafodelista"/>
        <w:numPr>
          <w:ilvl w:val="0"/>
          <w:numId w:val="409"/>
        </w:numPr>
        <w:tabs>
          <w:tab w:val="left" w:pos="-2268"/>
        </w:tabs>
        <w:suppressAutoHyphens/>
        <w:ind w:left="567" w:hanging="567"/>
        <w:rPr>
          <w:rFonts w:cs="Arial"/>
          <w:spacing w:val="-3"/>
          <w:lang w:val="es-CO"/>
        </w:rPr>
      </w:pPr>
      <w:r w:rsidRPr="004068F6">
        <w:rPr>
          <w:rFonts w:cs="Arial"/>
          <w:spacing w:val="-3"/>
          <w:lang w:val="es-CO"/>
        </w:rPr>
        <w:t>Relativos a la posibilidad de restauración o de recuperación del impacto mediante actividades humanas (p. ej. recuperabilidad).</w:t>
      </w:r>
    </w:p>
    <w:p w14:paraId="7E303631" w14:textId="77777777" w:rsidR="00E63F45" w:rsidRPr="004068F6" w:rsidRDefault="00E63F45" w:rsidP="00E63F45">
      <w:pPr>
        <w:numPr>
          <w:ilvl w:val="12"/>
          <w:numId w:val="0"/>
        </w:numPr>
        <w:tabs>
          <w:tab w:val="left" w:pos="-2268"/>
        </w:tabs>
        <w:suppressAutoHyphens/>
        <w:ind w:left="567" w:hanging="567"/>
        <w:rPr>
          <w:rFonts w:cs="Arial"/>
          <w:spacing w:val="-3"/>
        </w:rPr>
      </w:pPr>
    </w:p>
    <w:p w14:paraId="1A9BF422" w14:textId="33C8D50C" w:rsidR="00E63F45" w:rsidRPr="004068F6" w:rsidRDefault="00E63F45" w:rsidP="00E63F45">
      <w:pPr>
        <w:pStyle w:val="Prrafodelista"/>
        <w:numPr>
          <w:ilvl w:val="0"/>
          <w:numId w:val="409"/>
        </w:numPr>
        <w:tabs>
          <w:tab w:val="left" w:pos="-2268"/>
        </w:tabs>
        <w:suppressAutoHyphens/>
        <w:ind w:left="567" w:hanging="567"/>
        <w:rPr>
          <w:rFonts w:cs="Arial"/>
          <w:spacing w:val="-3"/>
          <w:lang w:val="es-CO"/>
        </w:rPr>
      </w:pPr>
      <w:r w:rsidRPr="004068F6">
        <w:rPr>
          <w:rFonts w:cs="Arial"/>
          <w:spacing w:val="-3"/>
          <w:lang w:val="es-CO"/>
        </w:rPr>
        <w:t>Que adjudiquen per se, un grado de capacidad de modificar el ambiente de acuerdo con el periodo de tiempo en el que tardan en manifestarse los impactos (p. ej. momento, evolución).</w:t>
      </w:r>
    </w:p>
    <w:p w14:paraId="6BF1796A" w14:textId="77777777" w:rsidR="00E63F45" w:rsidRPr="004068F6" w:rsidRDefault="00E63F45" w:rsidP="00E63F45">
      <w:pPr>
        <w:numPr>
          <w:ilvl w:val="12"/>
          <w:numId w:val="0"/>
        </w:numPr>
        <w:tabs>
          <w:tab w:val="left" w:pos="-2268"/>
        </w:tabs>
        <w:suppressAutoHyphens/>
        <w:ind w:left="567" w:hanging="567"/>
        <w:rPr>
          <w:rFonts w:cs="Arial"/>
          <w:spacing w:val="-3"/>
        </w:rPr>
      </w:pPr>
    </w:p>
    <w:p w14:paraId="29CBD923" w14:textId="3AA1F883" w:rsidR="00E63F45" w:rsidRPr="004068F6" w:rsidRDefault="00E63F45" w:rsidP="00E63F45">
      <w:pPr>
        <w:pStyle w:val="Prrafodelista"/>
        <w:numPr>
          <w:ilvl w:val="0"/>
          <w:numId w:val="409"/>
        </w:numPr>
        <w:tabs>
          <w:tab w:val="left" w:pos="-2268"/>
        </w:tabs>
        <w:suppressAutoHyphens/>
        <w:ind w:left="567" w:hanging="567"/>
        <w:rPr>
          <w:rFonts w:cs="Arial"/>
          <w:spacing w:val="-3"/>
          <w:lang w:val="es-CO"/>
        </w:rPr>
      </w:pPr>
      <w:r w:rsidRPr="004068F6">
        <w:rPr>
          <w:rFonts w:cs="Arial"/>
          <w:spacing w:val="-3"/>
          <w:lang w:val="es-CO"/>
        </w:rPr>
        <w:t>Que adjudiquen per se, un grado de capacidad de modificar el ambiente a impactos ambientales directos e indirectos (p. ej. efecto).</w:t>
      </w:r>
    </w:p>
    <w:p w14:paraId="0C55D07C" w14:textId="77777777" w:rsidR="00E63F45" w:rsidRPr="004068F6" w:rsidRDefault="00E63F45" w:rsidP="00E63F45">
      <w:pPr>
        <w:numPr>
          <w:ilvl w:val="12"/>
          <w:numId w:val="0"/>
        </w:numPr>
        <w:tabs>
          <w:tab w:val="left" w:pos="-2268"/>
        </w:tabs>
        <w:suppressAutoHyphens/>
        <w:rPr>
          <w:rFonts w:cs="Arial"/>
          <w:spacing w:val="-3"/>
        </w:rPr>
      </w:pPr>
    </w:p>
    <w:p w14:paraId="532BE46F" w14:textId="04F29276" w:rsidR="00E63F45" w:rsidRPr="004068F6" w:rsidRDefault="00E63F45" w:rsidP="00E63F45">
      <w:pPr>
        <w:numPr>
          <w:ilvl w:val="12"/>
          <w:numId w:val="0"/>
        </w:numPr>
        <w:tabs>
          <w:tab w:val="left" w:pos="-2268"/>
        </w:tabs>
        <w:suppressAutoHyphens/>
        <w:rPr>
          <w:rFonts w:cs="Arial"/>
          <w:spacing w:val="-3"/>
        </w:rPr>
      </w:pPr>
      <w:r w:rsidRPr="004068F6">
        <w:rPr>
          <w:rFonts w:cs="Arial"/>
          <w:spacing w:val="-3"/>
        </w:rPr>
        <w:t xml:space="preserve">De acuerdo con esta condición, </w:t>
      </w:r>
      <w:r w:rsidRPr="00127BD4">
        <w:rPr>
          <w:rFonts w:cs="Arial"/>
          <w:i/>
          <w:iCs/>
          <w:spacing w:val="-3"/>
        </w:rPr>
        <w:t xml:space="preserve">y si </w:t>
      </w:r>
      <w:r w:rsidR="006457AB">
        <w:rPr>
          <w:rFonts w:cs="Arial"/>
          <w:i/>
          <w:iCs/>
          <w:spacing w:val="-3"/>
        </w:rPr>
        <w:t xml:space="preserve">se utilizó </w:t>
      </w:r>
      <w:r w:rsidR="00AE20E0">
        <w:rPr>
          <w:rFonts w:cs="Arial"/>
          <w:i/>
          <w:iCs/>
          <w:spacing w:val="-3"/>
        </w:rPr>
        <w:t>l</w:t>
      </w:r>
      <w:r w:rsidR="009B3916">
        <w:rPr>
          <w:rFonts w:cs="Arial"/>
          <w:i/>
          <w:iCs/>
          <w:spacing w:val="-3"/>
        </w:rPr>
        <w:t>a</w:t>
      </w:r>
      <w:r w:rsidR="00AE20E0">
        <w:rPr>
          <w:rFonts w:cs="Arial"/>
          <w:i/>
          <w:iCs/>
          <w:spacing w:val="-3"/>
        </w:rPr>
        <w:t xml:space="preserve"> </w:t>
      </w:r>
      <w:r w:rsidR="009B3916">
        <w:rPr>
          <w:rFonts w:cs="Arial"/>
          <w:i/>
          <w:iCs/>
          <w:spacing w:val="-3"/>
        </w:rPr>
        <w:t xml:space="preserve">modalidad </w:t>
      </w:r>
      <w:r w:rsidR="00AE20E0">
        <w:rPr>
          <w:rFonts w:cs="Arial"/>
          <w:i/>
          <w:iCs/>
          <w:spacing w:val="-3"/>
        </w:rPr>
        <w:t>alternativ</w:t>
      </w:r>
      <w:r w:rsidR="009B3916">
        <w:rPr>
          <w:rFonts w:cs="Arial"/>
          <w:i/>
          <w:iCs/>
          <w:spacing w:val="-3"/>
        </w:rPr>
        <w:t>a</w:t>
      </w:r>
      <w:r w:rsidR="00AE20E0">
        <w:rPr>
          <w:rFonts w:cs="Arial"/>
          <w:i/>
          <w:iCs/>
          <w:spacing w:val="-3"/>
        </w:rPr>
        <w:t xml:space="preserve"> 1</w:t>
      </w:r>
      <w:r w:rsidRPr="004068F6">
        <w:rPr>
          <w:rFonts w:cs="Arial"/>
          <w:spacing w:val="-3"/>
        </w:rPr>
        <w:t xml:space="preserve">, </w:t>
      </w:r>
      <w:r w:rsidR="00604B9E" w:rsidRPr="004068F6">
        <w:rPr>
          <w:rFonts w:cs="Arial"/>
          <w:spacing w:val="-3"/>
        </w:rPr>
        <w:t xml:space="preserve">se debe modificar </w:t>
      </w:r>
      <w:r w:rsidR="006E787B" w:rsidRPr="004068F6">
        <w:rPr>
          <w:rFonts w:cs="Arial"/>
          <w:spacing w:val="-3"/>
        </w:rPr>
        <w:t xml:space="preserve">el método de valoración </w:t>
      </w:r>
      <w:r w:rsidR="009A6E5C" w:rsidRPr="004068F6">
        <w:rPr>
          <w:rFonts w:cs="Arial"/>
          <w:spacing w:val="-3"/>
        </w:rPr>
        <w:t xml:space="preserve">empleado </w:t>
      </w:r>
      <w:r w:rsidR="006E787B" w:rsidRPr="004068F6">
        <w:rPr>
          <w:rFonts w:cs="Arial"/>
          <w:spacing w:val="-3"/>
        </w:rPr>
        <w:t xml:space="preserve">en la evaluación de los escenarios sin y con proyecto </w:t>
      </w:r>
      <w:r w:rsidRPr="004068F6">
        <w:rPr>
          <w:rFonts w:cs="Arial"/>
          <w:spacing w:val="-3"/>
        </w:rPr>
        <w:t xml:space="preserve">para asegurar que no incorpore </w:t>
      </w:r>
      <w:r w:rsidR="00DE5F28" w:rsidRPr="004068F6">
        <w:rPr>
          <w:rFonts w:cs="Arial"/>
          <w:spacing w:val="-3"/>
        </w:rPr>
        <w:t xml:space="preserve">los </w:t>
      </w:r>
      <w:r w:rsidRPr="004068F6">
        <w:rPr>
          <w:rFonts w:cs="Arial"/>
          <w:spacing w:val="-3"/>
        </w:rPr>
        <w:t>tipos de atributos</w:t>
      </w:r>
      <w:r w:rsidR="00DE5F28" w:rsidRPr="004068F6">
        <w:rPr>
          <w:rFonts w:cs="Arial"/>
          <w:spacing w:val="-3"/>
        </w:rPr>
        <w:t xml:space="preserve"> antes mencionados</w:t>
      </w:r>
      <w:r w:rsidR="00D83A0A" w:rsidRPr="00127BD4">
        <w:rPr>
          <w:rStyle w:val="Refdenotaalpie"/>
          <w:rFonts w:cs="Arial"/>
          <w:spacing w:val="-3"/>
          <w:lang w:val="es-CO"/>
        </w:rPr>
        <w:footnoteReference w:id="223"/>
      </w:r>
      <w:r w:rsidR="006C5584" w:rsidRPr="004068F6">
        <w:rPr>
          <w:rFonts w:cs="Arial"/>
          <w:spacing w:val="-3"/>
        </w:rPr>
        <w:t xml:space="preserve"> </w:t>
      </w:r>
      <w:r w:rsidRPr="004068F6">
        <w:rPr>
          <w:rFonts w:cs="Arial"/>
          <w:spacing w:val="-3"/>
        </w:rPr>
        <w:t xml:space="preserve">y para que las relaciones matemáticas, ponderaciones y demás procedimientos de valoración, </w:t>
      </w:r>
      <w:r w:rsidR="00D037E1" w:rsidRPr="004068F6">
        <w:rPr>
          <w:rFonts w:cs="Arial"/>
          <w:spacing w:val="-3"/>
        </w:rPr>
        <w:t>reflejen la sig</w:t>
      </w:r>
      <w:r w:rsidR="009A0B6B" w:rsidRPr="004068F6">
        <w:rPr>
          <w:rFonts w:cs="Arial"/>
          <w:spacing w:val="-3"/>
        </w:rPr>
        <w:t>ni</w:t>
      </w:r>
      <w:r w:rsidR="00D037E1" w:rsidRPr="004068F6">
        <w:rPr>
          <w:rFonts w:cs="Arial"/>
          <w:spacing w:val="-3"/>
        </w:rPr>
        <w:t>ficancia de los impactos de forma lógica y razonable</w:t>
      </w:r>
      <w:r w:rsidR="009A0B6B" w:rsidRPr="004068F6">
        <w:rPr>
          <w:rFonts w:cs="Arial"/>
          <w:spacing w:val="-3"/>
        </w:rPr>
        <w:t>, así como para que</w:t>
      </w:r>
      <w:r w:rsidR="00D037E1" w:rsidRPr="004068F6">
        <w:rPr>
          <w:rFonts w:cs="Arial"/>
          <w:spacing w:val="-3"/>
        </w:rPr>
        <w:t xml:space="preserve"> </w:t>
      </w:r>
      <w:r w:rsidRPr="004068F6">
        <w:rPr>
          <w:rFonts w:cs="Arial"/>
          <w:spacing w:val="-3"/>
        </w:rPr>
        <w:t>se adecúen a la cantidad total de atributos finalmente seleccionados</w:t>
      </w:r>
      <w:r w:rsidR="003F6959" w:rsidRPr="004068F6">
        <w:rPr>
          <w:rFonts w:cs="Arial"/>
          <w:spacing w:val="-3"/>
        </w:rPr>
        <w:t xml:space="preserve"> y </w:t>
      </w:r>
      <w:r w:rsidRPr="004068F6">
        <w:rPr>
          <w:rFonts w:cs="Arial"/>
          <w:spacing w:val="-3"/>
        </w:rPr>
        <w:t>al rango de valores que pueden tomar los impactos</w:t>
      </w:r>
      <w:r w:rsidR="00AC7064" w:rsidRPr="00127BD4">
        <w:rPr>
          <w:rStyle w:val="Refdenotaalpie"/>
          <w:rFonts w:cs="Arial"/>
          <w:spacing w:val="-3"/>
          <w:lang w:val="es-CO"/>
        </w:rPr>
        <w:footnoteReference w:id="224"/>
      </w:r>
      <w:r w:rsidR="005379E6" w:rsidRPr="004068F6">
        <w:rPr>
          <w:rFonts w:cs="Arial"/>
          <w:spacing w:val="-3"/>
        </w:rPr>
        <w:t>.</w:t>
      </w:r>
    </w:p>
    <w:p w14:paraId="589AFAE5" w14:textId="77777777" w:rsidR="006C5584" w:rsidRPr="004068F6" w:rsidRDefault="006C5584" w:rsidP="00E63F45">
      <w:pPr>
        <w:numPr>
          <w:ilvl w:val="12"/>
          <w:numId w:val="0"/>
        </w:numPr>
        <w:tabs>
          <w:tab w:val="left" w:pos="-2268"/>
        </w:tabs>
        <w:suppressAutoHyphens/>
        <w:rPr>
          <w:rFonts w:cs="Arial"/>
          <w:spacing w:val="-3"/>
        </w:rPr>
      </w:pPr>
    </w:p>
    <w:p w14:paraId="29D240B4" w14:textId="35ACB04C" w:rsidR="00E63F45" w:rsidRPr="004068F6" w:rsidRDefault="00E63F45" w:rsidP="00E63F45">
      <w:pPr>
        <w:numPr>
          <w:ilvl w:val="12"/>
          <w:numId w:val="0"/>
        </w:numPr>
        <w:tabs>
          <w:tab w:val="left" w:pos="-2268"/>
        </w:tabs>
        <w:suppressAutoHyphens/>
        <w:rPr>
          <w:rFonts w:cs="Arial"/>
          <w:spacing w:val="-3"/>
        </w:rPr>
      </w:pPr>
      <w:r w:rsidRPr="004068F6">
        <w:rPr>
          <w:rFonts w:cs="Arial"/>
          <w:spacing w:val="-3"/>
        </w:rPr>
        <w:t>Luego de valor</w:t>
      </w:r>
      <w:r w:rsidR="005F56B7" w:rsidRPr="004068F6">
        <w:rPr>
          <w:rFonts w:cs="Arial"/>
          <w:spacing w:val="-3"/>
        </w:rPr>
        <w:t xml:space="preserve">ar </w:t>
      </w:r>
      <w:r w:rsidRPr="004068F6">
        <w:rPr>
          <w:rFonts w:cs="Arial"/>
          <w:spacing w:val="-3"/>
        </w:rPr>
        <w:t>cada uno de los impactos ambientales de carácter negativo</w:t>
      </w:r>
      <w:r w:rsidR="005F56B7" w:rsidRPr="004068F6">
        <w:rPr>
          <w:rFonts w:cs="Arial"/>
          <w:spacing w:val="-3"/>
        </w:rPr>
        <w:t xml:space="preserve"> mediante un método que </w:t>
      </w:r>
      <w:r w:rsidR="00523566" w:rsidRPr="004068F6">
        <w:rPr>
          <w:rFonts w:cs="Arial"/>
          <w:spacing w:val="-3"/>
        </w:rPr>
        <w:t xml:space="preserve">emplee </w:t>
      </w:r>
      <w:r w:rsidR="005F56B7" w:rsidRPr="004068F6">
        <w:rPr>
          <w:rFonts w:cs="Arial"/>
          <w:spacing w:val="-3"/>
        </w:rPr>
        <w:t xml:space="preserve">atributos </w:t>
      </w:r>
      <w:r w:rsidR="009F5D75" w:rsidRPr="004068F6">
        <w:rPr>
          <w:rFonts w:cs="Arial"/>
          <w:spacing w:val="-3"/>
        </w:rPr>
        <w:t xml:space="preserve">o procedimientos </w:t>
      </w:r>
      <w:r w:rsidR="00905E53" w:rsidRPr="004068F6">
        <w:rPr>
          <w:rFonts w:cs="Arial"/>
          <w:spacing w:val="-3"/>
        </w:rPr>
        <w:t xml:space="preserve">referidos </w:t>
      </w:r>
      <w:r w:rsidR="003C37AA" w:rsidRPr="004068F6">
        <w:rPr>
          <w:rFonts w:cs="Arial"/>
          <w:spacing w:val="-3"/>
        </w:rPr>
        <w:t>directamente</w:t>
      </w:r>
      <w:r w:rsidR="009F5D75" w:rsidRPr="004068F6">
        <w:rPr>
          <w:rFonts w:cs="Arial"/>
          <w:spacing w:val="-3"/>
        </w:rPr>
        <w:t xml:space="preserve"> </w:t>
      </w:r>
      <w:r w:rsidR="00905E53" w:rsidRPr="004068F6">
        <w:rPr>
          <w:rFonts w:cs="Arial"/>
          <w:spacing w:val="-3"/>
        </w:rPr>
        <w:t>a la significancia de los impactos</w:t>
      </w:r>
      <w:r w:rsidRPr="004068F6">
        <w:rPr>
          <w:rFonts w:cs="Arial"/>
          <w:spacing w:val="-3"/>
        </w:rPr>
        <w:t xml:space="preserve">, es necesario normalizar </w:t>
      </w:r>
      <w:r w:rsidR="00905E53" w:rsidRPr="004068F6">
        <w:rPr>
          <w:rFonts w:cs="Arial"/>
          <w:spacing w:val="-3"/>
        </w:rPr>
        <w:t xml:space="preserve">sus </w:t>
      </w:r>
      <w:r w:rsidRPr="004068F6">
        <w:rPr>
          <w:rFonts w:cs="Arial"/>
          <w:spacing w:val="-3"/>
        </w:rPr>
        <w:t>resultados utilizando la siguiente relación matemática:</w:t>
      </w:r>
    </w:p>
    <w:p w14:paraId="0208F676" w14:textId="77777777" w:rsidR="00E63F45" w:rsidRPr="004068F6" w:rsidRDefault="00E63F45" w:rsidP="00E63F45">
      <w:pPr>
        <w:numPr>
          <w:ilvl w:val="12"/>
          <w:numId w:val="0"/>
        </w:numPr>
        <w:tabs>
          <w:tab w:val="left" w:pos="-2268"/>
        </w:tabs>
        <w:suppressAutoHyphens/>
        <w:rPr>
          <w:rFonts w:cs="Arial"/>
          <w:spacing w:val="-3"/>
        </w:rPr>
      </w:pPr>
    </w:p>
    <w:p w14:paraId="2CE3C1C5" w14:textId="77777777" w:rsidR="00E63F45" w:rsidRPr="004068F6" w:rsidRDefault="00000000" w:rsidP="00E63F45">
      <w:pPr>
        <w:numPr>
          <w:ilvl w:val="12"/>
          <w:numId w:val="0"/>
        </w:numPr>
        <w:tabs>
          <w:tab w:val="left" w:pos="-2268"/>
        </w:tabs>
        <w:suppressAutoHyphens/>
        <w:rPr>
          <w:rFonts w:cs="Arial"/>
          <w:spacing w:val="-3"/>
        </w:rPr>
      </w:pPr>
      <m:oMathPara>
        <m:oMathParaPr>
          <m:jc m:val="centerGroup"/>
        </m:oMathParaPr>
        <m:oMath>
          <m:sSub>
            <m:sSubPr>
              <m:ctrlPr>
                <w:rPr>
                  <w:rFonts w:ascii="Cambria Math" w:hAnsi="Cambria Math" w:cs="Arial"/>
                  <w:i/>
                  <w:iCs/>
                  <w:spacing w:val="-3"/>
                </w:rPr>
              </m:ctrlPr>
            </m:sSubPr>
            <m:e>
              <m:r>
                <w:rPr>
                  <w:rFonts w:ascii="Cambria Math" w:hAnsi="Cambria Math" w:cs="Arial"/>
                  <w:spacing w:val="-3"/>
                </w:rPr>
                <m:t>PNM</m:t>
              </m:r>
            </m:e>
            <m:sub>
              <m:r>
                <w:rPr>
                  <w:rFonts w:ascii="Cambria Math" w:hAnsi="Cambria Math" w:cs="Arial"/>
                  <w:spacing w:val="-3"/>
                </w:rPr>
                <m:t>i</m:t>
              </m:r>
            </m:sub>
          </m:sSub>
          <m:r>
            <w:rPr>
              <w:rFonts w:ascii="Cambria Math" w:hAnsi="Cambria Math" w:cs="Arial"/>
              <w:spacing w:val="-3"/>
            </w:rPr>
            <m:t>=</m:t>
          </m:r>
          <m:d>
            <m:dPr>
              <m:ctrlPr>
                <w:rPr>
                  <w:rFonts w:ascii="Cambria Math" w:hAnsi="Cambria Math" w:cs="Arial"/>
                  <w:i/>
                  <w:iCs/>
                  <w:spacing w:val="-3"/>
                </w:rPr>
              </m:ctrlPr>
            </m:dPr>
            <m:e>
              <m:f>
                <m:fPr>
                  <m:ctrlPr>
                    <w:rPr>
                      <w:rFonts w:ascii="Cambria Math" w:hAnsi="Cambria Math" w:cs="Arial"/>
                      <w:i/>
                      <w:iCs/>
                      <w:spacing w:val="-3"/>
                    </w:rPr>
                  </m:ctrlPr>
                </m:fPr>
                <m:num>
                  <m:sSub>
                    <m:sSubPr>
                      <m:ctrlPr>
                        <w:rPr>
                          <w:rFonts w:ascii="Cambria Math" w:hAnsi="Cambria Math" w:cs="Arial"/>
                          <w:i/>
                          <w:iCs/>
                          <w:spacing w:val="-3"/>
                        </w:rPr>
                      </m:ctrlPr>
                    </m:sSubPr>
                    <m:e>
                      <m:r>
                        <w:rPr>
                          <w:rFonts w:ascii="Cambria Math" w:hAnsi="Cambria Math" w:cs="Arial"/>
                          <w:spacing w:val="-3"/>
                        </w:rPr>
                        <m:t>C</m:t>
                      </m:r>
                    </m:e>
                    <m:sub>
                      <m:r>
                        <w:rPr>
                          <w:rFonts w:ascii="Cambria Math" w:hAnsi="Cambria Math" w:cs="Arial"/>
                          <w:spacing w:val="-3"/>
                        </w:rPr>
                        <m:t>i</m:t>
                      </m:r>
                    </m:sub>
                  </m:sSub>
                  <m:r>
                    <w:rPr>
                      <w:rFonts w:ascii="Cambria Math" w:hAnsi="Cambria Math" w:cs="Arial"/>
                      <w:spacing w:val="-3"/>
                    </w:rPr>
                    <m:t>-Cmin</m:t>
                  </m:r>
                </m:num>
                <m:den>
                  <m:r>
                    <w:rPr>
                      <w:rFonts w:ascii="Cambria Math" w:hAnsi="Cambria Math" w:cs="Arial"/>
                      <w:spacing w:val="-3"/>
                    </w:rPr>
                    <m:t>Cmax-Cmin </m:t>
                  </m:r>
                </m:den>
              </m:f>
            </m:e>
          </m:d>
          <m:r>
            <w:rPr>
              <w:rFonts w:ascii="Cambria Math" w:hAnsi="Cambria Math" w:cs="Arial"/>
              <w:spacing w:val="-3"/>
            </w:rPr>
            <m:t>X 100</m:t>
          </m:r>
        </m:oMath>
      </m:oMathPara>
    </w:p>
    <w:p w14:paraId="388D5F30" w14:textId="77777777" w:rsidR="00E63F45" w:rsidRPr="004068F6" w:rsidRDefault="00E63F45" w:rsidP="00E63F45">
      <w:pPr>
        <w:numPr>
          <w:ilvl w:val="12"/>
          <w:numId w:val="0"/>
        </w:numPr>
        <w:tabs>
          <w:tab w:val="left" w:pos="-2268"/>
        </w:tabs>
        <w:suppressAutoHyphens/>
        <w:rPr>
          <w:rFonts w:cs="Arial"/>
          <w:i/>
          <w:iCs/>
          <w:spacing w:val="-3"/>
        </w:rPr>
      </w:pPr>
    </w:p>
    <w:p w14:paraId="22897CE5" w14:textId="77777777" w:rsidR="00E63F45" w:rsidRPr="004068F6" w:rsidRDefault="00E63F45" w:rsidP="00E63F45">
      <w:pPr>
        <w:numPr>
          <w:ilvl w:val="12"/>
          <w:numId w:val="0"/>
        </w:numPr>
        <w:tabs>
          <w:tab w:val="left" w:pos="-2268"/>
        </w:tabs>
        <w:suppressAutoHyphens/>
        <w:rPr>
          <w:rFonts w:cs="Arial"/>
          <w:i/>
          <w:iCs/>
          <w:spacing w:val="-3"/>
        </w:rPr>
      </w:pPr>
      <w:r w:rsidRPr="004068F6">
        <w:rPr>
          <w:rFonts w:cs="Arial"/>
          <w:i/>
          <w:iCs/>
          <w:spacing w:val="-3"/>
        </w:rPr>
        <w:t>Dónde:</w:t>
      </w:r>
    </w:p>
    <w:p w14:paraId="0F892979" w14:textId="77777777" w:rsidR="00E63F45" w:rsidRPr="004068F6" w:rsidRDefault="00E63F45" w:rsidP="00E63F45">
      <w:pPr>
        <w:numPr>
          <w:ilvl w:val="12"/>
          <w:numId w:val="0"/>
        </w:numPr>
        <w:tabs>
          <w:tab w:val="left" w:pos="-2268"/>
        </w:tabs>
        <w:suppressAutoHyphens/>
        <w:rPr>
          <w:rFonts w:cs="Arial"/>
          <w:i/>
          <w:iCs/>
          <w:spacing w:val="-3"/>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284"/>
        <w:gridCol w:w="8241"/>
      </w:tblGrid>
      <w:tr w:rsidR="00E63F45" w:rsidRPr="004068F6" w14:paraId="79C62E70" w14:textId="77777777" w:rsidTr="00127BD4">
        <w:trPr>
          <w:trHeight w:hRule="exact" w:val="567"/>
        </w:trPr>
        <w:tc>
          <w:tcPr>
            <w:tcW w:w="831" w:type="dxa"/>
            <w:vAlign w:val="center"/>
          </w:tcPr>
          <w:p w14:paraId="1C08B6FD" w14:textId="77777777" w:rsidR="00E63F45" w:rsidRPr="004068F6" w:rsidRDefault="00E63F45">
            <w:pPr>
              <w:numPr>
                <w:ilvl w:val="12"/>
                <w:numId w:val="0"/>
              </w:numPr>
              <w:tabs>
                <w:tab w:val="left" w:pos="-2268"/>
              </w:tabs>
              <w:suppressAutoHyphens/>
              <w:ind w:right="-108"/>
              <w:jc w:val="left"/>
              <w:rPr>
                <w:rFonts w:cs="Arial"/>
                <w:i/>
                <w:iCs/>
                <w:spacing w:val="-3"/>
              </w:rPr>
            </w:pPr>
            <w:r w:rsidRPr="004068F6">
              <w:rPr>
                <w:rFonts w:cs="Arial"/>
                <w:i/>
                <w:iCs/>
                <w:spacing w:val="-3"/>
              </w:rPr>
              <w:t>PNM</w:t>
            </w:r>
            <w:r w:rsidRPr="004068F6">
              <w:rPr>
                <w:rFonts w:cs="Arial"/>
                <w:i/>
                <w:iCs/>
                <w:spacing w:val="-3"/>
                <w:vertAlign w:val="subscript"/>
              </w:rPr>
              <w:t>i</w:t>
            </w:r>
          </w:p>
        </w:tc>
        <w:tc>
          <w:tcPr>
            <w:tcW w:w="284" w:type="dxa"/>
            <w:vAlign w:val="center"/>
          </w:tcPr>
          <w:p w14:paraId="1560CBF3" w14:textId="77777777" w:rsidR="00E63F45" w:rsidRPr="004068F6" w:rsidRDefault="00E63F45">
            <w:pPr>
              <w:numPr>
                <w:ilvl w:val="12"/>
                <w:numId w:val="0"/>
              </w:numPr>
              <w:tabs>
                <w:tab w:val="left" w:pos="-2268"/>
              </w:tabs>
              <w:suppressAutoHyphens/>
              <w:ind w:left="-108" w:right="-533"/>
              <w:jc w:val="left"/>
              <w:rPr>
                <w:rFonts w:cs="Arial"/>
                <w:i/>
                <w:iCs/>
                <w:spacing w:val="-3"/>
              </w:rPr>
            </w:pPr>
            <w:r w:rsidRPr="004068F6">
              <w:rPr>
                <w:rFonts w:cs="Arial"/>
                <w:i/>
                <w:iCs/>
                <w:spacing w:val="-3"/>
              </w:rPr>
              <w:t>=</w:t>
            </w:r>
          </w:p>
        </w:tc>
        <w:tc>
          <w:tcPr>
            <w:tcW w:w="8241" w:type="dxa"/>
            <w:vAlign w:val="center"/>
          </w:tcPr>
          <w:p w14:paraId="3D7CDA0E" w14:textId="77777777" w:rsidR="00E63F45" w:rsidRPr="004068F6" w:rsidRDefault="00E63F45" w:rsidP="00127BD4">
            <w:pPr>
              <w:numPr>
                <w:ilvl w:val="12"/>
                <w:numId w:val="0"/>
              </w:numPr>
              <w:tabs>
                <w:tab w:val="left" w:pos="-2268"/>
              </w:tabs>
              <w:suppressAutoHyphens/>
              <w:ind w:left="-108" w:right="-308"/>
              <w:rPr>
                <w:rFonts w:cs="Arial"/>
                <w:i/>
                <w:iCs/>
                <w:spacing w:val="-3"/>
                <w:sz w:val="22"/>
              </w:rPr>
            </w:pPr>
            <w:r w:rsidRPr="004068F6">
              <w:rPr>
                <w:rFonts w:cs="Arial"/>
                <w:spacing w:val="-3"/>
                <w:sz w:val="22"/>
              </w:rPr>
              <w:t xml:space="preserve">Potencial normalizado de modificación de las condiciones ambientales del impacto </w:t>
            </w:r>
            <w:r w:rsidRPr="004068F6">
              <w:rPr>
                <w:rFonts w:cs="Arial"/>
                <w:i/>
                <w:iCs/>
                <w:spacing w:val="-3"/>
                <w:sz w:val="22"/>
              </w:rPr>
              <w:t>i</w:t>
            </w:r>
          </w:p>
        </w:tc>
      </w:tr>
      <w:tr w:rsidR="00E63F45" w:rsidRPr="004068F6" w14:paraId="482510F0" w14:textId="77777777" w:rsidTr="00127BD4">
        <w:trPr>
          <w:trHeight w:hRule="exact" w:val="567"/>
        </w:trPr>
        <w:tc>
          <w:tcPr>
            <w:tcW w:w="831" w:type="dxa"/>
            <w:vAlign w:val="center"/>
          </w:tcPr>
          <w:p w14:paraId="42F07958" w14:textId="77777777" w:rsidR="00E63F45" w:rsidRPr="004068F6" w:rsidRDefault="00E63F45">
            <w:pPr>
              <w:numPr>
                <w:ilvl w:val="12"/>
                <w:numId w:val="0"/>
              </w:numPr>
              <w:tabs>
                <w:tab w:val="left" w:pos="-2268"/>
              </w:tabs>
              <w:suppressAutoHyphens/>
              <w:ind w:right="-108"/>
              <w:jc w:val="left"/>
              <w:rPr>
                <w:rFonts w:cs="Arial"/>
                <w:i/>
                <w:iCs/>
                <w:spacing w:val="-3"/>
              </w:rPr>
            </w:pPr>
            <w:r w:rsidRPr="004068F6">
              <w:rPr>
                <w:rFonts w:cs="Arial"/>
                <w:i/>
                <w:spacing w:val="-3"/>
              </w:rPr>
              <w:t>C</w:t>
            </w:r>
            <w:r w:rsidRPr="004068F6">
              <w:rPr>
                <w:rFonts w:cs="Arial"/>
                <w:i/>
                <w:spacing w:val="-3"/>
                <w:vertAlign w:val="subscript"/>
              </w:rPr>
              <w:t>i</w:t>
            </w:r>
          </w:p>
        </w:tc>
        <w:tc>
          <w:tcPr>
            <w:tcW w:w="284" w:type="dxa"/>
            <w:vAlign w:val="center"/>
          </w:tcPr>
          <w:p w14:paraId="1E6C0C26" w14:textId="77777777" w:rsidR="00E63F45" w:rsidRPr="004068F6" w:rsidRDefault="00E63F45">
            <w:pPr>
              <w:numPr>
                <w:ilvl w:val="12"/>
                <w:numId w:val="0"/>
              </w:numPr>
              <w:tabs>
                <w:tab w:val="left" w:pos="-2268"/>
              </w:tabs>
              <w:suppressAutoHyphens/>
              <w:ind w:left="-108" w:right="-533"/>
              <w:jc w:val="left"/>
              <w:rPr>
                <w:rFonts w:cs="Arial"/>
                <w:i/>
                <w:iCs/>
                <w:spacing w:val="-3"/>
              </w:rPr>
            </w:pPr>
            <w:r w:rsidRPr="004068F6">
              <w:rPr>
                <w:rFonts w:cs="Arial"/>
                <w:i/>
                <w:iCs/>
                <w:spacing w:val="-3"/>
              </w:rPr>
              <w:t>=</w:t>
            </w:r>
          </w:p>
        </w:tc>
        <w:tc>
          <w:tcPr>
            <w:tcW w:w="8241" w:type="dxa"/>
            <w:vAlign w:val="center"/>
          </w:tcPr>
          <w:p w14:paraId="321AC5DA" w14:textId="3CF4328B" w:rsidR="00E63F45" w:rsidRPr="004068F6" w:rsidRDefault="00E63F45" w:rsidP="00127BD4">
            <w:pPr>
              <w:numPr>
                <w:ilvl w:val="12"/>
                <w:numId w:val="0"/>
              </w:numPr>
              <w:tabs>
                <w:tab w:val="left" w:pos="-2268"/>
              </w:tabs>
              <w:suppressAutoHyphens/>
              <w:ind w:left="-108" w:right="-48"/>
              <w:rPr>
                <w:rFonts w:cs="Arial"/>
                <w:i/>
                <w:iCs/>
                <w:spacing w:val="-3"/>
                <w:sz w:val="22"/>
              </w:rPr>
            </w:pPr>
            <w:r w:rsidRPr="004068F6">
              <w:rPr>
                <w:rFonts w:cs="Arial"/>
                <w:spacing w:val="-3"/>
                <w:sz w:val="22"/>
              </w:rPr>
              <w:t xml:space="preserve">Calificación del impacto </w:t>
            </w:r>
            <w:r w:rsidRPr="004068F6">
              <w:rPr>
                <w:rFonts w:cs="Arial"/>
                <w:i/>
                <w:spacing w:val="-3"/>
                <w:sz w:val="22"/>
              </w:rPr>
              <w:t>i</w:t>
            </w:r>
            <w:r w:rsidRPr="004068F6">
              <w:rPr>
                <w:rFonts w:cs="Arial"/>
                <w:spacing w:val="-3"/>
                <w:sz w:val="22"/>
              </w:rPr>
              <w:t xml:space="preserve"> obtenida mediante el método de valoración </w:t>
            </w:r>
            <w:r w:rsidR="00E62ABD" w:rsidRPr="004068F6">
              <w:rPr>
                <w:rFonts w:cs="Arial"/>
                <w:spacing w:val="-3"/>
                <w:sz w:val="22"/>
              </w:rPr>
              <w:t>referido sólo a la significancia de los imp</w:t>
            </w:r>
            <w:r w:rsidR="00154CB7" w:rsidRPr="004068F6">
              <w:rPr>
                <w:rFonts w:cs="Arial"/>
                <w:spacing w:val="-3"/>
                <w:sz w:val="22"/>
              </w:rPr>
              <w:t>a</w:t>
            </w:r>
            <w:r w:rsidR="00E62ABD" w:rsidRPr="004068F6">
              <w:rPr>
                <w:rFonts w:cs="Arial"/>
                <w:spacing w:val="-3"/>
                <w:sz w:val="22"/>
              </w:rPr>
              <w:t>ctos</w:t>
            </w:r>
            <w:r w:rsidRPr="004068F6">
              <w:rPr>
                <w:rStyle w:val="Refdenotaalpie"/>
                <w:rFonts w:cs="Arial"/>
                <w:spacing w:val="-3"/>
                <w:sz w:val="22"/>
                <w:lang w:val="es-CO"/>
              </w:rPr>
              <w:footnoteReference w:id="225"/>
            </w:r>
          </w:p>
        </w:tc>
      </w:tr>
      <w:tr w:rsidR="00E63F45" w:rsidRPr="004068F6" w14:paraId="4D5FB5F4" w14:textId="77777777" w:rsidTr="00127BD4">
        <w:trPr>
          <w:trHeight w:hRule="exact" w:val="567"/>
        </w:trPr>
        <w:tc>
          <w:tcPr>
            <w:tcW w:w="831" w:type="dxa"/>
            <w:vAlign w:val="center"/>
          </w:tcPr>
          <w:p w14:paraId="5107B1BC" w14:textId="77777777" w:rsidR="00E63F45" w:rsidRPr="004068F6" w:rsidRDefault="00E63F45">
            <w:pPr>
              <w:numPr>
                <w:ilvl w:val="12"/>
                <w:numId w:val="0"/>
              </w:numPr>
              <w:tabs>
                <w:tab w:val="left" w:pos="-2268"/>
              </w:tabs>
              <w:suppressAutoHyphens/>
              <w:ind w:right="-108"/>
              <w:jc w:val="left"/>
              <w:rPr>
                <w:rFonts w:cs="Arial"/>
                <w:i/>
                <w:iCs/>
                <w:spacing w:val="-3"/>
              </w:rPr>
            </w:pPr>
            <w:r w:rsidRPr="004068F6">
              <w:rPr>
                <w:rFonts w:cs="Arial"/>
                <w:i/>
                <w:spacing w:val="-3"/>
              </w:rPr>
              <w:t>Cmin</w:t>
            </w:r>
          </w:p>
        </w:tc>
        <w:tc>
          <w:tcPr>
            <w:tcW w:w="284" w:type="dxa"/>
            <w:vAlign w:val="center"/>
          </w:tcPr>
          <w:p w14:paraId="2F3A5E60" w14:textId="77777777" w:rsidR="00E63F45" w:rsidRPr="004068F6" w:rsidRDefault="00E63F45">
            <w:pPr>
              <w:numPr>
                <w:ilvl w:val="12"/>
                <w:numId w:val="0"/>
              </w:numPr>
              <w:tabs>
                <w:tab w:val="left" w:pos="-2268"/>
              </w:tabs>
              <w:suppressAutoHyphens/>
              <w:ind w:left="-108" w:right="-533"/>
              <w:jc w:val="left"/>
              <w:rPr>
                <w:rFonts w:cs="Arial"/>
                <w:i/>
                <w:iCs/>
                <w:spacing w:val="-3"/>
              </w:rPr>
            </w:pPr>
            <w:r w:rsidRPr="004068F6">
              <w:rPr>
                <w:rFonts w:cs="Arial"/>
                <w:i/>
                <w:iCs/>
                <w:spacing w:val="-3"/>
              </w:rPr>
              <w:t>=</w:t>
            </w:r>
          </w:p>
        </w:tc>
        <w:tc>
          <w:tcPr>
            <w:tcW w:w="8241" w:type="dxa"/>
            <w:vAlign w:val="center"/>
          </w:tcPr>
          <w:p w14:paraId="6D4363FC" w14:textId="7F43DDA7" w:rsidR="00E63F45" w:rsidRPr="004068F6" w:rsidRDefault="00E63F45" w:rsidP="00127BD4">
            <w:pPr>
              <w:numPr>
                <w:ilvl w:val="12"/>
                <w:numId w:val="0"/>
              </w:numPr>
              <w:tabs>
                <w:tab w:val="left" w:pos="-2268"/>
              </w:tabs>
              <w:suppressAutoHyphens/>
              <w:ind w:left="-108" w:right="-308"/>
              <w:rPr>
                <w:rFonts w:cs="Arial"/>
                <w:i/>
                <w:iCs/>
                <w:spacing w:val="-3"/>
                <w:sz w:val="22"/>
              </w:rPr>
            </w:pPr>
            <w:r w:rsidRPr="004068F6">
              <w:rPr>
                <w:rFonts w:cs="Arial"/>
                <w:spacing w:val="-3"/>
                <w:sz w:val="22"/>
              </w:rPr>
              <w:t xml:space="preserve">Calificación mínima posible al aplicar el método de valoración </w:t>
            </w:r>
            <w:r w:rsidR="009473C1" w:rsidRPr="004068F6">
              <w:rPr>
                <w:rFonts w:cs="Arial"/>
                <w:spacing w:val="-3"/>
                <w:sz w:val="22"/>
              </w:rPr>
              <w:t>referido sólo a la significancia de los impactos</w:t>
            </w:r>
          </w:p>
        </w:tc>
      </w:tr>
      <w:tr w:rsidR="00E63F45" w:rsidRPr="004068F6" w14:paraId="62BB3DC6" w14:textId="77777777" w:rsidTr="00127BD4">
        <w:trPr>
          <w:trHeight w:hRule="exact" w:val="567"/>
        </w:trPr>
        <w:tc>
          <w:tcPr>
            <w:tcW w:w="831" w:type="dxa"/>
            <w:vAlign w:val="center"/>
          </w:tcPr>
          <w:p w14:paraId="6BD431C5" w14:textId="77777777" w:rsidR="00E63F45" w:rsidRPr="004068F6" w:rsidRDefault="00E63F45">
            <w:pPr>
              <w:numPr>
                <w:ilvl w:val="12"/>
                <w:numId w:val="0"/>
              </w:numPr>
              <w:tabs>
                <w:tab w:val="left" w:pos="-2268"/>
              </w:tabs>
              <w:suppressAutoHyphens/>
              <w:ind w:right="-108"/>
              <w:jc w:val="left"/>
              <w:rPr>
                <w:rFonts w:cs="Arial"/>
                <w:i/>
                <w:iCs/>
                <w:spacing w:val="-3"/>
              </w:rPr>
            </w:pPr>
            <w:r w:rsidRPr="004068F6">
              <w:rPr>
                <w:rFonts w:cs="Arial"/>
                <w:i/>
                <w:spacing w:val="-3"/>
              </w:rPr>
              <w:t>Cmax</w:t>
            </w:r>
          </w:p>
        </w:tc>
        <w:tc>
          <w:tcPr>
            <w:tcW w:w="284" w:type="dxa"/>
            <w:vAlign w:val="center"/>
          </w:tcPr>
          <w:p w14:paraId="4686547E" w14:textId="77777777" w:rsidR="00E63F45" w:rsidRPr="004068F6" w:rsidRDefault="00E63F45">
            <w:pPr>
              <w:numPr>
                <w:ilvl w:val="12"/>
                <w:numId w:val="0"/>
              </w:numPr>
              <w:tabs>
                <w:tab w:val="left" w:pos="-2268"/>
              </w:tabs>
              <w:suppressAutoHyphens/>
              <w:ind w:left="-108" w:right="-533"/>
              <w:jc w:val="left"/>
              <w:rPr>
                <w:rFonts w:cs="Arial"/>
                <w:i/>
                <w:iCs/>
                <w:spacing w:val="-3"/>
              </w:rPr>
            </w:pPr>
            <w:r w:rsidRPr="004068F6">
              <w:rPr>
                <w:rFonts w:cs="Arial"/>
                <w:i/>
                <w:iCs/>
                <w:spacing w:val="-3"/>
              </w:rPr>
              <w:t>=</w:t>
            </w:r>
          </w:p>
        </w:tc>
        <w:tc>
          <w:tcPr>
            <w:tcW w:w="8241" w:type="dxa"/>
            <w:vAlign w:val="center"/>
          </w:tcPr>
          <w:p w14:paraId="2A643E6A" w14:textId="699B43BB" w:rsidR="00E63F45" w:rsidRPr="004068F6" w:rsidRDefault="00E63F45" w:rsidP="00127BD4">
            <w:pPr>
              <w:numPr>
                <w:ilvl w:val="12"/>
                <w:numId w:val="0"/>
              </w:numPr>
              <w:tabs>
                <w:tab w:val="left" w:pos="-2268"/>
              </w:tabs>
              <w:suppressAutoHyphens/>
              <w:ind w:left="-108" w:right="-308"/>
              <w:rPr>
                <w:rFonts w:cs="Arial"/>
                <w:i/>
                <w:iCs/>
                <w:spacing w:val="-3"/>
                <w:sz w:val="22"/>
              </w:rPr>
            </w:pPr>
            <w:r w:rsidRPr="004068F6">
              <w:rPr>
                <w:rFonts w:cs="Arial"/>
                <w:spacing w:val="-3"/>
                <w:sz w:val="22"/>
              </w:rPr>
              <w:t xml:space="preserve">Calificación máxima posible al aplicar el método de valoración </w:t>
            </w:r>
            <w:r w:rsidR="009473C1" w:rsidRPr="004068F6">
              <w:rPr>
                <w:rFonts w:cs="Arial"/>
                <w:spacing w:val="-3"/>
                <w:sz w:val="22"/>
              </w:rPr>
              <w:t>referido sólo a la significancia de los impactos</w:t>
            </w:r>
          </w:p>
        </w:tc>
      </w:tr>
    </w:tbl>
    <w:p w14:paraId="443DC9E5" w14:textId="77777777" w:rsidR="00E63F45" w:rsidRPr="004068F6" w:rsidRDefault="00E63F45" w:rsidP="00E63F45">
      <w:pPr>
        <w:numPr>
          <w:ilvl w:val="12"/>
          <w:numId w:val="0"/>
        </w:numPr>
        <w:tabs>
          <w:tab w:val="left" w:pos="-2268"/>
        </w:tabs>
        <w:suppressAutoHyphens/>
        <w:rPr>
          <w:rFonts w:cs="Arial"/>
          <w:iCs/>
          <w:spacing w:val="-3"/>
        </w:rPr>
      </w:pPr>
    </w:p>
    <w:p w14:paraId="11771E6D" w14:textId="60A12AF2" w:rsidR="00E63F45" w:rsidRPr="004068F6" w:rsidRDefault="00354194" w:rsidP="00E63F45">
      <w:pPr>
        <w:numPr>
          <w:ilvl w:val="12"/>
          <w:numId w:val="0"/>
        </w:numPr>
        <w:tabs>
          <w:tab w:val="left" w:pos="-2268"/>
        </w:tabs>
        <w:suppressAutoHyphens/>
        <w:rPr>
          <w:rFonts w:cs="Arial"/>
          <w:iCs/>
          <w:spacing w:val="-3"/>
        </w:rPr>
      </w:pPr>
      <w:r>
        <w:rPr>
          <w:rFonts w:cs="Arial"/>
          <w:iCs/>
          <w:spacing w:val="-3"/>
        </w:rPr>
        <w:t xml:space="preserve">La normalización aplica </w:t>
      </w:r>
      <w:r w:rsidR="00E71D85">
        <w:rPr>
          <w:rFonts w:cs="Arial"/>
          <w:iCs/>
          <w:spacing w:val="-3"/>
        </w:rPr>
        <w:t>para l</w:t>
      </w:r>
      <w:r w:rsidR="009B3916">
        <w:rPr>
          <w:rFonts w:cs="Arial"/>
          <w:iCs/>
          <w:spacing w:val="-3"/>
        </w:rPr>
        <w:t>a</w:t>
      </w:r>
      <w:r w:rsidR="00E71D85">
        <w:rPr>
          <w:rFonts w:cs="Arial"/>
          <w:iCs/>
          <w:spacing w:val="-3"/>
        </w:rPr>
        <w:t xml:space="preserve">s dos </w:t>
      </w:r>
      <w:r w:rsidR="009B3916">
        <w:rPr>
          <w:rFonts w:cs="Arial"/>
          <w:iCs/>
          <w:spacing w:val="-3"/>
        </w:rPr>
        <w:t xml:space="preserve">modalidades </w:t>
      </w:r>
      <w:r w:rsidR="00E71D85">
        <w:rPr>
          <w:rFonts w:cs="Arial"/>
          <w:iCs/>
          <w:spacing w:val="-3"/>
        </w:rPr>
        <w:t>alternativ</w:t>
      </w:r>
      <w:r w:rsidR="009B3916">
        <w:rPr>
          <w:rFonts w:cs="Arial"/>
          <w:iCs/>
          <w:spacing w:val="-3"/>
        </w:rPr>
        <w:t>a</w:t>
      </w:r>
      <w:r w:rsidR="00E71D85">
        <w:rPr>
          <w:rFonts w:cs="Arial"/>
          <w:iCs/>
          <w:spacing w:val="-3"/>
        </w:rPr>
        <w:t>s de valoración de impactos y</w:t>
      </w:r>
      <w:r w:rsidR="003A0915">
        <w:rPr>
          <w:rFonts w:cs="Arial"/>
          <w:iCs/>
          <w:spacing w:val="-3"/>
        </w:rPr>
        <w:t xml:space="preserve">, se realiza, para </w:t>
      </w:r>
      <w:r w:rsidR="00E63F45" w:rsidRPr="004068F6">
        <w:rPr>
          <w:rFonts w:cs="Arial"/>
          <w:iCs/>
          <w:spacing w:val="-3"/>
        </w:rPr>
        <w:t>determina</w:t>
      </w:r>
      <w:r w:rsidR="003A0915">
        <w:rPr>
          <w:rFonts w:cs="Arial"/>
          <w:iCs/>
          <w:spacing w:val="-3"/>
        </w:rPr>
        <w:t>r</w:t>
      </w:r>
      <w:r w:rsidR="00E63F45" w:rsidRPr="004068F6">
        <w:rPr>
          <w:rFonts w:cs="Arial"/>
          <w:iCs/>
          <w:spacing w:val="-3"/>
        </w:rPr>
        <w:t xml:space="preserve"> el valor del </w:t>
      </w:r>
      <w:r w:rsidR="00E63F45" w:rsidRPr="00127BD4">
        <w:rPr>
          <w:rFonts w:cs="Arial"/>
          <w:i/>
          <w:spacing w:val="-3"/>
        </w:rPr>
        <w:t>potencial normalizado de modificación de las condiciones ambientales</w:t>
      </w:r>
      <w:r w:rsidR="00E63F45" w:rsidRPr="004068F6">
        <w:rPr>
          <w:rFonts w:cs="Arial"/>
          <w:iCs/>
          <w:spacing w:val="-3"/>
        </w:rPr>
        <w:t xml:space="preserve"> de cada impacto, el cual debe ser clasificado de acuerdo con los rangos y categorías establecidos en la </w:t>
      </w:r>
      <w:r w:rsidR="00E63F45" w:rsidRPr="004068F6">
        <w:rPr>
          <w:rFonts w:cs="Arial"/>
          <w:iCs/>
          <w:spacing w:val="-3"/>
        </w:rPr>
        <w:fldChar w:fldCharType="begin"/>
      </w:r>
      <w:r w:rsidR="00E63F45" w:rsidRPr="004068F6">
        <w:rPr>
          <w:rFonts w:cs="Arial"/>
          <w:iCs/>
          <w:spacing w:val="-3"/>
        </w:rPr>
        <w:instrText xml:space="preserve"> REF _Ref43476186 \h  \* MERGEFORMAT </w:instrText>
      </w:r>
      <w:r w:rsidR="00E63F45" w:rsidRPr="004068F6">
        <w:rPr>
          <w:rFonts w:cs="Arial"/>
          <w:iCs/>
          <w:spacing w:val="-3"/>
        </w:rPr>
      </w:r>
      <w:r w:rsidR="00E63F45" w:rsidRPr="004068F6">
        <w:rPr>
          <w:rFonts w:cs="Arial"/>
          <w:iCs/>
          <w:spacing w:val="-3"/>
        </w:rPr>
        <w:fldChar w:fldCharType="separate"/>
      </w:r>
      <w:r w:rsidR="009C4A81" w:rsidRPr="009C4A81">
        <w:rPr>
          <w:rFonts w:cs="Arial"/>
          <w:spacing w:val="-3"/>
        </w:rPr>
        <w:t>Tabla 34</w:t>
      </w:r>
      <w:r w:rsidR="00E63F45" w:rsidRPr="004068F6">
        <w:rPr>
          <w:rFonts w:cs="Arial"/>
          <w:iCs/>
          <w:spacing w:val="-3"/>
        </w:rPr>
        <w:fldChar w:fldCharType="end"/>
      </w:r>
      <w:r w:rsidR="00E63F45" w:rsidRPr="004068F6">
        <w:rPr>
          <w:rFonts w:cs="Arial"/>
          <w:iCs/>
          <w:spacing w:val="-3"/>
        </w:rPr>
        <w:t>, a fin de establecer si corresponde o no a un impacto ambiental significativo.</w:t>
      </w:r>
    </w:p>
    <w:p w14:paraId="21D6F2F9" w14:textId="77777777" w:rsidR="00E63F45" w:rsidRDefault="00E63F45" w:rsidP="00E63F45">
      <w:pPr>
        <w:numPr>
          <w:ilvl w:val="12"/>
          <w:numId w:val="0"/>
        </w:numPr>
        <w:tabs>
          <w:tab w:val="left" w:pos="-2268"/>
        </w:tabs>
        <w:suppressAutoHyphens/>
        <w:rPr>
          <w:rFonts w:cs="Arial"/>
          <w:spacing w:val="-3"/>
        </w:rPr>
      </w:pPr>
    </w:p>
    <w:p w14:paraId="76150697" w14:textId="1D55250E" w:rsidR="004374A4" w:rsidRPr="004068F6" w:rsidRDefault="004374A4" w:rsidP="004374A4">
      <w:pPr>
        <w:numPr>
          <w:ilvl w:val="12"/>
          <w:numId w:val="0"/>
        </w:numPr>
        <w:tabs>
          <w:tab w:val="left" w:pos="-2268"/>
        </w:tabs>
        <w:suppressAutoHyphens/>
        <w:rPr>
          <w:rFonts w:cs="Arial"/>
          <w:spacing w:val="-3"/>
        </w:rPr>
      </w:pPr>
      <w:r w:rsidRPr="004068F6">
        <w:rPr>
          <w:rFonts w:cs="Arial"/>
          <w:spacing w:val="-3"/>
        </w:rPr>
        <w:t>Teniendo en cuenta que la extensión, forma y ubicación del área de influencia de un proyecto, obra o actividad está en función de sus impactos ambientales significativos, y que tales impactos dependen de las características ambientales únicas de dicha área, es necesario que los procesos de determinación de impactos, valoración de impactos, determinación de impactos ambientales significativos y de delimitación del área de influencia, se realicen de manera conjunta e iterativa.</w:t>
      </w:r>
    </w:p>
    <w:p w14:paraId="2EA78E7C" w14:textId="77777777" w:rsidR="004374A4" w:rsidRDefault="004374A4" w:rsidP="004374A4">
      <w:pPr>
        <w:numPr>
          <w:ilvl w:val="12"/>
          <w:numId w:val="0"/>
        </w:numPr>
        <w:tabs>
          <w:tab w:val="left" w:pos="-2268"/>
        </w:tabs>
        <w:suppressAutoHyphens/>
        <w:rPr>
          <w:rFonts w:cs="Arial"/>
          <w:spacing w:val="-3"/>
        </w:rPr>
      </w:pPr>
    </w:p>
    <w:p w14:paraId="28B7BA10" w14:textId="77777777" w:rsidR="00BC386A" w:rsidRDefault="00BC386A" w:rsidP="004374A4">
      <w:pPr>
        <w:numPr>
          <w:ilvl w:val="12"/>
          <w:numId w:val="0"/>
        </w:numPr>
        <w:tabs>
          <w:tab w:val="left" w:pos="-2268"/>
        </w:tabs>
        <w:suppressAutoHyphens/>
        <w:rPr>
          <w:rFonts w:cs="Arial"/>
          <w:spacing w:val="-3"/>
        </w:rPr>
      </w:pPr>
    </w:p>
    <w:p w14:paraId="11D9D0AB" w14:textId="77777777" w:rsidR="00BC386A" w:rsidRDefault="00BC386A" w:rsidP="004374A4">
      <w:pPr>
        <w:numPr>
          <w:ilvl w:val="12"/>
          <w:numId w:val="0"/>
        </w:numPr>
        <w:tabs>
          <w:tab w:val="left" w:pos="-2268"/>
        </w:tabs>
        <w:suppressAutoHyphens/>
        <w:rPr>
          <w:rFonts w:cs="Arial"/>
          <w:spacing w:val="-3"/>
        </w:rPr>
      </w:pPr>
    </w:p>
    <w:p w14:paraId="7BA5446C" w14:textId="77777777" w:rsidR="00BC386A" w:rsidRDefault="00BC386A" w:rsidP="004374A4">
      <w:pPr>
        <w:numPr>
          <w:ilvl w:val="12"/>
          <w:numId w:val="0"/>
        </w:numPr>
        <w:tabs>
          <w:tab w:val="left" w:pos="-2268"/>
        </w:tabs>
        <w:suppressAutoHyphens/>
        <w:rPr>
          <w:rFonts w:cs="Arial"/>
          <w:spacing w:val="-3"/>
        </w:rPr>
      </w:pPr>
    </w:p>
    <w:p w14:paraId="508BE17C" w14:textId="77777777" w:rsidR="00BC386A" w:rsidRPr="004068F6" w:rsidRDefault="00BC386A" w:rsidP="004374A4">
      <w:pPr>
        <w:numPr>
          <w:ilvl w:val="12"/>
          <w:numId w:val="0"/>
        </w:numPr>
        <w:tabs>
          <w:tab w:val="left" w:pos="-2268"/>
        </w:tabs>
        <w:suppressAutoHyphens/>
        <w:rPr>
          <w:rFonts w:cs="Arial"/>
          <w:spacing w:val="-3"/>
        </w:rPr>
      </w:pPr>
    </w:p>
    <w:p w14:paraId="4E33F6D9" w14:textId="5536A0B2" w:rsidR="00E63F45" w:rsidRPr="004068F6" w:rsidRDefault="00E63F45" w:rsidP="00E63F45">
      <w:pPr>
        <w:numPr>
          <w:ilvl w:val="12"/>
          <w:numId w:val="0"/>
        </w:numPr>
        <w:tabs>
          <w:tab w:val="left" w:pos="-2268"/>
        </w:tabs>
        <w:suppressAutoHyphens/>
        <w:jc w:val="center"/>
        <w:rPr>
          <w:rFonts w:cs="Arial"/>
          <w:spacing w:val="-3"/>
        </w:rPr>
      </w:pPr>
      <w:bookmarkStart w:id="3325" w:name="_Ref43476186"/>
      <w:r w:rsidRPr="004068F6">
        <w:rPr>
          <w:rFonts w:cs="Arial"/>
          <w:b/>
          <w:spacing w:val="-3"/>
        </w:rPr>
        <w:lastRenderedPageBreak/>
        <w:t xml:space="preserve">Tabla </w:t>
      </w:r>
      <w:r w:rsidRPr="004068F6">
        <w:rPr>
          <w:rFonts w:cs="Arial"/>
          <w:b/>
          <w:spacing w:val="-3"/>
        </w:rPr>
        <w:fldChar w:fldCharType="begin"/>
      </w:r>
      <w:r w:rsidRPr="004068F6">
        <w:rPr>
          <w:rFonts w:cs="Arial"/>
          <w:b/>
          <w:spacing w:val="-3"/>
        </w:rPr>
        <w:instrText xml:space="preserve"> SEQ Tabla \* ARABIC </w:instrText>
      </w:r>
      <w:r w:rsidRPr="004068F6">
        <w:rPr>
          <w:rFonts w:cs="Arial"/>
          <w:b/>
          <w:spacing w:val="-3"/>
        </w:rPr>
        <w:fldChar w:fldCharType="separate"/>
      </w:r>
      <w:r w:rsidR="009C4A81">
        <w:rPr>
          <w:rFonts w:cs="Arial"/>
          <w:b/>
          <w:noProof/>
          <w:spacing w:val="-3"/>
        </w:rPr>
        <w:t>34</w:t>
      </w:r>
      <w:r w:rsidRPr="004068F6">
        <w:rPr>
          <w:rFonts w:cs="Arial"/>
          <w:b/>
          <w:spacing w:val="-3"/>
        </w:rPr>
        <w:fldChar w:fldCharType="end"/>
      </w:r>
      <w:bookmarkEnd w:id="3325"/>
      <w:r w:rsidRPr="004068F6">
        <w:rPr>
          <w:rFonts w:cs="Arial"/>
          <w:b/>
          <w:spacing w:val="-3"/>
        </w:rPr>
        <w:t>.</w:t>
      </w:r>
      <w:r w:rsidRPr="004068F6">
        <w:rPr>
          <w:rFonts w:cs="Arial"/>
          <w:spacing w:val="-3"/>
        </w:rPr>
        <w:t xml:space="preserve"> Regla de decisión para determinar impactos ambientales significativos</w:t>
      </w:r>
    </w:p>
    <w:tbl>
      <w:tblPr>
        <w:tblStyle w:val="Tablaconcuadrcula"/>
        <w:tblW w:w="6895" w:type="dxa"/>
        <w:jc w:val="center"/>
        <w:tblLook w:val="0420" w:firstRow="1" w:lastRow="0" w:firstColumn="0" w:lastColumn="0" w:noHBand="0" w:noVBand="1"/>
      </w:tblPr>
      <w:tblGrid>
        <w:gridCol w:w="2349"/>
        <w:gridCol w:w="2349"/>
        <w:gridCol w:w="2197"/>
      </w:tblGrid>
      <w:tr w:rsidR="00E63F45" w:rsidRPr="004068F6" w14:paraId="4789E166" w14:textId="77777777" w:rsidTr="00A12CE0">
        <w:trPr>
          <w:trHeight w:val="584"/>
          <w:tblHeader/>
          <w:jc w:val="center"/>
        </w:trPr>
        <w:tc>
          <w:tcPr>
            <w:tcW w:w="4698" w:type="dxa"/>
            <w:gridSpan w:val="2"/>
            <w:vAlign w:val="center"/>
            <w:hideMark/>
          </w:tcPr>
          <w:p w14:paraId="3A91CC1B" w14:textId="77777777" w:rsidR="00E63F45" w:rsidRPr="00A12CE0" w:rsidRDefault="00E63F45">
            <w:pPr>
              <w:overflowPunct/>
              <w:autoSpaceDE/>
              <w:autoSpaceDN/>
              <w:adjustRightInd/>
              <w:ind w:left="-57" w:right="-57"/>
              <w:jc w:val="center"/>
              <w:textAlignment w:val="auto"/>
              <w:rPr>
                <w:rFonts w:cs="Arial"/>
                <w:sz w:val="22"/>
                <w:szCs w:val="22"/>
                <w:lang w:eastAsia="es-CO"/>
              </w:rPr>
            </w:pPr>
            <w:r w:rsidRPr="00A12CE0">
              <w:rPr>
                <w:rFonts w:cs="Arial"/>
                <w:b/>
                <w:bCs/>
                <w:kern w:val="24"/>
                <w:sz w:val="22"/>
                <w:szCs w:val="22"/>
                <w:lang w:eastAsia="es-CO"/>
              </w:rPr>
              <w:t>Potencial normalizado de modificación de las condiciones ambientales</w:t>
            </w:r>
          </w:p>
        </w:tc>
        <w:tc>
          <w:tcPr>
            <w:tcW w:w="2197" w:type="dxa"/>
            <w:vMerge w:val="restart"/>
            <w:vAlign w:val="center"/>
          </w:tcPr>
          <w:p w14:paraId="06500985" w14:textId="77777777" w:rsidR="00E63F45" w:rsidRPr="00A12CE0" w:rsidRDefault="00E63F45">
            <w:pPr>
              <w:jc w:val="center"/>
              <w:rPr>
                <w:rFonts w:cs="Arial"/>
                <w:sz w:val="22"/>
                <w:szCs w:val="22"/>
                <w:lang w:eastAsia="es-CO"/>
              </w:rPr>
            </w:pPr>
            <w:r w:rsidRPr="00A12CE0">
              <w:rPr>
                <w:rFonts w:eastAsiaTheme="minorEastAsia" w:cs="Arial"/>
                <w:b/>
                <w:kern w:val="24"/>
                <w:sz w:val="22"/>
                <w:szCs w:val="22"/>
                <w:lang w:eastAsia="es-CO"/>
              </w:rPr>
              <w:t>Tipo de impacto</w:t>
            </w:r>
          </w:p>
        </w:tc>
      </w:tr>
      <w:tr w:rsidR="00E63F45" w:rsidRPr="004068F6" w14:paraId="6D68D4DC" w14:textId="77777777" w:rsidTr="00A12CE0">
        <w:trPr>
          <w:trHeight w:val="584"/>
          <w:tblHeader/>
          <w:jc w:val="center"/>
        </w:trPr>
        <w:tc>
          <w:tcPr>
            <w:tcW w:w="2349" w:type="dxa"/>
            <w:vAlign w:val="center"/>
          </w:tcPr>
          <w:p w14:paraId="0F98D4BC" w14:textId="77777777" w:rsidR="00E63F45" w:rsidRPr="00A12CE0" w:rsidRDefault="00E63F45">
            <w:pPr>
              <w:overflowPunct/>
              <w:autoSpaceDE/>
              <w:autoSpaceDN/>
              <w:adjustRightInd/>
              <w:jc w:val="center"/>
              <w:textAlignment w:val="auto"/>
              <w:rPr>
                <w:rFonts w:cs="Arial"/>
                <w:b/>
                <w:kern w:val="24"/>
                <w:sz w:val="22"/>
                <w:szCs w:val="22"/>
                <w:lang w:eastAsia="es-CO"/>
              </w:rPr>
            </w:pPr>
            <w:r w:rsidRPr="00A12CE0">
              <w:rPr>
                <w:rFonts w:cs="Arial"/>
                <w:b/>
                <w:kern w:val="24"/>
                <w:sz w:val="22"/>
                <w:szCs w:val="22"/>
                <w:lang w:eastAsia="es-CO"/>
              </w:rPr>
              <w:t>Rango</w:t>
            </w:r>
          </w:p>
        </w:tc>
        <w:tc>
          <w:tcPr>
            <w:tcW w:w="2349" w:type="dxa"/>
            <w:vAlign w:val="center"/>
          </w:tcPr>
          <w:p w14:paraId="7525D921" w14:textId="77777777" w:rsidR="00E63F45" w:rsidRPr="00A12CE0" w:rsidRDefault="00E63F45">
            <w:pPr>
              <w:overflowPunct/>
              <w:autoSpaceDE/>
              <w:autoSpaceDN/>
              <w:adjustRightInd/>
              <w:jc w:val="center"/>
              <w:textAlignment w:val="auto"/>
              <w:rPr>
                <w:rFonts w:cs="Arial"/>
                <w:b/>
                <w:kern w:val="24"/>
                <w:sz w:val="22"/>
                <w:szCs w:val="22"/>
                <w:lang w:eastAsia="es-CO"/>
              </w:rPr>
            </w:pPr>
            <w:r w:rsidRPr="00A12CE0">
              <w:rPr>
                <w:rFonts w:cs="Arial"/>
                <w:b/>
                <w:kern w:val="24"/>
                <w:sz w:val="22"/>
                <w:szCs w:val="22"/>
                <w:lang w:eastAsia="es-CO"/>
              </w:rPr>
              <w:t>Categoría</w:t>
            </w:r>
          </w:p>
        </w:tc>
        <w:tc>
          <w:tcPr>
            <w:tcW w:w="2197" w:type="dxa"/>
            <w:vMerge/>
            <w:vAlign w:val="center"/>
          </w:tcPr>
          <w:p w14:paraId="4807C6F7" w14:textId="77777777" w:rsidR="00E63F45" w:rsidRPr="004068F6" w:rsidRDefault="00E63F45">
            <w:pPr>
              <w:overflowPunct/>
              <w:autoSpaceDE/>
              <w:autoSpaceDN/>
              <w:adjustRightInd/>
              <w:jc w:val="center"/>
              <w:textAlignment w:val="auto"/>
              <w:rPr>
                <w:rFonts w:eastAsiaTheme="minorEastAsia" w:cs="Arial"/>
                <w:b/>
                <w:kern w:val="24"/>
                <w:lang w:eastAsia="es-CO"/>
              </w:rPr>
            </w:pPr>
          </w:p>
        </w:tc>
      </w:tr>
      <w:tr w:rsidR="00E63F45" w:rsidRPr="004068F6" w14:paraId="1A7F646F" w14:textId="77777777">
        <w:trPr>
          <w:trHeight w:val="584"/>
          <w:jc w:val="center"/>
        </w:trPr>
        <w:tc>
          <w:tcPr>
            <w:tcW w:w="2349" w:type="dxa"/>
            <w:vAlign w:val="center"/>
            <w:hideMark/>
          </w:tcPr>
          <w:p w14:paraId="69BAE1AC" w14:textId="77777777" w:rsidR="00E63F45" w:rsidRPr="00A12CE0" w:rsidRDefault="00E63F45">
            <w:pPr>
              <w:overflowPunct/>
              <w:autoSpaceDE/>
              <w:autoSpaceDN/>
              <w:adjustRightInd/>
              <w:ind w:right="662"/>
              <w:jc w:val="right"/>
              <w:textAlignment w:val="auto"/>
              <w:rPr>
                <w:rFonts w:cs="Arial"/>
                <w:sz w:val="20"/>
                <w:szCs w:val="20"/>
                <w:lang w:eastAsia="es-CO"/>
              </w:rPr>
            </w:pPr>
            <w:r w:rsidRPr="00A12CE0">
              <w:rPr>
                <w:rFonts w:cs="Arial"/>
                <w:kern w:val="24"/>
                <w:sz w:val="20"/>
                <w:szCs w:val="20"/>
                <w:lang w:eastAsia="es-CO"/>
              </w:rPr>
              <w:t>0 - 25</w:t>
            </w:r>
          </w:p>
        </w:tc>
        <w:tc>
          <w:tcPr>
            <w:tcW w:w="2349" w:type="dxa"/>
            <w:vAlign w:val="center"/>
            <w:hideMark/>
          </w:tcPr>
          <w:p w14:paraId="41707719" w14:textId="77777777" w:rsidR="00E63F45" w:rsidRPr="00A12CE0" w:rsidRDefault="00E63F45">
            <w:pPr>
              <w:overflowPunct/>
              <w:autoSpaceDE/>
              <w:autoSpaceDN/>
              <w:adjustRightInd/>
              <w:jc w:val="center"/>
              <w:textAlignment w:val="auto"/>
              <w:rPr>
                <w:rFonts w:cs="Arial"/>
                <w:sz w:val="20"/>
                <w:szCs w:val="20"/>
                <w:lang w:eastAsia="es-CO"/>
              </w:rPr>
            </w:pPr>
            <w:r w:rsidRPr="00A12CE0">
              <w:rPr>
                <w:rFonts w:cs="Arial"/>
                <w:kern w:val="24"/>
                <w:sz w:val="20"/>
                <w:szCs w:val="20"/>
                <w:lang w:eastAsia="es-CO"/>
              </w:rPr>
              <w:t>Bajo</w:t>
            </w:r>
          </w:p>
        </w:tc>
        <w:tc>
          <w:tcPr>
            <w:tcW w:w="2197" w:type="dxa"/>
            <w:vAlign w:val="center"/>
            <w:hideMark/>
          </w:tcPr>
          <w:p w14:paraId="1295DE57" w14:textId="77777777" w:rsidR="00E63F45" w:rsidRPr="00A12CE0" w:rsidRDefault="00E63F45">
            <w:pPr>
              <w:overflowPunct/>
              <w:autoSpaceDE/>
              <w:autoSpaceDN/>
              <w:adjustRightInd/>
              <w:jc w:val="center"/>
              <w:textAlignment w:val="auto"/>
              <w:rPr>
                <w:rFonts w:cs="Arial"/>
                <w:sz w:val="20"/>
                <w:szCs w:val="20"/>
                <w:lang w:eastAsia="es-CO"/>
              </w:rPr>
            </w:pPr>
            <w:r w:rsidRPr="00A12CE0">
              <w:rPr>
                <w:rFonts w:eastAsiaTheme="minorEastAsia" w:cs="Arial"/>
                <w:kern w:val="24"/>
                <w:sz w:val="20"/>
                <w:szCs w:val="20"/>
                <w:lang w:eastAsia="es-CO"/>
              </w:rPr>
              <w:t>No significativo</w:t>
            </w:r>
          </w:p>
        </w:tc>
      </w:tr>
      <w:tr w:rsidR="00E63F45" w:rsidRPr="004068F6" w14:paraId="5FA0CA7C" w14:textId="77777777">
        <w:trPr>
          <w:trHeight w:val="584"/>
          <w:jc w:val="center"/>
        </w:trPr>
        <w:tc>
          <w:tcPr>
            <w:tcW w:w="2349" w:type="dxa"/>
            <w:vAlign w:val="center"/>
            <w:hideMark/>
          </w:tcPr>
          <w:p w14:paraId="243CABFA" w14:textId="77777777" w:rsidR="00E63F45" w:rsidRPr="00A12CE0" w:rsidRDefault="00E63F45">
            <w:pPr>
              <w:overflowPunct/>
              <w:autoSpaceDE/>
              <w:autoSpaceDN/>
              <w:adjustRightInd/>
              <w:ind w:right="662"/>
              <w:jc w:val="right"/>
              <w:textAlignment w:val="auto"/>
              <w:rPr>
                <w:rFonts w:cs="Arial"/>
                <w:sz w:val="20"/>
                <w:szCs w:val="20"/>
                <w:lang w:eastAsia="es-CO"/>
              </w:rPr>
            </w:pPr>
            <w:r w:rsidRPr="00A12CE0">
              <w:rPr>
                <w:rFonts w:cs="Arial"/>
                <w:kern w:val="24"/>
                <w:sz w:val="20"/>
                <w:szCs w:val="20"/>
                <w:lang w:eastAsia="es-CO"/>
              </w:rPr>
              <w:t>&gt; 25 - 50</w:t>
            </w:r>
          </w:p>
        </w:tc>
        <w:tc>
          <w:tcPr>
            <w:tcW w:w="2349" w:type="dxa"/>
            <w:vAlign w:val="center"/>
            <w:hideMark/>
          </w:tcPr>
          <w:p w14:paraId="469E4B65" w14:textId="77777777" w:rsidR="00E63F45" w:rsidRPr="00A12CE0" w:rsidRDefault="00E63F45">
            <w:pPr>
              <w:overflowPunct/>
              <w:autoSpaceDE/>
              <w:autoSpaceDN/>
              <w:adjustRightInd/>
              <w:jc w:val="center"/>
              <w:textAlignment w:val="auto"/>
              <w:rPr>
                <w:rFonts w:cs="Arial"/>
                <w:sz w:val="20"/>
                <w:szCs w:val="20"/>
                <w:lang w:eastAsia="es-CO"/>
              </w:rPr>
            </w:pPr>
            <w:r w:rsidRPr="00A12CE0">
              <w:rPr>
                <w:rFonts w:cs="Arial"/>
                <w:kern w:val="24"/>
                <w:sz w:val="20"/>
                <w:szCs w:val="20"/>
                <w:lang w:eastAsia="es-CO"/>
              </w:rPr>
              <w:t>Medio</w:t>
            </w:r>
          </w:p>
        </w:tc>
        <w:tc>
          <w:tcPr>
            <w:tcW w:w="2197" w:type="dxa"/>
            <w:vMerge w:val="restart"/>
            <w:vAlign w:val="center"/>
            <w:hideMark/>
          </w:tcPr>
          <w:p w14:paraId="41BF36A9" w14:textId="77777777" w:rsidR="00E63F45" w:rsidRPr="00A12CE0" w:rsidRDefault="00E63F45">
            <w:pPr>
              <w:overflowPunct/>
              <w:autoSpaceDE/>
              <w:autoSpaceDN/>
              <w:adjustRightInd/>
              <w:jc w:val="center"/>
              <w:textAlignment w:val="auto"/>
              <w:rPr>
                <w:rFonts w:cs="Arial"/>
                <w:sz w:val="20"/>
                <w:szCs w:val="20"/>
                <w:lang w:eastAsia="es-CO"/>
              </w:rPr>
            </w:pPr>
            <w:r w:rsidRPr="00A12CE0">
              <w:rPr>
                <w:rFonts w:cs="Arial"/>
                <w:kern w:val="24"/>
                <w:sz w:val="20"/>
                <w:szCs w:val="20"/>
                <w:lang w:eastAsia="es-CO"/>
              </w:rPr>
              <w:t>Significativo</w:t>
            </w:r>
          </w:p>
        </w:tc>
      </w:tr>
      <w:tr w:rsidR="00E63F45" w:rsidRPr="004068F6" w14:paraId="4796F4FE" w14:textId="77777777">
        <w:trPr>
          <w:trHeight w:val="584"/>
          <w:jc w:val="center"/>
        </w:trPr>
        <w:tc>
          <w:tcPr>
            <w:tcW w:w="2349" w:type="dxa"/>
            <w:vAlign w:val="center"/>
            <w:hideMark/>
          </w:tcPr>
          <w:p w14:paraId="3684CFC3" w14:textId="77777777" w:rsidR="00E63F45" w:rsidRPr="00A12CE0" w:rsidRDefault="00E63F45">
            <w:pPr>
              <w:overflowPunct/>
              <w:autoSpaceDE/>
              <w:autoSpaceDN/>
              <w:adjustRightInd/>
              <w:ind w:right="662"/>
              <w:jc w:val="right"/>
              <w:textAlignment w:val="auto"/>
              <w:rPr>
                <w:rFonts w:cs="Arial"/>
                <w:sz w:val="20"/>
                <w:szCs w:val="20"/>
                <w:lang w:eastAsia="es-CO"/>
              </w:rPr>
            </w:pPr>
            <w:r w:rsidRPr="00A12CE0">
              <w:rPr>
                <w:rFonts w:cs="Arial"/>
                <w:kern w:val="24"/>
                <w:sz w:val="20"/>
                <w:szCs w:val="20"/>
                <w:lang w:eastAsia="es-CO"/>
              </w:rPr>
              <w:t>&gt; 50 - 75</w:t>
            </w:r>
          </w:p>
        </w:tc>
        <w:tc>
          <w:tcPr>
            <w:tcW w:w="2349" w:type="dxa"/>
            <w:vAlign w:val="center"/>
            <w:hideMark/>
          </w:tcPr>
          <w:p w14:paraId="20234814" w14:textId="77777777" w:rsidR="00E63F45" w:rsidRPr="00A12CE0" w:rsidRDefault="00E63F45">
            <w:pPr>
              <w:overflowPunct/>
              <w:autoSpaceDE/>
              <w:autoSpaceDN/>
              <w:adjustRightInd/>
              <w:jc w:val="center"/>
              <w:textAlignment w:val="auto"/>
              <w:rPr>
                <w:rFonts w:cs="Arial"/>
                <w:sz w:val="20"/>
                <w:szCs w:val="20"/>
                <w:lang w:eastAsia="es-CO"/>
              </w:rPr>
            </w:pPr>
            <w:r w:rsidRPr="00A12CE0">
              <w:rPr>
                <w:rFonts w:cs="Arial"/>
                <w:kern w:val="24"/>
                <w:sz w:val="20"/>
                <w:szCs w:val="20"/>
                <w:lang w:eastAsia="es-CO"/>
              </w:rPr>
              <w:t>Alto</w:t>
            </w:r>
          </w:p>
        </w:tc>
        <w:tc>
          <w:tcPr>
            <w:tcW w:w="2197" w:type="dxa"/>
            <w:vMerge/>
            <w:vAlign w:val="center"/>
            <w:hideMark/>
          </w:tcPr>
          <w:p w14:paraId="0490F1C0" w14:textId="77777777" w:rsidR="00E63F45" w:rsidRPr="004068F6" w:rsidRDefault="00E63F45">
            <w:pPr>
              <w:overflowPunct/>
              <w:autoSpaceDE/>
              <w:autoSpaceDN/>
              <w:adjustRightInd/>
              <w:jc w:val="left"/>
              <w:textAlignment w:val="auto"/>
              <w:rPr>
                <w:rFonts w:cs="Arial"/>
                <w:lang w:eastAsia="es-CO"/>
              </w:rPr>
            </w:pPr>
          </w:p>
        </w:tc>
      </w:tr>
      <w:tr w:rsidR="00E63F45" w:rsidRPr="004068F6" w14:paraId="35E03B2E" w14:textId="77777777">
        <w:trPr>
          <w:trHeight w:val="584"/>
          <w:jc w:val="center"/>
        </w:trPr>
        <w:tc>
          <w:tcPr>
            <w:tcW w:w="2349" w:type="dxa"/>
            <w:vAlign w:val="center"/>
            <w:hideMark/>
          </w:tcPr>
          <w:p w14:paraId="05418E7E" w14:textId="77777777" w:rsidR="00E63F45" w:rsidRPr="00A12CE0" w:rsidRDefault="00E63F45">
            <w:pPr>
              <w:overflowPunct/>
              <w:autoSpaceDE/>
              <w:autoSpaceDN/>
              <w:adjustRightInd/>
              <w:ind w:right="662"/>
              <w:jc w:val="right"/>
              <w:textAlignment w:val="auto"/>
              <w:rPr>
                <w:rFonts w:cs="Arial"/>
                <w:sz w:val="20"/>
                <w:szCs w:val="20"/>
                <w:lang w:eastAsia="es-CO"/>
              </w:rPr>
            </w:pPr>
            <w:r w:rsidRPr="00A12CE0">
              <w:rPr>
                <w:rFonts w:cs="Arial"/>
                <w:kern w:val="24"/>
                <w:sz w:val="20"/>
                <w:szCs w:val="20"/>
                <w:lang w:eastAsia="es-CO"/>
              </w:rPr>
              <w:t>&gt; 75 - 100</w:t>
            </w:r>
          </w:p>
        </w:tc>
        <w:tc>
          <w:tcPr>
            <w:tcW w:w="2349" w:type="dxa"/>
            <w:vAlign w:val="center"/>
            <w:hideMark/>
          </w:tcPr>
          <w:p w14:paraId="3F041F90" w14:textId="77777777" w:rsidR="00E63F45" w:rsidRPr="00A12CE0" w:rsidRDefault="00E63F45">
            <w:pPr>
              <w:overflowPunct/>
              <w:autoSpaceDE/>
              <w:autoSpaceDN/>
              <w:adjustRightInd/>
              <w:jc w:val="center"/>
              <w:textAlignment w:val="auto"/>
              <w:rPr>
                <w:rFonts w:cs="Arial"/>
                <w:sz w:val="20"/>
                <w:szCs w:val="20"/>
                <w:lang w:eastAsia="es-CO"/>
              </w:rPr>
            </w:pPr>
            <w:r w:rsidRPr="00A12CE0">
              <w:rPr>
                <w:rFonts w:cs="Arial"/>
                <w:kern w:val="24"/>
                <w:sz w:val="20"/>
                <w:szCs w:val="20"/>
                <w:lang w:eastAsia="es-CO"/>
              </w:rPr>
              <w:t>Muy alto</w:t>
            </w:r>
          </w:p>
        </w:tc>
        <w:tc>
          <w:tcPr>
            <w:tcW w:w="2197" w:type="dxa"/>
            <w:vMerge/>
            <w:vAlign w:val="center"/>
            <w:hideMark/>
          </w:tcPr>
          <w:p w14:paraId="1C3B9C19" w14:textId="77777777" w:rsidR="00E63F45" w:rsidRPr="004068F6" w:rsidRDefault="00E63F45">
            <w:pPr>
              <w:overflowPunct/>
              <w:autoSpaceDE/>
              <w:autoSpaceDN/>
              <w:adjustRightInd/>
              <w:jc w:val="left"/>
              <w:textAlignment w:val="auto"/>
              <w:rPr>
                <w:rFonts w:cs="Arial"/>
                <w:lang w:eastAsia="es-CO"/>
              </w:rPr>
            </w:pPr>
          </w:p>
        </w:tc>
      </w:tr>
    </w:tbl>
    <w:p w14:paraId="764B3437" w14:textId="77777777" w:rsidR="00E63F45" w:rsidRPr="004068F6" w:rsidRDefault="00E63F45" w:rsidP="00E63F45">
      <w:pPr>
        <w:numPr>
          <w:ilvl w:val="12"/>
          <w:numId w:val="0"/>
        </w:numPr>
        <w:tabs>
          <w:tab w:val="left" w:pos="-2268"/>
        </w:tabs>
        <w:suppressAutoHyphens/>
        <w:rPr>
          <w:rFonts w:cs="Arial"/>
          <w:spacing w:val="-3"/>
        </w:rPr>
      </w:pPr>
    </w:p>
    <w:p w14:paraId="2DFD0946" w14:textId="5F687268" w:rsidR="00E63F45" w:rsidRPr="004068F6" w:rsidRDefault="00E63F45" w:rsidP="00E63F45">
      <w:pPr>
        <w:numPr>
          <w:ilvl w:val="12"/>
          <w:numId w:val="0"/>
        </w:numPr>
        <w:tabs>
          <w:tab w:val="left" w:pos="-2268"/>
        </w:tabs>
        <w:suppressAutoHyphens/>
        <w:rPr>
          <w:rFonts w:cs="Arial"/>
          <w:spacing w:val="-3"/>
        </w:rPr>
      </w:pPr>
      <w:r w:rsidRPr="004068F6">
        <w:rPr>
          <w:rFonts w:cs="Arial"/>
          <w:spacing w:val="-3"/>
        </w:rPr>
        <w:t>Una determinación</w:t>
      </w:r>
      <w:r w:rsidRPr="004068F6" w:rsidDel="000845EB">
        <w:rPr>
          <w:rFonts w:cs="Arial"/>
          <w:spacing w:val="-3"/>
        </w:rPr>
        <w:t xml:space="preserve"> </w:t>
      </w:r>
      <w:r w:rsidRPr="004068F6">
        <w:rPr>
          <w:rFonts w:cs="Arial"/>
          <w:spacing w:val="-3"/>
        </w:rPr>
        <w:t xml:space="preserve">y valoración preliminar de impactos conlleva a una delimitación preliminar del área de influencia; sin embargo, al caracterizar y adquirir conocimiento de tal área de influencia preliminar es posible descartar o reconocer otros impactos generados por el proyecto, obra o actividad lo que, a su vez, implica ejecutar la </w:t>
      </w:r>
      <w:r w:rsidR="0068433C" w:rsidRPr="004068F6">
        <w:rPr>
          <w:rFonts w:cs="Arial"/>
          <w:spacing w:val="-3"/>
        </w:rPr>
        <w:t xml:space="preserve">valoración </w:t>
      </w:r>
      <w:r w:rsidRPr="004068F6">
        <w:rPr>
          <w:rFonts w:cs="Arial"/>
          <w:spacing w:val="-3"/>
        </w:rPr>
        <w:t xml:space="preserve">nuevamente y reconsiderar la extensión del área de influencia de acuerdo con los impactos que resulten significativos. Este proceso se debe ejecutar de forma sucesiva hasta hallar un área que cumpla con la definición de área de influencia según los impactos ambientales significativos que se </w:t>
      </w:r>
      <w:r w:rsidR="00117D2C" w:rsidRPr="004068F6">
        <w:rPr>
          <w:rFonts w:cs="Arial"/>
          <w:spacing w:val="-3"/>
        </w:rPr>
        <w:t>determinen</w:t>
      </w:r>
      <w:r w:rsidRPr="004068F6">
        <w:rPr>
          <w:rFonts w:cs="Arial"/>
          <w:spacing w:val="-3"/>
        </w:rPr>
        <w:t>.</w:t>
      </w:r>
    </w:p>
    <w:p w14:paraId="6CBD50EF" w14:textId="77777777" w:rsidR="00DB375D" w:rsidRPr="004068F6" w:rsidRDefault="00DB375D" w:rsidP="00E63F45">
      <w:pPr>
        <w:numPr>
          <w:ilvl w:val="12"/>
          <w:numId w:val="0"/>
        </w:numPr>
        <w:tabs>
          <w:tab w:val="left" w:pos="-2268"/>
        </w:tabs>
        <w:suppressAutoHyphens/>
        <w:rPr>
          <w:rFonts w:cs="Arial"/>
          <w:spacing w:val="-3"/>
        </w:rPr>
      </w:pPr>
    </w:p>
    <w:p w14:paraId="5B4A46E2" w14:textId="77777777" w:rsidR="00715995" w:rsidRPr="00466E26" w:rsidRDefault="00715995" w:rsidP="000A1E20">
      <w:pPr>
        <w:pStyle w:val="Ttulo3"/>
      </w:pPr>
      <w:bookmarkStart w:id="3326" w:name="_Ref148077260"/>
      <w:bookmarkStart w:id="3327" w:name="_Toc230879700"/>
      <w:r w:rsidRPr="00466E26">
        <w:t>Evaluación de los impactos ambientales residuales acumulativos y sinérgicos</w:t>
      </w:r>
      <w:bookmarkEnd w:id="3326"/>
      <w:bookmarkEnd w:id="3327"/>
    </w:p>
    <w:p w14:paraId="01C7AEA6" w14:textId="77777777" w:rsidR="00D01575" w:rsidRPr="004068F6" w:rsidRDefault="00D01575" w:rsidP="00715995">
      <w:pPr>
        <w:numPr>
          <w:ilvl w:val="12"/>
          <w:numId w:val="0"/>
        </w:numPr>
        <w:tabs>
          <w:tab w:val="left" w:pos="-2268"/>
        </w:tabs>
        <w:suppressAutoHyphens/>
        <w:rPr>
          <w:spacing w:val="-3"/>
        </w:rPr>
      </w:pPr>
    </w:p>
    <w:p w14:paraId="6733B993" w14:textId="77777777" w:rsidR="00B96A39" w:rsidRPr="004068F6" w:rsidRDefault="00581F18" w:rsidP="00DB375D">
      <w:pPr>
        <w:numPr>
          <w:ilvl w:val="12"/>
          <w:numId w:val="0"/>
        </w:numPr>
        <w:tabs>
          <w:tab w:val="left" w:pos="-2268"/>
        </w:tabs>
        <w:suppressAutoHyphens/>
        <w:rPr>
          <w:rFonts w:cs="Arial"/>
          <w:spacing w:val="-3"/>
        </w:rPr>
      </w:pPr>
      <w:r w:rsidRPr="004068F6">
        <w:rPr>
          <w:rFonts w:cs="Arial"/>
          <w:spacing w:val="-3"/>
        </w:rPr>
        <w:t xml:space="preserve">El propósito de </w:t>
      </w:r>
      <w:r w:rsidR="00A949E1" w:rsidRPr="004068F6">
        <w:rPr>
          <w:rFonts w:cs="Arial"/>
          <w:spacing w:val="-3"/>
        </w:rPr>
        <w:t xml:space="preserve">esta evaluación es </w:t>
      </w:r>
      <w:r w:rsidR="00C8143E" w:rsidRPr="004068F6">
        <w:rPr>
          <w:rFonts w:cs="Arial"/>
          <w:spacing w:val="-3"/>
        </w:rPr>
        <w:t>replante</w:t>
      </w:r>
      <w:r w:rsidR="0030701F" w:rsidRPr="004068F6">
        <w:rPr>
          <w:rFonts w:cs="Arial"/>
          <w:spacing w:val="-3"/>
        </w:rPr>
        <w:t xml:space="preserve">ar </w:t>
      </w:r>
      <w:r w:rsidR="00C8143E" w:rsidRPr="004068F6">
        <w:rPr>
          <w:rFonts w:cs="Arial"/>
          <w:spacing w:val="-3"/>
        </w:rPr>
        <w:t>y mejora</w:t>
      </w:r>
      <w:r w:rsidR="0030701F" w:rsidRPr="004068F6">
        <w:rPr>
          <w:rFonts w:cs="Arial"/>
          <w:spacing w:val="-3"/>
        </w:rPr>
        <w:t>r</w:t>
      </w:r>
      <w:r w:rsidR="00C8143E" w:rsidRPr="004068F6">
        <w:rPr>
          <w:rFonts w:cs="Arial"/>
          <w:spacing w:val="-3"/>
        </w:rPr>
        <w:t xml:space="preserve"> las medidas de manejo </w:t>
      </w:r>
      <w:r w:rsidR="0030701F" w:rsidRPr="004068F6">
        <w:rPr>
          <w:rFonts w:cs="Arial"/>
          <w:spacing w:val="-3"/>
        </w:rPr>
        <w:t xml:space="preserve">para </w:t>
      </w:r>
      <w:r w:rsidR="004B099D" w:rsidRPr="004068F6">
        <w:rPr>
          <w:rFonts w:cs="Arial"/>
          <w:spacing w:val="-3"/>
        </w:rPr>
        <w:t xml:space="preserve">reducir </w:t>
      </w:r>
      <w:r w:rsidR="00B26B03" w:rsidRPr="004068F6">
        <w:rPr>
          <w:rFonts w:cs="Arial"/>
          <w:spacing w:val="-3"/>
        </w:rPr>
        <w:t xml:space="preserve">la cantidad y significancia de los impactos ambientales residuales </w:t>
      </w:r>
      <w:r w:rsidR="00EB201E" w:rsidRPr="004068F6">
        <w:rPr>
          <w:rFonts w:cs="Arial"/>
          <w:spacing w:val="-3"/>
        </w:rPr>
        <w:t>que se acumula</w:t>
      </w:r>
      <w:r w:rsidR="00420D53" w:rsidRPr="004068F6">
        <w:rPr>
          <w:rFonts w:cs="Arial"/>
          <w:spacing w:val="-3"/>
        </w:rPr>
        <w:t>n</w:t>
      </w:r>
      <w:r w:rsidR="00EB201E" w:rsidRPr="004068F6">
        <w:rPr>
          <w:rFonts w:cs="Arial"/>
          <w:spacing w:val="-3"/>
        </w:rPr>
        <w:t xml:space="preserve"> o </w:t>
      </w:r>
      <w:r w:rsidR="00420D53" w:rsidRPr="004068F6">
        <w:rPr>
          <w:rFonts w:cs="Arial"/>
          <w:spacing w:val="-3"/>
        </w:rPr>
        <w:t xml:space="preserve">que </w:t>
      </w:r>
      <w:r w:rsidR="00EB201E" w:rsidRPr="004068F6">
        <w:rPr>
          <w:rFonts w:cs="Arial"/>
          <w:spacing w:val="-3"/>
        </w:rPr>
        <w:t>genera</w:t>
      </w:r>
      <w:r w:rsidR="00D80EE9" w:rsidRPr="004068F6">
        <w:rPr>
          <w:rFonts w:cs="Arial"/>
          <w:spacing w:val="-3"/>
        </w:rPr>
        <w:t>n</w:t>
      </w:r>
      <w:r w:rsidR="00EB201E" w:rsidRPr="004068F6">
        <w:rPr>
          <w:rFonts w:cs="Arial"/>
          <w:spacing w:val="-3"/>
        </w:rPr>
        <w:t xml:space="preserve"> sinergias </w:t>
      </w:r>
      <w:r w:rsidR="00B26B03" w:rsidRPr="004068F6">
        <w:rPr>
          <w:rFonts w:cs="Arial"/>
          <w:spacing w:val="-3"/>
        </w:rPr>
        <w:t>y</w:t>
      </w:r>
      <w:r w:rsidR="00EF1251" w:rsidRPr="004068F6">
        <w:rPr>
          <w:rFonts w:cs="Arial"/>
          <w:spacing w:val="-3"/>
        </w:rPr>
        <w:t xml:space="preserve">, de esta forma, </w:t>
      </w:r>
      <w:r w:rsidR="00A949E1" w:rsidRPr="004068F6">
        <w:rPr>
          <w:rFonts w:cs="Arial"/>
          <w:spacing w:val="-3"/>
        </w:rPr>
        <w:t>increment</w:t>
      </w:r>
      <w:r w:rsidR="0073731E" w:rsidRPr="004068F6">
        <w:rPr>
          <w:rFonts w:cs="Arial"/>
          <w:spacing w:val="-3"/>
        </w:rPr>
        <w:t>ar</w:t>
      </w:r>
      <w:r w:rsidR="00A949E1" w:rsidRPr="004068F6">
        <w:rPr>
          <w:rFonts w:cs="Arial"/>
          <w:spacing w:val="-3"/>
        </w:rPr>
        <w:t xml:space="preserve"> la efectividad del proceso </w:t>
      </w:r>
      <w:r w:rsidR="0073731E" w:rsidRPr="004068F6">
        <w:rPr>
          <w:rFonts w:cs="Arial"/>
          <w:spacing w:val="-3"/>
        </w:rPr>
        <w:t>de licenciamiento ambiental</w:t>
      </w:r>
      <w:r w:rsidR="00B26B03" w:rsidRPr="004068F6">
        <w:rPr>
          <w:rFonts w:cs="Arial"/>
          <w:spacing w:val="-3"/>
        </w:rPr>
        <w:t>.</w:t>
      </w:r>
    </w:p>
    <w:p w14:paraId="633C2FFA" w14:textId="77777777" w:rsidR="00B96A39" w:rsidRPr="004068F6" w:rsidRDefault="00B96A39" w:rsidP="00DB375D">
      <w:pPr>
        <w:numPr>
          <w:ilvl w:val="12"/>
          <w:numId w:val="0"/>
        </w:numPr>
        <w:tabs>
          <w:tab w:val="left" w:pos="-2268"/>
        </w:tabs>
        <w:suppressAutoHyphens/>
        <w:rPr>
          <w:rFonts w:cs="Arial"/>
          <w:spacing w:val="-3"/>
        </w:rPr>
      </w:pPr>
    </w:p>
    <w:p w14:paraId="32E5038D" w14:textId="77777777" w:rsidR="00FA10AF" w:rsidRDefault="00F62B7A" w:rsidP="00DB375D">
      <w:pPr>
        <w:numPr>
          <w:ilvl w:val="12"/>
          <w:numId w:val="0"/>
        </w:numPr>
        <w:tabs>
          <w:tab w:val="left" w:pos="-2268"/>
        </w:tabs>
        <w:suppressAutoHyphens/>
        <w:rPr>
          <w:rFonts w:cs="Arial"/>
          <w:spacing w:val="-3"/>
        </w:rPr>
      </w:pPr>
      <w:r w:rsidRPr="004068F6">
        <w:rPr>
          <w:rFonts w:cs="Arial"/>
          <w:spacing w:val="-3"/>
        </w:rPr>
        <w:t xml:space="preserve">Es preciso </w:t>
      </w:r>
      <w:r w:rsidR="00446D69" w:rsidRPr="004068F6">
        <w:rPr>
          <w:rFonts w:cs="Arial"/>
          <w:spacing w:val="-3"/>
        </w:rPr>
        <w:t xml:space="preserve">tener en cuenta </w:t>
      </w:r>
      <w:r w:rsidR="00A912CA" w:rsidRPr="004068F6">
        <w:rPr>
          <w:rFonts w:cs="Arial"/>
          <w:spacing w:val="-3"/>
        </w:rPr>
        <w:t xml:space="preserve">que esta evaluación se desarrolla con la información </w:t>
      </w:r>
      <w:r w:rsidR="00867E9A" w:rsidRPr="004068F6">
        <w:rPr>
          <w:rFonts w:cs="Arial"/>
          <w:spacing w:val="-3"/>
        </w:rPr>
        <w:t xml:space="preserve">que ha sido recopilada y desarrollada a lo largo del EIA </w:t>
      </w:r>
      <w:r w:rsidR="009A26A1" w:rsidRPr="004068F6">
        <w:rPr>
          <w:rFonts w:cs="Arial"/>
          <w:spacing w:val="-3"/>
        </w:rPr>
        <w:t>y que no implica esfuerzos adicionales de caracterización o procesamiento de datos</w:t>
      </w:r>
      <w:r w:rsidR="000B394E" w:rsidRPr="004068F6">
        <w:rPr>
          <w:rFonts w:cs="Arial"/>
          <w:spacing w:val="-3"/>
        </w:rPr>
        <w:t>; adicionalmente</w:t>
      </w:r>
      <w:r w:rsidR="00E4465A" w:rsidRPr="004068F6">
        <w:rPr>
          <w:rFonts w:cs="Arial"/>
          <w:spacing w:val="-3"/>
        </w:rPr>
        <w:t>,</w:t>
      </w:r>
      <w:r w:rsidR="000B394E" w:rsidRPr="004068F6">
        <w:rPr>
          <w:rFonts w:cs="Arial"/>
          <w:spacing w:val="-3"/>
        </w:rPr>
        <w:t xml:space="preserve"> </w:t>
      </w:r>
      <w:r w:rsidR="00E4465A" w:rsidRPr="004068F6">
        <w:rPr>
          <w:rFonts w:cs="Arial"/>
          <w:spacing w:val="-3"/>
        </w:rPr>
        <w:t>se deben tener presentes</w:t>
      </w:r>
      <w:r w:rsidR="009A26A1" w:rsidRPr="004068F6">
        <w:rPr>
          <w:rFonts w:cs="Arial"/>
          <w:spacing w:val="-3"/>
        </w:rPr>
        <w:t xml:space="preserve"> </w:t>
      </w:r>
      <w:r w:rsidR="00AD4FB7" w:rsidRPr="004068F6">
        <w:rPr>
          <w:rFonts w:cs="Arial"/>
          <w:spacing w:val="-3"/>
        </w:rPr>
        <w:t xml:space="preserve">las siguientes </w:t>
      </w:r>
      <w:r w:rsidR="00C63CE7" w:rsidRPr="004068F6">
        <w:rPr>
          <w:rFonts w:cs="Arial"/>
          <w:spacing w:val="-3"/>
        </w:rPr>
        <w:t xml:space="preserve">características de </w:t>
      </w:r>
      <w:r w:rsidR="00E72F11" w:rsidRPr="004068F6">
        <w:rPr>
          <w:rFonts w:cs="Arial"/>
          <w:spacing w:val="-3"/>
        </w:rPr>
        <w:t xml:space="preserve">la evaluación de los impactos ambientales </w:t>
      </w:r>
      <w:r w:rsidR="00E72F11" w:rsidRPr="00127BD4">
        <w:rPr>
          <w:rFonts w:cs="Arial"/>
          <w:i/>
          <w:iCs/>
          <w:spacing w:val="-3"/>
        </w:rPr>
        <w:t>residuales</w:t>
      </w:r>
      <w:r w:rsidR="00E72F11" w:rsidRPr="004068F6">
        <w:rPr>
          <w:rFonts w:cs="Arial"/>
          <w:spacing w:val="-3"/>
        </w:rPr>
        <w:t xml:space="preserve"> acumulativos y sinérgicos</w:t>
      </w:r>
      <w:r w:rsidR="00C63CE7" w:rsidRPr="004068F6">
        <w:rPr>
          <w:rFonts w:cs="Arial"/>
          <w:spacing w:val="-3"/>
        </w:rPr>
        <w:t xml:space="preserve"> que</w:t>
      </w:r>
      <w:r w:rsidR="002A0007" w:rsidRPr="004068F6">
        <w:rPr>
          <w:rFonts w:cs="Arial"/>
          <w:spacing w:val="-3"/>
        </w:rPr>
        <w:t>, por ser posterior y complementaria,</w:t>
      </w:r>
      <w:r w:rsidR="00C63CE7" w:rsidRPr="004068F6">
        <w:rPr>
          <w:rFonts w:cs="Arial"/>
          <w:spacing w:val="-3"/>
        </w:rPr>
        <w:t xml:space="preserve"> la </w:t>
      </w:r>
      <w:r w:rsidR="00045B77" w:rsidRPr="004068F6">
        <w:rPr>
          <w:rFonts w:cs="Arial"/>
          <w:spacing w:val="-3"/>
        </w:rPr>
        <w:t>diferencia</w:t>
      </w:r>
      <w:r w:rsidR="00C63CE7" w:rsidRPr="004068F6">
        <w:rPr>
          <w:rFonts w:cs="Arial"/>
          <w:spacing w:val="-3"/>
        </w:rPr>
        <w:t>n</w:t>
      </w:r>
      <w:r w:rsidR="00045B77" w:rsidRPr="004068F6">
        <w:rPr>
          <w:rFonts w:cs="Arial"/>
          <w:spacing w:val="-3"/>
        </w:rPr>
        <w:t xml:space="preserve"> </w:t>
      </w:r>
      <w:r w:rsidR="00034235" w:rsidRPr="004068F6">
        <w:rPr>
          <w:rFonts w:cs="Arial"/>
          <w:spacing w:val="-3"/>
        </w:rPr>
        <w:t xml:space="preserve">de la evaluación </w:t>
      </w:r>
      <w:r w:rsidR="00C63CE7" w:rsidRPr="004068F6">
        <w:rPr>
          <w:rFonts w:cs="Arial"/>
          <w:spacing w:val="-3"/>
        </w:rPr>
        <w:t>tradicional de impactos</w:t>
      </w:r>
      <w:r w:rsidR="00EF5D77" w:rsidRPr="004068F6">
        <w:rPr>
          <w:rFonts w:cs="Arial"/>
          <w:spacing w:val="-3"/>
        </w:rPr>
        <w:t>:</w:t>
      </w:r>
    </w:p>
    <w:p w14:paraId="0F0744DE" w14:textId="77777777" w:rsidR="00FA10AF" w:rsidRDefault="00FA10AF" w:rsidP="00DB375D">
      <w:pPr>
        <w:numPr>
          <w:ilvl w:val="12"/>
          <w:numId w:val="0"/>
        </w:numPr>
        <w:tabs>
          <w:tab w:val="left" w:pos="-2268"/>
        </w:tabs>
        <w:suppressAutoHyphens/>
        <w:rPr>
          <w:rFonts w:cs="Arial"/>
          <w:spacing w:val="-3"/>
        </w:rPr>
      </w:pPr>
    </w:p>
    <w:p w14:paraId="297624A5" w14:textId="7B1D1451" w:rsidR="00FA68EB" w:rsidRDefault="00FA68EB" w:rsidP="00FA68EB">
      <w:pPr>
        <w:pStyle w:val="Prrafodelista"/>
        <w:numPr>
          <w:ilvl w:val="0"/>
          <w:numId w:val="801"/>
        </w:numPr>
        <w:tabs>
          <w:tab w:val="left" w:pos="-2268"/>
        </w:tabs>
        <w:suppressAutoHyphens/>
        <w:ind w:left="567" w:hanging="567"/>
        <w:rPr>
          <w:rFonts w:cs="Arial"/>
          <w:spacing w:val="-3"/>
        </w:rPr>
      </w:pPr>
      <w:r>
        <w:rPr>
          <w:rFonts w:cs="Arial"/>
          <w:spacing w:val="-3"/>
        </w:rPr>
        <w:t>T</w:t>
      </w:r>
      <w:r w:rsidR="00EF5D77" w:rsidRPr="00E64F04">
        <w:rPr>
          <w:rFonts w:cs="Arial"/>
          <w:spacing w:val="-3"/>
        </w:rPr>
        <w:t>ie</w:t>
      </w:r>
      <w:r w:rsidR="003966E0" w:rsidRPr="00E64F04">
        <w:rPr>
          <w:rFonts w:cs="Arial"/>
          <w:spacing w:val="-3"/>
        </w:rPr>
        <w:t>ne en cuenta las medidas de manejo del proyecto, obra o actividad</w:t>
      </w:r>
      <w:r>
        <w:rPr>
          <w:rFonts w:cs="Arial"/>
          <w:spacing w:val="-3"/>
        </w:rPr>
        <w:t>.</w:t>
      </w:r>
    </w:p>
    <w:p w14:paraId="1F72A74B" w14:textId="77777777" w:rsidR="00FA68EB" w:rsidRPr="00E64F04" w:rsidRDefault="00FA68EB" w:rsidP="00E64F04">
      <w:pPr>
        <w:tabs>
          <w:tab w:val="left" w:pos="-2268"/>
        </w:tabs>
        <w:suppressAutoHyphens/>
        <w:rPr>
          <w:rFonts w:cs="Arial"/>
          <w:spacing w:val="-3"/>
        </w:rPr>
      </w:pPr>
    </w:p>
    <w:p w14:paraId="4FAD3879" w14:textId="0C67B7F6" w:rsidR="00B626C9" w:rsidRDefault="00FA68EB" w:rsidP="00FA68EB">
      <w:pPr>
        <w:pStyle w:val="Prrafodelista"/>
        <w:numPr>
          <w:ilvl w:val="0"/>
          <w:numId w:val="801"/>
        </w:numPr>
        <w:tabs>
          <w:tab w:val="left" w:pos="-2268"/>
        </w:tabs>
        <w:suppressAutoHyphens/>
        <w:ind w:left="567" w:hanging="567"/>
        <w:rPr>
          <w:rFonts w:cs="Arial"/>
          <w:spacing w:val="-3"/>
        </w:rPr>
      </w:pPr>
      <w:r>
        <w:rPr>
          <w:rFonts w:cs="Arial"/>
          <w:spacing w:val="-3"/>
        </w:rPr>
        <w:lastRenderedPageBreak/>
        <w:t>B</w:t>
      </w:r>
      <w:r w:rsidR="00CB4CB8" w:rsidRPr="00E64F04">
        <w:rPr>
          <w:rFonts w:cs="Arial"/>
          <w:spacing w:val="-3"/>
        </w:rPr>
        <w:t xml:space="preserve">usca mejorar las medidas de manejo </w:t>
      </w:r>
      <w:r w:rsidR="000D5F1F" w:rsidRPr="00E64F04">
        <w:rPr>
          <w:rFonts w:cs="Arial"/>
          <w:spacing w:val="-3"/>
        </w:rPr>
        <w:t>planteadas para para reducir la cantidad y significancia de los impactos ambientales residuales que se acumulan o que generan sinergias</w:t>
      </w:r>
      <w:r w:rsidR="00B626C9">
        <w:rPr>
          <w:rFonts w:cs="Arial"/>
          <w:spacing w:val="-3"/>
        </w:rPr>
        <w:t>.</w:t>
      </w:r>
    </w:p>
    <w:p w14:paraId="435C4DF4" w14:textId="77777777" w:rsidR="00B626C9" w:rsidRPr="00E64F04" w:rsidRDefault="00B626C9" w:rsidP="00E64F04">
      <w:pPr>
        <w:rPr>
          <w:rFonts w:cs="Arial"/>
          <w:spacing w:val="-3"/>
        </w:rPr>
      </w:pPr>
    </w:p>
    <w:p w14:paraId="3A2396C7" w14:textId="4281CDFC" w:rsidR="00B626C9" w:rsidRDefault="00B626C9" w:rsidP="00FA68EB">
      <w:pPr>
        <w:pStyle w:val="Prrafodelista"/>
        <w:numPr>
          <w:ilvl w:val="0"/>
          <w:numId w:val="801"/>
        </w:numPr>
        <w:tabs>
          <w:tab w:val="left" w:pos="-2268"/>
        </w:tabs>
        <w:suppressAutoHyphens/>
        <w:ind w:left="567" w:hanging="567"/>
        <w:rPr>
          <w:rFonts w:cs="Arial"/>
          <w:spacing w:val="-3"/>
        </w:rPr>
      </w:pPr>
      <w:r>
        <w:rPr>
          <w:rFonts w:cs="Arial"/>
          <w:spacing w:val="-3"/>
        </w:rPr>
        <w:t>N</w:t>
      </w:r>
      <w:r w:rsidR="00E90F67" w:rsidRPr="00E64F04">
        <w:rPr>
          <w:rFonts w:cs="Arial"/>
          <w:spacing w:val="-3"/>
        </w:rPr>
        <w:t xml:space="preserve">o </w:t>
      </w:r>
      <w:r w:rsidR="005E36AD" w:rsidRPr="00E64F04">
        <w:rPr>
          <w:rFonts w:cs="Arial"/>
          <w:spacing w:val="-3"/>
        </w:rPr>
        <w:t>s</w:t>
      </w:r>
      <w:r w:rsidR="00E90F67" w:rsidRPr="00E64F04">
        <w:rPr>
          <w:rFonts w:cs="Arial"/>
          <w:spacing w:val="-3"/>
        </w:rPr>
        <w:t>e desarrolla para determinar la significancia de los impactos</w:t>
      </w:r>
      <w:r>
        <w:rPr>
          <w:rFonts w:cs="Arial"/>
          <w:spacing w:val="-3"/>
        </w:rPr>
        <w:t>.</w:t>
      </w:r>
    </w:p>
    <w:p w14:paraId="025C275D" w14:textId="77777777" w:rsidR="00B626C9" w:rsidRPr="00E64F04" w:rsidRDefault="00B626C9" w:rsidP="00E64F04">
      <w:pPr>
        <w:pStyle w:val="Prrafodelista"/>
        <w:rPr>
          <w:rFonts w:cs="Arial"/>
          <w:spacing w:val="-3"/>
        </w:rPr>
      </w:pPr>
    </w:p>
    <w:p w14:paraId="1E5474DC" w14:textId="07D54AEC" w:rsidR="00E90F67" w:rsidRPr="00E64F04" w:rsidRDefault="00B626C9" w:rsidP="00E64F04">
      <w:pPr>
        <w:pStyle w:val="Prrafodelista"/>
        <w:numPr>
          <w:ilvl w:val="0"/>
          <w:numId w:val="801"/>
        </w:numPr>
        <w:tabs>
          <w:tab w:val="left" w:pos="-2268"/>
        </w:tabs>
        <w:suppressAutoHyphens/>
        <w:ind w:left="567" w:hanging="567"/>
        <w:rPr>
          <w:rFonts w:cs="Arial"/>
          <w:spacing w:val="-3"/>
        </w:rPr>
      </w:pPr>
      <w:r>
        <w:rPr>
          <w:rFonts w:cs="Arial"/>
          <w:spacing w:val="-3"/>
        </w:rPr>
        <w:t>N</w:t>
      </w:r>
      <w:r w:rsidR="005E36AD" w:rsidRPr="00E64F04">
        <w:rPr>
          <w:rFonts w:cs="Arial"/>
          <w:spacing w:val="-3"/>
        </w:rPr>
        <w:t xml:space="preserve">o </w:t>
      </w:r>
      <w:r w:rsidR="00E90F67" w:rsidRPr="00E64F04">
        <w:rPr>
          <w:rFonts w:cs="Arial"/>
          <w:spacing w:val="-3"/>
        </w:rPr>
        <w:t xml:space="preserve">implica un ajuste del área de </w:t>
      </w:r>
      <w:r w:rsidR="005E36AD" w:rsidRPr="00E64F04">
        <w:rPr>
          <w:rFonts w:cs="Arial"/>
          <w:spacing w:val="-3"/>
        </w:rPr>
        <w:t>influencia del proyecto</w:t>
      </w:r>
      <w:r w:rsidR="00543D20" w:rsidRPr="00E64F04">
        <w:rPr>
          <w:rFonts w:cs="Arial"/>
          <w:spacing w:val="-3"/>
        </w:rPr>
        <w:t>.</w:t>
      </w:r>
    </w:p>
    <w:p w14:paraId="02970308" w14:textId="77777777" w:rsidR="00DB375D" w:rsidRPr="004068F6" w:rsidRDefault="00DB375D" w:rsidP="00715995">
      <w:pPr>
        <w:numPr>
          <w:ilvl w:val="12"/>
          <w:numId w:val="0"/>
        </w:numPr>
        <w:tabs>
          <w:tab w:val="left" w:pos="-2268"/>
        </w:tabs>
        <w:suppressAutoHyphens/>
        <w:rPr>
          <w:spacing w:val="-3"/>
        </w:rPr>
      </w:pPr>
    </w:p>
    <w:p w14:paraId="2B3D9317" w14:textId="63FA5A9A" w:rsidR="00715995" w:rsidRPr="004068F6" w:rsidRDefault="00071AA5" w:rsidP="00715995">
      <w:pPr>
        <w:numPr>
          <w:ilvl w:val="12"/>
          <w:numId w:val="0"/>
        </w:numPr>
        <w:tabs>
          <w:tab w:val="left" w:pos="-2268"/>
        </w:tabs>
        <w:suppressAutoHyphens/>
        <w:rPr>
          <w:spacing w:val="-3"/>
        </w:rPr>
      </w:pPr>
      <w:r w:rsidRPr="004068F6">
        <w:rPr>
          <w:spacing w:val="-3"/>
        </w:rPr>
        <w:t xml:space="preserve">La </w:t>
      </w:r>
      <w:r w:rsidR="00BD2D8A" w:rsidRPr="004068F6">
        <w:rPr>
          <w:spacing w:val="-3"/>
        </w:rPr>
        <w:t xml:space="preserve">evaluación </w:t>
      </w:r>
      <w:r w:rsidR="00E641AE" w:rsidRPr="004068F6">
        <w:rPr>
          <w:spacing w:val="-3"/>
        </w:rPr>
        <w:t xml:space="preserve">de los impactos ambientales residuales que son acumulativos o sinérgicos </w:t>
      </w:r>
      <w:r w:rsidR="00BD2D8A" w:rsidRPr="004068F6">
        <w:rPr>
          <w:spacing w:val="-3"/>
        </w:rPr>
        <w:t xml:space="preserve">se ejecuta </w:t>
      </w:r>
      <w:r w:rsidR="00AF7E50" w:rsidRPr="004068F6">
        <w:rPr>
          <w:spacing w:val="-3"/>
        </w:rPr>
        <w:t xml:space="preserve">mediante las siguientes actividades </w:t>
      </w:r>
      <w:r w:rsidR="00BD2D8A" w:rsidRPr="004068F6">
        <w:rPr>
          <w:spacing w:val="-3"/>
        </w:rPr>
        <w:t>u</w:t>
      </w:r>
      <w:r w:rsidR="00715995" w:rsidRPr="004068F6">
        <w:rPr>
          <w:spacing w:val="-3"/>
        </w:rPr>
        <w:t xml:space="preserve">na vez se ha realizado la determinación y valoración de los impactos ambientales y se han formulado las medidas para </w:t>
      </w:r>
      <w:r w:rsidR="00E25F46" w:rsidRPr="004068F6">
        <w:rPr>
          <w:spacing w:val="-3"/>
        </w:rPr>
        <w:t>prevenirlos</w:t>
      </w:r>
      <w:r w:rsidR="00715995" w:rsidRPr="004068F6">
        <w:rPr>
          <w:spacing w:val="-3"/>
        </w:rPr>
        <w:t>, mitigarlos, corregirlos y compensarlos</w:t>
      </w:r>
      <w:r w:rsidR="00407DFF" w:rsidRPr="004068F6">
        <w:rPr>
          <w:spacing w:val="-3"/>
        </w:rPr>
        <w:t xml:space="preserve"> </w:t>
      </w:r>
      <w:r w:rsidR="00715995" w:rsidRPr="004068F6">
        <w:rPr>
          <w:spacing w:val="-3"/>
        </w:rPr>
        <w:t xml:space="preserve">(ver </w:t>
      </w:r>
      <w:r w:rsidR="00715995" w:rsidRPr="004068F6">
        <w:rPr>
          <w:spacing w:val="-3"/>
        </w:rPr>
        <w:fldChar w:fldCharType="begin"/>
      </w:r>
      <w:r w:rsidR="00715995" w:rsidRPr="004068F6">
        <w:rPr>
          <w:spacing w:val="-3"/>
        </w:rPr>
        <w:instrText xml:space="preserve"> REF _Ref138670056 \h </w:instrText>
      </w:r>
      <w:r w:rsidR="00BD1319" w:rsidRPr="004068F6">
        <w:rPr>
          <w:spacing w:val="-3"/>
        </w:rPr>
        <w:instrText xml:space="preserve"> \* MERGEFORMAT </w:instrText>
      </w:r>
      <w:r w:rsidR="00715995" w:rsidRPr="004068F6">
        <w:rPr>
          <w:spacing w:val="-3"/>
        </w:rPr>
      </w:r>
      <w:r w:rsidR="00715995" w:rsidRPr="004068F6">
        <w:rPr>
          <w:spacing w:val="-3"/>
        </w:rPr>
        <w:fldChar w:fldCharType="separate"/>
      </w:r>
      <w:r w:rsidR="009C4A81" w:rsidRPr="004068F6">
        <w:t xml:space="preserve">Figura </w:t>
      </w:r>
      <w:r w:rsidR="009C4A81">
        <w:t>17</w:t>
      </w:r>
      <w:r w:rsidR="00715995" w:rsidRPr="004068F6">
        <w:rPr>
          <w:spacing w:val="-3"/>
        </w:rPr>
        <w:fldChar w:fldCharType="end"/>
      </w:r>
      <w:r w:rsidR="00715995" w:rsidRPr="004068F6">
        <w:rPr>
          <w:spacing w:val="-3"/>
        </w:rPr>
        <w:t>):</w:t>
      </w:r>
    </w:p>
    <w:p w14:paraId="74409FEF" w14:textId="77777777" w:rsidR="00715995" w:rsidRPr="004068F6" w:rsidRDefault="00715995" w:rsidP="00715995">
      <w:pPr>
        <w:numPr>
          <w:ilvl w:val="12"/>
          <w:numId w:val="0"/>
        </w:numPr>
        <w:tabs>
          <w:tab w:val="left" w:pos="-2268"/>
        </w:tabs>
        <w:suppressAutoHyphens/>
        <w:rPr>
          <w:spacing w:val="-3"/>
        </w:rPr>
      </w:pPr>
    </w:p>
    <w:p w14:paraId="6E449812" w14:textId="26F036CC" w:rsidR="00715995" w:rsidRPr="004068F6" w:rsidRDefault="00E15102" w:rsidP="00715995">
      <w:pPr>
        <w:pStyle w:val="Descripcin"/>
        <w:keepNext/>
      </w:pPr>
      <w:bookmarkStart w:id="3328" w:name="_Ref138670056"/>
      <w:r w:rsidRPr="00AA2094">
        <w:rPr>
          <w:rFonts w:ascii="Calibri" w:eastAsia="Calibri" w:hAnsi="Calibri" w:cs="Calibri"/>
          <w:noProof/>
          <w:lang w:eastAsia="es-CO"/>
        </w:rPr>
        <w:drawing>
          <wp:anchor distT="0" distB="0" distL="114300" distR="114300" simplePos="0" relativeHeight="251658246" behindDoc="0" locked="0" layoutInCell="1" allowOverlap="1" wp14:anchorId="0371AECD" wp14:editId="7CCCAC96">
            <wp:simplePos x="0" y="0"/>
            <wp:positionH relativeFrom="column">
              <wp:posOffset>375285</wp:posOffset>
            </wp:positionH>
            <wp:positionV relativeFrom="paragraph">
              <wp:posOffset>350520</wp:posOffset>
            </wp:positionV>
            <wp:extent cx="5158740" cy="3200400"/>
            <wp:effectExtent l="0" t="0" r="0" b="0"/>
            <wp:wrapTopAndBottom/>
            <wp:docPr id="764778720" name="Diagrama 7647787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r w:rsidR="00715995" w:rsidRPr="004068F6">
        <w:t xml:space="preserve">Figura </w:t>
      </w:r>
      <w:fldSimple w:instr=" SEQ Figura \* ARABIC ">
        <w:r w:rsidR="009C4A81">
          <w:rPr>
            <w:noProof/>
          </w:rPr>
          <w:t>17</w:t>
        </w:r>
      </w:fldSimple>
      <w:bookmarkEnd w:id="3328"/>
      <w:r w:rsidR="00715995" w:rsidRPr="004068F6">
        <w:t>.</w:t>
      </w:r>
      <w:r w:rsidR="00715995" w:rsidRPr="004068F6">
        <w:rPr>
          <w:b w:val="0"/>
          <w:bCs w:val="0"/>
        </w:rPr>
        <w:t xml:space="preserve"> Procedimiento para la evaluación de los impactos ambientales residuales acumulativos y sinérgicos</w:t>
      </w:r>
    </w:p>
    <w:p w14:paraId="2173C3E8" w14:textId="77777777" w:rsidR="00F032DE" w:rsidRPr="004068F6" w:rsidRDefault="00F032DE" w:rsidP="00715995">
      <w:pPr>
        <w:numPr>
          <w:ilvl w:val="12"/>
          <w:numId w:val="0"/>
        </w:numPr>
        <w:tabs>
          <w:tab w:val="left" w:pos="-2268"/>
        </w:tabs>
        <w:suppressAutoHyphens/>
        <w:rPr>
          <w:spacing w:val="-3"/>
        </w:rPr>
      </w:pPr>
    </w:p>
    <w:p w14:paraId="0750CC74" w14:textId="60A91DAE" w:rsidR="00715995" w:rsidRPr="004068F6" w:rsidRDefault="00715995" w:rsidP="00715995">
      <w:pPr>
        <w:pStyle w:val="Prrafodelista"/>
        <w:numPr>
          <w:ilvl w:val="0"/>
          <w:numId w:val="631"/>
        </w:numPr>
        <w:tabs>
          <w:tab w:val="left" w:pos="-2268"/>
        </w:tabs>
        <w:suppressAutoHyphens/>
        <w:ind w:left="567" w:hanging="567"/>
        <w:rPr>
          <w:spacing w:val="-3"/>
          <w:lang w:val="es-CO"/>
        </w:rPr>
      </w:pPr>
      <w:r w:rsidRPr="004068F6">
        <w:rPr>
          <w:spacing w:val="-3"/>
          <w:lang w:val="es-CO"/>
        </w:rPr>
        <w:t>Determinación de los impactos ambientales residuales del proyecto, obra o actividad</w:t>
      </w:r>
      <w:r w:rsidR="00453DF9" w:rsidRPr="004068F6">
        <w:rPr>
          <w:spacing w:val="-3"/>
          <w:lang w:val="es-CO"/>
        </w:rPr>
        <w:t xml:space="preserve"> a partir de los tipos y efectividad de las medidas de manejo;</w:t>
      </w:r>
      <w:r w:rsidRPr="004068F6">
        <w:rPr>
          <w:spacing w:val="-3"/>
          <w:lang w:val="es-CO"/>
        </w:rPr>
        <w:t xml:space="preserve"> es decir, </w:t>
      </w:r>
      <w:r w:rsidR="00453DF9" w:rsidRPr="004068F6">
        <w:rPr>
          <w:spacing w:val="-3"/>
          <w:lang w:val="es-CO"/>
        </w:rPr>
        <w:t xml:space="preserve">determinación </w:t>
      </w:r>
      <w:r w:rsidRPr="004068F6">
        <w:rPr>
          <w:spacing w:val="-3"/>
          <w:lang w:val="es-CO"/>
        </w:rPr>
        <w:t xml:space="preserve">de los impactos que </w:t>
      </w:r>
      <w:r w:rsidR="00264B0E" w:rsidRPr="004068F6">
        <w:rPr>
          <w:spacing w:val="-3"/>
          <w:lang w:val="es-CO"/>
        </w:rPr>
        <w:t xml:space="preserve">modifican permanentemente las condiciones del ambiente </w:t>
      </w:r>
      <w:r w:rsidRPr="004068F6">
        <w:rPr>
          <w:spacing w:val="-3"/>
          <w:lang w:val="es-CO"/>
        </w:rPr>
        <w:t xml:space="preserve">en razón a </w:t>
      </w:r>
      <w:r w:rsidR="00630959" w:rsidRPr="004068F6">
        <w:rPr>
          <w:spacing w:val="-3"/>
          <w:lang w:val="es-CO"/>
        </w:rPr>
        <w:t xml:space="preserve">que </w:t>
      </w:r>
      <w:r w:rsidRPr="004068F6">
        <w:rPr>
          <w:spacing w:val="-3"/>
          <w:lang w:val="es-CO"/>
        </w:rPr>
        <w:t>no pud</w:t>
      </w:r>
      <w:r w:rsidR="00E61A8A" w:rsidRPr="004068F6">
        <w:rPr>
          <w:spacing w:val="-3"/>
          <w:lang w:val="es-CO"/>
        </w:rPr>
        <w:t xml:space="preserve">ieron </w:t>
      </w:r>
      <w:r w:rsidRPr="004068F6">
        <w:rPr>
          <w:spacing w:val="-3"/>
          <w:lang w:val="es-CO"/>
        </w:rPr>
        <w:t xml:space="preserve">ser </w:t>
      </w:r>
      <w:r w:rsidR="006A5E1E" w:rsidRPr="004068F6">
        <w:rPr>
          <w:spacing w:val="-3"/>
          <w:lang w:val="es-CO"/>
        </w:rPr>
        <w:t>prevenidos</w:t>
      </w:r>
      <w:r w:rsidRPr="004068F6">
        <w:rPr>
          <w:spacing w:val="-3"/>
          <w:lang w:val="es-CO"/>
        </w:rPr>
        <w:t xml:space="preserve"> o corregidos</w:t>
      </w:r>
      <w:r w:rsidR="00C12F6F" w:rsidRPr="004068F6">
        <w:rPr>
          <w:spacing w:val="-3"/>
          <w:lang w:val="es-CO"/>
        </w:rPr>
        <w:t xml:space="preserve"> o </w:t>
      </w:r>
      <w:r w:rsidR="00082B31" w:rsidRPr="004068F6">
        <w:rPr>
          <w:spacing w:val="-3"/>
          <w:lang w:val="es-CO"/>
        </w:rPr>
        <w:t xml:space="preserve">a </w:t>
      </w:r>
      <w:r w:rsidR="00C12F6F" w:rsidRPr="004068F6">
        <w:rPr>
          <w:spacing w:val="-3"/>
          <w:lang w:val="es-CO"/>
        </w:rPr>
        <w:t>que</w:t>
      </w:r>
      <w:r w:rsidR="008E25DA" w:rsidRPr="004068F6">
        <w:rPr>
          <w:spacing w:val="-3"/>
          <w:lang w:val="es-CO"/>
        </w:rPr>
        <w:t xml:space="preserve">, </w:t>
      </w:r>
      <w:r w:rsidR="00C91918" w:rsidRPr="004068F6">
        <w:rPr>
          <w:spacing w:val="-3"/>
          <w:lang w:val="es-CO"/>
        </w:rPr>
        <w:t xml:space="preserve">al ser </w:t>
      </w:r>
      <w:r w:rsidR="008E25DA" w:rsidRPr="004068F6">
        <w:rPr>
          <w:spacing w:val="-3"/>
          <w:lang w:val="es-CO"/>
        </w:rPr>
        <w:t>mitigados</w:t>
      </w:r>
      <w:r w:rsidR="00C91918" w:rsidRPr="004068F6">
        <w:rPr>
          <w:spacing w:val="-3"/>
          <w:lang w:val="es-CO"/>
        </w:rPr>
        <w:t xml:space="preserve">, dejan </w:t>
      </w:r>
      <w:r w:rsidR="007553DA" w:rsidRPr="004068F6">
        <w:rPr>
          <w:spacing w:val="-3"/>
          <w:lang w:val="es-CO"/>
        </w:rPr>
        <w:t>activa</w:t>
      </w:r>
      <w:r w:rsidR="00A02D5F" w:rsidRPr="004068F6">
        <w:rPr>
          <w:spacing w:val="-3"/>
          <w:lang w:val="es-CO"/>
        </w:rPr>
        <w:t xml:space="preserve"> </w:t>
      </w:r>
      <w:r w:rsidR="00082B31" w:rsidRPr="004068F6">
        <w:rPr>
          <w:spacing w:val="-3"/>
          <w:lang w:val="es-CO"/>
        </w:rPr>
        <w:t xml:space="preserve">una </w:t>
      </w:r>
      <w:r w:rsidR="007553DA" w:rsidRPr="004068F6">
        <w:rPr>
          <w:spacing w:val="-3"/>
          <w:lang w:val="es-CO"/>
        </w:rPr>
        <w:t xml:space="preserve">fracción </w:t>
      </w:r>
      <w:r w:rsidR="00C12F6F" w:rsidRPr="004068F6">
        <w:rPr>
          <w:spacing w:val="-3"/>
          <w:lang w:val="es-CO"/>
        </w:rPr>
        <w:t>del impacto</w:t>
      </w:r>
      <w:r w:rsidRPr="004068F6">
        <w:rPr>
          <w:spacing w:val="-3"/>
          <w:lang w:val="es-CO"/>
        </w:rPr>
        <w:t>.</w:t>
      </w:r>
    </w:p>
    <w:p w14:paraId="41C0216F" w14:textId="77777777" w:rsidR="00715995" w:rsidRPr="004068F6" w:rsidRDefault="00715995" w:rsidP="00715995">
      <w:pPr>
        <w:tabs>
          <w:tab w:val="left" w:pos="-2268"/>
        </w:tabs>
        <w:suppressAutoHyphens/>
        <w:rPr>
          <w:spacing w:val="-3"/>
        </w:rPr>
      </w:pPr>
    </w:p>
    <w:p w14:paraId="7C088048" w14:textId="4F3D498F" w:rsidR="00DB375D" w:rsidRPr="00127BD4" w:rsidRDefault="00715995" w:rsidP="000D6E21">
      <w:pPr>
        <w:pStyle w:val="Prrafodelista"/>
        <w:numPr>
          <w:ilvl w:val="0"/>
          <w:numId w:val="631"/>
        </w:numPr>
        <w:tabs>
          <w:tab w:val="left" w:pos="-2268"/>
        </w:tabs>
        <w:suppressAutoHyphens/>
        <w:ind w:left="567" w:hanging="567"/>
        <w:rPr>
          <w:spacing w:val="-3"/>
          <w:lang w:val="es-CO"/>
        </w:rPr>
      </w:pPr>
      <w:r w:rsidRPr="004068F6">
        <w:rPr>
          <w:spacing w:val="-3"/>
          <w:lang w:val="es-CO"/>
        </w:rPr>
        <w:t xml:space="preserve">Determinación de los impactos residuales que pueden acumularse o generar sinergias, esto es, los impactos residuales cuya significancia pueda incrementarse en </w:t>
      </w:r>
      <w:r w:rsidRPr="004068F6">
        <w:rPr>
          <w:spacing w:val="-3"/>
          <w:lang w:val="es-CO"/>
        </w:rPr>
        <w:lastRenderedPageBreak/>
        <w:t>el tiempo dadas las condiciones propias del proyecto o las de las actividades y proyectos presentes en el área de influencia, o los impactos residuales que puedan interactuar con otros impactos que se manifiesten en el área de influencia.</w:t>
      </w:r>
    </w:p>
    <w:p w14:paraId="69D5CF8B" w14:textId="77777777" w:rsidR="00715995" w:rsidRPr="004068F6" w:rsidRDefault="00715995" w:rsidP="00715995">
      <w:pPr>
        <w:tabs>
          <w:tab w:val="left" w:pos="-2268"/>
        </w:tabs>
        <w:suppressAutoHyphens/>
        <w:rPr>
          <w:spacing w:val="-3"/>
        </w:rPr>
      </w:pPr>
    </w:p>
    <w:p w14:paraId="4A87F7E4" w14:textId="09B59073" w:rsidR="00715995" w:rsidRPr="004068F6" w:rsidRDefault="00715995" w:rsidP="00715995">
      <w:pPr>
        <w:pStyle w:val="Prrafodelista"/>
        <w:tabs>
          <w:tab w:val="left" w:pos="-2268"/>
        </w:tabs>
        <w:suppressAutoHyphens/>
        <w:ind w:left="567"/>
        <w:rPr>
          <w:spacing w:val="-3"/>
          <w:lang w:val="es-CO"/>
        </w:rPr>
      </w:pPr>
      <w:r w:rsidRPr="004068F6">
        <w:rPr>
          <w:spacing w:val="-3"/>
          <w:lang w:val="es-CO"/>
        </w:rPr>
        <w:t>Para apoyar este proceso de determinación, se debe desarrollar un análisis en el que se represente el tiempo de manifestación de los impactos residuales empleando una herramienta similar a un diagrama de Gantt, a fin de determinar si: i) hay impactos residuales que se manifiesten de manera simultánea</w:t>
      </w:r>
      <w:r w:rsidR="006B5043" w:rsidRPr="004068F6">
        <w:rPr>
          <w:spacing w:val="-3"/>
          <w:lang w:val="es-CO"/>
        </w:rPr>
        <w:t xml:space="preserve"> y</w:t>
      </w:r>
      <w:r w:rsidRPr="004068F6">
        <w:rPr>
          <w:spacing w:val="-3"/>
          <w:lang w:val="es-CO"/>
        </w:rPr>
        <w:t xml:space="preserve"> ii) tienen la capacidad de interactuar.</w:t>
      </w:r>
    </w:p>
    <w:p w14:paraId="5D3DC1FD" w14:textId="77777777" w:rsidR="00715995" w:rsidRPr="004068F6" w:rsidRDefault="00715995" w:rsidP="00715995">
      <w:pPr>
        <w:tabs>
          <w:tab w:val="left" w:pos="-2268"/>
        </w:tabs>
        <w:suppressAutoHyphens/>
        <w:rPr>
          <w:spacing w:val="-3"/>
        </w:rPr>
      </w:pPr>
    </w:p>
    <w:p w14:paraId="2547F0C9" w14:textId="6182E440" w:rsidR="00715995" w:rsidRPr="004068F6" w:rsidRDefault="00715995" w:rsidP="00715995">
      <w:pPr>
        <w:pStyle w:val="Prrafodelista"/>
        <w:tabs>
          <w:tab w:val="left" w:pos="-2268"/>
        </w:tabs>
        <w:suppressAutoHyphens/>
        <w:ind w:left="567"/>
        <w:rPr>
          <w:spacing w:val="-3"/>
          <w:lang w:val="es-CO"/>
        </w:rPr>
      </w:pPr>
      <w:r w:rsidRPr="004068F6">
        <w:rPr>
          <w:spacing w:val="-3"/>
          <w:lang w:val="es-CO"/>
        </w:rPr>
        <w:t xml:space="preserve">Adicionalmente, </w:t>
      </w:r>
      <w:r w:rsidR="007553DA" w:rsidRPr="004068F6">
        <w:rPr>
          <w:spacing w:val="-3"/>
          <w:lang w:val="es-CO"/>
        </w:rPr>
        <w:t xml:space="preserve">tomando como base </w:t>
      </w:r>
      <w:r w:rsidRPr="004068F6">
        <w:rPr>
          <w:spacing w:val="-3"/>
          <w:lang w:val="es-CO"/>
        </w:rPr>
        <w:t>el estudio de relaciones causales</w:t>
      </w:r>
      <w:r w:rsidR="009826F3">
        <w:rPr>
          <w:spacing w:val="-3"/>
          <w:lang w:val="es-CO"/>
        </w:rPr>
        <w:t>, la dinámica de sistemas</w:t>
      </w:r>
      <w:r w:rsidRPr="004068F6">
        <w:rPr>
          <w:spacing w:val="-3"/>
          <w:lang w:val="es-CO"/>
        </w:rPr>
        <w:t xml:space="preserve"> o el análisis de redes desarrollado en la primera fase de la evaluación ambiental, se deben establecer las relaciones que, a partir de los impactos residuales llevan a que tales impactos se acumulen</w:t>
      </w:r>
      <w:r w:rsidR="00446975" w:rsidRPr="004068F6">
        <w:rPr>
          <w:spacing w:val="-3"/>
          <w:lang w:val="es-CO"/>
        </w:rPr>
        <w:t xml:space="preserve"> o</w:t>
      </w:r>
      <w:r w:rsidRPr="004068F6">
        <w:rPr>
          <w:spacing w:val="-3"/>
          <w:lang w:val="es-CO"/>
        </w:rPr>
        <w:t xml:space="preserve"> a la manifestación de nuevos impactos.</w:t>
      </w:r>
    </w:p>
    <w:p w14:paraId="53ED1BBF" w14:textId="77777777" w:rsidR="00715995" w:rsidRPr="004068F6" w:rsidRDefault="00715995" w:rsidP="00715995">
      <w:pPr>
        <w:tabs>
          <w:tab w:val="left" w:pos="-2268"/>
        </w:tabs>
        <w:suppressAutoHyphens/>
        <w:rPr>
          <w:spacing w:val="-3"/>
        </w:rPr>
      </w:pPr>
    </w:p>
    <w:p w14:paraId="0643D10F" w14:textId="220A1C36" w:rsidR="00546CF0" w:rsidRPr="004068F6" w:rsidRDefault="00AD114B" w:rsidP="00715995">
      <w:pPr>
        <w:pStyle w:val="Prrafodelista"/>
        <w:numPr>
          <w:ilvl w:val="0"/>
          <w:numId w:val="631"/>
        </w:numPr>
        <w:tabs>
          <w:tab w:val="left" w:pos="-2268"/>
        </w:tabs>
        <w:suppressAutoHyphens/>
        <w:ind w:left="567" w:hanging="567"/>
        <w:rPr>
          <w:spacing w:val="-3"/>
          <w:lang w:val="es-CO"/>
        </w:rPr>
      </w:pPr>
      <w:r w:rsidRPr="004068F6">
        <w:rPr>
          <w:spacing w:val="-3"/>
          <w:lang w:val="es-CO"/>
        </w:rPr>
        <w:t xml:space="preserve">Selección </w:t>
      </w:r>
      <w:r w:rsidR="00D116D8" w:rsidRPr="004068F6">
        <w:rPr>
          <w:spacing w:val="-3"/>
          <w:lang w:val="es-CO"/>
        </w:rPr>
        <w:t xml:space="preserve">de los impactos </w:t>
      </w:r>
      <w:r w:rsidR="00CA0A73" w:rsidRPr="00127BD4">
        <w:rPr>
          <w:spacing w:val="-3"/>
          <w:lang w:val="es-CO"/>
        </w:rPr>
        <w:t xml:space="preserve">que serán </w:t>
      </w:r>
      <w:r w:rsidR="0076327F" w:rsidRPr="004068F6">
        <w:rPr>
          <w:spacing w:val="-3"/>
          <w:lang w:val="es-CO"/>
        </w:rPr>
        <w:t xml:space="preserve">objeto de </w:t>
      </w:r>
      <w:r w:rsidR="00CA0A73" w:rsidRPr="00127BD4">
        <w:rPr>
          <w:spacing w:val="-3"/>
          <w:lang w:val="es-CO"/>
        </w:rPr>
        <w:t>evalua</w:t>
      </w:r>
      <w:r w:rsidR="0076327F" w:rsidRPr="004068F6">
        <w:rPr>
          <w:spacing w:val="-3"/>
          <w:lang w:val="es-CO"/>
        </w:rPr>
        <w:t>ción</w:t>
      </w:r>
      <w:r w:rsidR="00CA0A73" w:rsidRPr="00127BD4">
        <w:rPr>
          <w:spacing w:val="-3"/>
          <w:lang w:val="es-CO"/>
        </w:rPr>
        <w:t>.</w:t>
      </w:r>
      <w:r w:rsidR="00690EB7" w:rsidRPr="004068F6">
        <w:rPr>
          <w:spacing w:val="-3"/>
          <w:lang w:val="es-CO"/>
        </w:rPr>
        <w:t xml:space="preserve"> A partir de </w:t>
      </w:r>
      <w:r w:rsidR="008C4032" w:rsidRPr="004068F6">
        <w:rPr>
          <w:spacing w:val="-3"/>
          <w:lang w:val="es-CO"/>
        </w:rPr>
        <w:t xml:space="preserve">los </w:t>
      </w:r>
      <w:r w:rsidR="00690EB7" w:rsidRPr="004068F6">
        <w:rPr>
          <w:spacing w:val="-3"/>
          <w:lang w:val="es-CO"/>
        </w:rPr>
        <w:t>impactos residuales que pueden acumularse o generar sinergias</w:t>
      </w:r>
      <w:r w:rsidR="005A3DF5" w:rsidRPr="004068F6">
        <w:rPr>
          <w:spacing w:val="-3"/>
          <w:lang w:val="es-CO"/>
        </w:rPr>
        <w:t>, s</w:t>
      </w:r>
      <w:r w:rsidR="00690EB7" w:rsidRPr="004068F6">
        <w:rPr>
          <w:spacing w:val="-3"/>
          <w:lang w:val="es-CO"/>
        </w:rPr>
        <w:t>e debe selecciona</w:t>
      </w:r>
      <w:r w:rsidR="0036427A" w:rsidRPr="004068F6">
        <w:rPr>
          <w:spacing w:val="-3"/>
          <w:lang w:val="es-CO"/>
        </w:rPr>
        <w:t>r</w:t>
      </w:r>
      <w:r w:rsidR="00690EB7" w:rsidRPr="004068F6">
        <w:rPr>
          <w:spacing w:val="-3"/>
          <w:lang w:val="es-CO"/>
        </w:rPr>
        <w:t xml:space="preserve"> </w:t>
      </w:r>
      <w:r w:rsidR="00762523" w:rsidRPr="004068F6">
        <w:rPr>
          <w:spacing w:val="-3"/>
          <w:lang w:val="es-CO"/>
        </w:rPr>
        <w:t>el conjunto de éstos que será evaluado</w:t>
      </w:r>
      <w:r w:rsidR="0041305A" w:rsidRPr="004068F6">
        <w:rPr>
          <w:spacing w:val="-3"/>
          <w:lang w:val="es-CO"/>
        </w:rPr>
        <w:t xml:space="preserve">, </w:t>
      </w:r>
      <w:r w:rsidR="00660C6D" w:rsidRPr="004068F6">
        <w:rPr>
          <w:spacing w:val="-3"/>
          <w:lang w:val="es-CO"/>
        </w:rPr>
        <w:t xml:space="preserve">eligiendo </w:t>
      </w:r>
      <w:r w:rsidR="00B43885" w:rsidRPr="00127BD4">
        <w:rPr>
          <w:i/>
          <w:iCs/>
          <w:spacing w:val="-3"/>
          <w:lang w:val="es-CO"/>
        </w:rPr>
        <w:t>por lo menos</w:t>
      </w:r>
      <w:r w:rsidR="00B43885" w:rsidRPr="004068F6">
        <w:rPr>
          <w:spacing w:val="-3"/>
          <w:lang w:val="es-CO"/>
        </w:rPr>
        <w:t xml:space="preserve"> </w:t>
      </w:r>
      <w:r w:rsidR="004E6D2B" w:rsidRPr="004068F6">
        <w:rPr>
          <w:spacing w:val="-3"/>
          <w:lang w:val="es-CO"/>
        </w:rPr>
        <w:t>un impacto ambiental residual</w:t>
      </w:r>
      <w:r w:rsidR="00A76A9C" w:rsidRPr="004068F6">
        <w:rPr>
          <w:spacing w:val="-3"/>
          <w:lang w:val="es-CO"/>
        </w:rPr>
        <w:t xml:space="preserve"> por </w:t>
      </w:r>
      <w:r w:rsidR="006E1B21" w:rsidRPr="004068F6">
        <w:rPr>
          <w:spacing w:val="-3"/>
          <w:lang w:val="es-CO"/>
        </w:rPr>
        <w:t>Categoría Estandarizada de Impactos (CEI)</w:t>
      </w:r>
      <w:r w:rsidR="004E6D2B" w:rsidRPr="004068F6">
        <w:rPr>
          <w:spacing w:val="-3"/>
          <w:lang w:val="es-CO"/>
        </w:rPr>
        <w:t xml:space="preserve">; </w:t>
      </w:r>
      <w:r w:rsidR="001E145B" w:rsidRPr="004068F6">
        <w:rPr>
          <w:spacing w:val="-3"/>
          <w:lang w:val="es-CO"/>
        </w:rPr>
        <w:t>lógicamente</w:t>
      </w:r>
      <w:r w:rsidR="00660C6D" w:rsidRPr="004068F6">
        <w:rPr>
          <w:spacing w:val="-3"/>
          <w:lang w:val="es-CO"/>
        </w:rPr>
        <w:t>,</w:t>
      </w:r>
      <w:r w:rsidR="001E145B" w:rsidRPr="004068F6">
        <w:rPr>
          <w:spacing w:val="-3"/>
          <w:lang w:val="es-CO"/>
        </w:rPr>
        <w:t xml:space="preserve"> </w:t>
      </w:r>
      <w:r w:rsidR="00660C6D" w:rsidRPr="004068F6">
        <w:rPr>
          <w:spacing w:val="-3"/>
          <w:lang w:val="es-CO"/>
        </w:rPr>
        <w:t xml:space="preserve">es posible que </w:t>
      </w:r>
      <w:r w:rsidR="004F51B7" w:rsidRPr="004068F6">
        <w:rPr>
          <w:spacing w:val="-3"/>
          <w:lang w:val="es-CO"/>
        </w:rPr>
        <w:t xml:space="preserve">para algunas </w:t>
      </w:r>
      <w:r w:rsidR="005027E4" w:rsidRPr="004068F6">
        <w:rPr>
          <w:spacing w:val="-3"/>
          <w:lang w:val="es-CO"/>
        </w:rPr>
        <w:t>categoría</w:t>
      </w:r>
      <w:r w:rsidR="004F51B7" w:rsidRPr="004068F6">
        <w:rPr>
          <w:spacing w:val="-3"/>
          <w:lang w:val="es-CO"/>
        </w:rPr>
        <w:t>s</w:t>
      </w:r>
      <w:r w:rsidR="005027E4" w:rsidRPr="004068F6">
        <w:rPr>
          <w:spacing w:val="-3"/>
          <w:lang w:val="es-CO"/>
        </w:rPr>
        <w:t xml:space="preserve"> </w:t>
      </w:r>
      <w:r w:rsidR="00EC0797" w:rsidRPr="004068F6">
        <w:rPr>
          <w:spacing w:val="-3"/>
          <w:lang w:val="es-CO"/>
        </w:rPr>
        <w:t xml:space="preserve">no </w:t>
      </w:r>
      <w:r w:rsidR="005027E4" w:rsidRPr="004068F6">
        <w:rPr>
          <w:spacing w:val="-3"/>
          <w:lang w:val="es-CO"/>
        </w:rPr>
        <w:t>exist</w:t>
      </w:r>
      <w:r w:rsidR="00986F7E" w:rsidRPr="004068F6">
        <w:rPr>
          <w:spacing w:val="-3"/>
          <w:lang w:val="es-CO"/>
        </w:rPr>
        <w:t>a</w:t>
      </w:r>
      <w:r w:rsidR="005027E4" w:rsidRPr="004068F6">
        <w:rPr>
          <w:spacing w:val="-3"/>
          <w:lang w:val="es-CO"/>
        </w:rPr>
        <w:t>n impactos ambientales residuales acumulativos y sinérgicos</w:t>
      </w:r>
      <w:r w:rsidRPr="004068F6">
        <w:rPr>
          <w:spacing w:val="-3"/>
          <w:lang w:val="es-CO"/>
        </w:rPr>
        <w:t>.</w:t>
      </w:r>
    </w:p>
    <w:p w14:paraId="65E56D17" w14:textId="77777777" w:rsidR="005A3DF5" w:rsidRPr="004068F6" w:rsidRDefault="005A3DF5" w:rsidP="005A3DF5">
      <w:pPr>
        <w:tabs>
          <w:tab w:val="left" w:pos="-2268"/>
        </w:tabs>
        <w:suppressAutoHyphens/>
        <w:rPr>
          <w:spacing w:val="-3"/>
        </w:rPr>
      </w:pPr>
    </w:p>
    <w:p w14:paraId="209D74CF" w14:textId="345769D1" w:rsidR="00A004D8" w:rsidRPr="004068F6" w:rsidRDefault="00256ECB" w:rsidP="00A004D8">
      <w:pPr>
        <w:pStyle w:val="Prrafodelista"/>
        <w:tabs>
          <w:tab w:val="left" w:pos="-2268"/>
        </w:tabs>
        <w:suppressAutoHyphens/>
        <w:ind w:left="567"/>
        <w:rPr>
          <w:spacing w:val="-3"/>
          <w:lang w:val="es-CO"/>
        </w:rPr>
      </w:pPr>
      <w:r w:rsidRPr="004068F6">
        <w:rPr>
          <w:spacing w:val="-3"/>
          <w:lang w:val="es-CO"/>
        </w:rPr>
        <w:t>En caso de que en una CEI se presente más de un impacto ambiental residual con capacidad de acumularse o de generar sinergias, s</w:t>
      </w:r>
      <w:r w:rsidR="00A004D8" w:rsidRPr="004068F6">
        <w:rPr>
          <w:spacing w:val="-3"/>
          <w:lang w:val="es-CO"/>
        </w:rPr>
        <w:t xml:space="preserve">e debe seleccionar el impacto cuyo parámetro o indicador asociado haya sido fijado por la autoridad ambiental como instrumento para evaluar el estado de un </w:t>
      </w:r>
      <w:r w:rsidR="00F23945" w:rsidRPr="004068F6">
        <w:rPr>
          <w:spacing w:val="-3"/>
          <w:lang w:val="es-CO"/>
        </w:rPr>
        <w:t xml:space="preserve">Elemento Ambiental Valorado </w:t>
      </w:r>
      <w:r w:rsidR="00A004D8" w:rsidRPr="004068F6">
        <w:rPr>
          <w:spacing w:val="-3"/>
          <w:lang w:val="es-CO"/>
        </w:rPr>
        <w:t>(EAV). Si</w:t>
      </w:r>
      <w:r w:rsidR="00D947E7" w:rsidRPr="004068F6">
        <w:rPr>
          <w:spacing w:val="-3"/>
          <w:lang w:val="es-CO"/>
        </w:rPr>
        <w:t xml:space="preserve"> el parámetro o indicador definido por la autoridad ambiental no permite medir el impacto ambiental residual seleccionado </w:t>
      </w:r>
      <w:r w:rsidR="004A03EB" w:rsidRPr="004068F6">
        <w:rPr>
          <w:spacing w:val="-3"/>
          <w:lang w:val="es-CO"/>
        </w:rPr>
        <w:t>o si</w:t>
      </w:r>
      <w:r w:rsidR="00D947E7" w:rsidRPr="004068F6">
        <w:rPr>
          <w:spacing w:val="-3"/>
          <w:lang w:val="es-CO"/>
        </w:rPr>
        <w:t xml:space="preserve"> </w:t>
      </w:r>
      <w:r w:rsidR="00A004D8" w:rsidRPr="004068F6">
        <w:rPr>
          <w:spacing w:val="-3"/>
          <w:lang w:val="es-CO"/>
        </w:rPr>
        <w:t xml:space="preserve">la autoridad no ha </w:t>
      </w:r>
      <w:r w:rsidR="00A14743" w:rsidRPr="004068F6">
        <w:rPr>
          <w:spacing w:val="-3"/>
          <w:lang w:val="es-CO"/>
        </w:rPr>
        <w:t xml:space="preserve">establecido </w:t>
      </w:r>
      <w:r w:rsidR="00A004D8" w:rsidRPr="004068F6">
        <w:rPr>
          <w:spacing w:val="-3"/>
          <w:lang w:val="es-CO"/>
        </w:rPr>
        <w:t>parámetro</w:t>
      </w:r>
      <w:r w:rsidR="00A14743" w:rsidRPr="004068F6">
        <w:rPr>
          <w:spacing w:val="-3"/>
          <w:lang w:val="es-CO"/>
        </w:rPr>
        <w:t>s</w:t>
      </w:r>
      <w:r w:rsidR="00A004D8" w:rsidRPr="004068F6">
        <w:rPr>
          <w:spacing w:val="-3"/>
          <w:lang w:val="es-CO"/>
        </w:rPr>
        <w:t xml:space="preserve"> o indicador</w:t>
      </w:r>
      <w:r w:rsidR="00A14743" w:rsidRPr="004068F6">
        <w:rPr>
          <w:spacing w:val="-3"/>
          <w:lang w:val="es-CO"/>
        </w:rPr>
        <w:t>es</w:t>
      </w:r>
      <w:r w:rsidR="00A004D8" w:rsidRPr="004068F6">
        <w:rPr>
          <w:spacing w:val="-3"/>
          <w:lang w:val="es-CO"/>
        </w:rPr>
        <w:t xml:space="preserve"> asociado</w:t>
      </w:r>
      <w:r w:rsidR="00A14743" w:rsidRPr="004068F6">
        <w:rPr>
          <w:spacing w:val="-3"/>
          <w:lang w:val="es-CO"/>
        </w:rPr>
        <w:t>s</w:t>
      </w:r>
      <w:r w:rsidR="002A7358" w:rsidRPr="004068F6">
        <w:rPr>
          <w:spacing w:val="-3"/>
          <w:lang w:val="es-CO"/>
        </w:rPr>
        <w:t xml:space="preserve"> </w:t>
      </w:r>
      <w:r w:rsidR="00A14743" w:rsidRPr="004068F6">
        <w:rPr>
          <w:spacing w:val="-3"/>
          <w:lang w:val="es-CO"/>
        </w:rPr>
        <w:t>a EAV</w:t>
      </w:r>
      <w:r w:rsidR="00A004D8" w:rsidRPr="004068F6">
        <w:rPr>
          <w:spacing w:val="-3"/>
          <w:lang w:val="es-CO"/>
        </w:rPr>
        <w:t>, se debe seleccionar el impacto residual dentro de la categoría estandarizada de impactos que impacte el elemento ambiental que tiene mayor relevancia para la población del área de influencia.</w:t>
      </w:r>
    </w:p>
    <w:p w14:paraId="25085FC6" w14:textId="77777777" w:rsidR="00A004D8" w:rsidRPr="00127BD4" w:rsidRDefault="00A004D8" w:rsidP="00127BD4">
      <w:pPr>
        <w:tabs>
          <w:tab w:val="left" w:pos="-2268"/>
        </w:tabs>
        <w:suppressAutoHyphens/>
        <w:rPr>
          <w:spacing w:val="-3"/>
        </w:rPr>
      </w:pPr>
    </w:p>
    <w:p w14:paraId="4A4E483A" w14:textId="6CEEF0A9" w:rsidR="00715995" w:rsidRPr="004068F6" w:rsidRDefault="00715995" w:rsidP="00715995">
      <w:pPr>
        <w:pStyle w:val="Prrafodelista"/>
        <w:numPr>
          <w:ilvl w:val="0"/>
          <w:numId w:val="631"/>
        </w:numPr>
        <w:tabs>
          <w:tab w:val="left" w:pos="-2268"/>
        </w:tabs>
        <w:suppressAutoHyphens/>
        <w:ind w:left="567" w:hanging="567"/>
        <w:rPr>
          <w:spacing w:val="-3"/>
          <w:lang w:val="es-CO"/>
        </w:rPr>
      </w:pPr>
      <w:r w:rsidRPr="004068F6">
        <w:rPr>
          <w:spacing w:val="-3"/>
          <w:lang w:val="es-CO"/>
        </w:rPr>
        <w:t>Evaluación de la acumulación y sinergia de los impactos residuales.</w:t>
      </w:r>
    </w:p>
    <w:p w14:paraId="3835AABE" w14:textId="77777777" w:rsidR="00715995" w:rsidRPr="004068F6" w:rsidRDefault="00715995" w:rsidP="00715995">
      <w:pPr>
        <w:rPr>
          <w:spacing w:val="-3"/>
        </w:rPr>
      </w:pPr>
    </w:p>
    <w:p w14:paraId="586400C5" w14:textId="4AD540BD" w:rsidR="00715995" w:rsidRPr="004068F6" w:rsidRDefault="00A1775E" w:rsidP="00FC0470">
      <w:pPr>
        <w:pStyle w:val="Prrafodelista"/>
        <w:tabs>
          <w:tab w:val="left" w:pos="-2268"/>
        </w:tabs>
        <w:suppressAutoHyphens/>
        <w:ind w:left="567"/>
        <w:rPr>
          <w:spacing w:val="-3"/>
          <w:lang w:val="es-CO"/>
        </w:rPr>
      </w:pPr>
      <w:r w:rsidRPr="00127BD4">
        <w:rPr>
          <w:spacing w:val="-3"/>
          <w:lang w:val="es-CO"/>
        </w:rPr>
        <w:t xml:space="preserve">La evaluación </w:t>
      </w:r>
      <w:r w:rsidR="003B64B5" w:rsidRPr="004068F6">
        <w:rPr>
          <w:spacing w:val="-3"/>
          <w:lang w:val="es-CO"/>
        </w:rPr>
        <w:t>de la acumulación y de la sinergia de los impactos residuales</w:t>
      </w:r>
      <w:r w:rsidR="003B64B5" w:rsidRPr="00127BD4">
        <w:rPr>
          <w:spacing w:val="-3"/>
          <w:lang w:val="es-CO"/>
        </w:rPr>
        <w:t xml:space="preserve"> seleccionados </w:t>
      </w:r>
      <w:r w:rsidRPr="00127BD4">
        <w:rPr>
          <w:spacing w:val="-3"/>
          <w:lang w:val="es-CO"/>
        </w:rPr>
        <w:t xml:space="preserve">debe realizarse según lo señalado en el </w:t>
      </w:r>
      <w:r w:rsidR="00914AF9" w:rsidRPr="00127BD4">
        <w:rPr>
          <w:spacing w:val="-3"/>
          <w:lang w:val="es-CO"/>
        </w:rPr>
        <w:t xml:space="preserve">apartado “Sobre la valoración de los impactos ambientales acumulativos y de los impactos ambientales sinérgicos” del </w:t>
      </w:r>
      <w:r w:rsidRPr="00127BD4">
        <w:rPr>
          <w:spacing w:val="-3"/>
          <w:lang w:val="es-CO"/>
        </w:rPr>
        <w:t xml:space="preserve">numeral </w:t>
      </w:r>
      <w:r w:rsidR="00CF5E15" w:rsidRPr="00127BD4">
        <w:rPr>
          <w:spacing w:val="-3"/>
          <w:lang w:val="es-CO"/>
        </w:rPr>
        <w:fldChar w:fldCharType="begin"/>
      </w:r>
      <w:r w:rsidR="00CF5E15" w:rsidRPr="00127BD4">
        <w:rPr>
          <w:spacing w:val="-3"/>
          <w:lang w:val="es-CO"/>
        </w:rPr>
        <w:instrText xml:space="preserve"> REF _Ref204692735 \r \h </w:instrText>
      </w:r>
      <w:r w:rsidR="002F3B83" w:rsidRPr="004068F6">
        <w:rPr>
          <w:spacing w:val="-3"/>
          <w:lang w:val="es-CO"/>
        </w:rPr>
        <w:instrText xml:space="preserve"> \* MERGEFORMAT </w:instrText>
      </w:r>
      <w:r w:rsidR="00CF5E15" w:rsidRPr="00127BD4">
        <w:rPr>
          <w:spacing w:val="-3"/>
          <w:lang w:val="es-CO"/>
        </w:rPr>
      </w:r>
      <w:r w:rsidR="00CF5E15" w:rsidRPr="00127BD4">
        <w:rPr>
          <w:spacing w:val="-3"/>
          <w:lang w:val="es-CO"/>
        </w:rPr>
        <w:fldChar w:fldCharType="separate"/>
      </w:r>
      <w:r w:rsidR="009C4A81">
        <w:rPr>
          <w:spacing w:val="-3"/>
          <w:lang w:val="es-CO"/>
        </w:rPr>
        <w:t>7.4.2</w:t>
      </w:r>
      <w:r w:rsidR="00CF5E15" w:rsidRPr="00127BD4">
        <w:rPr>
          <w:spacing w:val="-3"/>
          <w:lang w:val="es-CO"/>
        </w:rPr>
        <w:fldChar w:fldCharType="end"/>
      </w:r>
      <w:r w:rsidR="00CF5E15" w:rsidRPr="00127BD4">
        <w:rPr>
          <w:spacing w:val="-3"/>
          <w:lang w:val="es-CO"/>
        </w:rPr>
        <w:t xml:space="preserve">. </w:t>
      </w:r>
      <w:r w:rsidR="005D414D" w:rsidRPr="00127BD4">
        <w:rPr>
          <w:spacing w:val="-3"/>
          <w:lang w:val="es-CO"/>
        </w:rPr>
        <w:t xml:space="preserve">el cual </w:t>
      </w:r>
      <w:r w:rsidR="00B54532" w:rsidRPr="00127BD4">
        <w:rPr>
          <w:spacing w:val="-3"/>
          <w:lang w:val="es-CO"/>
        </w:rPr>
        <w:t>considera</w:t>
      </w:r>
      <w:r w:rsidR="005D414D" w:rsidRPr="00127BD4">
        <w:rPr>
          <w:spacing w:val="-3"/>
          <w:lang w:val="es-CO"/>
        </w:rPr>
        <w:t xml:space="preserve"> </w:t>
      </w:r>
      <w:r w:rsidR="00B54532" w:rsidRPr="00127BD4">
        <w:rPr>
          <w:spacing w:val="-3"/>
          <w:lang w:val="es-CO"/>
        </w:rPr>
        <w:t xml:space="preserve">las dimensiones </w:t>
      </w:r>
      <w:r w:rsidR="00715995" w:rsidRPr="004068F6">
        <w:rPr>
          <w:spacing w:val="-3"/>
          <w:lang w:val="es-CO"/>
        </w:rPr>
        <w:t>temporal</w:t>
      </w:r>
      <w:r w:rsidR="008423E5" w:rsidRPr="00127BD4">
        <w:rPr>
          <w:spacing w:val="-3"/>
          <w:lang w:val="es-CO"/>
        </w:rPr>
        <w:t>es</w:t>
      </w:r>
      <w:r w:rsidR="00715995" w:rsidRPr="004068F6">
        <w:rPr>
          <w:spacing w:val="-3"/>
          <w:lang w:val="es-CO"/>
        </w:rPr>
        <w:t xml:space="preserve"> y </w:t>
      </w:r>
      <w:r w:rsidR="003A3ACF" w:rsidRPr="004068F6">
        <w:rPr>
          <w:spacing w:val="-3"/>
          <w:lang w:val="es-CO"/>
        </w:rPr>
        <w:t>espacial</w:t>
      </w:r>
      <w:r w:rsidR="008423E5" w:rsidRPr="00127BD4">
        <w:rPr>
          <w:spacing w:val="-3"/>
          <w:lang w:val="es-CO"/>
        </w:rPr>
        <w:t>es</w:t>
      </w:r>
      <w:r w:rsidR="003A3ACF" w:rsidRPr="00127BD4">
        <w:rPr>
          <w:spacing w:val="-3"/>
          <w:lang w:val="es-CO"/>
        </w:rPr>
        <w:t xml:space="preserve"> </w:t>
      </w:r>
      <w:r w:rsidR="008423E5" w:rsidRPr="00127BD4">
        <w:rPr>
          <w:spacing w:val="-3"/>
          <w:lang w:val="es-CO"/>
        </w:rPr>
        <w:t xml:space="preserve">de la manifestación de </w:t>
      </w:r>
      <w:r w:rsidR="00715995" w:rsidRPr="004068F6">
        <w:rPr>
          <w:spacing w:val="-3"/>
          <w:lang w:val="es-CO"/>
        </w:rPr>
        <w:t>los impactos residuales</w:t>
      </w:r>
      <w:r w:rsidR="00E43868" w:rsidRPr="004068F6">
        <w:rPr>
          <w:spacing w:val="-3"/>
          <w:lang w:val="es-CO"/>
        </w:rPr>
        <w:t>,</w:t>
      </w:r>
      <w:r w:rsidR="00FC0470" w:rsidRPr="00127BD4">
        <w:rPr>
          <w:spacing w:val="-3"/>
          <w:lang w:val="es-CO"/>
        </w:rPr>
        <w:t xml:space="preserve"> </w:t>
      </w:r>
      <w:r w:rsidR="00330710" w:rsidRPr="00127BD4">
        <w:rPr>
          <w:spacing w:val="-3"/>
          <w:lang w:val="es-CO"/>
        </w:rPr>
        <w:t xml:space="preserve">el método </w:t>
      </w:r>
      <w:r w:rsidR="008117F2" w:rsidRPr="004068F6">
        <w:rPr>
          <w:spacing w:val="-3"/>
          <w:lang w:val="es-CO"/>
        </w:rPr>
        <w:t xml:space="preserve">general </w:t>
      </w:r>
      <w:r w:rsidR="00330710" w:rsidRPr="00127BD4">
        <w:rPr>
          <w:spacing w:val="-3"/>
          <w:lang w:val="es-CO"/>
        </w:rPr>
        <w:t xml:space="preserve">de </w:t>
      </w:r>
      <w:r w:rsidR="00AD1A05" w:rsidRPr="004068F6">
        <w:rPr>
          <w:spacing w:val="-3"/>
          <w:lang w:val="es-CO"/>
        </w:rPr>
        <w:t xml:space="preserve">valoración </w:t>
      </w:r>
      <w:r w:rsidR="00330710" w:rsidRPr="00127BD4">
        <w:rPr>
          <w:spacing w:val="-3"/>
          <w:lang w:val="es-CO"/>
        </w:rPr>
        <w:t xml:space="preserve">de impactos establecido </w:t>
      </w:r>
      <w:r w:rsidR="00AD1A05" w:rsidRPr="004068F6">
        <w:rPr>
          <w:spacing w:val="-3"/>
          <w:lang w:val="es-CO"/>
        </w:rPr>
        <w:t xml:space="preserve">en </w:t>
      </w:r>
      <w:r w:rsidR="00330710" w:rsidRPr="00127BD4">
        <w:rPr>
          <w:spacing w:val="-3"/>
          <w:lang w:val="es-CO"/>
        </w:rPr>
        <w:t>el EIA</w:t>
      </w:r>
      <w:r w:rsidR="00E43868" w:rsidRPr="00127BD4">
        <w:rPr>
          <w:spacing w:val="-3"/>
          <w:lang w:val="es-CO"/>
        </w:rPr>
        <w:t xml:space="preserve"> y </w:t>
      </w:r>
      <w:r w:rsidR="003151DC" w:rsidRPr="004068F6">
        <w:rPr>
          <w:spacing w:val="-3"/>
          <w:lang w:val="es-CO"/>
        </w:rPr>
        <w:t xml:space="preserve">otras </w:t>
      </w:r>
      <w:r w:rsidR="00E43868" w:rsidRPr="004068F6">
        <w:rPr>
          <w:spacing w:val="-3"/>
          <w:lang w:val="es-CO"/>
        </w:rPr>
        <w:t>herramientas</w:t>
      </w:r>
      <w:r w:rsidR="003151DC" w:rsidRPr="004068F6">
        <w:rPr>
          <w:spacing w:val="-3"/>
          <w:lang w:val="es-CO"/>
        </w:rPr>
        <w:t xml:space="preserve"> complementarias</w:t>
      </w:r>
      <w:r w:rsidR="00A53BE0" w:rsidRPr="00127BD4">
        <w:rPr>
          <w:spacing w:val="-3"/>
          <w:lang w:val="es-CO"/>
        </w:rPr>
        <w:t>.</w:t>
      </w:r>
    </w:p>
    <w:p w14:paraId="04509552" w14:textId="77777777" w:rsidR="00715995" w:rsidRDefault="00715995" w:rsidP="00715995">
      <w:pPr>
        <w:tabs>
          <w:tab w:val="left" w:pos="-2268"/>
        </w:tabs>
        <w:suppressAutoHyphens/>
        <w:rPr>
          <w:spacing w:val="-3"/>
        </w:rPr>
      </w:pPr>
    </w:p>
    <w:p w14:paraId="19D2D540" w14:textId="5E0C57CA" w:rsidR="002F706C" w:rsidRDefault="00712174" w:rsidP="002F706C">
      <w:pPr>
        <w:numPr>
          <w:ilvl w:val="12"/>
          <w:numId w:val="0"/>
        </w:numPr>
        <w:tabs>
          <w:tab w:val="left" w:pos="-2268"/>
        </w:tabs>
        <w:suppressAutoHyphens/>
        <w:ind w:left="567"/>
        <w:rPr>
          <w:spacing w:val="-3"/>
        </w:rPr>
      </w:pPr>
      <w:r>
        <w:rPr>
          <w:spacing w:val="-3"/>
        </w:rPr>
        <w:t>L</w:t>
      </w:r>
      <w:r w:rsidR="002F706C" w:rsidRPr="004068F6">
        <w:rPr>
          <w:spacing w:val="-3"/>
        </w:rPr>
        <w:t>a acumulación y la sinergia de los impactos residuales</w:t>
      </w:r>
      <w:r w:rsidR="002F706C" w:rsidRPr="00127BD4">
        <w:rPr>
          <w:spacing w:val="-3"/>
        </w:rPr>
        <w:t xml:space="preserve"> seleccionados</w:t>
      </w:r>
      <w:r w:rsidR="0054173B">
        <w:rPr>
          <w:spacing w:val="-3"/>
        </w:rPr>
        <w:t xml:space="preserve"> debe </w:t>
      </w:r>
      <w:r>
        <w:rPr>
          <w:spacing w:val="-3"/>
        </w:rPr>
        <w:t xml:space="preserve">evaluarse </w:t>
      </w:r>
      <w:r w:rsidR="0054173B">
        <w:rPr>
          <w:spacing w:val="-3"/>
        </w:rPr>
        <w:t>considera</w:t>
      </w:r>
      <w:r>
        <w:rPr>
          <w:spacing w:val="-3"/>
        </w:rPr>
        <w:t xml:space="preserve">ndo </w:t>
      </w:r>
      <w:r w:rsidR="00B831E0">
        <w:rPr>
          <w:spacing w:val="-3"/>
        </w:rPr>
        <w:t xml:space="preserve">que ya se han </w:t>
      </w:r>
      <w:r w:rsidR="0018189D">
        <w:rPr>
          <w:spacing w:val="-3"/>
        </w:rPr>
        <w:t xml:space="preserve">implementado </w:t>
      </w:r>
      <w:r w:rsidR="0054173B">
        <w:rPr>
          <w:spacing w:val="-3"/>
        </w:rPr>
        <w:t>medidas de manejo</w:t>
      </w:r>
      <w:r w:rsidR="002F706C">
        <w:rPr>
          <w:spacing w:val="-3"/>
        </w:rPr>
        <w:t xml:space="preserve">, </w:t>
      </w:r>
      <w:r w:rsidR="00B831E0">
        <w:rPr>
          <w:spacing w:val="-3"/>
        </w:rPr>
        <w:t xml:space="preserve">por lo tanto, </w:t>
      </w:r>
      <w:r w:rsidR="007B7283">
        <w:rPr>
          <w:spacing w:val="-3"/>
        </w:rPr>
        <w:t xml:space="preserve">no </w:t>
      </w:r>
      <w:r w:rsidR="004E7852">
        <w:rPr>
          <w:spacing w:val="-3"/>
        </w:rPr>
        <w:t xml:space="preserve">es </w:t>
      </w:r>
      <w:r w:rsidR="004E7852">
        <w:rPr>
          <w:spacing w:val="-3"/>
        </w:rPr>
        <w:lastRenderedPageBreak/>
        <w:t xml:space="preserve">posible </w:t>
      </w:r>
      <w:r w:rsidR="007B7283">
        <w:rPr>
          <w:spacing w:val="-3"/>
        </w:rPr>
        <w:t>aplica</w:t>
      </w:r>
      <w:r w:rsidR="004E7852">
        <w:rPr>
          <w:spacing w:val="-3"/>
        </w:rPr>
        <w:t xml:space="preserve">r </w:t>
      </w:r>
      <w:r w:rsidR="007B7283">
        <w:rPr>
          <w:spacing w:val="-3"/>
        </w:rPr>
        <w:t xml:space="preserve">de forma directa </w:t>
      </w:r>
      <w:r w:rsidR="002F706C">
        <w:rPr>
          <w:spacing w:val="-3"/>
        </w:rPr>
        <w:t xml:space="preserve">los resultados sobre la acumulación o la sinergia de la valoración de impactos </w:t>
      </w:r>
      <w:r w:rsidR="00636CD1">
        <w:rPr>
          <w:spacing w:val="-3"/>
        </w:rPr>
        <w:t xml:space="preserve">inicial </w:t>
      </w:r>
      <w:r w:rsidR="002F706C">
        <w:rPr>
          <w:spacing w:val="-3"/>
        </w:rPr>
        <w:t>(que no considera las medidas de manejo)</w:t>
      </w:r>
      <w:r w:rsidR="00636CD1">
        <w:rPr>
          <w:spacing w:val="-3"/>
        </w:rPr>
        <w:t xml:space="preserve">; para emplear </w:t>
      </w:r>
      <w:r w:rsidR="009620E0">
        <w:rPr>
          <w:spacing w:val="-3"/>
        </w:rPr>
        <w:t xml:space="preserve">tales </w:t>
      </w:r>
      <w:r w:rsidR="00636CD1">
        <w:rPr>
          <w:spacing w:val="-3"/>
        </w:rPr>
        <w:t>resultados</w:t>
      </w:r>
      <w:r w:rsidR="002F706C">
        <w:rPr>
          <w:spacing w:val="-3"/>
        </w:rPr>
        <w:t xml:space="preserve">, es necesario verificar que la </w:t>
      </w:r>
      <w:r w:rsidR="007E7970">
        <w:rPr>
          <w:spacing w:val="-3"/>
        </w:rPr>
        <w:t xml:space="preserve">ejecución </w:t>
      </w:r>
      <w:r w:rsidR="002F706C">
        <w:rPr>
          <w:spacing w:val="-3"/>
        </w:rPr>
        <w:t xml:space="preserve">de medidas de manejo no genere dinámicas y comportamientos </w:t>
      </w:r>
      <w:r w:rsidR="00DA0D93">
        <w:rPr>
          <w:spacing w:val="-3"/>
        </w:rPr>
        <w:t xml:space="preserve">de </w:t>
      </w:r>
      <w:r w:rsidR="002F706C">
        <w:rPr>
          <w:spacing w:val="-3"/>
        </w:rPr>
        <w:t>acumulación y sinergia</w:t>
      </w:r>
      <w:r w:rsidR="00DA0D93">
        <w:rPr>
          <w:spacing w:val="-3"/>
        </w:rPr>
        <w:t xml:space="preserve"> diferentes</w:t>
      </w:r>
      <w:r w:rsidR="002F706C">
        <w:rPr>
          <w:spacing w:val="-3"/>
        </w:rPr>
        <w:t>.</w:t>
      </w:r>
    </w:p>
    <w:p w14:paraId="0A7B5973" w14:textId="77777777" w:rsidR="002F706C" w:rsidRDefault="002F706C" w:rsidP="00E64F04">
      <w:pPr>
        <w:numPr>
          <w:ilvl w:val="12"/>
          <w:numId w:val="0"/>
        </w:numPr>
        <w:tabs>
          <w:tab w:val="left" w:pos="-2268"/>
        </w:tabs>
        <w:suppressAutoHyphens/>
        <w:rPr>
          <w:spacing w:val="-3"/>
        </w:rPr>
      </w:pPr>
    </w:p>
    <w:p w14:paraId="628F3EA5" w14:textId="77777777" w:rsidR="009D0DCF" w:rsidRPr="004068F6" w:rsidRDefault="009D0DCF" w:rsidP="009D0DCF">
      <w:pPr>
        <w:pStyle w:val="Prrafodelista"/>
        <w:tabs>
          <w:tab w:val="left" w:pos="-2268"/>
        </w:tabs>
        <w:suppressAutoHyphens/>
        <w:ind w:left="567"/>
        <w:rPr>
          <w:spacing w:val="-3"/>
          <w:lang w:val="es-CO"/>
        </w:rPr>
      </w:pPr>
      <w:r w:rsidRPr="00127BD4">
        <w:rPr>
          <w:spacing w:val="-3"/>
          <w:lang w:val="es-CO"/>
        </w:rPr>
        <w:t xml:space="preserve">Adicionalmente y si la información disponible lo permite, se debe representar geográficamente </w:t>
      </w:r>
      <w:r w:rsidRPr="004068F6">
        <w:rPr>
          <w:spacing w:val="-3"/>
          <w:lang w:val="es-CO"/>
        </w:rPr>
        <w:t xml:space="preserve">el área de manifestación de los impactos ambientales residuales </w:t>
      </w:r>
      <w:r w:rsidRPr="00127BD4">
        <w:rPr>
          <w:spacing w:val="-3"/>
          <w:lang w:val="es-CO"/>
        </w:rPr>
        <w:t>evaluados</w:t>
      </w:r>
      <w:r w:rsidRPr="004068F6">
        <w:rPr>
          <w:spacing w:val="-3"/>
          <w:lang w:val="es-CO"/>
        </w:rPr>
        <w:t>,</w:t>
      </w:r>
      <w:r w:rsidRPr="00127BD4">
        <w:rPr>
          <w:spacing w:val="-3"/>
          <w:lang w:val="es-CO"/>
        </w:rPr>
        <w:t xml:space="preserve"> señalando </w:t>
      </w:r>
      <w:r w:rsidRPr="004068F6">
        <w:rPr>
          <w:spacing w:val="-3"/>
          <w:lang w:val="es-CO"/>
        </w:rPr>
        <w:t>el periodo de tiempo en el que se estima su manifestación.</w:t>
      </w:r>
    </w:p>
    <w:p w14:paraId="522B1BDF" w14:textId="77777777" w:rsidR="00145374" w:rsidRPr="004068F6" w:rsidRDefault="00145374" w:rsidP="00715995">
      <w:pPr>
        <w:tabs>
          <w:tab w:val="left" w:pos="-2268"/>
        </w:tabs>
        <w:suppressAutoHyphens/>
        <w:rPr>
          <w:spacing w:val="-3"/>
        </w:rPr>
      </w:pPr>
    </w:p>
    <w:p w14:paraId="227D16A0" w14:textId="01DC980F" w:rsidR="00715995" w:rsidRPr="004068F6" w:rsidRDefault="00715995" w:rsidP="00715995">
      <w:pPr>
        <w:pStyle w:val="Prrafodelista"/>
        <w:numPr>
          <w:ilvl w:val="0"/>
          <w:numId w:val="631"/>
        </w:numPr>
        <w:tabs>
          <w:tab w:val="left" w:pos="-2268"/>
        </w:tabs>
        <w:suppressAutoHyphens/>
        <w:ind w:left="567" w:hanging="567"/>
        <w:rPr>
          <w:spacing w:val="-3"/>
          <w:lang w:val="es-CO"/>
        </w:rPr>
      </w:pPr>
      <w:r w:rsidRPr="004068F6">
        <w:rPr>
          <w:spacing w:val="-3"/>
          <w:lang w:val="es-CO"/>
        </w:rPr>
        <w:t xml:space="preserve">Replanteamiento o formulación de nuevas medidas de manejo para reducir la cantidad </w:t>
      </w:r>
      <w:r w:rsidR="006F24C3" w:rsidRPr="004068F6">
        <w:rPr>
          <w:spacing w:val="-3"/>
          <w:lang w:val="es-CO"/>
        </w:rPr>
        <w:t>o</w:t>
      </w:r>
      <w:r w:rsidRPr="004068F6">
        <w:rPr>
          <w:spacing w:val="-3"/>
          <w:lang w:val="es-CO"/>
        </w:rPr>
        <w:t xml:space="preserve"> significancia de los impactos residuales. El ajuste o </w:t>
      </w:r>
      <w:r w:rsidR="006868FD" w:rsidRPr="004068F6">
        <w:rPr>
          <w:spacing w:val="-3"/>
          <w:lang w:val="es-CO"/>
        </w:rPr>
        <w:t xml:space="preserve">la </w:t>
      </w:r>
      <w:r w:rsidRPr="004068F6">
        <w:rPr>
          <w:spacing w:val="-3"/>
          <w:lang w:val="es-CO"/>
        </w:rPr>
        <w:t>formulación de nuevas medidas puede considerar</w:t>
      </w:r>
      <w:r w:rsidR="00E2253A">
        <w:rPr>
          <w:spacing w:val="-3"/>
          <w:lang w:val="es-CO"/>
        </w:rPr>
        <w:t>,</w:t>
      </w:r>
      <w:r w:rsidRPr="004068F6">
        <w:rPr>
          <w:spacing w:val="-3"/>
          <w:lang w:val="es-CO"/>
        </w:rPr>
        <w:t xml:space="preserve"> además de la forma en la que las actividades del proyecto generan impactos, los impactos ambientales ocasionados por otras acciones y proyectos presentes en el área de influencia que pueden modificar las condiciones ambientales de línea base y que, por esa vía, exacerban los impactos residuales acumulativos y sinérgicos que genera el proyecto objeto de </w:t>
      </w:r>
      <w:r w:rsidR="008926DE" w:rsidRPr="004068F6">
        <w:rPr>
          <w:spacing w:val="-3"/>
          <w:lang w:val="es-CO"/>
        </w:rPr>
        <w:t>análisis</w:t>
      </w:r>
      <w:r w:rsidRPr="004068F6">
        <w:rPr>
          <w:spacing w:val="-3"/>
          <w:lang w:val="es-CO"/>
        </w:rPr>
        <w:t>.</w:t>
      </w:r>
    </w:p>
    <w:p w14:paraId="16F67891" w14:textId="734A5902" w:rsidR="00762C39" w:rsidRDefault="00762C39" w:rsidP="000D6E21">
      <w:pPr>
        <w:numPr>
          <w:ilvl w:val="12"/>
          <w:numId w:val="0"/>
        </w:numPr>
        <w:tabs>
          <w:tab w:val="left" w:pos="-2268"/>
          <w:tab w:val="left" w:pos="7725"/>
        </w:tabs>
        <w:suppressAutoHyphens/>
        <w:rPr>
          <w:spacing w:val="-3"/>
        </w:rPr>
      </w:pPr>
    </w:p>
    <w:p w14:paraId="10353D90" w14:textId="3CDFCE1C" w:rsidR="00EC1204" w:rsidRDefault="00EC1204" w:rsidP="000D6E21">
      <w:pPr>
        <w:numPr>
          <w:ilvl w:val="12"/>
          <w:numId w:val="0"/>
        </w:numPr>
        <w:tabs>
          <w:tab w:val="left" w:pos="-2268"/>
          <w:tab w:val="left" w:pos="7725"/>
        </w:tabs>
        <w:suppressAutoHyphens/>
        <w:rPr>
          <w:spacing w:val="-3"/>
        </w:rPr>
      </w:pPr>
      <w:r>
        <w:rPr>
          <w:spacing w:val="-3"/>
        </w:rPr>
        <w:t>Se debe presentar a la autoridad ambiental competente el resultado de esta evaluación</w:t>
      </w:r>
      <w:r w:rsidR="00916ECB">
        <w:rPr>
          <w:spacing w:val="-3"/>
        </w:rPr>
        <w:t xml:space="preserve">, señalando claramente cómo se ajustaron o </w:t>
      </w:r>
      <w:r w:rsidR="00204B3B">
        <w:rPr>
          <w:spacing w:val="-3"/>
        </w:rPr>
        <w:t xml:space="preserve">se </w:t>
      </w:r>
      <w:r w:rsidR="00916ECB">
        <w:rPr>
          <w:spacing w:val="-3"/>
        </w:rPr>
        <w:t xml:space="preserve">formularon nuevas medidas de manejo para reducir </w:t>
      </w:r>
      <w:r w:rsidR="009C7FD5" w:rsidRPr="004068F6">
        <w:rPr>
          <w:spacing w:val="-3"/>
        </w:rPr>
        <w:t xml:space="preserve">la cantidad o </w:t>
      </w:r>
      <w:r w:rsidR="009C7FD5">
        <w:rPr>
          <w:spacing w:val="-3"/>
        </w:rPr>
        <w:t xml:space="preserve">la </w:t>
      </w:r>
      <w:r w:rsidR="009C7FD5" w:rsidRPr="004068F6">
        <w:rPr>
          <w:spacing w:val="-3"/>
        </w:rPr>
        <w:t xml:space="preserve">significancia de los impactos </w:t>
      </w:r>
      <w:r w:rsidR="009C7FD5">
        <w:rPr>
          <w:spacing w:val="-3"/>
        </w:rPr>
        <w:t xml:space="preserve">ambientales </w:t>
      </w:r>
      <w:r w:rsidR="009C7FD5" w:rsidRPr="004068F6">
        <w:rPr>
          <w:spacing w:val="-3"/>
        </w:rPr>
        <w:t>residuales</w:t>
      </w:r>
      <w:r w:rsidR="00607FD4">
        <w:rPr>
          <w:spacing w:val="-3"/>
        </w:rPr>
        <w:t xml:space="preserve"> con capacidad de acumularse o de generar sinergias</w:t>
      </w:r>
      <w:r w:rsidR="00FA1E6D">
        <w:rPr>
          <w:spacing w:val="-3"/>
        </w:rPr>
        <w:t xml:space="preserve">, </w:t>
      </w:r>
      <w:r w:rsidR="00694222">
        <w:rPr>
          <w:spacing w:val="-3"/>
        </w:rPr>
        <w:t xml:space="preserve">o argumentar por qué </w:t>
      </w:r>
      <w:r w:rsidR="00FA1E6D">
        <w:rPr>
          <w:spacing w:val="-3"/>
        </w:rPr>
        <w:t xml:space="preserve">ello </w:t>
      </w:r>
      <w:r w:rsidR="00694222">
        <w:rPr>
          <w:spacing w:val="-3"/>
        </w:rPr>
        <w:t xml:space="preserve">no </w:t>
      </w:r>
      <w:r w:rsidR="00FA1E6D">
        <w:rPr>
          <w:spacing w:val="-3"/>
        </w:rPr>
        <w:t>result</w:t>
      </w:r>
      <w:r w:rsidR="00694222">
        <w:rPr>
          <w:spacing w:val="-3"/>
        </w:rPr>
        <w:t>a</w:t>
      </w:r>
      <w:r w:rsidR="00FA1E6D">
        <w:rPr>
          <w:spacing w:val="-3"/>
        </w:rPr>
        <w:t xml:space="preserve"> posible</w:t>
      </w:r>
      <w:r w:rsidR="009C7FD5">
        <w:rPr>
          <w:spacing w:val="-3"/>
        </w:rPr>
        <w:t>.</w:t>
      </w:r>
    </w:p>
    <w:p w14:paraId="6C9D40B2" w14:textId="77777777" w:rsidR="00204B3B" w:rsidRPr="004068F6" w:rsidRDefault="00204B3B" w:rsidP="000D6E21">
      <w:pPr>
        <w:numPr>
          <w:ilvl w:val="12"/>
          <w:numId w:val="0"/>
        </w:numPr>
        <w:tabs>
          <w:tab w:val="left" w:pos="-2268"/>
          <w:tab w:val="left" w:pos="7725"/>
        </w:tabs>
        <w:suppressAutoHyphens/>
        <w:rPr>
          <w:spacing w:val="-3"/>
        </w:rPr>
      </w:pPr>
    </w:p>
    <w:p w14:paraId="2A5C5763" w14:textId="513EDB1A" w:rsidR="00D22CB0" w:rsidRPr="004068F6" w:rsidRDefault="00003FE7" w:rsidP="000D6E21">
      <w:pPr>
        <w:pStyle w:val="Ttulo2"/>
        <w:tabs>
          <w:tab w:val="clear" w:pos="0"/>
          <w:tab w:val="num" w:pos="709"/>
        </w:tabs>
        <w:ind w:left="709"/>
        <w:rPr>
          <w:lang w:val="es-CO"/>
        </w:rPr>
      </w:pPr>
      <w:bookmarkStart w:id="3329" w:name="_Ref79430805"/>
      <w:bookmarkStart w:id="3330" w:name="_Toc230879701"/>
      <w:r w:rsidRPr="004068F6">
        <w:rPr>
          <w:lang w:val="es-CO"/>
        </w:rPr>
        <w:t>ESCENARIOS PROSPECTIVOS</w:t>
      </w:r>
      <w:bookmarkEnd w:id="3329"/>
      <w:bookmarkEnd w:id="3330"/>
    </w:p>
    <w:p w14:paraId="43261D98" w14:textId="77777777" w:rsidR="00D22CB0" w:rsidRPr="004068F6" w:rsidRDefault="00D22CB0" w:rsidP="00FD6EAE">
      <w:pPr>
        <w:numPr>
          <w:ilvl w:val="12"/>
          <w:numId w:val="0"/>
        </w:numPr>
        <w:tabs>
          <w:tab w:val="left" w:pos="-2268"/>
        </w:tabs>
        <w:suppressAutoHyphens/>
        <w:rPr>
          <w:spacing w:val="-3"/>
        </w:rPr>
      </w:pPr>
    </w:p>
    <w:p w14:paraId="170A77B8" w14:textId="3E651ED7" w:rsidR="006D2465" w:rsidRDefault="00634C5F" w:rsidP="00D21627">
      <w:pPr>
        <w:numPr>
          <w:ilvl w:val="12"/>
          <w:numId w:val="0"/>
        </w:numPr>
        <w:tabs>
          <w:tab w:val="left" w:pos="-2268"/>
        </w:tabs>
        <w:suppressAutoHyphens/>
        <w:rPr>
          <w:rFonts w:cs="Arial"/>
          <w:spacing w:val="-3"/>
        </w:rPr>
      </w:pPr>
      <w:r w:rsidRPr="004068F6">
        <w:rPr>
          <w:rFonts w:cs="Arial"/>
          <w:spacing w:val="-3"/>
        </w:rPr>
        <w:t xml:space="preserve">La modelización es una herramienta que puede emplearse en la elaboración de estudios ambientales dada la capacidad que tiene para </w:t>
      </w:r>
      <w:r w:rsidR="00AB3CE1" w:rsidRPr="004068F6">
        <w:rPr>
          <w:rFonts w:cs="Arial"/>
          <w:spacing w:val="-3"/>
        </w:rPr>
        <w:t>estimar</w:t>
      </w:r>
      <w:r w:rsidRPr="004068F6">
        <w:rPr>
          <w:rFonts w:cs="Arial"/>
          <w:spacing w:val="-3"/>
        </w:rPr>
        <w:t xml:space="preserve"> las condiciones ambientales de un área determinada </w:t>
      </w:r>
      <w:r w:rsidR="00512C82">
        <w:rPr>
          <w:rFonts w:cs="Arial"/>
          <w:spacing w:val="-3"/>
        </w:rPr>
        <w:t xml:space="preserve">en diferentes </w:t>
      </w:r>
      <w:r w:rsidRPr="004068F6">
        <w:rPr>
          <w:rFonts w:cs="Arial"/>
          <w:spacing w:val="-3"/>
        </w:rPr>
        <w:t>situaciones</w:t>
      </w:r>
      <w:r w:rsidR="00AF3561">
        <w:rPr>
          <w:rFonts w:cs="Arial"/>
          <w:spacing w:val="-3"/>
        </w:rPr>
        <w:t>.</w:t>
      </w:r>
      <w:r w:rsidRPr="004068F6">
        <w:rPr>
          <w:rFonts w:cs="Arial"/>
          <w:spacing w:val="-3"/>
        </w:rPr>
        <w:t xml:space="preserve"> </w:t>
      </w:r>
      <w:r w:rsidR="00AF3561">
        <w:rPr>
          <w:rFonts w:cs="Arial"/>
          <w:spacing w:val="-3"/>
        </w:rPr>
        <w:t xml:space="preserve">Estas situaciones </w:t>
      </w:r>
      <w:r w:rsidRPr="004068F6">
        <w:rPr>
          <w:rFonts w:cs="Arial"/>
          <w:spacing w:val="-3"/>
        </w:rPr>
        <w:t>pueden re</w:t>
      </w:r>
      <w:r w:rsidR="006E0BEA">
        <w:rPr>
          <w:rFonts w:cs="Arial"/>
          <w:spacing w:val="-3"/>
        </w:rPr>
        <w:t>ferirse</w:t>
      </w:r>
      <w:r w:rsidR="00383BAF">
        <w:rPr>
          <w:rFonts w:cs="Arial"/>
          <w:spacing w:val="-3"/>
        </w:rPr>
        <w:t>, por ejemplo,</w:t>
      </w:r>
      <w:r w:rsidR="006E0BEA">
        <w:rPr>
          <w:rFonts w:cs="Arial"/>
          <w:spacing w:val="-3"/>
        </w:rPr>
        <w:t xml:space="preserve"> a </w:t>
      </w:r>
      <w:r w:rsidR="00383BAF">
        <w:rPr>
          <w:rFonts w:cs="Arial"/>
          <w:spacing w:val="-3"/>
        </w:rPr>
        <w:t xml:space="preserve">los </w:t>
      </w:r>
      <w:r w:rsidRPr="004068F6">
        <w:rPr>
          <w:rFonts w:cs="Arial"/>
          <w:spacing w:val="-3"/>
        </w:rPr>
        <w:t>escenarios de línea base</w:t>
      </w:r>
      <w:r w:rsidR="00383BAF">
        <w:rPr>
          <w:rFonts w:cs="Arial"/>
          <w:spacing w:val="-3"/>
        </w:rPr>
        <w:t xml:space="preserve"> que se abordan </w:t>
      </w:r>
      <w:r w:rsidR="000A6404">
        <w:rPr>
          <w:rFonts w:cs="Arial"/>
          <w:spacing w:val="-3"/>
        </w:rPr>
        <w:t xml:space="preserve">mediante </w:t>
      </w:r>
      <w:r w:rsidRPr="004068F6">
        <w:rPr>
          <w:rFonts w:cs="Arial"/>
          <w:spacing w:val="-3"/>
        </w:rPr>
        <w:t>la caracterización ambiental</w:t>
      </w:r>
      <w:r w:rsidR="00C346E2">
        <w:rPr>
          <w:rFonts w:cs="Arial"/>
          <w:spacing w:val="-3"/>
        </w:rPr>
        <w:t xml:space="preserve"> y</w:t>
      </w:r>
      <w:r w:rsidRPr="004068F6">
        <w:rPr>
          <w:rFonts w:cs="Arial"/>
          <w:spacing w:val="-3"/>
        </w:rPr>
        <w:t xml:space="preserve">, </w:t>
      </w:r>
      <w:r w:rsidR="006E0BEA">
        <w:rPr>
          <w:rFonts w:cs="Arial"/>
          <w:spacing w:val="-3"/>
        </w:rPr>
        <w:t xml:space="preserve">a </w:t>
      </w:r>
      <w:r w:rsidR="00C346E2">
        <w:rPr>
          <w:rFonts w:cs="Arial"/>
          <w:spacing w:val="-3"/>
        </w:rPr>
        <w:t xml:space="preserve">los </w:t>
      </w:r>
      <w:r w:rsidRPr="004068F6">
        <w:rPr>
          <w:rFonts w:cs="Arial"/>
          <w:spacing w:val="-3"/>
        </w:rPr>
        <w:t xml:space="preserve">escenarios prospectivos que </w:t>
      </w:r>
      <w:r w:rsidR="00C346E2">
        <w:rPr>
          <w:rFonts w:cs="Arial"/>
          <w:spacing w:val="-3"/>
        </w:rPr>
        <w:t xml:space="preserve">se </w:t>
      </w:r>
      <w:r w:rsidR="00C80281">
        <w:rPr>
          <w:rFonts w:cs="Arial"/>
          <w:spacing w:val="-3"/>
        </w:rPr>
        <w:t>desarrollan</w:t>
      </w:r>
      <w:r w:rsidR="00C346E2">
        <w:rPr>
          <w:rFonts w:cs="Arial"/>
          <w:spacing w:val="-3"/>
        </w:rPr>
        <w:t xml:space="preserve"> en </w:t>
      </w:r>
      <w:r w:rsidRPr="004068F6">
        <w:rPr>
          <w:rFonts w:cs="Arial"/>
          <w:spacing w:val="-3"/>
        </w:rPr>
        <w:t>la evaluación ambiental o la solicitud de permisos ambientales.</w:t>
      </w:r>
    </w:p>
    <w:p w14:paraId="0E78A9B9" w14:textId="77777777" w:rsidR="006D2465" w:rsidRDefault="006D2465" w:rsidP="00D21627">
      <w:pPr>
        <w:numPr>
          <w:ilvl w:val="12"/>
          <w:numId w:val="0"/>
        </w:numPr>
        <w:tabs>
          <w:tab w:val="left" w:pos="-2268"/>
        </w:tabs>
        <w:suppressAutoHyphens/>
        <w:rPr>
          <w:rFonts w:cs="Arial"/>
          <w:spacing w:val="-3"/>
        </w:rPr>
      </w:pPr>
    </w:p>
    <w:p w14:paraId="70EEC444" w14:textId="485CF6F8" w:rsidR="00634C5F" w:rsidRPr="004068F6" w:rsidRDefault="00C80281" w:rsidP="00D21627">
      <w:pPr>
        <w:numPr>
          <w:ilvl w:val="12"/>
          <w:numId w:val="0"/>
        </w:numPr>
        <w:tabs>
          <w:tab w:val="left" w:pos="-2268"/>
        </w:tabs>
        <w:suppressAutoHyphens/>
        <w:rPr>
          <w:rFonts w:cs="Arial"/>
          <w:spacing w:val="-3"/>
        </w:rPr>
      </w:pPr>
      <w:r>
        <w:rPr>
          <w:rFonts w:cs="Arial"/>
          <w:spacing w:val="-3"/>
        </w:rPr>
        <w:t xml:space="preserve">A continuación, </w:t>
      </w:r>
      <w:r w:rsidR="00634C5F" w:rsidRPr="004068F6">
        <w:rPr>
          <w:rFonts w:cs="Arial"/>
          <w:spacing w:val="-3"/>
        </w:rPr>
        <w:t xml:space="preserve">se </w:t>
      </w:r>
      <w:r w:rsidR="00AE6840" w:rsidRPr="004068F6">
        <w:rPr>
          <w:rFonts w:cs="Arial"/>
          <w:spacing w:val="-3"/>
        </w:rPr>
        <w:t xml:space="preserve">presentan los </w:t>
      </w:r>
      <w:r w:rsidR="00634C5F" w:rsidRPr="004068F6">
        <w:rPr>
          <w:rFonts w:cs="Arial"/>
          <w:spacing w:val="-3"/>
        </w:rPr>
        <w:t>lineamientos para el desarrollo de algunos de los modelos frecuentemente empleados en la elaboración de estudios ambientales</w:t>
      </w:r>
      <w:r w:rsidR="00C0275C" w:rsidRPr="004068F6">
        <w:rPr>
          <w:rFonts w:cs="Arial"/>
          <w:spacing w:val="-3"/>
        </w:rPr>
        <w:t xml:space="preserve"> y de utilidad para la evaluación ambiental</w:t>
      </w:r>
      <w:r w:rsidR="00AE6840" w:rsidRPr="004068F6">
        <w:rPr>
          <w:rFonts w:cs="Arial"/>
          <w:spacing w:val="-3"/>
        </w:rPr>
        <w:t xml:space="preserve">, </w:t>
      </w:r>
      <w:r w:rsidR="009665E3" w:rsidRPr="004068F6">
        <w:rPr>
          <w:rFonts w:cs="Arial"/>
          <w:spacing w:val="-3"/>
        </w:rPr>
        <w:t xml:space="preserve">los cuales son </w:t>
      </w:r>
      <w:r w:rsidR="00AE6840" w:rsidRPr="004068F6">
        <w:rPr>
          <w:rFonts w:cs="Arial"/>
          <w:spacing w:val="-3"/>
        </w:rPr>
        <w:t xml:space="preserve">complementarios a los requeridos </w:t>
      </w:r>
      <w:r w:rsidR="009665E3" w:rsidRPr="004068F6">
        <w:rPr>
          <w:rFonts w:cs="Arial"/>
          <w:spacing w:val="-3"/>
        </w:rPr>
        <w:t xml:space="preserve">en </w:t>
      </w:r>
      <w:r w:rsidR="00AE6840" w:rsidRPr="004068F6">
        <w:rPr>
          <w:rFonts w:cs="Arial"/>
          <w:spacing w:val="-3"/>
        </w:rPr>
        <w:t>los trámites de solicitud de aprovechamiento de recursos naturales</w:t>
      </w:r>
      <w:r w:rsidR="00634C5F" w:rsidRPr="004068F6">
        <w:rPr>
          <w:rFonts w:cs="Arial"/>
          <w:spacing w:val="-3"/>
        </w:rPr>
        <w:t>.</w:t>
      </w:r>
      <w:r w:rsidR="00DD78AA">
        <w:rPr>
          <w:rFonts w:cs="Arial"/>
          <w:spacing w:val="-3"/>
        </w:rPr>
        <w:t xml:space="preserve"> Se debe tener en cuenta que estas orientaciones no implican </w:t>
      </w:r>
      <w:r w:rsidR="00C1175B">
        <w:rPr>
          <w:rFonts w:cs="Arial"/>
          <w:spacing w:val="-3"/>
        </w:rPr>
        <w:t xml:space="preserve">necesariamente </w:t>
      </w:r>
      <w:r w:rsidR="00DD78AA">
        <w:rPr>
          <w:rFonts w:cs="Arial"/>
          <w:spacing w:val="-3"/>
        </w:rPr>
        <w:t>el desarrollo de un numeral en el EIA denominado “Escenarios prospectivos”</w:t>
      </w:r>
      <w:r w:rsidR="0084755E">
        <w:rPr>
          <w:rFonts w:cs="Arial"/>
          <w:spacing w:val="-3"/>
        </w:rPr>
        <w:t xml:space="preserve">; en caso de </w:t>
      </w:r>
      <w:r w:rsidR="00787A81">
        <w:rPr>
          <w:rFonts w:cs="Arial"/>
          <w:spacing w:val="-3"/>
        </w:rPr>
        <w:t>aplicar</w:t>
      </w:r>
      <w:r w:rsidR="0084755E">
        <w:rPr>
          <w:rFonts w:cs="Arial"/>
          <w:spacing w:val="-3"/>
        </w:rPr>
        <w:t xml:space="preserve">, </w:t>
      </w:r>
      <w:r w:rsidR="00BA1AEA">
        <w:rPr>
          <w:rFonts w:cs="Arial"/>
          <w:spacing w:val="-3"/>
        </w:rPr>
        <w:t>estas</w:t>
      </w:r>
      <w:r w:rsidR="0084755E">
        <w:rPr>
          <w:rFonts w:cs="Arial"/>
          <w:spacing w:val="-3"/>
        </w:rPr>
        <w:t xml:space="preserve"> orientaciones deben </w:t>
      </w:r>
      <w:r w:rsidR="00216167">
        <w:rPr>
          <w:rFonts w:cs="Arial"/>
          <w:spacing w:val="-3"/>
        </w:rPr>
        <w:t xml:space="preserve">incorporarse y </w:t>
      </w:r>
      <w:r w:rsidR="0084755E">
        <w:rPr>
          <w:rFonts w:cs="Arial"/>
          <w:spacing w:val="-3"/>
        </w:rPr>
        <w:t>contribuir al desarrollo de la evaluación ambiental</w:t>
      </w:r>
      <w:r w:rsidR="009F184F">
        <w:rPr>
          <w:rFonts w:cs="Arial"/>
          <w:spacing w:val="-3"/>
        </w:rPr>
        <w:t>.</w:t>
      </w:r>
    </w:p>
    <w:p w14:paraId="7FC5116A" w14:textId="77777777" w:rsidR="0088664F" w:rsidRDefault="0088664F" w:rsidP="00FD6EAE">
      <w:pPr>
        <w:numPr>
          <w:ilvl w:val="12"/>
          <w:numId w:val="0"/>
        </w:numPr>
        <w:tabs>
          <w:tab w:val="left" w:pos="-2268"/>
        </w:tabs>
        <w:suppressAutoHyphens/>
        <w:rPr>
          <w:rFonts w:cs="Arial"/>
          <w:spacing w:val="-3"/>
        </w:rPr>
      </w:pPr>
    </w:p>
    <w:p w14:paraId="5A77B8A1" w14:textId="2A307306" w:rsidR="00E86BC2" w:rsidRPr="00466E26" w:rsidRDefault="00E86BC2" w:rsidP="000A1E20">
      <w:pPr>
        <w:pStyle w:val="Ttulo3"/>
      </w:pPr>
      <w:bookmarkStart w:id="3331" w:name="_Toc216968166"/>
      <w:bookmarkStart w:id="3332" w:name="_Toc217035855"/>
      <w:bookmarkStart w:id="3333" w:name="_Ref153206731"/>
      <w:bookmarkStart w:id="3334" w:name="_Toc230879702"/>
      <w:bookmarkEnd w:id="3331"/>
      <w:bookmarkEnd w:id="3332"/>
      <w:r w:rsidRPr="00466E26">
        <w:t>Ruido</w:t>
      </w:r>
      <w:bookmarkEnd w:id="3333"/>
      <w:bookmarkEnd w:id="3334"/>
    </w:p>
    <w:p w14:paraId="1FB9647B" w14:textId="77777777" w:rsidR="00E86BC2" w:rsidRPr="004068F6" w:rsidRDefault="00E86BC2" w:rsidP="000318F2">
      <w:pPr>
        <w:numPr>
          <w:ilvl w:val="12"/>
          <w:numId w:val="0"/>
        </w:numPr>
        <w:tabs>
          <w:tab w:val="left" w:pos="-2268"/>
        </w:tabs>
        <w:suppressAutoHyphens/>
        <w:rPr>
          <w:rFonts w:cs="Arial"/>
          <w:spacing w:val="-3"/>
        </w:rPr>
      </w:pPr>
    </w:p>
    <w:p w14:paraId="1C9BFCB8" w14:textId="2289EDE0" w:rsidR="000318F2" w:rsidRPr="004068F6" w:rsidRDefault="000318F2" w:rsidP="000318F2">
      <w:pPr>
        <w:numPr>
          <w:ilvl w:val="12"/>
          <w:numId w:val="0"/>
        </w:numPr>
        <w:tabs>
          <w:tab w:val="left" w:pos="-2268"/>
        </w:tabs>
        <w:suppressAutoHyphens/>
        <w:rPr>
          <w:rFonts w:cs="Arial"/>
          <w:spacing w:val="-3"/>
        </w:rPr>
      </w:pPr>
      <w:r w:rsidRPr="004068F6">
        <w:rPr>
          <w:rFonts w:cs="Arial"/>
          <w:spacing w:val="-3"/>
        </w:rPr>
        <w:t xml:space="preserve">La modelización de ruido debe </w:t>
      </w:r>
      <w:r w:rsidR="00C664F8" w:rsidRPr="004068F6">
        <w:rPr>
          <w:rFonts w:cs="Arial"/>
          <w:spacing w:val="-3"/>
        </w:rPr>
        <w:t>realizarse a partir de la implementación métodos de cálculo específicos para cada tipo de fuente (industria, tráfico rodado, tr</w:t>
      </w:r>
      <w:r w:rsidR="00A677FA" w:rsidRPr="004068F6">
        <w:rPr>
          <w:rFonts w:cs="Arial"/>
          <w:spacing w:val="-3"/>
        </w:rPr>
        <w:t>á</w:t>
      </w:r>
      <w:r w:rsidR="00C664F8" w:rsidRPr="004068F6">
        <w:rPr>
          <w:rFonts w:cs="Arial"/>
          <w:spacing w:val="-3"/>
        </w:rPr>
        <w:t xml:space="preserve">fico férreo y tráfico de </w:t>
      </w:r>
      <w:r w:rsidR="00C664F8" w:rsidRPr="004068F6">
        <w:rPr>
          <w:rFonts w:cs="Arial"/>
          <w:spacing w:val="-3"/>
        </w:rPr>
        <w:lastRenderedPageBreak/>
        <w:t xml:space="preserve">aeronaves) a través de software especializados para estimación de niveles de ruido y </w:t>
      </w:r>
      <w:r w:rsidRPr="004068F6">
        <w:rPr>
          <w:rFonts w:cs="Arial"/>
          <w:spacing w:val="-3"/>
        </w:rPr>
        <w:t>contempla</w:t>
      </w:r>
      <w:r w:rsidR="00C664F8" w:rsidRPr="004068F6">
        <w:rPr>
          <w:rFonts w:cs="Arial"/>
          <w:spacing w:val="-3"/>
        </w:rPr>
        <w:t xml:space="preserve">r </w:t>
      </w:r>
      <w:r w:rsidRPr="004068F6">
        <w:rPr>
          <w:rFonts w:cs="Arial"/>
          <w:spacing w:val="-3"/>
        </w:rPr>
        <w:t xml:space="preserve">todas las actividades que generen emisiones de ruido al ambiente </w:t>
      </w:r>
      <w:r w:rsidR="00C664F8" w:rsidRPr="004068F6">
        <w:rPr>
          <w:rFonts w:cs="Arial"/>
          <w:spacing w:val="-3"/>
        </w:rPr>
        <w:t xml:space="preserve">de acuerdo </w:t>
      </w:r>
      <w:r w:rsidRPr="004068F6">
        <w:rPr>
          <w:rFonts w:cs="Arial"/>
          <w:spacing w:val="-3"/>
        </w:rPr>
        <w:t xml:space="preserve">con los elementos </w:t>
      </w:r>
      <w:r w:rsidR="00C664F8" w:rsidRPr="004068F6">
        <w:rPr>
          <w:rFonts w:cs="Arial"/>
          <w:spacing w:val="-3"/>
        </w:rPr>
        <w:t xml:space="preserve">identificados para </w:t>
      </w:r>
      <w:r w:rsidRPr="004068F6">
        <w:rPr>
          <w:rFonts w:cs="Arial"/>
          <w:spacing w:val="-3"/>
        </w:rPr>
        <w:t>el área de influencia y los indicados en la descripción del proyecto, obra o actividad.</w:t>
      </w:r>
    </w:p>
    <w:p w14:paraId="273ADE03" w14:textId="138195C6" w:rsidR="000318F2" w:rsidRPr="004068F6" w:rsidRDefault="000318F2" w:rsidP="000318F2">
      <w:pPr>
        <w:numPr>
          <w:ilvl w:val="12"/>
          <w:numId w:val="0"/>
        </w:numPr>
        <w:tabs>
          <w:tab w:val="left" w:pos="-2268"/>
        </w:tabs>
        <w:suppressAutoHyphens/>
        <w:rPr>
          <w:rFonts w:cs="Arial"/>
          <w:spacing w:val="-3"/>
        </w:rPr>
      </w:pPr>
    </w:p>
    <w:p w14:paraId="2CE10DB2" w14:textId="60336D8B" w:rsidR="000318F2" w:rsidRPr="004068F6" w:rsidRDefault="000318F2" w:rsidP="000318F2">
      <w:pPr>
        <w:numPr>
          <w:ilvl w:val="12"/>
          <w:numId w:val="0"/>
        </w:numPr>
        <w:tabs>
          <w:tab w:val="left" w:pos="-2268"/>
        </w:tabs>
        <w:suppressAutoHyphens/>
        <w:rPr>
          <w:rFonts w:cs="Arial"/>
          <w:spacing w:val="-3"/>
        </w:rPr>
      </w:pPr>
      <w:r w:rsidRPr="004068F6">
        <w:rPr>
          <w:rFonts w:cs="Arial"/>
          <w:spacing w:val="-3"/>
        </w:rPr>
        <w:t xml:space="preserve">El modelo de propagación de ruido debe tener en cuenta </w:t>
      </w:r>
      <w:r w:rsidR="00DB23EE" w:rsidRPr="004068F6">
        <w:rPr>
          <w:rFonts w:cs="Arial"/>
          <w:spacing w:val="-3"/>
        </w:rPr>
        <w:t xml:space="preserve">la cantidad necesaria de </w:t>
      </w:r>
      <w:r w:rsidRPr="004068F6">
        <w:rPr>
          <w:rFonts w:cs="Arial"/>
          <w:spacing w:val="-3"/>
        </w:rPr>
        <w:t>escenarios para cumplir con los objetivos del estudio</w:t>
      </w:r>
      <w:r w:rsidR="00DB23EE" w:rsidRPr="004068F6">
        <w:rPr>
          <w:rFonts w:cs="Arial"/>
          <w:spacing w:val="-3"/>
        </w:rPr>
        <w:t>;</w:t>
      </w:r>
      <w:r w:rsidRPr="004068F6">
        <w:rPr>
          <w:rFonts w:cs="Arial"/>
          <w:spacing w:val="-3"/>
        </w:rPr>
        <w:t xml:space="preserve"> no obstante, según corresponda, debe tener en cuenta los escenarios señalados en la </w:t>
      </w:r>
      <w:r w:rsidR="00DB23EE" w:rsidRPr="004068F6">
        <w:rPr>
          <w:rFonts w:cs="Arial"/>
          <w:spacing w:val="-3"/>
        </w:rPr>
        <w:fldChar w:fldCharType="begin"/>
      </w:r>
      <w:r w:rsidR="00DB23EE" w:rsidRPr="004068F6">
        <w:rPr>
          <w:rFonts w:cs="Arial"/>
          <w:spacing w:val="-3"/>
        </w:rPr>
        <w:instrText xml:space="preserve"> REF _Ref81911911 \h </w:instrText>
      </w:r>
      <w:r w:rsidR="00BD1319" w:rsidRPr="004068F6">
        <w:rPr>
          <w:rFonts w:cs="Arial"/>
          <w:spacing w:val="-3"/>
        </w:rPr>
        <w:instrText xml:space="preserve"> \* MERGEFORMAT </w:instrText>
      </w:r>
      <w:r w:rsidR="00DB23EE" w:rsidRPr="004068F6">
        <w:rPr>
          <w:rFonts w:cs="Arial"/>
          <w:spacing w:val="-3"/>
        </w:rPr>
      </w:r>
      <w:r w:rsidR="00DB23EE" w:rsidRPr="004068F6">
        <w:rPr>
          <w:rFonts w:cs="Arial"/>
          <w:spacing w:val="-3"/>
        </w:rPr>
        <w:fldChar w:fldCharType="separate"/>
      </w:r>
      <w:r w:rsidR="009C4A81" w:rsidRPr="004068F6">
        <w:t xml:space="preserve">Tabla </w:t>
      </w:r>
      <w:r w:rsidR="009C4A81">
        <w:t>35</w:t>
      </w:r>
      <w:r w:rsidR="00DB23EE" w:rsidRPr="004068F6">
        <w:rPr>
          <w:rFonts w:cs="Arial"/>
          <w:spacing w:val="-3"/>
        </w:rPr>
        <w:fldChar w:fldCharType="end"/>
      </w:r>
      <w:r w:rsidRPr="004068F6">
        <w:rPr>
          <w:rFonts w:cs="Arial"/>
          <w:spacing w:val="-3"/>
        </w:rPr>
        <w:t>.</w:t>
      </w:r>
    </w:p>
    <w:p w14:paraId="6BFF914B" w14:textId="77777777" w:rsidR="000318F2" w:rsidRPr="004068F6" w:rsidRDefault="000318F2" w:rsidP="00D21627">
      <w:pPr>
        <w:numPr>
          <w:ilvl w:val="12"/>
          <w:numId w:val="0"/>
        </w:numPr>
        <w:tabs>
          <w:tab w:val="left" w:pos="-2268"/>
        </w:tabs>
        <w:suppressAutoHyphens/>
        <w:rPr>
          <w:rFonts w:cs="Arial"/>
          <w:spacing w:val="-3"/>
        </w:rPr>
      </w:pPr>
    </w:p>
    <w:p w14:paraId="503925FE" w14:textId="63D836F7" w:rsidR="00D22CB0" w:rsidRPr="004068F6" w:rsidRDefault="00D22CB0" w:rsidP="00DB23EE">
      <w:pPr>
        <w:pStyle w:val="Descripcin"/>
        <w:keepNext/>
        <w:ind w:left="709"/>
        <w:jc w:val="center"/>
        <w:rPr>
          <w:b w:val="0"/>
        </w:rPr>
      </w:pPr>
      <w:bookmarkStart w:id="3335" w:name="_Ref81911911"/>
      <w:r w:rsidRPr="004068F6">
        <w:t xml:space="preserve">Tabla </w:t>
      </w:r>
      <w:fldSimple w:instr=" SEQ Tabla \* ARABIC ">
        <w:r w:rsidR="009C4A81">
          <w:rPr>
            <w:noProof/>
          </w:rPr>
          <w:t>35</w:t>
        </w:r>
      </w:fldSimple>
      <w:bookmarkEnd w:id="3335"/>
      <w:r w:rsidRPr="004068F6">
        <w:t>.</w:t>
      </w:r>
      <w:r w:rsidRPr="004068F6">
        <w:rPr>
          <w:b w:val="0"/>
        </w:rPr>
        <w:t xml:space="preserve"> Escenarios para model</w:t>
      </w:r>
      <w:r w:rsidR="00A60447" w:rsidRPr="004068F6">
        <w:rPr>
          <w:b w:val="0"/>
        </w:rPr>
        <w:t>iz</w:t>
      </w:r>
      <w:r w:rsidRPr="004068F6">
        <w:rPr>
          <w:b w:val="0"/>
        </w:rPr>
        <w:t xml:space="preserve">ación </w:t>
      </w:r>
      <w:r w:rsidR="00B11257" w:rsidRPr="004068F6">
        <w:rPr>
          <w:b w:val="0"/>
        </w:rPr>
        <w:t>de ruido</w:t>
      </w:r>
    </w:p>
    <w:tbl>
      <w:tblPr>
        <w:tblStyle w:val="Tablaconcuadrcula"/>
        <w:tblW w:w="5000" w:type="pct"/>
        <w:jc w:val="center"/>
        <w:tblLook w:val="04A0" w:firstRow="1" w:lastRow="0" w:firstColumn="1" w:lastColumn="0" w:noHBand="0" w:noVBand="1"/>
      </w:tblPr>
      <w:tblGrid>
        <w:gridCol w:w="1122"/>
        <w:gridCol w:w="3009"/>
        <w:gridCol w:w="5266"/>
      </w:tblGrid>
      <w:tr w:rsidR="00D22CB0" w:rsidRPr="004068F6" w14:paraId="56E597B3" w14:textId="77777777" w:rsidTr="000D6E21">
        <w:trPr>
          <w:trHeight w:val="535"/>
          <w:tblHeader/>
          <w:jc w:val="center"/>
        </w:trPr>
        <w:tc>
          <w:tcPr>
            <w:tcW w:w="597" w:type="pct"/>
            <w:vAlign w:val="center"/>
          </w:tcPr>
          <w:p w14:paraId="3B7353EC" w14:textId="77777777" w:rsidR="00D22CB0" w:rsidRPr="004068F6" w:rsidRDefault="00D22CB0" w:rsidP="00BE0F96">
            <w:pPr>
              <w:numPr>
                <w:ilvl w:val="12"/>
                <w:numId w:val="0"/>
              </w:numPr>
              <w:tabs>
                <w:tab w:val="left" w:pos="-2268"/>
              </w:tabs>
              <w:suppressAutoHyphens/>
              <w:jc w:val="center"/>
              <w:rPr>
                <w:rFonts w:cs="Arial"/>
                <w:b/>
                <w:bCs/>
                <w:spacing w:val="-3"/>
                <w:sz w:val="22"/>
                <w:szCs w:val="22"/>
              </w:rPr>
            </w:pPr>
            <w:r w:rsidRPr="004068F6">
              <w:rPr>
                <w:rFonts w:cs="Arial"/>
                <w:b/>
                <w:bCs/>
                <w:spacing w:val="-3"/>
                <w:sz w:val="22"/>
                <w:szCs w:val="22"/>
              </w:rPr>
              <w:t>Ítem</w:t>
            </w:r>
          </w:p>
        </w:tc>
        <w:tc>
          <w:tcPr>
            <w:tcW w:w="1601" w:type="pct"/>
            <w:vAlign w:val="center"/>
          </w:tcPr>
          <w:p w14:paraId="5267459F" w14:textId="77777777" w:rsidR="00D22CB0" w:rsidRPr="004068F6" w:rsidRDefault="00D22CB0" w:rsidP="00BE0F96">
            <w:pPr>
              <w:numPr>
                <w:ilvl w:val="12"/>
                <w:numId w:val="0"/>
              </w:numPr>
              <w:tabs>
                <w:tab w:val="left" w:pos="-2268"/>
              </w:tabs>
              <w:suppressAutoHyphens/>
              <w:jc w:val="center"/>
              <w:rPr>
                <w:rFonts w:cs="Arial"/>
                <w:b/>
                <w:bCs/>
                <w:spacing w:val="-3"/>
                <w:sz w:val="22"/>
                <w:szCs w:val="22"/>
              </w:rPr>
            </w:pPr>
            <w:r w:rsidRPr="004068F6">
              <w:rPr>
                <w:rFonts w:cs="Arial"/>
                <w:b/>
                <w:bCs/>
                <w:spacing w:val="-3"/>
                <w:sz w:val="22"/>
                <w:szCs w:val="22"/>
              </w:rPr>
              <w:t>Escenario</w:t>
            </w:r>
          </w:p>
        </w:tc>
        <w:tc>
          <w:tcPr>
            <w:tcW w:w="2802" w:type="pct"/>
            <w:vAlign w:val="center"/>
          </w:tcPr>
          <w:p w14:paraId="5EE6CA23" w14:textId="77777777" w:rsidR="00D22CB0" w:rsidRPr="004068F6" w:rsidRDefault="00D22CB0" w:rsidP="00BE0F96">
            <w:pPr>
              <w:numPr>
                <w:ilvl w:val="12"/>
                <w:numId w:val="0"/>
              </w:numPr>
              <w:tabs>
                <w:tab w:val="left" w:pos="-2268"/>
              </w:tabs>
              <w:suppressAutoHyphens/>
              <w:jc w:val="center"/>
              <w:rPr>
                <w:rFonts w:cs="Arial"/>
                <w:b/>
                <w:bCs/>
                <w:spacing w:val="-3"/>
                <w:sz w:val="22"/>
                <w:szCs w:val="22"/>
              </w:rPr>
            </w:pPr>
            <w:r w:rsidRPr="004068F6">
              <w:rPr>
                <w:rFonts w:cs="Arial"/>
                <w:b/>
                <w:bCs/>
                <w:spacing w:val="-3"/>
                <w:sz w:val="22"/>
                <w:szCs w:val="22"/>
              </w:rPr>
              <w:t>Observación</w:t>
            </w:r>
          </w:p>
        </w:tc>
      </w:tr>
      <w:tr w:rsidR="00D22CB0" w:rsidRPr="004068F6" w14:paraId="6123C12A" w14:textId="77777777" w:rsidTr="000D6E21">
        <w:trPr>
          <w:jc w:val="center"/>
        </w:trPr>
        <w:tc>
          <w:tcPr>
            <w:tcW w:w="597" w:type="pct"/>
            <w:vAlign w:val="center"/>
          </w:tcPr>
          <w:p w14:paraId="40F998F3" w14:textId="77777777" w:rsidR="00D22CB0" w:rsidRPr="00A20FCB" w:rsidRDefault="00D22CB0" w:rsidP="00BE0F96">
            <w:pPr>
              <w:numPr>
                <w:ilvl w:val="12"/>
                <w:numId w:val="0"/>
              </w:numPr>
              <w:tabs>
                <w:tab w:val="left" w:pos="-2268"/>
              </w:tabs>
              <w:suppressAutoHyphens/>
              <w:jc w:val="center"/>
              <w:rPr>
                <w:rFonts w:cs="Arial"/>
                <w:spacing w:val="-3"/>
                <w:sz w:val="20"/>
                <w:szCs w:val="20"/>
              </w:rPr>
            </w:pPr>
            <w:r w:rsidRPr="00A20FCB">
              <w:rPr>
                <w:rFonts w:cs="Arial"/>
                <w:spacing w:val="-3"/>
                <w:sz w:val="20"/>
                <w:szCs w:val="20"/>
              </w:rPr>
              <w:t>1</w:t>
            </w:r>
          </w:p>
        </w:tc>
        <w:tc>
          <w:tcPr>
            <w:tcW w:w="1601" w:type="pct"/>
            <w:vAlign w:val="center"/>
          </w:tcPr>
          <w:p w14:paraId="426D83D6" w14:textId="77777777" w:rsidR="00D22CB0" w:rsidRPr="00A20FCB" w:rsidRDefault="00D22CB0" w:rsidP="00BE0F96">
            <w:pPr>
              <w:numPr>
                <w:ilvl w:val="12"/>
                <w:numId w:val="0"/>
              </w:numPr>
              <w:tabs>
                <w:tab w:val="left" w:pos="-2268"/>
              </w:tabs>
              <w:suppressAutoHyphens/>
              <w:rPr>
                <w:rFonts w:cs="Arial"/>
                <w:spacing w:val="-3"/>
                <w:sz w:val="20"/>
                <w:szCs w:val="20"/>
              </w:rPr>
            </w:pPr>
            <w:r w:rsidRPr="00A20FCB">
              <w:rPr>
                <w:rFonts w:cs="Arial"/>
                <w:spacing w:val="-3"/>
                <w:sz w:val="20"/>
                <w:szCs w:val="20"/>
              </w:rPr>
              <w:t>Actual sin proyecto</w:t>
            </w:r>
          </w:p>
        </w:tc>
        <w:tc>
          <w:tcPr>
            <w:tcW w:w="2802" w:type="pct"/>
            <w:vAlign w:val="center"/>
          </w:tcPr>
          <w:p w14:paraId="7E676F3F" w14:textId="77777777" w:rsidR="00D22CB0" w:rsidRPr="00A20FCB" w:rsidRDefault="00D22CB0" w:rsidP="00BE0F96">
            <w:pPr>
              <w:numPr>
                <w:ilvl w:val="12"/>
                <w:numId w:val="0"/>
              </w:numPr>
              <w:tabs>
                <w:tab w:val="left" w:pos="-2268"/>
              </w:tabs>
              <w:suppressAutoHyphens/>
              <w:rPr>
                <w:rFonts w:cs="Arial"/>
                <w:spacing w:val="-3"/>
                <w:sz w:val="20"/>
                <w:szCs w:val="20"/>
              </w:rPr>
            </w:pPr>
            <w:r w:rsidRPr="00A20FCB">
              <w:rPr>
                <w:rFonts w:cs="Arial"/>
                <w:spacing w:val="-3"/>
                <w:sz w:val="20"/>
                <w:szCs w:val="20"/>
              </w:rPr>
              <w:t>Corresponde a todas aquellas actividades asociadas a tramos viales (en caso de presentarse).</w:t>
            </w:r>
          </w:p>
        </w:tc>
      </w:tr>
      <w:tr w:rsidR="00D22CB0" w:rsidRPr="004068F6" w14:paraId="064BD72A" w14:textId="77777777" w:rsidTr="000D6E21">
        <w:trPr>
          <w:jc w:val="center"/>
        </w:trPr>
        <w:tc>
          <w:tcPr>
            <w:tcW w:w="597" w:type="pct"/>
            <w:vAlign w:val="center"/>
          </w:tcPr>
          <w:p w14:paraId="33B65D12" w14:textId="77777777" w:rsidR="00D22CB0" w:rsidRPr="00A20FCB" w:rsidRDefault="00D22CB0" w:rsidP="00BE0F96">
            <w:pPr>
              <w:numPr>
                <w:ilvl w:val="12"/>
                <w:numId w:val="0"/>
              </w:numPr>
              <w:tabs>
                <w:tab w:val="left" w:pos="-2268"/>
              </w:tabs>
              <w:suppressAutoHyphens/>
              <w:jc w:val="center"/>
              <w:rPr>
                <w:rFonts w:cs="Arial"/>
                <w:spacing w:val="-3"/>
                <w:sz w:val="20"/>
                <w:szCs w:val="20"/>
              </w:rPr>
            </w:pPr>
            <w:r w:rsidRPr="00A20FCB">
              <w:rPr>
                <w:rFonts w:cs="Arial"/>
                <w:spacing w:val="-3"/>
                <w:sz w:val="20"/>
                <w:szCs w:val="20"/>
              </w:rPr>
              <w:t>2</w:t>
            </w:r>
          </w:p>
        </w:tc>
        <w:tc>
          <w:tcPr>
            <w:tcW w:w="1601" w:type="pct"/>
            <w:vAlign w:val="center"/>
          </w:tcPr>
          <w:p w14:paraId="761D5C32" w14:textId="20778185" w:rsidR="00D22CB0" w:rsidRPr="00A20FCB" w:rsidRDefault="00D22CB0" w:rsidP="00BE0F96">
            <w:pPr>
              <w:numPr>
                <w:ilvl w:val="12"/>
                <w:numId w:val="0"/>
              </w:numPr>
              <w:tabs>
                <w:tab w:val="left" w:pos="-2268"/>
              </w:tabs>
              <w:suppressAutoHyphens/>
              <w:rPr>
                <w:rFonts w:cs="Arial"/>
                <w:spacing w:val="-3"/>
                <w:sz w:val="20"/>
                <w:szCs w:val="20"/>
              </w:rPr>
            </w:pPr>
            <w:r w:rsidRPr="00A20FCB">
              <w:rPr>
                <w:rFonts w:cs="Arial"/>
                <w:spacing w:val="-3"/>
                <w:sz w:val="20"/>
                <w:szCs w:val="20"/>
              </w:rPr>
              <w:t xml:space="preserve">Proyecto en construcción sin medidas de </w:t>
            </w:r>
            <w:r w:rsidR="005A3011" w:rsidRPr="00A20FCB">
              <w:rPr>
                <w:rFonts w:cs="Arial"/>
                <w:spacing w:val="-3"/>
                <w:sz w:val="20"/>
                <w:szCs w:val="20"/>
              </w:rPr>
              <w:t>manejo</w:t>
            </w:r>
          </w:p>
        </w:tc>
        <w:tc>
          <w:tcPr>
            <w:tcW w:w="2802" w:type="pct"/>
            <w:vAlign w:val="center"/>
          </w:tcPr>
          <w:p w14:paraId="5F66D024" w14:textId="77777777" w:rsidR="00D22CB0" w:rsidRPr="00A20FCB" w:rsidRDefault="00D22CB0" w:rsidP="00BE0F96">
            <w:pPr>
              <w:numPr>
                <w:ilvl w:val="12"/>
                <w:numId w:val="0"/>
              </w:numPr>
              <w:tabs>
                <w:tab w:val="left" w:pos="-2268"/>
              </w:tabs>
              <w:suppressAutoHyphens/>
              <w:rPr>
                <w:rFonts w:cs="Arial"/>
                <w:spacing w:val="-3"/>
                <w:sz w:val="20"/>
                <w:szCs w:val="20"/>
              </w:rPr>
            </w:pPr>
            <w:r w:rsidRPr="00A20FCB">
              <w:rPr>
                <w:rFonts w:cs="Arial"/>
                <w:spacing w:val="-3"/>
                <w:sz w:val="20"/>
                <w:szCs w:val="20"/>
              </w:rPr>
              <w:t>Corresponde a todas aquellas actividades asociadas a fuentes de ruido empleadas durante la construcción del proyecto.</w:t>
            </w:r>
          </w:p>
        </w:tc>
      </w:tr>
      <w:tr w:rsidR="00D22CB0" w:rsidRPr="004068F6" w14:paraId="78755424" w14:textId="77777777" w:rsidTr="000D6E21">
        <w:trPr>
          <w:jc w:val="center"/>
        </w:trPr>
        <w:tc>
          <w:tcPr>
            <w:tcW w:w="597" w:type="pct"/>
            <w:vAlign w:val="center"/>
          </w:tcPr>
          <w:p w14:paraId="268A10D2" w14:textId="77777777" w:rsidR="00D22CB0" w:rsidRPr="00A20FCB" w:rsidRDefault="00D22CB0" w:rsidP="00BE0F96">
            <w:pPr>
              <w:numPr>
                <w:ilvl w:val="12"/>
                <w:numId w:val="0"/>
              </w:numPr>
              <w:tabs>
                <w:tab w:val="left" w:pos="-2268"/>
              </w:tabs>
              <w:suppressAutoHyphens/>
              <w:jc w:val="center"/>
              <w:rPr>
                <w:rFonts w:cs="Arial"/>
                <w:spacing w:val="-3"/>
                <w:sz w:val="20"/>
                <w:szCs w:val="20"/>
              </w:rPr>
            </w:pPr>
            <w:r w:rsidRPr="00A20FCB">
              <w:rPr>
                <w:rFonts w:cs="Arial"/>
                <w:spacing w:val="-3"/>
                <w:sz w:val="20"/>
                <w:szCs w:val="20"/>
              </w:rPr>
              <w:t>3</w:t>
            </w:r>
          </w:p>
        </w:tc>
        <w:tc>
          <w:tcPr>
            <w:tcW w:w="1601" w:type="pct"/>
            <w:vAlign w:val="center"/>
          </w:tcPr>
          <w:p w14:paraId="19B4025C" w14:textId="23B0884F" w:rsidR="00D22CB0" w:rsidRPr="00A20FCB" w:rsidRDefault="00D22CB0" w:rsidP="00BE0F96">
            <w:pPr>
              <w:numPr>
                <w:ilvl w:val="12"/>
                <w:numId w:val="0"/>
              </w:numPr>
              <w:tabs>
                <w:tab w:val="left" w:pos="-2268"/>
              </w:tabs>
              <w:suppressAutoHyphens/>
              <w:rPr>
                <w:rFonts w:cs="Arial"/>
                <w:spacing w:val="-3"/>
                <w:sz w:val="20"/>
                <w:szCs w:val="20"/>
              </w:rPr>
            </w:pPr>
            <w:r w:rsidRPr="00A20FCB">
              <w:rPr>
                <w:rFonts w:cs="Arial"/>
                <w:spacing w:val="-3"/>
                <w:sz w:val="20"/>
                <w:szCs w:val="20"/>
              </w:rPr>
              <w:t xml:space="preserve">Proyecto en operación sin medidas de </w:t>
            </w:r>
            <w:r w:rsidR="005A3011" w:rsidRPr="00A20FCB">
              <w:rPr>
                <w:rFonts w:cs="Arial"/>
                <w:spacing w:val="-3"/>
                <w:sz w:val="20"/>
                <w:szCs w:val="20"/>
              </w:rPr>
              <w:t>manejo</w:t>
            </w:r>
          </w:p>
        </w:tc>
        <w:tc>
          <w:tcPr>
            <w:tcW w:w="2802" w:type="pct"/>
            <w:vAlign w:val="center"/>
          </w:tcPr>
          <w:p w14:paraId="29CB547F" w14:textId="77777777" w:rsidR="00D22CB0" w:rsidRPr="00A20FCB" w:rsidRDefault="00D22CB0" w:rsidP="00BE0F96">
            <w:pPr>
              <w:numPr>
                <w:ilvl w:val="12"/>
                <w:numId w:val="0"/>
              </w:numPr>
              <w:tabs>
                <w:tab w:val="left" w:pos="-2268"/>
              </w:tabs>
              <w:suppressAutoHyphens/>
              <w:rPr>
                <w:rFonts w:cs="Arial"/>
                <w:spacing w:val="-3"/>
                <w:sz w:val="20"/>
                <w:szCs w:val="20"/>
              </w:rPr>
            </w:pPr>
            <w:r w:rsidRPr="00A20FCB">
              <w:rPr>
                <w:rFonts w:cs="Arial"/>
                <w:spacing w:val="-3"/>
                <w:sz w:val="20"/>
                <w:szCs w:val="20"/>
              </w:rPr>
              <w:t>Corresponde a todas aquellas actividades asociadas a fuentes de ruido empleadas durante la operación del proyecto.</w:t>
            </w:r>
          </w:p>
        </w:tc>
      </w:tr>
      <w:tr w:rsidR="00D22CB0" w:rsidRPr="004068F6" w14:paraId="36EBEBFB" w14:textId="77777777" w:rsidTr="000D6E21">
        <w:trPr>
          <w:jc w:val="center"/>
        </w:trPr>
        <w:tc>
          <w:tcPr>
            <w:tcW w:w="597" w:type="pct"/>
            <w:vAlign w:val="center"/>
          </w:tcPr>
          <w:p w14:paraId="4829D846" w14:textId="77777777" w:rsidR="00D22CB0" w:rsidRPr="00A20FCB" w:rsidRDefault="00D22CB0" w:rsidP="00BE0F96">
            <w:pPr>
              <w:numPr>
                <w:ilvl w:val="12"/>
                <w:numId w:val="0"/>
              </w:numPr>
              <w:tabs>
                <w:tab w:val="left" w:pos="-2268"/>
              </w:tabs>
              <w:suppressAutoHyphens/>
              <w:jc w:val="center"/>
              <w:rPr>
                <w:rFonts w:cs="Arial"/>
                <w:spacing w:val="-3"/>
                <w:sz w:val="20"/>
                <w:szCs w:val="20"/>
              </w:rPr>
            </w:pPr>
            <w:r w:rsidRPr="00A20FCB">
              <w:rPr>
                <w:rFonts w:cs="Arial"/>
                <w:spacing w:val="-3"/>
                <w:sz w:val="20"/>
                <w:szCs w:val="20"/>
              </w:rPr>
              <w:t>4*</w:t>
            </w:r>
          </w:p>
        </w:tc>
        <w:tc>
          <w:tcPr>
            <w:tcW w:w="1601" w:type="pct"/>
            <w:vAlign w:val="center"/>
          </w:tcPr>
          <w:p w14:paraId="085ABE30" w14:textId="466A12FE" w:rsidR="00D22CB0" w:rsidRPr="00A20FCB" w:rsidRDefault="00D22CB0" w:rsidP="00BE0F96">
            <w:pPr>
              <w:numPr>
                <w:ilvl w:val="12"/>
                <w:numId w:val="0"/>
              </w:numPr>
              <w:tabs>
                <w:tab w:val="left" w:pos="-2268"/>
              </w:tabs>
              <w:suppressAutoHyphens/>
              <w:rPr>
                <w:rFonts w:cs="Arial"/>
                <w:spacing w:val="-3"/>
                <w:sz w:val="20"/>
                <w:szCs w:val="20"/>
              </w:rPr>
            </w:pPr>
            <w:r w:rsidRPr="00A20FCB">
              <w:rPr>
                <w:rFonts w:cs="Arial"/>
                <w:spacing w:val="-3"/>
                <w:sz w:val="20"/>
                <w:szCs w:val="20"/>
              </w:rPr>
              <w:t xml:space="preserve">Proyecto en construcción con medidas de </w:t>
            </w:r>
            <w:r w:rsidR="005A3011" w:rsidRPr="00A20FCB">
              <w:rPr>
                <w:rFonts w:cs="Arial"/>
                <w:spacing w:val="-3"/>
                <w:sz w:val="20"/>
                <w:szCs w:val="20"/>
              </w:rPr>
              <w:t>manejo</w:t>
            </w:r>
          </w:p>
        </w:tc>
        <w:tc>
          <w:tcPr>
            <w:tcW w:w="2802" w:type="pct"/>
            <w:vAlign w:val="center"/>
          </w:tcPr>
          <w:p w14:paraId="1C3EF93A" w14:textId="77777777" w:rsidR="00D22CB0" w:rsidRPr="00A20FCB" w:rsidRDefault="00D22CB0" w:rsidP="00BE0F96">
            <w:pPr>
              <w:numPr>
                <w:ilvl w:val="12"/>
                <w:numId w:val="0"/>
              </w:numPr>
              <w:tabs>
                <w:tab w:val="left" w:pos="-2268"/>
              </w:tabs>
              <w:suppressAutoHyphens/>
              <w:rPr>
                <w:rFonts w:cs="Arial"/>
                <w:spacing w:val="-3"/>
                <w:sz w:val="20"/>
                <w:szCs w:val="20"/>
              </w:rPr>
            </w:pPr>
            <w:r w:rsidRPr="00A20FCB">
              <w:rPr>
                <w:rFonts w:cs="Arial"/>
                <w:spacing w:val="-3"/>
                <w:sz w:val="20"/>
                <w:szCs w:val="20"/>
              </w:rPr>
              <w:t>Corresponde a todas aquellas actividades asociadas a fuentes de ruido empleadas durante la construcción del proyecto, teniendo en cuenta adicionalmente las medidas de manejo y los sistemas de control.</w:t>
            </w:r>
          </w:p>
        </w:tc>
      </w:tr>
      <w:tr w:rsidR="00D22CB0" w:rsidRPr="004068F6" w14:paraId="517732C4" w14:textId="77777777" w:rsidTr="00127BD4">
        <w:trPr>
          <w:jc w:val="center"/>
        </w:trPr>
        <w:tc>
          <w:tcPr>
            <w:tcW w:w="597" w:type="pct"/>
            <w:vAlign w:val="center"/>
          </w:tcPr>
          <w:p w14:paraId="13C8C1B8" w14:textId="77777777" w:rsidR="00D22CB0" w:rsidRPr="00A20FCB" w:rsidRDefault="00D22CB0" w:rsidP="00A02651">
            <w:pPr>
              <w:numPr>
                <w:ilvl w:val="12"/>
                <w:numId w:val="0"/>
              </w:numPr>
              <w:tabs>
                <w:tab w:val="left" w:pos="-2268"/>
              </w:tabs>
              <w:suppressAutoHyphens/>
              <w:jc w:val="center"/>
              <w:rPr>
                <w:rFonts w:cs="Arial"/>
                <w:spacing w:val="-3"/>
                <w:sz w:val="20"/>
                <w:szCs w:val="20"/>
              </w:rPr>
            </w:pPr>
            <w:r w:rsidRPr="00A20FCB">
              <w:rPr>
                <w:rFonts w:cs="Arial"/>
                <w:spacing w:val="-3"/>
                <w:sz w:val="20"/>
                <w:szCs w:val="20"/>
              </w:rPr>
              <w:t>5*</w:t>
            </w:r>
          </w:p>
        </w:tc>
        <w:tc>
          <w:tcPr>
            <w:tcW w:w="1601" w:type="pct"/>
            <w:vAlign w:val="center"/>
          </w:tcPr>
          <w:p w14:paraId="17BC78E7" w14:textId="6E67815F" w:rsidR="00D22CB0" w:rsidRPr="00A20FCB" w:rsidRDefault="00D22CB0" w:rsidP="00127BD4">
            <w:pPr>
              <w:numPr>
                <w:ilvl w:val="12"/>
                <w:numId w:val="0"/>
              </w:numPr>
              <w:tabs>
                <w:tab w:val="left" w:pos="-2268"/>
              </w:tabs>
              <w:suppressAutoHyphens/>
              <w:jc w:val="center"/>
              <w:rPr>
                <w:rFonts w:cs="Arial"/>
                <w:spacing w:val="-3"/>
                <w:sz w:val="20"/>
                <w:szCs w:val="20"/>
              </w:rPr>
            </w:pPr>
            <w:r w:rsidRPr="00A20FCB">
              <w:rPr>
                <w:rFonts w:cs="Arial"/>
                <w:spacing w:val="-3"/>
                <w:sz w:val="20"/>
                <w:szCs w:val="20"/>
              </w:rPr>
              <w:t xml:space="preserve">Proyecto en operación con medidas de </w:t>
            </w:r>
            <w:r w:rsidR="005A3011" w:rsidRPr="00A20FCB">
              <w:rPr>
                <w:rFonts w:cs="Arial"/>
                <w:spacing w:val="-3"/>
                <w:sz w:val="20"/>
                <w:szCs w:val="20"/>
              </w:rPr>
              <w:t>manejo</w:t>
            </w:r>
          </w:p>
        </w:tc>
        <w:tc>
          <w:tcPr>
            <w:tcW w:w="2802" w:type="pct"/>
            <w:vAlign w:val="center"/>
          </w:tcPr>
          <w:p w14:paraId="3476ED37" w14:textId="77777777" w:rsidR="00D22CB0" w:rsidRPr="00A20FCB" w:rsidRDefault="00D22CB0" w:rsidP="00BE0F96">
            <w:pPr>
              <w:numPr>
                <w:ilvl w:val="12"/>
                <w:numId w:val="0"/>
              </w:numPr>
              <w:tabs>
                <w:tab w:val="left" w:pos="-2268"/>
              </w:tabs>
              <w:suppressAutoHyphens/>
              <w:rPr>
                <w:rFonts w:cs="Arial"/>
                <w:spacing w:val="-3"/>
                <w:sz w:val="20"/>
                <w:szCs w:val="20"/>
              </w:rPr>
            </w:pPr>
            <w:r w:rsidRPr="00A20FCB">
              <w:rPr>
                <w:rFonts w:cs="Arial"/>
                <w:spacing w:val="-3"/>
                <w:sz w:val="20"/>
                <w:szCs w:val="20"/>
              </w:rPr>
              <w:t>Corresponde a todas aquellas actividades asociadas a fuentes de ruido empleadas durante la operación del proyecto, teniendo en cuenta adicionalmente las medidas de manejo y los sistemas de control.</w:t>
            </w:r>
          </w:p>
        </w:tc>
      </w:tr>
    </w:tbl>
    <w:p w14:paraId="64E37699" w14:textId="671E527E" w:rsidR="00D22CB0" w:rsidRPr="004068F6" w:rsidRDefault="00B62F12" w:rsidP="00FD6EAE">
      <w:pPr>
        <w:numPr>
          <w:ilvl w:val="12"/>
          <w:numId w:val="0"/>
        </w:numPr>
        <w:tabs>
          <w:tab w:val="left" w:pos="-2268"/>
        </w:tabs>
        <w:suppressAutoHyphens/>
        <w:rPr>
          <w:rFonts w:cs="Arial"/>
          <w:spacing w:val="-3"/>
          <w:sz w:val="20"/>
          <w:szCs w:val="20"/>
        </w:rPr>
      </w:pPr>
      <w:r w:rsidRPr="004068F6">
        <w:rPr>
          <w:rFonts w:cs="Arial"/>
          <w:spacing w:val="-3"/>
          <w:sz w:val="20"/>
          <w:szCs w:val="20"/>
        </w:rPr>
        <w:t xml:space="preserve">* </w:t>
      </w:r>
      <w:r w:rsidR="00A677FA" w:rsidRPr="004068F6">
        <w:rPr>
          <w:rFonts w:cs="Arial"/>
          <w:spacing w:val="-3"/>
          <w:sz w:val="20"/>
          <w:szCs w:val="20"/>
        </w:rPr>
        <w:t>Para los escenarios que incluyen medidas de manejo, es fundamental que los sistemas de control considerados en los criterios de modelización sean coherentes con las medidas de manejo ambiental definidas en el PMA. Esta correspondencia garantiza la trazabilidad entre la model</w:t>
      </w:r>
      <w:r w:rsidR="001710D8">
        <w:rPr>
          <w:rFonts w:cs="Arial"/>
          <w:spacing w:val="-3"/>
          <w:sz w:val="20"/>
          <w:szCs w:val="20"/>
        </w:rPr>
        <w:t>iz</w:t>
      </w:r>
      <w:r w:rsidR="00A677FA" w:rsidRPr="004068F6">
        <w:rPr>
          <w:rFonts w:cs="Arial"/>
          <w:spacing w:val="-3"/>
          <w:sz w:val="20"/>
          <w:szCs w:val="20"/>
        </w:rPr>
        <w:t>ación predictiva y la gestión ambiental del proyecto, permitiendo una evaluación adecuada de su efectividad y cumplimiento</w:t>
      </w:r>
      <w:r w:rsidR="00D22CB0" w:rsidRPr="004068F6">
        <w:rPr>
          <w:rFonts w:cs="Arial"/>
          <w:spacing w:val="-3"/>
          <w:sz w:val="20"/>
          <w:szCs w:val="20"/>
        </w:rPr>
        <w:t>.</w:t>
      </w:r>
    </w:p>
    <w:p w14:paraId="0549ACEB" w14:textId="77777777" w:rsidR="00D22CB0" w:rsidRPr="004068F6" w:rsidRDefault="00D22CB0" w:rsidP="00DB23EE">
      <w:pPr>
        <w:numPr>
          <w:ilvl w:val="12"/>
          <w:numId w:val="0"/>
        </w:numPr>
        <w:tabs>
          <w:tab w:val="left" w:pos="-2268"/>
        </w:tabs>
        <w:suppressAutoHyphens/>
        <w:rPr>
          <w:spacing w:val="-3"/>
        </w:rPr>
      </w:pPr>
    </w:p>
    <w:p w14:paraId="3FF802BE" w14:textId="5C116C63" w:rsidR="00A677FA" w:rsidRPr="004068F6" w:rsidRDefault="00A677FA" w:rsidP="00A677FA">
      <w:pPr>
        <w:numPr>
          <w:ilvl w:val="12"/>
          <w:numId w:val="0"/>
        </w:numPr>
        <w:tabs>
          <w:tab w:val="left" w:pos="-2268"/>
        </w:tabs>
        <w:suppressAutoHyphens/>
        <w:rPr>
          <w:spacing w:val="-3"/>
        </w:rPr>
      </w:pPr>
      <w:r w:rsidRPr="004068F6">
        <w:rPr>
          <w:spacing w:val="-3"/>
        </w:rPr>
        <w:t>Los equipos que incorporen elementos de control</w:t>
      </w:r>
      <w:r w:rsidRPr="00127BD4">
        <w:rPr>
          <w:spacing w:val="-3"/>
          <w:vertAlign w:val="superscript"/>
        </w:rPr>
        <w:footnoteReference w:id="226"/>
      </w:r>
      <w:r w:rsidRPr="004068F6">
        <w:rPr>
          <w:spacing w:val="-3"/>
        </w:rPr>
        <w:t xml:space="preserve"> de ruido desde fabrica pueden ser considerados dentro del escenario sin manejo, siempre y cuando dicha condición esté debidamente sustentada mediante información técnica verificable, incluyendo los niveles de potencia acústica (PLWA) y las especificaciones de diseño que evidencien la presencia y funcionalidad de dichos controles.</w:t>
      </w:r>
    </w:p>
    <w:p w14:paraId="3F2553D1" w14:textId="77777777" w:rsidR="00A677FA" w:rsidRPr="004068F6" w:rsidRDefault="00A677FA" w:rsidP="00DB23EE">
      <w:pPr>
        <w:numPr>
          <w:ilvl w:val="12"/>
          <w:numId w:val="0"/>
        </w:numPr>
        <w:tabs>
          <w:tab w:val="left" w:pos="-2268"/>
        </w:tabs>
        <w:suppressAutoHyphens/>
        <w:rPr>
          <w:spacing w:val="-3"/>
        </w:rPr>
      </w:pPr>
    </w:p>
    <w:p w14:paraId="2A956DAC" w14:textId="4496E69E" w:rsidR="00DB23EE" w:rsidRPr="004068F6" w:rsidRDefault="00DB23EE" w:rsidP="00DB23EE">
      <w:pPr>
        <w:numPr>
          <w:ilvl w:val="12"/>
          <w:numId w:val="0"/>
        </w:numPr>
        <w:tabs>
          <w:tab w:val="left" w:pos="-2268"/>
        </w:tabs>
        <w:suppressAutoHyphens/>
        <w:rPr>
          <w:spacing w:val="-3"/>
        </w:rPr>
      </w:pPr>
      <w:r w:rsidRPr="004068F6">
        <w:rPr>
          <w:spacing w:val="-3"/>
        </w:rPr>
        <w:lastRenderedPageBreak/>
        <w:t>El software de model</w:t>
      </w:r>
      <w:r w:rsidR="001710D8">
        <w:rPr>
          <w:spacing w:val="-3"/>
        </w:rPr>
        <w:t>iz</w:t>
      </w:r>
      <w:r w:rsidRPr="004068F6">
        <w:rPr>
          <w:spacing w:val="-3"/>
        </w:rPr>
        <w:t>ación acústica, así como los métodos de cálculo empleados en éste, deben considerar estándares de calidad y lineamientos en relación con su adecuada ejecución que garanticen la rigurosidad (p. ej. sistemas de calidad ISO 17534) y la correcta aplicación del correspondiente estándar (p. ej. ISO 9613), considerando las versiones más actualizadas de los métodos aplicables en cada caso con el fin de asegurar la calidad de los resultados; adicionalmente debe presentar los programas de validación, actualización y mejora continua de los algoritmos de cálculo.</w:t>
      </w:r>
    </w:p>
    <w:p w14:paraId="419D2970" w14:textId="28320FA4" w:rsidR="00DB23EE" w:rsidRPr="004068F6" w:rsidRDefault="00DB23EE" w:rsidP="00DB23EE">
      <w:pPr>
        <w:numPr>
          <w:ilvl w:val="12"/>
          <w:numId w:val="0"/>
        </w:numPr>
        <w:tabs>
          <w:tab w:val="left" w:pos="-2268"/>
        </w:tabs>
        <w:suppressAutoHyphens/>
        <w:rPr>
          <w:spacing w:val="-3"/>
        </w:rPr>
      </w:pPr>
    </w:p>
    <w:p w14:paraId="454B923E" w14:textId="114FA1CA" w:rsidR="00DB23EE" w:rsidRPr="004068F6" w:rsidRDefault="00DB23EE" w:rsidP="00DB23EE">
      <w:pPr>
        <w:numPr>
          <w:ilvl w:val="12"/>
          <w:numId w:val="0"/>
        </w:numPr>
        <w:tabs>
          <w:tab w:val="left" w:pos="-2268"/>
        </w:tabs>
        <w:suppressAutoHyphens/>
        <w:rPr>
          <w:spacing w:val="-3"/>
        </w:rPr>
      </w:pPr>
      <w:r w:rsidRPr="004068F6">
        <w:rPr>
          <w:spacing w:val="-3"/>
        </w:rPr>
        <w:t>La selección del método de estimación de ruido debe tener plena correspondencia con el tipo de fuente objeto de estudio y el descriptor de ruido que se desea conocer (p. ej. LAeq, Ld y Ln) respecto al tráfico vehicular, tr</w:t>
      </w:r>
      <w:r w:rsidR="007C3F16" w:rsidRPr="004068F6">
        <w:rPr>
          <w:spacing w:val="-3"/>
        </w:rPr>
        <w:t>á</w:t>
      </w:r>
      <w:r w:rsidRPr="004068F6">
        <w:rPr>
          <w:spacing w:val="-3"/>
        </w:rPr>
        <w:t>fico férreo o tráfico aéreo. Debe tenerse en cuenta que a pesar de que existen numerosos métodos de estimación de niveles de ruido, la mayoría de éstos emplean variables estrictamente asociadas a la naturaleza de la fuente que pueden ser comunes entre métodos, como es el caso de las categorías o tipos de vehículos (pesados – livianos – categorías abiertas), velocidad de la vía, tipo de superficie de rodadura o rugosidad, características del tipo de tráfico, diseño de los ejes viales, tipo de vías (p. ej. viaductos o puentes) y condiciones meteorológicas.</w:t>
      </w:r>
    </w:p>
    <w:p w14:paraId="7F362538" w14:textId="2479FC3B" w:rsidR="00DB23EE" w:rsidRPr="004068F6" w:rsidRDefault="00DB23EE" w:rsidP="00DB23EE">
      <w:pPr>
        <w:numPr>
          <w:ilvl w:val="12"/>
          <w:numId w:val="0"/>
        </w:numPr>
        <w:tabs>
          <w:tab w:val="left" w:pos="-2268"/>
        </w:tabs>
        <w:suppressAutoHyphens/>
        <w:rPr>
          <w:spacing w:val="-3"/>
        </w:rPr>
      </w:pPr>
    </w:p>
    <w:p w14:paraId="5B3EC73C" w14:textId="67E257BC" w:rsidR="00DB23EE" w:rsidRPr="004068F6" w:rsidRDefault="00DB23EE" w:rsidP="00DB23EE">
      <w:pPr>
        <w:numPr>
          <w:ilvl w:val="12"/>
          <w:numId w:val="0"/>
        </w:numPr>
        <w:tabs>
          <w:tab w:val="left" w:pos="-2268"/>
        </w:tabs>
        <w:suppressAutoHyphens/>
        <w:rPr>
          <w:spacing w:val="-3"/>
        </w:rPr>
      </w:pPr>
      <w:r w:rsidRPr="004068F6">
        <w:rPr>
          <w:spacing w:val="-3"/>
        </w:rPr>
        <w:t>De acuerdo con lo anterior se debe señalar el método empleado, la relación de las variables tenidas en cuenta y sus respectivos coeficientes, la identificación y clasificación clara de los tramos viales (tráfico vehicular o férreo) y la relación de los supuestos empleados en el cálculo, los cuales deben corresponder a la condición de mayor criticidad de emisión de ruido.</w:t>
      </w:r>
    </w:p>
    <w:p w14:paraId="126E263C" w14:textId="714CC240" w:rsidR="00DB23EE" w:rsidRPr="004068F6" w:rsidRDefault="00DB23EE" w:rsidP="00DB23EE">
      <w:pPr>
        <w:numPr>
          <w:ilvl w:val="12"/>
          <w:numId w:val="0"/>
        </w:numPr>
        <w:tabs>
          <w:tab w:val="left" w:pos="-2268"/>
        </w:tabs>
        <w:suppressAutoHyphens/>
        <w:rPr>
          <w:spacing w:val="-3"/>
        </w:rPr>
      </w:pPr>
    </w:p>
    <w:p w14:paraId="267AFDC8" w14:textId="7AFE5F71" w:rsidR="00DB23EE" w:rsidRPr="004068F6" w:rsidRDefault="00DB23EE" w:rsidP="00DB23EE">
      <w:pPr>
        <w:numPr>
          <w:ilvl w:val="12"/>
          <w:numId w:val="0"/>
        </w:numPr>
        <w:tabs>
          <w:tab w:val="left" w:pos="-2268"/>
        </w:tabs>
        <w:suppressAutoHyphens/>
        <w:rPr>
          <w:spacing w:val="-3"/>
        </w:rPr>
      </w:pPr>
      <w:r w:rsidRPr="004068F6">
        <w:rPr>
          <w:spacing w:val="-3"/>
        </w:rPr>
        <w:t>Respecto a la evaluación de ruido asociado al tráfico aéreo, para calcular las curvas de nivel de ruido en torno a los aeropuertos, se debe emplear el método recomendado por la Organización de Aviación Civil Internacional (OACI).</w:t>
      </w:r>
    </w:p>
    <w:p w14:paraId="159C4937" w14:textId="77777777" w:rsidR="00DB23EE" w:rsidRPr="004068F6" w:rsidRDefault="00DB23EE" w:rsidP="00D21627">
      <w:pPr>
        <w:numPr>
          <w:ilvl w:val="12"/>
          <w:numId w:val="0"/>
        </w:numPr>
        <w:tabs>
          <w:tab w:val="left" w:pos="-2268"/>
        </w:tabs>
        <w:suppressAutoHyphens/>
        <w:rPr>
          <w:spacing w:val="-3"/>
        </w:rPr>
      </w:pPr>
    </w:p>
    <w:p w14:paraId="6113C725" w14:textId="5B77E508" w:rsidR="00D22CB0" w:rsidRPr="004068F6" w:rsidRDefault="00D21627" w:rsidP="00D21627">
      <w:pPr>
        <w:suppressAutoHyphens/>
        <w:rPr>
          <w:rFonts w:cs="Arial"/>
          <w:spacing w:val="-3"/>
        </w:rPr>
      </w:pPr>
      <w:r w:rsidRPr="004068F6">
        <w:rPr>
          <w:spacing w:val="-3"/>
        </w:rPr>
        <w:t>Los resultados de dichos modelos deben permitir evidenciar por medio de un descriptor acústico la emisión de ruido crítica del proyecto, obra o actividad, así como la determinación de los conflictos de uso de suelo relacionados con la cobertura de ruido o isolíneas (isófonas), los instrumentos de ordenamiento territorial y los niveles de ru</w:t>
      </w:r>
      <w:r w:rsidR="007C3F16" w:rsidRPr="004068F6">
        <w:rPr>
          <w:spacing w:val="-3"/>
        </w:rPr>
        <w:t>i</w:t>
      </w:r>
      <w:r w:rsidRPr="004068F6">
        <w:rPr>
          <w:spacing w:val="-3"/>
        </w:rPr>
        <w:t>do establecidos para los sectores y subsectores de la Resolución 627 de 2006 o aquella que la que la modifique o sustituya, identificando los receptores sensibles</w:t>
      </w:r>
      <w:r w:rsidR="00D22CB0" w:rsidRPr="004068F6">
        <w:rPr>
          <w:rFonts w:cs="Arial"/>
          <w:spacing w:val="-3"/>
        </w:rPr>
        <w:t>.</w:t>
      </w:r>
    </w:p>
    <w:p w14:paraId="4ECBCB67" w14:textId="77777777" w:rsidR="00D22CB0" w:rsidRPr="004068F6" w:rsidRDefault="00D22CB0" w:rsidP="00D21627">
      <w:pPr>
        <w:numPr>
          <w:ilvl w:val="12"/>
          <w:numId w:val="0"/>
        </w:numPr>
        <w:tabs>
          <w:tab w:val="left" w:pos="-2268"/>
        </w:tabs>
        <w:suppressAutoHyphens/>
        <w:rPr>
          <w:rFonts w:cs="Arial"/>
          <w:spacing w:val="-3"/>
        </w:rPr>
      </w:pPr>
    </w:p>
    <w:p w14:paraId="7B471D02" w14:textId="1C10B38C" w:rsidR="00D22CB0" w:rsidRPr="004068F6" w:rsidRDefault="00D22CB0" w:rsidP="00D21627">
      <w:pPr>
        <w:numPr>
          <w:ilvl w:val="12"/>
          <w:numId w:val="0"/>
        </w:numPr>
        <w:tabs>
          <w:tab w:val="left" w:pos="-2268"/>
        </w:tabs>
        <w:suppressAutoHyphens/>
        <w:rPr>
          <w:rFonts w:cs="Arial"/>
          <w:spacing w:val="-3"/>
        </w:rPr>
      </w:pPr>
      <w:r w:rsidRPr="004068F6">
        <w:rPr>
          <w:rFonts w:cs="Arial"/>
          <w:spacing w:val="-3"/>
        </w:rPr>
        <w:t xml:space="preserve">La presentación de resultados de la modelización sobre una situación acústica presente o pronosticada, debe permitir </w:t>
      </w:r>
      <w:r w:rsidR="00DC7B83" w:rsidRPr="004068F6">
        <w:rPr>
          <w:rFonts w:cs="Arial"/>
          <w:spacing w:val="-3"/>
        </w:rPr>
        <w:t xml:space="preserve">determinar </w:t>
      </w:r>
      <w:r w:rsidRPr="004068F6">
        <w:rPr>
          <w:rFonts w:cs="Arial"/>
          <w:spacing w:val="-3"/>
        </w:rPr>
        <w:t>lo siguiente:</w:t>
      </w:r>
    </w:p>
    <w:p w14:paraId="7230D9D3" w14:textId="77777777" w:rsidR="00D22CB0" w:rsidRPr="004068F6" w:rsidRDefault="00D22CB0" w:rsidP="00D21627">
      <w:pPr>
        <w:numPr>
          <w:ilvl w:val="12"/>
          <w:numId w:val="0"/>
        </w:numPr>
        <w:tabs>
          <w:tab w:val="left" w:pos="-2268"/>
        </w:tabs>
        <w:suppressAutoHyphens/>
        <w:rPr>
          <w:rFonts w:cs="Arial"/>
          <w:spacing w:val="-3"/>
        </w:rPr>
      </w:pPr>
    </w:p>
    <w:p w14:paraId="5721567B" w14:textId="77777777" w:rsidR="00D22CB0" w:rsidRPr="004068F6" w:rsidRDefault="00D22CB0" w:rsidP="00D21627">
      <w:pPr>
        <w:pStyle w:val="Textocomentario"/>
        <w:numPr>
          <w:ilvl w:val="0"/>
          <w:numId w:val="59"/>
        </w:numPr>
        <w:ind w:left="567" w:hanging="567"/>
        <w:rPr>
          <w:rFonts w:cs="Arial"/>
        </w:rPr>
      </w:pPr>
      <w:r w:rsidRPr="004068F6">
        <w:rPr>
          <w:rFonts w:cs="Arial"/>
        </w:rPr>
        <w:t>Nivel de ruido sobre cada receptor inventariado previamente y sobre la ubicación de los puntos de monitoreo de línea base, para cada escenario evaluado.</w:t>
      </w:r>
    </w:p>
    <w:p w14:paraId="34FF9D01" w14:textId="77777777" w:rsidR="00D22CB0" w:rsidRPr="004068F6" w:rsidRDefault="00D22CB0" w:rsidP="00D21627">
      <w:pPr>
        <w:pStyle w:val="Textocomentario"/>
        <w:rPr>
          <w:rFonts w:cs="Arial"/>
        </w:rPr>
      </w:pPr>
    </w:p>
    <w:p w14:paraId="4D36ED8E" w14:textId="4631DEA7" w:rsidR="00D22CB0" w:rsidRPr="004068F6" w:rsidRDefault="00D22CB0" w:rsidP="00D21627">
      <w:pPr>
        <w:pStyle w:val="Textocomentario"/>
        <w:numPr>
          <w:ilvl w:val="0"/>
          <w:numId w:val="59"/>
        </w:numPr>
        <w:ind w:left="567" w:hanging="567"/>
        <w:rPr>
          <w:rFonts w:cs="Arial"/>
        </w:rPr>
      </w:pPr>
      <w:r w:rsidRPr="004068F6">
        <w:rPr>
          <w:rFonts w:cs="Arial"/>
        </w:rPr>
        <w:lastRenderedPageBreak/>
        <w:t xml:space="preserve">Aporte de ruido </w:t>
      </w:r>
      <w:r w:rsidR="007C3F16" w:rsidRPr="004068F6">
        <w:rPr>
          <w:rFonts w:cs="Arial"/>
        </w:rPr>
        <w:t xml:space="preserve">por tipo de </w:t>
      </w:r>
      <w:r w:rsidRPr="004068F6">
        <w:rPr>
          <w:rFonts w:cs="Arial"/>
        </w:rPr>
        <w:t xml:space="preserve">fuente sobre receptores </w:t>
      </w:r>
      <w:r w:rsidR="007C3F16" w:rsidRPr="004068F6">
        <w:rPr>
          <w:rFonts w:cs="Arial"/>
        </w:rPr>
        <w:t xml:space="preserve">sensibles de interés </w:t>
      </w:r>
      <w:r w:rsidRPr="004068F6">
        <w:rPr>
          <w:rFonts w:cs="Arial"/>
        </w:rPr>
        <w:t xml:space="preserve">evaluados y puntos de monitoreo de ruido ambiente </w:t>
      </w:r>
      <w:r w:rsidR="007C3F16" w:rsidRPr="004068F6">
        <w:rPr>
          <w:rFonts w:cs="Arial"/>
        </w:rPr>
        <w:t>caracterizados en la línea base del EIA</w:t>
      </w:r>
      <w:r w:rsidRPr="004068F6">
        <w:rPr>
          <w:rFonts w:cs="Arial"/>
        </w:rPr>
        <w:t>, para cada escenario evaluado.</w:t>
      </w:r>
    </w:p>
    <w:p w14:paraId="4F443148" w14:textId="77777777" w:rsidR="00D22CB0" w:rsidRPr="004068F6" w:rsidRDefault="00D22CB0" w:rsidP="00D21627">
      <w:pPr>
        <w:numPr>
          <w:ilvl w:val="12"/>
          <w:numId w:val="0"/>
        </w:numPr>
        <w:tabs>
          <w:tab w:val="left" w:pos="-2268"/>
        </w:tabs>
        <w:suppressAutoHyphens/>
        <w:rPr>
          <w:rFonts w:cs="Arial"/>
          <w:spacing w:val="-3"/>
        </w:rPr>
      </w:pPr>
    </w:p>
    <w:p w14:paraId="0623890D" w14:textId="68AB3FFA" w:rsidR="00D22CB0" w:rsidRPr="004068F6" w:rsidRDefault="00D22CB0" w:rsidP="00D21627">
      <w:pPr>
        <w:numPr>
          <w:ilvl w:val="12"/>
          <w:numId w:val="0"/>
        </w:numPr>
        <w:tabs>
          <w:tab w:val="left" w:pos="-2268"/>
        </w:tabs>
        <w:suppressAutoHyphens/>
        <w:rPr>
          <w:rFonts w:cs="Arial"/>
          <w:spacing w:val="-3"/>
        </w:rPr>
      </w:pPr>
      <w:r w:rsidRPr="004068F6">
        <w:rPr>
          <w:rFonts w:cs="Arial"/>
          <w:spacing w:val="-3"/>
        </w:rPr>
        <w:t>Para aquellos proyectos que no presenten modelización de línea base debido a las condiciones inexistentes de fuentes de tráfico vehicular, se debe tomar como valor inicial los niveles línea base monitoreados en la zona como insumo para evaluar el aporte de ruido para cada escenario de model</w:t>
      </w:r>
      <w:r w:rsidR="00A60447" w:rsidRPr="004068F6">
        <w:rPr>
          <w:rFonts w:cs="Arial"/>
          <w:spacing w:val="-3"/>
        </w:rPr>
        <w:t>iz</w:t>
      </w:r>
      <w:r w:rsidRPr="004068F6">
        <w:rPr>
          <w:rFonts w:cs="Arial"/>
          <w:spacing w:val="-3"/>
        </w:rPr>
        <w:t>ación evaluado.</w:t>
      </w:r>
    </w:p>
    <w:p w14:paraId="1C4D6ECC" w14:textId="77777777" w:rsidR="00D22CB0" w:rsidRPr="004068F6" w:rsidRDefault="00D22CB0" w:rsidP="00D21627">
      <w:pPr>
        <w:numPr>
          <w:ilvl w:val="12"/>
          <w:numId w:val="0"/>
        </w:numPr>
        <w:tabs>
          <w:tab w:val="left" w:pos="-2268"/>
        </w:tabs>
        <w:suppressAutoHyphens/>
        <w:rPr>
          <w:rFonts w:cs="Arial"/>
          <w:spacing w:val="-3"/>
        </w:rPr>
      </w:pPr>
    </w:p>
    <w:p w14:paraId="2640A67E" w14:textId="52D51A6A" w:rsidR="00D21627" w:rsidRPr="004068F6" w:rsidRDefault="00D21627" w:rsidP="00D21627">
      <w:pPr>
        <w:numPr>
          <w:ilvl w:val="12"/>
          <w:numId w:val="0"/>
        </w:numPr>
        <w:tabs>
          <w:tab w:val="left" w:pos="-2268"/>
        </w:tabs>
        <w:suppressAutoHyphens/>
        <w:rPr>
          <w:rFonts w:cs="Arial"/>
          <w:spacing w:val="-3"/>
        </w:rPr>
      </w:pPr>
      <w:r w:rsidRPr="004068F6">
        <w:rPr>
          <w:rFonts w:cs="Arial"/>
          <w:spacing w:val="-3"/>
        </w:rPr>
        <w:t>Además del modelo y sus resultados, se debe presentar un documento técnico que detalle el proceso metodológico utilizado, los insumos, la configuración del proceso de cálculo, el listado de fuentes, la descripción de escenarios y toda aquella información relevante para el proceso de modelización.</w:t>
      </w:r>
    </w:p>
    <w:p w14:paraId="47FFE63E" w14:textId="77777777" w:rsidR="00D21627" w:rsidRPr="004068F6" w:rsidRDefault="00D21627" w:rsidP="00D21627">
      <w:pPr>
        <w:numPr>
          <w:ilvl w:val="12"/>
          <w:numId w:val="0"/>
        </w:numPr>
        <w:tabs>
          <w:tab w:val="left" w:pos="-2268"/>
        </w:tabs>
        <w:suppressAutoHyphens/>
        <w:rPr>
          <w:rFonts w:cs="Arial"/>
          <w:spacing w:val="-3"/>
        </w:rPr>
      </w:pPr>
    </w:p>
    <w:p w14:paraId="61A04EFD" w14:textId="77777777" w:rsidR="00D22CB0" w:rsidRPr="004068F6" w:rsidRDefault="00D22CB0" w:rsidP="00D21627">
      <w:pPr>
        <w:numPr>
          <w:ilvl w:val="12"/>
          <w:numId w:val="0"/>
        </w:numPr>
        <w:tabs>
          <w:tab w:val="left" w:pos="-2268"/>
        </w:tabs>
        <w:suppressAutoHyphens/>
        <w:rPr>
          <w:rFonts w:cs="Arial"/>
          <w:spacing w:val="-3"/>
        </w:rPr>
      </w:pPr>
      <w:r w:rsidRPr="004068F6">
        <w:rPr>
          <w:rFonts w:cs="Arial"/>
          <w:spacing w:val="-3"/>
        </w:rPr>
        <w:t>Dentro de la información asociada a las simulaciones de ruido para los proyectos se debe tener en cuenta lo siguiente:</w:t>
      </w:r>
    </w:p>
    <w:p w14:paraId="5E0339AB" w14:textId="77777777" w:rsidR="00D22CB0" w:rsidRPr="004068F6" w:rsidRDefault="00D22CB0" w:rsidP="00127BD4">
      <w:pPr>
        <w:numPr>
          <w:ilvl w:val="12"/>
          <w:numId w:val="0"/>
        </w:numPr>
        <w:tabs>
          <w:tab w:val="left" w:pos="-2268"/>
        </w:tabs>
        <w:suppressAutoHyphens/>
        <w:rPr>
          <w:rFonts w:cs="Arial"/>
          <w:spacing w:val="-3"/>
        </w:rPr>
      </w:pPr>
    </w:p>
    <w:p w14:paraId="3CC83554" w14:textId="48D1FFE0" w:rsidR="00D22CB0" w:rsidRPr="004068F6" w:rsidRDefault="439A4240" w:rsidP="00D21627">
      <w:pPr>
        <w:pStyle w:val="Textocomentario"/>
        <w:numPr>
          <w:ilvl w:val="0"/>
          <w:numId w:val="59"/>
        </w:numPr>
        <w:ind w:left="567" w:hanging="567"/>
        <w:rPr>
          <w:rFonts w:cs="Arial"/>
        </w:rPr>
      </w:pPr>
      <w:r w:rsidRPr="004068F6">
        <w:rPr>
          <w:rFonts w:cs="Arial"/>
        </w:rPr>
        <w:t xml:space="preserve">La modelización debe realizarse tomando como base </w:t>
      </w:r>
      <w:r w:rsidR="00D21627" w:rsidRPr="004068F6">
        <w:rPr>
          <w:rFonts w:cs="Arial"/>
        </w:rPr>
        <w:t xml:space="preserve">un estándar que permita la caracterización y evaluación de la fuente de ruido objeto de análisis (p. ej. ISO 9613) </w:t>
      </w:r>
      <w:r w:rsidRPr="004068F6">
        <w:rPr>
          <w:rFonts w:cs="Arial"/>
        </w:rPr>
        <w:t>y de forma complementaria para la obtención de datos de entrada al modelo y configuración de motores de cálculo, acogerse a recomendaciones internacionales que cuenten con rigor científico (</w:t>
      </w:r>
      <w:r w:rsidR="00041844" w:rsidRPr="004068F6">
        <w:rPr>
          <w:rFonts w:cs="Arial"/>
        </w:rPr>
        <w:t>p. ej.</w:t>
      </w:r>
      <w:r w:rsidRPr="004068F6">
        <w:rPr>
          <w:rFonts w:cs="Arial"/>
        </w:rPr>
        <w:t xml:space="preserve"> estándares internacionales, bases de datos de potencia sonora y de tipos de superficies). Adicionalmente se debe informar sobre el uso de métodos complementarios para cálculo de emisiones (provenientes de tráfico rodado, trenes, aeronaves, maquinaria, o cualquier otra fuente de emisión de ruido relevante), dichos modelos deben indicar supuestos, consideraciones y limitaciones de la información ingresada al software y de los resultados obtenidos. Para aquellos proyectos que por sus características presenten condiciones de operación industrial (</w:t>
      </w:r>
      <w:r w:rsidR="00041844" w:rsidRPr="004068F6">
        <w:rPr>
          <w:rFonts w:cs="Arial"/>
        </w:rPr>
        <w:t>p. ej.</w:t>
      </w:r>
      <w:r w:rsidRPr="004068F6">
        <w:rPr>
          <w:rFonts w:cs="Arial"/>
        </w:rPr>
        <w:t xml:space="preserve"> zonas portuarias), se debe tomar como referencia la información asociada al inventario de fuentes y su dispersión de acuerdo con un modelo de cálculo (estándar internacional ISO 9613).</w:t>
      </w:r>
    </w:p>
    <w:p w14:paraId="67B2BA0B" w14:textId="77777777" w:rsidR="00D22CB0" w:rsidRPr="004068F6" w:rsidRDefault="00D22CB0" w:rsidP="000D6E21">
      <w:pPr>
        <w:pStyle w:val="Textocomentario"/>
        <w:ind w:left="567"/>
      </w:pPr>
    </w:p>
    <w:p w14:paraId="4E9832BA" w14:textId="11F8350A" w:rsidR="00D22CB0" w:rsidRPr="004068F6" w:rsidRDefault="00D22CB0" w:rsidP="00D21627">
      <w:pPr>
        <w:pStyle w:val="Textocomentario"/>
        <w:numPr>
          <w:ilvl w:val="0"/>
          <w:numId w:val="59"/>
        </w:numPr>
        <w:ind w:left="567" w:hanging="567"/>
        <w:rPr>
          <w:rFonts w:cs="Arial"/>
        </w:rPr>
      </w:pPr>
      <w:r w:rsidRPr="004068F6">
        <w:t xml:space="preserve">Topografía (modelo digital de elevación de terreno). </w:t>
      </w:r>
      <w:r w:rsidRPr="004068F6">
        <w:rPr>
          <w:rFonts w:cs="Arial"/>
        </w:rPr>
        <w:t xml:space="preserve">Para calcular las emisiones </w:t>
      </w:r>
      <w:r w:rsidR="00D21627" w:rsidRPr="004068F6">
        <w:rPr>
          <w:rFonts w:cs="Arial"/>
        </w:rPr>
        <w:t xml:space="preserve">de ruido </w:t>
      </w:r>
      <w:r w:rsidRPr="004068F6">
        <w:rPr>
          <w:rFonts w:cs="Arial"/>
        </w:rPr>
        <w:t xml:space="preserve">se debe contar con un modelo digital de terreno que represente las condiciones del </w:t>
      </w:r>
      <w:r w:rsidR="00D21627" w:rsidRPr="004068F6">
        <w:rPr>
          <w:rFonts w:cs="Arial"/>
        </w:rPr>
        <w:t xml:space="preserve">terreno </w:t>
      </w:r>
      <w:r w:rsidRPr="004068F6">
        <w:rPr>
          <w:rFonts w:cs="Arial"/>
        </w:rPr>
        <w:t>del proyecto</w:t>
      </w:r>
      <w:r w:rsidRPr="004068F6">
        <w:rPr>
          <w:spacing w:val="-3"/>
        </w:rPr>
        <w:t>, obra o actividad</w:t>
      </w:r>
      <w:r w:rsidRPr="004068F6">
        <w:rPr>
          <w:rFonts w:cs="Arial"/>
        </w:rPr>
        <w:t xml:space="preserve"> y su área de influencia. Dicho modelo debe corresponder a las particularidades del terreno donde se consideren las fuentes de emisión, de tal manera que la escala o resolución de éste represente los obstáculos que influyen en la propagación del </w:t>
      </w:r>
      <w:r w:rsidR="00D21627" w:rsidRPr="004068F6">
        <w:rPr>
          <w:rFonts w:cs="Arial"/>
        </w:rPr>
        <w:t xml:space="preserve">ruido </w:t>
      </w:r>
      <w:r w:rsidRPr="004068F6">
        <w:rPr>
          <w:rFonts w:cs="Arial"/>
        </w:rPr>
        <w:t>entre la fuente y el receptor (zanjas, terraplenes, desniveles, áreas llanas) a fin de minimizar la incertidumbre de los resultados obtenidos.</w:t>
      </w:r>
    </w:p>
    <w:p w14:paraId="3FDEF7A4" w14:textId="77777777" w:rsidR="00D22CB0" w:rsidRPr="004068F6" w:rsidRDefault="00D22CB0" w:rsidP="00D21627">
      <w:pPr>
        <w:pStyle w:val="Prrafodelista"/>
        <w:ind w:left="567" w:hanging="567"/>
        <w:rPr>
          <w:rFonts w:cs="Arial"/>
          <w:lang w:val="es-CO"/>
        </w:rPr>
      </w:pPr>
    </w:p>
    <w:p w14:paraId="67CF21E5" w14:textId="7A176891" w:rsidR="00D22CB0" w:rsidRPr="004068F6" w:rsidRDefault="00D22CB0" w:rsidP="00D21627">
      <w:pPr>
        <w:pStyle w:val="Textocomentario"/>
        <w:numPr>
          <w:ilvl w:val="0"/>
          <w:numId w:val="59"/>
        </w:numPr>
        <w:ind w:left="567" w:hanging="567"/>
        <w:rPr>
          <w:rFonts w:cs="Arial"/>
        </w:rPr>
      </w:pPr>
      <w:r w:rsidRPr="004068F6">
        <w:rPr>
          <w:rFonts w:cs="Arial"/>
        </w:rPr>
        <w:lastRenderedPageBreak/>
        <w:t>Para modelos digitales de superficie obtenidos a partir de sensores remotos, se debe revisar si la información representa la geometría del terreno adecuadamente, para</w:t>
      </w:r>
      <w:r w:rsidR="00D21627" w:rsidRPr="004068F6">
        <w:rPr>
          <w:rFonts w:cs="Arial"/>
        </w:rPr>
        <w:t>,</w:t>
      </w:r>
      <w:r w:rsidRPr="004068F6">
        <w:rPr>
          <w:rFonts w:cs="Arial"/>
        </w:rPr>
        <w:t xml:space="preserve"> en un proceso posterior ser tratada en los software de model</w:t>
      </w:r>
      <w:r w:rsidR="00A60447" w:rsidRPr="004068F6">
        <w:rPr>
          <w:rFonts w:cs="Arial"/>
        </w:rPr>
        <w:t>iz</w:t>
      </w:r>
      <w:r w:rsidRPr="004068F6">
        <w:rPr>
          <w:rFonts w:cs="Arial"/>
        </w:rPr>
        <w:t>ación, de lo contrario se recomienda realizar una adecuación de los mismos a fin de obtener un plano representativo del área con el fin de evitar incorporar elementos no representativos del terreno que generen distorsión en los resultados y no corresponden con la realidad ambiental del área de influencia o del proyecto, obra o actividad.</w:t>
      </w:r>
    </w:p>
    <w:p w14:paraId="10544DCC" w14:textId="77777777" w:rsidR="00D22CB0" w:rsidRPr="004068F6" w:rsidRDefault="00D22CB0" w:rsidP="00D21627">
      <w:pPr>
        <w:pStyle w:val="Prrafodelista"/>
        <w:ind w:left="567" w:hanging="567"/>
        <w:rPr>
          <w:rFonts w:cs="Arial"/>
          <w:lang w:val="es-CO"/>
        </w:rPr>
      </w:pPr>
    </w:p>
    <w:p w14:paraId="0D394B67" w14:textId="6F137BC2" w:rsidR="00D22CB0" w:rsidRPr="004068F6" w:rsidRDefault="00D22CB0" w:rsidP="00D21627">
      <w:pPr>
        <w:pStyle w:val="Textocomentario"/>
        <w:numPr>
          <w:ilvl w:val="0"/>
          <w:numId w:val="59"/>
        </w:numPr>
        <w:ind w:left="567" w:hanging="567"/>
        <w:rPr>
          <w:rFonts w:cs="Arial"/>
        </w:rPr>
      </w:pPr>
      <w:r w:rsidRPr="004068F6">
        <w:rPr>
          <w:rFonts w:cs="Arial"/>
        </w:rPr>
        <w:t>El modelo de terreno debe abarcar el área total de cálculo o dominio de model</w:t>
      </w:r>
      <w:r w:rsidR="00A60447" w:rsidRPr="004068F6">
        <w:rPr>
          <w:rFonts w:cs="Arial"/>
        </w:rPr>
        <w:t>iz</w:t>
      </w:r>
      <w:r w:rsidRPr="004068F6">
        <w:rPr>
          <w:rFonts w:cs="Arial"/>
        </w:rPr>
        <w:t xml:space="preserve">ación, la cual debe incluir como mínimo los receptores identificados previamente </w:t>
      </w:r>
      <w:r w:rsidR="00D21627" w:rsidRPr="004068F6">
        <w:rPr>
          <w:rFonts w:cs="Arial"/>
        </w:rPr>
        <w:t>y las principales fuentes de emisión de ruido existentes en el área de influencia (p. ej. vías)</w:t>
      </w:r>
      <w:r w:rsidRPr="004068F6">
        <w:rPr>
          <w:rFonts w:cs="Arial"/>
        </w:rPr>
        <w:t>; se deben adjuntar archivos de entrada, de salida al motor de cálculo y archivos del modelo digital de elevación de terreno (curvas de nivel o puntos de elevación).</w:t>
      </w:r>
    </w:p>
    <w:p w14:paraId="6A0E5C0C" w14:textId="77777777" w:rsidR="00D22CB0" w:rsidRPr="004068F6" w:rsidRDefault="00D22CB0" w:rsidP="00D21627">
      <w:pPr>
        <w:tabs>
          <w:tab w:val="left" w:pos="-2268"/>
        </w:tabs>
        <w:suppressAutoHyphens/>
        <w:ind w:left="567" w:hanging="567"/>
        <w:rPr>
          <w:rFonts w:cs="Arial"/>
          <w:spacing w:val="-3"/>
        </w:rPr>
      </w:pPr>
    </w:p>
    <w:p w14:paraId="43EE29F3" w14:textId="597FAFB2" w:rsidR="00D22CB0" w:rsidRPr="004068F6" w:rsidRDefault="00D22CB0" w:rsidP="00D21627">
      <w:pPr>
        <w:pStyle w:val="Prrafodelista"/>
        <w:numPr>
          <w:ilvl w:val="0"/>
          <w:numId w:val="59"/>
        </w:numPr>
        <w:suppressAutoHyphens/>
        <w:ind w:left="567" w:hanging="567"/>
        <w:rPr>
          <w:rFonts w:cs="Arial"/>
          <w:spacing w:val="-3"/>
          <w:lang w:val="es-CO"/>
        </w:rPr>
      </w:pPr>
      <w:r w:rsidRPr="004068F6">
        <w:rPr>
          <w:rFonts w:cs="Arial"/>
          <w:spacing w:val="-3"/>
          <w:lang w:val="es-CO"/>
        </w:rPr>
        <w:t xml:space="preserve">Adjuntar memorias de cálculo de potencia </w:t>
      </w:r>
      <w:r w:rsidR="00D21627" w:rsidRPr="004068F6">
        <w:rPr>
          <w:rFonts w:cs="Arial"/>
          <w:spacing w:val="-3"/>
          <w:lang w:val="es-CO"/>
        </w:rPr>
        <w:t xml:space="preserve">sonora </w:t>
      </w:r>
      <w:r w:rsidRPr="004068F6">
        <w:rPr>
          <w:rFonts w:cs="Arial"/>
          <w:spacing w:val="-3"/>
          <w:lang w:val="es-CO"/>
        </w:rPr>
        <w:t>de cada fuente (puntual, de área y lineal), así como los soportes en formatos de archivos intercambiable (editables), según el MAG.</w:t>
      </w:r>
    </w:p>
    <w:p w14:paraId="22CC3734" w14:textId="77777777" w:rsidR="00D22CB0" w:rsidRPr="004068F6" w:rsidRDefault="00D22CB0" w:rsidP="00D21627">
      <w:pPr>
        <w:tabs>
          <w:tab w:val="left" w:pos="-2268"/>
        </w:tabs>
        <w:suppressAutoHyphens/>
        <w:ind w:left="567" w:hanging="567"/>
        <w:rPr>
          <w:spacing w:val="-3"/>
        </w:rPr>
      </w:pPr>
    </w:p>
    <w:p w14:paraId="0F6E9D43" w14:textId="4BA141C8" w:rsidR="00D22CB0" w:rsidRPr="004068F6" w:rsidRDefault="00D22CB0" w:rsidP="00D21627">
      <w:pPr>
        <w:pStyle w:val="Prrafodelista"/>
        <w:numPr>
          <w:ilvl w:val="0"/>
          <w:numId w:val="59"/>
        </w:numPr>
        <w:tabs>
          <w:tab w:val="left" w:pos="-2268"/>
        </w:tabs>
        <w:suppressAutoHyphens/>
        <w:ind w:left="567" w:hanging="567"/>
        <w:rPr>
          <w:rFonts w:cs="Arial"/>
          <w:spacing w:val="-3"/>
          <w:lang w:val="es-CO"/>
        </w:rPr>
      </w:pPr>
      <w:r w:rsidRPr="004068F6">
        <w:rPr>
          <w:spacing w:val="-3"/>
          <w:lang w:val="es-CO"/>
        </w:rPr>
        <w:t xml:space="preserve">Meteorología: las variables meteorológicas a emplear corresponden a temperatura, presión atmosférica, </w:t>
      </w:r>
      <w:r w:rsidRPr="004068F6">
        <w:rPr>
          <w:rFonts w:cs="Arial"/>
          <w:spacing w:val="-3"/>
          <w:lang w:val="es-CO"/>
        </w:rPr>
        <w:t>humedad relativa, viento (dirección y velocidad); la información debe corresponder con los lineamientos establecidos en el numeral sobre Meteorología (</w:t>
      </w:r>
      <w:r w:rsidRPr="004068F6">
        <w:rPr>
          <w:rFonts w:cs="Arial"/>
          <w:spacing w:val="-3"/>
          <w:lang w:val="es-CO"/>
        </w:rPr>
        <w:fldChar w:fldCharType="begin"/>
      </w:r>
      <w:r w:rsidRPr="004068F6">
        <w:rPr>
          <w:rFonts w:cs="Arial"/>
          <w:spacing w:val="-3"/>
          <w:lang w:val="es-CO"/>
        </w:rPr>
        <w:instrText xml:space="preserve"> REF _Ref75795536 \r \h </w:instrText>
      </w:r>
      <w:r w:rsidR="006A4128" w:rsidRPr="004068F6">
        <w:rPr>
          <w:rFonts w:cs="Arial"/>
          <w:spacing w:val="-3"/>
          <w:lang w:val="es-CO"/>
        </w:rPr>
        <w:instrText xml:space="preserve"> \* MERGEFORMAT </w:instrText>
      </w:r>
      <w:r w:rsidRPr="004068F6">
        <w:rPr>
          <w:rFonts w:cs="Arial"/>
          <w:spacing w:val="-3"/>
          <w:lang w:val="es-CO"/>
        </w:rPr>
      </w:r>
      <w:r w:rsidRPr="004068F6">
        <w:rPr>
          <w:rFonts w:cs="Arial"/>
          <w:spacing w:val="-3"/>
          <w:lang w:val="es-CO"/>
        </w:rPr>
        <w:fldChar w:fldCharType="separate"/>
      </w:r>
      <w:r w:rsidR="009C4A81">
        <w:rPr>
          <w:rFonts w:cs="Arial"/>
          <w:spacing w:val="-3"/>
          <w:lang w:val="es-CO"/>
        </w:rPr>
        <w:t>4.1.7.1</w:t>
      </w:r>
      <w:r w:rsidRPr="004068F6">
        <w:rPr>
          <w:rFonts w:cs="Arial"/>
          <w:spacing w:val="-3"/>
          <w:lang w:val="es-CO"/>
        </w:rPr>
        <w:fldChar w:fldCharType="end"/>
      </w:r>
      <w:r w:rsidRPr="004068F6">
        <w:rPr>
          <w:rFonts w:cs="Arial"/>
          <w:spacing w:val="-3"/>
          <w:lang w:val="es-CO"/>
        </w:rPr>
        <w:t xml:space="preserve"> del presente capítulo).</w:t>
      </w:r>
    </w:p>
    <w:p w14:paraId="2193BEE0" w14:textId="77777777" w:rsidR="00D22CB0" w:rsidRPr="004068F6" w:rsidRDefault="00D22CB0" w:rsidP="00D21627">
      <w:pPr>
        <w:pStyle w:val="Prrafodelista"/>
        <w:ind w:left="567" w:hanging="567"/>
        <w:rPr>
          <w:rFonts w:cs="Arial"/>
          <w:spacing w:val="-3"/>
          <w:lang w:val="es-CO"/>
        </w:rPr>
      </w:pPr>
    </w:p>
    <w:p w14:paraId="128548E6" w14:textId="5D359C09" w:rsidR="00D21627" w:rsidRPr="004068F6" w:rsidRDefault="00D21627" w:rsidP="000D6E21">
      <w:pPr>
        <w:pStyle w:val="Prrafodelista"/>
        <w:numPr>
          <w:ilvl w:val="0"/>
          <w:numId w:val="59"/>
        </w:numPr>
        <w:suppressAutoHyphens/>
        <w:ind w:left="567" w:hanging="567"/>
        <w:rPr>
          <w:rFonts w:cs="Arial"/>
          <w:spacing w:val="-3"/>
          <w:lang w:val="es-CO"/>
        </w:rPr>
      </w:pPr>
      <w:r w:rsidRPr="004068F6">
        <w:rPr>
          <w:rFonts w:cs="Arial"/>
          <w:spacing w:val="-3"/>
          <w:lang w:val="es-CO"/>
        </w:rPr>
        <w:t>Datos de entrada al modelo: presentar como anexo un inventario de fuentes de ruido (puntuales, de área y lineales) que contenga como mínimo el nombre de la fuente, niveles de potencias sonoras en dB(A) (con valores en 1/1 de octava o 1/3 de octava preferiblemente) y características de la fuente, por ejemplo, dimensiones, capacidad, cantidad de fuentes, coordenadas de ubicación y origen de la información de emisión de ruido (p. ej. estándares internacionales, bibliografía, bases de datos de los software); en el caso de que la emisión de ruido se estime mediante medición directa en la fuente o método analítico, se debe adjuntar la memoria técnica en formato editable que permita su validación y trazabilidad.</w:t>
      </w:r>
    </w:p>
    <w:p w14:paraId="1E4A54C2" w14:textId="77777777" w:rsidR="00D21627" w:rsidRPr="004068F6" w:rsidRDefault="00D21627" w:rsidP="00D21627">
      <w:pPr>
        <w:pStyle w:val="Prrafodelista"/>
        <w:ind w:left="567" w:hanging="567"/>
        <w:rPr>
          <w:rFonts w:cs="Arial"/>
          <w:spacing w:val="-3"/>
          <w:lang w:val="es-CO"/>
        </w:rPr>
      </w:pPr>
    </w:p>
    <w:p w14:paraId="2AC2AE7F" w14:textId="4BD3016D" w:rsidR="00D21627" w:rsidRPr="004068F6" w:rsidRDefault="00D21627" w:rsidP="000D6E21">
      <w:pPr>
        <w:pStyle w:val="Prrafodelista"/>
        <w:numPr>
          <w:ilvl w:val="0"/>
          <w:numId w:val="59"/>
        </w:numPr>
        <w:suppressAutoHyphens/>
        <w:ind w:left="567" w:hanging="567"/>
        <w:rPr>
          <w:rFonts w:cs="Arial"/>
          <w:spacing w:val="-3"/>
          <w:lang w:val="es-CO"/>
        </w:rPr>
      </w:pPr>
      <w:r w:rsidRPr="004068F6">
        <w:rPr>
          <w:rFonts w:cs="Arial"/>
          <w:spacing w:val="-3"/>
          <w:lang w:val="es-CO"/>
        </w:rPr>
        <w:t>Las fuentes puntuales, lineales o de área deben estar codificadas inequívocamente de forma que sea posible identificarlas en el documento, en el anexo del que trata el ítem anterior, así como en el software de model</w:t>
      </w:r>
      <w:r w:rsidR="007231FA">
        <w:rPr>
          <w:rFonts w:cs="Arial"/>
          <w:spacing w:val="-3"/>
          <w:lang w:val="es-CO"/>
        </w:rPr>
        <w:t>iz</w:t>
      </w:r>
      <w:r w:rsidRPr="004068F6">
        <w:rPr>
          <w:rFonts w:cs="Arial"/>
          <w:spacing w:val="-3"/>
          <w:lang w:val="es-CO"/>
        </w:rPr>
        <w:t>ación.</w:t>
      </w:r>
    </w:p>
    <w:p w14:paraId="0E6B1B91" w14:textId="3E040F2D" w:rsidR="00D22CB0" w:rsidRPr="004068F6" w:rsidRDefault="00D22CB0" w:rsidP="00D21627">
      <w:pPr>
        <w:tabs>
          <w:tab w:val="left" w:pos="-2268"/>
        </w:tabs>
        <w:suppressAutoHyphens/>
        <w:ind w:left="567" w:hanging="567"/>
        <w:rPr>
          <w:rFonts w:cs="Arial"/>
          <w:spacing w:val="-3"/>
        </w:rPr>
      </w:pPr>
    </w:p>
    <w:p w14:paraId="3E0D3030" w14:textId="57D884D8" w:rsidR="00D22CB0" w:rsidRPr="004068F6" w:rsidRDefault="00D22CB0" w:rsidP="00D21627">
      <w:pPr>
        <w:pStyle w:val="Prrafodelista"/>
        <w:numPr>
          <w:ilvl w:val="0"/>
          <w:numId w:val="59"/>
        </w:numPr>
        <w:tabs>
          <w:tab w:val="left" w:pos="-2268"/>
        </w:tabs>
        <w:suppressAutoHyphens/>
        <w:ind w:left="567" w:hanging="567"/>
        <w:rPr>
          <w:rFonts w:cs="Arial"/>
          <w:spacing w:val="-3"/>
          <w:lang w:val="es-CO"/>
        </w:rPr>
      </w:pPr>
      <w:r w:rsidRPr="004068F6">
        <w:rPr>
          <w:rFonts w:cs="Arial"/>
          <w:spacing w:val="-3"/>
          <w:lang w:val="es-CO"/>
        </w:rPr>
        <w:t xml:space="preserve">Datos de salida: se debe adjuntar al estudio los resultados del cálculo de las isófonas como archivo shape file y raster, los valores de ruido asociados a receptores y </w:t>
      </w:r>
      <w:r w:rsidR="00F32F4B" w:rsidRPr="004068F6">
        <w:rPr>
          <w:rFonts w:cs="Arial"/>
          <w:spacing w:val="-3"/>
          <w:lang w:val="es-CO"/>
        </w:rPr>
        <w:t>los archivos nativos del software de model</w:t>
      </w:r>
      <w:r w:rsidR="007231FA">
        <w:rPr>
          <w:rFonts w:cs="Arial"/>
          <w:spacing w:val="-3"/>
          <w:lang w:val="es-CO"/>
        </w:rPr>
        <w:t>iz</w:t>
      </w:r>
      <w:r w:rsidR="00F32F4B" w:rsidRPr="004068F6">
        <w:rPr>
          <w:rFonts w:cs="Arial"/>
          <w:spacing w:val="-3"/>
          <w:lang w:val="es-CO"/>
        </w:rPr>
        <w:t>ación empleados</w:t>
      </w:r>
      <w:r w:rsidRPr="004068F6">
        <w:rPr>
          <w:rFonts w:cs="Arial"/>
          <w:spacing w:val="-3"/>
          <w:lang w:val="es-CO"/>
        </w:rPr>
        <w:t>.</w:t>
      </w:r>
    </w:p>
    <w:p w14:paraId="1AFE8937" w14:textId="77777777" w:rsidR="00D22CB0" w:rsidRPr="004068F6" w:rsidRDefault="00D22CB0" w:rsidP="00D21627">
      <w:pPr>
        <w:pStyle w:val="Prrafodelista"/>
        <w:tabs>
          <w:tab w:val="left" w:pos="-2268"/>
        </w:tabs>
        <w:suppressAutoHyphens/>
        <w:ind w:left="567" w:hanging="567"/>
        <w:rPr>
          <w:spacing w:val="-3"/>
          <w:lang w:val="es-CO"/>
        </w:rPr>
      </w:pPr>
    </w:p>
    <w:p w14:paraId="31E2CC69" w14:textId="06C20485" w:rsidR="00D22CB0" w:rsidRPr="004068F6" w:rsidRDefault="00D22CB0" w:rsidP="00D21627">
      <w:pPr>
        <w:pStyle w:val="Prrafodelista"/>
        <w:numPr>
          <w:ilvl w:val="0"/>
          <w:numId w:val="59"/>
        </w:numPr>
        <w:suppressAutoHyphens/>
        <w:ind w:left="567" w:hanging="567"/>
        <w:rPr>
          <w:rFonts w:cs="Arial"/>
          <w:spacing w:val="-3"/>
          <w:lang w:val="es-CO"/>
        </w:rPr>
      </w:pPr>
      <w:r w:rsidRPr="004068F6">
        <w:rPr>
          <w:spacing w:val="-3"/>
          <w:lang w:val="es-CO"/>
        </w:rPr>
        <w:t xml:space="preserve">Reportar </w:t>
      </w:r>
      <w:r w:rsidRPr="004068F6">
        <w:rPr>
          <w:rFonts w:cs="Arial"/>
          <w:spacing w:val="-3"/>
          <w:lang w:val="es-CO"/>
        </w:rPr>
        <w:t>el tipo de sistema de control empleado documentando sus características, métodos de cálculo, atenuación final obtenida</w:t>
      </w:r>
      <w:r w:rsidR="00F32F4B" w:rsidRPr="004068F6">
        <w:rPr>
          <w:rFonts w:cs="Arial"/>
          <w:spacing w:val="-3"/>
          <w:lang w:val="es-CO"/>
        </w:rPr>
        <w:t xml:space="preserve"> (eficiencia acústica del sistema)</w:t>
      </w:r>
      <w:r w:rsidRPr="004068F6">
        <w:rPr>
          <w:rFonts w:cs="Arial"/>
          <w:spacing w:val="-3"/>
          <w:lang w:val="es-CO"/>
        </w:rPr>
        <w:t>, y ubicación debidamente georreferenciada según el MAG.</w:t>
      </w:r>
    </w:p>
    <w:p w14:paraId="64C8B248" w14:textId="77777777" w:rsidR="00D22CB0" w:rsidRPr="004068F6" w:rsidRDefault="00D22CB0" w:rsidP="00D21627">
      <w:pPr>
        <w:tabs>
          <w:tab w:val="left" w:pos="-2268"/>
        </w:tabs>
        <w:suppressAutoHyphens/>
        <w:ind w:left="567" w:hanging="567"/>
        <w:rPr>
          <w:rFonts w:cs="Arial"/>
          <w:spacing w:val="-3"/>
        </w:rPr>
      </w:pPr>
    </w:p>
    <w:p w14:paraId="026C61B5" w14:textId="535A93C1" w:rsidR="00D22CB0" w:rsidRPr="004068F6" w:rsidRDefault="00D22CB0" w:rsidP="00D21627">
      <w:pPr>
        <w:pStyle w:val="Prrafodelista"/>
        <w:numPr>
          <w:ilvl w:val="0"/>
          <w:numId w:val="59"/>
        </w:numPr>
        <w:tabs>
          <w:tab w:val="left" w:pos="-2268"/>
        </w:tabs>
        <w:suppressAutoHyphens/>
        <w:ind w:left="567" w:hanging="567"/>
        <w:rPr>
          <w:rFonts w:cs="Arial"/>
          <w:spacing w:val="-3"/>
          <w:lang w:val="es-CO"/>
        </w:rPr>
      </w:pPr>
      <w:r w:rsidRPr="004068F6">
        <w:rPr>
          <w:rFonts w:cs="Arial"/>
          <w:spacing w:val="-3"/>
          <w:lang w:val="es-CO"/>
        </w:rPr>
        <w:t xml:space="preserve">Los resultados de la modelización deben ser presentados en planos con curvas isófonas, donde se </w:t>
      </w:r>
      <w:r w:rsidR="00F32F4B" w:rsidRPr="004068F6">
        <w:rPr>
          <w:rFonts w:cs="Arial"/>
          <w:spacing w:val="-3"/>
          <w:lang w:val="es-CO"/>
        </w:rPr>
        <w:t xml:space="preserve">muestren </w:t>
      </w:r>
      <w:r w:rsidRPr="004068F6">
        <w:rPr>
          <w:rFonts w:cs="Arial"/>
          <w:spacing w:val="-3"/>
          <w:lang w:val="es-CO"/>
        </w:rPr>
        <w:t>claramente las fuentes de generación de ruido</w:t>
      </w:r>
      <w:r w:rsidR="00F32F4B" w:rsidRPr="004068F6">
        <w:rPr>
          <w:rFonts w:cs="Arial"/>
          <w:spacing w:val="-3"/>
          <w:lang w:val="es-CO"/>
        </w:rPr>
        <w:t xml:space="preserve"> y </w:t>
      </w:r>
      <w:r w:rsidRPr="004068F6">
        <w:rPr>
          <w:rFonts w:cs="Arial"/>
          <w:spacing w:val="-3"/>
          <w:lang w:val="es-CO"/>
        </w:rPr>
        <w:t>los receptores sensibles identificados.</w:t>
      </w:r>
    </w:p>
    <w:p w14:paraId="12ECFF4D" w14:textId="77777777" w:rsidR="00D22CB0" w:rsidRPr="004068F6" w:rsidRDefault="00D22CB0" w:rsidP="00D21627">
      <w:pPr>
        <w:pStyle w:val="Prrafodelista"/>
        <w:ind w:left="567" w:hanging="567"/>
        <w:rPr>
          <w:rFonts w:cs="Arial"/>
          <w:spacing w:val="-3"/>
          <w:lang w:val="es-CO"/>
        </w:rPr>
      </w:pPr>
    </w:p>
    <w:p w14:paraId="28314F3A" w14:textId="51E2A473" w:rsidR="00D22CB0" w:rsidRPr="004068F6" w:rsidRDefault="00D22CB0" w:rsidP="00D21627">
      <w:pPr>
        <w:tabs>
          <w:tab w:val="left" w:pos="-2268"/>
        </w:tabs>
        <w:suppressAutoHyphens/>
        <w:rPr>
          <w:rFonts w:cs="Arial"/>
          <w:spacing w:val="-3"/>
        </w:rPr>
      </w:pPr>
      <w:r w:rsidRPr="004068F6">
        <w:rPr>
          <w:spacing w:val="-3"/>
        </w:rPr>
        <w:t xml:space="preserve">Las </w:t>
      </w:r>
      <w:r w:rsidRPr="004068F6">
        <w:rPr>
          <w:rFonts w:cs="Arial"/>
          <w:spacing w:val="-3"/>
        </w:rPr>
        <w:t>modelizaciones deben permitir:</w:t>
      </w:r>
    </w:p>
    <w:p w14:paraId="06B926E9" w14:textId="77777777" w:rsidR="00D22CB0" w:rsidRPr="004068F6" w:rsidRDefault="00D22CB0" w:rsidP="000D6E21">
      <w:pPr>
        <w:tabs>
          <w:tab w:val="left" w:pos="-2268"/>
        </w:tabs>
        <w:suppressAutoHyphens/>
        <w:ind w:left="709"/>
        <w:rPr>
          <w:spacing w:val="-3"/>
        </w:rPr>
      </w:pPr>
    </w:p>
    <w:p w14:paraId="08166D06" w14:textId="7ECBB65A" w:rsidR="00D22CB0" w:rsidRPr="004068F6" w:rsidRDefault="00DC7B83" w:rsidP="00D21627">
      <w:pPr>
        <w:pStyle w:val="Prrafodelista"/>
        <w:numPr>
          <w:ilvl w:val="0"/>
          <w:numId w:val="122"/>
        </w:numPr>
        <w:tabs>
          <w:tab w:val="left" w:pos="-2268"/>
        </w:tabs>
        <w:suppressAutoHyphens/>
        <w:ind w:left="567" w:hanging="567"/>
        <w:rPr>
          <w:spacing w:val="-3"/>
          <w:lang w:val="es-CO"/>
        </w:rPr>
      </w:pPr>
      <w:r w:rsidRPr="004068F6">
        <w:rPr>
          <w:spacing w:val="-3"/>
          <w:lang w:val="es-CO"/>
        </w:rPr>
        <w:t xml:space="preserve">Determinar </w:t>
      </w:r>
      <w:r w:rsidR="00D22CB0" w:rsidRPr="004068F6">
        <w:rPr>
          <w:spacing w:val="-3"/>
          <w:lang w:val="es-CO"/>
        </w:rPr>
        <w:t>las zonas de mayor incremento en los niveles de ruido ambiental para cada uno de los escenarios del proyecto.</w:t>
      </w:r>
    </w:p>
    <w:p w14:paraId="5F613161" w14:textId="77777777" w:rsidR="00D22CB0" w:rsidRPr="004068F6" w:rsidRDefault="00D22CB0" w:rsidP="00D21627">
      <w:pPr>
        <w:pStyle w:val="Prrafodelista"/>
        <w:tabs>
          <w:tab w:val="left" w:pos="-2268"/>
        </w:tabs>
        <w:suppressAutoHyphens/>
        <w:ind w:left="567" w:hanging="567"/>
        <w:rPr>
          <w:rFonts w:cs="Arial"/>
          <w:spacing w:val="-3"/>
          <w:lang w:val="es-CO"/>
        </w:rPr>
      </w:pPr>
    </w:p>
    <w:p w14:paraId="2EB04AE7" w14:textId="77777777" w:rsidR="00D22CB0" w:rsidRPr="004068F6" w:rsidRDefault="00D22CB0" w:rsidP="00D21627">
      <w:pPr>
        <w:pStyle w:val="Prrafodelista"/>
        <w:numPr>
          <w:ilvl w:val="0"/>
          <w:numId w:val="122"/>
        </w:numPr>
        <w:tabs>
          <w:tab w:val="left" w:pos="-2268"/>
        </w:tabs>
        <w:suppressAutoHyphens/>
        <w:ind w:left="567" w:hanging="567"/>
        <w:rPr>
          <w:spacing w:val="-3"/>
          <w:lang w:val="es-CO"/>
        </w:rPr>
      </w:pPr>
      <w:r w:rsidRPr="004068F6">
        <w:rPr>
          <w:spacing w:val="-3"/>
          <w:lang w:val="es-CO"/>
        </w:rPr>
        <w:t>Valorar la magnitud del impacto ocasionado por esta actividad sobre las condiciones del ruido ambiental en los receptores de interés teniendo en cuenta el marco normativo vigente (Resolución 627 de 2006 o aquella que la modifique o sustituya).</w:t>
      </w:r>
    </w:p>
    <w:p w14:paraId="3C3652A4" w14:textId="77777777" w:rsidR="00D22CB0" w:rsidRPr="004068F6" w:rsidRDefault="00D22CB0" w:rsidP="00D21627">
      <w:pPr>
        <w:pStyle w:val="Prrafodelista"/>
        <w:tabs>
          <w:tab w:val="left" w:pos="-2268"/>
        </w:tabs>
        <w:suppressAutoHyphens/>
        <w:ind w:left="567" w:hanging="567"/>
        <w:rPr>
          <w:spacing w:val="-3"/>
          <w:lang w:val="es-CO"/>
        </w:rPr>
      </w:pPr>
    </w:p>
    <w:p w14:paraId="0B0D2570" w14:textId="681F8E15" w:rsidR="00D22CB0" w:rsidRPr="004068F6" w:rsidRDefault="00DC7B83" w:rsidP="00D21627">
      <w:pPr>
        <w:pStyle w:val="Prrafodelista"/>
        <w:numPr>
          <w:ilvl w:val="0"/>
          <w:numId w:val="122"/>
        </w:numPr>
        <w:tabs>
          <w:tab w:val="left" w:pos="-2268"/>
        </w:tabs>
        <w:suppressAutoHyphens/>
        <w:ind w:left="567" w:hanging="567"/>
        <w:rPr>
          <w:rFonts w:cs="Arial"/>
          <w:spacing w:val="-3"/>
          <w:lang w:val="es-CO"/>
        </w:rPr>
      </w:pPr>
      <w:r w:rsidRPr="004068F6">
        <w:rPr>
          <w:spacing w:val="-3"/>
          <w:lang w:val="es-CO"/>
        </w:rPr>
        <w:t xml:space="preserve">Determinar </w:t>
      </w:r>
      <w:r w:rsidR="00D22CB0" w:rsidRPr="004068F6">
        <w:rPr>
          <w:rFonts w:cs="Arial"/>
          <w:spacing w:val="-3"/>
          <w:lang w:val="es-CO"/>
        </w:rPr>
        <w:t>el aporte de niveles de presión sonora que realiza cada fuente o grupos de fuentes sobre los niveles de ruido ambiental de la zona objeto de estudio, utilizando para esto los resultados de los modelos predictivos de ruido y la evaluación de éstos sobre los receptores.</w:t>
      </w:r>
    </w:p>
    <w:p w14:paraId="07EB16FD" w14:textId="77777777" w:rsidR="00A31408" w:rsidRPr="004068F6" w:rsidRDefault="00A31408">
      <w:pPr>
        <w:numPr>
          <w:ilvl w:val="12"/>
          <w:numId w:val="0"/>
        </w:numPr>
        <w:tabs>
          <w:tab w:val="left" w:pos="-2268"/>
        </w:tabs>
        <w:suppressAutoHyphens/>
        <w:rPr>
          <w:spacing w:val="-3"/>
        </w:rPr>
      </w:pPr>
    </w:p>
    <w:p w14:paraId="31A09B65" w14:textId="2BD671F7" w:rsidR="00350BBA" w:rsidRPr="00466E26" w:rsidRDefault="00554435" w:rsidP="000A1E20">
      <w:pPr>
        <w:pStyle w:val="Ttulo3"/>
      </w:pPr>
      <w:bookmarkStart w:id="3336" w:name="_Toc230879703"/>
      <w:r w:rsidRPr="00466E26">
        <w:t>Paisaje</w:t>
      </w:r>
      <w:bookmarkEnd w:id="3336"/>
    </w:p>
    <w:p w14:paraId="00E541AC" w14:textId="77777777" w:rsidR="00350BBA" w:rsidRPr="004068F6" w:rsidRDefault="00350BBA" w:rsidP="00350BBA">
      <w:pPr>
        <w:tabs>
          <w:tab w:val="left" w:pos="-2268"/>
        </w:tabs>
        <w:suppressAutoHyphens/>
        <w:rPr>
          <w:spacing w:val="-3"/>
        </w:rPr>
      </w:pPr>
    </w:p>
    <w:p w14:paraId="602BF465" w14:textId="7A70EBC1" w:rsidR="00890F2C" w:rsidRPr="004068F6" w:rsidRDefault="003968FB" w:rsidP="009420F5">
      <w:pPr>
        <w:tabs>
          <w:tab w:val="left" w:pos="-2268"/>
        </w:tabs>
        <w:suppressAutoHyphens/>
        <w:rPr>
          <w:spacing w:val="-3"/>
        </w:rPr>
      </w:pPr>
      <w:r w:rsidRPr="004068F6">
        <w:rPr>
          <w:spacing w:val="-3"/>
        </w:rPr>
        <w:t>Con el propósito de evaluar los impactos ambientales que genera el proyecto obra o actividad sobre el paisaje</w:t>
      </w:r>
      <w:r w:rsidR="00890F2C" w:rsidRPr="004068F6">
        <w:rPr>
          <w:spacing w:val="-3"/>
        </w:rPr>
        <w:t xml:space="preserve"> y de delimitar el área de influencia a partir de los que resulten significativos</w:t>
      </w:r>
      <w:r w:rsidRPr="004068F6">
        <w:rPr>
          <w:spacing w:val="-3"/>
        </w:rPr>
        <w:t>, se debe realizar una d</w:t>
      </w:r>
      <w:r w:rsidR="00350BBA" w:rsidRPr="004068F6">
        <w:rPr>
          <w:spacing w:val="-3"/>
        </w:rPr>
        <w:t xml:space="preserve">escripción de la </w:t>
      </w:r>
      <w:r w:rsidR="00890F2C" w:rsidRPr="004068F6">
        <w:rPr>
          <w:spacing w:val="-3"/>
        </w:rPr>
        <w:t xml:space="preserve">forma en que </w:t>
      </w:r>
      <w:r w:rsidR="00350BBA" w:rsidRPr="004068F6">
        <w:rPr>
          <w:spacing w:val="-3"/>
        </w:rPr>
        <w:t>el proyecto, obra o actividad</w:t>
      </w:r>
      <w:r w:rsidR="00890F2C" w:rsidRPr="004068F6">
        <w:rPr>
          <w:spacing w:val="-3"/>
        </w:rPr>
        <w:t xml:space="preserve"> interactuaría con el </w:t>
      </w:r>
      <w:r w:rsidR="00423E9D" w:rsidRPr="004068F6">
        <w:rPr>
          <w:rFonts w:cs="Arial"/>
          <w:spacing w:val="-3"/>
        </w:rPr>
        <w:t>área que configura el paisaje</w:t>
      </w:r>
      <w:r w:rsidR="00890F2C" w:rsidRPr="004068F6">
        <w:rPr>
          <w:spacing w:val="-3"/>
        </w:rPr>
        <w:t>.</w:t>
      </w:r>
    </w:p>
    <w:p w14:paraId="36052622" w14:textId="77777777" w:rsidR="00890F2C" w:rsidRPr="004068F6" w:rsidRDefault="00890F2C" w:rsidP="009420F5">
      <w:pPr>
        <w:tabs>
          <w:tab w:val="left" w:pos="-2268"/>
        </w:tabs>
        <w:suppressAutoHyphens/>
        <w:rPr>
          <w:spacing w:val="-3"/>
        </w:rPr>
      </w:pPr>
    </w:p>
    <w:p w14:paraId="54E6B308" w14:textId="0FBE0C08" w:rsidR="00350BBA" w:rsidRPr="004068F6" w:rsidRDefault="00890F2C" w:rsidP="009420F5">
      <w:pPr>
        <w:tabs>
          <w:tab w:val="left" w:pos="-2268"/>
        </w:tabs>
        <w:suppressAutoHyphens/>
        <w:rPr>
          <w:spacing w:val="-3"/>
        </w:rPr>
      </w:pPr>
      <w:r w:rsidRPr="004068F6">
        <w:rPr>
          <w:spacing w:val="-3"/>
        </w:rPr>
        <w:t xml:space="preserve">Dicha descripción debe </w:t>
      </w:r>
      <w:r w:rsidR="00494ABF" w:rsidRPr="004068F6">
        <w:rPr>
          <w:spacing w:val="-3"/>
        </w:rPr>
        <w:t xml:space="preserve">enfocarse en </w:t>
      </w:r>
      <w:r w:rsidR="00350BBA" w:rsidRPr="004068F6">
        <w:rPr>
          <w:spacing w:val="-3"/>
        </w:rPr>
        <w:t>la</w:t>
      </w:r>
      <w:r w:rsidR="00494ABF" w:rsidRPr="004068F6">
        <w:rPr>
          <w:spacing w:val="-3"/>
        </w:rPr>
        <w:t>s</w:t>
      </w:r>
      <w:r w:rsidR="00350BBA" w:rsidRPr="004068F6">
        <w:rPr>
          <w:spacing w:val="-3"/>
        </w:rPr>
        <w:t xml:space="preserve"> intervenci</w:t>
      </w:r>
      <w:r w:rsidR="00494ABF" w:rsidRPr="004068F6">
        <w:rPr>
          <w:spacing w:val="-3"/>
        </w:rPr>
        <w:t xml:space="preserve">ones del proyecto, obra o actividad (las cuales resultan de la construcción de obras, infraestructura, y de actividades de uso y aprovechamiento de recursos naturales, entre otras) </w:t>
      </w:r>
      <w:r w:rsidR="00350BBA" w:rsidRPr="004068F6">
        <w:rPr>
          <w:spacing w:val="-3"/>
        </w:rPr>
        <w:t>asociada</w:t>
      </w:r>
      <w:r w:rsidR="00494ABF" w:rsidRPr="004068F6">
        <w:rPr>
          <w:spacing w:val="-3"/>
        </w:rPr>
        <w:t>s</w:t>
      </w:r>
      <w:r w:rsidR="00350BBA" w:rsidRPr="004068F6">
        <w:rPr>
          <w:spacing w:val="-3"/>
        </w:rPr>
        <w:t xml:space="preserve"> a cada unidad de paisaje. En aquellos casos donde no se cuente con la localización definitiva de las actividades, </w:t>
      </w:r>
      <w:r w:rsidR="00494ABF" w:rsidRPr="004068F6">
        <w:rPr>
          <w:spacing w:val="-3"/>
        </w:rPr>
        <w:t xml:space="preserve">se debe </w:t>
      </w:r>
      <w:r w:rsidR="00350BBA" w:rsidRPr="004068F6">
        <w:rPr>
          <w:spacing w:val="-3"/>
        </w:rPr>
        <w:t>hacer uso de alternativas preliminares de localización.</w:t>
      </w:r>
    </w:p>
    <w:p w14:paraId="316F0CA1" w14:textId="77777777" w:rsidR="00350BBA" w:rsidRPr="004068F6" w:rsidRDefault="00350BBA" w:rsidP="003968FB">
      <w:pPr>
        <w:tabs>
          <w:tab w:val="left" w:pos="-2268"/>
        </w:tabs>
        <w:suppressAutoHyphens/>
        <w:ind w:left="567" w:hanging="567"/>
        <w:rPr>
          <w:spacing w:val="-3"/>
        </w:rPr>
      </w:pPr>
    </w:p>
    <w:p w14:paraId="0C444459" w14:textId="6B694A62" w:rsidR="00350BBA" w:rsidRPr="004068F6" w:rsidRDefault="00494ABF" w:rsidP="009420F5">
      <w:pPr>
        <w:tabs>
          <w:tab w:val="left" w:pos="-2268"/>
        </w:tabs>
        <w:suppressAutoHyphens/>
        <w:rPr>
          <w:spacing w:val="-3"/>
        </w:rPr>
      </w:pPr>
      <w:r w:rsidRPr="004068F6">
        <w:rPr>
          <w:spacing w:val="-3"/>
        </w:rPr>
        <w:t xml:space="preserve">Asimismo, se deben contemplar </w:t>
      </w:r>
      <w:r w:rsidR="00350BBA" w:rsidRPr="004068F6">
        <w:rPr>
          <w:spacing w:val="-3"/>
        </w:rPr>
        <w:t xml:space="preserve">los resultados </w:t>
      </w:r>
      <w:r w:rsidR="00FA1253" w:rsidRPr="004068F6">
        <w:rPr>
          <w:spacing w:val="-3"/>
        </w:rPr>
        <w:t>sobre</w:t>
      </w:r>
      <w:r w:rsidR="00350BBA" w:rsidRPr="004068F6">
        <w:rPr>
          <w:spacing w:val="-3"/>
        </w:rPr>
        <w:t xml:space="preserve"> calidad, fragilidad </w:t>
      </w:r>
      <w:r w:rsidR="008856F5" w:rsidRPr="004068F6">
        <w:rPr>
          <w:spacing w:val="-3"/>
        </w:rPr>
        <w:t xml:space="preserve">y </w:t>
      </w:r>
      <w:r w:rsidR="00350BBA" w:rsidRPr="004068F6">
        <w:rPr>
          <w:spacing w:val="-3"/>
        </w:rPr>
        <w:t xml:space="preserve">percepción </w:t>
      </w:r>
      <w:r w:rsidR="008856F5" w:rsidRPr="004068F6">
        <w:rPr>
          <w:spacing w:val="-3"/>
        </w:rPr>
        <w:t>visual del paisaje</w:t>
      </w:r>
      <w:r w:rsidR="00FA1253" w:rsidRPr="004068F6">
        <w:rPr>
          <w:spacing w:val="-3"/>
        </w:rPr>
        <w:t>,</w:t>
      </w:r>
      <w:r w:rsidR="008856F5" w:rsidRPr="004068F6">
        <w:rPr>
          <w:spacing w:val="-3"/>
        </w:rPr>
        <w:t xml:space="preserve"> su integridad escénica</w:t>
      </w:r>
      <w:r w:rsidR="00E85CE7" w:rsidRPr="00127BD4">
        <w:rPr>
          <w:rStyle w:val="Refdenotaalpie"/>
          <w:spacing w:val="-3"/>
          <w:lang w:val="es-CO"/>
        </w:rPr>
        <w:footnoteReference w:id="227"/>
      </w:r>
      <w:r w:rsidR="00350BBA" w:rsidRPr="004068F6">
        <w:rPr>
          <w:spacing w:val="-3"/>
        </w:rPr>
        <w:t xml:space="preserve">, </w:t>
      </w:r>
      <w:r w:rsidRPr="004068F6">
        <w:rPr>
          <w:spacing w:val="-3"/>
        </w:rPr>
        <w:t xml:space="preserve">así como </w:t>
      </w:r>
      <w:r w:rsidR="00FA1253" w:rsidRPr="004068F6">
        <w:rPr>
          <w:spacing w:val="-3"/>
        </w:rPr>
        <w:t xml:space="preserve">sobre </w:t>
      </w:r>
      <w:r w:rsidR="00350BBA" w:rsidRPr="004068F6">
        <w:rPr>
          <w:spacing w:val="-3"/>
        </w:rPr>
        <w:t xml:space="preserve">zonificación </w:t>
      </w:r>
      <w:r w:rsidRPr="004068F6">
        <w:rPr>
          <w:spacing w:val="-3"/>
        </w:rPr>
        <w:t xml:space="preserve">ambiental </w:t>
      </w:r>
      <w:r w:rsidR="00350BBA" w:rsidRPr="004068F6">
        <w:rPr>
          <w:spacing w:val="-3"/>
        </w:rPr>
        <w:t xml:space="preserve">del </w:t>
      </w:r>
      <w:r w:rsidRPr="004068F6">
        <w:rPr>
          <w:spacing w:val="-3"/>
        </w:rPr>
        <w:t>paisaje (</w:t>
      </w:r>
      <w:r w:rsidR="00350BBA" w:rsidRPr="004068F6">
        <w:rPr>
          <w:spacing w:val="-3"/>
        </w:rPr>
        <w:t>resaltando las unidades de paisaje con mayor sensibilidad</w:t>
      </w:r>
      <w:r w:rsidRPr="004068F6">
        <w:rPr>
          <w:spacing w:val="-3"/>
        </w:rPr>
        <w:t xml:space="preserve">), para desarrollar una síntesis </w:t>
      </w:r>
      <w:r w:rsidRPr="004068F6">
        <w:rPr>
          <w:spacing w:val="-3"/>
        </w:rPr>
        <w:lastRenderedPageBreak/>
        <w:t>que permita prever cómo la ejecución del proyecto, obra o actividad alteraría las condiciones</w:t>
      </w:r>
      <w:r w:rsidR="00C35631" w:rsidRPr="004068F6">
        <w:rPr>
          <w:spacing w:val="-3"/>
        </w:rPr>
        <w:t xml:space="preserve"> paisajísticas y cuáles de sus alteraciones generan impactos ambientales significativos.</w:t>
      </w:r>
    </w:p>
    <w:p w14:paraId="31FEC53A" w14:textId="77777777" w:rsidR="00350BBA" w:rsidRPr="004068F6" w:rsidRDefault="00350BBA" w:rsidP="003968FB">
      <w:pPr>
        <w:tabs>
          <w:tab w:val="left" w:pos="-2268"/>
        </w:tabs>
        <w:suppressAutoHyphens/>
        <w:ind w:left="567" w:hanging="567"/>
        <w:rPr>
          <w:spacing w:val="-3"/>
        </w:rPr>
      </w:pPr>
    </w:p>
    <w:p w14:paraId="2025ECAE" w14:textId="2557CF97" w:rsidR="008856F5" w:rsidRPr="004068F6" w:rsidRDefault="008856F5" w:rsidP="009420F5">
      <w:pPr>
        <w:tabs>
          <w:tab w:val="left" w:pos="-2268"/>
        </w:tabs>
        <w:suppressAutoHyphens/>
        <w:rPr>
          <w:spacing w:val="-3"/>
        </w:rPr>
      </w:pPr>
      <w:r w:rsidRPr="004068F6">
        <w:rPr>
          <w:spacing w:val="-3"/>
        </w:rPr>
        <w:t xml:space="preserve">A fin de evaluar </w:t>
      </w:r>
      <w:r w:rsidR="0092118B" w:rsidRPr="004068F6">
        <w:rPr>
          <w:spacing w:val="-3"/>
        </w:rPr>
        <w:t xml:space="preserve">y determinar estos </w:t>
      </w:r>
      <w:r w:rsidRPr="004068F6">
        <w:rPr>
          <w:spacing w:val="-3"/>
        </w:rPr>
        <w:t xml:space="preserve">impactos se debe desarrollar un modelo de visibilidad en el escenario con proyecto </w:t>
      </w:r>
      <w:r w:rsidR="007C3F16" w:rsidRPr="004068F6">
        <w:rPr>
          <w:spacing w:val="-3"/>
        </w:rPr>
        <w:t xml:space="preserve">partiendo </w:t>
      </w:r>
      <w:r w:rsidRPr="004068F6">
        <w:rPr>
          <w:spacing w:val="-3"/>
        </w:rPr>
        <w:t xml:space="preserve">de la máxima intervención estimada </w:t>
      </w:r>
      <w:r w:rsidR="0092118B" w:rsidRPr="004068F6">
        <w:rPr>
          <w:spacing w:val="-3"/>
        </w:rPr>
        <w:t xml:space="preserve">y </w:t>
      </w:r>
      <w:r w:rsidRPr="004068F6">
        <w:rPr>
          <w:spacing w:val="-3"/>
        </w:rPr>
        <w:t xml:space="preserve">considere la localización de la infraestructura o adecuación de espacios asociados al proyecto, obra o actividad, así como las condiciones del relieve y la cobertura de la tierra. Se deben presentar los insumos cartográficos de entrada al modelo y los resultados de </w:t>
      </w:r>
      <w:r w:rsidR="0092118B" w:rsidRPr="004068F6">
        <w:rPr>
          <w:spacing w:val="-3"/>
        </w:rPr>
        <w:t>é</w:t>
      </w:r>
      <w:r w:rsidRPr="004068F6">
        <w:rPr>
          <w:spacing w:val="-3"/>
        </w:rPr>
        <w:t>st</w:t>
      </w:r>
      <w:r w:rsidR="00284CEB" w:rsidRPr="004068F6">
        <w:rPr>
          <w:spacing w:val="-3"/>
        </w:rPr>
        <w:t>e</w:t>
      </w:r>
      <w:r w:rsidR="00984DE7" w:rsidRPr="00127BD4">
        <w:rPr>
          <w:spacing w:val="-3"/>
          <w:vertAlign w:val="superscript"/>
        </w:rPr>
        <w:footnoteReference w:id="228"/>
      </w:r>
      <w:r w:rsidRPr="004068F6">
        <w:rPr>
          <w:spacing w:val="-3"/>
        </w:rPr>
        <w:t>. En caso de no contar con la ubicación definitiva de las actividades</w:t>
      </w:r>
      <w:r w:rsidR="0092118B" w:rsidRPr="004068F6">
        <w:rPr>
          <w:spacing w:val="-3"/>
        </w:rPr>
        <w:t>, obras o infraestructuras</w:t>
      </w:r>
      <w:r w:rsidRPr="004068F6">
        <w:rPr>
          <w:spacing w:val="-3"/>
        </w:rPr>
        <w:t xml:space="preserve">, </w:t>
      </w:r>
      <w:r w:rsidR="0092118B" w:rsidRPr="004068F6">
        <w:rPr>
          <w:spacing w:val="-3"/>
        </w:rPr>
        <w:t xml:space="preserve">es posible emplear </w:t>
      </w:r>
      <w:r w:rsidRPr="004068F6">
        <w:rPr>
          <w:spacing w:val="-3"/>
        </w:rPr>
        <w:t>alternativas preliminares de localización. Los resultados de este modelo deben analizarse en conjunto con los obtenidos para el modelo de visibilidad sin proyecto, estableciendo la intervisibilidad de los dos escenarios.</w:t>
      </w:r>
    </w:p>
    <w:p w14:paraId="459F073B" w14:textId="77777777" w:rsidR="00350BBA" w:rsidRPr="004068F6" w:rsidRDefault="00350BBA">
      <w:pPr>
        <w:numPr>
          <w:ilvl w:val="12"/>
          <w:numId w:val="0"/>
        </w:numPr>
        <w:tabs>
          <w:tab w:val="left" w:pos="-2268"/>
        </w:tabs>
        <w:suppressAutoHyphens/>
        <w:rPr>
          <w:spacing w:val="-3"/>
        </w:rPr>
      </w:pPr>
    </w:p>
    <w:p w14:paraId="028F58E1" w14:textId="62EEB489" w:rsidR="00554435" w:rsidRPr="00466E26" w:rsidRDefault="00554435" w:rsidP="000A1E20">
      <w:pPr>
        <w:pStyle w:val="Ttulo3"/>
      </w:pPr>
      <w:bookmarkStart w:id="3337" w:name="_Toc230879704"/>
      <w:r w:rsidRPr="00466E26">
        <w:t>Oceanografía</w:t>
      </w:r>
      <w:bookmarkEnd w:id="3337"/>
    </w:p>
    <w:p w14:paraId="2D507A25" w14:textId="77777777" w:rsidR="00554435" w:rsidRPr="004068F6" w:rsidRDefault="00554435">
      <w:pPr>
        <w:numPr>
          <w:ilvl w:val="12"/>
          <w:numId w:val="0"/>
        </w:numPr>
        <w:tabs>
          <w:tab w:val="left" w:pos="-2268"/>
        </w:tabs>
        <w:suppressAutoHyphens/>
        <w:rPr>
          <w:spacing w:val="-3"/>
        </w:rPr>
      </w:pPr>
    </w:p>
    <w:p w14:paraId="5346B768" w14:textId="78FB9775" w:rsidR="00554435" w:rsidRPr="004068F6" w:rsidRDefault="00554435">
      <w:pPr>
        <w:numPr>
          <w:ilvl w:val="12"/>
          <w:numId w:val="0"/>
        </w:numPr>
        <w:tabs>
          <w:tab w:val="left" w:pos="-2268"/>
        </w:tabs>
        <w:suppressAutoHyphens/>
        <w:rPr>
          <w:spacing w:val="-3"/>
        </w:rPr>
      </w:pPr>
      <w:r w:rsidRPr="004068F6">
        <w:rPr>
          <w:spacing w:val="-3"/>
        </w:rPr>
        <w:t xml:space="preserve">Es importante que la </w:t>
      </w:r>
      <w:r w:rsidR="00682013" w:rsidRPr="004068F6">
        <w:rPr>
          <w:rFonts w:cs="Arial"/>
          <w:spacing w:val="-3"/>
        </w:rPr>
        <w:t>determinación</w:t>
      </w:r>
      <w:r w:rsidR="00682013" w:rsidRPr="004068F6" w:rsidDel="00682013">
        <w:rPr>
          <w:spacing w:val="-3"/>
        </w:rPr>
        <w:t xml:space="preserve"> </w:t>
      </w:r>
      <w:r w:rsidRPr="004068F6">
        <w:rPr>
          <w:spacing w:val="-3"/>
        </w:rPr>
        <w:t xml:space="preserve">y valoración de impactos ambientales </w:t>
      </w:r>
      <w:r w:rsidR="00A635C4" w:rsidRPr="004068F6">
        <w:rPr>
          <w:spacing w:val="-3"/>
        </w:rPr>
        <w:t>considere</w:t>
      </w:r>
      <w:r w:rsidR="006406FE" w:rsidRPr="004068F6">
        <w:rPr>
          <w:spacing w:val="-3"/>
        </w:rPr>
        <w:t>n</w:t>
      </w:r>
      <w:r w:rsidR="00015319" w:rsidRPr="004068F6">
        <w:rPr>
          <w:spacing w:val="-3"/>
        </w:rPr>
        <w:t xml:space="preserve">, </w:t>
      </w:r>
      <w:r w:rsidRPr="004068F6">
        <w:rPr>
          <w:spacing w:val="-3"/>
        </w:rPr>
        <w:t>entre otros</w:t>
      </w:r>
      <w:r w:rsidR="00E05D82" w:rsidRPr="004068F6">
        <w:rPr>
          <w:spacing w:val="-3"/>
        </w:rPr>
        <w:t>,</w:t>
      </w:r>
      <w:r w:rsidRPr="004068F6">
        <w:rPr>
          <w:spacing w:val="-3"/>
        </w:rPr>
        <w:t xml:space="preserve"> </w:t>
      </w:r>
      <w:r w:rsidR="0097572A" w:rsidRPr="004068F6">
        <w:rPr>
          <w:spacing w:val="-3"/>
        </w:rPr>
        <w:t xml:space="preserve">los </w:t>
      </w:r>
      <w:r w:rsidRPr="004068F6">
        <w:rPr>
          <w:spacing w:val="-3"/>
        </w:rPr>
        <w:t xml:space="preserve">escenarios de cambio climático, </w:t>
      </w:r>
      <w:r w:rsidR="0097572A" w:rsidRPr="004068F6">
        <w:rPr>
          <w:spacing w:val="-3"/>
        </w:rPr>
        <w:t xml:space="preserve">incluyendo </w:t>
      </w:r>
      <w:r w:rsidR="00040105" w:rsidRPr="004068F6">
        <w:rPr>
          <w:spacing w:val="-3"/>
        </w:rPr>
        <w:t xml:space="preserve">cómo </w:t>
      </w:r>
      <w:r w:rsidRPr="004068F6">
        <w:rPr>
          <w:spacing w:val="-3"/>
        </w:rPr>
        <w:t xml:space="preserve">el aumento del nivel </w:t>
      </w:r>
      <w:r w:rsidR="00AF5B77" w:rsidRPr="004068F6">
        <w:rPr>
          <w:spacing w:val="-3"/>
        </w:rPr>
        <w:t xml:space="preserve">del </w:t>
      </w:r>
      <w:r w:rsidRPr="004068F6">
        <w:rPr>
          <w:spacing w:val="-3"/>
        </w:rPr>
        <w:t xml:space="preserve">mar afecta </w:t>
      </w:r>
      <w:r w:rsidR="00D71D24" w:rsidRPr="004068F6">
        <w:rPr>
          <w:spacing w:val="-3"/>
        </w:rPr>
        <w:t>a</w:t>
      </w:r>
      <w:r w:rsidRPr="004068F6">
        <w:rPr>
          <w:spacing w:val="-3"/>
        </w:rPr>
        <w:t xml:space="preserve">l proyecto, obra o actividad </w:t>
      </w:r>
      <w:r w:rsidR="003D2F41" w:rsidRPr="004068F6">
        <w:rPr>
          <w:spacing w:val="-3"/>
        </w:rPr>
        <w:t>y,</w:t>
      </w:r>
      <w:r w:rsidRPr="004068F6">
        <w:rPr>
          <w:spacing w:val="-3"/>
        </w:rPr>
        <w:t xml:space="preserve"> </w:t>
      </w:r>
      <w:r w:rsidR="00B11AD1" w:rsidRPr="004068F6">
        <w:rPr>
          <w:spacing w:val="-3"/>
        </w:rPr>
        <w:t xml:space="preserve">de qué </w:t>
      </w:r>
      <w:r w:rsidRPr="004068F6">
        <w:rPr>
          <w:spacing w:val="-3"/>
        </w:rPr>
        <w:t xml:space="preserve">manera </w:t>
      </w:r>
      <w:r w:rsidR="00B11AD1" w:rsidRPr="004068F6">
        <w:rPr>
          <w:spacing w:val="-3"/>
        </w:rPr>
        <w:t xml:space="preserve">este fenómeno </w:t>
      </w:r>
      <w:r w:rsidRPr="004068F6">
        <w:rPr>
          <w:spacing w:val="-3"/>
        </w:rPr>
        <w:t xml:space="preserve">modifica los impactos que </w:t>
      </w:r>
      <w:r w:rsidR="00D77F5C" w:rsidRPr="004068F6">
        <w:rPr>
          <w:spacing w:val="-3"/>
        </w:rPr>
        <w:t xml:space="preserve">el proyecto puede </w:t>
      </w:r>
      <w:r w:rsidRPr="004068F6">
        <w:rPr>
          <w:spacing w:val="-3"/>
        </w:rPr>
        <w:t xml:space="preserve">generar en las condiciones ambientales. </w:t>
      </w:r>
      <w:r w:rsidR="009F4347" w:rsidRPr="004068F6">
        <w:rPr>
          <w:spacing w:val="-3"/>
        </w:rPr>
        <w:t xml:space="preserve">Para estos </w:t>
      </w:r>
      <w:r w:rsidRPr="004068F6">
        <w:rPr>
          <w:spacing w:val="-3"/>
        </w:rPr>
        <w:t xml:space="preserve">escenarios (principalmente mareas), se </w:t>
      </w:r>
      <w:r w:rsidR="009F4347" w:rsidRPr="004068F6">
        <w:rPr>
          <w:spacing w:val="-3"/>
        </w:rPr>
        <w:t>debe</w:t>
      </w:r>
      <w:r w:rsidR="00AD14D3" w:rsidRPr="004068F6">
        <w:rPr>
          <w:spacing w:val="-3"/>
        </w:rPr>
        <w:t>n</w:t>
      </w:r>
      <w:r w:rsidR="009F4347" w:rsidRPr="004068F6">
        <w:rPr>
          <w:spacing w:val="-3"/>
        </w:rPr>
        <w:t xml:space="preserve"> </w:t>
      </w:r>
      <w:r w:rsidRPr="004068F6">
        <w:rPr>
          <w:spacing w:val="-3"/>
        </w:rPr>
        <w:t xml:space="preserve">tomar como referencia </w:t>
      </w:r>
      <w:r w:rsidR="00AD14D3" w:rsidRPr="004068F6">
        <w:rPr>
          <w:spacing w:val="-3"/>
        </w:rPr>
        <w:t xml:space="preserve">los </w:t>
      </w:r>
      <w:r w:rsidRPr="004068F6">
        <w:rPr>
          <w:spacing w:val="-3"/>
        </w:rPr>
        <w:t>análisis contenido</w:t>
      </w:r>
      <w:r w:rsidR="00AD14D3" w:rsidRPr="004068F6">
        <w:rPr>
          <w:spacing w:val="-3"/>
        </w:rPr>
        <w:t>s</w:t>
      </w:r>
      <w:r w:rsidRPr="004068F6">
        <w:rPr>
          <w:spacing w:val="-3"/>
        </w:rPr>
        <w:t xml:space="preserve"> en el documento “Elaboración del análisis de vulnerabilidad </w:t>
      </w:r>
      <w:r w:rsidR="009E6987" w:rsidRPr="004068F6">
        <w:rPr>
          <w:spacing w:val="-3"/>
        </w:rPr>
        <w:t xml:space="preserve">marino </w:t>
      </w:r>
      <w:r w:rsidR="0051277B" w:rsidRPr="004068F6">
        <w:rPr>
          <w:spacing w:val="-3"/>
        </w:rPr>
        <w:t xml:space="preserve">- </w:t>
      </w:r>
      <w:r w:rsidR="009E6987" w:rsidRPr="004068F6">
        <w:rPr>
          <w:spacing w:val="-3"/>
        </w:rPr>
        <w:t xml:space="preserve">costera e insular ante el cambio climático </w:t>
      </w:r>
      <w:r w:rsidRPr="004068F6">
        <w:rPr>
          <w:spacing w:val="-3"/>
        </w:rPr>
        <w:t xml:space="preserve">para el país” desarrollado por el </w:t>
      </w:r>
      <w:r w:rsidR="00A92356" w:rsidRPr="004068F6">
        <w:rPr>
          <w:spacing w:val="-3"/>
        </w:rPr>
        <w:t>Invemar</w:t>
      </w:r>
      <w:r w:rsidRPr="004068F6">
        <w:rPr>
          <w:spacing w:val="-3"/>
        </w:rPr>
        <w:t xml:space="preserve"> </w:t>
      </w:r>
      <w:r w:rsidR="00AD14D3" w:rsidRPr="004068F6">
        <w:rPr>
          <w:spacing w:val="-3"/>
        </w:rPr>
        <w:t>(201</w:t>
      </w:r>
      <w:r w:rsidR="00C0275C" w:rsidRPr="004068F6">
        <w:rPr>
          <w:spacing w:val="-3"/>
        </w:rPr>
        <w:t>7</w:t>
      </w:r>
      <w:r w:rsidR="00AD14D3" w:rsidRPr="004068F6">
        <w:rPr>
          <w:spacing w:val="-3"/>
        </w:rPr>
        <w:t xml:space="preserve">) </w:t>
      </w:r>
      <w:r w:rsidRPr="004068F6">
        <w:rPr>
          <w:spacing w:val="-3"/>
        </w:rPr>
        <w:t xml:space="preserve">en el marco de la Tercera comunicación nacional o </w:t>
      </w:r>
      <w:r w:rsidR="00AD14D3" w:rsidRPr="004068F6">
        <w:rPr>
          <w:spacing w:val="-3"/>
        </w:rPr>
        <w:t xml:space="preserve">en </w:t>
      </w:r>
      <w:r w:rsidRPr="004068F6">
        <w:rPr>
          <w:spacing w:val="-3"/>
        </w:rPr>
        <w:t>su versión más reciente</w:t>
      </w:r>
      <w:r w:rsidR="00D0462C" w:rsidRPr="004068F6">
        <w:rPr>
          <w:spacing w:val="-3"/>
        </w:rPr>
        <w:t xml:space="preserve">. También se pueden emplear </w:t>
      </w:r>
      <w:r w:rsidRPr="004068F6">
        <w:rPr>
          <w:spacing w:val="-3"/>
        </w:rPr>
        <w:t xml:space="preserve">otros </w:t>
      </w:r>
      <w:r w:rsidR="00AD14D3" w:rsidRPr="004068F6">
        <w:rPr>
          <w:spacing w:val="-3"/>
        </w:rPr>
        <w:t xml:space="preserve">análisis </w:t>
      </w:r>
      <w:r w:rsidR="001944AF" w:rsidRPr="004068F6">
        <w:rPr>
          <w:spacing w:val="-3"/>
        </w:rPr>
        <w:t xml:space="preserve">provenientes </w:t>
      </w:r>
      <w:r w:rsidRPr="004068F6">
        <w:rPr>
          <w:spacing w:val="-3"/>
        </w:rPr>
        <w:t xml:space="preserve">de fuentes alternativas </w:t>
      </w:r>
      <w:r w:rsidR="001944AF" w:rsidRPr="004068F6">
        <w:rPr>
          <w:spacing w:val="-3"/>
        </w:rPr>
        <w:t xml:space="preserve">de información </w:t>
      </w:r>
      <w:r w:rsidRPr="004068F6">
        <w:rPr>
          <w:spacing w:val="-3"/>
        </w:rPr>
        <w:t>que cuenten con idoneidad técnica y científica</w:t>
      </w:r>
      <w:r w:rsidR="00C61CB4" w:rsidRPr="004068F6">
        <w:rPr>
          <w:spacing w:val="-3"/>
        </w:rPr>
        <w:t>,</w:t>
      </w:r>
      <w:r w:rsidRPr="004068F6">
        <w:rPr>
          <w:spacing w:val="-3"/>
        </w:rPr>
        <w:t xml:space="preserve"> </w:t>
      </w:r>
      <w:r w:rsidR="00E260F1" w:rsidRPr="004068F6">
        <w:rPr>
          <w:spacing w:val="-3"/>
        </w:rPr>
        <w:t xml:space="preserve">como </w:t>
      </w:r>
      <w:r w:rsidRPr="004068F6">
        <w:rPr>
          <w:spacing w:val="-3"/>
        </w:rPr>
        <w:t>universidades, centros de investigación, publicaciones especializadas en el tema</w:t>
      </w:r>
      <w:r w:rsidR="003402A9" w:rsidRPr="004068F6">
        <w:rPr>
          <w:spacing w:val="-3"/>
        </w:rPr>
        <w:t xml:space="preserve"> o</w:t>
      </w:r>
      <w:r w:rsidRPr="004068F6">
        <w:rPr>
          <w:spacing w:val="-3"/>
        </w:rPr>
        <w:t xml:space="preserve"> proyectos con licencia ambiental.</w:t>
      </w:r>
    </w:p>
    <w:p w14:paraId="07BE3C77" w14:textId="77777777" w:rsidR="00EE7D77" w:rsidRPr="00127BD4" w:rsidRDefault="00EE7D77">
      <w:pPr>
        <w:numPr>
          <w:ilvl w:val="12"/>
          <w:numId w:val="0"/>
        </w:numPr>
        <w:tabs>
          <w:tab w:val="left" w:pos="-2268"/>
        </w:tabs>
        <w:suppressAutoHyphens/>
        <w:rPr>
          <w:spacing w:val="-3"/>
        </w:rPr>
      </w:pPr>
    </w:p>
    <w:p w14:paraId="5BF81BB9" w14:textId="77777777" w:rsidR="00B11257" w:rsidRPr="004068F6" w:rsidRDefault="00B11257">
      <w:pPr>
        <w:numPr>
          <w:ilvl w:val="12"/>
          <w:numId w:val="0"/>
        </w:numPr>
        <w:tabs>
          <w:tab w:val="left" w:pos="-2268"/>
        </w:tabs>
        <w:suppressAutoHyphens/>
        <w:rPr>
          <w:spacing w:val="-3"/>
        </w:rPr>
      </w:pPr>
    </w:p>
    <w:p w14:paraId="1795F4A2" w14:textId="179F1A2B" w:rsidR="00402FB4" w:rsidRPr="004068F6" w:rsidRDefault="00402FB4" w:rsidP="00696453">
      <w:pPr>
        <w:pStyle w:val="Ttulo1"/>
        <w:numPr>
          <w:ilvl w:val="0"/>
          <w:numId w:val="8"/>
        </w:numPr>
        <w:rPr>
          <w:lang w:val="es-CO"/>
        </w:rPr>
      </w:pPr>
      <w:bookmarkStart w:id="3338" w:name="_Toc415577374"/>
      <w:bookmarkStart w:id="3339" w:name="_Toc437936056"/>
      <w:bookmarkStart w:id="3340" w:name="_Ref510089225"/>
      <w:bookmarkStart w:id="3341" w:name="_Toc230879705"/>
      <w:r w:rsidRPr="004068F6">
        <w:rPr>
          <w:lang w:val="es-CO"/>
        </w:rPr>
        <w:t>EVALUACIÓN ECONÓMICA AMBIENTAL</w:t>
      </w:r>
      <w:bookmarkEnd w:id="3338"/>
      <w:bookmarkEnd w:id="3339"/>
      <w:bookmarkEnd w:id="3340"/>
      <w:bookmarkEnd w:id="3341"/>
    </w:p>
    <w:p w14:paraId="6ED6993B" w14:textId="0A66318F" w:rsidR="00402FB4" w:rsidRPr="004068F6" w:rsidRDefault="00402FB4">
      <w:pPr>
        <w:numPr>
          <w:ilvl w:val="12"/>
          <w:numId w:val="0"/>
        </w:numPr>
        <w:tabs>
          <w:tab w:val="left" w:pos="-2268"/>
        </w:tabs>
        <w:suppressAutoHyphens/>
        <w:rPr>
          <w:spacing w:val="-3"/>
        </w:rPr>
      </w:pPr>
    </w:p>
    <w:p w14:paraId="3E2A792A" w14:textId="79CCAFBF" w:rsidR="0056088F" w:rsidRPr="004068F6" w:rsidRDefault="0056088F">
      <w:pPr>
        <w:numPr>
          <w:ilvl w:val="12"/>
          <w:numId w:val="0"/>
        </w:numPr>
        <w:tabs>
          <w:tab w:val="left" w:pos="-2268"/>
        </w:tabs>
        <w:suppressAutoHyphens/>
        <w:rPr>
          <w:spacing w:val="-3"/>
        </w:rPr>
      </w:pPr>
      <w:r w:rsidRPr="004068F6">
        <w:rPr>
          <w:spacing w:val="-3"/>
        </w:rPr>
        <w:t>El Decreto 1076 de 2015 exige en el numeral 6 de su artículo 2.2.2.3.5.1 la incorporación de una “</w:t>
      </w:r>
      <w:r w:rsidRPr="004068F6">
        <w:rPr>
          <w:i/>
          <w:spacing w:val="-3"/>
        </w:rPr>
        <w:t>Evaluación económica de los impactos positivos y negativos del proyecto</w:t>
      </w:r>
      <w:r w:rsidRPr="004068F6">
        <w:rPr>
          <w:spacing w:val="-3"/>
        </w:rPr>
        <w:t>” en los Estudios de Impacto Ambiental</w:t>
      </w:r>
      <w:r w:rsidR="00952E03" w:rsidRPr="004068F6">
        <w:rPr>
          <w:spacing w:val="-3"/>
        </w:rPr>
        <w:t xml:space="preserve"> (EIA)</w:t>
      </w:r>
      <w:r w:rsidRPr="004068F6">
        <w:rPr>
          <w:spacing w:val="-3"/>
        </w:rPr>
        <w:t>, con el propósito de incorporar los principios y mandatos estipulados por la Ley 99 de 1993, que buscan la evaluación de los costos ambientales para prevenir, corregir y restaurar el deterioro ambiental y para conservar los recursos naturales renovables, en los instrumentos de manejo y control ambiental.</w:t>
      </w:r>
    </w:p>
    <w:p w14:paraId="7E770663" w14:textId="77777777" w:rsidR="0056088F" w:rsidRPr="004068F6" w:rsidRDefault="0056088F">
      <w:pPr>
        <w:numPr>
          <w:ilvl w:val="12"/>
          <w:numId w:val="0"/>
        </w:numPr>
        <w:tabs>
          <w:tab w:val="left" w:pos="-2268"/>
        </w:tabs>
        <w:suppressAutoHyphens/>
        <w:rPr>
          <w:spacing w:val="-3"/>
        </w:rPr>
      </w:pPr>
    </w:p>
    <w:p w14:paraId="373D04C4" w14:textId="63D4B0AD" w:rsidR="0056088F" w:rsidRPr="004068F6" w:rsidRDefault="0056088F" w:rsidP="00C86DA5">
      <w:pPr>
        <w:tabs>
          <w:tab w:val="left" w:pos="-2268"/>
        </w:tabs>
        <w:suppressAutoHyphens/>
        <w:rPr>
          <w:spacing w:val="-3"/>
        </w:rPr>
      </w:pPr>
      <w:r w:rsidRPr="004068F6">
        <w:rPr>
          <w:spacing w:val="-3"/>
        </w:rPr>
        <w:lastRenderedPageBreak/>
        <w:t>En este marco, la Evaluación Económica Ambiental (EEA) permite que el EIA se constituya en una herramienta técnica para garantizar la proporcionalidad entre las pérdidas de bienestar producidas por los impactos ambientales no internalizables</w:t>
      </w:r>
      <w:r w:rsidRPr="004068F6">
        <w:rPr>
          <w:rStyle w:val="Refdenotaalpie"/>
          <w:rFonts w:cs="Arial"/>
          <w:spacing w:val="-3"/>
          <w:lang w:val="es-CO"/>
        </w:rPr>
        <w:footnoteReference w:id="229"/>
      </w:r>
      <w:r w:rsidRPr="004068F6">
        <w:rPr>
          <w:spacing w:val="-3"/>
        </w:rPr>
        <w:t xml:space="preserve"> y las</w:t>
      </w:r>
      <w:r w:rsidRPr="004068F6">
        <w:t xml:space="preserve"> </w:t>
      </w:r>
      <w:r w:rsidRPr="004068F6">
        <w:rPr>
          <w:spacing w:val="-3"/>
        </w:rPr>
        <w:t>ganancias de bienestar generadas</w:t>
      </w:r>
      <w:r w:rsidRPr="004068F6">
        <w:t xml:space="preserve"> </w:t>
      </w:r>
      <w:r w:rsidRPr="004068F6">
        <w:rPr>
          <w:spacing w:val="-3"/>
        </w:rPr>
        <w:t xml:space="preserve">por </w:t>
      </w:r>
      <w:r w:rsidR="00203C59" w:rsidRPr="004068F6">
        <w:rPr>
          <w:spacing w:val="-3"/>
        </w:rPr>
        <w:t xml:space="preserve">las externalidades positivas que conlleva el desarrollo de </w:t>
      </w:r>
      <w:r w:rsidR="00342547" w:rsidRPr="004068F6">
        <w:rPr>
          <w:spacing w:val="-3"/>
        </w:rPr>
        <w:t xml:space="preserve">un </w:t>
      </w:r>
      <w:r w:rsidR="00203C59" w:rsidRPr="004068F6">
        <w:rPr>
          <w:spacing w:val="-3"/>
        </w:rPr>
        <w:t>proyecto</w:t>
      </w:r>
      <w:r w:rsidR="00342547" w:rsidRPr="004068F6">
        <w:rPr>
          <w:spacing w:val="-3"/>
        </w:rPr>
        <w:t>, obra o actividad</w:t>
      </w:r>
      <w:r w:rsidRPr="004068F6">
        <w:rPr>
          <w:spacing w:val="-3"/>
        </w:rPr>
        <w:t xml:space="preserve">, es decir, para garantizar que los costos ambientales generados por </w:t>
      </w:r>
      <w:r w:rsidR="00D12EA8" w:rsidRPr="004068F6">
        <w:rPr>
          <w:spacing w:val="-3"/>
        </w:rPr>
        <w:t xml:space="preserve">dichos </w:t>
      </w:r>
      <w:r w:rsidRPr="004068F6">
        <w:rPr>
          <w:spacing w:val="-3"/>
        </w:rPr>
        <w:t xml:space="preserve">impactos sean menores </w:t>
      </w:r>
      <w:r w:rsidR="00952E03" w:rsidRPr="004068F6">
        <w:rPr>
          <w:spacing w:val="-3"/>
        </w:rPr>
        <w:t xml:space="preserve">que </w:t>
      </w:r>
      <w:r w:rsidR="00D12EA8" w:rsidRPr="004068F6">
        <w:rPr>
          <w:spacing w:val="-3"/>
        </w:rPr>
        <w:t>lo</w:t>
      </w:r>
      <w:r w:rsidR="00342547" w:rsidRPr="004068F6">
        <w:rPr>
          <w:spacing w:val="-3"/>
        </w:rPr>
        <w:t xml:space="preserve">s </w:t>
      </w:r>
      <w:r w:rsidR="00952E03" w:rsidRPr="004068F6">
        <w:rPr>
          <w:spacing w:val="-3"/>
        </w:rPr>
        <w:t xml:space="preserve">beneficios </w:t>
      </w:r>
      <w:r w:rsidR="00203C59" w:rsidRPr="004068F6">
        <w:rPr>
          <w:spacing w:val="-3"/>
        </w:rPr>
        <w:t xml:space="preserve">y </w:t>
      </w:r>
      <w:r w:rsidR="00952E03" w:rsidRPr="004068F6">
        <w:rPr>
          <w:spacing w:val="-3"/>
        </w:rPr>
        <w:t xml:space="preserve">que su </w:t>
      </w:r>
      <w:r w:rsidR="00342547" w:rsidRPr="004068F6">
        <w:rPr>
          <w:spacing w:val="-3"/>
        </w:rPr>
        <w:t>ejecución</w:t>
      </w:r>
      <w:r w:rsidR="00952E03" w:rsidRPr="004068F6">
        <w:rPr>
          <w:spacing w:val="-3"/>
        </w:rPr>
        <w:t xml:space="preserve"> propicie </w:t>
      </w:r>
      <w:r w:rsidR="00203C59" w:rsidRPr="004068F6">
        <w:rPr>
          <w:spacing w:val="-3"/>
        </w:rPr>
        <w:t>ganancia</w:t>
      </w:r>
      <w:r w:rsidR="00952E03" w:rsidRPr="004068F6">
        <w:rPr>
          <w:spacing w:val="-3"/>
        </w:rPr>
        <w:t>s</w:t>
      </w:r>
      <w:r w:rsidR="00203C59" w:rsidRPr="004068F6">
        <w:rPr>
          <w:spacing w:val="-3"/>
        </w:rPr>
        <w:t xml:space="preserve"> en términos de bienestar social y ambiental. Además, la EEA permite la internalización de impactos </w:t>
      </w:r>
      <w:r w:rsidR="00952E03" w:rsidRPr="004068F6">
        <w:rPr>
          <w:spacing w:val="-3"/>
        </w:rPr>
        <w:t>mediante</w:t>
      </w:r>
      <w:r w:rsidR="00203C59" w:rsidRPr="004068F6">
        <w:rPr>
          <w:spacing w:val="-3"/>
        </w:rPr>
        <w:t xml:space="preserve"> las medidas </w:t>
      </w:r>
      <w:r w:rsidR="00D12EA8" w:rsidRPr="004068F6">
        <w:rPr>
          <w:spacing w:val="-3"/>
        </w:rPr>
        <w:t xml:space="preserve">de </w:t>
      </w:r>
      <w:r w:rsidR="00203C59" w:rsidRPr="004068F6">
        <w:rPr>
          <w:spacing w:val="-3"/>
        </w:rPr>
        <w:t>preven</w:t>
      </w:r>
      <w:r w:rsidR="00D12EA8" w:rsidRPr="004068F6">
        <w:rPr>
          <w:spacing w:val="-3"/>
        </w:rPr>
        <w:t>ción</w:t>
      </w:r>
      <w:r w:rsidR="00203C59" w:rsidRPr="004068F6">
        <w:rPr>
          <w:spacing w:val="-3"/>
        </w:rPr>
        <w:t>, corre</w:t>
      </w:r>
      <w:r w:rsidR="00D12EA8" w:rsidRPr="004068F6">
        <w:rPr>
          <w:spacing w:val="-3"/>
        </w:rPr>
        <w:t>cción</w:t>
      </w:r>
      <w:r w:rsidR="00952E03" w:rsidRPr="004068F6">
        <w:rPr>
          <w:spacing w:val="-3"/>
        </w:rPr>
        <w:t xml:space="preserve"> </w:t>
      </w:r>
      <w:r w:rsidR="00203C59" w:rsidRPr="004068F6">
        <w:rPr>
          <w:spacing w:val="-3"/>
        </w:rPr>
        <w:t>o mitiga</w:t>
      </w:r>
      <w:r w:rsidR="00D12EA8" w:rsidRPr="004068F6">
        <w:rPr>
          <w:spacing w:val="-3"/>
        </w:rPr>
        <w:t>ción</w:t>
      </w:r>
      <w:r w:rsidR="00952E03" w:rsidRPr="004068F6">
        <w:rPr>
          <w:spacing w:val="-3"/>
        </w:rPr>
        <w:t xml:space="preserve"> (</w:t>
      </w:r>
      <w:r w:rsidR="00D12EA8" w:rsidRPr="004068F6">
        <w:rPr>
          <w:spacing w:val="-3"/>
        </w:rPr>
        <w:t>e</w:t>
      </w:r>
      <w:r w:rsidR="00A136AB" w:rsidRPr="004068F6">
        <w:rPr>
          <w:spacing w:val="-3"/>
        </w:rPr>
        <w:t>n</w:t>
      </w:r>
      <w:r w:rsidR="00D12EA8" w:rsidRPr="004068F6">
        <w:rPr>
          <w:spacing w:val="-3"/>
        </w:rPr>
        <w:t xml:space="preserve"> este último caso, sólo una </w:t>
      </w:r>
      <w:r w:rsidR="00952E03" w:rsidRPr="004068F6">
        <w:rPr>
          <w:spacing w:val="-3"/>
        </w:rPr>
        <w:t xml:space="preserve">porción </w:t>
      </w:r>
      <w:r w:rsidR="00D12EA8" w:rsidRPr="004068F6">
        <w:rPr>
          <w:spacing w:val="-3"/>
        </w:rPr>
        <w:t xml:space="preserve">de los impactos es </w:t>
      </w:r>
      <w:r w:rsidR="00952E03" w:rsidRPr="004068F6">
        <w:rPr>
          <w:spacing w:val="-3"/>
        </w:rPr>
        <w:t>internalizada)</w:t>
      </w:r>
      <w:r w:rsidR="00D12EA8" w:rsidRPr="004068F6">
        <w:rPr>
          <w:spacing w:val="-3"/>
        </w:rPr>
        <w:t xml:space="preserve"> contempladas en el Plan de Manejo Ambiental (PMA)</w:t>
      </w:r>
      <w:r w:rsidRPr="004068F6">
        <w:rPr>
          <w:spacing w:val="-3"/>
        </w:rPr>
        <w:t>.</w:t>
      </w:r>
    </w:p>
    <w:p w14:paraId="3AECB655" w14:textId="77777777" w:rsidR="0056088F" w:rsidRPr="004068F6" w:rsidRDefault="0056088F">
      <w:pPr>
        <w:numPr>
          <w:ilvl w:val="12"/>
          <w:numId w:val="0"/>
        </w:numPr>
        <w:tabs>
          <w:tab w:val="left" w:pos="-2268"/>
        </w:tabs>
        <w:suppressAutoHyphens/>
        <w:rPr>
          <w:spacing w:val="-3"/>
        </w:rPr>
      </w:pPr>
    </w:p>
    <w:p w14:paraId="261BC0A2" w14:textId="45B88F63" w:rsidR="0056088F" w:rsidRPr="004068F6" w:rsidRDefault="0056088F">
      <w:pPr>
        <w:numPr>
          <w:ilvl w:val="12"/>
          <w:numId w:val="0"/>
        </w:numPr>
        <w:tabs>
          <w:tab w:val="left" w:pos="-2268"/>
        </w:tabs>
        <w:suppressAutoHyphens/>
        <w:rPr>
          <w:spacing w:val="-3"/>
        </w:rPr>
      </w:pPr>
      <w:bookmarkStart w:id="3342" w:name="_Toc488244575"/>
      <w:bookmarkStart w:id="3343" w:name="_Toc488247695"/>
      <w:bookmarkStart w:id="3344" w:name="_Toc488248339"/>
      <w:bookmarkStart w:id="3345" w:name="_Toc488248955"/>
      <w:bookmarkStart w:id="3346" w:name="_Toc488249571"/>
      <w:bookmarkStart w:id="3347" w:name="_Toc488330059"/>
      <w:bookmarkStart w:id="3348" w:name="_Toc488386913"/>
      <w:bookmarkStart w:id="3349" w:name="_Toc488402372"/>
      <w:bookmarkStart w:id="3350" w:name="_Toc488403195"/>
      <w:bookmarkStart w:id="3351" w:name="_Toc488404024"/>
      <w:bookmarkStart w:id="3352" w:name="_Toc488404855"/>
      <w:bookmarkStart w:id="3353" w:name="_Toc488405678"/>
      <w:bookmarkStart w:id="3354" w:name="_Toc488406507"/>
      <w:bookmarkStart w:id="3355" w:name="_Toc491409738"/>
      <w:bookmarkStart w:id="3356" w:name="_Toc496018276"/>
      <w:bookmarkStart w:id="3357" w:name="_Toc515787495"/>
      <w:bookmarkStart w:id="3358" w:name="_Toc515789195"/>
      <w:bookmarkStart w:id="3359" w:name="_Toc515790044"/>
      <w:bookmarkStart w:id="3360" w:name="_Toc515790893"/>
      <w:bookmarkStart w:id="3361" w:name="_Toc515791748"/>
      <w:bookmarkStart w:id="3362" w:name="_Toc515792598"/>
      <w:bookmarkStart w:id="3363" w:name="_Toc515793500"/>
      <w:bookmarkStart w:id="3364" w:name="_Toc515794405"/>
      <w:bookmarkStart w:id="3365" w:name="_Toc515796162"/>
      <w:bookmarkStart w:id="3366" w:name="_Toc488244576"/>
      <w:bookmarkStart w:id="3367" w:name="_Toc488247696"/>
      <w:bookmarkStart w:id="3368" w:name="_Toc488248340"/>
      <w:bookmarkStart w:id="3369" w:name="_Toc488248956"/>
      <w:bookmarkStart w:id="3370" w:name="_Toc488249572"/>
      <w:bookmarkStart w:id="3371" w:name="_Toc488330060"/>
      <w:bookmarkStart w:id="3372" w:name="_Toc488386914"/>
      <w:bookmarkStart w:id="3373" w:name="_Toc488402373"/>
      <w:bookmarkStart w:id="3374" w:name="_Toc488403196"/>
      <w:bookmarkStart w:id="3375" w:name="_Toc488404025"/>
      <w:bookmarkStart w:id="3376" w:name="_Toc488404856"/>
      <w:bookmarkStart w:id="3377" w:name="_Toc488405679"/>
      <w:bookmarkStart w:id="3378" w:name="_Toc488406508"/>
      <w:bookmarkStart w:id="3379" w:name="_Toc491409739"/>
      <w:bookmarkStart w:id="3380" w:name="_Toc496018277"/>
      <w:bookmarkStart w:id="3381" w:name="_Toc515787496"/>
      <w:bookmarkStart w:id="3382" w:name="_Toc515789196"/>
      <w:bookmarkStart w:id="3383" w:name="_Toc515790045"/>
      <w:bookmarkStart w:id="3384" w:name="_Toc515790894"/>
      <w:bookmarkStart w:id="3385" w:name="_Toc515791749"/>
      <w:bookmarkStart w:id="3386" w:name="_Toc515792599"/>
      <w:bookmarkStart w:id="3387" w:name="_Toc515793501"/>
      <w:bookmarkStart w:id="3388" w:name="_Toc515794406"/>
      <w:bookmarkStart w:id="3389" w:name="_Toc515796163"/>
      <w:bookmarkStart w:id="3390" w:name="_Toc488244577"/>
      <w:bookmarkStart w:id="3391" w:name="_Toc488247697"/>
      <w:bookmarkStart w:id="3392" w:name="_Toc488248341"/>
      <w:bookmarkStart w:id="3393" w:name="_Toc488248957"/>
      <w:bookmarkStart w:id="3394" w:name="_Toc488249573"/>
      <w:bookmarkStart w:id="3395" w:name="_Toc488330061"/>
      <w:bookmarkStart w:id="3396" w:name="_Toc488386915"/>
      <w:bookmarkStart w:id="3397" w:name="_Toc488402374"/>
      <w:bookmarkStart w:id="3398" w:name="_Toc488403197"/>
      <w:bookmarkStart w:id="3399" w:name="_Toc488404026"/>
      <w:bookmarkStart w:id="3400" w:name="_Toc488404857"/>
      <w:bookmarkStart w:id="3401" w:name="_Toc488405680"/>
      <w:bookmarkStart w:id="3402" w:name="_Toc488406509"/>
      <w:bookmarkStart w:id="3403" w:name="_Toc491409740"/>
      <w:bookmarkStart w:id="3404" w:name="_Toc496018278"/>
      <w:bookmarkStart w:id="3405" w:name="_Toc515787497"/>
      <w:bookmarkStart w:id="3406" w:name="_Toc515789197"/>
      <w:bookmarkStart w:id="3407" w:name="_Toc515790046"/>
      <w:bookmarkStart w:id="3408" w:name="_Toc515790895"/>
      <w:bookmarkStart w:id="3409" w:name="_Toc515791750"/>
      <w:bookmarkStart w:id="3410" w:name="_Toc515792600"/>
      <w:bookmarkStart w:id="3411" w:name="_Toc515793502"/>
      <w:bookmarkStart w:id="3412" w:name="_Toc515794407"/>
      <w:bookmarkStart w:id="3413" w:name="_Toc515796164"/>
      <w:bookmarkStart w:id="3414" w:name="_Toc488244578"/>
      <w:bookmarkStart w:id="3415" w:name="_Toc488247698"/>
      <w:bookmarkStart w:id="3416" w:name="_Toc488248342"/>
      <w:bookmarkStart w:id="3417" w:name="_Toc488248958"/>
      <w:bookmarkStart w:id="3418" w:name="_Toc488249574"/>
      <w:bookmarkStart w:id="3419" w:name="_Toc488330062"/>
      <w:bookmarkStart w:id="3420" w:name="_Toc488386916"/>
      <w:bookmarkStart w:id="3421" w:name="_Toc488402375"/>
      <w:bookmarkStart w:id="3422" w:name="_Toc488403198"/>
      <w:bookmarkStart w:id="3423" w:name="_Toc488404027"/>
      <w:bookmarkStart w:id="3424" w:name="_Toc488404858"/>
      <w:bookmarkStart w:id="3425" w:name="_Toc488405681"/>
      <w:bookmarkStart w:id="3426" w:name="_Toc488406510"/>
      <w:bookmarkStart w:id="3427" w:name="_Toc491409741"/>
      <w:bookmarkStart w:id="3428" w:name="_Toc496018279"/>
      <w:bookmarkStart w:id="3429" w:name="_Toc515787498"/>
      <w:bookmarkStart w:id="3430" w:name="_Toc515789198"/>
      <w:bookmarkStart w:id="3431" w:name="_Toc515790047"/>
      <w:bookmarkStart w:id="3432" w:name="_Toc515790896"/>
      <w:bookmarkStart w:id="3433" w:name="_Toc515791751"/>
      <w:bookmarkStart w:id="3434" w:name="_Toc515792601"/>
      <w:bookmarkStart w:id="3435" w:name="_Toc515793503"/>
      <w:bookmarkStart w:id="3436" w:name="_Toc515794408"/>
      <w:bookmarkStart w:id="3437" w:name="_Toc515796165"/>
      <w:bookmarkStart w:id="3438" w:name="_Toc488244579"/>
      <w:bookmarkStart w:id="3439" w:name="_Toc488247699"/>
      <w:bookmarkStart w:id="3440" w:name="_Toc488248343"/>
      <w:bookmarkStart w:id="3441" w:name="_Toc488248959"/>
      <w:bookmarkStart w:id="3442" w:name="_Toc488249575"/>
      <w:bookmarkStart w:id="3443" w:name="_Toc488330063"/>
      <w:bookmarkStart w:id="3444" w:name="_Toc488386917"/>
      <w:bookmarkStart w:id="3445" w:name="_Toc488402376"/>
      <w:bookmarkStart w:id="3446" w:name="_Toc488403199"/>
      <w:bookmarkStart w:id="3447" w:name="_Toc488404028"/>
      <w:bookmarkStart w:id="3448" w:name="_Toc488404859"/>
      <w:bookmarkStart w:id="3449" w:name="_Toc488405682"/>
      <w:bookmarkStart w:id="3450" w:name="_Toc488406511"/>
      <w:bookmarkStart w:id="3451" w:name="_Toc491409742"/>
      <w:bookmarkStart w:id="3452" w:name="_Toc496018280"/>
      <w:bookmarkStart w:id="3453" w:name="_Toc515787499"/>
      <w:bookmarkStart w:id="3454" w:name="_Toc515789199"/>
      <w:bookmarkStart w:id="3455" w:name="_Toc515790048"/>
      <w:bookmarkStart w:id="3456" w:name="_Toc515790897"/>
      <w:bookmarkStart w:id="3457" w:name="_Toc515791752"/>
      <w:bookmarkStart w:id="3458" w:name="_Toc515792602"/>
      <w:bookmarkStart w:id="3459" w:name="_Toc515793504"/>
      <w:bookmarkStart w:id="3460" w:name="_Toc515794409"/>
      <w:bookmarkStart w:id="3461" w:name="_Toc515796166"/>
      <w:bookmarkStart w:id="3462" w:name="_Toc488244580"/>
      <w:bookmarkStart w:id="3463" w:name="_Toc488247700"/>
      <w:bookmarkStart w:id="3464" w:name="_Toc488248344"/>
      <w:bookmarkStart w:id="3465" w:name="_Toc488248960"/>
      <w:bookmarkStart w:id="3466" w:name="_Toc488249576"/>
      <w:bookmarkStart w:id="3467" w:name="_Toc488330064"/>
      <w:bookmarkStart w:id="3468" w:name="_Toc488386918"/>
      <w:bookmarkStart w:id="3469" w:name="_Toc488402377"/>
      <w:bookmarkStart w:id="3470" w:name="_Toc488403200"/>
      <w:bookmarkStart w:id="3471" w:name="_Toc488404029"/>
      <w:bookmarkStart w:id="3472" w:name="_Toc488404860"/>
      <w:bookmarkStart w:id="3473" w:name="_Toc488405683"/>
      <w:bookmarkStart w:id="3474" w:name="_Toc488406512"/>
      <w:bookmarkStart w:id="3475" w:name="_Toc491409743"/>
      <w:bookmarkStart w:id="3476" w:name="_Toc496018281"/>
      <w:bookmarkStart w:id="3477" w:name="_Toc515787500"/>
      <w:bookmarkStart w:id="3478" w:name="_Toc515789200"/>
      <w:bookmarkStart w:id="3479" w:name="_Toc515790049"/>
      <w:bookmarkStart w:id="3480" w:name="_Toc515790898"/>
      <w:bookmarkStart w:id="3481" w:name="_Toc515791753"/>
      <w:bookmarkStart w:id="3482" w:name="_Toc515792603"/>
      <w:bookmarkStart w:id="3483" w:name="_Toc515793505"/>
      <w:bookmarkStart w:id="3484" w:name="_Toc515794410"/>
      <w:bookmarkStart w:id="3485" w:name="_Toc515796167"/>
      <w:bookmarkStart w:id="3486" w:name="_Toc488244581"/>
      <w:bookmarkStart w:id="3487" w:name="_Toc488247701"/>
      <w:bookmarkStart w:id="3488" w:name="_Toc488248345"/>
      <w:bookmarkStart w:id="3489" w:name="_Toc488248961"/>
      <w:bookmarkStart w:id="3490" w:name="_Toc488249577"/>
      <w:bookmarkStart w:id="3491" w:name="_Toc488330065"/>
      <w:bookmarkStart w:id="3492" w:name="_Toc488386919"/>
      <w:bookmarkStart w:id="3493" w:name="_Toc488402378"/>
      <w:bookmarkStart w:id="3494" w:name="_Toc488403201"/>
      <w:bookmarkStart w:id="3495" w:name="_Toc488404030"/>
      <w:bookmarkStart w:id="3496" w:name="_Toc488404861"/>
      <w:bookmarkStart w:id="3497" w:name="_Toc488405684"/>
      <w:bookmarkStart w:id="3498" w:name="_Toc488406513"/>
      <w:bookmarkStart w:id="3499" w:name="_Toc491409744"/>
      <w:bookmarkStart w:id="3500" w:name="_Toc496018282"/>
      <w:bookmarkStart w:id="3501" w:name="_Toc515787501"/>
      <w:bookmarkStart w:id="3502" w:name="_Toc515789201"/>
      <w:bookmarkStart w:id="3503" w:name="_Toc515790050"/>
      <w:bookmarkStart w:id="3504" w:name="_Toc515790899"/>
      <w:bookmarkStart w:id="3505" w:name="_Toc515791754"/>
      <w:bookmarkStart w:id="3506" w:name="_Toc515792604"/>
      <w:bookmarkStart w:id="3507" w:name="_Toc515793506"/>
      <w:bookmarkStart w:id="3508" w:name="_Toc515794411"/>
      <w:bookmarkStart w:id="3509" w:name="_Toc515796168"/>
      <w:bookmarkStart w:id="3510" w:name="_Toc488244582"/>
      <w:bookmarkStart w:id="3511" w:name="_Toc488247702"/>
      <w:bookmarkStart w:id="3512" w:name="_Toc488248346"/>
      <w:bookmarkStart w:id="3513" w:name="_Toc488248962"/>
      <w:bookmarkStart w:id="3514" w:name="_Toc488249578"/>
      <w:bookmarkStart w:id="3515" w:name="_Toc488330066"/>
      <w:bookmarkStart w:id="3516" w:name="_Toc488386920"/>
      <w:bookmarkStart w:id="3517" w:name="_Toc488402379"/>
      <w:bookmarkStart w:id="3518" w:name="_Toc488403202"/>
      <w:bookmarkStart w:id="3519" w:name="_Toc488404031"/>
      <w:bookmarkStart w:id="3520" w:name="_Toc488404862"/>
      <w:bookmarkStart w:id="3521" w:name="_Toc488405685"/>
      <w:bookmarkStart w:id="3522" w:name="_Toc488406514"/>
      <w:bookmarkStart w:id="3523" w:name="_Toc491409745"/>
      <w:bookmarkStart w:id="3524" w:name="_Toc496018283"/>
      <w:bookmarkStart w:id="3525" w:name="_Toc515787502"/>
      <w:bookmarkStart w:id="3526" w:name="_Toc515789202"/>
      <w:bookmarkStart w:id="3527" w:name="_Toc515790051"/>
      <w:bookmarkStart w:id="3528" w:name="_Toc515790900"/>
      <w:bookmarkStart w:id="3529" w:name="_Toc515791755"/>
      <w:bookmarkStart w:id="3530" w:name="_Toc515792605"/>
      <w:bookmarkStart w:id="3531" w:name="_Toc515793507"/>
      <w:bookmarkStart w:id="3532" w:name="_Toc515794412"/>
      <w:bookmarkStart w:id="3533" w:name="_Toc515796169"/>
      <w:bookmarkStart w:id="3534" w:name="_Toc488244583"/>
      <w:bookmarkStart w:id="3535" w:name="_Toc488247703"/>
      <w:bookmarkStart w:id="3536" w:name="_Toc488248347"/>
      <w:bookmarkStart w:id="3537" w:name="_Toc488248963"/>
      <w:bookmarkStart w:id="3538" w:name="_Toc488249579"/>
      <w:bookmarkStart w:id="3539" w:name="_Toc488330067"/>
      <w:bookmarkStart w:id="3540" w:name="_Toc488386921"/>
      <w:bookmarkStart w:id="3541" w:name="_Toc488402380"/>
      <w:bookmarkStart w:id="3542" w:name="_Toc488403203"/>
      <w:bookmarkStart w:id="3543" w:name="_Toc488404032"/>
      <w:bookmarkStart w:id="3544" w:name="_Toc488404863"/>
      <w:bookmarkStart w:id="3545" w:name="_Toc488405686"/>
      <w:bookmarkStart w:id="3546" w:name="_Toc488406515"/>
      <w:bookmarkStart w:id="3547" w:name="_Toc491409746"/>
      <w:bookmarkStart w:id="3548" w:name="_Toc496018284"/>
      <w:bookmarkStart w:id="3549" w:name="_Toc515787503"/>
      <w:bookmarkStart w:id="3550" w:name="_Toc515789203"/>
      <w:bookmarkStart w:id="3551" w:name="_Toc515790052"/>
      <w:bookmarkStart w:id="3552" w:name="_Toc515790901"/>
      <w:bookmarkStart w:id="3553" w:name="_Toc515791756"/>
      <w:bookmarkStart w:id="3554" w:name="_Toc515792606"/>
      <w:bookmarkStart w:id="3555" w:name="_Toc515793508"/>
      <w:bookmarkStart w:id="3556" w:name="_Toc515794413"/>
      <w:bookmarkStart w:id="3557" w:name="_Toc515796170"/>
      <w:bookmarkStart w:id="3558" w:name="_Toc488244584"/>
      <w:bookmarkStart w:id="3559" w:name="_Toc488247704"/>
      <w:bookmarkStart w:id="3560" w:name="_Toc488248348"/>
      <w:bookmarkStart w:id="3561" w:name="_Toc488248964"/>
      <w:bookmarkStart w:id="3562" w:name="_Toc488249580"/>
      <w:bookmarkStart w:id="3563" w:name="_Toc488330068"/>
      <w:bookmarkStart w:id="3564" w:name="_Toc488386922"/>
      <w:bookmarkStart w:id="3565" w:name="_Toc488402381"/>
      <w:bookmarkStart w:id="3566" w:name="_Toc488403204"/>
      <w:bookmarkStart w:id="3567" w:name="_Toc488404033"/>
      <w:bookmarkStart w:id="3568" w:name="_Toc488404864"/>
      <w:bookmarkStart w:id="3569" w:name="_Toc488405687"/>
      <w:bookmarkStart w:id="3570" w:name="_Toc488406516"/>
      <w:bookmarkStart w:id="3571" w:name="_Toc491409747"/>
      <w:bookmarkStart w:id="3572" w:name="_Toc496018285"/>
      <w:bookmarkStart w:id="3573" w:name="_Toc515787504"/>
      <w:bookmarkStart w:id="3574" w:name="_Toc515789204"/>
      <w:bookmarkStart w:id="3575" w:name="_Toc515790053"/>
      <w:bookmarkStart w:id="3576" w:name="_Toc515790902"/>
      <w:bookmarkStart w:id="3577" w:name="_Toc515791757"/>
      <w:bookmarkStart w:id="3578" w:name="_Toc515792607"/>
      <w:bookmarkStart w:id="3579" w:name="_Toc515793509"/>
      <w:bookmarkStart w:id="3580" w:name="_Toc515794414"/>
      <w:bookmarkStart w:id="3581" w:name="_Toc515796171"/>
      <w:bookmarkStart w:id="3582" w:name="_Toc488244585"/>
      <w:bookmarkStart w:id="3583" w:name="_Toc488247705"/>
      <w:bookmarkStart w:id="3584" w:name="_Toc488248349"/>
      <w:bookmarkStart w:id="3585" w:name="_Toc488248965"/>
      <w:bookmarkStart w:id="3586" w:name="_Toc488249581"/>
      <w:bookmarkStart w:id="3587" w:name="_Toc488330069"/>
      <w:bookmarkStart w:id="3588" w:name="_Toc488386923"/>
      <w:bookmarkStart w:id="3589" w:name="_Toc488402382"/>
      <w:bookmarkStart w:id="3590" w:name="_Toc488403205"/>
      <w:bookmarkStart w:id="3591" w:name="_Toc488404034"/>
      <w:bookmarkStart w:id="3592" w:name="_Toc488404865"/>
      <w:bookmarkStart w:id="3593" w:name="_Toc488405688"/>
      <w:bookmarkStart w:id="3594" w:name="_Toc488406517"/>
      <w:bookmarkStart w:id="3595" w:name="_Toc491409748"/>
      <w:bookmarkStart w:id="3596" w:name="_Toc496018286"/>
      <w:bookmarkStart w:id="3597" w:name="_Toc515787505"/>
      <w:bookmarkStart w:id="3598" w:name="_Toc515789205"/>
      <w:bookmarkStart w:id="3599" w:name="_Toc515790054"/>
      <w:bookmarkStart w:id="3600" w:name="_Toc515790903"/>
      <w:bookmarkStart w:id="3601" w:name="_Toc515791758"/>
      <w:bookmarkStart w:id="3602" w:name="_Toc515792608"/>
      <w:bookmarkStart w:id="3603" w:name="_Toc515793510"/>
      <w:bookmarkStart w:id="3604" w:name="_Toc515794415"/>
      <w:bookmarkStart w:id="3605" w:name="_Toc515796172"/>
      <w:bookmarkStart w:id="3606" w:name="_Toc488244586"/>
      <w:bookmarkStart w:id="3607" w:name="_Toc488247706"/>
      <w:bookmarkStart w:id="3608" w:name="_Toc488248350"/>
      <w:bookmarkStart w:id="3609" w:name="_Toc488248966"/>
      <w:bookmarkStart w:id="3610" w:name="_Toc488249582"/>
      <w:bookmarkStart w:id="3611" w:name="_Toc488330070"/>
      <w:bookmarkStart w:id="3612" w:name="_Toc488386924"/>
      <w:bookmarkStart w:id="3613" w:name="_Toc488402383"/>
      <w:bookmarkStart w:id="3614" w:name="_Toc488403206"/>
      <w:bookmarkStart w:id="3615" w:name="_Toc488404035"/>
      <w:bookmarkStart w:id="3616" w:name="_Toc488404866"/>
      <w:bookmarkStart w:id="3617" w:name="_Toc488405689"/>
      <w:bookmarkStart w:id="3618" w:name="_Toc488406518"/>
      <w:bookmarkStart w:id="3619" w:name="_Toc491409749"/>
      <w:bookmarkStart w:id="3620" w:name="_Toc496018287"/>
      <w:bookmarkStart w:id="3621" w:name="_Toc515787506"/>
      <w:bookmarkStart w:id="3622" w:name="_Toc515789206"/>
      <w:bookmarkStart w:id="3623" w:name="_Toc515790055"/>
      <w:bookmarkStart w:id="3624" w:name="_Toc515790904"/>
      <w:bookmarkStart w:id="3625" w:name="_Toc515791759"/>
      <w:bookmarkStart w:id="3626" w:name="_Toc515792609"/>
      <w:bookmarkStart w:id="3627" w:name="_Toc515793511"/>
      <w:bookmarkStart w:id="3628" w:name="_Toc515794416"/>
      <w:bookmarkStart w:id="3629" w:name="_Toc515796173"/>
      <w:bookmarkStart w:id="3630" w:name="_Toc488244587"/>
      <w:bookmarkStart w:id="3631" w:name="_Toc488247707"/>
      <w:bookmarkStart w:id="3632" w:name="_Toc488248351"/>
      <w:bookmarkStart w:id="3633" w:name="_Toc488248967"/>
      <w:bookmarkStart w:id="3634" w:name="_Toc488249583"/>
      <w:bookmarkStart w:id="3635" w:name="_Toc488330071"/>
      <w:bookmarkStart w:id="3636" w:name="_Toc488386925"/>
      <w:bookmarkStart w:id="3637" w:name="_Toc488402384"/>
      <w:bookmarkStart w:id="3638" w:name="_Toc488403207"/>
      <w:bookmarkStart w:id="3639" w:name="_Toc488404036"/>
      <w:bookmarkStart w:id="3640" w:name="_Toc488404867"/>
      <w:bookmarkStart w:id="3641" w:name="_Toc488405690"/>
      <w:bookmarkStart w:id="3642" w:name="_Toc488406519"/>
      <w:bookmarkStart w:id="3643" w:name="_Toc491409750"/>
      <w:bookmarkStart w:id="3644" w:name="_Toc496018288"/>
      <w:bookmarkStart w:id="3645" w:name="_Toc515787507"/>
      <w:bookmarkStart w:id="3646" w:name="_Toc515789207"/>
      <w:bookmarkStart w:id="3647" w:name="_Toc515790056"/>
      <w:bookmarkStart w:id="3648" w:name="_Toc515790905"/>
      <w:bookmarkStart w:id="3649" w:name="_Toc515791760"/>
      <w:bookmarkStart w:id="3650" w:name="_Toc515792610"/>
      <w:bookmarkStart w:id="3651" w:name="_Toc515793512"/>
      <w:bookmarkStart w:id="3652" w:name="_Toc515794417"/>
      <w:bookmarkStart w:id="3653" w:name="_Toc515796174"/>
      <w:bookmarkStart w:id="3654" w:name="_Toc488244588"/>
      <w:bookmarkStart w:id="3655" w:name="_Toc488247708"/>
      <w:bookmarkStart w:id="3656" w:name="_Toc488248352"/>
      <w:bookmarkStart w:id="3657" w:name="_Toc488248968"/>
      <w:bookmarkStart w:id="3658" w:name="_Toc488249584"/>
      <w:bookmarkStart w:id="3659" w:name="_Toc488330072"/>
      <w:bookmarkStart w:id="3660" w:name="_Toc488386926"/>
      <w:bookmarkStart w:id="3661" w:name="_Toc488402385"/>
      <w:bookmarkStart w:id="3662" w:name="_Toc488403208"/>
      <w:bookmarkStart w:id="3663" w:name="_Toc488404037"/>
      <w:bookmarkStart w:id="3664" w:name="_Toc488404868"/>
      <w:bookmarkStart w:id="3665" w:name="_Toc488405691"/>
      <w:bookmarkStart w:id="3666" w:name="_Toc488406520"/>
      <w:bookmarkStart w:id="3667" w:name="_Toc491409751"/>
      <w:bookmarkStart w:id="3668" w:name="_Toc496018289"/>
      <w:bookmarkStart w:id="3669" w:name="_Toc515787508"/>
      <w:bookmarkStart w:id="3670" w:name="_Toc515789208"/>
      <w:bookmarkStart w:id="3671" w:name="_Toc515790057"/>
      <w:bookmarkStart w:id="3672" w:name="_Toc515790906"/>
      <w:bookmarkStart w:id="3673" w:name="_Toc515791761"/>
      <w:bookmarkStart w:id="3674" w:name="_Toc515792611"/>
      <w:bookmarkStart w:id="3675" w:name="_Toc515793513"/>
      <w:bookmarkStart w:id="3676" w:name="_Toc515794418"/>
      <w:bookmarkStart w:id="3677" w:name="_Toc515796175"/>
      <w:bookmarkStart w:id="3678" w:name="_Toc488244589"/>
      <w:bookmarkStart w:id="3679" w:name="_Toc488247709"/>
      <w:bookmarkStart w:id="3680" w:name="_Toc488248353"/>
      <w:bookmarkStart w:id="3681" w:name="_Toc488248969"/>
      <w:bookmarkStart w:id="3682" w:name="_Toc488249585"/>
      <w:bookmarkStart w:id="3683" w:name="_Toc488330073"/>
      <w:bookmarkStart w:id="3684" w:name="_Toc488386927"/>
      <w:bookmarkStart w:id="3685" w:name="_Toc488402386"/>
      <w:bookmarkStart w:id="3686" w:name="_Toc488403209"/>
      <w:bookmarkStart w:id="3687" w:name="_Toc488404038"/>
      <w:bookmarkStart w:id="3688" w:name="_Toc488404869"/>
      <w:bookmarkStart w:id="3689" w:name="_Toc488405692"/>
      <w:bookmarkStart w:id="3690" w:name="_Toc488406521"/>
      <w:bookmarkStart w:id="3691" w:name="_Toc491409752"/>
      <w:bookmarkStart w:id="3692" w:name="_Toc496018290"/>
      <w:bookmarkStart w:id="3693" w:name="_Toc515787509"/>
      <w:bookmarkStart w:id="3694" w:name="_Toc515789209"/>
      <w:bookmarkStart w:id="3695" w:name="_Toc515790058"/>
      <w:bookmarkStart w:id="3696" w:name="_Toc515790907"/>
      <w:bookmarkStart w:id="3697" w:name="_Toc515791762"/>
      <w:bookmarkStart w:id="3698" w:name="_Toc515792612"/>
      <w:bookmarkStart w:id="3699" w:name="_Toc515793514"/>
      <w:bookmarkStart w:id="3700" w:name="_Toc515794419"/>
      <w:bookmarkStart w:id="3701" w:name="_Toc515796176"/>
      <w:bookmarkStart w:id="3702" w:name="_Toc488244590"/>
      <w:bookmarkStart w:id="3703" w:name="_Toc488247710"/>
      <w:bookmarkStart w:id="3704" w:name="_Toc488248354"/>
      <w:bookmarkStart w:id="3705" w:name="_Toc488248970"/>
      <w:bookmarkStart w:id="3706" w:name="_Toc488249586"/>
      <w:bookmarkStart w:id="3707" w:name="_Toc488330074"/>
      <w:bookmarkStart w:id="3708" w:name="_Toc488386928"/>
      <w:bookmarkStart w:id="3709" w:name="_Toc488402387"/>
      <w:bookmarkStart w:id="3710" w:name="_Toc488403210"/>
      <w:bookmarkStart w:id="3711" w:name="_Toc488404039"/>
      <w:bookmarkStart w:id="3712" w:name="_Toc488404870"/>
      <w:bookmarkStart w:id="3713" w:name="_Toc488405693"/>
      <w:bookmarkStart w:id="3714" w:name="_Toc488406522"/>
      <w:bookmarkStart w:id="3715" w:name="_Toc491409753"/>
      <w:bookmarkStart w:id="3716" w:name="_Toc496018291"/>
      <w:bookmarkStart w:id="3717" w:name="_Toc515787510"/>
      <w:bookmarkStart w:id="3718" w:name="_Toc515789210"/>
      <w:bookmarkStart w:id="3719" w:name="_Toc515790059"/>
      <w:bookmarkStart w:id="3720" w:name="_Toc515790908"/>
      <w:bookmarkStart w:id="3721" w:name="_Toc515791763"/>
      <w:bookmarkStart w:id="3722" w:name="_Toc515792613"/>
      <w:bookmarkStart w:id="3723" w:name="_Toc515793515"/>
      <w:bookmarkStart w:id="3724" w:name="_Toc515794420"/>
      <w:bookmarkStart w:id="3725" w:name="_Toc515796177"/>
      <w:bookmarkStart w:id="3726" w:name="_Toc488244591"/>
      <w:bookmarkStart w:id="3727" w:name="_Toc488247711"/>
      <w:bookmarkStart w:id="3728" w:name="_Toc488248355"/>
      <w:bookmarkStart w:id="3729" w:name="_Toc488248971"/>
      <w:bookmarkStart w:id="3730" w:name="_Toc488249587"/>
      <w:bookmarkStart w:id="3731" w:name="_Toc488330075"/>
      <w:bookmarkStart w:id="3732" w:name="_Toc488386929"/>
      <w:bookmarkStart w:id="3733" w:name="_Toc488402388"/>
      <w:bookmarkStart w:id="3734" w:name="_Toc488403211"/>
      <w:bookmarkStart w:id="3735" w:name="_Toc488404040"/>
      <w:bookmarkStart w:id="3736" w:name="_Toc488404871"/>
      <w:bookmarkStart w:id="3737" w:name="_Toc488405694"/>
      <w:bookmarkStart w:id="3738" w:name="_Toc488406523"/>
      <w:bookmarkStart w:id="3739" w:name="_Toc491409754"/>
      <w:bookmarkStart w:id="3740" w:name="_Toc496018292"/>
      <w:bookmarkStart w:id="3741" w:name="_Toc515787511"/>
      <w:bookmarkStart w:id="3742" w:name="_Toc515789211"/>
      <w:bookmarkStart w:id="3743" w:name="_Toc515790060"/>
      <w:bookmarkStart w:id="3744" w:name="_Toc515790909"/>
      <w:bookmarkStart w:id="3745" w:name="_Toc515791764"/>
      <w:bookmarkStart w:id="3746" w:name="_Toc515792614"/>
      <w:bookmarkStart w:id="3747" w:name="_Toc515793516"/>
      <w:bookmarkStart w:id="3748" w:name="_Toc515794421"/>
      <w:bookmarkStart w:id="3749" w:name="_Toc515796178"/>
      <w:bookmarkStart w:id="3750" w:name="_Toc488244592"/>
      <w:bookmarkStart w:id="3751" w:name="_Toc488247712"/>
      <w:bookmarkStart w:id="3752" w:name="_Toc488248356"/>
      <w:bookmarkStart w:id="3753" w:name="_Toc488248972"/>
      <w:bookmarkStart w:id="3754" w:name="_Toc488249588"/>
      <w:bookmarkStart w:id="3755" w:name="_Toc488330076"/>
      <w:bookmarkStart w:id="3756" w:name="_Toc488386930"/>
      <w:bookmarkStart w:id="3757" w:name="_Toc488402389"/>
      <w:bookmarkStart w:id="3758" w:name="_Toc488403212"/>
      <w:bookmarkStart w:id="3759" w:name="_Toc488404041"/>
      <w:bookmarkStart w:id="3760" w:name="_Toc488404872"/>
      <w:bookmarkStart w:id="3761" w:name="_Toc488405695"/>
      <w:bookmarkStart w:id="3762" w:name="_Toc488406524"/>
      <w:bookmarkStart w:id="3763" w:name="_Toc491409755"/>
      <w:bookmarkStart w:id="3764" w:name="_Toc496018293"/>
      <w:bookmarkStart w:id="3765" w:name="_Toc515787512"/>
      <w:bookmarkStart w:id="3766" w:name="_Toc515789212"/>
      <w:bookmarkStart w:id="3767" w:name="_Toc515790061"/>
      <w:bookmarkStart w:id="3768" w:name="_Toc515790910"/>
      <w:bookmarkStart w:id="3769" w:name="_Toc515791765"/>
      <w:bookmarkStart w:id="3770" w:name="_Toc515792615"/>
      <w:bookmarkStart w:id="3771" w:name="_Toc515793517"/>
      <w:bookmarkStart w:id="3772" w:name="_Toc515794422"/>
      <w:bookmarkStart w:id="3773" w:name="_Toc515796179"/>
      <w:bookmarkStart w:id="3774" w:name="_Toc488244593"/>
      <w:bookmarkStart w:id="3775" w:name="_Toc488247713"/>
      <w:bookmarkStart w:id="3776" w:name="_Toc488248357"/>
      <w:bookmarkStart w:id="3777" w:name="_Toc488248973"/>
      <w:bookmarkStart w:id="3778" w:name="_Toc488249589"/>
      <w:bookmarkStart w:id="3779" w:name="_Toc488330077"/>
      <w:bookmarkStart w:id="3780" w:name="_Toc488386931"/>
      <w:bookmarkStart w:id="3781" w:name="_Toc488402390"/>
      <w:bookmarkStart w:id="3782" w:name="_Toc488403213"/>
      <w:bookmarkStart w:id="3783" w:name="_Toc488404042"/>
      <w:bookmarkStart w:id="3784" w:name="_Toc488404873"/>
      <w:bookmarkStart w:id="3785" w:name="_Toc488405696"/>
      <w:bookmarkStart w:id="3786" w:name="_Toc488406525"/>
      <w:bookmarkStart w:id="3787" w:name="_Toc491409756"/>
      <w:bookmarkStart w:id="3788" w:name="_Toc496018294"/>
      <w:bookmarkStart w:id="3789" w:name="_Toc515787513"/>
      <w:bookmarkStart w:id="3790" w:name="_Toc515789213"/>
      <w:bookmarkStart w:id="3791" w:name="_Toc515790062"/>
      <w:bookmarkStart w:id="3792" w:name="_Toc515790911"/>
      <w:bookmarkStart w:id="3793" w:name="_Toc515791766"/>
      <w:bookmarkStart w:id="3794" w:name="_Toc515792616"/>
      <w:bookmarkStart w:id="3795" w:name="_Toc515793518"/>
      <w:bookmarkStart w:id="3796" w:name="_Toc515794423"/>
      <w:bookmarkStart w:id="3797" w:name="_Toc515796180"/>
      <w:bookmarkStart w:id="3798" w:name="_Toc488244594"/>
      <w:bookmarkStart w:id="3799" w:name="_Toc488247714"/>
      <w:bookmarkStart w:id="3800" w:name="_Toc488248358"/>
      <w:bookmarkStart w:id="3801" w:name="_Toc488248974"/>
      <w:bookmarkStart w:id="3802" w:name="_Toc488249590"/>
      <w:bookmarkStart w:id="3803" w:name="_Toc488330078"/>
      <w:bookmarkStart w:id="3804" w:name="_Toc488386932"/>
      <w:bookmarkStart w:id="3805" w:name="_Toc488402391"/>
      <w:bookmarkStart w:id="3806" w:name="_Toc488403214"/>
      <w:bookmarkStart w:id="3807" w:name="_Toc488404043"/>
      <w:bookmarkStart w:id="3808" w:name="_Toc488404874"/>
      <w:bookmarkStart w:id="3809" w:name="_Toc488405697"/>
      <w:bookmarkStart w:id="3810" w:name="_Toc488406526"/>
      <w:bookmarkStart w:id="3811" w:name="_Toc491409757"/>
      <w:bookmarkStart w:id="3812" w:name="_Toc496018295"/>
      <w:bookmarkStart w:id="3813" w:name="_Toc515787514"/>
      <w:bookmarkStart w:id="3814" w:name="_Toc515789214"/>
      <w:bookmarkStart w:id="3815" w:name="_Toc515790063"/>
      <w:bookmarkStart w:id="3816" w:name="_Toc515790912"/>
      <w:bookmarkStart w:id="3817" w:name="_Toc515791767"/>
      <w:bookmarkStart w:id="3818" w:name="_Toc515792617"/>
      <w:bookmarkStart w:id="3819" w:name="_Toc515793519"/>
      <w:bookmarkStart w:id="3820" w:name="_Toc515794424"/>
      <w:bookmarkStart w:id="3821" w:name="_Toc515796181"/>
      <w:bookmarkStart w:id="3822" w:name="_Toc488244595"/>
      <w:bookmarkStart w:id="3823" w:name="_Toc488247715"/>
      <w:bookmarkStart w:id="3824" w:name="_Toc488248359"/>
      <w:bookmarkStart w:id="3825" w:name="_Toc488248975"/>
      <w:bookmarkStart w:id="3826" w:name="_Toc488249591"/>
      <w:bookmarkStart w:id="3827" w:name="_Toc488330079"/>
      <w:bookmarkStart w:id="3828" w:name="_Toc488386933"/>
      <w:bookmarkStart w:id="3829" w:name="_Toc488402392"/>
      <w:bookmarkStart w:id="3830" w:name="_Toc488403215"/>
      <w:bookmarkStart w:id="3831" w:name="_Toc488404044"/>
      <w:bookmarkStart w:id="3832" w:name="_Toc488404875"/>
      <w:bookmarkStart w:id="3833" w:name="_Toc488405698"/>
      <w:bookmarkStart w:id="3834" w:name="_Toc488406527"/>
      <w:bookmarkStart w:id="3835" w:name="_Toc491409758"/>
      <w:bookmarkStart w:id="3836" w:name="_Toc496018296"/>
      <w:bookmarkStart w:id="3837" w:name="_Toc515787515"/>
      <w:bookmarkStart w:id="3838" w:name="_Toc515789215"/>
      <w:bookmarkStart w:id="3839" w:name="_Toc515790064"/>
      <w:bookmarkStart w:id="3840" w:name="_Toc515790913"/>
      <w:bookmarkStart w:id="3841" w:name="_Toc515791768"/>
      <w:bookmarkStart w:id="3842" w:name="_Toc515792618"/>
      <w:bookmarkStart w:id="3843" w:name="_Toc515793520"/>
      <w:bookmarkStart w:id="3844" w:name="_Toc515794425"/>
      <w:bookmarkStart w:id="3845" w:name="_Toc515796182"/>
      <w:bookmarkStart w:id="3846" w:name="_Toc488244596"/>
      <w:bookmarkStart w:id="3847" w:name="_Toc488247716"/>
      <w:bookmarkStart w:id="3848" w:name="_Toc488248360"/>
      <w:bookmarkStart w:id="3849" w:name="_Toc488248976"/>
      <w:bookmarkStart w:id="3850" w:name="_Toc488249592"/>
      <w:bookmarkStart w:id="3851" w:name="_Toc488330080"/>
      <w:bookmarkStart w:id="3852" w:name="_Toc488386934"/>
      <w:bookmarkStart w:id="3853" w:name="_Toc488402393"/>
      <w:bookmarkStart w:id="3854" w:name="_Toc488403216"/>
      <w:bookmarkStart w:id="3855" w:name="_Toc488404045"/>
      <w:bookmarkStart w:id="3856" w:name="_Toc488404876"/>
      <w:bookmarkStart w:id="3857" w:name="_Toc488405699"/>
      <w:bookmarkStart w:id="3858" w:name="_Toc488406528"/>
      <w:bookmarkStart w:id="3859" w:name="_Toc491409759"/>
      <w:bookmarkStart w:id="3860" w:name="_Toc496018297"/>
      <w:bookmarkStart w:id="3861" w:name="_Toc515787516"/>
      <w:bookmarkStart w:id="3862" w:name="_Toc515789216"/>
      <w:bookmarkStart w:id="3863" w:name="_Toc515790065"/>
      <w:bookmarkStart w:id="3864" w:name="_Toc515790914"/>
      <w:bookmarkStart w:id="3865" w:name="_Toc515791769"/>
      <w:bookmarkStart w:id="3866" w:name="_Toc515792619"/>
      <w:bookmarkStart w:id="3867" w:name="_Toc515793521"/>
      <w:bookmarkStart w:id="3868" w:name="_Toc515794426"/>
      <w:bookmarkStart w:id="3869" w:name="_Toc515796183"/>
      <w:bookmarkStart w:id="3870" w:name="_Toc488244597"/>
      <w:bookmarkStart w:id="3871" w:name="_Toc488247717"/>
      <w:bookmarkStart w:id="3872" w:name="_Toc488248361"/>
      <w:bookmarkStart w:id="3873" w:name="_Toc488248977"/>
      <w:bookmarkStart w:id="3874" w:name="_Toc488249593"/>
      <w:bookmarkStart w:id="3875" w:name="_Toc488330081"/>
      <w:bookmarkStart w:id="3876" w:name="_Toc488386935"/>
      <w:bookmarkStart w:id="3877" w:name="_Toc488402394"/>
      <w:bookmarkStart w:id="3878" w:name="_Toc488403217"/>
      <w:bookmarkStart w:id="3879" w:name="_Toc488404046"/>
      <w:bookmarkStart w:id="3880" w:name="_Toc488404877"/>
      <w:bookmarkStart w:id="3881" w:name="_Toc488405700"/>
      <w:bookmarkStart w:id="3882" w:name="_Toc488406529"/>
      <w:bookmarkStart w:id="3883" w:name="_Toc491409760"/>
      <w:bookmarkStart w:id="3884" w:name="_Toc496018298"/>
      <w:bookmarkStart w:id="3885" w:name="_Toc515787517"/>
      <w:bookmarkStart w:id="3886" w:name="_Toc515789217"/>
      <w:bookmarkStart w:id="3887" w:name="_Toc515790066"/>
      <w:bookmarkStart w:id="3888" w:name="_Toc515790915"/>
      <w:bookmarkStart w:id="3889" w:name="_Toc515791770"/>
      <w:bookmarkStart w:id="3890" w:name="_Toc515792620"/>
      <w:bookmarkStart w:id="3891" w:name="_Toc515793522"/>
      <w:bookmarkStart w:id="3892" w:name="_Toc515794427"/>
      <w:bookmarkStart w:id="3893" w:name="_Toc515796184"/>
      <w:bookmarkStart w:id="3894" w:name="_Toc488244598"/>
      <w:bookmarkStart w:id="3895" w:name="_Toc488247718"/>
      <w:bookmarkStart w:id="3896" w:name="_Toc488248362"/>
      <w:bookmarkStart w:id="3897" w:name="_Toc488248978"/>
      <w:bookmarkStart w:id="3898" w:name="_Toc488249594"/>
      <w:bookmarkStart w:id="3899" w:name="_Toc488330082"/>
      <w:bookmarkStart w:id="3900" w:name="_Toc488386936"/>
      <w:bookmarkStart w:id="3901" w:name="_Toc488402395"/>
      <w:bookmarkStart w:id="3902" w:name="_Toc488403218"/>
      <w:bookmarkStart w:id="3903" w:name="_Toc488404047"/>
      <w:bookmarkStart w:id="3904" w:name="_Toc488404878"/>
      <w:bookmarkStart w:id="3905" w:name="_Toc488405701"/>
      <w:bookmarkStart w:id="3906" w:name="_Toc488406530"/>
      <w:bookmarkStart w:id="3907" w:name="_Toc491409761"/>
      <w:bookmarkStart w:id="3908" w:name="_Toc496018299"/>
      <w:bookmarkStart w:id="3909" w:name="_Toc515787518"/>
      <w:bookmarkStart w:id="3910" w:name="_Toc515789218"/>
      <w:bookmarkStart w:id="3911" w:name="_Toc515790067"/>
      <w:bookmarkStart w:id="3912" w:name="_Toc515790916"/>
      <w:bookmarkStart w:id="3913" w:name="_Toc515791771"/>
      <w:bookmarkStart w:id="3914" w:name="_Toc515792621"/>
      <w:bookmarkStart w:id="3915" w:name="_Toc515793523"/>
      <w:bookmarkStart w:id="3916" w:name="_Toc515794428"/>
      <w:bookmarkStart w:id="3917" w:name="_Toc515796185"/>
      <w:bookmarkStart w:id="3918" w:name="_Toc488244599"/>
      <w:bookmarkStart w:id="3919" w:name="_Toc488247719"/>
      <w:bookmarkStart w:id="3920" w:name="_Toc488248363"/>
      <w:bookmarkStart w:id="3921" w:name="_Toc488248979"/>
      <w:bookmarkStart w:id="3922" w:name="_Toc488249595"/>
      <w:bookmarkStart w:id="3923" w:name="_Toc488330083"/>
      <w:bookmarkStart w:id="3924" w:name="_Toc488386937"/>
      <w:bookmarkStart w:id="3925" w:name="_Toc488402396"/>
      <w:bookmarkStart w:id="3926" w:name="_Toc488403219"/>
      <w:bookmarkStart w:id="3927" w:name="_Toc488404048"/>
      <w:bookmarkStart w:id="3928" w:name="_Toc488404879"/>
      <w:bookmarkStart w:id="3929" w:name="_Toc488405702"/>
      <w:bookmarkStart w:id="3930" w:name="_Toc488406531"/>
      <w:bookmarkStart w:id="3931" w:name="_Toc491409762"/>
      <w:bookmarkStart w:id="3932" w:name="_Toc496018300"/>
      <w:bookmarkStart w:id="3933" w:name="_Toc515787519"/>
      <w:bookmarkStart w:id="3934" w:name="_Toc515789219"/>
      <w:bookmarkStart w:id="3935" w:name="_Toc515790068"/>
      <w:bookmarkStart w:id="3936" w:name="_Toc515790917"/>
      <w:bookmarkStart w:id="3937" w:name="_Toc515791772"/>
      <w:bookmarkStart w:id="3938" w:name="_Toc515792622"/>
      <w:bookmarkStart w:id="3939" w:name="_Toc515793524"/>
      <w:bookmarkStart w:id="3940" w:name="_Toc515794429"/>
      <w:bookmarkStart w:id="3941" w:name="_Toc515796186"/>
      <w:bookmarkStart w:id="3942" w:name="_Toc488244600"/>
      <w:bookmarkStart w:id="3943" w:name="_Toc488247720"/>
      <w:bookmarkStart w:id="3944" w:name="_Toc488248364"/>
      <w:bookmarkStart w:id="3945" w:name="_Toc488248980"/>
      <w:bookmarkStart w:id="3946" w:name="_Toc488249596"/>
      <w:bookmarkStart w:id="3947" w:name="_Toc488330084"/>
      <w:bookmarkStart w:id="3948" w:name="_Toc488386938"/>
      <w:bookmarkStart w:id="3949" w:name="_Toc488402397"/>
      <w:bookmarkStart w:id="3950" w:name="_Toc488403220"/>
      <w:bookmarkStart w:id="3951" w:name="_Toc488404049"/>
      <w:bookmarkStart w:id="3952" w:name="_Toc488404880"/>
      <w:bookmarkStart w:id="3953" w:name="_Toc488405703"/>
      <w:bookmarkStart w:id="3954" w:name="_Toc488406532"/>
      <w:bookmarkStart w:id="3955" w:name="_Toc491409763"/>
      <w:bookmarkStart w:id="3956" w:name="_Toc496018301"/>
      <w:bookmarkStart w:id="3957" w:name="_Toc515787520"/>
      <w:bookmarkStart w:id="3958" w:name="_Toc515789220"/>
      <w:bookmarkStart w:id="3959" w:name="_Toc515790069"/>
      <w:bookmarkStart w:id="3960" w:name="_Toc515790918"/>
      <w:bookmarkStart w:id="3961" w:name="_Toc515791773"/>
      <w:bookmarkStart w:id="3962" w:name="_Toc515792623"/>
      <w:bookmarkStart w:id="3963" w:name="_Toc515793525"/>
      <w:bookmarkStart w:id="3964" w:name="_Toc515794430"/>
      <w:bookmarkStart w:id="3965" w:name="_Toc515796187"/>
      <w:bookmarkStart w:id="3966" w:name="_Toc488244601"/>
      <w:bookmarkStart w:id="3967" w:name="_Toc488247721"/>
      <w:bookmarkStart w:id="3968" w:name="_Toc488248365"/>
      <w:bookmarkStart w:id="3969" w:name="_Toc488248981"/>
      <w:bookmarkStart w:id="3970" w:name="_Toc488249597"/>
      <w:bookmarkStart w:id="3971" w:name="_Toc488330085"/>
      <w:bookmarkStart w:id="3972" w:name="_Toc488386939"/>
      <w:bookmarkStart w:id="3973" w:name="_Toc488402398"/>
      <w:bookmarkStart w:id="3974" w:name="_Toc488403221"/>
      <w:bookmarkStart w:id="3975" w:name="_Toc488404050"/>
      <w:bookmarkStart w:id="3976" w:name="_Toc488404881"/>
      <w:bookmarkStart w:id="3977" w:name="_Toc488405704"/>
      <w:bookmarkStart w:id="3978" w:name="_Toc488406533"/>
      <w:bookmarkStart w:id="3979" w:name="_Toc491409764"/>
      <w:bookmarkStart w:id="3980" w:name="_Toc496018302"/>
      <w:bookmarkStart w:id="3981" w:name="_Toc515787521"/>
      <w:bookmarkStart w:id="3982" w:name="_Toc515789221"/>
      <w:bookmarkStart w:id="3983" w:name="_Toc515790070"/>
      <w:bookmarkStart w:id="3984" w:name="_Toc515790919"/>
      <w:bookmarkStart w:id="3985" w:name="_Toc515791774"/>
      <w:bookmarkStart w:id="3986" w:name="_Toc515792624"/>
      <w:bookmarkStart w:id="3987" w:name="_Toc515793526"/>
      <w:bookmarkStart w:id="3988" w:name="_Toc515794431"/>
      <w:bookmarkStart w:id="3989" w:name="_Toc515796188"/>
      <w:bookmarkStart w:id="3990" w:name="_Toc488244602"/>
      <w:bookmarkStart w:id="3991" w:name="_Toc488247722"/>
      <w:bookmarkStart w:id="3992" w:name="_Toc488248366"/>
      <w:bookmarkStart w:id="3993" w:name="_Toc488248982"/>
      <w:bookmarkStart w:id="3994" w:name="_Toc488249598"/>
      <w:bookmarkStart w:id="3995" w:name="_Toc488330086"/>
      <w:bookmarkStart w:id="3996" w:name="_Toc488386940"/>
      <w:bookmarkStart w:id="3997" w:name="_Toc488402399"/>
      <w:bookmarkStart w:id="3998" w:name="_Toc488403222"/>
      <w:bookmarkStart w:id="3999" w:name="_Toc488404051"/>
      <w:bookmarkStart w:id="4000" w:name="_Toc488404882"/>
      <w:bookmarkStart w:id="4001" w:name="_Toc488405705"/>
      <w:bookmarkStart w:id="4002" w:name="_Toc488406534"/>
      <w:bookmarkStart w:id="4003" w:name="_Toc491409765"/>
      <w:bookmarkStart w:id="4004" w:name="_Toc496018303"/>
      <w:bookmarkStart w:id="4005" w:name="_Toc515787522"/>
      <w:bookmarkStart w:id="4006" w:name="_Toc515789222"/>
      <w:bookmarkStart w:id="4007" w:name="_Toc515790071"/>
      <w:bookmarkStart w:id="4008" w:name="_Toc515790920"/>
      <w:bookmarkStart w:id="4009" w:name="_Toc515791775"/>
      <w:bookmarkStart w:id="4010" w:name="_Toc515792625"/>
      <w:bookmarkStart w:id="4011" w:name="_Toc515793527"/>
      <w:bookmarkStart w:id="4012" w:name="_Toc515794432"/>
      <w:bookmarkStart w:id="4013" w:name="_Toc515796189"/>
      <w:bookmarkStart w:id="4014" w:name="_Toc488244603"/>
      <w:bookmarkStart w:id="4015" w:name="_Toc488247723"/>
      <w:bookmarkStart w:id="4016" w:name="_Toc488248367"/>
      <w:bookmarkStart w:id="4017" w:name="_Toc488248983"/>
      <w:bookmarkStart w:id="4018" w:name="_Toc488249599"/>
      <w:bookmarkStart w:id="4019" w:name="_Toc488330087"/>
      <w:bookmarkStart w:id="4020" w:name="_Toc488386941"/>
      <w:bookmarkStart w:id="4021" w:name="_Toc488402400"/>
      <w:bookmarkStart w:id="4022" w:name="_Toc488403223"/>
      <w:bookmarkStart w:id="4023" w:name="_Toc488404052"/>
      <w:bookmarkStart w:id="4024" w:name="_Toc488404883"/>
      <w:bookmarkStart w:id="4025" w:name="_Toc488405706"/>
      <w:bookmarkStart w:id="4026" w:name="_Toc488406535"/>
      <w:bookmarkStart w:id="4027" w:name="_Toc491409766"/>
      <w:bookmarkStart w:id="4028" w:name="_Toc496018304"/>
      <w:bookmarkStart w:id="4029" w:name="_Toc515787523"/>
      <w:bookmarkStart w:id="4030" w:name="_Toc515789223"/>
      <w:bookmarkStart w:id="4031" w:name="_Toc515790072"/>
      <w:bookmarkStart w:id="4032" w:name="_Toc515790921"/>
      <w:bookmarkStart w:id="4033" w:name="_Toc515791776"/>
      <w:bookmarkStart w:id="4034" w:name="_Toc515792626"/>
      <w:bookmarkStart w:id="4035" w:name="_Toc515793528"/>
      <w:bookmarkStart w:id="4036" w:name="_Toc515794433"/>
      <w:bookmarkStart w:id="4037" w:name="_Toc515796190"/>
      <w:bookmarkStart w:id="4038" w:name="_Toc488244604"/>
      <w:bookmarkStart w:id="4039" w:name="_Toc488247724"/>
      <w:bookmarkStart w:id="4040" w:name="_Toc488248368"/>
      <w:bookmarkStart w:id="4041" w:name="_Toc488248984"/>
      <w:bookmarkStart w:id="4042" w:name="_Toc488249600"/>
      <w:bookmarkStart w:id="4043" w:name="_Toc488330088"/>
      <w:bookmarkStart w:id="4044" w:name="_Toc488386942"/>
      <w:bookmarkStart w:id="4045" w:name="_Toc488402401"/>
      <w:bookmarkStart w:id="4046" w:name="_Toc488403224"/>
      <w:bookmarkStart w:id="4047" w:name="_Toc488404053"/>
      <w:bookmarkStart w:id="4048" w:name="_Toc488404884"/>
      <w:bookmarkStart w:id="4049" w:name="_Toc488405707"/>
      <w:bookmarkStart w:id="4050" w:name="_Toc488406536"/>
      <w:bookmarkStart w:id="4051" w:name="_Toc491409767"/>
      <w:bookmarkStart w:id="4052" w:name="_Toc496018305"/>
      <w:bookmarkStart w:id="4053" w:name="_Toc515787524"/>
      <w:bookmarkStart w:id="4054" w:name="_Toc515789224"/>
      <w:bookmarkStart w:id="4055" w:name="_Toc515790073"/>
      <w:bookmarkStart w:id="4056" w:name="_Toc515790922"/>
      <w:bookmarkStart w:id="4057" w:name="_Toc515791777"/>
      <w:bookmarkStart w:id="4058" w:name="_Toc515792627"/>
      <w:bookmarkStart w:id="4059" w:name="_Toc515793529"/>
      <w:bookmarkStart w:id="4060" w:name="_Toc515794434"/>
      <w:bookmarkStart w:id="4061" w:name="_Toc515796191"/>
      <w:bookmarkStart w:id="4062" w:name="_Toc488244605"/>
      <w:bookmarkStart w:id="4063" w:name="_Toc488247725"/>
      <w:bookmarkStart w:id="4064" w:name="_Toc488248369"/>
      <w:bookmarkStart w:id="4065" w:name="_Toc488248985"/>
      <w:bookmarkStart w:id="4066" w:name="_Toc488249601"/>
      <w:bookmarkStart w:id="4067" w:name="_Toc488330089"/>
      <w:bookmarkStart w:id="4068" w:name="_Toc488386943"/>
      <w:bookmarkStart w:id="4069" w:name="_Toc488402402"/>
      <w:bookmarkStart w:id="4070" w:name="_Toc488403225"/>
      <w:bookmarkStart w:id="4071" w:name="_Toc488404054"/>
      <w:bookmarkStart w:id="4072" w:name="_Toc488404885"/>
      <w:bookmarkStart w:id="4073" w:name="_Toc488405708"/>
      <w:bookmarkStart w:id="4074" w:name="_Toc488406537"/>
      <w:bookmarkStart w:id="4075" w:name="_Toc491409768"/>
      <w:bookmarkStart w:id="4076" w:name="_Toc496018306"/>
      <w:bookmarkStart w:id="4077" w:name="_Toc515787525"/>
      <w:bookmarkStart w:id="4078" w:name="_Toc515789225"/>
      <w:bookmarkStart w:id="4079" w:name="_Toc515790074"/>
      <w:bookmarkStart w:id="4080" w:name="_Toc515790923"/>
      <w:bookmarkStart w:id="4081" w:name="_Toc515791778"/>
      <w:bookmarkStart w:id="4082" w:name="_Toc515792628"/>
      <w:bookmarkStart w:id="4083" w:name="_Toc515793530"/>
      <w:bookmarkStart w:id="4084" w:name="_Toc515794435"/>
      <w:bookmarkStart w:id="4085" w:name="_Toc515796192"/>
      <w:bookmarkStart w:id="4086" w:name="_Toc488244606"/>
      <w:bookmarkStart w:id="4087" w:name="_Toc488247726"/>
      <w:bookmarkStart w:id="4088" w:name="_Toc488248370"/>
      <w:bookmarkStart w:id="4089" w:name="_Toc488248986"/>
      <w:bookmarkStart w:id="4090" w:name="_Toc488249602"/>
      <w:bookmarkStart w:id="4091" w:name="_Toc488330090"/>
      <w:bookmarkStart w:id="4092" w:name="_Toc488386944"/>
      <w:bookmarkStart w:id="4093" w:name="_Toc488402403"/>
      <w:bookmarkStart w:id="4094" w:name="_Toc488403226"/>
      <w:bookmarkStart w:id="4095" w:name="_Toc488404055"/>
      <w:bookmarkStart w:id="4096" w:name="_Toc488404886"/>
      <w:bookmarkStart w:id="4097" w:name="_Toc488405709"/>
      <w:bookmarkStart w:id="4098" w:name="_Toc488406538"/>
      <w:bookmarkStart w:id="4099" w:name="_Toc491409769"/>
      <w:bookmarkStart w:id="4100" w:name="_Toc496018307"/>
      <w:bookmarkStart w:id="4101" w:name="_Toc515787526"/>
      <w:bookmarkStart w:id="4102" w:name="_Toc515789226"/>
      <w:bookmarkStart w:id="4103" w:name="_Toc515790075"/>
      <w:bookmarkStart w:id="4104" w:name="_Toc515790924"/>
      <w:bookmarkStart w:id="4105" w:name="_Toc515791779"/>
      <w:bookmarkStart w:id="4106" w:name="_Toc515792629"/>
      <w:bookmarkStart w:id="4107" w:name="_Toc515793531"/>
      <w:bookmarkStart w:id="4108" w:name="_Toc515794436"/>
      <w:bookmarkStart w:id="4109" w:name="_Toc515796193"/>
      <w:bookmarkStart w:id="4110" w:name="_Toc488244607"/>
      <w:bookmarkStart w:id="4111" w:name="_Toc488247727"/>
      <w:bookmarkStart w:id="4112" w:name="_Toc488248371"/>
      <w:bookmarkStart w:id="4113" w:name="_Toc488248987"/>
      <w:bookmarkStart w:id="4114" w:name="_Toc488249603"/>
      <w:bookmarkStart w:id="4115" w:name="_Toc488330091"/>
      <w:bookmarkStart w:id="4116" w:name="_Toc488386945"/>
      <w:bookmarkStart w:id="4117" w:name="_Toc488402404"/>
      <w:bookmarkStart w:id="4118" w:name="_Toc488403227"/>
      <w:bookmarkStart w:id="4119" w:name="_Toc488404056"/>
      <w:bookmarkStart w:id="4120" w:name="_Toc488404887"/>
      <w:bookmarkStart w:id="4121" w:name="_Toc488405710"/>
      <w:bookmarkStart w:id="4122" w:name="_Toc488406539"/>
      <w:bookmarkStart w:id="4123" w:name="_Toc491409770"/>
      <w:bookmarkStart w:id="4124" w:name="_Toc496018308"/>
      <w:bookmarkStart w:id="4125" w:name="_Toc515787527"/>
      <w:bookmarkStart w:id="4126" w:name="_Toc515789227"/>
      <w:bookmarkStart w:id="4127" w:name="_Toc515790076"/>
      <w:bookmarkStart w:id="4128" w:name="_Toc515790925"/>
      <w:bookmarkStart w:id="4129" w:name="_Toc515791780"/>
      <w:bookmarkStart w:id="4130" w:name="_Toc515792630"/>
      <w:bookmarkStart w:id="4131" w:name="_Toc515793532"/>
      <w:bookmarkStart w:id="4132" w:name="_Toc515794437"/>
      <w:bookmarkStart w:id="4133" w:name="_Toc515796194"/>
      <w:bookmarkStart w:id="4134" w:name="_Toc488244608"/>
      <w:bookmarkStart w:id="4135" w:name="_Toc488247728"/>
      <w:bookmarkStart w:id="4136" w:name="_Toc488248372"/>
      <w:bookmarkStart w:id="4137" w:name="_Toc488248988"/>
      <w:bookmarkStart w:id="4138" w:name="_Toc488249604"/>
      <w:bookmarkStart w:id="4139" w:name="_Toc488330092"/>
      <w:bookmarkStart w:id="4140" w:name="_Toc488386946"/>
      <w:bookmarkStart w:id="4141" w:name="_Toc488402405"/>
      <w:bookmarkStart w:id="4142" w:name="_Toc488403228"/>
      <w:bookmarkStart w:id="4143" w:name="_Toc488404057"/>
      <w:bookmarkStart w:id="4144" w:name="_Toc488404888"/>
      <w:bookmarkStart w:id="4145" w:name="_Toc488405711"/>
      <w:bookmarkStart w:id="4146" w:name="_Toc488406540"/>
      <w:bookmarkStart w:id="4147" w:name="_Toc491409771"/>
      <w:bookmarkStart w:id="4148" w:name="_Toc496018309"/>
      <w:bookmarkStart w:id="4149" w:name="_Toc515787528"/>
      <w:bookmarkStart w:id="4150" w:name="_Toc515789228"/>
      <w:bookmarkStart w:id="4151" w:name="_Toc515790077"/>
      <w:bookmarkStart w:id="4152" w:name="_Toc515790926"/>
      <w:bookmarkStart w:id="4153" w:name="_Toc515791781"/>
      <w:bookmarkStart w:id="4154" w:name="_Toc515792631"/>
      <w:bookmarkStart w:id="4155" w:name="_Toc515793533"/>
      <w:bookmarkStart w:id="4156" w:name="_Toc515794438"/>
      <w:bookmarkStart w:id="4157" w:name="_Toc515796195"/>
      <w:bookmarkStart w:id="4158" w:name="_Toc488244609"/>
      <w:bookmarkStart w:id="4159" w:name="_Toc488247729"/>
      <w:bookmarkStart w:id="4160" w:name="_Toc488248373"/>
      <w:bookmarkStart w:id="4161" w:name="_Toc488248989"/>
      <w:bookmarkStart w:id="4162" w:name="_Toc488249605"/>
      <w:bookmarkStart w:id="4163" w:name="_Toc488330093"/>
      <w:bookmarkStart w:id="4164" w:name="_Toc488386947"/>
      <w:bookmarkStart w:id="4165" w:name="_Toc488402406"/>
      <w:bookmarkStart w:id="4166" w:name="_Toc488403229"/>
      <w:bookmarkStart w:id="4167" w:name="_Toc488404058"/>
      <w:bookmarkStart w:id="4168" w:name="_Toc488404889"/>
      <w:bookmarkStart w:id="4169" w:name="_Toc488405712"/>
      <w:bookmarkStart w:id="4170" w:name="_Toc488406541"/>
      <w:bookmarkStart w:id="4171" w:name="_Toc491409772"/>
      <w:bookmarkStart w:id="4172" w:name="_Toc496018310"/>
      <w:bookmarkStart w:id="4173" w:name="_Toc515787529"/>
      <w:bookmarkStart w:id="4174" w:name="_Toc515789229"/>
      <w:bookmarkStart w:id="4175" w:name="_Toc515790078"/>
      <w:bookmarkStart w:id="4176" w:name="_Toc515790927"/>
      <w:bookmarkStart w:id="4177" w:name="_Toc515791782"/>
      <w:bookmarkStart w:id="4178" w:name="_Toc515792632"/>
      <w:bookmarkStart w:id="4179" w:name="_Toc515793534"/>
      <w:bookmarkStart w:id="4180" w:name="_Toc515794439"/>
      <w:bookmarkStart w:id="4181" w:name="_Toc515796196"/>
      <w:bookmarkStart w:id="4182" w:name="_Toc488244610"/>
      <w:bookmarkStart w:id="4183" w:name="_Toc488247730"/>
      <w:bookmarkStart w:id="4184" w:name="_Toc488248374"/>
      <w:bookmarkStart w:id="4185" w:name="_Toc488248990"/>
      <w:bookmarkStart w:id="4186" w:name="_Toc488249606"/>
      <w:bookmarkStart w:id="4187" w:name="_Toc488330094"/>
      <w:bookmarkStart w:id="4188" w:name="_Toc488386948"/>
      <w:bookmarkStart w:id="4189" w:name="_Toc488402407"/>
      <w:bookmarkStart w:id="4190" w:name="_Toc488403230"/>
      <w:bookmarkStart w:id="4191" w:name="_Toc488404059"/>
      <w:bookmarkStart w:id="4192" w:name="_Toc488404890"/>
      <w:bookmarkStart w:id="4193" w:name="_Toc488405713"/>
      <w:bookmarkStart w:id="4194" w:name="_Toc488406542"/>
      <w:bookmarkStart w:id="4195" w:name="_Toc491409773"/>
      <w:bookmarkStart w:id="4196" w:name="_Toc496018311"/>
      <w:bookmarkStart w:id="4197" w:name="_Toc515787530"/>
      <w:bookmarkStart w:id="4198" w:name="_Toc515789230"/>
      <w:bookmarkStart w:id="4199" w:name="_Toc515790079"/>
      <w:bookmarkStart w:id="4200" w:name="_Toc515790928"/>
      <w:bookmarkStart w:id="4201" w:name="_Toc515791783"/>
      <w:bookmarkStart w:id="4202" w:name="_Toc515792633"/>
      <w:bookmarkStart w:id="4203" w:name="_Toc515793535"/>
      <w:bookmarkStart w:id="4204" w:name="_Toc515794440"/>
      <w:bookmarkStart w:id="4205" w:name="_Toc515796197"/>
      <w:bookmarkStart w:id="4206" w:name="_Toc488244611"/>
      <w:bookmarkStart w:id="4207" w:name="_Toc488247731"/>
      <w:bookmarkStart w:id="4208" w:name="_Toc488248375"/>
      <w:bookmarkStart w:id="4209" w:name="_Toc488248991"/>
      <w:bookmarkStart w:id="4210" w:name="_Toc488249607"/>
      <w:bookmarkStart w:id="4211" w:name="_Toc488330095"/>
      <w:bookmarkStart w:id="4212" w:name="_Toc488386949"/>
      <w:bookmarkStart w:id="4213" w:name="_Toc488402408"/>
      <w:bookmarkStart w:id="4214" w:name="_Toc488403231"/>
      <w:bookmarkStart w:id="4215" w:name="_Toc488404060"/>
      <w:bookmarkStart w:id="4216" w:name="_Toc488404891"/>
      <w:bookmarkStart w:id="4217" w:name="_Toc488405714"/>
      <w:bookmarkStart w:id="4218" w:name="_Toc488406543"/>
      <w:bookmarkStart w:id="4219" w:name="_Toc491409774"/>
      <w:bookmarkStart w:id="4220" w:name="_Toc496018312"/>
      <w:bookmarkStart w:id="4221" w:name="_Toc515787531"/>
      <w:bookmarkStart w:id="4222" w:name="_Toc515789231"/>
      <w:bookmarkStart w:id="4223" w:name="_Toc515790080"/>
      <w:bookmarkStart w:id="4224" w:name="_Toc515790929"/>
      <w:bookmarkStart w:id="4225" w:name="_Toc515791784"/>
      <w:bookmarkStart w:id="4226" w:name="_Toc515792634"/>
      <w:bookmarkStart w:id="4227" w:name="_Toc515793536"/>
      <w:bookmarkStart w:id="4228" w:name="_Toc515794441"/>
      <w:bookmarkStart w:id="4229" w:name="_Toc515796198"/>
      <w:bookmarkStart w:id="4230" w:name="_Toc488244612"/>
      <w:bookmarkStart w:id="4231" w:name="_Toc488247732"/>
      <w:bookmarkStart w:id="4232" w:name="_Toc488248376"/>
      <w:bookmarkStart w:id="4233" w:name="_Toc488248992"/>
      <w:bookmarkStart w:id="4234" w:name="_Toc488249608"/>
      <w:bookmarkStart w:id="4235" w:name="_Toc488330096"/>
      <w:bookmarkStart w:id="4236" w:name="_Toc488386950"/>
      <w:bookmarkStart w:id="4237" w:name="_Toc488402409"/>
      <w:bookmarkStart w:id="4238" w:name="_Toc488403232"/>
      <w:bookmarkStart w:id="4239" w:name="_Toc488404061"/>
      <w:bookmarkStart w:id="4240" w:name="_Toc488404892"/>
      <w:bookmarkStart w:id="4241" w:name="_Toc488405715"/>
      <w:bookmarkStart w:id="4242" w:name="_Toc488406544"/>
      <w:bookmarkStart w:id="4243" w:name="_Toc491409775"/>
      <w:bookmarkStart w:id="4244" w:name="_Toc496018313"/>
      <w:bookmarkStart w:id="4245" w:name="_Toc515787532"/>
      <w:bookmarkStart w:id="4246" w:name="_Toc515789232"/>
      <w:bookmarkStart w:id="4247" w:name="_Toc515790081"/>
      <w:bookmarkStart w:id="4248" w:name="_Toc515790930"/>
      <w:bookmarkStart w:id="4249" w:name="_Toc515791785"/>
      <w:bookmarkStart w:id="4250" w:name="_Toc515792635"/>
      <w:bookmarkStart w:id="4251" w:name="_Toc515793537"/>
      <w:bookmarkStart w:id="4252" w:name="_Toc515794442"/>
      <w:bookmarkStart w:id="4253" w:name="_Toc515796199"/>
      <w:bookmarkStart w:id="4254" w:name="_Toc488244613"/>
      <w:bookmarkStart w:id="4255" w:name="_Toc488247733"/>
      <w:bookmarkStart w:id="4256" w:name="_Toc488248377"/>
      <w:bookmarkStart w:id="4257" w:name="_Toc488248993"/>
      <w:bookmarkStart w:id="4258" w:name="_Toc488249609"/>
      <w:bookmarkStart w:id="4259" w:name="_Toc488330097"/>
      <w:bookmarkStart w:id="4260" w:name="_Toc488386951"/>
      <w:bookmarkStart w:id="4261" w:name="_Toc488402410"/>
      <w:bookmarkStart w:id="4262" w:name="_Toc488403233"/>
      <w:bookmarkStart w:id="4263" w:name="_Toc488404062"/>
      <w:bookmarkStart w:id="4264" w:name="_Toc488404893"/>
      <w:bookmarkStart w:id="4265" w:name="_Toc488405716"/>
      <w:bookmarkStart w:id="4266" w:name="_Toc488406545"/>
      <w:bookmarkStart w:id="4267" w:name="_Toc491409776"/>
      <w:bookmarkStart w:id="4268" w:name="_Toc496018314"/>
      <w:bookmarkStart w:id="4269" w:name="_Toc515787533"/>
      <w:bookmarkStart w:id="4270" w:name="_Toc515789233"/>
      <w:bookmarkStart w:id="4271" w:name="_Toc515790082"/>
      <w:bookmarkStart w:id="4272" w:name="_Toc515790931"/>
      <w:bookmarkStart w:id="4273" w:name="_Toc515791786"/>
      <w:bookmarkStart w:id="4274" w:name="_Toc515792636"/>
      <w:bookmarkStart w:id="4275" w:name="_Toc515793538"/>
      <w:bookmarkStart w:id="4276" w:name="_Toc515794443"/>
      <w:bookmarkStart w:id="4277" w:name="_Toc515796200"/>
      <w:bookmarkStart w:id="4278" w:name="_Toc488244614"/>
      <w:bookmarkStart w:id="4279" w:name="_Toc488247734"/>
      <w:bookmarkStart w:id="4280" w:name="_Toc488248378"/>
      <w:bookmarkStart w:id="4281" w:name="_Toc488248994"/>
      <w:bookmarkStart w:id="4282" w:name="_Toc488249610"/>
      <w:bookmarkStart w:id="4283" w:name="_Toc488330098"/>
      <w:bookmarkStart w:id="4284" w:name="_Toc488386952"/>
      <w:bookmarkStart w:id="4285" w:name="_Toc488402411"/>
      <w:bookmarkStart w:id="4286" w:name="_Toc488403234"/>
      <w:bookmarkStart w:id="4287" w:name="_Toc488404063"/>
      <w:bookmarkStart w:id="4288" w:name="_Toc488404894"/>
      <w:bookmarkStart w:id="4289" w:name="_Toc488405717"/>
      <w:bookmarkStart w:id="4290" w:name="_Toc488406546"/>
      <w:bookmarkStart w:id="4291" w:name="_Toc491409777"/>
      <w:bookmarkStart w:id="4292" w:name="_Toc496018315"/>
      <w:bookmarkStart w:id="4293" w:name="_Toc515787534"/>
      <w:bookmarkStart w:id="4294" w:name="_Toc515789234"/>
      <w:bookmarkStart w:id="4295" w:name="_Toc515790083"/>
      <w:bookmarkStart w:id="4296" w:name="_Toc515790932"/>
      <w:bookmarkStart w:id="4297" w:name="_Toc515791787"/>
      <w:bookmarkStart w:id="4298" w:name="_Toc515792637"/>
      <w:bookmarkStart w:id="4299" w:name="_Toc515793539"/>
      <w:bookmarkStart w:id="4300" w:name="_Toc515794444"/>
      <w:bookmarkStart w:id="4301" w:name="_Toc515796201"/>
      <w:bookmarkStart w:id="4302" w:name="_Toc488244615"/>
      <w:bookmarkStart w:id="4303" w:name="_Toc488247735"/>
      <w:bookmarkStart w:id="4304" w:name="_Toc488248379"/>
      <w:bookmarkStart w:id="4305" w:name="_Toc488248995"/>
      <w:bookmarkStart w:id="4306" w:name="_Toc488249611"/>
      <w:bookmarkStart w:id="4307" w:name="_Toc488330099"/>
      <w:bookmarkStart w:id="4308" w:name="_Toc488386953"/>
      <w:bookmarkStart w:id="4309" w:name="_Toc488402412"/>
      <w:bookmarkStart w:id="4310" w:name="_Toc488403235"/>
      <w:bookmarkStart w:id="4311" w:name="_Toc488404064"/>
      <w:bookmarkStart w:id="4312" w:name="_Toc488404895"/>
      <w:bookmarkStart w:id="4313" w:name="_Toc488405718"/>
      <w:bookmarkStart w:id="4314" w:name="_Toc488406547"/>
      <w:bookmarkStart w:id="4315" w:name="_Toc491409778"/>
      <w:bookmarkStart w:id="4316" w:name="_Toc496018316"/>
      <w:bookmarkStart w:id="4317" w:name="_Toc515787535"/>
      <w:bookmarkStart w:id="4318" w:name="_Toc515789235"/>
      <w:bookmarkStart w:id="4319" w:name="_Toc515790084"/>
      <w:bookmarkStart w:id="4320" w:name="_Toc515790933"/>
      <w:bookmarkStart w:id="4321" w:name="_Toc515791788"/>
      <w:bookmarkStart w:id="4322" w:name="_Toc515792638"/>
      <w:bookmarkStart w:id="4323" w:name="_Toc515793540"/>
      <w:bookmarkStart w:id="4324" w:name="_Toc515794445"/>
      <w:bookmarkStart w:id="4325" w:name="_Toc515796202"/>
      <w:bookmarkStart w:id="4326" w:name="_Toc488244616"/>
      <w:bookmarkStart w:id="4327" w:name="_Toc488247736"/>
      <w:bookmarkStart w:id="4328" w:name="_Toc488248380"/>
      <w:bookmarkStart w:id="4329" w:name="_Toc488248996"/>
      <w:bookmarkStart w:id="4330" w:name="_Toc488249612"/>
      <w:bookmarkStart w:id="4331" w:name="_Toc488330100"/>
      <w:bookmarkStart w:id="4332" w:name="_Toc488386954"/>
      <w:bookmarkStart w:id="4333" w:name="_Toc488402413"/>
      <w:bookmarkStart w:id="4334" w:name="_Toc488403236"/>
      <w:bookmarkStart w:id="4335" w:name="_Toc488404065"/>
      <w:bookmarkStart w:id="4336" w:name="_Toc488404896"/>
      <w:bookmarkStart w:id="4337" w:name="_Toc488405719"/>
      <w:bookmarkStart w:id="4338" w:name="_Toc488406548"/>
      <w:bookmarkStart w:id="4339" w:name="_Toc491409779"/>
      <w:bookmarkStart w:id="4340" w:name="_Toc496018317"/>
      <w:bookmarkStart w:id="4341" w:name="_Toc515787536"/>
      <w:bookmarkStart w:id="4342" w:name="_Toc515789236"/>
      <w:bookmarkStart w:id="4343" w:name="_Toc515790085"/>
      <w:bookmarkStart w:id="4344" w:name="_Toc515790934"/>
      <w:bookmarkStart w:id="4345" w:name="_Toc515791789"/>
      <w:bookmarkStart w:id="4346" w:name="_Toc515792639"/>
      <w:bookmarkStart w:id="4347" w:name="_Toc515793541"/>
      <w:bookmarkStart w:id="4348" w:name="_Toc515794446"/>
      <w:bookmarkStart w:id="4349" w:name="_Toc515796203"/>
      <w:bookmarkStart w:id="4350" w:name="_Toc488244617"/>
      <w:bookmarkStart w:id="4351" w:name="_Toc488247737"/>
      <w:bookmarkStart w:id="4352" w:name="_Toc488248381"/>
      <w:bookmarkStart w:id="4353" w:name="_Toc488248997"/>
      <w:bookmarkStart w:id="4354" w:name="_Toc488249613"/>
      <w:bookmarkStart w:id="4355" w:name="_Toc488330101"/>
      <w:bookmarkStart w:id="4356" w:name="_Toc488386955"/>
      <w:bookmarkStart w:id="4357" w:name="_Toc488402414"/>
      <w:bookmarkStart w:id="4358" w:name="_Toc488403237"/>
      <w:bookmarkStart w:id="4359" w:name="_Toc488404066"/>
      <w:bookmarkStart w:id="4360" w:name="_Toc488404897"/>
      <w:bookmarkStart w:id="4361" w:name="_Toc488405720"/>
      <w:bookmarkStart w:id="4362" w:name="_Toc488406549"/>
      <w:bookmarkStart w:id="4363" w:name="_Toc491409780"/>
      <w:bookmarkStart w:id="4364" w:name="_Toc496018318"/>
      <w:bookmarkStart w:id="4365" w:name="_Toc515787537"/>
      <w:bookmarkStart w:id="4366" w:name="_Toc515789237"/>
      <w:bookmarkStart w:id="4367" w:name="_Toc515790086"/>
      <w:bookmarkStart w:id="4368" w:name="_Toc515790935"/>
      <w:bookmarkStart w:id="4369" w:name="_Toc515791790"/>
      <w:bookmarkStart w:id="4370" w:name="_Toc515792640"/>
      <w:bookmarkStart w:id="4371" w:name="_Toc515793542"/>
      <w:bookmarkStart w:id="4372" w:name="_Toc515794447"/>
      <w:bookmarkStart w:id="4373" w:name="_Toc515796204"/>
      <w:bookmarkStart w:id="4374" w:name="_Toc488244618"/>
      <w:bookmarkStart w:id="4375" w:name="_Toc488247738"/>
      <w:bookmarkStart w:id="4376" w:name="_Toc488248382"/>
      <w:bookmarkStart w:id="4377" w:name="_Toc488248998"/>
      <w:bookmarkStart w:id="4378" w:name="_Toc488249614"/>
      <w:bookmarkStart w:id="4379" w:name="_Toc488330102"/>
      <w:bookmarkStart w:id="4380" w:name="_Toc488386956"/>
      <w:bookmarkStart w:id="4381" w:name="_Toc488402415"/>
      <w:bookmarkStart w:id="4382" w:name="_Toc488403238"/>
      <w:bookmarkStart w:id="4383" w:name="_Toc488404067"/>
      <w:bookmarkStart w:id="4384" w:name="_Toc488404898"/>
      <w:bookmarkStart w:id="4385" w:name="_Toc488405721"/>
      <w:bookmarkStart w:id="4386" w:name="_Toc488406550"/>
      <w:bookmarkStart w:id="4387" w:name="_Toc491409781"/>
      <w:bookmarkStart w:id="4388" w:name="_Toc496018319"/>
      <w:bookmarkStart w:id="4389" w:name="_Toc515787538"/>
      <w:bookmarkStart w:id="4390" w:name="_Toc515789238"/>
      <w:bookmarkStart w:id="4391" w:name="_Toc515790087"/>
      <w:bookmarkStart w:id="4392" w:name="_Toc515790936"/>
      <w:bookmarkStart w:id="4393" w:name="_Toc515791791"/>
      <w:bookmarkStart w:id="4394" w:name="_Toc515792641"/>
      <w:bookmarkStart w:id="4395" w:name="_Toc515793543"/>
      <w:bookmarkStart w:id="4396" w:name="_Toc515794448"/>
      <w:bookmarkStart w:id="4397" w:name="_Toc515796205"/>
      <w:bookmarkStart w:id="4398" w:name="_Toc488244619"/>
      <w:bookmarkStart w:id="4399" w:name="_Toc488247739"/>
      <w:bookmarkStart w:id="4400" w:name="_Toc488248383"/>
      <w:bookmarkStart w:id="4401" w:name="_Toc488248999"/>
      <w:bookmarkStart w:id="4402" w:name="_Toc488249615"/>
      <w:bookmarkStart w:id="4403" w:name="_Toc488330103"/>
      <w:bookmarkStart w:id="4404" w:name="_Toc488386957"/>
      <w:bookmarkStart w:id="4405" w:name="_Toc488402416"/>
      <w:bookmarkStart w:id="4406" w:name="_Toc488403239"/>
      <w:bookmarkStart w:id="4407" w:name="_Toc488404068"/>
      <w:bookmarkStart w:id="4408" w:name="_Toc488404899"/>
      <w:bookmarkStart w:id="4409" w:name="_Toc488405722"/>
      <w:bookmarkStart w:id="4410" w:name="_Toc488406551"/>
      <w:bookmarkStart w:id="4411" w:name="_Toc491409782"/>
      <w:bookmarkStart w:id="4412" w:name="_Toc496018320"/>
      <w:bookmarkStart w:id="4413" w:name="_Toc515787539"/>
      <w:bookmarkStart w:id="4414" w:name="_Toc515789239"/>
      <w:bookmarkStart w:id="4415" w:name="_Toc515790088"/>
      <w:bookmarkStart w:id="4416" w:name="_Toc515790937"/>
      <w:bookmarkStart w:id="4417" w:name="_Toc515791792"/>
      <w:bookmarkStart w:id="4418" w:name="_Toc515792642"/>
      <w:bookmarkStart w:id="4419" w:name="_Toc515793544"/>
      <w:bookmarkStart w:id="4420" w:name="_Toc515794449"/>
      <w:bookmarkStart w:id="4421" w:name="_Toc515796206"/>
      <w:bookmarkStart w:id="4422" w:name="_Toc488244620"/>
      <w:bookmarkStart w:id="4423" w:name="_Toc488247740"/>
      <w:bookmarkStart w:id="4424" w:name="_Toc488248384"/>
      <w:bookmarkStart w:id="4425" w:name="_Toc488249000"/>
      <w:bookmarkStart w:id="4426" w:name="_Toc488249616"/>
      <w:bookmarkStart w:id="4427" w:name="_Toc488330104"/>
      <w:bookmarkStart w:id="4428" w:name="_Toc488386958"/>
      <w:bookmarkStart w:id="4429" w:name="_Toc488402417"/>
      <w:bookmarkStart w:id="4430" w:name="_Toc488403240"/>
      <w:bookmarkStart w:id="4431" w:name="_Toc488404069"/>
      <w:bookmarkStart w:id="4432" w:name="_Toc488404900"/>
      <w:bookmarkStart w:id="4433" w:name="_Toc488405723"/>
      <w:bookmarkStart w:id="4434" w:name="_Toc488406552"/>
      <w:bookmarkStart w:id="4435" w:name="_Toc491409783"/>
      <w:bookmarkStart w:id="4436" w:name="_Toc496018321"/>
      <w:bookmarkStart w:id="4437" w:name="_Toc515787540"/>
      <w:bookmarkStart w:id="4438" w:name="_Toc515789240"/>
      <w:bookmarkStart w:id="4439" w:name="_Toc515790089"/>
      <w:bookmarkStart w:id="4440" w:name="_Toc515790938"/>
      <w:bookmarkStart w:id="4441" w:name="_Toc515791793"/>
      <w:bookmarkStart w:id="4442" w:name="_Toc515792643"/>
      <w:bookmarkStart w:id="4443" w:name="_Toc515793545"/>
      <w:bookmarkStart w:id="4444" w:name="_Toc515794450"/>
      <w:bookmarkStart w:id="4445" w:name="_Toc515796207"/>
      <w:bookmarkStart w:id="4446" w:name="_Toc488244621"/>
      <w:bookmarkStart w:id="4447" w:name="_Toc488247741"/>
      <w:bookmarkStart w:id="4448" w:name="_Toc488248385"/>
      <w:bookmarkStart w:id="4449" w:name="_Toc488249001"/>
      <w:bookmarkStart w:id="4450" w:name="_Toc488249617"/>
      <w:bookmarkStart w:id="4451" w:name="_Toc488330105"/>
      <w:bookmarkStart w:id="4452" w:name="_Toc488386959"/>
      <w:bookmarkStart w:id="4453" w:name="_Toc488402418"/>
      <w:bookmarkStart w:id="4454" w:name="_Toc488403241"/>
      <w:bookmarkStart w:id="4455" w:name="_Toc488404070"/>
      <w:bookmarkStart w:id="4456" w:name="_Toc488404901"/>
      <w:bookmarkStart w:id="4457" w:name="_Toc488405724"/>
      <w:bookmarkStart w:id="4458" w:name="_Toc488406553"/>
      <w:bookmarkStart w:id="4459" w:name="_Toc491409784"/>
      <w:bookmarkStart w:id="4460" w:name="_Toc496018322"/>
      <w:bookmarkStart w:id="4461" w:name="_Toc515787541"/>
      <w:bookmarkStart w:id="4462" w:name="_Toc515789241"/>
      <w:bookmarkStart w:id="4463" w:name="_Toc515790090"/>
      <w:bookmarkStart w:id="4464" w:name="_Toc515790939"/>
      <w:bookmarkStart w:id="4465" w:name="_Toc515791794"/>
      <w:bookmarkStart w:id="4466" w:name="_Toc515792644"/>
      <w:bookmarkStart w:id="4467" w:name="_Toc515793546"/>
      <w:bookmarkStart w:id="4468" w:name="_Toc515794451"/>
      <w:bookmarkStart w:id="4469" w:name="_Toc515796208"/>
      <w:bookmarkStart w:id="4470" w:name="_Toc488244622"/>
      <w:bookmarkStart w:id="4471" w:name="_Toc488247742"/>
      <w:bookmarkStart w:id="4472" w:name="_Toc488248386"/>
      <w:bookmarkStart w:id="4473" w:name="_Toc488249002"/>
      <w:bookmarkStart w:id="4474" w:name="_Toc488249618"/>
      <w:bookmarkStart w:id="4475" w:name="_Toc488330106"/>
      <w:bookmarkStart w:id="4476" w:name="_Toc488386960"/>
      <w:bookmarkStart w:id="4477" w:name="_Toc488402419"/>
      <w:bookmarkStart w:id="4478" w:name="_Toc488403242"/>
      <w:bookmarkStart w:id="4479" w:name="_Toc488404071"/>
      <w:bookmarkStart w:id="4480" w:name="_Toc488404902"/>
      <w:bookmarkStart w:id="4481" w:name="_Toc488405725"/>
      <w:bookmarkStart w:id="4482" w:name="_Toc488406554"/>
      <w:bookmarkStart w:id="4483" w:name="_Toc491409785"/>
      <w:bookmarkStart w:id="4484" w:name="_Toc496018323"/>
      <w:bookmarkStart w:id="4485" w:name="_Toc515787542"/>
      <w:bookmarkStart w:id="4486" w:name="_Toc515789242"/>
      <w:bookmarkStart w:id="4487" w:name="_Toc515790091"/>
      <w:bookmarkStart w:id="4488" w:name="_Toc515790940"/>
      <w:bookmarkStart w:id="4489" w:name="_Toc515791795"/>
      <w:bookmarkStart w:id="4490" w:name="_Toc515792645"/>
      <w:bookmarkStart w:id="4491" w:name="_Toc515793547"/>
      <w:bookmarkStart w:id="4492" w:name="_Toc515794452"/>
      <w:bookmarkStart w:id="4493" w:name="_Toc515796209"/>
      <w:bookmarkStart w:id="4494" w:name="_Toc488244623"/>
      <w:bookmarkStart w:id="4495" w:name="_Toc488247743"/>
      <w:bookmarkStart w:id="4496" w:name="_Toc488248387"/>
      <w:bookmarkStart w:id="4497" w:name="_Toc488249003"/>
      <w:bookmarkStart w:id="4498" w:name="_Toc488249619"/>
      <w:bookmarkStart w:id="4499" w:name="_Toc488330107"/>
      <w:bookmarkStart w:id="4500" w:name="_Toc488386961"/>
      <w:bookmarkStart w:id="4501" w:name="_Toc488402420"/>
      <w:bookmarkStart w:id="4502" w:name="_Toc488403243"/>
      <w:bookmarkStart w:id="4503" w:name="_Toc488404072"/>
      <w:bookmarkStart w:id="4504" w:name="_Toc488404903"/>
      <w:bookmarkStart w:id="4505" w:name="_Toc488405726"/>
      <w:bookmarkStart w:id="4506" w:name="_Toc488406555"/>
      <w:bookmarkStart w:id="4507" w:name="_Toc491409786"/>
      <w:bookmarkStart w:id="4508" w:name="_Toc496018324"/>
      <w:bookmarkStart w:id="4509" w:name="_Toc515787543"/>
      <w:bookmarkStart w:id="4510" w:name="_Toc515789243"/>
      <w:bookmarkStart w:id="4511" w:name="_Toc515790092"/>
      <w:bookmarkStart w:id="4512" w:name="_Toc515790941"/>
      <w:bookmarkStart w:id="4513" w:name="_Toc515791796"/>
      <w:bookmarkStart w:id="4514" w:name="_Toc515792646"/>
      <w:bookmarkStart w:id="4515" w:name="_Toc515793548"/>
      <w:bookmarkStart w:id="4516" w:name="_Toc515794453"/>
      <w:bookmarkStart w:id="4517" w:name="_Toc515796210"/>
      <w:bookmarkStart w:id="4518" w:name="_Toc488244624"/>
      <w:bookmarkStart w:id="4519" w:name="_Toc488247744"/>
      <w:bookmarkStart w:id="4520" w:name="_Toc488248388"/>
      <w:bookmarkStart w:id="4521" w:name="_Toc488249004"/>
      <w:bookmarkStart w:id="4522" w:name="_Toc488249620"/>
      <w:bookmarkStart w:id="4523" w:name="_Toc488330108"/>
      <w:bookmarkStart w:id="4524" w:name="_Toc488386962"/>
      <w:bookmarkStart w:id="4525" w:name="_Toc488402421"/>
      <w:bookmarkStart w:id="4526" w:name="_Toc488403244"/>
      <w:bookmarkStart w:id="4527" w:name="_Toc488404073"/>
      <w:bookmarkStart w:id="4528" w:name="_Toc488404904"/>
      <w:bookmarkStart w:id="4529" w:name="_Toc488405727"/>
      <w:bookmarkStart w:id="4530" w:name="_Toc488406556"/>
      <w:bookmarkStart w:id="4531" w:name="_Toc491409787"/>
      <w:bookmarkStart w:id="4532" w:name="_Toc496018325"/>
      <w:bookmarkStart w:id="4533" w:name="_Toc515787544"/>
      <w:bookmarkStart w:id="4534" w:name="_Toc515789244"/>
      <w:bookmarkStart w:id="4535" w:name="_Toc515790093"/>
      <w:bookmarkStart w:id="4536" w:name="_Toc515790942"/>
      <w:bookmarkStart w:id="4537" w:name="_Toc515791797"/>
      <w:bookmarkStart w:id="4538" w:name="_Toc515792647"/>
      <w:bookmarkStart w:id="4539" w:name="_Toc515793549"/>
      <w:bookmarkStart w:id="4540" w:name="_Toc515794454"/>
      <w:bookmarkStart w:id="4541" w:name="_Toc515796211"/>
      <w:bookmarkStart w:id="4542" w:name="_Toc488244625"/>
      <w:bookmarkStart w:id="4543" w:name="_Toc488247745"/>
      <w:bookmarkStart w:id="4544" w:name="_Toc488248389"/>
      <w:bookmarkStart w:id="4545" w:name="_Toc488249005"/>
      <w:bookmarkStart w:id="4546" w:name="_Toc488249621"/>
      <w:bookmarkStart w:id="4547" w:name="_Toc488330109"/>
      <w:bookmarkStart w:id="4548" w:name="_Toc488386963"/>
      <w:bookmarkStart w:id="4549" w:name="_Toc488402422"/>
      <w:bookmarkStart w:id="4550" w:name="_Toc488403245"/>
      <w:bookmarkStart w:id="4551" w:name="_Toc488404074"/>
      <w:bookmarkStart w:id="4552" w:name="_Toc488404905"/>
      <w:bookmarkStart w:id="4553" w:name="_Toc488405728"/>
      <w:bookmarkStart w:id="4554" w:name="_Toc488406557"/>
      <w:bookmarkStart w:id="4555" w:name="_Toc491409788"/>
      <w:bookmarkStart w:id="4556" w:name="_Toc496018326"/>
      <w:bookmarkStart w:id="4557" w:name="_Toc515787545"/>
      <w:bookmarkStart w:id="4558" w:name="_Toc515789245"/>
      <w:bookmarkStart w:id="4559" w:name="_Toc515790094"/>
      <w:bookmarkStart w:id="4560" w:name="_Toc515790943"/>
      <w:bookmarkStart w:id="4561" w:name="_Toc515791798"/>
      <w:bookmarkStart w:id="4562" w:name="_Toc515792648"/>
      <w:bookmarkStart w:id="4563" w:name="_Toc515793550"/>
      <w:bookmarkStart w:id="4564" w:name="_Toc515794455"/>
      <w:bookmarkStart w:id="4565" w:name="_Toc515796212"/>
      <w:bookmarkStart w:id="4566" w:name="_Toc488244626"/>
      <w:bookmarkStart w:id="4567" w:name="_Toc488247746"/>
      <w:bookmarkStart w:id="4568" w:name="_Toc488248390"/>
      <w:bookmarkStart w:id="4569" w:name="_Toc488249006"/>
      <w:bookmarkStart w:id="4570" w:name="_Toc488249622"/>
      <w:bookmarkStart w:id="4571" w:name="_Toc488330110"/>
      <w:bookmarkStart w:id="4572" w:name="_Toc488386964"/>
      <w:bookmarkStart w:id="4573" w:name="_Toc488402423"/>
      <w:bookmarkStart w:id="4574" w:name="_Toc488403246"/>
      <w:bookmarkStart w:id="4575" w:name="_Toc488404075"/>
      <w:bookmarkStart w:id="4576" w:name="_Toc488404906"/>
      <w:bookmarkStart w:id="4577" w:name="_Toc488405729"/>
      <w:bookmarkStart w:id="4578" w:name="_Toc488406558"/>
      <w:bookmarkStart w:id="4579" w:name="_Toc491409789"/>
      <w:bookmarkStart w:id="4580" w:name="_Toc496018327"/>
      <w:bookmarkStart w:id="4581" w:name="_Toc515787546"/>
      <w:bookmarkStart w:id="4582" w:name="_Toc515789246"/>
      <w:bookmarkStart w:id="4583" w:name="_Toc515790095"/>
      <w:bookmarkStart w:id="4584" w:name="_Toc515790944"/>
      <w:bookmarkStart w:id="4585" w:name="_Toc515791799"/>
      <w:bookmarkStart w:id="4586" w:name="_Toc515792649"/>
      <w:bookmarkStart w:id="4587" w:name="_Toc515793551"/>
      <w:bookmarkStart w:id="4588" w:name="_Toc515794456"/>
      <w:bookmarkStart w:id="4589" w:name="_Toc515796213"/>
      <w:bookmarkStart w:id="4590" w:name="_Toc488244627"/>
      <w:bookmarkStart w:id="4591" w:name="_Toc488247747"/>
      <w:bookmarkStart w:id="4592" w:name="_Toc488248391"/>
      <w:bookmarkStart w:id="4593" w:name="_Toc488249007"/>
      <w:bookmarkStart w:id="4594" w:name="_Toc488249623"/>
      <w:bookmarkStart w:id="4595" w:name="_Toc488330111"/>
      <w:bookmarkStart w:id="4596" w:name="_Toc488386965"/>
      <w:bookmarkStart w:id="4597" w:name="_Toc488402424"/>
      <w:bookmarkStart w:id="4598" w:name="_Toc488403247"/>
      <w:bookmarkStart w:id="4599" w:name="_Toc488404076"/>
      <w:bookmarkStart w:id="4600" w:name="_Toc488404907"/>
      <w:bookmarkStart w:id="4601" w:name="_Toc488405730"/>
      <w:bookmarkStart w:id="4602" w:name="_Toc488406559"/>
      <w:bookmarkStart w:id="4603" w:name="_Toc491409790"/>
      <w:bookmarkStart w:id="4604" w:name="_Toc496018328"/>
      <w:bookmarkStart w:id="4605" w:name="_Toc515787547"/>
      <w:bookmarkStart w:id="4606" w:name="_Toc515789247"/>
      <w:bookmarkStart w:id="4607" w:name="_Toc515790096"/>
      <w:bookmarkStart w:id="4608" w:name="_Toc515790945"/>
      <w:bookmarkStart w:id="4609" w:name="_Toc515791800"/>
      <w:bookmarkStart w:id="4610" w:name="_Toc515792650"/>
      <w:bookmarkStart w:id="4611" w:name="_Toc515793552"/>
      <w:bookmarkStart w:id="4612" w:name="_Toc515794457"/>
      <w:bookmarkStart w:id="4613" w:name="_Toc515796214"/>
      <w:bookmarkStart w:id="4614" w:name="_Toc488244628"/>
      <w:bookmarkStart w:id="4615" w:name="_Toc488247748"/>
      <w:bookmarkStart w:id="4616" w:name="_Toc488248392"/>
      <w:bookmarkStart w:id="4617" w:name="_Toc488249008"/>
      <w:bookmarkStart w:id="4618" w:name="_Toc488249624"/>
      <w:bookmarkStart w:id="4619" w:name="_Toc488330112"/>
      <w:bookmarkStart w:id="4620" w:name="_Toc488386966"/>
      <w:bookmarkStart w:id="4621" w:name="_Toc488402425"/>
      <w:bookmarkStart w:id="4622" w:name="_Toc488403248"/>
      <w:bookmarkStart w:id="4623" w:name="_Toc488404077"/>
      <w:bookmarkStart w:id="4624" w:name="_Toc488404908"/>
      <w:bookmarkStart w:id="4625" w:name="_Toc488405731"/>
      <w:bookmarkStart w:id="4626" w:name="_Toc488406560"/>
      <w:bookmarkStart w:id="4627" w:name="_Toc491409791"/>
      <w:bookmarkStart w:id="4628" w:name="_Toc496018329"/>
      <w:bookmarkStart w:id="4629" w:name="_Toc515787548"/>
      <w:bookmarkStart w:id="4630" w:name="_Toc515789248"/>
      <w:bookmarkStart w:id="4631" w:name="_Toc515790097"/>
      <w:bookmarkStart w:id="4632" w:name="_Toc515790946"/>
      <w:bookmarkStart w:id="4633" w:name="_Toc515791801"/>
      <w:bookmarkStart w:id="4634" w:name="_Toc515792651"/>
      <w:bookmarkStart w:id="4635" w:name="_Toc515793553"/>
      <w:bookmarkStart w:id="4636" w:name="_Toc515794458"/>
      <w:bookmarkStart w:id="4637" w:name="_Toc515796215"/>
      <w:bookmarkStart w:id="4638" w:name="_Toc488244629"/>
      <w:bookmarkStart w:id="4639" w:name="_Toc488247749"/>
      <w:bookmarkStart w:id="4640" w:name="_Toc488248393"/>
      <w:bookmarkStart w:id="4641" w:name="_Toc488249009"/>
      <w:bookmarkStart w:id="4642" w:name="_Toc488249625"/>
      <w:bookmarkStart w:id="4643" w:name="_Toc488330113"/>
      <w:bookmarkStart w:id="4644" w:name="_Toc488386967"/>
      <w:bookmarkStart w:id="4645" w:name="_Toc488402426"/>
      <w:bookmarkStart w:id="4646" w:name="_Toc488403249"/>
      <w:bookmarkStart w:id="4647" w:name="_Toc488404078"/>
      <w:bookmarkStart w:id="4648" w:name="_Toc488404909"/>
      <w:bookmarkStart w:id="4649" w:name="_Toc488405732"/>
      <w:bookmarkStart w:id="4650" w:name="_Toc488406561"/>
      <w:bookmarkStart w:id="4651" w:name="_Toc491409792"/>
      <w:bookmarkStart w:id="4652" w:name="_Toc496018330"/>
      <w:bookmarkStart w:id="4653" w:name="_Toc515787549"/>
      <w:bookmarkStart w:id="4654" w:name="_Toc515789249"/>
      <w:bookmarkStart w:id="4655" w:name="_Toc515790098"/>
      <w:bookmarkStart w:id="4656" w:name="_Toc515790947"/>
      <w:bookmarkStart w:id="4657" w:name="_Toc515791802"/>
      <w:bookmarkStart w:id="4658" w:name="_Toc515792652"/>
      <w:bookmarkStart w:id="4659" w:name="_Toc515793554"/>
      <w:bookmarkStart w:id="4660" w:name="_Toc515794459"/>
      <w:bookmarkStart w:id="4661" w:name="_Toc515796216"/>
      <w:bookmarkStart w:id="4662" w:name="_Toc488244630"/>
      <w:bookmarkStart w:id="4663" w:name="_Toc488247750"/>
      <w:bookmarkStart w:id="4664" w:name="_Toc488248394"/>
      <w:bookmarkStart w:id="4665" w:name="_Toc488249010"/>
      <w:bookmarkStart w:id="4666" w:name="_Toc488249626"/>
      <w:bookmarkStart w:id="4667" w:name="_Toc488330114"/>
      <w:bookmarkStart w:id="4668" w:name="_Toc488386968"/>
      <w:bookmarkStart w:id="4669" w:name="_Toc488402427"/>
      <w:bookmarkStart w:id="4670" w:name="_Toc488403250"/>
      <w:bookmarkStart w:id="4671" w:name="_Toc488404079"/>
      <w:bookmarkStart w:id="4672" w:name="_Toc488404910"/>
      <w:bookmarkStart w:id="4673" w:name="_Toc488405733"/>
      <w:bookmarkStart w:id="4674" w:name="_Toc488406562"/>
      <w:bookmarkStart w:id="4675" w:name="_Toc491409793"/>
      <w:bookmarkStart w:id="4676" w:name="_Toc496018331"/>
      <w:bookmarkStart w:id="4677" w:name="_Toc515787550"/>
      <w:bookmarkStart w:id="4678" w:name="_Toc515789250"/>
      <w:bookmarkStart w:id="4679" w:name="_Toc515790099"/>
      <w:bookmarkStart w:id="4680" w:name="_Toc515790948"/>
      <w:bookmarkStart w:id="4681" w:name="_Toc515791803"/>
      <w:bookmarkStart w:id="4682" w:name="_Toc515792653"/>
      <w:bookmarkStart w:id="4683" w:name="_Toc515793555"/>
      <w:bookmarkStart w:id="4684" w:name="_Toc515794460"/>
      <w:bookmarkStart w:id="4685" w:name="_Toc515796217"/>
      <w:bookmarkStart w:id="4686" w:name="_Toc488244631"/>
      <w:bookmarkStart w:id="4687" w:name="_Toc488247751"/>
      <w:bookmarkStart w:id="4688" w:name="_Toc488248395"/>
      <w:bookmarkStart w:id="4689" w:name="_Toc488249011"/>
      <w:bookmarkStart w:id="4690" w:name="_Toc488249627"/>
      <w:bookmarkStart w:id="4691" w:name="_Toc488330115"/>
      <w:bookmarkStart w:id="4692" w:name="_Toc488386969"/>
      <w:bookmarkStart w:id="4693" w:name="_Toc488402428"/>
      <w:bookmarkStart w:id="4694" w:name="_Toc488403251"/>
      <w:bookmarkStart w:id="4695" w:name="_Toc488404080"/>
      <w:bookmarkStart w:id="4696" w:name="_Toc488404911"/>
      <w:bookmarkStart w:id="4697" w:name="_Toc488405734"/>
      <w:bookmarkStart w:id="4698" w:name="_Toc488406563"/>
      <w:bookmarkStart w:id="4699" w:name="_Toc491409794"/>
      <w:bookmarkStart w:id="4700" w:name="_Toc496018332"/>
      <w:bookmarkStart w:id="4701" w:name="_Toc515787551"/>
      <w:bookmarkStart w:id="4702" w:name="_Toc515789251"/>
      <w:bookmarkStart w:id="4703" w:name="_Toc515790100"/>
      <w:bookmarkStart w:id="4704" w:name="_Toc515790949"/>
      <w:bookmarkStart w:id="4705" w:name="_Toc515791804"/>
      <w:bookmarkStart w:id="4706" w:name="_Toc515792654"/>
      <w:bookmarkStart w:id="4707" w:name="_Toc515793556"/>
      <w:bookmarkStart w:id="4708" w:name="_Toc515794461"/>
      <w:bookmarkStart w:id="4709" w:name="_Toc515796218"/>
      <w:bookmarkStart w:id="4710" w:name="_Toc488244632"/>
      <w:bookmarkStart w:id="4711" w:name="_Toc488247752"/>
      <w:bookmarkStart w:id="4712" w:name="_Toc488248396"/>
      <w:bookmarkStart w:id="4713" w:name="_Toc488249012"/>
      <w:bookmarkStart w:id="4714" w:name="_Toc488249628"/>
      <w:bookmarkStart w:id="4715" w:name="_Toc488330116"/>
      <w:bookmarkStart w:id="4716" w:name="_Toc488386970"/>
      <w:bookmarkStart w:id="4717" w:name="_Toc488402429"/>
      <w:bookmarkStart w:id="4718" w:name="_Toc488403252"/>
      <w:bookmarkStart w:id="4719" w:name="_Toc488404081"/>
      <w:bookmarkStart w:id="4720" w:name="_Toc488404912"/>
      <w:bookmarkStart w:id="4721" w:name="_Toc488405735"/>
      <w:bookmarkStart w:id="4722" w:name="_Toc488406564"/>
      <w:bookmarkStart w:id="4723" w:name="_Toc491409795"/>
      <w:bookmarkStart w:id="4724" w:name="_Toc496018333"/>
      <w:bookmarkStart w:id="4725" w:name="_Toc515787552"/>
      <w:bookmarkStart w:id="4726" w:name="_Toc515789252"/>
      <w:bookmarkStart w:id="4727" w:name="_Toc515790101"/>
      <w:bookmarkStart w:id="4728" w:name="_Toc515790950"/>
      <w:bookmarkStart w:id="4729" w:name="_Toc515791805"/>
      <w:bookmarkStart w:id="4730" w:name="_Toc515792655"/>
      <w:bookmarkStart w:id="4731" w:name="_Toc515793557"/>
      <w:bookmarkStart w:id="4732" w:name="_Toc515794462"/>
      <w:bookmarkStart w:id="4733" w:name="_Toc515796219"/>
      <w:bookmarkStart w:id="4734" w:name="_Toc488244633"/>
      <w:bookmarkStart w:id="4735" w:name="_Toc488247753"/>
      <w:bookmarkStart w:id="4736" w:name="_Toc488248397"/>
      <w:bookmarkStart w:id="4737" w:name="_Toc488249013"/>
      <w:bookmarkStart w:id="4738" w:name="_Toc488249629"/>
      <w:bookmarkStart w:id="4739" w:name="_Toc488330117"/>
      <w:bookmarkStart w:id="4740" w:name="_Toc488386971"/>
      <w:bookmarkStart w:id="4741" w:name="_Toc488402430"/>
      <w:bookmarkStart w:id="4742" w:name="_Toc488403253"/>
      <w:bookmarkStart w:id="4743" w:name="_Toc488404082"/>
      <w:bookmarkStart w:id="4744" w:name="_Toc488404913"/>
      <w:bookmarkStart w:id="4745" w:name="_Toc488405736"/>
      <w:bookmarkStart w:id="4746" w:name="_Toc488406565"/>
      <w:bookmarkStart w:id="4747" w:name="_Toc491409796"/>
      <w:bookmarkStart w:id="4748" w:name="_Toc496018334"/>
      <w:bookmarkStart w:id="4749" w:name="_Toc515787553"/>
      <w:bookmarkStart w:id="4750" w:name="_Toc515789253"/>
      <w:bookmarkStart w:id="4751" w:name="_Toc515790102"/>
      <w:bookmarkStart w:id="4752" w:name="_Toc515790951"/>
      <w:bookmarkStart w:id="4753" w:name="_Toc515791806"/>
      <w:bookmarkStart w:id="4754" w:name="_Toc515792656"/>
      <w:bookmarkStart w:id="4755" w:name="_Toc515793558"/>
      <w:bookmarkStart w:id="4756" w:name="_Toc515794463"/>
      <w:bookmarkStart w:id="4757" w:name="_Toc515796220"/>
      <w:bookmarkStart w:id="4758" w:name="_Toc488244634"/>
      <w:bookmarkStart w:id="4759" w:name="_Toc488247754"/>
      <w:bookmarkStart w:id="4760" w:name="_Toc488248398"/>
      <w:bookmarkStart w:id="4761" w:name="_Toc488249014"/>
      <w:bookmarkStart w:id="4762" w:name="_Toc488249630"/>
      <w:bookmarkStart w:id="4763" w:name="_Toc488330118"/>
      <w:bookmarkStart w:id="4764" w:name="_Toc488386972"/>
      <w:bookmarkStart w:id="4765" w:name="_Toc488402431"/>
      <w:bookmarkStart w:id="4766" w:name="_Toc488403254"/>
      <w:bookmarkStart w:id="4767" w:name="_Toc488404083"/>
      <w:bookmarkStart w:id="4768" w:name="_Toc488404914"/>
      <w:bookmarkStart w:id="4769" w:name="_Toc488405737"/>
      <w:bookmarkStart w:id="4770" w:name="_Toc488406566"/>
      <w:bookmarkStart w:id="4771" w:name="_Toc491409797"/>
      <w:bookmarkStart w:id="4772" w:name="_Toc496018335"/>
      <w:bookmarkStart w:id="4773" w:name="_Toc515787554"/>
      <w:bookmarkStart w:id="4774" w:name="_Toc515789254"/>
      <w:bookmarkStart w:id="4775" w:name="_Toc515790103"/>
      <w:bookmarkStart w:id="4776" w:name="_Toc515790952"/>
      <w:bookmarkStart w:id="4777" w:name="_Toc515791807"/>
      <w:bookmarkStart w:id="4778" w:name="_Toc515792657"/>
      <w:bookmarkStart w:id="4779" w:name="_Toc515793559"/>
      <w:bookmarkStart w:id="4780" w:name="_Toc515794464"/>
      <w:bookmarkStart w:id="4781" w:name="_Toc515796221"/>
      <w:bookmarkStart w:id="4782" w:name="_Toc488244635"/>
      <w:bookmarkStart w:id="4783" w:name="_Toc488247755"/>
      <w:bookmarkStart w:id="4784" w:name="_Toc488248399"/>
      <w:bookmarkStart w:id="4785" w:name="_Toc488249015"/>
      <w:bookmarkStart w:id="4786" w:name="_Toc488249631"/>
      <w:bookmarkStart w:id="4787" w:name="_Toc488330119"/>
      <w:bookmarkStart w:id="4788" w:name="_Toc488386973"/>
      <w:bookmarkStart w:id="4789" w:name="_Toc488402432"/>
      <w:bookmarkStart w:id="4790" w:name="_Toc488403255"/>
      <w:bookmarkStart w:id="4791" w:name="_Toc488404084"/>
      <w:bookmarkStart w:id="4792" w:name="_Toc488404915"/>
      <w:bookmarkStart w:id="4793" w:name="_Toc488405738"/>
      <w:bookmarkStart w:id="4794" w:name="_Toc488406567"/>
      <w:bookmarkStart w:id="4795" w:name="_Toc491409798"/>
      <w:bookmarkStart w:id="4796" w:name="_Toc496018336"/>
      <w:bookmarkStart w:id="4797" w:name="_Toc515787555"/>
      <w:bookmarkStart w:id="4798" w:name="_Toc515789255"/>
      <w:bookmarkStart w:id="4799" w:name="_Toc515790104"/>
      <w:bookmarkStart w:id="4800" w:name="_Toc515790953"/>
      <w:bookmarkStart w:id="4801" w:name="_Toc515791808"/>
      <w:bookmarkStart w:id="4802" w:name="_Toc515792658"/>
      <w:bookmarkStart w:id="4803" w:name="_Toc515793560"/>
      <w:bookmarkStart w:id="4804" w:name="_Toc515794465"/>
      <w:bookmarkStart w:id="4805" w:name="_Toc515796222"/>
      <w:bookmarkStart w:id="4806" w:name="_Toc488244636"/>
      <w:bookmarkStart w:id="4807" w:name="_Toc488247756"/>
      <w:bookmarkStart w:id="4808" w:name="_Toc488248400"/>
      <w:bookmarkStart w:id="4809" w:name="_Toc488249016"/>
      <w:bookmarkStart w:id="4810" w:name="_Toc488249632"/>
      <w:bookmarkStart w:id="4811" w:name="_Toc488330120"/>
      <w:bookmarkStart w:id="4812" w:name="_Toc488386974"/>
      <w:bookmarkStart w:id="4813" w:name="_Toc488402433"/>
      <w:bookmarkStart w:id="4814" w:name="_Toc488403256"/>
      <w:bookmarkStart w:id="4815" w:name="_Toc488404085"/>
      <w:bookmarkStart w:id="4816" w:name="_Toc488404916"/>
      <w:bookmarkStart w:id="4817" w:name="_Toc488405739"/>
      <w:bookmarkStart w:id="4818" w:name="_Toc488406568"/>
      <w:bookmarkStart w:id="4819" w:name="_Toc491409799"/>
      <w:bookmarkStart w:id="4820" w:name="_Toc496018337"/>
      <w:bookmarkStart w:id="4821" w:name="_Toc515787556"/>
      <w:bookmarkStart w:id="4822" w:name="_Toc515789256"/>
      <w:bookmarkStart w:id="4823" w:name="_Toc515790105"/>
      <w:bookmarkStart w:id="4824" w:name="_Toc515790954"/>
      <w:bookmarkStart w:id="4825" w:name="_Toc515791809"/>
      <w:bookmarkStart w:id="4826" w:name="_Toc515792659"/>
      <w:bookmarkStart w:id="4827" w:name="_Toc515793561"/>
      <w:bookmarkStart w:id="4828" w:name="_Toc515794466"/>
      <w:bookmarkStart w:id="4829" w:name="_Toc515796223"/>
      <w:bookmarkStart w:id="4830" w:name="_Toc488244637"/>
      <w:bookmarkStart w:id="4831" w:name="_Toc488247757"/>
      <w:bookmarkStart w:id="4832" w:name="_Toc488248401"/>
      <w:bookmarkStart w:id="4833" w:name="_Toc488249017"/>
      <w:bookmarkStart w:id="4834" w:name="_Toc488249633"/>
      <w:bookmarkStart w:id="4835" w:name="_Toc488330121"/>
      <w:bookmarkStart w:id="4836" w:name="_Toc488386975"/>
      <w:bookmarkStart w:id="4837" w:name="_Toc488402434"/>
      <w:bookmarkStart w:id="4838" w:name="_Toc488403257"/>
      <w:bookmarkStart w:id="4839" w:name="_Toc488404086"/>
      <w:bookmarkStart w:id="4840" w:name="_Toc488404917"/>
      <w:bookmarkStart w:id="4841" w:name="_Toc488405740"/>
      <w:bookmarkStart w:id="4842" w:name="_Toc488406569"/>
      <w:bookmarkStart w:id="4843" w:name="_Toc491409800"/>
      <w:bookmarkStart w:id="4844" w:name="_Toc496018338"/>
      <w:bookmarkStart w:id="4845" w:name="_Toc515787557"/>
      <w:bookmarkStart w:id="4846" w:name="_Toc515789257"/>
      <w:bookmarkStart w:id="4847" w:name="_Toc515790106"/>
      <w:bookmarkStart w:id="4848" w:name="_Toc515790955"/>
      <w:bookmarkStart w:id="4849" w:name="_Toc515791810"/>
      <w:bookmarkStart w:id="4850" w:name="_Toc515792660"/>
      <w:bookmarkStart w:id="4851" w:name="_Toc515793562"/>
      <w:bookmarkStart w:id="4852" w:name="_Toc515794467"/>
      <w:bookmarkStart w:id="4853" w:name="_Toc515796224"/>
      <w:bookmarkStart w:id="4854" w:name="_Toc488244638"/>
      <w:bookmarkStart w:id="4855" w:name="_Toc488247758"/>
      <w:bookmarkStart w:id="4856" w:name="_Toc488248402"/>
      <w:bookmarkStart w:id="4857" w:name="_Toc488249018"/>
      <w:bookmarkStart w:id="4858" w:name="_Toc488249634"/>
      <w:bookmarkStart w:id="4859" w:name="_Toc488330122"/>
      <w:bookmarkStart w:id="4860" w:name="_Toc488386976"/>
      <w:bookmarkStart w:id="4861" w:name="_Toc488402435"/>
      <w:bookmarkStart w:id="4862" w:name="_Toc488403258"/>
      <w:bookmarkStart w:id="4863" w:name="_Toc488404087"/>
      <w:bookmarkStart w:id="4864" w:name="_Toc488404918"/>
      <w:bookmarkStart w:id="4865" w:name="_Toc488405741"/>
      <w:bookmarkStart w:id="4866" w:name="_Toc488406570"/>
      <w:bookmarkStart w:id="4867" w:name="_Toc491409801"/>
      <w:bookmarkStart w:id="4868" w:name="_Toc496018339"/>
      <w:bookmarkStart w:id="4869" w:name="_Toc515787558"/>
      <w:bookmarkStart w:id="4870" w:name="_Toc515789258"/>
      <w:bookmarkStart w:id="4871" w:name="_Toc515790107"/>
      <w:bookmarkStart w:id="4872" w:name="_Toc515790956"/>
      <w:bookmarkStart w:id="4873" w:name="_Toc515791811"/>
      <w:bookmarkStart w:id="4874" w:name="_Toc515792661"/>
      <w:bookmarkStart w:id="4875" w:name="_Toc515793563"/>
      <w:bookmarkStart w:id="4876" w:name="_Toc515794468"/>
      <w:bookmarkStart w:id="4877" w:name="_Toc515796225"/>
      <w:bookmarkStart w:id="4878" w:name="_Toc488244639"/>
      <w:bookmarkStart w:id="4879" w:name="_Toc488247759"/>
      <w:bookmarkStart w:id="4880" w:name="_Toc488248403"/>
      <w:bookmarkStart w:id="4881" w:name="_Toc488249019"/>
      <w:bookmarkStart w:id="4882" w:name="_Toc488249635"/>
      <w:bookmarkStart w:id="4883" w:name="_Toc488330123"/>
      <w:bookmarkStart w:id="4884" w:name="_Toc488386977"/>
      <w:bookmarkStart w:id="4885" w:name="_Toc488402436"/>
      <w:bookmarkStart w:id="4886" w:name="_Toc488403259"/>
      <w:bookmarkStart w:id="4887" w:name="_Toc488404088"/>
      <w:bookmarkStart w:id="4888" w:name="_Toc488404919"/>
      <w:bookmarkStart w:id="4889" w:name="_Toc488405742"/>
      <w:bookmarkStart w:id="4890" w:name="_Toc488406571"/>
      <w:bookmarkStart w:id="4891" w:name="_Toc491409802"/>
      <w:bookmarkStart w:id="4892" w:name="_Toc496018340"/>
      <w:bookmarkStart w:id="4893" w:name="_Toc515787559"/>
      <w:bookmarkStart w:id="4894" w:name="_Toc515789259"/>
      <w:bookmarkStart w:id="4895" w:name="_Toc515790108"/>
      <w:bookmarkStart w:id="4896" w:name="_Toc515790957"/>
      <w:bookmarkStart w:id="4897" w:name="_Toc515791812"/>
      <w:bookmarkStart w:id="4898" w:name="_Toc515792662"/>
      <w:bookmarkStart w:id="4899" w:name="_Toc515793564"/>
      <w:bookmarkStart w:id="4900" w:name="_Toc515794469"/>
      <w:bookmarkStart w:id="4901" w:name="_Toc515796226"/>
      <w:bookmarkStart w:id="4902" w:name="_Toc488244640"/>
      <w:bookmarkStart w:id="4903" w:name="_Toc488247760"/>
      <w:bookmarkStart w:id="4904" w:name="_Toc488248404"/>
      <w:bookmarkStart w:id="4905" w:name="_Toc488249020"/>
      <w:bookmarkStart w:id="4906" w:name="_Toc488249636"/>
      <w:bookmarkStart w:id="4907" w:name="_Toc488330124"/>
      <w:bookmarkStart w:id="4908" w:name="_Toc488386978"/>
      <w:bookmarkStart w:id="4909" w:name="_Toc488402437"/>
      <w:bookmarkStart w:id="4910" w:name="_Toc488403260"/>
      <w:bookmarkStart w:id="4911" w:name="_Toc488404089"/>
      <w:bookmarkStart w:id="4912" w:name="_Toc488404920"/>
      <w:bookmarkStart w:id="4913" w:name="_Toc488405743"/>
      <w:bookmarkStart w:id="4914" w:name="_Toc488406572"/>
      <w:bookmarkStart w:id="4915" w:name="_Toc491409803"/>
      <w:bookmarkStart w:id="4916" w:name="_Toc496018341"/>
      <w:bookmarkStart w:id="4917" w:name="_Toc515787560"/>
      <w:bookmarkStart w:id="4918" w:name="_Toc515789260"/>
      <w:bookmarkStart w:id="4919" w:name="_Toc515790109"/>
      <w:bookmarkStart w:id="4920" w:name="_Toc515790958"/>
      <w:bookmarkStart w:id="4921" w:name="_Toc515791813"/>
      <w:bookmarkStart w:id="4922" w:name="_Toc515792663"/>
      <w:bookmarkStart w:id="4923" w:name="_Toc515793565"/>
      <w:bookmarkStart w:id="4924" w:name="_Toc515794470"/>
      <w:bookmarkStart w:id="4925" w:name="_Toc515796227"/>
      <w:bookmarkStart w:id="4926" w:name="_Toc488244641"/>
      <w:bookmarkStart w:id="4927" w:name="_Toc488247761"/>
      <w:bookmarkStart w:id="4928" w:name="_Toc488248405"/>
      <w:bookmarkStart w:id="4929" w:name="_Toc488249021"/>
      <w:bookmarkStart w:id="4930" w:name="_Toc488249637"/>
      <w:bookmarkStart w:id="4931" w:name="_Toc488330125"/>
      <w:bookmarkStart w:id="4932" w:name="_Toc488386979"/>
      <w:bookmarkStart w:id="4933" w:name="_Toc488402438"/>
      <w:bookmarkStart w:id="4934" w:name="_Toc488403261"/>
      <w:bookmarkStart w:id="4935" w:name="_Toc488404090"/>
      <w:bookmarkStart w:id="4936" w:name="_Toc488404921"/>
      <w:bookmarkStart w:id="4937" w:name="_Toc488405744"/>
      <w:bookmarkStart w:id="4938" w:name="_Toc488406573"/>
      <w:bookmarkStart w:id="4939" w:name="_Toc491409804"/>
      <w:bookmarkStart w:id="4940" w:name="_Toc496018342"/>
      <w:bookmarkStart w:id="4941" w:name="_Toc515787561"/>
      <w:bookmarkStart w:id="4942" w:name="_Toc515789261"/>
      <w:bookmarkStart w:id="4943" w:name="_Toc515790110"/>
      <w:bookmarkStart w:id="4944" w:name="_Toc515790959"/>
      <w:bookmarkStart w:id="4945" w:name="_Toc515791814"/>
      <w:bookmarkStart w:id="4946" w:name="_Toc515792664"/>
      <w:bookmarkStart w:id="4947" w:name="_Toc515793566"/>
      <w:bookmarkStart w:id="4948" w:name="_Toc515794471"/>
      <w:bookmarkStart w:id="4949" w:name="_Toc515796228"/>
      <w:bookmarkStart w:id="4950" w:name="_Toc488244642"/>
      <w:bookmarkStart w:id="4951" w:name="_Toc488247762"/>
      <w:bookmarkStart w:id="4952" w:name="_Toc488248406"/>
      <w:bookmarkStart w:id="4953" w:name="_Toc488249022"/>
      <w:bookmarkStart w:id="4954" w:name="_Toc488249638"/>
      <w:bookmarkStart w:id="4955" w:name="_Toc488330126"/>
      <w:bookmarkStart w:id="4956" w:name="_Toc488386980"/>
      <w:bookmarkStart w:id="4957" w:name="_Toc488402439"/>
      <w:bookmarkStart w:id="4958" w:name="_Toc488403262"/>
      <w:bookmarkStart w:id="4959" w:name="_Toc488404091"/>
      <w:bookmarkStart w:id="4960" w:name="_Toc488404922"/>
      <w:bookmarkStart w:id="4961" w:name="_Toc488405745"/>
      <w:bookmarkStart w:id="4962" w:name="_Toc488406574"/>
      <w:bookmarkStart w:id="4963" w:name="_Toc491409805"/>
      <w:bookmarkStart w:id="4964" w:name="_Toc496018343"/>
      <w:bookmarkStart w:id="4965" w:name="_Toc515787562"/>
      <w:bookmarkStart w:id="4966" w:name="_Toc515789262"/>
      <w:bookmarkStart w:id="4967" w:name="_Toc515790111"/>
      <w:bookmarkStart w:id="4968" w:name="_Toc515790960"/>
      <w:bookmarkStart w:id="4969" w:name="_Toc515791815"/>
      <w:bookmarkStart w:id="4970" w:name="_Toc515792665"/>
      <w:bookmarkStart w:id="4971" w:name="_Toc515793567"/>
      <w:bookmarkStart w:id="4972" w:name="_Toc515794472"/>
      <w:bookmarkStart w:id="4973" w:name="_Toc515796229"/>
      <w:bookmarkStart w:id="4974" w:name="_Toc488244643"/>
      <w:bookmarkStart w:id="4975" w:name="_Toc488247763"/>
      <w:bookmarkStart w:id="4976" w:name="_Toc488248407"/>
      <w:bookmarkStart w:id="4977" w:name="_Toc488249023"/>
      <w:bookmarkStart w:id="4978" w:name="_Toc488249639"/>
      <w:bookmarkStart w:id="4979" w:name="_Toc488330127"/>
      <w:bookmarkStart w:id="4980" w:name="_Toc488386981"/>
      <w:bookmarkStart w:id="4981" w:name="_Toc488402440"/>
      <w:bookmarkStart w:id="4982" w:name="_Toc488403263"/>
      <w:bookmarkStart w:id="4983" w:name="_Toc488404092"/>
      <w:bookmarkStart w:id="4984" w:name="_Toc488404923"/>
      <w:bookmarkStart w:id="4985" w:name="_Toc488405746"/>
      <w:bookmarkStart w:id="4986" w:name="_Toc488406575"/>
      <w:bookmarkStart w:id="4987" w:name="_Toc491409806"/>
      <w:bookmarkStart w:id="4988" w:name="_Toc496018344"/>
      <w:bookmarkStart w:id="4989" w:name="_Toc515787563"/>
      <w:bookmarkStart w:id="4990" w:name="_Toc515789263"/>
      <w:bookmarkStart w:id="4991" w:name="_Toc515790112"/>
      <w:bookmarkStart w:id="4992" w:name="_Toc515790961"/>
      <w:bookmarkStart w:id="4993" w:name="_Toc515791816"/>
      <w:bookmarkStart w:id="4994" w:name="_Toc515792666"/>
      <w:bookmarkStart w:id="4995" w:name="_Toc515793568"/>
      <w:bookmarkStart w:id="4996" w:name="_Toc515794473"/>
      <w:bookmarkStart w:id="4997" w:name="_Toc515796230"/>
      <w:bookmarkStart w:id="4998" w:name="_Toc488244644"/>
      <w:bookmarkStart w:id="4999" w:name="_Toc488247764"/>
      <w:bookmarkStart w:id="5000" w:name="_Toc488248408"/>
      <w:bookmarkStart w:id="5001" w:name="_Toc488249024"/>
      <w:bookmarkStart w:id="5002" w:name="_Toc488249640"/>
      <w:bookmarkStart w:id="5003" w:name="_Toc488330128"/>
      <w:bookmarkStart w:id="5004" w:name="_Toc488386982"/>
      <w:bookmarkStart w:id="5005" w:name="_Toc488402441"/>
      <w:bookmarkStart w:id="5006" w:name="_Toc488403264"/>
      <w:bookmarkStart w:id="5007" w:name="_Toc488404093"/>
      <w:bookmarkStart w:id="5008" w:name="_Toc488404924"/>
      <w:bookmarkStart w:id="5009" w:name="_Toc488405747"/>
      <w:bookmarkStart w:id="5010" w:name="_Toc488406576"/>
      <w:bookmarkStart w:id="5011" w:name="_Toc491409807"/>
      <w:bookmarkStart w:id="5012" w:name="_Toc496018345"/>
      <w:bookmarkStart w:id="5013" w:name="_Toc515787564"/>
      <w:bookmarkStart w:id="5014" w:name="_Toc515789264"/>
      <w:bookmarkStart w:id="5015" w:name="_Toc515790113"/>
      <w:bookmarkStart w:id="5016" w:name="_Toc515790962"/>
      <w:bookmarkStart w:id="5017" w:name="_Toc515791817"/>
      <w:bookmarkStart w:id="5018" w:name="_Toc515792667"/>
      <w:bookmarkStart w:id="5019" w:name="_Toc515793569"/>
      <w:bookmarkStart w:id="5020" w:name="_Toc515794474"/>
      <w:bookmarkStart w:id="5021" w:name="_Toc515796231"/>
      <w:bookmarkStart w:id="5022" w:name="_Toc488244645"/>
      <w:bookmarkStart w:id="5023" w:name="_Toc488247765"/>
      <w:bookmarkStart w:id="5024" w:name="_Toc488248409"/>
      <w:bookmarkStart w:id="5025" w:name="_Toc488249025"/>
      <w:bookmarkStart w:id="5026" w:name="_Toc488249641"/>
      <w:bookmarkStart w:id="5027" w:name="_Toc488330129"/>
      <w:bookmarkStart w:id="5028" w:name="_Toc488386983"/>
      <w:bookmarkStart w:id="5029" w:name="_Toc488402442"/>
      <w:bookmarkStart w:id="5030" w:name="_Toc488403265"/>
      <w:bookmarkStart w:id="5031" w:name="_Toc488404094"/>
      <w:bookmarkStart w:id="5032" w:name="_Toc488404925"/>
      <w:bookmarkStart w:id="5033" w:name="_Toc488405748"/>
      <w:bookmarkStart w:id="5034" w:name="_Toc488406577"/>
      <w:bookmarkStart w:id="5035" w:name="_Toc491409808"/>
      <w:bookmarkStart w:id="5036" w:name="_Toc496018346"/>
      <w:bookmarkStart w:id="5037" w:name="_Toc515787565"/>
      <w:bookmarkStart w:id="5038" w:name="_Toc515789265"/>
      <w:bookmarkStart w:id="5039" w:name="_Toc515790114"/>
      <w:bookmarkStart w:id="5040" w:name="_Toc515790963"/>
      <w:bookmarkStart w:id="5041" w:name="_Toc515791818"/>
      <w:bookmarkStart w:id="5042" w:name="_Toc515792668"/>
      <w:bookmarkStart w:id="5043" w:name="_Toc515793570"/>
      <w:bookmarkStart w:id="5044" w:name="_Toc515794475"/>
      <w:bookmarkStart w:id="5045" w:name="_Toc515796232"/>
      <w:bookmarkStart w:id="5046" w:name="_Toc488244646"/>
      <w:bookmarkStart w:id="5047" w:name="_Toc488247766"/>
      <w:bookmarkStart w:id="5048" w:name="_Toc488248410"/>
      <w:bookmarkStart w:id="5049" w:name="_Toc488249026"/>
      <w:bookmarkStart w:id="5050" w:name="_Toc488249642"/>
      <w:bookmarkStart w:id="5051" w:name="_Toc488330130"/>
      <w:bookmarkStart w:id="5052" w:name="_Toc488386984"/>
      <w:bookmarkStart w:id="5053" w:name="_Toc488402443"/>
      <w:bookmarkStart w:id="5054" w:name="_Toc488403266"/>
      <w:bookmarkStart w:id="5055" w:name="_Toc488404095"/>
      <w:bookmarkStart w:id="5056" w:name="_Toc488404926"/>
      <w:bookmarkStart w:id="5057" w:name="_Toc488405749"/>
      <w:bookmarkStart w:id="5058" w:name="_Toc488406578"/>
      <w:bookmarkStart w:id="5059" w:name="_Toc491409809"/>
      <w:bookmarkStart w:id="5060" w:name="_Toc496018347"/>
      <w:bookmarkStart w:id="5061" w:name="_Toc515787566"/>
      <w:bookmarkStart w:id="5062" w:name="_Toc515789266"/>
      <w:bookmarkStart w:id="5063" w:name="_Toc515790115"/>
      <w:bookmarkStart w:id="5064" w:name="_Toc515790964"/>
      <w:bookmarkStart w:id="5065" w:name="_Toc515791819"/>
      <w:bookmarkStart w:id="5066" w:name="_Toc515792669"/>
      <w:bookmarkStart w:id="5067" w:name="_Toc515793571"/>
      <w:bookmarkStart w:id="5068" w:name="_Toc515794476"/>
      <w:bookmarkStart w:id="5069" w:name="_Toc515796233"/>
      <w:bookmarkStart w:id="5070" w:name="_Toc488244647"/>
      <w:bookmarkStart w:id="5071" w:name="_Toc488247767"/>
      <w:bookmarkStart w:id="5072" w:name="_Toc488248411"/>
      <w:bookmarkStart w:id="5073" w:name="_Toc488249027"/>
      <w:bookmarkStart w:id="5074" w:name="_Toc488249643"/>
      <w:bookmarkStart w:id="5075" w:name="_Toc488330131"/>
      <w:bookmarkStart w:id="5076" w:name="_Toc488386985"/>
      <w:bookmarkStart w:id="5077" w:name="_Toc488402444"/>
      <w:bookmarkStart w:id="5078" w:name="_Toc488403267"/>
      <w:bookmarkStart w:id="5079" w:name="_Toc488404096"/>
      <w:bookmarkStart w:id="5080" w:name="_Toc488404927"/>
      <w:bookmarkStart w:id="5081" w:name="_Toc488405750"/>
      <w:bookmarkStart w:id="5082" w:name="_Toc488406579"/>
      <w:bookmarkStart w:id="5083" w:name="_Toc491409810"/>
      <w:bookmarkStart w:id="5084" w:name="_Toc496018348"/>
      <w:bookmarkStart w:id="5085" w:name="_Toc515787567"/>
      <w:bookmarkStart w:id="5086" w:name="_Toc515789267"/>
      <w:bookmarkStart w:id="5087" w:name="_Toc515790116"/>
      <w:bookmarkStart w:id="5088" w:name="_Toc515790965"/>
      <w:bookmarkStart w:id="5089" w:name="_Toc515791820"/>
      <w:bookmarkStart w:id="5090" w:name="_Toc515792670"/>
      <w:bookmarkStart w:id="5091" w:name="_Toc515793572"/>
      <w:bookmarkStart w:id="5092" w:name="_Toc515794477"/>
      <w:bookmarkStart w:id="5093" w:name="_Toc515796234"/>
      <w:bookmarkStart w:id="5094" w:name="_Toc488244648"/>
      <w:bookmarkStart w:id="5095" w:name="_Toc488247768"/>
      <w:bookmarkStart w:id="5096" w:name="_Toc488248412"/>
      <w:bookmarkStart w:id="5097" w:name="_Toc488249028"/>
      <w:bookmarkStart w:id="5098" w:name="_Toc488249644"/>
      <w:bookmarkStart w:id="5099" w:name="_Toc488330132"/>
      <w:bookmarkStart w:id="5100" w:name="_Toc488386986"/>
      <w:bookmarkStart w:id="5101" w:name="_Toc488402445"/>
      <w:bookmarkStart w:id="5102" w:name="_Toc488403268"/>
      <w:bookmarkStart w:id="5103" w:name="_Toc488404097"/>
      <w:bookmarkStart w:id="5104" w:name="_Toc488404928"/>
      <w:bookmarkStart w:id="5105" w:name="_Toc488405751"/>
      <w:bookmarkStart w:id="5106" w:name="_Toc488406580"/>
      <w:bookmarkStart w:id="5107" w:name="_Toc491409811"/>
      <w:bookmarkStart w:id="5108" w:name="_Toc496018349"/>
      <w:bookmarkStart w:id="5109" w:name="_Toc515787568"/>
      <w:bookmarkStart w:id="5110" w:name="_Toc515789268"/>
      <w:bookmarkStart w:id="5111" w:name="_Toc515790117"/>
      <w:bookmarkStart w:id="5112" w:name="_Toc515790966"/>
      <w:bookmarkStart w:id="5113" w:name="_Toc515791821"/>
      <w:bookmarkStart w:id="5114" w:name="_Toc515792671"/>
      <w:bookmarkStart w:id="5115" w:name="_Toc515793573"/>
      <w:bookmarkStart w:id="5116" w:name="_Toc515794478"/>
      <w:bookmarkStart w:id="5117" w:name="_Toc515796235"/>
      <w:bookmarkStart w:id="5118" w:name="_Toc488244649"/>
      <w:bookmarkStart w:id="5119" w:name="_Toc488247769"/>
      <w:bookmarkStart w:id="5120" w:name="_Toc488248413"/>
      <w:bookmarkStart w:id="5121" w:name="_Toc488249029"/>
      <w:bookmarkStart w:id="5122" w:name="_Toc488249645"/>
      <w:bookmarkStart w:id="5123" w:name="_Toc488330133"/>
      <w:bookmarkStart w:id="5124" w:name="_Toc488386987"/>
      <w:bookmarkStart w:id="5125" w:name="_Toc488402446"/>
      <w:bookmarkStart w:id="5126" w:name="_Toc488403269"/>
      <w:bookmarkStart w:id="5127" w:name="_Toc488404098"/>
      <w:bookmarkStart w:id="5128" w:name="_Toc488404929"/>
      <w:bookmarkStart w:id="5129" w:name="_Toc488405752"/>
      <w:bookmarkStart w:id="5130" w:name="_Toc488406581"/>
      <w:bookmarkStart w:id="5131" w:name="_Toc491409812"/>
      <w:bookmarkStart w:id="5132" w:name="_Toc496018350"/>
      <w:bookmarkStart w:id="5133" w:name="_Toc515787569"/>
      <w:bookmarkStart w:id="5134" w:name="_Toc515789269"/>
      <w:bookmarkStart w:id="5135" w:name="_Toc515790118"/>
      <w:bookmarkStart w:id="5136" w:name="_Toc515790967"/>
      <w:bookmarkStart w:id="5137" w:name="_Toc515791822"/>
      <w:bookmarkStart w:id="5138" w:name="_Toc515792672"/>
      <w:bookmarkStart w:id="5139" w:name="_Toc515793574"/>
      <w:bookmarkStart w:id="5140" w:name="_Toc515794479"/>
      <w:bookmarkStart w:id="5141" w:name="_Toc515796236"/>
      <w:bookmarkStart w:id="5142" w:name="_Toc488244650"/>
      <w:bookmarkStart w:id="5143" w:name="_Toc488247770"/>
      <w:bookmarkStart w:id="5144" w:name="_Toc488248414"/>
      <w:bookmarkStart w:id="5145" w:name="_Toc488249030"/>
      <w:bookmarkStart w:id="5146" w:name="_Toc488249646"/>
      <w:bookmarkStart w:id="5147" w:name="_Toc488330134"/>
      <w:bookmarkStart w:id="5148" w:name="_Toc488386988"/>
      <w:bookmarkStart w:id="5149" w:name="_Toc488402447"/>
      <w:bookmarkStart w:id="5150" w:name="_Toc488403270"/>
      <w:bookmarkStart w:id="5151" w:name="_Toc488404099"/>
      <w:bookmarkStart w:id="5152" w:name="_Toc488404930"/>
      <w:bookmarkStart w:id="5153" w:name="_Toc488405753"/>
      <w:bookmarkStart w:id="5154" w:name="_Toc488406582"/>
      <w:bookmarkStart w:id="5155" w:name="_Toc491409813"/>
      <w:bookmarkStart w:id="5156" w:name="_Toc496018351"/>
      <w:bookmarkStart w:id="5157" w:name="_Toc515787570"/>
      <w:bookmarkStart w:id="5158" w:name="_Toc515789270"/>
      <w:bookmarkStart w:id="5159" w:name="_Toc515790119"/>
      <w:bookmarkStart w:id="5160" w:name="_Toc515790968"/>
      <w:bookmarkStart w:id="5161" w:name="_Toc515791823"/>
      <w:bookmarkStart w:id="5162" w:name="_Toc515792673"/>
      <w:bookmarkStart w:id="5163" w:name="_Toc515793575"/>
      <w:bookmarkStart w:id="5164" w:name="_Toc515794480"/>
      <w:bookmarkStart w:id="5165" w:name="_Toc515796237"/>
      <w:bookmarkStart w:id="5166" w:name="_Toc488244651"/>
      <w:bookmarkStart w:id="5167" w:name="_Toc488247771"/>
      <w:bookmarkStart w:id="5168" w:name="_Toc488248415"/>
      <w:bookmarkStart w:id="5169" w:name="_Toc488249031"/>
      <w:bookmarkStart w:id="5170" w:name="_Toc488249647"/>
      <w:bookmarkStart w:id="5171" w:name="_Toc488330135"/>
      <w:bookmarkStart w:id="5172" w:name="_Toc488386989"/>
      <w:bookmarkStart w:id="5173" w:name="_Toc488402448"/>
      <w:bookmarkStart w:id="5174" w:name="_Toc488403271"/>
      <w:bookmarkStart w:id="5175" w:name="_Toc488404100"/>
      <w:bookmarkStart w:id="5176" w:name="_Toc488404931"/>
      <w:bookmarkStart w:id="5177" w:name="_Toc488405754"/>
      <w:bookmarkStart w:id="5178" w:name="_Toc488406583"/>
      <w:bookmarkStart w:id="5179" w:name="_Toc491409814"/>
      <w:bookmarkStart w:id="5180" w:name="_Toc496018352"/>
      <w:bookmarkStart w:id="5181" w:name="_Toc515787571"/>
      <w:bookmarkStart w:id="5182" w:name="_Toc515789271"/>
      <w:bookmarkStart w:id="5183" w:name="_Toc515790120"/>
      <w:bookmarkStart w:id="5184" w:name="_Toc515790969"/>
      <w:bookmarkStart w:id="5185" w:name="_Toc515791824"/>
      <w:bookmarkStart w:id="5186" w:name="_Toc515792674"/>
      <w:bookmarkStart w:id="5187" w:name="_Toc515793576"/>
      <w:bookmarkStart w:id="5188" w:name="_Toc515794481"/>
      <w:bookmarkStart w:id="5189" w:name="_Toc515796238"/>
      <w:bookmarkStart w:id="5190" w:name="_Toc488244652"/>
      <w:bookmarkStart w:id="5191" w:name="_Toc488247772"/>
      <w:bookmarkStart w:id="5192" w:name="_Toc488248416"/>
      <w:bookmarkStart w:id="5193" w:name="_Toc488249032"/>
      <w:bookmarkStart w:id="5194" w:name="_Toc488249648"/>
      <w:bookmarkStart w:id="5195" w:name="_Toc488330136"/>
      <w:bookmarkStart w:id="5196" w:name="_Toc488386990"/>
      <w:bookmarkStart w:id="5197" w:name="_Toc488402449"/>
      <w:bookmarkStart w:id="5198" w:name="_Toc488403272"/>
      <w:bookmarkStart w:id="5199" w:name="_Toc488404101"/>
      <w:bookmarkStart w:id="5200" w:name="_Toc488404932"/>
      <w:bookmarkStart w:id="5201" w:name="_Toc488405755"/>
      <w:bookmarkStart w:id="5202" w:name="_Toc488406584"/>
      <w:bookmarkStart w:id="5203" w:name="_Toc491409815"/>
      <w:bookmarkStart w:id="5204" w:name="_Toc496018353"/>
      <w:bookmarkStart w:id="5205" w:name="_Toc515787572"/>
      <w:bookmarkStart w:id="5206" w:name="_Toc515789272"/>
      <w:bookmarkStart w:id="5207" w:name="_Toc515790121"/>
      <w:bookmarkStart w:id="5208" w:name="_Toc515790970"/>
      <w:bookmarkStart w:id="5209" w:name="_Toc515791825"/>
      <w:bookmarkStart w:id="5210" w:name="_Toc515792675"/>
      <w:bookmarkStart w:id="5211" w:name="_Toc515793577"/>
      <w:bookmarkStart w:id="5212" w:name="_Toc515794482"/>
      <w:bookmarkStart w:id="5213" w:name="_Toc515796239"/>
      <w:bookmarkStart w:id="5214" w:name="_Toc488244653"/>
      <w:bookmarkStart w:id="5215" w:name="_Toc488247773"/>
      <w:bookmarkStart w:id="5216" w:name="_Toc488248417"/>
      <w:bookmarkStart w:id="5217" w:name="_Toc488249033"/>
      <w:bookmarkStart w:id="5218" w:name="_Toc488249649"/>
      <w:bookmarkStart w:id="5219" w:name="_Toc488330137"/>
      <w:bookmarkStart w:id="5220" w:name="_Toc488386991"/>
      <w:bookmarkStart w:id="5221" w:name="_Toc488402450"/>
      <w:bookmarkStart w:id="5222" w:name="_Toc488403273"/>
      <w:bookmarkStart w:id="5223" w:name="_Toc488404102"/>
      <w:bookmarkStart w:id="5224" w:name="_Toc488404933"/>
      <w:bookmarkStart w:id="5225" w:name="_Toc488405756"/>
      <w:bookmarkStart w:id="5226" w:name="_Toc488406585"/>
      <w:bookmarkStart w:id="5227" w:name="_Toc491409816"/>
      <w:bookmarkStart w:id="5228" w:name="_Toc496018354"/>
      <w:bookmarkStart w:id="5229" w:name="_Toc515787573"/>
      <w:bookmarkStart w:id="5230" w:name="_Toc515789273"/>
      <w:bookmarkStart w:id="5231" w:name="_Toc515790122"/>
      <w:bookmarkStart w:id="5232" w:name="_Toc515790971"/>
      <w:bookmarkStart w:id="5233" w:name="_Toc515791826"/>
      <w:bookmarkStart w:id="5234" w:name="_Toc515792676"/>
      <w:bookmarkStart w:id="5235" w:name="_Toc515793578"/>
      <w:bookmarkStart w:id="5236" w:name="_Toc515794483"/>
      <w:bookmarkStart w:id="5237" w:name="_Toc515796240"/>
      <w:bookmarkStart w:id="5238" w:name="_Toc488244654"/>
      <w:bookmarkStart w:id="5239" w:name="_Toc488247774"/>
      <w:bookmarkStart w:id="5240" w:name="_Toc488248418"/>
      <w:bookmarkStart w:id="5241" w:name="_Toc488249034"/>
      <w:bookmarkStart w:id="5242" w:name="_Toc488249650"/>
      <w:bookmarkStart w:id="5243" w:name="_Toc488330138"/>
      <w:bookmarkStart w:id="5244" w:name="_Toc488386992"/>
      <w:bookmarkStart w:id="5245" w:name="_Toc488402451"/>
      <w:bookmarkStart w:id="5246" w:name="_Toc488403274"/>
      <w:bookmarkStart w:id="5247" w:name="_Toc488404103"/>
      <w:bookmarkStart w:id="5248" w:name="_Toc488404934"/>
      <w:bookmarkStart w:id="5249" w:name="_Toc488405757"/>
      <w:bookmarkStart w:id="5250" w:name="_Toc488406586"/>
      <w:bookmarkStart w:id="5251" w:name="_Toc491409817"/>
      <w:bookmarkStart w:id="5252" w:name="_Toc496018355"/>
      <w:bookmarkStart w:id="5253" w:name="_Toc515787574"/>
      <w:bookmarkStart w:id="5254" w:name="_Toc515789274"/>
      <w:bookmarkStart w:id="5255" w:name="_Toc515790123"/>
      <w:bookmarkStart w:id="5256" w:name="_Toc515790972"/>
      <w:bookmarkStart w:id="5257" w:name="_Toc515791827"/>
      <w:bookmarkStart w:id="5258" w:name="_Toc515792677"/>
      <w:bookmarkStart w:id="5259" w:name="_Toc515793579"/>
      <w:bookmarkStart w:id="5260" w:name="_Toc515794484"/>
      <w:bookmarkStart w:id="5261" w:name="_Toc515796241"/>
      <w:bookmarkStart w:id="5262" w:name="_Toc488244655"/>
      <w:bookmarkStart w:id="5263" w:name="_Toc488247775"/>
      <w:bookmarkStart w:id="5264" w:name="_Toc488248419"/>
      <w:bookmarkStart w:id="5265" w:name="_Toc488249035"/>
      <w:bookmarkStart w:id="5266" w:name="_Toc488249651"/>
      <w:bookmarkStart w:id="5267" w:name="_Toc488330139"/>
      <w:bookmarkStart w:id="5268" w:name="_Toc488386993"/>
      <w:bookmarkStart w:id="5269" w:name="_Toc488402452"/>
      <w:bookmarkStart w:id="5270" w:name="_Toc488403275"/>
      <w:bookmarkStart w:id="5271" w:name="_Toc488404104"/>
      <w:bookmarkStart w:id="5272" w:name="_Toc488404935"/>
      <w:bookmarkStart w:id="5273" w:name="_Toc488405758"/>
      <w:bookmarkStart w:id="5274" w:name="_Toc488406587"/>
      <w:bookmarkStart w:id="5275" w:name="_Toc491409818"/>
      <w:bookmarkStart w:id="5276" w:name="_Toc496018356"/>
      <w:bookmarkStart w:id="5277" w:name="_Toc515787575"/>
      <w:bookmarkStart w:id="5278" w:name="_Toc515789275"/>
      <w:bookmarkStart w:id="5279" w:name="_Toc515790124"/>
      <w:bookmarkStart w:id="5280" w:name="_Toc515790973"/>
      <w:bookmarkStart w:id="5281" w:name="_Toc515791828"/>
      <w:bookmarkStart w:id="5282" w:name="_Toc515792678"/>
      <w:bookmarkStart w:id="5283" w:name="_Toc515793580"/>
      <w:bookmarkStart w:id="5284" w:name="_Toc515794485"/>
      <w:bookmarkStart w:id="5285" w:name="_Toc515796242"/>
      <w:bookmarkStart w:id="5286" w:name="_Toc488244656"/>
      <w:bookmarkStart w:id="5287" w:name="_Toc488247776"/>
      <w:bookmarkStart w:id="5288" w:name="_Toc488248420"/>
      <w:bookmarkStart w:id="5289" w:name="_Toc488249036"/>
      <w:bookmarkStart w:id="5290" w:name="_Toc488249652"/>
      <w:bookmarkStart w:id="5291" w:name="_Toc488330140"/>
      <w:bookmarkStart w:id="5292" w:name="_Toc488386994"/>
      <w:bookmarkStart w:id="5293" w:name="_Toc488402453"/>
      <w:bookmarkStart w:id="5294" w:name="_Toc488403276"/>
      <w:bookmarkStart w:id="5295" w:name="_Toc488404105"/>
      <w:bookmarkStart w:id="5296" w:name="_Toc488404936"/>
      <w:bookmarkStart w:id="5297" w:name="_Toc488405759"/>
      <w:bookmarkStart w:id="5298" w:name="_Toc488406588"/>
      <w:bookmarkStart w:id="5299" w:name="_Toc491409819"/>
      <w:bookmarkStart w:id="5300" w:name="_Toc496018357"/>
      <w:bookmarkStart w:id="5301" w:name="_Toc515787576"/>
      <w:bookmarkStart w:id="5302" w:name="_Toc515789276"/>
      <w:bookmarkStart w:id="5303" w:name="_Toc515790125"/>
      <w:bookmarkStart w:id="5304" w:name="_Toc515790974"/>
      <w:bookmarkStart w:id="5305" w:name="_Toc515791829"/>
      <w:bookmarkStart w:id="5306" w:name="_Toc515792679"/>
      <w:bookmarkStart w:id="5307" w:name="_Toc515793581"/>
      <w:bookmarkStart w:id="5308" w:name="_Toc515794486"/>
      <w:bookmarkStart w:id="5309" w:name="_Toc515796243"/>
      <w:bookmarkStart w:id="5310" w:name="_Toc488244657"/>
      <w:bookmarkStart w:id="5311" w:name="_Toc488247777"/>
      <w:bookmarkStart w:id="5312" w:name="_Toc488248421"/>
      <w:bookmarkStart w:id="5313" w:name="_Toc488249037"/>
      <w:bookmarkStart w:id="5314" w:name="_Toc488249653"/>
      <w:bookmarkStart w:id="5315" w:name="_Toc488330141"/>
      <w:bookmarkStart w:id="5316" w:name="_Toc488386995"/>
      <w:bookmarkStart w:id="5317" w:name="_Toc488402454"/>
      <w:bookmarkStart w:id="5318" w:name="_Toc488403277"/>
      <w:bookmarkStart w:id="5319" w:name="_Toc488404106"/>
      <w:bookmarkStart w:id="5320" w:name="_Toc488404937"/>
      <w:bookmarkStart w:id="5321" w:name="_Toc488405760"/>
      <w:bookmarkStart w:id="5322" w:name="_Toc488406589"/>
      <w:bookmarkStart w:id="5323" w:name="_Toc491409820"/>
      <w:bookmarkStart w:id="5324" w:name="_Toc496018358"/>
      <w:bookmarkStart w:id="5325" w:name="_Toc515787577"/>
      <w:bookmarkStart w:id="5326" w:name="_Toc515789277"/>
      <w:bookmarkStart w:id="5327" w:name="_Toc515790126"/>
      <w:bookmarkStart w:id="5328" w:name="_Toc515790975"/>
      <w:bookmarkStart w:id="5329" w:name="_Toc515791830"/>
      <w:bookmarkStart w:id="5330" w:name="_Toc515792680"/>
      <w:bookmarkStart w:id="5331" w:name="_Toc515793582"/>
      <w:bookmarkStart w:id="5332" w:name="_Toc515794487"/>
      <w:bookmarkStart w:id="5333" w:name="_Toc515796244"/>
      <w:bookmarkStart w:id="5334" w:name="_Toc488244658"/>
      <w:bookmarkStart w:id="5335" w:name="_Toc488247778"/>
      <w:bookmarkStart w:id="5336" w:name="_Toc488248422"/>
      <w:bookmarkStart w:id="5337" w:name="_Toc488249038"/>
      <w:bookmarkStart w:id="5338" w:name="_Toc488249654"/>
      <w:bookmarkStart w:id="5339" w:name="_Toc488330142"/>
      <w:bookmarkStart w:id="5340" w:name="_Toc488386996"/>
      <w:bookmarkStart w:id="5341" w:name="_Toc488402455"/>
      <w:bookmarkStart w:id="5342" w:name="_Toc488403278"/>
      <w:bookmarkStart w:id="5343" w:name="_Toc488404107"/>
      <w:bookmarkStart w:id="5344" w:name="_Toc488404938"/>
      <w:bookmarkStart w:id="5345" w:name="_Toc488405761"/>
      <w:bookmarkStart w:id="5346" w:name="_Toc488406590"/>
      <w:bookmarkStart w:id="5347" w:name="_Toc491409821"/>
      <w:bookmarkStart w:id="5348" w:name="_Toc496018359"/>
      <w:bookmarkStart w:id="5349" w:name="_Toc515787578"/>
      <w:bookmarkStart w:id="5350" w:name="_Toc515789278"/>
      <w:bookmarkStart w:id="5351" w:name="_Toc515790127"/>
      <w:bookmarkStart w:id="5352" w:name="_Toc515790976"/>
      <w:bookmarkStart w:id="5353" w:name="_Toc515791831"/>
      <w:bookmarkStart w:id="5354" w:name="_Toc515792681"/>
      <w:bookmarkStart w:id="5355" w:name="_Toc515793583"/>
      <w:bookmarkStart w:id="5356" w:name="_Toc515794488"/>
      <w:bookmarkStart w:id="5357" w:name="_Toc515796245"/>
      <w:bookmarkStart w:id="5358" w:name="_Toc488244659"/>
      <w:bookmarkStart w:id="5359" w:name="_Toc488247779"/>
      <w:bookmarkStart w:id="5360" w:name="_Toc488248423"/>
      <w:bookmarkStart w:id="5361" w:name="_Toc488249039"/>
      <w:bookmarkStart w:id="5362" w:name="_Toc488249655"/>
      <w:bookmarkStart w:id="5363" w:name="_Toc488330143"/>
      <w:bookmarkStart w:id="5364" w:name="_Toc488386997"/>
      <w:bookmarkStart w:id="5365" w:name="_Toc488402456"/>
      <w:bookmarkStart w:id="5366" w:name="_Toc488403279"/>
      <w:bookmarkStart w:id="5367" w:name="_Toc488404108"/>
      <w:bookmarkStart w:id="5368" w:name="_Toc488404939"/>
      <w:bookmarkStart w:id="5369" w:name="_Toc488405762"/>
      <w:bookmarkStart w:id="5370" w:name="_Toc488406591"/>
      <w:bookmarkStart w:id="5371" w:name="_Toc491409822"/>
      <w:bookmarkStart w:id="5372" w:name="_Toc496018360"/>
      <w:bookmarkStart w:id="5373" w:name="_Toc515787579"/>
      <w:bookmarkStart w:id="5374" w:name="_Toc515789279"/>
      <w:bookmarkStart w:id="5375" w:name="_Toc515790128"/>
      <w:bookmarkStart w:id="5376" w:name="_Toc515790977"/>
      <w:bookmarkStart w:id="5377" w:name="_Toc515791832"/>
      <w:bookmarkStart w:id="5378" w:name="_Toc515792682"/>
      <w:bookmarkStart w:id="5379" w:name="_Toc515793584"/>
      <w:bookmarkStart w:id="5380" w:name="_Toc515794489"/>
      <w:bookmarkStart w:id="5381" w:name="_Toc515796246"/>
      <w:bookmarkStart w:id="5382" w:name="_Toc488244660"/>
      <w:bookmarkStart w:id="5383" w:name="_Toc488247780"/>
      <w:bookmarkStart w:id="5384" w:name="_Toc488248424"/>
      <w:bookmarkStart w:id="5385" w:name="_Toc488249040"/>
      <w:bookmarkStart w:id="5386" w:name="_Toc488249656"/>
      <w:bookmarkStart w:id="5387" w:name="_Toc488330144"/>
      <w:bookmarkStart w:id="5388" w:name="_Toc488386998"/>
      <w:bookmarkStart w:id="5389" w:name="_Toc488402457"/>
      <w:bookmarkStart w:id="5390" w:name="_Toc488403280"/>
      <w:bookmarkStart w:id="5391" w:name="_Toc488404109"/>
      <w:bookmarkStart w:id="5392" w:name="_Toc488404940"/>
      <w:bookmarkStart w:id="5393" w:name="_Toc488405763"/>
      <w:bookmarkStart w:id="5394" w:name="_Toc488406592"/>
      <w:bookmarkStart w:id="5395" w:name="_Toc491409823"/>
      <w:bookmarkStart w:id="5396" w:name="_Toc496018361"/>
      <w:bookmarkStart w:id="5397" w:name="_Toc515787580"/>
      <w:bookmarkStart w:id="5398" w:name="_Toc515789280"/>
      <w:bookmarkStart w:id="5399" w:name="_Toc515790129"/>
      <w:bookmarkStart w:id="5400" w:name="_Toc515790978"/>
      <w:bookmarkStart w:id="5401" w:name="_Toc515791833"/>
      <w:bookmarkStart w:id="5402" w:name="_Toc515792683"/>
      <w:bookmarkStart w:id="5403" w:name="_Toc515793585"/>
      <w:bookmarkStart w:id="5404" w:name="_Toc515794490"/>
      <w:bookmarkStart w:id="5405" w:name="_Toc515796247"/>
      <w:bookmarkStart w:id="5406" w:name="_Toc488244661"/>
      <w:bookmarkStart w:id="5407" w:name="_Toc488247781"/>
      <w:bookmarkStart w:id="5408" w:name="_Toc488248425"/>
      <w:bookmarkStart w:id="5409" w:name="_Toc488249041"/>
      <w:bookmarkStart w:id="5410" w:name="_Toc488249657"/>
      <w:bookmarkStart w:id="5411" w:name="_Toc488330145"/>
      <w:bookmarkStart w:id="5412" w:name="_Toc488386999"/>
      <w:bookmarkStart w:id="5413" w:name="_Toc488402458"/>
      <w:bookmarkStart w:id="5414" w:name="_Toc488403281"/>
      <w:bookmarkStart w:id="5415" w:name="_Toc488404110"/>
      <w:bookmarkStart w:id="5416" w:name="_Toc488404941"/>
      <w:bookmarkStart w:id="5417" w:name="_Toc488405764"/>
      <w:bookmarkStart w:id="5418" w:name="_Toc488406593"/>
      <w:bookmarkStart w:id="5419" w:name="_Toc491409824"/>
      <w:bookmarkStart w:id="5420" w:name="_Toc496018362"/>
      <w:bookmarkStart w:id="5421" w:name="_Toc515787581"/>
      <w:bookmarkStart w:id="5422" w:name="_Toc515789281"/>
      <w:bookmarkStart w:id="5423" w:name="_Toc515790130"/>
      <w:bookmarkStart w:id="5424" w:name="_Toc515790979"/>
      <w:bookmarkStart w:id="5425" w:name="_Toc515791834"/>
      <w:bookmarkStart w:id="5426" w:name="_Toc515792684"/>
      <w:bookmarkStart w:id="5427" w:name="_Toc515793586"/>
      <w:bookmarkStart w:id="5428" w:name="_Toc515794491"/>
      <w:bookmarkStart w:id="5429" w:name="_Toc515796248"/>
      <w:bookmarkStart w:id="5430" w:name="_Toc488244662"/>
      <w:bookmarkStart w:id="5431" w:name="_Toc488247782"/>
      <w:bookmarkStart w:id="5432" w:name="_Toc488248426"/>
      <w:bookmarkStart w:id="5433" w:name="_Toc488249042"/>
      <w:bookmarkStart w:id="5434" w:name="_Toc488249658"/>
      <w:bookmarkStart w:id="5435" w:name="_Toc488330146"/>
      <w:bookmarkStart w:id="5436" w:name="_Toc488387000"/>
      <w:bookmarkStart w:id="5437" w:name="_Toc488402459"/>
      <w:bookmarkStart w:id="5438" w:name="_Toc488403282"/>
      <w:bookmarkStart w:id="5439" w:name="_Toc488404111"/>
      <w:bookmarkStart w:id="5440" w:name="_Toc488404942"/>
      <w:bookmarkStart w:id="5441" w:name="_Toc488405765"/>
      <w:bookmarkStart w:id="5442" w:name="_Toc488406594"/>
      <w:bookmarkStart w:id="5443" w:name="_Toc491409825"/>
      <w:bookmarkStart w:id="5444" w:name="_Toc496018363"/>
      <w:bookmarkStart w:id="5445" w:name="_Toc515787582"/>
      <w:bookmarkStart w:id="5446" w:name="_Toc515789282"/>
      <w:bookmarkStart w:id="5447" w:name="_Toc515790131"/>
      <w:bookmarkStart w:id="5448" w:name="_Toc515790980"/>
      <w:bookmarkStart w:id="5449" w:name="_Toc515791835"/>
      <w:bookmarkStart w:id="5450" w:name="_Toc515792685"/>
      <w:bookmarkStart w:id="5451" w:name="_Toc515793587"/>
      <w:bookmarkStart w:id="5452" w:name="_Toc515794492"/>
      <w:bookmarkStart w:id="5453" w:name="_Toc515796249"/>
      <w:bookmarkStart w:id="5454" w:name="_Toc488244663"/>
      <w:bookmarkStart w:id="5455" w:name="_Toc488247783"/>
      <w:bookmarkStart w:id="5456" w:name="_Toc488248427"/>
      <w:bookmarkStart w:id="5457" w:name="_Toc488249043"/>
      <w:bookmarkStart w:id="5458" w:name="_Toc488249659"/>
      <w:bookmarkStart w:id="5459" w:name="_Toc488330147"/>
      <w:bookmarkStart w:id="5460" w:name="_Toc488387001"/>
      <w:bookmarkStart w:id="5461" w:name="_Toc488402460"/>
      <w:bookmarkStart w:id="5462" w:name="_Toc488403283"/>
      <w:bookmarkStart w:id="5463" w:name="_Toc488404112"/>
      <w:bookmarkStart w:id="5464" w:name="_Toc488404943"/>
      <w:bookmarkStart w:id="5465" w:name="_Toc488405766"/>
      <w:bookmarkStart w:id="5466" w:name="_Toc488406595"/>
      <w:bookmarkStart w:id="5467" w:name="_Toc491409826"/>
      <w:bookmarkStart w:id="5468" w:name="_Toc496018364"/>
      <w:bookmarkStart w:id="5469" w:name="_Toc515787583"/>
      <w:bookmarkStart w:id="5470" w:name="_Toc515789283"/>
      <w:bookmarkStart w:id="5471" w:name="_Toc515790132"/>
      <w:bookmarkStart w:id="5472" w:name="_Toc515790981"/>
      <w:bookmarkStart w:id="5473" w:name="_Toc515791836"/>
      <w:bookmarkStart w:id="5474" w:name="_Toc515792686"/>
      <w:bookmarkStart w:id="5475" w:name="_Toc515793588"/>
      <w:bookmarkStart w:id="5476" w:name="_Toc515794493"/>
      <w:bookmarkStart w:id="5477" w:name="_Toc515796250"/>
      <w:bookmarkStart w:id="5478" w:name="_Toc488244664"/>
      <w:bookmarkStart w:id="5479" w:name="_Toc488247784"/>
      <w:bookmarkStart w:id="5480" w:name="_Toc488248428"/>
      <w:bookmarkStart w:id="5481" w:name="_Toc488249044"/>
      <w:bookmarkStart w:id="5482" w:name="_Toc488249660"/>
      <w:bookmarkStart w:id="5483" w:name="_Toc488330148"/>
      <w:bookmarkStart w:id="5484" w:name="_Toc488387002"/>
      <w:bookmarkStart w:id="5485" w:name="_Toc488402461"/>
      <w:bookmarkStart w:id="5486" w:name="_Toc488403284"/>
      <w:bookmarkStart w:id="5487" w:name="_Toc488404113"/>
      <w:bookmarkStart w:id="5488" w:name="_Toc488404944"/>
      <w:bookmarkStart w:id="5489" w:name="_Toc488405767"/>
      <w:bookmarkStart w:id="5490" w:name="_Toc488406596"/>
      <w:bookmarkStart w:id="5491" w:name="_Toc491409827"/>
      <w:bookmarkStart w:id="5492" w:name="_Toc496018365"/>
      <w:bookmarkStart w:id="5493" w:name="_Toc515787584"/>
      <w:bookmarkStart w:id="5494" w:name="_Toc515789284"/>
      <w:bookmarkStart w:id="5495" w:name="_Toc515790133"/>
      <w:bookmarkStart w:id="5496" w:name="_Toc515790982"/>
      <w:bookmarkStart w:id="5497" w:name="_Toc515791837"/>
      <w:bookmarkStart w:id="5498" w:name="_Toc515792687"/>
      <w:bookmarkStart w:id="5499" w:name="_Toc515793589"/>
      <w:bookmarkStart w:id="5500" w:name="_Toc515794494"/>
      <w:bookmarkStart w:id="5501" w:name="_Toc515796251"/>
      <w:bookmarkStart w:id="5502" w:name="_Toc488244665"/>
      <w:bookmarkStart w:id="5503" w:name="_Toc488247785"/>
      <w:bookmarkStart w:id="5504" w:name="_Toc488248429"/>
      <w:bookmarkStart w:id="5505" w:name="_Toc488249045"/>
      <w:bookmarkStart w:id="5506" w:name="_Toc488249661"/>
      <w:bookmarkStart w:id="5507" w:name="_Toc488330149"/>
      <w:bookmarkStart w:id="5508" w:name="_Toc488387003"/>
      <w:bookmarkStart w:id="5509" w:name="_Toc488402462"/>
      <w:bookmarkStart w:id="5510" w:name="_Toc488403285"/>
      <w:bookmarkStart w:id="5511" w:name="_Toc488404114"/>
      <w:bookmarkStart w:id="5512" w:name="_Toc488404945"/>
      <w:bookmarkStart w:id="5513" w:name="_Toc488405768"/>
      <w:bookmarkStart w:id="5514" w:name="_Toc488406597"/>
      <w:bookmarkStart w:id="5515" w:name="_Toc491409828"/>
      <w:bookmarkStart w:id="5516" w:name="_Toc496018366"/>
      <w:bookmarkStart w:id="5517" w:name="_Toc515787585"/>
      <w:bookmarkStart w:id="5518" w:name="_Toc515789285"/>
      <w:bookmarkStart w:id="5519" w:name="_Toc515790134"/>
      <w:bookmarkStart w:id="5520" w:name="_Toc515790983"/>
      <w:bookmarkStart w:id="5521" w:name="_Toc515791838"/>
      <w:bookmarkStart w:id="5522" w:name="_Toc515792688"/>
      <w:bookmarkStart w:id="5523" w:name="_Toc515793590"/>
      <w:bookmarkStart w:id="5524" w:name="_Toc515794495"/>
      <w:bookmarkStart w:id="5525" w:name="_Toc515796252"/>
      <w:bookmarkStart w:id="5526" w:name="_Toc488244666"/>
      <w:bookmarkStart w:id="5527" w:name="_Toc488247786"/>
      <w:bookmarkStart w:id="5528" w:name="_Toc488248430"/>
      <w:bookmarkStart w:id="5529" w:name="_Toc488249046"/>
      <w:bookmarkStart w:id="5530" w:name="_Toc488249662"/>
      <w:bookmarkStart w:id="5531" w:name="_Toc488330150"/>
      <w:bookmarkStart w:id="5532" w:name="_Toc488387004"/>
      <w:bookmarkStart w:id="5533" w:name="_Toc488402463"/>
      <w:bookmarkStart w:id="5534" w:name="_Toc488403286"/>
      <w:bookmarkStart w:id="5535" w:name="_Toc488404115"/>
      <w:bookmarkStart w:id="5536" w:name="_Toc488404946"/>
      <w:bookmarkStart w:id="5537" w:name="_Toc488405769"/>
      <w:bookmarkStart w:id="5538" w:name="_Toc488406598"/>
      <w:bookmarkStart w:id="5539" w:name="_Toc491409829"/>
      <w:bookmarkStart w:id="5540" w:name="_Toc496018367"/>
      <w:bookmarkStart w:id="5541" w:name="_Toc515787586"/>
      <w:bookmarkStart w:id="5542" w:name="_Toc515789286"/>
      <w:bookmarkStart w:id="5543" w:name="_Toc515790135"/>
      <w:bookmarkStart w:id="5544" w:name="_Toc515790984"/>
      <w:bookmarkStart w:id="5545" w:name="_Toc515791839"/>
      <w:bookmarkStart w:id="5546" w:name="_Toc515792689"/>
      <w:bookmarkStart w:id="5547" w:name="_Toc515793591"/>
      <w:bookmarkStart w:id="5548" w:name="_Toc515794496"/>
      <w:bookmarkStart w:id="5549" w:name="_Toc515796253"/>
      <w:bookmarkStart w:id="5550" w:name="_Toc488244667"/>
      <w:bookmarkStart w:id="5551" w:name="_Toc488247787"/>
      <w:bookmarkStart w:id="5552" w:name="_Toc488248431"/>
      <w:bookmarkStart w:id="5553" w:name="_Toc488249047"/>
      <w:bookmarkStart w:id="5554" w:name="_Toc488249663"/>
      <w:bookmarkStart w:id="5555" w:name="_Toc488330151"/>
      <w:bookmarkStart w:id="5556" w:name="_Toc488387005"/>
      <w:bookmarkStart w:id="5557" w:name="_Toc488402464"/>
      <w:bookmarkStart w:id="5558" w:name="_Toc488403287"/>
      <w:bookmarkStart w:id="5559" w:name="_Toc488404116"/>
      <w:bookmarkStart w:id="5560" w:name="_Toc488404947"/>
      <w:bookmarkStart w:id="5561" w:name="_Toc488405770"/>
      <w:bookmarkStart w:id="5562" w:name="_Toc488406599"/>
      <w:bookmarkStart w:id="5563" w:name="_Toc491409830"/>
      <w:bookmarkStart w:id="5564" w:name="_Toc496018368"/>
      <w:bookmarkStart w:id="5565" w:name="_Toc515787587"/>
      <w:bookmarkStart w:id="5566" w:name="_Toc515789287"/>
      <w:bookmarkStart w:id="5567" w:name="_Toc515790136"/>
      <w:bookmarkStart w:id="5568" w:name="_Toc515790985"/>
      <w:bookmarkStart w:id="5569" w:name="_Toc515791840"/>
      <w:bookmarkStart w:id="5570" w:name="_Toc515792690"/>
      <w:bookmarkStart w:id="5571" w:name="_Toc515793592"/>
      <w:bookmarkStart w:id="5572" w:name="_Toc515794497"/>
      <w:bookmarkStart w:id="5573" w:name="_Toc515796254"/>
      <w:bookmarkStart w:id="5574" w:name="_Toc488244668"/>
      <w:bookmarkStart w:id="5575" w:name="_Toc488247788"/>
      <w:bookmarkStart w:id="5576" w:name="_Toc488248432"/>
      <w:bookmarkStart w:id="5577" w:name="_Toc488249048"/>
      <w:bookmarkStart w:id="5578" w:name="_Toc488249664"/>
      <w:bookmarkStart w:id="5579" w:name="_Toc488330152"/>
      <w:bookmarkStart w:id="5580" w:name="_Toc488387006"/>
      <w:bookmarkStart w:id="5581" w:name="_Toc488402465"/>
      <w:bookmarkStart w:id="5582" w:name="_Toc488403288"/>
      <w:bookmarkStart w:id="5583" w:name="_Toc488404117"/>
      <w:bookmarkStart w:id="5584" w:name="_Toc488404948"/>
      <w:bookmarkStart w:id="5585" w:name="_Toc488405771"/>
      <w:bookmarkStart w:id="5586" w:name="_Toc488406600"/>
      <w:bookmarkStart w:id="5587" w:name="_Toc491409831"/>
      <w:bookmarkStart w:id="5588" w:name="_Toc496018369"/>
      <w:bookmarkStart w:id="5589" w:name="_Toc515787588"/>
      <w:bookmarkStart w:id="5590" w:name="_Toc515789288"/>
      <w:bookmarkStart w:id="5591" w:name="_Toc515790137"/>
      <w:bookmarkStart w:id="5592" w:name="_Toc515790986"/>
      <w:bookmarkStart w:id="5593" w:name="_Toc515791841"/>
      <w:bookmarkStart w:id="5594" w:name="_Toc515792691"/>
      <w:bookmarkStart w:id="5595" w:name="_Toc515793593"/>
      <w:bookmarkStart w:id="5596" w:name="_Toc515794498"/>
      <w:bookmarkStart w:id="5597" w:name="_Toc515796255"/>
      <w:bookmarkStart w:id="5598" w:name="_Toc488244669"/>
      <w:bookmarkStart w:id="5599" w:name="_Toc488247789"/>
      <w:bookmarkStart w:id="5600" w:name="_Toc488248433"/>
      <w:bookmarkStart w:id="5601" w:name="_Toc488249049"/>
      <w:bookmarkStart w:id="5602" w:name="_Toc488249665"/>
      <w:bookmarkStart w:id="5603" w:name="_Toc488330153"/>
      <w:bookmarkStart w:id="5604" w:name="_Toc488387007"/>
      <w:bookmarkStart w:id="5605" w:name="_Toc488402466"/>
      <w:bookmarkStart w:id="5606" w:name="_Toc488403289"/>
      <w:bookmarkStart w:id="5607" w:name="_Toc488404118"/>
      <w:bookmarkStart w:id="5608" w:name="_Toc488404949"/>
      <w:bookmarkStart w:id="5609" w:name="_Toc488405772"/>
      <w:bookmarkStart w:id="5610" w:name="_Toc488406601"/>
      <w:bookmarkStart w:id="5611" w:name="_Toc491409832"/>
      <w:bookmarkStart w:id="5612" w:name="_Toc496018370"/>
      <w:bookmarkStart w:id="5613" w:name="_Toc515787589"/>
      <w:bookmarkStart w:id="5614" w:name="_Toc515789289"/>
      <w:bookmarkStart w:id="5615" w:name="_Toc515790138"/>
      <w:bookmarkStart w:id="5616" w:name="_Toc515790987"/>
      <w:bookmarkStart w:id="5617" w:name="_Toc515791842"/>
      <w:bookmarkStart w:id="5618" w:name="_Toc515792692"/>
      <w:bookmarkStart w:id="5619" w:name="_Toc515793594"/>
      <w:bookmarkStart w:id="5620" w:name="_Toc515794499"/>
      <w:bookmarkStart w:id="5621" w:name="_Toc515796256"/>
      <w:bookmarkStart w:id="5622" w:name="_Toc488244670"/>
      <w:bookmarkStart w:id="5623" w:name="_Toc488247790"/>
      <w:bookmarkStart w:id="5624" w:name="_Toc488248434"/>
      <w:bookmarkStart w:id="5625" w:name="_Toc488249050"/>
      <w:bookmarkStart w:id="5626" w:name="_Toc488249666"/>
      <w:bookmarkStart w:id="5627" w:name="_Toc488330154"/>
      <w:bookmarkStart w:id="5628" w:name="_Toc488387008"/>
      <w:bookmarkStart w:id="5629" w:name="_Toc488402467"/>
      <w:bookmarkStart w:id="5630" w:name="_Toc488403290"/>
      <w:bookmarkStart w:id="5631" w:name="_Toc488404119"/>
      <w:bookmarkStart w:id="5632" w:name="_Toc488404950"/>
      <w:bookmarkStart w:id="5633" w:name="_Toc488405773"/>
      <w:bookmarkStart w:id="5634" w:name="_Toc488406602"/>
      <w:bookmarkStart w:id="5635" w:name="_Toc491409833"/>
      <w:bookmarkStart w:id="5636" w:name="_Toc496018371"/>
      <w:bookmarkStart w:id="5637" w:name="_Toc515787590"/>
      <w:bookmarkStart w:id="5638" w:name="_Toc515789290"/>
      <w:bookmarkStart w:id="5639" w:name="_Toc515790139"/>
      <w:bookmarkStart w:id="5640" w:name="_Toc515790988"/>
      <w:bookmarkStart w:id="5641" w:name="_Toc515791843"/>
      <w:bookmarkStart w:id="5642" w:name="_Toc515792693"/>
      <w:bookmarkStart w:id="5643" w:name="_Toc515793595"/>
      <w:bookmarkStart w:id="5644" w:name="_Toc515794500"/>
      <w:bookmarkStart w:id="5645" w:name="_Toc515796257"/>
      <w:bookmarkStart w:id="5646" w:name="_Toc488244671"/>
      <w:bookmarkStart w:id="5647" w:name="_Toc488247791"/>
      <w:bookmarkStart w:id="5648" w:name="_Toc488248435"/>
      <w:bookmarkStart w:id="5649" w:name="_Toc488249051"/>
      <w:bookmarkStart w:id="5650" w:name="_Toc488249667"/>
      <w:bookmarkStart w:id="5651" w:name="_Toc488330155"/>
      <w:bookmarkStart w:id="5652" w:name="_Toc488387009"/>
      <w:bookmarkStart w:id="5653" w:name="_Toc488402468"/>
      <w:bookmarkStart w:id="5654" w:name="_Toc488403291"/>
      <w:bookmarkStart w:id="5655" w:name="_Toc488404120"/>
      <w:bookmarkStart w:id="5656" w:name="_Toc488404951"/>
      <w:bookmarkStart w:id="5657" w:name="_Toc488405774"/>
      <w:bookmarkStart w:id="5658" w:name="_Toc488406603"/>
      <w:bookmarkStart w:id="5659" w:name="_Toc491409834"/>
      <w:bookmarkStart w:id="5660" w:name="_Toc496018372"/>
      <w:bookmarkStart w:id="5661" w:name="_Toc515787591"/>
      <w:bookmarkStart w:id="5662" w:name="_Toc515789291"/>
      <w:bookmarkStart w:id="5663" w:name="_Toc515790140"/>
      <w:bookmarkStart w:id="5664" w:name="_Toc515790989"/>
      <w:bookmarkStart w:id="5665" w:name="_Toc515791844"/>
      <w:bookmarkStart w:id="5666" w:name="_Toc515792694"/>
      <w:bookmarkStart w:id="5667" w:name="_Toc515793596"/>
      <w:bookmarkStart w:id="5668" w:name="_Toc515794501"/>
      <w:bookmarkStart w:id="5669" w:name="_Toc515796258"/>
      <w:bookmarkStart w:id="5670" w:name="_Toc488244672"/>
      <w:bookmarkStart w:id="5671" w:name="_Toc488247792"/>
      <w:bookmarkStart w:id="5672" w:name="_Toc488248436"/>
      <w:bookmarkStart w:id="5673" w:name="_Toc488249052"/>
      <w:bookmarkStart w:id="5674" w:name="_Toc488249668"/>
      <w:bookmarkStart w:id="5675" w:name="_Toc488330156"/>
      <w:bookmarkStart w:id="5676" w:name="_Toc488387010"/>
      <w:bookmarkStart w:id="5677" w:name="_Toc488402469"/>
      <w:bookmarkStart w:id="5678" w:name="_Toc488403292"/>
      <w:bookmarkStart w:id="5679" w:name="_Toc488404121"/>
      <w:bookmarkStart w:id="5680" w:name="_Toc488404952"/>
      <w:bookmarkStart w:id="5681" w:name="_Toc488405775"/>
      <w:bookmarkStart w:id="5682" w:name="_Toc488406604"/>
      <w:bookmarkStart w:id="5683" w:name="_Toc491409835"/>
      <w:bookmarkStart w:id="5684" w:name="_Toc496018373"/>
      <w:bookmarkStart w:id="5685" w:name="_Toc515787592"/>
      <w:bookmarkStart w:id="5686" w:name="_Toc515789292"/>
      <w:bookmarkStart w:id="5687" w:name="_Toc515790141"/>
      <w:bookmarkStart w:id="5688" w:name="_Toc515790990"/>
      <w:bookmarkStart w:id="5689" w:name="_Toc515791845"/>
      <w:bookmarkStart w:id="5690" w:name="_Toc515792695"/>
      <w:bookmarkStart w:id="5691" w:name="_Toc515793597"/>
      <w:bookmarkStart w:id="5692" w:name="_Toc515794502"/>
      <w:bookmarkStart w:id="5693" w:name="_Toc515796259"/>
      <w:bookmarkStart w:id="5694" w:name="_Toc488244673"/>
      <w:bookmarkStart w:id="5695" w:name="_Toc488247793"/>
      <w:bookmarkStart w:id="5696" w:name="_Toc488248437"/>
      <w:bookmarkStart w:id="5697" w:name="_Toc488249053"/>
      <w:bookmarkStart w:id="5698" w:name="_Toc488249669"/>
      <w:bookmarkStart w:id="5699" w:name="_Toc488330157"/>
      <w:bookmarkStart w:id="5700" w:name="_Toc488387011"/>
      <w:bookmarkStart w:id="5701" w:name="_Toc488402470"/>
      <w:bookmarkStart w:id="5702" w:name="_Toc488403293"/>
      <w:bookmarkStart w:id="5703" w:name="_Toc488404122"/>
      <w:bookmarkStart w:id="5704" w:name="_Toc488404953"/>
      <w:bookmarkStart w:id="5705" w:name="_Toc488405776"/>
      <w:bookmarkStart w:id="5706" w:name="_Toc488406605"/>
      <w:bookmarkStart w:id="5707" w:name="_Toc491409836"/>
      <w:bookmarkStart w:id="5708" w:name="_Toc496018374"/>
      <w:bookmarkStart w:id="5709" w:name="_Toc515787593"/>
      <w:bookmarkStart w:id="5710" w:name="_Toc515789293"/>
      <w:bookmarkStart w:id="5711" w:name="_Toc515790142"/>
      <w:bookmarkStart w:id="5712" w:name="_Toc515790991"/>
      <w:bookmarkStart w:id="5713" w:name="_Toc515791846"/>
      <w:bookmarkStart w:id="5714" w:name="_Toc515792696"/>
      <w:bookmarkStart w:id="5715" w:name="_Toc515793598"/>
      <w:bookmarkStart w:id="5716" w:name="_Toc515794503"/>
      <w:bookmarkStart w:id="5717" w:name="_Toc515796260"/>
      <w:bookmarkStart w:id="5718" w:name="_Toc488244674"/>
      <w:bookmarkStart w:id="5719" w:name="_Toc488247794"/>
      <w:bookmarkStart w:id="5720" w:name="_Toc488248438"/>
      <w:bookmarkStart w:id="5721" w:name="_Toc488249054"/>
      <w:bookmarkStart w:id="5722" w:name="_Toc488249670"/>
      <w:bookmarkStart w:id="5723" w:name="_Toc488330158"/>
      <w:bookmarkStart w:id="5724" w:name="_Toc488387012"/>
      <w:bookmarkStart w:id="5725" w:name="_Toc488402471"/>
      <w:bookmarkStart w:id="5726" w:name="_Toc488403294"/>
      <w:bookmarkStart w:id="5727" w:name="_Toc488404123"/>
      <w:bookmarkStart w:id="5728" w:name="_Toc488404954"/>
      <w:bookmarkStart w:id="5729" w:name="_Toc488405777"/>
      <w:bookmarkStart w:id="5730" w:name="_Toc488406606"/>
      <w:bookmarkStart w:id="5731" w:name="_Toc491409837"/>
      <w:bookmarkStart w:id="5732" w:name="_Toc496018375"/>
      <w:bookmarkStart w:id="5733" w:name="_Toc515787594"/>
      <w:bookmarkStart w:id="5734" w:name="_Toc515789294"/>
      <w:bookmarkStart w:id="5735" w:name="_Toc515790143"/>
      <w:bookmarkStart w:id="5736" w:name="_Toc515790992"/>
      <w:bookmarkStart w:id="5737" w:name="_Toc515791847"/>
      <w:bookmarkStart w:id="5738" w:name="_Toc515792697"/>
      <w:bookmarkStart w:id="5739" w:name="_Toc515793599"/>
      <w:bookmarkStart w:id="5740" w:name="_Toc515794504"/>
      <w:bookmarkStart w:id="5741" w:name="_Toc515796261"/>
      <w:bookmarkStart w:id="5742" w:name="_Toc488244675"/>
      <w:bookmarkStart w:id="5743" w:name="_Toc488247795"/>
      <w:bookmarkStart w:id="5744" w:name="_Toc488248439"/>
      <w:bookmarkStart w:id="5745" w:name="_Toc488249055"/>
      <w:bookmarkStart w:id="5746" w:name="_Toc488249671"/>
      <w:bookmarkStart w:id="5747" w:name="_Toc488330159"/>
      <w:bookmarkStart w:id="5748" w:name="_Toc488387013"/>
      <w:bookmarkStart w:id="5749" w:name="_Toc488402472"/>
      <w:bookmarkStart w:id="5750" w:name="_Toc488403295"/>
      <w:bookmarkStart w:id="5751" w:name="_Toc488404124"/>
      <w:bookmarkStart w:id="5752" w:name="_Toc488404955"/>
      <w:bookmarkStart w:id="5753" w:name="_Toc488405778"/>
      <w:bookmarkStart w:id="5754" w:name="_Toc488406607"/>
      <w:bookmarkStart w:id="5755" w:name="_Toc491409838"/>
      <w:bookmarkStart w:id="5756" w:name="_Toc496018376"/>
      <w:bookmarkStart w:id="5757" w:name="_Toc515787595"/>
      <w:bookmarkStart w:id="5758" w:name="_Toc515789295"/>
      <w:bookmarkStart w:id="5759" w:name="_Toc515790144"/>
      <w:bookmarkStart w:id="5760" w:name="_Toc515790993"/>
      <w:bookmarkStart w:id="5761" w:name="_Toc515791848"/>
      <w:bookmarkStart w:id="5762" w:name="_Toc515792698"/>
      <w:bookmarkStart w:id="5763" w:name="_Toc515793600"/>
      <w:bookmarkStart w:id="5764" w:name="_Toc515794505"/>
      <w:bookmarkStart w:id="5765" w:name="_Toc515796262"/>
      <w:bookmarkStart w:id="5766" w:name="_Toc488244676"/>
      <w:bookmarkStart w:id="5767" w:name="_Toc488247796"/>
      <w:bookmarkStart w:id="5768" w:name="_Toc488248440"/>
      <w:bookmarkStart w:id="5769" w:name="_Toc488249056"/>
      <w:bookmarkStart w:id="5770" w:name="_Toc488249672"/>
      <w:bookmarkStart w:id="5771" w:name="_Toc488330160"/>
      <w:bookmarkStart w:id="5772" w:name="_Toc488387014"/>
      <w:bookmarkStart w:id="5773" w:name="_Toc488402473"/>
      <w:bookmarkStart w:id="5774" w:name="_Toc488403296"/>
      <w:bookmarkStart w:id="5775" w:name="_Toc488404125"/>
      <w:bookmarkStart w:id="5776" w:name="_Toc488404956"/>
      <w:bookmarkStart w:id="5777" w:name="_Toc488405779"/>
      <w:bookmarkStart w:id="5778" w:name="_Toc488406608"/>
      <w:bookmarkStart w:id="5779" w:name="_Toc491409839"/>
      <w:bookmarkStart w:id="5780" w:name="_Toc496018377"/>
      <w:bookmarkStart w:id="5781" w:name="_Toc515787596"/>
      <w:bookmarkStart w:id="5782" w:name="_Toc515789296"/>
      <w:bookmarkStart w:id="5783" w:name="_Toc515790145"/>
      <w:bookmarkStart w:id="5784" w:name="_Toc515790994"/>
      <w:bookmarkStart w:id="5785" w:name="_Toc515791849"/>
      <w:bookmarkStart w:id="5786" w:name="_Toc515792699"/>
      <w:bookmarkStart w:id="5787" w:name="_Toc515793601"/>
      <w:bookmarkStart w:id="5788" w:name="_Toc515794506"/>
      <w:bookmarkStart w:id="5789" w:name="_Toc515796263"/>
      <w:bookmarkStart w:id="5790" w:name="_Toc488244677"/>
      <w:bookmarkStart w:id="5791" w:name="_Toc488247797"/>
      <w:bookmarkStart w:id="5792" w:name="_Toc488248441"/>
      <w:bookmarkStart w:id="5793" w:name="_Toc488249057"/>
      <w:bookmarkStart w:id="5794" w:name="_Toc488249673"/>
      <w:bookmarkStart w:id="5795" w:name="_Toc488330161"/>
      <w:bookmarkStart w:id="5796" w:name="_Toc488387015"/>
      <w:bookmarkStart w:id="5797" w:name="_Toc488402474"/>
      <w:bookmarkStart w:id="5798" w:name="_Toc488403297"/>
      <w:bookmarkStart w:id="5799" w:name="_Toc488404126"/>
      <w:bookmarkStart w:id="5800" w:name="_Toc488404957"/>
      <w:bookmarkStart w:id="5801" w:name="_Toc488405780"/>
      <w:bookmarkStart w:id="5802" w:name="_Toc488406609"/>
      <w:bookmarkStart w:id="5803" w:name="_Toc491409840"/>
      <w:bookmarkStart w:id="5804" w:name="_Toc496018378"/>
      <w:bookmarkStart w:id="5805" w:name="_Toc515787597"/>
      <w:bookmarkStart w:id="5806" w:name="_Toc515789297"/>
      <w:bookmarkStart w:id="5807" w:name="_Toc515790146"/>
      <w:bookmarkStart w:id="5808" w:name="_Toc515790995"/>
      <w:bookmarkStart w:id="5809" w:name="_Toc515791850"/>
      <w:bookmarkStart w:id="5810" w:name="_Toc515792700"/>
      <w:bookmarkStart w:id="5811" w:name="_Toc515793602"/>
      <w:bookmarkStart w:id="5812" w:name="_Toc515794507"/>
      <w:bookmarkStart w:id="5813" w:name="_Toc515796264"/>
      <w:bookmarkStart w:id="5814" w:name="_Toc488244678"/>
      <w:bookmarkStart w:id="5815" w:name="_Toc488247798"/>
      <w:bookmarkStart w:id="5816" w:name="_Toc488248442"/>
      <w:bookmarkStart w:id="5817" w:name="_Toc488249058"/>
      <w:bookmarkStart w:id="5818" w:name="_Toc488249674"/>
      <w:bookmarkStart w:id="5819" w:name="_Toc488330162"/>
      <w:bookmarkStart w:id="5820" w:name="_Toc488387016"/>
      <w:bookmarkStart w:id="5821" w:name="_Toc488402475"/>
      <w:bookmarkStart w:id="5822" w:name="_Toc488403298"/>
      <w:bookmarkStart w:id="5823" w:name="_Toc488404127"/>
      <w:bookmarkStart w:id="5824" w:name="_Toc488404958"/>
      <w:bookmarkStart w:id="5825" w:name="_Toc488405781"/>
      <w:bookmarkStart w:id="5826" w:name="_Toc488406610"/>
      <w:bookmarkStart w:id="5827" w:name="_Toc491409841"/>
      <w:bookmarkStart w:id="5828" w:name="_Toc496018379"/>
      <w:bookmarkStart w:id="5829" w:name="_Toc515787598"/>
      <w:bookmarkStart w:id="5830" w:name="_Toc515789298"/>
      <w:bookmarkStart w:id="5831" w:name="_Toc515790147"/>
      <w:bookmarkStart w:id="5832" w:name="_Toc515790996"/>
      <w:bookmarkStart w:id="5833" w:name="_Toc515791851"/>
      <w:bookmarkStart w:id="5834" w:name="_Toc515792701"/>
      <w:bookmarkStart w:id="5835" w:name="_Toc515793603"/>
      <w:bookmarkStart w:id="5836" w:name="_Toc515794508"/>
      <w:bookmarkStart w:id="5837" w:name="_Toc515796265"/>
      <w:bookmarkStart w:id="5838" w:name="_Toc488244679"/>
      <w:bookmarkStart w:id="5839" w:name="_Toc488247799"/>
      <w:bookmarkStart w:id="5840" w:name="_Toc488248443"/>
      <w:bookmarkStart w:id="5841" w:name="_Toc488249059"/>
      <w:bookmarkStart w:id="5842" w:name="_Toc488249675"/>
      <w:bookmarkStart w:id="5843" w:name="_Toc488330163"/>
      <w:bookmarkStart w:id="5844" w:name="_Toc488387017"/>
      <w:bookmarkStart w:id="5845" w:name="_Toc488402476"/>
      <w:bookmarkStart w:id="5846" w:name="_Toc488403299"/>
      <w:bookmarkStart w:id="5847" w:name="_Toc488404128"/>
      <w:bookmarkStart w:id="5848" w:name="_Toc488404959"/>
      <w:bookmarkStart w:id="5849" w:name="_Toc488405782"/>
      <w:bookmarkStart w:id="5850" w:name="_Toc488406611"/>
      <w:bookmarkStart w:id="5851" w:name="_Toc491409842"/>
      <w:bookmarkStart w:id="5852" w:name="_Toc496018380"/>
      <w:bookmarkStart w:id="5853" w:name="_Toc515787599"/>
      <w:bookmarkStart w:id="5854" w:name="_Toc515789299"/>
      <w:bookmarkStart w:id="5855" w:name="_Toc515790148"/>
      <w:bookmarkStart w:id="5856" w:name="_Toc515790997"/>
      <w:bookmarkStart w:id="5857" w:name="_Toc515791852"/>
      <w:bookmarkStart w:id="5858" w:name="_Toc515792702"/>
      <w:bookmarkStart w:id="5859" w:name="_Toc515793604"/>
      <w:bookmarkStart w:id="5860" w:name="_Toc515794509"/>
      <w:bookmarkStart w:id="5861" w:name="_Toc515796266"/>
      <w:bookmarkStart w:id="5862" w:name="_Toc488244680"/>
      <w:bookmarkStart w:id="5863" w:name="_Toc488247800"/>
      <w:bookmarkStart w:id="5864" w:name="_Toc488248444"/>
      <w:bookmarkStart w:id="5865" w:name="_Toc488249060"/>
      <w:bookmarkStart w:id="5866" w:name="_Toc488249676"/>
      <w:bookmarkStart w:id="5867" w:name="_Toc488330164"/>
      <w:bookmarkStart w:id="5868" w:name="_Toc488387018"/>
      <w:bookmarkStart w:id="5869" w:name="_Toc488402477"/>
      <w:bookmarkStart w:id="5870" w:name="_Toc488403300"/>
      <w:bookmarkStart w:id="5871" w:name="_Toc488404129"/>
      <w:bookmarkStart w:id="5872" w:name="_Toc488404960"/>
      <w:bookmarkStart w:id="5873" w:name="_Toc488405783"/>
      <w:bookmarkStart w:id="5874" w:name="_Toc488406612"/>
      <w:bookmarkStart w:id="5875" w:name="_Toc491409843"/>
      <w:bookmarkStart w:id="5876" w:name="_Toc496018381"/>
      <w:bookmarkStart w:id="5877" w:name="_Toc515787600"/>
      <w:bookmarkStart w:id="5878" w:name="_Toc515789300"/>
      <w:bookmarkStart w:id="5879" w:name="_Toc515790149"/>
      <w:bookmarkStart w:id="5880" w:name="_Toc515790998"/>
      <w:bookmarkStart w:id="5881" w:name="_Toc515791853"/>
      <w:bookmarkStart w:id="5882" w:name="_Toc515792703"/>
      <w:bookmarkStart w:id="5883" w:name="_Toc515793605"/>
      <w:bookmarkStart w:id="5884" w:name="_Toc515794510"/>
      <w:bookmarkStart w:id="5885" w:name="_Toc515796267"/>
      <w:bookmarkStart w:id="5886" w:name="_Toc488244681"/>
      <w:bookmarkStart w:id="5887" w:name="_Toc488247801"/>
      <w:bookmarkStart w:id="5888" w:name="_Toc488248445"/>
      <w:bookmarkStart w:id="5889" w:name="_Toc488249061"/>
      <w:bookmarkStart w:id="5890" w:name="_Toc488249677"/>
      <w:bookmarkStart w:id="5891" w:name="_Toc488330165"/>
      <w:bookmarkStart w:id="5892" w:name="_Toc488387019"/>
      <w:bookmarkStart w:id="5893" w:name="_Toc488402478"/>
      <w:bookmarkStart w:id="5894" w:name="_Toc488403301"/>
      <w:bookmarkStart w:id="5895" w:name="_Toc488404130"/>
      <w:bookmarkStart w:id="5896" w:name="_Toc488404961"/>
      <w:bookmarkStart w:id="5897" w:name="_Toc488405784"/>
      <w:bookmarkStart w:id="5898" w:name="_Toc488406613"/>
      <w:bookmarkStart w:id="5899" w:name="_Toc491409844"/>
      <w:bookmarkStart w:id="5900" w:name="_Toc496018382"/>
      <w:bookmarkStart w:id="5901" w:name="_Toc515787601"/>
      <w:bookmarkStart w:id="5902" w:name="_Toc515789301"/>
      <w:bookmarkStart w:id="5903" w:name="_Toc515790150"/>
      <w:bookmarkStart w:id="5904" w:name="_Toc515790999"/>
      <w:bookmarkStart w:id="5905" w:name="_Toc515791854"/>
      <w:bookmarkStart w:id="5906" w:name="_Toc515792704"/>
      <w:bookmarkStart w:id="5907" w:name="_Toc515793606"/>
      <w:bookmarkStart w:id="5908" w:name="_Toc515794511"/>
      <w:bookmarkStart w:id="5909" w:name="_Toc515796268"/>
      <w:bookmarkStart w:id="5910" w:name="_Toc488244682"/>
      <w:bookmarkStart w:id="5911" w:name="_Toc488247802"/>
      <w:bookmarkStart w:id="5912" w:name="_Toc488248446"/>
      <w:bookmarkStart w:id="5913" w:name="_Toc488249062"/>
      <w:bookmarkStart w:id="5914" w:name="_Toc488249678"/>
      <w:bookmarkStart w:id="5915" w:name="_Toc488330166"/>
      <w:bookmarkStart w:id="5916" w:name="_Toc488387020"/>
      <w:bookmarkStart w:id="5917" w:name="_Toc488402479"/>
      <w:bookmarkStart w:id="5918" w:name="_Toc488403302"/>
      <w:bookmarkStart w:id="5919" w:name="_Toc488404131"/>
      <w:bookmarkStart w:id="5920" w:name="_Toc488404962"/>
      <w:bookmarkStart w:id="5921" w:name="_Toc488405785"/>
      <w:bookmarkStart w:id="5922" w:name="_Toc488406614"/>
      <w:bookmarkStart w:id="5923" w:name="_Toc491409845"/>
      <w:bookmarkStart w:id="5924" w:name="_Toc496018383"/>
      <w:bookmarkStart w:id="5925" w:name="_Toc515787602"/>
      <w:bookmarkStart w:id="5926" w:name="_Toc515789302"/>
      <w:bookmarkStart w:id="5927" w:name="_Toc515790151"/>
      <w:bookmarkStart w:id="5928" w:name="_Toc515791000"/>
      <w:bookmarkStart w:id="5929" w:name="_Toc515791855"/>
      <w:bookmarkStart w:id="5930" w:name="_Toc515792705"/>
      <w:bookmarkStart w:id="5931" w:name="_Toc515793607"/>
      <w:bookmarkStart w:id="5932" w:name="_Toc515794512"/>
      <w:bookmarkStart w:id="5933" w:name="_Toc515796269"/>
      <w:bookmarkStart w:id="5934" w:name="_Toc488244683"/>
      <w:bookmarkStart w:id="5935" w:name="_Toc488247803"/>
      <w:bookmarkStart w:id="5936" w:name="_Toc488248447"/>
      <w:bookmarkStart w:id="5937" w:name="_Toc488249063"/>
      <w:bookmarkStart w:id="5938" w:name="_Toc488249679"/>
      <w:bookmarkStart w:id="5939" w:name="_Toc488330167"/>
      <w:bookmarkStart w:id="5940" w:name="_Toc488387021"/>
      <w:bookmarkStart w:id="5941" w:name="_Toc488402480"/>
      <w:bookmarkStart w:id="5942" w:name="_Toc488403303"/>
      <w:bookmarkStart w:id="5943" w:name="_Toc488404132"/>
      <w:bookmarkStart w:id="5944" w:name="_Toc488404963"/>
      <w:bookmarkStart w:id="5945" w:name="_Toc488405786"/>
      <w:bookmarkStart w:id="5946" w:name="_Toc488406615"/>
      <w:bookmarkStart w:id="5947" w:name="_Toc491409846"/>
      <w:bookmarkStart w:id="5948" w:name="_Toc496018384"/>
      <w:bookmarkStart w:id="5949" w:name="_Toc515787603"/>
      <w:bookmarkStart w:id="5950" w:name="_Toc515789303"/>
      <w:bookmarkStart w:id="5951" w:name="_Toc515790152"/>
      <w:bookmarkStart w:id="5952" w:name="_Toc515791001"/>
      <w:bookmarkStart w:id="5953" w:name="_Toc515791856"/>
      <w:bookmarkStart w:id="5954" w:name="_Toc515792706"/>
      <w:bookmarkStart w:id="5955" w:name="_Toc515793608"/>
      <w:bookmarkStart w:id="5956" w:name="_Toc515794513"/>
      <w:bookmarkStart w:id="5957" w:name="_Toc515796270"/>
      <w:bookmarkStart w:id="5958" w:name="_Toc488244684"/>
      <w:bookmarkStart w:id="5959" w:name="_Toc488247804"/>
      <w:bookmarkStart w:id="5960" w:name="_Toc488248448"/>
      <w:bookmarkStart w:id="5961" w:name="_Toc488249064"/>
      <w:bookmarkStart w:id="5962" w:name="_Toc488249680"/>
      <w:bookmarkStart w:id="5963" w:name="_Toc488330168"/>
      <w:bookmarkStart w:id="5964" w:name="_Toc488387022"/>
      <w:bookmarkStart w:id="5965" w:name="_Toc488402481"/>
      <w:bookmarkStart w:id="5966" w:name="_Toc488403304"/>
      <w:bookmarkStart w:id="5967" w:name="_Toc488404133"/>
      <w:bookmarkStart w:id="5968" w:name="_Toc488404964"/>
      <w:bookmarkStart w:id="5969" w:name="_Toc488405787"/>
      <w:bookmarkStart w:id="5970" w:name="_Toc488406616"/>
      <w:bookmarkStart w:id="5971" w:name="_Toc491409847"/>
      <w:bookmarkStart w:id="5972" w:name="_Toc496018385"/>
      <w:bookmarkStart w:id="5973" w:name="_Toc515787604"/>
      <w:bookmarkStart w:id="5974" w:name="_Toc515789304"/>
      <w:bookmarkStart w:id="5975" w:name="_Toc515790153"/>
      <w:bookmarkStart w:id="5976" w:name="_Toc515791002"/>
      <w:bookmarkStart w:id="5977" w:name="_Toc515791857"/>
      <w:bookmarkStart w:id="5978" w:name="_Toc515792707"/>
      <w:bookmarkStart w:id="5979" w:name="_Toc515793609"/>
      <w:bookmarkStart w:id="5980" w:name="_Toc515794514"/>
      <w:bookmarkStart w:id="5981" w:name="_Toc515796271"/>
      <w:bookmarkStart w:id="5982" w:name="_Toc488244685"/>
      <w:bookmarkStart w:id="5983" w:name="_Toc488247805"/>
      <w:bookmarkStart w:id="5984" w:name="_Toc488248449"/>
      <w:bookmarkStart w:id="5985" w:name="_Toc488249065"/>
      <w:bookmarkStart w:id="5986" w:name="_Toc488249681"/>
      <w:bookmarkStart w:id="5987" w:name="_Toc488330169"/>
      <w:bookmarkStart w:id="5988" w:name="_Toc488387023"/>
      <w:bookmarkStart w:id="5989" w:name="_Toc488402482"/>
      <w:bookmarkStart w:id="5990" w:name="_Toc488403305"/>
      <w:bookmarkStart w:id="5991" w:name="_Toc488404134"/>
      <w:bookmarkStart w:id="5992" w:name="_Toc488404965"/>
      <w:bookmarkStart w:id="5993" w:name="_Toc488405788"/>
      <w:bookmarkStart w:id="5994" w:name="_Toc488406617"/>
      <w:bookmarkStart w:id="5995" w:name="_Toc491409848"/>
      <w:bookmarkStart w:id="5996" w:name="_Toc496018386"/>
      <w:bookmarkStart w:id="5997" w:name="_Toc515787605"/>
      <w:bookmarkStart w:id="5998" w:name="_Toc515789305"/>
      <w:bookmarkStart w:id="5999" w:name="_Toc515790154"/>
      <w:bookmarkStart w:id="6000" w:name="_Toc515791003"/>
      <w:bookmarkStart w:id="6001" w:name="_Toc515791858"/>
      <w:bookmarkStart w:id="6002" w:name="_Toc515792708"/>
      <w:bookmarkStart w:id="6003" w:name="_Toc515793610"/>
      <w:bookmarkStart w:id="6004" w:name="_Toc515794515"/>
      <w:bookmarkStart w:id="6005" w:name="_Toc515796272"/>
      <w:bookmarkStart w:id="6006" w:name="_Toc488244686"/>
      <w:bookmarkStart w:id="6007" w:name="_Toc488247806"/>
      <w:bookmarkStart w:id="6008" w:name="_Toc488248450"/>
      <w:bookmarkStart w:id="6009" w:name="_Toc488249066"/>
      <w:bookmarkStart w:id="6010" w:name="_Toc488249682"/>
      <w:bookmarkStart w:id="6011" w:name="_Toc488330170"/>
      <w:bookmarkStart w:id="6012" w:name="_Toc488387024"/>
      <w:bookmarkStart w:id="6013" w:name="_Toc488402483"/>
      <w:bookmarkStart w:id="6014" w:name="_Toc488403306"/>
      <w:bookmarkStart w:id="6015" w:name="_Toc488404135"/>
      <w:bookmarkStart w:id="6016" w:name="_Toc488404966"/>
      <w:bookmarkStart w:id="6017" w:name="_Toc488405789"/>
      <w:bookmarkStart w:id="6018" w:name="_Toc488406618"/>
      <w:bookmarkStart w:id="6019" w:name="_Toc491409849"/>
      <w:bookmarkStart w:id="6020" w:name="_Toc496018387"/>
      <w:bookmarkStart w:id="6021" w:name="_Toc515787606"/>
      <w:bookmarkStart w:id="6022" w:name="_Toc515789306"/>
      <w:bookmarkStart w:id="6023" w:name="_Toc515790155"/>
      <w:bookmarkStart w:id="6024" w:name="_Toc515791004"/>
      <w:bookmarkStart w:id="6025" w:name="_Toc515791859"/>
      <w:bookmarkStart w:id="6026" w:name="_Toc515792709"/>
      <w:bookmarkStart w:id="6027" w:name="_Toc515793611"/>
      <w:bookmarkStart w:id="6028" w:name="_Toc515794516"/>
      <w:bookmarkStart w:id="6029" w:name="_Toc515796273"/>
      <w:bookmarkStart w:id="6030" w:name="_Toc488244687"/>
      <w:bookmarkStart w:id="6031" w:name="_Toc488247807"/>
      <w:bookmarkStart w:id="6032" w:name="_Toc488248451"/>
      <w:bookmarkStart w:id="6033" w:name="_Toc488249067"/>
      <w:bookmarkStart w:id="6034" w:name="_Toc488249683"/>
      <w:bookmarkStart w:id="6035" w:name="_Toc488330171"/>
      <w:bookmarkStart w:id="6036" w:name="_Toc488387025"/>
      <w:bookmarkStart w:id="6037" w:name="_Toc488402484"/>
      <w:bookmarkStart w:id="6038" w:name="_Toc488403307"/>
      <w:bookmarkStart w:id="6039" w:name="_Toc488404136"/>
      <w:bookmarkStart w:id="6040" w:name="_Toc488404967"/>
      <w:bookmarkStart w:id="6041" w:name="_Toc488405790"/>
      <w:bookmarkStart w:id="6042" w:name="_Toc488406619"/>
      <w:bookmarkStart w:id="6043" w:name="_Toc491409850"/>
      <w:bookmarkStart w:id="6044" w:name="_Toc496018388"/>
      <w:bookmarkStart w:id="6045" w:name="_Toc515787607"/>
      <w:bookmarkStart w:id="6046" w:name="_Toc515789307"/>
      <w:bookmarkStart w:id="6047" w:name="_Toc515790156"/>
      <w:bookmarkStart w:id="6048" w:name="_Toc515791005"/>
      <w:bookmarkStart w:id="6049" w:name="_Toc515791860"/>
      <w:bookmarkStart w:id="6050" w:name="_Toc515792710"/>
      <w:bookmarkStart w:id="6051" w:name="_Toc515793612"/>
      <w:bookmarkStart w:id="6052" w:name="_Toc515794517"/>
      <w:bookmarkStart w:id="6053" w:name="_Toc515796274"/>
      <w:bookmarkStart w:id="6054" w:name="_Toc488244688"/>
      <w:bookmarkStart w:id="6055" w:name="_Toc488247808"/>
      <w:bookmarkStart w:id="6056" w:name="_Toc488248452"/>
      <w:bookmarkStart w:id="6057" w:name="_Toc488249068"/>
      <w:bookmarkStart w:id="6058" w:name="_Toc488249684"/>
      <w:bookmarkStart w:id="6059" w:name="_Toc488330172"/>
      <w:bookmarkStart w:id="6060" w:name="_Toc488387026"/>
      <w:bookmarkStart w:id="6061" w:name="_Toc488402485"/>
      <w:bookmarkStart w:id="6062" w:name="_Toc488403308"/>
      <w:bookmarkStart w:id="6063" w:name="_Toc488404137"/>
      <w:bookmarkStart w:id="6064" w:name="_Toc488404968"/>
      <w:bookmarkStart w:id="6065" w:name="_Toc488405791"/>
      <w:bookmarkStart w:id="6066" w:name="_Toc488406620"/>
      <w:bookmarkStart w:id="6067" w:name="_Toc491409851"/>
      <w:bookmarkStart w:id="6068" w:name="_Toc496018389"/>
      <w:bookmarkStart w:id="6069" w:name="_Toc515787608"/>
      <w:bookmarkStart w:id="6070" w:name="_Toc515789308"/>
      <w:bookmarkStart w:id="6071" w:name="_Toc515790157"/>
      <w:bookmarkStart w:id="6072" w:name="_Toc515791006"/>
      <w:bookmarkStart w:id="6073" w:name="_Toc515791861"/>
      <w:bookmarkStart w:id="6074" w:name="_Toc515792711"/>
      <w:bookmarkStart w:id="6075" w:name="_Toc515793613"/>
      <w:bookmarkStart w:id="6076" w:name="_Toc515794518"/>
      <w:bookmarkStart w:id="6077" w:name="_Toc515796275"/>
      <w:bookmarkStart w:id="6078" w:name="_Toc488244689"/>
      <w:bookmarkStart w:id="6079" w:name="_Toc488247809"/>
      <w:bookmarkStart w:id="6080" w:name="_Toc488248453"/>
      <w:bookmarkStart w:id="6081" w:name="_Toc488249069"/>
      <w:bookmarkStart w:id="6082" w:name="_Toc488249685"/>
      <w:bookmarkStart w:id="6083" w:name="_Toc488330173"/>
      <w:bookmarkStart w:id="6084" w:name="_Toc488387027"/>
      <w:bookmarkStart w:id="6085" w:name="_Toc488402486"/>
      <w:bookmarkStart w:id="6086" w:name="_Toc488403309"/>
      <w:bookmarkStart w:id="6087" w:name="_Toc488404138"/>
      <w:bookmarkStart w:id="6088" w:name="_Toc488404969"/>
      <w:bookmarkStart w:id="6089" w:name="_Toc488405792"/>
      <w:bookmarkStart w:id="6090" w:name="_Toc488406621"/>
      <w:bookmarkStart w:id="6091" w:name="_Toc491409852"/>
      <w:bookmarkStart w:id="6092" w:name="_Toc496018390"/>
      <w:bookmarkStart w:id="6093" w:name="_Toc515787609"/>
      <w:bookmarkStart w:id="6094" w:name="_Toc515789309"/>
      <w:bookmarkStart w:id="6095" w:name="_Toc515790158"/>
      <w:bookmarkStart w:id="6096" w:name="_Toc515791007"/>
      <w:bookmarkStart w:id="6097" w:name="_Toc515791862"/>
      <w:bookmarkStart w:id="6098" w:name="_Toc515792712"/>
      <w:bookmarkStart w:id="6099" w:name="_Toc515793614"/>
      <w:bookmarkStart w:id="6100" w:name="_Toc515794519"/>
      <w:bookmarkStart w:id="6101" w:name="_Toc515796276"/>
      <w:bookmarkStart w:id="6102" w:name="_Toc488244690"/>
      <w:bookmarkStart w:id="6103" w:name="_Toc488247810"/>
      <w:bookmarkStart w:id="6104" w:name="_Toc488248454"/>
      <w:bookmarkStart w:id="6105" w:name="_Toc488249070"/>
      <w:bookmarkStart w:id="6106" w:name="_Toc488249686"/>
      <w:bookmarkStart w:id="6107" w:name="_Toc488330174"/>
      <w:bookmarkStart w:id="6108" w:name="_Toc488387028"/>
      <w:bookmarkStart w:id="6109" w:name="_Toc488402487"/>
      <w:bookmarkStart w:id="6110" w:name="_Toc488403310"/>
      <w:bookmarkStart w:id="6111" w:name="_Toc488404139"/>
      <w:bookmarkStart w:id="6112" w:name="_Toc488404970"/>
      <w:bookmarkStart w:id="6113" w:name="_Toc488405793"/>
      <w:bookmarkStart w:id="6114" w:name="_Toc488406622"/>
      <w:bookmarkStart w:id="6115" w:name="_Toc491409853"/>
      <w:bookmarkStart w:id="6116" w:name="_Toc496018391"/>
      <w:bookmarkStart w:id="6117" w:name="_Toc515787610"/>
      <w:bookmarkStart w:id="6118" w:name="_Toc515789310"/>
      <w:bookmarkStart w:id="6119" w:name="_Toc515790159"/>
      <w:bookmarkStart w:id="6120" w:name="_Toc515791008"/>
      <w:bookmarkStart w:id="6121" w:name="_Toc515791863"/>
      <w:bookmarkStart w:id="6122" w:name="_Toc515792713"/>
      <w:bookmarkStart w:id="6123" w:name="_Toc515793615"/>
      <w:bookmarkStart w:id="6124" w:name="_Toc515794520"/>
      <w:bookmarkStart w:id="6125" w:name="_Toc515796277"/>
      <w:bookmarkStart w:id="6126" w:name="_Toc488244691"/>
      <w:bookmarkStart w:id="6127" w:name="_Toc488247811"/>
      <w:bookmarkStart w:id="6128" w:name="_Toc488248455"/>
      <w:bookmarkStart w:id="6129" w:name="_Toc488249071"/>
      <w:bookmarkStart w:id="6130" w:name="_Toc488249687"/>
      <w:bookmarkStart w:id="6131" w:name="_Toc488330175"/>
      <w:bookmarkStart w:id="6132" w:name="_Toc488387029"/>
      <w:bookmarkStart w:id="6133" w:name="_Toc488402488"/>
      <w:bookmarkStart w:id="6134" w:name="_Toc488403311"/>
      <w:bookmarkStart w:id="6135" w:name="_Toc488404140"/>
      <w:bookmarkStart w:id="6136" w:name="_Toc488404971"/>
      <w:bookmarkStart w:id="6137" w:name="_Toc488405794"/>
      <w:bookmarkStart w:id="6138" w:name="_Toc488406623"/>
      <w:bookmarkStart w:id="6139" w:name="_Toc491409854"/>
      <w:bookmarkStart w:id="6140" w:name="_Toc496018392"/>
      <w:bookmarkStart w:id="6141" w:name="_Toc515787611"/>
      <w:bookmarkStart w:id="6142" w:name="_Toc515789311"/>
      <w:bookmarkStart w:id="6143" w:name="_Toc515790160"/>
      <w:bookmarkStart w:id="6144" w:name="_Toc515791009"/>
      <w:bookmarkStart w:id="6145" w:name="_Toc515791864"/>
      <w:bookmarkStart w:id="6146" w:name="_Toc515792714"/>
      <w:bookmarkStart w:id="6147" w:name="_Toc515793616"/>
      <w:bookmarkStart w:id="6148" w:name="_Toc515794521"/>
      <w:bookmarkStart w:id="6149" w:name="_Toc515796278"/>
      <w:bookmarkStart w:id="6150" w:name="_Toc488244692"/>
      <w:bookmarkStart w:id="6151" w:name="_Toc488247812"/>
      <w:bookmarkStart w:id="6152" w:name="_Toc488248456"/>
      <w:bookmarkStart w:id="6153" w:name="_Toc488249072"/>
      <w:bookmarkStart w:id="6154" w:name="_Toc488249688"/>
      <w:bookmarkStart w:id="6155" w:name="_Toc488330176"/>
      <w:bookmarkStart w:id="6156" w:name="_Toc488387030"/>
      <w:bookmarkStart w:id="6157" w:name="_Toc488402489"/>
      <w:bookmarkStart w:id="6158" w:name="_Toc488403312"/>
      <w:bookmarkStart w:id="6159" w:name="_Toc488404141"/>
      <w:bookmarkStart w:id="6160" w:name="_Toc488404972"/>
      <w:bookmarkStart w:id="6161" w:name="_Toc488405795"/>
      <w:bookmarkStart w:id="6162" w:name="_Toc488406624"/>
      <w:bookmarkStart w:id="6163" w:name="_Toc491409855"/>
      <w:bookmarkStart w:id="6164" w:name="_Toc496018393"/>
      <w:bookmarkStart w:id="6165" w:name="_Toc515787612"/>
      <w:bookmarkStart w:id="6166" w:name="_Toc515789312"/>
      <w:bookmarkStart w:id="6167" w:name="_Toc515790161"/>
      <w:bookmarkStart w:id="6168" w:name="_Toc515791010"/>
      <w:bookmarkStart w:id="6169" w:name="_Toc515791865"/>
      <w:bookmarkStart w:id="6170" w:name="_Toc515792715"/>
      <w:bookmarkStart w:id="6171" w:name="_Toc515793617"/>
      <w:bookmarkStart w:id="6172" w:name="_Toc515794522"/>
      <w:bookmarkStart w:id="6173" w:name="_Toc515796279"/>
      <w:bookmarkStart w:id="6174" w:name="_Toc488244693"/>
      <w:bookmarkStart w:id="6175" w:name="_Toc488247813"/>
      <w:bookmarkStart w:id="6176" w:name="_Toc488248457"/>
      <w:bookmarkStart w:id="6177" w:name="_Toc488249073"/>
      <w:bookmarkStart w:id="6178" w:name="_Toc488249689"/>
      <w:bookmarkStart w:id="6179" w:name="_Toc488330177"/>
      <w:bookmarkStart w:id="6180" w:name="_Toc488387031"/>
      <w:bookmarkStart w:id="6181" w:name="_Toc488402490"/>
      <w:bookmarkStart w:id="6182" w:name="_Toc488403313"/>
      <w:bookmarkStart w:id="6183" w:name="_Toc488404142"/>
      <w:bookmarkStart w:id="6184" w:name="_Toc488404973"/>
      <w:bookmarkStart w:id="6185" w:name="_Toc488405796"/>
      <w:bookmarkStart w:id="6186" w:name="_Toc488406625"/>
      <w:bookmarkStart w:id="6187" w:name="_Toc491409856"/>
      <w:bookmarkStart w:id="6188" w:name="_Toc496018394"/>
      <w:bookmarkStart w:id="6189" w:name="_Toc515787613"/>
      <w:bookmarkStart w:id="6190" w:name="_Toc515789313"/>
      <w:bookmarkStart w:id="6191" w:name="_Toc515790162"/>
      <w:bookmarkStart w:id="6192" w:name="_Toc515791011"/>
      <w:bookmarkStart w:id="6193" w:name="_Toc515791866"/>
      <w:bookmarkStart w:id="6194" w:name="_Toc515792716"/>
      <w:bookmarkStart w:id="6195" w:name="_Toc515793618"/>
      <w:bookmarkStart w:id="6196" w:name="_Toc515794523"/>
      <w:bookmarkStart w:id="6197" w:name="_Toc515796280"/>
      <w:bookmarkStart w:id="6198" w:name="_Toc488244694"/>
      <w:bookmarkStart w:id="6199" w:name="_Toc488247814"/>
      <w:bookmarkStart w:id="6200" w:name="_Toc488248458"/>
      <w:bookmarkStart w:id="6201" w:name="_Toc488249074"/>
      <w:bookmarkStart w:id="6202" w:name="_Toc488249690"/>
      <w:bookmarkStart w:id="6203" w:name="_Toc488330178"/>
      <w:bookmarkStart w:id="6204" w:name="_Toc488387032"/>
      <w:bookmarkStart w:id="6205" w:name="_Toc488402491"/>
      <w:bookmarkStart w:id="6206" w:name="_Toc488403314"/>
      <w:bookmarkStart w:id="6207" w:name="_Toc488404143"/>
      <w:bookmarkStart w:id="6208" w:name="_Toc488404974"/>
      <w:bookmarkStart w:id="6209" w:name="_Toc488405797"/>
      <w:bookmarkStart w:id="6210" w:name="_Toc488406626"/>
      <w:bookmarkStart w:id="6211" w:name="_Toc491409857"/>
      <w:bookmarkStart w:id="6212" w:name="_Toc496018395"/>
      <w:bookmarkStart w:id="6213" w:name="_Toc515787614"/>
      <w:bookmarkStart w:id="6214" w:name="_Toc515789314"/>
      <w:bookmarkStart w:id="6215" w:name="_Toc515790163"/>
      <w:bookmarkStart w:id="6216" w:name="_Toc515791012"/>
      <w:bookmarkStart w:id="6217" w:name="_Toc515791867"/>
      <w:bookmarkStart w:id="6218" w:name="_Toc515792717"/>
      <w:bookmarkStart w:id="6219" w:name="_Toc515793619"/>
      <w:bookmarkStart w:id="6220" w:name="_Toc515794524"/>
      <w:bookmarkStart w:id="6221" w:name="_Toc515796281"/>
      <w:bookmarkStart w:id="6222" w:name="_Toc488244695"/>
      <w:bookmarkStart w:id="6223" w:name="_Toc488247815"/>
      <w:bookmarkStart w:id="6224" w:name="_Toc488248459"/>
      <w:bookmarkStart w:id="6225" w:name="_Toc488249075"/>
      <w:bookmarkStart w:id="6226" w:name="_Toc488249691"/>
      <w:bookmarkStart w:id="6227" w:name="_Toc488330179"/>
      <w:bookmarkStart w:id="6228" w:name="_Toc488387033"/>
      <w:bookmarkStart w:id="6229" w:name="_Toc488402492"/>
      <w:bookmarkStart w:id="6230" w:name="_Toc488403315"/>
      <w:bookmarkStart w:id="6231" w:name="_Toc488404144"/>
      <w:bookmarkStart w:id="6232" w:name="_Toc488404975"/>
      <w:bookmarkStart w:id="6233" w:name="_Toc488405798"/>
      <w:bookmarkStart w:id="6234" w:name="_Toc488406627"/>
      <w:bookmarkStart w:id="6235" w:name="_Toc491409858"/>
      <w:bookmarkStart w:id="6236" w:name="_Toc496018396"/>
      <w:bookmarkStart w:id="6237" w:name="_Toc515787615"/>
      <w:bookmarkStart w:id="6238" w:name="_Toc515789315"/>
      <w:bookmarkStart w:id="6239" w:name="_Toc515790164"/>
      <w:bookmarkStart w:id="6240" w:name="_Toc515791013"/>
      <w:bookmarkStart w:id="6241" w:name="_Toc515791868"/>
      <w:bookmarkStart w:id="6242" w:name="_Toc515792718"/>
      <w:bookmarkStart w:id="6243" w:name="_Toc515793620"/>
      <w:bookmarkStart w:id="6244" w:name="_Toc515794525"/>
      <w:bookmarkStart w:id="6245" w:name="_Toc515796282"/>
      <w:bookmarkStart w:id="6246" w:name="_Toc488244696"/>
      <w:bookmarkStart w:id="6247" w:name="_Toc488247816"/>
      <w:bookmarkStart w:id="6248" w:name="_Toc488248460"/>
      <w:bookmarkStart w:id="6249" w:name="_Toc488249076"/>
      <w:bookmarkStart w:id="6250" w:name="_Toc488249692"/>
      <w:bookmarkStart w:id="6251" w:name="_Toc488330180"/>
      <w:bookmarkStart w:id="6252" w:name="_Toc488387034"/>
      <w:bookmarkStart w:id="6253" w:name="_Toc488402493"/>
      <w:bookmarkStart w:id="6254" w:name="_Toc488403316"/>
      <w:bookmarkStart w:id="6255" w:name="_Toc488404145"/>
      <w:bookmarkStart w:id="6256" w:name="_Toc488404976"/>
      <w:bookmarkStart w:id="6257" w:name="_Toc488405799"/>
      <w:bookmarkStart w:id="6258" w:name="_Toc488406628"/>
      <w:bookmarkStart w:id="6259" w:name="_Toc491409859"/>
      <w:bookmarkStart w:id="6260" w:name="_Toc496018397"/>
      <w:bookmarkStart w:id="6261" w:name="_Toc515787616"/>
      <w:bookmarkStart w:id="6262" w:name="_Toc515789316"/>
      <w:bookmarkStart w:id="6263" w:name="_Toc515790165"/>
      <w:bookmarkStart w:id="6264" w:name="_Toc515791014"/>
      <w:bookmarkStart w:id="6265" w:name="_Toc515791869"/>
      <w:bookmarkStart w:id="6266" w:name="_Toc515792719"/>
      <w:bookmarkStart w:id="6267" w:name="_Toc515793621"/>
      <w:bookmarkStart w:id="6268" w:name="_Toc515794526"/>
      <w:bookmarkStart w:id="6269" w:name="_Toc515796283"/>
      <w:bookmarkStart w:id="6270" w:name="_Toc488244697"/>
      <w:bookmarkStart w:id="6271" w:name="_Toc488247817"/>
      <w:bookmarkStart w:id="6272" w:name="_Toc488248461"/>
      <w:bookmarkStart w:id="6273" w:name="_Toc488249077"/>
      <w:bookmarkStart w:id="6274" w:name="_Toc488249693"/>
      <w:bookmarkStart w:id="6275" w:name="_Toc488330181"/>
      <w:bookmarkStart w:id="6276" w:name="_Toc488387035"/>
      <w:bookmarkStart w:id="6277" w:name="_Toc488402494"/>
      <w:bookmarkStart w:id="6278" w:name="_Toc488403317"/>
      <w:bookmarkStart w:id="6279" w:name="_Toc488404146"/>
      <w:bookmarkStart w:id="6280" w:name="_Toc488404977"/>
      <w:bookmarkStart w:id="6281" w:name="_Toc488405800"/>
      <w:bookmarkStart w:id="6282" w:name="_Toc488406629"/>
      <w:bookmarkStart w:id="6283" w:name="_Toc491409860"/>
      <w:bookmarkStart w:id="6284" w:name="_Toc496018398"/>
      <w:bookmarkStart w:id="6285" w:name="_Toc515787617"/>
      <w:bookmarkStart w:id="6286" w:name="_Toc515789317"/>
      <w:bookmarkStart w:id="6287" w:name="_Toc515790166"/>
      <w:bookmarkStart w:id="6288" w:name="_Toc515791015"/>
      <w:bookmarkStart w:id="6289" w:name="_Toc515791870"/>
      <w:bookmarkStart w:id="6290" w:name="_Toc515792720"/>
      <w:bookmarkStart w:id="6291" w:name="_Toc515793622"/>
      <w:bookmarkStart w:id="6292" w:name="_Toc515794527"/>
      <w:bookmarkStart w:id="6293" w:name="_Toc515796284"/>
      <w:bookmarkStart w:id="6294" w:name="_Toc488244698"/>
      <w:bookmarkStart w:id="6295" w:name="_Toc488247818"/>
      <w:bookmarkStart w:id="6296" w:name="_Toc488248462"/>
      <w:bookmarkStart w:id="6297" w:name="_Toc488249078"/>
      <w:bookmarkStart w:id="6298" w:name="_Toc488249694"/>
      <w:bookmarkStart w:id="6299" w:name="_Toc488330182"/>
      <w:bookmarkStart w:id="6300" w:name="_Toc488387036"/>
      <w:bookmarkStart w:id="6301" w:name="_Toc488402495"/>
      <w:bookmarkStart w:id="6302" w:name="_Toc488403318"/>
      <w:bookmarkStart w:id="6303" w:name="_Toc488404147"/>
      <w:bookmarkStart w:id="6304" w:name="_Toc488404978"/>
      <w:bookmarkStart w:id="6305" w:name="_Toc488405801"/>
      <w:bookmarkStart w:id="6306" w:name="_Toc488406630"/>
      <w:bookmarkStart w:id="6307" w:name="_Toc491409861"/>
      <w:bookmarkStart w:id="6308" w:name="_Toc496018399"/>
      <w:bookmarkStart w:id="6309" w:name="_Toc515787618"/>
      <w:bookmarkStart w:id="6310" w:name="_Toc515789318"/>
      <w:bookmarkStart w:id="6311" w:name="_Toc515790167"/>
      <w:bookmarkStart w:id="6312" w:name="_Toc515791016"/>
      <w:bookmarkStart w:id="6313" w:name="_Toc515791871"/>
      <w:bookmarkStart w:id="6314" w:name="_Toc515792721"/>
      <w:bookmarkStart w:id="6315" w:name="_Toc515793623"/>
      <w:bookmarkStart w:id="6316" w:name="_Toc515794528"/>
      <w:bookmarkStart w:id="6317" w:name="_Toc515796285"/>
      <w:bookmarkStart w:id="6318" w:name="_Toc488244699"/>
      <w:bookmarkStart w:id="6319" w:name="_Toc488247819"/>
      <w:bookmarkStart w:id="6320" w:name="_Toc488248463"/>
      <w:bookmarkStart w:id="6321" w:name="_Toc488249079"/>
      <w:bookmarkStart w:id="6322" w:name="_Toc488249695"/>
      <w:bookmarkStart w:id="6323" w:name="_Toc488330183"/>
      <w:bookmarkStart w:id="6324" w:name="_Toc488387037"/>
      <w:bookmarkStart w:id="6325" w:name="_Toc488402496"/>
      <w:bookmarkStart w:id="6326" w:name="_Toc488403319"/>
      <w:bookmarkStart w:id="6327" w:name="_Toc488404148"/>
      <w:bookmarkStart w:id="6328" w:name="_Toc488404979"/>
      <w:bookmarkStart w:id="6329" w:name="_Toc488405802"/>
      <w:bookmarkStart w:id="6330" w:name="_Toc488406631"/>
      <w:bookmarkStart w:id="6331" w:name="_Toc491409862"/>
      <w:bookmarkStart w:id="6332" w:name="_Toc496018400"/>
      <w:bookmarkStart w:id="6333" w:name="_Toc515787619"/>
      <w:bookmarkStart w:id="6334" w:name="_Toc515789319"/>
      <w:bookmarkStart w:id="6335" w:name="_Toc515790168"/>
      <w:bookmarkStart w:id="6336" w:name="_Toc515791017"/>
      <w:bookmarkStart w:id="6337" w:name="_Toc515791872"/>
      <w:bookmarkStart w:id="6338" w:name="_Toc515792722"/>
      <w:bookmarkStart w:id="6339" w:name="_Toc515793624"/>
      <w:bookmarkStart w:id="6340" w:name="_Toc515794529"/>
      <w:bookmarkStart w:id="6341" w:name="_Toc515796286"/>
      <w:bookmarkStart w:id="6342" w:name="_Toc488244700"/>
      <w:bookmarkStart w:id="6343" w:name="_Toc488247820"/>
      <w:bookmarkStart w:id="6344" w:name="_Toc488248464"/>
      <w:bookmarkStart w:id="6345" w:name="_Toc488249080"/>
      <w:bookmarkStart w:id="6346" w:name="_Toc488249696"/>
      <w:bookmarkStart w:id="6347" w:name="_Toc488330184"/>
      <w:bookmarkStart w:id="6348" w:name="_Toc488387038"/>
      <w:bookmarkStart w:id="6349" w:name="_Toc488402497"/>
      <w:bookmarkStart w:id="6350" w:name="_Toc488403320"/>
      <w:bookmarkStart w:id="6351" w:name="_Toc488404149"/>
      <w:bookmarkStart w:id="6352" w:name="_Toc488404980"/>
      <w:bookmarkStart w:id="6353" w:name="_Toc488405803"/>
      <w:bookmarkStart w:id="6354" w:name="_Toc488406632"/>
      <w:bookmarkStart w:id="6355" w:name="_Toc491409863"/>
      <w:bookmarkStart w:id="6356" w:name="_Toc496018401"/>
      <w:bookmarkStart w:id="6357" w:name="_Toc515787620"/>
      <w:bookmarkStart w:id="6358" w:name="_Toc515789320"/>
      <w:bookmarkStart w:id="6359" w:name="_Toc515790169"/>
      <w:bookmarkStart w:id="6360" w:name="_Toc515791018"/>
      <w:bookmarkStart w:id="6361" w:name="_Toc515791873"/>
      <w:bookmarkStart w:id="6362" w:name="_Toc515792723"/>
      <w:bookmarkStart w:id="6363" w:name="_Toc515793625"/>
      <w:bookmarkStart w:id="6364" w:name="_Toc515794530"/>
      <w:bookmarkStart w:id="6365" w:name="_Toc515796287"/>
      <w:bookmarkStart w:id="6366" w:name="_Toc488244701"/>
      <w:bookmarkStart w:id="6367" w:name="_Toc488247821"/>
      <w:bookmarkStart w:id="6368" w:name="_Toc488248465"/>
      <w:bookmarkStart w:id="6369" w:name="_Toc488249081"/>
      <w:bookmarkStart w:id="6370" w:name="_Toc488249697"/>
      <w:bookmarkStart w:id="6371" w:name="_Toc488330185"/>
      <w:bookmarkStart w:id="6372" w:name="_Toc488387039"/>
      <w:bookmarkStart w:id="6373" w:name="_Toc488402498"/>
      <w:bookmarkStart w:id="6374" w:name="_Toc488403321"/>
      <w:bookmarkStart w:id="6375" w:name="_Toc488404150"/>
      <w:bookmarkStart w:id="6376" w:name="_Toc488404981"/>
      <w:bookmarkStart w:id="6377" w:name="_Toc488405804"/>
      <w:bookmarkStart w:id="6378" w:name="_Toc488406633"/>
      <w:bookmarkStart w:id="6379" w:name="_Toc491409864"/>
      <w:bookmarkStart w:id="6380" w:name="_Toc496018402"/>
      <w:bookmarkStart w:id="6381" w:name="_Toc515787621"/>
      <w:bookmarkStart w:id="6382" w:name="_Toc515789321"/>
      <w:bookmarkStart w:id="6383" w:name="_Toc515790170"/>
      <w:bookmarkStart w:id="6384" w:name="_Toc515791019"/>
      <w:bookmarkStart w:id="6385" w:name="_Toc515791874"/>
      <w:bookmarkStart w:id="6386" w:name="_Toc515792724"/>
      <w:bookmarkStart w:id="6387" w:name="_Toc515793626"/>
      <w:bookmarkStart w:id="6388" w:name="_Toc515794531"/>
      <w:bookmarkStart w:id="6389" w:name="_Toc515796288"/>
      <w:bookmarkStart w:id="6390" w:name="_Toc488244702"/>
      <w:bookmarkStart w:id="6391" w:name="_Toc488247822"/>
      <w:bookmarkStart w:id="6392" w:name="_Toc488248466"/>
      <w:bookmarkStart w:id="6393" w:name="_Toc488249082"/>
      <w:bookmarkStart w:id="6394" w:name="_Toc488249698"/>
      <w:bookmarkStart w:id="6395" w:name="_Toc488330186"/>
      <w:bookmarkStart w:id="6396" w:name="_Toc488387040"/>
      <w:bookmarkStart w:id="6397" w:name="_Toc488402499"/>
      <w:bookmarkStart w:id="6398" w:name="_Toc488403322"/>
      <w:bookmarkStart w:id="6399" w:name="_Toc488404151"/>
      <w:bookmarkStart w:id="6400" w:name="_Toc488404982"/>
      <w:bookmarkStart w:id="6401" w:name="_Toc488405805"/>
      <w:bookmarkStart w:id="6402" w:name="_Toc488406634"/>
      <w:bookmarkStart w:id="6403" w:name="_Toc491409865"/>
      <w:bookmarkStart w:id="6404" w:name="_Toc496018403"/>
      <w:bookmarkStart w:id="6405" w:name="_Toc515787622"/>
      <w:bookmarkStart w:id="6406" w:name="_Toc515789322"/>
      <w:bookmarkStart w:id="6407" w:name="_Toc515790171"/>
      <w:bookmarkStart w:id="6408" w:name="_Toc515791020"/>
      <w:bookmarkStart w:id="6409" w:name="_Toc515791875"/>
      <w:bookmarkStart w:id="6410" w:name="_Toc515792725"/>
      <w:bookmarkStart w:id="6411" w:name="_Toc515793627"/>
      <w:bookmarkStart w:id="6412" w:name="_Toc515794532"/>
      <w:bookmarkStart w:id="6413" w:name="_Toc515796289"/>
      <w:bookmarkStart w:id="6414" w:name="_Toc488244703"/>
      <w:bookmarkStart w:id="6415" w:name="_Toc488247823"/>
      <w:bookmarkStart w:id="6416" w:name="_Toc488248467"/>
      <w:bookmarkStart w:id="6417" w:name="_Toc488249083"/>
      <w:bookmarkStart w:id="6418" w:name="_Toc488249699"/>
      <w:bookmarkStart w:id="6419" w:name="_Toc488330187"/>
      <w:bookmarkStart w:id="6420" w:name="_Toc488387041"/>
      <w:bookmarkStart w:id="6421" w:name="_Toc488402500"/>
      <w:bookmarkStart w:id="6422" w:name="_Toc488403323"/>
      <w:bookmarkStart w:id="6423" w:name="_Toc488404152"/>
      <w:bookmarkStart w:id="6424" w:name="_Toc488404983"/>
      <w:bookmarkStart w:id="6425" w:name="_Toc488405806"/>
      <w:bookmarkStart w:id="6426" w:name="_Toc488406635"/>
      <w:bookmarkStart w:id="6427" w:name="_Toc491409866"/>
      <w:bookmarkStart w:id="6428" w:name="_Toc496018404"/>
      <w:bookmarkStart w:id="6429" w:name="_Toc515787623"/>
      <w:bookmarkStart w:id="6430" w:name="_Toc515789323"/>
      <w:bookmarkStart w:id="6431" w:name="_Toc515790172"/>
      <w:bookmarkStart w:id="6432" w:name="_Toc515791021"/>
      <w:bookmarkStart w:id="6433" w:name="_Toc515791876"/>
      <w:bookmarkStart w:id="6434" w:name="_Toc515792726"/>
      <w:bookmarkStart w:id="6435" w:name="_Toc515793628"/>
      <w:bookmarkStart w:id="6436" w:name="_Toc515794533"/>
      <w:bookmarkStart w:id="6437" w:name="_Toc515796290"/>
      <w:bookmarkStart w:id="6438" w:name="_Toc488244704"/>
      <w:bookmarkStart w:id="6439" w:name="_Toc488247824"/>
      <w:bookmarkStart w:id="6440" w:name="_Toc488248468"/>
      <w:bookmarkStart w:id="6441" w:name="_Toc488249084"/>
      <w:bookmarkStart w:id="6442" w:name="_Toc488249700"/>
      <w:bookmarkStart w:id="6443" w:name="_Toc488330188"/>
      <w:bookmarkStart w:id="6444" w:name="_Toc488387042"/>
      <w:bookmarkStart w:id="6445" w:name="_Toc488402501"/>
      <w:bookmarkStart w:id="6446" w:name="_Toc488403324"/>
      <w:bookmarkStart w:id="6447" w:name="_Toc488404153"/>
      <w:bookmarkStart w:id="6448" w:name="_Toc488404984"/>
      <w:bookmarkStart w:id="6449" w:name="_Toc488405807"/>
      <w:bookmarkStart w:id="6450" w:name="_Toc488406636"/>
      <w:bookmarkStart w:id="6451" w:name="_Toc491409867"/>
      <w:bookmarkStart w:id="6452" w:name="_Toc496018405"/>
      <w:bookmarkStart w:id="6453" w:name="_Toc515787624"/>
      <w:bookmarkStart w:id="6454" w:name="_Toc515789324"/>
      <w:bookmarkStart w:id="6455" w:name="_Toc515790173"/>
      <w:bookmarkStart w:id="6456" w:name="_Toc515791022"/>
      <w:bookmarkStart w:id="6457" w:name="_Toc515791877"/>
      <w:bookmarkStart w:id="6458" w:name="_Toc515792727"/>
      <w:bookmarkStart w:id="6459" w:name="_Toc515793629"/>
      <w:bookmarkStart w:id="6460" w:name="_Toc515794534"/>
      <w:bookmarkStart w:id="6461" w:name="_Toc515796291"/>
      <w:bookmarkStart w:id="6462" w:name="_Toc488244705"/>
      <w:bookmarkStart w:id="6463" w:name="_Toc488247825"/>
      <w:bookmarkStart w:id="6464" w:name="_Toc488248469"/>
      <w:bookmarkStart w:id="6465" w:name="_Toc488249085"/>
      <w:bookmarkStart w:id="6466" w:name="_Toc488249701"/>
      <w:bookmarkStart w:id="6467" w:name="_Toc488330189"/>
      <w:bookmarkStart w:id="6468" w:name="_Toc488387043"/>
      <w:bookmarkStart w:id="6469" w:name="_Toc488402502"/>
      <w:bookmarkStart w:id="6470" w:name="_Toc488403325"/>
      <w:bookmarkStart w:id="6471" w:name="_Toc488404154"/>
      <w:bookmarkStart w:id="6472" w:name="_Toc488404985"/>
      <w:bookmarkStart w:id="6473" w:name="_Toc488405808"/>
      <w:bookmarkStart w:id="6474" w:name="_Toc488406637"/>
      <w:bookmarkStart w:id="6475" w:name="_Toc491409868"/>
      <w:bookmarkStart w:id="6476" w:name="_Toc496018406"/>
      <w:bookmarkStart w:id="6477" w:name="_Toc515787625"/>
      <w:bookmarkStart w:id="6478" w:name="_Toc515789325"/>
      <w:bookmarkStart w:id="6479" w:name="_Toc515790174"/>
      <w:bookmarkStart w:id="6480" w:name="_Toc515791023"/>
      <w:bookmarkStart w:id="6481" w:name="_Toc515791878"/>
      <w:bookmarkStart w:id="6482" w:name="_Toc515792728"/>
      <w:bookmarkStart w:id="6483" w:name="_Toc515793630"/>
      <w:bookmarkStart w:id="6484" w:name="_Toc515794535"/>
      <w:bookmarkStart w:id="6485" w:name="_Toc515796292"/>
      <w:bookmarkStart w:id="6486" w:name="_Toc488244706"/>
      <w:bookmarkStart w:id="6487" w:name="_Toc488247826"/>
      <w:bookmarkStart w:id="6488" w:name="_Toc488248470"/>
      <w:bookmarkStart w:id="6489" w:name="_Toc488249086"/>
      <w:bookmarkStart w:id="6490" w:name="_Toc488249702"/>
      <w:bookmarkStart w:id="6491" w:name="_Toc488330190"/>
      <w:bookmarkStart w:id="6492" w:name="_Toc488387044"/>
      <w:bookmarkStart w:id="6493" w:name="_Toc488402503"/>
      <w:bookmarkStart w:id="6494" w:name="_Toc488403326"/>
      <w:bookmarkStart w:id="6495" w:name="_Toc488404155"/>
      <w:bookmarkStart w:id="6496" w:name="_Toc488404986"/>
      <w:bookmarkStart w:id="6497" w:name="_Toc488405809"/>
      <w:bookmarkStart w:id="6498" w:name="_Toc488406638"/>
      <w:bookmarkStart w:id="6499" w:name="_Toc491409869"/>
      <w:bookmarkStart w:id="6500" w:name="_Toc496018407"/>
      <w:bookmarkStart w:id="6501" w:name="_Toc515787626"/>
      <w:bookmarkStart w:id="6502" w:name="_Toc515789326"/>
      <w:bookmarkStart w:id="6503" w:name="_Toc515790175"/>
      <w:bookmarkStart w:id="6504" w:name="_Toc515791024"/>
      <w:bookmarkStart w:id="6505" w:name="_Toc515791879"/>
      <w:bookmarkStart w:id="6506" w:name="_Toc515792729"/>
      <w:bookmarkStart w:id="6507" w:name="_Toc515793631"/>
      <w:bookmarkStart w:id="6508" w:name="_Toc515794536"/>
      <w:bookmarkStart w:id="6509" w:name="_Toc515796293"/>
      <w:bookmarkStart w:id="6510" w:name="_Toc488244707"/>
      <w:bookmarkStart w:id="6511" w:name="_Toc488247827"/>
      <w:bookmarkStart w:id="6512" w:name="_Toc488248471"/>
      <w:bookmarkStart w:id="6513" w:name="_Toc488249087"/>
      <w:bookmarkStart w:id="6514" w:name="_Toc488249703"/>
      <w:bookmarkStart w:id="6515" w:name="_Toc488330191"/>
      <w:bookmarkStart w:id="6516" w:name="_Toc488387045"/>
      <w:bookmarkStart w:id="6517" w:name="_Toc488402504"/>
      <w:bookmarkStart w:id="6518" w:name="_Toc488403327"/>
      <w:bookmarkStart w:id="6519" w:name="_Toc488404156"/>
      <w:bookmarkStart w:id="6520" w:name="_Toc488404987"/>
      <w:bookmarkStart w:id="6521" w:name="_Toc488405810"/>
      <w:bookmarkStart w:id="6522" w:name="_Toc488406639"/>
      <w:bookmarkStart w:id="6523" w:name="_Toc491409870"/>
      <w:bookmarkStart w:id="6524" w:name="_Toc496018408"/>
      <w:bookmarkStart w:id="6525" w:name="_Toc515787627"/>
      <w:bookmarkStart w:id="6526" w:name="_Toc515789327"/>
      <w:bookmarkStart w:id="6527" w:name="_Toc515790176"/>
      <w:bookmarkStart w:id="6528" w:name="_Toc515791025"/>
      <w:bookmarkStart w:id="6529" w:name="_Toc515791880"/>
      <w:bookmarkStart w:id="6530" w:name="_Toc515792730"/>
      <w:bookmarkStart w:id="6531" w:name="_Toc515793632"/>
      <w:bookmarkStart w:id="6532" w:name="_Toc515794537"/>
      <w:bookmarkStart w:id="6533" w:name="_Toc515796294"/>
      <w:bookmarkStart w:id="6534" w:name="_Toc488244708"/>
      <w:bookmarkStart w:id="6535" w:name="_Toc488247828"/>
      <w:bookmarkStart w:id="6536" w:name="_Toc488248472"/>
      <w:bookmarkStart w:id="6537" w:name="_Toc488249088"/>
      <w:bookmarkStart w:id="6538" w:name="_Toc488249704"/>
      <w:bookmarkStart w:id="6539" w:name="_Toc488330192"/>
      <w:bookmarkStart w:id="6540" w:name="_Toc488387046"/>
      <w:bookmarkStart w:id="6541" w:name="_Toc488402505"/>
      <w:bookmarkStart w:id="6542" w:name="_Toc488403328"/>
      <w:bookmarkStart w:id="6543" w:name="_Toc488404157"/>
      <w:bookmarkStart w:id="6544" w:name="_Toc488404988"/>
      <w:bookmarkStart w:id="6545" w:name="_Toc488405811"/>
      <w:bookmarkStart w:id="6546" w:name="_Toc488406640"/>
      <w:bookmarkStart w:id="6547" w:name="_Toc491409871"/>
      <w:bookmarkStart w:id="6548" w:name="_Toc496018409"/>
      <w:bookmarkStart w:id="6549" w:name="_Toc515787628"/>
      <w:bookmarkStart w:id="6550" w:name="_Toc515789328"/>
      <w:bookmarkStart w:id="6551" w:name="_Toc515790177"/>
      <w:bookmarkStart w:id="6552" w:name="_Toc515791026"/>
      <w:bookmarkStart w:id="6553" w:name="_Toc515791881"/>
      <w:bookmarkStart w:id="6554" w:name="_Toc515792731"/>
      <w:bookmarkStart w:id="6555" w:name="_Toc515793633"/>
      <w:bookmarkStart w:id="6556" w:name="_Toc515794538"/>
      <w:bookmarkStart w:id="6557" w:name="_Toc515796295"/>
      <w:bookmarkStart w:id="6558" w:name="_Toc488244709"/>
      <w:bookmarkStart w:id="6559" w:name="_Toc488247829"/>
      <w:bookmarkStart w:id="6560" w:name="_Toc488248473"/>
      <w:bookmarkStart w:id="6561" w:name="_Toc488249089"/>
      <w:bookmarkStart w:id="6562" w:name="_Toc488249705"/>
      <w:bookmarkStart w:id="6563" w:name="_Toc488330193"/>
      <w:bookmarkStart w:id="6564" w:name="_Toc488387047"/>
      <w:bookmarkStart w:id="6565" w:name="_Toc488402506"/>
      <w:bookmarkStart w:id="6566" w:name="_Toc488403329"/>
      <w:bookmarkStart w:id="6567" w:name="_Toc488404158"/>
      <w:bookmarkStart w:id="6568" w:name="_Toc488404989"/>
      <w:bookmarkStart w:id="6569" w:name="_Toc488405812"/>
      <w:bookmarkStart w:id="6570" w:name="_Toc488406641"/>
      <w:bookmarkStart w:id="6571" w:name="_Toc491409872"/>
      <w:bookmarkStart w:id="6572" w:name="_Toc496018410"/>
      <w:bookmarkStart w:id="6573" w:name="_Toc515787629"/>
      <w:bookmarkStart w:id="6574" w:name="_Toc515789329"/>
      <w:bookmarkStart w:id="6575" w:name="_Toc515790178"/>
      <w:bookmarkStart w:id="6576" w:name="_Toc515791027"/>
      <w:bookmarkStart w:id="6577" w:name="_Toc515791882"/>
      <w:bookmarkStart w:id="6578" w:name="_Toc515792732"/>
      <w:bookmarkStart w:id="6579" w:name="_Toc515793634"/>
      <w:bookmarkStart w:id="6580" w:name="_Toc515794539"/>
      <w:bookmarkStart w:id="6581" w:name="_Toc515796296"/>
      <w:bookmarkStart w:id="6582" w:name="_Toc488244710"/>
      <w:bookmarkStart w:id="6583" w:name="_Toc488247830"/>
      <w:bookmarkStart w:id="6584" w:name="_Toc488248474"/>
      <w:bookmarkStart w:id="6585" w:name="_Toc488249090"/>
      <w:bookmarkStart w:id="6586" w:name="_Toc488249706"/>
      <w:bookmarkStart w:id="6587" w:name="_Toc488330194"/>
      <w:bookmarkStart w:id="6588" w:name="_Toc488387048"/>
      <w:bookmarkStart w:id="6589" w:name="_Toc488402507"/>
      <w:bookmarkStart w:id="6590" w:name="_Toc488403330"/>
      <w:bookmarkStart w:id="6591" w:name="_Toc488404159"/>
      <w:bookmarkStart w:id="6592" w:name="_Toc488404990"/>
      <w:bookmarkStart w:id="6593" w:name="_Toc488405813"/>
      <w:bookmarkStart w:id="6594" w:name="_Toc488406642"/>
      <w:bookmarkStart w:id="6595" w:name="_Toc491409873"/>
      <w:bookmarkStart w:id="6596" w:name="_Toc496018411"/>
      <w:bookmarkStart w:id="6597" w:name="_Toc515787630"/>
      <w:bookmarkStart w:id="6598" w:name="_Toc515789330"/>
      <w:bookmarkStart w:id="6599" w:name="_Toc515790179"/>
      <w:bookmarkStart w:id="6600" w:name="_Toc515791028"/>
      <w:bookmarkStart w:id="6601" w:name="_Toc515791883"/>
      <w:bookmarkStart w:id="6602" w:name="_Toc515792733"/>
      <w:bookmarkStart w:id="6603" w:name="_Toc515793635"/>
      <w:bookmarkStart w:id="6604" w:name="_Toc515794540"/>
      <w:bookmarkStart w:id="6605" w:name="_Toc515796297"/>
      <w:bookmarkStart w:id="6606" w:name="_Toc488244711"/>
      <w:bookmarkStart w:id="6607" w:name="_Toc488247831"/>
      <w:bookmarkStart w:id="6608" w:name="_Toc488248475"/>
      <w:bookmarkStart w:id="6609" w:name="_Toc488249091"/>
      <w:bookmarkStart w:id="6610" w:name="_Toc488249707"/>
      <w:bookmarkStart w:id="6611" w:name="_Toc488330195"/>
      <w:bookmarkStart w:id="6612" w:name="_Toc488387049"/>
      <w:bookmarkStart w:id="6613" w:name="_Toc488402508"/>
      <w:bookmarkStart w:id="6614" w:name="_Toc488403331"/>
      <w:bookmarkStart w:id="6615" w:name="_Toc488404160"/>
      <w:bookmarkStart w:id="6616" w:name="_Toc488404991"/>
      <w:bookmarkStart w:id="6617" w:name="_Toc488405814"/>
      <w:bookmarkStart w:id="6618" w:name="_Toc488406643"/>
      <w:bookmarkStart w:id="6619" w:name="_Toc491409874"/>
      <w:bookmarkStart w:id="6620" w:name="_Toc496018412"/>
      <w:bookmarkStart w:id="6621" w:name="_Toc515787631"/>
      <w:bookmarkStart w:id="6622" w:name="_Toc515789331"/>
      <w:bookmarkStart w:id="6623" w:name="_Toc515790180"/>
      <w:bookmarkStart w:id="6624" w:name="_Toc515791029"/>
      <w:bookmarkStart w:id="6625" w:name="_Toc515791884"/>
      <w:bookmarkStart w:id="6626" w:name="_Toc515792734"/>
      <w:bookmarkStart w:id="6627" w:name="_Toc515793636"/>
      <w:bookmarkStart w:id="6628" w:name="_Toc515794541"/>
      <w:bookmarkStart w:id="6629" w:name="_Toc515796298"/>
      <w:bookmarkStart w:id="6630" w:name="_Toc488244712"/>
      <w:bookmarkStart w:id="6631" w:name="_Toc488247832"/>
      <w:bookmarkStart w:id="6632" w:name="_Toc488248476"/>
      <w:bookmarkStart w:id="6633" w:name="_Toc488249092"/>
      <w:bookmarkStart w:id="6634" w:name="_Toc488249708"/>
      <w:bookmarkStart w:id="6635" w:name="_Toc488330196"/>
      <w:bookmarkStart w:id="6636" w:name="_Toc488387050"/>
      <w:bookmarkStart w:id="6637" w:name="_Toc488402509"/>
      <w:bookmarkStart w:id="6638" w:name="_Toc488403332"/>
      <w:bookmarkStart w:id="6639" w:name="_Toc488404161"/>
      <w:bookmarkStart w:id="6640" w:name="_Toc488404992"/>
      <w:bookmarkStart w:id="6641" w:name="_Toc488405815"/>
      <w:bookmarkStart w:id="6642" w:name="_Toc488406644"/>
      <w:bookmarkStart w:id="6643" w:name="_Toc491409875"/>
      <w:bookmarkStart w:id="6644" w:name="_Toc496018413"/>
      <w:bookmarkStart w:id="6645" w:name="_Toc515787632"/>
      <w:bookmarkStart w:id="6646" w:name="_Toc515789332"/>
      <w:bookmarkStart w:id="6647" w:name="_Toc515790181"/>
      <w:bookmarkStart w:id="6648" w:name="_Toc515791030"/>
      <w:bookmarkStart w:id="6649" w:name="_Toc515791885"/>
      <w:bookmarkStart w:id="6650" w:name="_Toc515792735"/>
      <w:bookmarkStart w:id="6651" w:name="_Toc515793637"/>
      <w:bookmarkStart w:id="6652" w:name="_Toc515794542"/>
      <w:bookmarkStart w:id="6653" w:name="_Toc515796299"/>
      <w:bookmarkStart w:id="6654" w:name="_Toc488244713"/>
      <w:bookmarkStart w:id="6655" w:name="_Toc488247833"/>
      <w:bookmarkStart w:id="6656" w:name="_Toc488248477"/>
      <w:bookmarkStart w:id="6657" w:name="_Toc488249093"/>
      <w:bookmarkStart w:id="6658" w:name="_Toc488249709"/>
      <w:bookmarkStart w:id="6659" w:name="_Toc488330197"/>
      <w:bookmarkStart w:id="6660" w:name="_Toc488387051"/>
      <w:bookmarkStart w:id="6661" w:name="_Toc488402510"/>
      <w:bookmarkStart w:id="6662" w:name="_Toc488403333"/>
      <w:bookmarkStart w:id="6663" w:name="_Toc488404162"/>
      <w:bookmarkStart w:id="6664" w:name="_Toc488404993"/>
      <w:bookmarkStart w:id="6665" w:name="_Toc488405816"/>
      <w:bookmarkStart w:id="6666" w:name="_Toc488406645"/>
      <w:bookmarkStart w:id="6667" w:name="_Toc491409876"/>
      <w:bookmarkStart w:id="6668" w:name="_Toc496018414"/>
      <w:bookmarkStart w:id="6669" w:name="_Toc515787633"/>
      <w:bookmarkStart w:id="6670" w:name="_Toc515789333"/>
      <w:bookmarkStart w:id="6671" w:name="_Toc515790182"/>
      <w:bookmarkStart w:id="6672" w:name="_Toc515791031"/>
      <w:bookmarkStart w:id="6673" w:name="_Toc515791886"/>
      <w:bookmarkStart w:id="6674" w:name="_Toc515792736"/>
      <w:bookmarkStart w:id="6675" w:name="_Toc515793638"/>
      <w:bookmarkStart w:id="6676" w:name="_Toc515794543"/>
      <w:bookmarkStart w:id="6677" w:name="_Toc515796300"/>
      <w:bookmarkStart w:id="6678" w:name="_Toc488244714"/>
      <w:bookmarkStart w:id="6679" w:name="_Toc488247834"/>
      <w:bookmarkStart w:id="6680" w:name="_Toc488248478"/>
      <w:bookmarkStart w:id="6681" w:name="_Toc488249094"/>
      <w:bookmarkStart w:id="6682" w:name="_Toc488249710"/>
      <w:bookmarkStart w:id="6683" w:name="_Toc488330198"/>
      <w:bookmarkStart w:id="6684" w:name="_Toc488387052"/>
      <w:bookmarkStart w:id="6685" w:name="_Toc488402511"/>
      <w:bookmarkStart w:id="6686" w:name="_Toc488403334"/>
      <w:bookmarkStart w:id="6687" w:name="_Toc488404163"/>
      <w:bookmarkStart w:id="6688" w:name="_Toc488404994"/>
      <w:bookmarkStart w:id="6689" w:name="_Toc488405817"/>
      <w:bookmarkStart w:id="6690" w:name="_Toc488406646"/>
      <w:bookmarkStart w:id="6691" w:name="_Toc491409877"/>
      <w:bookmarkStart w:id="6692" w:name="_Toc496018415"/>
      <w:bookmarkStart w:id="6693" w:name="_Toc515787634"/>
      <w:bookmarkStart w:id="6694" w:name="_Toc515789334"/>
      <w:bookmarkStart w:id="6695" w:name="_Toc515790183"/>
      <w:bookmarkStart w:id="6696" w:name="_Toc515791032"/>
      <w:bookmarkStart w:id="6697" w:name="_Toc515791887"/>
      <w:bookmarkStart w:id="6698" w:name="_Toc515792737"/>
      <w:bookmarkStart w:id="6699" w:name="_Toc515793639"/>
      <w:bookmarkStart w:id="6700" w:name="_Toc515794544"/>
      <w:bookmarkStart w:id="6701" w:name="_Toc515796301"/>
      <w:bookmarkStart w:id="6702" w:name="_Toc488244715"/>
      <w:bookmarkStart w:id="6703" w:name="_Toc488247835"/>
      <w:bookmarkStart w:id="6704" w:name="_Toc488248479"/>
      <w:bookmarkStart w:id="6705" w:name="_Toc488249095"/>
      <w:bookmarkStart w:id="6706" w:name="_Toc488249711"/>
      <w:bookmarkStart w:id="6707" w:name="_Toc488330199"/>
      <w:bookmarkStart w:id="6708" w:name="_Toc488387053"/>
      <w:bookmarkStart w:id="6709" w:name="_Toc488402512"/>
      <w:bookmarkStart w:id="6710" w:name="_Toc488403335"/>
      <w:bookmarkStart w:id="6711" w:name="_Toc488404164"/>
      <w:bookmarkStart w:id="6712" w:name="_Toc488404995"/>
      <w:bookmarkStart w:id="6713" w:name="_Toc488405818"/>
      <w:bookmarkStart w:id="6714" w:name="_Toc488406647"/>
      <w:bookmarkStart w:id="6715" w:name="_Toc491409878"/>
      <w:bookmarkStart w:id="6716" w:name="_Toc496018416"/>
      <w:bookmarkStart w:id="6717" w:name="_Toc515787635"/>
      <w:bookmarkStart w:id="6718" w:name="_Toc515789335"/>
      <w:bookmarkStart w:id="6719" w:name="_Toc515790184"/>
      <w:bookmarkStart w:id="6720" w:name="_Toc515791033"/>
      <w:bookmarkStart w:id="6721" w:name="_Toc515791888"/>
      <w:bookmarkStart w:id="6722" w:name="_Toc515792738"/>
      <w:bookmarkStart w:id="6723" w:name="_Toc515793640"/>
      <w:bookmarkStart w:id="6724" w:name="_Toc515794545"/>
      <w:bookmarkStart w:id="6725" w:name="_Toc515796302"/>
      <w:bookmarkStart w:id="6726" w:name="_Toc488244716"/>
      <w:bookmarkStart w:id="6727" w:name="_Toc488247836"/>
      <w:bookmarkStart w:id="6728" w:name="_Toc488248480"/>
      <w:bookmarkStart w:id="6729" w:name="_Toc488249096"/>
      <w:bookmarkStart w:id="6730" w:name="_Toc488249712"/>
      <w:bookmarkStart w:id="6731" w:name="_Toc488330200"/>
      <w:bookmarkStart w:id="6732" w:name="_Toc488387054"/>
      <w:bookmarkStart w:id="6733" w:name="_Toc488402513"/>
      <w:bookmarkStart w:id="6734" w:name="_Toc488403336"/>
      <w:bookmarkStart w:id="6735" w:name="_Toc488404165"/>
      <w:bookmarkStart w:id="6736" w:name="_Toc488404996"/>
      <w:bookmarkStart w:id="6737" w:name="_Toc488405819"/>
      <w:bookmarkStart w:id="6738" w:name="_Toc488406648"/>
      <w:bookmarkStart w:id="6739" w:name="_Toc491409879"/>
      <w:bookmarkStart w:id="6740" w:name="_Toc496018417"/>
      <w:bookmarkStart w:id="6741" w:name="_Toc515787636"/>
      <w:bookmarkStart w:id="6742" w:name="_Toc515789336"/>
      <w:bookmarkStart w:id="6743" w:name="_Toc515790185"/>
      <w:bookmarkStart w:id="6744" w:name="_Toc515791034"/>
      <w:bookmarkStart w:id="6745" w:name="_Toc515791889"/>
      <w:bookmarkStart w:id="6746" w:name="_Toc515792739"/>
      <w:bookmarkStart w:id="6747" w:name="_Toc515793641"/>
      <w:bookmarkStart w:id="6748" w:name="_Toc515794546"/>
      <w:bookmarkStart w:id="6749" w:name="_Toc515796303"/>
      <w:bookmarkStart w:id="6750" w:name="_Toc488244717"/>
      <w:bookmarkStart w:id="6751" w:name="_Toc488247837"/>
      <w:bookmarkStart w:id="6752" w:name="_Toc488248481"/>
      <w:bookmarkStart w:id="6753" w:name="_Toc488249097"/>
      <w:bookmarkStart w:id="6754" w:name="_Toc488249713"/>
      <w:bookmarkStart w:id="6755" w:name="_Toc488330201"/>
      <w:bookmarkStart w:id="6756" w:name="_Toc488387055"/>
      <w:bookmarkStart w:id="6757" w:name="_Toc488402514"/>
      <w:bookmarkStart w:id="6758" w:name="_Toc488403337"/>
      <w:bookmarkStart w:id="6759" w:name="_Toc488404166"/>
      <w:bookmarkStart w:id="6760" w:name="_Toc488404997"/>
      <w:bookmarkStart w:id="6761" w:name="_Toc488405820"/>
      <w:bookmarkStart w:id="6762" w:name="_Toc488406649"/>
      <w:bookmarkStart w:id="6763" w:name="_Toc491409880"/>
      <w:bookmarkStart w:id="6764" w:name="_Toc496018418"/>
      <w:bookmarkStart w:id="6765" w:name="_Toc515787637"/>
      <w:bookmarkStart w:id="6766" w:name="_Toc515789337"/>
      <w:bookmarkStart w:id="6767" w:name="_Toc515790186"/>
      <w:bookmarkStart w:id="6768" w:name="_Toc515791035"/>
      <w:bookmarkStart w:id="6769" w:name="_Toc515791890"/>
      <w:bookmarkStart w:id="6770" w:name="_Toc515792740"/>
      <w:bookmarkStart w:id="6771" w:name="_Toc515793642"/>
      <w:bookmarkStart w:id="6772" w:name="_Toc515794547"/>
      <w:bookmarkStart w:id="6773" w:name="_Toc515796304"/>
      <w:bookmarkStart w:id="6774" w:name="_Toc488244718"/>
      <w:bookmarkStart w:id="6775" w:name="_Toc488247838"/>
      <w:bookmarkStart w:id="6776" w:name="_Toc488248482"/>
      <w:bookmarkStart w:id="6777" w:name="_Toc488249098"/>
      <w:bookmarkStart w:id="6778" w:name="_Toc488249714"/>
      <w:bookmarkStart w:id="6779" w:name="_Toc488330202"/>
      <w:bookmarkStart w:id="6780" w:name="_Toc488387056"/>
      <w:bookmarkStart w:id="6781" w:name="_Toc488402515"/>
      <w:bookmarkStart w:id="6782" w:name="_Toc488403338"/>
      <w:bookmarkStart w:id="6783" w:name="_Toc488404167"/>
      <w:bookmarkStart w:id="6784" w:name="_Toc488404998"/>
      <w:bookmarkStart w:id="6785" w:name="_Toc488405821"/>
      <w:bookmarkStart w:id="6786" w:name="_Toc488406650"/>
      <w:bookmarkStart w:id="6787" w:name="_Toc491409881"/>
      <w:bookmarkStart w:id="6788" w:name="_Toc496018419"/>
      <w:bookmarkStart w:id="6789" w:name="_Toc515787638"/>
      <w:bookmarkStart w:id="6790" w:name="_Toc515789338"/>
      <w:bookmarkStart w:id="6791" w:name="_Toc515790187"/>
      <w:bookmarkStart w:id="6792" w:name="_Toc515791036"/>
      <w:bookmarkStart w:id="6793" w:name="_Toc515791891"/>
      <w:bookmarkStart w:id="6794" w:name="_Toc515792741"/>
      <w:bookmarkStart w:id="6795" w:name="_Toc515793643"/>
      <w:bookmarkStart w:id="6796" w:name="_Toc515794548"/>
      <w:bookmarkStart w:id="6797" w:name="_Toc515796305"/>
      <w:bookmarkStart w:id="6798" w:name="_Toc488244719"/>
      <w:bookmarkStart w:id="6799" w:name="_Toc488247839"/>
      <w:bookmarkStart w:id="6800" w:name="_Toc488248483"/>
      <w:bookmarkStart w:id="6801" w:name="_Toc488249099"/>
      <w:bookmarkStart w:id="6802" w:name="_Toc488249715"/>
      <w:bookmarkStart w:id="6803" w:name="_Toc488330203"/>
      <w:bookmarkStart w:id="6804" w:name="_Toc488387057"/>
      <w:bookmarkStart w:id="6805" w:name="_Toc488402516"/>
      <w:bookmarkStart w:id="6806" w:name="_Toc488403339"/>
      <w:bookmarkStart w:id="6807" w:name="_Toc488404168"/>
      <w:bookmarkStart w:id="6808" w:name="_Toc488404999"/>
      <w:bookmarkStart w:id="6809" w:name="_Toc488405822"/>
      <w:bookmarkStart w:id="6810" w:name="_Toc488406651"/>
      <w:bookmarkStart w:id="6811" w:name="_Toc491409882"/>
      <w:bookmarkStart w:id="6812" w:name="_Toc496018420"/>
      <w:bookmarkStart w:id="6813" w:name="_Toc515787639"/>
      <w:bookmarkStart w:id="6814" w:name="_Toc515789339"/>
      <w:bookmarkStart w:id="6815" w:name="_Toc515790188"/>
      <w:bookmarkStart w:id="6816" w:name="_Toc515791037"/>
      <w:bookmarkStart w:id="6817" w:name="_Toc515791892"/>
      <w:bookmarkStart w:id="6818" w:name="_Toc515792742"/>
      <w:bookmarkStart w:id="6819" w:name="_Toc515793644"/>
      <w:bookmarkStart w:id="6820" w:name="_Toc515794549"/>
      <w:bookmarkStart w:id="6821" w:name="_Toc515796306"/>
      <w:bookmarkStart w:id="6822" w:name="_Toc488244720"/>
      <w:bookmarkStart w:id="6823" w:name="_Toc488247840"/>
      <w:bookmarkStart w:id="6824" w:name="_Toc488248484"/>
      <w:bookmarkStart w:id="6825" w:name="_Toc488249100"/>
      <w:bookmarkStart w:id="6826" w:name="_Toc488249716"/>
      <w:bookmarkStart w:id="6827" w:name="_Toc488330204"/>
      <w:bookmarkStart w:id="6828" w:name="_Toc488387058"/>
      <w:bookmarkStart w:id="6829" w:name="_Toc488402517"/>
      <w:bookmarkStart w:id="6830" w:name="_Toc488403340"/>
      <w:bookmarkStart w:id="6831" w:name="_Toc488404169"/>
      <w:bookmarkStart w:id="6832" w:name="_Toc488405000"/>
      <w:bookmarkStart w:id="6833" w:name="_Toc488405823"/>
      <w:bookmarkStart w:id="6834" w:name="_Toc488406652"/>
      <w:bookmarkStart w:id="6835" w:name="_Toc491409883"/>
      <w:bookmarkStart w:id="6836" w:name="_Toc496018421"/>
      <w:bookmarkStart w:id="6837" w:name="_Toc515787640"/>
      <w:bookmarkStart w:id="6838" w:name="_Toc515789340"/>
      <w:bookmarkStart w:id="6839" w:name="_Toc515790189"/>
      <w:bookmarkStart w:id="6840" w:name="_Toc515791038"/>
      <w:bookmarkStart w:id="6841" w:name="_Toc515791893"/>
      <w:bookmarkStart w:id="6842" w:name="_Toc515792743"/>
      <w:bookmarkStart w:id="6843" w:name="_Toc515793645"/>
      <w:bookmarkStart w:id="6844" w:name="_Toc515794550"/>
      <w:bookmarkStart w:id="6845" w:name="_Toc515796307"/>
      <w:bookmarkStart w:id="6846" w:name="_Toc488244721"/>
      <w:bookmarkStart w:id="6847" w:name="_Toc488247841"/>
      <w:bookmarkStart w:id="6848" w:name="_Toc488248485"/>
      <w:bookmarkStart w:id="6849" w:name="_Toc488249101"/>
      <w:bookmarkStart w:id="6850" w:name="_Toc488249717"/>
      <w:bookmarkStart w:id="6851" w:name="_Toc488330205"/>
      <w:bookmarkStart w:id="6852" w:name="_Toc488387059"/>
      <w:bookmarkStart w:id="6853" w:name="_Toc488402518"/>
      <w:bookmarkStart w:id="6854" w:name="_Toc488403341"/>
      <w:bookmarkStart w:id="6855" w:name="_Toc488404170"/>
      <w:bookmarkStart w:id="6856" w:name="_Toc488405001"/>
      <w:bookmarkStart w:id="6857" w:name="_Toc488405824"/>
      <w:bookmarkStart w:id="6858" w:name="_Toc488406653"/>
      <w:bookmarkStart w:id="6859" w:name="_Toc491409884"/>
      <w:bookmarkStart w:id="6860" w:name="_Toc496018422"/>
      <w:bookmarkStart w:id="6861" w:name="_Toc515787641"/>
      <w:bookmarkStart w:id="6862" w:name="_Toc515789341"/>
      <w:bookmarkStart w:id="6863" w:name="_Toc515790190"/>
      <w:bookmarkStart w:id="6864" w:name="_Toc515791039"/>
      <w:bookmarkStart w:id="6865" w:name="_Toc515791894"/>
      <w:bookmarkStart w:id="6866" w:name="_Toc515792744"/>
      <w:bookmarkStart w:id="6867" w:name="_Toc515793646"/>
      <w:bookmarkStart w:id="6868" w:name="_Toc515794551"/>
      <w:bookmarkStart w:id="6869" w:name="_Toc515796308"/>
      <w:bookmarkStart w:id="6870" w:name="_Toc488244722"/>
      <w:bookmarkStart w:id="6871" w:name="_Toc488247842"/>
      <w:bookmarkStart w:id="6872" w:name="_Toc488248486"/>
      <w:bookmarkStart w:id="6873" w:name="_Toc488249102"/>
      <w:bookmarkStart w:id="6874" w:name="_Toc488249718"/>
      <w:bookmarkStart w:id="6875" w:name="_Toc488330206"/>
      <w:bookmarkStart w:id="6876" w:name="_Toc488387060"/>
      <w:bookmarkStart w:id="6877" w:name="_Toc488402519"/>
      <w:bookmarkStart w:id="6878" w:name="_Toc488403342"/>
      <w:bookmarkStart w:id="6879" w:name="_Toc488404171"/>
      <w:bookmarkStart w:id="6880" w:name="_Toc488405002"/>
      <w:bookmarkStart w:id="6881" w:name="_Toc488405825"/>
      <w:bookmarkStart w:id="6882" w:name="_Toc488406654"/>
      <w:bookmarkStart w:id="6883" w:name="_Toc491409885"/>
      <w:bookmarkStart w:id="6884" w:name="_Toc496018423"/>
      <w:bookmarkStart w:id="6885" w:name="_Toc515787642"/>
      <w:bookmarkStart w:id="6886" w:name="_Toc515789342"/>
      <w:bookmarkStart w:id="6887" w:name="_Toc515790191"/>
      <w:bookmarkStart w:id="6888" w:name="_Toc515791040"/>
      <w:bookmarkStart w:id="6889" w:name="_Toc515791895"/>
      <w:bookmarkStart w:id="6890" w:name="_Toc515792745"/>
      <w:bookmarkStart w:id="6891" w:name="_Toc515793647"/>
      <w:bookmarkStart w:id="6892" w:name="_Toc515794552"/>
      <w:bookmarkStart w:id="6893" w:name="_Toc515796309"/>
      <w:bookmarkStart w:id="6894" w:name="_Toc488244723"/>
      <w:bookmarkStart w:id="6895" w:name="_Toc488247843"/>
      <w:bookmarkStart w:id="6896" w:name="_Toc488248487"/>
      <w:bookmarkStart w:id="6897" w:name="_Toc488249103"/>
      <w:bookmarkStart w:id="6898" w:name="_Toc488249719"/>
      <w:bookmarkStart w:id="6899" w:name="_Toc488330207"/>
      <w:bookmarkStart w:id="6900" w:name="_Toc488387061"/>
      <w:bookmarkStart w:id="6901" w:name="_Toc488402520"/>
      <w:bookmarkStart w:id="6902" w:name="_Toc488403343"/>
      <w:bookmarkStart w:id="6903" w:name="_Toc488404172"/>
      <w:bookmarkStart w:id="6904" w:name="_Toc488405003"/>
      <w:bookmarkStart w:id="6905" w:name="_Toc488405826"/>
      <w:bookmarkStart w:id="6906" w:name="_Toc488406655"/>
      <w:bookmarkStart w:id="6907" w:name="_Toc491409886"/>
      <w:bookmarkStart w:id="6908" w:name="_Toc496018424"/>
      <w:bookmarkStart w:id="6909" w:name="_Toc515787643"/>
      <w:bookmarkStart w:id="6910" w:name="_Toc515789343"/>
      <w:bookmarkStart w:id="6911" w:name="_Toc515790192"/>
      <w:bookmarkStart w:id="6912" w:name="_Toc515791041"/>
      <w:bookmarkStart w:id="6913" w:name="_Toc515791896"/>
      <w:bookmarkStart w:id="6914" w:name="_Toc515792746"/>
      <w:bookmarkStart w:id="6915" w:name="_Toc515793648"/>
      <w:bookmarkStart w:id="6916" w:name="_Toc515794553"/>
      <w:bookmarkStart w:id="6917" w:name="_Toc515796310"/>
      <w:bookmarkStart w:id="6918" w:name="_Toc488244724"/>
      <w:bookmarkStart w:id="6919" w:name="_Toc488247844"/>
      <w:bookmarkStart w:id="6920" w:name="_Toc488248488"/>
      <w:bookmarkStart w:id="6921" w:name="_Toc488249104"/>
      <w:bookmarkStart w:id="6922" w:name="_Toc488249720"/>
      <w:bookmarkStart w:id="6923" w:name="_Toc488330208"/>
      <w:bookmarkStart w:id="6924" w:name="_Toc488387062"/>
      <w:bookmarkStart w:id="6925" w:name="_Toc488402521"/>
      <w:bookmarkStart w:id="6926" w:name="_Toc488403344"/>
      <w:bookmarkStart w:id="6927" w:name="_Toc488404173"/>
      <w:bookmarkStart w:id="6928" w:name="_Toc488405004"/>
      <w:bookmarkStart w:id="6929" w:name="_Toc488405827"/>
      <w:bookmarkStart w:id="6930" w:name="_Toc488406656"/>
      <w:bookmarkStart w:id="6931" w:name="_Toc491409887"/>
      <w:bookmarkStart w:id="6932" w:name="_Toc496018425"/>
      <w:bookmarkStart w:id="6933" w:name="_Toc515787644"/>
      <w:bookmarkStart w:id="6934" w:name="_Toc515789344"/>
      <w:bookmarkStart w:id="6935" w:name="_Toc515790193"/>
      <w:bookmarkStart w:id="6936" w:name="_Toc515791042"/>
      <w:bookmarkStart w:id="6937" w:name="_Toc515791897"/>
      <w:bookmarkStart w:id="6938" w:name="_Toc515792747"/>
      <w:bookmarkStart w:id="6939" w:name="_Toc515793649"/>
      <w:bookmarkStart w:id="6940" w:name="_Toc515794554"/>
      <w:bookmarkStart w:id="6941" w:name="_Toc515796311"/>
      <w:bookmarkStart w:id="6942" w:name="_Toc488244725"/>
      <w:bookmarkStart w:id="6943" w:name="_Toc488247845"/>
      <w:bookmarkStart w:id="6944" w:name="_Toc488248489"/>
      <w:bookmarkStart w:id="6945" w:name="_Toc488249105"/>
      <w:bookmarkStart w:id="6946" w:name="_Toc488249721"/>
      <w:bookmarkStart w:id="6947" w:name="_Toc488330209"/>
      <w:bookmarkStart w:id="6948" w:name="_Toc488387063"/>
      <w:bookmarkStart w:id="6949" w:name="_Toc488402522"/>
      <w:bookmarkStart w:id="6950" w:name="_Toc488403345"/>
      <w:bookmarkStart w:id="6951" w:name="_Toc488404174"/>
      <w:bookmarkStart w:id="6952" w:name="_Toc488405005"/>
      <w:bookmarkStart w:id="6953" w:name="_Toc488405828"/>
      <w:bookmarkStart w:id="6954" w:name="_Toc488406657"/>
      <w:bookmarkStart w:id="6955" w:name="_Toc491409888"/>
      <w:bookmarkStart w:id="6956" w:name="_Toc496018426"/>
      <w:bookmarkStart w:id="6957" w:name="_Toc515787645"/>
      <w:bookmarkStart w:id="6958" w:name="_Toc515789345"/>
      <w:bookmarkStart w:id="6959" w:name="_Toc515790194"/>
      <w:bookmarkStart w:id="6960" w:name="_Toc515791043"/>
      <w:bookmarkStart w:id="6961" w:name="_Toc515791898"/>
      <w:bookmarkStart w:id="6962" w:name="_Toc515792748"/>
      <w:bookmarkStart w:id="6963" w:name="_Toc515793650"/>
      <w:bookmarkStart w:id="6964" w:name="_Toc515794555"/>
      <w:bookmarkStart w:id="6965" w:name="_Toc515796312"/>
      <w:bookmarkStart w:id="6966" w:name="_Toc488244726"/>
      <w:bookmarkStart w:id="6967" w:name="_Toc488247846"/>
      <w:bookmarkStart w:id="6968" w:name="_Toc488248490"/>
      <w:bookmarkStart w:id="6969" w:name="_Toc488249106"/>
      <w:bookmarkStart w:id="6970" w:name="_Toc488249722"/>
      <w:bookmarkStart w:id="6971" w:name="_Toc488330210"/>
      <w:bookmarkStart w:id="6972" w:name="_Toc488387064"/>
      <w:bookmarkStart w:id="6973" w:name="_Toc488402523"/>
      <w:bookmarkStart w:id="6974" w:name="_Toc488403346"/>
      <w:bookmarkStart w:id="6975" w:name="_Toc488404175"/>
      <w:bookmarkStart w:id="6976" w:name="_Toc488405006"/>
      <w:bookmarkStart w:id="6977" w:name="_Toc488405829"/>
      <w:bookmarkStart w:id="6978" w:name="_Toc488406658"/>
      <w:bookmarkStart w:id="6979" w:name="_Toc491409889"/>
      <w:bookmarkStart w:id="6980" w:name="_Toc496018427"/>
      <w:bookmarkStart w:id="6981" w:name="_Toc515787646"/>
      <w:bookmarkStart w:id="6982" w:name="_Toc515789346"/>
      <w:bookmarkStart w:id="6983" w:name="_Toc515790195"/>
      <w:bookmarkStart w:id="6984" w:name="_Toc515791044"/>
      <w:bookmarkStart w:id="6985" w:name="_Toc515791899"/>
      <w:bookmarkStart w:id="6986" w:name="_Toc515792749"/>
      <w:bookmarkStart w:id="6987" w:name="_Toc515793651"/>
      <w:bookmarkStart w:id="6988" w:name="_Toc515794556"/>
      <w:bookmarkStart w:id="6989" w:name="_Toc515796313"/>
      <w:bookmarkStart w:id="6990" w:name="_Toc488244727"/>
      <w:bookmarkStart w:id="6991" w:name="_Toc488247847"/>
      <w:bookmarkStart w:id="6992" w:name="_Toc488248491"/>
      <w:bookmarkStart w:id="6993" w:name="_Toc488249107"/>
      <w:bookmarkStart w:id="6994" w:name="_Toc488249723"/>
      <w:bookmarkStart w:id="6995" w:name="_Toc488330211"/>
      <w:bookmarkStart w:id="6996" w:name="_Toc488387065"/>
      <w:bookmarkStart w:id="6997" w:name="_Toc488402524"/>
      <w:bookmarkStart w:id="6998" w:name="_Toc488403347"/>
      <w:bookmarkStart w:id="6999" w:name="_Toc488404176"/>
      <w:bookmarkStart w:id="7000" w:name="_Toc488405007"/>
      <w:bookmarkStart w:id="7001" w:name="_Toc488405830"/>
      <w:bookmarkStart w:id="7002" w:name="_Toc488406659"/>
      <w:bookmarkStart w:id="7003" w:name="_Toc491409890"/>
      <w:bookmarkStart w:id="7004" w:name="_Toc496018428"/>
      <w:bookmarkStart w:id="7005" w:name="_Toc515787647"/>
      <w:bookmarkStart w:id="7006" w:name="_Toc515789347"/>
      <w:bookmarkStart w:id="7007" w:name="_Toc515790196"/>
      <w:bookmarkStart w:id="7008" w:name="_Toc515791045"/>
      <w:bookmarkStart w:id="7009" w:name="_Toc515791900"/>
      <w:bookmarkStart w:id="7010" w:name="_Toc515792750"/>
      <w:bookmarkStart w:id="7011" w:name="_Toc515793652"/>
      <w:bookmarkStart w:id="7012" w:name="_Toc515794557"/>
      <w:bookmarkStart w:id="7013" w:name="_Toc515796314"/>
      <w:bookmarkStart w:id="7014" w:name="_Toc488244728"/>
      <w:bookmarkStart w:id="7015" w:name="_Toc488247848"/>
      <w:bookmarkStart w:id="7016" w:name="_Toc488248492"/>
      <w:bookmarkStart w:id="7017" w:name="_Toc488249108"/>
      <w:bookmarkStart w:id="7018" w:name="_Toc488249724"/>
      <w:bookmarkStart w:id="7019" w:name="_Toc488330212"/>
      <w:bookmarkStart w:id="7020" w:name="_Toc488387066"/>
      <w:bookmarkStart w:id="7021" w:name="_Toc488402525"/>
      <w:bookmarkStart w:id="7022" w:name="_Toc488403348"/>
      <w:bookmarkStart w:id="7023" w:name="_Toc488404177"/>
      <w:bookmarkStart w:id="7024" w:name="_Toc488405008"/>
      <w:bookmarkStart w:id="7025" w:name="_Toc488405831"/>
      <w:bookmarkStart w:id="7026" w:name="_Toc488406660"/>
      <w:bookmarkStart w:id="7027" w:name="_Toc491409891"/>
      <w:bookmarkStart w:id="7028" w:name="_Toc496018429"/>
      <w:bookmarkStart w:id="7029" w:name="_Toc515787648"/>
      <w:bookmarkStart w:id="7030" w:name="_Toc515789348"/>
      <w:bookmarkStart w:id="7031" w:name="_Toc515790197"/>
      <w:bookmarkStart w:id="7032" w:name="_Toc515791046"/>
      <w:bookmarkStart w:id="7033" w:name="_Toc515791901"/>
      <w:bookmarkStart w:id="7034" w:name="_Toc515792751"/>
      <w:bookmarkStart w:id="7035" w:name="_Toc515793653"/>
      <w:bookmarkStart w:id="7036" w:name="_Toc515794558"/>
      <w:bookmarkStart w:id="7037" w:name="_Toc515796315"/>
      <w:bookmarkStart w:id="7038" w:name="_Toc488244729"/>
      <w:bookmarkStart w:id="7039" w:name="_Toc488247849"/>
      <w:bookmarkStart w:id="7040" w:name="_Toc488248493"/>
      <w:bookmarkStart w:id="7041" w:name="_Toc488249109"/>
      <w:bookmarkStart w:id="7042" w:name="_Toc488249725"/>
      <w:bookmarkStart w:id="7043" w:name="_Toc488330213"/>
      <w:bookmarkStart w:id="7044" w:name="_Toc488387067"/>
      <w:bookmarkStart w:id="7045" w:name="_Toc488402526"/>
      <w:bookmarkStart w:id="7046" w:name="_Toc488403349"/>
      <w:bookmarkStart w:id="7047" w:name="_Toc488404178"/>
      <w:bookmarkStart w:id="7048" w:name="_Toc488405009"/>
      <w:bookmarkStart w:id="7049" w:name="_Toc488405832"/>
      <w:bookmarkStart w:id="7050" w:name="_Toc488406661"/>
      <w:bookmarkStart w:id="7051" w:name="_Toc491409892"/>
      <w:bookmarkStart w:id="7052" w:name="_Toc496018430"/>
      <w:bookmarkStart w:id="7053" w:name="_Toc515787649"/>
      <w:bookmarkStart w:id="7054" w:name="_Toc515789349"/>
      <w:bookmarkStart w:id="7055" w:name="_Toc515790198"/>
      <w:bookmarkStart w:id="7056" w:name="_Toc515791047"/>
      <w:bookmarkStart w:id="7057" w:name="_Toc515791902"/>
      <w:bookmarkStart w:id="7058" w:name="_Toc515792752"/>
      <w:bookmarkStart w:id="7059" w:name="_Toc515793654"/>
      <w:bookmarkStart w:id="7060" w:name="_Toc515794559"/>
      <w:bookmarkStart w:id="7061" w:name="_Toc515796316"/>
      <w:bookmarkStart w:id="7062" w:name="_Toc488244730"/>
      <w:bookmarkStart w:id="7063" w:name="_Toc488247850"/>
      <w:bookmarkStart w:id="7064" w:name="_Toc488248494"/>
      <w:bookmarkStart w:id="7065" w:name="_Toc488249110"/>
      <w:bookmarkStart w:id="7066" w:name="_Toc488249726"/>
      <w:bookmarkStart w:id="7067" w:name="_Toc488330214"/>
      <w:bookmarkStart w:id="7068" w:name="_Toc488387068"/>
      <w:bookmarkStart w:id="7069" w:name="_Toc488402527"/>
      <w:bookmarkStart w:id="7070" w:name="_Toc488403350"/>
      <w:bookmarkStart w:id="7071" w:name="_Toc488404179"/>
      <w:bookmarkStart w:id="7072" w:name="_Toc488405010"/>
      <w:bookmarkStart w:id="7073" w:name="_Toc488405833"/>
      <w:bookmarkStart w:id="7074" w:name="_Toc488406662"/>
      <w:bookmarkStart w:id="7075" w:name="_Toc491409893"/>
      <w:bookmarkStart w:id="7076" w:name="_Toc496018431"/>
      <w:bookmarkStart w:id="7077" w:name="_Toc515787650"/>
      <w:bookmarkStart w:id="7078" w:name="_Toc515789350"/>
      <w:bookmarkStart w:id="7079" w:name="_Toc515790199"/>
      <w:bookmarkStart w:id="7080" w:name="_Toc515791048"/>
      <w:bookmarkStart w:id="7081" w:name="_Toc515791903"/>
      <w:bookmarkStart w:id="7082" w:name="_Toc515792753"/>
      <w:bookmarkStart w:id="7083" w:name="_Toc515793655"/>
      <w:bookmarkStart w:id="7084" w:name="_Toc515794560"/>
      <w:bookmarkStart w:id="7085" w:name="_Toc515796317"/>
      <w:bookmarkStart w:id="7086" w:name="_Toc488244731"/>
      <w:bookmarkStart w:id="7087" w:name="_Toc488247851"/>
      <w:bookmarkStart w:id="7088" w:name="_Toc488248495"/>
      <w:bookmarkStart w:id="7089" w:name="_Toc488249111"/>
      <w:bookmarkStart w:id="7090" w:name="_Toc488249727"/>
      <w:bookmarkStart w:id="7091" w:name="_Toc488330215"/>
      <w:bookmarkStart w:id="7092" w:name="_Toc488387069"/>
      <w:bookmarkStart w:id="7093" w:name="_Toc488402528"/>
      <w:bookmarkStart w:id="7094" w:name="_Toc488403351"/>
      <w:bookmarkStart w:id="7095" w:name="_Toc488404180"/>
      <w:bookmarkStart w:id="7096" w:name="_Toc488405011"/>
      <w:bookmarkStart w:id="7097" w:name="_Toc488405834"/>
      <w:bookmarkStart w:id="7098" w:name="_Toc488406663"/>
      <w:bookmarkStart w:id="7099" w:name="_Toc491409894"/>
      <w:bookmarkStart w:id="7100" w:name="_Toc496018432"/>
      <w:bookmarkStart w:id="7101" w:name="_Toc515787651"/>
      <w:bookmarkStart w:id="7102" w:name="_Toc515789351"/>
      <w:bookmarkStart w:id="7103" w:name="_Toc515790200"/>
      <w:bookmarkStart w:id="7104" w:name="_Toc515791049"/>
      <w:bookmarkStart w:id="7105" w:name="_Toc515791904"/>
      <w:bookmarkStart w:id="7106" w:name="_Toc515792754"/>
      <w:bookmarkStart w:id="7107" w:name="_Toc515793656"/>
      <w:bookmarkStart w:id="7108" w:name="_Toc515794561"/>
      <w:bookmarkStart w:id="7109" w:name="_Toc515796318"/>
      <w:bookmarkStart w:id="7110" w:name="_Toc488244732"/>
      <w:bookmarkStart w:id="7111" w:name="_Toc488247852"/>
      <w:bookmarkStart w:id="7112" w:name="_Toc488248496"/>
      <w:bookmarkStart w:id="7113" w:name="_Toc488249112"/>
      <w:bookmarkStart w:id="7114" w:name="_Toc488249728"/>
      <w:bookmarkStart w:id="7115" w:name="_Toc488330216"/>
      <w:bookmarkStart w:id="7116" w:name="_Toc488387070"/>
      <w:bookmarkStart w:id="7117" w:name="_Toc488402529"/>
      <w:bookmarkStart w:id="7118" w:name="_Toc488403352"/>
      <w:bookmarkStart w:id="7119" w:name="_Toc488404181"/>
      <w:bookmarkStart w:id="7120" w:name="_Toc488405012"/>
      <w:bookmarkStart w:id="7121" w:name="_Toc488405835"/>
      <w:bookmarkStart w:id="7122" w:name="_Toc488406664"/>
      <w:bookmarkStart w:id="7123" w:name="_Toc491409895"/>
      <w:bookmarkStart w:id="7124" w:name="_Toc496018433"/>
      <w:bookmarkStart w:id="7125" w:name="_Toc515787652"/>
      <w:bookmarkStart w:id="7126" w:name="_Toc515789352"/>
      <w:bookmarkStart w:id="7127" w:name="_Toc515790201"/>
      <w:bookmarkStart w:id="7128" w:name="_Toc515791050"/>
      <w:bookmarkStart w:id="7129" w:name="_Toc515791905"/>
      <w:bookmarkStart w:id="7130" w:name="_Toc515792755"/>
      <w:bookmarkStart w:id="7131" w:name="_Toc515793657"/>
      <w:bookmarkStart w:id="7132" w:name="_Toc515794562"/>
      <w:bookmarkStart w:id="7133" w:name="_Toc515796319"/>
      <w:bookmarkStart w:id="7134" w:name="_Toc488244733"/>
      <w:bookmarkStart w:id="7135" w:name="_Toc488247853"/>
      <w:bookmarkStart w:id="7136" w:name="_Toc488248497"/>
      <w:bookmarkStart w:id="7137" w:name="_Toc488249113"/>
      <w:bookmarkStart w:id="7138" w:name="_Toc488249729"/>
      <w:bookmarkStart w:id="7139" w:name="_Toc488330217"/>
      <w:bookmarkStart w:id="7140" w:name="_Toc488387071"/>
      <w:bookmarkStart w:id="7141" w:name="_Toc488402530"/>
      <w:bookmarkStart w:id="7142" w:name="_Toc488403353"/>
      <w:bookmarkStart w:id="7143" w:name="_Toc488404182"/>
      <w:bookmarkStart w:id="7144" w:name="_Toc488405013"/>
      <w:bookmarkStart w:id="7145" w:name="_Toc488405836"/>
      <w:bookmarkStart w:id="7146" w:name="_Toc488406665"/>
      <w:bookmarkStart w:id="7147" w:name="_Toc491409896"/>
      <w:bookmarkStart w:id="7148" w:name="_Toc496018434"/>
      <w:bookmarkStart w:id="7149" w:name="_Toc515787653"/>
      <w:bookmarkStart w:id="7150" w:name="_Toc515789353"/>
      <w:bookmarkStart w:id="7151" w:name="_Toc515790202"/>
      <w:bookmarkStart w:id="7152" w:name="_Toc515791051"/>
      <w:bookmarkStart w:id="7153" w:name="_Toc515791906"/>
      <w:bookmarkStart w:id="7154" w:name="_Toc515792756"/>
      <w:bookmarkStart w:id="7155" w:name="_Toc515793658"/>
      <w:bookmarkStart w:id="7156" w:name="_Toc515794563"/>
      <w:bookmarkStart w:id="7157" w:name="_Toc515796320"/>
      <w:bookmarkStart w:id="7158" w:name="_Toc488244795"/>
      <w:bookmarkStart w:id="7159" w:name="_Toc488247915"/>
      <w:bookmarkStart w:id="7160" w:name="_Toc488248559"/>
      <w:bookmarkStart w:id="7161" w:name="_Toc488249175"/>
      <w:bookmarkStart w:id="7162" w:name="_Toc488249791"/>
      <w:bookmarkStart w:id="7163" w:name="_Toc488330279"/>
      <w:bookmarkStart w:id="7164" w:name="_Toc488387133"/>
      <w:bookmarkStart w:id="7165" w:name="_Toc488402592"/>
      <w:bookmarkStart w:id="7166" w:name="_Toc488403415"/>
      <w:bookmarkStart w:id="7167" w:name="_Toc488404244"/>
      <w:bookmarkStart w:id="7168" w:name="_Toc488405075"/>
      <w:bookmarkStart w:id="7169" w:name="_Toc488405898"/>
      <w:bookmarkStart w:id="7170" w:name="_Toc488406727"/>
      <w:bookmarkStart w:id="7171" w:name="_Toc491409958"/>
      <w:bookmarkStart w:id="7172" w:name="_Toc496018496"/>
      <w:bookmarkStart w:id="7173" w:name="_Toc515787715"/>
      <w:bookmarkStart w:id="7174" w:name="_Toc515789415"/>
      <w:bookmarkStart w:id="7175" w:name="_Toc515790264"/>
      <w:bookmarkStart w:id="7176" w:name="_Toc515791113"/>
      <w:bookmarkStart w:id="7177" w:name="_Toc515791968"/>
      <w:bookmarkStart w:id="7178" w:name="_Toc515792818"/>
      <w:bookmarkStart w:id="7179" w:name="_Toc515793720"/>
      <w:bookmarkStart w:id="7180" w:name="_Toc515794625"/>
      <w:bookmarkStart w:id="7181" w:name="_Toc515796382"/>
      <w:bookmarkStart w:id="7182" w:name="_Toc488244796"/>
      <w:bookmarkStart w:id="7183" w:name="_Toc488247916"/>
      <w:bookmarkStart w:id="7184" w:name="_Toc488248560"/>
      <w:bookmarkStart w:id="7185" w:name="_Toc488249176"/>
      <w:bookmarkStart w:id="7186" w:name="_Toc488249792"/>
      <w:bookmarkStart w:id="7187" w:name="_Toc488330280"/>
      <w:bookmarkStart w:id="7188" w:name="_Toc488387134"/>
      <w:bookmarkStart w:id="7189" w:name="_Toc488402593"/>
      <w:bookmarkStart w:id="7190" w:name="_Toc488403416"/>
      <w:bookmarkStart w:id="7191" w:name="_Toc488404245"/>
      <w:bookmarkStart w:id="7192" w:name="_Toc488405076"/>
      <w:bookmarkStart w:id="7193" w:name="_Toc488405899"/>
      <w:bookmarkStart w:id="7194" w:name="_Toc488406728"/>
      <w:bookmarkStart w:id="7195" w:name="_Toc491409959"/>
      <w:bookmarkStart w:id="7196" w:name="_Toc496018497"/>
      <w:bookmarkStart w:id="7197" w:name="_Toc515787716"/>
      <w:bookmarkStart w:id="7198" w:name="_Toc515789416"/>
      <w:bookmarkStart w:id="7199" w:name="_Toc515790265"/>
      <w:bookmarkStart w:id="7200" w:name="_Toc515791114"/>
      <w:bookmarkStart w:id="7201" w:name="_Toc515791969"/>
      <w:bookmarkStart w:id="7202" w:name="_Toc515792819"/>
      <w:bookmarkStart w:id="7203" w:name="_Toc515793721"/>
      <w:bookmarkStart w:id="7204" w:name="_Toc515794626"/>
      <w:bookmarkStart w:id="7205" w:name="_Toc515796383"/>
      <w:bookmarkStart w:id="7206" w:name="_Toc488244797"/>
      <w:bookmarkStart w:id="7207" w:name="_Toc488247917"/>
      <w:bookmarkStart w:id="7208" w:name="_Toc488248561"/>
      <w:bookmarkStart w:id="7209" w:name="_Toc488249177"/>
      <w:bookmarkStart w:id="7210" w:name="_Toc488249793"/>
      <w:bookmarkStart w:id="7211" w:name="_Toc488330281"/>
      <w:bookmarkStart w:id="7212" w:name="_Toc488387135"/>
      <w:bookmarkStart w:id="7213" w:name="_Toc488402594"/>
      <w:bookmarkStart w:id="7214" w:name="_Toc488403417"/>
      <w:bookmarkStart w:id="7215" w:name="_Toc488404246"/>
      <w:bookmarkStart w:id="7216" w:name="_Toc488405077"/>
      <w:bookmarkStart w:id="7217" w:name="_Toc488405900"/>
      <w:bookmarkStart w:id="7218" w:name="_Toc488406729"/>
      <w:bookmarkStart w:id="7219" w:name="_Toc491409960"/>
      <w:bookmarkStart w:id="7220" w:name="_Toc496018498"/>
      <w:bookmarkStart w:id="7221" w:name="_Toc515787717"/>
      <w:bookmarkStart w:id="7222" w:name="_Toc515789417"/>
      <w:bookmarkStart w:id="7223" w:name="_Toc515790266"/>
      <w:bookmarkStart w:id="7224" w:name="_Toc515791115"/>
      <w:bookmarkStart w:id="7225" w:name="_Toc515791970"/>
      <w:bookmarkStart w:id="7226" w:name="_Toc515792820"/>
      <w:bookmarkStart w:id="7227" w:name="_Toc515793722"/>
      <w:bookmarkStart w:id="7228" w:name="_Toc515794627"/>
      <w:bookmarkStart w:id="7229" w:name="_Toc515796384"/>
      <w:bookmarkStart w:id="7230" w:name="_Toc488244798"/>
      <w:bookmarkStart w:id="7231" w:name="_Toc488247918"/>
      <w:bookmarkStart w:id="7232" w:name="_Toc488248562"/>
      <w:bookmarkStart w:id="7233" w:name="_Toc488249178"/>
      <w:bookmarkStart w:id="7234" w:name="_Toc488249794"/>
      <w:bookmarkStart w:id="7235" w:name="_Toc488330282"/>
      <w:bookmarkStart w:id="7236" w:name="_Toc488387136"/>
      <w:bookmarkStart w:id="7237" w:name="_Toc488402595"/>
      <w:bookmarkStart w:id="7238" w:name="_Toc488403418"/>
      <w:bookmarkStart w:id="7239" w:name="_Toc488404247"/>
      <w:bookmarkStart w:id="7240" w:name="_Toc488405078"/>
      <w:bookmarkStart w:id="7241" w:name="_Toc488405901"/>
      <w:bookmarkStart w:id="7242" w:name="_Toc488406730"/>
      <w:bookmarkStart w:id="7243" w:name="_Toc491409961"/>
      <w:bookmarkStart w:id="7244" w:name="_Toc496018499"/>
      <w:bookmarkStart w:id="7245" w:name="_Toc515787718"/>
      <w:bookmarkStart w:id="7246" w:name="_Toc515789418"/>
      <w:bookmarkStart w:id="7247" w:name="_Toc515790267"/>
      <w:bookmarkStart w:id="7248" w:name="_Toc515791116"/>
      <w:bookmarkStart w:id="7249" w:name="_Toc515791971"/>
      <w:bookmarkStart w:id="7250" w:name="_Toc515792821"/>
      <w:bookmarkStart w:id="7251" w:name="_Toc515793723"/>
      <w:bookmarkStart w:id="7252" w:name="_Toc515794628"/>
      <w:bookmarkStart w:id="7253" w:name="_Toc515796385"/>
      <w:bookmarkStart w:id="7254" w:name="_Toc488244799"/>
      <w:bookmarkStart w:id="7255" w:name="_Toc488247919"/>
      <w:bookmarkStart w:id="7256" w:name="_Toc488248563"/>
      <w:bookmarkStart w:id="7257" w:name="_Toc488249179"/>
      <w:bookmarkStart w:id="7258" w:name="_Toc488249795"/>
      <w:bookmarkStart w:id="7259" w:name="_Toc488330283"/>
      <w:bookmarkStart w:id="7260" w:name="_Toc488387137"/>
      <w:bookmarkStart w:id="7261" w:name="_Toc488402596"/>
      <w:bookmarkStart w:id="7262" w:name="_Toc488403419"/>
      <w:bookmarkStart w:id="7263" w:name="_Toc488404248"/>
      <w:bookmarkStart w:id="7264" w:name="_Toc488405079"/>
      <w:bookmarkStart w:id="7265" w:name="_Toc488405902"/>
      <w:bookmarkStart w:id="7266" w:name="_Toc488406731"/>
      <w:bookmarkStart w:id="7267" w:name="_Toc491409962"/>
      <w:bookmarkStart w:id="7268" w:name="_Toc496018500"/>
      <w:bookmarkStart w:id="7269" w:name="_Toc515787719"/>
      <w:bookmarkStart w:id="7270" w:name="_Toc515789419"/>
      <w:bookmarkStart w:id="7271" w:name="_Toc515790268"/>
      <w:bookmarkStart w:id="7272" w:name="_Toc515791117"/>
      <w:bookmarkStart w:id="7273" w:name="_Toc515791972"/>
      <w:bookmarkStart w:id="7274" w:name="_Toc515792822"/>
      <w:bookmarkStart w:id="7275" w:name="_Toc515793724"/>
      <w:bookmarkStart w:id="7276" w:name="_Toc515794629"/>
      <w:bookmarkStart w:id="7277" w:name="_Toc515796386"/>
      <w:bookmarkStart w:id="7278" w:name="_Toc488244800"/>
      <w:bookmarkStart w:id="7279" w:name="_Toc488247920"/>
      <w:bookmarkStart w:id="7280" w:name="_Toc488248564"/>
      <w:bookmarkStart w:id="7281" w:name="_Toc488249180"/>
      <w:bookmarkStart w:id="7282" w:name="_Toc488249796"/>
      <w:bookmarkStart w:id="7283" w:name="_Toc488330284"/>
      <w:bookmarkStart w:id="7284" w:name="_Toc488387138"/>
      <w:bookmarkStart w:id="7285" w:name="_Toc488402597"/>
      <w:bookmarkStart w:id="7286" w:name="_Toc488403420"/>
      <w:bookmarkStart w:id="7287" w:name="_Toc488404249"/>
      <w:bookmarkStart w:id="7288" w:name="_Toc488405080"/>
      <w:bookmarkStart w:id="7289" w:name="_Toc488405903"/>
      <w:bookmarkStart w:id="7290" w:name="_Toc488406732"/>
      <w:bookmarkStart w:id="7291" w:name="_Toc491409963"/>
      <w:bookmarkStart w:id="7292" w:name="_Toc496018501"/>
      <w:bookmarkStart w:id="7293" w:name="_Toc515787720"/>
      <w:bookmarkStart w:id="7294" w:name="_Toc515789420"/>
      <w:bookmarkStart w:id="7295" w:name="_Toc515790269"/>
      <w:bookmarkStart w:id="7296" w:name="_Toc515791118"/>
      <w:bookmarkStart w:id="7297" w:name="_Toc515791973"/>
      <w:bookmarkStart w:id="7298" w:name="_Toc515792823"/>
      <w:bookmarkStart w:id="7299" w:name="_Toc515793725"/>
      <w:bookmarkStart w:id="7300" w:name="_Toc515794630"/>
      <w:bookmarkStart w:id="7301" w:name="_Toc515796387"/>
      <w:bookmarkStart w:id="7302" w:name="_Toc488244801"/>
      <w:bookmarkStart w:id="7303" w:name="_Toc488247921"/>
      <w:bookmarkStart w:id="7304" w:name="_Toc488248565"/>
      <w:bookmarkStart w:id="7305" w:name="_Toc488249181"/>
      <w:bookmarkStart w:id="7306" w:name="_Toc488249797"/>
      <w:bookmarkStart w:id="7307" w:name="_Toc488330285"/>
      <w:bookmarkStart w:id="7308" w:name="_Toc488387139"/>
      <w:bookmarkStart w:id="7309" w:name="_Toc488402598"/>
      <w:bookmarkStart w:id="7310" w:name="_Toc488403421"/>
      <w:bookmarkStart w:id="7311" w:name="_Toc488404250"/>
      <w:bookmarkStart w:id="7312" w:name="_Toc488405081"/>
      <w:bookmarkStart w:id="7313" w:name="_Toc488405904"/>
      <w:bookmarkStart w:id="7314" w:name="_Toc488406733"/>
      <w:bookmarkStart w:id="7315" w:name="_Toc491409964"/>
      <w:bookmarkStart w:id="7316" w:name="_Toc496018502"/>
      <w:bookmarkStart w:id="7317" w:name="_Toc515787721"/>
      <w:bookmarkStart w:id="7318" w:name="_Toc515789421"/>
      <w:bookmarkStart w:id="7319" w:name="_Toc515790270"/>
      <w:bookmarkStart w:id="7320" w:name="_Toc515791119"/>
      <w:bookmarkStart w:id="7321" w:name="_Toc515791974"/>
      <w:bookmarkStart w:id="7322" w:name="_Toc515792824"/>
      <w:bookmarkStart w:id="7323" w:name="_Toc515793726"/>
      <w:bookmarkStart w:id="7324" w:name="_Toc515794631"/>
      <w:bookmarkStart w:id="7325" w:name="_Toc515796388"/>
      <w:bookmarkStart w:id="7326" w:name="_Toc488244802"/>
      <w:bookmarkStart w:id="7327" w:name="_Toc488247922"/>
      <w:bookmarkStart w:id="7328" w:name="_Toc488248566"/>
      <w:bookmarkStart w:id="7329" w:name="_Toc488249182"/>
      <w:bookmarkStart w:id="7330" w:name="_Toc488249798"/>
      <w:bookmarkStart w:id="7331" w:name="_Toc488330286"/>
      <w:bookmarkStart w:id="7332" w:name="_Toc488387140"/>
      <w:bookmarkStart w:id="7333" w:name="_Toc488402599"/>
      <w:bookmarkStart w:id="7334" w:name="_Toc488403422"/>
      <w:bookmarkStart w:id="7335" w:name="_Toc488404251"/>
      <w:bookmarkStart w:id="7336" w:name="_Toc488405082"/>
      <w:bookmarkStart w:id="7337" w:name="_Toc488405905"/>
      <w:bookmarkStart w:id="7338" w:name="_Toc488406734"/>
      <w:bookmarkStart w:id="7339" w:name="_Toc491409965"/>
      <w:bookmarkStart w:id="7340" w:name="_Toc496018503"/>
      <w:bookmarkStart w:id="7341" w:name="_Toc515787722"/>
      <w:bookmarkStart w:id="7342" w:name="_Toc515789422"/>
      <w:bookmarkStart w:id="7343" w:name="_Toc515790271"/>
      <w:bookmarkStart w:id="7344" w:name="_Toc515791120"/>
      <w:bookmarkStart w:id="7345" w:name="_Toc515791975"/>
      <w:bookmarkStart w:id="7346" w:name="_Toc515792825"/>
      <w:bookmarkStart w:id="7347" w:name="_Toc515793727"/>
      <w:bookmarkStart w:id="7348" w:name="_Toc515794632"/>
      <w:bookmarkStart w:id="7349" w:name="_Toc515796389"/>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r w:rsidRPr="004068F6">
        <w:rPr>
          <w:spacing w:val="-3"/>
        </w:rPr>
        <w:t xml:space="preserve">Igualmente, la EEA representa una herramienta técnica adicional para </w:t>
      </w:r>
      <w:r w:rsidR="00203C59" w:rsidRPr="004068F6">
        <w:rPr>
          <w:spacing w:val="-3"/>
        </w:rPr>
        <w:t xml:space="preserve">la cuantificación biofísica y monetaria </w:t>
      </w:r>
      <w:r w:rsidR="00D12EA8" w:rsidRPr="004068F6">
        <w:rPr>
          <w:spacing w:val="-3"/>
        </w:rPr>
        <w:t>que permite</w:t>
      </w:r>
      <w:r w:rsidRPr="004068F6">
        <w:rPr>
          <w:spacing w:val="-3"/>
        </w:rPr>
        <w:t xml:space="preserve"> exigir la </w:t>
      </w:r>
      <w:r w:rsidR="00203C59" w:rsidRPr="004068F6">
        <w:rPr>
          <w:spacing w:val="-3"/>
        </w:rPr>
        <w:t xml:space="preserve">compensación y </w:t>
      </w:r>
      <w:r w:rsidRPr="004068F6">
        <w:rPr>
          <w:spacing w:val="-3"/>
        </w:rPr>
        <w:t xml:space="preserve">reparación de daños causados de acuerdo </w:t>
      </w:r>
      <w:r w:rsidR="00D12EA8" w:rsidRPr="004068F6">
        <w:rPr>
          <w:spacing w:val="-3"/>
        </w:rPr>
        <w:t>con e</w:t>
      </w:r>
      <w:r w:rsidRPr="004068F6">
        <w:rPr>
          <w:spacing w:val="-3"/>
        </w:rPr>
        <w:t xml:space="preserve">l artículo 80 de la Constitución </w:t>
      </w:r>
      <w:r w:rsidR="00C21ACA" w:rsidRPr="004068F6">
        <w:rPr>
          <w:spacing w:val="-3"/>
        </w:rPr>
        <w:t>P</w:t>
      </w:r>
      <w:r w:rsidRPr="004068F6">
        <w:rPr>
          <w:spacing w:val="-3"/>
        </w:rPr>
        <w:t>olítica de Colombia de 1991, sin perjuicio de lo dispuesto en el procedimiento sancionatorio ambiental establecido por la Ley 1333 de 2009, o la norma que la sustituya o modifique.</w:t>
      </w:r>
    </w:p>
    <w:p w14:paraId="620679C8" w14:textId="77777777" w:rsidR="0056088F" w:rsidRPr="004068F6" w:rsidRDefault="0056088F" w:rsidP="00C86DA5"/>
    <w:p w14:paraId="2D7AD32F" w14:textId="2E277D9B" w:rsidR="0056088F" w:rsidRPr="00466E26" w:rsidRDefault="0056088F" w:rsidP="000A1E20">
      <w:pPr>
        <w:pStyle w:val="Ttulo3"/>
      </w:pPr>
      <w:bookmarkStart w:id="7350" w:name="_Ref415493129"/>
      <w:bookmarkStart w:id="7351" w:name="_Ref42636652"/>
      <w:bookmarkStart w:id="7352" w:name="_Toc230879706"/>
      <w:r w:rsidRPr="00466E26">
        <w:t>Etapas de la evaluación económica ambiental</w:t>
      </w:r>
      <w:bookmarkEnd w:id="7350"/>
      <w:r w:rsidRPr="00466E26">
        <w:t xml:space="preserve"> en el proceso de elaboración del EIA</w:t>
      </w:r>
      <w:bookmarkEnd w:id="7351"/>
      <w:bookmarkEnd w:id="7352"/>
    </w:p>
    <w:p w14:paraId="5C0490A2" w14:textId="77777777" w:rsidR="0056088F" w:rsidRPr="004068F6" w:rsidRDefault="0056088F">
      <w:pPr>
        <w:numPr>
          <w:ilvl w:val="12"/>
          <w:numId w:val="0"/>
        </w:numPr>
        <w:tabs>
          <w:tab w:val="left" w:pos="-2268"/>
        </w:tabs>
        <w:suppressAutoHyphens/>
        <w:rPr>
          <w:spacing w:val="-3"/>
        </w:rPr>
      </w:pPr>
    </w:p>
    <w:p w14:paraId="362D7988" w14:textId="4D8667DA" w:rsidR="0056088F" w:rsidRPr="004068F6" w:rsidRDefault="0056088F" w:rsidP="00C86DA5">
      <w:pPr>
        <w:tabs>
          <w:tab w:val="left" w:pos="-2268"/>
        </w:tabs>
        <w:suppressAutoHyphens/>
        <w:rPr>
          <w:spacing w:val="-3"/>
        </w:rPr>
      </w:pPr>
      <w:r w:rsidRPr="004068F6">
        <w:rPr>
          <w:spacing w:val="-3"/>
        </w:rPr>
        <w:t xml:space="preserve">Una de las fuentes de información de las autoridades ambientales para el proceso de decisión respecto del otorgamiento o negación de la licencia ambiental de un proyecto, es la EEA. El proceso metodológico para desarrollar esta evaluación comprende las siguientes fases: i) identificación de los impactos ambientales </w:t>
      </w:r>
      <w:r w:rsidR="00947F1F" w:rsidRPr="004068F6">
        <w:rPr>
          <w:spacing w:val="-3"/>
        </w:rPr>
        <w:t xml:space="preserve">positivos y negativos </w:t>
      </w:r>
      <w:r w:rsidRPr="004068F6">
        <w:rPr>
          <w:spacing w:val="-3"/>
        </w:rPr>
        <w:t xml:space="preserve">calificados como </w:t>
      </w:r>
      <w:r w:rsidRPr="004068F6">
        <w:rPr>
          <w:rFonts w:cs="Arial"/>
          <w:i/>
          <w:iCs/>
          <w:spacing w:val="-3"/>
        </w:rPr>
        <w:t>significativos</w:t>
      </w:r>
      <w:r w:rsidRPr="004068F6">
        <w:rPr>
          <w:spacing w:val="-3"/>
        </w:rPr>
        <w:t xml:space="preserve"> de acuerdo </w:t>
      </w:r>
      <w:r w:rsidRPr="004068F6">
        <w:rPr>
          <w:rFonts w:cs="Arial"/>
          <w:spacing w:val="-3"/>
        </w:rPr>
        <w:t>con</w:t>
      </w:r>
      <w:r w:rsidRPr="004068F6">
        <w:rPr>
          <w:spacing w:val="-3"/>
        </w:rPr>
        <w:t xml:space="preserve"> los </w:t>
      </w:r>
      <w:r w:rsidRPr="004068F6">
        <w:rPr>
          <w:rFonts w:cs="Arial"/>
          <w:spacing w:val="-3"/>
        </w:rPr>
        <w:t>resultados de la evaluación</w:t>
      </w:r>
      <w:r w:rsidRPr="004068F6">
        <w:rPr>
          <w:spacing w:val="-3"/>
        </w:rPr>
        <w:t xml:space="preserve"> ambiental</w:t>
      </w:r>
      <w:r w:rsidRPr="004068F6">
        <w:rPr>
          <w:rFonts w:cs="Arial"/>
          <w:spacing w:val="-3"/>
        </w:rPr>
        <w:t xml:space="preserve"> del EIA,</w:t>
      </w:r>
      <w:r w:rsidRPr="004068F6">
        <w:rPr>
          <w:spacing w:val="-3"/>
        </w:rPr>
        <w:t xml:space="preserve"> ii) </w:t>
      </w:r>
      <w:r w:rsidRPr="004068F6">
        <w:rPr>
          <w:rFonts w:cs="Arial"/>
          <w:spacing w:val="-3"/>
        </w:rPr>
        <w:t xml:space="preserve">clasificación de los impactos ambientales </w:t>
      </w:r>
      <w:r w:rsidRPr="004068F6">
        <w:rPr>
          <w:rFonts w:cs="Arial"/>
        </w:rPr>
        <w:t>en</w:t>
      </w:r>
      <w:r w:rsidRPr="004068F6">
        <w:t xml:space="preserve"> impactos</w:t>
      </w:r>
      <w:r w:rsidRPr="004068F6">
        <w:rPr>
          <w:spacing w:val="-3"/>
        </w:rPr>
        <w:t xml:space="preserve"> internalizables y no internalizables</w:t>
      </w:r>
      <w:r w:rsidRPr="004068F6">
        <w:rPr>
          <w:rFonts w:cs="Arial"/>
          <w:spacing w:val="-3"/>
        </w:rPr>
        <w:t>,</w:t>
      </w:r>
      <w:r w:rsidRPr="004068F6">
        <w:rPr>
          <w:spacing w:val="-3"/>
        </w:rPr>
        <w:t xml:space="preserve"> iii) cuantificación biofísica y; iv) análisis económico de impactos (análisis de internalización para los </w:t>
      </w:r>
      <w:r w:rsidRPr="004068F6">
        <w:rPr>
          <w:rFonts w:cs="Arial"/>
          <w:spacing w:val="-3"/>
        </w:rPr>
        <w:t>internaliza</w:t>
      </w:r>
      <w:r w:rsidRPr="004068F6">
        <w:rPr>
          <w:rFonts w:cs="Arial"/>
        </w:rPr>
        <w:t>bles</w:t>
      </w:r>
      <w:r w:rsidRPr="004068F6">
        <w:rPr>
          <w:spacing w:val="-3"/>
        </w:rPr>
        <w:t xml:space="preserve"> y análisis costo beneficio para los no </w:t>
      </w:r>
      <w:r w:rsidRPr="004068F6">
        <w:rPr>
          <w:rFonts w:cs="Arial"/>
          <w:spacing w:val="-3"/>
        </w:rPr>
        <w:t>internaliza</w:t>
      </w:r>
      <w:r w:rsidRPr="004068F6">
        <w:rPr>
          <w:rFonts w:cs="Arial"/>
        </w:rPr>
        <w:t>bles</w:t>
      </w:r>
      <w:r w:rsidRPr="004068F6">
        <w:rPr>
          <w:spacing w:val="-3"/>
        </w:rPr>
        <w:t xml:space="preserve">) (ver </w:t>
      </w:r>
      <w:r w:rsidRPr="004068F6">
        <w:rPr>
          <w:spacing w:val="-3"/>
        </w:rPr>
        <w:fldChar w:fldCharType="begin"/>
      </w:r>
      <w:r w:rsidRPr="004068F6">
        <w:rPr>
          <w:spacing w:val="-3"/>
        </w:rPr>
        <w:instrText xml:space="preserve"> REF _Ref488134092 \h  \* MERGEFORMAT </w:instrText>
      </w:r>
      <w:r w:rsidRPr="004068F6">
        <w:rPr>
          <w:spacing w:val="-3"/>
        </w:rPr>
      </w:r>
      <w:r w:rsidRPr="004068F6">
        <w:rPr>
          <w:spacing w:val="-3"/>
        </w:rPr>
        <w:fldChar w:fldCharType="separate"/>
      </w:r>
      <w:r w:rsidR="009C4A81" w:rsidRPr="009C4A81">
        <w:rPr>
          <w:spacing w:val="-3"/>
        </w:rPr>
        <w:t xml:space="preserve">Figura </w:t>
      </w:r>
      <w:r w:rsidR="009C4A81" w:rsidRPr="009C4A81">
        <w:rPr>
          <w:rFonts w:cs="Arial"/>
          <w:spacing w:val="-3"/>
        </w:rPr>
        <w:t>18</w:t>
      </w:r>
      <w:r w:rsidRPr="004068F6">
        <w:rPr>
          <w:spacing w:val="-3"/>
        </w:rPr>
        <w:fldChar w:fldCharType="end"/>
      </w:r>
      <w:r w:rsidRPr="004068F6">
        <w:rPr>
          <w:spacing w:val="-3"/>
        </w:rPr>
        <w:t>).</w:t>
      </w:r>
    </w:p>
    <w:p w14:paraId="04E49421" w14:textId="482C1BFB" w:rsidR="0056088F" w:rsidRDefault="0056088F" w:rsidP="00C86DA5">
      <w:pPr>
        <w:tabs>
          <w:tab w:val="left" w:pos="-2268"/>
        </w:tabs>
        <w:suppressAutoHyphens/>
        <w:rPr>
          <w:spacing w:val="-3"/>
        </w:rPr>
      </w:pPr>
    </w:p>
    <w:p w14:paraId="06971DEA" w14:textId="77777777" w:rsidR="00031C4F" w:rsidRPr="004068F6" w:rsidRDefault="00031C4F" w:rsidP="00031C4F">
      <w:pPr>
        <w:tabs>
          <w:tab w:val="left" w:pos="-2268"/>
        </w:tabs>
        <w:suppressAutoHyphens/>
        <w:rPr>
          <w:spacing w:val="-3"/>
        </w:rPr>
      </w:pPr>
      <w:r w:rsidRPr="004068F6">
        <w:rPr>
          <w:spacing w:val="-3"/>
        </w:rPr>
        <w:t xml:space="preserve">La EEA no es un acápite aislado en el EIA, se articula con </w:t>
      </w:r>
      <w:r w:rsidRPr="004068F6">
        <w:rPr>
          <w:rFonts w:cs="Arial"/>
        </w:rPr>
        <w:t>los demás</w:t>
      </w:r>
      <w:r w:rsidRPr="004068F6">
        <w:rPr>
          <w:spacing w:val="-3"/>
        </w:rPr>
        <w:t xml:space="preserve"> apartados de este estudio ambiental</w:t>
      </w:r>
      <w:r w:rsidRPr="004068F6">
        <w:rPr>
          <w:rFonts w:cs="Arial"/>
        </w:rPr>
        <w:t>, especialmente con la evaluación ambiental (en</w:t>
      </w:r>
      <w:r w:rsidRPr="004068F6">
        <w:t xml:space="preserve"> la </w:t>
      </w:r>
      <w:r w:rsidRPr="004068F6">
        <w:rPr>
          <w:rFonts w:cs="Arial"/>
        </w:rPr>
        <w:t xml:space="preserve">que se identifican y califican los </w:t>
      </w:r>
      <w:r w:rsidRPr="004068F6">
        <w:t>impactos</w:t>
      </w:r>
      <w:r w:rsidRPr="004068F6">
        <w:rPr>
          <w:rFonts w:cs="Arial"/>
        </w:rPr>
        <w:t>),</w:t>
      </w:r>
      <w:r w:rsidRPr="004068F6">
        <w:t xml:space="preserve"> la </w:t>
      </w:r>
      <w:r w:rsidRPr="004068F6">
        <w:rPr>
          <w:rFonts w:cs="Arial"/>
        </w:rPr>
        <w:t>caracterización ambiental, la definición de la demanda, uso, aprovechamiento y/o afectación</w:t>
      </w:r>
      <w:r w:rsidRPr="004068F6">
        <w:t xml:space="preserve"> de </w:t>
      </w:r>
      <w:r w:rsidRPr="004068F6">
        <w:rPr>
          <w:rFonts w:cs="Arial"/>
        </w:rPr>
        <w:t xml:space="preserve">recursos naturales, </w:t>
      </w:r>
      <w:r w:rsidRPr="004068F6">
        <w:rPr>
          <w:rFonts w:cs="Arial"/>
          <w:spacing w:val="-3"/>
        </w:rPr>
        <w:t>la evaluación</w:t>
      </w:r>
      <w:r w:rsidRPr="004068F6">
        <w:rPr>
          <w:spacing w:val="-3"/>
        </w:rPr>
        <w:t xml:space="preserve"> de los servicios ecosistémicos</w:t>
      </w:r>
      <w:r w:rsidRPr="004068F6">
        <w:rPr>
          <w:rFonts w:cs="Arial"/>
        </w:rPr>
        <w:t>, los programas de manejo ambiental, el plan de seguimiento y monitoreo, el plan de inversión de no menos del 1% y el plan de compensaciones del medio biótico</w:t>
      </w:r>
      <w:r w:rsidRPr="004068F6">
        <w:t>.</w:t>
      </w:r>
    </w:p>
    <w:p w14:paraId="6E633DD2" w14:textId="77777777" w:rsidR="00031C4F" w:rsidRPr="004068F6" w:rsidRDefault="00031C4F" w:rsidP="00031C4F">
      <w:pPr>
        <w:tabs>
          <w:tab w:val="left" w:pos="-2268"/>
        </w:tabs>
        <w:suppressAutoHyphens/>
        <w:rPr>
          <w:spacing w:val="-3"/>
        </w:rPr>
      </w:pPr>
    </w:p>
    <w:p w14:paraId="70479ABF" w14:textId="77777777" w:rsidR="00031C4F" w:rsidRPr="004068F6" w:rsidRDefault="00031C4F" w:rsidP="00031C4F">
      <w:pPr>
        <w:tabs>
          <w:tab w:val="left" w:pos="-2268"/>
        </w:tabs>
        <w:suppressAutoHyphens/>
        <w:rPr>
          <w:spacing w:val="-3"/>
        </w:rPr>
      </w:pPr>
      <w:r w:rsidRPr="004068F6">
        <w:rPr>
          <w:rFonts w:cs="Arial"/>
          <w:spacing w:val="-3"/>
        </w:rPr>
        <w:t>Los</w:t>
      </w:r>
      <w:r w:rsidRPr="004068F6">
        <w:rPr>
          <w:spacing w:val="-3"/>
        </w:rPr>
        <w:t xml:space="preserve"> requerimientos de información, procedimientos, consideraciones y referentes teóricos y metodológicos que se deben aplicar para desarrollar la EEA, </w:t>
      </w:r>
      <w:r w:rsidRPr="004068F6">
        <w:rPr>
          <w:rFonts w:cs="Arial"/>
          <w:spacing w:val="-3"/>
        </w:rPr>
        <w:t>se encuentran</w:t>
      </w:r>
      <w:r w:rsidRPr="004068F6">
        <w:rPr>
          <w:spacing w:val="-3"/>
        </w:rPr>
        <w:t xml:space="preserve"> descritos en detalle </w:t>
      </w:r>
      <w:r w:rsidRPr="004068F6">
        <w:rPr>
          <w:rFonts w:cs="Arial"/>
        </w:rPr>
        <w:t>dentro del</w:t>
      </w:r>
      <w:r w:rsidRPr="004068F6">
        <w:rPr>
          <w:spacing w:val="-3"/>
        </w:rPr>
        <w:t xml:space="preserve"> documento</w:t>
      </w:r>
      <w:r w:rsidRPr="004068F6">
        <w:rPr>
          <w:rFonts w:cs="Arial"/>
          <w:spacing w:val="-3"/>
        </w:rPr>
        <w:t xml:space="preserve"> anexo a la Resolución 1669 de 2017</w:t>
      </w:r>
      <w:r w:rsidRPr="004068F6">
        <w:rPr>
          <w:rFonts w:cs="Arial"/>
        </w:rPr>
        <w:t xml:space="preserve">, o aquella que la </w:t>
      </w:r>
      <w:r w:rsidRPr="004068F6">
        <w:rPr>
          <w:rFonts w:cs="Arial"/>
        </w:rPr>
        <w:lastRenderedPageBreak/>
        <w:t>sustituya</w:t>
      </w:r>
      <w:r w:rsidRPr="004068F6">
        <w:rPr>
          <w:rFonts w:cs="Arial"/>
          <w:i/>
          <w:iCs/>
          <w:spacing w:val="-3"/>
        </w:rPr>
        <w:t xml:space="preserve"> o </w:t>
      </w:r>
      <w:r w:rsidRPr="004068F6">
        <w:rPr>
          <w:rFonts w:cs="Arial"/>
          <w:iCs/>
          <w:spacing w:val="-3"/>
        </w:rPr>
        <w:t>modifique</w:t>
      </w:r>
      <w:r w:rsidRPr="004068F6">
        <w:rPr>
          <w:rFonts w:cs="Arial"/>
          <w:i/>
          <w:iCs/>
          <w:spacing w:val="-3"/>
        </w:rPr>
        <w:t xml:space="preserve">, </w:t>
      </w:r>
      <w:r w:rsidRPr="004068F6">
        <w:rPr>
          <w:rFonts w:cs="Arial"/>
          <w:iCs/>
          <w:spacing w:val="-3"/>
        </w:rPr>
        <w:t>llamado</w:t>
      </w:r>
      <w:r w:rsidRPr="004068F6">
        <w:rPr>
          <w:i/>
          <w:spacing w:val="-3"/>
        </w:rPr>
        <w:t xml:space="preserve"> Criterios técnicos para el uso de herramientas económicas en los proyectos, obras o actividades objeto de licenciamiento ambiental</w:t>
      </w:r>
      <w:r w:rsidRPr="004068F6">
        <w:rPr>
          <w:rFonts w:cs="Arial"/>
        </w:rPr>
        <w:t>.</w:t>
      </w:r>
      <w:r w:rsidRPr="004068F6">
        <w:rPr>
          <w:spacing w:val="-3"/>
        </w:rPr>
        <w:t xml:space="preserve"> Este documento, al ofrecer un panorama amplio de la aplicación de la economía ambiental en el marco del licenciamiento, facilita la comprensión y desarrollo de esta evaluación.</w:t>
      </w:r>
    </w:p>
    <w:p w14:paraId="17A0050D" w14:textId="77777777" w:rsidR="00031C4F" w:rsidRDefault="00031C4F" w:rsidP="00C86DA5">
      <w:pPr>
        <w:tabs>
          <w:tab w:val="left" w:pos="-2268"/>
        </w:tabs>
        <w:suppressAutoHyphens/>
        <w:rPr>
          <w:spacing w:val="-3"/>
        </w:rPr>
      </w:pPr>
    </w:p>
    <w:p w14:paraId="1B2AFA26" w14:textId="3FAE0CD3" w:rsidR="000F47FF" w:rsidRPr="004068F6" w:rsidRDefault="000F47FF" w:rsidP="000F47FF">
      <w:pPr>
        <w:numPr>
          <w:ilvl w:val="12"/>
          <w:numId w:val="0"/>
        </w:numPr>
        <w:tabs>
          <w:tab w:val="left" w:pos="-2268"/>
        </w:tabs>
        <w:suppressAutoHyphens/>
        <w:jc w:val="center"/>
        <w:rPr>
          <w:spacing w:val="-3"/>
        </w:rPr>
      </w:pPr>
      <w:bookmarkStart w:id="7353" w:name="_Ref488134092"/>
      <w:r w:rsidRPr="004068F6">
        <w:rPr>
          <w:b/>
          <w:spacing w:val="-3"/>
        </w:rPr>
        <w:t xml:space="preserve">Figura </w:t>
      </w:r>
      <w:r w:rsidR="004647AE">
        <w:rPr>
          <w:b/>
          <w:spacing w:val="-3"/>
        </w:rPr>
        <w:fldChar w:fldCharType="begin"/>
      </w:r>
      <w:r w:rsidR="004647AE">
        <w:rPr>
          <w:b/>
          <w:spacing w:val="-3"/>
        </w:rPr>
        <w:instrText xml:space="preserve"> SEQ Figura \* ARABIC </w:instrText>
      </w:r>
      <w:r w:rsidR="004647AE">
        <w:rPr>
          <w:b/>
          <w:spacing w:val="-3"/>
        </w:rPr>
        <w:fldChar w:fldCharType="separate"/>
      </w:r>
      <w:r w:rsidR="009C4A81">
        <w:rPr>
          <w:b/>
          <w:noProof/>
          <w:spacing w:val="-3"/>
        </w:rPr>
        <w:t>18</w:t>
      </w:r>
      <w:r w:rsidR="004647AE">
        <w:rPr>
          <w:b/>
          <w:spacing w:val="-3"/>
        </w:rPr>
        <w:fldChar w:fldCharType="end"/>
      </w:r>
      <w:bookmarkEnd w:id="7353"/>
      <w:r w:rsidRPr="004068F6">
        <w:rPr>
          <w:b/>
          <w:spacing w:val="-3"/>
        </w:rPr>
        <w:t xml:space="preserve">. </w:t>
      </w:r>
      <w:r w:rsidRPr="004068F6">
        <w:rPr>
          <w:spacing w:val="-3"/>
        </w:rPr>
        <w:t>Estructura general del proceso de evaluación económica ambiental en los EIA</w:t>
      </w:r>
    </w:p>
    <w:p w14:paraId="5ACB50E8" w14:textId="77777777" w:rsidR="000F47FF" w:rsidRPr="004068F6" w:rsidRDefault="000F47FF" w:rsidP="000F47FF">
      <w:pPr>
        <w:numPr>
          <w:ilvl w:val="12"/>
          <w:numId w:val="0"/>
        </w:numPr>
        <w:tabs>
          <w:tab w:val="left" w:pos="-2268"/>
        </w:tabs>
        <w:suppressAutoHyphens/>
        <w:jc w:val="center"/>
        <w:rPr>
          <w:rFonts w:cs="Arial"/>
          <w:b/>
          <w:spacing w:val="-3"/>
        </w:rPr>
      </w:pPr>
      <w:r w:rsidRPr="00AA2094">
        <w:rPr>
          <w:rFonts w:cs="Arial"/>
          <w:b/>
          <w:noProof/>
          <w:lang w:eastAsia="es-CO"/>
        </w:rPr>
        <mc:AlternateContent>
          <mc:Choice Requires="wpg">
            <w:drawing>
              <wp:inline distT="0" distB="0" distL="0" distR="0" wp14:anchorId="1FFC9304" wp14:editId="37A0B55A">
                <wp:extent cx="4463415" cy="3217653"/>
                <wp:effectExtent l="0" t="0" r="13335" b="20955"/>
                <wp:docPr id="2634" name="Grupo 2634"/>
                <wp:cNvGraphicFramePr/>
                <a:graphic xmlns:a="http://schemas.openxmlformats.org/drawingml/2006/main">
                  <a:graphicData uri="http://schemas.microsoft.com/office/word/2010/wordprocessingGroup">
                    <wpg:wgp>
                      <wpg:cNvGrpSpPr/>
                      <wpg:grpSpPr>
                        <a:xfrm>
                          <a:off x="0" y="0"/>
                          <a:ext cx="4463415" cy="3217653"/>
                          <a:chOff x="0" y="10201"/>
                          <a:chExt cx="4499595" cy="4016471"/>
                        </a:xfrm>
                      </wpg:grpSpPr>
                      <wpg:grpSp>
                        <wpg:cNvPr id="2635" name="49 Grupo"/>
                        <wpg:cNvGrpSpPr/>
                        <wpg:grpSpPr>
                          <a:xfrm>
                            <a:off x="0" y="10201"/>
                            <a:ext cx="4472393" cy="4016471"/>
                            <a:chOff x="0" y="10203"/>
                            <a:chExt cx="4472393" cy="4016688"/>
                          </a:xfrm>
                        </wpg:grpSpPr>
                        <wps:wsp>
                          <wps:cNvPr id="2636" name="2095 Rectángulo"/>
                          <wps:cNvSpPr/>
                          <wps:spPr>
                            <a:xfrm>
                              <a:off x="1330641" y="138230"/>
                              <a:ext cx="1800225" cy="593468"/>
                            </a:xfrm>
                            <a:prstGeom prst="rect">
                              <a:avLst/>
                            </a:prstGeom>
                            <a:ln w="19050">
                              <a:solidFill>
                                <a:schemeClr val="bg1">
                                  <a:lumMod val="65000"/>
                                </a:schemeClr>
                              </a:solidFill>
                            </a:ln>
                          </wps:spPr>
                          <wps:style>
                            <a:lnRef idx="2">
                              <a:schemeClr val="accent2"/>
                            </a:lnRef>
                            <a:fillRef idx="1">
                              <a:schemeClr val="lt1"/>
                            </a:fillRef>
                            <a:effectRef idx="0">
                              <a:schemeClr val="accent2"/>
                            </a:effectRef>
                            <a:fontRef idx="minor">
                              <a:schemeClr val="dk1"/>
                            </a:fontRef>
                          </wps:style>
                          <wps:txbx>
                            <w:txbxContent>
                              <w:p w14:paraId="4E37EE1A" w14:textId="77777777" w:rsidR="000F47FF" w:rsidRPr="004E4C01" w:rsidRDefault="000F47FF" w:rsidP="000F47FF">
                                <w:pPr>
                                  <w:pStyle w:val="NormalWeb"/>
                                  <w:overflowPunct w:val="0"/>
                                  <w:spacing w:before="0" w:after="0"/>
                                  <w:jc w:val="center"/>
                                  <w:rPr>
                                    <w:sz w:val="22"/>
                                  </w:rPr>
                                </w:pPr>
                                <w:r w:rsidRPr="004E4C01">
                                  <w:rPr>
                                    <w:rFonts w:cstheme="minorBidi"/>
                                    <w:color w:val="000000" w:themeColor="dark1"/>
                                    <w:kern w:val="24"/>
                                    <w:sz w:val="20"/>
                                    <w:szCs w:val="22"/>
                                  </w:rPr>
                                  <w:t>Identificación de impactos ambientales significativos positivos y negativos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37" name="2096 Elipse"/>
                          <wps:cNvSpPr>
                            <a:spLocks noChangeAspect="1"/>
                          </wps:cNvSpPr>
                          <wps:spPr>
                            <a:xfrm>
                              <a:off x="1056173" y="10203"/>
                              <a:ext cx="342900" cy="342900"/>
                            </a:xfrm>
                            <a:prstGeom prst="ellipse">
                              <a:avLst/>
                            </a:prstGeom>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52B62759"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1</w:t>
                                </w:r>
                              </w:p>
                            </w:txbxContent>
                          </wps:txbx>
                          <wps:bodyPr rot="0" spcFirstLastPara="0" vert="horz" wrap="square" lIns="0" tIns="0" rIns="0" bIns="0" numCol="1" spcCol="0" rtlCol="0" fromWordArt="0" anchor="ctr" anchorCtr="0" forceAA="0" compatLnSpc="1">
                            <a:prstTxWarp prst="textNoShape">
                              <a:avLst/>
                            </a:prstTxWarp>
                            <a:noAutofit/>
                          </wps:bodyPr>
                        </wps:wsp>
                        <wpg:grpSp>
                          <wpg:cNvPr id="2638" name="45 Grupo"/>
                          <wpg:cNvGrpSpPr/>
                          <wpg:grpSpPr>
                            <a:xfrm>
                              <a:off x="0" y="816456"/>
                              <a:ext cx="2000252" cy="781473"/>
                              <a:chOff x="0" y="816456"/>
                              <a:chExt cx="2000252" cy="781473"/>
                            </a:xfrm>
                          </wpg:grpSpPr>
                          <wps:wsp>
                            <wps:cNvPr id="2639" name="2100 Rectángulo"/>
                            <wps:cNvSpPr/>
                            <wps:spPr>
                              <a:xfrm>
                                <a:off x="200026" y="1131206"/>
                                <a:ext cx="1800226" cy="466723"/>
                              </a:xfrm>
                              <a:prstGeom prst="rect">
                                <a:avLst/>
                              </a:prstGeom>
                              <a:ln w="19050">
                                <a:solidFill>
                                  <a:schemeClr val="bg1">
                                    <a:lumMod val="65000"/>
                                  </a:schemeClr>
                                </a:solidFill>
                              </a:ln>
                            </wps:spPr>
                            <wps:style>
                              <a:lnRef idx="2">
                                <a:schemeClr val="accent2"/>
                              </a:lnRef>
                              <a:fillRef idx="1">
                                <a:schemeClr val="lt1"/>
                              </a:fillRef>
                              <a:effectRef idx="0">
                                <a:schemeClr val="accent2"/>
                              </a:effectRef>
                              <a:fontRef idx="minor">
                                <a:schemeClr val="dk1"/>
                              </a:fontRef>
                            </wps:style>
                            <wps:txbx>
                              <w:txbxContent>
                                <w:p w14:paraId="31105B3F" w14:textId="77777777" w:rsidR="000F47FF" w:rsidRPr="004E4C01" w:rsidRDefault="000F47FF" w:rsidP="000F47FF">
                                  <w:pPr>
                                    <w:pStyle w:val="NormalWeb"/>
                                    <w:overflowPunct w:val="0"/>
                                    <w:spacing w:before="0" w:after="0"/>
                                    <w:jc w:val="center"/>
                                    <w:rPr>
                                      <w:sz w:val="22"/>
                                    </w:rPr>
                                  </w:pPr>
                                  <w:r w:rsidRPr="004E4C01">
                                    <w:rPr>
                                      <w:rFonts w:cstheme="minorBidi"/>
                                      <w:color w:val="000000" w:themeColor="dark1"/>
                                      <w:kern w:val="24"/>
                                      <w:sz w:val="20"/>
                                      <w:szCs w:val="22"/>
                                    </w:rPr>
                                    <w:t>Identificación de impactos internalizables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40" name="2101 Elipse"/>
                            <wps:cNvSpPr>
                              <a:spLocks noChangeAspect="1"/>
                            </wps:cNvSpPr>
                            <wps:spPr>
                              <a:xfrm>
                                <a:off x="0" y="816456"/>
                                <a:ext cx="342900" cy="342900"/>
                              </a:xfrm>
                              <a:prstGeom prst="ellipse">
                                <a:avLst/>
                              </a:prstGeom>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5B895887"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2</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641" name="46 Grupo"/>
                          <wpg:cNvGrpSpPr/>
                          <wpg:grpSpPr>
                            <a:xfrm>
                              <a:off x="2491599" y="816456"/>
                              <a:ext cx="1980794" cy="781473"/>
                              <a:chOff x="2491599" y="816456"/>
                              <a:chExt cx="1980794" cy="781473"/>
                            </a:xfrm>
                          </wpg:grpSpPr>
                          <wps:wsp>
                            <wps:cNvPr id="2642" name="2103 Rectángulo"/>
                            <wps:cNvSpPr/>
                            <wps:spPr>
                              <a:xfrm>
                                <a:off x="2491599" y="1131206"/>
                                <a:ext cx="1799693" cy="466723"/>
                              </a:xfrm>
                              <a:prstGeom prst="rect">
                                <a:avLst/>
                              </a:prstGeom>
                              <a:ln w="19050">
                                <a:solidFill>
                                  <a:schemeClr val="bg1">
                                    <a:lumMod val="65000"/>
                                  </a:schemeClr>
                                </a:solidFill>
                              </a:ln>
                            </wps:spPr>
                            <wps:style>
                              <a:lnRef idx="2">
                                <a:schemeClr val="accent2"/>
                              </a:lnRef>
                              <a:fillRef idx="1">
                                <a:schemeClr val="lt1"/>
                              </a:fillRef>
                              <a:effectRef idx="0">
                                <a:schemeClr val="accent2"/>
                              </a:effectRef>
                              <a:fontRef idx="minor">
                                <a:schemeClr val="dk1"/>
                              </a:fontRef>
                            </wps:style>
                            <wps:txbx>
                              <w:txbxContent>
                                <w:p w14:paraId="3F160850" w14:textId="77777777" w:rsidR="000F47FF" w:rsidRPr="004E4C01" w:rsidRDefault="000F47FF" w:rsidP="000F47FF">
                                  <w:pPr>
                                    <w:pStyle w:val="NormalWeb"/>
                                    <w:overflowPunct w:val="0"/>
                                    <w:spacing w:before="0" w:after="0"/>
                                    <w:jc w:val="center"/>
                                    <w:rPr>
                                      <w:sz w:val="20"/>
                                      <w:szCs w:val="20"/>
                                    </w:rPr>
                                  </w:pPr>
                                  <w:r w:rsidRPr="004E4C01">
                                    <w:rPr>
                                      <w:rFonts w:cstheme="minorBidi"/>
                                      <w:color w:val="000000" w:themeColor="dark1"/>
                                      <w:kern w:val="24"/>
                                      <w:sz w:val="20"/>
                                      <w:szCs w:val="20"/>
                                    </w:rPr>
                                    <w:t>Identificación de impactos no internalizables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43" name="2104 Elipse"/>
                            <wps:cNvSpPr>
                              <a:spLocks noChangeAspect="1"/>
                            </wps:cNvSpPr>
                            <wps:spPr>
                              <a:xfrm>
                                <a:off x="4129493" y="816456"/>
                                <a:ext cx="342900" cy="342900"/>
                              </a:xfrm>
                              <a:prstGeom prst="ellipse">
                                <a:avLst/>
                              </a:prstGeom>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4B49B3A9"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2</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644" name="2106 Rectángulo"/>
                          <wps:cNvSpPr/>
                          <wps:spPr>
                            <a:xfrm>
                              <a:off x="199331" y="2045129"/>
                              <a:ext cx="1800225" cy="466725"/>
                            </a:xfrm>
                            <a:prstGeom prst="rect">
                              <a:avLst/>
                            </a:prstGeom>
                            <a:ln w="19050">
                              <a:solidFill>
                                <a:schemeClr val="bg1">
                                  <a:lumMod val="65000"/>
                                </a:schemeClr>
                              </a:solidFill>
                            </a:ln>
                          </wps:spPr>
                          <wps:style>
                            <a:lnRef idx="2">
                              <a:schemeClr val="accent2"/>
                            </a:lnRef>
                            <a:fillRef idx="1">
                              <a:schemeClr val="lt1"/>
                            </a:fillRef>
                            <a:effectRef idx="0">
                              <a:schemeClr val="accent2"/>
                            </a:effectRef>
                            <a:fontRef idx="minor">
                              <a:schemeClr val="dk1"/>
                            </a:fontRef>
                          </wps:style>
                          <wps:txbx>
                            <w:txbxContent>
                              <w:p w14:paraId="657E48FD" w14:textId="77777777" w:rsidR="000F47FF" w:rsidRPr="004E4C01" w:rsidRDefault="000F47FF" w:rsidP="000F47FF">
                                <w:pPr>
                                  <w:pStyle w:val="NormalWeb"/>
                                  <w:overflowPunct w:val="0"/>
                                  <w:spacing w:before="0" w:after="0"/>
                                  <w:jc w:val="center"/>
                                  <w:rPr>
                                    <w:sz w:val="20"/>
                                    <w:szCs w:val="20"/>
                                  </w:rPr>
                                </w:pPr>
                                <w:r w:rsidRPr="004E4C01">
                                  <w:rPr>
                                    <w:rFonts w:cstheme="minorBidi"/>
                                    <w:color w:val="000000" w:themeColor="dark1"/>
                                    <w:kern w:val="24"/>
                                    <w:sz w:val="20"/>
                                    <w:szCs w:val="20"/>
                                  </w:rPr>
                                  <w:t>Cuantificación biofísica de los impactos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45" name="2107 Elipse"/>
                          <wps:cNvSpPr>
                            <a:spLocks noChangeAspect="1"/>
                          </wps:cNvSpPr>
                          <wps:spPr>
                            <a:xfrm>
                              <a:off x="11195" y="1798439"/>
                              <a:ext cx="342900" cy="342900"/>
                            </a:xfrm>
                            <a:prstGeom prst="ellipse">
                              <a:avLst/>
                            </a:prstGeom>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38C2EFA5"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46" name="18 Conector angular"/>
                          <wps:cNvCnPr>
                            <a:stCxn id="2636" idx="2"/>
                            <a:endCxn id="2639" idx="0"/>
                          </wps:cNvCnPr>
                          <wps:spPr>
                            <a:xfrm rot="5400000">
                              <a:off x="1465693" y="366146"/>
                              <a:ext cx="399508" cy="1130614"/>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47" name="19 Conector angular"/>
                          <wps:cNvCnPr>
                            <a:stCxn id="2636" idx="2"/>
                            <a:endCxn id="2642" idx="0"/>
                          </wps:cNvCnPr>
                          <wps:spPr>
                            <a:xfrm rot="16200000" flipH="1">
                              <a:off x="2611345" y="351106"/>
                              <a:ext cx="399508" cy="1160692"/>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48" name="22 Conector angular"/>
                          <wps:cNvCnPr>
                            <a:stCxn id="2642" idx="2"/>
                            <a:endCxn id="2659" idx="0"/>
                          </wps:cNvCnPr>
                          <wps:spPr>
                            <a:xfrm rot="16200000" flipH="1">
                              <a:off x="3159611" y="1829762"/>
                              <a:ext cx="467523" cy="3854"/>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49" name="25 Conector angular"/>
                          <wps:cNvCnPr>
                            <a:stCxn id="2639" idx="2"/>
                            <a:endCxn id="2644" idx="0"/>
                          </wps:cNvCnPr>
                          <wps:spPr>
                            <a:xfrm rot="5400000">
                              <a:off x="876193" y="1821180"/>
                              <a:ext cx="447200" cy="697"/>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650" name="48 Grupo"/>
                          <wpg:cNvGrpSpPr/>
                          <wpg:grpSpPr>
                            <a:xfrm>
                              <a:off x="0" y="2804105"/>
                              <a:ext cx="2000250" cy="1201248"/>
                              <a:chOff x="0" y="2804105"/>
                              <a:chExt cx="2000250" cy="1201248"/>
                            </a:xfrm>
                          </wpg:grpSpPr>
                          <wps:wsp>
                            <wps:cNvPr id="2651" name="2100 Rectángulo"/>
                            <wps:cNvSpPr/>
                            <wps:spPr>
                              <a:xfrm>
                                <a:off x="200025" y="3013145"/>
                                <a:ext cx="1800225" cy="992208"/>
                              </a:xfrm>
                              <a:prstGeom prst="rect">
                                <a:avLst/>
                              </a:prstGeom>
                              <a:ln w="19050">
                                <a:solidFill>
                                  <a:schemeClr val="bg1">
                                    <a:lumMod val="65000"/>
                                  </a:schemeClr>
                                </a:solidFill>
                              </a:ln>
                            </wps:spPr>
                            <wps:style>
                              <a:lnRef idx="2">
                                <a:schemeClr val="accent2"/>
                              </a:lnRef>
                              <a:fillRef idx="1">
                                <a:schemeClr val="lt1"/>
                              </a:fillRef>
                              <a:effectRef idx="0">
                                <a:schemeClr val="accent2"/>
                              </a:effectRef>
                              <a:fontRef idx="minor">
                                <a:schemeClr val="dk1"/>
                              </a:fontRef>
                            </wps:style>
                            <wps:txbx>
                              <w:txbxContent>
                                <w:p w14:paraId="29706FB3" w14:textId="77777777" w:rsidR="000F47FF" w:rsidRPr="004E4C01" w:rsidRDefault="000F47FF" w:rsidP="000F47FF">
                                  <w:pPr>
                                    <w:pStyle w:val="NormalWeb"/>
                                    <w:overflowPunct w:val="0"/>
                                    <w:spacing w:before="0" w:after="0"/>
                                    <w:jc w:val="center"/>
                                    <w:rPr>
                                      <w:rFonts w:cstheme="minorBidi"/>
                                      <w:color w:val="000000" w:themeColor="dark1"/>
                                      <w:kern w:val="24"/>
                                      <w:sz w:val="20"/>
                                      <w:szCs w:val="20"/>
                                    </w:rPr>
                                  </w:pPr>
                                  <w:r w:rsidRPr="004E4C01">
                                    <w:rPr>
                                      <w:rFonts w:cstheme="minorBidi"/>
                                      <w:color w:val="000000" w:themeColor="dark1"/>
                                      <w:kern w:val="24"/>
                                      <w:sz w:val="20"/>
                                      <w:szCs w:val="20"/>
                                    </w:rPr>
                                    <w:t>Análisis económico de impactos:</w:t>
                                  </w:r>
                                </w:p>
                                <w:p w14:paraId="5979E8F0" w14:textId="77777777" w:rsidR="000F47FF" w:rsidRPr="004E4C01" w:rsidRDefault="000F47FF" w:rsidP="000F47FF">
                                  <w:pPr>
                                    <w:pStyle w:val="NormalWeb"/>
                                    <w:overflowPunct w:val="0"/>
                                    <w:spacing w:before="0" w:after="0"/>
                                    <w:jc w:val="center"/>
                                    <w:rPr>
                                      <w:sz w:val="20"/>
                                      <w:szCs w:val="20"/>
                                    </w:rPr>
                                  </w:pPr>
                                  <w:r w:rsidRPr="004E4C01">
                                    <w:rPr>
                                      <w:rFonts w:cstheme="minorBidi"/>
                                      <w:color w:val="000000" w:themeColor="dark1"/>
                                      <w:kern w:val="24"/>
                                      <w:sz w:val="20"/>
                                      <w:szCs w:val="20"/>
                                    </w:rPr>
                                    <w:t>Análisis de internalización (costos preventivos y correctivos)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52" name="2101 Elipse"/>
                            <wps:cNvSpPr>
                              <a:spLocks noChangeAspect="1"/>
                            </wps:cNvSpPr>
                            <wps:spPr>
                              <a:xfrm>
                                <a:off x="0" y="2804105"/>
                                <a:ext cx="342900" cy="342900"/>
                              </a:xfrm>
                              <a:prstGeom prst="ellipse">
                                <a:avLst/>
                              </a:prstGeom>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34EA20E5"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rPr>
                                    <w:t>4</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653" name="47 Grupo"/>
                          <wpg:cNvGrpSpPr/>
                          <wpg:grpSpPr>
                            <a:xfrm>
                              <a:off x="2492334" y="2785049"/>
                              <a:ext cx="1971103" cy="1241842"/>
                              <a:chOff x="2492334" y="2785049"/>
                              <a:chExt cx="1971103" cy="1241842"/>
                            </a:xfrm>
                          </wpg:grpSpPr>
                          <wps:wsp>
                            <wps:cNvPr id="2654" name="2103 Rectángulo"/>
                            <wps:cNvSpPr/>
                            <wps:spPr>
                              <a:xfrm>
                                <a:off x="2492334" y="3013054"/>
                                <a:ext cx="1800225" cy="1013837"/>
                              </a:xfrm>
                              <a:prstGeom prst="rect">
                                <a:avLst/>
                              </a:prstGeom>
                              <a:ln w="19050">
                                <a:solidFill>
                                  <a:schemeClr val="bg1">
                                    <a:lumMod val="65000"/>
                                  </a:schemeClr>
                                </a:solidFill>
                              </a:ln>
                            </wps:spPr>
                            <wps:style>
                              <a:lnRef idx="2">
                                <a:schemeClr val="accent2"/>
                              </a:lnRef>
                              <a:fillRef idx="1">
                                <a:schemeClr val="lt1"/>
                              </a:fillRef>
                              <a:effectRef idx="0">
                                <a:schemeClr val="accent2"/>
                              </a:effectRef>
                              <a:fontRef idx="minor">
                                <a:schemeClr val="dk1"/>
                              </a:fontRef>
                            </wps:style>
                            <wps:txbx>
                              <w:txbxContent>
                                <w:p w14:paraId="14FCC5A3" w14:textId="77777777" w:rsidR="000F47FF" w:rsidRPr="004E4C01" w:rsidRDefault="000F47FF" w:rsidP="000F47FF">
                                  <w:pPr>
                                    <w:pStyle w:val="NormalWeb"/>
                                    <w:overflowPunct w:val="0"/>
                                    <w:spacing w:before="0" w:after="0"/>
                                    <w:jc w:val="center"/>
                                    <w:rPr>
                                      <w:rFonts w:cstheme="minorBidi"/>
                                      <w:color w:val="000000" w:themeColor="dark1"/>
                                      <w:kern w:val="24"/>
                                      <w:sz w:val="20"/>
                                      <w:szCs w:val="20"/>
                                    </w:rPr>
                                  </w:pPr>
                                  <w:r w:rsidRPr="004E4C01">
                                    <w:rPr>
                                      <w:rFonts w:cstheme="minorBidi"/>
                                      <w:color w:val="000000" w:themeColor="dark1"/>
                                      <w:kern w:val="24"/>
                                      <w:sz w:val="20"/>
                                      <w:szCs w:val="20"/>
                                    </w:rPr>
                                    <w:t>Análisis económico de impactos:</w:t>
                                  </w:r>
                                </w:p>
                                <w:p w14:paraId="4036CCE4" w14:textId="77777777" w:rsidR="000F47FF" w:rsidRPr="004E4C01" w:rsidRDefault="000F47FF" w:rsidP="000F47FF">
                                  <w:pPr>
                                    <w:pStyle w:val="NormalWeb"/>
                                    <w:overflowPunct w:val="0"/>
                                    <w:spacing w:before="0" w:after="0"/>
                                    <w:jc w:val="center"/>
                                    <w:rPr>
                                      <w:rFonts w:cstheme="minorBidi"/>
                                      <w:color w:val="000000" w:themeColor="dark1"/>
                                      <w:kern w:val="24"/>
                                      <w:sz w:val="20"/>
                                      <w:szCs w:val="20"/>
                                    </w:rPr>
                                  </w:pPr>
                                  <w:r w:rsidRPr="004E4C01">
                                    <w:rPr>
                                      <w:rFonts w:cstheme="minorBidi"/>
                                      <w:color w:val="000000" w:themeColor="dark1"/>
                                      <w:kern w:val="24"/>
                                      <w:sz w:val="20"/>
                                      <w:szCs w:val="20"/>
                                    </w:rPr>
                                    <w:t>Análisis Costo Beneficio de impactos positivos y negativos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55" name="2104 Elipse"/>
                            <wps:cNvSpPr>
                              <a:spLocks noChangeAspect="1"/>
                            </wps:cNvSpPr>
                            <wps:spPr>
                              <a:xfrm>
                                <a:off x="4120537" y="2785049"/>
                                <a:ext cx="342900" cy="342900"/>
                              </a:xfrm>
                              <a:prstGeom prst="ellipse">
                                <a:avLst/>
                              </a:prstGeom>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115F1608"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rPr>
                                    <w:t>4</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656" name="34 Conector angular"/>
                          <wps:cNvCnPr>
                            <a:stCxn id="2659" idx="2"/>
                            <a:endCxn id="2654" idx="0"/>
                          </wps:cNvCnPr>
                          <wps:spPr>
                            <a:xfrm rot="5400000">
                              <a:off x="3153130" y="2770883"/>
                              <a:ext cx="481487" cy="2853"/>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57" name="37 Conector angular"/>
                          <wps:cNvCnPr>
                            <a:stCxn id="2644" idx="2"/>
                            <a:endCxn id="2651" idx="0"/>
                          </wps:cNvCnPr>
                          <wps:spPr>
                            <a:xfrm rot="16200000" flipH="1">
                              <a:off x="849144" y="2762152"/>
                              <a:ext cx="501291" cy="69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2658" name="Grupo 2658"/>
                        <wpg:cNvGrpSpPr/>
                        <wpg:grpSpPr>
                          <a:xfrm>
                            <a:off x="2495753" y="1831009"/>
                            <a:ext cx="2003842" cy="700419"/>
                            <a:chOff x="18367" y="-19056"/>
                            <a:chExt cx="2003842" cy="700419"/>
                          </a:xfrm>
                        </wpg:grpSpPr>
                        <wps:wsp>
                          <wps:cNvPr id="2659" name="2106 Rectángulo"/>
                          <wps:cNvSpPr/>
                          <wps:spPr>
                            <a:xfrm>
                              <a:off x="18367" y="215273"/>
                              <a:ext cx="1799094" cy="466090"/>
                            </a:xfrm>
                            <a:prstGeom prst="rect">
                              <a:avLst/>
                            </a:prstGeom>
                            <a:ln w="19050">
                              <a:solidFill>
                                <a:schemeClr val="bg1">
                                  <a:lumMod val="65000"/>
                                </a:schemeClr>
                              </a:solidFill>
                            </a:ln>
                          </wps:spPr>
                          <wps:style>
                            <a:lnRef idx="2">
                              <a:schemeClr val="accent2"/>
                            </a:lnRef>
                            <a:fillRef idx="1">
                              <a:schemeClr val="lt1"/>
                            </a:fillRef>
                            <a:effectRef idx="0">
                              <a:schemeClr val="accent2"/>
                            </a:effectRef>
                            <a:fontRef idx="minor">
                              <a:schemeClr val="dk1"/>
                            </a:fontRef>
                          </wps:style>
                          <wps:txbx>
                            <w:txbxContent>
                              <w:p w14:paraId="07DCE429" w14:textId="77777777" w:rsidR="000F47FF" w:rsidRPr="004E4C01" w:rsidRDefault="000F47FF" w:rsidP="000F47FF">
                                <w:pPr>
                                  <w:pStyle w:val="NormalWeb"/>
                                  <w:overflowPunct w:val="0"/>
                                  <w:spacing w:before="0" w:after="0"/>
                                  <w:jc w:val="center"/>
                                  <w:rPr>
                                    <w:sz w:val="20"/>
                                    <w:szCs w:val="20"/>
                                  </w:rPr>
                                </w:pPr>
                                <w:r w:rsidRPr="004E4C01">
                                  <w:rPr>
                                    <w:rFonts w:cstheme="minorBidi"/>
                                    <w:color w:val="000000" w:themeColor="dark1"/>
                                    <w:kern w:val="24"/>
                                    <w:sz w:val="20"/>
                                    <w:szCs w:val="20"/>
                                  </w:rPr>
                                  <w:t>Cuantificación biofísica de los impactos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60" name="2107 Elipse"/>
                          <wps:cNvSpPr>
                            <a:spLocks noChangeAspect="1"/>
                          </wps:cNvSpPr>
                          <wps:spPr>
                            <a:xfrm>
                              <a:off x="1679944" y="-19056"/>
                              <a:ext cx="342265" cy="342265"/>
                            </a:xfrm>
                            <a:prstGeom prst="ellipse">
                              <a:avLst/>
                            </a:prstGeom>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4029B5A9"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3</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1FFC9304" id="Grupo 2634" o:spid="_x0000_s1363" style="width:351.45pt;height:253.35pt;mso-position-horizontal-relative:char;mso-position-vertical-relative:line" coordorigin=",102" coordsize="44995,4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">
                <v:group id="49 Grupo" o:spid="_x0000_s1364" style="position:absolute;top:102;width:44723;height:40164" coordorigin=",102" coordsize="44723,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rect id="2095 Rectángulo" o:spid="_x0000_s1365" style="position:absolute;left:13306;top:1382;width:18002;height:5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" fillcolor="white [3201]" strokecolor="#a5a5a5 [2092]" strokeweight="1.5pt">
                    <v:textbox inset="0,0,0,0">
                      <w:txbxContent>
                        <w:p w14:paraId="4E37EE1A" w14:textId="77777777" w:rsidR="000F47FF" w:rsidRPr="004E4C01" w:rsidRDefault="000F47FF" w:rsidP="000F47FF">
                          <w:pPr>
                            <w:pStyle w:val="NormalWeb"/>
                            <w:overflowPunct w:val="0"/>
                            <w:spacing w:before="0" w:after="0"/>
                            <w:jc w:val="center"/>
                            <w:rPr>
                              <w:sz w:val="22"/>
                            </w:rPr>
                          </w:pPr>
                          <w:r w:rsidRPr="004E4C01">
                            <w:rPr>
                              <w:rFonts w:cstheme="minorBidi"/>
                              <w:color w:val="000000" w:themeColor="dark1"/>
                              <w:kern w:val="24"/>
                              <w:sz w:val="20"/>
                              <w:szCs w:val="22"/>
                            </w:rPr>
                            <w:t>Identificación de impactos ambientales significativos positivos y negativos</w:t>
                          </w:r>
                        </w:p>
                      </w:txbxContent>
                    </v:textbox>
                  </v:rect>
                  <v:oval id="2096 Elipse" o:spid="_x0000_s1366" style="position:absolute;left:10561;top:102;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" fillcolor="white [3201]" strokecolor="#365f91 [2404]" strokeweight="1.5pt">
                    <v:path arrowok="t"/>
                    <o:lock v:ext="edit" aspectratio="t"/>
                    <v:textbox inset="0,0,0,0">
                      <w:txbxContent>
                        <w:p w14:paraId="52B62759"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1</w:t>
                          </w:r>
                        </w:p>
                      </w:txbxContent>
                    </v:textbox>
                  </v:oval>
                  <v:group id="45 Grupo" o:spid="_x0000_s1367" style="position:absolute;top:8164;width:20002;height:7815" coordorigin=",8164" coordsize="2000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rect id="2100 Rectángulo" o:spid="_x0000_s1368" style="position:absolute;left:2000;top:11312;width:180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" fillcolor="white [3201]" strokecolor="#a5a5a5 [2092]" strokeweight="1.5pt">
                      <v:textbox inset="0,0,0,0">
                        <w:txbxContent>
                          <w:p w14:paraId="31105B3F" w14:textId="77777777" w:rsidR="000F47FF" w:rsidRPr="004E4C01" w:rsidRDefault="000F47FF" w:rsidP="000F47FF">
                            <w:pPr>
                              <w:pStyle w:val="NormalWeb"/>
                              <w:overflowPunct w:val="0"/>
                              <w:spacing w:before="0" w:after="0"/>
                              <w:jc w:val="center"/>
                              <w:rPr>
                                <w:sz w:val="22"/>
                              </w:rPr>
                            </w:pPr>
                            <w:r w:rsidRPr="004E4C01">
                              <w:rPr>
                                <w:rFonts w:cstheme="minorBidi"/>
                                <w:color w:val="000000" w:themeColor="dark1"/>
                                <w:kern w:val="24"/>
                                <w:sz w:val="20"/>
                                <w:szCs w:val="22"/>
                              </w:rPr>
                              <w:t>Identificación de impactos internalizables</w:t>
                            </w:r>
                          </w:p>
                        </w:txbxContent>
                      </v:textbox>
                    </v:rect>
                    <v:oval id="2101 Elipse" o:spid="_x0000_s1369" style="position:absolute;top:8164;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" fillcolor="white [3201]" strokecolor="#365f91 [2404]" strokeweight="1.5pt">
                      <v:path arrowok="t"/>
                      <o:lock v:ext="edit" aspectratio="t"/>
                      <v:textbox inset="0,0,0,0">
                        <w:txbxContent>
                          <w:p w14:paraId="5B895887"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2</w:t>
                            </w:r>
                          </w:p>
                        </w:txbxContent>
                      </v:textbox>
                    </v:oval>
                  </v:group>
                  <v:group id="46 Grupo" o:spid="_x0000_s1370" style="position:absolute;left:24915;top:8164;width:19808;height:7815" coordorigin="24915,8164" coordsize="19807,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rect id="2103 Rectángulo" o:spid="_x0000_s1371" style="position:absolute;left:24915;top:11312;width:1799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" fillcolor="white [3201]" strokecolor="#a5a5a5 [2092]" strokeweight="1.5pt">
                      <v:textbox inset="0,0,0,0">
                        <w:txbxContent>
                          <w:p w14:paraId="3F160850" w14:textId="77777777" w:rsidR="000F47FF" w:rsidRPr="004E4C01" w:rsidRDefault="000F47FF" w:rsidP="000F47FF">
                            <w:pPr>
                              <w:pStyle w:val="NormalWeb"/>
                              <w:overflowPunct w:val="0"/>
                              <w:spacing w:before="0" w:after="0"/>
                              <w:jc w:val="center"/>
                              <w:rPr>
                                <w:sz w:val="20"/>
                                <w:szCs w:val="20"/>
                              </w:rPr>
                            </w:pPr>
                            <w:r w:rsidRPr="004E4C01">
                              <w:rPr>
                                <w:rFonts w:cstheme="minorBidi"/>
                                <w:color w:val="000000" w:themeColor="dark1"/>
                                <w:kern w:val="24"/>
                                <w:sz w:val="20"/>
                                <w:szCs w:val="20"/>
                              </w:rPr>
                              <w:t>Identificación de impactos no internalizables</w:t>
                            </w:r>
                          </w:p>
                        </w:txbxContent>
                      </v:textbox>
                    </v:rect>
                    <v:oval id="2104 Elipse" o:spid="_x0000_s1372" style="position:absolute;left:41294;top:8164;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" fillcolor="white [3201]" strokecolor="#365f91 [2404]" strokeweight="1.5pt">
                      <v:path arrowok="t"/>
                      <o:lock v:ext="edit" aspectratio="t"/>
                      <v:textbox inset="0,0,0,0">
                        <w:txbxContent>
                          <w:p w14:paraId="4B49B3A9"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2</w:t>
                            </w:r>
                          </w:p>
                        </w:txbxContent>
                      </v:textbox>
                    </v:oval>
                  </v:group>
                  <v:rect id="2106 Rectángulo" o:spid="_x0000_s1373" style="position:absolute;left:1993;top:20451;width:180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" fillcolor="white [3201]" strokecolor="#a5a5a5 [2092]" strokeweight="1.5pt">
                    <v:textbox inset="0,0,0,0">
                      <w:txbxContent>
                        <w:p w14:paraId="657E48FD" w14:textId="77777777" w:rsidR="000F47FF" w:rsidRPr="004E4C01" w:rsidRDefault="000F47FF" w:rsidP="000F47FF">
                          <w:pPr>
                            <w:pStyle w:val="NormalWeb"/>
                            <w:overflowPunct w:val="0"/>
                            <w:spacing w:before="0" w:after="0"/>
                            <w:jc w:val="center"/>
                            <w:rPr>
                              <w:sz w:val="20"/>
                              <w:szCs w:val="20"/>
                            </w:rPr>
                          </w:pPr>
                          <w:r w:rsidRPr="004E4C01">
                            <w:rPr>
                              <w:rFonts w:cstheme="minorBidi"/>
                              <w:color w:val="000000" w:themeColor="dark1"/>
                              <w:kern w:val="24"/>
                              <w:sz w:val="20"/>
                              <w:szCs w:val="20"/>
                            </w:rPr>
                            <w:t>Cuantificación biofísica de los impactos</w:t>
                          </w:r>
                        </w:p>
                      </w:txbxContent>
                    </v:textbox>
                  </v:rect>
                  <v:oval id="2107 Elipse" o:spid="_x0000_s1374" style="position:absolute;left:111;top:17984;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" fillcolor="white [3201]" strokecolor="#365f91 [2404]" strokeweight="1.5pt">
                    <v:path arrowok="t"/>
                    <o:lock v:ext="edit" aspectratio="t"/>
                    <v:textbox inset="0,0,0,0">
                      <w:txbxContent>
                        <w:p w14:paraId="38C2EFA5"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3</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8 Conector angular" o:spid="_x0000_s1375" type="#_x0000_t34" style="position:absolute;left:14656;top:3661;width:3996;height:113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" strokecolor="#4579b8 [3044]">
                    <v:stroke endarrow="open"/>
                  </v:shape>
                  <v:shape id="19 Conector angular" o:spid="_x0000_s1376" type="#_x0000_t34" style="position:absolute;left:26113;top:3510;width:3996;height:116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" strokecolor="#4579b8 [3044]">
                    <v:stroke endarrow="open"/>
                  </v:shape>
                  <v:shape id="22 Conector angular" o:spid="_x0000_s1377" type="#_x0000_t34" style="position:absolute;left:31596;top:18297;width:4675;height: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" strokecolor="#4579b8 [3044]">
                    <v:stroke endarrow="open"/>
                  </v:shape>
                  <v:shape id="25 Conector angular" o:spid="_x0000_s1378" type="#_x0000_t34" style="position:absolute;left:8762;top:18211;width:4472;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" strokecolor="#4579b8 [3044]">
                    <v:stroke endarrow="open"/>
                  </v:shape>
                  <v:group id="48 Grupo" o:spid="_x0000_s1379" style="position:absolute;top:28041;width:20002;height:12012" coordorigin=",28041" coordsize="20002,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">
                    <v:rect id="2100 Rectángulo" o:spid="_x0000_s1380" style="position:absolute;left:2000;top:30131;width:18002;height:9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" fillcolor="white [3201]" strokecolor="#a5a5a5 [2092]" strokeweight="1.5pt">
                      <v:textbox inset="0,0,0,0">
                        <w:txbxContent>
                          <w:p w14:paraId="29706FB3" w14:textId="77777777" w:rsidR="000F47FF" w:rsidRPr="004E4C01" w:rsidRDefault="000F47FF" w:rsidP="000F47FF">
                            <w:pPr>
                              <w:pStyle w:val="NormalWeb"/>
                              <w:overflowPunct w:val="0"/>
                              <w:spacing w:before="0" w:after="0"/>
                              <w:jc w:val="center"/>
                              <w:rPr>
                                <w:rFonts w:cstheme="minorBidi"/>
                                <w:color w:val="000000" w:themeColor="dark1"/>
                                <w:kern w:val="24"/>
                                <w:sz w:val="20"/>
                                <w:szCs w:val="20"/>
                              </w:rPr>
                            </w:pPr>
                            <w:r w:rsidRPr="004E4C01">
                              <w:rPr>
                                <w:rFonts w:cstheme="minorBidi"/>
                                <w:color w:val="000000" w:themeColor="dark1"/>
                                <w:kern w:val="24"/>
                                <w:sz w:val="20"/>
                                <w:szCs w:val="20"/>
                              </w:rPr>
                              <w:t>Análisis económico de impactos:</w:t>
                            </w:r>
                          </w:p>
                          <w:p w14:paraId="5979E8F0" w14:textId="77777777" w:rsidR="000F47FF" w:rsidRPr="004E4C01" w:rsidRDefault="000F47FF" w:rsidP="000F47FF">
                            <w:pPr>
                              <w:pStyle w:val="NormalWeb"/>
                              <w:overflowPunct w:val="0"/>
                              <w:spacing w:before="0" w:after="0"/>
                              <w:jc w:val="center"/>
                              <w:rPr>
                                <w:sz w:val="20"/>
                                <w:szCs w:val="20"/>
                              </w:rPr>
                            </w:pPr>
                            <w:r w:rsidRPr="004E4C01">
                              <w:rPr>
                                <w:rFonts w:cstheme="minorBidi"/>
                                <w:color w:val="000000" w:themeColor="dark1"/>
                                <w:kern w:val="24"/>
                                <w:sz w:val="20"/>
                                <w:szCs w:val="20"/>
                              </w:rPr>
                              <w:t>Análisis de internalización (costos preventivos y correctivos)</w:t>
                            </w:r>
                          </w:p>
                        </w:txbxContent>
                      </v:textbox>
                    </v:rect>
                    <v:oval id="2101 Elipse" o:spid="_x0000_s1381" style="position:absolute;top:28041;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" fillcolor="white [3201]" strokecolor="#365f91 [2404]" strokeweight="1.5pt">
                      <v:path arrowok="t"/>
                      <o:lock v:ext="edit" aspectratio="t"/>
                      <v:textbox inset="0,0,0,0">
                        <w:txbxContent>
                          <w:p w14:paraId="34EA20E5"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rPr>
                              <w:t>4</w:t>
                            </w:r>
                          </w:p>
                        </w:txbxContent>
                      </v:textbox>
                    </v:oval>
                  </v:group>
                  <v:group id="47 Grupo" o:spid="_x0000_s1382" style="position:absolute;left:24923;top:27850;width:19711;height:12418" coordorigin="24923,27850" coordsize="19711,1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rect id="2103 Rectángulo" o:spid="_x0000_s1383" style="position:absolute;left:24923;top:30130;width:18002;height:1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" fillcolor="white [3201]" strokecolor="#a5a5a5 [2092]" strokeweight="1.5pt">
                      <v:textbox inset="0,0,0,0">
                        <w:txbxContent>
                          <w:p w14:paraId="14FCC5A3" w14:textId="77777777" w:rsidR="000F47FF" w:rsidRPr="004E4C01" w:rsidRDefault="000F47FF" w:rsidP="000F47FF">
                            <w:pPr>
                              <w:pStyle w:val="NormalWeb"/>
                              <w:overflowPunct w:val="0"/>
                              <w:spacing w:before="0" w:after="0"/>
                              <w:jc w:val="center"/>
                              <w:rPr>
                                <w:rFonts w:cstheme="minorBidi"/>
                                <w:color w:val="000000" w:themeColor="dark1"/>
                                <w:kern w:val="24"/>
                                <w:sz w:val="20"/>
                                <w:szCs w:val="20"/>
                              </w:rPr>
                            </w:pPr>
                            <w:r w:rsidRPr="004E4C01">
                              <w:rPr>
                                <w:rFonts w:cstheme="minorBidi"/>
                                <w:color w:val="000000" w:themeColor="dark1"/>
                                <w:kern w:val="24"/>
                                <w:sz w:val="20"/>
                                <w:szCs w:val="20"/>
                              </w:rPr>
                              <w:t>Análisis económico de impactos:</w:t>
                            </w:r>
                          </w:p>
                          <w:p w14:paraId="4036CCE4" w14:textId="77777777" w:rsidR="000F47FF" w:rsidRPr="004E4C01" w:rsidRDefault="000F47FF" w:rsidP="000F47FF">
                            <w:pPr>
                              <w:pStyle w:val="NormalWeb"/>
                              <w:overflowPunct w:val="0"/>
                              <w:spacing w:before="0" w:after="0"/>
                              <w:jc w:val="center"/>
                              <w:rPr>
                                <w:rFonts w:cstheme="minorBidi"/>
                                <w:color w:val="000000" w:themeColor="dark1"/>
                                <w:kern w:val="24"/>
                                <w:sz w:val="20"/>
                                <w:szCs w:val="20"/>
                              </w:rPr>
                            </w:pPr>
                            <w:r w:rsidRPr="004E4C01">
                              <w:rPr>
                                <w:rFonts w:cstheme="minorBidi"/>
                                <w:color w:val="000000" w:themeColor="dark1"/>
                                <w:kern w:val="24"/>
                                <w:sz w:val="20"/>
                                <w:szCs w:val="20"/>
                              </w:rPr>
                              <w:t>Análisis Costo Beneficio de impactos positivos y negativos</w:t>
                            </w:r>
                          </w:p>
                        </w:txbxContent>
                      </v:textbox>
                    </v:rect>
                    <v:oval id="2104 Elipse" o:spid="_x0000_s1384" style="position:absolute;left:41205;top:27850;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" fillcolor="white [3201]" strokecolor="#365f91 [2404]" strokeweight="1.5pt">
                      <v:path arrowok="t"/>
                      <o:lock v:ext="edit" aspectratio="t"/>
                      <v:textbox inset="0,0,0,0">
                        <w:txbxContent>
                          <w:p w14:paraId="115F1608"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rPr>
                              <w:t>4</w:t>
                            </w:r>
                          </w:p>
                        </w:txbxContent>
                      </v:textbox>
                    </v:oval>
                  </v:group>
                  <v:shape id="34 Conector angular" o:spid="_x0000_s1385" type="#_x0000_t34" style="position:absolute;left:31531;top:27708;width:4815;height: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" strokecolor="#4579b8 [3044]">
                    <v:stroke endarrow="open"/>
                  </v:shape>
                  <v:shape id="37 Conector angular" o:spid="_x0000_s1386" type="#_x0000_t34" style="position:absolute;left:8491;top:27621;width:5013;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" strokecolor="#4579b8 [3044]">
                    <v:stroke endarrow="open"/>
                  </v:shape>
                </v:group>
                <v:group id="Grupo 2658" o:spid="_x0000_s1387" style="position:absolute;left:24957;top:18310;width:20038;height:7004" coordorigin="183,-190" coordsize="20038,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rect id="2106 Rectángulo" o:spid="_x0000_s1388" style="position:absolute;left:183;top:2152;width:17991;height:4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" fillcolor="white [3201]" strokecolor="#a5a5a5 [2092]" strokeweight="1.5pt">
                    <v:textbox inset="0,0,0,0">
                      <w:txbxContent>
                        <w:p w14:paraId="07DCE429" w14:textId="77777777" w:rsidR="000F47FF" w:rsidRPr="004E4C01" w:rsidRDefault="000F47FF" w:rsidP="000F47FF">
                          <w:pPr>
                            <w:pStyle w:val="NormalWeb"/>
                            <w:overflowPunct w:val="0"/>
                            <w:spacing w:before="0" w:after="0"/>
                            <w:jc w:val="center"/>
                            <w:rPr>
                              <w:sz w:val="20"/>
                              <w:szCs w:val="20"/>
                            </w:rPr>
                          </w:pPr>
                          <w:r w:rsidRPr="004E4C01">
                            <w:rPr>
                              <w:rFonts w:cstheme="minorBidi"/>
                              <w:color w:val="000000" w:themeColor="dark1"/>
                              <w:kern w:val="24"/>
                              <w:sz w:val="20"/>
                              <w:szCs w:val="20"/>
                            </w:rPr>
                            <w:t>Cuantificación biofísica de los impactos</w:t>
                          </w:r>
                        </w:p>
                      </w:txbxContent>
                    </v:textbox>
                  </v:rect>
                  <v:oval id="2107 Elipse" o:spid="_x0000_s1389" style="position:absolute;left:16799;top:-190;width:3423;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" fillcolor="white [3201]" strokecolor="#365f91 [2404]" strokeweight="1.5pt">
                    <v:path arrowok="t"/>
                    <o:lock v:ext="edit" aspectratio="t"/>
                    <v:textbox inset="0,0,0,0">
                      <w:txbxContent>
                        <w:p w14:paraId="4029B5A9" w14:textId="77777777" w:rsidR="000F47FF" w:rsidRPr="004E4C01" w:rsidRDefault="000F47FF" w:rsidP="000F47FF">
                          <w:pPr>
                            <w:pStyle w:val="NormalWeb"/>
                            <w:overflowPunct w:val="0"/>
                            <w:spacing w:before="0" w:after="0"/>
                            <w:jc w:val="center"/>
                          </w:pPr>
                          <w:r w:rsidRPr="004E4C01">
                            <w:rPr>
                              <w:rFonts w:cstheme="minorBidi"/>
                              <w:color w:val="000000" w:themeColor="dark1"/>
                              <w:kern w:val="24"/>
                              <w:sz w:val="22"/>
                              <w:szCs w:val="22"/>
                            </w:rPr>
                            <w:t>3</w:t>
                          </w:r>
                        </w:p>
                      </w:txbxContent>
                    </v:textbox>
                  </v:oval>
                </v:group>
                <w10:anchorlock/>
              </v:group>
            </w:pict>
          </mc:Fallback>
        </mc:AlternateContent>
      </w:r>
    </w:p>
    <w:p w14:paraId="44EBAA99" w14:textId="77777777" w:rsidR="000F47FF" w:rsidRPr="004068F6" w:rsidRDefault="000F47FF" w:rsidP="000F47FF">
      <w:pPr>
        <w:numPr>
          <w:ilvl w:val="12"/>
          <w:numId w:val="0"/>
        </w:numPr>
        <w:tabs>
          <w:tab w:val="left" w:pos="-2268"/>
        </w:tabs>
        <w:suppressAutoHyphens/>
        <w:jc w:val="center"/>
        <w:rPr>
          <w:spacing w:val="-3"/>
          <w:sz w:val="20"/>
        </w:rPr>
      </w:pPr>
      <w:r w:rsidRPr="004068F6">
        <w:rPr>
          <w:b/>
          <w:spacing w:val="-3"/>
          <w:sz w:val="20"/>
        </w:rPr>
        <w:t>Fuente:</w:t>
      </w:r>
      <w:r w:rsidRPr="004068F6">
        <w:rPr>
          <w:spacing w:val="-3"/>
          <w:sz w:val="20"/>
        </w:rPr>
        <w:t xml:space="preserve"> </w:t>
      </w:r>
      <w:r w:rsidRPr="004068F6">
        <w:rPr>
          <w:rFonts w:cs="Arial"/>
          <w:spacing w:val="-3"/>
          <w:sz w:val="20"/>
        </w:rPr>
        <w:t>ANLA - Subdirección de Instrumentos, Permisos y Trámites Ambientales, equipo</w:t>
      </w:r>
      <w:r w:rsidRPr="004068F6">
        <w:rPr>
          <w:spacing w:val="-3"/>
          <w:sz w:val="20"/>
        </w:rPr>
        <w:t xml:space="preserve"> Valoración Económica Ambiental</w:t>
      </w:r>
      <w:r w:rsidRPr="004068F6">
        <w:rPr>
          <w:rFonts w:cs="Arial"/>
          <w:spacing w:val="-3"/>
          <w:sz w:val="20"/>
        </w:rPr>
        <w:t xml:space="preserve">, </w:t>
      </w:r>
      <w:r w:rsidRPr="004068F6">
        <w:rPr>
          <w:spacing w:val="-3"/>
          <w:sz w:val="20"/>
        </w:rPr>
        <w:t>2016.</w:t>
      </w:r>
    </w:p>
    <w:p w14:paraId="1CFDC33E" w14:textId="77777777" w:rsidR="000F47FF" w:rsidRPr="004068F6" w:rsidRDefault="000F47FF" w:rsidP="00C86DA5">
      <w:pPr>
        <w:tabs>
          <w:tab w:val="left" w:pos="-2268"/>
        </w:tabs>
        <w:suppressAutoHyphens/>
        <w:rPr>
          <w:spacing w:val="-3"/>
        </w:rPr>
      </w:pPr>
    </w:p>
    <w:p w14:paraId="2E895E68" w14:textId="77777777" w:rsidR="00A20FCB" w:rsidRPr="004068F6" w:rsidRDefault="00A20FCB" w:rsidP="00A20FCB">
      <w:pPr>
        <w:tabs>
          <w:tab w:val="left" w:pos="-2268"/>
        </w:tabs>
        <w:suppressAutoHyphens/>
        <w:rPr>
          <w:spacing w:val="-3"/>
        </w:rPr>
      </w:pPr>
      <w:r w:rsidRPr="004068F6">
        <w:rPr>
          <w:spacing w:val="-3"/>
        </w:rPr>
        <w:t xml:space="preserve">A fin de complementar lo establecido en dicho documento y de especificar los alcances de la EEA dentro del </w:t>
      </w:r>
      <w:r w:rsidRPr="004068F6">
        <w:rPr>
          <w:rFonts w:cs="Arial"/>
          <w:spacing w:val="-3"/>
        </w:rPr>
        <w:t>EIA</w:t>
      </w:r>
      <w:r w:rsidRPr="004068F6">
        <w:rPr>
          <w:spacing w:val="-3"/>
        </w:rPr>
        <w:t>, a continuación</w:t>
      </w:r>
      <w:r w:rsidRPr="004068F6">
        <w:rPr>
          <w:rFonts w:cs="Arial"/>
          <w:spacing w:val="-3"/>
        </w:rPr>
        <w:t>,</w:t>
      </w:r>
      <w:r w:rsidRPr="004068F6">
        <w:rPr>
          <w:spacing w:val="-3"/>
        </w:rPr>
        <w:t xml:space="preserve"> se describe brevemente cada una de sus etapas y se señala en qué lugar de éste se encuentra su descripción completa.</w:t>
      </w:r>
    </w:p>
    <w:p w14:paraId="13362590" w14:textId="77777777" w:rsidR="00B40D21" w:rsidRPr="004068F6" w:rsidRDefault="00B40D21" w:rsidP="00C86DA5">
      <w:pPr>
        <w:tabs>
          <w:tab w:val="left" w:pos="-2268"/>
        </w:tabs>
        <w:suppressAutoHyphens/>
        <w:rPr>
          <w:spacing w:val="-3"/>
        </w:rPr>
      </w:pPr>
    </w:p>
    <w:p w14:paraId="0D6D8B6A" w14:textId="312335B2" w:rsidR="0056088F" w:rsidRPr="004068F6" w:rsidRDefault="0056088F" w:rsidP="00C86DA5">
      <w:pPr>
        <w:pStyle w:val="Prrafodelista"/>
        <w:numPr>
          <w:ilvl w:val="0"/>
          <w:numId w:val="44"/>
        </w:numPr>
        <w:ind w:left="567" w:hanging="567"/>
        <w:rPr>
          <w:spacing w:val="-3"/>
          <w:lang w:val="es-CO"/>
        </w:rPr>
      </w:pPr>
      <w:r w:rsidRPr="004068F6">
        <w:rPr>
          <w:b/>
          <w:spacing w:val="-3"/>
          <w:lang w:val="es-CO"/>
        </w:rPr>
        <w:t xml:space="preserve">Identificación de </w:t>
      </w:r>
      <w:r w:rsidR="00811F7B" w:rsidRPr="004068F6">
        <w:rPr>
          <w:b/>
          <w:spacing w:val="-3"/>
          <w:lang w:val="es-CO"/>
        </w:rPr>
        <w:t xml:space="preserve">los </w:t>
      </w:r>
      <w:r w:rsidRPr="004068F6">
        <w:rPr>
          <w:b/>
          <w:spacing w:val="-3"/>
          <w:lang w:val="es-CO"/>
        </w:rPr>
        <w:t xml:space="preserve">impactos </w:t>
      </w:r>
      <w:r w:rsidRPr="004068F6">
        <w:rPr>
          <w:rFonts w:cs="Arial"/>
          <w:b/>
          <w:bCs/>
          <w:spacing w:val="-3"/>
          <w:lang w:val="es-CO"/>
        </w:rPr>
        <w:t>significativos</w:t>
      </w:r>
      <w:r w:rsidRPr="004068F6">
        <w:rPr>
          <w:spacing w:val="-3"/>
          <w:lang w:val="es-CO"/>
        </w:rPr>
        <w:t xml:space="preserve">: sólo este tipo de impactos debe ser incluido en el análisis económico. Los impactos ambientales </w:t>
      </w:r>
      <w:r w:rsidRPr="004068F6">
        <w:rPr>
          <w:rFonts w:cs="Arial"/>
          <w:spacing w:val="-3"/>
          <w:lang w:val="es-CO"/>
        </w:rPr>
        <w:t>significativos</w:t>
      </w:r>
      <w:r w:rsidRPr="004068F6">
        <w:rPr>
          <w:spacing w:val="-3"/>
          <w:lang w:val="es-CO"/>
        </w:rPr>
        <w:t xml:space="preserve"> </w:t>
      </w:r>
      <w:r w:rsidR="00E27186" w:rsidRPr="004068F6">
        <w:rPr>
          <w:spacing w:val="-3"/>
          <w:lang w:val="es-CO"/>
        </w:rPr>
        <w:t xml:space="preserve">positivos y negativos </w:t>
      </w:r>
      <w:r w:rsidRPr="004068F6">
        <w:rPr>
          <w:spacing w:val="-3"/>
          <w:lang w:val="es-CO"/>
        </w:rPr>
        <w:t>en el ámbito de la EEA son aquellos calificados dentro de las tres categorías de mayor significancia establecidas en la evaluación de impactos ambientales (numeral</w:t>
      </w:r>
      <w:r w:rsidR="00D12EA8" w:rsidRPr="004068F6">
        <w:rPr>
          <w:rFonts w:cs="Arial"/>
          <w:spacing w:val="-3"/>
          <w:lang w:val="es-CO"/>
        </w:rPr>
        <w:t xml:space="preserve"> </w:t>
      </w:r>
      <w:r w:rsidR="00D12EA8" w:rsidRPr="004068F6">
        <w:rPr>
          <w:rFonts w:cs="Arial"/>
          <w:spacing w:val="-3"/>
          <w:lang w:val="es-CO"/>
        </w:rPr>
        <w:fldChar w:fldCharType="begin"/>
      </w:r>
      <w:r w:rsidR="00D12EA8" w:rsidRPr="004068F6">
        <w:rPr>
          <w:rFonts w:cs="Arial"/>
          <w:spacing w:val="-3"/>
          <w:lang w:val="es-CO"/>
        </w:rPr>
        <w:instrText xml:space="preserve"> REF _Ref78556131 \r \h </w:instrText>
      </w:r>
      <w:r w:rsidR="006A4128" w:rsidRPr="004068F6">
        <w:rPr>
          <w:rFonts w:cs="Arial"/>
          <w:spacing w:val="-3"/>
          <w:lang w:val="es-CO"/>
        </w:rPr>
        <w:instrText xml:space="preserve"> \* MERGEFORMAT </w:instrText>
      </w:r>
      <w:r w:rsidR="00D12EA8" w:rsidRPr="004068F6">
        <w:rPr>
          <w:rFonts w:cs="Arial"/>
          <w:spacing w:val="-3"/>
          <w:lang w:val="es-CO"/>
        </w:rPr>
      </w:r>
      <w:r w:rsidR="00D12EA8" w:rsidRPr="004068F6">
        <w:rPr>
          <w:rFonts w:cs="Arial"/>
          <w:spacing w:val="-3"/>
          <w:lang w:val="es-CO"/>
        </w:rPr>
        <w:fldChar w:fldCharType="separate"/>
      </w:r>
      <w:r w:rsidR="009C4A81">
        <w:rPr>
          <w:rFonts w:cs="Arial"/>
          <w:spacing w:val="-3"/>
          <w:lang w:val="es-CO"/>
        </w:rPr>
        <w:t>7</w:t>
      </w:r>
      <w:r w:rsidR="00D12EA8" w:rsidRPr="004068F6">
        <w:rPr>
          <w:rFonts w:cs="Arial"/>
          <w:spacing w:val="-3"/>
          <w:lang w:val="es-CO"/>
        </w:rPr>
        <w:fldChar w:fldCharType="end"/>
      </w:r>
      <w:r w:rsidRPr="004068F6">
        <w:rPr>
          <w:rFonts w:cs="Arial"/>
          <w:spacing w:val="-3"/>
          <w:lang w:val="es-CO"/>
        </w:rPr>
        <w:t>).</w:t>
      </w:r>
      <w:r w:rsidRPr="004068F6">
        <w:rPr>
          <w:lang w:val="es-CO"/>
        </w:rPr>
        <w:t xml:space="preserve"> </w:t>
      </w:r>
      <w:r w:rsidRPr="004068F6">
        <w:rPr>
          <w:spacing w:val="-3"/>
          <w:lang w:val="es-CO"/>
        </w:rPr>
        <w:t>Esta identificación permite orientar el análisis de internalización y la selección de metodologías apropiadas para la valoración económica de las externalidades.</w:t>
      </w:r>
    </w:p>
    <w:p w14:paraId="3E8A1AD4" w14:textId="77777777" w:rsidR="0056088F" w:rsidRPr="004068F6" w:rsidRDefault="0056088F" w:rsidP="00C86DA5">
      <w:pPr>
        <w:tabs>
          <w:tab w:val="left" w:pos="-2268"/>
        </w:tabs>
        <w:suppressAutoHyphens/>
        <w:ind w:left="567" w:hanging="567"/>
        <w:rPr>
          <w:spacing w:val="-3"/>
        </w:rPr>
      </w:pPr>
    </w:p>
    <w:p w14:paraId="1039A5BE" w14:textId="76AF99FD" w:rsidR="007E3C84" w:rsidRPr="004068F6" w:rsidRDefault="007225E3" w:rsidP="0056088F">
      <w:pPr>
        <w:pStyle w:val="Prrafodelista"/>
        <w:tabs>
          <w:tab w:val="left" w:pos="-2268"/>
        </w:tabs>
        <w:suppressAutoHyphens/>
        <w:ind w:left="567"/>
        <w:rPr>
          <w:spacing w:val="-3"/>
          <w:lang w:val="es-CO"/>
        </w:rPr>
      </w:pPr>
      <w:r w:rsidRPr="004068F6">
        <w:rPr>
          <w:spacing w:val="-3"/>
          <w:lang w:val="es-CO"/>
        </w:rPr>
        <w:t xml:space="preserve">Si </w:t>
      </w:r>
      <w:r w:rsidR="00CC1C5D" w:rsidRPr="004068F6">
        <w:rPr>
          <w:spacing w:val="-3"/>
          <w:lang w:val="es-CO"/>
        </w:rPr>
        <w:t xml:space="preserve">se </w:t>
      </w:r>
      <w:r w:rsidR="00F64ED9" w:rsidRPr="004068F6">
        <w:rPr>
          <w:spacing w:val="-3"/>
          <w:lang w:val="es-CO"/>
        </w:rPr>
        <w:t xml:space="preserve">demuestra en el capítulo de evaluación ambiental que no </w:t>
      </w:r>
      <w:r w:rsidR="007E3C84" w:rsidRPr="004068F6">
        <w:rPr>
          <w:spacing w:val="-3"/>
          <w:lang w:val="es-CO"/>
        </w:rPr>
        <w:t>exist</w:t>
      </w:r>
      <w:r w:rsidR="00F64ED9" w:rsidRPr="004068F6">
        <w:rPr>
          <w:spacing w:val="-3"/>
          <w:lang w:val="es-CO"/>
        </w:rPr>
        <w:t xml:space="preserve">en </w:t>
      </w:r>
      <w:r w:rsidR="007E3C84" w:rsidRPr="004068F6">
        <w:rPr>
          <w:spacing w:val="-3"/>
          <w:lang w:val="es-CO"/>
        </w:rPr>
        <w:t xml:space="preserve">impactos ambientales significativos </w:t>
      </w:r>
      <w:r w:rsidR="00F64ED9" w:rsidRPr="004068F6">
        <w:rPr>
          <w:spacing w:val="-3"/>
          <w:lang w:val="es-CO"/>
        </w:rPr>
        <w:t xml:space="preserve">consecuencia </w:t>
      </w:r>
      <w:r w:rsidR="007E3C84" w:rsidRPr="004068F6">
        <w:rPr>
          <w:spacing w:val="-3"/>
          <w:lang w:val="es-CO"/>
        </w:rPr>
        <w:t>del proyecto, obra o actividad</w:t>
      </w:r>
      <w:r w:rsidR="00AC38B9" w:rsidRPr="004068F6">
        <w:rPr>
          <w:spacing w:val="-3"/>
          <w:lang w:val="es-CO"/>
        </w:rPr>
        <w:t xml:space="preserve"> sobre un factor, </w:t>
      </w:r>
      <w:r w:rsidR="00AC38B9" w:rsidRPr="004068F6">
        <w:rPr>
          <w:spacing w:val="-3"/>
          <w:lang w:val="es-CO"/>
        </w:rPr>
        <w:lastRenderedPageBreak/>
        <w:t>un componente o un conjunto de factores o componentes,</w:t>
      </w:r>
      <w:r w:rsidR="007E3C84" w:rsidRPr="004068F6">
        <w:rPr>
          <w:spacing w:val="-3"/>
          <w:lang w:val="es-CO"/>
        </w:rPr>
        <w:t xml:space="preserve"> </w:t>
      </w:r>
      <w:r w:rsidR="00CC1C5D" w:rsidRPr="004068F6">
        <w:rPr>
          <w:spacing w:val="-3"/>
          <w:lang w:val="es-CO"/>
        </w:rPr>
        <w:t xml:space="preserve">para ellos </w:t>
      </w:r>
      <w:r w:rsidR="007E3C84" w:rsidRPr="004068F6">
        <w:rPr>
          <w:spacing w:val="-3"/>
          <w:lang w:val="es-CO"/>
        </w:rPr>
        <w:t xml:space="preserve">no es exigible </w:t>
      </w:r>
      <w:r w:rsidR="00F64ED9" w:rsidRPr="004068F6">
        <w:rPr>
          <w:spacing w:val="-3"/>
          <w:lang w:val="es-CO"/>
        </w:rPr>
        <w:t xml:space="preserve">el desarrollo </w:t>
      </w:r>
      <w:r w:rsidR="007E3C84" w:rsidRPr="004068F6">
        <w:rPr>
          <w:spacing w:val="-3"/>
          <w:lang w:val="es-CO"/>
        </w:rPr>
        <w:t xml:space="preserve">de </w:t>
      </w:r>
      <w:r w:rsidR="00F64ED9" w:rsidRPr="004068F6">
        <w:rPr>
          <w:spacing w:val="-3"/>
          <w:lang w:val="es-CO"/>
        </w:rPr>
        <w:t xml:space="preserve">la </w:t>
      </w:r>
      <w:r w:rsidR="007E3C84" w:rsidRPr="004068F6">
        <w:rPr>
          <w:spacing w:val="-3"/>
          <w:lang w:val="es-CO"/>
        </w:rPr>
        <w:t>E</w:t>
      </w:r>
      <w:r w:rsidR="00F64ED9" w:rsidRPr="004068F6">
        <w:rPr>
          <w:spacing w:val="-3"/>
          <w:lang w:val="es-CO"/>
        </w:rPr>
        <w:t>EA</w:t>
      </w:r>
      <w:r w:rsidR="007E3C84" w:rsidRPr="004068F6">
        <w:rPr>
          <w:spacing w:val="-3"/>
          <w:lang w:val="es-CO"/>
        </w:rPr>
        <w:t>.</w:t>
      </w:r>
    </w:p>
    <w:p w14:paraId="7F56EAA6" w14:textId="77777777" w:rsidR="007E3C84" w:rsidRPr="004068F6" w:rsidRDefault="007E3C84" w:rsidP="009420F5">
      <w:pPr>
        <w:tabs>
          <w:tab w:val="left" w:pos="-2268"/>
        </w:tabs>
        <w:suppressAutoHyphens/>
        <w:rPr>
          <w:rFonts w:cs="Arial"/>
          <w:spacing w:val="-3"/>
        </w:rPr>
      </w:pPr>
    </w:p>
    <w:p w14:paraId="53340F21" w14:textId="5DD828A5" w:rsidR="0056088F" w:rsidRPr="004068F6" w:rsidRDefault="0056088F" w:rsidP="0056088F">
      <w:pPr>
        <w:pStyle w:val="Prrafodelista"/>
        <w:tabs>
          <w:tab w:val="left" w:pos="-2268"/>
        </w:tabs>
        <w:suppressAutoHyphens/>
        <w:ind w:left="567"/>
        <w:rPr>
          <w:rFonts w:cs="Arial"/>
          <w:spacing w:val="-3"/>
          <w:lang w:val="es-CO"/>
        </w:rPr>
      </w:pPr>
      <w:r w:rsidRPr="004068F6">
        <w:rPr>
          <w:rFonts w:cs="Arial"/>
          <w:spacing w:val="-3"/>
          <w:lang w:val="es-CO"/>
        </w:rPr>
        <w:t xml:space="preserve">La autoridad ambiental que evalúa la viabilidad ambiental del proyecto, obra o actividad </w:t>
      </w:r>
      <w:r w:rsidRPr="004068F6">
        <w:rPr>
          <w:rFonts w:cs="Arial"/>
          <w:lang w:val="es-CO"/>
        </w:rPr>
        <w:t>sujeta</w:t>
      </w:r>
      <w:r w:rsidRPr="004068F6">
        <w:rPr>
          <w:rFonts w:cs="Arial"/>
          <w:spacing w:val="-3"/>
          <w:lang w:val="es-CO"/>
        </w:rPr>
        <w:t xml:space="preserve"> a licenciamiento, se reserva la posibilidad de solicitar al interesado la inclusión de impactos significativos adicionales, teniendo en cuenta el contexto biofísico y socioeconómico del área de influencia, lo contenido en otros capítulos del EIA, así como la información de orden regional que posee para su área de jurisdicción.</w:t>
      </w:r>
    </w:p>
    <w:p w14:paraId="046A2397" w14:textId="74B8AFE1" w:rsidR="0056088F" w:rsidRPr="004068F6" w:rsidRDefault="0056088F" w:rsidP="0056088F">
      <w:pPr>
        <w:tabs>
          <w:tab w:val="left" w:pos="-2268"/>
        </w:tabs>
        <w:suppressAutoHyphens/>
        <w:rPr>
          <w:rFonts w:cs="Arial"/>
          <w:spacing w:val="-3"/>
        </w:rPr>
      </w:pPr>
    </w:p>
    <w:p w14:paraId="42208988" w14:textId="0CFC3968" w:rsidR="0056088F" w:rsidRPr="004068F6" w:rsidRDefault="0056088F" w:rsidP="00C86DA5">
      <w:pPr>
        <w:pStyle w:val="Prrafodelista"/>
        <w:numPr>
          <w:ilvl w:val="0"/>
          <w:numId w:val="5"/>
        </w:numPr>
        <w:tabs>
          <w:tab w:val="left" w:pos="-2268"/>
        </w:tabs>
        <w:suppressAutoHyphens/>
        <w:ind w:left="567" w:hanging="567"/>
        <w:rPr>
          <w:spacing w:val="-3"/>
          <w:lang w:val="es-CO"/>
        </w:rPr>
      </w:pPr>
      <w:r w:rsidRPr="004068F6">
        <w:rPr>
          <w:b/>
          <w:spacing w:val="-3"/>
          <w:lang w:val="es-CO"/>
        </w:rPr>
        <w:t xml:space="preserve">Identificación de </w:t>
      </w:r>
      <w:r w:rsidR="00811F7B" w:rsidRPr="004068F6">
        <w:rPr>
          <w:b/>
          <w:spacing w:val="-3"/>
          <w:lang w:val="es-CO"/>
        </w:rPr>
        <w:t xml:space="preserve">los </w:t>
      </w:r>
      <w:r w:rsidRPr="004068F6">
        <w:rPr>
          <w:b/>
          <w:spacing w:val="-3"/>
          <w:lang w:val="es-CO"/>
        </w:rPr>
        <w:t xml:space="preserve">impactos </w:t>
      </w:r>
      <w:r w:rsidR="00E27186" w:rsidRPr="004068F6">
        <w:rPr>
          <w:b/>
          <w:spacing w:val="-3"/>
          <w:lang w:val="es-CO"/>
        </w:rPr>
        <w:t xml:space="preserve">negativos </w:t>
      </w:r>
      <w:r w:rsidRPr="004068F6">
        <w:rPr>
          <w:b/>
          <w:spacing w:val="-3"/>
          <w:lang w:val="es-CO"/>
        </w:rPr>
        <w:t>internalizables y no internalizables</w:t>
      </w:r>
      <w:r w:rsidRPr="004068F6">
        <w:rPr>
          <w:spacing w:val="-3"/>
          <w:lang w:val="es-CO"/>
        </w:rPr>
        <w:t xml:space="preserve">: una vez identificados los impactos ambientales </w:t>
      </w:r>
      <w:r w:rsidRPr="004068F6">
        <w:rPr>
          <w:rFonts w:cs="Arial"/>
          <w:spacing w:val="-3"/>
          <w:lang w:val="es-CO"/>
        </w:rPr>
        <w:t>significativos</w:t>
      </w:r>
      <w:r w:rsidRPr="004068F6">
        <w:rPr>
          <w:spacing w:val="-3"/>
          <w:lang w:val="es-CO"/>
        </w:rPr>
        <w:t xml:space="preserve">, éstos deben ser </w:t>
      </w:r>
      <w:r w:rsidRPr="004068F6">
        <w:rPr>
          <w:lang w:val="es-CO"/>
        </w:rPr>
        <w:t>clasificados</w:t>
      </w:r>
      <w:r w:rsidRPr="004068F6">
        <w:rPr>
          <w:spacing w:val="-3"/>
          <w:lang w:val="es-CO"/>
        </w:rPr>
        <w:t xml:space="preserve"> en internalizables y no internalizables; para ello, es necesario tener en cuenta la jerarquía de las medidas de manejo</w:t>
      </w:r>
      <w:r w:rsidRPr="004068F6">
        <w:rPr>
          <w:rStyle w:val="Refdenotaalpie"/>
          <w:rFonts w:cs="Arial"/>
          <w:spacing w:val="-3"/>
          <w:lang w:val="es-CO"/>
        </w:rPr>
        <w:footnoteReference w:id="230"/>
      </w:r>
      <w:r w:rsidRPr="004068F6">
        <w:rPr>
          <w:spacing w:val="-3"/>
          <w:lang w:val="es-CO"/>
        </w:rPr>
        <w:t xml:space="preserve"> y las siguientes definiciones:</w:t>
      </w:r>
    </w:p>
    <w:p w14:paraId="75490902" w14:textId="77777777" w:rsidR="0056088F" w:rsidRPr="004068F6" w:rsidRDefault="0056088F">
      <w:pPr>
        <w:numPr>
          <w:ilvl w:val="12"/>
          <w:numId w:val="0"/>
        </w:numPr>
        <w:tabs>
          <w:tab w:val="left" w:pos="-2268"/>
        </w:tabs>
        <w:suppressAutoHyphens/>
        <w:rPr>
          <w:spacing w:val="-3"/>
        </w:rPr>
      </w:pPr>
    </w:p>
    <w:p w14:paraId="0DEB936E" w14:textId="5F1734AE" w:rsidR="0056088F" w:rsidRPr="004068F6" w:rsidRDefault="0056088F" w:rsidP="00C86DA5">
      <w:pPr>
        <w:numPr>
          <w:ilvl w:val="0"/>
          <w:numId w:val="33"/>
        </w:numPr>
        <w:tabs>
          <w:tab w:val="left" w:pos="-2268"/>
        </w:tabs>
        <w:suppressAutoHyphens/>
        <w:ind w:left="1134" w:hanging="567"/>
        <w:rPr>
          <w:spacing w:val="-3"/>
        </w:rPr>
      </w:pPr>
      <w:r w:rsidRPr="004068F6">
        <w:rPr>
          <w:spacing w:val="-3"/>
        </w:rPr>
        <w:t xml:space="preserve">Los </w:t>
      </w:r>
      <w:r w:rsidRPr="004068F6">
        <w:rPr>
          <w:b/>
          <w:i/>
          <w:spacing w:val="-3"/>
        </w:rPr>
        <w:t>impactos ambientales internalizables</w:t>
      </w:r>
      <w:r w:rsidRPr="004068F6">
        <w:rPr>
          <w:spacing w:val="-3"/>
        </w:rPr>
        <w:t xml:space="preserve"> </w:t>
      </w:r>
      <w:r w:rsidRPr="004068F6">
        <w:rPr>
          <w:rFonts w:cs="Arial"/>
          <w:spacing w:val="-3"/>
        </w:rPr>
        <w:t>corresponden</w:t>
      </w:r>
      <w:r w:rsidRPr="004068F6">
        <w:rPr>
          <w:spacing w:val="-3"/>
        </w:rPr>
        <w:t xml:space="preserve"> a impactos para los cuales las medidas de prevención y corrección </w:t>
      </w:r>
      <w:r w:rsidRPr="004068F6">
        <w:t xml:space="preserve">contempladas en el Plan de Manejo Ambiental (PMA) garantizan que no </w:t>
      </w:r>
      <w:r w:rsidRPr="004068F6">
        <w:rPr>
          <w:rFonts w:cs="Arial"/>
        </w:rPr>
        <w:t>existirán</w:t>
      </w:r>
      <w:r w:rsidRPr="004068F6">
        <w:t xml:space="preserve"> afectaciones sobre el bienestar de la población</w:t>
      </w:r>
      <w:r w:rsidRPr="004068F6">
        <w:rPr>
          <w:spacing w:val="-3"/>
        </w:rPr>
        <w:t xml:space="preserve">, pues pueden </w:t>
      </w:r>
      <w:r w:rsidR="00EC4A5C" w:rsidRPr="004068F6">
        <w:rPr>
          <w:spacing w:val="-3"/>
        </w:rPr>
        <w:t>gestionarlas técnicamente</w:t>
      </w:r>
      <w:r w:rsidR="00F64ED9" w:rsidRPr="004068F6">
        <w:rPr>
          <w:rStyle w:val="Refdenotaalpie"/>
          <w:rFonts w:cs="Arial"/>
          <w:spacing w:val="-3"/>
          <w:lang w:val="es-CO"/>
        </w:rPr>
        <w:footnoteReference w:id="231"/>
      </w:r>
      <w:r w:rsidRPr="004068F6">
        <w:rPr>
          <w:spacing w:val="-3"/>
        </w:rPr>
        <w:t>.</w:t>
      </w:r>
      <w:r w:rsidRPr="004068F6">
        <w:rPr>
          <w:rFonts w:cs="Arial"/>
        </w:rPr>
        <w:t xml:space="preserve"> Ello quiere decir, que estas medidas de manejo hacen posible que no se presenten cambios en las condiciones ambientales dada la ejecución de las actividades del proyecto.</w:t>
      </w:r>
    </w:p>
    <w:p w14:paraId="3CD301D4" w14:textId="77777777" w:rsidR="00C05E2A" w:rsidRPr="004068F6" w:rsidRDefault="00C05E2A" w:rsidP="009420F5">
      <w:pPr>
        <w:tabs>
          <w:tab w:val="left" w:pos="-2268"/>
        </w:tabs>
        <w:suppressAutoHyphens/>
        <w:rPr>
          <w:spacing w:val="-3"/>
        </w:rPr>
      </w:pPr>
    </w:p>
    <w:p w14:paraId="529BFC6D" w14:textId="14D17D64" w:rsidR="0056088F" w:rsidRPr="004068F6" w:rsidRDefault="0056088F" w:rsidP="00C86DA5">
      <w:pPr>
        <w:numPr>
          <w:ilvl w:val="0"/>
          <w:numId w:val="34"/>
        </w:numPr>
        <w:tabs>
          <w:tab w:val="left" w:pos="-2268"/>
        </w:tabs>
        <w:suppressAutoHyphens/>
        <w:ind w:left="1134" w:hanging="567"/>
        <w:rPr>
          <w:rFonts w:eastAsia="Arial"/>
          <w:spacing w:val="-3"/>
        </w:rPr>
      </w:pPr>
      <w:r w:rsidRPr="004068F6">
        <w:rPr>
          <w:spacing w:val="-3"/>
        </w:rPr>
        <w:t xml:space="preserve">Los </w:t>
      </w:r>
      <w:r w:rsidRPr="004068F6">
        <w:rPr>
          <w:b/>
          <w:i/>
          <w:spacing w:val="-3"/>
        </w:rPr>
        <w:t>impactos ambientales no internalizables</w:t>
      </w:r>
      <w:r w:rsidRPr="004068F6">
        <w:rPr>
          <w:spacing w:val="-3"/>
        </w:rPr>
        <w:t xml:space="preserve"> corresponden a </w:t>
      </w:r>
      <w:r w:rsidRPr="004068F6">
        <w:t>impacto</w:t>
      </w:r>
      <w:r w:rsidRPr="004068F6">
        <w:rPr>
          <w:spacing w:val="-3"/>
        </w:rPr>
        <w:t>s que persisten</w:t>
      </w:r>
      <w:r w:rsidRPr="004068F6">
        <w:t xml:space="preserve"> </w:t>
      </w:r>
      <w:r w:rsidRPr="004068F6">
        <w:rPr>
          <w:rFonts w:cs="Arial"/>
        </w:rPr>
        <w:t xml:space="preserve">y que no pueden ser </w:t>
      </w:r>
      <w:r w:rsidR="00605D4E" w:rsidRPr="004068F6">
        <w:rPr>
          <w:rFonts w:cs="Arial"/>
        </w:rPr>
        <w:t xml:space="preserve">prevenidos </w:t>
      </w:r>
      <w:r w:rsidR="00C05E2A" w:rsidRPr="004068F6">
        <w:rPr>
          <w:rFonts w:cs="Arial"/>
        </w:rPr>
        <w:t>ni</w:t>
      </w:r>
      <w:r w:rsidRPr="004068F6">
        <w:rPr>
          <w:rFonts w:cs="Arial"/>
        </w:rPr>
        <w:t xml:space="preserve"> corregidos en su totalidad</w:t>
      </w:r>
      <w:r w:rsidRPr="004068F6">
        <w:rPr>
          <w:rFonts w:cs="Arial"/>
          <w:spacing w:val="-3"/>
        </w:rPr>
        <w:t xml:space="preserve"> </w:t>
      </w:r>
      <w:r w:rsidRPr="004068F6">
        <w:rPr>
          <w:spacing w:val="-3"/>
        </w:rPr>
        <w:t xml:space="preserve">una vez han sido contempladas todas las medidas </w:t>
      </w:r>
      <w:r w:rsidR="00591F73" w:rsidRPr="004068F6">
        <w:rPr>
          <w:spacing w:val="-3"/>
        </w:rPr>
        <w:t xml:space="preserve">prevención y corrección </w:t>
      </w:r>
      <w:r w:rsidRPr="004068F6">
        <w:rPr>
          <w:spacing w:val="-3"/>
        </w:rPr>
        <w:t>de</w:t>
      </w:r>
      <w:r w:rsidRPr="004068F6">
        <w:t>l</w:t>
      </w:r>
      <w:r w:rsidRPr="004068F6">
        <w:rPr>
          <w:spacing w:val="-3"/>
        </w:rPr>
        <w:t xml:space="preserve"> Plan de Manejo Ambiental</w:t>
      </w:r>
      <w:r w:rsidRPr="004068F6">
        <w:rPr>
          <w:rFonts w:cs="Arial"/>
        </w:rPr>
        <w:t>. En ese sentido, los impactos ambientales no internalizables son impactos residuales que</w:t>
      </w:r>
      <w:r w:rsidRPr="004068F6">
        <w:t xml:space="preserve"> deben ser </w:t>
      </w:r>
      <w:r w:rsidRPr="004068F6">
        <w:rPr>
          <w:rFonts w:cs="Arial"/>
        </w:rPr>
        <w:t>valorados económicamente, y cuyo monto debe ser un proxy de las medidas de compensación a realizar</w:t>
      </w:r>
      <w:r w:rsidRPr="004068F6">
        <w:t>.</w:t>
      </w:r>
    </w:p>
    <w:p w14:paraId="6C404A6A" w14:textId="1F8E06D1" w:rsidR="0056088F" w:rsidRPr="004068F6" w:rsidRDefault="0056088F" w:rsidP="00C86DA5">
      <w:pPr>
        <w:tabs>
          <w:tab w:val="left" w:pos="-2268"/>
        </w:tabs>
        <w:suppressAutoHyphens/>
        <w:rPr>
          <w:spacing w:val="-3"/>
        </w:rPr>
      </w:pPr>
    </w:p>
    <w:p w14:paraId="0B592396" w14:textId="67FFDD2F" w:rsidR="0056088F" w:rsidRPr="004068F6" w:rsidRDefault="0056088F" w:rsidP="00C86DA5">
      <w:pPr>
        <w:pStyle w:val="Prrafodelista"/>
        <w:tabs>
          <w:tab w:val="left" w:pos="-2268"/>
        </w:tabs>
        <w:suppressAutoHyphens/>
        <w:ind w:left="567"/>
        <w:rPr>
          <w:spacing w:val="-3"/>
          <w:lang w:val="es-CO"/>
        </w:rPr>
      </w:pPr>
      <w:r w:rsidRPr="004068F6">
        <w:rPr>
          <w:spacing w:val="-3"/>
          <w:lang w:val="es-CO"/>
        </w:rPr>
        <w:t xml:space="preserve">Las consideraciones detalladas para el desarrollo de esta fase se encuentran en el Instructivo B del documento </w:t>
      </w:r>
      <w:r w:rsidRPr="004068F6">
        <w:rPr>
          <w:rFonts w:cs="Arial"/>
          <w:spacing w:val="-3"/>
          <w:lang w:val="es-CO"/>
        </w:rPr>
        <w:t>anexo a la Resolución 1669 de 2017</w:t>
      </w:r>
      <w:r w:rsidRPr="004068F6">
        <w:rPr>
          <w:rFonts w:cs="Arial"/>
          <w:lang w:val="es-CO"/>
        </w:rPr>
        <w:t>, o aquella que la modifique o sustituya</w:t>
      </w:r>
      <w:r w:rsidRPr="004068F6">
        <w:rPr>
          <w:rFonts w:cs="Arial"/>
          <w:spacing w:val="-3"/>
          <w:lang w:val="es-CO"/>
        </w:rPr>
        <w:t>,</w:t>
      </w:r>
      <w:r w:rsidRPr="004068F6">
        <w:rPr>
          <w:spacing w:val="-3"/>
          <w:lang w:val="es-CO"/>
        </w:rPr>
        <w:t xml:space="preserve"> </w:t>
      </w:r>
      <w:r w:rsidRPr="004068F6">
        <w:rPr>
          <w:i/>
          <w:spacing w:val="-3"/>
          <w:lang w:val="es-CO"/>
        </w:rPr>
        <w:t>Criterios técnicos para el uso de herramientas económicas en los proyectos, obras o actividades objeto de licenciamiento ambiental.</w:t>
      </w:r>
    </w:p>
    <w:p w14:paraId="75B6F2FA" w14:textId="77777777" w:rsidR="0056088F" w:rsidRPr="004068F6" w:rsidRDefault="0056088F" w:rsidP="009420F5">
      <w:pPr>
        <w:numPr>
          <w:ilvl w:val="12"/>
          <w:numId w:val="0"/>
        </w:numPr>
        <w:tabs>
          <w:tab w:val="left" w:pos="-2268"/>
        </w:tabs>
        <w:suppressAutoHyphens/>
        <w:rPr>
          <w:spacing w:val="-3"/>
        </w:rPr>
      </w:pPr>
    </w:p>
    <w:p w14:paraId="06945796" w14:textId="43C41881" w:rsidR="0056088F" w:rsidRPr="004068F6" w:rsidRDefault="0056088F" w:rsidP="002A76C0">
      <w:pPr>
        <w:pStyle w:val="Prrafodelista"/>
        <w:tabs>
          <w:tab w:val="left" w:pos="-2268"/>
        </w:tabs>
        <w:suppressAutoHyphens/>
        <w:ind w:left="567"/>
        <w:rPr>
          <w:rFonts w:cs="Arial"/>
          <w:spacing w:val="-3"/>
          <w:lang w:val="es-CO"/>
        </w:rPr>
      </w:pPr>
      <w:r w:rsidRPr="004068F6">
        <w:rPr>
          <w:spacing w:val="-3"/>
          <w:lang w:val="es-CO"/>
        </w:rPr>
        <w:lastRenderedPageBreak/>
        <w:t>Cabe recalcar que</w:t>
      </w:r>
      <w:r w:rsidRPr="004068F6">
        <w:rPr>
          <w:lang w:val="es-CO"/>
        </w:rPr>
        <w:t xml:space="preserve"> </w:t>
      </w:r>
      <w:r w:rsidRPr="004068F6">
        <w:rPr>
          <w:rFonts w:cs="Arial"/>
          <w:lang w:val="es-CO"/>
        </w:rPr>
        <w:t xml:space="preserve">la clasificación de </w:t>
      </w:r>
      <w:r w:rsidRPr="004068F6">
        <w:rPr>
          <w:spacing w:val="-3"/>
          <w:lang w:val="es-CO"/>
        </w:rPr>
        <w:t>un impacto como internalizable, depende de la efectividad de las medidas de prevención y corrección contenidas en el PMA</w:t>
      </w:r>
      <w:r w:rsidRPr="004068F6">
        <w:rPr>
          <w:rStyle w:val="Refdenotaalpie"/>
          <w:rFonts w:cs="Arial"/>
          <w:spacing w:val="-3"/>
          <w:lang w:val="es-CO"/>
        </w:rPr>
        <w:footnoteReference w:id="232"/>
      </w:r>
      <w:r w:rsidRPr="004068F6">
        <w:rPr>
          <w:spacing w:val="-3"/>
          <w:lang w:val="es-CO"/>
        </w:rPr>
        <w:t xml:space="preserve">. Para que sea considerado como tal, </w:t>
      </w:r>
      <w:r w:rsidR="002A76C0" w:rsidRPr="004068F6">
        <w:rPr>
          <w:spacing w:val="-3"/>
          <w:lang w:val="es-CO"/>
        </w:rPr>
        <w:t xml:space="preserve">tales </w:t>
      </w:r>
      <w:r w:rsidRPr="004068F6">
        <w:rPr>
          <w:spacing w:val="-3"/>
          <w:lang w:val="es-CO"/>
        </w:rPr>
        <w:t xml:space="preserve">medidas deben conducir a que </w:t>
      </w:r>
      <w:r w:rsidR="002A76C0" w:rsidRPr="004068F6">
        <w:rPr>
          <w:spacing w:val="-3"/>
          <w:lang w:val="es-CO"/>
        </w:rPr>
        <w:t xml:space="preserve">dicho </w:t>
      </w:r>
      <w:r w:rsidRPr="004068F6">
        <w:rPr>
          <w:spacing w:val="-3"/>
          <w:lang w:val="es-CO"/>
        </w:rPr>
        <w:t xml:space="preserve">impacto </w:t>
      </w:r>
      <w:r w:rsidR="002A76C0" w:rsidRPr="004068F6">
        <w:rPr>
          <w:spacing w:val="-3"/>
          <w:lang w:val="es-CO"/>
        </w:rPr>
        <w:t xml:space="preserve">sea efectivamente </w:t>
      </w:r>
      <w:r w:rsidR="00EC4A5C" w:rsidRPr="004068F6">
        <w:rPr>
          <w:spacing w:val="-3"/>
          <w:lang w:val="es-CO"/>
        </w:rPr>
        <w:t xml:space="preserve">manejado </w:t>
      </w:r>
      <w:r w:rsidR="002A76C0" w:rsidRPr="004068F6">
        <w:rPr>
          <w:spacing w:val="-3"/>
          <w:lang w:val="es-CO"/>
        </w:rPr>
        <w:t>y no produzca afectaciones sobre el bienestar social</w:t>
      </w:r>
      <w:r w:rsidR="002A76C0" w:rsidRPr="004068F6">
        <w:rPr>
          <w:rFonts w:cs="Arial"/>
          <w:spacing w:val="-3"/>
          <w:lang w:val="es-CO"/>
        </w:rPr>
        <w:t>,</w:t>
      </w:r>
      <w:r w:rsidR="002A76C0" w:rsidRPr="004068F6">
        <w:rPr>
          <w:spacing w:val="-3"/>
          <w:lang w:val="es-CO"/>
        </w:rPr>
        <w:t xml:space="preserve"> </w:t>
      </w:r>
      <w:r w:rsidRPr="004068F6">
        <w:rPr>
          <w:rFonts w:cs="Arial"/>
          <w:spacing w:val="-3"/>
          <w:lang w:val="es-CO"/>
        </w:rPr>
        <w:t xml:space="preserve">es decir, </w:t>
      </w:r>
      <w:r w:rsidRPr="004068F6">
        <w:rPr>
          <w:spacing w:val="-3"/>
          <w:lang w:val="es-CO"/>
        </w:rPr>
        <w:t xml:space="preserve">no </w:t>
      </w:r>
      <w:r w:rsidRPr="004068F6">
        <w:rPr>
          <w:rFonts w:cs="Arial"/>
          <w:spacing w:val="-3"/>
          <w:lang w:val="es-CO"/>
        </w:rPr>
        <w:t>debe corresponder a un impacto ambiental residual</w:t>
      </w:r>
      <w:r w:rsidRPr="004068F6">
        <w:rPr>
          <w:rStyle w:val="Refdenotaalpie"/>
          <w:rFonts w:cs="Arial"/>
          <w:spacing w:val="-3"/>
          <w:lang w:val="es-CO"/>
        </w:rPr>
        <w:footnoteReference w:id="233"/>
      </w:r>
      <w:r w:rsidRPr="004068F6">
        <w:rPr>
          <w:rFonts w:cs="Arial"/>
          <w:spacing w:val="-3"/>
          <w:lang w:val="es-CO"/>
        </w:rPr>
        <w:t>.</w:t>
      </w:r>
    </w:p>
    <w:p w14:paraId="03F0C53A" w14:textId="77777777" w:rsidR="0056088F" w:rsidRPr="004068F6" w:rsidRDefault="0056088F" w:rsidP="009420F5">
      <w:pPr>
        <w:tabs>
          <w:tab w:val="left" w:pos="-2268"/>
        </w:tabs>
        <w:suppressAutoHyphens/>
        <w:rPr>
          <w:rFonts w:cs="Arial"/>
          <w:spacing w:val="-3"/>
        </w:rPr>
      </w:pPr>
    </w:p>
    <w:p w14:paraId="46CAEA3B" w14:textId="48329065" w:rsidR="0056088F" w:rsidRPr="004068F6" w:rsidRDefault="009E6424" w:rsidP="00C86DA5">
      <w:pPr>
        <w:pStyle w:val="Prrafodelista"/>
        <w:tabs>
          <w:tab w:val="left" w:pos="-2268"/>
        </w:tabs>
        <w:suppressAutoHyphens/>
        <w:ind w:left="567"/>
        <w:rPr>
          <w:spacing w:val="-3"/>
          <w:lang w:val="es-CO"/>
        </w:rPr>
      </w:pPr>
      <w:r w:rsidRPr="004068F6">
        <w:rPr>
          <w:spacing w:val="-3"/>
          <w:lang w:val="es-CO"/>
        </w:rPr>
        <w:t>Si</w:t>
      </w:r>
      <w:r w:rsidR="0056088F" w:rsidRPr="004068F6">
        <w:rPr>
          <w:spacing w:val="-3"/>
          <w:lang w:val="es-CO"/>
        </w:rPr>
        <w:t xml:space="preserve"> </w:t>
      </w:r>
      <w:r w:rsidR="00591F73" w:rsidRPr="004068F6">
        <w:rPr>
          <w:spacing w:val="-3"/>
          <w:lang w:val="es-CO"/>
        </w:rPr>
        <w:t xml:space="preserve">un </w:t>
      </w:r>
      <w:r w:rsidR="0056088F" w:rsidRPr="004068F6">
        <w:rPr>
          <w:spacing w:val="-3"/>
          <w:lang w:val="es-CO"/>
        </w:rPr>
        <w:t xml:space="preserve">impacto </w:t>
      </w:r>
      <w:r w:rsidR="00591F73" w:rsidRPr="004068F6">
        <w:rPr>
          <w:spacing w:val="-3"/>
          <w:lang w:val="es-CO"/>
        </w:rPr>
        <w:t xml:space="preserve">ambiental </w:t>
      </w:r>
      <w:r w:rsidR="0056088F" w:rsidRPr="004068F6">
        <w:rPr>
          <w:spacing w:val="-3"/>
          <w:lang w:val="es-CO"/>
        </w:rPr>
        <w:t>persist</w:t>
      </w:r>
      <w:r w:rsidRPr="004068F6">
        <w:rPr>
          <w:spacing w:val="-3"/>
          <w:lang w:val="es-CO"/>
        </w:rPr>
        <w:t>e</w:t>
      </w:r>
      <w:r w:rsidR="0056088F" w:rsidRPr="004068F6">
        <w:rPr>
          <w:spacing w:val="-3"/>
          <w:lang w:val="es-CO"/>
        </w:rPr>
        <w:t xml:space="preserve"> aún con las medidas de prevención, mitigación y corrección contempladas, </w:t>
      </w:r>
      <w:r w:rsidR="00591F73" w:rsidRPr="004068F6">
        <w:rPr>
          <w:spacing w:val="-3"/>
          <w:lang w:val="es-CO"/>
        </w:rPr>
        <w:t xml:space="preserve">dicho </w:t>
      </w:r>
      <w:r w:rsidR="0056088F" w:rsidRPr="004068F6">
        <w:rPr>
          <w:spacing w:val="-3"/>
          <w:lang w:val="es-CO"/>
        </w:rPr>
        <w:t xml:space="preserve">impacto o la fracción </w:t>
      </w:r>
      <w:r w:rsidR="007E3C84" w:rsidRPr="004068F6">
        <w:rPr>
          <w:spacing w:val="-3"/>
          <w:lang w:val="es-CO"/>
        </w:rPr>
        <w:t xml:space="preserve">no mitigada </w:t>
      </w:r>
      <w:r w:rsidR="0056088F" w:rsidRPr="004068F6">
        <w:rPr>
          <w:spacing w:val="-3"/>
          <w:lang w:val="es-CO"/>
        </w:rPr>
        <w:t>del mismo debe considerarse como no internalizable</w:t>
      </w:r>
      <w:r w:rsidR="0056088F" w:rsidRPr="004068F6">
        <w:rPr>
          <w:rFonts w:cs="Arial"/>
          <w:spacing w:val="-3"/>
          <w:lang w:val="es-CO"/>
        </w:rPr>
        <w:t>,</w:t>
      </w:r>
      <w:r w:rsidR="0056088F" w:rsidRPr="004068F6">
        <w:rPr>
          <w:rFonts w:cs="Arial"/>
          <w:lang w:val="es-CO"/>
        </w:rPr>
        <w:t xml:space="preserve"> y por consiguiente debe ser valorado económicamente</w:t>
      </w:r>
      <w:r w:rsidR="0056088F" w:rsidRPr="004068F6">
        <w:rPr>
          <w:rFonts w:cs="Arial"/>
          <w:spacing w:val="-3"/>
          <w:lang w:val="es-CO"/>
        </w:rPr>
        <w:t>. Durante</w:t>
      </w:r>
      <w:r w:rsidR="0056088F" w:rsidRPr="004068F6">
        <w:rPr>
          <w:spacing w:val="-3"/>
          <w:lang w:val="es-CO"/>
        </w:rPr>
        <w:t xml:space="preserve"> esta etapa debe justificarse técnicamente la efectividad de las medidas de prevención, mitigación </w:t>
      </w:r>
      <w:r w:rsidR="007E3C84" w:rsidRPr="004068F6">
        <w:rPr>
          <w:spacing w:val="-3"/>
          <w:lang w:val="es-CO"/>
        </w:rPr>
        <w:t>(</w:t>
      </w:r>
      <w:r w:rsidR="00591F73" w:rsidRPr="004068F6">
        <w:rPr>
          <w:spacing w:val="-3"/>
          <w:lang w:val="es-CO"/>
        </w:rPr>
        <w:t xml:space="preserve">señalando qué </w:t>
      </w:r>
      <w:r w:rsidR="007E3C84" w:rsidRPr="004068F6">
        <w:rPr>
          <w:spacing w:val="-3"/>
          <w:lang w:val="es-CO"/>
        </w:rPr>
        <w:t>fracción</w:t>
      </w:r>
      <w:r w:rsidR="00591F73" w:rsidRPr="004068F6">
        <w:rPr>
          <w:spacing w:val="-3"/>
          <w:lang w:val="es-CO"/>
        </w:rPr>
        <w:t xml:space="preserve"> efectivamente se mitiga</w:t>
      </w:r>
      <w:r w:rsidR="007E3C84" w:rsidRPr="004068F6">
        <w:rPr>
          <w:spacing w:val="-3"/>
          <w:lang w:val="es-CO"/>
        </w:rPr>
        <w:t xml:space="preserve">) </w:t>
      </w:r>
      <w:r w:rsidR="0056088F" w:rsidRPr="004068F6">
        <w:rPr>
          <w:spacing w:val="-3"/>
          <w:lang w:val="es-CO"/>
        </w:rPr>
        <w:t>y corrección</w:t>
      </w:r>
      <w:r w:rsidR="003D2F41" w:rsidRPr="004068F6">
        <w:rPr>
          <w:spacing w:val="-3"/>
          <w:lang w:val="es-CO"/>
        </w:rPr>
        <w:t>,</w:t>
      </w:r>
      <w:r w:rsidR="0056088F" w:rsidRPr="004068F6">
        <w:rPr>
          <w:spacing w:val="-3"/>
          <w:lang w:val="es-CO"/>
        </w:rPr>
        <w:t xml:space="preserve"> contempladas en el PMA. Adicionalmente, es necesario destacar que todo</w:t>
      </w:r>
      <w:r w:rsidR="0056088F" w:rsidRPr="004068F6">
        <w:rPr>
          <w:lang w:val="es-CO"/>
        </w:rPr>
        <w:t xml:space="preserve"> impacto </w:t>
      </w:r>
      <w:r w:rsidR="0056088F" w:rsidRPr="004068F6">
        <w:rPr>
          <w:spacing w:val="-3"/>
          <w:lang w:val="es-CO"/>
        </w:rPr>
        <w:t xml:space="preserve">ambiental que pueda ser técnicamente </w:t>
      </w:r>
      <w:r w:rsidR="003D2F41" w:rsidRPr="004068F6">
        <w:rPr>
          <w:spacing w:val="-3"/>
          <w:lang w:val="es-CO"/>
        </w:rPr>
        <w:t>internalizado</w:t>
      </w:r>
      <w:r w:rsidR="0056088F" w:rsidRPr="004068F6">
        <w:rPr>
          <w:spacing w:val="-3"/>
          <w:lang w:val="es-CO"/>
        </w:rPr>
        <w:t xml:space="preserve"> debe ser internalizado.</w:t>
      </w:r>
    </w:p>
    <w:p w14:paraId="26A8465C" w14:textId="2475C4AA" w:rsidR="0056088F" w:rsidRPr="004068F6" w:rsidRDefault="0056088F" w:rsidP="00C86DA5">
      <w:pPr>
        <w:tabs>
          <w:tab w:val="left" w:pos="-2268"/>
        </w:tabs>
        <w:suppressAutoHyphens/>
        <w:rPr>
          <w:spacing w:val="-3"/>
        </w:rPr>
      </w:pPr>
    </w:p>
    <w:p w14:paraId="50B33103" w14:textId="2D838F5D" w:rsidR="0056088F" w:rsidRPr="004068F6" w:rsidRDefault="0056088F" w:rsidP="00C86DA5">
      <w:pPr>
        <w:pStyle w:val="Prrafodelista"/>
        <w:numPr>
          <w:ilvl w:val="0"/>
          <w:numId w:val="5"/>
        </w:numPr>
        <w:tabs>
          <w:tab w:val="left" w:pos="-2268"/>
        </w:tabs>
        <w:suppressAutoHyphens/>
        <w:ind w:left="567" w:hanging="567"/>
        <w:rPr>
          <w:spacing w:val="-3"/>
          <w:lang w:val="es-CO"/>
        </w:rPr>
      </w:pPr>
      <w:r w:rsidRPr="004068F6">
        <w:rPr>
          <w:b/>
          <w:spacing w:val="-3"/>
          <w:lang w:val="es-CO"/>
        </w:rPr>
        <w:t>Cuantificación biofísica de los impactos</w:t>
      </w:r>
      <w:r w:rsidRPr="004068F6">
        <w:rPr>
          <w:spacing w:val="-3"/>
          <w:lang w:val="es-CO"/>
        </w:rPr>
        <w:t xml:space="preserve">: consiste en </w:t>
      </w:r>
      <w:r w:rsidRPr="004068F6">
        <w:rPr>
          <w:rFonts w:cs="Arial"/>
          <w:spacing w:val="-3"/>
          <w:lang w:val="es-CO"/>
        </w:rPr>
        <w:t>estimar, para los impactos ambientales significativos, el cambio en los parámetros ambientales,</w:t>
      </w:r>
      <w:r w:rsidRPr="004068F6">
        <w:rPr>
          <w:spacing w:val="-3"/>
          <w:lang w:val="es-CO"/>
        </w:rPr>
        <w:t xml:space="preserve"> los servicios ecosistémicos</w:t>
      </w:r>
      <w:r w:rsidRPr="004068F6">
        <w:rPr>
          <w:rFonts w:cs="Arial"/>
          <w:spacing w:val="-3"/>
          <w:lang w:val="es-CO"/>
        </w:rPr>
        <w:t>, y/</w:t>
      </w:r>
      <w:r w:rsidRPr="004068F6">
        <w:rPr>
          <w:rFonts w:cs="Arial"/>
          <w:lang w:val="es-CO"/>
        </w:rPr>
        <w:t>o en otros elementos</w:t>
      </w:r>
      <w:r w:rsidRPr="004068F6">
        <w:rPr>
          <w:lang w:val="es-CO"/>
        </w:rPr>
        <w:t xml:space="preserve"> del </w:t>
      </w:r>
      <w:r w:rsidRPr="004068F6">
        <w:rPr>
          <w:rFonts w:cs="Arial"/>
          <w:lang w:val="es-CO"/>
        </w:rPr>
        <w:t>bienestar</w:t>
      </w:r>
      <w:r w:rsidRPr="004068F6">
        <w:rPr>
          <w:rFonts w:cs="Arial"/>
          <w:spacing w:val="-3"/>
          <w:lang w:val="es-CO"/>
        </w:rPr>
        <w:t>. Las</w:t>
      </w:r>
      <w:r w:rsidRPr="004068F6">
        <w:rPr>
          <w:spacing w:val="-3"/>
          <w:lang w:val="es-CO"/>
        </w:rPr>
        <w:t xml:space="preserve"> unidades en las que </w:t>
      </w:r>
      <w:r w:rsidRPr="004068F6">
        <w:rPr>
          <w:rFonts w:cs="Arial"/>
          <w:spacing w:val="-3"/>
          <w:lang w:val="es-CO"/>
        </w:rPr>
        <w:t>expresan</w:t>
      </w:r>
      <w:r w:rsidRPr="004068F6">
        <w:rPr>
          <w:spacing w:val="-3"/>
          <w:lang w:val="es-CO"/>
        </w:rPr>
        <w:t xml:space="preserve"> los impactos previsibles por el desarrollo </w:t>
      </w:r>
      <w:r w:rsidRPr="004068F6">
        <w:rPr>
          <w:rFonts w:cs="Arial"/>
          <w:spacing w:val="-3"/>
          <w:lang w:val="es-CO"/>
        </w:rPr>
        <w:t>de un</w:t>
      </w:r>
      <w:r w:rsidRPr="004068F6">
        <w:rPr>
          <w:spacing w:val="-3"/>
          <w:lang w:val="es-CO"/>
        </w:rPr>
        <w:t xml:space="preserve"> proyecto, </w:t>
      </w:r>
      <w:r w:rsidRPr="004068F6">
        <w:rPr>
          <w:rFonts w:cs="Arial"/>
          <w:spacing w:val="-3"/>
          <w:lang w:val="es-CO"/>
        </w:rPr>
        <w:t>obra o actividad, deben ser las mismas en todos los capítulos del estudio ambiental a fin de</w:t>
      </w:r>
      <w:r w:rsidRPr="004068F6">
        <w:rPr>
          <w:spacing w:val="-3"/>
          <w:lang w:val="es-CO"/>
        </w:rPr>
        <w:t xml:space="preserve"> asegurar </w:t>
      </w:r>
      <w:r w:rsidRPr="004068F6">
        <w:rPr>
          <w:rFonts w:cs="Arial"/>
          <w:spacing w:val="-3"/>
          <w:lang w:val="es-CO"/>
        </w:rPr>
        <w:t>la</w:t>
      </w:r>
      <w:r w:rsidRPr="004068F6">
        <w:rPr>
          <w:spacing w:val="-3"/>
          <w:lang w:val="es-CO"/>
        </w:rPr>
        <w:t xml:space="preserve"> coherencia </w:t>
      </w:r>
      <w:r w:rsidRPr="004068F6">
        <w:rPr>
          <w:rFonts w:cs="Arial"/>
          <w:spacing w:val="-3"/>
          <w:lang w:val="es-CO"/>
        </w:rPr>
        <w:t>del documento y también, la obtención de resultados acertados en</w:t>
      </w:r>
      <w:r w:rsidRPr="004068F6">
        <w:rPr>
          <w:spacing w:val="-3"/>
          <w:lang w:val="es-CO"/>
        </w:rPr>
        <w:t xml:space="preserve"> el </w:t>
      </w:r>
      <w:r w:rsidRPr="004068F6">
        <w:rPr>
          <w:rFonts w:cs="Arial"/>
          <w:spacing w:val="-3"/>
          <w:lang w:val="es-CO"/>
        </w:rPr>
        <w:t>proceso de evaluación económica ambiental</w:t>
      </w:r>
      <w:r w:rsidRPr="004068F6">
        <w:rPr>
          <w:spacing w:val="-3"/>
          <w:lang w:val="es-CO"/>
        </w:rPr>
        <w:t>.</w:t>
      </w:r>
      <w:bookmarkStart w:id="7354" w:name="_Ref409620603"/>
    </w:p>
    <w:p w14:paraId="056C30DC" w14:textId="77777777" w:rsidR="0056088F" w:rsidRPr="004068F6" w:rsidRDefault="0056088F" w:rsidP="00C86DA5">
      <w:pPr>
        <w:pStyle w:val="Prrafodelista"/>
        <w:tabs>
          <w:tab w:val="left" w:pos="-2268"/>
        </w:tabs>
        <w:suppressAutoHyphens/>
        <w:ind w:left="567" w:hanging="567"/>
        <w:rPr>
          <w:rFonts w:cs="Arial"/>
          <w:spacing w:val="-3"/>
          <w:lang w:val="es-CO"/>
        </w:rPr>
      </w:pPr>
    </w:p>
    <w:p w14:paraId="229B2990" w14:textId="6201F62B" w:rsidR="0056088F" w:rsidRPr="004068F6" w:rsidRDefault="0056088F">
      <w:pPr>
        <w:pStyle w:val="Prrafodelista"/>
        <w:tabs>
          <w:tab w:val="left" w:pos="-2268"/>
        </w:tabs>
        <w:suppressAutoHyphens/>
        <w:ind w:left="567"/>
        <w:rPr>
          <w:rFonts w:cs="Arial"/>
          <w:spacing w:val="-3"/>
          <w:lang w:val="es-CO"/>
        </w:rPr>
      </w:pPr>
      <w:r w:rsidRPr="004068F6">
        <w:rPr>
          <w:rFonts w:cs="Arial"/>
          <w:spacing w:val="-3"/>
          <w:lang w:val="es-CO"/>
        </w:rPr>
        <w:t>Las consideraciones detalladas para el desarrollo de este paso se encuentran en el Instructivo B del documento anexo a la Resolución 1669 de 2017</w:t>
      </w:r>
      <w:r w:rsidRPr="004068F6">
        <w:rPr>
          <w:rFonts w:cs="Arial"/>
          <w:lang w:val="es-CO"/>
        </w:rPr>
        <w:t>, o aquella que la modifique o sustituya</w:t>
      </w:r>
      <w:r w:rsidRPr="004068F6">
        <w:rPr>
          <w:rFonts w:cs="Arial"/>
          <w:spacing w:val="-3"/>
          <w:lang w:val="es-CO"/>
        </w:rPr>
        <w:t xml:space="preserve">, </w:t>
      </w:r>
      <w:r w:rsidRPr="004068F6">
        <w:rPr>
          <w:rFonts w:cs="Arial"/>
          <w:i/>
          <w:iCs/>
          <w:spacing w:val="-3"/>
          <w:lang w:val="es-CO"/>
        </w:rPr>
        <w:t xml:space="preserve">Criterios técnicos para el uso de herramientas económicas en los </w:t>
      </w:r>
      <w:r w:rsidRPr="004068F6">
        <w:rPr>
          <w:spacing w:val="-3"/>
          <w:lang w:val="es-CO"/>
        </w:rPr>
        <w:t>proyectos</w:t>
      </w:r>
      <w:r w:rsidRPr="004068F6">
        <w:rPr>
          <w:rFonts w:cs="Arial"/>
          <w:i/>
          <w:iCs/>
          <w:spacing w:val="-3"/>
          <w:lang w:val="es-CO"/>
        </w:rPr>
        <w:t>, obras o actividades objeto de licenciamiento ambiental.</w:t>
      </w:r>
    </w:p>
    <w:p w14:paraId="55067277" w14:textId="78C50825" w:rsidR="0056088F" w:rsidRPr="004068F6" w:rsidRDefault="0056088F" w:rsidP="00C86DA5">
      <w:pPr>
        <w:tabs>
          <w:tab w:val="left" w:pos="-2268"/>
        </w:tabs>
        <w:suppressAutoHyphens/>
        <w:rPr>
          <w:spacing w:val="-3"/>
        </w:rPr>
      </w:pPr>
    </w:p>
    <w:p w14:paraId="06CC33BF" w14:textId="5B9AECEE" w:rsidR="0056088F" w:rsidRPr="004068F6" w:rsidRDefault="0056088F" w:rsidP="00C86DA5">
      <w:pPr>
        <w:pStyle w:val="Prrafodelista"/>
        <w:numPr>
          <w:ilvl w:val="0"/>
          <w:numId w:val="5"/>
        </w:numPr>
        <w:tabs>
          <w:tab w:val="left" w:pos="-2268"/>
        </w:tabs>
        <w:suppressAutoHyphens/>
        <w:ind w:left="567" w:hanging="567"/>
        <w:rPr>
          <w:spacing w:val="-3"/>
          <w:lang w:val="es-CO"/>
        </w:rPr>
      </w:pPr>
      <w:r w:rsidRPr="004068F6">
        <w:rPr>
          <w:b/>
          <w:spacing w:val="-3"/>
          <w:lang w:val="es-CO"/>
        </w:rPr>
        <w:t>Análisis económico de impactos</w:t>
      </w:r>
      <w:bookmarkEnd w:id="7354"/>
      <w:r w:rsidRPr="004068F6">
        <w:rPr>
          <w:spacing w:val="-3"/>
          <w:lang w:val="es-CO"/>
        </w:rPr>
        <w:t xml:space="preserve">: se deben realizar análisis económicos diferenciados para los impactos </w:t>
      </w:r>
      <w:r w:rsidR="00E27186" w:rsidRPr="004068F6">
        <w:rPr>
          <w:spacing w:val="-3"/>
          <w:lang w:val="es-CO"/>
        </w:rPr>
        <w:t xml:space="preserve">negativos </w:t>
      </w:r>
      <w:r w:rsidRPr="004068F6">
        <w:rPr>
          <w:spacing w:val="-3"/>
          <w:lang w:val="es-CO"/>
        </w:rPr>
        <w:t>internalizables y para los no internalizables de la siguiente forma:</w:t>
      </w:r>
    </w:p>
    <w:p w14:paraId="62E9E8B2" w14:textId="77777777" w:rsidR="0056088F" w:rsidRPr="004068F6" w:rsidRDefault="0056088F" w:rsidP="00C86DA5">
      <w:pPr>
        <w:numPr>
          <w:ilvl w:val="12"/>
          <w:numId w:val="0"/>
        </w:numPr>
        <w:tabs>
          <w:tab w:val="left" w:pos="-2268"/>
        </w:tabs>
        <w:suppressAutoHyphens/>
        <w:ind w:left="567" w:hanging="567"/>
        <w:rPr>
          <w:spacing w:val="-3"/>
        </w:rPr>
      </w:pPr>
    </w:p>
    <w:p w14:paraId="4290EB5A" w14:textId="2B1F9D4E" w:rsidR="0056088F" w:rsidRPr="004068F6" w:rsidRDefault="00E719AC" w:rsidP="00C86DA5">
      <w:pPr>
        <w:numPr>
          <w:ilvl w:val="0"/>
          <w:numId w:val="34"/>
        </w:numPr>
        <w:tabs>
          <w:tab w:val="left" w:pos="-2268"/>
        </w:tabs>
        <w:suppressAutoHyphens/>
        <w:ind w:left="1134" w:hanging="567"/>
        <w:rPr>
          <w:spacing w:val="-3"/>
        </w:rPr>
      </w:pPr>
      <w:bookmarkStart w:id="7355" w:name="_Ref410503665"/>
      <w:r w:rsidRPr="004068F6">
        <w:rPr>
          <w:spacing w:val="-3"/>
        </w:rPr>
        <w:t>I</w:t>
      </w:r>
      <w:r w:rsidR="0056088F" w:rsidRPr="004068F6">
        <w:rPr>
          <w:spacing w:val="-3"/>
        </w:rPr>
        <w:t>mpactos internalizables: e</w:t>
      </w:r>
      <w:bookmarkEnd w:id="7355"/>
      <w:r w:rsidR="0056088F" w:rsidRPr="004068F6">
        <w:rPr>
          <w:spacing w:val="-3"/>
        </w:rPr>
        <w:t xml:space="preserve">l ejercicio económico para este tipo de impactos se denomina análisis de internalización y consiste en asumir como valor de los impactos, el costo de implementación de las medidas de prevención y corrección </w:t>
      </w:r>
      <w:r w:rsidR="0056088F" w:rsidRPr="004068F6">
        <w:rPr>
          <w:spacing w:val="-3"/>
        </w:rPr>
        <w:lastRenderedPageBreak/>
        <w:t>consignadas en el PMA. Este análisis permite hacer la trazabilidad del comportamiento de los impactos que serán objeto de seguimiento ambiental.</w:t>
      </w:r>
    </w:p>
    <w:p w14:paraId="4CA1AABF" w14:textId="77777777" w:rsidR="0056088F" w:rsidRPr="004068F6" w:rsidRDefault="0056088F" w:rsidP="009420F5">
      <w:pPr>
        <w:tabs>
          <w:tab w:val="left" w:pos="-2268"/>
        </w:tabs>
        <w:suppressAutoHyphens/>
        <w:rPr>
          <w:spacing w:val="-3"/>
        </w:rPr>
      </w:pPr>
    </w:p>
    <w:p w14:paraId="71202D10" w14:textId="12D0EE9A" w:rsidR="0056088F" w:rsidRPr="004068F6" w:rsidRDefault="0056088F" w:rsidP="00C86DA5">
      <w:pPr>
        <w:tabs>
          <w:tab w:val="left" w:pos="-2268"/>
        </w:tabs>
        <w:suppressAutoHyphens/>
        <w:ind w:left="1134"/>
        <w:rPr>
          <w:spacing w:val="-3"/>
        </w:rPr>
      </w:pPr>
      <w:r w:rsidRPr="004068F6">
        <w:rPr>
          <w:spacing w:val="-3"/>
        </w:rPr>
        <w:t>Las consideraciones detalladas para el desarrollo de este paso se encuentran en el Instructivo B del documento anexo a la Resolución 1669 de 2017, o aquella que la modifique</w:t>
      </w:r>
      <w:r w:rsidR="00052351" w:rsidRPr="004068F6">
        <w:rPr>
          <w:spacing w:val="-3"/>
        </w:rPr>
        <w:t xml:space="preserve"> o</w:t>
      </w:r>
      <w:r w:rsidRPr="004068F6">
        <w:rPr>
          <w:spacing w:val="-3"/>
        </w:rPr>
        <w:t xml:space="preserve"> sustituya, </w:t>
      </w:r>
      <w:r w:rsidRPr="004068F6">
        <w:rPr>
          <w:i/>
          <w:spacing w:val="-3"/>
        </w:rPr>
        <w:t>Criterios técnicos para el uso de herramientas económicas en los proyectos, obras o actividades objeto de licenciamiento ambiental</w:t>
      </w:r>
      <w:r w:rsidRPr="004068F6">
        <w:rPr>
          <w:spacing w:val="-3"/>
        </w:rPr>
        <w:t>.</w:t>
      </w:r>
    </w:p>
    <w:p w14:paraId="39D67B83" w14:textId="609FE8C7" w:rsidR="0056088F" w:rsidRPr="004068F6" w:rsidRDefault="0056088F" w:rsidP="00C86DA5">
      <w:pPr>
        <w:tabs>
          <w:tab w:val="left" w:pos="-2268"/>
        </w:tabs>
        <w:suppressAutoHyphens/>
        <w:rPr>
          <w:spacing w:val="-3"/>
        </w:rPr>
      </w:pPr>
    </w:p>
    <w:p w14:paraId="4BD58CB1" w14:textId="507342A0" w:rsidR="0056088F" w:rsidRPr="004068F6" w:rsidRDefault="00E719AC" w:rsidP="00C86DA5">
      <w:pPr>
        <w:pStyle w:val="Prrafodelista"/>
        <w:numPr>
          <w:ilvl w:val="0"/>
          <w:numId w:val="405"/>
        </w:numPr>
        <w:tabs>
          <w:tab w:val="left" w:pos="-2268"/>
        </w:tabs>
        <w:suppressAutoHyphens/>
        <w:ind w:left="1134" w:hanging="567"/>
        <w:rPr>
          <w:i/>
          <w:spacing w:val="-3"/>
          <w:lang w:val="es-CO"/>
        </w:rPr>
      </w:pPr>
      <w:bookmarkStart w:id="7356" w:name="_Ref410503781"/>
      <w:r w:rsidRPr="004068F6">
        <w:rPr>
          <w:rFonts w:cs="Arial"/>
          <w:bCs/>
          <w:spacing w:val="-3"/>
          <w:lang w:val="es-CO"/>
        </w:rPr>
        <w:t>I</w:t>
      </w:r>
      <w:r w:rsidR="0056088F" w:rsidRPr="004068F6">
        <w:rPr>
          <w:rFonts w:cs="Arial"/>
          <w:bCs/>
          <w:spacing w:val="-3"/>
          <w:lang w:val="es-CO"/>
        </w:rPr>
        <w:t>mpactos ambientales no internalizables:</w:t>
      </w:r>
      <w:r w:rsidR="0056088F" w:rsidRPr="004068F6">
        <w:rPr>
          <w:rFonts w:cs="Arial"/>
          <w:spacing w:val="-3"/>
          <w:lang w:val="es-CO"/>
        </w:rPr>
        <w:t xml:space="preserve"> este tipo de impactos se debe </w:t>
      </w:r>
      <w:r w:rsidR="00E27186" w:rsidRPr="004068F6">
        <w:rPr>
          <w:rFonts w:cs="Arial"/>
          <w:spacing w:val="-3"/>
          <w:lang w:val="es-CO"/>
        </w:rPr>
        <w:t xml:space="preserve">integrar en </w:t>
      </w:r>
      <w:r w:rsidR="0056088F" w:rsidRPr="004068F6">
        <w:rPr>
          <w:rFonts w:cs="Arial"/>
          <w:spacing w:val="-3"/>
          <w:lang w:val="es-CO"/>
        </w:rPr>
        <w:t>el Análisis Costo Beneficio de los impactos negativos y positivos, el cual consiste en comparar, bajo una misma unidad de medida</w:t>
      </w:r>
      <w:r w:rsidR="0056088F" w:rsidRPr="004068F6">
        <w:rPr>
          <w:rFonts w:cs="Arial"/>
          <w:lang w:val="es-CO"/>
        </w:rPr>
        <w:t>,</w:t>
      </w:r>
      <w:r w:rsidR="0056088F" w:rsidRPr="004068F6">
        <w:rPr>
          <w:lang w:val="es-CO"/>
        </w:rPr>
        <w:t xml:space="preserve"> </w:t>
      </w:r>
      <w:r w:rsidR="0056088F" w:rsidRPr="004068F6">
        <w:rPr>
          <w:rFonts w:cs="Arial"/>
          <w:spacing w:val="-3"/>
          <w:lang w:val="es-CO"/>
        </w:rPr>
        <w:t>en un mismo momento del tiempo</w:t>
      </w:r>
      <w:r w:rsidR="0056088F" w:rsidRPr="004068F6">
        <w:rPr>
          <w:rFonts w:cs="Arial"/>
          <w:lang w:val="es-CO"/>
        </w:rPr>
        <w:t xml:space="preserve"> y lugar (área de influencia)</w:t>
      </w:r>
      <w:r w:rsidR="0056088F" w:rsidRPr="004068F6">
        <w:rPr>
          <w:rFonts w:cs="Arial"/>
          <w:spacing w:val="-3"/>
          <w:lang w:val="es-CO"/>
        </w:rPr>
        <w:t>, los beneficios y costos ambientales que se generarían con la ejecución del proyecto. Las consideraciones detalladas para el desarrollo de este análisis se encuentran en el Instructivo A del documento anexo a la Resolución 1669 de 2017</w:t>
      </w:r>
      <w:r w:rsidR="0056088F" w:rsidRPr="004068F6">
        <w:rPr>
          <w:rFonts w:cs="Arial"/>
          <w:lang w:val="es-CO"/>
        </w:rPr>
        <w:t>, o aquella que la modifique o sustituya</w:t>
      </w:r>
      <w:r w:rsidR="0056088F" w:rsidRPr="004068F6">
        <w:rPr>
          <w:rFonts w:cs="Arial"/>
          <w:spacing w:val="-3"/>
          <w:lang w:val="es-CO"/>
        </w:rPr>
        <w:t xml:space="preserve">, </w:t>
      </w:r>
      <w:r w:rsidR="0056088F" w:rsidRPr="004068F6">
        <w:rPr>
          <w:rFonts w:cs="Arial"/>
          <w:i/>
          <w:iCs/>
          <w:spacing w:val="-3"/>
          <w:lang w:val="es-CO"/>
        </w:rPr>
        <w:t>Criterios técnicos para el uso de herramientas económicas en los proyectos, obras o actividades objeto de licenciamiento ambiental.</w:t>
      </w:r>
    </w:p>
    <w:p w14:paraId="5A8341C2" w14:textId="77777777" w:rsidR="0056088F" w:rsidRPr="004068F6" w:rsidRDefault="0056088F" w:rsidP="009420F5">
      <w:pPr>
        <w:tabs>
          <w:tab w:val="left" w:pos="-2268"/>
        </w:tabs>
        <w:suppressAutoHyphens/>
        <w:rPr>
          <w:spacing w:val="-3"/>
        </w:rPr>
      </w:pPr>
    </w:p>
    <w:p w14:paraId="787E990C" w14:textId="31DB81C7" w:rsidR="0056088F" w:rsidRPr="004068F6" w:rsidRDefault="0056088F" w:rsidP="00C86DA5">
      <w:pPr>
        <w:pStyle w:val="Prrafodelista"/>
        <w:tabs>
          <w:tab w:val="left" w:pos="-2268"/>
        </w:tabs>
        <w:suppressAutoHyphens/>
        <w:ind w:left="567"/>
        <w:rPr>
          <w:spacing w:val="-3"/>
          <w:lang w:val="es-CO"/>
        </w:rPr>
      </w:pPr>
      <w:r w:rsidRPr="004068F6">
        <w:rPr>
          <w:spacing w:val="-3"/>
          <w:lang w:val="es-CO"/>
        </w:rPr>
        <w:t xml:space="preserve">Es necesario tener en cuenta que, </w:t>
      </w:r>
      <w:r w:rsidRPr="004068F6">
        <w:rPr>
          <w:rFonts w:cs="Arial"/>
          <w:spacing w:val="-3"/>
          <w:lang w:val="es-CO"/>
        </w:rPr>
        <w:t>como parte del</w:t>
      </w:r>
      <w:r w:rsidRPr="004068F6">
        <w:rPr>
          <w:spacing w:val="-3"/>
          <w:lang w:val="es-CO"/>
        </w:rPr>
        <w:t xml:space="preserve"> desarrollo de este Análisis Costo Beneficio</w:t>
      </w:r>
      <w:r w:rsidR="00012E81" w:rsidRPr="004068F6">
        <w:rPr>
          <w:spacing w:val="-3"/>
          <w:lang w:val="es-CO"/>
        </w:rPr>
        <w:t xml:space="preserve"> es necesario </w:t>
      </w:r>
      <w:r w:rsidRPr="004068F6">
        <w:rPr>
          <w:spacing w:val="-3"/>
          <w:lang w:val="es-CO"/>
        </w:rPr>
        <w:t xml:space="preserve">cuantificar los impactos ambientales en términos económicos mediante la Valoración Económica para impactos no internalizables que se detalla en el Instructivo C del documento </w:t>
      </w:r>
      <w:r w:rsidRPr="004068F6">
        <w:rPr>
          <w:rFonts w:cs="Arial"/>
          <w:spacing w:val="-3"/>
          <w:lang w:val="es-CO"/>
        </w:rPr>
        <w:t>anexo a la Resolución 1669 de 2017</w:t>
      </w:r>
      <w:r w:rsidRPr="004068F6">
        <w:rPr>
          <w:rFonts w:cs="Arial"/>
          <w:lang w:val="es-CO"/>
        </w:rPr>
        <w:t>, o aquella que la modifique o sustituya</w:t>
      </w:r>
      <w:r w:rsidRPr="004068F6">
        <w:rPr>
          <w:rFonts w:cs="Arial"/>
          <w:spacing w:val="-3"/>
          <w:lang w:val="es-CO"/>
        </w:rPr>
        <w:t>,</w:t>
      </w:r>
      <w:r w:rsidRPr="004068F6">
        <w:rPr>
          <w:spacing w:val="-3"/>
          <w:lang w:val="es-CO"/>
        </w:rPr>
        <w:t xml:space="preserve"> </w:t>
      </w:r>
      <w:r w:rsidRPr="004068F6">
        <w:rPr>
          <w:i/>
          <w:spacing w:val="-3"/>
          <w:lang w:val="es-CO"/>
        </w:rPr>
        <w:t xml:space="preserve">Criterios técnicos para el uso de herramientas económicas en </w:t>
      </w:r>
      <w:r w:rsidRPr="004068F6">
        <w:rPr>
          <w:spacing w:val="-3"/>
          <w:lang w:val="es-CO"/>
        </w:rPr>
        <w:t>los proyectos, obras o actividades objeto de licenciamiento ambiental, o mediante el uso de la metodología de transferencia de beneficios, cuyos alcances, restricciones y limitaciones se encuentran en el Instructivo D de dicho documento de criterios.</w:t>
      </w:r>
      <w:bookmarkEnd w:id="7356"/>
    </w:p>
    <w:p w14:paraId="2BC25EF1" w14:textId="0097EFB0" w:rsidR="0056088F" w:rsidRPr="004068F6" w:rsidRDefault="0056088F" w:rsidP="004A1C59">
      <w:pPr>
        <w:tabs>
          <w:tab w:val="left" w:pos="-2268"/>
        </w:tabs>
        <w:suppressAutoHyphens/>
        <w:rPr>
          <w:spacing w:val="-3"/>
        </w:rPr>
      </w:pPr>
    </w:p>
    <w:p w14:paraId="3665DEA2" w14:textId="2C876660" w:rsidR="00E27186" w:rsidRPr="004068F6" w:rsidRDefault="00E27186" w:rsidP="004A1C59">
      <w:pPr>
        <w:tabs>
          <w:tab w:val="left" w:pos="-2268"/>
        </w:tabs>
        <w:suppressAutoHyphens/>
        <w:ind w:left="567"/>
        <w:rPr>
          <w:spacing w:val="-3"/>
        </w:rPr>
      </w:pPr>
      <w:r w:rsidRPr="004068F6">
        <w:rPr>
          <w:spacing w:val="-3"/>
        </w:rPr>
        <w:t>Los impactos positivos del proyecto, obra o actividad también deben ser valorados monetariamente a partir de una cuantificación biofísica o socioeconómica sustentada en los cambios que le sean atribuibles y que emplee información de referencia y fuentes oficiales o científicamente avaladas con la escala más detallada posible, así como otros documentos técnicos que orienten metodológicamente esta evaluación. Tales fuentes adicionales deben incluirse en los anexos del estudio.</w:t>
      </w:r>
    </w:p>
    <w:p w14:paraId="5FD2D5ED" w14:textId="77777777" w:rsidR="00E27186" w:rsidRPr="004068F6" w:rsidRDefault="00E27186" w:rsidP="004A1C59">
      <w:pPr>
        <w:tabs>
          <w:tab w:val="left" w:pos="-2268"/>
        </w:tabs>
        <w:suppressAutoHyphens/>
        <w:rPr>
          <w:spacing w:val="-3"/>
        </w:rPr>
      </w:pPr>
    </w:p>
    <w:p w14:paraId="5AC10782" w14:textId="73B9DB2D" w:rsidR="0056088F" w:rsidRPr="004068F6" w:rsidRDefault="0056088F" w:rsidP="00C86DA5">
      <w:pPr>
        <w:pStyle w:val="Prrafodelista"/>
        <w:tabs>
          <w:tab w:val="left" w:pos="-2268"/>
        </w:tabs>
        <w:suppressAutoHyphens/>
        <w:ind w:left="567"/>
        <w:rPr>
          <w:spacing w:val="-3"/>
          <w:lang w:val="es-CO"/>
        </w:rPr>
      </w:pPr>
      <w:r w:rsidRPr="004068F6">
        <w:rPr>
          <w:spacing w:val="-3"/>
          <w:lang w:val="es-CO"/>
        </w:rPr>
        <w:t xml:space="preserve">A fin de comparar los costos y beneficios que </w:t>
      </w:r>
      <w:r w:rsidRPr="004068F6">
        <w:rPr>
          <w:rFonts w:cs="Arial"/>
          <w:spacing w:val="-3"/>
          <w:lang w:val="es-CO"/>
        </w:rPr>
        <w:t>ocurrirían dada</w:t>
      </w:r>
      <w:r w:rsidRPr="004068F6">
        <w:rPr>
          <w:spacing w:val="-3"/>
          <w:lang w:val="es-CO"/>
        </w:rPr>
        <w:t xml:space="preserve"> la ejecución del proyecto</w:t>
      </w:r>
      <w:r w:rsidRPr="004068F6">
        <w:rPr>
          <w:rFonts w:cs="Arial"/>
          <w:spacing w:val="-3"/>
          <w:lang w:val="es-CO"/>
        </w:rPr>
        <w:t xml:space="preserve">, obra o actividad en </w:t>
      </w:r>
      <w:r w:rsidRPr="004068F6">
        <w:rPr>
          <w:spacing w:val="-3"/>
          <w:lang w:val="es-CO"/>
        </w:rPr>
        <w:t xml:space="preserve">sus </w:t>
      </w:r>
      <w:r w:rsidRPr="004068F6">
        <w:rPr>
          <w:rFonts w:cs="Arial"/>
          <w:spacing w:val="-3"/>
          <w:lang w:val="es-CO"/>
        </w:rPr>
        <w:t xml:space="preserve">diferentes </w:t>
      </w:r>
      <w:r w:rsidR="003F2152">
        <w:rPr>
          <w:spacing w:val="-3"/>
        </w:rPr>
        <w:t>etapas</w:t>
      </w:r>
      <w:r w:rsidR="003F2152" w:rsidRPr="004068F6" w:rsidDel="003F2152">
        <w:rPr>
          <w:spacing w:val="-3"/>
          <w:lang w:val="es-CO"/>
        </w:rPr>
        <w:t xml:space="preserve"> </w:t>
      </w:r>
      <w:r w:rsidRPr="004068F6">
        <w:rPr>
          <w:rFonts w:cs="Arial"/>
          <w:spacing w:val="-3"/>
          <w:lang w:val="es-CO"/>
        </w:rPr>
        <w:t>de ejecución</w:t>
      </w:r>
      <w:r w:rsidRPr="004068F6">
        <w:rPr>
          <w:spacing w:val="-3"/>
          <w:lang w:val="es-CO"/>
        </w:rPr>
        <w:t xml:space="preserve">, es necesario </w:t>
      </w:r>
      <w:r w:rsidRPr="004068F6">
        <w:rPr>
          <w:rFonts w:cs="Arial"/>
          <w:spacing w:val="-3"/>
          <w:lang w:val="es-CO"/>
        </w:rPr>
        <w:t xml:space="preserve">que dicho flujo de costos y beneficios corresponda a la duración de los impactos identificados en la evaluación ambiental, así como </w:t>
      </w:r>
      <w:r w:rsidRPr="004068F6">
        <w:rPr>
          <w:spacing w:val="-3"/>
          <w:lang w:val="es-CO"/>
        </w:rPr>
        <w:t>calcular el Valor Presente Neto (VPN</w:t>
      </w:r>
      <w:r w:rsidRPr="004068F6">
        <w:rPr>
          <w:rFonts w:cs="Arial"/>
          <w:spacing w:val="-3"/>
          <w:lang w:val="es-CO"/>
        </w:rPr>
        <w:t>)</w:t>
      </w:r>
      <w:r w:rsidRPr="004068F6">
        <w:rPr>
          <w:rFonts w:cs="Arial"/>
          <w:lang w:val="es-CO"/>
        </w:rPr>
        <w:t xml:space="preserve"> y la relación beneficio costo (RBC) haciendo uso de </w:t>
      </w:r>
      <w:r w:rsidRPr="004068F6">
        <w:rPr>
          <w:lang w:val="es-CO"/>
        </w:rPr>
        <w:t xml:space="preserve">una </w:t>
      </w:r>
      <w:r w:rsidRPr="004068F6">
        <w:rPr>
          <w:spacing w:val="-3"/>
          <w:lang w:val="es-CO"/>
        </w:rPr>
        <w:t xml:space="preserve">tasa de descuento </w:t>
      </w:r>
      <w:r w:rsidRPr="004068F6">
        <w:rPr>
          <w:rFonts w:cs="Arial"/>
          <w:spacing w:val="-3"/>
          <w:lang w:val="es-CO"/>
        </w:rPr>
        <w:t xml:space="preserve">consistente con </w:t>
      </w:r>
      <w:r w:rsidRPr="004068F6">
        <w:rPr>
          <w:spacing w:val="-3"/>
          <w:lang w:val="es-CO"/>
        </w:rPr>
        <w:t xml:space="preserve">la resiliencia de los ecosistemas </w:t>
      </w:r>
      <w:r w:rsidRPr="004068F6">
        <w:rPr>
          <w:rFonts w:cs="Arial"/>
          <w:spacing w:val="-3"/>
          <w:lang w:val="es-CO"/>
        </w:rPr>
        <w:t xml:space="preserve">o elementos ambientales </w:t>
      </w:r>
      <w:r w:rsidRPr="004068F6">
        <w:rPr>
          <w:spacing w:val="-3"/>
          <w:lang w:val="es-CO"/>
        </w:rPr>
        <w:t>afectados</w:t>
      </w:r>
      <w:r w:rsidRPr="004068F6">
        <w:rPr>
          <w:rFonts w:cs="Arial"/>
          <w:spacing w:val="-3"/>
          <w:lang w:val="es-CO"/>
        </w:rPr>
        <w:t>, con</w:t>
      </w:r>
      <w:r w:rsidRPr="004068F6">
        <w:rPr>
          <w:spacing w:val="-3"/>
          <w:lang w:val="es-CO"/>
        </w:rPr>
        <w:t xml:space="preserve"> la posibilidad de </w:t>
      </w:r>
      <w:r w:rsidRPr="004068F6">
        <w:rPr>
          <w:rFonts w:cs="Arial"/>
          <w:spacing w:val="-3"/>
          <w:lang w:val="es-CO"/>
        </w:rPr>
        <w:t>restaurarlos y con el periodo de manifestación de los impactos ambientales</w:t>
      </w:r>
      <w:r w:rsidR="00C01132" w:rsidRPr="004068F6">
        <w:rPr>
          <w:rFonts w:cs="Arial"/>
          <w:spacing w:val="-3"/>
          <w:lang w:val="es-CO"/>
        </w:rPr>
        <w:t xml:space="preserve"> (Castro </w:t>
      </w:r>
      <w:r w:rsidR="00C01132" w:rsidRPr="004068F6">
        <w:rPr>
          <w:rFonts w:cs="Arial"/>
          <w:spacing w:val="-3"/>
          <w:lang w:val="es-CO"/>
        </w:rPr>
        <w:lastRenderedPageBreak/>
        <w:t>et al</w:t>
      </w:r>
      <w:r w:rsidR="004D1428" w:rsidRPr="004068F6">
        <w:rPr>
          <w:rFonts w:cs="Arial"/>
          <w:spacing w:val="-3"/>
          <w:lang w:val="es-CO"/>
        </w:rPr>
        <w:t>.</w:t>
      </w:r>
      <w:r w:rsidR="00C01132" w:rsidRPr="004068F6">
        <w:rPr>
          <w:rFonts w:cs="Arial"/>
          <w:spacing w:val="-3"/>
          <w:lang w:val="es-CO"/>
        </w:rPr>
        <w:t>, 2020)</w:t>
      </w:r>
      <w:r w:rsidRPr="004068F6">
        <w:rPr>
          <w:rFonts w:cs="Arial"/>
          <w:spacing w:val="-3"/>
          <w:lang w:val="es-CO"/>
        </w:rPr>
        <w:t xml:space="preserve">. La </w:t>
      </w:r>
      <w:r w:rsidR="00E719AC" w:rsidRPr="004068F6">
        <w:rPr>
          <w:rFonts w:cs="Arial"/>
          <w:spacing w:val="-3"/>
          <w:lang w:val="es-CO"/>
        </w:rPr>
        <w:fldChar w:fldCharType="begin"/>
      </w:r>
      <w:r w:rsidR="00E719AC" w:rsidRPr="004068F6">
        <w:rPr>
          <w:rFonts w:cs="Arial"/>
          <w:spacing w:val="-3"/>
          <w:lang w:val="es-CO"/>
        </w:rPr>
        <w:instrText xml:space="preserve"> REF _Ref78557719 \h </w:instrText>
      </w:r>
      <w:r w:rsidR="006A4128" w:rsidRPr="004068F6">
        <w:rPr>
          <w:rFonts w:cs="Arial"/>
          <w:spacing w:val="-3"/>
          <w:lang w:val="es-CO"/>
        </w:rPr>
        <w:instrText xml:space="preserve"> \* MERGEFORMAT </w:instrText>
      </w:r>
      <w:r w:rsidR="00E719AC" w:rsidRPr="004068F6">
        <w:rPr>
          <w:rFonts w:cs="Arial"/>
          <w:spacing w:val="-3"/>
          <w:lang w:val="es-CO"/>
        </w:rPr>
      </w:r>
      <w:r w:rsidR="00E719AC" w:rsidRPr="004068F6">
        <w:rPr>
          <w:rFonts w:cs="Arial"/>
          <w:spacing w:val="-3"/>
          <w:lang w:val="es-CO"/>
        </w:rPr>
        <w:fldChar w:fldCharType="separate"/>
      </w:r>
      <w:r w:rsidR="009C4A81" w:rsidRPr="009C4A81">
        <w:rPr>
          <w:rFonts w:cs="Arial"/>
          <w:lang w:val="es-CO"/>
        </w:rPr>
        <w:t>Tabla 36</w:t>
      </w:r>
      <w:r w:rsidR="00E719AC" w:rsidRPr="004068F6">
        <w:rPr>
          <w:rFonts w:cs="Arial"/>
          <w:spacing w:val="-3"/>
          <w:lang w:val="es-CO"/>
        </w:rPr>
        <w:fldChar w:fldCharType="end"/>
      </w:r>
      <w:r w:rsidR="00E719AC" w:rsidRPr="004068F6">
        <w:rPr>
          <w:rFonts w:cs="Arial"/>
          <w:spacing w:val="-3"/>
          <w:lang w:val="es-CO"/>
        </w:rPr>
        <w:t xml:space="preserve"> define </w:t>
      </w:r>
      <w:r w:rsidRPr="004068F6">
        <w:rPr>
          <w:rFonts w:cs="Arial"/>
          <w:spacing w:val="-3"/>
          <w:lang w:val="es-CO"/>
        </w:rPr>
        <w:t xml:space="preserve">los valores de la tasa de descuento </w:t>
      </w:r>
      <w:r w:rsidR="00E719AC" w:rsidRPr="004068F6">
        <w:rPr>
          <w:rFonts w:cs="Arial"/>
          <w:spacing w:val="-3"/>
          <w:lang w:val="es-CO"/>
        </w:rPr>
        <w:t xml:space="preserve">que deben ser utilizados </w:t>
      </w:r>
      <w:r w:rsidRPr="004068F6">
        <w:rPr>
          <w:rFonts w:cs="Arial"/>
          <w:spacing w:val="-3"/>
          <w:lang w:val="es-CO"/>
        </w:rPr>
        <w:t>para proyectos</w:t>
      </w:r>
      <w:r w:rsidR="00E719AC" w:rsidRPr="004068F6">
        <w:rPr>
          <w:rFonts w:cs="Arial"/>
          <w:spacing w:val="-3"/>
          <w:lang w:val="es-CO"/>
        </w:rPr>
        <w:t>, obras o actividades sujetos a</w:t>
      </w:r>
      <w:r w:rsidRPr="004068F6">
        <w:rPr>
          <w:rFonts w:cs="Arial"/>
          <w:spacing w:val="-3"/>
          <w:lang w:val="es-CO"/>
        </w:rPr>
        <w:t xml:space="preserve"> licenciamiento ambiental</w:t>
      </w:r>
      <w:r w:rsidRPr="004068F6">
        <w:rPr>
          <w:rStyle w:val="Refdenotaalpie"/>
          <w:rFonts w:cs="Arial"/>
          <w:spacing w:val="-3"/>
          <w:lang w:val="es-CO"/>
        </w:rPr>
        <w:footnoteReference w:id="234"/>
      </w:r>
      <w:r w:rsidRPr="004068F6">
        <w:rPr>
          <w:rFonts w:cs="Arial"/>
          <w:spacing w:val="-3"/>
          <w:lang w:val="es-CO"/>
        </w:rPr>
        <w:t>.</w:t>
      </w:r>
    </w:p>
    <w:p w14:paraId="7C47084A" w14:textId="77777777" w:rsidR="00C10A08" w:rsidRPr="004068F6" w:rsidRDefault="00C10A08" w:rsidP="009420F5">
      <w:pPr>
        <w:tabs>
          <w:tab w:val="left" w:pos="-2268"/>
        </w:tabs>
        <w:suppressAutoHyphens/>
        <w:rPr>
          <w:spacing w:val="-3"/>
        </w:rPr>
      </w:pPr>
    </w:p>
    <w:p w14:paraId="45A8A885" w14:textId="652C0E77" w:rsidR="0056088F" w:rsidRPr="004068F6" w:rsidRDefault="0056088F" w:rsidP="0056088F">
      <w:pPr>
        <w:pStyle w:val="Descripcin"/>
        <w:keepNext/>
        <w:jc w:val="center"/>
        <w:rPr>
          <w:rFonts w:cs="Arial"/>
          <w:b w:val="0"/>
        </w:rPr>
      </w:pPr>
      <w:bookmarkStart w:id="7357" w:name="_Ref78557719"/>
      <w:r w:rsidRPr="004068F6">
        <w:rPr>
          <w:rFonts w:cs="Arial"/>
        </w:rPr>
        <w:t xml:space="preserve">Tabla </w:t>
      </w:r>
      <w:r w:rsidRPr="004068F6">
        <w:rPr>
          <w:rFonts w:cs="Arial"/>
        </w:rPr>
        <w:fldChar w:fldCharType="begin"/>
      </w:r>
      <w:r w:rsidRPr="004068F6">
        <w:rPr>
          <w:rFonts w:cs="Arial"/>
        </w:rPr>
        <w:instrText xml:space="preserve"> SEQ Tabla \* ARABIC </w:instrText>
      </w:r>
      <w:r w:rsidRPr="004068F6">
        <w:rPr>
          <w:rFonts w:cs="Arial"/>
        </w:rPr>
        <w:fldChar w:fldCharType="separate"/>
      </w:r>
      <w:r w:rsidR="009C4A81">
        <w:rPr>
          <w:rFonts w:cs="Arial"/>
          <w:noProof/>
        </w:rPr>
        <w:t>36</w:t>
      </w:r>
      <w:r w:rsidRPr="004068F6">
        <w:rPr>
          <w:rFonts w:cs="Arial"/>
        </w:rPr>
        <w:fldChar w:fldCharType="end"/>
      </w:r>
      <w:bookmarkEnd w:id="7357"/>
      <w:r w:rsidRPr="004068F6">
        <w:rPr>
          <w:rFonts w:cs="Arial"/>
        </w:rPr>
        <w:t>.</w:t>
      </w:r>
      <w:r w:rsidRPr="004068F6">
        <w:rPr>
          <w:rFonts w:cs="Arial"/>
          <w:b w:val="0"/>
        </w:rPr>
        <w:t xml:space="preserve"> Tasa de descuento para proyectos, obras o actividades sujetos a licenciamiento ambiental</w:t>
      </w:r>
    </w:p>
    <w:tbl>
      <w:tblPr>
        <w:tblStyle w:val="Tablaconcuadrcula"/>
        <w:tblW w:w="5949" w:type="dxa"/>
        <w:jc w:val="center"/>
        <w:tblLook w:val="04A0" w:firstRow="1" w:lastRow="0" w:firstColumn="1" w:lastColumn="0" w:noHBand="0" w:noVBand="1"/>
      </w:tblPr>
      <w:tblGrid>
        <w:gridCol w:w="3493"/>
        <w:gridCol w:w="2456"/>
      </w:tblGrid>
      <w:tr w:rsidR="0056088F" w:rsidRPr="004068F6" w14:paraId="41449DEE" w14:textId="77777777" w:rsidTr="000F47FF">
        <w:trPr>
          <w:trHeight w:hRule="exact" w:val="567"/>
          <w:tblHeader/>
          <w:jc w:val="center"/>
        </w:trPr>
        <w:tc>
          <w:tcPr>
            <w:tcW w:w="3493" w:type="dxa"/>
            <w:vAlign w:val="center"/>
          </w:tcPr>
          <w:p w14:paraId="7255C151" w14:textId="5A7FEF13" w:rsidR="0056088F" w:rsidRPr="004068F6" w:rsidRDefault="006A14C5" w:rsidP="000F47FF">
            <w:pPr>
              <w:pStyle w:val="Textoindependiente2"/>
              <w:spacing w:after="0" w:line="240" w:lineRule="auto"/>
              <w:jc w:val="center"/>
              <w:rPr>
                <w:rFonts w:cs="Arial"/>
                <w:b/>
                <w:sz w:val="22"/>
                <w:szCs w:val="22"/>
              </w:rPr>
            </w:pPr>
            <w:r w:rsidRPr="004068F6">
              <w:rPr>
                <w:rFonts w:cs="Arial"/>
                <w:b/>
                <w:sz w:val="22"/>
                <w:szCs w:val="22"/>
              </w:rPr>
              <w:t>Duración del proyecto, obra o actividad</w:t>
            </w:r>
          </w:p>
        </w:tc>
        <w:tc>
          <w:tcPr>
            <w:tcW w:w="2456" w:type="dxa"/>
            <w:vAlign w:val="center"/>
          </w:tcPr>
          <w:p w14:paraId="5EE639CF" w14:textId="1AE610E4" w:rsidR="0056088F" w:rsidRPr="004068F6" w:rsidRDefault="006A14C5" w:rsidP="000F47FF">
            <w:pPr>
              <w:pStyle w:val="Textoindependiente2"/>
              <w:spacing w:after="0" w:line="240" w:lineRule="auto"/>
              <w:jc w:val="center"/>
              <w:rPr>
                <w:rFonts w:cs="Arial"/>
                <w:b/>
                <w:sz w:val="22"/>
                <w:szCs w:val="22"/>
              </w:rPr>
            </w:pPr>
            <w:r w:rsidRPr="004068F6">
              <w:rPr>
                <w:rFonts w:cs="Arial"/>
                <w:b/>
                <w:sz w:val="22"/>
                <w:szCs w:val="22"/>
              </w:rPr>
              <w:t>Tasa de descuento</w:t>
            </w:r>
          </w:p>
        </w:tc>
      </w:tr>
      <w:tr w:rsidR="0056088F" w:rsidRPr="004068F6" w14:paraId="5FC34A8F" w14:textId="77777777" w:rsidTr="000F47FF">
        <w:trPr>
          <w:trHeight w:hRule="exact" w:val="397"/>
          <w:jc w:val="center"/>
        </w:trPr>
        <w:tc>
          <w:tcPr>
            <w:tcW w:w="3493" w:type="dxa"/>
            <w:vAlign w:val="center"/>
          </w:tcPr>
          <w:p w14:paraId="006B843D" w14:textId="77777777" w:rsidR="0056088F" w:rsidRPr="004068F6" w:rsidRDefault="0056088F" w:rsidP="000F47FF">
            <w:pPr>
              <w:pStyle w:val="Textoindependiente2"/>
              <w:spacing w:after="0" w:line="240" w:lineRule="auto"/>
              <w:jc w:val="center"/>
              <w:rPr>
                <w:rFonts w:cs="Arial"/>
                <w:sz w:val="22"/>
                <w:szCs w:val="22"/>
              </w:rPr>
            </w:pPr>
            <w:r w:rsidRPr="004068F6">
              <w:rPr>
                <w:rFonts w:cs="Arial"/>
                <w:sz w:val="22"/>
                <w:szCs w:val="22"/>
              </w:rPr>
              <w:t>Corto (0-10 años)</w:t>
            </w:r>
          </w:p>
        </w:tc>
        <w:tc>
          <w:tcPr>
            <w:tcW w:w="2456" w:type="dxa"/>
            <w:vAlign w:val="center"/>
          </w:tcPr>
          <w:p w14:paraId="37BCC44B" w14:textId="77777777" w:rsidR="0056088F" w:rsidRPr="004068F6" w:rsidRDefault="0056088F" w:rsidP="000F47FF">
            <w:pPr>
              <w:pStyle w:val="Textoindependiente2"/>
              <w:spacing w:after="0" w:line="240" w:lineRule="auto"/>
              <w:jc w:val="center"/>
              <w:rPr>
                <w:rFonts w:cs="Arial"/>
                <w:sz w:val="22"/>
                <w:szCs w:val="22"/>
              </w:rPr>
            </w:pPr>
            <w:r w:rsidRPr="004068F6">
              <w:rPr>
                <w:rFonts w:cs="Arial"/>
                <w:sz w:val="22"/>
                <w:szCs w:val="22"/>
              </w:rPr>
              <w:t>5%</w:t>
            </w:r>
          </w:p>
        </w:tc>
      </w:tr>
      <w:tr w:rsidR="0056088F" w:rsidRPr="004068F6" w14:paraId="03C7FAE3" w14:textId="77777777" w:rsidTr="000F47FF">
        <w:trPr>
          <w:trHeight w:hRule="exact" w:val="397"/>
          <w:jc w:val="center"/>
        </w:trPr>
        <w:tc>
          <w:tcPr>
            <w:tcW w:w="3493" w:type="dxa"/>
            <w:vAlign w:val="center"/>
          </w:tcPr>
          <w:p w14:paraId="62104908" w14:textId="77777777" w:rsidR="0056088F" w:rsidRPr="004068F6" w:rsidRDefault="0056088F" w:rsidP="000F47FF">
            <w:pPr>
              <w:pStyle w:val="Textoindependiente2"/>
              <w:spacing w:after="0" w:line="240" w:lineRule="auto"/>
              <w:jc w:val="center"/>
              <w:rPr>
                <w:rFonts w:cs="Arial"/>
                <w:sz w:val="22"/>
                <w:szCs w:val="22"/>
              </w:rPr>
            </w:pPr>
            <w:r w:rsidRPr="004068F6">
              <w:rPr>
                <w:rFonts w:cs="Arial"/>
                <w:sz w:val="22"/>
                <w:szCs w:val="22"/>
              </w:rPr>
              <w:t>Mediano (11-20 años)</w:t>
            </w:r>
          </w:p>
        </w:tc>
        <w:tc>
          <w:tcPr>
            <w:tcW w:w="2456" w:type="dxa"/>
            <w:vAlign w:val="center"/>
          </w:tcPr>
          <w:p w14:paraId="25CEA621" w14:textId="77777777" w:rsidR="0056088F" w:rsidRPr="004068F6" w:rsidRDefault="0056088F" w:rsidP="000F47FF">
            <w:pPr>
              <w:pStyle w:val="Textoindependiente2"/>
              <w:spacing w:after="0" w:line="240" w:lineRule="auto"/>
              <w:jc w:val="center"/>
              <w:rPr>
                <w:rFonts w:cs="Arial"/>
                <w:sz w:val="22"/>
                <w:szCs w:val="22"/>
              </w:rPr>
            </w:pPr>
            <w:r w:rsidRPr="004068F6">
              <w:rPr>
                <w:rFonts w:cs="Arial"/>
                <w:sz w:val="22"/>
                <w:szCs w:val="22"/>
              </w:rPr>
              <w:t>4%</w:t>
            </w:r>
          </w:p>
        </w:tc>
      </w:tr>
      <w:tr w:rsidR="0056088F" w:rsidRPr="004068F6" w14:paraId="24E1F900" w14:textId="77777777" w:rsidTr="000F47FF">
        <w:trPr>
          <w:trHeight w:hRule="exact" w:val="397"/>
          <w:jc w:val="center"/>
        </w:trPr>
        <w:tc>
          <w:tcPr>
            <w:tcW w:w="3493" w:type="dxa"/>
            <w:vAlign w:val="center"/>
          </w:tcPr>
          <w:p w14:paraId="29F0811A" w14:textId="77777777" w:rsidR="0056088F" w:rsidRPr="004068F6" w:rsidRDefault="0056088F" w:rsidP="000F47FF">
            <w:pPr>
              <w:pStyle w:val="Textoindependiente2"/>
              <w:spacing w:after="0" w:line="240" w:lineRule="auto"/>
              <w:jc w:val="center"/>
              <w:rPr>
                <w:rFonts w:cs="Arial"/>
                <w:sz w:val="22"/>
                <w:szCs w:val="22"/>
              </w:rPr>
            </w:pPr>
            <w:r w:rsidRPr="004068F6">
              <w:rPr>
                <w:rFonts w:cs="Arial"/>
                <w:sz w:val="22"/>
                <w:szCs w:val="22"/>
              </w:rPr>
              <w:t>Largo (≥ 21 años)</w:t>
            </w:r>
          </w:p>
        </w:tc>
        <w:tc>
          <w:tcPr>
            <w:tcW w:w="2456" w:type="dxa"/>
            <w:vAlign w:val="center"/>
          </w:tcPr>
          <w:p w14:paraId="0A95837D" w14:textId="77777777" w:rsidR="0056088F" w:rsidRPr="004068F6" w:rsidRDefault="0056088F" w:rsidP="000F47FF">
            <w:pPr>
              <w:pStyle w:val="Textoindependiente2"/>
              <w:spacing w:after="0" w:line="240" w:lineRule="auto"/>
              <w:jc w:val="center"/>
              <w:rPr>
                <w:rFonts w:cs="Arial"/>
                <w:sz w:val="22"/>
                <w:szCs w:val="22"/>
              </w:rPr>
            </w:pPr>
            <w:r w:rsidRPr="004068F6">
              <w:rPr>
                <w:rFonts w:cs="Arial"/>
                <w:sz w:val="22"/>
                <w:szCs w:val="22"/>
              </w:rPr>
              <w:t>2%</w:t>
            </w:r>
          </w:p>
        </w:tc>
      </w:tr>
    </w:tbl>
    <w:p w14:paraId="0C1A3D62" w14:textId="54733503" w:rsidR="0056088F" w:rsidRPr="004068F6" w:rsidRDefault="0056088F" w:rsidP="0082127E">
      <w:pPr>
        <w:tabs>
          <w:tab w:val="left" w:pos="-2268"/>
        </w:tabs>
        <w:suppressAutoHyphens/>
        <w:ind w:left="1701" w:right="1752"/>
        <w:jc w:val="center"/>
        <w:rPr>
          <w:rFonts w:cs="Arial"/>
          <w:spacing w:val="-3"/>
          <w:sz w:val="20"/>
        </w:rPr>
      </w:pPr>
      <w:r w:rsidRPr="004068F6">
        <w:rPr>
          <w:rFonts w:cs="Arial"/>
          <w:b/>
          <w:spacing w:val="-3"/>
          <w:sz w:val="20"/>
        </w:rPr>
        <w:t>Fuente:</w:t>
      </w:r>
      <w:r w:rsidRPr="004068F6">
        <w:rPr>
          <w:rFonts w:cs="Arial"/>
          <w:spacing w:val="-3"/>
          <w:sz w:val="20"/>
        </w:rPr>
        <w:t xml:space="preserve"> </w:t>
      </w:r>
      <w:r w:rsidR="00394826" w:rsidRPr="004068F6">
        <w:rPr>
          <w:rFonts w:cs="Arial"/>
          <w:spacing w:val="-3"/>
          <w:sz w:val="20"/>
        </w:rPr>
        <w:t xml:space="preserve">ANLA - </w:t>
      </w:r>
      <w:r w:rsidRPr="004068F6">
        <w:rPr>
          <w:rFonts w:cs="Arial"/>
          <w:spacing w:val="-3"/>
          <w:sz w:val="20"/>
        </w:rPr>
        <w:t xml:space="preserve">Grupo de </w:t>
      </w:r>
      <w:r w:rsidR="00067514" w:rsidRPr="004068F6">
        <w:rPr>
          <w:rFonts w:cs="Arial"/>
          <w:spacing w:val="-3"/>
          <w:sz w:val="20"/>
        </w:rPr>
        <w:t>i</w:t>
      </w:r>
      <w:r w:rsidRPr="004068F6">
        <w:rPr>
          <w:rFonts w:cs="Arial"/>
          <w:spacing w:val="-3"/>
          <w:sz w:val="20"/>
        </w:rPr>
        <w:t xml:space="preserve">nstrumentos y </w:t>
      </w:r>
      <w:r w:rsidR="00067514" w:rsidRPr="004068F6">
        <w:rPr>
          <w:rFonts w:cs="Arial"/>
          <w:spacing w:val="-3"/>
          <w:sz w:val="20"/>
        </w:rPr>
        <w:t>r</w:t>
      </w:r>
      <w:r w:rsidRPr="004068F6">
        <w:rPr>
          <w:rFonts w:cs="Arial"/>
          <w:spacing w:val="-3"/>
          <w:sz w:val="20"/>
        </w:rPr>
        <w:t xml:space="preserve">egionalización, </w:t>
      </w:r>
      <w:r w:rsidR="00067514" w:rsidRPr="004068F6">
        <w:rPr>
          <w:rFonts w:cs="Arial"/>
          <w:spacing w:val="-3"/>
          <w:sz w:val="20"/>
        </w:rPr>
        <w:t>E</w:t>
      </w:r>
      <w:r w:rsidRPr="004068F6">
        <w:rPr>
          <w:rFonts w:cs="Arial"/>
          <w:spacing w:val="-3"/>
          <w:sz w:val="20"/>
        </w:rPr>
        <w:t xml:space="preserve">quipo </w:t>
      </w:r>
      <w:r w:rsidR="00067514" w:rsidRPr="004068F6">
        <w:rPr>
          <w:rFonts w:cs="Arial"/>
          <w:spacing w:val="-3"/>
          <w:sz w:val="20"/>
        </w:rPr>
        <w:t>v</w:t>
      </w:r>
      <w:r w:rsidRPr="004068F6">
        <w:rPr>
          <w:rFonts w:cs="Arial"/>
          <w:spacing w:val="-3"/>
          <w:sz w:val="20"/>
        </w:rPr>
        <w:t xml:space="preserve">aloración </w:t>
      </w:r>
      <w:r w:rsidR="00067514" w:rsidRPr="004068F6">
        <w:rPr>
          <w:rFonts w:cs="Arial"/>
          <w:spacing w:val="-3"/>
          <w:sz w:val="20"/>
        </w:rPr>
        <w:t>e</w:t>
      </w:r>
      <w:r w:rsidRPr="004068F6">
        <w:rPr>
          <w:rFonts w:cs="Arial"/>
          <w:spacing w:val="-3"/>
          <w:sz w:val="20"/>
        </w:rPr>
        <w:t xml:space="preserve">conómica </w:t>
      </w:r>
      <w:r w:rsidR="00067514" w:rsidRPr="004068F6">
        <w:rPr>
          <w:rFonts w:cs="Arial"/>
          <w:spacing w:val="-3"/>
          <w:sz w:val="20"/>
        </w:rPr>
        <w:t>a</w:t>
      </w:r>
      <w:r w:rsidRPr="004068F6">
        <w:rPr>
          <w:rFonts w:cs="Arial"/>
          <w:spacing w:val="-3"/>
          <w:sz w:val="20"/>
        </w:rPr>
        <w:t>mbiental</w:t>
      </w:r>
      <w:r w:rsidR="00394826" w:rsidRPr="004068F6">
        <w:rPr>
          <w:rFonts w:cs="Arial"/>
          <w:spacing w:val="-3"/>
          <w:sz w:val="20"/>
        </w:rPr>
        <w:t xml:space="preserve"> </w:t>
      </w:r>
      <w:r w:rsidR="006A14C5" w:rsidRPr="004068F6">
        <w:rPr>
          <w:rFonts w:cs="Arial"/>
          <w:spacing w:val="-3"/>
          <w:sz w:val="20"/>
        </w:rPr>
        <w:t>-</w:t>
      </w:r>
      <w:r w:rsidRPr="004068F6">
        <w:rPr>
          <w:rFonts w:cs="Arial"/>
          <w:spacing w:val="-3"/>
          <w:sz w:val="20"/>
        </w:rPr>
        <w:t>2020.</w:t>
      </w:r>
    </w:p>
    <w:p w14:paraId="65B19DE9" w14:textId="77777777" w:rsidR="0056088F" w:rsidRPr="004068F6" w:rsidRDefault="0056088F" w:rsidP="0056088F">
      <w:pPr>
        <w:tabs>
          <w:tab w:val="left" w:pos="-2268"/>
        </w:tabs>
        <w:suppressAutoHyphens/>
        <w:rPr>
          <w:rFonts w:cs="Arial"/>
          <w:spacing w:val="-3"/>
        </w:rPr>
      </w:pPr>
    </w:p>
    <w:p w14:paraId="6A03CE28" w14:textId="77777777" w:rsidR="0056088F" w:rsidRPr="004068F6" w:rsidRDefault="0056088F" w:rsidP="0056088F">
      <w:pPr>
        <w:tabs>
          <w:tab w:val="left" w:pos="-2268"/>
        </w:tabs>
        <w:suppressAutoHyphens/>
        <w:ind w:left="567"/>
        <w:rPr>
          <w:rFonts w:cs="Arial"/>
          <w:spacing w:val="-3"/>
        </w:rPr>
      </w:pPr>
      <w:r w:rsidRPr="004068F6">
        <w:rPr>
          <w:rFonts w:cs="Arial"/>
          <w:spacing w:val="-3"/>
        </w:rPr>
        <w:t>Adicionalmente, se debe ejecutar un análisis de sensibilidad que contemple el cambio de variables críticas para el flujo económico, por ejemplo, el incremento en los costos o la disminución en los beneficios más importantes del proyecto, obra o actividad desde la perspectiva ambiental, cambios en la tasa de descuento en proyectos ambientales, entre otras. La selección de variables críticas también debe considerar aquellos aspectos del análisis económico en los que haya mayor incertidumbre, restricciones o variabilidad de la información usada como base para la cuantificación económica de los impactos, entre otros.</w:t>
      </w:r>
    </w:p>
    <w:p w14:paraId="2F08BE8E" w14:textId="77777777" w:rsidR="0056088F" w:rsidRPr="004068F6" w:rsidRDefault="0056088F" w:rsidP="00C86DA5">
      <w:pPr>
        <w:tabs>
          <w:tab w:val="left" w:pos="-2268"/>
        </w:tabs>
        <w:suppressAutoHyphens/>
        <w:rPr>
          <w:spacing w:val="-3"/>
        </w:rPr>
      </w:pPr>
    </w:p>
    <w:p w14:paraId="7D83283F" w14:textId="4A50B7EA" w:rsidR="0056088F" w:rsidRPr="004068F6" w:rsidRDefault="0056088F">
      <w:pPr>
        <w:tabs>
          <w:tab w:val="left" w:pos="-2268"/>
        </w:tabs>
        <w:suppressAutoHyphens/>
        <w:rPr>
          <w:spacing w:val="-3"/>
        </w:rPr>
      </w:pPr>
      <w:r w:rsidRPr="004068F6">
        <w:rPr>
          <w:spacing w:val="-3"/>
        </w:rPr>
        <w:t>Los resultados de la EEA deben integrarse a los demás criterios técnicos (abióticos, bióticos y socioeconómicos) que surjan de la evaluación ambiental, a fin de ilustrar con información relevante los beneficios y perjuicios que traería el proyecto</w:t>
      </w:r>
      <w:r w:rsidR="00311679" w:rsidRPr="004068F6">
        <w:rPr>
          <w:spacing w:val="-3"/>
        </w:rPr>
        <w:t>, obra o actividad</w:t>
      </w:r>
      <w:r w:rsidRPr="004068F6">
        <w:rPr>
          <w:spacing w:val="-3"/>
        </w:rPr>
        <w:t xml:space="preserve"> sobre el bienestar de la sociedad, evidenciando las limitaciones e incertidumbres propias de la información y de los métodos que se utilicen. Es necesario recordar que los resultados de la EEA son subsidiarios dentro del proceso de toma de decisión sobre la viabilidad ambiental del proyecto; es decir, la decisión de otorgar o no la licencia ambiental no se basa exclusivamente en dicha evaluación.</w:t>
      </w:r>
    </w:p>
    <w:p w14:paraId="421123B9" w14:textId="77777777" w:rsidR="0056088F" w:rsidRPr="004068F6" w:rsidRDefault="0056088F">
      <w:pPr>
        <w:numPr>
          <w:ilvl w:val="12"/>
          <w:numId w:val="0"/>
        </w:numPr>
        <w:tabs>
          <w:tab w:val="left" w:pos="-2268"/>
        </w:tabs>
        <w:suppressAutoHyphens/>
        <w:rPr>
          <w:spacing w:val="-3"/>
        </w:rPr>
      </w:pPr>
    </w:p>
    <w:p w14:paraId="26943DD6" w14:textId="19375D10" w:rsidR="0056088F" w:rsidRPr="00466E26" w:rsidRDefault="0056088F" w:rsidP="000A1E20">
      <w:pPr>
        <w:pStyle w:val="Ttulo3"/>
      </w:pPr>
      <w:bookmarkStart w:id="7358" w:name="_Toc488244804"/>
      <w:bookmarkStart w:id="7359" w:name="_Toc488247924"/>
      <w:bookmarkStart w:id="7360" w:name="_Toc488248568"/>
      <w:bookmarkStart w:id="7361" w:name="_Toc488249184"/>
      <w:bookmarkStart w:id="7362" w:name="_Toc488249800"/>
      <w:bookmarkStart w:id="7363" w:name="_Toc488330288"/>
      <w:bookmarkStart w:id="7364" w:name="_Toc488387142"/>
      <w:bookmarkStart w:id="7365" w:name="_Toc488402601"/>
      <w:bookmarkStart w:id="7366" w:name="_Toc488403424"/>
      <w:bookmarkStart w:id="7367" w:name="_Toc488404253"/>
      <w:bookmarkStart w:id="7368" w:name="_Toc488405084"/>
      <w:bookmarkStart w:id="7369" w:name="_Toc488405907"/>
      <w:bookmarkStart w:id="7370" w:name="_Toc488406736"/>
      <w:bookmarkStart w:id="7371" w:name="_Toc491409967"/>
      <w:bookmarkStart w:id="7372" w:name="_Toc496018505"/>
      <w:bookmarkStart w:id="7373" w:name="_Toc515787724"/>
      <w:bookmarkStart w:id="7374" w:name="_Toc515789424"/>
      <w:bookmarkStart w:id="7375" w:name="_Toc515790273"/>
      <w:bookmarkStart w:id="7376" w:name="_Toc515791122"/>
      <w:bookmarkStart w:id="7377" w:name="_Toc515791977"/>
      <w:bookmarkStart w:id="7378" w:name="_Toc515792827"/>
      <w:bookmarkStart w:id="7379" w:name="_Toc515793729"/>
      <w:bookmarkStart w:id="7380" w:name="_Toc515794634"/>
      <w:bookmarkStart w:id="7381" w:name="_Toc515796391"/>
      <w:bookmarkStart w:id="7382" w:name="_Toc488244805"/>
      <w:bookmarkStart w:id="7383" w:name="_Toc488247925"/>
      <w:bookmarkStart w:id="7384" w:name="_Toc488248569"/>
      <w:bookmarkStart w:id="7385" w:name="_Toc488249185"/>
      <w:bookmarkStart w:id="7386" w:name="_Toc488249801"/>
      <w:bookmarkStart w:id="7387" w:name="_Toc488330289"/>
      <w:bookmarkStart w:id="7388" w:name="_Toc488387143"/>
      <w:bookmarkStart w:id="7389" w:name="_Toc488402602"/>
      <w:bookmarkStart w:id="7390" w:name="_Toc488403425"/>
      <w:bookmarkStart w:id="7391" w:name="_Toc488404254"/>
      <w:bookmarkStart w:id="7392" w:name="_Toc488405085"/>
      <w:bookmarkStart w:id="7393" w:name="_Toc488405908"/>
      <w:bookmarkStart w:id="7394" w:name="_Toc488406737"/>
      <w:bookmarkStart w:id="7395" w:name="_Toc491409968"/>
      <w:bookmarkStart w:id="7396" w:name="_Toc496018506"/>
      <w:bookmarkStart w:id="7397" w:name="_Toc515787725"/>
      <w:bookmarkStart w:id="7398" w:name="_Toc515789425"/>
      <w:bookmarkStart w:id="7399" w:name="_Toc515790274"/>
      <w:bookmarkStart w:id="7400" w:name="_Toc515791123"/>
      <w:bookmarkStart w:id="7401" w:name="_Toc515791978"/>
      <w:bookmarkStart w:id="7402" w:name="_Toc515792828"/>
      <w:bookmarkStart w:id="7403" w:name="_Toc515793730"/>
      <w:bookmarkStart w:id="7404" w:name="_Toc515794635"/>
      <w:bookmarkStart w:id="7405" w:name="_Toc515796392"/>
      <w:bookmarkStart w:id="7406" w:name="_Toc488244806"/>
      <w:bookmarkStart w:id="7407" w:name="_Toc488247926"/>
      <w:bookmarkStart w:id="7408" w:name="_Toc488248570"/>
      <w:bookmarkStart w:id="7409" w:name="_Toc488249186"/>
      <w:bookmarkStart w:id="7410" w:name="_Toc488249802"/>
      <w:bookmarkStart w:id="7411" w:name="_Toc488330290"/>
      <w:bookmarkStart w:id="7412" w:name="_Toc488387144"/>
      <w:bookmarkStart w:id="7413" w:name="_Toc488402603"/>
      <w:bookmarkStart w:id="7414" w:name="_Toc488403426"/>
      <w:bookmarkStart w:id="7415" w:name="_Toc488404255"/>
      <w:bookmarkStart w:id="7416" w:name="_Toc488405086"/>
      <w:bookmarkStart w:id="7417" w:name="_Toc488405909"/>
      <w:bookmarkStart w:id="7418" w:name="_Toc488406738"/>
      <w:bookmarkStart w:id="7419" w:name="_Toc491409969"/>
      <w:bookmarkStart w:id="7420" w:name="_Toc496018507"/>
      <w:bookmarkStart w:id="7421" w:name="_Toc515787726"/>
      <w:bookmarkStart w:id="7422" w:name="_Toc515789426"/>
      <w:bookmarkStart w:id="7423" w:name="_Toc515790275"/>
      <w:bookmarkStart w:id="7424" w:name="_Toc515791124"/>
      <w:bookmarkStart w:id="7425" w:name="_Toc515791979"/>
      <w:bookmarkStart w:id="7426" w:name="_Toc515792829"/>
      <w:bookmarkStart w:id="7427" w:name="_Toc515793731"/>
      <w:bookmarkStart w:id="7428" w:name="_Toc515794636"/>
      <w:bookmarkStart w:id="7429" w:name="_Toc515796393"/>
      <w:bookmarkStart w:id="7430" w:name="_Toc488244807"/>
      <w:bookmarkStart w:id="7431" w:name="_Toc488247927"/>
      <w:bookmarkStart w:id="7432" w:name="_Toc488248571"/>
      <w:bookmarkStart w:id="7433" w:name="_Toc488249187"/>
      <w:bookmarkStart w:id="7434" w:name="_Toc488249803"/>
      <w:bookmarkStart w:id="7435" w:name="_Toc488330291"/>
      <w:bookmarkStart w:id="7436" w:name="_Toc488387145"/>
      <w:bookmarkStart w:id="7437" w:name="_Toc488402604"/>
      <w:bookmarkStart w:id="7438" w:name="_Toc488403427"/>
      <w:bookmarkStart w:id="7439" w:name="_Toc488404256"/>
      <w:bookmarkStart w:id="7440" w:name="_Toc488405087"/>
      <w:bookmarkStart w:id="7441" w:name="_Toc488405910"/>
      <w:bookmarkStart w:id="7442" w:name="_Toc488406739"/>
      <w:bookmarkStart w:id="7443" w:name="_Toc491409970"/>
      <w:bookmarkStart w:id="7444" w:name="_Toc496018508"/>
      <w:bookmarkStart w:id="7445" w:name="_Toc515787727"/>
      <w:bookmarkStart w:id="7446" w:name="_Toc515789427"/>
      <w:bookmarkStart w:id="7447" w:name="_Toc515790276"/>
      <w:bookmarkStart w:id="7448" w:name="_Toc515791125"/>
      <w:bookmarkStart w:id="7449" w:name="_Toc515791980"/>
      <w:bookmarkStart w:id="7450" w:name="_Toc515792830"/>
      <w:bookmarkStart w:id="7451" w:name="_Toc515793732"/>
      <w:bookmarkStart w:id="7452" w:name="_Toc515794637"/>
      <w:bookmarkStart w:id="7453" w:name="_Toc515796394"/>
      <w:bookmarkStart w:id="7454" w:name="_Toc488244808"/>
      <w:bookmarkStart w:id="7455" w:name="_Toc488247928"/>
      <w:bookmarkStart w:id="7456" w:name="_Toc488248572"/>
      <w:bookmarkStart w:id="7457" w:name="_Toc488249188"/>
      <w:bookmarkStart w:id="7458" w:name="_Toc488249804"/>
      <w:bookmarkStart w:id="7459" w:name="_Toc488330292"/>
      <w:bookmarkStart w:id="7460" w:name="_Toc488387146"/>
      <w:bookmarkStart w:id="7461" w:name="_Toc488402605"/>
      <w:bookmarkStart w:id="7462" w:name="_Toc488403428"/>
      <w:bookmarkStart w:id="7463" w:name="_Toc488404257"/>
      <w:bookmarkStart w:id="7464" w:name="_Toc488405088"/>
      <w:bookmarkStart w:id="7465" w:name="_Toc488405911"/>
      <w:bookmarkStart w:id="7466" w:name="_Toc488406740"/>
      <w:bookmarkStart w:id="7467" w:name="_Toc491409971"/>
      <w:bookmarkStart w:id="7468" w:name="_Toc496018509"/>
      <w:bookmarkStart w:id="7469" w:name="_Toc515787728"/>
      <w:bookmarkStart w:id="7470" w:name="_Toc515789428"/>
      <w:bookmarkStart w:id="7471" w:name="_Toc515790277"/>
      <w:bookmarkStart w:id="7472" w:name="_Toc515791126"/>
      <w:bookmarkStart w:id="7473" w:name="_Toc515791981"/>
      <w:bookmarkStart w:id="7474" w:name="_Toc515792831"/>
      <w:bookmarkStart w:id="7475" w:name="_Toc515793733"/>
      <w:bookmarkStart w:id="7476" w:name="_Toc515794638"/>
      <w:bookmarkStart w:id="7477" w:name="_Toc515796395"/>
      <w:bookmarkStart w:id="7478" w:name="_Toc488244809"/>
      <w:bookmarkStart w:id="7479" w:name="_Toc488247929"/>
      <w:bookmarkStart w:id="7480" w:name="_Toc488248573"/>
      <w:bookmarkStart w:id="7481" w:name="_Toc488249189"/>
      <w:bookmarkStart w:id="7482" w:name="_Toc488249805"/>
      <w:bookmarkStart w:id="7483" w:name="_Toc488330293"/>
      <w:bookmarkStart w:id="7484" w:name="_Toc488387147"/>
      <w:bookmarkStart w:id="7485" w:name="_Toc488402606"/>
      <w:bookmarkStart w:id="7486" w:name="_Toc488403429"/>
      <w:bookmarkStart w:id="7487" w:name="_Toc488404258"/>
      <w:bookmarkStart w:id="7488" w:name="_Toc488405089"/>
      <w:bookmarkStart w:id="7489" w:name="_Toc488405912"/>
      <w:bookmarkStart w:id="7490" w:name="_Toc488406741"/>
      <w:bookmarkStart w:id="7491" w:name="_Toc491409972"/>
      <w:bookmarkStart w:id="7492" w:name="_Toc496018510"/>
      <w:bookmarkStart w:id="7493" w:name="_Toc515787729"/>
      <w:bookmarkStart w:id="7494" w:name="_Toc515789429"/>
      <w:bookmarkStart w:id="7495" w:name="_Toc515790278"/>
      <w:bookmarkStart w:id="7496" w:name="_Toc515791127"/>
      <w:bookmarkStart w:id="7497" w:name="_Toc515791982"/>
      <w:bookmarkStart w:id="7498" w:name="_Toc515792832"/>
      <w:bookmarkStart w:id="7499" w:name="_Toc515793734"/>
      <w:bookmarkStart w:id="7500" w:name="_Toc515794639"/>
      <w:bookmarkStart w:id="7501" w:name="_Toc515796396"/>
      <w:bookmarkStart w:id="7502" w:name="_Toc488244810"/>
      <w:bookmarkStart w:id="7503" w:name="_Toc488247930"/>
      <w:bookmarkStart w:id="7504" w:name="_Toc488248574"/>
      <w:bookmarkStart w:id="7505" w:name="_Toc488249190"/>
      <w:bookmarkStart w:id="7506" w:name="_Toc488249806"/>
      <w:bookmarkStart w:id="7507" w:name="_Toc488330294"/>
      <w:bookmarkStart w:id="7508" w:name="_Toc488387148"/>
      <w:bookmarkStart w:id="7509" w:name="_Toc488402607"/>
      <w:bookmarkStart w:id="7510" w:name="_Toc488403430"/>
      <w:bookmarkStart w:id="7511" w:name="_Toc488404259"/>
      <w:bookmarkStart w:id="7512" w:name="_Toc488405090"/>
      <w:bookmarkStart w:id="7513" w:name="_Toc488405913"/>
      <w:bookmarkStart w:id="7514" w:name="_Toc488406742"/>
      <w:bookmarkStart w:id="7515" w:name="_Toc491409973"/>
      <w:bookmarkStart w:id="7516" w:name="_Toc496018511"/>
      <w:bookmarkStart w:id="7517" w:name="_Toc515787730"/>
      <w:bookmarkStart w:id="7518" w:name="_Toc515789430"/>
      <w:bookmarkStart w:id="7519" w:name="_Toc515790279"/>
      <w:bookmarkStart w:id="7520" w:name="_Toc515791128"/>
      <w:bookmarkStart w:id="7521" w:name="_Toc515791983"/>
      <w:bookmarkStart w:id="7522" w:name="_Toc515792833"/>
      <w:bookmarkStart w:id="7523" w:name="_Toc515793735"/>
      <w:bookmarkStart w:id="7524" w:name="_Toc515794640"/>
      <w:bookmarkStart w:id="7525" w:name="_Toc515796397"/>
      <w:bookmarkStart w:id="7526" w:name="_Toc488244811"/>
      <w:bookmarkStart w:id="7527" w:name="_Toc488247931"/>
      <w:bookmarkStart w:id="7528" w:name="_Toc488248575"/>
      <w:bookmarkStart w:id="7529" w:name="_Toc488249191"/>
      <w:bookmarkStart w:id="7530" w:name="_Toc488249807"/>
      <w:bookmarkStart w:id="7531" w:name="_Toc488330295"/>
      <w:bookmarkStart w:id="7532" w:name="_Toc488387149"/>
      <w:bookmarkStart w:id="7533" w:name="_Toc488402608"/>
      <w:bookmarkStart w:id="7534" w:name="_Toc488403431"/>
      <w:bookmarkStart w:id="7535" w:name="_Toc488404260"/>
      <w:bookmarkStart w:id="7536" w:name="_Toc488405091"/>
      <w:bookmarkStart w:id="7537" w:name="_Toc488405914"/>
      <w:bookmarkStart w:id="7538" w:name="_Toc488406743"/>
      <w:bookmarkStart w:id="7539" w:name="_Toc491409974"/>
      <w:bookmarkStart w:id="7540" w:name="_Toc496018512"/>
      <w:bookmarkStart w:id="7541" w:name="_Toc515787731"/>
      <w:bookmarkStart w:id="7542" w:name="_Toc515789431"/>
      <w:bookmarkStart w:id="7543" w:name="_Toc515790280"/>
      <w:bookmarkStart w:id="7544" w:name="_Toc515791129"/>
      <w:bookmarkStart w:id="7545" w:name="_Toc515791984"/>
      <w:bookmarkStart w:id="7546" w:name="_Toc515792834"/>
      <w:bookmarkStart w:id="7547" w:name="_Toc515793736"/>
      <w:bookmarkStart w:id="7548" w:name="_Toc515794641"/>
      <w:bookmarkStart w:id="7549" w:name="_Toc515796398"/>
      <w:bookmarkStart w:id="7550" w:name="_Toc488244812"/>
      <w:bookmarkStart w:id="7551" w:name="_Toc488247932"/>
      <w:bookmarkStart w:id="7552" w:name="_Toc488248576"/>
      <w:bookmarkStart w:id="7553" w:name="_Toc488249192"/>
      <w:bookmarkStart w:id="7554" w:name="_Toc488249808"/>
      <w:bookmarkStart w:id="7555" w:name="_Toc488330296"/>
      <w:bookmarkStart w:id="7556" w:name="_Toc488387150"/>
      <w:bookmarkStart w:id="7557" w:name="_Toc488402609"/>
      <w:bookmarkStart w:id="7558" w:name="_Toc488403432"/>
      <w:bookmarkStart w:id="7559" w:name="_Toc488404261"/>
      <w:bookmarkStart w:id="7560" w:name="_Toc488405092"/>
      <w:bookmarkStart w:id="7561" w:name="_Toc488405915"/>
      <w:bookmarkStart w:id="7562" w:name="_Toc488406744"/>
      <w:bookmarkStart w:id="7563" w:name="_Toc491409975"/>
      <w:bookmarkStart w:id="7564" w:name="_Toc496018513"/>
      <w:bookmarkStart w:id="7565" w:name="_Toc515787732"/>
      <w:bookmarkStart w:id="7566" w:name="_Toc515789432"/>
      <w:bookmarkStart w:id="7567" w:name="_Toc515790281"/>
      <w:bookmarkStart w:id="7568" w:name="_Toc515791130"/>
      <w:bookmarkStart w:id="7569" w:name="_Toc515791985"/>
      <w:bookmarkStart w:id="7570" w:name="_Toc515792835"/>
      <w:bookmarkStart w:id="7571" w:name="_Toc515793737"/>
      <w:bookmarkStart w:id="7572" w:name="_Toc515794642"/>
      <w:bookmarkStart w:id="7573" w:name="_Toc515796399"/>
      <w:bookmarkStart w:id="7574" w:name="_Toc488244813"/>
      <w:bookmarkStart w:id="7575" w:name="_Toc488247933"/>
      <w:bookmarkStart w:id="7576" w:name="_Toc488248577"/>
      <w:bookmarkStart w:id="7577" w:name="_Toc488249193"/>
      <w:bookmarkStart w:id="7578" w:name="_Toc488249809"/>
      <w:bookmarkStart w:id="7579" w:name="_Toc488330297"/>
      <w:bookmarkStart w:id="7580" w:name="_Toc488387151"/>
      <w:bookmarkStart w:id="7581" w:name="_Toc488402610"/>
      <w:bookmarkStart w:id="7582" w:name="_Toc488403433"/>
      <w:bookmarkStart w:id="7583" w:name="_Toc488404262"/>
      <w:bookmarkStart w:id="7584" w:name="_Toc488405093"/>
      <w:bookmarkStart w:id="7585" w:name="_Toc488405916"/>
      <w:bookmarkStart w:id="7586" w:name="_Toc488406745"/>
      <w:bookmarkStart w:id="7587" w:name="_Toc491409976"/>
      <w:bookmarkStart w:id="7588" w:name="_Toc496018514"/>
      <w:bookmarkStart w:id="7589" w:name="_Toc515787733"/>
      <w:bookmarkStart w:id="7590" w:name="_Toc515789433"/>
      <w:bookmarkStart w:id="7591" w:name="_Toc515790282"/>
      <w:bookmarkStart w:id="7592" w:name="_Toc515791131"/>
      <w:bookmarkStart w:id="7593" w:name="_Toc515791986"/>
      <w:bookmarkStart w:id="7594" w:name="_Toc515792836"/>
      <w:bookmarkStart w:id="7595" w:name="_Toc515793738"/>
      <w:bookmarkStart w:id="7596" w:name="_Toc515794643"/>
      <w:bookmarkStart w:id="7597" w:name="_Toc515796400"/>
      <w:bookmarkStart w:id="7598" w:name="_Toc488244814"/>
      <w:bookmarkStart w:id="7599" w:name="_Toc488247934"/>
      <w:bookmarkStart w:id="7600" w:name="_Toc488248578"/>
      <w:bookmarkStart w:id="7601" w:name="_Toc488249194"/>
      <w:bookmarkStart w:id="7602" w:name="_Toc488249810"/>
      <w:bookmarkStart w:id="7603" w:name="_Toc488330298"/>
      <w:bookmarkStart w:id="7604" w:name="_Toc488387152"/>
      <w:bookmarkStart w:id="7605" w:name="_Toc488402611"/>
      <w:bookmarkStart w:id="7606" w:name="_Toc488403434"/>
      <w:bookmarkStart w:id="7607" w:name="_Toc488404263"/>
      <w:bookmarkStart w:id="7608" w:name="_Toc488405094"/>
      <w:bookmarkStart w:id="7609" w:name="_Toc488405917"/>
      <w:bookmarkStart w:id="7610" w:name="_Toc488406746"/>
      <w:bookmarkStart w:id="7611" w:name="_Toc491409977"/>
      <w:bookmarkStart w:id="7612" w:name="_Toc496018515"/>
      <w:bookmarkStart w:id="7613" w:name="_Toc515787734"/>
      <w:bookmarkStart w:id="7614" w:name="_Toc515789434"/>
      <w:bookmarkStart w:id="7615" w:name="_Toc515790283"/>
      <w:bookmarkStart w:id="7616" w:name="_Toc515791132"/>
      <w:bookmarkStart w:id="7617" w:name="_Toc515791987"/>
      <w:bookmarkStart w:id="7618" w:name="_Toc515792837"/>
      <w:bookmarkStart w:id="7619" w:name="_Toc515793739"/>
      <w:bookmarkStart w:id="7620" w:name="_Toc515794644"/>
      <w:bookmarkStart w:id="7621" w:name="_Toc515796401"/>
      <w:bookmarkStart w:id="7622" w:name="_Toc488244815"/>
      <w:bookmarkStart w:id="7623" w:name="_Toc488247935"/>
      <w:bookmarkStart w:id="7624" w:name="_Toc488248579"/>
      <w:bookmarkStart w:id="7625" w:name="_Toc488249195"/>
      <w:bookmarkStart w:id="7626" w:name="_Toc488249811"/>
      <w:bookmarkStart w:id="7627" w:name="_Toc488330299"/>
      <w:bookmarkStart w:id="7628" w:name="_Toc488387153"/>
      <w:bookmarkStart w:id="7629" w:name="_Toc488402612"/>
      <w:bookmarkStart w:id="7630" w:name="_Toc488403435"/>
      <w:bookmarkStart w:id="7631" w:name="_Toc488404264"/>
      <w:bookmarkStart w:id="7632" w:name="_Toc488405095"/>
      <w:bookmarkStart w:id="7633" w:name="_Toc488405918"/>
      <w:bookmarkStart w:id="7634" w:name="_Toc488406747"/>
      <w:bookmarkStart w:id="7635" w:name="_Toc491409978"/>
      <w:bookmarkStart w:id="7636" w:name="_Toc496018516"/>
      <w:bookmarkStart w:id="7637" w:name="_Toc515787735"/>
      <w:bookmarkStart w:id="7638" w:name="_Toc515789435"/>
      <w:bookmarkStart w:id="7639" w:name="_Toc515790284"/>
      <w:bookmarkStart w:id="7640" w:name="_Toc515791133"/>
      <w:bookmarkStart w:id="7641" w:name="_Toc515791988"/>
      <w:bookmarkStart w:id="7642" w:name="_Toc515792838"/>
      <w:bookmarkStart w:id="7643" w:name="_Toc515793740"/>
      <w:bookmarkStart w:id="7644" w:name="_Toc515794645"/>
      <w:bookmarkStart w:id="7645" w:name="_Toc515796402"/>
      <w:bookmarkStart w:id="7646" w:name="_Toc488244816"/>
      <w:bookmarkStart w:id="7647" w:name="_Toc488247936"/>
      <w:bookmarkStart w:id="7648" w:name="_Toc488248580"/>
      <w:bookmarkStart w:id="7649" w:name="_Toc488249196"/>
      <w:bookmarkStart w:id="7650" w:name="_Toc488249812"/>
      <w:bookmarkStart w:id="7651" w:name="_Toc488330300"/>
      <w:bookmarkStart w:id="7652" w:name="_Toc488387154"/>
      <w:bookmarkStart w:id="7653" w:name="_Toc488402613"/>
      <w:bookmarkStart w:id="7654" w:name="_Toc488403436"/>
      <w:bookmarkStart w:id="7655" w:name="_Toc488404265"/>
      <w:bookmarkStart w:id="7656" w:name="_Toc488405096"/>
      <w:bookmarkStart w:id="7657" w:name="_Toc488405919"/>
      <w:bookmarkStart w:id="7658" w:name="_Toc488406748"/>
      <w:bookmarkStart w:id="7659" w:name="_Toc491409979"/>
      <w:bookmarkStart w:id="7660" w:name="_Toc496018517"/>
      <w:bookmarkStart w:id="7661" w:name="_Toc515787736"/>
      <w:bookmarkStart w:id="7662" w:name="_Toc515789436"/>
      <w:bookmarkStart w:id="7663" w:name="_Toc515790285"/>
      <w:bookmarkStart w:id="7664" w:name="_Toc515791134"/>
      <w:bookmarkStart w:id="7665" w:name="_Toc515791989"/>
      <w:bookmarkStart w:id="7666" w:name="_Toc515792839"/>
      <w:bookmarkStart w:id="7667" w:name="_Toc515793741"/>
      <w:bookmarkStart w:id="7668" w:name="_Toc515794646"/>
      <w:bookmarkStart w:id="7669" w:name="_Toc515796403"/>
      <w:bookmarkStart w:id="7670" w:name="_Toc488244817"/>
      <w:bookmarkStart w:id="7671" w:name="_Toc488247937"/>
      <w:bookmarkStart w:id="7672" w:name="_Toc488248581"/>
      <w:bookmarkStart w:id="7673" w:name="_Toc488249197"/>
      <w:bookmarkStart w:id="7674" w:name="_Toc488249813"/>
      <w:bookmarkStart w:id="7675" w:name="_Toc488330301"/>
      <w:bookmarkStart w:id="7676" w:name="_Toc488387155"/>
      <w:bookmarkStart w:id="7677" w:name="_Toc488402614"/>
      <w:bookmarkStart w:id="7678" w:name="_Toc488403437"/>
      <w:bookmarkStart w:id="7679" w:name="_Toc488404266"/>
      <w:bookmarkStart w:id="7680" w:name="_Toc488405097"/>
      <w:bookmarkStart w:id="7681" w:name="_Toc488405920"/>
      <w:bookmarkStart w:id="7682" w:name="_Toc488406749"/>
      <w:bookmarkStart w:id="7683" w:name="_Toc491409980"/>
      <w:bookmarkStart w:id="7684" w:name="_Toc496018518"/>
      <w:bookmarkStart w:id="7685" w:name="_Toc515787737"/>
      <w:bookmarkStart w:id="7686" w:name="_Toc515789437"/>
      <w:bookmarkStart w:id="7687" w:name="_Toc515790286"/>
      <w:bookmarkStart w:id="7688" w:name="_Toc515791135"/>
      <w:bookmarkStart w:id="7689" w:name="_Toc515791990"/>
      <w:bookmarkStart w:id="7690" w:name="_Toc515792840"/>
      <w:bookmarkStart w:id="7691" w:name="_Toc515793742"/>
      <w:bookmarkStart w:id="7692" w:name="_Toc515794647"/>
      <w:bookmarkStart w:id="7693" w:name="_Toc515796404"/>
      <w:bookmarkStart w:id="7694" w:name="_Toc488244818"/>
      <w:bookmarkStart w:id="7695" w:name="_Toc488247938"/>
      <w:bookmarkStart w:id="7696" w:name="_Toc488248582"/>
      <w:bookmarkStart w:id="7697" w:name="_Toc488249198"/>
      <w:bookmarkStart w:id="7698" w:name="_Toc488249814"/>
      <w:bookmarkStart w:id="7699" w:name="_Toc488330302"/>
      <w:bookmarkStart w:id="7700" w:name="_Toc488387156"/>
      <w:bookmarkStart w:id="7701" w:name="_Toc488402615"/>
      <w:bookmarkStart w:id="7702" w:name="_Toc488403438"/>
      <w:bookmarkStart w:id="7703" w:name="_Toc488404267"/>
      <w:bookmarkStart w:id="7704" w:name="_Toc488405098"/>
      <w:bookmarkStart w:id="7705" w:name="_Toc488405921"/>
      <w:bookmarkStart w:id="7706" w:name="_Toc488406750"/>
      <w:bookmarkStart w:id="7707" w:name="_Toc491409981"/>
      <w:bookmarkStart w:id="7708" w:name="_Toc496018519"/>
      <w:bookmarkStart w:id="7709" w:name="_Toc515787738"/>
      <w:bookmarkStart w:id="7710" w:name="_Toc515789438"/>
      <w:bookmarkStart w:id="7711" w:name="_Toc515790287"/>
      <w:bookmarkStart w:id="7712" w:name="_Toc515791136"/>
      <w:bookmarkStart w:id="7713" w:name="_Toc515791991"/>
      <w:bookmarkStart w:id="7714" w:name="_Toc515792841"/>
      <w:bookmarkStart w:id="7715" w:name="_Toc515793743"/>
      <w:bookmarkStart w:id="7716" w:name="_Toc515794648"/>
      <w:bookmarkStart w:id="7717" w:name="_Toc515796405"/>
      <w:bookmarkStart w:id="7718" w:name="_Toc488244819"/>
      <w:bookmarkStart w:id="7719" w:name="_Toc488247939"/>
      <w:bookmarkStart w:id="7720" w:name="_Toc488248583"/>
      <w:bookmarkStart w:id="7721" w:name="_Toc488249199"/>
      <w:bookmarkStart w:id="7722" w:name="_Toc488249815"/>
      <w:bookmarkStart w:id="7723" w:name="_Toc488330303"/>
      <w:bookmarkStart w:id="7724" w:name="_Toc488387157"/>
      <w:bookmarkStart w:id="7725" w:name="_Toc488402616"/>
      <w:bookmarkStart w:id="7726" w:name="_Toc488403439"/>
      <w:bookmarkStart w:id="7727" w:name="_Toc488404268"/>
      <w:bookmarkStart w:id="7728" w:name="_Toc488405099"/>
      <w:bookmarkStart w:id="7729" w:name="_Toc488405922"/>
      <w:bookmarkStart w:id="7730" w:name="_Toc488406751"/>
      <w:bookmarkStart w:id="7731" w:name="_Toc491409982"/>
      <w:bookmarkStart w:id="7732" w:name="_Toc496018520"/>
      <w:bookmarkStart w:id="7733" w:name="_Toc515787739"/>
      <w:bookmarkStart w:id="7734" w:name="_Toc515789439"/>
      <w:bookmarkStart w:id="7735" w:name="_Toc515790288"/>
      <w:bookmarkStart w:id="7736" w:name="_Toc515791137"/>
      <w:bookmarkStart w:id="7737" w:name="_Toc515791992"/>
      <w:bookmarkStart w:id="7738" w:name="_Toc515792842"/>
      <w:bookmarkStart w:id="7739" w:name="_Toc515793744"/>
      <w:bookmarkStart w:id="7740" w:name="_Toc515794649"/>
      <w:bookmarkStart w:id="7741" w:name="_Toc515796406"/>
      <w:bookmarkStart w:id="7742" w:name="_Toc488244820"/>
      <w:bookmarkStart w:id="7743" w:name="_Toc488247940"/>
      <w:bookmarkStart w:id="7744" w:name="_Toc488248584"/>
      <w:bookmarkStart w:id="7745" w:name="_Toc488249200"/>
      <w:bookmarkStart w:id="7746" w:name="_Toc488249816"/>
      <w:bookmarkStart w:id="7747" w:name="_Toc488330304"/>
      <w:bookmarkStart w:id="7748" w:name="_Toc488387158"/>
      <w:bookmarkStart w:id="7749" w:name="_Toc488402617"/>
      <w:bookmarkStart w:id="7750" w:name="_Toc488403440"/>
      <w:bookmarkStart w:id="7751" w:name="_Toc488404269"/>
      <w:bookmarkStart w:id="7752" w:name="_Toc488405100"/>
      <w:bookmarkStart w:id="7753" w:name="_Toc488405923"/>
      <w:bookmarkStart w:id="7754" w:name="_Toc488406752"/>
      <w:bookmarkStart w:id="7755" w:name="_Toc491409983"/>
      <w:bookmarkStart w:id="7756" w:name="_Toc496018521"/>
      <w:bookmarkStart w:id="7757" w:name="_Toc515787740"/>
      <w:bookmarkStart w:id="7758" w:name="_Toc515789440"/>
      <w:bookmarkStart w:id="7759" w:name="_Toc515790289"/>
      <w:bookmarkStart w:id="7760" w:name="_Toc515791138"/>
      <w:bookmarkStart w:id="7761" w:name="_Toc515791993"/>
      <w:bookmarkStart w:id="7762" w:name="_Toc515792843"/>
      <w:bookmarkStart w:id="7763" w:name="_Toc515793745"/>
      <w:bookmarkStart w:id="7764" w:name="_Toc515794650"/>
      <w:bookmarkStart w:id="7765" w:name="_Toc515796407"/>
      <w:bookmarkStart w:id="7766" w:name="_Toc488244821"/>
      <w:bookmarkStart w:id="7767" w:name="_Toc488247941"/>
      <w:bookmarkStart w:id="7768" w:name="_Toc488248585"/>
      <w:bookmarkStart w:id="7769" w:name="_Toc488249201"/>
      <w:bookmarkStart w:id="7770" w:name="_Toc488249817"/>
      <w:bookmarkStart w:id="7771" w:name="_Toc488330305"/>
      <w:bookmarkStart w:id="7772" w:name="_Toc488387159"/>
      <w:bookmarkStart w:id="7773" w:name="_Toc488402618"/>
      <w:bookmarkStart w:id="7774" w:name="_Toc488403441"/>
      <w:bookmarkStart w:id="7775" w:name="_Toc488404270"/>
      <w:bookmarkStart w:id="7776" w:name="_Toc488405101"/>
      <w:bookmarkStart w:id="7777" w:name="_Toc488405924"/>
      <w:bookmarkStart w:id="7778" w:name="_Toc488406753"/>
      <w:bookmarkStart w:id="7779" w:name="_Toc491409984"/>
      <w:bookmarkStart w:id="7780" w:name="_Toc496018522"/>
      <w:bookmarkStart w:id="7781" w:name="_Toc515787741"/>
      <w:bookmarkStart w:id="7782" w:name="_Toc515789441"/>
      <w:bookmarkStart w:id="7783" w:name="_Toc515790290"/>
      <w:bookmarkStart w:id="7784" w:name="_Toc515791139"/>
      <w:bookmarkStart w:id="7785" w:name="_Toc515791994"/>
      <w:bookmarkStart w:id="7786" w:name="_Toc515792844"/>
      <w:bookmarkStart w:id="7787" w:name="_Toc515793746"/>
      <w:bookmarkStart w:id="7788" w:name="_Toc515794651"/>
      <w:bookmarkStart w:id="7789" w:name="_Toc515796408"/>
      <w:bookmarkStart w:id="7790" w:name="_Toc488244822"/>
      <w:bookmarkStart w:id="7791" w:name="_Toc488247942"/>
      <w:bookmarkStart w:id="7792" w:name="_Toc488248586"/>
      <w:bookmarkStart w:id="7793" w:name="_Toc488249202"/>
      <w:bookmarkStart w:id="7794" w:name="_Toc488249818"/>
      <w:bookmarkStart w:id="7795" w:name="_Toc488330306"/>
      <w:bookmarkStart w:id="7796" w:name="_Toc488387160"/>
      <w:bookmarkStart w:id="7797" w:name="_Toc488402619"/>
      <w:bookmarkStart w:id="7798" w:name="_Toc488403442"/>
      <w:bookmarkStart w:id="7799" w:name="_Toc488404271"/>
      <w:bookmarkStart w:id="7800" w:name="_Toc488405102"/>
      <w:bookmarkStart w:id="7801" w:name="_Toc488405925"/>
      <w:bookmarkStart w:id="7802" w:name="_Toc488406754"/>
      <w:bookmarkStart w:id="7803" w:name="_Toc491409985"/>
      <w:bookmarkStart w:id="7804" w:name="_Toc496018523"/>
      <w:bookmarkStart w:id="7805" w:name="_Toc515787742"/>
      <w:bookmarkStart w:id="7806" w:name="_Toc515789442"/>
      <w:bookmarkStart w:id="7807" w:name="_Toc515790291"/>
      <w:bookmarkStart w:id="7808" w:name="_Toc515791140"/>
      <w:bookmarkStart w:id="7809" w:name="_Toc515791995"/>
      <w:bookmarkStart w:id="7810" w:name="_Toc515792845"/>
      <w:bookmarkStart w:id="7811" w:name="_Toc515793747"/>
      <w:bookmarkStart w:id="7812" w:name="_Toc515794652"/>
      <w:bookmarkStart w:id="7813" w:name="_Toc515796409"/>
      <w:bookmarkStart w:id="7814" w:name="_Toc488244823"/>
      <w:bookmarkStart w:id="7815" w:name="_Toc488247943"/>
      <w:bookmarkStart w:id="7816" w:name="_Toc488248587"/>
      <w:bookmarkStart w:id="7817" w:name="_Toc488249203"/>
      <w:bookmarkStart w:id="7818" w:name="_Toc488249819"/>
      <w:bookmarkStart w:id="7819" w:name="_Toc488330307"/>
      <w:bookmarkStart w:id="7820" w:name="_Toc488387161"/>
      <w:bookmarkStart w:id="7821" w:name="_Toc488402620"/>
      <w:bookmarkStart w:id="7822" w:name="_Toc488403443"/>
      <w:bookmarkStart w:id="7823" w:name="_Toc488404272"/>
      <w:bookmarkStart w:id="7824" w:name="_Toc488405103"/>
      <w:bookmarkStart w:id="7825" w:name="_Toc488405926"/>
      <w:bookmarkStart w:id="7826" w:name="_Toc488406755"/>
      <w:bookmarkStart w:id="7827" w:name="_Toc491409986"/>
      <w:bookmarkStart w:id="7828" w:name="_Toc496018524"/>
      <w:bookmarkStart w:id="7829" w:name="_Toc515787743"/>
      <w:bookmarkStart w:id="7830" w:name="_Toc515789443"/>
      <w:bookmarkStart w:id="7831" w:name="_Toc515790292"/>
      <w:bookmarkStart w:id="7832" w:name="_Toc515791141"/>
      <w:bookmarkStart w:id="7833" w:name="_Toc515791996"/>
      <w:bookmarkStart w:id="7834" w:name="_Toc515792846"/>
      <w:bookmarkStart w:id="7835" w:name="_Toc515793748"/>
      <w:bookmarkStart w:id="7836" w:name="_Toc515794653"/>
      <w:bookmarkStart w:id="7837" w:name="_Toc515796410"/>
      <w:bookmarkStart w:id="7838" w:name="_Toc488244824"/>
      <w:bookmarkStart w:id="7839" w:name="_Toc488247944"/>
      <w:bookmarkStart w:id="7840" w:name="_Toc488248588"/>
      <w:bookmarkStart w:id="7841" w:name="_Toc488249204"/>
      <w:bookmarkStart w:id="7842" w:name="_Toc488249820"/>
      <w:bookmarkStart w:id="7843" w:name="_Toc488330308"/>
      <w:bookmarkStart w:id="7844" w:name="_Toc488387162"/>
      <w:bookmarkStart w:id="7845" w:name="_Toc488402621"/>
      <w:bookmarkStart w:id="7846" w:name="_Toc488403444"/>
      <w:bookmarkStart w:id="7847" w:name="_Toc488404273"/>
      <w:bookmarkStart w:id="7848" w:name="_Toc488405104"/>
      <w:bookmarkStart w:id="7849" w:name="_Toc488405927"/>
      <w:bookmarkStart w:id="7850" w:name="_Toc488406756"/>
      <w:bookmarkStart w:id="7851" w:name="_Toc491409987"/>
      <w:bookmarkStart w:id="7852" w:name="_Toc496018525"/>
      <w:bookmarkStart w:id="7853" w:name="_Toc515787744"/>
      <w:bookmarkStart w:id="7854" w:name="_Toc515789444"/>
      <w:bookmarkStart w:id="7855" w:name="_Toc515790293"/>
      <w:bookmarkStart w:id="7856" w:name="_Toc515791142"/>
      <w:bookmarkStart w:id="7857" w:name="_Toc515791997"/>
      <w:bookmarkStart w:id="7858" w:name="_Toc515792847"/>
      <w:bookmarkStart w:id="7859" w:name="_Toc515793749"/>
      <w:bookmarkStart w:id="7860" w:name="_Toc515794654"/>
      <w:bookmarkStart w:id="7861" w:name="_Toc515796411"/>
      <w:bookmarkStart w:id="7862" w:name="_Toc488244825"/>
      <w:bookmarkStart w:id="7863" w:name="_Toc488247945"/>
      <w:bookmarkStart w:id="7864" w:name="_Toc488248589"/>
      <w:bookmarkStart w:id="7865" w:name="_Toc488249205"/>
      <w:bookmarkStart w:id="7866" w:name="_Toc488249821"/>
      <w:bookmarkStart w:id="7867" w:name="_Toc488330309"/>
      <w:bookmarkStart w:id="7868" w:name="_Toc488387163"/>
      <w:bookmarkStart w:id="7869" w:name="_Toc488402622"/>
      <w:bookmarkStart w:id="7870" w:name="_Toc488403445"/>
      <w:bookmarkStart w:id="7871" w:name="_Toc488404274"/>
      <w:bookmarkStart w:id="7872" w:name="_Toc488405105"/>
      <w:bookmarkStart w:id="7873" w:name="_Toc488405928"/>
      <w:bookmarkStart w:id="7874" w:name="_Toc488406757"/>
      <w:bookmarkStart w:id="7875" w:name="_Toc491409988"/>
      <w:bookmarkStart w:id="7876" w:name="_Toc496018526"/>
      <w:bookmarkStart w:id="7877" w:name="_Toc515787745"/>
      <w:bookmarkStart w:id="7878" w:name="_Toc515789445"/>
      <w:bookmarkStart w:id="7879" w:name="_Toc515790294"/>
      <w:bookmarkStart w:id="7880" w:name="_Toc515791143"/>
      <w:bookmarkStart w:id="7881" w:name="_Toc515791998"/>
      <w:bookmarkStart w:id="7882" w:name="_Toc515792848"/>
      <w:bookmarkStart w:id="7883" w:name="_Toc515793750"/>
      <w:bookmarkStart w:id="7884" w:name="_Toc515794655"/>
      <w:bookmarkStart w:id="7885" w:name="_Toc515796412"/>
      <w:bookmarkStart w:id="7886" w:name="_Toc488244826"/>
      <w:bookmarkStart w:id="7887" w:name="_Toc488247946"/>
      <w:bookmarkStart w:id="7888" w:name="_Toc488248590"/>
      <w:bookmarkStart w:id="7889" w:name="_Toc488249206"/>
      <w:bookmarkStart w:id="7890" w:name="_Toc488249822"/>
      <w:bookmarkStart w:id="7891" w:name="_Toc488330310"/>
      <w:bookmarkStart w:id="7892" w:name="_Toc488387164"/>
      <w:bookmarkStart w:id="7893" w:name="_Toc488402623"/>
      <w:bookmarkStart w:id="7894" w:name="_Toc488403446"/>
      <w:bookmarkStart w:id="7895" w:name="_Toc488404275"/>
      <w:bookmarkStart w:id="7896" w:name="_Toc488405106"/>
      <w:bookmarkStart w:id="7897" w:name="_Toc488405929"/>
      <w:bookmarkStart w:id="7898" w:name="_Toc488406758"/>
      <w:bookmarkStart w:id="7899" w:name="_Toc491409989"/>
      <w:bookmarkStart w:id="7900" w:name="_Toc496018527"/>
      <w:bookmarkStart w:id="7901" w:name="_Toc515787746"/>
      <w:bookmarkStart w:id="7902" w:name="_Toc515789446"/>
      <w:bookmarkStart w:id="7903" w:name="_Toc515790295"/>
      <w:bookmarkStart w:id="7904" w:name="_Toc515791144"/>
      <w:bookmarkStart w:id="7905" w:name="_Toc515791999"/>
      <w:bookmarkStart w:id="7906" w:name="_Toc515792849"/>
      <w:bookmarkStart w:id="7907" w:name="_Toc515793751"/>
      <w:bookmarkStart w:id="7908" w:name="_Toc515794656"/>
      <w:bookmarkStart w:id="7909" w:name="_Toc515796413"/>
      <w:bookmarkStart w:id="7910" w:name="_Toc488244827"/>
      <w:bookmarkStart w:id="7911" w:name="_Toc488247947"/>
      <w:bookmarkStart w:id="7912" w:name="_Toc488248591"/>
      <w:bookmarkStart w:id="7913" w:name="_Toc488249207"/>
      <w:bookmarkStart w:id="7914" w:name="_Toc488249823"/>
      <w:bookmarkStart w:id="7915" w:name="_Toc488330311"/>
      <w:bookmarkStart w:id="7916" w:name="_Toc488387165"/>
      <w:bookmarkStart w:id="7917" w:name="_Toc488402624"/>
      <w:bookmarkStart w:id="7918" w:name="_Toc488403447"/>
      <w:bookmarkStart w:id="7919" w:name="_Toc488404276"/>
      <w:bookmarkStart w:id="7920" w:name="_Toc488405107"/>
      <w:bookmarkStart w:id="7921" w:name="_Toc488405930"/>
      <w:bookmarkStart w:id="7922" w:name="_Toc488406759"/>
      <w:bookmarkStart w:id="7923" w:name="_Toc491409990"/>
      <w:bookmarkStart w:id="7924" w:name="_Toc496018528"/>
      <w:bookmarkStart w:id="7925" w:name="_Toc515787747"/>
      <w:bookmarkStart w:id="7926" w:name="_Toc515789447"/>
      <w:bookmarkStart w:id="7927" w:name="_Toc515790296"/>
      <w:bookmarkStart w:id="7928" w:name="_Toc515791145"/>
      <w:bookmarkStart w:id="7929" w:name="_Toc515792000"/>
      <w:bookmarkStart w:id="7930" w:name="_Toc515792850"/>
      <w:bookmarkStart w:id="7931" w:name="_Toc515793752"/>
      <w:bookmarkStart w:id="7932" w:name="_Toc515794657"/>
      <w:bookmarkStart w:id="7933" w:name="_Toc515796414"/>
      <w:bookmarkStart w:id="7934" w:name="_Toc488244828"/>
      <w:bookmarkStart w:id="7935" w:name="_Toc488247948"/>
      <w:bookmarkStart w:id="7936" w:name="_Toc488248592"/>
      <w:bookmarkStart w:id="7937" w:name="_Toc488249208"/>
      <w:bookmarkStart w:id="7938" w:name="_Toc488249824"/>
      <w:bookmarkStart w:id="7939" w:name="_Toc488330312"/>
      <w:bookmarkStart w:id="7940" w:name="_Toc488387166"/>
      <w:bookmarkStart w:id="7941" w:name="_Toc488402625"/>
      <w:bookmarkStart w:id="7942" w:name="_Toc488403448"/>
      <w:bookmarkStart w:id="7943" w:name="_Toc488404277"/>
      <w:bookmarkStart w:id="7944" w:name="_Toc488405108"/>
      <w:bookmarkStart w:id="7945" w:name="_Toc488405931"/>
      <w:bookmarkStart w:id="7946" w:name="_Toc488406760"/>
      <w:bookmarkStart w:id="7947" w:name="_Toc491409991"/>
      <w:bookmarkStart w:id="7948" w:name="_Toc496018529"/>
      <w:bookmarkStart w:id="7949" w:name="_Toc515787748"/>
      <w:bookmarkStart w:id="7950" w:name="_Toc515789448"/>
      <w:bookmarkStart w:id="7951" w:name="_Toc515790297"/>
      <w:bookmarkStart w:id="7952" w:name="_Toc515791146"/>
      <w:bookmarkStart w:id="7953" w:name="_Toc515792001"/>
      <w:bookmarkStart w:id="7954" w:name="_Toc515792851"/>
      <w:bookmarkStart w:id="7955" w:name="_Toc515793753"/>
      <w:bookmarkStart w:id="7956" w:name="_Toc515794658"/>
      <w:bookmarkStart w:id="7957" w:name="_Toc515796415"/>
      <w:bookmarkStart w:id="7958" w:name="_Toc488244829"/>
      <w:bookmarkStart w:id="7959" w:name="_Toc488247949"/>
      <w:bookmarkStart w:id="7960" w:name="_Toc488248593"/>
      <w:bookmarkStart w:id="7961" w:name="_Toc488249209"/>
      <w:bookmarkStart w:id="7962" w:name="_Toc488249825"/>
      <w:bookmarkStart w:id="7963" w:name="_Toc488330313"/>
      <w:bookmarkStart w:id="7964" w:name="_Toc488387167"/>
      <w:bookmarkStart w:id="7965" w:name="_Toc488402626"/>
      <w:bookmarkStart w:id="7966" w:name="_Toc488403449"/>
      <w:bookmarkStart w:id="7967" w:name="_Toc488404278"/>
      <w:bookmarkStart w:id="7968" w:name="_Toc488405109"/>
      <w:bookmarkStart w:id="7969" w:name="_Toc488405932"/>
      <w:bookmarkStart w:id="7970" w:name="_Toc488406761"/>
      <w:bookmarkStart w:id="7971" w:name="_Toc491409992"/>
      <w:bookmarkStart w:id="7972" w:name="_Toc496018530"/>
      <w:bookmarkStart w:id="7973" w:name="_Toc515787749"/>
      <w:bookmarkStart w:id="7974" w:name="_Toc515789449"/>
      <w:bookmarkStart w:id="7975" w:name="_Toc515790298"/>
      <w:bookmarkStart w:id="7976" w:name="_Toc515791147"/>
      <w:bookmarkStart w:id="7977" w:name="_Toc515792002"/>
      <w:bookmarkStart w:id="7978" w:name="_Toc515792852"/>
      <w:bookmarkStart w:id="7979" w:name="_Toc515793754"/>
      <w:bookmarkStart w:id="7980" w:name="_Toc515794659"/>
      <w:bookmarkStart w:id="7981" w:name="_Toc515796416"/>
      <w:bookmarkStart w:id="7982" w:name="_Toc488244830"/>
      <w:bookmarkStart w:id="7983" w:name="_Toc488247950"/>
      <w:bookmarkStart w:id="7984" w:name="_Toc488248594"/>
      <w:bookmarkStart w:id="7985" w:name="_Toc488249210"/>
      <w:bookmarkStart w:id="7986" w:name="_Toc488249826"/>
      <w:bookmarkStart w:id="7987" w:name="_Toc488330314"/>
      <w:bookmarkStart w:id="7988" w:name="_Toc488387168"/>
      <w:bookmarkStart w:id="7989" w:name="_Toc488402627"/>
      <w:bookmarkStart w:id="7990" w:name="_Toc488403450"/>
      <w:bookmarkStart w:id="7991" w:name="_Toc488404279"/>
      <w:bookmarkStart w:id="7992" w:name="_Toc488405110"/>
      <w:bookmarkStart w:id="7993" w:name="_Toc488405933"/>
      <w:bookmarkStart w:id="7994" w:name="_Toc488406762"/>
      <w:bookmarkStart w:id="7995" w:name="_Toc491409993"/>
      <w:bookmarkStart w:id="7996" w:name="_Toc496018531"/>
      <w:bookmarkStart w:id="7997" w:name="_Toc515787750"/>
      <w:bookmarkStart w:id="7998" w:name="_Toc515789450"/>
      <w:bookmarkStart w:id="7999" w:name="_Toc515790299"/>
      <w:bookmarkStart w:id="8000" w:name="_Toc515791148"/>
      <w:bookmarkStart w:id="8001" w:name="_Toc515792003"/>
      <w:bookmarkStart w:id="8002" w:name="_Toc515792853"/>
      <w:bookmarkStart w:id="8003" w:name="_Toc515793755"/>
      <w:bookmarkStart w:id="8004" w:name="_Toc515794660"/>
      <w:bookmarkStart w:id="8005" w:name="_Toc515796417"/>
      <w:bookmarkStart w:id="8006" w:name="_Toc488244831"/>
      <w:bookmarkStart w:id="8007" w:name="_Toc488247951"/>
      <w:bookmarkStart w:id="8008" w:name="_Toc488248595"/>
      <w:bookmarkStart w:id="8009" w:name="_Toc488249211"/>
      <w:bookmarkStart w:id="8010" w:name="_Toc488249827"/>
      <w:bookmarkStart w:id="8011" w:name="_Toc488330315"/>
      <w:bookmarkStart w:id="8012" w:name="_Toc488387169"/>
      <w:bookmarkStart w:id="8013" w:name="_Toc488402628"/>
      <w:bookmarkStart w:id="8014" w:name="_Toc488403451"/>
      <w:bookmarkStart w:id="8015" w:name="_Toc488404280"/>
      <w:bookmarkStart w:id="8016" w:name="_Toc488405111"/>
      <w:bookmarkStart w:id="8017" w:name="_Toc488405934"/>
      <w:bookmarkStart w:id="8018" w:name="_Toc488406763"/>
      <w:bookmarkStart w:id="8019" w:name="_Toc491409994"/>
      <w:bookmarkStart w:id="8020" w:name="_Toc496018532"/>
      <w:bookmarkStart w:id="8021" w:name="_Toc515787751"/>
      <w:bookmarkStart w:id="8022" w:name="_Toc515789451"/>
      <w:bookmarkStart w:id="8023" w:name="_Toc515790300"/>
      <w:bookmarkStart w:id="8024" w:name="_Toc515791149"/>
      <w:bookmarkStart w:id="8025" w:name="_Toc515792004"/>
      <w:bookmarkStart w:id="8026" w:name="_Toc515792854"/>
      <w:bookmarkStart w:id="8027" w:name="_Toc515793756"/>
      <w:bookmarkStart w:id="8028" w:name="_Toc515794661"/>
      <w:bookmarkStart w:id="8029" w:name="_Toc515796418"/>
      <w:bookmarkStart w:id="8030" w:name="_Toc488244832"/>
      <w:bookmarkStart w:id="8031" w:name="_Toc488247952"/>
      <w:bookmarkStart w:id="8032" w:name="_Toc488248596"/>
      <w:bookmarkStart w:id="8033" w:name="_Toc488249212"/>
      <w:bookmarkStart w:id="8034" w:name="_Toc488249828"/>
      <w:bookmarkStart w:id="8035" w:name="_Toc488330316"/>
      <w:bookmarkStart w:id="8036" w:name="_Toc488387170"/>
      <w:bookmarkStart w:id="8037" w:name="_Toc488402629"/>
      <w:bookmarkStart w:id="8038" w:name="_Toc488403452"/>
      <w:bookmarkStart w:id="8039" w:name="_Toc488404281"/>
      <w:bookmarkStart w:id="8040" w:name="_Toc488405112"/>
      <w:bookmarkStart w:id="8041" w:name="_Toc488405935"/>
      <w:bookmarkStart w:id="8042" w:name="_Toc488406764"/>
      <w:bookmarkStart w:id="8043" w:name="_Toc491409995"/>
      <w:bookmarkStart w:id="8044" w:name="_Toc496018533"/>
      <w:bookmarkStart w:id="8045" w:name="_Toc515787752"/>
      <w:bookmarkStart w:id="8046" w:name="_Toc515789452"/>
      <w:bookmarkStart w:id="8047" w:name="_Toc515790301"/>
      <w:bookmarkStart w:id="8048" w:name="_Toc515791150"/>
      <w:bookmarkStart w:id="8049" w:name="_Toc515792005"/>
      <w:bookmarkStart w:id="8050" w:name="_Toc515792855"/>
      <w:bookmarkStart w:id="8051" w:name="_Toc515793757"/>
      <w:bookmarkStart w:id="8052" w:name="_Toc515794662"/>
      <w:bookmarkStart w:id="8053" w:name="_Toc515796419"/>
      <w:bookmarkStart w:id="8054" w:name="_Ref415493300"/>
      <w:bookmarkStart w:id="8055" w:name="_Toc39347947"/>
      <w:bookmarkStart w:id="8056" w:name="_Toc23087970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r w:rsidRPr="00466E26">
        <w:t>Etapas de la evaluación económica ambiental en el proceso de modificación de licencia</w:t>
      </w:r>
      <w:bookmarkEnd w:id="8054"/>
      <w:r w:rsidRPr="00466E26">
        <w:t xml:space="preserve"> ambiental</w:t>
      </w:r>
      <w:bookmarkEnd w:id="8055"/>
      <w:bookmarkEnd w:id="8056"/>
    </w:p>
    <w:p w14:paraId="2014F51D" w14:textId="77777777" w:rsidR="0056088F" w:rsidRPr="004068F6" w:rsidRDefault="0056088F" w:rsidP="00C86DA5"/>
    <w:p w14:paraId="146BFBE1" w14:textId="576BB3FD" w:rsidR="00DB4273" w:rsidRPr="004068F6" w:rsidRDefault="0056088F" w:rsidP="00C86DA5">
      <w:pPr>
        <w:tabs>
          <w:tab w:val="left" w:pos="-2268"/>
        </w:tabs>
        <w:suppressAutoHyphens/>
        <w:rPr>
          <w:spacing w:val="-3"/>
        </w:rPr>
      </w:pPr>
      <w:r w:rsidRPr="004068F6">
        <w:rPr>
          <w:rFonts w:cs="Arial"/>
          <w:spacing w:val="-3"/>
        </w:rPr>
        <w:t>La</w:t>
      </w:r>
      <w:r w:rsidRPr="004068F6">
        <w:rPr>
          <w:spacing w:val="-3"/>
        </w:rPr>
        <w:t xml:space="preserve"> información presentada para la solicitud de modificación de la licencia debe contener la descripción y evaluación de los nuevos impactos ambientales y la propuesta de modificación de</w:t>
      </w:r>
      <w:r w:rsidR="0014179C" w:rsidRPr="004068F6">
        <w:rPr>
          <w:spacing w:val="-3"/>
        </w:rPr>
        <w:t>l</w:t>
      </w:r>
      <w:r w:rsidRPr="004068F6">
        <w:rPr>
          <w:spacing w:val="-3"/>
        </w:rPr>
        <w:t xml:space="preserve"> PMA. </w:t>
      </w:r>
      <w:r w:rsidR="00DB4273" w:rsidRPr="004068F6">
        <w:rPr>
          <w:rFonts w:cs="Arial"/>
          <w:spacing w:val="-3"/>
        </w:rPr>
        <w:t xml:space="preserve">Esto </w:t>
      </w:r>
      <w:r w:rsidRPr="004068F6">
        <w:rPr>
          <w:rFonts w:cs="Arial"/>
          <w:spacing w:val="-3"/>
        </w:rPr>
        <w:t>implica, que</w:t>
      </w:r>
      <w:r w:rsidRPr="004068F6">
        <w:rPr>
          <w:spacing w:val="-3"/>
        </w:rPr>
        <w:t xml:space="preserve"> el análisis económico para el trámite de modificación de licencia debe seguir los pasos descritos en el numeral anterior (</w:t>
      </w:r>
      <w:r w:rsidR="009F53BD" w:rsidRPr="004068F6">
        <w:rPr>
          <w:rFonts w:cs="Arial"/>
          <w:spacing w:val="-3"/>
        </w:rPr>
        <w:fldChar w:fldCharType="begin"/>
      </w:r>
      <w:r w:rsidR="009F53BD" w:rsidRPr="004068F6">
        <w:rPr>
          <w:rFonts w:cs="Arial"/>
          <w:spacing w:val="-3"/>
        </w:rPr>
        <w:instrText xml:space="preserve"> REF _Ref42636652 \n \h  \* MERGEFORMAT </w:instrText>
      </w:r>
      <w:r w:rsidR="009F53BD" w:rsidRPr="004068F6">
        <w:rPr>
          <w:rFonts w:cs="Arial"/>
          <w:spacing w:val="-3"/>
        </w:rPr>
      </w:r>
      <w:r w:rsidR="009F53BD" w:rsidRPr="004068F6">
        <w:rPr>
          <w:rFonts w:cs="Arial"/>
          <w:spacing w:val="-3"/>
        </w:rPr>
        <w:fldChar w:fldCharType="separate"/>
      </w:r>
      <w:r w:rsidR="009C4A81">
        <w:rPr>
          <w:rFonts w:cs="Arial"/>
          <w:spacing w:val="-3"/>
        </w:rPr>
        <w:t>8.1.1</w:t>
      </w:r>
      <w:r w:rsidR="009F53BD" w:rsidRPr="004068F6">
        <w:rPr>
          <w:rFonts w:cs="Arial"/>
          <w:spacing w:val="-3"/>
        </w:rPr>
        <w:fldChar w:fldCharType="end"/>
      </w:r>
      <w:r w:rsidRPr="004068F6">
        <w:rPr>
          <w:rFonts w:cs="Arial"/>
          <w:spacing w:val="-3"/>
        </w:rPr>
        <w:t>),</w:t>
      </w:r>
      <w:r w:rsidRPr="004068F6">
        <w:rPr>
          <w:spacing w:val="-3"/>
        </w:rPr>
        <w:t xml:space="preserve"> </w:t>
      </w:r>
      <w:r w:rsidR="00DB4273" w:rsidRPr="004068F6">
        <w:rPr>
          <w:spacing w:val="-3"/>
        </w:rPr>
        <w:t>enfocándose</w:t>
      </w:r>
      <w:r w:rsidRPr="004068F6">
        <w:rPr>
          <w:spacing w:val="-3"/>
        </w:rPr>
        <w:t xml:space="preserve"> exclusivamente </w:t>
      </w:r>
      <w:r w:rsidR="00DB4273" w:rsidRPr="004068F6">
        <w:rPr>
          <w:spacing w:val="-3"/>
        </w:rPr>
        <w:lastRenderedPageBreak/>
        <w:t xml:space="preserve">en los </w:t>
      </w:r>
      <w:r w:rsidRPr="004068F6">
        <w:rPr>
          <w:spacing w:val="-3"/>
        </w:rPr>
        <w:t xml:space="preserve">impactos </w:t>
      </w:r>
      <w:r w:rsidRPr="004068F6">
        <w:rPr>
          <w:rFonts w:cs="Arial"/>
          <w:spacing w:val="-3"/>
        </w:rPr>
        <w:t xml:space="preserve">significativos </w:t>
      </w:r>
      <w:r w:rsidR="001154E3" w:rsidRPr="004068F6">
        <w:rPr>
          <w:rFonts w:cs="Arial"/>
          <w:spacing w:val="-3"/>
        </w:rPr>
        <w:t>generados</w:t>
      </w:r>
      <w:r w:rsidRPr="004068F6">
        <w:rPr>
          <w:rFonts w:cs="Arial"/>
          <w:spacing w:val="-3"/>
        </w:rPr>
        <w:t xml:space="preserve"> por la modificación</w:t>
      </w:r>
      <w:r w:rsidR="00DB4273" w:rsidRPr="004068F6">
        <w:rPr>
          <w:rFonts w:cs="Arial"/>
          <w:spacing w:val="-3"/>
        </w:rPr>
        <w:t xml:space="preserve">. </w:t>
      </w:r>
      <w:r w:rsidR="00DB4273" w:rsidRPr="004068F6">
        <w:rPr>
          <w:spacing w:val="-3"/>
        </w:rPr>
        <w:t>En este sentido, se deben considerar:</w:t>
      </w:r>
    </w:p>
    <w:p w14:paraId="52A58D4A" w14:textId="77777777" w:rsidR="00DB4273" w:rsidRPr="004068F6" w:rsidRDefault="00DB4273" w:rsidP="00C86DA5">
      <w:pPr>
        <w:tabs>
          <w:tab w:val="left" w:pos="-2268"/>
        </w:tabs>
        <w:suppressAutoHyphens/>
        <w:rPr>
          <w:spacing w:val="-3"/>
        </w:rPr>
      </w:pPr>
    </w:p>
    <w:p w14:paraId="1A45DDB9" w14:textId="17956643" w:rsidR="00DB4273" w:rsidRPr="00127BD4" w:rsidRDefault="00DB4273" w:rsidP="00127BD4">
      <w:pPr>
        <w:pStyle w:val="Prrafodelista"/>
        <w:numPr>
          <w:ilvl w:val="0"/>
          <w:numId w:val="756"/>
        </w:numPr>
        <w:tabs>
          <w:tab w:val="left" w:pos="-2268"/>
        </w:tabs>
        <w:suppressAutoHyphens/>
        <w:rPr>
          <w:spacing w:val="-3"/>
        </w:rPr>
      </w:pPr>
      <w:r w:rsidRPr="00127BD4">
        <w:rPr>
          <w:spacing w:val="-3"/>
          <w:lang w:val="es-CO"/>
        </w:rPr>
        <w:t xml:space="preserve">Los </w:t>
      </w:r>
      <w:r w:rsidR="0056088F" w:rsidRPr="00CD4321">
        <w:rPr>
          <w:spacing w:val="-3"/>
          <w:lang w:val="es-CO"/>
        </w:rPr>
        <w:t>nuevos impactos</w:t>
      </w:r>
      <w:r w:rsidR="0056088F" w:rsidRPr="00127BD4">
        <w:rPr>
          <w:spacing w:val="-3"/>
          <w:lang w:val="es-CO"/>
        </w:rPr>
        <w:t xml:space="preserve"> ambientales identifi</w:t>
      </w:r>
      <w:r w:rsidRPr="00127BD4">
        <w:rPr>
          <w:spacing w:val="-3"/>
          <w:lang w:val="es-CO"/>
        </w:rPr>
        <w:t xml:space="preserve">cados </w:t>
      </w:r>
      <w:r w:rsidR="0056088F" w:rsidRPr="00127BD4">
        <w:rPr>
          <w:spacing w:val="-3"/>
          <w:lang w:val="es-CO"/>
        </w:rPr>
        <w:t>como significativos</w:t>
      </w:r>
      <w:r w:rsidRPr="00127BD4">
        <w:rPr>
          <w:spacing w:val="-3"/>
          <w:lang w:val="es-CO"/>
        </w:rPr>
        <w:t>.</w:t>
      </w:r>
    </w:p>
    <w:p w14:paraId="5F7DDFB8" w14:textId="77777777" w:rsidR="00DB4273" w:rsidRPr="00127BD4" w:rsidRDefault="00DB4273" w:rsidP="00EB2D26">
      <w:pPr>
        <w:tabs>
          <w:tab w:val="left" w:pos="-2268"/>
        </w:tabs>
        <w:suppressAutoHyphens/>
        <w:rPr>
          <w:spacing w:val="-3"/>
        </w:rPr>
      </w:pPr>
    </w:p>
    <w:p w14:paraId="3DD28E0C" w14:textId="684EB01F" w:rsidR="00DB4273" w:rsidRPr="00127BD4" w:rsidRDefault="00DB4273" w:rsidP="00127BD4">
      <w:pPr>
        <w:pStyle w:val="Prrafodelista"/>
        <w:numPr>
          <w:ilvl w:val="0"/>
          <w:numId w:val="756"/>
        </w:numPr>
        <w:tabs>
          <w:tab w:val="left" w:pos="-2268"/>
        </w:tabs>
        <w:suppressAutoHyphens/>
        <w:rPr>
          <w:spacing w:val="-3"/>
        </w:rPr>
      </w:pPr>
      <w:r w:rsidRPr="00127BD4">
        <w:rPr>
          <w:spacing w:val="-3"/>
          <w:lang w:val="es-CO"/>
        </w:rPr>
        <w:t xml:space="preserve">Los </w:t>
      </w:r>
      <w:r w:rsidR="0056088F" w:rsidRPr="00127BD4">
        <w:rPr>
          <w:spacing w:val="-3"/>
          <w:lang w:val="es-CO"/>
        </w:rPr>
        <w:t>impactos ambientales que en la licencia vigente se catalogan como no significativos, pero que</w:t>
      </w:r>
      <w:r w:rsidRPr="00127BD4">
        <w:rPr>
          <w:spacing w:val="-3"/>
          <w:lang w:val="es-CO"/>
        </w:rPr>
        <w:t>,</w:t>
      </w:r>
      <w:r w:rsidR="0056088F" w:rsidRPr="00127BD4">
        <w:rPr>
          <w:spacing w:val="-3"/>
          <w:lang w:val="es-CO"/>
        </w:rPr>
        <w:t xml:space="preserve"> </w:t>
      </w:r>
      <w:r w:rsidRPr="00127BD4">
        <w:rPr>
          <w:spacing w:val="-3"/>
          <w:lang w:val="es-CO"/>
        </w:rPr>
        <w:t xml:space="preserve">debido a </w:t>
      </w:r>
      <w:r w:rsidR="0056088F" w:rsidRPr="00127BD4">
        <w:rPr>
          <w:spacing w:val="-3"/>
          <w:lang w:val="es-CO"/>
        </w:rPr>
        <w:t xml:space="preserve">la modificación, </w:t>
      </w:r>
      <w:r w:rsidRPr="00127BD4">
        <w:rPr>
          <w:spacing w:val="-3"/>
          <w:lang w:val="es-CO"/>
        </w:rPr>
        <w:t>adquieren un carácter significativo.</w:t>
      </w:r>
    </w:p>
    <w:p w14:paraId="62E086F0" w14:textId="77777777" w:rsidR="00DB4273" w:rsidRPr="00127BD4" w:rsidRDefault="00DB4273" w:rsidP="00EB2D26">
      <w:pPr>
        <w:tabs>
          <w:tab w:val="left" w:pos="-2268"/>
        </w:tabs>
        <w:suppressAutoHyphens/>
        <w:rPr>
          <w:spacing w:val="-3"/>
        </w:rPr>
      </w:pPr>
    </w:p>
    <w:p w14:paraId="5F0C201E" w14:textId="2DC78A00" w:rsidR="0056088F" w:rsidRPr="00CD4321" w:rsidRDefault="00DB4273" w:rsidP="00127BD4">
      <w:pPr>
        <w:pStyle w:val="Prrafodelista"/>
        <w:numPr>
          <w:ilvl w:val="0"/>
          <w:numId w:val="756"/>
        </w:numPr>
        <w:tabs>
          <w:tab w:val="left" w:pos="-2268"/>
        </w:tabs>
        <w:suppressAutoHyphens/>
        <w:rPr>
          <w:spacing w:val="-3"/>
        </w:rPr>
      </w:pPr>
      <w:r w:rsidRPr="00127BD4">
        <w:rPr>
          <w:spacing w:val="-3"/>
          <w:lang w:val="es-CO"/>
        </w:rPr>
        <w:t>Los impactos que, en la licencia vigente, son considerados como significativos y que continúan siéndolo con las actividades derivadas de la modificación.</w:t>
      </w:r>
    </w:p>
    <w:p w14:paraId="6F38FCC8" w14:textId="77777777" w:rsidR="0056088F" w:rsidRPr="004068F6" w:rsidRDefault="0056088F" w:rsidP="0056088F">
      <w:pPr>
        <w:tabs>
          <w:tab w:val="left" w:pos="-2268"/>
        </w:tabs>
        <w:suppressAutoHyphens/>
        <w:rPr>
          <w:rFonts w:cs="Arial"/>
        </w:rPr>
      </w:pPr>
    </w:p>
    <w:p w14:paraId="63C02A77" w14:textId="3848E4AD" w:rsidR="00DB4273" w:rsidRPr="004068F6" w:rsidRDefault="00DB4273" w:rsidP="0056088F">
      <w:pPr>
        <w:tabs>
          <w:tab w:val="left" w:pos="-2268"/>
        </w:tabs>
        <w:suppressAutoHyphens/>
        <w:rPr>
          <w:rFonts w:cs="Arial"/>
        </w:rPr>
      </w:pPr>
      <w:r w:rsidRPr="004068F6">
        <w:rPr>
          <w:rFonts w:cs="Arial"/>
        </w:rPr>
        <w:t xml:space="preserve">Lo anterior debe estar alineado con lo desarrollado en el numeral </w:t>
      </w:r>
      <w:r w:rsidRPr="004068F6">
        <w:rPr>
          <w:rFonts w:cs="Arial"/>
        </w:rPr>
        <w:fldChar w:fldCharType="begin"/>
      </w:r>
      <w:r w:rsidRPr="004068F6">
        <w:rPr>
          <w:rFonts w:cs="Arial"/>
        </w:rPr>
        <w:instrText xml:space="preserve"> REF _Ref208385587 \r \h </w:instrText>
      </w:r>
      <w:r w:rsidRPr="004068F6">
        <w:rPr>
          <w:rFonts w:cs="Arial"/>
        </w:rPr>
      </w:r>
      <w:r w:rsidRPr="004068F6">
        <w:rPr>
          <w:rFonts w:cs="Arial"/>
        </w:rPr>
        <w:fldChar w:fldCharType="separate"/>
      </w:r>
      <w:r w:rsidR="009C4A81">
        <w:rPr>
          <w:rFonts w:cs="Arial"/>
        </w:rPr>
        <w:t>7</w:t>
      </w:r>
      <w:r w:rsidRPr="004068F6">
        <w:rPr>
          <w:rFonts w:cs="Arial"/>
        </w:rPr>
        <w:fldChar w:fldCharType="end"/>
      </w:r>
      <w:r w:rsidRPr="004068F6">
        <w:rPr>
          <w:rFonts w:cs="Arial"/>
        </w:rPr>
        <w:t>: Evaluación Ambiental.</w:t>
      </w:r>
    </w:p>
    <w:p w14:paraId="75839117" w14:textId="77777777" w:rsidR="00DB4273" w:rsidRPr="004068F6" w:rsidRDefault="00DB4273" w:rsidP="0056088F">
      <w:pPr>
        <w:tabs>
          <w:tab w:val="left" w:pos="-2268"/>
        </w:tabs>
        <w:suppressAutoHyphens/>
        <w:rPr>
          <w:rFonts w:cs="Arial"/>
        </w:rPr>
      </w:pPr>
    </w:p>
    <w:p w14:paraId="78467558" w14:textId="59A8BBA3" w:rsidR="0056088F" w:rsidRPr="004068F6" w:rsidRDefault="002C7890" w:rsidP="0056088F">
      <w:pPr>
        <w:tabs>
          <w:tab w:val="left" w:pos="-2268"/>
        </w:tabs>
        <w:suppressAutoHyphens/>
        <w:rPr>
          <w:rFonts w:cs="Arial"/>
          <w:spacing w:val="-3"/>
        </w:rPr>
      </w:pPr>
      <w:r w:rsidRPr="004068F6">
        <w:rPr>
          <w:rFonts w:cs="Arial"/>
        </w:rPr>
        <w:t>S</w:t>
      </w:r>
      <w:r w:rsidR="00DD167E" w:rsidRPr="004068F6">
        <w:rPr>
          <w:rFonts w:cs="Arial"/>
        </w:rPr>
        <w:t xml:space="preserve">e </w:t>
      </w:r>
      <w:r w:rsidR="0056088F" w:rsidRPr="004068F6">
        <w:rPr>
          <w:rFonts w:cs="Arial"/>
        </w:rPr>
        <w:t xml:space="preserve">debe considerar </w:t>
      </w:r>
      <w:r w:rsidR="00DD167E" w:rsidRPr="004068F6">
        <w:rPr>
          <w:rFonts w:cs="Arial"/>
        </w:rPr>
        <w:t xml:space="preserve">que el análisis costo beneficio </w:t>
      </w:r>
      <w:r w:rsidRPr="004068F6">
        <w:rPr>
          <w:rFonts w:cs="Arial"/>
        </w:rPr>
        <w:t xml:space="preserve">en este caso corresponde a </w:t>
      </w:r>
      <w:r w:rsidR="00DD167E" w:rsidRPr="004068F6">
        <w:rPr>
          <w:rFonts w:cs="Arial"/>
        </w:rPr>
        <w:t xml:space="preserve">un análisis global del proyecto </w:t>
      </w:r>
      <w:r w:rsidR="00320C95" w:rsidRPr="004068F6">
        <w:rPr>
          <w:rFonts w:cs="Arial"/>
        </w:rPr>
        <w:t>(de la licencia</w:t>
      </w:r>
      <w:r w:rsidR="00DA5C62" w:rsidRPr="004068F6">
        <w:rPr>
          <w:rFonts w:cs="Arial"/>
        </w:rPr>
        <w:t>, de sus modificaciones</w:t>
      </w:r>
      <w:r w:rsidR="00320C95" w:rsidRPr="004068F6">
        <w:rPr>
          <w:rFonts w:cs="Arial"/>
        </w:rPr>
        <w:t xml:space="preserve"> y </w:t>
      </w:r>
      <w:r w:rsidR="00383CF8" w:rsidRPr="004068F6">
        <w:rPr>
          <w:rFonts w:cs="Arial"/>
        </w:rPr>
        <w:t xml:space="preserve">de </w:t>
      </w:r>
      <w:r w:rsidRPr="004068F6">
        <w:rPr>
          <w:rFonts w:cs="Arial"/>
        </w:rPr>
        <w:t xml:space="preserve">la modificación </w:t>
      </w:r>
      <w:r w:rsidR="00DA5C62" w:rsidRPr="004068F6">
        <w:rPr>
          <w:rFonts w:cs="Arial"/>
        </w:rPr>
        <w:t>objeto de evaluación</w:t>
      </w:r>
      <w:r w:rsidR="00320C95" w:rsidRPr="004068F6">
        <w:rPr>
          <w:rFonts w:cs="Arial"/>
        </w:rPr>
        <w:t>)</w:t>
      </w:r>
      <w:r w:rsidR="00FA3A7A" w:rsidRPr="004068F6">
        <w:rPr>
          <w:rFonts w:cs="Arial"/>
        </w:rPr>
        <w:t xml:space="preserve"> que </w:t>
      </w:r>
      <w:r w:rsidR="00881746" w:rsidRPr="004068F6">
        <w:rPr>
          <w:rFonts w:cs="Arial"/>
        </w:rPr>
        <w:t>aborda</w:t>
      </w:r>
      <w:r w:rsidR="00DD167E" w:rsidRPr="004068F6">
        <w:rPr>
          <w:rFonts w:cs="Arial"/>
        </w:rPr>
        <w:t xml:space="preserve"> </w:t>
      </w:r>
      <w:r w:rsidR="0056088F" w:rsidRPr="004068F6">
        <w:rPr>
          <w:rFonts w:cs="Arial"/>
        </w:rPr>
        <w:t xml:space="preserve">los impactos significativos identificados a partir de la incorporación de nuevas actividades o </w:t>
      </w:r>
      <w:r w:rsidR="004B53B8" w:rsidRPr="004068F6">
        <w:rPr>
          <w:rFonts w:cs="Arial"/>
        </w:rPr>
        <w:t xml:space="preserve">la </w:t>
      </w:r>
      <w:r w:rsidR="0056088F" w:rsidRPr="004068F6">
        <w:rPr>
          <w:rFonts w:cs="Arial"/>
        </w:rPr>
        <w:t>variación de las ya existentes</w:t>
      </w:r>
      <w:r w:rsidR="00EE02F3" w:rsidRPr="004068F6">
        <w:rPr>
          <w:rFonts w:cs="Arial"/>
        </w:rPr>
        <w:t xml:space="preserve"> y que </w:t>
      </w:r>
      <w:r w:rsidR="0056088F" w:rsidRPr="004068F6">
        <w:rPr>
          <w:rFonts w:cs="Arial"/>
        </w:rPr>
        <w:t xml:space="preserve">incluye los cambios solicitados en los permisos de uso y aprovechamiento de recursos u otro tipo de </w:t>
      </w:r>
      <w:r w:rsidR="004B53B8" w:rsidRPr="004068F6">
        <w:rPr>
          <w:rFonts w:cs="Arial"/>
        </w:rPr>
        <w:t xml:space="preserve">modificación </w:t>
      </w:r>
      <w:r w:rsidR="0056088F" w:rsidRPr="004068F6">
        <w:rPr>
          <w:rFonts w:cs="Arial"/>
        </w:rPr>
        <w:t>en la cuantificación biofísica resultado de las nuevas actividades de la solicitud de modificación del instrumento de manejo y control ambiental. En ese sentido, todo cambio en el dimensionamiento que implique impactos significativos</w:t>
      </w:r>
      <w:r w:rsidR="0056088F" w:rsidRPr="004068F6" w:rsidDel="00F32F4A">
        <w:rPr>
          <w:rFonts w:cs="Arial"/>
        </w:rPr>
        <w:t xml:space="preserve"> </w:t>
      </w:r>
      <w:r w:rsidR="0056088F" w:rsidRPr="004068F6">
        <w:rPr>
          <w:rFonts w:cs="Arial"/>
        </w:rPr>
        <w:t>debe quedar incorporado en la evaluación económica.</w:t>
      </w:r>
    </w:p>
    <w:p w14:paraId="4210B85D" w14:textId="77777777" w:rsidR="0056088F" w:rsidRPr="004068F6" w:rsidRDefault="0056088F" w:rsidP="0056088F">
      <w:pPr>
        <w:rPr>
          <w:rFonts w:cs="Arial"/>
        </w:rPr>
      </w:pPr>
    </w:p>
    <w:p w14:paraId="167DAA52" w14:textId="3E3472F6" w:rsidR="0056088F" w:rsidRPr="004068F6" w:rsidRDefault="0056088F">
      <w:pPr>
        <w:numPr>
          <w:ilvl w:val="12"/>
          <w:numId w:val="0"/>
        </w:numPr>
        <w:tabs>
          <w:tab w:val="left" w:pos="-2268"/>
        </w:tabs>
        <w:suppressAutoHyphens/>
      </w:pPr>
      <w:r w:rsidRPr="004068F6">
        <w:rPr>
          <w:rFonts w:cs="Arial"/>
        </w:rPr>
        <w:t>Para el caso de los impactos no internalizables</w:t>
      </w:r>
      <w:r w:rsidR="00E27186" w:rsidRPr="004068F6">
        <w:t xml:space="preserve"> </w:t>
      </w:r>
      <w:r w:rsidR="00E27186" w:rsidRPr="004068F6">
        <w:rPr>
          <w:rFonts w:cs="Arial"/>
        </w:rPr>
        <w:t xml:space="preserve">y de los </w:t>
      </w:r>
      <w:r w:rsidR="00EB2D26" w:rsidRPr="004068F6">
        <w:rPr>
          <w:rFonts w:cs="Arial"/>
        </w:rPr>
        <w:t xml:space="preserve">impactos </w:t>
      </w:r>
      <w:r w:rsidR="00E27186" w:rsidRPr="004068F6">
        <w:rPr>
          <w:rFonts w:cs="Arial"/>
        </w:rPr>
        <w:t>positivos</w:t>
      </w:r>
      <w:r w:rsidRPr="004068F6">
        <w:rPr>
          <w:rFonts w:cs="Arial"/>
        </w:rPr>
        <w:t xml:space="preserve">, el flujo de costos y beneficios </w:t>
      </w:r>
      <w:r w:rsidR="00EB2D26" w:rsidRPr="004068F6">
        <w:rPr>
          <w:rFonts w:cs="Arial"/>
        </w:rPr>
        <w:t xml:space="preserve">resultante </w:t>
      </w:r>
      <w:r w:rsidRPr="004068F6">
        <w:rPr>
          <w:rFonts w:cs="Arial"/>
        </w:rPr>
        <w:t xml:space="preserve">de la modificación debe </w:t>
      </w:r>
      <w:r w:rsidR="00EB2D26" w:rsidRPr="004068F6">
        <w:rPr>
          <w:rFonts w:cs="Arial"/>
        </w:rPr>
        <w:t>integrarse</w:t>
      </w:r>
      <w:r w:rsidRPr="004068F6">
        <w:rPr>
          <w:rFonts w:cs="Arial"/>
        </w:rPr>
        <w:t xml:space="preserve"> dentro del flujo económico del proyecto, obra o actividad </w:t>
      </w:r>
      <w:r w:rsidR="007B72EC" w:rsidRPr="004068F6">
        <w:rPr>
          <w:rFonts w:cs="Arial"/>
        </w:rPr>
        <w:t xml:space="preserve">previamente </w:t>
      </w:r>
      <w:r w:rsidRPr="004068F6">
        <w:rPr>
          <w:rFonts w:cs="Arial"/>
        </w:rPr>
        <w:t>licenciado o modifica</w:t>
      </w:r>
      <w:r w:rsidR="007B72EC" w:rsidRPr="004068F6">
        <w:rPr>
          <w:rFonts w:cs="Arial"/>
        </w:rPr>
        <w:t xml:space="preserve">do. Es fundamental discriminar </w:t>
      </w:r>
      <w:r w:rsidRPr="004068F6">
        <w:rPr>
          <w:rFonts w:cs="Arial"/>
        </w:rPr>
        <w:t>los valores asociados a cada trámite y estima</w:t>
      </w:r>
      <w:r w:rsidR="007B72EC" w:rsidRPr="004068F6">
        <w:rPr>
          <w:rFonts w:cs="Arial"/>
        </w:rPr>
        <w:t>r</w:t>
      </w:r>
      <w:r w:rsidRPr="004068F6">
        <w:rPr>
          <w:rFonts w:cs="Arial"/>
        </w:rPr>
        <w:t xml:space="preserve"> los indicadores económicos del análisis beneficio costo para el proyecto</w:t>
      </w:r>
      <w:r w:rsidR="00311679" w:rsidRPr="004068F6">
        <w:rPr>
          <w:spacing w:val="-3"/>
        </w:rPr>
        <w:t>, obra o actividad</w:t>
      </w:r>
      <w:r w:rsidRPr="004068F6">
        <w:rPr>
          <w:rFonts w:cs="Arial"/>
        </w:rPr>
        <w:t xml:space="preserve"> en su conjunto. </w:t>
      </w:r>
      <w:r w:rsidR="007B72EC" w:rsidRPr="004068F6">
        <w:rPr>
          <w:rFonts w:cs="Arial"/>
        </w:rPr>
        <w:t xml:space="preserve">Para ello, </w:t>
      </w:r>
      <w:r w:rsidRPr="004068F6">
        <w:rPr>
          <w:rFonts w:cs="Arial"/>
        </w:rPr>
        <w:t xml:space="preserve">todos los valores </w:t>
      </w:r>
      <w:r w:rsidR="007B72EC" w:rsidRPr="004068F6">
        <w:rPr>
          <w:rFonts w:cs="Arial"/>
        </w:rPr>
        <w:t xml:space="preserve">deben ser homogenizados </w:t>
      </w:r>
      <w:r w:rsidRPr="004068F6">
        <w:rPr>
          <w:rFonts w:cs="Arial"/>
        </w:rPr>
        <w:t>a un mismo año base</w:t>
      </w:r>
      <w:r w:rsidRPr="004068F6">
        <w:t>.</w:t>
      </w:r>
      <w:r w:rsidR="00DD030D" w:rsidRPr="004068F6">
        <w:t xml:space="preserve"> </w:t>
      </w:r>
      <w:r w:rsidR="00F42CAE" w:rsidRPr="004068F6">
        <w:rPr>
          <w:rFonts w:cs="Arial"/>
        </w:rPr>
        <w:t xml:space="preserve">Lo anterior es aplicable sólo a los proyectos, obras o actividades que ya incorporaban la EEA en su licencia o </w:t>
      </w:r>
      <w:r w:rsidR="0014179C" w:rsidRPr="004068F6">
        <w:rPr>
          <w:rFonts w:cs="Arial"/>
        </w:rPr>
        <w:t xml:space="preserve">en </w:t>
      </w:r>
      <w:r w:rsidR="00F42CAE" w:rsidRPr="004068F6">
        <w:rPr>
          <w:rFonts w:cs="Arial"/>
        </w:rPr>
        <w:t>modificaciones previas</w:t>
      </w:r>
      <w:r w:rsidR="0014179C" w:rsidRPr="004068F6">
        <w:rPr>
          <w:rFonts w:cs="Arial"/>
        </w:rPr>
        <w:t xml:space="preserve"> de su licencia</w:t>
      </w:r>
      <w:r w:rsidR="00DD030D" w:rsidRPr="004068F6">
        <w:rPr>
          <w:rFonts w:cs="Arial"/>
        </w:rPr>
        <w:t>.</w:t>
      </w:r>
    </w:p>
    <w:p w14:paraId="6DFBB9CB" w14:textId="77777777" w:rsidR="0056088F" w:rsidRPr="004068F6" w:rsidRDefault="0056088F">
      <w:pPr>
        <w:numPr>
          <w:ilvl w:val="12"/>
          <w:numId w:val="0"/>
        </w:numPr>
        <w:tabs>
          <w:tab w:val="left" w:pos="-2268"/>
        </w:tabs>
        <w:suppressAutoHyphens/>
        <w:rPr>
          <w:spacing w:val="-3"/>
        </w:rPr>
      </w:pPr>
    </w:p>
    <w:p w14:paraId="5F406B56" w14:textId="5418EC7B" w:rsidR="007B72EC" w:rsidRPr="004068F6" w:rsidRDefault="007B72EC" w:rsidP="0056088F">
      <w:pPr>
        <w:numPr>
          <w:ilvl w:val="12"/>
          <w:numId w:val="0"/>
        </w:numPr>
        <w:tabs>
          <w:tab w:val="left" w:pos="-2268"/>
        </w:tabs>
        <w:suppressAutoHyphens/>
        <w:rPr>
          <w:rFonts w:cs="Arial"/>
          <w:spacing w:val="-3"/>
        </w:rPr>
      </w:pPr>
      <w:r w:rsidRPr="004068F6">
        <w:rPr>
          <w:spacing w:val="-3"/>
        </w:rPr>
        <w:t xml:space="preserve">Cabe destacar que la valoración económica de los impactos globales no internalizables del proyecto (incluyendo la licencia inicial y todas sus modificaciones) debe contar con la aprobación de la autoridad ambiental, sin obligaciones abiertas en la etapa de seguimiento derivadas de la licencia o sus modificaciones. </w:t>
      </w:r>
    </w:p>
    <w:p w14:paraId="24FB8E0F" w14:textId="77777777" w:rsidR="007B72EC" w:rsidRPr="004068F6" w:rsidRDefault="007B72EC" w:rsidP="0056088F">
      <w:pPr>
        <w:numPr>
          <w:ilvl w:val="12"/>
          <w:numId w:val="0"/>
        </w:numPr>
        <w:tabs>
          <w:tab w:val="left" w:pos="-2268"/>
        </w:tabs>
        <w:suppressAutoHyphens/>
        <w:rPr>
          <w:rFonts w:cs="Arial"/>
          <w:spacing w:val="-3"/>
        </w:rPr>
      </w:pPr>
    </w:p>
    <w:p w14:paraId="05F89639" w14:textId="21D5D68E" w:rsidR="00642051" w:rsidRPr="004068F6" w:rsidRDefault="00D65031" w:rsidP="0056088F">
      <w:pPr>
        <w:numPr>
          <w:ilvl w:val="12"/>
          <w:numId w:val="0"/>
        </w:numPr>
        <w:tabs>
          <w:tab w:val="left" w:pos="-2268"/>
        </w:tabs>
        <w:suppressAutoHyphens/>
        <w:rPr>
          <w:rFonts w:cs="Arial"/>
          <w:spacing w:val="-3"/>
        </w:rPr>
      </w:pPr>
      <w:r w:rsidRPr="004068F6">
        <w:rPr>
          <w:rFonts w:cs="Arial"/>
          <w:spacing w:val="-3"/>
        </w:rPr>
        <w:t xml:space="preserve">Si la EEA señala un Valor Presente Neto (VPN) global negativo y una relación </w:t>
      </w:r>
      <w:r w:rsidR="007913A5" w:rsidRPr="004068F6">
        <w:rPr>
          <w:rFonts w:cs="Arial"/>
          <w:spacing w:val="-3"/>
        </w:rPr>
        <w:t>b</w:t>
      </w:r>
      <w:r w:rsidRPr="004068F6">
        <w:rPr>
          <w:rFonts w:cs="Arial"/>
          <w:spacing w:val="-3"/>
        </w:rPr>
        <w:t>eneficio</w:t>
      </w:r>
      <w:r w:rsidR="007913A5" w:rsidRPr="004068F6">
        <w:rPr>
          <w:rFonts w:cs="Arial"/>
          <w:spacing w:val="-3"/>
        </w:rPr>
        <w:t xml:space="preserve"> c</w:t>
      </w:r>
      <w:r w:rsidRPr="004068F6">
        <w:rPr>
          <w:rFonts w:cs="Arial"/>
          <w:spacing w:val="-3"/>
        </w:rPr>
        <w:t>osto inferior a uno, se deben verificar los causales de este resultado con el fin de revisar los impactos significativos</w:t>
      </w:r>
      <w:r w:rsidR="00914DDB" w:rsidRPr="004068F6">
        <w:rPr>
          <w:rFonts w:cs="Arial"/>
          <w:spacing w:val="-3"/>
        </w:rPr>
        <w:t xml:space="preserve"> negativos</w:t>
      </w:r>
      <w:r w:rsidRPr="004068F6">
        <w:rPr>
          <w:rFonts w:cs="Arial"/>
          <w:spacing w:val="-3"/>
        </w:rPr>
        <w:t xml:space="preserve">, su cuantificación biofísica, los beneficios presentados y las medidas de manejo que puedan internalizar impactos a través de </w:t>
      </w:r>
      <w:r w:rsidR="00BD17E2" w:rsidRPr="004068F6">
        <w:rPr>
          <w:rFonts w:cs="Arial"/>
          <w:spacing w:val="-3"/>
        </w:rPr>
        <w:t xml:space="preserve">su </w:t>
      </w:r>
      <w:r w:rsidRPr="004068F6">
        <w:rPr>
          <w:rFonts w:cs="Arial"/>
          <w:spacing w:val="-3"/>
        </w:rPr>
        <w:t xml:space="preserve">prevención y </w:t>
      </w:r>
      <w:r w:rsidRPr="004068F6">
        <w:rPr>
          <w:rFonts w:cs="Arial"/>
          <w:spacing w:val="-3"/>
        </w:rPr>
        <w:lastRenderedPageBreak/>
        <w:t>corrección</w:t>
      </w:r>
      <w:r w:rsidR="006B0B39">
        <w:rPr>
          <w:rFonts w:cs="Arial"/>
          <w:spacing w:val="-3"/>
        </w:rPr>
        <w:t xml:space="preserve">, así como de realizar modificaciones </w:t>
      </w:r>
      <w:r w:rsidR="006674DD">
        <w:rPr>
          <w:rFonts w:cs="Arial"/>
          <w:spacing w:val="-3"/>
        </w:rPr>
        <w:t>que mejoren el desempeño ambiental del proyecto que se busca modificar</w:t>
      </w:r>
      <w:r w:rsidR="007B72EC" w:rsidRPr="004068F6">
        <w:rPr>
          <w:rFonts w:cs="Arial"/>
          <w:spacing w:val="-3"/>
        </w:rPr>
        <w:t>.</w:t>
      </w:r>
    </w:p>
    <w:p w14:paraId="3C272F03" w14:textId="77777777" w:rsidR="00642051" w:rsidRPr="004068F6" w:rsidRDefault="00642051" w:rsidP="0056088F">
      <w:pPr>
        <w:numPr>
          <w:ilvl w:val="12"/>
          <w:numId w:val="0"/>
        </w:numPr>
        <w:tabs>
          <w:tab w:val="left" w:pos="-2268"/>
        </w:tabs>
        <w:suppressAutoHyphens/>
        <w:rPr>
          <w:rFonts w:cs="Arial"/>
          <w:spacing w:val="-3"/>
        </w:rPr>
      </w:pPr>
    </w:p>
    <w:p w14:paraId="6D138ED0" w14:textId="2394BDC9" w:rsidR="0056088F" w:rsidRPr="004068F6" w:rsidRDefault="007E3C84" w:rsidP="0056088F">
      <w:pPr>
        <w:numPr>
          <w:ilvl w:val="12"/>
          <w:numId w:val="0"/>
        </w:numPr>
        <w:tabs>
          <w:tab w:val="left" w:pos="-2268"/>
        </w:tabs>
        <w:suppressAutoHyphens/>
        <w:rPr>
          <w:rFonts w:cs="Arial"/>
          <w:spacing w:val="-3"/>
        </w:rPr>
      </w:pPr>
      <w:r w:rsidRPr="004068F6">
        <w:rPr>
          <w:rFonts w:cs="Arial"/>
          <w:spacing w:val="-3"/>
        </w:rPr>
        <w:t xml:space="preserve">En caso </w:t>
      </w:r>
      <w:r w:rsidR="007225E3" w:rsidRPr="004068F6">
        <w:rPr>
          <w:rFonts w:cs="Arial"/>
          <w:spacing w:val="-3"/>
        </w:rPr>
        <w:t xml:space="preserve">de que la evaluación ambiental demuestre que la modificación de la licencia </w:t>
      </w:r>
      <w:r w:rsidRPr="004068F6">
        <w:rPr>
          <w:rFonts w:cs="Arial"/>
          <w:spacing w:val="-3"/>
        </w:rPr>
        <w:t xml:space="preserve">no </w:t>
      </w:r>
      <w:r w:rsidR="00681E42" w:rsidRPr="004068F6">
        <w:rPr>
          <w:rFonts w:cs="Arial"/>
          <w:spacing w:val="-3"/>
        </w:rPr>
        <w:t>gener</w:t>
      </w:r>
      <w:r w:rsidR="007225E3" w:rsidRPr="004068F6">
        <w:rPr>
          <w:rFonts w:cs="Arial"/>
          <w:spacing w:val="-3"/>
        </w:rPr>
        <w:t>a</w:t>
      </w:r>
      <w:r w:rsidR="00681E42" w:rsidRPr="004068F6">
        <w:rPr>
          <w:rFonts w:cs="Arial"/>
          <w:spacing w:val="-3"/>
        </w:rPr>
        <w:t xml:space="preserve"> </w:t>
      </w:r>
      <w:r w:rsidRPr="004068F6">
        <w:rPr>
          <w:rFonts w:cs="Arial"/>
          <w:spacing w:val="-3"/>
        </w:rPr>
        <w:t xml:space="preserve">impactos </w:t>
      </w:r>
      <w:r w:rsidR="007225E3" w:rsidRPr="004068F6">
        <w:rPr>
          <w:rFonts w:cs="Arial"/>
          <w:spacing w:val="-3"/>
        </w:rPr>
        <w:t xml:space="preserve">ambientales </w:t>
      </w:r>
      <w:r w:rsidRPr="004068F6">
        <w:rPr>
          <w:rFonts w:cs="Arial"/>
          <w:spacing w:val="-3"/>
        </w:rPr>
        <w:t xml:space="preserve">significativos, no procede la </w:t>
      </w:r>
      <w:r w:rsidR="00681E42" w:rsidRPr="004068F6">
        <w:rPr>
          <w:rFonts w:cs="Arial"/>
          <w:spacing w:val="-3"/>
        </w:rPr>
        <w:t>EEA</w:t>
      </w:r>
      <w:r w:rsidRPr="004068F6">
        <w:rPr>
          <w:rFonts w:cs="Arial"/>
          <w:spacing w:val="-3"/>
        </w:rPr>
        <w:t xml:space="preserve">; no obstante, </w:t>
      </w:r>
      <w:r w:rsidR="00681E42" w:rsidRPr="004068F6">
        <w:rPr>
          <w:rFonts w:cs="Arial"/>
          <w:spacing w:val="-3"/>
        </w:rPr>
        <w:t xml:space="preserve">en el numeral del EIA que corresponda a la </w:t>
      </w:r>
      <w:r w:rsidRPr="004068F6">
        <w:rPr>
          <w:rFonts w:cs="Arial"/>
          <w:spacing w:val="-3"/>
        </w:rPr>
        <w:t xml:space="preserve">EEA </w:t>
      </w:r>
      <w:r w:rsidR="00681E42" w:rsidRPr="004068F6">
        <w:rPr>
          <w:rFonts w:cs="Arial"/>
          <w:spacing w:val="-3"/>
        </w:rPr>
        <w:t xml:space="preserve">se debe </w:t>
      </w:r>
      <w:r w:rsidRPr="004068F6">
        <w:rPr>
          <w:rFonts w:cs="Arial"/>
          <w:spacing w:val="-3"/>
        </w:rPr>
        <w:t>inclu</w:t>
      </w:r>
      <w:r w:rsidR="00681E42" w:rsidRPr="004068F6">
        <w:rPr>
          <w:rFonts w:cs="Arial"/>
          <w:spacing w:val="-3"/>
        </w:rPr>
        <w:t xml:space="preserve">ir </w:t>
      </w:r>
      <w:r w:rsidRPr="004068F6">
        <w:rPr>
          <w:rFonts w:cs="Arial"/>
          <w:spacing w:val="-3"/>
        </w:rPr>
        <w:t>el sustento correspondiente.</w:t>
      </w:r>
    </w:p>
    <w:p w14:paraId="5216FEB3" w14:textId="77777777" w:rsidR="00051B46" w:rsidRPr="004068F6" w:rsidRDefault="00051B46" w:rsidP="00C86DA5">
      <w:pPr>
        <w:tabs>
          <w:tab w:val="left" w:pos="-2268"/>
        </w:tabs>
        <w:suppressAutoHyphens/>
        <w:rPr>
          <w:spacing w:val="-3"/>
        </w:rPr>
      </w:pPr>
    </w:p>
    <w:p w14:paraId="0662C324" w14:textId="77777777" w:rsidR="00B11257" w:rsidRPr="004068F6" w:rsidRDefault="00B11257" w:rsidP="00C86DA5">
      <w:pPr>
        <w:tabs>
          <w:tab w:val="left" w:pos="-2268"/>
        </w:tabs>
        <w:suppressAutoHyphens/>
        <w:rPr>
          <w:spacing w:val="-3"/>
        </w:rPr>
      </w:pPr>
    </w:p>
    <w:p w14:paraId="130050F5" w14:textId="11D59F21" w:rsidR="0050289E" w:rsidRPr="004068F6" w:rsidRDefault="0050289E" w:rsidP="00696453">
      <w:pPr>
        <w:pStyle w:val="Ttulo1"/>
        <w:numPr>
          <w:ilvl w:val="0"/>
          <w:numId w:val="8"/>
        </w:numPr>
        <w:rPr>
          <w:lang w:val="es-CO"/>
        </w:rPr>
      </w:pPr>
      <w:bookmarkStart w:id="8057" w:name="_Toc488244834"/>
      <w:bookmarkStart w:id="8058" w:name="_Toc488247954"/>
      <w:bookmarkStart w:id="8059" w:name="_Toc488248598"/>
      <w:bookmarkStart w:id="8060" w:name="_Toc488249214"/>
      <w:bookmarkStart w:id="8061" w:name="_Toc488249830"/>
      <w:bookmarkStart w:id="8062" w:name="_Toc488330318"/>
      <w:bookmarkStart w:id="8063" w:name="_Toc488387172"/>
      <w:bookmarkStart w:id="8064" w:name="_Toc488402631"/>
      <w:bookmarkStart w:id="8065" w:name="_Toc488403454"/>
      <w:bookmarkStart w:id="8066" w:name="_Toc488404283"/>
      <w:bookmarkStart w:id="8067" w:name="_Toc488405114"/>
      <w:bookmarkStart w:id="8068" w:name="_Toc488405937"/>
      <w:bookmarkStart w:id="8069" w:name="_Toc488406766"/>
      <w:bookmarkStart w:id="8070" w:name="_Toc491409997"/>
      <w:bookmarkStart w:id="8071" w:name="_Toc496018535"/>
      <w:bookmarkStart w:id="8072" w:name="_Toc515787754"/>
      <w:bookmarkStart w:id="8073" w:name="_Toc515789454"/>
      <w:bookmarkStart w:id="8074" w:name="_Toc515790303"/>
      <w:bookmarkStart w:id="8075" w:name="_Toc515791152"/>
      <w:bookmarkStart w:id="8076" w:name="_Toc515792007"/>
      <w:bookmarkStart w:id="8077" w:name="_Toc515792857"/>
      <w:bookmarkStart w:id="8078" w:name="_Toc515793759"/>
      <w:bookmarkStart w:id="8079" w:name="_Toc515794664"/>
      <w:bookmarkStart w:id="8080" w:name="_Toc515796421"/>
      <w:bookmarkStart w:id="8081" w:name="_Toc488244835"/>
      <w:bookmarkStart w:id="8082" w:name="_Toc488247955"/>
      <w:bookmarkStart w:id="8083" w:name="_Toc488248599"/>
      <w:bookmarkStart w:id="8084" w:name="_Toc488249215"/>
      <w:bookmarkStart w:id="8085" w:name="_Toc488249831"/>
      <w:bookmarkStart w:id="8086" w:name="_Toc488330319"/>
      <w:bookmarkStart w:id="8087" w:name="_Toc488387173"/>
      <w:bookmarkStart w:id="8088" w:name="_Toc488402632"/>
      <w:bookmarkStart w:id="8089" w:name="_Toc488403455"/>
      <w:bookmarkStart w:id="8090" w:name="_Toc488404284"/>
      <w:bookmarkStart w:id="8091" w:name="_Toc488405115"/>
      <w:bookmarkStart w:id="8092" w:name="_Toc488405938"/>
      <w:bookmarkStart w:id="8093" w:name="_Toc488406767"/>
      <w:bookmarkStart w:id="8094" w:name="_Toc491409998"/>
      <w:bookmarkStart w:id="8095" w:name="_Toc496018536"/>
      <w:bookmarkStart w:id="8096" w:name="_Toc515787755"/>
      <w:bookmarkStart w:id="8097" w:name="_Toc515789455"/>
      <w:bookmarkStart w:id="8098" w:name="_Toc515790304"/>
      <w:bookmarkStart w:id="8099" w:name="_Toc515791153"/>
      <w:bookmarkStart w:id="8100" w:name="_Toc515792008"/>
      <w:bookmarkStart w:id="8101" w:name="_Toc515792858"/>
      <w:bookmarkStart w:id="8102" w:name="_Toc515793760"/>
      <w:bookmarkStart w:id="8103" w:name="_Toc515794665"/>
      <w:bookmarkStart w:id="8104" w:name="_Toc515796422"/>
      <w:bookmarkStart w:id="8105" w:name="_Toc488244836"/>
      <w:bookmarkStart w:id="8106" w:name="_Toc488247956"/>
      <w:bookmarkStart w:id="8107" w:name="_Toc488248600"/>
      <w:bookmarkStart w:id="8108" w:name="_Toc488249216"/>
      <w:bookmarkStart w:id="8109" w:name="_Toc488249832"/>
      <w:bookmarkStart w:id="8110" w:name="_Toc488330320"/>
      <w:bookmarkStart w:id="8111" w:name="_Toc488387174"/>
      <w:bookmarkStart w:id="8112" w:name="_Toc488402633"/>
      <w:bookmarkStart w:id="8113" w:name="_Toc488403456"/>
      <w:bookmarkStart w:id="8114" w:name="_Toc488404285"/>
      <w:bookmarkStart w:id="8115" w:name="_Toc488405116"/>
      <w:bookmarkStart w:id="8116" w:name="_Toc488405939"/>
      <w:bookmarkStart w:id="8117" w:name="_Toc488406768"/>
      <w:bookmarkStart w:id="8118" w:name="_Toc491409999"/>
      <w:bookmarkStart w:id="8119" w:name="_Toc496018537"/>
      <w:bookmarkStart w:id="8120" w:name="_Toc515787756"/>
      <w:bookmarkStart w:id="8121" w:name="_Toc515789456"/>
      <w:bookmarkStart w:id="8122" w:name="_Toc515790305"/>
      <w:bookmarkStart w:id="8123" w:name="_Toc515791154"/>
      <w:bookmarkStart w:id="8124" w:name="_Toc515792009"/>
      <w:bookmarkStart w:id="8125" w:name="_Toc515792859"/>
      <w:bookmarkStart w:id="8126" w:name="_Toc515793761"/>
      <w:bookmarkStart w:id="8127" w:name="_Toc515794666"/>
      <w:bookmarkStart w:id="8128" w:name="_Toc515796423"/>
      <w:bookmarkStart w:id="8129" w:name="_Toc488244837"/>
      <w:bookmarkStart w:id="8130" w:name="_Toc488247957"/>
      <w:bookmarkStart w:id="8131" w:name="_Toc488248601"/>
      <w:bookmarkStart w:id="8132" w:name="_Toc488249217"/>
      <w:bookmarkStart w:id="8133" w:name="_Toc488249833"/>
      <w:bookmarkStart w:id="8134" w:name="_Toc488330321"/>
      <w:bookmarkStart w:id="8135" w:name="_Toc488387175"/>
      <w:bookmarkStart w:id="8136" w:name="_Toc488402634"/>
      <w:bookmarkStart w:id="8137" w:name="_Toc488403457"/>
      <w:bookmarkStart w:id="8138" w:name="_Toc488404286"/>
      <w:bookmarkStart w:id="8139" w:name="_Toc488405117"/>
      <w:bookmarkStart w:id="8140" w:name="_Toc488405940"/>
      <w:bookmarkStart w:id="8141" w:name="_Toc488406769"/>
      <w:bookmarkStart w:id="8142" w:name="_Toc491410000"/>
      <w:bookmarkStart w:id="8143" w:name="_Toc496018538"/>
      <w:bookmarkStart w:id="8144" w:name="_Toc515787757"/>
      <w:bookmarkStart w:id="8145" w:name="_Toc515789457"/>
      <w:bookmarkStart w:id="8146" w:name="_Toc515790306"/>
      <w:bookmarkStart w:id="8147" w:name="_Toc515791155"/>
      <w:bookmarkStart w:id="8148" w:name="_Toc515792010"/>
      <w:bookmarkStart w:id="8149" w:name="_Toc515792860"/>
      <w:bookmarkStart w:id="8150" w:name="_Toc515793762"/>
      <w:bookmarkStart w:id="8151" w:name="_Toc515794667"/>
      <w:bookmarkStart w:id="8152" w:name="_Toc515796424"/>
      <w:bookmarkStart w:id="8153" w:name="_Toc488244838"/>
      <w:bookmarkStart w:id="8154" w:name="_Toc488247958"/>
      <w:bookmarkStart w:id="8155" w:name="_Toc488248602"/>
      <w:bookmarkStart w:id="8156" w:name="_Toc488249218"/>
      <w:bookmarkStart w:id="8157" w:name="_Toc488249834"/>
      <w:bookmarkStart w:id="8158" w:name="_Toc488330322"/>
      <w:bookmarkStart w:id="8159" w:name="_Toc488387176"/>
      <w:bookmarkStart w:id="8160" w:name="_Toc488402635"/>
      <w:bookmarkStart w:id="8161" w:name="_Toc488403458"/>
      <w:bookmarkStart w:id="8162" w:name="_Toc488404287"/>
      <w:bookmarkStart w:id="8163" w:name="_Toc488405118"/>
      <w:bookmarkStart w:id="8164" w:name="_Toc488405941"/>
      <w:bookmarkStart w:id="8165" w:name="_Toc488406770"/>
      <w:bookmarkStart w:id="8166" w:name="_Toc491410001"/>
      <w:bookmarkStart w:id="8167" w:name="_Toc496018539"/>
      <w:bookmarkStart w:id="8168" w:name="_Toc515787758"/>
      <w:bookmarkStart w:id="8169" w:name="_Toc515789458"/>
      <w:bookmarkStart w:id="8170" w:name="_Toc515790307"/>
      <w:bookmarkStart w:id="8171" w:name="_Toc515791156"/>
      <w:bookmarkStart w:id="8172" w:name="_Toc515792011"/>
      <w:bookmarkStart w:id="8173" w:name="_Toc515792861"/>
      <w:bookmarkStart w:id="8174" w:name="_Toc515793763"/>
      <w:bookmarkStart w:id="8175" w:name="_Toc515794668"/>
      <w:bookmarkStart w:id="8176" w:name="_Toc515796425"/>
      <w:bookmarkStart w:id="8177" w:name="_Toc488244839"/>
      <w:bookmarkStart w:id="8178" w:name="_Toc488247959"/>
      <w:bookmarkStart w:id="8179" w:name="_Toc488248603"/>
      <w:bookmarkStart w:id="8180" w:name="_Toc488249219"/>
      <w:bookmarkStart w:id="8181" w:name="_Toc488249835"/>
      <w:bookmarkStart w:id="8182" w:name="_Toc488330323"/>
      <w:bookmarkStart w:id="8183" w:name="_Toc488387177"/>
      <w:bookmarkStart w:id="8184" w:name="_Toc488402636"/>
      <w:bookmarkStart w:id="8185" w:name="_Toc488403459"/>
      <w:bookmarkStart w:id="8186" w:name="_Toc488404288"/>
      <w:bookmarkStart w:id="8187" w:name="_Toc488405119"/>
      <w:bookmarkStart w:id="8188" w:name="_Toc488405942"/>
      <w:bookmarkStart w:id="8189" w:name="_Toc488406771"/>
      <w:bookmarkStart w:id="8190" w:name="_Toc491410002"/>
      <w:bookmarkStart w:id="8191" w:name="_Toc496018540"/>
      <w:bookmarkStart w:id="8192" w:name="_Toc515787759"/>
      <w:bookmarkStart w:id="8193" w:name="_Toc515789459"/>
      <w:bookmarkStart w:id="8194" w:name="_Toc515790308"/>
      <w:bookmarkStart w:id="8195" w:name="_Toc515791157"/>
      <w:bookmarkStart w:id="8196" w:name="_Toc515792012"/>
      <w:bookmarkStart w:id="8197" w:name="_Toc515792862"/>
      <w:bookmarkStart w:id="8198" w:name="_Toc515793764"/>
      <w:bookmarkStart w:id="8199" w:name="_Toc515794669"/>
      <w:bookmarkStart w:id="8200" w:name="_Toc515796426"/>
      <w:bookmarkStart w:id="8201" w:name="_Toc488244840"/>
      <w:bookmarkStart w:id="8202" w:name="_Toc488247960"/>
      <w:bookmarkStart w:id="8203" w:name="_Toc488248604"/>
      <w:bookmarkStart w:id="8204" w:name="_Toc488249220"/>
      <w:bookmarkStart w:id="8205" w:name="_Toc488249836"/>
      <w:bookmarkStart w:id="8206" w:name="_Toc488330324"/>
      <w:bookmarkStart w:id="8207" w:name="_Toc488387178"/>
      <w:bookmarkStart w:id="8208" w:name="_Toc488402637"/>
      <w:bookmarkStart w:id="8209" w:name="_Toc488403460"/>
      <w:bookmarkStart w:id="8210" w:name="_Toc488404289"/>
      <w:bookmarkStart w:id="8211" w:name="_Toc488405120"/>
      <w:bookmarkStart w:id="8212" w:name="_Toc488405943"/>
      <w:bookmarkStart w:id="8213" w:name="_Toc488406772"/>
      <w:bookmarkStart w:id="8214" w:name="_Toc491410003"/>
      <w:bookmarkStart w:id="8215" w:name="_Toc496018541"/>
      <w:bookmarkStart w:id="8216" w:name="_Toc515787760"/>
      <w:bookmarkStart w:id="8217" w:name="_Toc515789460"/>
      <w:bookmarkStart w:id="8218" w:name="_Toc515790309"/>
      <w:bookmarkStart w:id="8219" w:name="_Toc515791158"/>
      <w:bookmarkStart w:id="8220" w:name="_Toc515792013"/>
      <w:bookmarkStart w:id="8221" w:name="_Toc515792863"/>
      <w:bookmarkStart w:id="8222" w:name="_Toc515793765"/>
      <w:bookmarkStart w:id="8223" w:name="_Toc515794670"/>
      <w:bookmarkStart w:id="8224" w:name="_Toc515796427"/>
      <w:bookmarkStart w:id="8225" w:name="_Toc488244841"/>
      <w:bookmarkStart w:id="8226" w:name="_Toc488247961"/>
      <w:bookmarkStart w:id="8227" w:name="_Toc488248605"/>
      <w:bookmarkStart w:id="8228" w:name="_Toc488249221"/>
      <w:bookmarkStart w:id="8229" w:name="_Toc488249837"/>
      <w:bookmarkStart w:id="8230" w:name="_Toc488330325"/>
      <w:bookmarkStart w:id="8231" w:name="_Toc488387179"/>
      <w:bookmarkStart w:id="8232" w:name="_Toc488402638"/>
      <w:bookmarkStart w:id="8233" w:name="_Toc488403461"/>
      <w:bookmarkStart w:id="8234" w:name="_Toc488404290"/>
      <w:bookmarkStart w:id="8235" w:name="_Toc488405121"/>
      <w:bookmarkStart w:id="8236" w:name="_Toc488405944"/>
      <w:bookmarkStart w:id="8237" w:name="_Toc488406773"/>
      <w:bookmarkStart w:id="8238" w:name="_Toc491410004"/>
      <w:bookmarkStart w:id="8239" w:name="_Toc496018542"/>
      <w:bookmarkStart w:id="8240" w:name="_Toc515787761"/>
      <w:bookmarkStart w:id="8241" w:name="_Toc515789461"/>
      <w:bookmarkStart w:id="8242" w:name="_Toc515790310"/>
      <w:bookmarkStart w:id="8243" w:name="_Toc515791159"/>
      <w:bookmarkStart w:id="8244" w:name="_Toc515792014"/>
      <w:bookmarkStart w:id="8245" w:name="_Toc515792864"/>
      <w:bookmarkStart w:id="8246" w:name="_Toc515793766"/>
      <w:bookmarkStart w:id="8247" w:name="_Toc515794671"/>
      <w:bookmarkStart w:id="8248" w:name="_Toc515796428"/>
      <w:bookmarkStart w:id="8249" w:name="_Toc488244842"/>
      <w:bookmarkStart w:id="8250" w:name="_Toc488247962"/>
      <w:bookmarkStart w:id="8251" w:name="_Toc488248606"/>
      <w:bookmarkStart w:id="8252" w:name="_Toc488249222"/>
      <w:bookmarkStart w:id="8253" w:name="_Toc488249838"/>
      <w:bookmarkStart w:id="8254" w:name="_Toc488330326"/>
      <w:bookmarkStart w:id="8255" w:name="_Toc488387180"/>
      <w:bookmarkStart w:id="8256" w:name="_Toc488402639"/>
      <w:bookmarkStart w:id="8257" w:name="_Toc488403462"/>
      <w:bookmarkStart w:id="8258" w:name="_Toc488404291"/>
      <w:bookmarkStart w:id="8259" w:name="_Toc488405122"/>
      <w:bookmarkStart w:id="8260" w:name="_Toc488405945"/>
      <w:bookmarkStart w:id="8261" w:name="_Toc488406774"/>
      <w:bookmarkStart w:id="8262" w:name="_Toc491410005"/>
      <w:bookmarkStart w:id="8263" w:name="_Toc496018543"/>
      <w:bookmarkStart w:id="8264" w:name="_Toc515787762"/>
      <w:bookmarkStart w:id="8265" w:name="_Toc515789462"/>
      <w:bookmarkStart w:id="8266" w:name="_Toc515790311"/>
      <w:bookmarkStart w:id="8267" w:name="_Toc515791160"/>
      <w:bookmarkStart w:id="8268" w:name="_Toc515792015"/>
      <w:bookmarkStart w:id="8269" w:name="_Toc515792865"/>
      <w:bookmarkStart w:id="8270" w:name="_Toc515793767"/>
      <w:bookmarkStart w:id="8271" w:name="_Toc515794672"/>
      <w:bookmarkStart w:id="8272" w:name="_Toc515796429"/>
      <w:bookmarkStart w:id="8273" w:name="_Toc488244843"/>
      <w:bookmarkStart w:id="8274" w:name="_Toc488247963"/>
      <w:bookmarkStart w:id="8275" w:name="_Toc488248607"/>
      <w:bookmarkStart w:id="8276" w:name="_Toc488249223"/>
      <w:bookmarkStart w:id="8277" w:name="_Toc488249839"/>
      <w:bookmarkStart w:id="8278" w:name="_Toc488330327"/>
      <w:bookmarkStart w:id="8279" w:name="_Toc488387181"/>
      <w:bookmarkStart w:id="8280" w:name="_Toc488402640"/>
      <w:bookmarkStart w:id="8281" w:name="_Toc488403463"/>
      <w:bookmarkStart w:id="8282" w:name="_Toc488404292"/>
      <w:bookmarkStart w:id="8283" w:name="_Toc488405123"/>
      <w:bookmarkStart w:id="8284" w:name="_Toc488405946"/>
      <w:bookmarkStart w:id="8285" w:name="_Toc488406775"/>
      <w:bookmarkStart w:id="8286" w:name="_Toc491410006"/>
      <w:bookmarkStart w:id="8287" w:name="_Toc496018544"/>
      <w:bookmarkStart w:id="8288" w:name="_Toc515787763"/>
      <w:bookmarkStart w:id="8289" w:name="_Toc515789463"/>
      <w:bookmarkStart w:id="8290" w:name="_Toc515790312"/>
      <w:bookmarkStart w:id="8291" w:name="_Toc515791161"/>
      <w:bookmarkStart w:id="8292" w:name="_Toc515792016"/>
      <w:bookmarkStart w:id="8293" w:name="_Toc515792866"/>
      <w:bookmarkStart w:id="8294" w:name="_Toc515793768"/>
      <w:bookmarkStart w:id="8295" w:name="_Toc515794673"/>
      <w:bookmarkStart w:id="8296" w:name="_Toc515796430"/>
      <w:bookmarkStart w:id="8297" w:name="_Toc488244844"/>
      <w:bookmarkStart w:id="8298" w:name="_Toc488247964"/>
      <w:bookmarkStart w:id="8299" w:name="_Toc488248608"/>
      <w:bookmarkStart w:id="8300" w:name="_Toc488249224"/>
      <w:bookmarkStart w:id="8301" w:name="_Toc488249840"/>
      <w:bookmarkStart w:id="8302" w:name="_Toc488330328"/>
      <w:bookmarkStart w:id="8303" w:name="_Toc488387182"/>
      <w:bookmarkStart w:id="8304" w:name="_Toc488402641"/>
      <w:bookmarkStart w:id="8305" w:name="_Toc488403464"/>
      <w:bookmarkStart w:id="8306" w:name="_Toc488404293"/>
      <w:bookmarkStart w:id="8307" w:name="_Toc488405124"/>
      <w:bookmarkStart w:id="8308" w:name="_Toc488405947"/>
      <w:bookmarkStart w:id="8309" w:name="_Toc488406776"/>
      <w:bookmarkStart w:id="8310" w:name="_Toc491410007"/>
      <w:bookmarkStart w:id="8311" w:name="_Toc496018545"/>
      <w:bookmarkStart w:id="8312" w:name="_Toc515787764"/>
      <w:bookmarkStart w:id="8313" w:name="_Toc515789464"/>
      <w:bookmarkStart w:id="8314" w:name="_Toc515790313"/>
      <w:bookmarkStart w:id="8315" w:name="_Toc515791162"/>
      <w:bookmarkStart w:id="8316" w:name="_Toc515792017"/>
      <w:bookmarkStart w:id="8317" w:name="_Toc515792867"/>
      <w:bookmarkStart w:id="8318" w:name="_Toc515793769"/>
      <w:bookmarkStart w:id="8319" w:name="_Toc515794674"/>
      <w:bookmarkStart w:id="8320" w:name="_Toc515796431"/>
      <w:bookmarkStart w:id="8321" w:name="_Toc488244845"/>
      <w:bookmarkStart w:id="8322" w:name="_Toc488247965"/>
      <w:bookmarkStart w:id="8323" w:name="_Toc488248609"/>
      <w:bookmarkStart w:id="8324" w:name="_Toc488249225"/>
      <w:bookmarkStart w:id="8325" w:name="_Toc488249841"/>
      <w:bookmarkStart w:id="8326" w:name="_Toc488330329"/>
      <w:bookmarkStart w:id="8327" w:name="_Toc488387183"/>
      <w:bookmarkStart w:id="8328" w:name="_Toc488402642"/>
      <w:bookmarkStart w:id="8329" w:name="_Toc488403465"/>
      <w:bookmarkStart w:id="8330" w:name="_Toc488404294"/>
      <w:bookmarkStart w:id="8331" w:name="_Toc488405125"/>
      <w:bookmarkStart w:id="8332" w:name="_Toc488405948"/>
      <w:bookmarkStart w:id="8333" w:name="_Toc488406777"/>
      <w:bookmarkStart w:id="8334" w:name="_Toc491410008"/>
      <w:bookmarkStart w:id="8335" w:name="_Toc496018546"/>
      <w:bookmarkStart w:id="8336" w:name="_Toc515787765"/>
      <w:bookmarkStart w:id="8337" w:name="_Toc515789465"/>
      <w:bookmarkStart w:id="8338" w:name="_Toc515790314"/>
      <w:bookmarkStart w:id="8339" w:name="_Toc515791163"/>
      <w:bookmarkStart w:id="8340" w:name="_Toc515792018"/>
      <w:bookmarkStart w:id="8341" w:name="_Toc515792868"/>
      <w:bookmarkStart w:id="8342" w:name="_Toc515793770"/>
      <w:bookmarkStart w:id="8343" w:name="_Toc515794675"/>
      <w:bookmarkStart w:id="8344" w:name="_Toc515796432"/>
      <w:bookmarkStart w:id="8345" w:name="_Toc488244846"/>
      <w:bookmarkStart w:id="8346" w:name="_Toc488247966"/>
      <w:bookmarkStart w:id="8347" w:name="_Toc488248610"/>
      <w:bookmarkStart w:id="8348" w:name="_Toc488249226"/>
      <w:bookmarkStart w:id="8349" w:name="_Toc488249842"/>
      <w:bookmarkStart w:id="8350" w:name="_Toc488330330"/>
      <w:bookmarkStart w:id="8351" w:name="_Toc488387184"/>
      <w:bookmarkStart w:id="8352" w:name="_Toc488402643"/>
      <w:bookmarkStart w:id="8353" w:name="_Toc488403466"/>
      <w:bookmarkStart w:id="8354" w:name="_Toc488404295"/>
      <w:bookmarkStart w:id="8355" w:name="_Toc488405126"/>
      <w:bookmarkStart w:id="8356" w:name="_Toc488405949"/>
      <w:bookmarkStart w:id="8357" w:name="_Toc488406778"/>
      <w:bookmarkStart w:id="8358" w:name="_Toc491410009"/>
      <w:bookmarkStart w:id="8359" w:name="_Toc496018547"/>
      <w:bookmarkStart w:id="8360" w:name="_Toc515787766"/>
      <w:bookmarkStart w:id="8361" w:name="_Toc515789466"/>
      <w:bookmarkStart w:id="8362" w:name="_Toc515790315"/>
      <w:bookmarkStart w:id="8363" w:name="_Toc515791164"/>
      <w:bookmarkStart w:id="8364" w:name="_Toc515792019"/>
      <w:bookmarkStart w:id="8365" w:name="_Toc515792869"/>
      <w:bookmarkStart w:id="8366" w:name="_Toc515793771"/>
      <w:bookmarkStart w:id="8367" w:name="_Toc515794676"/>
      <w:bookmarkStart w:id="8368" w:name="_Toc515796433"/>
      <w:bookmarkStart w:id="8369" w:name="_Toc488244847"/>
      <w:bookmarkStart w:id="8370" w:name="_Toc488247967"/>
      <w:bookmarkStart w:id="8371" w:name="_Toc488248611"/>
      <w:bookmarkStart w:id="8372" w:name="_Toc488249227"/>
      <w:bookmarkStart w:id="8373" w:name="_Toc488249843"/>
      <w:bookmarkStart w:id="8374" w:name="_Toc488330331"/>
      <w:bookmarkStart w:id="8375" w:name="_Toc488387185"/>
      <w:bookmarkStart w:id="8376" w:name="_Toc488402644"/>
      <w:bookmarkStart w:id="8377" w:name="_Toc488403467"/>
      <w:bookmarkStart w:id="8378" w:name="_Toc488404296"/>
      <w:bookmarkStart w:id="8379" w:name="_Toc488405127"/>
      <w:bookmarkStart w:id="8380" w:name="_Toc488405950"/>
      <w:bookmarkStart w:id="8381" w:name="_Toc488406779"/>
      <w:bookmarkStart w:id="8382" w:name="_Toc491410010"/>
      <w:bookmarkStart w:id="8383" w:name="_Toc496018548"/>
      <w:bookmarkStart w:id="8384" w:name="_Toc515787767"/>
      <w:bookmarkStart w:id="8385" w:name="_Toc515789467"/>
      <w:bookmarkStart w:id="8386" w:name="_Toc515790316"/>
      <w:bookmarkStart w:id="8387" w:name="_Toc515791165"/>
      <w:bookmarkStart w:id="8388" w:name="_Toc515792020"/>
      <w:bookmarkStart w:id="8389" w:name="_Toc515792870"/>
      <w:bookmarkStart w:id="8390" w:name="_Toc515793772"/>
      <w:bookmarkStart w:id="8391" w:name="_Toc515794677"/>
      <w:bookmarkStart w:id="8392" w:name="_Toc515796434"/>
      <w:bookmarkStart w:id="8393" w:name="_Toc488244848"/>
      <w:bookmarkStart w:id="8394" w:name="_Toc488247968"/>
      <w:bookmarkStart w:id="8395" w:name="_Toc488248612"/>
      <w:bookmarkStart w:id="8396" w:name="_Toc488249228"/>
      <w:bookmarkStart w:id="8397" w:name="_Toc488249844"/>
      <w:bookmarkStart w:id="8398" w:name="_Toc488330332"/>
      <w:bookmarkStart w:id="8399" w:name="_Toc488387186"/>
      <w:bookmarkStart w:id="8400" w:name="_Toc488402645"/>
      <w:bookmarkStart w:id="8401" w:name="_Toc488403468"/>
      <w:bookmarkStart w:id="8402" w:name="_Toc488404297"/>
      <w:bookmarkStart w:id="8403" w:name="_Toc488405128"/>
      <w:bookmarkStart w:id="8404" w:name="_Toc488405951"/>
      <w:bookmarkStart w:id="8405" w:name="_Toc488406780"/>
      <w:bookmarkStart w:id="8406" w:name="_Toc491410011"/>
      <w:bookmarkStart w:id="8407" w:name="_Toc496018549"/>
      <w:bookmarkStart w:id="8408" w:name="_Toc515787768"/>
      <w:bookmarkStart w:id="8409" w:name="_Toc515789468"/>
      <w:bookmarkStart w:id="8410" w:name="_Toc515790317"/>
      <w:bookmarkStart w:id="8411" w:name="_Toc515791166"/>
      <w:bookmarkStart w:id="8412" w:name="_Toc515792021"/>
      <w:bookmarkStart w:id="8413" w:name="_Toc515792871"/>
      <w:bookmarkStart w:id="8414" w:name="_Toc515793773"/>
      <w:bookmarkStart w:id="8415" w:name="_Toc515794678"/>
      <w:bookmarkStart w:id="8416" w:name="_Toc515796435"/>
      <w:bookmarkStart w:id="8417" w:name="_Toc488244849"/>
      <w:bookmarkStart w:id="8418" w:name="_Toc488247969"/>
      <w:bookmarkStart w:id="8419" w:name="_Toc488248613"/>
      <w:bookmarkStart w:id="8420" w:name="_Toc488249229"/>
      <w:bookmarkStart w:id="8421" w:name="_Toc488249845"/>
      <w:bookmarkStart w:id="8422" w:name="_Toc488330333"/>
      <w:bookmarkStart w:id="8423" w:name="_Toc488387187"/>
      <w:bookmarkStart w:id="8424" w:name="_Toc488402646"/>
      <w:bookmarkStart w:id="8425" w:name="_Toc488403469"/>
      <w:bookmarkStart w:id="8426" w:name="_Toc488404298"/>
      <w:bookmarkStart w:id="8427" w:name="_Toc488405129"/>
      <w:bookmarkStart w:id="8428" w:name="_Toc488405952"/>
      <w:bookmarkStart w:id="8429" w:name="_Toc488406781"/>
      <w:bookmarkStart w:id="8430" w:name="_Toc491410012"/>
      <w:bookmarkStart w:id="8431" w:name="_Toc496018550"/>
      <w:bookmarkStart w:id="8432" w:name="_Toc515787769"/>
      <w:bookmarkStart w:id="8433" w:name="_Toc515789469"/>
      <w:bookmarkStart w:id="8434" w:name="_Toc515790318"/>
      <w:bookmarkStart w:id="8435" w:name="_Toc515791167"/>
      <w:bookmarkStart w:id="8436" w:name="_Toc515792022"/>
      <w:bookmarkStart w:id="8437" w:name="_Toc515792872"/>
      <w:bookmarkStart w:id="8438" w:name="_Toc515793774"/>
      <w:bookmarkStart w:id="8439" w:name="_Toc515794679"/>
      <w:bookmarkStart w:id="8440" w:name="_Toc515796436"/>
      <w:bookmarkStart w:id="8441" w:name="_Toc488244850"/>
      <w:bookmarkStart w:id="8442" w:name="_Toc488247970"/>
      <w:bookmarkStart w:id="8443" w:name="_Toc488248614"/>
      <w:bookmarkStart w:id="8444" w:name="_Toc488249230"/>
      <w:bookmarkStart w:id="8445" w:name="_Toc488249846"/>
      <w:bookmarkStart w:id="8446" w:name="_Toc488330334"/>
      <w:bookmarkStart w:id="8447" w:name="_Toc488387188"/>
      <w:bookmarkStart w:id="8448" w:name="_Toc488402647"/>
      <w:bookmarkStart w:id="8449" w:name="_Toc488403470"/>
      <w:bookmarkStart w:id="8450" w:name="_Toc488404299"/>
      <w:bookmarkStart w:id="8451" w:name="_Toc488405130"/>
      <w:bookmarkStart w:id="8452" w:name="_Toc488405953"/>
      <w:bookmarkStart w:id="8453" w:name="_Toc488406782"/>
      <w:bookmarkStart w:id="8454" w:name="_Toc491410013"/>
      <w:bookmarkStart w:id="8455" w:name="_Toc496018551"/>
      <w:bookmarkStart w:id="8456" w:name="_Toc515787770"/>
      <w:bookmarkStart w:id="8457" w:name="_Toc515789470"/>
      <w:bookmarkStart w:id="8458" w:name="_Toc515790319"/>
      <w:bookmarkStart w:id="8459" w:name="_Toc515791168"/>
      <w:bookmarkStart w:id="8460" w:name="_Toc515792023"/>
      <w:bookmarkStart w:id="8461" w:name="_Toc515792873"/>
      <w:bookmarkStart w:id="8462" w:name="_Toc515793775"/>
      <w:bookmarkStart w:id="8463" w:name="_Toc515794680"/>
      <w:bookmarkStart w:id="8464" w:name="_Toc515796437"/>
      <w:bookmarkStart w:id="8465" w:name="_Toc488244851"/>
      <w:bookmarkStart w:id="8466" w:name="_Toc488247971"/>
      <w:bookmarkStart w:id="8467" w:name="_Toc488248615"/>
      <w:bookmarkStart w:id="8468" w:name="_Toc488249231"/>
      <w:bookmarkStart w:id="8469" w:name="_Toc488249847"/>
      <w:bookmarkStart w:id="8470" w:name="_Toc488330335"/>
      <w:bookmarkStart w:id="8471" w:name="_Toc488387189"/>
      <w:bookmarkStart w:id="8472" w:name="_Toc488402648"/>
      <w:bookmarkStart w:id="8473" w:name="_Toc488403471"/>
      <w:bookmarkStart w:id="8474" w:name="_Toc488404300"/>
      <w:bookmarkStart w:id="8475" w:name="_Toc488405131"/>
      <w:bookmarkStart w:id="8476" w:name="_Toc488405954"/>
      <w:bookmarkStart w:id="8477" w:name="_Toc488406783"/>
      <w:bookmarkStart w:id="8478" w:name="_Toc491410014"/>
      <w:bookmarkStart w:id="8479" w:name="_Toc496018552"/>
      <w:bookmarkStart w:id="8480" w:name="_Toc515787771"/>
      <w:bookmarkStart w:id="8481" w:name="_Toc515789471"/>
      <w:bookmarkStart w:id="8482" w:name="_Toc515790320"/>
      <w:bookmarkStart w:id="8483" w:name="_Toc515791169"/>
      <w:bookmarkStart w:id="8484" w:name="_Toc515792024"/>
      <w:bookmarkStart w:id="8485" w:name="_Toc515792874"/>
      <w:bookmarkStart w:id="8486" w:name="_Toc515793776"/>
      <w:bookmarkStart w:id="8487" w:name="_Toc515794681"/>
      <w:bookmarkStart w:id="8488" w:name="_Toc515796438"/>
      <w:bookmarkStart w:id="8489" w:name="_Toc488244852"/>
      <w:bookmarkStart w:id="8490" w:name="_Toc488247972"/>
      <w:bookmarkStart w:id="8491" w:name="_Toc488248616"/>
      <w:bookmarkStart w:id="8492" w:name="_Toc488249232"/>
      <w:bookmarkStart w:id="8493" w:name="_Toc488249848"/>
      <w:bookmarkStart w:id="8494" w:name="_Toc488330336"/>
      <w:bookmarkStart w:id="8495" w:name="_Toc488387190"/>
      <w:bookmarkStart w:id="8496" w:name="_Toc488402649"/>
      <w:bookmarkStart w:id="8497" w:name="_Toc488403472"/>
      <w:bookmarkStart w:id="8498" w:name="_Toc488404301"/>
      <w:bookmarkStart w:id="8499" w:name="_Toc488405132"/>
      <w:bookmarkStart w:id="8500" w:name="_Toc488405955"/>
      <w:bookmarkStart w:id="8501" w:name="_Toc488406784"/>
      <w:bookmarkStart w:id="8502" w:name="_Toc491410015"/>
      <w:bookmarkStart w:id="8503" w:name="_Toc496018553"/>
      <w:bookmarkStart w:id="8504" w:name="_Toc515787772"/>
      <w:bookmarkStart w:id="8505" w:name="_Toc515789472"/>
      <w:bookmarkStart w:id="8506" w:name="_Toc515790321"/>
      <w:bookmarkStart w:id="8507" w:name="_Toc515791170"/>
      <w:bookmarkStart w:id="8508" w:name="_Toc515792025"/>
      <w:bookmarkStart w:id="8509" w:name="_Toc515792875"/>
      <w:bookmarkStart w:id="8510" w:name="_Toc515793777"/>
      <w:bookmarkStart w:id="8511" w:name="_Toc515794682"/>
      <w:bookmarkStart w:id="8512" w:name="_Toc515796439"/>
      <w:bookmarkStart w:id="8513" w:name="_Toc488244853"/>
      <w:bookmarkStart w:id="8514" w:name="_Toc488247973"/>
      <w:bookmarkStart w:id="8515" w:name="_Toc488248617"/>
      <w:bookmarkStart w:id="8516" w:name="_Toc488249233"/>
      <w:bookmarkStart w:id="8517" w:name="_Toc488249849"/>
      <w:bookmarkStart w:id="8518" w:name="_Toc488330337"/>
      <w:bookmarkStart w:id="8519" w:name="_Toc488387191"/>
      <w:bookmarkStart w:id="8520" w:name="_Toc488402650"/>
      <w:bookmarkStart w:id="8521" w:name="_Toc488403473"/>
      <w:bookmarkStart w:id="8522" w:name="_Toc488404302"/>
      <w:bookmarkStart w:id="8523" w:name="_Toc488405133"/>
      <w:bookmarkStart w:id="8524" w:name="_Toc488405956"/>
      <w:bookmarkStart w:id="8525" w:name="_Toc488406785"/>
      <w:bookmarkStart w:id="8526" w:name="_Toc491410016"/>
      <w:bookmarkStart w:id="8527" w:name="_Toc496018554"/>
      <w:bookmarkStart w:id="8528" w:name="_Toc515787773"/>
      <w:bookmarkStart w:id="8529" w:name="_Toc515789473"/>
      <w:bookmarkStart w:id="8530" w:name="_Toc515790322"/>
      <w:bookmarkStart w:id="8531" w:name="_Toc515791171"/>
      <w:bookmarkStart w:id="8532" w:name="_Toc515792026"/>
      <w:bookmarkStart w:id="8533" w:name="_Toc515792876"/>
      <w:bookmarkStart w:id="8534" w:name="_Toc515793778"/>
      <w:bookmarkStart w:id="8535" w:name="_Toc515794683"/>
      <w:bookmarkStart w:id="8536" w:name="_Toc515796440"/>
      <w:bookmarkStart w:id="8537" w:name="_Toc488244854"/>
      <w:bookmarkStart w:id="8538" w:name="_Toc488247974"/>
      <w:bookmarkStart w:id="8539" w:name="_Toc488248618"/>
      <w:bookmarkStart w:id="8540" w:name="_Toc488249234"/>
      <w:bookmarkStart w:id="8541" w:name="_Toc488249850"/>
      <w:bookmarkStart w:id="8542" w:name="_Toc488330338"/>
      <w:bookmarkStart w:id="8543" w:name="_Toc488387192"/>
      <w:bookmarkStart w:id="8544" w:name="_Toc488402651"/>
      <w:bookmarkStart w:id="8545" w:name="_Toc488403474"/>
      <w:bookmarkStart w:id="8546" w:name="_Toc488404303"/>
      <w:bookmarkStart w:id="8547" w:name="_Toc488405134"/>
      <w:bookmarkStart w:id="8548" w:name="_Toc488405957"/>
      <w:bookmarkStart w:id="8549" w:name="_Toc488406786"/>
      <w:bookmarkStart w:id="8550" w:name="_Toc491410017"/>
      <w:bookmarkStart w:id="8551" w:name="_Toc496018555"/>
      <w:bookmarkStart w:id="8552" w:name="_Toc515787774"/>
      <w:bookmarkStart w:id="8553" w:name="_Toc515789474"/>
      <w:bookmarkStart w:id="8554" w:name="_Toc515790323"/>
      <w:bookmarkStart w:id="8555" w:name="_Toc515791172"/>
      <w:bookmarkStart w:id="8556" w:name="_Toc515792027"/>
      <w:bookmarkStart w:id="8557" w:name="_Toc515792877"/>
      <w:bookmarkStart w:id="8558" w:name="_Toc515793779"/>
      <w:bookmarkStart w:id="8559" w:name="_Toc515794684"/>
      <w:bookmarkStart w:id="8560" w:name="_Toc515796441"/>
      <w:bookmarkStart w:id="8561" w:name="_Toc488244855"/>
      <w:bookmarkStart w:id="8562" w:name="_Toc488247975"/>
      <w:bookmarkStart w:id="8563" w:name="_Toc488248619"/>
      <w:bookmarkStart w:id="8564" w:name="_Toc488249235"/>
      <w:bookmarkStart w:id="8565" w:name="_Toc488249851"/>
      <w:bookmarkStart w:id="8566" w:name="_Toc488330339"/>
      <w:bookmarkStart w:id="8567" w:name="_Toc488387193"/>
      <w:bookmarkStart w:id="8568" w:name="_Toc488402652"/>
      <w:bookmarkStart w:id="8569" w:name="_Toc488403475"/>
      <w:bookmarkStart w:id="8570" w:name="_Toc488404304"/>
      <w:bookmarkStart w:id="8571" w:name="_Toc488405135"/>
      <w:bookmarkStart w:id="8572" w:name="_Toc488405958"/>
      <w:bookmarkStart w:id="8573" w:name="_Toc488406787"/>
      <w:bookmarkStart w:id="8574" w:name="_Toc491410018"/>
      <w:bookmarkStart w:id="8575" w:name="_Toc496018556"/>
      <w:bookmarkStart w:id="8576" w:name="_Toc515787775"/>
      <w:bookmarkStart w:id="8577" w:name="_Toc515789475"/>
      <w:bookmarkStart w:id="8578" w:name="_Toc515790324"/>
      <w:bookmarkStart w:id="8579" w:name="_Toc515791173"/>
      <w:bookmarkStart w:id="8580" w:name="_Toc515792028"/>
      <w:bookmarkStart w:id="8581" w:name="_Toc515792878"/>
      <w:bookmarkStart w:id="8582" w:name="_Toc515793780"/>
      <w:bookmarkStart w:id="8583" w:name="_Toc515794685"/>
      <w:bookmarkStart w:id="8584" w:name="_Toc515796442"/>
      <w:bookmarkStart w:id="8585" w:name="_Toc488244856"/>
      <w:bookmarkStart w:id="8586" w:name="_Toc488247976"/>
      <w:bookmarkStart w:id="8587" w:name="_Toc488248620"/>
      <w:bookmarkStart w:id="8588" w:name="_Toc488249236"/>
      <w:bookmarkStart w:id="8589" w:name="_Toc488249852"/>
      <w:bookmarkStart w:id="8590" w:name="_Toc488330340"/>
      <w:bookmarkStart w:id="8591" w:name="_Toc488387194"/>
      <w:bookmarkStart w:id="8592" w:name="_Toc488402653"/>
      <w:bookmarkStart w:id="8593" w:name="_Toc488403476"/>
      <w:bookmarkStart w:id="8594" w:name="_Toc488404305"/>
      <w:bookmarkStart w:id="8595" w:name="_Toc488405136"/>
      <w:bookmarkStart w:id="8596" w:name="_Toc488405959"/>
      <w:bookmarkStart w:id="8597" w:name="_Toc488406788"/>
      <w:bookmarkStart w:id="8598" w:name="_Toc491410019"/>
      <w:bookmarkStart w:id="8599" w:name="_Toc496018557"/>
      <w:bookmarkStart w:id="8600" w:name="_Toc515787776"/>
      <w:bookmarkStart w:id="8601" w:name="_Toc515789476"/>
      <w:bookmarkStart w:id="8602" w:name="_Toc515790325"/>
      <w:bookmarkStart w:id="8603" w:name="_Toc515791174"/>
      <w:bookmarkStart w:id="8604" w:name="_Toc515792029"/>
      <w:bookmarkStart w:id="8605" w:name="_Toc515792879"/>
      <w:bookmarkStart w:id="8606" w:name="_Toc515793781"/>
      <w:bookmarkStart w:id="8607" w:name="_Toc515794686"/>
      <w:bookmarkStart w:id="8608" w:name="_Toc515796443"/>
      <w:bookmarkStart w:id="8609" w:name="_Toc488244857"/>
      <w:bookmarkStart w:id="8610" w:name="_Toc488247977"/>
      <w:bookmarkStart w:id="8611" w:name="_Toc488248621"/>
      <w:bookmarkStart w:id="8612" w:name="_Toc488249237"/>
      <w:bookmarkStart w:id="8613" w:name="_Toc488249853"/>
      <w:bookmarkStart w:id="8614" w:name="_Toc488330341"/>
      <w:bookmarkStart w:id="8615" w:name="_Toc488387195"/>
      <w:bookmarkStart w:id="8616" w:name="_Toc488402654"/>
      <w:bookmarkStart w:id="8617" w:name="_Toc488403477"/>
      <w:bookmarkStart w:id="8618" w:name="_Toc488404306"/>
      <w:bookmarkStart w:id="8619" w:name="_Toc488405137"/>
      <w:bookmarkStart w:id="8620" w:name="_Toc488405960"/>
      <w:bookmarkStart w:id="8621" w:name="_Toc488406789"/>
      <w:bookmarkStart w:id="8622" w:name="_Toc491410020"/>
      <w:bookmarkStart w:id="8623" w:name="_Toc496018558"/>
      <w:bookmarkStart w:id="8624" w:name="_Toc515787777"/>
      <w:bookmarkStart w:id="8625" w:name="_Toc515789477"/>
      <w:bookmarkStart w:id="8626" w:name="_Toc515790326"/>
      <w:bookmarkStart w:id="8627" w:name="_Toc515791175"/>
      <w:bookmarkStart w:id="8628" w:name="_Toc515792030"/>
      <w:bookmarkStart w:id="8629" w:name="_Toc515792880"/>
      <w:bookmarkStart w:id="8630" w:name="_Toc515793782"/>
      <w:bookmarkStart w:id="8631" w:name="_Toc515794687"/>
      <w:bookmarkStart w:id="8632" w:name="_Toc515796444"/>
      <w:bookmarkStart w:id="8633" w:name="_Toc488244858"/>
      <w:bookmarkStart w:id="8634" w:name="_Toc488247978"/>
      <w:bookmarkStart w:id="8635" w:name="_Toc488248622"/>
      <w:bookmarkStart w:id="8636" w:name="_Toc488249238"/>
      <w:bookmarkStart w:id="8637" w:name="_Toc488249854"/>
      <w:bookmarkStart w:id="8638" w:name="_Toc488330342"/>
      <w:bookmarkStart w:id="8639" w:name="_Toc488387196"/>
      <w:bookmarkStart w:id="8640" w:name="_Toc488402655"/>
      <w:bookmarkStart w:id="8641" w:name="_Toc488403478"/>
      <w:bookmarkStart w:id="8642" w:name="_Toc488404307"/>
      <w:bookmarkStart w:id="8643" w:name="_Toc488405138"/>
      <w:bookmarkStart w:id="8644" w:name="_Toc488405961"/>
      <w:bookmarkStart w:id="8645" w:name="_Toc488406790"/>
      <w:bookmarkStart w:id="8646" w:name="_Toc491410021"/>
      <w:bookmarkStart w:id="8647" w:name="_Toc496018559"/>
      <w:bookmarkStart w:id="8648" w:name="_Toc515787778"/>
      <w:bookmarkStart w:id="8649" w:name="_Toc515789478"/>
      <w:bookmarkStart w:id="8650" w:name="_Toc515790327"/>
      <w:bookmarkStart w:id="8651" w:name="_Toc515791176"/>
      <w:bookmarkStart w:id="8652" w:name="_Toc515792031"/>
      <w:bookmarkStart w:id="8653" w:name="_Toc515792881"/>
      <w:bookmarkStart w:id="8654" w:name="_Toc515793783"/>
      <w:bookmarkStart w:id="8655" w:name="_Toc515794688"/>
      <w:bookmarkStart w:id="8656" w:name="_Toc515796445"/>
      <w:bookmarkStart w:id="8657" w:name="_Toc488244859"/>
      <w:bookmarkStart w:id="8658" w:name="_Toc488247979"/>
      <w:bookmarkStart w:id="8659" w:name="_Toc488248623"/>
      <w:bookmarkStart w:id="8660" w:name="_Toc488249239"/>
      <w:bookmarkStart w:id="8661" w:name="_Toc488249855"/>
      <w:bookmarkStart w:id="8662" w:name="_Toc488330343"/>
      <w:bookmarkStart w:id="8663" w:name="_Toc488387197"/>
      <w:bookmarkStart w:id="8664" w:name="_Toc488402656"/>
      <w:bookmarkStart w:id="8665" w:name="_Toc488403479"/>
      <w:bookmarkStart w:id="8666" w:name="_Toc488404308"/>
      <w:bookmarkStart w:id="8667" w:name="_Toc488405139"/>
      <w:bookmarkStart w:id="8668" w:name="_Toc488405962"/>
      <w:bookmarkStart w:id="8669" w:name="_Toc488406791"/>
      <w:bookmarkStart w:id="8670" w:name="_Toc491410022"/>
      <w:bookmarkStart w:id="8671" w:name="_Toc496018560"/>
      <w:bookmarkStart w:id="8672" w:name="_Toc515787779"/>
      <w:bookmarkStart w:id="8673" w:name="_Toc515789479"/>
      <w:bookmarkStart w:id="8674" w:name="_Toc515790328"/>
      <w:bookmarkStart w:id="8675" w:name="_Toc515791177"/>
      <w:bookmarkStart w:id="8676" w:name="_Toc515792032"/>
      <w:bookmarkStart w:id="8677" w:name="_Toc515792882"/>
      <w:bookmarkStart w:id="8678" w:name="_Toc515793784"/>
      <w:bookmarkStart w:id="8679" w:name="_Toc515794689"/>
      <w:bookmarkStart w:id="8680" w:name="_Toc515796446"/>
      <w:bookmarkStart w:id="8681" w:name="_Toc488244860"/>
      <w:bookmarkStart w:id="8682" w:name="_Toc488247980"/>
      <w:bookmarkStart w:id="8683" w:name="_Toc488248624"/>
      <w:bookmarkStart w:id="8684" w:name="_Toc488249240"/>
      <w:bookmarkStart w:id="8685" w:name="_Toc488249856"/>
      <w:bookmarkStart w:id="8686" w:name="_Toc488330344"/>
      <w:bookmarkStart w:id="8687" w:name="_Toc488387198"/>
      <w:bookmarkStart w:id="8688" w:name="_Toc488402657"/>
      <w:bookmarkStart w:id="8689" w:name="_Toc488403480"/>
      <w:bookmarkStart w:id="8690" w:name="_Toc488404309"/>
      <w:bookmarkStart w:id="8691" w:name="_Toc488405140"/>
      <w:bookmarkStart w:id="8692" w:name="_Toc488405963"/>
      <w:bookmarkStart w:id="8693" w:name="_Toc488406792"/>
      <w:bookmarkStart w:id="8694" w:name="_Toc491410023"/>
      <w:bookmarkStart w:id="8695" w:name="_Toc496018561"/>
      <w:bookmarkStart w:id="8696" w:name="_Toc515787780"/>
      <w:bookmarkStart w:id="8697" w:name="_Toc515789480"/>
      <w:bookmarkStart w:id="8698" w:name="_Toc515790329"/>
      <w:bookmarkStart w:id="8699" w:name="_Toc515791178"/>
      <w:bookmarkStart w:id="8700" w:name="_Toc515792033"/>
      <w:bookmarkStart w:id="8701" w:name="_Toc515792883"/>
      <w:bookmarkStart w:id="8702" w:name="_Toc515793785"/>
      <w:bookmarkStart w:id="8703" w:name="_Toc515794690"/>
      <w:bookmarkStart w:id="8704" w:name="_Toc515796447"/>
      <w:bookmarkStart w:id="8705" w:name="_Toc488244951"/>
      <w:bookmarkStart w:id="8706" w:name="_Toc488248071"/>
      <w:bookmarkStart w:id="8707" w:name="_Toc488248715"/>
      <w:bookmarkStart w:id="8708" w:name="_Toc488249331"/>
      <w:bookmarkStart w:id="8709" w:name="_Toc488249947"/>
      <w:bookmarkStart w:id="8710" w:name="_Toc488330435"/>
      <w:bookmarkStart w:id="8711" w:name="_Toc488387289"/>
      <w:bookmarkStart w:id="8712" w:name="_Toc488402748"/>
      <w:bookmarkStart w:id="8713" w:name="_Toc488403571"/>
      <w:bookmarkStart w:id="8714" w:name="_Toc488404400"/>
      <w:bookmarkStart w:id="8715" w:name="_Toc488405231"/>
      <w:bookmarkStart w:id="8716" w:name="_Toc488406054"/>
      <w:bookmarkStart w:id="8717" w:name="_Toc488406883"/>
      <w:bookmarkStart w:id="8718" w:name="_Toc491410114"/>
      <w:bookmarkStart w:id="8719" w:name="_Toc496018652"/>
      <w:bookmarkStart w:id="8720" w:name="_Toc515787871"/>
      <w:bookmarkStart w:id="8721" w:name="_Toc515789571"/>
      <w:bookmarkStart w:id="8722" w:name="_Toc515790420"/>
      <w:bookmarkStart w:id="8723" w:name="_Toc515791269"/>
      <w:bookmarkStart w:id="8724" w:name="_Toc515792124"/>
      <w:bookmarkStart w:id="8725" w:name="_Toc515792974"/>
      <w:bookmarkStart w:id="8726" w:name="_Toc515793876"/>
      <w:bookmarkStart w:id="8727" w:name="_Toc515794781"/>
      <w:bookmarkStart w:id="8728" w:name="_Toc515796538"/>
      <w:bookmarkStart w:id="8729" w:name="_Toc488244952"/>
      <w:bookmarkStart w:id="8730" w:name="_Toc488248072"/>
      <w:bookmarkStart w:id="8731" w:name="_Toc488248716"/>
      <w:bookmarkStart w:id="8732" w:name="_Toc488249332"/>
      <w:bookmarkStart w:id="8733" w:name="_Toc488249948"/>
      <w:bookmarkStart w:id="8734" w:name="_Toc488330436"/>
      <w:bookmarkStart w:id="8735" w:name="_Toc488387290"/>
      <w:bookmarkStart w:id="8736" w:name="_Toc488402749"/>
      <w:bookmarkStart w:id="8737" w:name="_Toc488403572"/>
      <w:bookmarkStart w:id="8738" w:name="_Toc488404401"/>
      <w:bookmarkStart w:id="8739" w:name="_Toc488405232"/>
      <w:bookmarkStart w:id="8740" w:name="_Toc488406055"/>
      <w:bookmarkStart w:id="8741" w:name="_Toc488406884"/>
      <w:bookmarkStart w:id="8742" w:name="_Toc491410115"/>
      <w:bookmarkStart w:id="8743" w:name="_Toc496018653"/>
      <w:bookmarkStart w:id="8744" w:name="_Toc515787872"/>
      <w:bookmarkStart w:id="8745" w:name="_Toc515789572"/>
      <w:bookmarkStart w:id="8746" w:name="_Toc515790421"/>
      <w:bookmarkStart w:id="8747" w:name="_Toc515791270"/>
      <w:bookmarkStart w:id="8748" w:name="_Toc515792125"/>
      <w:bookmarkStart w:id="8749" w:name="_Toc515792975"/>
      <w:bookmarkStart w:id="8750" w:name="_Toc515793877"/>
      <w:bookmarkStart w:id="8751" w:name="_Toc515794782"/>
      <w:bookmarkStart w:id="8752" w:name="_Toc515796539"/>
      <w:bookmarkStart w:id="8753" w:name="_Toc488244953"/>
      <w:bookmarkStart w:id="8754" w:name="_Toc488248073"/>
      <w:bookmarkStart w:id="8755" w:name="_Toc488248717"/>
      <w:bookmarkStart w:id="8756" w:name="_Toc488249333"/>
      <w:bookmarkStart w:id="8757" w:name="_Toc488249949"/>
      <w:bookmarkStart w:id="8758" w:name="_Toc488330437"/>
      <w:bookmarkStart w:id="8759" w:name="_Toc488387291"/>
      <w:bookmarkStart w:id="8760" w:name="_Toc488402750"/>
      <w:bookmarkStart w:id="8761" w:name="_Toc488403573"/>
      <w:bookmarkStart w:id="8762" w:name="_Toc488404402"/>
      <w:bookmarkStart w:id="8763" w:name="_Toc488405233"/>
      <w:bookmarkStart w:id="8764" w:name="_Toc488406056"/>
      <w:bookmarkStart w:id="8765" w:name="_Toc488406885"/>
      <w:bookmarkStart w:id="8766" w:name="_Toc491410116"/>
      <w:bookmarkStart w:id="8767" w:name="_Toc496018654"/>
      <w:bookmarkStart w:id="8768" w:name="_Toc515787873"/>
      <w:bookmarkStart w:id="8769" w:name="_Toc515789573"/>
      <w:bookmarkStart w:id="8770" w:name="_Toc515790422"/>
      <w:bookmarkStart w:id="8771" w:name="_Toc515791271"/>
      <w:bookmarkStart w:id="8772" w:name="_Toc515792126"/>
      <w:bookmarkStart w:id="8773" w:name="_Toc515792976"/>
      <w:bookmarkStart w:id="8774" w:name="_Toc515793878"/>
      <w:bookmarkStart w:id="8775" w:name="_Toc515794783"/>
      <w:bookmarkStart w:id="8776" w:name="_Toc515796540"/>
      <w:bookmarkStart w:id="8777" w:name="_Toc488244954"/>
      <w:bookmarkStart w:id="8778" w:name="_Toc488248074"/>
      <w:bookmarkStart w:id="8779" w:name="_Toc488248718"/>
      <w:bookmarkStart w:id="8780" w:name="_Toc488249334"/>
      <w:bookmarkStart w:id="8781" w:name="_Toc488249950"/>
      <w:bookmarkStart w:id="8782" w:name="_Toc488330438"/>
      <w:bookmarkStart w:id="8783" w:name="_Toc488387292"/>
      <w:bookmarkStart w:id="8784" w:name="_Toc488402751"/>
      <w:bookmarkStart w:id="8785" w:name="_Toc488403574"/>
      <w:bookmarkStart w:id="8786" w:name="_Toc488404403"/>
      <w:bookmarkStart w:id="8787" w:name="_Toc488405234"/>
      <w:bookmarkStart w:id="8788" w:name="_Toc488406057"/>
      <w:bookmarkStart w:id="8789" w:name="_Toc488406886"/>
      <w:bookmarkStart w:id="8790" w:name="_Toc491410117"/>
      <w:bookmarkStart w:id="8791" w:name="_Toc496018655"/>
      <w:bookmarkStart w:id="8792" w:name="_Toc515787874"/>
      <w:bookmarkStart w:id="8793" w:name="_Toc515789574"/>
      <w:bookmarkStart w:id="8794" w:name="_Toc515790423"/>
      <w:bookmarkStart w:id="8795" w:name="_Toc515791272"/>
      <w:bookmarkStart w:id="8796" w:name="_Toc515792127"/>
      <w:bookmarkStart w:id="8797" w:name="_Toc515792977"/>
      <w:bookmarkStart w:id="8798" w:name="_Toc515793879"/>
      <w:bookmarkStart w:id="8799" w:name="_Toc515794784"/>
      <w:bookmarkStart w:id="8800" w:name="_Toc515796541"/>
      <w:bookmarkStart w:id="8801" w:name="_Toc488244955"/>
      <w:bookmarkStart w:id="8802" w:name="_Toc488248075"/>
      <w:bookmarkStart w:id="8803" w:name="_Toc488248719"/>
      <w:bookmarkStart w:id="8804" w:name="_Toc488249335"/>
      <w:bookmarkStart w:id="8805" w:name="_Toc488249951"/>
      <w:bookmarkStart w:id="8806" w:name="_Toc488330439"/>
      <w:bookmarkStart w:id="8807" w:name="_Toc488387293"/>
      <w:bookmarkStart w:id="8808" w:name="_Toc488402752"/>
      <w:bookmarkStart w:id="8809" w:name="_Toc488403575"/>
      <w:bookmarkStart w:id="8810" w:name="_Toc488404404"/>
      <w:bookmarkStart w:id="8811" w:name="_Toc488405235"/>
      <w:bookmarkStart w:id="8812" w:name="_Toc488406058"/>
      <w:bookmarkStart w:id="8813" w:name="_Toc488406887"/>
      <w:bookmarkStart w:id="8814" w:name="_Toc491410118"/>
      <w:bookmarkStart w:id="8815" w:name="_Toc496018656"/>
      <w:bookmarkStart w:id="8816" w:name="_Toc515787875"/>
      <w:bookmarkStart w:id="8817" w:name="_Toc515789575"/>
      <w:bookmarkStart w:id="8818" w:name="_Toc515790424"/>
      <w:bookmarkStart w:id="8819" w:name="_Toc515791273"/>
      <w:bookmarkStart w:id="8820" w:name="_Toc515792128"/>
      <w:bookmarkStart w:id="8821" w:name="_Toc515792978"/>
      <w:bookmarkStart w:id="8822" w:name="_Toc515793880"/>
      <w:bookmarkStart w:id="8823" w:name="_Toc515794785"/>
      <w:bookmarkStart w:id="8824" w:name="_Toc515796542"/>
      <w:bookmarkStart w:id="8825" w:name="_Toc488244956"/>
      <w:bookmarkStart w:id="8826" w:name="_Toc488248076"/>
      <w:bookmarkStart w:id="8827" w:name="_Toc488248720"/>
      <w:bookmarkStart w:id="8828" w:name="_Toc488249336"/>
      <w:bookmarkStart w:id="8829" w:name="_Toc488249952"/>
      <w:bookmarkStart w:id="8830" w:name="_Toc488330440"/>
      <w:bookmarkStart w:id="8831" w:name="_Toc488387294"/>
      <w:bookmarkStart w:id="8832" w:name="_Toc488402753"/>
      <w:bookmarkStart w:id="8833" w:name="_Toc488403576"/>
      <w:bookmarkStart w:id="8834" w:name="_Toc488404405"/>
      <w:bookmarkStart w:id="8835" w:name="_Toc488405236"/>
      <w:bookmarkStart w:id="8836" w:name="_Toc488406059"/>
      <w:bookmarkStart w:id="8837" w:name="_Toc488406888"/>
      <w:bookmarkStart w:id="8838" w:name="_Toc491410119"/>
      <w:bookmarkStart w:id="8839" w:name="_Toc496018657"/>
      <w:bookmarkStart w:id="8840" w:name="_Toc515787876"/>
      <w:bookmarkStart w:id="8841" w:name="_Toc515789576"/>
      <w:bookmarkStart w:id="8842" w:name="_Toc515790425"/>
      <w:bookmarkStart w:id="8843" w:name="_Toc515791274"/>
      <w:bookmarkStart w:id="8844" w:name="_Toc515792129"/>
      <w:bookmarkStart w:id="8845" w:name="_Toc515792979"/>
      <w:bookmarkStart w:id="8846" w:name="_Toc515793881"/>
      <w:bookmarkStart w:id="8847" w:name="_Toc515794786"/>
      <w:bookmarkStart w:id="8848" w:name="_Toc515796543"/>
      <w:bookmarkStart w:id="8849" w:name="_Toc488244957"/>
      <w:bookmarkStart w:id="8850" w:name="_Toc488248077"/>
      <w:bookmarkStart w:id="8851" w:name="_Toc488248721"/>
      <w:bookmarkStart w:id="8852" w:name="_Toc488249337"/>
      <w:bookmarkStart w:id="8853" w:name="_Toc488249953"/>
      <w:bookmarkStart w:id="8854" w:name="_Toc488330441"/>
      <w:bookmarkStart w:id="8855" w:name="_Toc488387295"/>
      <w:bookmarkStart w:id="8856" w:name="_Toc488402754"/>
      <w:bookmarkStart w:id="8857" w:name="_Toc488403577"/>
      <w:bookmarkStart w:id="8858" w:name="_Toc488404406"/>
      <w:bookmarkStart w:id="8859" w:name="_Toc488405237"/>
      <w:bookmarkStart w:id="8860" w:name="_Toc488406060"/>
      <w:bookmarkStart w:id="8861" w:name="_Toc488406889"/>
      <w:bookmarkStart w:id="8862" w:name="_Toc491410120"/>
      <w:bookmarkStart w:id="8863" w:name="_Toc496018658"/>
      <w:bookmarkStart w:id="8864" w:name="_Toc515787877"/>
      <w:bookmarkStart w:id="8865" w:name="_Toc515789577"/>
      <w:bookmarkStart w:id="8866" w:name="_Toc515790426"/>
      <w:bookmarkStart w:id="8867" w:name="_Toc515791275"/>
      <w:bookmarkStart w:id="8868" w:name="_Toc515792130"/>
      <w:bookmarkStart w:id="8869" w:name="_Toc515792980"/>
      <w:bookmarkStart w:id="8870" w:name="_Toc515793882"/>
      <w:bookmarkStart w:id="8871" w:name="_Toc515794787"/>
      <w:bookmarkStart w:id="8872" w:name="_Toc515796544"/>
      <w:bookmarkStart w:id="8873" w:name="_Toc488244958"/>
      <w:bookmarkStart w:id="8874" w:name="_Toc488248078"/>
      <w:bookmarkStart w:id="8875" w:name="_Toc488248722"/>
      <w:bookmarkStart w:id="8876" w:name="_Toc488249338"/>
      <w:bookmarkStart w:id="8877" w:name="_Toc488249954"/>
      <w:bookmarkStart w:id="8878" w:name="_Toc488330442"/>
      <w:bookmarkStart w:id="8879" w:name="_Toc488387296"/>
      <w:bookmarkStart w:id="8880" w:name="_Toc488402755"/>
      <w:bookmarkStart w:id="8881" w:name="_Toc488403578"/>
      <w:bookmarkStart w:id="8882" w:name="_Toc488404407"/>
      <w:bookmarkStart w:id="8883" w:name="_Toc488405238"/>
      <w:bookmarkStart w:id="8884" w:name="_Toc488406061"/>
      <w:bookmarkStart w:id="8885" w:name="_Toc488406890"/>
      <w:bookmarkStart w:id="8886" w:name="_Toc491410121"/>
      <w:bookmarkStart w:id="8887" w:name="_Toc496018659"/>
      <w:bookmarkStart w:id="8888" w:name="_Toc515787878"/>
      <w:bookmarkStart w:id="8889" w:name="_Toc515789578"/>
      <w:bookmarkStart w:id="8890" w:name="_Toc515790427"/>
      <w:bookmarkStart w:id="8891" w:name="_Toc515791276"/>
      <w:bookmarkStart w:id="8892" w:name="_Toc515792131"/>
      <w:bookmarkStart w:id="8893" w:name="_Toc515792981"/>
      <w:bookmarkStart w:id="8894" w:name="_Toc515793883"/>
      <w:bookmarkStart w:id="8895" w:name="_Toc515794788"/>
      <w:bookmarkStart w:id="8896" w:name="_Toc515796545"/>
      <w:bookmarkStart w:id="8897" w:name="_Toc488244959"/>
      <w:bookmarkStart w:id="8898" w:name="_Toc488248079"/>
      <w:bookmarkStart w:id="8899" w:name="_Toc488248723"/>
      <w:bookmarkStart w:id="8900" w:name="_Toc488249339"/>
      <w:bookmarkStart w:id="8901" w:name="_Toc488249955"/>
      <w:bookmarkStart w:id="8902" w:name="_Toc488330443"/>
      <w:bookmarkStart w:id="8903" w:name="_Toc488387297"/>
      <w:bookmarkStart w:id="8904" w:name="_Toc488402756"/>
      <w:bookmarkStart w:id="8905" w:name="_Toc488403579"/>
      <w:bookmarkStart w:id="8906" w:name="_Toc488404408"/>
      <w:bookmarkStart w:id="8907" w:name="_Toc488405239"/>
      <w:bookmarkStart w:id="8908" w:name="_Toc488406062"/>
      <w:bookmarkStart w:id="8909" w:name="_Toc488406891"/>
      <w:bookmarkStart w:id="8910" w:name="_Toc491410122"/>
      <w:bookmarkStart w:id="8911" w:name="_Toc496018660"/>
      <w:bookmarkStart w:id="8912" w:name="_Toc515787879"/>
      <w:bookmarkStart w:id="8913" w:name="_Toc515789579"/>
      <w:bookmarkStart w:id="8914" w:name="_Toc515790428"/>
      <w:bookmarkStart w:id="8915" w:name="_Toc515791277"/>
      <w:bookmarkStart w:id="8916" w:name="_Toc515792132"/>
      <w:bookmarkStart w:id="8917" w:name="_Toc515792982"/>
      <w:bookmarkStart w:id="8918" w:name="_Toc515793884"/>
      <w:bookmarkStart w:id="8919" w:name="_Toc515794789"/>
      <w:bookmarkStart w:id="8920" w:name="_Toc515796546"/>
      <w:bookmarkStart w:id="8921" w:name="_Toc488244960"/>
      <w:bookmarkStart w:id="8922" w:name="_Toc488248080"/>
      <w:bookmarkStart w:id="8923" w:name="_Toc488248724"/>
      <w:bookmarkStart w:id="8924" w:name="_Toc488249340"/>
      <w:bookmarkStart w:id="8925" w:name="_Toc488249956"/>
      <w:bookmarkStart w:id="8926" w:name="_Toc488330444"/>
      <w:bookmarkStart w:id="8927" w:name="_Toc488387298"/>
      <w:bookmarkStart w:id="8928" w:name="_Toc488402757"/>
      <w:bookmarkStart w:id="8929" w:name="_Toc488403580"/>
      <w:bookmarkStart w:id="8930" w:name="_Toc488404409"/>
      <w:bookmarkStart w:id="8931" w:name="_Toc488405240"/>
      <w:bookmarkStart w:id="8932" w:name="_Toc488406063"/>
      <w:bookmarkStart w:id="8933" w:name="_Toc488406892"/>
      <w:bookmarkStart w:id="8934" w:name="_Toc491410123"/>
      <w:bookmarkStart w:id="8935" w:name="_Toc496018661"/>
      <w:bookmarkStart w:id="8936" w:name="_Toc515787880"/>
      <w:bookmarkStart w:id="8937" w:name="_Toc515789580"/>
      <w:bookmarkStart w:id="8938" w:name="_Toc515790429"/>
      <w:bookmarkStart w:id="8939" w:name="_Toc515791278"/>
      <w:bookmarkStart w:id="8940" w:name="_Toc515792133"/>
      <w:bookmarkStart w:id="8941" w:name="_Toc515792983"/>
      <w:bookmarkStart w:id="8942" w:name="_Toc515793885"/>
      <w:bookmarkStart w:id="8943" w:name="_Toc515794790"/>
      <w:bookmarkStart w:id="8944" w:name="_Toc515796547"/>
      <w:bookmarkStart w:id="8945" w:name="_Toc488244961"/>
      <w:bookmarkStart w:id="8946" w:name="_Toc488248081"/>
      <w:bookmarkStart w:id="8947" w:name="_Toc488248725"/>
      <w:bookmarkStart w:id="8948" w:name="_Toc488249341"/>
      <w:bookmarkStart w:id="8949" w:name="_Toc488249957"/>
      <w:bookmarkStart w:id="8950" w:name="_Toc488330445"/>
      <w:bookmarkStart w:id="8951" w:name="_Toc488387299"/>
      <w:bookmarkStart w:id="8952" w:name="_Toc488402758"/>
      <w:bookmarkStart w:id="8953" w:name="_Toc488403581"/>
      <w:bookmarkStart w:id="8954" w:name="_Toc488404410"/>
      <w:bookmarkStart w:id="8955" w:name="_Toc488405241"/>
      <w:bookmarkStart w:id="8956" w:name="_Toc488406064"/>
      <w:bookmarkStart w:id="8957" w:name="_Toc488406893"/>
      <w:bookmarkStart w:id="8958" w:name="_Toc491410124"/>
      <w:bookmarkStart w:id="8959" w:name="_Toc496018662"/>
      <w:bookmarkStart w:id="8960" w:name="_Toc515787881"/>
      <w:bookmarkStart w:id="8961" w:name="_Toc515789581"/>
      <w:bookmarkStart w:id="8962" w:name="_Toc515790430"/>
      <w:bookmarkStart w:id="8963" w:name="_Toc515791279"/>
      <w:bookmarkStart w:id="8964" w:name="_Toc515792134"/>
      <w:bookmarkStart w:id="8965" w:name="_Toc515792984"/>
      <w:bookmarkStart w:id="8966" w:name="_Toc515793886"/>
      <w:bookmarkStart w:id="8967" w:name="_Toc515794791"/>
      <w:bookmarkStart w:id="8968" w:name="_Toc515796548"/>
      <w:bookmarkStart w:id="8969" w:name="_Toc488244962"/>
      <w:bookmarkStart w:id="8970" w:name="_Toc488248082"/>
      <w:bookmarkStart w:id="8971" w:name="_Toc488248726"/>
      <w:bookmarkStart w:id="8972" w:name="_Toc488249342"/>
      <w:bookmarkStart w:id="8973" w:name="_Toc488249958"/>
      <w:bookmarkStart w:id="8974" w:name="_Toc488330446"/>
      <w:bookmarkStart w:id="8975" w:name="_Toc488387300"/>
      <w:bookmarkStart w:id="8976" w:name="_Toc488402759"/>
      <w:bookmarkStart w:id="8977" w:name="_Toc488403582"/>
      <w:bookmarkStart w:id="8978" w:name="_Toc488404411"/>
      <w:bookmarkStart w:id="8979" w:name="_Toc488405242"/>
      <w:bookmarkStart w:id="8980" w:name="_Toc488406065"/>
      <w:bookmarkStart w:id="8981" w:name="_Toc488406894"/>
      <w:bookmarkStart w:id="8982" w:name="_Toc491410125"/>
      <w:bookmarkStart w:id="8983" w:name="_Toc496018663"/>
      <w:bookmarkStart w:id="8984" w:name="_Toc515787882"/>
      <w:bookmarkStart w:id="8985" w:name="_Toc515789582"/>
      <w:bookmarkStart w:id="8986" w:name="_Toc515790431"/>
      <w:bookmarkStart w:id="8987" w:name="_Toc515791280"/>
      <w:bookmarkStart w:id="8988" w:name="_Toc515792135"/>
      <w:bookmarkStart w:id="8989" w:name="_Toc515792985"/>
      <w:bookmarkStart w:id="8990" w:name="_Toc515793887"/>
      <w:bookmarkStart w:id="8991" w:name="_Toc515794792"/>
      <w:bookmarkStart w:id="8992" w:name="_Toc515796549"/>
      <w:bookmarkStart w:id="8993" w:name="_Toc488244963"/>
      <w:bookmarkStart w:id="8994" w:name="_Toc488248083"/>
      <w:bookmarkStart w:id="8995" w:name="_Toc488248727"/>
      <w:bookmarkStart w:id="8996" w:name="_Toc488249343"/>
      <w:bookmarkStart w:id="8997" w:name="_Toc488249959"/>
      <w:bookmarkStart w:id="8998" w:name="_Toc488330447"/>
      <w:bookmarkStart w:id="8999" w:name="_Toc488387301"/>
      <w:bookmarkStart w:id="9000" w:name="_Toc488402760"/>
      <w:bookmarkStart w:id="9001" w:name="_Toc488403583"/>
      <w:bookmarkStart w:id="9002" w:name="_Toc488404412"/>
      <w:bookmarkStart w:id="9003" w:name="_Toc488405243"/>
      <w:bookmarkStart w:id="9004" w:name="_Toc488406066"/>
      <w:bookmarkStart w:id="9005" w:name="_Toc488406895"/>
      <w:bookmarkStart w:id="9006" w:name="_Toc491410126"/>
      <w:bookmarkStart w:id="9007" w:name="_Toc496018664"/>
      <w:bookmarkStart w:id="9008" w:name="_Toc515787883"/>
      <w:bookmarkStart w:id="9009" w:name="_Toc515789583"/>
      <w:bookmarkStart w:id="9010" w:name="_Toc515790432"/>
      <w:bookmarkStart w:id="9011" w:name="_Toc515791281"/>
      <w:bookmarkStart w:id="9012" w:name="_Toc515792136"/>
      <w:bookmarkStart w:id="9013" w:name="_Toc515792986"/>
      <w:bookmarkStart w:id="9014" w:name="_Toc515793888"/>
      <w:bookmarkStart w:id="9015" w:name="_Toc515794793"/>
      <w:bookmarkStart w:id="9016" w:name="_Toc515796550"/>
      <w:bookmarkStart w:id="9017" w:name="_Toc488244964"/>
      <w:bookmarkStart w:id="9018" w:name="_Toc488248084"/>
      <w:bookmarkStart w:id="9019" w:name="_Toc488248728"/>
      <w:bookmarkStart w:id="9020" w:name="_Toc488249344"/>
      <w:bookmarkStart w:id="9021" w:name="_Toc488249960"/>
      <w:bookmarkStart w:id="9022" w:name="_Toc488330448"/>
      <w:bookmarkStart w:id="9023" w:name="_Toc488387302"/>
      <w:bookmarkStart w:id="9024" w:name="_Toc488402761"/>
      <w:bookmarkStart w:id="9025" w:name="_Toc488403584"/>
      <w:bookmarkStart w:id="9026" w:name="_Toc488404413"/>
      <w:bookmarkStart w:id="9027" w:name="_Toc488405244"/>
      <w:bookmarkStart w:id="9028" w:name="_Toc488406067"/>
      <w:bookmarkStart w:id="9029" w:name="_Toc488406896"/>
      <w:bookmarkStart w:id="9030" w:name="_Toc491410127"/>
      <w:bookmarkStart w:id="9031" w:name="_Toc496018665"/>
      <w:bookmarkStart w:id="9032" w:name="_Toc515787884"/>
      <w:bookmarkStart w:id="9033" w:name="_Toc515789584"/>
      <w:bookmarkStart w:id="9034" w:name="_Toc515790433"/>
      <w:bookmarkStart w:id="9035" w:name="_Toc515791282"/>
      <w:bookmarkStart w:id="9036" w:name="_Toc515792137"/>
      <w:bookmarkStart w:id="9037" w:name="_Toc515792987"/>
      <w:bookmarkStart w:id="9038" w:name="_Toc515793889"/>
      <w:bookmarkStart w:id="9039" w:name="_Toc515794794"/>
      <w:bookmarkStart w:id="9040" w:name="_Toc515796551"/>
      <w:bookmarkStart w:id="9041" w:name="_Toc488244965"/>
      <w:bookmarkStart w:id="9042" w:name="_Toc488248085"/>
      <w:bookmarkStart w:id="9043" w:name="_Toc488248729"/>
      <w:bookmarkStart w:id="9044" w:name="_Toc488249345"/>
      <w:bookmarkStart w:id="9045" w:name="_Toc488249961"/>
      <w:bookmarkStart w:id="9046" w:name="_Toc488330449"/>
      <w:bookmarkStart w:id="9047" w:name="_Toc488387303"/>
      <w:bookmarkStart w:id="9048" w:name="_Toc488402762"/>
      <w:bookmarkStart w:id="9049" w:name="_Toc488403585"/>
      <w:bookmarkStart w:id="9050" w:name="_Toc488404414"/>
      <w:bookmarkStart w:id="9051" w:name="_Toc488405245"/>
      <w:bookmarkStart w:id="9052" w:name="_Toc488406068"/>
      <w:bookmarkStart w:id="9053" w:name="_Toc488406897"/>
      <w:bookmarkStart w:id="9054" w:name="_Toc491410128"/>
      <w:bookmarkStart w:id="9055" w:name="_Toc496018666"/>
      <w:bookmarkStart w:id="9056" w:name="_Toc515787885"/>
      <w:bookmarkStart w:id="9057" w:name="_Toc515789585"/>
      <w:bookmarkStart w:id="9058" w:name="_Toc515790434"/>
      <w:bookmarkStart w:id="9059" w:name="_Toc515791283"/>
      <w:bookmarkStart w:id="9060" w:name="_Toc515792138"/>
      <w:bookmarkStart w:id="9061" w:name="_Toc515792988"/>
      <w:bookmarkStart w:id="9062" w:name="_Toc515793890"/>
      <w:bookmarkStart w:id="9063" w:name="_Toc515794795"/>
      <w:bookmarkStart w:id="9064" w:name="_Toc515796552"/>
      <w:bookmarkStart w:id="9065" w:name="_Toc488244966"/>
      <w:bookmarkStart w:id="9066" w:name="_Toc488248086"/>
      <w:bookmarkStart w:id="9067" w:name="_Toc488248730"/>
      <w:bookmarkStart w:id="9068" w:name="_Toc488249346"/>
      <w:bookmarkStart w:id="9069" w:name="_Toc488249962"/>
      <w:bookmarkStart w:id="9070" w:name="_Toc488330450"/>
      <w:bookmarkStart w:id="9071" w:name="_Toc488387304"/>
      <w:bookmarkStart w:id="9072" w:name="_Toc488402763"/>
      <w:bookmarkStart w:id="9073" w:name="_Toc488403586"/>
      <w:bookmarkStart w:id="9074" w:name="_Toc488404415"/>
      <w:bookmarkStart w:id="9075" w:name="_Toc488405246"/>
      <w:bookmarkStart w:id="9076" w:name="_Toc488406069"/>
      <w:bookmarkStart w:id="9077" w:name="_Toc488406898"/>
      <w:bookmarkStart w:id="9078" w:name="_Toc491410129"/>
      <w:bookmarkStart w:id="9079" w:name="_Toc496018667"/>
      <w:bookmarkStart w:id="9080" w:name="_Toc515787886"/>
      <w:bookmarkStart w:id="9081" w:name="_Toc515789586"/>
      <w:bookmarkStart w:id="9082" w:name="_Toc515790435"/>
      <w:bookmarkStart w:id="9083" w:name="_Toc515791284"/>
      <w:bookmarkStart w:id="9084" w:name="_Toc515792139"/>
      <w:bookmarkStart w:id="9085" w:name="_Toc515792989"/>
      <w:bookmarkStart w:id="9086" w:name="_Toc515793891"/>
      <w:bookmarkStart w:id="9087" w:name="_Toc515794796"/>
      <w:bookmarkStart w:id="9088" w:name="_Toc515796553"/>
      <w:bookmarkStart w:id="9089" w:name="_Toc488244967"/>
      <w:bookmarkStart w:id="9090" w:name="_Toc488248087"/>
      <w:bookmarkStart w:id="9091" w:name="_Toc488248731"/>
      <w:bookmarkStart w:id="9092" w:name="_Toc488249347"/>
      <w:bookmarkStart w:id="9093" w:name="_Toc488249963"/>
      <w:bookmarkStart w:id="9094" w:name="_Toc488330451"/>
      <w:bookmarkStart w:id="9095" w:name="_Toc488387305"/>
      <w:bookmarkStart w:id="9096" w:name="_Toc488402764"/>
      <w:bookmarkStart w:id="9097" w:name="_Toc488403587"/>
      <w:bookmarkStart w:id="9098" w:name="_Toc488404416"/>
      <w:bookmarkStart w:id="9099" w:name="_Toc488405247"/>
      <w:bookmarkStart w:id="9100" w:name="_Toc488406070"/>
      <w:bookmarkStart w:id="9101" w:name="_Toc488406899"/>
      <w:bookmarkStart w:id="9102" w:name="_Toc491410130"/>
      <w:bookmarkStart w:id="9103" w:name="_Toc496018668"/>
      <w:bookmarkStart w:id="9104" w:name="_Toc515787887"/>
      <w:bookmarkStart w:id="9105" w:name="_Toc515789587"/>
      <w:bookmarkStart w:id="9106" w:name="_Toc515790436"/>
      <w:bookmarkStart w:id="9107" w:name="_Toc515791285"/>
      <w:bookmarkStart w:id="9108" w:name="_Toc515792140"/>
      <w:bookmarkStart w:id="9109" w:name="_Toc515792990"/>
      <w:bookmarkStart w:id="9110" w:name="_Toc515793892"/>
      <w:bookmarkStart w:id="9111" w:name="_Toc515794797"/>
      <w:bookmarkStart w:id="9112" w:name="_Toc515796554"/>
      <w:bookmarkStart w:id="9113" w:name="_Toc488244968"/>
      <w:bookmarkStart w:id="9114" w:name="_Toc488248088"/>
      <w:bookmarkStart w:id="9115" w:name="_Toc488248732"/>
      <w:bookmarkStart w:id="9116" w:name="_Toc488249348"/>
      <w:bookmarkStart w:id="9117" w:name="_Toc488249964"/>
      <w:bookmarkStart w:id="9118" w:name="_Toc488330452"/>
      <w:bookmarkStart w:id="9119" w:name="_Toc488387306"/>
      <w:bookmarkStart w:id="9120" w:name="_Toc488402765"/>
      <w:bookmarkStart w:id="9121" w:name="_Toc488403588"/>
      <w:bookmarkStart w:id="9122" w:name="_Toc488404417"/>
      <w:bookmarkStart w:id="9123" w:name="_Toc488405248"/>
      <w:bookmarkStart w:id="9124" w:name="_Toc488406071"/>
      <w:bookmarkStart w:id="9125" w:name="_Toc488406900"/>
      <w:bookmarkStart w:id="9126" w:name="_Toc491410131"/>
      <w:bookmarkStart w:id="9127" w:name="_Toc496018669"/>
      <w:bookmarkStart w:id="9128" w:name="_Toc515787888"/>
      <w:bookmarkStart w:id="9129" w:name="_Toc515789588"/>
      <w:bookmarkStart w:id="9130" w:name="_Toc515790437"/>
      <w:bookmarkStart w:id="9131" w:name="_Toc515791286"/>
      <w:bookmarkStart w:id="9132" w:name="_Toc515792141"/>
      <w:bookmarkStart w:id="9133" w:name="_Toc515792991"/>
      <w:bookmarkStart w:id="9134" w:name="_Toc515793893"/>
      <w:bookmarkStart w:id="9135" w:name="_Toc515794798"/>
      <w:bookmarkStart w:id="9136" w:name="_Toc515796555"/>
      <w:bookmarkStart w:id="9137" w:name="_Toc488244969"/>
      <w:bookmarkStart w:id="9138" w:name="_Toc488248089"/>
      <w:bookmarkStart w:id="9139" w:name="_Toc488248733"/>
      <w:bookmarkStart w:id="9140" w:name="_Toc488249349"/>
      <w:bookmarkStart w:id="9141" w:name="_Toc488249965"/>
      <w:bookmarkStart w:id="9142" w:name="_Toc488330453"/>
      <w:bookmarkStart w:id="9143" w:name="_Toc488387307"/>
      <w:bookmarkStart w:id="9144" w:name="_Toc488402766"/>
      <w:bookmarkStart w:id="9145" w:name="_Toc488403589"/>
      <w:bookmarkStart w:id="9146" w:name="_Toc488404418"/>
      <w:bookmarkStart w:id="9147" w:name="_Toc488405249"/>
      <w:bookmarkStart w:id="9148" w:name="_Toc488406072"/>
      <w:bookmarkStart w:id="9149" w:name="_Toc488406901"/>
      <w:bookmarkStart w:id="9150" w:name="_Toc491410132"/>
      <w:bookmarkStart w:id="9151" w:name="_Toc496018670"/>
      <w:bookmarkStart w:id="9152" w:name="_Toc515787889"/>
      <w:bookmarkStart w:id="9153" w:name="_Toc515789589"/>
      <w:bookmarkStart w:id="9154" w:name="_Toc515790438"/>
      <w:bookmarkStart w:id="9155" w:name="_Toc515791287"/>
      <w:bookmarkStart w:id="9156" w:name="_Toc515792142"/>
      <w:bookmarkStart w:id="9157" w:name="_Toc515792992"/>
      <w:bookmarkStart w:id="9158" w:name="_Toc515793894"/>
      <w:bookmarkStart w:id="9159" w:name="_Toc515794799"/>
      <w:bookmarkStart w:id="9160" w:name="_Toc515796556"/>
      <w:bookmarkStart w:id="9161" w:name="_Toc488244970"/>
      <w:bookmarkStart w:id="9162" w:name="_Toc488248090"/>
      <w:bookmarkStart w:id="9163" w:name="_Toc488248734"/>
      <w:bookmarkStart w:id="9164" w:name="_Toc488249350"/>
      <w:bookmarkStart w:id="9165" w:name="_Toc488249966"/>
      <w:bookmarkStart w:id="9166" w:name="_Toc488330454"/>
      <w:bookmarkStart w:id="9167" w:name="_Toc488387308"/>
      <w:bookmarkStart w:id="9168" w:name="_Toc488402767"/>
      <w:bookmarkStart w:id="9169" w:name="_Toc488403590"/>
      <w:bookmarkStart w:id="9170" w:name="_Toc488404419"/>
      <w:bookmarkStart w:id="9171" w:name="_Toc488405250"/>
      <w:bookmarkStart w:id="9172" w:name="_Toc488406073"/>
      <w:bookmarkStart w:id="9173" w:name="_Toc488406902"/>
      <w:bookmarkStart w:id="9174" w:name="_Toc491410133"/>
      <w:bookmarkStart w:id="9175" w:name="_Toc496018671"/>
      <w:bookmarkStart w:id="9176" w:name="_Toc515787890"/>
      <w:bookmarkStart w:id="9177" w:name="_Toc515789590"/>
      <w:bookmarkStart w:id="9178" w:name="_Toc515790439"/>
      <w:bookmarkStart w:id="9179" w:name="_Toc515791288"/>
      <w:bookmarkStart w:id="9180" w:name="_Toc515792143"/>
      <w:bookmarkStart w:id="9181" w:name="_Toc515792993"/>
      <w:bookmarkStart w:id="9182" w:name="_Toc515793895"/>
      <w:bookmarkStart w:id="9183" w:name="_Toc515794800"/>
      <w:bookmarkStart w:id="9184" w:name="_Toc515796557"/>
      <w:bookmarkStart w:id="9185" w:name="_Toc488244971"/>
      <w:bookmarkStart w:id="9186" w:name="_Toc488248091"/>
      <w:bookmarkStart w:id="9187" w:name="_Toc488248735"/>
      <w:bookmarkStart w:id="9188" w:name="_Toc488249351"/>
      <w:bookmarkStart w:id="9189" w:name="_Toc488249967"/>
      <w:bookmarkStart w:id="9190" w:name="_Toc488330455"/>
      <w:bookmarkStart w:id="9191" w:name="_Toc488387309"/>
      <w:bookmarkStart w:id="9192" w:name="_Toc488402768"/>
      <w:bookmarkStart w:id="9193" w:name="_Toc488403591"/>
      <w:bookmarkStart w:id="9194" w:name="_Toc488404420"/>
      <w:bookmarkStart w:id="9195" w:name="_Toc488405251"/>
      <w:bookmarkStart w:id="9196" w:name="_Toc488406074"/>
      <w:bookmarkStart w:id="9197" w:name="_Toc488406903"/>
      <w:bookmarkStart w:id="9198" w:name="_Toc491410134"/>
      <w:bookmarkStart w:id="9199" w:name="_Toc496018672"/>
      <w:bookmarkStart w:id="9200" w:name="_Toc515787891"/>
      <w:bookmarkStart w:id="9201" w:name="_Toc515789591"/>
      <w:bookmarkStart w:id="9202" w:name="_Toc515790440"/>
      <w:bookmarkStart w:id="9203" w:name="_Toc515791289"/>
      <w:bookmarkStart w:id="9204" w:name="_Toc515792144"/>
      <w:bookmarkStart w:id="9205" w:name="_Toc515792994"/>
      <w:bookmarkStart w:id="9206" w:name="_Toc515793896"/>
      <w:bookmarkStart w:id="9207" w:name="_Toc515794801"/>
      <w:bookmarkStart w:id="9208" w:name="_Toc515796558"/>
      <w:bookmarkStart w:id="9209" w:name="_Toc488244972"/>
      <w:bookmarkStart w:id="9210" w:name="_Toc488248092"/>
      <w:bookmarkStart w:id="9211" w:name="_Toc488248736"/>
      <w:bookmarkStart w:id="9212" w:name="_Toc488249352"/>
      <w:bookmarkStart w:id="9213" w:name="_Toc488249968"/>
      <w:bookmarkStart w:id="9214" w:name="_Toc488330456"/>
      <w:bookmarkStart w:id="9215" w:name="_Toc488387310"/>
      <w:bookmarkStart w:id="9216" w:name="_Toc488402769"/>
      <w:bookmarkStart w:id="9217" w:name="_Toc488403592"/>
      <w:bookmarkStart w:id="9218" w:name="_Toc488404421"/>
      <w:bookmarkStart w:id="9219" w:name="_Toc488405252"/>
      <w:bookmarkStart w:id="9220" w:name="_Toc488406075"/>
      <w:bookmarkStart w:id="9221" w:name="_Toc488406904"/>
      <w:bookmarkStart w:id="9222" w:name="_Toc491410135"/>
      <w:bookmarkStart w:id="9223" w:name="_Toc496018673"/>
      <w:bookmarkStart w:id="9224" w:name="_Toc515787892"/>
      <w:bookmarkStart w:id="9225" w:name="_Toc515789592"/>
      <w:bookmarkStart w:id="9226" w:name="_Toc515790441"/>
      <w:bookmarkStart w:id="9227" w:name="_Toc515791290"/>
      <w:bookmarkStart w:id="9228" w:name="_Toc515792145"/>
      <w:bookmarkStart w:id="9229" w:name="_Toc515792995"/>
      <w:bookmarkStart w:id="9230" w:name="_Toc515793897"/>
      <w:bookmarkStart w:id="9231" w:name="_Toc515794802"/>
      <w:bookmarkStart w:id="9232" w:name="_Toc515796559"/>
      <w:bookmarkStart w:id="9233" w:name="_Toc488244973"/>
      <w:bookmarkStart w:id="9234" w:name="_Toc488248093"/>
      <w:bookmarkStart w:id="9235" w:name="_Toc488248737"/>
      <w:bookmarkStart w:id="9236" w:name="_Toc488249353"/>
      <w:bookmarkStart w:id="9237" w:name="_Toc488249969"/>
      <w:bookmarkStart w:id="9238" w:name="_Toc488330457"/>
      <w:bookmarkStart w:id="9239" w:name="_Toc488387311"/>
      <w:bookmarkStart w:id="9240" w:name="_Toc488402770"/>
      <w:bookmarkStart w:id="9241" w:name="_Toc488403593"/>
      <w:bookmarkStart w:id="9242" w:name="_Toc488404422"/>
      <w:bookmarkStart w:id="9243" w:name="_Toc488405253"/>
      <w:bookmarkStart w:id="9244" w:name="_Toc488406076"/>
      <w:bookmarkStart w:id="9245" w:name="_Toc488406905"/>
      <w:bookmarkStart w:id="9246" w:name="_Toc491410136"/>
      <w:bookmarkStart w:id="9247" w:name="_Toc496018674"/>
      <w:bookmarkStart w:id="9248" w:name="_Toc515787893"/>
      <w:bookmarkStart w:id="9249" w:name="_Toc515789593"/>
      <w:bookmarkStart w:id="9250" w:name="_Toc515790442"/>
      <w:bookmarkStart w:id="9251" w:name="_Toc515791291"/>
      <w:bookmarkStart w:id="9252" w:name="_Toc515792146"/>
      <w:bookmarkStart w:id="9253" w:name="_Toc515792996"/>
      <w:bookmarkStart w:id="9254" w:name="_Toc515793898"/>
      <w:bookmarkStart w:id="9255" w:name="_Toc515794803"/>
      <w:bookmarkStart w:id="9256" w:name="_Toc515796560"/>
      <w:bookmarkStart w:id="9257" w:name="_Toc488244974"/>
      <w:bookmarkStart w:id="9258" w:name="_Toc488248094"/>
      <w:bookmarkStart w:id="9259" w:name="_Toc488248738"/>
      <w:bookmarkStart w:id="9260" w:name="_Toc488249354"/>
      <w:bookmarkStart w:id="9261" w:name="_Toc488249970"/>
      <w:bookmarkStart w:id="9262" w:name="_Toc488330458"/>
      <w:bookmarkStart w:id="9263" w:name="_Toc488387312"/>
      <w:bookmarkStart w:id="9264" w:name="_Toc488402771"/>
      <w:bookmarkStart w:id="9265" w:name="_Toc488403594"/>
      <w:bookmarkStart w:id="9266" w:name="_Toc488404423"/>
      <w:bookmarkStart w:id="9267" w:name="_Toc488405254"/>
      <w:bookmarkStart w:id="9268" w:name="_Toc488406077"/>
      <w:bookmarkStart w:id="9269" w:name="_Toc488406906"/>
      <w:bookmarkStart w:id="9270" w:name="_Toc491410137"/>
      <w:bookmarkStart w:id="9271" w:name="_Toc496018675"/>
      <w:bookmarkStart w:id="9272" w:name="_Toc515787894"/>
      <w:bookmarkStart w:id="9273" w:name="_Toc515789594"/>
      <w:bookmarkStart w:id="9274" w:name="_Toc515790443"/>
      <w:bookmarkStart w:id="9275" w:name="_Toc515791292"/>
      <w:bookmarkStart w:id="9276" w:name="_Toc515792147"/>
      <w:bookmarkStart w:id="9277" w:name="_Toc515792997"/>
      <w:bookmarkStart w:id="9278" w:name="_Toc515793899"/>
      <w:bookmarkStart w:id="9279" w:name="_Toc515794804"/>
      <w:bookmarkStart w:id="9280" w:name="_Toc515796561"/>
      <w:bookmarkStart w:id="9281" w:name="_Toc488244975"/>
      <w:bookmarkStart w:id="9282" w:name="_Toc488248095"/>
      <w:bookmarkStart w:id="9283" w:name="_Toc488248739"/>
      <w:bookmarkStart w:id="9284" w:name="_Toc488249355"/>
      <w:bookmarkStart w:id="9285" w:name="_Toc488249971"/>
      <w:bookmarkStart w:id="9286" w:name="_Toc488330459"/>
      <w:bookmarkStart w:id="9287" w:name="_Toc488387313"/>
      <w:bookmarkStart w:id="9288" w:name="_Toc488402772"/>
      <w:bookmarkStart w:id="9289" w:name="_Toc488403595"/>
      <w:bookmarkStart w:id="9290" w:name="_Toc488404424"/>
      <w:bookmarkStart w:id="9291" w:name="_Toc488405255"/>
      <w:bookmarkStart w:id="9292" w:name="_Toc488406078"/>
      <w:bookmarkStart w:id="9293" w:name="_Toc488406907"/>
      <w:bookmarkStart w:id="9294" w:name="_Toc491410138"/>
      <w:bookmarkStart w:id="9295" w:name="_Toc496018676"/>
      <w:bookmarkStart w:id="9296" w:name="_Toc515787895"/>
      <w:bookmarkStart w:id="9297" w:name="_Toc515789595"/>
      <w:bookmarkStart w:id="9298" w:name="_Toc515790444"/>
      <w:bookmarkStart w:id="9299" w:name="_Toc515791293"/>
      <w:bookmarkStart w:id="9300" w:name="_Toc515792148"/>
      <w:bookmarkStart w:id="9301" w:name="_Toc515792998"/>
      <w:bookmarkStart w:id="9302" w:name="_Toc515793900"/>
      <w:bookmarkStart w:id="9303" w:name="_Toc515794805"/>
      <w:bookmarkStart w:id="9304" w:name="_Toc515796562"/>
      <w:bookmarkStart w:id="9305" w:name="_Toc488244976"/>
      <w:bookmarkStart w:id="9306" w:name="_Toc488248096"/>
      <w:bookmarkStart w:id="9307" w:name="_Toc488248740"/>
      <w:bookmarkStart w:id="9308" w:name="_Toc488249356"/>
      <w:bookmarkStart w:id="9309" w:name="_Toc488249972"/>
      <w:bookmarkStart w:id="9310" w:name="_Toc488330460"/>
      <w:bookmarkStart w:id="9311" w:name="_Toc488387314"/>
      <w:bookmarkStart w:id="9312" w:name="_Toc488402773"/>
      <w:bookmarkStart w:id="9313" w:name="_Toc488403596"/>
      <w:bookmarkStart w:id="9314" w:name="_Toc488404425"/>
      <w:bookmarkStart w:id="9315" w:name="_Toc488405256"/>
      <w:bookmarkStart w:id="9316" w:name="_Toc488406079"/>
      <w:bookmarkStart w:id="9317" w:name="_Toc488406908"/>
      <w:bookmarkStart w:id="9318" w:name="_Toc491410139"/>
      <w:bookmarkStart w:id="9319" w:name="_Toc496018677"/>
      <w:bookmarkStart w:id="9320" w:name="_Toc515787896"/>
      <w:bookmarkStart w:id="9321" w:name="_Toc515789596"/>
      <w:bookmarkStart w:id="9322" w:name="_Toc515790445"/>
      <w:bookmarkStart w:id="9323" w:name="_Toc515791294"/>
      <w:bookmarkStart w:id="9324" w:name="_Toc515792149"/>
      <w:bookmarkStart w:id="9325" w:name="_Toc515792999"/>
      <w:bookmarkStart w:id="9326" w:name="_Toc515793901"/>
      <w:bookmarkStart w:id="9327" w:name="_Toc515794806"/>
      <w:bookmarkStart w:id="9328" w:name="_Toc515796563"/>
      <w:bookmarkStart w:id="9329" w:name="_Toc488244977"/>
      <w:bookmarkStart w:id="9330" w:name="_Toc488248097"/>
      <w:bookmarkStart w:id="9331" w:name="_Toc488248741"/>
      <w:bookmarkStart w:id="9332" w:name="_Toc488249357"/>
      <w:bookmarkStart w:id="9333" w:name="_Toc488249973"/>
      <w:bookmarkStart w:id="9334" w:name="_Toc488330461"/>
      <w:bookmarkStart w:id="9335" w:name="_Toc488387315"/>
      <w:bookmarkStart w:id="9336" w:name="_Toc488402774"/>
      <w:bookmarkStart w:id="9337" w:name="_Toc488403597"/>
      <w:bookmarkStart w:id="9338" w:name="_Toc488404426"/>
      <w:bookmarkStart w:id="9339" w:name="_Toc488405257"/>
      <w:bookmarkStart w:id="9340" w:name="_Toc488406080"/>
      <w:bookmarkStart w:id="9341" w:name="_Toc488406909"/>
      <w:bookmarkStart w:id="9342" w:name="_Toc491410140"/>
      <w:bookmarkStart w:id="9343" w:name="_Toc496018678"/>
      <w:bookmarkStart w:id="9344" w:name="_Toc515787897"/>
      <w:bookmarkStart w:id="9345" w:name="_Toc515789597"/>
      <w:bookmarkStart w:id="9346" w:name="_Toc515790446"/>
      <w:bookmarkStart w:id="9347" w:name="_Toc515791295"/>
      <w:bookmarkStart w:id="9348" w:name="_Toc515792150"/>
      <w:bookmarkStart w:id="9349" w:name="_Toc515793000"/>
      <w:bookmarkStart w:id="9350" w:name="_Toc515793902"/>
      <w:bookmarkStart w:id="9351" w:name="_Toc515794807"/>
      <w:bookmarkStart w:id="9352" w:name="_Toc515796564"/>
      <w:bookmarkStart w:id="9353" w:name="_Toc488244978"/>
      <w:bookmarkStart w:id="9354" w:name="_Toc488248098"/>
      <w:bookmarkStart w:id="9355" w:name="_Toc488248742"/>
      <w:bookmarkStart w:id="9356" w:name="_Toc488249358"/>
      <w:bookmarkStart w:id="9357" w:name="_Toc488249974"/>
      <w:bookmarkStart w:id="9358" w:name="_Toc488330462"/>
      <w:bookmarkStart w:id="9359" w:name="_Toc488387316"/>
      <w:bookmarkStart w:id="9360" w:name="_Toc488402775"/>
      <w:bookmarkStart w:id="9361" w:name="_Toc488403598"/>
      <w:bookmarkStart w:id="9362" w:name="_Toc488404427"/>
      <w:bookmarkStart w:id="9363" w:name="_Toc488405258"/>
      <w:bookmarkStart w:id="9364" w:name="_Toc488406081"/>
      <w:bookmarkStart w:id="9365" w:name="_Toc488406910"/>
      <w:bookmarkStart w:id="9366" w:name="_Toc491410141"/>
      <w:bookmarkStart w:id="9367" w:name="_Toc496018679"/>
      <w:bookmarkStart w:id="9368" w:name="_Toc515787898"/>
      <w:bookmarkStart w:id="9369" w:name="_Toc515789598"/>
      <w:bookmarkStart w:id="9370" w:name="_Toc515790447"/>
      <w:bookmarkStart w:id="9371" w:name="_Toc515791296"/>
      <w:bookmarkStart w:id="9372" w:name="_Toc515792151"/>
      <w:bookmarkStart w:id="9373" w:name="_Toc515793001"/>
      <w:bookmarkStart w:id="9374" w:name="_Toc515793903"/>
      <w:bookmarkStart w:id="9375" w:name="_Toc515794808"/>
      <w:bookmarkStart w:id="9376" w:name="_Toc515796565"/>
      <w:bookmarkStart w:id="9377" w:name="_Toc488244979"/>
      <w:bookmarkStart w:id="9378" w:name="_Toc488248099"/>
      <w:bookmarkStart w:id="9379" w:name="_Toc488248743"/>
      <w:bookmarkStart w:id="9380" w:name="_Toc488249359"/>
      <w:bookmarkStart w:id="9381" w:name="_Toc488249975"/>
      <w:bookmarkStart w:id="9382" w:name="_Toc488330463"/>
      <w:bookmarkStart w:id="9383" w:name="_Toc488387317"/>
      <w:bookmarkStart w:id="9384" w:name="_Toc488402776"/>
      <w:bookmarkStart w:id="9385" w:name="_Toc488403599"/>
      <w:bookmarkStart w:id="9386" w:name="_Toc488404428"/>
      <w:bookmarkStart w:id="9387" w:name="_Toc488405259"/>
      <w:bookmarkStart w:id="9388" w:name="_Toc488406082"/>
      <w:bookmarkStart w:id="9389" w:name="_Toc488406911"/>
      <w:bookmarkStart w:id="9390" w:name="_Toc491410142"/>
      <w:bookmarkStart w:id="9391" w:name="_Toc496018680"/>
      <w:bookmarkStart w:id="9392" w:name="_Toc515787899"/>
      <w:bookmarkStart w:id="9393" w:name="_Toc515789599"/>
      <w:bookmarkStart w:id="9394" w:name="_Toc515790448"/>
      <w:bookmarkStart w:id="9395" w:name="_Toc515791297"/>
      <w:bookmarkStart w:id="9396" w:name="_Toc515792152"/>
      <w:bookmarkStart w:id="9397" w:name="_Toc515793002"/>
      <w:bookmarkStart w:id="9398" w:name="_Toc515793904"/>
      <w:bookmarkStart w:id="9399" w:name="_Toc515794809"/>
      <w:bookmarkStart w:id="9400" w:name="_Toc515796566"/>
      <w:bookmarkStart w:id="9401" w:name="_Toc488244980"/>
      <w:bookmarkStart w:id="9402" w:name="_Toc488248100"/>
      <w:bookmarkStart w:id="9403" w:name="_Toc488248744"/>
      <w:bookmarkStart w:id="9404" w:name="_Toc488249360"/>
      <w:bookmarkStart w:id="9405" w:name="_Toc488249976"/>
      <w:bookmarkStart w:id="9406" w:name="_Toc488330464"/>
      <w:bookmarkStart w:id="9407" w:name="_Toc488387318"/>
      <w:bookmarkStart w:id="9408" w:name="_Toc488402777"/>
      <w:bookmarkStart w:id="9409" w:name="_Toc488403600"/>
      <w:bookmarkStart w:id="9410" w:name="_Toc488404429"/>
      <w:bookmarkStart w:id="9411" w:name="_Toc488405260"/>
      <w:bookmarkStart w:id="9412" w:name="_Toc488406083"/>
      <w:bookmarkStart w:id="9413" w:name="_Toc488406912"/>
      <w:bookmarkStart w:id="9414" w:name="_Toc491410143"/>
      <w:bookmarkStart w:id="9415" w:name="_Toc496018681"/>
      <w:bookmarkStart w:id="9416" w:name="_Toc515787900"/>
      <w:bookmarkStart w:id="9417" w:name="_Toc515789600"/>
      <w:bookmarkStart w:id="9418" w:name="_Toc515790449"/>
      <w:bookmarkStart w:id="9419" w:name="_Toc515791298"/>
      <w:bookmarkStart w:id="9420" w:name="_Toc515792153"/>
      <w:bookmarkStart w:id="9421" w:name="_Toc515793003"/>
      <w:bookmarkStart w:id="9422" w:name="_Toc515793905"/>
      <w:bookmarkStart w:id="9423" w:name="_Toc515794810"/>
      <w:bookmarkStart w:id="9424" w:name="_Toc515796567"/>
      <w:bookmarkStart w:id="9425" w:name="_Toc488244981"/>
      <w:bookmarkStart w:id="9426" w:name="_Toc488248101"/>
      <w:bookmarkStart w:id="9427" w:name="_Toc488248745"/>
      <w:bookmarkStart w:id="9428" w:name="_Toc488249361"/>
      <w:bookmarkStart w:id="9429" w:name="_Toc488249977"/>
      <w:bookmarkStart w:id="9430" w:name="_Toc488330465"/>
      <w:bookmarkStart w:id="9431" w:name="_Toc488387319"/>
      <w:bookmarkStart w:id="9432" w:name="_Toc488402778"/>
      <w:bookmarkStart w:id="9433" w:name="_Toc488403601"/>
      <w:bookmarkStart w:id="9434" w:name="_Toc488404430"/>
      <w:bookmarkStart w:id="9435" w:name="_Toc488405261"/>
      <w:bookmarkStart w:id="9436" w:name="_Toc488406084"/>
      <w:bookmarkStart w:id="9437" w:name="_Toc488406913"/>
      <w:bookmarkStart w:id="9438" w:name="_Toc491410144"/>
      <w:bookmarkStart w:id="9439" w:name="_Toc496018682"/>
      <w:bookmarkStart w:id="9440" w:name="_Toc515787901"/>
      <w:bookmarkStart w:id="9441" w:name="_Toc515789601"/>
      <w:bookmarkStart w:id="9442" w:name="_Toc515790450"/>
      <w:bookmarkStart w:id="9443" w:name="_Toc515791299"/>
      <w:bookmarkStart w:id="9444" w:name="_Toc515792154"/>
      <w:bookmarkStart w:id="9445" w:name="_Toc515793004"/>
      <w:bookmarkStart w:id="9446" w:name="_Toc515793906"/>
      <w:bookmarkStart w:id="9447" w:name="_Toc515794811"/>
      <w:bookmarkStart w:id="9448" w:name="_Toc515796568"/>
      <w:bookmarkStart w:id="9449" w:name="_Toc488244982"/>
      <w:bookmarkStart w:id="9450" w:name="_Toc488248102"/>
      <w:bookmarkStart w:id="9451" w:name="_Toc488248746"/>
      <w:bookmarkStart w:id="9452" w:name="_Toc488249362"/>
      <w:bookmarkStart w:id="9453" w:name="_Toc488249978"/>
      <w:bookmarkStart w:id="9454" w:name="_Toc488330466"/>
      <w:bookmarkStart w:id="9455" w:name="_Toc488387320"/>
      <w:bookmarkStart w:id="9456" w:name="_Toc488402779"/>
      <w:bookmarkStart w:id="9457" w:name="_Toc488403602"/>
      <w:bookmarkStart w:id="9458" w:name="_Toc488404431"/>
      <w:bookmarkStart w:id="9459" w:name="_Toc488405262"/>
      <w:bookmarkStart w:id="9460" w:name="_Toc488406085"/>
      <w:bookmarkStart w:id="9461" w:name="_Toc488406914"/>
      <w:bookmarkStart w:id="9462" w:name="_Toc491410145"/>
      <w:bookmarkStart w:id="9463" w:name="_Toc496018683"/>
      <w:bookmarkStart w:id="9464" w:name="_Toc515787902"/>
      <w:bookmarkStart w:id="9465" w:name="_Toc515789602"/>
      <w:bookmarkStart w:id="9466" w:name="_Toc515790451"/>
      <w:bookmarkStart w:id="9467" w:name="_Toc515791300"/>
      <w:bookmarkStart w:id="9468" w:name="_Toc515792155"/>
      <w:bookmarkStart w:id="9469" w:name="_Toc515793005"/>
      <w:bookmarkStart w:id="9470" w:name="_Toc515793907"/>
      <w:bookmarkStart w:id="9471" w:name="_Toc515794812"/>
      <w:bookmarkStart w:id="9472" w:name="_Toc515796569"/>
      <w:bookmarkStart w:id="9473" w:name="_Toc488244983"/>
      <w:bookmarkStart w:id="9474" w:name="_Toc488248103"/>
      <w:bookmarkStart w:id="9475" w:name="_Toc488248747"/>
      <w:bookmarkStart w:id="9476" w:name="_Toc488249363"/>
      <w:bookmarkStart w:id="9477" w:name="_Toc488249979"/>
      <w:bookmarkStart w:id="9478" w:name="_Toc488330467"/>
      <w:bookmarkStart w:id="9479" w:name="_Toc488387321"/>
      <w:bookmarkStart w:id="9480" w:name="_Toc488402780"/>
      <w:bookmarkStart w:id="9481" w:name="_Toc488403603"/>
      <w:bookmarkStart w:id="9482" w:name="_Toc488404432"/>
      <w:bookmarkStart w:id="9483" w:name="_Toc488405263"/>
      <w:bookmarkStart w:id="9484" w:name="_Toc488406086"/>
      <w:bookmarkStart w:id="9485" w:name="_Toc488406915"/>
      <w:bookmarkStart w:id="9486" w:name="_Toc491410146"/>
      <w:bookmarkStart w:id="9487" w:name="_Toc496018684"/>
      <w:bookmarkStart w:id="9488" w:name="_Toc515787903"/>
      <w:bookmarkStart w:id="9489" w:name="_Toc515789603"/>
      <w:bookmarkStart w:id="9490" w:name="_Toc515790452"/>
      <w:bookmarkStart w:id="9491" w:name="_Toc515791301"/>
      <w:bookmarkStart w:id="9492" w:name="_Toc515792156"/>
      <w:bookmarkStart w:id="9493" w:name="_Toc515793006"/>
      <w:bookmarkStart w:id="9494" w:name="_Toc515793908"/>
      <w:bookmarkStart w:id="9495" w:name="_Toc515794813"/>
      <w:bookmarkStart w:id="9496" w:name="_Toc515796570"/>
      <w:bookmarkStart w:id="9497" w:name="_Toc488244984"/>
      <w:bookmarkStart w:id="9498" w:name="_Toc488248104"/>
      <w:bookmarkStart w:id="9499" w:name="_Toc488248748"/>
      <w:bookmarkStart w:id="9500" w:name="_Toc488249364"/>
      <w:bookmarkStart w:id="9501" w:name="_Toc488249980"/>
      <w:bookmarkStart w:id="9502" w:name="_Toc488330468"/>
      <w:bookmarkStart w:id="9503" w:name="_Toc488387322"/>
      <w:bookmarkStart w:id="9504" w:name="_Toc488402781"/>
      <w:bookmarkStart w:id="9505" w:name="_Toc488403604"/>
      <w:bookmarkStart w:id="9506" w:name="_Toc488404433"/>
      <w:bookmarkStart w:id="9507" w:name="_Toc488405264"/>
      <w:bookmarkStart w:id="9508" w:name="_Toc488406087"/>
      <w:bookmarkStart w:id="9509" w:name="_Toc488406916"/>
      <w:bookmarkStart w:id="9510" w:name="_Toc491410147"/>
      <w:bookmarkStart w:id="9511" w:name="_Toc496018685"/>
      <w:bookmarkStart w:id="9512" w:name="_Toc515787904"/>
      <w:bookmarkStart w:id="9513" w:name="_Toc515789604"/>
      <w:bookmarkStart w:id="9514" w:name="_Toc515790453"/>
      <w:bookmarkStart w:id="9515" w:name="_Toc515791302"/>
      <w:bookmarkStart w:id="9516" w:name="_Toc515792157"/>
      <w:bookmarkStart w:id="9517" w:name="_Toc515793007"/>
      <w:bookmarkStart w:id="9518" w:name="_Toc515793909"/>
      <w:bookmarkStart w:id="9519" w:name="_Toc515794814"/>
      <w:bookmarkStart w:id="9520" w:name="_Toc515796571"/>
      <w:bookmarkStart w:id="9521" w:name="_Toc488244985"/>
      <w:bookmarkStart w:id="9522" w:name="_Toc488248105"/>
      <w:bookmarkStart w:id="9523" w:name="_Toc488248749"/>
      <w:bookmarkStart w:id="9524" w:name="_Toc488249365"/>
      <w:bookmarkStart w:id="9525" w:name="_Toc488249981"/>
      <w:bookmarkStart w:id="9526" w:name="_Toc488330469"/>
      <w:bookmarkStart w:id="9527" w:name="_Toc488387323"/>
      <w:bookmarkStart w:id="9528" w:name="_Toc488402782"/>
      <w:bookmarkStart w:id="9529" w:name="_Toc488403605"/>
      <w:bookmarkStart w:id="9530" w:name="_Toc488404434"/>
      <w:bookmarkStart w:id="9531" w:name="_Toc488405265"/>
      <w:bookmarkStart w:id="9532" w:name="_Toc488406088"/>
      <w:bookmarkStart w:id="9533" w:name="_Toc488406917"/>
      <w:bookmarkStart w:id="9534" w:name="_Toc491410148"/>
      <w:bookmarkStart w:id="9535" w:name="_Toc496018686"/>
      <w:bookmarkStart w:id="9536" w:name="_Toc515787905"/>
      <w:bookmarkStart w:id="9537" w:name="_Toc515789605"/>
      <w:bookmarkStart w:id="9538" w:name="_Toc515790454"/>
      <w:bookmarkStart w:id="9539" w:name="_Toc515791303"/>
      <w:bookmarkStart w:id="9540" w:name="_Toc515792158"/>
      <w:bookmarkStart w:id="9541" w:name="_Toc515793008"/>
      <w:bookmarkStart w:id="9542" w:name="_Toc515793910"/>
      <w:bookmarkStart w:id="9543" w:name="_Toc515794815"/>
      <w:bookmarkStart w:id="9544" w:name="_Toc515796572"/>
      <w:bookmarkStart w:id="9545" w:name="_Toc488244986"/>
      <w:bookmarkStart w:id="9546" w:name="_Toc488248106"/>
      <w:bookmarkStart w:id="9547" w:name="_Toc488248750"/>
      <w:bookmarkStart w:id="9548" w:name="_Toc488249366"/>
      <w:bookmarkStart w:id="9549" w:name="_Toc488249982"/>
      <w:bookmarkStart w:id="9550" w:name="_Toc488330470"/>
      <w:bookmarkStart w:id="9551" w:name="_Toc488387324"/>
      <w:bookmarkStart w:id="9552" w:name="_Toc488402783"/>
      <w:bookmarkStart w:id="9553" w:name="_Toc488403606"/>
      <w:bookmarkStart w:id="9554" w:name="_Toc488404435"/>
      <w:bookmarkStart w:id="9555" w:name="_Toc488405266"/>
      <w:bookmarkStart w:id="9556" w:name="_Toc488406089"/>
      <w:bookmarkStart w:id="9557" w:name="_Toc488406918"/>
      <w:bookmarkStart w:id="9558" w:name="_Toc491410149"/>
      <w:bookmarkStart w:id="9559" w:name="_Toc496018687"/>
      <w:bookmarkStart w:id="9560" w:name="_Toc515787906"/>
      <w:bookmarkStart w:id="9561" w:name="_Toc515789606"/>
      <w:bookmarkStart w:id="9562" w:name="_Toc515790455"/>
      <w:bookmarkStart w:id="9563" w:name="_Toc515791304"/>
      <w:bookmarkStart w:id="9564" w:name="_Toc515792159"/>
      <w:bookmarkStart w:id="9565" w:name="_Toc515793009"/>
      <w:bookmarkStart w:id="9566" w:name="_Toc515793911"/>
      <w:bookmarkStart w:id="9567" w:name="_Toc515794816"/>
      <w:bookmarkStart w:id="9568" w:name="_Toc515796573"/>
      <w:bookmarkStart w:id="9569" w:name="_Toc488244987"/>
      <w:bookmarkStart w:id="9570" w:name="_Toc488248107"/>
      <w:bookmarkStart w:id="9571" w:name="_Toc488248751"/>
      <w:bookmarkStart w:id="9572" w:name="_Toc488249367"/>
      <w:bookmarkStart w:id="9573" w:name="_Toc488249983"/>
      <w:bookmarkStart w:id="9574" w:name="_Toc488330471"/>
      <w:bookmarkStart w:id="9575" w:name="_Toc488387325"/>
      <w:bookmarkStart w:id="9576" w:name="_Toc488402784"/>
      <w:bookmarkStart w:id="9577" w:name="_Toc488403607"/>
      <w:bookmarkStart w:id="9578" w:name="_Toc488404436"/>
      <w:bookmarkStart w:id="9579" w:name="_Toc488405267"/>
      <w:bookmarkStart w:id="9580" w:name="_Toc488406090"/>
      <w:bookmarkStart w:id="9581" w:name="_Toc488406919"/>
      <w:bookmarkStart w:id="9582" w:name="_Toc491410150"/>
      <w:bookmarkStart w:id="9583" w:name="_Toc496018688"/>
      <w:bookmarkStart w:id="9584" w:name="_Toc515787907"/>
      <w:bookmarkStart w:id="9585" w:name="_Toc515789607"/>
      <w:bookmarkStart w:id="9586" w:name="_Toc515790456"/>
      <w:bookmarkStart w:id="9587" w:name="_Toc515791305"/>
      <w:bookmarkStart w:id="9588" w:name="_Toc515792160"/>
      <w:bookmarkStart w:id="9589" w:name="_Toc515793010"/>
      <w:bookmarkStart w:id="9590" w:name="_Toc515793912"/>
      <w:bookmarkStart w:id="9591" w:name="_Toc515794817"/>
      <w:bookmarkStart w:id="9592" w:name="_Toc515796574"/>
      <w:bookmarkStart w:id="9593" w:name="_Toc488244988"/>
      <w:bookmarkStart w:id="9594" w:name="_Toc488248108"/>
      <w:bookmarkStart w:id="9595" w:name="_Toc488248752"/>
      <w:bookmarkStart w:id="9596" w:name="_Toc488249368"/>
      <w:bookmarkStart w:id="9597" w:name="_Toc488249984"/>
      <w:bookmarkStart w:id="9598" w:name="_Toc488330472"/>
      <w:bookmarkStart w:id="9599" w:name="_Toc488387326"/>
      <w:bookmarkStart w:id="9600" w:name="_Toc488402785"/>
      <w:bookmarkStart w:id="9601" w:name="_Toc488403608"/>
      <w:bookmarkStart w:id="9602" w:name="_Toc488404437"/>
      <w:bookmarkStart w:id="9603" w:name="_Toc488405268"/>
      <w:bookmarkStart w:id="9604" w:name="_Toc488406091"/>
      <w:bookmarkStart w:id="9605" w:name="_Toc488406920"/>
      <w:bookmarkStart w:id="9606" w:name="_Toc491410151"/>
      <w:bookmarkStart w:id="9607" w:name="_Toc496018689"/>
      <w:bookmarkStart w:id="9608" w:name="_Toc515787908"/>
      <w:bookmarkStart w:id="9609" w:name="_Toc515789608"/>
      <w:bookmarkStart w:id="9610" w:name="_Toc515790457"/>
      <w:bookmarkStart w:id="9611" w:name="_Toc515791306"/>
      <w:bookmarkStart w:id="9612" w:name="_Toc515792161"/>
      <w:bookmarkStart w:id="9613" w:name="_Toc515793011"/>
      <w:bookmarkStart w:id="9614" w:name="_Toc515793913"/>
      <w:bookmarkStart w:id="9615" w:name="_Toc515794818"/>
      <w:bookmarkStart w:id="9616" w:name="_Toc515796575"/>
      <w:bookmarkStart w:id="9617" w:name="_Toc488244989"/>
      <w:bookmarkStart w:id="9618" w:name="_Toc488248109"/>
      <w:bookmarkStart w:id="9619" w:name="_Toc488248753"/>
      <w:bookmarkStart w:id="9620" w:name="_Toc488249369"/>
      <w:bookmarkStart w:id="9621" w:name="_Toc488249985"/>
      <w:bookmarkStart w:id="9622" w:name="_Toc488330473"/>
      <w:bookmarkStart w:id="9623" w:name="_Toc488387327"/>
      <w:bookmarkStart w:id="9624" w:name="_Toc488402786"/>
      <w:bookmarkStart w:id="9625" w:name="_Toc488403609"/>
      <w:bookmarkStart w:id="9626" w:name="_Toc488404438"/>
      <w:bookmarkStart w:id="9627" w:name="_Toc488405269"/>
      <w:bookmarkStart w:id="9628" w:name="_Toc488406092"/>
      <w:bookmarkStart w:id="9629" w:name="_Toc488406921"/>
      <w:bookmarkStart w:id="9630" w:name="_Toc491410152"/>
      <w:bookmarkStart w:id="9631" w:name="_Toc496018690"/>
      <w:bookmarkStart w:id="9632" w:name="_Toc515787909"/>
      <w:bookmarkStart w:id="9633" w:name="_Toc515789609"/>
      <w:bookmarkStart w:id="9634" w:name="_Toc515790458"/>
      <w:bookmarkStart w:id="9635" w:name="_Toc515791307"/>
      <w:bookmarkStart w:id="9636" w:name="_Toc515792162"/>
      <w:bookmarkStart w:id="9637" w:name="_Toc515793012"/>
      <w:bookmarkStart w:id="9638" w:name="_Toc515793914"/>
      <w:bookmarkStart w:id="9639" w:name="_Toc515794819"/>
      <w:bookmarkStart w:id="9640" w:name="_Toc515796576"/>
      <w:bookmarkStart w:id="9641" w:name="_Toc488244990"/>
      <w:bookmarkStart w:id="9642" w:name="_Toc488248110"/>
      <w:bookmarkStart w:id="9643" w:name="_Toc488248754"/>
      <w:bookmarkStart w:id="9644" w:name="_Toc488249370"/>
      <w:bookmarkStart w:id="9645" w:name="_Toc488249986"/>
      <w:bookmarkStart w:id="9646" w:name="_Toc488330474"/>
      <w:bookmarkStart w:id="9647" w:name="_Toc488387328"/>
      <w:bookmarkStart w:id="9648" w:name="_Toc488402787"/>
      <w:bookmarkStart w:id="9649" w:name="_Toc488403610"/>
      <w:bookmarkStart w:id="9650" w:name="_Toc488404439"/>
      <w:bookmarkStart w:id="9651" w:name="_Toc488405270"/>
      <w:bookmarkStart w:id="9652" w:name="_Toc488406093"/>
      <w:bookmarkStart w:id="9653" w:name="_Toc488406922"/>
      <w:bookmarkStart w:id="9654" w:name="_Toc491410153"/>
      <w:bookmarkStart w:id="9655" w:name="_Toc496018691"/>
      <w:bookmarkStart w:id="9656" w:name="_Toc515787910"/>
      <w:bookmarkStart w:id="9657" w:name="_Toc515789610"/>
      <w:bookmarkStart w:id="9658" w:name="_Toc515790459"/>
      <w:bookmarkStart w:id="9659" w:name="_Toc515791308"/>
      <w:bookmarkStart w:id="9660" w:name="_Toc515792163"/>
      <w:bookmarkStart w:id="9661" w:name="_Toc515793013"/>
      <w:bookmarkStart w:id="9662" w:name="_Toc515793915"/>
      <w:bookmarkStart w:id="9663" w:name="_Toc515794820"/>
      <w:bookmarkStart w:id="9664" w:name="_Toc515796577"/>
      <w:bookmarkStart w:id="9665" w:name="_Toc488244991"/>
      <w:bookmarkStart w:id="9666" w:name="_Toc488248111"/>
      <w:bookmarkStart w:id="9667" w:name="_Toc488248755"/>
      <w:bookmarkStart w:id="9668" w:name="_Toc488249371"/>
      <w:bookmarkStart w:id="9669" w:name="_Toc488249987"/>
      <w:bookmarkStart w:id="9670" w:name="_Toc488330475"/>
      <w:bookmarkStart w:id="9671" w:name="_Toc488387329"/>
      <w:bookmarkStart w:id="9672" w:name="_Toc488402788"/>
      <w:bookmarkStart w:id="9673" w:name="_Toc488403611"/>
      <w:bookmarkStart w:id="9674" w:name="_Toc488404440"/>
      <w:bookmarkStart w:id="9675" w:name="_Toc488405271"/>
      <w:bookmarkStart w:id="9676" w:name="_Toc488406094"/>
      <w:bookmarkStart w:id="9677" w:name="_Toc488406923"/>
      <w:bookmarkStart w:id="9678" w:name="_Toc491410154"/>
      <w:bookmarkStart w:id="9679" w:name="_Toc496018692"/>
      <w:bookmarkStart w:id="9680" w:name="_Toc515787911"/>
      <w:bookmarkStart w:id="9681" w:name="_Toc515789611"/>
      <w:bookmarkStart w:id="9682" w:name="_Toc515790460"/>
      <w:bookmarkStart w:id="9683" w:name="_Toc515791309"/>
      <w:bookmarkStart w:id="9684" w:name="_Toc515792164"/>
      <w:bookmarkStart w:id="9685" w:name="_Toc515793014"/>
      <w:bookmarkStart w:id="9686" w:name="_Toc515793916"/>
      <w:bookmarkStart w:id="9687" w:name="_Toc515794821"/>
      <w:bookmarkStart w:id="9688" w:name="_Toc515796578"/>
      <w:bookmarkStart w:id="9689" w:name="_Toc488244992"/>
      <w:bookmarkStart w:id="9690" w:name="_Toc488248112"/>
      <w:bookmarkStart w:id="9691" w:name="_Toc488248756"/>
      <w:bookmarkStart w:id="9692" w:name="_Toc488249372"/>
      <w:bookmarkStart w:id="9693" w:name="_Toc488249988"/>
      <w:bookmarkStart w:id="9694" w:name="_Toc488330476"/>
      <w:bookmarkStart w:id="9695" w:name="_Toc488387330"/>
      <w:bookmarkStart w:id="9696" w:name="_Toc488402789"/>
      <w:bookmarkStart w:id="9697" w:name="_Toc488403612"/>
      <w:bookmarkStart w:id="9698" w:name="_Toc488404441"/>
      <w:bookmarkStart w:id="9699" w:name="_Toc488405272"/>
      <w:bookmarkStart w:id="9700" w:name="_Toc488406095"/>
      <w:bookmarkStart w:id="9701" w:name="_Toc488406924"/>
      <w:bookmarkStart w:id="9702" w:name="_Toc491410155"/>
      <w:bookmarkStart w:id="9703" w:name="_Toc496018693"/>
      <w:bookmarkStart w:id="9704" w:name="_Toc515787912"/>
      <w:bookmarkStart w:id="9705" w:name="_Toc515789612"/>
      <w:bookmarkStart w:id="9706" w:name="_Toc515790461"/>
      <w:bookmarkStart w:id="9707" w:name="_Toc515791310"/>
      <w:bookmarkStart w:id="9708" w:name="_Toc515792165"/>
      <w:bookmarkStart w:id="9709" w:name="_Toc515793015"/>
      <w:bookmarkStart w:id="9710" w:name="_Toc515793917"/>
      <w:bookmarkStart w:id="9711" w:name="_Toc515794822"/>
      <w:bookmarkStart w:id="9712" w:name="_Toc515796579"/>
      <w:bookmarkStart w:id="9713" w:name="_Toc488244993"/>
      <w:bookmarkStart w:id="9714" w:name="_Toc488248113"/>
      <w:bookmarkStart w:id="9715" w:name="_Toc488248757"/>
      <w:bookmarkStart w:id="9716" w:name="_Toc488249373"/>
      <w:bookmarkStart w:id="9717" w:name="_Toc488249989"/>
      <w:bookmarkStart w:id="9718" w:name="_Toc488330477"/>
      <w:bookmarkStart w:id="9719" w:name="_Toc488387331"/>
      <w:bookmarkStart w:id="9720" w:name="_Toc488402790"/>
      <w:bookmarkStart w:id="9721" w:name="_Toc488403613"/>
      <w:bookmarkStart w:id="9722" w:name="_Toc488404442"/>
      <w:bookmarkStart w:id="9723" w:name="_Toc488405273"/>
      <w:bookmarkStart w:id="9724" w:name="_Toc488406096"/>
      <w:bookmarkStart w:id="9725" w:name="_Toc488406925"/>
      <w:bookmarkStart w:id="9726" w:name="_Toc491410156"/>
      <w:bookmarkStart w:id="9727" w:name="_Toc496018694"/>
      <w:bookmarkStart w:id="9728" w:name="_Toc515787913"/>
      <w:bookmarkStart w:id="9729" w:name="_Toc515789613"/>
      <w:bookmarkStart w:id="9730" w:name="_Toc515790462"/>
      <w:bookmarkStart w:id="9731" w:name="_Toc515791311"/>
      <w:bookmarkStart w:id="9732" w:name="_Toc515792166"/>
      <w:bookmarkStart w:id="9733" w:name="_Toc515793016"/>
      <w:bookmarkStart w:id="9734" w:name="_Toc515793918"/>
      <w:bookmarkStart w:id="9735" w:name="_Toc515794823"/>
      <w:bookmarkStart w:id="9736" w:name="_Toc515796580"/>
      <w:bookmarkStart w:id="9737" w:name="_Toc488244994"/>
      <w:bookmarkStart w:id="9738" w:name="_Toc488248114"/>
      <w:bookmarkStart w:id="9739" w:name="_Toc488248758"/>
      <w:bookmarkStart w:id="9740" w:name="_Toc488249374"/>
      <w:bookmarkStart w:id="9741" w:name="_Toc488249990"/>
      <w:bookmarkStart w:id="9742" w:name="_Toc488330478"/>
      <w:bookmarkStart w:id="9743" w:name="_Toc488387332"/>
      <w:bookmarkStart w:id="9744" w:name="_Toc488402791"/>
      <w:bookmarkStart w:id="9745" w:name="_Toc488403614"/>
      <w:bookmarkStart w:id="9746" w:name="_Toc488404443"/>
      <w:bookmarkStart w:id="9747" w:name="_Toc488405274"/>
      <w:bookmarkStart w:id="9748" w:name="_Toc488406097"/>
      <w:bookmarkStart w:id="9749" w:name="_Toc488406926"/>
      <w:bookmarkStart w:id="9750" w:name="_Toc491410157"/>
      <w:bookmarkStart w:id="9751" w:name="_Toc496018695"/>
      <w:bookmarkStart w:id="9752" w:name="_Toc515787914"/>
      <w:bookmarkStart w:id="9753" w:name="_Toc515789614"/>
      <w:bookmarkStart w:id="9754" w:name="_Toc515790463"/>
      <w:bookmarkStart w:id="9755" w:name="_Toc515791312"/>
      <w:bookmarkStart w:id="9756" w:name="_Toc515792167"/>
      <w:bookmarkStart w:id="9757" w:name="_Toc515793017"/>
      <w:bookmarkStart w:id="9758" w:name="_Toc515793919"/>
      <w:bookmarkStart w:id="9759" w:name="_Toc515794824"/>
      <w:bookmarkStart w:id="9760" w:name="_Toc515796581"/>
      <w:bookmarkStart w:id="9761" w:name="_Toc488244995"/>
      <w:bookmarkStart w:id="9762" w:name="_Toc488248115"/>
      <w:bookmarkStart w:id="9763" w:name="_Toc488248759"/>
      <w:bookmarkStart w:id="9764" w:name="_Toc488249375"/>
      <w:bookmarkStart w:id="9765" w:name="_Toc488249991"/>
      <w:bookmarkStart w:id="9766" w:name="_Toc488330479"/>
      <w:bookmarkStart w:id="9767" w:name="_Toc488387333"/>
      <w:bookmarkStart w:id="9768" w:name="_Toc488402792"/>
      <w:bookmarkStart w:id="9769" w:name="_Toc488403615"/>
      <w:bookmarkStart w:id="9770" w:name="_Toc488404444"/>
      <w:bookmarkStart w:id="9771" w:name="_Toc488405275"/>
      <w:bookmarkStart w:id="9772" w:name="_Toc488406098"/>
      <w:bookmarkStart w:id="9773" w:name="_Toc488406927"/>
      <w:bookmarkStart w:id="9774" w:name="_Toc491410158"/>
      <w:bookmarkStart w:id="9775" w:name="_Toc496018696"/>
      <w:bookmarkStart w:id="9776" w:name="_Toc515787915"/>
      <w:bookmarkStart w:id="9777" w:name="_Toc515789615"/>
      <w:bookmarkStart w:id="9778" w:name="_Toc515790464"/>
      <w:bookmarkStart w:id="9779" w:name="_Toc515791313"/>
      <w:bookmarkStart w:id="9780" w:name="_Toc515792168"/>
      <w:bookmarkStart w:id="9781" w:name="_Toc515793018"/>
      <w:bookmarkStart w:id="9782" w:name="_Toc515793920"/>
      <w:bookmarkStart w:id="9783" w:name="_Toc515794825"/>
      <w:bookmarkStart w:id="9784" w:name="_Toc515796582"/>
      <w:bookmarkStart w:id="9785" w:name="_Toc488244996"/>
      <w:bookmarkStart w:id="9786" w:name="_Toc488248116"/>
      <w:bookmarkStart w:id="9787" w:name="_Toc488248760"/>
      <w:bookmarkStart w:id="9788" w:name="_Toc488249376"/>
      <w:bookmarkStart w:id="9789" w:name="_Toc488249992"/>
      <w:bookmarkStart w:id="9790" w:name="_Toc488330480"/>
      <w:bookmarkStart w:id="9791" w:name="_Toc488387334"/>
      <w:bookmarkStart w:id="9792" w:name="_Toc488402793"/>
      <w:bookmarkStart w:id="9793" w:name="_Toc488403616"/>
      <w:bookmarkStart w:id="9794" w:name="_Toc488404445"/>
      <w:bookmarkStart w:id="9795" w:name="_Toc488405276"/>
      <w:bookmarkStart w:id="9796" w:name="_Toc488406099"/>
      <w:bookmarkStart w:id="9797" w:name="_Toc488406928"/>
      <w:bookmarkStart w:id="9798" w:name="_Toc491410159"/>
      <w:bookmarkStart w:id="9799" w:name="_Toc496018697"/>
      <w:bookmarkStart w:id="9800" w:name="_Toc515787916"/>
      <w:bookmarkStart w:id="9801" w:name="_Toc515789616"/>
      <w:bookmarkStart w:id="9802" w:name="_Toc515790465"/>
      <w:bookmarkStart w:id="9803" w:name="_Toc515791314"/>
      <w:bookmarkStart w:id="9804" w:name="_Toc515792169"/>
      <w:bookmarkStart w:id="9805" w:name="_Toc515793019"/>
      <w:bookmarkStart w:id="9806" w:name="_Toc515793921"/>
      <w:bookmarkStart w:id="9807" w:name="_Toc515794826"/>
      <w:bookmarkStart w:id="9808" w:name="_Toc515796583"/>
      <w:bookmarkStart w:id="9809" w:name="_Toc488244997"/>
      <w:bookmarkStart w:id="9810" w:name="_Toc488248117"/>
      <w:bookmarkStart w:id="9811" w:name="_Toc488248761"/>
      <w:bookmarkStart w:id="9812" w:name="_Toc488249377"/>
      <w:bookmarkStart w:id="9813" w:name="_Toc488249993"/>
      <w:bookmarkStart w:id="9814" w:name="_Toc488330481"/>
      <w:bookmarkStart w:id="9815" w:name="_Toc488387335"/>
      <w:bookmarkStart w:id="9816" w:name="_Toc488402794"/>
      <w:bookmarkStart w:id="9817" w:name="_Toc488403617"/>
      <w:bookmarkStart w:id="9818" w:name="_Toc488404446"/>
      <w:bookmarkStart w:id="9819" w:name="_Toc488405277"/>
      <w:bookmarkStart w:id="9820" w:name="_Toc488406100"/>
      <w:bookmarkStart w:id="9821" w:name="_Toc488406929"/>
      <w:bookmarkStart w:id="9822" w:name="_Toc491410160"/>
      <w:bookmarkStart w:id="9823" w:name="_Toc496018698"/>
      <w:bookmarkStart w:id="9824" w:name="_Toc515787917"/>
      <w:bookmarkStart w:id="9825" w:name="_Toc515789617"/>
      <w:bookmarkStart w:id="9826" w:name="_Toc515790466"/>
      <w:bookmarkStart w:id="9827" w:name="_Toc515791315"/>
      <w:bookmarkStart w:id="9828" w:name="_Toc515792170"/>
      <w:bookmarkStart w:id="9829" w:name="_Toc515793020"/>
      <w:bookmarkStart w:id="9830" w:name="_Toc515793922"/>
      <w:bookmarkStart w:id="9831" w:name="_Toc515794827"/>
      <w:bookmarkStart w:id="9832" w:name="_Toc515796584"/>
      <w:bookmarkStart w:id="9833" w:name="_Toc488244998"/>
      <w:bookmarkStart w:id="9834" w:name="_Toc488248118"/>
      <w:bookmarkStart w:id="9835" w:name="_Toc488248762"/>
      <w:bookmarkStart w:id="9836" w:name="_Toc488249378"/>
      <w:bookmarkStart w:id="9837" w:name="_Toc488249994"/>
      <w:bookmarkStart w:id="9838" w:name="_Toc488330482"/>
      <w:bookmarkStart w:id="9839" w:name="_Toc488387336"/>
      <w:bookmarkStart w:id="9840" w:name="_Toc488402795"/>
      <w:bookmarkStart w:id="9841" w:name="_Toc488403618"/>
      <w:bookmarkStart w:id="9842" w:name="_Toc488404447"/>
      <w:bookmarkStart w:id="9843" w:name="_Toc488405278"/>
      <w:bookmarkStart w:id="9844" w:name="_Toc488406101"/>
      <w:bookmarkStart w:id="9845" w:name="_Toc488406930"/>
      <w:bookmarkStart w:id="9846" w:name="_Toc491410161"/>
      <w:bookmarkStart w:id="9847" w:name="_Toc496018699"/>
      <w:bookmarkStart w:id="9848" w:name="_Toc515787918"/>
      <w:bookmarkStart w:id="9849" w:name="_Toc515789618"/>
      <w:bookmarkStart w:id="9850" w:name="_Toc515790467"/>
      <w:bookmarkStart w:id="9851" w:name="_Toc515791316"/>
      <w:bookmarkStart w:id="9852" w:name="_Toc515792171"/>
      <w:bookmarkStart w:id="9853" w:name="_Toc515793021"/>
      <w:bookmarkStart w:id="9854" w:name="_Toc515793923"/>
      <w:bookmarkStart w:id="9855" w:name="_Toc515794828"/>
      <w:bookmarkStart w:id="9856" w:name="_Toc515796585"/>
      <w:bookmarkStart w:id="9857" w:name="_Toc488244999"/>
      <w:bookmarkStart w:id="9858" w:name="_Toc488248119"/>
      <w:bookmarkStart w:id="9859" w:name="_Toc488248763"/>
      <w:bookmarkStart w:id="9860" w:name="_Toc488249379"/>
      <w:bookmarkStart w:id="9861" w:name="_Toc488249995"/>
      <w:bookmarkStart w:id="9862" w:name="_Toc488330483"/>
      <w:bookmarkStart w:id="9863" w:name="_Toc488387337"/>
      <w:bookmarkStart w:id="9864" w:name="_Toc488402796"/>
      <w:bookmarkStart w:id="9865" w:name="_Toc488403619"/>
      <w:bookmarkStart w:id="9866" w:name="_Toc488404448"/>
      <w:bookmarkStart w:id="9867" w:name="_Toc488405279"/>
      <w:bookmarkStart w:id="9868" w:name="_Toc488406102"/>
      <w:bookmarkStart w:id="9869" w:name="_Toc488406931"/>
      <w:bookmarkStart w:id="9870" w:name="_Toc491410162"/>
      <w:bookmarkStart w:id="9871" w:name="_Toc496018700"/>
      <w:bookmarkStart w:id="9872" w:name="_Toc515787919"/>
      <w:bookmarkStart w:id="9873" w:name="_Toc515789619"/>
      <w:bookmarkStart w:id="9874" w:name="_Toc515790468"/>
      <w:bookmarkStart w:id="9875" w:name="_Toc515791317"/>
      <w:bookmarkStart w:id="9876" w:name="_Toc515792172"/>
      <w:bookmarkStart w:id="9877" w:name="_Toc515793022"/>
      <w:bookmarkStart w:id="9878" w:name="_Toc515793924"/>
      <w:bookmarkStart w:id="9879" w:name="_Toc515794829"/>
      <w:bookmarkStart w:id="9880" w:name="_Toc515796586"/>
      <w:bookmarkStart w:id="9881" w:name="_Toc488245000"/>
      <w:bookmarkStart w:id="9882" w:name="_Toc488248120"/>
      <w:bookmarkStart w:id="9883" w:name="_Toc488248764"/>
      <w:bookmarkStart w:id="9884" w:name="_Toc488249380"/>
      <w:bookmarkStart w:id="9885" w:name="_Toc488249996"/>
      <w:bookmarkStart w:id="9886" w:name="_Toc488330484"/>
      <w:bookmarkStart w:id="9887" w:name="_Toc488387338"/>
      <w:bookmarkStart w:id="9888" w:name="_Toc488402797"/>
      <w:bookmarkStart w:id="9889" w:name="_Toc488403620"/>
      <w:bookmarkStart w:id="9890" w:name="_Toc488404449"/>
      <w:bookmarkStart w:id="9891" w:name="_Toc488405280"/>
      <w:bookmarkStart w:id="9892" w:name="_Toc488406103"/>
      <w:bookmarkStart w:id="9893" w:name="_Toc488406932"/>
      <w:bookmarkStart w:id="9894" w:name="_Toc491410163"/>
      <w:bookmarkStart w:id="9895" w:name="_Toc496018701"/>
      <w:bookmarkStart w:id="9896" w:name="_Toc515787920"/>
      <w:bookmarkStart w:id="9897" w:name="_Toc515789620"/>
      <w:bookmarkStart w:id="9898" w:name="_Toc515790469"/>
      <w:bookmarkStart w:id="9899" w:name="_Toc515791318"/>
      <w:bookmarkStart w:id="9900" w:name="_Toc515792173"/>
      <w:bookmarkStart w:id="9901" w:name="_Toc515793023"/>
      <w:bookmarkStart w:id="9902" w:name="_Toc515793925"/>
      <w:bookmarkStart w:id="9903" w:name="_Toc515794830"/>
      <w:bookmarkStart w:id="9904" w:name="_Toc515796587"/>
      <w:bookmarkStart w:id="9905" w:name="_Toc488245001"/>
      <w:bookmarkStart w:id="9906" w:name="_Toc488248121"/>
      <w:bookmarkStart w:id="9907" w:name="_Toc488248765"/>
      <w:bookmarkStart w:id="9908" w:name="_Toc488249381"/>
      <w:bookmarkStart w:id="9909" w:name="_Toc488249997"/>
      <w:bookmarkStart w:id="9910" w:name="_Toc488330485"/>
      <w:bookmarkStart w:id="9911" w:name="_Toc488387339"/>
      <w:bookmarkStart w:id="9912" w:name="_Toc488402798"/>
      <w:bookmarkStart w:id="9913" w:name="_Toc488403621"/>
      <w:bookmarkStart w:id="9914" w:name="_Toc488404450"/>
      <w:bookmarkStart w:id="9915" w:name="_Toc488405281"/>
      <w:bookmarkStart w:id="9916" w:name="_Toc488406104"/>
      <w:bookmarkStart w:id="9917" w:name="_Toc488406933"/>
      <w:bookmarkStart w:id="9918" w:name="_Toc491410164"/>
      <w:bookmarkStart w:id="9919" w:name="_Toc496018702"/>
      <w:bookmarkStart w:id="9920" w:name="_Toc515787921"/>
      <w:bookmarkStart w:id="9921" w:name="_Toc515789621"/>
      <w:bookmarkStart w:id="9922" w:name="_Toc515790470"/>
      <w:bookmarkStart w:id="9923" w:name="_Toc515791319"/>
      <w:bookmarkStart w:id="9924" w:name="_Toc515792174"/>
      <w:bookmarkStart w:id="9925" w:name="_Toc515793024"/>
      <w:bookmarkStart w:id="9926" w:name="_Toc515793926"/>
      <w:bookmarkStart w:id="9927" w:name="_Toc515794831"/>
      <w:bookmarkStart w:id="9928" w:name="_Toc515796588"/>
      <w:bookmarkStart w:id="9929" w:name="_Toc488245002"/>
      <w:bookmarkStart w:id="9930" w:name="_Toc488248122"/>
      <w:bookmarkStart w:id="9931" w:name="_Toc488248766"/>
      <w:bookmarkStart w:id="9932" w:name="_Toc488249382"/>
      <w:bookmarkStart w:id="9933" w:name="_Toc488249998"/>
      <w:bookmarkStart w:id="9934" w:name="_Toc488330486"/>
      <w:bookmarkStart w:id="9935" w:name="_Toc488387340"/>
      <w:bookmarkStart w:id="9936" w:name="_Toc488402799"/>
      <w:bookmarkStart w:id="9937" w:name="_Toc488403622"/>
      <w:bookmarkStart w:id="9938" w:name="_Toc488404451"/>
      <w:bookmarkStart w:id="9939" w:name="_Toc488405282"/>
      <w:bookmarkStart w:id="9940" w:name="_Toc488406105"/>
      <w:bookmarkStart w:id="9941" w:name="_Toc488406934"/>
      <w:bookmarkStart w:id="9942" w:name="_Toc491410165"/>
      <w:bookmarkStart w:id="9943" w:name="_Toc496018703"/>
      <w:bookmarkStart w:id="9944" w:name="_Toc515787922"/>
      <w:bookmarkStart w:id="9945" w:name="_Toc515789622"/>
      <w:bookmarkStart w:id="9946" w:name="_Toc515790471"/>
      <w:bookmarkStart w:id="9947" w:name="_Toc515791320"/>
      <w:bookmarkStart w:id="9948" w:name="_Toc515792175"/>
      <w:bookmarkStart w:id="9949" w:name="_Toc515793025"/>
      <w:bookmarkStart w:id="9950" w:name="_Toc515793927"/>
      <w:bookmarkStart w:id="9951" w:name="_Toc515794832"/>
      <w:bookmarkStart w:id="9952" w:name="_Toc515796589"/>
      <w:bookmarkStart w:id="9953" w:name="_Toc488245003"/>
      <w:bookmarkStart w:id="9954" w:name="_Toc488248123"/>
      <w:bookmarkStart w:id="9955" w:name="_Toc488248767"/>
      <w:bookmarkStart w:id="9956" w:name="_Toc488249383"/>
      <w:bookmarkStart w:id="9957" w:name="_Toc488249999"/>
      <w:bookmarkStart w:id="9958" w:name="_Toc488330487"/>
      <w:bookmarkStart w:id="9959" w:name="_Toc488387341"/>
      <w:bookmarkStart w:id="9960" w:name="_Toc488402800"/>
      <w:bookmarkStart w:id="9961" w:name="_Toc488403623"/>
      <w:bookmarkStart w:id="9962" w:name="_Toc488404452"/>
      <w:bookmarkStart w:id="9963" w:name="_Toc488405283"/>
      <w:bookmarkStart w:id="9964" w:name="_Toc488406106"/>
      <w:bookmarkStart w:id="9965" w:name="_Toc488406935"/>
      <w:bookmarkStart w:id="9966" w:name="_Toc491410166"/>
      <w:bookmarkStart w:id="9967" w:name="_Toc496018704"/>
      <w:bookmarkStart w:id="9968" w:name="_Toc515787923"/>
      <w:bookmarkStart w:id="9969" w:name="_Toc515789623"/>
      <w:bookmarkStart w:id="9970" w:name="_Toc515790472"/>
      <w:bookmarkStart w:id="9971" w:name="_Toc515791321"/>
      <w:bookmarkStart w:id="9972" w:name="_Toc515792176"/>
      <w:bookmarkStart w:id="9973" w:name="_Toc515793026"/>
      <w:bookmarkStart w:id="9974" w:name="_Toc515793928"/>
      <w:bookmarkStart w:id="9975" w:name="_Toc515794833"/>
      <w:bookmarkStart w:id="9976" w:name="_Toc515796590"/>
      <w:bookmarkStart w:id="9977" w:name="_Toc488245004"/>
      <w:bookmarkStart w:id="9978" w:name="_Toc488248124"/>
      <w:bookmarkStart w:id="9979" w:name="_Toc488248768"/>
      <w:bookmarkStart w:id="9980" w:name="_Toc488249384"/>
      <w:bookmarkStart w:id="9981" w:name="_Toc488250000"/>
      <w:bookmarkStart w:id="9982" w:name="_Toc488330488"/>
      <w:bookmarkStart w:id="9983" w:name="_Toc488387342"/>
      <w:bookmarkStart w:id="9984" w:name="_Toc488402801"/>
      <w:bookmarkStart w:id="9985" w:name="_Toc488403624"/>
      <w:bookmarkStart w:id="9986" w:name="_Toc488404453"/>
      <w:bookmarkStart w:id="9987" w:name="_Toc488405284"/>
      <w:bookmarkStart w:id="9988" w:name="_Toc488406107"/>
      <w:bookmarkStart w:id="9989" w:name="_Toc488406936"/>
      <w:bookmarkStart w:id="9990" w:name="_Toc491410167"/>
      <w:bookmarkStart w:id="9991" w:name="_Toc496018705"/>
      <w:bookmarkStart w:id="9992" w:name="_Toc515787924"/>
      <w:bookmarkStart w:id="9993" w:name="_Toc515789624"/>
      <w:bookmarkStart w:id="9994" w:name="_Toc515790473"/>
      <w:bookmarkStart w:id="9995" w:name="_Toc515791322"/>
      <w:bookmarkStart w:id="9996" w:name="_Toc515792177"/>
      <w:bookmarkStart w:id="9997" w:name="_Toc515793027"/>
      <w:bookmarkStart w:id="9998" w:name="_Toc515793929"/>
      <w:bookmarkStart w:id="9999" w:name="_Toc515794834"/>
      <w:bookmarkStart w:id="10000" w:name="_Toc515796591"/>
      <w:bookmarkStart w:id="10001" w:name="_Toc488245005"/>
      <w:bookmarkStart w:id="10002" w:name="_Toc488248125"/>
      <w:bookmarkStart w:id="10003" w:name="_Toc488248769"/>
      <w:bookmarkStart w:id="10004" w:name="_Toc488249385"/>
      <w:bookmarkStart w:id="10005" w:name="_Toc488250001"/>
      <w:bookmarkStart w:id="10006" w:name="_Toc488330489"/>
      <w:bookmarkStart w:id="10007" w:name="_Toc488387343"/>
      <w:bookmarkStart w:id="10008" w:name="_Toc488402802"/>
      <w:bookmarkStart w:id="10009" w:name="_Toc488403625"/>
      <w:bookmarkStart w:id="10010" w:name="_Toc488404454"/>
      <w:bookmarkStart w:id="10011" w:name="_Toc488405285"/>
      <w:bookmarkStart w:id="10012" w:name="_Toc488406108"/>
      <w:bookmarkStart w:id="10013" w:name="_Toc488406937"/>
      <w:bookmarkStart w:id="10014" w:name="_Toc491410168"/>
      <w:bookmarkStart w:id="10015" w:name="_Toc496018706"/>
      <w:bookmarkStart w:id="10016" w:name="_Toc515787925"/>
      <w:bookmarkStart w:id="10017" w:name="_Toc515789625"/>
      <w:bookmarkStart w:id="10018" w:name="_Toc515790474"/>
      <w:bookmarkStart w:id="10019" w:name="_Toc515791323"/>
      <w:bookmarkStart w:id="10020" w:name="_Toc515792178"/>
      <w:bookmarkStart w:id="10021" w:name="_Toc515793028"/>
      <w:bookmarkStart w:id="10022" w:name="_Toc515793930"/>
      <w:bookmarkStart w:id="10023" w:name="_Toc515794835"/>
      <w:bookmarkStart w:id="10024" w:name="_Toc515796592"/>
      <w:bookmarkStart w:id="10025" w:name="_Toc488245006"/>
      <w:bookmarkStart w:id="10026" w:name="_Toc488248126"/>
      <w:bookmarkStart w:id="10027" w:name="_Toc488248770"/>
      <w:bookmarkStart w:id="10028" w:name="_Toc488249386"/>
      <w:bookmarkStart w:id="10029" w:name="_Toc488250002"/>
      <w:bookmarkStart w:id="10030" w:name="_Toc488330490"/>
      <w:bookmarkStart w:id="10031" w:name="_Toc488387344"/>
      <w:bookmarkStart w:id="10032" w:name="_Toc488402803"/>
      <w:bookmarkStart w:id="10033" w:name="_Toc488403626"/>
      <w:bookmarkStart w:id="10034" w:name="_Toc488404455"/>
      <w:bookmarkStart w:id="10035" w:name="_Toc488405286"/>
      <w:bookmarkStart w:id="10036" w:name="_Toc488406109"/>
      <w:bookmarkStart w:id="10037" w:name="_Toc488406938"/>
      <w:bookmarkStart w:id="10038" w:name="_Toc491410169"/>
      <w:bookmarkStart w:id="10039" w:name="_Toc496018707"/>
      <w:bookmarkStart w:id="10040" w:name="_Toc515787926"/>
      <w:bookmarkStart w:id="10041" w:name="_Toc515789626"/>
      <w:bookmarkStart w:id="10042" w:name="_Toc515790475"/>
      <w:bookmarkStart w:id="10043" w:name="_Toc515791324"/>
      <w:bookmarkStart w:id="10044" w:name="_Toc515792179"/>
      <w:bookmarkStart w:id="10045" w:name="_Toc515793029"/>
      <w:bookmarkStart w:id="10046" w:name="_Toc515793931"/>
      <w:bookmarkStart w:id="10047" w:name="_Toc515794836"/>
      <w:bookmarkStart w:id="10048" w:name="_Toc515796593"/>
      <w:bookmarkStart w:id="10049" w:name="_Toc488245007"/>
      <w:bookmarkStart w:id="10050" w:name="_Toc488248127"/>
      <w:bookmarkStart w:id="10051" w:name="_Toc488248771"/>
      <w:bookmarkStart w:id="10052" w:name="_Toc488249387"/>
      <w:bookmarkStart w:id="10053" w:name="_Toc488250003"/>
      <w:bookmarkStart w:id="10054" w:name="_Toc488330491"/>
      <w:bookmarkStart w:id="10055" w:name="_Toc488387345"/>
      <w:bookmarkStart w:id="10056" w:name="_Toc488402804"/>
      <w:bookmarkStart w:id="10057" w:name="_Toc488403627"/>
      <w:bookmarkStart w:id="10058" w:name="_Toc488404456"/>
      <w:bookmarkStart w:id="10059" w:name="_Toc488405287"/>
      <w:bookmarkStart w:id="10060" w:name="_Toc488406110"/>
      <w:bookmarkStart w:id="10061" w:name="_Toc488406939"/>
      <w:bookmarkStart w:id="10062" w:name="_Toc491410170"/>
      <w:bookmarkStart w:id="10063" w:name="_Toc496018708"/>
      <w:bookmarkStart w:id="10064" w:name="_Toc515787927"/>
      <w:bookmarkStart w:id="10065" w:name="_Toc515789627"/>
      <w:bookmarkStart w:id="10066" w:name="_Toc515790476"/>
      <w:bookmarkStart w:id="10067" w:name="_Toc515791325"/>
      <w:bookmarkStart w:id="10068" w:name="_Toc515792180"/>
      <w:bookmarkStart w:id="10069" w:name="_Toc515793030"/>
      <w:bookmarkStart w:id="10070" w:name="_Toc515793932"/>
      <w:bookmarkStart w:id="10071" w:name="_Toc515794837"/>
      <w:bookmarkStart w:id="10072" w:name="_Toc515796594"/>
      <w:bookmarkStart w:id="10073" w:name="_Toc488245008"/>
      <w:bookmarkStart w:id="10074" w:name="_Toc488248128"/>
      <w:bookmarkStart w:id="10075" w:name="_Toc488248772"/>
      <w:bookmarkStart w:id="10076" w:name="_Toc488249388"/>
      <w:bookmarkStart w:id="10077" w:name="_Toc488250004"/>
      <w:bookmarkStart w:id="10078" w:name="_Toc488330492"/>
      <w:bookmarkStart w:id="10079" w:name="_Toc488387346"/>
      <w:bookmarkStart w:id="10080" w:name="_Toc488402805"/>
      <w:bookmarkStart w:id="10081" w:name="_Toc488403628"/>
      <w:bookmarkStart w:id="10082" w:name="_Toc488404457"/>
      <w:bookmarkStart w:id="10083" w:name="_Toc488405288"/>
      <w:bookmarkStart w:id="10084" w:name="_Toc488406111"/>
      <w:bookmarkStart w:id="10085" w:name="_Toc488406940"/>
      <w:bookmarkStart w:id="10086" w:name="_Toc491410171"/>
      <w:bookmarkStart w:id="10087" w:name="_Toc496018709"/>
      <w:bookmarkStart w:id="10088" w:name="_Toc515787928"/>
      <w:bookmarkStart w:id="10089" w:name="_Toc515789628"/>
      <w:bookmarkStart w:id="10090" w:name="_Toc515790477"/>
      <w:bookmarkStart w:id="10091" w:name="_Toc515791326"/>
      <w:bookmarkStart w:id="10092" w:name="_Toc515792181"/>
      <w:bookmarkStart w:id="10093" w:name="_Toc515793031"/>
      <w:bookmarkStart w:id="10094" w:name="_Toc515793933"/>
      <w:bookmarkStart w:id="10095" w:name="_Toc515794838"/>
      <w:bookmarkStart w:id="10096" w:name="_Toc515796595"/>
      <w:bookmarkStart w:id="10097" w:name="_Toc488245009"/>
      <w:bookmarkStart w:id="10098" w:name="_Toc488248129"/>
      <w:bookmarkStart w:id="10099" w:name="_Toc488248773"/>
      <w:bookmarkStart w:id="10100" w:name="_Toc488249389"/>
      <w:bookmarkStart w:id="10101" w:name="_Toc488250005"/>
      <w:bookmarkStart w:id="10102" w:name="_Toc488330493"/>
      <w:bookmarkStart w:id="10103" w:name="_Toc488387347"/>
      <w:bookmarkStart w:id="10104" w:name="_Toc488402806"/>
      <w:bookmarkStart w:id="10105" w:name="_Toc488403629"/>
      <w:bookmarkStart w:id="10106" w:name="_Toc488404458"/>
      <w:bookmarkStart w:id="10107" w:name="_Toc488405289"/>
      <w:bookmarkStart w:id="10108" w:name="_Toc488406112"/>
      <w:bookmarkStart w:id="10109" w:name="_Toc488406941"/>
      <w:bookmarkStart w:id="10110" w:name="_Toc491410172"/>
      <w:bookmarkStart w:id="10111" w:name="_Toc496018710"/>
      <w:bookmarkStart w:id="10112" w:name="_Toc515787929"/>
      <w:bookmarkStart w:id="10113" w:name="_Toc515789629"/>
      <w:bookmarkStart w:id="10114" w:name="_Toc515790478"/>
      <w:bookmarkStart w:id="10115" w:name="_Toc515791327"/>
      <w:bookmarkStart w:id="10116" w:name="_Toc515792182"/>
      <w:bookmarkStart w:id="10117" w:name="_Toc515793032"/>
      <w:bookmarkStart w:id="10118" w:name="_Toc515793934"/>
      <w:bookmarkStart w:id="10119" w:name="_Toc515794839"/>
      <w:bookmarkStart w:id="10120" w:name="_Toc515796596"/>
      <w:bookmarkStart w:id="10121" w:name="_Toc488245010"/>
      <w:bookmarkStart w:id="10122" w:name="_Toc488248130"/>
      <w:bookmarkStart w:id="10123" w:name="_Toc488248774"/>
      <w:bookmarkStart w:id="10124" w:name="_Toc488249390"/>
      <w:bookmarkStart w:id="10125" w:name="_Toc488250006"/>
      <w:bookmarkStart w:id="10126" w:name="_Toc488330494"/>
      <w:bookmarkStart w:id="10127" w:name="_Toc488387348"/>
      <w:bookmarkStart w:id="10128" w:name="_Toc488402807"/>
      <w:bookmarkStart w:id="10129" w:name="_Toc488403630"/>
      <w:bookmarkStart w:id="10130" w:name="_Toc488404459"/>
      <w:bookmarkStart w:id="10131" w:name="_Toc488405290"/>
      <w:bookmarkStart w:id="10132" w:name="_Toc488406113"/>
      <w:bookmarkStart w:id="10133" w:name="_Toc488406942"/>
      <w:bookmarkStart w:id="10134" w:name="_Toc491410173"/>
      <w:bookmarkStart w:id="10135" w:name="_Toc496018711"/>
      <w:bookmarkStart w:id="10136" w:name="_Toc515787930"/>
      <w:bookmarkStart w:id="10137" w:name="_Toc515789630"/>
      <w:bookmarkStart w:id="10138" w:name="_Toc515790479"/>
      <w:bookmarkStart w:id="10139" w:name="_Toc515791328"/>
      <w:bookmarkStart w:id="10140" w:name="_Toc515792183"/>
      <w:bookmarkStart w:id="10141" w:name="_Toc515793033"/>
      <w:bookmarkStart w:id="10142" w:name="_Toc515793935"/>
      <w:bookmarkStart w:id="10143" w:name="_Toc515794840"/>
      <w:bookmarkStart w:id="10144" w:name="_Toc515796597"/>
      <w:bookmarkStart w:id="10145" w:name="_Toc488245011"/>
      <w:bookmarkStart w:id="10146" w:name="_Toc488248131"/>
      <w:bookmarkStart w:id="10147" w:name="_Toc488248775"/>
      <w:bookmarkStart w:id="10148" w:name="_Toc488249391"/>
      <w:bookmarkStart w:id="10149" w:name="_Toc488250007"/>
      <w:bookmarkStart w:id="10150" w:name="_Toc488330495"/>
      <w:bookmarkStart w:id="10151" w:name="_Toc488387349"/>
      <w:bookmarkStart w:id="10152" w:name="_Toc488402808"/>
      <w:bookmarkStart w:id="10153" w:name="_Toc488403631"/>
      <w:bookmarkStart w:id="10154" w:name="_Toc488404460"/>
      <w:bookmarkStart w:id="10155" w:name="_Toc488405291"/>
      <w:bookmarkStart w:id="10156" w:name="_Toc488406114"/>
      <w:bookmarkStart w:id="10157" w:name="_Toc488406943"/>
      <w:bookmarkStart w:id="10158" w:name="_Toc491410174"/>
      <w:bookmarkStart w:id="10159" w:name="_Toc496018712"/>
      <w:bookmarkStart w:id="10160" w:name="_Toc515787931"/>
      <w:bookmarkStart w:id="10161" w:name="_Toc515789631"/>
      <w:bookmarkStart w:id="10162" w:name="_Toc515790480"/>
      <w:bookmarkStart w:id="10163" w:name="_Toc515791329"/>
      <w:bookmarkStart w:id="10164" w:name="_Toc515792184"/>
      <w:bookmarkStart w:id="10165" w:name="_Toc515793034"/>
      <w:bookmarkStart w:id="10166" w:name="_Toc515793936"/>
      <w:bookmarkStart w:id="10167" w:name="_Toc515794841"/>
      <w:bookmarkStart w:id="10168" w:name="_Toc515796598"/>
      <w:bookmarkStart w:id="10169" w:name="_Toc488245012"/>
      <w:bookmarkStart w:id="10170" w:name="_Toc488248132"/>
      <w:bookmarkStart w:id="10171" w:name="_Toc488248776"/>
      <w:bookmarkStart w:id="10172" w:name="_Toc488249392"/>
      <w:bookmarkStart w:id="10173" w:name="_Toc488250008"/>
      <w:bookmarkStart w:id="10174" w:name="_Toc488330496"/>
      <w:bookmarkStart w:id="10175" w:name="_Toc488387350"/>
      <w:bookmarkStart w:id="10176" w:name="_Toc488402809"/>
      <w:bookmarkStart w:id="10177" w:name="_Toc488403632"/>
      <w:bookmarkStart w:id="10178" w:name="_Toc488404461"/>
      <w:bookmarkStart w:id="10179" w:name="_Toc488405292"/>
      <w:bookmarkStart w:id="10180" w:name="_Toc488406115"/>
      <w:bookmarkStart w:id="10181" w:name="_Toc488406944"/>
      <w:bookmarkStart w:id="10182" w:name="_Toc491410175"/>
      <w:bookmarkStart w:id="10183" w:name="_Toc496018713"/>
      <w:bookmarkStart w:id="10184" w:name="_Toc515787932"/>
      <w:bookmarkStart w:id="10185" w:name="_Toc515789632"/>
      <w:bookmarkStart w:id="10186" w:name="_Toc515790481"/>
      <w:bookmarkStart w:id="10187" w:name="_Toc515791330"/>
      <w:bookmarkStart w:id="10188" w:name="_Toc515792185"/>
      <w:bookmarkStart w:id="10189" w:name="_Toc515793035"/>
      <w:bookmarkStart w:id="10190" w:name="_Toc515793937"/>
      <w:bookmarkStart w:id="10191" w:name="_Toc515794842"/>
      <w:bookmarkStart w:id="10192" w:name="_Toc515796599"/>
      <w:bookmarkStart w:id="10193" w:name="_Toc488245013"/>
      <w:bookmarkStart w:id="10194" w:name="_Toc488248133"/>
      <w:bookmarkStart w:id="10195" w:name="_Toc488248777"/>
      <w:bookmarkStart w:id="10196" w:name="_Toc488249393"/>
      <w:bookmarkStart w:id="10197" w:name="_Toc488250009"/>
      <w:bookmarkStart w:id="10198" w:name="_Toc488330497"/>
      <w:bookmarkStart w:id="10199" w:name="_Toc488387351"/>
      <w:bookmarkStart w:id="10200" w:name="_Toc488402810"/>
      <w:bookmarkStart w:id="10201" w:name="_Toc488403633"/>
      <w:bookmarkStart w:id="10202" w:name="_Toc488404462"/>
      <w:bookmarkStart w:id="10203" w:name="_Toc488405293"/>
      <w:bookmarkStart w:id="10204" w:name="_Toc488406116"/>
      <w:bookmarkStart w:id="10205" w:name="_Toc488406945"/>
      <w:bookmarkStart w:id="10206" w:name="_Toc491410176"/>
      <w:bookmarkStart w:id="10207" w:name="_Toc496018714"/>
      <w:bookmarkStart w:id="10208" w:name="_Toc515787933"/>
      <w:bookmarkStart w:id="10209" w:name="_Toc515789633"/>
      <w:bookmarkStart w:id="10210" w:name="_Toc515790482"/>
      <w:bookmarkStart w:id="10211" w:name="_Toc515791331"/>
      <w:bookmarkStart w:id="10212" w:name="_Toc515792186"/>
      <w:bookmarkStart w:id="10213" w:name="_Toc515793036"/>
      <w:bookmarkStart w:id="10214" w:name="_Toc515793938"/>
      <w:bookmarkStart w:id="10215" w:name="_Toc515794843"/>
      <w:bookmarkStart w:id="10216" w:name="_Toc515796600"/>
      <w:bookmarkStart w:id="10217" w:name="_Toc488245014"/>
      <w:bookmarkStart w:id="10218" w:name="_Toc488248134"/>
      <w:bookmarkStart w:id="10219" w:name="_Toc488248778"/>
      <w:bookmarkStart w:id="10220" w:name="_Toc488249394"/>
      <w:bookmarkStart w:id="10221" w:name="_Toc488250010"/>
      <w:bookmarkStart w:id="10222" w:name="_Toc488330498"/>
      <w:bookmarkStart w:id="10223" w:name="_Toc488387352"/>
      <w:bookmarkStart w:id="10224" w:name="_Toc488402811"/>
      <w:bookmarkStart w:id="10225" w:name="_Toc488403634"/>
      <w:bookmarkStart w:id="10226" w:name="_Toc488404463"/>
      <w:bookmarkStart w:id="10227" w:name="_Toc488405294"/>
      <w:bookmarkStart w:id="10228" w:name="_Toc488406117"/>
      <w:bookmarkStart w:id="10229" w:name="_Toc488406946"/>
      <w:bookmarkStart w:id="10230" w:name="_Toc491410177"/>
      <w:bookmarkStart w:id="10231" w:name="_Toc496018715"/>
      <w:bookmarkStart w:id="10232" w:name="_Toc515787934"/>
      <w:bookmarkStart w:id="10233" w:name="_Toc515789634"/>
      <w:bookmarkStart w:id="10234" w:name="_Toc515790483"/>
      <w:bookmarkStart w:id="10235" w:name="_Toc515791332"/>
      <w:bookmarkStart w:id="10236" w:name="_Toc515792187"/>
      <w:bookmarkStart w:id="10237" w:name="_Toc515793037"/>
      <w:bookmarkStart w:id="10238" w:name="_Toc515793939"/>
      <w:bookmarkStart w:id="10239" w:name="_Toc515794844"/>
      <w:bookmarkStart w:id="10240" w:name="_Toc515796601"/>
      <w:bookmarkStart w:id="10241" w:name="_Toc488245015"/>
      <w:bookmarkStart w:id="10242" w:name="_Toc488248135"/>
      <w:bookmarkStart w:id="10243" w:name="_Toc488248779"/>
      <w:bookmarkStart w:id="10244" w:name="_Toc488249395"/>
      <w:bookmarkStart w:id="10245" w:name="_Toc488250011"/>
      <w:bookmarkStart w:id="10246" w:name="_Toc488330499"/>
      <w:bookmarkStart w:id="10247" w:name="_Toc488387353"/>
      <w:bookmarkStart w:id="10248" w:name="_Toc488402812"/>
      <w:bookmarkStart w:id="10249" w:name="_Toc488403635"/>
      <w:bookmarkStart w:id="10250" w:name="_Toc488404464"/>
      <w:bookmarkStart w:id="10251" w:name="_Toc488405295"/>
      <w:bookmarkStart w:id="10252" w:name="_Toc488406118"/>
      <w:bookmarkStart w:id="10253" w:name="_Toc488406947"/>
      <w:bookmarkStart w:id="10254" w:name="_Toc491410178"/>
      <w:bookmarkStart w:id="10255" w:name="_Toc496018716"/>
      <w:bookmarkStart w:id="10256" w:name="_Toc515787935"/>
      <w:bookmarkStart w:id="10257" w:name="_Toc515789635"/>
      <w:bookmarkStart w:id="10258" w:name="_Toc515790484"/>
      <w:bookmarkStart w:id="10259" w:name="_Toc515791333"/>
      <w:bookmarkStart w:id="10260" w:name="_Toc515792188"/>
      <w:bookmarkStart w:id="10261" w:name="_Toc515793038"/>
      <w:bookmarkStart w:id="10262" w:name="_Toc515793940"/>
      <w:bookmarkStart w:id="10263" w:name="_Toc515794845"/>
      <w:bookmarkStart w:id="10264" w:name="_Toc515796602"/>
      <w:bookmarkStart w:id="10265" w:name="_Toc488245016"/>
      <w:bookmarkStart w:id="10266" w:name="_Toc488248136"/>
      <w:bookmarkStart w:id="10267" w:name="_Toc488248780"/>
      <w:bookmarkStart w:id="10268" w:name="_Toc488249396"/>
      <w:bookmarkStart w:id="10269" w:name="_Toc488250012"/>
      <w:bookmarkStart w:id="10270" w:name="_Toc488330500"/>
      <w:bookmarkStart w:id="10271" w:name="_Toc488387354"/>
      <w:bookmarkStart w:id="10272" w:name="_Toc488402813"/>
      <w:bookmarkStart w:id="10273" w:name="_Toc488403636"/>
      <w:bookmarkStart w:id="10274" w:name="_Toc488404465"/>
      <w:bookmarkStart w:id="10275" w:name="_Toc488405296"/>
      <w:bookmarkStart w:id="10276" w:name="_Toc488406119"/>
      <w:bookmarkStart w:id="10277" w:name="_Toc488406948"/>
      <w:bookmarkStart w:id="10278" w:name="_Toc491410179"/>
      <w:bookmarkStart w:id="10279" w:name="_Toc496018717"/>
      <w:bookmarkStart w:id="10280" w:name="_Toc515787936"/>
      <w:bookmarkStart w:id="10281" w:name="_Toc515789636"/>
      <w:bookmarkStart w:id="10282" w:name="_Toc515790485"/>
      <w:bookmarkStart w:id="10283" w:name="_Toc515791334"/>
      <w:bookmarkStart w:id="10284" w:name="_Toc515792189"/>
      <w:bookmarkStart w:id="10285" w:name="_Toc515793039"/>
      <w:bookmarkStart w:id="10286" w:name="_Toc515793941"/>
      <w:bookmarkStart w:id="10287" w:name="_Toc515794846"/>
      <w:bookmarkStart w:id="10288" w:name="_Toc515796603"/>
      <w:bookmarkStart w:id="10289" w:name="_Toc488245017"/>
      <w:bookmarkStart w:id="10290" w:name="_Toc488248137"/>
      <w:bookmarkStart w:id="10291" w:name="_Toc488248781"/>
      <w:bookmarkStart w:id="10292" w:name="_Toc488249397"/>
      <w:bookmarkStart w:id="10293" w:name="_Toc488250013"/>
      <w:bookmarkStart w:id="10294" w:name="_Toc488330501"/>
      <w:bookmarkStart w:id="10295" w:name="_Toc488387355"/>
      <w:bookmarkStart w:id="10296" w:name="_Toc488402814"/>
      <w:bookmarkStart w:id="10297" w:name="_Toc488403637"/>
      <w:bookmarkStart w:id="10298" w:name="_Toc488404466"/>
      <w:bookmarkStart w:id="10299" w:name="_Toc488405297"/>
      <w:bookmarkStart w:id="10300" w:name="_Toc488406120"/>
      <w:bookmarkStart w:id="10301" w:name="_Toc488406949"/>
      <w:bookmarkStart w:id="10302" w:name="_Toc491410180"/>
      <w:bookmarkStart w:id="10303" w:name="_Toc496018718"/>
      <w:bookmarkStart w:id="10304" w:name="_Toc515787937"/>
      <w:bookmarkStart w:id="10305" w:name="_Toc515789637"/>
      <w:bookmarkStart w:id="10306" w:name="_Toc515790486"/>
      <w:bookmarkStart w:id="10307" w:name="_Toc515791335"/>
      <w:bookmarkStart w:id="10308" w:name="_Toc515792190"/>
      <w:bookmarkStart w:id="10309" w:name="_Toc515793040"/>
      <w:bookmarkStart w:id="10310" w:name="_Toc515793942"/>
      <w:bookmarkStart w:id="10311" w:name="_Toc515794847"/>
      <w:bookmarkStart w:id="10312" w:name="_Toc515796604"/>
      <w:bookmarkStart w:id="10313" w:name="_Toc488245018"/>
      <w:bookmarkStart w:id="10314" w:name="_Toc488248138"/>
      <w:bookmarkStart w:id="10315" w:name="_Toc488248782"/>
      <w:bookmarkStart w:id="10316" w:name="_Toc488249398"/>
      <w:bookmarkStart w:id="10317" w:name="_Toc488250014"/>
      <w:bookmarkStart w:id="10318" w:name="_Toc488330502"/>
      <w:bookmarkStart w:id="10319" w:name="_Toc488387356"/>
      <w:bookmarkStart w:id="10320" w:name="_Toc488402815"/>
      <w:bookmarkStart w:id="10321" w:name="_Toc488403638"/>
      <w:bookmarkStart w:id="10322" w:name="_Toc488404467"/>
      <w:bookmarkStart w:id="10323" w:name="_Toc488405298"/>
      <w:bookmarkStart w:id="10324" w:name="_Toc488406121"/>
      <w:bookmarkStart w:id="10325" w:name="_Toc488406950"/>
      <w:bookmarkStart w:id="10326" w:name="_Toc491410181"/>
      <w:bookmarkStart w:id="10327" w:name="_Toc496018719"/>
      <w:bookmarkStart w:id="10328" w:name="_Toc515787938"/>
      <w:bookmarkStart w:id="10329" w:name="_Toc515789638"/>
      <w:bookmarkStart w:id="10330" w:name="_Toc515790487"/>
      <w:bookmarkStart w:id="10331" w:name="_Toc515791336"/>
      <w:bookmarkStart w:id="10332" w:name="_Toc515792191"/>
      <w:bookmarkStart w:id="10333" w:name="_Toc515793041"/>
      <w:bookmarkStart w:id="10334" w:name="_Toc515793943"/>
      <w:bookmarkStart w:id="10335" w:name="_Toc515794848"/>
      <w:bookmarkStart w:id="10336" w:name="_Toc515796605"/>
      <w:bookmarkStart w:id="10337" w:name="_Toc488245019"/>
      <w:bookmarkStart w:id="10338" w:name="_Toc488248139"/>
      <w:bookmarkStart w:id="10339" w:name="_Toc488248783"/>
      <w:bookmarkStart w:id="10340" w:name="_Toc488249399"/>
      <w:bookmarkStart w:id="10341" w:name="_Toc488250015"/>
      <w:bookmarkStart w:id="10342" w:name="_Toc488330503"/>
      <w:bookmarkStart w:id="10343" w:name="_Toc488387357"/>
      <w:bookmarkStart w:id="10344" w:name="_Toc488402816"/>
      <w:bookmarkStart w:id="10345" w:name="_Toc488403639"/>
      <w:bookmarkStart w:id="10346" w:name="_Toc488404468"/>
      <w:bookmarkStart w:id="10347" w:name="_Toc488405299"/>
      <w:bookmarkStart w:id="10348" w:name="_Toc488406122"/>
      <w:bookmarkStart w:id="10349" w:name="_Toc488406951"/>
      <w:bookmarkStart w:id="10350" w:name="_Toc491410182"/>
      <w:bookmarkStart w:id="10351" w:name="_Toc496018720"/>
      <w:bookmarkStart w:id="10352" w:name="_Toc515787939"/>
      <w:bookmarkStart w:id="10353" w:name="_Toc515789639"/>
      <w:bookmarkStart w:id="10354" w:name="_Toc515790488"/>
      <w:bookmarkStart w:id="10355" w:name="_Toc515791337"/>
      <w:bookmarkStart w:id="10356" w:name="_Toc515792192"/>
      <w:bookmarkStart w:id="10357" w:name="_Toc515793042"/>
      <w:bookmarkStart w:id="10358" w:name="_Toc515793944"/>
      <w:bookmarkStart w:id="10359" w:name="_Toc515794849"/>
      <w:bookmarkStart w:id="10360" w:name="_Toc515796606"/>
      <w:bookmarkStart w:id="10361" w:name="_Toc488245020"/>
      <w:bookmarkStart w:id="10362" w:name="_Toc488248140"/>
      <w:bookmarkStart w:id="10363" w:name="_Toc488248784"/>
      <w:bookmarkStart w:id="10364" w:name="_Toc488249400"/>
      <w:bookmarkStart w:id="10365" w:name="_Toc488250016"/>
      <w:bookmarkStart w:id="10366" w:name="_Toc488330504"/>
      <w:bookmarkStart w:id="10367" w:name="_Toc488387358"/>
      <w:bookmarkStart w:id="10368" w:name="_Toc488402817"/>
      <w:bookmarkStart w:id="10369" w:name="_Toc488403640"/>
      <w:bookmarkStart w:id="10370" w:name="_Toc488404469"/>
      <w:bookmarkStart w:id="10371" w:name="_Toc488405300"/>
      <w:bookmarkStart w:id="10372" w:name="_Toc488406123"/>
      <w:bookmarkStart w:id="10373" w:name="_Toc488406952"/>
      <w:bookmarkStart w:id="10374" w:name="_Toc491410183"/>
      <w:bookmarkStart w:id="10375" w:name="_Toc496018721"/>
      <w:bookmarkStart w:id="10376" w:name="_Toc515787940"/>
      <w:bookmarkStart w:id="10377" w:name="_Toc515789640"/>
      <w:bookmarkStart w:id="10378" w:name="_Toc515790489"/>
      <w:bookmarkStart w:id="10379" w:name="_Toc515791338"/>
      <w:bookmarkStart w:id="10380" w:name="_Toc515792193"/>
      <w:bookmarkStart w:id="10381" w:name="_Toc515793043"/>
      <w:bookmarkStart w:id="10382" w:name="_Toc515793945"/>
      <w:bookmarkStart w:id="10383" w:name="_Toc515794850"/>
      <w:bookmarkStart w:id="10384" w:name="_Toc515796607"/>
      <w:bookmarkStart w:id="10385" w:name="_Toc488245021"/>
      <w:bookmarkStart w:id="10386" w:name="_Toc488248141"/>
      <w:bookmarkStart w:id="10387" w:name="_Toc488248785"/>
      <w:bookmarkStart w:id="10388" w:name="_Toc488249401"/>
      <w:bookmarkStart w:id="10389" w:name="_Toc488250017"/>
      <w:bookmarkStart w:id="10390" w:name="_Toc488330505"/>
      <w:bookmarkStart w:id="10391" w:name="_Toc488387359"/>
      <w:bookmarkStart w:id="10392" w:name="_Toc488402818"/>
      <w:bookmarkStart w:id="10393" w:name="_Toc488403641"/>
      <w:bookmarkStart w:id="10394" w:name="_Toc488404470"/>
      <w:bookmarkStart w:id="10395" w:name="_Toc488405301"/>
      <w:bookmarkStart w:id="10396" w:name="_Toc488406124"/>
      <w:bookmarkStart w:id="10397" w:name="_Toc488406953"/>
      <w:bookmarkStart w:id="10398" w:name="_Toc491410184"/>
      <w:bookmarkStart w:id="10399" w:name="_Toc496018722"/>
      <w:bookmarkStart w:id="10400" w:name="_Toc515787941"/>
      <w:bookmarkStart w:id="10401" w:name="_Toc515789641"/>
      <w:bookmarkStart w:id="10402" w:name="_Toc515790490"/>
      <w:bookmarkStart w:id="10403" w:name="_Toc515791339"/>
      <w:bookmarkStart w:id="10404" w:name="_Toc515792194"/>
      <w:bookmarkStart w:id="10405" w:name="_Toc515793044"/>
      <w:bookmarkStart w:id="10406" w:name="_Toc515793946"/>
      <w:bookmarkStart w:id="10407" w:name="_Toc515794851"/>
      <w:bookmarkStart w:id="10408" w:name="_Toc515796608"/>
      <w:bookmarkStart w:id="10409" w:name="_Toc488245022"/>
      <w:bookmarkStart w:id="10410" w:name="_Toc488248142"/>
      <w:bookmarkStart w:id="10411" w:name="_Toc488248786"/>
      <w:bookmarkStart w:id="10412" w:name="_Toc488249402"/>
      <w:bookmarkStart w:id="10413" w:name="_Toc488250018"/>
      <w:bookmarkStart w:id="10414" w:name="_Toc488330506"/>
      <w:bookmarkStart w:id="10415" w:name="_Toc488387360"/>
      <w:bookmarkStart w:id="10416" w:name="_Toc488402819"/>
      <w:bookmarkStart w:id="10417" w:name="_Toc488403642"/>
      <w:bookmarkStart w:id="10418" w:name="_Toc488404471"/>
      <w:bookmarkStart w:id="10419" w:name="_Toc488405302"/>
      <w:bookmarkStart w:id="10420" w:name="_Toc488406125"/>
      <w:bookmarkStart w:id="10421" w:name="_Toc488406954"/>
      <w:bookmarkStart w:id="10422" w:name="_Toc491410185"/>
      <w:bookmarkStart w:id="10423" w:name="_Toc496018723"/>
      <w:bookmarkStart w:id="10424" w:name="_Toc515787942"/>
      <w:bookmarkStart w:id="10425" w:name="_Toc515789642"/>
      <w:bookmarkStart w:id="10426" w:name="_Toc515790491"/>
      <w:bookmarkStart w:id="10427" w:name="_Toc515791340"/>
      <w:bookmarkStart w:id="10428" w:name="_Toc515792195"/>
      <w:bookmarkStart w:id="10429" w:name="_Toc515793045"/>
      <w:bookmarkStart w:id="10430" w:name="_Toc515793947"/>
      <w:bookmarkStart w:id="10431" w:name="_Toc515794852"/>
      <w:bookmarkStart w:id="10432" w:name="_Toc515796609"/>
      <w:bookmarkStart w:id="10433" w:name="_Toc488245023"/>
      <w:bookmarkStart w:id="10434" w:name="_Toc488248143"/>
      <w:bookmarkStart w:id="10435" w:name="_Toc488248787"/>
      <w:bookmarkStart w:id="10436" w:name="_Toc488249403"/>
      <w:bookmarkStart w:id="10437" w:name="_Toc488250019"/>
      <w:bookmarkStart w:id="10438" w:name="_Toc488330507"/>
      <w:bookmarkStart w:id="10439" w:name="_Toc488387361"/>
      <w:bookmarkStart w:id="10440" w:name="_Toc488402820"/>
      <w:bookmarkStart w:id="10441" w:name="_Toc488403643"/>
      <w:bookmarkStart w:id="10442" w:name="_Toc488404472"/>
      <w:bookmarkStart w:id="10443" w:name="_Toc488405303"/>
      <w:bookmarkStart w:id="10444" w:name="_Toc488406126"/>
      <w:bookmarkStart w:id="10445" w:name="_Toc488406955"/>
      <w:bookmarkStart w:id="10446" w:name="_Toc491410186"/>
      <w:bookmarkStart w:id="10447" w:name="_Toc496018724"/>
      <w:bookmarkStart w:id="10448" w:name="_Toc515787943"/>
      <w:bookmarkStart w:id="10449" w:name="_Toc515789643"/>
      <w:bookmarkStart w:id="10450" w:name="_Toc515790492"/>
      <w:bookmarkStart w:id="10451" w:name="_Toc515791341"/>
      <w:bookmarkStart w:id="10452" w:name="_Toc515792196"/>
      <w:bookmarkStart w:id="10453" w:name="_Toc515793046"/>
      <w:bookmarkStart w:id="10454" w:name="_Toc515793948"/>
      <w:bookmarkStart w:id="10455" w:name="_Toc515794853"/>
      <w:bookmarkStart w:id="10456" w:name="_Toc515796610"/>
      <w:bookmarkStart w:id="10457" w:name="_Toc488245024"/>
      <w:bookmarkStart w:id="10458" w:name="_Toc488248144"/>
      <w:bookmarkStart w:id="10459" w:name="_Toc488248788"/>
      <w:bookmarkStart w:id="10460" w:name="_Toc488249404"/>
      <w:bookmarkStart w:id="10461" w:name="_Toc488250020"/>
      <w:bookmarkStart w:id="10462" w:name="_Toc488330508"/>
      <w:bookmarkStart w:id="10463" w:name="_Toc488387362"/>
      <w:bookmarkStart w:id="10464" w:name="_Toc488402821"/>
      <w:bookmarkStart w:id="10465" w:name="_Toc488403644"/>
      <w:bookmarkStart w:id="10466" w:name="_Toc488404473"/>
      <w:bookmarkStart w:id="10467" w:name="_Toc488405304"/>
      <w:bookmarkStart w:id="10468" w:name="_Toc488406127"/>
      <w:bookmarkStart w:id="10469" w:name="_Toc488406956"/>
      <w:bookmarkStart w:id="10470" w:name="_Toc491410187"/>
      <w:bookmarkStart w:id="10471" w:name="_Toc496018725"/>
      <w:bookmarkStart w:id="10472" w:name="_Toc515787944"/>
      <w:bookmarkStart w:id="10473" w:name="_Toc515789644"/>
      <w:bookmarkStart w:id="10474" w:name="_Toc515790493"/>
      <w:bookmarkStart w:id="10475" w:name="_Toc515791342"/>
      <w:bookmarkStart w:id="10476" w:name="_Toc515792197"/>
      <w:bookmarkStart w:id="10477" w:name="_Toc515793047"/>
      <w:bookmarkStart w:id="10478" w:name="_Toc515793949"/>
      <w:bookmarkStart w:id="10479" w:name="_Toc515794854"/>
      <w:bookmarkStart w:id="10480" w:name="_Toc515796611"/>
      <w:bookmarkStart w:id="10481" w:name="_Toc488245025"/>
      <w:bookmarkStart w:id="10482" w:name="_Toc488248145"/>
      <w:bookmarkStart w:id="10483" w:name="_Toc488248789"/>
      <w:bookmarkStart w:id="10484" w:name="_Toc488249405"/>
      <w:bookmarkStart w:id="10485" w:name="_Toc488250021"/>
      <w:bookmarkStart w:id="10486" w:name="_Toc488330509"/>
      <w:bookmarkStart w:id="10487" w:name="_Toc488387363"/>
      <w:bookmarkStart w:id="10488" w:name="_Toc488402822"/>
      <w:bookmarkStart w:id="10489" w:name="_Toc488403645"/>
      <w:bookmarkStart w:id="10490" w:name="_Toc488404474"/>
      <w:bookmarkStart w:id="10491" w:name="_Toc488405305"/>
      <w:bookmarkStart w:id="10492" w:name="_Toc488406128"/>
      <w:bookmarkStart w:id="10493" w:name="_Toc488406957"/>
      <w:bookmarkStart w:id="10494" w:name="_Toc491410188"/>
      <w:bookmarkStart w:id="10495" w:name="_Toc496018726"/>
      <w:bookmarkStart w:id="10496" w:name="_Toc515787945"/>
      <w:bookmarkStart w:id="10497" w:name="_Toc515789645"/>
      <w:bookmarkStart w:id="10498" w:name="_Toc515790494"/>
      <w:bookmarkStart w:id="10499" w:name="_Toc515791343"/>
      <w:bookmarkStart w:id="10500" w:name="_Toc515792198"/>
      <w:bookmarkStart w:id="10501" w:name="_Toc515793048"/>
      <w:bookmarkStart w:id="10502" w:name="_Toc515793950"/>
      <w:bookmarkStart w:id="10503" w:name="_Toc515794855"/>
      <w:bookmarkStart w:id="10504" w:name="_Toc515796612"/>
      <w:bookmarkStart w:id="10505" w:name="_Toc488245026"/>
      <w:bookmarkStart w:id="10506" w:name="_Toc488248146"/>
      <w:bookmarkStart w:id="10507" w:name="_Toc488248790"/>
      <w:bookmarkStart w:id="10508" w:name="_Toc488249406"/>
      <w:bookmarkStart w:id="10509" w:name="_Toc488250022"/>
      <w:bookmarkStart w:id="10510" w:name="_Toc488330510"/>
      <w:bookmarkStart w:id="10511" w:name="_Toc488387364"/>
      <w:bookmarkStart w:id="10512" w:name="_Toc488402823"/>
      <w:bookmarkStart w:id="10513" w:name="_Toc488403646"/>
      <w:bookmarkStart w:id="10514" w:name="_Toc488404475"/>
      <w:bookmarkStart w:id="10515" w:name="_Toc488405306"/>
      <w:bookmarkStart w:id="10516" w:name="_Toc488406129"/>
      <w:bookmarkStart w:id="10517" w:name="_Toc488406958"/>
      <w:bookmarkStart w:id="10518" w:name="_Toc491410189"/>
      <w:bookmarkStart w:id="10519" w:name="_Toc496018727"/>
      <w:bookmarkStart w:id="10520" w:name="_Toc515787946"/>
      <w:bookmarkStart w:id="10521" w:name="_Toc515789646"/>
      <w:bookmarkStart w:id="10522" w:name="_Toc515790495"/>
      <w:bookmarkStart w:id="10523" w:name="_Toc515791344"/>
      <w:bookmarkStart w:id="10524" w:name="_Toc515792199"/>
      <w:bookmarkStart w:id="10525" w:name="_Toc515793049"/>
      <w:bookmarkStart w:id="10526" w:name="_Toc515793951"/>
      <w:bookmarkStart w:id="10527" w:name="_Toc515794856"/>
      <w:bookmarkStart w:id="10528" w:name="_Toc515796613"/>
      <w:bookmarkStart w:id="10529" w:name="_Toc488245027"/>
      <w:bookmarkStart w:id="10530" w:name="_Toc488248147"/>
      <w:bookmarkStart w:id="10531" w:name="_Toc488248791"/>
      <w:bookmarkStart w:id="10532" w:name="_Toc488249407"/>
      <w:bookmarkStart w:id="10533" w:name="_Toc488250023"/>
      <w:bookmarkStart w:id="10534" w:name="_Toc488330511"/>
      <w:bookmarkStart w:id="10535" w:name="_Toc488387365"/>
      <w:bookmarkStart w:id="10536" w:name="_Toc488402824"/>
      <w:bookmarkStart w:id="10537" w:name="_Toc488403647"/>
      <w:bookmarkStart w:id="10538" w:name="_Toc488404476"/>
      <w:bookmarkStart w:id="10539" w:name="_Toc488405307"/>
      <w:bookmarkStart w:id="10540" w:name="_Toc488406130"/>
      <w:bookmarkStart w:id="10541" w:name="_Toc488406959"/>
      <w:bookmarkStart w:id="10542" w:name="_Toc491410190"/>
      <w:bookmarkStart w:id="10543" w:name="_Toc496018728"/>
      <w:bookmarkStart w:id="10544" w:name="_Toc515787947"/>
      <w:bookmarkStart w:id="10545" w:name="_Toc515789647"/>
      <w:bookmarkStart w:id="10546" w:name="_Toc515790496"/>
      <w:bookmarkStart w:id="10547" w:name="_Toc515791345"/>
      <w:bookmarkStart w:id="10548" w:name="_Toc515792200"/>
      <w:bookmarkStart w:id="10549" w:name="_Toc515793050"/>
      <w:bookmarkStart w:id="10550" w:name="_Toc515793952"/>
      <w:bookmarkStart w:id="10551" w:name="_Toc515794857"/>
      <w:bookmarkStart w:id="10552" w:name="_Toc515796614"/>
      <w:bookmarkStart w:id="10553" w:name="_Toc488245028"/>
      <w:bookmarkStart w:id="10554" w:name="_Toc488248148"/>
      <w:bookmarkStart w:id="10555" w:name="_Toc488248792"/>
      <w:bookmarkStart w:id="10556" w:name="_Toc488249408"/>
      <w:bookmarkStart w:id="10557" w:name="_Toc488250024"/>
      <w:bookmarkStart w:id="10558" w:name="_Toc488330512"/>
      <w:bookmarkStart w:id="10559" w:name="_Toc488387366"/>
      <w:bookmarkStart w:id="10560" w:name="_Toc488402825"/>
      <w:bookmarkStart w:id="10561" w:name="_Toc488403648"/>
      <w:bookmarkStart w:id="10562" w:name="_Toc488404477"/>
      <w:bookmarkStart w:id="10563" w:name="_Toc488405308"/>
      <w:bookmarkStart w:id="10564" w:name="_Toc488406131"/>
      <w:bookmarkStart w:id="10565" w:name="_Toc488406960"/>
      <w:bookmarkStart w:id="10566" w:name="_Toc491410191"/>
      <w:bookmarkStart w:id="10567" w:name="_Toc496018729"/>
      <w:bookmarkStart w:id="10568" w:name="_Toc515787948"/>
      <w:bookmarkStart w:id="10569" w:name="_Toc515789648"/>
      <w:bookmarkStart w:id="10570" w:name="_Toc515790497"/>
      <w:bookmarkStart w:id="10571" w:name="_Toc515791346"/>
      <w:bookmarkStart w:id="10572" w:name="_Toc515792201"/>
      <w:bookmarkStart w:id="10573" w:name="_Toc515793051"/>
      <w:bookmarkStart w:id="10574" w:name="_Toc515793953"/>
      <w:bookmarkStart w:id="10575" w:name="_Toc515794858"/>
      <w:bookmarkStart w:id="10576" w:name="_Toc515796615"/>
      <w:bookmarkStart w:id="10577" w:name="_Toc488245029"/>
      <w:bookmarkStart w:id="10578" w:name="_Toc488248149"/>
      <w:bookmarkStart w:id="10579" w:name="_Toc488248793"/>
      <w:bookmarkStart w:id="10580" w:name="_Toc488249409"/>
      <w:bookmarkStart w:id="10581" w:name="_Toc488250025"/>
      <w:bookmarkStart w:id="10582" w:name="_Toc488330513"/>
      <w:bookmarkStart w:id="10583" w:name="_Toc488387367"/>
      <w:bookmarkStart w:id="10584" w:name="_Toc488402826"/>
      <w:bookmarkStart w:id="10585" w:name="_Toc488403649"/>
      <w:bookmarkStart w:id="10586" w:name="_Toc488404478"/>
      <w:bookmarkStart w:id="10587" w:name="_Toc488405309"/>
      <w:bookmarkStart w:id="10588" w:name="_Toc488406132"/>
      <w:bookmarkStart w:id="10589" w:name="_Toc488406961"/>
      <w:bookmarkStart w:id="10590" w:name="_Toc491410192"/>
      <w:bookmarkStart w:id="10591" w:name="_Toc496018730"/>
      <w:bookmarkStart w:id="10592" w:name="_Toc515787949"/>
      <w:bookmarkStart w:id="10593" w:name="_Toc515789649"/>
      <w:bookmarkStart w:id="10594" w:name="_Toc515790498"/>
      <w:bookmarkStart w:id="10595" w:name="_Toc515791347"/>
      <w:bookmarkStart w:id="10596" w:name="_Toc515792202"/>
      <w:bookmarkStart w:id="10597" w:name="_Toc515793052"/>
      <w:bookmarkStart w:id="10598" w:name="_Toc515793954"/>
      <w:bookmarkStart w:id="10599" w:name="_Toc515794859"/>
      <w:bookmarkStart w:id="10600" w:name="_Toc515796616"/>
      <w:bookmarkStart w:id="10601" w:name="_Toc488245030"/>
      <w:bookmarkStart w:id="10602" w:name="_Toc488248150"/>
      <w:bookmarkStart w:id="10603" w:name="_Toc488248794"/>
      <w:bookmarkStart w:id="10604" w:name="_Toc488249410"/>
      <w:bookmarkStart w:id="10605" w:name="_Toc488250026"/>
      <w:bookmarkStart w:id="10606" w:name="_Toc488330514"/>
      <w:bookmarkStart w:id="10607" w:name="_Toc488387368"/>
      <w:bookmarkStart w:id="10608" w:name="_Toc488402827"/>
      <w:bookmarkStart w:id="10609" w:name="_Toc488403650"/>
      <w:bookmarkStart w:id="10610" w:name="_Toc488404479"/>
      <w:bookmarkStart w:id="10611" w:name="_Toc488405310"/>
      <w:bookmarkStart w:id="10612" w:name="_Toc488406133"/>
      <w:bookmarkStart w:id="10613" w:name="_Toc488406962"/>
      <w:bookmarkStart w:id="10614" w:name="_Toc491410193"/>
      <w:bookmarkStart w:id="10615" w:name="_Toc496018731"/>
      <w:bookmarkStart w:id="10616" w:name="_Toc515787950"/>
      <w:bookmarkStart w:id="10617" w:name="_Toc515789650"/>
      <w:bookmarkStart w:id="10618" w:name="_Toc515790499"/>
      <w:bookmarkStart w:id="10619" w:name="_Toc515791348"/>
      <w:bookmarkStart w:id="10620" w:name="_Toc515792203"/>
      <w:bookmarkStart w:id="10621" w:name="_Toc515793053"/>
      <w:bookmarkStart w:id="10622" w:name="_Toc515793955"/>
      <w:bookmarkStart w:id="10623" w:name="_Toc515794860"/>
      <w:bookmarkStart w:id="10624" w:name="_Toc515796617"/>
      <w:bookmarkStart w:id="10625" w:name="_Toc488245031"/>
      <w:bookmarkStart w:id="10626" w:name="_Toc488248151"/>
      <w:bookmarkStart w:id="10627" w:name="_Toc488248795"/>
      <w:bookmarkStart w:id="10628" w:name="_Toc488249411"/>
      <w:bookmarkStart w:id="10629" w:name="_Toc488250027"/>
      <w:bookmarkStart w:id="10630" w:name="_Toc488330515"/>
      <w:bookmarkStart w:id="10631" w:name="_Toc488387369"/>
      <w:bookmarkStart w:id="10632" w:name="_Toc488402828"/>
      <w:bookmarkStart w:id="10633" w:name="_Toc488403651"/>
      <w:bookmarkStart w:id="10634" w:name="_Toc488404480"/>
      <w:bookmarkStart w:id="10635" w:name="_Toc488405311"/>
      <w:bookmarkStart w:id="10636" w:name="_Toc488406134"/>
      <w:bookmarkStart w:id="10637" w:name="_Toc488406963"/>
      <w:bookmarkStart w:id="10638" w:name="_Toc491410194"/>
      <w:bookmarkStart w:id="10639" w:name="_Toc496018732"/>
      <w:bookmarkStart w:id="10640" w:name="_Toc515787951"/>
      <w:bookmarkStart w:id="10641" w:name="_Toc515789651"/>
      <w:bookmarkStart w:id="10642" w:name="_Toc515790500"/>
      <w:bookmarkStart w:id="10643" w:name="_Toc515791349"/>
      <w:bookmarkStart w:id="10644" w:name="_Toc515792204"/>
      <w:bookmarkStart w:id="10645" w:name="_Toc515793054"/>
      <w:bookmarkStart w:id="10646" w:name="_Toc515793956"/>
      <w:bookmarkStart w:id="10647" w:name="_Toc515794861"/>
      <w:bookmarkStart w:id="10648" w:name="_Toc515796618"/>
      <w:bookmarkStart w:id="10649" w:name="_Toc488245032"/>
      <w:bookmarkStart w:id="10650" w:name="_Toc488248152"/>
      <w:bookmarkStart w:id="10651" w:name="_Toc488248796"/>
      <w:bookmarkStart w:id="10652" w:name="_Toc488249412"/>
      <w:bookmarkStart w:id="10653" w:name="_Toc488250028"/>
      <w:bookmarkStart w:id="10654" w:name="_Toc488330516"/>
      <w:bookmarkStart w:id="10655" w:name="_Toc488387370"/>
      <w:bookmarkStart w:id="10656" w:name="_Toc488402829"/>
      <w:bookmarkStart w:id="10657" w:name="_Toc488403652"/>
      <w:bookmarkStart w:id="10658" w:name="_Toc488404481"/>
      <w:bookmarkStart w:id="10659" w:name="_Toc488405312"/>
      <w:bookmarkStart w:id="10660" w:name="_Toc488406135"/>
      <w:bookmarkStart w:id="10661" w:name="_Toc488406964"/>
      <w:bookmarkStart w:id="10662" w:name="_Toc491410195"/>
      <w:bookmarkStart w:id="10663" w:name="_Toc496018733"/>
      <w:bookmarkStart w:id="10664" w:name="_Toc515787952"/>
      <w:bookmarkStart w:id="10665" w:name="_Toc515789652"/>
      <w:bookmarkStart w:id="10666" w:name="_Toc515790501"/>
      <w:bookmarkStart w:id="10667" w:name="_Toc515791350"/>
      <w:bookmarkStart w:id="10668" w:name="_Toc515792205"/>
      <w:bookmarkStart w:id="10669" w:name="_Toc515793055"/>
      <w:bookmarkStart w:id="10670" w:name="_Toc515793957"/>
      <w:bookmarkStart w:id="10671" w:name="_Toc515794862"/>
      <w:bookmarkStart w:id="10672" w:name="_Toc515796619"/>
      <w:bookmarkStart w:id="10673" w:name="_Toc488245033"/>
      <w:bookmarkStart w:id="10674" w:name="_Toc488248153"/>
      <w:bookmarkStart w:id="10675" w:name="_Toc488248797"/>
      <w:bookmarkStart w:id="10676" w:name="_Toc488249413"/>
      <w:bookmarkStart w:id="10677" w:name="_Toc488250029"/>
      <w:bookmarkStart w:id="10678" w:name="_Toc488330517"/>
      <w:bookmarkStart w:id="10679" w:name="_Toc488387371"/>
      <w:bookmarkStart w:id="10680" w:name="_Toc488402830"/>
      <w:bookmarkStart w:id="10681" w:name="_Toc488403653"/>
      <w:bookmarkStart w:id="10682" w:name="_Toc488404482"/>
      <w:bookmarkStart w:id="10683" w:name="_Toc488405313"/>
      <w:bookmarkStart w:id="10684" w:name="_Toc488406136"/>
      <w:bookmarkStart w:id="10685" w:name="_Toc488406965"/>
      <w:bookmarkStart w:id="10686" w:name="_Toc491410196"/>
      <w:bookmarkStart w:id="10687" w:name="_Toc496018734"/>
      <w:bookmarkStart w:id="10688" w:name="_Toc515787953"/>
      <w:bookmarkStart w:id="10689" w:name="_Toc515789653"/>
      <w:bookmarkStart w:id="10690" w:name="_Toc515790502"/>
      <w:bookmarkStart w:id="10691" w:name="_Toc515791351"/>
      <w:bookmarkStart w:id="10692" w:name="_Toc515792206"/>
      <w:bookmarkStart w:id="10693" w:name="_Toc515793056"/>
      <w:bookmarkStart w:id="10694" w:name="_Toc515793958"/>
      <w:bookmarkStart w:id="10695" w:name="_Toc515794863"/>
      <w:bookmarkStart w:id="10696" w:name="_Toc515796620"/>
      <w:bookmarkStart w:id="10697" w:name="_Toc488245034"/>
      <w:bookmarkStart w:id="10698" w:name="_Toc488248154"/>
      <w:bookmarkStart w:id="10699" w:name="_Toc488248798"/>
      <w:bookmarkStart w:id="10700" w:name="_Toc488249414"/>
      <w:bookmarkStart w:id="10701" w:name="_Toc488250030"/>
      <w:bookmarkStart w:id="10702" w:name="_Toc488330518"/>
      <w:bookmarkStart w:id="10703" w:name="_Toc488387372"/>
      <w:bookmarkStart w:id="10704" w:name="_Toc488402831"/>
      <w:bookmarkStart w:id="10705" w:name="_Toc488403654"/>
      <w:bookmarkStart w:id="10706" w:name="_Toc488404483"/>
      <w:bookmarkStart w:id="10707" w:name="_Toc488405314"/>
      <w:bookmarkStart w:id="10708" w:name="_Toc488406137"/>
      <w:bookmarkStart w:id="10709" w:name="_Toc488406966"/>
      <w:bookmarkStart w:id="10710" w:name="_Toc491410197"/>
      <w:bookmarkStart w:id="10711" w:name="_Toc496018735"/>
      <w:bookmarkStart w:id="10712" w:name="_Toc515787954"/>
      <w:bookmarkStart w:id="10713" w:name="_Toc515789654"/>
      <w:bookmarkStart w:id="10714" w:name="_Toc515790503"/>
      <w:bookmarkStart w:id="10715" w:name="_Toc515791352"/>
      <w:bookmarkStart w:id="10716" w:name="_Toc515792207"/>
      <w:bookmarkStart w:id="10717" w:name="_Toc515793057"/>
      <w:bookmarkStart w:id="10718" w:name="_Toc515793959"/>
      <w:bookmarkStart w:id="10719" w:name="_Toc515794864"/>
      <w:bookmarkStart w:id="10720" w:name="_Toc515796621"/>
      <w:bookmarkStart w:id="10721" w:name="_Toc488245035"/>
      <w:bookmarkStart w:id="10722" w:name="_Toc488248155"/>
      <w:bookmarkStart w:id="10723" w:name="_Toc488248799"/>
      <w:bookmarkStart w:id="10724" w:name="_Toc488249415"/>
      <w:bookmarkStart w:id="10725" w:name="_Toc488250031"/>
      <w:bookmarkStart w:id="10726" w:name="_Toc488330519"/>
      <w:bookmarkStart w:id="10727" w:name="_Toc488387373"/>
      <w:bookmarkStart w:id="10728" w:name="_Toc488402832"/>
      <w:bookmarkStart w:id="10729" w:name="_Toc488403655"/>
      <w:bookmarkStart w:id="10730" w:name="_Toc488404484"/>
      <w:bookmarkStart w:id="10731" w:name="_Toc488405315"/>
      <w:bookmarkStart w:id="10732" w:name="_Toc488406138"/>
      <w:bookmarkStart w:id="10733" w:name="_Toc488406967"/>
      <w:bookmarkStart w:id="10734" w:name="_Toc491410198"/>
      <w:bookmarkStart w:id="10735" w:name="_Toc496018736"/>
      <w:bookmarkStart w:id="10736" w:name="_Toc515787955"/>
      <w:bookmarkStart w:id="10737" w:name="_Toc515789655"/>
      <w:bookmarkStart w:id="10738" w:name="_Toc515790504"/>
      <w:bookmarkStart w:id="10739" w:name="_Toc515791353"/>
      <w:bookmarkStart w:id="10740" w:name="_Toc515792208"/>
      <w:bookmarkStart w:id="10741" w:name="_Toc515793058"/>
      <w:bookmarkStart w:id="10742" w:name="_Toc515793960"/>
      <w:bookmarkStart w:id="10743" w:name="_Toc515794865"/>
      <w:bookmarkStart w:id="10744" w:name="_Toc515796622"/>
      <w:bookmarkStart w:id="10745" w:name="_Toc488245036"/>
      <w:bookmarkStart w:id="10746" w:name="_Toc488248156"/>
      <w:bookmarkStart w:id="10747" w:name="_Toc488248800"/>
      <w:bookmarkStart w:id="10748" w:name="_Toc488249416"/>
      <w:bookmarkStart w:id="10749" w:name="_Toc488250032"/>
      <w:bookmarkStart w:id="10750" w:name="_Toc488330520"/>
      <w:bookmarkStart w:id="10751" w:name="_Toc488387374"/>
      <w:bookmarkStart w:id="10752" w:name="_Toc488402833"/>
      <w:bookmarkStart w:id="10753" w:name="_Toc488403656"/>
      <w:bookmarkStart w:id="10754" w:name="_Toc488404485"/>
      <w:bookmarkStart w:id="10755" w:name="_Toc488405316"/>
      <w:bookmarkStart w:id="10756" w:name="_Toc488406139"/>
      <w:bookmarkStart w:id="10757" w:name="_Toc488406968"/>
      <w:bookmarkStart w:id="10758" w:name="_Toc491410199"/>
      <w:bookmarkStart w:id="10759" w:name="_Toc496018737"/>
      <w:bookmarkStart w:id="10760" w:name="_Toc515787956"/>
      <w:bookmarkStart w:id="10761" w:name="_Toc515789656"/>
      <w:bookmarkStart w:id="10762" w:name="_Toc515790505"/>
      <w:bookmarkStart w:id="10763" w:name="_Toc515791354"/>
      <w:bookmarkStart w:id="10764" w:name="_Toc515792209"/>
      <w:bookmarkStart w:id="10765" w:name="_Toc515793059"/>
      <w:bookmarkStart w:id="10766" w:name="_Toc515793961"/>
      <w:bookmarkStart w:id="10767" w:name="_Toc515794866"/>
      <w:bookmarkStart w:id="10768" w:name="_Toc515796623"/>
      <w:bookmarkStart w:id="10769" w:name="_Toc488245037"/>
      <w:bookmarkStart w:id="10770" w:name="_Toc488248157"/>
      <w:bookmarkStart w:id="10771" w:name="_Toc488248801"/>
      <w:bookmarkStart w:id="10772" w:name="_Toc488249417"/>
      <w:bookmarkStart w:id="10773" w:name="_Toc488250033"/>
      <w:bookmarkStart w:id="10774" w:name="_Toc488330521"/>
      <w:bookmarkStart w:id="10775" w:name="_Toc488387375"/>
      <w:bookmarkStart w:id="10776" w:name="_Toc488402834"/>
      <w:bookmarkStart w:id="10777" w:name="_Toc488403657"/>
      <w:bookmarkStart w:id="10778" w:name="_Toc488404486"/>
      <w:bookmarkStart w:id="10779" w:name="_Toc488405317"/>
      <w:bookmarkStart w:id="10780" w:name="_Toc488406140"/>
      <w:bookmarkStart w:id="10781" w:name="_Toc488406969"/>
      <w:bookmarkStart w:id="10782" w:name="_Toc491410200"/>
      <w:bookmarkStart w:id="10783" w:name="_Toc496018738"/>
      <w:bookmarkStart w:id="10784" w:name="_Toc515787957"/>
      <w:bookmarkStart w:id="10785" w:name="_Toc515789657"/>
      <w:bookmarkStart w:id="10786" w:name="_Toc515790506"/>
      <w:bookmarkStart w:id="10787" w:name="_Toc515791355"/>
      <w:bookmarkStart w:id="10788" w:name="_Toc515792210"/>
      <w:bookmarkStart w:id="10789" w:name="_Toc515793060"/>
      <w:bookmarkStart w:id="10790" w:name="_Toc515793962"/>
      <w:bookmarkStart w:id="10791" w:name="_Toc515794867"/>
      <w:bookmarkStart w:id="10792" w:name="_Toc515796624"/>
      <w:bookmarkStart w:id="10793" w:name="_Toc488245038"/>
      <w:bookmarkStart w:id="10794" w:name="_Toc488248158"/>
      <w:bookmarkStart w:id="10795" w:name="_Toc488248802"/>
      <w:bookmarkStart w:id="10796" w:name="_Toc488249418"/>
      <w:bookmarkStart w:id="10797" w:name="_Toc488250034"/>
      <w:bookmarkStart w:id="10798" w:name="_Toc488330522"/>
      <w:bookmarkStart w:id="10799" w:name="_Toc488387376"/>
      <w:bookmarkStart w:id="10800" w:name="_Toc488402835"/>
      <w:bookmarkStart w:id="10801" w:name="_Toc488403658"/>
      <w:bookmarkStart w:id="10802" w:name="_Toc488404487"/>
      <w:bookmarkStart w:id="10803" w:name="_Toc488405318"/>
      <w:bookmarkStart w:id="10804" w:name="_Toc488406141"/>
      <w:bookmarkStart w:id="10805" w:name="_Toc488406970"/>
      <w:bookmarkStart w:id="10806" w:name="_Toc491410201"/>
      <w:bookmarkStart w:id="10807" w:name="_Toc496018739"/>
      <w:bookmarkStart w:id="10808" w:name="_Toc515787958"/>
      <w:bookmarkStart w:id="10809" w:name="_Toc515789658"/>
      <w:bookmarkStart w:id="10810" w:name="_Toc515790507"/>
      <w:bookmarkStart w:id="10811" w:name="_Toc515791356"/>
      <w:bookmarkStart w:id="10812" w:name="_Toc515792211"/>
      <w:bookmarkStart w:id="10813" w:name="_Toc515793061"/>
      <w:bookmarkStart w:id="10814" w:name="_Toc515793963"/>
      <w:bookmarkStart w:id="10815" w:name="_Toc515794868"/>
      <w:bookmarkStart w:id="10816" w:name="_Toc515796625"/>
      <w:bookmarkStart w:id="10817" w:name="_Toc488245039"/>
      <w:bookmarkStart w:id="10818" w:name="_Toc488248159"/>
      <w:bookmarkStart w:id="10819" w:name="_Toc488248803"/>
      <w:bookmarkStart w:id="10820" w:name="_Toc488249419"/>
      <w:bookmarkStart w:id="10821" w:name="_Toc488250035"/>
      <w:bookmarkStart w:id="10822" w:name="_Toc488330523"/>
      <w:bookmarkStart w:id="10823" w:name="_Toc488387377"/>
      <w:bookmarkStart w:id="10824" w:name="_Toc488402836"/>
      <w:bookmarkStart w:id="10825" w:name="_Toc488403659"/>
      <w:bookmarkStart w:id="10826" w:name="_Toc488404488"/>
      <w:bookmarkStart w:id="10827" w:name="_Toc488405319"/>
      <w:bookmarkStart w:id="10828" w:name="_Toc488406142"/>
      <w:bookmarkStart w:id="10829" w:name="_Toc488406971"/>
      <w:bookmarkStart w:id="10830" w:name="_Toc491410202"/>
      <w:bookmarkStart w:id="10831" w:name="_Toc496018740"/>
      <w:bookmarkStart w:id="10832" w:name="_Toc515787959"/>
      <w:bookmarkStart w:id="10833" w:name="_Toc515789659"/>
      <w:bookmarkStart w:id="10834" w:name="_Toc515790508"/>
      <w:bookmarkStart w:id="10835" w:name="_Toc515791357"/>
      <w:bookmarkStart w:id="10836" w:name="_Toc515792212"/>
      <w:bookmarkStart w:id="10837" w:name="_Toc515793062"/>
      <w:bookmarkStart w:id="10838" w:name="_Toc515793964"/>
      <w:bookmarkStart w:id="10839" w:name="_Toc515794869"/>
      <w:bookmarkStart w:id="10840" w:name="_Toc515796626"/>
      <w:bookmarkStart w:id="10841" w:name="_Toc488245040"/>
      <w:bookmarkStart w:id="10842" w:name="_Toc488248160"/>
      <w:bookmarkStart w:id="10843" w:name="_Toc488248804"/>
      <w:bookmarkStart w:id="10844" w:name="_Toc488249420"/>
      <w:bookmarkStart w:id="10845" w:name="_Toc488250036"/>
      <w:bookmarkStart w:id="10846" w:name="_Toc488330524"/>
      <w:bookmarkStart w:id="10847" w:name="_Toc488387378"/>
      <w:bookmarkStart w:id="10848" w:name="_Toc488402837"/>
      <w:bookmarkStart w:id="10849" w:name="_Toc488403660"/>
      <w:bookmarkStart w:id="10850" w:name="_Toc488404489"/>
      <w:bookmarkStart w:id="10851" w:name="_Toc488405320"/>
      <w:bookmarkStart w:id="10852" w:name="_Toc488406143"/>
      <w:bookmarkStart w:id="10853" w:name="_Toc488406972"/>
      <w:bookmarkStart w:id="10854" w:name="_Toc491410203"/>
      <w:bookmarkStart w:id="10855" w:name="_Toc496018741"/>
      <w:bookmarkStart w:id="10856" w:name="_Toc515787960"/>
      <w:bookmarkStart w:id="10857" w:name="_Toc515789660"/>
      <w:bookmarkStart w:id="10858" w:name="_Toc515790509"/>
      <w:bookmarkStart w:id="10859" w:name="_Toc515791358"/>
      <w:bookmarkStart w:id="10860" w:name="_Toc515792213"/>
      <w:bookmarkStart w:id="10861" w:name="_Toc515793063"/>
      <w:bookmarkStart w:id="10862" w:name="_Toc515793965"/>
      <w:bookmarkStart w:id="10863" w:name="_Toc515794870"/>
      <w:bookmarkStart w:id="10864" w:name="_Toc515796627"/>
      <w:bookmarkStart w:id="10865" w:name="_Toc488245041"/>
      <w:bookmarkStart w:id="10866" w:name="_Toc488248161"/>
      <w:bookmarkStart w:id="10867" w:name="_Toc488248805"/>
      <w:bookmarkStart w:id="10868" w:name="_Toc488249421"/>
      <w:bookmarkStart w:id="10869" w:name="_Toc488250037"/>
      <w:bookmarkStart w:id="10870" w:name="_Toc488330525"/>
      <w:bookmarkStart w:id="10871" w:name="_Toc488387379"/>
      <w:bookmarkStart w:id="10872" w:name="_Toc488402838"/>
      <w:bookmarkStart w:id="10873" w:name="_Toc488403661"/>
      <w:bookmarkStart w:id="10874" w:name="_Toc488404490"/>
      <w:bookmarkStart w:id="10875" w:name="_Toc488405321"/>
      <w:bookmarkStart w:id="10876" w:name="_Toc488406144"/>
      <w:bookmarkStart w:id="10877" w:name="_Toc488406973"/>
      <w:bookmarkStart w:id="10878" w:name="_Toc491410204"/>
      <w:bookmarkStart w:id="10879" w:name="_Toc496018742"/>
      <w:bookmarkStart w:id="10880" w:name="_Toc515787961"/>
      <w:bookmarkStart w:id="10881" w:name="_Toc515789661"/>
      <w:bookmarkStart w:id="10882" w:name="_Toc515790510"/>
      <w:bookmarkStart w:id="10883" w:name="_Toc515791359"/>
      <w:bookmarkStart w:id="10884" w:name="_Toc515792214"/>
      <w:bookmarkStart w:id="10885" w:name="_Toc515793064"/>
      <w:bookmarkStart w:id="10886" w:name="_Toc515793966"/>
      <w:bookmarkStart w:id="10887" w:name="_Toc515794871"/>
      <w:bookmarkStart w:id="10888" w:name="_Toc515796628"/>
      <w:bookmarkStart w:id="10889" w:name="_Toc488245042"/>
      <w:bookmarkStart w:id="10890" w:name="_Toc488248162"/>
      <w:bookmarkStart w:id="10891" w:name="_Toc488248806"/>
      <w:bookmarkStart w:id="10892" w:name="_Toc488249422"/>
      <w:bookmarkStart w:id="10893" w:name="_Toc488250038"/>
      <w:bookmarkStart w:id="10894" w:name="_Toc488330526"/>
      <w:bookmarkStart w:id="10895" w:name="_Toc488387380"/>
      <w:bookmarkStart w:id="10896" w:name="_Toc488402839"/>
      <w:bookmarkStart w:id="10897" w:name="_Toc488403662"/>
      <w:bookmarkStart w:id="10898" w:name="_Toc488404491"/>
      <w:bookmarkStart w:id="10899" w:name="_Toc488405322"/>
      <w:bookmarkStart w:id="10900" w:name="_Toc488406145"/>
      <w:bookmarkStart w:id="10901" w:name="_Toc488406974"/>
      <w:bookmarkStart w:id="10902" w:name="_Toc491410205"/>
      <w:bookmarkStart w:id="10903" w:name="_Toc496018743"/>
      <w:bookmarkStart w:id="10904" w:name="_Toc515787962"/>
      <w:bookmarkStart w:id="10905" w:name="_Toc515789662"/>
      <w:bookmarkStart w:id="10906" w:name="_Toc515790511"/>
      <w:bookmarkStart w:id="10907" w:name="_Toc515791360"/>
      <w:bookmarkStart w:id="10908" w:name="_Toc515792215"/>
      <w:bookmarkStart w:id="10909" w:name="_Toc515793065"/>
      <w:bookmarkStart w:id="10910" w:name="_Toc515793967"/>
      <w:bookmarkStart w:id="10911" w:name="_Toc515794872"/>
      <w:bookmarkStart w:id="10912" w:name="_Toc515796629"/>
      <w:bookmarkStart w:id="10913" w:name="_Toc488245043"/>
      <w:bookmarkStart w:id="10914" w:name="_Toc488248163"/>
      <w:bookmarkStart w:id="10915" w:name="_Toc488248807"/>
      <w:bookmarkStart w:id="10916" w:name="_Toc488249423"/>
      <w:bookmarkStart w:id="10917" w:name="_Toc488250039"/>
      <w:bookmarkStart w:id="10918" w:name="_Toc488330527"/>
      <w:bookmarkStart w:id="10919" w:name="_Toc488387381"/>
      <w:bookmarkStart w:id="10920" w:name="_Toc488402840"/>
      <w:bookmarkStart w:id="10921" w:name="_Toc488403663"/>
      <w:bookmarkStart w:id="10922" w:name="_Toc488404492"/>
      <w:bookmarkStart w:id="10923" w:name="_Toc488405323"/>
      <w:bookmarkStart w:id="10924" w:name="_Toc488406146"/>
      <w:bookmarkStart w:id="10925" w:name="_Toc488406975"/>
      <w:bookmarkStart w:id="10926" w:name="_Toc491410206"/>
      <w:bookmarkStart w:id="10927" w:name="_Toc496018744"/>
      <w:bookmarkStart w:id="10928" w:name="_Toc515787963"/>
      <w:bookmarkStart w:id="10929" w:name="_Toc515789663"/>
      <w:bookmarkStart w:id="10930" w:name="_Toc515790512"/>
      <w:bookmarkStart w:id="10931" w:name="_Toc515791361"/>
      <w:bookmarkStart w:id="10932" w:name="_Toc515792216"/>
      <w:bookmarkStart w:id="10933" w:name="_Toc515793066"/>
      <w:bookmarkStart w:id="10934" w:name="_Toc515793968"/>
      <w:bookmarkStart w:id="10935" w:name="_Toc515794873"/>
      <w:bookmarkStart w:id="10936" w:name="_Toc515796630"/>
      <w:bookmarkStart w:id="10937" w:name="_Toc488245044"/>
      <w:bookmarkStart w:id="10938" w:name="_Toc488248164"/>
      <w:bookmarkStart w:id="10939" w:name="_Toc488248808"/>
      <w:bookmarkStart w:id="10940" w:name="_Toc488249424"/>
      <w:bookmarkStart w:id="10941" w:name="_Toc488250040"/>
      <w:bookmarkStart w:id="10942" w:name="_Toc488330528"/>
      <w:bookmarkStart w:id="10943" w:name="_Toc488387382"/>
      <w:bookmarkStart w:id="10944" w:name="_Toc488402841"/>
      <w:bookmarkStart w:id="10945" w:name="_Toc488403664"/>
      <w:bookmarkStart w:id="10946" w:name="_Toc488404493"/>
      <w:bookmarkStart w:id="10947" w:name="_Toc488405324"/>
      <w:bookmarkStart w:id="10948" w:name="_Toc488406147"/>
      <w:bookmarkStart w:id="10949" w:name="_Toc488406976"/>
      <w:bookmarkStart w:id="10950" w:name="_Toc491410207"/>
      <w:bookmarkStart w:id="10951" w:name="_Toc496018745"/>
      <w:bookmarkStart w:id="10952" w:name="_Toc515787964"/>
      <w:bookmarkStart w:id="10953" w:name="_Toc515789664"/>
      <w:bookmarkStart w:id="10954" w:name="_Toc515790513"/>
      <w:bookmarkStart w:id="10955" w:name="_Toc515791362"/>
      <w:bookmarkStart w:id="10956" w:name="_Toc515792217"/>
      <w:bookmarkStart w:id="10957" w:name="_Toc515793067"/>
      <w:bookmarkStart w:id="10958" w:name="_Toc515793969"/>
      <w:bookmarkStart w:id="10959" w:name="_Toc515794874"/>
      <w:bookmarkStart w:id="10960" w:name="_Toc515796631"/>
      <w:bookmarkStart w:id="10961" w:name="_Toc488245045"/>
      <w:bookmarkStart w:id="10962" w:name="_Toc488248165"/>
      <w:bookmarkStart w:id="10963" w:name="_Toc488248809"/>
      <w:bookmarkStart w:id="10964" w:name="_Toc488249425"/>
      <w:bookmarkStart w:id="10965" w:name="_Toc488250041"/>
      <w:bookmarkStart w:id="10966" w:name="_Toc488330529"/>
      <w:bookmarkStart w:id="10967" w:name="_Toc488387383"/>
      <w:bookmarkStart w:id="10968" w:name="_Toc488402842"/>
      <w:bookmarkStart w:id="10969" w:name="_Toc488403665"/>
      <w:bookmarkStart w:id="10970" w:name="_Toc488404494"/>
      <w:bookmarkStart w:id="10971" w:name="_Toc488405325"/>
      <w:bookmarkStart w:id="10972" w:name="_Toc488406148"/>
      <w:bookmarkStart w:id="10973" w:name="_Toc488406977"/>
      <w:bookmarkStart w:id="10974" w:name="_Toc491410208"/>
      <w:bookmarkStart w:id="10975" w:name="_Toc496018746"/>
      <w:bookmarkStart w:id="10976" w:name="_Toc515787965"/>
      <w:bookmarkStart w:id="10977" w:name="_Toc515789665"/>
      <w:bookmarkStart w:id="10978" w:name="_Toc515790514"/>
      <w:bookmarkStart w:id="10979" w:name="_Toc515791363"/>
      <w:bookmarkStart w:id="10980" w:name="_Toc515792218"/>
      <w:bookmarkStart w:id="10981" w:name="_Toc515793068"/>
      <w:bookmarkStart w:id="10982" w:name="_Toc515793970"/>
      <w:bookmarkStart w:id="10983" w:name="_Toc515794875"/>
      <w:bookmarkStart w:id="10984" w:name="_Toc515796632"/>
      <w:bookmarkStart w:id="10985" w:name="_Toc488245046"/>
      <w:bookmarkStart w:id="10986" w:name="_Toc488248166"/>
      <w:bookmarkStart w:id="10987" w:name="_Toc488248810"/>
      <w:bookmarkStart w:id="10988" w:name="_Toc488249426"/>
      <w:bookmarkStart w:id="10989" w:name="_Toc488250042"/>
      <w:bookmarkStart w:id="10990" w:name="_Toc488330530"/>
      <w:bookmarkStart w:id="10991" w:name="_Toc488387384"/>
      <w:bookmarkStart w:id="10992" w:name="_Toc488402843"/>
      <w:bookmarkStart w:id="10993" w:name="_Toc488403666"/>
      <w:bookmarkStart w:id="10994" w:name="_Toc488404495"/>
      <w:bookmarkStart w:id="10995" w:name="_Toc488405326"/>
      <w:bookmarkStart w:id="10996" w:name="_Toc488406149"/>
      <w:bookmarkStart w:id="10997" w:name="_Toc488406978"/>
      <w:bookmarkStart w:id="10998" w:name="_Toc491410209"/>
      <w:bookmarkStart w:id="10999" w:name="_Toc496018747"/>
      <w:bookmarkStart w:id="11000" w:name="_Toc515787966"/>
      <w:bookmarkStart w:id="11001" w:name="_Toc515789666"/>
      <w:bookmarkStart w:id="11002" w:name="_Toc515790515"/>
      <w:bookmarkStart w:id="11003" w:name="_Toc515791364"/>
      <w:bookmarkStart w:id="11004" w:name="_Toc515792219"/>
      <w:bookmarkStart w:id="11005" w:name="_Toc515793069"/>
      <w:bookmarkStart w:id="11006" w:name="_Toc515793971"/>
      <w:bookmarkStart w:id="11007" w:name="_Toc515794876"/>
      <w:bookmarkStart w:id="11008" w:name="_Toc515796633"/>
      <w:bookmarkStart w:id="11009" w:name="_Toc488245047"/>
      <w:bookmarkStart w:id="11010" w:name="_Toc488248167"/>
      <w:bookmarkStart w:id="11011" w:name="_Toc488248811"/>
      <w:bookmarkStart w:id="11012" w:name="_Toc488249427"/>
      <w:bookmarkStart w:id="11013" w:name="_Toc488250043"/>
      <w:bookmarkStart w:id="11014" w:name="_Toc488330531"/>
      <w:bookmarkStart w:id="11015" w:name="_Toc488387385"/>
      <w:bookmarkStart w:id="11016" w:name="_Toc488402844"/>
      <w:bookmarkStart w:id="11017" w:name="_Toc488403667"/>
      <w:bookmarkStart w:id="11018" w:name="_Toc488404496"/>
      <w:bookmarkStart w:id="11019" w:name="_Toc488405327"/>
      <w:bookmarkStart w:id="11020" w:name="_Toc488406150"/>
      <w:bookmarkStart w:id="11021" w:name="_Toc488406979"/>
      <w:bookmarkStart w:id="11022" w:name="_Toc491410210"/>
      <w:bookmarkStart w:id="11023" w:name="_Toc496018748"/>
      <w:bookmarkStart w:id="11024" w:name="_Toc515787967"/>
      <w:bookmarkStart w:id="11025" w:name="_Toc515789667"/>
      <w:bookmarkStart w:id="11026" w:name="_Toc515790516"/>
      <w:bookmarkStart w:id="11027" w:name="_Toc515791365"/>
      <w:bookmarkStart w:id="11028" w:name="_Toc515792220"/>
      <w:bookmarkStart w:id="11029" w:name="_Toc515793070"/>
      <w:bookmarkStart w:id="11030" w:name="_Toc515793972"/>
      <w:bookmarkStart w:id="11031" w:name="_Toc515794877"/>
      <w:bookmarkStart w:id="11032" w:name="_Toc515796634"/>
      <w:bookmarkStart w:id="11033" w:name="_Toc488245048"/>
      <w:bookmarkStart w:id="11034" w:name="_Toc488248168"/>
      <w:bookmarkStart w:id="11035" w:name="_Toc488248812"/>
      <w:bookmarkStart w:id="11036" w:name="_Toc488249428"/>
      <w:bookmarkStart w:id="11037" w:name="_Toc488250044"/>
      <w:bookmarkStart w:id="11038" w:name="_Toc488330532"/>
      <w:bookmarkStart w:id="11039" w:name="_Toc488387386"/>
      <w:bookmarkStart w:id="11040" w:name="_Toc488402845"/>
      <w:bookmarkStart w:id="11041" w:name="_Toc488403668"/>
      <w:bookmarkStart w:id="11042" w:name="_Toc488404497"/>
      <w:bookmarkStart w:id="11043" w:name="_Toc488405328"/>
      <w:bookmarkStart w:id="11044" w:name="_Toc488406151"/>
      <w:bookmarkStart w:id="11045" w:name="_Toc488406980"/>
      <w:bookmarkStart w:id="11046" w:name="_Toc491410211"/>
      <w:bookmarkStart w:id="11047" w:name="_Toc496018749"/>
      <w:bookmarkStart w:id="11048" w:name="_Toc515787968"/>
      <w:bookmarkStart w:id="11049" w:name="_Toc515789668"/>
      <w:bookmarkStart w:id="11050" w:name="_Toc515790517"/>
      <w:bookmarkStart w:id="11051" w:name="_Toc515791366"/>
      <w:bookmarkStart w:id="11052" w:name="_Toc515792221"/>
      <w:bookmarkStart w:id="11053" w:name="_Toc515793071"/>
      <w:bookmarkStart w:id="11054" w:name="_Toc515793973"/>
      <w:bookmarkStart w:id="11055" w:name="_Toc515794878"/>
      <w:bookmarkStart w:id="11056" w:name="_Toc515796635"/>
      <w:bookmarkStart w:id="11057" w:name="_Toc437936061"/>
      <w:bookmarkStart w:id="11058" w:name="_Ref510091065"/>
      <w:bookmarkStart w:id="11059" w:name="_Ref79403558"/>
      <w:bookmarkStart w:id="11060" w:name="_Toc230879708"/>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r w:rsidRPr="004068F6">
        <w:rPr>
          <w:lang w:val="es-CO"/>
        </w:rPr>
        <w:t>ZONIFICACIÓN DE MANEJO AMBIENTAL</w:t>
      </w:r>
      <w:bookmarkEnd w:id="11057"/>
      <w:bookmarkEnd w:id="11058"/>
      <w:bookmarkEnd w:id="11059"/>
      <w:bookmarkEnd w:id="11060"/>
    </w:p>
    <w:p w14:paraId="0E2E711E" w14:textId="44DC90FA" w:rsidR="0050289E" w:rsidRPr="004068F6" w:rsidRDefault="0050289E">
      <w:pPr>
        <w:numPr>
          <w:ilvl w:val="12"/>
          <w:numId w:val="0"/>
        </w:numPr>
        <w:tabs>
          <w:tab w:val="left" w:pos="-2268"/>
        </w:tabs>
        <w:suppressAutoHyphens/>
        <w:rPr>
          <w:spacing w:val="-3"/>
        </w:rPr>
      </w:pPr>
    </w:p>
    <w:p w14:paraId="00E6FB44" w14:textId="187EB98D" w:rsidR="00755A07" w:rsidRPr="004068F6" w:rsidRDefault="00FF1E46">
      <w:pPr>
        <w:numPr>
          <w:ilvl w:val="12"/>
          <w:numId w:val="0"/>
        </w:numPr>
        <w:tabs>
          <w:tab w:val="left" w:pos="-2268"/>
        </w:tabs>
        <w:suppressAutoHyphens/>
        <w:rPr>
          <w:rFonts w:cs="Arial"/>
          <w:spacing w:val="-3"/>
        </w:rPr>
      </w:pPr>
      <w:r w:rsidRPr="004068F6">
        <w:rPr>
          <w:rFonts w:cs="Arial"/>
          <w:spacing w:val="-3"/>
        </w:rPr>
        <w:t xml:space="preserve">La </w:t>
      </w:r>
      <w:r w:rsidRPr="004068F6">
        <w:rPr>
          <w:spacing w:val="-3"/>
        </w:rPr>
        <w:t xml:space="preserve">zonificación de manejo ambiental tiene como propósito </w:t>
      </w:r>
      <w:r w:rsidRPr="004068F6">
        <w:rPr>
          <w:rFonts w:cs="Arial"/>
          <w:spacing w:val="-3"/>
        </w:rPr>
        <w:t xml:space="preserve">establecer para el área de influencia del </w:t>
      </w:r>
      <w:r w:rsidRPr="004068F6">
        <w:rPr>
          <w:spacing w:val="-3"/>
        </w:rPr>
        <w:t>proyecto, obra o actividad</w:t>
      </w:r>
      <w:r w:rsidRPr="004068F6">
        <w:rPr>
          <w:rFonts w:cs="Arial"/>
          <w:spacing w:val="-3"/>
        </w:rPr>
        <w:t xml:space="preserve">, zonas homogéneas de acuerdo </w:t>
      </w:r>
      <w:r w:rsidR="00037A36" w:rsidRPr="004068F6">
        <w:rPr>
          <w:rFonts w:cs="Arial"/>
          <w:spacing w:val="-3"/>
        </w:rPr>
        <w:t>con e</w:t>
      </w:r>
      <w:r w:rsidRPr="004068F6">
        <w:rPr>
          <w:rFonts w:cs="Arial"/>
          <w:spacing w:val="-3"/>
        </w:rPr>
        <w:t>l grado con el cual pueden ser intervenidas</w:t>
      </w:r>
      <w:r w:rsidR="00755A07" w:rsidRPr="004068F6">
        <w:rPr>
          <w:rFonts w:cs="Arial"/>
          <w:spacing w:val="-3"/>
        </w:rPr>
        <w:t xml:space="preserve">. Esta zonificación se obtiene a partir de la integración de </w:t>
      </w:r>
      <w:r w:rsidR="00273047" w:rsidRPr="004068F6">
        <w:rPr>
          <w:rFonts w:cs="Arial"/>
          <w:spacing w:val="-3"/>
        </w:rPr>
        <w:t xml:space="preserve">la </w:t>
      </w:r>
      <w:r w:rsidR="00755A07" w:rsidRPr="004068F6">
        <w:rPr>
          <w:rFonts w:cs="Arial"/>
          <w:spacing w:val="-3"/>
        </w:rPr>
        <w:t xml:space="preserve">información </w:t>
      </w:r>
      <w:r w:rsidR="006A4CAC" w:rsidRPr="004068F6">
        <w:rPr>
          <w:rFonts w:cs="Arial"/>
          <w:spacing w:val="-3"/>
        </w:rPr>
        <w:t xml:space="preserve">procesada en </w:t>
      </w:r>
      <w:r w:rsidR="00037A36" w:rsidRPr="004068F6">
        <w:rPr>
          <w:rFonts w:cs="Arial"/>
          <w:spacing w:val="-3"/>
        </w:rPr>
        <w:t>los numerales</w:t>
      </w:r>
      <w:r w:rsidR="004F6332" w:rsidRPr="004068F6">
        <w:rPr>
          <w:rFonts w:cs="Arial"/>
          <w:spacing w:val="-3"/>
        </w:rPr>
        <w:t>:</w:t>
      </w:r>
      <w:r w:rsidR="00037A36" w:rsidRPr="004068F6">
        <w:rPr>
          <w:rFonts w:cs="Arial"/>
          <w:spacing w:val="-3"/>
        </w:rPr>
        <w:t xml:space="preserve"> zonificación ambiental</w:t>
      </w:r>
      <w:r w:rsidR="006E16E0" w:rsidRPr="004068F6">
        <w:rPr>
          <w:rFonts w:cs="Arial"/>
          <w:spacing w:val="-3"/>
        </w:rPr>
        <w:t>,</w:t>
      </w:r>
      <w:r w:rsidR="00037A36" w:rsidRPr="004068F6">
        <w:rPr>
          <w:rFonts w:cs="Arial"/>
          <w:spacing w:val="-3"/>
        </w:rPr>
        <w:t xml:space="preserve"> </w:t>
      </w:r>
      <w:r w:rsidR="00037A36" w:rsidRPr="004068F6">
        <w:rPr>
          <w:spacing w:val="-3"/>
        </w:rPr>
        <w:t>evaluación ambiental</w:t>
      </w:r>
      <w:r w:rsidR="006E16E0" w:rsidRPr="004068F6">
        <w:rPr>
          <w:spacing w:val="-3"/>
        </w:rPr>
        <w:t xml:space="preserve"> y caracterización ambiental</w:t>
      </w:r>
      <w:r w:rsidR="00273047" w:rsidRPr="004068F6">
        <w:rPr>
          <w:spacing w:val="-3"/>
        </w:rPr>
        <w:t>.</w:t>
      </w:r>
    </w:p>
    <w:p w14:paraId="1323DCA4" w14:textId="77777777" w:rsidR="00037A36" w:rsidRPr="004068F6" w:rsidRDefault="00037A36" w:rsidP="009B04FC">
      <w:pPr>
        <w:numPr>
          <w:ilvl w:val="12"/>
          <w:numId w:val="0"/>
        </w:numPr>
        <w:tabs>
          <w:tab w:val="left" w:pos="-2268"/>
        </w:tabs>
        <w:suppressAutoHyphens/>
        <w:rPr>
          <w:rFonts w:cs="Arial"/>
          <w:spacing w:val="-3"/>
        </w:rPr>
      </w:pPr>
    </w:p>
    <w:p w14:paraId="549C20B5" w14:textId="2B21648A" w:rsidR="009B04FC" w:rsidRPr="004068F6" w:rsidRDefault="00273047">
      <w:pPr>
        <w:numPr>
          <w:ilvl w:val="12"/>
          <w:numId w:val="0"/>
        </w:numPr>
        <w:tabs>
          <w:tab w:val="left" w:pos="-2268"/>
        </w:tabs>
        <w:suppressAutoHyphens/>
        <w:rPr>
          <w:rFonts w:cs="Arial"/>
          <w:spacing w:val="-3"/>
        </w:rPr>
      </w:pPr>
      <w:r w:rsidRPr="004068F6">
        <w:rPr>
          <w:rFonts w:cs="Arial"/>
          <w:spacing w:val="-3"/>
        </w:rPr>
        <w:t xml:space="preserve">Dicha integración relaciona </w:t>
      </w:r>
      <w:r w:rsidR="00755A07" w:rsidRPr="004068F6">
        <w:rPr>
          <w:rFonts w:cs="Arial"/>
          <w:spacing w:val="-3"/>
        </w:rPr>
        <w:t>los diferentes grados de</w:t>
      </w:r>
      <w:r w:rsidR="009B04FC" w:rsidRPr="004068F6">
        <w:rPr>
          <w:rFonts w:cs="Arial"/>
          <w:spacing w:val="-3"/>
        </w:rPr>
        <w:t xml:space="preserve"> sensibilidad ambiental de las unidad</w:t>
      </w:r>
      <w:r w:rsidR="00755A07" w:rsidRPr="004068F6">
        <w:rPr>
          <w:rFonts w:cs="Arial"/>
          <w:spacing w:val="-3"/>
        </w:rPr>
        <w:t>es</w:t>
      </w:r>
      <w:r w:rsidR="009B04FC" w:rsidRPr="004068F6">
        <w:rPr>
          <w:rFonts w:cs="Arial"/>
          <w:spacing w:val="-3"/>
        </w:rPr>
        <w:t xml:space="preserve"> de análisis </w:t>
      </w:r>
      <w:r w:rsidR="00755A07" w:rsidRPr="004068F6">
        <w:rPr>
          <w:rFonts w:cs="Arial"/>
          <w:spacing w:val="-3"/>
        </w:rPr>
        <w:t xml:space="preserve">de cada </w:t>
      </w:r>
      <w:r w:rsidR="00DB410E" w:rsidRPr="004068F6">
        <w:rPr>
          <w:rFonts w:cs="Arial"/>
          <w:spacing w:val="-3"/>
        </w:rPr>
        <w:t xml:space="preserve">factor o </w:t>
      </w:r>
      <w:r w:rsidR="00755A07" w:rsidRPr="004068F6">
        <w:rPr>
          <w:rFonts w:cs="Arial"/>
          <w:spacing w:val="-3"/>
        </w:rPr>
        <w:t xml:space="preserve">componente </w:t>
      </w:r>
      <w:r w:rsidRPr="004068F6">
        <w:rPr>
          <w:rFonts w:cs="Arial"/>
          <w:spacing w:val="-3"/>
        </w:rPr>
        <w:t>(muy baja, baja, media, alta y muy alta)</w:t>
      </w:r>
      <w:r w:rsidR="00AF1463" w:rsidRPr="004068F6">
        <w:rPr>
          <w:rFonts w:cs="Arial"/>
          <w:spacing w:val="-3"/>
        </w:rPr>
        <w:t>,</w:t>
      </w:r>
      <w:r w:rsidRPr="004068F6">
        <w:rPr>
          <w:rFonts w:cs="Arial"/>
          <w:spacing w:val="-3"/>
        </w:rPr>
        <w:t xml:space="preserve"> las categorías de</w:t>
      </w:r>
      <w:r w:rsidR="00750298" w:rsidRPr="004068F6">
        <w:rPr>
          <w:rFonts w:cs="Arial"/>
          <w:spacing w:val="-3"/>
        </w:rPr>
        <w:t>l</w:t>
      </w:r>
      <w:r w:rsidRPr="004068F6">
        <w:rPr>
          <w:rFonts w:cs="Arial"/>
          <w:spacing w:val="-3"/>
        </w:rPr>
        <w:t xml:space="preserve"> potencial normalizado de modificación de las condiciones ambientales</w:t>
      </w:r>
      <w:r w:rsidRPr="004068F6" w:rsidDel="00273047">
        <w:rPr>
          <w:rFonts w:cs="Arial"/>
          <w:spacing w:val="-3"/>
        </w:rPr>
        <w:t xml:space="preserve"> </w:t>
      </w:r>
      <w:r w:rsidR="00755A07" w:rsidRPr="004068F6">
        <w:rPr>
          <w:rFonts w:cs="Arial"/>
          <w:spacing w:val="-3"/>
        </w:rPr>
        <w:t xml:space="preserve">de </w:t>
      </w:r>
      <w:r w:rsidRPr="004068F6">
        <w:rPr>
          <w:rFonts w:cs="Arial"/>
          <w:spacing w:val="-3"/>
        </w:rPr>
        <w:t>los impactos (bajo, medio, alto y muy alto)</w:t>
      </w:r>
      <w:r w:rsidR="00750298" w:rsidRPr="004068F6">
        <w:rPr>
          <w:rStyle w:val="Refdenotaalpie"/>
          <w:rFonts w:cs="Arial"/>
          <w:spacing w:val="-3"/>
          <w:lang w:val="es-CO"/>
        </w:rPr>
        <w:footnoteReference w:id="235"/>
      </w:r>
      <w:r w:rsidR="00AF1463" w:rsidRPr="004068F6">
        <w:rPr>
          <w:rFonts w:cs="Arial"/>
          <w:spacing w:val="-3"/>
        </w:rPr>
        <w:t xml:space="preserve"> y </w:t>
      </w:r>
      <w:r w:rsidR="0030016A" w:rsidRPr="004068F6">
        <w:rPr>
          <w:rFonts w:cs="Arial"/>
          <w:spacing w:val="-3"/>
        </w:rPr>
        <w:t>l</w:t>
      </w:r>
      <w:r w:rsidR="00AF1463" w:rsidRPr="004068F6">
        <w:rPr>
          <w:rFonts w:cs="Arial"/>
          <w:spacing w:val="-3"/>
        </w:rPr>
        <w:t>as</w:t>
      </w:r>
      <w:r w:rsidR="0030016A" w:rsidRPr="004068F6">
        <w:rPr>
          <w:rFonts w:cs="Arial"/>
          <w:spacing w:val="-3"/>
        </w:rPr>
        <w:t xml:space="preserve"> </w:t>
      </w:r>
      <w:r w:rsidR="00AF1463" w:rsidRPr="004068F6">
        <w:rPr>
          <w:rFonts w:cs="Arial"/>
          <w:spacing w:val="-3"/>
        </w:rPr>
        <w:t xml:space="preserve">condiciones de manejo </w:t>
      </w:r>
      <w:r w:rsidR="0030016A" w:rsidRPr="004068F6">
        <w:rPr>
          <w:rFonts w:cs="Arial"/>
          <w:spacing w:val="-3"/>
        </w:rPr>
        <w:t>establecid</w:t>
      </w:r>
      <w:r w:rsidR="00AF1463" w:rsidRPr="004068F6">
        <w:rPr>
          <w:rFonts w:cs="Arial"/>
          <w:spacing w:val="-3"/>
        </w:rPr>
        <w:t>as</w:t>
      </w:r>
      <w:r w:rsidR="0030016A" w:rsidRPr="004068F6">
        <w:rPr>
          <w:rFonts w:cs="Arial"/>
          <w:spacing w:val="-3"/>
        </w:rPr>
        <w:t xml:space="preserve"> en instrumentos normativos, </w:t>
      </w:r>
      <w:r w:rsidR="00164EC4" w:rsidRPr="004068F6">
        <w:rPr>
          <w:rFonts w:cs="Arial"/>
          <w:spacing w:val="-3"/>
        </w:rPr>
        <w:t xml:space="preserve">a fin </w:t>
      </w:r>
      <w:r w:rsidR="0028289C" w:rsidRPr="004068F6">
        <w:rPr>
          <w:rFonts w:cs="Arial"/>
          <w:spacing w:val="-3"/>
        </w:rPr>
        <w:t>de</w:t>
      </w:r>
      <w:r w:rsidR="00750298" w:rsidRPr="004068F6">
        <w:rPr>
          <w:rFonts w:cs="Arial"/>
          <w:spacing w:val="-3"/>
        </w:rPr>
        <w:t xml:space="preserve"> </w:t>
      </w:r>
      <w:r w:rsidR="00755A07" w:rsidRPr="004068F6">
        <w:rPr>
          <w:rFonts w:cs="Arial"/>
          <w:spacing w:val="-3"/>
        </w:rPr>
        <w:t>defin</w:t>
      </w:r>
      <w:r w:rsidR="00750298" w:rsidRPr="004068F6">
        <w:rPr>
          <w:rFonts w:cs="Arial"/>
          <w:spacing w:val="-3"/>
        </w:rPr>
        <w:t xml:space="preserve">ir </w:t>
      </w:r>
      <w:r w:rsidR="00C525DF" w:rsidRPr="004068F6">
        <w:rPr>
          <w:rFonts w:cs="Arial"/>
          <w:spacing w:val="-3"/>
        </w:rPr>
        <w:t>áreas de intervención</w:t>
      </w:r>
      <w:r w:rsidR="009B04FC" w:rsidRPr="004068F6">
        <w:rPr>
          <w:rFonts w:cs="Arial"/>
          <w:spacing w:val="-3"/>
        </w:rPr>
        <w:t xml:space="preserve">, </w:t>
      </w:r>
      <w:r w:rsidR="00C525DF" w:rsidRPr="004068F6">
        <w:rPr>
          <w:rFonts w:cs="Arial"/>
          <w:spacing w:val="-3"/>
        </w:rPr>
        <w:t>áreas de intervención con restricciones</w:t>
      </w:r>
      <w:r w:rsidRPr="004068F6">
        <w:rPr>
          <w:rFonts w:cs="Arial"/>
          <w:spacing w:val="-3"/>
        </w:rPr>
        <w:t xml:space="preserve"> y</w:t>
      </w:r>
      <w:r w:rsidR="00C525DF" w:rsidRPr="004068F6">
        <w:rPr>
          <w:rFonts w:cs="Arial"/>
          <w:spacing w:val="-3"/>
        </w:rPr>
        <w:t xml:space="preserve"> áreas de exclusión, </w:t>
      </w:r>
      <w:r w:rsidR="009B04FC" w:rsidRPr="004068F6">
        <w:rPr>
          <w:rFonts w:cs="Arial"/>
          <w:spacing w:val="-3"/>
        </w:rPr>
        <w:t>de acuerdo con lo establecido en el artículo 2.2.2.3.5.1 del Decreto 1076 de 2015</w:t>
      </w:r>
      <w:r w:rsidR="00755A07" w:rsidRPr="004068F6">
        <w:rPr>
          <w:rFonts w:cs="Arial"/>
          <w:spacing w:val="-3"/>
        </w:rPr>
        <w:t>, o aquel que lo modifique o sustituya</w:t>
      </w:r>
      <w:r w:rsidR="006A4CAC" w:rsidRPr="004068F6">
        <w:rPr>
          <w:rFonts w:cs="Arial"/>
          <w:spacing w:val="-3"/>
        </w:rPr>
        <w:t>.</w:t>
      </w:r>
    </w:p>
    <w:p w14:paraId="049F9B8C" w14:textId="77777777" w:rsidR="009B04FC" w:rsidRPr="004068F6" w:rsidRDefault="009B04FC" w:rsidP="009B04FC">
      <w:pPr>
        <w:numPr>
          <w:ilvl w:val="12"/>
          <w:numId w:val="0"/>
        </w:numPr>
        <w:tabs>
          <w:tab w:val="left" w:pos="-2268"/>
        </w:tabs>
        <w:suppressAutoHyphens/>
        <w:rPr>
          <w:rFonts w:cs="Arial"/>
          <w:spacing w:val="-3"/>
        </w:rPr>
      </w:pPr>
    </w:p>
    <w:p w14:paraId="14D47271" w14:textId="122F9574" w:rsidR="004118A7" w:rsidRPr="004068F6" w:rsidRDefault="004118A7" w:rsidP="004118A7">
      <w:pPr>
        <w:numPr>
          <w:ilvl w:val="12"/>
          <w:numId w:val="0"/>
        </w:numPr>
        <w:tabs>
          <w:tab w:val="left" w:pos="-2268"/>
        </w:tabs>
        <w:suppressAutoHyphens/>
        <w:rPr>
          <w:rFonts w:cs="Arial"/>
          <w:spacing w:val="-3"/>
        </w:rPr>
      </w:pPr>
      <w:r w:rsidRPr="004068F6">
        <w:rPr>
          <w:rFonts w:cs="Arial"/>
          <w:spacing w:val="-3"/>
        </w:rPr>
        <w:t xml:space="preserve">El procesamiento de información sobre </w:t>
      </w:r>
      <w:r w:rsidRPr="00127BD4">
        <w:rPr>
          <w:i/>
          <w:iCs/>
          <w:spacing w:val="-3"/>
        </w:rPr>
        <w:t>sensibilidad ambiental</w:t>
      </w:r>
      <w:r w:rsidRPr="004068F6">
        <w:rPr>
          <w:spacing w:val="-3"/>
        </w:rPr>
        <w:t xml:space="preserve"> y </w:t>
      </w:r>
      <w:r w:rsidRPr="00127BD4">
        <w:rPr>
          <w:i/>
          <w:iCs/>
          <w:spacing w:val="-3"/>
        </w:rPr>
        <w:t>potencial normalizado de modificación</w:t>
      </w:r>
      <w:r w:rsidRPr="004068F6">
        <w:rPr>
          <w:spacing w:val="-3"/>
        </w:rPr>
        <w:t xml:space="preserve"> </w:t>
      </w:r>
      <w:r w:rsidRPr="004068F6">
        <w:rPr>
          <w:rFonts w:cs="Arial"/>
          <w:spacing w:val="-3"/>
        </w:rPr>
        <w:t xml:space="preserve">de cada una de las unidades de </w:t>
      </w:r>
      <w:r w:rsidR="003D2F41" w:rsidRPr="004068F6">
        <w:rPr>
          <w:rFonts w:cs="Arial"/>
          <w:spacing w:val="-3"/>
        </w:rPr>
        <w:t>análisis</w:t>
      </w:r>
      <w:r w:rsidRPr="004068F6">
        <w:rPr>
          <w:rFonts w:cs="Arial"/>
          <w:spacing w:val="-3"/>
        </w:rPr>
        <w:t xml:space="preserve"> debe realizarse de manera cualitativa o cuantitativa mediante análisis espacial</w:t>
      </w:r>
      <w:r w:rsidR="00714A03" w:rsidRPr="004068F6">
        <w:rPr>
          <w:rFonts w:cs="Arial"/>
          <w:spacing w:val="-3"/>
        </w:rPr>
        <w:t xml:space="preserve"> e integrarse</w:t>
      </w:r>
      <w:r w:rsidR="00C40EF9" w:rsidRPr="004068F6">
        <w:rPr>
          <w:rFonts w:cs="Arial"/>
          <w:spacing w:val="-3"/>
        </w:rPr>
        <w:t>,</w:t>
      </w:r>
      <w:r w:rsidR="00714A03" w:rsidRPr="004068F6">
        <w:rPr>
          <w:rFonts w:cs="Arial"/>
          <w:spacing w:val="-3"/>
        </w:rPr>
        <w:t xml:space="preserve"> </w:t>
      </w:r>
      <w:r w:rsidR="00C40EF9" w:rsidRPr="004068F6">
        <w:rPr>
          <w:rFonts w:cs="Arial"/>
          <w:spacing w:val="-3"/>
        </w:rPr>
        <w:t xml:space="preserve">con </w:t>
      </w:r>
      <w:r w:rsidR="00714A03" w:rsidRPr="004068F6">
        <w:rPr>
          <w:rFonts w:cs="Arial"/>
          <w:spacing w:val="-3"/>
        </w:rPr>
        <w:t xml:space="preserve">la información espacial sobre </w:t>
      </w:r>
      <w:r w:rsidR="00923878" w:rsidRPr="004068F6">
        <w:rPr>
          <w:rFonts w:cs="Arial"/>
          <w:spacing w:val="-3"/>
        </w:rPr>
        <w:t xml:space="preserve">condiciones de manejo </w:t>
      </w:r>
      <w:r w:rsidR="00831112" w:rsidRPr="004068F6">
        <w:rPr>
          <w:rFonts w:cs="Arial"/>
          <w:spacing w:val="-3"/>
        </w:rPr>
        <w:t xml:space="preserve">que </w:t>
      </w:r>
      <w:r w:rsidR="00923878" w:rsidRPr="004068F6">
        <w:rPr>
          <w:rFonts w:cs="Arial"/>
          <w:spacing w:val="-3"/>
        </w:rPr>
        <w:t>defin</w:t>
      </w:r>
      <w:r w:rsidR="00831112" w:rsidRPr="004068F6">
        <w:rPr>
          <w:rFonts w:cs="Arial"/>
          <w:spacing w:val="-3"/>
        </w:rPr>
        <w:t>a</w:t>
      </w:r>
      <w:r w:rsidR="00923878" w:rsidRPr="004068F6">
        <w:rPr>
          <w:rFonts w:cs="Arial"/>
          <w:spacing w:val="-3"/>
        </w:rPr>
        <w:t xml:space="preserve"> la normativa</w:t>
      </w:r>
      <w:r w:rsidR="00831112" w:rsidRPr="004068F6">
        <w:rPr>
          <w:rFonts w:cs="Arial"/>
          <w:spacing w:val="-3"/>
        </w:rPr>
        <w:t xml:space="preserve"> aplicable</w:t>
      </w:r>
      <w:r w:rsidRPr="004068F6">
        <w:rPr>
          <w:rFonts w:cs="Arial"/>
          <w:spacing w:val="-3"/>
        </w:rPr>
        <w:t xml:space="preserve">. Los resultados de tal análisis definen </w:t>
      </w:r>
      <w:r w:rsidR="00C90A07" w:rsidRPr="004068F6">
        <w:rPr>
          <w:rFonts w:cs="Arial"/>
          <w:spacing w:val="-3"/>
        </w:rPr>
        <w:t>áreas de intervención, áreas de intervención con restricciones y áreas de exclusión</w:t>
      </w:r>
      <w:r w:rsidRPr="004068F6">
        <w:rPr>
          <w:rFonts w:cs="Arial"/>
          <w:spacing w:val="-3"/>
        </w:rPr>
        <w:t xml:space="preserve">, </w:t>
      </w:r>
      <w:r w:rsidR="00C90A07" w:rsidRPr="004068F6">
        <w:rPr>
          <w:spacing w:val="-3"/>
        </w:rPr>
        <w:t>de acuerdo con l</w:t>
      </w:r>
      <w:r w:rsidR="00C90A07" w:rsidRPr="004068F6">
        <w:rPr>
          <w:rFonts w:cs="Arial"/>
          <w:spacing w:val="-3"/>
        </w:rPr>
        <w:t xml:space="preserve">as definiciones e interacciones </w:t>
      </w:r>
      <w:r w:rsidR="002D4EBB" w:rsidRPr="004068F6">
        <w:rPr>
          <w:rFonts w:cs="Arial"/>
          <w:i/>
          <w:iCs/>
          <w:spacing w:val="-3"/>
        </w:rPr>
        <w:t>Potencial normalizado de modificación</w:t>
      </w:r>
      <w:r w:rsidR="002D4EBB" w:rsidRPr="004068F6">
        <w:rPr>
          <w:rFonts w:cs="Arial"/>
          <w:spacing w:val="-3"/>
        </w:rPr>
        <w:t xml:space="preserve"> – </w:t>
      </w:r>
      <w:r w:rsidR="002D4EBB" w:rsidRPr="004068F6">
        <w:rPr>
          <w:rFonts w:cs="Arial"/>
          <w:i/>
          <w:iCs/>
          <w:spacing w:val="-3"/>
        </w:rPr>
        <w:t>Sensibilidad ambiental</w:t>
      </w:r>
      <w:r w:rsidR="002D4EBB" w:rsidRPr="004068F6">
        <w:rPr>
          <w:rFonts w:cs="Arial"/>
          <w:spacing w:val="-3"/>
        </w:rPr>
        <w:t xml:space="preserve"> </w:t>
      </w:r>
      <w:r w:rsidR="00C90A07" w:rsidRPr="004068F6">
        <w:rPr>
          <w:rFonts w:cs="Arial"/>
          <w:spacing w:val="-3"/>
        </w:rPr>
        <w:t>que se señalan a continuación:</w:t>
      </w:r>
    </w:p>
    <w:p w14:paraId="3ECA94E4" w14:textId="77777777" w:rsidR="004118A7" w:rsidRPr="004068F6" w:rsidRDefault="004118A7">
      <w:pPr>
        <w:numPr>
          <w:ilvl w:val="12"/>
          <w:numId w:val="0"/>
        </w:numPr>
        <w:tabs>
          <w:tab w:val="left" w:pos="-2268"/>
        </w:tabs>
        <w:suppressAutoHyphens/>
        <w:rPr>
          <w:rFonts w:cs="Arial"/>
          <w:spacing w:val="-3"/>
        </w:rPr>
      </w:pPr>
    </w:p>
    <w:p w14:paraId="5DB8231A" w14:textId="1622DE5F" w:rsidR="009B04FC" w:rsidRPr="004068F6" w:rsidRDefault="009B04FC" w:rsidP="00FF650F">
      <w:pPr>
        <w:pStyle w:val="Prrafodelista"/>
        <w:numPr>
          <w:ilvl w:val="0"/>
          <w:numId w:val="5"/>
        </w:numPr>
        <w:tabs>
          <w:tab w:val="left" w:pos="-2268"/>
        </w:tabs>
        <w:suppressAutoHyphens/>
        <w:ind w:left="567" w:hanging="567"/>
        <w:rPr>
          <w:rFonts w:cs="Arial"/>
          <w:spacing w:val="-3"/>
          <w:lang w:val="es-CO"/>
        </w:rPr>
      </w:pPr>
      <w:bookmarkStart w:id="11061" w:name="_Hlk89354466"/>
      <w:r w:rsidRPr="004068F6">
        <w:rPr>
          <w:rFonts w:cs="Arial"/>
          <w:b/>
          <w:spacing w:val="-3"/>
          <w:lang w:val="es-CO"/>
        </w:rPr>
        <w:t xml:space="preserve">Área </w:t>
      </w:r>
      <w:r w:rsidR="00C525DF" w:rsidRPr="004068F6">
        <w:rPr>
          <w:rFonts w:cs="Arial"/>
          <w:b/>
          <w:spacing w:val="-3"/>
          <w:lang w:val="es-CO"/>
        </w:rPr>
        <w:t xml:space="preserve">de intervención </w:t>
      </w:r>
      <w:bookmarkEnd w:id="11061"/>
      <w:r w:rsidRPr="004068F6">
        <w:rPr>
          <w:rFonts w:cs="Arial"/>
          <w:b/>
          <w:spacing w:val="-3"/>
          <w:lang w:val="es-CO"/>
        </w:rPr>
        <w:t>(</w:t>
      </w:r>
      <w:r w:rsidR="00C525DF" w:rsidRPr="004068F6">
        <w:rPr>
          <w:rFonts w:cs="Arial"/>
          <w:b/>
          <w:spacing w:val="-3"/>
          <w:lang w:val="es-CO"/>
        </w:rPr>
        <w:t>AI</w:t>
      </w:r>
      <w:r w:rsidRPr="004068F6">
        <w:rPr>
          <w:rFonts w:cs="Arial"/>
          <w:b/>
          <w:spacing w:val="-3"/>
          <w:lang w:val="es-CO"/>
        </w:rPr>
        <w:t>):</w:t>
      </w:r>
      <w:r w:rsidRPr="004068F6">
        <w:rPr>
          <w:rFonts w:cs="Arial"/>
          <w:lang w:val="es-CO"/>
        </w:rPr>
        <w:t xml:space="preserve"> </w:t>
      </w:r>
      <w:r w:rsidR="00C90A07" w:rsidRPr="004068F6">
        <w:rPr>
          <w:rFonts w:cs="Arial"/>
          <w:spacing w:val="-3"/>
          <w:lang w:val="es-CO"/>
        </w:rPr>
        <w:t xml:space="preserve">área en la que la normativa vigente no impone prohibiciones y en la que la relación particular entre potencial normalizado de modificación de los impactos </w:t>
      </w:r>
      <w:r w:rsidR="004013C6" w:rsidRPr="004068F6">
        <w:rPr>
          <w:rFonts w:cs="Arial"/>
          <w:spacing w:val="-3"/>
          <w:lang w:val="es-CO"/>
        </w:rPr>
        <w:t xml:space="preserve">y sensibilidad ambiental </w:t>
      </w:r>
      <w:r w:rsidR="00C90A07" w:rsidRPr="004068F6">
        <w:rPr>
          <w:rFonts w:cs="Arial"/>
          <w:spacing w:val="-3"/>
          <w:lang w:val="es-CO"/>
        </w:rPr>
        <w:t>es tal</w:t>
      </w:r>
      <w:r w:rsidR="009665E3" w:rsidRPr="004068F6">
        <w:rPr>
          <w:rFonts w:cs="Arial"/>
          <w:spacing w:val="-3"/>
          <w:lang w:val="es-CO"/>
        </w:rPr>
        <w:t xml:space="preserve"> (ver </w:t>
      </w:r>
      <w:r w:rsidR="009665E3" w:rsidRPr="004068F6">
        <w:rPr>
          <w:rFonts w:cs="Arial"/>
          <w:spacing w:val="-3"/>
          <w:lang w:val="es-CO"/>
        </w:rPr>
        <w:fldChar w:fldCharType="begin"/>
      </w:r>
      <w:r w:rsidR="009665E3" w:rsidRPr="004068F6">
        <w:rPr>
          <w:rFonts w:cs="Arial"/>
          <w:spacing w:val="-3"/>
          <w:lang w:val="es-CO"/>
        </w:rPr>
        <w:instrText xml:space="preserve"> REF _Ref82611016 \h </w:instrText>
      </w:r>
      <w:r w:rsidR="00BD1319" w:rsidRPr="004068F6">
        <w:rPr>
          <w:rFonts w:cs="Arial"/>
          <w:spacing w:val="-3"/>
          <w:lang w:val="es-CO"/>
        </w:rPr>
        <w:instrText xml:space="preserve"> \* MERGEFORMAT </w:instrText>
      </w:r>
      <w:r w:rsidR="009665E3" w:rsidRPr="004068F6">
        <w:rPr>
          <w:rFonts w:cs="Arial"/>
          <w:spacing w:val="-3"/>
          <w:lang w:val="es-CO"/>
        </w:rPr>
      </w:r>
      <w:r w:rsidR="009665E3" w:rsidRPr="004068F6">
        <w:rPr>
          <w:rFonts w:cs="Arial"/>
          <w:spacing w:val="-3"/>
          <w:lang w:val="es-CO"/>
        </w:rPr>
        <w:fldChar w:fldCharType="separate"/>
      </w:r>
      <w:r w:rsidR="009C4A81" w:rsidRPr="009C4A81">
        <w:rPr>
          <w:lang w:val="es-CO"/>
        </w:rPr>
        <w:t>Tabla 37</w:t>
      </w:r>
      <w:r w:rsidR="009665E3" w:rsidRPr="004068F6">
        <w:rPr>
          <w:rFonts w:cs="Arial"/>
          <w:spacing w:val="-3"/>
          <w:lang w:val="es-CO"/>
        </w:rPr>
        <w:fldChar w:fldCharType="end"/>
      </w:r>
      <w:r w:rsidR="009665E3" w:rsidRPr="004068F6">
        <w:rPr>
          <w:rFonts w:cs="Arial"/>
          <w:spacing w:val="-3"/>
          <w:lang w:val="es-CO"/>
        </w:rPr>
        <w:t>)</w:t>
      </w:r>
      <w:r w:rsidR="00C90A07" w:rsidRPr="004068F6">
        <w:rPr>
          <w:rFonts w:cs="Arial"/>
          <w:spacing w:val="-3"/>
          <w:lang w:val="es-CO"/>
        </w:rPr>
        <w:t>, que es posible ejecutar cualquiera de las actividades del proyecto, obra o actividad; para la ejecución de tales actividades debe aplicarse la jerarquía de las medidas de manejo.</w:t>
      </w:r>
    </w:p>
    <w:p w14:paraId="7C278352" w14:textId="77777777" w:rsidR="009B04FC" w:rsidRPr="004068F6" w:rsidRDefault="009B04FC" w:rsidP="009B04FC">
      <w:pPr>
        <w:tabs>
          <w:tab w:val="left" w:pos="-2268"/>
        </w:tabs>
        <w:suppressAutoHyphens/>
        <w:rPr>
          <w:rFonts w:cs="Arial"/>
          <w:spacing w:val="-3"/>
        </w:rPr>
      </w:pPr>
    </w:p>
    <w:p w14:paraId="5764FE40" w14:textId="0ECFEBE6" w:rsidR="00E1669C" w:rsidRPr="004068F6" w:rsidRDefault="00E1669C" w:rsidP="009420F5">
      <w:pPr>
        <w:pStyle w:val="Descripcin"/>
        <w:keepNext/>
        <w:ind w:left="426" w:right="476"/>
        <w:jc w:val="center"/>
        <w:rPr>
          <w:b w:val="0"/>
        </w:rPr>
      </w:pPr>
      <w:bookmarkStart w:id="11062" w:name="_Ref82611016"/>
      <w:r w:rsidRPr="004068F6">
        <w:lastRenderedPageBreak/>
        <w:t xml:space="preserve">Tabla </w:t>
      </w:r>
      <w:fldSimple w:instr=" SEQ Tabla \* ARABIC ">
        <w:r w:rsidR="009C4A81">
          <w:rPr>
            <w:noProof/>
          </w:rPr>
          <w:t>37</w:t>
        </w:r>
      </w:fldSimple>
      <w:bookmarkEnd w:id="11062"/>
      <w:r w:rsidRPr="004068F6">
        <w:t xml:space="preserve">. </w:t>
      </w:r>
      <w:r w:rsidRPr="004068F6">
        <w:rPr>
          <w:b w:val="0"/>
        </w:rPr>
        <w:t xml:space="preserve">Interacción </w:t>
      </w:r>
      <w:r w:rsidR="004013C6" w:rsidRPr="004068F6">
        <w:rPr>
          <w:b w:val="0"/>
        </w:rPr>
        <w:t xml:space="preserve">Potencial normalizado de modificación – Sensibilidad ambiental </w:t>
      </w:r>
      <w:r w:rsidRPr="004068F6">
        <w:rPr>
          <w:b w:val="0"/>
        </w:rPr>
        <w:t xml:space="preserve">que determina </w:t>
      </w:r>
      <w:r w:rsidR="00C90A07" w:rsidRPr="004068F6">
        <w:rPr>
          <w:b w:val="0"/>
        </w:rPr>
        <w:t xml:space="preserve">un </w:t>
      </w:r>
      <w:r w:rsidRPr="004068F6">
        <w:rPr>
          <w:b w:val="0"/>
        </w:rPr>
        <w:t>área de intervención.</w:t>
      </w:r>
    </w:p>
    <w:tbl>
      <w:tblPr>
        <w:tblStyle w:val="Tablaconcuadrcula"/>
        <w:tblW w:w="8388" w:type="dxa"/>
        <w:jc w:val="center"/>
        <w:tblLayout w:type="fixed"/>
        <w:tblLook w:val="04A0" w:firstRow="1" w:lastRow="0" w:firstColumn="1" w:lastColumn="0" w:noHBand="0" w:noVBand="1"/>
      </w:tblPr>
      <w:tblGrid>
        <w:gridCol w:w="2551"/>
        <w:gridCol w:w="1167"/>
        <w:gridCol w:w="1167"/>
        <w:gridCol w:w="1168"/>
        <w:gridCol w:w="1167"/>
        <w:gridCol w:w="1168"/>
      </w:tblGrid>
      <w:tr w:rsidR="009B04FC" w:rsidRPr="004068F6" w14:paraId="3F65164F" w14:textId="77777777" w:rsidTr="009420F5">
        <w:trPr>
          <w:trHeight w:val="315"/>
          <w:jc w:val="center"/>
        </w:trPr>
        <w:tc>
          <w:tcPr>
            <w:tcW w:w="2551" w:type="dxa"/>
            <w:vMerge w:val="restart"/>
            <w:noWrap/>
            <w:vAlign w:val="center"/>
            <w:hideMark/>
          </w:tcPr>
          <w:p w14:paraId="12E5C9B1" w14:textId="2774D283" w:rsidR="009B04FC" w:rsidRPr="004068F6" w:rsidRDefault="004013C6">
            <w:pPr>
              <w:tabs>
                <w:tab w:val="left" w:pos="-2268"/>
              </w:tabs>
              <w:suppressAutoHyphens/>
              <w:jc w:val="center"/>
              <w:rPr>
                <w:rFonts w:cs="Arial"/>
                <w:spacing w:val="-3"/>
                <w:sz w:val="22"/>
              </w:rPr>
            </w:pPr>
            <w:r w:rsidRPr="004068F6">
              <w:rPr>
                <w:rFonts w:cs="Arial"/>
                <w:b/>
                <w:bCs/>
                <w:spacing w:val="-3"/>
                <w:sz w:val="22"/>
              </w:rPr>
              <w:t>Potencial normalizado de modificación</w:t>
            </w:r>
            <w:r w:rsidR="000815E2" w:rsidRPr="004068F6">
              <w:rPr>
                <w:rFonts w:cs="Arial"/>
                <w:b/>
                <w:bCs/>
                <w:spacing w:val="-3"/>
                <w:sz w:val="22"/>
              </w:rPr>
              <w:t xml:space="preserve"> del impacto</w:t>
            </w:r>
          </w:p>
        </w:tc>
        <w:tc>
          <w:tcPr>
            <w:tcW w:w="5837" w:type="dxa"/>
            <w:gridSpan w:val="5"/>
            <w:noWrap/>
            <w:vAlign w:val="center"/>
            <w:hideMark/>
          </w:tcPr>
          <w:p w14:paraId="14774A2B" w14:textId="788694DE" w:rsidR="009B04FC" w:rsidRPr="004068F6" w:rsidRDefault="009B04FC" w:rsidP="004F01DD">
            <w:pPr>
              <w:tabs>
                <w:tab w:val="left" w:pos="-2268"/>
              </w:tabs>
              <w:suppressAutoHyphens/>
              <w:jc w:val="center"/>
              <w:rPr>
                <w:rFonts w:cs="Arial"/>
                <w:b/>
                <w:bCs/>
                <w:spacing w:val="-3"/>
                <w:sz w:val="22"/>
              </w:rPr>
            </w:pPr>
            <w:r w:rsidRPr="004068F6">
              <w:rPr>
                <w:rFonts w:cs="Arial"/>
                <w:b/>
                <w:bCs/>
                <w:spacing w:val="-3"/>
                <w:sz w:val="22"/>
              </w:rPr>
              <w:t xml:space="preserve">Sensibilidad </w:t>
            </w:r>
            <w:r w:rsidR="00551C9D" w:rsidRPr="004068F6">
              <w:rPr>
                <w:rFonts w:cs="Arial"/>
                <w:b/>
                <w:bCs/>
                <w:spacing w:val="-3"/>
                <w:sz w:val="22"/>
              </w:rPr>
              <w:t>a</w:t>
            </w:r>
            <w:r w:rsidRPr="004068F6">
              <w:rPr>
                <w:rFonts w:cs="Arial"/>
                <w:b/>
                <w:bCs/>
                <w:spacing w:val="-3"/>
                <w:sz w:val="22"/>
              </w:rPr>
              <w:t>mbiental</w:t>
            </w:r>
          </w:p>
        </w:tc>
      </w:tr>
      <w:tr w:rsidR="009B04FC" w:rsidRPr="004068F6" w14:paraId="50A4E90C" w14:textId="77777777" w:rsidTr="009420F5">
        <w:trPr>
          <w:trHeight w:val="315"/>
          <w:jc w:val="center"/>
        </w:trPr>
        <w:tc>
          <w:tcPr>
            <w:tcW w:w="2551" w:type="dxa"/>
            <w:vMerge/>
            <w:noWrap/>
            <w:vAlign w:val="center"/>
            <w:hideMark/>
          </w:tcPr>
          <w:p w14:paraId="2415A181" w14:textId="77777777" w:rsidR="009B04FC" w:rsidRPr="004068F6" w:rsidRDefault="009B04FC" w:rsidP="004F01DD">
            <w:pPr>
              <w:tabs>
                <w:tab w:val="left" w:pos="-2268"/>
              </w:tabs>
              <w:suppressAutoHyphens/>
              <w:jc w:val="center"/>
              <w:rPr>
                <w:rFonts w:cs="Arial"/>
                <w:b/>
                <w:bCs/>
                <w:spacing w:val="-3"/>
                <w:sz w:val="22"/>
              </w:rPr>
            </w:pPr>
          </w:p>
        </w:tc>
        <w:tc>
          <w:tcPr>
            <w:tcW w:w="1167" w:type="dxa"/>
            <w:vAlign w:val="center"/>
            <w:hideMark/>
          </w:tcPr>
          <w:p w14:paraId="6CE18C4E" w14:textId="77777777" w:rsidR="009B04FC" w:rsidRPr="004068F6" w:rsidRDefault="009B04FC" w:rsidP="004F01DD">
            <w:pPr>
              <w:tabs>
                <w:tab w:val="left" w:pos="-2268"/>
              </w:tabs>
              <w:suppressAutoHyphens/>
              <w:jc w:val="center"/>
              <w:rPr>
                <w:rFonts w:cs="Arial"/>
                <w:b/>
                <w:bCs/>
                <w:spacing w:val="-3"/>
                <w:sz w:val="22"/>
              </w:rPr>
            </w:pPr>
            <w:r w:rsidRPr="004068F6">
              <w:rPr>
                <w:rFonts w:cs="Arial"/>
                <w:b/>
                <w:bCs/>
                <w:spacing w:val="-3"/>
                <w:sz w:val="22"/>
              </w:rPr>
              <w:t>Muy Baja</w:t>
            </w:r>
          </w:p>
        </w:tc>
        <w:tc>
          <w:tcPr>
            <w:tcW w:w="1167" w:type="dxa"/>
            <w:vAlign w:val="center"/>
            <w:hideMark/>
          </w:tcPr>
          <w:p w14:paraId="23D08041" w14:textId="77777777" w:rsidR="009B04FC" w:rsidRPr="004068F6" w:rsidRDefault="009B04FC" w:rsidP="004F01DD">
            <w:pPr>
              <w:tabs>
                <w:tab w:val="left" w:pos="-2268"/>
              </w:tabs>
              <w:suppressAutoHyphens/>
              <w:jc w:val="center"/>
              <w:rPr>
                <w:rFonts w:cs="Arial"/>
                <w:b/>
                <w:bCs/>
                <w:spacing w:val="-3"/>
                <w:sz w:val="22"/>
              </w:rPr>
            </w:pPr>
            <w:r w:rsidRPr="004068F6">
              <w:rPr>
                <w:rFonts w:cs="Arial"/>
                <w:b/>
                <w:bCs/>
                <w:spacing w:val="-3"/>
                <w:sz w:val="22"/>
              </w:rPr>
              <w:t>Baja</w:t>
            </w:r>
          </w:p>
        </w:tc>
        <w:tc>
          <w:tcPr>
            <w:tcW w:w="1168" w:type="dxa"/>
            <w:vAlign w:val="center"/>
            <w:hideMark/>
          </w:tcPr>
          <w:p w14:paraId="10D4F118" w14:textId="77777777" w:rsidR="009B04FC" w:rsidRPr="004068F6" w:rsidRDefault="009B04FC" w:rsidP="004F01DD">
            <w:pPr>
              <w:tabs>
                <w:tab w:val="left" w:pos="-2268"/>
              </w:tabs>
              <w:suppressAutoHyphens/>
              <w:jc w:val="center"/>
              <w:rPr>
                <w:rFonts w:cs="Arial"/>
                <w:b/>
                <w:bCs/>
                <w:spacing w:val="-3"/>
                <w:sz w:val="22"/>
              </w:rPr>
            </w:pPr>
            <w:r w:rsidRPr="004068F6">
              <w:rPr>
                <w:rFonts w:cs="Arial"/>
                <w:b/>
                <w:bCs/>
                <w:spacing w:val="-3"/>
                <w:sz w:val="22"/>
              </w:rPr>
              <w:t>Media</w:t>
            </w:r>
          </w:p>
        </w:tc>
        <w:tc>
          <w:tcPr>
            <w:tcW w:w="1167" w:type="dxa"/>
            <w:vAlign w:val="center"/>
            <w:hideMark/>
          </w:tcPr>
          <w:p w14:paraId="5431D107" w14:textId="77777777" w:rsidR="009B04FC" w:rsidRPr="004068F6" w:rsidRDefault="009B04FC" w:rsidP="004F01DD">
            <w:pPr>
              <w:tabs>
                <w:tab w:val="left" w:pos="-2268"/>
              </w:tabs>
              <w:suppressAutoHyphens/>
              <w:jc w:val="center"/>
              <w:rPr>
                <w:rFonts w:cs="Arial"/>
                <w:b/>
                <w:bCs/>
                <w:spacing w:val="-3"/>
                <w:sz w:val="22"/>
              </w:rPr>
            </w:pPr>
            <w:r w:rsidRPr="004068F6">
              <w:rPr>
                <w:rFonts w:cs="Arial"/>
                <w:b/>
                <w:bCs/>
                <w:spacing w:val="-3"/>
                <w:sz w:val="22"/>
              </w:rPr>
              <w:t>Alta</w:t>
            </w:r>
          </w:p>
        </w:tc>
        <w:tc>
          <w:tcPr>
            <w:tcW w:w="1168" w:type="dxa"/>
            <w:vAlign w:val="center"/>
            <w:hideMark/>
          </w:tcPr>
          <w:p w14:paraId="162CD2EF" w14:textId="77777777" w:rsidR="009B04FC" w:rsidRPr="004068F6" w:rsidRDefault="009B04FC" w:rsidP="004F01DD">
            <w:pPr>
              <w:tabs>
                <w:tab w:val="left" w:pos="-2268"/>
              </w:tabs>
              <w:suppressAutoHyphens/>
              <w:jc w:val="center"/>
              <w:rPr>
                <w:rFonts w:cs="Arial"/>
                <w:b/>
                <w:bCs/>
                <w:spacing w:val="-3"/>
                <w:sz w:val="22"/>
              </w:rPr>
            </w:pPr>
            <w:r w:rsidRPr="004068F6">
              <w:rPr>
                <w:rFonts w:cs="Arial"/>
                <w:b/>
                <w:bCs/>
                <w:spacing w:val="-3"/>
                <w:sz w:val="22"/>
              </w:rPr>
              <w:t>Muy Alta</w:t>
            </w:r>
          </w:p>
        </w:tc>
      </w:tr>
      <w:tr w:rsidR="009B04FC" w:rsidRPr="004068F6" w14:paraId="7B7B0244" w14:textId="77777777" w:rsidTr="009420F5">
        <w:trPr>
          <w:trHeight w:val="360"/>
          <w:jc w:val="center"/>
        </w:trPr>
        <w:tc>
          <w:tcPr>
            <w:tcW w:w="2551" w:type="dxa"/>
            <w:noWrap/>
            <w:vAlign w:val="center"/>
            <w:hideMark/>
          </w:tcPr>
          <w:p w14:paraId="618D6379" w14:textId="2EAC9227" w:rsidR="009B04FC" w:rsidRPr="004068F6" w:rsidRDefault="009B04FC" w:rsidP="004F01DD">
            <w:pPr>
              <w:tabs>
                <w:tab w:val="left" w:pos="-2268"/>
              </w:tabs>
              <w:suppressAutoHyphens/>
              <w:jc w:val="center"/>
              <w:rPr>
                <w:rFonts w:cs="Arial"/>
                <w:b/>
                <w:bCs/>
                <w:spacing w:val="-3"/>
                <w:sz w:val="22"/>
              </w:rPr>
            </w:pPr>
            <w:r w:rsidRPr="004068F6">
              <w:rPr>
                <w:rFonts w:cs="Arial"/>
                <w:b/>
                <w:bCs/>
                <w:spacing w:val="-3"/>
                <w:sz w:val="22"/>
              </w:rPr>
              <w:t>Baj</w:t>
            </w:r>
            <w:r w:rsidR="000815E2" w:rsidRPr="004068F6">
              <w:rPr>
                <w:rFonts w:cs="Arial"/>
                <w:b/>
                <w:bCs/>
                <w:spacing w:val="-3"/>
                <w:sz w:val="22"/>
              </w:rPr>
              <w:t>o</w:t>
            </w:r>
          </w:p>
        </w:tc>
        <w:tc>
          <w:tcPr>
            <w:tcW w:w="1167" w:type="dxa"/>
            <w:noWrap/>
            <w:vAlign w:val="center"/>
          </w:tcPr>
          <w:p w14:paraId="082E0B4D" w14:textId="77777777" w:rsidR="009B04FC" w:rsidRPr="004068F6" w:rsidRDefault="009B04FC" w:rsidP="004F01DD">
            <w:pPr>
              <w:tabs>
                <w:tab w:val="left" w:pos="-2268"/>
              </w:tabs>
              <w:suppressAutoHyphens/>
              <w:jc w:val="center"/>
              <w:rPr>
                <w:rFonts w:cs="Arial"/>
                <w:spacing w:val="-3"/>
                <w:sz w:val="22"/>
              </w:rPr>
            </w:pPr>
            <w:r w:rsidRPr="004068F6">
              <w:rPr>
                <w:rFonts w:cs="Arial"/>
                <w:spacing w:val="-3"/>
                <w:sz w:val="22"/>
              </w:rPr>
              <w:t>X</w:t>
            </w:r>
          </w:p>
        </w:tc>
        <w:tc>
          <w:tcPr>
            <w:tcW w:w="1167" w:type="dxa"/>
            <w:noWrap/>
            <w:vAlign w:val="center"/>
          </w:tcPr>
          <w:p w14:paraId="6974437D" w14:textId="77777777" w:rsidR="009B04FC" w:rsidRPr="004068F6" w:rsidRDefault="009B04FC" w:rsidP="004F01DD">
            <w:pPr>
              <w:tabs>
                <w:tab w:val="left" w:pos="-2268"/>
              </w:tabs>
              <w:suppressAutoHyphens/>
              <w:jc w:val="center"/>
              <w:rPr>
                <w:rFonts w:cs="Arial"/>
                <w:spacing w:val="-3"/>
                <w:sz w:val="22"/>
              </w:rPr>
            </w:pPr>
            <w:r w:rsidRPr="004068F6">
              <w:rPr>
                <w:rFonts w:cs="Arial"/>
                <w:spacing w:val="-3"/>
                <w:sz w:val="22"/>
              </w:rPr>
              <w:t>X</w:t>
            </w:r>
          </w:p>
        </w:tc>
        <w:tc>
          <w:tcPr>
            <w:tcW w:w="1168" w:type="dxa"/>
            <w:noWrap/>
            <w:vAlign w:val="center"/>
          </w:tcPr>
          <w:p w14:paraId="2C4E0D4B" w14:textId="77777777" w:rsidR="009B04FC" w:rsidRPr="004068F6" w:rsidRDefault="009B04FC" w:rsidP="004F01DD">
            <w:pPr>
              <w:tabs>
                <w:tab w:val="left" w:pos="-2268"/>
              </w:tabs>
              <w:suppressAutoHyphens/>
              <w:jc w:val="center"/>
              <w:rPr>
                <w:rFonts w:cs="Arial"/>
                <w:spacing w:val="-3"/>
                <w:sz w:val="22"/>
              </w:rPr>
            </w:pPr>
            <w:r w:rsidRPr="004068F6">
              <w:rPr>
                <w:rFonts w:cs="Arial"/>
                <w:spacing w:val="-3"/>
                <w:sz w:val="22"/>
              </w:rPr>
              <w:t>X</w:t>
            </w:r>
          </w:p>
        </w:tc>
        <w:tc>
          <w:tcPr>
            <w:tcW w:w="1167" w:type="dxa"/>
            <w:noWrap/>
            <w:vAlign w:val="center"/>
          </w:tcPr>
          <w:p w14:paraId="4960CBE4" w14:textId="77777777" w:rsidR="009B04FC" w:rsidRPr="004068F6" w:rsidRDefault="009B04FC" w:rsidP="004F01DD">
            <w:pPr>
              <w:tabs>
                <w:tab w:val="left" w:pos="-2268"/>
              </w:tabs>
              <w:suppressAutoHyphens/>
              <w:jc w:val="center"/>
              <w:rPr>
                <w:rFonts w:cs="Arial"/>
                <w:spacing w:val="-3"/>
                <w:sz w:val="22"/>
              </w:rPr>
            </w:pPr>
          </w:p>
        </w:tc>
        <w:tc>
          <w:tcPr>
            <w:tcW w:w="1168" w:type="dxa"/>
            <w:noWrap/>
            <w:vAlign w:val="center"/>
          </w:tcPr>
          <w:p w14:paraId="217AB4E9" w14:textId="77777777" w:rsidR="009B04FC" w:rsidRPr="004068F6" w:rsidRDefault="009B04FC" w:rsidP="004F01DD">
            <w:pPr>
              <w:tabs>
                <w:tab w:val="left" w:pos="-2268"/>
              </w:tabs>
              <w:suppressAutoHyphens/>
              <w:jc w:val="center"/>
              <w:rPr>
                <w:rFonts w:cs="Arial"/>
                <w:spacing w:val="-3"/>
                <w:sz w:val="22"/>
              </w:rPr>
            </w:pPr>
          </w:p>
        </w:tc>
      </w:tr>
      <w:tr w:rsidR="009B04FC" w:rsidRPr="004068F6" w14:paraId="0D4E44CC" w14:textId="77777777" w:rsidTr="009420F5">
        <w:trPr>
          <w:trHeight w:val="360"/>
          <w:jc w:val="center"/>
        </w:trPr>
        <w:tc>
          <w:tcPr>
            <w:tcW w:w="2551" w:type="dxa"/>
            <w:noWrap/>
            <w:vAlign w:val="center"/>
            <w:hideMark/>
          </w:tcPr>
          <w:p w14:paraId="3912F0AD" w14:textId="2D6F9EDD" w:rsidR="009B04FC" w:rsidRPr="004068F6" w:rsidRDefault="009B04FC">
            <w:pPr>
              <w:tabs>
                <w:tab w:val="left" w:pos="-2268"/>
              </w:tabs>
              <w:suppressAutoHyphens/>
              <w:jc w:val="center"/>
              <w:rPr>
                <w:rFonts w:cs="Arial"/>
                <w:b/>
                <w:bCs/>
                <w:spacing w:val="-3"/>
                <w:sz w:val="22"/>
              </w:rPr>
            </w:pPr>
            <w:r w:rsidRPr="004068F6">
              <w:rPr>
                <w:rFonts w:cs="Arial"/>
                <w:b/>
                <w:bCs/>
                <w:spacing w:val="-3"/>
                <w:sz w:val="22"/>
              </w:rPr>
              <w:t>Medi</w:t>
            </w:r>
            <w:r w:rsidR="000815E2" w:rsidRPr="004068F6">
              <w:rPr>
                <w:rFonts w:cs="Arial"/>
                <w:b/>
                <w:bCs/>
                <w:spacing w:val="-3"/>
                <w:sz w:val="22"/>
              </w:rPr>
              <w:t>o</w:t>
            </w:r>
          </w:p>
        </w:tc>
        <w:tc>
          <w:tcPr>
            <w:tcW w:w="1167" w:type="dxa"/>
            <w:noWrap/>
            <w:vAlign w:val="center"/>
          </w:tcPr>
          <w:p w14:paraId="26A7EDFF" w14:textId="77777777" w:rsidR="009B04FC" w:rsidRPr="004068F6" w:rsidRDefault="009B04FC" w:rsidP="004F01DD">
            <w:pPr>
              <w:tabs>
                <w:tab w:val="left" w:pos="-2268"/>
              </w:tabs>
              <w:suppressAutoHyphens/>
              <w:jc w:val="center"/>
              <w:rPr>
                <w:rFonts w:cs="Arial"/>
                <w:spacing w:val="-3"/>
                <w:sz w:val="22"/>
              </w:rPr>
            </w:pPr>
            <w:r w:rsidRPr="004068F6">
              <w:rPr>
                <w:rFonts w:cs="Arial"/>
                <w:spacing w:val="-3"/>
                <w:sz w:val="22"/>
              </w:rPr>
              <w:t>X</w:t>
            </w:r>
          </w:p>
        </w:tc>
        <w:tc>
          <w:tcPr>
            <w:tcW w:w="1167" w:type="dxa"/>
            <w:noWrap/>
            <w:vAlign w:val="center"/>
          </w:tcPr>
          <w:p w14:paraId="13621E9D" w14:textId="77777777" w:rsidR="009B04FC" w:rsidRPr="004068F6" w:rsidRDefault="009B04FC" w:rsidP="004F01DD">
            <w:pPr>
              <w:tabs>
                <w:tab w:val="left" w:pos="-2268"/>
              </w:tabs>
              <w:suppressAutoHyphens/>
              <w:jc w:val="center"/>
              <w:rPr>
                <w:rFonts w:cs="Arial"/>
                <w:spacing w:val="-3"/>
                <w:sz w:val="22"/>
              </w:rPr>
            </w:pPr>
            <w:r w:rsidRPr="004068F6">
              <w:rPr>
                <w:rFonts w:cs="Arial"/>
                <w:spacing w:val="-3"/>
                <w:sz w:val="22"/>
              </w:rPr>
              <w:t>X</w:t>
            </w:r>
          </w:p>
        </w:tc>
        <w:tc>
          <w:tcPr>
            <w:tcW w:w="1168" w:type="dxa"/>
            <w:noWrap/>
            <w:vAlign w:val="center"/>
          </w:tcPr>
          <w:p w14:paraId="363D31BF" w14:textId="77777777" w:rsidR="009B04FC" w:rsidRPr="004068F6" w:rsidRDefault="009B04FC" w:rsidP="004F01DD">
            <w:pPr>
              <w:tabs>
                <w:tab w:val="left" w:pos="-2268"/>
              </w:tabs>
              <w:suppressAutoHyphens/>
              <w:jc w:val="center"/>
              <w:rPr>
                <w:rFonts w:cs="Arial"/>
                <w:spacing w:val="-3"/>
                <w:sz w:val="22"/>
              </w:rPr>
            </w:pPr>
          </w:p>
        </w:tc>
        <w:tc>
          <w:tcPr>
            <w:tcW w:w="1167" w:type="dxa"/>
            <w:noWrap/>
            <w:vAlign w:val="center"/>
          </w:tcPr>
          <w:p w14:paraId="64AA3584" w14:textId="77777777" w:rsidR="009B04FC" w:rsidRPr="004068F6" w:rsidRDefault="009B04FC" w:rsidP="004F01DD">
            <w:pPr>
              <w:tabs>
                <w:tab w:val="left" w:pos="-2268"/>
              </w:tabs>
              <w:suppressAutoHyphens/>
              <w:jc w:val="center"/>
              <w:rPr>
                <w:rFonts w:cs="Arial"/>
                <w:spacing w:val="-3"/>
                <w:sz w:val="22"/>
              </w:rPr>
            </w:pPr>
          </w:p>
        </w:tc>
        <w:tc>
          <w:tcPr>
            <w:tcW w:w="1168" w:type="dxa"/>
            <w:noWrap/>
            <w:vAlign w:val="center"/>
          </w:tcPr>
          <w:p w14:paraId="70D3ED94" w14:textId="77777777" w:rsidR="009B04FC" w:rsidRPr="004068F6" w:rsidRDefault="009B04FC" w:rsidP="004F01DD">
            <w:pPr>
              <w:tabs>
                <w:tab w:val="left" w:pos="-2268"/>
              </w:tabs>
              <w:suppressAutoHyphens/>
              <w:jc w:val="center"/>
              <w:rPr>
                <w:rFonts w:cs="Arial"/>
                <w:spacing w:val="-3"/>
                <w:sz w:val="22"/>
              </w:rPr>
            </w:pPr>
          </w:p>
        </w:tc>
      </w:tr>
      <w:tr w:rsidR="009B04FC" w:rsidRPr="004068F6" w14:paraId="42A5714A" w14:textId="77777777" w:rsidTr="009420F5">
        <w:trPr>
          <w:trHeight w:val="360"/>
          <w:jc w:val="center"/>
        </w:trPr>
        <w:tc>
          <w:tcPr>
            <w:tcW w:w="2551" w:type="dxa"/>
            <w:noWrap/>
            <w:vAlign w:val="center"/>
            <w:hideMark/>
          </w:tcPr>
          <w:p w14:paraId="0EB20DAB" w14:textId="2E2E3CB5" w:rsidR="009B04FC" w:rsidRPr="004068F6" w:rsidRDefault="009B04FC" w:rsidP="004F01DD">
            <w:pPr>
              <w:tabs>
                <w:tab w:val="left" w:pos="-2268"/>
              </w:tabs>
              <w:suppressAutoHyphens/>
              <w:jc w:val="center"/>
              <w:rPr>
                <w:rFonts w:cs="Arial"/>
                <w:b/>
                <w:bCs/>
                <w:spacing w:val="-3"/>
                <w:sz w:val="22"/>
              </w:rPr>
            </w:pPr>
            <w:r w:rsidRPr="004068F6">
              <w:rPr>
                <w:rFonts w:cs="Arial"/>
                <w:b/>
                <w:bCs/>
                <w:spacing w:val="-3"/>
                <w:sz w:val="22"/>
              </w:rPr>
              <w:t>Alt</w:t>
            </w:r>
            <w:r w:rsidR="000815E2" w:rsidRPr="004068F6">
              <w:rPr>
                <w:rFonts w:cs="Arial"/>
                <w:b/>
                <w:bCs/>
                <w:spacing w:val="-3"/>
                <w:sz w:val="22"/>
              </w:rPr>
              <w:t>o</w:t>
            </w:r>
          </w:p>
        </w:tc>
        <w:tc>
          <w:tcPr>
            <w:tcW w:w="1167" w:type="dxa"/>
            <w:noWrap/>
            <w:vAlign w:val="center"/>
          </w:tcPr>
          <w:p w14:paraId="5FC31E81" w14:textId="77777777" w:rsidR="009B04FC" w:rsidRPr="004068F6" w:rsidRDefault="009B04FC" w:rsidP="004F01DD">
            <w:pPr>
              <w:tabs>
                <w:tab w:val="left" w:pos="-2268"/>
              </w:tabs>
              <w:suppressAutoHyphens/>
              <w:jc w:val="center"/>
              <w:rPr>
                <w:rFonts w:cs="Arial"/>
                <w:spacing w:val="-3"/>
                <w:sz w:val="22"/>
              </w:rPr>
            </w:pPr>
            <w:r w:rsidRPr="004068F6">
              <w:rPr>
                <w:rFonts w:cs="Arial"/>
                <w:spacing w:val="-3"/>
                <w:sz w:val="22"/>
              </w:rPr>
              <w:t>X</w:t>
            </w:r>
          </w:p>
        </w:tc>
        <w:tc>
          <w:tcPr>
            <w:tcW w:w="1167" w:type="dxa"/>
            <w:noWrap/>
            <w:vAlign w:val="center"/>
          </w:tcPr>
          <w:p w14:paraId="5B761C58" w14:textId="77777777" w:rsidR="009B04FC" w:rsidRPr="004068F6" w:rsidRDefault="009B04FC" w:rsidP="004F01DD">
            <w:pPr>
              <w:tabs>
                <w:tab w:val="left" w:pos="-2268"/>
              </w:tabs>
              <w:suppressAutoHyphens/>
              <w:jc w:val="center"/>
              <w:rPr>
                <w:rFonts w:cs="Arial"/>
                <w:spacing w:val="-3"/>
                <w:sz w:val="22"/>
              </w:rPr>
            </w:pPr>
          </w:p>
        </w:tc>
        <w:tc>
          <w:tcPr>
            <w:tcW w:w="1168" w:type="dxa"/>
            <w:noWrap/>
            <w:vAlign w:val="center"/>
          </w:tcPr>
          <w:p w14:paraId="5D2A41DF" w14:textId="77777777" w:rsidR="009B04FC" w:rsidRPr="004068F6" w:rsidRDefault="009B04FC" w:rsidP="004F01DD">
            <w:pPr>
              <w:tabs>
                <w:tab w:val="left" w:pos="-2268"/>
              </w:tabs>
              <w:suppressAutoHyphens/>
              <w:jc w:val="center"/>
              <w:rPr>
                <w:rFonts w:cs="Arial"/>
                <w:spacing w:val="-3"/>
                <w:sz w:val="22"/>
              </w:rPr>
            </w:pPr>
          </w:p>
        </w:tc>
        <w:tc>
          <w:tcPr>
            <w:tcW w:w="1167" w:type="dxa"/>
            <w:noWrap/>
            <w:vAlign w:val="center"/>
          </w:tcPr>
          <w:p w14:paraId="392DE30D" w14:textId="77777777" w:rsidR="009B04FC" w:rsidRPr="004068F6" w:rsidRDefault="009B04FC" w:rsidP="004F01DD">
            <w:pPr>
              <w:tabs>
                <w:tab w:val="left" w:pos="-2268"/>
              </w:tabs>
              <w:suppressAutoHyphens/>
              <w:jc w:val="center"/>
              <w:rPr>
                <w:rFonts w:cs="Arial"/>
                <w:spacing w:val="-3"/>
                <w:sz w:val="22"/>
              </w:rPr>
            </w:pPr>
          </w:p>
        </w:tc>
        <w:tc>
          <w:tcPr>
            <w:tcW w:w="1168" w:type="dxa"/>
            <w:noWrap/>
            <w:vAlign w:val="center"/>
          </w:tcPr>
          <w:p w14:paraId="306C37CD" w14:textId="77777777" w:rsidR="009B04FC" w:rsidRPr="004068F6" w:rsidRDefault="009B04FC" w:rsidP="004F01DD">
            <w:pPr>
              <w:tabs>
                <w:tab w:val="left" w:pos="-2268"/>
              </w:tabs>
              <w:suppressAutoHyphens/>
              <w:jc w:val="center"/>
              <w:rPr>
                <w:rFonts w:cs="Arial"/>
                <w:spacing w:val="-3"/>
                <w:sz w:val="22"/>
              </w:rPr>
            </w:pPr>
          </w:p>
        </w:tc>
      </w:tr>
      <w:tr w:rsidR="009B04FC" w:rsidRPr="004068F6" w14:paraId="3739D3BB" w14:textId="77777777" w:rsidTr="009420F5">
        <w:trPr>
          <w:trHeight w:val="360"/>
          <w:jc w:val="center"/>
        </w:trPr>
        <w:tc>
          <w:tcPr>
            <w:tcW w:w="2551" w:type="dxa"/>
            <w:noWrap/>
            <w:vAlign w:val="center"/>
            <w:hideMark/>
          </w:tcPr>
          <w:p w14:paraId="5FF7F81A" w14:textId="3EDBBCFA" w:rsidR="009B04FC" w:rsidRPr="004068F6" w:rsidRDefault="009B04FC">
            <w:pPr>
              <w:tabs>
                <w:tab w:val="left" w:pos="-2268"/>
              </w:tabs>
              <w:suppressAutoHyphens/>
              <w:jc w:val="center"/>
              <w:rPr>
                <w:rFonts w:cs="Arial"/>
                <w:b/>
                <w:bCs/>
                <w:spacing w:val="-3"/>
                <w:sz w:val="22"/>
              </w:rPr>
            </w:pPr>
            <w:r w:rsidRPr="004068F6">
              <w:rPr>
                <w:rFonts w:cs="Arial"/>
                <w:b/>
                <w:bCs/>
                <w:spacing w:val="-3"/>
                <w:sz w:val="22"/>
              </w:rPr>
              <w:t xml:space="preserve">Muy </w:t>
            </w:r>
            <w:r w:rsidR="00C31358" w:rsidRPr="004068F6">
              <w:rPr>
                <w:rFonts w:cs="Arial"/>
                <w:b/>
                <w:bCs/>
                <w:spacing w:val="-3"/>
                <w:sz w:val="22"/>
              </w:rPr>
              <w:t>a</w:t>
            </w:r>
            <w:r w:rsidRPr="004068F6">
              <w:rPr>
                <w:rFonts w:cs="Arial"/>
                <w:b/>
                <w:bCs/>
                <w:spacing w:val="-3"/>
                <w:sz w:val="22"/>
              </w:rPr>
              <w:t>lt</w:t>
            </w:r>
            <w:r w:rsidR="000815E2" w:rsidRPr="004068F6">
              <w:rPr>
                <w:rFonts w:cs="Arial"/>
                <w:b/>
                <w:bCs/>
                <w:spacing w:val="-3"/>
                <w:sz w:val="22"/>
              </w:rPr>
              <w:t>o</w:t>
            </w:r>
          </w:p>
        </w:tc>
        <w:tc>
          <w:tcPr>
            <w:tcW w:w="1167" w:type="dxa"/>
            <w:noWrap/>
            <w:vAlign w:val="center"/>
          </w:tcPr>
          <w:p w14:paraId="46F5DD94" w14:textId="77777777" w:rsidR="009B04FC" w:rsidRPr="004068F6" w:rsidRDefault="009B04FC" w:rsidP="004F01DD">
            <w:pPr>
              <w:tabs>
                <w:tab w:val="left" w:pos="-2268"/>
              </w:tabs>
              <w:suppressAutoHyphens/>
              <w:jc w:val="center"/>
              <w:rPr>
                <w:rFonts w:cs="Arial"/>
                <w:spacing w:val="-3"/>
                <w:sz w:val="22"/>
              </w:rPr>
            </w:pPr>
          </w:p>
        </w:tc>
        <w:tc>
          <w:tcPr>
            <w:tcW w:w="1167" w:type="dxa"/>
            <w:noWrap/>
            <w:vAlign w:val="center"/>
          </w:tcPr>
          <w:p w14:paraId="61425254" w14:textId="77777777" w:rsidR="009B04FC" w:rsidRPr="004068F6" w:rsidRDefault="009B04FC" w:rsidP="004F01DD">
            <w:pPr>
              <w:tabs>
                <w:tab w:val="left" w:pos="-2268"/>
              </w:tabs>
              <w:suppressAutoHyphens/>
              <w:jc w:val="center"/>
              <w:rPr>
                <w:rFonts w:cs="Arial"/>
                <w:spacing w:val="-3"/>
                <w:sz w:val="22"/>
              </w:rPr>
            </w:pPr>
          </w:p>
        </w:tc>
        <w:tc>
          <w:tcPr>
            <w:tcW w:w="1168" w:type="dxa"/>
            <w:noWrap/>
            <w:vAlign w:val="center"/>
          </w:tcPr>
          <w:p w14:paraId="485D3901" w14:textId="77777777" w:rsidR="009B04FC" w:rsidRPr="004068F6" w:rsidRDefault="009B04FC" w:rsidP="004F01DD">
            <w:pPr>
              <w:tabs>
                <w:tab w:val="left" w:pos="-2268"/>
              </w:tabs>
              <w:suppressAutoHyphens/>
              <w:jc w:val="center"/>
              <w:rPr>
                <w:rFonts w:cs="Arial"/>
                <w:spacing w:val="-3"/>
                <w:sz w:val="22"/>
              </w:rPr>
            </w:pPr>
          </w:p>
        </w:tc>
        <w:tc>
          <w:tcPr>
            <w:tcW w:w="1167" w:type="dxa"/>
            <w:noWrap/>
            <w:vAlign w:val="center"/>
          </w:tcPr>
          <w:p w14:paraId="3B60C90F" w14:textId="77777777" w:rsidR="009B04FC" w:rsidRPr="004068F6" w:rsidRDefault="009B04FC" w:rsidP="004F01DD">
            <w:pPr>
              <w:tabs>
                <w:tab w:val="left" w:pos="-2268"/>
              </w:tabs>
              <w:suppressAutoHyphens/>
              <w:jc w:val="center"/>
              <w:rPr>
                <w:rFonts w:cs="Arial"/>
                <w:spacing w:val="-3"/>
                <w:sz w:val="22"/>
              </w:rPr>
            </w:pPr>
          </w:p>
        </w:tc>
        <w:tc>
          <w:tcPr>
            <w:tcW w:w="1168" w:type="dxa"/>
            <w:noWrap/>
            <w:vAlign w:val="center"/>
          </w:tcPr>
          <w:p w14:paraId="0B0E1B4B" w14:textId="77777777" w:rsidR="009B04FC" w:rsidRPr="004068F6" w:rsidRDefault="009B04FC" w:rsidP="004F01DD">
            <w:pPr>
              <w:tabs>
                <w:tab w:val="left" w:pos="-2268"/>
              </w:tabs>
              <w:suppressAutoHyphens/>
              <w:jc w:val="center"/>
              <w:rPr>
                <w:rFonts w:cs="Arial"/>
                <w:spacing w:val="-3"/>
                <w:sz w:val="22"/>
              </w:rPr>
            </w:pPr>
          </w:p>
        </w:tc>
      </w:tr>
    </w:tbl>
    <w:p w14:paraId="407C6B59" w14:textId="77777777" w:rsidR="009B04FC" w:rsidRPr="004068F6" w:rsidRDefault="009B04FC" w:rsidP="009B04FC">
      <w:pPr>
        <w:tabs>
          <w:tab w:val="left" w:pos="-2268"/>
        </w:tabs>
        <w:suppressAutoHyphens/>
        <w:rPr>
          <w:rFonts w:cs="Arial"/>
          <w:spacing w:val="-3"/>
        </w:rPr>
      </w:pPr>
    </w:p>
    <w:p w14:paraId="002F1AF0" w14:textId="68AF09EE" w:rsidR="009B04FC" w:rsidRPr="004068F6" w:rsidRDefault="009B04FC" w:rsidP="009420F5">
      <w:pPr>
        <w:pStyle w:val="Prrafodelista"/>
        <w:numPr>
          <w:ilvl w:val="0"/>
          <w:numId w:val="5"/>
        </w:numPr>
        <w:tabs>
          <w:tab w:val="left" w:pos="-2268"/>
        </w:tabs>
        <w:suppressAutoHyphens/>
        <w:ind w:left="567" w:hanging="567"/>
        <w:rPr>
          <w:rFonts w:cs="Arial"/>
          <w:spacing w:val="-3"/>
          <w:lang w:val="es-CO"/>
        </w:rPr>
      </w:pPr>
      <w:bookmarkStart w:id="11063" w:name="_Hlk89354476"/>
      <w:r w:rsidRPr="004068F6">
        <w:rPr>
          <w:rFonts w:cs="Arial"/>
          <w:b/>
          <w:spacing w:val="-3"/>
          <w:lang w:val="es-CO"/>
        </w:rPr>
        <w:t xml:space="preserve">Área de intervención con restricciones </w:t>
      </w:r>
      <w:bookmarkEnd w:id="11063"/>
      <w:r w:rsidRPr="004068F6">
        <w:rPr>
          <w:rFonts w:cs="Arial"/>
          <w:b/>
          <w:spacing w:val="-3"/>
          <w:lang w:val="es-CO"/>
        </w:rPr>
        <w:t>(AIR):</w:t>
      </w:r>
      <w:r w:rsidRPr="004068F6">
        <w:rPr>
          <w:rFonts w:cs="Arial"/>
          <w:spacing w:val="-3"/>
          <w:lang w:val="es-CO"/>
        </w:rPr>
        <w:t xml:space="preserve"> </w:t>
      </w:r>
      <w:r w:rsidR="00C90A07" w:rsidRPr="004068F6">
        <w:rPr>
          <w:rFonts w:cs="Arial"/>
          <w:spacing w:val="-3"/>
          <w:lang w:val="es-CO"/>
        </w:rPr>
        <w:t xml:space="preserve">área en la que </w:t>
      </w:r>
      <w:bookmarkStart w:id="11064" w:name="_Hlk89354542"/>
      <w:r w:rsidR="00C90A07" w:rsidRPr="004068F6">
        <w:rPr>
          <w:rFonts w:cs="Arial"/>
          <w:spacing w:val="-3"/>
          <w:lang w:val="es-CO"/>
        </w:rPr>
        <w:t xml:space="preserve">es permitido ejecutar algunas de las obras o actividades del proyecto, </w:t>
      </w:r>
      <w:bookmarkEnd w:id="11064"/>
      <w:r w:rsidR="00C90A07" w:rsidRPr="004068F6">
        <w:rPr>
          <w:rFonts w:cs="Arial"/>
          <w:spacing w:val="-3"/>
          <w:lang w:val="es-CO"/>
        </w:rPr>
        <w:t>obra o actividad de conformidad con la normativa vigente y la relación particular entre el potencial</w:t>
      </w:r>
      <w:r w:rsidR="009E644C" w:rsidRPr="004068F6">
        <w:rPr>
          <w:rFonts w:cs="Arial"/>
          <w:spacing w:val="-3"/>
          <w:lang w:val="es-CO"/>
        </w:rPr>
        <w:t xml:space="preserve"> normalizado</w:t>
      </w:r>
      <w:r w:rsidR="00C90A07" w:rsidRPr="004068F6">
        <w:rPr>
          <w:rFonts w:cs="Arial"/>
          <w:spacing w:val="-3"/>
          <w:lang w:val="es-CO"/>
        </w:rPr>
        <w:t xml:space="preserve"> de modificación de </w:t>
      </w:r>
      <w:r w:rsidR="004013C6" w:rsidRPr="004068F6">
        <w:rPr>
          <w:rFonts w:cs="Arial"/>
          <w:spacing w:val="-3"/>
          <w:lang w:val="es-CO"/>
        </w:rPr>
        <w:t>l</w:t>
      </w:r>
      <w:r w:rsidR="00C90A07" w:rsidRPr="004068F6">
        <w:rPr>
          <w:rFonts w:cs="Arial"/>
          <w:spacing w:val="-3"/>
          <w:lang w:val="es-CO"/>
        </w:rPr>
        <w:t>os impactos</w:t>
      </w:r>
      <w:r w:rsidR="004013C6" w:rsidRPr="004068F6">
        <w:rPr>
          <w:rFonts w:cs="Arial"/>
          <w:spacing w:val="-3"/>
          <w:lang w:val="es-CO"/>
        </w:rPr>
        <w:t xml:space="preserve"> y la sensibilidad ambiental</w:t>
      </w:r>
      <w:r w:rsidR="009665E3" w:rsidRPr="004068F6">
        <w:rPr>
          <w:rFonts w:cs="Arial"/>
          <w:spacing w:val="-3"/>
          <w:lang w:val="es-CO"/>
        </w:rPr>
        <w:t xml:space="preserve"> (ver </w:t>
      </w:r>
      <w:r w:rsidR="009665E3" w:rsidRPr="004068F6">
        <w:rPr>
          <w:rFonts w:cs="Arial"/>
          <w:spacing w:val="-3"/>
          <w:lang w:val="es-CO"/>
        </w:rPr>
        <w:fldChar w:fldCharType="begin"/>
      </w:r>
      <w:r w:rsidR="009665E3" w:rsidRPr="004068F6">
        <w:rPr>
          <w:rFonts w:cs="Arial"/>
          <w:spacing w:val="-3"/>
          <w:lang w:val="es-CO"/>
        </w:rPr>
        <w:instrText xml:space="preserve"> REF _Ref82611062 \h </w:instrText>
      </w:r>
      <w:r w:rsidR="00BD1319" w:rsidRPr="004068F6">
        <w:rPr>
          <w:rFonts w:cs="Arial"/>
          <w:spacing w:val="-3"/>
          <w:lang w:val="es-CO"/>
        </w:rPr>
        <w:instrText xml:space="preserve"> \* MERGEFORMAT </w:instrText>
      </w:r>
      <w:r w:rsidR="009665E3" w:rsidRPr="004068F6">
        <w:rPr>
          <w:rFonts w:cs="Arial"/>
          <w:spacing w:val="-3"/>
          <w:lang w:val="es-CO"/>
        </w:rPr>
      </w:r>
      <w:r w:rsidR="009665E3" w:rsidRPr="004068F6">
        <w:rPr>
          <w:rFonts w:cs="Arial"/>
          <w:spacing w:val="-3"/>
          <w:lang w:val="es-CO"/>
        </w:rPr>
        <w:fldChar w:fldCharType="separate"/>
      </w:r>
      <w:r w:rsidR="009C4A81" w:rsidRPr="009C4A81">
        <w:rPr>
          <w:lang w:val="es-CO"/>
        </w:rPr>
        <w:t>Tabla 38</w:t>
      </w:r>
      <w:r w:rsidR="009665E3" w:rsidRPr="004068F6">
        <w:rPr>
          <w:rFonts w:cs="Arial"/>
          <w:spacing w:val="-3"/>
          <w:lang w:val="es-CO"/>
        </w:rPr>
        <w:fldChar w:fldCharType="end"/>
      </w:r>
      <w:r w:rsidR="009665E3" w:rsidRPr="004068F6">
        <w:rPr>
          <w:rFonts w:cs="Arial"/>
          <w:spacing w:val="-3"/>
          <w:lang w:val="es-CO"/>
        </w:rPr>
        <w:t>)</w:t>
      </w:r>
      <w:r w:rsidR="002946B1" w:rsidRPr="00127BD4">
        <w:rPr>
          <w:rStyle w:val="Refdenotaalpie"/>
          <w:rFonts w:cs="Arial"/>
          <w:spacing w:val="-3"/>
          <w:lang w:val="es-CO"/>
        </w:rPr>
        <w:footnoteReference w:id="236"/>
      </w:r>
      <w:r w:rsidR="00C90A07" w:rsidRPr="004068F6">
        <w:rPr>
          <w:rFonts w:cs="Arial"/>
          <w:spacing w:val="-3"/>
          <w:lang w:val="es-CO"/>
        </w:rPr>
        <w:t>; para la ejecución de tales actividades debe aplicarse la jerarquía de las medidas de manejo</w:t>
      </w:r>
      <w:r w:rsidR="00CB7535" w:rsidRPr="004068F6">
        <w:rPr>
          <w:rFonts w:cs="Arial"/>
          <w:spacing w:val="-3"/>
          <w:lang w:val="es-CO"/>
        </w:rPr>
        <w:t>.</w:t>
      </w:r>
    </w:p>
    <w:p w14:paraId="02642B27" w14:textId="77777777" w:rsidR="001C4EDB" w:rsidRPr="004068F6" w:rsidRDefault="001C4EDB" w:rsidP="009B04FC">
      <w:pPr>
        <w:numPr>
          <w:ilvl w:val="12"/>
          <w:numId w:val="0"/>
        </w:numPr>
        <w:tabs>
          <w:tab w:val="left" w:pos="-2268"/>
        </w:tabs>
        <w:suppressAutoHyphens/>
        <w:rPr>
          <w:rFonts w:cs="Arial"/>
          <w:spacing w:val="-3"/>
        </w:rPr>
      </w:pPr>
    </w:p>
    <w:p w14:paraId="02E3ED2F" w14:textId="7D7461CC" w:rsidR="00E1669C" w:rsidRPr="004068F6" w:rsidRDefault="00E1669C" w:rsidP="009420F5">
      <w:pPr>
        <w:pStyle w:val="Descripcin"/>
        <w:keepNext/>
        <w:ind w:left="426" w:right="476"/>
        <w:jc w:val="center"/>
      </w:pPr>
      <w:bookmarkStart w:id="11065" w:name="_Ref82611062"/>
      <w:r w:rsidRPr="004068F6">
        <w:t xml:space="preserve">Tabla </w:t>
      </w:r>
      <w:fldSimple w:instr=" SEQ Tabla \* ARABIC ">
        <w:r w:rsidR="009C4A81">
          <w:rPr>
            <w:noProof/>
          </w:rPr>
          <w:t>38</w:t>
        </w:r>
      </w:fldSimple>
      <w:bookmarkEnd w:id="11065"/>
      <w:r w:rsidRPr="004068F6">
        <w:t xml:space="preserve">. </w:t>
      </w:r>
      <w:r w:rsidRPr="004068F6">
        <w:rPr>
          <w:b w:val="0"/>
        </w:rPr>
        <w:t xml:space="preserve">Interacción </w:t>
      </w:r>
      <w:r w:rsidR="004013C6" w:rsidRPr="004068F6">
        <w:rPr>
          <w:b w:val="0"/>
        </w:rPr>
        <w:t xml:space="preserve">Potencial normalizado de modificación – Sensibilidad ambiental </w:t>
      </w:r>
      <w:r w:rsidRPr="004068F6">
        <w:rPr>
          <w:b w:val="0"/>
        </w:rPr>
        <w:t xml:space="preserve">que determina </w:t>
      </w:r>
      <w:r w:rsidR="004013C6" w:rsidRPr="004068F6">
        <w:rPr>
          <w:b w:val="0"/>
        </w:rPr>
        <w:t xml:space="preserve">un </w:t>
      </w:r>
      <w:r w:rsidRPr="004068F6">
        <w:rPr>
          <w:b w:val="0"/>
        </w:rPr>
        <w:t>área de intervención con restricciones.</w:t>
      </w:r>
    </w:p>
    <w:tbl>
      <w:tblPr>
        <w:tblStyle w:val="Tablaconcuadrcula"/>
        <w:tblW w:w="8386" w:type="dxa"/>
        <w:jc w:val="center"/>
        <w:tblLayout w:type="fixed"/>
        <w:tblLook w:val="04A0" w:firstRow="1" w:lastRow="0" w:firstColumn="1" w:lastColumn="0" w:noHBand="0" w:noVBand="1"/>
      </w:tblPr>
      <w:tblGrid>
        <w:gridCol w:w="2569"/>
        <w:gridCol w:w="1163"/>
        <w:gridCol w:w="1163"/>
        <w:gridCol w:w="1164"/>
        <w:gridCol w:w="1163"/>
        <w:gridCol w:w="1164"/>
      </w:tblGrid>
      <w:tr w:rsidR="000815E2" w:rsidRPr="004068F6" w14:paraId="642661B8" w14:textId="77777777" w:rsidTr="006B4032">
        <w:trPr>
          <w:trHeight w:val="315"/>
          <w:tblHeader/>
          <w:jc w:val="center"/>
        </w:trPr>
        <w:tc>
          <w:tcPr>
            <w:tcW w:w="2552" w:type="dxa"/>
            <w:vMerge w:val="restart"/>
            <w:noWrap/>
            <w:vAlign w:val="center"/>
            <w:hideMark/>
          </w:tcPr>
          <w:p w14:paraId="07FDE343" w14:textId="1A149A90" w:rsidR="000815E2" w:rsidRPr="004068F6" w:rsidRDefault="004013C6" w:rsidP="004F01DD">
            <w:pPr>
              <w:tabs>
                <w:tab w:val="left" w:pos="-2268"/>
              </w:tabs>
              <w:suppressAutoHyphens/>
              <w:jc w:val="center"/>
              <w:rPr>
                <w:rFonts w:cs="Arial"/>
                <w:spacing w:val="-3"/>
                <w:sz w:val="22"/>
              </w:rPr>
            </w:pPr>
            <w:r w:rsidRPr="004068F6">
              <w:rPr>
                <w:rFonts w:cs="Arial"/>
                <w:b/>
                <w:bCs/>
                <w:spacing w:val="-3"/>
                <w:sz w:val="22"/>
              </w:rPr>
              <w:t xml:space="preserve">Potencial normalizado de modificación </w:t>
            </w:r>
            <w:r w:rsidR="000815E2" w:rsidRPr="004068F6">
              <w:rPr>
                <w:rFonts w:cs="Arial"/>
                <w:b/>
                <w:bCs/>
                <w:spacing w:val="-3"/>
                <w:sz w:val="22"/>
              </w:rPr>
              <w:t>del impacto</w:t>
            </w:r>
          </w:p>
        </w:tc>
        <w:tc>
          <w:tcPr>
            <w:tcW w:w="5777" w:type="dxa"/>
            <w:gridSpan w:val="5"/>
            <w:noWrap/>
            <w:vAlign w:val="center"/>
            <w:hideMark/>
          </w:tcPr>
          <w:p w14:paraId="320425AE" w14:textId="37E04840"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 xml:space="preserve">Sensibilidad </w:t>
            </w:r>
            <w:r w:rsidR="00551C9D" w:rsidRPr="004068F6">
              <w:rPr>
                <w:rFonts w:cs="Arial"/>
                <w:b/>
                <w:bCs/>
                <w:spacing w:val="-3"/>
                <w:sz w:val="22"/>
              </w:rPr>
              <w:t>a</w:t>
            </w:r>
            <w:r w:rsidRPr="004068F6">
              <w:rPr>
                <w:rFonts w:cs="Arial"/>
                <w:b/>
                <w:bCs/>
                <w:spacing w:val="-3"/>
                <w:sz w:val="22"/>
              </w:rPr>
              <w:t>mbiental</w:t>
            </w:r>
          </w:p>
        </w:tc>
      </w:tr>
      <w:tr w:rsidR="000815E2" w:rsidRPr="004068F6" w14:paraId="619C00B4" w14:textId="77777777" w:rsidTr="006B4032">
        <w:trPr>
          <w:trHeight w:val="315"/>
          <w:tblHeader/>
          <w:jc w:val="center"/>
        </w:trPr>
        <w:tc>
          <w:tcPr>
            <w:tcW w:w="2552" w:type="dxa"/>
            <w:vMerge/>
            <w:noWrap/>
            <w:vAlign w:val="center"/>
            <w:hideMark/>
          </w:tcPr>
          <w:p w14:paraId="2F7FC40F" w14:textId="77777777" w:rsidR="000815E2" w:rsidRPr="004068F6" w:rsidRDefault="000815E2" w:rsidP="004F01DD">
            <w:pPr>
              <w:tabs>
                <w:tab w:val="left" w:pos="-2268"/>
              </w:tabs>
              <w:suppressAutoHyphens/>
              <w:jc w:val="center"/>
              <w:rPr>
                <w:rFonts w:cs="Arial"/>
                <w:b/>
                <w:bCs/>
                <w:spacing w:val="-3"/>
                <w:sz w:val="22"/>
              </w:rPr>
            </w:pPr>
          </w:p>
        </w:tc>
        <w:tc>
          <w:tcPr>
            <w:tcW w:w="1155" w:type="dxa"/>
            <w:vAlign w:val="center"/>
            <w:hideMark/>
          </w:tcPr>
          <w:p w14:paraId="539142B9"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Muy Baja</w:t>
            </w:r>
          </w:p>
        </w:tc>
        <w:tc>
          <w:tcPr>
            <w:tcW w:w="1155" w:type="dxa"/>
            <w:vAlign w:val="center"/>
            <w:hideMark/>
          </w:tcPr>
          <w:p w14:paraId="06B993CB"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Baja</w:t>
            </w:r>
          </w:p>
        </w:tc>
        <w:tc>
          <w:tcPr>
            <w:tcW w:w="1156" w:type="dxa"/>
            <w:vAlign w:val="center"/>
            <w:hideMark/>
          </w:tcPr>
          <w:p w14:paraId="18678B65"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Media</w:t>
            </w:r>
          </w:p>
        </w:tc>
        <w:tc>
          <w:tcPr>
            <w:tcW w:w="1155" w:type="dxa"/>
            <w:vAlign w:val="center"/>
            <w:hideMark/>
          </w:tcPr>
          <w:p w14:paraId="575B6174"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Alta</w:t>
            </w:r>
          </w:p>
        </w:tc>
        <w:tc>
          <w:tcPr>
            <w:tcW w:w="1156" w:type="dxa"/>
            <w:vAlign w:val="center"/>
            <w:hideMark/>
          </w:tcPr>
          <w:p w14:paraId="67B68F15"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Muy Alta</w:t>
            </w:r>
          </w:p>
        </w:tc>
      </w:tr>
      <w:tr w:rsidR="000815E2" w:rsidRPr="004068F6" w14:paraId="1376DA88" w14:textId="77777777" w:rsidTr="006B4032">
        <w:trPr>
          <w:trHeight w:val="360"/>
          <w:tblHeader/>
          <w:jc w:val="center"/>
        </w:trPr>
        <w:tc>
          <w:tcPr>
            <w:tcW w:w="2552" w:type="dxa"/>
            <w:noWrap/>
            <w:vAlign w:val="center"/>
            <w:hideMark/>
          </w:tcPr>
          <w:p w14:paraId="38D3DEB2" w14:textId="32408DED"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Bajo</w:t>
            </w:r>
          </w:p>
        </w:tc>
        <w:tc>
          <w:tcPr>
            <w:tcW w:w="1155" w:type="dxa"/>
            <w:noWrap/>
            <w:vAlign w:val="center"/>
          </w:tcPr>
          <w:p w14:paraId="33131C52" w14:textId="77777777" w:rsidR="000815E2" w:rsidRPr="004068F6" w:rsidRDefault="000815E2" w:rsidP="004F01DD">
            <w:pPr>
              <w:tabs>
                <w:tab w:val="left" w:pos="-2268"/>
              </w:tabs>
              <w:suppressAutoHyphens/>
              <w:jc w:val="center"/>
              <w:rPr>
                <w:rFonts w:cs="Arial"/>
                <w:spacing w:val="-3"/>
                <w:sz w:val="22"/>
              </w:rPr>
            </w:pPr>
          </w:p>
        </w:tc>
        <w:tc>
          <w:tcPr>
            <w:tcW w:w="1155" w:type="dxa"/>
            <w:noWrap/>
            <w:vAlign w:val="center"/>
          </w:tcPr>
          <w:p w14:paraId="7F323E77" w14:textId="77777777" w:rsidR="000815E2" w:rsidRPr="004068F6" w:rsidRDefault="000815E2" w:rsidP="004F01DD">
            <w:pPr>
              <w:tabs>
                <w:tab w:val="left" w:pos="-2268"/>
              </w:tabs>
              <w:suppressAutoHyphens/>
              <w:jc w:val="center"/>
              <w:rPr>
                <w:rFonts w:cs="Arial"/>
                <w:spacing w:val="-3"/>
                <w:sz w:val="22"/>
              </w:rPr>
            </w:pPr>
          </w:p>
        </w:tc>
        <w:tc>
          <w:tcPr>
            <w:tcW w:w="1156" w:type="dxa"/>
            <w:noWrap/>
            <w:vAlign w:val="center"/>
          </w:tcPr>
          <w:p w14:paraId="459362C7" w14:textId="77777777" w:rsidR="000815E2" w:rsidRPr="004068F6" w:rsidRDefault="000815E2" w:rsidP="004F01DD">
            <w:pPr>
              <w:tabs>
                <w:tab w:val="left" w:pos="-2268"/>
              </w:tabs>
              <w:suppressAutoHyphens/>
              <w:jc w:val="center"/>
              <w:rPr>
                <w:rFonts w:cs="Arial"/>
                <w:spacing w:val="-3"/>
                <w:sz w:val="22"/>
              </w:rPr>
            </w:pPr>
          </w:p>
        </w:tc>
        <w:tc>
          <w:tcPr>
            <w:tcW w:w="1155" w:type="dxa"/>
            <w:noWrap/>
            <w:vAlign w:val="center"/>
          </w:tcPr>
          <w:p w14:paraId="42413666"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c>
          <w:tcPr>
            <w:tcW w:w="1156" w:type="dxa"/>
            <w:noWrap/>
            <w:vAlign w:val="center"/>
          </w:tcPr>
          <w:p w14:paraId="5AD0B32E"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r>
      <w:tr w:rsidR="000815E2" w:rsidRPr="004068F6" w14:paraId="0E4A0772" w14:textId="77777777" w:rsidTr="006B4032">
        <w:trPr>
          <w:trHeight w:val="360"/>
          <w:tblHeader/>
          <w:jc w:val="center"/>
        </w:trPr>
        <w:tc>
          <w:tcPr>
            <w:tcW w:w="2552" w:type="dxa"/>
            <w:noWrap/>
            <w:vAlign w:val="center"/>
            <w:hideMark/>
          </w:tcPr>
          <w:p w14:paraId="51AA5FAF" w14:textId="71918C4B"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Medio</w:t>
            </w:r>
          </w:p>
        </w:tc>
        <w:tc>
          <w:tcPr>
            <w:tcW w:w="1155" w:type="dxa"/>
            <w:noWrap/>
            <w:vAlign w:val="center"/>
          </w:tcPr>
          <w:p w14:paraId="102592F8" w14:textId="77777777" w:rsidR="000815E2" w:rsidRPr="004068F6" w:rsidRDefault="000815E2" w:rsidP="004F01DD">
            <w:pPr>
              <w:tabs>
                <w:tab w:val="left" w:pos="-2268"/>
              </w:tabs>
              <w:suppressAutoHyphens/>
              <w:jc w:val="center"/>
              <w:rPr>
                <w:rFonts w:cs="Arial"/>
                <w:spacing w:val="-3"/>
                <w:sz w:val="22"/>
              </w:rPr>
            </w:pPr>
          </w:p>
        </w:tc>
        <w:tc>
          <w:tcPr>
            <w:tcW w:w="1155" w:type="dxa"/>
            <w:noWrap/>
            <w:vAlign w:val="center"/>
          </w:tcPr>
          <w:p w14:paraId="0C83F822" w14:textId="77777777" w:rsidR="000815E2" w:rsidRPr="004068F6" w:rsidRDefault="000815E2" w:rsidP="004F01DD">
            <w:pPr>
              <w:tabs>
                <w:tab w:val="left" w:pos="-2268"/>
              </w:tabs>
              <w:suppressAutoHyphens/>
              <w:jc w:val="center"/>
              <w:rPr>
                <w:rFonts w:cs="Arial"/>
                <w:spacing w:val="-3"/>
                <w:sz w:val="22"/>
              </w:rPr>
            </w:pPr>
          </w:p>
        </w:tc>
        <w:tc>
          <w:tcPr>
            <w:tcW w:w="1156" w:type="dxa"/>
            <w:noWrap/>
            <w:vAlign w:val="center"/>
          </w:tcPr>
          <w:p w14:paraId="3DD2E121"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c>
          <w:tcPr>
            <w:tcW w:w="1155" w:type="dxa"/>
            <w:noWrap/>
            <w:vAlign w:val="center"/>
          </w:tcPr>
          <w:p w14:paraId="5E139257"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c>
          <w:tcPr>
            <w:tcW w:w="1156" w:type="dxa"/>
            <w:noWrap/>
            <w:vAlign w:val="center"/>
          </w:tcPr>
          <w:p w14:paraId="2FE20E44"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r>
      <w:tr w:rsidR="000815E2" w:rsidRPr="004068F6" w14:paraId="3858C4C6" w14:textId="77777777" w:rsidTr="006B4032">
        <w:trPr>
          <w:trHeight w:val="360"/>
          <w:tblHeader/>
          <w:jc w:val="center"/>
        </w:trPr>
        <w:tc>
          <w:tcPr>
            <w:tcW w:w="2552" w:type="dxa"/>
            <w:noWrap/>
            <w:vAlign w:val="center"/>
            <w:hideMark/>
          </w:tcPr>
          <w:p w14:paraId="490C517E" w14:textId="77C01938"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Alto</w:t>
            </w:r>
          </w:p>
        </w:tc>
        <w:tc>
          <w:tcPr>
            <w:tcW w:w="1155" w:type="dxa"/>
            <w:noWrap/>
            <w:vAlign w:val="center"/>
          </w:tcPr>
          <w:p w14:paraId="789F27A3" w14:textId="77777777" w:rsidR="000815E2" w:rsidRPr="004068F6" w:rsidRDefault="000815E2" w:rsidP="004F01DD">
            <w:pPr>
              <w:tabs>
                <w:tab w:val="left" w:pos="-2268"/>
              </w:tabs>
              <w:suppressAutoHyphens/>
              <w:jc w:val="center"/>
              <w:rPr>
                <w:rFonts w:cs="Arial"/>
                <w:spacing w:val="-3"/>
                <w:sz w:val="22"/>
              </w:rPr>
            </w:pPr>
          </w:p>
        </w:tc>
        <w:tc>
          <w:tcPr>
            <w:tcW w:w="1155" w:type="dxa"/>
            <w:noWrap/>
            <w:vAlign w:val="center"/>
          </w:tcPr>
          <w:p w14:paraId="0CC08264"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c>
          <w:tcPr>
            <w:tcW w:w="1156" w:type="dxa"/>
            <w:noWrap/>
            <w:vAlign w:val="center"/>
          </w:tcPr>
          <w:p w14:paraId="5056F8A4"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c>
          <w:tcPr>
            <w:tcW w:w="1155" w:type="dxa"/>
            <w:noWrap/>
            <w:vAlign w:val="center"/>
          </w:tcPr>
          <w:p w14:paraId="338D7BE7"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c>
          <w:tcPr>
            <w:tcW w:w="1156" w:type="dxa"/>
            <w:noWrap/>
            <w:vAlign w:val="center"/>
          </w:tcPr>
          <w:p w14:paraId="55D71BF7" w14:textId="77777777" w:rsidR="000815E2" w:rsidRPr="004068F6" w:rsidRDefault="000815E2" w:rsidP="004F01DD">
            <w:pPr>
              <w:tabs>
                <w:tab w:val="left" w:pos="-2268"/>
              </w:tabs>
              <w:suppressAutoHyphens/>
              <w:jc w:val="center"/>
              <w:rPr>
                <w:rFonts w:cs="Arial"/>
                <w:spacing w:val="-3"/>
                <w:sz w:val="22"/>
              </w:rPr>
            </w:pPr>
          </w:p>
        </w:tc>
      </w:tr>
      <w:tr w:rsidR="009B04FC" w:rsidRPr="004068F6" w14:paraId="12CB6554" w14:textId="77777777" w:rsidTr="006B4032">
        <w:trPr>
          <w:trHeight w:val="360"/>
          <w:tblHeader/>
          <w:jc w:val="center"/>
        </w:trPr>
        <w:tc>
          <w:tcPr>
            <w:tcW w:w="2552" w:type="dxa"/>
            <w:noWrap/>
            <w:vAlign w:val="center"/>
            <w:hideMark/>
          </w:tcPr>
          <w:p w14:paraId="4081A4F0" w14:textId="1F9482D7" w:rsidR="009B04FC" w:rsidRPr="004068F6" w:rsidRDefault="009B04FC" w:rsidP="004F01DD">
            <w:pPr>
              <w:tabs>
                <w:tab w:val="left" w:pos="-2268"/>
              </w:tabs>
              <w:suppressAutoHyphens/>
              <w:jc w:val="center"/>
              <w:rPr>
                <w:rFonts w:cs="Arial"/>
                <w:b/>
                <w:bCs/>
                <w:spacing w:val="-3"/>
                <w:sz w:val="22"/>
              </w:rPr>
            </w:pPr>
            <w:r w:rsidRPr="004068F6">
              <w:rPr>
                <w:rFonts w:cs="Arial"/>
                <w:b/>
                <w:bCs/>
                <w:spacing w:val="-3"/>
                <w:sz w:val="22"/>
              </w:rPr>
              <w:t xml:space="preserve">Muy </w:t>
            </w:r>
            <w:r w:rsidR="00C31358" w:rsidRPr="004068F6">
              <w:rPr>
                <w:rFonts w:cs="Arial"/>
                <w:b/>
                <w:bCs/>
                <w:spacing w:val="-3"/>
                <w:sz w:val="22"/>
              </w:rPr>
              <w:t>a</w:t>
            </w:r>
            <w:r w:rsidRPr="004068F6">
              <w:rPr>
                <w:rFonts w:cs="Arial"/>
                <w:b/>
                <w:bCs/>
                <w:spacing w:val="-3"/>
                <w:sz w:val="22"/>
              </w:rPr>
              <w:t>lt</w:t>
            </w:r>
            <w:r w:rsidR="000815E2" w:rsidRPr="004068F6">
              <w:rPr>
                <w:rFonts w:cs="Arial"/>
                <w:b/>
                <w:bCs/>
                <w:spacing w:val="-3"/>
                <w:sz w:val="22"/>
              </w:rPr>
              <w:t>o</w:t>
            </w:r>
          </w:p>
        </w:tc>
        <w:tc>
          <w:tcPr>
            <w:tcW w:w="1155" w:type="dxa"/>
            <w:noWrap/>
            <w:vAlign w:val="center"/>
          </w:tcPr>
          <w:p w14:paraId="48A17031" w14:textId="77777777" w:rsidR="009B04FC" w:rsidRPr="004068F6" w:rsidRDefault="009B04FC" w:rsidP="004F01DD">
            <w:pPr>
              <w:tabs>
                <w:tab w:val="left" w:pos="-2268"/>
              </w:tabs>
              <w:suppressAutoHyphens/>
              <w:jc w:val="center"/>
              <w:rPr>
                <w:rFonts w:cs="Arial"/>
                <w:spacing w:val="-3"/>
                <w:sz w:val="22"/>
              </w:rPr>
            </w:pPr>
            <w:r w:rsidRPr="004068F6">
              <w:rPr>
                <w:rFonts w:cs="Arial"/>
                <w:spacing w:val="-3"/>
                <w:sz w:val="22"/>
              </w:rPr>
              <w:t>X</w:t>
            </w:r>
          </w:p>
        </w:tc>
        <w:tc>
          <w:tcPr>
            <w:tcW w:w="1155" w:type="dxa"/>
            <w:noWrap/>
            <w:vAlign w:val="center"/>
          </w:tcPr>
          <w:p w14:paraId="7459DBF1" w14:textId="77777777" w:rsidR="009B04FC" w:rsidRPr="004068F6" w:rsidRDefault="009B04FC" w:rsidP="004F01DD">
            <w:pPr>
              <w:tabs>
                <w:tab w:val="left" w:pos="-2268"/>
              </w:tabs>
              <w:suppressAutoHyphens/>
              <w:jc w:val="center"/>
              <w:rPr>
                <w:rFonts w:cs="Arial"/>
                <w:spacing w:val="-3"/>
                <w:sz w:val="22"/>
              </w:rPr>
            </w:pPr>
            <w:r w:rsidRPr="004068F6">
              <w:rPr>
                <w:rFonts w:cs="Arial"/>
                <w:spacing w:val="-3"/>
                <w:sz w:val="22"/>
              </w:rPr>
              <w:t>X</w:t>
            </w:r>
          </w:p>
        </w:tc>
        <w:tc>
          <w:tcPr>
            <w:tcW w:w="1156" w:type="dxa"/>
            <w:noWrap/>
            <w:vAlign w:val="center"/>
          </w:tcPr>
          <w:p w14:paraId="3657AC14" w14:textId="77777777" w:rsidR="009B04FC" w:rsidRPr="004068F6" w:rsidRDefault="009B04FC" w:rsidP="004F01DD">
            <w:pPr>
              <w:tabs>
                <w:tab w:val="left" w:pos="-2268"/>
              </w:tabs>
              <w:suppressAutoHyphens/>
              <w:jc w:val="center"/>
              <w:rPr>
                <w:rFonts w:cs="Arial"/>
                <w:spacing w:val="-3"/>
                <w:sz w:val="22"/>
              </w:rPr>
            </w:pPr>
            <w:r w:rsidRPr="004068F6">
              <w:rPr>
                <w:rFonts w:cs="Arial"/>
                <w:spacing w:val="-3"/>
                <w:sz w:val="22"/>
              </w:rPr>
              <w:t>X</w:t>
            </w:r>
          </w:p>
        </w:tc>
        <w:tc>
          <w:tcPr>
            <w:tcW w:w="1155" w:type="dxa"/>
            <w:noWrap/>
            <w:vAlign w:val="center"/>
          </w:tcPr>
          <w:p w14:paraId="5C715B19" w14:textId="77777777" w:rsidR="009B04FC" w:rsidRPr="004068F6" w:rsidRDefault="009B04FC" w:rsidP="004F01DD">
            <w:pPr>
              <w:tabs>
                <w:tab w:val="left" w:pos="-2268"/>
              </w:tabs>
              <w:suppressAutoHyphens/>
              <w:jc w:val="center"/>
              <w:rPr>
                <w:rFonts w:cs="Arial"/>
                <w:spacing w:val="-3"/>
                <w:sz w:val="22"/>
              </w:rPr>
            </w:pPr>
          </w:p>
        </w:tc>
        <w:tc>
          <w:tcPr>
            <w:tcW w:w="1156" w:type="dxa"/>
            <w:noWrap/>
            <w:vAlign w:val="center"/>
          </w:tcPr>
          <w:p w14:paraId="03C0B423" w14:textId="77777777" w:rsidR="009B04FC" w:rsidRPr="004068F6" w:rsidRDefault="009B04FC" w:rsidP="004F01DD">
            <w:pPr>
              <w:tabs>
                <w:tab w:val="left" w:pos="-2268"/>
              </w:tabs>
              <w:suppressAutoHyphens/>
              <w:jc w:val="center"/>
              <w:rPr>
                <w:rFonts w:cs="Arial"/>
                <w:spacing w:val="-3"/>
                <w:sz w:val="22"/>
              </w:rPr>
            </w:pPr>
          </w:p>
        </w:tc>
      </w:tr>
    </w:tbl>
    <w:p w14:paraId="1FFB0D5A" w14:textId="77777777" w:rsidR="009B04FC" w:rsidRPr="004068F6" w:rsidRDefault="009B04FC" w:rsidP="009B04FC">
      <w:pPr>
        <w:numPr>
          <w:ilvl w:val="12"/>
          <w:numId w:val="0"/>
        </w:numPr>
        <w:tabs>
          <w:tab w:val="left" w:pos="-2268"/>
        </w:tabs>
        <w:suppressAutoHyphens/>
        <w:rPr>
          <w:rFonts w:cs="Arial"/>
          <w:spacing w:val="-3"/>
        </w:rPr>
      </w:pPr>
    </w:p>
    <w:p w14:paraId="7D3BF442" w14:textId="312E04EA" w:rsidR="009B04FC" w:rsidRPr="004068F6" w:rsidRDefault="009B04FC" w:rsidP="009420F5">
      <w:pPr>
        <w:pStyle w:val="Prrafodelista"/>
        <w:numPr>
          <w:ilvl w:val="0"/>
          <w:numId w:val="5"/>
        </w:numPr>
        <w:tabs>
          <w:tab w:val="left" w:pos="-2268"/>
        </w:tabs>
        <w:suppressAutoHyphens/>
        <w:ind w:left="567" w:hanging="567"/>
        <w:rPr>
          <w:rFonts w:cs="Arial"/>
          <w:spacing w:val="-3"/>
          <w:lang w:val="es-CO"/>
        </w:rPr>
      </w:pPr>
      <w:bookmarkStart w:id="11066" w:name="_Hlk89354486"/>
      <w:r w:rsidRPr="004068F6">
        <w:rPr>
          <w:b/>
          <w:spacing w:val="-3"/>
          <w:lang w:val="es-CO"/>
        </w:rPr>
        <w:t>Área de exclusión</w:t>
      </w:r>
      <w:r w:rsidRPr="004068F6">
        <w:rPr>
          <w:rFonts w:cs="Arial"/>
          <w:b/>
          <w:spacing w:val="-3"/>
          <w:lang w:val="es-CO"/>
        </w:rPr>
        <w:t xml:space="preserve"> </w:t>
      </w:r>
      <w:bookmarkEnd w:id="11066"/>
      <w:r w:rsidRPr="004068F6">
        <w:rPr>
          <w:rFonts w:cs="Arial"/>
          <w:b/>
          <w:spacing w:val="-3"/>
          <w:lang w:val="es-CO"/>
        </w:rPr>
        <w:t>(AE):</w:t>
      </w:r>
      <w:r w:rsidRPr="004068F6">
        <w:rPr>
          <w:rFonts w:cs="Arial"/>
          <w:lang w:val="es-CO"/>
        </w:rPr>
        <w:t xml:space="preserve"> </w:t>
      </w:r>
      <w:r w:rsidR="004013C6" w:rsidRPr="004068F6">
        <w:rPr>
          <w:rFonts w:cs="Arial"/>
          <w:spacing w:val="-3"/>
          <w:lang w:val="es-CO"/>
        </w:rPr>
        <w:t>área en la que no es permitido ejecutar ninguna de las obras o actividades propias del proyecto, obra o actividad de conformidad con la normativa vigente y la relación particular entre el potencial</w:t>
      </w:r>
      <w:r w:rsidR="009E644C" w:rsidRPr="004068F6">
        <w:rPr>
          <w:rFonts w:cs="Arial"/>
          <w:spacing w:val="-3"/>
          <w:lang w:val="es-CO"/>
        </w:rPr>
        <w:t xml:space="preserve"> normalizado</w:t>
      </w:r>
      <w:r w:rsidR="004013C6" w:rsidRPr="004068F6">
        <w:rPr>
          <w:rFonts w:cs="Arial"/>
          <w:spacing w:val="-3"/>
          <w:lang w:val="es-CO"/>
        </w:rPr>
        <w:t xml:space="preserve"> de modificación ambiental de los impactos y la sensibilidad ambiental</w:t>
      </w:r>
      <w:r w:rsidR="009665E3" w:rsidRPr="004068F6">
        <w:rPr>
          <w:rFonts w:cs="Arial"/>
          <w:spacing w:val="-3"/>
          <w:lang w:val="es-CO"/>
        </w:rPr>
        <w:t xml:space="preserve"> (ver </w:t>
      </w:r>
      <w:r w:rsidR="009665E3" w:rsidRPr="004068F6">
        <w:rPr>
          <w:rFonts w:cs="Arial"/>
          <w:spacing w:val="-3"/>
          <w:lang w:val="es-CO"/>
        </w:rPr>
        <w:fldChar w:fldCharType="begin"/>
      </w:r>
      <w:r w:rsidR="009665E3" w:rsidRPr="004068F6">
        <w:rPr>
          <w:rFonts w:cs="Arial"/>
          <w:spacing w:val="-3"/>
          <w:lang w:val="es-CO"/>
        </w:rPr>
        <w:instrText xml:space="preserve"> REF _Ref82611090 \h </w:instrText>
      </w:r>
      <w:r w:rsidR="00BD1319" w:rsidRPr="004068F6">
        <w:rPr>
          <w:rFonts w:cs="Arial"/>
          <w:spacing w:val="-3"/>
          <w:lang w:val="es-CO"/>
        </w:rPr>
        <w:instrText xml:space="preserve"> \* MERGEFORMAT </w:instrText>
      </w:r>
      <w:r w:rsidR="009665E3" w:rsidRPr="004068F6">
        <w:rPr>
          <w:rFonts w:cs="Arial"/>
          <w:spacing w:val="-3"/>
          <w:lang w:val="es-CO"/>
        </w:rPr>
      </w:r>
      <w:r w:rsidR="009665E3" w:rsidRPr="004068F6">
        <w:rPr>
          <w:rFonts w:cs="Arial"/>
          <w:spacing w:val="-3"/>
          <w:lang w:val="es-CO"/>
        </w:rPr>
        <w:fldChar w:fldCharType="separate"/>
      </w:r>
      <w:r w:rsidR="009C4A81" w:rsidRPr="009C4A81">
        <w:rPr>
          <w:lang w:val="es-CO"/>
        </w:rPr>
        <w:t>Tabla 39</w:t>
      </w:r>
      <w:r w:rsidR="009665E3" w:rsidRPr="004068F6">
        <w:rPr>
          <w:rFonts w:cs="Arial"/>
          <w:spacing w:val="-3"/>
          <w:lang w:val="es-CO"/>
        </w:rPr>
        <w:fldChar w:fldCharType="end"/>
      </w:r>
      <w:r w:rsidR="009665E3" w:rsidRPr="004068F6">
        <w:rPr>
          <w:rFonts w:cs="Arial"/>
          <w:spacing w:val="-3"/>
          <w:lang w:val="es-CO"/>
        </w:rPr>
        <w:t>)</w:t>
      </w:r>
      <w:r w:rsidR="004013C6" w:rsidRPr="004068F6">
        <w:rPr>
          <w:rFonts w:cs="Arial"/>
          <w:spacing w:val="-3"/>
          <w:lang w:val="es-CO"/>
        </w:rPr>
        <w:t>.</w:t>
      </w:r>
    </w:p>
    <w:p w14:paraId="798D5463" w14:textId="77777777" w:rsidR="009B04FC" w:rsidRPr="004068F6" w:rsidRDefault="009B04FC" w:rsidP="009420F5">
      <w:pPr>
        <w:tabs>
          <w:tab w:val="left" w:pos="-2268"/>
        </w:tabs>
        <w:suppressAutoHyphens/>
        <w:rPr>
          <w:rFonts w:cs="Arial"/>
          <w:spacing w:val="-3"/>
        </w:rPr>
      </w:pPr>
    </w:p>
    <w:p w14:paraId="4D979941" w14:textId="2D166592" w:rsidR="00E1669C" w:rsidRPr="004068F6" w:rsidRDefault="00E1669C" w:rsidP="009420F5">
      <w:pPr>
        <w:pStyle w:val="Descripcin"/>
        <w:keepNext/>
        <w:ind w:left="426" w:right="476"/>
        <w:jc w:val="center"/>
      </w:pPr>
      <w:bookmarkStart w:id="11067" w:name="_Ref82611090"/>
      <w:r w:rsidRPr="004068F6">
        <w:t xml:space="preserve">Tabla </w:t>
      </w:r>
      <w:fldSimple w:instr=" SEQ Tabla \* ARABIC ">
        <w:r w:rsidR="009C4A81">
          <w:rPr>
            <w:noProof/>
          </w:rPr>
          <w:t>39</w:t>
        </w:r>
      </w:fldSimple>
      <w:bookmarkEnd w:id="11067"/>
      <w:r w:rsidRPr="004068F6">
        <w:t xml:space="preserve">. </w:t>
      </w:r>
      <w:r w:rsidRPr="004068F6">
        <w:rPr>
          <w:b w:val="0"/>
        </w:rPr>
        <w:t xml:space="preserve">Interacción </w:t>
      </w:r>
      <w:r w:rsidR="004013C6" w:rsidRPr="004068F6">
        <w:rPr>
          <w:b w:val="0"/>
        </w:rPr>
        <w:t xml:space="preserve">Potencial normalizado de modificación – Sensibilidad ambiental </w:t>
      </w:r>
      <w:r w:rsidRPr="004068F6">
        <w:rPr>
          <w:b w:val="0"/>
        </w:rPr>
        <w:t>que determina</w:t>
      </w:r>
      <w:r w:rsidR="004013C6" w:rsidRPr="004068F6">
        <w:rPr>
          <w:b w:val="0"/>
        </w:rPr>
        <w:t xml:space="preserve"> un</w:t>
      </w:r>
      <w:r w:rsidRPr="004068F6">
        <w:rPr>
          <w:b w:val="0"/>
        </w:rPr>
        <w:t xml:space="preserve"> área de exclusión.</w:t>
      </w:r>
    </w:p>
    <w:tbl>
      <w:tblPr>
        <w:tblStyle w:val="Tablaconcuadrcula"/>
        <w:tblW w:w="8386" w:type="dxa"/>
        <w:jc w:val="center"/>
        <w:tblLayout w:type="fixed"/>
        <w:tblLook w:val="04A0" w:firstRow="1" w:lastRow="0" w:firstColumn="1" w:lastColumn="0" w:noHBand="0" w:noVBand="1"/>
      </w:tblPr>
      <w:tblGrid>
        <w:gridCol w:w="2540"/>
        <w:gridCol w:w="1169"/>
        <w:gridCol w:w="1169"/>
        <w:gridCol w:w="1169"/>
        <w:gridCol w:w="1169"/>
        <w:gridCol w:w="1170"/>
      </w:tblGrid>
      <w:tr w:rsidR="000815E2" w:rsidRPr="004068F6" w14:paraId="58BF5980" w14:textId="77777777" w:rsidTr="009420F5">
        <w:trPr>
          <w:trHeight w:val="315"/>
          <w:jc w:val="center"/>
        </w:trPr>
        <w:tc>
          <w:tcPr>
            <w:tcW w:w="2540" w:type="dxa"/>
            <w:vMerge w:val="restart"/>
            <w:vAlign w:val="center"/>
          </w:tcPr>
          <w:p w14:paraId="6022F300" w14:textId="23F4E913" w:rsidR="000815E2" w:rsidRPr="004068F6" w:rsidRDefault="004013C6">
            <w:pPr>
              <w:tabs>
                <w:tab w:val="left" w:pos="-2268"/>
              </w:tabs>
              <w:suppressAutoHyphens/>
              <w:jc w:val="center"/>
              <w:rPr>
                <w:b/>
                <w:spacing w:val="-3"/>
                <w:sz w:val="22"/>
              </w:rPr>
            </w:pPr>
            <w:r w:rsidRPr="004068F6">
              <w:rPr>
                <w:rFonts w:cs="Arial"/>
                <w:b/>
                <w:bCs/>
                <w:spacing w:val="-3"/>
                <w:sz w:val="22"/>
              </w:rPr>
              <w:t xml:space="preserve">Potencial normalizado de modificación </w:t>
            </w:r>
            <w:r w:rsidR="000815E2" w:rsidRPr="004068F6">
              <w:rPr>
                <w:rFonts w:cs="Arial"/>
                <w:b/>
                <w:bCs/>
                <w:spacing w:val="-3"/>
                <w:sz w:val="22"/>
              </w:rPr>
              <w:t xml:space="preserve">del </w:t>
            </w:r>
            <w:r w:rsidR="00E32FBC" w:rsidRPr="004068F6">
              <w:rPr>
                <w:rFonts w:cs="Arial"/>
                <w:b/>
                <w:bCs/>
                <w:spacing w:val="-3"/>
                <w:sz w:val="22"/>
              </w:rPr>
              <w:t>i</w:t>
            </w:r>
            <w:r w:rsidR="000815E2" w:rsidRPr="004068F6">
              <w:rPr>
                <w:rFonts w:cs="Arial"/>
                <w:b/>
                <w:bCs/>
                <w:spacing w:val="-3"/>
                <w:sz w:val="22"/>
              </w:rPr>
              <w:t>mpacto</w:t>
            </w:r>
          </w:p>
        </w:tc>
        <w:tc>
          <w:tcPr>
            <w:tcW w:w="5846" w:type="dxa"/>
            <w:gridSpan w:val="5"/>
            <w:noWrap/>
            <w:vAlign w:val="center"/>
            <w:hideMark/>
          </w:tcPr>
          <w:p w14:paraId="0617C3CE" w14:textId="6E6413D1"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 xml:space="preserve">Sensibilidad </w:t>
            </w:r>
            <w:r w:rsidR="00551C9D" w:rsidRPr="004068F6">
              <w:rPr>
                <w:rFonts w:cs="Arial"/>
                <w:b/>
                <w:bCs/>
                <w:spacing w:val="-3"/>
                <w:sz w:val="22"/>
              </w:rPr>
              <w:t>a</w:t>
            </w:r>
            <w:r w:rsidRPr="004068F6">
              <w:rPr>
                <w:rFonts w:cs="Arial"/>
                <w:b/>
                <w:bCs/>
                <w:spacing w:val="-3"/>
                <w:sz w:val="22"/>
              </w:rPr>
              <w:t>mbiental</w:t>
            </w:r>
          </w:p>
        </w:tc>
      </w:tr>
      <w:tr w:rsidR="000815E2" w:rsidRPr="004068F6" w14:paraId="4D3ADA10" w14:textId="77777777" w:rsidTr="009420F5">
        <w:trPr>
          <w:trHeight w:val="315"/>
          <w:jc w:val="center"/>
        </w:trPr>
        <w:tc>
          <w:tcPr>
            <w:tcW w:w="2540" w:type="dxa"/>
            <w:vMerge/>
            <w:vAlign w:val="center"/>
          </w:tcPr>
          <w:p w14:paraId="6E417A20" w14:textId="77777777" w:rsidR="000815E2" w:rsidRPr="004068F6" w:rsidRDefault="000815E2" w:rsidP="004F01DD">
            <w:pPr>
              <w:tabs>
                <w:tab w:val="left" w:pos="-2268"/>
              </w:tabs>
              <w:suppressAutoHyphens/>
              <w:jc w:val="center"/>
              <w:rPr>
                <w:rFonts w:cs="Arial"/>
                <w:b/>
                <w:bCs/>
                <w:spacing w:val="-3"/>
                <w:sz w:val="22"/>
              </w:rPr>
            </w:pPr>
          </w:p>
        </w:tc>
        <w:tc>
          <w:tcPr>
            <w:tcW w:w="1169" w:type="dxa"/>
            <w:vAlign w:val="center"/>
            <w:hideMark/>
          </w:tcPr>
          <w:p w14:paraId="138505C2"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Muy Baja</w:t>
            </w:r>
          </w:p>
        </w:tc>
        <w:tc>
          <w:tcPr>
            <w:tcW w:w="1169" w:type="dxa"/>
            <w:vAlign w:val="center"/>
            <w:hideMark/>
          </w:tcPr>
          <w:p w14:paraId="713AAF60"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Baja</w:t>
            </w:r>
          </w:p>
        </w:tc>
        <w:tc>
          <w:tcPr>
            <w:tcW w:w="1169" w:type="dxa"/>
            <w:vAlign w:val="center"/>
            <w:hideMark/>
          </w:tcPr>
          <w:p w14:paraId="7366F626"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Media</w:t>
            </w:r>
          </w:p>
        </w:tc>
        <w:tc>
          <w:tcPr>
            <w:tcW w:w="1169" w:type="dxa"/>
            <w:vAlign w:val="center"/>
            <w:hideMark/>
          </w:tcPr>
          <w:p w14:paraId="4FFE0ECF"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Alta</w:t>
            </w:r>
          </w:p>
        </w:tc>
        <w:tc>
          <w:tcPr>
            <w:tcW w:w="1170" w:type="dxa"/>
            <w:vAlign w:val="center"/>
            <w:hideMark/>
          </w:tcPr>
          <w:p w14:paraId="608AF08A" w14:textId="77777777"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Muy Alta</w:t>
            </w:r>
          </w:p>
        </w:tc>
      </w:tr>
      <w:tr w:rsidR="000815E2" w:rsidRPr="004068F6" w14:paraId="182FC420" w14:textId="77777777" w:rsidTr="009420F5">
        <w:trPr>
          <w:trHeight w:val="360"/>
          <w:jc w:val="center"/>
        </w:trPr>
        <w:tc>
          <w:tcPr>
            <w:tcW w:w="2540" w:type="dxa"/>
            <w:vAlign w:val="center"/>
          </w:tcPr>
          <w:p w14:paraId="0331C057" w14:textId="10592234"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lastRenderedPageBreak/>
              <w:t>Bajo</w:t>
            </w:r>
          </w:p>
        </w:tc>
        <w:tc>
          <w:tcPr>
            <w:tcW w:w="1169" w:type="dxa"/>
            <w:noWrap/>
            <w:vAlign w:val="center"/>
          </w:tcPr>
          <w:p w14:paraId="71AF08A0"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62EAE7B8"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68C878F3"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6DD4ECD3" w14:textId="77777777" w:rsidR="000815E2" w:rsidRPr="004068F6" w:rsidRDefault="000815E2" w:rsidP="004F01DD">
            <w:pPr>
              <w:tabs>
                <w:tab w:val="left" w:pos="-2268"/>
              </w:tabs>
              <w:suppressAutoHyphens/>
              <w:jc w:val="center"/>
              <w:rPr>
                <w:rFonts w:cs="Arial"/>
                <w:spacing w:val="-3"/>
                <w:sz w:val="22"/>
              </w:rPr>
            </w:pPr>
          </w:p>
        </w:tc>
        <w:tc>
          <w:tcPr>
            <w:tcW w:w="1170" w:type="dxa"/>
            <w:noWrap/>
            <w:vAlign w:val="center"/>
          </w:tcPr>
          <w:p w14:paraId="1C8E3FBC" w14:textId="77777777" w:rsidR="000815E2" w:rsidRPr="004068F6" w:rsidRDefault="000815E2" w:rsidP="004F01DD">
            <w:pPr>
              <w:tabs>
                <w:tab w:val="left" w:pos="-2268"/>
              </w:tabs>
              <w:suppressAutoHyphens/>
              <w:jc w:val="center"/>
              <w:rPr>
                <w:rFonts w:cs="Arial"/>
                <w:spacing w:val="-3"/>
                <w:sz w:val="22"/>
              </w:rPr>
            </w:pPr>
          </w:p>
        </w:tc>
      </w:tr>
      <w:tr w:rsidR="000815E2" w:rsidRPr="004068F6" w14:paraId="79B141A2" w14:textId="77777777" w:rsidTr="009420F5">
        <w:trPr>
          <w:trHeight w:val="360"/>
          <w:jc w:val="center"/>
        </w:trPr>
        <w:tc>
          <w:tcPr>
            <w:tcW w:w="2540" w:type="dxa"/>
            <w:vAlign w:val="center"/>
          </w:tcPr>
          <w:p w14:paraId="3F8CDFBB" w14:textId="4681E04F"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Medio</w:t>
            </w:r>
          </w:p>
        </w:tc>
        <w:tc>
          <w:tcPr>
            <w:tcW w:w="1169" w:type="dxa"/>
            <w:noWrap/>
            <w:vAlign w:val="center"/>
          </w:tcPr>
          <w:p w14:paraId="06CE1A5F"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2BD65D32"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59C200DC"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02A7CC85" w14:textId="77777777" w:rsidR="000815E2" w:rsidRPr="004068F6" w:rsidRDefault="000815E2" w:rsidP="004F01DD">
            <w:pPr>
              <w:tabs>
                <w:tab w:val="left" w:pos="-2268"/>
              </w:tabs>
              <w:suppressAutoHyphens/>
              <w:jc w:val="center"/>
              <w:rPr>
                <w:rFonts w:cs="Arial"/>
                <w:spacing w:val="-3"/>
                <w:sz w:val="22"/>
              </w:rPr>
            </w:pPr>
          </w:p>
        </w:tc>
        <w:tc>
          <w:tcPr>
            <w:tcW w:w="1170" w:type="dxa"/>
            <w:noWrap/>
            <w:vAlign w:val="center"/>
          </w:tcPr>
          <w:p w14:paraId="7A5DC090" w14:textId="77777777" w:rsidR="000815E2" w:rsidRPr="004068F6" w:rsidRDefault="000815E2" w:rsidP="004F01DD">
            <w:pPr>
              <w:tabs>
                <w:tab w:val="left" w:pos="-2268"/>
              </w:tabs>
              <w:suppressAutoHyphens/>
              <w:jc w:val="center"/>
              <w:rPr>
                <w:rFonts w:cs="Arial"/>
                <w:spacing w:val="-3"/>
                <w:sz w:val="22"/>
              </w:rPr>
            </w:pPr>
          </w:p>
        </w:tc>
      </w:tr>
      <w:tr w:rsidR="000815E2" w:rsidRPr="004068F6" w14:paraId="736B51EF" w14:textId="77777777" w:rsidTr="009420F5">
        <w:trPr>
          <w:trHeight w:val="360"/>
          <w:jc w:val="center"/>
        </w:trPr>
        <w:tc>
          <w:tcPr>
            <w:tcW w:w="2540" w:type="dxa"/>
            <w:vAlign w:val="center"/>
          </w:tcPr>
          <w:p w14:paraId="4F956C09" w14:textId="7F87121C" w:rsidR="000815E2" w:rsidRPr="004068F6" w:rsidRDefault="000815E2" w:rsidP="004F01DD">
            <w:pPr>
              <w:tabs>
                <w:tab w:val="left" w:pos="-2268"/>
              </w:tabs>
              <w:suppressAutoHyphens/>
              <w:jc w:val="center"/>
              <w:rPr>
                <w:rFonts w:cs="Arial"/>
                <w:b/>
                <w:bCs/>
                <w:spacing w:val="-3"/>
                <w:sz w:val="22"/>
              </w:rPr>
            </w:pPr>
            <w:r w:rsidRPr="004068F6">
              <w:rPr>
                <w:rFonts w:cs="Arial"/>
                <w:b/>
                <w:bCs/>
                <w:spacing w:val="-3"/>
                <w:sz w:val="22"/>
              </w:rPr>
              <w:t>Alto</w:t>
            </w:r>
          </w:p>
        </w:tc>
        <w:tc>
          <w:tcPr>
            <w:tcW w:w="1169" w:type="dxa"/>
            <w:noWrap/>
            <w:vAlign w:val="center"/>
          </w:tcPr>
          <w:p w14:paraId="66139870"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18CBEB63"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6212019D"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67D4DD44" w14:textId="77777777" w:rsidR="000815E2" w:rsidRPr="004068F6" w:rsidRDefault="000815E2" w:rsidP="004F01DD">
            <w:pPr>
              <w:tabs>
                <w:tab w:val="left" w:pos="-2268"/>
              </w:tabs>
              <w:suppressAutoHyphens/>
              <w:jc w:val="center"/>
              <w:rPr>
                <w:rFonts w:cs="Arial"/>
                <w:spacing w:val="-3"/>
                <w:sz w:val="22"/>
              </w:rPr>
            </w:pPr>
          </w:p>
        </w:tc>
        <w:tc>
          <w:tcPr>
            <w:tcW w:w="1170" w:type="dxa"/>
            <w:noWrap/>
            <w:vAlign w:val="center"/>
          </w:tcPr>
          <w:p w14:paraId="6C3975DB"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r>
      <w:tr w:rsidR="000815E2" w:rsidRPr="004068F6" w14:paraId="6093CCF5" w14:textId="77777777" w:rsidTr="009420F5">
        <w:trPr>
          <w:trHeight w:val="360"/>
          <w:jc w:val="center"/>
        </w:trPr>
        <w:tc>
          <w:tcPr>
            <w:tcW w:w="2540" w:type="dxa"/>
            <w:vAlign w:val="center"/>
          </w:tcPr>
          <w:p w14:paraId="6B9FD96E" w14:textId="7BCEAD16" w:rsidR="000815E2" w:rsidRPr="004068F6" w:rsidRDefault="00C31358" w:rsidP="004F01DD">
            <w:pPr>
              <w:tabs>
                <w:tab w:val="left" w:pos="-2268"/>
              </w:tabs>
              <w:suppressAutoHyphens/>
              <w:jc w:val="center"/>
              <w:rPr>
                <w:rFonts w:cs="Arial"/>
                <w:b/>
                <w:bCs/>
                <w:spacing w:val="-3"/>
                <w:sz w:val="22"/>
              </w:rPr>
            </w:pPr>
            <w:r w:rsidRPr="004068F6">
              <w:rPr>
                <w:rFonts w:cs="Arial"/>
                <w:b/>
                <w:bCs/>
                <w:spacing w:val="-3"/>
                <w:sz w:val="22"/>
              </w:rPr>
              <w:t>Muy a</w:t>
            </w:r>
            <w:r w:rsidR="000815E2" w:rsidRPr="004068F6">
              <w:rPr>
                <w:rFonts w:cs="Arial"/>
                <w:b/>
                <w:bCs/>
                <w:spacing w:val="-3"/>
                <w:sz w:val="22"/>
              </w:rPr>
              <w:t>lto</w:t>
            </w:r>
          </w:p>
        </w:tc>
        <w:tc>
          <w:tcPr>
            <w:tcW w:w="1169" w:type="dxa"/>
            <w:noWrap/>
            <w:vAlign w:val="center"/>
          </w:tcPr>
          <w:p w14:paraId="02A8F243"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26629F20"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307F5D9A" w14:textId="77777777" w:rsidR="000815E2" w:rsidRPr="004068F6" w:rsidRDefault="000815E2" w:rsidP="004F01DD">
            <w:pPr>
              <w:tabs>
                <w:tab w:val="left" w:pos="-2268"/>
              </w:tabs>
              <w:suppressAutoHyphens/>
              <w:jc w:val="center"/>
              <w:rPr>
                <w:rFonts w:cs="Arial"/>
                <w:spacing w:val="-3"/>
                <w:sz w:val="22"/>
              </w:rPr>
            </w:pPr>
          </w:p>
        </w:tc>
        <w:tc>
          <w:tcPr>
            <w:tcW w:w="1169" w:type="dxa"/>
            <w:noWrap/>
            <w:vAlign w:val="center"/>
          </w:tcPr>
          <w:p w14:paraId="2136B8A9"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c>
          <w:tcPr>
            <w:tcW w:w="1170" w:type="dxa"/>
            <w:noWrap/>
            <w:vAlign w:val="center"/>
          </w:tcPr>
          <w:p w14:paraId="4B56EB75" w14:textId="77777777" w:rsidR="000815E2" w:rsidRPr="004068F6" w:rsidRDefault="000815E2" w:rsidP="004F01DD">
            <w:pPr>
              <w:tabs>
                <w:tab w:val="left" w:pos="-2268"/>
              </w:tabs>
              <w:suppressAutoHyphens/>
              <w:jc w:val="center"/>
              <w:rPr>
                <w:rFonts w:cs="Arial"/>
                <w:spacing w:val="-3"/>
                <w:sz w:val="22"/>
              </w:rPr>
            </w:pPr>
            <w:r w:rsidRPr="004068F6">
              <w:rPr>
                <w:rFonts w:cs="Arial"/>
                <w:spacing w:val="-3"/>
                <w:sz w:val="22"/>
              </w:rPr>
              <w:t>X</w:t>
            </w:r>
          </w:p>
        </w:tc>
      </w:tr>
    </w:tbl>
    <w:p w14:paraId="212AAA99" w14:textId="77777777" w:rsidR="009B04FC" w:rsidRPr="004068F6" w:rsidRDefault="009B04FC" w:rsidP="009420F5">
      <w:pPr>
        <w:numPr>
          <w:ilvl w:val="12"/>
          <w:numId w:val="0"/>
        </w:numPr>
        <w:tabs>
          <w:tab w:val="left" w:pos="-2268"/>
        </w:tabs>
        <w:suppressAutoHyphens/>
        <w:rPr>
          <w:rFonts w:cs="Arial"/>
          <w:spacing w:val="-3"/>
        </w:rPr>
      </w:pPr>
    </w:p>
    <w:p w14:paraId="3F6B24BF" w14:textId="7A980E8D" w:rsidR="00434A33" w:rsidRPr="004068F6" w:rsidRDefault="00434A33" w:rsidP="004013C6">
      <w:pPr>
        <w:numPr>
          <w:ilvl w:val="12"/>
          <w:numId w:val="0"/>
        </w:numPr>
        <w:tabs>
          <w:tab w:val="left" w:pos="-2268"/>
        </w:tabs>
        <w:suppressAutoHyphens/>
        <w:rPr>
          <w:rFonts w:cs="Arial"/>
          <w:spacing w:val="-3"/>
        </w:rPr>
      </w:pPr>
      <w:r w:rsidRPr="004068F6">
        <w:rPr>
          <w:rFonts w:cs="Arial"/>
          <w:spacing w:val="-3"/>
        </w:rPr>
        <w:t xml:space="preserve">Como se ve, para establecer la zonificación de manejo ambiental del área de influencia es necesario </w:t>
      </w:r>
      <w:r w:rsidR="00F2154C" w:rsidRPr="004068F6">
        <w:rPr>
          <w:rFonts w:cs="Arial"/>
          <w:spacing w:val="-3"/>
        </w:rPr>
        <w:t xml:space="preserve">disponer de la </w:t>
      </w:r>
      <w:r w:rsidR="005D5622" w:rsidRPr="004068F6">
        <w:rPr>
          <w:rFonts w:cs="Arial"/>
          <w:spacing w:val="-3"/>
        </w:rPr>
        <w:t>representa</w:t>
      </w:r>
      <w:r w:rsidR="00F2154C" w:rsidRPr="004068F6">
        <w:rPr>
          <w:rFonts w:cs="Arial"/>
          <w:spacing w:val="-3"/>
        </w:rPr>
        <w:t xml:space="preserve">ción </w:t>
      </w:r>
      <w:r w:rsidR="005D5622" w:rsidRPr="004068F6">
        <w:rPr>
          <w:rFonts w:cs="Arial"/>
          <w:spacing w:val="-3"/>
        </w:rPr>
        <w:t>espacial</w:t>
      </w:r>
      <w:r w:rsidR="00F2154C" w:rsidRPr="004068F6">
        <w:rPr>
          <w:rFonts w:cs="Arial"/>
          <w:spacing w:val="-3"/>
        </w:rPr>
        <w:t xml:space="preserve"> de </w:t>
      </w:r>
      <w:r w:rsidR="005D5622" w:rsidRPr="004068F6">
        <w:rPr>
          <w:rFonts w:cs="Arial"/>
          <w:spacing w:val="-3"/>
        </w:rPr>
        <w:t xml:space="preserve">la normativa ambiental </w:t>
      </w:r>
      <w:r w:rsidR="0069052C" w:rsidRPr="004068F6">
        <w:rPr>
          <w:rFonts w:cs="Arial"/>
          <w:spacing w:val="-3"/>
        </w:rPr>
        <w:t>que excluy</w:t>
      </w:r>
      <w:r w:rsidR="00C3067A" w:rsidRPr="004068F6">
        <w:rPr>
          <w:rFonts w:cs="Arial"/>
          <w:spacing w:val="-3"/>
        </w:rPr>
        <w:t>e</w:t>
      </w:r>
      <w:r w:rsidR="0069052C" w:rsidRPr="004068F6">
        <w:rPr>
          <w:rFonts w:cs="Arial"/>
          <w:spacing w:val="-3"/>
        </w:rPr>
        <w:t xml:space="preserve"> total o parcialmente</w:t>
      </w:r>
      <w:r w:rsidR="00C32436" w:rsidRPr="004068F6">
        <w:rPr>
          <w:rFonts w:cs="Arial"/>
          <w:spacing w:val="-3"/>
        </w:rPr>
        <w:t>, o que impone condiciones específicas a</w:t>
      </w:r>
      <w:r w:rsidR="0069052C" w:rsidRPr="004068F6">
        <w:rPr>
          <w:rFonts w:cs="Arial"/>
          <w:spacing w:val="-3"/>
        </w:rPr>
        <w:t xml:space="preserve"> la ejecución de actividades o </w:t>
      </w:r>
      <w:r w:rsidR="00C32436" w:rsidRPr="004068F6">
        <w:rPr>
          <w:rFonts w:cs="Arial"/>
          <w:spacing w:val="-3"/>
        </w:rPr>
        <w:t xml:space="preserve">a </w:t>
      </w:r>
      <w:r w:rsidR="0069052C" w:rsidRPr="004068F6">
        <w:rPr>
          <w:rFonts w:cs="Arial"/>
          <w:spacing w:val="-3"/>
        </w:rPr>
        <w:t xml:space="preserve">la construcción de obras </w:t>
      </w:r>
      <w:r w:rsidR="00766EE2" w:rsidRPr="004068F6">
        <w:rPr>
          <w:rFonts w:cs="Arial"/>
          <w:spacing w:val="-3"/>
        </w:rPr>
        <w:t>e infraestructura</w:t>
      </w:r>
      <w:r w:rsidR="00AA552D" w:rsidRPr="004068F6">
        <w:rPr>
          <w:rFonts w:cs="Arial"/>
          <w:spacing w:val="-3"/>
        </w:rPr>
        <w:t>;</w:t>
      </w:r>
      <w:r w:rsidR="00766EE2" w:rsidRPr="004068F6">
        <w:rPr>
          <w:rFonts w:cs="Arial"/>
          <w:spacing w:val="-3"/>
        </w:rPr>
        <w:t xml:space="preserve"> por ejemplo, aquellas </w:t>
      </w:r>
      <w:r w:rsidR="00C32436" w:rsidRPr="004068F6">
        <w:rPr>
          <w:rFonts w:cs="Arial"/>
          <w:spacing w:val="-3"/>
        </w:rPr>
        <w:t xml:space="preserve">normas </w:t>
      </w:r>
      <w:r w:rsidRPr="004068F6">
        <w:rPr>
          <w:rFonts w:cs="Arial"/>
          <w:spacing w:val="-3"/>
        </w:rPr>
        <w:t>relacionada</w:t>
      </w:r>
      <w:r w:rsidR="00766EE2" w:rsidRPr="004068F6">
        <w:rPr>
          <w:rFonts w:cs="Arial"/>
          <w:spacing w:val="-3"/>
        </w:rPr>
        <w:t>s</w:t>
      </w:r>
      <w:r w:rsidRPr="004068F6">
        <w:rPr>
          <w:rFonts w:cs="Arial"/>
          <w:spacing w:val="-3"/>
        </w:rPr>
        <w:t xml:space="preserve"> con el uso</w:t>
      </w:r>
      <w:r w:rsidR="00037C61" w:rsidRPr="004068F6">
        <w:rPr>
          <w:rFonts w:cs="Arial"/>
          <w:spacing w:val="-3"/>
        </w:rPr>
        <w:t>,</w:t>
      </w:r>
      <w:r w:rsidRPr="004068F6">
        <w:rPr>
          <w:rFonts w:cs="Arial"/>
          <w:spacing w:val="-3"/>
        </w:rPr>
        <w:t xml:space="preserve"> aprovechamiento </w:t>
      </w:r>
      <w:r w:rsidR="00037C61" w:rsidRPr="004068F6">
        <w:rPr>
          <w:rFonts w:cs="Arial"/>
          <w:spacing w:val="-3"/>
        </w:rPr>
        <w:t xml:space="preserve">y afectación </w:t>
      </w:r>
      <w:r w:rsidRPr="004068F6">
        <w:rPr>
          <w:rFonts w:cs="Arial"/>
          <w:spacing w:val="-3"/>
        </w:rPr>
        <w:t>de recursos naturales</w:t>
      </w:r>
      <w:r w:rsidR="0094499E" w:rsidRPr="004068F6">
        <w:rPr>
          <w:rFonts w:cs="Arial"/>
          <w:spacing w:val="-3"/>
        </w:rPr>
        <w:t xml:space="preserve"> </w:t>
      </w:r>
      <w:r w:rsidR="00037C61" w:rsidRPr="004068F6">
        <w:rPr>
          <w:rFonts w:cs="Arial"/>
          <w:spacing w:val="-3"/>
        </w:rPr>
        <w:t xml:space="preserve">renovables </w:t>
      </w:r>
      <w:r w:rsidR="0094499E" w:rsidRPr="004068F6">
        <w:rPr>
          <w:rFonts w:cs="Arial"/>
          <w:spacing w:val="-3"/>
        </w:rPr>
        <w:t xml:space="preserve">y </w:t>
      </w:r>
      <w:r w:rsidR="0071294C" w:rsidRPr="004068F6">
        <w:rPr>
          <w:rFonts w:cs="Arial"/>
          <w:spacing w:val="-3"/>
        </w:rPr>
        <w:t xml:space="preserve">con </w:t>
      </w:r>
      <w:r w:rsidR="007C05D0" w:rsidRPr="004068F6">
        <w:rPr>
          <w:rFonts w:cs="Arial"/>
          <w:spacing w:val="-3"/>
        </w:rPr>
        <w:t xml:space="preserve">la definición de </w:t>
      </w:r>
      <w:r w:rsidRPr="004068F6">
        <w:rPr>
          <w:rFonts w:cs="Arial"/>
          <w:spacing w:val="-3"/>
        </w:rPr>
        <w:t xml:space="preserve">áreas con restricciones legales o con régimen especial </w:t>
      </w:r>
      <w:r w:rsidR="00F9726B" w:rsidRPr="004068F6">
        <w:rPr>
          <w:rFonts w:cs="Arial"/>
          <w:spacing w:val="-3"/>
        </w:rPr>
        <w:t>de manejo</w:t>
      </w:r>
      <w:r w:rsidRPr="004068F6">
        <w:rPr>
          <w:rFonts w:cs="Arial"/>
          <w:spacing w:val="-3"/>
        </w:rPr>
        <w:t>.</w:t>
      </w:r>
    </w:p>
    <w:p w14:paraId="5EBEFF0C" w14:textId="77777777" w:rsidR="00434A33" w:rsidRPr="004068F6" w:rsidRDefault="00434A33" w:rsidP="004013C6">
      <w:pPr>
        <w:numPr>
          <w:ilvl w:val="12"/>
          <w:numId w:val="0"/>
        </w:numPr>
        <w:tabs>
          <w:tab w:val="left" w:pos="-2268"/>
        </w:tabs>
        <w:suppressAutoHyphens/>
        <w:rPr>
          <w:rFonts w:cs="Arial"/>
          <w:spacing w:val="-3"/>
        </w:rPr>
      </w:pPr>
    </w:p>
    <w:p w14:paraId="0621F5D1" w14:textId="45E666F1" w:rsidR="009B04FC" w:rsidRPr="004068F6" w:rsidRDefault="00BF0F17" w:rsidP="009B04FC">
      <w:pPr>
        <w:numPr>
          <w:ilvl w:val="12"/>
          <w:numId w:val="0"/>
        </w:numPr>
        <w:tabs>
          <w:tab w:val="left" w:pos="-2268"/>
        </w:tabs>
        <w:suppressAutoHyphens/>
        <w:rPr>
          <w:rFonts w:cs="Arial"/>
          <w:spacing w:val="-3"/>
        </w:rPr>
      </w:pPr>
      <w:r w:rsidRPr="004068F6">
        <w:rPr>
          <w:rFonts w:cs="Arial"/>
          <w:spacing w:val="-3"/>
        </w:rPr>
        <w:t xml:space="preserve">La </w:t>
      </w:r>
      <w:r w:rsidR="009B04FC" w:rsidRPr="004068F6">
        <w:rPr>
          <w:spacing w:val="-3"/>
        </w:rPr>
        <w:t xml:space="preserve">zonificación de manejo ambiental </w:t>
      </w:r>
      <w:r w:rsidR="009B04FC" w:rsidRPr="004068F6">
        <w:rPr>
          <w:rFonts w:cs="Arial"/>
          <w:spacing w:val="-3"/>
        </w:rPr>
        <w:t xml:space="preserve">se debe </w:t>
      </w:r>
      <w:r w:rsidRPr="004068F6">
        <w:rPr>
          <w:rFonts w:cs="Arial"/>
          <w:spacing w:val="-3"/>
        </w:rPr>
        <w:t xml:space="preserve">definir </w:t>
      </w:r>
      <w:r w:rsidR="007F61F0" w:rsidRPr="004068F6">
        <w:rPr>
          <w:rFonts w:cs="Arial"/>
          <w:spacing w:val="-3"/>
        </w:rPr>
        <w:t>mediante el siguiente procedimiento</w:t>
      </w:r>
      <w:r w:rsidR="0092631C" w:rsidRPr="004068F6">
        <w:rPr>
          <w:rFonts w:cs="Arial"/>
          <w:spacing w:val="-3"/>
        </w:rPr>
        <w:t xml:space="preserve"> (ver</w:t>
      </w:r>
      <w:r w:rsidRPr="004068F6">
        <w:rPr>
          <w:rFonts w:cs="Arial"/>
          <w:spacing w:val="-3"/>
        </w:rPr>
        <w:t xml:space="preserve"> </w:t>
      </w:r>
      <w:r w:rsidR="006F662F" w:rsidRPr="004068F6">
        <w:rPr>
          <w:rFonts w:cs="Arial"/>
          <w:spacing w:val="-3"/>
          <w:highlight w:val="yellow"/>
        </w:rPr>
        <w:fldChar w:fldCharType="begin"/>
      </w:r>
      <w:r w:rsidR="006F662F" w:rsidRPr="004068F6">
        <w:rPr>
          <w:rFonts w:cs="Arial"/>
          <w:spacing w:val="-3"/>
        </w:rPr>
        <w:instrText xml:space="preserve"> REF _Ref206080850 \h </w:instrText>
      </w:r>
      <w:r w:rsidR="006F662F" w:rsidRPr="004068F6">
        <w:rPr>
          <w:rFonts w:cs="Arial"/>
          <w:spacing w:val="-3"/>
          <w:highlight w:val="yellow"/>
        </w:rPr>
      </w:r>
      <w:r w:rsidR="006F662F" w:rsidRPr="004068F6">
        <w:rPr>
          <w:rFonts w:cs="Arial"/>
          <w:spacing w:val="-3"/>
          <w:highlight w:val="yellow"/>
        </w:rPr>
        <w:fldChar w:fldCharType="separate"/>
      </w:r>
      <w:r w:rsidR="009C4A81" w:rsidRPr="004E4C01">
        <w:t xml:space="preserve">Figura </w:t>
      </w:r>
      <w:r w:rsidR="009C4A81">
        <w:rPr>
          <w:noProof/>
        </w:rPr>
        <w:t>19</w:t>
      </w:r>
      <w:r w:rsidR="006F662F" w:rsidRPr="004068F6">
        <w:rPr>
          <w:rFonts w:cs="Arial"/>
          <w:spacing w:val="-3"/>
          <w:highlight w:val="yellow"/>
        </w:rPr>
        <w:fldChar w:fldCharType="end"/>
      </w:r>
      <w:r w:rsidR="0092631C" w:rsidRPr="004068F6">
        <w:rPr>
          <w:rFonts w:cs="Arial"/>
          <w:spacing w:val="-3"/>
        </w:rPr>
        <w:t>)</w:t>
      </w:r>
      <w:r w:rsidR="009B04FC" w:rsidRPr="004068F6">
        <w:rPr>
          <w:rFonts w:cs="Arial"/>
          <w:spacing w:val="-3"/>
        </w:rPr>
        <w:t>:</w:t>
      </w:r>
    </w:p>
    <w:p w14:paraId="5070A546" w14:textId="77777777" w:rsidR="007C6CD8" w:rsidRPr="004068F6" w:rsidRDefault="007C6CD8" w:rsidP="009B04FC">
      <w:pPr>
        <w:numPr>
          <w:ilvl w:val="12"/>
          <w:numId w:val="0"/>
        </w:numPr>
        <w:tabs>
          <w:tab w:val="left" w:pos="-2268"/>
        </w:tabs>
        <w:suppressAutoHyphens/>
        <w:rPr>
          <w:rFonts w:cs="Arial"/>
          <w:spacing w:val="-3"/>
        </w:rPr>
      </w:pPr>
    </w:p>
    <w:p w14:paraId="5114AECF" w14:textId="608863D9" w:rsidR="007C3FAA" w:rsidRPr="00127BD4" w:rsidRDefault="00AE4A43" w:rsidP="00127BD4">
      <w:pPr>
        <w:pStyle w:val="Prrafodelista"/>
        <w:numPr>
          <w:ilvl w:val="0"/>
          <w:numId w:val="751"/>
        </w:numPr>
        <w:ind w:left="567" w:hanging="567"/>
        <w:rPr>
          <w:rFonts w:cs="Arial"/>
          <w:spacing w:val="-3"/>
          <w:lang w:val="es-CO"/>
        </w:rPr>
      </w:pPr>
      <w:r w:rsidRPr="00127BD4">
        <w:rPr>
          <w:rFonts w:cs="Arial"/>
          <w:spacing w:val="-3"/>
          <w:lang w:val="es-CO"/>
        </w:rPr>
        <w:t xml:space="preserve">Recopilar información </w:t>
      </w:r>
      <w:r w:rsidR="0039535F" w:rsidRPr="00127BD4">
        <w:rPr>
          <w:rFonts w:cs="Arial"/>
          <w:spacing w:val="-3"/>
          <w:lang w:val="es-CO"/>
        </w:rPr>
        <w:t xml:space="preserve">geográfica </w:t>
      </w:r>
      <w:r w:rsidR="00D43992" w:rsidRPr="00127BD4">
        <w:rPr>
          <w:rFonts w:cs="Arial"/>
          <w:spacing w:val="-3"/>
          <w:lang w:val="es-CO"/>
        </w:rPr>
        <w:t>desarrollada o incorporada en otros numerales del EIA. E</w:t>
      </w:r>
      <w:r w:rsidR="000671CE" w:rsidRPr="00127BD4">
        <w:rPr>
          <w:rFonts w:cs="Arial"/>
          <w:spacing w:val="-3"/>
          <w:lang w:val="es-CO"/>
        </w:rPr>
        <w:t xml:space="preserve">l proceso de zonificación de manejo ambiental </w:t>
      </w:r>
      <w:r w:rsidR="00D47ACC" w:rsidRPr="00127BD4">
        <w:rPr>
          <w:rFonts w:cs="Arial"/>
          <w:spacing w:val="-3"/>
          <w:lang w:val="es-CO"/>
        </w:rPr>
        <w:t xml:space="preserve">de las unidades de análisis </w:t>
      </w:r>
      <w:r w:rsidR="00B365A2" w:rsidRPr="00127BD4">
        <w:rPr>
          <w:rFonts w:cs="Arial"/>
          <w:spacing w:val="-3"/>
          <w:lang w:val="es-CO"/>
        </w:rPr>
        <w:t xml:space="preserve">de cada factor o componente </w:t>
      </w:r>
      <w:r w:rsidR="005C0C7D" w:rsidRPr="00127BD4">
        <w:rPr>
          <w:rFonts w:cs="Arial"/>
          <w:spacing w:val="-3"/>
          <w:lang w:val="es-CO"/>
        </w:rPr>
        <w:t xml:space="preserve">requiere </w:t>
      </w:r>
      <w:r w:rsidR="00215D65" w:rsidRPr="00127BD4">
        <w:rPr>
          <w:rFonts w:cs="Arial"/>
          <w:spacing w:val="-3"/>
          <w:lang w:val="es-CO"/>
        </w:rPr>
        <w:t xml:space="preserve">de </w:t>
      </w:r>
      <w:r w:rsidR="005C0C7D" w:rsidRPr="00127BD4">
        <w:rPr>
          <w:rFonts w:cs="Arial"/>
          <w:spacing w:val="-3"/>
          <w:lang w:val="es-CO"/>
        </w:rPr>
        <w:t>información geográfica</w:t>
      </w:r>
      <w:r w:rsidR="0039535F" w:rsidRPr="00127BD4">
        <w:rPr>
          <w:rFonts w:cs="Arial"/>
          <w:spacing w:val="-3"/>
          <w:lang w:val="es-CO"/>
        </w:rPr>
        <w:t xml:space="preserve"> </w:t>
      </w:r>
      <w:r w:rsidR="002F257E" w:rsidRPr="00127BD4">
        <w:rPr>
          <w:rFonts w:cs="Arial"/>
          <w:spacing w:val="-3"/>
          <w:lang w:val="es-CO"/>
        </w:rPr>
        <w:t>sobre:</w:t>
      </w:r>
    </w:p>
    <w:p w14:paraId="522F4F86" w14:textId="77777777" w:rsidR="006052E3" w:rsidRPr="00B36286" w:rsidRDefault="006052E3" w:rsidP="00B36286">
      <w:pPr>
        <w:rPr>
          <w:rFonts w:cs="Arial"/>
          <w:spacing w:val="-3"/>
        </w:rPr>
      </w:pPr>
    </w:p>
    <w:p w14:paraId="2B0B4C3C" w14:textId="553C8514" w:rsidR="00956C64" w:rsidRPr="004068F6" w:rsidRDefault="00C63C9A" w:rsidP="00967B56">
      <w:pPr>
        <w:pStyle w:val="Prrafodelista"/>
        <w:numPr>
          <w:ilvl w:val="1"/>
          <w:numId w:val="752"/>
        </w:numPr>
        <w:ind w:left="1134" w:hanging="567"/>
        <w:rPr>
          <w:lang w:val="es-CO"/>
        </w:rPr>
      </w:pPr>
      <w:r w:rsidRPr="00127BD4">
        <w:rPr>
          <w:i/>
          <w:iCs/>
          <w:lang w:val="es-CO"/>
        </w:rPr>
        <w:t>S</w:t>
      </w:r>
      <w:r w:rsidR="009665E3" w:rsidRPr="00127BD4">
        <w:rPr>
          <w:i/>
          <w:iCs/>
          <w:lang w:val="es-CO"/>
        </w:rPr>
        <w:t>ensibilidad ambiental</w:t>
      </w:r>
      <w:r w:rsidR="00520555" w:rsidRPr="004068F6">
        <w:rPr>
          <w:lang w:val="es-CO"/>
        </w:rPr>
        <w:t>.</w:t>
      </w:r>
      <w:r w:rsidR="009665E3" w:rsidRPr="004068F6">
        <w:rPr>
          <w:lang w:val="es-CO"/>
        </w:rPr>
        <w:t xml:space="preserve"> </w:t>
      </w:r>
      <w:r w:rsidR="00520555" w:rsidRPr="004068F6">
        <w:rPr>
          <w:lang w:val="es-CO"/>
        </w:rPr>
        <w:t>O</w:t>
      </w:r>
      <w:r w:rsidR="009665E3" w:rsidRPr="004068F6">
        <w:rPr>
          <w:lang w:val="es-CO"/>
        </w:rPr>
        <w:t xml:space="preserve">btenida </w:t>
      </w:r>
      <w:r w:rsidR="00520555" w:rsidRPr="004068F6">
        <w:rPr>
          <w:lang w:val="es-CO"/>
        </w:rPr>
        <w:t>d</w:t>
      </w:r>
      <w:r w:rsidR="009665E3" w:rsidRPr="004068F6">
        <w:rPr>
          <w:lang w:val="es-CO"/>
        </w:rPr>
        <w:t xml:space="preserve">el numeral </w:t>
      </w:r>
      <w:r w:rsidR="009665E3" w:rsidRPr="004068F6">
        <w:rPr>
          <w:lang w:val="es-CO"/>
        </w:rPr>
        <w:fldChar w:fldCharType="begin"/>
      </w:r>
      <w:r w:rsidR="009665E3" w:rsidRPr="004068F6">
        <w:rPr>
          <w:lang w:val="es-CO"/>
        </w:rPr>
        <w:instrText xml:space="preserve"> REF _Ref79297297 \r \h </w:instrText>
      </w:r>
      <w:r w:rsidR="00BD1319" w:rsidRPr="004068F6">
        <w:rPr>
          <w:lang w:val="es-CO"/>
        </w:rPr>
        <w:instrText xml:space="preserve"> \* MERGEFORMAT </w:instrText>
      </w:r>
      <w:r w:rsidR="009665E3" w:rsidRPr="004068F6">
        <w:rPr>
          <w:lang w:val="es-CO"/>
        </w:rPr>
      </w:r>
      <w:r w:rsidR="009665E3" w:rsidRPr="004068F6">
        <w:rPr>
          <w:lang w:val="es-CO"/>
        </w:rPr>
        <w:fldChar w:fldCharType="separate"/>
      </w:r>
      <w:r w:rsidR="009C4A81">
        <w:rPr>
          <w:lang w:val="es-CO"/>
        </w:rPr>
        <w:t>5</w:t>
      </w:r>
      <w:r w:rsidR="009665E3" w:rsidRPr="004068F6">
        <w:rPr>
          <w:lang w:val="es-CO"/>
        </w:rPr>
        <w:fldChar w:fldCharType="end"/>
      </w:r>
      <w:r w:rsidR="009665E3" w:rsidRPr="004068F6">
        <w:rPr>
          <w:lang w:val="es-CO"/>
        </w:rPr>
        <w:t xml:space="preserve"> </w:t>
      </w:r>
      <w:r w:rsidR="00520555" w:rsidRPr="004068F6">
        <w:rPr>
          <w:lang w:val="es-CO"/>
        </w:rPr>
        <w:t>(</w:t>
      </w:r>
      <w:r w:rsidR="009665E3" w:rsidRPr="004068F6">
        <w:rPr>
          <w:lang w:val="es-CO"/>
        </w:rPr>
        <w:t>Zonificación ambiental)</w:t>
      </w:r>
      <w:r w:rsidR="00520555" w:rsidRPr="004068F6">
        <w:rPr>
          <w:lang w:val="es-CO"/>
        </w:rPr>
        <w:t>;</w:t>
      </w:r>
    </w:p>
    <w:p w14:paraId="50C3EEDC" w14:textId="77777777" w:rsidR="006052E3" w:rsidRPr="004068F6" w:rsidRDefault="006052E3" w:rsidP="00B36286"/>
    <w:p w14:paraId="12DC4BC6" w14:textId="1FF4BD07" w:rsidR="00967A53" w:rsidRPr="004068F6" w:rsidRDefault="00C63C9A" w:rsidP="00967B56">
      <w:pPr>
        <w:pStyle w:val="Prrafodelista"/>
        <w:numPr>
          <w:ilvl w:val="1"/>
          <w:numId w:val="752"/>
        </w:numPr>
        <w:ind w:left="1134" w:hanging="567"/>
        <w:rPr>
          <w:lang w:val="es-CO"/>
        </w:rPr>
      </w:pPr>
      <w:r w:rsidRPr="00127BD4">
        <w:rPr>
          <w:i/>
          <w:iCs/>
          <w:lang w:val="es-CO"/>
        </w:rPr>
        <w:t>P</w:t>
      </w:r>
      <w:r w:rsidR="009665E3" w:rsidRPr="00127BD4">
        <w:rPr>
          <w:i/>
          <w:iCs/>
          <w:lang w:val="es-CO"/>
        </w:rPr>
        <w:t>otencial normalizado de modificación del impacto</w:t>
      </w:r>
      <w:r w:rsidR="0004042F" w:rsidRPr="004068F6">
        <w:rPr>
          <w:lang w:val="es-CO"/>
        </w:rPr>
        <w:t xml:space="preserve"> </w:t>
      </w:r>
      <w:r w:rsidR="007C3FAA" w:rsidRPr="004068F6">
        <w:rPr>
          <w:lang w:val="es-CO"/>
        </w:rPr>
        <w:t>asociado a</w:t>
      </w:r>
      <w:r w:rsidR="005F7FD0" w:rsidRPr="004068F6">
        <w:rPr>
          <w:lang w:val="es-CO"/>
        </w:rPr>
        <w:t xml:space="preserve"> todos y</w:t>
      </w:r>
      <w:r w:rsidR="007C3FAA" w:rsidRPr="004068F6">
        <w:rPr>
          <w:lang w:val="es-CO"/>
        </w:rPr>
        <w:t xml:space="preserve"> cada uno </w:t>
      </w:r>
      <w:r w:rsidR="0004042F" w:rsidRPr="004068F6">
        <w:rPr>
          <w:lang w:val="es-CO"/>
        </w:rPr>
        <w:t>de los impactos que alter</w:t>
      </w:r>
      <w:r w:rsidR="003351C0" w:rsidRPr="004068F6">
        <w:rPr>
          <w:lang w:val="es-CO"/>
        </w:rPr>
        <w:t>a</w:t>
      </w:r>
      <w:r w:rsidR="0004042F" w:rsidRPr="004068F6">
        <w:rPr>
          <w:lang w:val="es-CO"/>
        </w:rPr>
        <w:t>n</w:t>
      </w:r>
      <w:r w:rsidR="00461277" w:rsidRPr="004068F6">
        <w:rPr>
          <w:lang w:val="es-CO"/>
        </w:rPr>
        <w:t xml:space="preserve"> </w:t>
      </w:r>
      <w:r w:rsidR="003351C0" w:rsidRPr="004068F6">
        <w:rPr>
          <w:lang w:val="es-CO"/>
        </w:rPr>
        <w:t>el factor o componente</w:t>
      </w:r>
      <w:r w:rsidR="00520555" w:rsidRPr="004068F6">
        <w:rPr>
          <w:lang w:val="es-CO"/>
        </w:rPr>
        <w:t>.</w:t>
      </w:r>
      <w:r w:rsidR="009665E3" w:rsidRPr="004068F6">
        <w:rPr>
          <w:lang w:val="es-CO"/>
        </w:rPr>
        <w:t xml:space="preserve"> </w:t>
      </w:r>
      <w:r w:rsidR="00520555" w:rsidRPr="004068F6">
        <w:rPr>
          <w:lang w:val="es-CO"/>
        </w:rPr>
        <w:t>O</w:t>
      </w:r>
      <w:r w:rsidR="009665E3" w:rsidRPr="004068F6">
        <w:rPr>
          <w:lang w:val="es-CO"/>
        </w:rPr>
        <w:t>btenid</w:t>
      </w:r>
      <w:r w:rsidR="00520555" w:rsidRPr="004068F6">
        <w:rPr>
          <w:lang w:val="es-CO"/>
        </w:rPr>
        <w:t>a</w:t>
      </w:r>
      <w:r w:rsidR="009665E3" w:rsidRPr="004068F6">
        <w:rPr>
          <w:lang w:val="es-CO"/>
        </w:rPr>
        <w:t xml:space="preserve"> </w:t>
      </w:r>
      <w:r w:rsidR="00520555" w:rsidRPr="004068F6">
        <w:rPr>
          <w:lang w:val="es-CO"/>
        </w:rPr>
        <w:t>d</w:t>
      </w:r>
      <w:r w:rsidR="009665E3" w:rsidRPr="004068F6">
        <w:rPr>
          <w:lang w:val="es-CO"/>
        </w:rPr>
        <w:t xml:space="preserve">el numeral </w:t>
      </w:r>
      <w:r w:rsidR="009665E3" w:rsidRPr="004068F6">
        <w:rPr>
          <w:lang w:val="es-CO"/>
        </w:rPr>
        <w:fldChar w:fldCharType="begin"/>
      </w:r>
      <w:r w:rsidR="009665E3" w:rsidRPr="004068F6">
        <w:rPr>
          <w:lang w:val="es-CO"/>
        </w:rPr>
        <w:instrText xml:space="preserve"> REF _Ref82611206 \r \h </w:instrText>
      </w:r>
      <w:r w:rsidR="00BD1319" w:rsidRPr="004068F6">
        <w:rPr>
          <w:lang w:val="es-CO"/>
        </w:rPr>
        <w:instrText xml:space="preserve"> \* MERGEFORMAT </w:instrText>
      </w:r>
      <w:r w:rsidR="009665E3" w:rsidRPr="004068F6">
        <w:rPr>
          <w:lang w:val="es-CO"/>
        </w:rPr>
      </w:r>
      <w:r w:rsidR="009665E3" w:rsidRPr="004068F6">
        <w:rPr>
          <w:lang w:val="es-CO"/>
        </w:rPr>
        <w:fldChar w:fldCharType="separate"/>
      </w:r>
      <w:r w:rsidR="009C4A81">
        <w:rPr>
          <w:lang w:val="es-CO"/>
        </w:rPr>
        <w:t>7</w:t>
      </w:r>
      <w:r w:rsidR="009665E3" w:rsidRPr="004068F6">
        <w:rPr>
          <w:lang w:val="es-CO"/>
        </w:rPr>
        <w:fldChar w:fldCharType="end"/>
      </w:r>
      <w:r w:rsidR="009665E3" w:rsidRPr="004068F6">
        <w:rPr>
          <w:lang w:val="es-CO"/>
        </w:rPr>
        <w:t xml:space="preserve"> </w:t>
      </w:r>
      <w:r w:rsidR="00520555" w:rsidRPr="004068F6">
        <w:rPr>
          <w:lang w:val="es-CO"/>
        </w:rPr>
        <w:t>(</w:t>
      </w:r>
      <w:r w:rsidR="009665E3" w:rsidRPr="004068F6">
        <w:rPr>
          <w:lang w:val="es-CO"/>
        </w:rPr>
        <w:t>Evaluación ambiental)</w:t>
      </w:r>
      <w:r w:rsidR="004D0478" w:rsidRPr="004068F6">
        <w:rPr>
          <w:lang w:val="es-CO"/>
        </w:rPr>
        <w:t xml:space="preserve"> </w:t>
      </w:r>
      <w:r w:rsidR="004437A7" w:rsidRPr="004068F6">
        <w:rPr>
          <w:lang w:val="es-CO"/>
        </w:rPr>
        <w:t>y;</w:t>
      </w:r>
    </w:p>
    <w:p w14:paraId="34B74540" w14:textId="77777777" w:rsidR="00967A53" w:rsidRPr="004068F6" w:rsidRDefault="00967A53" w:rsidP="00B36286"/>
    <w:p w14:paraId="0B9B25E5" w14:textId="42F019FB" w:rsidR="00145C94" w:rsidRPr="004068F6" w:rsidRDefault="00C63C9A" w:rsidP="00127BD4">
      <w:pPr>
        <w:pStyle w:val="Prrafodelista"/>
        <w:numPr>
          <w:ilvl w:val="1"/>
          <w:numId w:val="752"/>
        </w:numPr>
        <w:ind w:left="1134" w:hanging="567"/>
        <w:rPr>
          <w:lang w:val="es-CO"/>
        </w:rPr>
      </w:pPr>
      <w:r w:rsidRPr="004068F6">
        <w:rPr>
          <w:lang w:val="es-CO"/>
        </w:rPr>
        <w:t>N</w:t>
      </w:r>
      <w:r w:rsidR="004437A7" w:rsidRPr="00FE1B78">
        <w:rPr>
          <w:lang w:val="es-CO"/>
        </w:rPr>
        <w:t>ormativa relativa a</w:t>
      </w:r>
      <w:r w:rsidR="00AB2EF2" w:rsidRPr="00FE1B78">
        <w:rPr>
          <w:lang w:val="es-CO"/>
        </w:rPr>
        <w:t xml:space="preserve"> </w:t>
      </w:r>
      <w:r w:rsidR="004437A7" w:rsidRPr="00FE1B78">
        <w:rPr>
          <w:lang w:val="es-CO"/>
        </w:rPr>
        <w:t>l</w:t>
      </w:r>
      <w:r w:rsidR="00AB2EF2" w:rsidRPr="00FE1B78">
        <w:rPr>
          <w:lang w:val="es-CO"/>
        </w:rPr>
        <w:t xml:space="preserve">as </w:t>
      </w:r>
      <w:r w:rsidR="008B4B28" w:rsidRPr="004068F6">
        <w:rPr>
          <w:lang w:val="es-CO"/>
        </w:rPr>
        <w:t>condiciones</w:t>
      </w:r>
      <w:r w:rsidR="004B422B" w:rsidRPr="004068F6">
        <w:rPr>
          <w:lang w:val="es-CO"/>
        </w:rPr>
        <w:t xml:space="preserve"> ambientales</w:t>
      </w:r>
      <w:r w:rsidR="00AB2EF2" w:rsidRPr="00FE1B78">
        <w:rPr>
          <w:lang w:val="es-CO"/>
        </w:rPr>
        <w:t xml:space="preserve"> </w:t>
      </w:r>
      <w:r w:rsidR="004B422B" w:rsidRPr="004068F6">
        <w:rPr>
          <w:lang w:val="es-CO"/>
        </w:rPr>
        <w:t xml:space="preserve">para </w:t>
      </w:r>
      <w:r w:rsidR="00AB2EF2" w:rsidRPr="00FE1B78">
        <w:rPr>
          <w:lang w:val="es-CO"/>
        </w:rPr>
        <w:t>el</w:t>
      </w:r>
      <w:r w:rsidR="004437A7" w:rsidRPr="00FE1B78">
        <w:rPr>
          <w:lang w:val="es-CO"/>
        </w:rPr>
        <w:t xml:space="preserve"> uso del </w:t>
      </w:r>
      <w:r w:rsidR="00AB2EF2" w:rsidRPr="00FE1B78">
        <w:rPr>
          <w:lang w:val="es-CO"/>
        </w:rPr>
        <w:t xml:space="preserve">territorio. Obtenida del numeral </w:t>
      </w:r>
      <w:r w:rsidR="0084728B" w:rsidRPr="00FE1B78">
        <w:rPr>
          <w:lang w:val="es-CO"/>
        </w:rPr>
        <w:fldChar w:fldCharType="begin"/>
      </w:r>
      <w:r w:rsidR="0084728B" w:rsidRPr="00FE1B78">
        <w:rPr>
          <w:lang w:val="es-CO"/>
        </w:rPr>
        <w:instrText xml:space="preserve"> REF _Ref205990138 \r \h </w:instrText>
      </w:r>
      <w:r w:rsidRPr="004068F6">
        <w:rPr>
          <w:lang w:val="es-CO"/>
        </w:rPr>
        <w:instrText xml:space="preserve"> \* MERGEFORMAT </w:instrText>
      </w:r>
      <w:r w:rsidR="0084728B" w:rsidRPr="00FE1B78">
        <w:rPr>
          <w:lang w:val="es-CO"/>
        </w:rPr>
      </w:r>
      <w:r w:rsidR="0084728B" w:rsidRPr="00FE1B78">
        <w:rPr>
          <w:lang w:val="es-CO"/>
        </w:rPr>
        <w:fldChar w:fldCharType="separate"/>
      </w:r>
      <w:r w:rsidR="009C4A81">
        <w:rPr>
          <w:lang w:val="es-CO"/>
        </w:rPr>
        <w:t>4</w:t>
      </w:r>
      <w:r w:rsidR="0084728B" w:rsidRPr="00FE1B78">
        <w:rPr>
          <w:lang w:val="es-CO"/>
        </w:rPr>
        <w:fldChar w:fldCharType="end"/>
      </w:r>
      <w:r w:rsidR="0084728B" w:rsidRPr="00FE1B78">
        <w:rPr>
          <w:lang w:val="es-CO"/>
        </w:rPr>
        <w:t xml:space="preserve"> </w:t>
      </w:r>
      <w:r w:rsidR="00AB2EF2" w:rsidRPr="00FE1B78">
        <w:rPr>
          <w:lang w:val="es-CO"/>
        </w:rPr>
        <w:t>(Caracterización ambiental).</w:t>
      </w:r>
      <w:r w:rsidR="000F417B" w:rsidRPr="004068F6">
        <w:rPr>
          <w:lang w:val="es-CO"/>
        </w:rPr>
        <w:t xml:space="preserve"> </w:t>
      </w:r>
      <w:r w:rsidR="00A97D81" w:rsidRPr="004068F6">
        <w:rPr>
          <w:lang w:val="es-CO"/>
        </w:rPr>
        <w:t xml:space="preserve">Es importante estudiar </w:t>
      </w:r>
      <w:r w:rsidR="00C6429E" w:rsidRPr="004068F6">
        <w:rPr>
          <w:lang w:val="es-CO"/>
        </w:rPr>
        <w:t>esta</w:t>
      </w:r>
      <w:r w:rsidR="00A97D81" w:rsidRPr="004068F6">
        <w:rPr>
          <w:lang w:val="es-CO"/>
        </w:rPr>
        <w:t xml:space="preserve"> normativa </w:t>
      </w:r>
      <w:r w:rsidR="00F97601" w:rsidRPr="004068F6">
        <w:rPr>
          <w:lang w:val="es-CO"/>
        </w:rPr>
        <w:t>desde el momento inicial de</w:t>
      </w:r>
      <w:r w:rsidR="00A97D81" w:rsidRPr="004068F6">
        <w:rPr>
          <w:lang w:val="es-CO"/>
        </w:rPr>
        <w:t>l procedimiento</w:t>
      </w:r>
      <w:r w:rsidR="00DF25E8" w:rsidRPr="004068F6">
        <w:rPr>
          <w:lang w:val="es-CO"/>
        </w:rPr>
        <w:t xml:space="preserve">, </w:t>
      </w:r>
      <w:r w:rsidR="00A97D81" w:rsidRPr="004068F6">
        <w:rPr>
          <w:lang w:val="es-CO"/>
        </w:rPr>
        <w:t xml:space="preserve">pues </w:t>
      </w:r>
      <w:r w:rsidR="00DF25E8" w:rsidRPr="004068F6">
        <w:rPr>
          <w:lang w:val="es-CO"/>
        </w:rPr>
        <w:t xml:space="preserve">ésta </w:t>
      </w:r>
      <w:r w:rsidR="00826C05" w:rsidRPr="004068F6">
        <w:rPr>
          <w:lang w:val="es-CO"/>
        </w:rPr>
        <w:t xml:space="preserve">determina en gran medida la zonificación de manejo </w:t>
      </w:r>
      <w:r w:rsidR="00BB42CF" w:rsidRPr="004068F6">
        <w:rPr>
          <w:lang w:val="es-CO"/>
        </w:rPr>
        <w:t xml:space="preserve">ambiental </w:t>
      </w:r>
      <w:r w:rsidR="001A761C" w:rsidRPr="004068F6">
        <w:rPr>
          <w:lang w:val="es-CO"/>
        </w:rPr>
        <w:t xml:space="preserve">del área de influencia </w:t>
      </w:r>
      <w:r w:rsidR="00826C05" w:rsidRPr="004068F6">
        <w:rPr>
          <w:lang w:val="es-CO"/>
        </w:rPr>
        <w:t>del proyecto</w:t>
      </w:r>
      <w:r w:rsidR="008C16CF" w:rsidRPr="004068F6">
        <w:rPr>
          <w:lang w:val="es-CO"/>
        </w:rPr>
        <w:t xml:space="preserve">; en este sentido, </w:t>
      </w:r>
      <w:r w:rsidR="008271D0" w:rsidRPr="004068F6">
        <w:rPr>
          <w:lang w:val="es-CO"/>
        </w:rPr>
        <w:t xml:space="preserve">mínimamente </w:t>
      </w:r>
      <w:r w:rsidR="008C16CF" w:rsidRPr="004068F6">
        <w:rPr>
          <w:lang w:val="es-CO"/>
        </w:rPr>
        <w:t xml:space="preserve">es necesario conocer </w:t>
      </w:r>
      <w:r w:rsidR="00541D9D" w:rsidRPr="004068F6">
        <w:rPr>
          <w:lang w:val="es-CO"/>
        </w:rPr>
        <w:t>qué actividades son permitidas, cuáles tiene</w:t>
      </w:r>
      <w:r w:rsidR="008C16CF" w:rsidRPr="004068F6">
        <w:rPr>
          <w:lang w:val="es-CO"/>
        </w:rPr>
        <w:t>n</w:t>
      </w:r>
      <w:r w:rsidR="00541D9D" w:rsidRPr="004068F6">
        <w:rPr>
          <w:lang w:val="es-CO"/>
        </w:rPr>
        <w:t xml:space="preserve"> restricciones y cuáles son excluidas</w:t>
      </w:r>
      <w:r w:rsidR="008003CC" w:rsidRPr="004068F6">
        <w:rPr>
          <w:lang w:val="es-CO"/>
        </w:rPr>
        <w:t>,</w:t>
      </w:r>
      <w:r w:rsidR="00541D9D" w:rsidRPr="004068F6">
        <w:rPr>
          <w:lang w:val="es-CO"/>
        </w:rPr>
        <w:t xml:space="preserve"> </w:t>
      </w:r>
      <w:r w:rsidR="00E6167C" w:rsidRPr="004068F6">
        <w:rPr>
          <w:lang w:val="es-CO"/>
        </w:rPr>
        <w:t>examinando</w:t>
      </w:r>
      <w:r w:rsidR="00701E08" w:rsidRPr="004068F6">
        <w:rPr>
          <w:lang w:val="es-CO"/>
        </w:rPr>
        <w:t xml:space="preserve"> </w:t>
      </w:r>
      <w:r w:rsidR="007208D1" w:rsidRPr="004068F6">
        <w:rPr>
          <w:lang w:val="es-CO"/>
        </w:rPr>
        <w:t xml:space="preserve">las particularidades </w:t>
      </w:r>
      <w:r w:rsidR="00F91866" w:rsidRPr="004068F6">
        <w:rPr>
          <w:lang w:val="es-CO"/>
        </w:rPr>
        <w:t xml:space="preserve">de </w:t>
      </w:r>
      <w:r w:rsidR="003A51BE" w:rsidRPr="004068F6">
        <w:rPr>
          <w:lang w:val="es-CO"/>
        </w:rPr>
        <w:t>la</w:t>
      </w:r>
      <w:r w:rsidR="007208D1" w:rsidRPr="004068F6">
        <w:rPr>
          <w:lang w:val="es-CO"/>
        </w:rPr>
        <w:t>s</w:t>
      </w:r>
      <w:r w:rsidR="003A51BE" w:rsidRPr="004068F6">
        <w:rPr>
          <w:lang w:val="es-CO"/>
        </w:rPr>
        <w:t xml:space="preserve"> norma</w:t>
      </w:r>
      <w:r w:rsidR="007208D1" w:rsidRPr="004068F6">
        <w:rPr>
          <w:lang w:val="es-CO"/>
        </w:rPr>
        <w:t>s</w:t>
      </w:r>
      <w:r w:rsidR="003A51BE" w:rsidRPr="004068F6">
        <w:rPr>
          <w:lang w:val="es-CO"/>
        </w:rPr>
        <w:t xml:space="preserve"> </w:t>
      </w:r>
      <w:r w:rsidR="003351C0" w:rsidRPr="004068F6">
        <w:rPr>
          <w:lang w:val="es-CO"/>
        </w:rPr>
        <w:t xml:space="preserve">enfocadas </w:t>
      </w:r>
      <w:r w:rsidR="007D531C" w:rsidRPr="004068F6">
        <w:rPr>
          <w:lang w:val="es-CO"/>
        </w:rPr>
        <w:t>en</w:t>
      </w:r>
      <w:r w:rsidR="007208D1" w:rsidRPr="004068F6">
        <w:rPr>
          <w:lang w:val="es-CO"/>
        </w:rPr>
        <w:t xml:space="preserve"> </w:t>
      </w:r>
      <w:r w:rsidR="005F1159" w:rsidRPr="004068F6">
        <w:rPr>
          <w:lang w:val="es-CO"/>
        </w:rPr>
        <w:t xml:space="preserve">los </w:t>
      </w:r>
      <w:r w:rsidR="007208D1" w:rsidRPr="004068F6">
        <w:rPr>
          <w:lang w:val="es-CO"/>
        </w:rPr>
        <w:t>componente</w:t>
      </w:r>
      <w:r w:rsidR="005F1159" w:rsidRPr="004068F6">
        <w:rPr>
          <w:lang w:val="es-CO"/>
        </w:rPr>
        <w:t>s</w:t>
      </w:r>
      <w:r w:rsidR="007208D1" w:rsidRPr="004068F6">
        <w:rPr>
          <w:lang w:val="es-CO"/>
        </w:rPr>
        <w:t xml:space="preserve"> del ambiente </w:t>
      </w:r>
      <w:r w:rsidR="00FF5596" w:rsidRPr="004068F6">
        <w:rPr>
          <w:lang w:val="es-CO"/>
        </w:rPr>
        <w:t xml:space="preserve">(suelos, cuerpos de agua, coberturas </w:t>
      </w:r>
      <w:r w:rsidR="005F1159" w:rsidRPr="004068F6">
        <w:rPr>
          <w:lang w:val="es-CO"/>
        </w:rPr>
        <w:t>de la tierra</w:t>
      </w:r>
      <w:r w:rsidR="00FF5596" w:rsidRPr="004068F6">
        <w:rPr>
          <w:lang w:val="es-CO"/>
        </w:rPr>
        <w:t>, ecosistemas, entre otras)</w:t>
      </w:r>
      <w:r w:rsidR="002C5ACF" w:rsidRPr="004068F6">
        <w:rPr>
          <w:lang w:val="es-CO"/>
        </w:rPr>
        <w:t xml:space="preserve"> o </w:t>
      </w:r>
      <w:r w:rsidR="007D531C" w:rsidRPr="004068F6">
        <w:rPr>
          <w:lang w:val="es-CO"/>
        </w:rPr>
        <w:t>en</w:t>
      </w:r>
      <w:r w:rsidR="003351C0" w:rsidRPr="004068F6">
        <w:rPr>
          <w:lang w:val="es-CO"/>
        </w:rPr>
        <w:t xml:space="preserve"> </w:t>
      </w:r>
      <w:r w:rsidR="000B36C3" w:rsidRPr="004068F6">
        <w:rPr>
          <w:lang w:val="es-CO"/>
        </w:rPr>
        <w:t xml:space="preserve">las </w:t>
      </w:r>
      <w:r w:rsidR="002C5ACF" w:rsidRPr="004068F6">
        <w:rPr>
          <w:lang w:val="es-CO"/>
        </w:rPr>
        <w:t>áreas político</w:t>
      </w:r>
      <w:r w:rsidR="008003CC" w:rsidRPr="004068F6">
        <w:rPr>
          <w:lang w:val="es-CO"/>
        </w:rPr>
        <w:t xml:space="preserve"> </w:t>
      </w:r>
      <w:r w:rsidR="002C5ACF" w:rsidRPr="004068F6">
        <w:rPr>
          <w:lang w:val="es-CO"/>
        </w:rPr>
        <w:t>administrativ</w:t>
      </w:r>
      <w:r w:rsidR="008003CC" w:rsidRPr="004068F6">
        <w:rPr>
          <w:lang w:val="es-CO"/>
        </w:rPr>
        <w:t>a</w:t>
      </w:r>
      <w:r w:rsidR="002C5ACF" w:rsidRPr="004068F6">
        <w:rPr>
          <w:lang w:val="es-CO"/>
        </w:rPr>
        <w:t xml:space="preserve">s o de gestión </w:t>
      </w:r>
      <w:r w:rsidR="007D531C" w:rsidRPr="004068F6">
        <w:rPr>
          <w:lang w:val="es-CO"/>
        </w:rPr>
        <w:t xml:space="preserve">ambiental </w:t>
      </w:r>
      <w:r w:rsidR="002C5ACF" w:rsidRPr="004068F6">
        <w:rPr>
          <w:lang w:val="es-CO"/>
        </w:rPr>
        <w:t>del territorio</w:t>
      </w:r>
      <w:r w:rsidR="00FF5596" w:rsidRPr="004068F6">
        <w:rPr>
          <w:lang w:val="es-CO"/>
        </w:rPr>
        <w:t>.</w:t>
      </w:r>
    </w:p>
    <w:p w14:paraId="5A097C7C" w14:textId="77777777" w:rsidR="00145C94" w:rsidRPr="00B36286" w:rsidRDefault="00145C94" w:rsidP="00B36286"/>
    <w:p w14:paraId="0315EBB9" w14:textId="59178E68" w:rsidR="00DF540F" w:rsidRPr="004068F6" w:rsidRDefault="009665E3">
      <w:pPr>
        <w:ind w:left="567"/>
      </w:pPr>
      <w:r w:rsidRPr="004068F6">
        <w:t>Si se considera pertinente</w:t>
      </w:r>
      <w:r w:rsidR="00756FBD" w:rsidRPr="004068F6">
        <w:t xml:space="preserve"> y a fin de simplificar el procedimiento</w:t>
      </w:r>
      <w:r w:rsidRPr="004068F6">
        <w:t xml:space="preserve">, es posible </w:t>
      </w:r>
      <w:r w:rsidR="00C65A66" w:rsidRPr="004068F6">
        <w:t xml:space="preserve">emplear el </w:t>
      </w:r>
      <w:r w:rsidR="00DB410E" w:rsidRPr="004068F6">
        <w:t xml:space="preserve">factor o </w:t>
      </w:r>
      <w:r w:rsidRPr="004068F6">
        <w:t xml:space="preserve">componente </w:t>
      </w:r>
      <w:r w:rsidR="003B450F" w:rsidRPr="004068F6">
        <w:t>objeto de zonificación</w:t>
      </w:r>
      <w:r w:rsidR="00C65A66" w:rsidRPr="004068F6">
        <w:t xml:space="preserve"> como unidad mínima</w:t>
      </w:r>
      <w:r w:rsidR="00AD6A99" w:rsidRPr="004068F6">
        <w:t>; para ello, se debe</w:t>
      </w:r>
      <w:r w:rsidRPr="004068F6">
        <w:t xml:space="preserve"> </w:t>
      </w:r>
      <w:r w:rsidR="000378B8" w:rsidRPr="004068F6">
        <w:t>adjudica</w:t>
      </w:r>
      <w:r w:rsidR="00AD6A99" w:rsidRPr="004068F6">
        <w:t>r al factor o componente</w:t>
      </w:r>
      <w:r w:rsidR="000378B8" w:rsidRPr="004068F6">
        <w:t>,</w:t>
      </w:r>
      <w:r w:rsidR="006A1CF6" w:rsidRPr="004068F6">
        <w:t xml:space="preserve"> </w:t>
      </w:r>
      <w:r w:rsidR="006524BE" w:rsidRPr="004068F6">
        <w:t xml:space="preserve">los </w:t>
      </w:r>
      <w:r w:rsidRPr="004068F6">
        <w:t>valor</w:t>
      </w:r>
      <w:r w:rsidR="006524BE" w:rsidRPr="004068F6">
        <w:t>es</w:t>
      </w:r>
      <w:r w:rsidRPr="004068F6">
        <w:t xml:space="preserve"> más alto</w:t>
      </w:r>
      <w:r w:rsidR="006524BE" w:rsidRPr="004068F6">
        <w:t>s</w:t>
      </w:r>
      <w:r w:rsidRPr="004068F6">
        <w:t xml:space="preserve"> de </w:t>
      </w:r>
      <w:r w:rsidRPr="00127BD4">
        <w:rPr>
          <w:i/>
          <w:iCs/>
        </w:rPr>
        <w:t>potencial normalizado de modificación del impacto</w:t>
      </w:r>
      <w:r w:rsidRPr="004068F6">
        <w:t xml:space="preserve"> </w:t>
      </w:r>
      <w:r w:rsidR="00961FC9" w:rsidRPr="004068F6">
        <w:t xml:space="preserve">y de </w:t>
      </w:r>
      <w:r w:rsidR="00961FC9" w:rsidRPr="00127BD4">
        <w:rPr>
          <w:i/>
          <w:iCs/>
        </w:rPr>
        <w:t>sensibilidad ambiental</w:t>
      </w:r>
      <w:r w:rsidR="003B450F" w:rsidRPr="004068F6">
        <w:t xml:space="preserve"> </w:t>
      </w:r>
      <w:r w:rsidR="004279AB" w:rsidRPr="004068F6">
        <w:t xml:space="preserve">que hayan sido </w:t>
      </w:r>
      <w:r w:rsidR="001E57EF" w:rsidRPr="004068F6">
        <w:t>identificado</w:t>
      </w:r>
      <w:r w:rsidR="00E94B1A" w:rsidRPr="004068F6">
        <w:t>s</w:t>
      </w:r>
      <w:r w:rsidR="00C65A66" w:rsidRPr="004068F6">
        <w:t xml:space="preserve"> </w:t>
      </w:r>
      <w:r w:rsidR="006A1CF6" w:rsidRPr="004068F6">
        <w:t xml:space="preserve">en sus </w:t>
      </w:r>
      <w:r w:rsidR="00C65A66" w:rsidRPr="004068F6">
        <w:t>unidades de análisis</w:t>
      </w:r>
      <w:r w:rsidR="006524BE" w:rsidRPr="004068F6">
        <w:t xml:space="preserve"> constitutivas</w:t>
      </w:r>
      <w:r w:rsidR="001E57EF" w:rsidRPr="004068F6">
        <w:t>.</w:t>
      </w:r>
    </w:p>
    <w:p w14:paraId="41C2D5AC" w14:textId="77777777" w:rsidR="00DF540F" w:rsidRPr="004068F6" w:rsidRDefault="00DF540F" w:rsidP="00B36286"/>
    <w:p w14:paraId="20A66FEE" w14:textId="0D30CC0C" w:rsidR="006052E3" w:rsidRPr="004068F6" w:rsidRDefault="006208D2" w:rsidP="00127BD4">
      <w:pPr>
        <w:ind w:left="567"/>
      </w:pPr>
      <w:r w:rsidRPr="004068F6">
        <w:t xml:space="preserve">La </w:t>
      </w:r>
      <w:r w:rsidR="00DF540F" w:rsidRPr="004068F6">
        <w:t xml:space="preserve">información geográfica </w:t>
      </w:r>
      <w:r w:rsidR="004A0212" w:rsidRPr="004068F6">
        <w:t xml:space="preserve">sobre </w:t>
      </w:r>
      <w:r w:rsidR="004A0212" w:rsidRPr="00127BD4">
        <w:rPr>
          <w:i/>
          <w:iCs/>
        </w:rPr>
        <w:t>sensibilidad ambiental</w:t>
      </w:r>
      <w:r w:rsidR="004A0212" w:rsidRPr="004068F6">
        <w:t xml:space="preserve">, </w:t>
      </w:r>
      <w:r w:rsidR="004A0212" w:rsidRPr="00127BD4">
        <w:rPr>
          <w:i/>
          <w:iCs/>
        </w:rPr>
        <w:t>potencial normalizado de modificación del impacto</w:t>
      </w:r>
      <w:r w:rsidR="004A0212" w:rsidRPr="004068F6">
        <w:t xml:space="preserve"> y normativa</w:t>
      </w:r>
      <w:r w:rsidRPr="004068F6">
        <w:t>,</w:t>
      </w:r>
      <w:r w:rsidR="004A0212" w:rsidRPr="004068F6">
        <w:t xml:space="preserve"> </w:t>
      </w:r>
      <w:r w:rsidR="00DF540F" w:rsidRPr="004068F6">
        <w:t>debe referirse solamente al área de influencia</w:t>
      </w:r>
      <w:r w:rsidR="002D2527" w:rsidRPr="004068F6">
        <w:t xml:space="preserve"> del </w:t>
      </w:r>
      <w:r w:rsidRPr="004068F6">
        <w:t xml:space="preserve">factor, </w:t>
      </w:r>
      <w:r w:rsidR="002D2527" w:rsidRPr="004068F6">
        <w:t xml:space="preserve">componente, medio </w:t>
      </w:r>
      <w:r w:rsidR="00E34BCB" w:rsidRPr="004068F6">
        <w:t xml:space="preserve">o del proyecto, obra o actividad, según </w:t>
      </w:r>
      <w:r w:rsidR="00B9313E" w:rsidRPr="004068F6">
        <w:t>corresponda</w:t>
      </w:r>
      <w:r w:rsidR="00E34BCB" w:rsidRPr="004068F6">
        <w:t>. Est</w:t>
      </w:r>
      <w:r w:rsidR="007E63BC" w:rsidRPr="004068F6">
        <w:t xml:space="preserve">a orientación </w:t>
      </w:r>
      <w:r w:rsidR="00B9313E" w:rsidRPr="004068F6">
        <w:t xml:space="preserve">aplica </w:t>
      </w:r>
      <w:r w:rsidR="00E34BCB" w:rsidRPr="004068F6">
        <w:t xml:space="preserve">también </w:t>
      </w:r>
      <w:r w:rsidR="00B9313E" w:rsidRPr="004068F6">
        <w:t xml:space="preserve">a </w:t>
      </w:r>
      <w:r w:rsidR="00E34BCB" w:rsidRPr="004068F6">
        <w:t>la información relativa a los impactos ambiental</w:t>
      </w:r>
      <w:r w:rsidR="00D64078" w:rsidRPr="004068F6">
        <w:t>es</w:t>
      </w:r>
      <w:r w:rsidR="00E34BCB" w:rsidRPr="004068F6">
        <w:t xml:space="preserve"> no significativos.</w:t>
      </w:r>
    </w:p>
    <w:p w14:paraId="6C59ADA0" w14:textId="77777777" w:rsidR="004D0478" w:rsidRPr="00127BD4" w:rsidRDefault="004D0478" w:rsidP="00127BD4"/>
    <w:p w14:paraId="204F3747" w14:textId="3ED822DF" w:rsidR="00C142E5" w:rsidRPr="00127BD4" w:rsidRDefault="00240B88" w:rsidP="00127BD4">
      <w:pPr>
        <w:pStyle w:val="Prrafodelista"/>
        <w:numPr>
          <w:ilvl w:val="0"/>
          <w:numId w:val="751"/>
        </w:numPr>
        <w:tabs>
          <w:tab w:val="left" w:pos="-2268"/>
        </w:tabs>
        <w:suppressAutoHyphens/>
        <w:ind w:left="567" w:hanging="567"/>
        <w:rPr>
          <w:lang w:val="es-CO"/>
        </w:rPr>
      </w:pPr>
      <w:r w:rsidRPr="004068F6">
        <w:rPr>
          <w:lang w:val="es-CO"/>
        </w:rPr>
        <w:t>Determinar</w:t>
      </w:r>
      <w:r w:rsidR="00182DEC" w:rsidRPr="004068F6">
        <w:rPr>
          <w:lang w:val="es-CO"/>
        </w:rPr>
        <w:t xml:space="preserve"> para cada unidad de análisis del factor o componente objeto de zonificación</w:t>
      </w:r>
      <w:r w:rsidR="00ED0650" w:rsidRPr="004068F6">
        <w:rPr>
          <w:lang w:val="es-CO"/>
        </w:rPr>
        <w:t>,</w:t>
      </w:r>
      <w:r w:rsidRPr="004068F6">
        <w:rPr>
          <w:lang w:val="es-CO"/>
        </w:rPr>
        <w:t xml:space="preserve"> </w:t>
      </w:r>
      <w:r w:rsidR="00CF6DDB" w:rsidRPr="004068F6">
        <w:rPr>
          <w:lang w:val="es-CO"/>
        </w:rPr>
        <w:t xml:space="preserve">la relación </w:t>
      </w:r>
      <w:r w:rsidR="0090555E" w:rsidRPr="004068F6">
        <w:rPr>
          <w:lang w:val="es-CO"/>
        </w:rPr>
        <w:t xml:space="preserve">específica entre </w:t>
      </w:r>
      <w:r w:rsidR="009A28C7" w:rsidRPr="00127BD4">
        <w:rPr>
          <w:i/>
          <w:iCs/>
          <w:lang w:val="es-CO"/>
        </w:rPr>
        <w:t>potencial normalizado de modificación del impacto</w:t>
      </w:r>
      <w:r w:rsidR="009A28C7" w:rsidRPr="00127BD4">
        <w:rPr>
          <w:lang w:val="es-CO"/>
        </w:rPr>
        <w:t xml:space="preserve"> </w:t>
      </w:r>
      <w:r w:rsidR="00F4705B" w:rsidRPr="004068F6">
        <w:rPr>
          <w:lang w:val="es-CO"/>
        </w:rPr>
        <w:t xml:space="preserve">y </w:t>
      </w:r>
      <w:r w:rsidR="009A28C7" w:rsidRPr="00127BD4">
        <w:rPr>
          <w:i/>
          <w:iCs/>
          <w:lang w:val="es-CO"/>
        </w:rPr>
        <w:t>sensibilidad ambiental</w:t>
      </w:r>
      <w:r w:rsidR="0090555E" w:rsidRPr="004068F6">
        <w:rPr>
          <w:lang w:val="es-CO"/>
        </w:rPr>
        <w:t xml:space="preserve">. Esta determinación se debe realizar mediante la superposición de la información espacial de </w:t>
      </w:r>
      <w:r w:rsidR="00DE3FC9" w:rsidRPr="004068F6">
        <w:rPr>
          <w:lang w:val="es-CO"/>
        </w:rPr>
        <w:t>las</w:t>
      </w:r>
      <w:r w:rsidR="0090555E" w:rsidRPr="004068F6">
        <w:rPr>
          <w:lang w:val="es-CO"/>
        </w:rPr>
        <w:t xml:space="preserve"> dos variables</w:t>
      </w:r>
      <w:r w:rsidR="00DE3FC9" w:rsidRPr="004068F6">
        <w:rPr>
          <w:lang w:val="es-CO"/>
        </w:rPr>
        <w:t xml:space="preserve"> involucradas</w:t>
      </w:r>
      <w:r w:rsidR="00C142E5" w:rsidRPr="004068F6">
        <w:rPr>
          <w:lang w:val="es-CO"/>
        </w:rPr>
        <w:t>.</w:t>
      </w:r>
    </w:p>
    <w:p w14:paraId="253C95E5" w14:textId="77777777" w:rsidR="00C142E5" w:rsidRPr="004068F6" w:rsidRDefault="00C142E5" w:rsidP="00C86DA5">
      <w:pPr>
        <w:pStyle w:val="Prrafodelista"/>
        <w:tabs>
          <w:tab w:val="left" w:pos="-2268"/>
        </w:tabs>
        <w:suppressAutoHyphens/>
        <w:ind w:left="567" w:hanging="567"/>
        <w:rPr>
          <w:spacing w:val="-3"/>
          <w:lang w:val="es-CO"/>
        </w:rPr>
      </w:pPr>
    </w:p>
    <w:p w14:paraId="1E23BDFC" w14:textId="5FE734CD" w:rsidR="006A3262" w:rsidRPr="004068F6" w:rsidRDefault="00D560A7" w:rsidP="006A3262">
      <w:pPr>
        <w:pStyle w:val="Prrafodelista"/>
        <w:numPr>
          <w:ilvl w:val="0"/>
          <w:numId w:val="751"/>
        </w:numPr>
        <w:tabs>
          <w:tab w:val="left" w:pos="-2268"/>
        </w:tabs>
        <w:suppressAutoHyphens/>
        <w:ind w:left="567" w:hanging="567"/>
        <w:rPr>
          <w:lang w:val="es-CO"/>
        </w:rPr>
      </w:pPr>
      <w:r w:rsidRPr="004068F6">
        <w:rPr>
          <w:lang w:val="es-CO"/>
        </w:rPr>
        <w:t xml:space="preserve">Asignar </w:t>
      </w:r>
      <w:r w:rsidR="00E22CE6" w:rsidRPr="004068F6">
        <w:rPr>
          <w:lang w:val="es-CO"/>
        </w:rPr>
        <w:t xml:space="preserve">el tipo </w:t>
      </w:r>
      <w:r w:rsidR="00C9253F" w:rsidRPr="004068F6">
        <w:rPr>
          <w:lang w:val="es-CO"/>
        </w:rPr>
        <w:t xml:space="preserve">de manejo ambiental </w:t>
      </w:r>
      <w:r w:rsidR="0007108E" w:rsidRPr="004068F6">
        <w:rPr>
          <w:lang w:val="es-CO"/>
        </w:rPr>
        <w:t>(</w:t>
      </w:r>
      <w:r w:rsidR="0007108E" w:rsidRPr="00127BD4">
        <w:rPr>
          <w:i/>
          <w:iCs/>
          <w:lang w:val="es-CO"/>
        </w:rPr>
        <w:t>interv</w:t>
      </w:r>
      <w:r w:rsidR="0055377B" w:rsidRPr="00127BD4">
        <w:rPr>
          <w:i/>
          <w:iCs/>
          <w:lang w:val="es-CO"/>
        </w:rPr>
        <w:t>ención</w:t>
      </w:r>
      <w:r w:rsidR="0055377B" w:rsidRPr="004068F6">
        <w:rPr>
          <w:lang w:val="es-CO"/>
        </w:rPr>
        <w:t xml:space="preserve">, </w:t>
      </w:r>
      <w:r w:rsidR="0055377B" w:rsidRPr="00127BD4">
        <w:rPr>
          <w:i/>
          <w:iCs/>
          <w:lang w:val="es-CO"/>
        </w:rPr>
        <w:t>intervención con restricciones</w:t>
      </w:r>
      <w:r w:rsidR="0055377B" w:rsidRPr="004068F6">
        <w:rPr>
          <w:lang w:val="es-CO"/>
        </w:rPr>
        <w:t xml:space="preserve"> o </w:t>
      </w:r>
      <w:r w:rsidR="0055377B" w:rsidRPr="00127BD4">
        <w:rPr>
          <w:i/>
          <w:iCs/>
          <w:lang w:val="es-CO"/>
        </w:rPr>
        <w:t>exclusión</w:t>
      </w:r>
      <w:r w:rsidR="0007108E" w:rsidRPr="004068F6">
        <w:rPr>
          <w:lang w:val="es-CO"/>
        </w:rPr>
        <w:t xml:space="preserve">) </w:t>
      </w:r>
      <w:r w:rsidR="00E22CE6" w:rsidRPr="004068F6">
        <w:rPr>
          <w:lang w:val="es-CO"/>
        </w:rPr>
        <w:t xml:space="preserve">a cada unidad de análisis según </w:t>
      </w:r>
      <w:r w:rsidR="00EC2068" w:rsidRPr="004068F6">
        <w:rPr>
          <w:lang w:val="es-CO"/>
        </w:rPr>
        <w:t xml:space="preserve">las </w:t>
      </w:r>
      <w:r w:rsidR="00E22CE6" w:rsidRPr="004068F6">
        <w:rPr>
          <w:lang w:val="es-CO"/>
        </w:rPr>
        <w:t xml:space="preserve">relaciones </w:t>
      </w:r>
      <w:r w:rsidR="00A92501" w:rsidRPr="004068F6">
        <w:rPr>
          <w:lang w:val="es-CO"/>
        </w:rPr>
        <w:t xml:space="preserve">encontradas en el paso anterior y la regla de decisión establecida </w:t>
      </w:r>
      <w:r w:rsidR="00C9253F" w:rsidRPr="004068F6">
        <w:rPr>
          <w:lang w:val="es-CO"/>
        </w:rPr>
        <w:t xml:space="preserve">en la </w:t>
      </w:r>
      <w:r w:rsidRPr="004068F6">
        <w:rPr>
          <w:lang w:val="es-CO"/>
        </w:rPr>
        <w:fldChar w:fldCharType="begin"/>
      </w:r>
      <w:r w:rsidRPr="004068F6">
        <w:rPr>
          <w:lang w:val="es-CO"/>
        </w:rPr>
        <w:instrText xml:space="preserve"> REF _Ref81912062 \h  \* MERGEFORMAT </w:instrText>
      </w:r>
      <w:r w:rsidRPr="004068F6">
        <w:rPr>
          <w:lang w:val="es-CO"/>
        </w:rPr>
      </w:r>
      <w:r w:rsidRPr="004068F6">
        <w:rPr>
          <w:lang w:val="es-CO"/>
        </w:rPr>
        <w:fldChar w:fldCharType="separate"/>
      </w:r>
      <w:r w:rsidR="009C4A81" w:rsidRPr="009C4A81">
        <w:rPr>
          <w:lang w:val="es-CO"/>
        </w:rPr>
        <w:t>Tabla 40</w:t>
      </w:r>
      <w:r w:rsidRPr="004068F6">
        <w:rPr>
          <w:lang w:val="es-CO"/>
        </w:rPr>
        <w:fldChar w:fldCharType="end"/>
      </w:r>
      <w:r w:rsidR="00C9253F" w:rsidRPr="004068F6">
        <w:rPr>
          <w:lang w:val="es-CO"/>
        </w:rPr>
        <w:t>.</w:t>
      </w:r>
      <w:r w:rsidR="00DE3FC9" w:rsidRPr="004068F6">
        <w:rPr>
          <w:lang w:val="es-CO"/>
        </w:rPr>
        <w:t xml:space="preserve"> Por ejemplo, una unidad de análisis donde la </w:t>
      </w:r>
      <w:r w:rsidR="00DE3FC9" w:rsidRPr="00127BD4">
        <w:rPr>
          <w:i/>
          <w:iCs/>
          <w:lang w:val="es-CO"/>
        </w:rPr>
        <w:t>sensibilidad</w:t>
      </w:r>
      <w:r w:rsidR="00E840CD" w:rsidRPr="004068F6">
        <w:rPr>
          <w:i/>
          <w:iCs/>
          <w:lang w:val="es-CO"/>
        </w:rPr>
        <w:t xml:space="preserve"> ambiental</w:t>
      </w:r>
      <w:r w:rsidR="00DE3FC9" w:rsidRPr="004068F6">
        <w:rPr>
          <w:lang w:val="es-CO"/>
        </w:rPr>
        <w:t xml:space="preserve"> sea media y el </w:t>
      </w:r>
      <w:r w:rsidR="00DE3FC9" w:rsidRPr="00127BD4">
        <w:rPr>
          <w:i/>
          <w:iCs/>
          <w:lang w:val="es-CO"/>
        </w:rPr>
        <w:t xml:space="preserve">potencial normalizado de </w:t>
      </w:r>
      <w:r w:rsidR="001F7CAD" w:rsidRPr="004068F6">
        <w:rPr>
          <w:i/>
          <w:iCs/>
          <w:lang w:val="es-CO"/>
        </w:rPr>
        <w:t xml:space="preserve">modificación del </w:t>
      </w:r>
      <w:r w:rsidR="00DE3FC9" w:rsidRPr="00127BD4">
        <w:rPr>
          <w:i/>
          <w:iCs/>
          <w:lang w:val="es-CO"/>
        </w:rPr>
        <w:t>impacto</w:t>
      </w:r>
      <w:r w:rsidR="00DE3FC9" w:rsidRPr="004068F6">
        <w:rPr>
          <w:lang w:val="es-CO"/>
        </w:rPr>
        <w:t xml:space="preserve"> sea bajo, corresponde </w:t>
      </w:r>
      <w:r w:rsidR="007B6E59" w:rsidRPr="004068F6">
        <w:rPr>
          <w:lang w:val="es-CO"/>
        </w:rPr>
        <w:t xml:space="preserve">a </w:t>
      </w:r>
      <w:r w:rsidR="00DE3FC9" w:rsidRPr="004068F6">
        <w:rPr>
          <w:lang w:val="es-CO"/>
        </w:rPr>
        <w:t xml:space="preserve">un </w:t>
      </w:r>
      <w:r w:rsidR="00DE3FC9" w:rsidRPr="00127BD4">
        <w:rPr>
          <w:i/>
          <w:iCs/>
          <w:lang w:val="es-CO"/>
        </w:rPr>
        <w:t>área de intervención</w:t>
      </w:r>
      <w:r w:rsidR="00DE3FC9" w:rsidRPr="004068F6">
        <w:rPr>
          <w:lang w:val="es-CO"/>
        </w:rPr>
        <w:t>.</w:t>
      </w:r>
    </w:p>
    <w:p w14:paraId="56A8663A" w14:textId="77777777" w:rsidR="006A3262" w:rsidRDefault="006A3262" w:rsidP="00C86DA5">
      <w:pPr>
        <w:pStyle w:val="Prrafodelista"/>
        <w:tabs>
          <w:tab w:val="left" w:pos="-2268"/>
        </w:tabs>
        <w:suppressAutoHyphens/>
        <w:ind w:left="567" w:hanging="567"/>
        <w:rPr>
          <w:spacing w:val="-3"/>
          <w:lang w:val="es-CO"/>
        </w:rPr>
      </w:pPr>
    </w:p>
    <w:p w14:paraId="644DE240" w14:textId="465E754A" w:rsidR="00BD0E0A" w:rsidRPr="004068F6" w:rsidRDefault="00BD0E0A" w:rsidP="00BD0E0A">
      <w:pPr>
        <w:pStyle w:val="Prrafodelista"/>
        <w:tabs>
          <w:tab w:val="left" w:pos="-2268"/>
        </w:tabs>
        <w:suppressAutoHyphens/>
        <w:ind w:left="567"/>
        <w:rPr>
          <w:rFonts w:cs="Arial"/>
          <w:spacing w:val="-3"/>
          <w:lang w:val="es-CO"/>
        </w:rPr>
      </w:pPr>
      <w:r w:rsidRPr="004068F6">
        <w:rPr>
          <w:spacing w:val="-3"/>
          <w:lang w:val="es-CO"/>
        </w:rPr>
        <w:t xml:space="preserve">Se debe considerar </w:t>
      </w:r>
      <w:r w:rsidRPr="004068F6">
        <w:rPr>
          <w:rFonts w:cs="Arial"/>
          <w:lang w:val="es-CO"/>
        </w:rPr>
        <w:t xml:space="preserve">que una misma unidad de análisis puede tener más de una situación de superposición, es decir, ella puede emplearse para representar diferentes fenómenos con distintas sensibilidades y, por tanto, estar sujeta a más de un impacto ambiental; por ejemplo, una vereda (unidad de análisis territorial) puede tener una </w:t>
      </w:r>
      <w:r w:rsidRPr="00127BD4">
        <w:rPr>
          <w:rFonts w:cs="Arial"/>
          <w:i/>
          <w:iCs/>
          <w:lang w:val="es-CO"/>
        </w:rPr>
        <w:t>sensibilidad</w:t>
      </w:r>
      <w:r w:rsidRPr="004068F6">
        <w:rPr>
          <w:rFonts w:cs="Arial"/>
          <w:lang w:val="es-CO"/>
        </w:rPr>
        <w:t xml:space="preserve"> media a un impacto del componente económico y a la vez, una </w:t>
      </w:r>
      <w:r w:rsidRPr="00127BD4">
        <w:rPr>
          <w:rFonts w:cs="Arial"/>
          <w:i/>
          <w:iCs/>
          <w:lang w:val="es-CO"/>
        </w:rPr>
        <w:t>sensibilidad</w:t>
      </w:r>
      <w:r w:rsidRPr="004068F6">
        <w:rPr>
          <w:rFonts w:cs="Arial"/>
          <w:lang w:val="es-CO"/>
        </w:rPr>
        <w:t xml:space="preserve"> baja a un impacto del componente demográfico (ver ejemplos en la </w:t>
      </w:r>
      <w:r w:rsidRPr="004068F6">
        <w:rPr>
          <w:rFonts w:cs="Arial"/>
          <w:lang w:val="es-CO"/>
        </w:rPr>
        <w:fldChar w:fldCharType="begin"/>
      </w:r>
      <w:r w:rsidRPr="004068F6">
        <w:rPr>
          <w:rFonts w:cs="Arial"/>
          <w:lang w:val="es-CO"/>
        </w:rPr>
        <w:instrText xml:space="preserve"> REF _Ref79403255 \h  \* MERGEFORMAT </w:instrText>
      </w:r>
      <w:r w:rsidRPr="004068F6">
        <w:rPr>
          <w:rFonts w:cs="Arial"/>
          <w:lang w:val="es-CO"/>
        </w:rPr>
      </w:r>
      <w:r w:rsidRPr="004068F6">
        <w:rPr>
          <w:rFonts w:cs="Arial"/>
          <w:lang w:val="es-CO"/>
        </w:rPr>
        <w:fldChar w:fldCharType="separate"/>
      </w:r>
      <w:r w:rsidR="009C4A81" w:rsidRPr="009C4A81">
        <w:rPr>
          <w:rFonts w:cs="Arial"/>
          <w:lang w:val="es-CO"/>
        </w:rPr>
        <w:t>Tabla 42</w:t>
      </w:r>
      <w:r w:rsidRPr="004068F6">
        <w:rPr>
          <w:rFonts w:cs="Arial"/>
          <w:lang w:val="es-CO"/>
        </w:rPr>
        <w:fldChar w:fldCharType="end"/>
      </w:r>
      <w:r w:rsidRPr="004068F6">
        <w:rPr>
          <w:rFonts w:cs="Arial"/>
          <w:lang w:val="es-CO"/>
        </w:rPr>
        <w:t>).</w:t>
      </w:r>
    </w:p>
    <w:p w14:paraId="6B1373C9" w14:textId="77777777" w:rsidR="00BD0E0A" w:rsidRDefault="00BD0E0A" w:rsidP="00C86DA5">
      <w:pPr>
        <w:pStyle w:val="Prrafodelista"/>
        <w:tabs>
          <w:tab w:val="left" w:pos="-2268"/>
        </w:tabs>
        <w:suppressAutoHyphens/>
        <w:ind w:left="567" w:hanging="567"/>
        <w:rPr>
          <w:spacing w:val="-3"/>
          <w:lang w:val="es-CO"/>
        </w:rPr>
      </w:pPr>
    </w:p>
    <w:p w14:paraId="3EE2431B" w14:textId="512DCC29" w:rsidR="004400BC" w:rsidRPr="004068F6" w:rsidRDefault="004400BC" w:rsidP="004400BC">
      <w:pPr>
        <w:pStyle w:val="Descripcin"/>
        <w:jc w:val="center"/>
        <w:rPr>
          <w:rFonts w:cs="Arial"/>
          <w:b w:val="0"/>
          <w:spacing w:val="-3"/>
        </w:rPr>
      </w:pPr>
      <w:bookmarkStart w:id="11068" w:name="_Ref81912062"/>
      <w:r w:rsidRPr="004068F6">
        <w:rPr>
          <w:rFonts w:cs="Arial"/>
        </w:rPr>
        <w:t xml:space="preserve">Tabla </w:t>
      </w:r>
      <w:r w:rsidRPr="004068F6">
        <w:rPr>
          <w:rFonts w:cs="Arial"/>
        </w:rPr>
        <w:fldChar w:fldCharType="begin"/>
      </w:r>
      <w:r w:rsidRPr="004068F6">
        <w:rPr>
          <w:rFonts w:cs="Arial"/>
        </w:rPr>
        <w:instrText xml:space="preserve"> SEQ Tabla \* ARABIC </w:instrText>
      </w:r>
      <w:r w:rsidRPr="004068F6">
        <w:rPr>
          <w:rFonts w:cs="Arial"/>
        </w:rPr>
        <w:fldChar w:fldCharType="separate"/>
      </w:r>
      <w:r w:rsidR="009C4A81">
        <w:rPr>
          <w:rFonts w:cs="Arial"/>
          <w:noProof/>
        </w:rPr>
        <w:t>40</w:t>
      </w:r>
      <w:r w:rsidRPr="004068F6">
        <w:rPr>
          <w:rFonts w:cs="Arial"/>
        </w:rPr>
        <w:fldChar w:fldCharType="end"/>
      </w:r>
      <w:bookmarkEnd w:id="11068"/>
      <w:r w:rsidRPr="004068F6">
        <w:rPr>
          <w:rFonts w:cs="Arial"/>
        </w:rPr>
        <w:t>.</w:t>
      </w:r>
      <w:r w:rsidRPr="004068F6">
        <w:rPr>
          <w:rFonts w:cs="Arial"/>
          <w:b w:val="0"/>
        </w:rPr>
        <w:t xml:space="preserve"> Matriz de decisión para establecer </w:t>
      </w:r>
      <w:r w:rsidR="00336946" w:rsidRPr="004068F6">
        <w:rPr>
          <w:rFonts w:cs="Arial"/>
          <w:b w:val="0"/>
        </w:rPr>
        <w:t xml:space="preserve">el </w:t>
      </w:r>
      <w:r w:rsidRPr="004068F6">
        <w:rPr>
          <w:rFonts w:cs="Arial"/>
          <w:b w:val="0"/>
        </w:rPr>
        <w:t xml:space="preserve">manejo ambiental de cada relación </w:t>
      </w:r>
      <w:r w:rsidRPr="00127BD4">
        <w:rPr>
          <w:rFonts w:cs="Arial"/>
          <w:b w:val="0"/>
          <w:i/>
          <w:iCs/>
        </w:rPr>
        <w:t>Potencial normalizado de modificación</w:t>
      </w:r>
      <w:r w:rsidRPr="004068F6">
        <w:rPr>
          <w:rFonts w:cs="Arial"/>
          <w:b w:val="0"/>
        </w:rPr>
        <w:t xml:space="preserve"> - </w:t>
      </w:r>
      <w:r w:rsidRPr="00127BD4">
        <w:rPr>
          <w:rFonts w:cs="Arial"/>
          <w:b w:val="0"/>
          <w:i/>
          <w:iCs/>
        </w:rPr>
        <w:t>Sensibilidad ambiental</w:t>
      </w:r>
    </w:p>
    <w:tbl>
      <w:tblPr>
        <w:tblStyle w:val="Tablaconcuadrcula"/>
        <w:tblW w:w="8750" w:type="dxa"/>
        <w:jc w:val="center"/>
        <w:tblLayout w:type="fixed"/>
        <w:tblLook w:val="04A0" w:firstRow="1" w:lastRow="0" w:firstColumn="1" w:lastColumn="0" w:noHBand="0" w:noVBand="1"/>
      </w:tblPr>
      <w:tblGrid>
        <w:gridCol w:w="2551"/>
        <w:gridCol w:w="1239"/>
        <w:gridCol w:w="1240"/>
        <w:gridCol w:w="1240"/>
        <w:gridCol w:w="1240"/>
        <w:gridCol w:w="1240"/>
      </w:tblGrid>
      <w:tr w:rsidR="004400BC" w:rsidRPr="004068F6" w14:paraId="79E11C20" w14:textId="77777777" w:rsidTr="004C1054">
        <w:trPr>
          <w:trHeight w:val="315"/>
          <w:tblHeader/>
          <w:jc w:val="center"/>
        </w:trPr>
        <w:tc>
          <w:tcPr>
            <w:tcW w:w="2551" w:type="dxa"/>
            <w:vMerge w:val="restart"/>
            <w:noWrap/>
            <w:vAlign w:val="center"/>
            <w:hideMark/>
          </w:tcPr>
          <w:p w14:paraId="09353948" w14:textId="7586E64B" w:rsidR="004400BC" w:rsidRPr="004068F6" w:rsidRDefault="004400BC" w:rsidP="001C4EDB">
            <w:pPr>
              <w:tabs>
                <w:tab w:val="left" w:pos="-2268"/>
              </w:tabs>
              <w:suppressAutoHyphens/>
              <w:jc w:val="center"/>
              <w:rPr>
                <w:rFonts w:cs="Arial"/>
                <w:spacing w:val="-3"/>
                <w:sz w:val="22"/>
              </w:rPr>
            </w:pPr>
            <w:r w:rsidRPr="004068F6">
              <w:rPr>
                <w:rFonts w:cs="Arial"/>
                <w:b/>
                <w:bCs/>
                <w:spacing w:val="-3"/>
                <w:sz w:val="22"/>
              </w:rPr>
              <w:t>Potencial normalizado de modificación del impacto</w:t>
            </w:r>
          </w:p>
        </w:tc>
        <w:tc>
          <w:tcPr>
            <w:tcW w:w="6199" w:type="dxa"/>
            <w:gridSpan w:val="5"/>
            <w:noWrap/>
            <w:vAlign w:val="center"/>
            <w:hideMark/>
          </w:tcPr>
          <w:p w14:paraId="59E323CC"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Sensibilidad ambiental</w:t>
            </w:r>
          </w:p>
        </w:tc>
      </w:tr>
      <w:tr w:rsidR="004400BC" w:rsidRPr="004068F6" w14:paraId="5184D33E" w14:textId="77777777" w:rsidTr="004C1054">
        <w:trPr>
          <w:trHeight w:val="315"/>
          <w:tblHeader/>
          <w:jc w:val="center"/>
        </w:trPr>
        <w:tc>
          <w:tcPr>
            <w:tcW w:w="2551" w:type="dxa"/>
            <w:vMerge/>
            <w:noWrap/>
            <w:vAlign w:val="center"/>
            <w:hideMark/>
          </w:tcPr>
          <w:p w14:paraId="4C0101B8" w14:textId="77777777" w:rsidR="004400BC" w:rsidRPr="004068F6" w:rsidRDefault="004400BC" w:rsidP="000F569A">
            <w:pPr>
              <w:tabs>
                <w:tab w:val="left" w:pos="-2268"/>
              </w:tabs>
              <w:suppressAutoHyphens/>
              <w:jc w:val="center"/>
              <w:rPr>
                <w:rFonts w:cs="Arial"/>
                <w:b/>
                <w:bCs/>
                <w:spacing w:val="-3"/>
                <w:sz w:val="22"/>
              </w:rPr>
            </w:pPr>
          </w:p>
        </w:tc>
        <w:tc>
          <w:tcPr>
            <w:tcW w:w="1239" w:type="dxa"/>
            <w:tcBorders>
              <w:bottom w:val="single" w:sz="4" w:space="0" w:color="auto"/>
            </w:tcBorders>
            <w:vAlign w:val="center"/>
            <w:hideMark/>
          </w:tcPr>
          <w:p w14:paraId="5DABC0B1"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Muy Baja</w:t>
            </w:r>
          </w:p>
        </w:tc>
        <w:tc>
          <w:tcPr>
            <w:tcW w:w="1240" w:type="dxa"/>
            <w:tcBorders>
              <w:bottom w:val="single" w:sz="4" w:space="0" w:color="auto"/>
            </w:tcBorders>
            <w:vAlign w:val="center"/>
            <w:hideMark/>
          </w:tcPr>
          <w:p w14:paraId="210C1FC4"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Baja</w:t>
            </w:r>
          </w:p>
        </w:tc>
        <w:tc>
          <w:tcPr>
            <w:tcW w:w="1240" w:type="dxa"/>
            <w:tcBorders>
              <w:bottom w:val="single" w:sz="4" w:space="0" w:color="auto"/>
            </w:tcBorders>
            <w:vAlign w:val="center"/>
            <w:hideMark/>
          </w:tcPr>
          <w:p w14:paraId="692B7765"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Media</w:t>
            </w:r>
          </w:p>
        </w:tc>
        <w:tc>
          <w:tcPr>
            <w:tcW w:w="1240" w:type="dxa"/>
            <w:tcBorders>
              <w:bottom w:val="single" w:sz="4" w:space="0" w:color="auto"/>
            </w:tcBorders>
            <w:vAlign w:val="center"/>
            <w:hideMark/>
          </w:tcPr>
          <w:p w14:paraId="43904BB0"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Alta</w:t>
            </w:r>
          </w:p>
        </w:tc>
        <w:tc>
          <w:tcPr>
            <w:tcW w:w="1240" w:type="dxa"/>
            <w:tcBorders>
              <w:bottom w:val="single" w:sz="4" w:space="0" w:color="auto"/>
            </w:tcBorders>
            <w:vAlign w:val="center"/>
            <w:hideMark/>
          </w:tcPr>
          <w:p w14:paraId="11B46B4B"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Muy Alta</w:t>
            </w:r>
          </w:p>
        </w:tc>
      </w:tr>
      <w:tr w:rsidR="004400BC" w:rsidRPr="004068F6" w14:paraId="4B50196E" w14:textId="77777777" w:rsidTr="009420F5">
        <w:trPr>
          <w:trHeight w:val="360"/>
          <w:jc w:val="center"/>
        </w:trPr>
        <w:tc>
          <w:tcPr>
            <w:tcW w:w="2551" w:type="dxa"/>
            <w:noWrap/>
            <w:vAlign w:val="center"/>
            <w:hideMark/>
          </w:tcPr>
          <w:p w14:paraId="6FA8D7CC"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Bajo</w:t>
            </w:r>
          </w:p>
        </w:tc>
        <w:tc>
          <w:tcPr>
            <w:tcW w:w="1239" w:type="dxa"/>
            <w:shd w:val="clear" w:color="auto" w:fill="92D050"/>
            <w:noWrap/>
            <w:vAlign w:val="center"/>
          </w:tcPr>
          <w:p w14:paraId="3B6BAAFD"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w:t>
            </w:r>
          </w:p>
        </w:tc>
        <w:tc>
          <w:tcPr>
            <w:tcW w:w="1240" w:type="dxa"/>
            <w:shd w:val="clear" w:color="auto" w:fill="92D050"/>
            <w:noWrap/>
            <w:vAlign w:val="center"/>
          </w:tcPr>
          <w:p w14:paraId="2C8B8BBF"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w:t>
            </w:r>
          </w:p>
        </w:tc>
        <w:tc>
          <w:tcPr>
            <w:tcW w:w="1240" w:type="dxa"/>
            <w:tcBorders>
              <w:bottom w:val="single" w:sz="4" w:space="0" w:color="auto"/>
            </w:tcBorders>
            <w:shd w:val="clear" w:color="auto" w:fill="92D050"/>
            <w:noWrap/>
            <w:vAlign w:val="center"/>
          </w:tcPr>
          <w:p w14:paraId="007CDE14"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w:t>
            </w:r>
          </w:p>
        </w:tc>
        <w:tc>
          <w:tcPr>
            <w:tcW w:w="1240" w:type="dxa"/>
            <w:shd w:val="clear" w:color="auto" w:fill="FFFF00"/>
            <w:noWrap/>
            <w:vAlign w:val="center"/>
          </w:tcPr>
          <w:p w14:paraId="516067E0"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c>
          <w:tcPr>
            <w:tcW w:w="1240" w:type="dxa"/>
            <w:shd w:val="clear" w:color="auto" w:fill="FFFF00"/>
            <w:noWrap/>
            <w:vAlign w:val="center"/>
          </w:tcPr>
          <w:p w14:paraId="7A7DE892"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r>
      <w:tr w:rsidR="009420F5" w:rsidRPr="004068F6" w14:paraId="73550A96" w14:textId="77777777" w:rsidTr="009420F5">
        <w:trPr>
          <w:trHeight w:val="360"/>
          <w:jc w:val="center"/>
        </w:trPr>
        <w:tc>
          <w:tcPr>
            <w:tcW w:w="2551" w:type="dxa"/>
            <w:noWrap/>
            <w:vAlign w:val="center"/>
            <w:hideMark/>
          </w:tcPr>
          <w:p w14:paraId="5AEC7C7B"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Medio</w:t>
            </w:r>
          </w:p>
        </w:tc>
        <w:tc>
          <w:tcPr>
            <w:tcW w:w="1239" w:type="dxa"/>
            <w:tcBorders>
              <w:bottom w:val="single" w:sz="4" w:space="0" w:color="auto"/>
            </w:tcBorders>
            <w:shd w:val="clear" w:color="auto" w:fill="92D050"/>
            <w:noWrap/>
            <w:vAlign w:val="center"/>
          </w:tcPr>
          <w:p w14:paraId="3D706DA0"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w:t>
            </w:r>
          </w:p>
        </w:tc>
        <w:tc>
          <w:tcPr>
            <w:tcW w:w="1240" w:type="dxa"/>
            <w:tcBorders>
              <w:bottom w:val="single" w:sz="4" w:space="0" w:color="auto"/>
            </w:tcBorders>
            <w:shd w:val="clear" w:color="auto" w:fill="92D050"/>
            <w:noWrap/>
            <w:vAlign w:val="center"/>
          </w:tcPr>
          <w:p w14:paraId="1D2A5F08"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w:t>
            </w:r>
          </w:p>
        </w:tc>
        <w:tc>
          <w:tcPr>
            <w:tcW w:w="1240" w:type="dxa"/>
            <w:shd w:val="clear" w:color="auto" w:fill="FFFF00"/>
            <w:noWrap/>
            <w:vAlign w:val="center"/>
          </w:tcPr>
          <w:p w14:paraId="7D8C6974"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c>
          <w:tcPr>
            <w:tcW w:w="1240" w:type="dxa"/>
            <w:tcBorders>
              <w:bottom w:val="single" w:sz="4" w:space="0" w:color="auto"/>
            </w:tcBorders>
            <w:shd w:val="clear" w:color="auto" w:fill="FFFF00"/>
            <w:noWrap/>
            <w:vAlign w:val="center"/>
          </w:tcPr>
          <w:p w14:paraId="0EB68626"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c>
          <w:tcPr>
            <w:tcW w:w="1240" w:type="dxa"/>
            <w:tcBorders>
              <w:bottom w:val="single" w:sz="4" w:space="0" w:color="auto"/>
            </w:tcBorders>
            <w:shd w:val="clear" w:color="auto" w:fill="FFFF00"/>
            <w:noWrap/>
            <w:vAlign w:val="center"/>
          </w:tcPr>
          <w:p w14:paraId="0B450ECA"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r>
      <w:tr w:rsidR="009420F5" w:rsidRPr="004068F6" w14:paraId="4B690BD1" w14:textId="77777777" w:rsidTr="009420F5">
        <w:trPr>
          <w:trHeight w:val="360"/>
          <w:jc w:val="center"/>
        </w:trPr>
        <w:tc>
          <w:tcPr>
            <w:tcW w:w="2551" w:type="dxa"/>
            <w:noWrap/>
            <w:vAlign w:val="center"/>
            <w:hideMark/>
          </w:tcPr>
          <w:p w14:paraId="208406F8"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Alto</w:t>
            </w:r>
          </w:p>
        </w:tc>
        <w:tc>
          <w:tcPr>
            <w:tcW w:w="1239" w:type="dxa"/>
            <w:tcBorders>
              <w:bottom w:val="single" w:sz="4" w:space="0" w:color="auto"/>
            </w:tcBorders>
            <w:shd w:val="clear" w:color="auto" w:fill="92D050"/>
            <w:noWrap/>
            <w:vAlign w:val="center"/>
          </w:tcPr>
          <w:p w14:paraId="040C0FEB"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w:t>
            </w:r>
          </w:p>
        </w:tc>
        <w:tc>
          <w:tcPr>
            <w:tcW w:w="1240" w:type="dxa"/>
            <w:tcBorders>
              <w:bottom w:val="single" w:sz="4" w:space="0" w:color="auto"/>
            </w:tcBorders>
            <w:shd w:val="clear" w:color="auto" w:fill="FFFF00"/>
            <w:noWrap/>
            <w:vAlign w:val="center"/>
          </w:tcPr>
          <w:p w14:paraId="5DCB6A35"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c>
          <w:tcPr>
            <w:tcW w:w="1240" w:type="dxa"/>
            <w:shd w:val="clear" w:color="auto" w:fill="FFFF00"/>
            <w:noWrap/>
            <w:vAlign w:val="center"/>
          </w:tcPr>
          <w:p w14:paraId="5FB66A2A"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c>
          <w:tcPr>
            <w:tcW w:w="1240" w:type="dxa"/>
            <w:tcBorders>
              <w:bottom w:val="single" w:sz="4" w:space="0" w:color="auto"/>
            </w:tcBorders>
            <w:shd w:val="clear" w:color="auto" w:fill="FFFF00"/>
            <w:noWrap/>
            <w:vAlign w:val="center"/>
          </w:tcPr>
          <w:p w14:paraId="7413B136"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c>
          <w:tcPr>
            <w:tcW w:w="1240" w:type="dxa"/>
            <w:tcBorders>
              <w:bottom w:val="single" w:sz="4" w:space="0" w:color="auto"/>
            </w:tcBorders>
            <w:shd w:val="clear" w:color="auto" w:fill="FF0000"/>
            <w:noWrap/>
            <w:vAlign w:val="center"/>
          </w:tcPr>
          <w:p w14:paraId="32824A4C"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AE</w:t>
            </w:r>
          </w:p>
        </w:tc>
      </w:tr>
      <w:tr w:rsidR="004400BC" w:rsidRPr="004068F6" w14:paraId="34CE8E42" w14:textId="77777777" w:rsidTr="009420F5">
        <w:trPr>
          <w:trHeight w:val="360"/>
          <w:jc w:val="center"/>
        </w:trPr>
        <w:tc>
          <w:tcPr>
            <w:tcW w:w="2551" w:type="dxa"/>
            <w:noWrap/>
            <w:vAlign w:val="center"/>
            <w:hideMark/>
          </w:tcPr>
          <w:p w14:paraId="17F73256" w14:textId="77777777" w:rsidR="004400BC" w:rsidRPr="004068F6" w:rsidRDefault="004400BC" w:rsidP="000F569A">
            <w:pPr>
              <w:tabs>
                <w:tab w:val="left" w:pos="-2268"/>
              </w:tabs>
              <w:suppressAutoHyphens/>
              <w:jc w:val="center"/>
              <w:rPr>
                <w:rFonts w:cs="Arial"/>
                <w:b/>
                <w:bCs/>
                <w:spacing w:val="-3"/>
                <w:sz w:val="22"/>
              </w:rPr>
            </w:pPr>
            <w:r w:rsidRPr="004068F6">
              <w:rPr>
                <w:rFonts w:cs="Arial"/>
                <w:b/>
                <w:bCs/>
                <w:spacing w:val="-3"/>
                <w:sz w:val="22"/>
              </w:rPr>
              <w:t>Muy alto</w:t>
            </w:r>
          </w:p>
        </w:tc>
        <w:tc>
          <w:tcPr>
            <w:tcW w:w="1239" w:type="dxa"/>
            <w:shd w:val="clear" w:color="auto" w:fill="FFFF00"/>
            <w:noWrap/>
            <w:vAlign w:val="center"/>
          </w:tcPr>
          <w:p w14:paraId="0152C5D1"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c>
          <w:tcPr>
            <w:tcW w:w="1240" w:type="dxa"/>
            <w:shd w:val="clear" w:color="auto" w:fill="FFFF00"/>
            <w:noWrap/>
            <w:vAlign w:val="center"/>
          </w:tcPr>
          <w:p w14:paraId="5F7B9BB8"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c>
          <w:tcPr>
            <w:tcW w:w="1240" w:type="dxa"/>
            <w:shd w:val="clear" w:color="auto" w:fill="FFFF00"/>
            <w:noWrap/>
            <w:vAlign w:val="center"/>
          </w:tcPr>
          <w:p w14:paraId="2411D5E9"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AIR</w:t>
            </w:r>
          </w:p>
        </w:tc>
        <w:tc>
          <w:tcPr>
            <w:tcW w:w="1240" w:type="dxa"/>
            <w:shd w:val="clear" w:color="auto" w:fill="FF0000"/>
            <w:noWrap/>
            <w:vAlign w:val="center"/>
          </w:tcPr>
          <w:p w14:paraId="5B481872"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AE</w:t>
            </w:r>
          </w:p>
        </w:tc>
        <w:tc>
          <w:tcPr>
            <w:tcW w:w="1240" w:type="dxa"/>
            <w:shd w:val="clear" w:color="auto" w:fill="FF0000"/>
            <w:noWrap/>
            <w:vAlign w:val="center"/>
          </w:tcPr>
          <w:p w14:paraId="77DEAE38" w14:textId="77777777" w:rsidR="004400BC" w:rsidRPr="004068F6" w:rsidRDefault="004400BC" w:rsidP="000F569A">
            <w:pPr>
              <w:tabs>
                <w:tab w:val="left" w:pos="-2268"/>
              </w:tabs>
              <w:suppressAutoHyphens/>
              <w:jc w:val="center"/>
              <w:rPr>
                <w:rFonts w:cs="Arial"/>
                <w:spacing w:val="-3"/>
                <w:sz w:val="22"/>
              </w:rPr>
            </w:pPr>
            <w:r w:rsidRPr="004068F6">
              <w:rPr>
                <w:rFonts w:cs="Arial"/>
                <w:spacing w:val="-3"/>
                <w:sz w:val="22"/>
              </w:rPr>
              <w:t>AE</w:t>
            </w:r>
          </w:p>
        </w:tc>
      </w:tr>
    </w:tbl>
    <w:p w14:paraId="7D0FCB41" w14:textId="77777777" w:rsidR="00695AC9" w:rsidRPr="004068F6" w:rsidRDefault="00695AC9" w:rsidP="009420F5">
      <w:pPr>
        <w:tabs>
          <w:tab w:val="left" w:pos="-2268"/>
        </w:tabs>
        <w:suppressAutoHyphens/>
        <w:rPr>
          <w:rFonts w:cs="Arial"/>
          <w:spacing w:val="-3"/>
        </w:rPr>
      </w:pPr>
    </w:p>
    <w:p w14:paraId="268CA7D8" w14:textId="14F19C64" w:rsidR="00695AC9" w:rsidRPr="004068F6" w:rsidRDefault="00CF72F7" w:rsidP="009420F5">
      <w:pPr>
        <w:pStyle w:val="Prrafodelista"/>
        <w:tabs>
          <w:tab w:val="left" w:pos="-2268"/>
        </w:tabs>
        <w:suppressAutoHyphens/>
        <w:ind w:left="567"/>
        <w:rPr>
          <w:rFonts w:cs="Arial"/>
          <w:spacing w:val="-3"/>
          <w:lang w:val="es-CO"/>
        </w:rPr>
      </w:pPr>
      <w:r w:rsidRPr="004068F6">
        <w:rPr>
          <w:rFonts w:cs="Arial"/>
          <w:spacing w:val="-3"/>
          <w:lang w:val="es-CO"/>
        </w:rPr>
        <w:t xml:space="preserve">Es necesario que en el estudio ambiental se mencionen todas las interacciones entre el </w:t>
      </w:r>
      <w:r w:rsidRPr="00127BD4">
        <w:rPr>
          <w:rFonts w:cs="Arial"/>
          <w:i/>
          <w:iCs/>
          <w:spacing w:val="-3"/>
          <w:lang w:val="es-CO"/>
        </w:rPr>
        <w:t>potencial normalizado de modificación</w:t>
      </w:r>
      <w:r w:rsidR="00E016FF" w:rsidRPr="004068F6">
        <w:rPr>
          <w:rFonts w:cs="Arial"/>
          <w:spacing w:val="-3"/>
          <w:lang w:val="es-CO"/>
        </w:rPr>
        <w:t xml:space="preserve"> </w:t>
      </w:r>
      <w:r w:rsidR="00E016FF" w:rsidRPr="00127BD4">
        <w:rPr>
          <w:rFonts w:cs="Arial"/>
          <w:i/>
          <w:iCs/>
          <w:spacing w:val="-3"/>
          <w:lang w:val="es-CO"/>
        </w:rPr>
        <w:t>del impacto</w:t>
      </w:r>
      <w:r w:rsidRPr="004068F6">
        <w:rPr>
          <w:rFonts w:cs="Arial"/>
          <w:spacing w:val="-3"/>
          <w:lang w:val="es-CO"/>
        </w:rPr>
        <w:t xml:space="preserve"> y la </w:t>
      </w:r>
      <w:r w:rsidRPr="00127BD4">
        <w:rPr>
          <w:rFonts w:cs="Arial"/>
          <w:i/>
          <w:iCs/>
          <w:spacing w:val="-3"/>
          <w:lang w:val="es-CO"/>
        </w:rPr>
        <w:t>sensibilidad ambiental</w:t>
      </w:r>
      <w:r w:rsidRPr="004068F6">
        <w:rPr>
          <w:rFonts w:cs="Arial"/>
          <w:spacing w:val="-3"/>
          <w:lang w:val="es-CO"/>
        </w:rPr>
        <w:t xml:space="preserve"> que resulten de</w:t>
      </w:r>
      <w:r w:rsidR="00DE3FC9" w:rsidRPr="004068F6">
        <w:rPr>
          <w:rFonts w:cs="Arial"/>
          <w:spacing w:val="-3"/>
          <w:lang w:val="es-CO"/>
        </w:rPr>
        <w:t xml:space="preserve"> este</w:t>
      </w:r>
      <w:r w:rsidRPr="004068F6">
        <w:rPr>
          <w:rFonts w:cs="Arial"/>
          <w:spacing w:val="-3"/>
          <w:lang w:val="es-CO"/>
        </w:rPr>
        <w:t xml:space="preserve"> procedimiento</w:t>
      </w:r>
      <w:r w:rsidR="00BE20E8" w:rsidRPr="004068F6">
        <w:rPr>
          <w:rFonts w:cs="Arial"/>
          <w:spacing w:val="-3"/>
          <w:lang w:val="es-CO"/>
        </w:rPr>
        <w:t xml:space="preserve">, por ejemplo, empleando una matriz de interacciones como la </w:t>
      </w:r>
      <w:r w:rsidR="00B93A3B" w:rsidRPr="004068F6">
        <w:rPr>
          <w:rFonts w:cs="Arial"/>
          <w:spacing w:val="-3"/>
          <w:lang w:val="es-CO"/>
        </w:rPr>
        <w:t xml:space="preserve">enseñada en </w:t>
      </w:r>
      <w:r w:rsidR="007B1CD4" w:rsidRPr="004068F6">
        <w:rPr>
          <w:rFonts w:cs="Arial"/>
          <w:spacing w:val="-3"/>
          <w:lang w:val="es-CO"/>
        </w:rPr>
        <w:t xml:space="preserve">la </w:t>
      </w:r>
      <w:r w:rsidR="00B93A3B" w:rsidRPr="004068F6">
        <w:rPr>
          <w:rFonts w:cs="Arial"/>
          <w:lang w:val="es-CO"/>
        </w:rPr>
        <w:fldChar w:fldCharType="begin"/>
      </w:r>
      <w:r w:rsidR="00B93A3B" w:rsidRPr="004068F6">
        <w:rPr>
          <w:rFonts w:cs="Arial"/>
          <w:lang w:val="es-CO"/>
        </w:rPr>
        <w:instrText xml:space="preserve"> REF _Ref79403255 \h  \* MERGEFORMAT </w:instrText>
      </w:r>
      <w:r w:rsidR="00B93A3B" w:rsidRPr="004068F6">
        <w:rPr>
          <w:rFonts w:cs="Arial"/>
          <w:lang w:val="es-CO"/>
        </w:rPr>
      </w:r>
      <w:r w:rsidR="00B93A3B" w:rsidRPr="004068F6">
        <w:rPr>
          <w:rFonts w:cs="Arial"/>
          <w:lang w:val="es-CO"/>
        </w:rPr>
        <w:fldChar w:fldCharType="separate"/>
      </w:r>
      <w:r w:rsidR="009C4A81" w:rsidRPr="009C4A81">
        <w:rPr>
          <w:rFonts w:cs="Arial"/>
          <w:lang w:val="es-CO"/>
        </w:rPr>
        <w:t>Tabla 42</w:t>
      </w:r>
      <w:r w:rsidR="00B93A3B" w:rsidRPr="004068F6">
        <w:rPr>
          <w:rFonts w:cs="Arial"/>
          <w:lang w:val="es-CO"/>
        </w:rPr>
        <w:fldChar w:fldCharType="end"/>
      </w:r>
      <w:r w:rsidRPr="004068F6">
        <w:rPr>
          <w:rFonts w:cs="Arial"/>
          <w:spacing w:val="-3"/>
          <w:lang w:val="es-CO"/>
        </w:rPr>
        <w:t>.</w:t>
      </w:r>
    </w:p>
    <w:p w14:paraId="295D8CD2" w14:textId="44D9E05E" w:rsidR="000F7364" w:rsidRPr="004068F6" w:rsidRDefault="000F7364" w:rsidP="00127BD4"/>
    <w:p w14:paraId="323EF5C5" w14:textId="0AD4E8A7" w:rsidR="00AC1908" w:rsidRPr="004068F6" w:rsidRDefault="00C72B2F" w:rsidP="00127BD4">
      <w:pPr>
        <w:pStyle w:val="Prrafodelista"/>
        <w:numPr>
          <w:ilvl w:val="0"/>
          <w:numId w:val="751"/>
        </w:numPr>
        <w:tabs>
          <w:tab w:val="left" w:pos="-2268"/>
        </w:tabs>
        <w:suppressAutoHyphens/>
        <w:ind w:left="567" w:hanging="567"/>
        <w:rPr>
          <w:rFonts w:cs="Arial"/>
          <w:spacing w:val="-3"/>
          <w:lang w:val="es-CO"/>
        </w:rPr>
      </w:pPr>
      <w:r w:rsidRPr="00127BD4">
        <w:rPr>
          <w:lang w:val="es-CO"/>
        </w:rPr>
        <w:lastRenderedPageBreak/>
        <w:t xml:space="preserve">Integrar la información resultante del proceso anterior </w:t>
      </w:r>
      <w:r w:rsidR="00A41B29" w:rsidRPr="00127BD4">
        <w:rPr>
          <w:lang w:val="es-CO"/>
        </w:rPr>
        <w:t>para generar mapas de</w:t>
      </w:r>
      <w:r w:rsidR="00A41B29" w:rsidRPr="004068F6">
        <w:rPr>
          <w:rFonts w:cs="Arial"/>
          <w:spacing w:val="-3"/>
          <w:lang w:val="es-CO"/>
        </w:rPr>
        <w:t xml:space="preserve"> zonificación de manejo ambiental de componente</w:t>
      </w:r>
      <w:r w:rsidR="00D8088E" w:rsidRPr="004068F6">
        <w:rPr>
          <w:rFonts w:cs="Arial"/>
          <w:spacing w:val="-3"/>
          <w:lang w:val="es-CO"/>
        </w:rPr>
        <w:t>s</w:t>
      </w:r>
      <w:r w:rsidR="00A41B29" w:rsidRPr="004068F6">
        <w:rPr>
          <w:rFonts w:cs="Arial"/>
          <w:spacing w:val="-3"/>
          <w:lang w:val="es-CO"/>
        </w:rPr>
        <w:t>, medios y de proyecto, obra o actividad (</w:t>
      </w:r>
      <w:r w:rsidR="002E3157" w:rsidRPr="004068F6">
        <w:rPr>
          <w:rFonts w:cs="Arial"/>
          <w:spacing w:val="-3"/>
          <w:lang w:val="es-CO"/>
        </w:rPr>
        <w:t xml:space="preserve">integración </w:t>
      </w:r>
      <w:r w:rsidR="00A41B29" w:rsidRPr="004068F6">
        <w:rPr>
          <w:rFonts w:cs="Arial"/>
          <w:spacing w:val="-3"/>
          <w:lang w:val="es-CO"/>
        </w:rPr>
        <w:t>final) siguiendo la regla de decisión establecida en</w:t>
      </w:r>
      <w:r w:rsidR="00B0608B" w:rsidRPr="004068F6">
        <w:rPr>
          <w:rFonts w:cs="Arial"/>
          <w:spacing w:val="-3"/>
          <w:lang w:val="es-CO"/>
        </w:rPr>
        <w:t xml:space="preserve"> la </w:t>
      </w:r>
      <w:r w:rsidR="00917C1F" w:rsidRPr="004068F6">
        <w:rPr>
          <w:rFonts w:cs="Arial"/>
          <w:spacing w:val="-3"/>
          <w:lang w:val="es-CO"/>
        </w:rPr>
        <w:fldChar w:fldCharType="begin"/>
      </w:r>
      <w:r w:rsidR="00917C1F" w:rsidRPr="004068F6">
        <w:rPr>
          <w:rFonts w:cs="Arial"/>
          <w:spacing w:val="-3"/>
          <w:lang w:val="es-CO"/>
        </w:rPr>
        <w:instrText xml:space="preserve"> REF _Ref79220496 \h </w:instrText>
      </w:r>
      <w:r w:rsidRPr="004068F6">
        <w:rPr>
          <w:rFonts w:cs="Arial"/>
          <w:spacing w:val="-3"/>
          <w:lang w:val="es-CO"/>
        </w:rPr>
        <w:instrText xml:space="preserve"> \* MERGEFORMAT </w:instrText>
      </w:r>
      <w:r w:rsidR="00917C1F" w:rsidRPr="004068F6">
        <w:rPr>
          <w:rFonts w:cs="Arial"/>
          <w:spacing w:val="-3"/>
          <w:lang w:val="es-CO"/>
        </w:rPr>
      </w:r>
      <w:r w:rsidR="00917C1F" w:rsidRPr="004068F6">
        <w:rPr>
          <w:rFonts w:cs="Arial"/>
          <w:spacing w:val="-3"/>
          <w:lang w:val="es-CO"/>
        </w:rPr>
        <w:fldChar w:fldCharType="separate"/>
      </w:r>
      <w:r w:rsidR="009C4A81" w:rsidRPr="009C4A81">
        <w:rPr>
          <w:rFonts w:cs="Arial"/>
          <w:spacing w:val="-3"/>
          <w:lang w:val="es-CO"/>
        </w:rPr>
        <w:t>Tabla 41</w:t>
      </w:r>
      <w:r w:rsidR="00917C1F" w:rsidRPr="004068F6">
        <w:rPr>
          <w:rFonts w:cs="Arial"/>
          <w:spacing w:val="-3"/>
          <w:lang w:val="es-CO"/>
        </w:rPr>
        <w:fldChar w:fldCharType="end"/>
      </w:r>
      <w:r w:rsidR="009B04FC" w:rsidRPr="004068F6">
        <w:rPr>
          <w:rFonts w:cs="Arial"/>
          <w:spacing w:val="-3"/>
          <w:lang w:val="es-CO"/>
        </w:rPr>
        <w:t>.</w:t>
      </w:r>
      <w:r w:rsidR="00917C1F" w:rsidRPr="004068F6">
        <w:rPr>
          <w:rFonts w:cs="Arial"/>
          <w:spacing w:val="-3"/>
          <w:lang w:val="es-CO"/>
        </w:rPr>
        <w:t xml:space="preserve"> </w:t>
      </w:r>
      <w:r w:rsidR="00771F1E" w:rsidRPr="004068F6">
        <w:rPr>
          <w:rFonts w:cs="Arial"/>
          <w:spacing w:val="-3"/>
          <w:lang w:val="es-CO"/>
        </w:rPr>
        <w:t>Así</w:t>
      </w:r>
      <w:r w:rsidR="00B255D0" w:rsidRPr="004068F6">
        <w:rPr>
          <w:rFonts w:cs="Arial"/>
          <w:spacing w:val="-3"/>
          <w:lang w:val="es-CO"/>
        </w:rPr>
        <w:t xml:space="preserve">, se debe integrar la información de varios factores para establecer la zonificación de manejo ambiental de un componente, </w:t>
      </w:r>
      <w:r w:rsidR="001E2EC9" w:rsidRPr="004068F6">
        <w:rPr>
          <w:rFonts w:cs="Arial"/>
          <w:spacing w:val="-3"/>
          <w:lang w:val="es-CO"/>
        </w:rPr>
        <w:t xml:space="preserve">la de varios componentes para zonificar un medio y la </w:t>
      </w:r>
      <w:r w:rsidR="00682ECB" w:rsidRPr="004068F6">
        <w:rPr>
          <w:rFonts w:cs="Arial"/>
          <w:spacing w:val="-3"/>
          <w:lang w:val="es-CO"/>
        </w:rPr>
        <w:t>de varios medios para zonificar el área de influencia del proyecto, obra o actividad.</w:t>
      </w:r>
    </w:p>
    <w:p w14:paraId="4DF7FA57" w14:textId="77777777" w:rsidR="00505B95" w:rsidRPr="004068F6" w:rsidRDefault="00505B95" w:rsidP="009420F5">
      <w:pPr>
        <w:tabs>
          <w:tab w:val="left" w:pos="-2268"/>
        </w:tabs>
        <w:suppressAutoHyphens/>
        <w:rPr>
          <w:spacing w:val="-3"/>
        </w:rPr>
      </w:pPr>
    </w:p>
    <w:p w14:paraId="15B24CD9" w14:textId="4D769CC3" w:rsidR="004400BC" w:rsidRPr="004E4C01" w:rsidRDefault="004400BC" w:rsidP="009420F5">
      <w:pPr>
        <w:pStyle w:val="Descripcin"/>
        <w:keepNext/>
        <w:tabs>
          <w:tab w:val="left" w:pos="8222"/>
        </w:tabs>
        <w:ind w:left="1134" w:right="1185"/>
        <w:jc w:val="center"/>
        <w:rPr>
          <w:b w:val="0"/>
        </w:rPr>
      </w:pPr>
      <w:bookmarkStart w:id="11069" w:name="_Ref79220496"/>
      <w:r w:rsidRPr="004068F6">
        <w:t xml:space="preserve">Tabla </w:t>
      </w:r>
      <w:fldSimple w:instr=" SEQ Tabla \* ARABIC ">
        <w:r w:rsidR="009C4A81">
          <w:rPr>
            <w:noProof/>
          </w:rPr>
          <w:t>41</w:t>
        </w:r>
      </w:fldSimple>
      <w:bookmarkEnd w:id="11069"/>
      <w:r w:rsidRPr="004068F6">
        <w:t xml:space="preserve">. </w:t>
      </w:r>
      <w:r w:rsidRPr="004068F6">
        <w:rPr>
          <w:rFonts w:cs="Arial"/>
          <w:b w:val="0"/>
        </w:rPr>
        <w:t xml:space="preserve">Matriz de </w:t>
      </w:r>
      <w:r w:rsidR="00CA1197" w:rsidRPr="004E4C01">
        <w:rPr>
          <w:rFonts w:cs="Arial"/>
          <w:b w:val="0"/>
        </w:rPr>
        <w:t xml:space="preserve">decisión </w:t>
      </w:r>
      <w:r w:rsidR="0001000A" w:rsidRPr="004E4C01">
        <w:rPr>
          <w:rFonts w:cs="Arial"/>
          <w:b w:val="0"/>
        </w:rPr>
        <w:t xml:space="preserve">para </w:t>
      </w:r>
      <w:r w:rsidR="00B75846" w:rsidRPr="004E4C01">
        <w:rPr>
          <w:rFonts w:cs="Arial"/>
          <w:b w:val="0"/>
        </w:rPr>
        <w:t>integra</w:t>
      </w:r>
      <w:r w:rsidR="0001000A" w:rsidRPr="004E4C01">
        <w:rPr>
          <w:rFonts w:cs="Arial"/>
          <w:b w:val="0"/>
        </w:rPr>
        <w:t xml:space="preserve">r </w:t>
      </w:r>
      <w:r w:rsidR="003A3F96" w:rsidRPr="004E4C01">
        <w:rPr>
          <w:rFonts w:cs="Arial"/>
          <w:b w:val="0"/>
        </w:rPr>
        <w:t>zonificaci</w:t>
      </w:r>
      <w:r w:rsidR="004330C5" w:rsidRPr="004E4C01">
        <w:rPr>
          <w:rFonts w:cs="Arial"/>
          <w:b w:val="0"/>
        </w:rPr>
        <w:t xml:space="preserve">ones </w:t>
      </w:r>
      <w:r w:rsidR="00B11257" w:rsidRPr="004E4C01">
        <w:rPr>
          <w:rFonts w:cs="Arial"/>
          <w:b w:val="0"/>
        </w:rPr>
        <w:t>de manejo ambiental</w:t>
      </w:r>
      <w:r w:rsidR="004330C5" w:rsidRPr="004E4C01">
        <w:rPr>
          <w:rFonts w:cs="Arial"/>
          <w:b w:val="0"/>
        </w:rPr>
        <w:t xml:space="preserve"> intermedias</w:t>
      </w:r>
      <w:r w:rsidR="00F42098" w:rsidRPr="00127BD4">
        <w:rPr>
          <w:rStyle w:val="Refdenotaalpie"/>
          <w:rFonts w:cs="Arial"/>
          <w:b w:val="0"/>
          <w:lang w:val="es-CO"/>
        </w:rPr>
        <w:footnoteReference w:id="237"/>
      </w:r>
    </w:p>
    <w:tbl>
      <w:tblPr>
        <w:tblStyle w:val="Tablaconcuadrcula"/>
        <w:tblW w:w="0" w:type="auto"/>
        <w:jc w:val="center"/>
        <w:tblLayout w:type="fixed"/>
        <w:tblLook w:val="04A0" w:firstRow="1" w:lastRow="0" w:firstColumn="1" w:lastColumn="0" w:noHBand="0" w:noVBand="1"/>
      </w:tblPr>
      <w:tblGrid>
        <w:gridCol w:w="3699"/>
        <w:gridCol w:w="1600"/>
        <w:gridCol w:w="1600"/>
        <w:gridCol w:w="1601"/>
      </w:tblGrid>
      <w:tr w:rsidR="004400BC" w:rsidRPr="004E4C01" w14:paraId="5CBDD8E8" w14:textId="77777777" w:rsidTr="00127BD4">
        <w:trPr>
          <w:jc w:val="center"/>
        </w:trPr>
        <w:tc>
          <w:tcPr>
            <w:tcW w:w="3699" w:type="dxa"/>
            <w:vMerge w:val="restart"/>
            <w:vAlign w:val="center"/>
          </w:tcPr>
          <w:p w14:paraId="743AE41D" w14:textId="465D8484" w:rsidR="004400BC" w:rsidRPr="004E4C01" w:rsidRDefault="004400BC" w:rsidP="000F569A">
            <w:pPr>
              <w:suppressAutoHyphens/>
              <w:jc w:val="center"/>
              <w:rPr>
                <w:rFonts w:cs="Arial"/>
                <w:spacing w:val="-3"/>
              </w:rPr>
            </w:pPr>
            <w:r w:rsidRPr="004E4C01">
              <w:rPr>
                <w:rFonts w:cs="Arial"/>
                <w:b/>
                <w:bCs/>
                <w:spacing w:val="-3"/>
                <w:sz w:val="22"/>
              </w:rPr>
              <w:t>Zonificación de manejo ambiental intermedia</w:t>
            </w:r>
            <w:r w:rsidR="00EB3A63" w:rsidRPr="004E4C01">
              <w:rPr>
                <w:rFonts w:cs="Arial"/>
                <w:b/>
                <w:bCs/>
                <w:spacing w:val="-3"/>
                <w:sz w:val="22"/>
              </w:rPr>
              <w:t xml:space="preserve"> </w:t>
            </w:r>
            <w:r w:rsidR="009B13C3" w:rsidRPr="004E4C01">
              <w:rPr>
                <w:rFonts w:cs="Arial"/>
                <w:b/>
                <w:bCs/>
                <w:spacing w:val="-3"/>
                <w:sz w:val="22"/>
              </w:rPr>
              <w:t>(A</w:t>
            </w:r>
            <w:r w:rsidR="00EB3A63" w:rsidRPr="004E4C01">
              <w:rPr>
                <w:rFonts w:cs="Arial"/>
                <w:b/>
                <w:bCs/>
                <w:spacing w:val="-3"/>
                <w:sz w:val="22"/>
              </w:rPr>
              <w:t>)</w:t>
            </w:r>
          </w:p>
        </w:tc>
        <w:tc>
          <w:tcPr>
            <w:tcW w:w="4801" w:type="dxa"/>
            <w:gridSpan w:val="3"/>
            <w:vAlign w:val="center"/>
          </w:tcPr>
          <w:p w14:paraId="124E3116" w14:textId="7BC27BC3" w:rsidR="004400BC" w:rsidRPr="004E4C01" w:rsidRDefault="004400BC" w:rsidP="000F569A">
            <w:pPr>
              <w:suppressAutoHyphens/>
              <w:jc w:val="center"/>
              <w:rPr>
                <w:rFonts w:cs="Arial"/>
                <w:spacing w:val="-3"/>
              </w:rPr>
            </w:pPr>
            <w:r w:rsidRPr="004E4C01">
              <w:rPr>
                <w:rFonts w:cs="Arial"/>
                <w:b/>
                <w:bCs/>
                <w:spacing w:val="-3"/>
                <w:sz w:val="22"/>
              </w:rPr>
              <w:t>Zonificación de manejo ambiental intermedia</w:t>
            </w:r>
            <w:r w:rsidR="009B13C3" w:rsidRPr="004E4C01">
              <w:rPr>
                <w:rFonts w:cs="Arial"/>
                <w:b/>
                <w:bCs/>
                <w:spacing w:val="-3"/>
                <w:sz w:val="22"/>
              </w:rPr>
              <w:t xml:space="preserve"> (B</w:t>
            </w:r>
            <w:r w:rsidR="00682B98" w:rsidRPr="004E4C01">
              <w:rPr>
                <w:rFonts w:cs="Arial"/>
                <w:b/>
                <w:bCs/>
                <w:spacing w:val="-3"/>
                <w:sz w:val="22"/>
              </w:rPr>
              <w:t>)</w:t>
            </w:r>
          </w:p>
        </w:tc>
      </w:tr>
      <w:tr w:rsidR="004400BC" w:rsidRPr="004E4C01" w14:paraId="6D602C75" w14:textId="77777777" w:rsidTr="00127BD4">
        <w:trPr>
          <w:jc w:val="center"/>
        </w:trPr>
        <w:tc>
          <w:tcPr>
            <w:tcW w:w="3699" w:type="dxa"/>
            <w:vMerge/>
            <w:vAlign w:val="center"/>
          </w:tcPr>
          <w:p w14:paraId="7A3713CB" w14:textId="77777777" w:rsidR="004400BC" w:rsidRPr="004E4C01" w:rsidRDefault="004400BC" w:rsidP="000F569A">
            <w:pPr>
              <w:suppressAutoHyphens/>
              <w:jc w:val="center"/>
              <w:rPr>
                <w:rFonts w:cs="Arial"/>
                <w:spacing w:val="-3"/>
              </w:rPr>
            </w:pPr>
          </w:p>
        </w:tc>
        <w:tc>
          <w:tcPr>
            <w:tcW w:w="1600" w:type="dxa"/>
            <w:tcBorders>
              <w:bottom w:val="single" w:sz="4" w:space="0" w:color="auto"/>
            </w:tcBorders>
            <w:vAlign w:val="center"/>
          </w:tcPr>
          <w:p w14:paraId="2DFF58F2" w14:textId="77777777" w:rsidR="004400BC" w:rsidRPr="004E4C01" w:rsidRDefault="004400BC" w:rsidP="000F569A">
            <w:pPr>
              <w:suppressAutoHyphens/>
              <w:jc w:val="center"/>
              <w:rPr>
                <w:rFonts w:cs="Arial"/>
                <w:spacing w:val="-3"/>
              </w:rPr>
            </w:pPr>
            <w:r w:rsidRPr="004E4C01">
              <w:rPr>
                <w:rFonts w:cs="Arial"/>
                <w:b/>
                <w:bCs/>
                <w:spacing w:val="-3"/>
                <w:sz w:val="22"/>
              </w:rPr>
              <w:t>AI</w:t>
            </w:r>
          </w:p>
        </w:tc>
        <w:tc>
          <w:tcPr>
            <w:tcW w:w="1600" w:type="dxa"/>
            <w:tcBorders>
              <w:bottom w:val="single" w:sz="4" w:space="0" w:color="auto"/>
            </w:tcBorders>
            <w:vAlign w:val="center"/>
          </w:tcPr>
          <w:p w14:paraId="3803FBAE" w14:textId="77777777" w:rsidR="004400BC" w:rsidRPr="004E4C01" w:rsidRDefault="004400BC" w:rsidP="000F569A">
            <w:pPr>
              <w:suppressAutoHyphens/>
              <w:jc w:val="center"/>
              <w:rPr>
                <w:rFonts w:cs="Arial"/>
                <w:spacing w:val="-3"/>
              </w:rPr>
            </w:pPr>
            <w:r w:rsidRPr="004E4C01">
              <w:rPr>
                <w:rFonts w:cs="Arial"/>
                <w:b/>
                <w:bCs/>
                <w:spacing w:val="-3"/>
                <w:sz w:val="22"/>
              </w:rPr>
              <w:t>AIR</w:t>
            </w:r>
          </w:p>
        </w:tc>
        <w:tc>
          <w:tcPr>
            <w:tcW w:w="1601" w:type="dxa"/>
            <w:tcBorders>
              <w:bottom w:val="single" w:sz="4" w:space="0" w:color="auto"/>
            </w:tcBorders>
            <w:vAlign w:val="center"/>
          </w:tcPr>
          <w:p w14:paraId="0BDB0BCB" w14:textId="77777777" w:rsidR="004400BC" w:rsidRPr="004E4C01" w:rsidRDefault="004400BC" w:rsidP="000F569A">
            <w:pPr>
              <w:suppressAutoHyphens/>
              <w:jc w:val="center"/>
              <w:rPr>
                <w:rFonts w:cs="Arial"/>
                <w:spacing w:val="-3"/>
              </w:rPr>
            </w:pPr>
            <w:r w:rsidRPr="004E4C01">
              <w:rPr>
                <w:rFonts w:cs="Arial"/>
                <w:b/>
                <w:bCs/>
                <w:spacing w:val="-3"/>
                <w:sz w:val="22"/>
              </w:rPr>
              <w:t>AE</w:t>
            </w:r>
          </w:p>
        </w:tc>
      </w:tr>
      <w:tr w:rsidR="004400BC" w:rsidRPr="004E4C01" w14:paraId="752D73FF" w14:textId="77777777" w:rsidTr="00127BD4">
        <w:trPr>
          <w:jc w:val="center"/>
        </w:trPr>
        <w:tc>
          <w:tcPr>
            <w:tcW w:w="3699" w:type="dxa"/>
            <w:vAlign w:val="center"/>
          </w:tcPr>
          <w:p w14:paraId="1D9669CF" w14:textId="77777777" w:rsidR="004400BC" w:rsidRPr="004E4C01" w:rsidRDefault="004400BC" w:rsidP="000F569A">
            <w:pPr>
              <w:suppressAutoHyphens/>
              <w:jc w:val="center"/>
              <w:rPr>
                <w:rFonts w:cs="Arial"/>
                <w:spacing w:val="-3"/>
              </w:rPr>
            </w:pPr>
            <w:r w:rsidRPr="004E4C01">
              <w:rPr>
                <w:rFonts w:cs="Arial"/>
                <w:b/>
                <w:bCs/>
                <w:spacing w:val="-3"/>
                <w:sz w:val="22"/>
              </w:rPr>
              <w:t>AI</w:t>
            </w:r>
          </w:p>
        </w:tc>
        <w:tc>
          <w:tcPr>
            <w:tcW w:w="1600" w:type="dxa"/>
            <w:tcBorders>
              <w:bottom w:val="single" w:sz="4" w:space="0" w:color="auto"/>
            </w:tcBorders>
            <w:shd w:val="clear" w:color="auto" w:fill="92D050"/>
            <w:vAlign w:val="center"/>
          </w:tcPr>
          <w:p w14:paraId="2E65F3DB" w14:textId="77777777" w:rsidR="004400BC" w:rsidRPr="004E4C01" w:rsidRDefault="004400BC" w:rsidP="000F569A">
            <w:pPr>
              <w:suppressAutoHyphens/>
              <w:jc w:val="center"/>
              <w:rPr>
                <w:rFonts w:cs="Arial"/>
                <w:spacing w:val="-3"/>
              </w:rPr>
            </w:pPr>
            <w:r w:rsidRPr="004E4C01">
              <w:rPr>
                <w:rFonts w:cs="Arial"/>
                <w:spacing w:val="-3"/>
              </w:rPr>
              <w:t>AI</w:t>
            </w:r>
          </w:p>
        </w:tc>
        <w:tc>
          <w:tcPr>
            <w:tcW w:w="1600" w:type="dxa"/>
            <w:shd w:val="clear" w:color="auto" w:fill="FFFF00"/>
            <w:vAlign w:val="center"/>
          </w:tcPr>
          <w:p w14:paraId="1848E13E" w14:textId="77777777" w:rsidR="004400BC" w:rsidRPr="004E4C01" w:rsidRDefault="004400BC" w:rsidP="000F569A">
            <w:pPr>
              <w:suppressAutoHyphens/>
              <w:jc w:val="center"/>
              <w:rPr>
                <w:rFonts w:cs="Arial"/>
                <w:spacing w:val="-3"/>
              </w:rPr>
            </w:pPr>
            <w:r w:rsidRPr="004E4C01">
              <w:rPr>
                <w:rFonts w:cs="Arial"/>
                <w:spacing w:val="-3"/>
              </w:rPr>
              <w:t>AIR</w:t>
            </w:r>
          </w:p>
        </w:tc>
        <w:tc>
          <w:tcPr>
            <w:tcW w:w="1601" w:type="dxa"/>
            <w:shd w:val="clear" w:color="auto" w:fill="FFFF00"/>
            <w:vAlign w:val="center"/>
          </w:tcPr>
          <w:p w14:paraId="3EF5C258" w14:textId="77777777" w:rsidR="004400BC" w:rsidRPr="004E4C01" w:rsidRDefault="004400BC" w:rsidP="000F569A">
            <w:pPr>
              <w:suppressAutoHyphens/>
              <w:jc w:val="center"/>
              <w:rPr>
                <w:rFonts w:cs="Arial"/>
                <w:spacing w:val="-3"/>
              </w:rPr>
            </w:pPr>
            <w:r w:rsidRPr="004E4C01">
              <w:rPr>
                <w:rFonts w:cs="Arial"/>
                <w:spacing w:val="-3"/>
              </w:rPr>
              <w:t>AIR</w:t>
            </w:r>
          </w:p>
        </w:tc>
      </w:tr>
      <w:tr w:rsidR="004400BC" w:rsidRPr="004E4C01" w14:paraId="30497459" w14:textId="77777777" w:rsidTr="00127BD4">
        <w:trPr>
          <w:jc w:val="center"/>
        </w:trPr>
        <w:tc>
          <w:tcPr>
            <w:tcW w:w="3699" w:type="dxa"/>
            <w:vAlign w:val="center"/>
          </w:tcPr>
          <w:p w14:paraId="6BC7E928" w14:textId="77777777" w:rsidR="004400BC" w:rsidRPr="004E4C01" w:rsidRDefault="004400BC" w:rsidP="000F569A">
            <w:pPr>
              <w:suppressAutoHyphens/>
              <w:jc w:val="center"/>
              <w:rPr>
                <w:rFonts w:cs="Arial"/>
                <w:spacing w:val="-3"/>
              </w:rPr>
            </w:pPr>
            <w:r w:rsidRPr="004E4C01">
              <w:rPr>
                <w:rFonts w:cs="Arial"/>
                <w:b/>
                <w:bCs/>
                <w:spacing w:val="-3"/>
                <w:sz w:val="22"/>
              </w:rPr>
              <w:t>AIR</w:t>
            </w:r>
          </w:p>
        </w:tc>
        <w:tc>
          <w:tcPr>
            <w:tcW w:w="1600" w:type="dxa"/>
            <w:shd w:val="clear" w:color="auto" w:fill="FFFF00"/>
            <w:vAlign w:val="center"/>
          </w:tcPr>
          <w:p w14:paraId="6F48968B" w14:textId="77777777" w:rsidR="004400BC" w:rsidRPr="004E4C01" w:rsidRDefault="004400BC" w:rsidP="000F569A">
            <w:pPr>
              <w:suppressAutoHyphens/>
              <w:jc w:val="center"/>
              <w:rPr>
                <w:rFonts w:cs="Arial"/>
                <w:spacing w:val="-3"/>
              </w:rPr>
            </w:pPr>
            <w:r w:rsidRPr="004E4C01">
              <w:rPr>
                <w:rFonts w:cs="Arial"/>
                <w:spacing w:val="-3"/>
              </w:rPr>
              <w:t>AIR</w:t>
            </w:r>
          </w:p>
        </w:tc>
        <w:tc>
          <w:tcPr>
            <w:tcW w:w="1600" w:type="dxa"/>
            <w:shd w:val="clear" w:color="auto" w:fill="FFFF00"/>
            <w:vAlign w:val="center"/>
          </w:tcPr>
          <w:p w14:paraId="4EC44BCE" w14:textId="77777777" w:rsidR="004400BC" w:rsidRPr="004E4C01" w:rsidRDefault="004400BC" w:rsidP="000F569A">
            <w:pPr>
              <w:suppressAutoHyphens/>
              <w:jc w:val="center"/>
              <w:rPr>
                <w:rFonts w:cs="Arial"/>
                <w:spacing w:val="-3"/>
              </w:rPr>
            </w:pPr>
            <w:r w:rsidRPr="004E4C01">
              <w:rPr>
                <w:rFonts w:cs="Arial"/>
                <w:spacing w:val="-3"/>
              </w:rPr>
              <w:t>AIR</w:t>
            </w:r>
          </w:p>
        </w:tc>
        <w:tc>
          <w:tcPr>
            <w:tcW w:w="1601" w:type="dxa"/>
            <w:tcBorders>
              <w:bottom w:val="single" w:sz="4" w:space="0" w:color="auto"/>
            </w:tcBorders>
            <w:shd w:val="clear" w:color="auto" w:fill="FFFF00"/>
            <w:vAlign w:val="center"/>
          </w:tcPr>
          <w:p w14:paraId="5B9CFAAC" w14:textId="77777777" w:rsidR="004400BC" w:rsidRPr="004E4C01" w:rsidRDefault="004400BC" w:rsidP="000F569A">
            <w:pPr>
              <w:suppressAutoHyphens/>
              <w:jc w:val="center"/>
              <w:rPr>
                <w:rFonts w:cs="Arial"/>
                <w:spacing w:val="-3"/>
              </w:rPr>
            </w:pPr>
            <w:r w:rsidRPr="004E4C01">
              <w:rPr>
                <w:rFonts w:cs="Arial"/>
                <w:spacing w:val="-3"/>
              </w:rPr>
              <w:t>AIR</w:t>
            </w:r>
          </w:p>
        </w:tc>
      </w:tr>
      <w:tr w:rsidR="004400BC" w:rsidRPr="004E4C01" w14:paraId="6B82CE51" w14:textId="77777777" w:rsidTr="00127BD4">
        <w:trPr>
          <w:jc w:val="center"/>
        </w:trPr>
        <w:tc>
          <w:tcPr>
            <w:tcW w:w="3699" w:type="dxa"/>
            <w:vAlign w:val="center"/>
          </w:tcPr>
          <w:p w14:paraId="0D014856" w14:textId="77777777" w:rsidR="004400BC" w:rsidRPr="004E4C01" w:rsidRDefault="004400BC" w:rsidP="000F569A">
            <w:pPr>
              <w:suppressAutoHyphens/>
              <w:jc w:val="center"/>
              <w:rPr>
                <w:rFonts w:cs="Arial"/>
                <w:spacing w:val="-3"/>
              </w:rPr>
            </w:pPr>
            <w:r w:rsidRPr="004E4C01">
              <w:rPr>
                <w:rFonts w:cs="Arial"/>
                <w:b/>
                <w:bCs/>
                <w:spacing w:val="-3"/>
                <w:sz w:val="22"/>
              </w:rPr>
              <w:t>AE</w:t>
            </w:r>
          </w:p>
        </w:tc>
        <w:tc>
          <w:tcPr>
            <w:tcW w:w="1600" w:type="dxa"/>
            <w:shd w:val="clear" w:color="auto" w:fill="FFFF00"/>
            <w:vAlign w:val="center"/>
          </w:tcPr>
          <w:p w14:paraId="0540C218" w14:textId="77777777" w:rsidR="004400BC" w:rsidRPr="004E4C01" w:rsidRDefault="004400BC" w:rsidP="000F569A">
            <w:pPr>
              <w:suppressAutoHyphens/>
              <w:jc w:val="center"/>
              <w:rPr>
                <w:rFonts w:cs="Arial"/>
                <w:spacing w:val="-3"/>
              </w:rPr>
            </w:pPr>
            <w:r w:rsidRPr="004E4C01">
              <w:rPr>
                <w:rFonts w:cs="Arial"/>
                <w:spacing w:val="-3"/>
              </w:rPr>
              <w:t>AIR</w:t>
            </w:r>
          </w:p>
        </w:tc>
        <w:tc>
          <w:tcPr>
            <w:tcW w:w="1600" w:type="dxa"/>
            <w:shd w:val="clear" w:color="auto" w:fill="FFFF00"/>
            <w:vAlign w:val="center"/>
          </w:tcPr>
          <w:p w14:paraId="2062C4B3" w14:textId="77777777" w:rsidR="004400BC" w:rsidRPr="004E4C01" w:rsidRDefault="004400BC" w:rsidP="000F569A">
            <w:pPr>
              <w:suppressAutoHyphens/>
              <w:jc w:val="center"/>
              <w:rPr>
                <w:rFonts w:cs="Arial"/>
                <w:spacing w:val="-3"/>
              </w:rPr>
            </w:pPr>
            <w:r w:rsidRPr="004E4C01">
              <w:rPr>
                <w:rFonts w:cs="Arial"/>
                <w:spacing w:val="-3"/>
              </w:rPr>
              <w:t>AIR</w:t>
            </w:r>
          </w:p>
        </w:tc>
        <w:tc>
          <w:tcPr>
            <w:tcW w:w="1601" w:type="dxa"/>
            <w:shd w:val="clear" w:color="auto" w:fill="FF0000"/>
            <w:vAlign w:val="center"/>
          </w:tcPr>
          <w:p w14:paraId="0820C06D" w14:textId="77777777" w:rsidR="004400BC" w:rsidRPr="004E4C01" w:rsidRDefault="004400BC" w:rsidP="000F569A">
            <w:pPr>
              <w:suppressAutoHyphens/>
              <w:jc w:val="center"/>
              <w:rPr>
                <w:rFonts w:cs="Arial"/>
                <w:spacing w:val="-3"/>
              </w:rPr>
            </w:pPr>
            <w:r w:rsidRPr="004E4C01">
              <w:rPr>
                <w:rFonts w:cs="Arial"/>
                <w:spacing w:val="-3"/>
              </w:rPr>
              <w:t>AE</w:t>
            </w:r>
          </w:p>
        </w:tc>
      </w:tr>
    </w:tbl>
    <w:p w14:paraId="0FED17AF" w14:textId="77777777" w:rsidR="004400BC" w:rsidRPr="004E4C01" w:rsidRDefault="004400BC" w:rsidP="009420F5">
      <w:pPr>
        <w:tabs>
          <w:tab w:val="left" w:pos="-2268"/>
        </w:tabs>
        <w:suppressAutoHyphens/>
        <w:rPr>
          <w:spacing w:val="-3"/>
        </w:rPr>
      </w:pPr>
    </w:p>
    <w:p w14:paraId="4FBE9D87" w14:textId="26E8C13B" w:rsidR="00771F1E" w:rsidRPr="004E4C01" w:rsidRDefault="00771F1E" w:rsidP="00771F1E">
      <w:pPr>
        <w:pStyle w:val="Prrafodelista"/>
        <w:tabs>
          <w:tab w:val="left" w:pos="-2268"/>
        </w:tabs>
        <w:suppressAutoHyphens/>
        <w:ind w:left="567"/>
        <w:rPr>
          <w:rFonts w:cs="Arial"/>
          <w:spacing w:val="-3"/>
          <w:lang w:val="es-CO"/>
        </w:rPr>
      </w:pPr>
      <w:r w:rsidRPr="004E4C01">
        <w:rPr>
          <w:rFonts w:cs="Arial"/>
          <w:spacing w:val="-3"/>
          <w:lang w:val="es-CO"/>
        </w:rPr>
        <w:t xml:space="preserve">Por ejemplo, si la zonificación de manejo ambiental de una unidad análisis de un componente ambiental corresponde a </w:t>
      </w:r>
      <w:r w:rsidRPr="00127BD4">
        <w:rPr>
          <w:rFonts w:cs="Arial"/>
          <w:i/>
          <w:iCs/>
          <w:spacing w:val="-3"/>
          <w:lang w:val="es-CO"/>
        </w:rPr>
        <w:t>intervención</w:t>
      </w:r>
      <w:r w:rsidRPr="004E4C01">
        <w:rPr>
          <w:rFonts w:cs="Arial"/>
          <w:spacing w:val="-3"/>
          <w:lang w:val="es-CO"/>
        </w:rPr>
        <w:t xml:space="preserve"> y la de otro componente ambiental </w:t>
      </w:r>
      <w:r w:rsidR="00BF2F83" w:rsidRPr="004E4C01">
        <w:rPr>
          <w:rFonts w:cs="Arial"/>
          <w:spacing w:val="-3"/>
          <w:lang w:val="es-CO"/>
        </w:rPr>
        <w:t xml:space="preserve">corresponde </w:t>
      </w:r>
      <w:r w:rsidRPr="004E4C01">
        <w:rPr>
          <w:rFonts w:cs="Arial"/>
          <w:spacing w:val="-3"/>
          <w:lang w:val="es-CO"/>
        </w:rPr>
        <w:t xml:space="preserve">a </w:t>
      </w:r>
      <w:r w:rsidRPr="00127BD4">
        <w:rPr>
          <w:rFonts w:cs="Arial"/>
          <w:i/>
          <w:iCs/>
          <w:spacing w:val="-3"/>
          <w:lang w:val="es-CO"/>
        </w:rPr>
        <w:t>intervención con restricciones</w:t>
      </w:r>
      <w:r w:rsidRPr="004E4C01">
        <w:rPr>
          <w:rFonts w:cs="Arial"/>
          <w:spacing w:val="-3"/>
          <w:lang w:val="es-CO"/>
        </w:rPr>
        <w:t xml:space="preserve">, la zonificación de manejo ambiental del medio, para esa unidad de análisis específica, corresponde a un </w:t>
      </w:r>
      <w:r w:rsidRPr="00127BD4">
        <w:rPr>
          <w:rFonts w:cs="Arial"/>
          <w:i/>
          <w:iCs/>
          <w:spacing w:val="-3"/>
          <w:lang w:val="es-CO"/>
        </w:rPr>
        <w:t>área de intervención con restricciones</w:t>
      </w:r>
      <w:r w:rsidRPr="004E4C01">
        <w:rPr>
          <w:rFonts w:cs="Arial"/>
          <w:spacing w:val="-3"/>
          <w:lang w:val="es-CO"/>
        </w:rPr>
        <w:t xml:space="preserve">. Si </w:t>
      </w:r>
      <w:r w:rsidR="007A4E26" w:rsidRPr="004E4C01">
        <w:rPr>
          <w:rFonts w:cs="Arial"/>
          <w:spacing w:val="-3"/>
          <w:lang w:val="es-CO"/>
        </w:rPr>
        <w:t>a es</w:t>
      </w:r>
      <w:r w:rsidR="0043546B" w:rsidRPr="004E4C01">
        <w:rPr>
          <w:rFonts w:cs="Arial"/>
          <w:spacing w:val="-3"/>
          <w:lang w:val="es-CO"/>
        </w:rPr>
        <w:t>t</w:t>
      </w:r>
      <w:r w:rsidR="007A4E26" w:rsidRPr="004E4C01">
        <w:rPr>
          <w:rFonts w:cs="Arial"/>
          <w:spacing w:val="-3"/>
          <w:lang w:val="es-CO"/>
        </w:rPr>
        <w:t xml:space="preserve">e </w:t>
      </w:r>
      <w:r w:rsidRPr="004E4C01">
        <w:rPr>
          <w:rFonts w:cs="Arial"/>
          <w:spacing w:val="-3"/>
          <w:lang w:val="es-CO"/>
        </w:rPr>
        <w:t>ejemplo</w:t>
      </w:r>
      <w:r w:rsidR="00CD4599" w:rsidRPr="004E4C01">
        <w:rPr>
          <w:rFonts w:cs="Arial"/>
          <w:spacing w:val="-3"/>
          <w:lang w:val="es-CO"/>
        </w:rPr>
        <w:t xml:space="preserve"> </w:t>
      </w:r>
      <w:r w:rsidR="007A4E26" w:rsidRPr="004E4C01">
        <w:rPr>
          <w:rFonts w:cs="Arial"/>
          <w:spacing w:val="-3"/>
          <w:lang w:val="es-CO"/>
        </w:rPr>
        <w:t>se le agrega otro</w:t>
      </w:r>
      <w:r w:rsidRPr="004E4C01">
        <w:rPr>
          <w:rFonts w:cs="Arial"/>
          <w:spacing w:val="-3"/>
          <w:lang w:val="es-CO"/>
        </w:rPr>
        <w:t xml:space="preserve"> componente </w:t>
      </w:r>
      <w:r w:rsidR="00975539" w:rsidRPr="004E4C01">
        <w:rPr>
          <w:rFonts w:cs="Arial"/>
          <w:spacing w:val="-3"/>
          <w:lang w:val="es-CO"/>
        </w:rPr>
        <w:t xml:space="preserve">clasificado como </w:t>
      </w:r>
      <w:r w:rsidRPr="00127BD4">
        <w:rPr>
          <w:rFonts w:cs="Arial"/>
          <w:i/>
          <w:iCs/>
          <w:spacing w:val="-3"/>
          <w:lang w:val="es-CO"/>
        </w:rPr>
        <w:t>área de exclusión</w:t>
      </w:r>
      <w:r w:rsidRPr="004E4C01">
        <w:rPr>
          <w:rFonts w:cs="Arial"/>
          <w:spacing w:val="-3"/>
          <w:lang w:val="es-CO"/>
        </w:rPr>
        <w:t xml:space="preserve">, la zonificación de manejo ambiental del medio, para </w:t>
      </w:r>
      <w:r w:rsidR="000072E7" w:rsidRPr="004E4C01">
        <w:rPr>
          <w:rFonts w:cs="Arial"/>
          <w:spacing w:val="-3"/>
          <w:lang w:val="es-CO"/>
        </w:rPr>
        <w:t xml:space="preserve">la </w:t>
      </w:r>
      <w:r w:rsidRPr="004E4C01">
        <w:rPr>
          <w:rFonts w:cs="Arial"/>
          <w:spacing w:val="-3"/>
          <w:lang w:val="es-CO"/>
        </w:rPr>
        <w:t xml:space="preserve">unidad de análisis, corresponde a un </w:t>
      </w:r>
      <w:r w:rsidRPr="00127BD4">
        <w:rPr>
          <w:rFonts w:cs="Arial"/>
          <w:i/>
          <w:iCs/>
          <w:spacing w:val="-3"/>
          <w:lang w:val="es-CO"/>
        </w:rPr>
        <w:t>área de intervención con restricciones</w:t>
      </w:r>
      <w:r w:rsidR="000072E7" w:rsidRPr="004E4C01">
        <w:rPr>
          <w:rFonts w:cs="Arial"/>
          <w:spacing w:val="-3"/>
          <w:lang w:val="es-CO"/>
        </w:rPr>
        <w:t xml:space="preserve">, dado que </w:t>
      </w:r>
      <w:r w:rsidR="00AC2D6C" w:rsidRPr="004E4C01">
        <w:rPr>
          <w:rFonts w:cs="Arial"/>
          <w:spacing w:val="-3"/>
          <w:lang w:val="es-CO"/>
        </w:rPr>
        <w:t xml:space="preserve">en ella </w:t>
      </w:r>
      <w:r w:rsidR="00E169AE" w:rsidRPr="004E4C01">
        <w:rPr>
          <w:rFonts w:cs="Arial"/>
          <w:spacing w:val="-3"/>
          <w:lang w:val="es-CO"/>
        </w:rPr>
        <w:t xml:space="preserve">confluye un </w:t>
      </w:r>
      <w:r w:rsidR="00E169AE" w:rsidRPr="00127BD4">
        <w:rPr>
          <w:rFonts w:cs="Arial"/>
          <w:i/>
          <w:iCs/>
          <w:spacing w:val="-3"/>
          <w:lang w:val="es-CO"/>
        </w:rPr>
        <w:t>área de intervención con restricciones</w:t>
      </w:r>
      <w:r w:rsidR="00E169AE" w:rsidRPr="004E4C01">
        <w:rPr>
          <w:rFonts w:cs="Arial"/>
          <w:spacing w:val="-3"/>
          <w:lang w:val="es-CO"/>
        </w:rPr>
        <w:t xml:space="preserve"> y un área de </w:t>
      </w:r>
      <w:r w:rsidR="00E169AE" w:rsidRPr="00127BD4">
        <w:rPr>
          <w:rFonts w:cs="Arial"/>
          <w:i/>
          <w:iCs/>
          <w:spacing w:val="-3"/>
          <w:lang w:val="es-CO"/>
        </w:rPr>
        <w:t>exclusión</w:t>
      </w:r>
      <w:r w:rsidRPr="004E4C01">
        <w:rPr>
          <w:rFonts w:cs="Arial"/>
          <w:spacing w:val="-3"/>
          <w:lang w:val="es-CO"/>
        </w:rPr>
        <w:t>.</w:t>
      </w:r>
    </w:p>
    <w:p w14:paraId="5AAE8266" w14:textId="77777777" w:rsidR="00771F1E" w:rsidRPr="00127BD4" w:rsidRDefault="00771F1E" w:rsidP="00127BD4">
      <w:pPr>
        <w:tabs>
          <w:tab w:val="left" w:pos="-2268"/>
        </w:tabs>
        <w:suppressAutoHyphens/>
        <w:rPr>
          <w:rFonts w:cs="Arial"/>
          <w:spacing w:val="-3"/>
        </w:rPr>
      </w:pPr>
    </w:p>
    <w:p w14:paraId="45AB268C" w14:textId="4FE15493" w:rsidR="001E4C60" w:rsidRPr="00FE1B78" w:rsidRDefault="00C40940" w:rsidP="005B4BF6">
      <w:pPr>
        <w:pStyle w:val="Prrafodelista"/>
        <w:tabs>
          <w:tab w:val="left" w:pos="-2268"/>
        </w:tabs>
        <w:suppressAutoHyphens/>
        <w:ind w:left="567"/>
        <w:rPr>
          <w:spacing w:val="-3"/>
          <w:lang w:val="es-CO"/>
        </w:rPr>
      </w:pPr>
      <w:r w:rsidRPr="00FE1B78">
        <w:rPr>
          <w:spacing w:val="-3"/>
          <w:lang w:val="es-CO"/>
        </w:rPr>
        <w:t xml:space="preserve">Es importante notar que </w:t>
      </w:r>
      <w:r w:rsidR="003B09B9" w:rsidRPr="00FE1B78">
        <w:rPr>
          <w:spacing w:val="-3"/>
          <w:lang w:val="es-CO"/>
        </w:rPr>
        <w:t xml:space="preserve">la propiedad </w:t>
      </w:r>
      <w:r w:rsidR="0065076D" w:rsidRPr="00FE1B78">
        <w:rPr>
          <w:spacing w:val="-3"/>
          <w:lang w:val="es-CO"/>
        </w:rPr>
        <w:t xml:space="preserve">que tienen </w:t>
      </w:r>
      <w:r w:rsidR="003B09B9" w:rsidRPr="00FE1B78">
        <w:rPr>
          <w:spacing w:val="-3"/>
          <w:lang w:val="es-CO"/>
        </w:rPr>
        <w:t>las</w:t>
      </w:r>
      <w:r w:rsidR="00696D73" w:rsidRPr="00FE1B78">
        <w:rPr>
          <w:spacing w:val="-3"/>
          <w:lang w:val="es-CO"/>
        </w:rPr>
        <w:t xml:space="preserve"> </w:t>
      </w:r>
      <w:r w:rsidR="00696D73" w:rsidRPr="00127BD4">
        <w:rPr>
          <w:i/>
          <w:iCs/>
          <w:spacing w:val="-3"/>
          <w:lang w:val="es-CO"/>
        </w:rPr>
        <w:t>área</w:t>
      </w:r>
      <w:r w:rsidR="00866610" w:rsidRPr="00127BD4">
        <w:rPr>
          <w:i/>
          <w:iCs/>
          <w:spacing w:val="-3"/>
          <w:lang w:val="es-CO"/>
        </w:rPr>
        <w:t>s</w:t>
      </w:r>
      <w:r w:rsidR="00696D73" w:rsidRPr="00127BD4">
        <w:rPr>
          <w:i/>
          <w:iCs/>
          <w:spacing w:val="-3"/>
          <w:lang w:val="es-CO"/>
        </w:rPr>
        <w:t xml:space="preserve"> de intervención con restricciones</w:t>
      </w:r>
      <w:r w:rsidR="00696D73" w:rsidRPr="00FE1B78">
        <w:rPr>
          <w:spacing w:val="-3"/>
          <w:lang w:val="es-CO"/>
        </w:rPr>
        <w:t xml:space="preserve"> </w:t>
      </w:r>
      <w:r w:rsidR="00CB6C46" w:rsidRPr="00FE1B78">
        <w:rPr>
          <w:spacing w:val="-3"/>
          <w:lang w:val="es-CO"/>
        </w:rPr>
        <w:t>de</w:t>
      </w:r>
      <w:r w:rsidR="003B09B9" w:rsidRPr="00FE1B78">
        <w:rPr>
          <w:spacing w:val="-3"/>
          <w:lang w:val="es-CO"/>
        </w:rPr>
        <w:t xml:space="preserve"> permitir</w:t>
      </w:r>
      <w:r w:rsidR="002B1967" w:rsidRPr="00FE1B78">
        <w:rPr>
          <w:spacing w:val="-3"/>
          <w:lang w:val="es-CO"/>
        </w:rPr>
        <w:t xml:space="preserve"> a la vez</w:t>
      </w:r>
      <w:r w:rsidR="003B09B9" w:rsidRPr="00FE1B78">
        <w:rPr>
          <w:spacing w:val="-3"/>
          <w:lang w:val="es-CO"/>
        </w:rPr>
        <w:t xml:space="preserve"> la </w:t>
      </w:r>
      <w:r w:rsidR="009E436F" w:rsidRPr="00FE1B78">
        <w:rPr>
          <w:spacing w:val="-3"/>
          <w:lang w:val="es-CO"/>
        </w:rPr>
        <w:t>ejecu</w:t>
      </w:r>
      <w:r w:rsidR="003B09B9" w:rsidRPr="00FE1B78">
        <w:rPr>
          <w:spacing w:val="-3"/>
          <w:lang w:val="es-CO"/>
        </w:rPr>
        <w:t xml:space="preserve">ción de </w:t>
      </w:r>
      <w:r w:rsidR="009E436F" w:rsidRPr="00FE1B78">
        <w:rPr>
          <w:spacing w:val="-3"/>
          <w:lang w:val="es-CO"/>
        </w:rPr>
        <w:t xml:space="preserve">algunas </w:t>
      </w:r>
      <w:r w:rsidR="00066169" w:rsidRPr="00FE1B78">
        <w:rPr>
          <w:spacing w:val="-3"/>
          <w:lang w:val="es-CO"/>
        </w:rPr>
        <w:t>actividades</w:t>
      </w:r>
      <w:r w:rsidR="003B09B9" w:rsidRPr="00FE1B78">
        <w:rPr>
          <w:spacing w:val="-3"/>
          <w:lang w:val="es-CO"/>
        </w:rPr>
        <w:t xml:space="preserve"> </w:t>
      </w:r>
      <w:r w:rsidR="00BA380D" w:rsidRPr="00FE1B78">
        <w:rPr>
          <w:spacing w:val="-3"/>
          <w:lang w:val="es-CO"/>
        </w:rPr>
        <w:t xml:space="preserve">u obras </w:t>
      </w:r>
      <w:r w:rsidR="003B09B9" w:rsidRPr="00FE1B78">
        <w:rPr>
          <w:spacing w:val="-3"/>
          <w:lang w:val="es-CO"/>
        </w:rPr>
        <w:t xml:space="preserve">y </w:t>
      </w:r>
      <w:r w:rsidR="00CB6C46" w:rsidRPr="00FE1B78">
        <w:rPr>
          <w:spacing w:val="-3"/>
          <w:lang w:val="es-CO"/>
        </w:rPr>
        <w:t xml:space="preserve">de </w:t>
      </w:r>
      <w:r w:rsidR="00002362" w:rsidRPr="00FE1B78">
        <w:rPr>
          <w:spacing w:val="-3"/>
          <w:lang w:val="es-CO"/>
        </w:rPr>
        <w:t>restringi</w:t>
      </w:r>
      <w:r w:rsidR="00EF2B7B" w:rsidRPr="00FE1B78">
        <w:rPr>
          <w:spacing w:val="-3"/>
          <w:lang w:val="es-CO"/>
        </w:rPr>
        <w:t xml:space="preserve">r otras, </w:t>
      </w:r>
      <w:r w:rsidR="001C2356" w:rsidRPr="00FE1B78">
        <w:rPr>
          <w:spacing w:val="-3"/>
          <w:lang w:val="es-CO"/>
        </w:rPr>
        <w:t xml:space="preserve">ocurre </w:t>
      </w:r>
      <w:r w:rsidR="00EF2B7B" w:rsidRPr="00FE1B78">
        <w:rPr>
          <w:spacing w:val="-3"/>
          <w:lang w:val="es-CO"/>
        </w:rPr>
        <w:t xml:space="preserve">por </w:t>
      </w:r>
      <w:r w:rsidR="001C2356" w:rsidRPr="00FE1B78">
        <w:rPr>
          <w:spacing w:val="-3"/>
          <w:lang w:val="es-CO"/>
        </w:rPr>
        <w:t>dos situaciones diferentes</w:t>
      </w:r>
      <w:r w:rsidR="009E436F" w:rsidRPr="00FE1B78">
        <w:rPr>
          <w:spacing w:val="-3"/>
          <w:lang w:val="es-CO"/>
        </w:rPr>
        <w:t>.</w:t>
      </w:r>
      <w:r w:rsidR="009168B8" w:rsidRPr="00FE1B78">
        <w:rPr>
          <w:spacing w:val="-3"/>
          <w:lang w:val="es-CO"/>
        </w:rPr>
        <w:t xml:space="preserve"> </w:t>
      </w:r>
      <w:r w:rsidR="00BA380D" w:rsidRPr="00FE1B78">
        <w:rPr>
          <w:spacing w:val="-3"/>
          <w:lang w:val="es-CO"/>
        </w:rPr>
        <w:t xml:space="preserve">La primera </w:t>
      </w:r>
      <w:r w:rsidR="00B93E39" w:rsidRPr="00FE1B78">
        <w:rPr>
          <w:spacing w:val="-3"/>
          <w:lang w:val="es-CO"/>
        </w:rPr>
        <w:t xml:space="preserve">está asociada a </w:t>
      </w:r>
      <w:r w:rsidR="005E0175" w:rsidRPr="00FE1B78">
        <w:rPr>
          <w:spacing w:val="-3"/>
          <w:lang w:val="es-CO"/>
        </w:rPr>
        <w:t xml:space="preserve">una condición intrínseca </w:t>
      </w:r>
      <w:r w:rsidR="003B6BE2" w:rsidRPr="00FE1B78">
        <w:rPr>
          <w:spacing w:val="-3"/>
          <w:lang w:val="es-CO"/>
        </w:rPr>
        <w:t>de la unidad de análisis</w:t>
      </w:r>
      <w:r w:rsidR="00872778" w:rsidRPr="00FE1B78">
        <w:rPr>
          <w:spacing w:val="-3"/>
          <w:lang w:val="es-CO"/>
        </w:rPr>
        <w:t xml:space="preserve"> de</w:t>
      </w:r>
      <w:r w:rsidR="007F2324" w:rsidRPr="00FE1B78">
        <w:rPr>
          <w:spacing w:val="-3"/>
          <w:lang w:val="es-CO"/>
        </w:rPr>
        <w:t xml:space="preserve">l </w:t>
      </w:r>
      <w:r w:rsidR="00872778" w:rsidRPr="00FE1B78">
        <w:rPr>
          <w:spacing w:val="-3"/>
          <w:lang w:val="es-CO"/>
        </w:rPr>
        <w:t>factor</w:t>
      </w:r>
      <w:r w:rsidR="00172B10" w:rsidRPr="00FE1B78">
        <w:rPr>
          <w:spacing w:val="-3"/>
          <w:lang w:val="es-CO"/>
        </w:rPr>
        <w:t xml:space="preserve"> o componente</w:t>
      </w:r>
      <w:r w:rsidR="003E5A67" w:rsidRPr="00FE1B78">
        <w:rPr>
          <w:spacing w:val="-3"/>
          <w:lang w:val="es-CO"/>
        </w:rPr>
        <w:t xml:space="preserve"> </w:t>
      </w:r>
      <w:r w:rsidR="007F2324" w:rsidRPr="00FE1B78">
        <w:rPr>
          <w:spacing w:val="-3"/>
          <w:lang w:val="es-CO"/>
        </w:rPr>
        <w:t xml:space="preserve">objeto de estudio </w:t>
      </w:r>
      <w:r w:rsidR="003E5A67" w:rsidRPr="00FE1B78">
        <w:rPr>
          <w:spacing w:val="-3"/>
          <w:lang w:val="es-CO"/>
        </w:rPr>
        <w:t>y</w:t>
      </w:r>
      <w:r w:rsidR="001A0309" w:rsidRPr="00FE1B78">
        <w:rPr>
          <w:spacing w:val="-3"/>
          <w:lang w:val="es-CO"/>
        </w:rPr>
        <w:t>,</w:t>
      </w:r>
      <w:r w:rsidR="003E5A67" w:rsidRPr="00FE1B78">
        <w:rPr>
          <w:spacing w:val="-3"/>
          <w:lang w:val="es-CO"/>
        </w:rPr>
        <w:t xml:space="preserve"> la segunda,</w:t>
      </w:r>
      <w:r w:rsidR="001A0309" w:rsidRPr="00FE1B78">
        <w:rPr>
          <w:spacing w:val="-3"/>
          <w:lang w:val="es-CO"/>
        </w:rPr>
        <w:t xml:space="preserve"> </w:t>
      </w:r>
      <w:r w:rsidR="0089174C" w:rsidRPr="00FE1B78">
        <w:rPr>
          <w:spacing w:val="-3"/>
          <w:lang w:val="es-CO"/>
        </w:rPr>
        <w:t>a</w:t>
      </w:r>
      <w:r w:rsidR="001A0309" w:rsidRPr="00FE1B78">
        <w:rPr>
          <w:spacing w:val="-3"/>
          <w:lang w:val="es-CO"/>
        </w:rPr>
        <w:t xml:space="preserve"> una </w:t>
      </w:r>
      <w:r w:rsidR="009F567B" w:rsidRPr="00FE1B78">
        <w:rPr>
          <w:spacing w:val="-3"/>
          <w:lang w:val="es-CO"/>
        </w:rPr>
        <w:t xml:space="preserve">condición </w:t>
      </w:r>
      <w:r w:rsidR="001A0309" w:rsidRPr="00FE1B78">
        <w:rPr>
          <w:spacing w:val="-3"/>
          <w:lang w:val="es-CO"/>
        </w:rPr>
        <w:t>de superposición de factores, componentes o medios</w:t>
      </w:r>
      <w:r w:rsidR="001E4C60" w:rsidRPr="00FE1B78">
        <w:rPr>
          <w:spacing w:val="-3"/>
          <w:lang w:val="es-CO"/>
        </w:rPr>
        <w:t>.</w:t>
      </w:r>
    </w:p>
    <w:p w14:paraId="673B3D76" w14:textId="77777777" w:rsidR="001E4C60" w:rsidRPr="00127BD4" w:rsidRDefault="001E4C60" w:rsidP="00127BD4">
      <w:pPr>
        <w:tabs>
          <w:tab w:val="left" w:pos="-2268"/>
        </w:tabs>
        <w:suppressAutoHyphens/>
        <w:rPr>
          <w:spacing w:val="-3"/>
        </w:rPr>
      </w:pPr>
    </w:p>
    <w:p w14:paraId="7B671039" w14:textId="0FC54B54" w:rsidR="009E436F" w:rsidRPr="004E4C01" w:rsidRDefault="001E4C60" w:rsidP="005B4BF6">
      <w:pPr>
        <w:pStyle w:val="Prrafodelista"/>
        <w:tabs>
          <w:tab w:val="left" w:pos="-2268"/>
        </w:tabs>
        <w:suppressAutoHyphens/>
        <w:ind w:left="567"/>
        <w:rPr>
          <w:rFonts w:cs="Arial"/>
          <w:spacing w:val="-3"/>
          <w:lang w:val="es-CO"/>
        </w:rPr>
      </w:pPr>
      <w:r w:rsidRPr="00FE1B78">
        <w:rPr>
          <w:spacing w:val="-3"/>
          <w:lang w:val="es-CO"/>
        </w:rPr>
        <w:t>P</w:t>
      </w:r>
      <w:r w:rsidR="00AC4A48" w:rsidRPr="00FE1B78">
        <w:rPr>
          <w:spacing w:val="-3"/>
          <w:lang w:val="es-CO"/>
        </w:rPr>
        <w:t xml:space="preserve">or ejemplo, </w:t>
      </w:r>
      <w:r w:rsidR="00E93AA0" w:rsidRPr="00FE1B78">
        <w:rPr>
          <w:spacing w:val="-3"/>
          <w:lang w:val="es-CO"/>
        </w:rPr>
        <w:t xml:space="preserve">un factor </w:t>
      </w:r>
      <w:r w:rsidR="003E7274" w:rsidRPr="00FE1B78">
        <w:rPr>
          <w:spacing w:val="-3"/>
          <w:lang w:val="es-CO"/>
        </w:rPr>
        <w:t xml:space="preserve">es </w:t>
      </w:r>
      <w:r w:rsidR="00006274" w:rsidRPr="00FE1B78">
        <w:rPr>
          <w:spacing w:val="-3"/>
          <w:lang w:val="es-CO"/>
        </w:rPr>
        <w:t xml:space="preserve">clasificado como </w:t>
      </w:r>
      <w:r w:rsidR="00006274" w:rsidRPr="00127BD4">
        <w:rPr>
          <w:i/>
          <w:iCs/>
          <w:spacing w:val="-3"/>
          <w:lang w:val="es-CO"/>
        </w:rPr>
        <w:t>área de intervención con restricciones</w:t>
      </w:r>
      <w:r w:rsidR="00006274" w:rsidRPr="00FE1B78">
        <w:rPr>
          <w:spacing w:val="-3"/>
          <w:lang w:val="es-CO"/>
        </w:rPr>
        <w:t xml:space="preserve"> </w:t>
      </w:r>
      <w:r w:rsidR="00397FCE" w:rsidRPr="00FE1B78">
        <w:rPr>
          <w:spacing w:val="-3"/>
          <w:lang w:val="es-CO"/>
        </w:rPr>
        <w:t xml:space="preserve">por sus condiciones </w:t>
      </w:r>
      <w:r w:rsidR="00555AE9" w:rsidRPr="00FE1B78">
        <w:rPr>
          <w:spacing w:val="-3"/>
          <w:lang w:val="es-CO"/>
        </w:rPr>
        <w:t>inherentes</w:t>
      </w:r>
      <w:r w:rsidR="003E7274" w:rsidRPr="00FE1B78">
        <w:rPr>
          <w:spacing w:val="-3"/>
          <w:lang w:val="es-CO"/>
        </w:rPr>
        <w:t>, mientras que un componente</w:t>
      </w:r>
      <w:r w:rsidR="00114CC1" w:rsidRPr="00FE1B78">
        <w:rPr>
          <w:spacing w:val="-3"/>
          <w:lang w:val="es-CO"/>
        </w:rPr>
        <w:t xml:space="preserve"> con </w:t>
      </w:r>
      <w:r w:rsidR="001C71D4" w:rsidRPr="00FE1B78">
        <w:rPr>
          <w:spacing w:val="-3"/>
          <w:lang w:val="es-CO"/>
        </w:rPr>
        <w:t xml:space="preserve">dicha </w:t>
      </w:r>
      <w:r w:rsidR="00114CC1" w:rsidRPr="00FE1B78">
        <w:rPr>
          <w:spacing w:val="-3"/>
          <w:lang w:val="es-CO"/>
        </w:rPr>
        <w:t xml:space="preserve">clasificación puede ser </w:t>
      </w:r>
      <w:r w:rsidR="001C71D4" w:rsidRPr="00FE1B78">
        <w:rPr>
          <w:spacing w:val="-3"/>
          <w:lang w:val="es-CO"/>
        </w:rPr>
        <w:t xml:space="preserve">resultado de la superposición de </w:t>
      </w:r>
      <w:r w:rsidR="00241C66" w:rsidRPr="00FE1B78">
        <w:rPr>
          <w:spacing w:val="-3"/>
          <w:lang w:val="es-CO"/>
        </w:rPr>
        <w:t xml:space="preserve">factores con diferentes tipos de manejo, </w:t>
      </w:r>
      <w:r w:rsidR="0040751C" w:rsidRPr="00FE1B78">
        <w:rPr>
          <w:spacing w:val="-3"/>
          <w:lang w:val="es-CO"/>
        </w:rPr>
        <w:t xml:space="preserve">que pueden ir </w:t>
      </w:r>
      <w:r w:rsidR="00241C66" w:rsidRPr="00FE1B78">
        <w:rPr>
          <w:spacing w:val="-3"/>
          <w:lang w:val="es-CO"/>
        </w:rPr>
        <w:t xml:space="preserve">desde </w:t>
      </w:r>
      <w:r w:rsidR="00942721" w:rsidRPr="00FE1B78">
        <w:rPr>
          <w:spacing w:val="-3"/>
          <w:lang w:val="es-CO"/>
        </w:rPr>
        <w:t xml:space="preserve">el </w:t>
      </w:r>
      <w:r w:rsidR="00B02728" w:rsidRPr="00FE1B78">
        <w:rPr>
          <w:spacing w:val="-3"/>
          <w:lang w:val="es-CO"/>
        </w:rPr>
        <w:t xml:space="preserve">enteramente restrictivo, hasta </w:t>
      </w:r>
      <w:r w:rsidR="00942721" w:rsidRPr="00FE1B78">
        <w:rPr>
          <w:spacing w:val="-3"/>
          <w:lang w:val="es-CO"/>
        </w:rPr>
        <w:t xml:space="preserve">el </w:t>
      </w:r>
      <w:r w:rsidR="00B02728" w:rsidRPr="00FE1B78">
        <w:rPr>
          <w:spacing w:val="-3"/>
          <w:lang w:val="es-CO"/>
        </w:rPr>
        <w:t>totalmente permisivo.</w:t>
      </w:r>
      <w:r w:rsidR="005638FE" w:rsidRPr="00FE1B78">
        <w:rPr>
          <w:spacing w:val="-3"/>
          <w:lang w:val="es-CO"/>
        </w:rPr>
        <w:t xml:space="preserve"> </w:t>
      </w:r>
      <w:r w:rsidR="00D52518" w:rsidRPr="00FE1B78">
        <w:rPr>
          <w:spacing w:val="-3"/>
          <w:lang w:val="es-CO"/>
        </w:rPr>
        <w:t>Est</w:t>
      </w:r>
      <w:r w:rsidR="00EB0B66" w:rsidRPr="00FE1B78">
        <w:rPr>
          <w:spacing w:val="-3"/>
          <w:lang w:val="es-CO"/>
        </w:rPr>
        <w:t xml:space="preserve">e ejemplo </w:t>
      </w:r>
      <w:r w:rsidR="00D52518" w:rsidRPr="00FE1B78">
        <w:rPr>
          <w:spacing w:val="-3"/>
          <w:lang w:val="es-CO"/>
        </w:rPr>
        <w:t xml:space="preserve">también es válido para las demás escalas jerárquicas del proceso, es decir, </w:t>
      </w:r>
      <w:r w:rsidRPr="00FE1B78">
        <w:rPr>
          <w:spacing w:val="-3"/>
          <w:lang w:val="es-CO"/>
        </w:rPr>
        <w:t xml:space="preserve">para </w:t>
      </w:r>
      <w:r w:rsidR="00564782" w:rsidRPr="00FE1B78">
        <w:rPr>
          <w:spacing w:val="-3"/>
          <w:lang w:val="es-CO"/>
        </w:rPr>
        <w:t xml:space="preserve">las </w:t>
      </w:r>
      <w:r w:rsidRPr="00FE1B78">
        <w:rPr>
          <w:spacing w:val="-3"/>
          <w:lang w:val="es-CO"/>
        </w:rPr>
        <w:t>área</w:t>
      </w:r>
      <w:r w:rsidR="00564782" w:rsidRPr="00FE1B78">
        <w:rPr>
          <w:spacing w:val="-3"/>
          <w:lang w:val="es-CO"/>
        </w:rPr>
        <w:t>s</w:t>
      </w:r>
      <w:r w:rsidRPr="00FE1B78">
        <w:rPr>
          <w:spacing w:val="-3"/>
          <w:lang w:val="es-CO"/>
        </w:rPr>
        <w:t xml:space="preserve"> de influencia de </w:t>
      </w:r>
      <w:r w:rsidR="00D52518" w:rsidRPr="00FE1B78">
        <w:rPr>
          <w:spacing w:val="-3"/>
          <w:lang w:val="es-CO"/>
        </w:rPr>
        <w:t xml:space="preserve">los </w:t>
      </w:r>
      <w:r w:rsidR="00564782" w:rsidRPr="00FE1B78">
        <w:rPr>
          <w:spacing w:val="-3"/>
          <w:lang w:val="es-CO"/>
        </w:rPr>
        <w:t xml:space="preserve">componentes que constituyen las de los </w:t>
      </w:r>
      <w:r w:rsidR="00D52518" w:rsidRPr="00FE1B78">
        <w:rPr>
          <w:spacing w:val="-3"/>
          <w:lang w:val="es-CO"/>
        </w:rPr>
        <w:t>medios y</w:t>
      </w:r>
      <w:r w:rsidR="00564782" w:rsidRPr="00FE1B78">
        <w:rPr>
          <w:spacing w:val="-3"/>
          <w:lang w:val="es-CO"/>
        </w:rPr>
        <w:t>, para las de los medios que conforman la</w:t>
      </w:r>
      <w:r w:rsidR="00D52518" w:rsidRPr="00FE1B78">
        <w:rPr>
          <w:spacing w:val="-3"/>
          <w:lang w:val="es-CO"/>
        </w:rPr>
        <w:t xml:space="preserve"> del proyecto, obra o actividad.</w:t>
      </w:r>
    </w:p>
    <w:p w14:paraId="01049F0E" w14:textId="165E4CA2" w:rsidR="00EB2AC6" w:rsidRPr="004E4C01" w:rsidRDefault="00EB2AC6" w:rsidP="00127BD4">
      <w:pPr>
        <w:tabs>
          <w:tab w:val="left" w:pos="-2268"/>
        </w:tabs>
        <w:suppressAutoHyphens/>
        <w:rPr>
          <w:spacing w:val="-3"/>
        </w:rPr>
      </w:pPr>
    </w:p>
    <w:p w14:paraId="3509D465" w14:textId="5D0467DA" w:rsidR="00EB2AC6" w:rsidRPr="004E4C01" w:rsidRDefault="0047785D" w:rsidP="00EB2AC6">
      <w:pPr>
        <w:pStyle w:val="Prrafodelista"/>
        <w:numPr>
          <w:ilvl w:val="0"/>
          <w:numId w:val="751"/>
        </w:numPr>
        <w:tabs>
          <w:tab w:val="left" w:pos="-2268"/>
        </w:tabs>
        <w:suppressAutoHyphens/>
        <w:ind w:left="567" w:hanging="567"/>
        <w:rPr>
          <w:lang w:val="es-CO"/>
        </w:rPr>
      </w:pPr>
      <w:r w:rsidRPr="004E4C01">
        <w:rPr>
          <w:lang w:val="es-CO"/>
        </w:rPr>
        <w:t>R</w:t>
      </w:r>
      <w:r w:rsidR="00EB2AC6" w:rsidRPr="004E4C01">
        <w:rPr>
          <w:lang w:val="es-CO"/>
        </w:rPr>
        <w:t>eclasificar la zonificación de manejo definida en el paso anterior de acuerdo con las disposiciones fijadas en la norma</w:t>
      </w:r>
      <w:r w:rsidR="004D7748" w:rsidRPr="004E4C01">
        <w:rPr>
          <w:lang w:val="es-CO"/>
        </w:rPr>
        <w:t>tiva</w:t>
      </w:r>
      <w:r w:rsidR="001D6BBC" w:rsidRPr="004E4C01">
        <w:rPr>
          <w:lang w:val="es-CO"/>
        </w:rPr>
        <w:t>,</w:t>
      </w:r>
      <w:r w:rsidR="00EB2AC6" w:rsidRPr="004E4C01">
        <w:rPr>
          <w:lang w:val="es-CO"/>
        </w:rPr>
        <w:t xml:space="preserve"> </w:t>
      </w:r>
      <w:r w:rsidR="002A162F" w:rsidRPr="00127BD4">
        <w:rPr>
          <w:lang w:val="es-CO"/>
        </w:rPr>
        <w:t xml:space="preserve">cuando </w:t>
      </w:r>
      <w:r w:rsidR="003C5ED8" w:rsidRPr="00127BD4">
        <w:rPr>
          <w:lang w:val="es-CO"/>
        </w:rPr>
        <w:t xml:space="preserve">ésta </w:t>
      </w:r>
      <w:r w:rsidR="0078567E" w:rsidRPr="004E4C01">
        <w:rPr>
          <w:lang w:val="es-CO"/>
        </w:rPr>
        <w:t xml:space="preserve">última </w:t>
      </w:r>
      <w:r w:rsidR="002A162F" w:rsidRPr="00127BD4">
        <w:rPr>
          <w:lang w:val="es-CO"/>
        </w:rPr>
        <w:t>sea más restrictiva</w:t>
      </w:r>
      <w:r w:rsidR="00EB2AC6" w:rsidRPr="004E4C01">
        <w:rPr>
          <w:lang w:val="es-CO"/>
        </w:rPr>
        <w:t xml:space="preserve">. </w:t>
      </w:r>
      <w:r w:rsidR="00FA50ED" w:rsidRPr="004E4C01">
        <w:rPr>
          <w:lang w:val="es-CO"/>
        </w:rPr>
        <w:t>Esto se realiza s</w:t>
      </w:r>
      <w:r w:rsidR="00252E3F" w:rsidRPr="004E4C01">
        <w:rPr>
          <w:lang w:val="es-CO"/>
        </w:rPr>
        <w:t>uperpo</w:t>
      </w:r>
      <w:r w:rsidR="00A716D2" w:rsidRPr="004E4C01">
        <w:rPr>
          <w:lang w:val="es-CO"/>
        </w:rPr>
        <w:t xml:space="preserve">niendo </w:t>
      </w:r>
      <w:r w:rsidR="00770436" w:rsidRPr="004E4C01">
        <w:rPr>
          <w:lang w:val="es-CO"/>
        </w:rPr>
        <w:t xml:space="preserve">el </w:t>
      </w:r>
      <w:r w:rsidR="00252E3F" w:rsidRPr="004E4C01">
        <w:rPr>
          <w:lang w:val="es-CO"/>
        </w:rPr>
        <w:t>resultado del proceso anterior</w:t>
      </w:r>
      <w:r w:rsidR="00770436" w:rsidRPr="004E4C01">
        <w:rPr>
          <w:lang w:val="es-CO"/>
        </w:rPr>
        <w:t xml:space="preserve"> con </w:t>
      </w:r>
      <w:r w:rsidR="00252E3F" w:rsidRPr="004E4C01">
        <w:rPr>
          <w:lang w:val="es-CO"/>
        </w:rPr>
        <w:t>la información geográfica sobre áreas que, según la normativa, tienen un estatus de protección, restricción particular sobre la ejecución de actividades o el desarrollo de obras o infraestructuras o, en general, cualquier manejo ambiental específico.</w:t>
      </w:r>
    </w:p>
    <w:p w14:paraId="1BE7177A" w14:textId="77777777" w:rsidR="00EB2AC6" w:rsidRPr="004E4C01" w:rsidRDefault="00EB2AC6">
      <w:pPr>
        <w:ind w:left="567"/>
        <w:rPr>
          <w:spacing w:val="-3"/>
        </w:rPr>
      </w:pPr>
    </w:p>
    <w:p w14:paraId="2FF09EC7" w14:textId="77777777" w:rsidR="00EB2AC6" w:rsidRPr="004E4C01" w:rsidRDefault="00EB2AC6" w:rsidP="00EB2AC6">
      <w:pPr>
        <w:ind w:left="567"/>
        <w:rPr>
          <w:spacing w:val="-3"/>
        </w:rPr>
      </w:pPr>
      <w:r w:rsidRPr="004E4C01">
        <w:rPr>
          <w:spacing w:val="-3"/>
        </w:rPr>
        <w:t>Al finalizar el proceso es necesario señalar para cada categoría de manejo ambiental, qué tipo de actividades u obras es posible desarrollar, cuáles de ellas pueden desarrollarse con restricciones y cuáles están prohibidas.</w:t>
      </w:r>
    </w:p>
    <w:p w14:paraId="151A7523" w14:textId="77777777" w:rsidR="00850D1C" w:rsidRPr="004E4C01" w:rsidRDefault="00850D1C" w:rsidP="009420F5">
      <w:pPr>
        <w:tabs>
          <w:tab w:val="left" w:pos="-2268"/>
        </w:tabs>
        <w:suppressAutoHyphens/>
        <w:rPr>
          <w:spacing w:val="-3"/>
        </w:rPr>
      </w:pPr>
    </w:p>
    <w:p w14:paraId="00EB021F" w14:textId="663EDEAF" w:rsidR="00850D1C" w:rsidRPr="004E4C01" w:rsidRDefault="00691F66" w:rsidP="009420F5">
      <w:pPr>
        <w:tabs>
          <w:tab w:val="left" w:pos="-2268"/>
        </w:tabs>
        <w:suppressAutoHyphens/>
        <w:rPr>
          <w:spacing w:val="-3"/>
        </w:rPr>
      </w:pPr>
      <w:r>
        <w:rPr>
          <w:spacing w:val="-3"/>
        </w:rPr>
        <w:t>S</w:t>
      </w:r>
      <w:r w:rsidR="006E5C0E" w:rsidRPr="004E4C01">
        <w:rPr>
          <w:spacing w:val="-3"/>
        </w:rPr>
        <w:t>e debe presentar a la autoridad ambiental los mapas de manejo ambiental de los medios y del área de influencia del proyecto, obra o actividad de acuerdo con la estructura definida por la Resolución 2182 de 2016 o aquella que la modifique o sustituya.</w:t>
      </w:r>
    </w:p>
    <w:p w14:paraId="2E3DC692" w14:textId="77777777" w:rsidR="00551BA1" w:rsidRPr="004E4C01" w:rsidRDefault="00551BA1" w:rsidP="009420F5">
      <w:pPr>
        <w:rPr>
          <w:spacing w:val="-3"/>
        </w:rPr>
      </w:pPr>
    </w:p>
    <w:p w14:paraId="08975DE8" w14:textId="5859A82F" w:rsidR="00551BA1" w:rsidRPr="004E4C01" w:rsidRDefault="00C10F3E" w:rsidP="009420F5">
      <w:pPr>
        <w:rPr>
          <w:spacing w:val="-3"/>
        </w:rPr>
      </w:pPr>
      <w:r w:rsidRPr="004E4C01">
        <w:rPr>
          <w:spacing w:val="-3"/>
        </w:rPr>
        <w:t xml:space="preserve">Para los proyectos, obras o actividades a los que se refiere el artículo 2.2.2.3.1.4 del decreto 1076 de 2015 o aquel que lo modifique o sustituya, </w:t>
      </w:r>
      <w:r w:rsidR="00551BA1" w:rsidRPr="004E4C01">
        <w:rPr>
          <w:spacing w:val="-3"/>
        </w:rPr>
        <w:t xml:space="preserve">la zonificación de manejo ambiental debe establecerse </w:t>
      </w:r>
      <w:r w:rsidR="00382061" w:rsidRPr="004E4C01">
        <w:rPr>
          <w:spacing w:val="-3"/>
        </w:rPr>
        <w:t xml:space="preserve">a partir de </w:t>
      </w:r>
      <w:r w:rsidR="00551BA1" w:rsidRPr="004E4C01">
        <w:rPr>
          <w:spacing w:val="-3"/>
        </w:rPr>
        <w:t xml:space="preserve">las </w:t>
      </w:r>
      <w:r w:rsidR="00551BA1" w:rsidRPr="004E4C01">
        <w:rPr>
          <w:i/>
          <w:iCs/>
          <w:spacing w:val="-3"/>
        </w:rPr>
        <w:t>posibles</w:t>
      </w:r>
      <w:r w:rsidR="00551BA1" w:rsidRPr="004E4C01">
        <w:rPr>
          <w:spacing w:val="-3"/>
        </w:rPr>
        <w:t xml:space="preserve"> localizaciones en las que es viable el desarrollo de </w:t>
      </w:r>
      <w:r w:rsidR="00CF72F7" w:rsidRPr="004E4C01">
        <w:rPr>
          <w:spacing w:val="-3"/>
        </w:rPr>
        <w:t>sus actividades</w:t>
      </w:r>
      <w:r w:rsidR="00382061" w:rsidRPr="004E4C01">
        <w:rPr>
          <w:spacing w:val="-3"/>
        </w:rPr>
        <w:t xml:space="preserve">, identificadas en el numeral </w:t>
      </w:r>
      <w:r w:rsidR="00382061" w:rsidRPr="004E4C01">
        <w:rPr>
          <w:spacing w:val="-3"/>
        </w:rPr>
        <w:fldChar w:fldCharType="begin"/>
      </w:r>
      <w:r w:rsidR="00382061" w:rsidRPr="004E4C01">
        <w:rPr>
          <w:spacing w:val="-3"/>
        </w:rPr>
        <w:instrText xml:space="preserve"> REF _Ref75276177 \r \h </w:instrText>
      </w:r>
      <w:r w:rsidR="00BD1319" w:rsidRPr="004E4C01">
        <w:rPr>
          <w:spacing w:val="-3"/>
        </w:rPr>
        <w:instrText xml:space="preserve"> \* MERGEFORMAT </w:instrText>
      </w:r>
      <w:r w:rsidR="00382061" w:rsidRPr="004E4C01">
        <w:rPr>
          <w:spacing w:val="-3"/>
        </w:rPr>
      </w:r>
      <w:r w:rsidR="00382061" w:rsidRPr="004E4C01">
        <w:rPr>
          <w:spacing w:val="-3"/>
        </w:rPr>
        <w:fldChar w:fldCharType="separate"/>
      </w:r>
      <w:r w:rsidR="009C4A81">
        <w:rPr>
          <w:spacing w:val="-3"/>
        </w:rPr>
        <w:t>1</w:t>
      </w:r>
      <w:r w:rsidR="00382061" w:rsidRPr="004E4C01">
        <w:rPr>
          <w:spacing w:val="-3"/>
        </w:rPr>
        <w:fldChar w:fldCharType="end"/>
      </w:r>
      <w:r w:rsidR="00382061" w:rsidRPr="004E4C01">
        <w:rPr>
          <w:spacing w:val="-3"/>
        </w:rPr>
        <w:t xml:space="preserve"> de este capítulo (descripción del proyecto)</w:t>
      </w:r>
      <w:r w:rsidR="00551BA1" w:rsidRPr="004E4C01">
        <w:rPr>
          <w:spacing w:val="-3"/>
        </w:rPr>
        <w:t>.</w:t>
      </w:r>
    </w:p>
    <w:p w14:paraId="386FDBF1" w14:textId="77777777" w:rsidR="00CF72F7" w:rsidRPr="004E4C01" w:rsidRDefault="00CF72F7" w:rsidP="009420F5">
      <w:pPr>
        <w:rPr>
          <w:spacing w:val="-3"/>
        </w:rPr>
      </w:pPr>
    </w:p>
    <w:p w14:paraId="20CA16D9" w14:textId="11FBEC45" w:rsidR="009B04FC" w:rsidRPr="004E4C01" w:rsidRDefault="004400BC" w:rsidP="009420F5">
      <w:pPr>
        <w:tabs>
          <w:tab w:val="left" w:pos="-2268"/>
        </w:tabs>
        <w:suppressAutoHyphens/>
        <w:rPr>
          <w:spacing w:val="-3"/>
        </w:rPr>
      </w:pPr>
      <w:r w:rsidRPr="004E4C01">
        <w:rPr>
          <w:rFonts w:cs="Arial"/>
          <w:spacing w:val="-3"/>
        </w:rPr>
        <w:t xml:space="preserve">Es importante tener </w:t>
      </w:r>
      <w:r w:rsidR="00BE734E" w:rsidRPr="004E4C01">
        <w:rPr>
          <w:rFonts w:cs="Arial"/>
          <w:spacing w:val="-3"/>
        </w:rPr>
        <w:t>en cuenta que l</w:t>
      </w:r>
      <w:r w:rsidR="00551C9D" w:rsidRPr="004E4C01">
        <w:rPr>
          <w:rFonts w:cs="Arial"/>
          <w:spacing w:val="-3"/>
        </w:rPr>
        <w:t xml:space="preserve">a zonificación de manejo ambiental es </w:t>
      </w:r>
      <w:r w:rsidR="009B04FC" w:rsidRPr="004E4C01">
        <w:rPr>
          <w:rFonts w:cs="Arial"/>
          <w:spacing w:val="-3"/>
        </w:rPr>
        <w:t xml:space="preserve">un proceso iterativo, </w:t>
      </w:r>
      <w:r w:rsidR="00551C9D" w:rsidRPr="004E4C01">
        <w:rPr>
          <w:rFonts w:cs="Arial"/>
          <w:spacing w:val="-3"/>
        </w:rPr>
        <w:t xml:space="preserve">que si se ejecuta en etapas tempranas de la formulación de un proyecto, obra o actividad, permite realizar ajustes a su ingeniería, </w:t>
      </w:r>
      <w:r w:rsidR="009B04FC" w:rsidRPr="004E4C01">
        <w:rPr>
          <w:rFonts w:cs="Arial"/>
          <w:spacing w:val="-3"/>
        </w:rPr>
        <w:t>tecnología</w:t>
      </w:r>
      <w:r w:rsidR="00551C9D" w:rsidRPr="004E4C01">
        <w:rPr>
          <w:rFonts w:cs="Arial"/>
          <w:spacing w:val="-3"/>
        </w:rPr>
        <w:t>, diseño</w:t>
      </w:r>
      <w:r w:rsidR="009B04FC" w:rsidRPr="004E4C01">
        <w:rPr>
          <w:rFonts w:cs="Arial"/>
          <w:spacing w:val="-3"/>
        </w:rPr>
        <w:t xml:space="preserve"> y localización, </w:t>
      </w:r>
      <w:r w:rsidR="00C31358" w:rsidRPr="004E4C01">
        <w:rPr>
          <w:rFonts w:cs="Arial"/>
          <w:spacing w:val="-3"/>
        </w:rPr>
        <w:t xml:space="preserve">y así reconfigurar sus interacciones con la sensibilidad ambiental del área de referencia, evitando </w:t>
      </w:r>
      <w:r w:rsidR="005B71F1" w:rsidRPr="004E4C01">
        <w:rPr>
          <w:rFonts w:cs="Arial"/>
          <w:spacing w:val="-3"/>
        </w:rPr>
        <w:t>la generación</w:t>
      </w:r>
      <w:r w:rsidR="00C31358" w:rsidRPr="004E4C01">
        <w:rPr>
          <w:rFonts w:cs="Arial"/>
          <w:spacing w:val="-3"/>
        </w:rPr>
        <w:t xml:space="preserve"> de impactos ambientales, o bien reduciendo la cantidad de aquellos con alto potencial de modificación de las condiciones ambientales</w:t>
      </w:r>
      <w:r w:rsidR="009B04FC" w:rsidRPr="004E4C01">
        <w:rPr>
          <w:spacing w:val="-3"/>
        </w:rPr>
        <w:t>.</w:t>
      </w:r>
    </w:p>
    <w:p w14:paraId="36DCC2CC" w14:textId="77777777" w:rsidR="00A41B29" w:rsidRPr="004E4C01" w:rsidRDefault="00A41B29" w:rsidP="009B04FC">
      <w:pPr>
        <w:suppressAutoHyphens/>
        <w:rPr>
          <w:rFonts w:cs="Arial"/>
          <w:spacing w:val="-3"/>
        </w:rPr>
      </w:pPr>
    </w:p>
    <w:p w14:paraId="77BE9A3B" w14:textId="5FEB1A12" w:rsidR="00EC72B2" w:rsidRPr="004E4C01" w:rsidRDefault="00871C0D">
      <w:pPr>
        <w:suppressAutoHyphens/>
        <w:rPr>
          <w:rFonts w:cs="Arial"/>
          <w:spacing w:val="-3"/>
        </w:rPr>
      </w:pPr>
      <w:r w:rsidRPr="004E4C01">
        <w:rPr>
          <w:rFonts w:cs="Arial"/>
          <w:spacing w:val="-3"/>
        </w:rPr>
        <w:t>Finalmente</w:t>
      </w:r>
      <w:r w:rsidR="004400BC" w:rsidRPr="004E4C01">
        <w:rPr>
          <w:rFonts w:cs="Arial"/>
          <w:spacing w:val="-3"/>
        </w:rPr>
        <w:t xml:space="preserve">, </w:t>
      </w:r>
      <w:r w:rsidR="00C63E63" w:rsidRPr="004E4C01">
        <w:rPr>
          <w:rFonts w:cs="Arial"/>
          <w:spacing w:val="-3"/>
        </w:rPr>
        <w:t xml:space="preserve">es pertinente recordar que </w:t>
      </w:r>
      <w:r w:rsidR="0057059E" w:rsidRPr="004E4C01">
        <w:rPr>
          <w:rFonts w:cs="Arial"/>
          <w:spacing w:val="-3"/>
        </w:rPr>
        <w:t>l</w:t>
      </w:r>
      <w:r w:rsidR="00EE034E" w:rsidRPr="004E4C01">
        <w:rPr>
          <w:rFonts w:cs="Arial"/>
          <w:spacing w:val="-3"/>
        </w:rPr>
        <w:t>a z</w:t>
      </w:r>
      <w:r w:rsidR="00EC72B2" w:rsidRPr="004E4C01">
        <w:rPr>
          <w:rFonts w:cs="Arial"/>
          <w:spacing w:val="-3"/>
        </w:rPr>
        <w:t xml:space="preserve">onificación de manejo </w:t>
      </w:r>
      <w:r w:rsidR="00EE034E" w:rsidRPr="004E4C01">
        <w:rPr>
          <w:rFonts w:cs="Arial"/>
          <w:spacing w:val="-3"/>
        </w:rPr>
        <w:t xml:space="preserve">ambiental </w:t>
      </w:r>
      <w:r w:rsidR="0057059E" w:rsidRPr="004E4C01">
        <w:rPr>
          <w:rFonts w:cs="Arial"/>
          <w:spacing w:val="-3"/>
        </w:rPr>
        <w:t xml:space="preserve">junto con </w:t>
      </w:r>
      <w:r w:rsidR="00EC72B2" w:rsidRPr="004E4C01">
        <w:rPr>
          <w:rFonts w:cs="Arial"/>
          <w:spacing w:val="-3"/>
        </w:rPr>
        <w:t xml:space="preserve">la jerarquía de las medidas de manejo, </w:t>
      </w:r>
      <w:r w:rsidR="00F60FEA" w:rsidRPr="004E4C01">
        <w:rPr>
          <w:rFonts w:cs="Arial"/>
          <w:spacing w:val="-3"/>
        </w:rPr>
        <w:t xml:space="preserve">constituyen herramientas para la formulación de medidas de manejo que </w:t>
      </w:r>
      <w:r w:rsidR="008A7970" w:rsidRPr="004E4C01">
        <w:rPr>
          <w:rFonts w:cs="Arial"/>
          <w:spacing w:val="-3"/>
        </w:rPr>
        <w:t xml:space="preserve">gestionen </w:t>
      </w:r>
      <w:r w:rsidR="00EC72B2" w:rsidRPr="004E4C01">
        <w:rPr>
          <w:rFonts w:cs="Arial"/>
          <w:spacing w:val="-3"/>
        </w:rPr>
        <w:t xml:space="preserve">de manera eficaz los impactos ambientales que se generen </w:t>
      </w:r>
      <w:r w:rsidR="00EE034E" w:rsidRPr="004E4C01">
        <w:rPr>
          <w:rFonts w:cs="Arial"/>
          <w:spacing w:val="-3"/>
        </w:rPr>
        <w:t>por la ejecución de un proyecto</w:t>
      </w:r>
      <w:r w:rsidR="00311679" w:rsidRPr="004E4C01">
        <w:rPr>
          <w:rFonts w:cs="Arial"/>
          <w:spacing w:val="-3"/>
        </w:rPr>
        <w:t>,</w:t>
      </w:r>
      <w:r w:rsidR="00EE034E" w:rsidRPr="004E4C01">
        <w:rPr>
          <w:rFonts w:cs="Arial"/>
          <w:spacing w:val="-3"/>
        </w:rPr>
        <w:t xml:space="preserve"> obra o actividad</w:t>
      </w:r>
      <w:r w:rsidR="001B2B1E" w:rsidRPr="004E4C01">
        <w:rPr>
          <w:rFonts w:cs="Arial"/>
          <w:spacing w:val="-3"/>
        </w:rPr>
        <w:t>.</w:t>
      </w:r>
    </w:p>
    <w:p w14:paraId="18A510DE" w14:textId="2CD4BDB8" w:rsidR="00031C4F" w:rsidRDefault="00031C4F">
      <w:pPr>
        <w:overflowPunct/>
        <w:autoSpaceDE/>
        <w:autoSpaceDN/>
        <w:adjustRightInd/>
        <w:jc w:val="left"/>
        <w:textAlignment w:val="auto"/>
        <w:rPr>
          <w:rFonts w:cs="Arial"/>
          <w:spacing w:val="-3"/>
        </w:rPr>
      </w:pPr>
      <w:r>
        <w:rPr>
          <w:rFonts w:cs="Arial"/>
          <w:spacing w:val="-3"/>
        </w:rPr>
        <w:br w:type="page"/>
      </w:r>
    </w:p>
    <w:p w14:paraId="787EF3D0" w14:textId="77777777" w:rsidR="00CE2E63" w:rsidRDefault="00CE2E63">
      <w:pPr>
        <w:suppressAutoHyphens/>
        <w:rPr>
          <w:rFonts w:cs="Arial"/>
          <w:spacing w:val="-3"/>
        </w:rPr>
      </w:pPr>
    </w:p>
    <w:p w14:paraId="75E40F70" w14:textId="158921F3" w:rsidR="00CE2E63" w:rsidRPr="004E4C01" w:rsidRDefault="00CE2E63" w:rsidP="00CE2E63">
      <w:pPr>
        <w:pStyle w:val="Descripcin"/>
        <w:jc w:val="center"/>
        <w:rPr>
          <w:rFonts w:cs="Arial"/>
          <w:b w:val="0"/>
          <w:spacing w:val="-3"/>
        </w:rPr>
      </w:pPr>
      <w:bookmarkStart w:id="11070" w:name="_Ref79403255"/>
      <w:r w:rsidRPr="004E4C01">
        <w:rPr>
          <w:rFonts w:cs="Arial"/>
        </w:rPr>
        <w:t xml:space="preserve">Tabla </w:t>
      </w:r>
      <w:r w:rsidRPr="004E4C01">
        <w:rPr>
          <w:rFonts w:cs="Arial"/>
        </w:rPr>
        <w:fldChar w:fldCharType="begin"/>
      </w:r>
      <w:r w:rsidRPr="004E4C01">
        <w:rPr>
          <w:rFonts w:cs="Arial"/>
        </w:rPr>
        <w:instrText xml:space="preserve"> SEQ Tabla \* ARABIC </w:instrText>
      </w:r>
      <w:r w:rsidRPr="004E4C01">
        <w:rPr>
          <w:rFonts w:cs="Arial"/>
        </w:rPr>
        <w:fldChar w:fldCharType="separate"/>
      </w:r>
      <w:r w:rsidR="009C4A81">
        <w:rPr>
          <w:rFonts w:cs="Arial"/>
          <w:noProof/>
        </w:rPr>
        <w:t>42</w:t>
      </w:r>
      <w:r w:rsidRPr="004E4C01">
        <w:rPr>
          <w:rFonts w:cs="Arial"/>
        </w:rPr>
        <w:fldChar w:fldCharType="end"/>
      </w:r>
      <w:bookmarkEnd w:id="11070"/>
      <w:r w:rsidR="00800AE5" w:rsidRPr="004E4C01">
        <w:rPr>
          <w:rFonts w:cs="Arial"/>
        </w:rPr>
        <w:t>.</w:t>
      </w:r>
      <w:r w:rsidRPr="004E4C01">
        <w:rPr>
          <w:rFonts w:cs="Arial"/>
          <w:b w:val="0"/>
        </w:rPr>
        <w:t xml:space="preserve"> </w:t>
      </w:r>
      <w:r w:rsidRPr="004E4C01">
        <w:rPr>
          <w:rFonts w:cs="Arial"/>
          <w:b w:val="0"/>
          <w:spacing w:val="-3"/>
        </w:rPr>
        <w:t>Ejemplo matriz de interacciones</w:t>
      </w:r>
    </w:p>
    <w:tbl>
      <w:tblPr>
        <w:tblStyle w:val="Tablaconcuadrcula"/>
        <w:tblW w:w="9653" w:type="dxa"/>
        <w:jc w:val="center"/>
        <w:tblLayout w:type="fixed"/>
        <w:tblLook w:val="04A0" w:firstRow="1" w:lastRow="0" w:firstColumn="1" w:lastColumn="0" w:noHBand="0" w:noVBand="1"/>
      </w:tblPr>
      <w:tblGrid>
        <w:gridCol w:w="817"/>
        <w:gridCol w:w="1418"/>
        <w:gridCol w:w="1701"/>
        <w:gridCol w:w="1559"/>
        <w:gridCol w:w="831"/>
        <w:gridCol w:w="832"/>
        <w:gridCol w:w="831"/>
        <w:gridCol w:w="832"/>
        <w:gridCol w:w="832"/>
      </w:tblGrid>
      <w:tr w:rsidR="00BF7AE1" w:rsidRPr="004E4C01" w14:paraId="6D1B0028" w14:textId="77777777" w:rsidTr="00031C4F">
        <w:trPr>
          <w:cantSplit/>
          <w:trHeight w:val="2009"/>
          <w:tblHeader/>
          <w:jc w:val="center"/>
        </w:trPr>
        <w:tc>
          <w:tcPr>
            <w:tcW w:w="817" w:type="dxa"/>
            <w:vMerge w:val="restart"/>
            <w:vAlign w:val="center"/>
            <w:hideMark/>
          </w:tcPr>
          <w:p w14:paraId="7CCEB11D" w14:textId="26C232A4" w:rsidR="00BF7AE1" w:rsidRPr="004E4C01" w:rsidRDefault="00BF7AE1" w:rsidP="00540D1C">
            <w:pPr>
              <w:pStyle w:val="Prrafodelista"/>
              <w:tabs>
                <w:tab w:val="left" w:pos="-2268"/>
              </w:tabs>
              <w:suppressAutoHyphens/>
              <w:ind w:left="0"/>
              <w:jc w:val="center"/>
              <w:rPr>
                <w:rFonts w:cs="Arial"/>
                <w:spacing w:val="-3"/>
                <w:sz w:val="20"/>
                <w:szCs w:val="18"/>
                <w:lang w:val="es-CO"/>
              </w:rPr>
            </w:pPr>
            <w:r w:rsidRPr="004E4C01">
              <w:rPr>
                <w:rFonts w:cs="Arial"/>
                <w:b/>
                <w:bCs/>
                <w:spacing w:val="-3"/>
                <w:sz w:val="20"/>
                <w:szCs w:val="18"/>
                <w:lang w:val="es-CO"/>
              </w:rPr>
              <w:t>Medio</w:t>
            </w:r>
          </w:p>
        </w:tc>
        <w:tc>
          <w:tcPr>
            <w:tcW w:w="1418" w:type="dxa"/>
            <w:vMerge w:val="restart"/>
            <w:vAlign w:val="center"/>
          </w:tcPr>
          <w:p w14:paraId="206D8DB0" w14:textId="44F93594" w:rsidR="00BF7AE1" w:rsidRPr="004E4C01" w:rsidRDefault="00BF7AE1" w:rsidP="00540D1C">
            <w:pPr>
              <w:pStyle w:val="Prrafodelista"/>
              <w:tabs>
                <w:tab w:val="left" w:pos="-2268"/>
              </w:tabs>
              <w:suppressAutoHyphens/>
              <w:ind w:left="-57" w:right="-57"/>
              <w:jc w:val="center"/>
              <w:rPr>
                <w:rFonts w:cs="Arial"/>
                <w:spacing w:val="-3"/>
                <w:sz w:val="20"/>
                <w:szCs w:val="18"/>
                <w:lang w:val="es-CO"/>
              </w:rPr>
            </w:pPr>
            <w:r w:rsidRPr="004E4C01">
              <w:rPr>
                <w:rFonts w:cs="Arial"/>
                <w:b/>
                <w:bCs/>
                <w:spacing w:val="-3"/>
                <w:sz w:val="20"/>
                <w:szCs w:val="18"/>
                <w:lang w:val="es-CO"/>
              </w:rPr>
              <w:t>Componente</w:t>
            </w:r>
          </w:p>
        </w:tc>
        <w:tc>
          <w:tcPr>
            <w:tcW w:w="1701" w:type="dxa"/>
            <w:vMerge w:val="restart"/>
            <w:vAlign w:val="center"/>
          </w:tcPr>
          <w:p w14:paraId="657CFD6B" w14:textId="4E2FBC6F" w:rsidR="00BF7AE1" w:rsidRPr="004E4C01" w:rsidRDefault="00BF7AE1" w:rsidP="00540D1C">
            <w:pPr>
              <w:pStyle w:val="Prrafodelista"/>
              <w:tabs>
                <w:tab w:val="left" w:pos="-2268"/>
              </w:tabs>
              <w:suppressAutoHyphens/>
              <w:ind w:left="0"/>
              <w:jc w:val="center"/>
              <w:rPr>
                <w:rFonts w:cs="Arial"/>
                <w:spacing w:val="-3"/>
                <w:sz w:val="20"/>
                <w:szCs w:val="18"/>
                <w:lang w:val="es-CO"/>
              </w:rPr>
            </w:pPr>
            <w:r w:rsidRPr="004E4C01">
              <w:rPr>
                <w:rFonts w:cs="Arial"/>
                <w:b/>
                <w:bCs/>
                <w:spacing w:val="-3"/>
                <w:sz w:val="20"/>
                <w:szCs w:val="18"/>
                <w:lang w:val="es-CO"/>
              </w:rPr>
              <w:t>Unidad de análisis</w:t>
            </w:r>
          </w:p>
        </w:tc>
        <w:tc>
          <w:tcPr>
            <w:tcW w:w="1559" w:type="dxa"/>
            <w:vMerge w:val="restart"/>
            <w:shd w:val="clear" w:color="auto" w:fill="DBE5F1" w:themeFill="accent1" w:themeFillTint="33"/>
            <w:vAlign w:val="center"/>
            <w:hideMark/>
          </w:tcPr>
          <w:p w14:paraId="0712EBEF" w14:textId="77777777" w:rsidR="00BF7AE1" w:rsidRPr="004E4C01" w:rsidRDefault="00BF7AE1" w:rsidP="00540D1C">
            <w:pPr>
              <w:pStyle w:val="Prrafodelista"/>
              <w:tabs>
                <w:tab w:val="left" w:pos="-2268"/>
              </w:tabs>
              <w:suppressAutoHyphens/>
              <w:ind w:left="0"/>
              <w:jc w:val="center"/>
              <w:rPr>
                <w:rFonts w:cs="Arial"/>
                <w:b/>
                <w:bCs/>
                <w:spacing w:val="-3"/>
                <w:sz w:val="20"/>
                <w:szCs w:val="18"/>
                <w:lang w:val="es-CO"/>
              </w:rPr>
            </w:pPr>
            <w:r w:rsidRPr="004E4C01">
              <w:rPr>
                <w:rFonts w:cs="Arial"/>
                <w:b/>
                <w:bCs/>
                <w:spacing w:val="-3"/>
                <w:sz w:val="20"/>
                <w:szCs w:val="18"/>
                <w:lang w:val="es-CO"/>
              </w:rPr>
              <w:t>Potencial normalizado de modificación</w:t>
            </w:r>
          </w:p>
        </w:tc>
        <w:tc>
          <w:tcPr>
            <w:tcW w:w="831" w:type="dxa"/>
            <w:shd w:val="clear" w:color="auto" w:fill="DBE5F1" w:themeFill="accent1" w:themeFillTint="33"/>
            <w:textDirection w:val="btLr"/>
            <w:vAlign w:val="center"/>
            <w:hideMark/>
          </w:tcPr>
          <w:p w14:paraId="7BF1DF2D" w14:textId="77777777" w:rsidR="00BF7AE1" w:rsidRPr="004E4C01" w:rsidRDefault="00BF7AE1" w:rsidP="00BF7AE1">
            <w:pPr>
              <w:pStyle w:val="Prrafodelista"/>
              <w:tabs>
                <w:tab w:val="left" w:pos="-2268"/>
              </w:tabs>
              <w:suppressAutoHyphens/>
              <w:ind w:left="113" w:right="113"/>
              <w:jc w:val="center"/>
              <w:rPr>
                <w:rFonts w:cs="Arial"/>
                <w:b/>
                <w:spacing w:val="-3"/>
                <w:sz w:val="18"/>
                <w:szCs w:val="18"/>
                <w:lang w:val="es-CO"/>
              </w:rPr>
            </w:pPr>
            <w:r w:rsidRPr="004E4C01">
              <w:rPr>
                <w:rFonts w:cs="Arial"/>
                <w:bCs/>
                <w:spacing w:val="-3"/>
                <w:sz w:val="16"/>
                <w:szCs w:val="16"/>
                <w:lang w:val="es-CO"/>
              </w:rPr>
              <w:t>Incremento en la concentración de arsénico</w:t>
            </w:r>
          </w:p>
        </w:tc>
        <w:tc>
          <w:tcPr>
            <w:tcW w:w="832" w:type="dxa"/>
            <w:shd w:val="clear" w:color="auto" w:fill="DBE5F1" w:themeFill="accent1" w:themeFillTint="33"/>
            <w:textDirection w:val="btLr"/>
            <w:vAlign w:val="center"/>
          </w:tcPr>
          <w:p w14:paraId="0A3C0E9E" w14:textId="66928DB4" w:rsidR="00BF7AE1" w:rsidRPr="004E4C01" w:rsidRDefault="00BF7AE1" w:rsidP="00BF7AE1">
            <w:pPr>
              <w:pStyle w:val="Prrafodelista"/>
              <w:tabs>
                <w:tab w:val="left" w:pos="-2268"/>
              </w:tabs>
              <w:suppressAutoHyphens/>
              <w:ind w:left="113" w:right="113"/>
              <w:jc w:val="center"/>
              <w:rPr>
                <w:rFonts w:cs="Arial"/>
                <w:bCs/>
                <w:spacing w:val="-3"/>
                <w:sz w:val="16"/>
                <w:szCs w:val="16"/>
                <w:lang w:val="es-CO"/>
              </w:rPr>
            </w:pPr>
            <w:r w:rsidRPr="004E4C01">
              <w:rPr>
                <w:rFonts w:cs="Arial"/>
                <w:bCs/>
                <w:spacing w:val="-3"/>
                <w:sz w:val="16"/>
                <w:szCs w:val="16"/>
                <w:lang w:val="es-CO"/>
              </w:rPr>
              <w:t>disminución de la oferta hídrica para consumo humano</w:t>
            </w:r>
          </w:p>
        </w:tc>
        <w:tc>
          <w:tcPr>
            <w:tcW w:w="831" w:type="dxa"/>
            <w:shd w:val="clear" w:color="auto" w:fill="DBE5F1" w:themeFill="accent1" w:themeFillTint="33"/>
            <w:textDirection w:val="btLr"/>
            <w:vAlign w:val="center"/>
            <w:hideMark/>
          </w:tcPr>
          <w:p w14:paraId="090BB9C3" w14:textId="7BC33102" w:rsidR="00BF7AE1" w:rsidRPr="004E4C01" w:rsidRDefault="00BF7AE1" w:rsidP="00BF7AE1">
            <w:pPr>
              <w:pStyle w:val="Prrafodelista"/>
              <w:tabs>
                <w:tab w:val="left" w:pos="-2268"/>
              </w:tabs>
              <w:suppressAutoHyphens/>
              <w:ind w:left="113" w:right="113"/>
              <w:jc w:val="center"/>
              <w:rPr>
                <w:rFonts w:cs="Arial"/>
                <w:b/>
                <w:spacing w:val="-3"/>
                <w:sz w:val="18"/>
                <w:szCs w:val="18"/>
                <w:lang w:val="es-CO"/>
              </w:rPr>
            </w:pPr>
            <w:r w:rsidRPr="004E4C01">
              <w:rPr>
                <w:rFonts w:cs="Arial"/>
                <w:bCs/>
                <w:spacing w:val="-3"/>
                <w:sz w:val="16"/>
                <w:szCs w:val="16"/>
                <w:lang w:val="es-CO"/>
              </w:rPr>
              <w:t>Incremento en la densidad aparente del suelo</w:t>
            </w:r>
          </w:p>
        </w:tc>
        <w:tc>
          <w:tcPr>
            <w:tcW w:w="832" w:type="dxa"/>
            <w:shd w:val="clear" w:color="auto" w:fill="DBE5F1" w:themeFill="accent1" w:themeFillTint="33"/>
            <w:textDirection w:val="btLr"/>
            <w:vAlign w:val="center"/>
            <w:hideMark/>
          </w:tcPr>
          <w:p w14:paraId="21E21D6C" w14:textId="77777777" w:rsidR="00BF7AE1" w:rsidRPr="004E4C01" w:rsidRDefault="00BF7AE1" w:rsidP="00BF7AE1">
            <w:pPr>
              <w:pStyle w:val="Prrafodelista"/>
              <w:tabs>
                <w:tab w:val="left" w:pos="-2268"/>
              </w:tabs>
              <w:suppressAutoHyphens/>
              <w:ind w:left="113" w:right="113"/>
              <w:jc w:val="center"/>
              <w:rPr>
                <w:rFonts w:cs="Arial"/>
                <w:b/>
                <w:spacing w:val="-3"/>
                <w:sz w:val="18"/>
                <w:szCs w:val="18"/>
                <w:lang w:val="es-CO"/>
              </w:rPr>
            </w:pPr>
            <w:r w:rsidRPr="004E4C01">
              <w:rPr>
                <w:rFonts w:cs="Arial"/>
                <w:bCs/>
                <w:spacing w:val="-3"/>
                <w:sz w:val="16"/>
                <w:szCs w:val="16"/>
                <w:lang w:val="es-CO"/>
              </w:rPr>
              <w:t>Bioacumulación de metales pesados en organismos acuáticos</w:t>
            </w:r>
          </w:p>
        </w:tc>
        <w:tc>
          <w:tcPr>
            <w:tcW w:w="832" w:type="dxa"/>
            <w:shd w:val="clear" w:color="auto" w:fill="DBE5F1" w:themeFill="accent1" w:themeFillTint="33"/>
            <w:textDirection w:val="btLr"/>
            <w:vAlign w:val="center"/>
          </w:tcPr>
          <w:p w14:paraId="7A8F78D2" w14:textId="77777777" w:rsidR="00BF7AE1" w:rsidRPr="004E4C01" w:rsidRDefault="00BF7AE1" w:rsidP="00BF7AE1">
            <w:pPr>
              <w:pStyle w:val="Prrafodelista"/>
              <w:tabs>
                <w:tab w:val="left" w:pos="-2268"/>
              </w:tabs>
              <w:suppressAutoHyphens/>
              <w:ind w:left="113" w:right="113"/>
              <w:jc w:val="center"/>
              <w:rPr>
                <w:rFonts w:cs="Arial"/>
                <w:b/>
                <w:spacing w:val="-3"/>
                <w:sz w:val="18"/>
                <w:szCs w:val="18"/>
                <w:lang w:val="es-CO"/>
              </w:rPr>
            </w:pPr>
            <w:r w:rsidRPr="004E4C01">
              <w:rPr>
                <w:rFonts w:cs="Arial"/>
                <w:bCs/>
                <w:spacing w:val="-3"/>
                <w:sz w:val="16"/>
                <w:szCs w:val="16"/>
                <w:lang w:val="es-CO"/>
              </w:rPr>
              <w:t>Disminución en la producción agropecuaria</w:t>
            </w:r>
          </w:p>
        </w:tc>
      </w:tr>
      <w:tr w:rsidR="00BF7AE1" w:rsidRPr="004E4C01" w14:paraId="6C614291" w14:textId="77777777" w:rsidTr="00031C4F">
        <w:trPr>
          <w:trHeight w:val="284"/>
          <w:tblHeader/>
          <w:jc w:val="center"/>
        </w:trPr>
        <w:tc>
          <w:tcPr>
            <w:tcW w:w="817" w:type="dxa"/>
            <w:vMerge/>
            <w:vAlign w:val="center"/>
            <w:hideMark/>
          </w:tcPr>
          <w:p w14:paraId="67111514" w14:textId="2BFD12AD" w:rsidR="00BF7AE1" w:rsidRPr="004E4C01" w:rsidRDefault="00BF7AE1" w:rsidP="00540D1C">
            <w:pPr>
              <w:pStyle w:val="Prrafodelista"/>
              <w:tabs>
                <w:tab w:val="left" w:pos="-2268"/>
              </w:tabs>
              <w:suppressAutoHyphens/>
              <w:ind w:left="0"/>
              <w:jc w:val="center"/>
              <w:rPr>
                <w:rFonts w:cs="Arial"/>
                <w:spacing w:val="-3"/>
                <w:sz w:val="20"/>
                <w:szCs w:val="18"/>
                <w:lang w:val="es-CO"/>
              </w:rPr>
            </w:pPr>
          </w:p>
        </w:tc>
        <w:tc>
          <w:tcPr>
            <w:tcW w:w="1418" w:type="dxa"/>
            <w:vMerge/>
            <w:vAlign w:val="center"/>
          </w:tcPr>
          <w:p w14:paraId="15628EA3" w14:textId="6B194F04" w:rsidR="00BF7AE1" w:rsidRPr="004E4C01" w:rsidRDefault="00BF7AE1" w:rsidP="00540D1C">
            <w:pPr>
              <w:pStyle w:val="Prrafodelista"/>
              <w:tabs>
                <w:tab w:val="left" w:pos="-2268"/>
              </w:tabs>
              <w:suppressAutoHyphens/>
              <w:ind w:left="-57" w:right="-57"/>
              <w:jc w:val="center"/>
              <w:rPr>
                <w:rFonts w:cs="Arial"/>
                <w:spacing w:val="-3"/>
                <w:sz w:val="20"/>
                <w:szCs w:val="18"/>
                <w:lang w:val="es-CO"/>
              </w:rPr>
            </w:pPr>
          </w:p>
        </w:tc>
        <w:tc>
          <w:tcPr>
            <w:tcW w:w="1701" w:type="dxa"/>
            <w:vMerge/>
            <w:vAlign w:val="center"/>
          </w:tcPr>
          <w:p w14:paraId="3FE1DFB7" w14:textId="5BE07D32" w:rsidR="00BF7AE1" w:rsidRPr="004E4C01" w:rsidRDefault="00BF7AE1" w:rsidP="00540D1C">
            <w:pPr>
              <w:pStyle w:val="Prrafodelista"/>
              <w:tabs>
                <w:tab w:val="left" w:pos="-2268"/>
              </w:tabs>
              <w:suppressAutoHyphens/>
              <w:ind w:left="0"/>
              <w:jc w:val="center"/>
              <w:rPr>
                <w:rFonts w:cs="Arial"/>
                <w:spacing w:val="-3"/>
                <w:sz w:val="20"/>
                <w:szCs w:val="18"/>
                <w:lang w:val="es-CO"/>
              </w:rPr>
            </w:pPr>
          </w:p>
        </w:tc>
        <w:tc>
          <w:tcPr>
            <w:tcW w:w="1559" w:type="dxa"/>
            <w:vMerge/>
            <w:shd w:val="clear" w:color="auto" w:fill="DBE5F1" w:themeFill="accent1" w:themeFillTint="33"/>
            <w:vAlign w:val="center"/>
            <w:hideMark/>
          </w:tcPr>
          <w:p w14:paraId="57503995" w14:textId="77777777" w:rsidR="00BF7AE1" w:rsidRPr="004E4C01" w:rsidRDefault="00BF7AE1" w:rsidP="00540D1C">
            <w:pPr>
              <w:pStyle w:val="Prrafodelista"/>
              <w:tabs>
                <w:tab w:val="left" w:pos="-2268"/>
              </w:tabs>
              <w:suppressAutoHyphens/>
              <w:ind w:left="0"/>
              <w:jc w:val="center"/>
              <w:rPr>
                <w:rFonts w:cs="Arial"/>
                <w:b/>
                <w:bCs/>
                <w:spacing w:val="-3"/>
                <w:sz w:val="20"/>
                <w:szCs w:val="18"/>
                <w:lang w:val="es-CO"/>
              </w:rPr>
            </w:pPr>
          </w:p>
        </w:tc>
        <w:tc>
          <w:tcPr>
            <w:tcW w:w="831" w:type="dxa"/>
            <w:tcBorders>
              <w:bottom w:val="single" w:sz="4" w:space="0" w:color="auto"/>
            </w:tcBorders>
            <w:shd w:val="clear" w:color="auto" w:fill="DBE5F1" w:themeFill="accent1" w:themeFillTint="33"/>
            <w:vAlign w:val="center"/>
            <w:hideMark/>
          </w:tcPr>
          <w:p w14:paraId="3BBDFB9F"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Medio</w:t>
            </w:r>
          </w:p>
        </w:tc>
        <w:tc>
          <w:tcPr>
            <w:tcW w:w="832" w:type="dxa"/>
            <w:tcBorders>
              <w:bottom w:val="single" w:sz="4" w:space="0" w:color="auto"/>
            </w:tcBorders>
            <w:shd w:val="clear" w:color="auto" w:fill="DBE5F1" w:themeFill="accent1" w:themeFillTint="33"/>
            <w:vAlign w:val="center"/>
          </w:tcPr>
          <w:p w14:paraId="31332941" w14:textId="2F8D9F69" w:rsidR="00BF7AE1" w:rsidRPr="004E4C01" w:rsidRDefault="00BF7AE1" w:rsidP="00BF7AE1">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Muy alto</w:t>
            </w:r>
          </w:p>
        </w:tc>
        <w:tc>
          <w:tcPr>
            <w:tcW w:w="831" w:type="dxa"/>
            <w:tcBorders>
              <w:bottom w:val="single" w:sz="4" w:space="0" w:color="auto"/>
            </w:tcBorders>
            <w:shd w:val="clear" w:color="auto" w:fill="DBE5F1" w:themeFill="accent1" w:themeFillTint="33"/>
            <w:vAlign w:val="center"/>
            <w:hideMark/>
          </w:tcPr>
          <w:p w14:paraId="026ACB39" w14:textId="3D0984A9"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Medio</w:t>
            </w:r>
          </w:p>
        </w:tc>
        <w:tc>
          <w:tcPr>
            <w:tcW w:w="832" w:type="dxa"/>
            <w:tcBorders>
              <w:bottom w:val="single" w:sz="4" w:space="0" w:color="auto"/>
            </w:tcBorders>
            <w:shd w:val="clear" w:color="auto" w:fill="DBE5F1" w:themeFill="accent1" w:themeFillTint="33"/>
            <w:vAlign w:val="center"/>
            <w:hideMark/>
          </w:tcPr>
          <w:p w14:paraId="5602EF9F"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Alto</w:t>
            </w:r>
          </w:p>
        </w:tc>
        <w:tc>
          <w:tcPr>
            <w:tcW w:w="832" w:type="dxa"/>
            <w:tcBorders>
              <w:bottom w:val="single" w:sz="4" w:space="0" w:color="auto"/>
            </w:tcBorders>
            <w:shd w:val="clear" w:color="auto" w:fill="DBE5F1" w:themeFill="accent1" w:themeFillTint="33"/>
            <w:vAlign w:val="center"/>
          </w:tcPr>
          <w:p w14:paraId="49AF7D28"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Alto</w:t>
            </w:r>
          </w:p>
        </w:tc>
      </w:tr>
      <w:tr w:rsidR="00BF7AE1" w:rsidRPr="004E4C01" w14:paraId="1A1E470A" w14:textId="77777777" w:rsidTr="00031C4F">
        <w:trPr>
          <w:trHeight w:val="567"/>
          <w:tblHeader/>
          <w:jc w:val="center"/>
        </w:trPr>
        <w:tc>
          <w:tcPr>
            <w:tcW w:w="817" w:type="dxa"/>
            <w:vMerge/>
            <w:noWrap/>
            <w:vAlign w:val="center"/>
            <w:hideMark/>
          </w:tcPr>
          <w:p w14:paraId="6A43A91D" w14:textId="5CE215B6" w:rsidR="00BF7AE1" w:rsidRPr="004E4C01" w:rsidRDefault="00BF7AE1" w:rsidP="00540D1C">
            <w:pPr>
              <w:pStyle w:val="Prrafodelista"/>
              <w:tabs>
                <w:tab w:val="left" w:pos="-2268"/>
              </w:tabs>
              <w:suppressAutoHyphens/>
              <w:ind w:left="0"/>
              <w:jc w:val="center"/>
              <w:rPr>
                <w:rFonts w:cs="Arial"/>
                <w:b/>
                <w:bCs/>
                <w:spacing w:val="-3"/>
                <w:sz w:val="20"/>
                <w:szCs w:val="18"/>
                <w:lang w:val="es-CO"/>
              </w:rPr>
            </w:pPr>
          </w:p>
        </w:tc>
        <w:tc>
          <w:tcPr>
            <w:tcW w:w="1418" w:type="dxa"/>
            <w:vMerge/>
            <w:vAlign w:val="center"/>
            <w:hideMark/>
          </w:tcPr>
          <w:p w14:paraId="40BBA1B7" w14:textId="5606B5B0" w:rsidR="00BF7AE1" w:rsidRPr="004E4C01" w:rsidRDefault="00BF7AE1" w:rsidP="00540D1C">
            <w:pPr>
              <w:pStyle w:val="Prrafodelista"/>
              <w:tabs>
                <w:tab w:val="left" w:pos="-2268"/>
              </w:tabs>
              <w:suppressAutoHyphens/>
              <w:ind w:left="-57" w:right="-57"/>
              <w:jc w:val="center"/>
              <w:rPr>
                <w:rFonts w:cs="Arial"/>
                <w:b/>
                <w:bCs/>
                <w:spacing w:val="-3"/>
                <w:sz w:val="20"/>
                <w:szCs w:val="18"/>
                <w:lang w:val="es-CO"/>
              </w:rPr>
            </w:pPr>
          </w:p>
        </w:tc>
        <w:tc>
          <w:tcPr>
            <w:tcW w:w="1701" w:type="dxa"/>
            <w:vMerge/>
            <w:vAlign w:val="center"/>
            <w:hideMark/>
          </w:tcPr>
          <w:p w14:paraId="7937BDB2" w14:textId="5946E2F8" w:rsidR="00BF7AE1" w:rsidRPr="004E4C01" w:rsidRDefault="00BF7AE1" w:rsidP="00540D1C">
            <w:pPr>
              <w:pStyle w:val="Prrafodelista"/>
              <w:tabs>
                <w:tab w:val="left" w:pos="-2268"/>
              </w:tabs>
              <w:suppressAutoHyphens/>
              <w:ind w:left="0"/>
              <w:jc w:val="center"/>
              <w:rPr>
                <w:rFonts w:cs="Arial"/>
                <w:b/>
                <w:bCs/>
                <w:spacing w:val="-3"/>
                <w:sz w:val="20"/>
                <w:szCs w:val="18"/>
                <w:lang w:val="es-CO"/>
              </w:rPr>
            </w:pPr>
          </w:p>
        </w:tc>
        <w:tc>
          <w:tcPr>
            <w:tcW w:w="1559" w:type="dxa"/>
            <w:shd w:val="clear" w:color="auto" w:fill="CCC0D9" w:themeFill="accent4" w:themeFillTint="66"/>
            <w:vAlign w:val="center"/>
            <w:hideMark/>
          </w:tcPr>
          <w:p w14:paraId="6A755C28" w14:textId="77777777" w:rsidR="00BF7AE1" w:rsidRPr="004E4C01" w:rsidRDefault="00BF7AE1" w:rsidP="00540D1C">
            <w:pPr>
              <w:pStyle w:val="Prrafodelista"/>
              <w:tabs>
                <w:tab w:val="left" w:pos="-2268"/>
              </w:tabs>
              <w:suppressAutoHyphens/>
              <w:ind w:left="0"/>
              <w:jc w:val="center"/>
              <w:rPr>
                <w:rFonts w:cs="Arial"/>
                <w:b/>
                <w:bCs/>
                <w:spacing w:val="-3"/>
                <w:sz w:val="20"/>
                <w:szCs w:val="18"/>
                <w:lang w:val="es-CO"/>
              </w:rPr>
            </w:pPr>
            <w:r w:rsidRPr="004E4C01">
              <w:rPr>
                <w:rFonts w:cs="Arial"/>
                <w:b/>
                <w:bCs/>
                <w:spacing w:val="-3"/>
                <w:sz w:val="20"/>
                <w:szCs w:val="18"/>
                <w:lang w:val="es-CO"/>
              </w:rPr>
              <w:t>Sensibilidad ambiental</w:t>
            </w:r>
          </w:p>
        </w:tc>
        <w:tc>
          <w:tcPr>
            <w:tcW w:w="831" w:type="dxa"/>
            <w:vAlign w:val="center"/>
            <w:hideMark/>
          </w:tcPr>
          <w:p w14:paraId="335D6C88"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45B53349"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vAlign w:val="center"/>
            <w:hideMark/>
          </w:tcPr>
          <w:p w14:paraId="22197CDE" w14:textId="12C25EA2"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hideMark/>
          </w:tcPr>
          <w:p w14:paraId="46D813DC"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hideMark/>
          </w:tcPr>
          <w:p w14:paraId="6A7EB623"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r>
      <w:tr w:rsidR="00BF7AE1" w:rsidRPr="004E4C01" w14:paraId="71A141AC" w14:textId="77777777" w:rsidTr="00BF7AE1">
        <w:trPr>
          <w:trHeight w:hRule="exact" w:val="397"/>
          <w:jc w:val="center"/>
        </w:trPr>
        <w:tc>
          <w:tcPr>
            <w:tcW w:w="817" w:type="dxa"/>
            <w:vMerge w:val="restart"/>
            <w:textDirection w:val="btLr"/>
            <w:vAlign w:val="center"/>
            <w:hideMark/>
          </w:tcPr>
          <w:p w14:paraId="6449384F" w14:textId="0733DD7D" w:rsidR="00BF7AE1" w:rsidRPr="004E4C01" w:rsidRDefault="00BF7AE1" w:rsidP="00C432AF">
            <w:pPr>
              <w:pStyle w:val="Prrafodelista"/>
              <w:tabs>
                <w:tab w:val="left" w:pos="-2268"/>
              </w:tabs>
              <w:suppressAutoHyphens/>
              <w:ind w:left="113" w:right="113"/>
              <w:jc w:val="center"/>
              <w:rPr>
                <w:rFonts w:cs="Arial"/>
                <w:b/>
                <w:bCs/>
                <w:spacing w:val="-3"/>
                <w:sz w:val="16"/>
                <w:szCs w:val="18"/>
                <w:lang w:val="es-CO"/>
              </w:rPr>
            </w:pPr>
            <w:r w:rsidRPr="004E4C01">
              <w:rPr>
                <w:rFonts w:cs="Arial"/>
                <w:b/>
                <w:bCs/>
                <w:spacing w:val="-3"/>
                <w:sz w:val="16"/>
                <w:szCs w:val="18"/>
                <w:lang w:val="es-CO"/>
              </w:rPr>
              <w:t>Abiótico</w:t>
            </w:r>
          </w:p>
          <w:p w14:paraId="680228FB" w14:textId="77777777" w:rsidR="00BF7AE1" w:rsidRPr="004E4C01" w:rsidRDefault="00BF7AE1" w:rsidP="00540D1C">
            <w:pPr>
              <w:pStyle w:val="Prrafodelista"/>
              <w:tabs>
                <w:tab w:val="left" w:pos="-2268"/>
              </w:tabs>
              <w:suppressAutoHyphens/>
              <w:ind w:left="113" w:right="113"/>
              <w:jc w:val="center"/>
              <w:rPr>
                <w:rFonts w:cs="Arial"/>
                <w:b/>
                <w:bCs/>
                <w:spacing w:val="-3"/>
                <w:sz w:val="16"/>
                <w:szCs w:val="18"/>
                <w:lang w:val="es-CO"/>
              </w:rPr>
            </w:pPr>
          </w:p>
        </w:tc>
        <w:tc>
          <w:tcPr>
            <w:tcW w:w="1418" w:type="dxa"/>
            <w:vMerge w:val="restart"/>
            <w:vAlign w:val="center"/>
            <w:hideMark/>
          </w:tcPr>
          <w:p w14:paraId="35EB0FCF"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Hidrológico</w:t>
            </w:r>
          </w:p>
        </w:tc>
        <w:tc>
          <w:tcPr>
            <w:tcW w:w="1701" w:type="dxa"/>
            <w:vAlign w:val="center"/>
            <w:hideMark/>
          </w:tcPr>
          <w:p w14:paraId="15CA3DE3"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Cuenca hidrológica A</w:t>
            </w:r>
          </w:p>
        </w:tc>
        <w:tc>
          <w:tcPr>
            <w:tcW w:w="1559" w:type="dxa"/>
            <w:shd w:val="clear" w:color="auto" w:fill="CCC0D9" w:themeFill="accent4" w:themeFillTint="66"/>
            <w:vAlign w:val="center"/>
            <w:hideMark/>
          </w:tcPr>
          <w:p w14:paraId="0AB4DE19"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Muy baja</w:t>
            </w:r>
          </w:p>
        </w:tc>
        <w:tc>
          <w:tcPr>
            <w:tcW w:w="831" w:type="dxa"/>
            <w:shd w:val="clear" w:color="auto" w:fill="92D050"/>
            <w:vAlign w:val="center"/>
            <w:hideMark/>
          </w:tcPr>
          <w:p w14:paraId="57B91423"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w:t>
            </w:r>
          </w:p>
        </w:tc>
        <w:tc>
          <w:tcPr>
            <w:tcW w:w="832" w:type="dxa"/>
            <w:shd w:val="clear" w:color="auto" w:fill="FFFF00"/>
            <w:vAlign w:val="center"/>
          </w:tcPr>
          <w:p w14:paraId="082B992B" w14:textId="67295217" w:rsidR="00BF7AE1" w:rsidRPr="004E4C01" w:rsidRDefault="00BF7AE1" w:rsidP="00BF7AE1">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AIR</w:t>
            </w:r>
          </w:p>
        </w:tc>
        <w:tc>
          <w:tcPr>
            <w:tcW w:w="831" w:type="dxa"/>
            <w:vAlign w:val="center"/>
          </w:tcPr>
          <w:p w14:paraId="72465F40" w14:textId="537D4778"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10C1009B"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hideMark/>
          </w:tcPr>
          <w:p w14:paraId="5740F26E"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r>
      <w:tr w:rsidR="00BF7AE1" w:rsidRPr="004E4C01" w14:paraId="5E184279" w14:textId="77777777" w:rsidTr="00BF7AE1">
        <w:trPr>
          <w:trHeight w:hRule="exact" w:val="397"/>
          <w:jc w:val="center"/>
        </w:trPr>
        <w:tc>
          <w:tcPr>
            <w:tcW w:w="817" w:type="dxa"/>
            <w:vMerge/>
            <w:textDirection w:val="btLr"/>
            <w:vAlign w:val="center"/>
            <w:hideMark/>
          </w:tcPr>
          <w:p w14:paraId="526149E9" w14:textId="77777777" w:rsidR="00BF7AE1" w:rsidRPr="004E4C01" w:rsidRDefault="00BF7AE1" w:rsidP="00540D1C">
            <w:pPr>
              <w:pStyle w:val="Prrafodelista"/>
              <w:tabs>
                <w:tab w:val="left" w:pos="-2268"/>
              </w:tabs>
              <w:suppressAutoHyphens/>
              <w:ind w:left="113" w:right="113"/>
              <w:jc w:val="center"/>
              <w:rPr>
                <w:rFonts w:cs="Arial"/>
                <w:b/>
                <w:bCs/>
                <w:spacing w:val="-3"/>
                <w:sz w:val="16"/>
                <w:szCs w:val="18"/>
                <w:lang w:val="es-CO"/>
              </w:rPr>
            </w:pPr>
          </w:p>
        </w:tc>
        <w:tc>
          <w:tcPr>
            <w:tcW w:w="1418" w:type="dxa"/>
            <w:vMerge/>
            <w:vAlign w:val="center"/>
            <w:hideMark/>
          </w:tcPr>
          <w:p w14:paraId="795D552B"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1701" w:type="dxa"/>
            <w:vAlign w:val="center"/>
            <w:hideMark/>
          </w:tcPr>
          <w:p w14:paraId="0C99578C"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Cuenca hidrológica B</w:t>
            </w:r>
          </w:p>
        </w:tc>
        <w:tc>
          <w:tcPr>
            <w:tcW w:w="1559" w:type="dxa"/>
            <w:shd w:val="clear" w:color="auto" w:fill="CCC0D9" w:themeFill="accent4" w:themeFillTint="66"/>
            <w:vAlign w:val="center"/>
            <w:hideMark/>
          </w:tcPr>
          <w:p w14:paraId="71C0522D"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Media</w:t>
            </w:r>
          </w:p>
        </w:tc>
        <w:tc>
          <w:tcPr>
            <w:tcW w:w="831" w:type="dxa"/>
            <w:shd w:val="clear" w:color="auto" w:fill="FFFF00"/>
            <w:vAlign w:val="center"/>
            <w:hideMark/>
          </w:tcPr>
          <w:p w14:paraId="7A1D6AA6"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AIR</w:t>
            </w:r>
          </w:p>
        </w:tc>
        <w:tc>
          <w:tcPr>
            <w:tcW w:w="832" w:type="dxa"/>
            <w:shd w:val="clear" w:color="auto" w:fill="FFFF00"/>
            <w:vAlign w:val="center"/>
          </w:tcPr>
          <w:p w14:paraId="0AAA57A3" w14:textId="2E845AE9" w:rsidR="00BF7AE1" w:rsidRPr="004E4C01" w:rsidRDefault="00BF7AE1" w:rsidP="00BF7AE1">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AIR</w:t>
            </w:r>
          </w:p>
        </w:tc>
        <w:tc>
          <w:tcPr>
            <w:tcW w:w="831" w:type="dxa"/>
            <w:vAlign w:val="center"/>
            <w:hideMark/>
          </w:tcPr>
          <w:p w14:paraId="55916E7F" w14:textId="0B9FC08B"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4748D248"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hideMark/>
          </w:tcPr>
          <w:p w14:paraId="4FB7ED52"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r>
      <w:tr w:rsidR="00BF7AE1" w:rsidRPr="004E4C01" w14:paraId="4BDD3E43" w14:textId="77777777" w:rsidTr="00BF7AE1">
        <w:trPr>
          <w:trHeight w:hRule="exact" w:val="284"/>
          <w:jc w:val="center"/>
        </w:trPr>
        <w:tc>
          <w:tcPr>
            <w:tcW w:w="817" w:type="dxa"/>
            <w:vMerge/>
            <w:textDirection w:val="btLr"/>
            <w:vAlign w:val="center"/>
            <w:hideMark/>
          </w:tcPr>
          <w:p w14:paraId="63BAF412" w14:textId="77777777" w:rsidR="00BF7AE1" w:rsidRPr="004E4C01" w:rsidRDefault="00BF7AE1" w:rsidP="00540D1C">
            <w:pPr>
              <w:pStyle w:val="Prrafodelista"/>
              <w:tabs>
                <w:tab w:val="left" w:pos="-2268"/>
              </w:tabs>
              <w:suppressAutoHyphens/>
              <w:ind w:left="113" w:right="113"/>
              <w:jc w:val="center"/>
              <w:rPr>
                <w:rFonts w:cs="Arial"/>
                <w:b/>
                <w:bCs/>
                <w:spacing w:val="-3"/>
                <w:sz w:val="16"/>
                <w:szCs w:val="18"/>
                <w:lang w:val="es-CO"/>
              </w:rPr>
            </w:pPr>
          </w:p>
        </w:tc>
        <w:tc>
          <w:tcPr>
            <w:tcW w:w="1418" w:type="dxa"/>
            <w:vMerge w:val="restart"/>
            <w:vAlign w:val="center"/>
            <w:hideMark/>
          </w:tcPr>
          <w:p w14:paraId="163247C2"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Edafológico</w:t>
            </w:r>
          </w:p>
        </w:tc>
        <w:tc>
          <w:tcPr>
            <w:tcW w:w="1701" w:type="dxa"/>
            <w:noWrap/>
            <w:vAlign w:val="center"/>
            <w:hideMark/>
          </w:tcPr>
          <w:p w14:paraId="21F7A290"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UCS 1</w:t>
            </w:r>
          </w:p>
        </w:tc>
        <w:tc>
          <w:tcPr>
            <w:tcW w:w="1559" w:type="dxa"/>
            <w:shd w:val="clear" w:color="auto" w:fill="CCC0D9" w:themeFill="accent4" w:themeFillTint="66"/>
            <w:vAlign w:val="center"/>
            <w:hideMark/>
          </w:tcPr>
          <w:p w14:paraId="342433EC"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Baja</w:t>
            </w:r>
          </w:p>
        </w:tc>
        <w:tc>
          <w:tcPr>
            <w:tcW w:w="831" w:type="dxa"/>
            <w:vAlign w:val="center"/>
          </w:tcPr>
          <w:p w14:paraId="6BE8B4C1"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03ED5788"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shd w:val="clear" w:color="auto" w:fill="92D050"/>
            <w:vAlign w:val="center"/>
            <w:hideMark/>
          </w:tcPr>
          <w:p w14:paraId="596B5004" w14:textId="43F0B21A"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w:t>
            </w:r>
          </w:p>
        </w:tc>
        <w:tc>
          <w:tcPr>
            <w:tcW w:w="832" w:type="dxa"/>
            <w:vAlign w:val="center"/>
          </w:tcPr>
          <w:p w14:paraId="04E985B2"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hideMark/>
          </w:tcPr>
          <w:p w14:paraId="0DBAA1C8"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r>
      <w:tr w:rsidR="00BF7AE1" w:rsidRPr="004E4C01" w14:paraId="267A880F" w14:textId="77777777" w:rsidTr="00BF7AE1">
        <w:trPr>
          <w:trHeight w:hRule="exact" w:val="284"/>
          <w:jc w:val="center"/>
        </w:trPr>
        <w:tc>
          <w:tcPr>
            <w:tcW w:w="817" w:type="dxa"/>
            <w:vMerge/>
            <w:textDirection w:val="btLr"/>
            <w:vAlign w:val="center"/>
            <w:hideMark/>
          </w:tcPr>
          <w:p w14:paraId="01AA6A8F" w14:textId="77777777" w:rsidR="00BF7AE1" w:rsidRPr="004E4C01" w:rsidRDefault="00BF7AE1" w:rsidP="00540D1C">
            <w:pPr>
              <w:pStyle w:val="Prrafodelista"/>
              <w:tabs>
                <w:tab w:val="left" w:pos="-2268"/>
              </w:tabs>
              <w:suppressAutoHyphens/>
              <w:ind w:left="113" w:right="113"/>
              <w:jc w:val="center"/>
              <w:rPr>
                <w:rFonts w:cs="Arial"/>
                <w:b/>
                <w:bCs/>
                <w:spacing w:val="-3"/>
                <w:sz w:val="16"/>
                <w:szCs w:val="18"/>
                <w:lang w:val="es-CO"/>
              </w:rPr>
            </w:pPr>
          </w:p>
        </w:tc>
        <w:tc>
          <w:tcPr>
            <w:tcW w:w="1418" w:type="dxa"/>
            <w:vMerge/>
            <w:vAlign w:val="center"/>
            <w:hideMark/>
          </w:tcPr>
          <w:p w14:paraId="01C697BE"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1701" w:type="dxa"/>
            <w:noWrap/>
            <w:vAlign w:val="center"/>
            <w:hideMark/>
          </w:tcPr>
          <w:p w14:paraId="3AB7F273"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UCS 14</w:t>
            </w:r>
          </w:p>
        </w:tc>
        <w:tc>
          <w:tcPr>
            <w:tcW w:w="1559" w:type="dxa"/>
            <w:shd w:val="clear" w:color="auto" w:fill="CCC0D9" w:themeFill="accent4" w:themeFillTint="66"/>
            <w:vAlign w:val="center"/>
            <w:hideMark/>
          </w:tcPr>
          <w:p w14:paraId="3DDCE683"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Media</w:t>
            </w:r>
          </w:p>
        </w:tc>
        <w:tc>
          <w:tcPr>
            <w:tcW w:w="831" w:type="dxa"/>
            <w:vAlign w:val="center"/>
          </w:tcPr>
          <w:p w14:paraId="5E83FF63"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153E141B"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shd w:val="clear" w:color="auto" w:fill="FFFF00"/>
            <w:vAlign w:val="center"/>
            <w:hideMark/>
          </w:tcPr>
          <w:p w14:paraId="08E963F7" w14:textId="4343A5D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AIR</w:t>
            </w:r>
          </w:p>
        </w:tc>
        <w:tc>
          <w:tcPr>
            <w:tcW w:w="832" w:type="dxa"/>
            <w:vAlign w:val="center"/>
            <w:hideMark/>
          </w:tcPr>
          <w:p w14:paraId="7CACBCE4"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hideMark/>
          </w:tcPr>
          <w:p w14:paraId="09D75F95"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r>
      <w:tr w:rsidR="00BF7AE1" w:rsidRPr="004E4C01" w14:paraId="513E4C16" w14:textId="77777777" w:rsidTr="00BF7AE1">
        <w:trPr>
          <w:trHeight w:hRule="exact" w:val="284"/>
          <w:jc w:val="center"/>
        </w:trPr>
        <w:tc>
          <w:tcPr>
            <w:tcW w:w="817" w:type="dxa"/>
            <w:vMerge/>
            <w:textDirection w:val="btLr"/>
            <w:vAlign w:val="center"/>
            <w:hideMark/>
          </w:tcPr>
          <w:p w14:paraId="45C27261" w14:textId="77777777" w:rsidR="00BF7AE1" w:rsidRPr="004E4C01" w:rsidRDefault="00BF7AE1" w:rsidP="00540D1C">
            <w:pPr>
              <w:pStyle w:val="Prrafodelista"/>
              <w:tabs>
                <w:tab w:val="left" w:pos="-2268"/>
              </w:tabs>
              <w:suppressAutoHyphens/>
              <w:ind w:left="113" w:right="113"/>
              <w:jc w:val="center"/>
              <w:rPr>
                <w:rFonts w:cs="Arial"/>
                <w:b/>
                <w:bCs/>
                <w:spacing w:val="-3"/>
                <w:sz w:val="16"/>
                <w:szCs w:val="18"/>
                <w:lang w:val="es-CO"/>
              </w:rPr>
            </w:pPr>
          </w:p>
        </w:tc>
        <w:tc>
          <w:tcPr>
            <w:tcW w:w="1418" w:type="dxa"/>
            <w:vMerge/>
            <w:vAlign w:val="center"/>
            <w:hideMark/>
          </w:tcPr>
          <w:p w14:paraId="4FAABF4A"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1701" w:type="dxa"/>
            <w:noWrap/>
            <w:vAlign w:val="center"/>
            <w:hideMark/>
          </w:tcPr>
          <w:p w14:paraId="647961BB"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UCS 8</w:t>
            </w:r>
          </w:p>
        </w:tc>
        <w:tc>
          <w:tcPr>
            <w:tcW w:w="1559" w:type="dxa"/>
            <w:shd w:val="clear" w:color="auto" w:fill="CCC0D9" w:themeFill="accent4" w:themeFillTint="66"/>
            <w:vAlign w:val="center"/>
            <w:hideMark/>
          </w:tcPr>
          <w:p w14:paraId="1FA739B2"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Muy alta</w:t>
            </w:r>
          </w:p>
        </w:tc>
        <w:tc>
          <w:tcPr>
            <w:tcW w:w="831" w:type="dxa"/>
            <w:vAlign w:val="center"/>
          </w:tcPr>
          <w:p w14:paraId="6D5D37AE"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5D3C3FD8"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shd w:val="clear" w:color="auto" w:fill="FFFF00"/>
            <w:vAlign w:val="center"/>
            <w:hideMark/>
          </w:tcPr>
          <w:p w14:paraId="2C2DFC22" w14:textId="099611F9"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AIR</w:t>
            </w:r>
          </w:p>
        </w:tc>
        <w:tc>
          <w:tcPr>
            <w:tcW w:w="832" w:type="dxa"/>
            <w:vAlign w:val="center"/>
            <w:hideMark/>
          </w:tcPr>
          <w:p w14:paraId="7B2E69CF"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hideMark/>
          </w:tcPr>
          <w:p w14:paraId="3E9E12A6"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r>
      <w:tr w:rsidR="00BF7AE1" w:rsidRPr="004E4C01" w14:paraId="5E789BE9" w14:textId="77777777" w:rsidTr="00BF7AE1">
        <w:trPr>
          <w:trHeight w:hRule="exact" w:val="397"/>
          <w:jc w:val="center"/>
        </w:trPr>
        <w:tc>
          <w:tcPr>
            <w:tcW w:w="817" w:type="dxa"/>
            <w:vMerge w:val="restart"/>
            <w:textDirection w:val="btLr"/>
            <w:vAlign w:val="center"/>
            <w:hideMark/>
          </w:tcPr>
          <w:p w14:paraId="45C9BE13" w14:textId="77777777" w:rsidR="00BF7AE1" w:rsidRPr="004E4C01" w:rsidRDefault="00BF7AE1" w:rsidP="00540D1C">
            <w:pPr>
              <w:pStyle w:val="Prrafodelista"/>
              <w:tabs>
                <w:tab w:val="left" w:pos="-2268"/>
              </w:tabs>
              <w:suppressAutoHyphens/>
              <w:ind w:left="113" w:right="113"/>
              <w:jc w:val="center"/>
              <w:rPr>
                <w:rFonts w:cs="Arial"/>
                <w:b/>
                <w:bCs/>
                <w:spacing w:val="-3"/>
                <w:sz w:val="16"/>
                <w:szCs w:val="18"/>
                <w:lang w:val="es-CO"/>
              </w:rPr>
            </w:pPr>
            <w:r w:rsidRPr="004E4C01">
              <w:rPr>
                <w:rFonts w:cs="Arial"/>
                <w:b/>
                <w:bCs/>
                <w:spacing w:val="-3"/>
                <w:sz w:val="16"/>
                <w:szCs w:val="18"/>
                <w:lang w:val="es-CO"/>
              </w:rPr>
              <w:t>Biótico</w:t>
            </w:r>
          </w:p>
        </w:tc>
        <w:tc>
          <w:tcPr>
            <w:tcW w:w="1418" w:type="dxa"/>
            <w:vMerge w:val="restart"/>
            <w:vAlign w:val="center"/>
            <w:hideMark/>
          </w:tcPr>
          <w:p w14:paraId="678DB00C"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Ecosistemas terrestres</w:t>
            </w:r>
          </w:p>
        </w:tc>
        <w:tc>
          <w:tcPr>
            <w:tcW w:w="1701" w:type="dxa"/>
            <w:vAlign w:val="center"/>
            <w:hideMark/>
          </w:tcPr>
          <w:p w14:paraId="41A7B1B3"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Lagunas, lagos y ciénagas naturales</w:t>
            </w:r>
          </w:p>
        </w:tc>
        <w:tc>
          <w:tcPr>
            <w:tcW w:w="1559" w:type="dxa"/>
            <w:shd w:val="clear" w:color="auto" w:fill="CCC0D9" w:themeFill="accent4" w:themeFillTint="66"/>
            <w:vAlign w:val="center"/>
            <w:hideMark/>
          </w:tcPr>
          <w:p w14:paraId="5958E4BC"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Muy Alta</w:t>
            </w:r>
          </w:p>
        </w:tc>
        <w:tc>
          <w:tcPr>
            <w:tcW w:w="831" w:type="dxa"/>
            <w:vAlign w:val="center"/>
          </w:tcPr>
          <w:p w14:paraId="424BEFCA"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6044BBC4"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vAlign w:val="center"/>
            <w:hideMark/>
          </w:tcPr>
          <w:p w14:paraId="763AFD02" w14:textId="6B6A18C2"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shd w:val="clear" w:color="auto" w:fill="FF0000"/>
            <w:vAlign w:val="center"/>
            <w:hideMark/>
          </w:tcPr>
          <w:p w14:paraId="500933C1"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AE</w:t>
            </w:r>
          </w:p>
        </w:tc>
        <w:tc>
          <w:tcPr>
            <w:tcW w:w="832" w:type="dxa"/>
            <w:vAlign w:val="center"/>
          </w:tcPr>
          <w:p w14:paraId="0C1360E3"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r>
      <w:tr w:rsidR="00BF7AE1" w:rsidRPr="004E4C01" w14:paraId="433A3588" w14:textId="77777777" w:rsidTr="00BF7AE1">
        <w:trPr>
          <w:trHeight w:hRule="exact" w:val="284"/>
          <w:jc w:val="center"/>
        </w:trPr>
        <w:tc>
          <w:tcPr>
            <w:tcW w:w="817" w:type="dxa"/>
            <w:vMerge/>
            <w:vAlign w:val="center"/>
            <w:hideMark/>
          </w:tcPr>
          <w:p w14:paraId="5402235E" w14:textId="77777777" w:rsidR="00BF7AE1" w:rsidRPr="004E4C01" w:rsidRDefault="00BF7AE1" w:rsidP="00540D1C">
            <w:pPr>
              <w:pStyle w:val="Prrafodelista"/>
              <w:tabs>
                <w:tab w:val="left" w:pos="-2268"/>
              </w:tabs>
              <w:suppressAutoHyphens/>
              <w:ind w:left="0"/>
              <w:jc w:val="center"/>
              <w:rPr>
                <w:rFonts w:cs="Arial"/>
                <w:b/>
                <w:bCs/>
                <w:spacing w:val="-3"/>
                <w:sz w:val="16"/>
                <w:szCs w:val="18"/>
                <w:lang w:val="es-CO"/>
              </w:rPr>
            </w:pPr>
          </w:p>
        </w:tc>
        <w:tc>
          <w:tcPr>
            <w:tcW w:w="1418" w:type="dxa"/>
            <w:vMerge/>
            <w:vAlign w:val="center"/>
            <w:hideMark/>
          </w:tcPr>
          <w:p w14:paraId="7113B24D"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1701" w:type="dxa"/>
            <w:vAlign w:val="center"/>
            <w:hideMark/>
          </w:tcPr>
          <w:p w14:paraId="1BAC160E"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Zonas pantanosas</w:t>
            </w:r>
          </w:p>
        </w:tc>
        <w:tc>
          <w:tcPr>
            <w:tcW w:w="1559" w:type="dxa"/>
            <w:shd w:val="clear" w:color="auto" w:fill="CCC0D9" w:themeFill="accent4" w:themeFillTint="66"/>
            <w:vAlign w:val="center"/>
            <w:hideMark/>
          </w:tcPr>
          <w:p w14:paraId="33D6E816"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Muy alta</w:t>
            </w:r>
          </w:p>
        </w:tc>
        <w:tc>
          <w:tcPr>
            <w:tcW w:w="831" w:type="dxa"/>
            <w:vAlign w:val="center"/>
          </w:tcPr>
          <w:p w14:paraId="56925507"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1A8FD540"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vAlign w:val="center"/>
            <w:hideMark/>
          </w:tcPr>
          <w:p w14:paraId="46D4E0DC" w14:textId="47E4409E"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shd w:val="clear" w:color="auto" w:fill="FF0000"/>
            <w:vAlign w:val="center"/>
            <w:hideMark/>
          </w:tcPr>
          <w:p w14:paraId="6FC3204D"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AE</w:t>
            </w:r>
          </w:p>
        </w:tc>
        <w:tc>
          <w:tcPr>
            <w:tcW w:w="832" w:type="dxa"/>
            <w:vAlign w:val="center"/>
          </w:tcPr>
          <w:p w14:paraId="2BBB15A5"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r>
      <w:tr w:rsidR="00BF7AE1" w:rsidRPr="004E4C01" w14:paraId="5A0ED716" w14:textId="77777777" w:rsidTr="00BF7AE1">
        <w:trPr>
          <w:trHeight w:hRule="exact" w:val="284"/>
          <w:jc w:val="center"/>
        </w:trPr>
        <w:tc>
          <w:tcPr>
            <w:tcW w:w="817" w:type="dxa"/>
            <w:vMerge/>
            <w:vAlign w:val="center"/>
            <w:hideMark/>
          </w:tcPr>
          <w:p w14:paraId="2B246D09" w14:textId="77777777" w:rsidR="00BF7AE1" w:rsidRPr="004E4C01" w:rsidRDefault="00BF7AE1" w:rsidP="00540D1C">
            <w:pPr>
              <w:pStyle w:val="Prrafodelista"/>
              <w:tabs>
                <w:tab w:val="left" w:pos="-2268"/>
              </w:tabs>
              <w:suppressAutoHyphens/>
              <w:ind w:left="0"/>
              <w:jc w:val="center"/>
              <w:rPr>
                <w:rFonts w:cs="Arial"/>
                <w:b/>
                <w:bCs/>
                <w:spacing w:val="-3"/>
                <w:sz w:val="16"/>
                <w:szCs w:val="18"/>
                <w:lang w:val="es-CO"/>
              </w:rPr>
            </w:pPr>
          </w:p>
        </w:tc>
        <w:tc>
          <w:tcPr>
            <w:tcW w:w="1418" w:type="dxa"/>
            <w:vMerge/>
            <w:vAlign w:val="center"/>
            <w:hideMark/>
          </w:tcPr>
          <w:p w14:paraId="2F77C8D0"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1701" w:type="dxa"/>
            <w:noWrap/>
            <w:vAlign w:val="center"/>
            <w:hideMark/>
          </w:tcPr>
          <w:p w14:paraId="215FA589"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Canal</w:t>
            </w:r>
          </w:p>
        </w:tc>
        <w:tc>
          <w:tcPr>
            <w:tcW w:w="1559" w:type="dxa"/>
            <w:shd w:val="clear" w:color="auto" w:fill="CCC0D9" w:themeFill="accent4" w:themeFillTint="66"/>
            <w:noWrap/>
            <w:vAlign w:val="center"/>
            <w:hideMark/>
          </w:tcPr>
          <w:p w14:paraId="6D5E47AB"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Baja</w:t>
            </w:r>
          </w:p>
        </w:tc>
        <w:tc>
          <w:tcPr>
            <w:tcW w:w="831" w:type="dxa"/>
            <w:vAlign w:val="center"/>
          </w:tcPr>
          <w:p w14:paraId="54F04F39"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3BC25E53"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vAlign w:val="center"/>
            <w:hideMark/>
          </w:tcPr>
          <w:p w14:paraId="221C3153" w14:textId="1AF4C8A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shd w:val="clear" w:color="auto" w:fill="FFFF00"/>
            <w:vAlign w:val="center"/>
            <w:hideMark/>
          </w:tcPr>
          <w:p w14:paraId="2E9CFB0B"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AIR</w:t>
            </w:r>
          </w:p>
        </w:tc>
        <w:tc>
          <w:tcPr>
            <w:tcW w:w="832" w:type="dxa"/>
            <w:vAlign w:val="center"/>
          </w:tcPr>
          <w:p w14:paraId="5757B02F"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r>
      <w:tr w:rsidR="00BF7AE1" w:rsidRPr="004E4C01" w14:paraId="5805FCDC" w14:textId="77777777" w:rsidTr="00BF7AE1">
        <w:trPr>
          <w:trHeight w:hRule="exact" w:val="397"/>
          <w:jc w:val="center"/>
        </w:trPr>
        <w:tc>
          <w:tcPr>
            <w:tcW w:w="817" w:type="dxa"/>
            <w:vMerge w:val="restart"/>
            <w:textDirection w:val="btLr"/>
            <w:vAlign w:val="center"/>
          </w:tcPr>
          <w:p w14:paraId="065E42EF" w14:textId="77777777" w:rsidR="00BF7AE1" w:rsidRPr="004E4C01" w:rsidRDefault="00BF7AE1" w:rsidP="00540D1C">
            <w:pPr>
              <w:pStyle w:val="Prrafodelista"/>
              <w:tabs>
                <w:tab w:val="left" w:pos="-2268"/>
              </w:tabs>
              <w:suppressAutoHyphens/>
              <w:ind w:left="113" w:right="113"/>
              <w:jc w:val="center"/>
              <w:rPr>
                <w:rFonts w:cs="Arial"/>
                <w:b/>
                <w:bCs/>
                <w:spacing w:val="-3"/>
                <w:sz w:val="16"/>
                <w:szCs w:val="18"/>
                <w:lang w:val="es-CO"/>
              </w:rPr>
            </w:pPr>
            <w:r w:rsidRPr="004E4C01">
              <w:rPr>
                <w:rFonts w:cs="Arial"/>
                <w:b/>
                <w:bCs/>
                <w:spacing w:val="-3"/>
                <w:sz w:val="16"/>
                <w:szCs w:val="18"/>
                <w:lang w:val="es-CO"/>
              </w:rPr>
              <w:t>Socioeconómico</w:t>
            </w:r>
          </w:p>
        </w:tc>
        <w:tc>
          <w:tcPr>
            <w:tcW w:w="1418" w:type="dxa"/>
            <w:vMerge w:val="restart"/>
            <w:vAlign w:val="center"/>
          </w:tcPr>
          <w:p w14:paraId="693A796D"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Económico</w:t>
            </w:r>
          </w:p>
        </w:tc>
        <w:tc>
          <w:tcPr>
            <w:tcW w:w="1701" w:type="dxa"/>
            <w:noWrap/>
            <w:vAlign w:val="center"/>
          </w:tcPr>
          <w:p w14:paraId="03514A0E"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Vereda CB</w:t>
            </w:r>
          </w:p>
        </w:tc>
        <w:tc>
          <w:tcPr>
            <w:tcW w:w="1559" w:type="dxa"/>
            <w:shd w:val="clear" w:color="auto" w:fill="CCC0D9" w:themeFill="accent4" w:themeFillTint="66"/>
            <w:noWrap/>
            <w:vAlign w:val="center"/>
          </w:tcPr>
          <w:p w14:paraId="6092AD70"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Muy alta</w:t>
            </w:r>
          </w:p>
        </w:tc>
        <w:tc>
          <w:tcPr>
            <w:tcW w:w="831" w:type="dxa"/>
            <w:vAlign w:val="center"/>
          </w:tcPr>
          <w:p w14:paraId="76147DEC"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3E7CD480"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vAlign w:val="center"/>
          </w:tcPr>
          <w:p w14:paraId="0B2FCE95" w14:textId="2AA95DB6"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4414E9BE"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shd w:val="clear" w:color="auto" w:fill="FF0000"/>
            <w:vAlign w:val="center"/>
          </w:tcPr>
          <w:p w14:paraId="71580007"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AE</w:t>
            </w:r>
          </w:p>
        </w:tc>
      </w:tr>
      <w:tr w:rsidR="00BF7AE1" w:rsidRPr="004E4C01" w14:paraId="497086F3" w14:textId="77777777" w:rsidTr="00BF7AE1">
        <w:trPr>
          <w:trHeight w:hRule="exact" w:val="397"/>
          <w:jc w:val="center"/>
        </w:trPr>
        <w:tc>
          <w:tcPr>
            <w:tcW w:w="817" w:type="dxa"/>
            <w:vMerge/>
            <w:vAlign w:val="center"/>
          </w:tcPr>
          <w:p w14:paraId="78C2688C" w14:textId="77777777" w:rsidR="00BF7AE1" w:rsidRPr="004E4C01" w:rsidRDefault="00BF7AE1" w:rsidP="00540D1C">
            <w:pPr>
              <w:pStyle w:val="Prrafodelista"/>
              <w:tabs>
                <w:tab w:val="left" w:pos="-2268"/>
              </w:tabs>
              <w:suppressAutoHyphens/>
              <w:ind w:left="0"/>
              <w:jc w:val="center"/>
              <w:rPr>
                <w:rFonts w:cs="Arial"/>
                <w:b/>
                <w:bCs/>
                <w:spacing w:val="-3"/>
                <w:sz w:val="16"/>
                <w:szCs w:val="18"/>
                <w:lang w:val="es-CO"/>
              </w:rPr>
            </w:pPr>
          </w:p>
        </w:tc>
        <w:tc>
          <w:tcPr>
            <w:tcW w:w="1418" w:type="dxa"/>
            <w:vMerge/>
            <w:vAlign w:val="center"/>
          </w:tcPr>
          <w:p w14:paraId="5531C0E3"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1701" w:type="dxa"/>
            <w:noWrap/>
            <w:vAlign w:val="center"/>
          </w:tcPr>
          <w:p w14:paraId="70C1B23B"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Vereda MC</w:t>
            </w:r>
          </w:p>
        </w:tc>
        <w:tc>
          <w:tcPr>
            <w:tcW w:w="1559" w:type="dxa"/>
            <w:shd w:val="clear" w:color="auto" w:fill="CCC0D9" w:themeFill="accent4" w:themeFillTint="66"/>
            <w:noWrap/>
            <w:vAlign w:val="center"/>
          </w:tcPr>
          <w:p w14:paraId="51DF859B"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Media</w:t>
            </w:r>
          </w:p>
        </w:tc>
        <w:tc>
          <w:tcPr>
            <w:tcW w:w="831" w:type="dxa"/>
            <w:vAlign w:val="center"/>
          </w:tcPr>
          <w:p w14:paraId="07157509"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1C986A17"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vAlign w:val="center"/>
          </w:tcPr>
          <w:p w14:paraId="5D37990F" w14:textId="55F113FB"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38F7B688"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shd w:val="clear" w:color="auto" w:fill="FFFF00"/>
            <w:vAlign w:val="center"/>
          </w:tcPr>
          <w:p w14:paraId="12225055"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AIR</w:t>
            </w:r>
          </w:p>
        </w:tc>
      </w:tr>
      <w:tr w:rsidR="00BF7AE1" w:rsidRPr="004E4C01" w14:paraId="262FCA8F" w14:textId="77777777" w:rsidTr="00BF7AE1">
        <w:trPr>
          <w:trHeight w:hRule="exact" w:val="397"/>
          <w:jc w:val="center"/>
        </w:trPr>
        <w:tc>
          <w:tcPr>
            <w:tcW w:w="817" w:type="dxa"/>
            <w:vMerge/>
            <w:vAlign w:val="center"/>
          </w:tcPr>
          <w:p w14:paraId="7CF5E959" w14:textId="77777777" w:rsidR="00BF7AE1" w:rsidRPr="004E4C01" w:rsidRDefault="00BF7AE1" w:rsidP="00540D1C">
            <w:pPr>
              <w:pStyle w:val="Prrafodelista"/>
              <w:tabs>
                <w:tab w:val="left" w:pos="-2268"/>
              </w:tabs>
              <w:suppressAutoHyphens/>
              <w:ind w:left="0"/>
              <w:jc w:val="center"/>
              <w:rPr>
                <w:rFonts w:cs="Arial"/>
                <w:b/>
                <w:bCs/>
                <w:spacing w:val="-3"/>
                <w:sz w:val="16"/>
                <w:szCs w:val="18"/>
                <w:lang w:val="es-CO"/>
              </w:rPr>
            </w:pPr>
          </w:p>
        </w:tc>
        <w:tc>
          <w:tcPr>
            <w:tcW w:w="1418" w:type="dxa"/>
            <w:vMerge/>
            <w:vAlign w:val="center"/>
          </w:tcPr>
          <w:p w14:paraId="0105E9B5"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1701" w:type="dxa"/>
            <w:noWrap/>
            <w:vAlign w:val="center"/>
          </w:tcPr>
          <w:p w14:paraId="5AE3674B"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Vereda FE</w:t>
            </w:r>
          </w:p>
        </w:tc>
        <w:tc>
          <w:tcPr>
            <w:tcW w:w="1559" w:type="dxa"/>
            <w:shd w:val="clear" w:color="auto" w:fill="CCC0D9" w:themeFill="accent4" w:themeFillTint="66"/>
            <w:noWrap/>
            <w:vAlign w:val="center"/>
          </w:tcPr>
          <w:p w14:paraId="60FE9E55"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Alta</w:t>
            </w:r>
          </w:p>
        </w:tc>
        <w:tc>
          <w:tcPr>
            <w:tcW w:w="831" w:type="dxa"/>
            <w:vAlign w:val="center"/>
          </w:tcPr>
          <w:p w14:paraId="230D1260"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65A365FB" w14:textId="77777777" w:rsidR="00BF7AE1" w:rsidRPr="004E4C01" w:rsidRDefault="00BF7AE1" w:rsidP="00BF7AE1">
            <w:pPr>
              <w:pStyle w:val="Prrafodelista"/>
              <w:tabs>
                <w:tab w:val="left" w:pos="-2268"/>
              </w:tabs>
              <w:suppressAutoHyphens/>
              <w:ind w:left="0"/>
              <w:jc w:val="center"/>
              <w:rPr>
                <w:rFonts w:cs="Arial"/>
                <w:spacing w:val="-3"/>
                <w:sz w:val="16"/>
                <w:szCs w:val="18"/>
                <w:lang w:val="es-CO"/>
              </w:rPr>
            </w:pPr>
          </w:p>
        </w:tc>
        <w:tc>
          <w:tcPr>
            <w:tcW w:w="831" w:type="dxa"/>
            <w:vAlign w:val="center"/>
          </w:tcPr>
          <w:p w14:paraId="4786AB24" w14:textId="1E2AA908"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vAlign w:val="center"/>
          </w:tcPr>
          <w:p w14:paraId="14605BBF"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p>
        </w:tc>
        <w:tc>
          <w:tcPr>
            <w:tcW w:w="832" w:type="dxa"/>
            <w:shd w:val="clear" w:color="auto" w:fill="FFFF00"/>
            <w:vAlign w:val="center"/>
          </w:tcPr>
          <w:p w14:paraId="4FAC75CB" w14:textId="77777777" w:rsidR="00BF7AE1" w:rsidRPr="004E4C01" w:rsidRDefault="00BF7AE1" w:rsidP="00540D1C">
            <w:pPr>
              <w:pStyle w:val="Prrafodelista"/>
              <w:tabs>
                <w:tab w:val="left" w:pos="-2268"/>
              </w:tabs>
              <w:suppressAutoHyphens/>
              <w:ind w:left="0"/>
              <w:jc w:val="center"/>
              <w:rPr>
                <w:rFonts w:cs="Arial"/>
                <w:spacing w:val="-3"/>
                <w:sz w:val="16"/>
                <w:szCs w:val="18"/>
                <w:lang w:val="es-CO"/>
              </w:rPr>
            </w:pPr>
            <w:r w:rsidRPr="004E4C01">
              <w:rPr>
                <w:rFonts w:cs="Arial"/>
                <w:spacing w:val="-3"/>
                <w:sz w:val="16"/>
                <w:szCs w:val="18"/>
                <w:lang w:val="es-CO"/>
              </w:rPr>
              <w:t>AIR</w:t>
            </w:r>
          </w:p>
        </w:tc>
      </w:tr>
    </w:tbl>
    <w:p w14:paraId="320E4FD5" w14:textId="77777777" w:rsidR="00B11257" w:rsidRPr="004E4C01" w:rsidRDefault="00B11257" w:rsidP="009420F5"/>
    <w:p w14:paraId="5BDC42B4" w14:textId="77777777" w:rsidR="001E32F9" w:rsidRPr="004E4C01" w:rsidRDefault="001E32F9" w:rsidP="007F1776">
      <w:pPr>
        <w:sectPr w:rsidR="001E32F9" w:rsidRPr="004E4C01" w:rsidSect="00967B56">
          <w:pgSz w:w="12242" w:h="15842" w:code="1"/>
          <w:pgMar w:top="2268" w:right="1134" w:bottom="1701" w:left="1701" w:header="1134" w:footer="850" w:gutter="0"/>
          <w:cols w:space="720"/>
          <w:docGrid w:linePitch="326"/>
        </w:sectPr>
      </w:pPr>
    </w:p>
    <w:p w14:paraId="0689071A" w14:textId="2B851DCE" w:rsidR="00CB57C1" w:rsidRPr="004E4C01" w:rsidRDefault="00112B88" w:rsidP="00127BD4">
      <w:pPr>
        <w:pStyle w:val="Descripcin"/>
      </w:pPr>
      <w:bookmarkStart w:id="11071" w:name="_Ref206080850"/>
      <w:r>
        <w:rPr>
          <w:noProof/>
        </w:rPr>
        <w:lastRenderedPageBreak/>
        <mc:AlternateContent>
          <mc:Choice Requires="wpg">
            <w:drawing>
              <wp:anchor distT="0" distB="0" distL="114300" distR="114300" simplePos="0" relativeHeight="251658249" behindDoc="0" locked="0" layoutInCell="1" allowOverlap="1" wp14:anchorId="1CF25520" wp14:editId="6D7F80CB">
                <wp:simplePos x="0" y="0"/>
                <wp:positionH relativeFrom="column">
                  <wp:posOffset>-32385</wp:posOffset>
                </wp:positionH>
                <wp:positionV relativeFrom="paragraph">
                  <wp:posOffset>147320</wp:posOffset>
                </wp:positionV>
                <wp:extent cx="8061643" cy="6137910"/>
                <wp:effectExtent l="0" t="0" r="15875" b="15240"/>
                <wp:wrapNone/>
                <wp:docPr id="1768512573" name="Grupo 406"/>
                <wp:cNvGraphicFramePr/>
                <a:graphic xmlns:a="http://schemas.openxmlformats.org/drawingml/2006/main">
                  <a:graphicData uri="http://schemas.microsoft.com/office/word/2010/wordprocessingGroup">
                    <wpg:wgp>
                      <wpg:cNvGrpSpPr/>
                      <wpg:grpSpPr>
                        <a:xfrm>
                          <a:off x="0" y="0"/>
                          <a:ext cx="8061643" cy="6137910"/>
                          <a:chOff x="0" y="0"/>
                          <a:chExt cx="8061643" cy="6137910"/>
                        </a:xfrm>
                      </wpg:grpSpPr>
                      <wpg:grpSp>
                        <wpg:cNvPr id="1275536900" name="Grupo 91">
                          <a:extLst>
                            <a:ext uri="{FF2B5EF4-FFF2-40B4-BE49-F238E27FC236}">
                              <a16:creationId xmlns:a16="http://schemas.microsoft.com/office/drawing/2014/main" id="{CB3071A1-351B-4D41-9531-9B7C11408792}"/>
                            </a:ext>
                          </a:extLst>
                        </wpg:cNvPr>
                        <wpg:cNvGrpSpPr/>
                        <wpg:grpSpPr>
                          <a:xfrm>
                            <a:off x="0" y="0"/>
                            <a:ext cx="8061643" cy="6137910"/>
                            <a:chOff x="-33338" y="0"/>
                            <a:chExt cx="8061720" cy="6138158"/>
                          </a:xfrm>
                        </wpg:grpSpPr>
                        <wps:wsp>
                          <wps:cNvPr id="421671864" name="Proceso 124">
                            <a:extLst>
                              <a:ext uri="{FF2B5EF4-FFF2-40B4-BE49-F238E27FC236}">
                                <a16:creationId xmlns:a16="http://schemas.microsoft.com/office/drawing/2014/main" id="{42387874-B5BF-C34F-9ED6-076CC3EB5641}"/>
                              </a:ext>
                            </a:extLst>
                          </wps:cNvPr>
                          <wps:cNvSpPr/>
                          <wps:spPr>
                            <a:xfrm>
                              <a:off x="0" y="22954"/>
                              <a:ext cx="8028000" cy="1507204"/>
                            </a:xfrm>
                            <a:prstGeom prst="flowChartProcess">
                              <a:avLst/>
                            </a:prstGeom>
                            <a:noFill/>
                            <a:ln w="3175">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g:grpSp>
                          <wpg:cNvPr id="720607596" name="Grupo 720607596">
                            <a:extLst>
                              <a:ext uri="{FF2B5EF4-FFF2-40B4-BE49-F238E27FC236}">
                                <a16:creationId xmlns:a16="http://schemas.microsoft.com/office/drawing/2014/main" id="{33387139-6C4E-CF56-5F80-40A0397B6258}"/>
                              </a:ext>
                            </a:extLst>
                          </wpg:cNvPr>
                          <wpg:cNvGrpSpPr>
                            <a:grpSpLocks noChangeAspect="1"/>
                          </wpg:cNvGrpSpPr>
                          <wpg:grpSpPr>
                            <a:xfrm>
                              <a:off x="203893" y="666158"/>
                              <a:ext cx="1440000" cy="720000"/>
                              <a:chOff x="203893" y="666158"/>
                              <a:chExt cx="900000" cy="450000"/>
                            </a:xfrm>
                          </wpg:grpSpPr>
                          <wps:wsp>
                            <wps:cNvPr id="146257389" name="Proceso 100">
                              <a:extLst>
                                <a:ext uri="{FF2B5EF4-FFF2-40B4-BE49-F238E27FC236}">
                                  <a16:creationId xmlns:a16="http://schemas.microsoft.com/office/drawing/2014/main" id="{9E74B87C-6D23-65AE-02DF-3D58341C9DC2}"/>
                                </a:ext>
                              </a:extLst>
                            </wps:cNvPr>
                            <wps:cNvSpPr/>
                            <wps:spPr>
                              <a:xfrm>
                                <a:off x="203893" y="891158"/>
                                <a:ext cx="225000" cy="225000"/>
                              </a:xfrm>
                              <a:prstGeom prst="flowChartProcess">
                                <a:avLst/>
                              </a:prstGeom>
                              <a:solidFill>
                                <a:srgbClr val="FF66FF">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F064E19"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63054096" name="Proceso 100">
                              <a:extLst>
                                <a:ext uri="{FF2B5EF4-FFF2-40B4-BE49-F238E27FC236}">
                                  <a16:creationId xmlns:a16="http://schemas.microsoft.com/office/drawing/2014/main" id="{C2BD1891-7835-77A6-4E9D-A1DA6B3707E2}"/>
                                </a:ext>
                              </a:extLst>
                            </wps:cNvPr>
                            <wps:cNvSpPr/>
                            <wps:spPr>
                              <a:xfrm>
                                <a:off x="428893" y="666158"/>
                                <a:ext cx="225000" cy="225000"/>
                              </a:xfrm>
                              <a:prstGeom prst="flowChartProcess">
                                <a:avLst/>
                              </a:prstGeom>
                              <a:solidFill>
                                <a:srgbClr val="660066">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FEEE555" w14:textId="77777777" w:rsidR="0081579F" w:rsidRPr="004E4C01" w:rsidRDefault="0081579F" w:rsidP="0081579F">
                                  <w:pPr>
                                    <w:jc w:val="center"/>
                                    <w:rPr>
                                      <w:rFonts w:ascii="Arial Narrow" w:hAnsi="Arial Narrow" w:cstheme="minorBidi"/>
                                      <w:color w:val="FFFFFF" w:themeColor="background1"/>
                                      <w:kern w:val="24"/>
                                      <w:sz w:val="18"/>
                                      <w:szCs w:val="18"/>
                                    </w:rPr>
                                  </w:pPr>
                                  <w:r w:rsidRPr="004E4C01">
                                    <w:rPr>
                                      <w:rFonts w:ascii="Arial Narrow" w:hAnsi="Arial Narrow" w:cstheme="minorBidi"/>
                                      <w:color w:val="FFFFFF" w:themeColor="background1"/>
                                      <w:kern w:val="24"/>
                                      <w:sz w:val="18"/>
                                      <w:szCs w:val="18"/>
                                    </w:rPr>
                                    <w:t>ma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6479768" name="Proceso 100">
                              <a:extLst>
                                <a:ext uri="{FF2B5EF4-FFF2-40B4-BE49-F238E27FC236}">
                                  <a16:creationId xmlns:a16="http://schemas.microsoft.com/office/drawing/2014/main" id="{BFA30688-4CB4-6FCA-C4BF-72AB37065E83}"/>
                                </a:ext>
                              </a:extLst>
                            </wps:cNvPr>
                            <wps:cNvSpPr/>
                            <wps:spPr>
                              <a:xfrm>
                                <a:off x="428893" y="891158"/>
                                <a:ext cx="225000" cy="225000"/>
                              </a:xfrm>
                              <a:prstGeom prst="flowChartProcess">
                                <a:avLst/>
                              </a:prstGeom>
                              <a:solidFill>
                                <a:srgbClr val="FFCCFF">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AE0B5F6"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566641" name="Proceso 100">
                              <a:extLst>
                                <a:ext uri="{FF2B5EF4-FFF2-40B4-BE49-F238E27FC236}">
                                  <a16:creationId xmlns:a16="http://schemas.microsoft.com/office/drawing/2014/main" id="{B1D6D0FA-1B8F-8E12-EDE7-BE9B78BA1CBB}"/>
                                </a:ext>
                              </a:extLst>
                            </wps:cNvPr>
                            <wps:cNvSpPr/>
                            <wps:spPr>
                              <a:xfrm>
                                <a:off x="203893" y="666158"/>
                                <a:ext cx="225000" cy="225000"/>
                              </a:xfrm>
                              <a:prstGeom prst="flowChartProcess">
                                <a:avLst/>
                              </a:prstGeom>
                              <a:solidFill>
                                <a:srgbClr val="FFFFFF">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9B16E2B"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mb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2486876" name="Proceso 100">
                              <a:extLst>
                                <a:ext uri="{FF2B5EF4-FFF2-40B4-BE49-F238E27FC236}">
                                  <a16:creationId xmlns:a16="http://schemas.microsoft.com/office/drawing/2014/main" id="{4A3F04EB-8CEC-3C4C-4063-B8537F9B7D1D}"/>
                                </a:ext>
                              </a:extLst>
                            </wps:cNvPr>
                            <wps:cNvSpPr/>
                            <wps:spPr>
                              <a:xfrm>
                                <a:off x="653893" y="891158"/>
                                <a:ext cx="225000" cy="225000"/>
                              </a:xfrm>
                              <a:prstGeom prst="flowChartProcess">
                                <a:avLst/>
                              </a:prstGeom>
                              <a:solidFill>
                                <a:srgbClr val="FFCCFF"/>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6DC2C41"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2519147" name="Proceso 100">
                              <a:extLst>
                                <a:ext uri="{FF2B5EF4-FFF2-40B4-BE49-F238E27FC236}">
                                  <a16:creationId xmlns:a16="http://schemas.microsoft.com/office/drawing/2014/main" id="{630554D5-0529-7EFC-8A5B-DDBCFA8D6E2F}"/>
                                </a:ext>
                              </a:extLst>
                            </wps:cNvPr>
                            <wps:cNvSpPr/>
                            <wps:spPr>
                              <a:xfrm>
                                <a:off x="878893" y="666158"/>
                                <a:ext cx="225000" cy="225000"/>
                              </a:xfrm>
                              <a:prstGeom prst="flowChartProcess">
                                <a:avLst/>
                              </a:prstGeom>
                              <a:solidFill>
                                <a:srgbClr val="CC00CC">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79AA223" w14:textId="77777777" w:rsidR="0081579F" w:rsidRPr="004E4C01" w:rsidRDefault="0081579F" w:rsidP="0081579F">
                                  <w:pPr>
                                    <w:jc w:val="center"/>
                                    <w:rPr>
                                      <w:rFonts w:ascii="Arial Narrow" w:hAnsi="Arial Narrow" w:cstheme="minorBidi"/>
                                      <w:color w:val="FFFFFF" w:themeColor="background1"/>
                                      <w:kern w:val="24"/>
                                      <w:sz w:val="18"/>
                                      <w:szCs w:val="18"/>
                                    </w:rPr>
                                  </w:pPr>
                                  <w:r w:rsidRPr="004E4C01">
                                    <w:rPr>
                                      <w:rFonts w:ascii="Arial Narrow" w:hAnsi="Arial Narrow" w:cstheme="minorBidi"/>
                                      <w:color w:val="FFFFFF" w:themeColor="background1"/>
                                      <w:kern w:val="24"/>
                                      <w:sz w:val="18"/>
                                      <w:szCs w:val="18"/>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77986563" name="Proceso 100">
                              <a:extLst>
                                <a:ext uri="{FF2B5EF4-FFF2-40B4-BE49-F238E27FC236}">
                                  <a16:creationId xmlns:a16="http://schemas.microsoft.com/office/drawing/2014/main" id="{26704C56-D840-C981-1EAF-2F79932A2054}"/>
                                </a:ext>
                              </a:extLst>
                            </wps:cNvPr>
                            <wps:cNvSpPr/>
                            <wps:spPr>
                              <a:xfrm>
                                <a:off x="878893" y="891158"/>
                                <a:ext cx="225000" cy="225000"/>
                              </a:xfrm>
                              <a:prstGeom prst="flowChartProcess">
                                <a:avLst/>
                              </a:prstGeom>
                              <a:solidFill>
                                <a:srgbClr val="FFFFFF">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24B018B"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mb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1989230" name="Proceso 100">
                              <a:extLst>
                                <a:ext uri="{FF2B5EF4-FFF2-40B4-BE49-F238E27FC236}">
                                  <a16:creationId xmlns:a16="http://schemas.microsoft.com/office/drawing/2014/main" id="{1EB5F2DA-4A9B-9F09-33A2-8BCCED8E8CB3}"/>
                                </a:ext>
                              </a:extLst>
                            </wps:cNvPr>
                            <wps:cNvSpPr/>
                            <wps:spPr>
                              <a:xfrm>
                                <a:off x="653893" y="666158"/>
                                <a:ext cx="225000" cy="225000"/>
                              </a:xfrm>
                              <a:prstGeom prst="flowChartProcess">
                                <a:avLst/>
                              </a:prstGeom>
                              <a:solidFill>
                                <a:srgbClr val="660066">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286E978" w14:textId="77777777" w:rsidR="0081579F" w:rsidRPr="004E4C01" w:rsidRDefault="0081579F" w:rsidP="0081579F">
                                  <w:pPr>
                                    <w:jc w:val="center"/>
                                    <w:rPr>
                                      <w:rFonts w:ascii="Arial Narrow" w:hAnsi="Arial Narrow" w:cstheme="minorBidi"/>
                                      <w:color w:val="FFFFFF" w:themeColor="background1"/>
                                      <w:kern w:val="24"/>
                                      <w:sz w:val="18"/>
                                      <w:szCs w:val="18"/>
                                    </w:rPr>
                                  </w:pPr>
                                  <w:r w:rsidRPr="004E4C01">
                                    <w:rPr>
                                      <w:rFonts w:ascii="Arial Narrow" w:hAnsi="Arial Narrow" w:cstheme="minorBidi"/>
                                      <w:color w:val="FFFFFF" w:themeColor="background1"/>
                                      <w:kern w:val="24"/>
                                      <w:sz w:val="18"/>
                                      <w:szCs w:val="18"/>
                                    </w:rPr>
                                    <w:t>ma</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1457247674" name="Grupo 1457247674">
                            <a:extLst>
                              <a:ext uri="{FF2B5EF4-FFF2-40B4-BE49-F238E27FC236}">
                                <a16:creationId xmlns:a16="http://schemas.microsoft.com/office/drawing/2014/main" id="{E711F21E-3F1E-7D52-9450-915B7B568381}"/>
                              </a:ext>
                            </a:extLst>
                          </wpg:cNvPr>
                          <wpg:cNvGrpSpPr>
                            <a:grpSpLocks noChangeAspect="1"/>
                          </wpg:cNvGrpSpPr>
                          <wpg:grpSpPr>
                            <a:xfrm>
                              <a:off x="205449" y="1818158"/>
                              <a:ext cx="1440000" cy="720000"/>
                              <a:chOff x="205449" y="1818158"/>
                              <a:chExt cx="900000" cy="450000"/>
                            </a:xfrm>
                          </wpg:grpSpPr>
                          <wps:wsp>
                            <wps:cNvPr id="2031316955" name="Proceso 100">
                              <a:extLst>
                                <a:ext uri="{FF2B5EF4-FFF2-40B4-BE49-F238E27FC236}">
                                  <a16:creationId xmlns:a16="http://schemas.microsoft.com/office/drawing/2014/main" id="{6818CF59-7E68-88BC-B4D1-866DDEA44EAB}"/>
                                </a:ext>
                              </a:extLst>
                            </wps:cNvPr>
                            <wps:cNvSpPr/>
                            <wps:spPr>
                              <a:xfrm>
                                <a:off x="205449" y="2043158"/>
                                <a:ext cx="225000" cy="225000"/>
                              </a:xfrm>
                              <a:prstGeom prst="flowChartProcess">
                                <a:avLst/>
                              </a:prstGeom>
                              <a:solidFill>
                                <a:srgbClr val="FF66FF">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CB76E5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 / 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51441675" name="Proceso 100">
                              <a:extLst>
                                <a:ext uri="{FF2B5EF4-FFF2-40B4-BE49-F238E27FC236}">
                                  <a16:creationId xmlns:a16="http://schemas.microsoft.com/office/drawing/2014/main" id="{F8BD907E-1C95-DF40-67D0-9B6EEC4F5C4B}"/>
                                </a:ext>
                              </a:extLst>
                            </wps:cNvPr>
                            <wps:cNvSpPr/>
                            <wps:spPr>
                              <a:xfrm>
                                <a:off x="430449" y="1818158"/>
                                <a:ext cx="225000" cy="225000"/>
                              </a:xfrm>
                              <a:prstGeom prst="flowChartProcess">
                                <a:avLst/>
                              </a:prstGeom>
                              <a:solidFill>
                                <a:srgbClr val="660066">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41211D3" w14:textId="77777777" w:rsidR="0081579F" w:rsidRPr="004E4C01" w:rsidRDefault="0081579F" w:rsidP="0081579F">
                                  <w:pPr>
                                    <w:jc w:val="center"/>
                                    <w:rPr>
                                      <w:rFonts w:ascii="Arial Narrow" w:hAnsi="Arial Narrow" w:cstheme="minorBidi"/>
                                      <w:color w:val="FFFFFF" w:themeColor="background1"/>
                                      <w:kern w:val="24"/>
                                      <w:sz w:val="16"/>
                                      <w:szCs w:val="16"/>
                                    </w:rPr>
                                  </w:pPr>
                                  <w:r w:rsidRPr="004E4C01">
                                    <w:rPr>
                                      <w:rFonts w:ascii="Arial Narrow" w:hAnsi="Arial Narrow" w:cstheme="minorBidi"/>
                                      <w:color w:val="FFFFFF" w:themeColor="background1"/>
                                      <w:kern w:val="24"/>
                                      <w:sz w:val="16"/>
                                      <w:szCs w:val="16"/>
                                    </w:rPr>
                                    <w:t>ma / 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07691606" name="Proceso 100">
                              <a:extLst>
                                <a:ext uri="{FF2B5EF4-FFF2-40B4-BE49-F238E27FC236}">
                                  <a16:creationId xmlns:a16="http://schemas.microsoft.com/office/drawing/2014/main" id="{020553AF-9F05-378F-F2B9-16173F11F7DE}"/>
                                </a:ext>
                              </a:extLst>
                            </wps:cNvPr>
                            <wps:cNvSpPr/>
                            <wps:spPr>
                              <a:xfrm>
                                <a:off x="430449" y="2043158"/>
                                <a:ext cx="225000" cy="225000"/>
                              </a:xfrm>
                              <a:prstGeom prst="flowChartProcess">
                                <a:avLst/>
                              </a:prstGeom>
                              <a:solidFill>
                                <a:srgbClr val="FFCCFF">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44280E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b / 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2633558" name="Proceso 100">
                              <a:extLst>
                                <a:ext uri="{FF2B5EF4-FFF2-40B4-BE49-F238E27FC236}">
                                  <a16:creationId xmlns:a16="http://schemas.microsoft.com/office/drawing/2014/main" id="{AD40F1A9-BA9D-4E5F-7820-542CDF63328A}"/>
                                </a:ext>
                              </a:extLst>
                            </wps:cNvPr>
                            <wps:cNvSpPr/>
                            <wps:spPr>
                              <a:xfrm>
                                <a:off x="205449" y="1818158"/>
                                <a:ext cx="225000" cy="225000"/>
                              </a:xfrm>
                              <a:prstGeom prst="flowChartProcess">
                                <a:avLst/>
                              </a:prstGeom>
                              <a:solidFill>
                                <a:srgbClr val="FFFFFF">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658E38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mb / 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27093240" name="Proceso 100">
                              <a:extLst>
                                <a:ext uri="{FF2B5EF4-FFF2-40B4-BE49-F238E27FC236}">
                                  <a16:creationId xmlns:a16="http://schemas.microsoft.com/office/drawing/2014/main" id="{DA678DD3-13BB-BFFD-FE2D-8F93A358C74C}"/>
                                </a:ext>
                              </a:extLst>
                            </wps:cNvPr>
                            <wps:cNvSpPr/>
                            <wps:spPr>
                              <a:xfrm>
                                <a:off x="655449" y="2043158"/>
                                <a:ext cx="225000" cy="225000"/>
                              </a:xfrm>
                              <a:prstGeom prst="flowChartProcess">
                                <a:avLst/>
                              </a:prstGeom>
                              <a:solidFill>
                                <a:srgbClr val="FFCCFF">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B1EA82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b / 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2350753" name="Proceso 100">
                              <a:extLst>
                                <a:ext uri="{FF2B5EF4-FFF2-40B4-BE49-F238E27FC236}">
                                  <a16:creationId xmlns:a16="http://schemas.microsoft.com/office/drawing/2014/main" id="{8014C321-B6C8-0F39-5174-D9B2A1E7CA5F}"/>
                                </a:ext>
                              </a:extLst>
                            </wps:cNvPr>
                            <wps:cNvSpPr/>
                            <wps:spPr>
                              <a:xfrm>
                                <a:off x="880449" y="1818158"/>
                                <a:ext cx="225000" cy="225000"/>
                              </a:xfrm>
                              <a:prstGeom prst="flowChartProcess">
                                <a:avLst/>
                              </a:prstGeom>
                              <a:solidFill>
                                <a:srgbClr val="CC00CC">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226041C" w14:textId="77777777" w:rsidR="0081579F" w:rsidRPr="004E4C01" w:rsidRDefault="0081579F" w:rsidP="0081579F">
                                  <w:pPr>
                                    <w:jc w:val="center"/>
                                    <w:rPr>
                                      <w:rFonts w:ascii="Arial Narrow" w:hAnsi="Arial Narrow" w:cstheme="minorBidi"/>
                                      <w:color w:val="FFFFFF" w:themeColor="background1"/>
                                      <w:kern w:val="24"/>
                                      <w:sz w:val="16"/>
                                      <w:szCs w:val="16"/>
                                    </w:rPr>
                                  </w:pPr>
                                  <w:r w:rsidRPr="004E4C01">
                                    <w:rPr>
                                      <w:rFonts w:ascii="Arial Narrow" w:hAnsi="Arial Narrow" w:cstheme="minorBidi"/>
                                      <w:color w:val="FFFFFF" w:themeColor="background1"/>
                                      <w:kern w:val="24"/>
                                      <w:sz w:val="16"/>
                                      <w:szCs w:val="16"/>
                                    </w:rPr>
                                    <w:t>A / 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00582973" name="Proceso 100">
                              <a:extLst>
                                <a:ext uri="{FF2B5EF4-FFF2-40B4-BE49-F238E27FC236}">
                                  <a16:creationId xmlns:a16="http://schemas.microsoft.com/office/drawing/2014/main" id="{6F436472-C0FE-2AA4-6F18-68062895C001}"/>
                                </a:ext>
                              </a:extLst>
                            </wps:cNvPr>
                            <wps:cNvSpPr/>
                            <wps:spPr>
                              <a:xfrm>
                                <a:off x="880449" y="2043158"/>
                                <a:ext cx="225000" cy="225000"/>
                              </a:xfrm>
                              <a:prstGeom prst="flowChartProcess">
                                <a:avLst/>
                              </a:prstGeom>
                              <a:solidFill>
                                <a:srgbClr val="FFFFFF">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778907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mb / MA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6436987" name="Proceso 100">
                              <a:extLst>
                                <a:ext uri="{FF2B5EF4-FFF2-40B4-BE49-F238E27FC236}">
                                  <a16:creationId xmlns:a16="http://schemas.microsoft.com/office/drawing/2014/main" id="{A7A0D993-D4F0-7C95-C8D4-683904804098}"/>
                                </a:ext>
                              </a:extLst>
                            </wps:cNvPr>
                            <wps:cNvSpPr/>
                            <wps:spPr>
                              <a:xfrm>
                                <a:off x="655449" y="1818158"/>
                                <a:ext cx="225000" cy="225000"/>
                              </a:xfrm>
                              <a:prstGeom prst="flowChartProcess">
                                <a:avLst/>
                              </a:prstGeom>
                              <a:solidFill>
                                <a:srgbClr val="660066">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74C284F" w14:textId="77777777" w:rsidR="0081579F" w:rsidRPr="004E4C01" w:rsidRDefault="0081579F" w:rsidP="0081579F">
                                  <w:pPr>
                                    <w:jc w:val="center"/>
                                    <w:rPr>
                                      <w:rFonts w:ascii="Arial Narrow" w:hAnsi="Arial Narrow" w:cstheme="minorBidi"/>
                                      <w:color w:val="FFFFFF" w:themeColor="background1"/>
                                      <w:kern w:val="24"/>
                                      <w:sz w:val="16"/>
                                      <w:szCs w:val="16"/>
                                    </w:rPr>
                                  </w:pPr>
                                  <w:r w:rsidRPr="004E4C01">
                                    <w:rPr>
                                      <w:rFonts w:ascii="Arial Narrow" w:hAnsi="Arial Narrow" w:cstheme="minorBidi"/>
                                      <w:color w:val="FFFFFF" w:themeColor="background1"/>
                                      <w:kern w:val="24"/>
                                      <w:sz w:val="16"/>
                                      <w:szCs w:val="16"/>
                                    </w:rPr>
                                    <w:t>Ma / M</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891277090" name="Grupo 891277090">
                            <a:extLst>
                              <a:ext uri="{FF2B5EF4-FFF2-40B4-BE49-F238E27FC236}">
                                <a16:creationId xmlns:a16="http://schemas.microsoft.com/office/drawing/2014/main" id="{22535738-0286-97D7-7507-9333CD3EEAA4}"/>
                              </a:ext>
                            </a:extLst>
                          </wpg:cNvPr>
                          <wpg:cNvGrpSpPr>
                            <a:grpSpLocks noChangeAspect="1"/>
                          </wpg:cNvGrpSpPr>
                          <wpg:grpSpPr>
                            <a:xfrm>
                              <a:off x="3300502" y="666158"/>
                              <a:ext cx="1440000" cy="720000"/>
                              <a:chOff x="3300502" y="666158"/>
                              <a:chExt cx="900000" cy="450000"/>
                            </a:xfrm>
                            <a:solidFill>
                              <a:schemeClr val="bg1"/>
                            </a:solidFill>
                          </wpg:grpSpPr>
                          <wps:wsp>
                            <wps:cNvPr id="1157193128" name="Proceso 100">
                              <a:extLst>
                                <a:ext uri="{FF2B5EF4-FFF2-40B4-BE49-F238E27FC236}">
                                  <a16:creationId xmlns:a16="http://schemas.microsoft.com/office/drawing/2014/main" id="{BE37BE64-0DA0-9639-FAF0-F8F59AD2C0B8}"/>
                                </a:ext>
                              </a:extLst>
                            </wps:cNvPr>
                            <wps:cNvSpPr/>
                            <wps:spPr>
                              <a:xfrm>
                                <a:off x="3975502" y="666158"/>
                                <a:ext cx="225000" cy="225000"/>
                              </a:xfrm>
                              <a:prstGeom prst="flowChartProcess">
                                <a:avLst/>
                              </a:prstGeom>
                              <a:grp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FB3462D"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76562585" name="Proceso 100">
                              <a:extLst>
                                <a:ext uri="{FF2B5EF4-FFF2-40B4-BE49-F238E27FC236}">
                                  <a16:creationId xmlns:a16="http://schemas.microsoft.com/office/drawing/2014/main" id="{6CFDE007-E76B-B1FC-EB02-68F341A47B60}"/>
                                </a:ext>
                              </a:extLst>
                            </wps:cNvPr>
                            <wps:cNvSpPr/>
                            <wps:spPr>
                              <a:xfrm>
                                <a:off x="3300502" y="891158"/>
                                <a:ext cx="225000" cy="225000"/>
                              </a:xfrm>
                              <a:prstGeom prst="flowChartProcess">
                                <a:avLst/>
                              </a:prstGeom>
                              <a:grp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B980057"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6509470" name="Proceso 100">
                              <a:extLst>
                                <a:ext uri="{FF2B5EF4-FFF2-40B4-BE49-F238E27FC236}">
                                  <a16:creationId xmlns:a16="http://schemas.microsoft.com/office/drawing/2014/main" id="{9846B16F-2301-21C1-D11A-53F899B0B362}"/>
                                </a:ext>
                              </a:extLst>
                            </wps:cNvPr>
                            <wps:cNvSpPr/>
                            <wps:spPr>
                              <a:xfrm>
                                <a:off x="3525502" y="666158"/>
                                <a:ext cx="225000" cy="225000"/>
                              </a:xfrm>
                              <a:prstGeom prst="flowChartProcess">
                                <a:avLst/>
                              </a:prstGeom>
                              <a:grp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151FB32"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7526948" name="Proceso 100">
                              <a:extLst>
                                <a:ext uri="{FF2B5EF4-FFF2-40B4-BE49-F238E27FC236}">
                                  <a16:creationId xmlns:a16="http://schemas.microsoft.com/office/drawing/2014/main" id="{A6E7EA78-2811-CBB3-DC91-0217D941FD70}"/>
                                </a:ext>
                              </a:extLst>
                            </wps:cNvPr>
                            <wps:cNvSpPr/>
                            <wps:spPr>
                              <a:xfrm>
                                <a:off x="3525502" y="891158"/>
                                <a:ext cx="225000" cy="225000"/>
                              </a:xfrm>
                              <a:prstGeom prst="flowChartProcess">
                                <a:avLst/>
                              </a:prstGeom>
                              <a:grp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11E9516"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13433258" name="Proceso 100">
                              <a:extLst>
                                <a:ext uri="{FF2B5EF4-FFF2-40B4-BE49-F238E27FC236}">
                                  <a16:creationId xmlns:a16="http://schemas.microsoft.com/office/drawing/2014/main" id="{B3F211FA-B9D5-8FF2-801A-BAC420BD9BE7}"/>
                                </a:ext>
                              </a:extLst>
                            </wps:cNvPr>
                            <wps:cNvSpPr/>
                            <wps:spPr>
                              <a:xfrm>
                                <a:off x="3300502" y="666158"/>
                                <a:ext cx="225000" cy="225000"/>
                              </a:xfrm>
                              <a:prstGeom prst="flowChartProcess">
                                <a:avLst/>
                              </a:prstGeom>
                              <a:grp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D4A6ACC"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51231014" name="Proceso 100">
                              <a:extLst>
                                <a:ext uri="{FF2B5EF4-FFF2-40B4-BE49-F238E27FC236}">
                                  <a16:creationId xmlns:a16="http://schemas.microsoft.com/office/drawing/2014/main" id="{7509FC87-066E-7071-004B-E781DD5F4346}"/>
                                </a:ext>
                              </a:extLst>
                            </wps:cNvPr>
                            <wps:cNvSpPr/>
                            <wps:spPr>
                              <a:xfrm>
                                <a:off x="3750502" y="891158"/>
                                <a:ext cx="225000" cy="225000"/>
                              </a:xfrm>
                              <a:prstGeom prst="flowChartProcess">
                                <a:avLst/>
                              </a:prstGeom>
                              <a:grp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AEFED0C"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8837980" name="Proceso 100">
                              <a:extLst>
                                <a:ext uri="{FF2B5EF4-FFF2-40B4-BE49-F238E27FC236}">
                                  <a16:creationId xmlns:a16="http://schemas.microsoft.com/office/drawing/2014/main" id="{72BF5159-51CD-40DF-37FC-9B72F6CA88C0}"/>
                                </a:ext>
                              </a:extLst>
                            </wps:cNvPr>
                            <wps:cNvSpPr/>
                            <wps:spPr>
                              <a:xfrm>
                                <a:off x="3975502" y="891158"/>
                                <a:ext cx="225000" cy="225000"/>
                              </a:xfrm>
                              <a:prstGeom prst="flowChartProcess">
                                <a:avLst/>
                              </a:prstGeom>
                              <a:grp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165D681"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MA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34480901" name="Proceso 100">
                              <a:extLst>
                                <a:ext uri="{FF2B5EF4-FFF2-40B4-BE49-F238E27FC236}">
                                  <a16:creationId xmlns:a16="http://schemas.microsoft.com/office/drawing/2014/main" id="{3C440F84-9993-AEE6-17CA-64BE84944A79}"/>
                                </a:ext>
                              </a:extLst>
                            </wps:cNvPr>
                            <wps:cNvSpPr/>
                            <wps:spPr>
                              <a:xfrm>
                                <a:off x="3750502" y="666158"/>
                                <a:ext cx="225000" cy="225000"/>
                              </a:xfrm>
                              <a:prstGeom prst="flowChartProcess">
                                <a:avLst/>
                              </a:prstGeom>
                              <a:grp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AE2D122"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M</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352321131" name="Grupo 352321131">
                            <a:extLst>
                              <a:ext uri="{FF2B5EF4-FFF2-40B4-BE49-F238E27FC236}">
                                <a16:creationId xmlns:a16="http://schemas.microsoft.com/office/drawing/2014/main" id="{ED396775-1EFD-4E2A-536C-8D4BEDD5BF6D}"/>
                              </a:ext>
                            </a:extLst>
                          </wpg:cNvPr>
                          <wpg:cNvGrpSpPr>
                            <a:grpSpLocks noChangeAspect="1"/>
                          </wpg:cNvGrpSpPr>
                          <wpg:grpSpPr>
                            <a:xfrm>
                              <a:off x="205449" y="2970158"/>
                              <a:ext cx="1440000" cy="720000"/>
                              <a:chOff x="205449" y="2970158"/>
                              <a:chExt cx="900000" cy="450000"/>
                            </a:xfrm>
                          </wpg:grpSpPr>
                          <wps:wsp>
                            <wps:cNvPr id="622672393" name="Proceso 100">
                              <a:extLst>
                                <a:ext uri="{FF2B5EF4-FFF2-40B4-BE49-F238E27FC236}">
                                  <a16:creationId xmlns:a16="http://schemas.microsoft.com/office/drawing/2014/main" id="{7D09DA7A-539F-32BB-75D7-04C9EE98D0F3}"/>
                                </a:ext>
                              </a:extLst>
                            </wps:cNvPr>
                            <wps:cNvSpPr/>
                            <wps:spPr>
                              <a:xfrm>
                                <a:off x="205449" y="3195158"/>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A7DB6A8"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 / B</w:t>
                                  </w:r>
                                </w:p>
                                <w:p w14:paraId="03D51271"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20313080"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1524127" name="Proceso 100">
                              <a:extLst>
                                <a:ext uri="{FF2B5EF4-FFF2-40B4-BE49-F238E27FC236}">
                                  <a16:creationId xmlns:a16="http://schemas.microsoft.com/office/drawing/2014/main" id="{87F82104-4B14-0225-7DCC-92BCA13C04BB}"/>
                                </a:ext>
                              </a:extLst>
                            </wps:cNvPr>
                            <wps:cNvSpPr/>
                            <wps:spPr>
                              <a:xfrm>
                                <a:off x="430449" y="2970158"/>
                                <a:ext cx="225000" cy="225000"/>
                              </a:xfrm>
                              <a:prstGeom prst="flowChartProcess">
                                <a:avLst/>
                              </a:prstGeom>
                              <a:solidFill>
                                <a:srgbClr val="FF00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A1E61D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ma / A</w:t>
                                  </w:r>
                                </w:p>
                                <w:p w14:paraId="1A9D1A1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17FE2CF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22448649" name="Proceso 100">
                              <a:extLst>
                                <a:ext uri="{FF2B5EF4-FFF2-40B4-BE49-F238E27FC236}">
                                  <a16:creationId xmlns:a16="http://schemas.microsoft.com/office/drawing/2014/main" id="{4D861128-B2C1-CAB4-EC00-EC067A72C62D}"/>
                                </a:ext>
                              </a:extLst>
                            </wps:cNvPr>
                            <wps:cNvSpPr/>
                            <wps:spPr>
                              <a:xfrm>
                                <a:off x="430449" y="3195158"/>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D10907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b / A</w:t>
                                  </w:r>
                                </w:p>
                                <w:p w14:paraId="4F832C07"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763CD99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1337043" name="Proceso 100">
                              <a:extLst>
                                <a:ext uri="{FF2B5EF4-FFF2-40B4-BE49-F238E27FC236}">
                                  <a16:creationId xmlns:a16="http://schemas.microsoft.com/office/drawing/2014/main" id="{DDC75CA0-517A-3165-A50D-28082FB69BC5}"/>
                                </a:ext>
                              </a:extLst>
                            </wps:cNvPr>
                            <wps:cNvSpPr/>
                            <wps:spPr>
                              <a:xfrm>
                                <a:off x="205449" y="2970158"/>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7754A68"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mb / M</w:t>
                                  </w:r>
                                </w:p>
                                <w:p w14:paraId="09B440B1"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63226FA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56327107" name="Proceso 100">
                              <a:extLst>
                                <a:ext uri="{FF2B5EF4-FFF2-40B4-BE49-F238E27FC236}">
                                  <a16:creationId xmlns:a16="http://schemas.microsoft.com/office/drawing/2014/main" id="{3AB44AA4-B1FE-9132-7E35-8F19C06ECBDC}"/>
                                </a:ext>
                              </a:extLst>
                            </wps:cNvPr>
                            <wps:cNvSpPr/>
                            <wps:spPr>
                              <a:xfrm>
                                <a:off x="655449" y="3195158"/>
                                <a:ext cx="225000" cy="225000"/>
                              </a:xfrm>
                              <a:prstGeom prst="flowChartProcess">
                                <a:avLst/>
                              </a:prstGeom>
                              <a:solidFill>
                                <a:srgbClr val="92D050"/>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B228A6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b / M</w:t>
                                  </w:r>
                                </w:p>
                                <w:p w14:paraId="37253DE2"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2AC3C91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41969589" name="Proceso 100">
                              <a:extLst>
                                <a:ext uri="{FF2B5EF4-FFF2-40B4-BE49-F238E27FC236}">
                                  <a16:creationId xmlns:a16="http://schemas.microsoft.com/office/drawing/2014/main" id="{C53D1D69-AFDA-7E02-D2A1-398DA1EE8D9A}"/>
                                </a:ext>
                              </a:extLst>
                            </wps:cNvPr>
                            <wps:cNvSpPr/>
                            <wps:spPr>
                              <a:xfrm>
                                <a:off x="880449" y="2970158"/>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407385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 / A</w:t>
                                  </w:r>
                                </w:p>
                                <w:p w14:paraId="14098DD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4D9447D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27244022" name="Proceso 100">
                              <a:extLst>
                                <a:ext uri="{FF2B5EF4-FFF2-40B4-BE49-F238E27FC236}">
                                  <a16:creationId xmlns:a16="http://schemas.microsoft.com/office/drawing/2014/main" id="{5F41ED5C-7FDC-AA17-FD8D-928C530B7B65}"/>
                                </a:ext>
                              </a:extLst>
                            </wps:cNvPr>
                            <wps:cNvSpPr/>
                            <wps:spPr>
                              <a:xfrm>
                                <a:off x="880449" y="3195158"/>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C94631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mb / MA</w:t>
                                  </w:r>
                                </w:p>
                                <w:p w14:paraId="73AB13D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05261EAB"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50495437" name="Proceso 100">
                              <a:extLst>
                                <a:ext uri="{FF2B5EF4-FFF2-40B4-BE49-F238E27FC236}">
                                  <a16:creationId xmlns:a16="http://schemas.microsoft.com/office/drawing/2014/main" id="{FD74C59D-DB74-12DB-ED21-D7BEEAE4D079}"/>
                                </a:ext>
                              </a:extLst>
                            </wps:cNvPr>
                            <wps:cNvSpPr/>
                            <wps:spPr>
                              <a:xfrm>
                                <a:off x="655449" y="2970158"/>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27332B5"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ma / M</w:t>
                                  </w:r>
                                </w:p>
                                <w:p w14:paraId="386D0027"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48ABAD10"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547533123" name="Grupo 547533123">
                            <a:extLst>
                              <a:ext uri="{FF2B5EF4-FFF2-40B4-BE49-F238E27FC236}">
                                <a16:creationId xmlns:a16="http://schemas.microsoft.com/office/drawing/2014/main" id="{35669DBF-0857-0C99-2143-0E0982417460}"/>
                              </a:ext>
                            </a:extLst>
                          </wpg:cNvPr>
                          <wpg:cNvGrpSpPr>
                            <a:grpSpLocks noChangeAspect="1"/>
                          </wpg:cNvGrpSpPr>
                          <wpg:grpSpPr>
                            <a:xfrm>
                              <a:off x="205449" y="4032066"/>
                              <a:ext cx="1440000" cy="720000"/>
                              <a:chOff x="205449" y="4032066"/>
                              <a:chExt cx="900000" cy="450000"/>
                            </a:xfrm>
                          </wpg:grpSpPr>
                          <wps:wsp>
                            <wps:cNvPr id="1449220913" name="Proceso 100">
                              <a:extLst>
                                <a:ext uri="{FF2B5EF4-FFF2-40B4-BE49-F238E27FC236}">
                                  <a16:creationId xmlns:a16="http://schemas.microsoft.com/office/drawing/2014/main" id="{8D198153-F775-EA9A-0756-1FB0485E1351}"/>
                                </a:ext>
                              </a:extLst>
                            </wps:cNvPr>
                            <wps:cNvSpPr/>
                            <wps:spPr>
                              <a:xfrm>
                                <a:off x="205449" y="4257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D1B10E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24097127" name="Proceso 100">
                              <a:extLst>
                                <a:ext uri="{FF2B5EF4-FFF2-40B4-BE49-F238E27FC236}">
                                  <a16:creationId xmlns:a16="http://schemas.microsoft.com/office/drawing/2014/main" id="{39FED8F6-77FA-50C4-20C5-35C6982FC312}"/>
                                </a:ext>
                              </a:extLst>
                            </wps:cNvPr>
                            <wps:cNvSpPr/>
                            <wps:spPr>
                              <a:xfrm>
                                <a:off x="430449" y="4032066"/>
                                <a:ext cx="225000" cy="225000"/>
                              </a:xfrm>
                              <a:prstGeom prst="flowChartProcess">
                                <a:avLst/>
                              </a:prstGeom>
                              <a:solidFill>
                                <a:srgbClr val="FF00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2657DAA"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71393653" name="Proceso 100">
                              <a:extLst>
                                <a:ext uri="{FF2B5EF4-FFF2-40B4-BE49-F238E27FC236}">
                                  <a16:creationId xmlns:a16="http://schemas.microsoft.com/office/drawing/2014/main" id="{802284A9-21A5-C85C-DD14-A103B997B181}"/>
                                </a:ext>
                              </a:extLst>
                            </wps:cNvPr>
                            <wps:cNvSpPr/>
                            <wps:spPr>
                              <a:xfrm>
                                <a:off x="430449" y="4257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A929855"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4778172" name="Proceso 100">
                              <a:extLst>
                                <a:ext uri="{FF2B5EF4-FFF2-40B4-BE49-F238E27FC236}">
                                  <a16:creationId xmlns:a16="http://schemas.microsoft.com/office/drawing/2014/main" id="{FB561B36-0A03-BC3C-C308-5C64417AE347}"/>
                                </a:ext>
                              </a:extLst>
                            </wps:cNvPr>
                            <wps:cNvSpPr/>
                            <wps:spPr>
                              <a:xfrm>
                                <a:off x="205449" y="4032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4EAC9D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5166878" name="Proceso 100">
                              <a:extLst>
                                <a:ext uri="{FF2B5EF4-FFF2-40B4-BE49-F238E27FC236}">
                                  <a16:creationId xmlns:a16="http://schemas.microsoft.com/office/drawing/2014/main" id="{E45FD6BE-867B-0D13-47C2-072E67990109}"/>
                                </a:ext>
                              </a:extLst>
                            </wps:cNvPr>
                            <wps:cNvSpPr/>
                            <wps:spPr>
                              <a:xfrm>
                                <a:off x="655449" y="4257066"/>
                                <a:ext cx="225000" cy="225000"/>
                              </a:xfrm>
                              <a:prstGeom prst="flowChartProcess">
                                <a:avLst/>
                              </a:prstGeom>
                              <a:solidFill>
                                <a:srgbClr val="92D050"/>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E4E62EB"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08454837" name="Proceso 100">
                              <a:extLst>
                                <a:ext uri="{FF2B5EF4-FFF2-40B4-BE49-F238E27FC236}">
                                  <a16:creationId xmlns:a16="http://schemas.microsoft.com/office/drawing/2014/main" id="{51031CD9-8FE4-DB19-1766-0ED8B0DE58B4}"/>
                                </a:ext>
                              </a:extLst>
                            </wps:cNvPr>
                            <wps:cNvSpPr/>
                            <wps:spPr>
                              <a:xfrm>
                                <a:off x="880449" y="4032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035D07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0534349" name="Proceso 100">
                              <a:extLst>
                                <a:ext uri="{FF2B5EF4-FFF2-40B4-BE49-F238E27FC236}">
                                  <a16:creationId xmlns:a16="http://schemas.microsoft.com/office/drawing/2014/main" id="{304E3808-108E-69BD-B2E2-A56A626FF967}"/>
                                </a:ext>
                              </a:extLst>
                            </wps:cNvPr>
                            <wps:cNvSpPr/>
                            <wps:spPr>
                              <a:xfrm>
                                <a:off x="880449" y="4257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B8AA80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1614909" name="Proceso 100">
                              <a:extLst>
                                <a:ext uri="{FF2B5EF4-FFF2-40B4-BE49-F238E27FC236}">
                                  <a16:creationId xmlns:a16="http://schemas.microsoft.com/office/drawing/2014/main" id="{7B60E9C0-E6C1-9A94-AC72-80BA699AF72E}"/>
                                </a:ext>
                              </a:extLst>
                            </wps:cNvPr>
                            <wps:cNvSpPr/>
                            <wps:spPr>
                              <a:xfrm>
                                <a:off x="655449" y="4032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15C6BE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80348285" name="Grupo 280348285">
                            <a:extLst>
                              <a:ext uri="{FF2B5EF4-FFF2-40B4-BE49-F238E27FC236}">
                                <a16:creationId xmlns:a16="http://schemas.microsoft.com/office/drawing/2014/main" id="{AD075E09-193C-76D2-B8E3-22C0893C7C0F}"/>
                              </a:ext>
                            </a:extLst>
                          </wpg:cNvPr>
                          <wpg:cNvGrpSpPr>
                            <a:grpSpLocks noChangeAspect="1"/>
                          </wpg:cNvGrpSpPr>
                          <wpg:grpSpPr>
                            <a:xfrm>
                              <a:off x="1751893" y="4032066"/>
                              <a:ext cx="1440000" cy="720000"/>
                              <a:chOff x="1751893" y="4032066"/>
                              <a:chExt cx="900000" cy="450000"/>
                            </a:xfrm>
                          </wpg:grpSpPr>
                          <wps:wsp>
                            <wps:cNvPr id="1606490040" name="Proceso 100">
                              <a:extLst>
                                <a:ext uri="{FF2B5EF4-FFF2-40B4-BE49-F238E27FC236}">
                                  <a16:creationId xmlns:a16="http://schemas.microsoft.com/office/drawing/2014/main" id="{368CE5B2-E1F9-6E63-A831-E96FBA8E4063}"/>
                                </a:ext>
                              </a:extLst>
                            </wps:cNvPr>
                            <wps:cNvSpPr/>
                            <wps:spPr>
                              <a:xfrm>
                                <a:off x="1751893" y="4257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1A5786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0106802" name="Proceso 100">
                              <a:extLst>
                                <a:ext uri="{FF2B5EF4-FFF2-40B4-BE49-F238E27FC236}">
                                  <a16:creationId xmlns:a16="http://schemas.microsoft.com/office/drawing/2014/main" id="{E68B39D9-93E7-BAD8-30F7-0FCA300E6EB4}"/>
                                </a:ext>
                              </a:extLst>
                            </wps:cNvPr>
                            <wps:cNvSpPr/>
                            <wps:spPr>
                              <a:xfrm>
                                <a:off x="1976893" y="4032066"/>
                                <a:ext cx="225000" cy="225000"/>
                              </a:xfrm>
                              <a:prstGeom prst="flowChartProcess">
                                <a:avLst/>
                              </a:prstGeom>
                              <a:solidFill>
                                <a:srgbClr val="FF00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409EE2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1488084" name="Proceso 100">
                              <a:extLst>
                                <a:ext uri="{FF2B5EF4-FFF2-40B4-BE49-F238E27FC236}">
                                  <a16:creationId xmlns:a16="http://schemas.microsoft.com/office/drawing/2014/main" id="{6E3B70CB-F703-FA4F-DCDC-E7DE89AAC58E}"/>
                                </a:ext>
                              </a:extLst>
                            </wps:cNvPr>
                            <wps:cNvSpPr/>
                            <wps:spPr>
                              <a:xfrm>
                                <a:off x="1976893" y="4257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C030280"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13691487" name="Proceso 100">
                              <a:extLst>
                                <a:ext uri="{FF2B5EF4-FFF2-40B4-BE49-F238E27FC236}">
                                  <a16:creationId xmlns:a16="http://schemas.microsoft.com/office/drawing/2014/main" id="{087E5BB1-4D60-BFB0-C07E-F59C9850A8A1}"/>
                                </a:ext>
                              </a:extLst>
                            </wps:cNvPr>
                            <wps:cNvSpPr/>
                            <wps:spPr>
                              <a:xfrm>
                                <a:off x="1751893" y="4032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A83AD5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67900283" name="Proceso 100">
                              <a:extLst>
                                <a:ext uri="{FF2B5EF4-FFF2-40B4-BE49-F238E27FC236}">
                                  <a16:creationId xmlns:a16="http://schemas.microsoft.com/office/drawing/2014/main" id="{715DED9E-7224-1E2D-5612-176D9852F80B}"/>
                                </a:ext>
                              </a:extLst>
                            </wps:cNvPr>
                            <wps:cNvSpPr/>
                            <wps:spPr>
                              <a:xfrm>
                                <a:off x="2201893" y="4257066"/>
                                <a:ext cx="225000" cy="225000"/>
                              </a:xfrm>
                              <a:prstGeom prst="flowChartProcess">
                                <a:avLst/>
                              </a:prstGeom>
                              <a:solidFill>
                                <a:srgbClr val="92D050"/>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89E797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65849572" name="Proceso 100">
                              <a:extLst>
                                <a:ext uri="{FF2B5EF4-FFF2-40B4-BE49-F238E27FC236}">
                                  <a16:creationId xmlns:a16="http://schemas.microsoft.com/office/drawing/2014/main" id="{8625ACC6-CD3D-2032-A85B-DDA56962450F}"/>
                                </a:ext>
                              </a:extLst>
                            </wps:cNvPr>
                            <wps:cNvSpPr/>
                            <wps:spPr>
                              <a:xfrm>
                                <a:off x="2426893" y="4032066"/>
                                <a:ext cx="225000" cy="225000"/>
                              </a:xfrm>
                              <a:prstGeom prst="flowChartProcess">
                                <a:avLst/>
                              </a:prstGeom>
                              <a:solidFill>
                                <a:srgbClr val="FF00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2A78CC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82427313" name="Proceso 100">
                              <a:extLst>
                                <a:ext uri="{FF2B5EF4-FFF2-40B4-BE49-F238E27FC236}">
                                  <a16:creationId xmlns:a16="http://schemas.microsoft.com/office/drawing/2014/main" id="{47931CA0-E431-2932-DCBE-F320F6E5C16A}"/>
                                </a:ext>
                              </a:extLst>
                            </wps:cNvPr>
                            <wps:cNvSpPr/>
                            <wps:spPr>
                              <a:xfrm>
                                <a:off x="2426893" y="4257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0D14687"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7158357" name="Proceso 100">
                              <a:extLst>
                                <a:ext uri="{FF2B5EF4-FFF2-40B4-BE49-F238E27FC236}">
                                  <a16:creationId xmlns:a16="http://schemas.microsoft.com/office/drawing/2014/main" id="{DE4D7E03-68A5-6A9A-EC2F-1C7126F9F521}"/>
                                </a:ext>
                              </a:extLst>
                            </wps:cNvPr>
                            <wps:cNvSpPr/>
                            <wps:spPr>
                              <a:xfrm>
                                <a:off x="2201893" y="4032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78B6967"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608465545" name="Grupo 608465545">
                            <a:extLst>
                              <a:ext uri="{FF2B5EF4-FFF2-40B4-BE49-F238E27FC236}">
                                <a16:creationId xmlns:a16="http://schemas.microsoft.com/office/drawing/2014/main" id="{FBB0E8D8-0639-8770-E2C2-6C398859F521}"/>
                              </a:ext>
                            </a:extLst>
                          </wpg:cNvPr>
                          <wpg:cNvGrpSpPr>
                            <a:grpSpLocks noChangeAspect="1"/>
                          </wpg:cNvGrpSpPr>
                          <wpg:grpSpPr>
                            <a:xfrm>
                              <a:off x="3299893" y="4032066"/>
                              <a:ext cx="1440000" cy="720000"/>
                              <a:chOff x="3299893" y="4032066"/>
                              <a:chExt cx="900000" cy="450000"/>
                            </a:xfrm>
                          </wpg:grpSpPr>
                          <wps:wsp>
                            <wps:cNvPr id="33624685" name="Proceso 100">
                              <a:extLst>
                                <a:ext uri="{FF2B5EF4-FFF2-40B4-BE49-F238E27FC236}">
                                  <a16:creationId xmlns:a16="http://schemas.microsoft.com/office/drawing/2014/main" id="{D643FEE0-913F-5660-9FE8-1428F4D566FE}"/>
                                </a:ext>
                              </a:extLst>
                            </wps:cNvPr>
                            <wps:cNvSpPr/>
                            <wps:spPr>
                              <a:xfrm>
                                <a:off x="3299893" y="4257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A5795B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5605511" name="Proceso 100">
                              <a:extLst>
                                <a:ext uri="{FF2B5EF4-FFF2-40B4-BE49-F238E27FC236}">
                                  <a16:creationId xmlns:a16="http://schemas.microsoft.com/office/drawing/2014/main" id="{3C0A6F09-F89C-A802-65A4-177C15C836B0}"/>
                                </a:ext>
                              </a:extLst>
                            </wps:cNvPr>
                            <wps:cNvSpPr/>
                            <wps:spPr>
                              <a:xfrm>
                                <a:off x="3524893" y="4032066"/>
                                <a:ext cx="225000" cy="225000"/>
                              </a:xfrm>
                              <a:prstGeom prst="flowChartProcess">
                                <a:avLst/>
                              </a:prstGeom>
                              <a:solidFill>
                                <a:srgbClr val="FF00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D18877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32802592" name="Proceso 100">
                              <a:extLst>
                                <a:ext uri="{FF2B5EF4-FFF2-40B4-BE49-F238E27FC236}">
                                  <a16:creationId xmlns:a16="http://schemas.microsoft.com/office/drawing/2014/main" id="{D2B1D625-B250-B9BC-56BB-82B55DAAE9DC}"/>
                                </a:ext>
                              </a:extLst>
                            </wps:cNvPr>
                            <wps:cNvSpPr/>
                            <wps:spPr>
                              <a:xfrm>
                                <a:off x="3524893" y="4257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112D512"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64197803" name="Proceso 100">
                              <a:extLst>
                                <a:ext uri="{FF2B5EF4-FFF2-40B4-BE49-F238E27FC236}">
                                  <a16:creationId xmlns:a16="http://schemas.microsoft.com/office/drawing/2014/main" id="{E82B192C-3C8D-9D07-A97E-538EE2E84F1E}"/>
                                </a:ext>
                              </a:extLst>
                            </wps:cNvPr>
                            <wps:cNvSpPr/>
                            <wps:spPr>
                              <a:xfrm>
                                <a:off x="3299893" y="4032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A850DB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3486027" name="Proceso 100">
                              <a:extLst>
                                <a:ext uri="{FF2B5EF4-FFF2-40B4-BE49-F238E27FC236}">
                                  <a16:creationId xmlns:a16="http://schemas.microsoft.com/office/drawing/2014/main" id="{49DA03C0-BF43-A4E1-9B3D-E71BA900D4E1}"/>
                                </a:ext>
                              </a:extLst>
                            </wps:cNvPr>
                            <wps:cNvSpPr/>
                            <wps:spPr>
                              <a:xfrm>
                                <a:off x="3749893" y="4257066"/>
                                <a:ext cx="225000" cy="225000"/>
                              </a:xfrm>
                              <a:prstGeom prst="flowChartProcess">
                                <a:avLst/>
                              </a:prstGeom>
                              <a:solidFill>
                                <a:srgbClr val="92D050"/>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D6D3C1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3964130" name="Proceso 100">
                              <a:extLst>
                                <a:ext uri="{FF2B5EF4-FFF2-40B4-BE49-F238E27FC236}">
                                  <a16:creationId xmlns:a16="http://schemas.microsoft.com/office/drawing/2014/main" id="{26606146-3454-6244-07D5-BD53B96217E0}"/>
                                </a:ext>
                              </a:extLst>
                            </wps:cNvPr>
                            <wps:cNvSpPr/>
                            <wps:spPr>
                              <a:xfrm>
                                <a:off x="3974893" y="4032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2A81BB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58003882" name="Proceso 100">
                              <a:extLst>
                                <a:ext uri="{FF2B5EF4-FFF2-40B4-BE49-F238E27FC236}">
                                  <a16:creationId xmlns:a16="http://schemas.microsoft.com/office/drawing/2014/main" id="{D1B2B8EA-75F9-E78C-7B22-CEAA3F6427C2}"/>
                                </a:ext>
                              </a:extLst>
                            </wps:cNvPr>
                            <wps:cNvSpPr/>
                            <wps:spPr>
                              <a:xfrm>
                                <a:off x="3974893" y="4257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63D47DA"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5996663" name="Proceso 100">
                              <a:extLst>
                                <a:ext uri="{FF2B5EF4-FFF2-40B4-BE49-F238E27FC236}">
                                  <a16:creationId xmlns:a16="http://schemas.microsoft.com/office/drawing/2014/main" id="{B9F8A2BA-8614-4DD9-88FD-526F728DAD28}"/>
                                </a:ext>
                              </a:extLst>
                            </wps:cNvPr>
                            <wps:cNvSpPr/>
                            <wps:spPr>
                              <a:xfrm>
                                <a:off x="3749893" y="4032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7FA4B6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1335784229" name="Grupo 1335784229">
                            <a:extLst>
                              <a:ext uri="{FF2B5EF4-FFF2-40B4-BE49-F238E27FC236}">
                                <a16:creationId xmlns:a16="http://schemas.microsoft.com/office/drawing/2014/main" id="{EC8DEE23-5326-F0E3-4C19-85F5DF2FF78E}"/>
                              </a:ext>
                            </a:extLst>
                          </wpg:cNvPr>
                          <wpg:cNvGrpSpPr>
                            <a:grpSpLocks noChangeAspect="1"/>
                          </wpg:cNvGrpSpPr>
                          <wpg:grpSpPr>
                            <a:xfrm>
                              <a:off x="4847893" y="4032066"/>
                              <a:ext cx="1440000" cy="720000"/>
                              <a:chOff x="4847893" y="4032066"/>
                              <a:chExt cx="900000" cy="450000"/>
                            </a:xfrm>
                          </wpg:grpSpPr>
                          <wps:wsp>
                            <wps:cNvPr id="1422405951" name="Proceso 100">
                              <a:extLst>
                                <a:ext uri="{FF2B5EF4-FFF2-40B4-BE49-F238E27FC236}">
                                  <a16:creationId xmlns:a16="http://schemas.microsoft.com/office/drawing/2014/main" id="{7A3B3114-18F8-3A34-018A-ED35735DC27E}"/>
                                </a:ext>
                              </a:extLst>
                            </wps:cNvPr>
                            <wps:cNvSpPr/>
                            <wps:spPr>
                              <a:xfrm>
                                <a:off x="4847893" y="4257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82B02F6"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4946800" name="Proceso 100">
                              <a:extLst>
                                <a:ext uri="{FF2B5EF4-FFF2-40B4-BE49-F238E27FC236}">
                                  <a16:creationId xmlns:a16="http://schemas.microsoft.com/office/drawing/2014/main" id="{DEBE8F2D-DAC3-E9C9-F816-6BFEAD989B10}"/>
                                </a:ext>
                              </a:extLst>
                            </wps:cNvPr>
                            <wps:cNvSpPr/>
                            <wps:spPr>
                              <a:xfrm>
                                <a:off x="5072893" y="4032066"/>
                                <a:ext cx="225000" cy="225000"/>
                              </a:xfrm>
                              <a:prstGeom prst="flowChartProcess">
                                <a:avLst/>
                              </a:prstGeom>
                              <a:solidFill>
                                <a:srgbClr val="FF00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51D63B8"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72670155" name="Proceso 100">
                              <a:extLst>
                                <a:ext uri="{FF2B5EF4-FFF2-40B4-BE49-F238E27FC236}">
                                  <a16:creationId xmlns:a16="http://schemas.microsoft.com/office/drawing/2014/main" id="{BD70C1D4-3779-9939-0331-EC06606EDED3}"/>
                                </a:ext>
                              </a:extLst>
                            </wps:cNvPr>
                            <wps:cNvSpPr/>
                            <wps:spPr>
                              <a:xfrm>
                                <a:off x="5072893" y="4257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3876735"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56001254" name="Proceso 100">
                              <a:extLst>
                                <a:ext uri="{FF2B5EF4-FFF2-40B4-BE49-F238E27FC236}">
                                  <a16:creationId xmlns:a16="http://schemas.microsoft.com/office/drawing/2014/main" id="{B9E4F5C5-FEB1-EE97-BB28-9E6E39B20DB0}"/>
                                </a:ext>
                              </a:extLst>
                            </wps:cNvPr>
                            <wps:cNvSpPr/>
                            <wps:spPr>
                              <a:xfrm>
                                <a:off x="4847893" y="4032066"/>
                                <a:ext cx="225000" cy="225000"/>
                              </a:xfrm>
                              <a:prstGeom prst="flowChartProcess">
                                <a:avLst/>
                              </a:prstGeom>
                              <a:solidFill>
                                <a:srgbClr val="92D05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C8F1C2B"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3968066" name="Proceso 100">
                              <a:extLst>
                                <a:ext uri="{FF2B5EF4-FFF2-40B4-BE49-F238E27FC236}">
                                  <a16:creationId xmlns:a16="http://schemas.microsoft.com/office/drawing/2014/main" id="{80CEE981-1D7A-44D8-9BBA-A0B7EB2E0FD9}"/>
                                </a:ext>
                              </a:extLst>
                            </wps:cNvPr>
                            <wps:cNvSpPr/>
                            <wps:spPr>
                              <a:xfrm>
                                <a:off x="5297893" y="4257066"/>
                                <a:ext cx="225000" cy="225000"/>
                              </a:xfrm>
                              <a:prstGeom prst="flowChartProcess">
                                <a:avLst/>
                              </a:prstGeom>
                              <a:solidFill>
                                <a:srgbClr val="92D050"/>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938752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8110004" name="Proceso 100">
                              <a:extLst>
                                <a:ext uri="{FF2B5EF4-FFF2-40B4-BE49-F238E27FC236}">
                                  <a16:creationId xmlns:a16="http://schemas.microsoft.com/office/drawing/2014/main" id="{9B546688-1591-C0CF-4732-439A7CFDD9D2}"/>
                                </a:ext>
                              </a:extLst>
                            </wps:cNvPr>
                            <wps:cNvSpPr/>
                            <wps:spPr>
                              <a:xfrm>
                                <a:off x="5522893" y="4032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5F29F8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08481797" name="Proceso 100">
                              <a:extLst>
                                <a:ext uri="{FF2B5EF4-FFF2-40B4-BE49-F238E27FC236}">
                                  <a16:creationId xmlns:a16="http://schemas.microsoft.com/office/drawing/2014/main" id="{B73ED873-24C7-74C3-2BBD-A62CC5C62A36}"/>
                                </a:ext>
                              </a:extLst>
                            </wps:cNvPr>
                            <wps:cNvSpPr/>
                            <wps:spPr>
                              <a:xfrm>
                                <a:off x="5522893" y="4257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7DFA3E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5808206" name="Proceso 100">
                              <a:extLst>
                                <a:ext uri="{FF2B5EF4-FFF2-40B4-BE49-F238E27FC236}">
                                  <a16:creationId xmlns:a16="http://schemas.microsoft.com/office/drawing/2014/main" id="{5CD8F667-0125-2E4A-1543-962F98CCE2DB}"/>
                                </a:ext>
                              </a:extLst>
                            </wps:cNvPr>
                            <wps:cNvSpPr/>
                            <wps:spPr>
                              <a:xfrm>
                                <a:off x="5297893" y="4032066"/>
                                <a:ext cx="225000" cy="225000"/>
                              </a:xfrm>
                              <a:prstGeom prst="flowChartProcess">
                                <a:avLst/>
                              </a:prstGeom>
                              <a:solidFill>
                                <a:srgbClr val="FFFF00">
                                  <a:alpha val="98824"/>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9A00AC5"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1993272172" name="CuadroTexto 170">
                            <a:extLst>
                              <a:ext uri="{FF2B5EF4-FFF2-40B4-BE49-F238E27FC236}">
                                <a16:creationId xmlns:a16="http://schemas.microsoft.com/office/drawing/2014/main" id="{DBA6A363-6EAF-692F-6E38-C82628C175A7}"/>
                              </a:ext>
                            </a:extLst>
                          </wps:cNvPr>
                          <wps:cNvSpPr txBox="1"/>
                          <wps:spPr>
                            <a:xfrm>
                              <a:off x="520928" y="4713012"/>
                              <a:ext cx="798203" cy="222894"/>
                            </a:xfrm>
                            <a:prstGeom prst="rect">
                              <a:avLst/>
                            </a:prstGeom>
                            <a:noFill/>
                          </wps:spPr>
                          <wps:txbx>
                            <w:txbxContent>
                              <w:p w14:paraId="6BC9FB69" w14:textId="77777777" w:rsidR="0081579F" w:rsidRPr="004E4C01" w:rsidRDefault="0081579F" w:rsidP="0081579F">
                                <w:pPr>
                                  <w:rPr>
                                    <w:rFonts w:ascii="Arial Narrow" w:hAnsi="Arial Narrow" w:cs="Arial"/>
                                    <w:color w:val="000000" w:themeColor="text1"/>
                                    <w:kern w:val="24"/>
                                    <w:sz w:val="18"/>
                                    <w:szCs w:val="18"/>
                                  </w:rPr>
                                </w:pPr>
                                <w:r w:rsidRPr="004E4C01">
                                  <w:rPr>
                                    <w:rFonts w:ascii="Arial Narrow" w:hAnsi="Arial Narrow" w:cs="Arial"/>
                                    <w:color w:val="000000" w:themeColor="text1"/>
                                    <w:kern w:val="24"/>
                                    <w:sz w:val="18"/>
                                    <w:szCs w:val="18"/>
                                  </w:rPr>
                                  <w:t>Componente 1</w:t>
                                </w:r>
                              </w:p>
                            </w:txbxContent>
                          </wps:txbx>
                          <wps:bodyPr wrap="none" rtlCol="0">
                            <a:spAutoFit/>
                          </wps:bodyPr>
                        </wps:wsp>
                        <wps:wsp>
                          <wps:cNvPr id="237708586" name="CuadroTexto 171">
                            <a:extLst>
                              <a:ext uri="{FF2B5EF4-FFF2-40B4-BE49-F238E27FC236}">
                                <a16:creationId xmlns:a16="http://schemas.microsoft.com/office/drawing/2014/main" id="{CD614292-FC10-76AA-8AA1-B80EC29AA832}"/>
                              </a:ext>
                            </a:extLst>
                          </wps:cNvPr>
                          <wps:cNvSpPr txBox="1"/>
                          <wps:spPr>
                            <a:xfrm>
                              <a:off x="2070897" y="4713012"/>
                              <a:ext cx="798203" cy="222894"/>
                            </a:xfrm>
                            <a:prstGeom prst="rect">
                              <a:avLst/>
                            </a:prstGeom>
                            <a:noFill/>
                          </wps:spPr>
                          <wps:txbx>
                            <w:txbxContent>
                              <w:p w14:paraId="3EBECECD" w14:textId="77777777" w:rsidR="0081579F" w:rsidRPr="004E4C01" w:rsidRDefault="0081579F" w:rsidP="0081579F">
                                <w:pPr>
                                  <w:rPr>
                                    <w:rFonts w:ascii="Arial Narrow" w:hAnsi="Arial Narrow" w:cs="Arial"/>
                                    <w:color w:val="000000" w:themeColor="text1"/>
                                    <w:kern w:val="24"/>
                                    <w:sz w:val="18"/>
                                    <w:szCs w:val="18"/>
                                  </w:rPr>
                                </w:pPr>
                                <w:r w:rsidRPr="004E4C01">
                                  <w:rPr>
                                    <w:rFonts w:ascii="Arial Narrow" w:hAnsi="Arial Narrow" w:cs="Arial"/>
                                    <w:color w:val="000000" w:themeColor="text1"/>
                                    <w:kern w:val="24"/>
                                    <w:sz w:val="18"/>
                                    <w:szCs w:val="18"/>
                                  </w:rPr>
                                  <w:t>Componente 2</w:t>
                                </w:r>
                              </w:p>
                            </w:txbxContent>
                          </wps:txbx>
                          <wps:bodyPr wrap="none" rtlCol="0">
                            <a:spAutoFit/>
                          </wps:bodyPr>
                        </wps:wsp>
                        <wps:wsp>
                          <wps:cNvPr id="277113731" name="CuadroTexto 172">
                            <a:extLst>
                              <a:ext uri="{FF2B5EF4-FFF2-40B4-BE49-F238E27FC236}">
                                <a16:creationId xmlns:a16="http://schemas.microsoft.com/office/drawing/2014/main" id="{34B2B1CA-FD99-6F81-09FE-D89C634C1015}"/>
                              </a:ext>
                            </a:extLst>
                          </wps:cNvPr>
                          <wps:cNvSpPr txBox="1"/>
                          <wps:spPr>
                            <a:xfrm>
                              <a:off x="3621028" y="4713012"/>
                              <a:ext cx="798203" cy="222894"/>
                            </a:xfrm>
                            <a:prstGeom prst="rect">
                              <a:avLst/>
                            </a:prstGeom>
                            <a:noFill/>
                          </wps:spPr>
                          <wps:txbx>
                            <w:txbxContent>
                              <w:p w14:paraId="3910586D" w14:textId="77777777" w:rsidR="0081579F" w:rsidRPr="004E4C01" w:rsidRDefault="0081579F" w:rsidP="0081579F">
                                <w:pPr>
                                  <w:rPr>
                                    <w:rFonts w:ascii="Arial Narrow" w:hAnsi="Arial Narrow" w:cs="Arial"/>
                                    <w:color w:val="000000" w:themeColor="text1"/>
                                    <w:kern w:val="24"/>
                                    <w:sz w:val="18"/>
                                    <w:szCs w:val="18"/>
                                  </w:rPr>
                                </w:pPr>
                                <w:r w:rsidRPr="004E4C01">
                                  <w:rPr>
                                    <w:rFonts w:ascii="Arial Narrow" w:hAnsi="Arial Narrow" w:cs="Arial"/>
                                    <w:color w:val="000000" w:themeColor="text1"/>
                                    <w:kern w:val="24"/>
                                    <w:sz w:val="18"/>
                                    <w:szCs w:val="18"/>
                                  </w:rPr>
                                  <w:t>Componente 3</w:t>
                                </w:r>
                              </w:p>
                            </w:txbxContent>
                          </wps:txbx>
                          <wps:bodyPr wrap="none" rtlCol="0">
                            <a:spAutoFit/>
                          </wps:bodyPr>
                        </wps:wsp>
                        <wps:wsp>
                          <wps:cNvPr id="1034599328" name="CuadroTexto 173">
                            <a:extLst>
                              <a:ext uri="{FF2B5EF4-FFF2-40B4-BE49-F238E27FC236}">
                                <a16:creationId xmlns:a16="http://schemas.microsoft.com/office/drawing/2014/main" id="{1F70DA6C-3A39-D495-E162-34D620C1816C}"/>
                              </a:ext>
                            </a:extLst>
                          </wps:cNvPr>
                          <wps:cNvSpPr txBox="1"/>
                          <wps:spPr>
                            <a:xfrm>
                              <a:off x="5304305" y="4713012"/>
                              <a:ext cx="532135" cy="222894"/>
                            </a:xfrm>
                            <a:prstGeom prst="rect">
                              <a:avLst/>
                            </a:prstGeom>
                            <a:noFill/>
                          </wps:spPr>
                          <wps:txbx>
                            <w:txbxContent>
                              <w:p w14:paraId="431D3227" w14:textId="77777777" w:rsidR="0081579F" w:rsidRPr="004E4C01" w:rsidRDefault="0081579F" w:rsidP="0081579F">
                                <w:pPr>
                                  <w:rPr>
                                    <w:rFonts w:ascii="Arial Narrow" w:hAnsi="Arial Narrow" w:cs="Arial"/>
                                    <w:b/>
                                    <w:bCs/>
                                    <w:color w:val="000000" w:themeColor="text1"/>
                                    <w:kern w:val="24"/>
                                    <w:sz w:val="18"/>
                                    <w:szCs w:val="18"/>
                                  </w:rPr>
                                </w:pPr>
                                <w:r w:rsidRPr="004E4C01">
                                  <w:rPr>
                                    <w:rFonts w:ascii="Arial Narrow" w:hAnsi="Arial Narrow" w:cs="Arial"/>
                                    <w:b/>
                                    <w:bCs/>
                                    <w:color w:val="000000" w:themeColor="text1"/>
                                    <w:kern w:val="24"/>
                                    <w:sz w:val="18"/>
                                    <w:szCs w:val="18"/>
                                  </w:rPr>
                                  <w:t>Medio 1</w:t>
                                </w:r>
                              </w:p>
                            </w:txbxContent>
                          </wps:txbx>
                          <wps:bodyPr wrap="none" rtlCol="0">
                            <a:spAutoFit/>
                          </wps:bodyPr>
                        </wps:wsp>
                        <wps:wsp>
                          <wps:cNvPr id="1090087759" name="Proceso 124">
                            <a:extLst>
                              <a:ext uri="{FF2B5EF4-FFF2-40B4-BE49-F238E27FC236}">
                                <a16:creationId xmlns:a16="http://schemas.microsoft.com/office/drawing/2014/main" id="{A5B22174-65EE-4E45-B40F-E8783B72295B}"/>
                              </a:ext>
                            </a:extLst>
                          </wps:cNvPr>
                          <wps:cNvSpPr/>
                          <wps:spPr>
                            <a:xfrm>
                              <a:off x="382" y="1530158"/>
                              <a:ext cx="8028000" cy="1152000"/>
                            </a:xfrm>
                            <a:prstGeom prst="flowChartProcess">
                              <a:avLst/>
                            </a:prstGeom>
                            <a:noFill/>
                            <a:ln w="3175">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s:wsp>
                          <wps:cNvPr id="1395884463" name="Proceso 124">
                            <a:extLst>
                              <a:ext uri="{FF2B5EF4-FFF2-40B4-BE49-F238E27FC236}">
                                <a16:creationId xmlns:a16="http://schemas.microsoft.com/office/drawing/2014/main" id="{84045732-325A-7DBB-CA22-746B95BF4D0C}"/>
                              </a:ext>
                            </a:extLst>
                          </wps:cNvPr>
                          <wps:cNvSpPr/>
                          <wps:spPr>
                            <a:xfrm>
                              <a:off x="382" y="2682158"/>
                              <a:ext cx="8028000" cy="1152000"/>
                            </a:xfrm>
                            <a:prstGeom prst="flowChartProcess">
                              <a:avLst/>
                            </a:prstGeom>
                            <a:noFill/>
                            <a:ln w="3175">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s:wsp>
                          <wps:cNvPr id="1855778326" name="Proceso 124">
                            <a:extLst>
                              <a:ext uri="{FF2B5EF4-FFF2-40B4-BE49-F238E27FC236}">
                                <a16:creationId xmlns:a16="http://schemas.microsoft.com/office/drawing/2014/main" id="{2B4C1111-08DE-F26B-E132-E21BA2974A55}"/>
                              </a:ext>
                            </a:extLst>
                          </wps:cNvPr>
                          <wps:cNvSpPr/>
                          <wps:spPr>
                            <a:xfrm>
                              <a:off x="382" y="3834158"/>
                              <a:ext cx="8028000" cy="1152000"/>
                            </a:xfrm>
                            <a:prstGeom prst="flowChartProcess">
                              <a:avLst/>
                            </a:prstGeom>
                            <a:noFill/>
                            <a:ln w="3175">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s:wsp>
                          <wps:cNvPr id="1841777682" name="Proceso 124">
                            <a:extLst>
                              <a:ext uri="{FF2B5EF4-FFF2-40B4-BE49-F238E27FC236}">
                                <a16:creationId xmlns:a16="http://schemas.microsoft.com/office/drawing/2014/main" id="{D573DFE0-61D4-AF3D-5484-F2D46519526B}"/>
                              </a:ext>
                            </a:extLst>
                          </wps:cNvPr>
                          <wps:cNvSpPr/>
                          <wps:spPr>
                            <a:xfrm>
                              <a:off x="382" y="4986158"/>
                              <a:ext cx="8028000" cy="1152000"/>
                            </a:xfrm>
                            <a:prstGeom prst="flowChartProcess">
                              <a:avLst/>
                            </a:prstGeom>
                            <a:noFill/>
                            <a:ln w="3175">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s:wsp>
                          <wps:cNvPr id="1411473213" name="Proceso 111">
                            <a:extLst>
                              <a:ext uri="{FF2B5EF4-FFF2-40B4-BE49-F238E27FC236}">
                                <a16:creationId xmlns:a16="http://schemas.microsoft.com/office/drawing/2014/main" id="{2FDCE9F9-6D86-807F-C085-0CE30155A77F}"/>
                              </a:ext>
                            </a:extLst>
                          </wps:cNvPr>
                          <wps:cNvSpPr/>
                          <wps:spPr>
                            <a:xfrm>
                              <a:off x="382" y="1578501"/>
                              <a:ext cx="8028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5219D2DD" w14:textId="77777777" w:rsidR="0081579F" w:rsidRPr="00127BD4"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 xml:space="preserve">b) Determinar para cada unidad de análisis de los factores o componentes, la relación entre </w:t>
                                </w:r>
                                <w:r w:rsidRPr="00127BD4">
                                  <w:rPr>
                                    <w:rFonts w:ascii="Arial Narrow" w:hAnsi="Arial Narrow" w:cstheme="minorBidi"/>
                                    <w:b/>
                                    <w:bCs/>
                                    <w:i/>
                                    <w:iCs/>
                                    <w:color w:val="000000" w:themeColor="dark1"/>
                                    <w:kern w:val="24"/>
                                    <w:sz w:val="20"/>
                                    <w:szCs w:val="20"/>
                                  </w:rPr>
                                  <w:t>potencial normalizado de modificación del impacto</w:t>
                                </w:r>
                                <w:r w:rsidRPr="00127BD4">
                                  <w:rPr>
                                    <w:rFonts w:ascii="Arial Narrow" w:hAnsi="Arial Narrow" w:cstheme="minorBidi"/>
                                    <w:b/>
                                    <w:bCs/>
                                    <w:color w:val="000000" w:themeColor="dark1"/>
                                    <w:kern w:val="24"/>
                                    <w:sz w:val="20"/>
                                    <w:szCs w:val="20"/>
                                  </w:rPr>
                                  <w:t xml:space="preserve"> y </w:t>
                                </w:r>
                                <w:r w:rsidRPr="00127BD4">
                                  <w:rPr>
                                    <w:rFonts w:ascii="Arial Narrow" w:hAnsi="Arial Narrow" w:cstheme="minorBidi"/>
                                    <w:b/>
                                    <w:bCs/>
                                    <w:i/>
                                    <w:iCs/>
                                    <w:color w:val="000000" w:themeColor="dark1"/>
                                    <w:kern w:val="24"/>
                                    <w:sz w:val="20"/>
                                    <w:szCs w:val="20"/>
                                  </w:rPr>
                                  <w:t>sensibilidad ambiental</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2112805472" name="Proceso 97">
                            <a:extLst>
                              <a:ext uri="{FF2B5EF4-FFF2-40B4-BE49-F238E27FC236}">
                                <a16:creationId xmlns:a16="http://schemas.microsoft.com/office/drawing/2014/main" id="{5369BBA3-B2F2-6BA3-B98D-133334C5247B}"/>
                              </a:ext>
                            </a:extLst>
                          </wps:cNvPr>
                          <wps:cNvSpPr/>
                          <wps:spPr>
                            <a:xfrm>
                              <a:off x="382" y="2646030"/>
                              <a:ext cx="8028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43BB5A2D" w14:textId="5CE91BE5" w:rsidR="0081579F" w:rsidRPr="00127BD4"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c) Asignar el tipo de manejo ambiental a cada unidad de análisis según relaciones y regla de decisió</w:t>
                                </w:r>
                                <w:r w:rsidRPr="00BA697D">
                                  <w:rPr>
                                    <w:rFonts w:ascii="Arial Narrow" w:hAnsi="Arial Narrow" w:cstheme="minorBidi"/>
                                    <w:b/>
                                    <w:bCs/>
                                    <w:color w:val="000000" w:themeColor="dark1"/>
                                    <w:kern w:val="24"/>
                                    <w:sz w:val="20"/>
                                    <w:szCs w:val="20"/>
                                  </w:rPr>
                                  <w:t xml:space="preserve">n de </w:t>
                                </w:r>
                                <w:r w:rsidR="00BA697D" w:rsidRPr="00BA697D">
                                  <w:rPr>
                                    <w:rFonts w:ascii="Arial Narrow" w:hAnsi="Arial Narrow" w:cstheme="minorBidi"/>
                                    <w:b/>
                                    <w:bCs/>
                                    <w:color w:val="000000" w:themeColor="dark1"/>
                                    <w:kern w:val="24"/>
                                    <w:sz w:val="20"/>
                                    <w:szCs w:val="20"/>
                                  </w:rPr>
                                  <w:fldChar w:fldCharType="begin"/>
                                </w:r>
                                <w:r w:rsidR="00BA697D" w:rsidRPr="00BA697D">
                                  <w:rPr>
                                    <w:rFonts w:ascii="Arial Narrow" w:hAnsi="Arial Narrow" w:cstheme="minorBidi"/>
                                    <w:b/>
                                    <w:bCs/>
                                    <w:color w:val="000000" w:themeColor="dark1"/>
                                    <w:kern w:val="24"/>
                                    <w:sz w:val="20"/>
                                    <w:szCs w:val="20"/>
                                  </w:rPr>
                                  <w:instrText xml:space="preserve"> REF _Ref81912062 \h  \* MERGEFORMAT </w:instrText>
                                </w:r>
                                <w:r w:rsidR="00BA697D" w:rsidRPr="00BA697D">
                                  <w:rPr>
                                    <w:rFonts w:ascii="Arial Narrow" w:hAnsi="Arial Narrow" w:cstheme="minorBidi"/>
                                    <w:b/>
                                    <w:bCs/>
                                    <w:color w:val="000000" w:themeColor="dark1"/>
                                    <w:kern w:val="24"/>
                                    <w:sz w:val="20"/>
                                    <w:szCs w:val="20"/>
                                  </w:rPr>
                                </w:r>
                                <w:r w:rsidR="00BA697D" w:rsidRPr="00BA697D">
                                  <w:rPr>
                                    <w:rFonts w:ascii="Arial Narrow" w:hAnsi="Arial Narrow" w:cstheme="minorBidi"/>
                                    <w:b/>
                                    <w:bCs/>
                                    <w:color w:val="000000" w:themeColor="dark1"/>
                                    <w:kern w:val="24"/>
                                    <w:sz w:val="20"/>
                                    <w:szCs w:val="20"/>
                                  </w:rPr>
                                  <w:fldChar w:fldCharType="separate"/>
                                </w:r>
                                <w:r w:rsidR="002D73C1" w:rsidRPr="002D73C1">
                                  <w:rPr>
                                    <w:rFonts w:ascii="Arial Narrow" w:hAnsi="Arial Narrow" w:cs="Arial"/>
                                    <w:b/>
                                    <w:bCs/>
                                    <w:sz w:val="20"/>
                                    <w:szCs w:val="20"/>
                                  </w:rPr>
                                  <w:t xml:space="preserve">Tabla </w:t>
                                </w:r>
                                <w:r w:rsidR="002D73C1" w:rsidRPr="002D73C1">
                                  <w:rPr>
                                    <w:rFonts w:ascii="Arial Narrow" w:hAnsi="Arial Narrow" w:cs="Arial"/>
                                    <w:b/>
                                    <w:bCs/>
                                    <w:noProof/>
                                    <w:sz w:val="20"/>
                                    <w:szCs w:val="20"/>
                                  </w:rPr>
                                  <w:t>39</w:t>
                                </w:r>
                                <w:r w:rsidR="00BA697D" w:rsidRPr="00BA697D">
                                  <w:rPr>
                                    <w:rFonts w:ascii="Arial Narrow" w:hAnsi="Arial Narrow" w:cstheme="minorBidi"/>
                                    <w:b/>
                                    <w:bCs/>
                                    <w:color w:val="000000" w:themeColor="dark1"/>
                                    <w:kern w:val="24"/>
                                    <w:sz w:val="20"/>
                                    <w:szCs w:val="20"/>
                                  </w:rPr>
                                  <w:fldChar w:fldCharType="end"/>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48398390" name="Proceso 97">
                            <a:extLst>
                              <a:ext uri="{FF2B5EF4-FFF2-40B4-BE49-F238E27FC236}">
                                <a16:creationId xmlns:a16="http://schemas.microsoft.com/office/drawing/2014/main" id="{6BD761C5-8E3B-427D-E05A-BB022312F72B}"/>
                              </a:ext>
                            </a:extLst>
                          </wps:cNvPr>
                          <wps:cNvSpPr/>
                          <wps:spPr>
                            <a:xfrm>
                              <a:off x="382" y="3739894"/>
                              <a:ext cx="8028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057F4DCA" w14:textId="0CA0D4BB" w:rsidR="0081579F" w:rsidRPr="00BA697D"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 xml:space="preserve">d) Integrar la zonificación de manejo para factores/componentes, medios y proyecto según regla </w:t>
                                </w:r>
                                <w:r w:rsidRPr="00BA697D">
                                  <w:rPr>
                                    <w:rFonts w:ascii="Arial Narrow" w:hAnsi="Arial Narrow" w:cstheme="minorBidi"/>
                                    <w:b/>
                                    <w:bCs/>
                                    <w:color w:val="000000" w:themeColor="dark1"/>
                                    <w:kern w:val="24"/>
                                    <w:sz w:val="20"/>
                                    <w:szCs w:val="20"/>
                                  </w:rPr>
                                  <w:t xml:space="preserve">de decisión de </w:t>
                                </w:r>
                                <w:r w:rsidR="00BA697D" w:rsidRPr="00BA697D">
                                  <w:rPr>
                                    <w:rFonts w:ascii="Arial Narrow" w:hAnsi="Arial Narrow" w:cstheme="minorBidi"/>
                                    <w:b/>
                                    <w:bCs/>
                                    <w:color w:val="000000" w:themeColor="dark1"/>
                                    <w:kern w:val="24"/>
                                    <w:sz w:val="20"/>
                                    <w:szCs w:val="20"/>
                                  </w:rPr>
                                  <w:fldChar w:fldCharType="begin"/>
                                </w:r>
                                <w:r w:rsidR="00BA697D" w:rsidRPr="00BA697D">
                                  <w:rPr>
                                    <w:rFonts w:ascii="Arial Narrow" w:hAnsi="Arial Narrow" w:cstheme="minorBidi"/>
                                    <w:b/>
                                    <w:bCs/>
                                    <w:color w:val="000000" w:themeColor="dark1"/>
                                    <w:kern w:val="24"/>
                                    <w:sz w:val="20"/>
                                    <w:szCs w:val="20"/>
                                  </w:rPr>
                                  <w:instrText xml:space="preserve"> REF _Ref79220496 \h  \* MERGEFORMAT </w:instrText>
                                </w:r>
                                <w:r w:rsidR="00BA697D" w:rsidRPr="00BA697D">
                                  <w:rPr>
                                    <w:rFonts w:ascii="Arial Narrow" w:hAnsi="Arial Narrow" w:cstheme="minorBidi"/>
                                    <w:b/>
                                    <w:bCs/>
                                    <w:color w:val="000000" w:themeColor="dark1"/>
                                    <w:kern w:val="24"/>
                                    <w:sz w:val="20"/>
                                    <w:szCs w:val="20"/>
                                  </w:rPr>
                                </w:r>
                                <w:r w:rsidR="00BA697D" w:rsidRPr="00BA697D">
                                  <w:rPr>
                                    <w:rFonts w:ascii="Arial Narrow" w:hAnsi="Arial Narrow" w:cstheme="minorBidi"/>
                                    <w:b/>
                                    <w:bCs/>
                                    <w:color w:val="000000" w:themeColor="dark1"/>
                                    <w:kern w:val="24"/>
                                    <w:sz w:val="20"/>
                                    <w:szCs w:val="20"/>
                                  </w:rPr>
                                  <w:fldChar w:fldCharType="separate"/>
                                </w:r>
                                <w:r w:rsidR="002D73C1" w:rsidRPr="002D73C1">
                                  <w:rPr>
                                    <w:rFonts w:ascii="Arial Narrow" w:hAnsi="Arial Narrow"/>
                                    <w:b/>
                                    <w:bCs/>
                                    <w:sz w:val="20"/>
                                    <w:szCs w:val="20"/>
                                  </w:rPr>
                                  <w:t xml:space="preserve">Tabla </w:t>
                                </w:r>
                                <w:r w:rsidR="002D73C1" w:rsidRPr="002D73C1">
                                  <w:rPr>
                                    <w:rFonts w:ascii="Arial Narrow" w:hAnsi="Arial Narrow"/>
                                    <w:b/>
                                    <w:bCs/>
                                    <w:noProof/>
                                    <w:sz w:val="20"/>
                                    <w:szCs w:val="20"/>
                                  </w:rPr>
                                  <w:t>40</w:t>
                                </w:r>
                                <w:r w:rsidR="00BA697D" w:rsidRPr="00BA697D">
                                  <w:rPr>
                                    <w:rFonts w:ascii="Arial Narrow" w:hAnsi="Arial Narrow" w:cstheme="minorBidi"/>
                                    <w:b/>
                                    <w:bCs/>
                                    <w:color w:val="000000" w:themeColor="dark1"/>
                                    <w:kern w:val="24"/>
                                    <w:sz w:val="20"/>
                                    <w:szCs w:val="20"/>
                                  </w:rPr>
                                  <w:fldChar w:fldCharType="end"/>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678951568" name="Proceso 124">
                            <a:extLst>
                              <a:ext uri="{FF2B5EF4-FFF2-40B4-BE49-F238E27FC236}">
                                <a16:creationId xmlns:a16="http://schemas.microsoft.com/office/drawing/2014/main" id="{BA8B0804-BBE3-427F-7BC0-28963B9B2E5F}"/>
                              </a:ext>
                            </a:extLst>
                          </wps:cNvPr>
                          <wps:cNvSpPr/>
                          <wps:spPr>
                            <a:xfrm>
                              <a:off x="382" y="0"/>
                              <a:ext cx="8028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7FD7DEE6" w14:textId="77777777" w:rsidR="0081579F" w:rsidRPr="00127BD4"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a) Recopilar información geográfica para cada unidad de análisis de los factores o componentes</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286443257" name="Proceso 124">
                            <a:extLst>
                              <a:ext uri="{FF2B5EF4-FFF2-40B4-BE49-F238E27FC236}">
                                <a16:creationId xmlns:a16="http://schemas.microsoft.com/office/drawing/2014/main" id="{8121F18A-8625-17F4-283E-B08C15DA3F09}"/>
                              </a:ext>
                            </a:extLst>
                          </wps:cNvPr>
                          <wps:cNvSpPr/>
                          <wps:spPr>
                            <a:xfrm>
                              <a:off x="2831780" y="289084"/>
                              <a:ext cx="2375698" cy="392557"/>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2698CCAE" w14:textId="77777777" w:rsidR="005A5954" w:rsidRPr="00127BD4" w:rsidRDefault="0081579F" w:rsidP="0081579F">
                                <w:pPr>
                                  <w:jc w:val="center"/>
                                  <w:rPr>
                                    <w:rFonts w:ascii="Arial Narrow" w:hAnsi="Arial Narrow" w:cstheme="minorBidi"/>
                                    <w:b/>
                                    <w:bCs/>
                                    <w:color w:val="000000" w:themeColor="dark1"/>
                                    <w:kern w:val="24"/>
                                    <w:sz w:val="18"/>
                                    <w:szCs w:val="18"/>
                                  </w:rPr>
                                </w:pPr>
                                <w:r w:rsidRPr="00127BD4">
                                  <w:rPr>
                                    <w:rFonts w:ascii="Arial Narrow" w:hAnsi="Arial Narrow" w:cstheme="minorBidi"/>
                                    <w:b/>
                                    <w:bCs/>
                                    <w:color w:val="000000" w:themeColor="dark1"/>
                                    <w:kern w:val="24"/>
                                    <w:sz w:val="18"/>
                                    <w:szCs w:val="18"/>
                                  </w:rPr>
                                  <w:t>Potencial normalizado de modificación del impacto</w:t>
                                </w:r>
                                <w:r w:rsidR="004E3447" w:rsidRPr="00127BD4">
                                  <w:rPr>
                                    <w:rFonts w:ascii="Arial Narrow" w:hAnsi="Arial Narrow" w:cstheme="minorBidi"/>
                                    <w:b/>
                                    <w:bCs/>
                                    <w:color w:val="000000" w:themeColor="dark1"/>
                                    <w:kern w:val="24"/>
                                    <w:sz w:val="18"/>
                                    <w:szCs w:val="18"/>
                                  </w:rPr>
                                  <w:t xml:space="preserve"> </w:t>
                                </w:r>
                              </w:p>
                              <w:p w14:paraId="1CF700ED" w14:textId="77777777" w:rsidR="005A5954" w:rsidRPr="00127BD4" w:rsidRDefault="005A5954" w:rsidP="0081579F">
                                <w:pPr>
                                  <w:jc w:val="center"/>
                                  <w:rPr>
                                    <w:rFonts w:ascii="Arial Narrow" w:hAnsi="Arial Narrow" w:cstheme="minorBidi"/>
                                    <w:color w:val="000000" w:themeColor="dark1"/>
                                    <w:kern w:val="24"/>
                                    <w:sz w:val="16"/>
                                    <w:szCs w:val="16"/>
                                  </w:rPr>
                                </w:pPr>
                              </w:p>
                              <w:p w14:paraId="178F1751" w14:textId="488477DC" w:rsidR="0081579F" w:rsidRPr="00127BD4" w:rsidRDefault="00C343B3"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w:t>
                                </w:r>
                                <w:r w:rsidR="004E3447" w:rsidRPr="00127BD4">
                                  <w:rPr>
                                    <w:rFonts w:ascii="Arial Narrow" w:hAnsi="Arial Narrow" w:cstheme="minorBidi"/>
                                    <w:color w:val="000000" w:themeColor="dark1"/>
                                    <w:kern w:val="24"/>
                                    <w:sz w:val="16"/>
                                    <w:szCs w:val="16"/>
                                  </w:rPr>
                                  <w:t>bajo</w:t>
                                </w:r>
                                <w:r w:rsidRPr="00127BD4">
                                  <w:rPr>
                                    <w:rFonts w:ascii="Arial Narrow" w:hAnsi="Arial Narrow" w:cstheme="minorBidi"/>
                                    <w:color w:val="000000" w:themeColor="dark1"/>
                                    <w:kern w:val="24"/>
                                    <w:sz w:val="16"/>
                                    <w:szCs w:val="16"/>
                                  </w:rPr>
                                  <w:t xml:space="preserve"> = </w:t>
                                </w:r>
                                <w:r w:rsidRPr="00127BD4">
                                  <w:rPr>
                                    <w:rFonts w:ascii="Arial Narrow" w:hAnsi="Arial Narrow" w:cstheme="minorBidi"/>
                                    <w:i/>
                                    <w:iCs/>
                                    <w:color w:val="000000" w:themeColor="dark1"/>
                                    <w:kern w:val="24"/>
                                    <w:sz w:val="16"/>
                                    <w:szCs w:val="16"/>
                                  </w:rPr>
                                  <w:t>B</w:t>
                                </w:r>
                                <w:r w:rsidRPr="00127BD4">
                                  <w:rPr>
                                    <w:rFonts w:ascii="Arial Narrow" w:hAnsi="Arial Narrow" w:cstheme="minorBidi"/>
                                    <w:color w:val="000000" w:themeColor="dark1"/>
                                    <w:kern w:val="24"/>
                                    <w:sz w:val="16"/>
                                    <w:szCs w:val="16"/>
                                  </w:rPr>
                                  <w:t>;</w:t>
                                </w:r>
                                <w:r w:rsidR="004E3447" w:rsidRPr="00127BD4">
                                  <w:rPr>
                                    <w:rFonts w:ascii="Arial Narrow" w:hAnsi="Arial Narrow" w:cstheme="minorBidi"/>
                                    <w:color w:val="000000" w:themeColor="dark1"/>
                                    <w:kern w:val="24"/>
                                    <w:sz w:val="16"/>
                                    <w:szCs w:val="16"/>
                                  </w:rPr>
                                  <w:t xml:space="preserve"> medio</w:t>
                                </w:r>
                                <w:r w:rsidRPr="00127BD4">
                                  <w:rPr>
                                    <w:rFonts w:ascii="Arial Narrow" w:hAnsi="Arial Narrow" w:cstheme="minorBidi"/>
                                    <w:color w:val="000000" w:themeColor="dark1"/>
                                    <w:kern w:val="24"/>
                                    <w:sz w:val="16"/>
                                    <w:szCs w:val="16"/>
                                  </w:rPr>
                                  <w:t xml:space="preserve"> = </w:t>
                                </w:r>
                                <w:r w:rsidRPr="00127BD4">
                                  <w:rPr>
                                    <w:rFonts w:ascii="Arial Narrow" w:hAnsi="Arial Narrow" w:cstheme="minorBidi"/>
                                    <w:i/>
                                    <w:iCs/>
                                    <w:color w:val="000000" w:themeColor="dark1"/>
                                    <w:kern w:val="24"/>
                                    <w:sz w:val="16"/>
                                    <w:szCs w:val="16"/>
                                  </w:rPr>
                                  <w:t>M</w:t>
                                </w:r>
                                <w:r w:rsidRPr="00127BD4">
                                  <w:rPr>
                                    <w:rFonts w:ascii="Arial Narrow" w:hAnsi="Arial Narrow" w:cstheme="minorBidi"/>
                                    <w:color w:val="000000" w:themeColor="dark1"/>
                                    <w:kern w:val="24"/>
                                    <w:sz w:val="16"/>
                                    <w:szCs w:val="16"/>
                                  </w:rPr>
                                  <w:t>;</w:t>
                                </w:r>
                                <w:r w:rsidR="004E3447" w:rsidRPr="00127BD4">
                                  <w:rPr>
                                    <w:rFonts w:ascii="Arial Narrow" w:hAnsi="Arial Narrow" w:cstheme="minorBidi"/>
                                    <w:color w:val="000000" w:themeColor="dark1"/>
                                    <w:kern w:val="24"/>
                                    <w:sz w:val="16"/>
                                    <w:szCs w:val="16"/>
                                  </w:rPr>
                                  <w:t xml:space="preserve"> alto </w:t>
                                </w:r>
                                <w:r w:rsidRPr="00127BD4">
                                  <w:rPr>
                                    <w:rFonts w:ascii="Arial Narrow" w:hAnsi="Arial Narrow" w:cstheme="minorBidi"/>
                                    <w:color w:val="000000" w:themeColor="dark1"/>
                                    <w:kern w:val="24"/>
                                    <w:sz w:val="16"/>
                                    <w:szCs w:val="16"/>
                                  </w:rPr>
                                  <w:t xml:space="preserve">= </w:t>
                                </w:r>
                                <w:r w:rsidRPr="00127BD4">
                                  <w:rPr>
                                    <w:rFonts w:ascii="Arial Narrow" w:hAnsi="Arial Narrow" w:cstheme="minorBidi"/>
                                    <w:i/>
                                    <w:iCs/>
                                    <w:color w:val="000000" w:themeColor="dark1"/>
                                    <w:kern w:val="24"/>
                                    <w:sz w:val="16"/>
                                    <w:szCs w:val="16"/>
                                  </w:rPr>
                                  <w:t>A</w:t>
                                </w:r>
                                <w:r w:rsidRPr="00127BD4">
                                  <w:rPr>
                                    <w:rFonts w:ascii="Arial Narrow" w:hAnsi="Arial Narrow" w:cstheme="minorBidi"/>
                                    <w:color w:val="000000" w:themeColor="dark1"/>
                                    <w:kern w:val="24"/>
                                    <w:sz w:val="16"/>
                                    <w:szCs w:val="16"/>
                                  </w:rPr>
                                  <w:t xml:space="preserve"> </w:t>
                                </w:r>
                                <w:r w:rsidR="004E3447" w:rsidRPr="00127BD4">
                                  <w:rPr>
                                    <w:rFonts w:ascii="Arial Narrow" w:hAnsi="Arial Narrow" w:cstheme="minorBidi"/>
                                    <w:color w:val="000000" w:themeColor="dark1"/>
                                    <w:kern w:val="24"/>
                                    <w:sz w:val="16"/>
                                    <w:szCs w:val="16"/>
                                  </w:rPr>
                                  <w:t>y</w:t>
                                </w:r>
                                <w:r w:rsidR="00070C76" w:rsidRPr="00127BD4">
                                  <w:rPr>
                                    <w:rFonts w:ascii="Arial Narrow" w:hAnsi="Arial Narrow" w:cstheme="minorBidi"/>
                                    <w:color w:val="000000" w:themeColor="dark1"/>
                                    <w:kern w:val="24"/>
                                    <w:sz w:val="16"/>
                                    <w:szCs w:val="16"/>
                                  </w:rPr>
                                  <w:t>;</w:t>
                                </w:r>
                                <w:r w:rsidR="004E3447" w:rsidRPr="00127BD4">
                                  <w:rPr>
                                    <w:rFonts w:ascii="Arial Narrow" w:hAnsi="Arial Narrow" w:cstheme="minorBidi"/>
                                    <w:color w:val="000000" w:themeColor="dark1"/>
                                    <w:kern w:val="24"/>
                                    <w:sz w:val="16"/>
                                    <w:szCs w:val="16"/>
                                  </w:rPr>
                                  <w:t xml:space="preserve"> muy alto</w:t>
                                </w:r>
                                <w:r w:rsidR="00070C76" w:rsidRPr="00127BD4">
                                  <w:rPr>
                                    <w:rFonts w:ascii="Arial Narrow" w:hAnsi="Arial Narrow" w:cstheme="minorBidi"/>
                                    <w:color w:val="000000" w:themeColor="dark1"/>
                                    <w:kern w:val="24"/>
                                    <w:sz w:val="16"/>
                                    <w:szCs w:val="16"/>
                                  </w:rPr>
                                  <w:t xml:space="preserve"> = </w:t>
                                </w:r>
                                <w:r w:rsidR="00070C76" w:rsidRPr="00127BD4">
                                  <w:rPr>
                                    <w:rFonts w:ascii="Arial Narrow" w:hAnsi="Arial Narrow" w:cstheme="minorBidi"/>
                                    <w:i/>
                                    <w:iCs/>
                                    <w:color w:val="000000" w:themeColor="dark1"/>
                                    <w:kern w:val="24"/>
                                    <w:sz w:val="16"/>
                                    <w:szCs w:val="16"/>
                                  </w:rPr>
                                  <w:t>MA</w:t>
                                </w:r>
                                <w:r w:rsidR="00070C76" w:rsidRPr="00127BD4">
                                  <w:rPr>
                                    <w:rFonts w:ascii="Arial Narrow" w:hAnsi="Arial Narrow" w:cstheme="minorBidi"/>
                                    <w:color w:val="000000" w:themeColor="dark1"/>
                                    <w:kern w:val="24"/>
                                    <w:sz w:val="16"/>
                                    <w:szCs w:val="16"/>
                                  </w:rPr>
                                  <w:t>)</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964009388" name="Proceso 124">
                            <a:extLst>
                              <a:ext uri="{FF2B5EF4-FFF2-40B4-BE49-F238E27FC236}">
                                <a16:creationId xmlns:a16="http://schemas.microsoft.com/office/drawing/2014/main" id="{8BCC022F-8BDE-848D-4765-766C39096A2D}"/>
                              </a:ext>
                            </a:extLst>
                          </wps:cNvPr>
                          <wps:cNvSpPr/>
                          <wps:spPr>
                            <a:xfrm>
                              <a:off x="-33338" y="271497"/>
                              <a:ext cx="2033608" cy="394661"/>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213D31FE" w14:textId="77777777" w:rsidR="00B0752B" w:rsidRPr="00127BD4" w:rsidRDefault="0081579F" w:rsidP="0081579F">
                                <w:pPr>
                                  <w:jc w:val="center"/>
                                  <w:rPr>
                                    <w:rFonts w:ascii="Arial Narrow" w:hAnsi="Arial Narrow" w:cstheme="minorBidi"/>
                                    <w:b/>
                                    <w:bCs/>
                                    <w:color w:val="000000" w:themeColor="dark1"/>
                                    <w:kern w:val="24"/>
                                    <w:sz w:val="18"/>
                                    <w:szCs w:val="18"/>
                                  </w:rPr>
                                </w:pPr>
                                <w:r w:rsidRPr="00127BD4">
                                  <w:rPr>
                                    <w:rFonts w:ascii="Arial Narrow" w:hAnsi="Arial Narrow" w:cstheme="minorBidi"/>
                                    <w:b/>
                                    <w:bCs/>
                                    <w:color w:val="000000" w:themeColor="dark1"/>
                                    <w:kern w:val="24"/>
                                    <w:sz w:val="18"/>
                                    <w:szCs w:val="18"/>
                                  </w:rPr>
                                  <w:t>Sensibilidad ambiental</w:t>
                                </w:r>
                                <w:r w:rsidR="00667441" w:rsidRPr="00127BD4">
                                  <w:rPr>
                                    <w:rFonts w:ascii="Arial Narrow" w:hAnsi="Arial Narrow" w:cstheme="minorBidi"/>
                                    <w:b/>
                                    <w:bCs/>
                                    <w:color w:val="000000" w:themeColor="dark1"/>
                                    <w:kern w:val="24"/>
                                    <w:sz w:val="18"/>
                                    <w:szCs w:val="18"/>
                                  </w:rPr>
                                  <w:t xml:space="preserve"> </w:t>
                                </w:r>
                              </w:p>
                              <w:p w14:paraId="34822DD7" w14:textId="77777777" w:rsidR="005771FA" w:rsidRDefault="00667441"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(muy baja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mb</w:t>
                                </w:r>
                                <w:r w:rsidR="005B7C0B" w:rsidRPr="00127BD4">
                                  <w:rPr>
                                    <w:rFonts w:ascii="Arial Narrow" w:hAnsi="Arial Narrow" w:cstheme="minorBidi"/>
                                    <w:color w:val="000000" w:themeColor="dark1"/>
                                    <w:kern w:val="24"/>
                                    <w:sz w:val="16"/>
                                    <w:szCs w:val="16"/>
                                  </w:rPr>
                                  <w:t>;</w:t>
                                </w:r>
                                <w:r w:rsidRPr="00127BD4">
                                  <w:rPr>
                                    <w:rFonts w:ascii="Arial Narrow" w:hAnsi="Arial Narrow" w:cstheme="minorBidi"/>
                                    <w:color w:val="000000" w:themeColor="dark1"/>
                                    <w:kern w:val="24"/>
                                    <w:sz w:val="16"/>
                                    <w:szCs w:val="16"/>
                                  </w:rPr>
                                  <w:t xml:space="preserve"> baja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b</w:t>
                                </w:r>
                                <w:r w:rsidR="005B7C0B" w:rsidRPr="00127BD4">
                                  <w:rPr>
                                    <w:rFonts w:ascii="Arial Narrow" w:hAnsi="Arial Narrow" w:cstheme="minorBidi"/>
                                    <w:color w:val="000000" w:themeColor="dark1"/>
                                    <w:kern w:val="24"/>
                                    <w:sz w:val="16"/>
                                    <w:szCs w:val="16"/>
                                  </w:rPr>
                                  <w:t>;</w:t>
                                </w:r>
                                <w:r w:rsidRPr="00127BD4">
                                  <w:rPr>
                                    <w:rFonts w:ascii="Arial Narrow" w:hAnsi="Arial Narrow" w:cstheme="minorBidi"/>
                                    <w:color w:val="000000" w:themeColor="dark1"/>
                                    <w:kern w:val="24"/>
                                    <w:sz w:val="16"/>
                                    <w:szCs w:val="16"/>
                                  </w:rPr>
                                  <w:t xml:space="preserve"> media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m</w:t>
                                </w:r>
                                <w:r w:rsidRPr="00127BD4">
                                  <w:rPr>
                                    <w:rFonts w:ascii="Arial Narrow" w:hAnsi="Arial Narrow" w:cstheme="minorBidi"/>
                                    <w:color w:val="000000" w:themeColor="dark1"/>
                                    <w:kern w:val="24"/>
                                    <w:sz w:val="16"/>
                                    <w:szCs w:val="16"/>
                                  </w:rPr>
                                  <w:t>, alta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a</w:t>
                                </w:r>
                                <w:r w:rsidRPr="00127BD4">
                                  <w:rPr>
                                    <w:rFonts w:ascii="Arial Narrow" w:hAnsi="Arial Narrow" w:cstheme="minorBidi"/>
                                    <w:color w:val="000000" w:themeColor="dark1"/>
                                    <w:kern w:val="24"/>
                                    <w:sz w:val="16"/>
                                    <w:szCs w:val="16"/>
                                  </w:rPr>
                                  <w:t xml:space="preserve"> y</w:t>
                                </w:r>
                                <w:r w:rsidR="005B7C0B" w:rsidRPr="00127BD4">
                                  <w:rPr>
                                    <w:rFonts w:ascii="Arial Narrow" w:hAnsi="Arial Narrow" w:cstheme="minorBidi"/>
                                    <w:color w:val="000000" w:themeColor="dark1"/>
                                    <w:kern w:val="24"/>
                                    <w:sz w:val="16"/>
                                    <w:szCs w:val="16"/>
                                  </w:rPr>
                                  <w:t>;</w:t>
                                </w:r>
                              </w:p>
                              <w:p w14:paraId="677E3858" w14:textId="37759281" w:rsidR="0081579F" w:rsidRPr="00127BD4" w:rsidRDefault="00667441" w:rsidP="0081579F">
                                <w:pPr>
                                  <w:jc w:val="center"/>
                                  <w:rPr>
                                    <w:rFonts w:ascii="Arial Narrow" w:hAnsi="Arial Narrow" w:cstheme="minorBidi"/>
                                    <w:color w:val="000000" w:themeColor="dark1"/>
                                    <w:kern w:val="24"/>
                                    <w:sz w:val="18"/>
                                    <w:szCs w:val="18"/>
                                  </w:rPr>
                                </w:pPr>
                                <w:r w:rsidRPr="00127BD4">
                                  <w:rPr>
                                    <w:rFonts w:ascii="Arial Narrow" w:hAnsi="Arial Narrow" w:cstheme="minorBidi"/>
                                    <w:color w:val="000000" w:themeColor="dark1"/>
                                    <w:kern w:val="24"/>
                                    <w:sz w:val="16"/>
                                    <w:szCs w:val="16"/>
                                  </w:rPr>
                                  <w:t>muy alta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ma</w:t>
                                </w:r>
                                <w:r w:rsidRPr="00127BD4">
                                  <w:rPr>
                                    <w:rFonts w:ascii="Arial Narrow" w:hAnsi="Arial Narrow" w:cstheme="minorBidi"/>
                                    <w:color w:val="000000" w:themeColor="dark1"/>
                                    <w:kern w:val="24"/>
                                    <w:sz w:val="16"/>
                                    <w:szCs w:val="16"/>
                                  </w:rPr>
                                  <w:t>)</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860946124" name="Proceso 97">
                            <a:extLst>
                              <a:ext uri="{FF2B5EF4-FFF2-40B4-BE49-F238E27FC236}">
                                <a16:creationId xmlns:a16="http://schemas.microsoft.com/office/drawing/2014/main" id="{6F89A0E8-F089-0740-A239-FFF92326AC1B}"/>
                              </a:ext>
                            </a:extLst>
                          </wps:cNvPr>
                          <wps:cNvSpPr/>
                          <wps:spPr>
                            <a:xfrm>
                              <a:off x="382" y="4949172"/>
                              <a:ext cx="8028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70447177" w14:textId="77777777" w:rsidR="0081579F" w:rsidRPr="00127BD4"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e) Reclasificar la zonificación de acuerdo con la normativa</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128380665" name="Proceso 124">
                            <a:extLst>
                              <a:ext uri="{FF2B5EF4-FFF2-40B4-BE49-F238E27FC236}">
                                <a16:creationId xmlns:a16="http://schemas.microsoft.com/office/drawing/2014/main" id="{EA7B4279-6727-3C14-E82B-F1E79E2AF4A4}"/>
                              </a:ext>
                            </a:extLst>
                          </wps:cNvPr>
                          <wps:cNvSpPr/>
                          <wps:spPr>
                            <a:xfrm>
                              <a:off x="6395704" y="217065"/>
                              <a:ext cx="144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0CC1D8D8" w14:textId="77777777" w:rsidR="0081579F" w:rsidRPr="00127BD4" w:rsidRDefault="0081579F" w:rsidP="0081579F">
                                <w:pPr>
                                  <w:jc w:val="center"/>
                                  <w:rPr>
                                    <w:rFonts w:ascii="Arial Narrow" w:hAnsi="Arial Narrow" w:cstheme="minorBidi"/>
                                    <w:b/>
                                    <w:bCs/>
                                    <w:color w:val="000000" w:themeColor="dark1"/>
                                    <w:kern w:val="24"/>
                                    <w:sz w:val="18"/>
                                    <w:szCs w:val="18"/>
                                  </w:rPr>
                                </w:pPr>
                                <w:r w:rsidRPr="00127BD4">
                                  <w:rPr>
                                    <w:rFonts w:ascii="Arial Narrow" w:hAnsi="Arial Narrow" w:cstheme="minorBidi"/>
                                    <w:b/>
                                    <w:bCs/>
                                    <w:color w:val="000000" w:themeColor="dark1"/>
                                    <w:kern w:val="24"/>
                                    <w:sz w:val="18"/>
                                    <w:szCs w:val="18"/>
                                  </w:rPr>
                                  <w:t>Normativa</w:t>
                                </w:r>
                              </w:p>
                            </w:txbxContent>
                          </wps:txbx>
                          <wps:bodyPr rot="0" spcFirstLastPara="0" vert="horz" wrap="square" lIns="27000" tIns="0" rIns="27000" bIns="0" numCol="1" spcCol="0" rtlCol="0" fromWordArt="0" anchor="ctr" anchorCtr="0" forceAA="0" compatLnSpc="1">
                            <a:prstTxWarp prst="textNoShape">
                              <a:avLst/>
                            </a:prstTxWarp>
                            <a:noAutofit/>
                          </wps:bodyPr>
                        </wps:wsp>
                        <wpg:grpSp>
                          <wpg:cNvPr id="1404014194" name="Grupo 1404014194">
                            <a:extLst>
                              <a:ext uri="{FF2B5EF4-FFF2-40B4-BE49-F238E27FC236}">
                                <a16:creationId xmlns:a16="http://schemas.microsoft.com/office/drawing/2014/main" id="{94D325E8-EFFF-33C9-9608-EED48B1446F4}"/>
                              </a:ext>
                            </a:extLst>
                          </wpg:cNvPr>
                          <wpg:cNvGrpSpPr/>
                          <wpg:grpSpPr>
                            <a:xfrm>
                              <a:off x="6397110" y="642984"/>
                              <a:ext cx="1440000" cy="745085"/>
                              <a:chOff x="6397110" y="642984"/>
                              <a:chExt cx="1440000" cy="745085"/>
                            </a:xfrm>
                          </wpg:grpSpPr>
                          <wpg:grpSp>
                            <wpg:cNvPr id="650768642" name="Grupo 650768642">
                              <a:extLst>
                                <a:ext uri="{FF2B5EF4-FFF2-40B4-BE49-F238E27FC236}">
                                  <a16:creationId xmlns:a16="http://schemas.microsoft.com/office/drawing/2014/main" id="{D49FA712-8464-23F8-4F3C-D7625EFA07D9}"/>
                                </a:ext>
                              </a:extLst>
                            </wpg:cNvPr>
                            <wpg:cNvGrpSpPr/>
                            <wpg:grpSpPr>
                              <a:xfrm>
                                <a:off x="6397110" y="667304"/>
                                <a:ext cx="1440000" cy="720765"/>
                                <a:chOff x="6397110" y="667304"/>
                                <a:chExt cx="1440000" cy="720765"/>
                              </a:xfrm>
                            </wpg:grpSpPr>
                            <wps:wsp>
                              <wps:cNvPr id="17849501" name="Proceso 124">
                                <a:extLst>
                                  <a:ext uri="{FF2B5EF4-FFF2-40B4-BE49-F238E27FC236}">
                                    <a16:creationId xmlns:a16="http://schemas.microsoft.com/office/drawing/2014/main" id="{4E68108D-9DAF-8AD5-BCB7-45A703D2D177}"/>
                                  </a:ext>
                                </a:extLst>
                              </wps:cNvPr>
                              <wps:cNvSpPr/>
                              <wps:spPr>
                                <a:xfrm>
                                  <a:off x="6397110" y="668070"/>
                                  <a:ext cx="1440000" cy="719999"/>
                                </a:xfrm>
                                <a:prstGeom prst="flowChartProcess">
                                  <a:avLst/>
                                </a:prstGeom>
                                <a:noFill/>
                                <a:ln w="3175">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s:wsp>
                              <wps:cNvPr id="928614938" name="Forma libre: forma 928614938">
                                <a:extLst>
                                  <a:ext uri="{FF2B5EF4-FFF2-40B4-BE49-F238E27FC236}">
                                    <a16:creationId xmlns:a16="http://schemas.microsoft.com/office/drawing/2014/main" id="{3C0F4B57-9A74-DFC6-6E0B-E2093CA1B2EF}"/>
                                  </a:ext>
                                </a:extLst>
                              </wps:cNvPr>
                              <wps:cNvSpPr/>
                              <wps:spPr>
                                <a:xfrm>
                                  <a:off x="6771307" y="667304"/>
                                  <a:ext cx="595313" cy="348861"/>
                                </a:xfrm>
                                <a:custGeom>
                                  <a:avLst/>
                                  <a:gdLst>
                                    <a:gd name="connsiteX0" fmla="*/ 16669 w 595313"/>
                                    <a:gd name="connsiteY0" fmla="*/ 0 h 352425"/>
                                    <a:gd name="connsiteX1" fmla="*/ 14288 w 595313"/>
                                    <a:gd name="connsiteY1" fmla="*/ 42863 h 352425"/>
                                    <a:gd name="connsiteX2" fmla="*/ 11906 w 595313"/>
                                    <a:gd name="connsiteY2" fmla="*/ 54769 h 352425"/>
                                    <a:gd name="connsiteX3" fmla="*/ 9525 w 595313"/>
                                    <a:gd name="connsiteY3" fmla="*/ 71438 h 352425"/>
                                    <a:gd name="connsiteX4" fmla="*/ 7144 w 595313"/>
                                    <a:gd name="connsiteY4" fmla="*/ 85725 h 352425"/>
                                    <a:gd name="connsiteX5" fmla="*/ 4763 w 595313"/>
                                    <a:gd name="connsiteY5" fmla="*/ 111919 h 352425"/>
                                    <a:gd name="connsiteX6" fmla="*/ 2381 w 595313"/>
                                    <a:gd name="connsiteY6" fmla="*/ 123825 h 352425"/>
                                    <a:gd name="connsiteX7" fmla="*/ 0 w 595313"/>
                                    <a:gd name="connsiteY7" fmla="*/ 138113 h 352425"/>
                                    <a:gd name="connsiteX8" fmla="*/ 7144 w 595313"/>
                                    <a:gd name="connsiteY8" fmla="*/ 228600 h 352425"/>
                                    <a:gd name="connsiteX9" fmla="*/ 9525 w 595313"/>
                                    <a:gd name="connsiteY9" fmla="*/ 238125 h 352425"/>
                                    <a:gd name="connsiteX10" fmla="*/ 21431 w 595313"/>
                                    <a:gd name="connsiteY10" fmla="*/ 252413 h 352425"/>
                                    <a:gd name="connsiteX11" fmla="*/ 26194 w 595313"/>
                                    <a:gd name="connsiteY11" fmla="*/ 259557 h 352425"/>
                                    <a:gd name="connsiteX12" fmla="*/ 45244 w 595313"/>
                                    <a:gd name="connsiteY12" fmla="*/ 271463 h 352425"/>
                                    <a:gd name="connsiteX13" fmla="*/ 50006 w 595313"/>
                                    <a:gd name="connsiteY13" fmla="*/ 278607 h 352425"/>
                                    <a:gd name="connsiteX14" fmla="*/ 64294 w 595313"/>
                                    <a:gd name="connsiteY14" fmla="*/ 285750 h 352425"/>
                                    <a:gd name="connsiteX15" fmla="*/ 69056 w 595313"/>
                                    <a:gd name="connsiteY15" fmla="*/ 307182 h 352425"/>
                                    <a:gd name="connsiteX16" fmla="*/ 73819 w 595313"/>
                                    <a:gd name="connsiteY16" fmla="*/ 335757 h 352425"/>
                                    <a:gd name="connsiteX17" fmla="*/ 80963 w 595313"/>
                                    <a:gd name="connsiteY17" fmla="*/ 342900 h 352425"/>
                                    <a:gd name="connsiteX18" fmla="*/ 104775 w 595313"/>
                                    <a:gd name="connsiteY18" fmla="*/ 347663 h 352425"/>
                                    <a:gd name="connsiteX19" fmla="*/ 126206 w 595313"/>
                                    <a:gd name="connsiteY19" fmla="*/ 352425 h 352425"/>
                                    <a:gd name="connsiteX20" fmla="*/ 135731 w 595313"/>
                                    <a:gd name="connsiteY20" fmla="*/ 350044 h 352425"/>
                                    <a:gd name="connsiteX21" fmla="*/ 142875 w 595313"/>
                                    <a:gd name="connsiteY21" fmla="*/ 345282 h 352425"/>
                                    <a:gd name="connsiteX22" fmla="*/ 150019 w 595313"/>
                                    <a:gd name="connsiteY22" fmla="*/ 342900 h 352425"/>
                                    <a:gd name="connsiteX23" fmla="*/ 171450 w 595313"/>
                                    <a:gd name="connsiteY23" fmla="*/ 345282 h 352425"/>
                                    <a:gd name="connsiteX24" fmla="*/ 180975 w 595313"/>
                                    <a:gd name="connsiteY24" fmla="*/ 347663 h 352425"/>
                                    <a:gd name="connsiteX25" fmla="*/ 195263 w 595313"/>
                                    <a:gd name="connsiteY25" fmla="*/ 350044 h 352425"/>
                                    <a:gd name="connsiteX26" fmla="*/ 226219 w 595313"/>
                                    <a:gd name="connsiteY26" fmla="*/ 345282 h 352425"/>
                                    <a:gd name="connsiteX27" fmla="*/ 254794 w 595313"/>
                                    <a:gd name="connsiteY27" fmla="*/ 333375 h 352425"/>
                                    <a:gd name="connsiteX28" fmla="*/ 261938 w 595313"/>
                                    <a:gd name="connsiteY28" fmla="*/ 330994 h 352425"/>
                                    <a:gd name="connsiteX29" fmla="*/ 295275 w 595313"/>
                                    <a:gd name="connsiteY29" fmla="*/ 328613 h 352425"/>
                                    <a:gd name="connsiteX30" fmla="*/ 302419 w 595313"/>
                                    <a:gd name="connsiteY30" fmla="*/ 321469 h 352425"/>
                                    <a:gd name="connsiteX31" fmla="*/ 323850 w 595313"/>
                                    <a:gd name="connsiteY31" fmla="*/ 309563 h 352425"/>
                                    <a:gd name="connsiteX32" fmla="*/ 342900 w 595313"/>
                                    <a:gd name="connsiteY32" fmla="*/ 307182 h 352425"/>
                                    <a:gd name="connsiteX33" fmla="*/ 357188 w 595313"/>
                                    <a:gd name="connsiteY33" fmla="*/ 300038 h 352425"/>
                                    <a:gd name="connsiteX34" fmla="*/ 369094 w 595313"/>
                                    <a:gd name="connsiteY34" fmla="*/ 290513 h 352425"/>
                                    <a:gd name="connsiteX35" fmla="*/ 471488 w 595313"/>
                                    <a:gd name="connsiteY35" fmla="*/ 288132 h 352425"/>
                                    <a:gd name="connsiteX36" fmla="*/ 481013 w 595313"/>
                                    <a:gd name="connsiteY36" fmla="*/ 271463 h 352425"/>
                                    <a:gd name="connsiteX37" fmla="*/ 485775 w 595313"/>
                                    <a:gd name="connsiteY37" fmla="*/ 252413 h 352425"/>
                                    <a:gd name="connsiteX38" fmla="*/ 483394 w 595313"/>
                                    <a:gd name="connsiteY38" fmla="*/ 238125 h 352425"/>
                                    <a:gd name="connsiteX39" fmla="*/ 471488 w 595313"/>
                                    <a:gd name="connsiteY39" fmla="*/ 221457 h 352425"/>
                                    <a:gd name="connsiteX40" fmla="*/ 457200 w 595313"/>
                                    <a:gd name="connsiteY40" fmla="*/ 183357 h 352425"/>
                                    <a:gd name="connsiteX41" fmla="*/ 454819 w 595313"/>
                                    <a:gd name="connsiteY41" fmla="*/ 176213 h 352425"/>
                                    <a:gd name="connsiteX42" fmla="*/ 445294 w 595313"/>
                                    <a:gd name="connsiteY42" fmla="*/ 152400 h 352425"/>
                                    <a:gd name="connsiteX43" fmla="*/ 440531 w 595313"/>
                                    <a:gd name="connsiteY43" fmla="*/ 133350 h 352425"/>
                                    <a:gd name="connsiteX44" fmla="*/ 431006 w 595313"/>
                                    <a:gd name="connsiteY44" fmla="*/ 119063 h 352425"/>
                                    <a:gd name="connsiteX45" fmla="*/ 438150 w 595313"/>
                                    <a:gd name="connsiteY45" fmla="*/ 111919 h 352425"/>
                                    <a:gd name="connsiteX46" fmla="*/ 473869 w 595313"/>
                                    <a:gd name="connsiteY46" fmla="*/ 104775 h 352425"/>
                                    <a:gd name="connsiteX47" fmla="*/ 490538 w 595313"/>
                                    <a:gd name="connsiteY47" fmla="*/ 100013 h 352425"/>
                                    <a:gd name="connsiteX48" fmla="*/ 502444 w 595313"/>
                                    <a:gd name="connsiteY48" fmla="*/ 97632 h 352425"/>
                                    <a:gd name="connsiteX49" fmla="*/ 521494 w 595313"/>
                                    <a:gd name="connsiteY49" fmla="*/ 85725 h 352425"/>
                                    <a:gd name="connsiteX50" fmla="*/ 526256 w 595313"/>
                                    <a:gd name="connsiteY50" fmla="*/ 78582 h 352425"/>
                                    <a:gd name="connsiteX51" fmla="*/ 533400 w 595313"/>
                                    <a:gd name="connsiteY51" fmla="*/ 61913 h 352425"/>
                                    <a:gd name="connsiteX52" fmla="*/ 535781 w 595313"/>
                                    <a:gd name="connsiteY52" fmla="*/ 35719 h 352425"/>
                                    <a:gd name="connsiteX53" fmla="*/ 545306 w 595313"/>
                                    <a:gd name="connsiteY53" fmla="*/ 30957 h 352425"/>
                                    <a:gd name="connsiteX54" fmla="*/ 552450 w 595313"/>
                                    <a:gd name="connsiteY54" fmla="*/ 28575 h 352425"/>
                                    <a:gd name="connsiteX55" fmla="*/ 569119 w 595313"/>
                                    <a:gd name="connsiteY55" fmla="*/ 21432 h 352425"/>
                                    <a:gd name="connsiteX56" fmla="*/ 585788 w 595313"/>
                                    <a:gd name="connsiteY56" fmla="*/ 11907 h 352425"/>
                                    <a:gd name="connsiteX57" fmla="*/ 595313 w 595313"/>
                                    <a:gd name="connsiteY57" fmla="*/ 2382 h 35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95313" h="352425">
                                      <a:moveTo>
                                        <a:pt x="16669" y="0"/>
                                      </a:moveTo>
                                      <a:cubicBezTo>
                                        <a:pt x="15875" y="14288"/>
                                        <a:pt x="15528" y="28607"/>
                                        <a:pt x="14288" y="42863"/>
                                      </a:cubicBezTo>
                                      <a:cubicBezTo>
                                        <a:pt x="13937" y="46895"/>
                                        <a:pt x="12571" y="50777"/>
                                        <a:pt x="11906" y="54769"/>
                                      </a:cubicBezTo>
                                      <a:cubicBezTo>
                                        <a:pt x="10983" y="60305"/>
                                        <a:pt x="10378" y="65891"/>
                                        <a:pt x="9525" y="71438"/>
                                      </a:cubicBezTo>
                                      <a:cubicBezTo>
                                        <a:pt x="8791" y="76210"/>
                                        <a:pt x="7708" y="80930"/>
                                        <a:pt x="7144" y="85725"/>
                                      </a:cubicBezTo>
                                      <a:cubicBezTo>
                                        <a:pt x="6120" y="94432"/>
                                        <a:pt x="5851" y="103219"/>
                                        <a:pt x="4763" y="111919"/>
                                      </a:cubicBezTo>
                                      <a:cubicBezTo>
                                        <a:pt x="4261" y="115935"/>
                                        <a:pt x="3105" y="119843"/>
                                        <a:pt x="2381" y="123825"/>
                                      </a:cubicBezTo>
                                      <a:cubicBezTo>
                                        <a:pt x="1517" y="128575"/>
                                        <a:pt x="794" y="133350"/>
                                        <a:pt x="0" y="138113"/>
                                      </a:cubicBezTo>
                                      <a:cubicBezTo>
                                        <a:pt x="1918" y="168795"/>
                                        <a:pt x="1176" y="198759"/>
                                        <a:pt x="7144" y="228600"/>
                                      </a:cubicBezTo>
                                      <a:cubicBezTo>
                                        <a:pt x="7786" y="231809"/>
                                        <a:pt x="8236" y="235117"/>
                                        <a:pt x="9525" y="238125"/>
                                      </a:cubicBezTo>
                                      <a:cubicBezTo>
                                        <a:pt x="12654" y="245426"/>
                                        <a:pt x="16385" y="246357"/>
                                        <a:pt x="21431" y="252413"/>
                                      </a:cubicBezTo>
                                      <a:cubicBezTo>
                                        <a:pt x="23263" y="254612"/>
                                        <a:pt x="23959" y="257769"/>
                                        <a:pt x="26194" y="259557"/>
                                      </a:cubicBezTo>
                                      <a:cubicBezTo>
                                        <a:pt x="32041" y="264235"/>
                                        <a:pt x="45244" y="271463"/>
                                        <a:pt x="45244" y="271463"/>
                                      </a:cubicBezTo>
                                      <a:cubicBezTo>
                                        <a:pt x="46831" y="273844"/>
                                        <a:pt x="47982" y="276583"/>
                                        <a:pt x="50006" y="278607"/>
                                      </a:cubicBezTo>
                                      <a:cubicBezTo>
                                        <a:pt x="54621" y="283222"/>
                                        <a:pt x="58485" y="283814"/>
                                        <a:pt x="64294" y="285750"/>
                                      </a:cubicBezTo>
                                      <a:cubicBezTo>
                                        <a:pt x="66191" y="293339"/>
                                        <a:pt x="67846" y="299317"/>
                                        <a:pt x="69056" y="307182"/>
                                      </a:cubicBezTo>
                                      <a:cubicBezTo>
                                        <a:pt x="69079" y="307334"/>
                                        <a:pt x="71300" y="331349"/>
                                        <a:pt x="73819" y="335757"/>
                                      </a:cubicBezTo>
                                      <a:cubicBezTo>
                                        <a:pt x="75490" y="338681"/>
                                        <a:pt x="78161" y="341032"/>
                                        <a:pt x="80963" y="342900"/>
                                      </a:cubicBezTo>
                                      <a:cubicBezTo>
                                        <a:pt x="85530" y="345945"/>
                                        <a:pt x="103288" y="347415"/>
                                        <a:pt x="104775" y="347663"/>
                                      </a:cubicBezTo>
                                      <a:cubicBezTo>
                                        <a:pt x="113843" y="349174"/>
                                        <a:pt x="117644" y="350285"/>
                                        <a:pt x="126206" y="352425"/>
                                      </a:cubicBezTo>
                                      <a:cubicBezTo>
                                        <a:pt x="129381" y="351631"/>
                                        <a:pt x="132723" y="351333"/>
                                        <a:pt x="135731" y="350044"/>
                                      </a:cubicBezTo>
                                      <a:cubicBezTo>
                                        <a:pt x="138362" y="348917"/>
                                        <a:pt x="140315" y="346562"/>
                                        <a:pt x="142875" y="345282"/>
                                      </a:cubicBezTo>
                                      <a:cubicBezTo>
                                        <a:pt x="145120" y="344159"/>
                                        <a:pt x="147638" y="343694"/>
                                        <a:pt x="150019" y="342900"/>
                                      </a:cubicBezTo>
                                      <a:cubicBezTo>
                                        <a:pt x="157163" y="343694"/>
                                        <a:pt x="164346" y="344189"/>
                                        <a:pt x="171450" y="345282"/>
                                      </a:cubicBezTo>
                                      <a:cubicBezTo>
                                        <a:pt x="174685" y="345780"/>
                                        <a:pt x="177766" y="347021"/>
                                        <a:pt x="180975" y="347663"/>
                                      </a:cubicBezTo>
                                      <a:cubicBezTo>
                                        <a:pt x="185710" y="348610"/>
                                        <a:pt x="190500" y="349250"/>
                                        <a:pt x="195263" y="350044"/>
                                      </a:cubicBezTo>
                                      <a:cubicBezTo>
                                        <a:pt x="200181" y="349498"/>
                                        <a:pt x="218721" y="348406"/>
                                        <a:pt x="226219" y="345282"/>
                                      </a:cubicBezTo>
                                      <a:cubicBezTo>
                                        <a:pt x="271885" y="326255"/>
                                        <a:pt x="227461" y="341185"/>
                                        <a:pt x="254794" y="333375"/>
                                      </a:cubicBezTo>
                                      <a:cubicBezTo>
                                        <a:pt x="257208" y="332685"/>
                                        <a:pt x="259445" y="331287"/>
                                        <a:pt x="261938" y="330994"/>
                                      </a:cubicBezTo>
                                      <a:cubicBezTo>
                                        <a:pt x="273002" y="329692"/>
                                        <a:pt x="284163" y="329407"/>
                                        <a:pt x="295275" y="328613"/>
                                      </a:cubicBezTo>
                                      <a:cubicBezTo>
                                        <a:pt x="297656" y="326232"/>
                                        <a:pt x="299761" y="323537"/>
                                        <a:pt x="302419" y="321469"/>
                                      </a:cubicBezTo>
                                      <a:cubicBezTo>
                                        <a:pt x="308454" y="316775"/>
                                        <a:pt x="315811" y="311025"/>
                                        <a:pt x="323850" y="309563"/>
                                      </a:cubicBezTo>
                                      <a:cubicBezTo>
                                        <a:pt x="330146" y="308418"/>
                                        <a:pt x="336550" y="307976"/>
                                        <a:pt x="342900" y="307182"/>
                                      </a:cubicBezTo>
                                      <a:cubicBezTo>
                                        <a:pt x="348708" y="305245"/>
                                        <a:pt x="352574" y="304652"/>
                                        <a:pt x="357188" y="300038"/>
                                      </a:cubicBezTo>
                                      <a:cubicBezTo>
                                        <a:pt x="363155" y="294071"/>
                                        <a:pt x="359399" y="290934"/>
                                        <a:pt x="369094" y="290513"/>
                                      </a:cubicBezTo>
                                      <a:cubicBezTo>
                                        <a:pt x="403202" y="289030"/>
                                        <a:pt x="437357" y="288926"/>
                                        <a:pt x="471488" y="288132"/>
                                      </a:cubicBezTo>
                                      <a:cubicBezTo>
                                        <a:pt x="478492" y="278792"/>
                                        <a:pt x="478416" y="280984"/>
                                        <a:pt x="481013" y="271463"/>
                                      </a:cubicBezTo>
                                      <a:cubicBezTo>
                                        <a:pt x="482735" y="265148"/>
                                        <a:pt x="485775" y="252413"/>
                                        <a:pt x="485775" y="252413"/>
                                      </a:cubicBezTo>
                                      <a:cubicBezTo>
                                        <a:pt x="484981" y="247650"/>
                                        <a:pt x="484921" y="242706"/>
                                        <a:pt x="483394" y="238125"/>
                                      </a:cubicBezTo>
                                      <a:cubicBezTo>
                                        <a:pt x="482699" y="236041"/>
                                        <a:pt x="471653" y="221677"/>
                                        <a:pt x="471488" y="221457"/>
                                      </a:cubicBezTo>
                                      <a:cubicBezTo>
                                        <a:pt x="458231" y="181686"/>
                                        <a:pt x="470683" y="217064"/>
                                        <a:pt x="457200" y="183357"/>
                                      </a:cubicBezTo>
                                      <a:cubicBezTo>
                                        <a:pt x="456268" y="181026"/>
                                        <a:pt x="455808" y="178520"/>
                                        <a:pt x="454819" y="176213"/>
                                      </a:cubicBezTo>
                                      <a:cubicBezTo>
                                        <a:pt x="448903" y="162409"/>
                                        <a:pt x="449634" y="169757"/>
                                        <a:pt x="445294" y="152400"/>
                                      </a:cubicBezTo>
                                      <a:cubicBezTo>
                                        <a:pt x="443706" y="146050"/>
                                        <a:pt x="444162" y="138796"/>
                                        <a:pt x="440531" y="133350"/>
                                      </a:cubicBezTo>
                                      <a:lnTo>
                                        <a:pt x="431006" y="119063"/>
                                      </a:lnTo>
                                      <a:cubicBezTo>
                                        <a:pt x="433387" y="116682"/>
                                        <a:pt x="435084" y="113313"/>
                                        <a:pt x="438150" y="111919"/>
                                      </a:cubicBezTo>
                                      <a:cubicBezTo>
                                        <a:pt x="448125" y="107385"/>
                                        <a:pt x="463172" y="106720"/>
                                        <a:pt x="473869" y="104775"/>
                                      </a:cubicBezTo>
                                      <a:cubicBezTo>
                                        <a:pt x="490207" y="101804"/>
                                        <a:pt x="476931" y="103414"/>
                                        <a:pt x="490538" y="100013"/>
                                      </a:cubicBezTo>
                                      <a:cubicBezTo>
                                        <a:pt x="494464" y="99031"/>
                                        <a:pt x="498475" y="98426"/>
                                        <a:pt x="502444" y="97632"/>
                                      </a:cubicBezTo>
                                      <a:cubicBezTo>
                                        <a:pt x="509989" y="93859"/>
                                        <a:pt x="515312" y="91907"/>
                                        <a:pt x="521494" y="85725"/>
                                      </a:cubicBezTo>
                                      <a:cubicBezTo>
                                        <a:pt x="523517" y="83702"/>
                                        <a:pt x="524836" y="81067"/>
                                        <a:pt x="526256" y="78582"/>
                                      </a:cubicBezTo>
                                      <a:cubicBezTo>
                                        <a:pt x="530966" y="70341"/>
                                        <a:pt x="530728" y="69930"/>
                                        <a:pt x="533400" y="61913"/>
                                      </a:cubicBezTo>
                                      <a:cubicBezTo>
                                        <a:pt x="534194" y="53182"/>
                                        <a:pt x="532634" y="43902"/>
                                        <a:pt x="535781" y="35719"/>
                                      </a:cubicBezTo>
                                      <a:cubicBezTo>
                                        <a:pt x="537055" y="32406"/>
                                        <a:pt x="542043" y="32355"/>
                                        <a:pt x="545306" y="30957"/>
                                      </a:cubicBezTo>
                                      <a:cubicBezTo>
                                        <a:pt x="547613" y="29968"/>
                                        <a:pt x="550205" y="29698"/>
                                        <a:pt x="552450" y="28575"/>
                                      </a:cubicBezTo>
                                      <a:cubicBezTo>
                                        <a:pt x="568891" y="20355"/>
                                        <a:pt x="549300" y="26386"/>
                                        <a:pt x="569119" y="21432"/>
                                      </a:cubicBezTo>
                                      <a:cubicBezTo>
                                        <a:pt x="572850" y="19566"/>
                                        <a:pt x="582425" y="15270"/>
                                        <a:pt x="585788" y="11907"/>
                                      </a:cubicBezTo>
                                      <a:cubicBezTo>
                                        <a:pt x="597282" y="413"/>
                                        <a:pt x="584425" y="7825"/>
                                        <a:pt x="595313" y="2382"/>
                                      </a:cubicBezTo>
                                    </a:path>
                                  </a:pathLst>
                                </a:custGeom>
                                <a:noFill/>
                                <a:ln w="952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7756163" name="Forma libre: forma 227756163">
                                <a:extLst>
                                  <a:ext uri="{FF2B5EF4-FFF2-40B4-BE49-F238E27FC236}">
                                    <a16:creationId xmlns:a16="http://schemas.microsoft.com/office/drawing/2014/main" id="{10C7CA46-8BF4-2D6C-CCD1-2C59280640BC}"/>
                                  </a:ext>
                                </a:extLst>
                              </wps:cNvPr>
                              <wps:cNvSpPr/>
                              <wps:spPr>
                                <a:xfrm>
                                  <a:off x="7131307" y="965481"/>
                                  <a:ext cx="474532" cy="421823"/>
                                </a:xfrm>
                                <a:custGeom>
                                  <a:avLst/>
                                  <a:gdLst>
                                    <a:gd name="connsiteX0" fmla="*/ 469106 w 474532"/>
                                    <a:gd name="connsiteY0" fmla="*/ 421823 h 421823"/>
                                    <a:gd name="connsiteX1" fmla="*/ 473869 w 474532"/>
                                    <a:gd name="connsiteY1" fmla="*/ 331335 h 421823"/>
                                    <a:gd name="connsiteX2" fmla="*/ 459581 w 474532"/>
                                    <a:gd name="connsiteY2" fmla="*/ 300379 h 421823"/>
                                    <a:gd name="connsiteX3" fmla="*/ 445294 w 474532"/>
                                    <a:gd name="connsiteY3" fmla="*/ 281329 h 421823"/>
                                    <a:gd name="connsiteX4" fmla="*/ 440531 w 474532"/>
                                    <a:gd name="connsiteY4" fmla="*/ 274185 h 421823"/>
                                    <a:gd name="connsiteX5" fmla="*/ 421481 w 474532"/>
                                    <a:gd name="connsiteY5" fmla="*/ 252754 h 421823"/>
                                    <a:gd name="connsiteX6" fmla="*/ 416719 w 474532"/>
                                    <a:gd name="connsiteY6" fmla="*/ 221798 h 421823"/>
                                    <a:gd name="connsiteX7" fmla="*/ 414337 w 474532"/>
                                    <a:gd name="connsiteY7" fmla="*/ 214654 h 421823"/>
                                    <a:gd name="connsiteX8" fmla="*/ 411956 w 474532"/>
                                    <a:gd name="connsiteY8" fmla="*/ 200367 h 421823"/>
                                    <a:gd name="connsiteX9" fmla="*/ 409575 w 474532"/>
                                    <a:gd name="connsiteY9" fmla="*/ 159885 h 421823"/>
                                    <a:gd name="connsiteX10" fmla="*/ 404812 w 474532"/>
                                    <a:gd name="connsiteY10" fmla="*/ 152742 h 421823"/>
                                    <a:gd name="connsiteX11" fmla="*/ 390525 w 474532"/>
                                    <a:gd name="connsiteY11" fmla="*/ 147979 h 421823"/>
                                    <a:gd name="connsiteX12" fmla="*/ 371475 w 474532"/>
                                    <a:gd name="connsiteY12" fmla="*/ 143217 h 421823"/>
                                    <a:gd name="connsiteX13" fmla="*/ 323850 w 474532"/>
                                    <a:gd name="connsiteY13" fmla="*/ 145598 h 421823"/>
                                    <a:gd name="connsiteX14" fmla="*/ 311944 w 474532"/>
                                    <a:gd name="connsiteY14" fmla="*/ 155123 h 421823"/>
                                    <a:gd name="connsiteX15" fmla="*/ 300037 w 474532"/>
                                    <a:gd name="connsiteY15" fmla="*/ 157504 h 421823"/>
                                    <a:gd name="connsiteX16" fmla="*/ 266700 w 474532"/>
                                    <a:gd name="connsiteY16" fmla="*/ 155123 h 421823"/>
                                    <a:gd name="connsiteX17" fmla="*/ 257175 w 474532"/>
                                    <a:gd name="connsiteY17" fmla="*/ 140835 h 421823"/>
                                    <a:gd name="connsiteX18" fmla="*/ 245269 w 474532"/>
                                    <a:gd name="connsiteY18" fmla="*/ 126548 h 421823"/>
                                    <a:gd name="connsiteX19" fmla="*/ 235744 w 474532"/>
                                    <a:gd name="connsiteY19" fmla="*/ 121785 h 421823"/>
                                    <a:gd name="connsiteX20" fmla="*/ 221456 w 474532"/>
                                    <a:gd name="connsiteY20" fmla="*/ 112260 h 421823"/>
                                    <a:gd name="connsiteX21" fmla="*/ 207169 w 474532"/>
                                    <a:gd name="connsiteY21" fmla="*/ 102735 h 421823"/>
                                    <a:gd name="connsiteX22" fmla="*/ 195262 w 474532"/>
                                    <a:gd name="connsiteY22" fmla="*/ 95592 h 421823"/>
                                    <a:gd name="connsiteX23" fmla="*/ 190500 w 474532"/>
                                    <a:gd name="connsiteY23" fmla="*/ 88448 h 421823"/>
                                    <a:gd name="connsiteX24" fmla="*/ 171450 w 474532"/>
                                    <a:gd name="connsiteY24" fmla="*/ 78923 h 421823"/>
                                    <a:gd name="connsiteX25" fmla="*/ 164306 w 474532"/>
                                    <a:gd name="connsiteY25" fmla="*/ 74160 h 421823"/>
                                    <a:gd name="connsiteX26" fmla="*/ 154781 w 474532"/>
                                    <a:gd name="connsiteY26" fmla="*/ 59873 h 421823"/>
                                    <a:gd name="connsiteX27" fmla="*/ 150019 w 474532"/>
                                    <a:gd name="connsiteY27" fmla="*/ 52729 h 421823"/>
                                    <a:gd name="connsiteX28" fmla="*/ 130969 w 474532"/>
                                    <a:gd name="connsiteY28" fmla="*/ 43204 h 421823"/>
                                    <a:gd name="connsiteX29" fmla="*/ 119062 w 474532"/>
                                    <a:gd name="connsiteY29" fmla="*/ 40823 h 421823"/>
                                    <a:gd name="connsiteX30" fmla="*/ 109537 w 474532"/>
                                    <a:gd name="connsiteY30" fmla="*/ 38442 h 421823"/>
                                    <a:gd name="connsiteX31" fmla="*/ 83344 w 474532"/>
                                    <a:gd name="connsiteY31" fmla="*/ 36060 h 421823"/>
                                    <a:gd name="connsiteX32" fmla="*/ 73819 w 474532"/>
                                    <a:gd name="connsiteY32" fmla="*/ 33679 h 421823"/>
                                    <a:gd name="connsiteX33" fmla="*/ 59531 w 474532"/>
                                    <a:gd name="connsiteY33" fmla="*/ 31298 h 421823"/>
                                    <a:gd name="connsiteX34" fmla="*/ 47625 w 474532"/>
                                    <a:gd name="connsiteY34" fmla="*/ 28917 h 421823"/>
                                    <a:gd name="connsiteX35" fmla="*/ 38100 w 474532"/>
                                    <a:gd name="connsiteY35" fmla="*/ 24154 h 421823"/>
                                    <a:gd name="connsiteX36" fmla="*/ 23812 w 474532"/>
                                    <a:gd name="connsiteY36" fmla="*/ 19392 h 421823"/>
                                    <a:gd name="connsiteX37" fmla="*/ 9525 w 474532"/>
                                    <a:gd name="connsiteY37" fmla="*/ 342 h 421823"/>
                                    <a:gd name="connsiteX38" fmla="*/ 0 w 474532"/>
                                    <a:gd name="connsiteY38" fmla="*/ 342 h 421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74532" h="421823">
                                      <a:moveTo>
                                        <a:pt x="469106" y="421823"/>
                                      </a:moveTo>
                                      <a:cubicBezTo>
                                        <a:pt x="474928" y="386888"/>
                                        <a:pt x="475212" y="389101"/>
                                        <a:pt x="473869" y="331335"/>
                                      </a:cubicBezTo>
                                      <a:cubicBezTo>
                                        <a:pt x="473234" y="304031"/>
                                        <a:pt x="475138" y="308158"/>
                                        <a:pt x="459581" y="300379"/>
                                      </a:cubicBezTo>
                                      <a:cubicBezTo>
                                        <a:pt x="454819" y="294029"/>
                                        <a:pt x="449697" y="287933"/>
                                        <a:pt x="445294" y="281329"/>
                                      </a:cubicBezTo>
                                      <a:cubicBezTo>
                                        <a:pt x="443706" y="278948"/>
                                        <a:pt x="442432" y="276324"/>
                                        <a:pt x="440531" y="274185"/>
                                      </a:cubicBezTo>
                                      <a:cubicBezTo>
                                        <a:pt x="418783" y="249718"/>
                                        <a:pt x="432291" y="268968"/>
                                        <a:pt x="421481" y="252754"/>
                                      </a:cubicBezTo>
                                      <a:cubicBezTo>
                                        <a:pt x="415749" y="235557"/>
                                        <a:pt x="421983" y="256007"/>
                                        <a:pt x="416719" y="221798"/>
                                      </a:cubicBezTo>
                                      <a:cubicBezTo>
                                        <a:pt x="416337" y="219317"/>
                                        <a:pt x="415131" y="217035"/>
                                        <a:pt x="414337" y="214654"/>
                                      </a:cubicBezTo>
                                      <a:cubicBezTo>
                                        <a:pt x="413543" y="209892"/>
                                        <a:pt x="412374" y="205177"/>
                                        <a:pt x="411956" y="200367"/>
                                      </a:cubicBezTo>
                                      <a:cubicBezTo>
                                        <a:pt x="410785" y="186900"/>
                                        <a:pt x="411580" y="173253"/>
                                        <a:pt x="409575" y="159885"/>
                                      </a:cubicBezTo>
                                      <a:cubicBezTo>
                                        <a:pt x="409150" y="157055"/>
                                        <a:pt x="407239" y="154259"/>
                                        <a:pt x="404812" y="152742"/>
                                      </a:cubicBezTo>
                                      <a:cubicBezTo>
                                        <a:pt x="400555" y="150081"/>
                                        <a:pt x="395395" y="149196"/>
                                        <a:pt x="390525" y="147979"/>
                                      </a:cubicBezTo>
                                      <a:lnTo>
                                        <a:pt x="371475" y="143217"/>
                                      </a:lnTo>
                                      <a:cubicBezTo>
                                        <a:pt x="355600" y="144011"/>
                                        <a:pt x="339685" y="144221"/>
                                        <a:pt x="323850" y="145598"/>
                                      </a:cubicBezTo>
                                      <a:cubicBezTo>
                                        <a:pt x="308656" y="146919"/>
                                        <a:pt x="324181" y="148131"/>
                                        <a:pt x="311944" y="155123"/>
                                      </a:cubicBezTo>
                                      <a:cubicBezTo>
                                        <a:pt x="308430" y="157131"/>
                                        <a:pt x="304006" y="156710"/>
                                        <a:pt x="300037" y="157504"/>
                                      </a:cubicBezTo>
                                      <a:cubicBezTo>
                                        <a:pt x="288925" y="156710"/>
                                        <a:pt x="277544" y="157675"/>
                                        <a:pt x="266700" y="155123"/>
                                      </a:cubicBezTo>
                                      <a:cubicBezTo>
                                        <a:pt x="259025" y="153317"/>
                                        <a:pt x="259694" y="145872"/>
                                        <a:pt x="257175" y="140835"/>
                                      </a:cubicBezTo>
                                      <a:cubicBezTo>
                                        <a:pt x="254856" y="136197"/>
                                        <a:pt x="249362" y="129472"/>
                                        <a:pt x="245269" y="126548"/>
                                      </a:cubicBezTo>
                                      <a:cubicBezTo>
                                        <a:pt x="242380" y="124485"/>
                                        <a:pt x="238788" y="123611"/>
                                        <a:pt x="235744" y="121785"/>
                                      </a:cubicBezTo>
                                      <a:cubicBezTo>
                                        <a:pt x="230836" y="118840"/>
                                        <a:pt x="226219" y="115435"/>
                                        <a:pt x="221456" y="112260"/>
                                      </a:cubicBezTo>
                                      <a:cubicBezTo>
                                        <a:pt x="216694" y="109085"/>
                                        <a:pt x="212077" y="105679"/>
                                        <a:pt x="207169" y="102735"/>
                                      </a:cubicBezTo>
                                      <a:lnTo>
                                        <a:pt x="195262" y="95592"/>
                                      </a:lnTo>
                                      <a:cubicBezTo>
                                        <a:pt x="193675" y="93211"/>
                                        <a:pt x="192845" y="90089"/>
                                        <a:pt x="190500" y="88448"/>
                                      </a:cubicBezTo>
                                      <a:cubicBezTo>
                                        <a:pt x="184684" y="84377"/>
                                        <a:pt x="177357" y="82861"/>
                                        <a:pt x="171450" y="78923"/>
                                      </a:cubicBezTo>
                                      <a:lnTo>
                                        <a:pt x="164306" y="74160"/>
                                      </a:lnTo>
                                      <a:lnTo>
                                        <a:pt x="154781" y="59873"/>
                                      </a:lnTo>
                                      <a:cubicBezTo>
                                        <a:pt x="153194" y="57492"/>
                                        <a:pt x="152579" y="54009"/>
                                        <a:pt x="150019" y="52729"/>
                                      </a:cubicBezTo>
                                      <a:cubicBezTo>
                                        <a:pt x="143669" y="49554"/>
                                        <a:pt x="137931" y="44596"/>
                                        <a:pt x="130969" y="43204"/>
                                      </a:cubicBezTo>
                                      <a:cubicBezTo>
                                        <a:pt x="127000" y="42410"/>
                                        <a:pt x="123013" y="41701"/>
                                        <a:pt x="119062" y="40823"/>
                                      </a:cubicBezTo>
                                      <a:cubicBezTo>
                                        <a:pt x="115867" y="40113"/>
                                        <a:pt x="112781" y="38875"/>
                                        <a:pt x="109537" y="38442"/>
                                      </a:cubicBezTo>
                                      <a:cubicBezTo>
                                        <a:pt x="100847" y="37283"/>
                                        <a:pt x="92075" y="36854"/>
                                        <a:pt x="83344" y="36060"/>
                                      </a:cubicBezTo>
                                      <a:cubicBezTo>
                                        <a:pt x="80169" y="35266"/>
                                        <a:pt x="77028" y="34321"/>
                                        <a:pt x="73819" y="33679"/>
                                      </a:cubicBezTo>
                                      <a:cubicBezTo>
                                        <a:pt x="69084" y="32732"/>
                                        <a:pt x="64281" y="32162"/>
                                        <a:pt x="59531" y="31298"/>
                                      </a:cubicBezTo>
                                      <a:cubicBezTo>
                                        <a:pt x="55549" y="30574"/>
                                        <a:pt x="51594" y="29711"/>
                                        <a:pt x="47625" y="28917"/>
                                      </a:cubicBezTo>
                                      <a:cubicBezTo>
                                        <a:pt x="44450" y="27329"/>
                                        <a:pt x="41396" y="25472"/>
                                        <a:pt x="38100" y="24154"/>
                                      </a:cubicBezTo>
                                      <a:cubicBezTo>
                                        <a:pt x="33439" y="22290"/>
                                        <a:pt x="27362" y="22942"/>
                                        <a:pt x="23812" y="19392"/>
                                      </a:cubicBezTo>
                                      <a:cubicBezTo>
                                        <a:pt x="8839" y="4419"/>
                                        <a:pt x="29966" y="5452"/>
                                        <a:pt x="9525" y="342"/>
                                      </a:cubicBezTo>
                                      <a:cubicBezTo>
                                        <a:pt x="6445" y="-428"/>
                                        <a:pt x="3175" y="342"/>
                                        <a:pt x="0" y="342"/>
                                      </a:cubicBezTo>
                                    </a:path>
                                  </a:pathLst>
                                </a:custGeom>
                                <a:noFill/>
                                <a:ln w="952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35946307" name="Proceso 124">
                              <a:extLst>
                                <a:ext uri="{FF2B5EF4-FFF2-40B4-BE49-F238E27FC236}">
                                  <a16:creationId xmlns:a16="http://schemas.microsoft.com/office/drawing/2014/main" id="{02782CA6-C456-0CEE-B576-5B240E9A328F}"/>
                                </a:ext>
                              </a:extLst>
                            </wps:cNvPr>
                            <wps:cNvSpPr/>
                            <wps:spPr>
                              <a:xfrm>
                                <a:off x="6831693" y="642984"/>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03A89EA1"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AE</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363337098" name="Proceso 124">
                              <a:extLst>
                                <a:ext uri="{FF2B5EF4-FFF2-40B4-BE49-F238E27FC236}">
                                  <a16:creationId xmlns:a16="http://schemas.microsoft.com/office/drawing/2014/main" id="{6C0B32EB-9AEB-9DB3-99CC-911438F318F2}"/>
                                </a:ext>
                              </a:extLst>
                            </wps:cNvPr>
                            <wps:cNvSpPr/>
                            <wps:spPr>
                              <a:xfrm>
                                <a:off x="7397157" y="763906"/>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76DA36E4"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AIR</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78535604" name="Proceso 124">
                              <a:extLst>
                                <a:ext uri="{FF2B5EF4-FFF2-40B4-BE49-F238E27FC236}">
                                  <a16:creationId xmlns:a16="http://schemas.microsoft.com/office/drawing/2014/main" id="{578D3B1D-2E1C-F203-887F-1FBF024667E4}"/>
                                </a:ext>
                              </a:extLst>
                            </wps:cNvPr>
                            <wps:cNvSpPr/>
                            <wps:spPr>
                              <a:xfrm>
                                <a:off x="6664988" y="984856"/>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2C78AFB5"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AI</w:t>
                                  </w:r>
                                </w:p>
                              </w:txbxContent>
                            </wps:txbx>
                            <wps:bodyPr rot="0" spcFirstLastPara="0" vert="horz" wrap="square" lIns="27000" tIns="0" rIns="27000" bIns="0" numCol="1" spcCol="0" rtlCol="0" fromWordArt="0" anchor="ctr" anchorCtr="0" forceAA="0" compatLnSpc="1">
                              <a:prstTxWarp prst="textNoShape">
                                <a:avLst/>
                              </a:prstTxWarp>
                              <a:noAutofit/>
                            </wps:bodyPr>
                          </wps:wsp>
                        </wpg:grpSp>
                        <wpg:grpSp>
                          <wpg:cNvPr id="756239306" name="Grupo 756239306">
                            <a:extLst>
                              <a:ext uri="{FF2B5EF4-FFF2-40B4-BE49-F238E27FC236}">
                                <a16:creationId xmlns:a16="http://schemas.microsoft.com/office/drawing/2014/main" id="{07283012-F23E-5231-C937-F313035DDD57}"/>
                              </a:ext>
                            </a:extLst>
                          </wpg:cNvPr>
                          <wpg:cNvGrpSpPr/>
                          <wpg:grpSpPr>
                            <a:xfrm>
                              <a:off x="6397110" y="5286104"/>
                              <a:ext cx="1440257" cy="720789"/>
                              <a:chOff x="6397110" y="5286104"/>
                              <a:chExt cx="1440257" cy="720789"/>
                            </a:xfrm>
                          </wpg:grpSpPr>
                          <wpg:grpSp>
                            <wpg:cNvPr id="1236343798" name="Grupo 1236343798">
                              <a:extLst>
                                <a:ext uri="{FF2B5EF4-FFF2-40B4-BE49-F238E27FC236}">
                                  <a16:creationId xmlns:a16="http://schemas.microsoft.com/office/drawing/2014/main" id="{91F2BAA4-47B1-1F62-D1D5-F44E4E1C901F}"/>
                                </a:ext>
                              </a:extLst>
                            </wpg:cNvPr>
                            <wpg:cNvGrpSpPr/>
                            <wpg:grpSpPr>
                              <a:xfrm>
                                <a:off x="6397110" y="5286104"/>
                                <a:ext cx="1440257" cy="720789"/>
                                <a:chOff x="6397110" y="5286104"/>
                                <a:chExt cx="1440257" cy="720789"/>
                              </a:xfrm>
                            </wpg:grpSpPr>
                            <wpg:grpSp>
                              <wpg:cNvPr id="1830357241" name="Grupo 1830357241">
                                <a:extLst>
                                  <a:ext uri="{FF2B5EF4-FFF2-40B4-BE49-F238E27FC236}">
                                    <a16:creationId xmlns:a16="http://schemas.microsoft.com/office/drawing/2014/main" id="{2AE5F073-EA5F-27A3-F31D-C982AC071E4A}"/>
                                  </a:ext>
                                </a:extLst>
                              </wpg:cNvPr>
                              <wpg:cNvGrpSpPr/>
                              <wpg:grpSpPr>
                                <a:xfrm>
                                  <a:off x="6397110" y="5286104"/>
                                  <a:ext cx="1440257" cy="720774"/>
                                  <a:chOff x="6397110" y="5286104"/>
                                  <a:chExt cx="1440257" cy="720774"/>
                                </a:xfrm>
                              </wpg:grpSpPr>
                              <wps:wsp>
                                <wps:cNvPr id="1295083889" name="Forma libre: forma 1295083889">
                                  <a:extLst>
                                    <a:ext uri="{FF2B5EF4-FFF2-40B4-BE49-F238E27FC236}">
                                      <a16:creationId xmlns:a16="http://schemas.microsoft.com/office/drawing/2014/main" id="{E23BD6C0-1871-0E24-5449-6C3142BDDA22}"/>
                                    </a:ext>
                                  </a:extLst>
                                </wps:cNvPr>
                                <wps:cNvSpPr/>
                                <wps:spPr>
                                  <a:xfrm>
                                    <a:off x="7145656" y="5286878"/>
                                    <a:ext cx="691711" cy="720000"/>
                                  </a:xfrm>
                                  <a:custGeom>
                                    <a:avLst/>
                                    <a:gdLst>
                                      <a:gd name="connsiteX0" fmla="*/ 455615 w 691711"/>
                                      <a:gd name="connsiteY0" fmla="*/ 242093 h 720000"/>
                                      <a:gd name="connsiteX1" fmla="*/ 541340 w 691711"/>
                                      <a:gd name="connsiteY1" fmla="*/ 251618 h 720000"/>
                                      <a:gd name="connsiteX2" fmla="*/ 566740 w 691711"/>
                                      <a:gd name="connsiteY2" fmla="*/ 257968 h 720000"/>
                                      <a:gd name="connsiteX3" fmla="*/ 578931 w 691711"/>
                                      <a:gd name="connsiteY3" fmla="*/ 260681 h 720000"/>
                                      <a:gd name="connsiteX4" fmla="*/ 581947 w 691711"/>
                                      <a:gd name="connsiteY4" fmla="*/ 261203 h 720000"/>
                                      <a:gd name="connsiteX5" fmla="*/ 592071 w 691711"/>
                                      <a:gd name="connsiteY5" fmla="*/ 264233 h 720000"/>
                                      <a:gd name="connsiteX6" fmla="*/ 614365 w 691711"/>
                                      <a:gd name="connsiteY6" fmla="*/ 270668 h 720000"/>
                                      <a:gd name="connsiteX7" fmla="*/ 627065 w 691711"/>
                                      <a:gd name="connsiteY7" fmla="*/ 273843 h 720000"/>
                                      <a:gd name="connsiteX8" fmla="*/ 646115 w 691711"/>
                                      <a:gd name="connsiteY8" fmla="*/ 283368 h 720000"/>
                                      <a:gd name="connsiteX9" fmla="*/ 661990 w 691711"/>
                                      <a:gd name="connsiteY9" fmla="*/ 286543 h 720000"/>
                                      <a:gd name="connsiteX10" fmla="*/ 684215 w 691711"/>
                                      <a:gd name="connsiteY10" fmla="*/ 305593 h 720000"/>
                                      <a:gd name="connsiteX11" fmla="*/ 691711 w 691711"/>
                                      <a:gd name="connsiteY11" fmla="*/ 311285 h 720000"/>
                                      <a:gd name="connsiteX12" fmla="*/ 691711 w 691711"/>
                                      <a:gd name="connsiteY12" fmla="*/ 720000 h 720000"/>
                                      <a:gd name="connsiteX13" fmla="*/ 458100 w 691711"/>
                                      <a:gd name="connsiteY13" fmla="*/ 720000 h 720000"/>
                                      <a:gd name="connsiteX14" fmla="*/ 455615 w 691711"/>
                                      <a:gd name="connsiteY14" fmla="*/ 680243 h 720000"/>
                                      <a:gd name="connsiteX15" fmla="*/ 461965 w 691711"/>
                                      <a:gd name="connsiteY15" fmla="*/ 651668 h 720000"/>
                                      <a:gd name="connsiteX16" fmla="*/ 465140 w 691711"/>
                                      <a:gd name="connsiteY16" fmla="*/ 623093 h 720000"/>
                                      <a:gd name="connsiteX17" fmla="*/ 458790 w 691711"/>
                                      <a:gd name="connsiteY17" fmla="*/ 604043 h 720000"/>
                                      <a:gd name="connsiteX18" fmla="*/ 446090 w 691711"/>
                                      <a:gd name="connsiteY18" fmla="*/ 581818 h 720000"/>
                                      <a:gd name="connsiteX19" fmla="*/ 423865 w 691711"/>
                                      <a:gd name="connsiteY19" fmla="*/ 559593 h 720000"/>
                                      <a:gd name="connsiteX20" fmla="*/ 420690 w 691711"/>
                                      <a:gd name="connsiteY20" fmla="*/ 550068 h 720000"/>
                                      <a:gd name="connsiteX21" fmla="*/ 404815 w 691711"/>
                                      <a:gd name="connsiteY21" fmla="*/ 521493 h 720000"/>
                                      <a:gd name="connsiteX22" fmla="*/ 392115 w 691711"/>
                                      <a:gd name="connsiteY22" fmla="*/ 508793 h 720000"/>
                                      <a:gd name="connsiteX23" fmla="*/ 388940 w 691711"/>
                                      <a:gd name="connsiteY23" fmla="*/ 461168 h 720000"/>
                                      <a:gd name="connsiteX24" fmla="*/ 331790 w 691711"/>
                                      <a:gd name="connsiteY24" fmla="*/ 451643 h 720000"/>
                                      <a:gd name="connsiteX25" fmla="*/ 315915 w 691711"/>
                                      <a:gd name="connsiteY25" fmla="*/ 454818 h 720000"/>
                                      <a:gd name="connsiteX26" fmla="*/ 287340 w 691711"/>
                                      <a:gd name="connsiteY26" fmla="*/ 457993 h 720000"/>
                                      <a:gd name="connsiteX27" fmla="*/ 271465 w 691711"/>
                                      <a:gd name="connsiteY27" fmla="*/ 454818 h 720000"/>
                                      <a:gd name="connsiteX28" fmla="*/ 258765 w 691711"/>
                                      <a:gd name="connsiteY28" fmla="*/ 438943 h 720000"/>
                                      <a:gd name="connsiteX29" fmla="*/ 249240 w 691711"/>
                                      <a:gd name="connsiteY29" fmla="*/ 429418 h 720000"/>
                                      <a:gd name="connsiteX30" fmla="*/ 223840 w 691711"/>
                                      <a:gd name="connsiteY30" fmla="*/ 423068 h 720000"/>
                                      <a:gd name="connsiteX31" fmla="*/ 198440 w 691711"/>
                                      <a:gd name="connsiteY31" fmla="*/ 416718 h 720000"/>
                                      <a:gd name="connsiteX32" fmla="*/ 188915 w 691711"/>
                                      <a:gd name="connsiteY32" fmla="*/ 404018 h 720000"/>
                                      <a:gd name="connsiteX33" fmla="*/ 179390 w 691711"/>
                                      <a:gd name="connsiteY33" fmla="*/ 397668 h 720000"/>
                                      <a:gd name="connsiteX34" fmla="*/ 173040 w 691711"/>
                                      <a:gd name="connsiteY34" fmla="*/ 388143 h 720000"/>
                                      <a:gd name="connsiteX35" fmla="*/ 153990 w 691711"/>
                                      <a:gd name="connsiteY35" fmla="*/ 365918 h 720000"/>
                                      <a:gd name="connsiteX36" fmla="*/ 144465 w 691711"/>
                                      <a:gd name="connsiteY36" fmla="*/ 359568 h 720000"/>
                                      <a:gd name="connsiteX37" fmla="*/ 125415 w 691711"/>
                                      <a:gd name="connsiteY37" fmla="*/ 346868 h 720000"/>
                                      <a:gd name="connsiteX38" fmla="*/ 103190 w 691711"/>
                                      <a:gd name="connsiteY38" fmla="*/ 337343 h 720000"/>
                                      <a:gd name="connsiteX39" fmla="*/ 90490 w 691711"/>
                                      <a:gd name="connsiteY39" fmla="*/ 334168 h 720000"/>
                                      <a:gd name="connsiteX40" fmla="*/ 80965 w 691711"/>
                                      <a:gd name="connsiteY40" fmla="*/ 330993 h 720000"/>
                                      <a:gd name="connsiteX41" fmla="*/ 7940 w 691711"/>
                                      <a:gd name="connsiteY41" fmla="*/ 327818 h 720000"/>
                                      <a:gd name="connsiteX42" fmla="*/ 1590 w 691711"/>
                                      <a:gd name="connsiteY42" fmla="*/ 302418 h 720000"/>
                                      <a:gd name="connsiteX43" fmla="*/ 4263 w 691711"/>
                                      <a:gd name="connsiteY43" fmla="*/ 293687 h 720000"/>
                                      <a:gd name="connsiteX44" fmla="*/ 8814 w 691711"/>
                                      <a:gd name="connsiteY44" fmla="*/ 291698 h 720000"/>
                                      <a:gd name="connsiteX45" fmla="*/ 29484 w 691711"/>
                                      <a:gd name="connsiteY45" fmla="*/ 290549 h 720000"/>
                                      <a:gd name="connsiteX46" fmla="*/ 36515 w 691711"/>
                                      <a:gd name="connsiteY46" fmla="*/ 292893 h 720000"/>
                                      <a:gd name="connsiteX47" fmla="*/ 77790 w 691711"/>
                                      <a:gd name="connsiteY47" fmla="*/ 296068 h 720000"/>
                                      <a:gd name="connsiteX48" fmla="*/ 106365 w 691711"/>
                                      <a:gd name="connsiteY48" fmla="*/ 289718 h 720000"/>
                                      <a:gd name="connsiteX49" fmla="*/ 119065 w 691711"/>
                                      <a:gd name="connsiteY49" fmla="*/ 286543 h 720000"/>
                                      <a:gd name="connsiteX50" fmla="*/ 141290 w 691711"/>
                                      <a:gd name="connsiteY50" fmla="*/ 283368 h 720000"/>
                                      <a:gd name="connsiteX51" fmla="*/ 153990 w 691711"/>
                                      <a:gd name="connsiteY51" fmla="*/ 280193 h 720000"/>
                                      <a:gd name="connsiteX52" fmla="*/ 163515 w 691711"/>
                                      <a:gd name="connsiteY52" fmla="*/ 277018 h 720000"/>
                                      <a:gd name="connsiteX53" fmla="*/ 211140 w 691711"/>
                                      <a:gd name="connsiteY53" fmla="*/ 267493 h 720000"/>
                                      <a:gd name="connsiteX54" fmla="*/ 258765 w 691711"/>
                                      <a:gd name="connsiteY54" fmla="*/ 261143 h 720000"/>
                                      <a:gd name="connsiteX55" fmla="*/ 271465 w 691711"/>
                                      <a:gd name="connsiteY55" fmla="*/ 257968 h 720000"/>
                                      <a:gd name="connsiteX56" fmla="*/ 300040 w 691711"/>
                                      <a:gd name="connsiteY56" fmla="*/ 251618 h 720000"/>
                                      <a:gd name="connsiteX57" fmla="*/ 325440 w 691711"/>
                                      <a:gd name="connsiteY57" fmla="*/ 245268 h 720000"/>
                                      <a:gd name="connsiteX58" fmla="*/ 455615 w 691711"/>
                                      <a:gd name="connsiteY58" fmla="*/ 242093 h 720000"/>
                                      <a:gd name="connsiteX59" fmla="*/ 223733 w 691711"/>
                                      <a:gd name="connsiteY59" fmla="*/ 0 h 720000"/>
                                      <a:gd name="connsiteX60" fmla="*/ 691711 w 691711"/>
                                      <a:gd name="connsiteY60" fmla="*/ 0 h 720000"/>
                                      <a:gd name="connsiteX61" fmla="*/ 691711 w 691711"/>
                                      <a:gd name="connsiteY61" fmla="*/ 311284 h 720000"/>
                                      <a:gd name="connsiteX62" fmla="*/ 684215 w 691711"/>
                                      <a:gd name="connsiteY62" fmla="*/ 305592 h 720000"/>
                                      <a:gd name="connsiteX63" fmla="*/ 661990 w 691711"/>
                                      <a:gd name="connsiteY63" fmla="*/ 286542 h 720000"/>
                                      <a:gd name="connsiteX64" fmla="*/ 646115 w 691711"/>
                                      <a:gd name="connsiteY64" fmla="*/ 283367 h 720000"/>
                                      <a:gd name="connsiteX65" fmla="*/ 627065 w 691711"/>
                                      <a:gd name="connsiteY65" fmla="*/ 273842 h 720000"/>
                                      <a:gd name="connsiteX66" fmla="*/ 614365 w 691711"/>
                                      <a:gd name="connsiteY66" fmla="*/ 270667 h 720000"/>
                                      <a:gd name="connsiteX67" fmla="*/ 592071 w 691711"/>
                                      <a:gd name="connsiteY67" fmla="*/ 264232 h 720000"/>
                                      <a:gd name="connsiteX68" fmla="*/ 581947 w 691711"/>
                                      <a:gd name="connsiteY68" fmla="*/ 261202 h 720000"/>
                                      <a:gd name="connsiteX69" fmla="*/ 582889 w 691711"/>
                                      <a:gd name="connsiteY69" fmla="*/ 261365 h 720000"/>
                                      <a:gd name="connsiteX70" fmla="*/ 580898 w 691711"/>
                                      <a:gd name="connsiteY70" fmla="*/ 260888 h 720000"/>
                                      <a:gd name="connsiteX71" fmla="*/ 581947 w 691711"/>
                                      <a:gd name="connsiteY71" fmla="*/ 261202 h 720000"/>
                                      <a:gd name="connsiteX72" fmla="*/ 578931 w 691711"/>
                                      <a:gd name="connsiteY72" fmla="*/ 260680 h 720000"/>
                                      <a:gd name="connsiteX73" fmla="*/ 566740 w 691711"/>
                                      <a:gd name="connsiteY73" fmla="*/ 257967 h 720000"/>
                                      <a:gd name="connsiteX74" fmla="*/ 541340 w 691711"/>
                                      <a:gd name="connsiteY74" fmla="*/ 251617 h 720000"/>
                                      <a:gd name="connsiteX75" fmla="*/ 455615 w 691711"/>
                                      <a:gd name="connsiteY75" fmla="*/ 242092 h 720000"/>
                                      <a:gd name="connsiteX76" fmla="*/ 325440 w 691711"/>
                                      <a:gd name="connsiteY76" fmla="*/ 245267 h 720000"/>
                                      <a:gd name="connsiteX77" fmla="*/ 300040 w 691711"/>
                                      <a:gd name="connsiteY77" fmla="*/ 251617 h 720000"/>
                                      <a:gd name="connsiteX78" fmla="*/ 271465 w 691711"/>
                                      <a:gd name="connsiteY78" fmla="*/ 257967 h 720000"/>
                                      <a:gd name="connsiteX79" fmla="*/ 258765 w 691711"/>
                                      <a:gd name="connsiteY79" fmla="*/ 261142 h 720000"/>
                                      <a:gd name="connsiteX80" fmla="*/ 211140 w 691711"/>
                                      <a:gd name="connsiteY80" fmla="*/ 267492 h 720000"/>
                                      <a:gd name="connsiteX81" fmla="*/ 163515 w 691711"/>
                                      <a:gd name="connsiteY81" fmla="*/ 277017 h 720000"/>
                                      <a:gd name="connsiteX82" fmla="*/ 153990 w 691711"/>
                                      <a:gd name="connsiteY82" fmla="*/ 280192 h 720000"/>
                                      <a:gd name="connsiteX83" fmla="*/ 141290 w 691711"/>
                                      <a:gd name="connsiteY83" fmla="*/ 283367 h 720000"/>
                                      <a:gd name="connsiteX84" fmla="*/ 119065 w 691711"/>
                                      <a:gd name="connsiteY84" fmla="*/ 286542 h 720000"/>
                                      <a:gd name="connsiteX85" fmla="*/ 106365 w 691711"/>
                                      <a:gd name="connsiteY85" fmla="*/ 289717 h 720000"/>
                                      <a:gd name="connsiteX86" fmla="*/ 77790 w 691711"/>
                                      <a:gd name="connsiteY86" fmla="*/ 296067 h 720000"/>
                                      <a:gd name="connsiteX87" fmla="*/ 36515 w 691711"/>
                                      <a:gd name="connsiteY87" fmla="*/ 292892 h 720000"/>
                                      <a:gd name="connsiteX88" fmla="*/ 29484 w 691711"/>
                                      <a:gd name="connsiteY88" fmla="*/ 290548 h 720000"/>
                                      <a:gd name="connsiteX89" fmla="*/ 58740 w 691711"/>
                                      <a:gd name="connsiteY89" fmla="*/ 288923 h 720000"/>
                                      <a:gd name="connsiteX90" fmla="*/ 90490 w 691711"/>
                                      <a:gd name="connsiteY90" fmla="*/ 279398 h 720000"/>
                                      <a:gd name="connsiteX91" fmla="*/ 100015 w 691711"/>
                                      <a:gd name="connsiteY91" fmla="*/ 276223 h 720000"/>
                                      <a:gd name="connsiteX92" fmla="*/ 109540 w 691711"/>
                                      <a:gd name="connsiteY92" fmla="*/ 269873 h 720000"/>
                                      <a:gd name="connsiteX93" fmla="*/ 106365 w 691711"/>
                                      <a:gd name="connsiteY93" fmla="*/ 244473 h 720000"/>
                                      <a:gd name="connsiteX94" fmla="*/ 96840 w 691711"/>
                                      <a:gd name="connsiteY94" fmla="*/ 234948 h 720000"/>
                                      <a:gd name="connsiteX95" fmla="*/ 90490 w 691711"/>
                                      <a:gd name="connsiteY95" fmla="*/ 225423 h 720000"/>
                                      <a:gd name="connsiteX96" fmla="*/ 84140 w 691711"/>
                                      <a:gd name="connsiteY96" fmla="*/ 206373 h 720000"/>
                                      <a:gd name="connsiteX97" fmla="*/ 74615 w 691711"/>
                                      <a:gd name="connsiteY97" fmla="*/ 165098 h 720000"/>
                                      <a:gd name="connsiteX98" fmla="*/ 71440 w 691711"/>
                                      <a:gd name="connsiteY98" fmla="*/ 130173 h 720000"/>
                                      <a:gd name="connsiteX99" fmla="*/ 61915 w 691711"/>
                                      <a:gd name="connsiteY99" fmla="*/ 123823 h 720000"/>
                                      <a:gd name="connsiteX100" fmla="*/ 71440 w 691711"/>
                                      <a:gd name="connsiteY100" fmla="*/ 114298 h 720000"/>
                                      <a:gd name="connsiteX101" fmla="*/ 87315 w 691711"/>
                                      <a:gd name="connsiteY101" fmla="*/ 111123 h 720000"/>
                                      <a:gd name="connsiteX102" fmla="*/ 103190 w 691711"/>
                                      <a:gd name="connsiteY102" fmla="*/ 104773 h 720000"/>
                                      <a:gd name="connsiteX103" fmla="*/ 115890 w 691711"/>
                                      <a:gd name="connsiteY103" fmla="*/ 98423 h 720000"/>
                                      <a:gd name="connsiteX104" fmla="*/ 141290 w 691711"/>
                                      <a:gd name="connsiteY104" fmla="*/ 92073 h 720000"/>
                                      <a:gd name="connsiteX105" fmla="*/ 150815 w 691711"/>
                                      <a:gd name="connsiteY105" fmla="*/ 79373 h 720000"/>
                                      <a:gd name="connsiteX106" fmla="*/ 153990 w 691711"/>
                                      <a:gd name="connsiteY106" fmla="*/ 66673 h 720000"/>
                                      <a:gd name="connsiteX107" fmla="*/ 157165 w 691711"/>
                                      <a:gd name="connsiteY107" fmla="*/ 50798 h 720000"/>
                                      <a:gd name="connsiteX108" fmla="*/ 185740 w 691711"/>
                                      <a:gd name="connsiteY108" fmla="*/ 41273 h 720000"/>
                                      <a:gd name="connsiteX109" fmla="*/ 204790 w 691711"/>
                                      <a:gd name="connsiteY109" fmla="*/ 31748 h 720000"/>
                                      <a:gd name="connsiteX110" fmla="*/ 211140 w 691711"/>
                                      <a:gd name="connsiteY110" fmla="*/ 22223 h 720000"/>
                                      <a:gd name="connsiteX111" fmla="*/ 220665 w 691711"/>
                                      <a:gd name="connsiteY111" fmla="*/ 15873 h 720000"/>
                                      <a:gd name="connsiteX112" fmla="*/ 223840 w 691711"/>
                                      <a:gd name="connsiteY112" fmla="*/ 3173 h 7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691711" h="720000">
                                        <a:moveTo>
                                          <a:pt x="455615" y="242093"/>
                                        </a:moveTo>
                                        <a:cubicBezTo>
                                          <a:pt x="478644" y="244396"/>
                                          <a:pt x="522358" y="248581"/>
                                          <a:pt x="541340" y="251618"/>
                                        </a:cubicBezTo>
                                        <a:cubicBezTo>
                                          <a:pt x="549958" y="252997"/>
                                          <a:pt x="558236" y="256006"/>
                                          <a:pt x="566740" y="257968"/>
                                        </a:cubicBezTo>
                                        <a:cubicBezTo>
                                          <a:pt x="572535" y="259305"/>
                                          <a:pt x="576419" y="260162"/>
                                          <a:pt x="578931" y="260681"/>
                                        </a:cubicBezTo>
                                        <a:lnTo>
                                          <a:pt x="581947" y="261203"/>
                                        </a:lnTo>
                                        <a:lnTo>
                                          <a:pt x="592071" y="264233"/>
                                        </a:lnTo>
                                        <a:cubicBezTo>
                                          <a:pt x="597470" y="265815"/>
                                          <a:pt x="604722" y="267913"/>
                                          <a:pt x="614365" y="270668"/>
                                        </a:cubicBezTo>
                                        <a:cubicBezTo>
                                          <a:pt x="618561" y="271867"/>
                                          <a:pt x="623013" y="272222"/>
                                          <a:pt x="627065" y="273843"/>
                                        </a:cubicBezTo>
                                        <a:cubicBezTo>
                                          <a:pt x="633657" y="276480"/>
                                          <a:pt x="639765" y="280193"/>
                                          <a:pt x="646115" y="283368"/>
                                        </a:cubicBezTo>
                                        <a:cubicBezTo>
                                          <a:pt x="651407" y="284426"/>
                                          <a:pt x="656937" y="284648"/>
                                          <a:pt x="661990" y="286543"/>
                                        </a:cubicBezTo>
                                        <a:cubicBezTo>
                                          <a:pt x="670629" y="289783"/>
                                          <a:pt x="678022" y="300285"/>
                                          <a:pt x="684215" y="305593"/>
                                        </a:cubicBezTo>
                                        <a:lnTo>
                                          <a:pt x="691711" y="311285"/>
                                        </a:lnTo>
                                        <a:lnTo>
                                          <a:pt x="691711" y="720000"/>
                                        </a:lnTo>
                                        <a:lnTo>
                                          <a:pt x="458100" y="720000"/>
                                        </a:lnTo>
                                        <a:lnTo>
                                          <a:pt x="455615" y="680243"/>
                                        </a:lnTo>
                                        <a:cubicBezTo>
                                          <a:pt x="457926" y="670999"/>
                                          <a:pt x="460621" y="661073"/>
                                          <a:pt x="461965" y="651668"/>
                                        </a:cubicBezTo>
                                        <a:cubicBezTo>
                                          <a:pt x="463320" y="642181"/>
                                          <a:pt x="464082" y="632618"/>
                                          <a:pt x="465140" y="623093"/>
                                        </a:cubicBezTo>
                                        <a:cubicBezTo>
                                          <a:pt x="465140" y="623093"/>
                                          <a:pt x="461276" y="610258"/>
                                          <a:pt x="458790" y="604043"/>
                                        </a:cubicBezTo>
                                        <a:cubicBezTo>
                                          <a:pt x="454762" y="593972"/>
                                          <a:pt x="451818" y="590410"/>
                                          <a:pt x="446090" y="581818"/>
                                        </a:cubicBezTo>
                                        <a:cubicBezTo>
                                          <a:pt x="440278" y="573101"/>
                                          <a:pt x="430410" y="567774"/>
                                          <a:pt x="423865" y="559593"/>
                                        </a:cubicBezTo>
                                        <a:cubicBezTo>
                                          <a:pt x="421774" y="556980"/>
                                          <a:pt x="422008" y="553144"/>
                                          <a:pt x="420690" y="550068"/>
                                        </a:cubicBezTo>
                                        <a:cubicBezTo>
                                          <a:pt x="417814" y="543358"/>
                                          <a:pt x="408647" y="526419"/>
                                          <a:pt x="404815" y="521493"/>
                                        </a:cubicBezTo>
                                        <a:cubicBezTo>
                                          <a:pt x="401139" y="516767"/>
                                          <a:pt x="393639" y="514583"/>
                                          <a:pt x="392115" y="508793"/>
                                        </a:cubicBezTo>
                                        <a:cubicBezTo>
                                          <a:pt x="388066" y="493407"/>
                                          <a:pt x="389998" y="477043"/>
                                          <a:pt x="388940" y="461168"/>
                                        </a:cubicBezTo>
                                        <a:cubicBezTo>
                                          <a:pt x="369890" y="457993"/>
                                          <a:pt x="351030" y="453316"/>
                                          <a:pt x="331790" y="451643"/>
                                        </a:cubicBezTo>
                                        <a:cubicBezTo>
                                          <a:pt x="326414" y="451176"/>
                                          <a:pt x="321257" y="454055"/>
                                          <a:pt x="315915" y="454818"/>
                                        </a:cubicBezTo>
                                        <a:cubicBezTo>
                                          <a:pt x="306428" y="456173"/>
                                          <a:pt x="296865" y="456935"/>
                                          <a:pt x="287340" y="457993"/>
                                        </a:cubicBezTo>
                                        <a:cubicBezTo>
                                          <a:pt x="282048" y="456935"/>
                                          <a:pt x="276518" y="456713"/>
                                          <a:pt x="271465" y="454818"/>
                                        </a:cubicBezTo>
                                        <a:cubicBezTo>
                                          <a:pt x="255686" y="448901"/>
                                          <a:pt x="266190" y="450080"/>
                                          <a:pt x="258765" y="438943"/>
                                        </a:cubicBezTo>
                                        <a:cubicBezTo>
                                          <a:pt x="256274" y="435207"/>
                                          <a:pt x="252415" y="432593"/>
                                          <a:pt x="249240" y="429418"/>
                                        </a:cubicBezTo>
                                        <a:cubicBezTo>
                                          <a:pt x="249240" y="429418"/>
                                          <a:pt x="232344" y="425030"/>
                                          <a:pt x="223840" y="423068"/>
                                        </a:cubicBezTo>
                                        <a:cubicBezTo>
                                          <a:pt x="223299" y="422943"/>
                                          <a:pt x="201539" y="419301"/>
                                          <a:pt x="198440" y="416718"/>
                                        </a:cubicBezTo>
                                        <a:cubicBezTo>
                                          <a:pt x="194375" y="413330"/>
                                          <a:pt x="192657" y="407760"/>
                                          <a:pt x="188915" y="404018"/>
                                        </a:cubicBezTo>
                                        <a:cubicBezTo>
                                          <a:pt x="186217" y="401320"/>
                                          <a:pt x="182088" y="400366"/>
                                          <a:pt x="179390" y="397668"/>
                                        </a:cubicBezTo>
                                        <a:cubicBezTo>
                                          <a:pt x="176692" y="394970"/>
                                          <a:pt x="175523" y="391040"/>
                                          <a:pt x="173040" y="388143"/>
                                        </a:cubicBezTo>
                                        <a:cubicBezTo>
                                          <a:pt x="149943" y="361196"/>
                                          <a:pt x="168568" y="387785"/>
                                          <a:pt x="153990" y="365918"/>
                                        </a:cubicBezTo>
                                        <a:lnTo>
                                          <a:pt x="144465" y="359568"/>
                                        </a:lnTo>
                                        <a:cubicBezTo>
                                          <a:pt x="138115" y="355335"/>
                                          <a:pt x="131959" y="350795"/>
                                          <a:pt x="125415" y="346868"/>
                                        </a:cubicBezTo>
                                        <a:cubicBezTo>
                                          <a:pt x="117718" y="342250"/>
                                          <a:pt x="111551" y="339732"/>
                                          <a:pt x="103190" y="337343"/>
                                        </a:cubicBezTo>
                                        <a:cubicBezTo>
                                          <a:pt x="98994" y="336144"/>
                                          <a:pt x="94686" y="335367"/>
                                          <a:pt x="90490" y="334168"/>
                                        </a:cubicBezTo>
                                        <a:cubicBezTo>
                                          <a:pt x="87272" y="333249"/>
                                          <a:pt x="84302" y="331250"/>
                                          <a:pt x="80965" y="330993"/>
                                        </a:cubicBezTo>
                                        <a:cubicBezTo>
                                          <a:pt x="56672" y="329124"/>
                                          <a:pt x="30864" y="336071"/>
                                          <a:pt x="7940" y="327818"/>
                                        </a:cubicBezTo>
                                        <a:cubicBezTo>
                                          <a:pt x="-271" y="324862"/>
                                          <a:pt x="-1585" y="308768"/>
                                          <a:pt x="1590" y="302418"/>
                                        </a:cubicBezTo>
                                        <a:cubicBezTo>
                                          <a:pt x="3178" y="299243"/>
                                          <a:pt x="2049" y="296068"/>
                                          <a:pt x="4263" y="293687"/>
                                        </a:cubicBezTo>
                                        <a:lnTo>
                                          <a:pt x="8814" y="291698"/>
                                        </a:lnTo>
                                        <a:lnTo>
                                          <a:pt x="29484" y="290549"/>
                                        </a:lnTo>
                                        <a:lnTo>
                                          <a:pt x="36515" y="292893"/>
                                        </a:lnTo>
                                        <a:cubicBezTo>
                                          <a:pt x="50207" y="294605"/>
                                          <a:pt x="64032" y="295010"/>
                                          <a:pt x="77790" y="296068"/>
                                        </a:cubicBezTo>
                                        <a:cubicBezTo>
                                          <a:pt x="96327" y="289889"/>
                                          <a:pt x="78426" y="295306"/>
                                          <a:pt x="106365" y="289718"/>
                                        </a:cubicBezTo>
                                        <a:cubicBezTo>
                                          <a:pt x="110644" y="288862"/>
                                          <a:pt x="114772" y="287324"/>
                                          <a:pt x="119065" y="286543"/>
                                        </a:cubicBezTo>
                                        <a:cubicBezTo>
                                          <a:pt x="126428" y="285204"/>
                                          <a:pt x="133927" y="284707"/>
                                          <a:pt x="141290" y="283368"/>
                                        </a:cubicBezTo>
                                        <a:cubicBezTo>
                                          <a:pt x="145583" y="282587"/>
                                          <a:pt x="149794" y="281392"/>
                                          <a:pt x="153990" y="280193"/>
                                        </a:cubicBezTo>
                                        <a:cubicBezTo>
                                          <a:pt x="157208" y="279274"/>
                                          <a:pt x="160222" y="277617"/>
                                          <a:pt x="163515" y="277018"/>
                                        </a:cubicBezTo>
                                        <a:cubicBezTo>
                                          <a:pt x="214632" y="267724"/>
                                          <a:pt x="164392" y="280849"/>
                                          <a:pt x="211140" y="267493"/>
                                        </a:cubicBezTo>
                                        <a:cubicBezTo>
                                          <a:pt x="230201" y="265375"/>
                                          <a:pt x="240950" y="264706"/>
                                          <a:pt x="258765" y="261143"/>
                                        </a:cubicBezTo>
                                        <a:cubicBezTo>
                                          <a:pt x="263044" y="260287"/>
                                          <a:pt x="267213" y="258949"/>
                                          <a:pt x="271465" y="257968"/>
                                        </a:cubicBezTo>
                                        <a:cubicBezTo>
                                          <a:pt x="280972" y="255774"/>
                                          <a:pt x="290542" y="253853"/>
                                          <a:pt x="300040" y="251618"/>
                                        </a:cubicBezTo>
                                        <a:cubicBezTo>
                                          <a:pt x="308535" y="249619"/>
                                          <a:pt x="316729" y="245801"/>
                                          <a:pt x="325440" y="245268"/>
                                        </a:cubicBezTo>
                                        <a:cubicBezTo>
                                          <a:pt x="368763" y="242616"/>
                                          <a:pt x="412223" y="243151"/>
                                          <a:pt x="455615" y="242093"/>
                                        </a:cubicBezTo>
                                        <a:close/>
                                        <a:moveTo>
                                          <a:pt x="223733" y="0"/>
                                        </a:moveTo>
                                        <a:lnTo>
                                          <a:pt x="691711" y="0"/>
                                        </a:lnTo>
                                        <a:lnTo>
                                          <a:pt x="691711" y="311284"/>
                                        </a:lnTo>
                                        <a:lnTo>
                                          <a:pt x="684215" y="305592"/>
                                        </a:lnTo>
                                        <a:cubicBezTo>
                                          <a:pt x="678022" y="300284"/>
                                          <a:pt x="670629" y="289782"/>
                                          <a:pt x="661990" y="286542"/>
                                        </a:cubicBezTo>
                                        <a:cubicBezTo>
                                          <a:pt x="656937" y="284647"/>
                                          <a:pt x="651407" y="284425"/>
                                          <a:pt x="646115" y="283367"/>
                                        </a:cubicBezTo>
                                        <a:cubicBezTo>
                                          <a:pt x="639765" y="280192"/>
                                          <a:pt x="633657" y="276479"/>
                                          <a:pt x="627065" y="273842"/>
                                        </a:cubicBezTo>
                                        <a:cubicBezTo>
                                          <a:pt x="623013" y="272221"/>
                                          <a:pt x="618561" y="271866"/>
                                          <a:pt x="614365" y="270667"/>
                                        </a:cubicBezTo>
                                        <a:cubicBezTo>
                                          <a:pt x="604722" y="267912"/>
                                          <a:pt x="597470" y="265814"/>
                                          <a:pt x="592071" y="264232"/>
                                        </a:cubicBezTo>
                                        <a:lnTo>
                                          <a:pt x="581947" y="261202"/>
                                        </a:lnTo>
                                        <a:lnTo>
                                          <a:pt x="582889" y="261365"/>
                                        </a:lnTo>
                                        <a:cubicBezTo>
                                          <a:pt x="584111" y="261305"/>
                                          <a:pt x="571979" y="258112"/>
                                          <a:pt x="580898" y="260888"/>
                                        </a:cubicBezTo>
                                        <a:lnTo>
                                          <a:pt x="581947" y="261202"/>
                                        </a:lnTo>
                                        <a:lnTo>
                                          <a:pt x="578931" y="260680"/>
                                        </a:lnTo>
                                        <a:cubicBezTo>
                                          <a:pt x="576419" y="260161"/>
                                          <a:pt x="572535" y="259304"/>
                                          <a:pt x="566740" y="257967"/>
                                        </a:cubicBezTo>
                                        <a:cubicBezTo>
                                          <a:pt x="558236" y="256005"/>
                                          <a:pt x="549958" y="252996"/>
                                          <a:pt x="541340" y="251617"/>
                                        </a:cubicBezTo>
                                        <a:cubicBezTo>
                                          <a:pt x="522358" y="248580"/>
                                          <a:pt x="478644" y="244395"/>
                                          <a:pt x="455615" y="242092"/>
                                        </a:cubicBezTo>
                                        <a:cubicBezTo>
                                          <a:pt x="412223" y="243150"/>
                                          <a:pt x="368763" y="242615"/>
                                          <a:pt x="325440" y="245267"/>
                                        </a:cubicBezTo>
                                        <a:cubicBezTo>
                                          <a:pt x="316729" y="245800"/>
                                          <a:pt x="308535" y="249618"/>
                                          <a:pt x="300040" y="251617"/>
                                        </a:cubicBezTo>
                                        <a:cubicBezTo>
                                          <a:pt x="290542" y="253852"/>
                                          <a:pt x="280972" y="255773"/>
                                          <a:pt x="271465" y="257967"/>
                                        </a:cubicBezTo>
                                        <a:cubicBezTo>
                                          <a:pt x="267213" y="258948"/>
                                          <a:pt x="263044" y="260286"/>
                                          <a:pt x="258765" y="261142"/>
                                        </a:cubicBezTo>
                                        <a:cubicBezTo>
                                          <a:pt x="240950" y="264705"/>
                                          <a:pt x="230201" y="265374"/>
                                          <a:pt x="211140" y="267492"/>
                                        </a:cubicBezTo>
                                        <a:cubicBezTo>
                                          <a:pt x="164392" y="280848"/>
                                          <a:pt x="214632" y="267723"/>
                                          <a:pt x="163515" y="277017"/>
                                        </a:cubicBezTo>
                                        <a:cubicBezTo>
                                          <a:pt x="160222" y="277616"/>
                                          <a:pt x="157208" y="279273"/>
                                          <a:pt x="153990" y="280192"/>
                                        </a:cubicBezTo>
                                        <a:cubicBezTo>
                                          <a:pt x="149794" y="281391"/>
                                          <a:pt x="145583" y="282586"/>
                                          <a:pt x="141290" y="283367"/>
                                        </a:cubicBezTo>
                                        <a:cubicBezTo>
                                          <a:pt x="133927" y="284706"/>
                                          <a:pt x="126428" y="285203"/>
                                          <a:pt x="119065" y="286542"/>
                                        </a:cubicBezTo>
                                        <a:cubicBezTo>
                                          <a:pt x="114772" y="287323"/>
                                          <a:pt x="110644" y="288861"/>
                                          <a:pt x="106365" y="289717"/>
                                        </a:cubicBezTo>
                                        <a:cubicBezTo>
                                          <a:pt x="78426" y="295305"/>
                                          <a:pt x="96327" y="289888"/>
                                          <a:pt x="77790" y="296067"/>
                                        </a:cubicBezTo>
                                        <a:cubicBezTo>
                                          <a:pt x="64032" y="295009"/>
                                          <a:pt x="50207" y="294604"/>
                                          <a:pt x="36515" y="292892"/>
                                        </a:cubicBezTo>
                                        <a:lnTo>
                                          <a:pt x="29484" y="290548"/>
                                        </a:lnTo>
                                        <a:lnTo>
                                          <a:pt x="58740" y="288923"/>
                                        </a:lnTo>
                                        <a:cubicBezTo>
                                          <a:pt x="77934" y="284125"/>
                                          <a:pt x="67300" y="287128"/>
                                          <a:pt x="90490" y="279398"/>
                                        </a:cubicBezTo>
                                        <a:cubicBezTo>
                                          <a:pt x="93665" y="278340"/>
                                          <a:pt x="97230" y="278079"/>
                                          <a:pt x="100015" y="276223"/>
                                        </a:cubicBezTo>
                                        <a:lnTo>
                                          <a:pt x="109540" y="269873"/>
                                        </a:lnTo>
                                        <a:cubicBezTo>
                                          <a:pt x="108482" y="261406"/>
                                          <a:pt x="109281" y="252492"/>
                                          <a:pt x="106365" y="244473"/>
                                        </a:cubicBezTo>
                                        <a:cubicBezTo>
                                          <a:pt x="104831" y="240253"/>
                                          <a:pt x="99715" y="238397"/>
                                          <a:pt x="96840" y="234948"/>
                                        </a:cubicBezTo>
                                        <a:cubicBezTo>
                                          <a:pt x="94397" y="232017"/>
                                          <a:pt x="92040" y="228910"/>
                                          <a:pt x="90490" y="225423"/>
                                        </a:cubicBezTo>
                                        <a:cubicBezTo>
                                          <a:pt x="87772" y="219306"/>
                                          <a:pt x="85763" y="212867"/>
                                          <a:pt x="84140" y="206373"/>
                                        </a:cubicBezTo>
                                        <a:cubicBezTo>
                                          <a:pt x="76481" y="175738"/>
                                          <a:pt x="79502" y="189531"/>
                                          <a:pt x="74615" y="165098"/>
                                        </a:cubicBezTo>
                                        <a:cubicBezTo>
                                          <a:pt x="73557" y="153456"/>
                                          <a:pt x="74878" y="141346"/>
                                          <a:pt x="71440" y="130173"/>
                                        </a:cubicBezTo>
                                        <a:cubicBezTo>
                                          <a:pt x="70318" y="126526"/>
                                          <a:pt x="61915" y="127639"/>
                                          <a:pt x="61915" y="123823"/>
                                        </a:cubicBezTo>
                                        <a:cubicBezTo>
                                          <a:pt x="61915" y="119333"/>
                                          <a:pt x="67424" y="116306"/>
                                          <a:pt x="71440" y="114298"/>
                                        </a:cubicBezTo>
                                        <a:cubicBezTo>
                                          <a:pt x="76267" y="111885"/>
                                          <a:pt x="82146" y="112674"/>
                                          <a:pt x="87315" y="111123"/>
                                        </a:cubicBezTo>
                                        <a:cubicBezTo>
                                          <a:pt x="92774" y="109485"/>
                                          <a:pt x="97982" y="107088"/>
                                          <a:pt x="103190" y="104773"/>
                                        </a:cubicBezTo>
                                        <a:cubicBezTo>
                                          <a:pt x="107515" y="102851"/>
                                          <a:pt x="111400" y="99920"/>
                                          <a:pt x="115890" y="98423"/>
                                        </a:cubicBezTo>
                                        <a:cubicBezTo>
                                          <a:pt x="124169" y="95663"/>
                                          <a:pt x="141290" y="92073"/>
                                          <a:pt x="141290" y="92073"/>
                                        </a:cubicBezTo>
                                        <a:cubicBezTo>
                                          <a:pt x="144465" y="87840"/>
                                          <a:pt x="148448" y="84106"/>
                                          <a:pt x="150815" y="79373"/>
                                        </a:cubicBezTo>
                                        <a:cubicBezTo>
                                          <a:pt x="152766" y="75470"/>
                                          <a:pt x="153043" y="70933"/>
                                          <a:pt x="153990" y="66673"/>
                                        </a:cubicBezTo>
                                        <a:cubicBezTo>
                                          <a:pt x="155161" y="61405"/>
                                          <a:pt x="154028" y="55189"/>
                                          <a:pt x="157165" y="50798"/>
                                        </a:cubicBezTo>
                                        <a:cubicBezTo>
                                          <a:pt x="161758" y="44368"/>
                                          <a:pt x="179971" y="42715"/>
                                          <a:pt x="185740" y="41273"/>
                                        </a:cubicBezTo>
                                        <a:cubicBezTo>
                                          <a:pt x="196256" y="38644"/>
                                          <a:pt x="195478" y="37956"/>
                                          <a:pt x="204790" y="31748"/>
                                        </a:cubicBezTo>
                                        <a:cubicBezTo>
                                          <a:pt x="206907" y="28573"/>
                                          <a:pt x="208442" y="24921"/>
                                          <a:pt x="211140" y="22223"/>
                                        </a:cubicBezTo>
                                        <a:cubicBezTo>
                                          <a:pt x="213838" y="19525"/>
                                          <a:pt x="218548" y="19048"/>
                                          <a:pt x="220665" y="15873"/>
                                        </a:cubicBezTo>
                                        <a:cubicBezTo>
                                          <a:pt x="223086" y="12242"/>
                                          <a:pt x="222782" y="7406"/>
                                          <a:pt x="223840" y="3173"/>
                                        </a:cubicBezTo>
                                        <a:close/>
                                      </a:path>
                                    </a:pathLst>
                                  </a:custGeom>
                                  <a:solidFill>
                                    <a:srgbClr val="FFFF00"/>
                                  </a:solidFill>
                                  <a:ln w="3175">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959410931" name="Forma libre: forma 959410931">
                                  <a:extLst>
                                    <a:ext uri="{FF2B5EF4-FFF2-40B4-BE49-F238E27FC236}">
                                      <a16:creationId xmlns:a16="http://schemas.microsoft.com/office/drawing/2014/main" id="{4FF384C7-8A46-AFF9-5FA6-9B340877727F}"/>
                                    </a:ext>
                                  </a:extLst>
                                </wps:cNvPr>
                                <wps:cNvSpPr/>
                                <wps:spPr>
                                  <a:xfrm>
                                    <a:off x="6397366" y="5286879"/>
                                    <a:ext cx="1213429" cy="719999"/>
                                  </a:xfrm>
                                  <a:custGeom>
                                    <a:avLst/>
                                    <a:gdLst>
                                      <a:gd name="connsiteX0" fmla="*/ 0 w 1213429"/>
                                      <a:gd name="connsiteY0" fmla="*/ 0 h 719999"/>
                                      <a:gd name="connsiteX1" fmla="*/ 387471 w 1213429"/>
                                      <a:gd name="connsiteY1" fmla="*/ 0 h 719999"/>
                                      <a:gd name="connsiteX2" fmla="*/ 388850 w 1213429"/>
                                      <a:gd name="connsiteY2" fmla="*/ 21797 h 719999"/>
                                      <a:gd name="connsiteX3" fmla="*/ 387929 w 1213429"/>
                                      <a:gd name="connsiteY3" fmla="*/ 114298 h 719999"/>
                                      <a:gd name="connsiteX4" fmla="*/ 381579 w 1213429"/>
                                      <a:gd name="connsiteY4" fmla="*/ 126998 h 719999"/>
                                      <a:gd name="connsiteX5" fmla="*/ 368879 w 1213429"/>
                                      <a:gd name="connsiteY5" fmla="*/ 165098 h 719999"/>
                                      <a:gd name="connsiteX6" fmla="*/ 372054 w 1213429"/>
                                      <a:gd name="connsiteY6" fmla="*/ 203198 h 719999"/>
                                      <a:gd name="connsiteX7" fmla="*/ 378404 w 1213429"/>
                                      <a:gd name="connsiteY7" fmla="*/ 212723 h 719999"/>
                                      <a:gd name="connsiteX8" fmla="*/ 381579 w 1213429"/>
                                      <a:gd name="connsiteY8" fmla="*/ 225423 h 719999"/>
                                      <a:gd name="connsiteX9" fmla="*/ 387929 w 1213429"/>
                                      <a:gd name="connsiteY9" fmla="*/ 234948 h 719999"/>
                                      <a:gd name="connsiteX10" fmla="*/ 406979 w 1213429"/>
                                      <a:gd name="connsiteY10" fmla="*/ 263523 h 719999"/>
                                      <a:gd name="connsiteX11" fmla="*/ 416504 w 1213429"/>
                                      <a:gd name="connsiteY11" fmla="*/ 269873 h 719999"/>
                                      <a:gd name="connsiteX12" fmla="*/ 441904 w 1213429"/>
                                      <a:gd name="connsiteY12" fmla="*/ 276223 h 719999"/>
                                      <a:gd name="connsiteX13" fmla="*/ 454604 w 1213429"/>
                                      <a:gd name="connsiteY13" fmla="*/ 311148 h 719999"/>
                                      <a:gd name="connsiteX14" fmla="*/ 457779 w 1213429"/>
                                      <a:gd name="connsiteY14" fmla="*/ 320673 h 719999"/>
                                      <a:gd name="connsiteX15" fmla="*/ 460954 w 1213429"/>
                                      <a:gd name="connsiteY15" fmla="*/ 330198 h 719999"/>
                                      <a:gd name="connsiteX16" fmla="*/ 467304 w 1213429"/>
                                      <a:gd name="connsiteY16" fmla="*/ 339723 h 719999"/>
                                      <a:gd name="connsiteX17" fmla="*/ 486354 w 1213429"/>
                                      <a:gd name="connsiteY17" fmla="*/ 346073 h 719999"/>
                                      <a:gd name="connsiteX18" fmla="*/ 511754 w 1213429"/>
                                      <a:gd name="connsiteY18" fmla="*/ 336548 h 719999"/>
                                      <a:gd name="connsiteX19" fmla="*/ 524454 w 1213429"/>
                                      <a:gd name="connsiteY19" fmla="*/ 339723 h 719999"/>
                                      <a:gd name="connsiteX20" fmla="*/ 556204 w 1213429"/>
                                      <a:gd name="connsiteY20" fmla="*/ 346073 h 719999"/>
                                      <a:gd name="connsiteX21" fmla="*/ 600654 w 1213429"/>
                                      <a:gd name="connsiteY21" fmla="*/ 342898 h 719999"/>
                                      <a:gd name="connsiteX22" fmla="*/ 613354 w 1213429"/>
                                      <a:gd name="connsiteY22" fmla="*/ 336548 h 719999"/>
                                      <a:gd name="connsiteX23" fmla="*/ 622879 w 1213429"/>
                                      <a:gd name="connsiteY23" fmla="*/ 333373 h 719999"/>
                                      <a:gd name="connsiteX24" fmla="*/ 657804 w 1213429"/>
                                      <a:gd name="connsiteY24" fmla="*/ 330198 h 719999"/>
                                      <a:gd name="connsiteX25" fmla="*/ 667329 w 1213429"/>
                                      <a:gd name="connsiteY25" fmla="*/ 323848 h 719999"/>
                                      <a:gd name="connsiteX26" fmla="*/ 686379 w 1213429"/>
                                      <a:gd name="connsiteY26" fmla="*/ 317498 h 719999"/>
                                      <a:gd name="connsiteX27" fmla="*/ 705429 w 1213429"/>
                                      <a:gd name="connsiteY27" fmla="*/ 307973 h 719999"/>
                                      <a:gd name="connsiteX28" fmla="*/ 714954 w 1213429"/>
                                      <a:gd name="connsiteY28" fmla="*/ 301623 h 719999"/>
                                      <a:gd name="connsiteX29" fmla="*/ 740354 w 1213429"/>
                                      <a:gd name="connsiteY29" fmla="*/ 295273 h 719999"/>
                                      <a:gd name="connsiteX30" fmla="*/ 749879 w 1213429"/>
                                      <a:gd name="connsiteY30" fmla="*/ 292098 h 719999"/>
                                      <a:gd name="connsiteX31" fmla="*/ 757103 w 1213429"/>
                                      <a:gd name="connsiteY31" fmla="*/ 291697 h 719999"/>
                                      <a:gd name="connsiteX32" fmla="*/ 752552 w 1213429"/>
                                      <a:gd name="connsiteY32" fmla="*/ 293686 h 719999"/>
                                      <a:gd name="connsiteX33" fmla="*/ 749879 w 1213429"/>
                                      <a:gd name="connsiteY33" fmla="*/ 302417 h 719999"/>
                                      <a:gd name="connsiteX34" fmla="*/ 756229 w 1213429"/>
                                      <a:gd name="connsiteY34" fmla="*/ 327817 h 719999"/>
                                      <a:gd name="connsiteX35" fmla="*/ 829254 w 1213429"/>
                                      <a:gd name="connsiteY35" fmla="*/ 330992 h 719999"/>
                                      <a:gd name="connsiteX36" fmla="*/ 838779 w 1213429"/>
                                      <a:gd name="connsiteY36" fmla="*/ 334167 h 719999"/>
                                      <a:gd name="connsiteX37" fmla="*/ 851479 w 1213429"/>
                                      <a:gd name="connsiteY37" fmla="*/ 337342 h 719999"/>
                                      <a:gd name="connsiteX38" fmla="*/ 873704 w 1213429"/>
                                      <a:gd name="connsiteY38" fmla="*/ 346867 h 719999"/>
                                      <a:gd name="connsiteX39" fmla="*/ 892754 w 1213429"/>
                                      <a:gd name="connsiteY39" fmla="*/ 359567 h 719999"/>
                                      <a:gd name="connsiteX40" fmla="*/ 902279 w 1213429"/>
                                      <a:gd name="connsiteY40" fmla="*/ 365917 h 719999"/>
                                      <a:gd name="connsiteX41" fmla="*/ 921329 w 1213429"/>
                                      <a:gd name="connsiteY41" fmla="*/ 388142 h 719999"/>
                                      <a:gd name="connsiteX42" fmla="*/ 927679 w 1213429"/>
                                      <a:gd name="connsiteY42" fmla="*/ 397667 h 719999"/>
                                      <a:gd name="connsiteX43" fmla="*/ 937204 w 1213429"/>
                                      <a:gd name="connsiteY43" fmla="*/ 404017 h 719999"/>
                                      <a:gd name="connsiteX44" fmla="*/ 946729 w 1213429"/>
                                      <a:gd name="connsiteY44" fmla="*/ 416717 h 719999"/>
                                      <a:gd name="connsiteX45" fmla="*/ 972129 w 1213429"/>
                                      <a:gd name="connsiteY45" fmla="*/ 423067 h 719999"/>
                                      <a:gd name="connsiteX46" fmla="*/ 997529 w 1213429"/>
                                      <a:gd name="connsiteY46" fmla="*/ 429417 h 719999"/>
                                      <a:gd name="connsiteX47" fmla="*/ 1007054 w 1213429"/>
                                      <a:gd name="connsiteY47" fmla="*/ 438942 h 719999"/>
                                      <a:gd name="connsiteX48" fmla="*/ 1019754 w 1213429"/>
                                      <a:gd name="connsiteY48" fmla="*/ 454817 h 719999"/>
                                      <a:gd name="connsiteX49" fmla="*/ 1035629 w 1213429"/>
                                      <a:gd name="connsiteY49" fmla="*/ 457992 h 719999"/>
                                      <a:gd name="connsiteX50" fmla="*/ 1064204 w 1213429"/>
                                      <a:gd name="connsiteY50" fmla="*/ 454817 h 719999"/>
                                      <a:gd name="connsiteX51" fmla="*/ 1080079 w 1213429"/>
                                      <a:gd name="connsiteY51" fmla="*/ 451642 h 719999"/>
                                      <a:gd name="connsiteX52" fmla="*/ 1137229 w 1213429"/>
                                      <a:gd name="connsiteY52" fmla="*/ 461167 h 719999"/>
                                      <a:gd name="connsiteX53" fmla="*/ 1140404 w 1213429"/>
                                      <a:gd name="connsiteY53" fmla="*/ 508792 h 719999"/>
                                      <a:gd name="connsiteX54" fmla="*/ 1153104 w 1213429"/>
                                      <a:gd name="connsiteY54" fmla="*/ 521492 h 719999"/>
                                      <a:gd name="connsiteX55" fmla="*/ 1168979 w 1213429"/>
                                      <a:gd name="connsiteY55" fmla="*/ 550067 h 719999"/>
                                      <a:gd name="connsiteX56" fmla="*/ 1172154 w 1213429"/>
                                      <a:gd name="connsiteY56" fmla="*/ 559592 h 719999"/>
                                      <a:gd name="connsiteX57" fmla="*/ 1194379 w 1213429"/>
                                      <a:gd name="connsiteY57" fmla="*/ 581817 h 719999"/>
                                      <a:gd name="connsiteX58" fmla="*/ 1207079 w 1213429"/>
                                      <a:gd name="connsiteY58" fmla="*/ 604042 h 719999"/>
                                      <a:gd name="connsiteX59" fmla="*/ 1213429 w 1213429"/>
                                      <a:gd name="connsiteY59" fmla="*/ 623092 h 719999"/>
                                      <a:gd name="connsiteX60" fmla="*/ 1210254 w 1213429"/>
                                      <a:gd name="connsiteY60" fmla="*/ 651667 h 719999"/>
                                      <a:gd name="connsiteX61" fmla="*/ 1203904 w 1213429"/>
                                      <a:gd name="connsiteY61" fmla="*/ 680242 h 719999"/>
                                      <a:gd name="connsiteX62" fmla="*/ 1206389 w 1213429"/>
                                      <a:gd name="connsiteY62" fmla="*/ 719999 h 719999"/>
                                      <a:gd name="connsiteX63" fmla="*/ 0 w 1213429"/>
                                      <a:gd name="connsiteY63" fmla="*/ 719999 h 719999"/>
                                      <a:gd name="connsiteX64" fmla="*/ 0 w 1213429"/>
                                      <a:gd name="connsiteY64" fmla="*/ 0 h 719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1213429" h="719999">
                                        <a:moveTo>
                                          <a:pt x="0" y="0"/>
                                        </a:moveTo>
                                        <a:lnTo>
                                          <a:pt x="387471" y="0"/>
                                        </a:lnTo>
                                        <a:lnTo>
                                          <a:pt x="388850" y="21797"/>
                                        </a:lnTo>
                                        <a:cubicBezTo>
                                          <a:pt x="390216" y="43351"/>
                                          <a:pt x="391274" y="71926"/>
                                          <a:pt x="387929" y="114298"/>
                                        </a:cubicBezTo>
                                        <a:cubicBezTo>
                                          <a:pt x="387557" y="119016"/>
                                          <a:pt x="383076" y="122508"/>
                                          <a:pt x="381579" y="126998"/>
                                        </a:cubicBezTo>
                                        <a:cubicBezTo>
                                          <a:pt x="366583" y="171986"/>
                                          <a:pt x="383198" y="136459"/>
                                          <a:pt x="368879" y="165098"/>
                                        </a:cubicBezTo>
                                        <a:cubicBezTo>
                                          <a:pt x="369937" y="177798"/>
                                          <a:pt x="369555" y="190701"/>
                                          <a:pt x="372054" y="203198"/>
                                        </a:cubicBezTo>
                                        <a:cubicBezTo>
                                          <a:pt x="372802" y="206940"/>
                                          <a:pt x="376901" y="209216"/>
                                          <a:pt x="378404" y="212723"/>
                                        </a:cubicBezTo>
                                        <a:cubicBezTo>
                                          <a:pt x="380123" y="216734"/>
                                          <a:pt x="379860" y="221412"/>
                                          <a:pt x="381579" y="225423"/>
                                        </a:cubicBezTo>
                                        <a:cubicBezTo>
                                          <a:pt x="383082" y="228930"/>
                                          <a:pt x="385907" y="231712"/>
                                          <a:pt x="387929" y="234948"/>
                                        </a:cubicBezTo>
                                        <a:cubicBezTo>
                                          <a:pt x="392967" y="243009"/>
                                          <a:pt x="399933" y="256477"/>
                                          <a:pt x="406979" y="263523"/>
                                        </a:cubicBezTo>
                                        <a:cubicBezTo>
                                          <a:pt x="409677" y="266221"/>
                                          <a:pt x="413091" y="268166"/>
                                          <a:pt x="416504" y="269873"/>
                                        </a:cubicBezTo>
                                        <a:cubicBezTo>
                                          <a:pt x="423013" y="273127"/>
                                          <a:pt x="435866" y="275015"/>
                                          <a:pt x="441904" y="276223"/>
                                        </a:cubicBezTo>
                                        <a:cubicBezTo>
                                          <a:pt x="450740" y="298313"/>
                                          <a:pt x="446452" y="286691"/>
                                          <a:pt x="454604" y="311148"/>
                                        </a:cubicBezTo>
                                        <a:lnTo>
                                          <a:pt x="457779" y="320673"/>
                                        </a:lnTo>
                                        <a:cubicBezTo>
                                          <a:pt x="458837" y="323848"/>
                                          <a:pt x="459098" y="327413"/>
                                          <a:pt x="460954" y="330198"/>
                                        </a:cubicBezTo>
                                        <a:cubicBezTo>
                                          <a:pt x="463071" y="333373"/>
                                          <a:pt x="464068" y="337701"/>
                                          <a:pt x="467304" y="339723"/>
                                        </a:cubicBezTo>
                                        <a:cubicBezTo>
                                          <a:pt x="472980" y="343271"/>
                                          <a:pt x="486354" y="346073"/>
                                          <a:pt x="486354" y="346073"/>
                                        </a:cubicBezTo>
                                        <a:cubicBezTo>
                                          <a:pt x="493579" y="342460"/>
                                          <a:pt x="503108" y="336548"/>
                                          <a:pt x="511754" y="336548"/>
                                        </a:cubicBezTo>
                                        <a:cubicBezTo>
                                          <a:pt x="516118" y="336548"/>
                                          <a:pt x="520187" y="338809"/>
                                          <a:pt x="524454" y="339723"/>
                                        </a:cubicBezTo>
                                        <a:cubicBezTo>
                                          <a:pt x="535007" y="341984"/>
                                          <a:pt x="556204" y="346073"/>
                                          <a:pt x="556204" y="346073"/>
                                        </a:cubicBezTo>
                                        <a:cubicBezTo>
                                          <a:pt x="571021" y="345015"/>
                                          <a:pt x="586002" y="345340"/>
                                          <a:pt x="600654" y="342898"/>
                                        </a:cubicBezTo>
                                        <a:cubicBezTo>
                                          <a:pt x="605323" y="342120"/>
                                          <a:pt x="609004" y="338412"/>
                                          <a:pt x="613354" y="336548"/>
                                        </a:cubicBezTo>
                                        <a:cubicBezTo>
                                          <a:pt x="616430" y="335230"/>
                                          <a:pt x="619566" y="333846"/>
                                          <a:pt x="622879" y="333373"/>
                                        </a:cubicBezTo>
                                        <a:cubicBezTo>
                                          <a:pt x="634451" y="331720"/>
                                          <a:pt x="646162" y="331256"/>
                                          <a:pt x="657804" y="330198"/>
                                        </a:cubicBezTo>
                                        <a:cubicBezTo>
                                          <a:pt x="660979" y="328081"/>
                                          <a:pt x="663842" y="325398"/>
                                          <a:pt x="667329" y="323848"/>
                                        </a:cubicBezTo>
                                        <a:cubicBezTo>
                                          <a:pt x="673446" y="321130"/>
                                          <a:pt x="680810" y="321211"/>
                                          <a:pt x="686379" y="317498"/>
                                        </a:cubicBezTo>
                                        <a:cubicBezTo>
                                          <a:pt x="713676" y="299300"/>
                                          <a:pt x="679139" y="321118"/>
                                          <a:pt x="705429" y="307973"/>
                                        </a:cubicBezTo>
                                        <a:cubicBezTo>
                                          <a:pt x="708842" y="306266"/>
                                          <a:pt x="711368" y="302927"/>
                                          <a:pt x="714954" y="301623"/>
                                        </a:cubicBezTo>
                                        <a:cubicBezTo>
                                          <a:pt x="723156" y="298641"/>
                                          <a:pt x="732075" y="298033"/>
                                          <a:pt x="740354" y="295273"/>
                                        </a:cubicBezTo>
                                        <a:cubicBezTo>
                                          <a:pt x="743529" y="294215"/>
                                          <a:pt x="746547" y="292415"/>
                                          <a:pt x="749879" y="292098"/>
                                        </a:cubicBezTo>
                                        <a:lnTo>
                                          <a:pt x="757103" y="291697"/>
                                        </a:lnTo>
                                        <a:lnTo>
                                          <a:pt x="752552" y="293686"/>
                                        </a:lnTo>
                                        <a:cubicBezTo>
                                          <a:pt x="750338" y="296067"/>
                                          <a:pt x="751467" y="299242"/>
                                          <a:pt x="749879" y="302417"/>
                                        </a:cubicBezTo>
                                        <a:cubicBezTo>
                                          <a:pt x="746704" y="308767"/>
                                          <a:pt x="748018" y="324861"/>
                                          <a:pt x="756229" y="327817"/>
                                        </a:cubicBezTo>
                                        <a:cubicBezTo>
                                          <a:pt x="779153" y="336070"/>
                                          <a:pt x="804961" y="329123"/>
                                          <a:pt x="829254" y="330992"/>
                                        </a:cubicBezTo>
                                        <a:cubicBezTo>
                                          <a:pt x="832591" y="331249"/>
                                          <a:pt x="835561" y="333248"/>
                                          <a:pt x="838779" y="334167"/>
                                        </a:cubicBezTo>
                                        <a:cubicBezTo>
                                          <a:pt x="842975" y="335366"/>
                                          <a:pt x="847283" y="336143"/>
                                          <a:pt x="851479" y="337342"/>
                                        </a:cubicBezTo>
                                        <a:cubicBezTo>
                                          <a:pt x="859840" y="339731"/>
                                          <a:pt x="866007" y="342249"/>
                                          <a:pt x="873704" y="346867"/>
                                        </a:cubicBezTo>
                                        <a:cubicBezTo>
                                          <a:pt x="880248" y="350794"/>
                                          <a:pt x="886404" y="355334"/>
                                          <a:pt x="892754" y="359567"/>
                                        </a:cubicBezTo>
                                        <a:lnTo>
                                          <a:pt x="902279" y="365917"/>
                                        </a:lnTo>
                                        <a:cubicBezTo>
                                          <a:pt x="916857" y="387784"/>
                                          <a:pt x="898232" y="361195"/>
                                          <a:pt x="921329" y="388142"/>
                                        </a:cubicBezTo>
                                        <a:cubicBezTo>
                                          <a:pt x="923812" y="391039"/>
                                          <a:pt x="924981" y="394969"/>
                                          <a:pt x="927679" y="397667"/>
                                        </a:cubicBezTo>
                                        <a:cubicBezTo>
                                          <a:pt x="930377" y="400365"/>
                                          <a:pt x="934506" y="401319"/>
                                          <a:pt x="937204" y="404017"/>
                                        </a:cubicBezTo>
                                        <a:cubicBezTo>
                                          <a:pt x="940946" y="407759"/>
                                          <a:pt x="942664" y="413329"/>
                                          <a:pt x="946729" y="416717"/>
                                        </a:cubicBezTo>
                                        <a:cubicBezTo>
                                          <a:pt x="949828" y="419300"/>
                                          <a:pt x="971588" y="422942"/>
                                          <a:pt x="972129" y="423067"/>
                                        </a:cubicBezTo>
                                        <a:cubicBezTo>
                                          <a:pt x="980633" y="425029"/>
                                          <a:pt x="997529" y="429417"/>
                                          <a:pt x="997529" y="429417"/>
                                        </a:cubicBezTo>
                                        <a:cubicBezTo>
                                          <a:pt x="1000704" y="432592"/>
                                          <a:pt x="1004563" y="435206"/>
                                          <a:pt x="1007054" y="438942"/>
                                        </a:cubicBezTo>
                                        <a:cubicBezTo>
                                          <a:pt x="1014479" y="450079"/>
                                          <a:pt x="1003975" y="448900"/>
                                          <a:pt x="1019754" y="454817"/>
                                        </a:cubicBezTo>
                                        <a:cubicBezTo>
                                          <a:pt x="1024807" y="456712"/>
                                          <a:pt x="1030337" y="456934"/>
                                          <a:pt x="1035629" y="457992"/>
                                        </a:cubicBezTo>
                                        <a:cubicBezTo>
                                          <a:pt x="1045154" y="456934"/>
                                          <a:pt x="1054717" y="456172"/>
                                          <a:pt x="1064204" y="454817"/>
                                        </a:cubicBezTo>
                                        <a:cubicBezTo>
                                          <a:pt x="1069546" y="454054"/>
                                          <a:pt x="1074703" y="451175"/>
                                          <a:pt x="1080079" y="451642"/>
                                        </a:cubicBezTo>
                                        <a:cubicBezTo>
                                          <a:pt x="1099319" y="453315"/>
                                          <a:pt x="1118179" y="457992"/>
                                          <a:pt x="1137229" y="461167"/>
                                        </a:cubicBezTo>
                                        <a:cubicBezTo>
                                          <a:pt x="1138287" y="477042"/>
                                          <a:pt x="1136355" y="493406"/>
                                          <a:pt x="1140404" y="508792"/>
                                        </a:cubicBezTo>
                                        <a:cubicBezTo>
                                          <a:pt x="1141928" y="514582"/>
                                          <a:pt x="1149428" y="516766"/>
                                          <a:pt x="1153104" y="521492"/>
                                        </a:cubicBezTo>
                                        <a:cubicBezTo>
                                          <a:pt x="1156936" y="526418"/>
                                          <a:pt x="1166103" y="543357"/>
                                          <a:pt x="1168979" y="550067"/>
                                        </a:cubicBezTo>
                                        <a:cubicBezTo>
                                          <a:pt x="1170297" y="553143"/>
                                          <a:pt x="1170063" y="556979"/>
                                          <a:pt x="1172154" y="559592"/>
                                        </a:cubicBezTo>
                                        <a:cubicBezTo>
                                          <a:pt x="1178699" y="567773"/>
                                          <a:pt x="1188567" y="573100"/>
                                          <a:pt x="1194379" y="581817"/>
                                        </a:cubicBezTo>
                                        <a:cubicBezTo>
                                          <a:pt x="1200107" y="590409"/>
                                          <a:pt x="1203051" y="593971"/>
                                          <a:pt x="1207079" y="604042"/>
                                        </a:cubicBezTo>
                                        <a:cubicBezTo>
                                          <a:pt x="1209565" y="610257"/>
                                          <a:pt x="1213429" y="623092"/>
                                          <a:pt x="1213429" y="623092"/>
                                        </a:cubicBezTo>
                                        <a:cubicBezTo>
                                          <a:pt x="1212371" y="632617"/>
                                          <a:pt x="1211609" y="642180"/>
                                          <a:pt x="1210254" y="651667"/>
                                        </a:cubicBezTo>
                                        <a:cubicBezTo>
                                          <a:pt x="1208910" y="661072"/>
                                          <a:pt x="1206215" y="670998"/>
                                          <a:pt x="1203904" y="680242"/>
                                        </a:cubicBezTo>
                                        <a:lnTo>
                                          <a:pt x="1206389" y="719999"/>
                                        </a:lnTo>
                                        <a:lnTo>
                                          <a:pt x="0" y="719999"/>
                                        </a:lnTo>
                                        <a:lnTo>
                                          <a:pt x="0" y="0"/>
                                        </a:lnTo>
                                        <a:close/>
                                      </a:path>
                                    </a:pathLst>
                                  </a:custGeom>
                                  <a:solidFill>
                                    <a:srgbClr val="92D050"/>
                                  </a:solidFill>
                                  <a:ln w="3175">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255972907" name="Proceso 100">
                                  <a:extLst>
                                    <a:ext uri="{FF2B5EF4-FFF2-40B4-BE49-F238E27FC236}">
                                      <a16:creationId xmlns:a16="http://schemas.microsoft.com/office/drawing/2014/main" id="{0DB6DB6F-079B-15BD-DD15-9ED24F5ED1DE}"/>
                                    </a:ext>
                                  </a:extLst>
                                </wps:cNvPr>
                                <wps:cNvSpPr/>
                                <wps:spPr>
                                  <a:xfrm>
                                    <a:off x="6397110" y="5646104"/>
                                    <a:ext cx="360000" cy="360000"/>
                                  </a:xfrm>
                                  <a:prstGeom prst="flowChartProcess">
                                    <a:avLst/>
                                  </a:prstGeom>
                                  <a:solidFill>
                                    <a:srgbClr val="FFFF00">
                                      <a:alpha val="98824"/>
                                    </a:srgbClr>
                                  </a:solidFill>
                                  <a:ln w="3175">
                                    <a:noFill/>
                                  </a:ln>
                                </wps:spPr>
                                <wps:style>
                                  <a:lnRef idx="2">
                                    <a:schemeClr val="dk1"/>
                                  </a:lnRef>
                                  <a:fillRef idx="1">
                                    <a:schemeClr val="lt1"/>
                                  </a:fillRef>
                                  <a:effectRef idx="0">
                                    <a:schemeClr val="dk1"/>
                                  </a:effectRef>
                                  <a:fontRef idx="minor">
                                    <a:schemeClr val="dk1"/>
                                  </a:fontRef>
                                </wps:style>
                                <wps:bodyPr rot="0" spcFirstLastPara="0" vert="horz" wrap="square" lIns="0" tIns="0" rIns="0" bIns="0" numCol="1" spcCol="0" rtlCol="0" fromWordArt="0" anchor="ctr" anchorCtr="0" forceAA="0" compatLnSpc="1">
                                  <a:prstTxWarp prst="textNoShape">
                                    <a:avLst/>
                                  </a:prstTxWarp>
                                  <a:noAutofit/>
                                </wps:bodyPr>
                              </wps:wsp>
                              <wps:wsp>
                                <wps:cNvPr id="1118159218" name="Proceso 100">
                                  <a:extLst>
                                    <a:ext uri="{FF2B5EF4-FFF2-40B4-BE49-F238E27FC236}">
                                      <a16:creationId xmlns:a16="http://schemas.microsoft.com/office/drawing/2014/main" id="{7AAFDACE-20CB-9764-6CED-739AD690034C}"/>
                                    </a:ext>
                                  </a:extLst>
                                </wps:cNvPr>
                                <wps:cNvSpPr/>
                                <wps:spPr>
                                  <a:xfrm>
                                    <a:off x="6757110" y="5286104"/>
                                    <a:ext cx="360000" cy="360000"/>
                                  </a:xfrm>
                                  <a:prstGeom prst="flowChartProcess">
                                    <a:avLst/>
                                  </a:prstGeom>
                                  <a:solidFill>
                                    <a:srgbClr val="FF0000">
                                      <a:alpha val="98824"/>
                                    </a:srgbClr>
                                  </a:solidFill>
                                  <a:ln w="3175">
                                    <a:noFill/>
                                  </a:ln>
                                </wps:spPr>
                                <wps:style>
                                  <a:lnRef idx="2">
                                    <a:schemeClr val="dk1"/>
                                  </a:lnRef>
                                  <a:fillRef idx="1">
                                    <a:schemeClr val="lt1"/>
                                  </a:fillRef>
                                  <a:effectRef idx="0">
                                    <a:schemeClr val="dk1"/>
                                  </a:effectRef>
                                  <a:fontRef idx="minor">
                                    <a:schemeClr val="dk1"/>
                                  </a:fontRef>
                                </wps:style>
                                <wps:txbx>
                                  <w:txbxContent>
                                    <w:p w14:paraId="2CF9755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5954693" name="Proceso 100">
                                  <a:extLst>
                                    <a:ext uri="{FF2B5EF4-FFF2-40B4-BE49-F238E27FC236}">
                                      <a16:creationId xmlns:a16="http://schemas.microsoft.com/office/drawing/2014/main" id="{9E5C2BD1-91E0-2F21-89FC-FD2523F5D52B}"/>
                                    </a:ext>
                                  </a:extLst>
                                </wps:cNvPr>
                                <wps:cNvSpPr/>
                                <wps:spPr>
                                  <a:xfrm>
                                    <a:off x="6757110" y="5646104"/>
                                    <a:ext cx="360000" cy="360000"/>
                                  </a:xfrm>
                                  <a:prstGeom prst="flowChartProcess">
                                    <a:avLst/>
                                  </a:prstGeom>
                                  <a:solidFill>
                                    <a:srgbClr val="FFFF00">
                                      <a:alpha val="98824"/>
                                    </a:srgbClr>
                                  </a:solidFill>
                                  <a:ln w="3175">
                                    <a:noFill/>
                                  </a:ln>
                                </wps:spPr>
                                <wps:style>
                                  <a:lnRef idx="2">
                                    <a:schemeClr val="dk1"/>
                                  </a:lnRef>
                                  <a:fillRef idx="1">
                                    <a:schemeClr val="lt1"/>
                                  </a:fillRef>
                                  <a:effectRef idx="0">
                                    <a:schemeClr val="dk1"/>
                                  </a:effectRef>
                                  <a:fontRef idx="minor">
                                    <a:schemeClr val="dk1"/>
                                  </a:fontRef>
                                </wps:style>
                                <wps:bodyPr rot="0" spcFirstLastPara="0" vert="horz" wrap="square" lIns="0" tIns="0" rIns="0" bIns="0" numCol="1" spcCol="0" rtlCol="0" fromWordArt="0" anchor="ctr" anchorCtr="0" forceAA="0" compatLnSpc="1">
                                  <a:prstTxWarp prst="textNoShape">
                                    <a:avLst/>
                                  </a:prstTxWarp>
                                  <a:noAutofit/>
                                </wps:bodyPr>
                              </wps:wsp>
                              <wps:wsp>
                                <wps:cNvPr id="2052425554" name="Proceso 100">
                                  <a:extLst>
                                    <a:ext uri="{FF2B5EF4-FFF2-40B4-BE49-F238E27FC236}">
                                      <a16:creationId xmlns:a16="http://schemas.microsoft.com/office/drawing/2014/main" id="{FE804F48-4437-97B8-3B62-56DA9A09F95F}"/>
                                    </a:ext>
                                  </a:extLst>
                                </wps:cNvPr>
                                <wps:cNvSpPr/>
                                <wps:spPr>
                                  <a:xfrm>
                                    <a:off x="6397110" y="5286104"/>
                                    <a:ext cx="360000" cy="360000"/>
                                  </a:xfrm>
                                  <a:prstGeom prst="flowChartProcess">
                                    <a:avLst/>
                                  </a:prstGeom>
                                  <a:solidFill>
                                    <a:srgbClr val="92D050">
                                      <a:alpha val="98824"/>
                                    </a:srgbClr>
                                  </a:solidFill>
                                  <a:ln w="3175">
                                    <a:noFill/>
                                  </a:ln>
                                </wps:spPr>
                                <wps:style>
                                  <a:lnRef idx="2">
                                    <a:schemeClr val="dk1"/>
                                  </a:lnRef>
                                  <a:fillRef idx="1">
                                    <a:schemeClr val="lt1"/>
                                  </a:fillRef>
                                  <a:effectRef idx="0">
                                    <a:schemeClr val="dk1"/>
                                  </a:effectRef>
                                  <a:fontRef idx="minor">
                                    <a:schemeClr val="dk1"/>
                                  </a:fontRef>
                                </wps:style>
                                <wps:bodyPr rot="0" spcFirstLastPara="0" vert="horz" wrap="square" lIns="0" tIns="0" rIns="0" bIns="0" numCol="1" spcCol="0" rtlCol="0" fromWordArt="0" anchor="ctr" anchorCtr="0" forceAA="0" compatLnSpc="1">
                                  <a:prstTxWarp prst="textNoShape">
                                    <a:avLst/>
                                  </a:prstTxWarp>
                                  <a:noAutofit/>
                                </wps:bodyPr>
                              </wps:wsp>
                              <wps:wsp>
                                <wps:cNvPr id="429818983" name="Proceso 100">
                                  <a:extLst>
                                    <a:ext uri="{FF2B5EF4-FFF2-40B4-BE49-F238E27FC236}">
                                      <a16:creationId xmlns:a16="http://schemas.microsoft.com/office/drawing/2014/main" id="{14D80D13-2A30-092F-898C-1CE6D19DE381}"/>
                                    </a:ext>
                                  </a:extLst>
                                </wps:cNvPr>
                                <wps:cNvSpPr/>
                                <wps:spPr>
                                  <a:xfrm>
                                    <a:off x="7117110" y="5286104"/>
                                    <a:ext cx="360000" cy="360000"/>
                                  </a:xfrm>
                                  <a:prstGeom prst="flowChartProcess">
                                    <a:avLst/>
                                  </a:prstGeom>
                                  <a:solidFill>
                                    <a:srgbClr val="FFFF00">
                                      <a:alpha val="98824"/>
                                    </a:srgbClr>
                                  </a:solidFill>
                                  <a:ln w="3175">
                                    <a:noFill/>
                                  </a:ln>
                                </wps:spPr>
                                <wps:style>
                                  <a:lnRef idx="2">
                                    <a:schemeClr val="dk1"/>
                                  </a:lnRef>
                                  <a:fillRef idx="1">
                                    <a:schemeClr val="lt1"/>
                                  </a:fillRef>
                                  <a:effectRef idx="0">
                                    <a:schemeClr val="dk1"/>
                                  </a:effectRef>
                                  <a:fontRef idx="minor">
                                    <a:schemeClr val="dk1"/>
                                  </a:fontRef>
                                </wps:style>
                                <wps:bodyPr rot="0" spcFirstLastPara="0" vert="horz" wrap="square" lIns="0" tIns="0" rIns="0" bIns="0" numCol="1" spcCol="0" rtlCol="0" fromWordArt="0" anchor="ctr" anchorCtr="0" forceAA="0" compatLnSpc="1">
                                  <a:prstTxWarp prst="textNoShape">
                                    <a:avLst/>
                                  </a:prstTxWarp>
                                  <a:noAutofit/>
                                </wps:bodyPr>
                              </wps:wsp>
                              <wps:wsp>
                                <wps:cNvPr id="747051978" name="Proceso 100">
                                  <a:extLst>
                                    <a:ext uri="{FF2B5EF4-FFF2-40B4-BE49-F238E27FC236}">
                                      <a16:creationId xmlns:a16="http://schemas.microsoft.com/office/drawing/2014/main" id="{3B415C95-CDE0-3163-A68F-C3D249130F6F}"/>
                                    </a:ext>
                                  </a:extLst>
                                </wps:cNvPr>
                                <wps:cNvSpPr/>
                                <wps:spPr>
                                  <a:xfrm>
                                    <a:off x="7477110" y="5646104"/>
                                    <a:ext cx="360000" cy="360000"/>
                                  </a:xfrm>
                                  <a:prstGeom prst="flowChartProcess">
                                    <a:avLst/>
                                  </a:prstGeom>
                                  <a:solidFill>
                                    <a:srgbClr val="FFFF00">
                                      <a:alpha val="98824"/>
                                    </a:srgbClr>
                                  </a:solidFill>
                                  <a:ln w="3175">
                                    <a:noFill/>
                                  </a:ln>
                                </wps:spPr>
                                <wps:style>
                                  <a:lnRef idx="2">
                                    <a:schemeClr val="dk1"/>
                                  </a:lnRef>
                                  <a:fillRef idx="1">
                                    <a:schemeClr val="lt1"/>
                                  </a:fillRef>
                                  <a:effectRef idx="0">
                                    <a:schemeClr val="dk1"/>
                                  </a:effectRef>
                                  <a:fontRef idx="minor">
                                    <a:schemeClr val="dk1"/>
                                  </a:fontRef>
                                </wps:style>
                                <wps:bodyPr rot="0" spcFirstLastPara="0" vert="horz" wrap="square" lIns="0" tIns="0" rIns="0" bIns="0" numCol="1" spcCol="0" rtlCol="0" fromWordArt="0" anchor="ctr" anchorCtr="0" forceAA="0" compatLnSpc="1">
                                  <a:prstTxWarp prst="textNoShape">
                                    <a:avLst/>
                                  </a:prstTxWarp>
                                  <a:noAutofit/>
                                </wps:bodyPr>
                              </wps:wsp>
                              <wps:wsp>
                                <wps:cNvPr id="534253859" name="Forma libre: forma 534253859">
                                  <a:extLst>
                                    <a:ext uri="{FF2B5EF4-FFF2-40B4-BE49-F238E27FC236}">
                                      <a16:creationId xmlns:a16="http://schemas.microsoft.com/office/drawing/2014/main" id="{7A8265EA-26A2-61D9-DC2A-7E46068E6FE9}"/>
                                    </a:ext>
                                  </a:extLst>
                                </wps:cNvPr>
                                <wps:cNvSpPr/>
                                <wps:spPr>
                                  <a:xfrm>
                                    <a:off x="6766245" y="5286879"/>
                                    <a:ext cx="603250" cy="346073"/>
                                  </a:xfrm>
                                  <a:custGeom>
                                    <a:avLst/>
                                    <a:gdLst>
                                      <a:gd name="connsiteX0" fmla="*/ 18592 w 603250"/>
                                      <a:gd name="connsiteY0" fmla="*/ 0 h 346073"/>
                                      <a:gd name="connsiteX1" fmla="*/ 603143 w 603250"/>
                                      <a:gd name="connsiteY1" fmla="*/ 0 h 346073"/>
                                      <a:gd name="connsiteX2" fmla="*/ 603250 w 603250"/>
                                      <a:gd name="connsiteY2" fmla="*/ 3173 h 346073"/>
                                      <a:gd name="connsiteX3" fmla="*/ 600075 w 603250"/>
                                      <a:gd name="connsiteY3" fmla="*/ 15873 h 346073"/>
                                      <a:gd name="connsiteX4" fmla="*/ 590550 w 603250"/>
                                      <a:gd name="connsiteY4" fmla="*/ 22223 h 346073"/>
                                      <a:gd name="connsiteX5" fmla="*/ 584200 w 603250"/>
                                      <a:gd name="connsiteY5" fmla="*/ 31748 h 346073"/>
                                      <a:gd name="connsiteX6" fmla="*/ 565150 w 603250"/>
                                      <a:gd name="connsiteY6" fmla="*/ 41273 h 346073"/>
                                      <a:gd name="connsiteX7" fmla="*/ 536575 w 603250"/>
                                      <a:gd name="connsiteY7" fmla="*/ 50798 h 346073"/>
                                      <a:gd name="connsiteX8" fmla="*/ 533400 w 603250"/>
                                      <a:gd name="connsiteY8" fmla="*/ 66673 h 346073"/>
                                      <a:gd name="connsiteX9" fmla="*/ 530225 w 603250"/>
                                      <a:gd name="connsiteY9" fmla="*/ 79373 h 346073"/>
                                      <a:gd name="connsiteX10" fmla="*/ 520700 w 603250"/>
                                      <a:gd name="connsiteY10" fmla="*/ 92073 h 346073"/>
                                      <a:gd name="connsiteX11" fmla="*/ 495300 w 603250"/>
                                      <a:gd name="connsiteY11" fmla="*/ 98423 h 346073"/>
                                      <a:gd name="connsiteX12" fmla="*/ 482600 w 603250"/>
                                      <a:gd name="connsiteY12" fmla="*/ 104773 h 346073"/>
                                      <a:gd name="connsiteX13" fmla="*/ 466725 w 603250"/>
                                      <a:gd name="connsiteY13" fmla="*/ 111123 h 346073"/>
                                      <a:gd name="connsiteX14" fmla="*/ 450850 w 603250"/>
                                      <a:gd name="connsiteY14" fmla="*/ 114298 h 346073"/>
                                      <a:gd name="connsiteX15" fmla="*/ 441325 w 603250"/>
                                      <a:gd name="connsiteY15" fmla="*/ 123823 h 346073"/>
                                      <a:gd name="connsiteX16" fmla="*/ 450850 w 603250"/>
                                      <a:gd name="connsiteY16" fmla="*/ 130173 h 346073"/>
                                      <a:gd name="connsiteX17" fmla="*/ 454025 w 603250"/>
                                      <a:gd name="connsiteY17" fmla="*/ 165098 h 346073"/>
                                      <a:gd name="connsiteX18" fmla="*/ 463550 w 603250"/>
                                      <a:gd name="connsiteY18" fmla="*/ 206373 h 346073"/>
                                      <a:gd name="connsiteX19" fmla="*/ 469900 w 603250"/>
                                      <a:gd name="connsiteY19" fmla="*/ 225423 h 346073"/>
                                      <a:gd name="connsiteX20" fmla="*/ 476250 w 603250"/>
                                      <a:gd name="connsiteY20" fmla="*/ 234948 h 346073"/>
                                      <a:gd name="connsiteX21" fmla="*/ 485775 w 603250"/>
                                      <a:gd name="connsiteY21" fmla="*/ 244473 h 346073"/>
                                      <a:gd name="connsiteX22" fmla="*/ 488950 w 603250"/>
                                      <a:gd name="connsiteY22" fmla="*/ 269873 h 346073"/>
                                      <a:gd name="connsiteX23" fmla="*/ 479425 w 603250"/>
                                      <a:gd name="connsiteY23" fmla="*/ 276223 h 346073"/>
                                      <a:gd name="connsiteX24" fmla="*/ 469900 w 603250"/>
                                      <a:gd name="connsiteY24" fmla="*/ 279398 h 346073"/>
                                      <a:gd name="connsiteX25" fmla="*/ 438150 w 603250"/>
                                      <a:gd name="connsiteY25" fmla="*/ 288923 h 346073"/>
                                      <a:gd name="connsiteX26" fmla="*/ 381000 w 603250"/>
                                      <a:gd name="connsiteY26" fmla="*/ 292098 h 346073"/>
                                      <a:gd name="connsiteX27" fmla="*/ 371475 w 603250"/>
                                      <a:gd name="connsiteY27" fmla="*/ 295273 h 346073"/>
                                      <a:gd name="connsiteX28" fmla="*/ 346075 w 603250"/>
                                      <a:gd name="connsiteY28" fmla="*/ 301623 h 346073"/>
                                      <a:gd name="connsiteX29" fmla="*/ 336550 w 603250"/>
                                      <a:gd name="connsiteY29" fmla="*/ 307973 h 346073"/>
                                      <a:gd name="connsiteX30" fmla="*/ 317500 w 603250"/>
                                      <a:gd name="connsiteY30" fmla="*/ 317498 h 346073"/>
                                      <a:gd name="connsiteX31" fmla="*/ 298450 w 603250"/>
                                      <a:gd name="connsiteY31" fmla="*/ 323848 h 346073"/>
                                      <a:gd name="connsiteX32" fmla="*/ 288925 w 603250"/>
                                      <a:gd name="connsiteY32" fmla="*/ 330198 h 346073"/>
                                      <a:gd name="connsiteX33" fmla="*/ 254000 w 603250"/>
                                      <a:gd name="connsiteY33" fmla="*/ 333373 h 346073"/>
                                      <a:gd name="connsiteX34" fmla="*/ 244475 w 603250"/>
                                      <a:gd name="connsiteY34" fmla="*/ 336548 h 346073"/>
                                      <a:gd name="connsiteX35" fmla="*/ 231775 w 603250"/>
                                      <a:gd name="connsiteY35" fmla="*/ 342898 h 346073"/>
                                      <a:gd name="connsiteX36" fmla="*/ 187325 w 603250"/>
                                      <a:gd name="connsiteY36" fmla="*/ 346073 h 346073"/>
                                      <a:gd name="connsiteX37" fmla="*/ 155575 w 603250"/>
                                      <a:gd name="connsiteY37" fmla="*/ 339723 h 346073"/>
                                      <a:gd name="connsiteX38" fmla="*/ 142875 w 603250"/>
                                      <a:gd name="connsiteY38" fmla="*/ 336548 h 346073"/>
                                      <a:gd name="connsiteX39" fmla="*/ 117475 w 603250"/>
                                      <a:gd name="connsiteY39" fmla="*/ 346073 h 346073"/>
                                      <a:gd name="connsiteX40" fmla="*/ 98425 w 603250"/>
                                      <a:gd name="connsiteY40" fmla="*/ 339723 h 346073"/>
                                      <a:gd name="connsiteX41" fmla="*/ 92075 w 603250"/>
                                      <a:gd name="connsiteY41" fmla="*/ 330198 h 346073"/>
                                      <a:gd name="connsiteX42" fmla="*/ 88900 w 603250"/>
                                      <a:gd name="connsiteY42" fmla="*/ 320673 h 346073"/>
                                      <a:gd name="connsiteX43" fmla="*/ 85725 w 603250"/>
                                      <a:gd name="connsiteY43" fmla="*/ 311148 h 346073"/>
                                      <a:gd name="connsiteX44" fmla="*/ 73025 w 603250"/>
                                      <a:gd name="connsiteY44" fmla="*/ 276223 h 346073"/>
                                      <a:gd name="connsiteX45" fmla="*/ 47625 w 603250"/>
                                      <a:gd name="connsiteY45" fmla="*/ 269873 h 346073"/>
                                      <a:gd name="connsiteX46" fmla="*/ 38100 w 603250"/>
                                      <a:gd name="connsiteY46" fmla="*/ 263523 h 346073"/>
                                      <a:gd name="connsiteX47" fmla="*/ 19050 w 603250"/>
                                      <a:gd name="connsiteY47" fmla="*/ 234948 h 346073"/>
                                      <a:gd name="connsiteX48" fmla="*/ 12700 w 603250"/>
                                      <a:gd name="connsiteY48" fmla="*/ 225423 h 346073"/>
                                      <a:gd name="connsiteX49" fmla="*/ 9525 w 603250"/>
                                      <a:gd name="connsiteY49" fmla="*/ 212723 h 346073"/>
                                      <a:gd name="connsiteX50" fmla="*/ 3175 w 603250"/>
                                      <a:gd name="connsiteY50" fmla="*/ 203198 h 346073"/>
                                      <a:gd name="connsiteX51" fmla="*/ 0 w 603250"/>
                                      <a:gd name="connsiteY51" fmla="*/ 165098 h 346073"/>
                                      <a:gd name="connsiteX52" fmla="*/ 12700 w 603250"/>
                                      <a:gd name="connsiteY52" fmla="*/ 126998 h 346073"/>
                                      <a:gd name="connsiteX53" fmla="*/ 19050 w 603250"/>
                                      <a:gd name="connsiteY53" fmla="*/ 114298 h 346073"/>
                                      <a:gd name="connsiteX54" fmla="*/ 19971 w 603250"/>
                                      <a:gd name="connsiteY54" fmla="*/ 21797 h 346073"/>
                                      <a:gd name="connsiteX55" fmla="*/ 18592 w 603250"/>
                                      <a:gd name="connsiteY55" fmla="*/ 0 h 346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603250" h="346073">
                                        <a:moveTo>
                                          <a:pt x="18592" y="0"/>
                                        </a:moveTo>
                                        <a:lnTo>
                                          <a:pt x="603143" y="0"/>
                                        </a:lnTo>
                                        <a:lnTo>
                                          <a:pt x="603250" y="3173"/>
                                        </a:lnTo>
                                        <a:cubicBezTo>
                                          <a:pt x="602192" y="7406"/>
                                          <a:pt x="602496" y="12242"/>
                                          <a:pt x="600075" y="15873"/>
                                        </a:cubicBezTo>
                                        <a:cubicBezTo>
                                          <a:pt x="597958" y="19048"/>
                                          <a:pt x="593248" y="19525"/>
                                          <a:pt x="590550" y="22223"/>
                                        </a:cubicBezTo>
                                        <a:cubicBezTo>
                                          <a:pt x="587852" y="24921"/>
                                          <a:pt x="586317" y="28573"/>
                                          <a:pt x="584200" y="31748"/>
                                        </a:cubicBezTo>
                                        <a:cubicBezTo>
                                          <a:pt x="574888" y="37956"/>
                                          <a:pt x="575666" y="38644"/>
                                          <a:pt x="565150" y="41273"/>
                                        </a:cubicBezTo>
                                        <a:cubicBezTo>
                                          <a:pt x="559381" y="42715"/>
                                          <a:pt x="541168" y="44368"/>
                                          <a:pt x="536575" y="50798"/>
                                        </a:cubicBezTo>
                                        <a:cubicBezTo>
                                          <a:pt x="533438" y="55189"/>
                                          <a:pt x="534571" y="61405"/>
                                          <a:pt x="533400" y="66673"/>
                                        </a:cubicBezTo>
                                        <a:cubicBezTo>
                                          <a:pt x="532453" y="70933"/>
                                          <a:pt x="532176" y="75470"/>
                                          <a:pt x="530225" y="79373"/>
                                        </a:cubicBezTo>
                                        <a:cubicBezTo>
                                          <a:pt x="527858" y="84106"/>
                                          <a:pt x="523875" y="87840"/>
                                          <a:pt x="520700" y="92073"/>
                                        </a:cubicBezTo>
                                        <a:cubicBezTo>
                                          <a:pt x="520700" y="92073"/>
                                          <a:pt x="503579" y="95663"/>
                                          <a:pt x="495300" y="98423"/>
                                        </a:cubicBezTo>
                                        <a:cubicBezTo>
                                          <a:pt x="490810" y="99920"/>
                                          <a:pt x="486925" y="102851"/>
                                          <a:pt x="482600" y="104773"/>
                                        </a:cubicBezTo>
                                        <a:cubicBezTo>
                                          <a:pt x="477392" y="107088"/>
                                          <a:pt x="472184" y="109485"/>
                                          <a:pt x="466725" y="111123"/>
                                        </a:cubicBezTo>
                                        <a:cubicBezTo>
                                          <a:pt x="461556" y="112674"/>
                                          <a:pt x="455677" y="111885"/>
                                          <a:pt x="450850" y="114298"/>
                                        </a:cubicBezTo>
                                        <a:cubicBezTo>
                                          <a:pt x="446834" y="116306"/>
                                          <a:pt x="441325" y="119333"/>
                                          <a:pt x="441325" y="123823"/>
                                        </a:cubicBezTo>
                                        <a:cubicBezTo>
                                          <a:pt x="441325" y="127639"/>
                                          <a:pt x="449728" y="126526"/>
                                          <a:pt x="450850" y="130173"/>
                                        </a:cubicBezTo>
                                        <a:cubicBezTo>
                                          <a:pt x="454288" y="141346"/>
                                          <a:pt x="452967" y="153456"/>
                                          <a:pt x="454025" y="165098"/>
                                        </a:cubicBezTo>
                                        <a:cubicBezTo>
                                          <a:pt x="458912" y="189531"/>
                                          <a:pt x="455891" y="175738"/>
                                          <a:pt x="463550" y="206373"/>
                                        </a:cubicBezTo>
                                        <a:cubicBezTo>
                                          <a:pt x="465173" y="212867"/>
                                          <a:pt x="467182" y="219306"/>
                                          <a:pt x="469900" y="225423"/>
                                        </a:cubicBezTo>
                                        <a:cubicBezTo>
                                          <a:pt x="471450" y="228910"/>
                                          <a:pt x="473807" y="232017"/>
                                          <a:pt x="476250" y="234948"/>
                                        </a:cubicBezTo>
                                        <a:cubicBezTo>
                                          <a:pt x="479125" y="238397"/>
                                          <a:pt x="484241" y="240253"/>
                                          <a:pt x="485775" y="244473"/>
                                        </a:cubicBezTo>
                                        <a:cubicBezTo>
                                          <a:pt x="488691" y="252492"/>
                                          <a:pt x="487892" y="261406"/>
                                          <a:pt x="488950" y="269873"/>
                                        </a:cubicBezTo>
                                        <a:lnTo>
                                          <a:pt x="479425" y="276223"/>
                                        </a:lnTo>
                                        <a:cubicBezTo>
                                          <a:pt x="476640" y="278079"/>
                                          <a:pt x="473075" y="278340"/>
                                          <a:pt x="469900" y="279398"/>
                                        </a:cubicBezTo>
                                        <a:cubicBezTo>
                                          <a:pt x="446710" y="287128"/>
                                          <a:pt x="457344" y="284125"/>
                                          <a:pt x="438150" y="288923"/>
                                        </a:cubicBezTo>
                                        <a:cubicBezTo>
                                          <a:pt x="419100" y="289981"/>
                                          <a:pt x="399993" y="290289"/>
                                          <a:pt x="381000" y="292098"/>
                                        </a:cubicBezTo>
                                        <a:cubicBezTo>
                                          <a:pt x="377668" y="292415"/>
                                          <a:pt x="374650" y="294215"/>
                                          <a:pt x="371475" y="295273"/>
                                        </a:cubicBezTo>
                                        <a:cubicBezTo>
                                          <a:pt x="363196" y="298033"/>
                                          <a:pt x="354277" y="298641"/>
                                          <a:pt x="346075" y="301623"/>
                                        </a:cubicBezTo>
                                        <a:cubicBezTo>
                                          <a:pt x="342489" y="302927"/>
                                          <a:pt x="339963" y="306266"/>
                                          <a:pt x="336550" y="307973"/>
                                        </a:cubicBezTo>
                                        <a:cubicBezTo>
                                          <a:pt x="310260" y="321118"/>
                                          <a:pt x="344797" y="299300"/>
                                          <a:pt x="317500" y="317498"/>
                                        </a:cubicBezTo>
                                        <a:cubicBezTo>
                                          <a:pt x="311931" y="321211"/>
                                          <a:pt x="304567" y="321130"/>
                                          <a:pt x="298450" y="323848"/>
                                        </a:cubicBezTo>
                                        <a:cubicBezTo>
                                          <a:pt x="294963" y="325398"/>
                                          <a:pt x="292100" y="328081"/>
                                          <a:pt x="288925" y="330198"/>
                                        </a:cubicBezTo>
                                        <a:cubicBezTo>
                                          <a:pt x="277283" y="331256"/>
                                          <a:pt x="265572" y="331720"/>
                                          <a:pt x="254000" y="333373"/>
                                        </a:cubicBezTo>
                                        <a:cubicBezTo>
                                          <a:pt x="250687" y="333846"/>
                                          <a:pt x="247551" y="335230"/>
                                          <a:pt x="244475" y="336548"/>
                                        </a:cubicBezTo>
                                        <a:cubicBezTo>
                                          <a:pt x="240125" y="338412"/>
                                          <a:pt x="236444" y="342120"/>
                                          <a:pt x="231775" y="342898"/>
                                        </a:cubicBezTo>
                                        <a:cubicBezTo>
                                          <a:pt x="217123" y="345340"/>
                                          <a:pt x="202142" y="345015"/>
                                          <a:pt x="187325" y="346073"/>
                                        </a:cubicBezTo>
                                        <a:cubicBezTo>
                                          <a:pt x="187325" y="346073"/>
                                          <a:pt x="166128" y="341984"/>
                                          <a:pt x="155575" y="339723"/>
                                        </a:cubicBezTo>
                                        <a:cubicBezTo>
                                          <a:pt x="151308" y="338809"/>
                                          <a:pt x="147239" y="336548"/>
                                          <a:pt x="142875" y="336548"/>
                                        </a:cubicBezTo>
                                        <a:cubicBezTo>
                                          <a:pt x="134229" y="336548"/>
                                          <a:pt x="124700" y="342460"/>
                                          <a:pt x="117475" y="346073"/>
                                        </a:cubicBezTo>
                                        <a:cubicBezTo>
                                          <a:pt x="117475" y="346073"/>
                                          <a:pt x="104101" y="343271"/>
                                          <a:pt x="98425" y="339723"/>
                                        </a:cubicBezTo>
                                        <a:cubicBezTo>
                                          <a:pt x="95189" y="337701"/>
                                          <a:pt x="94192" y="333373"/>
                                          <a:pt x="92075" y="330198"/>
                                        </a:cubicBezTo>
                                        <a:cubicBezTo>
                                          <a:pt x="90219" y="327413"/>
                                          <a:pt x="89958" y="323848"/>
                                          <a:pt x="88900" y="320673"/>
                                        </a:cubicBezTo>
                                        <a:lnTo>
                                          <a:pt x="85725" y="311148"/>
                                        </a:lnTo>
                                        <a:cubicBezTo>
                                          <a:pt x="77573" y="286691"/>
                                          <a:pt x="81861" y="298313"/>
                                          <a:pt x="73025" y="276223"/>
                                        </a:cubicBezTo>
                                        <a:cubicBezTo>
                                          <a:pt x="66987" y="275015"/>
                                          <a:pt x="54134" y="273127"/>
                                          <a:pt x="47625" y="269873"/>
                                        </a:cubicBezTo>
                                        <a:cubicBezTo>
                                          <a:pt x="44212" y="268166"/>
                                          <a:pt x="40798" y="266221"/>
                                          <a:pt x="38100" y="263523"/>
                                        </a:cubicBezTo>
                                        <a:cubicBezTo>
                                          <a:pt x="31054" y="256477"/>
                                          <a:pt x="24088" y="243009"/>
                                          <a:pt x="19050" y="234948"/>
                                        </a:cubicBezTo>
                                        <a:cubicBezTo>
                                          <a:pt x="17028" y="231712"/>
                                          <a:pt x="14203" y="228930"/>
                                          <a:pt x="12700" y="225423"/>
                                        </a:cubicBezTo>
                                        <a:cubicBezTo>
                                          <a:pt x="10981" y="221412"/>
                                          <a:pt x="11244" y="216734"/>
                                          <a:pt x="9525" y="212723"/>
                                        </a:cubicBezTo>
                                        <a:cubicBezTo>
                                          <a:pt x="8022" y="209216"/>
                                          <a:pt x="3923" y="206940"/>
                                          <a:pt x="3175" y="203198"/>
                                        </a:cubicBezTo>
                                        <a:cubicBezTo>
                                          <a:pt x="676" y="190701"/>
                                          <a:pt x="1058" y="177798"/>
                                          <a:pt x="0" y="165098"/>
                                        </a:cubicBezTo>
                                        <a:cubicBezTo>
                                          <a:pt x="14319" y="136459"/>
                                          <a:pt x="-2296" y="171986"/>
                                          <a:pt x="12700" y="126998"/>
                                        </a:cubicBezTo>
                                        <a:cubicBezTo>
                                          <a:pt x="14197" y="122508"/>
                                          <a:pt x="18678" y="119016"/>
                                          <a:pt x="19050" y="114298"/>
                                        </a:cubicBezTo>
                                        <a:cubicBezTo>
                                          <a:pt x="22395" y="71926"/>
                                          <a:pt x="21337" y="43351"/>
                                          <a:pt x="19971" y="21797"/>
                                        </a:cubicBezTo>
                                        <a:lnTo>
                                          <a:pt x="18592" y="0"/>
                                        </a:lnTo>
                                        <a:close/>
                                      </a:path>
                                    </a:pathLst>
                                  </a:custGeom>
                                  <a:solidFill>
                                    <a:srgbClr val="FF0000"/>
                                  </a:solidFill>
                                  <a:ln w="3175">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s:wsp>
                              <wps:cNvPr id="92254110" name="Proceso 124">
                                <a:extLst>
                                  <a:ext uri="{FF2B5EF4-FFF2-40B4-BE49-F238E27FC236}">
                                    <a16:creationId xmlns:a16="http://schemas.microsoft.com/office/drawing/2014/main" id="{8B565B83-95A6-C65E-371E-6193698D48FF}"/>
                                  </a:ext>
                                </a:extLst>
                              </wps:cNvPr>
                              <wps:cNvSpPr/>
                              <wps:spPr>
                                <a:xfrm>
                                  <a:off x="7324186" y="5417216"/>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79185CFA"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AIR</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792223641" name="Proceso 124">
                                <a:extLst>
                                  <a:ext uri="{FF2B5EF4-FFF2-40B4-BE49-F238E27FC236}">
                                    <a16:creationId xmlns:a16="http://schemas.microsoft.com/office/drawing/2014/main" id="{2C926166-3AD6-AC29-5FC2-3E301EAE18D5}"/>
                                  </a:ext>
                                </a:extLst>
                              </wps:cNvPr>
                              <wps:cNvSpPr/>
                              <wps:spPr>
                                <a:xfrm>
                                  <a:off x="6401139" y="5287152"/>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36B3EE1D"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AI</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668001759" name="Proceso 124">
                                <a:extLst>
                                  <a:ext uri="{FF2B5EF4-FFF2-40B4-BE49-F238E27FC236}">
                                    <a16:creationId xmlns:a16="http://schemas.microsoft.com/office/drawing/2014/main" id="{FD837AA3-2F06-41E0-2448-1E3BAF160825}"/>
                                  </a:ext>
                                </a:extLst>
                              </wps:cNvPr>
                              <wps:cNvSpPr/>
                              <wps:spPr>
                                <a:xfrm>
                                  <a:off x="6841233" y="5286108"/>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2FC29BCA"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AE</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044088974" name="Proceso 124">
                                <a:extLst>
                                  <a:ext uri="{FF2B5EF4-FFF2-40B4-BE49-F238E27FC236}">
                                    <a16:creationId xmlns:a16="http://schemas.microsoft.com/office/drawing/2014/main" id="{7BA15673-06E2-8589-3A6F-52D70326A2B2}"/>
                                  </a:ext>
                                </a:extLst>
                              </wps:cNvPr>
                              <wps:cNvSpPr/>
                              <wps:spPr>
                                <a:xfrm>
                                  <a:off x="7117521" y="5646148"/>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57DF5246"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AI</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351439874" name="Proceso 124">
                                <a:extLst>
                                  <a:ext uri="{FF2B5EF4-FFF2-40B4-BE49-F238E27FC236}">
                                    <a16:creationId xmlns:a16="http://schemas.microsoft.com/office/drawing/2014/main" id="{C7609C66-8707-7304-8870-B38DB81EA41B}"/>
                                  </a:ext>
                                </a:extLst>
                              </wps:cNvPr>
                              <wps:cNvSpPr/>
                              <wps:spPr>
                                <a:xfrm>
                                  <a:off x="6580242" y="5646893"/>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2D64229E"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AIR</w:t>
                                    </w:r>
                                  </w:p>
                                </w:txbxContent>
                              </wps:txbx>
                              <wps:bodyPr rot="0" spcFirstLastPara="0" vert="horz" wrap="square" lIns="27000" tIns="0" rIns="27000" bIns="0" numCol="1" spcCol="0" rtlCol="0" fromWordArt="0" anchor="ctr" anchorCtr="0" forceAA="0" compatLnSpc="1">
                                <a:prstTxWarp prst="textNoShape">
                                  <a:avLst/>
                                </a:prstTxWarp>
                                <a:noAutofit/>
                              </wps:bodyPr>
                            </wps:wsp>
                          </wpg:grpSp>
                          <wps:wsp>
                            <wps:cNvPr id="2125119474" name="Proceso 124">
                              <a:extLst>
                                <a:ext uri="{FF2B5EF4-FFF2-40B4-BE49-F238E27FC236}">
                                  <a16:creationId xmlns:a16="http://schemas.microsoft.com/office/drawing/2014/main" id="{8F0A5FC5-0B48-AFEE-D770-6DECE8B865B0}"/>
                                </a:ext>
                              </a:extLst>
                            </wps:cNvPr>
                            <wps:cNvSpPr/>
                            <wps:spPr>
                              <a:xfrm>
                                <a:off x="6397110" y="5286104"/>
                                <a:ext cx="1440000" cy="719999"/>
                              </a:xfrm>
                              <a:prstGeom prst="flowChartProcess">
                                <a:avLst/>
                              </a:prstGeom>
                              <a:noFill/>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g:grpSp>
                        <wpg:grpSp>
                          <wpg:cNvPr id="90762180" name="Grupo 90762180">
                            <a:extLst>
                              <a:ext uri="{FF2B5EF4-FFF2-40B4-BE49-F238E27FC236}">
                                <a16:creationId xmlns:a16="http://schemas.microsoft.com/office/drawing/2014/main" id="{6A8B62FF-B72F-6752-3C7D-E1DB72817D63}"/>
                              </a:ext>
                            </a:extLst>
                          </wpg:cNvPr>
                          <wpg:cNvGrpSpPr/>
                          <wpg:grpSpPr>
                            <a:xfrm>
                              <a:off x="6397110" y="1792168"/>
                              <a:ext cx="1440000" cy="745085"/>
                              <a:chOff x="6397110" y="1792168"/>
                              <a:chExt cx="1440000" cy="745085"/>
                            </a:xfrm>
                          </wpg:grpSpPr>
                          <wpg:grpSp>
                            <wpg:cNvPr id="2015508078" name="Grupo 2015508078">
                              <a:extLst>
                                <a:ext uri="{FF2B5EF4-FFF2-40B4-BE49-F238E27FC236}">
                                  <a16:creationId xmlns:a16="http://schemas.microsoft.com/office/drawing/2014/main" id="{3F06299E-29F0-CE78-1008-C1CC0E511BE8}"/>
                                </a:ext>
                              </a:extLst>
                            </wpg:cNvPr>
                            <wpg:cNvGrpSpPr/>
                            <wpg:grpSpPr>
                              <a:xfrm>
                                <a:off x="6397110" y="1816488"/>
                                <a:ext cx="1440000" cy="720765"/>
                                <a:chOff x="6397110" y="1816488"/>
                                <a:chExt cx="1440000" cy="720765"/>
                              </a:xfrm>
                            </wpg:grpSpPr>
                            <wps:wsp>
                              <wps:cNvPr id="628371327" name="Proceso 124">
                                <a:extLst>
                                  <a:ext uri="{FF2B5EF4-FFF2-40B4-BE49-F238E27FC236}">
                                    <a16:creationId xmlns:a16="http://schemas.microsoft.com/office/drawing/2014/main" id="{1A34C95A-D9B9-77F2-1A16-D7E7CBACB988}"/>
                                  </a:ext>
                                </a:extLst>
                              </wps:cNvPr>
                              <wps:cNvSpPr/>
                              <wps:spPr>
                                <a:xfrm>
                                  <a:off x="6397110" y="1817254"/>
                                  <a:ext cx="1440000" cy="719999"/>
                                </a:xfrm>
                                <a:prstGeom prst="flowChartProcess">
                                  <a:avLst/>
                                </a:prstGeom>
                                <a:noFill/>
                                <a:ln w="3175">
                                  <a:solidFill>
                                    <a:srgbClr val="69BFFF"/>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s:wsp>
                              <wps:cNvPr id="686063526" name="Forma libre: forma 686063526">
                                <a:extLst>
                                  <a:ext uri="{FF2B5EF4-FFF2-40B4-BE49-F238E27FC236}">
                                    <a16:creationId xmlns:a16="http://schemas.microsoft.com/office/drawing/2014/main" id="{65F4464D-85F6-2155-5A80-97B6D1CB5A66}"/>
                                  </a:ext>
                                </a:extLst>
                              </wps:cNvPr>
                              <wps:cNvSpPr/>
                              <wps:spPr>
                                <a:xfrm>
                                  <a:off x="6771307" y="1816488"/>
                                  <a:ext cx="595313" cy="348861"/>
                                </a:xfrm>
                                <a:custGeom>
                                  <a:avLst/>
                                  <a:gdLst>
                                    <a:gd name="connsiteX0" fmla="*/ 16669 w 595313"/>
                                    <a:gd name="connsiteY0" fmla="*/ 0 h 352425"/>
                                    <a:gd name="connsiteX1" fmla="*/ 14288 w 595313"/>
                                    <a:gd name="connsiteY1" fmla="*/ 42863 h 352425"/>
                                    <a:gd name="connsiteX2" fmla="*/ 11906 w 595313"/>
                                    <a:gd name="connsiteY2" fmla="*/ 54769 h 352425"/>
                                    <a:gd name="connsiteX3" fmla="*/ 9525 w 595313"/>
                                    <a:gd name="connsiteY3" fmla="*/ 71438 h 352425"/>
                                    <a:gd name="connsiteX4" fmla="*/ 7144 w 595313"/>
                                    <a:gd name="connsiteY4" fmla="*/ 85725 h 352425"/>
                                    <a:gd name="connsiteX5" fmla="*/ 4763 w 595313"/>
                                    <a:gd name="connsiteY5" fmla="*/ 111919 h 352425"/>
                                    <a:gd name="connsiteX6" fmla="*/ 2381 w 595313"/>
                                    <a:gd name="connsiteY6" fmla="*/ 123825 h 352425"/>
                                    <a:gd name="connsiteX7" fmla="*/ 0 w 595313"/>
                                    <a:gd name="connsiteY7" fmla="*/ 138113 h 352425"/>
                                    <a:gd name="connsiteX8" fmla="*/ 7144 w 595313"/>
                                    <a:gd name="connsiteY8" fmla="*/ 228600 h 352425"/>
                                    <a:gd name="connsiteX9" fmla="*/ 9525 w 595313"/>
                                    <a:gd name="connsiteY9" fmla="*/ 238125 h 352425"/>
                                    <a:gd name="connsiteX10" fmla="*/ 21431 w 595313"/>
                                    <a:gd name="connsiteY10" fmla="*/ 252413 h 352425"/>
                                    <a:gd name="connsiteX11" fmla="*/ 26194 w 595313"/>
                                    <a:gd name="connsiteY11" fmla="*/ 259557 h 352425"/>
                                    <a:gd name="connsiteX12" fmla="*/ 45244 w 595313"/>
                                    <a:gd name="connsiteY12" fmla="*/ 271463 h 352425"/>
                                    <a:gd name="connsiteX13" fmla="*/ 50006 w 595313"/>
                                    <a:gd name="connsiteY13" fmla="*/ 278607 h 352425"/>
                                    <a:gd name="connsiteX14" fmla="*/ 64294 w 595313"/>
                                    <a:gd name="connsiteY14" fmla="*/ 285750 h 352425"/>
                                    <a:gd name="connsiteX15" fmla="*/ 69056 w 595313"/>
                                    <a:gd name="connsiteY15" fmla="*/ 307182 h 352425"/>
                                    <a:gd name="connsiteX16" fmla="*/ 73819 w 595313"/>
                                    <a:gd name="connsiteY16" fmla="*/ 335757 h 352425"/>
                                    <a:gd name="connsiteX17" fmla="*/ 80963 w 595313"/>
                                    <a:gd name="connsiteY17" fmla="*/ 342900 h 352425"/>
                                    <a:gd name="connsiteX18" fmla="*/ 104775 w 595313"/>
                                    <a:gd name="connsiteY18" fmla="*/ 347663 h 352425"/>
                                    <a:gd name="connsiteX19" fmla="*/ 126206 w 595313"/>
                                    <a:gd name="connsiteY19" fmla="*/ 352425 h 352425"/>
                                    <a:gd name="connsiteX20" fmla="*/ 135731 w 595313"/>
                                    <a:gd name="connsiteY20" fmla="*/ 350044 h 352425"/>
                                    <a:gd name="connsiteX21" fmla="*/ 142875 w 595313"/>
                                    <a:gd name="connsiteY21" fmla="*/ 345282 h 352425"/>
                                    <a:gd name="connsiteX22" fmla="*/ 150019 w 595313"/>
                                    <a:gd name="connsiteY22" fmla="*/ 342900 h 352425"/>
                                    <a:gd name="connsiteX23" fmla="*/ 171450 w 595313"/>
                                    <a:gd name="connsiteY23" fmla="*/ 345282 h 352425"/>
                                    <a:gd name="connsiteX24" fmla="*/ 180975 w 595313"/>
                                    <a:gd name="connsiteY24" fmla="*/ 347663 h 352425"/>
                                    <a:gd name="connsiteX25" fmla="*/ 195263 w 595313"/>
                                    <a:gd name="connsiteY25" fmla="*/ 350044 h 352425"/>
                                    <a:gd name="connsiteX26" fmla="*/ 226219 w 595313"/>
                                    <a:gd name="connsiteY26" fmla="*/ 345282 h 352425"/>
                                    <a:gd name="connsiteX27" fmla="*/ 254794 w 595313"/>
                                    <a:gd name="connsiteY27" fmla="*/ 333375 h 352425"/>
                                    <a:gd name="connsiteX28" fmla="*/ 261938 w 595313"/>
                                    <a:gd name="connsiteY28" fmla="*/ 330994 h 352425"/>
                                    <a:gd name="connsiteX29" fmla="*/ 295275 w 595313"/>
                                    <a:gd name="connsiteY29" fmla="*/ 328613 h 352425"/>
                                    <a:gd name="connsiteX30" fmla="*/ 302419 w 595313"/>
                                    <a:gd name="connsiteY30" fmla="*/ 321469 h 352425"/>
                                    <a:gd name="connsiteX31" fmla="*/ 323850 w 595313"/>
                                    <a:gd name="connsiteY31" fmla="*/ 309563 h 352425"/>
                                    <a:gd name="connsiteX32" fmla="*/ 342900 w 595313"/>
                                    <a:gd name="connsiteY32" fmla="*/ 307182 h 352425"/>
                                    <a:gd name="connsiteX33" fmla="*/ 357188 w 595313"/>
                                    <a:gd name="connsiteY33" fmla="*/ 300038 h 352425"/>
                                    <a:gd name="connsiteX34" fmla="*/ 369094 w 595313"/>
                                    <a:gd name="connsiteY34" fmla="*/ 290513 h 352425"/>
                                    <a:gd name="connsiteX35" fmla="*/ 471488 w 595313"/>
                                    <a:gd name="connsiteY35" fmla="*/ 288132 h 352425"/>
                                    <a:gd name="connsiteX36" fmla="*/ 481013 w 595313"/>
                                    <a:gd name="connsiteY36" fmla="*/ 271463 h 352425"/>
                                    <a:gd name="connsiteX37" fmla="*/ 485775 w 595313"/>
                                    <a:gd name="connsiteY37" fmla="*/ 252413 h 352425"/>
                                    <a:gd name="connsiteX38" fmla="*/ 483394 w 595313"/>
                                    <a:gd name="connsiteY38" fmla="*/ 238125 h 352425"/>
                                    <a:gd name="connsiteX39" fmla="*/ 471488 w 595313"/>
                                    <a:gd name="connsiteY39" fmla="*/ 221457 h 352425"/>
                                    <a:gd name="connsiteX40" fmla="*/ 457200 w 595313"/>
                                    <a:gd name="connsiteY40" fmla="*/ 183357 h 352425"/>
                                    <a:gd name="connsiteX41" fmla="*/ 454819 w 595313"/>
                                    <a:gd name="connsiteY41" fmla="*/ 176213 h 352425"/>
                                    <a:gd name="connsiteX42" fmla="*/ 445294 w 595313"/>
                                    <a:gd name="connsiteY42" fmla="*/ 152400 h 352425"/>
                                    <a:gd name="connsiteX43" fmla="*/ 440531 w 595313"/>
                                    <a:gd name="connsiteY43" fmla="*/ 133350 h 352425"/>
                                    <a:gd name="connsiteX44" fmla="*/ 431006 w 595313"/>
                                    <a:gd name="connsiteY44" fmla="*/ 119063 h 352425"/>
                                    <a:gd name="connsiteX45" fmla="*/ 438150 w 595313"/>
                                    <a:gd name="connsiteY45" fmla="*/ 111919 h 352425"/>
                                    <a:gd name="connsiteX46" fmla="*/ 473869 w 595313"/>
                                    <a:gd name="connsiteY46" fmla="*/ 104775 h 352425"/>
                                    <a:gd name="connsiteX47" fmla="*/ 490538 w 595313"/>
                                    <a:gd name="connsiteY47" fmla="*/ 100013 h 352425"/>
                                    <a:gd name="connsiteX48" fmla="*/ 502444 w 595313"/>
                                    <a:gd name="connsiteY48" fmla="*/ 97632 h 352425"/>
                                    <a:gd name="connsiteX49" fmla="*/ 521494 w 595313"/>
                                    <a:gd name="connsiteY49" fmla="*/ 85725 h 352425"/>
                                    <a:gd name="connsiteX50" fmla="*/ 526256 w 595313"/>
                                    <a:gd name="connsiteY50" fmla="*/ 78582 h 352425"/>
                                    <a:gd name="connsiteX51" fmla="*/ 533400 w 595313"/>
                                    <a:gd name="connsiteY51" fmla="*/ 61913 h 352425"/>
                                    <a:gd name="connsiteX52" fmla="*/ 535781 w 595313"/>
                                    <a:gd name="connsiteY52" fmla="*/ 35719 h 352425"/>
                                    <a:gd name="connsiteX53" fmla="*/ 545306 w 595313"/>
                                    <a:gd name="connsiteY53" fmla="*/ 30957 h 352425"/>
                                    <a:gd name="connsiteX54" fmla="*/ 552450 w 595313"/>
                                    <a:gd name="connsiteY54" fmla="*/ 28575 h 352425"/>
                                    <a:gd name="connsiteX55" fmla="*/ 569119 w 595313"/>
                                    <a:gd name="connsiteY55" fmla="*/ 21432 h 352425"/>
                                    <a:gd name="connsiteX56" fmla="*/ 585788 w 595313"/>
                                    <a:gd name="connsiteY56" fmla="*/ 11907 h 352425"/>
                                    <a:gd name="connsiteX57" fmla="*/ 595313 w 595313"/>
                                    <a:gd name="connsiteY57" fmla="*/ 2382 h 35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95313" h="352425">
                                      <a:moveTo>
                                        <a:pt x="16669" y="0"/>
                                      </a:moveTo>
                                      <a:cubicBezTo>
                                        <a:pt x="15875" y="14288"/>
                                        <a:pt x="15528" y="28607"/>
                                        <a:pt x="14288" y="42863"/>
                                      </a:cubicBezTo>
                                      <a:cubicBezTo>
                                        <a:pt x="13937" y="46895"/>
                                        <a:pt x="12571" y="50777"/>
                                        <a:pt x="11906" y="54769"/>
                                      </a:cubicBezTo>
                                      <a:cubicBezTo>
                                        <a:pt x="10983" y="60305"/>
                                        <a:pt x="10378" y="65891"/>
                                        <a:pt x="9525" y="71438"/>
                                      </a:cubicBezTo>
                                      <a:cubicBezTo>
                                        <a:pt x="8791" y="76210"/>
                                        <a:pt x="7708" y="80930"/>
                                        <a:pt x="7144" y="85725"/>
                                      </a:cubicBezTo>
                                      <a:cubicBezTo>
                                        <a:pt x="6120" y="94432"/>
                                        <a:pt x="5851" y="103219"/>
                                        <a:pt x="4763" y="111919"/>
                                      </a:cubicBezTo>
                                      <a:cubicBezTo>
                                        <a:pt x="4261" y="115935"/>
                                        <a:pt x="3105" y="119843"/>
                                        <a:pt x="2381" y="123825"/>
                                      </a:cubicBezTo>
                                      <a:cubicBezTo>
                                        <a:pt x="1517" y="128575"/>
                                        <a:pt x="794" y="133350"/>
                                        <a:pt x="0" y="138113"/>
                                      </a:cubicBezTo>
                                      <a:cubicBezTo>
                                        <a:pt x="1918" y="168795"/>
                                        <a:pt x="1176" y="198759"/>
                                        <a:pt x="7144" y="228600"/>
                                      </a:cubicBezTo>
                                      <a:cubicBezTo>
                                        <a:pt x="7786" y="231809"/>
                                        <a:pt x="8236" y="235117"/>
                                        <a:pt x="9525" y="238125"/>
                                      </a:cubicBezTo>
                                      <a:cubicBezTo>
                                        <a:pt x="12654" y="245426"/>
                                        <a:pt x="16385" y="246357"/>
                                        <a:pt x="21431" y="252413"/>
                                      </a:cubicBezTo>
                                      <a:cubicBezTo>
                                        <a:pt x="23263" y="254612"/>
                                        <a:pt x="23959" y="257769"/>
                                        <a:pt x="26194" y="259557"/>
                                      </a:cubicBezTo>
                                      <a:cubicBezTo>
                                        <a:pt x="32041" y="264235"/>
                                        <a:pt x="45244" y="271463"/>
                                        <a:pt x="45244" y="271463"/>
                                      </a:cubicBezTo>
                                      <a:cubicBezTo>
                                        <a:pt x="46831" y="273844"/>
                                        <a:pt x="47982" y="276583"/>
                                        <a:pt x="50006" y="278607"/>
                                      </a:cubicBezTo>
                                      <a:cubicBezTo>
                                        <a:pt x="54621" y="283222"/>
                                        <a:pt x="58485" y="283814"/>
                                        <a:pt x="64294" y="285750"/>
                                      </a:cubicBezTo>
                                      <a:cubicBezTo>
                                        <a:pt x="66191" y="293339"/>
                                        <a:pt x="67846" y="299317"/>
                                        <a:pt x="69056" y="307182"/>
                                      </a:cubicBezTo>
                                      <a:cubicBezTo>
                                        <a:pt x="69079" y="307334"/>
                                        <a:pt x="71300" y="331349"/>
                                        <a:pt x="73819" y="335757"/>
                                      </a:cubicBezTo>
                                      <a:cubicBezTo>
                                        <a:pt x="75490" y="338681"/>
                                        <a:pt x="78161" y="341032"/>
                                        <a:pt x="80963" y="342900"/>
                                      </a:cubicBezTo>
                                      <a:cubicBezTo>
                                        <a:pt x="85530" y="345945"/>
                                        <a:pt x="103288" y="347415"/>
                                        <a:pt x="104775" y="347663"/>
                                      </a:cubicBezTo>
                                      <a:cubicBezTo>
                                        <a:pt x="113843" y="349174"/>
                                        <a:pt x="117644" y="350285"/>
                                        <a:pt x="126206" y="352425"/>
                                      </a:cubicBezTo>
                                      <a:cubicBezTo>
                                        <a:pt x="129381" y="351631"/>
                                        <a:pt x="132723" y="351333"/>
                                        <a:pt x="135731" y="350044"/>
                                      </a:cubicBezTo>
                                      <a:cubicBezTo>
                                        <a:pt x="138362" y="348917"/>
                                        <a:pt x="140315" y="346562"/>
                                        <a:pt x="142875" y="345282"/>
                                      </a:cubicBezTo>
                                      <a:cubicBezTo>
                                        <a:pt x="145120" y="344159"/>
                                        <a:pt x="147638" y="343694"/>
                                        <a:pt x="150019" y="342900"/>
                                      </a:cubicBezTo>
                                      <a:cubicBezTo>
                                        <a:pt x="157163" y="343694"/>
                                        <a:pt x="164346" y="344189"/>
                                        <a:pt x="171450" y="345282"/>
                                      </a:cubicBezTo>
                                      <a:cubicBezTo>
                                        <a:pt x="174685" y="345780"/>
                                        <a:pt x="177766" y="347021"/>
                                        <a:pt x="180975" y="347663"/>
                                      </a:cubicBezTo>
                                      <a:cubicBezTo>
                                        <a:pt x="185710" y="348610"/>
                                        <a:pt x="190500" y="349250"/>
                                        <a:pt x="195263" y="350044"/>
                                      </a:cubicBezTo>
                                      <a:cubicBezTo>
                                        <a:pt x="200181" y="349498"/>
                                        <a:pt x="218721" y="348406"/>
                                        <a:pt x="226219" y="345282"/>
                                      </a:cubicBezTo>
                                      <a:cubicBezTo>
                                        <a:pt x="271885" y="326255"/>
                                        <a:pt x="227461" y="341185"/>
                                        <a:pt x="254794" y="333375"/>
                                      </a:cubicBezTo>
                                      <a:cubicBezTo>
                                        <a:pt x="257208" y="332685"/>
                                        <a:pt x="259445" y="331287"/>
                                        <a:pt x="261938" y="330994"/>
                                      </a:cubicBezTo>
                                      <a:cubicBezTo>
                                        <a:pt x="273002" y="329692"/>
                                        <a:pt x="284163" y="329407"/>
                                        <a:pt x="295275" y="328613"/>
                                      </a:cubicBezTo>
                                      <a:cubicBezTo>
                                        <a:pt x="297656" y="326232"/>
                                        <a:pt x="299761" y="323537"/>
                                        <a:pt x="302419" y="321469"/>
                                      </a:cubicBezTo>
                                      <a:cubicBezTo>
                                        <a:pt x="308454" y="316775"/>
                                        <a:pt x="315811" y="311025"/>
                                        <a:pt x="323850" y="309563"/>
                                      </a:cubicBezTo>
                                      <a:cubicBezTo>
                                        <a:pt x="330146" y="308418"/>
                                        <a:pt x="336550" y="307976"/>
                                        <a:pt x="342900" y="307182"/>
                                      </a:cubicBezTo>
                                      <a:cubicBezTo>
                                        <a:pt x="348708" y="305245"/>
                                        <a:pt x="352574" y="304652"/>
                                        <a:pt x="357188" y="300038"/>
                                      </a:cubicBezTo>
                                      <a:cubicBezTo>
                                        <a:pt x="363155" y="294071"/>
                                        <a:pt x="359399" y="290934"/>
                                        <a:pt x="369094" y="290513"/>
                                      </a:cubicBezTo>
                                      <a:cubicBezTo>
                                        <a:pt x="403202" y="289030"/>
                                        <a:pt x="437357" y="288926"/>
                                        <a:pt x="471488" y="288132"/>
                                      </a:cubicBezTo>
                                      <a:cubicBezTo>
                                        <a:pt x="478492" y="278792"/>
                                        <a:pt x="478416" y="280984"/>
                                        <a:pt x="481013" y="271463"/>
                                      </a:cubicBezTo>
                                      <a:cubicBezTo>
                                        <a:pt x="482735" y="265148"/>
                                        <a:pt x="485775" y="252413"/>
                                        <a:pt x="485775" y="252413"/>
                                      </a:cubicBezTo>
                                      <a:cubicBezTo>
                                        <a:pt x="484981" y="247650"/>
                                        <a:pt x="484921" y="242706"/>
                                        <a:pt x="483394" y="238125"/>
                                      </a:cubicBezTo>
                                      <a:cubicBezTo>
                                        <a:pt x="482699" y="236041"/>
                                        <a:pt x="471653" y="221677"/>
                                        <a:pt x="471488" y="221457"/>
                                      </a:cubicBezTo>
                                      <a:cubicBezTo>
                                        <a:pt x="458231" y="181686"/>
                                        <a:pt x="470683" y="217064"/>
                                        <a:pt x="457200" y="183357"/>
                                      </a:cubicBezTo>
                                      <a:cubicBezTo>
                                        <a:pt x="456268" y="181026"/>
                                        <a:pt x="455808" y="178520"/>
                                        <a:pt x="454819" y="176213"/>
                                      </a:cubicBezTo>
                                      <a:cubicBezTo>
                                        <a:pt x="448903" y="162409"/>
                                        <a:pt x="449634" y="169757"/>
                                        <a:pt x="445294" y="152400"/>
                                      </a:cubicBezTo>
                                      <a:cubicBezTo>
                                        <a:pt x="443706" y="146050"/>
                                        <a:pt x="444162" y="138796"/>
                                        <a:pt x="440531" y="133350"/>
                                      </a:cubicBezTo>
                                      <a:lnTo>
                                        <a:pt x="431006" y="119063"/>
                                      </a:lnTo>
                                      <a:cubicBezTo>
                                        <a:pt x="433387" y="116682"/>
                                        <a:pt x="435084" y="113313"/>
                                        <a:pt x="438150" y="111919"/>
                                      </a:cubicBezTo>
                                      <a:cubicBezTo>
                                        <a:pt x="448125" y="107385"/>
                                        <a:pt x="463172" y="106720"/>
                                        <a:pt x="473869" y="104775"/>
                                      </a:cubicBezTo>
                                      <a:cubicBezTo>
                                        <a:pt x="490207" y="101804"/>
                                        <a:pt x="476931" y="103414"/>
                                        <a:pt x="490538" y="100013"/>
                                      </a:cubicBezTo>
                                      <a:cubicBezTo>
                                        <a:pt x="494464" y="99031"/>
                                        <a:pt x="498475" y="98426"/>
                                        <a:pt x="502444" y="97632"/>
                                      </a:cubicBezTo>
                                      <a:cubicBezTo>
                                        <a:pt x="509989" y="93859"/>
                                        <a:pt x="515312" y="91907"/>
                                        <a:pt x="521494" y="85725"/>
                                      </a:cubicBezTo>
                                      <a:cubicBezTo>
                                        <a:pt x="523517" y="83702"/>
                                        <a:pt x="524836" y="81067"/>
                                        <a:pt x="526256" y="78582"/>
                                      </a:cubicBezTo>
                                      <a:cubicBezTo>
                                        <a:pt x="530966" y="70341"/>
                                        <a:pt x="530728" y="69930"/>
                                        <a:pt x="533400" y="61913"/>
                                      </a:cubicBezTo>
                                      <a:cubicBezTo>
                                        <a:pt x="534194" y="53182"/>
                                        <a:pt x="532634" y="43902"/>
                                        <a:pt x="535781" y="35719"/>
                                      </a:cubicBezTo>
                                      <a:cubicBezTo>
                                        <a:pt x="537055" y="32406"/>
                                        <a:pt x="542043" y="32355"/>
                                        <a:pt x="545306" y="30957"/>
                                      </a:cubicBezTo>
                                      <a:cubicBezTo>
                                        <a:pt x="547613" y="29968"/>
                                        <a:pt x="550205" y="29698"/>
                                        <a:pt x="552450" y="28575"/>
                                      </a:cubicBezTo>
                                      <a:cubicBezTo>
                                        <a:pt x="568891" y="20355"/>
                                        <a:pt x="549300" y="26386"/>
                                        <a:pt x="569119" y="21432"/>
                                      </a:cubicBezTo>
                                      <a:cubicBezTo>
                                        <a:pt x="572850" y="19566"/>
                                        <a:pt x="582425" y="15270"/>
                                        <a:pt x="585788" y="11907"/>
                                      </a:cubicBezTo>
                                      <a:cubicBezTo>
                                        <a:pt x="597282" y="413"/>
                                        <a:pt x="584425" y="7825"/>
                                        <a:pt x="595313" y="2382"/>
                                      </a:cubicBezTo>
                                    </a:path>
                                  </a:pathLst>
                                </a:custGeom>
                                <a:noFill/>
                                <a:ln w="6350">
                                  <a:solidFill>
                                    <a:srgbClr val="69B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1566672" name="Forma libre: forma 501566672">
                                <a:extLst>
                                  <a:ext uri="{FF2B5EF4-FFF2-40B4-BE49-F238E27FC236}">
                                    <a16:creationId xmlns:a16="http://schemas.microsoft.com/office/drawing/2014/main" id="{0EB90F96-7EAB-4D9D-17A6-E98CB69B38A2}"/>
                                  </a:ext>
                                </a:extLst>
                              </wps:cNvPr>
                              <wps:cNvSpPr/>
                              <wps:spPr>
                                <a:xfrm>
                                  <a:off x="7131307" y="2114665"/>
                                  <a:ext cx="474532" cy="421823"/>
                                </a:xfrm>
                                <a:custGeom>
                                  <a:avLst/>
                                  <a:gdLst>
                                    <a:gd name="connsiteX0" fmla="*/ 469106 w 474532"/>
                                    <a:gd name="connsiteY0" fmla="*/ 421823 h 421823"/>
                                    <a:gd name="connsiteX1" fmla="*/ 473869 w 474532"/>
                                    <a:gd name="connsiteY1" fmla="*/ 331335 h 421823"/>
                                    <a:gd name="connsiteX2" fmla="*/ 459581 w 474532"/>
                                    <a:gd name="connsiteY2" fmla="*/ 300379 h 421823"/>
                                    <a:gd name="connsiteX3" fmla="*/ 445294 w 474532"/>
                                    <a:gd name="connsiteY3" fmla="*/ 281329 h 421823"/>
                                    <a:gd name="connsiteX4" fmla="*/ 440531 w 474532"/>
                                    <a:gd name="connsiteY4" fmla="*/ 274185 h 421823"/>
                                    <a:gd name="connsiteX5" fmla="*/ 421481 w 474532"/>
                                    <a:gd name="connsiteY5" fmla="*/ 252754 h 421823"/>
                                    <a:gd name="connsiteX6" fmla="*/ 416719 w 474532"/>
                                    <a:gd name="connsiteY6" fmla="*/ 221798 h 421823"/>
                                    <a:gd name="connsiteX7" fmla="*/ 414337 w 474532"/>
                                    <a:gd name="connsiteY7" fmla="*/ 214654 h 421823"/>
                                    <a:gd name="connsiteX8" fmla="*/ 411956 w 474532"/>
                                    <a:gd name="connsiteY8" fmla="*/ 200367 h 421823"/>
                                    <a:gd name="connsiteX9" fmla="*/ 409575 w 474532"/>
                                    <a:gd name="connsiteY9" fmla="*/ 159885 h 421823"/>
                                    <a:gd name="connsiteX10" fmla="*/ 404812 w 474532"/>
                                    <a:gd name="connsiteY10" fmla="*/ 152742 h 421823"/>
                                    <a:gd name="connsiteX11" fmla="*/ 390525 w 474532"/>
                                    <a:gd name="connsiteY11" fmla="*/ 147979 h 421823"/>
                                    <a:gd name="connsiteX12" fmla="*/ 371475 w 474532"/>
                                    <a:gd name="connsiteY12" fmla="*/ 143217 h 421823"/>
                                    <a:gd name="connsiteX13" fmla="*/ 323850 w 474532"/>
                                    <a:gd name="connsiteY13" fmla="*/ 145598 h 421823"/>
                                    <a:gd name="connsiteX14" fmla="*/ 311944 w 474532"/>
                                    <a:gd name="connsiteY14" fmla="*/ 155123 h 421823"/>
                                    <a:gd name="connsiteX15" fmla="*/ 300037 w 474532"/>
                                    <a:gd name="connsiteY15" fmla="*/ 157504 h 421823"/>
                                    <a:gd name="connsiteX16" fmla="*/ 266700 w 474532"/>
                                    <a:gd name="connsiteY16" fmla="*/ 155123 h 421823"/>
                                    <a:gd name="connsiteX17" fmla="*/ 257175 w 474532"/>
                                    <a:gd name="connsiteY17" fmla="*/ 140835 h 421823"/>
                                    <a:gd name="connsiteX18" fmla="*/ 245269 w 474532"/>
                                    <a:gd name="connsiteY18" fmla="*/ 126548 h 421823"/>
                                    <a:gd name="connsiteX19" fmla="*/ 235744 w 474532"/>
                                    <a:gd name="connsiteY19" fmla="*/ 121785 h 421823"/>
                                    <a:gd name="connsiteX20" fmla="*/ 221456 w 474532"/>
                                    <a:gd name="connsiteY20" fmla="*/ 112260 h 421823"/>
                                    <a:gd name="connsiteX21" fmla="*/ 207169 w 474532"/>
                                    <a:gd name="connsiteY21" fmla="*/ 102735 h 421823"/>
                                    <a:gd name="connsiteX22" fmla="*/ 195262 w 474532"/>
                                    <a:gd name="connsiteY22" fmla="*/ 95592 h 421823"/>
                                    <a:gd name="connsiteX23" fmla="*/ 190500 w 474532"/>
                                    <a:gd name="connsiteY23" fmla="*/ 88448 h 421823"/>
                                    <a:gd name="connsiteX24" fmla="*/ 171450 w 474532"/>
                                    <a:gd name="connsiteY24" fmla="*/ 78923 h 421823"/>
                                    <a:gd name="connsiteX25" fmla="*/ 164306 w 474532"/>
                                    <a:gd name="connsiteY25" fmla="*/ 74160 h 421823"/>
                                    <a:gd name="connsiteX26" fmla="*/ 154781 w 474532"/>
                                    <a:gd name="connsiteY26" fmla="*/ 59873 h 421823"/>
                                    <a:gd name="connsiteX27" fmla="*/ 150019 w 474532"/>
                                    <a:gd name="connsiteY27" fmla="*/ 52729 h 421823"/>
                                    <a:gd name="connsiteX28" fmla="*/ 130969 w 474532"/>
                                    <a:gd name="connsiteY28" fmla="*/ 43204 h 421823"/>
                                    <a:gd name="connsiteX29" fmla="*/ 119062 w 474532"/>
                                    <a:gd name="connsiteY29" fmla="*/ 40823 h 421823"/>
                                    <a:gd name="connsiteX30" fmla="*/ 109537 w 474532"/>
                                    <a:gd name="connsiteY30" fmla="*/ 38442 h 421823"/>
                                    <a:gd name="connsiteX31" fmla="*/ 83344 w 474532"/>
                                    <a:gd name="connsiteY31" fmla="*/ 36060 h 421823"/>
                                    <a:gd name="connsiteX32" fmla="*/ 73819 w 474532"/>
                                    <a:gd name="connsiteY32" fmla="*/ 33679 h 421823"/>
                                    <a:gd name="connsiteX33" fmla="*/ 59531 w 474532"/>
                                    <a:gd name="connsiteY33" fmla="*/ 31298 h 421823"/>
                                    <a:gd name="connsiteX34" fmla="*/ 47625 w 474532"/>
                                    <a:gd name="connsiteY34" fmla="*/ 28917 h 421823"/>
                                    <a:gd name="connsiteX35" fmla="*/ 38100 w 474532"/>
                                    <a:gd name="connsiteY35" fmla="*/ 24154 h 421823"/>
                                    <a:gd name="connsiteX36" fmla="*/ 23812 w 474532"/>
                                    <a:gd name="connsiteY36" fmla="*/ 19392 h 421823"/>
                                    <a:gd name="connsiteX37" fmla="*/ 9525 w 474532"/>
                                    <a:gd name="connsiteY37" fmla="*/ 342 h 421823"/>
                                    <a:gd name="connsiteX38" fmla="*/ 0 w 474532"/>
                                    <a:gd name="connsiteY38" fmla="*/ 342 h 421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74532" h="421823">
                                      <a:moveTo>
                                        <a:pt x="469106" y="421823"/>
                                      </a:moveTo>
                                      <a:cubicBezTo>
                                        <a:pt x="474928" y="386888"/>
                                        <a:pt x="475212" y="389101"/>
                                        <a:pt x="473869" y="331335"/>
                                      </a:cubicBezTo>
                                      <a:cubicBezTo>
                                        <a:pt x="473234" y="304031"/>
                                        <a:pt x="475138" y="308158"/>
                                        <a:pt x="459581" y="300379"/>
                                      </a:cubicBezTo>
                                      <a:cubicBezTo>
                                        <a:pt x="454819" y="294029"/>
                                        <a:pt x="449697" y="287933"/>
                                        <a:pt x="445294" y="281329"/>
                                      </a:cubicBezTo>
                                      <a:cubicBezTo>
                                        <a:pt x="443706" y="278948"/>
                                        <a:pt x="442432" y="276324"/>
                                        <a:pt x="440531" y="274185"/>
                                      </a:cubicBezTo>
                                      <a:cubicBezTo>
                                        <a:pt x="418783" y="249718"/>
                                        <a:pt x="432291" y="268968"/>
                                        <a:pt x="421481" y="252754"/>
                                      </a:cubicBezTo>
                                      <a:cubicBezTo>
                                        <a:pt x="415749" y="235557"/>
                                        <a:pt x="421983" y="256007"/>
                                        <a:pt x="416719" y="221798"/>
                                      </a:cubicBezTo>
                                      <a:cubicBezTo>
                                        <a:pt x="416337" y="219317"/>
                                        <a:pt x="415131" y="217035"/>
                                        <a:pt x="414337" y="214654"/>
                                      </a:cubicBezTo>
                                      <a:cubicBezTo>
                                        <a:pt x="413543" y="209892"/>
                                        <a:pt x="412374" y="205177"/>
                                        <a:pt x="411956" y="200367"/>
                                      </a:cubicBezTo>
                                      <a:cubicBezTo>
                                        <a:pt x="410785" y="186900"/>
                                        <a:pt x="411580" y="173253"/>
                                        <a:pt x="409575" y="159885"/>
                                      </a:cubicBezTo>
                                      <a:cubicBezTo>
                                        <a:pt x="409150" y="157055"/>
                                        <a:pt x="407239" y="154259"/>
                                        <a:pt x="404812" y="152742"/>
                                      </a:cubicBezTo>
                                      <a:cubicBezTo>
                                        <a:pt x="400555" y="150081"/>
                                        <a:pt x="395395" y="149196"/>
                                        <a:pt x="390525" y="147979"/>
                                      </a:cubicBezTo>
                                      <a:lnTo>
                                        <a:pt x="371475" y="143217"/>
                                      </a:lnTo>
                                      <a:cubicBezTo>
                                        <a:pt x="355600" y="144011"/>
                                        <a:pt x="339685" y="144221"/>
                                        <a:pt x="323850" y="145598"/>
                                      </a:cubicBezTo>
                                      <a:cubicBezTo>
                                        <a:pt x="308656" y="146919"/>
                                        <a:pt x="324181" y="148131"/>
                                        <a:pt x="311944" y="155123"/>
                                      </a:cubicBezTo>
                                      <a:cubicBezTo>
                                        <a:pt x="308430" y="157131"/>
                                        <a:pt x="304006" y="156710"/>
                                        <a:pt x="300037" y="157504"/>
                                      </a:cubicBezTo>
                                      <a:cubicBezTo>
                                        <a:pt x="288925" y="156710"/>
                                        <a:pt x="277544" y="157675"/>
                                        <a:pt x="266700" y="155123"/>
                                      </a:cubicBezTo>
                                      <a:cubicBezTo>
                                        <a:pt x="259025" y="153317"/>
                                        <a:pt x="259694" y="145872"/>
                                        <a:pt x="257175" y="140835"/>
                                      </a:cubicBezTo>
                                      <a:cubicBezTo>
                                        <a:pt x="254856" y="136197"/>
                                        <a:pt x="249362" y="129472"/>
                                        <a:pt x="245269" y="126548"/>
                                      </a:cubicBezTo>
                                      <a:cubicBezTo>
                                        <a:pt x="242380" y="124485"/>
                                        <a:pt x="238788" y="123611"/>
                                        <a:pt x="235744" y="121785"/>
                                      </a:cubicBezTo>
                                      <a:cubicBezTo>
                                        <a:pt x="230836" y="118840"/>
                                        <a:pt x="226219" y="115435"/>
                                        <a:pt x="221456" y="112260"/>
                                      </a:cubicBezTo>
                                      <a:cubicBezTo>
                                        <a:pt x="216694" y="109085"/>
                                        <a:pt x="212077" y="105679"/>
                                        <a:pt x="207169" y="102735"/>
                                      </a:cubicBezTo>
                                      <a:lnTo>
                                        <a:pt x="195262" y="95592"/>
                                      </a:lnTo>
                                      <a:cubicBezTo>
                                        <a:pt x="193675" y="93211"/>
                                        <a:pt x="192845" y="90089"/>
                                        <a:pt x="190500" y="88448"/>
                                      </a:cubicBezTo>
                                      <a:cubicBezTo>
                                        <a:pt x="184684" y="84377"/>
                                        <a:pt x="177357" y="82861"/>
                                        <a:pt x="171450" y="78923"/>
                                      </a:cubicBezTo>
                                      <a:lnTo>
                                        <a:pt x="164306" y="74160"/>
                                      </a:lnTo>
                                      <a:lnTo>
                                        <a:pt x="154781" y="59873"/>
                                      </a:lnTo>
                                      <a:cubicBezTo>
                                        <a:pt x="153194" y="57492"/>
                                        <a:pt x="152579" y="54009"/>
                                        <a:pt x="150019" y="52729"/>
                                      </a:cubicBezTo>
                                      <a:cubicBezTo>
                                        <a:pt x="143669" y="49554"/>
                                        <a:pt x="137931" y="44596"/>
                                        <a:pt x="130969" y="43204"/>
                                      </a:cubicBezTo>
                                      <a:cubicBezTo>
                                        <a:pt x="127000" y="42410"/>
                                        <a:pt x="123013" y="41701"/>
                                        <a:pt x="119062" y="40823"/>
                                      </a:cubicBezTo>
                                      <a:cubicBezTo>
                                        <a:pt x="115867" y="40113"/>
                                        <a:pt x="112781" y="38875"/>
                                        <a:pt x="109537" y="38442"/>
                                      </a:cubicBezTo>
                                      <a:cubicBezTo>
                                        <a:pt x="100847" y="37283"/>
                                        <a:pt x="92075" y="36854"/>
                                        <a:pt x="83344" y="36060"/>
                                      </a:cubicBezTo>
                                      <a:cubicBezTo>
                                        <a:pt x="80169" y="35266"/>
                                        <a:pt x="77028" y="34321"/>
                                        <a:pt x="73819" y="33679"/>
                                      </a:cubicBezTo>
                                      <a:cubicBezTo>
                                        <a:pt x="69084" y="32732"/>
                                        <a:pt x="64281" y="32162"/>
                                        <a:pt x="59531" y="31298"/>
                                      </a:cubicBezTo>
                                      <a:cubicBezTo>
                                        <a:pt x="55549" y="30574"/>
                                        <a:pt x="51594" y="29711"/>
                                        <a:pt x="47625" y="28917"/>
                                      </a:cubicBezTo>
                                      <a:cubicBezTo>
                                        <a:pt x="44450" y="27329"/>
                                        <a:pt x="41396" y="25472"/>
                                        <a:pt x="38100" y="24154"/>
                                      </a:cubicBezTo>
                                      <a:cubicBezTo>
                                        <a:pt x="33439" y="22290"/>
                                        <a:pt x="27362" y="22942"/>
                                        <a:pt x="23812" y="19392"/>
                                      </a:cubicBezTo>
                                      <a:cubicBezTo>
                                        <a:pt x="8839" y="4419"/>
                                        <a:pt x="29966" y="5452"/>
                                        <a:pt x="9525" y="342"/>
                                      </a:cubicBezTo>
                                      <a:cubicBezTo>
                                        <a:pt x="6445" y="-428"/>
                                        <a:pt x="3175" y="342"/>
                                        <a:pt x="0" y="342"/>
                                      </a:cubicBezTo>
                                    </a:path>
                                  </a:pathLst>
                                </a:custGeom>
                                <a:noFill/>
                                <a:ln w="6350">
                                  <a:solidFill>
                                    <a:srgbClr val="69B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15615904" name="Proceso 124">
                              <a:extLst>
                                <a:ext uri="{FF2B5EF4-FFF2-40B4-BE49-F238E27FC236}">
                                  <a16:creationId xmlns:a16="http://schemas.microsoft.com/office/drawing/2014/main" id="{8DCE8DA7-E6EC-5021-7ED9-5A4E499A9A82}"/>
                                </a:ext>
                              </a:extLst>
                            </wps:cNvPr>
                            <wps:cNvSpPr/>
                            <wps:spPr>
                              <a:xfrm>
                                <a:off x="6831693" y="1792168"/>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7590E368"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AE</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812151137" name="Proceso 124">
                              <a:extLst>
                                <a:ext uri="{FF2B5EF4-FFF2-40B4-BE49-F238E27FC236}">
                                  <a16:creationId xmlns:a16="http://schemas.microsoft.com/office/drawing/2014/main" id="{A7B6E862-C401-C596-5A1D-6E652FD11712}"/>
                                </a:ext>
                              </a:extLst>
                            </wps:cNvPr>
                            <wps:cNvSpPr/>
                            <wps:spPr>
                              <a:xfrm>
                                <a:off x="7397157" y="1913090"/>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52710F15"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AIR</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510816958" name="Proceso 124">
                              <a:extLst>
                                <a:ext uri="{FF2B5EF4-FFF2-40B4-BE49-F238E27FC236}">
                                  <a16:creationId xmlns:a16="http://schemas.microsoft.com/office/drawing/2014/main" id="{808B3711-43AE-CEA1-2A33-C14456A792EF}"/>
                                </a:ext>
                              </a:extLst>
                            </wps:cNvPr>
                            <wps:cNvSpPr/>
                            <wps:spPr>
                              <a:xfrm>
                                <a:off x="6664988" y="2134040"/>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565C6DAC"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w:t>
                                  </w:r>
                                </w:p>
                              </w:txbxContent>
                            </wps:txbx>
                            <wps:bodyPr rot="0" spcFirstLastPara="0" vert="horz" wrap="square" lIns="27000" tIns="0" rIns="27000" bIns="0" numCol="1" spcCol="0" rtlCol="0" fromWordArt="0" anchor="ctr" anchorCtr="0" forceAA="0" compatLnSpc="1">
                              <a:prstTxWarp prst="textNoShape">
                                <a:avLst/>
                              </a:prstTxWarp>
                              <a:noAutofit/>
                            </wps:bodyPr>
                          </wps:wsp>
                        </wpg:grpSp>
                        <wpg:grpSp>
                          <wpg:cNvPr id="1949114788" name="Grupo 1949114788">
                            <a:extLst>
                              <a:ext uri="{FF2B5EF4-FFF2-40B4-BE49-F238E27FC236}">
                                <a16:creationId xmlns:a16="http://schemas.microsoft.com/office/drawing/2014/main" id="{A0CEC9AB-10A3-1F37-3473-DC947C7F335D}"/>
                              </a:ext>
                            </a:extLst>
                          </wpg:cNvPr>
                          <wpg:cNvGrpSpPr/>
                          <wpg:grpSpPr>
                            <a:xfrm>
                              <a:off x="6397110" y="2942915"/>
                              <a:ext cx="1440000" cy="745085"/>
                              <a:chOff x="6397110" y="2942915"/>
                              <a:chExt cx="1440000" cy="745085"/>
                            </a:xfrm>
                          </wpg:grpSpPr>
                          <wpg:grpSp>
                            <wpg:cNvPr id="224467586" name="Grupo 224467586">
                              <a:extLst>
                                <a:ext uri="{FF2B5EF4-FFF2-40B4-BE49-F238E27FC236}">
                                  <a16:creationId xmlns:a16="http://schemas.microsoft.com/office/drawing/2014/main" id="{6EE84265-847B-0496-BF8E-8A42291F024D}"/>
                                </a:ext>
                              </a:extLst>
                            </wpg:cNvPr>
                            <wpg:cNvGrpSpPr/>
                            <wpg:grpSpPr>
                              <a:xfrm>
                                <a:off x="6397110" y="2967235"/>
                                <a:ext cx="1440000" cy="720765"/>
                                <a:chOff x="6397110" y="2967235"/>
                                <a:chExt cx="1440000" cy="720765"/>
                              </a:xfrm>
                            </wpg:grpSpPr>
                            <wps:wsp>
                              <wps:cNvPr id="1271783798" name="Proceso 124">
                                <a:extLst>
                                  <a:ext uri="{FF2B5EF4-FFF2-40B4-BE49-F238E27FC236}">
                                    <a16:creationId xmlns:a16="http://schemas.microsoft.com/office/drawing/2014/main" id="{0BED278D-7AE5-81E5-DADF-7CBA31064641}"/>
                                  </a:ext>
                                </a:extLst>
                              </wps:cNvPr>
                              <wps:cNvSpPr/>
                              <wps:spPr>
                                <a:xfrm>
                                  <a:off x="6397110" y="2968001"/>
                                  <a:ext cx="1440000" cy="719999"/>
                                </a:xfrm>
                                <a:prstGeom prst="flowChartProcess">
                                  <a:avLst/>
                                </a:prstGeom>
                                <a:noFill/>
                                <a:ln w="3175">
                                  <a:solidFill>
                                    <a:srgbClr val="69BFFF"/>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s:wsp>
                              <wps:cNvPr id="1653207699" name="Forma libre: forma 1653207699">
                                <a:extLst>
                                  <a:ext uri="{FF2B5EF4-FFF2-40B4-BE49-F238E27FC236}">
                                    <a16:creationId xmlns:a16="http://schemas.microsoft.com/office/drawing/2014/main" id="{FA6BD798-FF90-76A0-20F9-9994540DF65A}"/>
                                  </a:ext>
                                </a:extLst>
                              </wps:cNvPr>
                              <wps:cNvSpPr/>
                              <wps:spPr>
                                <a:xfrm>
                                  <a:off x="6771307" y="2967235"/>
                                  <a:ext cx="595313" cy="348861"/>
                                </a:xfrm>
                                <a:custGeom>
                                  <a:avLst/>
                                  <a:gdLst>
                                    <a:gd name="connsiteX0" fmla="*/ 16669 w 595313"/>
                                    <a:gd name="connsiteY0" fmla="*/ 0 h 352425"/>
                                    <a:gd name="connsiteX1" fmla="*/ 14288 w 595313"/>
                                    <a:gd name="connsiteY1" fmla="*/ 42863 h 352425"/>
                                    <a:gd name="connsiteX2" fmla="*/ 11906 w 595313"/>
                                    <a:gd name="connsiteY2" fmla="*/ 54769 h 352425"/>
                                    <a:gd name="connsiteX3" fmla="*/ 9525 w 595313"/>
                                    <a:gd name="connsiteY3" fmla="*/ 71438 h 352425"/>
                                    <a:gd name="connsiteX4" fmla="*/ 7144 w 595313"/>
                                    <a:gd name="connsiteY4" fmla="*/ 85725 h 352425"/>
                                    <a:gd name="connsiteX5" fmla="*/ 4763 w 595313"/>
                                    <a:gd name="connsiteY5" fmla="*/ 111919 h 352425"/>
                                    <a:gd name="connsiteX6" fmla="*/ 2381 w 595313"/>
                                    <a:gd name="connsiteY6" fmla="*/ 123825 h 352425"/>
                                    <a:gd name="connsiteX7" fmla="*/ 0 w 595313"/>
                                    <a:gd name="connsiteY7" fmla="*/ 138113 h 352425"/>
                                    <a:gd name="connsiteX8" fmla="*/ 7144 w 595313"/>
                                    <a:gd name="connsiteY8" fmla="*/ 228600 h 352425"/>
                                    <a:gd name="connsiteX9" fmla="*/ 9525 w 595313"/>
                                    <a:gd name="connsiteY9" fmla="*/ 238125 h 352425"/>
                                    <a:gd name="connsiteX10" fmla="*/ 21431 w 595313"/>
                                    <a:gd name="connsiteY10" fmla="*/ 252413 h 352425"/>
                                    <a:gd name="connsiteX11" fmla="*/ 26194 w 595313"/>
                                    <a:gd name="connsiteY11" fmla="*/ 259557 h 352425"/>
                                    <a:gd name="connsiteX12" fmla="*/ 45244 w 595313"/>
                                    <a:gd name="connsiteY12" fmla="*/ 271463 h 352425"/>
                                    <a:gd name="connsiteX13" fmla="*/ 50006 w 595313"/>
                                    <a:gd name="connsiteY13" fmla="*/ 278607 h 352425"/>
                                    <a:gd name="connsiteX14" fmla="*/ 64294 w 595313"/>
                                    <a:gd name="connsiteY14" fmla="*/ 285750 h 352425"/>
                                    <a:gd name="connsiteX15" fmla="*/ 69056 w 595313"/>
                                    <a:gd name="connsiteY15" fmla="*/ 307182 h 352425"/>
                                    <a:gd name="connsiteX16" fmla="*/ 73819 w 595313"/>
                                    <a:gd name="connsiteY16" fmla="*/ 335757 h 352425"/>
                                    <a:gd name="connsiteX17" fmla="*/ 80963 w 595313"/>
                                    <a:gd name="connsiteY17" fmla="*/ 342900 h 352425"/>
                                    <a:gd name="connsiteX18" fmla="*/ 104775 w 595313"/>
                                    <a:gd name="connsiteY18" fmla="*/ 347663 h 352425"/>
                                    <a:gd name="connsiteX19" fmla="*/ 126206 w 595313"/>
                                    <a:gd name="connsiteY19" fmla="*/ 352425 h 352425"/>
                                    <a:gd name="connsiteX20" fmla="*/ 135731 w 595313"/>
                                    <a:gd name="connsiteY20" fmla="*/ 350044 h 352425"/>
                                    <a:gd name="connsiteX21" fmla="*/ 142875 w 595313"/>
                                    <a:gd name="connsiteY21" fmla="*/ 345282 h 352425"/>
                                    <a:gd name="connsiteX22" fmla="*/ 150019 w 595313"/>
                                    <a:gd name="connsiteY22" fmla="*/ 342900 h 352425"/>
                                    <a:gd name="connsiteX23" fmla="*/ 171450 w 595313"/>
                                    <a:gd name="connsiteY23" fmla="*/ 345282 h 352425"/>
                                    <a:gd name="connsiteX24" fmla="*/ 180975 w 595313"/>
                                    <a:gd name="connsiteY24" fmla="*/ 347663 h 352425"/>
                                    <a:gd name="connsiteX25" fmla="*/ 195263 w 595313"/>
                                    <a:gd name="connsiteY25" fmla="*/ 350044 h 352425"/>
                                    <a:gd name="connsiteX26" fmla="*/ 226219 w 595313"/>
                                    <a:gd name="connsiteY26" fmla="*/ 345282 h 352425"/>
                                    <a:gd name="connsiteX27" fmla="*/ 254794 w 595313"/>
                                    <a:gd name="connsiteY27" fmla="*/ 333375 h 352425"/>
                                    <a:gd name="connsiteX28" fmla="*/ 261938 w 595313"/>
                                    <a:gd name="connsiteY28" fmla="*/ 330994 h 352425"/>
                                    <a:gd name="connsiteX29" fmla="*/ 295275 w 595313"/>
                                    <a:gd name="connsiteY29" fmla="*/ 328613 h 352425"/>
                                    <a:gd name="connsiteX30" fmla="*/ 302419 w 595313"/>
                                    <a:gd name="connsiteY30" fmla="*/ 321469 h 352425"/>
                                    <a:gd name="connsiteX31" fmla="*/ 323850 w 595313"/>
                                    <a:gd name="connsiteY31" fmla="*/ 309563 h 352425"/>
                                    <a:gd name="connsiteX32" fmla="*/ 342900 w 595313"/>
                                    <a:gd name="connsiteY32" fmla="*/ 307182 h 352425"/>
                                    <a:gd name="connsiteX33" fmla="*/ 357188 w 595313"/>
                                    <a:gd name="connsiteY33" fmla="*/ 300038 h 352425"/>
                                    <a:gd name="connsiteX34" fmla="*/ 369094 w 595313"/>
                                    <a:gd name="connsiteY34" fmla="*/ 290513 h 352425"/>
                                    <a:gd name="connsiteX35" fmla="*/ 471488 w 595313"/>
                                    <a:gd name="connsiteY35" fmla="*/ 288132 h 352425"/>
                                    <a:gd name="connsiteX36" fmla="*/ 481013 w 595313"/>
                                    <a:gd name="connsiteY36" fmla="*/ 271463 h 352425"/>
                                    <a:gd name="connsiteX37" fmla="*/ 485775 w 595313"/>
                                    <a:gd name="connsiteY37" fmla="*/ 252413 h 352425"/>
                                    <a:gd name="connsiteX38" fmla="*/ 483394 w 595313"/>
                                    <a:gd name="connsiteY38" fmla="*/ 238125 h 352425"/>
                                    <a:gd name="connsiteX39" fmla="*/ 471488 w 595313"/>
                                    <a:gd name="connsiteY39" fmla="*/ 221457 h 352425"/>
                                    <a:gd name="connsiteX40" fmla="*/ 457200 w 595313"/>
                                    <a:gd name="connsiteY40" fmla="*/ 183357 h 352425"/>
                                    <a:gd name="connsiteX41" fmla="*/ 454819 w 595313"/>
                                    <a:gd name="connsiteY41" fmla="*/ 176213 h 352425"/>
                                    <a:gd name="connsiteX42" fmla="*/ 445294 w 595313"/>
                                    <a:gd name="connsiteY42" fmla="*/ 152400 h 352425"/>
                                    <a:gd name="connsiteX43" fmla="*/ 440531 w 595313"/>
                                    <a:gd name="connsiteY43" fmla="*/ 133350 h 352425"/>
                                    <a:gd name="connsiteX44" fmla="*/ 431006 w 595313"/>
                                    <a:gd name="connsiteY44" fmla="*/ 119063 h 352425"/>
                                    <a:gd name="connsiteX45" fmla="*/ 438150 w 595313"/>
                                    <a:gd name="connsiteY45" fmla="*/ 111919 h 352425"/>
                                    <a:gd name="connsiteX46" fmla="*/ 473869 w 595313"/>
                                    <a:gd name="connsiteY46" fmla="*/ 104775 h 352425"/>
                                    <a:gd name="connsiteX47" fmla="*/ 490538 w 595313"/>
                                    <a:gd name="connsiteY47" fmla="*/ 100013 h 352425"/>
                                    <a:gd name="connsiteX48" fmla="*/ 502444 w 595313"/>
                                    <a:gd name="connsiteY48" fmla="*/ 97632 h 352425"/>
                                    <a:gd name="connsiteX49" fmla="*/ 521494 w 595313"/>
                                    <a:gd name="connsiteY49" fmla="*/ 85725 h 352425"/>
                                    <a:gd name="connsiteX50" fmla="*/ 526256 w 595313"/>
                                    <a:gd name="connsiteY50" fmla="*/ 78582 h 352425"/>
                                    <a:gd name="connsiteX51" fmla="*/ 533400 w 595313"/>
                                    <a:gd name="connsiteY51" fmla="*/ 61913 h 352425"/>
                                    <a:gd name="connsiteX52" fmla="*/ 535781 w 595313"/>
                                    <a:gd name="connsiteY52" fmla="*/ 35719 h 352425"/>
                                    <a:gd name="connsiteX53" fmla="*/ 545306 w 595313"/>
                                    <a:gd name="connsiteY53" fmla="*/ 30957 h 352425"/>
                                    <a:gd name="connsiteX54" fmla="*/ 552450 w 595313"/>
                                    <a:gd name="connsiteY54" fmla="*/ 28575 h 352425"/>
                                    <a:gd name="connsiteX55" fmla="*/ 569119 w 595313"/>
                                    <a:gd name="connsiteY55" fmla="*/ 21432 h 352425"/>
                                    <a:gd name="connsiteX56" fmla="*/ 585788 w 595313"/>
                                    <a:gd name="connsiteY56" fmla="*/ 11907 h 352425"/>
                                    <a:gd name="connsiteX57" fmla="*/ 595313 w 595313"/>
                                    <a:gd name="connsiteY57" fmla="*/ 2382 h 35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95313" h="352425">
                                      <a:moveTo>
                                        <a:pt x="16669" y="0"/>
                                      </a:moveTo>
                                      <a:cubicBezTo>
                                        <a:pt x="15875" y="14288"/>
                                        <a:pt x="15528" y="28607"/>
                                        <a:pt x="14288" y="42863"/>
                                      </a:cubicBezTo>
                                      <a:cubicBezTo>
                                        <a:pt x="13937" y="46895"/>
                                        <a:pt x="12571" y="50777"/>
                                        <a:pt x="11906" y="54769"/>
                                      </a:cubicBezTo>
                                      <a:cubicBezTo>
                                        <a:pt x="10983" y="60305"/>
                                        <a:pt x="10378" y="65891"/>
                                        <a:pt x="9525" y="71438"/>
                                      </a:cubicBezTo>
                                      <a:cubicBezTo>
                                        <a:pt x="8791" y="76210"/>
                                        <a:pt x="7708" y="80930"/>
                                        <a:pt x="7144" y="85725"/>
                                      </a:cubicBezTo>
                                      <a:cubicBezTo>
                                        <a:pt x="6120" y="94432"/>
                                        <a:pt x="5851" y="103219"/>
                                        <a:pt x="4763" y="111919"/>
                                      </a:cubicBezTo>
                                      <a:cubicBezTo>
                                        <a:pt x="4261" y="115935"/>
                                        <a:pt x="3105" y="119843"/>
                                        <a:pt x="2381" y="123825"/>
                                      </a:cubicBezTo>
                                      <a:cubicBezTo>
                                        <a:pt x="1517" y="128575"/>
                                        <a:pt x="794" y="133350"/>
                                        <a:pt x="0" y="138113"/>
                                      </a:cubicBezTo>
                                      <a:cubicBezTo>
                                        <a:pt x="1918" y="168795"/>
                                        <a:pt x="1176" y="198759"/>
                                        <a:pt x="7144" y="228600"/>
                                      </a:cubicBezTo>
                                      <a:cubicBezTo>
                                        <a:pt x="7786" y="231809"/>
                                        <a:pt x="8236" y="235117"/>
                                        <a:pt x="9525" y="238125"/>
                                      </a:cubicBezTo>
                                      <a:cubicBezTo>
                                        <a:pt x="12654" y="245426"/>
                                        <a:pt x="16385" y="246357"/>
                                        <a:pt x="21431" y="252413"/>
                                      </a:cubicBezTo>
                                      <a:cubicBezTo>
                                        <a:pt x="23263" y="254612"/>
                                        <a:pt x="23959" y="257769"/>
                                        <a:pt x="26194" y="259557"/>
                                      </a:cubicBezTo>
                                      <a:cubicBezTo>
                                        <a:pt x="32041" y="264235"/>
                                        <a:pt x="45244" y="271463"/>
                                        <a:pt x="45244" y="271463"/>
                                      </a:cubicBezTo>
                                      <a:cubicBezTo>
                                        <a:pt x="46831" y="273844"/>
                                        <a:pt x="47982" y="276583"/>
                                        <a:pt x="50006" y="278607"/>
                                      </a:cubicBezTo>
                                      <a:cubicBezTo>
                                        <a:pt x="54621" y="283222"/>
                                        <a:pt x="58485" y="283814"/>
                                        <a:pt x="64294" y="285750"/>
                                      </a:cubicBezTo>
                                      <a:cubicBezTo>
                                        <a:pt x="66191" y="293339"/>
                                        <a:pt x="67846" y="299317"/>
                                        <a:pt x="69056" y="307182"/>
                                      </a:cubicBezTo>
                                      <a:cubicBezTo>
                                        <a:pt x="69079" y="307334"/>
                                        <a:pt x="71300" y="331349"/>
                                        <a:pt x="73819" y="335757"/>
                                      </a:cubicBezTo>
                                      <a:cubicBezTo>
                                        <a:pt x="75490" y="338681"/>
                                        <a:pt x="78161" y="341032"/>
                                        <a:pt x="80963" y="342900"/>
                                      </a:cubicBezTo>
                                      <a:cubicBezTo>
                                        <a:pt x="85530" y="345945"/>
                                        <a:pt x="103288" y="347415"/>
                                        <a:pt x="104775" y="347663"/>
                                      </a:cubicBezTo>
                                      <a:cubicBezTo>
                                        <a:pt x="113843" y="349174"/>
                                        <a:pt x="117644" y="350285"/>
                                        <a:pt x="126206" y="352425"/>
                                      </a:cubicBezTo>
                                      <a:cubicBezTo>
                                        <a:pt x="129381" y="351631"/>
                                        <a:pt x="132723" y="351333"/>
                                        <a:pt x="135731" y="350044"/>
                                      </a:cubicBezTo>
                                      <a:cubicBezTo>
                                        <a:pt x="138362" y="348917"/>
                                        <a:pt x="140315" y="346562"/>
                                        <a:pt x="142875" y="345282"/>
                                      </a:cubicBezTo>
                                      <a:cubicBezTo>
                                        <a:pt x="145120" y="344159"/>
                                        <a:pt x="147638" y="343694"/>
                                        <a:pt x="150019" y="342900"/>
                                      </a:cubicBezTo>
                                      <a:cubicBezTo>
                                        <a:pt x="157163" y="343694"/>
                                        <a:pt x="164346" y="344189"/>
                                        <a:pt x="171450" y="345282"/>
                                      </a:cubicBezTo>
                                      <a:cubicBezTo>
                                        <a:pt x="174685" y="345780"/>
                                        <a:pt x="177766" y="347021"/>
                                        <a:pt x="180975" y="347663"/>
                                      </a:cubicBezTo>
                                      <a:cubicBezTo>
                                        <a:pt x="185710" y="348610"/>
                                        <a:pt x="190500" y="349250"/>
                                        <a:pt x="195263" y="350044"/>
                                      </a:cubicBezTo>
                                      <a:cubicBezTo>
                                        <a:pt x="200181" y="349498"/>
                                        <a:pt x="218721" y="348406"/>
                                        <a:pt x="226219" y="345282"/>
                                      </a:cubicBezTo>
                                      <a:cubicBezTo>
                                        <a:pt x="271885" y="326255"/>
                                        <a:pt x="227461" y="341185"/>
                                        <a:pt x="254794" y="333375"/>
                                      </a:cubicBezTo>
                                      <a:cubicBezTo>
                                        <a:pt x="257208" y="332685"/>
                                        <a:pt x="259445" y="331287"/>
                                        <a:pt x="261938" y="330994"/>
                                      </a:cubicBezTo>
                                      <a:cubicBezTo>
                                        <a:pt x="273002" y="329692"/>
                                        <a:pt x="284163" y="329407"/>
                                        <a:pt x="295275" y="328613"/>
                                      </a:cubicBezTo>
                                      <a:cubicBezTo>
                                        <a:pt x="297656" y="326232"/>
                                        <a:pt x="299761" y="323537"/>
                                        <a:pt x="302419" y="321469"/>
                                      </a:cubicBezTo>
                                      <a:cubicBezTo>
                                        <a:pt x="308454" y="316775"/>
                                        <a:pt x="315811" y="311025"/>
                                        <a:pt x="323850" y="309563"/>
                                      </a:cubicBezTo>
                                      <a:cubicBezTo>
                                        <a:pt x="330146" y="308418"/>
                                        <a:pt x="336550" y="307976"/>
                                        <a:pt x="342900" y="307182"/>
                                      </a:cubicBezTo>
                                      <a:cubicBezTo>
                                        <a:pt x="348708" y="305245"/>
                                        <a:pt x="352574" y="304652"/>
                                        <a:pt x="357188" y="300038"/>
                                      </a:cubicBezTo>
                                      <a:cubicBezTo>
                                        <a:pt x="363155" y="294071"/>
                                        <a:pt x="359399" y="290934"/>
                                        <a:pt x="369094" y="290513"/>
                                      </a:cubicBezTo>
                                      <a:cubicBezTo>
                                        <a:pt x="403202" y="289030"/>
                                        <a:pt x="437357" y="288926"/>
                                        <a:pt x="471488" y="288132"/>
                                      </a:cubicBezTo>
                                      <a:cubicBezTo>
                                        <a:pt x="478492" y="278792"/>
                                        <a:pt x="478416" y="280984"/>
                                        <a:pt x="481013" y="271463"/>
                                      </a:cubicBezTo>
                                      <a:cubicBezTo>
                                        <a:pt x="482735" y="265148"/>
                                        <a:pt x="485775" y="252413"/>
                                        <a:pt x="485775" y="252413"/>
                                      </a:cubicBezTo>
                                      <a:cubicBezTo>
                                        <a:pt x="484981" y="247650"/>
                                        <a:pt x="484921" y="242706"/>
                                        <a:pt x="483394" y="238125"/>
                                      </a:cubicBezTo>
                                      <a:cubicBezTo>
                                        <a:pt x="482699" y="236041"/>
                                        <a:pt x="471653" y="221677"/>
                                        <a:pt x="471488" y="221457"/>
                                      </a:cubicBezTo>
                                      <a:cubicBezTo>
                                        <a:pt x="458231" y="181686"/>
                                        <a:pt x="470683" y="217064"/>
                                        <a:pt x="457200" y="183357"/>
                                      </a:cubicBezTo>
                                      <a:cubicBezTo>
                                        <a:pt x="456268" y="181026"/>
                                        <a:pt x="455808" y="178520"/>
                                        <a:pt x="454819" y="176213"/>
                                      </a:cubicBezTo>
                                      <a:cubicBezTo>
                                        <a:pt x="448903" y="162409"/>
                                        <a:pt x="449634" y="169757"/>
                                        <a:pt x="445294" y="152400"/>
                                      </a:cubicBezTo>
                                      <a:cubicBezTo>
                                        <a:pt x="443706" y="146050"/>
                                        <a:pt x="444162" y="138796"/>
                                        <a:pt x="440531" y="133350"/>
                                      </a:cubicBezTo>
                                      <a:lnTo>
                                        <a:pt x="431006" y="119063"/>
                                      </a:lnTo>
                                      <a:cubicBezTo>
                                        <a:pt x="433387" y="116682"/>
                                        <a:pt x="435084" y="113313"/>
                                        <a:pt x="438150" y="111919"/>
                                      </a:cubicBezTo>
                                      <a:cubicBezTo>
                                        <a:pt x="448125" y="107385"/>
                                        <a:pt x="463172" y="106720"/>
                                        <a:pt x="473869" y="104775"/>
                                      </a:cubicBezTo>
                                      <a:cubicBezTo>
                                        <a:pt x="490207" y="101804"/>
                                        <a:pt x="476931" y="103414"/>
                                        <a:pt x="490538" y="100013"/>
                                      </a:cubicBezTo>
                                      <a:cubicBezTo>
                                        <a:pt x="494464" y="99031"/>
                                        <a:pt x="498475" y="98426"/>
                                        <a:pt x="502444" y="97632"/>
                                      </a:cubicBezTo>
                                      <a:cubicBezTo>
                                        <a:pt x="509989" y="93859"/>
                                        <a:pt x="515312" y="91907"/>
                                        <a:pt x="521494" y="85725"/>
                                      </a:cubicBezTo>
                                      <a:cubicBezTo>
                                        <a:pt x="523517" y="83702"/>
                                        <a:pt x="524836" y="81067"/>
                                        <a:pt x="526256" y="78582"/>
                                      </a:cubicBezTo>
                                      <a:cubicBezTo>
                                        <a:pt x="530966" y="70341"/>
                                        <a:pt x="530728" y="69930"/>
                                        <a:pt x="533400" y="61913"/>
                                      </a:cubicBezTo>
                                      <a:cubicBezTo>
                                        <a:pt x="534194" y="53182"/>
                                        <a:pt x="532634" y="43902"/>
                                        <a:pt x="535781" y="35719"/>
                                      </a:cubicBezTo>
                                      <a:cubicBezTo>
                                        <a:pt x="537055" y="32406"/>
                                        <a:pt x="542043" y="32355"/>
                                        <a:pt x="545306" y="30957"/>
                                      </a:cubicBezTo>
                                      <a:cubicBezTo>
                                        <a:pt x="547613" y="29968"/>
                                        <a:pt x="550205" y="29698"/>
                                        <a:pt x="552450" y="28575"/>
                                      </a:cubicBezTo>
                                      <a:cubicBezTo>
                                        <a:pt x="568891" y="20355"/>
                                        <a:pt x="549300" y="26386"/>
                                        <a:pt x="569119" y="21432"/>
                                      </a:cubicBezTo>
                                      <a:cubicBezTo>
                                        <a:pt x="572850" y="19566"/>
                                        <a:pt x="582425" y="15270"/>
                                        <a:pt x="585788" y="11907"/>
                                      </a:cubicBezTo>
                                      <a:cubicBezTo>
                                        <a:pt x="597282" y="413"/>
                                        <a:pt x="584425" y="7825"/>
                                        <a:pt x="595313" y="2382"/>
                                      </a:cubicBezTo>
                                    </a:path>
                                  </a:pathLst>
                                </a:custGeom>
                                <a:noFill/>
                                <a:ln w="6350">
                                  <a:solidFill>
                                    <a:srgbClr val="69B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3367827" name="Forma libre: forma 1383367827">
                                <a:extLst>
                                  <a:ext uri="{FF2B5EF4-FFF2-40B4-BE49-F238E27FC236}">
                                    <a16:creationId xmlns:a16="http://schemas.microsoft.com/office/drawing/2014/main" id="{A0AFCB90-9CEA-1882-AA26-26E85CD9D6E6}"/>
                                  </a:ext>
                                </a:extLst>
                              </wps:cNvPr>
                              <wps:cNvSpPr/>
                              <wps:spPr>
                                <a:xfrm>
                                  <a:off x="7131307" y="3265412"/>
                                  <a:ext cx="474532" cy="421823"/>
                                </a:xfrm>
                                <a:custGeom>
                                  <a:avLst/>
                                  <a:gdLst>
                                    <a:gd name="connsiteX0" fmla="*/ 469106 w 474532"/>
                                    <a:gd name="connsiteY0" fmla="*/ 421823 h 421823"/>
                                    <a:gd name="connsiteX1" fmla="*/ 473869 w 474532"/>
                                    <a:gd name="connsiteY1" fmla="*/ 331335 h 421823"/>
                                    <a:gd name="connsiteX2" fmla="*/ 459581 w 474532"/>
                                    <a:gd name="connsiteY2" fmla="*/ 300379 h 421823"/>
                                    <a:gd name="connsiteX3" fmla="*/ 445294 w 474532"/>
                                    <a:gd name="connsiteY3" fmla="*/ 281329 h 421823"/>
                                    <a:gd name="connsiteX4" fmla="*/ 440531 w 474532"/>
                                    <a:gd name="connsiteY4" fmla="*/ 274185 h 421823"/>
                                    <a:gd name="connsiteX5" fmla="*/ 421481 w 474532"/>
                                    <a:gd name="connsiteY5" fmla="*/ 252754 h 421823"/>
                                    <a:gd name="connsiteX6" fmla="*/ 416719 w 474532"/>
                                    <a:gd name="connsiteY6" fmla="*/ 221798 h 421823"/>
                                    <a:gd name="connsiteX7" fmla="*/ 414337 w 474532"/>
                                    <a:gd name="connsiteY7" fmla="*/ 214654 h 421823"/>
                                    <a:gd name="connsiteX8" fmla="*/ 411956 w 474532"/>
                                    <a:gd name="connsiteY8" fmla="*/ 200367 h 421823"/>
                                    <a:gd name="connsiteX9" fmla="*/ 409575 w 474532"/>
                                    <a:gd name="connsiteY9" fmla="*/ 159885 h 421823"/>
                                    <a:gd name="connsiteX10" fmla="*/ 404812 w 474532"/>
                                    <a:gd name="connsiteY10" fmla="*/ 152742 h 421823"/>
                                    <a:gd name="connsiteX11" fmla="*/ 390525 w 474532"/>
                                    <a:gd name="connsiteY11" fmla="*/ 147979 h 421823"/>
                                    <a:gd name="connsiteX12" fmla="*/ 371475 w 474532"/>
                                    <a:gd name="connsiteY12" fmla="*/ 143217 h 421823"/>
                                    <a:gd name="connsiteX13" fmla="*/ 323850 w 474532"/>
                                    <a:gd name="connsiteY13" fmla="*/ 145598 h 421823"/>
                                    <a:gd name="connsiteX14" fmla="*/ 311944 w 474532"/>
                                    <a:gd name="connsiteY14" fmla="*/ 155123 h 421823"/>
                                    <a:gd name="connsiteX15" fmla="*/ 300037 w 474532"/>
                                    <a:gd name="connsiteY15" fmla="*/ 157504 h 421823"/>
                                    <a:gd name="connsiteX16" fmla="*/ 266700 w 474532"/>
                                    <a:gd name="connsiteY16" fmla="*/ 155123 h 421823"/>
                                    <a:gd name="connsiteX17" fmla="*/ 257175 w 474532"/>
                                    <a:gd name="connsiteY17" fmla="*/ 140835 h 421823"/>
                                    <a:gd name="connsiteX18" fmla="*/ 245269 w 474532"/>
                                    <a:gd name="connsiteY18" fmla="*/ 126548 h 421823"/>
                                    <a:gd name="connsiteX19" fmla="*/ 235744 w 474532"/>
                                    <a:gd name="connsiteY19" fmla="*/ 121785 h 421823"/>
                                    <a:gd name="connsiteX20" fmla="*/ 221456 w 474532"/>
                                    <a:gd name="connsiteY20" fmla="*/ 112260 h 421823"/>
                                    <a:gd name="connsiteX21" fmla="*/ 207169 w 474532"/>
                                    <a:gd name="connsiteY21" fmla="*/ 102735 h 421823"/>
                                    <a:gd name="connsiteX22" fmla="*/ 195262 w 474532"/>
                                    <a:gd name="connsiteY22" fmla="*/ 95592 h 421823"/>
                                    <a:gd name="connsiteX23" fmla="*/ 190500 w 474532"/>
                                    <a:gd name="connsiteY23" fmla="*/ 88448 h 421823"/>
                                    <a:gd name="connsiteX24" fmla="*/ 171450 w 474532"/>
                                    <a:gd name="connsiteY24" fmla="*/ 78923 h 421823"/>
                                    <a:gd name="connsiteX25" fmla="*/ 164306 w 474532"/>
                                    <a:gd name="connsiteY25" fmla="*/ 74160 h 421823"/>
                                    <a:gd name="connsiteX26" fmla="*/ 154781 w 474532"/>
                                    <a:gd name="connsiteY26" fmla="*/ 59873 h 421823"/>
                                    <a:gd name="connsiteX27" fmla="*/ 150019 w 474532"/>
                                    <a:gd name="connsiteY27" fmla="*/ 52729 h 421823"/>
                                    <a:gd name="connsiteX28" fmla="*/ 130969 w 474532"/>
                                    <a:gd name="connsiteY28" fmla="*/ 43204 h 421823"/>
                                    <a:gd name="connsiteX29" fmla="*/ 119062 w 474532"/>
                                    <a:gd name="connsiteY29" fmla="*/ 40823 h 421823"/>
                                    <a:gd name="connsiteX30" fmla="*/ 109537 w 474532"/>
                                    <a:gd name="connsiteY30" fmla="*/ 38442 h 421823"/>
                                    <a:gd name="connsiteX31" fmla="*/ 83344 w 474532"/>
                                    <a:gd name="connsiteY31" fmla="*/ 36060 h 421823"/>
                                    <a:gd name="connsiteX32" fmla="*/ 73819 w 474532"/>
                                    <a:gd name="connsiteY32" fmla="*/ 33679 h 421823"/>
                                    <a:gd name="connsiteX33" fmla="*/ 59531 w 474532"/>
                                    <a:gd name="connsiteY33" fmla="*/ 31298 h 421823"/>
                                    <a:gd name="connsiteX34" fmla="*/ 47625 w 474532"/>
                                    <a:gd name="connsiteY34" fmla="*/ 28917 h 421823"/>
                                    <a:gd name="connsiteX35" fmla="*/ 38100 w 474532"/>
                                    <a:gd name="connsiteY35" fmla="*/ 24154 h 421823"/>
                                    <a:gd name="connsiteX36" fmla="*/ 23812 w 474532"/>
                                    <a:gd name="connsiteY36" fmla="*/ 19392 h 421823"/>
                                    <a:gd name="connsiteX37" fmla="*/ 9525 w 474532"/>
                                    <a:gd name="connsiteY37" fmla="*/ 342 h 421823"/>
                                    <a:gd name="connsiteX38" fmla="*/ 0 w 474532"/>
                                    <a:gd name="connsiteY38" fmla="*/ 342 h 421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74532" h="421823">
                                      <a:moveTo>
                                        <a:pt x="469106" y="421823"/>
                                      </a:moveTo>
                                      <a:cubicBezTo>
                                        <a:pt x="474928" y="386888"/>
                                        <a:pt x="475212" y="389101"/>
                                        <a:pt x="473869" y="331335"/>
                                      </a:cubicBezTo>
                                      <a:cubicBezTo>
                                        <a:pt x="473234" y="304031"/>
                                        <a:pt x="475138" y="308158"/>
                                        <a:pt x="459581" y="300379"/>
                                      </a:cubicBezTo>
                                      <a:cubicBezTo>
                                        <a:pt x="454819" y="294029"/>
                                        <a:pt x="449697" y="287933"/>
                                        <a:pt x="445294" y="281329"/>
                                      </a:cubicBezTo>
                                      <a:cubicBezTo>
                                        <a:pt x="443706" y="278948"/>
                                        <a:pt x="442432" y="276324"/>
                                        <a:pt x="440531" y="274185"/>
                                      </a:cubicBezTo>
                                      <a:cubicBezTo>
                                        <a:pt x="418783" y="249718"/>
                                        <a:pt x="432291" y="268968"/>
                                        <a:pt x="421481" y="252754"/>
                                      </a:cubicBezTo>
                                      <a:cubicBezTo>
                                        <a:pt x="415749" y="235557"/>
                                        <a:pt x="421983" y="256007"/>
                                        <a:pt x="416719" y="221798"/>
                                      </a:cubicBezTo>
                                      <a:cubicBezTo>
                                        <a:pt x="416337" y="219317"/>
                                        <a:pt x="415131" y="217035"/>
                                        <a:pt x="414337" y="214654"/>
                                      </a:cubicBezTo>
                                      <a:cubicBezTo>
                                        <a:pt x="413543" y="209892"/>
                                        <a:pt x="412374" y="205177"/>
                                        <a:pt x="411956" y="200367"/>
                                      </a:cubicBezTo>
                                      <a:cubicBezTo>
                                        <a:pt x="410785" y="186900"/>
                                        <a:pt x="411580" y="173253"/>
                                        <a:pt x="409575" y="159885"/>
                                      </a:cubicBezTo>
                                      <a:cubicBezTo>
                                        <a:pt x="409150" y="157055"/>
                                        <a:pt x="407239" y="154259"/>
                                        <a:pt x="404812" y="152742"/>
                                      </a:cubicBezTo>
                                      <a:cubicBezTo>
                                        <a:pt x="400555" y="150081"/>
                                        <a:pt x="395395" y="149196"/>
                                        <a:pt x="390525" y="147979"/>
                                      </a:cubicBezTo>
                                      <a:lnTo>
                                        <a:pt x="371475" y="143217"/>
                                      </a:lnTo>
                                      <a:cubicBezTo>
                                        <a:pt x="355600" y="144011"/>
                                        <a:pt x="339685" y="144221"/>
                                        <a:pt x="323850" y="145598"/>
                                      </a:cubicBezTo>
                                      <a:cubicBezTo>
                                        <a:pt x="308656" y="146919"/>
                                        <a:pt x="324181" y="148131"/>
                                        <a:pt x="311944" y="155123"/>
                                      </a:cubicBezTo>
                                      <a:cubicBezTo>
                                        <a:pt x="308430" y="157131"/>
                                        <a:pt x="304006" y="156710"/>
                                        <a:pt x="300037" y="157504"/>
                                      </a:cubicBezTo>
                                      <a:cubicBezTo>
                                        <a:pt x="288925" y="156710"/>
                                        <a:pt x="277544" y="157675"/>
                                        <a:pt x="266700" y="155123"/>
                                      </a:cubicBezTo>
                                      <a:cubicBezTo>
                                        <a:pt x="259025" y="153317"/>
                                        <a:pt x="259694" y="145872"/>
                                        <a:pt x="257175" y="140835"/>
                                      </a:cubicBezTo>
                                      <a:cubicBezTo>
                                        <a:pt x="254856" y="136197"/>
                                        <a:pt x="249362" y="129472"/>
                                        <a:pt x="245269" y="126548"/>
                                      </a:cubicBezTo>
                                      <a:cubicBezTo>
                                        <a:pt x="242380" y="124485"/>
                                        <a:pt x="238788" y="123611"/>
                                        <a:pt x="235744" y="121785"/>
                                      </a:cubicBezTo>
                                      <a:cubicBezTo>
                                        <a:pt x="230836" y="118840"/>
                                        <a:pt x="226219" y="115435"/>
                                        <a:pt x="221456" y="112260"/>
                                      </a:cubicBezTo>
                                      <a:cubicBezTo>
                                        <a:pt x="216694" y="109085"/>
                                        <a:pt x="212077" y="105679"/>
                                        <a:pt x="207169" y="102735"/>
                                      </a:cubicBezTo>
                                      <a:lnTo>
                                        <a:pt x="195262" y="95592"/>
                                      </a:lnTo>
                                      <a:cubicBezTo>
                                        <a:pt x="193675" y="93211"/>
                                        <a:pt x="192845" y="90089"/>
                                        <a:pt x="190500" y="88448"/>
                                      </a:cubicBezTo>
                                      <a:cubicBezTo>
                                        <a:pt x="184684" y="84377"/>
                                        <a:pt x="177357" y="82861"/>
                                        <a:pt x="171450" y="78923"/>
                                      </a:cubicBezTo>
                                      <a:lnTo>
                                        <a:pt x="164306" y="74160"/>
                                      </a:lnTo>
                                      <a:lnTo>
                                        <a:pt x="154781" y="59873"/>
                                      </a:lnTo>
                                      <a:cubicBezTo>
                                        <a:pt x="153194" y="57492"/>
                                        <a:pt x="152579" y="54009"/>
                                        <a:pt x="150019" y="52729"/>
                                      </a:cubicBezTo>
                                      <a:cubicBezTo>
                                        <a:pt x="143669" y="49554"/>
                                        <a:pt x="137931" y="44596"/>
                                        <a:pt x="130969" y="43204"/>
                                      </a:cubicBezTo>
                                      <a:cubicBezTo>
                                        <a:pt x="127000" y="42410"/>
                                        <a:pt x="123013" y="41701"/>
                                        <a:pt x="119062" y="40823"/>
                                      </a:cubicBezTo>
                                      <a:cubicBezTo>
                                        <a:pt x="115867" y="40113"/>
                                        <a:pt x="112781" y="38875"/>
                                        <a:pt x="109537" y="38442"/>
                                      </a:cubicBezTo>
                                      <a:cubicBezTo>
                                        <a:pt x="100847" y="37283"/>
                                        <a:pt x="92075" y="36854"/>
                                        <a:pt x="83344" y="36060"/>
                                      </a:cubicBezTo>
                                      <a:cubicBezTo>
                                        <a:pt x="80169" y="35266"/>
                                        <a:pt x="77028" y="34321"/>
                                        <a:pt x="73819" y="33679"/>
                                      </a:cubicBezTo>
                                      <a:cubicBezTo>
                                        <a:pt x="69084" y="32732"/>
                                        <a:pt x="64281" y="32162"/>
                                        <a:pt x="59531" y="31298"/>
                                      </a:cubicBezTo>
                                      <a:cubicBezTo>
                                        <a:pt x="55549" y="30574"/>
                                        <a:pt x="51594" y="29711"/>
                                        <a:pt x="47625" y="28917"/>
                                      </a:cubicBezTo>
                                      <a:cubicBezTo>
                                        <a:pt x="44450" y="27329"/>
                                        <a:pt x="41396" y="25472"/>
                                        <a:pt x="38100" y="24154"/>
                                      </a:cubicBezTo>
                                      <a:cubicBezTo>
                                        <a:pt x="33439" y="22290"/>
                                        <a:pt x="27362" y="22942"/>
                                        <a:pt x="23812" y="19392"/>
                                      </a:cubicBezTo>
                                      <a:cubicBezTo>
                                        <a:pt x="8839" y="4419"/>
                                        <a:pt x="29966" y="5452"/>
                                        <a:pt x="9525" y="342"/>
                                      </a:cubicBezTo>
                                      <a:cubicBezTo>
                                        <a:pt x="6445" y="-428"/>
                                        <a:pt x="3175" y="342"/>
                                        <a:pt x="0" y="342"/>
                                      </a:cubicBezTo>
                                    </a:path>
                                  </a:pathLst>
                                </a:custGeom>
                                <a:noFill/>
                                <a:ln w="6350">
                                  <a:solidFill>
                                    <a:srgbClr val="69B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24673432" name="Proceso 124">
                              <a:extLst>
                                <a:ext uri="{FF2B5EF4-FFF2-40B4-BE49-F238E27FC236}">
                                  <a16:creationId xmlns:a16="http://schemas.microsoft.com/office/drawing/2014/main" id="{060613EB-B229-570E-44EF-A4D033D252B8}"/>
                                </a:ext>
                              </a:extLst>
                            </wps:cNvPr>
                            <wps:cNvSpPr/>
                            <wps:spPr>
                              <a:xfrm>
                                <a:off x="6831693" y="2942915"/>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32E83F8B"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AE</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204887852" name="Proceso 124">
                              <a:extLst>
                                <a:ext uri="{FF2B5EF4-FFF2-40B4-BE49-F238E27FC236}">
                                  <a16:creationId xmlns:a16="http://schemas.microsoft.com/office/drawing/2014/main" id="{2C2E79D5-60D3-79C1-8B36-2B982F0321E9}"/>
                                </a:ext>
                              </a:extLst>
                            </wps:cNvPr>
                            <wps:cNvSpPr/>
                            <wps:spPr>
                              <a:xfrm>
                                <a:off x="7397157" y="3063837"/>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12DA8C18"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AIR</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049000720" name="Proceso 124">
                              <a:extLst>
                                <a:ext uri="{FF2B5EF4-FFF2-40B4-BE49-F238E27FC236}">
                                  <a16:creationId xmlns:a16="http://schemas.microsoft.com/office/drawing/2014/main" id="{7EC61F3D-2D20-9B6E-6995-750049730C0F}"/>
                                </a:ext>
                              </a:extLst>
                            </wps:cNvPr>
                            <wps:cNvSpPr/>
                            <wps:spPr>
                              <a:xfrm>
                                <a:off x="6664988" y="3284787"/>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653D2AF7"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w:t>
                                  </w:r>
                                </w:p>
                              </w:txbxContent>
                            </wps:txbx>
                            <wps:bodyPr rot="0" spcFirstLastPara="0" vert="horz" wrap="square" lIns="27000" tIns="0" rIns="27000" bIns="0" numCol="1" spcCol="0" rtlCol="0" fromWordArt="0" anchor="ctr" anchorCtr="0" forceAA="0" compatLnSpc="1">
                              <a:prstTxWarp prst="textNoShape">
                                <a:avLst/>
                              </a:prstTxWarp>
                              <a:noAutofit/>
                            </wps:bodyPr>
                          </wps:wsp>
                        </wpg:grpSp>
                        <wpg:grpSp>
                          <wpg:cNvPr id="699981495" name="Grupo 699981495">
                            <a:extLst>
                              <a:ext uri="{FF2B5EF4-FFF2-40B4-BE49-F238E27FC236}">
                                <a16:creationId xmlns:a16="http://schemas.microsoft.com/office/drawing/2014/main" id="{8AE30218-9659-4228-F943-2067C9C243E9}"/>
                              </a:ext>
                            </a:extLst>
                          </wpg:cNvPr>
                          <wpg:cNvGrpSpPr>
                            <a:grpSpLocks noChangeAspect="1"/>
                          </wpg:cNvGrpSpPr>
                          <wpg:grpSpPr>
                            <a:xfrm>
                              <a:off x="4849110" y="5286104"/>
                              <a:ext cx="1440000" cy="720000"/>
                              <a:chOff x="4849110" y="5286104"/>
                              <a:chExt cx="900000" cy="450000"/>
                            </a:xfrm>
                          </wpg:grpSpPr>
                          <wps:wsp>
                            <wps:cNvPr id="646464241" name="Proceso 100">
                              <a:extLst>
                                <a:ext uri="{FF2B5EF4-FFF2-40B4-BE49-F238E27FC236}">
                                  <a16:creationId xmlns:a16="http://schemas.microsoft.com/office/drawing/2014/main" id="{5B38D866-30A5-3082-4AC0-2AFCD9D2FC4D}"/>
                                </a:ext>
                              </a:extLst>
                            </wps:cNvPr>
                            <wps:cNvSpPr/>
                            <wps:spPr>
                              <a:xfrm>
                                <a:off x="4849110" y="5511104"/>
                                <a:ext cx="225000" cy="225000"/>
                              </a:xfrm>
                              <a:prstGeom prst="flowChartProcess">
                                <a:avLst/>
                              </a:prstGeom>
                              <a:solidFill>
                                <a:srgbClr val="FFFF00">
                                  <a:alpha val="70000"/>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6A6330C"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6730383" name="Proceso 100">
                              <a:extLst>
                                <a:ext uri="{FF2B5EF4-FFF2-40B4-BE49-F238E27FC236}">
                                  <a16:creationId xmlns:a16="http://schemas.microsoft.com/office/drawing/2014/main" id="{370AA8E0-6FA1-C8CB-C371-FE5E4A71D45D}"/>
                                </a:ext>
                              </a:extLst>
                            </wps:cNvPr>
                            <wps:cNvSpPr/>
                            <wps:spPr>
                              <a:xfrm>
                                <a:off x="5074110" y="5286104"/>
                                <a:ext cx="225000" cy="225000"/>
                              </a:xfrm>
                              <a:prstGeom prst="flowChartProcess">
                                <a:avLst/>
                              </a:prstGeom>
                              <a:solidFill>
                                <a:srgbClr val="FF0000">
                                  <a:alpha val="70000"/>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1015416"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24709863" name="Proceso 100">
                              <a:extLst>
                                <a:ext uri="{FF2B5EF4-FFF2-40B4-BE49-F238E27FC236}">
                                  <a16:creationId xmlns:a16="http://schemas.microsoft.com/office/drawing/2014/main" id="{B1C35742-5B60-CB01-9415-F18BEA7FAA03}"/>
                                </a:ext>
                              </a:extLst>
                            </wps:cNvPr>
                            <wps:cNvSpPr/>
                            <wps:spPr>
                              <a:xfrm>
                                <a:off x="5074110" y="5511104"/>
                                <a:ext cx="225000" cy="225000"/>
                              </a:xfrm>
                              <a:prstGeom prst="flowChartProcess">
                                <a:avLst/>
                              </a:prstGeom>
                              <a:solidFill>
                                <a:srgbClr val="FFFF00">
                                  <a:alpha val="70000"/>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B03AC3C"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57980366" name="Proceso 100">
                              <a:extLst>
                                <a:ext uri="{FF2B5EF4-FFF2-40B4-BE49-F238E27FC236}">
                                  <a16:creationId xmlns:a16="http://schemas.microsoft.com/office/drawing/2014/main" id="{781189C6-0309-C485-A90A-8D2083B7C9A2}"/>
                                </a:ext>
                              </a:extLst>
                            </wps:cNvPr>
                            <wps:cNvSpPr/>
                            <wps:spPr>
                              <a:xfrm>
                                <a:off x="4849110" y="5286104"/>
                                <a:ext cx="225000" cy="225000"/>
                              </a:xfrm>
                              <a:prstGeom prst="flowChartProcess">
                                <a:avLst/>
                              </a:prstGeom>
                              <a:solidFill>
                                <a:srgbClr val="92D050">
                                  <a:alpha val="70000"/>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6F31DEA"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81161010" name="Proceso 100">
                              <a:extLst>
                                <a:ext uri="{FF2B5EF4-FFF2-40B4-BE49-F238E27FC236}">
                                  <a16:creationId xmlns:a16="http://schemas.microsoft.com/office/drawing/2014/main" id="{62DAA49C-16D7-A2D7-6CA8-0D904FEB016C}"/>
                                </a:ext>
                              </a:extLst>
                            </wps:cNvPr>
                            <wps:cNvSpPr/>
                            <wps:spPr>
                              <a:xfrm>
                                <a:off x="5299110" y="5511104"/>
                                <a:ext cx="225000" cy="225000"/>
                              </a:xfrm>
                              <a:prstGeom prst="flowChartProcess">
                                <a:avLst/>
                              </a:prstGeom>
                              <a:solidFill>
                                <a:srgbClr val="92D050">
                                  <a:alpha val="70000"/>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7CF629D"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27334774" name="Proceso 100">
                              <a:extLst>
                                <a:ext uri="{FF2B5EF4-FFF2-40B4-BE49-F238E27FC236}">
                                  <a16:creationId xmlns:a16="http://schemas.microsoft.com/office/drawing/2014/main" id="{8348FA03-964D-20D1-67D1-500E11AD3CCB}"/>
                                </a:ext>
                              </a:extLst>
                            </wps:cNvPr>
                            <wps:cNvSpPr/>
                            <wps:spPr>
                              <a:xfrm>
                                <a:off x="5524110" y="5286104"/>
                                <a:ext cx="225000" cy="225000"/>
                              </a:xfrm>
                              <a:prstGeom prst="flowChartProcess">
                                <a:avLst/>
                              </a:prstGeom>
                              <a:solidFill>
                                <a:srgbClr val="FFFF00">
                                  <a:alpha val="70000"/>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A06FB40"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9415719" name="Proceso 100">
                              <a:extLst>
                                <a:ext uri="{FF2B5EF4-FFF2-40B4-BE49-F238E27FC236}">
                                  <a16:creationId xmlns:a16="http://schemas.microsoft.com/office/drawing/2014/main" id="{79BFA32D-C0CC-A0E5-0314-891E5269025F}"/>
                                </a:ext>
                              </a:extLst>
                            </wps:cNvPr>
                            <wps:cNvSpPr/>
                            <wps:spPr>
                              <a:xfrm>
                                <a:off x="5524110" y="5511104"/>
                                <a:ext cx="225000" cy="225000"/>
                              </a:xfrm>
                              <a:prstGeom prst="flowChartProcess">
                                <a:avLst/>
                              </a:prstGeom>
                              <a:solidFill>
                                <a:srgbClr val="FFFF00">
                                  <a:alpha val="70000"/>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8E19467"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2946416" name="Proceso 100">
                              <a:extLst>
                                <a:ext uri="{FF2B5EF4-FFF2-40B4-BE49-F238E27FC236}">
                                  <a16:creationId xmlns:a16="http://schemas.microsoft.com/office/drawing/2014/main" id="{0153118C-D77A-C47D-F4D7-5F570BE165D2}"/>
                                </a:ext>
                              </a:extLst>
                            </wps:cNvPr>
                            <wps:cNvSpPr/>
                            <wps:spPr>
                              <a:xfrm>
                                <a:off x="5299110" y="5286104"/>
                                <a:ext cx="225000" cy="225000"/>
                              </a:xfrm>
                              <a:prstGeom prst="flowChartProcess">
                                <a:avLst/>
                              </a:prstGeom>
                              <a:solidFill>
                                <a:srgbClr val="FFFF00">
                                  <a:alpha val="70000"/>
                                </a:srgbClr>
                              </a:solidFill>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106F834"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618267783" name="Grupo 618267783">
                            <a:extLst>
                              <a:ext uri="{FF2B5EF4-FFF2-40B4-BE49-F238E27FC236}">
                                <a16:creationId xmlns:a16="http://schemas.microsoft.com/office/drawing/2014/main" id="{D5BDABE0-BB5B-C004-4D23-BCEC6191CB14}"/>
                              </a:ext>
                            </a:extLst>
                          </wpg:cNvPr>
                          <wpg:cNvGrpSpPr/>
                          <wpg:grpSpPr>
                            <a:xfrm>
                              <a:off x="6397110" y="4006628"/>
                              <a:ext cx="1440000" cy="745085"/>
                              <a:chOff x="6397110" y="4006628"/>
                              <a:chExt cx="1440000" cy="745085"/>
                            </a:xfrm>
                          </wpg:grpSpPr>
                          <wpg:grpSp>
                            <wpg:cNvPr id="997578003" name="Grupo 997578003">
                              <a:extLst>
                                <a:ext uri="{FF2B5EF4-FFF2-40B4-BE49-F238E27FC236}">
                                  <a16:creationId xmlns:a16="http://schemas.microsoft.com/office/drawing/2014/main" id="{6EF948B7-CA3D-FD92-214D-89C417279E17}"/>
                                </a:ext>
                              </a:extLst>
                            </wpg:cNvPr>
                            <wpg:cNvGrpSpPr/>
                            <wpg:grpSpPr>
                              <a:xfrm>
                                <a:off x="6397110" y="4030948"/>
                                <a:ext cx="1440000" cy="720765"/>
                                <a:chOff x="6397110" y="4030948"/>
                                <a:chExt cx="1440000" cy="720765"/>
                              </a:xfrm>
                            </wpg:grpSpPr>
                            <wps:wsp>
                              <wps:cNvPr id="1421971060" name="Proceso 124">
                                <a:extLst>
                                  <a:ext uri="{FF2B5EF4-FFF2-40B4-BE49-F238E27FC236}">
                                    <a16:creationId xmlns:a16="http://schemas.microsoft.com/office/drawing/2014/main" id="{4CC5AB12-1FCF-A8D8-6740-3F5AC0049900}"/>
                                  </a:ext>
                                </a:extLst>
                              </wps:cNvPr>
                              <wps:cNvSpPr/>
                              <wps:spPr>
                                <a:xfrm>
                                  <a:off x="6397110" y="4031714"/>
                                  <a:ext cx="1440000" cy="719999"/>
                                </a:xfrm>
                                <a:prstGeom prst="flowChartProcess">
                                  <a:avLst/>
                                </a:prstGeom>
                                <a:noFill/>
                                <a:ln w="3175">
                                  <a:solidFill>
                                    <a:srgbClr val="69BFFF"/>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s:wsp>
                              <wps:cNvPr id="1079073631" name="Forma libre: forma 1079073631">
                                <a:extLst>
                                  <a:ext uri="{FF2B5EF4-FFF2-40B4-BE49-F238E27FC236}">
                                    <a16:creationId xmlns:a16="http://schemas.microsoft.com/office/drawing/2014/main" id="{EADEFD74-1508-8448-8CC2-3319C28BF883}"/>
                                  </a:ext>
                                </a:extLst>
                              </wps:cNvPr>
                              <wps:cNvSpPr/>
                              <wps:spPr>
                                <a:xfrm>
                                  <a:off x="6771307" y="4030948"/>
                                  <a:ext cx="595313" cy="348861"/>
                                </a:xfrm>
                                <a:custGeom>
                                  <a:avLst/>
                                  <a:gdLst>
                                    <a:gd name="connsiteX0" fmla="*/ 16669 w 595313"/>
                                    <a:gd name="connsiteY0" fmla="*/ 0 h 352425"/>
                                    <a:gd name="connsiteX1" fmla="*/ 14288 w 595313"/>
                                    <a:gd name="connsiteY1" fmla="*/ 42863 h 352425"/>
                                    <a:gd name="connsiteX2" fmla="*/ 11906 w 595313"/>
                                    <a:gd name="connsiteY2" fmla="*/ 54769 h 352425"/>
                                    <a:gd name="connsiteX3" fmla="*/ 9525 w 595313"/>
                                    <a:gd name="connsiteY3" fmla="*/ 71438 h 352425"/>
                                    <a:gd name="connsiteX4" fmla="*/ 7144 w 595313"/>
                                    <a:gd name="connsiteY4" fmla="*/ 85725 h 352425"/>
                                    <a:gd name="connsiteX5" fmla="*/ 4763 w 595313"/>
                                    <a:gd name="connsiteY5" fmla="*/ 111919 h 352425"/>
                                    <a:gd name="connsiteX6" fmla="*/ 2381 w 595313"/>
                                    <a:gd name="connsiteY6" fmla="*/ 123825 h 352425"/>
                                    <a:gd name="connsiteX7" fmla="*/ 0 w 595313"/>
                                    <a:gd name="connsiteY7" fmla="*/ 138113 h 352425"/>
                                    <a:gd name="connsiteX8" fmla="*/ 7144 w 595313"/>
                                    <a:gd name="connsiteY8" fmla="*/ 228600 h 352425"/>
                                    <a:gd name="connsiteX9" fmla="*/ 9525 w 595313"/>
                                    <a:gd name="connsiteY9" fmla="*/ 238125 h 352425"/>
                                    <a:gd name="connsiteX10" fmla="*/ 21431 w 595313"/>
                                    <a:gd name="connsiteY10" fmla="*/ 252413 h 352425"/>
                                    <a:gd name="connsiteX11" fmla="*/ 26194 w 595313"/>
                                    <a:gd name="connsiteY11" fmla="*/ 259557 h 352425"/>
                                    <a:gd name="connsiteX12" fmla="*/ 45244 w 595313"/>
                                    <a:gd name="connsiteY12" fmla="*/ 271463 h 352425"/>
                                    <a:gd name="connsiteX13" fmla="*/ 50006 w 595313"/>
                                    <a:gd name="connsiteY13" fmla="*/ 278607 h 352425"/>
                                    <a:gd name="connsiteX14" fmla="*/ 64294 w 595313"/>
                                    <a:gd name="connsiteY14" fmla="*/ 285750 h 352425"/>
                                    <a:gd name="connsiteX15" fmla="*/ 69056 w 595313"/>
                                    <a:gd name="connsiteY15" fmla="*/ 307182 h 352425"/>
                                    <a:gd name="connsiteX16" fmla="*/ 73819 w 595313"/>
                                    <a:gd name="connsiteY16" fmla="*/ 335757 h 352425"/>
                                    <a:gd name="connsiteX17" fmla="*/ 80963 w 595313"/>
                                    <a:gd name="connsiteY17" fmla="*/ 342900 h 352425"/>
                                    <a:gd name="connsiteX18" fmla="*/ 104775 w 595313"/>
                                    <a:gd name="connsiteY18" fmla="*/ 347663 h 352425"/>
                                    <a:gd name="connsiteX19" fmla="*/ 126206 w 595313"/>
                                    <a:gd name="connsiteY19" fmla="*/ 352425 h 352425"/>
                                    <a:gd name="connsiteX20" fmla="*/ 135731 w 595313"/>
                                    <a:gd name="connsiteY20" fmla="*/ 350044 h 352425"/>
                                    <a:gd name="connsiteX21" fmla="*/ 142875 w 595313"/>
                                    <a:gd name="connsiteY21" fmla="*/ 345282 h 352425"/>
                                    <a:gd name="connsiteX22" fmla="*/ 150019 w 595313"/>
                                    <a:gd name="connsiteY22" fmla="*/ 342900 h 352425"/>
                                    <a:gd name="connsiteX23" fmla="*/ 171450 w 595313"/>
                                    <a:gd name="connsiteY23" fmla="*/ 345282 h 352425"/>
                                    <a:gd name="connsiteX24" fmla="*/ 180975 w 595313"/>
                                    <a:gd name="connsiteY24" fmla="*/ 347663 h 352425"/>
                                    <a:gd name="connsiteX25" fmla="*/ 195263 w 595313"/>
                                    <a:gd name="connsiteY25" fmla="*/ 350044 h 352425"/>
                                    <a:gd name="connsiteX26" fmla="*/ 226219 w 595313"/>
                                    <a:gd name="connsiteY26" fmla="*/ 345282 h 352425"/>
                                    <a:gd name="connsiteX27" fmla="*/ 254794 w 595313"/>
                                    <a:gd name="connsiteY27" fmla="*/ 333375 h 352425"/>
                                    <a:gd name="connsiteX28" fmla="*/ 261938 w 595313"/>
                                    <a:gd name="connsiteY28" fmla="*/ 330994 h 352425"/>
                                    <a:gd name="connsiteX29" fmla="*/ 295275 w 595313"/>
                                    <a:gd name="connsiteY29" fmla="*/ 328613 h 352425"/>
                                    <a:gd name="connsiteX30" fmla="*/ 302419 w 595313"/>
                                    <a:gd name="connsiteY30" fmla="*/ 321469 h 352425"/>
                                    <a:gd name="connsiteX31" fmla="*/ 323850 w 595313"/>
                                    <a:gd name="connsiteY31" fmla="*/ 309563 h 352425"/>
                                    <a:gd name="connsiteX32" fmla="*/ 342900 w 595313"/>
                                    <a:gd name="connsiteY32" fmla="*/ 307182 h 352425"/>
                                    <a:gd name="connsiteX33" fmla="*/ 357188 w 595313"/>
                                    <a:gd name="connsiteY33" fmla="*/ 300038 h 352425"/>
                                    <a:gd name="connsiteX34" fmla="*/ 369094 w 595313"/>
                                    <a:gd name="connsiteY34" fmla="*/ 290513 h 352425"/>
                                    <a:gd name="connsiteX35" fmla="*/ 471488 w 595313"/>
                                    <a:gd name="connsiteY35" fmla="*/ 288132 h 352425"/>
                                    <a:gd name="connsiteX36" fmla="*/ 481013 w 595313"/>
                                    <a:gd name="connsiteY36" fmla="*/ 271463 h 352425"/>
                                    <a:gd name="connsiteX37" fmla="*/ 485775 w 595313"/>
                                    <a:gd name="connsiteY37" fmla="*/ 252413 h 352425"/>
                                    <a:gd name="connsiteX38" fmla="*/ 483394 w 595313"/>
                                    <a:gd name="connsiteY38" fmla="*/ 238125 h 352425"/>
                                    <a:gd name="connsiteX39" fmla="*/ 471488 w 595313"/>
                                    <a:gd name="connsiteY39" fmla="*/ 221457 h 352425"/>
                                    <a:gd name="connsiteX40" fmla="*/ 457200 w 595313"/>
                                    <a:gd name="connsiteY40" fmla="*/ 183357 h 352425"/>
                                    <a:gd name="connsiteX41" fmla="*/ 454819 w 595313"/>
                                    <a:gd name="connsiteY41" fmla="*/ 176213 h 352425"/>
                                    <a:gd name="connsiteX42" fmla="*/ 445294 w 595313"/>
                                    <a:gd name="connsiteY42" fmla="*/ 152400 h 352425"/>
                                    <a:gd name="connsiteX43" fmla="*/ 440531 w 595313"/>
                                    <a:gd name="connsiteY43" fmla="*/ 133350 h 352425"/>
                                    <a:gd name="connsiteX44" fmla="*/ 431006 w 595313"/>
                                    <a:gd name="connsiteY44" fmla="*/ 119063 h 352425"/>
                                    <a:gd name="connsiteX45" fmla="*/ 438150 w 595313"/>
                                    <a:gd name="connsiteY45" fmla="*/ 111919 h 352425"/>
                                    <a:gd name="connsiteX46" fmla="*/ 473869 w 595313"/>
                                    <a:gd name="connsiteY46" fmla="*/ 104775 h 352425"/>
                                    <a:gd name="connsiteX47" fmla="*/ 490538 w 595313"/>
                                    <a:gd name="connsiteY47" fmla="*/ 100013 h 352425"/>
                                    <a:gd name="connsiteX48" fmla="*/ 502444 w 595313"/>
                                    <a:gd name="connsiteY48" fmla="*/ 97632 h 352425"/>
                                    <a:gd name="connsiteX49" fmla="*/ 521494 w 595313"/>
                                    <a:gd name="connsiteY49" fmla="*/ 85725 h 352425"/>
                                    <a:gd name="connsiteX50" fmla="*/ 526256 w 595313"/>
                                    <a:gd name="connsiteY50" fmla="*/ 78582 h 352425"/>
                                    <a:gd name="connsiteX51" fmla="*/ 533400 w 595313"/>
                                    <a:gd name="connsiteY51" fmla="*/ 61913 h 352425"/>
                                    <a:gd name="connsiteX52" fmla="*/ 535781 w 595313"/>
                                    <a:gd name="connsiteY52" fmla="*/ 35719 h 352425"/>
                                    <a:gd name="connsiteX53" fmla="*/ 545306 w 595313"/>
                                    <a:gd name="connsiteY53" fmla="*/ 30957 h 352425"/>
                                    <a:gd name="connsiteX54" fmla="*/ 552450 w 595313"/>
                                    <a:gd name="connsiteY54" fmla="*/ 28575 h 352425"/>
                                    <a:gd name="connsiteX55" fmla="*/ 569119 w 595313"/>
                                    <a:gd name="connsiteY55" fmla="*/ 21432 h 352425"/>
                                    <a:gd name="connsiteX56" fmla="*/ 585788 w 595313"/>
                                    <a:gd name="connsiteY56" fmla="*/ 11907 h 352425"/>
                                    <a:gd name="connsiteX57" fmla="*/ 595313 w 595313"/>
                                    <a:gd name="connsiteY57" fmla="*/ 2382 h 35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95313" h="352425">
                                      <a:moveTo>
                                        <a:pt x="16669" y="0"/>
                                      </a:moveTo>
                                      <a:cubicBezTo>
                                        <a:pt x="15875" y="14288"/>
                                        <a:pt x="15528" y="28607"/>
                                        <a:pt x="14288" y="42863"/>
                                      </a:cubicBezTo>
                                      <a:cubicBezTo>
                                        <a:pt x="13937" y="46895"/>
                                        <a:pt x="12571" y="50777"/>
                                        <a:pt x="11906" y="54769"/>
                                      </a:cubicBezTo>
                                      <a:cubicBezTo>
                                        <a:pt x="10983" y="60305"/>
                                        <a:pt x="10378" y="65891"/>
                                        <a:pt x="9525" y="71438"/>
                                      </a:cubicBezTo>
                                      <a:cubicBezTo>
                                        <a:pt x="8791" y="76210"/>
                                        <a:pt x="7708" y="80930"/>
                                        <a:pt x="7144" y="85725"/>
                                      </a:cubicBezTo>
                                      <a:cubicBezTo>
                                        <a:pt x="6120" y="94432"/>
                                        <a:pt x="5851" y="103219"/>
                                        <a:pt x="4763" y="111919"/>
                                      </a:cubicBezTo>
                                      <a:cubicBezTo>
                                        <a:pt x="4261" y="115935"/>
                                        <a:pt x="3105" y="119843"/>
                                        <a:pt x="2381" y="123825"/>
                                      </a:cubicBezTo>
                                      <a:cubicBezTo>
                                        <a:pt x="1517" y="128575"/>
                                        <a:pt x="794" y="133350"/>
                                        <a:pt x="0" y="138113"/>
                                      </a:cubicBezTo>
                                      <a:cubicBezTo>
                                        <a:pt x="1918" y="168795"/>
                                        <a:pt x="1176" y="198759"/>
                                        <a:pt x="7144" y="228600"/>
                                      </a:cubicBezTo>
                                      <a:cubicBezTo>
                                        <a:pt x="7786" y="231809"/>
                                        <a:pt x="8236" y="235117"/>
                                        <a:pt x="9525" y="238125"/>
                                      </a:cubicBezTo>
                                      <a:cubicBezTo>
                                        <a:pt x="12654" y="245426"/>
                                        <a:pt x="16385" y="246357"/>
                                        <a:pt x="21431" y="252413"/>
                                      </a:cubicBezTo>
                                      <a:cubicBezTo>
                                        <a:pt x="23263" y="254612"/>
                                        <a:pt x="23959" y="257769"/>
                                        <a:pt x="26194" y="259557"/>
                                      </a:cubicBezTo>
                                      <a:cubicBezTo>
                                        <a:pt x="32041" y="264235"/>
                                        <a:pt x="45244" y="271463"/>
                                        <a:pt x="45244" y="271463"/>
                                      </a:cubicBezTo>
                                      <a:cubicBezTo>
                                        <a:pt x="46831" y="273844"/>
                                        <a:pt x="47982" y="276583"/>
                                        <a:pt x="50006" y="278607"/>
                                      </a:cubicBezTo>
                                      <a:cubicBezTo>
                                        <a:pt x="54621" y="283222"/>
                                        <a:pt x="58485" y="283814"/>
                                        <a:pt x="64294" y="285750"/>
                                      </a:cubicBezTo>
                                      <a:cubicBezTo>
                                        <a:pt x="66191" y="293339"/>
                                        <a:pt x="67846" y="299317"/>
                                        <a:pt x="69056" y="307182"/>
                                      </a:cubicBezTo>
                                      <a:cubicBezTo>
                                        <a:pt x="69079" y="307334"/>
                                        <a:pt x="71300" y="331349"/>
                                        <a:pt x="73819" y="335757"/>
                                      </a:cubicBezTo>
                                      <a:cubicBezTo>
                                        <a:pt x="75490" y="338681"/>
                                        <a:pt x="78161" y="341032"/>
                                        <a:pt x="80963" y="342900"/>
                                      </a:cubicBezTo>
                                      <a:cubicBezTo>
                                        <a:pt x="85530" y="345945"/>
                                        <a:pt x="103288" y="347415"/>
                                        <a:pt x="104775" y="347663"/>
                                      </a:cubicBezTo>
                                      <a:cubicBezTo>
                                        <a:pt x="113843" y="349174"/>
                                        <a:pt x="117644" y="350285"/>
                                        <a:pt x="126206" y="352425"/>
                                      </a:cubicBezTo>
                                      <a:cubicBezTo>
                                        <a:pt x="129381" y="351631"/>
                                        <a:pt x="132723" y="351333"/>
                                        <a:pt x="135731" y="350044"/>
                                      </a:cubicBezTo>
                                      <a:cubicBezTo>
                                        <a:pt x="138362" y="348917"/>
                                        <a:pt x="140315" y="346562"/>
                                        <a:pt x="142875" y="345282"/>
                                      </a:cubicBezTo>
                                      <a:cubicBezTo>
                                        <a:pt x="145120" y="344159"/>
                                        <a:pt x="147638" y="343694"/>
                                        <a:pt x="150019" y="342900"/>
                                      </a:cubicBezTo>
                                      <a:cubicBezTo>
                                        <a:pt x="157163" y="343694"/>
                                        <a:pt x="164346" y="344189"/>
                                        <a:pt x="171450" y="345282"/>
                                      </a:cubicBezTo>
                                      <a:cubicBezTo>
                                        <a:pt x="174685" y="345780"/>
                                        <a:pt x="177766" y="347021"/>
                                        <a:pt x="180975" y="347663"/>
                                      </a:cubicBezTo>
                                      <a:cubicBezTo>
                                        <a:pt x="185710" y="348610"/>
                                        <a:pt x="190500" y="349250"/>
                                        <a:pt x="195263" y="350044"/>
                                      </a:cubicBezTo>
                                      <a:cubicBezTo>
                                        <a:pt x="200181" y="349498"/>
                                        <a:pt x="218721" y="348406"/>
                                        <a:pt x="226219" y="345282"/>
                                      </a:cubicBezTo>
                                      <a:cubicBezTo>
                                        <a:pt x="271885" y="326255"/>
                                        <a:pt x="227461" y="341185"/>
                                        <a:pt x="254794" y="333375"/>
                                      </a:cubicBezTo>
                                      <a:cubicBezTo>
                                        <a:pt x="257208" y="332685"/>
                                        <a:pt x="259445" y="331287"/>
                                        <a:pt x="261938" y="330994"/>
                                      </a:cubicBezTo>
                                      <a:cubicBezTo>
                                        <a:pt x="273002" y="329692"/>
                                        <a:pt x="284163" y="329407"/>
                                        <a:pt x="295275" y="328613"/>
                                      </a:cubicBezTo>
                                      <a:cubicBezTo>
                                        <a:pt x="297656" y="326232"/>
                                        <a:pt x="299761" y="323537"/>
                                        <a:pt x="302419" y="321469"/>
                                      </a:cubicBezTo>
                                      <a:cubicBezTo>
                                        <a:pt x="308454" y="316775"/>
                                        <a:pt x="315811" y="311025"/>
                                        <a:pt x="323850" y="309563"/>
                                      </a:cubicBezTo>
                                      <a:cubicBezTo>
                                        <a:pt x="330146" y="308418"/>
                                        <a:pt x="336550" y="307976"/>
                                        <a:pt x="342900" y="307182"/>
                                      </a:cubicBezTo>
                                      <a:cubicBezTo>
                                        <a:pt x="348708" y="305245"/>
                                        <a:pt x="352574" y="304652"/>
                                        <a:pt x="357188" y="300038"/>
                                      </a:cubicBezTo>
                                      <a:cubicBezTo>
                                        <a:pt x="363155" y="294071"/>
                                        <a:pt x="359399" y="290934"/>
                                        <a:pt x="369094" y="290513"/>
                                      </a:cubicBezTo>
                                      <a:cubicBezTo>
                                        <a:pt x="403202" y="289030"/>
                                        <a:pt x="437357" y="288926"/>
                                        <a:pt x="471488" y="288132"/>
                                      </a:cubicBezTo>
                                      <a:cubicBezTo>
                                        <a:pt x="478492" y="278792"/>
                                        <a:pt x="478416" y="280984"/>
                                        <a:pt x="481013" y="271463"/>
                                      </a:cubicBezTo>
                                      <a:cubicBezTo>
                                        <a:pt x="482735" y="265148"/>
                                        <a:pt x="485775" y="252413"/>
                                        <a:pt x="485775" y="252413"/>
                                      </a:cubicBezTo>
                                      <a:cubicBezTo>
                                        <a:pt x="484981" y="247650"/>
                                        <a:pt x="484921" y="242706"/>
                                        <a:pt x="483394" y="238125"/>
                                      </a:cubicBezTo>
                                      <a:cubicBezTo>
                                        <a:pt x="482699" y="236041"/>
                                        <a:pt x="471653" y="221677"/>
                                        <a:pt x="471488" y="221457"/>
                                      </a:cubicBezTo>
                                      <a:cubicBezTo>
                                        <a:pt x="458231" y="181686"/>
                                        <a:pt x="470683" y="217064"/>
                                        <a:pt x="457200" y="183357"/>
                                      </a:cubicBezTo>
                                      <a:cubicBezTo>
                                        <a:pt x="456268" y="181026"/>
                                        <a:pt x="455808" y="178520"/>
                                        <a:pt x="454819" y="176213"/>
                                      </a:cubicBezTo>
                                      <a:cubicBezTo>
                                        <a:pt x="448903" y="162409"/>
                                        <a:pt x="449634" y="169757"/>
                                        <a:pt x="445294" y="152400"/>
                                      </a:cubicBezTo>
                                      <a:cubicBezTo>
                                        <a:pt x="443706" y="146050"/>
                                        <a:pt x="444162" y="138796"/>
                                        <a:pt x="440531" y="133350"/>
                                      </a:cubicBezTo>
                                      <a:lnTo>
                                        <a:pt x="431006" y="119063"/>
                                      </a:lnTo>
                                      <a:cubicBezTo>
                                        <a:pt x="433387" y="116682"/>
                                        <a:pt x="435084" y="113313"/>
                                        <a:pt x="438150" y="111919"/>
                                      </a:cubicBezTo>
                                      <a:cubicBezTo>
                                        <a:pt x="448125" y="107385"/>
                                        <a:pt x="463172" y="106720"/>
                                        <a:pt x="473869" y="104775"/>
                                      </a:cubicBezTo>
                                      <a:cubicBezTo>
                                        <a:pt x="490207" y="101804"/>
                                        <a:pt x="476931" y="103414"/>
                                        <a:pt x="490538" y="100013"/>
                                      </a:cubicBezTo>
                                      <a:cubicBezTo>
                                        <a:pt x="494464" y="99031"/>
                                        <a:pt x="498475" y="98426"/>
                                        <a:pt x="502444" y="97632"/>
                                      </a:cubicBezTo>
                                      <a:cubicBezTo>
                                        <a:pt x="509989" y="93859"/>
                                        <a:pt x="515312" y="91907"/>
                                        <a:pt x="521494" y="85725"/>
                                      </a:cubicBezTo>
                                      <a:cubicBezTo>
                                        <a:pt x="523517" y="83702"/>
                                        <a:pt x="524836" y="81067"/>
                                        <a:pt x="526256" y="78582"/>
                                      </a:cubicBezTo>
                                      <a:cubicBezTo>
                                        <a:pt x="530966" y="70341"/>
                                        <a:pt x="530728" y="69930"/>
                                        <a:pt x="533400" y="61913"/>
                                      </a:cubicBezTo>
                                      <a:cubicBezTo>
                                        <a:pt x="534194" y="53182"/>
                                        <a:pt x="532634" y="43902"/>
                                        <a:pt x="535781" y="35719"/>
                                      </a:cubicBezTo>
                                      <a:cubicBezTo>
                                        <a:pt x="537055" y="32406"/>
                                        <a:pt x="542043" y="32355"/>
                                        <a:pt x="545306" y="30957"/>
                                      </a:cubicBezTo>
                                      <a:cubicBezTo>
                                        <a:pt x="547613" y="29968"/>
                                        <a:pt x="550205" y="29698"/>
                                        <a:pt x="552450" y="28575"/>
                                      </a:cubicBezTo>
                                      <a:cubicBezTo>
                                        <a:pt x="568891" y="20355"/>
                                        <a:pt x="549300" y="26386"/>
                                        <a:pt x="569119" y="21432"/>
                                      </a:cubicBezTo>
                                      <a:cubicBezTo>
                                        <a:pt x="572850" y="19566"/>
                                        <a:pt x="582425" y="15270"/>
                                        <a:pt x="585788" y="11907"/>
                                      </a:cubicBezTo>
                                      <a:cubicBezTo>
                                        <a:pt x="597282" y="413"/>
                                        <a:pt x="584425" y="7825"/>
                                        <a:pt x="595313" y="2382"/>
                                      </a:cubicBezTo>
                                    </a:path>
                                  </a:pathLst>
                                </a:custGeom>
                                <a:noFill/>
                                <a:ln w="6350">
                                  <a:solidFill>
                                    <a:srgbClr val="69B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8236341" name="Forma libre: forma 988236341">
                                <a:extLst>
                                  <a:ext uri="{FF2B5EF4-FFF2-40B4-BE49-F238E27FC236}">
                                    <a16:creationId xmlns:a16="http://schemas.microsoft.com/office/drawing/2014/main" id="{7B636511-9354-CFD9-6074-2922FA2590BA}"/>
                                  </a:ext>
                                </a:extLst>
                              </wps:cNvPr>
                              <wps:cNvSpPr/>
                              <wps:spPr>
                                <a:xfrm>
                                  <a:off x="7131307" y="4329125"/>
                                  <a:ext cx="474532" cy="421823"/>
                                </a:xfrm>
                                <a:custGeom>
                                  <a:avLst/>
                                  <a:gdLst>
                                    <a:gd name="connsiteX0" fmla="*/ 469106 w 474532"/>
                                    <a:gd name="connsiteY0" fmla="*/ 421823 h 421823"/>
                                    <a:gd name="connsiteX1" fmla="*/ 473869 w 474532"/>
                                    <a:gd name="connsiteY1" fmla="*/ 331335 h 421823"/>
                                    <a:gd name="connsiteX2" fmla="*/ 459581 w 474532"/>
                                    <a:gd name="connsiteY2" fmla="*/ 300379 h 421823"/>
                                    <a:gd name="connsiteX3" fmla="*/ 445294 w 474532"/>
                                    <a:gd name="connsiteY3" fmla="*/ 281329 h 421823"/>
                                    <a:gd name="connsiteX4" fmla="*/ 440531 w 474532"/>
                                    <a:gd name="connsiteY4" fmla="*/ 274185 h 421823"/>
                                    <a:gd name="connsiteX5" fmla="*/ 421481 w 474532"/>
                                    <a:gd name="connsiteY5" fmla="*/ 252754 h 421823"/>
                                    <a:gd name="connsiteX6" fmla="*/ 416719 w 474532"/>
                                    <a:gd name="connsiteY6" fmla="*/ 221798 h 421823"/>
                                    <a:gd name="connsiteX7" fmla="*/ 414337 w 474532"/>
                                    <a:gd name="connsiteY7" fmla="*/ 214654 h 421823"/>
                                    <a:gd name="connsiteX8" fmla="*/ 411956 w 474532"/>
                                    <a:gd name="connsiteY8" fmla="*/ 200367 h 421823"/>
                                    <a:gd name="connsiteX9" fmla="*/ 409575 w 474532"/>
                                    <a:gd name="connsiteY9" fmla="*/ 159885 h 421823"/>
                                    <a:gd name="connsiteX10" fmla="*/ 404812 w 474532"/>
                                    <a:gd name="connsiteY10" fmla="*/ 152742 h 421823"/>
                                    <a:gd name="connsiteX11" fmla="*/ 390525 w 474532"/>
                                    <a:gd name="connsiteY11" fmla="*/ 147979 h 421823"/>
                                    <a:gd name="connsiteX12" fmla="*/ 371475 w 474532"/>
                                    <a:gd name="connsiteY12" fmla="*/ 143217 h 421823"/>
                                    <a:gd name="connsiteX13" fmla="*/ 323850 w 474532"/>
                                    <a:gd name="connsiteY13" fmla="*/ 145598 h 421823"/>
                                    <a:gd name="connsiteX14" fmla="*/ 311944 w 474532"/>
                                    <a:gd name="connsiteY14" fmla="*/ 155123 h 421823"/>
                                    <a:gd name="connsiteX15" fmla="*/ 300037 w 474532"/>
                                    <a:gd name="connsiteY15" fmla="*/ 157504 h 421823"/>
                                    <a:gd name="connsiteX16" fmla="*/ 266700 w 474532"/>
                                    <a:gd name="connsiteY16" fmla="*/ 155123 h 421823"/>
                                    <a:gd name="connsiteX17" fmla="*/ 257175 w 474532"/>
                                    <a:gd name="connsiteY17" fmla="*/ 140835 h 421823"/>
                                    <a:gd name="connsiteX18" fmla="*/ 245269 w 474532"/>
                                    <a:gd name="connsiteY18" fmla="*/ 126548 h 421823"/>
                                    <a:gd name="connsiteX19" fmla="*/ 235744 w 474532"/>
                                    <a:gd name="connsiteY19" fmla="*/ 121785 h 421823"/>
                                    <a:gd name="connsiteX20" fmla="*/ 221456 w 474532"/>
                                    <a:gd name="connsiteY20" fmla="*/ 112260 h 421823"/>
                                    <a:gd name="connsiteX21" fmla="*/ 207169 w 474532"/>
                                    <a:gd name="connsiteY21" fmla="*/ 102735 h 421823"/>
                                    <a:gd name="connsiteX22" fmla="*/ 195262 w 474532"/>
                                    <a:gd name="connsiteY22" fmla="*/ 95592 h 421823"/>
                                    <a:gd name="connsiteX23" fmla="*/ 190500 w 474532"/>
                                    <a:gd name="connsiteY23" fmla="*/ 88448 h 421823"/>
                                    <a:gd name="connsiteX24" fmla="*/ 171450 w 474532"/>
                                    <a:gd name="connsiteY24" fmla="*/ 78923 h 421823"/>
                                    <a:gd name="connsiteX25" fmla="*/ 164306 w 474532"/>
                                    <a:gd name="connsiteY25" fmla="*/ 74160 h 421823"/>
                                    <a:gd name="connsiteX26" fmla="*/ 154781 w 474532"/>
                                    <a:gd name="connsiteY26" fmla="*/ 59873 h 421823"/>
                                    <a:gd name="connsiteX27" fmla="*/ 150019 w 474532"/>
                                    <a:gd name="connsiteY27" fmla="*/ 52729 h 421823"/>
                                    <a:gd name="connsiteX28" fmla="*/ 130969 w 474532"/>
                                    <a:gd name="connsiteY28" fmla="*/ 43204 h 421823"/>
                                    <a:gd name="connsiteX29" fmla="*/ 119062 w 474532"/>
                                    <a:gd name="connsiteY29" fmla="*/ 40823 h 421823"/>
                                    <a:gd name="connsiteX30" fmla="*/ 109537 w 474532"/>
                                    <a:gd name="connsiteY30" fmla="*/ 38442 h 421823"/>
                                    <a:gd name="connsiteX31" fmla="*/ 83344 w 474532"/>
                                    <a:gd name="connsiteY31" fmla="*/ 36060 h 421823"/>
                                    <a:gd name="connsiteX32" fmla="*/ 73819 w 474532"/>
                                    <a:gd name="connsiteY32" fmla="*/ 33679 h 421823"/>
                                    <a:gd name="connsiteX33" fmla="*/ 59531 w 474532"/>
                                    <a:gd name="connsiteY33" fmla="*/ 31298 h 421823"/>
                                    <a:gd name="connsiteX34" fmla="*/ 47625 w 474532"/>
                                    <a:gd name="connsiteY34" fmla="*/ 28917 h 421823"/>
                                    <a:gd name="connsiteX35" fmla="*/ 38100 w 474532"/>
                                    <a:gd name="connsiteY35" fmla="*/ 24154 h 421823"/>
                                    <a:gd name="connsiteX36" fmla="*/ 23812 w 474532"/>
                                    <a:gd name="connsiteY36" fmla="*/ 19392 h 421823"/>
                                    <a:gd name="connsiteX37" fmla="*/ 9525 w 474532"/>
                                    <a:gd name="connsiteY37" fmla="*/ 342 h 421823"/>
                                    <a:gd name="connsiteX38" fmla="*/ 0 w 474532"/>
                                    <a:gd name="connsiteY38" fmla="*/ 342 h 421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74532" h="421823">
                                      <a:moveTo>
                                        <a:pt x="469106" y="421823"/>
                                      </a:moveTo>
                                      <a:cubicBezTo>
                                        <a:pt x="474928" y="386888"/>
                                        <a:pt x="475212" y="389101"/>
                                        <a:pt x="473869" y="331335"/>
                                      </a:cubicBezTo>
                                      <a:cubicBezTo>
                                        <a:pt x="473234" y="304031"/>
                                        <a:pt x="475138" y="308158"/>
                                        <a:pt x="459581" y="300379"/>
                                      </a:cubicBezTo>
                                      <a:cubicBezTo>
                                        <a:pt x="454819" y="294029"/>
                                        <a:pt x="449697" y="287933"/>
                                        <a:pt x="445294" y="281329"/>
                                      </a:cubicBezTo>
                                      <a:cubicBezTo>
                                        <a:pt x="443706" y="278948"/>
                                        <a:pt x="442432" y="276324"/>
                                        <a:pt x="440531" y="274185"/>
                                      </a:cubicBezTo>
                                      <a:cubicBezTo>
                                        <a:pt x="418783" y="249718"/>
                                        <a:pt x="432291" y="268968"/>
                                        <a:pt x="421481" y="252754"/>
                                      </a:cubicBezTo>
                                      <a:cubicBezTo>
                                        <a:pt x="415749" y="235557"/>
                                        <a:pt x="421983" y="256007"/>
                                        <a:pt x="416719" y="221798"/>
                                      </a:cubicBezTo>
                                      <a:cubicBezTo>
                                        <a:pt x="416337" y="219317"/>
                                        <a:pt x="415131" y="217035"/>
                                        <a:pt x="414337" y="214654"/>
                                      </a:cubicBezTo>
                                      <a:cubicBezTo>
                                        <a:pt x="413543" y="209892"/>
                                        <a:pt x="412374" y="205177"/>
                                        <a:pt x="411956" y="200367"/>
                                      </a:cubicBezTo>
                                      <a:cubicBezTo>
                                        <a:pt x="410785" y="186900"/>
                                        <a:pt x="411580" y="173253"/>
                                        <a:pt x="409575" y="159885"/>
                                      </a:cubicBezTo>
                                      <a:cubicBezTo>
                                        <a:pt x="409150" y="157055"/>
                                        <a:pt x="407239" y="154259"/>
                                        <a:pt x="404812" y="152742"/>
                                      </a:cubicBezTo>
                                      <a:cubicBezTo>
                                        <a:pt x="400555" y="150081"/>
                                        <a:pt x="395395" y="149196"/>
                                        <a:pt x="390525" y="147979"/>
                                      </a:cubicBezTo>
                                      <a:lnTo>
                                        <a:pt x="371475" y="143217"/>
                                      </a:lnTo>
                                      <a:cubicBezTo>
                                        <a:pt x="355600" y="144011"/>
                                        <a:pt x="339685" y="144221"/>
                                        <a:pt x="323850" y="145598"/>
                                      </a:cubicBezTo>
                                      <a:cubicBezTo>
                                        <a:pt x="308656" y="146919"/>
                                        <a:pt x="324181" y="148131"/>
                                        <a:pt x="311944" y="155123"/>
                                      </a:cubicBezTo>
                                      <a:cubicBezTo>
                                        <a:pt x="308430" y="157131"/>
                                        <a:pt x="304006" y="156710"/>
                                        <a:pt x="300037" y="157504"/>
                                      </a:cubicBezTo>
                                      <a:cubicBezTo>
                                        <a:pt x="288925" y="156710"/>
                                        <a:pt x="277544" y="157675"/>
                                        <a:pt x="266700" y="155123"/>
                                      </a:cubicBezTo>
                                      <a:cubicBezTo>
                                        <a:pt x="259025" y="153317"/>
                                        <a:pt x="259694" y="145872"/>
                                        <a:pt x="257175" y="140835"/>
                                      </a:cubicBezTo>
                                      <a:cubicBezTo>
                                        <a:pt x="254856" y="136197"/>
                                        <a:pt x="249362" y="129472"/>
                                        <a:pt x="245269" y="126548"/>
                                      </a:cubicBezTo>
                                      <a:cubicBezTo>
                                        <a:pt x="242380" y="124485"/>
                                        <a:pt x="238788" y="123611"/>
                                        <a:pt x="235744" y="121785"/>
                                      </a:cubicBezTo>
                                      <a:cubicBezTo>
                                        <a:pt x="230836" y="118840"/>
                                        <a:pt x="226219" y="115435"/>
                                        <a:pt x="221456" y="112260"/>
                                      </a:cubicBezTo>
                                      <a:cubicBezTo>
                                        <a:pt x="216694" y="109085"/>
                                        <a:pt x="212077" y="105679"/>
                                        <a:pt x="207169" y="102735"/>
                                      </a:cubicBezTo>
                                      <a:lnTo>
                                        <a:pt x="195262" y="95592"/>
                                      </a:lnTo>
                                      <a:cubicBezTo>
                                        <a:pt x="193675" y="93211"/>
                                        <a:pt x="192845" y="90089"/>
                                        <a:pt x="190500" y="88448"/>
                                      </a:cubicBezTo>
                                      <a:cubicBezTo>
                                        <a:pt x="184684" y="84377"/>
                                        <a:pt x="177357" y="82861"/>
                                        <a:pt x="171450" y="78923"/>
                                      </a:cubicBezTo>
                                      <a:lnTo>
                                        <a:pt x="164306" y="74160"/>
                                      </a:lnTo>
                                      <a:lnTo>
                                        <a:pt x="154781" y="59873"/>
                                      </a:lnTo>
                                      <a:cubicBezTo>
                                        <a:pt x="153194" y="57492"/>
                                        <a:pt x="152579" y="54009"/>
                                        <a:pt x="150019" y="52729"/>
                                      </a:cubicBezTo>
                                      <a:cubicBezTo>
                                        <a:pt x="143669" y="49554"/>
                                        <a:pt x="137931" y="44596"/>
                                        <a:pt x="130969" y="43204"/>
                                      </a:cubicBezTo>
                                      <a:cubicBezTo>
                                        <a:pt x="127000" y="42410"/>
                                        <a:pt x="123013" y="41701"/>
                                        <a:pt x="119062" y="40823"/>
                                      </a:cubicBezTo>
                                      <a:cubicBezTo>
                                        <a:pt x="115867" y="40113"/>
                                        <a:pt x="112781" y="38875"/>
                                        <a:pt x="109537" y="38442"/>
                                      </a:cubicBezTo>
                                      <a:cubicBezTo>
                                        <a:pt x="100847" y="37283"/>
                                        <a:pt x="92075" y="36854"/>
                                        <a:pt x="83344" y="36060"/>
                                      </a:cubicBezTo>
                                      <a:cubicBezTo>
                                        <a:pt x="80169" y="35266"/>
                                        <a:pt x="77028" y="34321"/>
                                        <a:pt x="73819" y="33679"/>
                                      </a:cubicBezTo>
                                      <a:cubicBezTo>
                                        <a:pt x="69084" y="32732"/>
                                        <a:pt x="64281" y="32162"/>
                                        <a:pt x="59531" y="31298"/>
                                      </a:cubicBezTo>
                                      <a:cubicBezTo>
                                        <a:pt x="55549" y="30574"/>
                                        <a:pt x="51594" y="29711"/>
                                        <a:pt x="47625" y="28917"/>
                                      </a:cubicBezTo>
                                      <a:cubicBezTo>
                                        <a:pt x="44450" y="27329"/>
                                        <a:pt x="41396" y="25472"/>
                                        <a:pt x="38100" y="24154"/>
                                      </a:cubicBezTo>
                                      <a:cubicBezTo>
                                        <a:pt x="33439" y="22290"/>
                                        <a:pt x="27362" y="22942"/>
                                        <a:pt x="23812" y="19392"/>
                                      </a:cubicBezTo>
                                      <a:cubicBezTo>
                                        <a:pt x="8839" y="4419"/>
                                        <a:pt x="29966" y="5452"/>
                                        <a:pt x="9525" y="342"/>
                                      </a:cubicBezTo>
                                      <a:cubicBezTo>
                                        <a:pt x="6445" y="-428"/>
                                        <a:pt x="3175" y="342"/>
                                        <a:pt x="0" y="342"/>
                                      </a:cubicBezTo>
                                    </a:path>
                                  </a:pathLst>
                                </a:custGeom>
                                <a:noFill/>
                                <a:ln w="6350">
                                  <a:solidFill>
                                    <a:srgbClr val="69B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26300420" name="Proceso 124">
                              <a:extLst>
                                <a:ext uri="{FF2B5EF4-FFF2-40B4-BE49-F238E27FC236}">
                                  <a16:creationId xmlns:a16="http://schemas.microsoft.com/office/drawing/2014/main" id="{361C084C-A29B-7492-13C6-C0A02AEBA8E0}"/>
                                </a:ext>
                              </a:extLst>
                            </wps:cNvPr>
                            <wps:cNvSpPr/>
                            <wps:spPr>
                              <a:xfrm>
                                <a:off x="6831693" y="4006628"/>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136CB2FE"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AE</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281173800" name="Proceso 124">
                              <a:extLst>
                                <a:ext uri="{FF2B5EF4-FFF2-40B4-BE49-F238E27FC236}">
                                  <a16:creationId xmlns:a16="http://schemas.microsoft.com/office/drawing/2014/main" id="{862C3FB8-0917-6353-04C9-919CBD3F8E49}"/>
                                </a:ext>
                              </a:extLst>
                            </wps:cNvPr>
                            <wps:cNvSpPr/>
                            <wps:spPr>
                              <a:xfrm>
                                <a:off x="7397157" y="4127550"/>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4C1B746B"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AIR</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745434117" name="Proceso 124">
                              <a:extLst>
                                <a:ext uri="{FF2B5EF4-FFF2-40B4-BE49-F238E27FC236}">
                                  <a16:creationId xmlns:a16="http://schemas.microsoft.com/office/drawing/2014/main" id="{3ED68E86-9D23-EDDA-73DE-9FDD45ADFA9D}"/>
                                </a:ext>
                              </a:extLst>
                            </wps:cNvPr>
                            <wps:cNvSpPr/>
                            <wps:spPr>
                              <a:xfrm>
                                <a:off x="6664988" y="4348500"/>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544E04E9"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w:t>
                                  </w:r>
                                </w:p>
                              </w:txbxContent>
                            </wps:txbx>
                            <wps:bodyPr rot="0" spcFirstLastPara="0" vert="horz" wrap="square" lIns="27000" tIns="0" rIns="27000" bIns="0" numCol="1" spcCol="0" rtlCol="0" fromWordArt="0" anchor="ctr" anchorCtr="0" forceAA="0" compatLnSpc="1">
                              <a:prstTxWarp prst="textNoShape">
                                <a:avLst/>
                              </a:prstTxWarp>
                              <a:noAutofit/>
                            </wps:bodyPr>
                          </wps:wsp>
                        </wpg:grpSp>
                        <wpg:grpSp>
                          <wpg:cNvPr id="360966875" name="Grupo 360966875">
                            <a:extLst>
                              <a:ext uri="{FF2B5EF4-FFF2-40B4-BE49-F238E27FC236}">
                                <a16:creationId xmlns:a16="http://schemas.microsoft.com/office/drawing/2014/main" id="{015D73B5-7DEB-59B7-8F41-F61738A10450}"/>
                              </a:ext>
                            </a:extLst>
                          </wpg:cNvPr>
                          <wpg:cNvGrpSpPr/>
                          <wpg:grpSpPr>
                            <a:xfrm>
                              <a:off x="4849110" y="5174098"/>
                              <a:ext cx="1440000" cy="828998"/>
                              <a:chOff x="4849110" y="5174098"/>
                              <a:chExt cx="1440000" cy="828998"/>
                            </a:xfrm>
                          </wpg:grpSpPr>
                          <wpg:grpSp>
                            <wpg:cNvPr id="728685058" name="Grupo 728685058">
                              <a:extLst>
                                <a:ext uri="{FF2B5EF4-FFF2-40B4-BE49-F238E27FC236}">
                                  <a16:creationId xmlns:a16="http://schemas.microsoft.com/office/drawing/2014/main" id="{47BBC268-FF0B-1AA3-0848-5534FCD80985}"/>
                                </a:ext>
                              </a:extLst>
                            </wpg:cNvPr>
                            <wpg:cNvGrpSpPr/>
                            <wpg:grpSpPr>
                              <a:xfrm>
                                <a:off x="4849110" y="5282331"/>
                                <a:ext cx="1440000" cy="720765"/>
                                <a:chOff x="4849110" y="5282331"/>
                                <a:chExt cx="1440000" cy="720765"/>
                              </a:xfrm>
                            </wpg:grpSpPr>
                            <wps:wsp>
                              <wps:cNvPr id="82975513" name="Proceso 124">
                                <a:extLst>
                                  <a:ext uri="{FF2B5EF4-FFF2-40B4-BE49-F238E27FC236}">
                                    <a16:creationId xmlns:a16="http://schemas.microsoft.com/office/drawing/2014/main" id="{BE83C532-A35B-5D61-5720-B01F7852DE1D}"/>
                                  </a:ext>
                                </a:extLst>
                              </wps:cNvPr>
                              <wps:cNvSpPr/>
                              <wps:spPr>
                                <a:xfrm>
                                  <a:off x="4849110" y="5283097"/>
                                  <a:ext cx="1440000" cy="719999"/>
                                </a:xfrm>
                                <a:prstGeom prst="flowChartProcess">
                                  <a:avLst/>
                                </a:prstGeom>
                                <a:noFill/>
                                <a:ln w="3175">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27000" tIns="0" rIns="27000" bIns="0" numCol="1" spcCol="0" rtlCol="0" fromWordArt="0" anchor="ctr" anchorCtr="0" forceAA="0" compatLnSpc="1">
                                <a:prstTxWarp prst="textNoShape">
                                  <a:avLst/>
                                </a:prstTxWarp>
                                <a:noAutofit/>
                              </wps:bodyPr>
                            </wps:wsp>
                            <wps:wsp>
                              <wps:cNvPr id="1199657517" name="Forma libre: forma 1199657517">
                                <a:extLst>
                                  <a:ext uri="{FF2B5EF4-FFF2-40B4-BE49-F238E27FC236}">
                                    <a16:creationId xmlns:a16="http://schemas.microsoft.com/office/drawing/2014/main" id="{32A0D1F8-6403-3082-3ECA-73A33FF885D0}"/>
                                  </a:ext>
                                </a:extLst>
                              </wps:cNvPr>
                              <wps:cNvSpPr/>
                              <wps:spPr>
                                <a:xfrm>
                                  <a:off x="5223307" y="5282331"/>
                                  <a:ext cx="595313" cy="348861"/>
                                </a:xfrm>
                                <a:custGeom>
                                  <a:avLst/>
                                  <a:gdLst>
                                    <a:gd name="connsiteX0" fmla="*/ 16669 w 595313"/>
                                    <a:gd name="connsiteY0" fmla="*/ 0 h 352425"/>
                                    <a:gd name="connsiteX1" fmla="*/ 14288 w 595313"/>
                                    <a:gd name="connsiteY1" fmla="*/ 42863 h 352425"/>
                                    <a:gd name="connsiteX2" fmla="*/ 11906 w 595313"/>
                                    <a:gd name="connsiteY2" fmla="*/ 54769 h 352425"/>
                                    <a:gd name="connsiteX3" fmla="*/ 9525 w 595313"/>
                                    <a:gd name="connsiteY3" fmla="*/ 71438 h 352425"/>
                                    <a:gd name="connsiteX4" fmla="*/ 7144 w 595313"/>
                                    <a:gd name="connsiteY4" fmla="*/ 85725 h 352425"/>
                                    <a:gd name="connsiteX5" fmla="*/ 4763 w 595313"/>
                                    <a:gd name="connsiteY5" fmla="*/ 111919 h 352425"/>
                                    <a:gd name="connsiteX6" fmla="*/ 2381 w 595313"/>
                                    <a:gd name="connsiteY6" fmla="*/ 123825 h 352425"/>
                                    <a:gd name="connsiteX7" fmla="*/ 0 w 595313"/>
                                    <a:gd name="connsiteY7" fmla="*/ 138113 h 352425"/>
                                    <a:gd name="connsiteX8" fmla="*/ 7144 w 595313"/>
                                    <a:gd name="connsiteY8" fmla="*/ 228600 h 352425"/>
                                    <a:gd name="connsiteX9" fmla="*/ 9525 w 595313"/>
                                    <a:gd name="connsiteY9" fmla="*/ 238125 h 352425"/>
                                    <a:gd name="connsiteX10" fmla="*/ 21431 w 595313"/>
                                    <a:gd name="connsiteY10" fmla="*/ 252413 h 352425"/>
                                    <a:gd name="connsiteX11" fmla="*/ 26194 w 595313"/>
                                    <a:gd name="connsiteY11" fmla="*/ 259557 h 352425"/>
                                    <a:gd name="connsiteX12" fmla="*/ 45244 w 595313"/>
                                    <a:gd name="connsiteY12" fmla="*/ 271463 h 352425"/>
                                    <a:gd name="connsiteX13" fmla="*/ 50006 w 595313"/>
                                    <a:gd name="connsiteY13" fmla="*/ 278607 h 352425"/>
                                    <a:gd name="connsiteX14" fmla="*/ 64294 w 595313"/>
                                    <a:gd name="connsiteY14" fmla="*/ 285750 h 352425"/>
                                    <a:gd name="connsiteX15" fmla="*/ 69056 w 595313"/>
                                    <a:gd name="connsiteY15" fmla="*/ 307182 h 352425"/>
                                    <a:gd name="connsiteX16" fmla="*/ 73819 w 595313"/>
                                    <a:gd name="connsiteY16" fmla="*/ 335757 h 352425"/>
                                    <a:gd name="connsiteX17" fmla="*/ 80963 w 595313"/>
                                    <a:gd name="connsiteY17" fmla="*/ 342900 h 352425"/>
                                    <a:gd name="connsiteX18" fmla="*/ 104775 w 595313"/>
                                    <a:gd name="connsiteY18" fmla="*/ 347663 h 352425"/>
                                    <a:gd name="connsiteX19" fmla="*/ 126206 w 595313"/>
                                    <a:gd name="connsiteY19" fmla="*/ 352425 h 352425"/>
                                    <a:gd name="connsiteX20" fmla="*/ 135731 w 595313"/>
                                    <a:gd name="connsiteY20" fmla="*/ 350044 h 352425"/>
                                    <a:gd name="connsiteX21" fmla="*/ 142875 w 595313"/>
                                    <a:gd name="connsiteY21" fmla="*/ 345282 h 352425"/>
                                    <a:gd name="connsiteX22" fmla="*/ 150019 w 595313"/>
                                    <a:gd name="connsiteY22" fmla="*/ 342900 h 352425"/>
                                    <a:gd name="connsiteX23" fmla="*/ 171450 w 595313"/>
                                    <a:gd name="connsiteY23" fmla="*/ 345282 h 352425"/>
                                    <a:gd name="connsiteX24" fmla="*/ 180975 w 595313"/>
                                    <a:gd name="connsiteY24" fmla="*/ 347663 h 352425"/>
                                    <a:gd name="connsiteX25" fmla="*/ 195263 w 595313"/>
                                    <a:gd name="connsiteY25" fmla="*/ 350044 h 352425"/>
                                    <a:gd name="connsiteX26" fmla="*/ 226219 w 595313"/>
                                    <a:gd name="connsiteY26" fmla="*/ 345282 h 352425"/>
                                    <a:gd name="connsiteX27" fmla="*/ 254794 w 595313"/>
                                    <a:gd name="connsiteY27" fmla="*/ 333375 h 352425"/>
                                    <a:gd name="connsiteX28" fmla="*/ 261938 w 595313"/>
                                    <a:gd name="connsiteY28" fmla="*/ 330994 h 352425"/>
                                    <a:gd name="connsiteX29" fmla="*/ 295275 w 595313"/>
                                    <a:gd name="connsiteY29" fmla="*/ 328613 h 352425"/>
                                    <a:gd name="connsiteX30" fmla="*/ 302419 w 595313"/>
                                    <a:gd name="connsiteY30" fmla="*/ 321469 h 352425"/>
                                    <a:gd name="connsiteX31" fmla="*/ 323850 w 595313"/>
                                    <a:gd name="connsiteY31" fmla="*/ 309563 h 352425"/>
                                    <a:gd name="connsiteX32" fmla="*/ 342900 w 595313"/>
                                    <a:gd name="connsiteY32" fmla="*/ 307182 h 352425"/>
                                    <a:gd name="connsiteX33" fmla="*/ 357188 w 595313"/>
                                    <a:gd name="connsiteY33" fmla="*/ 300038 h 352425"/>
                                    <a:gd name="connsiteX34" fmla="*/ 369094 w 595313"/>
                                    <a:gd name="connsiteY34" fmla="*/ 290513 h 352425"/>
                                    <a:gd name="connsiteX35" fmla="*/ 471488 w 595313"/>
                                    <a:gd name="connsiteY35" fmla="*/ 288132 h 352425"/>
                                    <a:gd name="connsiteX36" fmla="*/ 481013 w 595313"/>
                                    <a:gd name="connsiteY36" fmla="*/ 271463 h 352425"/>
                                    <a:gd name="connsiteX37" fmla="*/ 485775 w 595313"/>
                                    <a:gd name="connsiteY37" fmla="*/ 252413 h 352425"/>
                                    <a:gd name="connsiteX38" fmla="*/ 483394 w 595313"/>
                                    <a:gd name="connsiteY38" fmla="*/ 238125 h 352425"/>
                                    <a:gd name="connsiteX39" fmla="*/ 471488 w 595313"/>
                                    <a:gd name="connsiteY39" fmla="*/ 221457 h 352425"/>
                                    <a:gd name="connsiteX40" fmla="*/ 457200 w 595313"/>
                                    <a:gd name="connsiteY40" fmla="*/ 183357 h 352425"/>
                                    <a:gd name="connsiteX41" fmla="*/ 454819 w 595313"/>
                                    <a:gd name="connsiteY41" fmla="*/ 176213 h 352425"/>
                                    <a:gd name="connsiteX42" fmla="*/ 445294 w 595313"/>
                                    <a:gd name="connsiteY42" fmla="*/ 152400 h 352425"/>
                                    <a:gd name="connsiteX43" fmla="*/ 440531 w 595313"/>
                                    <a:gd name="connsiteY43" fmla="*/ 133350 h 352425"/>
                                    <a:gd name="connsiteX44" fmla="*/ 431006 w 595313"/>
                                    <a:gd name="connsiteY44" fmla="*/ 119063 h 352425"/>
                                    <a:gd name="connsiteX45" fmla="*/ 438150 w 595313"/>
                                    <a:gd name="connsiteY45" fmla="*/ 111919 h 352425"/>
                                    <a:gd name="connsiteX46" fmla="*/ 473869 w 595313"/>
                                    <a:gd name="connsiteY46" fmla="*/ 104775 h 352425"/>
                                    <a:gd name="connsiteX47" fmla="*/ 490538 w 595313"/>
                                    <a:gd name="connsiteY47" fmla="*/ 100013 h 352425"/>
                                    <a:gd name="connsiteX48" fmla="*/ 502444 w 595313"/>
                                    <a:gd name="connsiteY48" fmla="*/ 97632 h 352425"/>
                                    <a:gd name="connsiteX49" fmla="*/ 521494 w 595313"/>
                                    <a:gd name="connsiteY49" fmla="*/ 85725 h 352425"/>
                                    <a:gd name="connsiteX50" fmla="*/ 526256 w 595313"/>
                                    <a:gd name="connsiteY50" fmla="*/ 78582 h 352425"/>
                                    <a:gd name="connsiteX51" fmla="*/ 533400 w 595313"/>
                                    <a:gd name="connsiteY51" fmla="*/ 61913 h 352425"/>
                                    <a:gd name="connsiteX52" fmla="*/ 535781 w 595313"/>
                                    <a:gd name="connsiteY52" fmla="*/ 35719 h 352425"/>
                                    <a:gd name="connsiteX53" fmla="*/ 545306 w 595313"/>
                                    <a:gd name="connsiteY53" fmla="*/ 30957 h 352425"/>
                                    <a:gd name="connsiteX54" fmla="*/ 552450 w 595313"/>
                                    <a:gd name="connsiteY54" fmla="*/ 28575 h 352425"/>
                                    <a:gd name="connsiteX55" fmla="*/ 569119 w 595313"/>
                                    <a:gd name="connsiteY55" fmla="*/ 21432 h 352425"/>
                                    <a:gd name="connsiteX56" fmla="*/ 585788 w 595313"/>
                                    <a:gd name="connsiteY56" fmla="*/ 11907 h 352425"/>
                                    <a:gd name="connsiteX57" fmla="*/ 595313 w 595313"/>
                                    <a:gd name="connsiteY57" fmla="*/ 2382 h 35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95313" h="352425">
                                      <a:moveTo>
                                        <a:pt x="16669" y="0"/>
                                      </a:moveTo>
                                      <a:cubicBezTo>
                                        <a:pt x="15875" y="14288"/>
                                        <a:pt x="15528" y="28607"/>
                                        <a:pt x="14288" y="42863"/>
                                      </a:cubicBezTo>
                                      <a:cubicBezTo>
                                        <a:pt x="13937" y="46895"/>
                                        <a:pt x="12571" y="50777"/>
                                        <a:pt x="11906" y="54769"/>
                                      </a:cubicBezTo>
                                      <a:cubicBezTo>
                                        <a:pt x="10983" y="60305"/>
                                        <a:pt x="10378" y="65891"/>
                                        <a:pt x="9525" y="71438"/>
                                      </a:cubicBezTo>
                                      <a:cubicBezTo>
                                        <a:pt x="8791" y="76210"/>
                                        <a:pt x="7708" y="80930"/>
                                        <a:pt x="7144" y="85725"/>
                                      </a:cubicBezTo>
                                      <a:cubicBezTo>
                                        <a:pt x="6120" y="94432"/>
                                        <a:pt x="5851" y="103219"/>
                                        <a:pt x="4763" y="111919"/>
                                      </a:cubicBezTo>
                                      <a:cubicBezTo>
                                        <a:pt x="4261" y="115935"/>
                                        <a:pt x="3105" y="119843"/>
                                        <a:pt x="2381" y="123825"/>
                                      </a:cubicBezTo>
                                      <a:cubicBezTo>
                                        <a:pt x="1517" y="128575"/>
                                        <a:pt x="794" y="133350"/>
                                        <a:pt x="0" y="138113"/>
                                      </a:cubicBezTo>
                                      <a:cubicBezTo>
                                        <a:pt x="1918" y="168795"/>
                                        <a:pt x="1176" y="198759"/>
                                        <a:pt x="7144" y="228600"/>
                                      </a:cubicBezTo>
                                      <a:cubicBezTo>
                                        <a:pt x="7786" y="231809"/>
                                        <a:pt x="8236" y="235117"/>
                                        <a:pt x="9525" y="238125"/>
                                      </a:cubicBezTo>
                                      <a:cubicBezTo>
                                        <a:pt x="12654" y="245426"/>
                                        <a:pt x="16385" y="246357"/>
                                        <a:pt x="21431" y="252413"/>
                                      </a:cubicBezTo>
                                      <a:cubicBezTo>
                                        <a:pt x="23263" y="254612"/>
                                        <a:pt x="23959" y="257769"/>
                                        <a:pt x="26194" y="259557"/>
                                      </a:cubicBezTo>
                                      <a:cubicBezTo>
                                        <a:pt x="32041" y="264235"/>
                                        <a:pt x="45244" y="271463"/>
                                        <a:pt x="45244" y="271463"/>
                                      </a:cubicBezTo>
                                      <a:cubicBezTo>
                                        <a:pt x="46831" y="273844"/>
                                        <a:pt x="47982" y="276583"/>
                                        <a:pt x="50006" y="278607"/>
                                      </a:cubicBezTo>
                                      <a:cubicBezTo>
                                        <a:pt x="54621" y="283222"/>
                                        <a:pt x="58485" y="283814"/>
                                        <a:pt x="64294" y="285750"/>
                                      </a:cubicBezTo>
                                      <a:cubicBezTo>
                                        <a:pt x="66191" y="293339"/>
                                        <a:pt x="67846" y="299317"/>
                                        <a:pt x="69056" y="307182"/>
                                      </a:cubicBezTo>
                                      <a:cubicBezTo>
                                        <a:pt x="69079" y="307334"/>
                                        <a:pt x="71300" y="331349"/>
                                        <a:pt x="73819" y="335757"/>
                                      </a:cubicBezTo>
                                      <a:cubicBezTo>
                                        <a:pt x="75490" y="338681"/>
                                        <a:pt x="78161" y="341032"/>
                                        <a:pt x="80963" y="342900"/>
                                      </a:cubicBezTo>
                                      <a:cubicBezTo>
                                        <a:pt x="85530" y="345945"/>
                                        <a:pt x="103288" y="347415"/>
                                        <a:pt x="104775" y="347663"/>
                                      </a:cubicBezTo>
                                      <a:cubicBezTo>
                                        <a:pt x="113843" y="349174"/>
                                        <a:pt x="117644" y="350285"/>
                                        <a:pt x="126206" y="352425"/>
                                      </a:cubicBezTo>
                                      <a:cubicBezTo>
                                        <a:pt x="129381" y="351631"/>
                                        <a:pt x="132723" y="351333"/>
                                        <a:pt x="135731" y="350044"/>
                                      </a:cubicBezTo>
                                      <a:cubicBezTo>
                                        <a:pt x="138362" y="348917"/>
                                        <a:pt x="140315" y="346562"/>
                                        <a:pt x="142875" y="345282"/>
                                      </a:cubicBezTo>
                                      <a:cubicBezTo>
                                        <a:pt x="145120" y="344159"/>
                                        <a:pt x="147638" y="343694"/>
                                        <a:pt x="150019" y="342900"/>
                                      </a:cubicBezTo>
                                      <a:cubicBezTo>
                                        <a:pt x="157163" y="343694"/>
                                        <a:pt x="164346" y="344189"/>
                                        <a:pt x="171450" y="345282"/>
                                      </a:cubicBezTo>
                                      <a:cubicBezTo>
                                        <a:pt x="174685" y="345780"/>
                                        <a:pt x="177766" y="347021"/>
                                        <a:pt x="180975" y="347663"/>
                                      </a:cubicBezTo>
                                      <a:cubicBezTo>
                                        <a:pt x="185710" y="348610"/>
                                        <a:pt x="190500" y="349250"/>
                                        <a:pt x="195263" y="350044"/>
                                      </a:cubicBezTo>
                                      <a:cubicBezTo>
                                        <a:pt x="200181" y="349498"/>
                                        <a:pt x="218721" y="348406"/>
                                        <a:pt x="226219" y="345282"/>
                                      </a:cubicBezTo>
                                      <a:cubicBezTo>
                                        <a:pt x="271885" y="326255"/>
                                        <a:pt x="227461" y="341185"/>
                                        <a:pt x="254794" y="333375"/>
                                      </a:cubicBezTo>
                                      <a:cubicBezTo>
                                        <a:pt x="257208" y="332685"/>
                                        <a:pt x="259445" y="331287"/>
                                        <a:pt x="261938" y="330994"/>
                                      </a:cubicBezTo>
                                      <a:cubicBezTo>
                                        <a:pt x="273002" y="329692"/>
                                        <a:pt x="284163" y="329407"/>
                                        <a:pt x="295275" y="328613"/>
                                      </a:cubicBezTo>
                                      <a:cubicBezTo>
                                        <a:pt x="297656" y="326232"/>
                                        <a:pt x="299761" y="323537"/>
                                        <a:pt x="302419" y="321469"/>
                                      </a:cubicBezTo>
                                      <a:cubicBezTo>
                                        <a:pt x="308454" y="316775"/>
                                        <a:pt x="315811" y="311025"/>
                                        <a:pt x="323850" y="309563"/>
                                      </a:cubicBezTo>
                                      <a:cubicBezTo>
                                        <a:pt x="330146" y="308418"/>
                                        <a:pt x="336550" y="307976"/>
                                        <a:pt x="342900" y="307182"/>
                                      </a:cubicBezTo>
                                      <a:cubicBezTo>
                                        <a:pt x="348708" y="305245"/>
                                        <a:pt x="352574" y="304652"/>
                                        <a:pt x="357188" y="300038"/>
                                      </a:cubicBezTo>
                                      <a:cubicBezTo>
                                        <a:pt x="363155" y="294071"/>
                                        <a:pt x="359399" y="290934"/>
                                        <a:pt x="369094" y="290513"/>
                                      </a:cubicBezTo>
                                      <a:cubicBezTo>
                                        <a:pt x="403202" y="289030"/>
                                        <a:pt x="437357" y="288926"/>
                                        <a:pt x="471488" y="288132"/>
                                      </a:cubicBezTo>
                                      <a:cubicBezTo>
                                        <a:pt x="478492" y="278792"/>
                                        <a:pt x="478416" y="280984"/>
                                        <a:pt x="481013" y="271463"/>
                                      </a:cubicBezTo>
                                      <a:cubicBezTo>
                                        <a:pt x="482735" y="265148"/>
                                        <a:pt x="485775" y="252413"/>
                                        <a:pt x="485775" y="252413"/>
                                      </a:cubicBezTo>
                                      <a:cubicBezTo>
                                        <a:pt x="484981" y="247650"/>
                                        <a:pt x="484921" y="242706"/>
                                        <a:pt x="483394" y="238125"/>
                                      </a:cubicBezTo>
                                      <a:cubicBezTo>
                                        <a:pt x="482699" y="236041"/>
                                        <a:pt x="471653" y="221677"/>
                                        <a:pt x="471488" y="221457"/>
                                      </a:cubicBezTo>
                                      <a:cubicBezTo>
                                        <a:pt x="458231" y="181686"/>
                                        <a:pt x="470683" y="217064"/>
                                        <a:pt x="457200" y="183357"/>
                                      </a:cubicBezTo>
                                      <a:cubicBezTo>
                                        <a:pt x="456268" y="181026"/>
                                        <a:pt x="455808" y="178520"/>
                                        <a:pt x="454819" y="176213"/>
                                      </a:cubicBezTo>
                                      <a:cubicBezTo>
                                        <a:pt x="448903" y="162409"/>
                                        <a:pt x="449634" y="169757"/>
                                        <a:pt x="445294" y="152400"/>
                                      </a:cubicBezTo>
                                      <a:cubicBezTo>
                                        <a:pt x="443706" y="146050"/>
                                        <a:pt x="444162" y="138796"/>
                                        <a:pt x="440531" y="133350"/>
                                      </a:cubicBezTo>
                                      <a:lnTo>
                                        <a:pt x="431006" y="119063"/>
                                      </a:lnTo>
                                      <a:cubicBezTo>
                                        <a:pt x="433387" y="116682"/>
                                        <a:pt x="435084" y="113313"/>
                                        <a:pt x="438150" y="111919"/>
                                      </a:cubicBezTo>
                                      <a:cubicBezTo>
                                        <a:pt x="448125" y="107385"/>
                                        <a:pt x="463172" y="106720"/>
                                        <a:pt x="473869" y="104775"/>
                                      </a:cubicBezTo>
                                      <a:cubicBezTo>
                                        <a:pt x="490207" y="101804"/>
                                        <a:pt x="476931" y="103414"/>
                                        <a:pt x="490538" y="100013"/>
                                      </a:cubicBezTo>
                                      <a:cubicBezTo>
                                        <a:pt x="494464" y="99031"/>
                                        <a:pt x="498475" y="98426"/>
                                        <a:pt x="502444" y="97632"/>
                                      </a:cubicBezTo>
                                      <a:cubicBezTo>
                                        <a:pt x="509989" y="93859"/>
                                        <a:pt x="515312" y="91907"/>
                                        <a:pt x="521494" y="85725"/>
                                      </a:cubicBezTo>
                                      <a:cubicBezTo>
                                        <a:pt x="523517" y="83702"/>
                                        <a:pt x="524836" y="81067"/>
                                        <a:pt x="526256" y="78582"/>
                                      </a:cubicBezTo>
                                      <a:cubicBezTo>
                                        <a:pt x="530966" y="70341"/>
                                        <a:pt x="530728" y="69930"/>
                                        <a:pt x="533400" y="61913"/>
                                      </a:cubicBezTo>
                                      <a:cubicBezTo>
                                        <a:pt x="534194" y="53182"/>
                                        <a:pt x="532634" y="43902"/>
                                        <a:pt x="535781" y="35719"/>
                                      </a:cubicBezTo>
                                      <a:cubicBezTo>
                                        <a:pt x="537055" y="32406"/>
                                        <a:pt x="542043" y="32355"/>
                                        <a:pt x="545306" y="30957"/>
                                      </a:cubicBezTo>
                                      <a:cubicBezTo>
                                        <a:pt x="547613" y="29968"/>
                                        <a:pt x="550205" y="29698"/>
                                        <a:pt x="552450" y="28575"/>
                                      </a:cubicBezTo>
                                      <a:cubicBezTo>
                                        <a:pt x="568891" y="20355"/>
                                        <a:pt x="549300" y="26386"/>
                                        <a:pt x="569119" y="21432"/>
                                      </a:cubicBezTo>
                                      <a:cubicBezTo>
                                        <a:pt x="572850" y="19566"/>
                                        <a:pt x="582425" y="15270"/>
                                        <a:pt x="585788" y="11907"/>
                                      </a:cubicBezTo>
                                      <a:cubicBezTo>
                                        <a:pt x="597282" y="413"/>
                                        <a:pt x="584425" y="7825"/>
                                        <a:pt x="595313" y="2382"/>
                                      </a:cubicBezTo>
                                    </a:path>
                                  </a:pathLst>
                                </a:custGeom>
                                <a:noFill/>
                                <a:ln w="952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76101656" name="Forma libre: forma 876101656">
                                <a:extLst>
                                  <a:ext uri="{FF2B5EF4-FFF2-40B4-BE49-F238E27FC236}">
                                    <a16:creationId xmlns:a16="http://schemas.microsoft.com/office/drawing/2014/main" id="{F532B71D-3D3B-C87D-0DA0-5039A699ED87}"/>
                                  </a:ext>
                                </a:extLst>
                              </wps:cNvPr>
                              <wps:cNvSpPr/>
                              <wps:spPr>
                                <a:xfrm>
                                  <a:off x="5583307" y="5580508"/>
                                  <a:ext cx="474532" cy="421823"/>
                                </a:xfrm>
                                <a:custGeom>
                                  <a:avLst/>
                                  <a:gdLst>
                                    <a:gd name="connsiteX0" fmla="*/ 469106 w 474532"/>
                                    <a:gd name="connsiteY0" fmla="*/ 421823 h 421823"/>
                                    <a:gd name="connsiteX1" fmla="*/ 473869 w 474532"/>
                                    <a:gd name="connsiteY1" fmla="*/ 331335 h 421823"/>
                                    <a:gd name="connsiteX2" fmla="*/ 459581 w 474532"/>
                                    <a:gd name="connsiteY2" fmla="*/ 300379 h 421823"/>
                                    <a:gd name="connsiteX3" fmla="*/ 445294 w 474532"/>
                                    <a:gd name="connsiteY3" fmla="*/ 281329 h 421823"/>
                                    <a:gd name="connsiteX4" fmla="*/ 440531 w 474532"/>
                                    <a:gd name="connsiteY4" fmla="*/ 274185 h 421823"/>
                                    <a:gd name="connsiteX5" fmla="*/ 421481 w 474532"/>
                                    <a:gd name="connsiteY5" fmla="*/ 252754 h 421823"/>
                                    <a:gd name="connsiteX6" fmla="*/ 416719 w 474532"/>
                                    <a:gd name="connsiteY6" fmla="*/ 221798 h 421823"/>
                                    <a:gd name="connsiteX7" fmla="*/ 414337 w 474532"/>
                                    <a:gd name="connsiteY7" fmla="*/ 214654 h 421823"/>
                                    <a:gd name="connsiteX8" fmla="*/ 411956 w 474532"/>
                                    <a:gd name="connsiteY8" fmla="*/ 200367 h 421823"/>
                                    <a:gd name="connsiteX9" fmla="*/ 409575 w 474532"/>
                                    <a:gd name="connsiteY9" fmla="*/ 159885 h 421823"/>
                                    <a:gd name="connsiteX10" fmla="*/ 404812 w 474532"/>
                                    <a:gd name="connsiteY10" fmla="*/ 152742 h 421823"/>
                                    <a:gd name="connsiteX11" fmla="*/ 390525 w 474532"/>
                                    <a:gd name="connsiteY11" fmla="*/ 147979 h 421823"/>
                                    <a:gd name="connsiteX12" fmla="*/ 371475 w 474532"/>
                                    <a:gd name="connsiteY12" fmla="*/ 143217 h 421823"/>
                                    <a:gd name="connsiteX13" fmla="*/ 323850 w 474532"/>
                                    <a:gd name="connsiteY13" fmla="*/ 145598 h 421823"/>
                                    <a:gd name="connsiteX14" fmla="*/ 311944 w 474532"/>
                                    <a:gd name="connsiteY14" fmla="*/ 155123 h 421823"/>
                                    <a:gd name="connsiteX15" fmla="*/ 300037 w 474532"/>
                                    <a:gd name="connsiteY15" fmla="*/ 157504 h 421823"/>
                                    <a:gd name="connsiteX16" fmla="*/ 266700 w 474532"/>
                                    <a:gd name="connsiteY16" fmla="*/ 155123 h 421823"/>
                                    <a:gd name="connsiteX17" fmla="*/ 257175 w 474532"/>
                                    <a:gd name="connsiteY17" fmla="*/ 140835 h 421823"/>
                                    <a:gd name="connsiteX18" fmla="*/ 245269 w 474532"/>
                                    <a:gd name="connsiteY18" fmla="*/ 126548 h 421823"/>
                                    <a:gd name="connsiteX19" fmla="*/ 235744 w 474532"/>
                                    <a:gd name="connsiteY19" fmla="*/ 121785 h 421823"/>
                                    <a:gd name="connsiteX20" fmla="*/ 221456 w 474532"/>
                                    <a:gd name="connsiteY20" fmla="*/ 112260 h 421823"/>
                                    <a:gd name="connsiteX21" fmla="*/ 207169 w 474532"/>
                                    <a:gd name="connsiteY21" fmla="*/ 102735 h 421823"/>
                                    <a:gd name="connsiteX22" fmla="*/ 195262 w 474532"/>
                                    <a:gd name="connsiteY22" fmla="*/ 95592 h 421823"/>
                                    <a:gd name="connsiteX23" fmla="*/ 190500 w 474532"/>
                                    <a:gd name="connsiteY23" fmla="*/ 88448 h 421823"/>
                                    <a:gd name="connsiteX24" fmla="*/ 171450 w 474532"/>
                                    <a:gd name="connsiteY24" fmla="*/ 78923 h 421823"/>
                                    <a:gd name="connsiteX25" fmla="*/ 164306 w 474532"/>
                                    <a:gd name="connsiteY25" fmla="*/ 74160 h 421823"/>
                                    <a:gd name="connsiteX26" fmla="*/ 154781 w 474532"/>
                                    <a:gd name="connsiteY26" fmla="*/ 59873 h 421823"/>
                                    <a:gd name="connsiteX27" fmla="*/ 150019 w 474532"/>
                                    <a:gd name="connsiteY27" fmla="*/ 52729 h 421823"/>
                                    <a:gd name="connsiteX28" fmla="*/ 130969 w 474532"/>
                                    <a:gd name="connsiteY28" fmla="*/ 43204 h 421823"/>
                                    <a:gd name="connsiteX29" fmla="*/ 119062 w 474532"/>
                                    <a:gd name="connsiteY29" fmla="*/ 40823 h 421823"/>
                                    <a:gd name="connsiteX30" fmla="*/ 109537 w 474532"/>
                                    <a:gd name="connsiteY30" fmla="*/ 38442 h 421823"/>
                                    <a:gd name="connsiteX31" fmla="*/ 83344 w 474532"/>
                                    <a:gd name="connsiteY31" fmla="*/ 36060 h 421823"/>
                                    <a:gd name="connsiteX32" fmla="*/ 73819 w 474532"/>
                                    <a:gd name="connsiteY32" fmla="*/ 33679 h 421823"/>
                                    <a:gd name="connsiteX33" fmla="*/ 59531 w 474532"/>
                                    <a:gd name="connsiteY33" fmla="*/ 31298 h 421823"/>
                                    <a:gd name="connsiteX34" fmla="*/ 47625 w 474532"/>
                                    <a:gd name="connsiteY34" fmla="*/ 28917 h 421823"/>
                                    <a:gd name="connsiteX35" fmla="*/ 38100 w 474532"/>
                                    <a:gd name="connsiteY35" fmla="*/ 24154 h 421823"/>
                                    <a:gd name="connsiteX36" fmla="*/ 23812 w 474532"/>
                                    <a:gd name="connsiteY36" fmla="*/ 19392 h 421823"/>
                                    <a:gd name="connsiteX37" fmla="*/ 9525 w 474532"/>
                                    <a:gd name="connsiteY37" fmla="*/ 342 h 421823"/>
                                    <a:gd name="connsiteX38" fmla="*/ 0 w 474532"/>
                                    <a:gd name="connsiteY38" fmla="*/ 342 h 421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74532" h="421823">
                                      <a:moveTo>
                                        <a:pt x="469106" y="421823"/>
                                      </a:moveTo>
                                      <a:cubicBezTo>
                                        <a:pt x="474928" y="386888"/>
                                        <a:pt x="475212" y="389101"/>
                                        <a:pt x="473869" y="331335"/>
                                      </a:cubicBezTo>
                                      <a:cubicBezTo>
                                        <a:pt x="473234" y="304031"/>
                                        <a:pt x="475138" y="308158"/>
                                        <a:pt x="459581" y="300379"/>
                                      </a:cubicBezTo>
                                      <a:cubicBezTo>
                                        <a:pt x="454819" y="294029"/>
                                        <a:pt x="449697" y="287933"/>
                                        <a:pt x="445294" y="281329"/>
                                      </a:cubicBezTo>
                                      <a:cubicBezTo>
                                        <a:pt x="443706" y="278948"/>
                                        <a:pt x="442432" y="276324"/>
                                        <a:pt x="440531" y="274185"/>
                                      </a:cubicBezTo>
                                      <a:cubicBezTo>
                                        <a:pt x="418783" y="249718"/>
                                        <a:pt x="432291" y="268968"/>
                                        <a:pt x="421481" y="252754"/>
                                      </a:cubicBezTo>
                                      <a:cubicBezTo>
                                        <a:pt x="415749" y="235557"/>
                                        <a:pt x="421983" y="256007"/>
                                        <a:pt x="416719" y="221798"/>
                                      </a:cubicBezTo>
                                      <a:cubicBezTo>
                                        <a:pt x="416337" y="219317"/>
                                        <a:pt x="415131" y="217035"/>
                                        <a:pt x="414337" y="214654"/>
                                      </a:cubicBezTo>
                                      <a:cubicBezTo>
                                        <a:pt x="413543" y="209892"/>
                                        <a:pt x="412374" y="205177"/>
                                        <a:pt x="411956" y="200367"/>
                                      </a:cubicBezTo>
                                      <a:cubicBezTo>
                                        <a:pt x="410785" y="186900"/>
                                        <a:pt x="411580" y="173253"/>
                                        <a:pt x="409575" y="159885"/>
                                      </a:cubicBezTo>
                                      <a:cubicBezTo>
                                        <a:pt x="409150" y="157055"/>
                                        <a:pt x="407239" y="154259"/>
                                        <a:pt x="404812" y="152742"/>
                                      </a:cubicBezTo>
                                      <a:cubicBezTo>
                                        <a:pt x="400555" y="150081"/>
                                        <a:pt x="395395" y="149196"/>
                                        <a:pt x="390525" y="147979"/>
                                      </a:cubicBezTo>
                                      <a:lnTo>
                                        <a:pt x="371475" y="143217"/>
                                      </a:lnTo>
                                      <a:cubicBezTo>
                                        <a:pt x="355600" y="144011"/>
                                        <a:pt x="339685" y="144221"/>
                                        <a:pt x="323850" y="145598"/>
                                      </a:cubicBezTo>
                                      <a:cubicBezTo>
                                        <a:pt x="308656" y="146919"/>
                                        <a:pt x="324181" y="148131"/>
                                        <a:pt x="311944" y="155123"/>
                                      </a:cubicBezTo>
                                      <a:cubicBezTo>
                                        <a:pt x="308430" y="157131"/>
                                        <a:pt x="304006" y="156710"/>
                                        <a:pt x="300037" y="157504"/>
                                      </a:cubicBezTo>
                                      <a:cubicBezTo>
                                        <a:pt x="288925" y="156710"/>
                                        <a:pt x="277544" y="157675"/>
                                        <a:pt x="266700" y="155123"/>
                                      </a:cubicBezTo>
                                      <a:cubicBezTo>
                                        <a:pt x="259025" y="153317"/>
                                        <a:pt x="259694" y="145872"/>
                                        <a:pt x="257175" y="140835"/>
                                      </a:cubicBezTo>
                                      <a:cubicBezTo>
                                        <a:pt x="254856" y="136197"/>
                                        <a:pt x="249362" y="129472"/>
                                        <a:pt x="245269" y="126548"/>
                                      </a:cubicBezTo>
                                      <a:cubicBezTo>
                                        <a:pt x="242380" y="124485"/>
                                        <a:pt x="238788" y="123611"/>
                                        <a:pt x="235744" y="121785"/>
                                      </a:cubicBezTo>
                                      <a:cubicBezTo>
                                        <a:pt x="230836" y="118840"/>
                                        <a:pt x="226219" y="115435"/>
                                        <a:pt x="221456" y="112260"/>
                                      </a:cubicBezTo>
                                      <a:cubicBezTo>
                                        <a:pt x="216694" y="109085"/>
                                        <a:pt x="212077" y="105679"/>
                                        <a:pt x="207169" y="102735"/>
                                      </a:cubicBezTo>
                                      <a:lnTo>
                                        <a:pt x="195262" y="95592"/>
                                      </a:lnTo>
                                      <a:cubicBezTo>
                                        <a:pt x="193675" y="93211"/>
                                        <a:pt x="192845" y="90089"/>
                                        <a:pt x="190500" y="88448"/>
                                      </a:cubicBezTo>
                                      <a:cubicBezTo>
                                        <a:pt x="184684" y="84377"/>
                                        <a:pt x="177357" y="82861"/>
                                        <a:pt x="171450" y="78923"/>
                                      </a:cubicBezTo>
                                      <a:lnTo>
                                        <a:pt x="164306" y="74160"/>
                                      </a:lnTo>
                                      <a:lnTo>
                                        <a:pt x="154781" y="59873"/>
                                      </a:lnTo>
                                      <a:cubicBezTo>
                                        <a:pt x="153194" y="57492"/>
                                        <a:pt x="152579" y="54009"/>
                                        <a:pt x="150019" y="52729"/>
                                      </a:cubicBezTo>
                                      <a:cubicBezTo>
                                        <a:pt x="143669" y="49554"/>
                                        <a:pt x="137931" y="44596"/>
                                        <a:pt x="130969" y="43204"/>
                                      </a:cubicBezTo>
                                      <a:cubicBezTo>
                                        <a:pt x="127000" y="42410"/>
                                        <a:pt x="123013" y="41701"/>
                                        <a:pt x="119062" y="40823"/>
                                      </a:cubicBezTo>
                                      <a:cubicBezTo>
                                        <a:pt x="115867" y="40113"/>
                                        <a:pt x="112781" y="38875"/>
                                        <a:pt x="109537" y="38442"/>
                                      </a:cubicBezTo>
                                      <a:cubicBezTo>
                                        <a:pt x="100847" y="37283"/>
                                        <a:pt x="92075" y="36854"/>
                                        <a:pt x="83344" y="36060"/>
                                      </a:cubicBezTo>
                                      <a:cubicBezTo>
                                        <a:pt x="80169" y="35266"/>
                                        <a:pt x="77028" y="34321"/>
                                        <a:pt x="73819" y="33679"/>
                                      </a:cubicBezTo>
                                      <a:cubicBezTo>
                                        <a:pt x="69084" y="32732"/>
                                        <a:pt x="64281" y="32162"/>
                                        <a:pt x="59531" y="31298"/>
                                      </a:cubicBezTo>
                                      <a:cubicBezTo>
                                        <a:pt x="55549" y="30574"/>
                                        <a:pt x="51594" y="29711"/>
                                        <a:pt x="47625" y="28917"/>
                                      </a:cubicBezTo>
                                      <a:cubicBezTo>
                                        <a:pt x="44450" y="27329"/>
                                        <a:pt x="41396" y="25472"/>
                                        <a:pt x="38100" y="24154"/>
                                      </a:cubicBezTo>
                                      <a:cubicBezTo>
                                        <a:pt x="33439" y="22290"/>
                                        <a:pt x="27362" y="22942"/>
                                        <a:pt x="23812" y="19392"/>
                                      </a:cubicBezTo>
                                      <a:cubicBezTo>
                                        <a:pt x="8839" y="4419"/>
                                        <a:pt x="29966" y="5452"/>
                                        <a:pt x="9525" y="342"/>
                                      </a:cubicBezTo>
                                      <a:cubicBezTo>
                                        <a:pt x="6445" y="-428"/>
                                        <a:pt x="3175" y="342"/>
                                        <a:pt x="0" y="342"/>
                                      </a:cubicBezTo>
                                    </a:path>
                                  </a:pathLst>
                                </a:custGeom>
                                <a:noFill/>
                                <a:ln w="952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78888189" name="Proceso 124">
                              <a:extLst>
                                <a:ext uri="{FF2B5EF4-FFF2-40B4-BE49-F238E27FC236}">
                                  <a16:creationId xmlns:a16="http://schemas.microsoft.com/office/drawing/2014/main" id="{68981617-E694-7352-4F7A-7764E8CCFEDC}"/>
                                </a:ext>
                              </a:extLst>
                            </wps:cNvPr>
                            <wps:cNvSpPr/>
                            <wps:spPr>
                              <a:xfrm>
                                <a:off x="5295598" y="5174098"/>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501F48E4"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AE</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2035950247" name="Proceso 124">
                              <a:extLst>
                                <a:ext uri="{FF2B5EF4-FFF2-40B4-BE49-F238E27FC236}">
                                  <a16:creationId xmlns:a16="http://schemas.microsoft.com/office/drawing/2014/main" id="{F3B4BB9A-A006-05BF-D1BF-5D0D6BAFB1EA}"/>
                                </a:ext>
                              </a:extLst>
                            </wps:cNvPr>
                            <wps:cNvSpPr/>
                            <wps:spPr>
                              <a:xfrm>
                                <a:off x="5794394" y="5369409"/>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5B3C4265"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AIR</w:t>
                                  </w:r>
                                </w:p>
                              </w:txbxContent>
                            </wps:txbx>
                            <wps:bodyPr rot="0" spcFirstLastPara="0" vert="horz" wrap="square" lIns="27000" tIns="0" rIns="27000" bIns="0" numCol="1" spcCol="0" rtlCol="0" fromWordArt="0" anchor="ctr" anchorCtr="0" forceAA="0" compatLnSpc="1">
                              <a:prstTxWarp prst="textNoShape">
                                <a:avLst/>
                              </a:prstTxWarp>
                              <a:noAutofit/>
                            </wps:bodyPr>
                          </wps:wsp>
                          <wps:wsp>
                            <wps:cNvPr id="1041237664" name="Proceso 124">
                              <a:extLst>
                                <a:ext uri="{FF2B5EF4-FFF2-40B4-BE49-F238E27FC236}">
                                  <a16:creationId xmlns:a16="http://schemas.microsoft.com/office/drawing/2014/main" id="{0C2F93FE-2D49-1063-56C4-528008934A90}"/>
                                </a:ext>
                              </a:extLst>
                            </wps:cNvPr>
                            <wps:cNvSpPr/>
                            <wps:spPr>
                              <a:xfrm>
                                <a:off x="5116988" y="5566549"/>
                                <a:ext cx="360000"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31CC084A"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AI</w:t>
                                  </w:r>
                                </w:p>
                              </w:txbxContent>
                            </wps:txbx>
                            <wps:bodyPr rot="0" spcFirstLastPara="0" vert="horz" wrap="square" lIns="27000" tIns="0" rIns="27000" bIns="0" numCol="1" spcCol="0" rtlCol="0" fromWordArt="0" anchor="ctr" anchorCtr="0" forceAA="0" compatLnSpc="1">
                              <a:prstTxWarp prst="textNoShape">
                                <a:avLst/>
                              </a:prstTxWarp>
                              <a:noAutofit/>
                            </wps:bodyPr>
                          </wps:wsp>
                        </wpg:grpSp>
                        <wps:wsp>
                          <wps:cNvPr id="1581387771" name="Conector recto de flecha 1581387771">
                            <a:extLst>
                              <a:ext uri="{FF2B5EF4-FFF2-40B4-BE49-F238E27FC236}">
                                <a16:creationId xmlns:a16="http://schemas.microsoft.com/office/drawing/2014/main" id="{68AD2B24-E501-526F-BD81-4CB36C64EF8B}"/>
                              </a:ext>
                            </a:extLst>
                          </wps:cNvPr>
                          <wps:cNvCnPr>
                            <a:cxnSpLocks/>
                          </wps:cNvCnPr>
                          <wps:spPr>
                            <a:xfrm>
                              <a:off x="1545956" y="863322"/>
                              <a:ext cx="360000" cy="0"/>
                            </a:xfrm>
                            <a:prstGeom prst="straightConnector1">
                              <a:avLst/>
                            </a:prstGeom>
                            <a:ln w="31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897475131" name="Proceso 124">
                            <a:extLst>
                              <a:ext uri="{FF2B5EF4-FFF2-40B4-BE49-F238E27FC236}">
                                <a16:creationId xmlns:a16="http://schemas.microsoft.com/office/drawing/2014/main" id="{708BBFC3-DEC5-3B28-D7EB-175F42300623}"/>
                              </a:ext>
                            </a:extLst>
                          </wps:cNvPr>
                          <wps:cNvSpPr/>
                          <wps:spPr>
                            <a:xfrm>
                              <a:off x="1789974" y="683322"/>
                              <a:ext cx="648072" cy="3600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7B66D26D" w14:textId="77777777" w:rsidR="0081579F" w:rsidRPr="00127BD4" w:rsidRDefault="0081579F" w:rsidP="0081579F">
                                <w:pPr>
                                  <w:jc w:val="center"/>
                                  <w:rPr>
                                    <w:rFonts w:ascii="Arial Narrow" w:hAnsi="Arial Narrow" w:cstheme="minorBidi"/>
                                    <w:color w:val="000000" w:themeColor="dark1"/>
                                    <w:kern w:val="24"/>
                                    <w:sz w:val="18"/>
                                    <w:szCs w:val="18"/>
                                  </w:rPr>
                                </w:pPr>
                                <w:r w:rsidRPr="00127BD4">
                                  <w:rPr>
                                    <w:rFonts w:ascii="Arial Narrow" w:hAnsi="Arial Narrow" w:cstheme="minorBidi"/>
                                    <w:color w:val="000000" w:themeColor="dark1"/>
                                    <w:kern w:val="24"/>
                                    <w:sz w:val="18"/>
                                    <w:szCs w:val="18"/>
                                  </w:rPr>
                                  <w:t>Unidad de análisis</w:t>
                                </w:r>
                              </w:p>
                            </w:txbxContent>
                          </wps:txbx>
                          <wps:bodyPr rot="0" spcFirstLastPara="0" vert="horz" wrap="square" lIns="27000" tIns="0" rIns="27000" bIns="0" numCol="1" spcCol="0" rtlCol="0" fromWordArt="0" anchor="ctr" anchorCtr="0" forceAA="0" compatLnSpc="1">
                            <a:prstTxWarp prst="textNoShape">
                              <a:avLst/>
                            </a:prstTxWarp>
                            <a:noAutofit/>
                          </wps:bodyPr>
                        </wps:wsp>
                      </wpg:grpSp>
                      <wps:wsp>
                        <wps:cNvPr id="1485264087" name="Conector recto de flecha 405"/>
                        <wps:cNvCnPr/>
                        <wps:spPr>
                          <a:xfrm flipV="1">
                            <a:off x="1457325" y="4829175"/>
                            <a:ext cx="540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265343" name="Conector recto de flecha 405"/>
                        <wps:cNvCnPr/>
                        <wps:spPr>
                          <a:xfrm flipV="1">
                            <a:off x="3028950" y="4838700"/>
                            <a:ext cx="540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983855" name="Conector recto de flecha 405"/>
                        <wps:cNvCnPr/>
                        <wps:spPr>
                          <a:xfrm flipV="1">
                            <a:off x="4600575" y="4829175"/>
                            <a:ext cx="540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F25520" id="Grupo 406" o:spid="_x0000_s1390" style="position:absolute;left:0;text-align:left;margin-left:-2.55pt;margin-top:11.6pt;width:634.8pt;height:483.3pt;z-index:251658249;mso-position-horizontal-relative:text;mso-position-vertical-relative:text" coordsize="80616,6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">
                <v:group id="Grupo 91" o:spid="_x0000_s1391" style="position:absolute;width:80616;height:61379" coordorigin="-333" coordsize="80617,6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">
                  <v:shapetype id="_x0000_t109" coordsize="21600,21600" o:spt="109" path="m,l,21600r21600,l21600,xe">
                    <v:stroke joinstyle="miter"/>
                    <v:path gradientshapeok="t" o:connecttype="rect"/>
                  </v:shapetype>
                  <v:shape id="Proceso 124" o:spid="_x0000_s1392" type="#_x0000_t109" style="position:absolute;top:229;width:80280;height:1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" filled="f" strokecolor="#7f7f7f [1612]" strokeweight=".25pt">
                    <v:textbox inset=".75mm,0,.75mm,0"/>
                  </v:shape>
                  <v:group id="Grupo 720607596" o:spid="_x0000_s1393" style="position:absolute;left:2038;top:6661;width:14400;height:7200" coordorigin="2038,6661"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">
                    <o:lock v:ext="edit" aspectratio="t"/>
                    <v:shape id="Proceso 100" o:spid="_x0000_s1394" type="#_x0000_t109" style="position:absolute;left:2038;top:89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" fillcolor="#f6f" strokecolor="black [3213]" strokeweight=".25pt">
                      <v:fill opacity="64764f"/>
                      <v:textbox inset="0,0,0,0">
                        <w:txbxContent>
                          <w:p w14:paraId="2F064E19"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m</w:t>
                            </w:r>
                          </w:p>
                        </w:txbxContent>
                      </v:textbox>
                    </v:shape>
                    <v:shape id="Proceso 100" o:spid="_x0000_s1395" type="#_x0000_t109" style="position:absolute;left:4288;top:66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" fillcolor="#606" strokecolor="black [3213]" strokeweight=".25pt">
                      <v:fill opacity="64764f"/>
                      <v:textbox inset="0,0,0,0">
                        <w:txbxContent>
                          <w:p w14:paraId="1FEEE555" w14:textId="77777777" w:rsidR="0081579F" w:rsidRPr="004E4C01" w:rsidRDefault="0081579F" w:rsidP="0081579F">
                            <w:pPr>
                              <w:jc w:val="center"/>
                              <w:rPr>
                                <w:rFonts w:ascii="Arial Narrow" w:hAnsi="Arial Narrow" w:cstheme="minorBidi"/>
                                <w:color w:val="FFFFFF" w:themeColor="background1"/>
                                <w:kern w:val="24"/>
                                <w:sz w:val="18"/>
                                <w:szCs w:val="18"/>
                              </w:rPr>
                            </w:pPr>
                            <w:r w:rsidRPr="004E4C01">
                              <w:rPr>
                                <w:rFonts w:ascii="Arial Narrow" w:hAnsi="Arial Narrow" w:cstheme="minorBidi"/>
                                <w:color w:val="FFFFFF" w:themeColor="background1"/>
                                <w:kern w:val="24"/>
                                <w:sz w:val="18"/>
                                <w:szCs w:val="18"/>
                              </w:rPr>
                              <w:t>ma</w:t>
                            </w:r>
                          </w:p>
                        </w:txbxContent>
                      </v:textbox>
                    </v:shape>
                    <v:shape id="Proceso 100" o:spid="_x0000_s1396" type="#_x0000_t109" style="position:absolute;left:4288;top:89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" fillcolor="#fcf" strokecolor="black [3213]" strokeweight=".25pt">
                      <v:fill opacity="64764f"/>
                      <v:textbox inset="0,0,0,0">
                        <w:txbxContent>
                          <w:p w14:paraId="2AE0B5F6"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b</w:t>
                            </w:r>
                          </w:p>
                        </w:txbxContent>
                      </v:textbox>
                    </v:shape>
                    <v:shape id="Proceso 100" o:spid="_x0000_s1397" type="#_x0000_t109" style="position:absolute;left:2038;top:66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" strokecolor="black [3213]" strokeweight=".25pt">
                      <v:fill opacity="64764f"/>
                      <v:textbox inset="0,0,0,0">
                        <w:txbxContent>
                          <w:p w14:paraId="09B16E2B"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mb</w:t>
                            </w:r>
                          </w:p>
                        </w:txbxContent>
                      </v:textbox>
                    </v:shape>
                    <v:shape id="Proceso 100" o:spid="_x0000_s1398" type="#_x0000_t109" style="position:absolute;left:6538;top:89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" fillcolor="#fcf" strokecolor="black [3213]" strokeweight=".25pt">
                      <v:textbox inset="0,0,0,0">
                        <w:txbxContent>
                          <w:p w14:paraId="76DC2C41"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b</w:t>
                            </w:r>
                          </w:p>
                        </w:txbxContent>
                      </v:textbox>
                    </v:shape>
                    <v:shape id="Proceso 100" o:spid="_x0000_s1399" type="#_x0000_t109" style="position:absolute;left:8788;top:66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" fillcolor="#c0c" strokecolor="black [3213]" strokeweight=".25pt">
                      <v:fill opacity="64764f"/>
                      <v:textbox inset="0,0,0,0">
                        <w:txbxContent>
                          <w:p w14:paraId="779AA223" w14:textId="77777777" w:rsidR="0081579F" w:rsidRPr="004E4C01" w:rsidRDefault="0081579F" w:rsidP="0081579F">
                            <w:pPr>
                              <w:jc w:val="center"/>
                              <w:rPr>
                                <w:rFonts w:ascii="Arial Narrow" w:hAnsi="Arial Narrow" w:cstheme="minorBidi"/>
                                <w:color w:val="FFFFFF" w:themeColor="background1"/>
                                <w:kern w:val="24"/>
                                <w:sz w:val="18"/>
                                <w:szCs w:val="18"/>
                              </w:rPr>
                            </w:pPr>
                            <w:r w:rsidRPr="004E4C01">
                              <w:rPr>
                                <w:rFonts w:ascii="Arial Narrow" w:hAnsi="Arial Narrow" w:cstheme="minorBidi"/>
                                <w:color w:val="FFFFFF" w:themeColor="background1"/>
                                <w:kern w:val="24"/>
                                <w:sz w:val="18"/>
                                <w:szCs w:val="18"/>
                              </w:rPr>
                              <w:t>a</w:t>
                            </w:r>
                          </w:p>
                        </w:txbxContent>
                      </v:textbox>
                    </v:shape>
                    <v:shape id="Proceso 100" o:spid="_x0000_s1400" type="#_x0000_t109" style="position:absolute;left:8788;top:89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" strokecolor="black [3213]" strokeweight=".25pt">
                      <v:fill opacity="64764f"/>
                      <v:textbox inset="0,0,0,0">
                        <w:txbxContent>
                          <w:p w14:paraId="024B018B" w14:textId="77777777" w:rsidR="0081579F" w:rsidRPr="004E4C01" w:rsidRDefault="0081579F" w:rsidP="0081579F">
                            <w:pPr>
                              <w:jc w:val="center"/>
                              <w:rPr>
                                <w:rFonts w:ascii="Arial Narrow" w:hAnsi="Arial Narrow" w:cstheme="minorBidi"/>
                                <w:color w:val="000000" w:themeColor="dark1"/>
                                <w:kern w:val="24"/>
                                <w:sz w:val="18"/>
                                <w:szCs w:val="18"/>
                              </w:rPr>
                            </w:pPr>
                            <w:r w:rsidRPr="004E4C01">
                              <w:rPr>
                                <w:rFonts w:ascii="Arial Narrow" w:hAnsi="Arial Narrow" w:cstheme="minorBidi"/>
                                <w:color w:val="000000" w:themeColor="dark1"/>
                                <w:kern w:val="24"/>
                                <w:sz w:val="18"/>
                                <w:szCs w:val="18"/>
                              </w:rPr>
                              <w:t>mb</w:t>
                            </w:r>
                          </w:p>
                        </w:txbxContent>
                      </v:textbox>
                    </v:shape>
                    <v:shape id="Proceso 100" o:spid="_x0000_s1401" type="#_x0000_t109" style="position:absolute;left:6538;top:66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" fillcolor="#606" strokecolor="black [3213]" strokeweight=".25pt">
                      <v:fill opacity="64764f"/>
                      <v:textbox inset="0,0,0,0">
                        <w:txbxContent>
                          <w:p w14:paraId="1286E978" w14:textId="77777777" w:rsidR="0081579F" w:rsidRPr="004E4C01" w:rsidRDefault="0081579F" w:rsidP="0081579F">
                            <w:pPr>
                              <w:jc w:val="center"/>
                              <w:rPr>
                                <w:rFonts w:ascii="Arial Narrow" w:hAnsi="Arial Narrow" w:cstheme="minorBidi"/>
                                <w:color w:val="FFFFFF" w:themeColor="background1"/>
                                <w:kern w:val="24"/>
                                <w:sz w:val="18"/>
                                <w:szCs w:val="18"/>
                              </w:rPr>
                            </w:pPr>
                            <w:r w:rsidRPr="004E4C01">
                              <w:rPr>
                                <w:rFonts w:ascii="Arial Narrow" w:hAnsi="Arial Narrow" w:cstheme="minorBidi"/>
                                <w:color w:val="FFFFFF" w:themeColor="background1"/>
                                <w:kern w:val="24"/>
                                <w:sz w:val="18"/>
                                <w:szCs w:val="18"/>
                              </w:rPr>
                              <w:t>ma</w:t>
                            </w:r>
                          </w:p>
                        </w:txbxContent>
                      </v:textbox>
                    </v:shape>
                  </v:group>
                  <v:group id="Grupo 1457247674" o:spid="_x0000_s1402" style="position:absolute;left:2054;top:18181;width:14400;height:7200" coordorigin="2054,18181"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">
                    <o:lock v:ext="edit" aspectratio="t"/>
                    <v:shape id="Proceso 100" o:spid="_x0000_s1403" type="#_x0000_t109" style="position:absolute;left:2054;top:2043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" fillcolor="#f6f" strokecolor="black [3213]" strokeweight=".25pt">
                      <v:fill opacity="64764f"/>
                      <v:textbox inset="0,0,0,0">
                        <w:txbxContent>
                          <w:p w14:paraId="5CB76E5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 / B</w:t>
                            </w:r>
                          </w:p>
                        </w:txbxContent>
                      </v:textbox>
                    </v:shape>
                    <v:shape id="Proceso 100" o:spid="_x0000_s1404" type="#_x0000_t109" style="position:absolute;left:4304;top:1818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" fillcolor="#606" strokecolor="black [3213]" strokeweight=".25pt">
                      <v:fill opacity="64764f"/>
                      <v:textbox inset="0,0,0,0">
                        <w:txbxContent>
                          <w:p w14:paraId="041211D3" w14:textId="77777777" w:rsidR="0081579F" w:rsidRPr="004E4C01" w:rsidRDefault="0081579F" w:rsidP="0081579F">
                            <w:pPr>
                              <w:jc w:val="center"/>
                              <w:rPr>
                                <w:rFonts w:ascii="Arial Narrow" w:hAnsi="Arial Narrow" w:cstheme="minorBidi"/>
                                <w:color w:val="FFFFFF" w:themeColor="background1"/>
                                <w:kern w:val="24"/>
                                <w:sz w:val="16"/>
                                <w:szCs w:val="16"/>
                              </w:rPr>
                            </w:pPr>
                            <w:r w:rsidRPr="004E4C01">
                              <w:rPr>
                                <w:rFonts w:ascii="Arial Narrow" w:hAnsi="Arial Narrow" w:cstheme="minorBidi"/>
                                <w:color w:val="FFFFFF" w:themeColor="background1"/>
                                <w:kern w:val="24"/>
                                <w:sz w:val="16"/>
                                <w:szCs w:val="16"/>
                              </w:rPr>
                              <w:t>ma / A</w:t>
                            </w:r>
                          </w:p>
                        </w:txbxContent>
                      </v:textbox>
                    </v:shape>
                    <v:shape id="Proceso 100" o:spid="_x0000_s1405" type="#_x0000_t109" style="position:absolute;left:4304;top:2043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" fillcolor="#fcf" strokecolor="black [3213]" strokeweight=".25pt">
                      <v:fill opacity="64764f"/>
                      <v:textbox inset="0,0,0,0">
                        <w:txbxContent>
                          <w:p w14:paraId="444280E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b / A</w:t>
                            </w:r>
                          </w:p>
                        </w:txbxContent>
                      </v:textbox>
                    </v:shape>
                    <v:shape id="Proceso 100" o:spid="_x0000_s1406" type="#_x0000_t109" style="position:absolute;left:2054;top:1818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" strokecolor="black [3213]" strokeweight=".25pt">
                      <v:fill opacity="64764f"/>
                      <v:textbox inset="0,0,0,0">
                        <w:txbxContent>
                          <w:p w14:paraId="4658E38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mb / M</w:t>
                            </w:r>
                          </w:p>
                        </w:txbxContent>
                      </v:textbox>
                    </v:shape>
                    <v:shape id="Proceso 100" o:spid="_x0000_s1407" type="#_x0000_t109" style="position:absolute;left:6554;top:2043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" fillcolor="#fcf" strokecolor="black [3213]" strokeweight=".25pt">
                      <v:fill opacity="64764f"/>
                      <v:textbox inset="0,0,0,0">
                        <w:txbxContent>
                          <w:p w14:paraId="5B1EA82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b / M</w:t>
                            </w:r>
                          </w:p>
                        </w:txbxContent>
                      </v:textbox>
                    </v:shape>
                    <v:shape id="Proceso 100" o:spid="_x0000_s1408" type="#_x0000_t109" style="position:absolute;left:8804;top:1818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" fillcolor="#c0c" strokecolor="black [3213]" strokeweight=".25pt">
                      <v:fill opacity="64764f"/>
                      <v:textbox inset="0,0,0,0">
                        <w:txbxContent>
                          <w:p w14:paraId="4226041C" w14:textId="77777777" w:rsidR="0081579F" w:rsidRPr="004E4C01" w:rsidRDefault="0081579F" w:rsidP="0081579F">
                            <w:pPr>
                              <w:jc w:val="center"/>
                              <w:rPr>
                                <w:rFonts w:ascii="Arial Narrow" w:hAnsi="Arial Narrow" w:cstheme="minorBidi"/>
                                <w:color w:val="FFFFFF" w:themeColor="background1"/>
                                <w:kern w:val="24"/>
                                <w:sz w:val="16"/>
                                <w:szCs w:val="16"/>
                              </w:rPr>
                            </w:pPr>
                            <w:r w:rsidRPr="004E4C01">
                              <w:rPr>
                                <w:rFonts w:ascii="Arial Narrow" w:hAnsi="Arial Narrow" w:cstheme="minorBidi"/>
                                <w:color w:val="FFFFFF" w:themeColor="background1"/>
                                <w:kern w:val="24"/>
                                <w:sz w:val="16"/>
                                <w:szCs w:val="16"/>
                              </w:rPr>
                              <w:t>A / A</w:t>
                            </w:r>
                          </w:p>
                        </w:txbxContent>
                      </v:textbox>
                    </v:shape>
                    <v:shape id="Proceso 100" o:spid="_x0000_s1409" type="#_x0000_t109" style="position:absolute;left:8804;top:2043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" strokecolor="black [3213]" strokeweight=".25pt">
                      <v:fill opacity="64764f"/>
                      <v:textbox inset="0,0,0,0">
                        <w:txbxContent>
                          <w:p w14:paraId="4778907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mb / MA</w:t>
                            </w:r>
                          </w:p>
                        </w:txbxContent>
                      </v:textbox>
                    </v:shape>
                    <v:shape id="Proceso 100" o:spid="_x0000_s1410" type="#_x0000_t109" style="position:absolute;left:6554;top:1818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" fillcolor="#606" strokecolor="black [3213]" strokeweight=".25pt">
                      <v:fill opacity="64764f"/>
                      <v:textbox inset="0,0,0,0">
                        <w:txbxContent>
                          <w:p w14:paraId="774C284F" w14:textId="77777777" w:rsidR="0081579F" w:rsidRPr="004E4C01" w:rsidRDefault="0081579F" w:rsidP="0081579F">
                            <w:pPr>
                              <w:jc w:val="center"/>
                              <w:rPr>
                                <w:rFonts w:ascii="Arial Narrow" w:hAnsi="Arial Narrow" w:cstheme="minorBidi"/>
                                <w:color w:val="FFFFFF" w:themeColor="background1"/>
                                <w:kern w:val="24"/>
                                <w:sz w:val="16"/>
                                <w:szCs w:val="16"/>
                              </w:rPr>
                            </w:pPr>
                            <w:r w:rsidRPr="004E4C01">
                              <w:rPr>
                                <w:rFonts w:ascii="Arial Narrow" w:hAnsi="Arial Narrow" w:cstheme="minorBidi"/>
                                <w:color w:val="FFFFFF" w:themeColor="background1"/>
                                <w:kern w:val="24"/>
                                <w:sz w:val="16"/>
                                <w:szCs w:val="16"/>
                              </w:rPr>
                              <w:t>Ma / M</w:t>
                            </w:r>
                          </w:p>
                        </w:txbxContent>
                      </v:textbox>
                    </v:shape>
                  </v:group>
                  <v:group id="Grupo 891277090" o:spid="_x0000_s1411" style="position:absolute;left:33005;top:6661;width:14400;height:7200" coordorigin="33005,6661"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">
                    <o:lock v:ext="edit" aspectratio="t"/>
                    <v:shape id="Proceso 100" o:spid="_x0000_s1412" type="#_x0000_t109" style="position:absolute;left:39755;top:66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" filled="f" strokecolor="black [3213]" strokeweight=".25pt">
                      <v:textbox inset="0,0,0,0">
                        <w:txbxContent>
                          <w:p w14:paraId="3FB3462D"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A</w:t>
                            </w:r>
                          </w:p>
                        </w:txbxContent>
                      </v:textbox>
                    </v:shape>
                    <v:shape id="Proceso 100" o:spid="_x0000_s1413" type="#_x0000_t109" style="position:absolute;left:33005;top:89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" filled="f" strokecolor="black [3213]" strokeweight=".25pt">
                      <v:textbox inset="0,0,0,0">
                        <w:txbxContent>
                          <w:p w14:paraId="5B980057"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B</w:t>
                            </w:r>
                          </w:p>
                        </w:txbxContent>
                      </v:textbox>
                    </v:shape>
                    <v:shape id="Proceso 100" o:spid="_x0000_s1414" type="#_x0000_t109" style="position:absolute;left:35255;top:66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" filled="f" strokecolor="black [3213]" strokeweight=".25pt">
                      <v:textbox inset="0,0,0,0">
                        <w:txbxContent>
                          <w:p w14:paraId="7151FB32"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A</w:t>
                            </w:r>
                          </w:p>
                        </w:txbxContent>
                      </v:textbox>
                    </v:shape>
                    <v:shape id="Proceso 100" o:spid="_x0000_s1415" type="#_x0000_t109" style="position:absolute;left:35255;top:89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" filled="f" strokecolor="black [3213]" strokeweight=".25pt">
                      <v:textbox inset="0,0,0,0">
                        <w:txbxContent>
                          <w:p w14:paraId="711E9516"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A</w:t>
                            </w:r>
                          </w:p>
                        </w:txbxContent>
                      </v:textbox>
                    </v:shape>
                    <v:shape id="Proceso 100" o:spid="_x0000_s1416" type="#_x0000_t109" style="position:absolute;left:33005;top:66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" filled="f" strokecolor="black [3213]" strokeweight=".25pt">
                      <v:textbox inset="0,0,0,0">
                        <w:txbxContent>
                          <w:p w14:paraId="3D4A6ACC"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M</w:t>
                            </w:r>
                          </w:p>
                        </w:txbxContent>
                      </v:textbox>
                    </v:shape>
                    <v:shape id="Proceso 100" o:spid="_x0000_s1417" type="#_x0000_t109" style="position:absolute;left:37505;top:89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" filled="f" strokecolor="black [3213]" strokeweight=".25pt">
                      <v:textbox inset="0,0,0,0">
                        <w:txbxContent>
                          <w:p w14:paraId="6AEFED0C"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M</w:t>
                            </w:r>
                          </w:p>
                        </w:txbxContent>
                      </v:textbox>
                    </v:shape>
                    <v:shape id="Proceso 100" o:spid="_x0000_s1418" type="#_x0000_t109" style="position:absolute;left:39755;top:89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" filled="f" strokecolor="black [3213]" strokeweight=".25pt">
                      <v:textbox inset="0,0,0,0">
                        <w:txbxContent>
                          <w:p w14:paraId="1165D681"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MA</w:t>
                            </w:r>
                          </w:p>
                        </w:txbxContent>
                      </v:textbox>
                    </v:shape>
                    <v:shape id="Proceso 100" o:spid="_x0000_s1419" type="#_x0000_t109" style="position:absolute;left:37505;top:66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" filled="f" strokecolor="black [3213]" strokeweight=".25pt">
                      <v:textbox inset="0,0,0,0">
                        <w:txbxContent>
                          <w:p w14:paraId="0AE2D122" w14:textId="77777777" w:rsidR="0081579F" w:rsidRPr="004E4C01" w:rsidRDefault="0081579F" w:rsidP="0081579F">
                            <w:pPr>
                              <w:jc w:val="center"/>
                              <w:rPr>
                                <w:rFonts w:ascii="Arial Narrow" w:hAnsi="Arial Narrow" w:cstheme="minorBidi"/>
                                <w:color w:val="000000" w:themeColor="text1"/>
                                <w:kern w:val="24"/>
                                <w:sz w:val="18"/>
                                <w:szCs w:val="18"/>
                              </w:rPr>
                            </w:pPr>
                            <w:r w:rsidRPr="004E4C01">
                              <w:rPr>
                                <w:rFonts w:ascii="Arial Narrow" w:hAnsi="Arial Narrow" w:cstheme="minorBidi"/>
                                <w:color w:val="000000" w:themeColor="text1"/>
                                <w:kern w:val="24"/>
                                <w:sz w:val="18"/>
                                <w:szCs w:val="18"/>
                              </w:rPr>
                              <w:t>M</w:t>
                            </w:r>
                          </w:p>
                        </w:txbxContent>
                      </v:textbox>
                    </v:shape>
                  </v:group>
                  <v:group id="Grupo 352321131" o:spid="_x0000_s1420" style="position:absolute;left:2054;top:29701;width:14400;height:7200" coordorigin="2054,29701"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">
                    <o:lock v:ext="edit" aspectratio="t"/>
                    <v:shape id="Proceso 100" o:spid="_x0000_s1421" type="#_x0000_t109" style="position:absolute;left:2054;top:3195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" fillcolor="#92d050" strokecolor="black [3213]" strokeweight=".25pt">
                      <v:fill opacity="64764f"/>
                      <v:textbox inset="0,0,0,0">
                        <w:txbxContent>
                          <w:p w14:paraId="3A7DB6A8"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 / B</w:t>
                            </w:r>
                          </w:p>
                          <w:p w14:paraId="03D51271"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20313080"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22" type="#_x0000_t109" style="position:absolute;left:4304;top:2970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" fillcolor="red" strokecolor="black [3213]" strokeweight=".25pt">
                      <v:fill opacity="64764f"/>
                      <v:textbox inset="0,0,0,0">
                        <w:txbxContent>
                          <w:p w14:paraId="1A1E61D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ma / A</w:t>
                            </w:r>
                          </w:p>
                          <w:p w14:paraId="1A9D1A1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17FE2CF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v:textbox>
                    </v:shape>
                    <v:shape id="Proceso 100" o:spid="_x0000_s1423" type="#_x0000_t109" style="position:absolute;left:4304;top:3195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" fillcolor="yellow" strokecolor="black [3213]" strokeweight=".25pt">
                      <v:fill opacity="64764f"/>
                      <v:textbox inset="0,0,0,0">
                        <w:txbxContent>
                          <w:p w14:paraId="0D10907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b / A</w:t>
                            </w:r>
                          </w:p>
                          <w:p w14:paraId="4F832C07"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763CD99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24" type="#_x0000_t109" style="position:absolute;left:2054;top:2970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" fillcolor="#92d050" strokecolor="black [3213]" strokeweight=".25pt">
                      <v:fill opacity="64764f"/>
                      <v:textbox inset="0,0,0,0">
                        <w:txbxContent>
                          <w:p w14:paraId="17754A68"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mb / M</w:t>
                            </w:r>
                          </w:p>
                          <w:p w14:paraId="09B440B1"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63226FA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25" type="#_x0000_t109" style="position:absolute;left:6554;top:3195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" fillcolor="#92d050" strokecolor="black [3213]" strokeweight=".25pt">
                      <v:textbox inset="0,0,0,0">
                        <w:txbxContent>
                          <w:p w14:paraId="3B228A6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b / M</w:t>
                            </w:r>
                          </w:p>
                          <w:p w14:paraId="37253DE2"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2AC3C91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26" type="#_x0000_t109" style="position:absolute;left:8804;top:2970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" fillcolor="yellow" strokecolor="black [3213]" strokeweight=".25pt">
                      <v:fill opacity="64764f"/>
                      <v:textbox inset="0,0,0,0">
                        <w:txbxContent>
                          <w:p w14:paraId="3407385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 / A</w:t>
                            </w:r>
                          </w:p>
                          <w:p w14:paraId="14098DD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4D9447D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27" type="#_x0000_t109" style="position:absolute;left:8804;top:3195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" fillcolor="yellow" strokecolor="black [3213]" strokeweight=".25pt">
                      <v:fill opacity="64764f"/>
                      <v:textbox inset="0,0,0,0">
                        <w:txbxContent>
                          <w:p w14:paraId="4C94631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mb / MA</w:t>
                            </w:r>
                          </w:p>
                          <w:p w14:paraId="73AB13D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05261EAB"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28" type="#_x0000_t109" style="position:absolute;left:6554;top:2970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" fillcolor="yellow" strokecolor="black [3213]" strokeweight=".25pt">
                      <v:fill opacity="64764f"/>
                      <v:textbox inset="0,0,0,0">
                        <w:txbxContent>
                          <w:p w14:paraId="227332B5"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ma / M</w:t>
                            </w:r>
                          </w:p>
                          <w:p w14:paraId="386D0027"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w:t>
                            </w:r>
                          </w:p>
                          <w:p w14:paraId="48ABAD10"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group>
                  <v:group id="Grupo 547533123" o:spid="_x0000_s1429" style="position:absolute;left:2054;top:40320;width:14400;height:7200" coordorigin="2054,40320"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">
                    <o:lock v:ext="edit" aspectratio="t"/>
                    <v:shape id="Proceso 100" o:spid="_x0000_s1430" type="#_x0000_t109" style="position:absolute;left:2054;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" fillcolor="#92d050" strokecolor="black [3213]" strokeweight=".25pt">
                      <v:fill opacity="64764f"/>
                      <v:textbox inset="0,0,0,0">
                        <w:txbxContent>
                          <w:p w14:paraId="7D1B10E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31" type="#_x0000_t109" style="position:absolute;left:4304;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" fillcolor="red" strokecolor="black [3213]" strokeweight=".25pt">
                      <v:fill opacity="64764f"/>
                      <v:textbox inset="0,0,0,0">
                        <w:txbxContent>
                          <w:p w14:paraId="12657DAA"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v:textbox>
                    </v:shape>
                    <v:shape id="Proceso 100" o:spid="_x0000_s1432" type="#_x0000_t109" style="position:absolute;left:4304;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" fillcolor="yellow" strokecolor="black [3213]" strokeweight=".25pt">
                      <v:fill opacity="64764f"/>
                      <v:textbox inset="0,0,0,0">
                        <w:txbxContent>
                          <w:p w14:paraId="5A929855"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33" type="#_x0000_t109" style="position:absolute;left:2054;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" fillcolor="#92d050" strokecolor="black [3213]" strokeweight=".25pt">
                      <v:fill opacity="64764f"/>
                      <v:textbox inset="0,0,0,0">
                        <w:txbxContent>
                          <w:p w14:paraId="44EAC9D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34" type="#_x0000_t109" style="position:absolute;left:6554;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" fillcolor="#92d050" strokecolor="black [3213]" strokeweight=".25pt">
                      <v:textbox inset="0,0,0,0">
                        <w:txbxContent>
                          <w:p w14:paraId="7E4E62EB"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35" type="#_x0000_t109" style="position:absolute;left:8804;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" fillcolor="yellow" strokecolor="black [3213]" strokeweight=".25pt">
                      <v:fill opacity="64764f"/>
                      <v:textbox inset="0,0,0,0">
                        <w:txbxContent>
                          <w:p w14:paraId="2035D07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36" type="#_x0000_t109" style="position:absolute;left:8804;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" fillcolor="yellow" strokecolor="black [3213]" strokeweight=".25pt">
                      <v:fill opacity="64764f"/>
                      <v:textbox inset="0,0,0,0">
                        <w:txbxContent>
                          <w:p w14:paraId="4B8AA80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37" type="#_x0000_t109" style="position:absolute;left:6554;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" fillcolor="yellow" strokecolor="black [3213]" strokeweight=".25pt">
                      <v:fill opacity="64764f"/>
                      <v:textbox inset="0,0,0,0">
                        <w:txbxContent>
                          <w:p w14:paraId="215C6BE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group>
                  <v:group id="Grupo 280348285" o:spid="_x0000_s1438" style="position:absolute;left:17518;top:40320;width:14400;height:7200" coordorigin="17518,40320"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">
                    <o:lock v:ext="edit" aspectratio="t"/>
                    <v:shape id="Proceso 100" o:spid="_x0000_s1439" type="#_x0000_t109" style="position:absolute;left:1751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" fillcolor="yellow" strokecolor="black [3213]" strokeweight=".25pt">
                      <v:fill opacity="64764f"/>
                      <v:textbox inset="0,0,0,0">
                        <w:txbxContent>
                          <w:p w14:paraId="71A5786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40" type="#_x0000_t109" style="position:absolute;left:1976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" fillcolor="red" strokecolor="black [3213]" strokeweight=".25pt">
                      <v:fill opacity="64764f"/>
                      <v:textbox inset="0,0,0,0">
                        <w:txbxContent>
                          <w:p w14:paraId="7409EE2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v:textbox>
                    </v:shape>
                    <v:shape id="Proceso 100" o:spid="_x0000_s1441" type="#_x0000_t109" style="position:absolute;left:1976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" fillcolor="#92d050" strokecolor="black [3213]" strokeweight=".25pt">
                      <v:fill opacity="64764f"/>
                      <v:textbox inset="0,0,0,0">
                        <w:txbxContent>
                          <w:p w14:paraId="3C030280"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42" type="#_x0000_t109" style="position:absolute;left:1751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" fillcolor="#92d050" strokecolor="black [3213]" strokeweight=".25pt">
                      <v:fill opacity="64764f"/>
                      <v:textbox inset="0,0,0,0">
                        <w:txbxContent>
                          <w:p w14:paraId="5A83AD5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43" type="#_x0000_t109" style="position:absolute;left:2201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" fillcolor="#92d050" strokecolor="black [3213]" strokeweight=".25pt">
                      <v:textbox inset="0,0,0,0">
                        <w:txbxContent>
                          <w:p w14:paraId="089E797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44" type="#_x0000_t109" style="position:absolute;left:2426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" fillcolor="red" strokecolor="black [3213]" strokeweight=".25pt">
                      <v:fill opacity="64764f"/>
                      <v:textbox inset="0,0,0,0">
                        <w:txbxContent>
                          <w:p w14:paraId="42A78CC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v:textbox>
                    </v:shape>
                    <v:shape id="Proceso 100" o:spid="_x0000_s1445" type="#_x0000_t109" style="position:absolute;left:2426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" fillcolor="#92d050" strokecolor="black [3213]" strokeweight=".25pt">
                      <v:fill opacity="64764f"/>
                      <v:textbox inset="0,0,0,0">
                        <w:txbxContent>
                          <w:p w14:paraId="30D14687"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46" type="#_x0000_t109" style="position:absolute;left:2201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" fillcolor="yellow" strokecolor="black [3213]" strokeweight=".25pt">
                      <v:fill opacity="64764f"/>
                      <v:textbox inset="0,0,0,0">
                        <w:txbxContent>
                          <w:p w14:paraId="678B6967"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group>
                  <v:group id="Grupo 608465545" o:spid="_x0000_s1447" style="position:absolute;left:32998;top:40320;width:14400;height:7200" coordorigin="32998,40320"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">
                    <o:lock v:ext="edit" aspectratio="t"/>
                    <v:shape id="Proceso 100" o:spid="_x0000_s1448" type="#_x0000_t109" style="position:absolute;left:3299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" fillcolor="yellow" strokecolor="black [3213]" strokeweight=".25pt">
                      <v:fill opacity="64764f"/>
                      <v:textbox inset="0,0,0,0">
                        <w:txbxContent>
                          <w:p w14:paraId="6A5795B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49" type="#_x0000_t109" style="position:absolute;left:3524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" fillcolor="red" strokecolor="black [3213]" strokeweight=".25pt">
                      <v:fill opacity="64764f"/>
                      <v:textbox inset="0,0,0,0">
                        <w:txbxContent>
                          <w:p w14:paraId="3D18877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v:textbox>
                    </v:shape>
                    <v:shape id="Proceso 100" o:spid="_x0000_s1450" type="#_x0000_t109" style="position:absolute;left:3524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" fillcolor="#92d050" strokecolor="black [3213]" strokeweight=".25pt">
                      <v:fill opacity="64764f"/>
                      <v:textbox inset="0,0,0,0">
                        <w:txbxContent>
                          <w:p w14:paraId="7112D512"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51" type="#_x0000_t109" style="position:absolute;left:3299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" fillcolor="#92d050" strokecolor="black [3213]" strokeweight=".25pt">
                      <v:fill opacity="64764f"/>
                      <v:textbox inset="0,0,0,0">
                        <w:txbxContent>
                          <w:p w14:paraId="7A850DB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52" type="#_x0000_t109" style="position:absolute;left:3749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" fillcolor="#92d050" strokecolor="black [3213]" strokeweight=".25pt">
                      <v:textbox inset="0,0,0,0">
                        <w:txbxContent>
                          <w:p w14:paraId="5D6D3C1D"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53" type="#_x0000_t109" style="position:absolute;left:3974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" fillcolor="yellow" strokecolor="black [3213]" strokeweight=".25pt">
                      <v:fill opacity="64764f"/>
                      <v:textbox inset="0,0,0,0">
                        <w:txbxContent>
                          <w:p w14:paraId="42A81BBF"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54" type="#_x0000_t109" style="position:absolute;left:3974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" fillcolor="#92d050" strokecolor="black [3213]" strokeweight=".25pt">
                      <v:fill opacity="64764f"/>
                      <v:textbox inset="0,0,0,0">
                        <w:txbxContent>
                          <w:p w14:paraId="463D47DA"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55" type="#_x0000_t109" style="position:absolute;left:3749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" fillcolor="#92d050" strokecolor="black [3213]" strokeweight=".25pt">
                      <v:fill opacity="64764f"/>
                      <v:textbox inset="0,0,0,0">
                        <w:txbxContent>
                          <w:p w14:paraId="37FA4B6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group>
                  <v:group id="Grupo 1335784229" o:spid="_x0000_s1456" style="position:absolute;left:48478;top:40320;width:14400;height:7200" coordorigin="48478,40320"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">
                    <o:lock v:ext="edit" aspectratio="t"/>
                    <v:shape id="Proceso 100" o:spid="_x0000_s1457" type="#_x0000_t109" style="position:absolute;left:4847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" fillcolor="yellow" strokecolor="black [3213]" strokeweight=".25pt">
                      <v:fill opacity="64764f"/>
                      <v:textbox inset="0,0,0,0">
                        <w:txbxContent>
                          <w:p w14:paraId="182B02F6"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58" type="#_x0000_t109" style="position:absolute;left:5072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" fillcolor="red" strokecolor="black [3213]" strokeweight=".25pt">
                      <v:fill opacity="64764f"/>
                      <v:textbox inset="0,0,0,0">
                        <w:txbxContent>
                          <w:p w14:paraId="451D63B8"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v:textbox>
                    </v:shape>
                    <v:shape id="Proceso 100" o:spid="_x0000_s1459" type="#_x0000_t109" style="position:absolute;left:5072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" fillcolor="yellow" strokecolor="black [3213]" strokeweight=".25pt">
                      <v:fill opacity="64764f"/>
                      <v:textbox inset="0,0,0,0">
                        <w:txbxContent>
                          <w:p w14:paraId="13876735"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60" type="#_x0000_t109" style="position:absolute;left:4847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" fillcolor="#92d050" strokecolor="black [3213]" strokeweight=".25pt">
                      <v:fill opacity="64764f"/>
                      <v:textbox inset="0,0,0,0">
                        <w:txbxContent>
                          <w:p w14:paraId="4C8F1C2B"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61" type="#_x0000_t109" style="position:absolute;left:5297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" fillcolor="#92d050" strokecolor="black [3213]" strokeweight=".25pt">
                      <v:textbox inset="0,0,0,0">
                        <w:txbxContent>
                          <w:p w14:paraId="29387524"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w:t>
                            </w:r>
                          </w:p>
                        </w:txbxContent>
                      </v:textbox>
                    </v:shape>
                    <v:shape id="Proceso 100" o:spid="_x0000_s1462" type="#_x0000_t109" style="position:absolute;left:5522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" fillcolor="yellow" strokecolor="black [3213]" strokeweight=".25pt">
                      <v:fill opacity="64764f"/>
                      <v:textbox inset="0,0,0,0">
                        <w:txbxContent>
                          <w:p w14:paraId="75F29F8C"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63" type="#_x0000_t109" style="position:absolute;left:55228;top:4257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" fillcolor="yellow" strokecolor="black [3213]" strokeweight=".25pt">
                      <v:fill opacity="64764f"/>
                      <v:textbox inset="0,0,0,0">
                        <w:txbxContent>
                          <w:p w14:paraId="77DFA3E9"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shape id="Proceso 100" o:spid="_x0000_s1464" type="#_x0000_t109" style="position:absolute;left:52978;top:40320;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" fillcolor="yellow" strokecolor="black [3213]" strokeweight=".25pt">
                      <v:fill opacity="64764f"/>
                      <v:textbox inset="0,0,0,0">
                        <w:txbxContent>
                          <w:p w14:paraId="59A00AC5"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AIR</w:t>
                            </w:r>
                          </w:p>
                        </w:txbxContent>
                      </v:textbox>
                    </v:shape>
                  </v:group>
                  <v:shape id="CuadroTexto 170" o:spid="_x0000_s1465" type="#_x0000_t202" style="position:absolute;left:5209;top:47130;width:7982;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" filled="f" stroked="f">
                    <v:textbox style="mso-fit-shape-to-text:t">
                      <w:txbxContent>
                        <w:p w14:paraId="6BC9FB69" w14:textId="77777777" w:rsidR="0081579F" w:rsidRPr="004E4C01" w:rsidRDefault="0081579F" w:rsidP="0081579F">
                          <w:pPr>
                            <w:rPr>
                              <w:rFonts w:ascii="Arial Narrow" w:hAnsi="Arial Narrow" w:cs="Arial"/>
                              <w:color w:val="000000" w:themeColor="text1"/>
                              <w:kern w:val="24"/>
                              <w:sz w:val="18"/>
                              <w:szCs w:val="18"/>
                            </w:rPr>
                          </w:pPr>
                          <w:r w:rsidRPr="004E4C01">
                            <w:rPr>
                              <w:rFonts w:ascii="Arial Narrow" w:hAnsi="Arial Narrow" w:cs="Arial"/>
                              <w:color w:val="000000" w:themeColor="text1"/>
                              <w:kern w:val="24"/>
                              <w:sz w:val="18"/>
                              <w:szCs w:val="18"/>
                            </w:rPr>
                            <w:t>Componente 1</w:t>
                          </w:r>
                        </w:p>
                      </w:txbxContent>
                    </v:textbox>
                  </v:shape>
                  <v:shape id="CuadroTexto 171" o:spid="_x0000_s1466" type="#_x0000_t202" style="position:absolute;left:20708;top:47130;width:7983;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" filled="f" stroked="f">
                    <v:textbox style="mso-fit-shape-to-text:t">
                      <w:txbxContent>
                        <w:p w14:paraId="3EBECECD" w14:textId="77777777" w:rsidR="0081579F" w:rsidRPr="004E4C01" w:rsidRDefault="0081579F" w:rsidP="0081579F">
                          <w:pPr>
                            <w:rPr>
                              <w:rFonts w:ascii="Arial Narrow" w:hAnsi="Arial Narrow" w:cs="Arial"/>
                              <w:color w:val="000000" w:themeColor="text1"/>
                              <w:kern w:val="24"/>
                              <w:sz w:val="18"/>
                              <w:szCs w:val="18"/>
                            </w:rPr>
                          </w:pPr>
                          <w:r w:rsidRPr="004E4C01">
                            <w:rPr>
                              <w:rFonts w:ascii="Arial Narrow" w:hAnsi="Arial Narrow" w:cs="Arial"/>
                              <w:color w:val="000000" w:themeColor="text1"/>
                              <w:kern w:val="24"/>
                              <w:sz w:val="18"/>
                              <w:szCs w:val="18"/>
                            </w:rPr>
                            <w:t>Componente 2</w:t>
                          </w:r>
                        </w:p>
                      </w:txbxContent>
                    </v:textbox>
                  </v:shape>
                  <v:shape id="CuadroTexto 172" o:spid="_x0000_s1467" type="#_x0000_t202" style="position:absolute;left:36210;top:47130;width:7982;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" filled="f" stroked="f">
                    <v:textbox style="mso-fit-shape-to-text:t">
                      <w:txbxContent>
                        <w:p w14:paraId="3910586D" w14:textId="77777777" w:rsidR="0081579F" w:rsidRPr="004E4C01" w:rsidRDefault="0081579F" w:rsidP="0081579F">
                          <w:pPr>
                            <w:rPr>
                              <w:rFonts w:ascii="Arial Narrow" w:hAnsi="Arial Narrow" w:cs="Arial"/>
                              <w:color w:val="000000" w:themeColor="text1"/>
                              <w:kern w:val="24"/>
                              <w:sz w:val="18"/>
                              <w:szCs w:val="18"/>
                            </w:rPr>
                          </w:pPr>
                          <w:r w:rsidRPr="004E4C01">
                            <w:rPr>
                              <w:rFonts w:ascii="Arial Narrow" w:hAnsi="Arial Narrow" w:cs="Arial"/>
                              <w:color w:val="000000" w:themeColor="text1"/>
                              <w:kern w:val="24"/>
                              <w:sz w:val="18"/>
                              <w:szCs w:val="18"/>
                            </w:rPr>
                            <w:t>Componente 3</w:t>
                          </w:r>
                        </w:p>
                      </w:txbxContent>
                    </v:textbox>
                  </v:shape>
                  <v:shape id="CuadroTexto 173" o:spid="_x0000_s1468" type="#_x0000_t202" style="position:absolute;left:53043;top:47130;width:5321;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" filled="f" stroked="f">
                    <v:textbox style="mso-fit-shape-to-text:t">
                      <w:txbxContent>
                        <w:p w14:paraId="431D3227" w14:textId="77777777" w:rsidR="0081579F" w:rsidRPr="004E4C01" w:rsidRDefault="0081579F" w:rsidP="0081579F">
                          <w:pPr>
                            <w:rPr>
                              <w:rFonts w:ascii="Arial Narrow" w:hAnsi="Arial Narrow" w:cs="Arial"/>
                              <w:b/>
                              <w:bCs/>
                              <w:color w:val="000000" w:themeColor="text1"/>
                              <w:kern w:val="24"/>
                              <w:sz w:val="18"/>
                              <w:szCs w:val="18"/>
                            </w:rPr>
                          </w:pPr>
                          <w:r w:rsidRPr="004E4C01">
                            <w:rPr>
                              <w:rFonts w:ascii="Arial Narrow" w:hAnsi="Arial Narrow" w:cs="Arial"/>
                              <w:b/>
                              <w:bCs/>
                              <w:color w:val="000000" w:themeColor="text1"/>
                              <w:kern w:val="24"/>
                              <w:sz w:val="18"/>
                              <w:szCs w:val="18"/>
                            </w:rPr>
                            <w:t>Medio 1</w:t>
                          </w:r>
                        </w:p>
                      </w:txbxContent>
                    </v:textbox>
                  </v:shape>
                  <v:shape id="Proceso 124" o:spid="_x0000_s1469" type="#_x0000_t109" style="position:absolute;left:3;top:15301;width:8028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" filled="f" strokecolor="#7f7f7f [1612]" strokeweight=".25pt">
                    <v:textbox inset=".75mm,0,.75mm,0"/>
                  </v:shape>
                  <v:shape id="Proceso 124" o:spid="_x0000_s1470" type="#_x0000_t109" style="position:absolute;left:3;top:26821;width:8028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" filled="f" strokecolor="#7f7f7f [1612]" strokeweight=".25pt">
                    <v:textbox inset=".75mm,0,.75mm,0"/>
                  </v:shape>
                  <v:shape id="Proceso 124" o:spid="_x0000_s1471" type="#_x0000_t109" style="position:absolute;left:3;top:38341;width:8028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" filled="f" strokecolor="#7f7f7f [1612]" strokeweight=".25pt">
                    <v:textbox inset=".75mm,0,.75mm,0"/>
                  </v:shape>
                  <v:shape id="Proceso 124" o:spid="_x0000_s1472" type="#_x0000_t109" style="position:absolute;left:3;top:49861;width:8028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" filled="f" strokecolor="#7f7f7f [1612]" strokeweight=".25pt">
                    <v:textbox inset=".75mm,0,.75mm,0"/>
                  </v:shape>
                  <v:shape id="Proceso 111" o:spid="_x0000_s1473" type="#_x0000_t109" style="position:absolute;left:3;top:15785;width:802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" filled="f" stroked="f" strokeweight="2pt">
                    <v:textbox inset=".75mm,0,.75mm,0">
                      <w:txbxContent>
                        <w:p w14:paraId="5219D2DD" w14:textId="77777777" w:rsidR="0081579F" w:rsidRPr="00127BD4"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 xml:space="preserve">b) Determinar para cada unidad de análisis de los factores o componentes, la relación entre </w:t>
                          </w:r>
                          <w:r w:rsidRPr="00127BD4">
                            <w:rPr>
                              <w:rFonts w:ascii="Arial Narrow" w:hAnsi="Arial Narrow" w:cstheme="minorBidi"/>
                              <w:b/>
                              <w:bCs/>
                              <w:i/>
                              <w:iCs/>
                              <w:color w:val="000000" w:themeColor="dark1"/>
                              <w:kern w:val="24"/>
                              <w:sz w:val="20"/>
                              <w:szCs w:val="20"/>
                            </w:rPr>
                            <w:t>potencial normalizado de modificación del impacto</w:t>
                          </w:r>
                          <w:r w:rsidRPr="00127BD4">
                            <w:rPr>
                              <w:rFonts w:ascii="Arial Narrow" w:hAnsi="Arial Narrow" w:cstheme="minorBidi"/>
                              <w:b/>
                              <w:bCs/>
                              <w:color w:val="000000" w:themeColor="dark1"/>
                              <w:kern w:val="24"/>
                              <w:sz w:val="20"/>
                              <w:szCs w:val="20"/>
                            </w:rPr>
                            <w:t xml:space="preserve"> y </w:t>
                          </w:r>
                          <w:r w:rsidRPr="00127BD4">
                            <w:rPr>
                              <w:rFonts w:ascii="Arial Narrow" w:hAnsi="Arial Narrow" w:cstheme="minorBidi"/>
                              <w:b/>
                              <w:bCs/>
                              <w:i/>
                              <w:iCs/>
                              <w:color w:val="000000" w:themeColor="dark1"/>
                              <w:kern w:val="24"/>
                              <w:sz w:val="20"/>
                              <w:szCs w:val="20"/>
                            </w:rPr>
                            <w:t>sensibilidad ambiental</w:t>
                          </w:r>
                        </w:p>
                      </w:txbxContent>
                    </v:textbox>
                  </v:shape>
                  <v:shape id="Proceso 97" o:spid="_x0000_s1474" type="#_x0000_t109" style="position:absolute;left:3;top:26460;width:802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" filled="f" stroked="f" strokeweight="2pt">
                    <v:textbox inset=".75mm,0,.75mm,0">
                      <w:txbxContent>
                        <w:p w14:paraId="43BB5A2D" w14:textId="5CE91BE5" w:rsidR="0081579F" w:rsidRPr="00127BD4"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c) Asignar el tipo de manejo ambiental a cada unidad de análisis según relaciones y regla de decisió</w:t>
                          </w:r>
                          <w:r w:rsidRPr="00BA697D">
                            <w:rPr>
                              <w:rFonts w:ascii="Arial Narrow" w:hAnsi="Arial Narrow" w:cstheme="minorBidi"/>
                              <w:b/>
                              <w:bCs/>
                              <w:color w:val="000000" w:themeColor="dark1"/>
                              <w:kern w:val="24"/>
                              <w:sz w:val="20"/>
                              <w:szCs w:val="20"/>
                            </w:rPr>
                            <w:t xml:space="preserve">n de </w:t>
                          </w:r>
                          <w:r w:rsidR="00BA697D" w:rsidRPr="00BA697D">
                            <w:rPr>
                              <w:rFonts w:ascii="Arial Narrow" w:hAnsi="Arial Narrow" w:cstheme="minorBidi"/>
                              <w:b/>
                              <w:bCs/>
                              <w:color w:val="000000" w:themeColor="dark1"/>
                              <w:kern w:val="24"/>
                              <w:sz w:val="20"/>
                              <w:szCs w:val="20"/>
                            </w:rPr>
                            <w:fldChar w:fldCharType="begin"/>
                          </w:r>
                          <w:r w:rsidR="00BA697D" w:rsidRPr="00BA697D">
                            <w:rPr>
                              <w:rFonts w:ascii="Arial Narrow" w:hAnsi="Arial Narrow" w:cstheme="minorBidi"/>
                              <w:b/>
                              <w:bCs/>
                              <w:color w:val="000000" w:themeColor="dark1"/>
                              <w:kern w:val="24"/>
                              <w:sz w:val="20"/>
                              <w:szCs w:val="20"/>
                            </w:rPr>
                            <w:instrText xml:space="preserve"> REF _Ref81912062 \h  \* MERGEFORMAT </w:instrText>
                          </w:r>
                          <w:r w:rsidR="00BA697D" w:rsidRPr="00BA697D">
                            <w:rPr>
                              <w:rFonts w:ascii="Arial Narrow" w:hAnsi="Arial Narrow" w:cstheme="minorBidi"/>
                              <w:b/>
                              <w:bCs/>
                              <w:color w:val="000000" w:themeColor="dark1"/>
                              <w:kern w:val="24"/>
                              <w:sz w:val="20"/>
                              <w:szCs w:val="20"/>
                            </w:rPr>
                          </w:r>
                          <w:r w:rsidR="00BA697D" w:rsidRPr="00BA697D">
                            <w:rPr>
                              <w:rFonts w:ascii="Arial Narrow" w:hAnsi="Arial Narrow" w:cstheme="minorBidi"/>
                              <w:b/>
                              <w:bCs/>
                              <w:color w:val="000000" w:themeColor="dark1"/>
                              <w:kern w:val="24"/>
                              <w:sz w:val="20"/>
                              <w:szCs w:val="20"/>
                            </w:rPr>
                            <w:fldChar w:fldCharType="separate"/>
                          </w:r>
                          <w:r w:rsidR="002D73C1" w:rsidRPr="002D73C1">
                            <w:rPr>
                              <w:rFonts w:ascii="Arial Narrow" w:hAnsi="Arial Narrow" w:cs="Arial"/>
                              <w:b/>
                              <w:bCs/>
                              <w:sz w:val="20"/>
                              <w:szCs w:val="20"/>
                            </w:rPr>
                            <w:t xml:space="preserve">Tabla </w:t>
                          </w:r>
                          <w:r w:rsidR="002D73C1" w:rsidRPr="002D73C1">
                            <w:rPr>
                              <w:rFonts w:ascii="Arial Narrow" w:hAnsi="Arial Narrow" w:cs="Arial"/>
                              <w:b/>
                              <w:bCs/>
                              <w:noProof/>
                              <w:sz w:val="20"/>
                              <w:szCs w:val="20"/>
                            </w:rPr>
                            <w:t>39</w:t>
                          </w:r>
                          <w:r w:rsidR="00BA697D" w:rsidRPr="00BA697D">
                            <w:rPr>
                              <w:rFonts w:ascii="Arial Narrow" w:hAnsi="Arial Narrow" w:cstheme="minorBidi"/>
                              <w:b/>
                              <w:bCs/>
                              <w:color w:val="000000" w:themeColor="dark1"/>
                              <w:kern w:val="24"/>
                              <w:sz w:val="20"/>
                              <w:szCs w:val="20"/>
                            </w:rPr>
                            <w:fldChar w:fldCharType="end"/>
                          </w:r>
                        </w:p>
                      </w:txbxContent>
                    </v:textbox>
                  </v:shape>
                  <v:shape id="Proceso 97" o:spid="_x0000_s1475" type="#_x0000_t109" style="position:absolute;left:3;top:37398;width:802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" filled="f" stroked="f" strokeweight="2pt">
                    <v:textbox inset=".75mm,0,.75mm,0">
                      <w:txbxContent>
                        <w:p w14:paraId="057F4DCA" w14:textId="0CA0D4BB" w:rsidR="0081579F" w:rsidRPr="00BA697D"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 xml:space="preserve">d) Integrar la zonificación de manejo para factores/componentes, medios y proyecto según regla </w:t>
                          </w:r>
                          <w:r w:rsidRPr="00BA697D">
                            <w:rPr>
                              <w:rFonts w:ascii="Arial Narrow" w:hAnsi="Arial Narrow" w:cstheme="minorBidi"/>
                              <w:b/>
                              <w:bCs/>
                              <w:color w:val="000000" w:themeColor="dark1"/>
                              <w:kern w:val="24"/>
                              <w:sz w:val="20"/>
                              <w:szCs w:val="20"/>
                            </w:rPr>
                            <w:t xml:space="preserve">de decisión de </w:t>
                          </w:r>
                          <w:r w:rsidR="00BA697D" w:rsidRPr="00BA697D">
                            <w:rPr>
                              <w:rFonts w:ascii="Arial Narrow" w:hAnsi="Arial Narrow" w:cstheme="minorBidi"/>
                              <w:b/>
                              <w:bCs/>
                              <w:color w:val="000000" w:themeColor="dark1"/>
                              <w:kern w:val="24"/>
                              <w:sz w:val="20"/>
                              <w:szCs w:val="20"/>
                            </w:rPr>
                            <w:fldChar w:fldCharType="begin"/>
                          </w:r>
                          <w:r w:rsidR="00BA697D" w:rsidRPr="00BA697D">
                            <w:rPr>
                              <w:rFonts w:ascii="Arial Narrow" w:hAnsi="Arial Narrow" w:cstheme="minorBidi"/>
                              <w:b/>
                              <w:bCs/>
                              <w:color w:val="000000" w:themeColor="dark1"/>
                              <w:kern w:val="24"/>
                              <w:sz w:val="20"/>
                              <w:szCs w:val="20"/>
                            </w:rPr>
                            <w:instrText xml:space="preserve"> REF _Ref79220496 \h  \* MERGEFORMAT </w:instrText>
                          </w:r>
                          <w:r w:rsidR="00BA697D" w:rsidRPr="00BA697D">
                            <w:rPr>
                              <w:rFonts w:ascii="Arial Narrow" w:hAnsi="Arial Narrow" w:cstheme="minorBidi"/>
                              <w:b/>
                              <w:bCs/>
                              <w:color w:val="000000" w:themeColor="dark1"/>
                              <w:kern w:val="24"/>
                              <w:sz w:val="20"/>
                              <w:szCs w:val="20"/>
                            </w:rPr>
                          </w:r>
                          <w:r w:rsidR="00BA697D" w:rsidRPr="00BA697D">
                            <w:rPr>
                              <w:rFonts w:ascii="Arial Narrow" w:hAnsi="Arial Narrow" w:cstheme="minorBidi"/>
                              <w:b/>
                              <w:bCs/>
                              <w:color w:val="000000" w:themeColor="dark1"/>
                              <w:kern w:val="24"/>
                              <w:sz w:val="20"/>
                              <w:szCs w:val="20"/>
                            </w:rPr>
                            <w:fldChar w:fldCharType="separate"/>
                          </w:r>
                          <w:r w:rsidR="002D73C1" w:rsidRPr="002D73C1">
                            <w:rPr>
                              <w:rFonts w:ascii="Arial Narrow" w:hAnsi="Arial Narrow"/>
                              <w:b/>
                              <w:bCs/>
                              <w:sz w:val="20"/>
                              <w:szCs w:val="20"/>
                            </w:rPr>
                            <w:t xml:space="preserve">Tabla </w:t>
                          </w:r>
                          <w:r w:rsidR="002D73C1" w:rsidRPr="002D73C1">
                            <w:rPr>
                              <w:rFonts w:ascii="Arial Narrow" w:hAnsi="Arial Narrow"/>
                              <w:b/>
                              <w:bCs/>
                              <w:noProof/>
                              <w:sz w:val="20"/>
                              <w:szCs w:val="20"/>
                            </w:rPr>
                            <w:t>40</w:t>
                          </w:r>
                          <w:r w:rsidR="00BA697D" w:rsidRPr="00BA697D">
                            <w:rPr>
                              <w:rFonts w:ascii="Arial Narrow" w:hAnsi="Arial Narrow" w:cstheme="minorBidi"/>
                              <w:b/>
                              <w:bCs/>
                              <w:color w:val="000000" w:themeColor="dark1"/>
                              <w:kern w:val="24"/>
                              <w:sz w:val="20"/>
                              <w:szCs w:val="20"/>
                            </w:rPr>
                            <w:fldChar w:fldCharType="end"/>
                          </w:r>
                        </w:p>
                      </w:txbxContent>
                    </v:textbox>
                  </v:shape>
                  <v:shape id="Proceso 124" o:spid="_x0000_s1476" type="#_x0000_t109" style="position:absolute;left:3;width:802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" filled="f" stroked="f" strokeweight="2pt">
                    <v:textbox inset=".75mm,0,.75mm,0">
                      <w:txbxContent>
                        <w:p w14:paraId="7FD7DEE6" w14:textId="77777777" w:rsidR="0081579F" w:rsidRPr="00127BD4"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a) Recopilar información geográfica para cada unidad de análisis de los factores o componentes</w:t>
                          </w:r>
                        </w:p>
                      </w:txbxContent>
                    </v:textbox>
                  </v:shape>
                  <v:shape id="Proceso 124" o:spid="_x0000_s1477" type="#_x0000_t109" style="position:absolute;left:28317;top:2890;width:23757;height: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" filled="f" stroked="f" strokeweight="2pt">
                    <v:textbox inset=".75mm,0,.75mm,0">
                      <w:txbxContent>
                        <w:p w14:paraId="2698CCAE" w14:textId="77777777" w:rsidR="005A5954" w:rsidRPr="00127BD4" w:rsidRDefault="0081579F" w:rsidP="0081579F">
                          <w:pPr>
                            <w:jc w:val="center"/>
                            <w:rPr>
                              <w:rFonts w:ascii="Arial Narrow" w:hAnsi="Arial Narrow" w:cstheme="minorBidi"/>
                              <w:b/>
                              <w:bCs/>
                              <w:color w:val="000000" w:themeColor="dark1"/>
                              <w:kern w:val="24"/>
                              <w:sz w:val="18"/>
                              <w:szCs w:val="18"/>
                            </w:rPr>
                          </w:pPr>
                          <w:r w:rsidRPr="00127BD4">
                            <w:rPr>
                              <w:rFonts w:ascii="Arial Narrow" w:hAnsi="Arial Narrow" w:cstheme="minorBidi"/>
                              <w:b/>
                              <w:bCs/>
                              <w:color w:val="000000" w:themeColor="dark1"/>
                              <w:kern w:val="24"/>
                              <w:sz w:val="18"/>
                              <w:szCs w:val="18"/>
                            </w:rPr>
                            <w:t>Potencial normalizado de modificación del impacto</w:t>
                          </w:r>
                          <w:r w:rsidR="004E3447" w:rsidRPr="00127BD4">
                            <w:rPr>
                              <w:rFonts w:ascii="Arial Narrow" w:hAnsi="Arial Narrow" w:cstheme="minorBidi"/>
                              <w:b/>
                              <w:bCs/>
                              <w:color w:val="000000" w:themeColor="dark1"/>
                              <w:kern w:val="24"/>
                              <w:sz w:val="18"/>
                              <w:szCs w:val="18"/>
                            </w:rPr>
                            <w:t xml:space="preserve"> </w:t>
                          </w:r>
                        </w:p>
                        <w:p w14:paraId="1CF700ED" w14:textId="77777777" w:rsidR="005A5954" w:rsidRPr="00127BD4" w:rsidRDefault="005A5954" w:rsidP="0081579F">
                          <w:pPr>
                            <w:jc w:val="center"/>
                            <w:rPr>
                              <w:rFonts w:ascii="Arial Narrow" w:hAnsi="Arial Narrow" w:cstheme="minorBidi"/>
                              <w:color w:val="000000" w:themeColor="dark1"/>
                              <w:kern w:val="24"/>
                              <w:sz w:val="16"/>
                              <w:szCs w:val="16"/>
                            </w:rPr>
                          </w:pPr>
                        </w:p>
                        <w:p w14:paraId="178F1751" w14:textId="488477DC" w:rsidR="0081579F" w:rsidRPr="00127BD4" w:rsidRDefault="00C343B3"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w:t>
                          </w:r>
                          <w:r w:rsidR="004E3447" w:rsidRPr="00127BD4">
                            <w:rPr>
                              <w:rFonts w:ascii="Arial Narrow" w:hAnsi="Arial Narrow" w:cstheme="minorBidi"/>
                              <w:color w:val="000000" w:themeColor="dark1"/>
                              <w:kern w:val="24"/>
                              <w:sz w:val="16"/>
                              <w:szCs w:val="16"/>
                            </w:rPr>
                            <w:t>bajo</w:t>
                          </w:r>
                          <w:r w:rsidRPr="00127BD4">
                            <w:rPr>
                              <w:rFonts w:ascii="Arial Narrow" w:hAnsi="Arial Narrow" w:cstheme="minorBidi"/>
                              <w:color w:val="000000" w:themeColor="dark1"/>
                              <w:kern w:val="24"/>
                              <w:sz w:val="16"/>
                              <w:szCs w:val="16"/>
                            </w:rPr>
                            <w:t xml:space="preserve"> = </w:t>
                          </w:r>
                          <w:r w:rsidRPr="00127BD4">
                            <w:rPr>
                              <w:rFonts w:ascii="Arial Narrow" w:hAnsi="Arial Narrow" w:cstheme="minorBidi"/>
                              <w:i/>
                              <w:iCs/>
                              <w:color w:val="000000" w:themeColor="dark1"/>
                              <w:kern w:val="24"/>
                              <w:sz w:val="16"/>
                              <w:szCs w:val="16"/>
                            </w:rPr>
                            <w:t>B</w:t>
                          </w:r>
                          <w:r w:rsidRPr="00127BD4">
                            <w:rPr>
                              <w:rFonts w:ascii="Arial Narrow" w:hAnsi="Arial Narrow" w:cstheme="minorBidi"/>
                              <w:color w:val="000000" w:themeColor="dark1"/>
                              <w:kern w:val="24"/>
                              <w:sz w:val="16"/>
                              <w:szCs w:val="16"/>
                            </w:rPr>
                            <w:t>;</w:t>
                          </w:r>
                          <w:r w:rsidR="004E3447" w:rsidRPr="00127BD4">
                            <w:rPr>
                              <w:rFonts w:ascii="Arial Narrow" w:hAnsi="Arial Narrow" w:cstheme="minorBidi"/>
                              <w:color w:val="000000" w:themeColor="dark1"/>
                              <w:kern w:val="24"/>
                              <w:sz w:val="16"/>
                              <w:szCs w:val="16"/>
                            </w:rPr>
                            <w:t xml:space="preserve"> medio</w:t>
                          </w:r>
                          <w:r w:rsidRPr="00127BD4">
                            <w:rPr>
                              <w:rFonts w:ascii="Arial Narrow" w:hAnsi="Arial Narrow" w:cstheme="minorBidi"/>
                              <w:color w:val="000000" w:themeColor="dark1"/>
                              <w:kern w:val="24"/>
                              <w:sz w:val="16"/>
                              <w:szCs w:val="16"/>
                            </w:rPr>
                            <w:t xml:space="preserve"> = </w:t>
                          </w:r>
                          <w:r w:rsidRPr="00127BD4">
                            <w:rPr>
                              <w:rFonts w:ascii="Arial Narrow" w:hAnsi="Arial Narrow" w:cstheme="minorBidi"/>
                              <w:i/>
                              <w:iCs/>
                              <w:color w:val="000000" w:themeColor="dark1"/>
                              <w:kern w:val="24"/>
                              <w:sz w:val="16"/>
                              <w:szCs w:val="16"/>
                            </w:rPr>
                            <w:t>M</w:t>
                          </w:r>
                          <w:r w:rsidRPr="00127BD4">
                            <w:rPr>
                              <w:rFonts w:ascii="Arial Narrow" w:hAnsi="Arial Narrow" w:cstheme="minorBidi"/>
                              <w:color w:val="000000" w:themeColor="dark1"/>
                              <w:kern w:val="24"/>
                              <w:sz w:val="16"/>
                              <w:szCs w:val="16"/>
                            </w:rPr>
                            <w:t>;</w:t>
                          </w:r>
                          <w:r w:rsidR="004E3447" w:rsidRPr="00127BD4">
                            <w:rPr>
                              <w:rFonts w:ascii="Arial Narrow" w:hAnsi="Arial Narrow" w:cstheme="minorBidi"/>
                              <w:color w:val="000000" w:themeColor="dark1"/>
                              <w:kern w:val="24"/>
                              <w:sz w:val="16"/>
                              <w:szCs w:val="16"/>
                            </w:rPr>
                            <w:t xml:space="preserve"> alto </w:t>
                          </w:r>
                          <w:r w:rsidRPr="00127BD4">
                            <w:rPr>
                              <w:rFonts w:ascii="Arial Narrow" w:hAnsi="Arial Narrow" w:cstheme="minorBidi"/>
                              <w:color w:val="000000" w:themeColor="dark1"/>
                              <w:kern w:val="24"/>
                              <w:sz w:val="16"/>
                              <w:szCs w:val="16"/>
                            </w:rPr>
                            <w:t xml:space="preserve">= </w:t>
                          </w:r>
                          <w:r w:rsidRPr="00127BD4">
                            <w:rPr>
                              <w:rFonts w:ascii="Arial Narrow" w:hAnsi="Arial Narrow" w:cstheme="minorBidi"/>
                              <w:i/>
                              <w:iCs/>
                              <w:color w:val="000000" w:themeColor="dark1"/>
                              <w:kern w:val="24"/>
                              <w:sz w:val="16"/>
                              <w:szCs w:val="16"/>
                            </w:rPr>
                            <w:t>A</w:t>
                          </w:r>
                          <w:r w:rsidRPr="00127BD4">
                            <w:rPr>
                              <w:rFonts w:ascii="Arial Narrow" w:hAnsi="Arial Narrow" w:cstheme="minorBidi"/>
                              <w:color w:val="000000" w:themeColor="dark1"/>
                              <w:kern w:val="24"/>
                              <w:sz w:val="16"/>
                              <w:szCs w:val="16"/>
                            </w:rPr>
                            <w:t xml:space="preserve"> </w:t>
                          </w:r>
                          <w:r w:rsidR="004E3447" w:rsidRPr="00127BD4">
                            <w:rPr>
                              <w:rFonts w:ascii="Arial Narrow" w:hAnsi="Arial Narrow" w:cstheme="minorBidi"/>
                              <w:color w:val="000000" w:themeColor="dark1"/>
                              <w:kern w:val="24"/>
                              <w:sz w:val="16"/>
                              <w:szCs w:val="16"/>
                            </w:rPr>
                            <w:t>y</w:t>
                          </w:r>
                          <w:r w:rsidR="00070C76" w:rsidRPr="00127BD4">
                            <w:rPr>
                              <w:rFonts w:ascii="Arial Narrow" w:hAnsi="Arial Narrow" w:cstheme="minorBidi"/>
                              <w:color w:val="000000" w:themeColor="dark1"/>
                              <w:kern w:val="24"/>
                              <w:sz w:val="16"/>
                              <w:szCs w:val="16"/>
                            </w:rPr>
                            <w:t>;</w:t>
                          </w:r>
                          <w:r w:rsidR="004E3447" w:rsidRPr="00127BD4">
                            <w:rPr>
                              <w:rFonts w:ascii="Arial Narrow" w:hAnsi="Arial Narrow" w:cstheme="minorBidi"/>
                              <w:color w:val="000000" w:themeColor="dark1"/>
                              <w:kern w:val="24"/>
                              <w:sz w:val="16"/>
                              <w:szCs w:val="16"/>
                            </w:rPr>
                            <w:t xml:space="preserve"> muy alto</w:t>
                          </w:r>
                          <w:r w:rsidR="00070C76" w:rsidRPr="00127BD4">
                            <w:rPr>
                              <w:rFonts w:ascii="Arial Narrow" w:hAnsi="Arial Narrow" w:cstheme="minorBidi"/>
                              <w:color w:val="000000" w:themeColor="dark1"/>
                              <w:kern w:val="24"/>
                              <w:sz w:val="16"/>
                              <w:szCs w:val="16"/>
                            </w:rPr>
                            <w:t xml:space="preserve"> = </w:t>
                          </w:r>
                          <w:r w:rsidR="00070C76" w:rsidRPr="00127BD4">
                            <w:rPr>
                              <w:rFonts w:ascii="Arial Narrow" w:hAnsi="Arial Narrow" w:cstheme="minorBidi"/>
                              <w:i/>
                              <w:iCs/>
                              <w:color w:val="000000" w:themeColor="dark1"/>
                              <w:kern w:val="24"/>
                              <w:sz w:val="16"/>
                              <w:szCs w:val="16"/>
                            </w:rPr>
                            <w:t>MA</w:t>
                          </w:r>
                          <w:r w:rsidR="00070C76" w:rsidRPr="00127BD4">
                            <w:rPr>
                              <w:rFonts w:ascii="Arial Narrow" w:hAnsi="Arial Narrow" w:cstheme="minorBidi"/>
                              <w:color w:val="000000" w:themeColor="dark1"/>
                              <w:kern w:val="24"/>
                              <w:sz w:val="16"/>
                              <w:szCs w:val="16"/>
                            </w:rPr>
                            <w:t>)</w:t>
                          </w:r>
                        </w:p>
                      </w:txbxContent>
                    </v:textbox>
                  </v:shape>
                  <v:shape id="Proceso 124" o:spid="_x0000_s1478" type="#_x0000_t109" style="position:absolute;left:-333;top:2714;width:20335;height:3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" filled="f" stroked="f" strokeweight="2pt">
                    <v:textbox inset=".75mm,0,.75mm,0">
                      <w:txbxContent>
                        <w:p w14:paraId="213D31FE" w14:textId="77777777" w:rsidR="00B0752B" w:rsidRPr="00127BD4" w:rsidRDefault="0081579F" w:rsidP="0081579F">
                          <w:pPr>
                            <w:jc w:val="center"/>
                            <w:rPr>
                              <w:rFonts w:ascii="Arial Narrow" w:hAnsi="Arial Narrow" w:cstheme="minorBidi"/>
                              <w:b/>
                              <w:bCs/>
                              <w:color w:val="000000" w:themeColor="dark1"/>
                              <w:kern w:val="24"/>
                              <w:sz w:val="18"/>
                              <w:szCs w:val="18"/>
                            </w:rPr>
                          </w:pPr>
                          <w:r w:rsidRPr="00127BD4">
                            <w:rPr>
                              <w:rFonts w:ascii="Arial Narrow" w:hAnsi="Arial Narrow" w:cstheme="minorBidi"/>
                              <w:b/>
                              <w:bCs/>
                              <w:color w:val="000000" w:themeColor="dark1"/>
                              <w:kern w:val="24"/>
                              <w:sz w:val="18"/>
                              <w:szCs w:val="18"/>
                            </w:rPr>
                            <w:t>Sensibilidad ambiental</w:t>
                          </w:r>
                          <w:r w:rsidR="00667441" w:rsidRPr="00127BD4">
                            <w:rPr>
                              <w:rFonts w:ascii="Arial Narrow" w:hAnsi="Arial Narrow" w:cstheme="minorBidi"/>
                              <w:b/>
                              <w:bCs/>
                              <w:color w:val="000000" w:themeColor="dark1"/>
                              <w:kern w:val="24"/>
                              <w:sz w:val="18"/>
                              <w:szCs w:val="18"/>
                            </w:rPr>
                            <w:t xml:space="preserve"> </w:t>
                          </w:r>
                        </w:p>
                        <w:p w14:paraId="34822DD7" w14:textId="77777777" w:rsidR="005771FA" w:rsidRDefault="00667441"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(muy baja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mb</w:t>
                          </w:r>
                          <w:r w:rsidR="005B7C0B" w:rsidRPr="00127BD4">
                            <w:rPr>
                              <w:rFonts w:ascii="Arial Narrow" w:hAnsi="Arial Narrow" w:cstheme="minorBidi"/>
                              <w:color w:val="000000" w:themeColor="dark1"/>
                              <w:kern w:val="24"/>
                              <w:sz w:val="16"/>
                              <w:szCs w:val="16"/>
                            </w:rPr>
                            <w:t>;</w:t>
                          </w:r>
                          <w:r w:rsidRPr="00127BD4">
                            <w:rPr>
                              <w:rFonts w:ascii="Arial Narrow" w:hAnsi="Arial Narrow" w:cstheme="minorBidi"/>
                              <w:color w:val="000000" w:themeColor="dark1"/>
                              <w:kern w:val="24"/>
                              <w:sz w:val="16"/>
                              <w:szCs w:val="16"/>
                            </w:rPr>
                            <w:t xml:space="preserve"> baja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b</w:t>
                          </w:r>
                          <w:r w:rsidR="005B7C0B" w:rsidRPr="00127BD4">
                            <w:rPr>
                              <w:rFonts w:ascii="Arial Narrow" w:hAnsi="Arial Narrow" w:cstheme="minorBidi"/>
                              <w:color w:val="000000" w:themeColor="dark1"/>
                              <w:kern w:val="24"/>
                              <w:sz w:val="16"/>
                              <w:szCs w:val="16"/>
                            </w:rPr>
                            <w:t>;</w:t>
                          </w:r>
                          <w:r w:rsidRPr="00127BD4">
                            <w:rPr>
                              <w:rFonts w:ascii="Arial Narrow" w:hAnsi="Arial Narrow" w:cstheme="minorBidi"/>
                              <w:color w:val="000000" w:themeColor="dark1"/>
                              <w:kern w:val="24"/>
                              <w:sz w:val="16"/>
                              <w:szCs w:val="16"/>
                            </w:rPr>
                            <w:t xml:space="preserve"> media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m</w:t>
                          </w:r>
                          <w:r w:rsidRPr="00127BD4">
                            <w:rPr>
                              <w:rFonts w:ascii="Arial Narrow" w:hAnsi="Arial Narrow" w:cstheme="minorBidi"/>
                              <w:color w:val="000000" w:themeColor="dark1"/>
                              <w:kern w:val="24"/>
                              <w:sz w:val="16"/>
                              <w:szCs w:val="16"/>
                            </w:rPr>
                            <w:t>, alta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a</w:t>
                          </w:r>
                          <w:r w:rsidRPr="00127BD4">
                            <w:rPr>
                              <w:rFonts w:ascii="Arial Narrow" w:hAnsi="Arial Narrow" w:cstheme="minorBidi"/>
                              <w:color w:val="000000" w:themeColor="dark1"/>
                              <w:kern w:val="24"/>
                              <w:sz w:val="16"/>
                              <w:szCs w:val="16"/>
                            </w:rPr>
                            <w:t xml:space="preserve"> y</w:t>
                          </w:r>
                          <w:r w:rsidR="005B7C0B" w:rsidRPr="00127BD4">
                            <w:rPr>
                              <w:rFonts w:ascii="Arial Narrow" w:hAnsi="Arial Narrow" w:cstheme="minorBidi"/>
                              <w:color w:val="000000" w:themeColor="dark1"/>
                              <w:kern w:val="24"/>
                              <w:sz w:val="16"/>
                              <w:szCs w:val="16"/>
                            </w:rPr>
                            <w:t>;</w:t>
                          </w:r>
                        </w:p>
                        <w:p w14:paraId="677E3858" w14:textId="37759281" w:rsidR="0081579F" w:rsidRPr="00127BD4" w:rsidRDefault="00667441" w:rsidP="0081579F">
                          <w:pPr>
                            <w:jc w:val="center"/>
                            <w:rPr>
                              <w:rFonts w:ascii="Arial Narrow" w:hAnsi="Arial Narrow" w:cstheme="minorBidi"/>
                              <w:color w:val="000000" w:themeColor="dark1"/>
                              <w:kern w:val="24"/>
                              <w:sz w:val="18"/>
                              <w:szCs w:val="18"/>
                            </w:rPr>
                          </w:pPr>
                          <w:r w:rsidRPr="00127BD4">
                            <w:rPr>
                              <w:rFonts w:ascii="Arial Narrow" w:hAnsi="Arial Narrow" w:cstheme="minorBidi"/>
                              <w:color w:val="000000" w:themeColor="dark1"/>
                              <w:kern w:val="24"/>
                              <w:sz w:val="16"/>
                              <w:szCs w:val="16"/>
                            </w:rPr>
                            <w:t>muy alta</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color w:val="000000" w:themeColor="dark1"/>
                              <w:kern w:val="24"/>
                              <w:sz w:val="16"/>
                              <w:szCs w:val="16"/>
                            </w:rPr>
                            <w:t>=</w:t>
                          </w:r>
                          <w:r w:rsidR="0055137C" w:rsidRPr="00127BD4">
                            <w:rPr>
                              <w:rFonts w:ascii="Arial Narrow" w:hAnsi="Arial Narrow" w:cstheme="minorBidi"/>
                              <w:color w:val="000000" w:themeColor="dark1"/>
                              <w:kern w:val="24"/>
                              <w:sz w:val="16"/>
                              <w:szCs w:val="16"/>
                            </w:rPr>
                            <w:t xml:space="preserve"> </w:t>
                          </w:r>
                          <w:r w:rsidR="005B7C0B" w:rsidRPr="00127BD4">
                            <w:rPr>
                              <w:rFonts w:ascii="Arial Narrow" w:hAnsi="Arial Narrow" w:cstheme="minorBidi"/>
                              <w:i/>
                              <w:iCs/>
                              <w:color w:val="000000" w:themeColor="dark1"/>
                              <w:kern w:val="24"/>
                              <w:sz w:val="16"/>
                              <w:szCs w:val="16"/>
                            </w:rPr>
                            <w:t>ma</w:t>
                          </w:r>
                          <w:r w:rsidRPr="00127BD4">
                            <w:rPr>
                              <w:rFonts w:ascii="Arial Narrow" w:hAnsi="Arial Narrow" w:cstheme="minorBidi"/>
                              <w:color w:val="000000" w:themeColor="dark1"/>
                              <w:kern w:val="24"/>
                              <w:sz w:val="16"/>
                              <w:szCs w:val="16"/>
                            </w:rPr>
                            <w:t>)</w:t>
                          </w:r>
                        </w:p>
                      </w:txbxContent>
                    </v:textbox>
                  </v:shape>
                  <v:shape id="Proceso 97" o:spid="_x0000_s1479" type="#_x0000_t109" style="position:absolute;left:3;top:49491;width:802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" filled="f" stroked="f" strokeweight="2pt">
                    <v:textbox inset=".75mm,0,.75mm,0">
                      <w:txbxContent>
                        <w:p w14:paraId="70447177" w14:textId="77777777" w:rsidR="0081579F" w:rsidRPr="00127BD4" w:rsidRDefault="0081579F" w:rsidP="0081579F">
                          <w:pPr>
                            <w:jc w:val="center"/>
                            <w:rPr>
                              <w:rFonts w:ascii="Arial Narrow" w:hAnsi="Arial Narrow" w:cstheme="minorBidi"/>
                              <w:b/>
                              <w:bCs/>
                              <w:color w:val="000000" w:themeColor="dark1"/>
                              <w:kern w:val="24"/>
                              <w:sz w:val="20"/>
                              <w:szCs w:val="20"/>
                            </w:rPr>
                          </w:pPr>
                          <w:r w:rsidRPr="00127BD4">
                            <w:rPr>
                              <w:rFonts w:ascii="Arial Narrow" w:hAnsi="Arial Narrow" w:cstheme="minorBidi"/>
                              <w:b/>
                              <w:bCs/>
                              <w:color w:val="000000" w:themeColor="dark1"/>
                              <w:kern w:val="24"/>
                              <w:sz w:val="20"/>
                              <w:szCs w:val="20"/>
                            </w:rPr>
                            <w:t>e) Reclasificar la zonificación de acuerdo con la normativa</w:t>
                          </w:r>
                        </w:p>
                      </w:txbxContent>
                    </v:textbox>
                  </v:shape>
                  <v:shape id="Proceso 124" o:spid="_x0000_s1480" type="#_x0000_t109" style="position:absolute;left:63957;top:2170;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" filled="f" stroked="f" strokeweight="2pt">
                    <v:textbox inset=".75mm,0,.75mm,0">
                      <w:txbxContent>
                        <w:p w14:paraId="0CC1D8D8" w14:textId="77777777" w:rsidR="0081579F" w:rsidRPr="00127BD4" w:rsidRDefault="0081579F" w:rsidP="0081579F">
                          <w:pPr>
                            <w:jc w:val="center"/>
                            <w:rPr>
                              <w:rFonts w:ascii="Arial Narrow" w:hAnsi="Arial Narrow" w:cstheme="minorBidi"/>
                              <w:b/>
                              <w:bCs/>
                              <w:color w:val="000000" w:themeColor="dark1"/>
                              <w:kern w:val="24"/>
                              <w:sz w:val="18"/>
                              <w:szCs w:val="18"/>
                            </w:rPr>
                          </w:pPr>
                          <w:r w:rsidRPr="00127BD4">
                            <w:rPr>
                              <w:rFonts w:ascii="Arial Narrow" w:hAnsi="Arial Narrow" w:cstheme="minorBidi"/>
                              <w:b/>
                              <w:bCs/>
                              <w:color w:val="000000" w:themeColor="dark1"/>
                              <w:kern w:val="24"/>
                              <w:sz w:val="18"/>
                              <w:szCs w:val="18"/>
                            </w:rPr>
                            <w:t>Normativa</w:t>
                          </w:r>
                        </w:p>
                      </w:txbxContent>
                    </v:textbox>
                  </v:shape>
                  <v:group id="Grupo 1404014194" o:spid="_x0000_s1481" style="position:absolute;left:63971;top:6429;width:14400;height:7451" coordorigin="63971,6429" coordsize="14400,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">
                    <v:group id="Grupo 650768642" o:spid="_x0000_s1482" style="position:absolute;left:63971;top:6673;width:14400;height:7207" coordorigin="63971,6673" coordsize="1440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">
                      <v:shape id="Proceso 124" o:spid="_x0000_s1483" type="#_x0000_t109" style="position:absolute;left:63971;top:6680;width:14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" filled="f" strokecolor="#0070c0" strokeweight=".25pt">
                        <v:textbox inset=".75mm,0,.75mm,0"/>
                      </v:shape>
                      <v:shape id="Forma libre: forma 928614938" o:spid="_x0000_s1484" style="position:absolute;left:67713;top:6673;width:5953;height:3488;visibility:visible;mso-wrap-style:square;v-text-anchor:middle" coordsize="595313,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" path="m16669,v-794,14288,-1141,28607,-2381,42863c13937,46895,12571,50777,11906,54769v-923,5536,-1528,11122,-2381,16669c8791,76210,7708,80930,7144,85725,6120,94432,5851,103219,4763,111919v-502,4016,-1658,7924,-2382,11906c1517,128575,794,133350,,138113v1918,30682,1176,60646,7144,90487c7786,231809,8236,235117,9525,238125v3129,7301,6860,8232,11906,14288c23263,254612,23959,257769,26194,259557v5847,4678,19050,11906,19050,11906c46831,273844,47982,276583,50006,278607v4615,4615,8479,5207,14288,7143c66191,293339,67846,299317,69056,307182v23,152,2244,24167,4763,28575c75490,338681,78161,341032,80963,342900v4567,3045,22325,4515,23812,4763c113843,349174,117644,350285,126206,352425v3175,-794,6517,-1092,9525,-2381c138362,348917,140315,346562,142875,345282v2245,-1123,4763,-1588,7144,-2382c157163,343694,164346,344189,171450,345282v3235,498,6316,1739,9525,2381c185710,348610,190500,349250,195263,350044v4918,-546,23458,-1638,30956,-4762c271885,326255,227461,341185,254794,333375v2414,-690,4651,-2088,7144,-2381c273002,329692,284163,329407,295275,328613v2381,-2381,4486,-5076,7144,-7144c308454,316775,315811,311025,323850,309563v6296,-1145,12700,-1587,19050,-2381c348708,305245,352574,304652,357188,300038v5967,-5967,2211,-9104,11906,-9525c403202,289030,437357,288926,471488,288132v7004,-9340,6928,-7148,9525,-16669c482735,265148,485775,252413,485775,252413v-794,-4763,-854,-9707,-2381,-14288c482699,236041,471653,221677,471488,221457v-13257,-39771,-805,-4393,-14288,-38100c456268,181026,455808,178520,454819,176213v-5916,-13804,-5185,-6456,-9525,-23813c443706,146050,444162,138796,440531,133350r-9525,-14287c433387,116682,435084,113313,438150,111919v9975,-4534,25022,-5199,35719,-7144c490207,101804,476931,103414,490538,100013v3926,-982,7937,-1587,11906,-2381c509989,93859,515312,91907,521494,85725v2023,-2023,3342,-4658,4762,-7143c530966,70341,530728,69930,533400,61913v794,-8731,-766,-18011,2381,-26194c537055,32406,542043,32355,545306,30957v2307,-989,4899,-1259,7144,-2382c568891,20355,549300,26386,569119,21432v3731,-1866,13306,-6162,16669,-9525c597282,413,584425,7825,595313,2382e" filled="f" strokecolor="#0070c0">
                        <v:path arrowok="t" o:connecttype="custom" o:connectlocs="16669,0;14288,42430;11906,54215;9525,70716;7144,84858;4763,110787;2381,122573;0,136716;7144,226288;9525,235717;21431,249860;26194,256932;45244,268718;50006,275790;64294,282860;69056,304076;73819,332362;80963,339432;104775,344147;126206,348861;135731,346504;142875,341790;150019,339432;171450,341790;180975,344147;195263,346504;226219,341790;254794,330004;261938,327647;295275,325290;302419,318218;323850,306432;342900,304076;357188,297004;369094,287575;471488,285218;481013,268718;485775,249860;483394,235717;471488,219217;457200,181503;454819,174431;445294,150859;440531,132001;431006,117859;438150,110787;473869,103715;490538,99002;502444,96645;521494,84858;526256,77787;533400,61287;535781,35358;545306,30644;552450,28286;569119,21215;585788,11787;595313,2358" o:connectangles="0,0,0,0,0,0,0,0,0,0,0,0,0,0,0,0,0,0,0,0,0,0,0,0,0,0,0,0,0,0,0,0,0,0,0,0,0,0,0,0,0,0,0,0,0,0,0,0,0,0,0,0,0,0,0,0,0,0"/>
                      </v:shape>
                      <v:shape id="Forma libre: forma 227756163" o:spid="_x0000_s1485" style="position:absolute;left:71313;top:9654;width:4745;height:4219;visibility:visible;mso-wrap-style:square;v-text-anchor:middle" coordsize="474532,42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" path="m469106,421823v5822,-34935,6106,-32722,4763,-90488c473234,304031,475138,308158,459581,300379v-4762,-6350,-9884,-12446,-14287,-19050c443706,278948,442432,276324,440531,274185v-21748,-24467,-8240,-5217,-19050,-21431c415749,235557,421983,256007,416719,221798v-382,-2481,-1588,-4763,-2382,-7144c413543,209892,412374,205177,411956,200367v-1171,-13467,-376,-27114,-2381,-40482c409150,157055,407239,154259,404812,152742v-4257,-2661,-9417,-3546,-14287,-4763l371475,143217v-15875,794,-31790,1004,-47625,2381c308656,146919,324181,148131,311944,155123v-3514,2008,-7938,1587,-11907,2381c288925,156710,277544,157675,266700,155123v-7675,-1806,-7006,-9251,-9525,-14288c254856,136197,249362,129472,245269,126548v-2889,-2063,-6481,-2937,-9525,-4763c230836,118840,226219,115435,221456,112260v-4762,-3175,-9379,-6581,-14287,-9525l195262,95592v-1587,-2381,-2417,-5503,-4762,-7144c184684,84377,177357,82861,171450,78923r-7144,-4763l154781,59873v-1587,-2381,-2202,-5864,-4762,-7144c143669,49554,137931,44596,130969,43204v-3969,-794,-7956,-1503,-11907,-2381c115867,40113,112781,38875,109537,38442,100847,37283,92075,36854,83344,36060v-3175,-794,-6316,-1739,-9525,-2381c69084,32732,64281,32162,59531,31298,55549,30574,51594,29711,47625,28917,44450,27329,41396,25472,38100,24154,33439,22290,27362,22942,23812,19392,8839,4419,29966,5452,9525,342,6445,-428,3175,342,,342e" filled="f" strokecolor="#0070c0">
                        <v:path arrowok="t" o:connecttype="custom" o:connectlocs="469106,421823;473869,331335;459581,300379;445294,281329;440531,274185;421481,252754;416719,221798;414337,214654;411956,200367;409575,159885;404812,152742;390525,147979;371475,143217;323850,145598;311944,155123;300037,157504;266700,155123;257175,140835;245269,126548;235744,121785;221456,112260;207169,102735;195262,95592;190500,88448;171450,78923;164306,74160;154781,59873;150019,52729;130969,43204;119062,40823;109537,38442;83344,36060;73819,33679;59531,31298;47625,28917;38100,24154;23812,19392;9525,342;0,342" o:connectangles="0,0,0,0,0,0,0,0,0,0,0,0,0,0,0,0,0,0,0,0,0,0,0,0,0,0,0,0,0,0,0,0,0,0,0,0,0,0,0"/>
                      </v:shape>
                    </v:group>
                    <v:shape id="Proceso 124" o:spid="_x0000_s1486" type="#_x0000_t109" style="position:absolute;left:68316;top:642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" filled="f" stroked="f" strokeweight="2pt">
                      <v:textbox inset=".75mm,0,.75mm,0">
                        <w:txbxContent>
                          <w:p w14:paraId="03A89EA1"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AE</w:t>
                            </w:r>
                          </w:p>
                        </w:txbxContent>
                      </v:textbox>
                    </v:shape>
                    <v:shape id="Proceso 124" o:spid="_x0000_s1487" type="#_x0000_t109" style="position:absolute;left:73971;top:763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" filled="f" stroked="f" strokeweight="2pt">
                      <v:textbox inset=".75mm,0,.75mm,0">
                        <w:txbxContent>
                          <w:p w14:paraId="76DA36E4"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AIR</w:t>
                            </w:r>
                          </w:p>
                        </w:txbxContent>
                      </v:textbox>
                    </v:shape>
                    <v:shape id="Proceso 124" o:spid="_x0000_s1488" type="#_x0000_t109" style="position:absolute;left:66649;top:984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" filled="f" stroked="f" strokeweight="2pt">
                      <v:textbox inset=".75mm,0,.75mm,0">
                        <w:txbxContent>
                          <w:p w14:paraId="2C78AFB5"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AI</w:t>
                            </w:r>
                          </w:p>
                        </w:txbxContent>
                      </v:textbox>
                    </v:shape>
                  </v:group>
                  <v:group id="Grupo 756239306" o:spid="_x0000_s1489" style="position:absolute;left:63971;top:52861;width:14402;height:7207" coordorigin="63971,52861" coordsize="14402,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">
                    <v:group id="Grupo 1236343798" o:spid="_x0000_s1490" style="position:absolute;left:63971;top:52861;width:14402;height:7207" coordorigin="63971,52861" coordsize="14402,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">
                      <v:group id="Grupo 1830357241" o:spid="_x0000_s1491" style="position:absolute;left:63971;top:52861;width:14402;height:7207" coordorigin="63971,52861" coordsize="14402,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">
                        <v:shape id="Forma libre: forma 1295083889" o:spid="_x0000_s1492" style="position:absolute;left:71456;top:52868;width:6917;height:7200;visibility:visible;mso-wrap-style:square;v-text-anchor:middle" coordsize="691711,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" path="m455615,242093v23029,2303,66743,6488,85725,9525c549958,252997,558236,256006,566740,257968v5795,1337,9679,2194,12191,2713l581947,261203r10124,3030c597470,265815,604722,267913,614365,270668v4196,1199,8648,1554,12700,3175c633657,276480,639765,280193,646115,283368v5292,1058,10822,1280,15875,3175c670629,289783,678022,300285,684215,305593r7496,5692l691711,720000r-233611,l455615,680243v2311,-9244,5006,-19170,6350,-28575c463320,642181,464082,632618,465140,623093v,,-3864,-12835,-6350,-19050c454762,593972,451818,590410,446090,581818v-5812,-8717,-15680,-14044,-22225,-22225c421774,556980,422008,553144,420690,550068v-2876,-6710,-12043,-23649,-15875,-28575c401139,516767,393639,514583,392115,508793v-4049,-15386,-2117,-31750,-3175,-47625c369890,457993,351030,453316,331790,451643v-5376,-467,-10533,2412,-15875,3175c306428,456173,296865,456935,287340,457993v-5292,-1058,-10822,-1280,-15875,-3175c255686,448901,266190,450080,258765,438943v-2491,-3736,-6350,-6350,-9525,-9525c249240,429418,232344,425030,223840,423068v-541,-125,-22301,-3767,-25400,-6350c194375,413330,192657,407760,188915,404018v-2698,-2698,-6827,-3652,-9525,-6350c176692,394970,175523,391040,173040,388143v-23097,-26947,-4472,-358,-19050,-22225l144465,359568v-6350,-4233,-12506,-8773,-19050,-12700c117718,342250,111551,339732,103190,337343v-4196,-1199,-8504,-1976,-12700,-3175c87272,333249,84302,331250,80965,330993,56672,329124,30864,336071,7940,327818,-271,324862,-1585,308768,1590,302418v1588,-3175,459,-6350,2673,-8731l8814,291698r20670,-1149l36515,292893v13692,1712,27517,2117,41275,3175c96327,289889,78426,295306,106365,289718v4279,-856,8407,-2394,12700,-3175c126428,285204,133927,284707,141290,283368v4293,-781,8504,-1976,12700,-3175c157208,279274,160222,277617,163515,277018v51117,-9294,877,3831,47625,-9525c230201,265375,240950,264706,258765,261143v4279,-856,8448,-2194,12700,-3175c280972,255774,290542,253853,300040,251618v8495,-1999,16689,-5817,25400,-6350c368763,242616,412223,243151,455615,242093xm223733,l691711,r,311284l684215,305592v-6193,-5308,-13586,-15810,-22225,-19050c656937,284647,651407,284425,646115,283367v-6350,-3175,-12458,-6888,-19050,-9525c623013,272221,618561,271866,614365,270667v-9643,-2755,-16895,-4853,-22294,-6435l581947,261202r942,163c584111,261305,571979,258112,580898,260888r1049,314l578931,260680v-2512,-519,-6396,-1376,-12191,-2713c558236,256005,549958,252996,541340,251617v-18982,-3037,-62696,-7222,-85725,-9525c412223,243150,368763,242615,325440,245267v-8711,533,-16905,4351,-25400,6350c290542,253852,280972,255773,271465,257967v-4252,981,-8421,2319,-12700,3175c240950,264705,230201,265374,211140,267492v-46748,13356,3492,231,-47625,9525c160222,277616,157208,279273,153990,280192v-4196,1199,-8407,2394,-12700,3175c133927,284706,126428,285203,119065,286542v-4293,781,-8421,2319,-12700,3175c78426,295305,96327,289888,77790,296067,64032,295009,50207,294604,36515,292892r-7031,-2344l58740,288923v19194,-4798,8560,-1795,31750,-9525c93665,278340,97230,278079,100015,276223r9525,-6350c108482,261406,109281,252492,106365,244473v-1534,-4220,-6650,-6076,-9525,-9525c94397,232017,92040,228910,90490,225423v-2718,-6117,-4727,-12556,-6350,-19050c76481,175738,79502,189531,74615,165098v-1058,-11642,263,-23752,-3175,-34925c70318,126526,61915,127639,61915,123823v,-4490,5509,-7517,9525,-9525c76267,111885,82146,112674,87315,111123v5459,-1638,10667,-4035,15875,-6350c107515,102851,111400,99920,115890,98423v8279,-2760,25400,-6350,25400,-6350c144465,87840,148448,84106,150815,79373v1951,-3903,2228,-8440,3175,-12700c155161,61405,154028,55189,157165,50798v4593,-6430,22806,-8083,28575,-9525c196256,38644,195478,37956,204790,31748v2117,-3175,3652,-6827,6350,-9525c213838,19525,218548,19048,220665,15873v2421,-3631,2117,-8467,3175,-12700l223733,xe" fillcolor="yellow" stroked="f" strokeweight=".25pt">
                          <v:path arrowok="t" o:connecttype="custom" o:connectlocs="455615,242093;541340,251618;566740,257968;578931,260681;581947,261203;592071,264233;614365,270668;627065,273843;646115,283368;661990,286543;684215,305593;691711,311285;691711,720000;458100,720000;455615,680243;461965,651668;465140,623093;458790,604043;446090,581818;423865,559593;420690,550068;404815,521493;392115,508793;388940,461168;331790,451643;315915,454818;287340,457993;271465,454818;258765,438943;249240,429418;223840,423068;198440,416718;188915,404018;179390,397668;173040,388143;153990,365918;144465,359568;125415,346868;103190,337343;90490,334168;80965,330993;7940,327818;1590,302418;4263,293687;8814,291698;29484,290549;36515,292893;77790,296068;106365,289718;119065,286543;141290,283368;153990,280193;163515,277018;211140,267493;258765,261143;271465,257968;300040,251618;325440,245268;455615,242093;223733,0;691711,0;691711,311284;684215,305592;661990,286542;646115,283367;627065,273842;614365,270667;592071,264232;581947,261202;582889,261365;580898,260888;581947,261202;578931,260680;566740,257967;541340,251617;455615,242092;325440,245267;300040,251617;271465,257967;258765,261142;211140,267492;163515,277017;153990,280192;141290,283367;119065,286542;106365,289717;77790,296067;36515,292892;29484,290548;58740,288923;90490,279398;100015,276223;109540,269873;106365,244473;96840,234948;90490,225423;84140,206373;74615,165098;71440,130173;61915,123823;71440,114298;87315,111123;103190,104773;115890,98423;141290,92073;150815,79373;153990,66673;157165,50798;185740,41273;204790,31748;211140,22223;220665,15873;223840,3173" o:connectangles="0,0,0,0,0,0,0,0,0,0,0,0,0,0,0,0,0,0,0,0,0,0,0,0,0,0,0,0,0,0,0,0,0,0,0,0,0,0,0,0,0,0,0,0,0,0,0,0,0,0,0,0,0,0,0,0,0,0,0,0,0,0,0,0,0,0,0,0,0,0,0,0,0,0,0,0,0,0,0,0,0,0,0,0,0,0,0,0,0,0,0,0,0,0,0,0,0,0,0,0,0,0,0,0,0,0,0,0,0,0,0,0,0"/>
                        </v:shape>
                        <v:shape id="Forma libre: forma 959410931" o:spid="_x0000_s1493" style="position:absolute;left:63973;top:52868;width:12134;height:7200;visibility:visible;mso-wrap-style:square;v-text-anchor:middle" coordsize="1213429,7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" path="m,l387471,r1379,21797c390216,43351,391274,71926,387929,114298v-372,4718,-4853,8210,-6350,12700c366583,171986,383198,136459,368879,165098v1058,12700,676,25603,3175,38100c372802,206940,376901,209216,378404,212723v1719,4011,1456,8689,3175,12700c383082,228930,385907,231712,387929,234948v5038,8061,12004,21529,19050,28575c409677,266221,413091,268166,416504,269873v6509,3254,19362,5142,25400,6350c450740,298313,446452,286691,454604,311148r3175,9525c458837,323848,459098,327413,460954,330198v2117,3175,3114,7503,6350,9525c472980,343271,486354,346073,486354,346073v7225,-3613,16754,-9525,25400,-9525c516118,336548,520187,338809,524454,339723v10553,2261,31750,6350,31750,6350c571021,345015,586002,345340,600654,342898v4669,-778,8350,-4486,12700,-6350c616430,335230,619566,333846,622879,333373v11572,-1653,23283,-2117,34925,-3175c660979,328081,663842,325398,667329,323848v6117,-2718,13481,-2637,19050,-6350c713676,299300,679139,321118,705429,307973v3413,-1707,5939,-5046,9525,-6350c723156,298641,732075,298033,740354,295273v3175,-1058,6193,-2858,9525,-3175l757103,291697r-4551,1989c750338,296067,751467,299242,749879,302417v-3175,6350,-1861,22444,6350,25400c779153,336070,804961,329123,829254,330992v3337,257,6307,2256,9525,3175c842975,335366,847283,336143,851479,337342v8361,2389,14528,4907,22225,9525c880248,350794,886404,355334,892754,359567r9525,6350c916857,387784,898232,361195,921329,388142v2483,2897,3652,6827,6350,9525c930377,400365,934506,401319,937204,404017v3742,3742,5460,9312,9525,12700c949828,419300,971588,422942,972129,423067v8504,1962,25400,6350,25400,6350c1000704,432592,1004563,435206,1007054,438942v7425,11137,-3079,9958,12700,15875c1024807,456712,1030337,456934,1035629,457992v9525,-1058,19088,-1820,28575,-3175c1069546,454054,1074703,451175,1080079,451642v19240,1673,38100,6350,57150,9525c1138287,477042,1136355,493406,1140404,508792v1524,5790,9024,7974,12700,12700c1156936,526418,1166103,543357,1168979,550067v1318,3076,1084,6912,3175,9525c1178699,567773,1188567,573100,1194379,581817v5728,8592,8672,12154,12700,22225c1209565,610257,1213429,623092,1213429,623092v-1058,9525,-1820,19088,-3175,28575c1208910,661072,1206215,670998,1203904,680242r2485,39757l,719999,,xe" fillcolor="#92d050" stroked="f" strokeweight=".25pt">
                          <v:path arrowok="t" o:connecttype="custom" o:connectlocs="0,0;387471,0;388850,21797;387929,114298;381579,126998;368879,165098;372054,203198;378404,212723;381579,225423;387929,234948;406979,263523;416504,269873;441904,276223;454604,311148;457779,320673;460954,330198;467304,339723;486354,346073;511754,336548;524454,339723;556204,346073;600654,342898;613354,336548;622879,333373;657804,330198;667329,323848;686379,317498;705429,307973;714954,301623;740354,295273;749879,292098;757103,291697;752552,293686;749879,302417;756229,327817;829254,330992;838779,334167;851479,337342;873704,346867;892754,359567;902279,365917;921329,388142;927679,397667;937204,404017;946729,416717;972129,423067;997529,429417;1007054,438942;1019754,454817;1035629,457992;1064204,454817;1080079,451642;1137229,461167;1140404,508792;1153104,521492;1168979,550067;1172154,559592;1194379,581817;1207079,604042;1213429,623092;1210254,651667;1203904,680242;1206389,719999;0,719999;0,0" o:connectangles="0,0,0,0,0,0,0,0,0,0,0,0,0,0,0,0,0,0,0,0,0,0,0,0,0,0,0,0,0,0,0,0,0,0,0,0,0,0,0,0,0,0,0,0,0,0,0,0,0,0,0,0,0,0,0,0,0,0,0,0,0,0,0,0,0"/>
                        </v:shape>
                        <v:shape id="Proceso 100" o:spid="_x0000_s1494" type="#_x0000_t109" style="position:absolute;left:63971;top:5646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" fillcolor="yellow" stroked="f" strokeweight=".25pt">
                          <v:fill opacity="64764f"/>
                          <v:textbox inset="0,0,0,0"/>
                        </v:shape>
                        <v:shape id="Proceso 100" o:spid="_x0000_s1495" type="#_x0000_t109" style="position:absolute;left:67571;top:5286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" fillcolor="red" stroked="f" strokeweight=".25pt">
                          <v:fill opacity="64764f"/>
                          <v:textbox inset="0,0,0,0">
                            <w:txbxContent>
                              <w:p w14:paraId="2CF9755E" w14:textId="77777777" w:rsidR="0081579F" w:rsidRPr="004E4C01" w:rsidRDefault="0081579F" w:rsidP="0081579F">
                                <w:pPr>
                                  <w:jc w:val="center"/>
                                  <w:rPr>
                                    <w:rFonts w:ascii="Arial Narrow" w:hAnsi="Arial Narrow" w:cstheme="minorBidi"/>
                                    <w:color w:val="000000" w:themeColor="dark1"/>
                                    <w:kern w:val="24"/>
                                    <w:sz w:val="16"/>
                                    <w:szCs w:val="16"/>
                                  </w:rPr>
                                </w:pPr>
                                <w:r w:rsidRPr="004E4C01">
                                  <w:rPr>
                                    <w:rFonts w:ascii="Arial Narrow" w:hAnsi="Arial Narrow" w:cstheme="minorBidi"/>
                                    <w:color w:val="000000" w:themeColor="dark1"/>
                                    <w:kern w:val="24"/>
                                    <w:sz w:val="16"/>
                                    <w:szCs w:val="16"/>
                                  </w:rPr>
                                  <w:t>AE</w:t>
                                </w:r>
                              </w:p>
                            </w:txbxContent>
                          </v:textbox>
                        </v:shape>
                        <v:shape id="Proceso 100" o:spid="_x0000_s1496" type="#_x0000_t109" style="position:absolute;left:67571;top:5646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" fillcolor="yellow" stroked="f" strokeweight=".25pt">
                          <v:fill opacity="64764f"/>
                          <v:textbox inset="0,0,0,0"/>
                        </v:shape>
                        <v:shape id="Proceso 100" o:spid="_x0000_s1497" type="#_x0000_t109" style="position:absolute;left:63971;top:5286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" fillcolor="#92d050" stroked="f" strokeweight=".25pt">
                          <v:fill opacity="64764f"/>
                          <v:textbox inset="0,0,0,0"/>
                        </v:shape>
                        <v:shape id="Proceso 100" o:spid="_x0000_s1498" type="#_x0000_t109" style="position:absolute;left:71171;top:5286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" fillcolor="yellow" stroked="f" strokeweight=".25pt">
                          <v:fill opacity="64764f"/>
                          <v:textbox inset="0,0,0,0"/>
                        </v:shape>
                        <v:shape id="Proceso 100" o:spid="_x0000_s1499" type="#_x0000_t109" style="position:absolute;left:74771;top:5646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" fillcolor="yellow" stroked="f" strokeweight=".25pt">
                          <v:fill opacity="64764f"/>
                          <v:textbox inset="0,0,0,0"/>
                        </v:shape>
                        <v:shape id="Forma libre: forma 534253859" o:spid="_x0000_s1500" style="position:absolute;left:67662;top:52868;width:6032;height:3461;visibility:visible;mso-wrap-style:square;v-text-anchor:middle" coordsize="603250,34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" path="m18592,l603143,r107,3173c602192,7406,602496,12242,600075,15873v-2117,3175,-6827,3652,-9525,6350c587852,24921,586317,28573,584200,31748v-9312,6208,-8534,6896,-19050,9525c559381,42715,541168,44368,536575,50798v-3137,4391,-2004,10607,-3175,15875c532453,70933,532176,75470,530225,79373v-2367,4733,-6350,8467,-9525,12700c520700,92073,503579,95663,495300,98423v-4490,1497,-8375,4428,-12700,6350c477392,107088,472184,109485,466725,111123v-5169,1551,-11048,762,-15875,3175c446834,116306,441325,119333,441325,123823v,3816,8403,2703,9525,6350c454288,141346,452967,153456,454025,165098v4887,24433,1866,10640,9525,41275c465173,212867,467182,219306,469900,225423v1550,3487,3907,6594,6350,9525c479125,238397,484241,240253,485775,244473v2916,8019,2117,16933,3175,25400l479425,276223v-2785,1856,-6350,2117,-9525,3175c446710,287128,457344,284125,438150,288923v-19050,1058,-38157,1366,-57150,3175c377668,292415,374650,294215,371475,295273v-8279,2760,-17198,3368,-25400,6350c342489,302927,339963,306266,336550,307973v-26290,13145,8247,-8673,-19050,9525c311931,321211,304567,321130,298450,323848v-3487,1550,-6350,4233,-9525,6350c277283,331256,265572,331720,254000,333373v-3313,473,-6449,1857,-9525,3175c240125,338412,236444,342120,231775,342898v-14652,2442,-29633,2117,-44450,3175c187325,346073,166128,341984,155575,339723v-4267,-914,-8336,-3175,-12700,-3175c134229,336548,124700,342460,117475,346073v,,-13374,-2802,-19050,-6350c95189,337701,94192,333373,92075,330198v-1856,-2785,-2117,-6350,-3175,-9525l85725,311148c77573,286691,81861,298313,73025,276223v-6038,-1208,-18891,-3096,-25400,-6350c44212,268166,40798,266221,38100,263523,31054,256477,24088,243009,19050,234948v-2022,-3236,-4847,-6018,-6350,-9525c10981,221412,11244,216734,9525,212723,8022,209216,3923,206940,3175,203198,676,190701,1058,177798,,165098v14319,-28639,-2296,6888,12700,-38100c14197,122508,18678,119016,19050,114298v3345,-42372,2287,-70947,921,-92501l18592,xe" fillcolor="red" stroked="f" strokeweight=".25pt">
                          <v:path arrowok="t" o:connecttype="custom" o:connectlocs="18592,0;603143,0;603250,3173;600075,15873;590550,22223;584200,31748;565150,41273;536575,50798;533400,66673;530225,79373;520700,92073;495300,98423;482600,104773;466725,111123;450850,114298;441325,123823;450850,130173;454025,165098;463550,206373;469900,225423;476250,234948;485775,244473;488950,269873;479425,276223;469900,279398;438150,288923;381000,292098;371475,295273;346075,301623;336550,307973;317500,317498;298450,323848;288925,330198;254000,333373;244475,336548;231775,342898;187325,346073;155575,339723;142875,336548;117475,346073;98425,339723;92075,330198;88900,320673;85725,311148;73025,276223;47625,269873;38100,263523;19050,234948;12700,225423;9525,212723;3175,203198;0,165098;12700,126998;19050,114298;19971,21797;18592,0" o:connectangles="0,0,0,0,0,0,0,0,0,0,0,0,0,0,0,0,0,0,0,0,0,0,0,0,0,0,0,0,0,0,0,0,0,0,0,0,0,0,0,0,0,0,0,0,0,0,0,0,0,0,0,0,0,0,0,0"/>
                        </v:shape>
                      </v:group>
                      <v:shape id="Proceso 124" o:spid="_x0000_s1501" type="#_x0000_t109" style="position:absolute;left:73241;top:5417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" filled="f" stroked="f" strokeweight="2pt">
                        <v:textbox inset=".75mm,0,.75mm,0">
                          <w:txbxContent>
                            <w:p w14:paraId="79185CFA"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AIR</w:t>
                              </w:r>
                            </w:p>
                          </w:txbxContent>
                        </v:textbox>
                      </v:shape>
                      <v:shape id="Proceso 124" o:spid="_x0000_s1502" type="#_x0000_t109" style="position:absolute;left:64011;top:5287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" filled="f" stroked="f" strokeweight="2pt">
                        <v:textbox inset=".75mm,0,.75mm,0">
                          <w:txbxContent>
                            <w:p w14:paraId="36B3EE1D"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AI</w:t>
                              </w:r>
                            </w:p>
                          </w:txbxContent>
                        </v:textbox>
                      </v:shape>
                      <v:shape id="Proceso 124" o:spid="_x0000_s1503" type="#_x0000_t109" style="position:absolute;left:68412;top:5286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" filled="f" stroked="f" strokeweight="2pt">
                        <v:textbox inset=".75mm,0,.75mm,0">
                          <w:txbxContent>
                            <w:p w14:paraId="2FC29BCA"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AE</w:t>
                              </w:r>
                            </w:p>
                          </w:txbxContent>
                        </v:textbox>
                      </v:shape>
                      <v:shape id="Proceso 124" o:spid="_x0000_s1504" type="#_x0000_t109" style="position:absolute;left:71175;top:5646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" filled="f" stroked="f" strokeweight="2pt">
                        <v:textbox inset=".75mm,0,.75mm,0">
                          <w:txbxContent>
                            <w:p w14:paraId="57DF5246"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AI</w:t>
                              </w:r>
                            </w:p>
                          </w:txbxContent>
                        </v:textbox>
                      </v:shape>
                      <v:shape id="Proceso 124" o:spid="_x0000_s1505" type="#_x0000_t109" style="position:absolute;left:65802;top:5646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" filled="f" stroked="f" strokeweight="2pt">
                        <v:textbox inset=".75mm,0,.75mm,0">
                          <w:txbxContent>
                            <w:p w14:paraId="2D64229E" w14:textId="77777777" w:rsidR="0081579F" w:rsidRPr="00127BD4" w:rsidRDefault="0081579F" w:rsidP="0081579F">
                              <w:pPr>
                                <w:jc w:val="center"/>
                                <w:rPr>
                                  <w:rFonts w:ascii="Arial Narrow" w:hAnsi="Arial Narrow" w:cstheme="minorBidi"/>
                                  <w:color w:val="000000" w:themeColor="dark1"/>
                                  <w:kern w:val="24"/>
                                  <w:sz w:val="16"/>
                                  <w:szCs w:val="16"/>
                                </w:rPr>
                              </w:pPr>
                              <w:r w:rsidRPr="00127BD4">
                                <w:rPr>
                                  <w:rFonts w:ascii="Arial Narrow" w:hAnsi="Arial Narrow" w:cstheme="minorBidi"/>
                                  <w:color w:val="000000" w:themeColor="dark1"/>
                                  <w:kern w:val="24"/>
                                  <w:sz w:val="16"/>
                                  <w:szCs w:val="16"/>
                                </w:rPr>
                                <w:t>AIR</w:t>
                              </w:r>
                            </w:p>
                          </w:txbxContent>
                        </v:textbox>
                      </v:shape>
                    </v:group>
                    <v:shape id="Proceso 124" o:spid="_x0000_s1506" type="#_x0000_t109" style="position:absolute;left:63971;top:52861;width:14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" filled="f" strokecolor="black [3213]" strokeweight=".25pt">
                      <v:textbox inset=".75mm,0,.75mm,0"/>
                    </v:shape>
                  </v:group>
                  <v:group id="Grupo 90762180" o:spid="_x0000_s1507" style="position:absolute;left:63971;top:17921;width:14400;height:7451" coordorigin="63971,17921" coordsize="14400,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">
                    <v:group id="Grupo 2015508078" o:spid="_x0000_s1508" style="position:absolute;left:63971;top:18164;width:14400;height:7208" coordorigin="63971,18164" coordsize="1440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">
                      <v:shape id="Proceso 124" o:spid="_x0000_s1509" type="#_x0000_t109" style="position:absolute;left:63971;top:18172;width:14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" filled="f" strokecolor="#69bfff" strokeweight=".25pt">
                        <v:textbox inset=".75mm,0,.75mm,0"/>
                      </v:shape>
                      <v:shape id="Forma libre: forma 686063526" o:spid="_x0000_s1510" style="position:absolute;left:67713;top:18164;width:5953;height:3489;visibility:visible;mso-wrap-style:square;v-text-anchor:middle" coordsize="595313,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" path="m16669,v-794,14288,-1141,28607,-2381,42863c13937,46895,12571,50777,11906,54769v-923,5536,-1528,11122,-2381,16669c8791,76210,7708,80930,7144,85725,6120,94432,5851,103219,4763,111919v-502,4016,-1658,7924,-2382,11906c1517,128575,794,133350,,138113v1918,30682,1176,60646,7144,90487c7786,231809,8236,235117,9525,238125v3129,7301,6860,8232,11906,14288c23263,254612,23959,257769,26194,259557v5847,4678,19050,11906,19050,11906c46831,273844,47982,276583,50006,278607v4615,4615,8479,5207,14288,7143c66191,293339,67846,299317,69056,307182v23,152,2244,24167,4763,28575c75490,338681,78161,341032,80963,342900v4567,3045,22325,4515,23812,4763c113843,349174,117644,350285,126206,352425v3175,-794,6517,-1092,9525,-2381c138362,348917,140315,346562,142875,345282v2245,-1123,4763,-1588,7144,-2382c157163,343694,164346,344189,171450,345282v3235,498,6316,1739,9525,2381c185710,348610,190500,349250,195263,350044v4918,-546,23458,-1638,30956,-4762c271885,326255,227461,341185,254794,333375v2414,-690,4651,-2088,7144,-2381c273002,329692,284163,329407,295275,328613v2381,-2381,4486,-5076,7144,-7144c308454,316775,315811,311025,323850,309563v6296,-1145,12700,-1587,19050,-2381c348708,305245,352574,304652,357188,300038v5967,-5967,2211,-9104,11906,-9525c403202,289030,437357,288926,471488,288132v7004,-9340,6928,-7148,9525,-16669c482735,265148,485775,252413,485775,252413v-794,-4763,-854,-9707,-2381,-14288c482699,236041,471653,221677,471488,221457v-13257,-39771,-805,-4393,-14288,-38100c456268,181026,455808,178520,454819,176213v-5916,-13804,-5185,-6456,-9525,-23813c443706,146050,444162,138796,440531,133350r-9525,-14287c433387,116682,435084,113313,438150,111919v9975,-4534,25022,-5199,35719,-7144c490207,101804,476931,103414,490538,100013v3926,-982,7937,-1587,11906,-2381c509989,93859,515312,91907,521494,85725v2023,-2023,3342,-4658,4762,-7143c530966,70341,530728,69930,533400,61913v794,-8731,-766,-18011,2381,-26194c537055,32406,542043,32355,545306,30957v2307,-989,4899,-1259,7144,-2382c568891,20355,549300,26386,569119,21432v3731,-1866,13306,-6162,16669,-9525c597282,413,584425,7825,595313,2382e" filled="f" strokecolor="#69bfff" strokeweight=".5pt">
                        <v:path arrowok="t" o:connecttype="custom" o:connectlocs="16669,0;14288,42430;11906,54215;9525,70716;7144,84858;4763,110787;2381,122573;0,136716;7144,226288;9525,235717;21431,249860;26194,256932;45244,268718;50006,275790;64294,282860;69056,304076;73819,332362;80963,339432;104775,344147;126206,348861;135731,346504;142875,341790;150019,339432;171450,341790;180975,344147;195263,346504;226219,341790;254794,330004;261938,327647;295275,325290;302419,318218;323850,306432;342900,304076;357188,297004;369094,287575;471488,285218;481013,268718;485775,249860;483394,235717;471488,219217;457200,181503;454819,174431;445294,150859;440531,132001;431006,117859;438150,110787;473869,103715;490538,99002;502444,96645;521494,84858;526256,77787;533400,61287;535781,35358;545306,30644;552450,28286;569119,21215;585788,11787;595313,2358" o:connectangles="0,0,0,0,0,0,0,0,0,0,0,0,0,0,0,0,0,0,0,0,0,0,0,0,0,0,0,0,0,0,0,0,0,0,0,0,0,0,0,0,0,0,0,0,0,0,0,0,0,0,0,0,0,0,0,0,0,0"/>
                      </v:shape>
                      <v:shape id="Forma libre: forma 501566672" o:spid="_x0000_s1511" style="position:absolute;left:71313;top:21146;width:4745;height:4218;visibility:visible;mso-wrap-style:square;v-text-anchor:middle" coordsize="474532,42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" path="m469106,421823v5822,-34935,6106,-32722,4763,-90488c473234,304031,475138,308158,459581,300379v-4762,-6350,-9884,-12446,-14287,-19050c443706,278948,442432,276324,440531,274185v-21748,-24467,-8240,-5217,-19050,-21431c415749,235557,421983,256007,416719,221798v-382,-2481,-1588,-4763,-2382,-7144c413543,209892,412374,205177,411956,200367v-1171,-13467,-376,-27114,-2381,-40482c409150,157055,407239,154259,404812,152742v-4257,-2661,-9417,-3546,-14287,-4763l371475,143217v-15875,794,-31790,1004,-47625,2381c308656,146919,324181,148131,311944,155123v-3514,2008,-7938,1587,-11907,2381c288925,156710,277544,157675,266700,155123v-7675,-1806,-7006,-9251,-9525,-14288c254856,136197,249362,129472,245269,126548v-2889,-2063,-6481,-2937,-9525,-4763c230836,118840,226219,115435,221456,112260v-4762,-3175,-9379,-6581,-14287,-9525l195262,95592v-1587,-2381,-2417,-5503,-4762,-7144c184684,84377,177357,82861,171450,78923r-7144,-4763l154781,59873v-1587,-2381,-2202,-5864,-4762,-7144c143669,49554,137931,44596,130969,43204v-3969,-794,-7956,-1503,-11907,-2381c115867,40113,112781,38875,109537,38442,100847,37283,92075,36854,83344,36060v-3175,-794,-6316,-1739,-9525,-2381c69084,32732,64281,32162,59531,31298,55549,30574,51594,29711,47625,28917,44450,27329,41396,25472,38100,24154,33439,22290,27362,22942,23812,19392,8839,4419,29966,5452,9525,342,6445,-428,3175,342,,342e" filled="f" strokecolor="#69bfff" strokeweight=".5pt">
                        <v:path arrowok="t" o:connecttype="custom" o:connectlocs="469106,421823;473869,331335;459581,300379;445294,281329;440531,274185;421481,252754;416719,221798;414337,214654;411956,200367;409575,159885;404812,152742;390525,147979;371475,143217;323850,145598;311944,155123;300037,157504;266700,155123;257175,140835;245269,126548;235744,121785;221456,112260;207169,102735;195262,95592;190500,88448;171450,78923;164306,74160;154781,59873;150019,52729;130969,43204;119062,40823;109537,38442;83344,36060;73819,33679;59531,31298;47625,28917;38100,24154;23812,19392;9525,342;0,342" o:connectangles="0,0,0,0,0,0,0,0,0,0,0,0,0,0,0,0,0,0,0,0,0,0,0,0,0,0,0,0,0,0,0,0,0,0,0,0,0,0,0"/>
                      </v:shape>
                    </v:group>
                    <v:shape id="Proceso 124" o:spid="_x0000_s1512" type="#_x0000_t109" style="position:absolute;left:68316;top:1792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" filled="f" stroked="f" strokeweight="2pt">
                      <v:textbox inset=".75mm,0,.75mm,0">
                        <w:txbxContent>
                          <w:p w14:paraId="7590E368"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AE</w:t>
                            </w:r>
                          </w:p>
                        </w:txbxContent>
                      </v:textbox>
                    </v:shape>
                    <v:shape id="Proceso 124" o:spid="_x0000_s1513" type="#_x0000_t109" style="position:absolute;left:73971;top:1913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" filled="f" stroked="f" strokeweight="2pt">
                      <v:textbox inset=".75mm,0,.75mm,0">
                        <w:txbxContent>
                          <w:p w14:paraId="52710F15"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AIR</w:t>
                            </w:r>
                          </w:p>
                        </w:txbxContent>
                      </v:textbox>
                    </v:shape>
                    <v:shape id="Proceso 124" o:spid="_x0000_s1514" type="#_x0000_t109" style="position:absolute;left:66649;top:2134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" filled="f" stroked="f" strokeweight="2pt">
                      <v:textbox inset=".75mm,0,.75mm,0">
                        <w:txbxContent>
                          <w:p w14:paraId="565C6DAC"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w:t>
                            </w:r>
                          </w:p>
                        </w:txbxContent>
                      </v:textbox>
                    </v:shape>
                  </v:group>
                  <v:group id="Grupo 1949114788" o:spid="_x0000_s1515" style="position:absolute;left:63971;top:29429;width:14400;height:7451" coordorigin="63971,29429" coordsize="14400,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">
                    <v:group id="Grupo 224467586" o:spid="_x0000_s1516" style="position:absolute;left:63971;top:29672;width:14400;height:7208" coordorigin="63971,29672" coordsize="1440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">
                      <v:shape id="Proceso 124" o:spid="_x0000_s1517" type="#_x0000_t109" style="position:absolute;left:63971;top:29680;width:14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" filled="f" strokecolor="#69bfff" strokeweight=".25pt">
                        <v:textbox inset=".75mm,0,.75mm,0"/>
                      </v:shape>
                      <v:shape id="Forma libre: forma 1653207699" o:spid="_x0000_s1518" style="position:absolute;left:67713;top:29672;width:5953;height:3488;visibility:visible;mso-wrap-style:square;v-text-anchor:middle" coordsize="595313,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" path="m16669,v-794,14288,-1141,28607,-2381,42863c13937,46895,12571,50777,11906,54769v-923,5536,-1528,11122,-2381,16669c8791,76210,7708,80930,7144,85725,6120,94432,5851,103219,4763,111919v-502,4016,-1658,7924,-2382,11906c1517,128575,794,133350,,138113v1918,30682,1176,60646,7144,90487c7786,231809,8236,235117,9525,238125v3129,7301,6860,8232,11906,14288c23263,254612,23959,257769,26194,259557v5847,4678,19050,11906,19050,11906c46831,273844,47982,276583,50006,278607v4615,4615,8479,5207,14288,7143c66191,293339,67846,299317,69056,307182v23,152,2244,24167,4763,28575c75490,338681,78161,341032,80963,342900v4567,3045,22325,4515,23812,4763c113843,349174,117644,350285,126206,352425v3175,-794,6517,-1092,9525,-2381c138362,348917,140315,346562,142875,345282v2245,-1123,4763,-1588,7144,-2382c157163,343694,164346,344189,171450,345282v3235,498,6316,1739,9525,2381c185710,348610,190500,349250,195263,350044v4918,-546,23458,-1638,30956,-4762c271885,326255,227461,341185,254794,333375v2414,-690,4651,-2088,7144,-2381c273002,329692,284163,329407,295275,328613v2381,-2381,4486,-5076,7144,-7144c308454,316775,315811,311025,323850,309563v6296,-1145,12700,-1587,19050,-2381c348708,305245,352574,304652,357188,300038v5967,-5967,2211,-9104,11906,-9525c403202,289030,437357,288926,471488,288132v7004,-9340,6928,-7148,9525,-16669c482735,265148,485775,252413,485775,252413v-794,-4763,-854,-9707,-2381,-14288c482699,236041,471653,221677,471488,221457v-13257,-39771,-805,-4393,-14288,-38100c456268,181026,455808,178520,454819,176213v-5916,-13804,-5185,-6456,-9525,-23813c443706,146050,444162,138796,440531,133350r-9525,-14287c433387,116682,435084,113313,438150,111919v9975,-4534,25022,-5199,35719,-7144c490207,101804,476931,103414,490538,100013v3926,-982,7937,-1587,11906,-2381c509989,93859,515312,91907,521494,85725v2023,-2023,3342,-4658,4762,-7143c530966,70341,530728,69930,533400,61913v794,-8731,-766,-18011,2381,-26194c537055,32406,542043,32355,545306,30957v2307,-989,4899,-1259,7144,-2382c568891,20355,549300,26386,569119,21432v3731,-1866,13306,-6162,16669,-9525c597282,413,584425,7825,595313,2382e" filled="f" strokecolor="#69bfff" strokeweight=".5pt">
                        <v:path arrowok="t" o:connecttype="custom" o:connectlocs="16669,0;14288,42430;11906,54215;9525,70716;7144,84858;4763,110787;2381,122573;0,136716;7144,226288;9525,235717;21431,249860;26194,256932;45244,268718;50006,275790;64294,282860;69056,304076;73819,332362;80963,339432;104775,344147;126206,348861;135731,346504;142875,341790;150019,339432;171450,341790;180975,344147;195263,346504;226219,341790;254794,330004;261938,327647;295275,325290;302419,318218;323850,306432;342900,304076;357188,297004;369094,287575;471488,285218;481013,268718;485775,249860;483394,235717;471488,219217;457200,181503;454819,174431;445294,150859;440531,132001;431006,117859;438150,110787;473869,103715;490538,99002;502444,96645;521494,84858;526256,77787;533400,61287;535781,35358;545306,30644;552450,28286;569119,21215;585788,11787;595313,2358" o:connectangles="0,0,0,0,0,0,0,0,0,0,0,0,0,0,0,0,0,0,0,0,0,0,0,0,0,0,0,0,0,0,0,0,0,0,0,0,0,0,0,0,0,0,0,0,0,0,0,0,0,0,0,0,0,0,0,0,0,0"/>
                      </v:shape>
                      <v:shape id="Forma libre: forma 1383367827" o:spid="_x0000_s1519" style="position:absolute;left:71313;top:32654;width:4745;height:4218;visibility:visible;mso-wrap-style:square;v-text-anchor:middle" coordsize="474532,42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" path="m469106,421823v5822,-34935,6106,-32722,4763,-90488c473234,304031,475138,308158,459581,300379v-4762,-6350,-9884,-12446,-14287,-19050c443706,278948,442432,276324,440531,274185v-21748,-24467,-8240,-5217,-19050,-21431c415749,235557,421983,256007,416719,221798v-382,-2481,-1588,-4763,-2382,-7144c413543,209892,412374,205177,411956,200367v-1171,-13467,-376,-27114,-2381,-40482c409150,157055,407239,154259,404812,152742v-4257,-2661,-9417,-3546,-14287,-4763l371475,143217v-15875,794,-31790,1004,-47625,2381c308656,146919,324181,148131,311944,155123v-3514,2008,-7938,1587,-11907,2381c288925,156710,277544,157675,266700,155123v-7675,-1806,-7006,-9251,-9525,-14288c254856,136197,249362,129472,245269,126548v-2889,-2063,-6481,-2937,-9525,-4763c230836,118840,226219,115435,221456,112260v-4762,-3175,-9379,-6581,-14287,-9525l195262,95592v-1587,-2381,-2417,-5503,-4762,-7144c184684,84377,177357,82861,171450,78923r-7144,-4763l154781,59873v-1587,-2381,-2202,-5864,-4762,-7144c143669,49554,137931,44596,130969,43204v-3969,-794,-7956,-1503,-11907,-2381c115867,40113,112781,38875,109537,38442,100847,37283,92075,36854,83344,36060v-3175,-794,-6316,-1739,-9525,-2381c69084,32732,64281,32162,59531,31298,55549,30574,51594,29711,47625,28917,44450,27329,41396,25472,38100,24154,33439,22290,27362,22942,23812,19392,8839,4419,29966,5452,9525,342,6445,-428,3175,342,,342e" filled="f" strokecolor="#69bfff" strokeweight=".5pt">
                        <v:path arrowok="t" o:connecttype="custom" o:connectlocs="469106,421823;473869,331335;459581,300379;445294,281329;440531,274185;421481,252754;416719,221798;414337,214654;411956,200367;409575,159885;404812,152742;390525,147979;371475,143217;323850,145598;311944,155123;300037,157504;266700,155123;257175,140835;245269,126548;235744,121785;221456,112260;207169,102735;195262,95592;190500,88448;171450,78923;164306,74160;154781,59873;150019,52729;130969,43204;119062,40823;109537,38442;83344,36060;73819,33679;59531,31298;47625,28917;38100,24154;23812,19392;9525,342;0,342" o:connectangles="0,0,0,0,0,0,0,0,0,0,0,0,0,0,0,0,0,0,0,0,0,0,0,0,0,0,0,0,0,0,0,0,0,0,0,0,0,0,0"/>
                      </v:shape>
                    </v:group>
                    <v:shape id="Proceso 124" o:spid="_x0000_s1520" type="#_x0000_t109" style="position:absolute;left:68316;top:2942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" filled="f" stroked="f" strokeweight="2pt">
                      <v:textbox inset=".75mm,0,.75mm,0">
                        <w:txbxContent>
                          <w:p w14:paraId="32E83F8B"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AE</w:t>
                            </w:r>
                          </w:p>
                        </w:txbxContent>
                      </v:textbox>
                    </v:shape>
                    <v:shape id="Proceso 124" o:spid="_x0000_s1521" type="#_x0000_t109" style="position:absolute;left:73971;top:3063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" filled="f" stroked="f" strokeweight="2pt">
                      <v:textbox inset=".75mm,0,.75mm,0">
                        <w:txbxContent>
                          <w:p w14:paraId="12DA8C18"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AIR</w:t>
                            </w:r>
                          </w:p>
                        </w:txbxContent>
                      </v:textbox>
                    </v:shape>
                    <v:shape id="Proceso 124" o:spid="_x0000_s1522" type="#_x0000_t109" style="position:absolute;left:66649;top:3284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" filled="f" stroked="f" strokeweight="2pt">
                      <v:textbox inset=".75mm,0,.75mm,0">
                        <w:txbxContent>
                          <w:p w14:paraId="653D2AF7"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w:t>
                            </w:r>
                          </w:p>
                        </w:txbxContent>
                      </v:textbox>
                    </v:shape>
                  </v:group>
                  <v:group id="Grupo 699981495" o:spid="_x0000_s1523" style="position:absolute;left:48491;top:52861;width:14400;height:7200" coordorigin="48491,52861"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">
                    <o:lock v:ext="edit" aspectratio="t"/>
                    <v:shape id="Proceso 100" o:spid="_x0000_s1524" type="#_x0000_t109" style="position:absolute;left:48491;top:551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" fillcolor="yellow" strokecolor="black [3213]" strokeweight=".25pt">
                      <v:fill opacity="46003f"/>
                      <v:textbox inset="0,0,0,0">
                        <w:txbxContent>
                          <w:p w14:paraId="76A6330C"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v:textbox>
                    </v:shape>
                    <v:shape id="Proceso 100" o:spid="_x0000_s1525" type="#_x0000_t109" style="position:absolute;left:50741;top:528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" fillcolor="red" strokecolor="black [3213]" strokeweight=".25pt">
                      <v:fill opacity="46003f"/>
                      <v:textbox inset="0,0,0,0">
                        <w:txbxContent>
                          <w:p w14:paraId="61015416"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AE</w:t>
                            </w:r>
                          </w:p>
                        </w:txbxContent>
                      </v:textbox>
                    </v:shape>
                    <v:shape id="Proceso 100" o:spid="_x0000_s1526" type="#_x0000_t109" style="position:absolute;left:50741;top:551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" fillcolor="yellow" strokecolor="black [3213]" strokeweight=".25pt">
                      <v:fill opacity="46003f"/>
                      <v:textbox inset="0,0,0,0">
                        <w:txbxContent>
                          <w:p w14:paraId="0B03AC3C"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v:textbox>
                    </v:shape>
                    <v:shape id="Proceso 100" o:spid="_x0000_s1527" type="#_x0000_t109" style="position:absolute;left:48491;top:528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" fillcolor="#92d050" strokecolor="black [3213]" strokeweight=".25pt">
                      <v:fill opacity="46003f"/>
                      <v:textbox inset="0,0,0,0">
                        <w:txbxContent>
                          <w:p w14:paraId="26F31DEA"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w:t>
                            </w:r>
                          </w:p>
                        </w:txbxContent>
                      </v:textbox>
                    </v:shape>
                    <v:shape id="Proceso 100" o:spid="_x0000_s1528" type="#_x0000_t109" style="position:absolute;left:52991;top:551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" fillcolor="#92d050" strokecolor="black [3213]" strokeweight=".25pt">
                      <v:fill opacity="46003f"/>
                      <v:textbox inset="0,0,0,0">
                        <w:txbxContent>
                          <w:p w14:paraId="57CF629D"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w:t>
                            </w:r>
                          </w:p>
                        </w:txbxContent>
                      </v:textbox>
                    </v:shape>
                    <v:shape id="Proceso 100" o:spid="_x0000_s1529" type="#_x0000_t109" style="position:absolute;left:55241;top:528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" fillcolor="yellow" strokecolor="black [3213]" strokeweight=".25pt">
                      <v:fill opacity="46003f"/>
                      <v:textbox inset="0,0,0,0">
                        <w:txbxContent>
                          <w:p w14:paraId="4A06FB40"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v:textbox>
                    </v:shape>
                    <v:shape id="Proceso 100" o:spid="_x0000_s1530" type="#_x0000_t109" style="position:absolute;left:55241;top:5511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" fillcolor="yellow" strokecolor="black [3213]" strokeweight=".25pt">
                      <v:fill opacity="46003f"/>
                      <v:textbox inset="0,0,0,0">
                        <w:txbxContent>
                          <w:p w14:paraId="08E19467"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v:textbox>
                    </v:shape>
                    <v:shape id="Proceso 100" o:spid="_x0000_s1531" type="#_x0000_t109" style="position:absolute;left:52991;top:52861;width:22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" fillcolor="yellow" strokecolor="black [3213]" strokeweight=".25pt">
                      <v:fill opacity="46003f"/>
                      <v:textbox inset="0,0,0,0">
                        <w:txbxContent>
                          <w:p w14:paraId="5106F834" w14:textId="77777777" w:rsidR="0081579F" w:rsidRPr="004E4C01" w:rsidRDefault="0081579F" w:rsidP="0081579F">
                            <w:pPr>
                              <w:jc w:val="center"/>
                              <w:rPr>
                                <w:rFonts w:ascii="Arial Narrow" w:hAnsi="Arial Narrow" w:cstheme="minorBidi"/>
                                <w:color w:val="808080" w:themeColor="background1" w:themeShade="80"/>
                                <w:kern w:val="24"/>
                                <w:sz w:val="14"/>
                                <w:szCs w:val="14"/>
                              </w:rPr>
                            </w:pPr>
                            <w:r w:rsidRPr="004E4C01">
                              <w:rPr>
                                <w:rFonts w:ascii="Arial Narrow" w:hAnsi="Arial Narrow" w:cstheme="minorBidi"/>
                                <w:color w:val="808080" w:themeColor="background1" w:themeShade="80"/>
                                <w:kern w:val="24"/>
                                <w:sz w:val="14"/>
                                <w:szCs w:val="14"/>
                              </w:rPr>
                              <w:t>AIR</w:t>
                            </w:r>
                          </w:p>
                        </w:txbxContent>
                      </v:textbox>
                    </v:shape>
                  </v:group>
                  <v:group id="Grupo 618267783" o:spid="_x0000_s1532" style="position:absolute;left:63971;top:40066;width:14400;height:7451" coordorigin="63971,40066" coordsize="14400,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">
                    <v:group id="Grupo 997578003" o:spid="_x0000_s1533" style="position:absolute;left:63971;top:40309;width:14400;height:7208" coordorigin="63971,40309" coordsize="1440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">
                      <v:shape id="Proceso 124" o:spid="_x0000_s1534" type="#_x0000_t109" style="position:absolute;left:63971;top:40317;width:14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" filled="f" strokecolor="#69bfff" strokeweight=".25pt">
                        <v:textbox inset=".75mm,0,.75mm,0"/>
                      </v:shape>
                      <v:shape id="Forma libre: forma 1079073631" o:spid="_x0000_s1535" style="position:absolute;left:67713;top:40309;width:5953;height:3489;visibility:visible;mso-wrap-style:square;v-text-anchor:middle" coordsize="595313,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" path="m16669,v-794,14288,-1141,28607,-2381,42863c13937,46895,12571,50777,11906,54769v-923,5536,-1528,11122,-2381,16669c8791,76210,7708,80930,7144,85725,6120,94432,5851,103219,4763,111919v-502,4016,-1658,7924,-2382,11906c1517,128575,794,133350,,138113v1918,30682,1176,60646,7144,90487c7786,231809,8236,235117,9525,238125v3129,7301,6860,8232,11906,14288c23263,254612,23959,257769,26194,259557v5847,4678,19050,11906,19050,11906c46831,273844,47982,276583,50006,278607v4615,4615,8479,5207,14288,7143c66191,293339,67846,299317,69056,307182v23,152,2244,24167,4763,28575c75490,338681,78161,341032,80963,342900v4567,3045,22325,4515,23812,4763c113843,349174,117644,350285,126206,352425v3175,-794,6517,-1092,9525,-2381c138362,348917,140315,346562,142875,345282v2245,-1123,4763,-1588,7144,-2382c157163,343694,164346,344189,171450,345282v3235,498,6316,1739,9525,2381c185710,348610,190500,349250,195263,350044v4918,-546,23458,-1638,30956,-4762c271885,326255,227461,341185,254794,333375v2414,-690,4651,-2088,7144,-2381c273002,329692,284163,329407,295275,328613v2381,-2381,4486,-5076,7144,-7144c308454,316775,315811,311025,323850,309563v6296,-1145,12700,-1587,19050,-2381c348708,305245,352574,304652,357188,300038v5967,-5967,2211,-9104,11906,-9525c403202,289030,437357,288926,471488,288132v7004,-9340,6928,-7148,9525,-16669c482735,265148,485775,252413,485775,252413v-794,-4763,-854,-9707,-2381,-14288c482699,236041,471653,221677,471488,221457v-13257,-39771,-805,-4393,-14288,-38100c456268,181026,455808,178520,454819,176213v-5916,-13804,-5185,-6456,-9525,-23813c443706,146050,444162,138796,440531,133350r-9525,-14287c433387,116682,435084,113313,438150,111919v9975,-4534,25022,-5199,35719,-7144c490207,101804,476931,103414,490538,100013v3926,-982,7937,-1587,11906,-2381c509989,93859,515312,91907,521494,85725v2023,-2023,3342,-4658,4762,-7143c530966,70341,530728,69930,533400,61913v794,-8731,-766,-18011,2381,-26194c537055,32406,542043,32355,545306,30957v2307,-989,4899,-1259,7144,-2382c568891,20355,549300,26386,569119,21432v3731,-1866,13306,-6162,16669,-9525c597282,413,584425,7825,595313,2382e" filled="f" strokecolor="#69bfff" strokeweight=".5pt">
                        <v:path arrowok="t" o:connecttype="custom" o:connectlocs="16669,0;14288,42430;11906,54215;9525,70716;7144,84858;4763,110787;2381,122573;0,136716;7144,226288;9525,235717;21431,249860;26194,256932;45244,268718;50006,275790;64294,282860;69056,304076;73819,332362;80963,339432;104775,344147;126206,348861;135731,346504;142875,341790;150019,339432;171450,341790;180975,344147;195263,346504;226219,341790;254794,330004;261938,327647;295275,325290;302419,318218;323850,306432;342900,304076;357188,297004;369094,287575;471488,285218;481013,268718;485775,249860;483394,235717;471488,219217;457200,181503;454819,174431;445294,150859;440531,132001;431006,117859;438150,110787;473869,103715;490538,99002;502444,96645;521494,84858;526256,77787;533400,61287;535781,35358;545306,30644;552450,28286;569119,21215;585788,11787;595313,2358" o:connectangles="0,0,0,0,0,0,0,0,0,0,0,0,0,0,0,0,0,0,0,0,0,0,0,0,0,0,0,0,0,0,0,0,0,0,0,0,0,0,0,0,0,0,0,0,0,0,0,0,0,0,0,0,0,0,0,0,0,0"/>
                      </v:shape>
                      <v:shape id="Forma libre: forma 988236341" o:spid="_x0000_s1536" style="position:absolute;left:71313;top:43291;width:4745;height:4218;visibility:visible;mso-wrap-style:square;v-text-anchor:middle" coordsize="474532,42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" path="m469106,421823v5822,-34935,6106,-32722,4763,-90488c473234,304031,475138,308158,459581,300379v-4762,-6350,-9884,-12446,-14287,-19050c443706,278948,442432,276324,440531,274185v-21748,-24467,-8240,-5217,-19050,-21431c415749,235557,421983,256007,416719,221798v-382,-2481,-1588,-4763,-2382,-7144c413543,209892,412374,205177,411956,200367v-1171,-13467,-376,-27114,-2381,-40482c409150,157055,407239,154259,404812,152742v-4257,-2661,-9417,-3546,-14287,-4763l371475,143217v-15875,794,-31790,1004,-47625,2381c308656,146919,324181,148131,311944,155123v-3514,2008,-7938,1587,-11907,2381c288925,156710,277544,157675,266700,155123v-7675,-1806,-7006,-9251,-9525,-14288c254856,136197,249362,129472,245269,126548v-2889,-2063,-6481,-2937,-9525,-4763c230836,118840,226219,115435,221456,112260v-4762,-3175,-9379,-6581,-14287,-9525l195262,95592v-1587,-2381,-2417,-5503,-4762,-7144c184684,84377,177357,82861,171450,78923r-7144,-4763l154781,59873v-1587,-2381,-2202,-5864,-4762,-7144c143669,49554,137931,44596,130969,43204v-3969,-794,-7956,-1503,-11907,-2381c115867,40113,112781,38875,109537,38442,100847,37283,92075,36854,83344,36060v-3175,-794,-6316,-1739,-9525,-2381c69084,32732,64281,32162,59531,31298,55549,30574,51594,29711,47625,28917,44450,27329,41396,25472,38100,24154,33439,22290,27362,22942,23812,19392,8839,4419,29966,5452,9525,342,6445,-428,3175,342,,342e" filled="f" strokecolor="#69bfff" strokeweight=".5pt">
                        <v:path arrowok="t" o:connecttype="custom" o:connectlocs="469106,421823;473869,331335;459581,300379;445294,281329;440531,274185;421481,252754;416719,221798;414337,214654;411956,200367;409575,159885;404812,152742;390525,147979;371475,143217;323850,145598;311944,155123;300037,157504;266700,155123;257175,140835;245269,126548;235744,121785;221456,112260;207169,102735;195262,95592;190500,88448;171450,78923;164306,74160;154781,59873;150019,52729;130969,43204;119062,40823;109537,38442;83344,36060;73819,33679;59531,31298;47625,28917;38100,24154;23812,19392;9525,342;0,342" o:connectangles="0,0,0,0,0,0,0,0,0,0,0,0,0,0,0,0,0,0,0,0,0,0,0,0,0,0,0,0,0,0,0,0,0,0,0,0,0,0,0"/>
                      </v:shape>
                    </v:group>
                    <v:shape id="Proceso 124" o:spid="_x0000_s1537" type="#_x0000_t109" style="position:absolute;left:68316;top:40066;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" filled="f" stroked="f" strokeweight="2pt">
                      <v:textbox inset=".75mm,0,.75mm,0">
                        <w:txbxContent>
                          <w:p w14:paraId="136CB2FE"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AE</w:t>
                            </w:r>
                          </w:p>
                        </w:txbxContent>
                      </v:textbox>
                    </v:shape>
                    <v:shape id="Proceso 124" o:spid="_x0000_s1538" type="#_x0000_t109" style="position:absolute;left:73971;top:41275;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" filled="f" stroked="f" strokeweight="2pt">
                      <v:textbox inset=".75mm,0,.75mm,0">
                        <w:txbxContent>
                          <w:p w14:paraId="4C1B746B"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AIR</w:t>
                            </w:r>
                          </w:p>
                        </w:txbxContent>
                      </v:textbox>
                    </v:shape>
                    <v:shape id="Proceso 124" o:spid="_x0000_s1539" type="#_x0000_t109" style="position:absolute;left:66649;top:43485;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" filled="f" stroked="f" strokeweight="2pt">
                      <v:textbox inset=".75mm,0,.75mm,0">
                        <w:txbxContent>
                          <w:p w14:paraId="544E04E9" w14:textId="77777777" w:rsidR="0081579F" w:rsidRPr="00127BD4" w:rsidRDefault="0081579F" w:rsidP="0081579F">
                            <w:pPr>
                              <w:jc w:val="center"/>
                              <w:rPr>
                                <w:rFonts w:ascii="Arial Narrow" w:hAnsi="Arial Narrow" w:cstheme="minorBidi"/>
                                <w:color w:val="69BFFF"/>
                                <w:kern w:val="24"/>
                                <w:sz w:val="16"/>
                                <w:szCs w:val="16"/>
                              </w:rPr>
                            </w:pPr>
                            <w:r w:rsidRPr="00127BD4">
                              <w:rPr>
                                <w:rFonts w:ascii="Arial Narrow" w:hAnsi="Arial Narrow" w:cstheme="minorBidi"/>
                                <w:color w:val="69BFFF"/>
                                <w:kern w:val="24"/>
                                <w:sz w:val="16"/>
                                <w:szCs w:val="16"/>
                              </w:rPr>
                              <w:t>AI</w:t>
                            </w:r>
                          </w:p>
                        </w:txbxContent>
                      </v:textbox>
                    </v:shape>
                  </v:group>
                  <v:group id="Grupo 360966875" o:spid="_x0000_s1540" style="position:absolute;left:48491;top:51740;width:14400;height:8290" coordorigin="48491,51740" coordsize="14400,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">
                    <v:group id="Grupo 728685058" o:spid="_x0000_s1541" style="position:absolute;left:48491;top:52823;width:14400;height:7207" coordorigin="48491,52823" coordsize="1440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">
                      <v:shape id="Proceso 124" o:spid="_x0000_s1542" type="#_x0000_t109" style="position:absolute;left:48491;top:52830;width:14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" filled="f" strokecolor="#0070c0" strokeweight=".25pt">
                        <v:textbox inset=".75mm,0,.75mm,0"/>
                      </v:shape>
                      <v:shape id="Forma libre: forma 1199657517" o:spid="_x0000_s1543" style="position:absolute;left:52233;top:52823;width:5953;height:3488;visibility:visible;mso-wrap-style:square;v-text-anchor:middle" coordsize="595313,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" path="m16669,v-794,14288,-1141,28607,-2381,42863c13937,46895,12571,50777,11906,54769v-923,5536,-1528,11122,-2381,16669c8791,76210,7708,80930,7144,85725,6120,94432,5851,103219,4763,111919v-502,4016,-1658,7924,-2382,11906c1517,128575,794,133350,,138113v1918,30682,1176,60646,7144,90487c7786,231809,8236,235117,9525,238125v3129,7301,6860,8232,11906,14288c23263,254612,23959,257769,26194,259557v5847,4678,19050,11906,19050,11906c46831,273844,47982,276583,50006,278607v4615,4615,8479,5207,14288,7143c66191,293339,67846,299317,69056,307182v23,152,2244,24167,4763,28575c75490,338681,78161,341032,80963,342900v4567,3045,22325,4515,23812,4763c113843,349174,117644,350285,126206,352425v3175,-794,6517,-1092,9525,-2381c138362,348917,140315,346562,142875,345282v2245,-1123,4763,-1588,7144,-2382c157163,343694,164346,344189,171450,345282v3235,498,6316,1739,9525,2381c185710,348610,190500,349250,195263,350044v4918,-546,23458,-1638,30956,-4762c271885,326255,227461,341185,254794,333375v2414,-690,4651,-2088,7144,-2381c273002,329692,284163,329407,295275,328613v2381,-2381,4486,-5076,7144,-7144c308454,316775,315811,311025,323850,309563v6296,-1145,12700,-1587,19050,-2381c348708,305245,352574,304652,357188,300038v5967,-5967,2211,-9104,11906,-9525c403202,289030,437357,288926,471488,288132v7004,-9340,6928,-7148,9525,-16669c482735,265148,485775,252413,485775,252413v-794,-4763,-854,-9707,-2381,-14288c482699,236041,471653,221677,471488,221457v-13257,-39771,-805,-4393,-14288,-38100c456268,181026,455808,178520,454819,176213v-5916,-13804,-5185,-6456,-9525,-23813c443706,146050,444162,138796,440531,133350r-9525,-14287c433387,116682,435084,113313,438150,111919v9975,-4534,25022,-5199,35719,-7144c490207,101804,476931,103414,490538,100013v3926,-982,7937,-1587,11906,-2381c509989,93859,515312,91907,521494,85725v2023,-2023,3342,-4658,4762,-7143c530966,70341,530728,69930,533400,61913v794,-8731,-766,-18011,2381,-26194c537055,32406,542043,32355,545306,30957v2307,-989,4899,-1259,7144,-2382c568891,20355,549300,26386,569119,21432v3731,-1866,13306,-6162,16669,-9525c597282,413,584425,7825,595313,2382e" filled="f" strokecolor="#0070c0">
                        <v:path arrowok="t" o:connecttype="custom" o:connectlocs="16669,0;14288,42430;11906,54215;9525,70716;7144,84858;4763,110787;2381,122573;0,136716;7144,226288;9525,235717;21431,249860;26194,256932;45244,268718;50006,275790;64294,282860;69056,304076;73819,332362;80963,339432;104775,344147;126206,348861;135731,346504;142875,341790;150019,339432;171450,341790;180975,344147;195263,346504;226219,341790;254794,330004;261938,327647;295275,325290;302419,318218;323850,306432;342900,304076;357188,297004;369094,287575;471488,285218;481013,268718;485775,249860;483394,235717;471488,219217;457200,181503;454819,174431;445294,150859;440531,132001;431006,117859;438150,110787;473869,103715;490538,99002;502444,96645;521494,84858;526256,77787;533400,61287;535781,35358;545306,30644;552450,28286;569119,21215;585788,11787;595313,2358" o:connectangles="0,0,0,0,0,0,0,0,0,0,0,0,0,0,0,0,0,0,0,0,0,0,0,0,0,0,0,0,0,0,0,0,0,0,0,0,0,0,0,0,0,0,0,0,0,0,0,0,0,0,0,0,0,0,0,0,0,0"/>
                      </v:shape>
                      <v:shape id="Forma libre: forma 876101656" o:spid="_x0000_s1544" style="position:absolute;left:55833;top:55805;width:4745;height:4218;visibility:visible;mso-wrap-style:square;v-text-anchor:middle" coordsize="474532,42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" path="m469106,421823v5822,-34935,6106,-32722,4763,-90488c473234,304031,475138,308158,459581,300379v-4762,-6350,-9884,-12446,-14287,-19050c443706,278948,442432,276324,440531,274185v-21748,-24467,-8240,-5217,-19050,-21431c415749,235557,421983,256007,416719,221798v-382,-2481,-1588,-4763,-2382,-7144c413543,209892,412374,205177,411956,200367v-1171,-13467,-376,-27114,-2381,-40482c409150,157055,407239,154259,404812,152742v-4257,-2661,-9417,-3546,-14287,-4763l371475,143217v-15875,794,-31790,1004,-47625,2381c308656,146919,324181,148131,311944,155123v-3514,2008,-7938,1587,-11907,2381c288925,156710,277544,157675,266700,155123v-7675,-1806,-7006,-9251,-9525,-14288c254856,136197,249362,129472,245269,126548v-2889,-2063,-6481,-2937,-9525,-4763c230836,118840,226219,115435,221456,112260v-4762,-3175,-9379,-6581,-14287,-9525l195262,95592v-1587,-2381,-2417,-5503,-4762,-7144c184684,84377,177357,82861,171450,78923r-7144,-4763l154781,59873v-1587,-2381,-2202,-5864,-4762,-7144c143669,49554,137931,44596,130969,43204v-3969,-794,-7956,-1503,-11907,-2381c115867,40113,112781,38875,109537,38442,100847,37283,92075,36854,83344,36060v-3175,-794,-6316,-1739,-9525,-2381c69084,32732,64281,32162,59531,31298,55549,30574,51594,29711,47625,28917,44450,27329,41396,25472,38100,24154,33439,22290,27362,22942,23812,19392,8839,4419,29966,5452,9525,342,6445,-428,3175,342,,342e" filled="f" strokecolor="#0070c0">
                        <v:path arrowok="t" o:connecttype="custom" o:connectlocs="469106,421823;473869,331335;459581,300379;445294,281329;440531,274185;421481,252754;416719,221798;414337,214654;411956,200367;409575,159885;404812,152742;390525,147979;371475,143217;323850,145598;311944,155123;300037,157504;266700,155123;257175,140835;245269,126548;235744,121785;221456,112260;207169,102735;195262,95592;190500,88448;171450,78923;164306,74160;154781,59873;150019,52729;130969,43204;119062,40823;109537,38442;83344,36060;73819,33679;59531,31298;47625,28917;38100,24154;23812,19392;9525,342;0,342" o:connectangles="0,0,0,0,0,0,0,0,0,0,0,0,0,0,0,0,0,0,0,0,0,0,0,0,0,0,0,0,0,0,0,0,0,0,0,0,0,0,0"/>
                      </v:shape>
                    </v:group>
                    <v:shape id="Proceso 124" o:spid="_x0000_s1545" type="#_x0000_t109" style="position:absolute;left:52955;top:5174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" filled="f" stroked="f" strokeweight="2pt">
                      <v:textbox inset=".75mm,0,.75mm,0">
                        <w:txbxContent>
                          <w:p w14:paraId="501F48E4"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AE</w:t>
                            </w:r>
                          </w:p>
                        </w:txbxContent>
                      </v:textbox>
                    </v:shape>
                    <v:shape id="Proceso 124" o:spid="_x0000_s1546" type="#_x0000_t109" style="position:absolute;left:57943;top:53694;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" filled="f" stroked="f" strokeweight="2pt">
                      <v:textbox inset=".75mm,0,.75mm,0">
                        <w:txbxContent>
                          <w:p w14:paraId="5B3C4265"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AIR</w:t>
                            </w:r>
                          </w:p>
                        </w:txbxContent>
                      </v:textbox>
                    </v:shape>
                    <v:shape id="Proceso 124" o:spid="_x0000_s1547" type="#_x0000_t109" style="position:absolute;left:51169;top:55665;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" filled="f" stroked="f" strokeweight="2pt">
                      <v:textbox inset=".75mm,0,.75mm,0">
                        <w:txbxContent>
                          <w:p w14:paraId="31CC084A" w14:textId="77777777" w:rsidR="0081579F" w:rsidRPr="00127BD4" w:rsidRDefault="0081579F" w:rsidP="0081579F">
                            <w:pPr>
                              <w:jc w:val="center"/>
                              <w:rPr>
                                <w:rFonts w:ascii="Arial Narrow" w:hAnsi="Arial Narrow" w:cstheme="minorBidi"/>
                                <w:color w:val="0070C0"/>
                                <w:kern w:val="24"/>
                                <w:sz w:val="16"/>
                                <w:szCs w:val="16"/>
                              </w:rPr>
                            </w:pPr>
                            <w:r w:rsidRPr="00127BD4">
                              <w:rPr>
                                <w:rFonts w:ascii="Arial Narrow" w:hAnsi="Arial Narrow" w:cstheme="minorBidi"/>
                                <w:color w:val="0070C0"/>
                                <w:kern w:val="24"/>
                                <w:sz w:val="16"/>
                                <w:szCs w:val="16"/>
                              </w:rPr>
                              <w:t>AI</w:t>
                            </w:r>
                          </w:p>
                        </w:txbxContent>
                      </v:textbox>
                    </v:shape>
                  </v:group>
                  <v:shape id="Conector recto de flecha 1581387771" o:spid="_x0000_s1548" type="#_x0000_t32" style="position:absolute;left:15459;top:8633;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" strokecolor="black [3213]" strokeweight=".25pt">
                    <v:stroke endarrow="open"/>
                    <o:lock v:ext="edit" shapetype="f"/>
                  </v:shape>
                  <v:shape id="Proceso 124" o:spid="_x0000_s1549" type="#_x0000_t109" style="position:absolute;left:17899;top:6833;width:648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" filled="f" stroked="f" strokeweight="2pt">
                    <v:textbox inset=".75mm,0,.75mm,0">
                      <w:txbxContent>
                        <w:p w14:paraId="7B66D26D" w14:textId="77777777" w:rsidR="0081579F" w:rsidRPr="00127BD4" w:rsidRDefault="0081579F" w:rsidP="0081579F">
                          <w:pPr>
                            <w:jc w:val="center"/>
                            <w:rPr>
                              <w:rFonts w:ascii="Arial Narrow" w:hAnsi="Arial Narrow" w:cstheme="minorBidi"/>
                              <w:color w:val="000000" w:themeColor="dark1"/>
                              <w:kern w:val="24"/>
                              <w:sz w:val="18"/>
                              <w:szCs w:val="18"/>
                            </w:rPr>
                          </w:pPr>
                          <w:r w:rsidRPr="00127BD4">
                            <w:rPr>
                              <w:rFonts w:ascii="Arial Narrow" w:hAnsi="Arial Narrow" w:cstheme="minorBidi"/>
                              <w:color w:val="000000" w:themeColor="dark1"/>
                              <w:kern w:val="24"/>
                              <w:sz w:val="18"/>
                              <w:szCs w:val="18"/>
                            </w:rPr>
                            <w:t>Unidad de análisis</w:t>
                          </w:r>
                        </w:p>
                      </w:txbxContent>
                    </v:textbox>
                  </v:shape>
                </v:group>
                <v:shape id="Conector recto de flecha 405" o:spid="_x0000_s1550" type="#_x0000_t32" style="position:absolute;left:14573;top:48291;width:5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" strokecolor="black [3213]" strokeweight="2.25pt">
                  <v:stroke endarrow="block"/>
                </v:shape>
                <v:shape id="Conector recto de flecha 405" o:spid="_x0000_s1551" type="#_x0000_t32" style="position:absolute;left:30289;top:48387;width:5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" strokecolor="black [3213]" strokeweight="2.25pt">
                  <v:stroke endarrow="block"/>
                </v:shape>
                <v:shape id="Conector recto de flecha 405" o:spid="_x0000_s1552" type="#_x0000_t32" style="position:absolute;left:46005;top:48291;width:5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" strokecolor="black [3213]" strokeweight="2.25pt">
                  <v:stroke endarrow="block"/>
                </v:shape>
              </v:group>
            </w:pict>
          </mc:Fallback>
        </mc:AlternateContent>
      </w:r>
      <w:r w:rsidR="006E60DC" w:rsidRPr="004E4C01">
        <w:t xml:space="preserve">Figura </w:t>
      </w:r>
      <w:fldSimple w:instr=" SEQ Figura \* ARABIC ">
        <w:r w:rsidR="009C4A81">
          <w:rPr>
            <w:noProof/>
          </w:rPr>
          <w:t>19</w:t>
        </w:r>
      </w:fldSimple>
      <w:bookmarkEnd w:id="11071"/>
      <w:r w:rsidR="006E60DC" w:rsidRPr="004E4C01">
        <w:t xml:space="preserve">. </w:t>
      </w:r>
      <w:r w:rsidR="006F662F" w:rsidRPr="00CD4321">
        <w:rPr>
          <w:b w:val="0"/>
          <w:bCs w:val="0"/>
        </w:rPr>
        <w:t xml:space="preserve">Procedimiento para </w:t>
      </w:r>
      <w:r w:rsidR="00613518" w:rsidRPr="00CD4321">
        <w:rPr>
          <w:b w:val="0"/>
          <w:bCs w:val="0"/>
        </w:rPr>
        <w:t>definir la zonificación de manejo ambiental</w:t>
      </w:r>
      <w:r w:rsidR="006E60DC" w:rsidRPr="004E4C01">
        <w:t xml:space="preserve"> </w:t>
      </w:r>
    </w:p>
    <w:p w14:paraId="7EAD8B53" w14:textId="2852ADDB" w:rsidR="00CB57C1" w:rsidRPr="004E4C01" w:rsidRDefault="00CB57C1" w:rsidP="007F1776"/>
    <w:p w14:paraId="2F3B5179" w14:textId="2220B2C5" w:rsidR="00CB57C1" w:rsidRPr="004E4C01" w:rsidRDefault="00CB57C1" w:rsidP="007F1776"/>
    <w:p w14:paraId="71B43034" w14:textId="2C2077AB" w:rsidR="00E107A1" w:rsidRPr="004E4C01" w:rsidRDefault="00E107A1" w:rsidP="007F1776"/>
    <w:p w14:paraId="6811BD8C" w14:textId="77777777" w:rsidR="00E107A1" w:rsidRPr="004E4C01" w:rsidRDefault="00E107A1" w:rsidP="007F1776">
      <w:pPr>
        <w:sectPr w:rsidR="00E107A1" w:rsidRPr="004E4C01" w:rsidSect="00127BD4">
          <w:headerReference w:type="even" r:id="rId83"/>
          <w:headerReference w:type="default" r:id="rId84"/>
          <w:footerReference w:type="default" r:id="rId85"/>
          <w:headerReference w:type="first" r:id="rId86"/>
          <w:pgSz w:w="15842" w:h="12242" w:orient="landscape" w:code="1"/>
          <w:pgMar w:top="1418" w:right="2268" w:bottom="1134" w:left="1701" w:header="964" w:footer="283" w:gutter="0"/>
          <w:cols w:space="720"/>
          <w:docGrid w:linePitch="326"/>
        </w:sectPr>
      </w:pPr>
    </w:p>
    <w:p w14:paraId="24CF634C" w14:textId="77777777" w:rsidR="00E107A1" w:rsidRPr="004E4C01" w:rsidRDefault="00E107A1" w:rsidP="007F1776"/>
    <w:p w14:paraId="4D0DA499" w14:textId="77777777" w:rsidR="00AC581E" w:rsidRPr="004E4C01" w:rsidRDefault="00AC581E" w:rsidP="007F1776"/>
    <w:p w14:paraId="47A9F38D" w14:textId="6FBAE892" w:rsidR="0050289E" w:rsidRPr="004E4C01" w:rsidRDefault="0050289E" w:rsidP="00696453">
      <w:pPr>
        <w:pStyle w:val="Ttulo1"/>
        <w:numPr>
          <w:ilvl w:val="0"/>
          <w:numId w:val="8"/>
        </w:numPr>
        <w:rPr>
          <w:lang w:val="es-CO"/>
        </w:rPr>
      </w:pPr>
      <w:bookmarkStart w:id="11072" w:name="_Toc405366873"/>
      <w:bookmarkStart w:id="11073" w:name="_Toc405372421"/>
      <w:bookmarkStart w:id="11074" w:name="_Toc437936062"/>
      <w:bookmarkStart w:id="11075" w:name="_Ref510091071"/>
      <w:bookmarkStart w:id="11076" w:name="_Ref510091073"/>
      <w:bookmarkStart w:id="11077" w:name="_Toc230879709"/>
      <w:r w:rsidRPr="004E4C01">
        <w:rPr>
          <w:lang w:val="es-CO"/>
        </w:rPr>
        <w:t>PLANES Y PROGRAMAS</w:t>
      </w:r>
      <w:bookmarkEnd w:id="11072"/>
      <w:bookmarkEnd w:id="11073"/>
      <w:bookmarkEnd w:id="11074"/>
      <w:bookmarkEnd w:id="11075"/>
      <w:bookmarkEnd w:id="11076"/>
      <w:bookmarkEnd w:id="11077"/>
    </w:p>
    <w:p w14:paraId="247C75BF" w14:textId="7DD276C4" w:rsidR="00882C61" w:rsidRPr="004E4C01" w:rsidRDefault="00882C61">
      <w:pPr>
        <w:numPr>
          <w:ilvl w:val="12"/>
          <w:numId w:val="0"/>
        </w:numPr>
        <w:tabs>
          <w:tab w:val="left" w:pos="-2268"/>
        </w:tabs>
        <w:suppressAutoHyphens/>
        <w:rPr>
          <w:spacing w:val="-3"/>
        </w:rPr>
      </w:pPr>
    </w:p>
    <w:p w14:paraId="4696855B" w14:textId="77BC9BBB" w:rsidR="00115F66" w:rsidRPr="004E4C01" w:rsidRDefault="005C63A3" w:rsidP="009420F5">
      <w:pPr>
        <w:tabs>
          <w:tab w:val="left" w:pos="-2268"/>
        </w:tabs>
        <w:suppressAutoHyphens/>
        <w:rPr>
          <w:rFonts w:cs="Arial"/>
          <w:spacing w:val="-3"/>
        </w:rPr>
      </w:pPr>
      <w:r w:rsidRPr="004E4C01">
        <w:rPr>
          <w:rFonts w:cs="Arial"/>
          <w:spacing w:val="-3"/>
        </w:rPr>
        <w:t xml:space="preserve">Los planes y programas constituyen un elemento fundamental no sólo para el Estudio de Impacto Ambiental </w:t>
      </w:r>
      <w:r w:rsidR="00935E17" w:rsidRPr="004E4C01">
        <w:rPr>
          <w:rFonts w:cs="Arial"/>
          <w:spacing w:val="-3"/>
        </w:rPr>
        <w:t>(</w:t>
      </w:r>
      <w:r w:rsidRPr="004E4C01">
        <w:rPr>
          <w:rFonts w:cs="Arial"/>
          <w:spacing w:val="-3"/>
        </w:rPr>
        <w:t>EIA</w:t>
      </w:r>
      <w:r w:rsidR="00935E17" w:rsidRPr="004E4C01">
        <w:rPr>
          <w:rFonts w:cs="Arial"/>
          <w:spacing w:val="-3"/>
        </w:rPr>
        <w:t>)</w:t>
      </w:r>
      <w:r w:rsidRPr="004E4C01">
        <w:rPr>
          <w:rFonts w:cs="Arial"/>
          <w:spacing w:val="-3"/>
        </w:rPr>
        <w:t xml:space="preserve">, sino también para el proceso de licenciamiento ambiental, pues a través de ellos se formula el conjunto ordenado y armónico de acciones y medidas, que tienen como propósito </w:t>
      </w:r>
      <w:r w:rsidR="005C6652" w:rsidRPr="004E4C01">
        <w:rPr>
          <w:rFonts w:cs="Arial"/>
          <w:spacing w:val="-3"/>
        </w:rPr>
        <w:t>la gestión</w:t>
      </w:r>
      <w:r w:rsidRPr="004E4C01">
        <w:rPr>
          <w:rFonts w:cs="Arial"/>
          <w:spacing w:val="-3"/>
        </w:rPr>
        <w:t xml:space="preserve"> de los impactos ambientales </w:t>
      </w:r>
      <w:r w:rsidR="009F14B2" w:rsidRPr="004E4C01">
        <w:rPr>
          <w:rFonts w:cs="Arial"/>
          <w:spacing w:val="-3"/>
        </w:rPr>
        <w:t>generados</w:t>
      </w:r>
      <w:r w:rsidRPr="004E4C01">
        <w:rPr>
          <w:rFonts w:cs="Arial"/>
          <w:spacing w:val="-3"/>
        </w:rPr>
        <w:t xml:space="preserve"> </w:t>
      </w:r>
      <w:r w:rsidR="001602EA" w:rsidRPr="004E4C01">
        <w:rPr>
          <w:rFonts w:cs="Arial"/>
          <w:spacing w:val="-3"/>
        </w:rPr>
        <w:t xml:space="preserve">en todas las </w:t>
      </w:r>
      <w:r w:rsidR="00544471">
        <w:rPr>
          <w:spacing w:val="-3"/>
        </w:rPr>
        <w:t>etapas</w:t>
      </w:r>
      <w:r w:rsidR="00544471" w:rsidRPr="004E4C01" w:rsidDel="00544471">
        <w:rPr>
          <w:rFonts w:cs="Arial"/>
          <w:spacing w:val="-3"/>
        </w:rPr>
        <w:t xml:space="preserve"> </w:t>
      </w:r>
      <w:r w:rsidR="001602EA" w:rsidRPr="004E4C01">
        <w:rPr>
          <w:rFonts w:cs="Arial"/>
          <w:spacing w:val="-3"/>
        </w:rPr>
        <w:t xml:space="preserve">de ejecución de </w:t>
      </w:r>
      <w:r w:rsidRPr="004E4C01">
        <w:rPr>
          <w:rFonts w:cs="Arial"/>
          <w:spacing w:val="-3"/>
        </w:rPr>
        <w:t>un proyecto, obra o actividad</w:t>
      </w:r>
      <w:r w:rsidR="005152C4" w:rsidRPr="004E4C01">
        <w:rPr>
          <w:rFonts w:cs="Arial"/>
          <w:spacing w:val="-3"/>
        </w:rPr>
        <w:t xml:space="preserve">, la </w:t>
      </w:r>
      <w:r w:rsidR="00AD171D" w:rsidRPr="004E4C01">
        <w:rPr>
          <w:rFonts w:cs="Arial"/>
          <w:spacing w:val="-3"/>
        </w:rPr>
        <w:t>reducción del riesgo y el manejo de contingencias</w:t>
      </w:r>
      <w:r w:rsidR="007770AF" w:rsidRPr="004E4C01">
        <w:rPr>
          <w:rFonts w:cs="Arial"/>
          <w:spacing w:val="-3"/>
        </w:rPr>
        <w:t xml:space="preserve"> que </w:t>
      </w:r>
      <w:r w:rsidR="007770AF" w:rsidRPr="004E4C01">
        <w:rPr>
          <w:rFonts w:cs="Arial"/>
          <w:szCs w:val="20"/>
        </w:rPr>
        <w:t>puedan generar impactos ambientales</w:t>
      </w:r>
      <w:r w:rsidR="00AD171D" w:rsidRPr="004E4C01">
        <w:rPr>
          <w:rFonts w:cs="Arial"/>
          <w:spacing w:val="-3"/>
        </w:rPr>
        <w:t xml:space="preserve">, así como </w:t>
      </w:r>
      <w:r w:rsidR="00935E17" w:rsidRPr="004E4C01">
        <w:rPr>
          <w:rFonts w:cs="Arial"/>
          <w:spacing w:val="-3"/>
        </w:rPr>
        <w:t xml:space="preserve">la </w:t>
      </w:r>
      <w:r w:rsidR="004D4D8D" w:rsidRPr="004E4C01">
        <w:rPr>
          <w:rFonts w:cs="Arial"/>
          <w:spacing w:val="-3"/>
        </w:rPr>
        <w:t>formulación</w:t>
      </w:r>
      <w:r w:rsidR="00935E17" w:rsidRPr="004E4C01">
        <w:rPr>
          <w:rFonts w:cs="Arial"/>
          <w:spacing w:val="-3"/>
        </w:rPr>
        <w:t xml:space="preserve"> de </w:t>
      </w:r>
      <w:r w:rsidR="004D4D8D" w:rsidRPr="004E4C01">
        <w:rPr>
          <w:rFonts w:cs="Arial"/>
          <w:spacing w:val="-3"/>
        </w:rPr>
        <w:t xml:space="preserve">inversiones establecidas por la Ley y de </w:t>
      </w:r>
      <w:r w:rsidR="00E33D76" w:rsidRPr="004E4C01">
        <w:rPr>
          <w:rFonts w:cs="Arial"/>
          <w:spacing w:val="-3"/>
        </w:rPr>
        <w:t xml:space="preserve">medidas que </w:t>
      </w:r>
      <w:r w:rsidR="00935E17" w:rsidRPr="004E4C01">
        <w:rPr>
          <w:rFonts w:cs="Arial"/>
          <w:spacing w:val="-3"/>
        </w:rPr>
        <w:t>retribu</w:t>
      </w:r>
      <w:r w:rsidR="00E33D76" w:rsidRPr="004E4C01">
        <w:rPr>
          <w:rFonts w:cs="Arial"/>
          <w:spacing w:val="-3"/>
        </w:rPr>
        <w:t xml:space="preserve">yan </w:t>
      </w:r>
      <w:r w:rsidR="00115F66" w:rsidRPr="004E4C01">
        <w:rPr>
          <w:rFonts w:cs="Arial"/>
          <w:spacing w:val="-3"/>
        </w:rPr>
        <w:t>los impactos generados sobre los ecosistemas</w:t>
      </w:r>
      <w:r w:rsidR="00D07D27" w:rsidRPr="004E4C01">
        <w:rPr>
          <w:rFonts w:cs="Arial"/>
          <w:spacing w:val="-3"/>
        </w:rPr>
        <w:t xml:space="preserve">; importante tener en cuenta que las medidas de compensación </w:t>
      </w:r>
      <w:r w:rsidR="002A1740" w:rsidRPr="004E4C01">
        <w:rPr>
          <w:rFonts w:cs="Arial"/>
          <w:spacing w:val="-3"/>
        </w:rPr>
        <w:t xml:space="preserve">además de </w:t>
      </w:r>
      <w:r w:rsidR="00D07D27" w:rsidRPr="004E4C01">
        <w:rPr>
          <w:rFonts w:cs="Arial"/>
          <w:spacing w:val="-3"/>
        </w:rPr>
        <w:t>posibilita</w:t>
      </w:r>
      <w:r w:rsidR="002A1740" w:rsidRPr="004E4C01">
        <w:rPr>
          <w:rFonts w:cs="Arial"/>
          <w:spacing w:val="-3"/>
        </w:rPr>
        <w:t>r</w:t>
      </w:r>
      <w:r w:rsidR="00D07D27" w:rsidRPr="004E4C01">
        <w:rPr>
          <w:rFonts w:cs="Arial"/>
          <w:spacing w:val="-3"/>
        </w:rPr>
        <w:t xml:space="preserve"> el objetivo último de la jerarquía de las medidas de manejo</w:t>
      </w:r>
      <w:r w:rsidR="002A1740" w:rsidRPr="004E4C01">
        <w:rPr>
          <w:rFonts w:cs="Arial"/>
          <w:spacing w:val="-3"/>
        </w:rPr>
        <w:t xml:space="preserve">, tienen la capacidad de generar </w:t>
      </w:r>
      <w:r w:rsidR="00D07D27" w:rsidRPr="004E4C01">
        <w:rPr>
          <w:rFonts w:cs="Arial"/>
          <w:spacing w:val="-3"/>
        </w:rPr>
        <w:t>impactos ambientales positivos adicionales</w:t>
      </w:r>
      <w:r w:rsidR="00115F66" w:rsidRPr="004E4C01">
        <w:rPr>
          <w:rFonts w:cs="Arial"/>
          <w:spacing w:val="-3"/>
        </w:rPr>
        <w:t>.</w:t>
      </w:r>
    </w:p>
    <w:p w14:paraId="3E7917E5" w14:textId="77777777" w:rsidR="00115F66" w:rsidRPr="004E4C01" w:rsidRDefault="00115F66" w:rsidP="003725C8">
      <w:pPr>
        <w:tabs>
          <w:tab w:val="left" w:pos="-2268"/>
        </w:tabs>
        <w:suppressAutoHyphens/>
        <w:rPr>
          <w:rFonts w:cs="Arial"/>
          <w:spacing w:val="-3"/>
        </w:rPr>
      </w:pPr>
    </w:p>
    <w:p w14:paraId="4B0B6895" w14:textId="7A897F5B" w:rsidR="005C63A3" w:rsidRPr="004E4C01" w:rsidRDefault="005C63A3" w:rsidP="005C63A3">
      <w:pPr>
        <w:numPr>
          <w:ilvl w:val="12"/>
          <w:numId w:val="0"/>
        </w:numPr>
        <w:tabs>
          <w:tab w:val="left" w:pos="-2268"/>
        </w:tabs>
        <w:suppressAutoHyphens/>
        <w:rPr>
          <w:rFonts w:cs="Arial"/>
          <w:spacing w:val="-3"/>
        </w:rPr>
      </w:pPr>
      <w:r w:rsidRPr="004E4C01">
        <w:rPr>
          <w:rFonts w:cs="Arial"/>
          <w:spacing w:val="-3"/>
        </w:rPr>
        <w:t xml:space="preserve">Para formular </w:t>
      </w:r>
      <w:r w:rsidR="00AE5A5E" w:rsidRPr="004E4C01">
        <w:rPr>
          <w:rFonts w:cs="Arial"/>
          <w:spacing w:val="-3"/>
        </w:rPr>
        <w:t>l</w:t>
      </w:r>
      <w:r w:rsidRPr="004E4C01">
        <w:rPr>
          <w:rFonts w:cs="Arial"/>
          <w:spacing w:val="-3"/>
        </w:rPr>
        <w:t xml:space="preserve">os planes y programas, es esencial tener un conocimiento detallado de las características del proyecto, obra o actividad que se propone, </w:t>
      </w:r>
      <w:r w:rsidR="00603FBA" w:rsidRPr="004E4C01">
        <w:rPr>
          <w:rFonts w:cs="Arial"/>
          <w:spacing w:val="-3"/>
        </w:rPr>
        <w:t xml:space="preserve">del uso y aprovechamiento de recursos naturales que </w:t>
      </w:r>
      <w:r w:rsidR="00AE5A5E" w:rsidRPr="004E4C01">
        <w:rPr>
          <w:rFonts w:cs="Arial"/>
          <w:spacing w:val="-3"/>
        </w:rPr>
        <w:t xml:space="preserve">éste </w:t>
      </w:r>
      <w:r w:rsidR="00603FBA" w:rsidRPr="004E4C01">
        <w:rPr>
          <w:rFonts w:cs="Arial"/>
          <w:spacing w:val="-3"/>
        </w:rPr>
        <w:t xml:space="preserve">requiere, </w:t>
      </w:r>
      <w:r w:rsidRPr="004E4C01">
        <w:rPr>
          <w:rFonts w:cs="Arial"/>
          <w:spacing w:val="-3"/>
        </w:rPr>
        <w:t xml:space="preserve">de las condiciones </w:t>
      </w:r>
      <w:r w:rsidR="00603FBA" w:rsidRPr="004E4C01">
        <w:rPr>
          <w:rFonts w:cs="Arial"/>
          <w:spacing w:val="-3"/>
        </w:rPr>
        <w:t xml:space="preserve">y sensibilidad </w:t>
      </w:r>
      <w:r w:rsidRPr="004E4C01">
        <w:rPr>
          <w:rFonts w:cs="Arial"/>
          <w:spacing w:val="-3"/>
        </w:rPr>
        <w:t xml:space="preserve">del ambiente en el que se prevé su ejecución, de las características de los impactos que </w:t>
      </w:r>
      <w:r w:rsidR="003239DF" w:rsidRPr="004E4C01">
        <w:rPr>
          <w:rFonts w:cs="Arial"/>
          <w:spacing w:val="-3"/>
        </w:rPr>
        <w:t xml:space="preserve">genera </w:t>
      </w:r>
      <w:r w:rsidRPr="004E4C01">
        <w:rPr>
          <w:rFonts w:cs="Arial"/>
          <w:spacing w:val="-3"/>
        </w:rPr>
        <w:t xml:space="preserve">(grado de modificación </w:t>
      </w:r>
      <w:r w:rsidR="003239DF" w:rsidRPr="004E4C01">
        <w:rPr>
          <w:rFonts w:cs="Arial"/>
          <w:spacing w:val="-3"/>
        </w:rPr>
        <w:t xml:space="preserve">de condiciones </w:t>
      </w:r>
      <w:r w:rsidRPr="004E4C01">
        <w:rPr>
          <w:rFonts w:cs="Arial"/>
          <w:spacing w:val="-3"/>
        </w:rPr>
        <w:t>ambiental</w:t>
      </w:r>
      <w:r w:rsidR="003239DF" w:rsidRPr="004E4C01">
        <w:rPr>
          <w:rFonts w:cs="Arial"/>
          <w:spacing w:val="-3"/>
        </w:rPr>
        <w:t>es</w:t>
      </w:r>
      <w:r w:rsidR="00603FBA" w:rsidRPr="004E4C01">
        <w:rPr>
          <w:rFonts w:cs="Arial"/>
          <w:spacing w:val="-3"/>
        </w:rPr>
        <w:t>, lugar</w:t>
      </w:r>
      <w:r w:rsidR="00050FBB" w:rsidRPr="004E4C01">
        <w:rPr>
          <w:rFonts w:cs="Arial"/>
          <w:spacing w:val="-3"/>
        </w:rPr>
        <w:t>es</w:t>
      </w:r>
      <w:r w:rsidR="00603FBA" w:rsidRPr="004E4C01">
        <w:rPr>
          <w:rFonts w:cs="Arial"/>
          <w:spacing w:val="-3"/>
        </w:rPr>
        <w:t xml:space="preserve"> y momento</w:t>
      </w:r>
      <w:r w:rsidR="00050FBB" w:rsidRPr="004E4C01">
        <w:rPr>
          <w:rFonts w:cs="Arial"/>
          <w:spacing w:val="-3"/>
        </w:rPr>
        <w:t>s</w:t>
      </w:r>
      <w:r w:rsidR="00603FBA" w:rsidRPr="004E4C01">
        <w:rPr>
          <w:rFonts w:cs="Arial"/>
          <w:spacing w:val="-3"/>
        </w:rPr>
        <w:t xml:space="preserve"> de su manifestación, relaciones causales que lo</w:t>
      </w:r>
      <w:r w:rsidR="002315AF" w:rsidRPr="004E4C01">
        <w:rPr>
          <w:rFonts w:cs="Arial"/>
          <w:spacing w:val="-3"/>
        </w:rPr>
        <w:t>s</w:t>
      </w:r>
      <w:r w:rsidR="00603FBA" w:rsidRPr="004E4C01">
        <w:rPr>
          <w:rFonts w:cs="Arial"/>
          <w:spacing w:val="-3"/>
        </w:rPr>
        <w:t xml:space="preserve"> </w:t>
      </w:r>
      <w:r w:rsidR="00B846D8" w:rsidRPr="004E4C01">
        <w:rPr>
          <w:rFonts w:cs="Arial"/>
          <w:spacing w:val="-3"/>
        </w:rPr>
        <w:t>generan</w:t>
      </w:r>
      <w:r w:rsidR="00603FBA" w:rsidRPr="004E4C01">
        <w:rPr>
          <w:rFonts w:cs="Arial"/>
          <w:spacing w:val="-3"/>
        </w:rPr>
        <w:t>, entre otras</w:t>
      </w:r>
      <w:r w:rsidRPr="004E4C01">
        <w:rPr>
          <w:rFonts w:cs="Arial"/>
          <w:spacing w:val="-3"/>
        </w:rPr>
        <w:t xml:space="preserve">), y también, de la normativa ambiental que define las reglas de las compensaciones </w:t>
      </w:r>
      <w:r w:rsidR="0089455B" w:rsidRPr="004E4C01">
        <w:rPr>
          <w:rFonts w:cs="Arial"/>
          <w:spacing w:val="-3"/>
        </w:rPr>
        <w:t xml:space="preserve">e inversiones </w:t>
      </w:r>
      <w:r w:rsidRPr="004E4C01">
        <w:rPr>
          <w:rFonts w:cs="Arial"/>
          <w:spacing w:val="-3"/>
        </w:rPr>
        <w:t>por el uso de recursos naturales renovables.</w:t>
      </w:r>
    </w:p>
    <w:p w14:paraId="0FB7FC44" w14:textId="77777777" w:rsidR="005C63A3" w:rsidRPr="004E4C01" w:rsidRDefault="005C63A3" w:rsidP="005C63A3">
      <w:pPr>
        <w:numPr>
          <w:ilvl w:val="12"/>
          <w:numId w:val="0"/>
        </w:numPr>
        <w:tabs>
          <w:tab w:val="left" w:pos="-2268"/>
        </w:tabs>
        <w:suppressAutoHyphens/>
        <w:rPr>
          <w:rFonts w:cs="Arial"/>
          <w:spacing w:val="-3"/>
        </w:rPr>
      </w:pPr>
    </w:p>
    <w:p w14:paraId="5DD4E140" w14:textId="186E1378" w:rsidR="00E87D6E" w:rsidRPr="004E4C01" w:rsidRDefault="00AE5A5E">
      <w:pPr>
        <w:numPr>
          <w:ilvl w:val="12"/>
          <w:numId w:val="0"/>
        </w:numPr>
        <w:tabs>
          <w:tab w:val="left" w:pos="-2268"/>
        </w:tabs>
        <w:suppressAutoHyphens/>
        <w:rPr>
          <w:rFonts w:cs="Arial"/>
          <w:spacing w:val="-3"/>
        </w:rPr>
      </w:pPr>
      <w:r w:rsidRPr="004E4C01">
        <w:rPr>
          <w:rFonts w:cs="Arial"/>
          <w:spacing w:val="-3"/>
        </w:rPr>
        <w:t xml:space="preserve">En síntesis, la formulación de planes </w:t>
      </w:r>
      <w:r w:rsidR="00E87D6E" w:rsidRPr="004E4C01">
        <w:rPr>
          <w:rFonts w:cs="Arial"/>
          <w:spacing w:val="-3"/>
        </w:rPr>
        <w:t xml:space="preserve">y programas </w:t>
      </w:r>
      <w:r w:rsidR="008C33E8" w:rsidRPr="004E4C01">
        <w:rPr>
          <w:rFonts w:cs="Arial"/>
          <w:spacing w:val="-3"/>
        </w:rPr>
        <w:t>procura</w:t>
      </w:r>
      <w:r w:rsidR="002C729F" w:rsidRPr="004E4C01">
        <w:rPr>
          <w:rFonts w:cs="Arial"/>
          <w:spacing w:val="-3"/>
        </w:rPr>
        <w:t xml:space="preserve"> </w:t>
      </w:r>
      <w:r w:rsidR="00E87D6E" w:rsidRPr="004E4C01">
        <w:rPr>
          <w:rFonts w:cs="Arial"/>
          <w:spacing w:val="-3"/>
        </w:rPr>
        <w:t>e</w:t>
      </w:r>
      <w:r w:rsidRPr="004E4C01">
        <w:rPr>
          <w:rFonts w:cs="Arial"/>
          <w:spacing w:val="-3"/>
        </w:rPr>
        <w:t xml:space="preserve">l cumplimiento del objetivo de la licencia ambiental como instrumento </w:t>
      </w:r>
      <w:r w:rsidR="002C729F" w:rsidRPr="004E4C01">
        <w:rPr>
          <w:rFonts w:cs="Arial"/>
          <w:spacing w:val="-3"/>
        </w:rPr>
        <w:t xml:space="preserve">para </w:t>
      </w:r>
      <w:r w:rsidRPr="004E4C01">
        <w:rPr>
          <w:rFonts w:cs="Arial"/>
          <w:spacing w:val="-3"/>
        </w:rPr>
        <w:t>garant</w:t>
      </w:r>
      <w:r w:rsidR="002C729F" w:rsidRPr="004E4C01">
        <w:rPr>
          <w:rFonts w:cs="Arial"/>
          <w:spacing w:val="-3"/>
        </w:rPr>
        <w:t xml:space="preserve">izar </w:t>
      </w:r>
      <w:r w:rsidR="00AF6DD9" w:rsidRPr="004E4C01">
        <w:rPr>
          <w:rFonts w:cs="Arial"/>
          <w:spacing w:val="-3"/>
        </w:rPr>
        <w:t>e</w:t>
      </w:r>
      <w:r w:rsidRPr="004E4C01">
        <w:rPr>
          <w:rFonts w:cs="Arial"/>
          <w:spacing w:val="-3"/>
        </w:rPr>
        <w:t>l derecho a gozar de un ambiente sano</w:t>
      </w:r>
      <w:r w:rsidR="005C767B">
        <w:rPr>
          <w:rStyle w:val="Refdenotaalpie"/>
          <w:rFonts w:cs="Arial"/>
          <w:spacing w:val="-3"/>
        </w:rPr>
        <w:footnoteReference w:id="238"/>
      </w:r>
      <w:r w:rsidR="00E87D6E" w:rsidRPr="004E4C01">
        <w:rPr>
          <w:rFonts w:cs="Arial"/>
          <w:spacing w:val="-3"/>
        </w:rPr>
        <w:t>, de modo que en ellos se deben incorporar medidas eficaces que garanticen la gestión integral de las implicaciones</w:t>
      </w:r>
      <w:r w:rsidR="0056269B" w:rsidRPr="004E4C01">
        <w:rPr>
          <w:rFonts w:cs="Arial"/>
          <w:spacing w:val="-3"/>
        </w:rPr>
        <w:t>, riesgos</w:t>
      </w:r>
      <w:r w:rsidR="00E87D6E" w:rsidRPr="004E4C01">
        <w:rPr>
          <w:rFonts w:cs="Arial"/>
          <w:spacing w:val="-3"/>
        </w:rPr>
        <w:t xml:space="preserve"> y contingencias ambientales del proyecto, </w:t>
      </w:r>
      <w:r w:rsidR="002C729F" w:rsidRPr="004E4C01">
        <w:rPr>
          <w:rFonts w:cs="Arial"/>
          <w:spacing w:val="-3"/>
        </w:rPr>
        <w:t>obra o actividad</w:t>
      </w:r>
      <w:r w:rsidR="00AF6DD9" w:rsidRPr="004E4C01">
        <w:rPr>
          <w:rFonts w:cs="Arial"/>
          <w:spacing w:val="-3"/>
        </w:rPr>
        <w:t>.</w:t>
      </w:r>
      <w:r w:rsidR="002C729F" w:rsidRPr="004E4C01">
        <w:rPr>
          <w:rFonts w:cs="Arial"/>
          <w:spacing w:val="-3"/>
        </w:rPr>
        <w:t xml:space="preserve"> </w:t>
      </w:r>
      <w:r w:rsidR="00AF6DD9" w:rsidRPr="004E4C01">
        <w:rPr>
          <w:rFonts w:cs="Arial"/>
          <w:spacing w:val="-3"/>
        </w:rPr>
        <w:t>L</w:t>
      </w:r>
      <w:r w:rsidR="002C729F" w:rsidRPr="004E4C01">
        <w:rPr>
          <w:rFonts w:cs="Arial"/>
          <w:spacing w:val="-3"/>
        </w:rPr>
        <w:t xml:space="preserve">a </w:t>
      </w:r>
      <w:r w:rsidR="00A76145" w:rsidRPr="004E4C01">
        <w:rPr>
          <w:rFonts w:cs="Arial"/>
          <w:spacing w:val="-3"/>
        </w:rPr>
        <w:t>estructuración</w:t>
      </w:r>
      <w:r w:rsidR="002C729F" w:rsidRPr="004E4C01">
        <w:rPr>
          <w:rFonts w:cs="Arial"/>
          <w:spacing w:val="-3"/>
        </w:rPr>
        <w:t xml:space="preserve"> de tales medidas debe efectuarse de forma </w:t>
      </w:r>
      <w:r w:rsidR="00A76145" w:rsidRPr="004E4C01">
        <w:rPr>
          <w:rFonts w:cs="Arial"/>
          <w:spacing w:val="-3"/>
        </w:rPr>
        <w:t>sistemática</w:t>
      </w:r>
      <w:r w:rsidR="002C729F" w:rsidRPr="004E4C01">
        <w:rPr>
          <w:rFonts w:cs="Arial"/>
          <w:spacing w:val="-3"/>
        </w:rPr>
        <w:t xml:space="preserve">, minuciosa y detallada partiendo de </w:t>
      </w:r>
      <w:r w:rsidR="00E87D6E" w:rsidRPr="004E4C01">
        <w:rPr>
          <w:rFonts w:cs="Arial"/>
          <w:spacing w:val="-3"/>
        </w:rPr>
        <w:t xml:space="preserve">las características del proyecto, obra o actividad, </w:t>
      </w:r>
      <w:r w:rsidR="00AF6DD9" w:rsidRPr="004E4C01">
        <w:rPr>
          <w:rFonts w:cs="Arial"/>
          <w:spacing w:val="-3"/>
        </w:rPr>
        <w:t xml:space="preserve">de </w:t>
      </w:r>
      <w:r w:rsidR="00E87D6E" w:rsidRPr="004E4C01">
        <w:rPr>
          <w:rFonts w:cs="Arial"/>
          <w:spacing w:val="-3"/>
        </w:rPr>
        <w:t xml:space="preserve">las condiciones ambientales y </w:t>
      </w:r>
      <w:r w:rsidR="00AF6DD9" w:rsidRPr="004E4C01">
        <w:rPr>
          <w:rFonts w:cs="Arial"/>
          <w:spacing w:val="-3"/>
        </w:rPr>
        <w:t xml:space="preserve">de </w:t>
      </w:r>
      <w:r w:rsidR="00E87D6E" w:rsidRPr="004E4C01">
        <w:rPr>
          <w:rFonts w:cs="Arial"/>
          <w:spacing w:val="-3"/>
        </w:rPr>
        <w:t xml:space="preserve">los resultados de la evaluación </w:t>
      </w:r>
      <w:r w:rsidR="00D07D27" w:rsidRPr="004E4C01">
        <w:rPr>
          <w:rFonts w:cs="Arial"/>
          <w:spacing w:val="-3"/>
        </w:rPr>
        <w:t xml:space="preserve">ambiental </w:t>
      </w:r>
      <w:r w:rsidR="00AF6DD9" w:rsidRPr="004E4C01">
        <w:rPr>
          <w:rFonts w:cs="Arial"/>
          <w:spacing w:val="-3"/>
        </w:rPr>
        <w:t xml:space="preserve">y </w:t>
      </w:r>
      <w:r w:rsidR="00D07D27" w:rsidRPr="004E4C01">
        <w:rPr>
          <w:rFonts w:cs="Arial"/>
          <w:spacing w:val="-3"/>
        </w:rPr>
        <w:t xml:space="preserve">de </w:t>
      </w:r>
      <w:r w:rsidR="00AF6DD9" w:rsidRPr="004E4C01">
        <w:rPr>
          <w:rFonts w:cs="Arial"/>
          <w:spacing w:val="-3"/>
        </w:rPr>
        <w:t>la zonificación de manejo ambiental</w:t>
      </w:r>
      <w:r w:rsidR="00E87D6E" w:rsidRPr="004E4C01">
        <w:rPr>
          <w:rFonts w:cs="Arial"/>
          <w:spacing w:val="-3"/>
        </w:rPr>
        <w:t>.</w:t>
      </w:r>
    </w:p>
    <w:p w14:paraId="4D500ACD" w14:textId="77777777" w:rsidR="0056269B" w:rsidRPr="004E4C01" w:rsidRDefault="0056269B">
      <w:pPr>
        <w:numPr>
          <w:ilvl w:val="12"/>
          <w:numId w:val="0"/>
        </w:numPr>
        <w:tabs>
          <w:tab w:val="left" w:pos="-2268"/>
        </w:tabs>
        <w:suppressAutoHyphens/>
        <w:rPr>
          <w:rFonts w:cs="Arial"/>
          <w:spacing w:val="-3"/>
        </w:rPr>
      </w:pPr>
    </w:p>
    <w:p w14:paraId="174EF33F" w14:textId="45654D83" w:rsidR="006C410B" w:rsidRPr="004E4C01" w:rsidRDefault="002102F6">
      <w:pPr>
        <w:numPr>
          <w:ilvl w:val="12"/>
          <w:numId w:val="0"/>
        </w:numPr>
        <w:tabs>
          <w:tab w:val="left" w:pos="-2268"/>
        </w:tabs>
        <w:suppressAutoHyphens/>
        <w:rPr>
          <w:rFonts w:cs="Arial"/>
          <w:spacing w:val="-3"/>
        </w:rPr>
      </w:pPr>
      <w:r w:rsidRPr="004E4C01">
        <w:rPr>
          <w:spacing w:val="-3"/>
        </w:rPr>
        <w:t xml:space="preserve">Es importante que la formulación </w:t>
      </w:r>
      <w:r w:rsidR="0097526A" w:rsidRPr="004E4C01">
        <w:rPr>
          <w:spacing w:val="-3"/>
        </w:rPr>
        <w:t xml:space="preserve">de las medidas y acciones </w:t>
      </w:r>
      <w:r w:rsidR="00077696" w:rsidRPr="004E4C01">
        <w:rPr>
          <w:spacing w:val="-3"/>
        </w:rPr>
        <w:t xml:space="preserve">que componen los </w:t>
      </w:r>
      <w:r w:rsidRPr="004E4C01">
        <w:rPr>
          <w:spacing w:val="-3"/>
        </w:rPr>
        <w:t xml:space="preserve">planes y programas </w:t>
      </w:r>
      <w:r w:rsidR="00186124" w:rsidRPr="004E4C01">
        <w:rPr>
          <w:spacing w:val="-3"/>
        </w:rPr>
        <w:t xml:space="preserve">de </w:t>
      </w:r>
      <w:r w:rsidR="006C410B" w:rsidRPr="004E4C01">
        <w:rPr>
          <w:spacing w:val="-3"/>
        </w:rPr>
        <w:t xml:space="preserve">los proyectos, obras o actividades a los que se refiere el artículo 2.2.2.3.1.4 del Decreto 1076 de 2015 o aquel que lo modifique o sustituya, </w:t>
      </w:r>
      <w:r w:rsidR="00A42AE0" w:rsidRPr="004E4C01">
        <w:rPr>
          <w:spacing w:val="-3"/>
        </w:rPr>
        <w:t xml:space="preserve">considere </w:t>
      </w:r>
      <w:r w:rsidR="000E6EBC" w:rsidRPr="004E4C01">
        <w:rPr>
          <w:spacing w:val="-3"/>
        </w:rPr>
        <w:t xml:space="preserve">todas </w:t>
      </w:r>
      <w:r w:rsidR="006C410B" w:rsidRPr="004E4C01">
        <w:rPr>
          <w:spacing w:val="-3"/>
        </w:rPr>
        <w:t>las posibles localizaciones en las que es viable el desarrollo de sus actividades</w:t>
      </w:r>
      <w:r w:rsidR="003253AC" w:rsidRPr="004E4C01">
        <w:rPr>
          <w:spacing w:val="-3"/>
        </w:rPr>
        <w:t xml:space="preserve"> y la construcción de obras o infraestructuras</w:t>
      </w:r>
      <w:r w:rsidR="00D54C0D" w:rsidRPr="004E4C01">
        <w:rPr>
          <w:spacing w:val="-3"/>
        </w:rPr>
        <w:t xml:space="preserve">, con el fin de asegurar </w:t>
      </w:r>
      <w:r w:rsidR="00C61FAE" w:rsidRPr="004E4C01">
        <w:rPr>
          <w:spacing w:val="-3"/>
        </w:rPr>
        <w:t xml:space="preserve">que </w:t>
      </w:r>
      <w:r w:rsidR="00FD2DD5" w:rsidRPr="004E4C01">
        <w:rPr>
          <w:spacing w:val="-3"/>
        </w:rPr>
        <w:t xml:space="preserve">tales medidas y acciones </w:t>
      </w:r>
      <w:r w:rsidR="00C61FAE" w:rsidRPr="004E4C01">
        <w:rPr>
          <w:spacing w:val="-3"/>
        </w:rPr>
        <w:t xml:space="preserve">sean efectivas en cualquiera </w:t>
      </w:r>
      <w:r w:rsidR="00834333" w:rsidRPr="004E4C01">
        <w:rPr>
          <w:spacing w:val="-3"/>
        </w:rPr>
        <w:t xml:space="preserve">de </w:t>
      </w:r>
      <w:r w:rsidR="00FA3B17" w:rsidRPr="004E4C01">
        <w:rPr>
          <w:spacing w:val="-3"/>
        </w:rPr>
        <w:t xml:space="preserve">los </w:t>
      </w:r>
      <w:r w:rsidR="00834333" w:rsidRPr="004E4C01">
        <w:rPr>
          <w:spacing w:val="-3"/>
        </w:rPr>
        <w:t>posib</w:t>
      </w:r>
      <w:r w:rsidR="00FA3B17" w:rsidRPr="004E4C01">
        <w:rPr>
          <w:spacing w:val="-3"/>
        </w:rPr>
        <w:t xml:space="preserve">les emplazamientos de </w:t>
      </w:r>
      <w:r w:rsidR="00734FC1" w:rsidRPr="004E4C01">
        <w:rPr>
          <w:spacing w:val="-3"/>
        </w:rPr>
        <w:t xml:space="preserve">estos </w:t>
      </w:r>
      <w:r w:rsidR="0000283C" w:rsidRPr="004E4C01">
        <w:rPr>
          <w:spacing w:val="-3"/>
        </w:rPr>
        <w:t>proyectos</w:t>
      </w:r>
      <w:r w:rsidR="006C410B" w:rsidRPr="004E4C01">
        <w:rPr>
          <w:spacing w:val="-3"/>
        </w:rPr>
        <w:t>.</w:t>
      </w:r>
    </w:p>
    <w:p w14:paraId="70D42720" w14:textId="77777777" w:rsidR="006C410B" w:rsidRPr="004E4C01" w:rsidRDefault="006C410B">
      <w:pPr>
        <w:numPr>
          <w:ilvl w:val="12"/>
          <w:numId w:val="0"/>
        </w:numPr>
        <w:tabs>
          <w:tab w:val="left" w:pos="-2268"/>
        </w:tabs>
        <w:suppressAutoHyphens/>
        <w:rPr>
          <w:rFonts w:cs="Arial"/>
          <w:spacing w:val="-3"/>
        </w:rPr>
      </w:pPr>
    </w:p>
    <w:p w14:paraId="291D19F8" w14:textId="7AAFE2E4" w:rsidR="0056269B" w:rsidRPr="004E4C01" w:rsidRDefault="0056269B">
      <w:pPr>
        <w:numPr>
          <w:ilvl w:val="12"/>
          <w:numId w:val="0"/>
        </w:numPr>
        <w:tabs>
          <w:tab w:val="left" w:pos="-2268"/>
        </w:tabs>
        <w:suppressAutoHyphens/>
        <w:rPr>
          <w:rFonts w:cs="Arial"/>
          <w:spacing w:val="-3"/>
        </w:rPr>
      </w:pPr>
      <w:r w:rsidRPr="004E4C01">
        <w:rPr>
          <w:rFonts w:cs="Arial"/>
          <w:spacing w:val="-3"/>
        </w:rPr>
        <w:t>Asimismo, la formulación de los planes y programas del EIA debe considerar que en algunas oportunidades las medidas y acciones establecidas con un propósito bien definido en el marco de un plan, tienen la posibilidad de contribuir al cumplimiento de los objetivos de otros planes desarrollados en el EIA o bien, de constituir en sí mismas medidas o acciones que pueden incluirse en más de un plan a la vez. Por ejemplo, es posible que una medida de manejo de impactos ambientales sea al mismo tiempo una medida de reducción del riesgo, de mitigación de GEI o de adaptación al cambio climático. E</w:t>
      </w:r>
      <w:r w:rsidR="00DB1C25" w:rsidRPr="004E4C01">
        <w:rPr>
          <w:rFonts w:cs="Arial"/>
          <w:spacing w:val="-3"/>
        </w:rPr>
        <w:t xml:space="preserve">n caso de que ocurra, es necesario </w:t>
      </w:r>
      <w:r w:rsidRPr="004E4C01">
        <w:rPr>
          <w:rFonts w:cs="Arial"/>
          <w:spacing w:val="-3"/>
        </w:rPr>
        <w:t xml:space="preserve">hacer notar esta cualidad de las medidas y acciones </w:t>
      </w:r>
      <w:r w:rsidR="00DB1C25" w:rsidRPr="004E4C01">
        <w:rPr>
          <w:rFonts w:cs="Arial"/>
          <w:spacing w:val="-3"/>
        </w:rPr>
        <w:t xml:space="preserve">en </w:t>
      </w:r>
      <w:r w:rsidRPr="004E4C01">
        <w:rPr>
          <w:rFonts w:cs="Arial"/>
          <w:spacing w:val="-3"/>
        </w:rPr>
        <w:t xml:space="preserve">el EIA. </w:t>
      </w:r>
    </w:p>
    <w:p w14:paraId="0A3602FD" w14:textId="63F05ABE" w:rsidR="003364CF" w:rsidRPr="004E4C01" w:rsidRDefault="003364CF">
      <w:pPr>
        <w:numPr>
          <w:ilvl w:val="12"/>
          <w:numId w:val="0"/>
        </w:numPr>
        <w:tabs>
          <w:tab w:val="left" w:pos="-2268"/>
        </w:tabs>
        <w:suppressAutoHyphens/>
        <w:rPr>
          <w:spacing w:val="-3"/>
        </w:rPr>
      </w:pPr>
    </w:p>
    <w:p w14:paraId="7B08296C" w14:textId="1EDEA9C9" w:rsidR="00AE5A5E" w:rsidRPr="004E4C01" w:rsidRDefault="005C6652" w:rsidP="00AE5A5E">
      <w:pPr>
        <w:numPr>
          <w:ilvl w:val="12"/>
          <w:numId w:val="0"/>
        </w:numPr>
        <w:tabs>
          <w:tab w:val="left" w:pos="-2268"/>
        </w:tabs>
        <w:suppressAutoHyphens/>
        <w:rPr>
          <w:rFonts w:cs="Arial"/>
          <w:spacing w:val="-3"/>
        </w:rPr>
      </w:pPr>
      <w:r w:rsidRPr="004E4C01">
        <w:rPr>
          <w:rFonts w:cs="Arial"/>
          <w:spacing w:val="-3"/>
        </w:rPr>
        <w:t>La gestión</w:t>
      </w:r>
      <w:r w:rsidR="00AE5A5E" w:rsidRPr="004E4C01">
        <w:rPr>
          <w:rFonts w:cs="Arial"/>
          <w:spacing w:val="-3"/>
        </w:rPr>
        <w:t xml:space="preserve"> de los impactos ambientales negativos que genera un proyecto, obra o actividad, </w:t>
      </w:r>
      <w:r w:rsidR="00AF6DD9" w:rsidRPr="004E4C01">
        <w:rPr>
          <w:rFonts w:cs="Arial"/>
          <w:spacing w:val="-3"/>
        </w:rPr>
        <w:t xml:space="preserve">la implementación de compensaciones, </w:t>
      </w:r>
      <w:r w:rsidR="00FF1C42" w:rsidRPr="004E4C01">
        <w:rPr>
          <w:rFonts w:cs="Arial"/>
          <w:spacing w:val="-3"/>
        </w:rPr>
        <w:t>la reducción de riesgos</w:t>
      </w:r>
      <w:r w:rsidR="00606CE6" w:rsidRPr="004E4C01">
        <w:rPr>
          <w:rFonts w:cs="Arial"/>
          <w:spacing w:val="-3"/>
        </w:rPr>
        <w:t xml:space="preserve"> y </w:t>
      </w:r>
      <w:r w:rsidR="00FF1C42" w:rsidRPr="004E4C01">
        <w:rPr>
          <w:rFonts w:cs="Arial"/>
          <w:spacing w:val="-3"/>
        </w:rPr>
        <w:t>la respuesta a contingencias</w:t>
      </w:r>
      <w:r w:rsidR="00606CE6" w:rsidRPr="004E4C01">
        <w:rPr>
          <w:rFonts w:cs="Arial"/>
          <w:spacing w:val="-3"/>
        </w:rPr>
        <w:t xml:space="preserve"> (cuando apliquen)</w:t>
      </w:r>
      <w:r w:rsidR="00FF1C42" w:rsidRPr="004E4C01">
        <w:rPr>
          <w:rFonts w:cs="Arial"/>
          <w:spacing w:val="-3"/>
        </w:rPr>
        <w:t xml:space="preserve">, </w:t>
      </w:r>
      <w:r w:rsidR="00AE5A5E" w:rsidRPr="004E4C01">
        <w:rPr>
          <w:rFonts w:cs="Arial"/>
          <w:spacing w:val="-3"/>
        </w:rPr>
        <w:t xml:space="preserve">se </w:t>
      </w:r>
      <w:r w:rsidR="0043149B" w:rsidRPr="004E4C01">
        <w:rPr>
          <w:rFonts w:cs="Arial"/>
          <w:spacing w:val="-3"/>
        </w:rPr>
        <w:t>logra</w:t>
      </w:r>
      <w:r w:rsidR="00AE5A5E" w:rsidRPr="004E4C01">
        <w:rPr>
          <w:rFonts w:cs="Arial"/>
          <w:spacing w:val="-3"/>
        </w:rPr>
        <w:t xml:space="preserve"> no sólo </w:t>
      </w:r>
      <w:r w:rsidR="008565E7" w:rsidRPr="004E4C01">
        <w:rPr>
          <w:rFonts w:cs="Arial"/>
          <w:spacing w:val="-3"/>
        </w:rPr>
        <w:t xml:space="preserve">mediante </w:t>
      </w:r>
      <w:r w:rsidR="0043149B" w:rsidRPr="004E4C01">
        <w:rPr>
          <w:rFonts w:cs="Arial"/>
          <w:spacing w:val="-3"/>
        </w:rPr>
        <w:t>la ejecución de</w:t>
      </w:r>
      <w:r w:rsidR="00AE5A5E" w:rsidRPr="004E4C01">
        <w:rPr>
          <w:rFonts w:cs="Arial"/>
          <w:spacing w:val="-3"/>
        </w:rPr>
        <w:t xml:space="preserve"> medidas </w:t>
      </w:r>
      <w:r w:rsidR="00AF6DD9" w:rsidRPr="004E4C01">
        <w:rPr>
          <w:rFonts w:cs="Arial"/>
          <w:spacing w:val="-3"/>
        </w:rPr>
        <w:t xml:space="preserve">enfocadas directamente </w:t>
      </w:r>
      <w:r w:rsidR="008565E7" w:rsidRPr="004E4C01">
        <w:rPr>
          <w:rFonts w:cs="Arial"/>
          <w:spacing w:val="-3"/>
        </w:rPr>
        <w:t>en</w:t>
      </w:r>
      <w:r w:rsidR="00AF6DD9" w:rsidRPr="004E4C01">
        <w:rPr>
          <w:rFonts w:cs="Arial"/>
          <w:spacing w:val="-3"/>
        </w:rPr>
        <w:t xml:space="preserve"> la obtención de estos propósitos</w:t>
      </w:r>
      <w:r w:rsidR="00AE5A5E" w:rsidRPr="004E4C01">
        <w:rPr>
          <w:rFonts w:cs="Arial"/>
          <w:spacing w:val="-3"/>
        </w:rPr>
        <w:t xml:space="preserve">, sino también, </w:t>
      </w:r>
      <w:r w:rsidR="008565E7" w:rsidRPr="004E4C01">
        <w:rPr>
          <w:rFonts w:cs="Arial"/>
          <w:spacing w:val="-3"/>
        </w:rPr>
        <w:t>a través d</w:t>
      </w:r>
      <w:r w:rsidR="00FF1C42" w:rsidRPr="004E4C01">
        <w:rPr>
          <w:rFonts w:cs="Arial"/>
          <w:spacing w:val="-3"/>
        </w:rPr>
        <w:t xml:space="preserve">el </w:t>
      </w:r>
      <w:r w:rsidR="00AE5A5E" w:rsidRPr="004E4C01">
        <w:rPr>
          <w:rFonts w:cs="Arial"/>
          <w:spacing w:val="-3"/>
        </w:rPr>
        <w:t>seguimiento y monitore</w:t>
      </w:r>
      <w:r w:rsidR="00FF1C42" w:rsidRPr="004E4C01">
        <w:rPr>
          <w:rFonts w:cs="Arial"/>
          <w:spacing w:val="-3"/>
        </w:rPr>
        <w:t xml:space="preserve">o de </w:t>
      </w:r>
      <w:r w:rsidR="00AE5A5E" w:rsidRPr="004E4C01">
        <w:rPr>
          <w:rFonts w:cs="Arial"/>
          <w:spacing w:val="-3"/>
        </w:rPr>
        <w:t xml:space="preserve">la evolución de </w:t>
      </w:r>
      <w:r w:rsidR="00FF1C42" w:rsidRPr="004E4C01">
        <w:rPr>
          <w:rFonts w:cs="Arial"/>
          <w:spacing w:val="-3"/>
        </w:rPr>
        <w:t xml:space="preserve">las condiciones del ambiente </w:t>
      </w:r>
      <w:r w:rsidR="00AE5A5E" w:rsidRPr="004E4C01">
        <w:rPr>
          <w:rFonts w:cs="Arial"/>
          <w:spacing w:val="-3"/>
        </w:rPr>
        <w:t xml:space="preserve">y </w:t>
      </w:r>
      <w:r w:rsidR="00FF1C42" w:rsidRPr="004E4C01">
        <w:rPr>
          <w:rFonts w:cs="Arial"/>
          <w:spacing w:val="-3"/>
        </w:rPr>
        <w:t xml:space="preserve">de </w:t>
      </w:r>
      <w:r w:rsidR="00AE5A5E" w:rsidRPr="004E4C01">
        <w:rPr>
          <w:rFonts w:cs="Arial"/>
          <w:spacing w:val="-3"/>
        </w:rPr>
        <w:t xml:space="preserve">la eficacia de las medidas </w:t>
      </w:r>
      <w:r w:rsidR="0043149B" w:rsidRPr="004E4C01">
        <w:rPr>
          <w:rFonts w:cs="Arial"/>
          <w:spacing w:val="-3"/>
        </w:rPr>
        <w:t>implementadas</w:t>
      </w:r>
      <w:r w:rsidR="00FF1C42" w:rsidRPr="004E4C01">
        <w:rPr>
          <w:rFonts w:cs="Arial"/>
          <w:spacing w:val="-3"/>
        </w:rPr>
        <w:t xml:space="preserve">, </w:t>
      </w:r>
      <w:r w:rsidR="00A76145" w:rsidRPr="004E4C01">
        <w:rPr>
          <w:rFonts w:cs="Arial"/>
          <w:spacing w:val="-3"/>
        </w:rPr>
        <w:t xml:space="preserve">dado que </w:t>
      </w:r>
      <w:r w:rsidR="008565E7" w:rsidRPr="004E4C01">
        <w:rPr>
          <w:rFonts w:cs="Arial"/>
          <w:spacing w:val="-3"/>
        </w:rPr>
        <w:t xml:space="preserve">el seguimiento y monitoreo como </w:t>
      </w:r>
      <w:r w:rsidR="0043149B" w:rsidRPr="004E4C01">
        <w:rPr>
          <w:rFonts w:cs="Arial"/>
          <w:spacing w:val="-3"/>
        </w:rPr>
        <w:t>actividad de obtención</w:t>
      </w:r>
      <w:r w:rsidR="008565E7" w:rsidRPr="004E4C01">
        <w:rPr>
          <w:rFonts w:cs="Arial"/>
          <w:spacing w:val="-3"/>
        </w:rPr>
        <w:t>,</w:t>
      </w:r>
      <w:r w:rsidR="0043149B" w:rsidRPr="004E4C01">
        <w:rPr>
          <w:rFonts w:cs="Arial"/>
          <w:spacing w:val="-3"/>
        </w:rPr>
        <w:t xml:space="preserve"> procesamiento </w:t>
      </w:r>
      <w:r w:rsidR="008565E7" w:rsidRPr="004E4C01">
        <w:rPr>
          <w:rFonts w:cs="Arial"/>
          <w:spacing w:val="-3"/>
        </w:rPr>
        <w:t xml:space="preserve">y evaluación </w:t>
      </w:r>
      <w:r w:rsidR="0043149B" w:rsidRPr="004E4C01">
        <w:rPr>
          <w:rFonts w:cs="Arial"/>
          <w:spacing w:val="-3"/>
        </w:rPr>
        <w:t>de información</w:t>
      </w:r>
      <w:r w:rsidR="008565E7" w:rsidRPr="004E4C01">
        <w:rPr>
          <w:rFonts w:cs="Arial"/>
          <w:spacing w:val="-3"/>
        </w:rPr>
        <w:t>,</w:t>
      </w:r>
      <w:r w:rsidR="00AF6DD9" w:rsidRPr="004E4C01">
        <w:rPr>
          <w:rFonts w:cs="Arial"/>
          <w:spacing w:val="-3"/>
        </w:rPr>
        <w:t xml:space="preserve"> </w:t>
      </w:r>
      <w:r w:rsidR="0043149B" w:rsidRPr="004E4C01">
        <w:rPr>
          <w:rFonts w:cs="Arial"/>
          <w:spacing w:val="-3"/>
        </w:rPr>
        <w:t xml:space="preserve">permite </w:t>
      </w:r>
      <w:r w:rsidR="00FF1C42" w:rsidRPr="004E4C01">
        <w:rPr>
          <w:rFonts w:cs="Arial"/>
          <w:spacing w:val="-3"/>
        </w:rPr>
        <w:t xml:space="preserve">retroalimentar </w:t>
      </w:r>
      <w:r w:rsidR="0043149B" w:rsidRPr="004E4C01">
        <w:rPr>
          <w:rFonts w:cs="Arial"/>
          <w:spacing w:val="-3"/>
        </w:rPr>
        <w:t xml:space="preserve">y </w:t>
      </w:r>
      <w:r w:rsidR="00FF1C42" w:rsidRPr="004E4C01">
        <w:rPr>
          <w:rFonts w:cs="Arial"/>
          <w:spacing w:val="-3"/>
        </w:rPr>
        <w:t>mejora</w:t>
      </w:r>
      <w:r w:rsidR="0043149B" w:rsidRPr="004E4C01">
        <w:rPr>
          <w:rFonts w:cs="Arial"/>
          <w:spacing w:val="-3"/>
        </w:rPr>
        <w:t>r</w:t>
      </w:r>
      <w:r w:rsidR="00AF6DD9" w:rsidRPr="004E4C01">
        <w:rPr>
          <w:rFonts w:cs="Arial"/>
          <w:spacing w:val="-3"/>
        </w:rPr>
        <w:t xml:space="preserve"> </w:t>
      </w:r>
      <w:r w:rsidR="00FF1C42" w:rsidRPr="004E4C01">
        <w:rPr>
          <w:rFonts w:cs="Arial"/>
          <w:spacing w:val="-3"/>
        </w:rPr>
        <w:t>continua</w:t>
      </w:r>
      <w:r w:rsidR="0043149B" w:rsidRPr="004E4C01">
        <w:rPr>
          <w:rFonts w:cs="Arial"/>
          <w:spacing w:val="-3"/>
        </w:rPr>
        <w:t>mente</w:t>
      </w:r>
      <w:r w:rsidR="00AF6DD9" w:rsidRPr="004E4C01">
        <w:rPr>
          <w:rFonts w:cs="Arial"/>
          <w:spacing w:val="-3"/>
        </w:rPr>
        <w:t xml:space="preserve"> </w:t>
      </w:r>
      <w:r w:rsidR="008565E7" w:rsidRPr="004E4C01">
        <w:rPr>
          <w:rFonts w:cs="Arial"/>
          <w:spacing w:val="-3"/>
        </w:rPr>
        <w:t xml:space="preserve">el </w:t>
      </w:r>
      <w:r w:rsidR="00AF6DD9" w:rsidRPr="004E4C01">
        <w:rPr>
          <w:rFonts w:cs="Arial"/>
          <w:spacing w:val="-3"/>
        </w:rPr>
        <w:t>proceso de gestión ambiental</w:t>
      </w:r>
      <w:r w:rsidR="00AE5A5E" w:rsidRPr="004E4C01">
        <w:rPr>
          <w:rFonts w:cs="Arial"/>
          <w:spacing w:val="-3"/>
        </w:rPr>
        <w:t>.</w:t>
      </w:r>
    </w:p>
    <w:p w14:paraId="07E15BF8" w14:textId="77777777" w:rsidR="00FF1C42" w:rsidRPr="004E4C01" w:rsidRDefault="00FF1C42" w:rsidP="00AE5A5E">
      <w:pPr>
        <w:numPr>
          <w:ilvl w:val="12"/>
          <w:numId w:val="0"/>
        </w:numPr>
        <w:tabs>
          <w:tab w:val="left" w:pos="-2268"/>
        </w:tabs>
        <w:suppressAutoHyphens/>
        <w:rPr>
          <w:rFonts w:cs="Arial"/>
          <w:spacing w:val="-3"/>
        </w:rPr>
      </w:pPr>
    </w:p>
    <w:p w14:paraId="559CF44A" w14:textId="38379545" w:rsidR="000A74CF" w:rsidRPr="004E4C01" w:rsidRDefault="00112D85" w:rsidP="00AE5A5E">
      <w:pPr>
        <w:numPr>
          <w:ilvl w:val="12"/>
          <w:numId w:val="0"/>
        </w:numPr>
        <w:tabs>
          <w:tab w:val="left" w:pos="-2268"/>
        </w:tabs>
        <w:suppressAutoHyphens/>
        <w:rPr>
          <w:rFonts w:cs="Arial"/>
          <w:spacing w:val="-3"/>
        </w:rPr>
      </w:pPr>
      <w:r w:rsidRPr="004E4C01">
        <w:rPr>
          <w:rFonts w:cs="Arial"/>
          <w:spacing w:val="-3"/>
        </w:rPr>
        <w:t xml:space="preserve">Para la formulación de las medidas y acciones </w:t>
      </w:r>
      <w:r w:rsidR="008904E1" w:rsidRPr="004E4C01">
        <w:rPr>
          <w:rFonts w:cs="Arial"/>
          <w:spacing w:val="-3"/>
        </w:rPr>
        <w:t xml:space="preserve">mediante las que se </w:t>
      </w:r>
      <w:r w:rsidR="0099650F" w:rsidRPr="004E4C01">
        <w:rPr>
          <w:rFonts w:cs="Arial"/>
          <w:spacing w:val="-3"/>
        </w:rPr>
        <w:t>implementan</w:t>
      </w:r>
      <w:r w:rsidR="008904E1" w:rsidRPr="004E4C01">
        <w:rPr>
          <w:rFonts w:cs="Arial"/>
          <w:spacing w:val="-3"/>
        </w:rPr>
        <w:t xml:space="preserve"> los planes y programas, </w:t>
      </w:r>
      <w:r w:rsidR="00B301E2" w:rsidRPr="004E4C01">
        <w:rPr>
          <w:rFonts w:cs="Arial"/>
          <w:spacing w:val="-3"/>
        </w:rPr>
        <w:t xml:space="preserve">también </w:t>
      </w:r>
      <w:r w:rsidR="008904E1" w:rsidRPr="004E4C01">
        <w:rPr>
          <w:rFonts w:cs="Arial"/>
          <w:spacing w:val="-3"/>
        </w:rPr>
        <w:t xml:space="preserve">es posible </w:t>
      </w:r>
      <w:r w:rsidR="00214F2E" w:rsidRPr="004E4C01">
        <w:rPr>
          <w:rFonts w:cs="Arial"/>
          <w:spacing w:val="-3"/>
        </w:rPr>
        <w:t xml:space="preserve">emplear aproximaciones como las de </w:t>
      </w:r>
      <w:r w:rsidR="000A74CF" w:rsidRPr="004E4C01">
        <w:rPr>
          <w:rFonts w:cs="Arial"/>
          <w:spacing w:val="-3"/>
        </w:rPr>
        <w:t>las soluciones basadas en la naturaleza</w:t>
      </w:r>
      <w:r w:rsidR="00214F2E" w:rsidRPr="004E4C01">
        <w:rPr>
          <w:rFonts w:cs="Arial"/>
          <w:spacing w:val="-3"/>
        </w:rPr>
        <w:t xml:space="preserve">, </w:t>
      </w:r>
      <w:r w:rsidR="00915395" w:rsidRPr="004E4C01">
        <w:rPr>
          <w:rFonts w:cs="Arial"/>
          <w:spacing w:val="-3"/>
        </w:rPr>
        <w:t xml:space="preserve">en </w:t>
      </w:r>
      <w:r w:rsidR="00B301E2" w:rsidRPr="004E4C01">
        <w:rPr>
          <w:rFonts w:cs="Arial"/>
          <w:spacing w:val="-3"/>
        </w:rPr>
        <w:t xml:space="preserve">los </w:t>
      </w:r>
      <w:r w:rsidR="00915395" w:rsidRPr="004E4C01">
        <w:rPr>
          <w:rFonts w:cs="Arial"/>
          <w:spacing w:val="-3"/>
        </w:rPr>
        <w:t xml:space="preserve">ecosistemas </w:t>
      </w:r>
      <w:r w:rsidR="00F6523F" w:rsidRPr="004E4C01">
        <w:rPr>
          <w:rFonts w:cs="Arial"/>
          <w:spacing w:val="-3"/>
        </w:rPr>
        <w:t>o las comunidades</w:t>
      </w:r>
      <w:r w:rsidR="00B301E2" w:rsidRPr="004E4C01">
        <w:rPr>
          <w:rFonts w:cs="Arial"/>
          <w:spacing w:val="-3"/>
        </w:rPr>
        <w:t>,</w:t>
      </w:r>
      <w:r w:rsidR="000A74CF" w:rsidRPr="004E4C01">
        <w:rPr>
          <w:rFonts w:cs="Arial"/>
          <w:spacing w:val="-3"/>
        </w:rPr>
        <w:t xml:space="preserve"> con el fin de </w:t>
      </w:r>
      <w:r w:rsidR="00A1701F" w:rsidRPr="004E4C01">
        <w:rPr>
          <w:rFonts w:cs="Arial"/>
          <w:spacing w:val="-3"/>
        </w:rPr>
        <w:t>manejar los impactos</w:t>
      </w:r>
      <w:r w:rsidR="0022399F" w:rsidRPr="004E4C01">
        <w:rPr>
          <w:rFonts w:cs="Arial"/>
          <w:spacing w:val="-3"/>
        </w:rPr>
        <w:t xml:space="preserve">, </w:t>
      </w:r>
      <w:r w:rsidR="00A11DB0" w:rsidRPr="004E4C01">
        <w:rPr>
          <w:rFonts w:cs="Arial"/>
          <w:spacing w:val="-3"/>
        </w:rPr>
        <w:t xml:space="preserve">reducir </w:t>
      </w:r>
      <w:r w:rsidR="0022399F" w:rsidRPr="004E4C01">
        <w:rPr>
          <w:rFonts w:cs="Arial"/>
          <w:spacing w:val="-3"/>
        </w:rPr>
        <w:t>los riesgos</w:t>
      </w:r>
      <w:r w:rsidR="009355E4" w:rsidRPr="004E4C01">
        <w:rPr>
          <w:rFonts w:cs="Arial"/>
          <w:spacing w:val="-3"/>
        </w:rPr>
        <w:t xml:space="preserve"> </w:t>
      </w:r>
      <w:r w:rsidR="000A74CF" w:rsidRPr="004E4C01">
        <w:rPr>
          <w:rFonts w:cs="Arial"/>
          <w:spacing w:val="-3"/>
        </w:rPr>
        <w:t xml:space="preserve">y de generar de forma simultánea mejoras en </w:t>
      </w:r>
      <w:r w:rsidR="009355E4" w:rsidRPr="004E4C01">
        <w:rPr>
          <w:rFonts w:cs="Arial"/>
          <w:spacing w:val="-3"/>
        </w:rPr>
        <w:t xml:space="preserve">la gestión ambiental del proyecto, en </w:t>
      </w:r>
      <w:r w:rsidR="000A74CF" w:rsidRPr="004E4C01">
        <w:rPr>
          <w:rFonts w:cs="Arial"/>
          <w:spacing w:val="-3"/>
        </w:rPr>
        <w:t xml:space="preserve">el bienestar </w:t>
      </w:r>
      <w:r w:rsidR="0022399F" w:rsidRPr="004E4C01">
        <w:rPr>
          <w:rFonts w:cs="Arial"/>
          <w:spacing w:val="-3"/>
        </w:rPr>
        <w:t>de las comunidades,</w:t>
      </w:r>
      <w:r w:rsidR="000A74CF" w:rsidRPr="004E4C01">
        <w:rPr>
          <w:rFonts w:cs="Arial"/>
          <w:spacing w:val="-3"/>
        </w:rPr>
        <w:t xml:space="preserve"> </w:t>
      </w:r>
      <w:r w:rsidR="00CE2A11" w:rsidRPr="004E4C01">
        <w:rPr>
          <w:rFonts w:cs="Arial"/>
          <w:spacing w:val="-3"/>
        </w:rPr>
        <w:t xml:space="preserve">en la integridad de los ecosistemas </w:t>
      </w:r>
      <w:r w:rsidR="00C02CFD" w:rsidRPr="004E4C01">
        <w:rPr>
          <w:rFonts w:cs="Arial"/>
          <w:spacing w:val="-3"/>
        </w:rPr>
        <w:t xml:space="preserve">y </w:t>
      </w:r>
      <w:r w:rsidR="000A74CF" w:rsidRPr="004E4C01">
        <w:rPr>
          <w:rFonts w:cs="Arial"/>
          <w:spacing w:val="-3"/>
        </w:rPr>
        <w:t xml:space="preserve">la biodiversidad y </w:t>
      </w:r>
      <w:r w:rsidR="005B4F96" w:rsidRPr="004E4C01">
        <w:rPr>
          <w:rFonts w:cs="Arial"/>
          <w:spacing w:val="-3"/>
        </w:rPr>
        <w:t xml:space="preserve">en </w:t>
      </w:r>
      <w:r w:rsidR="000A74CF" w:rsidRPr="004E4C01">
        <w:rPr>
          <w:rFonts w:cs="Arial"/>
          <w:spacing w:val="-3"/>
        </w:rPr>
        <w:t>la resiliencia climática, garantizando así la provisión de servicios ecosistémicos</w:t>
      </w:r>
      <w:r w:rsidR="00C02CFD" w:rsidRPr="004E4C01">
        <w:rPr>
          <w:rFonts w:cs="Arial"/>
          <w:spacing w:val="-3"/>
        </w:rPr>
        <w:t>, entre otr</w:t>
      </w:r>
      <w:r w:rsidR="0099650F" w:rsidRPr="004E4C01">
        <w:rPr>
          <w:rFonts w:cs="Arial"/>
          <w:spacing w:val="-3"/>
        </w:rPr>
        <w:t>o</w:t>
      </w:r>
      <w:r w:rsidR="00C02CFD" w:rsidRPr="004E4C01">
        <w:rPr>
          <w:rFonts w:cs="Arial"/>
          <w:spacing w:val="-3"/>
        </w:rPr>
        <w:t>s</w:t>
      </w:r>
      <w:r w:rsidR="0099650F" w:rsidRPr="004E4C01">
        <w:rPr>
          <w:rFonts w:cs="Arial"/>
          <w:spacing w:val="-3"/>
        </w:rPr>
        <w:t xml:space="preserve"> beneficios</w:t>
      </w:r>
      <w:r w:rsidR="000A74CF" w:rsidRPr="004E4C01">
        <w:rPr>
          <w:rFonts w:cs="Arial"/>
          <w:spacing w:val="-3"/>
        </w:rPr>
        <w:t>.</w:t>
      </w:r>
    </w:p>
    <w:p w14:paraId="28A0236D" w14:textId="77777777" w:rsidR="000A74CF" w:rsidRPr="004E4C01" w:rsidRDefault="000A74CF" w:rsidP="00AE5A5E">
      <w:pPr>
        <w:numPr>
          <w:ilvl w:val="12"/>
          <w:numId w:val="0"/>
        </w:numPr>
        <w:tabs>
          <w:tab w:val="left" w:pos="-2268"/>
        </w:tabs>
        <w:suppressAutoHyphens/>
        <w:rPr>
          <w:rFonts w:cs="Arial"/>
          <w:spacing w:val="-3"/>
        </w:rPr>
      </w:pPr>
    </w:p>
    <w:p w14:paraId="08D75600" w14:textId="19AF4734" w:rsidR="006147ED" w:rsidRPr="004E4C01" w:rsidRDefault="0043149B" w:rsidP="001049D6">
      <w:pPr>
        <w:numPr>
          <w:ilvl w:val="12"/>
          <w:numId w:val="0"/>
        </w:numPr>
        <w:tabs>
          <w:tab w:val="left" w:pos="-2268"/>
        </w:tabs>
        <w:suppressAutoHyphens/>
      </w:pPr>
      <w:r w:rsidRPr="004E4C01">
        <w:t xml:space="preserve">Es importante señalar que </w:t>
      </w:r>
      <w:r w:rsidR="005B53F4" w:rsidRPr="004E4C01">
        <w:t xml:space="preserve">para la </w:t>
      </w:r>
      <w:r w:rsidRPr="004E4C01">
        <w:t>formulación de</w:t>
      </w:r>
      <w:r w:rsidR="005B53F4" w:rsidRPr="004E4C01">
        <w:t xml:space="preserve"> </w:t>
      </w:r>
      <w:r w:rsidRPr="004E4C01">
        <w:t>l</w:t>
      </w:r>
      <w:r w:rsidR="005B53F4" w:rsidRPr="004E4C01">
        <w:t>os</w:t>
      </w:r>
      <w:r w:rsidRPr="004E4C01">
        <w:t xml:space="preserve"> </w:t>
      </w:r>
      <w:r w:rsidR="003E1ED4" w:rsidRPr="004E4C01">
        <w:t>planes y programas</w:t>
      </w:r>
      <w:r w:rsidRPr="004E4C01">
        <w:t xml:space="preserve"> </w:t>
      </w:r>
      <w:r w:rsidR="00F24BAC" w:rsidRPr="004E4C01">
        <w:t xml:space="preserve">se deben incorporar los insumos, saberes, sugerencias, recomendaciones o alertas </w:t>
      </w:r>
      <w:r w:rsidR="00F24BAC" w:rsidRPr="00127BD4">
        <w:rPr>
          <w:i/>
          <w:iCs/>
        </w:rPr>
        <w:t>pertinentes</w:t>
      </w:r>
      <w:r w:rsidR="00F24BAC" w:rsidRPr="004E4C01">
        <w:t xml:space="preserve"> que resulten de los procesos de información y participación con los grupos de interés del área de influencia</w:t>
      </w:r>
      <w:r w:rsidR="00AF6222">
        <w:rPr>
          <w:rStyle w:val="Refdenotaalpie"/>
        </w:rPr>
        <w:footnoteReference w:id="239"/>
      </w:r>
      <w:r w:rsidR="00F24BAC" w:rsidRPr="004E4C01">
        <w:t xml:space="preserve">. </w:t>
      </w:r>
      <w:r w:rsidR="006147ED" w:rsidRPr="004E4C01">
        <w:rPr>
          <w:rFonts w:cs="Arial"/>
          <w:spacing w:val="-3"/>
        </w:rPr>
        <w:t>La pertinencia de los aportes debe evaluarse</w:t>
      </w:r>
      <w:r w:rsidR="00ED0C57" w:rsidRPr="004E4C01">
        <w:rPr>
          <w:rFonts w:cs="Arial"/>
          <w:spacing w:val="-3"/>
        </w:rPr>
        <w:t xml:space="preserve"> y documentarse</w:t>
      </w:r>
      <w:r w:rsidR="006147ED" w:rsidRPr="004E4C01">
        <w:rPr>
          <w:rFonts w:cs="Arial"/>
          <w:spacing w:val="-3"/>
        </w:rPr>
        <w:t xml:space="preserve"> a partir de su complementariedad respecto de l</w:t>
      </w:r>
      <w:r w:rsidR="00B56444" w:rsidRPr="004E4C01">
        <w:rPr>
          <w:rFonts w:cs="Arial"/>
          <w:spacing w:val="-3"/>
        </w:rPr>
        <w:t xml:space="preserve">as medidas </w:t>
      </w:r>
      <w:r w:rsidR="00054A71" w:rsidRPr="004E4C01">
        <w:rPr>
          <w:rFonts w:cs="Arial"/>
          <w:spacing w:val="-3"/>
        </w:rPr>
        <w:t xml:space="preserve">que se </w:t>
      </w:r>
      <w:r w:rsidR="00B56444" w:rsidRPr="004E4C01">
        <w:rPr>
          <w:rFonts w:cs="Arial"/>
          <w:spacing w:val="-3"/>
        </w:rPr>
        <w:t>plante</w:t>
      </w:r>
      <w:r w:rsidR="00054A71" w:rsidRPr="004E4C01">
        <w:rPr>
          <w:rFonts w:cs="Arial"/>
          <w:spacing w:val="-3"/>
        </w:rPr>
        <w:t>en para los planes y programas</w:t>
      </w:r>
      <w:r w:rsidR="006147ED" w:rsidRPr="004E4C01">
        <w:rPr>
          <w:rFonts w:cs="Arial"/>
          <w:spacing w:val="-3"/>
        </w:rPr>
        <w:t xml:space="preserve">; de su congruencia con </w:t>
      </w:r>
      <w:r w:rsidR="00101C6F" w:rsidRPr="004E4C01">
        <w:rPr>
          <w:rFonts w:cs="Arial"/>
          <w:spacing w:val="-3"/>
        </w:rPr>
        <w:t xml:space="preserve">los impactos </w:t>
      </w:r>
      <w:r w:rsidR="000A47D6" w:rsidRPr="004E4C01">
        <w:rPr>
          <w:rFonts w:cs="Arial"/>
          <w:spacing w:val="-3"/>
        </w:rPr>
        <w:t xml:space="preserve">u objetivos </w:t>
      </w:r>
      <w:r w:rsidR="00551CE1" w:rsidRPr="004E4C01">
        <w:rPr>
          <w:rFonts w:cs="Arial"/>
          <w:spacing w:val="-3"/>
        </w:rPr>
        <w:t xml:space="preserve">que buscan manejar o </w:t>
      </w:r>
      <w:r w:rsidR="00C12D18" w:rsidRPr="004E4C01">
        <w:rPr>
          <w:rFonts w:cs="Arial"/>
          <w:spacing w:val="-3"/>
        </w:rPr>
        <w:t xml:space="preserve">desarrollar </w:t>
      </w:r>
      <w:r w:rsidR="006147ED" w:rsidRPr="004E4C01">
        <w:rPr>
          <w:rFonts w:cs="Arial"/>
          <w:spacing w:val="-3"/>
        </w:rPr>
        <w:t xml:space="preserve">y; de su </w:t>
      </w:r>
      <w:r w:rsidR="00693FA3" w:rsidRPr="004E4C01">
        <w:rPr>
          <w:rFonts w:cs="Arial"/>
          <w:spacing w:val="-3"/>
        </w:rPr>
        <w:t xml:space="preserve">efectividad para manejar impactos o </w:t>
      </w:r>
      <w:r w:rsidR="006D69B0" w:rsidRPr="004E4C01">
        <w:rPr>
          <w:rFonts w:cs="Arial"/>
          <w:spacing w:val="-3"/>
        </w:rPr>
        <w:t>cumplir objetivos</w:t>
      </w:r>
      <w:r w:rsidR="006147ED" w:rsidRPr="004E4C01">
        <w:rPr>
          <w:rFonts w:cs="Arial"/>
          <w:spacing w:val="-3"/>
        </w:rPr>
        <w:t>. Esta evaluación e incorporación de los aportes contribuye constructivamente a la elaboración del estudio.</w:t>
      </w:r>
    </w:p>
    <w:p w14:paraId="2198D48D" w14:textId="77777777" w:rsidR="00640AA9" w:rsidRPr="004E4C01" w:rsidRDefault="00640AA9" w:rsidP="001049D6">
      <w:pPr>
        <w:numPr>
          <w:ilvl w:val="12"/>
          <w:numId w:val="0"/>
        </w:numPr>
        <w:tabs>
          <w:tab w:val="left" w:pos="-2268"/>
        </w:tabs>
        <w:suppressAutoHyphens/>
      </w:pPr>
    </w:p>
    <w:p w14:paraId="2B75B333" w14:textId="29CA6176" w:rsidR="001049D6" w:rsidRPr="004E4C01" w:rsidRDefault="00F24BAC" w:rsidP="001049D6">
      <w:pPr>
        <w:numPr>
          <w:ilvl w:val="12"/>
          <w:numId w:val="0"/>
        </w:numPr>
        <w:tabs>
          <w:tab w:val="left" w:pos="-2268"/>
        </w:tabs>
        <w:suppressAutoHyphens/>
        <w:rPr>
          <w:rFonts w:cs="Arial"/>
          <w:spacing w:val="-3"/>
        </w:rPr>
      </w:pPr>
      <w:r w:rsidRPr="004E4C01">
        <w:t xml:space="preserve">Dichos aportes deben ser incorporados de manera expresa en el documento, de tal forma que se evidencie su incidencia en el resultado de este numeral y, en caso de estimarlos como no pertinentes, se deben indicar y sustentar las razones por las cuales no se </w:t>
      </w:r>
      <w:r w:rsidRPr="004E4C01">
        <w:lastRenderedPageBreak/>
        <w:t xml:space="preserve">incorpora un </w:t>
      </w:r>
      <w:r w:rsidR="006004A3" w:rsidRPr="004E4C01">
        <w:t>determinado aporte a los planes y programas.</w:t>
      </w:r>
      <w:r w:rsidR="00B30AEF" w:rsidRPr="004E4C01">
        <w:t xml:space="preserve"> </w:t>
      </w:r>
      <w:r w:rsidR="00B30AEF" w:rsidRPr="004E4C01">
        <w:rPr>
          <w:rFonts w:cs="Arial"/>
          <w:spacing w:val="-3"/>
        </w:rPr>
        <w:t>En caso de que los grupos de interés no brinden insumos, saberes, sugerencias, recomendaciones o alertas, esta situación debe consignarse y documentarse en el estudio ambiental.</w:t>
      </w:r>
    </w:p>
    <w:p w14:paraId="26451B86" w14:textId="77777777" w:rsidR="00AA10F3" w:rsidRPr="004E4C01" w:rsidRDefault="00AA10F3" w:rsidP="009420F5">
      <w:pPr>
        <w:rPr>
          <w:rFonts w:cs="Arial"/>
          <w:spacing w:val="-3"/>
        </w:rPr>
      </w:pPr>
    </w:p>
    <w:p w14:paraId="275EF256" w14:textId="4288A85A" w:rsidR="000E0BF9" w:rsidRPr="004E4C01" w:rsidRDefault="00115F66" w:rsidP="000E0BF9">
      <w:pPr>
        <w:numPr>
          <w:ilvl w:val="12"/>
          <w:numId w:val="0"/>
        </w:numPr>
        <w:tabs>
          <w:tab w:val="left" w:pos="-2268"/>
        </w:tabs>
        <w:suppressAutoHyphens/>
        <w:rPr>
          <w:rFonts w:cs="Arial"/>
          <w:spacing w:val="-3"/>
        </w:rPr>
      </w:pPr>
      <w:r w:rsidRPr="004E4C01">
        <w:t xml:space="preserve">Como parte de </w:t>
      </w:r>
      <w:r w:rsidR="0089455B" w:rsidRPr="004E4C01">
        <w:t>este numeral</w:t>
      </w:r>
      <w:r w:rsidRPr="004E4C01">
        <w:t xml:space="preserve">, y con el fin </w:t>
      </w:r>
      <w:r w:rsidR="0043149B" w:rsidRPr="004E4C01">
        <w:t xml:space="preserve">de </w:t>
      </w:r>
      <w:r w:rsidR="00576918" w:rsidRPr="004E4C01">
        <w:t xml:space="preserve">cumplir </w:t>
      </w:r>
      <w:r w:rsidR="0089455B" w:rsidRPr="004E4C01">
        <w:t xml:space="preserve">con </w:t>
      </w:r>
      <w:r w:rsidR="0043149B" w:rsidRPr="004E4C01">
        <w:t xml:space="preserve">los </w:t>
      </w:r>
      <w:r w:rsidR="00576918" w:rsidRPr="004E4C01">
        <w:t xml:space="preserve">objetivos </w:t>
      </w:r>
      <w:r w:rsidR="00F57314" w:rsidRPr="004E4C01">
        <w:t xml:space="preserve">de </w:t>
      </w:r>
      <w:r w:rsidR="003E1ED4" w:rsidRPr="004E4C01">
        <w:t xml:space="preserve">planificación </w:t>
      </w:r>
      <w:r w:rsidR="0043149B" w:rsidRPr="004E4C01">
        <w:t xml:space="preserve">ambiental, se deben elaborar y presentar </w:t>
      </w:r>
      <w:r w:rsidR="00F160F6" w:rsidRPr="004E4C01">
        <w:t xml:space="preserve">los siguientes </w:t>
      </w:r>
      <w:r w:rsidR="008452E2" w:rsidRPr="004E4C01">
        <w:t>planes</w:t>
      </w:r>
      <w:r w:rsidR="000E0BF9" w:rsidRPr="004E4C01">
        <w:t xml:space="preserve"> </w:t>
      </w:r>
      <w:r w:rsidRPr="004E4C01">
        <w:t xml:space="preserve">de acuerdo con </w:t>
      </w:r>
      <w:r w:rsidR="000E0BF9" w:rsidRPr="004E4C01">
        <w:rPr>
          <w:rFonts w:cs="Arial"/>
          <w:spacing w:val="-3"/>
        </w:rPr>
        <w:t>el contenido y lineamientos metodológicos que se establecen en los numerales que se encuentran a continuación.</w:t>
      </w:r>
    </w:p>
    <w:p w14:paraId="1845D989" w14:textId="77777777" w:rsidR="00F160F6" w:rsidRPr="004E4C01" w:rsidRDefault="00F160F6"/>
    <w:p w14:paraId="4AB722D4" w14:textId="517BA1A6" w:rsidR="00F160F6" w:rsidRPr="004E4C01" w:rsidRDefault="00F160F6" w:rsidP="00C86DA5">
      <w:pPr>
        <w:numPr>
          <w:ilvl w:val="0"/>
          <w:numId w:val="19"/>
        </w:numPr>
        <w:tabs>
          <w:tab w:val="left" w:pos="-2268"/>
        </w:tabs>
        <w:suppressAutoHyphens/>
        <w:ind w:left="567" w:hanging="567"/>
        <w:rPr>
          <w:spacing w:val="-3"/>
        </w:rPr>
      </w:pPr>
      <w:r w:rsidRPr="004E4C01">
        <w:rPr>
          <w:spacing w:val="-3"/>
        </w:rPr>
        <w:t>P</w:t>
      </w:r>
      <w:r w:rsidR="003E1ED4" w:rsidRPr="004E4C01">
        <w:rPr>
          <w:spacing w:val="-3"/>
        </w:rPr>
        <w:t>lan de manejo ambiental</w:t>
      </w:r>
      <w:r w:rsidRPr="004E4C01">
        <w:rPr>
          <w:spacing w:val="-3"/>
        </w:rPr>
        <w:t>.</w:t>
      </w:r>
    </w:p>
    <w:p w14:paraId="6EBFF27C" w14:textId="77777777" w:rsidR="00F160F6" w:rsidRPr="004E4C01" w:rsidRDefault="00F160F6">
      <w:pPr>
        <w:tabs>
          <w:tab w:val="left" w:pos="-2268"/>
        </w:tabs>
        <w:suppressAutoHyphens/>
        <w:rPr>
          <w:spacing w:val="-3"/>
        </w:rPr>
      </w:pPr>
    </w:p>
    <w:p w14:paraId="54C66639" w14:textId="77777777" w:rsidR="00F160F6" w:rsidRPr="004E4C01" w:rsidRDefault="00F160F6" w:rsidP="00C86DA5">
      <w:pPr>
        <w:numPr>
          <w:ilvl w:val="0"/>
          <w:numId w:val="19"/>
        </w:numPr>
        <w:tabs>
          <w:tab w:val="left" w:pos="-2268"/>
        </w:tabs>
        <w:suppressAutoHyphens/>
        <w:ind w:left="567" w:hanging="567"/>
        <w:rPr>
          <w:spacing w:val="-3"/>
        </w:rPr>
      </w:pPr>
      <w:r w:rsidRPr="004E4C01">
        <w:rPr>
          <w:spacing w:val="-3"/>
        </w:rPr>
        <w:t>Plan de seguimiento y monitoreo.</w:t>
      </w:r>
    </w:p>
    <w:p w14:paraId="5A4C7731" w14:textId="77777777" w:rsidR="00F160F6" w:rsidRPr="004E4C01" w:rsidRDefault="00F160F6">
      <w:pPr>
        <w:tabs>
          <w:tab w:val="left" w:pos="-2268"/>
        </w:tabs>
        <w:suppressAutoHyphens/>
        <w:rPr>
          <w:spacing w:val="-3"/>
        </w:rPr>
      </w:pPr>
    </w:p>
    <w:p w14:paraId="42856E83" w14:textId="3E7C3E07" w:rsidR="00F160F6" w:rsidRPr="004E4C01" w:rsidRDefault="007315A2" w:rsidP="00C86DA5">
      <w:pPr>
        <w:numPr>
          <w:ilvl w:val="0"/>
          <w:numId w:val="19"/>
        </w:numPr>
        <w:tabs>
          <w:tab w:val="left" w:pos="-2268"/>
        </w:tabs>
        <w:suppressAutoHyphens/>
        <w:ind w:left="567" w:hanging="567"/>
        <w:rPr>
          <w:spacing w:val="-3"/>
        </w:rPr>
      </w:pPr>
      <w:r w:rsidRPr="004E4C01">
        <w:rPr>
          <w:spacing w:val="-3"/>
        </w:rPr>
        <w:t>Dimensión ambiental del p</w:t>
      </w:r>
      <w:r w:rsidR="00F160F6" w:rsidRPr="004E4C01">
        <w:rPr>
          <w:spacing w:val="-3"/>
        </w:rPr>
        <w:t xml:space="preserve">lan de </w:t>
      </w:r>
      <w:r w:rsidRPr="004E4C01">
        <w:rPr>
          <w:spacing w:val="-3"/>
        </w:rPr>
        <w:t>gestión del riesgo</w:t>
      </w:r>
      <w:r w:rsidR="00F160F6" w:rsidRPr="004E4C01">
        <w:rPr>
          <w:spacing w:val="-3"/>
        </w:rPr>
        <w:t>.</w:t>
      </w:r>
    </w:p>
    <w:p w14:paraId="13ED7E05" w14:textId="77777777" w:rsidR="00F160F6" w:rsidRPr="004E4C01" w:rsidRDefault="00F160F6">
      <w:pPr>
        <w:tabs>
          <w:tab w:val="left" w:pos="-2268"/>
        </w:tabs>
        <w:suppressAutoHyphens/>
        <w:rPr>
          <w:spacing w:val="-3"/>
        </w:rPr>
      </w:pPr>
    </w:p>
    <w:p w14:paraId="190844E9" w14:textId="3F6460C5" w:rsidR="00F160F6" w:rsidRPr="004E4C01" w:rsidRDefault="00F160F6" w:rsidP="00C86DA5">
      <w:pPr>
        <w:numPr>
          <w:ilvl w:val="0"/>
          <w:numId w:val="19"/>
        </w:numPr>
        <w:tabs>
          <w:tab w:val="left" w:pos="-2268"/>
        </w:tabs>
        <w:suppressAutoHyphens/>
        <w:ind w:left="567" w:hanging="567"/>
        <w:rPr>
          <w:spacing w:val="-3"/>
        </w:rPr>
      </w:pPr>
      <w:r w:rsidRPr="004E4C01">
        <w:rPr>
          <w:spacing w:val="-3"/>
        </w:rPr>
        <w:t xml:space="preserve">Plan de desmantelamiento y </w:t>
      </w:r>
      <w:r w:rsidR="007315A2" w:rsidRPr="004E4C01">
        <w:rPr>
          <w:spacing w:val="-3"/>
        </w:rPr>
        <w:t>cierre ambiental</w:t>
      </w:r>
      <w:r w:rsidRPr="004E4C01">
        <w:rPr>
          <w:spacing w:val="-3"/>
        </w:rPr>
        <w:t>.</w:t>
      </w:r>
    </w:p>
    <w:p w14:paraId="151F24C5" w14:textId="77777777" w:rsidR="00DF723D" w:rsidRPr="004E4C01" w:rsidRDefault="00DF723D" w:rsidP="000D6E21">
      <w:pPr>
        <w:rPr>
          <w:spacing w:val="-3"/>
        </w:rPr>
      </w:pPr>
    </w:p>
    <w:p w14:paraId="58E3E7D7" w14:textId="46B9F9B6" w:rsidR="00115F66" w:rsidRPr="004E4C01" w:rsidRDefault="00115F66" w:rsidP="00115F66">
      <w:pPr>
        <w:pStyle w:val="Prrafodelista"/>
        <w:numPr>
          <w:ilvl w:val="0"/>
          <w:numId w:val="19"/>
        </w:numPr>
        <w:ind w:left="567" w:hanging="567"/>
        <w:rPr>
          <w:spacing w:val="-3"/>
          <w:lang w:val="es-CO"/>
        </w:rPr>
      </w:pPr>
      <w:r w:rsidRPr="004E4C01">
        <w:rPr>
          <w:spacing w:val="-3"/>
          <w:lang w:val="es-CO"/>
        </w:rPr>
        <w:t>Plan de inversión de no menos del 1%.</w:t>
      </w:r>
    </w:p>
    <w:p w14:paraId="3F6DCA76" w14:textId="77777777" w:rsidR="00115F66" w:rsidRPr="004E4C01" w:rsidRDefault="00115F66" w:rsidP="000D6E21">
      <w:pPr>
        <w:rPr>
          <w:spacing w:val="-3"/>
        </w:rPr>
      </w:pPr>
    </w:p>
    <w:p w14:paraId="5EC9E56B" w14:textId="1A79CFD5" w:rsidR="007770AF" w:rsidRPr="004E4C01" w:rsidRDefault="00115F66" w:rsidP="009420F5">
      <w:pPr>
        <w:pStyle w:val="Prrafodelista"/>
        <w:numPr>
          <w:ilvl w:val="0"/>
          <w:numId w:val="19"/>
        </w:numPr>
        <w:ind w:left="567" w:hanging="567"/>
        <w:rPr>
          <w:spacing w:val="-3"/>
          <w:lang w:val="es-CO"/>
        </w:rPr>
      </w:pPr>
      <w:r w:rsidRPr="004E4C01">
        <w:rPr>
          <w:spacing w:val="-3"/>
          <w:lang w:val="es-CO"/>
        </w:rPr>
        <w:t>Plan de compensaciones del medio biótico en el marco del proceso de licenciamiento ambiental.</w:t>
      </w:r>
    </w:p>
    <w:p w14:paraId="39BD2F87" w14:textId="77777777" w:rsidR="00416F73" w:rsidRPr="00127BD4" w:rsidRDefault="00416F73" w:rsidP="00127BD4">
      <w:pPr>
        <w:rPr>
          <w:spacing w:val="-3"/>
        </w:rPr>
      </w:pPr>
    </w:p>
    <w:p w14:paraId="0E86129D" w14:textId="77777777" w:rsidR="00416F73" w:rsidRPr="004E4C01" w:rsidRDefault="00416F73" w:rsidP="00127BD4">
      <w:pPr>
        <w:pStyle w:val="Prrafodelista"/>
        <w:numPr>
          <w:ilvl w:val="0"/>
          <w:numId w:val="19"/>
        </w:numPr>
        <w:ind w:left="567" w:hanging="567"/>
        <w:rPr>
          <w:spacing w:val="-3"/>
          <w:lang w:val="es-CO"/>
        </w:rPr>
      </w:pPr>
      <w:r w:rsidRPr="004E4C01">
        <w:rPr>
          <w:spacing w:val="-3"/>
          <w:lang w:val="es-CO"/>
        </w:rPr>
        <w:t>Plan de gestión de cambio climático.</w:t>
      </w:r>
    </w:p>
    <w:p w14:paraId="1651A190" w14:textId="77777777" w:rsidR="007770AF" w:rsidRPr="004E4C01" w:rsidRDefault="007770AF">
      <w:pPr>
        <w:numPr>
          <w:ilvl w:val="12"/>
          <w:numId w:val="0"/>
        </w:numPr>
        <w:tabs>
          <w:tab w:val="left" w:pos="-2268"/>
        </w:tabs>
        <w:suppressAutoHyphens/>
        <w:rPr>
          <w:spacing w:val="-3"/>
        </w:rPr>
      </w:pPr>
    </w:p>
    <w:p w14:paraId="6116EBC1" w14:textId="4FC25C5B" w:rsidR="00076F22" w:rsidRPr="004E4C01" w:rsidRDefault="00940D61" w:rsidP="009420F5">
      <w:pPr>
        <w:pStyle w:val="Ttulo2"/>
        <w:tabs>
          <w:tab w:val="clear" w:pos="0"/>
          <w:tab w:val="num" w:pos="851"/>
        </w:tabs>
        <w:ind w:left="851" w:hanging="851"/>
        <w:rPr>
          <w:lang w:val="es-CO"/>
        </w:rPr>
      </w:pPr>
      <w:bookmarkStart w:id="11078" w:name="_Ref75276155"/>
      <w:bookmarkStart w:id="11079" w:name="_Toc378923326"/>
      <w:bookmarkStart w:id="11080" w:name="_Toc405366875"/>
      <w:bookmarkStart w:id="11081" w:name="_Toc405372423"/>
      <w:bookmarkStart w:id="11082" w:name="_Toc412812788"/>
      <w:bookmarkStart w:id="11083" w:name="_Toc437936064"/>
      <w:bookmarkStart w:id="11084" w:name="_Toc40272798"/>
      <w:bookmarkStart w:id="11085" w:name="_Toc42839708"/>
      <w:bookmarkStart w:id="11086" w:name="_Toc230879710"/>
      <w:r w:rsidRPr="004E4C01">
        <w:rPr>
          <w:lang w:val="es-CO"/>
        </w:rPr>
        <w:t>PLAN DE MANEJO AMBIENTAL</w:t>
      </w:r>
      <w:bookmarkEnd w:id="11078"/>
      <w:bookmarkEnd w:id="11079"/>
      <w:bookmarkEnd w:id="11080"/>
      <w:bookmarkEnd w:id="11081"/>
      <w:bookmarkEnd w:id="11082"/>
      <w:bookmarkEnd w:id="11083"/>
      <w:bookmarkEnd w:id="11084"/>
      <w:bookmarkEnd w:id="11085"/>
      <w:bookmarkEnd w:id="11086"/>
    </w:p>
    <w:p w14:paraId="0B01E38E" w14:textId="77777777" w:rsidR="008226F2" w:rsidRPr="004E4C01" w:rsidRDefault="008226F2">
      <w:pPr>
        <w:numPr>
          <w:ilvl w:val="12"/>
          <w:numId w:val="0"/>
        </w:numPr>
        <w:tabs>
          <w:tab w:val="left" w:pos="-2268"/>
        </w:tabs>
        <w:suppressAutoHyphens/>
        <w:rPr>
          <w:spacing w:val="-3"/>
        </w:rPr>
      </w:pPr>
    </w:p>
    <w:p w14:paraId="68AFBB11" w14:textId="16622E47" w:rsidR="00C371A9" w:rsidRPr="004E4C01" w:rsidRDefault="00E07864" w:rsidP="000D6E21">
      <w:pPr>
        <w:tabs>
          <w:tab w:val="left" w:pos="-2268"/>
        </w:tabs>
        <w:suppressAutoHyphens/>
      </w:pPr>
      <w:r w:rsidRPr="004E4C01">
        <w:rPr>
          <w:spacing w:val="-3"/>
        </w:rPr>
        <w:t xml:space="preserve">El plan </w:t>
      </w:r>
      <w:r w:rsidR="00F160F6" w:rsidRPr="004E4C01">
        <w:rPr>
          <w:spacing w:val="-3"/>
        </w:rPr>
        <w:t>de manejo ambiental constituye una descripción detallada del conjunto de medidas</w:t>
      </w:r>
      <w:r w:rsidR="00086C81" w:rsidRPr="004E4C01">
        <w:rPr>
          <w:spacing w:val="-3"/>
        </w:rPr>
        <w:t>,</w:t>
      </w:r>
      <w:r w:rsidR="00F160F6" w:rsidRPr="004E4C01">
        <w:rPr>
          <w:spacing w:val="-3"/>
        </w:rPr>
        <w:t xml:space="preserve"> actividades </w:t>
      </w:r>
      <w:r w:rsidR="00086C81" w:rsidRPr="004E4C01">
        <w:rPr>
          <w:spacing w:val="-3"/>
        </w:rPr>
        <w:t xml:space="preserve">y acciones </w:t>
      </w:r>
      <w:r w:rsidR="00F160F6" w:rsidRPr="004E4C01">
        <w:rPr>
          <w:spacing w:val="-3"/>
        </w:rPr>
        <w:t xml:space="preserve">que producto de la evaluación ambiental, están orientadas a prevenir, mitigar, corregir y compensar </w:t>
      </w:r>
      <w:r w:rsidR="00B06193" w:rsidRPr="004E4C01">
        <w:rPr>
          <w:spacing w:val="-3"/>
        </w:rPr>
        <w:t xml:space="preserve">todos </w:t>
      </w:r>
      <w:r w:rsidR="00F160F6" w:rsidRPr="004E4C01">
        <w:rPr>
          <w:spacing w:val="-3"/>
        </w:rPr>
        <w:t xml:space="preserve">los impactos ambientales que </w:t>
      </w:r>
      <w:r w:rsidR="00B06193" w:rsidRPr="004E4C01">
        <w:rPr>
          <w:spacing w:val="-3"/>
        </w:rPr>
        <w:t xml:space="preserve">puedan </w:t>
      </w:r>
      <w:r w:rsidR="004E693F" w:rsidRPr="004E4C01">
        <w:rPr>
          <w:spacing w:val="-3"/>
        </w:rPr>
        <w:t>ser generados</w:t>
      </w:r>
      <w:r w:rsidR="00B06193" w:rsidRPr="004E4C01">
        <w:rPr>
          <w:spacing w:val="-3"/>
        </w:rPr>
        <w:t xml:space="preserve"> </w:t>
      </w:r>
      <w:r w:rsidR="00F160F6" w:rsidRPr="004E4C01">
        <w:rPr>
          <w:spacing w:val="-3"/>
        </w:rPr>
        <w:t xml:space="preserve">por el </w:t>
      </w:r>
      <w:r w:rsidR="004D0BFE" w:rsidRPr="004E4C01">
        <w:rPr>
          <w:spacing w:val="-3"/>
        </w:rPr>
        <w:t xml:space="preserve">normal </w:t>
      </w:r>
      <w:r w:rsidR="00F160F6" w:rsidRPr="004E4C01">
        <w:rPr>
          <w:spacing w:val="-3"/>
        </w:rPr>
        <w:t>desarrollo de un proyecto, obra o actividad</w:t>
      </w:r>
      <w:r w:rsidR="00B06193" w:rsidRPr="004E4C01">
        <w:rPr>
          <w:spacing w:val="-3"/>
        </w:rPr>
        <w:t xml:space="preserve"> </w:t>
      </w:r>
      <w:r w:rsidR="00B06193" w:rsidRPr="004E4C01">
        <w:rPr>
          <w:rFonts w:cs="Arial"/>
          <w:spacing w:val="-3"/>
        </w:rPr>
        <w:t xml:space="preserve">durante todas sus </w:t>
      </w:r>
      <w:r w:rsidR="00544471">
        <w:rPr>
          <w:spacing w:val="-3"/>
        </w:rPr>
        <w:t>etapas</w:t>
      </w:r>
      <w:r w:rsidR="00544471" w:rsidRPr="004E4C01" w:rsidDel="00544471">
        <w:rPr>
          <w:rFonts w:cs="Arial"/>
          <w:spacing w:val="-3"/>
        </w:rPr>
        <w:t xml:space="preserve"> </w:t>
      </w:r>
      <w:r w:rsidR="00B06193" w:rsidRPr="004E4C01">
        <w:rPr>
          <w:rFonts w:cs="Arial"/>
          <w:spacing w:val="-3"/>
        </w:rPr>
        <w:t>de ejecución</w:t>
      </w:r>
      <w:r w:rsidR="00B06193" w:rsidRPr="004E4C01">
        <w:rPr>
          <w:rStyle w:val="Refdenotaalpie"/>
          <w:rFonts w:cs="Arial"/>
          <w:spacing w:val="-3"/>
          <w:lang w:val="es-CO"/>
        </w:rPr>
        <w:footnoteReference w:id="240"/>
      </w:r>
      <w:r w:rsidR="00F160F6" w:rsidRPr="004E4C01">
        <w:rPr>
          <w:spacing w:val="-3"/>
        </w:rPr>
        <w:t>.</w:t>
      </w:r>
      <w:r w:rsidR="00F160F6" w:rsidRPr="004E4C01">
        <w:t xml:space="preserve"> Éste es uno de los numerales más importantes del EIA, pues de su correcta formulación, depende en gran medida e</w:t>
      </w:r>
      <w:r w:rsidR="00F160F6" w:rsidRPr="004E4C01">
        <w:rPr>
          <w:spacing w:val="-3"/>
        </w:rPr>
        <w:t xml:space="preserve">l </w:t>
      </w:r>
      <w:r w:rsidR="00F160F6" w:rsidRPr="004E4C01">
        <w:rPr>
          <w:rFonts w:cs="Arial"/>
          <w:spacing w:val="-3"/>
        </w:rPr>
        <w:t xml:space="preserve">desempeño ambiental </w:t>
      </w:r>
      <w:r w:rsidR="00355EB2" w:rsidRPr="004E4C01">
        <w:rPr>
          <w:rFonts w:cs="Arial"/>
          <w:spacing w:val="-3"/>
        </w:rPr>
        <w:t xml:space="preserve">del proyecto, obra o actividad, de manera que debe elaborarse de la forma más minuciosa posible y siempre atendiendo a los principios </w:t>
      </w:r>
      <w:r w:rsidR="004D71BF" w:rsidRPr="004E4C01">
        <w:rPr>
          <w:rFonts w:cs="Arial"/>
          <w:spacing w:val="-3"/>
        </w:rPr>
        <w:t xml:space="preserve">que establece </w:t>
      </w:r>
      <w:r w:rsidR="00355EB2" w:rsidRPr="004E4C01">
        <w:rPr>
          <w:rFonts w:cs="Arial"/>
          <w:spacing w:val="-3"/>
        </w:rPr>
        <w:t>la Ley ambiental</w:t>
      </w:r>
      <w:r w:rsidR="002618ED" w:rsidRPr="004E4C01">
        <w:rPr>
          <w:rFonts w:cs="Arial"/>
          <w:spacing w:val="-3"/>
        </w:rPr>
        <w:t xml:space="preserve"> y</w:t>
      </w:r>
      <w:r w:rsidR="00C371A9" w:rsidRPr="004E4C01">
        <w:rPr>
          <w:rFonts w:cs="Arial"/>
          <w:spacing w:val="-3"/>
        </w:rPr>
        <w:t xml:space="preserve"> </w:t>
      </w:r>
      <w:r w:rsidR="00C371A9" w:rsidRPr="004E4C01">
        <w:t>considerando enfoques diferenciales</w:t>
      </w:r>
      <w:r w:rsidR="00CD1A0C" w:rsidRPr="004E4C01">
        <w:t>, el respeto de los derechos humanos y la promoción de</w:t>
      </w:r>
      <w:r w:rsidR="00C371A9" w:rsidRPr="004E4C01">
        <w:t xml:space="preserve"> </w:t>
      </w:r>
      <w:r w:rsidR="00F22832" w:rsidRPr="004E4C01">
        <w:t xml:space="preserve">dinámicas sociales de </w:t>
      </w:r>
      <w:r w:rsidR="00C371A9" w:rsidRPr="004E4C01">
        <w:t>pr</w:t>
      </w:r>
      <w:r w:rsidR="0041505E" w:rsidRPr="004E4C01">
        <w:t>o</w:t>
      </w:r>
      <w:r w:rsidR="00C371A9" w:rsidRPr="004E4C01">
        <w:t>vención</w:t>
      </w:r>
      <w:r w:rsidR="0024448A">
        <w:rPr>
          <w:rStyle w:val="Refdenotaalpie"/>
        </w:rPr>
        <w:footnoteReference w:id="241"/>
      </w:r>
      <w:r w:rsidR="00C371A9" w:rsidRPr="004E4C01">
        <w:t xml:space="preserve"> de conflictos socioambientales.</w:t>
      </w:r>
    </w:p>
    <w:p w14:paraId="270B6148" w14:textId="77777777" w:rsidR="00C371A9" w:rsidRPr="004E4C01" w:rsidRDefault="00C371A9">
      <w:pPr>
        <w:numPr>
          <w:ilvl w:val="12"/>
          <w:numId w:val="0"/>
        </w:numPr>
        <w:tabs>
          <w:tab w:val="left" w:pos="-2268"/>
        </w:tabs>
        <w:suppressAutoHyphens/>
        <w:rPr>
          <w:spacing w:val="-3"/>
        </w:rPr>
      </w:pPr>
    </w:p>
    <w:p w14:paraId="08AB32FD" w14:textId="5040890B" w:rsidR="00F160F6" w:rsidRPr="004E4C01" w:rsidRDefault="00F160F6">
      <w:pPr>
        <w:numPr>
          <w:ilvl w:val="12"/>
          <w:numId w:val="0"/>
        </w:numPr>
        <w:tabs>
          <w:tab w:val="left" w:pos="-2268"/>
        </w:tabs>
        <w:suppressAutoHyphens/>
        <w:rPr>
          <w:spacing w:val="-3"/>
        </w:rPr>
      </w:pPr>
      <w:r w:rsidRPr="004E4C01">
        <w:rPr>
          <w:spacing w:val="-3"/>
        </w:rPr>
        <w:t xml:space="preserve">Una buena </w:t>
      </w:r>
      <w:r w:rsidR="00682013" w:rsidRPr="004E4C01">
        <w:rPr>
          <w:rFonts w:cs="Arial"/>
          <w:spacing w:val="-3"/>
        </w:rPr>
        <w:t>determinación</w:t>
      </w:r>
      <w:r w:rsidR="00682013" w:rsidRPr="004E4C01" w:rsidDel="00682013">
        <w:rPr>
          <w:spacing w:val="-3"/>
        </w:rPr>
        <w:t xml:space="preserve"> </w:t>
      </w:r>
      <w:r w:rsidRPr="004E4C01">
        <w:rPr>
          <w:spacing w:val="-3"/>
        </w:rPr>
        <w:t xml:space="preserve">y </w:t>
      </w:r>
      <w:r w:rsidR="00824C3B" w:rsidRPr="004E4C01">
        <w:rPr>
          <w:rFonts w:cs="Arial"/>
          <w:spacing w:val="-3"/>
        </w:rPr>
        <w:t>valoración</w:t>
      </w:r>
      <w:r w:rsidR="00824C3B" w:rsidRPr="004E4C01">
        <w:rPr>
          <w:spacing w:val="-3"/>
        </w:rPr>
        <w:t xml:space="preserve"> </w:t>
      </w:r>
      <w:r w:rsidRPr="004E4C01">
        <w:rPr>
          <w:spacing w:val="-3"/>
        </w:rPr>
        <w:t xml:space="preserve">de impactos </w:t>
      </w:r>
      <w:r w:rsidRPr="004E4C01">
        <w:rPr>
          <w:rFonts w:cs="Arial"/>
          <w:spacing w:val="-3"/>
        </w:rPr>
        <w:t xml:space="preserve">ambientales </w:t>
      </w:r>
      <w:r w:rsidRPr="004E4C01">
        <w:rPr>
          <w:spacing w:val="-3"/>
        </w:rPr>
        <w:t xml:space="preserve">es fundamental para </w:t>
      </w:r>
      <w:r w:rsidR="0024378E" w:rsidRPr="004E4C01">
        <w:rPr>
          <w:spacing w:val="-3"/>
        </w:rPr>
        <w:t xml:space="preserve">una correcta </w:t>
      </w:r>
      <w:r w:rsidRPr="004E4C01">
        <w:rPr>
          <w:spacing w:val="-3"/>
        </w:rPr>
        <w:t>formula</w:t>
      </w:r>
      <w:r w:rsidR="0024378E" w:rsidRPr="004E4C01">
        <w:rPr>
          <w:spacing w:val="-3"/>
        </w:rPr>
        <w:t>ción</w:t>
      </w:r>
      <w:r w:rsidRPr="004E4C01">
        <w:rPr>
          <w:spacing w:val="-3"/>
        </w:rPr>
        <w:t xml:space="preserve"> </w:t>
      </w:r>
      <w:r w:rsidR="0024378E" w:rsidRPr="004E4C01">
        <w:rPr>
          <w:spacing w:val="-3"/>
        </w:rPr>
        <w:t>de</w:t>
      </w:r>
      <w:r w:rsidRPr="004E4C01">
        <w:rPr>
          <w:spacing w:val="-3"/>
        </w:rPr>
        <w:t xml:space="preserve"> medidas de manejo ambiental. A medida que se identifica y valora de forma más rigurosa </w:t>
      </w:r>
      <w:r w:rsidR="00086C81" w:rsidRPr="004E4C01">
        <w:rPr>
          <w:spacing w:val="-3"/>
        </w:rPr>
        <w:t>un</w:t>
      </w:r>
      <w:r w:rsidRPr="004E4C01">
        <w:rPr>
          <w:spacing w:val="-3"/>
        </w:rPr>
        <w:t xml:space="preserve"> impacto, </w:t>
      </w:r>
      <w:r w:rsidRPr="004E4C01">
        <w:rPr>
          <w:rFonts w:cs="Arial"/>
          <w:spacing w:val="-3"/>
        </w:rPr>
        <w:t xml:space="preserve">es posible </w:t>
      </w:r>
      <w:r w:rsidRPr="004E4C01">
        <w:rPr>
          <w:spacing w:val="-3"/>
        </w:rPr>
        <w:t>en esa misma medida</w:t>
      </w:r>
      <w:r w:rsidRPr="004E4C01">
        <w:rPr>
          <w:rFonts w:cs="Arial"/>
          <w:spacing w:val="-3"/>
        </w:rPr>
        <w:t>, prevenirlo, mitigarlo, corregirlo y compensarlo</w:t>
      </w:r>
      <w:r w:rsidR="004D71BF" w:rsidRPr="004E4C01">
        <w:rPr>
          <w:rFonts w:cs="Arial"/>
          <w:spacing w:val="-3"/>
        </w:rPr>
        <w:t>,</w:t>
      </w:r>
      <w:r w:rsidRPr="004E4C01">
        <w:rPr>
          <w:spacing w:val="-3"/>
        </w:rPr>
        <w:t xml:space="preserve"> pues se conoce con mayor precisión </w:t>
      </w:r>
      <w:r w:rsidR="004D71BF" w:rsidRPr="004E4C01">
        <w:rPr>
          <w:spacing w:val="-3"/>
        </w:rPr>
        <w:t xml:space="preserve">entre otras características, </w:t>
      </w:r>
      <w:r w:rsidRPr="004E4C01">
        <w:rPr>
          <w:spacing w:val="-3"/>
        </w:rPr>
        <w:t>en qué consiste</w:t>
      </w:r>
      <w:r w:rsidRPr="004E4C01">
        <w:rPr>
          <w:rFonts w:cs="Arial"/>
          <w:spacing w:val="-3"/>
        </w:rPr>
        <w:t>,</w:t>
      </w:r>
      <w:r w:rsidRPr="004E4C01">
        <w:rPr>
          <w:spacing w:val="-3"/>
        </w:rPr>
        <w:t xml:space="preserve"> y dónde y cuándo se </w:t>
      </w:r>
      <w:r w:rsidRPr="004E4C01">
        <w:rPr>
          <w:rFonts w:cs="Arial"/>
          <w:spacing w:val="-3"/>
        </w:rPr>
        <w:t>podría manifestar</w:t>
      </w:r>
      <w:r w:rsidRPr="004E4C01">
        <w:rPr>
          <w:spacing w:val="-3"/>
        </w:rPr>
        <w:t xml:space="preserve">. Por ejemplo, </w:t>
      </w:r>
      <w:r w:rsidR="00A76145" w:rsidRPr="004E4C01">
        <w:rPr>
          <w:spacing w:val="-3"/>
        </w:rPr>
        <w:t xml:space="preserve">para formular medidas de manejo realmente efectivas </w:t>
      </w:r>
      <w:r w:rsidRPr="004E4C01">
        <w:rPr>
          <w:spacing w:val="-3"/>
        </w:rPr>
        <w:t>no basta con establecer que el proyecto</w:t>
      </w:r>
      <w:r w:rsidR="00311679" w:rsidRPr="004E4C01">
        <w:rPr>
          <w:spacing w:val="-3"/>
        </w:rPr>
        <w:t>, obra o actividad</w:t>
      </w:r>
      <w:r w:rsidRPr="004E4C01">
        <w:rPr>
          <w:spacing w:val="-3"/>
        </w:rPr>
        <w:t xml:space="preserve"> va a generar contaminación atmosférica, es necesario saber exactamente qué </w:t>
      </w:r>
      <w:r w:rsidR="003548BC" w:rsidRPr="004E4C01">
        <w:rPr>
          <w:spacing w:val="-3"/>
        </w:rPr>
        <w:t xml:space="preserve">elemento del ambiente </w:t>
      </w:r>
      <w:r w:rsidRPr="004E4C01">
        <w:rPr>
          <w:spacing w:val="-3"/>
        </w:rPr>
        <w:t>se impacta</w:t>
      </w:r>
      <w:r w:rsidR="003548BC" w:rsidRPr="004E4C01">
        <w:rPr>
          <w:spacing w:val="-3"/>
        </w:rPr>
        <w:t xml:space="preserve"> (caracterizado mediante un parámetro, indicador o índice ambiental)</w:t>
      </w:r>
      <w:r w:rsidRPr="004E4C01">
        <w:rPr>
          <w:spacing w:val="-3"/>
        </w:rPr>
        <w:t xml:space="preserve">, en qué </w:t>
      </w:r>
      <w:r w:rsidRPr="004E4C01">
        <w:rPr>
          <w:rFonts w:cs="Arial"/>
          <w:spacing w:val="-3"/>
        </w:rPr>
        <w:t>grado</w:t>
      </w:r>
      <w:r w:rsidRPr="004E4C01">
        <w:rPr>
          <w:spacing w:val="-3"/>
        </w:rPr>
        <w:t xml:space="preserve"> se modifica, en qué </w:t>
      </w:r>
      <w:r w:rsidR="00A3766C">
        <w:rPr>
          <w:spacing w:val="-3"/>
        </w:rPr>
        <w:t>etapas</w:t>
      </w:r>
      <w:r w:rsidR="00A3766C" w:rsidRPr="004E4C01" w:rsidDel="00A3766C">
        <w:rPr>
          <w:spacing w:val="-3"/>
        </w:rPr>
        <w:t xml:space="preserve"> </w:t>
      </w:r>
      <w:r w:rsidRPr="004E4C01">
        <w:rPr>
          <w:spacing w:val="-3"/>
        </w:rPr>
        <w:t>del proyecto ocurre, qué actividades o qué impactos lo generan</w:t>
      </w:r>
      <w:r w:rsidRPr="004E4C01">
        <w:rPr>
          <w:rFonts w:cs="Arial"/>
          <w:spacing w:val="-3"/>
        </w:rPr>
        <w:t xml:space="preserve">, y </w:t>
      </w:r>
      <w:r w:rsidR="0089455B" w:rsidRPr="004E4C01">
        <w:rPr>
          <w:rFonts w:cs="Arial"/>
          <w:spacing w:val="-3"/>
        </w:rPr>
        <w:t xml:space="preserve">en </w:t>
      </w:r>
      <w:r w:rsidRPr="004E4C01">
        <w:rPr>
          <w:rFonts w:cs="Arial"/>
          <w:spacing w:val="-3"/>
        </w:rPr>
        <w:t>qué área del territorio se expresa</w:t>
      </w:r>
      <w:r w:rsidR="00BA59E7">
        <w:rPr>
          <w:rFonts w:cs="Arial"/>
          <w:spacing w:val="-3"/>
        </w:rPr>
        <w:t xml:space="preserve"> y que </w:t>
      </w:r>
      <w:r w:rsidR="00BA59E7" w:rsidRPr="00BA59E7">
        <w:rPr>
          <w:rFonts w:cs="Arial"/>
          <w:spacing w:val="-3"/>
        </w:rPr>
        <w:t>tipo de grupos de interés están involucrados</w:t>
      </w:r>
      <w:r w:rsidR="004736C9" w:rsidRPr="004E4C01">
        <w:rPr>
          <w:rFonts w:cs="Arial"/>
          <w:spacing w:val="-3"/>
        </w:rPr>
        <w:t>, entre otras</w:t>
      </w:r>
      <w:r w:rsidR="003B059D" w:rsidRPr="004E4C01">
        <w:rPr>
          <w:rFonts w:cs="Arial"/>
          <w:spacing w:val="-3"/>
        </w:rPr>
        <w:t>.</w:t>
      </w:r>
    </w:p>
    <w:p w14:paraId="2ACFC07E" w14:textId="77777777" w:rsidR="00F160F6" w:rsidRPr="004E4C01" w:rsidRDefault="00F160F6">
      <w:pPr>
        <w:numPr>
          <w:ilvl w:val="12"/>
          <w:numId w:val="0"/>
        </w:numPr>
        <w:tabs>
          <w:tab w:val="left" w:pos="-2268"/>
        </w:tabs>
        <w:suppressAutoHyphens/>
        <w:rPr>
          <w:spacing w:val="-3"/>
        </w:rPr>
      </w:pPr>
    </w:p>
    <w:p w14:paraId="7F187E88" w14:textId="64E372CF" w:rsidR="00F160F6" w:rsidRPr="004E4C01" w:rsidRDefault="00F160F6" w:rsidP="00C86DA5">
      <w:pPr>
        <w:tabs>
          <w:tab w:val="left" w:pos="-2268"/>
        </w:tabs>
        <w:suppressAutoHyphens/>
        <w:rPr>
          <w:rFonts w:cs="Arial"/>
          <w:spacing w:val="-3"/>
        </w:rPr>
      </w:pPr>
      <w:r w:rsidRPr="004E4C01">
        <w:rPr>
          <w:spacing w:val="-3"/>
        </w:rPr>
        <w:t>L</w:t>
      </w:r>
      <w:r w:rsidR="00086C81" w:rsidRPr="004E4C01">
        <w:rPr>
          <w:spacing w:val="-3"/>
        </w:rPr>
        <w:t>as medidas que se formulen</w:t>
      </w:r>
      <w:r w:rsidRPr="004E4C01">
        <w:rPr>
          <w:spacing w:val="-3"/>
        </w:rPr>
        <w:t xml:space="preserve"> deben responder a la </w:t>
      </w:r>
      <w:r w:rsidRPr="004E4C01">
        <w:rPr>
          <w:rFonts w:cs="Arial"/>
          <w:spacing w:val="-3"/>
        </w:rPr>
        <w:t>jerarquía</w:t>
      </w:r>
      <w:r w:rsidRPr="004E4C01">
        <w:rPr>
          <w:spacing w:val="-3"/>
        </w:rPr>
        <w:t xml:space="preserve"> de las medidas de manejo</w:t>
      </w:r>
      <w:r w:rsidRPr="004E4C01">
        <w:rPr>
          <w:rStyle w:val="Refdenotaalpie"/>
          <w:rFonts w:cs="Arial"/>
          <w:spacing w:val="-3"/>
          <w:lang w:val="es-CO"/>
        </w:rPr>
        <w:footnoteReference w:id="242"/>
      </w:r>
      <w:r w:rsidRPr="004E4C01">
        <w:rPr>
          <w:spacing w:val="-3"/>
        </w:rPr>
        <w:t xml:space="preserve">, </w:t>
      </w:r>
      <w:r w:rsidR="00086C81" w:rsidRPr="004E4C01">
        <w:rPr>
          <w:spacing w:val="-3"/>
        </w:rPr>
        <w:t xml:space="preserve">de forma que </w:t>
      </w:r>
      <w:r w:rsidRPr="004E4C01">
        <w:rPr>
          <w:spacing w:val="-3"/>
        </w:rPr>
        <w:t>en primera instancia</w:t>
      </w:r>
      <w:r w:rsidR="00086C81" w:rsidRPr="004E4C01">
        <w:rPr>
          <w:spacing w:val="-3"/>
        </w:rPr>
        <w:t xml:space="preserve"> </w:t>
      </w:r>
      <w:r w:rsidR="00A76145" w:rsidRPr="004E4C01">
        <w:rPr>
          <w:spacing w:val="-3"/>
        </w:rPr>
        <w:t xml:space="preserve">éstas </w:t>
      </w:r>
      <w:r w:rsidR="00086C81" w:rsidRPr="004E4C01">
        <w:rPr>
          <w:spacing w:val="-3"/>
        </w:rPr>
        <w:t xml:space="preserve">se enfoquen en el </w:t>
      </w:r>
      <w:r w:rsidRPr="004E4C01">
        <w:rPr>
          <w:spacing w:val="-3"/>
        </w:rPr>
        <w:t>desarroll</w:t>
      </w:r>
      <w:r w:rsidR="00086C81" w:rsidRPr="004E4C01">
        <w:rPr>
          <w:spacing w:val="-3"/>
        </w:rPr>
        <w:t>o de</w:t>
      </w:r>
      <w:r w:rsidRPr="004E4C01">
        <w:rPr>
          <w:spacing w:val="-3"/>
        </w:rPr>
        <w:t xml:space="preserve"> acciones para prevenir la ocurrencia de los impactos</w:t>
      </w:r>
      <w:r w:rsidR="00394A8E" w:rsidRPr="004E4C01">
        <w:rPr>
          <w:spacing w:val="-3"/>
        </w:rPr>
        <w:t>,</w:t>
      </w:r>
      <w:r w:rsidRPr="004E4C01">
        <w:rPr>
          <w:spacing w:val="-3"/>
        </w:rPr>
        <w:t xml:space="preserve"> que como segunda opción se encaminen a mitigarlos y minimizarlos que</w:t>
      </w:r>
      <w:r w:rsidR="003F648E" w:rsidRPr="004E4C01">
        <w:rPr>
          <w:spacing w:val="-3"/>
        </w:rPr>
        <w:t>,</w:t>
      </w:r>
      <w:r w:rsidRPr="004E4C01">
        <w:rPr>
          <w:spacing w:val="-3"/>
        </w:rPr>
        <w:t xml:space="preserve"> en tercer lugar</w:t>
      </w:r>
      <w:r w:rsidR="00A03F9F" w:rsidRPr="004E4C01">
        <w:rPr>
          <w:spacing w:val="-3"/>
        </w:rPr>
        <w:t>,</w:t>
      </w:r>
      <w:r w:rsidRPr="004E4C01">
        <w:rPr>
          <w:spacing w:val="-3"/>
        </w:rPr>
        <w:t xml:space="preserve"> se dirijan a corregir o restaurar las condiciones del ambiente que sean impactadas y</w:t>
      </w:r>
      <w:r w:rsidR="007E2571" w:rsidRPr="004E4C01">
        <w:rPr>
          <w:spacing w:val="-3"/>
        </w:rPr>
        <w:t>,</w:t>
      </w:r>
      <w:r w:rsidRPr="004E4C01">
        <w:rPr>
          <w:spacing w:val="-3"/>
        </w:rPr>
        <w:t xml:space="preserve"> por último, que se enfoquen en compensar</w:t>
      </w:r>
      <w:r w:rsidRPr="004E4C01">
        <w:rPr>
          <w:rStyle w:val="Refdenotaalpie"/>
          <w:rFonts w:cs="Arial"/>
          <w:spacing w:val="-3"/>
          <w:lang w:val="es-CO"/>
        </w:rPr>
        <w:footnoteReference w:id="243"/>
      </w:r>
      <w:r w:rsidRPr="004E4C01">
        <w:rPr>
          <w:spacing w:val="-3"/>
        </w:rPr>
        <w:t xml:space="preserve"> o resarcir los impactos </w:t>
      </w:r>
      <w:r w:rsidRPr="004E4C01">
        <w:rPr>
          <w:rFonts w:cs="Arial"/>
          <w:spacing w:val="-3"/>
        </w:rPr>
        <w:t>ambientales residuales.</w:t>
      </w:r>
    </w:p>
    <w:p w14:paraId="23BA5603" w14:textId="77777777" w:rsidR="008C119D" w:rsidRPr="004E4C01" w:rsidRDefault="008C119D" w:rsidP="00C86DA5">
      <w:pPr>
        <w:tabs>
          <w:tab w:val="left" w:pos="-2268"/>
        </w:tabs>
        <w:suppressAutoHyphens/>
        <w:rPr>
          <w:rFonts w:cs="Arial"/>
          <w:spacing w:val="-3"/>
        </w:rPr>
      </w:pPr>
    </w:p>
    <w:p w14:paraId="31C1D6AC" w14:textId="446F83E9" w:rsidR="00A76145" w:rsidRPr="004E4C01" w:rsidRDefault="00086C81" w:rsidP="00CF0C1B">
      <w:pPr>
        <w:numPr>
          <w:ilvl w:val="12"/>
          <w:numId w:val="0"/>
        </w:numPr>
        <w:tabs>
          <w:tab w:val="left" w:pos="-2268"/>
        </w:tabs>
        <w:suppressAutoHyphens/>
        <w:rPr>
          <w:spacing w:val="-3"/>
        </w:rPr>
      </w:pPr>
      <w:r w:rsidRPr="004E4C01">
        <w:rPr>
          <w:rFonts w:cs="Arial"/>
          <w:spacing w:val="-3"/>
        </w:rPr>
        <w:t xml:space="preserve">Tales medidas de manejo deben formularse de </w:t>
      </w:r>
      <w:r w:rsidR="005D470C" w:rsidRPr="004E4C01">
        <w:rPr>
          <w:rFonts w:cs="Arial"/>
          <w:spacing w:val="-3"/>
        </w:rPr>
        <w:t>manera</w:t>
      </w:r>
      <w:r w:rsidRPr="004E4C01">
        <w:rPr>
          <w:rFonts w:cs="Arial"/>
          <w:spacing w:val="-3"/>
        </w:rPr>
        <w:t xml:space="preserve"> que </w:t>
      </w:r>
      <w:r w:rsidR="005D470C" w:rsidRPr="004E4C01">
        <w:rPr>
          <w:rFonts w:cs="Arial"/>
          <w:spacing w:val="-3"/>
        </w:rPr>
        <w:t xml:space="preserve">su ejecución permita el desarrollo del proyecto, obra o actividad para el cual se proponen, </w:t>
      </w:r>
      <w:r w:rsidR="007656F8" w:rsidRPr="004E4C01">
        <w:rPr>
          <w:rFonts w:cs="Arial"/>
          <w:spacing w:val="-3"/>
        </w:rPr>
        <w:t>buscando</w:t>
      </w:r>
      <w:r w:rsidR="000E4333" w:rsidRPr="004E4C01">
        <w:rPr>
          <w:rFonts w:cs="Arial"/>
          <w:spacing w:val="-3"/>
        </w:rPr>
        <w:t xml:space="preserve"> que </w:t>
      </w:r>
      <w:r w:rsidR="00AB1A7E" w:rsidRPr="004E4C01">
        <w:rPr>
          <w:rFonts w:cs="Arial"/>
          <w:spacing w:val="-3"/>
        </w:rPr>
        <w:t>preven</w:t>
      </w:r>
      <w:r w:rsidR="000E4333" w:rsidRPr="004E4C01">
        <w:rPr>
          <w:rFonts w:cs="Arial"/>
          <w:spacing w:val="-3"/>
        </w:rPr>
        <w:t xml:space="preserve">gan </w:t>
      </w:r>
      <w:r w:rsidR="006122DF" w:rsidRPr="004E4C01">
        <w:rPr>
          <w:rFonts w:cs="Arial"/>
          <w:spacing w:val="-3"/>
        </w:rPr>
        <w:t xml:space="preserve">los </w:t>
      </w:r>
      <w:r w:rsidR="00AB1A7E" w:rsidRPr="004E4C01">
        <w:rPr>
          <w:rFonts w:cs="Arial"/>
          <w:spacing w:val="-3"/>
        </w:rPr>
        <w:t xml:space="preserve">impactos </w:t>
      </w:r>
      <w:r w:rsidR="006122DF" w:rsidRPr="004E4C01">
        <w:rPr>
          <w:rFonts w:cs="Arial"/>
          <w:spacing w:val="-3"/>
        </w:rPr>
        <w:t>(</w:t>
      </w:r>
      <w:r w:rsidR="00AB1A7E" w:rsidRPr="004E4C01">
        <w:rPr>
          <w:rFonts w:cs="Arial"/>
          <w:spacing w:val="-3"/>
        </w:rPr>
        <w:t xml:space="preserve">especialmente </w:t>
      </w:r>
      <w:r w:rsidR="009541F6" w:rsidRPr="004E4C01">
        <w:rPr>
          <w:rFonts w:cs="Arial"/>
          <w:spacing w:val="-3"/>
        </w:rPr>
        <w:t xml:space="preserve">y en la medida de lo posible, </w:t>
      </w:r>
      <w:r w:rsidR="00AB1A7E" w:rsidRPr="004E4C01">
        <w:rPr>
          <w:rFonts w:cs="Arial"/>
          <w:spacing w:val="-3"/>
        </w:rPr>
        <w:t>los de potencial de alteración negativa considerable y los irreversibles</w:t>
      </w:r>
      <w:r w:rsidR="006122DF" w:rsidRPr="004E4C01">
        <w:rPr>
          <w:rFonts w:cs="Arial"/>
          <w:spacing w:val="-3"/>
        </w:rPr>
        <w:t>),</w:t>
      </w:r>
      <w:r w:rsidR="00AB1A7E" w:rsidRPr="004E4C01">
        <w:rPr>
          <w:rFonts w:cs="Arial"/>
          <w:spacing w:val="-3"/>
        </w:rPr>
        <w:t xml:space="preserve"> </w:t>
      </w:r>
      <w:r w:rsidR="00FF6479" w:rsidRPr="004E4C01">
        <w:rPr>
          <w:rFonts w:cs="Arial"/>
          <w:spacing w:val="-3"/>
        </w:rPr>
        <w:t xml:space="preserve">que </w:t>
      </w:r>
      <w:r w:rsidR="00AB1A7E" w:rsidRPr="004E4C01">
        <w:rPr>
          <w:rFonts w:cs="Arial"/>
          <w:spacing w:val="-3"/>
        </w:rPr>
        <w:t>corr</w:t>
      </w:r>
      <w:r w:rsidR="00CF0C1B" w:rsidRPr="004E4C01">
        <w:rPr>
          <w:rFonts w:cs="Arial"/>
          <w:spacing w:val="-3"/>
        </w:rPr>
        <w:t xml:space="preserve">ijan </w:t>
      </w:r>
      <w:r w:rsidR="00164E29">
        <w:rPr>
          <w:rFonts w:cs="Arial"/>
          <w:spacing w:val="-3"/>
        </w:rPr>
        <w:t xml:space="preserve">o mitiguen </w:t>
      </w:r>
      <w:r w:rsidR="00AB1A7E" w:rsidRPr="004E4C01">
        <w:rPr>
          <w:rFonts w:cs="Arial"/>
          <w:spacing w:val="-3"/>
        </w:rPr>
        <w:t xml:space="preserve">los impactos que no pueden prevenirse </w:t>
      </w:r>
      <w:r w:rsidR="00CF0C1B" w:rsidRPr="004E4C01">
        <w:rPr>
          <w:rFonts w:cs="Arial"/>
          <w:spacing w:val="-3"/>
        </w:rPr>
        <w:t xml:space="preserve">con el fin de </w:t>
      </w:r>
      <w:r w:rsidR="00AB1A7E" w:rsidRPr="004E4C01">
        <w:rPr>
          <w:rFonts w:cs="Arial"/>
          <w:spacing w:val="-3"/>
        </w:rPr>
        <w:t>disminuir su significancia y</w:t>
      </w:r>
      <w:r w:rsidR="00FF6479" w:rsidRPr="004E4C01">
        <w:rPr>
          <w:rFonts w:cs="Arial"/>
          <w:spacing w:val="-3"/>
        </w:rPr>
        <w:t>, que</w:t>
      </w:r>
      <w:r w:rsidR="00AB1A7E" w:rsidRPr="004E4C01">
        <w:rPr>
          <w:rFonts w:cs="Arial"/>
          <w:spacing w:val="-3"/>
        </w:rPr>
        <w:t xml:space="preserve"> compens</w:t>
      </w:r>
      <w:r w:rsidR="00CF0C1B" w:rsidRPr="004E4C01">
        <w:rPr>
          <w:rFonts w:cs="Arial"/>
          <w:spacing w:val="-3"/>
        </w:rPr>
        <w:t xml:space="preserve">en </w:t>
      </w:r>
      <w:r w:rsidR="00AB1A7E" w:rsidRPr="004E4C01">
        <w:rPr>
          <w:rFonts w:cs="Arial"/>
          <w:spacing w:val="-3"/>
        </w:rPr>
        <w:t>los impactos residuales que permanecen en el medio</w:t>
      </w:r>
      <w:r w:rsidR="004D71BF" w:rsidRPr="004E4C01">
        <w:rPr>
          <w:rFonts w:cs="Arial"/>
          <w:spacing w:val="-3"/>
        </w:rPr>
        <w:t>.</w:t>
      </w:r>
      <w:r w:rsidR="00AC6F8A" w:rsidRPr="004E4C01">
        <w:rPr>
          <w:rFonts w:cs="Arial"/>
          <w:spacing w:val="-3"/>
        </w:rPr>
        <w:t xml:space="preserve"> Lo anterior quiere decir, que la formulación de las medidas de manejo debe permitir el desarrollo del proyecto, obra o actividad y </w:t>
      </w:r>
      <w:r w:rsidR="00605D4E" w:rsidRPr="004E4C01">
        <w:rPr>
          <w:spacing w:val="-3"/>
        </w:rPr>
        <w:t>prevenir</w:t>
      </w:r>
      <w:r w:rsidR="00A76145" w:rsidRPr="004E4C01">
        <w:rPr>
          <w:spacing w:val="-3"/>
        </w:rPr>
        <w:t xml:space="preserve"> lo </w:t>
      </w:r>
      <w:r w:rsidR="00605D4E" w:rsidRPr="004E4C01">
        <w:rPr>
          <w:spacing w:val="-3"/>
        </w:rPr>
        <w:t>prevenible</w:t>
      </w:r>
      <w:r w:rsidR="00A76145" w:rsidRPr="004E4C01">
        <w:rPr>
          <w:spacing w:val="-3"/>
        </w:rPr>
        <w:t>, mitigar lo mitigable, corregir lo corregible y compensar lo compensable</w:t>
      </w:r>
      <w:r w:rsidR="00AC6F8A" w:rsidRPr="004E4C01">
        <w:rPr>
          <w:spacing w:val="-3"/>
        </w:rPr>
        <w:t>, en ese orden</w:t>
      </w:r>
      <w:r w:rsidR="00A76145" w:rsidRPr="004E4C01">
        <w:rPr>
          <w:spacing w:val="-3"/>
        </w:rPr>
        <w:t>.</w:t>
      </w:r>
    </w:p>
    <w:p w14:paraId="7455552E" w14:textId="77777777" w:rsidR="00A76145" w:rsidRPr="004E4C01" w:rsidRDefault="00A76145">
      <w:pPr>
        <w:numPr>
          <w:ilvl w:val="12"/>
          <w:numId w:val="0"/>
        </w:numPr>
        <w:tabs>
          <w:tab w:val="left" w:pos="-2268"/>
        </w:tabs>
        <w:suppressAutoHyphens/>
        <w:rPr>
          <w:spacing w:val="-3"/>
        </w:rPr>
      </w:pPr>
    </w:p>
    <w:p w14:paraId="6526F6C6" w14:textId="4159B423" w:rsidR="006E0C3B" w:rsidRPr="004E4C01" w:rsidRDefault="00DF345F">
      <w:pPr>
        <w:numPr>
          <w:ilvl w:val="12"/>
          <w:numId w:val="0"/>
        </w:numPr>
        <w:tabs>
          <w:tab w:val="left" w:pos="-2268"/>
        </w:tabs>
        <w:suppressAutoHyphens/>
        <w:rPr>
          <w:spacing w:val="-3"/>
        </w:rPr>
      </w:pPr>
      <w:r w:rsidRPr="004E4C01">
        <w:rPr>
          <w:spacing w:val="-3"/>
        </w:rPr>
        <w:t>Ya que e</w:t>
      </w:r>
      <w:r w:rsidR="006E0C3B" w:rsidRPr="004E4C01">
        <w:rPr>
          <w:spacing w:val="-3"/>
        </w:rPr>
        <w:t xml:space="preserve">l ambiente es un sistema complejo con múltiples interacciones, las cuales pueden verse seriamente alteradas por los proyectos sujetos a licenciamiento ambiental, es fundamental formular medidas de manejo desde una perspectiva integral que reconozca las conexiones </w:t>
      </w:r>
      <w:r w:rsidR="003D35EC" w:rsidRPr="004E4C01">
        <w:rPr>
          <w:spacing w:val="-3"/>
        </w:rPr>
        <w:t xml:space="preserve">que existen al interior y </w:t>
      </w:r>
      <w:r w:rsidR="006E0C3B" w:rsidRPr="004E4C01">
        <w:rPr>
          <w:spacing w:val="-3"/>
        </w:rPr>
        <w:t xml:space="preserve">entre </w:t>
      </w:r>
      <w:r w:rsidR="003D35EC" w:rsidRPr="004E4C01">
        <w:rPr>
          <w:spacing w:val="-3"/>
        </w:rPr>
        <w:t>los</w:t>
      </w:r>
      <w:r w:rsidR="006E0C3B" w:rsidRPr="004E4C01">
        <w:rPr>
          <w:spacing w:val="-3"/>
        </w:rPr>
        <w:t xml:space="preserve"> medios</w:t>
      </w:r>
      <w:r w:rsidR="00BD282E" w:rsidRPr="004E4C01">
        <w:rPr>
          <w:spacing w:val="-3"/>
        </w:rPr>
        <w:t>,</w:t>
      </w:r>
      <w:r w:rsidR="006E0C3B" w:rsidRPr="004E4C01">
        <w:rPr>
          <w:spacing w:val="-3"/>
        </w:rPr>
        <w:t xml:space="preserve"> componentes</w:t>
      </w:r>
      <w:r w:rsidR="00BD282E" w:rsidRPr="004E4C01">
        <w:rPr>
          <w:spacing w:val="-3"/>
        </w:rPr>
        <w:t xml:space="preserve"> y factores</w:t>
      </w:r>
      <w:r w:rsidR="006E0C3B" w:rsidRPr="004E4C01">
        <w:rPr>
          <w:spacing w:val="-3"/>
        </w:rPr>
        <w:t xml:space="preserve">, </w:t>
      </w:r>
      <w:r w:rsidRPr="004E4C01">
        <w:rPr>
          <w:spacing w:val="-3"/>
        </w:rPr>
        <w:t xml:space="preserve">que </w:t>
      </w:r>
      <w:r w:rsidR="003D35EC" w:rsidRPr="004E4C01">
        <w:rPr>
          <w:spacing w:val="-3"/>
        </w:rPr>
        <w:t xml:space="preserve">ellas configuran </w:t>
      </w:r>
      <w:r w:rsidR="006E0C3B" w:rsidRPr="004E4C01">
        <w:rPr>
          <w:spacing w:val="-3"/>
        </w:rPr>
        <w:t>ecosistemas</w:t>
      </w:r>
      <w:r w:rsidR="003D35EC" w:rsidRPr="004E4C01">
        <w:rPr>
          <w:spacing w:val="-3"/>
        </w:rPr>
        <w:t xml:space="preserve"> naturales</w:t>
      </w:r>
      <w:r w:rsidR="004D63D5" w:rsidRPr="004E4C01">
        <w:rPr>
          <w:spacing w:val="-3"/>
        </w:rPr>
        <w:t xml:space="preserve">, ecosistemas </w:t>
      </w:r>
      <w:r w:rsidR="003D35EC" w:rsidRPr="004E4C01">
        <w:rPr>
          <w:spacing w:val="-3"/>
        </w:rPr>
        <w:t xml:space="preserve">transformados </w:t>
      </w:r>
      <w:r w:rsidR="004D63D5" w:rsidRPr="004E4C01">
        <w:rPr>
          <w:spacing w:val="-3"/>
        </w:rPr>
        <w:t xml:space="preserve">y </w:t>
      </w:r>
      <w:r w:rsidR="006E0C3B" w:rsidRPr="004E4C01">
        <w:rPr>
          <w:spacing w:val="-3"/>
        </w:rPr>
        <w:t>servicio</w:t>
      </w:r>
      <w:r w:rsidR="003D35EC" w:rsidRPr="004E4C01">
        <w:rPr>
          <w:spacing w:val="-3"/>
        </w:rPr>
        <w:t>s</w:t>
      </w:r>
      <w:r w:rsidR="006E0C3B" w:rsidRPr="004E4C01">
        <w:rPr>
          <w:spacing w:val="-3"/>
        </w:rPr>
        <w:t xml:space="preserve"> ecosistémico</w:t>
      </w:r>
      <w:r w:rsidR="003D35EC" w:rsidRPr="004E4C01">
        <w:rPr>
          <w:spacing w:val="-3"/>
        </w:rPr>
        <w:t>s</w:t>
      </w:r>
      <w:r w:rsidR="006E0C3B" w:rsidRPr="004E4C01">
        <w:rPr>
          <w:spacing w:val="-3"/>
        </w:rPr>
        <w:t xml:space="preserve">, </w:t>
      </w:r>
      <w:r w:rsidR="004D63D5" w:rsidRPr="004E4C01">
        <w:rPr>
          <w:spacing w:val="-3"/>
        </w:rPr>
        <w:t xml:space="preserve">y </w:t>
      </w:r>
      <w:r w:rsidR="003D35EC" w:rsidRPr="004E4C01">
        <w:rPr>
          <w:spacing w:val="-3"/>
        </w:rPr>
        <w:lastRenderedPageBreak/>
        <w:t xml:space="preserve">que </w:t>
      </w:r>
      <w:r w:rsidR="004D63D5" w:rsidRPr="004E4C01">
        <w:rPr>
          <w:spacing w:val="-3"/>
        </w:rPr>
        <w:t xml:space="preserve">el proyecto puede generar </w:t>
      </w:r>
      <w:r w:rsidR="003D35EC" w:rsidRPr="004E4C01">
        <w:rPr>
          <w:spacing w:val="-3"/>
        </w:rPr>
        <w:t>cadenas de causa efecto</w:t>
      </w:r>
      <w:r w:rsidR="003548BC" w:rsidRPr="004E4C01">
        <w:rPr>
          <w:spacing w:val="-3"/>
        </w:rPr>
        <w:t xml:space="preserve">, así como </w:t>
      </w:r>
      <w:r w:rsidR="003D35EC" w:rsidRPr="004E4C01">
        <w:rPr>
          <w:spacing w:val="-3"/>
        </w:rPr>
        <w:t xml:space="preserve">impactos acumulativos </w:t>
      </w:r>
      <w:r w:rsidR="003548BC" w:rsidRPr="004E4C01">
        <w:rPr>
          <w:spacing w:val="-3"/>
        </w:rPr>
        <w:t xml:space="preserve">e impactos </w:t>
      </w:r>
      <w:r w:rsidR="003D35EC" w:rsidRPr="004E4C01">
        <w:rPr>
          <w:spacing w:val="-3"/>
        </w:rPr>
        <w:t>sinérgicos</w:t>
      </w:r>
      <w:r w:rsidR="006E0C3B" w:rsidRPr="004E4C01">
        <w:rPr>
          <w:spacing w:val="-3"/>
        </w:rPr>
        <w:t>.</w:t>
      </w:r>
    </w:p>
    <w:p w14:paraId="22D5F96D" w14:textId="77777777" w:rsidR="006E0C3B" w:rsidRPr="004E4C01" w:rsidRDefault="006E0C3B">
      <w:pPr>
        <w:numPr>
          <w:ilvl w:val="12"/>
          <w:numId w:val="0"/>
        </w:numPr>
        <w:tabs>
          <w:tab w:val="left" w:pos="-2268"/>
        </w:tabs>
        <w:suppressAutoHyphens/>
        <w:rPr>
          <w:spacing w:val="-3"/>
        </w:rPr>
      </w:pPr>
    </w:p>
    <w:p w14:paraId="3677C2C9" w14:textId="12D34200" w:rsidR="00F160F6" w:rsidRPr="004E4C01" w:rsidRDefault="005E1630">
      <w:pPr>
        <w:numPr>
          <w:ilvl w:val="12"/>
          <w:numId w:val="0"/>
        </w:numPr>
        <w:tabs>
          <w:tab w:val="left" w:pos="-2268"/>
        </w:tabs>
        <w:suppressAutoHyphens/>
        <w:rPr>
          <w:spacing w:val="-3"/>
        </w:rPr>
      </w:pPr>
      <w:r w:rsidRPr="004E4C01">
        <w:rPr>
          <w:spacing w:val="-3"/>
        </w:rPr>
        <w:t>Por ello, l</w:t>
      </w:r>
      <w:r w:rsidR="005150DE" w:rsidRPr="004E4C01">
        <w:rPr>
          <w:spacing w:val="-3"/>
        </w:rPr>
        <w:t xml:space="preserve">as medidas de manejo pueden enfocarse tanto en el lugar de manifestación de los impactos, como en </w:t>
      </w:r>
      <w:r w:rsidR="004105F1" w:rsidRPr="004E4C01">
        <w:rPr>
          <w:spacing w:val="-3"/>
        </w:rPr>
        <w:t>los</w:t>
      </w:r>
      <w:r w:rsidR="005150DE" w:rsidRPr="004E4C01">
        <w:rPr>
          <w:spacing w:val="-3"/>
        </w:rPr>
        <w:t xml:space="preserve"> proceso</w:t>
      </w:r>
      <w:r w:rsidR="004105F1" w:rsidRPr="004E4C01">
        <w:rPr>
          <w:spacing w:val="-3"/>
        </w:rPr>
        <w:t>s</w:t>
      </w:r>
      <w:r w:rsidR="005150DE" w:rsidRPr="004E4C01">
        <w:rPr>
          <w:spacing w:val="-3"/>
        </w:rPr>
        <w:t>, actividad</w:t>
      </w:r>
      <w:r w:rsidR="004105F1" w:rsidRPr="004E4C01">
        <w:rPr>
          <w:spacing w:val="-3"/>
        </w:rPr>
        <w:t>es</w:t>
      </w:r>
      <w:r w:rsidR="005150DE" w:rsidRPr="004E4C01">
        <w:rPr>
          <w:spacing w:val="-3"/>
        </w:rPr>
        <w:t xml:space="preserve"> o impacto</w:t>
      </w:r>
      <w:r w:rsidR="004105F1" w:rsidRPr="004E4C01">
        <w:rPr>
          <w:spacing w:val="-3"/>
        </w:rPr>
        <w:t>s</w:t>
      </w:r>
      <w:r w:rsidR="005150DE" w:rsidRPr="004E4C01">
        <w:rPr>
          <w:spacing w:val="-3"/>
        </w:rPr>
        <w:t xml:space="preserve"> que los origina</w:t>
      </w:r>
      <w:r w:rsidR="00A1117E" w:rsidRPr="004E4C01">
        <w:rPr>
          <w:spacing w:val="-3"/>
        </w:rPr>
        <w:t>n</w:t>
      </w:r>
      <w:r w:rsidR="005150DE" w:rsidRPr="004E4C01">
        <w:rPr>
          <w:spacing w:val="-3"/>
        </w:rPr>
        <w:t xml:space="preserve">. </w:t>
      </w:r>
      <w:r w:rsidR="004105F1" w:rsidRPr="004E4C01">
        <w:rPr>
          <w:spacing w:val="-3"/>
        </w:rPr>
        <w:t xml:space="preserve">Es una buena práctica </w:t>
      </w:r>
      <w:r w:rsidR="004105F1" w:rsidRPr="004E4C01">
        <w:rPr>
          <w:rFonts w:cs="Arial"/>
          <w:spacing w:val="-3"/>
        </w:rPr>
        <w:t xml:space="preserve">formular medidas de manejo procurando que éstas </w:t>
      </w:r>
      <w:r w:rsidR="004105F1" w:rsidRPr="004E4C01">
        <w:rPr>
          <w:spacing w:val="-3"/>
        </w:rPr>
        <w:t xml:space="preserve">se orienten </w:t>
      </w:r>
      <w:r w:rsidR="004105F1" w:rsidRPr="004E4C01">
        <w:rPr>
          <w:rFonts w:cs="Arial"/>
          <w:spacing w:val="-3"/>
        </w:rPr>
        <w:t xml:space="preserve">hacia </w:t>
      </w:r>
      <w:r w:rsidR="004105F1" w:rsidRPr="004E4C01">
        <w:rPr>
          <w:spacing w:val="-3"/>
        </w:rPr>
        <w:t>las causas</w:t>
      </w:r>
      <w:r w:rsidR="004105F1" w:rsidRPr="004E4C01">
        <w:rPr>
          <w:rFonts w:cs="Arial"/>
          <w:spacing w:val="-3"/>
        </w:rPr>
        <w:t xml:space="preserve"> que generan los impactos</w:t>
      </w:r>
      <w:r w:rsidR="004105F1" w:rsidRPr="004E4C01">
        <w:rPr>
          <w:spacing w:val="-3"/>
        </w:rPr>
        <w:t xml:space="preserve">, a fin de focalizar los esfuerzos y hacer más efectiva </w:t>
      </w:r>
      <w:r w:rsidR="004105F1" w:rsidRPr="004E4C01">
        <w:rPr>
          <w:rFonts w:cs="Arial"/>
          <w:spacing w:val="-3"/>
        </w:rPr>
        <w:t>su</w:t>
      </w:r>
      <w:r w:rsidR="004105F1" w:rsidRPr="004E4C01">
        <w:rPr>
          <w:spacing w:val="-3"/>
        </w:rPr>
        <w:t xml:space="preserve"> implementación</w:t>
      </w:r>
      <w:r w:rsidR="00A76145" w:rsidRPr="004E4C01">
        <w:rPr>
          <w:spacing w:val="-3"/>
        </w:rPr>
        <w:t>;</w:t>
      </w:r>
      <w:r w:rsidR="00A1117E" w:rsidRPr="004E4C01">
        <w:rPr>
          <w:spacing w:val="-3"/>
        </w:rPr>
        <w:t xml:space="preserve"> </w:t>
      </w:r>
      <w:r w:rsidRPr="004E4C01">
        <w:rPr>
          <w:spacing w:val="-3"/>
        </w:rPr>
        <w:t>de esta forma</w:t>
      </w:r>
      <w:r w:rsidR="00A1117E" w:rsidRPr="004E4C01">
        <w:rPr>
          <w:spacing w:val="-3"/>
        </w:rPr>
        <w:t xml:space="preserve">, </w:t>
      </w:r>
      <w:r w:rsidR="00A76145" w:rsidRPr="004E4C01">
        <w:rPr>
          <w:spacing w:val="-3"/>
        </w:rPr>
        <w:t xml:space="preserve">para formular medidas de manejo ambiental </w:t>
      </w:r>
      <w:r w:rsidR="00390E46" w:rsidRPr="004E4C01">
        <w:rPr>
          <w:spacing w:val="-3"/>
        </w:rPr>
        <w:t xml:space="preserve">es importante recurrir a </w:t>
      </w:r>
      <w:r w:rsidR="00F160F6" w:rsidRPr="004E4C01">
        <w:rPr>
          <w:spacing w:val="-3"/>
        </w:rPr>
        <w:t xml:space="preserve">las relaciones causales </w:t>
      </w:r>
      <w:r w:rsidR="00F74B4C" w:rsidRPr="004E4C01">
        <w:rPr>
          <w:spacing w:val="-3"/>
        </w:rPr>
        <w:t xml:space="preserve">entre </w:t>
      </w:r>
      <w:r w:rsidR="00F160F6" w:rsidRPr="004E4C01">
        <w:rPr>
          <w:spacing w:val="-3"/>
        </w:rPr>
        <w:t>actividades</w:t>
      </w:r>
      <w:r w:rsidR="00F74B4C" w:rsidRPr="004E4C01">
        <w:rPr>
          <w:spacing w:val="-3"/>
        </w:rPr>
        <w:t xml:space="preserve"> e </w:t>
      </w:r>
      <w:r w:rsidR="00F160F6" w:rsidRPr="004E4C01">
        <w:rPr>
          <w:spacing w:val="-3"/>
        </w:rPr>
        <w:t>impactos</w:t>
      </w:r>
      <w:r w:rsidR="00F74B4C" w:rsidRPr="004E4C01">
        <w:rPr>
          <w:spacing w:val="-3"/>
        </w:rPr>
        <w:t>, y entre</w:t>
      </w:r>
      <w:r w:rsidR="00F160F6" w:rsidRPr="004E4C01">
        <w:rPr>
          <w:spacing w:val="-3"/>
        </w:rPr>
        <w:t xml:space="preserve"> impactos</w:t>
      </w:r>
      <w:r w:rsidR="00F74B4C" w:rsidRPr="004E4C01">
        <w:rPr>
          <w:spacing w:val="-3"/>
        </w:rPr>
        <w:t xml:space="preserve"> y otros </w:t>
      </w:r>
      <w:r w:rsidR="00F160F6" w:rsidRPr="004E4C01">
        <w:rPr>
          <w:spacing w:val="-3"/>
        </w:rPr>
        <w:t>impactos (</w:t>
      </w:r>
      <w:r w:rsidR="005D470C" w:rsidRPr="004E4C01">
        <w:rPr>
          <w:spacing w:val="-3"/>
        </w:rPr>
        <w:t>como las que ocurren en</w:t>
      </w:r>
      <w:r w:rsidR="00F160F6" w:rsidRPr="004E4C01">
        <w:rPr>
          <w:spacing w:val="-3"/>
        </w:rPr>
        <w:t xml:space="preserve"> las relaciones de causa</w:t>
      </w:r>
      <w:r w:rsidR="00F160F6" w:rsidRPr="004E4C01">
        <w:rPr>
          <w:rFonts w:cs="Arial"/>
          <w:spacing w:val="-3"/>
        </w:rPr>
        <w:t>-</w:t>
      </w:r>
      <w:r w:rsidR="00F160F6" w:rsidRPr="004E4C01">
        <w:rPr>
          <w:spacing w:val="-3"/>
        </w:rPr>
        <w:t xml:space="preserve">efecto entre impactos directos e indirectos, o </w:t>
      </w:r>
      <w:r w:rsidR="005D470C" w:rsidRPr="004E4C01">
        <w:rPr>
          <w:spacing w:val="-3"/>
        </w:rPr>
        <w:t xml:space="preserve">en </w:t>
      </w:r>
      <w:r w:rsidR="005150DE" w:rsidRPr="004E4C01">
        <w:rPr>
          <w:spacing w:val="-3"/>
        </w:rPr>
        <w:t xml:space="preserve">las </w:t>
      </w:r>
      <w:r w:rsidR="005D470C" w:rsidRPr="004E4C01">
        <w:rPr>
          <w:spacing w:val="-3"/>
        </w:rPr>
        <w:t xml:space="preserve">relaciones </w:t>
      </w:r>
      <w:r w:rsidR="00F160F6" w:rsidRPr="004E4C01">
        <w:rPr>
          <w:spacing w:val="-3"/>
        </w:rPr>
        <w:t>entre varios impactos que producen un impacto sinérgico) identifica</w:t>
      </w:r>
      <w:r w:rsidR="005150DE" w:rsidRPr="004E4C01">
        <w:rPr>
          <w:spacing w:val="-3"/>
        </w:rPr>
        <w:t xml:space="preserve">das </w:t>
      </w:r>
      <w:r w:rsidR="00F160F6" w:rsidRPr="004E4C01">
        <w:rPr>
          <w:spacing w:val="-3"/>
        </w:rPr>
        <w:t xml:space="preserve">y </w:t>
      </w:r>
      <w:r w:rsidR="005150DE" w:rsidRPr="004E4C01">
        <w:rPr>
          <w:spacing w:val="-3"/>
        </w:rPr>
        <w:t xml:space="preserve">descritas </w:t>
      </w:r>
      <w:r w:rsidR="00F160F6" w:rsidRPr="004E4C01">
        <w:rPr>
          <w:spacing w:val="-3"/>
        </w:rPr>
        <w:t xml:space="preserve">en </w:t>
      </w:r>
      <w:r w:rsidR="005150DE" w:rsidRPr="004E4C01">
        <w:rPr>
          <w:spacing w:val="-3"/>
        </w:rPr>
        <w:t xml:space="preserve">el numeral de </w:t>
      </w:r>
      <w:r w:rsidR="00F160F6" w:rsidRPr="004E4C01">
        <w:rPr>
          <w:spacing w:val="-3"/>
        </w:rPr>
        <w:t>evaluación ambiental.</w:t>
      </w:r>
    </w:p>
    <w:p w14:paraId="2B785FFA" w14:textId="77777777" w:rsidR="00F160F6" w:rsidRPr="004E4C01" w:rsidRDefault="00F160F6">
      <w:pPr>
        <w:numPr>
          <w:ilvl w:val="12"/>
          <w:numId w:val="0"/>
        </w:numPr>
        <w:tabs>
          <w:tab w:val="left" w:pos="-2268"/>
        </w:tabs>
        <w:suppressAutoHyphens/>
        <w:rPr>
          <w:spacing w:val="-3"/>
        </w:rPr>
      </w:pPr>
    </w:p>
    <w:p w14:paraId="417325A8" w14:textId="2960736A" w:rsidR="00DA54FC" w:rsidRPr="004E4C01" w:rsidRDefault="00A1117E">
      <w:pPr>
        <w:numPr>
          <w:ilvl w:val="12"/>
          <w:numId w:val="0"/>
        </w:numPr>
        <w:tabs>
          <w:tab w:val="left" w:pos="-2268"/>
        </w:tabs>
        <w:suppressAutoHyphens/>
        <w:rPr>
          <w:spacing w:val="-3"/>
        </w:rPr>
      </w:pPr>
      <w:r w:rsidRPr="004E4C01">
        <w:rPr>
          <w:spacing w:val="-3"/>
        </w:rPr>
        <w:t>Por ejemplo, y</w:t>
      </w:r>
      <w:r w:rsidR="00011465" w:rsidRPr="004E4C01">
        <w:rPr>
          <w:spacing w:val="-3"/>
        </w:rPr>
        <w:t xml:space="preserve"> considerando </w:t>
      </w:r>
      <w:r w:rsidR="00DA54FC" w:rsidRPr="004E4C01">
        <w:rPr>
          <w:spacing w:val="-3"/>
        </w:rPr>
        <w:t xml:space="preserve">que existen impactos que </w:t>
      </w:r>
      <w:r w:rsidR="00DA54FC" w:rsidRPr="004E4C01">
        <w:rPr>
          <w:rFonts w:cs="Arial"/>
          <w:spacing w:val="-3"/>
        </w:rPr>
        <w:t xml:space="preserve">causan impactos indirectos </w:t>
      </w:r>
      <w:r w:rsidR="00DA54FC" w:rsidRPr="004E4C01">
        <w:rPr>
          <w:spacing w:val="-3"/>
        </w:rPr>
        <w:t>en diferentes medios (</w:t>
      </w:r>
      <w:r w:rsidR="00041844" w:rsidRPr="004E4C01">
        <w:rPr>
          <w:rFonts w:cs="Arial"/>
          <w:spacing w:val="-3"/>
        </w:rPr>
        <w:t>p. ej.</w:t>
      </w:r>
      <w:r w:rsidR="00DA54FC" w:rsidRPr="004E4C01">
        <w:rPr>
          <w:spacing w:val="-3"/>
        </w:rPr>
        <w:t xml:space="preserve"> el incremento de un contamina</w:t>
      </w:r>
      <w:r w:rsidR="00634255" w:rsidRPr="004E4C01">
        <w:rPr>
          <w:spacing w:val="-3"/>
        </w:rPr>
        <w:t>nte en un cuerpo de agua -</w:t>
      </w:r>
      <w:r w:rsidR="00DA54FC" w:rsidRPr="004E4C01">
        <w:rPr>
          <w:spacing w:val="-3"/>
        </w:rPr>
        <w:t>medio abiótico- puede afectar elementos de los medios abiótico, biótico y socioeconómico)</w:t>
      </w:r>
      <w:r w:rsidR="008442F1" w:rsidRPr="004E4C01">
        <w:rPr>
          <w:spacing w:val="-3"/>
        </w:rPr>
        <w:t>,</w:t>
      </w:r>
      <w:r w:rsidR="00DA54FC" w:rsidRPr="004E4C01">
        <w:rPr>
          <w:spacing w:val="-3"/>
        </w:rPr>
        <w:t xml:space="preserve"> componentes </w:t>
      </w:r>
      <w:r w:rsidR="008442F1" w:rsidRPr="004E4C01">
        <w:rPr>
          <w:spacing w:val="-3"/>
        </w:rPr>
        <w:t xml:space="preserve">o factores </w:t>
      </w:r>
      <w:r w:rsidR="00DA54FC" w:rsidRPr="004E4C01">
        <w:rPr>
          <w:spacing w:val="-3"/>
        </w:rPr>
        <w:t>(</w:t>
      </w:r>
      <w:r w:rsidR="00041844" w:rsidRPr="004E4C01">
        <w:rPr>
          <w:rFonts w:cs="Arial"/>
          <w:spacing w:val="-3"/>
        </w:rPr>
        <w:t>p. ej.</w:t>
      </w:r>
      <w:r w:rsidR="00DA54FC" w:rsidRPr="004E4C01">
        <w:rPr>
          <w:spacing w:val="-3"/>
        </w:rPr>
        <w:t xml:space="preserve"> la alteración de las actividades económicas tradicionales de la población puede modificar los componentes económico, demográfico, cultural, entre otros), es necesario que </w:t>
      </w:r>
      <w:r w:rsidRPr="004E4C01">
        <w:rPr>
          <w:spacing w:val="-3"/>
        </w:rPr>
        <w:t xml:space="preserve">sus </w:t>
      </w:r>
      <w:r w:rsidR="00DA54FC" w:rsidRPr="004E4C01">
        <w:rPr>
          <w:spacing w:val="-3"/>
        </w:rPr>
        <w:t xml:space="preserve">medidas propendan por </w:t>
      </w:r>
      <w:r w:rsidR="00026414" w:rsidRPr="004E4C01">
        <w:rPr>
          <w:spacing w:val="-3"/>
        </w:rPr>
        <w:t xml:space="preserve">el manejo </w:t>
      </w:r>
      <w:r w:rsidR="00DA54FC" w:rsidRPr="004E4C01">
        <w:rPr>
          <w:spacing w:val="-3"/>
        </w:rPr>
        <w:t>de sus causas o en su defecto, que se orienten a manejar todos los lugares del área de influencia en los que se presentan dichos impactos.</w:t>
      </w:r>
    </w:p>
    <w:p w14:paraId="1C2008C2" w14:textId="77777777" w:rsidR="00DA54FC" w:rsidRPr="004E4C01" w:rsidRDefault="00DA54FC">
      <w:pPr>
        <w:numPr>
          <w:ilvl w:val="12"/>
          <w:numId w:val="0"/>
        </w:numPr>
        <w:tabs>
          <w:tab w:val="left" w:pos="-2268"/>
        </w:tabs>
        <w:suppressAutoHyphens/>
        <w:rPr>
          <w:spacing w:val="-3"/>
        </w:rPr>
      </w:pPr>
    </w:p>
    <w:p w14:paraId="4B02162F" w14:textId="3B61A9EB" w:rsidR="00F74B4C" w:rsidRPr="004E4C01" w:rsidRDefault="0062694C">
      <w:pPr>
        <w:numPr>
          <w:ilvl w:val="12"/>
          <w:numId w:val="0"/>
        </w:numPr>
        <w:tabs>
          <w:tab w:val="left" w:pos="-2268"/>
        </w:tabs>
        <w:suppressAutoHyphens/>
        <w:rPr>
          <w:spacing w:val="-3"/>
        </w:rPr>
      </w:pPr>
      <w:r w:rsidRPr="004E4C01">
        <w:rPr>
          <w:spacing w:val="-3"/>
        </w:rPr>
        <w:t xml:space="preserve">Es </w:t>
      </w:r>
      <w:r w:rsidR="005E1630" w:rsidRPr="004E4C01">
        <w:rPr>
          <w:spacing w:val="-3"/>
        </w:rPr>
        <w:t>esencial</w:t>
      </w:r>
      <w:r w:rsidRPr="004E4C01">
        <w:rPr>
          <w:spacing w:val="-3"/>
        </w:rPr>
        <w:t xml:space="preserve"> que en plan de manejo ambiental se establezca para cada uno de los impactos que origina el proyecto, obra o actividad, por lo menos una medida de manejo que asegure una efectiva prevención, mitigación, corrección o compensación</w:t>
      </w:r>
      <w:r w:rsidR="008D042C" w:rsidRPr="004E4C01">
        <w:rPr>
          <w:rStyle w:val="Refdenotaalpie"/>
          <w:spacing w:val="-3"/>
          <w:lang w:val="es-CO"/>
        </w:rPr>
        <w:footnoteReference w:id="244"/>
      </w:r>
      <w:r w:rsidRPr="004E4C01">
        <w:rPr>
          <w:spacing w:val="-3"/>
        </w:rPr>
        <w:t xml:space="preserve">; asimismo, </w:t>
      </w:r>
      <w:r w:rsidR="00F160F6" w:rsidRPr="004E4C01">
        <w:rPr>
          <w:spacing w:val="-3"/>
        </w:rPr>
        <w:t xml:space="preserve">se debe tener en cuenta que un impacto puede ser manejado mediante </w:t>
      </w:r>
      <w:r w:rsidR="005D470C" w:rsidRPr="004E4C01">
        <w:rPr>
          <w:spacing w:val="-3"/>
        </w:rPr>
        <w:t xml:space="preserve">más de una </w:t>
      </w:r>
      <w:r w:rsidR="00F160F6" w:rsidRPr="004E4C01">
        <w:rPr>
          <w:spacing w:val="-3"/>
        </w:rPr>
        <w:t>medida</w:t>
      </w:r>
      <w:r w:rsidRPr="004E4C01">
        <w:rPr>
          <w:spacing w:val="-3"/>
        </w:rPr>
        <w:t xml:space="preserve">, y que una misma medida puede ser empleada </w:t>
      </w:r>
      <w:r w:rsidR="00634255" w:rsidRPr="004E4C01">
        <w:rPr>
          <w:spacing w:val="-3"/>
        </w:rPr>
        <w:t xml:space="preserve">para </w:t>
      </w:r>
      <w:r w:rsidRPr="004E4C01">
        <w:rPr>
          <w:spacing w:val="-3"/>
        </w:rPr>
        <w:t>manejar diferentes impactos</w:t>
      </w:r>
      <w:r w:rsidR="00F160F6" w:rsidRPr="004E4C01">
        <w:rPr>
          <w:spacing w:val="-3"/>
        </w:rPr>
        <w:t>.</w:t>
      </w:r>
      <w:r w:rsidR="004B61FB" w:rsidRPr="004E4C01">
        <w:rPr>
          <w:spacing w:val="-3"/>
        </w:rPr>
        <w:t xml:space="preserve"> Incluso, una medida para el manejo de impactos ambientales puede contribuir a los propósitos de otros planes contenidos en el EIA o ser, al mismo tiempo, una medida de reducción del riesgo, de mitigación de GEI o de adaptación al cambio climático, por ejemplo.</w:t>
      </w:r>
    </w:p>
    <w:p w14:paraId="3BDE56CE" w14:textId="77777777" w:rsidR="00F74B4C" w:rsidRPr="004E4C01" w:rsidRDefault="00F74B4C">
      <w:pPr>
        <w:numPr>
          <w:ilvl w:val="12"/>
          <w:numId w:val="0"/>
        </w:numPr>
        <w:tabs>
          <w:tab w:val="left" w:pos="-2268"/>
        </w:tabs>
        <w:suppressAutoHyphens/>
        <w:rPr>
          <w:spacing w:val="-3"/>
        </w:rPr>
      </w:pPr>
    </w:p>
    <w:p w14:paraId="4406D42F" w14:textId="74387508" w:rsidR="00F160F6" w:rsidRPr="004E4C01" w:rsidRDefault="0062694C">
      <w:pPr>
        <w:numPr>
          <w:ilvl w:val="12"/>
          <w:numId w:val="0"/>
        </w:numPr>
        <w:tabs>
          <w:tab w:val="left" w:pos="-2268"/>
        </w:tabs>
        <w:suppressAutoHyphens/>
        <w:rPr>
          <w:spacing w:val="-3"/>
        </w:rPr>
      </w:pPr>
      <w:r w:rsidRPr="004E4C01">
        <w:rPr>
          <w:spacing w:val="-3"/>
        </w:rPr>
        <w:t>A</w:t>
      </w:r>
      <w:r w:rsidR="00F74B4C" w:rsidRPr="004E4C01">
        <w:rPr>
          <w:spacing w:val="-3"/>
        </w:rPr>
        <w:t>dicionalmente, para formula</w:t>
      </w:r>
      <w:r w:rsidR="00DA54FC" w:rsidRPr="004E4C01">
        <w:rPr>
          <w:spacing w:val="-3"/>
        </w:rPr>
        <w:t xml:space="preserve">r </w:t>
      </w:r>
      <w:r w:rsidR="00F74B4C" w:rsidRPr="004E4C01">
        <w:rPr>
          <w:spacing w:val="-3"/>
        </w:rPr>
        <w:t xml:space="preserve">las </w:t>
      </w:r>
      <w:r w:rsidR="00F160F6" w:rsidRPr="004E4C01">
        <w:rPr>
          <w:spacing w:val="-3"/>
        </w:rPr>
        <w:t>medidas de manejo</w:t>
      </w:r>
      <w:r w:rsidR="00DA54FC" w:rsidRPr="004E4C01">
        <w:rPr>
          <w:spacing w:val="-3"/>
        </w:rPr>
        <w:t xml:space="preserve"> se debe tener en cuenta</w:t>
      </w:r>
      <w:r w:rsidR="00F160F6" w:rsidRPr="004E4C01">
        <w:rPr>
          <w:spacing w:val="-3"/>
        </w:rPr>
        <w:t xml:space="preserve"> que la duración de</w:t>
      </w:r>
      <w:r w:rsidR="005E1630" w:rsidRPr="004E4C01">
        <w:rPr>
          <w:spacing w:val="-3"/>
        </w:rPr>
        <w:t xml:space="preserve"> un</w:t>
      </w:r>
      <w:r w:rsidR="00F160F6" w:rsidRPr="004E4C01">
        <w:rPr>
          <w:spacing w:val="-3"/>
        </w:rPr>
        <w:t xml:space="preserve"> impacto no necesariamente coincide con la duración del proyecto, obra o actividad</w:t>
      </w:r>
      <w:r w:rsidR="003866E9" w:rsidRPr="004E4C01">
        <w:rPr>
          <w:spacing w:val="-3"/>
        </w:rPr>
        <w:t xml:space="preserve"> </w:t>
      </w:r>
      <w:r w:rsidR="003866E9" w:rsidRPr="004E4C01">
        <w:rPr>
          <w:rFonts w:cs="Arial"/>
          <w:spacing w:val="-3"/>
        </w:rPr>
        <w:t xml:space="preserve">o </w:t>
      </w:r>
      <w:r w:rsidR="001B2A6D" w:rsidRPr="004E4C01">
        <w:rPr>
          <w:rFonts w:cs="Arial"/>
          <w:spacing w:val="-3"/>
        </w:rPr>
        <w:t xml:space="preserve">con </w:t>
      </w:r>
      <w:r w:rsidR="00F74B4C" w:rsidRPr="004E4C01">
        <w:rPr>
          <w:rFonts w:cs="Arial"/>
          <w:spacing w:val="-3"/>
        </w:rPr>
        <w:t xml:space="preserve">la </w:t>
      </w:r>
      <w:r w:rsidR="003866E9" w:rsidRPr="004E4C01">
        <w:rPr>
          <w:rFonts w:cs="Arial"/>
          <w:spacing w:val="-3"/>
        </w:rPr>
        <w:t xml:space="preserve">de sus </w:t>
      </w:r>
      <w:r w:rsidR="00A3766C">
        <w:rPr>
          <w:spacing w:val="-3"/>
        </w:rPr>
        <w:t>etapas</w:t>
      </w:r>
      <w:r w:rsidR="00A3766C" w:rsidRPr="004E4C01" w:rsidDel="00A3766C">
        <w:rPr>
          <w:rFonts w:cs="Arial"/>
          <w:spacing w:val="-3"/>
        </w:rPr>
        <w:t xml:space="preserve"> </w:t>
      </w:r>
      <w:r w:rsidR="003866E9" w:rsidRPr="004E4C01">
        <w:rPr>
          <w:rFonts w:cs="Arial"/>
          <w:spacing w:val="-3"/>
        </w:rPr>
        <w:t>de ejecución</w:t>
      </w:r>
      <w:r w:rsidR="00F160F6" w:rsidRPr="004E4C01">
        <w:rPr>
          <w:spacing w:val="-3"/>
        </w:rPr>
        <w:t>.</w:t>
      </w:r>
    </w:p>
    <w:p w14:paraId="2FCCAA24" w14:textId="77777777" w:rsidR="003866E9" w:rsidRPr="004E4C01" w:rsidRDefault="003866E9">
      <w:pPr>
        <w:numPr>
          <w:ilvl w:val="12"/>
          <w:numId w:val="0"/>
        </w:numPr>
        <w:tabs>
          <w:tab w:val="left" w:pos="-2268"/>
        </w:tabs>
        <w:suppressAutoHyphens/>
        <w:rPr>
          <w:spacing w:val="-3"/>
        </w:rPr>
      </w:pPr>
    </w:p>
    <w:p w14:paraId="7552F7B9" w14:textId="34EEB7B5" w:rsidR="00287A2E" w:rsidRPr="004E4C01" w:rsidRDefault="00287A2E" w:rsidP="00287A2E">
      <w:pPr>
        <w:numPr>
          <w:ilvl w:val="12"/>
          <w:numId w:val="0"/>
        </w:numPr>
        <w:tabs>
          <w:tab w:val="left" w:pos="-2268"/>
        </w:tabs>
        <w:suppressAutoHyphens/>
        <w:rPr>
          <w:rFonts w:cs="Arial"/>
          <w:spacing w:val="-3"/>
        </w:rPr>
      </w:pPr>
      <w:r w:rsidRPr="004E4C01">
        <w:rPr>
          <w:rFonts w:cs="Arial"/>
          <w:spacing w:val="-3"/>
        </w:rPr>
        <w:t xml:space="preserve">Si bien </w:t>
      </w:r>
      <w:r w:rsidR="005B1924" w:rsidRPr="004E4C01">
        <w:rPr>
          <w:rFonts w:cs="Arial"/>
          <w:spacing w:val="-3"/>
        </w:rPr>
        <w:t xml:space="preserve">en la evaluación ambiental </w:t>
      </w:r>
      <w:r w:rsidR="00DD617C" w:rsidRPr="004E4C01">
        <w:rPr>
          <w:rFonts w:cs="Arial"/>
          <w:spacing w:val="-3"/>
        </w:rPr>
        <w:t xml:space="preserve">no se permite el uso de </w:t>
      </w:r>
      <w:r w:rsidRPr="004E4C01">
        <w:rPr>
          <w:rFonts w:cs="Arial"/>
          <w:spacing w:val="-3"/>
        </w:rPr>
        <w:t xml:space="preserve">ciertos atributos para </w:t>
      </w:r>
      <w:r w:rsidR="005B1924" w:rsidRPr="004E4C01">
        <w:rPr>
          <w:rFonts w:cs="Arial"/>
          <w:spacing w:val="-3"/>
        </w:rPr>
        <w:t xml:space="preserve">determinar </w:t>
      </w:r>
      <w:r w:rsidR="00292F5A" w:rsidRPr="004E4C01">
        <w:rPr>
          <w:rFonts w:cs="Arial"/>
          <w:spacing w:val="-3"/>
        </w:rPr>
        <w:t xml:space="preserve">los </w:t>
      </w:r>
      <w:r w:rsidRPr="004E4C01">
        <w:rPr>
          <w:rFonts w:cs="Arial"/>
          <w:spacing w:val="-3"/>
        </w:rPr>
        <w:t xml:space="preserve">impactos ambientales significativos, tales atributos y sus calificaciones deben </w:t>
      </w:r>
      <w:r w:rsidR="001B2A6D" w:rsidRPr="004E4C01">
        <w:rPr>
          <w:rFonts w:cs="Arial"/>
          <w:spacing w:val="-3"/>
        </w:rPr>
        <w:t xml:space="preserve">emplearse </w:t>
      </w:r>
      <w:r w:rsidRPr="004E4C01">
        <w:rPr>
          <w:rFonts w:cs="Arial"/>
          <w:spacing w:val="-3"/>
        </w:rPr>
        <w:lastRenderedPageBreak/>
        <w:t>como insumo para la formulación de las medidas de manejo. Por ejemplo, los atributos que señalan el tiempo que tarda en manifestarse el impacto luego de la ejecución de la actividad impactante (</w:t>
      </w:r>
      <w:r w:rsidR="00041844" w:rsidRPr="004E4C01">
        <w:rPr>
          <w:rFonts w:cs="Arial"/>
          <w:spacing w:val="-3"/>
        </w:rPr>
        <w:t>p. ej.</w:t>
      </w:r>
      <w:r w:rsidRPr="004E4C01">
        <w:rPr>
          <w:rFonts w:cs="Arial"/>
          <w:spacing w:val="-3"/>
        </w:rPr>
        <w:t xml:space="preserve"> momento</w:t>
      </w:r>
      <w:r w:rsidR="00026414" w:rsidRPr="004E4C01">
        <w:rPr>
          <w:rFonts w:cs="Arial"/>
          <w:spacing w:val="-3"/>
        </w:rPr>
        <w:t xml:space="preserve"> y</w:t>
      </w:r>
      <w:r w:rsidRPr="004E4C01">
        <w:rPr>
          <w:rFonts w:cs="Arial"/>
          <w:spacing w:val="-3"/>
        </w:rPr>
        <w:t xml:space="preserve"> evolución), deben utilizarse </w:t>
      </w:r>
      <w:r w:rsidR="00026414" w:rsidRPr="004E4C01">
        <w:rPr>
          <w:rFonts w:cs="Arial"/>
          <w:spacing w:val="-3"/>
        </w:rPr>
        <w:t xml:space="preserve">a fin de </w:t>
      </w:r>
      <w:r w:rsidRPr="004E4C01">
        <w:rPr>
          <w:rFonts w:cs="Arial"/>
          <w:spacing w:val="-3"/>
        </w:rPr>
        <w:t xml:space="preserve">establecer el momento más adecuado para aplicar las medidas de manejo; asimismo, los atributos usados para describir la posibilidad de recuperar las condiciones ambientales mediante acciones humanas, deben </w:t>
      </w:r>
      <w:r w:rsidR="00292F5A" w:rsidRPr="004E4C01">
        <w:rPr>
          <w:rFonts w:cs="Arial"/>
          <w:spacing w:val="-3"/>
        </w:rPr>
        <w:t>emplearse</w:t>
      </w:r>
      <w:r w:rsidRPr="004E4C01">
        <w:rPr>
          <w:rFonts w:cs="Arial"/>
          <w:spacing w:val="-3"/>
        </w:rPr>
        <w:t xml:space="preserve"> para identificar los impactos que pueden ser manejados mediante medidas de restauración; y los atributos dirigidos a diferenciar impactos directos e indirectos, deben utilizarse para </w:t>
      </w:r>
      <w:r w:rsidR="001B2A6D" w:rsidRPr="004E4C01">
        <w:rPr>
          <w:rFonts w:cs="Arial"/>
          <w:spacing w:val="-3"/>
        </w:rPr>
        <w:t xml:space="preserve">asegurar </w:t>
      </w:r>
      <w:r w:rsidRPr="004E4C01">
        <w:rPr>
          <w:rFonts w:cs="Arial"/>
          <w:spacing w:val="-3"/>
        </w:rPr>
        <w:t xml:space="preserve">que las medidas incidan en el elemento de la cadena causal que garantice </w:t>
      </w:r>
      <w:r w:rsidR="005C6652" w:rsidRPr="004E4C01">
        <w:rPr>
          <w:rFonts w:cs="Arial"/>
          <w:spacing w:val="-3"/>
        </w:rPr>
        <w:t>la</w:t>
      </w:r>
      <w:r w:rsidRPr="004E4C01">
        <w:rPr>
          <w:rFonts w:cs="Arial"/>
          <w:spacing w:val="-3"/>
        </w:rPr>
        <w:t xml:space="preserve"> mejor </w:t>
      </w:r>
      <w:r w:rsidR="005C6652" w:rsidRPr="004E4C01">
        <w:rPr>
          <w:rFonts w:cs="Arial"/>
          <w:spacing w:val="-3"/>
        </w:rPr>
        <w:t xml:space="preserve">gestión </w:t>
      </w:r>
      <w:r w:rsidRPr="004E4C01">
        <w:rPr>
          <w:rFonts w:cs="Arial"/>
          <w:spacing w:val="-3"/>
        </w:rPr>
        <w:t>de los impactos.</w:t>
      </w:r>
    </w:p>
    <w:p w14:paraId="6FE54162" w14:textId="77777777" w:rsidR="003149E5" w:rsidRPr="004E4C01" w:rsidRDefault="003149E5">
      <w:pPr>
        <w:numPr>
          <w:ilvl w:val="12"/>
          <w:numId w:val="0"/>
        </w:numPr>
        <w:tabs>
          <w:tab w:val="left" w:pos="-2268"/>
        </w:tabs>
        <w:suppressAutoHyphens/>
        <w:rPr>
          <w:spacing w:val="-3"/>
        </w:rPr>
      </w:pPr>
    </w:p>
    <w:p w14:paraId="2E25C676" w14:textId="75BFC84E" w:rsidR="006E3AB7" w:rsidRPr="004E4C01" w:rsidRDefault="006E3AB7">
      <w:pPr>
        <w:numPr>
          <w:ilvl w:val="12"/>
          <w:numId w:val="0"/>
        </w:numPr>
        <w:tabs>
          <w:tab w:val="left" w:pos="-2268"/>
        </w:tabs>
        <w:suppressAutoHyphens/>
        <w:rPr>
          <w:spacing w:val="-3"/>
        </w:rPr>
      </w:pPr>
      <w:r w:rsidRPr="004E4C01">
        <w:rPr>
          <w:spacing w:val="-3"/>
        </w:rPr>
        <w:t xml:space="preserve">Es importante tener en cuenta que la aplicación de algunas medidas de manejo para la gestión de los impactos que el proyecto, obra o actividad genera con el normal desarrollo de sus actividades puede resultar </w:t>
      </w:r>
      <w:r w:rsidR="008D042C" w:rsidRPr="004E4C01">
        <w:rPr>
          <w:spacing w:val="-3"/>
        </w:rPr>
        <w:t xml:space="preserve">útil </w:t>
      </w:r>
      <w:r w:rsidRPr="004E4C01">
        <w:rPr>
          <w:spacing w:val="-3"/>
        </w:rPr>
        <w:t>para la reducción del riesgo</w:t>
      </w:r>
      <w:r w:rsidR="005E1630" w:rsidRPr="004E4C01">
        <w:rPr>
          <w:spacing w:val="-3"/>
        </w:rPr>
        <w:t>;</w:t>
      </w:r>
      <w:r w:rsidRPr="004E4C01">
        <w:rPr>
          <w:spacing w:val="-3"/>
        </w:rPr>
        <w:t xml:space="preserve"> </w:t>
      </w:r>
      <w:r w:rsidR="005E1630" w:rsidRPr="004E4C01">
        <w:rPr>
          <w:spacing w:val="-3"/>
        </w:rPr>
        <w:t>por ello,</w:t>
      </w:r>
      <w:r w:rsidRPr="004E4C01">
        <w:rPr>
          <w:spacing w:val="-3"/>
        </w:rPr>
        <w:t xml:space="preserve"> es importante </w:t>
      </w:r>
      <w:r w:rsidR="00925E03" w:rsidRPr="004E4C01">
        <w:rPr>
          <w:spacing w:val="-3"/>
        </w:rPr>
        <w:t xml:space="preserve">que cuando sea posible, se </w:t>
      </w:r>
      <w:r w:rsidRPr="004E4C01">
        <w:rPr>
          <w:spacing w:val="-3"/>
        </w:rPr>
        <w:t>articul</w:t>
      </w:r>
      <w:r w:rsidR="00925E03" w:rsidRPr="004E4C01">
        <w:rPr>
          <w:spacing w:val="-3"/>
        </w:rPr>
        <w:t>e</w:t>
      </w:r>
      <w:r w:rsidRPr="004E4C01">
        <w:rPr>
          <w:spacing w:val="-3"/>
        </w:rPr>
        <w:t xml:space="preserve"> y armoni</w:t>
      </w:r>
      <w:r w:rsidR="00925E03" w:rsidRPr="004E4C01">
        <w:rPr>
          <w:spacing w:val="-3"/>
        </w:rPr>
        <w:t>ce</w:t>
      </w:r>
      <w:r w:rsidRPr="004E4C01">
        <w:rPr>
          <w:spacing w:val="-3"/>
        </w:rPr>
        <w:t xml:space="preserve"> el plan de manejo ambiental con </w:t>
      </w:r>
      <w:r w:rsidR="006E0850" w:rsidRPr="004E4C01">
        <w:rPr>
          <w:spacing w:val="-3"/>
        </w:rPr>
        <w:t xml:space="preserve">la dimensión ambiental del </w:t>
      </w:r>
      <w:r w:rsidRPr="004E4C01">
        <w:rPr>
          <w:spacing w:val="-3"/>
        </w:rPr>
        <w:t xml:space="preserve">plan de </w:t>
      </w:r>
      <w:r w:rsidR="006E0850" w:rsidRPr="004E4C01">
        <w:rPr>
          <w:spacing w:val="-3"/>
        </w:rPr>
        <w:t>gestión del riesgo</w:t>
      </w:r>
      <w:r w:rsidRPr="004E4C01">
        <w:rPr>
          <w:spacing w:val="-3"/>
        </w:rPr>
        <w:t xml:space="preserve">, no sólo </w:t>
      </w:r>
      <w:r w:rsidR="008D042C" w:rsidRPr="004E4C01">
        <w:rPr>
          <w:spacing w:val="-3"/>
        </w:rPr>
        <w:t xml:space="preserve">con el fin </w:t>
      </w:r>
      <w:r w:rsidRPr="004E4C01">
        <w:rPr>
          <w:spacing w:val="-3"/>
        </w:rPr>
        <w:t xml:space="preserve">de manejar los impactos del proyecto </w:t>
      </w:r>
      <w:r w:rsidR="008D042C" w:rsidRPr="004E4C01">
        <w:rPr>
          <w:spacing w:val="-3"/>
        </w:rPr>
        <w:t xml:space="preserve">y de mitigar y prevenir el riesgo </w:t>
      </w:r>
      <w:r w:rsidRPr="004E4C01">
        <w:rPr>
          <w:spacing w:val="-3"/>
        </w:rPr>
        <w:t xml:space="preserve">de forma eficaz, sino también, de </w:t>
      </w:r>
      <w:r w:rsidR="008D042C" w:rsidRPr="004E4C01">
        <w:rPr>
          <w:spacing w:val="-3"/>
        </w:rPr>
        <w:t xml:space="preserve">ejecutar </w:t>
      </w:r>
      <w:r w:rsidRPr="004E4C01">
        <w:rPr>
          <w:spacing w:val="-3"/>
        </w:rPr>
        <w:t>eficien</w:t>
      </w:r>
      <w:r w:rsidR="008D042C" w:rsidRPr="004E4C01">
        <w:rPr>
          <w:spacing w:val="-3"/>
        </w:rPr>
        <w:t xml:space="preserve">temente </w:t>
      </w:r>
      <w:r w:rsidRPr="004E4C01">
        <w:rPr>
          <w:spacing w:val="-3"/>
        </w:rPr>
        <w:t>ambos planes.</w:t>
      </w:r>
    </w:p>
    <w:p w14:paraId="7A3B7295" w14:textId="77777777" w:rsidR="006E3AB7" w:rsidRPr="004E4C01" w:rsidRDefault="006E3AB7">
      <w:pPr>
        <w:numPr>
          <w:ilvl w:val="12"/>
          <w:numId w:val="0"/>
        </w:numPr>
        <w:tabs>
          <w:tab w:val="left" w:pos="-2268"/>
        </w:tabs>
        <w:suppressAutoHyphens/>
        <w:rPr>
          <w:spacing w:val="-3"/>
        </w:rPr>
      </w:pPr>
    </w:p>
    <w:p w14:paraId="205ACE4F" w14:textId="0456B1C0" w:rsidR="007C5A37" w:rsidRPr="00127BD4" w:rsidRDefault="00782D04">
      <w:pPr>
        <w:numPr>
          <w:ilvl w:val="12"/>
          <w:numId w:val="0"/>
        </w:numPr>
        <w:tabs>
          <w:tab w:val="left" w:pos="-2268"/>
        </w:tabs>
        <w:suppressAutoHyphens/>
        <w:rPr>
          <w:spacing w:val="-3"/>
        </w:rPr>
      </w:pPr>
      <w:r w:rsidRPr="004E4C01">
        <w:rPr>
          <w:spacing w:val="-3"/>
        </w:rPr>
        <w:t>De ser posible, las medidas de manejo de impactos deben ser formuladas procurando que, además de prevenir, mitigar, corregir o compensar los impactos ambientales, contribuyan a la gestión del cambio climático, ya sea mediante la reducción de emisiones de GEI (mitigación) o la disminución de la vulnerabilidad y aumento de la resiliencia de los elementos del ambiente que pueden ser impactados por el proyecto (adaptación)</w:t>
      </w:r>
      <w:r w:rsidRPr="00127BD4">
        <w:rPr>
          <w:spacing w:val="-3"/>
          <w:vertAlign w:val="superscript"/>
        </w:rPr>
        <w:footnoteReference w:id="245"/>
      </w:r>
      <w:r w:rsidRPr="00127BD4">
        <w:rPr>
          <w:spacing w:val="-3"/>
        </w:rPr>
        <w:t xml:space="preserve">. Asimismo, es necesario identificar qué medidas de manejo de impactos son también medidas de mitigación de GEI o de adaptación al cambio climático y, con este fin, se debe describir cómo las medidas de manejo identificadas contribuyen a la gestión del cambio climático, ya sea reduciendo las emisiones o </w:t>
      </w:r>
      <w:r w:rsidRPr="004E4C01">
        <w:rPr>
          <w:spacing w:val="-3"/>
        </w:rPr>
        <w:t>disminuyendo la vulnerabilidad y fortaleciendo la resiliencia frente a los riesgos climáticos</w:t>
      </w:r>
      <w:r w:rsidR="00A21A8C" w:rsidRPr="00127BD4">
        <w:rPr>
          <w:spacing w:val="-3"/>
        </w:rPr>
        <w:t>.</w:t>
      </w:r>
    </w:p>
    <w:p w14:paraId="0D102D95" w14:textId="77777777" w:rsidR="00707832" w:rsidRPr="00127BD4" w:rsidRDefault="00707832">
      <w:pPr>
        <w:numPr>
          <w:ilvl w:val="12"/>
          <w:numId w:val="0"/>
        </w:numPr>
        <w:tabs>
          <w:tab w:val="left" w:pos="-2268"/>
        </w:tabs>
        <w:suppressAutoHyphens/>
        <w:rPr>
          <w:spacing w:val="-3"/>
        </w:rPr>
      </w:pPr>
    </w:p>
    <w:p w14:paraId="6DEAD1F1" w14:textId="4968C8AB" w:rsidR="00F53808" w:rsidRDefault="00F90622" w:rsidP="00BD3851">
      <w:pPr>
        <w:tabs>
          <w:tab w:val="left" w:pos="-2268"/>
        </w:tabs>
        <w:suppressAutoHyphens/>
        <w:rPr>
          <w:spacing w:val="-3"/>
        </w:rPr>
      </w:pPr>
      <w:r w:rsidRPr="004E4C01">
        <w:rPr>
          <w:spacing w:val="-3"/>
        </w:rPr>
        <w:t>Asimismo, l</w:t>
      </w:r>
      <w:r w:rsidR="00BD3851" w:rsidRPr="004E4C01">
        <w:rPr>
          <w:spacing w:val="-3"/>
        </w:rPr>
        <w:t xml:space="preserve">as medidas de manejo deben formularse teniendo en cuenta que es posible que </w:t>
      </w:r>
      <w:r w:rsidR="009658F3" w:rsidRPr="004E4C01">
        <w:rPr>
          <w:spacing w:val="-3"/>
        </w:rPr>
        <w:t xml:space="preserve">en el futuro </w:t>
      </w:r>
      <w:r w:rsidR="00BD3851" w:rsidRPr="004E4C01">
        <w:rPr>
          <w:spacing w:val="-3"/>
        </w:rPr>
        <w:t>las actividades económicas</w:t>
      </w:r>
      <w:r w:rsidR="009658F3" w:rsidRPr="004E4C01">
        <w:rPr>
          <w:spacing w:val="-3"/>
        </w:rPr>
        <w:t xml:space="preserve"> y </w:t>
      </w:r>
      <w:r w:rsidR="002C7723" w:rsidRPr="004E4C01">
        <w:rPr>
          <w:spacing w:val="-3"/>
        </w:rPr>
        <w:t>los</w:t>
      </w:r>
      <w:r w:rsidR="00BD3851" w:rsidRPr="004E4C01">
        <w:rPr>
          <w:spacing w:val="-3"/>
        </w:rPr>
        <w:t xml:space="preserve"> proyectos con licencia ambiental que se ejecutan en el área de influencia induzcan cambios en las condiciones </w:t>
      </w:r>
      <w:r w:rsidR="003D095F" w:rsidRPr="004E4C01">
        <w:rPr>
          <w:spacing w:val="-3"/>
        </w:rPr>
        <w:t xml:space="preserve">ambientales </w:t>
      </w:r>
      <w:r w:rsidR="00BD3851" w:rsidRPr="004E4C01">
        <w:rPr>
          <w:spacing w:val="-3"/>
        </w:rPr>
        <w:t>que</w:t>
      </w:r>
      <w:r w:rsidR="009658F3" w:rsidRPr="004E4C01">
        <w:rPr>
          <w:spacing w:val="-3"/>
        </w:rPr>
        <w:t>,</w:t>
      </w:r>
      <w:r w:rsidR="00BD3851" w:rsidRPr="004E4C01">
        <w:rPr>
          <w:spacing w:val="-3"/>
        </w:rPr>
        <w:t xml:space="preserve"> </w:t>
      </w:r>
      <w:r w:rsidR="00F07766" w:rsidRPr="004E4C01">
        <w:rPr>
          <w:spacing w:val="-3"/>
        </w:rPr>
        <w:t>a su vez</w:t>
      </w:r>
      <w:r w:rsidR="009658F3" w:rsidRPr="004E4C01">
        <w:rPr>
          <w:spacing w:val="-3"/>
        </w:rPr>
        <w:t>,</w:t>
      </w:r>
      <w:r w:rsidR="00F07766" w:rsidRPr="004E4C01">
        <w:rPr>
          <w:spacing w:val="-3"/>
        </w:rPr>
        <w:t xml:space="preserve"> </w:t>
      </w:r>
      <w:r w:rsidR="00BD3851" w:rsidRPr="004E4C01">
        <w:rPr>
          <w:spacing w:val="-3"/>
        </w:rPr>
        <w:t>exacerb</w:t>
      </w:r>
      <w:r w:rsidR="00F07766" w:rsidRPr="004E4C01">
        <w:rPr>
          <w:spacing w:val="-3"/>
        </w:rPr>
        <w:t>en</w:t>
      </w:r>
      <w:r w:rsidR="00BD3851" w:rsidRPr="004E4C01">
        <w:rPr>
          <w:spacing w:val="-3"/>
        </w:rPr>
        <w:t xml:space="preserve"> los impactos que </w:t>
      </w:r>
      <w:r w:rsidR="009658F3" w:rsidRPr="004E4C01">
        <w:rPr>
          <w:spacing w:val="-3"/>
        </w:rPr>
        <w:t xml:space="preserve">puede </w:t>
      </w:r>
      <w:r w:rsidR="00BD3851" w:rsidRPr="004E4C01">
        <w:rPr>
          <w:spacing w:val="-3"/>
        </w:rPr>
        <w:t>genera</w:t>
      </w:r>
      <w:r w:rsidR="009658F3" w:rsidRPr="004E4C01">
        <w:rPr>
          <w:spacing w:val="-3"/>
        </w:rPr>
        <w:t>r</w:t>
      </w:r>
      <w:r w:rsidR="00BD3851" w:rsidRPr="004E4C01">
        <w:rPr>
          <w:spacing w:val="-3"/>
        </w:rPr>
        <w:t xml:space="preserve"> el proyecto objeto de evaluación, incluso los residuales que </w:t>
      </w:r>
      <w:r w:rsidR="009658F3" w:rsidRPr="004E4C01">
        <w:rPr>
          <w:spacing w:val="-3"/>
        </w:rPr>
        <w:t xml:space="preserve">tienen la capacidad de </w:t>
      </w:r>
      <w:r w:rsidR="00BD3851" w:rsidRPr="004E4C01">
        <w:rPr>
          <w:spacing w:val="-3"/>
        </w:rPr>
        <w:t xml:space="preserve">acumularse o </w:t>
      </w:r>
      <w:r w:rsidR="009658F3" w:rsidRPr="004E4C01">
        <w:rPr>
          <w:spacing w:val="-3"/>
        </w:rPr>
        <w:t xml:space="preserve">de </w:t>
      </w:r>
      <w:r w:rsidR="00BD3851" w:rsidRPr="004E4C01">
        <w:rPr>
          <w:spacing w:val="-3"/>
        </w:rPr>
        <w:t>desencadenar procesos sinérgicos</w:t>
      </w:r>
      <w:bookmarkStart w:id="11087" w:name="_Hlk137123615"/>
      <w:r w:rsidR="00BD3851" w:rsidRPr="004E4C01">
        <w:rPr>
          <w:spacing w:val="-3"/>
        </w:rPr>
        <w:t>.</w:t>
      </w:r>
      <w:bookmarkEnd w:id="11087"/>
    </w:p>
    <w:p w14:paraId="11201882" w14:textId="77777777" w:rsidR="00F53808" w:rsidRDefault="00F53808" w:rsidP="00F53808">
      <w:pPr>
        <w:numPr>
          <w:ilvl w:val="12"/>
          <w:numId w:val="0"/>
        </w:numPr>
        <w:tabs>
          <w:tab w:val="left" w:pos="-2268"/>
        </w:tabs>
        <w:suppressAutoHyphens/>
        <w:rPr>
          <w:spacing w:val="-3"/>
        </w:rPr>
      </w:pPr>
    </w:p>
    <w:p w14:paraId="0F279D96" w14:textId="2AF3E08E" w:rsidR="00F53808" w:rsidRPr="004E4C01" w:rsidRDefault="00F53808" w:rsidP="00F53808">
      <w:pPr>
        <w:numPr>
          <w:ilvl w:val="12"/>
          <w:numId w:val="0"/>
        </w:numPr>
        <w:tabs>
          <w:tab w:val="left" w:pos="-2268"/>
        </w:tabs>
        <w:suppressAutoHyphens/>
        <w:rPr>
          <w:spacing w:val="-3"/>
        </w:rPr>
      </w:pPr>
      <w:r w:rsidRPr="004E4C01">
        <w:rPr>
          <w:spacing w:val="-3"/>
        </w:rPr>
        <w:t xml:space="preserve">Es fundamental que durante los espacios de participación se consulte a las comunidades impactadas acerca de sus objetivos, prioridades o necesidades de planeación, con el fin de que las medidas de compensación se formulen buscando generar aportes a su territorio y </w:t>
      </w:r>
      <w:r w:rsidRPr="004E4C01">
        <w:rPr>
          <w:spacing w:val="-3"/>
        </w:rPr>
        <w:lastRenderedPageBreak/>
        <w:t>promoviendo la participación activa de las comunidades en la toma de decisiones relacionadas con temas ambientales</w:t>
      </w:r>
      <w:r w:rsidR="0088277E">
        <w:rPr>
          <w:spacing w:val="-3"/>
        </w:rPr>
        <w:t>, en caso de que ello sea posible</w:t>
      </w:r>
      <w:r w:rsidRPr="004E4C01">
        <w:rPr>
          <w:spacing w:val="-3"/>
        </w:rPr>
        <w:t>.</w:t>
      </w:r>
    </w:p>
    <w:p w14:paraId="29703EB2" w14:textId="77777777" w:rsidR="00853C7F" w:rsidRPr="004E4C01" w:rsidRDefault="00853C7F" w:rsidP="00853C7F">
      <w:pPr>
        <w:tabs>
          <w:tab w:val="left" w:pos="-2268"/>
        </w:tabs>
        <w:suppressAutoHyphens/>
        <w:rPr>
          <w:spacing w:val="-3"/>
        </w:rPr>
      </w:pPr>
    </w:p>
    <w:p w14:paraId="5221F81F" w14:textId="3E1EC1E7" w:rsidR="00853C7F" w:rsidRPr="004E4C01" w:rsidRDefault="00853C7F" w:rsidP="00127BD4">
      <w:pPr>
        <w:tabs>
          <w:tab w:val="left" w:pos="-2268"/>
        </w:tabs>
        <w:suppressAutoHyphens/>
        <w:rPr>
          <w:spacing w:val="-3"/>
        </w:rPr>
      </w:pPr>
      <w:r w:rsidRPr="004E4C01">
        <w:rPr>
          <w:spacing w:val="-3"/>
        </w:rPr>
        <w:t>Además de atender los impactos ambientales conforme a la jerarquía de la mitigación, las medidas de manejo cont</w:t>
      </w:r>
      <w:r w:rsidR="00596DE0">
        <w:rPr>
          <w:spacing w:val="-3"/>
        </w:rPr>
        <w:t xml:space="preserve">ribuyen a la </w:t>
      </w:r>
      <w:r w:rsidRPr="004E4C01">
        <w:rPr>
          <w:spacing w:val="-3"/>
        </w:rPr>
        <w:t>materializa</w:t>
      </w:r>
      <w:r w:rsidR="00596DE0">
        <w:rPr>
          <w:spacing w:val="-3"/>
        </w:rPr>
        <w:t>ción d</w:t>
      </w:r>
      <w:r w:rsidRPr="004E4C01">
        <w:rPr>
          <w:spacing w:val="-3"/>
        </w:rPr>
        <w:t xml:space="preserve">el principio de debida diligencia en materia de derechos humanos y </w:t>
      </w:r>
      <w:r w:rsidR="00C778AD">
        <w:rPr>
          <w:spacing w:val="-3"/>
        </w:rPr>
        <w:t xml:space="preserve">a la </w:t>
      </w:r>
      <w:r>
        <w:rPr>
          <w:spacing w:val="-3"/>
        </w:rPr>
        <w:t>preve</w:t>
      </w:r>
      <w:r w:rsidR="00C778AD">
        <w:rPr>
          <w:spacing w:val="-3"/>
        </w:rPr>
        <w:t>nción d</w:t>
      </w:r>
      <w:r w:rsidRPr="004E4C01">
        <w:rPr>
          <w:spacing w:val="-3"/>
        </w:rPr>
        <w:t xml:space="preserve">el riesgo o vulneración de derechos humanos por el desarrollo del proyecto. Con este propósito, es necesario </w:t>
      </w:r>
      <w:r>
        <w:rPr>
          <w:spacing w:val="-3"/>
        </w:rPr>
        <w:t xml:space="preserve">que la formulación de las medidas </w:t>
      </w:r>
      <w:r w:rsidRPr="004E4C01">
        <w:rPr>
          <w:spacing w:val="-3"/>
        </w:rPr>
        <w:t>consider</w:t>
      </w:r>
      <w:r>
        <w:rPr>
          <w:spacing w:val="-3"/>
        </w:rPr>
        <w:t>e</w:t>
      </w:r>
      <w:r w:rsidRPr="004E4C01">
        <w:rPr>
          <w:spacing w:val="-3"/>
        </w:rPr>
        <w:t xml:space="preserve"> las particularidades de los titulares de derechos que podrían verse afectados</w:t>
      </w:r>
      <w:r w:rsidR="00C9413D">
        <w:rPr>
          <w:spacing w:val="-3"/>
        </w:rPr>
        <w:t xml:space="preserve"> (</w:t>
      </w:r>
      <w:r w:rsidR="00B55CED">
        <w:rPr>
          <w:spacing w:val="-3"/>
        </w:rPr>
        <w:t xml:space="preserve">por ejemplo, </w:t>
      </w:r>
      <w:r w:rsidR="00C9413D" w:rsidRPr="00C9413D">
        <w:rPr>
          <w:spacing w:val="-3"/>
        </w:rPr>
        <w:t xml:space="preserve">la cantidad </w:t>
      </w:r>
      <w:r w:rsidR="00B55CED">
        <w:rPr>
          <w:spacing w:val="-3"/>
        </w:rPr>
        <w:t xml:space="preserve">total de personas </w:t>
      </w:r>
      <w:r w:rsidR="00C9413D" w:rsidRPr="00C9413D">
        <w:rPr>
          <w:spacing w:val="-3"/>
        </w:rPr>
        <w:t xml:space="preserve">y </w:t>
      </w:r>
      <w:r w:rsidR="00B55CED">
        <w:rPr>
          <w:spacing w:val="-3"/>
        </w:rPr>
        <w:t xml:space="preserve">los </w:t>
      </w:r>
      <w:r w:rsidR="00C9413D" w:rsidRPr="00C9413D">
        <w:rPr>
          <w:spacing w:val="-3"/>
        </w:rPr>
        <w:t>tipos de beneficiarios de SSEE</w:t>
      </w:r>
      <w:r w:rsidR="00C9413D">
        <w:rPr>
          <w:spacing w:val="-3"/>
        </w:rPr>
        <w:t>)</w:t>
      </w:r>
      <w:r w:rsidRPr="004E4C01">
        <w:rPr>
          <w:spacing w:val="-3"/>
        </w:rPr>
        <w:t>, especialmente, de los sujetos de especial protección constitucional y de quienes dependen de los servicios ecosistémicos.</w:t>
      </w:r>
      <w:r w:rsidR="00B55CED">
        <w:rPr>
          <w:spacing w:val="-3"/>
        </w:rPr>
        <w:t xml:space="preserve"> </w:t>
      </w:r>
      <w:r w:rsidR="008C520C">
        <w:rPr>
          <w:spacing w:val="-3"/>
        </w:rPr>
        <w:t>Aun cuando la formulación de medidas considera estas particul</w:t>
      </w:r>
      <w:r w:rsidR="00910443">
        <w:rPr>
          <w:spacing w:val="-3"/>
        </w:rPr>
        <w:t>a</w:t>
      </w:r>
      <w:r w:rsidR="008C520C">
        <w:rPr>
          <w:spacing w:val="-3"/>
        </w:rPr>
        <w:t xml:space="preserve">ridades, </w:t>
      </w:r>
      <w:r w:rsidR="00910443">
        <w:rPr>
          <w:spacing w:val="-3"/>
        </w:rPr>
        <w:t xml:space="preserve">no </w:t>
      </w:r>
      <w:r w:rsidR="00085772">
        <w:rPr>
          <w:spacing w:val="-3"/>
        </w:rPr>
        <w:t xml:space="preserve">es necesario </w:t>
      </w:r>
      <w:r w:rsidR="00910443">
        <w:rPr>
          <w:spacing w:val="-3"/>
        </w:rPr>
        <w:t xml:space="preserve">formular medidas de forma diferenciada </w:t>
      </w:r>
      <w:r w:rsidR="00735C61">
        <w:rPr>
          <w:spacing w:val="-3"/>
        </w:rPr>
        <w:t xml:space="preserve">según el tipo de población </w:t>
      </w:r>
      <w:r w:rsidR="00910443">
        <w:rPr>
          <w:spacing w:val="-3"/>
        </w:rPr>
        <w:t xml:space="preserve">para cada </w:t>
      </w:r>
      <w:r w:rsidR="005F2A5E">
        <w:rPr>
          <w:spacing w:val="-3"/>
        </w:rPr>
        <w:t>impacto.</w:t>
      </w:r>
    </w:p>
    <w:p w14:paraId="501A254F" w14:textId="77777777" w:rsidR="00E311D9" w:rsidRPr="004E4C01" w:rsidRDefault="00E311D9" w:rsidP="00853C7F">
      <w:pPr>
        <w:numPr>
          <w:ilvl w:val="12"/>
          <w:numId w:val="0"/>
        </w:numPr>
        <w:tabs>
          <w:tab w:val="left" w:pos="-2268"/>
        </w:tabs>
        <w:suppressAutoHyphens/>
        <w:rPr>
          <w:spacing w:val="-3"/>
        </w:rPr>
      </w:pPr>
    </w:p>
    <w:p w14:paraId="48CDFD15" w14:textId="078EC0F6" w:rsidR="00BE6BD2" w:rsidRPr="004E4C01" w:rsidRDefault="009C5067" w:rsidP="00127BD4">
      <w:pPr>
        <w:tabs>
          <w:tab w:val="left" w:pos="-2268"/>
        </w:tabs>
        <w:suppressAutoHyphens/>
        <w:rPr>
          <w:spacing w:val="-3"/>
        </w:rPr>
      </w:pPr>
      <w:r>
        <w:rPr>
          <w:spacing w:val="-3"/>
        </w:rPr>
        <w:t>Asimismo</w:t>
      </w:r>
      <w:r w:rsidR="00853C7F">
        <w:rPr>
          <w:spacing w:val="-3"/>
        </w:rPr>
        <w:t>, s</w:t>
      </w:r>
      <w:r w:rsidR="00853C7F" w:rsidRPr="004E4C01">
        <w:rPr>
          <w:spacing w:val="-3"/>
        </w:rPr>
        <w:t xml:space="preserve">e debe </w:t>
      </w:r>
      <w:r w:rsidR="00853C7F">
        <w:rPr>
          <w:spacing w:val="-3"/>
        </w:rPr>
        <w:t>argumentar</w:t>
      </w:r>
      <w:r w:rsidR="00853C7F" w:rsidRPr="004E4C01">
        <w:rPr>
          <w:spacing w:val="-3"/>
        </w:rPr>
        <w:t xml:space="preserve"> </w:t>
      </w:r>
      <w:r w:rsidR="00853C7F">
        <w:rPr>
          <w:spacing w:val="-3"/>
        </w:rPr>
        <w:t xml:space="preserve">cómo </w:t>
      </w:r>
      <w:r w:rsidR="00853C7F" w:rsidRPr="004E4C01">
        <w:rPr>
          <w:spacing w:val="-3"/>
        </w:rPr>
        <w:t xml:space="preserve">cada una de las medidas de manejo de los impactos ambientales que </w:t>
      </w:r>
      <w:r w:rsidR="00C774D2">
        <w:rPr>
          <w:spacing w:val="-3"/>
        </w:rPr>
        <w:t>incid</w:t>
      </w:r>
      <w:r w:rsidR="00493862">
        <w:rPr>
          <w:spacing w:val="-3"/>
        </w:rPr>
        <w:t xml:space="preserve">en </w:t>
      </w:r>
      <w:r w:rsidR="00C774D2">
        <w:rPr>
          <w:spacing w:val="-3"/>
        </w:rPr>
        <w:t>negativamente en los derechos humanos</w:t>
      </w:r>
      <w:r w:rsidR="00853C7F" w:rsidRPr="004E4C01">
        <w:rPr>
          <w:spacing w:val="-3"/>
        </w:rPr>
        <w:t xml:space="preserve">, </w:t>
      </w:r>
      <w:r w:rsidR="00853C7F">
        <w:rPr>
          <w:spacing w:val="-3"/>
        </w:rPr>
        <w:t>previene</w:t>
      </w:r>
      <w:r w:rsidR="00493862">
        <w:rPr>
          <w:spacing w:val="-3"/>
        </w:rPr>
        <w:t>n</w:t>
      </w:r>
      <w:r w:rsidR="00487575">
        <w:rPr>
          <w:spacing w:val="-3"/>
        </w:rPr>
        <w:t xml:space="preserve"> tal </w:t>
      </w:r>
      <w:r w:rsidR="00FE1BCE">
        <w:rPr>
          <w:spacing w:val="-3"/>
        </w:rPr>
        <w:t>afectación</w:t>
      </w:r>
      <w:r w:rsidR="00853C7F" w:rsidRPr="004E4C01">
        <w:rPr>
          <w:spacing w:val="-3"/>
        </w:rPr>
        <w:t>.</w:t>
      </w:r>
      <w:r w:rsidR="00853C7F">
        <w:rPr>
          <w:spacing w:val="-3"/>
        </w:rPr>
        <w:t xml:space="preserve"> </w:t>
      </w:r>
      <w:r w:rsidR="00853C7F" w:rsidRPr="007D4158">
        <w:rPr>
          <w:spacing w:val="-3"/>
        </w:rPr>
        <w:t xml:space="preserve">Este análisis argumentativo </w:t>
      </w:r>
      <w:r w:rsidR="001305BF">
        <w:rPr>
          <w:spacing w:val="-3"/>
        </w:rPr>
        <w:t xml:space="preserve">debe </w:t>
      </w:r>
      <w:r w:rsidR="00D06542">
        <w:rPr>
          <w:spacing w:val="-3"/>
        </w:rPr>
        <w:t xml:space="preserve">partir de la capacidad de </w:t>
      </w:r>
      <w:r w:rsidR="00116CD1">
        <w:rPr>
          <w:spacing w:val="-3"/>
        </w:rPr>
        <w:t>las medidas para prevenir, mitigar, corregir o com</w:t>
      </w:r>
      <w:r w:rsidR="00685482">
        <w:rPr>
          <w:spacing w:val="-3"/>
        </w:rPr>
        <w:t>p</w:t>
      </w:r>
      <w:r w:rsidR="00116CD1">
        <w:rPr>
          <w:spacing w:val="-3"/>
        </w:rPr>
        <w:t>en</w:t>
      </w:r>
      <w:r w:rsidR="00685482">
        <w:rPr>
          <w:spacing w:val="-3"/>
        </w:rPr>
        <w:t>s</w:t>
      </w:r>
      <w:r w:rsidR="00116CD1">
        <w:rPr>
          <w:spacing w:val="-3"/>
        </w:rPr>
        <w:t xml:space="preserve">ar los impactos ambientales </w:t>
      </w:r>
      <w:r w:rsidR="00731F91">
        <w:rPr>
          <w:spacing w:val="-3"/>
        </w:rPr>
        <w:t xml:space="preserve">y, </w:t>
      </w:r>
      <w:r w:rsidR="001305BF">
        <w:rPr>
          <w:spacing w:val="-3"/>
        </w:rPr>
        <w:t>bas</w:t>
      </w:r>
      <w:r w:rsidR="00731F91">
        <w:rPr>
          <w:spacing w:val="-3"/>
        </w:rPr>
        <w:t xml:space="preserve">ándose </w:t>
      </w:r>
      <w:r w:rsidR="001305BF">
        <w:rPr>
          <w:spacing w:val="-3"/>
        </w:rPr>
        <w:t xml:space="preserve">en la </w:t>
      </w:r>
      <w:r w:rsidR="00835080">
        <w:rPr>
          <w:spacing w:val="-3"/>
        </w:rPr>
        <w:t>relación entre el derecho a gozar de un ambiente sano y l</w:t>
      </w:r>
      <w:r w:rsidR="00206835">
        <w:rPr>
          <w:spacing w:val="-3"/>
        </w:rPr>
        <w:t>o</w:t>
      </w:r>
      <w:r w:rsidR="00835080">
        <w:rPr>
          <w:spacing w:val="-3"/>
        </w:rPr>
        <w:t>s derechos humanos conexos</w:t>
      </w:r>
      <w:r w:rsidR="00034250">
        <w:rPr>
          <w:spacing w:val="-3"/>
        </w:rPr>
        <w:t>,</w:t>
      </w:r>
      <w:r w:rsidR="00835080">
        <w:rPr>
          <w:spacing w:val="-3"/>
        </w:rPr>
        <w:t xml:space="preserve"> </w:t>
      </w:r>
      <w:r w:rsidR="00685482">
        <w:rPr>
          <w:spacing w:val="-3"/>
        </w:rPr>
        <w:t xml:space="preserve">resaltar </w:t>
      </w:r>
      <w:r w:rsidR="00210FB1">
        <w:rPr>
          <w:spacing w:val="-3"/>
        </w:rPr>
        <w:t xml:space="preserve">cómo </w:t>
      </w:r>
      <w:r w:rsidR="002648E6">
        <w:rPr>
          <w:spacing w:val="-3"/>
        </w:rPr>
        <w:t xml:space="preserve">las medidas </w:t>
      </w:r>
      <w:r w:rsidR="00210FB1">
        <w:rPr>
          <w:spacing w:val="-3"/>
        </w:rPr>
        <w:t xml:space="preserve">previenen los impactos </w:t>
      </w:r>
      <w:r w:rsidR="00E93E99">
        <w:rPr>
          <w:spacing w:val="-3"/>
        </w:rPr>
        <w:t xml:space="preserve">negativos </w:t>
      </w:r>
      <w:r w:rsidR="00210FB1">
        <w:rPr>
          <w:spacing w:val="-3"/>
        </w:rPr>
        <w:t>y riesgos a los derechos humanos; el análisis</w:t>
      </w:r>
      <w:r w:rsidR="00835080">
        <w:rPr>
          <w:spacing w:val="-3"/>
        </w:rPr>
        <w:t xml:space="preserve"> </w:t>
      </w:r>
      <w:r w:rsidR="00853C7F" w:rsidRPr="007D4158">
        <w:rPr>
          <w:spacing w:val="-3"/>
        </w:rPr>
        <w:t>puede tener en cuenta, entre otros, la jurisprudencia de tribunales domésticos e internacionales, recomendaciones en derechos humanos y empresas de organizaciones internacionales (p. ej. OCDE, ONU), criterios de responsabilidad social empresarial, buenas prácticas y doctrina en materia de derechos humanos.</w:t>
      </w:r>
    </w:p>
    <w:p w14:paraId="7F03AB13" w14:textId="77777777" w:rsidR="00E93D97" w:rsidRPr="004E4C01" w:rsidRDefault="00E93D97" w:rsidP="003B5CEE">
      <w:pPr>
        <w:tabs>
          <w:tab w:val="left" w:pos="-2268"/>
        </w:tabs>
        <w:suppressAutoHyphens/>
        <w:rPr>
          <w:spacing w:val="-3"/>
        </w:rPr>
      </w:pPr>
    </w:p>
    <w:p w14:paraId="248E6A89" w14:textId="7DDF262B" w:rsidR="00853C7F" w:rsidRPr="004E4C01" w:rsidRDefault="00853C7F" w:rsidP="00853C7F">
      <w:pPr>
        <w:numPr>
          <w:ilvl w:val="12"/>
          <w:numId w:val="0"/>
        </w:numPr>
        <w:tabs>
          <w:tab w:val="left" w:pos="-2268"/>
        </w:tabs>
        <w:suppressAutoHyphens/>
        <w:rPr>
          <w:spacing w:val="-3"/>
        </w:rPr>
      </w:pPr>
      <w:r w:rsidRPr="004E4C01">
        <w:rPr>
          <w:spacing w:val="-3"/>
        </w:rPr>
        <w:t xml:space="preserve">En los casos en los que la Dirección de la Autoridad Nacional de Consulta Previa determine la procedencia de la consulta previa y ésta haya culminado con acuerdos protocolizados previo a la radiación del EIA, las medidas de manejo </w:t>
      </w:r>
      <w:r w:rsidRPr="007D4158">
        <w:rPr>
          <w:i/>
          <w:iCs/>
          <w:spacing w:val="-3"/>
        </w:rPr>
        <w:t>de carácter ambiental</w:t>
      </w:r>
      <w:r w:rsidRPr="004E4C01">
        <w:rPr>
          <w:spacing w:val="-3"/>
        </w:rPr>
        <w:t xml:space="preserve"> asociadas a los impactos del proyecto que resulten de tales acuerdos deben ser incluidas de manera separada o diferencial en el plan de manejo ambiental, por ejemplo, a través de un programa específico. Se debe señalar de forma explícita, cu</w:t>
      </w:r>
      <w:r>
        <w:rPr>
          <w:spacing w:val="-3"/>
        </w:rPr>
        <w:t>á</w:t>
      </w:r>
      <w:r w:rsidRPr="004E4C01">
        <w:rPr>
          <w:spacing w:val="-3"/>
        </w:rPr>
        <w:t>ndo una medida de manejo de carácter ambiental aplica tanto a comunidades étnicas como a comunidades no étnicas.</w:t>
      </w:r>
    </w:p>
    <w:p w14:paraId="2E40F5ED" w14:textId="77777777" w:rsidR="00853C7F" w:rsidRDefault="00853C7F" w:rsidP="003B5CEE">
      <w:pPr>
        <w:tabs>
          <w:tab w:val="left" w:pos="-2268"/>
        </w:tabs>
        <w:suppressAutoHyphens/>
        <w:rPr>
          <w:spacing w:val="-3"/>
        </w:rPr>
      </w:pPr>
    </w:p>
    <w:p w14:paraId="6ABDC825" w14:textId="529FDB4F" w:rsidR="002624C8" w:rsidRPr="003B5CEE" w:rsidRDefault="00E62E82" w:rsidP="00127BD4">
      <w:pPr>
        <w:tabs>
          <w:tab w:val="left" w:pos="-2268"/>
        </w:tabs>
        <w:suppressAutoHyphens/>
        <w:rPr>
          <w:spacing w:val="-3"/>
        </w:rPr>
      </w:pPr>
      <w:r w:rsidRPr="003B5CEE">
        <w:rPr>
          <w:spacing w:val="-3"/>
        </w:rPr>
        <w:t>En caso de que</w:t>
      </w:r>
      <w:r w:rsidR="002624C8" w:rsidRPr="003B5CEE">
        <w:rPr>
          <w:spacing w:val="-3"/>
        </w:rPr>
        <w:t xml:space="preserve"> el área de influencia del proyecto se superponga con las áreas de influencia de proyectos, obras o actividades licenciados,</w:t>
      </w:r>
      <w:r w:rsidR="007D694F" w:rsidRPr="003B5CEE" w:rsidDel="007D694F">
        <w:rPr>
          <w:spacing w:val="-3"/>
        </w:rPr>
        <w:t xml:space="preserve"> </w:t>
      </w:r>
      <w:r w:rsidR="00BD3851" w:rsidRPr="003B5CEE">
        <w:rPr>
          <w:spacing w:val="-3"/>
        </w:rPr>
        <w:t xml:space="preserve">se debe tener en cuenta la forma en que </w:t>
      </w:r>
      <w:r w:rsidR="002624C8" w:rsidRPr="003B5CEE">
        <w:rPr>
          <w:spacing w:val="-3"/>
        </w:rPr>
        <w:t xml:space="preserve">tales proyectos, obras o actividades </w:t>
      </w:r>
      <w:r w:rsidR="00BD3851" w:rsidRPr="003B5CEE">
        <w:rPr>
          <w:spacing w:val="-3"/>
        </w:rPr>
        <w:t>manejan los impactos que pueden acumularse o generar sinergias con los impactos del proyecto de interés</w:t>
      </w:r>
      <w:r w:rsidR="002624C8" w:rsidRPr="003B5CEE">
        <w:rPr>
          <w:spacing w:val="-3"/>
        </w:rPr>
        <w:t xml:space="preserve">, </w:t>
      </w:r>
      <w:r w:rsidR="00BD3851" w:rsidRPr="003B5CEE">
        <w:rPr>
          <w:spacing w:val="-3"/>
        </w:rPr>
        <w:t xml:space="preserve">con el fin de establecer la responsabilidad que le concierne y </w:t>
      </w:r>
      <w:r w:rsidR="0085246D" w:rsidRPr="003B5CEE">
        <w:rPr>
          <w:spacing w:val="-3"/>
        </w:rPr>
        <w:t>en consecuencia,</w:t>
      </w:r>
      <w:r w:rsidR="00BD3851" w:rsidRPr="003B5CEE">
        <w:rPr>
          <w:spacing w:val="-3"/>
        </w:rPr>
        <w:t xml:space="preserve"> formular medidas de </w:t>
      </w:r>
      <w:r w:rsidR="002624C8" w:rsidRPr="003B5CEE">
        <w:rPr>
          <w:spacing w:val="-3"/>
        </w:rPr>
        <w:t xml:space="preserve">manejo </w:t>
      </w:r>
      <w:r w:rsidR="00BD3851" w:rsidRPr="003B5CEE">
        <w:rPr>
          <w:spacing w:val="-3"/>
        </w:rPr>
        <w:t>eficaces</w:t>
      </w:r>
      <w:r w:rsidR="00CA6C43" w:rsidRPr="003B5CEE">
        <w:rPr>
          <w:spacing w:val="-3"/>
        </w:rPr>
        <w:t>,</w:t>
      </w:r>
      <w:r w:rsidR="00BD3851" w:rsidRPr="003B5CEE">
        <w:rPr>
          <w:spacing w:val="-3"/>
        </w:rPr>
        <w:t xml:space="preserve"> </w:t>
      </w:r>
      <w:r w:rsidR="002624C8" w:rsidRPr="003B5CEE">
        <w:rPr>
          <w:spacing w:val="-3"/>
        </w:rPr>
        <w:t>de acuerdo con lo establecido en el artículo 2.2.2.3.6.4 del Decreto 1076 de 2015, o aquella norma que lo modifique o sustituya.</w:t>
      </w:r>
      <w:r w:rsidR="007D694F" w:rsidRPr="003B5CEE">
        <w:rPr>
          <w:spacing w:val="-3"/>
        </w:rPr>
        <w:t xml:space="preserve"> </w:t>
      </w:r>
      <w:r w:rsidR="006C09A4" w:rsidRPr="003B5CEE">
        <w:rPr>
          <w:spacing w:val="-3"/>
        </w:rPr>
        <w:t xml:space="preserve">Esta </w:t>
      </w:r>
      <w:r w:rsidR="006762AB" w:rsidRPr="003B5CEE">
        <w:rPr>
          <w:spacing w:val="-3"/>
        </w:rPr>
        <w:t xml:space="preserve">actividad se </w:t>
      </w:r>
      <w:r w:rsidR="00051C70" w:rsidRPr="003B5CEE">
        <w:rPr>
          <w:spacing w:val="-3"/>
        </w:rPr>
        <w:t xml:space="preserve">debe ejecutar mediante </w:t>
      </w:r>
      <w:r w:rsidR="006762AB" w:rsidRPr="003B5CEE">
        <w:rPr>
          <w:spacing w:val="-3"/>
        </w:rPr>
        <w:t xml:space="preserve">la </w:t>
      </w:r>
      <w:r w:rsidR="006C09A4" w:rsidRPr="003B5CEE">
        <w:rPr>
          <w:spacing w:val="-3"/>
        </w:rPr>
        <w:t xml:space="preserve">revisión </w:t>
      </w:r>
      <w:r w:rsidR="006762AB" w:rsidRPr="003B5CEE">
        <w:rPr>
          <w:spacing w:val="-3"/>
        </w:rPr>
        <w:t xml:space="preserve">de </w:t>
      </w:r>
      <w:r w:rsidR="007D694F" w:rsidRPr="003B5CEE">
        <w:rPr>
          <w:spacing w:val="-3"/>
        </w:rPr>
        <w:t xml:space="preserve">la información </w:t>
      </w:r>
      <w:r w:rsidR="007D694F" w:rsidRPr="003B5CEE">
        <w:rPr>
          <w:spacing w:val="-3"/>
        </w:rPr>
        <w:lastRenderedPageBreak/>
        <w:t>disponible que se consigne en la caracterización ambiental</w:t>
      </w:r>
      <w:r w:rsidR="002F70D0" w:rsidRPr="003B5CEE">
        <w:rPr>
          <w:spacing w:val="-3"/>
        </w:rPr>
        <w:t xml:space="preserve"> y la </w:t>
      </w:r>
      <w:r w:rsidR="007D694F" w:rsidRPr="003B5CEE">
        <w:rPr>
          <w:spacing w:val="-3"/>
        </w:rPr>
        <w:t xml:space="preserve">consulta a entidades </w:t>
      </w:r>
      <w:r w:rsidR="00241CEC" w:rsidRPr="003B5CEE">
        <w:rPr>
          <w:spacing w:val="-3"/>
        </w:rPr>
        <w:t xml:space="preserve">competentes </w:t>
      </w:r>
      <w:r w:rsidR="007D694F" w:rsidRPr="003B5CEE">
        <w:rPr>
          <w:spacing w:val="-3"/>
        </w:rPr>
        <w:t>del Estado</w:t>
      </w:r>
      <w:r w:rsidR="00E44CA5" w:rsidRPr="00127BD4">
        <w:footnoteReference w:id="246"/>
      </w:r>
      <w:r w:rsidR="00AB703B" w:rsidRPr="003B5CEE">
        <w:rPr>
          <w:spacing w:val="-3"/>
        </w:rPr>
        <w:t>.</w:t>
      </w:r>
    </w:p>
    <w:p w14:paraId="119A657D" w14:textId="77777777" w:rsidR="000D18D5" w:rsidRPr="004E4C01" w:rsidRDefault="000D18D5" w:rsidP="00606CE6"/>
    <w:p w14:paraId="5CDB0492" w14:textId="55C7D87A" w:rsidR="00F160F6" w:rsidRPr="004E4C01" w:rsidRDefault="00F160F6" w:rsidP="00F160F6">
      <w:pPr>
        <w:numPr>
          <w:ilvl w:val="12"/>
          <w:numId w:val="0"/>
        </w:numPr>
        <w:tabs>
          <w:tab w:val="left" w:pos="-2268"/>
        </w:tabs>
        <w:suppressAutoHyphens/>
        <w:rPr>
          <w:rFonts w:cs="Arial"/>
          <w:spacing w:val="-3"/>
        </w:rPr>
      </w:pPr>
      <w:r w:rsidRPr="004E4C01">
        <w:rPr>
          <w:rFonts w:cs="Arial"/>
          <w:spacing w:val="-3"/>
        </w:rPr>
        <w:t>Para asegurar la coherencia del EIA y</w:t>
      </w:r>
      <w:r w:rsidR="00292F5A" w:rsidRPr="004E4C01">
        <w:rPr>
          <w:rFonts w:cs="Arial"/>
          <w:spacing w:val="-3"/>
        </w:rPr>
        <w:t xml:space="preserve"> el</w:t>
      </w:r>
      <w:r w:rsidRPr="004E4C01">
        <w:rPr>
          <w:rFonts w:cs="Arial"/>
          <w:spacing w:val="-3"/>
        </w:rPr>
        <w:t xml:space="preserve"> desarrollo lógico y eficaz del proceso de licenciamiento ambiental, es esencial que en </w:t>
      </w:r>
      <w:r w:rsidR="001B2A6D" w:rsidRPr="004E4C01">
        <w:rPr>
          <w:rFonts w:cs="Arial"/>
          <w:spacing w:val="-3"/>
        </w:rPr>
        <w:t xml:space="preserve">el plan </w:t>
      </w:r>
      <w:r w:rsidRPr="004E4C01">
        <w:rPr>
          <w:rFonts w:cs="Arial"/>
          <w:spacing w:val="-3"/>
        </w:rPr>
        <w:t xml:space="preserve">de manejo se enuncien exactamente las mismas denominaciones establecidas en el numeral de evaluación ambiental, tanto para cada impacto específico, como para las categorías estandarizadas en las cuales se agrupan, a fin de dar total claridad sobre cuáles son las medidas </w:t>
      </w:r>
      <w:r w:rsidR="00C26B8E" w:rsidRPr="004E4C01">
        <w:rPr>
          <w:rFonts w:cs="Arial"/>
          <w:spacing w:val="-3"/>
        </w:rPr>
        <w:t xml:space="preserve">que permiten el </w:t>
      </w:r>
      <w:r w:rsidR="005C6652" w:rsidRPr="004E4C01">
        <w:rPr>
          <w:rFonts w:cs="Arial"/>
          <w:spacing w:val="-3"/>
        </w:rPr>
        <w:t xml:space="preserve">manejo </w:t>
      </w:r>
      <w:r w:rsidR="00C26B8E" w:rsidRPr="004E4C01">
        <w:rPr>
          <w:rFonts w:cs="Arial"/>
          <w:spacing w:val="-3"/>
        </w:rPr>
        <w:t xml:space="preserve">de </w:t>
      </w:r>
      <w:r w:rsidRPr="004E4C01">
        <w:rPr>
          <w:rFonts w:cs="Arial"/>
          <w:spacing w:val="-3"/>
        </w:rPr>
        <w:t>un impacto ambiental en particular; asimismo, es necesario que exista congruencia entre los objetivos</w:t>
      </w:r>
      <w:r w:rsidR="00DA54FC" w:rsidRPr="004E4C01">
        <w:rPr>
          <w:rFonts w:cs="Arial"/>
          <w:spacing w:val="-3"/>
        </w:rPr>
        <w:t xml:space="preserve"> </w:t>
      </w:r>
      <w:r w:rsidR="002B5EB0" w:rsidRPr="004E4C01">
        <w:rPr>
          <w:rFonts w:cs="Arial"/>
          <w:spacing w:val="-3"/>
        </w:rPr>
        <w:t xml:space="preserve">de manejo que se planteen y los </w:t>
      </w:r>
      <w:r w:rsidRPr="004E4C01">
        <w:rPr>
          <w:rFonts w:cs="Arial"/>
          <w:spacing w:val="-3"/>
        </w:rPr>
        <w:t xml:space="preserve">indicadores </w:t>
      </w:r>
      <w:r w:rsidR="00292F5A" w:rsidRPr="004E4C01">
        <w:rPr>
          <w:rFonts w:cs="Arial"/>
          <w:spacing w:val="-3"/>
        </w:rPr>
        <w:t>que se estable</w:t>
      </w:r>
      <w:r w:rsidR="002B5EB0" w:rsidRPr="004E4C01">
        <w:rPr>
          <w:rFonts w:cs="Arial"/>
          <w:spacing w:val="-3"/>
        </w:rPr>
        <w:t>zcan para hacer seguimiento</w:t>
      </w:r>
      <w:r w:rsidRPr="004E4C01">
        <w:rPr>
          <w:rFonts w:cs="Arial"/>
          <w:spacing w:val="-3"/>
        </w:rPr>
        <w:t>.</w:t>
      </w:r>
    </w:p>
    <w:p w14:paraId="62AE807D" w14:textId="34D639CF" w:rsidR="00F160F6" w:rsidRDefault="00F160F6" w:rsidP="00076F22">
      <w:pPr>
        <w:numPr>
          <w:ilvl w:val="12"/>
          <w:numId w:val="0"/>
        </w:numPr>
        <w:tabs>
          <w:tab w:val="left" w:pos="-2268"/>
        </w:tabs>
        <w:suppressAutoHyphens/>
        <w:rPr>
          <w:rFonts w:cs="Arial"/>
          <w:spacing w:val="-3"/>
        </w:rPr>
      </w:pPr>
    </w:p>
    <w:p w14:paraId="0F926A08" w14:textId="77777777" w:rsidR="008E78BC" w:rsidRPr="004E4C01" w:rsidRDefault="008E78BC" w:rsidP="008E78BC">
      <w:pPr>
        <w:tabs>
          <w:tab w:val="left" w:pos="-2268"/>
        </w:tabs>
        <w:suppressAutoHyphens/>
        <w:rPr>
          <w:spacing w:val="-3"/>
        </w:rPr>
      </w:pPr>
      <w:r w:rsidRPr="004E4C01">
        <w:rPr>
          <w:spacing w:val="-3"/>
        </w:rPr>
        <w:t xml:space="preserve">La elaboración del plan de manejo ambiental debe asegurar el manejo </w:t>
      </w:r>
      <w:r w:rsidRPr="004E4C01">
        <w:rPr>
          <w:rFonts w:cs="Arial"/>
          <w:spacing w:val="-3"/>
        </w:rPr>
        <w:t>eficaz</w:t>
      </w:r>
      <w:r w:rsidRPr="004E4C01">
        <w:rPr>
          <w:spacing w:val="-3"/>
        </w:rPr>
        <w:t xml:space="preserve"> e integral de todos los impactos ambientales negativos (</w:t>
      </w:r>
      <w:r w:rsidRPr="007D4158">
        <w:rPr>
          <w:spacing w:val="-3"/>
        </w:rPr>
        <w:t xml:space="preserve">es preciso recordar que este plan </w:t>
      </w:r>
      <w:r w:rsidRPr="004E4C01">
        <w:rPr>
          <w:spacing w:val="-3"/>
        </w:rPr>
        <w:t>no aplica para los impactos de carácter positivo), así como considerar los planes de desarrollo regional y local, en caso de existir, así como los planes de ordenamiento ambiental territorial, a fin de buscar coherencia con los mismos.</w:t>
      </w:r>
    </w:p>
    <w:p w14:paraId="435C35E5" w14:textId="77777777" w:rsidR="008E78BC" w:rsidRPr="004E4C01" w:rsidRDefault="008E78BC" w:rsidP="00076F22">
      <w:pPr>
        <w:numPr>
          <w:ilvl w:val="12"/>
          <w:numId w:val="0"/>
        </w:numPr>
        <w:tabs>
          <w:tab w:val="left" w:pos="-2268"/>
        </w:tabs>
        <w:suppressAutoHyphens/>
        <w:rPr>
          <w:rFonts w:cs="Arial"/>
          <w:spacing w:val="-3"/>
        </w:rPr>
      </w:pPr>
    </w:p>
    <w:p w14:paraId="6D8AE24E" w14:textId="060D5518" w:rsidR="00F33A22" w:rsidRPr="004E4C01" w:rsidRDefault="002B5EB0" w:rsidP="00127BD4">
      <w:pPr>
        <w:numPr>
          <w:ilvl w:val="12"/>
          <w:numId w:val="0"/>
        </w:numPr>
        <w:tabs>
          <w:tab w:val="left" w:pos="-2268"/>
        </w:tabs>
        <w:suppressAutoHyphens/>
        <w:rPr>
          <w:spacing w:val="-3"/>
        </w:rPr>
      </w:pPr>
      <w:r w:rsidRPr="004E4C01">
        <w:rPr>
          <w:rFonts w:cs="Arial"/>
          <w:spacing w:val="-3"/>
        </w:rPr>
        <w:t xml:space="preserve">El plan de manejo ambiental </w:t>
      </w:r>
      <w:r w:rsidRPr="004E4C01">
        <w:rPr>
          <w:spacing w:val="-3"/>
        </w:rPr>
        <w:t xml:space="preserve">debe definir </w:t>
      </w:r>
      <w:r w:rsidRPr="004E4C01">
        <w:rPr>
          <w:rFonts w:cs="Arial"/>
          <w:spacing w:val="-3"/>
        </w:rPr>
        <w:t xml:space="preserve">para cada </w:t>
      </w:r>
      <w:r w:rsidR="00B74C10" w:rsidRPr="004E4C01">
        <w:rPr>
          <w:spacing w:val="-3"/>
        </w:rPr>
        <w:t>medida lo siguiente:</w:t>
      </w:r>
    </w:p>
    <w:p w14:paraId="0FA69F8A" w14:textId="77777777" w:rsidR="000414D0" w:rsidRDefault="000414D0" w:rsidP="000414D0">
      <w:pPr>
        <w:rPr>
          <w:spacing w:val="-3"/>
        </w:rPr>
      </w:pPr>
    </w:p>
    <w:p w14:paraId="1583EE3D" w14:textId="719664E6" w:rsidR="00CA1830" w:rsidRPr="00127BD4" w:rsidRDefault="000414D0" w:rsidP="00CA1830">
      <w:pPr>
        <w:numPr>
          <w:ilvl w:val="0"/>
          <w:numId w:val="19"/>
        </w:numPr>
        <w:tabs>
          <w:tab w:val="left" w:pos="-2268"/>
        </w:tabs>
        <w:suppressAutoHyphens/>
        <w:ind w:left="567" w:hanging="567"/>
        <w:rPr>
          <w:spacing w:val="-3"/>
        </w:rPr>
      </w:pPr>
      <w:r w:rsidRPr="00CA1830">
        <w:rPr>
          <w:spacing w:val="-3"/>
        </w:rPr>
        <w:t xml:space="preserve">Impactos </w:t>
      </w:r>
      <w:r w:rsidR="00FE0843">
        <w:rPr>
          <w:spacing w:val="-3"/>
        </w:rPr>
        <w:t>que maneja</w:t>
      </w:r>
      <w:r w:rsidR="007F1B9E" w:rsidRPr="00CA1830">
        <w:rPr>
          <w:spacing w:val="-3"/>
        </w:rPr>
        <w:t>, señalando para cada uno de ellos, la c</w:t>
      </w:r>
      <w:r w:rsidRPr="00CA1830">
        <w:rPr>
          <w:spacing w:val="-3"/>
        </w:rPr>
        <w:t>ategoría estandarizada de impactos en la cual se clasifica</w:t>
      </w:r>
      <w:r w:rsidR="007F1B9E" w:rsidRPr="00CA1830">
        <w:rPr>
          <w:spacing w:val="-3"/>
        </w:rPr>
        <w:t xml:space="preserve">, su </w:t>
      </w:r>
      <w:r w:rsidR="007F1B9E" w:rsidRPr="00C730B4">
        <w:rPr>
          <w:spacing w:val="-3"/>
        </w:rPr>
        <w:t>s</w:t>
      </w:r>
      <w:r w:rsidRPr="00C730B4">
        <w:rPr>
          <w:spacing w:val="-3"/>
        </w:rPr>
        <w:t>ignificancia</w:t>
      </w:r>
      <w:r w:rsidR="00CA1830" w:rsidRPr="00C730B4">
        <w:rPr>
          <w:spacing w:val="-3"/>
        </w:rPr>
        <w:t xml:space="preserve"> y </w:t>
      </w:r>
      <w:r w:rsidR="00BF4C8D">
        <w:rPr>
          <w:spacing w:val="-3"/>
        </w:rPr>
        <w:t xml:space="preserve">el </w:t>
      </w:r>
      <w:r w:rsidR="00CA1830" w:rsidRPr="00127BD4">
        <w:rPr>
          <w:spacing w:val="-3"/>
        </w:rPr>
        <w:t xml:space="preserve">derecho humano </w:t>
      </w:r>
      <w:r w:rsidR="00F75E71">
        <w:rPr>
          <w:spacing w:val="-3"/>
        </w:rPr>
        <w:t xml:space="preserve">sobre </w:t>
      </w:r>
      <w:r w:rsidR="00BF4C8D">
        <w:rPr>
          <w:spacing w:val="-3"/>
        </w:rPr>
        <w:t xml:space="preserve">el </w:t>
      </w:r>
      <w:r w:rsidR="00F75E71">
        <w:rPr>
          <w:spacing w:val="-3"/>
        </w:rPr>
        <w:t xml:space="preserve">que </w:t>
      </w:r>
      <w:r w:rsidR="00CA1830" w:rsidRPr="00127BD4">
        <w:rPr>
          <w:spacing w:val="-3"/>
        </w:rPr>
        <w:t>pued</w:t>
      </w:r>
      <w:r w:rsidR="00F75E71">
        <w:rPr>
          <w:spacing w:val="-3"/>
        </w:rPr>
        <w:t>e incidir negativamente</w:t>
      </w:r>
      <w:r w:rsidR="00CA1830" w:rsidRPr="00127BD4">
        <w:rPr>
          <w:spacing w:val="-3"/>
        </w:rPr>
        <w:t>, en caso de aplicar.</w:t>
      </w:r>
      <w:r w:rsidR="001123FB" w:rsidRPr="00127BD4">
        <w:rPr>
          <w:spacing w:val="-3"/>
        </w:rPr>
        <w:t xml:space="preserve"> Se debe tener en cuenta que </w:t>
      </w:r>
      <w:r w:rsidR="003246B3" w:rsidRPr="00292539">
        <w:rPr>
          <w:spacing w:val="-3"/>
        </w:rPr>
        <w:t>todos los impactos del proyecto</w:t>
      </w:r>
      <w:r w:rsidR="003246B3" w:rsidRPr="00042EDF">
        <w:rPr>
          <w:spacing w:val="-3"/>
        </w:rPr>
        <w:t xml:space="preserve"> </w:t>
      </w:r>
      <w:r w:rsidR="003246B3">
        <w:rPr>
          <w:spacing w:val="-3"/>
        </w:rPr>
        <w:t xml:space="preserve">deben tener por lo menos una medida de manejo asociada y, que </w:t>
      </w:r>
      <w:r w:rsidR="001123FB" w:rsidRPr="00127BD4">
        <w:rPr>
          <w:spacing w:val="-3"/>
        </w:rPr>
        <w:t>una medida de manejo puede atender más de un impacto a la vez.</w:t>
      </w:r>
    </w:p>
    <w:p w14:paraId="4E5EA13C" w14:textId="01574C11" w:rsidR="000414D0" w:rsidRPr="00CA1830" w:rsidRDefault="000414D0" w:rsidP="00127BD4">
      <w:pPr>
        <w:tabs>
          <w:tab w:val="left" w:pos="-2268"/>
        </w:tabs>
        <w:suppressAutoHyphens/>
        <w:rPr>
          <w:spacing w:val="-3"/>
        </w:rPr>
      </w:pPr>
    </w:p>
    <w:p w14:paraId="68B257CC" w14:textId="2CF293BC" w:rsidR="00515354" w:rsidRPr="004E4C01" w:rsidRDefault="00E149C4" w:rsidP="00042EDF">
      <w:pPr>
        <w:numPr>
          <w:ilvl w:val="0"/>
          <w:numId w:val="19"/>
        </w:numPr>
        <w:tabs>
          <w:tab w:val="left" w:pos="-2268"/>
        </w:tabs>
        <w:suppressAutoHyphens/>
        <w:ind w:left="567" w:hanging="567"/>
        <w:rPr>
          <w:spacing w:val="-3"/>
        </w:rPr>
      </w:pPr>
      <w:r w:rsidRPr="004E4C01">
        <w:rPr>
          <w:spacing w:val="-3"/>
        </w:rPr>
        <w:t xml:space="preserve">Objetivo </w:t>
      </w:r>
      <w:r w:rsidR="002452B5" w:rsidRPr="004E4C01">
        <w:rPr>
          <w:spacing w:val="-3"/>
        </w:rPr>
        <w:t>(prevención, mitigación, corrección o compensación)</w:t>
      </w:r>
      <w:r w:rsidR="0059082A" w:rsidRPr="004E4C01">
        <w:rPr>
          <w:spacing w:val="-3"/>
        </w:rPr>
        <w:t>.</w:t>
      </w:r>
    </w:p>
    <w:p w14:paraId="100837DA" w14:textId="77777777" w:rsidR="002F4880" w:rsidRPr="004E4C01" w:rsidRDefault="002F4880" w:rsidP="00127BD4">
      <w:pPr>
        <w:tabs>
          <w:tab w:val="left" w:pos="-2268"/>
        </w:tabs>
        <w:suppressAutoHyphens/>
        <w:rPr>
          <w:spacing w:val="-3"/>
        </w:rPr>
      </w:pPr>
    </w:p>
    <w:p w14:paraId="1FD02AD7" w14:textId="77FCAC16" w:rsidR="002F4880" w:rsidRPr="004E4C01" w:rsidRDefault="00B74C10" w:rsidP="00042EDF">
      <w:pPr>
        <w:numPr>
          <w:ilvl w:val="0"/>
          <w:numId w:val="19"/>
        </w:numPr>
        <w:tabs>
          <w:tab w:val="left" w:pos="-2268"/>
        </w:tabs>
        <w:suppressAutoHyphens/>
        <w:ind w:left="567" w:hanging="567"/>
        <w:rPr>
          <w:spacing w:val="-3"/>
        </w:rPr>
      </w:pPr>
      <w:r w:rsidRPr="004E4C01">
        <w:rPr>
          <w:spacing w:val="-3"/>
        </w:rPr>
        <w:t>Otros planes con los que se relaciona o a los cuales contribuye (por ejemplo, si es a la vez una medida de mitigación de GEI, de adaptación al cambio climático o de reducción del riesgo)</w:t>
      </w:r>
      <w:r w:rsidR="00A25DD8" w:rsidRPr="004E4C01">
        <w:rPr>
          <w:spacing w:val="-3"/>
        </w:rPr>
        <w:t>, en caso de aplicar.</w:t>
      </w:r>
    </w:p>
    <w:p w14:paraId="325207A0" w14:textId="77777777" w:rsidR="00B77A87" w:rsidRPr="004E4C01" w:rsidRDefault="00B77A87" w:rsidP="00127BD4">
      <w:pPr>
        <w:tabs>
          <w:tab w:val="left" w:pos="-2268"/>
        </w:tabs>
        <w:suppressAutoHyphens/>
        <w:rPr>
          <w:spacing w:val="-3"/>
        </w:rPr>
      </w:pPr>
    </w:p>
    <w:p w14:paraId="0D1807F4" w14:textId="6F1CFE1E" w:rsidR="00C03A6B" w:rsidRPr="004E4C01" w:rsidRDefault="00C03A6B" w:rsidP="00042EDF">
      <w:pPr>
        <w:numPr>
          <w:ilvl w:val="0"/>
          <w:numId w:val="19"/>
        </w:numPr>
        <w:tabs>
          <w:tab w:val="left" w:pos="-2268"/>
        </w:tabs>
        <w:suppressAutoHyphens/>
        <w:ind w:left="567" w:hanging="567"/>
        <w:rPr>
          <w:spacing w:val="-3"/>
        </w:rPr>
      </w:pPr>
      <w:r w:rsidRPr="004E4C01">
        <w:rPr>
          <w:spacing w:val="-3"/>
        </w:rPr>
        <w:t xml:space="preserve">Metas relacionadas con cada objetivo. </w:t>
      </w:r>
      <w:r w:rsidR="000B6243" w:rsidRPr="004E4C01">
        <w:rPr>
          <w:spacing w:val="-3"/>
        </w:rPr>
        <w:t>D</w:t>
      </w:r>
      <w:r w:rsidR="00F51869" w:rsidRPr="004E4C01">
        <w:rPr>
          <w:spacing w:val="-3"/>
        </w:rPr>
        <w:t>e</w:t>
      </w:r>
      <w:r w:rsidR="0059082A" w:rsidRPr="004E4C01">
        <w:rPr>
          <w:spacing w:val="-3"/>
        </w:rPr>
        <w:t xml:space="preserve"> acuerdo con </w:t>
      </w:r>
      <w:r w:rsidR="00EA26BB" w:rsidRPr="004E4C01">
        <w:rPr>
          <w:spacing w:val="-3"/>
        </w:rPr>
        <w:t xml:space="preserve">el </w:t>
      </w:r>
      <w:r w:rsidR="00770549" w:rsidRPr="004E4C01">
        <w:rPr>
          <w:spacing w:val="-3"/>
        </w:rPr>
        <w:t xml:space="preserve">objetivo </w:t>
      </w:r>
      <w:r w:rsidR="0059082A" w:rsidRPr="004E4C01">
        <w:rPr>
          <w:spacing w:val="-3"/>
        </w:rPr>
        <w:t xml:space="preserve">de </w:t>
      </w:r>
      <w:r w:rsidR="00770549" w:rsidRPr="004E4C01">
        <w:rPr>
          <w:spacing w:val="-3"/>
        </w:rPr>
        <w:t xml:space="preserve">la </w:t>
      </w:r>
      <w:r w:rsidR="0059082A" w:rsidRPr="004E4C01">
        <w:rPr>
          <w:spacing w:val="-3"/>
        </w:rPr>
        <w:t xml:space="preserve">medida de manejo </w:t>
      </w:r>
      <w:r w:rsidR="000B6243" w:rsidRPr="004E4C01">
        <w:rPr>
          <w:spacing w:val="-3"/>
        </w:rPr>
        <w:t xml:space="preserve">(prevención, mitigación, corrección o compensación), </w:t>
      </w:r>
      <w:r w:rsidR="00713668" w:rsidRPr="004E4C01">
        <w:rPr>
          <w:spacing w:val="-3"/>
        </w:rPr>
        <w:t xml:space="preserve">las metas </w:t>
      </w:r>
      <w:r w:rsidR="000B6243" w:rsidRPr="004E4C01">
        <w:rPr>
          <w:spacing w:val="-3"/>
        </w:rPr>
        <w:t>debe</w:t>
      </w:r>
      <w:r w:rsidR="004F359D" w:rsidRPr="004E4C01">
        <w:rPr>
          <w:spacing w:val="-3"/>
        </w:rPr>
        <w:t>n</w:t>
      </w:r>
      <w:r w:rsidR="000B6243" w:rsidRPr="004E4C01">
        <w:rPr>
          <w:spacing w:val="-3"/>
        </w:rPr>
        <w:t xml:space="preserve"> especificar de forma cuantitativa si ello resulta posible, </w:t>
      </w:r>
      <w:r w:rsidR="0059082A" w:rsidRPr="004E4C01">
        <w:rPr>
          <w:spacing w:val="-3"/>
        </w:rPr>
        <w:t>qué resultado</w:t>
      </w:r>
      <w:r w:rsidR="000B6243" w:rsidRPr="004E4C01">
        <w:rPr>
          <w:spacing w:val="-3"/>
        </w:rPr>
        <w:t>s</w:t>
      </w:r>
      <w:r w:rsidR="0059082A" w:rsidRPr="004E4C01">
        <w:rPr>
          <w:spacing w:val="-3"/>
        </w:rPr>
        <w:t xml:space="preserve"> </w:t>
      </w:r>
      <w:r w:rsidR="000B6243" w:rsidRPr="004E4C01">
        <w:rPr>
          <w:spacing w:val="-3"/>
        </w:rPr>
        <w:t xml:space="preserve">finales y parciales </w:t>
      </w:r>
      <w:r w:rsidR="0036668B" w:rsidRPr="004E4C01">
        <w:rPr>
          <w:spacing w:val="-3"/>
        </w:rPr>
        <w:t xml:space="preserve">en el parámetro, indicador o índice </w:t>
      </w:r>
      <w:r w:rsidR="0059082A" w:rsidRPr="004E4C01">
        <w:rPr>
          <w:spacing w:val="-3"/>
        </w:rPr>
        <w:t>ambiental asociado se espera obtener</w:t>
      </w:r>
      <w:r w:rsidR="000B6243" w:rsidRPr="004E4C01">
        <w:rPr>
          <w:spacing w:val="-3"/>
        </w:rPr>
        <w:t xml:space="preserve"> </w:t>
      </w:r>
      <w:r w:rsidR="004F359D" w:rsidRPr="004E4C01">
        <w:rPr>
          <w:spacing w:val="-3"/>
        </w:rPr>
        <w:t xml:space="preserve">mediante </w:t>
      </w:r>
      <w:r w:rsidR="000B6243" w:rsidRPr="004E4C01">
        <w:rPr>
          <w:spacing w:val="-3"/>
        </w:rPr>
        <w:t xml:space="preserve">la aplicación de </w:t>
      </w:r>
      <w:r w:rsidR="004F359D" w:rsidRPr="004E4C01">
        <w:rPr>
          <w:spacing w:val="-3"/>
        </w:rPr>
        <w:t xml:space="preserve">tal </w:t>
      </w:r>
      <w:r w:rsidR="000B6243" w:rsidRPr="004E4C01">
        <w:rPr>
          <w:spacing w:val="-3"/>
        </w:rPr>
        <w:t>medida</w:t>
      </w:r>
      <w:r w:rsidR="0059082A" w:rsidRPr="004E4C01">
        <w:rPr>
          <w:spacing w:val="-3"/>
        </w:rPr>
        <w:t>.</w:t>
      </w:r>
    </w:p>
    <w:p w14:paraId="15A1AF52" w14:textId="18469CFC" w:rsidR="00F822A3" w:rsidRPr="00127BD4" w:rsidRDefault="00F822A3" w:rsidP="00127BD4">
      <w:pPr>
        <w:tabs>
          <w:tab w:val="left" w:pos="-2268"/>
        </w:tabs>
        <w:suppressAutoHyphens/>
        <w:rPr>
          <w:spacing w:val="-3"/>
        </w:rPr>
      </w:pPr>
    </w:p>
    <w:p w14:paraId="02F620D8" w14:textId="464DAB40" w:rsidR="00F822A3" w:rsidRPr="004E4C01" w:rsidRDefault="00F822A3" w:rsidP="00042EDF">
      <w:pPr>
        <w:numPr>
          <w:ilvl w:val="0"/>
          <w:numId w:val="19"/>
        </w:numPr>
        <w:tabs>
          <w:tab w:val="left" w:pos="-2268"/>
        </w:tabs>
        <w:suppressAutoHyphens/>
        <w:ind w:left="567" w:hanging="567"/>
        <w:rPr>
          <w:spacing w:val="-3"/>
        </w:rPr>
      </w:pPr>
      <w:r w:rsidRPr="004E4C01">
        <w:rPr>
          <w:spacing w:val="-3"/>
        </w:rPr>
        <w:t>Listado de acciones específicas a ejecutar para desarrollar</w:t>
      </w:r>
      <w:r w:rsidR="00EA26BB" w:rsidRPr="004E4C01">
        <w:rPr>
          <w:spacing w:val="-3"/>
        </w:rPr>
        <w:t>la</w:t>
      </w:r>
      <w:r w:rsidRPr="004E4C01">
        <w:rPr>
          <w:spacing w:val="-3"/>
        </w:rPr>
        <w:t>.</w:t>
      </w:r>
    </w:p>
    <w:p w14:paraId="0418CC44" w14:textId="77777777" w:rsidR="00F33A22" w:rsidRPr="004E4C01" w:rsidRDefault="00F33A22" w:rsidP="00B74C10">
      <w:pPr>
        <w:tabs>
          <w:tab w:val="left" w:pos="-2268"/>
        </w:tabs>
        <w:suppressAutoHyphens/>
        <w:rPr>
          <w:spacing w:val="-3"/>
        </w:rPr>
      </w:pPr>
    </w:p>
    <w:p w14:paraId="4660FEFB" w14:textId="0ED122F0" w:rsidR="00F33A22" w:rsidRPr="004E4C01" w:rsidRDefault="00A3766C" w:rsidP="00042EDF">
      <w:pPr>
        <w:numPr>
          <w:ilvl w:val="0"/>
          <w:numId w:val="19"/>
        </w:numPr>
        <w:tabs>
          <w:tab w:val="left" w:pos="-2268"/>
        </w:tabs>
        <w:suppressAutoHyphens/>
        <w:ind w:left="567" w:hanging="567"/>
        <w:rPr>
          <w:spacing w:val="-3"/>
        </w:rPr>
      </w:pPr>
      <w:r>
        <w:rPr>
          <w:spacing w:val="-3"/>
        </w:rPr>
        <w:t>Etapas</w:t>
      </w:r>
      <w:r w:rsidRPr="004E4C01">
        <w:rPr>
          <w:spacing w:val="-3"/>
        </w:rPr>
        <w:t xml:space="preserve"> </w:t>
      </w:r>
      <w:r w:rsidR="00D952B3">
        <w:rPr>
          <w:spacing w:val="-3"/>
        </w:rPr>
        <w:t>y f</w:t>
      </w:r>
      <w:r w:rsidR="00F33A22" w:rsidRPr="004E4C01">
        <w:rPr>
          <w:spacing w:val="-3"/>
        </w:rPr>
        <w:t>ases del proyecto</w:t>
      </w:r>
      <w:r w:rsidR="00311679" w:rsidRPr="004E4C01">
        <w:rPr>
          <w:spacing w:val="-3"/>
        </w:rPr>
        <w:t>, obra o actividad</w:t>
      </w:r>
      <w:r w:rsidR="00F33A22" w:rsidRPr="004E4C01">
        <w:rPr>
          <w:spacing w:val="-3"/>
        </w:rPr>
        <w:t xml:space="preserve"> en las que se </w:t>
      </w:r>
      <w:r w:rsidR="00F822A3" w:rsidRPr="004E4C01">
        <w:rPr>
          <w:spacing w:val="-3"/>
        </w:rPr>
        <w:t xml:space="preserve">prevé </w:t>
      </w:r>
      <w:r w:rsidR="00EA26BB" w:rsidRPr="004E4C01">
        <w:rPr>
          <w:spacing w:val="-3"/>
        </w:rPr>
        <w:t xml:space="preserve">su </w:t>
      </w:r>
      <w:r w:rsidR="00F33A22" w:rsidRPr="004E4C01">
        <w:rPr>
          <w:spacing w:val="-3"/>
        </w:rPr>
        <w:t>implementa</w:t>
      </w:r>
      <w:r w:rsidR="00EA26BB" w:rsidRPr="004E4C01">
        <w:rPr>
          <w:spacing w:val="-3"/>
        </w:rPr>
        <w:t>ción</w:t>
      </w:r>
      <w:r w:rsidR="00F33A22" w:rsidRPr="004E4C01">
        <w:rPr>
          <w:spacing w:val="-3"/>
        </w:rPr>
        <w:t>.</w:t>
      </w:r>
    </w:p>
    <w:p w14:paraId="1222B875" w14:textId="77777777" w:rsidR="00F33A22" w:rsidRPr="004E4C01" w:rsidRDefault="00F33A22" w:rsidP="00B74C10">
      <w:pPr>
        <w:tabs>
          <w:tab w:val="left" w:pos="-2268"/>
        </w:tabs>
        <w:suppressAutoHyphens/>
        <w:rPr>
          <w:spacing w:val="-3"/>
        </w:rPr>
      </w:pPr>
    </w:p>
    <w:p w14:paraId="0057576E" w14:textId="09E7F850" w:rsidR="003A1234" w:rsidRPr="004E4C01" w:rsidRDefault="003A1234" w:rsidP="00042EDF">
      <w:pPr>
        <w:numPr>
          <w:ilvl w:val="0"/>
          <w:numId w:val="19"/>
        </w:numPr>
        <w:tabs>
          <w:tab w:val="left" w:pos="-2268"/>
        </w:tabs>
        <w:suppressAutoHyphens/>
        <w:ind w:left="567" w:hanging="567"/>
        <w:rPr>
          <w:spacing w:val="-3"/>
        </w:rPr>
      </w:pPr>
      <w:r w:rsidRPr="004E4C01">
        <w:rPr>
          <w:spacing w:val="-3"/>
        </w:rPr>
        <w:t xml:space="preserve">Cronograma anual estimado de </w:t>
      </w:r>
      <w:r w:rsidR="00EA26BB" w:rsidRPr="004E4C01">
        <w:rPr>
          <w:spacing w:val="-3"/>
        </w:rPr>
        <w:t xml:space="preserve">su </w:t>
      </w:r>
      <w:r w:rsidRPr="004E4C01">
        <w:rPr>
          <w:spacing w:val="-3"/>
        </w:rPr>
        <w:t>implementación.</w:t>
      </w:r>
    </w:p>
    <w:p w14:paraId="4897BDC0" w14:textId="77777777" w:rsidR="003A1234" w:rsidRPr="004E4C01" w:rsidRDefault="003A1234" w:rsidP="00B74C10">
      <w:pPr>
        <w:tabs>
          <w:tab w:val="left" w:pos="-2268"/>
        </w:tabs>
        <w:suppressAutoHyphens/>
        <w:rPr>
          <w:spacing w:val="-3"/>
        </w:rPr>
      </w:pPr>
    </w:p>
    <w:p w14:paraId="590B08BD" w14:textId="3039535F" w:rsidR="00F33A22" w:rsidRPr="004E4C01" w:rsidRDefault="00F33A22" w:rsidP="00042EDF">
      <w:pPr>
        <w:numPr>
          <w:ilvl w:val="0"/>
          <w:numId w:val="19"/>
        </w:numPr>
        <w:tabs>
          <w:tab w:val="left" w:pos="-2268"/>
        </w:tabs>
        <w:suppressAutoHyphens/>
        <w:ind w:left="567" w:hanging="567"/>
        <w:rPr>
          <w:spacing w:val="-3"/>
        </w:rPr>
      </w:pPr>
      <w:r w:rsidRPr="004E4C01">
        <w:rPr>
          <w:spacing w:val="-3"/>
        </w:rPr>
        <w:t>Lugares de aplicación</w:t>
      </w:r>
      <w:r w:rsidR="00BA0F2A" w:rsidRPr="004E4C01">
        <w:rPr>
          <w:spacing w:val="-3"/>
        </w:rPr>
        <w:t>, señalando siempre que sea posible su ubicación en términos de coordenadas</w:t>
      </w:r>
      <w:r w:rsidR="000E50DE" w:rsidRPr="004E4C01">
        <w:rPr>
          <w:spacing w:val="-3"/>
        </w:rPr>
        <w:t xml:space="preserve"> o de unidades de análisis</w:t>
      </w:r>
      <w:r w:rsidRPr="004E4C01">
        <w:rPr>
          <w:spacing w:val="-3"/>
        </w:rPr>
        <w:t xml:space="preserve">. </w:t>
      </w:r>
      <w:r w:rsidR="00BA0F2A" w:rsidRPr="004E4C01">
        <w:rPr>
          <w:spacing w:val="-3"/>
        </w:rPr>
        <w:t>Estos lugares d</w:t>
      </w:r>
      <w:r w:rsidRPr="004E4C01">
        <w:rPr>
          <w:spacing w:val="-3"/>
        </w:rPr>
        <w:t>ebe</w:t>
      </w:r>
      <w:r w:rsidR="00C26B8E" w:rsidRPr="004E4C01">
        <w:rPr>
          <w:spacing w:val="-3"/>
        </w:rPr>
        <w:t>n</w:t>
      </w:r>
      <w:r w:rsidRPr="004E4C01">
        <w:rPr>
          <w:spacing w:val="-3"/>
        </w:rPr>
        <w:t xml:space="preserve"> estar asociad</w:t>
      </w:r>
      <w:r w:rsidR="00C26B8E" w:rsidRPr="004E4C01">
        <w:rPr>
          <w:spacing w:val="-3"/>
        </w:rPr>
        <w:t>os</w:t>
      </w:r>
      <w:r w:rsidRPr="004E4C01">
        <w:rPr>
          <w:spacing w:val="-3"/>
        </w:rPr>
        <w:t xml:space="preserve"> al área </w:t>
      </w:r>
      <w:r w:rsidR="00504331" w:rsidRPr="004E4C01">
        <w:rPr>
          <w:spacing w:val="-3"/>
        </w:rPr>
        <w:t xml:space="preserve">de </w:t>
      </w:r>
      <w:r w:rsidRPr="004E4C01">
        <w:rPr>
          <w:spacing w:val="-3"/>
        </w:rPr>
        <w:t>manif</w:t>
      </w:r>
      <w:r w:rsidR="00504331" w:rsidRPr="004E4C01">
        <w:rPr>
          <w:spacing w:val="-3"/>
        </w:rPr>
        <w:t xml:space="preserve">estación </w:t>
      </w:r>
      <w:r w:rsidR="00C26B8E" w:rsidRPr="004E4C01">
        <w:rPr>
          <w:spacing w:val="-3"/>
        </w:rPr>
        <w:t xml:space="preserve">o al lugar en el que se </w:t>
      </w:r>
      <w:r w:rsidR="00504331" w:rsidRPr="004E4C01">
        <w:rPr>
          <w:spacing w:val="-3"/>
        </w:rPr>
        <w:t>generan los impactos</w:t>
      </w:r>
      <w:r w:rsidRPr="004E4C01">
        <w:rPr>
          <w:spacing w:val="-3"/>
        </w:rPr>
        <w:t>.</w:t>
      </w:r>
    </w:p>
    <w:p w14:paraId="082AB917" w14:textId="77777777" w:rsidR="00F33A22" w:rsidRPr="004E4C01" w:rsidRDefault="00F33A22" w:rsidP="00B74C10">
      <w:pPr>
        <w:tabs>
          <w:tab w:val="left" w:pos="-2268"/>
        </w:tabs>
        <w:suppressAutoHyphens/>
        <w:rPr>
          <w:spacing w:val="-3"/>
        </w:rPr>
      </w:pPr>
    </w:p>
    <w:p w14:paraId="6A0B6A44" w14:textId="23AB48EF" w:rsidR="00F33A22" w:rsidRPr="004E4C01" w:rsidRDefault="00F33A22" w:rsidP="00127BD4">
      <w:pPr>
        <w:numPr>
          <w:ilvl w:val="0"/>
          <w:numId w:val="19"/>
        </w:numPr>
        <w:tabs>
          <w:tab w:val="left" w:pos="-2268"/>
        </w:tabs>
        <w:suppressAutoHyphens/>
        <w:ind w:left="567" w:hanging="567"/>
        <w:rPr>
          <w:spacing w:val="-3"/>
        </w:rPr>
      </w:pPr>
      <w:r w:rsidRPr="004E4C01">
        <w:rPr>
          <w:spacing w:val="-3"/>
        </w:rPr>
        <w:t xml:space="preserve">Descripción sucinta de las obras </w:t>
      </w:r>
      <w:r w:rsidR="00457632" w:rsidRPr="004E4C01">
        <w:rPr>
          <w:spacing w:val="-3"/>
        </w:rPr>
        <w:t xml:space="preserve">que se </w:t>
      </w:r>
      <w:r w:rsidRPr="004E4C01">
        <w:rPr>
          <w:spacing w:val="-3"/>
        </w:rPr>
        <w:t>prop</w:t>
      </w:r>
      <w:r w:rsidR="00457632" w:rsidRPr="004E4C01">
        <w:rPr>
          <w:spacing w:val="-3"/>
        </w:rPr>
        <w:t xml:space="preserve">one </w:t>
      </w:r>
      <w:r w:rsidR="00F822A3" w:rsidRPr="004E4C01">
        <w:rPr>
          <w:spacing w:val="-3"/>
        </w:rPr>
        <w:t>construir</w:t>
      </w:r>
      <w:r w:rsidRPr="004E4C01">
        <w:rPr>
          <w:spacing w:val="-3"/>
        </w:rPr>
        <w:t>. Los diseños deben presentarse como documentos anexos al estudio</w:t>
      </w:r>
      <w:r w:rsidR="00026414" w:rsidRPr="004E4C01">
        <w:rPr>
          <w:spacing w:val="-3"/>
        </w:rPr>
        <w:t>, en caso de aplicar</w:t>
      </w:r>
      <w:r w:rsidRPr="004E4C01">
        <w:rPr>
          <w:spacing w:val="-3"/>
        </w:rPr>
        <w:t>.</w:t>
      </w:r>
    </w:p>
    <w:p w14:paraId="5E1C48B6" w14:textId="77777777" w:rsidR="00627623" w:rsidRPr="00127BD4" w:rsidRDefault="00627623" w:rsidP="00127BD4">
      <w:pPr>
        <w:rPr>
          <w:spacing w:val="-3"/>
        </w:rPr>
      </w:pPr>
    </w:p>
    <w:p w14:paraId="71BC4126" w14:textId="5DDEEFBA" w:rsidR="00627623" w:rsidRPr="001E346C" w:rsidRDefault="00627623" w:rsidP="00042EDF">
      <w:pPr>
        <w:numPr>
          <w:ilvl w:val="0"/>
          <w:numId w:val="19"/>
        </w:numPr>
        <w:tabs>
          <w:tab w:val="left" w:pos="-2268"/>
        </w:tabs>
        <w:suppressAutoHyphens/>
        <w:ind w:left="567" w:hanging="567"/>
        <w:rPr>
          <w:spacing w:val="-3"/>
        </w:rPr>
      </w:pPr>
      <w:r w:rsidRPr="00B97A0C">
        <w:rPr>
          <w:spacing w:val="-3"/>
        </w:rPr>
        <w:t xml:space="preserve">Argumentación </w:t>
      </w:r>
      <w:r w:rsidR="00712055" w:rsidRPr="00B97A0C">
        <w:rPr>
          <w:spacing w:val="-3"/>
        </w:rPr>
        <w:t xml:space="preserve">sobre </w:t>
      </w:r>
      <w:r w:rsidR="00CC3FED" w:rsidRPr="00127BD4">
        <w:rPr>
          <w:spacing w:val="-3"/>
        </w:rPr>
        <w:t xml:space="preserve">cómo </w:t>
      </w:r>
      <w:r w:rsidR="00BF4D49" w:rsidRPr="00127BD4">
        <w:rPr>
          <w:spacing w:val="-3"/>
        </w:rPr>
        <w:t>prev</w:t>
      </w:r>
      <w:r w:rsidR="00CC3FED" w:rsidRPr="00127BD4">
        <w:rPr>
          <w:spacing w:val="-3"/>
        </w:rPr>
        <w:t xml:space="preserve">iene </w:t>
      </w:r>
      <w:r w:rsidR="00BF1DEA" w:rsidRPr="00127BD4">
        <w:rPr>
          <w:spacing w:val="-3"/>
        </w:rPr>
        <w:t xml:space="preserve">los </w:t>
      </w:r>
      <w:r w:rsidR="00712055" w:rsidRPr="001E346C">
        <w:rPr>
          <w:spacing w:val="-3"/>
        </w:rPr>
        <w:t>riesgo</w:t>
      </w:r>
      <w:r w:rsidR="00BF1DEA" w:rsidRPr="00127BD4">
        <w:rPr>
          <w:spacing w:val="-3"/>
        </w:rPr>
        <w:t>s</w:t>
      </w:r>
      <w:r w:rsidR="00712055" w:rsidRPr="001E346C">
        <w:rPr>
          <w:spacing w:val="-3"/>
        </w:rPr>
        <w:t xml:space="preserve"> o </w:t>
      </w:r>
      <w:r w:rsidR="00DC791A" w:rsidRPr="00127BD4">
        <w:rPr>
          <w:spacing w:val="-3"/>
        </w:rPr>
        <w:t>los impac</w:t>
      </w:r>
      <w:r w:rsidR="00D14768" w:rsidRPr="00127BD4">
        <w:rPr>
          <w:spacing w:val="-3"/>
        </w:rPr>
        <w:t xml:space="preserve">tos negativos </w:t>
      </w:r>
      <w:r w:rsidR="00712055" w:rsidRPr="001E346C">
        <w:rPr>
          <w:spacing w:val="-3"/>
        </w:rPr>
        <w:t>a los derechos humanos, en caso de aplicar.</w:t>
      </w:r>
    </w:p>
    <w:p w14:paraId="52F89469" w14:textId="77777777" w:rsidR="00F33A22" w:rsidRPr="004E4C01" w:rsidRDefault="00F33A22" w:rsidP="00B74C10">
      <w:pPr>
        <w:tabs>
          <w:tab w:val="left" w:pos="-2268"/>
        </w:tabs>
        <w:suppressAutoHyphens/>
        <w:rPr>
          <w:spacing w:val="-3"/>
        </w:rPr>
      </w:pPr>
    </w:p>
    <w:p w14:paraId="57B2779B" w14:textId="15957656" w:rsidR="00F33A22" w:rsidRPr="004E4C01" w:rsidRDefault="00F33A22" w:rsidP="00042EDF">
      <w:pPr>
        <w:numPr>
          <w:ilvl w:val="0"/>
          <w:numId w:val="19"/>
        </w:numPr>
        <w:tabs>
          <w:tab w:val="left" w:pos="-2268"/>
        </w:tabs>
        <w:suppressAutoHyphens/>
        <w:ind w:left="567" w:hanging="567"/>
        <w:rPr>
          <w:spacing w:val="-3"/>
        </w:rPr>
      </w:pPr>
      <w:r w:rsidRPr="004E4C01">
        <w:rPr>
          <w:spacing w:val="-3"/>
        </w:rPr>
        <w:t xml:space="preserve">Estimativo de los recursos </w:t>
      </w:r>
      <w:r w:rsidR="003A1234" w:rsidRPr="004E4C01">
        <w:rPr>
          <w:spacing w:val="-3"/>
        </w:rPr>
        <w:t xml:space="preserve">(humanos, técnicos y tecnológicos, maquinaria y equipos, materiales, entre otros) </w:t>
      </w:r>
      <w:r w:rsidRPr="004E4C01">
        <w:rPr>
          <w:spacing w:val="-3"/>
        </w:rPr>
        <w:t xml:space="preserve">y costos necesarios para </w:t>
      </w:r>
      <w:r w:rsidR="00EA26BB" w:rsidRPr="004E4C01">
        <w:rPr>
          <w:spacing w:val="-3"/>
        </w:rPr>
        <w:t xml:space="preserve">su </w:t>
      </w:r>
      <w:r w:rsidRPr="004E4C01">
        <w:rPr>
          <w:spacing w:val="-3"/>
        </w:rPr>
        <w:t>implementación</w:t>
      </w:r>
      <w:r w:rsidR="003A1234" w:rsidRPr="004E4C01">
        <w:rPr>
          <w:spacing w:val="-3"/>
        </w:rPr>
        <w:t>.</w:t>
      </w:r>
    </w:p>
    <w:p w14:paraId="3410F76E" w14:textId="77777777" w:rsidR="00BA0F2A" w:rsidRPr="004E4C01" w:rsidRDefault="00BA0F2A" w:rsidP="00127BD4">
      <w:pPr>
        <w:tabs>
          <w:tab w:val="left" w:pos="-2268"/>
        </w:tabs>
        <w:suppressAutoHyphens/>
        <w:rPr>
          <w:spacing w:val="-3"/>
        </w:rPr>
      </w:pPr>
    </w:p>
    <w:p w14:paraId="7943AB56" w14:textId="265A276C" w:rsidR="00BA0F2A" w:rsidRPr="004E4C01" w:rsidRDefault="00BA0F2A" w:rsidP="00042EDF">
      <w:pPr>
        <w:numPr>
          <w:ilvl w:val="0"/>
          <w:numId w:val="19"/>
        </w:numPr>
        <w:tabs>
          <w:tab w:val="left" w:pos="-2268"/>
        </w:tabs>
        <w:suppressAutoHyphens/>
        <w:ind w:left="567" w:hanging="567"/>
        <w:rPr>
          <w:spacing w:val="-3"/>
        </w:rPr>
      </w:pPr>
      <w:r w:rsidRPr="004E4C01">
        <w:rPr>
          <w:spacing w:val="-3"/>
        </w:rPr>
        <w:t>Indicador</w:t>
      </w:r>
      <w:r w:rsidR="00F4736F" w:rsidRPr="004E4C01">
        <w:rPr>
          <w:spacing w:val="-3"/>
        </w:rPr>
        <w:t>es</w:t>
      </w:r>
      <w:r w:rsidR="00112DA9" w:rsidRPr="004E4C01">
        <w:rPr>
          <w:spacing w:val="-3"/>
        </w:rPr>
        <w:t xml:space="preserve"> </w:t>
      </w:r>
      <w:r w:rsidR="00EA26BB" w:rsidRPr="004E4C01">
        <w:rPr>
          <w:spacing w:val="-3"/>
        </w:rPr>
        <w:t xml:space="preserve">para medir su </w:t>
      </w:r>
      <w:r w:rsidR="00112DA9" w:rsidRPr="004E4C01">
        <w:rPr>
          <w:spacing w:val="-3"/>
        </w:rPr>
        <w:t>eficacia</w:t>
      </w:r>
      <w:r w:rsidR="00112DA9" w:rsidRPr="00127BD4">
        <w:footnoteReference w:id="247"/>
      </w:r>
      <w:r w:rsidR="00112DA9" w:rsidRPr="004E4C01">
        <w:rPr>
          <w:spacing w:val="-3"/>
        </w:rPr>
        <w:t>.</w:t>
      </w:r>
    </w:p>
    <w:p w14:paraId="417E7A7A" w14:textId="6A6477E4" w:rsidR="00F33A22" w:rsidRPr="004E4C01" w:rsidRDefault="00F33A22" w:rsidP="00F33A22">
      <w:pPr>
        <w:numPr>
          <w:ilvl w:val="12"/>
          <w:numId w:val="0"/>
        </w:numPr>
        <w:tabs>
          <w:tab w:val="left" w:pos="-2268"/>
        </w:tabs>
        <w:suppressAutoHyphens/>
        <w:rPr>
          <w:rFonts w:cs="Arial"/>
          <w:spacing w:val="-3"/>
        </w:rPr>
      </w:pPr>
    </w:p>
    <w:p w14:paraId="1806CECD" w14:textId="6BA722EA" w:rsidR="00F33A22" w:rsidRPr="004E4C01" w:rsidRDefault="00F33A22" w:rsidP="00127BD4">
      <w:pPr>
        <w:numPr>
          <w:ilvl w:val="12"/>
          <w:numId w:val="0"/>
        </w:numPr>
        <w:tabs>
          <w:tab w:val="left" w:pos="-2268"/>
        </w:tabs>
        <w:suppressAutoHyphens/>
        <w:ind w:left="567"/>
        <w:rPr>
          <w:rFonts w:cs="Arial"/>
          <w:spacing w:val="-3"/>
        </w:rPr>
      </w:pPr>
      <w:r w:rsidRPr="004E4C01">
        <w:rPr>
          <w:rFonts w:cs="Arial"/>
          <w:spacing w:val="-3"/>
        </w:rPr>
        <w:t>Estos indicadores</w:t>
      </w:r>
      <w:r w:rsidR="00E776BF" w:rsidRPr="004E4C01">
        <w:rPr>
          <w:rFonts w:cs="Arial"/>
          <w:spacing w:val="-3"/>
        </w:rPr>
        <w:t xml:space="preserve"> </w:t>
      </w:r>
      <w:r w:rsidRPr="004E4C01">
        <w:rPr>
          <w:rFonts w:cs="Arial"/>
          <w:spacing w:val="-3"/>
        </w:rPr>
        <w:t>son de suma importancia</w:t>
      </w:r>
      <w:r w:rsidR="00E776BF" w:rsidRPr="004E4C01">
        <w:rPr>
          <w:rFonts w:cs="Arial"/>
          <w:spacing w:val="-3"/>
        </w:rPr>
        <w:t xml:space="preserve"> para </w:t>
      </w:r>
      <w:r w:rsidRPr="004E4C01">
        <w:rPr>
          <w:rFonts w:cs="Arial"/>
          <w:spacing w:val="-3"/>
        </w:rPr>
        <w:t>el beneficiario de una licencia ambiental</w:t>
      </w:r>
      <w:r w:rsidR="00E776BF" w:rsidRPr="004E4C01">
        <w:rPr>
          <w:rFonts w:cs="Arial"/>
          <w:spacing w:val="-3"/>
        </w:rPr>
        <w:t xml:space="preserve"> y </w:t>
      </w:r>
      <w:r w:rsidRPr="004E4C01">
        <w:rPr>
          <w:rFonts w:cs="Arial"/>
          <w:spacing w:val="-3"/>
        </w:rPr>
        <w:t>el grupo de seguimiento de la autoridad ambiental,</w:t>
      </w:r>
      <w:r w:rsidR="00E776BF" w:rsidRPr="004E4C01">
        <w:rPr>
          <w:rFonts w:cs="Arial"/>
          <w:spacing w:val="-3"/>
        </w:rPr>
        <w:t xml:space="preserve"> pues es a través de ellos que es posible </w:t>
      </w:r>
      <w:r w:rsidRPr="004E4C01">
        <w:rPr>
          <w:rFonts w:cs="Arial"/>
          <w:spacing w:val="-3"/>
        </w:rPr>
        <w:t xml:space="preserve">acometer el proceso </w:t>
      </w:r>
      <w:r w:rsidR="008977D3" w:rsidRPr="004E4C01">
        <w:rPr>
          <w:rFonts w:cs="Arial"/>
          <w:spacing w:val="-3"/>
        </w:rPr>
        <w:t xml:space="preserve">de </w:t>
      </w:r>
      <w:r w:rsidRPr="004E4C01">
        <w:rPr>
          <w:rFonts w:cs="Arial"/>
          <w:spacing w:val="-3"/>
        </w:rPr>
        <w:t>seguimiento ambiental al proyecto, obra o actividad, y tomar las decisiones a que haya lugar.</w:t>
      </w:r>
    </w:p>
    <w:p w14:paraId="30E179BE" w14:textId="77777777" w:rsidR="00506CB9" w:rsidRPr="004E4C01" w:rsidRDefault="00506CB9" w:rsidP="00F33A22">
      <w:pPr>
        <w:numPr>
          <w:ilvl w:val="12"/>
          <w:numId w:val="0"/>
        </w:numPr>
        <w:tabs>
          <w:tab w:val="left" w:pos="-2268"/>
        </w:tabs>
        <w:suppressAutoHyphens/>
        <w:rPr>
          <w:rFonts w:cs="Arial"/>
          <w:spacing w:val="-3"/>
        </w:rPr>
      </w:pPr>
    </w:p>
    <w:p w14:paraId="59E0682C" w14:textId="77777777" w:rsidR="00955B71" w:rsidRPr="00127BD4" w:rsidRDefault="00955B71" w:rsidP="000A1E20">
      <w:pPr>
        <w:pStyle w:val="Ttulo3"/>
      </w:pPr>
      <w:bookmarkStart w:id="11088" w:name="_Toc216968176"/>
      <w:bookmarkStart w:id="11089" w:name="_Toc217035865"/>
      <w:bookmarkStart w:id="11090" w:name="_Toc230879711"/>
      <w:bookmarkEnd w:id="11088"/>
      <w:bookmarkEnd w:id="11089"/>
      <w:r w:rsidRPr="00127BD4">
        <w:t>Consideraciones específicas para la formulación de medidas</w:t>
      </w:r>
      <w:bookmarkEnd w:id="11090"/>
    </w:p>
    <w:p w14:paraId="6A0A6179" w14:textId="77777777" w:rsidR="00955B71" w:rsidRPr="007D4158" w:rsidRDefault="00955B71" w:rsidP="00955B71">
      <w:pPr>
        <w:numPr>
          <w:ilvl w:val="12"/>
          <w:numId w:val="0"/>
        </w:numPr>
        <w:tabs>
          <w:tab w:val="left" w:pos="-2268"/>
        </w:tabs>
        <w:suppressAutoHyphens/>
        <w:rPr>
          <w:spacing w:val="-3"/>
        </w:rPr>
      </w:pPr>
    </w:p>
    <w:p w14:paraId="2B4A4E01" w14:textId="28313F8D" w:rsidR="00955B71" w:rsidRPr="008A1D49" w:rsidRDefault="00955B71" w:rsidP="00955B71">
      <w:pPr>
        <w:numPr>
          <w:ilvl w:val="0"/>
          <w:numId w:val="19"/>
        </w:numPr>
        <w:tabs>
          <w:tab w:val="left" w:pos="-2268"/>
        </w:tabs>
        <w:suppressAutoHyphens/>
        <w:ind w:left="567" w:hanging="567"/>
        <w:rPr>
          <w:spacing w:val="-3"/>
        </w:rPr>
      </w:pPr>
      <w:r>
        <w:rPr>
          <w:spacing w:val="-3"/>
        </w:rPr>
        <w:t xml:space="preserve">Las </w:t>
      </w:r>
      <w:r w:rsidRPr="007D4158">
        <w:rPr>
          <w:spacing w:val="-3"/>
        </w:rPr>
        <w:t xml:space="preserve">medidas </w:t>
      </w:r>
      <w:r>
        <w:rPr>
          <w:spacing w:val="-3"/>
        </w:rPr>
        <w:t xml:space="preserve">formuladas </w:t>
      </w:r>
      <w:r w:rsidR="00CC3E57" w:rsidRPr="007D4158">
        <w:rPr>
          <w:spacing w:val="-3"/>
        </w:rPr>
        <w:t>(p. ej</w:t>
      </w:r>
      <w:r w:rsidR="00CC3E57" w:rsidRPr="00474091">
        <w:rPr>
          <w:spacing w:val="-3"/>
        </w:rPr>
        <w:t>. procesos de generación, fortalecimiento, acompañamiento y gestión de capacidades, habilidades y herramientas dirigidas al cambio de oficio</w:t>
      </w:r>
      <w:r w:rsidR="00CC3E57" w:rsidRPr="007D4158">
        <w:rPr>
          <w:spacing w:val="-3"/>
        </w:rPr>
        <w:t>)</w:t>
      </w:r>
      <w:r w:rsidR="00CC3E57">
        <w:rPr>
          <w:spacing w:val="-3"/>
        </w:rPr>
        <w:t xml:space="preserve"> </w:t>
      </w:r>
      <w:r>
        <w:rPr>
          <w:spacing w:val="-3"/>
        </w:rPr>
        <w:t xml:space="preserve">para </w:t>
      </w:r>
      <w:r w:rsidRPr="007D4158">
        <w:rPr>
          <w:spacing w:val="-3"/>
        </w:rPr>
        <w:t>prom</w:t>
      </w:r>
      <w:r>
        <w:rPr>
          <w:spacing w:val="-3"/>
        </w:rPr>
        <w:t xml:space="preserve">over el tránsito de </w:t>
      </w:r>
      <w:r w:rsidRPr="007D4158">
        <w:rPr>
          <w:spacing w:val="-3"/>
        </w:rPr>
        <w:t xml:space="preserve">los trabajadores del proyecto, obra o actividad hacia nuevas actividades económicas una vez </w:t>
      </w:r>
      <w:r w:rsidR="00CC3E57">
        <w:rPr>
          <w:spacing w:val="-3"/>
        </w:rPr>
        <w:t xml:space="preserve">éste </w:t>
      </w:r>
      <w:r w:rsidR="00B632A4">
        <w:rPr>
          <w:spacing w:val="-3"/>
        </w:rPr>
        <w:t>o sus etapas</w:t>
      </w:r>
      <w:r w:rsidR="00CC3E57">
        <w:rPr>
          <w:spacing w:val="-3"/>
        </w:rPr>
        <w:t xml:space="preserve"> </w:t>
      </w:r>
      <w:r w:rsidR="003A0E76">
        <w:rPr>
          <w:spacing w:val="-3"/>
        </w:rPr>
        <w:t>de ejecución finalicen</w:t>
      </w:r>
      <w:r>
        <w:rPr>
          <w:spacing w:val="-3"/>
        </w:rPr>
        <w:t>,</w:t>
      </w:r>
      <w:r w:rsidRPr="007D4158">
        <w:rPr>
          <w:spacing w:val="-3"/>
        </w:rPr>
        <w:t xml:space="preserve"> deben procurar que los trabajadores construyan alternativas económicas, sistemas productivos u otros emprendimientos </w:t>
      </w:r>
      <w:r w:rsidR="00915C0E" w:rsidRPr="00915C0E">
        <w:rPr>
          <w:spacing w:val="-3"/>
        </w:rPr>
        <w:t xml:space="preserve">acordes con sus necesidades, que sean armónicos con los usos del suelo establecidos en los </w:t>
      </w:r>
      <w:r w:rsidR="00915C0E" w:rsidRPr="00915C0E">
        <w:rPr>
          <w:spacing w:val="-3"/>
        </w:rPr>
        <w:lastRenderedPageBreak/>
        <w:t xml:space="preserve">instrumentos de ordenamiento territorial </w:t>
      </w:r>
      <w:r w:rsidR="00C34247">
        <w:rPr>
          <w:spacing w:val="-3"/>
        </w:rPr>
        <w:t>(</w:t>
      </w:r>
      <w:r w:rsidR="00915C0E" w:rsidRPr="00915C0E">
        <w:rPr>
          <w:spacing w:val="-3"/>
        </w:rPr>
        <w:t>referenciados en el plan de desmantelamiento y cierre ambiental</w:t>
      </w:r>
      <w:r w:rsidR="00C34247">
        <w:rPr>
          <w:spacing w:val="-3"/>
        </w:rPr>
        <w:t>)</w:t>
      </w:r>
      <w:r w:rsidRPr="007D4158">
        <w:rPr>
          <w:spacing w:val="-3"/>
        </w:rPr>
        <w:t>, que garanticen la sostenibilidad ambiental y que mejoren sus condiciones socioeconómicas y calidad de vida.</w:t>
      </w:r>
    </w:p>
    <w:p w14:paraId="5C9F372E" w14:textId="77777777" w:rsidR="00955B71" w:rsidRPr="004E4C01" w:rsidRDefault="00955B71" w:rsidP="00955B71">
      <w:pPr>
        <w:numPr>
          <w:ilvl w:val="12"/>
          <w:numId w:val="0"/>
        </w:numPr>
        <w:tabs>
          <w:tab w:val="left" w:pos="-2268"/>
        </w:tabs>
        <w:suppressAutoHyphens/>
        <w:rPr>
          <w:spacing w:val="-3"/>
        </w:rPr>
      </w:pPr>
    </w:p>
    <w:p w14:paraId="6314D01A" w14:textId="0916AD59" w:rsidR="00955B71" w:rsidRPr="007D4158" w:rsidRDefault="00955B71" w:rsidP="00955B71">
      <w:pPr>
        <w:numPr>
          <w:ilvl w:val="0"/>
          <w:numId w:val="19"/>
        </w:numPr>
        <w:tabs>
          <w:tab w:val="left" w:pos="-2268"/>
        </w:tabs>
        <w:suppressAutoHyphens/>
        <w:ind w:left="567" w:hanging="567"/>
        <w:rPr>
          <w:spacing w:val="-3"/>
        </w:rPr>
      </w:pPr>
      <w:r w:rsidRPr="007D4158">
        <w:rPr>
          <w:spacing w:val="-3"/>
        </w:rPr>
        <w:t xml:space="preserve">La formulación de las medidas encaminadas a prevenir, mitigar, corregir o compensar los impactos de la </w:t>
      </w:r>
      <w:r w:rsidR="00D952B3">
        <w:rPr>
          <w:spacing w:val="-3"/>
        </w:rPr>
        <w:t>etapa</w:t>
      </w:r>
      <w:r w:rsidR="00D952B3" w:rsidRPr="007D4158" w:rsidDel="00D952B3">
        <w:rPr>
          <w:spacing w:val="-3"/>
        </w:rPr>
        <w:t xml:space="preserve"> </w:t>
      </w:r>
      <w:r w:rsidRPr="007D4158">
        <w:rPr>
          <w:spacing w:val="-3"/>
        </w:rPr>
        <w:t xml:space="preserve">de desmantelamiento y cierre ambiental, debe realizarse tomando como fundamento los impactos ambientales generados por las actividades de reconfiguración y restauración, los impactos ambientales que persistan por la ejecución del proyecto, obra o actividad (para el caso del plan que hace parte del estudio elaborado para iniciar la </w:t>
      </w:r>
      <w:r w:rsidR="00377F5E">
        <w:rPr>
          <w:spacing w:val="-3"/>
        </w:rPr>
        <w:t>etapa</w:t>
      </w:r>
      <w:r w:rsidR="00377F5E" w:rsidRPr="007D4158" w:rsidDel="00377F5E">
        <w:rPr>
          <w:spacing w:val="-3"/>
        </w:rPr>
        <w:t xml:space="preserve"> </w:t>
      </w:r>
      <w:r w:rsidRPr="007D4158">
        <w:rPr>
          <w:spacing w:val="-3"/>
        </w:rPr>
        <w:t>de desmantelamiento y cierre ambiental), así como la conservación de los ecosistemas estratégicos presentes en el área de influencia del proyecto, obra o actividad.</w:t>
      </w:r>
    </w:p>
    <w:p w14:paraId="308060F8" w14:textId="77777777" w:rsidR="00955B71" w:rsidRDefault="00955B71" w:rsidP="00955B71">
      <w:pPr>
        <w:numPr>
          <w:ilvl w:val="12"/>
          <w:numId w:val="0"/>
        </w:numPr>
        <w:tabs>
          <w:tab w:val="left" w:pos="-2268"/>
        </w:tabs>
        <w:suppressAutoHyphens/>
        <w:rPr>
          <w:spacing w:val="-3"/>
        </w:rPr>
      </w:pPr>
    </w:p>
    <w:p w14:paraId="4814D6AC" w14:textId="4604EA3A" w:rsidR="00955B71" w:rsidRPr="0036504F" w:rsidRDefault="00955B71" w:rsidP="00955B71">
      <w:pPr>
        <w:numPr>
          <w:ilvl w:val="0"/>
          <w:numId w:val="19"/>
        </w:numPr>
        <w:tabs>
          <w:tab w:val="left" w:pos="-2268"/>
        </w:tabs>
        <w:suppressAutoHyphens/>
        <w:ind w:left="567" w:hanging="567"/>
        <w:rPr>
          <w:spacing w:val="-3"/>
        </w:rPr>
      </w:pPr>
      <w:r w:rsidRPr="007D4158">
        <w:rPr>
          <w:spacing w:val="-3"/>
        </w:rPr>
        <w:t>Se deben formular medidas de manejo</w:t>
      </w:r>
      <w:r>
        <w:rPr>
          <w:spacing w:val="-3"/>
        </w:rPr>
        <w:t xml:space="preserve"> </w:t>
      </w:r>
      <w:r w:rsidRPr="007D4158">
        <w:rPr>
          <w:spacing w:val="-3"/>
        </w:rPr>
        <w:t>para aplicar en caso de que el proyecto, por circunstancias internas o externas</w:t>
      </w:r>
      <w:r>
        <w:rPr>
          <w:spacing w:val="-3"/>
        </w:rPr>
        <w:t>,</w:t>
      </w:r>
      <w:r w:rsidRPr="007D4158">
        <w:rPr>
          <w:spacing w:val="-3"/>
        </w:rPr>
        <w:t xml:space="preserve"> deba cesar sus actividades </w:t>
      </w:r>
      <w:r w:rsidRPr="0055640C">
        <w:rPr>
          <w:spacing w:val="-3"/>
        </w:rPr>
        <w:t>de construcción u operación</w:t>
      </w:r>
      <w:r w:rsidRPr="008E70CE">
        <w:rPr>
          <w:spacing w:val="-3"/>
        </w:rPr>
        <w:t xml:space="preserve"> </w:t>
      </w:r>
      <w:r w:rsidRPr="007D4158">
        <w:rPr>
          <w:spacing w:val="-3"/>
        </w:rPr>
        <w:t xml:space="preserve">de forma imprevista y definitiva sin tener aprobado el inicio de la </w:t>
      </w:r>
      <w:r w:rsidR="005F11BE">
        <w:rPr>
          <w:spacing w:val="-3"/>
        </w:rPr>
        <w:t>etapa</w:t>
      </w:r>
      <w:r w:rsidR="005F11BE" w:rsidRPr="007D4158" w:rsidDel="005F11BE">
        <w:rPr>
          <w:spacing w:val="-3"/>
        </w:rPr>
        <w:t xml:space="preserve"> </w:t>
      </w:r>
      <w:r w:rsidRPr="007D4158">
        <w:rPr>
          <w:spacing w:val="-3"/>
        </w:rPr>
        <w:t>de desmantelamiento y cierre ambiental. El propósito de estas medidas es asegurar el mantenimiento de las condiciones ambientales, evita</w:t>
      </w:r>
      <w:r>
        <w:rPr>
          <w:spacing w:val="-3"/>
        </w:rPr>
        <w:t xml:space="preserve">ndo </w:t>
      </w:r>
      <w:r w:rsidRPr="007D4158">
        <w:rPr>
          <w:spacing w:val="-3"/>
        </w:rPr>
        <w:t xml:space="preserve">el aumento de la significancia de los impactos del proyecto o </w:t>
      </w:r>
      <w:r>
        <w:rPr>
          <w:spacing w:val="-3"/>
        </w:rPr>
        <w:t xml:space="preserve">bien, </w:t>
      </w:r>
      <w:r w:rsidRPr="007D4158">
        <w:rPr>
          <w:spacing w:val="-3"/>
        </w:rPr>
        <w:t>la manifestación de impactos ambientales adicionales</w:t>
      </w:r>
      <w:r w:rsidRPr="00C34439">
        <w:rPr>
          <w:spacing w:val="-3"/>
        </w:rPr>
        <w:t>.</w:t>
      </w:r>
    </w:p>
    <w:p w14:paraId="627C5063" w14:textId="77777777" w:rsidR="00955B71" w:rsidRPr="004E4C01" w:rsidRDefault="00955B71" w:rsidP="00955B71">
      <w:pPr>
        <w:numPr>
          <w:ilvl w:val="12"/>
          <w:numId w:val="0"/>
        </w:numPr>
        <w:tabs>
          <w:tab w:val="left" w:pos="-2268"/>
        </w:tabs>
        <w:suppressAutoHyphens/>
        <w:rPr>
          <w:spacing w:val="-3"/>
        </w:rPr>
      </w:pPr>
    </w:p>
    <w:p w14:paraId="5624BFE1" w14:textId="300F5D9C" w:rsidR="00955B71" w:rsidRPr="007D4158" w:rsidRDefault="00955B71" w:rsidP="00955B71">
      <w:pPr>
        <w:numPr>
          <w:ilvl w:val="0"/>
          <w:numId w:val="19"/>
        </w:numPr>
        <w:tabs>
          <w:tab w:val="left" w:pos="-2268"/>
        </w:tabs>
        <w:suppressAutoHyphens/>
        <w:ind w:left="567" w:hanging="567"/>
        <w:rPr>
          <w:spacing w:val="-3"/>
        </w:rPr>
      </w:pPr>
      <w:r w:rsidRPr="007D4158">
        <w:rPr>
          <w:spacing w:val="-3"/>
        </w:rPr>
        <w:t xml:space="preserve">Las actividades de ahuyentamiento de fauna y rescate, manipulación y reubicación de organismos biológicos, deben ser incorporadas como medidas de manejo al plan de manejo ambiental, señalando además de los ítems aplicables a todas las medidas de manejo (listados </w:t>
      </w:r>
      <w:r w:rsidR="0070611C">
        <w:rPr>
          <w:spacing w:val="-3"/>
        </w:rPr>
        <w:t>atrás</w:t>
      </w:r>
      <w:r w:rsidRPr="007D4158">
        <w:rPr>
          <w:spacing w:val="-3"/>
        </w:rPr>
        <w:t>), una descripción de los métodos para su ejecución. Asimismo, en la formulación de estas medidas de manejo se debe especificar que para su aplicación es necesario diligenciar un registro que detalle la siguiente información:</w:t>
      </w:r>
    </w:p>
    <w:p w14:paraId="5AE1F361" w14:textId="77777777" w:rsidR="00955B71" w:rsidRDefault="00955B71" w:rsidP="00955B71">
      <w:pPr>
        <w:numPr>
          <w:ilvl w:val="12"/>
          <w:numId w:val="0"/>
        </w:numPr>
        <w:tabs>
          <w:tab w:val="left" w:pos="-2268"/>
        </w:tabs>
        <w:suppressAutoHyphens/>
      </w:pPr>
    </w:p>
    <w:p w14:paraId="2942A582" w14:textId="77777777" w:rsidR="00955B71" w:rsidRPr="007D4158" w:rsidRDefault="00955B71" w:rsidP="00955B71">
      <w:pPr>
        <w:numPr>
          <w:ilvl w:val="1"/>
          <w:numId w:val="40"/>
        </w:numPr>
        <w:tabs>
          <w:tab w:val="left" w:pos="-2268"/>
        </w:tabs>
        <w:suppressAutoHyphens/>
        <w:ind w:left="1134" w:hanging="567"/>
        <w:rPr>
          <w:iCs/>
          <w:spacing w:val="-3"/>
        </w:rPr>
      </w:pPr>
      <w:r w:rsidRPr="007D4158">
        <w:rPr>
          <w:iCs/>
          <w:spacing w:val="-3"/>
        </w:rPr>
        <w:t>Código único consecutivo de los individuos objeto de captura</w:t>
      </w:r>
      <w:r w:rsidRPr="00094FAF">
        <w:rPr>
          <w:iCs/>
          <w:spacing w:val="-3"/>
        </w:rPr>
        <w:t>.</w:t>
      </w:r>
    </w:p>
    <w:p w14:paraId="7CD43AD3" w14:textId="77777777" w:rsidR="00955B71" w:rsidRPr="00094FAF" w:rsidRDefault="00955B71" w:rsidP="00955B71">
      <w:pPr>
        <w:tabs>
          <w:tab w:val="left" w:pos="-2268"/>
        </w:tabs>
        <w:suppressAutoHyphens/>
        <w:rPr>
          <w:iCs/>
          <w:spacing w:val="-3"/>
        </w:rPr>
      </w:pPr>
    </w:p>
    <w:p w14:paraId="74E19F3E" w14:textId="77777777" w:rsidR="00955B71" w:rsidRPr="007D4158" w:rsidRDefault="00955B71" w:rsidP="00955B71">
      <w:pPr>
        <w:numPr>
          <w:ilvl w:val="1"/>
          <w:numId w:val="40"/>
        </w:numPr>
        <w:tabs>
          <w:tab w:val="left" w:pos="-2268"/>
        </w:tabs>
        <w:suppressAutoHyphens/>
        <w:ind w:left="1134" w:hanging="567"/>
        <w:rPr>
          <w:iCs/>
          <w:spacing w:val="-3"/>
        </w:rPr>
      </w:pPr>
      <w:r w:rsidRPr="007D4158">
        <w:rPr>
          <w:iCs/>
          <w:spacing w:val="-3"/>
        </w:rPr>
        <w:t>Fecha y hora de la captura</w:t>
      </w:r>
      <w:r w:rsidRPr="00094FAF">
        <w:rPr>
          <w:iCs/>
          <w:spacing w:val="-3"/>
        </w:rPr>
        <w:t>.</w:t>
      </w:r>
    </w:p>
    <w:p w14:paraId="0EA711A0" w14:textId="77777777" w:rsidR="00955B71" w:rsidRPr="00094FAF" w:rsidRDefault="00955B71" w:rsidP="00955B71">
      <w:pPr>
        <w:tabs>
          <w:tab w:val="left" w:pos="-2268"/>
        </w:tabs>
        <w:suppressAutoHyphens/>
        <w:rPr>
          <w:iCs/>
          <w:spacing w:val="-3"/>
        </w:rPr>
      </w:pPr>
    </w:p>
    <w:p w14:paraId="3A5BE398" w14:textId="77777777" w:rsidR="00955B71" w:rsidRPr="007D4158" w:rsidRDefault="00955B71" w:rsidP="00955B71">
      <w:pPr>
        <w:numPr>
          <w:ilvl w:val="1"/>
          <w:numId w:val="40"/>
        </w:numPr>
        <w:tabs>
          <w:tab w:val="left" w:pos="-2268"/>
        </w:tabs>
        <w:suppressAutoHyphens/>
        <w:ind w:left="1134" w:hanging="567"/>
        <w:rPr>
          <w:iCs/>
          <w:spacing w:val="-3"/>
        </w:rPr>
      </w:pPr>
      <w:r w:rsidRPr="007D4158">
        <w:rPr>
          <w:iCs/>
          <w:spacing w:val="-3"/>
        </w:rPr>
        <w:t>Especie, familia y orden</w:t>
      </w:r>
      <w:r w:rsidRPr="00094FAF">
        <w:rPr>
          <w:iCs/>
          <w:spacing w:val="-3"/>
        </w:rPr>
        <w:t>.</w:t>
      </w:r>
    </w:p>
    <w:p w14:paraId="72370818" w14:textId="77777777" w:rsidR="00955B71" w:rsidRPr="00094FAF" w:rsidRDefault="00955B71" w:rsidP="00955B71">
      <w:pPr>
        <w:tabs>
          <w:tab w:val="left" w:pos="-2268"/>
        </w:tabs>
        <w:suppressAutoHyphens/>
        <w:rPr>
          <w:iCs/>
          <w:spacing w:val="-3"/>
        </w:rPr>
      </w:pPr>
    </w:p>
    <w:p w14:paraId="443E84AB" w14:textId="77777777" w:rsidR="00955B71" w:rsidRPr="007D4158" w:rsidRDefault="00955B71" w:rsidP="00955B71">
      <w:pPr>
        <w:numPr>
          <w:ilvl w:val="1"/>
          <w:numId w:val="40"/>
        </w:numPr>
        <w:tabs>
          <w:tab w:val="left" w:pos="-2268"/>
        </w:tabs>
        <w:suppressAutoHyphens/>
        <w:ind w:left="1134" w:hanging="567"/>
        <w:rPr>
          <w:iCs/>
          <w:spacing w:val="-3"/>
        </w:rPr>
      </w:pPr>
      <w:r w:rsidRPr="007D4158">
        <w:rPr>
          <w:iCs/>
          <w:spacing w:val="-3"/>
        </w:rPr>
        <w:t>Coordenada</w:t>
      </w:r>
      <w:r w:rsidRPr="00094FAF">
        <w:rPr>
          <w:iCs/>
          <w:spacing w:val="-3"/>
        </w:rPr>
        <w:t>s</w:t>
      </w:r>
      <w:r w:rsidRPr="007D4158">
        <w:rPr>
          <w:iCs/>
          <w:spacing w:val="-3"/>
        </w:rPr>
        <w:t xml:space="preserve"> de rescate y reubicación en caso de capturas temporales</w:t>
      </w:r>
      <w:r w:rsidRPr="00094FAF">
        <w:rPr>
          <w:iCs/>
          <w:spacing w:val="-3"/>
        </w:rPr>
        <w:t>.</w:t>
      </w:r>
    </w:p>
    <w:p w14:paraId="2D746904" w14:textId="77777777" w:rsidR="00955B71" w:rsidRPr="00094FAF" w:rsidRDefault="00955B71" w:rsidP="00955B71">
      <w:pPr>
        <w:tabs>
          <w:tab w:val="left" w:pos="-2268"/>
        </w:tabs>
        <w:suppressAutoHyphens/>
        <w:rPr>
          <w:iCs/>
          <w:spacing w:val="-3"/>
        </w:rPr>
      </w:pPr>
    </w:p>
    <w:p w14:paraId="65ED9093" w14:textId="77777777" w:rsidR="00955B71" w:rsidRPr="007D4158" w:rsidRDefault="00955B71" w:rsidP="00955B71">
      <w:pPr>
        <w:numPr>
          <w:ilvl w:val="1"/>
          <w:numId w:val="40"/>
        </w:numPr>
        <w:tabs>
          <w:tab w:val="left" w:pos="-2268"/>
        </w:tabs>
        <w:suppressAutoHyphens/>
        <w:ind w:left="1134" w:hanging="567"/>
        <w:rPr>
          <w:iCs/>
          <w:spacing w:val="-3"/>
        </w:rPr>
      </w:pPr>
      <w:r w:rsidRPr="007D4158">
        <w:rPr>
          <w:iCs/>
          <w:spacing w:val="-3"/>
        </w:rPr>
        <w:t>Registro fotográfico por código único</w:t>
      </w:r>
      <w:r w:rsidRPr="00094FAF">
        <w:rPr>
          <w:iCs/>
          <w:spacing w:val="-3"/>
        </w:rPr>
        <w:t>,</w:t>
      </w:r>
      <w:r w:rsidRPr="007D4158">
        <w:rPr>
          <w:iCs/>
          <w:spacing w:val="-3"/>
        </w:rPr>
        <w:t xml:space="preserve"> tanto del rescate, como de su reubicación</w:t>
      </w:r>
      <w:r w:rsidRPr="00094FAF">
        <w:rPr>
          <w:iCs/>
          <w:spacing w:val="-3"/>
        </w:rPr>
        <w:t>.</w:t>
      </w:r>
    </w:p>
    <w:p w14:paraId="65D0343D" w14:textId="77777777" w:rsidR="00955B71" w:rsidRPr="00094FAF" w:rsidRDefault="00955B71" w:rsidP="00955B71">
      <w:pPr>
        <w:tabs>
          <w:tab w:val="left" w:pos="-2268"/>
        </w:tabs>
        <w:suppressAutoHyphens/>
        <w:rPr>
          <w:iCs/>
          <w:spacing w:val="-3"/>
        </w:rPr>
      </w:pPr>
    </w:p>
    <w:p w14:paraId="7F70E405" w14:textId="77777777" w:rsidR="00955B71" w:rsidRPr="007D4158" w:rsidRDefault="00955B71" w:rsidP="00955B71">
      <w:pPr>
        <w:numPr>
          <w:ilvl w:val="1"/>
          <w:numId w:val="40"/>
        </w:numPr>
        <w:tabs>
          <w:tab w:val="left" w:pos="-2268"/>
        </w:tabs>
        <w:suppressAutoHyphens/>
        <w:ind w:left="1134" w:hanging="567"/>
        <w:rPr>
          <w:iCs/>
          <w:spacing w:val="-3"/>
        </w:rPr>
      </w:pPr>
      <w:r w:rsidRPr="007D4158">
        <w:rPr>
          <w:iCs/>
          <w:spacing w:val="-3"/>
        </w:rPr>
        <w:t>Fichas medicas veterinarias para individuos que requieran algún procedimiento médico, que indiquen el estado de ingreso y egreso, así como el reporte de mortalidad de individuos (capturas no temporales)</w:t>
      </w:r>
      <w:r w:rsidRPr="00094FAF">
        <w:rPr>
          <w:iCs/>
          <w:spacing w:val="-3"/>
        </w:rPr>
        <w:t>.</w:t>
      </w:r>
    </w:p>
    <w:p w14:paraId="28E8882F" w14:textId="77777777" w:rsidR="00955B71" w:rsidRPr="00094FAF" w:rsidRDefault="00955B71" w:rsidP="00955B71">
      <w:pPr>
        <w:numPr>
          <w:ilvl w:val="12"/>
          <w:numId w:val="0"/>
        </w:numPr>
        <w:tabs>
          <w:tab w:val="left" w:pos="-2268"/>
        </w:tabs>
        <w:suppressAutoHyphens/>
        <w:rPr>
          <w:iCs/>
        </w:rPr>
      </w:pPr>
    </w:p>
    <w:p w14:paraId="7BBD29FE" w14:textId="77777777" w:rsidR="00955B71" w:rsidRDefault="00955B71" w:rsidP="00955B71">
      <w:pPr>
        <w:numPr>
          <w:ilvl w:val="12"/>
          <w:numId w:val="0"/>
        </w:numPr>
        <w:tabs>
          <w:tab w:val="left" w:pos="-2268"/>
        </w:tabs>
        <w:suppressAutoHyphens/>
        <w:ind w:left="567"/>
      </w:pPr>
      <w:r>
        <w:lastRenderedPageBreak/>
        <w:t>La formulación de estas medidas debe considerar que la reubicación de fauna debe realizarse buscando generar el menor estrés posible a los individuos. Así, las medidas referidas a capturas temporales (rescate, manipulación y reubicación) deben plantear la liberación inmediata, en el mismo ecosistema (ojalá en el área de influencia), de los individuos y; las medidas referidas a capturas no temporales, cuando los rescates consideran sedación o los individuos han sufrido afectaciones en el proceso, deben plantear la atención propia de un centro de paso, señalando que el manejo de los individuos se realizará de manera articulada y siguiendo las orientaciones de la autoridad ambiental competente.</w:t>
      </w:r>
    </w:p>
    <w:p w14:paraId="2300FAF3" w14:textId="77777777" w:rsidR="00955B71" w:rsidRDefault="00955B71" w:rsidP="00955B71">
      <w:pPr>
        <w:numPr>
          <w:ilvl w:val="12"/>
          <w:numId w:val="0"/>
        </w:numPr>
        <w:tabs>
          <w:tab w:val="left" w:pos="-2268"/>
        </w:tabs>
        <w:suppressAutoHyphens/>
      </w:pPr>
    </w:p>
    <w:p w14:paraId="77A7F18C" w14:textId="77777777" w:rsidR="00955B71" w:rsidRPr="004E4C01" w:rsidRDefault="00955B71" w:rsidP="00955B71">
      <w:pPr>
        <w:ind w:left="567"/>
      </w:pPr>
      <w:r>
        <w:t>Se debe tener en cuenta que, posterior a la atención en el centro de paso, la liberación de los individuos está condicionada a las determinaciones de la autoridad ambiental competente y a la necesidad de un área que sea idónea en términos de hábitat y capacidad de recepción de fauna.</w:t>
      </w:r>
    </w:p>
    <w:p w14:paraId="00EA8DAF" w14:textId="77777777" w:rsidR="00955B71" w:rsidRPr="004E4C01" w:rsidRDefault="00955B71" w:rsidP="00955B71"/>
    <w:p w14:paraId="414A35EF" w14:textId="77777777" w:rsidR="00955B71" w:rsidRPr="007D4158" w:rsidRDefault="00955B71" w:rsidP="00955B71">
      <w:pPr>
        <w:numPr>
          <w:ilvl w:val="0"/>
          <w:numId w:val="19"/>
        </w:numPr>
        <w:tabs>
          <w:tab w:val="left" w:pos="-2268"/>
        </w:tabs>
        <w:suppressAutoHyphens/>
        <w:ind w:left="567" w:hanging="567"/>
        <w:rPr>
          <w:spacing w:val="-3"/>
        </w:rPr>
      </w:pPr>
      <w:r>
        <w:rPr>
          <w:spacing w:val="-3"/>
        </w:rPr>
        <w:t>L</w:t>
      </w:r>
      <w:r w:rsidRPr="007D4158">
        <w:rPr>
          <w:spacing w:val="-3"/>
        </w:rPr>
        <w:t xml:space="preserve">as medidas de manejo asociadas a las especies de plantas y líquenes en veda deben incluirse en el plan de manejo ambiental, </w:t>
      </w:r>
      <w:r>
        <w:rPr>
          <w:spacing w:val="-3"/>
        </w:rPr>
        <w:t xml:space="preserve">describirse </w:t>
      </w:r>
      <w:r w:rsidRPr="007D4158">
        <w:rPr>
          <w:spacing w:val="-3"/>
        </w:rPr>
        <w:t>mediante los ítems aplicables a todas las medidas de manejo y formularse considerando los siguientes lineamientos:</w:t>
      </w:r>
    </w:p>
    <w:p w14:paraId="5703F6FA" w14:textId="77777777" w:rsidR="00955B71" w:rsidRPr="004E4C01" w:rsidRDefault="00955B71" w:rsidP="00955B71"/>
    <w:p w14:paraId="4E26C25D" w14:textId="77777777" w:rsidR="00955B71" w:rsidRPr="0050004D" w:rsidRDefault="00955B71" w:rsidP="00955B71">
      <w:pPr>
        <w:numPr>
          <w:ilvl w:val="1"/>
          <w:numId w:val="40"/>
        </w:numPr>
        <w:tabs>
          <w:tab w:val="left" w:pos="-2268"/>
        </w:tabs>
        <w:suppressAutoHyphens/>
        <w:ind w:left="1134" w:hanging="567"/>
        <w:rPr>
          <w:iCs/>
          <w:spacing w:val="-3"/>
        </w:rPr>
      </w:pPr>
      <w:r w:rsidRPr="0050004D">
        <w:rPr>
          <w:iCs/>
          <w:spacing w:val="-3"/>
        </w:rPr>
        <w:t>Las áreas a las cuales se prevé trasladar los especímenes de estos organismos deben tener condiciones óptimas para su desarrollo, por ello resulta necesario considerar las características ecosistémicas de tales áreas en términos de composición florística de los diferentes hábitos de crecimiento, estructura vertical y horizontal, conectividad ecológica, microclima, suelos, grado de disturbio y estado de sucesión vegetal y disponibilidad de recursos y espacio. Para garantizar la disponibilidad de recursos y espacio, es necesario tener en cuenta la composición y riqueza de las poblaciones de flora y líquenes, y la disponibilidad y arquitectura de árboles receptores (potenciales forófitos) y de otros sustratos que sirvan de hábitat receptor.</w:t>
      </w:r>
    </w:p>
    <w:p w14:paraId="3FFB590E" w14:textId="77777777" w:rsidR="00955B71" w:rsidRPr="0050004D" w:rsidRDefault="00955B71" w:rsidP="00955B71">
      <w:pPr>
        <w:tabs>
          <w:tab w:val="left" w:pos="-2268"/>
        </w:tabs>
        <w:suppressAutoHyphens/>
        <w:rPr>
          <w:iCs/>
          <w:spacing w:val="-3"/>
        </w:rPr>
      </w:pPr>
    </w:p>
    <w:p w14:paraId="28943DD0" w14:textId="23FDD954" w:rsidR="00955B71" w:rsidRPr="0050004D" w:rsidRDefault="00955B71" w:rsidP="00955B71">
      <w:pPr>
        <w:numPr>
          <w:ilvl w:val="1"/>
          <w:numId w:val="40"/>
        </w:numPr>
        <w:tabs>
          <w:tab w:val="left" w:pos="-2268"/>
        </w:tabs>
        <w:suppressAutoHyphens/>
        <w:ind w:left="1134" w:hanging="567"/>
        <w:rPr>
          <w:iCs/>
          <w:spacing w:val="-3"/>
        </w:rPr>
      </w:pPr>
      <w:r w:rsidRPr="0050004D">
        <w:rPr>
          <w:iCs/>
          <w:spacing w:val="-3"/>
        </w:rPr>
        <w:t>Las áreas a las cuales se prevé trasladar los especímenes de estos organismos deben localizarse, en lo posible, dentro del área de influencia del proyecto, obra o actividad; si ello no es posible, deben ubicarse en AEIA</w:t>
      </w:r>
      <w:r w:rsidR="00B42488">
        <w:rPr>
          <w:iCs/>
          <w:spacing w:val="-3"/>
        </w:rPr>
        <w:t xml:space="preserve"> </w:t>
      </w:r>
      <w:r w:rsidR="00341067" w:rsidRPr="00BD1319">
        <w:rPr>
          <w:spacing w:val="-3"/>
        </w:rPr>
        <w:t xml:space="preserve">o </w:t>
      </w:r>
      <w:r w:rsidR="00341067">
        <w:t>en áreas con condiciones ecológicas similares</w:t>
      </w:r>
      <w:r w:rsidRPr="0050004D">
        <w:rPr>
          <w:iCs/>
          <w:spacing w:val="-3"/>
        </w:rPr>
        <w:t>.</w:t>
      </w:r>
    </w:p>
    <w:p w14:paraId="5A14123A" w14:textId="77777777" w:rsidR="00955B71" w:rsidRPr="0050004D" w:rsidRDefault="00955B71" w:rsidP="00955B71">
      <w:pPr>
        <w:tabs>
          <w:tab w:val="left" w:pos="-2268"/>
        </w:tabs>
        <w:suppressAutoHyphens/>
        <w:rPr>
          <w:iCs/>
          <w:spacing w:val="-3"/>
        </w:rPr>
      </w:pPr>
    </w:p>
    <w:p w14:paraId="4F0C27B7" w14:textId="77777777" w:rsidR="00955B71" w:rsidRPr="0050004D" w:rsidRDefault="00955B71" w:rsidP="00955B71">
      <w:pPr>
        <w:numPr>
          <w:ilvl w:val="1"/>
          <w:numId w:val="40"/>
        </w:numPr>
        <w:tabs>
          <w:tab w:val="left" w:pos="-2268"/>
        </w:tabs>
        <w:suppressAutoHyphens/>
        <w:ind w:left="1134" w:hanging="567"/>
        <w:rPr>
          <w:iCs/>
          <w:spacing w:val="-3"/>
        </w:rPr>
      </w:pPr>
      <w:r w:rsidRPr="0050004D">
        <w:rPr>
          <w:iCs/>
          <w:spacing w:val="-3"/>
        </w:rPr>
        <w:t>Las áreas a las cuales se prevé trasladar los especímenes de estos organismos deben garantizar que en ellas sea posible aplicar la medida de manejo durante todo el periodo previsto para su implementación y, de ser posible, también en el largo plazo.</w:t>
      </w:r>
    </w:p>
    <w:p w14:paraId="205C7FDC" w14:textId="77777777" w:rsidR="00955B71" w:rsidRPr="0050004D" w:rsidRDefault="00955B71" w:rsidP="00955B71">
      <w:pPr>
        <w:tabs>
          <w:tab w:val="left" w:pos="-2268"/>
        </w:tabs>
        <w:suppressAutoHyphens/>
        <w:rPr>
          <w:iCs/>
          <w:spacing w:val="-3"/>
        </w:rPr>
      </w:pPr>
    </w:p>
    <w:p w14:paraId="17A1CF60" w14:textId="77777777" w:rsidR="00955B71" w:rsidRPr="0050004D" w:rsidRDefault="00955B71" w:rsidP="00955B71">
      <w:pPr>
        <w:numPr>
          <w:ilvl w:val="1"/>
          <w:numId w:val="40"/>
        </w:numPr>
        <w:tabs>
          <w:tab w:val="left" w:pos="-2268"/>
        </w:tabs>
        <w:suppressAutoHyphens/>
        <w:ind w:left="1134" w:hanging="567"/>
        <w:rPr>
          <w:iCs/>
          <w:spacing w:val="-3"/>
        </w:rPr>
      </w:pPr>
      <w:r w:rsidRPr="0050004D">
        <w:rPr>
          <w:iCs/>
          <w:spacing w:val="-3"/>
        </w:rPr>
        <w:lastRenderedPageBreak/>
        <w:t>La información geográfica de las áreas a las cuales se prevé trasladar los especímenes de estos organismos debe ser incorporada al Modelo de Almacenamiento Geográfico.</w:t>
      </w:r>
    </w:p>
    <w:p w14:paraId="359D4F0C" w14:textId="77777777" w:rsidR="00955B71" w:rsidRPr="004E4C01" w:rsidRDefault="00955B71" w:rsidP="00955B71">
      <w:pPr>
        <w:tabs>
          <w:tab w:val="left" w:pos="-2268"/>
        </w:tabs>
        <w:suppressAutoHyphens/>
        <w:rPr>
          <w:spacing w:val="-3"/>
        </w:rPr>
      </w:pPr>
    </w:p>
    <w:p w14:paraId="6EEE4989" w14:textId="5E5D59C7" w:rsidR="00955B71" w:rsidRPr="004E4C01" w:rsidRDefault="00955B71" w:rsidP="00955B71">
      <w:pPr>
        <w:numPr>
          <w:ilvl w:val="0"/>
          <w:numId w:val="19"/>
        </w:numPr>
        <w:tabs>
          <w:tab w:val="left" w:pos="-2268"/>
        </w:tabs>
        <w:suppressAutoHyphens/>
        <w:ind w:left="567" w:hanging="567"/>
        <w:rPr>
          <w:spacing w:val="-3"/>
        </w:rPr>
      </w:pPr>
      <w:r w:rsidRPr="007D4158">
        <w:rPr>
          <w:spacing w:val="-3"/>
        </w:rPr>
        <w:t>Las medidas de manejo para impactos sobre el paisaje en áreas de valor patrimonial deben priorizar estrategias como la ocultación (p. ej. uso de barreras visuales o topográficas</w:t>
      </w:r>
      <w:r w:rsidR="001E346C">
        <w:rPr>
          <w:spacing w:val="-3"/>
        </w:rPr>
        <w:t>)</w:t>
      </w:r>
      <w:r w:rsidRPr="007D4158">
        <w:rPr>
          <w:spacing w:val="-3"/>
        </w:rPr>
        <w:t>, mimetización (p. ej. uso de materiales y colores afines al entorno), contextualización (adaptación de la infraestructura a las tipologías arquitectónicas y volumetrías locales) y naturalización (p. ej. recuperación de coberturas vegetales nativas para integrar la obra al entorno).</w:t>
      </w:r>
    </w:p>
    <w:p w14:paraId="4688063A" w14:textId="77777777" w:rsidR="00955B71" w:rsidRDefault="00955B71" w:rsidP="00955B71">
      <w:pPr>
        <w:tabs>
          <w:tab w:val="left" w:pos="-2268"/>
        </w:tabs>
        <w:suppressAutoHyphens/>
        <w:rPr>
          <w:spacing w:val="-3"/>
        </w:rPr>
      </w:pPr>
    </w:p>
    <w:p w14:paraId="6B63C9D7" w14:textId="77777777" w:rsidR="00955B71" w:rsidRDefault="00955B71" w:rsidP="00955B71">
      <w:pPr>
        <w:numPr>
          <w:ilvl w:val="0"/>
          <w:numId w:val="19"/>
        </w:numPr>
        <w:tabs>
          <w:tab w:val="left" w:pos="-2268"/>
        </w:tabs>
        <w:suppressAutoHyphens/>
        <w:ind w:left="567" w:hanging="567"/>
        <w:rPr>
          <w:spacing w:val="-3"/>
        </w:rPr>
      </w:pPr>
      <w:r w:rsidRPr="004E4C01">
        <w:rPr>
          <w:spacing w:val="-3"/>
        </w:rPr>
        <w:t>Para proyectos que impliquen la caza de fomento de especímenes silvestres, las medidas de manejo de los impactos generados por la remoción de individuos del medio deben enfocarse en la protección de las especies o en la protección y restauración de hábitats, con el fin de controlar las amenazas a las que se enfrentarían las poblaciones de las especies objeto de caza o de las especies de fauna o flora con las que éstas sostienen relaciones biológicas estrechas.</w:t>
      </w:r>
    </w:p>
    <w:p w14:paraId="6E433716" w14:textId="77777777" w:rsidR="00955B71" w:rsidRPr="007D4158" w:rsidRDefault="00955B71" w:rsidP="00955B71">
      <w:pPr>
        <w:tabs>
          <w:tab w:val="left" w:pos="-2268"/>
        </w:tabs>
        <w:suppressAutoHyphens/>
        <w:rPr>
          <w:spacing w:val="-3"/>
        </w:rPr>
      </w:pPr>
    </w:p>
    <w:p w14:paraId="23A53C1B" w14:textId="77777777" w:rsidR="00955B71" w:rsidRPr="007D4158" w:rsidRDefault="00955B71" w:rsidP="00955B71">
      <w:pPr>
        <w:numPr>
          <w:ilvl w:val="0"/>
          <w:numId w:val="19"/>
        </w:numPr>
        <w:tabs>
          <w:tab w:val="left" w:pos="-2268"/>
        </w:tabs>
        <w:suppressAutoHyphens/>
        <w:ind w:left="567" w:hanging="567"/>
        <w:rPr>
          <w:spacing w:val="-3"/>
        </w:rPr>
      </w:pPr>
      <w:r w:rsidRPr="007D4158">
        <w:rPr>
          <w:spacing w:val="-3"/>
        </w:rPr>
        <w:t>Para los proyectos, obras o actividades de infraestructura de transporte para los cuales se hayan identificado áreas de interés forense, es necesario incorporar una medida de manejo que permita la aplicación del protocolo para la salvaguarda y protección de cuerpos de presuntas víctimas del conflicto armado colombiano; lo anterior, de acuerdo con la orden judicial Justicia Especial para la Paz -Sección de primera instancia para casos de ausencia de reconocimiento de verdad y responsabilidad- AI 070 de 2022 y AI 017 de 2024.</w:t>
      </w:r>
    </w:p>
    <w:p w14:paraId="14FFAE0E" w14:textId="77777777" w:rsidR="00955B71" w:rsidRPr="007D4158" w:rsidRDefault="00955B71" w:rsidP="00955B71">
      <w:pPr>
        <w:tabs>
          <w:tab w:val="left" w:pos="-2268"/>
        </w:tabs>
        <w:suppressAutoHyphens/>
        <w:rPr>
          <w:spacing w:val="-3"/>
        </w:rPr>
      </w:pPr>
    </w:p>
    <w:p w14:paraId="2FC5052F" w14:textId="77777777" w:rsidR="00955B71" w:rsidRPr="007D4158" w:rsidRDefault="00955B71" w:rsidP="00955B71">
      <w:pPr>
        <w:numPr>
          <w:ilvl w:val="0"/>
          <w:numId w:val="19"/>
        </w:numPr>
        <w:tabs>
          <w:tab w:val="left" w:pos="-2268"/>
        </w:tabs>
        <w:suppressAutoHyphens/>
        <w:ind w:left="567" w:hanging="567"/>
        <w:rPr>
          <w:spacing w:val="-3"/>
        </w:rPr>
      </w:pPr>
      <w:r w:rsidRPr="007D4158">
        <w:rPr>
          <w:spacing w:val="-3"/>
        </w:rPr>
        <w:t>Cuando se prevea la posibilidad de entregar obras e infraestructuras a terceros una vez concluya la vida útil del proyecto, obra o actividad y se dé por terminada la licencia ambiental, es importante que las medidas de manejo que se les asocien sean planteadas de forma general para la gestión de los impactos que son inherentes a su utilización, de manera que éstas puedan ser aplicadas por quien asuma el dominio de tales obras e infraestructuras luego de la culminación del proyecto, obra o actividad.</w:t>
      </w:r>
    </w:p>
    <w:p w14:paraId="53FFBC72" w14:textId="77777777" w:rsidR="00955B71" w:rsidRPr="004E4C01" w:rsidRDefault="00955B71">
      <w:pPr>
        <w:numPr>
          <w:ilvl w:val="12"/>
          <w:numId w:val="0"/>
        </w:numPr>
        <w:tabs>
          <w:tab w:val="left" w:pos="-2268"/>
        </w:tabs>
        <w:suppressAutoHyphens/>
        <w:rPr>
          <w:rFonts w:cs="Arial"/>
          <w:spacing w:val="-3"/>
        </w:rPr>
      </w:pPr>
    </w:p>
    <w:p w14:paraId="5235683F" w14:textId="3E77141E" w:rsidR="00035ABF" w:rsidRPr="00466E26" w:rsidRDefault="00035ABF" w:rsidP="000A1E20">
      <w:pPr>
        <w:pStyle w:val="Ttulo3"/>
      </w:pPr>
      <w:bookmarkStart w:id="11091" w:name="_Toc230879712"/>
      <w:r w:rsidRPr="00466E26">
        <w:t>Programa de reasentamiento</w:t>
      </w:r>
      <w:r w:rsidR="00823C3C" w:rsidRPr="00466E26">
        <w:t xml:space="preserve"> involuntario de población</w:t>
      </w:r>
      <w:bookmarkEnd w:id="11091"/>
    </w:p>
    <w:p w14:paraId="2CB3E9B0" w14:textId="77777777" w:rsidR="0025454F" w:rsidRPr="004E4C01" w:rsidRDefault="0025454F">
      <w:pPr>
        <w:numPr>
          <w:ilvl w:val="12"/>
          <w:numId w:val="0"/>
        </w:numPr>
        <w:tabs>
          <w:tab w:val="left" w:pos="-2268"/>
        </w:tabs>
        <w:suppressAutoHyphens/>
        <w:rPr>
          <w:rFonts w:cs="Arial"/>
          <w:spacing w:val="-3"/>
        </w:rPr>
      </w:pPr>
    </w:p>
    <w:p w14:paraId="7C23658F" w14:textId="78E5B1E4" w:rsidR="00C57EA4" w:rsidRPr="00127BD4" w:rsidRDefault="00C57EA4" w:rsidP="00C57EA4">
      <w:pPr>
        <w:numPr>
          <w:ilvl w:val="12"/>
          <w:numId w:val="0"/>
        </w:numPr>
        <w:tabs>
          <w:tab w:val="left" w:pos="-2268"/>
        </w:tabs>
        <w:suppressAutoHyphens/>
      </w:pPr>
      <w:r w:rsidRPr="004E4C01">
        <w:t>E</w:t>
      </w:r>
      <w:r w:rsidR="003523BC" w:rsidRPr="004E4C01">
        <w:t>n e</w:t>
      </w:r>
      <w:r w:rsidRPr="004E4C01">
        <w:t xml:space="preserve">l programa para el reasentamiento </w:t>
      </w:r>
      <w:r w:rsidR="000D0464">
        <w:t xml:space="preserve">involuntario de población </w:t>
      </w:r>
      <w:r w:rsidR="003523BC" w:rsidRPr="004E4C01">
        <w:t xml:space="preserve">se deben </w:t>
      </w:r>
      <w:r w:rsidRPr="004E4C01">
        <w:t>especifica</w:t>
      </w:r>
      <w:r w:rsidR="003523BC" w:rsidRPr="004E4C01">
        <w:t>r</w:t>
      </w:r>
      <w:r w:rsidRPr="004E4C01">
        <w:t xml:space="preserve"> los procedimientos y medidas </w:t>
      </w:r>
      <w:r w:rsidR="003B636E" w:rsidRPr="004E4C01">
        <w:t xml:space="preserve">a ejecutar </w:t>
      </w:r>
      <w:r w:rsidRPr="004E4C01">
        <w:t xml:space="preserve">para </w:t>
      </w:r>
      <w:r w:rsidR="005F1901">
        <w:t xml:space="preserve">manejar </w:t>
      </w:r>
      <w:r w:rsidRPr="004E4C01">
        <w:t>los efectos negativos</w:t>
      </w:r>
      <w:r w:rsidR="001745EC" w:rsidRPr="004E4C01">
        <w:t>, restablecer las condiciones de vida</w:t>
      </w:r>
      <w:r w:rsidRPr="004E4C01">
        <w:t xml:space="preserve">, compensar las pérdidas y proporcionar beneficios de desarrollo a las personas y comunidades </w:t>
      </w:r>
      <w:r w:rsidR="003D0AB0" w:rsidRPr="004E4C01">
        <w:t>que ser</w:t>
      </w:r>
      <w:r w:rsidR="005B1102" w:rsidRPr="004E4C01">
        <w:t xml:space="preserve">ían </w:t>
      </w:r>
      <w:r w:rsidR="003D0AB0" w:rsidRPr="004E4C01">
        <w:t>trasladadas con ocasión del desarrollo del proyecto</w:t>
      </w:r>
      <w:r w:rsidRPr="004E4C01">
        <w:t xml:space="preserve">. Este programa además de </w:t>
      </w:r>
      <w:r w:rsidRPr="00127BD4">
        <w:t xml:space="preserve">ser técnica y económicamente </w:t>
      </w:r>
      <w:r w:rsidR="00F1671F" w:rsidRPr="00127BD4">
        <w:t>viable</w:t>
      </w:r>
      <w:r w:rsidRPr="00127BD4">
        <w:t xml:space="preserve"> debe ser compatible </w:t>
      </w:r>
      <w:r w:rsidR="008C4D7F" w:rsidRPr="00127BD4">
        <w:t xml:space="preserve">con los instrumentos de ordenamiento territorial, </w:t>
      </w:r>
      <w:r w:rsidRPr="00127BD4">
        <w:t xml:space="preserve">las preferencias culturales de las personas </w:t>
      </w:r>
      <w:r w:rsidR="00A97C8F" w:rsidRPr="00127BD4">
        <w:t>que podrían trasladarse</w:t>
      </w:r>
      <w:r w:rsidRPr="00127BD4">
        <w:t xml:space="preserve"> y elaborarse </w:t>
      </w:r>
      <w:r w:rsidR="00F13C73" w:rsidRPr="00127BD4">
        <w:t xml:space="preserve">de manera </w:t>
      </w:r>
      <w:r w:rsidRPr="00127BD4">
        <w:t>participa</w:t>
      </w:r>
      <w:r w:rsidR="00F13C73" w:rsidRPr="00127BD4">
        <w:t>tiva</w:t>
      </w:r>
      <w:r w:rsidRPr="00127BD4">
        <w:t>.</w:t>
      </w:r>
    </w:p>
    <w:p w14:paraId="74FC2405" w14:textId="77777777" w:rsidR="00C57EA4" w:rsidRPr="00127BD4" w:rsidRDefault="00C57EA4" w:rsidP="00C57EA4">
      <w:pPr>
        <w:numPr>
          <w:ilvl w:val="12"/>
          <w:numId w:val="0"/>
        </w:numPr>
        <w:tabs>
          <w:tab w:val="left" w:pos="-2268"/>
        </w:tabs>
        <w:suppressAutoHyphens/>
      </w:pPr>
    </w:p>
    <w:p w14:paraId="4C89F6C8" w14:textId="60279426" w:rsidR="00035ABF" w:rsidRPr="004E4C01" w:rsidRDefault="00C57EA4" w:rsidP="00C57EA4">
      <w:r w:rsidRPr="00127BD4">
        <w:t xml:space="preserve">Este programa debe contener el </w:t>
      </w:r>
      <w:r w:rsidRPr="004E4C01">
        <w:t>diseño de</w:t>
      </w:r>
      <w:r w:rsidR="007267EF" w:rsidRPr="004E4C01">
        <w:t>l</w:t>
      </w:r>
      <w:r w:rsidRPr="004E4C01">
        <w:t xml:space="preserve"> proceso de </w:t>
      </w:r>
      <w:r w:rsidR="00EE67B2">
        <w:t xml:space="preserve">reasentamiento </w:t>
      </w:r>
      <w:r w:rsidR="00943470" w:rsidRPr="004E4C01">
        <w:t xml:space="preserve">y especificar las etapas de su implementación. Debe considerar las </w:t>
      </w:r>
      <w:r w:rsidR="00003E1D">
        <w:t>particularidades</w:t>
      </w:r>
      <w:r w:rsidR="00943470" w:rsidRPr="004E4C01">
        <w:t xml:space="preserve"> de los sujetos de especial protección constitucional, perspectiva de género y tener en cuenta el enfoque de derechos humanos. El resultado deber ser el restablecimiento o mejora </w:t>
      </w:r>
      <w:r w:rsidR="00707D86">
        <w:t>de</w:t>
      </w:r>
      <w:r w:rsidR="00943470" w:rsidRPr="004E4C01">
        <w:t xml:space="preserve"> las condiciones de vida </w:t>
      </w:r>
      <w:r w:rsidR="005F441F">
        <w:t xml:space="preserve">de </w:t>
      </w:r>
      <w:r w:rsidR="00943470" w:rsidRPr="004E4C01">
        <w:t xml:space="preserve">la población </w:t>
      </w:r>
      <w:r w:rsidR="000A1717">
        <w:t xml:space="preserve">a </w:t>
      </w:r>
      <w:r w:rsidR="00943470" w:rsidRPr="004E4C01">
        <w:t>reasenta</w:t>
      </w:r>
      <w:r w:rsidR="000A1717">
        <w:t>r</w:t>
      </w:r>
      <w:r w:rsidRPr="004E4C01">
        <w:t>.</w:t>
      </w:r>
    </w:p>
    <w:p w14:paraId="63CD4300" w14:textId="77777777" w:rsidR="00035ABF" w:rsidRPr="004E4C01" w:rsidRDefault="00035ABF" w:rsidP="00035ABF">
      <w:pPr>
        <w:numPr>
          <w:ilvl w:val="12"/>
          <w:numId w:val="0"/>
        </w:numPr>
        <w:tabs>
          <w:tab w:val="left" w:pos="-2268"/>
        </w:tabs>
        <w:suppressAutoHyphens/>
        <w:rPr>
          <w:rFonts w:cs="Arial"/>
        </w:rPr>
      </w:pPr>
    </w:p>
    <w:p w14:paraId="562BDA3D" w14:textId="5137367E" w:rsidR="008C2494" w:rsidRPr="00127BD4" w:rsidRDefault="008C2494" w:rsidP="00035ABF">
      <w:pPr>
        <w:numPr>
          <w:ilvl w:val="12"/>
          <w:numId w:val="0"/>
        </w:numPr>
        <w:tabs>
          <w:tab w:val="left" w:pos="-2268"/>
        </w:tabs>
        <w:suppressAutoHyphens/>
        <w:rPr>
          <w:rFonts w:cs="Arial"/>
        </w:rPr>
      </w:pPr>
      <w:r w:rsidRPr="00127BD4">
        <w:rPr>
          <w:rFonts w:cs="Arial"/>
        </w:rPr>
        <w:t>Este programa debe tener en cuenta aspectos asociados al respeto de la vida privada, la vida familiar; los derechos fundamentales de los niños, niñas y adolescentes, especialmente a la educación, la cultura y la recreación; el acceso a los medios de vida incluyendo los mercados para el abastecimiento de alimentos, y las oportunidades de trabajo. También debe permitir el acceso a servicios públicos esenciales y a una vivienda adecuada, así como la preservación del patrimonio cultural colectivo y los sitios sagrados o lugares de interés religioso</w:t>
      </w:r>
      <w:r w:rsidRPr="00127BD4">
        <w:rPr>
          <w:rFonts w:cs="Arial"/>
          <w:vertAlign w:val="superscript"/>
        </w:rPr>
        <w:footnoteReference w:id="248"/>
      </w:r>
      <w:r w:rsidRPr="00127BD4">
        <w:rPr>
          <w:rFonts w:cs="Arial"/>
        </w:rPr>
        <w:t>.</w:t>
      </w:r>
    </w:p>
    <w:p w14:paraId="2BC21F4A" w14:textId="77777777" w:rsidR="008C2494" w:rsidRPr="004E4C01" w:rsidRDefault="008C2494" w:rsidP="00035ABF">
      <w:pPr>
        <w:numPr>
          <w:ilvl w:val="12"/>
          <w:numId w:val="0"/>
        </w:numPr>
        <w:tabs>
          <w:tab w:val="left" w:pos="-2268"/>
        </w:tabs>
        <w:suppressAutoHyphens/>
        <w:rPr>
          <w:rFonts w:cs="Arial"/>
        </w:rPr>
      </w:pPr>
    </w:p>
    <w:p w14:paraId="549049DD" w14:textId="5BB4E484" w:rsidR="00035ABF" w:rsidRPr="004E4C01" w:rsidRDefault="007A6956" w:rsidP="00035ABF">
      <w:pPr>
        <w:numPr>
          <w:ilvl w:val="12"/>
          <w:numId w:val="0"/>
        </w:numPr>
        <w:tabs>
          <w:tab w:val="left" w:pos="-2268"/>
        </w:tabs>
        <w:suppressAutoHyphens/>
        <w:rPr>
          <w:rFonts w:cs="Arial"/>
          <w:spacing w:val="-3"/>
        </w:rPr>
      </w:pPr>
      <w:r w:rsidRPr="004E4C01">
        <w:rPr>
          <w:rFonts w:cs="Arial"/>
          <w:spacing w:val="-3"/>
        </w:rPr>
        <w:t>En tal sentido es</w:t>
      </w:r>
      <w:r w:rsidR="00035ABF" w:rsidRPr="004E4C01">
        <w:rPr>
          <w:rFonts w:cs="Arial"/>
          <w:spacing w:val="-3"/>
        </w:rPr>
        <w:t>, es necesario que las medidas de manejo propuestas propendan por los desarrollos en infraestructura física necesaria para la habitabilidad</w:t>
      </w:r>
      <w:r w:rsidR="00B120E2" w:rsidRPr="004E4C01">
        <w:rPr>
          <w:rFonts w:cs="Arial"/>
          <w:spacing w:val="-3"/>
        </w:rPr>
        <w:t>,</w:t>
      </w:r>
      <w:r w:rsidR="00035ABF" w:rsidRPr="004E4C01">
        <w:rPr>
          <w:rFonts w:cs="Arial"/>
          <w:spacing w:val="-3"/>
        </w:rPr>
        <w:t xml:space="preserve"> por preservar o propiciar el tejido social </w:t>
      </w:r>
      <w:r w:rsidR="00EE73AD" w:rsidRPr="004E4C01">
        <w:rPr>
          <w:rFonts w:cs="Arial"/>
          <w:spacing w:val="-3"/>
        </w:rPr>
        <w:t xml:space="preserve">y el patrimonio cultural </w:t>
      </w:r>
      <w:r w:rsidR="00035ABF" w:rsidRPr="004E4C01">
        <w:rPr>
          <w:rFonts w:cs="Arial"/>
          <w:spacing w:val="-3"/>
        </w:rPr>
        <w:t>y</w:t>
      </w:r>
      <w:r w:rsidR="00161C4D" w:rsidRPr="004E4C01">
        <w:rPr>
          <w:rFonts w:cs="Arial"/>
          <w:spacing w:val="-3"/>
        </w:rPr>
        <w:t>, por</w:t>
      </w:r>
      <w:r w:rsidR="00035ABF" w:rsidRPr="004E4C01">
        <w:rPr>
          <w:rFonts w:cs="Arial"/>
          <w:spacing w:val="-3"/>
        </w:rPr>
        <w:t xml:space="preserve"> crear o mantener alternativas para el desarrollo económico.</w:t>
      </w:r>
    </w:p>
    <w:p w14:paraId="3E6E8E95" w14:textId="77777777" w:rsidR="00035ABF" w:rsidRPr="004E4C01" w:rsidRDefault="00035ABF" w:rsidP="00035ABF">
      <w:pPr>
        <w:numPr>
          <w:ilvl w:val="12"/>
          <w:numId w:val="0"/>
        </w:numPr>
        <w:tabs>
          <w:tab w:val="left" w:pos="-2268"/>
        </w:tabs>
        <w:suppressAutoHyphens/>
        <w:rPr>
          <w:rFonts w:cs="Arial"/>
          <w:spacing w:val="-3"/>
        </w:rPr>
      </w:pPr>
    </w:p>
    <w:p w14:paraId="3260C82A" w14:textId="5F95A4AE" w:rsidR="00035ABF" w:rsidRPr="004E4C01" w:rsidRDefault="00312E3C" w:rsidP="00035ABF">
      <w:pPr>
        <w:suppressAutoHyphens/>
        <w:rPr>
          <w:rFonts w:cs="Arial"/>
        </w:rPr>
      </w:pPr>
      <w:r w:rsidRPr="004E4C01">
        <w:rPr>
          <w:rFonts w:cs="Arial"/>
        </w:rPr>
        <w:t xml:space="preserve">Asimismo, estas medidas deben estar </w:t>
      </w:r>
      <w:r w:rsidR="00035ABF" w:rsidRPr="004E4C01">
        <w:t>orienta</w:t>
      </w:r>
      <w:r w:rsidRPr="004E4C01">
        <w:t>das</w:t>
      </w:r>
      <w:r w:rsidR="00035ABF" w:rsidRPr="004E4C01">
        <w:t xml:space="preserve"> a </w:t>
      </w:r>
      <w:r w:rsidR="00035ABF" w:rsidRPr="004E4C01">
        <w:rPr>
          <w:rFonts w:cs="Arial"/>
        </w:rPr>
        <w:t>lograr, como mínimo, los siguientes propósitos</w:t>
      </w:r>
      <w:r w:rsidR="00035ABF" w:rsidRPr="004E4C01">
        <w:rPr>
          <w:rStyle w:val="Refdenotaalpie"/>
          <w:rFonts w:cs="Arial"/>
          <w:lang w:val="es-CO"/>
        </w:rPr>
        <w:footnoteReference w:id="249"/>
      </w:r>
      <w:r w:rsidR="00035ABF" w:rsidRPr="004E4C01">
        <w:rPr>
          <w:rFonts w:cs="Arial"/>
        </w:rPr>
        <w:t>: i) r</w:t>
      </w:r>
      <w:r w:rsidR="00035ABF" w:rsidRPr="004E4C01">
        <w:t>establecimiento de condiciones de vida existentes de la población a reasentar</w:t>
      </w:r>
      <w:r w:rsidR="00B120E2" w:rsidRPr="004E4C01">
        <w:t xml:space="preserve"> con respecto a</w:t>
      </w:r>
      <w:r w:rsidR="00035ABF" w:rsidRPr="004E4C01">
        <w:t xml:space="preserve"> vivienda, acceso a servicios públicos y sociales, relaciones sociales y bienes comunitarios</w:t>
      </w:r>
      <w:r w:rsidR="00035ABF" w:rsidRPr="004E4C01">
        <w:rPr>
          <w:rFonts w:cs="Arial"/>
        </w:rPr>
        <w:t>; ii) r</w:t>
      </w:r>
      <w:r w:rsidR="00035ABF" w:rsidRPr="004E4C01">
        <w:t>establecimiento de fuentes de ingresos y actividades económicas de las unidades sociales a trasladar</w:t>
      </w:r>
      <w:r w:rsidR="00035ABF" w:rsidRPr="004E4C01">
        <w:rPr>
          <w:rFonts w:cs="Arial"/>
        </w:rPr>
        <w:t xml:space="preserve"> y; iii) i</w:t>
      </w:r>
      <w:r w:rsidR="00035ABF" w:rsidRPr="004E4C01">
        <w:t xml:space="preserve">ncorporación de la población reasentada a su nuevo </w:t>
      </w:r>
      <w:r w:rsidR="00035ABF" w:rsidRPr="004E4C01">
        <w:rPr>
          <w:rFonts w:cs="Arial"/>
          <w:spacing w:val="-3"/>
        </w:rPr>
        <w:t>entorno</w:t>
      </w:r>
      <w:r w:rsidR="00B120E2" w:rsidRPr="004E4C01">
        <w:rPr>
          <w:rFonts w:cs="Arial"/>
          <w:spacing w:val="-3"/>
        </w:rPr>
        <w:t>.</w:t>
      </w:r>
    </w:p>
    <w:p w14:paraId="45EBCB86" w14:textId="77777777" w:rsidR="00035ABF" w:rsidRPr="004E4C01" w:rsidRDefault="00035ABF" w:rsidP="00035ABF">
      <w:pPr>
        <w:suppressAutoHyphens/>
        <w:rPr>
          <w:rFonts w:cs="Arial"/>
        </w:rPr>
      </w:pPr>
    </w:p>
    <w:p w14:paraId="214EA25D" w14:textId="0ADB8A0C" w:rsidR="00477EB6" w:rsidRPr="004E4C01" w:rsidRDefault="00035ABF" w:rsidP="00035ABF">
      <w:r w:rsidRPr="004E4C01">
        <w:t>Por lo anterior, con el fin de prevenir</w:t>
      </w:r>
      <w:r w:rsidR="004C7C85" w:rsidRPr="004E4C01">
        <w:t>, minimizar, corregir o compensar</w:t>
      </w:r>
      <w:r w:rsidRPr="004E4C01">
        <w:t xml:space="preserve"> los </w:t>
      </w:r>
      <w:r w:rsidR="00B120E2" w:rsidRPr="004E4C01">
        <w:t xml:space="preserve">impactos </w:t>
      </w:r>
      <w:r w:rsidRPr="004E4C01">
        <w:t xml:space="preserve">del reasentamiento involuntario de población, </w:t>
      </w:r>
      <w:r w:rsidR="004C7C85" w:rsidRPr="004E4C01">
        <w:t xml:space="preserve">que se generan tanto a la población reasentada como a la población receptora (cuando exista), </w:t>
      </w:r>
      <w:r w:rsidRPr="004E4C01">
        <w:t xml:space="preserve">las medidas de manejo propuestas deben </w:t>
      </w:r>
      <w:r w:rsidR="004C5EF8" w:rsidRPr="004E4C01">
        <w:t xml:space="preserve">ser resultado del proceso participativo para la construcción del EIA y </w:t>
      </w:r>
      <w:r w:rsidRPr="004E4C01">
        <w:lastRenderedPageBreak/>
        <w:t xml:space="preserve">basarse en la información obtenida en la caracterización </w:t>
      </w:r>
      <w:r w:rsidR="004C7C85" w:rsidRPr="004E4C01">
        <w:t>ambiental</w:t>
      </w:r>
      <w:r w:rsidR="001E6530" w:rsidRPr="004E4C01">
        <w:t>, de manera que atienda a las características diferenciadas de la población que será reasentada.</w:t>
      </w:r>
    </w:p>
    <w:p w14:paraId="7A9AE184" w14:textId="77777777" w:rsidR="00477EB6" w:rsidRPr="004E4C01" w:rsidRDefault="00477EB6" w:rsidP="00035ABF"/>
    <w:p w14:paraId="01EBAC79" w14:textId="234B91E1" w:rsidR="00035ABF" w:rsidRPr="004E4C01" w:rsidRDefault="00477EB6" w:rsidP="00035ABF">
      <w:r w:rsidRPr="004E4C01">
        <w:t>Deb</w:t>
      </w:r>
      <w:r w:rsidR="00035ABF" w:rsidRPr="004E4C01">
        <w:t>e incluir en su alcance:</w:t>
      </w:r>
    </w:p>
    <w:p w14:paraId="49445ACC" w14:textId="77777777" w:rsidR="00035ABF" w:rsidRPr="004E4C01" w:rsidRDefault="00035ABF" w:rsidP="00035ABF"/>
    <w:p w14:paraId="5E5C30D5" w14:textId="7DEB9886" w:rsidR="00035ABF" w:rsidRPr="004E4C01" w:rsidRDefault="00035ABF" w:rsidP="00035ABF">
      <w:pPr>
        <w:numPr>
          <w:ilvl w:val="0"/>
          <w:numId w:val="401"/>
        </w:numPr>
        <w:tabs>
          <w:tab w:val="left" w:pos="-2268"/>
        </w:tabs>
        <w:suppressAutoHyphens/>
        <w:overflowPunct/>
        <w:autoSpaceDE/>
        <w:autoSpaceDN/>
        <w:adjustRightInd/>
        <w:ind w:left="567" w:hanging="567"/>
        <w:contextualSpacing/>
        <w:textAlignment w:val="auto"/>
      </w:pPr>
      <w:r w:rsidRPr="004E4C01">
        <w:t>Los objetivos de las medidas planteadas para el reasentamiento</w:t>
      </w:r>
      <w:r w:rsidRPr="004E4C01">
        <w:rPr>
          <w:rStyle w:val="Refdenotaalpie"/>
          <w:lang w:val="es-CO"/>
        </w:rPr>
        <w:footnoteReference w:id="250"/>
      </w:r>
      <w:r w:rsidR="00B120E2" w:rsidRPr="004E4C01">
        <w:t>.</w:t>
      </w:r>
    </w:p>
    <w:p w14:paraId="234A8C0D" w14:textId="77777777" w:rsidR="00B120E2" w:rsidRPr="004E4C01" w:rsidRDefault="00B120E2" w:rsidP="009420F5">
      <w:pPr>
        <w:tabs>
          <w:tab w:val="left" w:pos="-2268"/>
        </w:tabs>
        <w:suppressAutoHyphens/>
        <w:overflowPunct/>
        <w:autoSpaceDE/>
        <w:autoSpaceDN/>
        <w:adjustRightInd/>
        <w:contextualSpacing/>
        <w:textAlignment w:val="auto"/>
      </w:pPr>
    </w:p>
    <w:p w14:paraId="11CA3B5D" w14:textId="77777777" w:rsidR="00035ABF" w:rsidRPr="004E4C01" w:rsidRDefault="00035ABF" w:rsidP="00035ABF">
      <w:pPr>
        <w:numPr>
          <w:ilvl w:val="0"/>
          <w:numId w:val="401"/>
        </w:numPr>
        <w:tabs>
          <w:tab w:val="left" w:pos="-2268"/>
        </w:tabs>
        <w:suppressAutoHyphens/>
        <w:overflowPunct/>
        <w:autoSpaceDE/>
        <w:autoSpaceDN/>
        <w:adjustRightInd/>
        <w:ind w:left="567" w:hanging="567"/>
        <w:contextualSpacing/>
        <w:textAlignment w:val="auto"/>
      </w:pPr>
      <w:r w:rsidRPr="004E4C01">
        <w:t>Los mecanismos para la resolución de conflictos que puedan darse con ocasión del reasentamiento.</w:t>
      </w:r>
    </w:p>
    <w:p w14:paraId="4113A1C8" w14:textId="77777777" w:rsidR="00B120E2" w:rsidRPr="004E4C01" w:rsidRDefault="00B120E2" w:rsidP="009420F5">
      <w:pPr>
        <w:tabs>
          <w:tab w:val="left" w:pos="-2268"/>
        </w:tabs>
        <w:suppressAutoHyphens/>
        <w:overflowPunct/>
        <w:autoSpaceDE/>
        <w:autoSpaceDN/>
        <w:adjustRightInd/>
        <w:contextualSpacing/>
        <w:textAlignment w:val="auto"/>
      </w:pPr>
    </w:p>
    <w:p w14:paraId="16542C6A" w14:textId="2B4F03A7" w:rsidR="00035ABF" w:rsidRPr="004E4C01" w:rsidRDefault="00035ABF" w:rsidP="00035ABF">
      <w:pPr>
        <w:numPr>
          <w:ilvl w:val="0"/>
          <w:numId w:val="401"/>
        </w:numPr>
        <w:tabs>
          <w:tab w:val="left" w:pos="-2268"/>
        </w:tabs>
        <w:suppressAutoHyphens/>
        <w:overflowPunct/>
        <w:autoSpaceDE/>
        <w:autoSpaceDN/>
        <w:adjustRightInd/>
        <w:ind w:left="567" w:hanging="567"/>
        <w:contextualSpacing/>
        <w:textAlignment w:val="auto"/>
      </w:pPr>
      <w:r w:rsidRPr="004E4C01">
        <w:t xml:space="preserve">Los criterios empleados para </w:t>
      </w:r>
      <w:r w:rsidR="003E5FC4" w:rsidRPr="004E4C01">
        <w:t>d</w:t>
      </w:r>
      <w:r w:rsidRPr="004E4C01">
        <w:t>eterminar la elegibilidad de personas para compensación o para el reasentamiento</w:t>
      </w:r>
      <w:r w:rsidR="00B571B8" w:rsidRPr="004E4C01">
        <w:t xml:space="preserve"> individual o colectivo</w:t>
      </w:r>
      <w:r w:rsidRPr="004E4C01">
        <w:t>.</w:t>
      </w:r>
    </w:p>
    <w:p w14:paraId="09BBF157" w14:textId="77777777" w:rsidR="00B120E2" w:rsidRPr="004E4C01" w:rsidRDefault="00B120E2" w:rsidP="009420F5">
      <w:pPr>
        <w:tabs>
          <w:tab w:val="left" w:pos="-2268"/>
        </w:tabs>
        <w:suppressAutoHyphens/>
        <w:overflowPunct/>
        <w:autoSpaceDE/>
        <w:autoSpaceDN/>
        <w:adjustRightInd/>
        <w:contextualSpacing/>
        <w:textAlignment w:val="auto"/>
      </w:pPr>
    </w:p>
    <w:p w14:paraId="363898E1" w14:textId="31FD1C75" w:rsidR="00035ABF" w:rsidRPr="004E4C01" w:rsidRDefault="00035ABF" w:rsidP="00035ABF">
      <w:pPr>
        <w:numPr>
          <w:ilvl w:val="0"/>
          <w:numId w:val="401"/>
        </w:numPr>
        <w:tabs>
          <w:tab w:val="left" w:pos="-2268"/>
        </w:tabs>
        <w:suppressAutoHyphens/>
        <w:overflowPunct/>
        <w:autoSpaceDE/>
        <w:autoSpaceDN/>
        <w:adjustRightInd/>
        <w:ind w:left="567" w:hanging="567"/>
        <w:contextualSpacing/>
        <w:textAlignment w:val="auto"/>
      </w:pPr>
      <w:r w:rsidRPr="004E4C01">
        <w:t xml:space="preserve">Los mecanismos </w:t>
      </w:r>
      <w:r w:rsidR="00262C6C" w:rsidRPr="004E4C01">
        <w:t xml:space="preserve">que deben ser </w:t>
      </w:r>
      <w:r w:rsidRPr="004E4C01">
        <w:t>emplea</w:t>
      </w:r>
      <w:r w:rsidR="00262C6C" w:rsidRPr="004E4C01">
        <w:t>dos</w:t>
      </w:r>
      <w:r w:rsidRPr="004E4C01">
        <w:t xml:space="preserve"> para que la población conozca</w:t>
      </w:r>
      <w:r w:rsidR="003D2F41" w:rsidRPr="004E4C01">
        <w:t>, participe</w:t>
      </w:r>
      <w:r w:rsidRPr="004E4C01">
        <w:t xml:space="preserve"> y aporte en la formulación, implementación y seguimiento de las medidas para el reasentamiento, así como para conocer la forma en la que s</w:t>
      </w:r>
      <w:r w:rsidR="00B120E2" w:rsidRPr="004E4C01">
        <w:t>us aportes fueron considerados.</w:t>
      </w:r>
    </w:p>
    <w:p w14:paraId="54A7ABDA" w14:textId="77777777" w:rsidR="00B120E2" w:rsidRPr="004E4C01" w:rsidRDefault="00B120E2" w:rsidP="009420F5">
      <w:pPr>
        <w:tabs>
          <w:tab w:val="left" w:pos="-2268"/>
        </w:tabs>
        <w:suppressAutoHyphens/>
        <w:overflowPunct/>
        <w:autoSpaceDE/>
        <w:autoSpaceDN/>
        <w:adjustRightInd/>
        <w:contextualSpacing/>
        <w:textAlignment w:val="auto"/>
      </w:pPr>
    </w:p>
    <w:p w14:paraId="344DB652" w14:textId="74128843" w:rsidR="00035ABF" w:rsidRPr="004E4C01" w:rsidRDefault="00035ABF" w:rsidP="00035ABF">
      <w:pPr>
        <w:numPr>
          <w:ilvl w:val="0"/>
          <w:numId w:val="401"/>
        </w:numPr>
        <w:tabs>
          <w:tab w:val="left" w:pos="-2268"/>
        </w:tabs>
        <w:suppressAutoHyphens/>
        <w:overflowPunct/>
        <w:autoSpaceDE/>
        <w:autoSpaceDN/>
        <w:adjustRightInd/>
        <w:ind w:left="567" w:hanging="567"/>
        <w:contextualSpacing/>
        <w:textAlignment w:val="auto"/>
      </w:pPr>
      <w:r w:rsidRPr="004E4C01">
        <w:t xml:space="preserve">La información </w:t>
      </w:r>
      <w:r w:rsidR="00AF78EC" w:rsidRPr="004E4C01">
        <w:t xml:space="preserve">general sobre localización, características ambientales, sociales, económicas y culturales </w:t>
      </w:r>
      <w:r w:rsidRPr="004E4C01">
        <w:t xml:space="preserve">del sitio para la reubicación, </w:t>
      </w:r>
      <w:r w:rsidR="00B120E2" w:rsidRPr="004E4C01">
        <w:t xml:space="preserve">la cual </w:t>
      </w:r>
      <w:r w:rsidRPr="004E4C01">
        <w:t>incluye los criterios con base en los cuales fue elegido.</w:t>
      </w:r>
    </w:p>
    <w:p w14:paraId="38B4CF79" w14:textId="77777777" w:rsidR="00B120E2" w:rsidRPr="004E4C01" w:rsidRDefault="00B120E2" w:rsidP="009420F5">
      <w:pPr>
        <w:tabs>
          <w:tab w:val="left" w:pos="-2268"/>
        </w:tabs>
        <w:suppressAutoHyphens/>
        <w:overflowPunct/>
        <w:autoSpaceDE/>
        <w:autoSpaceDN/>
        <w:adjustRightInd/>
        <w:contextualSpacing/>
        <w:textAlignment w:val="auto"/>
      </w:pPr>
    </w:p>
    <w:p w14:paraId="245845AD" w14:textId="155E14F6" w:rsidR="00035ABF" w:rsidRPr="004E4C01" w:rsidRDefault="00035ABF" w:rsidP="00035ABF">
      <w:pPr>
        <w:numPr>
          <w:ilvl w:val="0"/>
          <w:numId w:val="401"/>
        </w:numPr>
        <w:tabs>
          <w:tab w:val="left" w:pos="-2268"/>
        </w:tabs>
        <w:suppressAutoHyphens/>
        <w:overflowPunct/>
        <w:autoSpaceDE/>
        <w:autoSpaceDN/>
        <w:adjustRightInd/>
        <w:ind w:left="567" w:hanging="567"/>
        <w:contextualSpacing/>
        <w:textAlignment w:val="auto"/>
      </w:pPr>
      <w:r w:rsidRPr="004E4C01">
        <w:t xml:space="preserve">Los procedimientos para la reubicación física en el marco del proyecto, </w:t>
      </w:r>
      <w:r w:rsidR="00B120E2" w:rsidRPr="004E4C01">
        <w:t xml:space="preserve">obra o actividad, </w:t>
      </w:r>
      <w:r w:rsidRPr="004E4C01">
        <w:t>incluidos los cronogramas para la preparación del sitio.</w:t>
      </w:r>
    </w:p>
    <w:p w14:paraId="2423D20B" w14:textId="77777777" w:rsidR="00B120E2" w:rsidRPr="004E4C01" w:rsidRDefault="00B120E2" w:rsidP="009420F5">
      <w:pPr>
        <w:tabs>
          <w:tab w:val="left" w:pos="-2268"/>
        </w:tabs>
        <w:suppressAutoHyphens/>
        <w:overflowPunct/>
        <w:autoSpaceDE/>
        <w:autoSpaceDN/>
        <w:adjustRightInd/>
        <w:contextualSpacing/>
        <w:textAlignment w:val="auto"/>
      </w:pPr>
    </w:p>
    <w:p w14:paraId="6975C82D" w14:textId="1EB98AE4" w:rsidR="00035ABF" w:rsidRPr="004E4C01" w:rsidRDefault="00035ABF" w:rsidP="00035ABF">
      <w:pPr>
        <w:numPr>
          <w:ilvl w:val="0"/>
          <w:numId w:val="401"/>
        </w:numPr>
        <w:tabs>
          <w:tab w:val="left" w:pos="-2268"/>
        </w:tabs>
        <w:suppressAutoHyphens/>
        <w:overflowPunct/>
        <w:autoSpaceDE/>
        <w:autoSpaceDN/>
        <w:adjustRightInd/>
        <w:ind w:left="567" w:hanging="567"/>
        <w:contextualSpacing/>
        <w:textAlignment w:val="auto"/>
      </w:pPr>
      <w:r w:rsidRPr="004E4C01">
        <w:t>Las medidas a adoptar para garantizar la regulariza</w:t>
      </w:r>
      <w:r w:rsidR="00B120E2" w:rsidRPr="004E4C01">
        <w:t>ción</w:t>
      </w:r>
      <w:r w:rsidRPr="004E4C01">
        <w:t xml:space="preserve"> </w:t>
      </w:r>
      <w:r w:rsidR="00B120E2" w:rsidRPr="004E4C01">
        <w:t xml:space="preserve">de </w:t>
      </w:r>
      <w:r w:rsidRPr="004E4C01">
        <w:t xml:space="preserve">la tenencia </w:t>
      </w:r>
      <w:r w:rsidR="00B24941" w:rsidRPr="004E4C01">
        <w:t xml:space="preserve">y titularidad </w:t>
      </w:r>
      <w:r w:rsidR="00BB21DB" w:rsidRPr="004E4C01">
        <w:t xml:space="preserve">a </w:t>
      </w:r>
      <w:r w:rsidRPr="004E4C01">
        <w:t>la población reasentada.</w:t>
      </w:r>
    </w:p>
    <w:p w14:paraId="5556E481" w14:textId="77777777" w:rsidR="00B120E2" w:rsidRPr="004E4C01" w:rsidRDefault="00B120E2" w:rsidP="009420F5">
      <w:pPr>
        <w:tabs>
          <w:tab w:val="left" w:pos="-2268"/>
        </w:tabs>
        <w:suppressAutoHyphens/>
        <w:overflowPunct/>
        <w:autoSpaceDE/>
        <w:autoSpaceDN/>
        <w:adjustRightInd/>
        <w:contextualSpacing/>
        <w:textAlignment w:val="auto"/>
      </w:pPr>
    </w:p>
    <w:p w14:paraId="668D4761" w14:textId="565EAE27" w:rsidR="00035ABF" w:rsidRPr="004E4C01" w:rsidRDefault="00035ABF" w:rsidP="00035ABF">
      <w:pPr>
        <w:numPr>
          <w:ilvl w:val="0"/>
          <w:numId w:val="401"/>
        </w:numPr>
        <w:tabs>
          <w:tab w:val="left" w:pos="-2268"/>
        </w:tabs>
        <w:suppressAutoHyphens/>
        <w:overflowPunct/>
        <w:autoSpaceDE/>
        <w:autoSpaceDN/>
        <w:adjustRightInd/>
        <w:ind w:left="567" w:hanging="567"/>
        <w:contextualSpacing/>
        <w:textAlignment w:val="auto"/>
      </w:pPr>
      <w:r w:rsidRPr="004E4C01">
        <w:t>Las medidas a implementar para el manejo de los impactos ambientales en el sitio elegido para la reubicación.</w:t>
      </w:r>
    </w:p>
    <w:p w14:paraId="373323B1" w14:textId="77777777" w:rsidR="00BB21DB" w:rsidRPr="004E4C01" w:rsidRDefault="00BB21DB" w:rsidP="009420F5">
      <w:pPr>
        <w:tabs>
          <w:tab w:val="left" w:pos="-2268"/>
        </w:tabs>
        <w:suppressAutoHyphens/>
        <w:overflowPunct/>
        <w:autoSpaceDE/>
        <w:autoSpaceDN/>
        <w:adjustRightInd/>
        <w:contextualSpacing/>
        <w:textAlignment w:val="auto"/>
      </w:pPr>
    </w:p>
    <w:p w14:paraId="54F836B1" w14:textId="77777777" w:rsidR="00035ABF" w:rsidRPr="004E4C01" w:rsidRDefault="00035ABF" w:rsidP="00035ABF">
      <w:pPr>
        <w:numPr>
          <w:ilvl w:val="0"/>
          <w:numId w:val="401"/>
        </w:numPr>
        <w:tabs>
          <w:tab w:val="left" w:pos="-2268"/>
        </w:tabs>
        <w:suppressAutoHyphens/>
        <w:overflowPunct/>
        <w:autoSpaceDE/>
        <w:autoSpaceDN/>
        <w:adjustRightInd/>
        <w:ind w:left="567" w:hanging="567"/>
        <w:contextualSpacing/>
        <w:textAlignment w:val="auto"/>
      </w:pPr>
      <w:r w:rsidRPr="004E4C01">
        <w:t>El tiempo estimado para ejecutar las medidas formuladas para el reasentamiento de la población.</w:t>
      </w:r>
    </w:p>
    <w:p w14:paraId="31CA509A" w14:textId="77777777" w:rsidR="006857CC" w:rsidRPr="00CD4321" w:rsidRDefault="006857CC" w:rsidP="00127BD4">
      <w:pPr>
        <w:pStyle w:val="Prrafodelista"/>
      </w:pPr>
    </w:p>
    <w:p w14:paraId="0F6D2952" w14:textId="79E53F4B" w:rsidR="006857CC" w:rsidRPr="004E4C01" w:rsidRDefault="006857CC" w:rsidP="006857CC">
      <w:pPr>
        <w:numPr>
          <w:ilvl w:val="0"/>
          <w:numId w:val="401"/>
        </w:numPr>
        <w:tabs>
          <w:tab w:val="left" w:pos="-2268"/>
        </w:tabs>
        <w:suppressAutoHyphens/>
        <w:overflowPunct/>
        <w:autoSpaceDE/>
        <w:autoSpaceDN/>
        <w:adjustRightInd/>
        <w:ind w:left="567" w:hanging="567"/>
        <w:contextualSpacing/>
        <w:textAlignment w:val="auto"/>
      </w:pPr>
      <w:r w:rsidRPr="004E4C01">
        <w:t>Las medidas orientadas a evitar la afectación de las condiciones de vida de la comunidad receptora.</w:t>
      </w:r>
    </w:p>
    <w:p w14:paraId="69D6F0A6" w14:textId="77777777" w:rsidR="006857CC" w:rsidRPr="00127BD4" w:rsidRDefault="006857CC" w:rsidP="00127BD4">
      <w:pPr>
        <w:tabs>
          <w:tab w:val="left" w:pos="-2268"/>
        </w:tabs>
        <w:suppressAutoHyphens/>
        <w:overflowPunct/>
        <w:autoSpaceDE/>
        <w:autoSpaceDN/>
        <w:adjustRightInd/>
        <w:contextualSpacing/>
        <w:textAlignment w:val="auto"/>
      </w:pPr>
    </w:p>
    <w:p w14:paraId="75DB038B" w14:textId="36B656CE" w:rsidR="006857CC" w:rsidRPr="004E4C01" w:rsidRDefault="006857CC" w:rsidP="006857CC">
      <w:pPr>
        <w:numPr>
          <w:ilvl w:val="0"/>
          <w:numId w:val="401"/>
        </w:numPr>
        <w:tabs>
          <w:tab w:val="left" w:pos="-2268"/>
        </w:tabs>
        <w:suppressAutoHyphens/>
        <w:overflowPunct/>
        <w:autoSpaceDE/>
        <w:autoSpaceDN/>
        <w:adjustRightInd/>
        <w:ind w:left="567" w:hanging="567"/>
        <w:contextualSpacing/>
        <w:textAlignment w:val="auto"/>
      </w:pPr>
      <w:r w:rsidRPr="004E4C01">
        <w:lastRenderedPageBreak/>
        <w:t xml:space="preserve">Las medidas de acompañamiento y seguimiento psicosocial a la población sujeta a </w:t>
      </w:r>
      <w:r w:rsidR="005B5C6A">
        <w:t>reasentamiento</w:t>
      </w:r>
      <w:r w:rsidR="00EC7A3B" w:rsidRPr="004E4C01">
        <w:t>.</w:t>
      </w:r>
    </w:p>
    <w:p w14:paraId="6E23D345" w14:textId="77777777" w:rsidR="006857CC" w:rsidRPr="004E4C01" w:rsidRDefault="006857CC" w:rsidP="00127BD4">
      <w:pPr>
        <w:tabs>
          <w:tab w:val="left" w:pos="-2268"/>
        </w:tabs>
        <w:suppressAutoHyphens/>
        <w:overflowPunct/>
        <w:autoSpaceDE/>
        <w:autoSpaceDN/>
        <w:adjustRightInd/>
        <w:contextualSpacing/>
        <w:textAlignment w:val="auto"/>
      </w:pPr>
    </w:p>
    <w:p w14:paraId="6F6CEDEF" w14:textId="38B1FC82" w:rsidR="006857CC" w:rsidRPr="00127BD4" w:rsidRDefault="00456D60" w:rsidP="006857CC">
      <w:pPr>
        <w:numPr>
          <w:ilvl w:val="0"/>
          <w:numId w:val="401"/>
        </w:numPr>
        <w:tabs>
          <w:tab w:val="left" w:pos="-2268"/>
        </w:tabs>
        <w:suppressAutoHyphens/>
        <w:overflowPunct/>
        <w:autoSpaceDE/>
        <w:autoSpaceDN/>
        <w:adjustRightInd/>
        <w:ind w:left="567" w:hanging="567"/>
        <w:contextualSpacing/>
        <w:textAlignment w:val="auto"/>
      </w:pPr>
      <w:r w:rsidRPr="00127BD4">
        <w:t>Un a</w:t>
      </w:r>
      <w:r w:rsidR="006857CC" w:rsidRPr="00127BD4">
        <w:t xml:space="preserve">nálisis </w:t>
      </w:r>
      <w:r w:rsidR="005C3453">
        <w:t xml:space="preserve">sobre cómo </w:t>
      </w:r>
      <w:r w:rsidR="006857CC" w:rsidRPr="00127BD4">
        <w:t>las medidas incorporadas en el programa prev</w:t>
      </w:r>
      <w:r w:rsidR="007C1235">
        <w:t xml:space="preserve">ienen </w:t>
      </w:r>
      <w:r w:rsidR="00D14768">
        <w:t xml:space="preserve">los impactos negativos y riesgos </w:t>
      </w:r>
      <w:r w:rsidR="006857CC" w:rsidRPr="00127BD4">
        <w:t xml:space="preserve">a los derechos humanos asociados al </w:t>
      </w:r>
      <w:r w:rsidR="005B5C6A">
        <w:t xml:space="preserve">reasentamiento involuntario </w:t>
      </w:r>
      <w:r w:rsidR="006857CC" w:rsidRPr="00127BD4">
        <w:t>de población.</w:t>
      </w:r>
    </w:p>
    <w:p w14:paraId="4BA9E253" w14:textId="77777777" w:rsidR="00725631" w:rsidRPr="00CD4321" w:rsidRDefault="00725631" w:rsidP="00127BD4"/>
    <w:p w14:paraId="531E4780" w14:textId="31C438D5" w:rsidR="00725631" w:rsidRPr="004E4C01" w:rsidRDefault="00725631" w:rsidP="00CA52FA">
      <w:pPr>
        <w:numPr>
          <w:ilvl w:val="0"/>
          <w:numId w:val="401"/>
        </w:numPr>
        <w:tabs>
          <w:tab w:val="left" w:pos="-2268"/>
        </w:tabs>
        <w:suppressAutoHyphens/>
        <w:overflowPunct/>
        <w:autoSpaceDE/>
        <w:autoSpaceDN/>
        <w:adjustRightInd/>
        <w:ind w:left="567" w:hanging="567"/>
        <w:contextualSpacing/>
        <w:textAlignment w:val="auto"/>
      </w:pPr>
      <w:r w:rsidRPr="004E4C01">
        <w:t>Un mecanismo operativo de atención de quejas con un proceso adaptado adecuadamente a los sujetos de especial protección</w:t>
      </w:r>
      <w:r w:rsidR="00DF675F" w:rsidRPr="004E4C01">
        <w:t>.</w:t>
      </w:r>
    </w:p>
    <w:p w14:paraId="40F0CB02" w14:textId="77777777" w:rsidR="006857CC" w:rsidRPr="004E4C01" w:rsidRDefault="006857CC" w:rsidP="00127BD4">
      <w:pPr>
        <w:tabs>
          <w:tab w:val="left" w:pos="-2268"/>
        </w:tabs>
        <w:suppressAutoHyphens/>
        <w:overflowPunct/>
        <w:autoSpaceDE/>
        <w:autoSpaceDN/>
        <w:adjustRightInd/>
        <w:contextualSpacing/>
        <w:textAlignment w:val="auto"/>
      </w:pPr>
    </w:p>
    <w:p w14:paraId="29CCD313" w14:textId="7CD12F07" w:rsidR="006857CC" w:rsidRPr="004E4C01" w:rsidRDefault="006857CC" w:rsidP="00127BD4">
      <w:pPr>
        <w:tabs>
          <w:tab w:val="left" w:pos="-2268"/>
        </w:tabs>
        <w:suppressAutoHyphens/>
        <w:overflowPunct/>
        <w:autoSpaceDE/>
        <w:autoSpaceDN/>
        <w:adjustRightInd/>
        <w:contextualSpacing/>
        <w:textAlignment w:val="auto"/>
      </w:pPr>
      <w:r w:rsidRPr="004E4C01">
        <w:t>Para la construcción de</w:t>
      </w:r>
      <w:r w:rsidR="008517FE" w:rsidRPr="004E4C01">
        <w:t xml:space="preserve">l </w:t>
      </w:r>
      <w:r w:rsidRPr="004E4C01">
        <w:t xml:space="preserve">programa de reasentamiento, </w:t>
      </w:r>
      <w:r w:rsidR="00647692" w:rsidRPr="004E4C01">
        <w:t xml:space="preserve">de evaluarse como necesario, se </w:t>
      </w:r>
      <w:r w:rsidRPr="004E4C01">
        <w:t xml:space="preserve">debe informar </w:t>
      </w:r>
      <w:r w:rsidR="000F2276" w:rsidRPr="004E4C01">
        <w:t xml:space="preserve">sobre </w:t>
      </w:r>
      <w:r w:rsidR="00CA52FA" w:rsidRPr="004E4C01">
        <w:t xml:space="preserve">su formulación </w:t>
      </w:r>
      <w:r w:rsidRPr="004E4C01">
        <w:t xml:space="preserve">y solicitar </w:t>
      </w:r>
      <w:r w:rsidR="00371ABA" w:rsidRPr="004E4C01">
        <w:t xml:space="preserve">a diferentes </w:t>
      </w:r>
      <w:r w:rsidRPr="004E4C01">
        <w:t>instituciones estatales del orden nacional y territorial su concepto en los temas de su competencia.</w:t>
      </w:r>
    </w:p>
    <w:p w14:paraId="0F9B6E1B" w14:textId="77777777" w:rsidR="009642E0" w:rsidRPr="004E4C01" w:rsidRDefault="009642E0">
      <w:pPr>
        <w:numPr>
          <w:ilvl w:val="12"/>
          <w:numId w:val="0"/>
        </w:numPr>
        <w:tabs>
          <w:tab w:val="left" w:pos="-2268"/>
        </w:tabs>
        <w:suppressAutoHyphens/>
        <w:rPr>
          <w:spacing w:val="-3"/>
        </w:rPr>
      </w:pPr>
    </w:p>
    <w:p w14:paraId="2C9904B2" w14:textId="24AE347C" w:rsidR="00076F22" w:rsidRPr="004E4C01" w:rsidRDefault="003E1ED4" w:rsidP="009420F5">
      <w:pPr>
        <w:pStyle w:val="Ttulo2"/>
        <w:tabs>
          <w:tab w:val="clear" w:pos="0"/>
          <w:tab w:val="num" w:pos="851"/>
        </w:tabs>
        <w:ind w:left="851" w:hanging="851"/>
        <w:rPr>
          <w:lang w:val="es-CO"/>
        </w:rPr>
      </w:pPr>
      <w:bookmarkStart w:id="11092" w:name="_Toc150593819"/>
      <w:bookmarkStart w:id="11093" w:name="_Toc274067240"/>
      <w:bookmarkStart w:id="11094" w:name="_Toc378923327"/>
      <w:bookmarkStart w:id="11095" w:name="_Toc405366876"/>
      <w:bookmarkStart w:id="11096" w:name="_Toc405372424"/>
      <w:bookmarkStart w:id="11097" w:name="_Toc412812789"/>
      <w:bookmarkStart w:id="11098" w:name="_Toc437936065"/>
      <w:bookmarkStart w:id="11099" w:name="_Toc40272799"/>
      <w:bookmarkStart w:id="11100" w:name="_Toc42839709"/>
      <w:bookmarkStart w:id="11101" w:name="_Ref76058128"/>
      <w:bookmarkStart w:id="11102" w:name="_Ref142917517"/>
      <w:bookmarkStart w:id="11103" w:name="_Ref173750685"/>
      <w:bookmarkStart w:id="11104" w:name="_Ref175320919"/>
      <w:bookmarkStart w:id="11105" w:name="_Ref175326838"/>
      <w:bookmarkStart w:id="11106" w:name="_Toc230879713"/>
      <w:r w:rsidRPr="004E4C01">
        <w:rPr>
          <w:lang w:val="es-CO"/>
        </w:rPr>
        <w:t>PLAN DE SEGUIMIENTO Y MONITOREO</w:t>
      </w:r>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p>
    <w:p w14:paraId="0555ECB8" w14:textId="77777777" w:rsidR="00076F22" w:rsidRPr="004E4C01" w:rsidRDefault="00076F22">
      <w:pPr>
        <w:numPr>
          <w:ilvl w:val="12"/>
          <w:numId w:val="0"/>
        </w:numPr>
        <w:tabs>
          <w:tab w:val="left" w:pos="-2268"/>
        </w:tabs>
        <w:suppressAutoHyphens/>
        <w:rPr>
          <w:spacing w:val="-3"/>
        </w:rPr>
      </w:pPr>
    </w:p>
    <w:p w14:paraId="46E64480" w14:textId="0EC58130" w:rsidR="004D7D13" w:rsidRPr="004E4C01" w:rsidRDefault="004B46F6">
      <w:pPr>
        <w:numPr>
          <w:ilvl w:val="12"/>
          <w:numId w:val="0"/>
        </w:numPr>
        <w:tabs>
          <w:tab w:val="left" w:pos="-2268"/>
        </w:tabs>
        <w:suppressAutoHyphens/>
        <w:rPr>
          <w:rFonts w:cs="Arial"/>
          <w:szCs w:val="20"/>
        </w:rPr>
      </w:pPr>
      <w:bookmarkStart w:id="11107" w:name="_Toc149301337"/>
      <w:bookmarkStart w:id="11108" w:name="_Toc150592758"/>
      <w:bookmarkStart w:id="11109" w:name="_Toc150593820"/>
      <w:bookmarkStart w:id="11110" w:name="_Toc149301338"/>
      <w:bookmarkStart w:id="11111" w:name="_Toc150592759"/>
      <w:bookmarkStart w:id="11112" w:name="_Toc150593821"/>
      <w:bookmarkStart w:id="11113" w:name="_Toc149301340"/>
      <w:bookmarkStart w:id="11114" w:name="_Toc150592761"/>
      <w:bookmarkStart w:id="11115" w:name="_Toc150593823"/>
      <w:bookmarkStart w:id="11116" w:name="_Toc149301342"/>
      <w:bookmarkStart w:id="11117" w:name="_Toc150592763"/>
      <w:bookmarkStart w:id="11118" w:name="_Toc150593825"/>
      <w:bookmarkStart w:id="11119" w:name="_Toc149301344"/>
      <w:bookmarkStart w:id="11120" w:name="_Toc150592765"/>
      <w:bookmarkStart w:id="11121" w:name="_Toc150593827"/>
      <w:bookmarkStart w:id="11122" w:name="_Toc149301346"/>
      <w:bookmarkStart w:id="11123" w:name="_Toc150592767"/>
      <w:bookmarkStart w:id="11124" w:name="_Toc150593829"/>
      <w:bookmarkStart w:id="11125" w:name="_Toc149301349"/>
      <w:bookmarkStart w:id="11126" w:name="_Toc150592770"/>
      <w:bookmarkStart w:id="11127" w:name="_Toc150593832"/>
      <w:bookmarkStart w:id="11128" w:name="_Toc149301350"/>
      <w:bookmarkStart w:id="11129" w:name="_Toc150592771"/>
      <w:bookmarkStart w:id="11130" w:name="_Toc150593833"/>
      <w:bookmarkStart w:id="11131" w:name="_Toc149301351"/>
      <w:bookmarkStart w:id="11132" w:name="_Toc150592772"/>
      <w:bookmarkStart w:id="11133" w:name="_Toc150593834"/>
      <w:bookmarkStart w:id="11134" w:name="_Toc149301353"/>
      <w:bookmarkStart w:id="11135" w:name="_Toc150592774"/>
      <w:bookmarkStart w:id="11136" w:name="_Toc150593836"/>
      <w:bookmarkStart w:id="11137" w:name="_Toc149301355"/>
      <w:bookmarkStart w:id="11138" w:name="_Toc150592776"/>
      <w:bookmarkStart w:id="11139" w:name="_Toc150593838"/>
      <w:bookmarkStart w:id="11140" w:name="_Toc149301356"/>
      <w:bookmarkStart w:id="11141" w:name="_Toc150592777"/>
      <w:bookmarkStart w:id="11142" w:name="_Toc150593839"/>
      <w:bookmarkStart w:id="11143" w:name="_Toc149301357"/>
      <w:bookmarkStart w:id="11144" w:name="_Toc150592778"/>
      <w:bookmarkStart w:id="11145" w:name="_Toc150593840"/>
      <w:bookmarkStart w:id="11146" w:name="_Toc149301359"/>
      <w:bookmarkStart w:id="11147" w:name="_Toc150592780"/>
      <w:bookmarkStart w:id="11148" w:name="_Toc150593842"/>
      <w:bookmarkStart w:id="11149" w:name="_Toc149301360"/>
      <w:bookmarkStart w:id="11150" w:name="_Toc150592781"/>
      <w:bookmarkStart w:id="11151" w:name="_Toc150593843"/>
      <w:bookmarkStart w:id="11152" w:name="_Toc149301361"/>
      <w:bookmarkStart w:id="11153" w:name="_Toc150592782"/>
      <w:bookmarkStart w:id="11154" w:name="_Toc150593844"/>
      <w:bookmarkStart w:id="11155" w:name="_Toc149301363"/>
      <w:bookmarkStart w:id="11156" w:name="_Toc150592784"/>
      <w:bookmarkStart w:id="11157" w:name="_Toc150593846"/>
      <w:bookmarkStart w:id="11158" w:name="_Toc149301364"/>
      <w:bookmarkStart w:id="11159" w:name="_Toc150592785"/>
      <w:bookmarkStart w:id="11160" w:name="_Toc150593847"/>
      <w:bookmarkStart w:id="11161" w:name="_Toc149301365"/>
      <w:bookmarkStart w:id="11162" w:name="_Toc150592786"/>
      <w:bookmarkStart w:id="11163" w:name="_Toc150593848"/>
      <w:bookmarkStart w:id="11164" w:name="_Toc149301367"/>
      <w:bookmarkStart w:id="11165" w:name="_Toc150592788"/>
      <w:bookmarkStart w:id="11166" w:name="_Toc150593850"/>
      <w:bookmarkStart w:id="11167" w:name="_Toc149301369"/>
      <w:bookmarkStart w:id="11168" w:name="_Toc150592790"/>
      <w:bookmarkStart w:id="11169" w:name="_Toc150593852"/>
      <w:bookmarkStart w:id="11170" w:name="_Toc149301371"/>
      <w:bookmarkStart w:id="11171" w:name="_Toc150592792"/>
      <w:bookmarkStart w:id="11172" w:name="_Toc150593854"/>
      <w:bookmarkStart w:id="11173" w:name="_Toc149301372"/>
      <w:bookmarkStart w:id="11174" w:name="_Toc150592793"/>
      <w:bookmarkStart w:id="11175" w:name="_Toc150593855"/>
      <w:bookmarkStart w:id="11176" w:name="_Toc149301376"/>
      <w:bookmarkStart w:id="11177" w:name="_Toc150592797"/>
      <w:bookmarkStart w:id="11178" w:name="_Toc150593859"/>
      <w:bookmarkStart w:id="11179" w:name="_Toc149301378"/>
      <w:bookmarkStart w:id="11180" w:name="_Toc150592799"/>
      <w:bookmarkStart w:id="11181" w:name="_Toc150593861"/>
      <w:bookmarkStart w:id="11182" w:name="_Toc149301380"/>
      <w:bookmarkStart w:id="11183" w:name="_Toc150592801"/>
      <w:bookmarkStart w:id="11184" w:name="_Toc150593863"/>
      <w:bookmarkStart w:id="11185" w:name="_Toc149301382"/>
      <w:bookmarkStart w:id="11186" w:name="_Toc150592803"/>
      <w:bookmarkStart w:id="11187" w:name="_Toc150593865"/>
      <w:bookmarkStart w:id="11188" w:name="_Toc149301384"/>
      <w:bookmarkStart w:id="11189" w:name="_Toc150592805"/>
      <w:bookmarkStart w:id="11190" w:name="_Toc150593867"/>
      <w:bookmarkStart w:id="11191" w:name="_Toc149301386"/>
      <w:bookmarkStart w:id="11192" w:name="_Toc150592807"/>
      <w:bookmarkStart w:id="11193" w:name="_Toc150593869"/>
      <w:bookmarkStart w:id="11194" w:name="_Toc149301388"/>
      <w:bookmarkStart w:id="11195" w:name="_Toc150592809"/>
      <w:bookmarkStart w:id="11196" w:name="_Toc150593871"/>
      <w:bookmarkStart w:id="11197" w:name="_Toc149301390"/>
      <w:bookmarkStart w:id="11198" w:name="_Toc150592811"/>
      <w:bookmarkStart w:id="11199" w:name="_Toc150593873"/>
      <w:bookmarkStart w:id="11200" w:name="_Toc149301392"/>
      <w:bookmarkStart w:id="11201" w:name="_Toc150592813"/>
      <w:bookmarkStart w:id="11202" w:name="_Toc150593875"/>
      <w:bookmarkStart w:id="11203" w:name="_Toc149301394"/>
      <w:bookmarkStart w:id="11204" w:name="_Toc150592815"/>
      <w:bookmarkStart w:id="11205" w:name="_Toc150593877"/>
      <w:bookmarkStart w:id="11206" w:name="_Toc149301396"/>
      <w:bookmarkStart w:id="11207" w:name="_Toc150592817"/>
      <w:bookmarkStart w:id="11208" w:name="_Toc150593879"/>
      <w:bookmarkStart w:id="11209" w:name="_Toc149301397"/>
      <w:bookmarkStart w:id="11210" w:name="_Toc150592818"/>
      <w:bookmarkStart w:id="11211" w:name="_Toc150593880"/>
      <w:bookmarkStart w:id="11212" w:name="_Toc149301398"/>
      <w:bookmarkStart w:id="11213" w:name="_Toc150592819"/>
      <w:bookmarkStart w:id="11214" w:name="_Toc150593881"/>
      <w:bookmarkStart w:id="11215" w:name="_Toc149301400"/>
      <w:bookmarkStart w:id="11216" w:name="_Toc150592821"/>
      <w:bookmarkStart w:id="11217" w:name="_Toc150593883"/>
      <w:bookmarkStart w:id="11218" w:name="_Toc149301402"/>
      <w:bookmarkStart w:id="11219" w:name="_Toc150592823"/>
      <w:bookmarkStart w:id="11220" w:name="_Toc150593885"/>
      <w:bookmarkStart w:id="11221" w:name="_Toc149301404"/>
      <w:bookmarkStart w:id="11222" w:name="_Toc150592825"/>
      <w:bookmarkStart w:id="11223" w:name="_Toc150593887"/>
      <w:bookmarkStart w:id="11224" w:name="_Toc149301408"/>
      <w:bookmarkStart w:id="11225" w:name="_Toc150592829"/>
      <w:bookmarkStart w:id="11226" w:name="_Toc150593891"/>
      <w:bookmarkStart w:id="11227" w:name="_Toc149301410"/>
      <w:bookmarkStart w:id="11228" w:name="_Toc150592831"/>
      <w:bookmarkStart w:id="11229" w:name="_Toc150593893"/>
      <w:bookmarkStart w:id="11230" w:name="_Toc149301411"/>
      <w:bookmarkStart w:id="11231" w:name="_Toc150592832"/>
      <w:bookmarkStart w:id="11232" w:name="_Toc150593894"/>
      <w:bookmarkStart w:id="11233" w:name="_Toc149301412"/>
      <w:bookmarkStart w:id="11234" w:name="_Toc150592833"/>
      <w:bookmarkStart w:id="11235" w:name="_Toc150593895"/>
      <w:bookmarkStart w:id="11236" w:name="_Toc149301415"/>
      <w:bookmarkStart w:id="11237" w:name="_Toc150592836"/>
      <w:bookmarkStart w:id="11238" w:name="_Toc150593898"/>
      <w:bookmarkStart w:id="11239" w:name="_Toc149301417"/>
      <w:bookmarkStart w:id="11240" w:name="_Toc150592838"/>
      <w:bookmarkStart w:id="11241" w:name="_Toc150593900"/>
      <w:bookmarkStart w:id="11242" w:name="_Toc149301425"/>
      <w:bookmarkStart w:id="11243" w:name="_Toc150592846"/>
      <w:bookmarkStart w:id="11244" w:name="_Toc150593908"/>
      <w:bookmarkStart w:id="11245" w:name="_Toc149301430"/>
      <w:bookmarkStart w:id="11246" w:name="_Toc150592851"/>
      <w:bookmarkStart w:id="11247" w:name="_Toc150593913"/>
      <w:bookmarkStart w:id="11248" w:name="_Toc149301431"/>
      <w:bookmarkStart w:id="11249" w:name="_Toc150592852"/>
      <w:bookmarkStart w:id="11250" w:name="_Toc150593914"/>
      <w:bookmarkStart w:id="11251" w:name="_Toc149301432"/>
      <w:bookmarkStart w:id="11252" w:name="_Toc150592853"/>
      <w:bookmarkStart w:id="11253" w:name="_Toc150593915"/>
      <w:bookmarkStart w:id="11254" w:name="_Toc149301433"/>
      <w:bookmarkStart w:id="11255" w:name="_Toc150592854"/>
      <w:bookmarkStart w:id="11256" w:name="_Toc150593916"/>
      <w:bookmarkStart w:id="11257" w:name="_Toc149301434"/>
      <w:bookmarkStart w:id="11258" w:name="_Toc150592855"/>
      <w:bookmarkStart w:id="11259" w:name="_Toc150593917"/>
      <w:bookmarkStart w:id="11260" w:name="_Toc149301435"/>
      <w:bookmarkStart w:id="11261" w:name="_Toc150592856"/>
      <w:bookmarkStart w:id="11262" w:name="_Toc150593918"/>
      <w:bookmarkStart w:id="11263" w:name="_Toc149301436"/>
      <w:bookmarkStart w:id="11264" w:name="_Toc150592857"/>
      <w:bookmarkStart w:id="11265" w:name="_Toc150593919"/>
      <w:bookmarkStart w:id="11266" w:name="_Toc149301437"/>
      <w:bookmarkStart w:id="11267" w:name="_Toc150592858"/>
      <w:bookmarkStart w:id="11268" w:name="_Toc150593920"/>
      <w:bookmarkStart w:id="11269" w:name="_Toc149301438"/>
      <w:bookmarkStart w:id="11270" w:name="_Toc150592859"/>
      <w:bookmarkStart w:id="11271" w:name="_Toc150593921"/>
      <w:bookmarkStart w:id="11272" w:name="_Toc149301442"/>
      <w:bookmarkStart w:id="11273" w:name="_Toc150592863"/>
      <w:bookmarkStart w:id="11274" w:name="_Toc150593925"/>
      <w:bookmarkStart w:id="11275" w:name="_Toc149301443"/>
      <w:bookmarkStart w:id="11276" w:name="_Toc150592864"/>
      <w:bookmarkStart w:id="11277" w:name="_Toc150593926"/>
      <w:bookmarkStart w:id="11278" w:name="_Toc149301444"/>
      <w:bookmarkStart w:id="11279" w:name="_Toc150592865"/>
      <w:bookmarkStart w:id="11280" w:name="_Toc150593927"/>
      <w:bookmarkStart w:id="11281" w:name="_Toc149301445"/>
      <w:bookmarkStart w:id="11282" w:name="_Toc150592866"/>
      <w:bookmarkStart w:id="11283" w:name="_Toc150593928"/>
      <w:bookmarkStart w:id="11284" w:name="_Toc149301446"/>
      <w:bookmarkStart w:id="11285" w:name="_Toc150592867"/>
      <w:bookmarkStart w:id="11286" w:name="_Toc150593929"/>
      <w:bookmarkStart w:id="11287" w:name="_Toc149301448"/>
      <w:bookmarkStart w:id="11288" w:name="_Toc150592869"/>
      <w:bookmarkStart w:id="11289" w:name="_Toc150593931"/>
      <w:bookmarkStart w:id="11290" w:name="_Toc149301451"/>
      <w:bookmarkStart w:id="11291" w:name="_Toc150592872"/>
      <w:bookmarkStart w:id="11292" w:name="_Toc150593934"/>
      <w:bookmarkStart w:id="11293" w:name="_Toc149301456"/>
      <w:bookmarkStart w:id="11294" w:name="_Toc150592877"/>
      <w:bookmarkStart w:id="11295" w:name="_Toc150593939"/>
      <w:bookmarkStart w:id="11296" w:name="_Toc149301458"/>
      <w:bookmarkStart w:id="11297" w:name="_Toc150592879"/>
      <w:bookmarkStart w:id="11298" w:name="_Toc150593941"/>
      <w:bookmarkStart w:id="11299" w:name="_Toc149301459"/>
      <w:bookmarkStart w:id="11300" w:name="_Toc150592880"/>
      <w:bookmarkStart w:id="11301" w:name="_Toc150593942"/>
      <w:bookmarkStart w:id="11302" w:name="_Toc149301460"/>
      <w:bookmarkStart w:id="11303" w:name="_Toc150592881"/>
      <w:bookmarkStart w:id="11304" w:name="_Toc150593943"/>
      <w:bookmarkStart w:id="11305" w:name="_Toc149301461"/>
      <w:bookmarkStart w:id="11306" w:name="_Toc150592882"/>
      <w:bookmarkStart w:id="11307" w:name="_Toc150593944"/>
      <w:bookmarkStart w:id="11308" w:name="_Toc149301462"/>
      <w:bookmarkStart w:id="11309" w:name="_Toc150592883"/>
      <w:bookmarkStart w:id="11310" w:name="_Toc150593945"/>
      <w:bookmarkStart w:id="11311" w:name="_Toc149301465"/>
      <w:bookmarkStart w:id="11312" w:name="_Toc150592886"/>
      <w:bookmarkStart w:id="11313" w:name="_Toc150593948"/>
      <w:bookmarkStart w:id="11314" w:name="_Toc149301467"/>
      <w:bookmarkStart w:id="11315" w:name="_Toc150592888"/>
      <w:bookmarkStart w:id="11316" w:name="_Toc150593950"/>
      <w:bookmarkStart w:id="11317" w:name="_Toc149301468"/>
      <w:bookmarkStart w:id="11318" w:name="_Toc150592889"/>
      <w:bookmarkStart w:id="11319" w:name="_Toc150593951"/>
      <w:bookmarkStart w:id="11320" w:name="_Toc149301469"/>
      <w:bookmarkStart w:id="11321" w:name="_Toc150592890"/>
      <w:bookmarkStart w:id="11322" w:name="_Toc150593952"/>
      <w:bookmarkStart w:id="11323" w:name="_Toc149301470"/>
      <w:bookmarkStart w:id="11324" w:name="_Toc150592891"/>
      <w:bookmarkStart w:id="11325" w:name="_Toc150593953"/>
      <w:bookmarkStart w:id="11326" w:name="_Toc149301471"/>
      <w:bookmarkStart w:id="11327" w:name="_Toc150592892"/>
      <w:bookmarkStart w:id="11328" w:name="_Toc150593954"/>
      <w:bookmarkStart w:id="11329" w:name="_Toc149301475"/>
      <w:bookmarkStart w:id="11330" w:name="_Toc150592896"/>
      <w:bookmarkStart w:id="11331" w:name="_Toc150593958"/>
      <w:bookmarkStart w:id="11332" w:name="_Toc149301479"/>
      <w:bookmarkStart w:id="11333" w:name="_Toc150592900"/>
      <w:bookmarkStart w:id="11334" w:name="_Toc150593962"/>
      <w:bookmarkStart w:id="11335" w:name="_Toc149301481"/>
      <w:bookmarkStart w:id="11336" w:name="_Toc150592902"/>
      <w:bookmarkStart w:id="11337" w:name="_Toc150593964"/>
      <w:bookmarkStart w:id="11338" w:name="_Toc149301482"/>
      <w:bookmarkStart w:id="11339" w:name="_Toc150592903"/>
      <w:bookmarkStart w:id="11340" w:name="_Toc150593965"/>
      <w:bookmarkStart w:id="11341" w:name="_Toc149301483"/>
      <w:bookmarkStart w:id="11342" w:name="_Toc150592904"/>
      <w:bookmarkStart w:id="11343" w:name="_Toc150593966"/>
      <w:bookmarkStart w:id="11344" w:name="_Toc149301484"/>
      <w:bookmarkStart w:id="11345" w:name="_Toc150592905"/>
      <w:bookmarkStart w:id="11346" w:name="_Toc150593967"/>
      <w:bookmarkStart w:id="11347" w:name="_Toc149301485"/>
      <w:bookmarkStart w:id="11348" w:name="_Toc150592906"/>
      <w:bookmarkStart w:id="11349" w:name="_Toc150593968"/>
      <w:bookmarkStart w:id="11350" w:name="_Toc149301487"/>
      <w:bookmarkStart w:id="11351" w:name="_Toc150592908"/>
      <w:bookmarkStart w:id="11352" w:name="_Toc150593970"/>
      <w:bookmarkStart w:id="11353" w:name="_Toc149301497"/>
      <w:bookmarkStart w:id="11354" w:name="_Toc150592918"/>
      <w:bookmarkStart w:id="11355" w:name="_Toc150593980"/>
      <w:bookmarkStart w:id="11356" w:name="_Toc149301499"/>
      <w:bookmarkStart w:id="11357" w:name="_Toc150592920"/>
      <w:bookmarkStart w:id="11358" w:name="_Toc150593982"/>
      <w:bookmarkStart w:id="11359" w:name="_Toc149301500"/>
      <w:bookmarkStart w:id="11360" w:name="_Toc150592921"/>
      <w:bookmarkStart w:id="11361" w:name="_Toc150593983"/>
      <w:bookmarkStart w:id="11362" w:name="_Toc149301505"/>
      <w:bookmarkStart w:id="11363" w:name="_Toc150592926"/>
      <w:bookmarkStart w:id="11364" w:name="_Toc150593988"/>
      <w:bookmarkStart w:id="11365" w:name="_Toc149301507"/>
      <w:bookmarkStart w:id="11366" w:name="_Toc150592928"/>
      <w:bookmarkStart w:id="11367" w:name="_Toc150593990"/>
      <w:bookmarkStart w:id="11368" w:name="_Toc149301509"/>
      <w:bookmarkStart w:id="11369" w:name="_Toc150592930"/>
      <w:bookmarkStart w:id="11370" w:name="_Toc150593992"/>
      <w:bookmarkStart w:id="11371" w:name="_Toc149301510"/>
      <w:bookmarkStart w:id="11372" w:name="_Toc150592931"/>
      <w:bookmarkStart w:id="11373" w:name="_Toc150593993"/>
      <w:bookmarkStart w:id="11374" w:name="_Toc149301511"/>
      <w:bookmarkStart w:id="11375" w:name="_Toc150592932"/>
      <w:bookmarkStart w:id="11376" w:name="_Toc150593994"/>
      <w:bookmarkStart w:id="11377" w:name="_Toc149301525"/>
      <w:bookmarkStart w:id="11378" w:name="_Toc150592946"/>
      <w:bookmarkStart w:id="11379" w:name="_Toc150594008"/>
      <w:bookmarkStart w:id="11380" w:name="_Hlk115961980"/>
      <w:bookmarkStart w:id="11381" w:name="_Toc378923328"/>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r w:rsidRPr="004E4C01">
        <w:t>E</w:t>
      </w:r>
      <w:r w:rsidRPr="004E4C01">
        <w:rPr>
          <w:spacing w:val="-3"/>
        </w:rPr>
        <w:t>l monitoreo y seguimiento es un proceso q</w:t>
      </w:r>
      <w:r w:rsidRPr="004E4C01">
        <w:rPr>
          <w:bCs/>
          <w:spacing w:val="-3"/>
        </w:rPr>
        <w:t>ue mediante la observación de</w:t>
      </w:r>
      <w:r w:rsidR="004D7D13" w:rsidRPr="004E4C01">
        <w:rPr>
          <w:bCs/>
          <w:spacing w:val="-3"/>
        </w:rPr>
        <w:t xml:space="preserve"> </w:t>
      </w:r>
      <w:r w:rsidRPr="004E4C01">
        <w:rPr>
          <w:bCs/>
          <w:spacing w:val="-3"/>
        </w:rPr>
        <w:t>l</w:t>
      </w:r>
      <w:r w:rsidR="004D7D13" w:rsidRPr="004E4C01">
        <w:rPr>
          <w:bCs/>
          <w:spacing w:val="-3"/>
        </w:rPr>
        <w:t>a evolución</w:t>
      </w:r>
      <w:r w:rsidRPr="004E4C01">
        <w:rPr>
          <w:bCs/>
          <w:spacing w:val="-3"/>
        </w:rPr>
        <w:t xml:space="preserve"> de los parámetros</w:t>
      </w:r>
      <w:r w:rsidR="0036668B" w:rsidRPr="004E4C01">
        <w:rPr>
          <w:bCs/>
          <w:spacing w:val="-3"/>
        </w:rPr>
        <w:t>, indicadores o índices</w:t>
      </w:r>
      <w:r w:rsidRPr="004E4C01">
        <w:rPr>
          <w:bCs/>
          <w:spacing w:val="-3"/>
        </w:rPr>
        <w:t xml:space="preserve"> ambientales que pueden ser </w:t>
      </w:r>
      <w:r w:rsidR="004D7D13" w:rsidRPr="004E4C01">
        <w:rPr>
          <w:bCs/>
          <w:spacing w:val="-3"/>
        </w:rPr>
        <w:t>alterados</w:t>
      </w:r>
      <w:r w:rsidRPr="004E4C01">
        <w:rPr>
          <w:bCs/>
          <w:spacing w:val="-3"/>
        </w:rPr>
        <w:t xml:space="preserve"> por el proyecto, obra o actividad, busca detectar eventuales anomalías </w:t>
      </w:r>
      <w:r w:rsidR="00860600" w:rsidRPr="004E4C01">
        <w:rPr>
          <w:bCs/>
          <w:spacing w:val="-3"/>
        </w:rPr>
        <w:t xml:space="preserve">en los factores, componentes y medios con los que </w:t>
      </w:r>
      <w:r w:rsidR="0022137A" w:rsidRPr="004E4C01">
        <w:rPr>
          <w:bCs/>
          <w:spacing w:val="-3"/>
        </w:rPr>
        <w:t xml:space="preserve">éstos </w:t>
      </w:r>
      <w:r w:rsidR="00860600" w:rsidRPr="004E4C01">
        <w:rPr>
          <w:bCs/>
          <w:spacing w:val="-3"/>
        </w:rPr>
        <w:t xml:space="preserve">se relacionan, </w:t>
      </w:r>
      <w:r w:rsidRPr="004E4C01">
        <w:rPr>
          <w:rFonts w:cs="Arial"/>
          <w:szCs w:val="20"/>
        </w:rPr>
        <w:t>c</w:t>
      </w:r>
      <w:r w:rsidR="00D635DA" w:rsidRPr="004E4C01">
        <w:rPr>
          <w:rFonts w:cs="Arial"/>
          <w:szCs w:val="20"/>
        </w:rPr>
        <w:t xml:space="preserve">on el propósito de que </w:t>
      </w:r>
      <w:r w:rsidR="00073CA4" w:rsidRPr="004E4C01">
        <w:rPr>
          <w:rFonts w:cs="Arial"/>
          <w:szCs w:val="20"/>
        </w:rPr>
        <w:t xml:space="preserve">durante </w:t>
      </w:r>
      <w:r w:rsidR="004D7D13" w:rsidRPr="004E4C01">
        <w:rPr>
          <w:rFonts w:cs="Arial"/>
          <w:szCs w:val="20"/>
        </w:rPr>
        <w:t xml:space="preserve">su </w:t>
      </w:r>
      <w:r w:rsidR="00073CA4" w:rsidRPr="004E4C01">
        <w:rPr>
          <w:rFonts w:cs="Arial"/>
          <w:szCs w:val="20"/>
        </w:rPr>
        <w:t>ejecución</w:t>
      </w:r>
      <w:r w:rsidR="004D7D13" w:rsidRPr="004E4C01">
        <w:rPr>
          <w:rFonts w:cs="Arial"/>
          <w:szCs w:val="20"/>
        </w:rPr>
        <w:t xml:space="preserve"> </w:t>
      </w:r>
      <w:r w:rsidR="00073CA4" w:rsidRPr="004E4C01">
        <w:rPr>
          <w:rFonts w:cs="Arial"/>
          <w:szCs w:val="20"/>
        </w:rPr>
        <w:t xml:space="preserve">sea posible </w:t>
      </w:r>
      <w:r w:rsidR="00D635DA" w:rsidRPr="004E4C01">
        <w:rPr>
          <w:rFonts w:cs="Arial"/>
          <w:szCs w:val="20"/>
        </w:rPr>
        <w:t xml:space="preserve">emprender acciones </w:t>
      </w:r>
      <w:r w:rsidR="00C91F5B" w:rsidRPr="004E4C01">
        <w:rPr>
          <w:rFonts w:cs="Arial"/>
          <w:szCs w:val="20"/>
        </w:rPr>
        <w:t>oportunas y pertinentes de</w:t>
      </w:r>
      <w:r w:rsidR="004D7D13" w:rsidRPr="004E4C01">
        <w:rPr>
          <w:rFonts w:cs="Arial"/>
          <w:szCs w:val="20"/>
        </w:rPr>
        <w:t xml:space="preserve"> </w:t>
      </w:r>
      <w:r w:rsidR="00D635DA" w:rsidRPr="004E4C01">
        <w:rPr>
          <w:rFonts w:cs="Arial"/>
          <w:szCs w:val="20"/>
        </w:rPr>
        <w:t>control ambiental</w:t>
      </w:r>
      <w:r w:rsidR="004D7D13" w:rsidRPr="004E4C01">
        <w:rPr>
          <w:bCs/>
          <w:spacing w:val="-3"/>
        </w:rPr>
        <w:t>.</w:t>
      </w:r>
    </w:p>
    <w:p w14:paraId="1F1CD992" w14:textId="77777777" w:rsidR="004D7D13" w:rsidRPr="004E4C01" w:rsidRDefault="004D7D13">
      <w:pPr>
        <w:numPr>
          <w:ilvl w:val="12"/>
          <w:numId w:val="0"/>
        </w:numPr>
        <w:tabs>
          <w:tab w:val="left" w:pos="-2268"/>
        </w:tabs>
        <w:suppressAutoHyphens/>
        <w:rPr>
          <w:rFonts w:cs="Arial"/>
          <w:szCs w:val="20"/>
        </w:rPr>
      </w:pPr>
    </w:p>
    <w:p w14:paraId="5D2771CF" w14:textId="49F9D997" w:rsidR="003F354A" w:rsidRPr="004E4C01" w:rsidRDefault="00C91F5B" w:rsidP="003F354A">
      <w:pPr>
        <w:numPr>
          <w:ilvl w:val="12"/>
          <w:numId w:val="0"/>
        </w:numPr>
        <w:tabs>
          <w:tab w:val="left" w:pos="-2268"/>
        </w:tabs>
        <w:suppressAutoHyphens/>
        <w:rPr>
          <w:rFonts w:cs="Arial"/>
          <w:szCs w:val="20"/>
        </w:rPr>
      </w:pPr>
      <w:r w:rsidRPr="004E4C01">
        <w:rPr>
          <w:rFonts w:cs="Arial"/>
          <w:szCs w:val="20"/>
        </w:rPr>
        <w:t>Por lo anterior</w:t>
      </w:r>
      <w:r w:rsidR="00D635DA" w:rsidRPr="004E4C01">
        <w:rPr>
          <w:rFonts w:cs="Arial"/>
          <w:szCs w:val="20"/>
        </w:rPr>
        <w:t xml:space="preserve">, </w:t>
      </w:r>
      <w:r w:rsidR="00AF0451" w:rsidRPr="004E4C01">
        <w:rPr>
          <w:rFonts w:cs="Arial"/>
          <w:szCs w:val="20"/>
        </w:rPr>
        <w:t>se debe</w:t>
      </w:r>
      <w:r w:rsidR="00F33A22" w:rsidRPr="004E4C01">
        <w:rPr>
          <w:spacing w:val="-3"/>
        </w:rPr>
        <w:t xml:space="preserve"> </w:t>
      </w:r>
      <w:r w:rsidR="00A706D2" w:rsidRPr="004E4C01">
        <w:rPr>
          <w:spacing w:val="-3"/>
        </w:rPr>
        <w:t xml:space="preserve">estructurar un </w:t>
      </w:r>
      <w:r w:rsidR="00A706D2" w:rsidRPr="004E4C01">
        <w:rPr>
          <w:rFonts w:cs="Arial"/>
          <w:spacing w:val="-3"/>
        </w:rPr>
        <w:t>p</w:t>
      </w:r>
      <w:r w:rsidR="00F33A22" w:rsidRPr="004E4C01">
        <w:rPr>
          <w:rFonts w:cs="Arial"/>
          <w:spacing w:val="-3"/>
        </w:rPr>
        <w:t xml:space="preserve">lan </w:t>
      </w:r>
      <w:r w:rsidR="00A706D2" w:rsidRPr="004E4C01">
        <w:rPr>
          <w:rFonts w:cs="Arial"/>
          <w:spacing w:val="-3"/>
        </w:rPr>
        <w:t xml:space="preserve">que </w:t>
      </w:r>
      <w:r w:rsidR="00F33A22" w:rsidRPr="004E4C01">
        <w:rPr>
          <w:rFonts w:cs="Arial"/>
          <w:szCs w:val="20"/>
        </w:rPr>
        <w:t>defin</w:t>
      </w:r>
      <w:r w:rsidR="00A706D2" w:rsidRPr="004E4C01">
        <w:rPr>
          <w:rFonts w:cs="Arial"/>
          <w:szCs w:val="20"/>
        </w:rPr>
        <w:t>a</w:t>
      </w:r>
      <w:r w:rsidR="00F33A22" w:rsidRPr="004E4C01">
        <w:rPr>
          <w:rFonts w:cs="Arial"/>
          <w:szCs w:val="20"/>
        </w:rPr>
        <w:t xml:space="preserve"> las acciones de monitoreo </w:t>
      </w:r>
      <w:r w:rsidR="00C15965" w:rsidRPr="004E4C01">
        <w:rPr>
          <w:rFonts w:cs="Arial"/>
          <w:szCs w:val="20"/>
        </w:rPr>
        <w:t xml:space="preserve">y seguimiento </w:t>
      </w:r>
      <w:r w:rsidR="00F33A22" w:rsidRPr="004E4C01">
        <w:rPr>
          <w:rFonts w:cs="Arial"/>
          <w:szCs w:val="20"/>
        </w:rPr>
        <w:t>tanto al estado de la</w:t>
      </w:r>
      <w:r w:rsidR="00A551AF" w:rsidRPr="004E4C01">
        <w:rPr>
          <w:rFonts w:cs="Arial"/>
          <w:szCs w:val="20"/>
        </w:rPr>
        <w:t>s</w:t>
      </w:r>
      <w:r w:rsidR="00F33A22" w:rsidRPr="004E4C01">
        <w:rPr>
          <w:rFonts w:cs="Arial"/>
          <w:szCs w:val="20"/>
        </w:rPr>
        <w:t xml:space="preserve"> </w:t>
      </w:r>
      <w:r w:rsidR="00A551AF" w:rsidRPr="004E4C01">
        <w:rPr>
          <w:rFonts w:cs="Arial"/>
          <w:szCs w:val="20"/>
        </w:rPr>
        <w:t xml:space="preserve">condiciones ambientales </w:t>
      </w:r>
      <w:r w:rsidR="00F33A22" w:rsidRPr="004E4C01">
        <w:rPr>
          <w:rFonts w:cs="Arial"/>
          <w:szCs w:val="20"/>
        </w:rPr>
        <w:t>en el área de influencia</w:t>
      </w:r>
      <w:r w:rsidR="00860600" w:rsidRPr="004E4C01">
        <w:rPr>
          <w:rFonts w:cs="Arial"/>
          <w:szCs w:val="20"/>
        </w:rPr>
        <w:t xml:space="preserve"> del proyecto, obra o actividad</w:t>
      </w:r>
      <w:r w:rsidR="00F33A22" w:rsidRPr="004E4C01">
        <w:rPr>
          <w:rFonts w:cs="Arial"/>
          <w:szCs w:val="20"/>
        </w:rPr>
        <w:t xml:space="preserve">, como a la eficacia de las medidas de manejo </w:t>
      </w:r>
      <w:r w:rsidR="00D21B58" w:rsidRPr="004E4C01">
        <w:rPr>
          <w:rFonts w:cs="Arial"/>
          <w:szCs w:val="20"/>
        </w:rPr>
        <w:t>contenidas</w:t>
      </w:r>
      <w:r w:rsidR="00C15965" w:rsidRPr="004E4C01">
        <w:rPr>
          <w:rFonts w:cs="Arial"/>
          <w:szCs w:val="20"/>
        </w:rPr>
        <w:t xml:space="preserve"> en</w:t>
      </w:r>
      <w:r w:rsidR="00766C2C" w:rsidRPr="004E4C01">
        <w:rPr>
          <w:rFonts w:cs="Arial"/>
          <w:szCs w:val="20"/>
        </w:rPr>
        <w:t xml:space="preserve"> </w:t>
      </w:r>
      <w:r w:rsidR="0022137A" w:rsidRPr="004E4C01">
        <w:rPr>
          <w:rFonts w:cs="Arial"/>
          <w:szCs w:val="20"/>
        </w:rPr>
        <w:t xml:space="preserve">todos los </w:t>
      </w:r>
      <w:r w:rsidR="00766C2C" w:rsidRPr="004E4C01">
        <w:rPr>
          <w:rFonts w:cs="Arial"/>
          <w:szCs w:val="20"/>
        </w:rPr>
        <w:t>planes y programas</w:t>
      </w:r>
      <w:r w:rsidR="00C15965" w:rsidRPr="004E4C01">
        <w:rPr>
          <w:rFonts w:cs="Arial"/>
          <w:szCs w:val="20"/>
        </w:rPr>
        <w:t xml:space="preserve"> </w:t>
      </w:r>
      <w:r w:rsidR="006A234D" w:rsidRPr="004E4C01">
        <w:rPr>
          <w:rFonts w:cs="Arial"/>
          <w:szCs w:val="20"/>
        </w:rPr>
        <w:t xml:space="preserve">formulados en el </w:t>
      </w:r>
      <w:r w:rsidR="00C1322B" w:rsidRPr="004E4C01">
        <w:rPr>
          <w:rFonts w:cs="Arial"/>
          <w:szCs w:val="20"/>
        </w:rPr>
        <w:t>EIA</w:t>
      </w:r>
      <w:r w:rsidR="00E16B7C" w:rsidRPr="004E4C01">
        <w:rPr>
          <w:rFonts w:cs="Arial"/>
          <w:szCs w:val="20"/>
        </w:rPr>
        <w:t xml:space="preserve">, </w:t>
      </w:r>
      <w:r w:rsidR="003F354A" w:rsidRPr="004E4C01">
        <w:rPr>
          <w:spacing w:val="-3"/>
        </w:rPr>
        <w:t>atend</w:t>
      </w:r>
      <w:r w:rsidR="00E16B7C" w:rsidRPr="004E4C01">
        <w:rPr>
          <w:spacing w:val="-3"/>
        </w:rPr>
        <w:t xml:space="preserve">iendo </w:t>
      </w:r>
      <w:r w:rsidR="003F354A" w:rsidRPr="004E4C01">
        <w:rPr>
          <w:spacing w:val="-3"/>
        </w:rPr>
        <w:t xml:space="preserve">las normas que regulan de forma específica </w:t>
      </w:r>
      <w:r w:rsidR="00C1322B" w:rsidRPr="004E4C01">
        <w:rPr>
          <w:spacing w:val="-3"/>
        </w:rPr>
        <w:t xml:space="preserve">cada </w:t>
      </w:r>
      <w:r w:rsidR="00925BA7" w:rsidRPr="004E4C01">
        <w:rPr>
          <w:spacing w:val="-3"/>
        </w:rPr>
        <w:t>uno de ellos</w:t>
      </w:r>
      <w:r w:rsidR="00E16B7C" w:rsidRPr="004E4C01">
        <w:rPr>
          <w:spacing w:val="-3"/>
        </w:rPr>
        <w:t>.</w:t>
      </w:r>
    </w:p>
    <w:p w14:paraId="461E19EB" w14:textId="77777777" w:rsidR="00E16B7C" w:rsidRPr="004E4C01" w:rsidRDefault="00E16B7C">
      <w:pPr>
        <w:numPr>
          <w:ilvl w:val="12"/>
          <w:numId w:val="0"/>
        </w:numPr>
        <w:tabs>
          <w:tab w:val="left" w:pos="-2268"/>
        </w:tabs>
        <w:suppressAutoHyphens/>
      </w:pPr>
    </w:p>
    <w:p w14:paraId="7E9C96AC" w14:textId="111D56D1" w:rsidR="000C4A11" w:rsidRDefault="00E16B7C" w:rsidP="006C0B62">
      <w:pPr>
        <w:numPr>
          <w:ilvl w:val="12"/>
          <w:numId w:val="0"/>
        </w:numPr>
        <w:tabs>
          <w:tab w:val="left" w:pos="-2268"/>
        </w:tabs>
        <w:suppressAutoHyphens/>
        <w:rPr>
          <w:spacing w:val="-3"/>
        </w:rPr>
      </w:pPr>
      <w:r w:rsidRPr="004E4C01">
        <w:rPr>
          <w:spacing w:val="-3"/>
        </w:rPr>
        <w:t>Resulta importante que la información que se utiliza para la elaboración de los estudios ambientales (que con</w:t>
      </w:r>
      <w:r w:rsidR="002B061F" w:rsidRPr="004E4C01">
        <w:rPr>
          <w:spacing w:val="-3"/>
        </w:rPr>
        <w:t>stituye</w:t>
      </w:r>
      <w:r w:rsidRPr="004E4C01">
        <w:rPr>
          <w:spacing w:val="-3"/>
        </w:rPr>
        <w:t xml:space="preserve"> la caracterización ambiental, evaluación ambiental, plan de manejo ambiental, entre otros apartes) y que se sintetiza mediante parámetros, indicadores o índices, sea organizada de forma coherente y práctica en un sistema de indicadores</w:t>
      </w:r>
      <w:r w:rsidRPr="004E4C01">
        <w:rPr>
          <w:spacing w:val="-3"/>
          <w:vertAlign w:val="superscript"/>
        </w:rPr>
        <w:footnoteReference w:id="251"/>
      </w:r>
      <w:r w:rsidR="001F2B50" w:rsidRPr="004E4C01">
        <w:rPr>
          <w:spacing w:val="-3"/>
        </w:rPr>
        <w:t>.</w:t>
      </w:r>
      <w:r w:rsidRPr="004E4C01">
        <w:rPr>
          <w:spacing w:val="-3"/>
        </w:rPr>
        <w:t xml:space="preserve"> </w:t>
      </w:r>
    </w:p>
    <w:p w14:paraId="40CEFF80" w14:textId="77777777" w:rsidR="000C4A11" w:rsidRDefault="000C4A11" w:rsidP="006C0B62">
      <w:pPr>
        <w:numPr>
          <w:ilvl w:val="12"/>
          <w:numId w:val="0"/>
        </w:numPr>
        <w:tabs>
          <w:tab w:val="left" w:pos="-2268"/>
        </w:tabs>
        <w:suppressAutoHyphens/>
        <w:rPr>
          <w:spacing w:val="-3"/>
        </w:rPr>
      </w:pPr>
    </w:p>
    <w:p w14:paraId="0BD53187" w14:textId="02C0D0B5" w:rsidR="00E16B7C" w:rsidRPr="004E4C01" w:rsidRDefault="001F2B50" w:rsidP="006C0B62">
      <w:pPr>
        <w:numPr>
          <w:ilvl w:val="12"/>
          <w:numId w:val="0"/>
        </w:numPr>
        <w:tabs>
          <w:tab w:val="left" w:pos="-2268"/>
        </w:tabs>
        <w:suppressAutoHyphens/>
        <w:rPr>
          <w:spacing w:val="-3"/>
        </w:rPr>
      </w:pPr>
      <w:r w:rsidRPr="004E4C01">
        <w:rPr>
          <w:spacing w:val="-3"/>
        </w:rPr>
        <w:t>E</w:t>
      </w:r>
      <w:r w:rsidR="00E16B7C" w:rsidRPr="004E4C01">
        <w:rPr>
          <w:spacing w:val="-3"/>
        </w:rPr>
        <w:t xml:space="preserve">n el caso de este plan, </w:t>
      </w:r>
      <w:r w:rsidR="0052252E" w:rsidRPr="004E4C01">
        <w:rPr>
          <w:spacing w:val="-3"/>
        </w:rPr>
        <w:t xml:space="preserve">dicho sistema de </w:t>
      </w:r>
      <w:r w:rsidR="00E16B7C" w:rsidRPr="004E4C01">
        <w:rPr>
          <w:spacing w:val="-3"/>
        </w:rPr>
        <w:t xml:space="preserve">indicadores </w:t>
      </w:r>
      <w:r w:rsidR="00494A17" w:rsidRPr="004E4C01">
        <w:rPr>
          <w:spacing w:val="-3"/>
        </w:rPr>
        <w:t xml:space="preserve">debe </w:t>
      </w:r>
      <w:r w:rsidR="00654456" w:rsidRPr="004E4C01">
        <w:rPr>
          <w:spacing w:val="-3"/>
        </w:rPr>
        <w:t xml:space="preserve">formularse para </w:t>
      </w:r>
      <w:r w:rsidR="00E16B7C" w:rsidRPr="004E4C01">
        <w:rPr>
          <w:spacing w:val="-3"/>
        </w:rPr>
        <w:t>monitor</w:t>
      </w:r>
      <w:r w:rsidR="00654456" w:rsidRPr="004E4C01">
        <w:rPr>
          <w:spacing w:val="-3"/>
        </w:rPr>
        <w:t xml:space="preserve">ear </w:t>
      </w:r>
      <w:r w:rsidR="00E16B7C" w:rsidRPr="004E4C01">
        <w:rPr>
          <w:spacing w:val="-3"/>
        </w:rPr>
        <w:t xml:space="preserve">los </w:t>
      </w:r>
      <w:r w:rsidR="00860600" w:rsidRPr="004E4C01">
        <w:rPr>
          <w:spacing w:val="-3"/>
        </w:rPr>
        <w:t>parámetros</w:t>
      </w:r>
      <w:r w:rsidR="0036668B" w:rsidRPr="004E4C01">
        <w:rPr>
          <w:spacing w:val="-3"/>
        </w:rPr>
        <w:t>, indicadores o índices</w:t>
      </w:r>
      <w:r w:rsidR="00D02472" w:rsidRPr="004E4C01">
        <w:rPr>
          <w:spacing w:val="-3"/>
        </w:rPr>
        <w:t xml:space="preserve"> </w:t>
      </w:r>
      <w:r w:rsidR="00F3165D" w:rsidRPr="004E4C01">
        <w:rPr>
          <w:spacing w:val="-3"/>
        </w:rPr>
        <w:t xml:space="preserve">que se alterarán en razón a los </w:t>
      </w:r>
      <w:r w:rsidR="00D02472" w:rsidRPr="004E4C01">
        <w:rPr>
          <w:spacing w:val="-3"/>
        </w:rPr>
        <w:t>impactos</w:t>
      </w:r>
      <w:r w:rsidR="00F3165D" w:rsidRPr="004E4C01">
        <w:rPr>
          <w:spacing w:val="-3"/>
        </w:rPr>
        <w:t xml:space="preserve"> del proyecto</w:t>
      </w:r>
      <w:r w:rsidR="00860600" w:rsidRPr="004E4C01">
        <w:rPr>
          <w:spacing w:val="-3"/>
        </w:rPr>
        <w:t>,</w:t>
      </w:r>
      <w:r w:rsidR="00E16B7C" w:rsidRPr="004E4C01">
        <w:rPr>
          <w:spacing w:val="-3"/>
        </w:rPr>
        <w:t xml:space="preserve"> </w:t>
      </w:r>
      <w:r w:rsidR="00113D03" w:rsidRPr="004E4C01">
        <w:rPr>
          <w:spacing w:val="-3"/>
        </w:rPr>
        <w:t xml:space="preserve">a fin de </w:t>
      </w:r>
      <w:r w:rsidR="00E16B7C" w:rsidRPr="004E4C01">
        <w:rPr>
          <w:spacing w:val="-3"/>
        </w:rPr>
        <w:t>tener una visión holística de la calidad y del comportamiento de</w:t>
      </w:r>
      <w:r w:rsidR="00E92274" w:rsidRPr="004E4C01">
        <w:rPr>
          <w:spacing w:val="-3"/>
        </w:rPr>
        <w:t xml:space="preserve"> </w:t>
      </w:r>
      <w:r w:rsidR="00E16B7C" w:rsidRPr="004E4C01">
        <w:rPr>
          <w:spacing w:val="-3"/>
        </w:rPr>
        <w:t>l</w:t>
      </w:r>
      <w:r w:rsidR="00E92274" w:rsidRPr="004E4C01">
        <w:rPr>
          <w:spacing w:val="-3"/>
        </w:rPr>
        <w:t xml:space="preserve">as condiciones </w:t>
      </w:r>
      <w:r w:rsidR="00E92274" w:rsidRPr="004E4C01">
        <w:rPr>
          <w:spacing w:val="-3"/>
        </w:rPr>
        <w:lastRenderedPageBreak/>
        <w:t>ambientales</w:t>
      </w:r>
      <w:r w:rsidR="006C0B62" w:rsidRPr="004E4C01">
        <w:rPr>
          <w:spacing w:val="-3"/>
        </w:rPr>
        <w:t xml:space="preserve">, así como </w:t>
      </w:r>
      <w:r w:rsidR="008D6358" w:rsidRPr="004E4C01">
        <w:rPr>
          <w:spacing w:val="-3"/>
        </w:rPr>
        <w:t xml:space="preserve">para verificar </w:t>
      </w:r>
      <w:r w:rsidR="00E16B7C" w:rsidRPr="004E4C01">
        <w:rPr>
          <w:spacing w:val="-3"/>
        </w:rPr>
        <w:t>la ef</w:t>
      </w:r>
      <w:r w:rsidR="00880BFB" w:rsidRPr="004E4C01">
        <w:rPr>
          <w:spacing w:val="-3"/>
        </w:rPr>
        <w:t>icacia</w:t>
      </w:r>
      <w:r w:rsidR="00880BFB" w:rsidRPr="004E4C01">
        <w:rPr>
          <w:rStyle w:val="Refdenotaalpie"/>
          <w:spacing w:val="-3"/>
          <w:lang w:val="es-CO"/>
        </w:rPr>
        <w:footnoteReference w:id="252"/>
      </w:r>
      <w:r w:rsidR="00E16B7C" w:rsidRPr="004E4C01">
        <w:rPr>
          <w:spacing w:val="-3"/>
        </w:rPr>
        <w:t xml:space="preserve"> de las medidas de manejo</w:t>
      </w:r>
      <w:r w:rsidR="00925BA7" w:rsidRPr="004E4C01">
        <w:rPr>
          <w:spacing w:val="-3"/>
        </w:rPr>
        <w:t xml:space="preserve"> </w:t>
      </w:r>
      <w:r w:rsidR="00407004" w:rsidRPr="004E4C01">
        <w:rPr>
          <w:spacing w:val="-3"/>
        </w:rPr>
        <w:t xml:space="preserve">del PMA </w:t>
      </w:r>
      <w:r w:rsidR="00925BA7" w:rsidRPr="004E4C01">
        <w:rPr>
          <w:spacing w:val="-3"/>
        </w:rPr>
        <w:t>(que comprende</w:t>
      </w:r>
      <w:r w:rsidR="00DC1979" w:rsidRPr="004E4C01">
        <w:rPr>
          <w:spacing w:val="-3"/>
        </w:rPr>
        <w:t>n</w:t>
      </w:r>
      <w:r w:rsidR="00925BA7" w:rsidRPr="004E4C01">
        <w:rPr>
          <w:spacing w:val="-3"/>
        </w:rPr>
        <w:t xml:space="preserve"> también </w:t>
      </w:r>
      <w:r w:rsidR="00DC1979" w:rsidRPr="004E4C01">
        <w:rPr>
          <w:spacing w:val="-3"/>
        </w:rPr>
        <w:t xml:space="preserve">a </w:t>
      </w:r>
      <w:r w:rsidR="00925BA7" w:rsidRPr="004E4C01">
        <w:rPr>
          <w:spacing w:val="-3"/>
        </w:rPr>
        <w:t xml:space="preserve">las </w:t>
      </w:r>
      <w:r w:rsidR="000B5F06" w:rsidRPr="004E4C01">
        <w:rPr>
          <w:spacing w:val="-3"/>
        </w:rPr>
        <w:t xml:space="preserve">medidas de manejo para la </w:t>
      </w:r>
      <w:r w:rsidR="00CE309D">
        <w:rPr>
          <w:spacing w:val="-3"/>
        </w:rPr>
        <w:t>etapa</w:t>
      </w:r>
      <w:r w:rsidR="00CE309D" w:rsidRPr="004E4C01">
        <w:rPr>
          <w:spacing w:val="-3"/>
        </w:rPr>
        <w:t xml:space="preserve"> </w:t>
      </w:r>
      <w:r w:rsidR="000B5F06" w:rsidRPr="004E4C01">
        <w:rPr>
          <w:spacing w:val="-3"/>
        </w:rPr>
        <w:t>de desmantelamiento y cierre ambiental</w:t>
      </w:r>
      <w:r w:rsidR="00211FC1" w:rsidRPr="004E4C01">
        <w:rPr>
          <w:spacing w:val="-3"/>
        </w:rPr>
        <w:t>)</w:t>
      </w:r>
      <w:r w:rsidR="000B5F06" w:rsidRPr="004E4C01">
        <w:rPr>
          <w:spacing w:val="-3"/>
        </w:rPr>
        <w:t xml:space="preserve">, así como </w:t>
      </w:r>
      <w:r w:rsidR="002B061F" w:rsidRPr="004E4C01">
        <w:rPr>
          <w:spacing w:val="-3"/>
        </w:rPr>
        <w:t>de</w:t>
      </w:r>
      <w:r w:rsidR="003B1514" w:rsidRPr="004E4C01">
        <w:rPr>
          <w:spacing w:val="-3"/>
        </w:rPr>
        <w:t xml:space="preserve"> las </w:t>
      </w:r>
      <w:r w:rsidR="00925BA7" w:rsidRPr="004E4C01">
        <w:rPr>
          <w:spacing w:val="-3"/>
        </w:rPr>
        <w:t>de compensación del medio biótico</w:t>
      </w:r>
      <w:r w:rsidR="00494A17" w:rsidRPr="004E4C01">
        <w:rPr>
          <w:spacing w:val="-3"/>
        </w:rPr>
        <w:t xml:space="preserve">, de las medidas de </w:t>
      </w:r>
      <w:r w:rsidR="002B061F" w:rsidRPr="004E4C01">
        <w:rPr>
          <w:spacing w:val="-3"/>
        </w:rPr>
        <w:t xml:space="preserve">reducción y de monitoreo del </w:t>
      </w:r>
      <w:r w:rsidR="00494A17" w:rsidRPr="004E4C01">
        <w:rPr>
          <w:spacing w:val="-3"/>
        </w:rPr>
        <w:t>riesgo</w:t>
      </w:r>
      <w:r w:rsidR="0091288D">
        <w:rPr>
          <w:spacing w:val="-3"/>
        </w:rPr>
        <w:t xml:space="preserve">, </w:t>
      </w:r>
      <w:r w:rsidR="00494A17" w:rsidRPr="004E4C01">
        <w:rPr>
          <w:spacing w:val="-3"/>
        </w:rPr>
        <w:t xml:space="preserve">de las </w:t>
      </w:r>
      <w:r w:rsidR="00B24941" w:rsidRPr="004E4C01">
        <w:rPr>
          <w:spacing w:val="-3"/>
        </w:rPr>
        <w:t xml:space="preserve">medidas o </w:t>
      </w:r>
      <w:r w:rsidR="0052252E" w:rsidRPr="004E4C01">
        <w:rPr>
          <w:spacing w:val="-3"/>
        </w:rPr>
        <w:t>acciones de implementación de la inversión de no menos del</w:t>
      </w:r>
      <w:r w:rsidR="00540D1C" w:rsidRPr="004E4C01">
        <w:rPr>
          <w:spacing w:val="-3"/>
        </w:rPr>
        <w:t xml:space="preserve"> </w:t>
      </w:r>
      <w:r w:rsidR="0052252E" w:rsidRPr="004E4C01">
        <w:rPr>
          <w:spacing w:val="-3"/>
        </w:rPr>
        <w:t>1%</w:t>
      </w:r>
      <w:r w:rsidR="00B2635F">
        <w:rPr>
          <w:spacing w:val="-3"/>
        </w:rPr>
        <w:t>,</w:t>
      </w:r>
      <w:r w:rsidR="004D225D">
        <w:rPr>
          <w:spacing w:val="-3"/>
        </w:rPr>
        <w:t xml:space="preserve"> de las medidas de mitigación de GEI </w:t>
      </w:r>
      <w:r w:rsidR="00B2635F">
        <w:rPr>
          <w:spacing w:val="-3"/>
        </w:rPr>
        <w:t xml:space="preserve">o </w:t>
      </w:r>
      <w:r w:rsidR="004D225D">
        <w:rPr>
          <w:spacing w:val="-3"/>
        </w:rPr>
        <w:t xml:space="preserve">de </w:t>
      </w:r>
      <w:r w:rsidR="00B2635F">
        <w:rPr>
          <w:spacing w:val="-3"/>
        </w:rPr>
        <w:t xml:space="preserve">las medidas de </w:t>
      </w:r>
      <w:r w:rsidR="004D225D">
        <w:rPr>
          <w:spacing w:val="-3"/>
        </w:rPr>
        <w:t>adaptación al cambio climático</w:t>
      </w:r>
      <w:r w:rsidR="00E16B7C" w:rsidRPr="004E4C01">
        <w:rPr>
          <w:spacing w:val="-3"/>
        </w:rPr>
        <w:t>.</w:t>
      </w:r>
    </w:p>
    <w:p w14:paraId="0CD9C3C4" w14:textId="77777777" w:rsidR="00E16B7C" w:rsidRPr="004E4C01" w:rsidRDefault="00E16B7C" w:rsidP="00E16B7C">
      <w:pPr>
        <w:numPr>
          <w:ilvl w:val="12"/>
          <w:numId w:val="0"/>
        </w:numPr>
        <w:tabs>
          <w:tab w:val="left" w:pos="-2268"/>
        </w:tabs>
        <w:suppressAutoHyphens/>
        <w:rPr>
          <w:spacing w:val="-3"/>
        </w:rPr>
      </w:pPr>
    </w:p>
    <w:p w14:paraId="1937E0C4" w14:textId="327FC155" w:rsidR="00E16B7C" w:rsidRPr="004E4C01" w:rsidRDefault="006C0B62" w:rsidP="00E16B7C">
      <w:pPr>
        <w:numPr>
          <w:ilvl w:val="12"/>
          <w:numId w:val="0"/>
        </w:numPr>
        <w:tabs>
          <w:tab w:val="left" w:pos="-2268"/>
        </w:tabs>
        <w:suppressAutoHyphens/>
        <w:rPr>
          <w:spacing w:val="-3"/>
        </w:rPr>
      </w:pPr>
      <w:r w:rsidRPr="004E4C01">
        <w:rPr>
          <w:spacing w:val="-3"/>
        </w:rPr>
        <w:t xml:space="preserve">El </w:t>
      </w:r>
      <w:r w:rsidR="00E16B7C" w:rsidRPr="004E4C01">
        <w:rPr>
          <w:spacing w:val="-3"/>
        </w:rPr>
        <w:t xml:space="preserve">plan para el seguimiento y monitoreo debe </w:t>
      </w:r>
      <w:r w:rsidR="00C1322B" w:rsidRPr="004E4C01">
        <w:rPr>
          <w:spacing w:val="-3"/>
        </w:rPr>
        <w:t xml:space="preserve">establecer </w:t>
      </w:r>
      <w:r w:rsidR="00E16B7C" w:rsidRPr="004E4C01">
        <w:rPr>
          <w:spacing w:val="-3"/>
        </w:rPr>
        <w:t>como mínimo</w:t>
      </w:r>
      <w:r w:rsidR="00C1322B" w:rsidRPr="004E4C01">
        <w:rPr>
          <w:spacing w:val="-3"/>
        </w:rPr>
        <w:t xml:space="preserve"> lo siguiente</w:t>
      </w:r>
      <w:r w:rsidR="00E16B7C" w:rsidRPr="004E4C01">
        <w:rPr>
          <w:spacing w:val="-3"/>
        </w:rPr>
        <w:t>:</w:t>
      </w:r>
    </w:p>
    <w:bookmarkEnd w:id="11380"/>
    <w:p w14:paraId="0FB67947" w14:textId="77777777" w:rsidR="00E16B7C" w:rsidRPr="004E4C01" w:rsidRDefault="00E16B7C" w:rsidP="00E16B7C">
      <w:pPr>
        <w:numPr>
          <w:ilvl w:val="12"/>
          <w:numId w:val="0"/>
        </w:numPr>
        <w:tabs>
          <w:tab w:val="left" w:pos="-2268"/>
        </w:tabs>
        <w:suppressAutoHyphens/>
        <w:rPr>
          <w:spacing w:val="-3"/>
        </w:rPr>
      </w:pPr>
    </w:p>
    <w:p w14:paraId="66574380" w14:textId="77777777" w:rsidR="00E16B7C" w:rsidRPr="004E4C01" w:rsidRDefault="00E16B7C" w:rsidP="00E16B7C">
      <w:pPr>
        <w:numPr>
          <w:ilvl w:val="0"/>
          <w:numId w:val="19"/>
        </w:numPr>
        <w:tabs>
          <w:tab w:val="left" w:pos="-2268"/>
        </w:tabs>
        <w:suppressAutoHyphens/>
        <w:ind w:left="567" w:hanging="567"/>
        <w:rPr>
          <w:spacing w:val="-3"/>
        </w:rPr>
      </w:pPr>
      <w:r w:rsidRPr="004E4C01">
        <w:rPr>
          <w:spacing w:val="-3"/>
        </w:rPr>
        <w:t>Objetivos del plan.</w:t>
      </w:r>
    </w:p>
    <w:p w14:paraId="3CC573DF" w14:textId="77777777" w:rsidR="00E16B7C" w:rsidRPr="004E4C01" w:rsidRDefault="00E16B7C" w:rsidP="00E16B7C">
      <w:pPr>
        <w:tabs>
          <w:tab w:val="left" w:pos="-2268"/>
        </w:tabs>
        <w:suppressAutoHyphens/>
        <w:rPr>
          <w:spacing w:val="-3"/>
        </w:rPr>
      </w:pPr>
    </w:p>
    <w:p w14:paraId="7DFAFAD7" w14:textId="7B36620B" w:rsidR="00E16B7C" w:rsidRPr="004E4C01" w:rsidRDefault="00E16B7C" w:rsidP="00E16B7C">
      <w:pPr>
        <w:numPr>
          <w:ilvl w:val="0"/>
          <w:numId w:val="19"/>
        </w:numPr>
        <w:tabs>
          <w:tab w:val="left" w:pos="-2268"/>
        </w:tabs>
        <w:suppressAutoHyphens/>
        <w:ind w:left="567" w:hanging="567"/>
        <w:rPr>
          <w:spacing w:val="-3"/>
        </w:rPr>
      </w:pPr>
      <w:r w:rsidRPr="004E4C01">
        <w:rPr>
          <w:spacing w:val="-3"/>
        </w:rPr>
        <w:t xml:space="preserve">Componentes </w:t>
      </w:r>
      <w:r w:rsidR="00925BA7" w:rsidRPr="004E4C01">
        <w:rPr>
          <w:spacing w:val="-3"/>
        </w:rPr>
        <w:t xml:space="preserve">y factores </w:t>
      </w:r>
      <w:r w:rsidRPr="004E4C01">
        <w:rPr>
          <w:spacing w:val="-3"/>
        </w:rPr>
        <w:t xml:space="preserve">ambientales </w:t>
      </w:r>
      <w:r w:rsidR="00B32292" w:rsidRPr="004E4C01">
        <w:rPr>
          <w:spacing w:val="-3"/>
        </w:rPr>
        <w:t xml:space="preserve">que se deben </w:t>
      </w:r>
      <w:r w:rsidRPr="004E4C01">
        <w:rPr>
          <w:spacing w:val="-3"/>
        </w:rPr>
        <w:t>monitorear.</w:t>
      </w:r>
    </w:p>
    <w:p w14:paraId="2075F93A" w14:textId="77777777" w:rsidR="00E16B7C" w:rsidRPr="004E4C01" w:rsidRDefault="00E16B7C" w:rsidP="00E16B7C">
      <w:pPr>
        <w:tabs>
          <w:tab w:val="left" w:pos="-2268"/>
        </w:tabs>
        <w:suppressAutoHyphens/>
        <w:rPr>
          <w:spacing w:val="-3"/>
        </w:rPr>
      </w:pPr>
    </w:p>
    <w:p w14:paraId="68E6E7EE" w14:textId="001498BB" w:rsidR="00E16B7C" w:rsidRPr="004E4C01" w:rsidRDefault="00E16B7C" w:rsidP="00E16B7C">
      <w:pPr>
        <w:numPr>
          <w:ilvl w:val="0"/>
          <w:numId w:val="19"/>
        </w:numPr>
        <w:tabs>
          <w:tab w:val="left" w:pos="-2268"/>
        </w:tabs>
        <w:suppressAutoHyphens/>
        <w:ind w:left="567" w:hanging="567"/>
        <w:rPr>
          <w:spacing w:val="-3"/>
        </w:rPr>
      </w:pPr>
      <w:r w:rsidRPr="004E4C01">
        <w:rPr>
          <w:spacing w:val="-3"/>
        </w:rPr>
        <w:t>Parámetros</w:t>
      </w:r>
      <w:r w:rsidRPr="004E4C01">
        <w:rPr>
          <w:rFonts w:cs="Arial"/>
          <w:spacing w:val="-3"/>
        </w:rPr>
        <w:t>,</w:t>
      </w:r>
      <w:r w:rsidRPr="004E4C01">
        <w:rPr>
          <w:spacing w:val="-3"/>
        </w:rPr>
        <w:t xml:space="preserve"> indicadores</w:t>
      </w:r>
      <w:r w:rsidRPr="004E4C01">
        <w:rPr>
          <w:rFonts w:cs="Arial"/>
          <w:spacing w:val="-3"/>
        </w:rPr>
        <w:t xml:space="preserve"> e índices</w:t>
      </w:r>
      <w:r w:rsidRPr="004E4C01">
        <w:rPr>
          <w:spacing w:val="-3"/>
        </w:rPr>
        <w:t xml:space="preserve"> (cuantitativos y cualitativos) a monitorear</w:t>
      </w:r>
      <w:r w:rsidR="00494A17" w:rsidRPr="004E4C01">
        <w:rPr>
          <w:spacing w:val="-3"/>
        </w:rPr>
        <w:t xml:space="preserve"> y calcular</w:t>
      </w:r>
      <w:r w:rsidRPr="004E4C01">
        <w:rPr>
          <w:spacing w:val="-3"/>
        </w:rPr>
        <w:t>, especificando para cada uno de ellos lo siguiente:</w:t>
      </w:r>
    </w:p>
    <w:p w14:paraId="7D5C88B2" w14:textId="77777777" w:rsidR="00E16B7C" w:rsidRPr="004E4C01" w:rsidRDefault="00E16B7C" w:rsidP="00E16B7C">
      <w:pPr>
        <w:tabs>
          <w:tab w:val="left" w:pos="-2268"/>
        </w:tabs>
        <w:suppressAutoHyphens/>
        <w:rPr>
          <w:spacing w:val="-3"/>
        </w:rPr>
      </w:pPr>
    </w:p>
    <w:p w14:paraId="61F522CD"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t>Nombre.</w:t>
      </w:r>
    </w:p>
    <w:p w14:paraId="14450258" w14:textId="77777777" w:rsidR="00E16B7C" w:rsidRPr="004E4C01" w:rsidRDefault="00E16B7C" w:rsidP="00E16B7C">
      <w:pPr>
        <w:tabs>
          <w:tab w:val="left" w:pos="-2268"/>
        </w:tabs>
        <w:suppressAutoHyphens/>
        <w:rPr>
          <w:spacing w:val="-3"/>
        </w:rPr>
      </w:pPr>
    </w:p>
    <w:p w14:paraId="7AB4D1A2" w14:textId="37E0043E" w:rsidR="00C1322B" w:rsidRPr="004E4C01" w:rsidRDefault="00E16B7C" w:rsidP="00E16B7C">
      <w:pPr>
        <w:numPr>
          <w:ilvl w:val="0"/>
          <w:numId w:val="33"/>
        </w:numPr>
        <w:tabs>
          <w:tab w:val="left" w:pos="-2268"/>
        </w:tabs>
        <w:suppressAutoHyphens/>
        <w:ind w:left="1134" w:hanging="567"/>
        <w:rPr>
          <w:spacing w:val="-3"/>
        </w:rPr>
      </w:pPr>
      <w:r w:rsidRPr="004E4C01">
        <w:rPr>
          <w:spacing w:val="-3"/>
        </w:rPr>
        <w:t>Tipo</w:t>
      </w:r>
      <w:r w:rsidR="000F669C" w:rsidRPr="004E4C01">
        <w:rPr>
          <w:rStyle w:val="Refdenotaalpie"/>
          <w:spacing w:val="-3"/>
          <w:lang w:val="es-CO"/>
        </w:rPr>
        <w:footnoteReference w:id="253"/>
      </w:r>
      <w:r w:rsidR="00C1322B" w:rsidRPr="004E4C01">
        <w:rPr>
          <w:spacing w:val="-3"/>
        </w:rPr>
        <w:t>:</w:t>
      </w:r>
    </w:p>
    <w:p w14:paraId="455A6F68" w14:textId="77777777" w:rsidR="00C1322B" w:rsidRPr="004E4C01" w:rsidRDefault="00C1322B" w:rsidP="009420F5">
      <w:pPr>
        <w:rPr>
          <w:spacing w:val="-3"/>
        </w:rPr>
      </w:pPr>
    </w:p>
    <w:p w14:paraId="52C8C8F2" w14:textId="0ED18758" w:rsidR="00C1322B" w:rsidRPr="004E4C01" w:rsidRDefault="00994B23" w:rsidP="009420F5">
      <w:pPr>
        <w:numPr>
          <w:ilvl w:val="0"/>
          <w:numId w:val="455"/>
        </w:numPr>
        <w:tabs>
          <w:tab w:val="left" w:pos="-2268"/>
        </w:tabs>
        <w:suppressAutoHyphens/>
        <w:ind w:left="1701" w:hanging="567"/>
        <w:rPr>
          <w:spacing w:val="-3"/>
        </w:rPr>
      </w:pPr>
      <w:r w:rsidRPr="004E4C01">
        <w:rPr>
          <w:spacing w:val="-3"/>
        </w:rPr>
        <w:t>De m</w:t>
      </w:r>
      <w:r w:rsidR="00E16B7C" w:rsidRPr="004E4C01">
        <w:rPr>
          <w:spacing w:val="-3"/>
        </w:rPr>
        <w:t xml:space="preserve">onitoreo del estado de </w:t>
      </w:r>
      <w:r w:rsidR="00C1322B" w:rsidRPr="004E4C01">
        <w:rPr>
          <w:spacing w:val="-3"/>
        </w:rPr>
        <w:t xml:space="preserve">las </w:t>
      </w:r>
      <w:r w:rsidR="00E16B7C" w:rsidRPr="004E4C01">
        <w:rPr>
          <w:spacing w:val="-3"/>
        </w:rPr>
        <w:t>condiciones ambientales</w:t>
      </w:r>
      <w:r w:rsidR="00C1322B" w:rsidRPr="004E4C01">
        <w:rPr>
          <w:spacing w:val="-3"/>
        </w:rPr>
        <w:t>.</w:t>
      </w:r>
    </w:p>
    <w:p w14:paraId="119796E6" w14:textId="77777777" w:rsidR="00C1322B" w:rsidRPr="004E4C01" w:rsidRDefault="00C1322B" w:rsidP="009420F5">
      <w:pPr>
        <w:tabs>
          <w:tab w:val="left" w:pos="-2268"/>
        </w:tabs>
        <w:suppressAutoHyphens/>
        <w:rPr>
          <w:spacing w:val="-3"/>
        </w:rPr>
      </w:pPr>
    </w:p>
    <w:p w14:paraId="42BE5169" w14:textId="01E01535" w:rsidR="00C1322B" w:rsidRPr="004E4C01" w:rsidRDefault="00994B23" w:rsidP="009420F5">
      <w:pPr>
        <w:numPr>
          <w:ilvl w:val="0"/>
          <w:numId w:val="455"/>
        </w:numPr>
        <w:tabs>
          <w:tab w:val="left" w:pos="-2268"/>
        </w:tabs>
        <w:suppressAutoHyphens/>
        <w:ind w:left="1701" w:hanging="567"/>
        <w:rPr>
          <w:spacing w:val="-3"/>
        </w:rPr>
      </w:pPr>
      <w:r w:rsidRPr="004E4C01">
        <w:rPr>
          <w:spacing w:val="-3"/>
        </w:rPr>
        <w:t>De m</w:t>
      </w:r>
      <w:r w:rsidR="00E16B7C" w:rsidRPr="004E4C01">
        <w:rPr>
          <w:spacing w:val="-3"/>
        </w:rPr>
        <w:t xml:space="preserve">onitoreo de </w:t>
      </w:r>
      <w:r w:rsidR="00C1322B" w:rsidRPr="004E4C01">
        <w:rPr>
          <w:spacing w:val="-3"/>
        </w:rPr>
        <w:t xml:space="preserve">la </w:t>
      </w:r>
      <w:r w:rsidR="00E16B7C" w:rsidRPr="004E4C01">
        <w:rPr>
          <w:spacing w:val="-3"/>
        </w:rPr>
        <w:t xml:space="preserve">eficacia de medidas </w:t>
      </w:r>
      <w:r w:rsidR="00A03D89" w:rsidRPr="004E4C01">
        <w:rPr>
          <w:spacing w:val="-3"/>
        </w:rPr>
        <w:t>de manejo</w:t>
      </w:r>
      <w:r w:rsidRPr="004E4C01">
        <w:rPr>
          <w:spacing w:val="-3"/>
        </w:rPr>
        <w:t xml:space="preserve">, de medidas de </w:t>
      </w:r>
      <w:r w:rsidR="0078056F" w:rsidRPr="004E4C01">
        <w:rPr>
          <w:spacing w:val="-3"/>
        </w:rPr>
        <w:t xml:space="preserve">reducción y monitoreo del </w:t>
      </w:r>
      <w:r w:rsidRPr="004E4C01">
        <w:rPr>
          <w:spacing w:val="-3"/>
        </w:rPr>
        <w:t>riesgo</w:t>
      </w:r>
      <w:r w:rsidR="00925BA7" w:rsidRPr="004E4C01">
        <w:rPr>
          <w:spacing w:val="-3"/>
        </w:rPr>
        <w:t>,</w:t>
      </w:r>
      <w:r w:rsidR="00A03D89" w:rsidRPr="004E4C01">
        <w:rPr>
          <w:spacing w:val="-3"/>
        </w:rPr>
        <w:t xml:space="preserve"> </w:t>
      </w:r>
      <w:r w:rsidR="00F118E6" w:rsidRPr="004E4C01">
        <w:rPr>
          <w:spacing w:val="-3"/>
        </w:rPr>
        <w:t xml:space="preserve">de medidas o </w:t>
      </w:r>
      <w:r w:rsidR="00E16B7C" w:rsidRPr="004E4C01">
        <w:rPr>
          <w:spacing w:val="-3"/>
        </w:rPr>
        <w:t xml:space="preserve">acciones </w:t>
      </w:r>
      <w:r w:rsidR="00F118E6" w:rsidRPr="004E4C01">
        <w:rPr>
          <w:spacing w:val="-3"/>
        </w:rPr>
        <w:t>de implementación de la inversión de no menos del</w:t>
      </w:r>
      <w:r w:rsidR="00614DD3" w:rsidRPr="004E4C01">
        <w:rPr>
          <w:spacing w:val="-3"/>
        </w:rPr>
        <w:t xml:space="preserve"> </w:t>
      </w:r>
      <w:r w:rsidR="00E16B7C" w:rsidRPr="004E4C01">
        <w:rPr>
          <w:spacing w:val="-3"/>
        </w:rPr>
        <w:t>1%</w:t>
      </w:r>
      <w:r w:rsidR="006C0211">
        <w:rPr>
          <w:spacing w:val="-3"/>
        </w:rPr>
        <w:t>,</w:t>
      </w:r>
      <w:r w:rsidR="00925BA7" w:rsidRPr="004E4C01">
        <w:rPr>
          <w:spacing w:val="-3"/>
        </w:rPr>
        <w:t xml:space="preserve"> de medidas de compensación del medio biótico</w:t>
      </w:r>
      <w:r w:rsidR="006C0211">
        <w:rPr>
          <w:spacing w:val="-3"/>
        </w:rPr>
        <w:t>,</w:t>
      </w:r>
      <w:r w:rsidR="000A5602">
        <w:rPr>
          <w:spacing w:val="-3"/>
        </w:rPr>
        <w:t xml:space="preserve"> de medidas de mitigación de GEI </w:t>
      </w:r>
      <w:r w:rsidR="006C0211">
        <w:rPr>
          <w:spacing w:val="-3"/>
        </w:rPr>
        <w:t>o</w:t>
      </w:r>
      <w:r w:rsidR="000A5602">
        <w:rPr>
          <w:spacing w:val="-3"/>
        </w:rPr>
        <w:t xml:space="preserve"> de adaptación al cambio climático</w:t>
      </w:r>
      <w:r w:rsidR="00A03D89" w:rsidRPr="004E4C01">
        <w:rPr>
          <w:spacing w:val="-3"/>
        </w:rPr>
        <w:t>.</w:t>
      </w:r>
      <w:r w:rsidR="00400F23" w:rsidRPr="004E4C01">
        <w:rPr>
          <w:spacing w:val="-3"/>
        </w:rPr>
        <w:t xml:space="preserve"> </w:t>
      </w:r>
      <w:r w:rsidR="0078056F" w:rsidRPr="004E4C01">
        <w:rPr>
          <w:spacing w:val="-3"/>
        </w:rPr>
        <w:t xml:space="preserve">Un parámetro, indicador o índice </w:t>
      </w:r>
      <w:r w:rsidR="0078056F" w:rsidRPr="00127BD4">
        <w:rPr>
          <w:spacing w:val="-3"/>
        </w:rPr>
        <w:t xml:space="preserve">puede </w:t>
      </w:r>
      <w:r w:rsidR="00400F23" w:rsidRPr="004E4C01">
        <w:rPr>
          <w:spacing w:val="-3"/>
        </w:rPr>
        <w:t>emplear</w:t>
      </w:r>
      <w:r w:rsidR="0078056F" w:rsidRPr="00127BD4">
        <w:rPr>
          <w:spacing w:val="-3"/>
        </w:rPr>
        <w:t>se</w:t>
      </w:r>
      <w:r w:rsidR="00400F23" w:rsidRPr="004E4C01">
        <w:rPr>
          <w:spacing w:val="-3"/>
        </w:rPr>
        <w:t xml:space="preserve"> para </w:t>
      </w:r>
      <w:r w:rsidR="00647D04" w:rsidRPr="004E4C01">
        <w:rPr>
          <w:spacing w:val="-3"/>
        </w:rPr>
        <w:t xml:space="preserve">hacer seguimiento a </w:t>
      </w:r>
      <w:r w:rsidR="0078056F" w:rsidRPr="004E4C01">
        <w:rPr>
          <w:spacing w:val="-3"/>
        </w:rPr>
        <w:t xml:space="preserve">la eficacia de </w:t>
      </w:r>
      <w:r w:rsidR="00647D04" w:rsidRPr="004E4C01">
        <w:rPr>
          <w:spacing w:val="-3"/>
        </w:rPr>
        <w:t>más de un</w:t>
      </w:r>
      <w:r w:rsidR="0078056F" w:rsidRPr="004E4C01">
        <w:rPr>
          <w:spacing w:val="-3"/>
        </w:rPr>
        <w:t>a medida</w:t>
      </w:r>
      <w:r w:rsidR="00647D04" w:rsidRPr="004E4C01">
        <w:rPr>
          <w:spacing w:val="-3"/>
        </w:rPr>
        <w:t xml:space="preserve"> a la vez</w:t>
      </w:r>
      <w:r w:rsidR="0078056F" w:rsidRPr="004E4C01">
        <w:rPr>
          <w:spacing w:val="-3"/>
        </w:rPr>
        <w:t>, incluso de medidas que hacen parte de planes diferentes.</w:t>
      </w:r>
    </w:p>
    <w:p w14:paraId="0BFB8E88" w14:textId="77777777" w:rsidR="00C1322B" w:rsidRPr="004E4C01" w:rsidRDefault="00C1322B" w:rsidP="009420F5">
      <w:pPr>
        <w:rPr>
          <w:spacing w:val="-3"/>
        </w:rPr>
      </w:pPr>
    </w:p>
    <w:p w14:paraId="5CDDE834" w14:textId="323E4187" w:rsidR="00C1322B" w:rsidRPr="004E4C01" w:rsidRDefault="00994B23" w:rsidP="009420F5">
      <w:pPr>
        <w:numPr>
          <w:ilvl w:val="0"/>
          <w:numId w:val="455"/>
        </w:numPr>
        <w:tabs>
          <w:tab w:val="left" w:pos="-2268"/>
        </w:tabs>
        <w:suppressAutoHyphens/>
        <w:ind w:left="1701" w:hanging="567"/>
        <w:rPr>
          <w:spacing w:val="-3"/>
        </w:rPr>
      </w:pPr>
      <w:r w:rsidRPr="004E4C01">
        <w:rPr>
          <w:spacing w:val="-3"/>
        </w:rPr>
        <w:t>De m</w:t>
      </w:r>
      <w:r w:rsidR="008230A5" w:rsidRPr="004E4C01">
        <w:rPr>
          <w:spacing w:val="-3"/>
        </w:rPr>
        <w:t xml:space="preserve">onitoreo de </w:t>
      </w:r>
      <w:r w:rsidR="00C1322B" w:rsidRPr="004E4C01">
        <w:rPr>
          <w:spacing w:val="-3"/>
        </w:rPr>
        <w:t xml:space="preserve">la </w:t>
      </w:r>
      <w:r w:rsidR="008230A5" w:rsidRPr="004E4C01">
        <w:rPr>
          <w:spacing w:val="-3"/>
        </w:rPr>
        <w:t>eficacia de</w:t>
      </w:r>
      <w:r w:rsidR="00C1322B" w:rsidRPr="004E4C01">
        <w:rPr>
          <w:spacing w:val="-3"/>
        </w:rPr>
        <w:t>l conjunto de</w:t>
      </w:r>
      <w:r w:rsidR="008230A5" w:rsidRPr="004E4C01">
        <w:rPr>
          <w:spacing w:val="-3"/>
        </w:rPr>
        <w:t xml:space="preserve"> medidas </w:t>
      </w:r>
      <w:r w:rsidR="003705E9" w:rsidRPr="004E4C01">
        <w:rPr>
          <w:spacing w:val="-3"/>
        </w:rPr>
        <w:t xml:space="preserve">de manejo </w:t>
      </w:r>
      <w:r w:rsidR="00C1322B" w:rsidRPr="004E4C01">
        <w:rPr>
          <w:spacing w:val="-3"/>
        </w:rPr>
        <w:t>asociadas a los impactos de</w:t>
      </w:r>
      <w:r w:rsidR="008230A5" w:rsidRPr="004E4C01">
        <w:rPr>
          <w:spacing w:val="-3"/>
        </w:rPr>
        <w:t xml:space="preserve"> una categoría estandarizada de impactos o </w:t>
      </w:r>
      <w:r w:rsidRPr="004E4C01">
        <w:rPr>
          <w:spacing w:val="-3"/>
        </w:rPr>
        <w:t xml:space="preserve">del conjunto de medidas de manejo asociadas </w:t>
      </w:r>
      <w:r w:rsidR="003705E9" w:rsidRPr="004E4C01">
        <w:rPr>
          <w:spacing w:val="-3"/>
        </w:rPr>
        <w:t xml:space="preserve">a </w:t>
      </w:r>
      <w:r w:rsidR="00C1322B" w:rsidRPr="004E4C01">
        <w:rPr>
          <w:spacing w:val="-3"/>
        </w:rPr>
        <w:t xml:space="preserve">un </w:t>
      </w:r>
      <w:r w:rsidR="008230A5" w:rsidRPr="004E4C01">
        <w:rPr>
          <w:spacing w:val="-3"/>
        </w:rPr>
        <w:t>programa ambiental</w:t>
      </w:r>
      <w:r w:rsidR="00C1322B" w:rsidRPr="004E4C01">
        <w:rPr>
          <w:spacing w:val="-3"/>
        </w:rPr>
        <w:t>.</w:t>
      </w:r>
    </w:p>
    <w:p w14:paraId="31279A50" w14:textId="77777777" w:rsidR="00C1322B" w:rsidRPr="004E4C01" w:rsidRDefault="00C1322B" w:rsidP="009420F5">
      <w:pPr>
        <w:tabs>
          <w:tab w:val="left" w:pos="-2268"/>
        </w:tabs>
        <w:suppressAutoHyphens/>
        <w:rPr>
          <w:spacing w:val="-3"/>
        </w:rPr>
      </w:pPr>
    </w:p>
    <w:p w14:paraId="63B874C6" w14:textId="5BF5B694" w:rsidR="00E16B7C" w:rsidRPr="004E4C01" w:rsidRDefault="00CE309D" w:rsidP="00E16B7C">
      <w:pPr>
        <w:numPr>
          <w:ilvl w:val="0"/>
          <w:numId w:val="33"/>
        </w:numPr>
        <w:tabs>
          <w:tab w:val="left" w:pos="-2268"/>
        </w:tabs>
        <w:suppressAutoHyphens/>
        <w:ind w:left="1134" w:hanging="567"/>
        <w:rPr>
          <w:spacing w:val="-3"/>
        </w:rPr>
      </w:pPr>
      <w:r>
        <w:rPr>
          <w:spacing w:val="-3"/>
        </w:rPr>
        <w:t>Etapas</w:t>
      </w:r>
      <w:r w:rsidRPr="004E4C01" w:rsidDel="00614243">
        <w:rPr>
          <w:spacing w:val="-3"/>
        </w:rPr>
        <w:t xml:space="preserve"> </w:t>
      </w:r>
      <w:r>
        <w:rPr>
          <w:spacing w:val="-3"/>
        </w:rPr>
        <w:t>y f</w:t>
      </w:r>
      <w:r w:rsidR="00E16B7C" w:rsidRPr="004E4C01">
        <w:rPr>
          <w:spacing w:val="-3"/>
        </w:rPr>
        <w:t>ases del proyecto, obra o actividad en las que se debe monitorear.</w:t>
      </w:r>
    </w:p>
    <w:p w14:paraId="3664C27F" w14:textId="77777777" w:rsidR="00E16B7C" w:rsidRPr="004E4C01" w:rsidRDefault="00E16B7C" w:rsidP="00E16B7C">
      <w:pPr>
        <w:tabs>
          <w:tab w:val="left" w:pos="-2268"/>
        </w:tabs>
        <w:suppressAutoHyphens/>
        <w:rPr>
          <w:spacing w:val="-3"/>
        </w:rPr>
      </w:pPr>
    </w:p>
    <w:p w14:paraId="5286518F"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t>Cronograma anual estimado para su monitoreo.</w:t>
      </w:r>
    </w:p>
    <w:p w14:paraId="05F3C979" w14:textId="77777777" w:rsidR="00E16B7C" w:rsidRPr="004E4C01" w:rsidRDefault="00E16B7C" w:rsidP="00E16B7C">
      <w:pPr>
        <w:tabs>
          <w:tab w:val="left" w:pos="-2268"/>
        </w:tabs>
        <w:suppressAutoHyphens/>
        <w:rPr>
          <w:spacing w:val="-3"/>
        </w:rPr>
      </w:pPr>
    </w:p>
    <w:p w14:paraId="7484D75C"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lastRenderedPageBreak/>
        <w:t>Frecuencia de medición o de cálculo.</w:t>
      </w:r>
    </w:p>
    <w:p w14:paraId="2746CB4D" w14:textId="77777777" w:rsidR="00E16B7C" w:rsidRPr="004E4C01" w:rsidRDefault="00E16B7C" w:rsidP="00E16B7C">
      <w:pPr>
        <w:tabs>
          <w:tab w:val="left" w:pos="-2268"/>
        </w:tabs>
        <w:suppressAutoHyphens/>
        <w:rPr>
          <w:spacing w:val="-3"/>
        </w:rPr>
      </w:pPr>
    </w:p>
    <w:p w14:paraId="61F20B95"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t>Duración del monitoreo.</w:t>
      </w:r>
    </w:p>
    <w:p w14:paraId="1DB33F54" w14:textId="77777777" w:rsidR="00E16B7C" w:rsidRPr="004E4C01" w:rsidRDefault="00E16B7C" w:rsidP="00E16B7C">
      <w:pPr>
        <w:rPr>
          <w:spacing w:val="-3"/>
        </w:rPr>
      </w:pPr>
    </w:p>
    <w:p w14:paraId="00913816"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t>Localización de los lugares de monitoreo, si es posible, con su ubicación en términos de coordenadas.</w:t>
      </w:r>
    </w:p>
    <w:p w14:paraId="5E214ACE" w14:textId="77777777" w:rsidR="00E16B7C" w:rsidRPr="004E4C01" w:rsidRDefault="00E16B7C" w:rsidP="00E16B7C">
      <w:pPr>
        <w:tabs>
          <w:tab w:val="left" w:pos="-2268"/>
        </w:tabs>
        <w:suppressAutoHyphens/>
        <w:rPr>
          <w:spacing w:val="-3"/>
        </w:rPr>
      </w:pPr>
    </w:p>
    <w:p w14:paraId="3E3F9E20"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t>Unidad de medida.</w:t>
      </w:r>
    </w:p>
    <w:p w14:paraId="29A1F609" w14:textId="77777777" w:rsidR="00E16B7C" w:rsidRPr="004E4C01" w:rsidRDefault="00E16B7C" w:rsidP="00E16B7C">
      <w:pPr>
        <w:tabs>
          <w:tab w:val="left" w:pos="-2268"/>
        </w:tabs>
        <w:suppressAutoHyphens/>
        <w:rPr>
          <w:spacing w:val="-3"/>
        </w:rPr>
      </w:pPr>
    </w:p>
    <w:p w14:paraId="45688AE4"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t>Definición.</w:t>
      </w:r>
    </w:p>
    <w:p w14:paraId="56A51B94" w14:textId="77777777" w:rsidR="00E16B7C" w:rsidRPr="004E4C01" w:rsidRDefault="00E16B7C" w:rsidP="00E16B7C">
      <w:pPr>
        <w:tabs>
          <w:tab w:val="left" w:pos="-2268"/>
        </w:tabs>
        <w:suppressAutoHyphens/>
        <w:rPr>
          <w:spacing w:val="-3"/>
        </w:rPr>
      </w:pPr>
    </w:p>
    <w:p w14:paraId="171FD2F0"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t>Fórmula de cálculo.</w:t>
      </w:r>
    </w:p>
    <w:p w14:paraId="3AEBF051" w14:textId="77777777" w:rsidR="00E16B7C" w:rsidRPr="004E4C01" w:rsidRDefault="00E16B7C" w:rsidP="00E16B7C">
      <w:pPr>
        <w:rPr>
          <w:spacing w:val="-3"/>
        </w:rPr>
      </w:pPr>
    </w:p>
    <w:p w14:paraId="086F36EF" w14:textId="049B5A8E" w:rsidR="00E16B7C" w:rsidRPr="004E4C01" w:rsidRDefault="00AC4AE5" w:rsidP="00E16B7C">
      <w:pPr>
        <w:numPr>
          <w:ilvl w:val="0"/>
          <w:numId w:val="33"/>
        </w:numPr>
        <w:tabs>
          <w:tab w:val="left" w:pos="-2268"/>
        </w:tabs>
        <w:suppressAutoHyphens/>
        <w:ind w:left="1134" w:hanging="567"/>
        <w:rPr>
          <w:spacing w:val="-3"/>
        </w:rPr>
      </w:pPr>
      <w:r w:rsidRPr="004E4C01">
        <w:rPr>
          <w:spacing w:val="-3"/>
        </w:rPr>
        <w:t>Métodos</w:t>
      </w:r>
      <w:r w:rsidR="00E16B7C" w:rsidRPr="004E4C01">
        <w:rPr>
          <w:spacing w:val="-3"/>
        </w:rPr>
        <w:t xml:space="preserve"> de medición y de cálculo. Descripción de los procedimientos requeridos para su medición o cálculo, relacionando los instrumentos necesarios para ello.</w:t>
      </w:r>
    </w:p>
    <w:p w14:paraId="2D9B2AB2" w14:textId="77777777" w:rsidR="00E16B7C" w:rsidRPr="004E4C01" w:rsidRDefault="00E16B7C" w:rsidP="00E16B7C">
      <w:pPr>
        <w:tabs>
          <w:tab w:val="left" w:pos="-2268"/>
        </w:tabs>
        <w:suppressAutoHyphens/>
        <w:rPr>
          <w:spacing w:val="-3"/>
        </w:rPr>
      </w:pPr>
    </w:p>
    <w:p w14:paraId="34C1A729"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t>Fuentes de información.</w:t>
      </w:r>
    </w:p>
    <w:p w14:paraId="0436A817" w14:textId="77777777" w:rsidR="00E16B7C" w:rsidRPr="004E4C01" w:rsidRDefault="00E16B7C" w:rsidP="00E16B7C">
      <w:pPr>
        <w:tabs>
          <w:tab w:val="left" w:pos="-2268"/>
        </w:tabs>
        <w:suppressAutoHyphens/>
        <w:rPr>
          <w:spacing w:val="-3"/>
        </w:rPr>
      </w:pPr>
    </w:p>
    <w:p w14:paraId="3FDB25D0" w14:textId="77777777" w:rsidR="00E16B7C" w:rsidRPr="004E4C01" w:rsidRDefault="00E16B7C" w:rsidP="00E16B7C">
      <w:pPr>
        <w:numPr>
          <w:ilvl w:val="0"/>
          <w:numId w:val="33"/>
        </w:numPr>
        <w:tabs>
          <w:tab w:val="left" w:pos="-2268"/>
        </w:tabs>
        <w:suppressAutoHyphens/>
        <w:ind w:left="1134" w:hanging="567"/>
        <w:rPr>
          <w:spacing w:val="-3"/>
        </w:rPr>
      </w:pPr>
      <w:r w:rsidRPr="004E4C01">
        <w:rPr>
          <w:spacing w:val="-3"/>
        </w:rPr>
        <w:t>Criterios de análisis e interpretación de resultados.</w:t>
      </w:r>
    </w:p>
    <w:p w14:paraId="554683E3" w14:textId="77777777" w:rsidR="00E16B7C" w:rsidRPr="004E4C01" w:rsidRDefault="00E16B7C" w:rsidP="00E16B7C">
      <w:pPr>
        <w:tabs>
          <w:tab w:val="left" w:pos="-2268"/>
        </w:tabs>
        <w:suppressAutoHyphens/>
        <w:rPr>
          <w:spacing w:val="-3"/>
        </w:rPr>
      </w:pPr>
    </w:p>
    <w:p w14:paraId="0D3E87D1" w14:textId="45670275" w:rsidR="00E16B7C" w:rsidRPr="004E4C01" w:rsidRDefault="00E16B7C" w:rsidP="00E16B7C">
      <w:pPr>
        <w:numPr>
          <w:ilvl w:val="0"/>
          <w:numId w:val="33"/>
        </w:numPr>
        <w:tabs>
          <w:tab w:val="left" w:pos="-2268"/>
        </w:tabs>
        <w:suppressAutoHyphens/>
        <w:ind w:left="1134" w:hanging="567"/>
        <w:rPr>
          <w:spacing w:val="-3"/>
        </w:rPr>
      </w:pPr>
      <w:r w:rsidRPr="004E4C01">
        <w:rPr>
          <w:spacing w:val="-3"/>
        </w:rPr>
        <w:t xml:space="preserve">Impactos, riesgos o </w:t>
      </w:r>
      <w:r w:rsidR="005760ED" w:rsidRPr="004E4C01">
        <w:rPr>
          <w:spacing w:val="-3"/>
        </w:rPr>
        <w:t xml:space="preserve">acciones de </w:t>
      </w:r>
      <w:r w:rsidRPr="004E4C01">
        <w:rPr>
          <w:spacing w:val="-3"/>
        </w:rPr>
        <w:t>inversión a los que se asocia.</w:t>
      </w:r>
    </w:p>
    <w:p w14:paraId="32ED0311" w14:textId="77777777" w:rsidR="00E16B7C" w:rsidRPr="004E4C01" w:rsidRDefault="00E16B7C" w:rsidP="00E16B7C">
      <w:pPr>
        <w:tabs>
          <w:tab w:val="left" w:pos="-2268"/>
        </w:tabs>
        <w:suppressAutoHyphens/>
        <w:rPr>
          <w:spacing w:val="-3"/>
        </w:rPr>
      </w:pPr>
    </w:p>
    <w:p w14:paraId="499B681C" w14:textId="3C84E5BC" w:rsidR="00E16B7C" w:rsidRPr="004E4C01" w:rsidRDefault="00E16B7C" w:rsidP="00E16B7C">
      <w:pPr>
        <w:numPr>
          <w:ilvl w:val="0"/>
          <w:numId w:val="33"/>
        </w:numPr>
        <w:tabs>
          <w:tab w:val="left" w:pos="-2268"/>
        </w:tabs>
        <w:suppressAutoHyphens/>
        <w:ind w:left="1134" w:hanging="567"/>
        <w:rPr>
          <w:spacing w:val="-3"/>
        </w:rPr>
      </w:pPr>
      <w:r w:rsidRPr="004E4C01">
        <w:rPr>
          <w:spacing w:val="-3"/>
        </w:rPr>
        <w:t xml:space="preserve">Categorías estandarizadas de impactos </w:t>
      </w:r>
      <w:r w:rsidR="000F669C" w:rsidRPr="004E4C01">
        <w:rPr>
          <w:spacing w:val="-3"/>
        </w:rPr>
        <w:t xml:space="preserve">o programas </w:t>
      </w:r>
      <w:r w:rsidR="00885259" w:rsidRPr="004E4C01">
        <w:rPr>
          <w:spacing w:val="-3"/>
        </w:rPr>
        <w:t xml:space="preserve">de manejo </w:t>
      </w:r>
      <w:r w:rsidRPr="004E4C01">
        <w:rPr>
          <w:spacing w:val="-3"/>
        </w:rPr>
        <w:t>a l</w:t>
      </w:r>
      <w:r w:rsidR="000F669C" w:rsidRPr="004E4C01">
        <w:rPr>
          <w:spacing w:val="-3"/>
        </w:rPr>
        <w:t>o</w:t>
      </w:r>
      <w:r w:rsidRPr="004E4C01">
        <w:rPr>
          <w:spacing w:val="-3"/>
        </w:rPr>
        <w:t>s que se asocia, en caso de aplicar.</w:t>
      </w:r>
    </w:p>
    <w:p w14:paraId="69F5D834" w14:textId="77777777" w:rsidR="00E16B7C" w:rsidRPr="004E4C01" w:rsidRDefault="00E16B7C" w:rsidP="00E16B7C">
      <w:pPr>
        <w:tabs>
          <w:tab w:val="left" w:pos="-2268"/>
        </w:tabs>
        <w:suppressAutoHyphens/>
        <w:rPr>
          <w:spacing w:val="-3"/>
        </w:rPr>
      </w:pPr>
    </w:p>
    <w:p w14:paraId="17744186" w14:textId="435F143F" w:rsidR="00E16B7C" w:rsidRPr="004E4C01" w:rsidRDefault="00E16B7C" w:rsidP="00E16B7C">
      <w:pPr>
        <w:numPr>
          <w:ilvl w:val="0"/>
          <w:numId w:val="33"/>
        </w:numPr>
        <w:tabs>
          <w:tab w:val="left" w:pos="-2268"/>
        </w:tabs>
        <w:suppressAutoHyphens/>
        <w:ind w:left="1134" w:hanging="567"/>
        <w:rPr>
          <w:spacing w:val="-3"/>
        </w:rPr>
      </w:pPr>
      <w:r w:rsidRPr="004E4C01">
        <w:rPr>
          <w:spacing w:val="-3"/>
        </w:rPr>
        <w:t>Medidas de manejo</w:t>
      </w:r>
      <w:r w:rsidR="00994B23" w:rsidRPr="004E4C01">
        <w:rPr>
          <w:spacing w:val="-3"/>
        </w:rPr>
        <w:t xml:space="preserve">, medidas de </w:t>
      </w:r>
      <w:r w:rsidR="0078056F" w:rsidRPr="004E4C01">
        <w:rPr>
          <w:spacing w:val="-3"/>
        </w:rPr>
        <w:t xml:space="preserve">reducción </w:t>
      </w:r>
      <w:r w:rsidR="009C0FBB" w:rsidRPr="004E4C01">
        <w:rPr>
          <w:spacing w:val="-3"/>
        </w:rPr>
        <w:t>y</w:t>
      </w:r>
      <w:r w:rsidR="0078056F" w:rsidRPr="004E4C01">
        <w:rPr>
          <w:spacing w:val="-3"/>
        </w:rPr>
        <w:t xml:space="preserve"> de monitoreo del </w:t>
      </w:r>
      <w:r w:rsidR="00994B23" w:rsidRPr="004E4C01">
        <w:rPr>
          <w:spacing w:val="-3"/>
        </w:rPr>
        <w:t>riesgo</w:t>
      </w:r>
      <w:r w:rsidR="00925BA7" w:rsidRPr="004E4C01">
        <w:rPr>
          <w:spacing w:val="-3"/>
        </w:rPr>
        <w:t>,</w:t>
      </w:r>
      <w:r w:rsidRPr="004E4C01">
        <w:rPr>
          <w:spacing w:val="-3"/>
        </w:rPr>
        <w:t xml:space="preserve"> </w:t>
      </w:r>
      <w:r w:rsidR="00B24941" w:rsidRPr="004E4C01">
        <w:rPr>
          <w:spacing w:val="-3"/>
        </w:rPr>
        <w:t xml:space="preserve">medidas o </w:t>
      </w:r>
      <w:r w:rsidRPr="004E4C01">
        <w:rPr>
          <w:spacing w:val="-3"/>
        </w:rPr>
        <w:t>acciones (</w:t>
      </w:r>
      <w:r w:rsidR="00B24941" w:rsidRPr="004E4C01">
        <w:rPr>
          <w:spacing w:val="-3"/>
        </w:rPr>
        <w:t xml:space="preserve">plan de inversión de no menos del </w:t>
      </w:r>
      <w:r w:rsidRPr="004E4C01">
        <w:rPr>
          <w:spacing w:val="-3"/>
        </w:rPr>
        <w:t>1%)</w:t>
      </w:r>
      <w:r w:rsidR="00F21595">
        <w:rPr>
          <w:spacing w:val="-3"/>
        </w:rPr>
        <w:t>,</w:t>
      </w:r>
      <w:r w:rsidR="00925BA7" w:rsidRPr="004E4C01">
        <w:rPr>
          <w:spacing w:val="-3"/>
        </w:rPr>
        <w:t xml:space="preserve"> medidas de compensación del medio biótico</w:t>
      </w:r>
      <w:r w:rsidR="000300B6">
        <w:rPr>
          <w:spacing w:val="-3"/>
        </w:rPr>
        <w:t>, medidas de mitigación de GEI o medidas de adaptación al cambio climático</w:t>
      </w:r>
      <w:r w:rsidR="00925BA7" w:rsidRPr="004E4C01">
        <w:rPr>
          <w:spacing w:val="-3"/>
        </w:rPr>
        <w:t xml:space="preserve"> </w:t>
      </w:r>
      <w:r w:rsidRPr="004E4C01">
        <w:rPr>
          <w:spacing w:val="-3"/>
        </w:rPr>
        <w:t>a las que corresponde</w:t>
      </w:r>
      <w:r w:rsidR="00846229" w:rsidRPr="004E4C01">
        <w:rPr>
          <w:spacing w:val="-3"/>
        </w:rPr>
        <w:t>, en caso de aplicar</w:t>
      </w:r>
      <w:r w:rsidRPr="004E4C01">
        <w:rPr>
          <w:spacing w:val="-3"/>
        </w:rPr>
        <w:t>.</w:t>
      </w:r>
    </w:p>
    <w:p w14:paraId="6202641B" w14:textId="77777777" w:rsidR="00E16B7C" w:rsidRPr="004E4C01" w:rsidRDefault="00E16B7C" w:rsidP="00E16B7C">
      <w:pPr>
        <w:tabs>
          <w:tab w:val="left" w:pos="-2268"/>
        </w:tabs>
        <w:suppressAutoHyphens/>
        <w:rPr>
          <w:spacing w:val="-3"/>
        </w:rPr>
      </w:pPr>
    </w:p>
    <w:p w14:paraId="10C74304" w14:textId="7ACFC49D" w:rsidR="00E16B7C" w:rsidRPr="004E4C01" w:rsidRDefault="00E16B7C" w:rsidP="00E16B7C">
      <w:pPr>
        <w:numPr>
          <w:ilvl w:val="0"/>
          <w:numId w:val="33"/>
        </w:numPr>
        <w:tabs>
          <w:tab w:val="left" w:pos="-2268"/>
        </w:tabs>
        <w:suppressAutoHyphens/>
        <w:ind w:left="1134" w:hanging="567"/>
        <w:rPr>
          <w:spacing w:val="-3"/>
        </w:rPr>
      </w:pPr>
      <w:r w:rsidRPr="004E4C01">
        <w:rPr>
          <w:spacing w:val="-3"/>
        </w:rPr>
        <w:t>Planes a los que corresponde</w:t>
      </w:r>
      <w:r w:rsidR="006977EF" w:rsidRPr="004E4C01">
        <w:rPr>
          <w:spacing w:val="-3"/>
        </w:rPr>
        <w:t xml:space="preserve"> </w:t>
      </w:r>
      <w:r w:rsidR="004E406E" w:rsidRPr="004E4C01">
        <w:rPr>
          <w:spacing w:val="-3"/>
        </w:rPr>
        <w:t>(</w:t>
      </w:r>
      <w:r w:rsidR="004E406E" w:rsidRPr="00127BD4">
        <w:rPr>
          <w:spacing w:val="-3"/>
        </w:rPr>
        <w:t>p</w:t>
      </w:r>
      <w:r w:rsidR="006977EF" w:rsidRPr="004E4C01">
        <w:rPr>
          <w:spacing w:val="-3"/>
        </w:rPr>
        <w:t xml:space="preserve">uede </w:t>
      </w:r>
      <w:r w:rsidR="004E406E" w:rsidRPr="004E4C01">
        <w:rPr>
          <w:spacing w:val="-3"/>
        </w:rPr>
        <w:t xml:space="preserve">permitir el monitoreo a </w:t>
      </w:r>
      <w:r w:rsidR="006977EF" w:rsidRPr="004E4C01">
        <w:rPr>
          <w:spacing w:val="-3"/>
        </w:rPr>
        <w:t>más de un</w:t>
      </w:r>
      <w:r w:rsidR="004E406E" w:rsidRPr="004E4C01">
        <w:rPr>
          <w:spacing w:val="-3"/>
        </w:rPr>
        <w:t xml:space="preserve"> plan </w:t>
      </w:r>
      <w:r w:rsidR="006977EF" w:rsidRPr="004E4C01">
        <w:rPr>
          <w:spacing w:val="-3"/>
        </w:rPr>
        <w:t>a la vez</w:t>
      </w:r>
      <w:r w:rsidR="004E406E" w:rsidRPr="00127BD4">
        <w:rPr>
          <w:spacing w:val="-3"/>
        </w:rPr>
        <w:t>)</w:t>
      </w:r>
      <w:r w:rsidR="00C83862" w:rsidRPr="004E4C01">
        <w:rPr>
          <w:spacing w:val="-3"/>
        </w:rPr>
        <w:t>.</w:t>
      </w:r>
    </w:p>
    <w:p w14:paraId="4762B6D0" w14:textId="77777777" w:rsidR="00E16B7C" w:rsidRPr="004E4C01" w:rsidRDefault="00E16B7C" w:rsidP="00E16B7C">
      <w:pPr>
        <w:rPr>
          <w:spacing w:val="-3"/>
        </w:rPr>
      </w:pPr>
    </w:p>
    <w:p w14:paraId="4F755258" w14:textId="442B626C" w:rsidR="00E16B7C" w:rsidRPr="004E4C01" w:rsidRDefault="001C6B56" w:rsidP="00E16B7C">
      <w:pPr>
        <w:numPr>
          <w:ilvl w:val="0"/>
          <w:numId w:val="33"/>
        </w:numPr>
        <w:tabs>
          <w:tab w:val="left" w:pos="-2268"/>
        </w:tabs>
        <w:suppressAutoHyphens/>
        <w:ind w:left="1134" w:hanging="567"/>
        <w:rPr>
          <w:spacing w:val="-3"/>
        </w:rPr>
      </w:pPr>
      <w:r w:rsidRPr="004E4C01">
        <w:rPr>
          <w:spacing w:val="-3"/>
        </w:rPr>
        <w:t xml:space="preserve">Entidad o persona que ejecuta la </w:t>
      </w:r>
      <w:r w:rsidR="00E16B7C" w:rsidRPr="004E4C01">
        <w:rPr>
          <w:spacing w:val="-3"/>
        </w:rPr>
        <w:t>m</w:t>
      </w:r>
      <w:r w:rsidRPr="004E4C01">
        <w:rPr>
          <w:spacing w:val="-3"/>
        </w:rPr>
        <w:t xml:space="preserve">edición </w:t>
      </w:r>
      <w:r w:rsidR="00E16B7C" w:rsidRPr="004E4C01">
        <w:rPr>
          <w:spacing w:val="-3"/>
        </w:rPr>
        <w:t>o c</w:t>
      </w:r>
      <w:r w:rsidRPr="004E4C01">
        <w:rPr>
          <w:spacing w:val="-3"/>
        </w:rPr>
        <w:t>á</w:t>
      </w:r>
      <w:r w:rsidR="00E16B7C" w:rsidRPr="004E4C01">
        <w:rPr>
          <w:spacing w:val="-3"/>
        </w:rPr>
        <w:t>lcul</w:t>
      </w:r>
      <w:r w:rsidRPr="004E4C01">
        <w:rPr>
          <w:spacing w:val="-3"/>
        </w:rPr>
        <w:t>o</w:t>
      </w:r>
      <w:r w:rsidR="00E16B7C" w:rsidRPr="004E4C01">
        <w:rPr>
          <w:spacing w:val="-3"/>
        </w:rPr>
        <w:t>.</w:t>
      </w:r>
    </w:p>
    <w:p w14:paraId="2F1405FA" w14:textId="77777777" w:rsidR="00E16B7C" w:rsidRPr="004E4C01" w:rsidRDefault="00E16B7C">
      <w:pPr>
        <w:numPr>
          <w:ilvl w:val="12"/>
          <w:numId w:val="0"/>
        </w:numPr>
        <w:tabs>
          <w:tab w:val="left" w:pos="-2268"/>
        </w:tabs>
        <w:suppressAutoHyphens/>
        <w:rPr>
          <w:spacing w:val="-3"/>
        </w:rPr>
      </w:pPr>
    </w:p>
    <w:p w14:paraId="0BDEA8BE" w14:textId="741FB388" w:rsidR="003665F5" w:rsidRPr="004E4C01" w:rsidRDefault="00E16B7C">
      <w:pPr>
        <w:numPr>
          <w:ilvl w:val="12"/>
          <w:numId w:val="0"/>
        </w:numPr>
        <w:tabs>
          <w:tab w:val="left" w:pos="-2268"/>
        </w:tabs>
        <w:suppressAutoHyphens/>
        <w:rPr>
          <w:spacing w:val="-3"/>
        </w:rPr>
      </w:pPr>
      <w:r w:rsidRPr="004E4C01">
        <w:rPr>
          <w:spacing w:val="-3"/>
        </w:rPr>
        <w:t>Asimismo, el plan debe seguir los lineamientos señalados a continuación</w:t>
      </w:r>
      <w:r w:rsidR="003B6497" w:rsidRPr="004E4C01">
        <w:t xml:space="preserve"> para </w:t>
      </w:r>
      <w:r w:rsidR="003B6497" w:rsidRPr="004E4C01">
        <w:rPr>
          <w:spacing w:val="-3"/>
        </w:rPr>
        <w:t xml:space="preserve">el seguimiento y monitoreo al estado de los medios </w:t>
      </w:r>
      <w:r w:rsidR="00885259" w:rsidRPr="004E4C01">
        <w:rPr>
          <w:spacing w:val="-3"/>
        </w:rPr>
        <w:t xml:space="preserve">y </w:t>
      </w:r>
      <w:r w:rsidR="003B6497" w:rsidRPr="004E4C01">
        <w:rPr>
          <w:spacing w:val="-3"/>
        </w:rPr>
        <w:t>a la eficacia de las medidas y acciones.</w:t>
      </w:r>
    </w:p>
    <w:p w14:paraId="2752D076" w14:textId="77777777" w:rsidR="00E16B7C" w:rsidRDefault="00E16B7C">
      <w:pPr>
        <w:numPr>
          <w:ilvl w:val="12"/>
          <w:numId w:val="0"/>
        </w:numPr>
        <w:tabs>
          <w:tab w:val="left" w:pos="-2268"/>
        </w:tabs>
        <w:suppressAutoHyphens/>
        <w:rPr>
          <w:spacing w:val="-3"/>
        </w:rPr>
      </w:pPr>
    </w:p>
    <w:p w14:paraId="5D50F16F" w14:textId="77777777" w:rsidR="00031C4F" w:rsidRDefault="00031C4F">
      <w:pPr>
        <w:numPr>
          <w:ilvl w:val="12"/>
          <w:numId w:val="0"/>
        </w:numPr>
        <w:tabs>
          <w:tab w:val="left" w:pos="-2268"/>
        </w:tabs>
        <w:suppressAutoHyphens/>
        <w:rPr>
          <w:spacing w:val="-3"/>
        </w:rPr>
      </w:pPr>
    </w:p>
    <w:p w14:paraId="6C563F63" w14:textId="77777777" w:rsidR="00031C4F" w:rsidRDefault="00031C4F">
      <w:pPr>
        <w:numPr>
          <w:ilvl w:val="12"/>
          <w:numId w:val="0"/>
        </w:numPr>
        <w:tabs>
          <w:tab w:val="left" w:pos="-2268"/>
        </w:tabs>
        <w:suppressAutoHyphens/>
        <w:rPr>
          <w:spacing w:val="-3"/>
        </w:rPr>
      </w:pPr>
    </w:p>
    <w:p w14:paraId="06B5D8E6" w14:textId="77777777" w:rsidR="00031C4F" w:rsidRPr="004E4C01" w:rsidRDefault="00031C4F">
      <w:pPr>
        <w:numPr>
          <w:ilvl w:val="12"/>
          <w:numId w:val="0"/>
        </w:numPr>
        <w:tabs>
          <w:tab w:val="left" w:pos="-2268"/>
        </w:tabs>
        <w:suppressAutoHyphens/>
        <w:rPr>
          <w:spacing w:val="-3"/>
        </w:rPr>
      </w:pPr>
    </w:p>
    <w:p w14:paraId="1265FD9E" w14:textId="752F2D04" w:rsidR="001F01F1" w:rsidRPr="00127BD4" w:rsidRDefault="001F01F1" w:rsidP="00127BD4">
      <w:pPr>
        <w:tabs>
          <w:tab w:val="left" w:pos="-2268"/>
        </w:tabs>
        <w:suppressAutoHyphens/>
        <w:rPr>
          <w:bCs/>
          <w:spacing w:val="-3"/>
        </w:rPr>
      </w:pPr>
      <w:bookmarkStart w:id="11382" w:name="_Toc79443347"/>
      <w:bookmarkStart w:id="11383" w:name="_Ref75873093"/>
      <w:bookmarkEnd w:id="11382"/>
      <w:r w:rsidRPr="00127BD4">
        <w:rPr>
          <w:b/>
          <w:bCs/>
          <w:spacing w:val="-3"/>
          <w:u w:val="single"/>
        </w:rPr>
        <w:lastRenderedPageBreak/>
        <w:t>Seguimiento y monitoreo a</w:t>
      </w:r>
      <w:r w:rsidR="00C640D1" w:rsidRPr="00127BD4">
        <w:rPr>
          <w:b/>
          <w:bCs/>
          <w:spacing w:val="-3"/>
          <w:u w:val="single"/>
        </w:rPr>
        <w:t xml:space="preserve">l estado </w:t>
      </w:r>
      <w:r w:rsidRPr="00127BD4">
        <w:rPr>
          <w:b/>
          <w:bCs/>
          <w:spacing w:val="-3"/>
          <w:u w:val="single"/>
        </w:rPr>
        <w:t>de</w:t>
      </w:r>
      <w:r w:rsidR="00C640D1" w:rsidRPr="00127BD4">
        <w:rPr>
          <w:b/>
          <w:bCs/>
          <w:spacing w:val="-3"/>
          <w:u w:val="single"/>
        </w:rPr>
        <w:t xml:space="preserve"> </w:t>
      </w:r>
      <w:r w:rsidRPr="00127BD4">
        <w:rPr>
          <w:b/>
          <w:bCs/>
          <w:spacing w:val="-3"/>
          <w:u w:val="single"/>
        </w:rPr>
        <w:t>l</w:t>
      </w:r>
      <w:r w:rsidR="00C640D1" w:rsidRPr="00127BD4">
        <w:rPr>
          <w:b/>
          <w:bCs/>
          <w:spacing w:val="-3"/>
          <w:u w:val="single"/>
        </w:rPr>
        <w:t>os</w:t>
      </w:r>
      <w:r w:rsidRPr="00127BD4">
        <w:rPr>
          <w:b/>
          <w:bCs/>
          <w:spacing w:val="-3"/>
          <w:u w:val="single"/>
        </w:rPr>
        <w:t xml:space="preserve"> medio</w:t>
      </w:r>
      <w:r w:rsidR="00C640D1" w:rsidRPr="00127BD4">
        <w:rPr>
          <w:b/>
          <w:bCs/>
          <w:spacing w:val="-3"/>
          <w:u w:val="single"/>
        </w:rPr>
        <w:t>s</w:t>
      </w:r>
      <w:r w:rsidR="0067663F" w:rsidRPr="00127BD4">
        <w:rPr>
          <w:b/>
          <w:bCs/>
          <w:spacing w:val="-3"/>
          <w:u w:val="single"/>
        </w:rPr>
        <w:t xml:space="preserve"> y a la eficacia de las medidas </w:t>
      </w:r>
      <w:bookmarkEnd w:id="11383"/>
      <w:r w:rsidR="003B6497" w:rsidRPr="00127BD4">
        <w:rPr>
          <w:b/>
          <w:bCs/>
          <w:spacing w:val="-3"/>
          <w:u w:val="single"/>
        </w:rPr>
        <w:t>y acciones</w:t>
      </w:r>
    </w:p>
    <w:p w14:paraId="6DBF5B8E" w14:textId="77777777" w:rsidR="001F01F1" w:rsidRPr="004E4C01" w:rsidRDefault="001F01F1">
      <w:pPr>
        <w:numPr>
          <w:ilvl w:val="12"/>
          <w:numId w:val="0"/>
        </w:numPr>
        <w:tabs>
          <w:tab w:val="left" w:pos="-2268"/>
        </w:tabs>
        <w:suppressAutoHyphens/>
        <w:rPr>
          <w:spacing w:val="-3"/>
        </w:rPr>
      </w:pPr>
    </w:p>
    <w:p w14:paraId="3FAEAA47" w14:textId="36A89B6E" w:rsidR="00997C6D" w:rsidRPr="004E4C01" w:rsidRDefault="00306341">
      <w:pPr>
        <w:numPr>
          <w:ilvl w:val="12"/>
          <w:numId w:val="0"/>
        </w:numPr>
        <w:tabs>
          <w:tab w:val="left" w:pos="-2268"/>
        </w:tabs>
        <w:suppressAutoHyphens/>
        <w:rPr>
          <w:spacing w:val="-3"/>
        </w:rPr>
      </w:pPr>
      <w:r w:rsidRPr="004E4C01">
        <w:rPr>
          <w:spacing w:val="-3"/>
        </w:rPr>
        <w:t xml:space="preserve">Existe una relación estrecha entre el monitoreo y seguimiento a las condiciones ambientales del área de influencia del proyecto, obra o actividad y el seguimiento y monitoreo de la eficacia de las medidas de manejo </w:t>
      </w:r>
      <w:r w:rsidR="00DC1979" w:rsidRPr="004E4C01">
        <w:rPr>
          <w:spacing w:val="-3"/>
        </w:rPr>
        <w:t xml:space="preserve">(que comprenden también a las de compensación del medio biótico) </w:t>
      </w:r>
      <w:r w:rsidR="00C640D1" w:rsidRPr="004E4C01">
        <w:rPr>
          <w:spacing w:val="-3"/>
        </w:rPr>
        <w:t xml:space="preserve">y </w:t>
      </w:r>
      <w:r w:rsidR="007832D2" w:rsidRPr="004E4C01">
        <w:rPr>
          <w:spacing w:val="-3"/>
        </w:rPr>
        <w:t xml:space="preserve">las </w:t>
      </w:r>
      <w:r w:rsidR="00C640D1" w:rsidRPr="004E4C01">
        <w:rPr>
          <w:spacing w:val="-3"/>
        </w:rPr>
        <w:t xml:space="preserve">acciones planteadas </w:t>
      </w:r>
      <w:r w:rsidR="00846229" w:rsidRPr="004E4C01">
        <w:rPr>
          <w:spacing w:val="-3"/>
        </w:rPr>
        <w:t xml:space="preserve">en los demás planes del EIA </w:t>
      </w:r>
      <w:r w:rsidR="00E65B06" w:rsidRPr="004E4C01">
        <w:rPr>
          <w:spacing w:val="-3"/>
        </w:rPr>
        <w:t>para la gestión de los impactos ambientales</w:t>
      </w:r>
      <w:r w:rsidR="00AF0451" w:rsidRPr="004E4C01">
        <w:rPr>
          <w:spacing w:val="-3"/>
        </w:rPr>
        <w:t xml:space="preserve"> y </w:t>
      </w:r>
      <w:r w:rsidR="000F0988" w:rsidRPr="004E4C01">
        <w:rPr>
          <w:spacing w:val="-3"/>
        </w:rPr>
        <w:t xml:space="preserve">la reducción del </w:t>
      </w:r>
      <w:r w:rsidR="00AF0451" w:rsidRPr="004E4C01">
        <w:rPr>
          <w:spacing w:val="-3"/>
        </w:rPr>
        <w:t>riesgo</w:t>
      </w:r>
      <w:r w:rsidRPr="004E4C01">
        <w:rPr>
          <w:spacing w:val="-3"/>
        </w:rPr>
        <w:t xml:space="preserve">, pues precisamente mediante la verificación del cambio de las condiciones ambientales con respecto a las evidenciadas en la línea base, es posible establecer </w:t>
      </w:r>
      <w:r w:rsidR="00997C6D" w:rsidRPr="004E4C01">
        <w:rPr>
          <w:spacing w:val="-3"/>
        </w:rPr>
        <w:t xml:space="preserve">la eficacia de </w:t>
      </w:r>
      <w:r w:rsidRPr="004E4C01">
        <w:rPr>
          <w:spacing w:val="-3"/>
        </w:rPr>
        <w:t xml:space="preserve">una medida </w:t>
      </w:r>
      <w:r w:rsidR="00997C6D" w:rsidRPr="004E4C01">
        <w:rPr>
          <w:spacing w:val="-3"/>
        </w:rPr>
        <w:t xml:space="preserve">implementada para </w:t>
      </w:r>
      <w:r w:rsidR="00605D4E" w:rsidRPr="004E4C01">
        <w:rPr>
          <w:spacing w:val="-3"/>
        </w:rPr>
        <w:t>prevenir</w:t>
      </w:r>
      <w:r w:rsidR="00997C6D" w:rsidRPr="004E4C01">
        <w:rPr>
          <w:spacing w:val="-3"/>
        </w:rPr>
        <w:t>, mitigar, corregir y compensar los impactos generados por el proyecto, obra o actividad</w:t>
      </w:r>
      <w:r w:rsidR="00F2682C" w:rsidRPr="004E4C01">
        <w:rPr>
          <w:rStyle w:val="Refdenotaalpie"/>
          <w:spacing w:val="-3"/>
          <w:lang w:val="es-CO"/>
        </w:rPr>
        <w:footnoteReference w:id="254"/>
      </w:r>
      <w:r w:rsidR="00997C6D" w:rsidRPr="004E4C01">
        <w:rPr>
          <w:spacing w:val="-3"/>
        </w:rPr>
        <w:t>, para prevenir los riesgos</w:t>
      </w:r>
      <w:r w:rsidR="0064150E">
        <w:rPr>
          <w:spacing w:val="-3"/>
        </w:rPr>
        <w:t>, para mitigar GEI, para adaptar</w:t>
      </w:r>
      <w:r w:rsidR="00695BCB">
        <w:rPr>
          <w:spacing w:val="-3"/>
        </w:rPr>
        <w:t>se al cambio climático</w:t>
      </w:r>
      <w:r w:rsidR="00997C6D" w:rsidRPr="004E4C01">
        <w:rPr>
          <w:spacing w:val="-3"/>
        </w:rPr>
        <w:t xml:space="preserve"> o para verificar las </w:t>
      </w:r>
      <w:r w:rsidR="00B24941" w:rsidRPr="004E4C01">
        <w:rPr>
          <w:spacing w:val="-3"/>
        </w:rPr>
        <w:t xml:space="preserve">medidas o acciones de </w:t>
      </w:r>
      <w:r w:rsidR="00997C6D" w:rsidRPr="004E4C01">
        <w:rPr>
          <w:spacing w:val="-3"/>
        </w:rPr>
        <w:t>inversi</w:t>
      </w:r>
      <w:r w:rsidR="00B24941" w:rsidRPr="004E4C01">
        <w:rPr>
          <w:spacing w:val="-3"/>
        </w:rPr>
        <w:t xml:space="preserve">ón </w:t>
      </w:r>
      <w:r w:rsidR="00997C6D" w:rsidRPr="004E4C01">
        <w:rPr>
          <w:spacing w:val="-3"/>
        </w:rPr>
        <w:t>del 1%.</w:t>
      </w:r>
    </w:p>
    <w:p w14:paraId="51FAA2F3" w14:textId="77777777" w:rsidR="00997C6D" w:rsidRPr="004E4C01" w:rsidRDefault="00997C6D">
      <w:pPr>
        <w:numPr>
          <w:ilvl w:val="12"/>
          <w:numId w:val="0"/>
        </w:numPr>
        <w:tabs>
          <w:tab w:val="left" w:pos="-2268"/>
        </w:tabs>
        <w:suppressAutoHyphens/>
        <w:rPr>
          <w:spacing w:val="-3"/>
        </w:rPr>
      </w:pPr>
    </w:p>
    <w:p w14:paraId="1E117182" w14:textId="1DFD6F57" w:rsidR="00E92274" w:rsidRPr="004E4C01" w:rsidRDefault="00306341" w:rsidP="00E92274">
      <w:pPr>
        <w:numPr>
          <w:ilvl w:val="12"/>
          <w:numId w:val="0"/>
        </w:numPr>
        <w:tabs>
          <w:tab w:val="left" w:pos="-2268"/>
        </w:tabs>
        <w:suppressAutoHyphens/>
        <w:rPr>
          <w:spacing w:val="-3"/>
        </w:rPr>
      </w:pPr>
      <w:r w:rsidRPr="004E4C01">
        <w:rPr>
          <w:spacing w:val="-3"/>
        </w:rPr>
        <w:t>Por tal motivo</w:t>
      </w:r>
      <w:r w:rsidR="007832D2" w:rsidRPr="004E4C01">
        <w:rPr>
          <w:spacing w:val="-3"/>
        </w:rPr>
        <w:t xml:space="preserve">, </w:t>
      </w:r>
      <w:r w:rsidR="003B6497" w:rsidRPr="004E4C01">
        <w:rPr>
          <w:spacing w:val="-3"/>
        </w:rPr>
        <w:t xml:space="preserve">la formulación del plan de seguimiento y monitoreo debe tener en cuenta que </w:t>
      </w:r>
      <w:r w:rsidR="009162BD" w:rsidRPr="004E4C01">
        <w:rPr>
          <w:spacing w:val="-3"/>
        </w:rPr>
        <w:t xml:space="preserve">se inicia con </w:t>
      </w:r>
      <w:r w:rsidR="007832D2" w:rsidRPr="004E4C01">
        <w:rPr>
          <w:spacing w:val="-3"/>
        </w:rPr>
        <w:t xml:space="preserve">el monitoreo y seguimiento </w:t>
      </w:r>
      <w:r w:rsidR="009162BD" w:rsidRPr="004E4C01">
        <w:rPr>
          <w:spacing w:val="-3"/>
        </w:rPr>
        <w:t xml:space="preserve">a </w:t>
      </w:r>
      <w:r w:rsidR="007832D2" w:rsidRPr="004E4C01">
        <w:rPr>
          <w:spacing w:val="-3"/>
        </w:rPr>
        <w:t xml:space="preserve">las condiciones ambientales, y </w:t>
      </w:r>
      <w:r w:rsidR="003B6497" w:rsidRPr="004E4C01">
        <w:rPr>
          <w:spacing w:val="-3"/>
        </w:rPr>
        <w:t xml:space="preserve">que </w:t>
      </w:r>
      <w:r w:rsidR="007832D2" w:rsidRPr="004E4C01">
        <w:rPr>
          <w:spacing w:val="-3"/>
        </w:rPr>
        <w:t>luego</w:t>
      </w:r>
      <w:r w:rsidR="00D75F8A" w:rsidRPr="004E4C01">
        <w:rPr>
          <w:spacing w:val="-3"/>
        </w:rPr>
        <w:t>,</w:t>
      </w:r>
      <w:r w:rsidR="007832D2" w:rsidRPr="004E4C01">
        <w:rPr>
          <w:spacing w:val="-3"/>
        </w:rPr>
        <w:t xml:space="preserve"> </w:t>
      </w:r>
      <w:r w:rsidR="00037455" w:rsidRPr="004E4C01">
        <w:rPr>
          <w:spacing w:val="-3"/>
        </w:rPr>
        <w:t>de forma consecuente</w:t>
      </w:r>
      <w:r w:rsidR="00D75F8A" w:rsidRPr="004E4C01">
        <w:rPr>
          <w:spacing w:val="-3"/>
        </w:rPr>
        <w:t>,</w:t>
      </w:r>
      <w:r w:rsidR="00037455" w:rsidRPr="004E4C01">
        <w:rPr>
          <w:spacing w:val="-3"/>
        </w:rPr>
        <w:t xml:space="preserve"> </w:t>
      </w:r>
      <w:r w:rsidR="009162BD" w:rsidRPr="004E4C01">
        <w:rPr>
          <w:spacing w:val="-3"/>
        </w:rPr>
        <w:t xml:space="preserve">se continúa </w:t>
      </w:r>
      <w:r w:rsidR="00846229" w:rsidRPr="004E4C01">
        <w:rPr>
          <w:spacing w:val="-3"/>
        </w:rPr>
        <w:t xml:space="preserve">con </w:t>
      </w:r>
      <w:r w:rsidR="009162BD" w:rsidRPr="004E4C01">
        <w:rPr>
          <w:spacing w:val="-3"/>
        </w:rPr>
        <w:t xml:space="preserve">el de </w:t>
      </w:r>
      <w:r w:rsidR="007832D2" w:rsidRPr="004E4C01">
        <w:rPr>
          <w:spacing w:val="-3"/>
        </w:rPr>
        <w:t xml:space="preserve">la eficacia de las medidas </w:t>
      </w:r>
      <w:r w:rsidR="000F0988" w:rsidRPr="004E4C01">
        <w:rPr>
          <w:spacing w:val="-3"/>
        </w:rPr>
        <w:t>y demás acciones</w:t>
      </w:r>
      <w:r w:rsidR="007832D2" w:rsidRPr="004E4C01">
        <w:rPr>
          <w:spacing w:val="-3"/>
        </w:rPr>
        <w:t xml:space="preserve">. </w:t>
      </w:r>
      <w:r w:rsidR="00957D10" w:rsidRPr="004E4C01">
        <w:rPr>
          <w:spacing w:val="-3"/>
        </w:rPr>
        <w:t xml:space="preserve">Estas dos </w:t>
      </w:r>
      <w:r w:rsidR="006E73FD">
        <w:rPr>
          <w:spacing w:val="-3"/>
        </w:rPr>
        <w:t>fases</w:t>
      </w:r>
      <w:r w:rsidR="00957D10" w:rsidRPr="004E4C01">
        <w:rPr>
          <w:spacing w:val="-3"/>
        </w:rPr>
        <w:t xml:space="preserve"> de </w:t>
      </w:r>
      <w:r w:rsidR="009162BD" w:rsidRPr="004E4C01">
        <w:rPr>
          <w:spacing w:val="-3"/>
        </w:rPr>
        <w:t xml:space="preserve">monitoreo y </w:t>
      </w:r>
      <w:r w:rsidR="00957D10" w:rsidRPr="004E4C01">
        <w:rPr>
          <w:spacing w:val="-3"/>
        </w:rPr>
        <w:t xml:space="preserve">seguimiento deben </w:t>
      </w:r>
      <w:r w:rsidR="00652741" w:rsidRPr="004E4C01">
        <w:rPr>
          <w:spacing w:val="-3"/>
        </w:rPr>
        <w:t>formularse</w:t>
      </w:r>
      <w:r w:rsidR="00957D10" w:rsidRPr="004E4C01">
        <w:rPr>
          <w:spacing w:val="-3"/>
        </w:rPr>
        <w:t xml:space="preserve"> de </w:t>
      </w:r>
      <w:r w:rsidR="009162BD" w:rsidRPr="004E4C01">
        <w:rPr>
          <w:spacing w:val="-3"/>
        </w:rPr>
        <w:t xml:space="preserve">manera </w:t>
      </w:r>
      <w:r w:rsidR="005E2F78" w:rsidRPr="004E4C01">
        <w:rPr>
          <w:spacing w:val="-3"/>
        </w:rPr>
        <w:t>sistemátic</w:t>
      </w:r>
      <w:r w:rsidR="00957D10" w:rsidRPr="004E4C01">
        <w:rPr>
          <w:spacing w:val="-3"/>
        </w:rPr>
        <w:t xml:space="preserve">a y </w:t>
      </w:r>
      <w:r w:rsidR="005E2F78" w:rsidRPr="004E4C01">
        <w:rPr>
          <w:spacing w:val="-3"/>
        </w:rPr>
        <w:t>estructurad</w:t>
      </w:r>
      <w:r w:rsidR="00957D10" w:rsidRPr="004E4C01">
        <w:rPr>
          <w:spacing w:val="-3"/>
        </w:rPr>
        <w:t>a para medir u obtener información</w:t>
      </w:r>
      <w:r w:rsidR="008E797D" w:rsidRPr="004E4C01">
        <w:rPr>
          <w:spacing w:val="-3"/>
        </w:rPr>
        <w:t>,</w:t>
      </w:r>
      <w:r w:rsidR="00DB438B" w:rsidRPr="004E4C01">
        <w:rPr>
          <w:spacing w:val="-3"/>
        </w:rPr>
        <w:t xml:space="preserve"> </w:t>
      </w:r>
      <w:r w:rsidR="00957D10" w:rsidRPr="004E4C01">
        <w:rPr>
          <w:spacing w:val="-3"/>
        </w:rPr>
        <w:t xml:space="preserve">y </w:t>
      </w:r>
      <w:r w:rsidR="008E797D" w:rsidRPr="004E4C01">
        <w:rPr>
          <w:spacing w:val="-3"/>
        </w:rPr>
        <w:t xml:space="preserve">para </w:t>
      </w:r>
      <w:r w:rsidR="00DB438B" w:rsidRPr="004E4C01">
        <w:rPr>
          <w:spacing w:val="-3"/>
        </w:rPr>
        <w:t>procesa</w:t>
      </w:r>
      <w:r w:rsidR="00957D10" w:rsidRPr="004E4C01">
        <w:rPr>
          <w:spacing w:val="-3"/>
        </w:rPr>
        <w:t xml:space="preserve">rla </w:t>
      </w:r>
      <w:r w:rsidR="00DB438B" w:rsidRPr="004E4C01">
        <w:rPr>
          <w:spacing w:val="-3"/>
        </w:rPr>
        <w:t>y an</w:t>
      </w:r>
      <w:r w:rsidR="00957D10" w:rsidRPr="004E4C01">
        <w:rPr>
          <w:spacing w:val="-3"/>
        </w:rPr>
        <w:t xml:space="preserve">alizarla a fin de brindar elementos </w:t>
      </w:r>
      <w:r w:rsidR="008E797D" w:rsidRPr="004E4C01">
        <w:rPr>
          <w:spacing w:val="-3"/>
        </w:rPr>
        <w:t>que</w:t>
      </w:r>
      <w:r w:rsidR="00C91F5B" w:rsidRPr="004E4C01">
        <w:rPr>
          <w:spacing w:val="-3"/>
        </w:rPr>
        <w:t xml:space="preserve"> permitan</w:t>
      </w:r>
      <w:r w:rsidR="008E797D" w:rsidRPr="004E4C01">
        <w:rPr>
          <w:spacing w:val="-3"/>
        </w:rPr>
        <w:t xml:space="preserve"> </w:t>
      </w:r>
      <w:r w:rsidR="00957D10" w:rsidRPr="004E4C01">
        <w:rPr>
          <w:spacing w:val="-3"/>
        </w:rPr>
        <w:t>retroaliment</w:t>
      </w:r>
      <w:r w:rsidR="00C91F5B" w:rsidRPr="004E4C01">
        <w:rPr>
          <w:spacing w:val="-3"/>
        </w:rPr>
        <w:t>ar</w:t>
      </w:r>
      <w:r w:rsidR="008E797D" w:rsidRPr="004E4C01">
        <w:rPr>
          <w:spacing w:val="-3"/>
        </w:rPr>
        <w:t xml:space="preserve"> </w:t>
      </w:r>
      <w:r w:rsidR="00957D10" w:rsidRPr="004E4C01">
        <w:rPr>
          <w:spacing w:val="-3"/>
        </w:rPr>
        <w:t>el proyec</w:t>
      </w:r>
      <w:r w:rsidR="008E797D" w:rsidRPr="004E4C01">
        <w:rPr>
          <w:spacing w:val="-3"/>
        </w:rPr>
        <w:t>to, obra o actividad</w:t>
      </w:r>
      <w:r w:rsidR="00E92274" w:rsidRPr="004E4C01">
        <w:rPr>
          <w:bCs/>
          <w:spacing w:val="-3"/>
        </w:rPr>
        <w:t xml:space="preserve">, por ejemplo, </w:t>
      </w:r>
      <w:r w:rsidR="00E92274" w:rsidRPr="004E4C01">
        <w:rPr>
          <w:spacing w:val="-3"/>
        </w:rPr>
        <w:t xml:space="preserve">mediante potenciales oportunidades de mejora o medidas adicionales de </w:t>
      </w:r>
      <w:r w:rsidR="00DC1979" w:rsidRPr="004E4C01">
        <w:rPr>
          <w:spacing w:val="-3"/>
        </w:rPr>
        <w:t>gestión ambiental</w:t>
      </w:r>
      <w:r w:rsidR="00E92274" w:rsidRPr="004E4C01">
        <w:rPr>
          <w:spacing w:val="-3"/>
        </w:rPr>
        <w:t>.</w:t>
      </w:r>
    </w:p>
    <w:p w14:paraId="446853B3" w14:textId="56B94ED0" w:rsidR="008E797D" w:rsidRPr="004E4C01" w:rsidRDefault="008E797D">
      <w:pPr>
        <w:numPr>
          <w:ilvl w:val="12"/>
          <w:numId w:val="0"/>
        </w:numPr>
        <w:tabs>
          <w:tab w:val="left" w:pos="-2268"/>
        </w:tabs>
        <w:suppressAutoHyphens/>
        <w:rPr>
          <w:spacing w:val="-3"/>
        </w:rPr>
      </w:pPr>
    </w:p>
    <w:p w14:paraId="01BF6EDC" w14:textId="7F375A85" w:rsidR="00997C6D" w:rsidRPr="004E4C01" w:rsidRDefault="00F2682C" w:rsidP="00997C6D">
      <w:pPr>
        <w:numPr>
          <w:ilvl w:val="12"/>
          <w:numId w:val="0"/>
        </w:numPr>
        <w:tabs>
          <w:tab w:val="left" w:pos="-2268"/>
        </w:tabs>
        <w:suppressAutoHyphens/>
        <w:rPr>
          <w:spacing w:val="-3"/>
        </w:rPr>
      </w:pPr>
      <w:r w:rsidRPr="004E4C01">
        <w:rPr>
          <w:spacing w:val="-3"/>
        </w:rPr>
        <w:t xml:space="preserve">Para determinar </w:t>
      </w:r>
      <w:r w:rsidR="008E38CB" w:rsidRPr="004E4C01">
        <w:rPr>
          <w:spacing w:val="-3"/>
        </w:rPr>
        <w:t xml:space="preserve">la </w:t>
      </w:r>
      <w:r w:rsidRPr="004E4C01">
        <w:rPr>
          <w:spacing w:val="-3"/>
        </w:rPr>
        <w:t>eficacia</w:t>
      </w:r>
      <w:r w:rsidR="008E38CB" w:rsidRPr="004E4C01">
        <w:rPr>
          <w:spacing w:val="-3"/>
        </w:rPr>
        <w:t xml:space="preserve"> de las medidas de manejo</w:t>
      </w:r>
      <w:r w:rsidRPr="004E4C01">
        <w:rPr>
          <w:spacing w:val="-3"/>
        </w:rPr>
        <w:t xml:space="preserve">, </w:t>
      </w:r>
      <w:r w:rsidR="008E38CB" w:rsidRPr="004E4C01">
        <w:rPr>
          <w:spacing w:val="-3"/>
        </w:rPr>
        <w:t xml:space="preserve">en el plan de seguimiento y monitoreo </w:t>
      </w:r>
      <w:r w:rsidRPr="004E4C01">
        <w:rPr>
          <w:spacing w:val="-3"/>
        </w:rPr>
        <w:t xml:space="preserve">se </w:t>
      </w:r>
      <w:r w:rsidR="008E38CB" w:rsidRPr="004E4C01">
        <w:rPr>
          <w:spacing w:val="-3"/>
        </w:rPr>
        <w:t xml:space="preserve">debe formular </w:t>
      </w:r>
      <w:r w:rsidR="000A1BF1" w:rsidRPr="004E4C01">
        <w:rPr>
          <w:spacing w:val="-3"/>
        </w:rPr>
        <w:t xml:space="preserve">un </w:t>
      </w:r>
      <w:r w:rsidR="00997C6D" w:rsidRPr="004E4C01">
        <w:rPr>
          <w:spacing w:val="-3"/>
        </w:rPr>
        <w:t>análisis</w:t>
      </w:r>
      <w:r w:rsidR="00402174" w:rsidRPr="004E4C01">
        <w:rPr>
          <w:spacing w:val="-3"/>
        </w:rPr>
        <w:t xml:space="preserve"> que</w:t>
      </w:r>
      <w:r w:rsidR="00B24941" w:rsidRPr="004E4C01">
        <w:rPr>
          <w:spacing w:val="-3"/>
        </w:rPr>
        <w:t>,</w:t>
      </w:r>
      <w:r w:rsidR="00997C6D" w:rsidRPr="004E4C01">
        <w:rPr>
          <w:spacing w:val="-3"/>
        </w:rPr>
        <w:t xml:space="preserve"> ten</w:t>
      </w:r>
      <w:r w:rsidRPr="004E4C01">
        <w:rPr>
          <w:spacing w:val="-3"/>
        </w:rPr>
        <w:t xml:space="preserve">iendo </w:t>
      </w:r>
      <w:r w:rsidR="00997C6D" w:rsidRPr="004E4C01">
        <w:rPr>
          <w:spacing w:val="-3"/>
        </w:rPr>
        <w:t>en cuenta los aspectos ambientales del proyecto, obra o actividad (</w:t>
      </w:r>
      <w:r w:rsidR="00041844" w:rsidRPr="004E4C01">
        <w:rPr>
          <w:spacing w:val="-3"/>
        </w:rPr>
        <w:t>p. ej.</w:t>
      </w:r>
      <w:r w:rsidR="00997C6D" w:rsidRPr="004E4C01">
        <w:rPr>
          <w:spacing w:val="-3"/>
        </w:rPr>
        <w:t xml:space="preserve"> cantidad de emisiones </w:t>
      </w:r>
      <w:r w:rsidR="00D40438" w:rsidRPr="004E4C01">
        <w:rPr>
          <w:spacing w:val="-3"/>
        </w:rPr>
        <w:t xml:space="preserve">atmosféricas y acústicas </w:t>
      </w:r>
      <w:r w:rsidR="00997C6D" w:rsidRPr="004E4C01">
        <w:rPr>
          <w:spacing w:val="-3"/>
        </w:rPr>
        <w:t xml:space="preserve">y </w:t>
      </w:r>
      <w:r w:rsidR="00D40438" w:rsidRPr="004E4C01">
        <w:rPr>
          <w:spacing w:val="-3"/>
        </w:rPr>
        <w:t xml:space="preserve">de </w:t>
      </w:r>
      <w:r w:rsidR="00997C6D" w:rsidRPr="004E4C01">
        <w:rPr>
          <w:spacing w:val="-3"/>
        </w:rPr>
        <w:t>vertimientos)</w:t>
      </w:r>
      <w:r w:rsidRPr="004E4C01">
        <w:rPr>
          <w:spacing w:val="-3"/>
        </w:rPr>
        <w:t>, las condiciones ambientales de línea base</w:t>
      </w:r>
      <w:r w:rsidR="000A1BF1" w:rsidRPr="004E4C01">
        <w:rPr>
          <w:spacing w:val="-3"/>
        </w:rPr>
        <w:t>, así como</w:t>
      </w:r>
      <w:r w:rsidR="00997C6D" w:rsidRPr="004E4C01">
        <w:rPr>
          <w:spacing w:val="-3"/>
        </w:rPr>
        <w:t xml:space="preserve"> </w:t>
      </w:r>
      <w:r w:rsidRPr="004E4C01">
        <w:rPr>
          <w:spacing w:val="-3"/>
        </w:rPr>
        <w:t>otras actividades productivas con incidencia en el área de influencia</w:t>
      </w:r>
      <w:r w:rsidR="00540D1C" w:rsidRPr="004E4C01">
        <w:rPr>
          <w:spacing w:val="-3"/>
        </w:rPr>
        <w:t xml:space="preserve"> del proyecto, obra o actividad</w:t>
      </w:r>
      <w:r w:rsidRPr="004E4C01">
        <w:rPr>
          <w:spacing w:val="-3"/>
        </w:rPr>
        <w:t xml:space="preserve">, permita </w:t>
      </w:r>
      <w:r w:rsidR="00997C6D" w:rsidRPr="004E4C01">
        <w:rPr>
          <w:spacing w:val="-3"/>
        </w:rPr>
        <w:t xml:space="preserve">evidenciar qué </w:t>
      </w:r>
      <w:r w:rsidR="007553DA" w:rsidRPr="004E4C01">
        <w:rPr>
          <w:spacing w:val="-3"/>
        </w:rPr>
        <w:t xml:space="preserve">alteraciones </w:t>
      </w:r>
      <w:r w:rsidR="00997C6D" w:rsidRPr="004E4C01">
        <w:rPr>
          <w:spacing w:val="-3"/>
        </w:rPr>
        <w:t xml:space="preserve">ambientales son </w:t>
      </w:r>
      <w:r w:rsidR="000A1BF1" w:rsidRPr="004E4C01">
        <w:rPr>
          <w:spacing w:val="-3"/>
        </w:rPr>
        <w:t xml:space="preserve">consecuencia </w:t>
      </w:r>
      <w:r w:rsidR="00997C6D" w:rsidRPr="004E4C01">
        <w:rPr>
          <w:spacing w:val="-3"/>
        </w:rPr>
        <w:t xml:space="preserve">del proyecto </w:t>
      </w:r>
      <w:r w:rsidR="008E38CB" w:rsidRPr="004E4C01">
        <w:rPr>
          <w:spacing w:val="-3"/>
        </w:rPr>
        <w:t xml:space="preserve">aun </w:t>
      </w:r>
      <w:r w:rsidR="00997C6D" w:rsidRPr="004E4C01">
        <w:rPr>
          <w:spacing w:val="-3"/>
        </w:rPr>
        <w:t>implementando las medidas de manejo.</w:t>
      </w:r>
    </w:p>
    <w:p w14:paraId="415F2526" w14:textId="77777777" w:rsidR="00997C6D" w:rsidRPr="004E4C01" w:rsidRDefault="00997C6D" w:rsidP="009420F5">
      <w:pPr>
        <w:numPr>
          <w:ilvl w:val="12"/>
          <w:numId w:val="0"/>
        </w:numPr>
        <w:tabs>
          <w:tab w:val="left" w:pos="-2268"/>
        </w:tabs>
        <w:suppressAutoHyphens/>
        <w:rPr>
          <w:spacing w:val="-3"/>
        </w:rPr>
      </w:pPr>
    </w:p>
    <w:p w14:paraId="7A0C35D7" w14:textId="4DA5D38F" w:rsidR="008230A5" w:rsidRPr="004E4C01" w:rsidRDefault="000A1BF1" w:rsidP="009420F5">
      <w:pPr>
        <w:numPr>
          <w:ilvl w:val="12"/>
          <w:numId w:val="0"/>
        </w:numPr>
        <w:tabs>
          <w:tab w:val="left" w:pos="-2268"/>
        </w:tabs>
        <w:suppressAutoHyphens/>
        <w:rPr>
          <w:spacing w:val="-3"/>
        </w:rPr>
      </w:pPr>
      <w:r w:rsidRPr="004E4C01">
        <w:rPr>
          <w:spacing w:val="-3"/>
        </w:rPr>
        <w:t xml:space="preserve">Asimismo, </w:t>
      </w:r>
      <w:r w:rsidR="007D6F96" w:rsidRPr="004E4C01">
        <w:rPr>
          <w:spacing w:val="-3"/>
        </w:rPr>
        <w:t xml:space="preserve">para cada categoría estandarizada de impactos, o para cada programa de manejo, </w:t>
      </w:r>
      <w:r w:rsidR="008E38CB" w:rsidRPr="004E4C01">
        <w:rPr>
          <w:spacing w:val="-3"/>
        </w:rPr>
        <w:t xml:space="preserve">se debe formular un índice que establezca la eficacia del conjunto de </w:t>
      </w:r>
      <w:r w:rsidR="007D6F96" w:rsidRPr="004E4C01">
        <w:rPr>
          <w:spacing w:val="-3"/>
        </w:rPr>
        <w:t xml:space="preserve">sus </w:t>
      </w:r>
      <w:r w:rsidR="008E38CB" w:rsidRPr="004E4C01">
        <w:rPr>
          <w:spacing w:val="-3"/>
        </w:rPr>
        <w:t>medidas de manejo</w:t>
      </w:r>
      <w:r w:rsidR="007D6F96" w:rsidRPr="004E4C01">
        <w:rPr>
          <w:spacing w:val="-3"/>
        </w:rPr>
        <w:t>. La formulación de los índices debe asegurar una adecuada normalización, ponderación y agregación de las variables que los componen</w:t>
      </w:r>
      <w:r w:rsidR="007D6F96" w:rsidRPr="004E4C01">
        <w:rPr>
          <w:rStyle w:val="Refdenotaalpie"/>
          <w:spacing w:val="-3"/>
          <w:lang w:val="es-CO"/>
        </w:rPr>
        <w:footnoteReference w:id="255"/>
      </w:r>
      <w:r w:rsidR="007D6F96" w:rsidRPr="004E4C01">
        <w:rPr>
          <w:spacing w:val="-3"/>
        </w:rPr>
        <w:t xml:space="preserve">; cada índice </w:t>
      </w:r>
      <w:r w:rsidR="008230A5" w:rsidRPr="004E4C01">
        <w:rPr>
          <w:spacing w:val="-3"/>
        </w:rPr>
        <w:t>debe</w:t>
      </w:r>
      <w:r w:rsidR="007D6F96" w:rsidRPr="004E4C01">
        <w:rPr>
          <w:spacing w:val="-3"/>
        </w:rPr>
        <w:t xml:space="preserve"> ser descrito de acuerdo con lo </w:t>
      </w:r>
      <w:r w:rsidR="008230A5" w:rsidRPr="004E4C01">
        <w:rPr>
          <w:spacing w:val="-3"/>
        </w:rPr>
        <w:t>señala</w:t>
      </w:r>
      <w:r w:rsidR="007D6F96" w:rsidRPr="004E4C01">
        <w:rPr>
          <w:spacing w:val="-3"/>
        </w:rPr>
        <w:t xml:space="preserve">do </w:t>
      </w:r>
      <w:r w:rsidR="00481E91" w:rsidRPr="00127BD4">
        <w:rPr>
          <w:spacing w:val="-3"/>
        </w:rPr>
        <w:t xml:space="preserve">más arriba </w:t>
      </w:r>
      <w:r w:rsidR="008230A5" w:rsidRPr="004E4C01">
        <w:rPr>
          <w:spacing w:val="-3"/>
        </w:rPr>
        <w:t xml:space="preserve">en </w:t>
      </w:r>
      <w:r w:rsidR="00481E91" w:rsidRPr="00127BD4">
        <w:rPr>
          <w:spacing w:val="-3"/>
        </w:rPr>
        <w:t xml:space="preserve">este </w:t>
      </w:r>
      <w:r w:rsidR="008230A5" w:rsidRPr="004E4C01">
        <w:rPr>
          <w:spacing w:val="-3"/>
        </w:rPr>
        <w:t xml:space="preserve">numeral </w:t>
      </w:r>
      <w:r w:rsidR="00481E91" w:rsidRPr="00127BD4">
        <w:rPr>
          <w:spacing w:val="-3"/>
        </w:rPr>
        <w:t>(</w:t>
      </w:r>
      <w:r w:rsidR="008230A5" w:rsidRPr="004E4C01">
        <w:rPr>
          <w:spacing w:val="-3"/>
        </w:rPr>
        <w:fldChar w:fldCharType="begin"/>
      </w:r>
      <w:r w:rsidR="008230A5" w:rsidRPr="004E4C01">
        <w:rPr>
          <w:spacing w:val="-3"/>
        </w:rPr>
        <w:instrText xml:space="preserve"> REF _Ref76058128 \r \h </w:instrText>
      </w:r>
      <w:r w:rsidR="006A4128" w:rsidRPr="004E4C01">
        <w:rPr>
          <w:spacing w:val="-3"/>
        </w:rPr>
        <w:instrText xml:space="preserve"> \* MERGEFORMAT </w:instrText>
      </w:r>
      <w:r w:rsidR="008230A5" w:rsidRPr="004E4C01">
        <w:rPr>
          <w:spacing w:val="-3"/>
        </w:rPr>
      </w:r>
      <w:r w:rsidR="008230A5" w:rsidRPr="004E4C01">
        <w:rPr>
          <w:spacing w:val="-3"/>
        </w:rPr>
        <w:fldChar w:fldCharType="separate"/>
      </w:r>
      <w:r w:rsidR="009C4A81">
        <w:rPr>
          <w:spacing w:val="-3"/>
        </w:rPr>
        <w:t>10.2</w:t>
      </w:r>
      <w:r w:rsidR="008230A5" w:rsidRPr="004E4C01">
        <w:rPr>
          <w:spacing w:val="-3"/>
        </w:rPr>
        <w:fldChar w:fldCharType="end"/>
      </w:r>
      <w:r w:rsidR="000270EC">
        <w:rPr>
          <w:spacing w:val="-3"/>
        </w:rPr>
        <w:t>)</w:t>
      </w:r>
      <w:r w:rsidR="008230A5" w:rsidRPr="004E4C01">
        <w:rPr>
          <w:spacing w:val="-3"/>
        </w:rPr>
        <w:t>.</w:t>
      </w:r>
    </w:p>
    <w:p w14:paraId="417A7DF4" w14:textId="30D0BE3D" w:rsidR="008230A5" w:rsidRPr="004E4C01" w:rsidRDefault="008230A5" w:rsidP="009420F5">
      <w:pPr>
        <w:numPr>
          <w:ilvl w:val="12"/>
          <w:numId w:val="0"/>
        </w:numPr>
        <w:tabs>
          <w:tab w:val="left" w:pos="-2268"/>
        </w:tabs>
        <w:suppressAutoHyphens/>
        <w:rPr>
          <w:spacing w:val="-3"/>
        </w:rPr>
      </w:pPr>
    </w:p>
    <w:p w14:paraId="653484D6" w14:textId="4E4B2F56" w:rsidR="00E27186" w:rsidRPr="004E4C01" w:rsidRDefault="00E27186" w:rsidP="00E27186">
      <w:pPr>
        <w:numPr>
          <w:ilvl w:val="12"/>
          <w:numId w:val="0"/>
        </w:numPr>
        <w:tabs>
          <w:tab w:val="left" w:pos="-2268"/>
        </w:tabs>
        <w:suppressAutoHyphens/>
        <w:rPr>
          <w:spacing w:val="-3"/>
        </w:rPr>
      </w:pPr>
      <w:r w:rsidRPr="004E4C01">
        <w:rPr>
          <w:spacing w:val="-3"/>
        </w:rPr>
        <w:lastRenderedPageBreak/>
        <w:t>Para la formulación de los indicadores e índices de eficacia de las medidas de manejo deben emplearse como referencia los indicadores publicados por Minambiente o ANLA para tal fin, incluidos los referidos a la eficacia con énfasis en las acciones de preservación, restauración ecológica y uso sostenible para el plan de compensaciones del medio biótico y el plan de inversión forzosa de no menos del 1%.</w:t>
      </w:r>
    </w:p>
    <w:p w14:paraId="531EF1F1" w14:textId="77777777" w:rsidR="00E27186" w:rsidRPr="004E4C01" w:rsidRDefault="00E27186" w:rsidP="009420F5">
      <w:pPr>
        <w:numPr>
          <w:ilvl w:val="12"/>
          <w:numId w:val="0"/>
        </w:numPr>
        <w:tabs>
          <w:tab w:val="left" w:pos="-2268"/>
        </w:tabs>
        <w:suppressAutoHyphens/>
        <w:rPr>
          <w:spacing w:val="-3"/>
        </w:rPr>
      </w:pPr>
    </w:p>
    <w:p w14:paraId="467077ED" w14:textId="5C9C0AC7" w:rsidR="00945D28" w:rsidRPr="004E4C01" w:rsidRDefault="00BD5296" w:rsidP="00945D28">
      <w:pPr>
        <w:numPr>
          <w:ilvl w:val="12"/>
          <w:numId w:val="0"/>
        </w:numPr>
        <w:tabs>
          <w:tab w:val="left" w:pos="-2268"/>
        </w:tabs>
        <w:suppressAutoHyphens/>
        <w:rPr>
          <w:spacing w:val="-3"/>
        </w:rPr>
      </w:pPr>
      <w:r w:rsidRPr="004E4C01">
        <w:rPr>
          <w:rFonts w:cs="Arial"/>
          <w:spacing w:val="-3"/>
        </w:rPr>
        <w:t>S</w:t>
      </w:r>
      <w:r w:rsidR="00945D28" w:rsidRPr="004E4C01">
        <w:rPr>
          <w:spacing w:val="-3"/>
        </w:rPr>
        <w:t xml:space="preserve">e deben describir las acciones, métodos y procedimientos que se requieren para obtener la información y los datos requeridos para el cálculo de </w:t>
      </w:r>
      <w:r w:rsidR="00DB6334" w:rsidRPr="004E4C01">
        <w:rPr>
          <w:spacing w:val="-3"/>
        </w:rPr>
        <w:t xml:space="preserve">los parámetros, </w:t>
      </w:r>
      <w:r w:rsidR="00945D28" w:rsidRPr="004E4C01">
        <w:rPr>
          <w:spacing w:val="-3"/>
        </w:rPr>
        <w:t xml:space="preserve">indicadores </w:t>
      </w:r>
      <w:r w:rsidR="00DB6334" w:rsidRPr="004E4C01">
        <w:rPr>
          <w:spacing w:val="-3"/>
        </w:rPr>
        <w:t xml:space="preserve">e índices </w:t>
      </w:r>
      <w:r w:rsidR="00945D28" w:rsidRPr="004E4C01">
        <w:rPr>
          <w:spacing w:val="-3"/>
        </w:rPr>
        <w:t>de seguimiento</w:t>
      </w:r>
      <w:r w:rsidR="00DB6334" w:rsidRPr="004E4C01">
        <w:rPr>
          <w:spacing w:val="-3"/>
        </w:rPr>
        <w:t>,</w:t>
      </w:r>
      <w:r w:rsidR="00945D28" w:rsidRPr="004E4C01">
        <w:rPr>
          <w:spacing w:val="-3"/>
        </w:rPr>
        <w:t xml:space="preserve"> </w:t>
      </w:r>
      <w:r w:rsidR="003B6497" w:rsidRPr="004E4C01">
        <w:rPr>
          <w:spacing w:val="-3"/>
        </w:rPr>
        <w:t>de igual modo</w:t>
      </w:r>
      <w:r w:rsidR="00945D28" w:rsidRPr="004E4C01">
        <w:rPr>
          <w:spacing w:val="-3"/>
        </w:rPr>
        <w:t>, se debe</w:t>
      </w:r>
      <w:r w:rsidR="003B6497" w:rsidRPr="004E4C01">
        <w:rPr>
          <w:spacing w:val="-3"/>
        </w:rPr>
        <w:t>n</w:t>
      </w:r>
      <w:r w:rsidR="00945D28" w:rsidRPr="004E4C01">
        <w:rPr>
          <w:spacing w:val="-3"/>
        </w:rPr>
        <w:t xml:space="preserve"> establecer los mecanismos de coordinación entre los actores involucrados en </w:t>
      </w:r>
      <w:r w:rsidR="00DB6334" w:rsidRPr="004E4C01">
        <w:rPr>
          <w:spacing w:val="-3"/>
        </w:rPr>
        <w:t xml:space="preserve">su </w:t>
      </w:r>
      <w:r w:rsidR="00945D28" w:rsidRPr="004E4C01">
        <w:rPr>
          <w:spacing w:val="-3"/>
        </w:rPr>
        <w:t>cálculo</w:t>
      </w:r>
      <w:r w:rsidR="00945D28" w:rsidRPr="004E4C01">
        <w:rPr>
          <w:rFonts w:cs="Arial"/>
          <w:spacing w:val="-3"/>
        </w:rPr>
        <w:t>.</w:t>
      </w:r>
      <w:r w:rsidR="00945D28" w:rsidRPr="004E4C01">
        <w:rPr>
          <w:spacing w:val="-3"/>
        </w:rPr>
        <w:t xml:space="preserve"> </w:t>
      </w:r>
      <w:r w:rsidR="003B6497" w:rsidRPr="004E4C01">
        <w:rPr>
          <w:spacing w:val="-3"/>
        </w:rPr>
        <w:t>Adicionalmente</w:t>
      </w:r>
      <w:r w:rsidR="00945D28" w:rsidRPr="004E4C01">
        <w:rPr>
          <w:spacing w:val="-3"/>
        </w:rPr>
        <w:t xml:space="preserve">, </w:t>
      </w:r>
      <w:r w:rsidR="00945D28" w:rsidRPr="004E4C01">
        <w:rPr>
          <w:rFonts w:cs="Arial"/>
          <w:spacing w:val="-3"/>
        </w:rPr>
        <w:t>se deben</w:t>
      </w:r>
      <w:r w:rsidR="00945D28" w:rsidRPr="004E4C01">
        <w:rPr>
          <w:spacing w:val="-3"/>
        </w:rPr>
        <w:t xml:space="preserve"> establecer las acciones a adelantar en caso de encontrar una baja eficacia de las medidas </w:t>
      </w:r>
      <w:r w:rsidR="003B6497" w:rsidRPr="004E4C01">
        <w:rPr>
          <w:spacing w:val="-3"/>
        </w:rPr>
        <w:t xml:space="preserve">y acciones </w:t>
      </w:r>
      <w:r w:rsidR="00945D28" w:rsidRPr="004E4C01">
        <w:rPr>
          <w:spacing w:val="-3"/>
        </w:rPr>
        <w:t xml:space="preserve">establecidas en los </w:t>
      </w:r>
      <w:r w:rsidR="00945D28" w:rsidRPr="004E4C01">
        <w:rPr>
          <w:rFonts w:cs="Arial"/>
          <w:spacing w:val="-3"/>
        </w:rPr>
        <w:t>planes</w:t>
      </w:r>
      <w:r w:rsidR="00945D28" w:rsidRPr="004E4C01">
        <w:rPr>
          <w:spacing w:val="-3"/>
        </w:rPr>
        <w:t>.</w:t>
      </w:r>
    </w:p>
    <w:p w14:paraId="35229766" w14:textId="77777777" w:rsidR="00945D28" w:rsidRPr="004E4C01" w:rsidRDefault="00945D28">
      <w:pPr>
        <w:numPr>
          <w:ilvl w:val="12"/>
          <w:numId w:val="0"/>
        </w:numPr>
        <w:tabs>
          <w:tab w:val="left" w:pos="-2268"/>
        </w:tabs>
        <w:suppressAutoHyphens/>
        <w:rPr>
          <w:spacing w:val="-3"/>
        </w:rPr>
      </w:pPr>
    </w:p>
    <w:p w14:paraId="543C9589" w14:textId="4B675F6D" w:rsidR="00BD5296" w:rsidRPr="004E4C01" w:rsidRDefault="00BD5296">
      <w:pPr>
        <w:numPr>
          <w:ilvl w:val="12"/>
          <w:numId w:val="0"/>
        </w:numPr>
        <w:tabs>
          <w:tab w:val="left" w:pos="-2268"/>
        </w:tabs>
        <w:suppressAutoHyphens/>
        <w:rPr>
          <w:spacing w:val="-3"/>
        </w:rPr>
      </w:pPr>
      <w:r w:rsidRPr="004E4C01">
        <w:rPr>
          <w:spacing w:val="-3"/>
        </w:rPr>
        <w:t xml:space="preserve">Ya que las medidas </w:t>
      </w:r>
      <w:r w:rsidR="00DC1852" w:rsidRPr="004E4C01">
        <w:rPr>
          <w:spacing w:val="-3"/>
        </w:rPr>
        <w:t xml:space="preserve">y acciones </w:t>
      </w:r>
      <w:r w:rsidRPr="004E4C01">
        <w:rPr>
          <w:spacing w:val="-3"/>
        </w:rPr>
        <w:t xml:space="preserve">en su conjunto tienen como propósito mantener un beneficio ambiental neto por lo menos igual a cero, la verificación de su eficacia debe </w:t>
      </w:r>
      <w:r w:rsidR="00DC1852" w:rsidRPr="004E4C01">
        <w:rPr>
          <w:spacing w:val="-3"/>
        </w:rPr>
        <w:t xml:space="preserve">basarse en </w:t>
      </w:r>
      <w:r w:rsidRPr="004E4C01">
        <w:rPr>
          <w:spacing w:val="-3"/>
        </w:rPr>
        <w:t>la medición de los parámetros</w:t>
      </w:r>
      <w:r w:rsidR="000043B5" w:rsidRPr="004E4C01">
        <w:rPr>
          <w:spacing w:val="-3"/>
        </w:rPr>
        <w:t>, indicadores o índices</w:t>
      </w:r>
      <w:r w:rsidRPr="004E4C01">
        <w:rPr>
          <w:spacing w:val="-3"/>
        </w:rPr>
        <w:t xml:space="preserve"> ambientales que pueden </w:t>
      </w:r>
      <w:r w:rsidR="00DC1852" w:rsidRPr="004E4C01">
        <w:rPr>
          <w:spacing w:val="-3"/>
        </w:rPr>
        <w:t xml:space="preserve">ser alterados </w:t>
      </w:r>
      <w:r w:rsidRPr="004E4C01">
        <w:rPr>
          <w:spacing w:val="-3"/>
        </w:rPr>
        <w:t>por la ejecución del proyecto, obra o actividad</w:t>
      </w:r>
      <w:r w:rsidR="00DC1852" w:rsidRPr="004E4C01">
        <w:rPr>
          <w:spacing w:val="-3"/>
        </w:rPr>
        <w:t xml:space="preserve">, es decir, se fundamenta en </w:t>
      </w:r>
      <w:r w:rsidRPr="004E4C01">
        <w:rPr>
          <w:spacing w:val="-3"/>
        </w:rPr>
        <w:t>la verificación real de su ef</w:t>
      </w:r>
      <w:r w:rsidR="00880BFB" w:rsidRPr="004E4C01">
        <w:rPr>
          <w:spacing w:val="-3"/>
        </w:rPr>
        <w:t>icacia</w:t>
      </w:r>
      <w:r w:rsidRPr="004E4C01">
        <w:rPr>
          <w:spacing w:val="-3"/>
        </w:rPr>
        <w:t xml:space="preserve"> y no </w:t>
      </w:r>
      <w:r w:rsidR="00DC1852" w:rsidRPr="004E4C01">
        <w:rPr>
          <w:spacing w:val="-3"/>
        </w:rPr>
        <w:t xml:space="preserve">en la </w:t>
      </w:r>
      <w:r w:rsidRPr="004E4C01">
        <w:rPr>
          <w:spacing w:val="-3"/>
        </w:rPr>
        <w:t>medi</w:t>
      </w:r>
      <w:r w:rsidR="00DC1852" w:rsidRPr="004E4C01">
        <w:rPr>
          <w:spacing w:val="-3"/>
        </w:rPr>
        <w:t xml:space="preserve">ción </w:t>
      </w:r>
      <w:r w:rsidRPr="004E4C01">
        <w:rPr>
          <w:spacing w:val="-3"/>
        </w:rPr>
        <w:t xml:space="preserve">de </w:t>
      </w:r>
      <w:r w:rsidR="00DC1852" w:rsidRPr="004E4C01">
        <w:rPr>
          <w:spacing w:val="-3"/>
        </w:rPr>
        <w:t xml:space="preserve">la </w:t>
      </w:r>
      <w:r w:rsidRPr="004E4C01">
        <w:rPr>
          <w:spacing w:val="-3"/>
        </w:rPr>
        <w:t>gestión o implementación de actividades.</w:t>
      </w:r>
    </w:p>
    <w:p w14:paraId="1DDBDF61" w14:textId="77777777" w:rsidR="000665CF" w:rsidRPr="004E4C01" w:rsidRDefault="000665CF" w:rsidP="007C2AD1">
      <w:pPr>
        <w:numPr>
          <w:ilvl w:val="12"/>
          <w:numId w:val="0"/>
        </w:numPr>
        <w:tabs>
          <w:tab w:val="left" w:pos="-2268"/>
        </w:tabs>
        <w:suppressAutoHyphens/>
        <w:rPr>
          <w:spacing w:val="-3"/>
        </w:rPr>
      </w:pPr>
    </w:p>
    <w:p w14:paraId="28EA5D47" w14:textId="1B2FA736" w:rsidR="00076F22" w:rsidRPr="004E4C01" w:rsidRDefault="003B2892" w:rsidP="009420F5">
      <w:pPr>
        <w:pStyle w:val="Ttulo2"/>
        <w:tabs>
          <w:tab w:val="clear" w:pos="0"/>
          <w:tab w:val="num" w:pos="851"/>
        </w:tabs>
        <w:ind w:left="851" w:hanging="851"/>
        <w:rPr>
          <w:lang w:val="es-CO"/>
        </w:rPr>
      </w:pPr>
      <w:bookmarkStart w:id="11384" w:name="_Toc79443350"/>
      <w:bookmarkStart w:id="11385" w:name="_Toc42839710"/>
      <w:bookmarkStart w:id="11386" w:name="_Toc230879714"/>
      <w:bookmarkEnd w:id="11381"/>
      <w:bookmarkEnd w:id="11384"/>
      <w:r w:rsidRPr="004E4C01">
        <w:rPr>
          <w:lang w:val="es-CO"/>
        </w:rPr>
        <w:t xml:space="preserve">DIMENSIÓN AMBIENTAL DEL </w:t>
      </w:r>
      <w:bookmarkStart w:id="11387" w:name="_Toc40272800"/>
      <w:bookmarkStart w:id="11388" w:name="_Toc387312785"/>
      <w:bookmarkStart w:id="11389" w:name="_Toc405366877"/>
      <w:bookmarkStart w:id="11390" w:name="_Toc405372425"/>
      <w:bookmarkStart w:id="11391" w:name="_Toc412812790"/>
      <w:bookmarkStart w:id="11392" w:name="_Toc437936066"/>
      <w:r w:rsidR="003E1ED4" w:rsidRPr="004E4C01">
        <w:rPr>
          <w:lang w:val="es-CO"/>
        </w:rPr>
        <w:t xml:space="preserve">PLAN DE </w:t>
      </w:r>
      <w:bookmarkEnd w:id="11387"/>
      <w:bookmarkEnd w:id="11388"/>
      <w:bookmarkEnd w:id="11389"/>
      <w:bookmarkEnd w:id="11390"/>
      <w:bookmarkEnd w:id="11391"/>
      <w:bookmarkEnd w:id="11392"/>
      <w:r w:rsidRPr="004E4C01">
        <w:rPr>
          <w:lang w:val="es-CO"/>
        </w:rPr>
        <w:t>GESTIÓN DEL RIESGO</w:t>
      </w:r>
      <w:bookmarkEnd w:id="11385"/>
      <w:bookmarkEnd w:id="11386"/>
    </w:p>
    <w:p w14:paraId="4A285864" w14:textId="77777777" w:rsidR="0073596B" w:rsidRPr="004E4C01" w:rsidRDefault="0073596B">
      <w:pPr>
        <w:numPr>
          <w:ilvl w:val="12"/>
          <w:numId w:val="0"/>
        </w:numPr>
        <w:tabs>
          <w:tab w:val="left" w:pos="-2268"/>
        </w:tabs>
        <w:suppressAutoHyphens/>
        <w:rPr>
          <w:spacing w:val="-3"/>
        </w:rPr>
      </w:pPr>
    </w:p>
    <w:p w14:paraId="70756D19" w14:textId="4EB791C8" w:rsidR="005E4495" w:rsidRPr="004E4C01" w:rsidRDefault="00552056" w:rsidP="00EE086D">
      <w:pPr>
        <w:rPr>
          <w:rFonts w:cs="Arial"/>
          <w:szCs w:val="20"/>
        </w:rPr>
      </w:pPr>
      <w:bookmarkStart w:id="11393" w:name="_Toc385865529"/>
      <w:bookmarkEnd w:id="11393"/>
      <w:r w:rsidRPr="004E4C01">
        <w:t>Se debe f</w:t>
      </w:r>
      <w:r w:rsidR="00076F22" w:rsidRPr="004E4C01">
        <w:t xml:space="preserve">ormular y presentar </w:t>
      </w:r>
      <w:r w:rsidR="003B2892" w:rsidRPr="004E4C01">
        <w:rPr>
          <w:rFonts w:cs="Arial"/>
        </w:rPr>
        <w:t xml:space="preserve">la dimensión ambiental del Plan de Gestión del Riesgo </w:t>
      </w:r>
      <w:r w:rsidR="00076F22" w:rsidRPr="004E4C01">
        <w:rPr>
          <w:rFonts w:cs="Arial"/>
          <w:szCs w:val="20"/>
        </w:rPr>
        <w:t>tomando como referencia</w:t>
      </w:r>
      <w:r w:rsidR="00076F22" w:rsidRPr="004E4C01">
        <w:t xml:space="preserve"> l</w:t>
      </w:r>
      <w:r w:rsidR="003B2892" w:rsidRPr="004E4C01">
        <w:t xml:space="preserve">os lineamientos </w:t>
      </w:r>
      <w:r w:rsidR="00076F22" w:rsidRPr="004E4C01">
        <w:t>previst</w:t>
      </w:r>
      <w:r w:rsidR="003B2892" w:rsidRPr="004E4C01">
        <w:t>o</w:t>
      </w:r>
      <w:r w:rsidR="00076F22" w:rsidRPr="004E4C01">
        <w:t>s en la Ley 1523 de 2012 (Política nacional de gestión del riesgo de desastres)</w:t>
      </w:r>
      <w:r w:rsidRPr="004E4C01">
        <w:t>,</w:t>
      </w:r>
      <w:r w:rsidR="00076F22" w:rsidRPr="004E4C01">
        <w:t xml:space="preserve"> </w:t>
      </w:r>
      <w:r w:rsidRPr="004E4C01">
        <w:t xml:space="preserve">en </w:t>
      </w:r>
      <w:r w:rsidR="00076F22" w:rsidRPr="004E4C01">
        <w:rPr>
          <w:rFonts w:cs="Arial"/>
          <w:szCs w:val="20"/>
        </w:rPr>
        <w:t xml:space="preserve">el Decreto 2157 de 2017 y </w:t>
      </w:r>
      <w:r w:rsidRPr="004E4C01">
        <w:rPr>
          <w:rFonts w:cs="Arial"/>
          <w:szCs w:val="20"/>
        </w:rPr>
        <w:t xml:space="preserve">en </w:t>
      </w:r>
      <w:r w:rsidR="00076F22" w:rsidRPr="004E4C01">
        <w:t xml:space="preserve">la normativa sectorial específica, o </w:t>
      </w:r>
      <w:r w:rsidRPr="004E4C01">
        <w:t xml:space="preserve">en </w:t>
      </w:r>
      <w:r w:rsidR="00076F22" w:rsidRPr="004E4C01">
        <w:t>aquella que la modifique</w:t>
      </w:r>
      <w:r w:rsidR="00076F22" w:rsidRPr="004E4C01">
        <w:rPr>
          <w:rFonts w:cs="Arial"/>
          <w:szCs w:val="20"/>
        </w:rPr>
        <w:t xml:space="preserve"> o</w:t>
      </w:r>
      <w:r w:rsidR="00076F22" w:rsidRPr="004E4C01">
        <w:t xml:space="preserve"> sustituya</w:t>
      </w:r>
      <w:r w:rsidR="009E7800">
        <w:t xml:space="preserve">; </w:t>
      </w:r>
      <w:r w:rsidR="00086772">
        <w:t xml:space="preserve">asimismo, </w:t>
      </w:r>
      <w:r w:rsidR="004C5B73" w:rsidRPr="004C5B73">
        <w:t xml:space="preserve">la elaboración de esta dimensión </w:t>
      </w:r>
      <w:r w:rsidR="00086772">
        <w:t xml:space="preserve">debe </w:t>
      </w:r>
      <w:r w:rsidR="00E93AB6">
        <w:t xml:space="preserve">considerar </w:t>
      </w:r>
      <w:r w:rsidR="005E4495" w:rsidRPr="00533287">
        <w:rPr>
          <w:rFonts w:cs="Arial"/>
          <w:szCs w:val="20"/>
        </w:rPr>
        <w:t xml:space="preserve">el enfoque de derechos </w:t>
      </w:r>
      <w:r w:rsidR="00253865">
        <w:rPr>
          <w:rFonts w:cs="Arial"/>
          <w:szCs w:val="20"/>
        </w:rPr>
        <w:t>humanos</w:t>
      </w:r>
      <w:r w:rsidR="005E4495" w:rsidRPr="00533287">
        <w:rPr>
          <w:rFonts w:cs="Arial"/>
          <w:szCs w:val="20"/>
        </w:rPr>
        <w:t>.</w:t>
      </w:r>
    </w:p>
    <w:p w14:paraId="7CE82236" w14:textId="77777777" w:rsidR="005E4495" w:rsidRPr="004E4C01" w:rsidRDefault="005E4495" w:rsidP="00C86DA5"/>
    <w:p w14:paraId="71DEE0F4" w14:textId="7360805B" w:rsidR="00076F22" w:rsidRPr="004E4C01" w:rsidRDefault="00076F22" w:rsidP="00C86DA5">
      <w:pPr>
        <w:rPr>
          <w:rFonts w:cs="Arial"/>
          <w:szCs w:val="20"/>
        </w:rPr>
      </w:pPr>
      <w:r w:rsidRPr="004E4C01">
        <w:t>El análisis y valoración de los riesgos</w:t>
      </w:r>
      <w:r w:rsidR="003B2892" w:rsidRPr="004E4C01">
        <w:t xml:space="preserve"> sobre el proyecto</w:t>
      </w:r>
      <w:r w:rsidR="0067697D" w:rsidRPr="004E4C01">
        <w:t>, obra o actividad</w:t>
      </w:r>
      <w:r w:rsidR="003B2892" w:rsidRPr="004E4C01">
        <w:t xml:space="preserve"> y los </w:t>
      </w:r>
      <w:r w:rsidR="003B2892" w:rsidRPr="004E4C01">
        <w:rPr>
          <w:rFonts w:eastAsia="Arial" w:cs="Arial"/>
        </w:rPr>
        <w:t xml:space="preserve">elementos </w:t>
      </w:r>
      <w:r w:rsidR="00C5649C" w:rsidRPr="004E4C01">
        <w:rPr>
          <w:rFonts w:eastAsia="Arial" w:cs="Arial"/>
        </w:rPr>
        <w:t>expuestos de los medios abiótico, biótico y socioeconómico,</w:t>
      </w:r>
      <w:r w:rsidR="003B2892" w:rsidRPr="004E4C01">
        <w:rPr>
          <w:rFonts w:eastAsia="Arial" w:cs="Arial"/>
        </w:rPr>
        <w:t xml:space="preserve"> los ecosistemas y sus servicios</w:t>
      </w:r>
      <w:r w:rsidRPr="004E4C01">
        <w:t xml:space="preserve">, constituye la base para </w:t>
      </w:r>
      <w:r w:rsidRPr="004E4C01">
        <w:rPr>
          <w:rFonts w:cs="Arial"/>
          <w:szCs w:val="20"/>
        </w:rPr>
        <w:t xml:space="preserve">la formulación </w:t>
      </w:r>
      <w:r w:rsidRPr="004E4C01">
        <w:t>e implementación de</w:t>
      </w:r>
      <w:r w:rsidR="003B2892" w:rsidRPr="004E4C01">
        <w:t>l conocimiento y monitoreo del riesgo, las</w:t>
      </w:r>
      <w:r w:rsidRPr="004E4C01">
        <w:t xml:space="preserve"> medidas de reducción del riesgo y </w:t>
      </w:r>
      <w:r w:rsidRPr="004E4C01">
        <w:rPr>
          <w:rFonts w:cs="Arial"/>
          <w:szCs w:val="20"/>
        </w:rPr>
        <w:t>el</w:t>
      </w:r>
      <w:r w:rsidRPr="004E4C01">
        <w:t xml:space="preserve"> </w:t>
      </w:r>
      <w:r w:rsidR="003B2892" w:rsidRPr="004E4C01">
        <w:t xml:space="preserve">manejo </w:t>
      </w:r>
      <w:r w:rsidRPr="004E4C01">
        <w:t xml:space="preserve">de </w:t>
      </w:r>
      <w:r w:rsidR="003B2892" w:rsidRPr="004E4C01">
        <w:t xml:space="preserve">las </w:t>
      </w:r>
      <w:r w:rsidR="009F6030" w:rsidRPr="004E4C01">
        <w:t xml:space="preserve">potenciales </w:t>
      </w:r>
      <w:r w:rsidRPr="004E4C01">
        <w:rPr>
          <w:rFonts w:cs="Arial"/>
          <w:szCs w:val="20"/>
        </w:rPr>
        <w:t>contingencias</w:t>
      </w:r>
      <w:r w:rsidRPr="004E4C01">
        <w:t xml:space="preserve"> </w:t>
      </w:r>
      <w:r w:rsidR="003B2892" w:rsidRPr="004E4C01">
        <w:t xml:space="preserve">mediante la preparación y ejecución para la respuesta, así como </w:t>
      </w:r>
      <w:r w:rsidR="003B2892" w:rsidRPr="004E4C01">
        <w:rPr>
          <w:rFonts w:cs="Arial"/>
        </w:rPr>
        <w:t>la preparación y ejecución de la recuperación ambiental</w:t>
      </w:r>
      <w:r w:rsidRPr="004E4C01">
        <w:rPr>
          <w:rFonts w:cs="Arial"/>
          <w:szCs w:val="20"/>
        </w:rPr>
        <w:t>.</w:t>
      </w:r>
    </w:p>
    <w:p w14:paraId="7D333AC6" w14:textId="3162AB2D" w:rsidR="00E2693F" w:rsidRPr="004E4C01" w:rsidRDefault="00E2693F" w:rsidP="00C86DA5">
      <w:pPr>
        <w:rPr>
          <w:rFonts w:cs="Arial"/>
          <w:szCs w:val="20"/>
        </w:rPr>
      </w:pPr>
    </w:p>
    <w:p w14:paraId="6B28BD6C" w14:textId="6B3AF993" w:rsidR="00076F22" w:rsidRPr="004E4C01" w:rsidRDefault="00D101FE" w:rsidP="00C86DA5">
      <w:r w:rsidRPr="004E4C01">
        <w:t xml:space="preserve">La dimensión ambiental del plan de gestión del riesgo </w:t>
      </w:r>
      <w:r w:rsidR="00076F22" w:rsidRPr="004E4C01">
        <w:t>debe contemplar como mínimo lo siguiente:</w:t>
      </w:r>
    </w:p>
    <w:p w14:paraId="1AC949EA" w14:textId="77777777" w:rsidR="000D4B56" w:rsidRPr="004E4C01" w:rsidRDefault="000D4B56" w:rsidP="00C86DA5"/>
    <w:p w14:paraId="4DA0EC07" w14:textId="4714E8DE" w:rsidR="00076F22" w:rsidRPr="00466E26" w:rsidRDefault="00076F22" w:rsidP="000A1E20">
      <w:pPr>
        <w:pStyle w:val="Ttulo3"/>
      </w:pPr>
      <w:bookmarkStart w:id="11394" w:name="_Ref175320118"/>
      <w:bookmarkStart w:id="11395" w:name="_Toc230879715"/>
      <w:r w:rsidRPr="00466E26">
        <w:t>Conocimiento del riesgo</w:t>
      </w:r>
      <w:bookmarkEnd w:id="11394"/>
      <w:bookmarkEnd w:id="11395"/>
    </w:p>
    <w:p w14:paraId="318BAD19" w14:textId="77777777" w:rsidR="00076F22" w:rsidRPr="004E4C01" w:rsidRDefault="00076F22" w:rsidP="00C86DA5"/>
    <w:p w14:paraId="567C68C7" w14:textId="396AF065" w:rsidR="00076F22" w:rsidRPr="004E4C01" w:rsidRDefault="00707D9E" w:rsidP="00C86DA5">
      <w:r w:rsidRPr="004E4C01">
        <w:t xml:space="preserve">Como parte del proceso de conocimiento del riesgo es necesario que se desarrolle la identificación, caracterización, análisis y valoración de los escenarios de riesgo que se deriven de amenazas de origen exógeno y endógeno. La valoración debe abordar la vulnerabilidad de los elementos expuestos de los medios abiótico, biótico y </w:t>
      </w:r>
      <w:r w:rsidRPr="004E4C01">
        <w:lastRenderedPageBreak/>
        <w:t>socioeconómico, los ecosistemas y sus servicios, así como las probables afectaciones al proyecto, partiendo de la información consignada en la caracterización ambiental y en la descripción del proyecto</w:t>
      </w:r>
      <w:r w:rsidR="00076F22" w:rsidRPr="004E4C01">
        <w:rPr>
          <w:rFonts w:cs="Arial"/>
          <w:szCs w:val="20"/>
        </w:rPr>
        <w:t>.</w:t>
      </w:r>
    </w:p>
    <w:p w14:paraId="7DCC8C2E" w14:textId="075E6371" w:rsidR="00076F22" w:rsidRPr="004E4C01" w:rsidRDefault="00076F22">
      <w:pPr>
        <w:rPr>
          <w:rFonts w:cs="Arial"/>
          <w:szCs w:val="20"/>
        </w:rPr>
      </w:pPr>
    </w:p>
    <w:p w14:paraId="2B2AC483" w14:textId="76C4A59F" w:rsidR="00076F22" w:rsidRPr="004E4C01" w:rsidRDefault="00D16859">
      <w:pPr>
        <w:rPr>
          <w:rFonts w:cs="Arial"/>
          <w:szCs w:val="20"/>
        </w:rPr>
      </w:pPr>
      <w:r w:rsidRPr="004E4C01">
        <w:rPr>
          <w:rFonts w:cs="Arial"/>
          <w:szCs w:val="20"/>
        </w:rPr>
        <w:t>Para ello s</w:t>
      </w:r>
      <w:r w:rsidR="00AE6E18" w:rsidRPr="004E4C01">
        <w:rPr>
          <w:rFonts w:cs="Arial"/>
          <w:szCs w:val="20"/>
        </w:rPr>
        <w:t>e debe desarrollar lo establecido en los siguientes literales</w:t>
      </w:r>
      <w:r w:rsidR="00076F22" w:rsidRPr="004E4C01">
        <w:rPr>
          <w:rFonts w:cs="Arial"/>
          <w:szCs w:val="20"/>
        </w:rPr>
        <w:t>:</w:t>
      </w:r>
    </w:p>
    <w:p w14:paraId="22C19C8D" w14:textId="77777777" w:rsidR="00076F22" w:rsidRPr="004E4C01" w:rsidRDefault="00076F22" w:rsidP="00C86DA5"/>
    <w:p w14:paraId="789F8138" w14:textId="7860065F" w:rsidR="00076F22" w:rsidRPr="004E4C01" w:rsidRDefault="00076F22" w:rsidP="006052B3">
      <w:pPr>
        <w:numPr>
          <w:ilvl w:val="0"/>
          <w:numId w:val="586"/>
        </w:numPr>
        <w:tabs>
          <w:tab w:val="left" w:pos="-2268"/>
        </w:tabs>
        <w:suppressAutoHyphens/>
        <w:ind w:left="567" w:hanging="567"/>
        <w:rPr>
          <w:b/>
          <w:i/>
          <w:spacing w:val="-3"/>
          <w:u w:val="single"/>
        </w:rPr>
      </w:pPr>
      <w:r w:rsidRPr="004E4C01">
        <w:rPr>
          <w:b/>
          <w:i/>
          <w:spacing w:val="-3"/>
          <w:u w:val="single"/>
        </w:rPr>
        <w:t>Identificación, caracterización, análisis y evaluación de amenaz</w:t>
      </w:r>
      <w:r w:rsidR="00D42FBC" w:rsidRPr="004E4C01">
        <w:rPr>
          <w:b/>
          <w:i/>
          <w:spacing w:val="-3"/>
          <w:u w:val="single"/>
        </w:rPr>
        <w:t>a</w:t>
      </w:r>
      <w:r w:rsidRPr="004E4C01">
        <w:rPr>
          <w:b/>
          <w:i/>
          <w:spacing w:val="-3"/>
          <w:u w:val="single"/>
        </w:rPr>
        <w:t>s</w:t>
      </w:r>
    </w:p>
    <w:p w14:paraId="155675DC" w14:textId="77777777" w:rsidR="003665F5" w:rsidRPr="004E4C01" w:rsidRDefault="003665F5">
      <w:pPr>
        <w:numPr>
          <w:ilvl w:val="12"/>
          <w:numId w:val="0"/>
        </w:numPr>
        <w:tabs>
          <w:tab w:val="left" w:pos="-2268"/>
        </w:tabs>
        <w:suppressAutoHyphens/>
        <w:rPr>
          <w:rFonts w:cs="Arial"/>
          <w:spacing w:val="-3"/>
        </w:rPr>
      </w:pPr>
    </w:p>
    <w:p w14:paraId="5C78A863" w14:textId="5695215D" w:rsidR="00076F22" w:rsidRPr="004E4C01" w:rsidRDefault="00076F22">
      <w:pPr>
        <w:rPr>
          <w:rFonts w:eastAsia="Arial" w:cs="Arial"/>
        </w:rPr>
      </w:pPr>
      <w:r w:rsidRPr="004E4C01">
        <w:t xml:space="preserve">Se deben identificar las amenazas </w:t>
      </w:r>
      <w:r w:rsidR="00D42FBC" w:rsidRPr="004E4C01">
        <w:t xml:space="preserve">de origen exógeno y </w:t>
      </w:r>
      <w:r w:rsidRPr="004E4C01">
        <w:t>endógen</w:t>
      </w:r>
      <w:r w:rsidR="00D42FBC" w:rsidRPr="004E4C01">
        <w:t>o</w:t>
      </w:r>
      <w:r w:rsidRPr="004E4C01">
        <w:t xml:space="preserve"> </w:t>
      </w:r>
      <w:r w:rsidR="005D4442" w:rsidRPr="004E4C01">
        <w:t>para</w:t>
      </w:r>
      <w:r w:rsidR="00445A18" w:rsidRPr="004E4C01">
        <w:t xml:space="preserve"> </w:t>
      </w:r>
      <w:r w:rsidRPr="004E4C01">
        <w:t xml:space="preserve">cada una de las </w:t>
      </w:r>
      <w:r w:rsidR="00D53562">
        <w:rPr>
          <w:spacing w:val="-3"/>
        </w:rPr>
        <w:t>etapas</w:t>
      </w:r>
      <w:r w:rsidR="00D53562" w:rsidRPr="004E4C01" w:rsidDel="00D53562">
        <w:t xml:space="preserve"> </w:t>
      </w:r>
      <w:r w:rsidRPr="004E4C01">
        <w:t>del proyecto</w:t>
      </w:r>
      <w:r w:rsidR="00311679" w:rsidRPr="004E4C01">
        <w:t>,</w:t>
      </w:r>
      <w:r w:rsidRPr="004E4C01">
        <w:t xml:space="preserve"> </w:t>
      </w:r>
      <w:r w:rsidRPr="004E4C01">
        <w:rPr>
          <w:rFonts w:cs="Arial"/>
        </w:rPr>
        <w:t>obra o actividad</w:t>
      </w:r>
      <w:r w:rsidRPr="004E4C01">
        <w:t xml:space="preserve"> que puedan generar </w:t>
      </w:r>
      <w:r w:rsidR="00D42FBC" w:rsidRPr="004E4C01">
        <w:t xml:space="preserve">probable </w:t>
      </w:r>
      <w:r w:rsidRPr="004E4C01">
        <w:rPr>
          <w:rFonts w:cs="Arial"/>
        </w:rPr>
        <w:t>afectación</w:t>
      </w:r>
      <w:r w:rsidRPr="004E4C01">
        <w:t xml:space="preserve"> sobre los elementos expuestos.</w:t>
      </w:r>
      <w:r w:rsidR="006F6FDA" w:rsidRPr="004E4C01">
        <w:rPr>
          <w:rFonts w:eastAsia="Arial" w:cs="Arial"/>
        </w:rPr>
        <w:t xml:space="preserve"> </w:t>
      </w:r>
      <w:r w:rsidR="001E67A2" w:rsidRPr="004E4C01">
        <w:rPr>
          <w:rFonts w:eastAsia="Arial" w:cs="Arial"/>
        </w:rPr>
        <w:t xml:space="preserve">Se </w:t>
      </w:r>
      <w:r w:rsidR="006F6FDA" w:rsidRPr="004E4C01">
        <w:rPr>
          <w:rFonts w:eastAsia="Arial" w:cs="Arial"/>
        </w:rPr>
        <w:t>debe</w:t>
      </w:r>
      <w:r w:rsidR="001E67A2" w:rsidRPr="004E4C01">
        <w:rPr>
          <w:rFonts w:eastAsia="Arial" w:cs="Arial"/>
        </w:rPr>
        <w:t>n</w:t>
      </w:r>
      <w:r w:rsidR="006F6FDA" w:rsidRPr="004E4C01">
        <w:rPr>
          <w:rFonts w:eastAsia="Arial" w:cs="Arial"/>
        </w:rPr>
        <w:t xml:space="preserve"> </w:t>
      </w:r>
      <w:r w:rsidRPr="004E4C01">
        <w:rPr>
          <w:rFonts w:eastAsia="Arial" w:cs="Arial"/>
        </w:rPr>
        <w:t>considerar</w:t>
      </w:r>
      <w:r w:rsidR="006F6FDA" w:rsidRPr="004E4C01">
        <w:rPr>
          <w:rFonts w:eastAsia="Arial" w:cs="Arial"/>
        </w:rPr>
        <w:t xml:space="preserve"> </w:t>
      </w:r>
      <w:r w:rsidR="005D4442" w:rsidRPr="004E4C01">
        <w:rPr>
          <w:rFonts w:eastAsia="Arial" w:cs="Arial"/>
        </w:rPr>
        <w:t>las</w:t>
      </w:r>
      <w:r w:rsidR="006F6FDA" w:rsidRPr="004E4C01">
        <w:rPr>
          <w:rFonts w:eastAsia="Arial" w:cs="Arial"/>
        </w:rPr>
        <w:t xml:space="preserve"> siguiente</w:t>
      </w:r>
      <w:r w:rsidR="001E67A2" w:rsidRPr="004E4C01">
        <w:rPr>
          <w:rFonts w:eastAsia="Arial" w:cs="Arial"/>
        </w:rPr>
        <w:t>s amenazas</w:t>
      </w:r>
      <w:r w:rsidRPr="004E4C01">
        <w:rPr>
          <w:rFonts w:eastAsia="Arial" w:cs="Arial"/>
        </w:rPr>
        <w:t>:</w:t>
      </w:r>
    </w:p>
    <w:p w14:paraId="1BE0B350" w14:textId="77777777" w:rsidR="00076F22" w:rsidRPr="004E4C01" w:rsidRDefault="00076F22">
      <w:pPr>
        <w:rPr>
          <w:rFonts w:eastAsia="Arial" w:cs="Arial"/>
        </w:rPr>
      </w:pPr>
    </w:p>
    <w:p w14:paraId="65EE1D36" w14:textId="3B151DDA" w:rsidR="005D4442" w:rsidRPr="00127BD4" w:rsidRDefault="00F7121B" w:rsidP="008A4FE9">
      <w:pPr>
        <w:pStyle w:val="Prrafodelista"/>
        <w:numPr>
          <w:ilvl w:val="0"/>
          <w:numId w:val="47"/>
        </w:numPr>
        <w:ind w:left="567" w:hanging="567"/>
        <w:contextualSpacing/>
        <w:rPr>
          <w:rFonts w:cs="Arial"/>
          <w:lang w:val="es-CO"/>
        </w:rPr>
      </w:pPr>
      <w:r w:rsidRPr="004E4C01">
        <w:rPr>
          <w:rFonts w:cs="Arial"/>
          <w:lang w:val="es-CO"/>
        </w:rPr>
        <w:t>Amenazas de origen natural y socio natural, considerando aquellas que se exacerban por la variabilidad climática y que pueden generar probables afectaciones sobre el proyecto, obra o actividad, de acuerdo con el contexto del territorio. Para ello, se debe emplear la información de caracterización ambiental de los medios abiótico, biótico y socioeconómico, así como información secundaria de fuentes oficiales</w:t>
      </w:r>
      <w:r w:rsidR="005D4442" w:rsidRPr="004E4C01">
        <w:rPr>
          <w:rFonts w:cs="Arial"/>
          <w:lang w:val="es-CO"/>
        </w:rPr>
        <w:t>.</w:t>
      </w:r>
    </w:p>
    <w:p w14:paraId="1E155A31" w14:textId="77777777" w:rsidR="003665F5" w:rsidRPr="004E4C01" w:rsidRDefault="003665F5" w:rsidP="008A4FE9">
      <w:pPr>
        <w:contextualSpacing/>
        <w:rPr>
          <w:rFonts w:eastAsiaTheme="minorEastAsia" w:cs="Arial"/>
        </w:rPr>
      </w:pPr>
    </w:p>
    <w:p w14:paraId="7129222C" w14:textId="1F89EBEB" w:rsidR="00076F22" w:rsidRPr="004E4C01" w:rsidRDefault="005D4442">
      <w:pPr>
        <w:pStyle w:val="Prrafodelista"/>
        <w:numPr>
          <w:ilvl w:val="0"/>
          <w:numId w:val="47"/>
        </w:numPr>
        <w:ind w:left="567" w:hanging="567"/>
        <w:contextualSpacing/>
        <w:rPr>
          <w:rFonts w:eastAsiaTheme="minorEastAsia" w:cs="Arial"/>
          <w:lang w:val="es-CO"/>
        </w:rPr>
      </w:pPr>
      <w:r w:rsidRPr="004E4C01">
        <w:rPr>
          <w:rFonts w:cs="Arial"/>
          <w:lang w:val="es-CO"/>
        </w:rPr>
        <w:t>A</w:t>
      </w:r>
      <w:r w:rsidR="00076F22" w:rsidRPr="004E4C01">
        <w:rPr>
          <w:rFonts w:cs="Arial"/>
          <w:lang w:val="es-CO"/>
        </w:rPr>
        <w:t>menaza</w:t>
      </w:r>
      <w:r w:rsidRPr="004E4C01">
        <w:rPr>
          <w:rFonts w:cs="Arial"/>
          <w:lang w:val="es-CO"/>
        </w:rPr>
        <w:t>s</w:t>
      </w:r>
      <w:r w:rsidR="00076F22" w:rsidRPr="004E4C01">
        <w:rPr>
          <w:rFonts w:cs="Arial"/>
          <w:lang w:val="es-CO"/>
        </w:rPr>
        <w:t xml:space="preserve"> de origen antrópico intencional o no intencional que </w:t>
      </w:r>
      <w:r w:rsidRPr="004E4C01">
        <w:rPr>
          <w:rFonts w:cs="Arial"/>
          <w:lang w:val="es-CO"/>
        </w:rPr>
        <w:t>puedan generar probables afectaciones sobre e</w:t>
      </w:r>
      <w:r w:rsidR="00076F22" w:rsidRPr="004E4C01">
        <w:rPr>
          <w:rFonts w:cs="Arial"/>
          <w:lang w:val="es-CO"/>
        </w:rPr>
        <w:t>l proyecto</w:t>
      </w:r>
      <w:r w:rsidR="00311679" w:rsidRPr="004E4C01">
        <w:rPr>
          <w:spacing w:val="-3"/>
          <w:lang w:val="es-CO"/>
        </w:rPr>
        <w:t>, obra o actividad</w:t>
      </w:r>
      <w:r w:rsidRPr="004E4C01">
        <w:rPr>
          <w:rFonts w:cs="Arial"/>
          <w:lang w:val="es-CO"/>
        </w:rPr>
        <w:t>, de acuerdo con el contexto regional del territorio</w:t>
      </w:r>
      <w:r w:rsidR="00076F22" w:rsidRPr="004E4C01">
        <w:rPr>
          <w:rFonts w:cs="Arial"/>
          <w:lang w:val="es-CO"/>
        </w:rPr>
        <w:t>.</w:t>
      </w:r>
    </w:p>
    <w:p w14:paraId="76591A61" w14:textId="77777777" w:rsidR="003665F5" w:rsidRPr="004E4C01" w:rsidRDefault="003665F5" w:rsidP="009420F5">
      <w:pPr>
        <w:rPr>
          <w:rFonts w:eastAsiaTheme="minorEastAsia" w:cs="Arial"/>
        </w:rPr>
      </w:pPr>
    </w:p>
    <w:p w14:paraId="5210F675" w14:textId="58CB2705" w:rsidR="00076F22" w:rsidRPr="004E4C01" w:rsidRDefault="005D4442" w:rsidP="00C86DA5">
      <w:pPr>
        <w:pStyle w:val="Prrafodelista"/>
        <w:numPr>
          <w:ilvl w:val="0"/>
          <w:numId w:val="47"/>
        </w:numPr>
        <w:ind w:left="567" w:hanging="567"/>
        <w:contextualSpacing/>
        <w:rPr>
          <w:rFonts w:eastAsiaTheme="minorEastAsia"/>
          <w:lang w:val="es-CO"/>
        </w:rPr>
      </w:pPr>
      <w:r w:rsidRPr="004E4C01">
        <w:rPr>
          <w:rFonts w:cs="Arial"/>
          <w:lang w:val="es-CO"/>
        </w:rPr>
        <w:t xml:space="preserve">Amenazas de origen endógeno generadas por las actividades del proyecto, obra o actividad que puedan generar probables afectaciones sobre los elementos </w:t>
      </w:r>
      <w:r w:rsidR="0050547D" w:rsidRPr="00127BD4">
        <w:rPr>
          <w:rFonts w:cs="Arial"/>
          <w:lang w:val="es-CO"/>
        </w:rPr>
        <w:t>expuestos de los medios abiótico, biótico y socioeconómico,</w:t>
      </w:r>
      <w:r w:rsidR="0050547D" w:rsidRPr="004E4C01">
        <w:rPr>
          <w:rFonts w:cs="Arial"/>
          <w:lang w:val="es-CO"/>
        </w:rPr>
        <w:t xml:space="preserve"> </w:t>
      </w:r>
      <w:r w:rsidRPr="004E4C01">
        <w:rPr>
          <w:rFonts w:cs="Arial"/>
          <w:lang w:val="es-CO"/>
        </w:rPr>
        <w:t>los ecosistemas y sus servicios</w:t>
      </w:r>
      <w:r w:rsidR="00076F22" w:rsidRPr="004E4C01">
        <w:rPr>
          <w:rFonts w:cs="Arial"/>
          <w:lang w:val="es-CO"/>
        </w:rPr>
        <w:t>.</w:t>
      </w:r>
    </w:p>
    <w:p w14:paraId="1B3A9190" w14:textId="77777777" w:rsidR="003665F5" w:rsidRPr="004E4C01" w:rsidRDefault="003665F5" w:rsidP="00C86DA5">
      <w:pPr>
        <w:pStyle w:val="Prrafodelista"/>
        <w:ind w:left="567" w:hanging="567"/>
        <w:contextualSpacing/>
        <w:rPr>
          <w:rFonts w:eastAsiaTheme="minorEastAsia"/>
          <w:lang w:val="es-CO"/>
        </w:rPr>
      </w:pPr>
    </w:p>
    <w:p w14:paraId="6FCBC5BC" w14:textId="5FA59284" w:rsidR="00076F22" w:rsidRPr="004E4C01" w:rsidRDefault="005D4442">
      <w:pPr>
        <w:pStyle w:val="Prrafodelista"/>
        <w:numPr>
          <w:ilvl w:val="0"/>
          <w:numId w:val="47"/>
        </w:numPr>
        <w:ind w:left="567" w:hanging="567"/>
        <w:contextualSpacing/>
        <w:rPr>
          <w:rFonts w:eastAsiaTheme="minorEastAsia" w:cs="Arial"/>
          <w:lang w:val="es-CO"/>
        </w:rPr>
      </w:pPr>
      <w:r w:rsidRPr="004E4C01">
        <w:rPr>
          <w:rFonts w:cs="Arial"/>
          <w:lang w:val="es-CO"/>
        </w:rPr>
        <w:t>Amenazas de origen endógeno cuyos desencadenantes sean de origen exógeno</w:t>
      </w:r>
      <w:r w:rsidR="002A0956" w:rsidRPr="004E4C01">
        <w:rPr>
          <w:rFonts w:cs="Arial"/>
          <w:lang w:val="es-CO"/>
        </w:rPr>
        <w:t xml:space="preserve"> (eventos Natech)</w:t>
      </w:r>
      <w:r w:rsidR="00076F22" w:rsidRPr="004E4C01">
        <w:rPr>
          <w:rFonts w:cs="Arial"/>
          <w:lang w:val="es-CO"/>
        </w:rPr>
        <w:t>.</w:t>
      </w:r>
    </w:p>
    <w:p w14:paraId="30EF1130" w14:textId="77777777" w:rsidR="003665F5" w:rsidRPr="004E4C01" w:rsidRDefault="003665F5" w:rsidP="00C86DA5">
      <w:pPr>
        <w:pStyle w:val="Prrafodelista"/>
        <w:ind w:left="567" w:hanging="567"/>
        <w:contextualSpacing/>
        <w:rPr>
          <w:rFonts w:eastAsiaTheme="minorEastAsia" w:cs="Arial"/>
          <w:lang w:val="es-CO"/>
        </w:rPr>
      </w:pPr>
    </w:p>
    <w:p w14:paraId="46CAE4E7" w14:textId="50F4D8B4" w:rsidR="005D4442" w:rsidRPr="004E4C01" w:rsidRDefault="005D4442" w:rsidP="008A4FE9">
      <w:pPr>
        <w:pStyle w:val="Prrafodelista"/>
        <w:ind w:left="0"/>
        <w:contextualSpacing/>
        <w:rPr>
          <w:lang w:val="es-CO"/>
        </w:rPr>
      </w:pPr>
      <w:r w:rsidRPr="00127BD4">
        <w:rPr>
          <w:rFonts w:cs="Arial"/>
          <w:lang w:val="es-CO"/>
        </w:rPr>
        <w:t>Este proceso de identificación, caracterización, análisis y evaluación de amenazas debe considerar posibles causas y frecuencias de falla</w:t>
      </w:r>
      <w:r w:rsidR="005A313A" w:rsidRPr="00127BD4">
        <w:rPr>
          <w:rFonts w:cs="Arial"/>
          <w:lang w:val="es-CO"/>
        </w:rPr>
        <w:t xml:space="preserve">, empleando para ello </w:t>
      </w:r>
      <w:r w:rsidRPr="00127BD4">
        <w:rPr>
          <w:rFonts w:cs="Arial"/>
          <w:lang w:val="es-CO"/>
        </w:rPr>
        <w:t>fuentes de información verificables que documenten experiencias del ámbito nacional o internacional</w:t>
      </w:r>
      <w:r w:rsidR="005A313A" w:rsidRPr="00127BD4">
        <w:rPr>
          <w:rFonts w:cs="Arial"/>
          <w:lang w:val="es-CO"/>
        </w:rPr>
        <w:t>,</w:t>
      </w:r>
      <w:r w:rsidRPr="00127BD4">
        <w:rPr>
          <w:rFonts w:cs="Arial"/>
          <w:lang w:val="es-CO"/>
        </w:rPr>
        <w:t xml:space="preserve"> en caso de no contar con información nacional.</w:t>
      </w:r>
    </w:p>
    <w:p w14:paraId="54CD50EE" w14:textId="6F97FD88" w:rsidR="00076F22" w:rsidRPr="004E4C01" w:rsidRDefault="00076F22" w:rsidP="00C86DA5"/>
    <w:p w14:paraId="255C6CA1" w14:textId="4B55C94A" w:rsidR="00076F22" w:rsidRPr="004E4C01" w:rsidRDefault="00076F22" w:rsidP="006052B3">
      <w:pPr>
        <w:numPr>
          <w:ilvl w:val="0"/>
          <w:numId w:val="586"/>
        </w:numPr>
        <w:tabs>
          <w:tab w:val="left" w:pos="-2268"/>
        </w:tabs>
        <w:suppressAutoHyphens/>
        <w:ind w:left="567" w:hanging="567"/>
        <w:rPr>
          <w:b/>
          <w:i/>
          <w:spacing w:val="-3"/>
          <w:u w:val="single"/>
        </w:rPr>
      </w:pPr>
      <w:r w:rsidRPr="004E4C01">
        <w:rPr>
          <w:b/>
          <w:i/>
          <w:spacing w:val="-3"/>
          <w:u w:val="single"/>
        </w:rPr>
        <w:t xml:space="preserve">Estimación de áreas de </w:t>
      </w:r>
      <w:r w:rsidR="00AD4C1A" w:rsidRPr="004E4C01">
        <w:rPr>
          <w:b/>
          <w:bCs/>
          <w:i/>
          <w:iCs/>
          <w:spacing w:val="-3"/>
          <w:u w:val="single"/>
        </w:rPr>
        <w:t xml:space="preserve">amenaza y de probable </w:t>
      </w:r>
      <w:r w:rsidRPr="004E4C01">
        <w:rPr>
          <w:b/>
          <w:i/>
          <w:spacing w:val="-3"/>
          <w:u w:val="single"/>
        </w:rPr>
        <w:t>afectación</w:t>
      </w:r>
    </w:p>
    <w:p w14:paraId="65C00FE3" w14:textId="77777777" w:rsidR="00076F22" w:rsidRPr="004E4C01" w:rsidRDefault="00076F22" w:rsidP="00C86DA5"/>
    <w:p w14:paraId="68AD7566" w14:textId="03BC20AA" w:rsidR="00AD4C1A" w:rsidRPr="004E4C01" w:rsidRDefault="00076F22" w:rsidP="00C86DA5">
      <w:r w:rsidRPr="004E4C01">
        <w:t xml:space="preserve">Se deben </w:t>
      </w:r>
      <w:r w:rsidR="00AD4C1A" w:rsidRPr="004E4C01">
        <w:t xml:space="preserve">delimitar </w:t>
      </w:r>
      <w:r w:rsidRPr="004E4C01">
        <w:t xml:space="preserve">las áreas </w:t>
      </w:r>
      <w:r w:rsidR="00AD4C1A" w:rsidRPr="004E4C01">
        <w:t xml:space="preserve">de las amenazas de origen exógeno y las áreas de probable </w:t>
      </w:r>
      <w:r w:rsidRPr="004E4C01">
        <w:t xml:space="preserve">afectación para </w:t>
      </w:r>
      <w:r w:rsidR="00AD4C1A" w:rsidRPr="004E4C01">
        <w:t>las amenazas de origen endógeno que fueron analizadas según lo expuesto en el literal a).</w:t>
      </w:r>
    </w:p>
    <w:p w14:paraId="5199EA1D" w14:textId="1B62491D" w:rsidR="00AD4C1A" w:rsidRPr="004E4C01" w:rsidRDefault="00AD4C1A" w:rsidP="00C86DA5"/>
    <w:p w14:paraId="142E6889" w14:textId="21163BDF" w:rsidR="00076F22" w:rsidRPr="004E4C01" w:rsidRDefault="00AF05DE" w:rsidP="00C86DA5">
      <w:r w:rsidRPr="004E4C01">
        <w:lastRenderedPageBreak/>
        <w:t xml:space="preserve">La definición de </w:t>
      </w:r>
      <w:r w:rsidR="008F1B2F" w:rsidRPr="004E4C01">
        <w:t xml:space="preserve">áreas de amenaza y de sus </w:t>
      </w:r>
      <w:r w:rsidRPr="004E4C01">
        <w:t>escenarios de riesgo</w:t>
      </w:r>
      <w:r w:rsidR="008F1B2F" w:rsidRPr="004E4C01">
        <w:t>, así como</w:t>
      </w:r>
      <w:r w:rsidRPr="004E4C01">
        <w:t xml:space="preserve"> la identificación de áreas de probable afectación p</w:t>
      </w:r>
      <w:r w:rsidR="00B84B20" w:rsidRPr="004E4C01">
        <w:t>ara</w:t>
      </w:r>
      <w:r w:rsidR="0092227D" w:rsidRPr="004E4C01">
        <w:t xml:space="preserve"> aquellos proyectos</w:t>
      </w:r>
      <w:r w:rsidR="00445A18" w:rsidRPr="004E4C01">
        <w:t>, obras o actividades</w:t>
      </w:r>
      <w:r w:rsidR="0092227D" w:rsidRPr="004E4C01">
        <w:t xml:space="preserve"> </w:t>
      </w:r>
      <w:r w:rsidR="009C241F" w:rsidRPr="004E4C01">
        <w:t xml:space="preserve">en los cuales </w:t>
      </w:r>
      <w:r w:rsidR="0092227D" w:rsidRPr="004E4C01">
        <w:t>se descono</w:t>
      </w:r>
      <w:r w:rsidR="00B84B20" w:rsidRPr="004E4C01">
        <w:t>ce</w:t>
      </w:r>
      <w:r w:rsidR="0092227D" w:rsidRPr="004E4C01">
        <w:t xml:space="preserve"> la ubicación exacta de la infraestructura a construir, se </w:t>
      </w:r>
      <w:r w:rsidR="00445A18" w:rsidRPr="004E4C01">
        <w:t>debe</w:t>
      </w:r>
      <w:r w:rsidR="004D0988" w:rsidRPr="004E4C01">
        <w:t xml:space="preserve"> </w:t>
      </w:r>
      <w:r w:rsidR="009C241F" w:rsidRPr="004E4C01">
        <w:t xml:space="preserve">efectuar </w:t>
      </w:r>
      <w:r w:rsidR="004D0988" w:rsidRPr="004E4C01">
        <w:t>considera</w:t>
      </w:r>
      <w:r w:rsidR="009C241F" w:rsidRPr="004E4C01">
        <w:t xml:space="preserve">ndo </w:t>
      </w:r>
      <w:r w:rsidR="004D0988" w:rsidRPr="004E4C01">
        <w:t xml:space="preserve">la zonificación ambiental y las características </w:t>
      </w:r>
      <w:r w:rsidR="004F543C" w:rsidRPr="004E4C01">
        <w:t xml:space="preserve">particulares </w:t>
      </w:r>
      <w:r w:rsidR="004D0988" w:rsidRPr="004E4C01">
        <w:t xml:space="preserve">de las actividades a desarrollar. </w:t>
      </w:r>
      <w:r w:rsidR="004F543C" w:rsidRPr="004E4C01">
        <w:t xml:space="preserve">Si se otorga la licencia ambiental, </w:t>
      </w:r>
      <w:r w:rsidR="00AC75C9" w:rsidRPr="004E4C01">
        <w:t xml:space="preserve">al </w:t>
      </w:r>
      <w:r w:rsidR="004D0988" w:rsidRPr="004E4C01">
        <w:t>defin</w:t>
      </w:r>
      <w:r w:rsidR="00AC75C9" w:rsidRPr="004E4C01">
        <w:t xml:space="preserve">ir </w:t>
      </w:r>
      <w:r w:rsidR="004D0988" w:rsidRPr="004E4C01">
        <w:t>la ubicación de la infraestructura a construir</w:t>
      </w:r>
      <w:r w:rsidR="00AC75C9" w:rsidRPr="004E4C01">
        <w:t>,</w:t>
      </w:r>
      <w:r w:rsidR="004D0988" w:rsidRPr="004E4C01">
        <w:t xml:space="preserve"> se deben </w:t>
      </w:r>
      <w:r w:rsidR="00A93F8E" w:rsidRPr="004E4C01">
        <w:t xml:space="preserve">no sólo </w:t>
      </w:r>
      <w:r w:rsidR="004D0988" w:rsidRPr="004E4C01">
        <w:t xml:space="preserve">ajustar las áreas de probable afectación </w:t>
      </w:r>
      <w:r w:rsidR="004F543C" w:rsidRPr="004E4C01">
        <w:t xml:space="preserve">y </w:t>
      </w:r>
      <w:r w:rsidR="004D0988" w:rsidRPr="004E4C01">
        <w:t>los escenarios de riesgo aplicables</w:t>
      </w:r>
      <w:r w:rsidR="00A93F8E" w:rsidRPr="004E4C01">
        <w:t>, sino también</w:t>
      </w:r>
      <w:r w:rsidR="004D0988" w:rsidRPr="004E4C01">
        <w:t xml:space="preserve"> </w:t>
      </w:r>
      <w:r w:rsidR="00AC75C9" w:rsidRPr="004E4C01">
        <w:t>presentar</w:t>
      </w:r>
      <w:r w:rsidR="00A93F8E" w:rsidRPr="004E4C01">
        <w:t>los</w:t>
      </w:r>
      <w:r w:rsidR="00AC75C9" w:rsidRPr="004E4C01">
        <w:t xml:space="preserve"> ante la autoridad ambiental mediante los informes de cumplimiento ambiental</w:t>
      </w:r>
      <w:r w:rsidR="0092227D" w:rsidRPr="004E4C01">
        <w:t>.</w:t>
      </w:r>
    </w:p>
    <w:p w14:paraId="4EEE2144" w14:textId="77777777" w:rsidR="00BA4E03" w:rsidRPr="004E4C01" w:rsidRDefault="00BA4E03" w:rsidP="00C86DA5"/>
    <w:p w14:paraId="0A0A4C4B" w14:textId="5DFE77E5" w:rsidR="00574FF8" w:rsidRPr="004E4C01" w:rsidRDefault="00574FF8" w:rsidP="00574FF8">
      <w:pPr>
        <w:rPr>
          <w:rFonts w:cs="Arial"/>
        </w:rPr>
      </w:pPr>
      <w:r w:rsidRPr="004E4C01">
        <w:rPr>
          <w:rFonts w:cs="Arial"/>
        </w:rPr>
        <w:t xml:space="preserve">Las </w:t>
      </w:r>
      <w:hyperlink r:id="rId87" w:history="1">
        <w:r w:rsidRPr="00127BD4">
          <w:t>metodologías</w:t>
        </w:r>
      </w:hyperlink>
      <w:r w:rsidRPr="004E4C01">
        <w:rPr>
          <w:rFonts w:cs="Arial"/>
        </w:rPr>
        <w:t xml:space="preserve"> para la definición de las áreas de amenaza y de probable afectación deben ser sistemáticas, exhaustivas, repetibles y verificables. Se debe presentar una descripción y justificación de los </w:t>
      </w:r>
      <w:hyperlink r:id="rId88" w:history="1">
        <w:r w:rsidRPr="00127BD4">
          <w:t>métodos de cálculo</w:t>
        </w:r>
      </w:hyperlink>
      <w:r w:rsidRPr="004E4C01">
        <w:rPr>
          <w:rFonts w:cs="Arial"/>
        </w:rPr>
        <w:t xml:space="preserve"> o insumos empleados y los criterios e hipótesis asumidas en éstos. Asimismo, los resultados de aplicación de tales metodologías deben integrarse a las capas del modelo de almacenamiento geográfico.</w:t>
      </w:r>
    </w:p>
    <w:p w14:paraId="481D8E38" w14:textId="77777777" w:rsidR="00574FF8" w:rsidRPr="004E4C01" w:rsidRDefault="00574FF8" w:rsidP="00574FF8">
      <w:pPr>
        <w:rPr>
          <w:rFonts w:cs="Arial"/>
        </w:rPr>
      </w:pPr>
    </w:p>
    <w:p w14:paraId="645FDDC4" w14:textId="70CB8078" w:rsidR="00076F22" w:rsidRPr="004E4C01" w:rsidRDefault="00574FF8">
      <w:pPr>
        <w:rPr>
          <w:rFonts w:cs="Arial"/>
        </w:rPr>
      </w:pPr>
      <w:r w:rsidRPr="004E4C01">
        <w:rPr>
          <w:rFonts w:cs="Arial"/>
        </w:rPr>
        <w:t xml:space="preserve">Asimismo, es necesario tener en cuenta aquellos eventos que puedan producirse por eventos concatenados y por </w:t>
      </w:r>
      <w:hyperlink r:id="rId89">
        <w:r w:rsidRPr="00127BD4">
          <w:t>efecto dominó</w:t>
        </w:r>
      </w:hyperlink>
      <w:r w:rsidRPr="004E4C01">
        <w:rPr>
          <w:rFonts w:cs="Arial"/>
        </w:rPr>
        <w:t xml:space="preserve"> que produzcan afectaciones ambientales. Algunos de estos eventos entran en la categoría de eventos Natech, eventos de origen natural que desencadenan accidentes tecnológicos y se derivan del acrónimo en inglés, Natural hazard-triggered technological accidents (Cruz et al., 2004; Showalter &amp; Myers, 1994); éstos, son considerados eventos de baja probabilidad, pero de muy alta consecuencia (Cozzani et al., 2014) y han sido catalogados como una amenaza silenciosa y potencialmente letal (Khoirunissa Ariyanta et al., 2019)</w:t>
      </w:r>
      <w:r w:rsidR="00867579" w:rsidRPr="004E4C01">
        <w:rPr>
          <w:rFonts w:cs="Arial"/>
        </w:rPr>
        <w:t>.</w:t>
      </w:r>
    </w:p>
    <w:p w14:paraId="289FA46B" w14:textId="77777777" w:rsidR="007F450D" w:rsidRPr="004E4C01" w:rsidRDefault="007F450D">
      <w:pPr>
        <w:rPr>
          <w:rFonts w:cs="Arial"/>
        </w:rPr>
      </w:pPr>
    </w:p>
    <w:p w14:paraId="7A8822CF" w14:textId="3148B62B" w:rsidR="00076F22" w:rsidRPr="004E4C01" w:rsidRDefault="00076F22" w:rsidP="006052B3">
      <w:pPr>
        <w:numPr>
          <w:ilvl w:val="0"/>
          <w:numId w:val="586"/>
        </w:numPr>
        <w:tabs>
          <w:tab w:val="left" w:pos="-2268"/>
        </w:tabs>
        <w:suppressAutoHyphens/>
        <w:ind w:left="567" w:hanging="567"/>
        <w:rPr>
          <w:b/>
          <w:i/>
          <w:spacing w:val="-3"/>
          <w:u w:val="single"/>
        </w:rPr>
      </w:pPr>
      <w:r w:rsidRPr="004E4C01">
        <w:rPr>
          <w:b/>
          <w:i/>
          <w:spacing w:val="-3"/>
          <w:u w:val="single"/>
        </w:rPr>
        <w:t>Identificación de elementos expuestos</w:t>
      </w:r>
    </w:p>
    <w:p w14:paraId="53AC5702" w14:textId="77777777" w:rsidR="00076F22" w:rsidRPr="004E4C01" w:rsidRDefault="00076F22">
      <w:pPr>
        <w:rPr>
          <w:rFonts w:cs="Arial"/>
        </w:rPr>
      </w:pPr>
    </w:p>
    <w:p w14:paraId="0B1BBB00" w14:textId="7E620089" w:rsidR="00475A15" w:rsidRPr="004E4C01" w:rsidRDefault="00475A15" w:rsidP="00475A15">
      <w:pPr>
        <w:rPr>
          <w:rFonts w:cs="Arial"/>
        </w:rPr>
      </w:pPr>
      <w:r w:rsidRPr="004E4C01">
        <w:rPr>
          <w:rFonts w:cs="Arial"/>
        </w:rPr>
        <w:t xml:space="preserve">La identificación de elementos expuestos debe partir de la información de caracterización de los medios abiótico, biótico y socioeconómico y </w:t>
      </w:r>
      <w:r w:rsidR="00230762" w:rsidRPr="004E4C01">
        <w:rPr>
          <w:rFonts w:cs="Arial"/>
        </w:rPr>
        <w:t>de los ecosistemas y sus servicios</w:t>
      </w:r>
      <w:r w:rsidRPr="004E4C01">
        <w:rPr>
          <w:rFonts w:cs="Arial"/>
        </w:rPr>
        <w:t>, considerando entre otr</w:t>
      </w:r>
      <w:r w:rsidR="00230762" w:rsidRPr="004E4C01">
        <w:rPr>
          <w:rFonts w:cs="Arial"/>
        </w:rPr>
        <w:t>a,</w:t>
      </w:r>
      <w:r w:rsidRPr="004E4C01">
        <w:rPr>
          <w:rFonts w:cs="Arial"/>
        </w:rPr>
        <w:t xml:space="preserve"> </w:t>
      </w:r>
      <w:r w:rsidR="00230762" w:rsidRPr="004E4C01">
        <w:rPr>
          <w:rFonts w:cs="Arial"/>
        </w:rPr>
        <w:t xml:space="preserve">información sobre </w:t>
      </w:r>
      <w:r w:rsidRPr="004E4C01">
        <w:rPr>
          <w:rFonts w:cs="Arial"/>
        </w:rPr>
        <w:t>asentamientos humanos, infraestructura pública, infraestructura social, bienes de interés cultural, territorios colectivos, áreas destinadas a la producción económica (</w:t>
      </w:r>
      <w:r w:rsidR="00230762" w:rsidRPr="004E4C01">
        <w:rPr>
          <w:rFonts w:cs="Arial"/>
        </w:rPr>
        <w:t xml:space="preserve">p. ej. </w:t>
      </w:r>
      <w:r w:rsidRPr="004E4C01">
        <w:rPr>
          <w:rFonts w:cs="Arial"/>
        </w:rPr>
        <w:t xml:space="preserve">agropecuaria, forestal, pesquera, acuícola, minera), acuíferos, nacederos, aljibes, pozos, </w:t>
      </w:r>
      <w:r w:rsidR="00EC3FAF" w:rsidRPr="004E4C01">
        <w:rPr>
          <w:rFonts w:cs="Arial"/>
        </w:rPr>
        <w:t>áreas de especial interés ambiental</w:t>
      </w:r>
      <w:r w:rsidRPr="004E4C01">
        <w:rPr>
          <w:rFonts w:cs="Arial"/>
        </w:rPr>
        <w:t>, sitios de captación de agua, bocatomas, sistema de riego, áreas con reglamentación especial definida en los instrumentos de ordenamiento y planificación del territorio, especies de fauna y flora amenazada.</w:t>
      </w:r>
    </w:p>
    <w:p w14:paraId="7E519DD2" w14:textId="77777777" w:rsidR="00A34C67" w:rsidRPr="004E4C01" w:rsidRDefault="00A34C67" w:rsidP="00475A15">
      <w:pPr>
        <w:rPr>
          <w:rFonts w:cs="Arial"/>
        </w:rPr>
      </w:pPr>
    </w:p>
    <w:p w14:paraId="09118943" w14:textId="1E9D590A" w:rsidR="00475A15" w:rsidRPr="004E4C01" w:rsidRDefault="00475A15" w:rsidP="00475A15">
      <w:pPr>
        <w:rPr>
          <w:rFonts w:cs="Arial"/>
        </w:rPr>
      </w:pPr>
      <w:r w:rsidRPr="004E4C01">
        <w:rPr>
          <w:rFonts w:cs="Arial"/>
        </w:rPr>
        <w:t>Se debe considerar que la infraestructura del proyecto, obra o actividad se constituye como elemento expuesto frente a las amenazas de origen exógeno.</w:t>
      </w:r>
    </w:p>
    <w:p w14:paraId="00CB8598" w14:textId="77777777" w:rsidR="00475A15" w:rsidRPr="004E4C01" w:rsidRDefault="00475A15" w:rsidP="00475A15">
      <w:pPr>
        <w:rPr>
          <w:rFonts w:cs="Arial"/>
        </w:rPr>
      </w:pPr>
    </w:p>
    <w:p w14:paraId="5C3625C2" w14:textId="1CE55A3E" w:rsidR="00475A15" w:rsidRPr="004E4C01" w:rsidRDefault="00230762" w:rsidP="00475A15">
      <w:pPr>
        <w:rPr>
          <w:rFonts w:cs="Arial"/>
        </w:rPr>
      </w:pPr>
      <w:r w:rsidRPr="004E4C01">
        <w:rPr>
          <w:rFonts w:cs="Arial"/>
        </w:rPr>
        <w:t>Los elementos expuestos deben representarse geográficamente e incorporarse a</w:t>
      </w:r>
      <w:r w:rsidR="00475A15" w:rsidRPr="004E4C01">
        <w:rPr>
          <w:rFonts w:cs="Arial"/>
        </w:rPr>
        <w:t>l modelo de almacenamiento geográfico.</w:t>
      </w:r>
    </w:p>
    <w:p w14:paraId="07E330BB" w14:textId="592F2230" w:rsidR="00076F22" w:rsidRDefault="00076F22">
      <w:pPr>
        <w:rPr>
          <w:rFonts w:cs="Arial"/>
          <w:szCs w:val="20"/>
        </w:rPr>
      </w:pPr>
    </w:p>
    <w:p w14:paraId="6E1F6AA2" w14:textId="77777777" w:rsidR="00226A2D" w:rsidRPr="004E4C01" w:rsidRDefault="00226A2D">
      <w:pPr>
        <w:rPr>
          <w:rFonts w:cs="Arial"/>
          <w:szCs w:val="20"/>
        </w:rPr>
      </w:pPr>
    </w:p>
    <w:p w14:paraId="45BE5764" w14:textId="653829B0" w:rsidR="00170F2D" w:rsidRPr="004E4C01" w:rsidRDefault="00170F2D" w:rsidP="00170F2D">
      <w:pPr>
        <w:numPr>
          <w:ilvl w:val="0"/>
          <w:numId w:val="586"/>
        </w:numPr>
        <w:tabs>
          <w:tab w:val="left" w:pos="-2268"/>
        </w:tabs>
        <w:suppressAutoHyphens/>
        <w:ind w:left="567" w:hanging="567"/>
        <w:rPr>
          <w:b/>
          <w:i/>
          <w:spacing w:val="-3"/>
          <w:u w:val="single"/>
        </w:rPr>
      </w:pPr>
      <w:r w:rsidRPr="004E4C01">
        <w:rPr>
          <w:b/>
          <w:i/>
          <w:spacing w:val="-3"/>
          <w:u w:val="single"/>
        </w:rPr>
        <w:lastRenderedPageBreak/>
        <w:t>Análisis de vulnerabilidad</w:t>
      </w:r>
    </w:p>
    <w:p w14:paraId="2D0A138C" w14:textId="77777777" w:rsidR="00170F2D" w:rsidRPr="004E4C01" w:rsidRDefault="00170F2D">
      <w:pPr>
        <w:rPr>
          <w:rFonts w:cs="Arial"/>
          <w:szCs w:val="20"/>
        </w:rPr>
      </w:pPr>
    </w:p>
    <w:p w14:paraId="799E8F4F" w14:textId="1D5BB9A4" w:rsidR="00170F2D" w:rsidRPr="004E4C01" w:rsidRDefault="00170F2D">
      <w:pPr>
        <w:rPr>
          <w:rFonts w:cs="Arial"/>
          <w:szCs w:val="20"/>
        </w:rPr>
      </w:pPr>
      <w:r w:rsidRPr="004E4C01">
        <w:rPr>
          <w:rFonts w:cs="Arial"/>
          <w:szCs w:val="20"/>
        </w:rPr>
        <w:t xml:space="preserve">A partir de los resultados obtenidos del desarrollo de los literales b y c, se deben definir criterios y realizar un análisis de la vulnerabilidad </w:t>
      </w:r>
      <w:r w:rsidR="00A93F8E" w:rsidRPr="004E4C01">
        <w:rPr>
          <w:rFonts w:cs="Arial"/>
          <w:szCs w:val="20"/>
        </w:rPr>
        <w:t xml:space="preserve">de </w:t>
      </w:r>
      <w:r w:rsidRPr="004E4C01">
        <w:rPr>
          <w:rFonts w:cs="Arial"/>
          <w:szCs w:val="20"/>
        </w:rPr>
        <w:t xml:space="preserve">la infraestructura del proyecto, obra o actividad y </w:t>
      </w:r>
      <w:r w:rsidR="00B840AB" w:rsidRPr="004E4C01">
        <w:rPr>
          <w:rFonts w:cs="Arial"/>
          <w:szCs w:val="20"/>
        </w:rPr>
        <w:t xml:space="preserve">de </w:t>
      </w:r>
      <w:r w:rsidRPr="004E4C01">
        <w:rPr>
          <w:rFonts w:cs="Arial"/>
          <w:szCs w:val="20"/>
        </w:rPr>
        <w:t>los medios abiótico, biótico y socioeconómico</w:t>
      </w:r>
      <w:r w:rsidR="00F85684">
        <w:rPr>
          <w:rStyle w:val="Refdenotaalpie"/>
          <w:rFonts w:cs="Arial"/>
          <w:szCs w:val="20"/>
        </w:rPr>
        <w:footnoteReference w:id="256"/>
      </w:r>
      <w:r w:rsidR="009315DF" w:rsidRPr="004E4C01">
        <w:rPr>
          <w:rFonts w:cs="Arial"/>
          <w:szCs w:val="20"/>
        </w:rPr>
        <w:t>,</w:t>
      </w:r>
      <w:r w:rsidRPr="004E4C01">
        <w:rPr>
          <w:rFonts w:cs="Arial"/>
          <w:szCs w:val="20"/>
        </w:rPr>
        <w:t xml:space="preserve"> los ecosistemas y sus servicios</w:t>
      </w:r>
      <w:r w:rsidR="00A4631B" w:rsidRPr="004E4C01">
        <w:rPr>
          <w:rFonts w:cs="Arial"/>
          <w:szCs w:val="20"/>
        </w:rPr>
        <w:t xml:space="preserve"> que puedan ser afectados por la materialización del riesgo</w:t>
      </w:r>
      <w:r w:rsidRPr="004E4C01">
        <w:rPr>
          <w:rFonts w:cs="Arial"/>
          <w:szCs w:val="20"/>
        </w:rPr>
        <w:t>, que sea consistente con la zonificación ambiental y demás información que se incorpore al modelo de almacenamiento de datos geográfico.</w:t>
      </w:r>
    </w:p>
    <w:p w14:paraId="3E573D01" w14:textId="77777777" w:rsidR="00170F2D" w:rsidRPr="004E4C01" w:rsidRDefault="00170F2D">
      <w:pPr>
        <w:rPr>
          <w:rFonts w:cs="Arial"/>
          <w:szCs w:val="20"/>
        </w:rPr>
      </w:pPr>
    </w:p>
    <w:p w14:paraId="5E79BCF8" w14:textId="6AF58FAE" w:rsidR="00076F22" w:rsidRPr="004E4C01" w:rsidRDefault="00C12284" w:rsidP="006052B3">
      <w:pPr>
        <w:numPr>
          <w:ilvl w:val="0"/>
          <w:numId w:val="586"/>
        </w:numPr>
        <w:tabs>
          <w:tab w:val="left" w:pos="-2268"/>
        </w:tabs>
        <w:suppressAutoHyphens/>
        <w:ind w:left="567" w:hanging="567"/>
        <w:rPr>
          <w:b/>
          <w:i/>
          <w:spacing w:val="-3"/>
          <w:u w:val="single"/>
        </w:rPr>
      </w:pPr>
      <w:r w:rsidRPr="004E4C01">
        <w:rPr>
          <w:b/>
          <w:i/>
          <w:spacing w:val="-3"/>
          <w:u w:val="single"/>
        </w:rPr>
        <w:t>A</w:t>
      </w:r>
      <w:r w:rsidR="00076F22" w:rsidRPr="004E4C01">
        <w:rPr>
          <w:b/>
          <w:i/>
          <w:spacing w:val="-3"/>
          <w:u w:val="single"/>
        </w:rPr>
        <w:t>nálisis y evaluación de escenarios de riesgo</w:t>
      </w:r>
    </w:p>
    <w:p w14:paraId="7F5370AC" w14:textId="77777777" w:rsidR="00076F22" w:rsidRPr="004E4C01" w:rsidRDefault="00076F22">
      <w:pPr>
        <w:rPr>
          <w:rFonts w:cs="Arial"/>
        </w:rPr>
      </w:pPr>
    </w:p>
    <w:p w14:paraId="6020FDAF" w14:textId="1C2D83F1" w:rsidR="00C12284" w:rsidRPr="004E4C01" w:rsidRDefault="004D4EFA" w:rsidP="00C12284">
      <w:r w:rsidRPr="004E4C01">
        <w:rPr>
          <w:rFonts w:cs="Arial"/>
          <w:szCs w:val="20"/>
        </w:rPr>
        <w:t>A partir de los resultados obtenidos del desarrollo de los literales a, b, c y d y mediante metodologías semicuantitativas o cuantitativas (según corresponda), se deben identificar, caracterizar, analizar y evaluar tanto los peores escenarios creíbles con potencial de generar altas consecuencias, como los escenarios más probables así generen bajas consecuencias, desde los ámbitos ambiental, social y económico. Se debe detallar los criterios de aceptabilidad o tolerabilidad y, soportar y representar geográficamente los resultados en las capas del modelo de almacenamiento geográfico.</w:t>
      </w:r>
    </w:p>
    <w:p w14:paraId="6CB1149D" w14:textId="77777777" w:rsidR="00C12284" w:rsidRPr="004E4C01" w:rsidRDefault="00C12284" w:rsidP="00C12284"/>
    <w:p w14:paraId="5B268B2D" w14:textId="31B5586A" w:rsidR="00C12284" w:rsidRPr="004E4C01" w:rsidRDefault="00C12284" w:rsidP="00C12284">
      <w:r w:rsidRPr="004E4C01">
        <w:t>Se deben presentar mapas de riesgos con el resultado de la evaluación obtenida</w:t>
      </w:r>
      <w:r w:rsidR="00047AD4" w:rsidRPr="004E4C01">
        <w:t xml:space="preserve">, cuya </w:t>
      </w:r>
      <w:r w:rsidRPr="004E4C01">
        <w:t>escala coincid</w:t>
      </w:r>
      <w:r w:rsidR="00047AD4" w:rsidRPr="004E4C01">
        <w:t>a</w:t>
      </w:r>
      <w:r w:rsidRPr="004E4C01">
        <w:t xml:space="preserve"> con la utilizada en los mapas de los análisis de eventos amenazantes y elementos expuestos. Los resultados deben </w:t>
      </w:r>
      <w:r w:rsidR="00047AD4" w:rsidRPr="004E4C01">
        <w:t>integrarse a</w:t>
      </w:r>
      <w:r w:rsidRPr="004E4C01">
        <w:t>l modelo de almacenamiento geográfico.</w:t>
      </w:r>
    </w:p>
    <w:p w14:paraId="1C9A522E" w14:textId="77777777" w:rsidR="00076F22" w:rsidRDefault="00076F22" w:rsidP="00C86DA5"/>
    <w:p w14:paraId="2E98254E" w14:textId="3A2C2E7A" w:rsidR="0089701E" w:rsidRDefault="00FD589D" w:rsidP="00127BD4">
      <w:pPr>
        <w:rPr>
          <w:rFonts w:cs="Arial"/>
        </w:rPr>
      </w:pPr>
      <w:r>
        <w:t>Finalmente</w:t>
      </w:r>
      <w:r w:rsidRPr="00FD589D">
        <w:t xml:space="preserve">, </w:t>
      </w:r>
      <w:r w:rsidR="007D6772">
        <w:t xml:space="preserve">se debe determinar </w:t>
      </w:r>
      <w:r w:rsidR="00D770BE">
        <w:t xml:space="preserve">sí la materialización </w:t>
      </w:r>
      <w:r w:rsidR="00C01ADE">
        <w:t xml:space="preserve">de </w:t>
      </w:r>
      <w:r w:rsidR="00C01ADE" w:rsidRPr="00FD589D">
        <w:t xml:space="preserve">los </w:t>
      </w:r>
      <w:r w:rsidR="00C01ADE">
        <w:t xml:space="preserve">riesgos evaluados en este numeral </w:t>
      </w:r>
      <w:r w:rsidRPr="00FD589D">
        <w:t xml:space="preserve">puede </w:t>
      </w:r>
      <w:r w:rsidR="00AC3EF6">
        <w:t xml:space="preserve">incidir </w:t>
      </w:r>
      <w:r w:rsidR="006F5F84">
        <w:t>negativ</w:t>
      </w:r>
      <w:r w:rsidR="00AC3EF6">
        <w:t xml:space="preserve">amente </w:t>
      </w:r>
      <w:r w:rsidR="006F5F84" w:rsidRPr="00FD589D">
        <w:t>sobre los derechos humanos</w:t>
      </w:r>
      <w:r w:rsidR="001C4688">
        <w:t>.</w:t>
      </w:r>
      <w:r w:rsidR="002127C8">
        <w:t xml:space="preserve"> </w:t>
      </w:r>
      <w:r w:rsidR="001C4688">
        <w:t>E</w:t>
      </w:r>
      <w:r w:rsidR="002127C8">
        <w:t>sta determinación debe</w:t>
      </w:r>
      <w:r w:rsidR="00FE2B30">
        <w:t xml:space="preserve"> </w:t>
      </w:r>
      <w:r w:rsidR="00913263">
        <w:t>basarse en</w:t>
      </w:r>
      <w:r w:rsidR="002127C8">
        <w:t xml:space="preserve"> </w:t>
      </w:r>
      <w:r w:rsidR="000E3107">
        <w:t xml:space="preserve">la relación </w:t>
      </w:r>
      <w:r w:rsidR="00913263">
        <w:t xml:space="preserve">que existe </w:t>
      </w:r>
      <w:r w:rsidR="000E3107">
        <w:t>entre la</w:t>
      </w:r>
      <w:r w:rsidR="00755A76">
        <w:t xml:space="preserve">s alteraciones a </w:t>
      </w:r>
      <w:r w:rsidR="00090FE2">
        <w:t xml:space="preserve">los </w:t>
      </w:r>
      <w:r w:rsidR="00D56D6A">
        <w:t xml:space="preserve">ecosistemas </w:t>
      </w:r>
      <w:r w:rsidR="00755A76">
        <w:t xml:space="preserve">que </w:t>
      </w:r>
      <w:r w:rsidR="00825F0E">
        <w:t xml:space="preserve">se </w:t>
      </w:r>
      <w:r w:rsidR="00A22923">
        <w:t>genera</w:t>
      </w:r>
      <w:r w:rsidR="00755A76">
        <w:t>r</w:t>
      </w:r>
      <w:r w:rsidR="00825F0E">
        <w:t xml:space="preserve">ían en caso de </w:t>
      </w:r>
      <w:r w:rsidR="00010FA3">
        <w:t>la materialización de</w:t>
      </w:r>
      <w:r w:rsidR="00755A76">
        <w:t xml:space="preserve"> los riesgos </w:t>
      </w:r>
      <w:r w:rsidR="000E3107">
        <w:t>y</w:t>
      </w:r>
      <w:r w:rsidR="00FA2981">
        <w:t xml:space="preserve"> </w:t>
      </w:r>
      <w:r w:rsidR="00DF2151">
        <w:t xml:space="preserve">la aparición de </w:t>
      </w:r>
      <w:r w:rsidR="00C7326E">
        <w:rPr>
          <w:rFonts w:cs="Arial"/>
          <w:spacing w:val="-3"/>
        </w:rPr>
        <w:t xml:space="preserve">afectaciones </w:t>
      </w:r>
      <w:r w:rsidR="00C84C5D">
        <w:rPr>
          <w:rFonts w:cs="Arial"/>
          <w:spacing w:val="-3"/>
        </w:rPr>
        <w:t xml:space="preserve">a los </w:t>
      </w:r>
      <w:r w:rsidR="00C84C5D" w:rsidRPr="00C24C98">
        <w:rPr>
          <w:rFonts w:cs="Arial"/>
          <w:spacing w:val="-3"/>
        </w:rPr>
        <w:t>derechos humanos</w:t>
      </w:r>
      <w:r w:rsidR="00C84C5D">
        <w:t xml:space="preserve"> </w:t>
      </w:r>
      <w:r w:rsidR="00FA2981">
        <w:t>conexos al derecho a gozar de un ambiente sano</w:t>
      </w:r>
      <w:r w:rsidR="003C2A52">
        <w:t xml:space="preserve">; </w:t>
      </w:r>
      <w:r w:rsidR="00336EE0">
        <w:t>c</w:t>
      </w:r>
      <w:r w:rsidR="00060688">
        <w:t>on este fin</w:t>
      </w:r>
      <w:r w:rsidR="003C2A52">
        <w:t>,</w:t>
      </w:r>
      <w:r w:rsidR="00A27534">
        <w:t xml:space="preserve"> </w:t>
      </w:r>
      <w:r w:rsidR="003C2A52">
        <w:t>se debe</w:t>
      </w:r>
      <w:r w:rsidR="00B162C8">
        <w:t>n</w:t>
      </w:r>
      <w:r w:rsidR="00733311">
        <w:t xml:space="preserve"> considerar </w:t>
      </w:r>
      <w:r w:rsidR="00402D2E">
        <w:t xml:space="preserve">las orientaciones </w:t>
      </w:r>
      <w:r w:rsidR="002A2FD5">
        <w:t>d</w:t>
      </w:r>
      <w:r w:rsidR="005E2A35">
        <w:t xml:space="preserve">el numeral </w:t>
      </w:r>
      <w:r w:rsidR="005E2A35">
        <w:fldChar w:fldCharType="begin"/>
      </w:r>
      <w:r w:rsidR="005E2A35">
        <w:instrText xml:space="preserve"> REF _Ref230010641 \r \h </w:instrText>
      </w:r>
      <w:r w:rsidR="005E2A35">
        <w:fldChar w:fldCharType="separate"/>
      </w:r>
      <w:r w:rsidR="009C4A81">
        <w:t>4.5.3</w:t>
      </w:r>
      <w:r w:rsidR="005E2A35">
        <w:fldChar w:fldCharType="end"/>
      </w:r>
      <w:r w:rsidR="005E2A35">
        <w:t xml:space="preserve"> de este capítulo</w:t>
      </w:r>
      <w:r w:rsidR="00A34CDF">
        <w:t>,</w:t>
      </w:r>
      <w:r w:rsidR="003A3016">
        <w:t xml:space="preserve"> así como la información </w:t>
      </w:r>
      <w:r w:rsidR="00A34CDF">
        <w:t xml:space="preserve">de caracterización de SSEE </w:t>
      </w:r>
      <w:r w:rsidR="003A3016">
        <w:t xml:space="preserve">que se </w:t>
      </w:r>
      <w:r w:rsidR="00A34CDF">
        <w:t>presente a la autoridad ambiental</w:t>
      </w:r>
      <w:r w:rsidR="00847530">
        <w:t xml:space="preserve"> (específicamente, </w:t>
      </w:r>
      <w:r w:rsidR="00A82EDD">
        <w:t>la referida a</w:t>
      </w:r>
      <w:r w:rsidR="003C4500">
        <w:t>l derecho humano con la relación más fuerte y directa por cada SSEE</w:t>
      </w:r>
      <w:r w:rsidR="00847530" w:rsidRPr="005A7E59">
        <w:t>)</w:t>
      </w:r>
      <w:r w:rsidR="00FA2981" w:rsidRPr="005A7E59">
        <w:t>.</w:t>
      </w:r>
      <w:r w:rsidRPr="005A7E59">
        <w:t xml:space="preserve"> </w:t>
      </w:r>
      <w:r w:rsidR="00FA2981" w:rsidRPr="005A7E59">
        <w:t>P</w:t>
      </w:r>
      <w:r w:rsidRPr="005A7E59">
        <w:t xml:space="preserve">ara cada uno de los </w:t>
      </w:r>
      <w:r w:rsidR="008B7272" w:rsidRPr="005A7E59">
        <w:t xml:space="preserve">riesgos </w:t>
      </w:r>
      <w:r w:rsidR="007D44FE" w:rsidRPr="005A7E59">
        <w:t>que pueda alterar los SSEE</w:t>
      </w:r>
      <w:r w:rsidR="00FD02FC" w:rsidRPr="005A7E59">
        <w:t xml:space="preserve">, </w:t>
      </w:r>
      <w:r w:rsidRPr="005A7E59">
        <w:t xml:space="preserve">se debe relacionar el derecho o los derechos susceptibles de ser </w:t>
      </w:r>
      <w:r w:rsidR="00F20E56" w:rsidRPr="00327A45">
        <w:t>incididos</w:t>
      </w:r>
      <w:r w:rsidR="00060688" w:rsidRPr="005A7E59">
        <w:t xml:space="preserve"> negativamente</w:t>
      </w:r>
      <w:r w:rsidR="00F20E56" w:rsidRPr="005A7E59">
        <w:t xml:space="preserve"> </w:t>
      </w:r>
      <w:r w:rsidR="00FA6E00" w:rsidRPr="005A7E59">
        <w:t>(ver</w:t>
      </w:r>
      <w:r w:rsidR="0081114C">
        <w:t xml:space="preserve"> </w:t>
      </w:r>
      <w:r w:rsidR="0081114C">
        <w:fldChar w:fldCharType="begin"/>
      </w:r>
      <w:r w:rsidR="0081114C">
        <w:instrText xml:space="preserve"> REF _Ref229825628 \h </w:instrText>
      </w:r>
      <w:r w:rsidR="0081114C">
        <w:fldChar w:fldCharType="separate"/>
      </w:r>
      <w:r w:rsidR="0081114C" w:rsidRPr="003B65B0">
        <w:t xml:space="preserve">Tabla </w:t>
      </w:r>
      <w:r w:rsidR="0081114C">
        <w:rPr>
          <w:noProof/>
        </w:rPr>
        <w:t>27</w:t>
      </w:r>
      <w:r w:rsidR="0081114C">
        <w:fldChar w:fldCharType="end"/>
      </w:r>
      <w:r w:rsidR="00FA6E00" w:rsidRPr="005A7E59">
        <w:t>)</w:t>
      </w:r>
      <w:r w:rsidR="00C004D1" w:rsidRPr="005A7E59">
        <w:t>,</w:t>
      </w:r>
      <w:r w:rsidR="00C004D1">
        <w:t xml:space="preserve"> así como </w:t>
      </w:r>
      <w:r w:rsidRPr="00FD589D">
        <w:t xml:space="preserve">los grupos titulares de dichos </w:t>
      </w:r>
      <w:r w:rsidRPr="00EE086D">
        <w:t>derechos</w:t>
      </w:r>
      <w:r w:rsidR="0089701E" w:rsidRPr="00EE086D">
        <w:rPr>
          <w:rStyle w:val="Refdenotaalpie"/>
          <w:rFonts w:cs="Arial"/>
          <w:lang w:val="es-CO"/>
        </w:rPr>
        <w:footnoteReference w:id="257"/>
      </w:r>
      <w:r w:rsidR="0089701E" w:rsidRPr="00EE086D">
        <w:rPr>
          <w:rFonts w:cs="Arial"/>
        </w:rPr>
        <w:t>.</w:t>
      </w:r>
    </w:p>
    <w:p w14:paraId="3EA68217" w14:textId="77777777" w:rsidR="00EF0484" w:rsidRPr="004E4C01" w:rsidRDefault="00EF0484" w:rsidP="00C86DA5"/>
    <w:p w14:paraId="674F6149" w14:textId="50436A79" w:rsidR="00076F22" w:rsidRPr="004E4C01" w:rsidRDefault="005259F7" w:rsidP="006052B3">
      <w:pPr>
        <w:numPr>
          <w:ilvl w:val="0"/>
          <w:numId w:val="586"/>
        </w:numPr>
        <w:tabs>
          <w:tab w:val="left" w:pos="-2268"/>
        </w:tabs>
        <w:suppressAutoHyphens/>
        <w:ind w:left="567" w:hanging="567"/>
        <w:rPr>
          <w:b/>
          <w:i/>
          <w:spacing w:val="-3"/>
          <w:u w:val="single"/>
        </w:rPr>
      </w:pPr>
      <w:r w:rsidRPr="004E4C01">
        <w:rPr>
          <w:b/>
          <w:i/>
          <w:spacing w:val="-3"/>
          <w:u w:val="single"/>
        </w:rPr>
        <w:t>M</w:t>
      </w:r>
      <w:r w:rsidR="00076F22" w:rsidRPr="004E4C01">
        <w:rPr>
          <w:b/>
          <w:i/>
          <w:spacing w:val="-3"/>
          <w:u w:val="single"/>
        </w:rPr>
        <w:t>onitoreo del riesgo</w:t>
      </w:r>
    </w:p>
    <w:p w14:paraId="6B541EA9" w14:textId="77777777" w:rsidR="00076F22" w:rsidRPr="004E4C01" w:rsidRDefault="00076F22">
      <w:pPr>
        <w:rPr>
          <w:rFonts w:eastAsia="Arial" w:cs="Arial"/>
          <w:color w:val="000000" w:themeColor="text1"/>
        </w:rPr>
      </w:pPr>
    </w:p>
    <w:p w14:paraId="33DAE1F8" w14:textId="77777777" w:rsidR="00AF7485" w:rsidRPr="004E4C01" w:rsidRDefault="00AF7485" w:rsidP="00AF7485">
      <w:pPr>
        <w:rPr>
          <w:rFonts w:eastAsia="Arial" w:cs="Arial"/>
          <w:color w:val="000000" w:themeColor="text1"/>
        </w:rPr>
      </w:pPr>
      <w:r w:rsidRPr="004E4C01">
        <w:rPr>
          <w:rFonts w:eastAsia="Arial" w:cs="Arial"/>
          <w:color w:val="000000" w:themeColor="text1"/>
        </w:rPr>
        <w:t>El monitoreo del riesgo debe formular actividades de seguimiento a las condiciones de amenaza, vulnerabilidad y riesgo de acuerdo con los objetivos del plan y con los resultados obtenidos de aplicar los lineamientos de los literales b, c, d y e.</w:t>
      </w:r>
    </w:p>
    <w:p w14:paraId="6F1BC786" w14:textId="77777777" w:rsidR="00AF7485" w:rsidRPr="004E4C01" w:rsidRDefault="00AF7485" w:rsidP="00AF7485">
      <w:pPr>
        <w:rPr>
          <w:rFonts w:eastAsia="Arial" w:cs="Arial"/>
          <w:color w:val="000000" w:themeColor="text1"/>
        </w:rPr>
      </w:pPr>
    </w:p>
    <w:p w14:paraId="17C2629F" w14:textId="77777777" w:rsidR="00AF7485" w:rsidRPr="004E4C01" w:rsidRDefault="00AF7485" w:rsidP="00AF7485">
      <w:pPr>
        <w:rPr>
          <w:rFonts w:eastAsia="Arial" w:cs="Arial"/>
          <w:color w:val="000000" w:themeColor="text1"/>
        </w:rPr>
      </w:pPr>
      <w:r w:rsidRPr="004E4C01">
        <w:rPr>
          <w:rFonts w:eastAsia="Arial" w:cs="Arial"/>
          <w:color w:val="000000" w:themeColor="text1"/>
        </w:rPr>
        <w:t>El monitoreo del riesgo debe contemplar lo siguiente:</w:t>
      </w:r>
    </w:p>
    <w:p w14:paraId="174E1E18" w14:textId="77777777" w:rsidR="00AF7485" w:rsidRPr="004E4C01" w:rsidRDefault="00AF7485" w:rsidP="00AF7485">
      <w:pPr>
        <w:rPr>
          <w:rFonts w:eastAsia="Arial" w:cs="Arial"/>
          <w:color w:val="000000" w:themeColor="text1"/>
        </w:rPr>
      </w:pPr>
    </w:p>
    <w:p w14:paraId="2AE53844" w14:textId="77777777" w:rsidR="00AF7485" w:rsidRPr="004E4C01" w:rsidRDefault="00AF7485" w:rsidP="00127BD4">
      <w:pPr>
        <w:numPr>
          <w:ilvl w:val="0"/>
          <w:numId w:val="401"/>
        </w:numPr>
        <w:ind w:left="567" w:hanging="567"/>
        <w:rPr>
          <w:rFonts w:eastAsia="Arial" w:cs="Arial"/>
          <w:color w:val="000000" w:themeColor="text1"/>
        </w:rPr>
      </w:pPr>
      <w:r w:rsidRPr="004E4C01">
        <w:rPr>
          <w:rFonts w:eastAsia="Arial" w:cs="Arial"/>
          <w:color w:val="000000" w:themeColor="text1"/>
        </w:rPr>
        <w:t>Determinación de variables, parámetros o indicadores que permitan evaluar de forma sistemática</w:t>
      </w:r>
      <w:r w:rsidRPr="004E4C01" w:rsidDel="00E33A51">
        <w:rPr>
          <w:rFonts w:eastAsia="Arial" w:cs="Arial"/>
          <w:color w:val="000000" w:themeColor="text1"/>
        </w:rPr>
        <w:t xml:space="preserve"> </w:t>
      </w:r>
      <w:r w:rsidRPr="004E4C01">
        <w:rPr>
          <w:rFonts w:eastAsia="Arial" w:cs="Arial"/>
          <w:color w:val="000000" w:themeColor="text1"/>
        </w:rPr>
        <w:t>las condiciones, comportamiento y patrones de amenaza, vulnerabilidad y riesgo. Estas variables, parámetros o indicadores deben ser consistentes con la naturaleza de los eventos de amenaza o riesgo.</w:t>
      </w:r>
    </w:p>
    <w:p w14:paraId="36AC4F5D" w14:textId="77777777" w:rsidR="00AF7485" w:rsidRPr="004E4C01" w:rsidRDefault="00AF7485" w:rsidP="00AF7485">
      <w:pPr>
        <w:rPr>
          <w:rFonts w:eastAsia="Arial" w:cs="Arial"/>
          <w:color w:val="000000" w:themeColor="text1"/>
        </w:rPr>
      </w:pPr>
    </w:p>
    <w:p w14:paraId="0B6D6147" w14:textId="4CFF9D22" w:rsidR="00AF7485" w:rsidRPr="004E4C01" w:rsidRDefault="00AF7485" w:rsidP="00127BD4">
      <w:pPr>
        <w:numPr>
          <w:ilvl w:val="0"/>
          <w:numId w:val="401"/>
        </w:numPr>
        <w:ind w:left="567" w:hanging="567"/>
        <w:rPr>
          <w:rFonts w:eastAsia="Arial" w:cs="Arial"/>
          <w:color w:val="000000" w:themeColor="text1"/>
        </w:rPr>
      </w:pPr>
      <w:r w:rsidRPr="004E4C01">
        <w:rPr>
          <w:rFonts w:eastAsia="Arial" w:cs="Arial"/>
          <w:color w:val="000000" w:themeColor="text1"/>
        </w:rPr>
        <w:t xml:space="preserve">Determinación de actividades, medidas, protocolos o procedimientos para monitorear las condiciones de amenaza, vulnerabilidad y riesgo que sean acordes con la </w:t>
      </w:r>
      <w:r w:rsidR="00D53562">
        <w:rPr>
          <w:spacing w:val="-3"/>
        </w:rPr>
        <w:t>etapa</w:t>
      </w:r>
      <w:r w:rsidR="00D53562" w:rsidRPr="004E4C01" w:rsidDel="00D53562">
        <w:rPr>
          <w:rFonts w:eastAsia="Arial" w:cs="Arial"/>
          <w:color w:val="000000" w:themeColor="text1"/>
        </w:rPr>
        <w:t xml:space="preserve"> </w:t>
      </w:r>
      <w:r w:rsidRPr="004E4C01">
        <w:rPr>
          <w:rFonts w:eastAsia="Arial" w:cs="Arial"/>
          <w:color w:val="000000" w:themeColor="text1"/>
        </w:rPr>
        <w:t>del proyecto que corresponda. Se debe señalar su frecuencia de ejecución.</w:t>
      </w:r>
    </w:p>
    <w:p w14:paraId="7E39A6FF" w14:textId="77777777" w:rsidR="00AF7485" w:rsidRPr="004E4C01" w:rsidRDefault="00AF7485" w:rsidP="00AF7485">
      <w:pPr>
        <w:rPr>
          <w:rFonts w:eastAsia="Arial" w:cs="Arial"/>
          <w:color w:val="000000" w:themeColor="text1"/>
        </w:rPr>
      </w:pPr>
    </w:p>
    <w:p w14:paraId="04C88C69" w14:textId="77777777" w:rsidR="00AF7485" w:rsidRPr="004E4C01" w:rsidRDefault="00AF7485" w:rsidP="00127BD4">
      <w:pPr>
        <w:numPr>
          <w:ilvl w:val="0"/>
          <w:numId w:val="401"/>
        </w:numPr>
        <w:ind w:left="567" w:hanging="567"/>
        <w:rPr>
          <w:rFonts w:eastAsia="Arial" w:cs="Arial"/>
          <w:color w:val="000000" w:themeColor="text1"/>
        </w:rPr>
      </w:pPr>
      <w:r w:rsidRPr="004E4C01">
        <w:rPr>
          <w:rFonts w:eastAsia="Arial" w:cs="Arial"/>
          <w:color w:val="000000" w:themeColor="text1"/>
        </w:rPr>
        <w:t>Determinación de instrumentos tecnológicos, manuales o automatizados, para realizar la medición de condiciones de amenaza, vulnerabilidad o riesgo que permitan recolectar y analizar datos de manera eficaz.</w:t>
      </w:r>
    </w:p>
    <w:p w14:paraId="1CBF50B8" w14:textId="77777777" w:rsidR="00AF7485" w:rsidRPr="00127BD4" w:rsidRDefault="00AF7485" w:rsidP="00AF7485">
      <w:pPr>
        <w:rPr>
          <w:rFonts w:eastAsia="Arial" w:cs="Arial"/>
          <w:color w:val="000000" w:themeColor="text1"/>
        </w:rPr>
      </w:pPr>
    </w:p>
    <w:p w14:paraId="72885BA3" w14:textId="77777777" w:rsidR="00AF7485" w:rsidRPr="00127BD4" w:rsidRDefault="00AF7485" w:rsidP="00127BD4">
      <w:pPr>
        <w:numPr>
          <w:ilvl w:val="0"/>
          <w:numId w:val="401"/>
        </w:numPr>
        <w:ind w:left="567" w:hanging="567"/>
        <w:rPr>
          <w:rFonts w:eastAsia="Arial" w:cs="Arial"/>
          <w:color w:val="000000" w:themeColor="text1"/>
        </w:rPr>
      </w:pPr>
      <w:r w:rsidRPr="00127BD4">
        <w:rPr>
          <w:rFonts w:eastAsia="Arial" w:cs="Arial"/>
          <w:color w:val="000000" w:themeColor="text1"/>
        </w:rPr>
        <w:t>Definición de los umbrales de alarma y alerta para las variables, parámetros o indicadores propuestos.</w:t>
      </w:r>
    </w:p>
    <w:p w14:paraId="74307047" w14:textId="77777777" w:rsidR="00AF7485" w:rsidRPr="00127BD4" w:rsidRDefault="00AF7485" w:rsidP="00AF7485">
      <w:pPr>
        <w:rPr>
          <w:rFonts w:eastAsia="Arial" w:cs="Arial"/>
          <w:color w:val="000000" w:themeColor="text1"/>
        </w:rPr>
      </w:pPr>
    </w:p>
    <w:p w14:paraId="01503B93" w14:textId="55A0370A" w:rsidR="00AF7485" w:rsidRPr="004E4C01" w:rsidRDefault="00AF7485" w:rsidP="00127BD4">
      <w:pPr>
        <w:numPr>
          <w:ilvl w:val="0"/>
          <w:numId w:val="401"/>
        </w:numPr>
        <w:ind w:left="567" w:hanging="567"/>
        <w:rPr>
          <w:rFonts w:eastAsia="Arial" w:cs="Arial"/>
          <w:color w:val="000000" w:themeColor="text1"/>
        </w:rPr>
      </w:pPr>
      <w:r w:rsidRPr="004E4C01">
        <w:rPr>
          <w:rFonts w:eastAsia="Arial" w:cs="Arial"/>
          <w:color w:val="000000" w:themeColor="text1"/>
        </w:rPr>
        <w:t xml:space="preserve">Articulación con el procedimiento de notificación y con los niveles de contingencia según se define en el numeral </w:t>
      </w:r>
      <w:r w:rsidRPr="004E4C01">
        <w:rPr>
          <w:rFonts w:eastAsia="Arial" w:cs="Arial"/>
          <w:color w:val="000000" w:themeColor="text1"/>
        </w:rPr>
        <w:fldChar w:fldCharType="begin"/>
      </w:r>
      <w:r w:rsidRPr="004E4C01">
        <w:rPr>
          <w:rFonts w:eastAsia="Arial" w:cs="Arial"/>
          <w:color w:val="000000" w:themeColor="text1"/>
        </w:rPr>
        <w:instrText xml:space="preserve"> REF _Ref142917460 \r \h  \* MERGEFORMAT </w:instrText>
      </w:r>
      <w:r w:rsidRPr="004E4C01">
        <w:rPr>
          <w:rFonts w:eastAsia="Arial" w:cs="Arial"/>
          <w:color w:val="000000" w:themeColor="text1"/>
        </w:rPr>
      </w:r>
      <w:r w:rsidRPr="004E4C01">
        <w:rPr>
          <w:rFonts w:eastAsia="Arial" w:cs="Arial"/>
          <w:color w:val="000000" w:themeColor="text1"/>
        </w:rPr>
        <w:fldChar w:fldCharType="separate"/>
      </w:r>
      <w:r w:rsidR="009C4A81">
        <w:rPr>
          <w:rFonts w:eastAsia="Arial" w:cs="Arial"/>
          <w:color w:val="000000" w:themeColor="text1"/>
        </w:rPr>
        <w:t>10.3.3</w:t>
      </w:r>
      <w:r w:rsidRPr="004E4C01">
        <w:rPr>
          <w:rFonts w:eastAsia="Arial" w:cs="Arial"/>
          <w:color w:val="000000" w:themeColor="text1"/>
        </w:rPr>
        <w:fldChar w:fldCharType="end"/>
      </w:r>
      <w:r w:rsidRPr="004E4C01">
        <w:rPr>
          <w:rFonts w:eastAsia="Arial" w:cs="Arial"/>
          <w:color w:val="000000" w:themeColor="text1"/>
        </w:rPr>
        <w:t>. y de conformidad con los umbrales establecidos.</w:t>
      </w:r>
    </w:p>
    <w:p w14:paraId="7E0A198A" w14:textId="77777777" w:rsidR="00AF7485" w:rsidRPr="004E4C01" w:rsidRDefault="00AF7485" w:rsidP="00AF7485">
      <w:pPr>
        <w:rPr>
          <w:rFonts w:eastAsia="Arial" w:cs="Arial"/>
          <w:color w:val="000000" w:themeColor="text1"/>
        </w:rPr>
      </w:pPr>
    </w:p>
    <w:p w14:paraId="6482CA9A" w14:textId="09EB7F05" w:rsidR="00AF7485" w:rsidRPr="004E4C01" w:rsidRDefault="00AF7485" w:rsidP="00127BD4">
      <w:pPr>
        <w:numPr>
          <w:ilvl w:val="0"/>
          <w:numId w:val="401"/>
        </w:numPr>
        <w:ind w:left="567" w:hanging="567"/>
        <w:rPr>
          <w:rFonts w:eastAsia="Arial" w:cs="Arial"/>
          <w:color w:val="000000" w:themeColor="text1"/>
        </w:rPr>
      </w:pPr>
      <w:r w:rsidRPr="004E4C01">
        <w:rPr>
          <w:rFonts w:eastAsia="Arial" w:cs="Arial"/>
          <w:color w:val="000000" w:themeColor="text1"/>
        </w:rPr>
        <w:t xml:space="preserve">Articulación del monitoreo de parámetros de amenaza, vulnerabilidad y riesgo con el monitoreo establecido en el plan de seguimiento y monitoreo descrito en el numeral </w:t>
      </w:r>
      <w:r w:rsidRPr="004E4C01">
        <w:rPr>
          <w:rFonts w:eastAsia="Arial" w:cs="Arial"/>
          <w:color w:val="000000" w:themeColor="text1"/>
        </w:rPr>
        <w:fldChar w:fldCharType="begin"/>
      </w:r>
      <w:r w:rsidRPr="004E4C01">
        <w:rPr>
          <w:rFonts w:eastAsia="Arial" w:cs="Arial"/>
          <w:color w:val="000000" w:themeColor="text1"/>
        </w:rPr>
        <w:instrText xml:space="preserve"> REF _Ref142917517 \r \h  \* MERGEFORMAT </w:instrText>
      </w:r>
      <w:r w:rsidRPr="004E4C01">
        <w:rPr>
          <w:rFonts w:eastAsia="Arial" w:cs="Arial"/>
          <w:color w:val="000000" w:themeColor="text1"/>
        </w:rPr>
      </w:r>
      <w:r w:rsidRPr="004E4C01">
        <w:rPr>
          <w:rFonts w:eastAsia="Arial" w:cs="Arial"/>
          <w:color w:val="000000" w:themeColor="text1"/>
        </w:rPr>
        <w:fldChar w:fldCharType="separate"/>
      </w:r>
      <w:r w:rsidR="009C4A81">
        <w:rPr>
          <w:rFonts w:eastAsia="Arial" w:cs="Arial"/>
          <w:color w:val="000000" w:themeColor="text1"/>
        </w:rPr>
        <w:t>10.2</w:t>
      </w:r>
      <w:r w:rsidRPr="004E4C01">
        <w:rPr>
          <w:rFonts w:eastAsia="Arial" w:cs="Arial"/>
          <w:color w:val="000000" w:themeColor="text1"/>
        </w:rPr>
        <w:fldChar w:fldCharType="end"/>
      </w:r>
      <w:r w:rsidRPr="004E4C01">
        <w:rPr>
          <w:rFonts w:eastAsia="Arial" w:cs="Arial"/>
          <w:color w:val="000000" w:themeColor="text1"/>
        </w:rPr>
        <w:t xml:space="preserve">, el plan de manejo ambiental descrito en el numeral </w:t>
      </w:r>
      <w:r w:rsidRPr="004E4C01">
        <w:rPr>
          <w:rFonts w:eastAsia="Arial" w:cs="Arial"/>
          <w:color w:val="000000" w:themeColor="text1"/>
        </w:rPr>
        <w:fldChar w:fldCharType="begin"/>
      </w:r>
      <w:r w:rsidRPr="004E4C01">
        <w:rPr>
          <w:rFonts w:eastAsia="Arial" w:cs="Arial"/>
          <w:color w:val="000000" w:themeColor="text1"/>
        </w:rPr>
        <w:instrText xml:space="preserve"> REF _Ref75276155 \r \h  \* MERGEFORMAT </w:instrText>
      </w:r>
      <w:r w:rsidRPr="004E4C01">
        <w:rPr>
          <w:rFonts w:eastAsia="Arial" w:cs="Arial"/>
          <w:color w:val="000000" w:themeColor="text1"/>
        </w:rPr>
      </w:r>
      <w:r w:rsidRPr="004E4C01">
        <w:rPr>
          <w:rFonts w:eastAsia="Arial" w:cs="Arial"/>
          <w:color w:val="000000" w:themeColor="text1"/>
        </w:rPr>
        <w:fldChar w:fldCharType="separate"/>
      </w:r>
      <w:r w:rsidR="009C4A81">
        <w:rPr>
          <w:rFonts w:eastAsia="Arial" w:cs="Arial"/>
          <w:color w:val="000000" w:themeColor="text1"/>
        </w:rPr>
        <w:t>10.1</w:t>
      </w:r>
      <w:r w:rsidRPr="004E4C01">
        <w:rPr>
          <w:rFonts w:eastAsia="Arial" w:cs="Arial"/>
          <w:color w:val="000000" w:themeColor="text1"/>
        </w:rPr>
        <w:fldChar w:fldCharType="end"/>
      </w:r>
      <w:r w:rsidRPr="004E4C01">
        <w:rPr>
          <w:rFonts w:eastAsia="Arial" w:cs="Arial"/>
          <w:color w:val="000000" w:themeColor="text1"/>
        </w:rPr>
        <w:t xml:space="preserve"> o cualquier otro plan incorporado al EIA, señalando qué variables, parámetros o indicadores para el monitoreo de la amenaza, vulnerabilidad y riesgo se emplean también en tales planes. Se debe garantizar la coherencia entre todos los planes, en caso de aplicar.</w:t>
      </w:r>
    </w:p>
    <w:p w14:paraId="74148D49" w14:textId="5F8A3971" w:rsidR="00076F22" w:rsidRDefault="00076F22"/>
    <w:p w14:paraId="20C638C0" w14:textId="77777777" w:rsidR="00226A2D" w:rsidRPr="004E4C01" w:rsidRDefault="00226A2D"/>
    <w:p w14:paraId="3977F7AB" w14:textId="54CA8C93" w:rsidR="00076F22" w:rsidRPr="00466E26" w:rsidRDefault="00076F22" w:rsidP="000A1E20">
      <w:pPr>
        <w:pStyle w:val="Ttulo3"/>
      </w:pPr>
      <w:bookmarkStart w:id="11396" w:name="_Ref175320128"/>
      <w:bookmarkStart w:id="11397" w:name="_Toc230879716"/>
      <w:r w:rsidRPr="00466E26">
        <w:lastRenderedPageBreak/>
        <w:t>Reducción del riesgo</w:t>
      </w:r>
      <w:bookmarkEnd w:id="11396"/>
      <w:bookmarkEnd w:id="11397"/>
    </w:p>
    <w:p w14:paraId="4A653748" w14:textId="77777777" w:rsidR="00076F22" w:rsidRPr="004E4C01" w:rsidRDefault="00076F22" w:rsidP="00C86DA5">
      <w:pPr>
        <w:rPr>
          <w:rFonts w:eastAsia="Arial"/>
          <w:color w:val="000000" w:themeColor="text1"/>
        </w:rPr>
      </w:pPr>
    </w:p>
    <w:p w14:paraId="2C457BCD" w14:textId="77777777" w:rsidR="00E94C87" w:rsidRPr="004E4C01" w:rsidRDefault="00E94C87" w:rsidP="00E94C87">
      <w:pPr>
        <w:rPr>
          <w:rFonts w:eastAsia="Arial"/>
          <w:color w:val="000000" w:themeColor="text1"/>
        </w:rPr>
      </w:pPr>
      <w:r w:rsidRPr="004E4C01">
        <w:rPr>
          <w:rFonts w:eastAsia="Arial"/>
          <w:color w:val="000000" w:themeColor="text1"/>
        </w:rPr>
        <w:t>Se deben formular medidas de reducción del riesgo correctivas y prospectivas para los escenarios de riesgos identificados, analizados y valorados en el proceso del conocimiento a partir de las siguientes definiciones: i) medidas correctivas: acciones de mitigación del riesgo existente en el sentido de disminuir o reducir las condiciones de amenaza, cuando sea posible, y vulnerabilidad de los elementos expuestos y; ii) medidas prospectivas: acciones de prevención que busquen evitar el surgimiento de nuevas situaciones de riesgo.</w:t>
      </w:r>
    </w:p>
    <w:p w14:paraId="00AB3B79" w14:textId="77777777" w:rsidR="00E94C87" w:rsidRPr="004E4C01" w:rsidRDefault="00E94C87" w:rsidP="00E94C87">
      <w:pPr>
        <w:rPr>
          <w:rFonts w:eastAsia="Arial"/>
          <w:color w:val="000000" w:themeColor="text1"/>
        </w:rPr>
      </w:pPr>
    </w:p>
    <w:p w14:paraId="441535D2" w14:textId="508ED919" w:rsidR="00E94C87" w:rsidRPr="004E4C01" w:rsidRDefault="00E94C87" w:rsidP="00E94C87">
      <w:pPr>
        <w:rPr>
          <w:rFonts w:eastAsia="Arial"/>
          <w:color w:val="000000" w:themeColor="text1"/>
        </w:rPr>
      </w:pPr>
      <w:r w:rsidRPr="004E4C01">
        <w:rPr>
          <w:rFonts w:eastAsia="Arial"/>
          <w:color w:val="000000" w:themeColor="text1"/>
        </w:rPr>
        <w:t>Estas medidas deben ser formuladas para mitigar y prevenir la probable afectación de la infraestructura del proyecto, obra o actividad y de los elementos expuestos de los medios abiótico, biótico y socioeconómico, los ecosistemas y sus servicios; asimismo, deben clasificarse como medidas estructurales</w:t>
      </w:r>
      <w:r w:rsidRPr="004E4C01">
        <w:rPr>
          <w:rFonts w:eastAsia="Arial"/>
          <w:color w:val="000000" w:themeColor="text1"/>
          <w:vertAlign w:val="superscript"/>
        </w:rPr>
        <w:footnoteReference w:id="258"/>
      </w:r>
      <w:r w:rsidRPr="004E4C01">
        <w:rPr>
          <w:rFonts w:eastAsia="Arial"/>
          <w:color w:val="000000" w:themeColor="text1"/>
        </w:rPr>
        <w:t xml:space="preserve"> o no estructurales</w:t>
      </w:r>
      <w:r w:rsidRPr="004E4C01">
        <w:rPr>
          <w:rFonts w:eastAsia="Arial"/>
          <w:color w:val="000000" w:themeColor="text1"/>
          <w:vertAlign w:val="superscript"/>
        </w:rPr>
        <w:footnoteReference w:id="259"/>
      </w:r>
      <w:r w:rsidRPr="004E4C01">
        <w:rPr>
          <w:rFonts w:eastAsia="Arial"/>
          <w:color w:val="000000" w:themeColor="text1"/>
        </w:rPr>
        <w:t xml:space="preserve">. Estas medidas deben estar articuladas tanto con las medidas del plan de manejo ambiental, del plan de seguimiento y monitoreo o cualquiera de los planes del EIA para las diferentes </w:t>
      </w:r>
      <w:r w:rsidR="00D53562">
        <w:rPr>
          <w:spacing w:val="-3"/>
        </w:rPr>
        <w:t>etapas</w:t>
      </w:r>
      <w:r w:rsidR="00D53562" w:rsidRPr="004E4C01" w:rsidDel="00D53562">
        <w:rPr>
          <w:rFonts w:eastAsia="Arial"/>
          <w:color w:val="000000" w:themeColor="text1"/>
        </w:rPr>
        <w:t xml:space="preserve"> </w:t>
      </w:r>
      <w:r w:rsidRPr="004E4C01">
        <w:rPr>
          <w:rFonts w:eastAsia="Arial"/>
          <w:color w:val="000000" w:themeColor="text1"/>
        </w:rPr>
        <w:t>del proyecto, obra o actividad, como con aquellas definidas en los instrumentos territoriales de gestión del riesgo.</w:t>
      </w:r>
    </w:p>
    <w:p w14:paraId="7CBEA136" w14:textId="77777777" w:rsidR="00E94C87" w:rsidRPr="004E4C01" w:rsidRDefault="00E94C87" w:rsidP="00E94C87">
      <w:pPr>
        <w:rPr>
          <w:rFonts w:eastAsia="Arial"/>
          <w:color w:val="000000" w:themeColor="text1"/>
        </w:rPr>
      </w:pPr>
    </w:p>
    <w:p w14:paraId="383B9DD0" w14:textId="77777777" w:rsidR="00E94C87" w:rsidRPr="00127BD4" w:rsidRDefault="00E94C87" w:rsidP="00E94C87">
      <w:pPr>
        <w:rPr>
          <w:rFonts w:eastAsia="Arial"/>
          <w:color w:val="000000" w:themeColor="text1"/>
        </w:rPr>
      </w:pPr>
      <w:r w:rsidRPr="004E4C01">
        <w:rPr>
          <w:rFonts w:eastAsia="Arial"/>
          <w:color w:val="000000" w:themeColor="text1"/>
        </w:rPr>
        <w:t>De ser posible, estas medidas deben ser formuladas procurando que, además de cumplir con su objetivo primario en la reducción del riesgo, contribuyan a la gestión del cambio climático, ya sea mediante la reducción de emisiones de GEI (mitigación) o mediante la disminución de la vulnerabilidad y el fortalecimiento de la resiliencia de los elementos del ambiente que pueden ser impactados por el proyecto (adaptación). En particular, se debe considerar la influencia de los riesgos asociados al cambio climático, así como la necesidad de que las medidas de reducción del riesgo sean eficaces frente a escenarios climáticos futuros</w:t>
      </w:r>
      <w:r w:rsidRPr="00127BD4">
        <w:rPr>
          <w:rFonts w:eastAsia="Arial"/>
          <w:color w:val="000000" w:themeColor="text1"/>
          <w:vertAlign w:val="superscript"/>
        </w:rPr>
        <w:footnoteReference w:id="260"/>
      </w:r>
      <w:r w:rsidRPr="00127BD4">
        <w:rPr>
          <w:rFonts w:eastAsia="Arial"/>
          <w:color w:val="000000" w:themeColor="text1"/>
        </w:rPr>
        <w:t xml:space="preserve">. Asimismo, es necesario identificar qué medidas de reducción del riesgo son también medidas de mitigación de GEI o de adaptación al cambio climático, </w:t>
      </w:r>
      <w:r w:rsidRPr="004E4C01">
        <w:rPr>
          <w:rFonts w:eastAsia="Arial"/>
          <w:color w:val="000000" w:themeColor="text1"/>
        </w:rPr>
        <w:t>y describir cómo estas contribuyen de manera específica a la gestión climática del proyecto.</w:t>
      </w:r>
    </w:p>
    <w:p w14:paraId="1F8A3C61" w14:textId="77777777" w:rsidR="005F7EF5" w:rsidRPr="00127BD4" w:rsidRDefault="005F7EF5" w:rsidP="00E94C87">
      <w:pPr>
        <w:rPr>
          <w:rFonts w:eastAsia="Arial"/>
          <w:color w:val="000000" w:themeColor="text1"/>
        </w:rPr>
      </w:pPr>
    </w:p>
    <w:p w14:paraId="4D2DF282" w14:textId="77777777" w:rsidR="00E94C87" w:rsidRPr="00127BD4" w:rsidRDefault="00E94C87" w:rsidP="00E94C87">
      <w:pPr>
        <w:rPr>
          <w:rFonts w:eastAsia="Arial"/>
          <w:color w:val="000000" w:themeColor="text1"/>
        </w:rPr>
      </w:pPr>
      <w:r w:rsidRPr="004E4C01">
        <w:rPr>
          <w:rFonts w:eastAsia="Arial"/>
          <w:color w:val="000000" w:themeColor="text1"/>
        </w:rPr>
        <w:t>Para cada una de las medidas de reducción del riesgo es necesario definir lo siguiente:</w:t>
      </w:r>
    </w:p>
    <w:p w14:paraId="76BD35EC" w14:textId="77777777" w:rsidR="00E94C87" w:rsidRPr="00127BD4" w:rsidRDefault="00E94C87" w:rsidP="00E94C87">
      <w:pPr>
        <w:rPr>
          <w:rFonts w:eastAsia="Arial"/>
          <w:color w:val="000000" w:themeColor="text1"/>
        </w:rPr>
      </w:pPr>
    </w:p>
    <w:p w14:paraId="53CA90A0" w14:textId="48EC807E" w:rsidR="00E94C87" w:rsidRPr="004E4C01" w:rsidRDefault="00E94C87" w:rsidP="00127BD4">
      <w:pPr>
        <w:numPr>
          <w:ilvl w:val="0"/>
          <w:numId w:val="401"/>
        </w:numPr>
        <w:ind w:left="567" w:hanging="567"/>
        <w:rPr>
          <w:rFonts w:eastAsia="Arial" w:cs="Arial"/>
          <w:color w:val="000000" w:themeColor="text1"/>
        </w:rPr>
      </w:pPr>
      <w:r w:rsidRPr="004E4C01">
        <w:rPr>
          <w:rFonts w:eastAsia="Arial" w:cs="Arial"/>
          <w:color w:val="000000" w:themeColor="text1"/>
        </w:rPr>
        <w:t>Riesgo</w:t>
      </w:r>
      <w:r w:rsidR="00A37CBF" w:rsidRPr="004E4C01">
        <w:rPr>
          <w:rFonts w:eastAsia="Arial" w:cs="Arial"/>
          <w:color w:val="000000" w:themeColor="text1"/>
        </w:rPr>
        <w:t>s</w:t>
      </w:r>
      <w:r w:rsidRPr="004E4C01">
        <w:rPr>
          <w:rFonts w:eastAsia="Arial" w:cs="Arial"/>
          <w:color w:val="000000" w:themeColor="text1"/>
        </w:rPr>
        <w:t xml:space="preserve"> a</w:t>
      </w:r>
      <w:r w:rsidR="00A37CBF" w:rsidRPr="004E4C01">
        <w:rPr>
          <w:rFonts w:eastAsia="Arial" w:cs="Arial"/>
          <w:color w:val="000000" w:themeColor="text1"/>
        </w:rPr>
        <w:t xml:space="preserve"> </w:t>
      </w:r>
      <w:r w:rsidRPr="004E4C01">
        <w:rPr>
          <w:rFonts w:eastAsia="Arial" w:cs="Arial"/>
          <w:color w:val="000000" w:themeColor="text1"/>
        </w:rPr>
        <w:t>l</w:t>
      </w:r>
      <w:r w:rsidR="00A37CBF" w:rsidRPr="004E4C01">
        <w:rPr>
          <w:rFonts w:eastAsia="Arial" w:cs="Arial"/>
          <w:color w:val="000000" w:themeColor="text1"/>
        </w:rPr>
        <w:t>os</w:t>
      </w:r>
      <w:r w:rsidRPr="004E4C01">
        <w:rPr>
          <w:rFonts w:eastAsia="Arial" w:cs="Arial"/>
          <w:color w:val="000000" w:themeColor="text1"/>
        </w:rPr>
        <w:t xml:space="preserve"> cual</w:t>
      </w:r>
      <w:r w:rsidR="00A37CBF" w:rsidRPr="004E4C01">
        <w:rPr>
          <w:rFonts w:eastAsia="Arial" w:cs="Arial"/>
          <w:color w:val="000000" w:themeColor="text1"/>
        </w:rPr>
        <w:t>es</w:t>
      </w:r>
      <w:r w:rsidRPr="004E4C01">
        <w:rPr>
          <w:rFonts w:eastAsia="Arial" w:cs="Arial"/>
          <w:color w:val="000000" w:themeColor="text1"/>
        </w:rPr>
        <w:t xml:space="preserve"> se dirige.</w:t>
      </w:r>
    </w:p>
    <w:p w14:paraId="1D1B2790" w14:textId="77777777" w:rsidR="00E94C87" w:rsidRPr="004E4C01" w:rsidRDefault="00E94C87" w:rsidP="00E94C87">
      <w:pPr>
        <w:rPr>
          <w:rFonts w:eastAsia="Arial"/>
          <w:color w:val="000000" w:themeColor="text1"/>
        </w:rPr>
      </w:pPr>
    </w:p>
    <w:p w14:paraId="35C98632" w14:textId="77777777" w:rsidR="00E94C87" w:rsidRPr="004E4C01" w:rsidRDefault="00E94C87" w:rsidP="00127BD4">
      <w:pPr>
        <w:numPr>
          <w:ilvl w:val="0"/>
          <w:numId w:val="401"/>
        </w:numPr>
        <w:ind w:left="567" w:hanging="567"/>
        <w:rPr>
          <w:rFonts w:eastAsia="Arial" w:cs="Arial"/>
          <w:color w:val="000000" w:themeColor="text1"/>
        </w:rPr>
      </w:pPr>
      <w:r w:rsidRPr="004E4C01">
        <w:rPr>
          <w:rFonts w:eastAsia="Arial" w:cs="Arial"/>
          <w:color w:val="000000" w:themeColor="text1"/>
        </w:rPr>
        <w:lastRenderedPageBreak/>
        <w:t>Tipo de medida (correctiva, prospectiva).</w:t>
      </w:r>
    </w:p>
    <w:p w14:paraId="0F2DFF90" w14:textId="77777777" w:rsidR="00E94C87" w:rsidRPr="004E4C01" w:rsidRDefault="00E94C87" w:rsidP="00E94C87">
      <w:pPr>
        <w:rPr>
          <w:rFonts w:eastAsia="Arial"/>
          <w:color w:val="000000" w:themeColor="text1"/>
        </w:rPr>
      </w:pPr>
    </w:p>
    <w:p w14:paraId="72B1F128" w14:textId="77777777" w:rsidR="00E94C87" w:rsidRPr="004E4C01" w:rsidRDefault="00E94C87" w:rsidP="00127BD4">
      <w:pPr>
        <w:numPr>
          <w:ilvl w:val="0"/>
          <w:numId w:val="401"/>
        </w:numPr>
        <w:ind w:left="567" w:hanging="567"/>
        <w:rPr>
          <w:rFonts w:eastAsia="Arial" w:cs="Arial"/>
          <w:color w:val="000000" w:themeColor="text1"/>
        </w:rPr>
      </w:pPr>
      <w:r w:rsidRPr="004E4C01">
        <w:rPr>
          <w:rFonts w:eastAsia="Arial" w:cs="Arial"/>
          <w:color w:val="000000" w:themeColor="text1"/>
        </w:rPr>
        <w:t>Clasificación de la medida (estructural, no estructural) y descripción sucinta de las obras que se propone construir, en caso de aplicar.</w:t>
      </w:r>
    </w:p>
    <w:p w14:paraId="2F7D6E10" w14:textId="77777777" w:rsidR="00E94C87" w:rsidRPr="004E4C01" w:rsidRDefault="00E94C87" w:rsidP="00E94C87">
      <w:pPr>
        <w:rPr>
          <w:rFonts w:eastAsia="Arial" w:cs="Arial"/>
          <w:color w:val="000000" w:themeColor="text1"/>
        </w:rPr>
      </w:pPr>
    </w:p>
    <w:p w14:paraId="79F43041" w14:textId="77777777" w:rsidR="00E94C87" w:rsidRPr="004E4C01" w:rsidRDefault="00E94C87" w:rsidP="00127BD4">
      <w:pPr>
        <w:numPr>
          <w:ilvl w:val="0"/>
          <w:numId w:val="401"/>
        </w:numPr>
        <w:ind w:left="567" w:hanging="567"/>
        <w:rPr>
          <w:rFonts w:eastAsia="Arial" w:cs="Arial"/>
          <w:color w:val="000000" w:themeColor="text1"/>
        </w:rPr>
      </w:pPr>
      <w:r w:rsidRPr="004E4C01">
        <w:rPr>
          <w:rFonts w:eastAsia="Arial" w:cs="Arial"/>
          <w:color w:val="000000" w:themeColor="text1"/>
        </w:rPr>
        <w:t>Metas. Deben especificar de forma cuantitativa, si ello resulta posible, qué resultados finales y parciales en la variable, parámetro o indicador asociado se espera obtener mediante la aplicación de tal medida.</w:t>
      </w:r>
    </w:p>
    <w:p w14:paraId="27EC22A7" w14:textId="77777777" w:rsidR="00E94C87" w:rsidRPr="004E4C01" w:rsidRDefault="00E94C87" w:rsidP="00E94C87">
      <w:pPr>
        <w:rPr>
          <w:rFonts w:eastAsia="Arial"/>
          <w:color w:val="000000" w:themeColor="text1"/>
        </w:rPr>
      </w:pPr>
    </w:p>
    <w:p w14:paraId="28FA3005" w14:textId="77777777" w:rsidR="00E94C87" w:rsidRPr="004E4C01" w:rsidRDefault="00E94C87" w:rsidP="00127BD4">
      <w:pPr>
        <w:numPr>
          <w:ilvl w:val="0"/>
          <w:numId w:val="401"/>
        </w:numPr>
        <w:ind w:left="567" w:hanging="567"/>
        <w:rPr>
          <w:rFonts w:eastAsia="Arial" w:cs="Arial"/>
          <w:color w:val="000000" w:themeColor="text1"/>
        </w:rPr>
      </w:pPr>
      <w:r w:rsidRPr="004E4C01">
        <w:rPr>
          <w:rFonts w:eastAsia="Arial" w:cs="Arial"/>
          <w:color w:val="000000" w:themeColor="text1"/>
        </w:rPr>
        <w:t>Listado de acciones específicas a ejecutar.</w:t>
      </w:r>
    </w:p>
    <w:p w14:paraId="2110F102" w14:textId="77777777" w:rsidR="00E94C87" w:rsidRPr="004E4C01" w:rsidRDefault="00E94C87" w:rsidP="00E94C87">
      <w:pPr>
        <w:rPr>
          <w:rFonts w:eastAsia="Arial"/>
          <w:color w:val="000000" w:themeColor="text1"/>
        </w:rPr>
      </w:pPr>
    </w:p>
    <w:p w14:paraId="21FA8E41" w14:textId="132B72A5" w:rsidR="00E94C87" w:rsidRPr="004E4C01" w:rsidRDefault="00D53562" w:rsidP="00127BD4">
      <w:pPr>
        <w:numPr>
          <w:ilvl w:val="0"/>
          <w:numId w:val="401"/>
        </w:numPr>
        <w:ind w:left="567" w:hanging="567"/>
        <w:rPr>
          <w:rFonts w:eastAsia="Arial" w:cs="Arial"/>
          <w:color w:val="000000" w:themeColor="text1"/>
        </w:rPr>
      </w:pPr>
      <w:r>
        <w:rPr>
          <w:rFonts w:eastAsia="Arial" w:cs="Arial"/>
          <w:color w:val="000000" w:themeColor="text1"/>
        </w:rPr>
        <w:t>E</w:t>
      </w:r>
      <w:r>
        <w:rPr>
          <w:spacing w:val="-3"/>
        </w:rPr>
        <w:t>tapas</w:t>
      </w:r>
      <w:r w:rsidRPr="004E4C01">
        <w:rPr>
          <w:rFonts w:eastAsia="Arial" w:cs="Arial"/>
          <w:color w:val="000000" w:themeColor="text1"/>
        </w:rPr>
        <w:t xml:space="preserve"> </w:t>
      </w:r>
      <w:r>
        <w:rPr>
          <w:rFonts w:eastAsia="Arial" w:cs="Arial"/>
          <w:color w:val="000000" w:themeColor="text1"/>
        </w:rPr>
        <w:t>y f</w:t>
      </w:r>
      <w:r w:rsidR="00E94C87" w:rsidRPr="004E4C01">
        <w:rPr>
          <w:rFonts w:eastAsia="Arial" w:cs="Arial"/>
          <w:color w:val="000000" w:themeColor="text1"/>
        </w:rPr>
        <w:t>ases del proyecto, obra o actividad en las que se prevé su implementación.</w:t>
      </w:r>
    </w:p>
    <w:p w14:paraId="243013C1" w14:textId="77777777" w:rsidR="00E94C87" w:rsidRPr="004E4C01" w:rsidRDefault="00E94C87" w:rsidP="00E94C87">
      <w:pPr>
        <w:rPr>
          <w:rFonts w:eastAsia="Arial"/>
          <w:color w:val="000000" w:themeColor="text1"/>
        </w:rPr>
      </w:pPr>
    </w:p>
    <w:p w14:paraId="6372992B" w14:textId="77777777" w:rsidR="00E94C87" w:rsidRPr="004E4C01" w:rsidRDefault="00E94C87" w:rsidP="00127BD4">
      <w:pPr>
        <w:numPr>
          <w:ilvl w:val="0"/>
          <w:numId w:val="401"/>
        </w:numPr>
        <w:ind w:left="567" w:hanging="567"/>
        <w:rPr>
          <w:rFonts w:eastAsia="Arial" w:cs="Arial"/>
          <w:color w:val="000000" w:themeColor="text1"/>
        </w:rPr>
      </w:pPr>
      <w:r w:rsidRPr="004E4C01">
        <w:rPr>
          <w:rFonts w:eastAsia="Arial" w:cs="Arial"/>
          <w:color w:val="000000" w:themeColor="text1"/>
        </w:rPr>
        <w:t>Cronograma anual estimado de implementación.</w:t>
      </w:r>
    </w:p>
    <w:p w14:paraId="3E6B0074" w14:textId="77777777" w:rsidR="00E94C87" w:rsidRPr="004E4C01" w:rsidRDefault="00E94C87" w:rsidP="00E94C87">
      <w:pPr>
        <w:rPr>
          <w:rFonts w:eastAsia="Arial"/>
          <w:color w:val="000000" w:themeColor="text1"/>
        </w:rPr>
      </w:pPr>
    </w:p>
    <w:p w14:paraId="29FD4952" w14:textId="77777777" w:rsidR="00E94C87" w:rsidRDefault="00E94C87">
      <w:pPr>
        <w:numPr>
          <w:ilvl w:val="0"/>
          <w:numId w:val="401"/>
        </w:numPr>
        <w:ind w:left="567" w:hanging="567"/>
        <w:rPr>
          <w:rFonts w:eastAsia="Arial" w:cs="Arial"/>
          <w:color w:val="000000" w:themeColor="text1"/>
        </w:rPr>
      </w:pPr>
      <w:r w:rsidRPr="004E4C01">
        <w:rPr>
          <w:rFonts w:eastAsia="Arial" w:cs="Arial"/>
          <w:color w:val="000000" w:themeColor="text1"/>
        </w:rPr>
        <w:t>Lugares de aplicación, señalando siempre que sea posible su ubicación en términos de coordenadas o de unidades de análisis.</w:t>
      </w:r>
    </w:p>
    <w:p w14:paraId="74F286D5" w14:textId="77777777" w:rsidR="00E94C87" w:rsidRPr="004E4C01" w:rsidRDefault="00E94C87" w:rsidP="00E94C87">
      <w:pPr>
        <w:rPr>
          <w:rFonts w:eastAsia="Arial"/>
          <w:color w:val="000000" w:themeColor="text1"/>
        </w:rPr>
      </w:pPr>
    </w:p>
    <w:p w14:paraId="172B947D" w14:textId="77777777" w:rsidR="00E94C87" w:rsidRPr="004E4C01" w:rsidRDefault="00E94C87" w:rsidP="00127BD4">
      <w:pPr>
        <w:numPr>
          <w:ilvl w:val="0"/>
          <w:numId w:val="401"/>
        </w:numPr>
        <w:ind w:left="567" w:hanging="567"/>
        <w:rPr>
          <w:rFonts w:eastAsia="Arial" w:cs="Arial"/>
          <w:color w:val="000000" w:themeColor="text1"/>
        </w:rPr>
      </w:pPr>
      <w:r w:rsidRPr="004E4C01">
        <w:rPr>
          <w:rFonts w:eastAsia="Arial" w:cs="Arial"/>
          <w:color w:val="000000" w:themeColor="text1"/>
        </w:rPr>
        <w:t>Otros planes del EIA en los que se incluye la medida, en caso de aplicar.</w:t>
      </w:r>
    </w:p>
    <w:p w14:paraId="7DEC43AB" w14:textId="77777777" w:rsidR="00E94C87" w:rsidRPr="004E4C01" w:rsidRDefault="00E94C87" w:rsidP="00E94C87">
      <w:pPr>
        <w:rPr>
          <w:rFonts w:eastAsia="Arial"/>
          <w:color w:val="000000" w:themeColor="text1"/>
        </w:rPr>
      </w:pPr>
    </w:p>
    <w:p w14:paraId="70872AB0" w14:textId="77313ADB" w:rsidR="00076F22" w:rsidRPr="004E4C01" w:rsidRDefault="00E94C87">
      <w:pPr>
        <w:rPr>
          <w:rFonts w:eastAsia="Arial" w:cs="Arial"/>
          <w:color w:val="000000" w:themeColor="text1"/>
        </w:rPr>
      </w:pPr>
      <w:r w:rsidRPr="004E4C01">
        <w:rPr>
          <w:rFonts w:eastAsia="Arial"/>
          <w:color w:val="000000" w:themeColor="text1"/>
        </w:rPr>
        <w:t>Es de anotar que las autoridades ambientales no tienen competencia para pronunciarse sobre o para autorizar diseños de obras o estructurales civiles.</w:t>
      </w:r>
    </w:p>
    <w:p w14:paraId="5D85647A" w14:textId="77777777" w:rsidR="009F56FA" w:rsidRPr="004E4C01" w:rsidRDefault="009F56FA">
      <w:pPr>
        <w:rPr>
          <w:rFonts w:cs="Arial"/>
          <w:szCs w:val="20"/>
        </w:rPr>
      </w:pPr>
    </w:p>
    <w:p w14:paraId="3D64EB4C" w14:textId="64367A67" w:rsidR="00076F22" w:rsidRPr="00466E26" w:rsidRDefault="00076F22" w:rsidP="000A1E20">
      <w:pPr>
        <w:pStyle w:val="Ttulo3"/>
      </w:pPr>
      <w:bookmarkStart w:id="11398" w:name="_Ref142917460"/>
      <w:bookmarkStart w:id="11399" w:name="_Toc230879717"/>
      <w:r w:rsidRPr="00466E26">
        <w:t>Manejo de la contingencia</w:t>
      </w:r>
      <w:bookmarkEnd w:id="11398"/>
      <w:bookmarkEnd w:id="11399"/>
    </w:p>
    <w:p w14:paraId="63A384D8" w14:textId="77777777" w:rsidR="00076F22" w:rsidRPr="004E4C01" w:rsidRDefault="00076F22" w:rsidP="00C86DA5"/>
    <w:p w14:paraId="132C4231" w14:textId="721DFEA8" w:rsidR="00076F22" w:rsidRPr="004E4C01" w:rsidRDefault="00F309AA" w:rsidP="00C86DA5">
      <w:r w:rsidRPr="004E4C01">
        <w:rPr>
          <w:rFonts w:cs="Arial"/>
        </w:rPr>
        <w:t>El</w:t>
      </w:r>
      <w:r w:rsidRPr="004E4C01">
        <w:t xml:space="preserve"> manejo </w:t>
      </w:r>
      <w:r w:rsidRPr="004E4C01">
        <w:rPr>
          <w:rFonts w:cs="Arial"/>
        </w:rPr>
        <w:t>de la contingencia</w:t>
      </w:r>
      <w:r w:rsidRPr="004E4C01">
        <w:t xml:space="preserve"> prepara</w:t>
      </w:r>
      <w:r w:rsidR="00C633E2" w:rsidRPr="004E4C01">
        <w:t xml:space="preserve"> </w:t>
      </w:r>
      <w:r w:rsidRPr="004E4C01">
        <w:t xml:space="preserve">la respuesta que con base en los escenarios posibles y priorizados (identificados en el proceso de conocimiento del riesgo), define los mecanismos de organización, coordinación, funciones, competencias, responsabilidades, así como recursos disponibles y necesarios para garantizar la atención efectiva de las contingencias que se puedan presentar. Igualmente, precisa los procedimientos y protocolos de actuación para cada una de </w:t>
      </w:r>
      <w:r w:rsidR="00C633E2" w:rsidRPr="004E4C01">
        <w:t xml:space="preserve">las contingencias a fin de </w:t>
      </w:r>
      <w:r w:rsidRPr="004E4C01">
        <w:t>minimiza</w:t>
      </w:r>
      <w:r w:rsidR="00C633E2" w:rsidRPr="004E4C01">
        <w:t xml:space="preserve">r </w:t>
      </w:r>
      <w:r w:rsidRPr="004E4C01">
        <w:t xml:space="preserve">la afectación a las personas, </w:t>
      </w:r>
      <w:r w:rsidR="007157A4" w:rsidRPr="004E4C01">
        <w:t xml:space="preserve">a </w:t>
      </w:r>
      <w:r w:rsidR="00324143" w:rsidRPr="004E4C01">
        <w:t xml:space="preserve">sus bienes y </w:t>
      </w:r>
      <w:r w:rsidR="007157A4" w:rsidRPr="004E4C01">
        <w:t>a</w:t>
      </w:r>
      <w:r w:rsidRPr="004E4C01">
        <w:t xml:space="preserve">l ambiente. </w:t>
      </w:r>
      <w:r w:rsidRPr="004E4C01">
        <w:rPr>
          <w:rFonts w:cs="Arial"/>
        </w:rPr>
        <w:t xml:space="preserve">Su contenido mínimo </w:t>
      </w:r>
      <w:r w:rsidR="00C633E2" w:rsidRPr="004E4C01">
        <w:rPr>
          <w:rFonts w:cs="Arial"/>
        </w:rPr>
        <w:t>es</w:t>
      </w:r>
      <w:r w:rsidRPr="004E4C01">
        <w:rPr>
          <w:rFonts w:cs="Arial"/>
        </w:rPr>
        <w:t xml:space="preserve"> el siguiente:</w:t>
      </w:r>
    </w:p>
    <w:p w14:paraId="23F3FE9C" w14:textId="77777777" w:rsidR="00076F22" w:rsidRPr="004E4C01" w:rsidRDefault="00076F22" w:rsidP="00C86DA5"/>
    <w:p w14:paraId="706F20E8" w14:textId="03BF68F9" w:rsidR="003E4159" w:rsidRPr="004E4C01" w:rsidRDefault="00076F22" w:rsidP="006052B3">
      <w:pPr>
        <w:numPr>
          <w:ilvl w:val="0"/>
          <w:numId w:val="587"/>
        </w:numPr>
        <w:tabs>
          <w:tab w:val="left" w:pos="-2268"/>
        </w:tabs>
        <w:suppressAutoHyphens/>
        <w:ind w:left="567" w:hanging="567"/>
        <w:rPr>
          <w:b/>
          <w:i/>
          <w:spacing w:val="-3"/>
          <w:u w:val="single"/>
        </w:rPr>
      </w:pPr>
      <w:r w:rsidRPr="004E4C01">
        <w:rPr>
          <w:b/>
          <w:i/>
          <w:spacing w:val="-3"/>
          <w:u w:val="single"/>
        </w:rPr>
        <w:t>Componente de preparación para la respuesta</w:t>
      </w:r>
    </w:p>
    <w:p w14:paraId="251EEDB2" w14:textId="77777777" w:rsidR="003E4159" w:rsidRPr="004E4C01" w:rsidRDefault="003E4159" w:rsidP="00C86DA5">
      <w:pPr>
        <w:rPr>
          <w:rFonts w:eastAsia="Arial" w:cs="Arial"/>
          <w:color w:val="000000" w:themeColor="text1"/>
        </w:rPr>
      </w:pPr>
    </w:p>
    <w:p w14:paraId="627B71F9" w14:textId="4B89941B" w:rsidR="00076F22" w:rsidRPr="004E4C01" w:rsidRDefault="00673E23" w:rsidP="003725C8">
      <w:pPr>
        <w:rPr>
          <w:rFonts w:eastAsiaTheme="minorEastAsia"/>
        </w:rPr>
      </w:pPr>
      <w:r w:rsidRPr="004E4C01">
        <w:rPr>
          <w:rFonts w:eastAsia="Arial" w:cs="Arial"/>
          <w:color w:val="000000" w:themeColor="text1"/>
        </w:rPr>
        <w:t xml:space="preserve">Debe establecer </w:t>
      </w:r>
      <w:r w:rsidR="00076F22" w:rsidRPr="004E4C01">
        <w:rPr>
          <w:rFonts w:eastAsia="Arial" w:cs="Arial"/>
          <w:color w:val="000000" w:themeColor="text1"/>
        </w:rPr>
        <w:t xml:space="preserve">el conjunto de acciones previas a la </w:t>
      </w:r>
      <w:r w:rsidR="00076F22" w:rsidRPr="004E4C01">
        <w:rPr>
          <w:rFonts w:eastAsia="Arial"/>
        </w:rPr>
        <w:t>respuesta ante una contingencia</w:t>
      </w:r>
      <w:r w:rsidR="003E4159" w:rsidRPr="004E4C01">
        <w:rPr>
          <w:rFonts w:eastAsia="Arial"/>
        </w:rPr>
        <w:t>,</w:t>
      </w:r>
      <w:r w:rsidR="00076F22" w:rsidRPr="004E4C01">
        <w:rPr>
          <w:rFonts w:eastAsia="Arial"/>
        </w:rPr>
        <w:t xml:space="preserve"> </w:t>
      </w:r>
      <w:r w:rsidRPr="004E4C01">
        <w:rPr>
          <w:rFonts w:eastAsia="Arial"/>
        </w:rPr>
        <w:t xml:space="preserve">así como desarrollar el </w:t>
      </w:r>
      <w:r w:rsidR="003E4159" w:rsidRPr="004E4C01">
        <w:rPr>
          <w:rFonts w:eastAsia="Arial"/>
        </w:rPr>
        <w:t>siguiente</w:t>
      </w:r>
      <w:r w:rsidRPr="004E4C01">
        <w:rPr>
          <w:rFonts w:eastAsia="Arial"/>
        </w:rPr>
        <w:t xml:space="preserve"> contenido</w:t>
      </w:r>
      <w:r w:rsidR="00076F22" w:rsidRPr="004E4C01">
        <w:rPr>
          <w:rFonts w:eastAsia="Arial"/>
        </w:rPr>
        <w:t>:</w:t>
      </w:r>
    </w:p>
    <w:p w14:paraId="34D04C5A" w14:textId="77777777" w:rsidR="00076F22" w:rsidRPr="004E4C01" w:rsidRDefault="00076F22" w:rsidP="009420F5">
      <w:pPr>
        <w:rPr>
          <w:rFonts w:eastAsiaTheme="minorEastAsia"/>
          <w:color w:val="000000" w:themeColor="text1"/>
        </w:rPr>
      </w:pPr>
    </w:p>
    <w:p w14:paraId="51127330" w14:textId="61955B28" w:rsidR="003665F5" w:rsidRPr="004E4C01" w:rsidRDefault="00076F22" w:rsidP="003725C8">
      <w:pPr>
        <w:pStyle w:val="Prrafodelista"/>
        <w:numPr>
          <w:ilvl w:val="0"/>
          <w:numId w:val="51"/>
        </w:numPr>
        <w:ind w:left="567" w:hanging="567"/>
        <w:contextualSpacing/>
        <w:rPr>
          <w:rFonts w:eastAsiaTheme="minorEastAsia" w:cs="Arial"/>
          <w:color w:val="000000" w:themeColor="text1"/>
          <w:lang w:val="es-CO"/>
        </w:rPr>
      </w:pPr>
      <w:r w:rsidRPr="004E4C01">
        <w:rPr>
          <w:rFonts w:eastAsia="Arial" w:cs="Arial"/>
          <w:b/>
          <w:bCs/>
          <w:color w:val="000000" w:themeColor="text1"/>
          <w:lang w:val="es-CO"/>
        </w:rPr>
        <w:t>Capacitación</w:t>
      </w:r>
      <w:r w:rsidR="00D67342" w:rsidRPr="004E4C01">
        <w:rPr>
          <w:rFonts w:eastAsia="Arial" w:cs="Arial"/>
          <w:b/>
          <w:bCs/>
          <w:color w:val="000000" w:themeColor="text1"/>
          <w:lang w:val="es-CO"/>
        </w:rPr>
        <w:t xml:space="preserve"> y divulgación</w:t>
      </w:r>
      <w:r w:rsidRPr="004E4C01">
        <w:rPr>
          <w:rFonts w:eastAsia="Arial" w:cs="Arial"/>
          <w:b/>
          <w:bCs/>
          <w:color w:val="000000" w:themeColor="text1"/>
          <w:lang w:val="es-CO"/>
        </w:rPr>
        <w:t>:</w:t>
      </w:r>
      <w:r w:rsidRPr="004E4C01">
        <w:rPr>
          <w:rFonts w:eastAsia="Arial" w:cs="Arial"/>
          <w:color w:val="000000" w:themeColor="text1"/>
          <w:lang w:val="es-CO"/>
        </w:rPr>
        <w:t xml:space="preserve"> formación del personal, ya sea interno o externo, para la respuesta frente a las contingencias.</w:t>
      </w:r>
    </w:p>
    <w:p w14:paraId="360DEBF1" w14:textId="774E985A" w:rsidR="00076F22" w:rsidRPr="004E4C01" w:rsidRDefault="00076F22" w:rsidP="003725C8">
      <w:pPr>
        <w:contextualSpacing/>
        <w:rPr>
          <w:rFonts w:eastAsiaTheme="minorEastAsia" w:cs="Arial"/>
          <w:color w:val="000000" w:themeColor="text1"/>
        </w:rPr>
      </w:pPr>
    </w:p>
    <w:p w14:paraId="4F214ED2" w14:textId="3CEF5217" w:rsidR="00076F22" w:rsidRPr="004E4C01" w:rsidRDefault="00076F22" w:rsidP="003725C8">
      <w:pPr>
        <w:pStyle w:val="Prrafodelista"/>
        <w:numPr>
          <w:ilvl w:val="0"/>
          <w:numId w:val="51"/>
        </w:numPr>
        <w:ind w:left="567" w:hanging="567"/>
        <w:contextualSpacing/>
        <w:rPr>
          <w:rFonts w:eastAsiaTheme="minorEastAsia" w:cs="Arial"/>
          <w:color w:val="000000" w:themeColor="text1"/>
          <w:lang w:val="es-CO"/>
        </w:rPr>
      </w:pPr>
      <w:r w:rsidRPr="004E4C01">
        <w:rPr>
          <w:rFonts w:eastAsia="Arial" w:cs="Arial"/>
          <w:b/>
          <w:bCs/>
          <w:color w:val="000000" w:themeColor="text1"/>
          <w:lang w:val="es-CO"/>
        </w:rPr>
        <w:lastRenderedPageBreak/>
        <w:t>Equipamiento:</w:t>
      </w:r>
      <w:r w:rsidRPr="004E4C01">
        <w:rPr>
          <w:rFonts w:eastAsia="Arial" w:cs="Arial"/>
          <w:color w:val="000000" w:themeColor="text1"/>
          <w:lang w:val="es-CO"/>
        </w:rPr>
        <w:t xml:space="preserve"> herramientas, equipos, accesorios, sistema de alerta temprana de sus propios procesos para garantizar de manera oportuna la primera respuesta, </w:t>
      </w:r>
      <w:r w:rsidR="00103345" w:rsidRPr="004E4C01">
        <w:rPr>
          <w:rFonts w:eastAsia="Arial" w:cs="Arial"/>
          <w:color w:val="000000" w:themeColor="text1"/>
          <w:lang w:val="es-CO"/>
        </w:rPr>
        <w:t>asimismo</w:t>
      </w:r>
      <w:r w:rsidRPr="004E4C01">
        <w:rPr>
          <w:rFonts w:eastAsia="Arial" w:cs="Arial"/>
          <w:color w:val="000000" w:themeColor="text1"/>
          <w:lang w:val="es-CO"/>
        </w:rPr>
        <w:t xml:space="preserve"> la disponibilidad de personal idóneo para atender la contingencia. El inventario de recursos </w:t>
      </w:r>
      <w:r w:rsidR="00103345" w:rsidRPr="004E4C01">
        <w:rPr>
          <w:rFonts w:eastAsia="Arial" w:cs="Arial"/>
          <w:color w:val="000000" w:themeColor="text1"/>
          <w:lang w:val="es-CO"/>
        </w:rPr>
        <w:t>debe</w:t>
      </w:r>
      <w:r w:rsidRPr="004E4C01">
        <w:rPr>
          <w:rFonts w:eastAsia="Arial" w:cs="Arial"/>
          <w:color w:val="000000" w:themeColor="text1"/>
          <w:lang w:val="es-CO"/>
        </w:rPr>
        <w:t xml:space="preserve"> ser actualizado periódicamente para la atención de contingencias según cada escenario de riesgo.</w:t>
      </w:r>
    </w:p>
    <w:p w14:paraId="7DBB2717" w14:textId="442D063C" w:rsidR="003665F5" w:rsidRPr="004E4C01" w:rsidRDefault="003665F5" w:rsidP="00C86DA5">
      <w:pPr>
        <w:contextualSpacing/>
        <w:rPr>
          <w:rFonts w:eastAsiaTheme="minorEastAsia" w:cs="Arial"/>
          <w:color w:val="000000" w:themeColor="text1"/>
        </w:rPr>
      </w:pPr>
    </w:p>
    <w:p w14:paraId="4BD9B910" w14:textId="41FA1B2C" w:rsidR="00076F22" w:rsidRPr="004E4C01" w:rsidRDefault="00076F22" w:rsidP="003725C8">
      <w:pPr>
        <w:pStyle w:val="Prrafodelista"/>
        <w:numPr>
          <w:ilvl w:val="0"/>
          <w:numId w:val="51"/>
        </w:numPr>
        <w:ind w:left="567" w:hanging="567"/>
        <w:contextualSpacing/>
        <w:rPr>
          <w:color w:val="000000"/>
          <w:lang w:val="es-CO"/>
        </w:rPr>
      </w:pPr>
      <w:r w:rsidRPr="004E4C01">
        <w:rPr>
          <w:b/>
          <w:color w:val="000000"/>
          <w:lang w:val="es-CO"/>
        </w:rPr>
        <w:t>Determina</w:t>
      </w:r>
      <w:r w:rsidR="00673E23" w:rsidRPr="004E4C01">
        <w:rPr>
          <w:b/>
          <w:color w:val="000000"/>
          <w:lang w:val="es-CO"/>
        </w:rPr>
        <w:t>ción de</w:t>
      </w:r>
      <w:r w:rsidRPr="004E4C01">
        <w:rPr>
          <w:b/>
          <w:color w:val="000000"/>
          <w:lang w:val="es-CO"/>
        </w:rPr>
        <w:t xml:space="preserve"> las prioridades de protección</w:t>
      </w:r>
      <w:r w:rsidRPr="004E4C01">
        <w:rPr>
          <w:rFonts w:cs="Arial"/>
          <w:b/>
          <w:bCs/>
          <w:color w:val="000000"/>
          <w:lang w:val="es-CO"/>
        </w:rPr>
        <w:t>:</w:t>
      </w:r>
      <w:r w:rsidRPr="004E4C01">
        <w:rPr>
          <w:rFonts w:cs="Arial"/>
          <w:color w:val="000000"/>
          <w:lang w:val="es-CO"/>
        </w:rPr>
        <w:t xml:space="preserve"> </w:t>
      </w:r>
      <w:r w:rsidR="00673E23" w:rsidRPr="004E4C01">
        <w:rPr>
          <w:rFonts w:cs="Arial"/>
          <w:color w:val="000000"/>
          <w:lang w:val="es-CO"/>
        </w:rPr>
        <w:t xml:space="preserve">detalle sobre </w:t>
      </w:r>
      <w:r w:rsidRPr="004E4C01">
        <w:rPr>
          <w:rFonts w:cs="Arial"/>
          <w:color w:val="000000"/>
          <w:lang w:val="es-CO"/>
        </w:rPr>
        <w:t>cuáles son las prioridades al momento de activar el plan de contingencia</w:t>
      </w:r>
      <w:r w:rsidR="008452E2" w:rsidRPr="004E4C01">
        <w:rPr>
          <w:rFonts w:cs="Arial"/>
          <w:color w:val="000000"/>
          <w:lang w:val="es-CO"/>
        </w:rPr>
        <w:t>s</w:t>
      </w:r>
      <w:r w:rsidRPr="004E4C01">
        <w:rPr>
          <w:rFonts w:cs="Arial"/>
          <w:color w:val="000000"/>
          <w:lang w:val="es-CO"/>
        </w:rPr>
        <w:t>, asimismo definir</w:t>
      </w:r>
      <w:r w:rsidRPr="004E4C01">
        <w:rPr>
          <w:color w:val="000000"/>
          <w:lang w:val="es-CO"/>
        </w:rPr>
        <w:t xml:space="preserve"> los sitios estratégicos para el control de contingencias, teniendo en cuenta las características de las áreas </w:t>
      </w:r>
      <w:r w:rsidRPr="004E4C01">
        <w:rPr>
          <w:rFonts w:cs="Arial"/>
          <w:color w:val="000000"/>
          <w:lang w:val="es-CO"/>
        </w:rPr>
        <w:t xml:space="preserve">ambientalmente </w:t>
      </w:r>
      <w:r w:rsidRPr="004E4C01">
        <w:rPr>
          <w:color w:val="000000"/>
          <w:lang w:val="es-CO"/>
        </w:rPr>
        <w:t>sensibles.</w:t>
      </w:r>
    </w:p>
    <w:p w14:paraId="1F6961A4" w14:textId="5387E8CF" w:rsidR="003665F5" w:rsidRPr="004E4C01" w:rsidRDefault="003665F5" w:rsidP="009420F5">
      <w:pPr>
        <w:contextualSpacing/>
        <w:rPr>
          <w:color w:val="000000"/>
        </w:rPr>
      </w:pPr>
    </w:p>
    <w:p w14:paraId="7A9D6E6E" w14:textId="6F586CD8" w:rsidR="00076F22" w:rsidRPr="004E4C01" w:rsidRDefault="00076F22" w:rsidP="003725C8">
      <w:pPr>
        <w:pStyle w:val="Prrafodelista"/>
        <w:numPr>
          <w:ilvl w:val="0"/>
          <w:numId w:val="51"/>
        </w:numPr>
        <w:ind w:left="567" w:hanging="567"/>
        <w:contextualSpacing/>
        <w:rPr>
          <w:rFonts w:eastAsiaTheme="minorEastAsia" w:cs="Arial"/>
          <w:color w:val="000000" w:themeColor="text1"/>
          <w:lang w:val="es-CO"/>
        </w:rPr>
      </w:pPr>
      <w:r w:rsidRPr="004E4C01">
        <w:rPr>
          <w:rFonts w:eastAsia="Arial" w:cs="Arial"/>
          <w:b/>
          <w:bCs/>
          <w:color w:val="000000" w:themeColor="text1"/>
          <w:lang w:val="es-CO"/>
        </w:rPr>
        <w:t>Planeación y organización:</w:t>
      </w:r>
      <w:r w:rsidRPr="004E4C01">
        <w:rPr>
          <w:rFonts w:eastAsia="Arial" w:cs="Arial"/>
          <w:color w:val="000000" w:themeColor="text1"/>
          <w:lang w:val="es-CO"/>
        </w:rPr>
        <w:t xml:space="preserve"> </w:t>
      </w:r>
      <w:r w:rsidR="00673E23" w:rsidRPr="004E4C01">
        <w:rPr>
          <w:rFonts w:eastAsia="Arial" w:cs="Arial"/>
          <w:color w:val="000000" w:themeColor="text1"/>
          <w:lang w:val="es-CO"/>
        </w:rPr>
        <w:t>formulación de</w:t>
      </w:r>
      <w:r w:rsidRPr="004E4C01">
        <w:rPr>
          <w:rFonts w:eastAsia="Arial" w:cs="Arial"/>
          <w:color w:val="000000" w:themeColor="text1"/>
          <w:lang w:val="es-CO"/>
        </w:rPr>
        <w:t xml:space="preserve"> protocolos y </w:t>
      </w:r>
      <w:r w:rsidRPr="004E4C01">
        <w:rPr>
          <w:rFonts w:eastAsia="Arial"/>
          <w:color w:val="000000" w:themeColor="text1"/>
          <w:lang w:val="es-CO"/>
        </w:rPr>
        <w:t>procedimientos</w:t>
      </w:r>
      <w:r w:rsidR="003E4159" w:rsidRPr="004E4C01">
        <w:rPr>
          <w:rFonts w:eastAsia="Arial"/>
          <w:color w:val="000000" w:themeColor="text1"/>
          <w:lang w:val="es-CO"/>
        </w:rPr>
        <w:t>,</w:t>
      </w:r>
      <w:r w:rsidRPr="004E4C01">
        <w:rPr>
          <w:rFonts w:eastAsia="Arial"/>
          <w:color w:val="000000" w:themeColor="text1"/>
          <w:lang w:val="es-CO"/>
        </w:rPr>
        <w:t xml:space="preserve"> </w:t>
      </w:r>
      <w:r w:rsidRPr="004E4C01">
        <w:rPr>
          <w:rFonts w:eastAsia="Arial" w:cs="Arial"/>
          <w:color w:val="000000" w:themeColor="text1"/>
          <w:lang w:val="es-CO"/>
        </w:rPr>
        <w:t xml:space="preserve">y </w:t>
      </w:r>
      <w:r w:rsidR="00673E23" w:rsidRPr="004E4C01">
        <w:rPr>
          <w:rFonts w:eastAsia="Arial" w:cs="Arial"/>
          <w:color w:val="000000" w:themeColor="text1"/>
          <w:lang w:val="es-CO"/>
        </w:rPr>
        <w:t xml:space="preserve">definición de </w:t>
      </w:r>
      <w:r w:rsidRPr="004E4C01">
        <w:rPr>
          <w:rFonts w:eastAsia="Arial" w:cs="Arial"/>
          <w:color w:val="000000" w:themeColor="text1"/>
          <w:lang w:val="es-CO"/>
        </w:rPr>
        <w:t xml:space="preserve">un equipo </w:t>
      </w:r>
      <w:r w:rsidRPr="004E4C01">
        <w:rPr>
          <w:rFonts w:eastAsia="Arial"/>
          <w:color w:val="000000" w:themeColor="text1"/>
          <w:lang w:val="es-CO"/>
        </w:rPr>
        <w:t xml:space="preserve">de respuesta </w:t>
      </w:r>
      <w:r w:rsidRPr="004E4C01">
        <w:rPr>
          <w:rFonts w:eastAsia="Arial" w:cs="Arial"/>
          <w:color w:val="000000" w:themeColor="text1"/>
          <w:lang w:val="es-CO"/>
        </w:rPr>
        <w:t>con funciones y responsabilidades específicas, de acuerdo con cada escenario de riesgo identificado.</w:t>
      </w:r>
    </w:p>
    <w:p w14:paraId="28D39909" w14:textId="0B1AC231" w:rsidR="003665F5" w:rsidRPr="004E4C01" w:rsidRDefault="003665F5" w:rsidP="009420F5">
      <w:pPr>
        <w:contextualSpacing/>
        <w:rPr>
          <w:rFonts w:eastAsiaTheme="minorEastAsia" w:cs="Arial"/>
          <w:color w:val="000000" w:themeColor="text1"/>
        </w:rPr>
      </w:pPr>
    </w:p>
    <w:p w14:paraId="04A26714" w14:textId="2E5491E8" w:rsidR="00076F22" w:rsidRPr="004E4C01" w:rsidRDefault="00673E23" w:rsidP="003725C8">
      <w:pPr>
        <w:pStyle w:val="Prrafodelista"/>
        <w:numPr>
          <w:ilvl w:val="0"/>
          <w:numId w:val="51"/>
        </w:numPr>
        <w:ind w:left="567" w:hanging="567"/>
        <w:contextualSpacing/>
        <w:rPr>
          <w:rFonts w:eastAsiaTheme="minorEastAsia" w:cs="Arial"/>
          <w:color w:val="000000" w:themeColor="text1"/>
          <w:lang w:val="es-CO"/>
        </w:rPr>
      </w:pPr>
      <w:bookmarkStart w:id="11400" w:name="_Hlk167885898"/>
      <w:r w:rsidRPr="004E4C01">
        <w:rPr>
          <w:rFonts w:eastAsia="Arial" w:cs="Arial"/>
          <w:b/>
          <w:bCs/>
          <w:color w:val="000000" w:themeColor="text1"/>
          <w:lang w:val="es-CO"/>
        </w:rPr>
        <w:t>Procedimiento de notificación y r</w:t>
      </w:r>
      <w:r w:rsidR="00076F22" w:rsidRPr="004E4C01">
        <w:rPr>
          <w:rFonts w:eastAsia="Arial" w:cs="Arial"/>
          <w:b/>
          <w:bCs/>
          <w:color w:val="000000" w:themeColor="text1"/>
          <w:lang w:val="es-CO"/>
        </w:rPr>
        <w:t>eporte de la contingencia</w:t>
      </w:r>
      <w:bookmarkEnd w:id="11400"/>
      <w:r w:rsidRPr="004E4C01">
        <w:rPr>
          <w:rFonts w:eastAsia="Arial" w:cs="Arial"/>
          <w:b/>
          <w:bCs/>
          <w:color w:val="000000" w:themeColor="text1"/>
          <w:lang w:val="es-CO"/>
        </w:rPr>
        <w:t>:</w:t>
      </w:r>
      <w:r w:rsidR="00076F22" w:rsidRPr="004E4C01">
        <w:rPr>
          <w:rFonts w:eastAsia="Arial" w:cs="Arial"/>
          <w:color w:val="000000" w:themeColor="text1"/>
          <w:lang w:val="es-CO"/>
        </w:rPr>
        <w:t xml:space="preserve"> </w:t>
      </w:r>
      <w:r w:rsidRPr="004E4C01">
        <w:rPr>
          <w:rFonts w:eastAsia="Arial" w:cs="Arial"/>
          <w:color w:val="000000" w:themeColor="text1"/>
          <w:lang w:val="es-CO"/>
        </w:rPr>
        <w:t xml:space="preserve">formulación de protocolos y procedimientos de notificación que se articulen con entidades de apoyo externo, niveles de activación y el correspondiente reporte de eventos de contingencia, </w:t>
      </w:r>
      <w:r w:rsidR="00076F22" w:rsidRPr="004E4C01">
        <w:rPr>
          <w:rFonts w:eastAsia="Arial" w:cs="Arial"/>
          <w:color w:val="000000" w:themeColor="text1"/>
          <w:lang w:val="es-CO"/>
        </w:rPr>
        <w:t xml:space="preserve">conforme a lo establecido en la Resolución 1767 de 2016 </w:t>
      </w:r>
      <w:r w:rsidR="00076F22" w:rsidRPr="004E4C01">
        <w:rPr>
          <w:rFonts w:cs="Arial"/>
          <w:lang w:val="es-CO"/>
        </w:rPr>
        <w:t>o aquella</w:t>
      </w:r>
      <w:r w:rsidR="00076F22" w:rsidRPr="004E4C01">
        <w:rPr>
          <w:lang w:val="es-CO"/>
        </w:rPr>
        <w:t xml:space="preserve"> que la </w:t>
      </w:r>
      <w:r w:rsidR="00076F22" w:rsidRPr="004E4C01">
        <w:rPr>
          <w:rFonts w:cs="Arial"/>
          <w:lang w:val="es-CO"/>
        </w:rPr>
        <w:t>modifique o sustituya</w:t>
      </w:r>
      <w:r w:rsidR="00076F22" w:rsidRPr="004E4C01">
        <w:rPr>
          <w:rFonts w:eastAsia="Arial" w:cs="Arial"/>
          <w:color w:val="000000" w:themeColor="text1"/>
          <w:lang w:val="es-CO"/>
        </w:rPr>
        <w:t>.</w:t>
      </w:r>
    </w:p>
    <w:p w14:paraId="58A2BA8C" w14:textId="765CCFD5" w:rsidR="003665F5" w:rsidRPr="004E4C01" w:rsidRDefault="003665F5" w:rsidP="009420F5">
      <w:pPr>
        <w:contextualSpacing/>
        <w:rPr>
          <w:rFonts w:eastAsiaTheme="minorEastAsia" w:cs="Arial"/>
          <w:color w:val="000000" w:themeColor="text1"/>
        </w:rPr>
      </w:pPr>
    </w:p>
    <w:p w14:paraId="65591A25" w14:textId="089E5475" w:rsidR="00076F22" w:rsidRPr="004E4C01" w:rsidRDefault="00076F22" w:rsidP="003725C8">
      <w:pPr>
        <w:pStyle w:val="Prrafodelista"/>
        <w:numPr>
          <w:ilvl w:val="0"/>
          <w:numId w:val="51"/>
        </w:numPr>
        <w:ind w:left="567" w:hanging="567"/>
        <w:contextualSpacing/>
        <w:rPr>
          <w:rFonts w:eastAsiaTheme="minorEastAsia" w:cs="Arial"/>
          <w:color w:val="000000" w:themeColor="text1"/>
          <w:lang w:val="es-CO"/>
        </w:rPr>
      </w:pPr>
      <w:r w:rsidRPr="004E4C01">
        <w:rPr>
          <w:rFonts w:eastAsia="Arial" w:cs="Arial"/>
          <w:b/>
          <w:bCs/>
          <w:color w:val="000000" w:themeColor="text1"/>
          <w:lang w:val="es-CO"/>
        </w:rPr>
        <w:t>Ejercicios</w:t>
      </w:r>
      <w:r w:rsidRPr="004E4C01">
        <w:rPr>
          <w:rFonts w:eastAsia="Arial"/>
          <w:b/>
          <w:color w:val="000000" w:themeColor="text1"/>
          <w:lang w:val="es-CO"/>
        </w:rPr>
        <w:t xml:space="preserve"> de </w:t>
      </w:r>
      <w:r w:rsidRPr="004E4C01">
        <w:rPr>
          <w:rFonts w:eastAsia="Arial" w:cs="Arial"/>
          <w:b/>
          <w:bCs/>
          <w:color w:val="000000" w:themeColor="text1"/>
          <w:lang w:val="es-CO"/>
        </w:rPr>
        <w:t>simulaciones</w:t>
      </w:r>
      <w:r w:rsidRPr="004E4C01">
        <w:rPr>
          <w:rFonts w:eastAsia="Arial"/>
          <w:b/>
          <w:color w:val="000000" w:themeColor="text1"/>
          <w:lang w:val="es-CO"/>
        </w:rPr>
        <w:t xml:space="preserve"> y </w:t>
      </w:r>
      <w:r w:rsidRPr="004E4C01">
        <w:rPr>
          <w:rFonts w:eastAsia="Arial" w:cs="Arial"/>
          <w:b/>
          <w:bCs/>
          <w:color w:val="000000" w:themeColor="text1"/>
          <w:lang w:val="es-CO"/>
        </w:rPr>
        <w:t>simulacros con actores internos y externos</w:t>
      </w:r>
      <w:r w:rsidR="00673E23" w:rsidRPr="004E4C01">
        <w:rPr>
          <w:rFonts w:eastAsia="Arial" w:cs="Arial"/>
          <w:b/>
          <w:bCs/>
          <w:color w:val="000000" w:themeColor="text1"/>
          <w:lang w:val="es-CO"/>
        </w:rPr>
        <w:t>:</w:t>
      </w:r>
      <w:r w:rsidRPr="004E4C01">
        <w:rPr>
          <w:rFonts w:eastAsia="Arial" w:cs="Arial"/>
          <w:color w:val="000000" w:themeColor="text1"/>
          <w:lang w:val="es-CO"/>
        </w:rPr>
        <w:t xml:space="preserve"> </w:t>
      </w:r>
      <w:r w:rsidR="00673E23" w:rsidRPr="004E4C01">
        <w:rPr>
          <w:rFonts w:eastAsia="Arial" w:cs="Arial"/>
          <w:color w:val="000000" w:themeColor="text1"/>
          <w:lang w:val="es-CO"/>
        </w:rPr>
        <w:t xml:space="preserve">definición de su frecuencia de ejecución; </w:t>
      </w:r>
      <w:r w:rsidRPr="004E4C01">
        <w:rPr>
          <w:rFonts w:eastAsia="Arial" w:cs="Arial"/>
          <w:color w:val="000000" w:themeColor="text1"/>
          <w:lang w:val="es-CO"/>
        </w:rPr>
        <w:t>estos ejercicios se deben realizar mínimo una vez al año y presentar evidencias de su realización.</w:t>
      </w:r>
    </w:p>
    <w:p w14:paraId="0340214F" w14:textId="77777777" w:rsidR="00F309AA" w:rsidRPr="004E4C01" w:rsidRDefault="00F309AA">
      <w:pPr>
        <w:rPr>
          <w:rFonts w:cs="Arial"/>
          <w:szCs w:val="20"/>
        </w:rPr>
      </w:pPr>
    </w:p>
    <w:p w14:paraId="7B37054B" w14:textId="49F0F209" w:rsidR="000A08E6" w:rsidRPr="004E4C01" w:rsidRDefault="000A08E6" w:rsidP="000A08E6">
      <w:pPr>
        <w:rPr>
          <w:rFonts w:cs="Arial"/>
          <w:szCs w:val="20"/>
        </w:rPr>
      </w:pPr>
      <w:r w:rsidRPr="004E4C01">
        <w:rPr>
          <w:rFonts w:cs="Arial"/>
          <w:szCs w:val="20"/>
        </w:rPr>
        <w:t>En la preparación y ejecución de la respuesta, se debe tener cuenta que es importante la coordinación y comunicación con el coordinador de gestión del riesgo del ente territorial o quien haga sus veces, de acuerdo con lo establecido en la Ley 1523 de 2012 y en el Decreto 1081 de 2015, adicionado por el Decreto 2157 de 2017. Asimismo, los protocolos internos de respuesta del proyecto se deben articular con las estrategias territoriales de respuesta a emergencias.</w:t>
      </w:r>
    </w:p>
    <w:p w14:paraId="08D2FB32" w14:textId="77777777" w:rsidR="000A08E6" w:rsidRPr="004E4C01" w:rsidRDefault="000A08E6" w:rsidP="000A08E6">
      <w:pPr>
        <w:rPr>
          <w:rFonts w:cs="Arial"/>
          <w:szCs w:val="20"/>
        </w:rPr>
      </w:pPr>
    </w:p>
    <w:p w14:paraId="12BA3A35" w14:textId="1F3E5C4F" w:rsidR="003566B5" w:rsidRPr="004E4C01" w:rsidRDefault="000A08E6" w:rsidP="000A08E6">
      <w:pPr>
        <w:rPr>
          <w:rFonts w:cs="Arial"/>
          <w:szCs w:val="20"/>
        </w:rPr>
      </w:pPr>
      <w:r w:rsidRPr="004E4C01">
        <w:rPr>
          <w:rFonts w:cs="Arial"/>
          <w:szCs w:val="20"/>
        </w:rPr>
        <w:t>La formulación de acciones debe contemplar las fluctuaciones y condiciones extremas derivadas de los riesgos climáticos con el fin de hacer más robusta y eficiente la respuesta a contingencias.</w:t>
      </w:r>
    </w:p>
    <w:p w14:paraId="33AC5F69" w14:textId="77777777" w:rsidR="003566B5" w:rsidRPr="004E4C01" w:rsidRDefault="003566B5">
      <w:pPr>
        <w:rPr>
          <w:rFonts w:cs="Arial"/>
          <w:szCs w:val="20"/>
        </w:rPr>
      </w:pPr>
    </w:p>
    <w:p w14:paraId="70B0E8A8" w14:textId="3D1ACD2B" w:rsidR="003E4159" w:rsidRPr="004E4C01" w:rsidRDefault="00076F22" w:rsidP="006052B3">
      <w:pPr>
        <w:numPr>
          <w:ilvl w:val="0"/>
          <w:numId w:val="587"/>
        </w:numPr>
        <w:tabs>
          <w:tab w:val="left" w:pos="-2268"/>
        </w:tabs>
        <w:suppressAutoHyphens/>
        <w:ind w:left="567" w:hanging="567"/>
        <w:rPr>
          <w:b/>
          <w:i/>
          <w:spacing w:val="-3"/>
          <w:u w:val="single"/>
        </w:rPr>
      </w:pPr>
      <w:r w:rsidRPr="004E4C01">
        <w:rPr>
          <w:b/>
          <w:i/>
          <w:spacing w:val="-3"/>
          <w:u w:val="single"/>
        </w:rPr>
        <w:t>Componente de ejecución para la respuesta a contingencias</w:t>
      </w:r>
    </w:p>
    <w:p w14:paraId="3DF2A475" w14:textId="77777777" w:rsidR="003E4159" w:rsidRPr="004E4C01" w:rsidRDefault="003E4159" w:rsidP="00C86DA5">
      <w:pPr>
        <w:contextualSpacing/>
        <w:rPr>
          <w:rFonts w:eastAsia="Arial" w:cs="Arial"/>
          <w:color w:val="000000" w:themeColor="text1"/>
        </w:rPr>
      </w:pPr>
    </w:p>
    <w:p w14:paraId="6F6F93C6" w14:textId="36681891" w:rsidR="00076F22" w:rsidRPr="004E4C01" w:rsidRDefault="00274FC7" w:rsidP="003725C8">
      <w:pPr>
        <w:contextualSpacing/>
        <w:rPr>
          <w:rFonts w:eastAsia="Arial"/>
          <w:color w:val="000000" w:themeColor="text1"/>
        </w:rPr>
      </w:pPr>
      <w:r w:rsidRPr="004E4C01">
        <w:rPr>
          <w:rFonts w:eastAsia="Arial" w:cs="Arial"/>
          <w:color w:val="000000" w:themeColor="text1"/>
        </w:rPr>
        <w:t>Se deben e</w:t>
      </w:r>
      <w:r w:rsidR="00076F22" w:rsidRPr="004E4C01">
        <w:rPr>
          <w:rFonts w:eastAsia="Arial" w:cs="Arial"/>
          <w:color w:val="000000" w:themeColor="text1"/>
        </w:rPr>
        <w:t>stablece</w:t>
      </w:r>
      <w:r w:rsidRPr="004E4C01">
        <w:rPr>
          <w:rFonts w:eastAsia="Arial" w:cs="Arial"/>
          <w:color w:val="000000" w:themeColor="text1"/>
        </w:rPr>
        <w:t>r</w:t>
      </w:r>
      <w:r w:rsidR="00076F22" w:rsidRPr="004E4C01">
        <w:rPr>
          <w:rFonts w:eastAsia="Arial" w:cs="Arial"/>
          <w:color w:val="000000" w:themeColor="text1"/>
        </w:rPr>
        <w:t xml:space="preserve"> los niveles de contingencia, los actores, instancias de coordinación y estructuras de intervención; </w:t>
      </w:r>
      <w:r w:rsidR="00103345" w:rsidRPr="004E4C01">
        <w:rPr>
          <w:rFonts w:eastAsia="Arial" w:cs="Arial"/>
          <w:color w:val="000000" w:themeColor="text1"/>
        </w:rPr>
        <w:t>asimismo</w:t>
      </w:r>
      <w:r w:rsidR="00076F22" w:rsidRPr="004E4C01">
        <w:rPr>
          <w:rFonts w:eastAsia="Arial" w:cs="Arial"/>
          <w:color w:val="000000" w:themeColor="text1"/>
        </w:rPr>
        <w:t xml:space="preserve">, </w:t>
      </w:r>
      <w:r w:rsidR="00783EA8" w:rsidRPr="004E4C01">
        <w:rPr>
          <w:rFonts w:eastAsia="Arial" w:cs="Arial"/>
          <w:color w:val="000000" w:themeColor="text1"/>
        </w:rPr>
        <w:t xml:space="preserve">se debe </w:t>
      </w:r>
      <w:r w:rsidR="00076F22" w:rsidRPr="004E4C01">
        <w:rPr>
          <w:rFonts w:eastAsia="Arial" w:cs="Arial"/>
          <w:color w:val="000000" w:themeColor="text1"/>
        </w:rPr>
        <w:t>señala</w:t>
      </w:r>
      <w:r w:rsidR="00783EA8" w:rsidRPr="004E4C01">
        <w:rPr>
          <w:rFonts w:eastAsia="Arial" w:cs="Arial"/>
          <w:color w:val="000000" w:themeColor="text1"/>
        </w:rPr>
        <w:t>r</w:t>
      </w:r>
      <w:r w:rsidR="00076F22" w:rsidRPr="004E4C01">
        <w:rPr>
          <w:rFonts w:eastAsia="Arial" w:cs="Arial"/>
          <w:color w:val="000000" w:themeColor="text1"/>
        </w:rPr>
        <w:t xml:space="preserve"> la articulación de la respuesta con actores internos y externos. </w:t>
      </w:r>
      <w:r w:rsidR="00CC2DDE" w:rsidRPr="004E4C01">
        <w:rPr>
          <w:rFonts w:eastAsia="Arial" w:cs="Arial"/>
          <w:color w:val="000000" w:themeColor="text1"/>
        </w:rPr>
        <w:t>Este componente e</w:t>
      </w:r>
      <w:r w:rsidR="00076F22" w:rsidRPr="004E4C01">
        <w:rPr>
          <w:rFonts w:eastAsia="Arial" w:cs="Arial"/>
          <w:color w:val="000000" w:themeColor="text1"/>
        </w:rPr>
        <w:t>stablece protocolos y procedimientos de respuesta para cada tipo de contingencia</w:t>
      </w:r>
      <w:r w:rsidRPr="004E4C01">
        <w:rPr>
          <w:rFonts w:eastAsia="Arial" w:cs="Arial"/>
          <w:color w:val="000000" w:themeColor="text1"/>
        </w:rPr>
        <w:t xml:space="preserve"> a partir de los análisis de riesgos </w:t>
      </w:r>
      <w:r w:rsidRPr="004E4C01">
        <w:rPr>
          <w:rFonts w:eastAsia="Arial" w:cs="Arial"/>
          <w:color w:val="000000" w:themeColor="text1"/>
        </w:rPr>
        <w:lastRenderedPageBreak/>
        <w:t>desarrollados</w:t>
      </w:r>
      <w:r w:rsidR="00076F22" w:rsidRPr="004E4C01">
        <w:rPr>
          <w:rFonts w:eastAsia="Arial" w:cs="Arial"/>
          <w:color w:val="000000" w:themeColor="text1"/>
        </w:rPr>
        <w:t xml:space="preserve">, </w:t>
      </w:r>
      <w:bookmarkStart w:id="11401" w:name="_Hlk142474453"/>
      <w:r w:rsidR="00076F22" w:rsidRPr="004E4C01">
        <w:rPr>
          <w:rFonts w:eastAsia="Arial" w:cs="Arial"/>
          <w:color w:val="000000" w:themeColor="text1"/>
        </w:rPr>
        <w:t>para lo cual se determina la necesidad de la aplicación de instrumentos de Evaluación de Daños y Análisis de Necesidades Ambientales (EDANA)</w:t>
      </w:r>
      <w:r w:rsidR="00076F22" w:rsidRPr="004E4C01">
        <w:rPr>
          <w:rStyle w:val="Refdenotaalpie"/>
          <w:rFonts w:eastAsia="Arial" w:cs="Arial"/>
          <w:color w:val="000000" w:themeColor="text1"/>
          <w:lang w:val="es-CO"/>
        </w:rPr>
        <w:footnoteReference w:id="261"/>
      </w:r>
      <w:bookmarkEnd w:id="11401"/>
      <w:r w:rsidR="00076F22" w:rsidRPr="004E4C01">
        <w:rPr>
          <w:rFonts w:eastAsia="Arial" w:cs="Arial"/>
          <w:color w:val="000000" w:themeColor="text1"/>
        </w:rPr>
        <w:t>.</w:t>
      </w:r>
    </w:p>
    <w:p w14:paraId="2685129C" w14:textId="77777777" w:rsidR="00076F22" w:rsidRPr="004E4C01" w:rsidRDefault="00076F22" w:rsidP="009420F5">
      <w:pPr>
        <w:rPr>
          <w:rFonts w:eastAsia="Arial"/>
          <w:color w:val="000000" w:themeColor="text1"/>
        </w:rPr>
      </w:pPr>
    </w:p>
    <w:p w14:paraId="4C567CCC" w14:textId="033F64B5" w:rsidR="003E4159" w:rsidRPr="004E4C01" w:rsidRDefault="00076F22" w:rsidP="006052B3">
      <w:pPr>
        <w:numPr>
          <w:ilvl w:val="0"/>
          <w:numId w:val="587"/>
        </w:numPr>
        <w:tabs>
          <w:tab w:val="left" w:pos="-2268"/>
        </w:tabs>
        <w:suppressAutoHyphens/>
        <w:ind w:left="567" w:hanging="567"/>
        <w:rPr>
          <w:b/>
          <w:i/>
          <w:spacing w:val="-3"/>
          <w:u w:val="single"/>
        </w:rPr>
      </w:pPr>
      <w:r w:rsidRPr="004E4C01">
        <w:rPr>
          <w:b/>
          <w:i/>
          <w:spacing w:val="-3"/>
          <w:u w:val="single"/>
        </w:rPr>
        <w:t>Componente de preparación y ejecución de la recuperación ambiental</w:t>
      </w:r>
    </w:p>
    <w:p w14:paraId="042AAF23" w14:textId="77777777" w:rsidR="003E4159" w:rsidRPr="004E4C01" w:rsidRDefault="003E4159" w:rsidP="00C86DA5">
      <w:pPr>
        <w:contextualSpacing/>
        <w:rPr>
          <w:rFonts w:eastAsia="Arial" w:cs="Arial"/>
          <w:color w:val="000000" w:themeColor="text1"/>
        </w:rPr>
      </w:pPr>
    </w:p>
    <w:p w14:paraId="5A27B1ED" w14:textId="227BCAC3" w:rsidR="00076F22" w:rsidRPr="004E4C01" w:rsidRDefault="003E4159" w:rsidP="003725C8">
      <w:pPr>
        <w:contextualSpacing/>
        <w:rPr>
          <w:rFonts w:eastAsiaTheme="minorEastAsia" w:cs="Arial"/>
          <w:color w:val="000000" w:themeColor="text1"/>
        </w:rPr>
      </w:pPr>
      <w:r w:rsidRPr="004E4C01">
        <w:rPr>
          <w:rFonts w:eastAsia="Arial" w:cs="Arial"/>
          <w:color w:val="000000" w:themeColor="text1"/>
        </w:rPr>
        <w:t>E</w:t>
      </w:r>
      <w:r w:rsidR="00076F22" w:rsidRPr="004E4C01">
        <w:rPr>
          <w:rFonts w:eastAsia="Arial" w:cs="Arial"/>
          <w:color w:val="000000" w:themeColor="text1"/>
        </w:rPr>
        <w:t xml:space="preserve">s el conjunto de acciones </w:t>
      </w:r>
      <w:r w:rsidR="00C161D8" w:rsidRPr="004E4C01">
        <w:rPr>
          <w:rFonts w:eastAsia="Arial" w:cs="Arial"/>
          <w:color w:val="000000" w:themeColor="text1"/>
        </w:rPr>
        <w:t xml:space="preserve">que se planea ejecutar </w:t>
      </w:r>
      <w:r w:rsidR="00076F22" w:rsidRPr="004E4C01">
        <w:rPr>
          <w:rFonts w:eastAsia="Arial" w:cs="Arial"/>
          <w:color w:val="000000" w:themeColor="text1"/>
        </w:rPr>
        <w:t>para la recuperación ambiental, comprende entre otr</w:t>
      </w:r>
      <w:r w:rsidRPr="004E4C01">
        <w:rPr>
          <w:rFonts w:eastAsia="Arial" w:cs="Arial"/>
          <w:color w:val="000000" w:themeColor="text1"/>
        </w:rPr>
        <w:t>a</w:t>
      </w:r>
      <w:r w:rsidR="00076F22" w:rsidRPr="004E4C01">
        <w:rPr>
          <w:rFonts w:eastAsia="Arial" w:cs="Arial"/>
          <w:color w:val="000000" w:themeColor="text1"/>
        </w:rPr>
        <w:t>s</w:t>
      </w:r>
      <w:r w:rsidRPr="004E4C01">
        <w:rPr>
          <w:rFonts w:eastAsia="Arial" w:cs="Arial"/>
          <w:color w:val="000000" w:themeColor="text1"/>
        </w:rPr>
        <w:t xml:space="preserve"> actividades, las siguientes</w:t>
      </w:r>
      <w:r w:rsidR="00076F22" w:rsidRPr="004E4C01">
        <w:rPr>
          <w:rFonts w:eastAsia="Arial" w:cs="Arial"/>
          <w:color w:val="000000" w:themeColor="text1"/>
        </w:rPr>
        <w:t>:</w:t>
      </w:r>
    </w:p>
    <w:p w14:paraId="3FE1C756" w14:textId="77777777" w:rsidR="00076F22" w:rsidRPr="004E4C01" w:rsidRDefault="00076F22" w:rsidP="009420F5">
      <w:pPr>
        <w:rPr>
          <w:rFonts w:eastAsiaTheme="minorEastAsia" w:cs="Arial"/>
          <w:color w:val="000000" w:themeColor="text1"/>
        </w:rPr>
      </w:pPr>
    </w:p>
    <w:p w14:paraId="3D6A6D4C" w14:textId="32073731" w:rsidR="003665F5" w:rsidRPr="004E4C01" w:rsidRDefault="00076F22" w:rsidP="003725C8">
      <w:pPr>
        <w:pStyle w:val="Prrafodelista"/>
        <w:numPr>
          <w:ilvl w:val="0"/>
          <w:numId w:val="53"/>
        </w:numPr>
        <w:ind w:left="567" w:hanging="567"/>
        <w:contextualSpacing/>
        <w:rPr>
          <w:rFonts w:eastAsiaTheme="minorEastAsia" w:cs="Arial"/>
          <w:color w:val="000000" w:themeColor="text1"/>
          <w:lang w:val="es-CO"/>
        </w:rPr>
      </w:pPr>
      <w:r w:rsidRPr="004E4C01">
        <w:rPr>
          <w:rFonts w:eastAsia="Arial" w:cs="Arial"/>
          <w:color w:val="000000" w:themeColor="text1"/>
          <w:lang w:val="es-CO"/>
        </w:rPr>
        <w:t xml:space="preserve">Monitoreo de </w:t>
      </w:r>
      <w:r w:rsidR="00274FC7" w:rsidRPr="004E4C01">
        <w:rPr>
          <w:rFonts w:eastAsia="Arial" w:cs="Arial"/>
          <w:color w:val="000000" w:themeColor="text1"/>
          <w:lang w:val="es-CO"/>
        </w:rPr>
        <w:t>las afectaciones a elementos del ambiente y los ecosistemas y sus servicios una vez se finaliza la atención de la contingencia</w:t>
      </w:r>
      <w:r w:rsidRPr="004E4C01">
        <w:rPr>
          <w:rFonts w:eastAsia="Arial" w:cs="Arial"/>
          <w:color w:val="000000" w:themeColor="text1"/>
          <w:lang w:val="es-CO"/>
        </w:rPr>
        <w:t>.</w:t>
      </w:r>
    </w:p>
    <w:p w14:paraId="53A8F9D8" w14:textId="021E6D91" w:rsidR="00076F22" w:rsidRPr="004E4C01" w:rsidRDefault="00076F22" w:rsidP="009420F5">
      <w:pPr>
        <w:contextualSpacing/>
        <w:rPr>
          <w:rFonts w:eastAsiaTheme="minorEastAsia" w:cs="Arial"/>
          <w:color w:val="000000" w:themeColor="text1"/>
        </w:rPr>
      </w:pPr>
    </w:p>
    <w:p w14:paraId="1485B7E0" w14:textId="457E73F2" w:rsidR="00076F22" w:rsidRPr="004E4C01" w:rsidRDefault="00076F22" w:rsidP="003725C8">
      <w:pPr>
        <w:pStyle w:val="Prrafodelista"/>
        <w:numPr>
          <w:ilvl w:val="0"/>
          <w:numId w:val="53"/>
        </w:numPr>
        <w:ind w:left="567" w:hanging="567"/>
        <w:contextualSpacing/>
        <w:rPr>
          <w:rFonts w:cs="Arial"/>
          <w:lang w:val="es-CO"/>
        </w:rPr>
      </w:pPr>
      <w:r w:rsidRPr="004E4C01">
        <w:rPr>
          <w:rFonts w:eastAsia="Arial" w:cs="Arial"/>
          <w:color w:val="000000" w:themeColor="text1"/>
          <w:lang w:val="es-CO"/>
        </w:rPr>
        <w:t xml:space="preserve">Restablecimiento de los ecosistemas afectados por la contingencia </w:t>
      </w:r>
      <w:r w:rsidR="00274FC7" w:rsidRPr="004E4C01">
        <w:rPr>
          <w:rFonts w:eastAsia="Arial" w:cs="Arial"/>
          <w:color w:val="000000" w:themeColor="text1"/>
          <w:lang w:val="es-CO"/>
        </w:rPr>
        <w:t xml:space="preserve">teniendo como referencia la EDANA y la caracterización ambiental o el estado del ambiente previo </w:t>
      </w:r>
      <w:r w:rsidR="00274FC7" w:rsidRPr="004E4C01">
        <w:rPr>
          <w:rFonts w:eastAsia="Arial" w:cs="Arial"/>
          <w:lang w:val="es-CO"/>
        </w:rPr>
        <w:t xml:space="preserve">a la </w:t>
      </w:r>
      <w:r w:rsidRPr="004E4C01">
        <w:rPr>
          <w:rFonts w:eastAsia="Arial" w:cs="Arial"/>
          <w:lang w:val="es-CO"/>
        </w:rPr>
        <w:t xml:space="preserve">ocurrencia de </w:t>
      </w:r>
      <w:r w:rsidR="00274FC7" w:rsidRPr="004E4C01">
        <w:rPr>
          <w:rFonts w:eastAsia="Arial" w:cs="Arial"/>
          <w:lang w:val="es-CO"/>
        </w:rPr>
        <w:t>la contingencia</w:t>
      </w:r>
      <w:r w:rsidRPr="004E4C01">
        <w:rPr>
          <w:rFonts w:eastAsia="Arial" w:cs="Arial"/>
          <w:lang w:val="es-CO"/>
        </w:rPr>
        <w:t>.</w:t>
      </w:r>
    </w:p>
    <w:p w14:paraId="289E5B7D" w14:textId="77777777" w:rsidR="003665F5" w:rsidRPr="004E4C01" w:rsidRDefault="003665F5" w:rsidP="009420F5">
      <w:pPr>
        <w:contextualSpacing/>
        <w:rPr>
          <w:rFonts w:cs="Arial"/>
        </w:rPr>
      </w:pPr>
    </w:p>
    <w:p w14:paraId="68EBCF22" w14:textId="40A3143A" w:rsidR="00076F22" w:rsidRPr="004E4C01" w:rsidRDefault="00076F22" w:rsidP="003725C8">
      <w:pPr>
        <w:pStyle w:val="Prrafodelista"/>
        <w:numPr>
          <w:ilvl w:val="0"/>
          <w:numId w:val="53"/>
        </w:numPr>
        <w:ind w:left="567" w:hanging="567"/>
        <w:contextualSpacing/>
        <w:rPr>
          <w:rFonts w:eastAsiaTheme="minorEastAsia" w:cs="Arial"/>
          <w:lang w:val="es-CO"/>
        </w:rPr>
      </w:pPr>
      <w:r w:rsidRPr="004E4C01">
        <w:rPr>
          <w:rFonts w:eastAsia="Arial" w:cs="Arial"/>
          <w:lang w:val="es-CO"/>
        </w:rPr>
        <w:t>Restablecimiento de los servicios (infraestructura).</w:t>
      </w:r>
    </w:p>
    <w:p w14:paraId="35E0573B" w14:textId="77777777" w:rsidR="00380E11" w:rsidRPr="004E4C01" w:rsidRDefault="00380E11" w:rsidP="009420F5">
      <w:pPr>
        <w:rPr>
          <w:rFonts w:eastAsiaTheme="minorEastAsia" w:cs="Arial"/>
        </w:rPr>
      </w:pPr>
    </w:p>
    <w:p w14:paraId="4B4BCC10" w14:textId="5C86B2BA" w:rsidR="00380E11" w:rsidRPr="004E4C01" w:rsidRDefault="00380E11">
      <w:pPr>
        <w:pStyle w:val="Prrafodelista"/>
        <w:numPr>
          <w:ilvl w:val="0"/>
          <w:numId w:val="53"/>
        </w:numPr>
        <w:ind w:left="567" w:hanging="567"/>
        <w:contextualSpacing/>
        <w:rPr>
          <w:rFonts w:eastAsiaTheme="minorEastAsia" w:cs="Arial"/>
          <w:lang w:val="es-CO"/>
        </w:rPr>
      </w:pPr>
      <w:r w:rsidRPr="004E4C01">
        <w:rPr>
          <w:rFonts w:eastAsiaTheme="minorEastAsia" w:cs="Arial"/>
          <w:lang w:val="es-CO"/>
        </w:rPr>
        <w:t>Planteamiento de las medidas de compensación cuando no es posible restablecer las condiciones que se tenían antes de la ocurrencia de la contingencia.</w:t>
      </w:r>
    </w:p>
    <w:p w14:paraId="5F645E49" w14:textId="77777777" w:rsidR="003665F5" w:rsidRPr="004E4C01" w:rsidRDefault="003665F5" w:rsidP="009420F5">
      <w:pPr>
        <w:contextualSpacing/>
        <w:rPr>
          <w:rFonts w:eastAsiaTheme="minorEastAsia" w:cs="Arial"/>
        </w:rPr>
      </w:pPr>
    </w:p>
    <w:p w14:paraId="3976457C" w14:textId="0B72FF8D" w:rsidR="00076F22" w:rsidRPr="004E4C01" w:rsidRDefault="008B68EF" w:rsidP="003725C8">
      <w:pPr>
        <w:pStyle w:val="Prrafodelista"/>
        <w:numPr>
          <w:ilvl w:val="0"/>
          <w:numId w:val="53"/>
        </w:numPr>
        <w:ind w:left="567" w:hanging="567"/>
        <w:contextualSpacing/>
        <w:rPr>
          <w:rFonts w:eastAsiaTheme="minorEastAsia" w:cs="Arial"/>
          <w:lang w:val="es-CO"/>
        </w:rPr>
      </w:pPr>
      <w:r w:rsidRPr="004E4C01">
        <w:rPr>
          <w:rFonts w:eastAsia="Arial" w:cs="Arial"/>
          <w:lang w:val="es-CO"/>
        </w:rPr>
        <w:t>Reporte parcial y final de la contingencia, así como del avance en la implementación de las medidas tendientes a la recuperación ambiental conforme a lo establecido en la Resolución 1767 de 2016 o aquella que la modifique o sustituya</w:t>
      </w:r>
      <w:r w:rsidR="00076F22" w:rsidRPr="004E4C01">
        <w:rPr>
          <w:rFonts w:eastAsia="Arial" w:cs="Arial"/>
          <w:lang w:val="es-CO"/>
        </w:rPr>
        <w:t>.</w:t>
      </w:r>
    </w:p>
    <w:p w14:paraId="1E68E00B" w14:textId="16F231DB" w:rsidR="00076F22" w:rsidRPr="004E4C01" w:rsidRDefault="00076F22" w:rsidP="00C86DA5"/>
    <w:p w14:paraId="3867D74B" w14:textId="535AE813" w:rsidR="00076F22" w:rsidRPr="004E4C01" w:rsidRDefault="00F3165D" w:rsidP="009420F5">
      <w:pPr>
        <w:pStyle w:val="Ttulo2"/>
        <w:tabs>
          <w:tab w:val="clear" w:pos="0"/>
          <w:tab w:val="num" w:pos="851"/>
        </w:tabs>
        <w:ind w:left="851" w:hanging="851"/>
        <w:rPr>
          <w:lang w:val="es-CO"/>
        </w:rPr>
      </w:pPr>
      <w:hyperlink r:id="rId90" w:history="1">
        <w:bookmarkStart w:id="11402" w:name="_Toc230879718"/>
        <w:r w:rsidRPr="004E4C01">
          <w:rPr>
            <w:lang w:val="es-CO"/>
          </w:rPr>
          <w:t>PLAN DE DESMANTELAMIENTO Y CIERRE</w:t>
        </w:r>
      </w:hyperlink>
      <w:r w:rsidRPr="004E4C01">
        <w:rPr>
          <w:lang w:val="es-CO"/>
        </w:rPr>
        <w:t xml:space="preserve"> AMBIENTAL</w:t>
      </w:r>
      <w:r w:rsidR="009D1195" w:rsidRPr="004E4C01">
        <w:rPr>
          <w:rStyle w:val="Refdenotaalpie"/>
          <w:lang w:val="es-CO"/>
        </w:rPr>
        <w:footnoteReference w:id="262"/>
      </w:r>
      <w:bookmarkEnd w:id="11402"/>
    </w:p>
    <w:p w14:paraId="26154E3A" w14:textId="75A079AA" w:rsidR="00076F22" w:rsidRPr="004E4C01" w:rsidRDefault="00076F22" w:rsidP="00C86DA5"/>
    <w:p w14:paraId="0229DDBD" w14:textId="187AF927" w:rsidR="00297648" w:rsidRDefault="004D7DEC" w:rsidP="00D85BE2">
      <w:pPr>
        <w:rPr>
          <w:rFonts w:eastAsia="Malgun Gothic" w:cs="Arial"/>
          <w:lang w:eastAsia="ko-KR"/>
        </w:rPr>
      </w:pPr>
      <w:r>
        <w:rPr>
          <w:rFonts w:eastAsia="Malgun Gothic" w:cs="Arial"/>
          <w:lang w:eastAsia="ko-KR"/>
        </w:rPr>
        <w:t>El desmantelamiento y cierre ambiental constituye la última etapa de</w:t>
      </w:r>
      <w:r w:rsidR="009D27D6">
        <w:rPr>
          <w:rFonts w:eastAsia="Malgun Gothic" w:cs="Arial"/>
          <w:lang w:eastAsia="ko-KR"/>
        </w:rPr>
        <w:t xml:space="preserve"> ejecución de un proyecto, obra o actividad</w:t>
      </w:r>
      <w:r w:rsidR="00F74C3C">
        <w:rPr>
          <w:rFonts w:eastAsia="Malgun Gothic" w:cs="Arial"/>
          <w:lang w:eastAsia="ko-KR"/>
        </w:rPr>
        <w:t>;</w:t>
      </w:r>
      <w:r w:rsidR="009D27D6">
        <w:rPr>
          <w:rFonts w:eastAsia="Malgun Gothic" w:cs="Arial"/>
          <w:lang w:eastAsia="ko-KR"/>
        </w:rPr>
        <w:t xml:space="preserve"> </w:t>
      </w:r>
      <w:r w:rsidR="001C4139">
        <w:rPr>
          <w:rFonts w:eastAsia="Malgun Gothic" w:cs="Arial"/>
          <w:lang w:eastAsia="ko-KR"/>
        </w:rPr>
        <w:t xml:space="preserve">con su culminación y con el cumplimiento de las obligaciones establecidas por la autoridad ambiental se </w:t>
      </w:r>
      <w:r w:rsidR="00E26170">
        <w:rPr>
          <w:rFonts w:eastAsia="Malgun Gothic" w:cs="Arial"/>
          <w:lang w:eastAsia="ko-KR"/>
        </w:rPr>
        <w:t>concluye</w:t>
      </w:r>
      <w:r w:rsidR="00F74C3C">
        <w:rPr>
          <w:rFonts w:eastAsia="Malgun Gothic" w:cs="Arial"/>
          <w:lang w:eastAsia="ko-KR"/>
        </w:rPr>
        <w:t xml:space="preserve"> </w:t>
      </w:r>
      <w:r w:rsidR="001C4139">
        <w:rPr>
          <w:rFonts w:eastAsia="Malgun Gothic" w:cs="Arial"/>
          <w:lang w:eastAsia="ko-KR"/>
        </w:rPr>
        <w:t xml:space="preserve">la licencia ambiental. </w:t>
      </w:r>
      <w:r w:rsidR="00C73EBE">
        <w:rPr>
          <w:rFonts w:eastAsia="Malgun Gothic" w:cs="Arial"/>
          <w:lang w:eastAsia="ko-KR"/>
        </w:rPr>
        <w:t>En esta etapa</w:t>
      </w:r>
      <w:r w:rsidR="00C567AF">
        <w:rPr>
          <w:rFonts w:eastAsia="Malgun Gothic" w:cs="Arial"/>
          <w:lang w:eastAsia="ko-KR"/>
        </w:rPr>
        <w:t xml:space="preserve">, luego </w:t>
      </w:r>
      <w:r w:rsidR="008C7CC3">
        <w:rPr>
          <w:rFonts w:eastAsia="Malgun Gothic" w:cs="Arial"/>
          <w:lang w:eastAsia="ko-KR"/>
        </w:rPr>
        <w:t xml:space="preserve">de </w:t>
      </w:r>
      <w:r w:rsidR="00C567AF">
        <w:rPr>
          <w:rFonts w:eastAsia="Malgun Gothic" w:cs="Arial"/>
          <w:lang w:eastAsia="ko-KR"/>
        </w:rPr>
        <w:t xml:space="preserve">que </w:t>
      </w:r>
      <w:r w:rsidR="00EE6C6A">
        <w:rPr>
          <w:rFonts w:eastAsia="Malgun Gothic" w:cs="Arial"/>
          <w:lang w:eastAsia="ko-KR"/>
        </w:rPr>
        <w:t xml:space="preserve">el proyecto, obra o actividad </w:t>
      </w:r>
      <w:r w:rsidR="0040453A">
        <w:rPr>
          <w:rFonts w:eastAsia="Malgun Gothic" w:cs="Arial"/>
          <w:lang w:eastAsia="ko-KR"/>
        </w:rPr>
        <w:t xml:space="preserve">finaliza </w:t>
      </w:r>
      <w:r w:rsidR="00CD207D">
        <w:rPr>
          <w:rFonts w:eastAsia="Malgun Gothic" w:cs="Arial"/>
          <w:lang w:eastAsia="ko-KR"/>
        </w:rPr>
        <w:t xml:space="preserve">la ejecución de </w:t>
      </w:r>
      <w:r w:rsidR="00CD207D" w:rsidRPr="00C567AF">
        <w:rPr>
          <w:rFonts w:eastAsia="Malgun Gothic" w:cs="Arial"/>
          <w:lang w:eastAsia="ko-KR"/>
        </w:rPr>
        <w:t>todas las actividades</w:t>
      </w:r>
      <w:r w:rsidR="00CD207D">
        <w:rPr>
          <w:rFonts w:eastAsia="Malgun Gothic" w:cs="Arial"/>
          <w:lang w:eastAsia="ko-KR"/>
        </w:rPr>
        <w:t xml:space="preserve"> </w:t>
      </w:r>
      <w:r w:rsidR="00CD207D">
        <w:rPr>
          <w:rFonts w:eastAsia="Malgun Gothic" w:cs="Arial"/>
          <w:lang w:eastAsia="ko-KR"/>
        </w:rPr>
        <w:lastRenderedPageBreak/>
        <w:t>de etapas previas (p. ej. construcción u operación)</w:t>
      </w:r>
      <w:r w:rsidR="006F7779">
        <w:rPr>
          <w:rFonts w:eastAsia="Malgun Gothic" w:cs="Arial"/>
          <w:lang w:eastAsia="ko-KR"/>
        </w:rPr>
        <w:t xml:space="preserve"> y termina </w:t>
      </w:r>
      <w:r w:rsidR="0040453A">
        <w:rPr>
          <w:rFonts w:eastAsia="Malgun Gothic" w:cs="Arial"/>
          <w:lang w:eastAsia="ko-KR"/>
        </w:rPr>
        <w:t xml:space="preserve">el </w:t>
      </w:r>
      <w:r w:rsidR="005649F1" w:rsidRPr="00C567AF">
        <w:rPr>
          <w:rFonts w:eastAsia="Malgun Gothic" w:cs="Arial"/>
          <w:lang w:eastAsia="ko-KR"/>
        </w:rPr>
        <w:t>uso</w:t>
      </w:r>
      <w:r w:rsidR="0040453A">
        <w:rPr>
          <w:rFonts w:eastAsia="Malgun Gothic" w:cs="Arial"/>
          <w:lang w:eastAsia="ko-KR"/>
        </w:rPr>
        <w:t xml:space="preserve"> de </w:t>
      </w:r>
      <w:r w:rsidR="00C567AF" w:rsidRPr="00C567AF">
        <w:rPr>
          <w:rFonts w:eastAsia="Malgun Gothic" w:cs="Arial"/>
          <w:lang w:eastAsia="ko-KR"/>
        </w:rPr>
        <w:t>infraestructura</w:t>
      </w:r>
      <w:r w:rsidR="0040453A">
        <w:rPr>
          <w:rFonts w:eastAsia="Malgun Gothic" w:cs="Arial"/>
          <w:lang w:eastAsia="ko-KR"/>
        </w:rPr>
        <w:t>s</w:t>
      </w:r>
      <w:r w:rsidR="00C567AF" w:rsidRPr="00C567AF">
        <w:rPr>
          <w:rFonts w:eastAsia="Malgun Gothic" w:cs="Arial"/>
          <w:lang w:eastAsia="ko-KR"/>
        </w:rPr>
        <w:t xml:space="preserve"> </w:t>
      </w:r>
      <w:r w:rsidR="0040453A">
        <w:rPr>
          <w:rFonts w:eastAsia="Malgun Gothic" w:cs="Arial"/>
          <w:lang w:eastAsia="ko-KR"/>
        </w:rPr>
        <w:t xml:space="preserve">y </w:t>
      </w:r>
      <w:r w:rsidR="0040453A" w:rsidRPr="00C567AF">
        <w:rPr>
          <w:rFonts w:eastAsia="Malgun Gothic" w:cs="Arial"/>
          <w:lang w:eastAsia="ko-KR"/>
        </w:rPr>
        <w:t>del espacio</w:t>
      </w:r>
      <w:r w:rsidR="00D4464C">
        <w:rPr>
          <w:rFonts w:eastAsia="Malgun Gothic" w:cs="Arial"/>
          <w:lang w:eastAsia="ko-KR"/>
        </w:rPr>
        <w:t>,</w:t>
      </w:r>
      <w:r w:rsidR="002373B6">
        <w:rPr>
          <w:rFonts w:eastAsia="Malgun Gothic" w:cs="Arial"/>
          <w:lang w:eastAsia="ko-KR"/>
        </w:rPr>
        <w:t xml:space="preserve"> </w:t>
      </w:r>
      <w:r w:rsidR="00C73EBE">
        <w:rPr>
          <w:rFonts w:eastAsia="Malgun Gothic" w:cs="Arial"/>
          <w:lang w:eastAsia="ko-KR"/>
        </w:rPr>
        <w:t xml:space="preserve">se </w:t>
      </w:r>
      <w:r w:rsidR="0004308A">
        <w:rPr>
          <w:rFonts w:eastAsia="Malgun Gothic" w:cs="Arial"/>
          <w:lang w:eastAsia="ko-KR"/>
        </w:rPr>
        <w:t xml:space="preserve">desarrollan </w:t>
      </w:r>
      <w:r w:rsidR="00AA4C70">
        <w:rPr>
          <w:rFonts w:eastAsia="Malgun Gothic" w:cs="Arial"/>
          <w:lang w:eastAsia="ko-KR"/>
        </w:rPr>
        <w:t>actividades que tiene</w:t>
      </w:r>
      <w:r w:rsidR="00BB70D6">
        <w:rPr>
          <w:rFonts w:eastAsia="Malgun Gothic" w:cs="Arial"/>
          <w:lang w:eastAsia="ko-KR"/>
        </w:rPr>
        <w:t>n</w:t>
      </w:r>
      <w:r w:rsidR="00AA4C70">
        <w:rPr>
          <w:rFonts w:eastAsia="Malgun Gothic" w:cs="Arial"/>
          <w:lang w:eastAsia="ko-KR"/>
        </w:rPr>
        <w:t xml:space="preserve"> el propósito de reconforma</w:t>
      </w:r>
      <w:r w:rsidR="00694E1B">
        <w:rPr>
          <w:rFonts w:eastAsia="Malgun Gothic" w:cs="Arial"/>
          <w:lang w:eastAsia="ko-KR"/>
        </w:rPr>
        <w:t xml:space="preserve">r </w:t>
      </w:r>
      <w:r w:rsidR="00F370C7">
        <w:rPr>
          <w:rFonts w:eastAsia="Malgun Gothic" w:cs="Arial"/>
          <w:lang w:eastAsia="ko-KR"/>
        </w:rPr>
        <w:t>morfológica</w:t>
      </w:r>
      <w:r w:rsidR="00694E1B">
        <w:rPr>
          <w:rFonts w:eastAsia="Malgun Gothic" w:cs="Arial"/>
          <w:lang w:eastAsia="ko-KR"/>
        </w:rPr>
        <w:t xml:space="preserve">mente y </w:t>
      </w:r>
      <w:r w:rsidR="00AA4C70">
        <w:rPr>
          <w:rFonts w:eastAsia="Malgun Gothic" w:cs="Arial"/>
          <w:lang w:eastAsia="ko-KR"/>
        </w:rPr>
        <w:t>restaura</w:t>
      </w:r>
      <w:r w:rsidR="00694E1B">
        <w:rPr>
          <w:rFonts w:eastAsia="Malgun Gothic" w:cs="Arial"/>
          <w:lang w:eastAsia="ko-KR"/>
        </w:rPr>
        <w:t xml:space="preserve">r </w:t>
      </w:r>
      <w:r w:rsidR="00C20D60">
        <w:rPr>
          <w:rFonts w:eastAsia="Malgun Gothic" w:cs="Arial"/>
          <w:lang w:eastAsia="ko-KR"/>
        </w:rPr>
        <w:t xml:space="preserve">el área </w:t>
      </w:r>
      <w:r w:rsidR="00625997">
        <w:rPr>
          <w:rFonts w:eastAsia="Malgun Gothic" w:cs="Arial"/>
          <w:lang w:eastAsia="ko-KR"/>
        </w:rPr>
        <w:t>intervenida</w:t>
      </w:r>
      <w:r w:rsidR="00EB0EB8">
        <w:rPr>
          <w:rFonts w:eastAsia="Malgun Gothic" w:cs="Arial"/>
          <w:lang w:eastAsia="ko-KR"/>
        </w:rPr>
        <w:t xml:space="preserve"> y,</w:t>
      </w:r>
      <w:r w:rsidR="00221888" w:rsidRPr="00221888">
        <w:rPr>
          <w:rFonts w:eastAsia="Malgun Gothic" w:cs="Arial"/>
          <w:lang w:eastAsia="ko-KR"/>
        </w:rPr>
        <w:t xml:space="preserve"> </w:t>
      </w:r>
      <w:r w:rsidR="00536DB8">
        <w:rPr>
          <w:rFonts w:eastAsia="Malgun Gothic" w:cs="Arial"/>
          <w:lang w:eastAsia="ko-KR"/>
        </w:rPr>
        <w:t xml:space="preserve">además, </w:t>
      </w:r>
      <w:r w:rsidR="00221888" w:rsidRPr="00221888">
        <w:rPr>
          <w:rFonts w:eastAsia="Malgun Gothic" w:cs="Arial"/>
          <w:lang w:eastAsia="ko-KR"/>
        </w:rPr>
        <w:t xml:space="preserve">se aplican medidas </w:t>
      </w:r>
      <w:r w:rsidR="00BB43C9">
        <w:rPr>
          <w:rFonts w:eastAsia="Malgun Gothic" w:cs="Arial"/>
          <w:lang w:eastAsia="ko-KR"/>
        </w:rPr>
        <w:t xml:space="preserve">para </w:t>
      </w:r>
      <w:r w:rsidR="00221888" w:rsidRPr="00221888">
        <w:rPr>
          <w:rFonts w:eastAsia="Malgun Gothic" w:cs="Arial"/>
          <w:lang w:eastAsia="ko-KR"/>
        </w:rPr>
        <w:t>manej</w:t>
      </w:r>
      <w:r w:rsidR="00BB43C9">
        <w:rPr>
          <w:rFonts w:eastAsia="Malgun Gothic" w:cs="Arial"/>
          <w:lang w:eastAsia="ko-KR"/>
        </w:rPr>
        <w:t xml:space="preserve">ar </w:t>
      </w:r>
      <w:r w:rsidR="00221888" w:rsidRPr="00221888">
        <w:rPr>
          <w:rFonts w:eastAsia="Malgun Gothic" w:cs="Arial"/>
          <w:lang w:eastAsia="ko-KR"/>
        </w:rPr>
        <w:t>los impactos ambientales ocasionados por tales actividades</w:t>
      </w:r>
      <w:r w:rsidR="00DF3B92">
        <w:rPr>
          <w:rFonts w:eastAsia="Malgun Gothic" w:cs="Arial"/>
          <w:lang w:eastAsia="ko-KR"/>
        </w:rPr>
        <w:t>.</w:t>
      </w:r>
    </w:p>
    <w:p w14:paraId="0C60B4DA" w14:textId="77777777" w:rsidR="00297648" w:rsidRDefault="00297648" w:rsidP="00D85BE2">
      <w:pPr>
        <w:rPr>
          <w:rFonts w:eastAsia="Malgun Gothic" w:cs="Arial"/>
          <w:lang w:eastAsia="ko-KR"/>
        </w:rPr>
      </w:pPr>
    </w:p>
    <w:p w14:paraId="6F2FE0CF" w14:textId="519E9BD4" w:rsidR="004D7DEC" w:rsidRDefault="000E4889" w:rsidP="00D85BE2">
      <w:pPr>
        <w:rPr>
          <w:rFonts w:eastAsia="Malgun Gothic" w:cs="Arial"/>
          <w:lang w:eastAsia="ko-KR"/>
        </w:rPr>
      </w:pPr>
      <w:r>
        <w:rPr>
          <w:rFonts w:eastAsia="Malgun Gothic" w:cs="Arial"/>
          <w:lang w:eastAsia="ko-KR"/>
        </w:rPr>
        <w:t xml:space="preserve">Dado que </w:t>
      </w:r>
      <w:r w:rsidR="00912944">
        <w:rPr>
          <w:rFonts w:eastAsia="Malgun Gothic" w:cs="Arial"/>
          <w:lang w:eastAsia="ko-KR"/>
        </w:rPr>
        <w:t xml:space="preserve">el desmantelamiento y cierre ambiental </w:t>
      </w:r>
      <w:r w:rsidR="00046E99">
        <w:rPr>
          <w:rFonts w:eastAsia="Malgun Gothic" w:cs="Arial"/>
          <w:lang w:eastAsia="ko-KR"/>
        </w:rPr>
        <w:t xml:space="preserve">constituye la última etapa y en ella se </w:t>
      </w:r>
      <w:r w:rsidR="000277A5">
        <w:rPr>
          <w:rFonts w:eastAsia="Malgun Gothic" w:cs="Arial"/>
          <w:lang w:eastAsia="ko-KR"/>
        </w:rPr>
        <w:t xml:space="preserve">desarrollan actividades clave para </w:t>
      </w:r>
      <w:r w:rsidR="000304EB">
        <w:rPr>
          <w:rFonts w:eastAsia="Malgun Gothic" w:cs="Arial"/>
          <w:lang w:eastAsia="ko-KR"/>
        </w:rPr>
        <w:t xml:space="preserve">corregir </w:t>
      </w:r>
      <w:r w:rsidR="00A73CB1">
        <w:rPr>
          <w:rFonts w:eastAsia="Malgun Gothic" w:cs="Arial"/>
          <w:lang w:eastAsia="ko-KR"/>
        </w:rPr>
        <w:t xml:space="preserve">los </w:t>
      </w:r>
      <w:r w:rsidR="000304EB">
        <w:rPr>
          <w:rFonts w:eastAsia="Malgun Gothic" w:cs="Arial"/>
          <w:lang w:eastAsia="ko-KR"/>
        </w:rPr>
        <w:t xml:space="preserve">impactos que genera </w:t>
      </w:r>
      <w:r w:rsidR="00176AD2">
        <w:rPr>
          <w:rFonts w:eastAsia="Malgun Gothic" w:cs="Arial"/>
          <w:lang w:eastAsia="ko-KR"/>
        </w:rPr>
        <w:t>la implementación d</w:t>
      </w:r>
      <w:r w:rsidR="000304EB">
        <w:rPr>
          <w:rFonts w:eastAsia="Malgun Gothic" w:cs="Arial"/>
          <w:lang w:eastAsia="ko-KR"/>
        </w:rPr>
        <w:t>el proyecto</w:t>
      </w:r>
      <w:r w:rsidR="000874FF">
        <w:rPr>
          <w:rFonts w:eastAsia="Malgun Gothic" w:cs="Arial"/>
          <w:lang w:eastAsia="ko-KR"/>
        </w:rPr>
        <w:t xml:space="preserve">, se debe formular </w:t>
      </w:r>
      <w:r w:rsidR="00630180">
        <w:rPr>
          <w:rFonts w:eastAsia="Malgun Gothic" w:cs="Arial"/>
          <w:lang w:eastAsia="ko-KR"/>
        </w:rPr>
        <w:t xml:space="preserve">un plan </w:t>
      </w:r>
      <w:r w:rsidR="008A42CA">
        <w:rPr>
          <w:rFonts w:eastAsia="Malgun Gothic" w:cs="Arial"/>
          <w:lang w:eastAsia="ko-KR"/>
        </w:rPr>
        <w:t xml:space="preserve">siguiendo </w:t>
      </w:r>
      <w:r w:rsidR="00630180">
        <w:rPr>
          <w:rFonts w:eastAsia="Malgun Gothic" w:cs="Arial"/>
          <w:lang w:eastAsia="ko-KR"/>
        </w:rPr>
        <w:t xml:space="preserve">los </w:t>
      </w:r>
      <w:r w:rsidR="0082035B">
        <w:rPr>
          <w:rFonts w:eastAsia="Malgun Gothic" w:cs="Arial"/>
          <w:lang w:eastAsia="ko-KR"/>
        </w:rPr>
        <w:t xml:space="preserve">lineamientos que se desarrollan a continuación </w:t>
      </w:r>
      <w:r w:rsidR="00D238ED">
        <w:rPr>
          <w:rFonts w:eastAsia="Malgun Gothic" w:cs="Arial"/>
          <w:lang w:eastAsia="ko-KR"/>
        </w:rPr>
        <w:t xml:space="preserve">para dotar </w:t>
      </w:r>
      <w:r w:rsidR="000874FF">
        <w:rPr>
          <w:rFonts w:eastAsia="Malgun Gothic" w:cs="Arial"/>
          <w:lang w:eastAsia="ko-KR"/>
        </w:rPr>
        <w:t>a la auto</w:t>
      </w:r>
      <w:r w:rsidR="003D3074">
        <w:rPr>
          <w:rFonts w:eastAsia="Malgun Gothic" w:cs="Arial"/>
          <w:lang w:eastAsia="ko-KR"/>
        </w:rPr>
        <w:t xml:space="preserve">ridad ambiental </w:t>
      </w:r>
      <w:r w:rsidR="00D238ED">
        <w:rPr>
          <w:rFonts w:eastAsia="Malgun Gothic" w:cs="Arial"/>
          <w:lang w:eastAsia="ko-KR"/>
        </w:rPr>
        <w:t xml:space="preserve">de información que le permita </w:t>
      </w:r>
      <w:r w:rsidR="005041BD">
        <w:rPr>
          <w:rFonts w:eastAsia="Malgun Gothic" w:cs="Arial"/>
          <w:lang w:eastAsia="ko-KR"/>
        </w:rPr>
        <w:t xml:space="preserve">establecer </w:t>
      </w:r>
      <w:r w:rsidR="002C1788">
        <w:rPr>
          <w:rFonts w:eastAsia="Malgun Gothic" w:cs="Arial"/>
          <w:lang w:eastAsia="ko-KR"/>
        </w:rPr>
        <w:t>si</w:t>
      </w:r>
      <w:r w:rsidR="005041BD">
        <w:rPr>
          <w:rFonts w:eastAsia="Malgun Gothic" w:cs="Arial"/>
          <w:lang w:eastAsia="ko-KR"/>
        </w:rPr>
        <w:t xml:space="preserve"> </w:t>
      </w:r>
      <w:r w:rsidR="0008209F">
        <w:rPr>
          <w:rFonts w:eastAsia="Malgun Gothic" w:cs="Arial"/>
          <w:lang w:eastAsia="ko-KR"/>
        </w:rPr>
        <w:t xml:space="preserve">la </w:t>
      </w:r>
      <w:r w:rsidR="003A34FC">
        <w:rPr>
          <w:rFonts w:eastAsia="Malgun Gothic" w:cs="Arial"/>
          <w:lang w:eastAsia="ko-KR"/>
        </w:rPr>
        <w:t>ejecución</w:t>
      </w:r>
      <w:r w:rsidR="0008209F">
        <w:rPr>
          <w:rFonts w:eastAsia="Malgun Gothic" w:cs="Arial"/>
          <w:lang w:eastAsia="ko-KR"/>
        </w:rPr>
        <w:t xml:space="preserve"> del proyecto</w:t>
      </w:r>
      <w:r w:rsidR="004D4AE5">
        <w:rPr>
          <w:rFonts w:eastAsia="Malgun Gothic" w:cs="Arial"/>
          <w:lang w:eastAsia="ko-KR"/>
        </w:rPr>
        <w:t>, de principio a fin,</w:t>
      </w:r>
      <w:r w:rsidR="003A34FC">
        <w:rPr>
          <w:rFonts w:eastAsia="Malgun Gothic" w:cs="Arial"/>
          <w:lang w:eastAsia="ko-KR"/>
        </w:rPr>
        <w:t xml:space="preserve"> </w:t>
      </w:r>
      <w:r w:rsidR="002C1788">
        <w:rPr>
          <w:rFonts w:eastAsia="Malgun Gothic" w:cs="Arial"/>
          <w:lang w:eastAsia="ko-KR"/>
        </w:rPr>
        <w:t xml:space="preserve">es viable </w:t>
      </w:r>
      <w:r w:rsidR="003A34FC">
        <w:rPr>
          <w:rFonts w:eastAsia="Malgun Gothic" w:cs="Arial"/>
          <w:lang w:eastAsia="ko-KR"/>
        </w:rPr>
        <w:t>en términos ambientales</w:t>
      </w:r>
      <w:r w:rsidR="00630180">
        <w:rPr>
          <w:rFonts w:eastAsia="Malgun Gothic" w:cs="Arial"/>
          <w:lang w:eastAsia="ko-KR"/>
        </w:rPr>
        <w:t>.</w:t>
      </w:r>
    </w:p>
    <w:p w14:paraId="468A20DA" w14:textId="77777777" w:rsidR="004D7DEC" w:rsidRDefault="004D7DEC" w:rsidP="00D85BE2">
      <w:pPr>
        <w:rPr>
          <w:rFonts w:eastAsia="Malgun Gothic" w:cs="Arial"/>
          <w:lang w:eastAsia="ko-KR"/>
        </w:rPr>
      </w:pPr>
    </w:p>
    <w:p w14:paraId="44A91A98" w14:textId="0A5D87DF" w:rsidR="00D85BE2" w:rsidRPr="004E4C01" w:rsidRDefault="00D85BE2" w:rsidP="00D85BE2">
      <w:r w:rsidRPr="004E4C01">
        <w:rPr>
          <w:rFonts w:eastAsia="Malgun Gothic" w:cs="Arial"/>
          <w:lang w:eastAsia="ko-KR"/>
        </w:rPr>
        <w:t>E</w:t>
      </w:r>
      <w:r w:rsidR="004757C0" w:rsidRPr="004E4C01">
        <w:rPr>
          <w:rFonts w:eastAsia="Malgun Gothic" w:cs="Arial"/>
          <w:lang w:eastAsia="ko-KR"/>
        </w:rPr>
        <w:t xml:space="preserve">l </w:t>
      </w:r>
      <w:r w:rsidR="00BD05E9" w:rsidRPr="004E4C01">
        <w:rPr>
          <w:rFonts w:eastAsia="Malgun Gothic" w:cs="Arial"/>
          <w:lang w:eastAsia="ko-KR"/>
        </w:rPr>
        <w:t xml:space="preserve">plan </w:t>
      </w:r>
      <w:r w:rsidR="004757C0" w:rsidRPr="004E4C01">
        <w:rPr>
          <w:rFonts w:eastAsia="Malgun Gothic" w:cs="Arial"/>
          <w:lang w:eastAsia="ko-KR"/>
        </w:rPr>
        <w:t xml:space="preserve">de desmantelamiento y </w:t>
      </w:r>
      <w:r w:rsidR="00F3165D" w:rsidRPr="004E4C01">
        <w:rPr>
          <w:rFonts w:eastAsia="Malgun Gothic" w:cs="Arial"/>
          <w:lang w:eastAsia="ko-KR"/>
        </w:rPr>
        <w:t xml:space="preserve">cierre ambiental </w:t>
      </w:r>
      <w:r w:rsidR="002345CC" w:rsidRPr="004E4C01">
        <w:rPr>
          <w:rFonts w:eastAsia="Malgun Gothic" w:cs="Arial"/>
          <w:lang w:eastAsia="ko-KR"/>
        </w:rPr>
        <w:t xml:space="preserve">debe </w:t>
      </w:r>
      <w:r w:rsidR="000D638F" w:rsidRPr="004E4C01">
        <w:rPr>
          <w:rFonts w:eastAsia="Malgun Gothic" w:cs="Arial"/>
          <w:lang w:eastAsia="ko-KR"/>
        </w:rPr>
        <w:t xml:space="preserve">definir </w:t>
      </w:r>
      <w:r w:rsidR="00BD05E9" w:rsidRPr="004E4C01">
        <w:rPr>
          <w:rFonts w:eastAsia="Malgun Gothic" w:cs="Arial"/>
          <w:lang w:eastAsia="ko-KR"/>
        </w:rPr>
        <w:t>el uso final del suelo</w:t>
      </w:r>
      <w:r w:rsidR="002345CC" w:rsidRPr="004E4C01">
        <w:rPr>
          <w:rFonts w:eastAsia="Malgun Gothic" w:cs="Arial"/>
          <w:lang w:eastAsia="ko-KR"/>
        </w:rPr>
        <w:t xml:space="preserve"> de forma </w:t>
      </w:r>
      <w:r w:rsidR="00992F41" w:rsidRPr="004E4C01">
        <w:rPr>
          <w:rFonts w:eastAsia="Malgun Gothic" w:cs="Arial"/>
          <w:lang w:eastAsia="ko-KR"/>
        </w:rPr>
        <w:t>armónic</w:t>
      </w:r>
      <w:r w:rsidR="002345CC" w:rsidRPr="004E4C01">
        <w:rPr>
          <w:rFonts w:eastAsia="Malgun Gothic" w:cs="Arial"/>
          <w:lang w:eastAsia="ko-KR"/>
        </w:rPr>
        <w:t>a</w:t>
      </w:r>
      <w:r w:rsidR="00992F41" w:rsidRPr="004E4C01">
        <w:rPr>
          <w:rFonts w:eastAsia="Malgun Gothic" w:cs="Arial"/>
          <w:lang w:eastAsia="ko-KR"/>
        </w:rPr>
        <w:t xml:space="preserve"> con lo establecido en los </w:t>
      </w:r>
      <w:r w:rsidR="00DA5E39" w:rsidRPr="004E4C01">
        <w:rPr>
          <w:rFonts w:eastAsia="Malgun Gothic" w:cs="Arial"/>
          <w:lang w:eastAsia="ko-KR"/>
        </w:rPr>
        <w:t>instrumentos de ordenamiento territorial</w:t>
      </w:r>
      <w:r w:rsidR="00552475" w:rsidRPr="004E4C01">
        <w:rPr>
          <w:rFonts w:eastAsia="Malgun Gothic" w:cs="Arial"/>
          <w:lang w:eastAsia="ko-KR"/>
        </w:rPr>
        <w:t>. Asimismo</w:t>
      </w:r>
      <w:r w:rsidR="00BD05E9" w:rsidRPr="004E4C01">
        <w:rPr>
          <w:rFonts w:eastAsia="Malgun Gothic" w:cs="Arial"/>
          <w:lang w:eastAsia="ko-KR"/>
        </w:rPr>
        <w:t xml:space="preserve">, </w:t>
      </w:r>
      <w:r w:rsidR="001B00F6" w:rsidRPr="004E4C01">
        <w:rPr>
          <w:rFonts w:eastAsia="Malgun Gothic" w:cs="Arial"/>
          <w:lang w:eastAsia="ko-KR"/>
        </w:rPr>
        <w:t xml:space="preserve">debe </w:t>
      </w:r>
      <w:r w:rsidR="00486C35" w:rsidRPr="004E4C01">
        <w:rPr>
          <w:rFonts w:eastAsia="Malgun Gothic" w:cs="Arial"/>
          <w:lang w:eastAsia="ko-KR"/>
        </w:rPr>
        <w:t>defin</w:t>
      </w:r>
      <w:r w:rsidR="001B00F6" w:rsidRPr="004E4C01">
        <w:rPr>
          <w:rFonts w:eastAsia="Malgun Gothic" w:cs="Arial"/>
          <w:lang w:eastAsia="ko-KR"/>
        </w:rPr>
        <w:t xml:space="preserve">ir </w:t>
      </w:r>
      <w:r w:rsidR="008A3576">
        <w:rPr>
          <w:rFonts w:eastAsia="Malgun Gothic" w:cs="Arial"/>
          <w:lang w:eastAsia="ko-KR"/>
        </w:rPr>
        <w:t>actividades que aseguren la</w:t>
      </w:r>
      <w:r w:rsidR="00BD05E9" w:rsidRPr="004E4C01">
        <w:rPr>
          <w:rFonts w:eastAsia="Malgun Gothic" w:cs="Arial"/>
          <w:lang w:eastAsia="ko-KR"/>
        </w:rPr>
        <w:t xml:space="preserve"> restauración y reconformación morfológica </w:t>
      </w:r>
      <w:r w:rsidR="00E53948" w:rsidRPr="004E4C01">
        <w:rPr>
          <w:rFonts w:eastAsia="Malgun Gothic" w:cs="Arial"/>
          <w:lang w:eastAsia="ko-KR"/>
        </w:rPr>
        <w:t xml:space="preserve">que se </w:t>
      </w:r>
      <w:r w:rsidR="00BD05E9" w:rsidRPr="004E4C01">
        <w:rPr>
          <w:rFonts w:eastAsia="Malgun Gothic" w:cs="Arial"/>
          <w:lang w:eastAsia="ko-KR"/>
        </w:rPr>
        <w:t>aplica</w:t>
      </w:r>
      <w:r w:rsidR="00E53948" w:rsidRPr="004E4C01">
        <w:rPr>
          <w:rFonts w:eastAsia="Malgun Gothic" w:cs="Arial"/>
          <w:lang w:eastAsia="ko-KR"/>
        </w:rPr>
        <w:t xml:space="preserve">rán </w:t>
      </w:r>
      <w:r w:rsidR="00E2274C" w:rsidRPr="004E4C01">
        <w:t>luego de terminar la vida útil del proyecto, obra o actividad</w:t>
      </w:r>
      <w:r w:rsidR="00E2274C" w:rsidRPr="004E4C01">
        <w:rPr>
          <w:rFonts w:eastAsia="Malgun Gothic" w:cs="Arial"/>
          <w:lang w:eastAsia="ko-KR"/>
        </w:rPr>
        <w:t xml:space="preserve"> </w:t>
      </w:r>
      <w:r w:rsidR="00BD05E9" w:rsidRPr="004E4C01">
        <w:rPr>
          <w:rFonts w:eastAsia="Malgun Gothic" w:cs="Arial"/>
          <w:lang w:eastAsia="ko-KR"/>
        </w:rPr>
        <w:t xml:space="preserve">para </w:t>
      </w:r>
      <w:r w:rsidR="00F51995">
        <w:rPr>
          <w:rFonts w:eastAsia="Malgun Gothic" w:cs="Arial"/>
          <w:lang w:eastAsia="ko-KR"/>
        </w:rPr>
        <w:t>procurar</w:t>
      </w:r>
      <w:r w:rsidR="00F51995" w:rsidRPr="004E4C01">
        <w:rPr>
          <w:rFonts w:eastAsia="Malgun Gothic" w:cs="Arial"/>
          <w:lang w:eastAsia="ko-KR"/>
        </w:rPr>
        <w:t xml:space="preserve"> </w:t>
      </w:r>
      <w:r w:rsidR="0054381F" w:rsidRPr="004E4C01">
        <w:rPr>
          <w:rFonts w:eastAsia="Malgun Gothic" w:cs="Arial"/>
          <w:lang w:eastAsia="ko-KR"/>
        </w:rPr>
        <w:t xml:space="preserve">un </w:t>
      </w:r>
      <w:r w:rsidRPr="004E4C01">
        <w:t xml:space="preserve">balance ambiental neto </w:t>
      </w:r>
      <w:r w:rsidR="0054381F" w:rsidRPr="004E4C01">
        <w:t>por lo menos igual a cero</w:t>
      </w:r>
      <w:r w:rsidR="0083392F" w:rsidRPr="004E4C01">
        <w:rPr>
          <w:rFonts w:eastAsia="Malgun Gothic" w:cs="Arial"/>
          <w:lang w:eastAsia="ko-KR"/>
        </w:rPr>
        <w:t xml:space="preserve">. </w:t>
      </w:r>
      <w:r w:rsidR="009805A8" w:rsidRPr="004E4C01">
        <w:t>L</w:t>
      </w:r>
      <w:r w:rsidR="009805A8" w:rsidRPr="004E4C01">
        <w:rPr>
          <w:rFonts w:eastAsia="Malgun Gothic" w:cs="Arial"/>
          <w:lang w:eastAsia="ko-KR"/>
        </w:rPr>
        <w:t xml:space="preserve">as condiciones ambientales que se </w:t>
      </w:r>
      <w:r w:rsidR="009812CF" w:rsidRPr="004E4C01">
        <w:rPr>
          <w:rFonts w:eastAsia="Malgun Gothic" w:cs="Arial"/>
          <w:lang w:eastAsia="ko-KR"/>
        </w:rPr>
        <w:t>plantee</w:t>
      </w:r>
      <w:r w:rsidR="009805A8" w:rsidRPr="004E4C01">
        <w:rPr>
          <w:rFonts w:eastAsia="Malgun Gothic" w:cs="Arial"/>
          <w:lang w:eastAsia="ko-KR"/>
        </w:rPr>
        <w:t xml:space="preserve"> alcanzar mediante l</w:t>
      </w:r>
      <w:r w:rsidR="009805A8" w:rsidRPr="004E4C01">
        <w:t>a ejecución de las actividades establecidas en e</w:t>
      </w:r>
      <w:r w:rsidR="00FA77E7" w:rsidRPr="004E4C01">
        <w:t>ste</w:t>
      </w:r>
      <w:r w:rsidR="009805A8" w:rsidRPr="004E4C01">
        <w:t xml:space="preserve"> </w:t>
      </w:r>
      <w:r w:rsidR="003D2F41" w:rsidRPr="004E4C01">
        <w:t>plan</w:t>
      </w:r>
      <w:r w:rsidR="009805A8" w:rsidRPr="004E4C01">
        <w:t xml:space="preserve"> deben </w:t>
      </w:r>
      <w:r w:rsidR="004757C0" w:rsidRPr="004E4C01">
        <w:rPr>
          <w:rFonts w:eastAsia="Malgun Gothic" w:cs="Arial"/>
          <w:lang w:eastAsia="ko-KR"/>
        </w:rPr>
        <w:t>correspond</w:t>
      </w:r>
      <w:r w:rsidR="009805A8" w:rsidRPr="004E4C01">
        <w:rPr>
          <w:rFonts w:eastAsia="Malgun Gothic" w:cs="Arial"/>
          <w:lang w:eastAsia="ko-KR"/>
        </w:rPr>
        <w:t>er y hacer posible e</w:t>
      </w:r>
      <w:r w:rsidR="004757C0" w:rsidRPr="004E4C01">
        <w:rPr>
          <w:rFonts w:eastAsia="Malgun Gothic" w:cs="Arial"/>
          <w:lang w:eastAsia="ko-KR"/>
        </w:rPr>
        <w:t xml:space="preserve">l uso del suelo </w:t>
      </w:r>
      <w:r w:rsidR="00FA77E7" w:rsidRPr="004E4C01">
        <w:rPr>
          <w:rFonts w:eastAsia="Malgun Gothic" w:cs="Arial"/>
          <w:lang w:eastAsia="ko-KR"/>
        </w:rPr>
        <w:t xml:space="preserve">que </w:t>
      </w:r>
      <w:r w:rsidR="009812CF" w:rsidRPr="004E4C01">
        <w:rPr>
          <w:rFonts w:eastAsia="Malgun Gothic" w:cs="Arial"/>
          <w:lang w:eastAsia="ko-KR"/>
        </w:rPr>
        <w:t xml:space="preserve">se </w:t>
      </w:r>
      <w:r w:rsidR="00DC690B">
        <w:rPr>
          <w:rFonts w:eastAsia="Malgun Gothic" w:cs="Arial"/>
          <w:lang w:eastAsia="ko-KR"/>
        </w:rPr>
        <w:t>defina</w:t>
      </w:r>
      <w:r w:rsidRPr="004E4C01">
        <w:t>.</w:t>
      </w:r>
    </w:p>
    <w:p w14:paraId="1A59AE6B" w14:textId="77777777" w:rsidR="00D85BE2" w:rsidRPr="004E4C01" w:rsidRDefault="00D85BE2" w:rsidP="00D85BE2"/>
    <w:p w14:paraId="3D04DF06" w14:textId="64D013E2" w:rsidR="0054678E" w:rsidRPr="004E4C01" w:rsidRDefault="0054678E" w:rsidP="0054678E">
      <w:r w:rsidRPr="004E4C01">
        <w:t>Se debe establecer claramente el objetivo y alcances del plan, asimismo, se debe especificar con la mayor precisión posible, entre otros elementos, la localización de los lugares a reconfigurar morfológicamente y a restaurar, la manera en que las actividades propuestas permiten el cumplimiento del objetivo, los métodos a emplear, la maquinaria e insumos requeridos</w:t>
      </w:r>
      <w:r w:rsidR="001524D5" w:rsidRPr="004E4C01">
        <w:t>,</w:t>
      </w:r>
      <w:r w:rsidRPr="004E4C01">
        <w:t xml:space="preserve"> </w:t>
      </w:r>
      <w:r w:rsidR="00FF1C90" w:rsidRPr="004E4C01">
        <w:t xml:space="preserve">las estrategias de comunicación y participación con los grupos de interés </w:t>
      </w:r>
      <w:r w:rsidRPr="004E4C01">
        <w:t>y el cronograma</w:t>
      </w:r>
      <w:r w:rsidR="00E06611" w:rsidRPr="004E4C01">
        <w:t xml:space="preserve"> de ejecución; el plan </w:t>
      </w:r>
      <w:r w:rsidR="000767EF" w:rsidRPr="004E4C01">
        <w:t xml:space="preserve">de desmantelamiento y </w:t>
      </w:r>
      <w:r w:rsidR="004E5745" w:rsidRPr="004E4C01">
        <w:t xml:space="preserve">cierre ambiental </w:t>
      </w:r>
      <w:r w:rsidR="000767EF" w:rsidRPr="004E4C01">
        <w:t xml:space="preserve">incluido en </w:t>
      </w:r>
      <w:r w:rsidR="00E06611" w:rsidRPr="004E4C01">
        <w:t xml:space="preserve">el estudio </w:t>
      </w:r>
      <w:r w:rsidR="001524D5" w:rsidRPr="004E4C01">
        <w:t xml:space="preserve">que se </w:t>
      </w:r>
      <w:r w:rsidR="00E06611" w:rsidRPr="004E4C01">
        <w:t xml:space="preserve">elabora </w:t>
      </w:r>
      <w:r w:rsidR="001524D5" w:rsidRPr="004E4C01">
        <w:t xml:space="preserve">a fin de </w:t>
      </w:r>
      <w:r w:rsidR="00E06611" w:rsidRPr="004E4C01">
        <w:t xml:space="preserve">iniciar la </w:t>
      </w:r>
      <w:r w:rsidR="00D53562">
        <w:rPr>
          <w:spacing w:val="-3"/>
        </w:rPr>
        <w:t>etapa</w:t>
      </w:r>
      <w:r w:rsidR="00D53562" w:rsidRPr="004E4C01" w:rsidDel="00D53562">
        <w:t xml:space="preserve"> </w:t>
      </w:r>
      <w:r w:rsidR="00E06611" w:rsidRPr="004E4C01">
        <w:t xml:space="preserve">de desmantelamiento y </w:t>
      </w:r>
      <w:r w:rsidR="004E5745" w:rsidRPr="004E4C01">
        <w:t xml:space="preserve">cierre ambiental </w:t>
      </w:r>
      <w:r w:rsidR="00E06611" w:rsidRPr="004E4C01">
        <w:t xml:space="preserve">debe tener mayor </w:t>
      </w:r>
      <w:r w:rsidR="001C2D87" w:rsidRPr="004E4C01">
        <w:t>precisión</w:t>
      </w:r>
      <w:r w:rsidR="00E06611" w:rsidRPr="004E4C01">
        <w:t xml:space="preserve"> y detalle que el plan </w:t>
      </w:r>
      <w:r w:rsidR="001524D5" w:rsidRPr="004E4C01">
        <w:t xml:space="preserve">que debe </w:t>
      </w:r>
      <w:r w:rsidR="000767EF" w:rsidRPr="004E4C01">
        <w:t xml:space="preserve">contener </w:t>
      </w:r>
      <w:r w:rsidR="00E06611" w:rsidRPr="004E4C01">
        <w:t>el EIA</w:t>
      </w:r>
      <w:r w:rsidRPr="004E4C01">
        <w:t>.</w:t>
      </w:r>
    </w:p>
    <w:p w14:paraId="186D87F1" w14:textId="77777777" w:rsidR="0054678E" w:rsidRPr="004E4C01" w:rsidRDefault="0054678E" w:rsidP="006E41CD">
      <w:pPr>
        <w:rPr>
          <w:rFonts w:eastAsia="Malgun Gothic" w:cs="Arial"/>
          <w:lang w:eastAsia="ko-KR"/>
        </w:rPr>
      </w:pPr>
    </w:p>
    <w:p w14:paraId="1870FC57" w14:textId="20E2750A" w:rsidR="006E41CD" w:rsidRPr="004E4C01" w:rsidRDefault="004B5043" w:rsidP="006E41CD">
      <w:r w:rsidRPr="004E4C01">
        <w:rPr>
          <w:rFonts w:eastAsia="Malgun Gothic" w:cs="Arial"/>
          <w:lang w:eastAsia="ko-KR"/>
        </w:rPr>
        <w:t xml:space="preserve">Tomando como insumos </w:t>
      </w:r>
      <w:r w:rsidR="006E41CD" w:rsidRPr="004E4C01">
        <w:rPr>
          <w:rFonts w:eastAsia="Malgun Gothic" w:cs="Arial"/>
          <w:lang w:eastAsia="ko-KR"/>
        </w:rPr>
        <w:t>el uso final de suelo prop</w:t>
      </w:r>
      <w:r w:rsidR="009812CF" w:rsidRPr="004E4C01">
        <w:rPr>
          <w:rFonts w:eastAsia="Malgun Gothic" w:cs="Arial"/>
          <w:lang w:eastAsia="ko-KR"/>
        </w:rPr>
        <w:t xml:space="preserve">uesto </w:t>
      </w:r>
      <w:r w:rsidR="006E41CD" w:rsidRPr="004E4C01">
        <w:rPr>
          <w:rFonts w:eastAsia="Malgun Gothic" w:cs="Arial"/>
          <w:lang w:eastAsia="ko-KR"/>
        </w:rPr>
        <w:t xml:space="preserve">para el área a desmantelar y </w:t>
      </w:r>
      <w:r w:rsidR="00EF7401" w:rsidRPr="004E4C01">
        <w:rPr>
          <w:rFonts w:eastAsia="Malgun Gothic" w:cs="Arial"/>
          <w:lang w:eastAsia="ko-KR"/>
        </w:rPr>
        <w:t xml:space="preserve">objeto de cierre </w:t>
      </w:r>
      <w:r w:rsidR="00F9287F" w:rsidRPr="004E4C01">
        <w:rPr>
          <w:rFonts w:eastAsia="Malgun Gothic" w:cs="Arial"/>
          <w:lang w:eastAsia="ko-KR"/>
        </w:rPr>
        <w:t xml:space="preserve">del </w:t>
      </w:r>
      <w:r w:rsidR="006E41CD" w:rsidRPr="004E4C01">
        <w:rPr>
          <w:rFonts w:eastAsia="Malgun Gothic" w:cs="Arial"/>
          <w:lang w:eastAsia="ko-KR"/>
        </w:rPr>
        <w:t xml:space="preserve">área </w:t>
      </w:r>
      <w:r w:rsidR="004E5745" w:rsidRPr="004E4C01">
        <w:rPr>
          <w:rFonts w:eastAsia="Malgun Gothic" w:cs="Arial"/>
          <w:lang w:eastAsia="ko-KR"/>
        </w:rPr>
        <w:t xml:space="preserve">por </w:t>
      </w:r>
      <w:r w:rsidR="00EF7401" w:rsidRPr="004E4C01">
        <w:rPr>
          <w:rFonts w:eastAsia="Malgun Gothic" w:cs="Arial"/>
          <w:lang w:eastAsia="ko-KR"/>
        </w:rPr>
        <w:t>intervenir</w:t>
      </w:r>
      <w:r w:rsidR="004E5745" w:rsidRPr="004E4C01">
        <w:rPr>
          <w:rFonts w:eastAsia="Malgun Gothic" w:cs="Arial"/>
          <w:lang w:eastAsia="ko-KR"/>
        </w:rPr>
        <w:t xml:space="preserve"> </w:t>
      </w:r>
      <w:r w:rsidR="00F9287F" w:rsidRPr="004E4C01">
        <w:rPr>
          <w:rFonts w:eastAsia="Malgun Gothic" w:cs="Arial"/>
          <w:lang w:eastAsia="ko-KR"/>
        </w:rPr>
        <w:t>del proyecto, obra o actividad</w:t>
      </w:r>
      <w:r w:rsidR="006E41CD" w:rsidRPr="004E4C01">
        <w:rPr>
          <w:rFonts w:eastAsia="Malgun Gothic" w:cs="Arial"/>
          <w:lang w:eastAsia="ko-KR"/>
        </w:rPr>
        <w:t xml:space="preserve"> </w:t>
      </w:r>
      <w:r w:rsidR="000767EF" w:rsidRPr="004E4C01">
        <w:rPr>
          <w:rFonts w:eastAsia="Malgun Gothic" w:cs="Arial"/>
          <w:lang w:eastAsia="ko-KR"/>
        </w:rPr>
        <w:t>(</w:t>
      </w:r>
      <w:r w:rsidRPr="004E4C01">
        <w:rPr>
          <w:rFonts w:eastAsia="Malgun Gothic" w:cs="Arial"/>
          <w:lang w:eastAsia="ko-KR"/>
        </w:rPr>
        <w:t xml:space="preserve">el cual debe ser </w:t>
      </w:r>
      <w:r w:rsidR="006E41CD" w:rsidRPr="004E4C01">
        <w:rPr>
          <w:rFonts w:eastAsia="Malgun Gothic" w:cs="Arial"/>
          <w:lang w:eastAsia="ko-KR"/>
        </w:rPr>
        <w:t>arm</w:t>
      </w:r>
      <w:r w:rsidRPr="004E4C01">
        <w:rPr>
          <w:rFonts w:eastAsia="Malgun Gothic" w:cs="Arial"/>
          <w:lang w:eastAsia="ko-KR"/>
        </w:rPr>
        <w:t xml:space="preserve">ónico </w:t>
      </w:r>
      <w:r w:rsidR="006E41CD" w:rsidRPr="004E4C01">
        <w:rPr>
          <w:rFonts w:eastAsia="Malgun Gothic" w:cs="Arial"/>
          <w:lang w:eastAsia="ko-KR"/>
        </w:rPr>
        <w:t xml:space="preserve">con el medio circundante </w:t>
      </w:r>
      <w:r w:rsidR="000767EF" w:rsidRPr="004E4C01">
        <w:rPr>
          <w:rFonts w:eastAsia="Malgun Gothic" w:cs="Arial"/>
          <w:lang w:eastAsia="ko-KR"/>
        </w:rPr>
        <w:t xml:space="preserve">y </w:t>
      </w:r>
      <w:r w:rsidR="00E07DE2" w:rsidRPr="004E4C01">
        <w:rPr>
          <w:rFonts w:eastAsia="Malgun Gothic" w:cs="Arial"/>
          <w:lang w:eastAsia="ko-KR"/>
        </w:rPr>
        <w:t xml:space="preserve">con </w:t>
      </w:r>
      <w:r w:rsidR="00E06611" w:rsidRPr="004E4C01">
        <w:rPr>
          <w:rFonts w:eastAsia="Malgun Gothic" w:cs="Arial"/>
          <w:lang w:eastAsia="ko-KR"/>
        </w:rPr>
        <w:t>el objetivo y alcances del plan</w:t>
      </w:r>
      <w:r w:rsidR="000767EF" w:rsidRPr="004E4C01">
        <w:rPr>
          <w:rFonts w:eastAsia="Malgun Gothic" w:cs="Arial"/>
          <w:lang w:eastAsia="ko-KR"/>
        </w:rPr>
        <w:t>)</w:t>
      </w:r>
      <w:r w:rsidR="00E06611" w:rsidRPr="004E4C01">
        <w:rPr>
          <w:rFonts w:eastAsia="Malgun Gothic" w:cs="Arial"/>
          <w:lang w:eastAsia="ko-KR"/>
        </w:rPr>
        <w:t xml:space="preserve">, </w:t>
      </w:r>
      <w:r w:rsidR="000767EF" w:rsidRPr="004E4C01">
        <w:rPr>
          <w:rFonts w:eastAsia="Malgun Gothic" w:cs="Arial"/>
          <w:lang w:eastAsia="ko-KR"/>
        </w:rPr>
        <w:t xml:space="preserve">y </w:t>
      </w:r>
      <w:r w:rsidR="006E41CD" w:rsidRPr="004E4C01">
        <w:rPr>
          <w:rFonts w:eastAsia="Malgun Gothic" w:cs="Arial"/>
          <w:lang w:eastAsia="ko-KR"/>
        </w:rPr>
        <w:t xml:space="preserve">los impactos ambientales </w:t>
      </w:r>
      <w:r w:rsidR="006E41CD" w:rsidRPr="004E4C01">
        <w:t>que se prevea existan al culminar la vida útil del proyecto, o los que se identifiquen efectivamente en ese momento (en el caso de</w:t>
      </w:r>
      <w:r w:rsidR="009812CF" w:rsidRPr="004E4C01">
        <w:t>l</w:t>
      </w:r>
      <w:r w:rsidR="006E41CD" w:rsidRPr="004E4C01">
        <w:t xml:space="preserve"> plan de desmantelamiento </w:t>
      </w:r>
      <w:r w:rsidR="009812CF" w:rsidRPr="004E4C01">
        <w:t xml:space="preserve">que hace parte </w:t>
      </w:r>
      <w:r w:rsidR="006E41CD" w:rsidRPr="004E4C01">
        <w:t xml:space="preserve">del estudio que se </w:t>
      </w:r>
      <w:r w:rsidR="009812CF" w:rsidRPr="004E4C01">
        <w:t xml:space="preserve">elabora </w:t>
      </w:r>
      <w:r w:rsidR="006E41CD" w:rsidRPr="004E4C01">
        <w:t xml:space="preserve">para solicitar el inicio de la </w:t>
      </w:r>
      <w:r w:rsidR="009A29CE">
        <w:rPr>
          <w:spacing w:val="-3"/>
        </w:rPr>
        <w:t>etapa</w:t>
      </w:r>
      <w:r w:rsidR="009A29CE" w:rsidRPr="004E4C01" w:rsidDel="009A29CE">
        <w:t xml:space="preserve"> </w:t>
      </w:r>
      <w:r w:rsidR="006E41CD" w:rsidRPr="004E4C01">
        <w:t xml:space="preserve">de desmantelamiento y </w:t>
      </w:r>
      <w:r w:rsidR="004E5745" w:rsidRPr="004E4C01">
        <w:t>cierre ambiental</w:t>
      </w:r>
      <w:r w:rsidR="006E41CD" w:rsidRPr="004E4C01">
        <w:t xml:space="preserve">), se deben </w:t>
      </w:r>
      <w:r w:rsidRPr="004E4C01">
        <w:t xml:space="preserve">plantear </w:t>
      </w:r>
      <w:r w:rsidR="006847A8" w:rsidRPr="004E4C01">
        <w:t xml:space="preserve">las </w:t>
      </w:r>
      <w:r w:rsidR="006E41CD" w:rsidRPr="004E4C01">
        <w:t xml:space="preserve">actividades que permitan </w:t>
      </w:r>
      <w:r w:rsidR="009812CF" w:rsidRPr="004E4C01">
        <w:t xml:space="preserve">la </w:t>
      </w:r>
      <w:r w:rsidR="006E41CD" w:rsidRPr="004E4C01">
        <w:t>reconfiguración morfológica y restauración</w:t>
      </w:r>
      <w:r w:rsidR="009812CF" w:rsidRPr="004E4C01">
        <w:t xml:space="preserve"> de tales áreas</w:t>
      </w:r>
      <w:r w:rsidR="006E41CD" w:rsidRPr="004E4C01">
        <w:t>.</w:t>
      </w:r>
    </w:p>
    <w:p w14:paraId="7F806EF4" w14:textId="77777777" w:rsidR="00A16B7A" w:rsidRPr="004E4C01" w:rsidRDefault="00A16B7A" w:rsidP="006E41CD"/>
    <w:p w14:paraId="12D9F0B8" w14:textId="23F159C8" w:rsidR="00262F37" w:rsidRPr="004E4C01" w:rsidRDefault="00E06611" w:rsidP="006E41CD">
      <w:r w:rsidRPr="004E4C01">
        <w:t xml:space="preserve">Estas </w:t>
      </w:r>
      <w:r w:rsidR="004B5043" w:rsidRPr="004E4C01">
        <w:t xml:space="preserve">actividades de </w:t>
      </w:r>
      <w:r w:rsidR="006E41CD" w:rsidRPr="004E4C01">
        <w:t xml:space="preserve">reconfiguración morfológica y recuperación, rehabilitación o restauración, </w:t>
      </w:r>
      <w:r w:rsidR="00262F37" w:rsidRPr="004E4C01">
        <w:t xml:space="preserve">tienen que </w:t>
      </w:r>
      <w:r w:rsidR="004B5043" w:rsidRPr="004E4C01">
        <w:t xml:space="preserve">ser descritas </w:t>
      </w:r>
      <w:r w:rsidR="00D61F8A" w:rsidRPr="004E4C01">
        <w:t>de forma sintética</w:t>
      </w:r>
      <w:r w:rsidR="00262F37" w:rsidRPr="004E4C01">
        <w:t xml:space="preserve"> y planteadas de forma tal</w:t>
      </w:r>
      <w:r w:rsidR="002B4A5D" w:rsidRPr="004E4C01">
        <w:t>,</w:t>
      </w:r>
      <w:r w:rsidR="00262F37" w:rsidRPr="004E4C01">
        <w:t xml:space="preserve"> que </w:t>
      </w:r>
      <w:r w:rsidR="00262F37" w:rsidRPr="004E4C01">
        <w:rPr>
          <w:rFonts w:eastAsia="Arial" w:cs="Arial"/>
          <w:bCs/>
          <w:color w:val="000000" w:themeColor="text1"/>
        </w:rPr>
        <w:t xml:space="preserve">garanticen la estabilidad del terreno, la </w:t>
      </w:r>
      <w:r w:rsidR="00262F37" w:rsidRPr="004E4C01">
        <w:rPr>
          <w:rFonts w:cs="Arial"/>
          <w:spacing w:val="-3"/>
        </w:rPr>
        <w:t>recuperación y rehabilitación del suelo,</w:t>
      </w:r>
      <w:r w:rsidR="00262F37" w:rsidRPr="004E4C01">
        <w:rPr>
          <w:rFonts w:eastAsia="Arial" w:cs="Arial"/>
          <w:bCs/>
          <w:color w:val="000000" w:themeColor="text1"/>
        </w:rPr>
        <w:t xml:space="preserve"> el restablecimiento de la cobertura vegetal y la reconformación paisajística en concordancia con la propuesta del uso final del suelo</w:t>
      </w:r>
      <w:r w:rsidR="00262F37" w:rsidRPr="004E4C01">
        <w:t xml:space="preserve">; </w:t>
      </w:r>
      <w:r w:rsidR="004B5043" w:rsidRPr="004E4C01">
        <w:t xml:space="preserve">asimismo, </w:t>
      </w:r>
      <w:r w:rsidR="002B4A5D" w:rsidRPr="004E4C01">
        <w:t xml:space="preserve">en el plan </w:t>
      </w:r>
      <w:r w:rsidR="004B5043" w:rsidRPr="004E4C01">
        <w:t xml:space="preserve">se deben describir </w:t>
      </w:r>
      <w:r w:rsidR="006E41CD" w:rsidRPr="004E4C01">
        <w:t xml:space="preserve">las actividades de desmantelamiento </w:t>
      </w:r>
      <w:r w:rsidRPr="004E4C01">
        <w:t xml:space="preserve">y retiro </w:t>
      </w:r>
      <w:r w:rsidR="006E41CD" w:rsidRPr="004E4C01">
        <w:t xml:space="preserve">de las obras e infraestructura para las cuales </w:t>
      </w:r>
      <w:r w:rsidR="006E41CD" w:rsidRPr="004E4C01">
        <w:lastRenderedPageBreak/>
        <w:t>se p</w:t>
      </w:r>
      <w:r w:rsidR="004B5043" w:rsidRPr="004E4C01">
        <w:t xml:space="preserve">revea </w:t>
      </w:r>
      <w:r w:rsidR="006E41CD" w:rsidRPr="004E4C01">
        <w:t>este tratamiento</w:t>
      </w:r>
      <w:r w:rsidR="00262F37" w:rsidRPr="004E4C01">
        <w:t>. L</w:t>
      </w:r>
      <w:r w:rsidRPr="004E4C01">
        <w:t xml:space="preserve">as particularidades para la descripción de </w:t>
      </w:r>
      <w:r w:rsidR="001524D5" w:rsidRPr="004E4C01">
        <w:t xml:space="preserve">todas </w:t>
      </w:r>
      <w:r w:rsidRPr="004E4C01">
        <w:t>estas actividades</w:t>
      </w:r>
      <w:r w:rsidR="000767EF" w:rsidRPr="004E4C01">
        <w:t xml:space="preserve"> y la formulación del plan de desmantelamiento y </w:t>
      </w:r>
      <w:r w:rsidR="00787414" w:rsidRPr="004E4C01">
        <w:t>cierre ambiental</w:t>
      </w:r>
      <w:r w:rsidRPr="004E4C01">
        <w:t>, de acuerdo con cada tipo de proyecto, obra o actividad, se establecen en los términos de referencia.</w:t>
      </w:r>
    </w:p>
    <w:p w14:paraId="3A572C54" w14:textId="77777777" w:rsidR="00262F37" w:rsidRPr="004E4C01" w:rsidRDefault="00262F37" w:rsidP="006E41CD"/>
    <w:p w14:paraId="69A29EC2" w14:textId="2AB0B7EE" w:rsidR="006E41CD" w:rsidRPr="004E4C01" w:rsidRDefault="006E41CD" w:rsidP="006E41CD">
      <w:r w:rsidRPr="004E4C01">
        <w:t xml:space="preserve">En el plan se debe hacer claridad sobre las obras e infraestructura que </w:t>
      </w:r>
      <w:r w:rsidR="00A430CB" w:rsidRPr="004E4C01">
        <w:t xml:space="preserve">quedarán en el territorio y </w:t>
      </w:r>
      <w:r w:rsidR="007C31CE" w:rsidRPr="004E4C01">
        <w:t xml:space="preserve">que </w:t>
      </w:r>
      <w:r w:rsidRPr="004E4C01">
        <w:t>se proyecta entregar a terceros (comunidades, privados, o entidades del Estado, en este último caso se constituiría una reversión)</w:t>
      </w:r>
      <w:r w:rsidR="00E06611" w:rsidRPr="004E4C01">
        <w:t xml:space="preserve">, teniendo en cuenta </w:t>
      </w:r>
      <w:r w:rsidR="00262F37" w:rsidRPr="004E4C01">
        <w:t xml:space="preserve">que </w:t>
      </w:r>
      <w:r w:rsidR="009F103C" w:rsidRPr="004E4C01">
        <w:t xml:space="preserve">se debe </w:t>
      </w:r>
      <w:r w:rsidR="000063D2" w:rsidRPr="004E4C01">
        <w:t xml:space="preserve">suministrar </w:t>
      </w:r>
      <w:r w:rsidR="009F103C" w:rsidRPr="004E4C01">
        <w:t xml:space="preserve">la información necesaria para que </w:t>
      </w:r>
      <w:r w:rsidR="00FF7678" w:rsidRPr="004E4C01">
        <w:t xml:space="preserve">le permita a </w:t>
      </w:r>
      <w:r w:rsidR="009F103C" w:rsidRPr="004E4C01">
        <w:t xml:space="preserve">quien se responsabilice de </w:t>
      </w:r>
      <w:r w:rsidR="00CC5789" w:rsidRPr="004E4C01">
        <w:t>ést</w:t>
      </w:r>
      <w:r w:rsidR="003B331C" w:rsidRPr="004E4C01">
        <w:t>a</w:t>
      </w:r>
      <w:r w:rsidR="00CC5789" w:rsidRPr="004E4C01">
        <w:t>s</w:t>
      </w:r>
      <w:r w:rsidR="009F103C" w:rsidRPr="004E4C01">
        <w:t xml:space="preserve">, incorporar en su gestión ambiental medidas de manejo para </w:t>
      </w:r>
      <w:r w:rsidR="00605D4E" w:rsidRPr="004E4C01">
        <w:t>prevenir</w:t>
      </w:r>
      <w:r w:rsidR="009F103C" w:rsidRPr="004E4C01">
        <w:t>, mitigar, corregir o compensar de forma eficaz sus impactos ambientales.</w:t>
      </w:r>
    </w:p>
    <w:p w14:paraId="661F4671" w14:textId="77777777" w:rsidR="006E41CD" w:rsidRPr="004E4C01" w:rsidRDefault="006E41CD" w:rsidP="006E41CD"/>
    <w:p w14:paraId="5180417B" w14:textId="204F3700" w:rsidR="00081105" w:rsidRPr="004E4C01" w:rsidRDefault="003045C6" w:rsidP="006E41CD">
      <w:pPr>
        <w:rPr>
          <w:rFonts w:cs="Arial"/>
          <w:szCs w:val="20"/>
        </w:rPr>
      </w:pPr>
      <w:r w:rsidRPr="004E4C01">
        <w:rPr>
          <w:rFonts w:eastAsia="Arial" w:cs="Arial"/>
          <w:bCs/>
          <w:color w:val="000000" w:themeColor="text1"/>
        </w:rPr>
        <w:t>Con el fin de evitar cualquier episodio de contaminación que pueda representar un riesgo a la salud y al ambiente,</w:t>
      </w:r>
      <w:r w:rsidRPr="00127BD4">
        <w:rPr>
          <w:rFonts w:eastAsia="Arial" w:cs="Arial"/>
          <w:bCs/>
          <w:color w:val="000000" w:themeColor="text1"/>
        </w:rPr>
        <w:t xml:space="preserve"> </w:t>
      </w:r>
      <w:r w:rsidR="00027538" w:rsidRPr="00127BD4">
        <w:rPr>
          <w:rFonts w:eastAsia="Arial" w:cs="Arial"/>
          <w:bCs/>
          <w:color w:val="000000" w:themeColor="text1"/>
        </w:rPr>
        <w:t xml:space="preserve">a partir de </w:t>
      </w:r>
      <w:r w:rsidR="00DC2DBB" w:rsidRPr="00127BD4">
        <w:rPr>
          <w:rFonts w:eastAsia="Arial" w:cs="Arial"/>
          <w:bCs/>
          <w:color w:val="000000" w:themeColor="text1"/>
        </w:rPr>
        <w:t xml:space="preserve">la normativa </w:t>
      </w:r>
      <w:r w:rsidR="00B4171B" w:rsidRPr="00127BD4">
        <w:rPr>
          <w:rFonts w:eastAsia="Arial" w:cs="Arial"/>
          <w:bCs/>
          <w:color w:val="000000" w:themeColor="text1"/>
        </w:rPr>
        <w:t xml:space="preserve">ambiental </w:t>
      </w:r>
      <w:r w:rsidR="00DC2DBB" w:rsidRPr="00127BD4">
        <w:rPr>
          <w:rFonts w:eastAsia="Arial" w:cs="Arial"/>
          <w:bCs/>
          <w:color w:val="000000" w:themeColor="text1"/>
        </w:rPr>
        <w:t>vigente</w:t>
      </w:r>
      <w:r w:rsidR="00027538" w:rsidRPr="00127BD4">
        <w:rPr>
          <w:rFonts w:eastAsia="Arial" w:cs="Arial"/>
          <w:bCs/>
          <w:color w:val="000000" w:themeColor="text1"/>
        </w:rPr>
        <w:t>,</w:t>
      </w:r>
      <w:r w:rsidR="00DC2DBB" w:rsidRPr="00127BD4">
        <w:rPr>
          <w:rFonts w:eastAsia="Arial" w:cs="Arial"/>
          <w:bCs/>
          <w:color w:val="000000" w:themeColor="text1"/>
        </w:rPr>
        <w:t xml:space="preserve"> </w:t>
      </w:r>
      <w:r w:rsidR="00027538" w:rsidRPr="00127BD4">
        <w:rPr>
          <w:rFonts w:eastAsia="Arial" w:cs="Arial"/>
          <w:bCs/>
          <w:color w:val="000000" w:themeColor="text1"/>
        </w:rPr>
        <w:t xml:space="preserve">se deben formular acciones </w:t>
      </w:r>
      <w:r w:rsidR="00541223" w:rsidRPr="00127BD4">
        <w:rPr>
          <w:rFonts w:eastAsia="Arial" w:cs="Arial"/>
          <w:bCs/>
          <w:color w:val="000000" w:themeColor="text1"/>
        </w:rPr>
        <w:t xml:space="preserve">para </w:t>
      </w:r>
      <w:r w:rsidR="00356A64" w:rsidRPr="00127BD4">
        <w:rPr>
          <w:rFonts w:eastAsia="Arial" w:cs="Arial"/>
          <w:bCs/>
          <w:color w:val="000000" w:themeColor="text1"/>
        </w:rPr>
        <w:t xml:space="preserve">la gestión </w:t>
      </w:r>
      <w:r w:rsidR="0001214D" w:rsidRPr="00127BD4">
        <w:rPr>
          <w:rFonts w:eastAsia="Arial" w:cs="Arial"/>
          <w:bCs/>
          <w:color w:val="000000" w:themeColor="text1"/>
        </w:rPr>
        <w:t xml:space="preserve">de los residuos </w:t>
      </w:r>
      <w:r w:rsidR="004C7353" w:rsidRPr="004E4C01">
        <w:rPr>
          <w:rFonts w:eastAsia="Arial" w:cs="Arial"/>
          <w:bCs/>
          <w:color w:val="000000" w:themeColor="text1"/>
        </w:rPr>
        <w:t>que se prevé se generarán durante el desmantelamiento y cierre ambiental</w:t>
      </w:r>
      <w:r w:rsidR="00E815BF" w:rsidRPr="00127BD4">
        <w:rPr>
          <w:rFonts w:eastAsia="Arial" w:cs="Arial"/>
          <w:bCs/>
          <w:color w:val="000000" w:themeColor="text1"/>
        </w:rPr>
        <w:t xml:space="preserve">; </w:t>
      </w:r>
      <w:r w:rsidR="004B5AAF" w:rsidRPr="00127BD4">
        <w:rPr>
          <w:rFonts w:eastAsia="Arial" w:cs="Arial"/>
          <w:bCs/>
          <w:color w:val="000000" w:themeColor="text1"/>
        </w:rPr>
        <w:t xml:space="preserve">lo anterior incluye también </w:t>
      </w:r>
      <w:r w:rsidR="0032636A" w:rsidRPr="00127BD4">
        <w:rPr>
          <w:rFonts w:eastAsia="Arial" w:cs="Arial"/>
          <w:bCs/>
          <w:color w:val="000000" w:themeColor="text1"/>
        </w:rPr>
        <w:t xml:space="preserve">las normas relativas a la </w:t>
      </w:r>
      <w:r w:rsidR="008A21AD" w:rsidRPr="004E4C01">
        <w:rPr>
          <w:rFonts w:eastAsia="Arial" w:cs="Arial"/>
          <w:bCs/>
          <w:color w:val="000000" w:themeColor="text1"/>
        </w:rPr>
        <w:t xml:space="preserve">gestión </w:t>
      </w:r>
      <w:r w:rsidR="00081105" w:rsidRPr="004E4C01">
        <w:rPr>
          <w:rFonts w:eastAsia="Arial" w:cs="Arial"/>
          <w:bCs/>
          <w:color w:val="000000" w:themeColor="text1"/>
        </w:rPr>
        <w:t xml:space="preserve">de </w:t>
      </w:r>
      <w:r w:rsidR="006B30AF" w:rsidRPr="004E4C01">
        <w:rPr>
          <w:rFonts w:eastAsia="Arial" w:cs="Arial"/>
          <w:bCs/>
          <w:color w:val="000000" w:themeColor="text1"/>
        </w:rPr>
        <w:t xml:space="preserve">los </w:t>
      </w:r>
      <w:r w:rsidR="00081105" w:rsidRPr="004E4C01">
        <w:rPr>
          <w:rFonts w:eastAsia="Arial" w:cs="Arial"/>
          <w:bCs/>
          <w:color w:val="000000" w:themeColor="text1"/>
        </w:rPr>
        <w:t>residuos de construcción y demolición (RCD)</w:t>
      </w:r>
      <w:r w:rsidR="00465E1E" w:rsidRPr="004E4C01">
        <w:rPr>
          <w:rFonts w:eastAsia="Arial" w:cs="Arial"/>
          <w:bCs/>
          <w:color w:val="000000" w:themeColor="text1"/>
        </w:rPr>
        <w:t>,</w:t>
      </w:r>
      <w:r w:rsidR="000F7758" w:rsidRPr="004E4C01">
        <w:rPr>
          <w:rFonts w:eastAsia="Arial" w:cs="Arial"/>
          <w:bCs/>
          <w:color w:val="000000" w:themeColor="text1"/>
        </w:rPr>
        <w:t xml:space="preserve"> </w:t>
      </w:r>
      <w:r w:rsidR="00081105" w:rsidRPr="004E4C01">
        <w:rPr>
          <w:rFonts w:eastAsia="Arial" w:cs="Arial"/>
          <w:bCs/>
          <w:color w:val="000000" w:themeColor="text1"/>
        </w:rPr>
        <w:t>de los residuos de aparatos eléctricos y electrónicos (RAEE) y de los residuos peligrosos.</w:t>
      </w:r>
      <w:r w:rsidR="002421AF" w:rsidRPr="004E4C01">
        <w:rPr>
          <w:rFonts w:eastAsia="Arial" w:cs="Arial"/>
          <w:bCs/>
          <w:color w:val="000000" w:themeColor="text1"/>
        </w:rPr>
        <w:t xml:space="preserve"> </w:t>
      </w:r>
      <w:r w:rsidR="002421AF" w:rsidRPr="004E4C01">
        <w:rPr>
          <w:rFonts w:cs="Arial"/>
          <w:szCs w:val="20"/>
        </w:rPr>
        <w:t xml:space="preserve">Las actividades </w:t>
      </w:r>
      <w:r w:rsidR="00887D5D" w:rsidRPr="004E4C01">
        <w:rPr>
          <w:rFonts w:cs="Arial"/>
          <w:szCs w:val="20"/>
        </w:rPr>
        <w:t xml:space="preserve">planteadas </w:t>
      </w:r>
      <w:r w:rsidR="001A43AA" w:rsidRPr="00127BD4">
        <w:rPr>
          <w:rFonts w:eastAsia="Arial" w:cs="Arial"/>
          <w:bCs/>
          <w:color w:val="000000" w:themeColor="text1"/>
        </w:rPr>
        <w:t xml:space="preserve">pueden considerar </w:t>
      </w:r>
      <w:r w:rsidR="001A43AA" w:rsidRPr="004E4C01">
        <w:rPr>
          <w:rFonts w:eastAsia="Arial" w:cs="Arial"/>
          <w:bCs/>
          <w:color w:val="000000" w:themeColor="text1"/>
        </w:rPr>
        <w:t xml:space="preserve">opciones de circularidad </w:t>
      </w:r>
      <w:r w:rsidR="00887D5D" w:rsidRPr="004E4C01">
        <w:rPr>
          <w:rFonts w:eastAsia="Arial" w:cs="Arial"/>
          <w:bCs/>
          <w:color w:val="000000" w:themeColor="text1"/>
        </w:rPr>
        <w:t xml:space="preserve">siempre </w:t>
      </w:r>
      <w:r w:rsidR="00277234" w:rsidRPr="004E4C01">
        <w:rPr>
          <w:rFonts w:eastAsia="Arial" w:cs="Arial"/>
          <w:bCs/>
          <w:color w:val="000000" w:themeColor="text1"/>
        </w:rPr>
        <w:t xml:space="preserve">y cuando </w:t>
      </w:r>
      <w:r w:rsidR="00BD5460" w:rsidRPr="004E4C01">
        <w:rPr>
          <w:rFonts w:eastAsia="Arial" w:cs="Arial"/>
          <w:bCs/>
          <w:color w:val="000000" w:themeColor="text1"/>
        </w:rPr>
        <w:t xml:space="preserve">estén </w:t>
      </w:r>
      <w:r w:rsidR="001A43AA" w:rsidRPr="004E4C01">
        <w:rPr>
          <w:rFonts w:eastAsia="Arial" w:cs="Arial"/>
          <w:bCs/>
          <w:color w:val="000000" w:themeColor="text1"/>
        </w:rPr>
        <w:t>alineadas con la Estrategia Nacional de Economía Circular</w:t>
      </w:r>
      <w:r w:rsidR="00BD5460" w:rsidRPr="004E4C01">
        <w:rPr>
          <w:rFonts w:eastAsia="Arial" w:cs="Arial"/>
          <w:bCs/>
          <w:color w:val="000000" w:themeColor="text1"/>
        </w:rPr>
        <w:t>.</w:t>
      </w:r>
    </w:p>
    <w:p w14:paraId="187ECEFA" w14:textId="77777777" w:rsidR="003950E9" w:rsidRPr="004E4C01" w:rsidRDefault="003950E9" w:rsidP="006E41CD"/>
    <w:p w14:paraId="015057DE" w14:textId="6A9331D4" w:rsidR="002C6491" w:rsidRPr="004E4C01" w:rsidRDefault="00613C40" w:rsidP="006E41CD">
      <w:r w:rsidRPr="004E4C01">
        <w:t>Se deben describir las actividades de desmantelamiento y cierre ambiental de obras e infraestructura</w:t>
      </w:r>
      <w:r w:rsidR="000B3ACD">
        <w:t>s</w:t>
      </w:r>
      <w:r w:rsidRPr="004E4C01">
        <w:t xml:space="preserve"> temporales</w:t>
      </w:r>
      <w:r w:rsidR="00F636A6" w:rsidRPr="004E4C01">
        <w:t>,</w:t>
      </w:r>
      <w:r w:rsidR="002C6C1A" w:rsidRPr="004E4C01">
        <w:t xml:space="preserve"> </w:t>
      </w:r>
      <w:r w:rsidR="00192DFD" w:rsidRPr="004E4C01">
        <w:t>de adecuaciones de las áreas auxiliares requeridas para la construcción del proyecto (utilizadas cuando se requiere</w:t>
      </w:r>
      <w:r w:rsidR="00CC70CE" w:rsidRPr="004E4C01">
        <w:t xml:space="preserve"> del desarrollo de </w:t>
      </w:r>
      <w:r w:rsidR="00192DFD" w:rsidRPr="004E4C01">
        <w:t>obras no permanentes</w:t>
      </w:r>
      <w:r w:rsidR="00F2377F" w:rsidRPr="004E4C01">
        <w:t>,</w:t>
      </w:r>
      <w:r w:rsidR="00192DFD" w:rsidRPr="004E4C01">
        <w:t xml:space="preserve"> necesarias para la </w:t>
      </w:r>
      <w:r w:rsidR="00E84A7C" w:rsidRPr="004E4C01">
        <w:t xml:space="preserve">construcción </w:t>
      </w:r>
      <w:r w:rsidR="00192DFD" w:rsidRPr="004E4C01">
        <w:t>de las definitivas)</w:t>
      </w:r>
      <w:r w:rsidRPr="004E4C01">
        <w:t xml:space="preserve">, así como </w:t>
      </w:r>
      <w:r w:rsidR="00F2377F" w:rsidRPr="004E4C01">
        <w:t xml:space="preserve">de </w:t>
      </w:r>
      <w:r w:rsidR="00FD12F4" w:rsidRPr="004E4C01">
        <w:t xml:space="preserve">las </w:t>
      </w:r>
      <w:r w:rsidRPr="004E4C01">
        <w:t>actividades requeridas para el desmantelamiento y cierre ambiental progresivo de obras, infraestructura o frentes de explotación, en caso de aplicar</w:t>
      </w:r>
      <w:r w:rsidR="002133F1" w:rsidRPr="004E4C01">
        <w:t xml:space="preserve"> (por ejemplo, en el caso de los proyectos del sector minero)</w:t>
      </w:r>
      <w:r w:rsidRPr="004E4C01">
        <w:t>. Las particularidades para la descripción de estas actividades, de acuerdo con cada tipo de proyecto, obra o actividad, se establecen en los términos de referencia.</w:t>
      </w:r>
    </w:p>
    <w:p w14:paraId="56504651" w14:textId="77777777" w:rsidR="006E41CD" w:rsidRPr="004E4C01" w:rsidRDefault="006E41CD" w:rsidP="006E41CD"/>
    <w:p w14:paraId="7AF4E505" w14:textId="10701753" w:rsidR="00005394" w:rsidRPr="004E4C01" w:rsidRDefault="005E1AEA" w:rsidP="009420F5">
      <w:pPr>
        <w:contextualSpacing/>
        <w:rPr>
          <w:rFonts w:eastAsia="Arial" w:cs="Arial"/>
          <w:bCs/>
          <w:color w:val="000000" w:themeColor="text1"/>
        </w:rPr>
      </w:pPr>
      <w:r w:rsidRPr="004E4C01">
        <w:rPr>
          <w:rFonts w:eastAsia="Arial" w:cs="Arial"/>
          <w:bCs/>
          <w:color w:val="000000" w:themeColor="text1"/>
        </w:rPr>
        <w:t>S</w:t>
      </w:r>
      <w:r w:rsidR="00370887" w:rsidRPr="004E4C01">
        <w:rPr>
          <w:rFonts w:eastAsia="Arial" w:cs="Arial"/>
          <w:bCs/>
          <w:color w:val="000000" w:themeColor="text1"/>
        </w:rPr>
        <w:t xml:space="preserve">e debe </w:t>
      </w:r>
      <w:r w:rsidR="00346F08" w:rsidRPr="004E4C01">
        <w:rPr>
          <w:rFonts w:eastAsia="Arial" w:cs="Arial"/>
          <w:bCs/>
          <w:color w:val="000000" w:themeColor="text1"/>
        </w:rPr>
        <w:t xml:space="preserve">plantear un conjunto </w:t>
      </w:r>
      <w:r w:rsidR="00370887" w:rsidRPr="004E4C01">
        <w:rPr>
          <w:rFonts w:eastAsia="Arial" w:cs="Arial"/>
          <w:bCs/>
          <w:color w:val="000000" w:themeColor="text1"/>
        </w:rPr>
        <w:t xml:space="preserve">de indicadores </w:t>
      </w:r>
      <w:r w:rsidR="00081105" w:rsidRPr="004E4C01">
        <w:rPr>
          <w:rFonts w:eastAsia="Arial" w:cs="Arial"/>
          <w:bCs/>
          <w:color w:val="000000" w:themeColor="text1"/>
        </w:rPr>
        <w:t>que permita verificar el cumplimiento del o</w:t>
      </w:r>
      <w:r w:rsidR="00370887" w:rsidRPr="004E4C01">
        <w:rPr>
          <w:rFonts w:eastAsia="Arial" w:cs="Arial"/>
          <w:bCs/>
          <w:color w:val="000000" w:themeColor="text1"/>
        </w:rPr>
        <w:t xml:space="preserve">bjetivo y alcances del plan </w:t>
      </w:r>
      <w:r w:rsidR="00081105" w:rsidRPr="004E4C01">
        <w:rPr>
          <w:rFonts w:eastAsia="Arial" w:cs="Arial"/>
          <w:bCs/>
          <w:color w:val="000000" w:themeColor="text1"/>
        </w:rPr>
        <w:t xml:space="preserve">de desmantelamiento y </w:t>
      </w:r>
      <w:r w:rsidR="00816261" w:rsidRPr="004E4C01">
        <w:rPr>
          <w:rFonts w:eastAsia="Arial" w:cs="Arial"/>
          <w:bCs/>
          <w:color w:val="000000" w:themeColor="text1"/>
        </w:rPr>
        <w:t>cierre ambiental</w:t>
      </w:r>
      <w:r w:rsidR="0067581F" w:rsidRPr="004E4C01">
        <w:rPr>
          <w:rFonts w:eastAsia="Arial" w:cs="Arial"/>
          <w:bCs/>
          <w:color w:val="000000" w:themeColor="text1"/>
        </w:rPr>
        <w:t>; para ello, se deben</w:t>
      </w:r>
      <w:r w:rsidR="00C232AC" w:rsidRPr="004E4C01">
        <w:rPr>
          <w:rFonts w:eastAsia="Arial" w:cs="Arial"/>
          <w:bCs/>
          <w:color w:val="000000" w:themeColor="text1"/>
        </w:rPr>
        <w:t xml:space="preserve"> </w:t>
      </w:r>
      <w:r w:rsidR="00957840" w:rsidRPr="004E4C01">
        <w:rPr>
          <w:rFonts w:eastAsia="Arial" w:cs="Arial"/>
          <w:bCs/>
          <w:color w:val="000000" w:themeColor="text1"/>
        </w:rPr>
        <w:t>emplea</w:t>
      </w:r>
      <w:r w:rsidR="0067581F" w:rsidRPr="004E4C01">
        <w:rPr>
          <w:rFonts w:eastAsia="Arial" w:cs="Arial"/>
          <w:bCs/>
          <w:color w:val="000000" w:themeColor="text1"/>
        </w:rPr>
        <w:t xml:space="preserve">r </w:t>
      </w:r>
      <w:r w:rsidRPr="004E4C01">
        <w:rPr>
          <w:rFonts w:eastAsia="Arial" w:cs="Arial"/>
          <w:bCs/>
          <w:color w:val="000000" w:themeColor="text1"/>
        </w:rPr>
        <w:t xml:space="preserve">los lineamientos </w:t>
      </w:r>
      <w:r w:rsidR="00C232AC" w:rsidRPr="004E4C01">
        <w:rPr>
          <w:rFonts w:eastAsia="Arial" w:cs="Arial"/>
          <w:bCs/>
          <w:color w:val="000000" w:themeColor="text1"/>
        </w:rPr>
        <w:t xml:space="preserve">establecidos </w:t>
      </w:r>
      <w:r w:rsidRPr="004E4C01">
        <w:rPr>
          <w:rFonts w:eastAsia="Arial" w:cs="Arial"/>
          <w:bCs/>
          <w:color w:val="000000" w:themeColor="text1"/>
        </w:rPr>
        <w:t>en el numeral 10.1 de esta metodología</w:t>
      </w:r>
      <w:r w:rsidR="00081105" w:rsidRPr="004E4C01">
        <w:rPr>
          <w:rFonts w:eastAsia="Arial" w:cs="Arial"/>
          <w:bCs/>
          <w:color w:val="000000" w:themeColor="text1"/>
        </w:rPr>
        <w:t>.</w:t>
      </w:r>
    </w:p>
    <w:p w14:paraId="2DAA57BE" w14:textId="77777777" w:rsidR="00005394" w:rsidRPr="004E4C01" w:rsidRDefault="00005394" w:rsidP="004A7E9F"/>
    <w:p w14:paraId="1CE731ED" w14:textId="6F15F87B" w:rsidR="004A7E9F" w:rsidRPr="004E4C01" w:rsidRDefault="004A7E9F" w:rsidP="004A7E9F">
      <w:r w:rsidRPr="004E4C01">
        <w:t xml:space="preserve">Se debe tener en cuenta que las medidas para manejar los impactos producto de las actividades de desmantelamiento y </w:t>
      </w:r>
      <w:r w:rsidR="00816261" w:rsidRPr="004E4C01">
        <w:rPr>
          <w:rFonts w:eastAsia="Arial" w:cs="Arial"/>
          <w:bCs/>
          <w:color w:val="000000" w:themeColor="text1"/>
        </w:rPr>
        <w:t xml:space="preserve">cierre ambiental </w:t>
      </w:r>
      <w:r w:rsidRPr="004E4C01">
        <w:t>de obras e infraestructura</w:t>
      </w:r>
      <w:r w:rsidR="00635846">
        <w:t>s</w:t>
      </w:r>
      <w:r w:rsidRPr="004E4C01">
        <w:t xml:space="preserve"> temporales, </w:t>
      </w:r>
      <w:r w:rsidR="00C3106B" w:rsidRPr="004E4C01">
        <w:t xml:space="preserve">de adecuaciones de áreas auxiliares </w:t>
      </w:r>
      <w:r w:rsidRPr="004E4C01">
        <w:t>y de</w:t>
      </w:r>
      <w:r w:rsidR="00F61449" w:rsidRPr="004E4C01">
        <w:t xml:space="preserve"> desmantelamiento y </w:t>
      </w:r>
      <w:r w:rsidR="00F61449" w:rsidRPr="004E4C01">
        <w:rPr>
          <w:rFonts w:eastAsia="Arial" w:cs="Arial"/>
          <w:bCs/>
          <w:color w:val="000000" w:themeColor="text1"/>
        </w:rPr>
        <w:t xml:space="preserve">cierre ambiental </w:t>
      </w:r>
      <w:r w:rsidRPr="004E4C01">
        <w:t xml:space="preserve">progresivo de obras, infraestructura o frentes de explotación de ciertos tipos de proyectos, deben ser planteadas </w:t>
      </w:r>
      <w:r w:rsidR="00F61449" w:rsidRPr="004E4C01">
        <w:t xml:space="preserve">e incluidas </w:t>
      </w:r>
      <w:r w:rsidRPr="004E4C01">
        <w:t>en el plan de manejo ambiental del EIA</w:t>
      </w:r>
      <w:r w:rsidR="0009120A" w:rsidRPr="004E4C01">
        <w:t xml:space="preserve"> </w:t>
      </w:r>
      <w:r w:rsidR="00F552B5" w:rsidRPr="004E4C01">
        <w:t>(</w:t>
      </w:r>
      <w:r w:rsidRPr="004E4C01">
        <w:t xml:space="preserve">numeral </w:t>
      </w:r>
      <w:r w:rsidRPr="004E4C01">
        <w:fldChar w:fldCharType="begin"/>
      </w:r>
      <w:r w:rsidRPr="004E4C01">
        <w:instrText xml:space="preserve"> REF _Ref75276155 \r \h </w:instrText>
      </w:r>
      <w:r w:rsidR="006A4128" w:rsidRPr="004E4C01">
        <w:instrText xml:space="preserve"> \* MERGEFORMAT </w:instrText>
      </w:r>
      <w:r w:rsidRPr="004E4C01">
        <w:fldChar w:fldCharType="separate"/>
      </w:r>
      <w:r w:rsidR="009C4A81">
        <w:t>10.1</w:t>
      </w:r>
      <w:r w:rsidRPr="004E4C01">
        <w:fldChar w:fldCharType="end"/>
      </w:r>
      <w:r w:rsidRPr="004E4C01">
        <w:t xml:space="preserve"> del capítulo III de esta metodología</w:t>
      </w:r>
      <w:r w:rsidR="00F552B5" w:rsidRPr="004E4C01">
        <w:t>)</w:t>
      </w:r>
      <w:r w:rsidRPr="004E4C01">
        <w:t>.</w:t>
      </w:r>
    </w:p>
    <w:p w14:paraId="32846A1A" w14:textId="77777777" w:rsidR="004A7E9F" w:rsidRPr="004E4C01" w:rsidRDefault="004A7E9F" w:rsidP="004B5043">
      <w:pPr>
        <w:overflowPunct/>
        <w:autoSpaceDE/>
        <w:autoSpaceDN/>
        <w:adjustRightInd/>
        <w:textAlignment w:val="auto"/>
        <w:rPr>
          <w:rFonts w:eastAsia="Malgun Gothic" w:cs="Arial"/>
          <w:lang w:eastAsia="ko-KR"/>
        </w:rPr>
      </w:pPr>
    </w:p>
    <w:p w14:paraId="1EF194B9" w14:textId="730D9F15" w:rsidR="004B5043" w:rsidRPr="004E4C01" w:rsidRDefault="004B5043" w:rsidP="004B5043">
      <w:pPr>
        <w:overflowPunct/>
        <w:autoSpaceDE/>
        <w:autoSpaceDN/>
        <w:adjustRightInd/>
        <w:textAlignment w:val="auto"/>
        <w:rPr>
          <w:rFonts w:eastAsia="Malgun Gothic" w:cs="Arial"/>
          <w:lang w:eastAsia="ko-KR"/>
        </w:rPr>
      </w:pPr>
      <w:r w:rsidRPr="004E4C01">
        <w:rPr>
          <w:rFonts w:eastAsia="Malgun Gothic" w:cs="Arial"/>
          <w:lang w:eastAsia="ko-KR"/>
        </w:rPr>
        <w:t>Tanto las actividades de reconformación morfológica y restauración</w:t>
      </w:r>
      <w:r w:rsidR="00CB3BD1" w:rsidRPr="004E4C01">
        <w:rPr>
          <w:rFonts w:eastAsia="Malgun Gothic" w:cs="Arial"/>
          <w:lang w:eastAsia="ko-KR"/>
        </w:rPr>
        <w:t>,</w:t>
      </w:r>
      <w:r w:rsidRPr="004E4C01">
        <w:rPr>
          <w:rFonts w:eastAsia="Malgun Gothic" w:cs="Arial"/>
          <w:lang w:eastAsia="ko-KR"/>
        </w:rPr>
        <w:t xml:space="preserve"> como las medidas de manejo </w:t>
      </w:r>
      <w:r w:rsidR="00D35CF9" w:rsidRPr="004E4C01">
        <w:rPr>
          <w:rFonts w:eastAsia="Malgun Gothic" w:cs="Arial"/>
          <w:lang w:eastAsia="ko-KR"/>
        </w:rPr>
        <w:t xml:space="preserve">incluidas en </w:t>
      </w:r>
      <w:r w:rsidR="004A7E9F" w:rsidRPr="004E4C01">
        <w:rPr>
          <w:rFonts w:eastAsia="Malgun Gothic" w:cs="Arial"/>
          <w:lang w:eastAsia="ko-KR"/>
        </w:rPr>
        <w:t xml:space="preserve">el plan de manejo ambiental tienen el propósito de </w:t>
      </w:r>
      <w:r w:rsidRPr="004E4C01">
        <w:rPr>
          <w:rFonts w:eastAsia="Malgun Gothic" w:cs="Arial"/>
          <w:lang w:eastAsia="ko-KR"/>
        </w:rPr>
        <w:t xml:space="preserve">evitar pasivos </w:t>
      </w:r>
      <w:r w:rsidRPr="004E4C01">
        <w:rPr>
          <w:rFonts w:eastAsia="Malgun Gothic" w:cs="Arial"/>
          <w:lang w:eastAsia="ko-KR"/>
        </w:rPr>
        <w:lastRenderedPageBreak/>
        <w:t xml:space="preserve">ambientales que </w:t>
      </w:r>
      <w:r w:rsidR="002D7700" w:rsidRPr="004E4C01">
        <w:rPr>
          <w:rFonts w:eastAsia="Malgun Gothic" w:cs="Arial"/>
          <w:lang w:eastAsia="ko-KR"/>
        </w:rPr>
        <w:t xml:space="preserve">se generen </w:t>
      </w:r>
      <w:r w:rsidRPr="004E4C01">
        <w:rPr>
          <w:rFonts w:eastAsia="Malgun Gothic" w:cs="Arial"/>
          <w:lang w:eastAsia="ko-KR"/>
        </w:rPr>
        <w:t xml:space="preserve">luego de desmantelar, </w:t>
      </w:r>
      <w:r w:rsidR="006E4EB2" w:rsidRPr="004E4C01">
        <w:rPr>
          <w:rFonts w:eastAsia="Malgun Gothic" w:cs="Arial"/>
          <w:lang w:eastAsia="ko-KR"/>
        </w:rPr>
        <w:t>cerrar</w:t>
      </w:r>
      <w:r w:rsidR="00EE576D" w:rsidRPr="004E4C01">
        <w:rPr>
          <w:rFonts w:eastAsia="Malgun Gothic" w:cs="Arial"/>
          <w:lang w:eastAsia="ko-KR"/>
        </w:rPr>
        <w:t>, finalizar</w:t>
      </w:r>
      <w:r w:rsidR="006E4EB2" w:rsidRPr="004E4C01">
        <w:rPr>
          <w:rFonts w:eastAsia="Malgun Gothic" w:cs="Arial"/>
          <w:lang w:eastAsia="ko-KR"/>
        </w:rPr>
        <w:t xml:space="preserve"> </w:t>
      </w:r>
      <w:r w:rsidRPr="004E4C01">
        <w:rPr>
          <w:rFonts w:eastAsia="Malgun Gothic" w:cs="Arial"/>
          <w:lang w:eastAsia="ko-KR"/>
        </w:rPr>
        <w:t>o terminar todas las acciones, usos del espacio, actividades e infraestructura relacionados y asociados con el proyecto, obra o actividad.</w:t>
      </w:r>
    </w:p>
    <w:p w14:paraId="45988883" w14:textId="77777777" w:rsidR="00005394" w:rsidRPr="004E4C01" w:rsidRDefault="00005394" w:rsidP="006E41CD"/>
    <w:p w14:paraId="4FF09A41" w14:textId="53CC3699" w:rsidR="002B55CE" w:rsidRPr="004E4C01" w:rsidRDefault="001300AD" w:rsidP="008F135C">
      <w:pPr>
        <w:contextualSpacing/>
        <w:rPr>
          <w:rFonts w:eastAsia="Arial" w:cs="Arial"/>
          <w:bCs/>
          <w:color w:val="000000" w:themeColor="text1"/>
        </w:rPr>
      </w:pPr>
      <w:r w:rsidRPr="004E4C01">
        <w:rPr>
          <w:rFonts w:eastAsia="Malgun Gothic" w:cs="Arial"/>
          <w:lang w:eastAsia="ko-KR"/>
        </w:rPr>
        <w:t xml:space="preserve">Con el propósito de que el plan de desmantelamiento y </w:t>
      </w:r>
      <w:r w:rsidR="00816261" w:rsidRPr="004E4C01">
        <w:rPr>
          <w:rFonts w:eastAsia="Arial" w:cs="Arial"/>
          <w:bCs/>
          <w:color w:val="000000" w:themeColor="text1"/>
        </w:rPr>
        <w:t xml:space="preserve">cierre ambiental </w:t>
      </w:r>
      <w:r w:rsidR="009B4527" w:rsidRPr="004E4C01">
        <w:rPr>
          <w:rFonts w:eastAsia="Arial" w:cs="Arial"/>
          <w:bCs/>
          <w:color w:val="000000" w:themeColor="text1"/>
        </w:rPr>
        <w:t xml:space="preserve">que se presenta en el EIA </w:t>
      </w:r>
      <w:r w:rsidR="00A1598B" w:rsidRPr="004E4C01">
        <w:rPr>
          <w:rFonts w:eastAsia="Malgun Gothic" w:cs="Arial"/>
          <w:lang w:eastAsia="ko-KR"/>
        </w:rPr>
        <w:t xml:space="preserve">procure </w:t>
      </w:r>
      <w:r w:rsidRPr="004E4C01">
        <w:rPr>
          <w:rFonts w:eastAsia="Malgun Gothic" w:cs="Arial"/>
          <w:lang w:eastAsia="ko-KR"/>
        </w:rPr>
        <w:t xml:space="preserve">que la finalización del proyecto, obra o actividad sea ambiental y socialmente sostenible, </w:t>
      </w:r>
      <w:r w:rsidR="00E03614" w:rsidRPr="004E4C01">
        <w:rPr>
          <w:rFonts w:eastAsia="Malgun Gothic" w:cs="Arial"/>
          <w:lang w:eastAsia="ko-KR"/>
        </w:rPr>
        <w:t xml:space="preserve">las actividades </w:t>
      </w:r>
      <w:r w:rsidR="00223A3F" w:rsidRPr="004E4C01">
        <w:rPr>
          <w:rFonts w:eastAsia="Malgun Gothic" w:cs="Arial"/>
          <w:lang w:eastAsia="ko-KR"/>
        </w:rPr>
        <w:t xml:space="preserve">que se prevén para su desarrollo deben </w:t>
      </w:r>
      <w:r w:rsidR="00CF7A3F" w:rsidRPr="004E4C01">
        <w:rPr>
          <w:rFonts w:eastAsia="Malgun Gothic" w:cs="Arial"/>
          <w:lang w:eastAsia="ko-KR"/>
        </w:rPr>
        <w:t>incorpora</w:t>
      </w:r>
      <w:r w:rsidR="00A334F4" w:rsidRPr="004E4C01">
        <w:rPr>
          <w:rFonts w:eastAsia="Malgun Gothic" w:cs="Arial"/>
          <w:lang w:eastAsia="ko-KR"/>
        </w:rPr>
        <w:t xml:space="preserve">rse </w:t>
      </w:r>
      <w:r w:rsidR="00CF7A3F" w:rsidRPr="004E4C01">
        <w:rPr>
          <w:rFonts w:eastAsia="Malgun Gothic" w:cs="Arial"/>
          <w:lang w:eastAsia="ko-KR"/>
        </w:rPr>
        <w:t>a</w:t>
      </w:r>
      <w:r w:rsidR="00430EFA" w:rsidRPr="004E4C01">
        <w:rPr>
          <w:rFonts w:eastAsia="Malgun Gothic" w:cs="Arial"/>
          <w:lang w:eastAsia="ko-KR"/>
        </w:rPr>
        <w:t xml:space="preserve">l proceso de participación con los grupos de interés </w:t>
      </w:r>
      <w:r w:rsidR="009B34D2" w:rsidRPr="004E4C01">
        <w:rPr>
          <w:rFonts w:eastAsia="Malgun Gothic" w:cs="Arial"/>
          <w:lang w:eastAsia="ko-KR"/>
        </w:rPr>
        <w:t xml:space="preserve">del que trata </w:t>
      </w:r>
      <w:r w:rsidR="009B34D2" w:rsidRPr="004E4C01">
        <w:rPr>
          <w:rFonts w:eastAsia="Arial" w:cs="Arial"/>
          <w:bCs/>
          <w:color w:val="000000" w:themeColor="text1"/>
        </w:rPr>
        <w:t xml:space="preserve">el numeral </w:t>
      </w:r>
      <w:r w:rsidR="009B34D2" w:rsidRPr="004E4C01">
        <w:rPr>
          <w:rFonts w:eastAsia="Arial" w:cs="Arial"/>
          <w:bCs/>
          <w:color w:val="000000" w:themeColor="text1"/>
        </w:rPr>
        <w:fldChar w:fldCharType="begin"/>
      </w:r>
      <w:r w:rsidR="009B34D2" w:rsidRPr="004E4C01">
        <w:rPr>
          <w:rFonts w:eastAsia="Arial" w:cs="Arial"/>
          <w:bCs/>
          <w:color w:val="000000" w:themeColor="text1"/>
        </w:rPr>
        <w:instrText xml:space="preserve"> REF _Ref75276648 \r \h  \* MERGEFORMAT </w:instrText>
      </w:r>
      <w:r w:rsidR="009B34D2" w:rsidRPr="004E4C01">
        <w:rPr>
          <w:rFonts w:eastAsia="Arial" w:cs="Arial"/>
          <w:bCs/>
          <w:color w:val="000000" w:themeColor="text1"/>
        </w:rPr>
      </w:r>
      <w:r w:rsidR="009B34D2" w:rsidRPr="004E4C01">
        <w:rPr>
          <w:rFonts w:eastAsia="Arial" w:cs="Arial"/>
          <w:bCs/>
          <w:color w:val="000000" w:themeColor="text1"/>
        </w:rPr>
        <w:fldChar w:fldCharType="separate"/>
      </w:r>
      <w:r w:rsidR="009C4A81">
        <w:rPr>
          <w:rFonts w:eastAsia="Arial" w:cs="Arial"/>
          <w:bCs/>
          <w:color w:val="000000" w:themeColor="text1"/>
        </w:rPr>
        <w:t>3</w:t>
      </w:r>
      <w:r w:rsidR="009B34D2" w:rsidRPr="004E4C01">
        <w:rPr>
          <w:rFonts w:eastAsia="Arial" w:cs="Arial"/>
          <w:bCs/>
          <w:color w:val="000000" w:themeColor="text1"/>
        </w:rPr>
        <w:fldChar w:fldCharType="end"/>
      </w:r>
      <w:r w:rsidR="009B34D2" w:rsidRPr="004E4C01">
        <w:rPr>
          <w:rFonts w:eastAsia="Arial" w:cs="Arial"/>
          <w:bCs/>
          <w:color w:val="000000" w:themeColor="text1"/>
        </w:rPr>
        <w:t xml:space="preserve"> del capítulo III de este documento</w:t>
      </w:r>
      <w:r w:rsidR="00A334F4" w:rsidRPr="004E4C01">
        <w:rPr>
          <w:rFonts w:eastAsia="Malgun Gothic" w:cs="Arial"/>
          <w:lang w:eastAsia="ko-KR"/>
        </w:rPr>
        <w:t xml:space="preserve">. </w:t>
      </w:r>
      <w:r w:rsidR="001529C9" w:rsidRPr="004E4C01">
        <w:rPr>
          <w:rFonts w:eastAsia="Malgun Gothic" w:cs="Arial"/>
          <w:lang w:eastAsia="ko-KR"/>
        </w:rPr>
        <w:t xml:space="preserve">En este mismo sentido, el plan de desmantelamiento y </w:t>
      </w:r>
      <w:r w:rsidR="001529C9" w:rsidRPr="004E4C01">
        <w:rPr>
          <w:rFonts w:eastAsia="Arial" w:cs="Arial"/>
          <w:bCs/>
          <w:color w:val="000000" w:themeColor="text1"/>
        </w:rPr>
        <w:t>cierre ambiental</w:t>
      </w:r>
      <w:r w:rsidR="00A334F4" w:rsidRPr="004E4C01">
        <w:rPr>
          <w:rFonts w:eastAsia="Malgun Gothic" w:cs="Arial"/>
          <w:lang w:eastAsia="ko-KR"/>
        </w:rPr>
        <w:t xml:space="preserve"> </w:t>
      </w:r>
      <w:r w:rsidR="0020775B" w:rsidRPr="004E4C01">
        <w:rPr>
          <w:rFonts w:eastAsia="Malgun Gothic" w:cs="Arial"/>
          <w:lang w:eastAsia="ko-KR"/>
        </w:rPr>
        <w:t xml:space="preserve">contenido en el estudio que se entrega </w:t>
      </w:r>
      <w:r w:rsidR="003332D9" w:rsidRPr="004E4C01">
        <w:rPr>
          <w:rFonts w:eastAsia="Malgun Gothic" w:cs="Arial"/>
          <w:lang w:eastAsia="ko-KR"/>
        </w:rPr>
        <w:t xml:space="preserve">para solicitar el inicio de la </w:t>
      </w:r>
      <w:r w:rsidR="009A29CE">
        <w:rPr>
          <w:spacing w:val="-3"/>
        </w:rPr>
        <w:t>etapa</w:t>
      </w:r>
      <w:r w:rsidR="009A29CE" w:rsidRPr="004E4C01">
        <w:rPr>
          <w:rFonts w:eastAsia="Malgun Gothic" w:cs="Arial"/>
          <w:lang w:eastAsia="ko-KR"/>
        </w:rPr>
        <w:t xml:space="preserve"> </w:t>
      </w:r>
      <w:r w:rsidR="003332D9" w:rsidRPr="004E4C01">
        <w:rPr>
          <w:rFonts w:eastAsia="Malgun Gothic" w:cs="Arial"/>
          <w:lang w:eastAsia="ko-KR"/>
        </w:rPr>
        <w:t>de desmantelamiento y abandono</w:t>
      </w:r>
      <w:r w:rsidR="003F2488" w:rsidRPr="004E4C01">
        <w:rPr>
          <w:rFonts w:eastAsia="Malgun Gothic" w:cs="Arial"/>
          <w:lang w:eastAsia="ko-KR"/>
        </w:rPr>
        <w:t xml:space="preserve"> debe abordar </w:t>
      </w:r>
      <w:r w:rsidR="00976507" w:rsidRPr="004E4C01">
        <w:rPr>
          <w:rFonts w:eastAsia="Malgun Gothic" w:cs="Arial"/>
          <w:lang w:eastAsia="ko-KR"/>
        </w:rPr>
        <w:t xml:space="preserve">un </w:t>
      </w:r>
      <w:r w:rsidR="003F2488" w:rsidRPr="004E4C01">
        <w:rPr>
          <w:rFonts w:eastAsia="Malgun Gothic" w:cs="Arial"/>
          <w:lang w:eastAsia="ko-KR"/>
        </w:rPr>
        <w:t xml:space="preserve">proceso de participación </w:t>
      </w:r>
      <w:r w:rsidR="00C36DF3" w:rsidRPr="004E4C01">
        <w:rPr>
          <w:rFonts w:eastAsia="Malgun Gothic" w:cs="Arial"/>
          <w:lang w:eastAsia="ko-KR"/>
        </w:rPr>
        <w:t xml:space="preserve">específico </w:t>
      </w:r>
      <w:r w:rsidR="003F2488" w:rsidRPr="004E4C01">
        <w:rPr>
          <w:rFonts w:eastAsia="Malgun Gothic" w:cs="Arial"/>
          <w:lang w:eastAsia="ko-KR"/>
        </w:rPr>
        <w:t xml:space="preserve">según lo establecido </w:t>
      </w:r>
      <w:r w:rsidR="003F2488" w:rsidRPr="004E4C01">
        <w:rPr>
          <w:rFonts w:eastAsia="Arial" w:cs="Arial"/>
          <w:bCs/>
          <w:color w:val="000000" w:themeColor="text1"/>
        </w:rPr>
        <w:fldChar w:fldCharType="begin"/>
      </w:r>
      <w:r w:rsidR="003F2488" w:rsidRPr="004E4C01">
        <w:rPr>
          <w:rFonts w:eastAsia="Arial" w:cs="Arial"/>
          <w:bCs/>
          <w:color w:val="000000" w:themeColor="text1"/>
        </w:rPr>
        <w:instrText xml:space="preserve"> REF _Ref75276648 \r \h  \* MERGEFORMAT </w:instrText>
      </w:r>
      <w:r w:rsidR="003F2488" w:rsidRPr="004E4C01">
        <w:rPr>
          <w:rFonts w:eastAsia="Arial" w:cs="Arial"/>
          <w:bCs/>
          <w:color w:val="000000" w:themeColor="text1"/>
        </w:rPr>
      </w:r>
      <w:r w:rsidR="003F2488" w:rsidRPr="004E4C01">
        <w:rPr>
          <w:rFonts w:eastAsia="Arial" w:cs="Arial"/>
          <w:bCs/>
          <w:color w:val="000000" w:themeColor="text1"/>
        </w:rPr>
        <w:fldChar w:fldCharType="separate"/>
      </w:r>
      <w:r w:rsidR="009C4A81">
        <w:rPr>
          <w:rFonts w:eastAsia="Arial" w:cs="Arial"/>
          <w:bCs/>
          <w:color w:val="000000" w:themeColor="text1"/>
        </w:rPr>
        <w:t>3</w:t>
      </w:r>
      <w:r w:rsidR="003F2488" w:rsidRPr="004E4C01">
        <w:rPr>
          <w:rFonts w:eastAsia="Arial" w:cs="Arial"/>
          <w:bCs/>
          <w:color w:val="000000" w:themeColor="text1"/>
        </w:rPr>
        <w:fldChar w:fldCharType="end"/>
      </w:r>
      <w:r w:rsidR="003F2488" w:rsidRPr="004E4C01">
        <w:rPr>
          <w:rFonts w:eastAsia="Arial" w:cs="Arial"/>
          <w:bCs/>
          <w:color w:val="000000" w:themeColor="text1"/>
        </w:rPr>
        <w:t xml:space="preserve"> del capítulo III de este documento</w:t>
      </w:r>
      <w:r w:rsidR="00A1598B" w:rsidRPr="004E4C01">
        <w:rPr>
          <w:rFonts w:eastAsia="Arial" w:cs="Arial"/>
          <w:bCs/>
          <w:color w:val="000000" w:themeColor="text1"/>
        </w:rPr>
        <w:t>.</w:t>
      </w:r>
    </w:p>
    <w:p w14:paraId="43784883" w14:textId="551AE057" w:rsidR="00921683" w:rsidRPr="004E4C01" w:rsidRDefault="00921683" w:rsidP="00C86DA5">
      <w:pPr>
        <w:contextualSpacing/>
        <w:rPr>
          <w:rFonts w:eastAsia="Arial" w:cs="Arial"/>
          <w:bCs/>
          <w:color w:val="000000" w:themeColor="text1"/>
        </w:rPr>
      </w:pPr>
    </w:p>
    <w:p w14:paraId="7B12ACE1" w14:textId="3C653BF2" w:rsidR="00612529" w:rsidRPr="004E4C01" w:rsidRDefault="007770AF">
      <w:pPr>
        <w:pStyle w:val="Ttulo2"/>
        <w:rPr>
          <w:lang w:val="es-CO"/>
        </w:rPr>
      </w:pPr>
      <w:bookmarkStart w:id="11403" w:name="_Toc79443356"/>
      <w:bookmarkStart w:id="11404" w:name="_Toc79443357"/>
      <w:bookmarkStart w:id="11405" w:name="_Toc79443358"/>
      <w:bookmarkStart w:id="11406" w:name="_Toc79443359"/>
      <w:bookmarkStart w:id="11407" w:name="_Toc79443360"/>
      <w:bookmarkStart w:id="11408" w:name="_Toc79443361"/>
      <w:bookmarkStart w:id="11409" w:name="_Toc79443363"/>
      <w:bookmarkStart w:id="11410" w:name="_Toc412812793"/>
      <w:bookmarkStart w:id="11411" w:name="_Toc437936069"/>
      <w:bookmarkStart w:id="11412" w:name="_Toc37163445"/>
      <w:bookmarkStart w:id="11413" w:name="_Hlk96514942"/>
      <w:bookmarkStart w:id="11414" w:name="_Toc230879719"/>
      <w:bookmarkEnd w:id="11403"/>
      <w:bookmarkEnd w:id="11404"/>
      <w:bookmarkEnd w:id="11405"/>
      <w:bookmarkEnd w:id="11406"/>
      <w:bookmarkEnd w:id="11407"/>
      <w:bookmarkEnd w:id="11408"/>
      <w:bookmarkEnd w:id="11409"/>
      <w:r w:rsidRPr="004E4C01">
        <w:rPr>
          <w:lang w:val="es-CO"/>
        </w:rPr>
        <w:t>PLAN DE INVERSIÓN DE NO MENOS DEL 1%</w:t>
      </w:r>
      <w:bookmarkEnd w:id="11410"/>
      <w:bookmarkEnd w:id="11411"/>
      <w:bookmarkEnd w:id="11412"/>
      <w:bookmarkEnd w:id="11414"/>
    </w:p>
    <w:bookmarkEnd w:id="11413"/>
    <w:p w14:paraId="167F318C" w14:textId="77777777" w:rsidR="00612529" w:rsidRPr="004E4C01" w:rsidRDefault="00612529">
      <w:pPr>
        <w:numPr>
          <w:ilvl w:val="12"/>
          <w:numId w:val="0"/>
        </w:numPr>
        <w:tabs>
          <w:tab w:val="left" w:pos="-2268"/>
        </w:tabs>
        <w:suppressAutoHyphens/>
        <w:rPr>
          <w:spacing w:val="-3"/>
        </w:rPr>
      </w:pPr>
    </w:p>
    <w:p w14:paraId="0F4C16C1" w14:textId="3569F32E" w:rsidR="00503083" w:rsidRPr="004E4C01" w:rsidRDefault="00503083" w:rsidP="00AA51B6">
      <w:pPr>
        <w:numPr>
          <w:ilvl w:val="12"/>
          <w:numId w:val="0"/>
        </w:numPr>
        <w:tabs>
          <w:tab w:val="left" w:pos="-2268"/>
        </w:tabs>
        <w:suppressAutoHyphens/>
        <w:rPr>
          <w:rFonts w:cs="Arial"/>
          <w:spacing w:val="-3"/>
        </w:rPr>
      </w:pPr>
      <w:r w:rsidRPr="004E4C01">
        <w:rPr>
          <w:rFonts w:cs="Arial"/>
          <w:spacing w:val="-3"/>
        </w:rPr>
        <w:t xml:space="preserve">A fin de dar </w:t>
      </w:r>
      <w:r w:rsidR="00AA51B6" w:rsidRPr="004E4C01">
        <w:rPr>
          <w:rFonts w:cs="Arial"/>
          <w:spacing w:val="-3"/>
        </w:rPr>
        <w:t xml:space="preserve">cumplimiento </w:t>
      </w:r>
      <w:r w:rsidRPr="004E4C01">
        <w:rPr>
          <w:rFonts w:cs="Arial"/>
          <w:spacing w:val="-3"/>
        </w:rPr>
        <w:t xml:space="preserve">con </w:t>
      </w:r>
      <w:r w:rsidR="00AA51B6" w:rsidRPr="004E4C01">
        <w:rPr>
          <w:rFonts w:cs="Arial"/>
          <w:spacing w:val="-3"/>
        </w:rPr>
        <w:t xml:space="preserve">lo establecido en el parágrafo 1 del artículo 43 de la Ley 99 de 1993, </w:t>
      </w:r>
      <w:r w:rsidRPr="004E4C01">
        <w:rPr>
          <w:rFonts w:cs="Arial"/>
          <w:spacing w:val="-3"/>
        </w:rPr>
        <w:t xml:space="preserve">en caso de que </w:t>
      </w:r>
      <w:r w:rsidR="00C45810" w:rsidRPr="004E4C01">
        <w:rPr>
          <w:rFonts w:cs="Arial"/>
          <w:spacing w:val="-3"/>
        </w:rPr>
        <w:t xml:space="preserve">el proyecto, obra o actividad </w:t>
      </w:r>
      <w:r w:rsidR="000F04FD" w:rsidRPr="004E4C01">
        <w:rPr>
          <w:rFonts w:cs="Arial"/>
          <w:spacing w:val="-3"/>
        </w:rPr>
        <w:t xml:space="preserve">implique </w:t>
      </w:r>
      <w:r w:rsidR="00C45810" w:rsidRPr="004E4C01">
        <w:rPr>
          <w:rFonts w:cs="Arial"/>
          <w:spacing w:val="-3"/>
        </w:rPr>
        <w:t>la obligación de realizar la inversión forzosa de no menos del 1%</w:t>
      </w:r>
      <w:r w:rsidRPr="004E4C01">
        <w:rPr>
          <w:rFonts w:cs="Arial"/>
          <w:spacing w:val="-3"/>
        </w:rPr>
        <w:t xml:space="preserve">, se debe elaborar e incorporar en el EIA </w:t>
      </w:r>
      <w:r w:rsidR="0020652E" w:rsidRPr="004E4C01">
        <w:rPr>
          <w:rFonts w:cs="Arial"/>
          <w:spacing w:val="-3"/>
        </w:rPr>
        <w:t xml:space="preserve">o </w:t>
      </w:r>
      <w:r w:rsidR="001E04F7" w:rsidRPr="004E4C01">
        <w:rPr>
          <w:rFonts w:cs="Arial"/>
          <w:spacing w:val="-3"/>
        </w:rPr>
        <w:t>en el PMA establecido como instrumento de manejo y control ambiental objeto de modificación,</w:t>
      </w:r>
      <w:r w:rsidR="0020652E" w:rsidRPr="004E4C01">
        <w:rPr>
          <w:rFonts w:cs="Arial"/>
          <w:spacing w:val="-3"/>
        </w:rPr>
        <w:t xml:space="preserve"> </w:t>
      </w:r>
      <w:r w:rsidRPr="004E4C01">
        <w:rPr>
          <w:rFonts w:cs="Arial"/>
          <w:spacing w:val="-3"/>
        </w:rPr>
        <w:t xml:space="preserve">un Plan de inversión de no menos del 1% </w:t>
      </w:r>
      <w:r w:rsidR="00F0607F" w:rsidRPr="004E4C01">
        <w:rPr>
          <w:rFonts w:cs="Arial"/>
          <w:spacing w:val="-3"/>
        </w:rPr>
        <w:t>a partir de</w:t>
      </w:r>
      <w:r w:rsidRPr="004E4C01">
        <w:rPr>
          <w:rFonts w:cs="Arial"/>
          <w:spacing w:val="-3"/>
        </w:rPr>
        <w:t xml:space="preserve"> lo establecido en la normativa vigente que regula esta temática</w:t>
      </w:r>
      <w:r w:rsidRPr="004E4C01">
        <w:rPr>
          <w:rStyle w:val="Refdenotaalpie"/>
          <w:rFonts w:cs="Arial"/>
          <w:spacing w:val="-3"/>
          <w:lang w:val="es-CO"/>
        </w:rPr>
        <w:footnoteReference w:id="263"/>
      </w:r>
      <w:r w:rsidRPr="004E4C01">
        <w:rPr>
          <w:rFonts w:cs="Arial"/>
          <w:spacing w:val="-3"/>
        </w:rPr>
        <w:t>.</w:t>
      </w:r>
    </w:p>
    <w:p w14:paraId="6FA76009" w14:textId="77777777" w:rsidR="00475D56" w:rsidRPr="004E4C01" w:rsidRDefault="00475D56">
      <w:pPr>
        <w:numPr>
          <w:ilvl w:val="12"/>
          <w:numId w:val="0"/>
        </w:numPr>
        <w:tabs>
          <w:tab w:val="left" w:pos="-2268"/>
        </w:tabs>
        <w:suppressAutoHyphens/>
        <w:rPr>
          <w:spacing w:val="-3"/>
        </w:rPr>
      </w:pPr>
    </w:p>
    <w:p w14:paraId="5C826711" w14:textId="13006B5A" w:rsidR="00612529" w:rsidRPr="004E4C01" w:rsidRDefault="007770AF" w:rsidP="009420F5">
      <w:pPr>
        <w:pStyle w:val="Ttulo2"/>
        <w:rPr>
          <w:lang w:val="es-CO"/>
        </w:rPr>
      </w:pPr>
      <w:bookmarkStart w:id="11415" w:name="_Toc43485797"/>
      <w:bookmarkStart w:id="11416" w:name="_Toc437936070"/>
      <w:bookmarkStart w:id="11417" w:name="_Toc37163446"/>
      <w:bookmarkStart w:id="11418" w:name="_Toc230879720"/>
      <w:bookmarkEnd w:id="11415"/>
      <w:r w:rsidRPr="004E4C01">
        <w:rPr>
          <w:lang w:val="es-CO"/>
        </w:rPr>
        <w:t>PLAN DE COMPENSACIONES DEL MEDIO BIÓTICO EN EL MARCO DEL LICENCIAMIENTO AMBIENTAL</w:t>
      </w:r>
      <w:bookmarkEnd w:id="11416"/>
      <w:bookmarkEnd w:id="11417"/>
      <w:bookmarkEnd w:id="11418"/>
    </w:p>
    <w:p w14:paraId="11B8D79D" w14:textId="1BCD1B39" w:rsidR="00612529" w:rsidRPr="004E4C01" w:rsidRDefault="00612529">
      <w:pPr>
        <w:numPr>
          <w:ilvl w:val="12"/>
          <w:numId w:val="0"/>
        </w:numPr>
        <w:tabs>
          <w:tab w:val="left" w:pos="-2268"/>
        </w:tabs>
        <w:suppressAutoHyphens/>
        <w:rPr>
          <w:spacing w:val="-3"/>
        </w:rPr>
      </w:pPr>
    </w:p>
    <w:p w14:paraId="6FFD99A6" w14:textId="4B5E028E" w:rsidR="00061C78" w:rsidRPr="004E4C01" w:rsidRDefault="00CB274A" w:rsidP="00061C78">
      <w:pPr>
        <w:numPr>
          <w:ilvl w:val="12"/>
          <w:numId w:val="0"/>
        </w:numPr>
        <w:tabs>
          <w:tab w:val="left" w:pos="-2268"/>
        </w:tabs>
        <w:suppressAutoHyphens/>
        <w:rPr>
          <w:spacing w:val="-3"/>
        </w:rPr>
      </w:pPr>
      <w:r w:rsidRPr="004E4C01">
        <w:rPr>
          <w:rFonts w:cs="Arial"/>
          <w:spacing w:val="-3"/>
        </w:rPr>
        <w:t xml:space="preserve">Con el propósito de </w:t>
      </w:r>
      <w:r w:rsidRPr="004E4C01">
        <w:rPr>
          <w:spacing w:val="-3"/>
        </w:rPr>
        <w:t xml:space="preserve">elaborar el </w:t>
      </w:r>
      <w:r w:rsidRPr="004E4C01">
        <w:rPr>
          <w:rFonts w:cs="Arial"/>
          <w:spacing w:val="-3"/>
        </w:rPr>
        <w:t>P</w:t>
      </w:r>
      <w:r w:rsidR="00061C78" w:rsidRPr="004E4C01">
        <w:rPr>
          <w:rFonts w:cs="Arial"/>
          <w:spacing w:val="-3"/>
        </w:rPr>
        <w:t>lan</w:t>
      </w:r>
      <w:r w:rsidR="00061C78" w:rsidRPr="004E4C01">
        <w:rPr>
          <w:spacing w:val="-3"/>
        </w:rPr>
        <w:t xml:space="preserve"> de compensación </w:t>
      </w:r>
      <w:r w:rsidRPr="004E4C01">
        <w:rPr>
          <w:spacing w:val="-3"/>
        </w:rPr>
        <w:t xml:space="preserve">al que se refiere </w:t>
      </w:r>
      <w:r w:rsidR="00061C78" w:rsidRPr="004E4C01">
        <w:rPr>
          <w:spacing w:val="-3"/>
        </w:rPr>
        <w:t xml:space="preserve">el numeral 12 del artículo 2.2.2.3.5.1 del Decreto 1076 de 2015 </w:t>
      </w:r>
      <w:r w:rsidRPr="004E4C01">
        <w:rPr>
          <w:spacing w:val="-3"/>
        </w:rPr>
        <w:t xml:space="preserve">o aquel que lo modifique o sustituya, </w:t>
      </w:r>
      <w:r w:rsidRPr="004E4C01">
        <w:rPr>
          <w:rFonts w:cs="Arial"/>
          <w:spacing w:val="-3"/>
        </w:rPr>
        <w:t>se deben seguir los procedimientos, métodos y demás orientaciones establecidas en la normativa vigente que regule esta temática</w:t>
      </w:r>
      <w:r w:rsidR="00061C78" w:rsidRPr="004E4C01">
        <w:rPr>
          <w:spacing w:val="-3"/>
          <w:vertAlign w:val="superscript"/>
        </w:rPr>
        <w:footnoteReference w:id="264"/>
      </w:r>
      <w:r w:rsidR="00061C78" w:rsidRPr="004E4C01">
        <w:rPr>
          <w:rFonts w:cs="Arial"/>
          <w:spacing w:val="-3"/>
        </w:rPr>
        <w:t>.</w:t>
      </w:r>
    </w:p>
    <w:p w14:paraId="178B316D" w14:textId="50D806A0" w:rsidR="00CB274A" w:rsidRPr="004E4C01" w:rsidRDefault="00CB274A" w:rsidP="00105B95">
      <w:pPr>
        <w:rPr>
          <w:rFonts w:cs="Arial"/>
          <w:spacing w:val="-3"/>
        </w:rPr>
      </w:pPr>
    </w:p>
    <w:p w14:paraId="681FEA4A" w14:textId="77777777" w:rsidR="00BF4C5C" w:rsidRPr="004E4C01" w:rsidRDefault="00BF4C5C" w:rsidP="00BF4C5C">
      <w:pPr>
        <w:pStyle w:val="Ttulo2"/>
        <w:rPr>
          <w:lang w:val="es-CO"/>
        </w:rPr>
      </w:pPr>
      <w:bookmarkStart w:id="11420" w:name="_Toc230879721"/>
      <w:r w:rsidRPr="004E4C01">
        <w:rPr>
          <w:lang w:val="es-CO"/>
        </w:rPr>
        <w:t>PLAN DE GESTIÓN DE CAMBIO CLIMÁTICO</w:t>
      </w:r>
      <w:bookmarkEnd w:id="11420"/>
    </w:p>
    <w:p w14:paraId="1C50C492" w14:textId="77777777" w:rsidR="009D76C4" w:rsidRPr="004E4C01" w:rsidRDefault="009D76C4" w:rsidP="00105B95">
      <w:pPr>
        <w:rPr>
          <w:rFonts w:cs="Arial"/>
          <w:spacing w:val="-3"/>
        </w:rPr>
      </w:pPr>
    </w:p>
    <w:p w14:paraId="3C9DF4BC" w14:textId="1A25E104" w:rsidR="00750796" w:rsidRPr="004E4C01" w:rsidRDefault="00750796" w:rsidP="00750796">
      <w:pPr>
        <w:rPr>
          <w:rFonts w:cs="Arial"/>
          <w:spacing w:val="-3"/>
        </w:rPr>
      </w:pPr>
      <w:r w:rsidRPr="004E4C01">
        <w:rPr>
          <w:rFonts w:cs="Arial"/>
          <w:spacing w:val="-3"/>
        </w:rPr>
        <w:t xml:space="preserve">A fin de dar cumplimiento a lo establecido por la Ley 2169 de 2021 sobre la necesidad de que los instrumentos de manejo y control ambiental de proyectos, obras o actividades incluyan consideraciones de adaptación y mitigación al cambio climático con especial énfasis en las emisiones de Gases de Efecto Invernadero (GEI) y los aportes que las medidas de compensación ambiental pueden hacer a la Contribución Nacional ante la CMNUCC, así como de asegurar que tales consideraciones sean consistentes con lo </w:t>
      </w:r>
      <w:r w:rsidRPr="004E4C01">
        <w:rPr>
          <w:rFonts w:cs="Arial"/>
          <w:spacing w:val="-3"/>
        </w:rPr>
        <w:lastRenderedPageBreak/>
        <w:t xml:space="preserve">establecido por la Corte Constitucional en su Sentencia C-280/24 y con los instrumentos de gestión del cambio climático que establece la Ley 1931 de 2018, los EIA deben elaborarse incorporando la variable cambio climático, en todas las </w:t>
      </w:r>
      <w:r w:rsidR="009A29CE">
        <w:rPr>
          <w:spacing w:val="-3"/>
        </w:rPr>
        <w:t>etapas</w:t>
      </w:r>
      <w:r w:rsidR="009A29CE" w:rsidRPr="004E4C01" w:rsidDel="009A29CE">
        <w:rPr>
          <w:rFonts w:cs="Arial"/>
          <w:spacing w:val="-3"/>
        </w:rPr>
        <w:t xml:space="preserve"> </w:t>
      </w:r>
      <w:r w:rsidRPr="004E4C01">
        <w:rPr>
          <w:rFonts w:cs="Arial"/>
          <w:spacing w:val="-3"/>
        </w:rPr>
        <w:t>que comprenden el proyecto, obra o actividad</w:t>
      </w:r>
      <w:r w:rsidR="00970951" w:rsidRPr="004E4C01">
        <w:rPr>
          <w:rFonts w:cs="Arial"/>
          <w:spacing w:val="-3"/>
        </w:rPr>
        <w:t xml:space="preserve"> (</w:t>
      </w:r>
      <w:r w:rsidR="00FC5029" w:rsidRPr="004E4C01">
        <w:rPr>
          <w:rFonts w:cs="Arial"/>
          <w:spacing w:val="-3"/>
        </w:rPr>
        <w:t>preconstrucción, construcción, operación</w:t>
      </w:r>
      <w:r w:rsidR="00750AA3">
        <w:rPr>
          <w:rFonts w:cs="Arial"/>
          <w:spacing w:val="-3"/>
        </w:rPr>
        <w:t xml:space="preserve"> y</w:t>
      </w:r>
      <w:r w:rsidR="00FC5029" w:rsidRPr="004E4C01">
        <w:rPr>
          <w:rFonts w:cs="Arial"/>
          <w:spacing w:val="-3"/>
        </w:rPr>
        <w:t xml:space="preserve"> desmantelamiento y cierre ambiental</w:t>
      </w:r>
      <w:r w:rsidR="00970951" w:rsidRPr="004E4C01">
        <w:rPr>
          <w:rFonts w:cs="Arial"/>
          <w:spacing w:val="-3"/>
        </w:rPr>
        <w:t>)</w:t>
      </w:r>
      <w:r w:rsidRPr="004E4C01">
        <w:rPr>
          <w:rFonts w:cs="Arial"/>
          <w:spacing w:val="-3"/>
        </w:rPr>
        <w:t>, de acuerdo con los siguientes lineamientos.</w:t>
      </w:r>
    </w:p>
    <w:p w14:paraId="12C29E60" w14:textId="77777777" w:rsidR="00750796" w:rsidRPr="004E4C01" w:rsidRDefault="00750796" w:rsidP="00750796">
      <w:pPr>
        <w:rPr>
          <w:rFonts w:cs="Arial"/>
          <w:spacing w:val="-3"/>
        </w:rPr>
      </w:pPr>
    </w:p>
    <w:p w14:paraId="4F4286B1" w14:textId="77777777" w:rsidR="00750796" w:rsidRPr="004E4C01" w:rsidRDefault="00750796" w:rsidP="00750796">
      <w:pPr>
        <w:rPr>
          <w:rFonts w:cs="Arial"/>
          <w:spacing w:val="-3"/>
        </w:rPr>
      </w:pPr>
      <w:r w:rsidRPr="004E4C01">
        <w:rPr>
          <w:rFonts w:cs="Arial"/>
          <w:spacing w:val="-3"/>
        </w:rPr>
        <w:t>Teniendo en cuenta que el cambio climático es una variable transversal que no puede abordarse en un único numeral del EIA, es necesario incorporarla de forma armónica en apartados de este estudio diferentes al plan de gestión de cambio climático para que, en efecto, la ejecución de un proyecto, obra o actividad al que se le conceda licencia, desarrolle eficazmente medidas de mitigación de GEI y adaptación al cambio climático. En este sentido, en los numerales: i) Descripción del proyecto, ii) Caracterización ambiental, iii) Evaluación ambiental, iv) Plan de manejo ambiental y, v) Dimensión ambiental del plan de gestión del riesgo, se deben incorporar consideraciones sobre cambio climático de la siguiente forma.</w:t>
      </w:r>
    </w:p>
    <w:p w14:paraId="46360885" w14:textId="77777777" w:rsidR="00750796" w:rsidRPr="004E4C01" w:rsidRDefault="00750796" w:rsidP="00750796">
      <w:pPr>
        <w:rPr>
          <w:rFonts w:cs="Arial"/>
          <w:spacing w:val="-3"/>
        </w:rPr>
      </w:pPr>
    </w:p>
    <w:p w14:paraId="21F1B674" w14:textId="77777777" w:rsidR="00750796" w:rsidRPr="00127BD4" w:rsidRDefault="00750796" w:rsidP="00127BD4">
      <w:pPr>
        <w:numPr>
          <w:ilvl w:val="0"/>
          <w:numId w:val="757"/>
        </w:numPr>
        <w:ind w:left="567" w:hanging="567"/>
        <w:rPr>
          <w:rFonts w:cs="Arial"/>
          <w:spacing w:val="-3"/>
        </w:rPr>
      </w:pPr>
      <w:r w:rsidRPr="00127BD4">
        <w:rPr>
          <w:rFonts w:cs="Arial"/>
          <w:spacing w:val="-3"/>
        </w:rPr>
        <w:t>En el numeral de descripción del proyecto se debe hacer evidente cómo se incorporó la variable cambio climático para que la configuración específica del proyecto, obra o actividad en términos de diseño, tecnología y localización (o trazado, en caso de aplicar) haga posible su adaptación al cambio climático y la mitigación de GEI.</w:t>
      </w:r>
    </w:p>
    <w:p w14:paraId="50F13557" w14:textId="77777777" w:rsidR="00750796" w:rsidRPr="004E4C01" w:rsidRDefault="00750796" w:rsidP="00750796">
      <w:pPr>
        <w:rPr>
          <w:rFonts w:cs="Arial"/>
          <w:spacing w:val="-3"/>
        </w:rPr>
      </w:pPr>
    </w:p>
    <w:p w14:paraId="50982318" w14:textId="77777777" w:rsidR="00750796" w:rsidRPr="00127BD4" w:rsidRDefault="00750796" w:rsidP="00127BD4">
      <w:pPr>
        <w:numPr>
          <w:ilvl w:val="0"/>
          <w:numId w:val="757"/>
        </w:numPr>
        <w:ind w:left="567" w:hanging="567"/>
        <w:rPr>
          <w:rFonts w:cs="Arial"/>
          <w:spacing w:val="-3"/>
        </w:rPr>
      </w:pPr>
      <w:r w:rsidRPr="00127BD4">
        <w:rPr>
          <w:rFonts w:cs="Arial"/>
          <w:spacing w:val="-3"/>
        </w:rPr>
        <w:t>Por su parte, en la caracterización ambiental se debe procurar que la información de línea base de componentes clave como el hidrológico y el oceanográfico, se construya mediante series de datos con periodos de tiempo suficientes que permitan hacer previsiones asociadas al cambio climático.</w:t>
      </w:r>
    </w:p>
    <w:p w14:paraId="77873D69" w14:textId="77777777" w:rsidR="00750796" w:rsidRPr="004E4C01" w:rsidRDefault="00750796" w:rsidP="00750796">
      <w:pPr>
        <w:rPr>
          <w:rFonts w:cs="Arial"/>
          <w:spacing w:val="-3"/>
        </w:rPr>
      </w:pPr>
    </w:p>
    <w:p w14:paraId="1A4BE25A" w14:textId="77777777" w:rsidR="00750796" w:rsidRPr="00127BD4" w:rsidRDefault="00750796" w:rsidP="00127BD4">
      <w:pPr>
        <w:numPr>
          <w:ilvl w:val="0"/>
          <w:numId w:val="757"/>
        </w:numPr>
        <w:ind w:left="567" w:hanging="567"/>
        <w:rPr>
          <w:rFonts w:cs="Arial"/>
          <w:spacing w:val="-3"/>
        </w:rPr>
      </w:pPr>
      <w:r w:rsidRPr="00127BD4">
        <w:rPr>
          <w:rFonts w:cs="Arial"/>
          <w:spacing w:val="-3"/>
        </w:rPr>
        <w:t>En el contexto de la evaluación ambiental, se debe tener en cuenta la forma en que el cambio climático puede afectar las características ambientales del área de influencia con el propósito de determinar y valorar los impactos ambientales de los escenarios con y sin proyecto.</w:t>
      </w:r>
    </w:p>
    <w:p w14:paraId="6C375E40" w14:textId="77777777" w:rsidR="00750796" w:rsidRPr="004E4C01" w:rsidRDefault="00750796" w:rsidP="00750796">
      <w:pPr>
        <w:rPr>
          <w:rFonts w:cs="Arial"/>
          <w:spacing w:val="-3"/>
        </w:rPr>
      </w:pPr>
    </w:p>
    <w:p w14:paraId="2327A900" w14:textId="77777777" w:rsidR="00750796" w:rsidRPr="00127BD4" w:rsidRDefault="00750796" w:rsidP="00127BD4">
      <w:pPr>
        <w:ind w:left="567"/>
        <w:rPr>
          <w:rFonts w:cs="Arial"/>
          <w:spacing w:val="-3"/>
        </w:rPr>
      </w:pPr>
      <w:r w:rsidRPr="00127BD4">
        <w:rPr>
          <w:rFonts w:cs="Arial"/>
          <w:spacing w:val="-3"/>
        </w:rPr>
        <w:t>Esto no implica generar escenarios adicionales de evaluación ambiental, sino emplear los escenarios prospectivos de cambio climático modelados en el Plan de gestión de cambio climático, particularmente los basados en variables como precipitación y temperatura, para prever cómo se puede modificar la significancia de los impactos ambientales generados por las actividades humanas descritas en la línea base y por la eventual ejecución del proyecto. En este sentido, la evaluación ambiental se apoya en escenarios prospectivos que estimen la forma en que el cambio climático genera alteraciones en los elementos del ambiente que pueden ser impactados por el proyecto, obra o actividad.</w:t>
      </w:r>
    </w:p>
    <w:p w14:paraId="438B2045" w14:textId="77777777" w:rsidR="00750796" w:rsidRPr="004E4C01" w:rsidRDefault="00750796" w:rsidP="00750796">
      <w:pPr>
        <w:rPr>
          <w:rFonts w:cs="Arial"/>
          <w:spacing w:val="-3"/>
        </w:rPr>
      </w:pPr>
    </w:p>
    <w:p w14:paraId="4B61C48B" w14:textId="56374CC6" w:rsidR="00750796" w:rsidRPr="00127BD4" w:rsidRDefault="00750796" w:rsidP="00127BD4">
      <w:pPr>
        <w:numPr>
          <w:ilvl w:val="0"/>
          <w:numId w:val="757"/>
        </w:numPr>
        <w:ind w:left="567" w:hanging="567"/>
        <w:rPr>
          <w:rFonts w:cs="Arial"/>
          <w:spacing w:val="-3"/>
        </w:rPr>
      </w:pPr>
      <w:r w:rsidRPr="00127BD4">
        <w:rPr>
          <w:rFonts w:cs="Arial"/>
          <w:spacing w:val="-3"/>
        </w:rPr>
        <w:lastRenderedPageBreak/>
        <w:t>Si en el Plan de manejo ambiental o en la Dimensión ambiental del plan de gestión del riesgo se identifica que una de su</w:t>
      </w:r>
      <w:r w:rsidR="00CA4572" w:rsidRPr="00127BD4">
        <w:rPr>
          <w:rFonts w:cs="Arial"/>
          <w:spacing w:val="-3"/>
        </w:rPr>
        <w:t>s</w:t>
      </w:r>
      <w:r w:rsidRPr="00127BD4">
        <w:rPr>
          <w:rFonts w:cs="Arial"/>
          <w:spacing w:val="-3"/>
        </w:rPr>
        <w:t xml:space="preserve"> medidas es también una medida de mitigación de GEI o de adaptación al cambio climático, es necesario que en dichos planes se señale tal propiedad para facilitar el proceso de evaluación de la autoridad ambiental y la cuantificación y seguimiento a las metas durante la ejecución del proyecto, en caso de que se otorgue licencia ambiental.</w:t>
      </w:r>
    </w:p>
    <w:p w14:paraId="00BDDB4C" w14:textId="77777777" w:rsidR="00750796" w:rsidRPr="004E4C01" w:rsidRDefault="00750796" w:rsidP="00750796">
      <w:pPr>
        <w:rPr>
          <w:rFonts w:cs="Arial"/>
          <w:spacing w:val="-3"/>
        </w:rPr>
      </w:pPr>
    </w:p>
    <w:p w14:paraId="0E929B13" w14:textId="4AA58D67" w:rsidR="00750796" w:rsidRPr="004E4C01" w:rsidRDefault="00750796" w:rsidP="00750796">
      <w:pPr>
        <w:rPr>
          <w:rFonts w:cs="Arial"/>
          <w:spacing w:val="-3"/>
        </w:rPr>
      </w:pPr>
      <w:r w:rsidRPr="004E4C01">
        <w:rPr>
          <w:rFonts w:cs="Arial"/>
          <w:spacing w:val="-3"/>
        </w:rPr>
        <w:t>Se debe considerar que las medidas de mitigación de GEI y de adaptación al cambio climático incorporadas al Plan de gestión de cambio climático tienen dos propósitos adicionales a su objetivo fundamental, los cuales se materializan durante la ejecución del proyecto, obra o actividad. Tales propósitos complementarios son: i) brindar información útil a las autoridades ambientales para la gestión ambiental y la toma de decisiones asociadas al área de su jurisdicción y, ii) facilitar el proceso de contabilización y transmisión de información sobre adaptación y mitigación que deben realizar los titulares de licencias ambientales a las entidades competentes de evaluar el avance en el cumplimiento de metas sectoriales.</w:t>
      </w:r>
    </w:p>
    <w:p w14:paraId="2953DEAE" w14:textId="77777777" w:rsidR="00750796" w:rsidRPr="004E4C01" w:rsidRDefault="00750796" w:rsidP="00750796">
      <w:pPr>
        <w:rPr>
          <w:rFonts w:cs="Arial"/>
          <w:spacing w:val="-3"/>
        </w:rPr>
      </w:pPr>
    </w:p>
    <w:p w14:paraId="11926FB9" w14:textId="77777777" w:rsidR="00750796" w:rsidRPr="004E4C01" w:rsidRDefault="00750796" w:rsidP="00750796">
      <w:pPr>
        <w:rPr>
          <w:rFonts w:cs="Arial"/>
          <w:spacing w:val="-3"/>
        </w:rPr>
      </w:pPr>
      <w:r w:rsidRPr="004E4C01">
        <w:rPr>
          <w:rFonts w:cs="Arial"/>
          <w:spacing w:val="-3"/>
        </w:rPr>
        <w:t>A continuación, se establecen las orientaciones para desarrollar el inventario de emisiones de GEI, para incorporar consideraciones de mitigación de GEI y para incorporar consideraciones de adaptación al cambio climático, elementos constitutivos del Plan de gestión de cambio climático.</w:t>
      </w:r>
    </w:p>
    <w:p w14:paraId="39D4D85F" w14:textId="77777777" w:rsidR="00750796" w:rsidRPr="004E4C01" w:rsidRDefault="00750796" w:rsidP="00750796">
      <w:pPr>
        <w:rPr>
          <w:rFonts w:cs="Arial"/>
          <w:spacing w:val="-3"/>
        </w:rPr>
      </w:pPr>
    </w:p>
    <w:p w14:paraId="357D93A2" w14:textId="77777777" w:rsidR="00750796" w:rsidRPr="00127BD4" w:rsidRDefault="00750796" w:rsidP="000A1E20">
      <w:pPr>
        <w:pStyle w:val="Ttulo3"/>
      </w:pPr>
      <w:bookmarkStart w:id="11421" w:name="_Ref191483915"/>
      <w:bookmarkStart w:id="11422" w:name="_Toc230879722"/>
      <w:r w:rsidRPr="00127BD4">
        <w:t>Inventario de emisiones de gases de efecto invernadero</w:t>
      </w:r>
      <w:bookmarkEnd w:id="11421"/>
      <w:bookmarkEnd w:id="11422"/>
    </w:p>
    <w:p w14:paraId="2D958B37" w14:textId="77777777" w:rsidR="00750796" w:rsidRPr="004E4C01" w:rsidRDefault="00750796" w:rsidP="00750796">
      <w:pPr>
        <w:rPr>
          <w:rFonts w:cs="Arial"/>
          <w:spacing w:val="-3"/>
        </w:rPr>
      </w:pPr>
    </w:p>
    <w:p w14:paraId="5D0A7CE5" w14:textId="77777777" w:rsidR="00750796" w:rsidRPr="004E4C01" w:rsidRDefault="00750796" w:rsidP="00750796">
      <w:pPr>
        <w:rPr>
          <w:rFonts w:cs="Arial"/>
          <w:spacing w:val="-3"/>
        </w:rPr>
      </w:pPr>
      <w:r w:rsidRPr="004E4C01">
        <w:rPr>
          <w:rFonts w:cs="Arial"/>
          <w:spacing w:val="-3"/>
        </w:rPr>
        <w:t>Se deben determinar todas las fuentes de emisión de GEI del proyecto, obra o actividad, así como estimar y reportar todas sus emisiones de GEI, incluyendo dióxido de carbono (CO</w:t>
      </w:r>
      <w:r w:rsidRPr="004E4C01">
        <w:rPr>
          <w:rFonts w:cs="Arial"/>
          <w:spacing w:val="-3"/>
          <w:vertAlign w:val="subscript"/>
        </w:rPr>
        <w:t>2</w:t>
      </w:r>
      <w:r w:rsidRPr="004E4C01">
        <w:rPr>
          <w:rFonts w:cs="Arial"/>
          <w:spacing w:val="-3"/>
        </w:rPr>
        <w:t>), óxido nitroso (N</w:t>
      </w:r>
      <w:r w:rsidRPr="004E4C01">
        <w:rPr>
          <w:rFonts w:cs="Arial"/>
          <w:spacing w:val="-3"/>
          <w:vertAlign w:val="subscript"/>
        </w:rPr>
        <w:t>2</w:t>
      </w:r>
      <w:r w:rsidRPr="004E4C01">
        <w:rPr>
          <w:rFonts w:cs="Arial"/>
          <w:spacing w:val="-3"/>
        </w:rPr>
        <w:t>O), metano (CH</w:t>
      </w:r>
      <w:r w:rsidRPr="004E4C01">
        <w:rPr>
          <w:rFonts w:cs="Arial"/>
          <w:spacing w:val="-3"/>
          <w:vertAlign w:val="subscript"/>
        </w:rPr>
        <w:t>4</w:t>
      </w:r>
      <w:r w:rsidRPr="004E4C01">
        <w:rPr>
          <w:rFonts w:cs="Arial"/>
          <w:spacing w:val="-3"/>
        </w:rPr>
        <w:t>), hidrofluorocarbonos (HFC), perfluorocarbonos (PFC), hexafluoruro de azufre (SF</w:t>
      </w:r>
      <w:r w:rsidRPr="004E4C01">
        <w:rPr>
          <w:rFonts w:cs="Arial"/>
          <w:spacing w:val="-3"/>
          <w:vertAlign w:val="subscript"/>
        </w:rPr>
        <w:t>6</w:t>
      </w:r>
      <w:r w:rsidRPr="004E4C01">
        <w:rPr>
          <w:rFonts w:cs="Arial"/>
          <w:spacing w:val="-3"/>
        </w:rPr>
        <w:t>), entre otros GEI. Igualmente, se deben estimar y reportar las emisiones de GEI biogénicas antropogénicas</w:t>
      </w:r>
      <w:r w:rsidRPr="00127BD4">
        <w:rPr>
          <w:rFonts w:cs="Arial"/>
          <w:spacing w:val="-3"/>
          <w:vertAlign w:val="superscript"/>
        </w:rPr>
        <w:footnoteReference w:id="265"/>
      </w:r>
      <w:r w:rsidRPr="004E4C01">
        <w:rPr>
          <w:rFonts w:cs="Arial"/>
          <w:spacing w:val="-3"/>
        </w:rPr>
        <w:t xml:space="preserve"> por separado de las emisiones antropogénicas.</w:t>
      </w:r>
    </w:p>
    <w:p w14:paraId="766634B4" w14:textId="77777777" w:rsidR="00750796" w:rsidRPr="004E4C01" w:rsidRDefault="00750796" w:rsidP="00750796">
      <w:pPr>
        <w:rPr>
          <w:rFonts w:cs="Arial"/>
          <w:spacing w:val="-3"/>
        </w:rPr>
      </w:pPr>
    </w:p>
    <w:p w14:paraId="4A00E396" w14:textId="77777777" w:rsidR="00750796" w:rsidRPr="004E4C01" w:rsidRDefault="00750796" w:rsidP="00750796">
      <w:pPr>
        <w:rPr>
          <w:rFonts w:cs="Arial"/>
          <w:spacing w:val="-3"/>
        </w:rPr>
      </w:pPr>
      <w:r w:rsidRPr="004E4C01">
        <w:rPr>
          <w:rFonts w:cs="Arial"/>
          <w:spacing w:val="-3"/>
        </w:rPr>
        <w:t>Considerando las fuentes de emisión, se deben estimar las emisiones basadas en las estimaciones derivadas del uso de combustibles, tanto fósiles como biomasa, en todas las fuentes estacionarias, fugitivas y móviles</w:t>
      </w:r>
      <w:r w:rsidRPr="004E4C01">
        <w:rPr>
          <w:rFonts w:cs="Arial"/>
          <w:spacing w:val="-3"/>
          <w:vertAlign w:val="superscript"/>
        </w:rPr>
        <w:footnoteReference w:id="266"/>
      </w:r>
      <w:r w:rsidRPr="004E4C01">
        <w:rPr>
          <w:rFonts w:cs="Arial"/>
          <w:spacing w:val="-3"/>
        </w:rPr>
        <w:t xml:space="preserve">; las emisiones asociadas a energía comprada o adquirida; las emisiones generadas en procesos industriales y de fabricación, ya sean </w:t>
      </w:r>
      <w:r w:rsidRPr="004E4C01">
        <w:rPr>
          <w:rFonts w:cs="Arial"/>
          <w:spacing w:val="-3"/>
        </w:rPr>
        <w:lastRenderedPageBreak/>
        <w:t>realizados in situ o contratados por el proyecto, obra o actividad; así como otras emisiones indirectas significativas de GEI</w:t>
      </w:r>
      <w:r w:rsidRPr="004E4C01">
        <w:rPr>
          <w:rFonts w:cs="Arial"/>
          <w:spacing w:val="-3"/>
          <w:vertAlign w:val="superscript"/>
        </w:rPr>
        <w:footnoteReference w:id="267"/>
      </w:r>
      <w:r w:rsidRPr="004E4C01">
        <w:rPr>
          <w:rFonts w:cs="Arial"/>
          <w:spacing w:val="-3"/>
        </w:rPr>
        <w:t xml:space="preserve"> para cada uno de los GEI emitidos durante la vida útil del proyecto, obra o actividad.</w:t>
      </w:r>
    </w:p>
    <w:p w14:paraId="1F27D79F" w14:textId="77777777" w:rsidR="00750796" w:rsidRPr="004E4C01" w:rsidRDefault="00750796" w:rsidP="00750796">
      <w:pPr>
        <w:rPr>
          <w:rFonts w:cs="Arial"/>
          <w:spacing w:val="-3"/>
        </w:rPr>
      </w:pPr>
    </w:p>
    <w:p w14:paraId="5687B857" w14:textId="76146B16" w:rsidR="00750796" w:rsidRPr="004E4C01" w:rsidRDefault="00750796" w:rsidP="00750796">
      <w:pPr>
        <w:rPr>
          <w:rFonts w:cs="Arial"/>
          <w:spacing w:val="-3"/>
        </w:rPr>
      </w:pPr>
      <w:r w:rsidRPr="004E4C01">
        <w:rPr>
          <w:rFonts w:cs="Arial"/>
          <w:spacing w:val="-3"/>
        </w:rPr>
        <w:t xml:space="preserve">La estimación de GEI debe realizarse, con la mayor información disponible, para cada </w:t>
      </w:r>
      <w:r w:rsidR="00126F09">
        <w:rPr>
          <w:spacing w:val="-3"/>
        </w:rPr>
        <w:t>etapa</w:t>
      </w:r>
      <w:r w:rsidR="00126F09" w:rsidRPr="004E4C01" w:rsidDel="00126F09">
        <w:rPr>
          <w:rFonts w:cs="Arial"/>
          <w:spacing w:val="-3"/>
        </w:rPr>
        <w:t xml:space="preserve"> </w:t>
      </w:r>
      <w:r w:rsidRPr="004E4C01">
        <w:rPr>
          <w:rFonts w:cs="Arial"/>
          <w:spacing w:val="-3"/>
        </w:rPr>
        <w:t>del proyecto considerando la preconstrucción, construcción, operación</w:t>
      </w:r>
      <w:r w:rsidR="00F35C56">
        <w:rPr>
          <w:rFonts w:cs="Arial"/>
          <w:spacing w:val="-3"/>
        </w:rPr>
        <w:t xml:space="preserve"> y</w:t>
      </w:r>
      <w:r w:rsidRPr="004E4C01">
        <w:rPr>
          <w:rFonts w:cs="Arial"/>
          <w:spacing w:val="-3"/>
        </w:rPr>
        <w:t xml:space="preserve"> desmantelamiento y cierre ambiental.</w:t>
      </w:r>
    </w:p>
    <w:p w14:paraId="2FB7C9AF" w14:textId="77777777" w:rsidR="00750796" w:rsidRPr="004E4C01" w:rsidRDefault="00750796" w:rsidP="00750796">
      <w:pPr>
        <w:rPr>
          <w:rFonts w:cs="Arial"/>
          <w:spacing w:val="-3"/>
        </w:rPr>
      </w:pPr>
    </w:p>
    <w:p w14:paraId="38C0FD84" w14:textId="77777777" w:rsidR="00750796" w:rsidRPr="004E4C01" w:rsidRDefault="00750796" w:rsidP="00750796">
      <w:pPr>
        <w:rPr>
          <w:rFonts w:cs="Arial"/>
          <w:spacing w:val="-3"/>
        </w:rPr>
      </w:pPr>
      <w:r w:rsidRPr="004E4C01">
        <w:rPr>
          <w:rFonts w:cs="Arial"/>
          <w:spacing w:val="-3"/>
        </w:rPr>
        <w:t>Se debe indicar a su vez el total de emisiones expresado en toneladas de CO</w:t>
      </w:r>
      <w:r w:rsidRPr="004E4C01">
        <w:rPr>
          <w:rFonts w:cs="Arial"/>
          <w:spacing w:val="-3"/>
          <w:vertAlign w:val="subscript"/>
        </w:rPr>
        <w:t>2e</w:t>
      </w:r>
      <w:r w:rsidRPr="004E4C01">
        <w:rPr>
          <w:rFonts w:cs="Arial"/>
          <w:spacing w:val="-3"/>
        </w:rPr>
        <w:t xml:space="preserve"> y especificar el método de estimación empleado</w:t>
      </w:r>
      <w:r w:rsidRPr="004E4C01">
        <w:rPr>
          <w:rFonts w:cs="Arial"/>
          <w:spacing w:val="-3"/>
          <w:vertAlign w:val="superscript"/>
        </w:rPr>
        <w:footnoteReference w:id="268"/>
      </w:r>
      <w:r w:rsidRPr="004E4C01">
        <w:rPr>
          <w:rFonts w:cs="Arial"/>
          <w:spacing w:val="-3"/>
        </w:rPr>
        <w:t>; en caso de que esta estimación no aplique, se debe suministrar el soporte técnico basado en las actividades del proyecto, obra o actividad. Esta información constituye la base para incorporar la mitigación de GEI en el EIA.</w:t>
      </w:r>
    </w:p>
    <w:p w14:paraId="5ECA7A9B" w14:textId="77777777" w:rsidR="00750796" w:rsidRPr="004E4C01" w:rsidRDefault="00750796" w:rsidP="00750796">
      <w:pPr>
        <w:rPr>
          <w:rFonts w:cs="Arial"/>
          <w:spacing w:val="-3"/>
        </w:rPr>
      </w:pPr>
    </w:p>
    <w:p w14:paraId="18CE7B5B" w14:textId="77777777" w:rsidR="00750796" w:rsidRPr="004E4C01" w:rsidRDefault="00750796" w:rsidP="00750796">
      <w:pPr>
        <w:rPr>
          <w:rFonts w:cs="Arial"/>
          <w:spacing w:val="-3"/>
        </w:rPr>
      </w:pPr>
      <w:r w:rsidRPr="004E4C01">
        <w:rPr>
          <w:rFonts w:cs="Arial"/>
          <w:spacing w:val="-3"/>
        </w:rPr>
        <w:t>En caso de obtener el instrumento de manejo y control ambiental y una vez el proyecto inicie actividades, la estimación de GEI debe realizarse con la frecuencia establecida en el acto administrativo. Asimismo, dicha estimación debe ser objeto de verificación por tercera parte establecida en el acto administrativo</w:t>
      </w:r>
      <w:r w:rsidRPr="00127BD4">
        <w:rPr>
          <w:rFonts w:cs="Arial"/>
          <w:spacing w:val="-3"/>
          <w:vertAlign w:val="superscript"/>
        </w:rPr>
        <w:footnoteReference w:id="269"/>
      </w:r>
      <w:r w:rsidRPr="004E4C01">
        <w:rPr>
          <w:rFonts w:cs="Arial"/>
          <w:spacing w:val="-3"/>
        </w:rPr>
        <w:t>.</w:t>
      </w:r>
    </w:p>
    <w:p w14:paraId="445F0CE1" w14:textId="77777777" w:rsidR="00750796" w:rsidRPr="004E4C01" w:rsidRDefault="00750796" w:rsidP="00750796">
      <w:pPr>
        <w:rPr>
          <w:rFonts w:cs="Arial"/>
          <w:spacing w:val="-3"/>
        </w:rPr>
      </w:pPr>
    </w:p>
    <w:p w14:paraId="0D7DDDC5" w14:textId="77777777" w:rsidR="00750796" w:rsidRPr="004E4C01" w:rsidRDefault="00750796" w:rsidP="00750796">
      <w:pPr>
        <w:rPr>
          <w:rFonts w:cs="Arial"/>
          <w:spacing w:val="-3"/>
        </w:rPr>
      </w:pPr>
      <w:r w:rsidRPr="004E4C01">
        <w:rPr>
          <w:rFonts w:cs="Arial"/>
          <w:spacing w:val="-3"/>
        </w:rPr>
        <w:t>La estimación de emisiones de GEI con factores de emisión se debe realizar utilizando factores de emisión específicos para el caso colombiano, siempre que estén disponibles. En caso contrario, es posible emplear factores de emisión reportados en fuentes secundarias</w:t>
      </w:r>
      <w:r w:rsidRPr="004E4C01">
        <w:rPr>
          <w:rFonts w:cs="Arial"/>
          <w:spacing w:val="-3"/>
          <w:vertAlign w:val="superscript"/>
        </w:rPr>
        <w:footnoteReference w:id="270"/>
      </w:r>
      <w:r w:rsidRPr="004E4C01">
        <w:rPr>
          <w:rFonts w:cs="Arial"/>
          <w:spacing w:val="-3"/>
        </w:rPr>
        <w:t xml:space="preserve"> o aquellos asociados directamente con la descripción del proyecto.</w:t>
      </w:r>
    </w:p>
    <w:p w14:paraId="30B193BA" w14:textId="77777777" w:rsidR="00750796" w:rsidRPr="004E4C01" w:rsidRDefault="00750796" w:rsidP="00750796">
      <w:pPr>
        <w:rPr>
          <w:rFonts w:cs="Arial"/>
          <w:spacing w:val="-3"/>
        </w:rPr>
      </w:pPr>
    </w:p>
    <w:p w14:paraId="277D1326" w14:textId="77777777" w:rsidR="00750796" w:rsidRPr="004E4C01" w:rsidRDefault="00750796" w:rsidP="00750796">
      <w:pPr>
        <w:rPr>
          <w:rFonts w:cs="Arial"/>
          <w:spacing w:val="-3"/>
        </w:rPr>
      </w:pPr>
      <w:r w:rsidRPr="004E4C01">
        <w:rPr>
          <w:rFonts w:cs="Arial"/>
          <w:spacing w:val="-3"/>
        </w:rPr>
        <w:t xml:space="preserve">Finalmente, se deben anexar los archivos asociados a las estimaciones de GEI en formato Excel o de archivo de texto plano (.csv), formulados y sin protección de ningún tipo, incluyendo en ellos como mínimo los datos de actividad, factores de emisión, suposiciones empleadas, conversiones, fuentes de información y emisiones calculadas. Una vez se formulen las medidas de mitigación de GEI, en este archivo también se deben incluir los </w:t>
      </w:r>
      <w:r w:rsidRPr="004E4C01">
        <w:rPr>
          <w:rFonts w:cs="Arial"/>
          <w:spacing w:val="-3"/>
        </w:rPr>
        <w:lastRenderedPageBreak/>
        <w:t>cálculos de la proyección de emisiones con y sin medidas de mitigación, a fin de evidenciar la meta de mitigación (emisiones evitadas).</w:t>
      </w:r>
    </w:p>
    <w:p w14:paraId="045464B6" w14:textId="77777777" w:rsidR="00750796" w:rsidRPr="004E4C01" w:rsidRDefault="00750796" w:rsidP="00750796">
      <w:pPr>
        <w:rPr>
          <w:rFonts w:cs="Arial"/>
          <w:spacing w:val="-3"/>
        </w:rPr>
      </w:pPr>
    </w:p>
    <w:p w14:paraId="34A84DAB" w14:textId="77777777" w:rsidR="00750796" w:rsidRPr="00127BD4" w:rsidRDefault="00750796" w:rsidP="000A1E20">
      <w:pPr>
        <w:pStyle w:val="Ttulo3"/>
      </w:pPr>
      <w:bookmarkStart w:id="11423" w:name="_Ref204176556"/>
      <w:bookmarkStart w:id="11424" w:name="_Toc230879723"/>
      <w:r w:rsidRPr="00127BD4">
        <w:t>Consideraciones para la mitigación de GEI</w:t>
      </w:r>
      <w:bookmarkEnd w:id="11423"/>
      <w:bookmarkEnd w:id="11424"/>
    </w:p>
    <w:p w14:paraId="37B871C3" w14:textId="77777777" w:rsidR="00750796" w:rsidRPr="004E4C01" w:rsidRDefault="00750796" w:rsidP="00750796">
      <w:pPr>
        <w:rPr>
          <w:rFonts w:cs="Arial"/>
          <w:spacing w:val="-3"/>
        </w:rPr>
      </w:pPr>
    </w:p>
    <w:p w14:paraId="39F11B1C" w14:textId="6A36B5D0" w:rsidR="00750796" w:rsidRPr="004E4C01" w:rsidRDefault="00750796" w:rsidP="00750796">
      <w:pPr>
        <w:rPr>
          <w:rFonts w:cs="Arial"/>
          <w:spacing w:val="-3"/>
        </w:rPr>
      </w:pPr>
      <w:r w:rsidRPr="004E4C01">
        <w:rPr>
          <w:rFonts w:cs="Arial"/>
          <w:spacing w:val="-3"/>
        </w:rPr>
        <w:t xml:space="preserve">El propósito fundamental de este numeral del Plan de gestión de cambio climático es formular medidas de mitigación de GEI a partir de las características del proyecto, obra o actividad y de las condiciones ambientales de su área de influencia. Asimismo, en este numeral se deben </w:t>
      </w:r>
      <w:r w:rsidR="0073774B">
        <w:rPr>
          <w:rFonts w:cs="Arial"/>
          <w:spacing w:val="-3"/>
        </w:rPr>
        <w:t>estimar las emisiones evitadas</w:t>
      </w:r>
      <w:r w:rsidR="0073774B" w:rsidRPr="004E4C01">
        <w:rPr>
          <w:rFonts w:cs="Arial"/>
          <w:spacing w:val="-3"/>
        </w:rPr>
        <w:t xml:space="preserve"> </w:t>
      </w:r>
      <w:r w:rsidR="005472E0">
        <w:rPr>
          <w:rFonts w:cs="Arial"/>
          <w:spacing w:val="-3"/>
        </w:rPr>
        <w:t>(asociadas a la configuración específica de diseño</w:t>
      </w:r>
      <w:r w:rsidR="00F01864">
        <w:rPr>
          <w:rFonts w:cs="Arial"/>
          <w:spacing w:val="-3"/>
        </w:rPr>
        <w:t>,</w:t>
      </w:r>
      <w:r w:rsidR="005472E0">
        <w:rPr>
          <w:rFonts w:cs="Arial"/>
          <w:spacing w:val="-3"/>
        </w:rPr>
        <w:t xml:space="preserve"> tecnología </w:t>
      </w:r>
      <w:r w:rsidR="00F01864">
        <w:rPr>
          <w:rFonts w:cs="Arial"/>
          <w:spacing w:val="-3"/>
        </w:rPr>
        <w:t xml:space="preserve">y localización </w:t>
      </w:r>
      <w:r w:rsidR="00B6607E">
        <w:rPr>
          <w:rFonts w:cs="Arial"/>
          <w:spacing w:val="-3"/>
        </w:rPr>
        <w:t>–o trazado</w:t>
      </w:r>
      <w:r w:rsidR="003711AE">
        <w:rPr>
          <w:rFonts w:cs="Arial"/>
          <w:spacing w:val="-3"/>
        </w:rPr>
        <w:t xml:space="preserve">- </w:t>
      </w:r>
      <w:r w:rsidR="005472E0">
        <w:rPr>
          <w:rFonts w:cs="Arial"/>
          <w:spacing w:val="-3"/>
        </w:rPr>
        <w:t xml:space="preserve">del proyecto) </w:t>
      </w:r>
      <w:r w:rsidR="0073774B">
        <w:rPr>
          <w:rFonts w:cs="Arial"/>
          <w:spacing w:val="-3"/>
        </w:rPr>
        <w:t xml:space="preserve">y </w:t>
      </w:r>
      <w:r w:rsidRPr="004E4C01">
        <w:rPr>
          <w:rFonts w:cs="Arial"/>
          <w:spacing w:val="-3"/>
        </w:rPr>
        <w:t xml:space="preserve">establecer las metas asociadas a </w:t>
      </w:r>
      <w:r w:rsidR="005472E0">
        <w:rPr>
          <w:rFonts w:cs="Arial"/>
          <w:spacing w:val="-3"/>
        </w:rPr>
        <w:t xml:space="preserve">la </w:t>
      </w:r>
      <w:r w:rsidR="000759BD">
        <w:rPr>
          <w:rFonts w:cs="Arial"/>
          <w:spacing w:val="-3"/>
        </w:rPr>
        <w:t xml:space="preserve">reducción de emisiones </w:t>
      </w:r>
      <w:r w:rsidR="005472E0">
        <w:rPr>
          <w:rFonts w:cs="Arial"/>
          <w:spacing w:val="-3"/>
        </w:rPr>
        <w:t>de GEI</w:t>
      </w:r>
      <w:r w:rsidRPr="004E4C01">
        <w:rPr>
          <w:rFonts w:cs="Arial"/>
          <w:spacing w:val="-3"/>
        </w:rPr>
        <w:t>.</w:t>
      </w:r>
    </w:p>
    <w:p w14:paraId="71A9CFC5" w14:textId="77777777" w:rsidR="00750796" w:rsidRPr="004E4C01" w:rsidRDefault="00750796" w:rsidP="00750796">
      <w:pPr>
        <w:rPr>
          <w:rFonts w:cs="Arial"/>
          <w:spacing w:val="-3"/>
        </w:rPr>
      </w:pPr>
    </w:p>
    <w:p w14:paraId="43D52C27" w14:textId="40EF4F9D" w:rsidR="00570EC4" w:rsidRDefault="00570EC4" w:rsidP="00570EC4">
      <w:pPr>
        <w:rPr>
          <w:rFonts w:cs="Arial"/>
          <w:spacing w:val="-3"/>
        </w:rPr>
      </w:pPr>
      <w:r>
        <w:rPr>
          <w:rFonts w:cs="Arial"/>
          <w:spacing w:val="-3"/>
        </w:rPr>
        <w:t xml:space="preserve">Para estimar las emisiones evitadas se debe </w:t>
      </w:r>
      <w:r w:rsidR="0043466D">
        <w:rPr>
          <w:rFonts w:cs="Arial"/>
          <w:spacing w:val="-3"/>
        </w:rPr>
        <w:t xml:space="preserve">considerar </w:t>
      </w:r>
      <w:r>
        <w:rPr>
          <w:rFonts w:cs="Arial"/>
          <w:spacing w:val="-3"/>
        </w:rPr>
        <w:t>lo siguiente:</w:t>
      </w:r>
    </w:p>
    <w:p w14:paraId="640BA9F6" w14:textId="77777777" w:rsidR="00570EC4" w:rsidRDefault="00570EC4" w:rsidP="00570EC4">
      <w:pPr>
        <w:rPr>
          <w:rFonts w:cs="Arial"/>
          <w:spacing w:val="-3"/>
        </w:rPr>
      </w:pPr>
    </w:p>
    <w:p w14:paraId="2E841B62" w14:textId="46D0FB00" w:rsidR="00570EC4" w:rsidRPr="00E64F04" w:rsidRDefault="00570EC4" w:rsidP="00E64F04">
      <w:pPr>
        <w:pStyle w:val="Prrafodelista"/>
        <w:numPr>
          <w:ilvl w:val="0"/>
          <w:numId w:val="781"/>
        </w:numPr>
        <w:tabs>
          <w:tab w:val="left" w:pos="-2268"/>
        </w:tabs>
        <w:suppressAutoHyphens/>
        <w:ind w:left="567" w:hanging="567"/>
        <w:rPr>
          <w:lang w:val="es-CO"/>
        </w:rPr>
      </w:pPr>
      <w:r w:rsidRPr="00E64F04">
        <w:rPr>
          <w:lang w:val="es-CO"/>
        </w:rPr>
        <w:t>Estructurar la estimación por etapas del proyecto</w:t>
      </w:r>
      <w:r w:rsidR="00DF33E1">
        <w:rPr>
          <w:lang w:val="es-CO"/>
        </w:rPr>
        <w:t>,</w:t>
      </w:r>
      <w:r w:rsidRPr="00E64F04">
        <w:rPr>
          <w:lang w:val="es-CO"/>
        </w:rPr>
        <w:t xml:space="preserve"> </w:t>
      </w:r>
      <w:r w:rsidR="00103FB5">
        <w:rPr>
          <w:lang w:val="es-CO"/>
        </w:rPr>
        <w:t xml:space="preserve">incluyendo </w:t>
      </w:r>
      <w:r w:rsidRPr="00E64F04">
        <w:rPr>
          <w:lang w:val="es-CO"/>
        </w:rPr>
        <w:t>como mínimo la construcción</w:t>
      </w:r>
      <w:r w:rsidR="00B47F15">
        <w:rPr>
          <w:lang w:val="es-CO"/>
        </w:rPr>
        <w:t>,</w:t>
      </w:r>
      <w:r w:rsidRPr="00E64F04">
        <w:rPr>
          <w:lang w:val="es-CO"/>
        </w:rPr>
        <w:t xml:space="preserve"> operación y</w:t>
      </w:r>
      <w:r w:rsidR="00B47F15">
        <w:rPr>
          <w:lang w:val="es-CO"/>
        </w:rPr>
        <w:t xml:space="preserve"> </w:t>
      </w:r>
      <w:r w:rsidRPr="00E64F04">
        <w:rPr>
          <w:lang w:val="es-CO"/>
        </w:rPr>
        <w:t>desmantelamiento y cierre ambiental</w:t>
      </w:r>
      <w:r w:rsidR="00B47F15">
        <w:rPr>
          <w:lang w:val="es-CO"/>
        </w:rPr>
        <w:t>, según</w:t>
      </w:r>
      <w:r w:rsidRPr="00E64F04">
        <w:rPr>
          <w:lang w:val="es-CO"/>
        </w:rPr>
        <w:t xml:space="preserve"> aplique, e identifica</w:t>
      </w:r>
      <w:r w:rsidR="00A674EB">
        <w:rPr>
          <w:lang w:val="es-CO"/>
        </w:rPr>
        <w:t xml:space="preserve">r </w:t>
      </w:r>
      <w:r w:rsidRPr="00E64F04">
        <w:rPr>
          <w:lang w:val="es-CO"/>
        </w:rPr>
        <w:t xml:space="preserve">las actividades y fuentes relevantes </w:t>
      </w:r>
      <w:r w:rsidR="00C332AC">
        <w:rPr>
          <w:lang w:val="es-CO"/>
        </w:rPr>
        <w:t xml:space="preserve">de </w:t>
      </w:r>
      <w:r w:rsidRPr="00E64F04">
        <w:rPr>
          <w:lang w:val="es-CO"/>
        </w:rPr>
        <w:t>cada etapa.</w:t>
      </w:r>
    </w:p>
    <w:p w14:paraId="1D1B505A" w14:textId="77777777" w:rsidR="00570EC4" w:rsidRDefault="00570EC4" w:rsidP="00570EC4">
      <w:pPr>
        <w:rPr>
          <w:rFonts w:cs="Arial"/>
          <w:spacing w:val="-3"/>
          <w:lang w:val="es-ES_tradnl"/>
        </w:rPr>
      </w:pPr>
    </w:p>
    <w:p w14:paraId="3BE646B1" w14:textId="77777777" w:rsidR="00570EC4" w:rsidRPr="00E64F04" w:rsidRDefault="00570EC4" w:rsidP="00E64F04">
      <w:pPr>
        <w:pStyle w:val="Prrafodelista"/>
        <w:numPr>
          <w:ilvl w:val="0"/>
          <w:numId w:val="781"/>
        </w:numPr>
        <w:tabs>
          <w:tab w:val="left" w:pos="-2268"/>
        </w:tabs>
        <w:suppressAutoHyphens/>
        <w:ind w:left="567" w:hanging="567"/>
        <w:rPr>
          <w:lang w:val="es-CO"/>
        </w:rPr>
      </w:pPr>
      <w:r w:rsidRPr="00E64F04">
        <w:rPr>
          <w:lang w:val="es-CO"/>
        </w:rPr>
        <w:t>Plantear dos escenarios prospectivos comparables por etapa del proyecto, así:</w:t>
      </w:r>
    </w:p>
    <w:p w14:paraId="0C32BE69" w14:textId="77777777" w:rsidR="00570EC4" w:rsidRPr="00E64F04" w:rsidRDefault="00570EC4" w:rsidP="00E64F04">
      <w:pPr>
        <w:rPr>
          <w:rFonts w:cs="Arial"/>
          <w:spacing w:val="-3"/>
        </w:rPr>
      </w:pPr>
    </w:p>
    <w:p w14:paraId="11BF67E9" w14:textId="019655EC" w:rsidR="00570EC4" w:rsidRDefault="00570EC4" w:rsidP="00E64F04">
      <w:pPr>
        <w:numPr>
          <w:ilvl w:val="0"/>
          <w:numId w:val="757"/>
        </w:numPr>
        <w:ind w:left="567" w:hanging="567"/>
        <w:rPr>
          <w:rFonts w:cs="Arial"/>
          <w:spacing w:val="-3"/>
        </w:rPr>
      </w:pPr>
      <w:r w:rsidRPr="00DE6737">
        <w:rPr>
          <w:rFonts w:cs="Arial"/>
          <w:spacing w:val="-3"/>
        </w:rPr>
        <w:t xml:space="preserve">Escenario 1 (BAU), correspondiente a la ejecución del </w:t>
      </w:r>
      <w:r>
        <w:rPr>
          <w:rFonts w:cs="Arial"/>
          <w:spacing w:val="-3"/>
        </w:rPr>
        <w:t xml:space="preserve">proyecto </w:t>
      </w:r>
      <w:r w:rsidRPr="00DE6737">
        <w:rPr>
          <w:rFonts w:cs="Arial"/>
          <w:spacing w:val="-3"/>
        </w:rPr>
        <w:t xml:space="preserve">con </w:t>
      </w:r>
      <w:r w:rsidR="005D0350">
        <w:rPr>
          <w:rFonts w:cs="Arial"/>
          <w:spacing w:val="-3"/>
        </w:rPr>
        <w:t xml:space="preserve">una configuración </w:t>
      </w:r>
      <w:r w:rsidR="00E00409" w:rsidRPr="00DE6737">
        <w:rPr>
          <w:rFonts w:cs="Arial"/>
          <w:spacing w:val="-3"/>
        </w:rPr>
        <w:t>convencional</w:t>
      </w:r>
      <w:r w:rsidR="00E00409">
        <w:rPr>
          <w:rFonts w:cs="Arial"/>
          <w:spacing w:val="-3"/>
        </w:rPr>
        <w:t xml:space="preserve"> </w:t>
      </w:r>
      <w:r w:rsidR="0093116E">
        <w:rPr>
          <w:rFonts w:cs="Arial"/>
          <w:spacing w:val="-3"/>
        </w:rPr>
        <w:t xml:space="preserve">de diseño, </w:t>
      </w:r>
      <w:r w:rsidRPr="00DE6737">
        <w:rPr>
          <w:rFonts w:cs="Arial"/>
          <w:spacing w:val="-3"/>
        </w:rPr>
        <w:t>tecnol</w:t>
      </w:r>
      <w:r w:rsidR="005D0350">
        <w:rPr>
          <w:rFonts w:cs="Arial"/>
          <w:spacing w:val="-3"/>
        </w:rPr>
        <w:t xml:space="preserve">ogía </w:t>
      </w:r>
      <w:r w:rsidRPr="00DE6737">
        <w:rPr>
          <w:rFonts w:cs="Arial"/>
          <w:spacing w:val="-3"/>
        </w:rPr>
        <w:t xml:space="preserve">y </w:t>
      </w:r>
      <w:r w:rsidR="005D0350">
        <w:rPr>
          <w:rFonts w:cs="Arial"/>
          <w:spacing w:val="-3"/>
        </w:rPr>
        <w:t>localización (o trazado)</w:t>
      </w:r>
      <w:r w:rsidRPr="00DE6737">
        <w:rPr>
          <w:rFonts w:cs="Arial"/>
          <w:spacing w:val="-3"/>
        </w:rPr>
        <w:t>.</w:t>
      </w:r>
    </w:p>
    <w:p w14:paraId="77021E19" w14:textId="77777777" w:rsidR="00570EC4" w:rsidRPr="0078417B" w:rsidRDefault="00570EC4" w:rsidP="00B369D9">
      <w:pPr>
        <w:rPr>
          <w:rFonts w:cs="Arial"/>
          <w:spacing w:val="-3"/>
        </w:rPr>
      </w:pPr>
    </w:p>
    <w:p w14:paraId="274997B9" w14:textId="55A95359" w:rsidR="00570EC4" w:rsidRDefault="00570EC4" w:rsidP="00E64F04">
      <w:pPr>
        <w:numPr>
          <w:ilvl w:val="0"/>
          <w:numId w:val="757"/>
        </w:numPr>
        <w:ind w:left="567" w:hanging="567"/>
        <w:rPr>
          <w:rFonts w:cs="Arial"/>
          <w:spacing w:val="-3"/>
        </w:rPr>
      </w:pPr>
      <w:r w:rsidRPr="00DE6737">
        <w:rPr>
          <w:rFonts w:cs="Arial"/>
          <w:spacing w:val="-3"/>
        </w:rPr>
        <w:t>Escenario 2 (</w:t>
      </w:r>
      <w:r>
        <w:rPr>
          <w:rFonts w:cs="Arial"/>
          <w:spacing w:val="-3"/>
        </w:rPr>
        <w:t>c</w:t>
      </w:r>
      <w:r w:rsidRPr="00DE6737">
        <w:rPr>
          <w:rFonts w:cs="Arial"/>
          <w:spacing w:val="-3"/>
        </w:rPr>
        <w:t xml:space="preserve">on proyecto), correspondiente a la configuración propuesta, incorporando </w:t>
      </w:r>
      <w:r>
        <w:rPr>
          <w:rFonts w:cs="Arial"/>
          <w:spacing w:val="-3"/>
        </w:rPr>
        <w:t xml:space="preserve">condiciones de </w:t>
      </w:r>
      <w:r w:rsidRPr="00DE6737">
        <w:rPr>
          <w:rFonts w:cs="Arial"/>
          <w:spacing w:val="-3"/>
        </w:rPr>
        <w:t>diseño</w:t>
      </w:r>
      <w:r w:rsidR="00E00409">
        <w:rPr>
          <w:rFonts w:cs="Arial"/>
          <w:spacing w:val="-3"/>
        </w:rPr>
        <w:t>,</w:t>
      </w:r>
      <w:r w:rsidRPr="00DE6737">
        <w:rPr>
          <w:rFonts w:cs="Arial"/>
          <w:spacing w:val="-3"/>
        </w:rPr>
        <w:t xml:space="preserve"> tecnol</w:t>
      </w:r>
      <w:r>
        <w:rPr>
          <w:rFonts w:cs="Arial"/>
          <w:spacing w:val="-3"/>
        </w:rPr>
        <w:t xml:space="preserve">ogía </w:t>
      </w:r>
      <w:r w:rsidR="00E00409" w:rsidRPr="00DE6737">
        <w:rPr>
          <w:rFonts w:cs="Arial"/>
          <w:spacing w:val="-3"/>
        </w:rPr>
        <w:t xml:space="preserve">y </w:t>
      </w:r>
      <w:r w:rsidR="00E00409">
        <w:rPr>
          <w:rFonts w:cs="Arial"/>
          <w:spacing w:val="-3"/>
        </w:rPr>
        <w:t>localización (o trazado)</w:t>
      </w:r>
      <w:r w:rsidR="00E60F18">
        <w:rPr>
          <w:rFonts w:cs="Arial"/>
          <w:spacing w:val="-3"/>
        </w:rPr>
        <w:t xml:space="preserve"> </w:t>
      </w:r>
      <w:r w:rsidRPr="00DE6737">
        <w:rPr>
          <w:rFonts w:cs="Arial"/>
          <w:spacing w:val="-3"/>
        </w:rPr>
        <w:t>que reduce</w:t>
      </w:r>
      <w:r>
        <w:rPr>
          <w:rFonts w:cs="Arial"/>
          <w:spacing w:val="-3"/>
        </w:rPr>
        <w:t>n</w:t>
      </w:r>
      <w:r w:rsidRPr="00DE6737">
        <w:rPr>
          <w:rFonts w:cs="Arial"/>
          <w:spacing w:val="-3"/>
        </w:rPr>
        <w:t xml:space="preserve"> emisiones</w:t>
      </w:r>
      <w:r w:rsidR="005A41B9">
        <w:rPr>
          <w:rFonts w:cs="Arial"/>
          <w:spacing w:val="-3"/>
        </w:rPr>
        <w:t xml:space="preserve"> de GEI</w:t>
      </w:r>
      <w:r w:rsidRPr="00DE6737">
        <w:rPr>
          <w:rFonts w:cs="Arial"/>
          <w:spacing w:val="-3"/>
        </w:rPr>
        <w:t>.</w:t>
      </w:r>
    </w:p>
    <w:p w14:paraId="4D4E6AC0" w14:textId="77777777" w:rsidR="00570EC4" w:rsidRPr="00E64F04" w:rsidRDefault="00570EC4" w:rsidP="00E64F04">
      <w:pPr>
        <w:rPr>
          <w:rFonts w:cs="Arial"/>
          <w:spacing w:val="-3"/>
        </w:rPr>
      </w:pPr>
    </w:p>
    <w:p w14:paraId="3693B1AF" w14:textId="06DF9218" w:rsidR="00644C73" w:rsidRDefault="00570EC4" w:rsidP="00B369D9">
      <w:pPr>
        <w:pStyle w:val="Prrafodelista"/>
        <w:numPr>
          <w:ilvl w:val="0"/>
          <w:numId w:val="781"/>
        </w:numPr>
        <w:tabs>
          <w:tab w:val="left" w:pos="-2268"/>
        </w:tabs>
        <w:suppressAutoHyphens/>
        <w:ind w:left="567" w:hanging="567"/>
        <w:rPr>
          <w:lang w:val="es-CO"/>
        </w:rPr>
      </w:pPr>
      <w:r w:rsidRPr="00E64F04">
        <w:rPr>
          <w:lang w:val="es-CO"/>
        </w:rPr>
        <w:t xml:space="preserve">Definir supuestos </w:t>
      </w:r>
      <w:r w:rsidR="002A2CEB">
        <w:rPr>
          <w:lang w:val="es-CO"/>
        </w:rPr>
        <w:t xml:space="preserve">y parámetros </w:t>
      </w:r>
      <w:r w:rsidRPr="00E64F04">
        <w:rPr>
          <w:lang w:val="es-CO"/>
        </w:rPr>
        <w:t xml:space="preserve">de comparación, describiendo y documentando para ambos escenarios y por etapa del proyecto </w:t>
      </w:r>
      <w:r w:rsidR="00617EE7">
        <w:rPr>
          <w:lang w:val="es-CO"/>
        </w:rPr>
        <w:t xml:space="preserve">lo siguiente: i) </w:t>
      </w:r>
      <w:r w:rsidRPr="00E64F04">
        <w:rPr>
          <w:lang w:val="es-CO"/>
        </w:rPr>
        <w:t>el alcance de la estimación (fuentes, actividades y procesos incluidos y excluidos)</w:t>
      </w:r>
      <w:r w:rsidR="00163C69">
        <w:rPr>
          <w:lang w:val="es-CO"/>
        </w:rPr>
        <w:t>;</w:t>
      </w:r>
      <w:r w:rsidRPr="00E64F04">
        <w:rPr>
          <w:lang w:val="es-CO"/>
        </w:rPr>
        <w:t xml:space="preserve"> </w:t>
      </w:r>
      <w:r w:rsidR="00163C69">
        <w:rPr>
          <w:lang w:val="es-CO"/>
        </w:rPr>
        <w:t xml:space="preserve">ii) </w:t>
      </w:r>
      <w:r w:rsidR="00DC3C2A">
        <w:rPr>
          <w:lang w:val="es-CO"/>
        </w:rPr>
        <w:t>sus</w:t>
      </w:r>
      <w:r w:rsidRPr="00E64F04">
        <w:rPr>
          <w:lang w:val="es-CO"/>
        </w:rPr>
        <w:t xml:space="preserve"> límites (procesos considerados dentro y fuera del proyecto)</w:t>
      </w:r>
      <w:r w:rsidR="00163C69">
        <w:rPr>
          <w:lang w:val="es-CO"/>
        </w:rPr>
        <w:t>;</w:t>
      </w:r>
      <w:r w:rsidR="00C315CD">
        <w:rPr>
          <w:lang w:val="es-CO"/>
        </w:rPr>
        <w:t xml:space="preserve"> iii)</w:t>
      </w:r>
      <w:r w:rsidRPr="00E64F04">
        <w:rPr>
          <w:lang w:val="es-CO"/>
        </w:rPr>
        <w:t xml:space="preserve"> el periodo de análisis (etapas de construcción</w:t>
      </w:r>
      <w:r w:rsidR="00F80CCA">
        <w:rPr>
          <w:lang w:val="es-CO"/>
        </w:rPr>
        <w:t>,</w:t>
      </w:r>
      <w:r w:rsidRPr="00E64F04">
        <w:rPr>
          <w:lang w:val="es-CO"/>
        </w:rPr>
        <w:t xml:space="preserve"> operación –empleando un año representativo</w:t>
      </w:r>
      <w:r w:rsidR="00C034D5" w:rsidRPr="0078417B">
        <w:rPr>
          <w:vertAlign w:val="superscript"/>
          <w:lang w:val="es-CO"/>
        </w:rPr>
        <w:footnoteReference w:id="271"/>
      </w:r>
      <w:r w:rsidRPr="00E64F04">
        <w:rPr>
          <w:lang w:val="es-CO"/>
        </w:rPr>
        <w:t xml:space="preserve"> para esta etapa- y</w:t>
      </w:r>
      <w:r w:rsidR="00C034D5">
        <w:rPr>
          <w:lang w:val="es-CO"/>
        </w:rPr>
        <w:t xml:space="preserve"> </w:t>
      </w:r>
      <w:r w:rsidRPr="00E64F04">
        <w:rPr>
          <w:lang w:val="es-CO"/>
        </w:rPr>
        <w:t>desmantelamiento y cierre ambiental</w:t>
      </w:r>
      <w:r w:rsidR="00C034D5">
        <w:rPr>
          <w:lang w:val="es-CO"/>
        </w:rPr>
        <w:t xml:space="preserve">, según </w:t>
      </w:r>
      <w:r w:rsidR="00C034D5" w:rsidRPr="0078417B">
        <w:rPr>
          <w:lang w:val="es-CO"/>
        </w:rPr>
        <w:t>aplique</w:t>
      </w:r>
      <w:r w:rsidRPr="00E64F04">
        <w:rPr>
          <w:lang w:val="es-CO"/>
        </w:rPr>
        <w:t>) y</w:t>
      </w:r>
      <w:r w:rsidR="008B7EC4">
        <w:rPr>
          <w:lang w:val="es-CO"/>
        </w:rPr>
        <w:t xml:space="preserve">; iv) </w:t>
      </w:r>
      <w:r w:rsidRPr="00E64F04">
        <w:rPr>
          <w:lang w:val="es-CO"/>
        </w:rPr>
        <w:t>los supuestos y parámetros que condicionan los resultados (p. ej. demanda energética, horas de operación, factores de carga, vida útil, rendimientos, distancias, consumos específicos y tasas de reemplazo); esto permite comparar los escenarios BAU y proyecto mediante criterios equivalentes.</w:t>
      </w:r>
    </w:p>
    <w:p w14:paraId="33089447" w14:textId="77777777" w:rsidR="00644C73" w:rsidRDefault="00644C73" w:rsidP="00644C73">
      <w:pPr>
        <w:pStyle w:val="Prrafodelista"/>
        <w:tabs>
          <w:tab w:val="left" w:pos="-2268"/>
        </w:tabs>
        <w:suppressAutoHyphens/>
        <w:ind w:left="567"/>
        <w:rPr>
          <w:lang w:val="es-CO"/>
        </w:rPr>
      </w:pPr>
    </w:p>
    <w:p w14:paraId="546219B8" w14:textId="250C9579" w:rsidR="00570EC4" w:rsidRPr="00E64F04" w:rsidRDefault="00570EC4" w:rsidP="00E64F04">
      <w:pPr>
        <w:pStyle w:val="Prrafodelista"/>
        <w:tabs>
          <w:tab w:val="left" w:pos="-2268"/>
        </w:tabs>
        <w:suppressAutoHyphens/>
        <w:ind w:left="567"/>
        <w:rPr>
          <w:lang w:val="es-CO"/>
        </w:rPr>
      </w:pPr>
      <w:r w:rsidRPr="00E64F04">
        <w:rPr>
          <w:lang w:val="es-CO"/>
        </w:rPr>
        <w:lastRenderedPageBreak/>
        <w:t>Para cada supuesto o parámetro se debe indicar la fuente de información y el sustento técnico y, cuando aplique, el rango o criterio de selección adoptado</w:t>
      </w:r>
      <w:r w:rsidR="0002754A">
        <w:rPr>
          <w:lang w:val="es-CO"/>
        </w:rPr>
        <w:t xml:space="preserve"> a fin de asegurar </w:t>
      </w:r>
      <w:r w:rsidRPr="00E64F04">
        <w:rPr>
          <w:lang w:val="es-CO"/>
        </w:rPr>
        <w:t>que el ejercicio sea verificable.</w:t>
      </w:r>
    </w:p>
    <w:p w14:paraId="52819D1B" w14:textId="77777777" w:rsidR="00570EC4" w:rsidRDefault="00570EC4" w:rsidP="00570EC4">
      <w:pPr>
        <w:rPr>
          <w:rFonts w:cs="Arial"/>
          <w:spacing w:val="-3"/>
        </w:rPr>
      </w:pPr>
    </w:p>
    <w:p w14:paraId="5174F8E9" w14:textId="77777777" w:rsidR="00570EC4" w:rsidRPr="00E64F04" w:rsidRDefault="00570EC4" w:rsidP="00E64F04">
      <w:pPr>
        <w:pStyle w:val="Prrafodelista"/>
        <w:numPr>
          <w:ilvl w:val="0"/>
          <w:numId w:val="781"/>
        </w:numPr>
        <w:tabs>
          <w:tab w:val="left" w:pos="-2268"/>
        </w:tabs>
        <w:suppressAutoHyphens/>
        <w:ind w:left="567" w:hanging="567"/>
        <w:rPr>
          <w:lang w:val="es-CO"/>
        </w:rPr>
      </w:pPr>
      <w:r w:rsidRPr="00E64F04">
        <w:rPr>
          <w:lang w:val="es-CO"/>
        </w:rPr>
        <w:t>Cuantificar y presentar las emisiones evitadas de la siguiente forma:</w:t>
      </w:r>
    </w:p>
    <w:p w14:paraId="0F7DF643" w14:textId="77777777" w:rsidR="00570EC4" w:rsidRPr="0078417B" w:rsidRDefault="00570EC4" w:rsidP="00570EC4">
      <w:pPr>
        <w:rPr>
          <w:rFonts w:cs="Arial"/>
          <w:spacing w:val="-3"/>
          <w:lang w:val="es-ES_tradnl"/>
        </w:rPr>
      </w:pPr>
    </w:p>
    <w:p w14:paraId="70CC34CE" w14:textId="7CADB4E8" w:rsidR="00771AF0" w:rsidRPr="00E64F04" w:rsidRDefault="00771AF0" w:rsidP="00771AF0">
      <w:pPr>
        <w:ind w:left="567"/>
        <w:rPr>
          <w:rFonts w:eastAsiaTheme="majorEastAsia" w:cs="Arial"/>
        </w:rPr>
      </w:pPr>
      <m:oMathPara>
        <m:oMath>
          <m:r>
            <w:rPr>
              <w:rFonts w:ascii="Cambria Math" w:eastAsiaTheme="majorEastAsia" w:hAnsi="Cambria Math" w:cs="Arial"/>
            </w:rPr>
            <m:t>Emisiones evitadas=Emisiones BAU-Emisiones con proyecto</m:t>
          </m:r>
        </m:oMath>
      </m:oMathPara>
    </w:p>
    <w:p w14:paraId="68AAAEDF" w14:textId="77777777" w:rsidR="00771AF0" w:rsidRDefault="00771AF0" w:rsidP="00771AF0">
      <w:pPr>
        <w:ind w:left="567"/>
        <w:rPr>
          <w:rFonts w:eastAsiaTheme="majorEastAsia" w:cs="Arial"/>
          <w:i/>
          <w:iCs/>
        </w:rPr>
      </w:pPr>
    </w:p>
    <w:p w14:paraId="70A32FD9" w14:textId="43D11F1B" w:rsidR="00570EC4" w:rsidRDefault="00991B68" w:rsidP="00E64F04">
      <w:pPr>
        <w:ind w:left="567"/>
        <w:rPr>
          <w:rFonts w:cs="Arial"/>
          <w:spacing w:val="-3"/>
        </w:rPr>
      </w:pPr>
      <w:r>
        <w:rPr>
          <w:rFonts w:cs="Arial"/>
          <w:spacing w:val="-3"/>
        </w:rPr>
        <w:t xml:space="preserve">La </w:t>
      </w:r>
      <w:r w:rsidR="00570EC4">
        <w:rPr>
          <w:rFonts w:cs="Arial"/>
          <w:spacing w:val="-3"/>
        </w:rPr>
        <w:t>e</w:t>
      </w:r>
      <w:r w:rsidR="00570EC4" w:rsidRPr="004345FC">
        <w:rPr>
          <w:rFonts w:cs="Arial"/>
          <w:spacing w:val="-3"/>
        </w:rPr>
        <w:t>stima</w:t>
      </w:r>
      <w:r>
        <w:rPr>
          <w:rFonts w:cs="Arial"/>
          <w:spacing w:val="-3"/>
        </w:rPr>
        <w:t xml:space="preserve">ción de </w:t>
      </w:r>
      <w:r w:rsidR="00570EC4" w:rsidRPr="004345FC">
        <w:rPr>
          <w:rFonts w:cs="Arial"/>
          <w:spacing w:val="-3"/>
        </w:rPr>
        <w:t xml:space="preserve">las emisiones </w:t>
      </w:r>
      <w:r w:rsidR="002833AC">
        <w:rPr>
          <w:rFonts w:cs="Arial"/>
          <w:spacing w:val="-3"/>
        </w:rPr>
        <w:t xml:space="preserve">generadas en </w:t>
      </w:r>
      <w:r w:rsidR="001E26B5">
        <w:rPr>
          <w:rFonts w:cs="Arial"/>
          <w:spacing w:val="-3"/>
        </w:rPr>
        <w:t xml:space="preserve">las etapas </w:t>
      </w:r>
      <w:r w:rsidR="00570EC4">
        <w:rPr>
          <w:rFonts w:cs="Arial"/>
          <w:spacing w:val="-3"/>
        </w:rPr>
        <w:t>d</w:t>
      </w:r>
      <w:r w:rsidR="00570EC4" w:rsidRPr="004345FC">
        <w:rPr>
          <w:rFonts w:cs="Arial"/>
          <w:spacing w:val="-3"/>
        </w:rPr>
        <w:t xml:space="preserve">el escenario con proyecto </w:t>
      </w:r>
      <w:r w:rsidR="00570EC4">
        <w:rPr>
          <w:rFonts w:cs="Arial"/>
          <w:spacing w:val="-3"/>
        </w:rPr>
        <w:t xml:space="preserve">debe </w:t>
      </w:r>
      <w:r>
        <w:rPr>
          <w:rFonts w:cs="Arial"/>
          <w:spacing w:val="-3"/>
        </w:rPr>
        <w:t xml:space="preserve">partir de </w:t>
      </w:r>
      <w:r w:rsidR="00570EC4">
        <w:rPr>
          <w:rFonts w:cs="Arial"/>
          <w:spacing w:val="-3"/>
        </w:rPr>
        <w:t xml:space="preserve">su </w:t>
      </w:r>
      <w:r w:rsidR="00570EC4" w:rsidRPr="004345FC">
        <w:rPr>
          <w:rFonts w:cs="Arial"/>
          <w:spacing w:val="-3"/>
        </w:rPr>
        <w:t xml:space="preserve">configuración </w:t>
      </w:r>
      <w:r w:rsidR="00A348F8">
        <w:rPr>
          <w:rFonts w:cs="Arial"/>
          <w:spacing w:val="-3"/>
        </w:rPr>
        <w:t xml:space="preserve">específica </w:t>
      </w:r>
      <w:r w:rsidR="00570EC4" w:rsidRPr="004345FC">
        <w:rPr>
          <w:rFonts w:cs="Arial"/>
          <w:spacing w:val="-3"/>
        </w:rPr>
        <w:t>de diseño</w:t>
      </w:r>
      <w:r w:rsidR="00C60334">
        <w:rPr>
          <w:rFonts w:cs="Arial"/>
          <w:spacing w:val="-3"/>
        </w:rPr>
        <w:t>,</w:t>
      </w:r>
      <w:r w:rsidR="00570EC4" w:rsidRPr="004345FC">
        <w:rPr>
          <w:rFonts w:cs="Arial"/>
          <w:spacing w:val="-3"/>
        </w:rPr>
        <w:t xml:space="preserve"> tecnología</w:t>
      </w:r>
      <w:r w:rsidR="00C60334">
        <w:rPr>
          <w:rFonts w:cs="Arial"/>
          <w:spacing w:val="-3"/>
        </w:rPr>
        <w:t xml:space="preserve"> </w:t>
      </w:r>
      <w:r w:rsidR="00C60334" w:rsidRPr="00DE6737">
        <w:rPr>
          <w:rFonts w:cs="Arial"/>
          <w:spacing w:val="-3"/>
        </w:rPr>
        <w:t xml:space="preserve">y </w:t>
      </w:r>
      <w:r w:rsidR="00C60334">
        <w:rPr>
          <w:rFonts w:cs="Arial"/>
          <w:spacing w:val="-3"/>
        </w:rPr>
        <w:t>localización (o trazado)</w:t>
      </w:r>
      <w:r w:rsidR="00A46384">
        <w:rPr>
          <w:rFonts w:cs="Arial"/>
          <w:spacing w:val="-3"/>
        </w:rPr>
        <w:t>, considerando lo siguiente</w:t>
      </w:r>
      <w:r w:rsidR="002833AC">
        <w:rPr>
          <w:rFonts w:cs="Arial"/>
          <w:spacing w:val="-3"/>
        </w:rPr>
        <w:t>:</w:t>
      </w:r>
    </w:p>
    <w:p w14:paraId="3F6F7ABD" w14:textId="77777777" w:rsidR="00570EC4" w:rsidRPr="0078417B" w:rsidRDefault="00570EC4" w:rsidP="00570EC4">
      <w:pPr>
        <w:rPr>
          <w:rFonts w:cs="Arial"/>
          <w:spacing w:val="-3"/>
        </w:rPr>
      </w:pPr>
    </w:p>
    <w:p w14:paraId="32C47582" w14:textId="4D0B6823" w:rsidR="00570EC4" w:rsidRDefault="00570EC4" w:rsidP="00A348F8">
      <w:pPr>
        <w:numPr>
          <w:ilvl w:val="0"/>
          <w:numId w:val="757"/>
        </w:numPr>
        <w:ind w:left="567" w:hanging="567"/>
        <w:rPr>
          <w:rFonts w:cs="Arial"/>
          <w:spacing w:val="-3"/>
        </w:rPr>
      </w:pPr>
      <w:r w:rsidRPr="00E64F04">
        <w:rPr>
          <w:rFonts w:cs="Arial"/>
          <w:spacing w:val="-3"/>
        </w:rPr>
        <w:t>Para construcción</w:t>
      </w:r>
      <w:r w:rsidR="00E95E0E">
        <w:rPr>
          <w:rFonts w:cs="Arial"/>
          <w:spacing w:val="-3"/>
        </w:rPr>
        <w:t xml:space="preserve"> y desmantelamiento y cierre ambiental</w:t>
      </w:r>
      <w:r w:rsidRPr="00E64F04">
        <w:rPr>
          <w:rFonts w:cs="Arial"/>
          <w:spacing w:val="-3"/>
        </w:rPr>
        <w:t>, por año o por duración de la etapa, de acuerdo con el cronograma de obras.</w:t>
      </w:r>
    </w:p>
    <w:p w14:paraId="2A579AC8" w14:textId="77777777" w:rsidR="00A348F8" w:rsidRPr="00E64F04" w:rsidRDefault="00A348F8" w:rsidP="00E64F04">
      <w:pPr>
        <w:rPr>
          <w:rFonts w:cs="Arial"/>
          <w:spacing w:val="-3"/>
        </w:rPr>
      </w:pPr>
    </w:p>
    <w:p w14:paraId="35DCD5B1" w14:textId="77777777" w:rsidR="00570EC4" w:rsidRPr="00E64F04" w:rsidRDefault="00570EC4" w:rsidP="00E64F04">
      <w:pPr>
        <w:numPr>
          <w:ilvl w:val="0"/>
          <w:numId w:val="757"/>
        </w:numPr>
        <w:ind w:left="567" w:hanging="567"/>
        <w:rPr>
          <w:rFonts w:cs="Arial"/>
          <w:spacing w:val="-3"/>
        </w:rPr>
      </w:pPr>
      <w:r w:rsidRPr="00E64F04">
        <w:rPr>
          <w:rFonts w:cs="Arial"/>
          <w:spacing w:val="-3"/>
        </w:rPr>
        <w:t>Para operación, como mínimo para un año representativo de operación (p. ej. primer año) y, cuando sea pertinente, para hitos de cambio de capacidad o tecnología.</w:t>
      </w:r>
    </w:p>
    <w:p w14:paraId="5EAEC440" w14:textId="77777777" w:rsidR="00570EC4" w:rsidRDefault="00570EC4" w:rsidP="00750796">
      <w:pPr>
        <w:rPr>
          <w:rFonts w:cs="Arial"/>
          <w:spacing w:val="-3"/>
        </w:rPr>
      </w:pPr>
    </w:p>
    <w:p w14:paraId="1A94A72A" w14:textId="5FCD3673" w:rsidR="00750796" w:rsidRPr="004E4C01" w:rsidRDefault="00750796" w:rsidP="00750796">
      <w:pPr>
        <w:rPr>
          <w:rFonts w:cs="Arial"/>
          <w:spacing w:val="-3"/>
        </w:rPr>
      </w:pPr>
      <w:r w:rsidRPr="004E4C01">
        <w:rPr>
          <w:rFonts w:cs="Arial"/>
          <w:spacing w:val="-3"/>
        </w:rPr>
        <w:t>Las medidas de mitigación de GEI que se formulen deben tener el propósito de disminuir la cantidad de emisiones de GEI que se generarían con la ejecución del proyecto, obra o actividad. Cuando no sea posible mitigar las emisiones de GEI del proyecto y sólo como último recurso, es posible formular medidas de compensación de GEI que incrementen la cantidad de GEI asimilada en el área de influencia.</w:t>
      </w:r>
    </w:p>
    <w:p w14:paraId="53DDADA1" w14:textId="77777777" w:rsidR="00750796" w:rsidRPr="004E4C01" w:rsidRDefault="00750796" w:rsidP="00750796">
      <w:pPr>
        <w:rPr>
          <w:rFonts w:cs="Arial"/>
          <w:spacing w:val="-3"/>
        </w:rPr>
      </w:pPr>
    </w:p>
    <w:p w14:paraId="7A5ADC3E" w14:textId="77777777" w:rsidR="00750796" w:rsidRPr="004E4C01" w:rsidRDefault="00750796" w:rsidP="00750796">
      <w:pPr>
        <w:rPr>
          <w:rFonts w:cs="Arial"/>
          <w:spacing w:val="-3"/>
        </w:rPr>
      </w:pPr>
      <w:r w:rsidRPr="004E4C01">
        <w:rPr>
          <w:rFonts w:cs="Arial"/>
          <w:spacing w:val="-3"/>
        </w:rPr>
        <w:t>Las compensaciones fijadas desde el Plan de compensaciones del medio biótico y el Plan de manejo ambiental no pueden emplearse para compensar las emisiones de GEI; el incremento en la cantidad de GEI asimilada en el área de influencia mediante las medidas de compensación de GEI debe ser adicional a la que se logra con las compensaciones de del medio biótico y del PMA.</w:t>
      </w:r>
    </w:p>
    <w:p w14:paraId="0AC01FCD" w14:textId="77777777" w:rsidR="00750796" w:rsidRPr="004E4C01" w:rsidRDefault="00750796" w:rsidP="00750796">
      <w:pPr>
        <w:rPr>
          <w:rFonts w:cs="Arial"/>
          <w:spacing w:val="-3"/>
        </w:rPr>
      </w:pPr>
    </w:p>
    <w:p w14:paraId="0790B6E5" w14:textId="77777777" w:rsidR="00750796" w:rsidRPr="004E4C01" w:rsidRDefault="00750796" w:rsidP="00750796">
      <w:pPr>
        <w:rPr>
          <w:rFonts w:cs="Arial"/>
          <w:spacing w:val="-3"/>
        </w:rPr>
      </w:pPr>
      <w:r w:rsidRPr="004E4C01">
        <w:rPr>
          <w:rFonts w:cs="Arial"/>
          <w:spacing w:val="-3"/>
        </w:rPr>
        <w:t>Se debe especificar para cada medida, si corresponde a mitigación de GEI o a compensación de GEI.</w:t>
      </w:r>
    </w:p>
    <w:p w14:paraId="55C5243D" w14:textId="77777777" w:rsidR="00750796" w:rsidRPr="004E4C01" w:rsidRDefault="00750796" w:rsidP="00750796">
      <w:pPr>
        <w:rPr>
          <w:rFonts w:cs="Arial"/>
          <w:spacing w:val="-3"/>
        </w:rPr>
      </w:pPr>
    </w:p>
    <w:p w14:paraId="070C2915" w14:textId="4EC283B8" w:rsidR="00750796" w:rsidRPr="004E4C01" w:rsidRDefault="00750796" w:rsidP="00750796">
      <w:pPr>
        <w:rPr>
          <w:rFonts w:cs="Arial"/>
          <w:spacing w:val="-3"/>
        </w:rPr>
      </w:pPr>
      <w:r w:rsidRPr="004E4C01">
        <w:rPr>
          <w:rFonts w:cs="Arial"/>
          <w:spacing w:val="-3"/>
        </w:rPr>
        <w:t>Por otra parte, se deben establecer metas de mitigación de GEI para cada etapa del proyecto, considerando las emisiones basadas en las estimaciones derivadas del uso de combustibles, tanto fósiles como biomasa, en todas las fuentes estacionarias, fugitivas y móviles</w:t>
      </w:r>
      <w:r w:rsidRPr="004E4C01">
        <w:rPr>
          <w:rFonts w:cs="Arial"/>
          <w:spacing w:val="-3"/>
          <w:vertAlign w:val="superscript"/>
        </w:rPr>
        <w:footnoteReference w:id="272"/>
      </w:r>
      <w:r w:rsidRPr="004E4C01">
        <w:rPr>
          <w:rFonts w:cs="Arial"/>
          <w:spacing w:val="-3"/>
        </w:rPr>
        <w:t xml:space="preserve">; las emisiones asociadas a energía comprada o adquirida; las emisiones </w:t>
      </w:r>
      <w:r w:rsidRPr="004E4C01">
        <w:rPr>
          <w:rFonts w:cs="Arial"/>
          <w:spacing w:val="-3"/>
        </w:rPr>
        <w:lastRenderedPageBreak/>
        <w:t>generadas en procesos industriales y de fabricación, ya sean realizados in situ o contratados por el proyecto, así como otras emisiones indirectas significativas de GEI</w:t>
      </w:r>
      <w:r w:rsidRPr="004E4C01">
        <w:rPr>
          <w:rFonts w:cs="Arial"/>
          <w:spacing w:val="-3"/>
          <w:vertAlign w:val="superscript"/>
        </w:rPr>
        <w:footnoteReference w:id="273"/>
      </w:r>
      <w:r w:rsidRPr="004E4C01">
        <w:rPr>
          <w:rFonts w:cs="Arial"/>
          <w:spacing w:val="-3"/>
        </w:rPr>
        <w:t>.</w:t>
      </w:r>
    </w:p>
    <w:p w14:paraId="212492C7" w14:textId="77777777" w:rsidR="0060101A" w:rsidRPr="004E4C01" w:rsidRDefault="0060101A" w:rsidP="00750796">
      <w:pPr>
        <w:rPr>
          <w:rFonts w:cs="Arial"/>
          <w:spacing w:val="-3"/>
        </w:rPr>
      </w:pPr>
    </w:p>
    <w:p w14:paraId="62501532" w14:textId="77777777" w:rsidR="00750796" w:rsidRPr="004E4C01" w:rsidRDefault="00750796" w:rsidP="00750796">
      <w:pPr>
        <w:rPr>
          <w:rFonts w:cs="Arial"/>
          <w:spacing w:val="-3"/>
        </w:rPr>
      </w:pPr>
      <w:r w:rsidRPr="004E4C01">
        <w:rPr>
          <w:rFonts w:cs="Arial"/>
          <w:spacing w:val="-3"/>
        </w:rPr>
        <w:t>Las metas de mitigación se establecen a partir de la diferencia que resulte entre la emisión de GEI para el escenario BAU</w:t>
      </w:r>
      <w:r w:rsidRPr="00127BD4">
        <w:rPr>
          <w:rFonts w:cs="Arial"/>
          <w:spacing w:val="-3"/>
          <w:vertAlign w:val="superscript"/>
        </w:rPr>
        <w:footnoteReference w:id="274"/>
      </w:r>
      <w:r w:rsidRPr="004E4C01">
        <w:rPr>
          <w:rFonts w:cs="Arial"/>
          <w:spacing w:val="-3"/>
        </w:rPr>
        <w:t xml:space="preserve"> (escenario de ejecución del proyecto sin medidas de mitigación de GEI) y la emisión de GEI para el escenario de ejecución del proyecto con la aplicación de medidas de mitigación. Se debe especificar la metodología utilizada para la proyección de las emisiones en los escenarios con y sin medidas a partir de la mejor información disponible</w:t>
      </w:r>
      <w:r w:rsidRPr="004E4C01">
        <w:rPr>
          <w:rFonts w:cs="Arial"/>
          <w:spacing w:val="-3"/>
          <w:vertAlign w:val="superscript"/>
        </w:rPr>
        <w:footnoteReference w:id="275"/>
      </w:r>
      <w:r w:rsidRPr="004E4C01">
        <w:rPr>
          <w:rFonts w:cs="Arial"/>
          <w:spacing w:val="-3"/>
        </w:rPr>
        <w:t>.</w:t>
      </w:r>
    </w:p>
    <w:p w14:paraId="354A1421" w14:textId="77777777" w:rsidR="00750796" w:rsidRPr="004E4C01" w:rsidRDefault="00750796" w:rsidP="00750796">
      <w:pPr>
        <w:rPr>
          <w:rFonts w:cs="Arial"/>
          <w:spacing w:val="-3"/>
        </w:rPr>
      </w:pPr>
    </w:p>
    <w:p w14:paraId="75F2FE37" w14:textId="77777777" w:rsidR="00750796" w:rsidRPr="004E4C01" w:rsidRDefault="00750796" w:rsidP="00750796">
      <w:pPr>
        <w:rPr>
          <w:rFonts w:cs="Arial"/>
          <w:spacing w:val="-3"/>
        </w:rPr>
      </w:pPr>
      <w:r w:rsidRPr="004E4C01">
        <w:rPr>
          <w:rFonts w:cs="Arial"/>
          <w:spacing w:val="-3"/>
        </w:rPr>
        <w:t>Para cada una de las medidas se debe establecer lo siguiente:</w:t>
      </w:r>
    </w:p>
    <w:p w14:paraId="060F8815" w14:textId="77777777" w:rsidR="00750796" w:rsidRPr="004E4C01" w:rsidRDefault="00750796" w:rsidP="00750796">
      <w:pPr>
        <w:rPr>
          <w:rFonts w:cs="Arial"/>
          <w:spacing w:val="-3"/>
        </w:rPr>
      </w:pPr>
    </w:p>
    <w:p w14:paraId="1CE44A19" w14:textId="77777777" w:rsidR="00750796" w:rsidRPr="004E4C01" w:rsidRDefault="00750796" w:rsidP="00127BD4">
      <w:pPr>
        <w:numPr>
          <w:ilvl w:val="0"/>
          <w:numId w:val="51"/>
        </w:numPr>
        <w:ind w:left="567" w:hanging="567"/>
        <w:rPr>
          <w:rFonts w:cs="Arial"/>
          <w:spacing w:val="-3"/>
        </w:rPr>
      </w:pPr>
      <w:r w:rsidRPr="004E4C01">
        <w:rPr>
          <w:rFonts w:cs="Arial"/>
          <w:spacing w:val="-3"/>
        </w:rPr>
        <w:t>Nombre.</w:t>
      </w:r>
    </w:p>
    <w:p w14:paraId="7CFB6AF5" w14:textId="77777777" w:rsidR="00750796" w:rsidRPr="004E4C01" w:rsidRDefault="00750796" w:rsidP="00127BD4">
      <w:pPr>
        <w:ind w:left="567" w:hanging="567"/>
        <w:rPr>
          <w:rFonts w:cs="Arial"/>
          <w:spacing w:val="-3"/>
        </w:rPr>
      </w:pPr>
    </w:p>
    <w:p w14:paraId="54433CF4" w14:textId="77777777" w:rsidR="00750796" w:rsidRPr="00127BD4" w:rsidRDefault="00750796" w:rsidP="00127BD4">
      <w:pPr>
        <w:numPr>
          <w:ilvl w:val="0"/>
          <w:numId w:val="51"/>
        </w:numPr>
        <w:ind w:left="567" w:hanging="567"/>
        <w:rPr>
          <w:rFonts w:cs="Arial"/>
          <w:spacing w:val="-3"/>
        </w:rPr>
      </w:pPr>
      <w:r w:rsidRPr="004E4C01">
        <w:rPr>
          <w:rFonts w:cs="Arial"/>
          <w:spacing w:val="-3"/>
        </w:rPr>
        <w:t>Objetivo (disminución de emisiones de GEI o incremento de GEI almacenado sumideros o reservorios en el área de influencia).</w:t>
      </w:r>
    </w:p>
    <w:p w14:paraId="32863189" w14:textId="77777777" w:rsidR="00750796" w:rsidRPr="00127BD4" w:rsidRDefault="00750796" w:rsidP="00127BD4">
      <w:pPr>
        <w:ind w:left="567" w:hanging="567"/>
        <w:rPr>
          <w:rFonts w:cs="Arial"/>
          <w:spacing w:val="-3"/>
        </w:rPr>
      </w:pPr>
    </w:p>
    <w:p w14:paraId="612726E4" w14:textId="77777777" w:rsidR="00750796" w:rsidRPr="00127BD4" w:rsidRDefault="00750796" w:rsidP="00127BD4">
      <w:pPr>
        <w:numPr>
          <w:ilvl w:val="0"/>
          <w:numId w:val="51"/>
        </w:numPr>
        <w:ind w:left="567" w:hanging="567"/>
        <w:rPr>
          <w:rFonts w:cs="Arial"/>
          <w:spacing w:val="-3"/>
        </w:rPr>
      </w:pPr>
      <w:r w:rsidRPr="004E4C01">
        <w:rPr>
          <w:rFonts w:cs="Arial"/>
          <w:spacing w:val="-3"/>
        </w:rPr>
        <w:t>Meta relacionada con cada objetivo en términos del potencial de mitigación (toneladas de CO</w:t>
      </w:r>
      <w:r w:rsidRPr="004E4C01">
        <w:rPr>
          <w:rFonts w:cs="Arial"/>
          <w:spacing w:val="-3"/>
          <w:vertAlign w:val="subscript"/>
        </w:rPr>
        <w:t>2e</w:t>
      </w:r>
      <w:r w:rsidRPr="004E4C01">
        <w:rPr>
          <w:rFonts w:cs="Arial"/>
          <w:spacing w:val="-3"/>
        </w:rPr>
        <w:t>). Deben especificar los resultados finales y parciales esperados mediante la aplicación de la medida para cada fuente identificada en el inventario de emisiones de GEI.</w:t>
      </w:r>
    </w:p>
    <w:p w14:paraId="360BD5AA" w14:textId="77777777" w:rsidR="00750796" w:rsidRPr="004E4C01" w:rsidRDefault="00750796" w:rsidP="00127BD4">
      <w:pPr>
        <w:ind w:left="567" w:hanging="567"/>
        <w:rPr>
          <w:rFonts w:cs="Arial"/>
          <w:spacing w:val="-3"/>
        </w:rPr>
      </w:pPr>
    </w:p>
    <w:p w14:paraId="7F10B69E" w14:textId="77777777" w:rsidR="00750796" w:rsidRPr="00127BD4" w:rsidRDefault="00750796" w:rsidP="00127BD4">
      <w:pPr>
        <w:numPr>
          <w:ilvl w:val="0"/>
          <w:numId w:val="51"/>
        </w:numPr>
        <w:ind w:left="567" w:hanging="567"/>
        <w:rPr>
          <w:rFonts w:cs="Arial"/>
          <w:spacing w:val="-3"/>
        </w:rPr>
      </w:pPr>
      <w:r w:rsidRPr="004E4C01">
        <w:rPr>
          <w:rFonts w:cs="Arial"/>
          <w:spacing w:val="-3"/>
        </w:rPr>
        <w:t>Descripción de la medida y sus acciones (breve descripción de las actividades mediante las que se desarrolla la medida y sus acciones).</w:t>
      </w:r>
    </w:p>
    <w:p w14:paraId="3F3ABFC3" w14:textId="77777777" w:rsidR="00750796" w:rsidRPr="004E4C01" w:rsidRDefault="00750796" w:rsidP="00127BD4">
      <w:pPr>
        <w:ind w:left="567" w:hanging="567"/>
        <w:rPr>
          <w:rFonts w:cs="Arial"/>
          <w:spacing w:val="-3"/>
        </w:rPr>
      </w:pPr>
    </w:p>
    <w:p w14:paraId="4BDB7920" w14:textId="77777777" w:rsidR="00750796" w:rsidRPr="00127BD4" w:rsidRDefault="00750796" w:rsidP="00127BD4">
      <w:pPr>
        <w:numPr>
          <w:ilvl w:val="0"/>
          <w:numId w:val="51"/>
        </w:numPr>
        <w:ind w:left="567" w:hanging="567"/>
        <w:rPr>
          <w:rFonts w:cs="Arial"/>
          <w:spacing w:val="-3"/>
        </w:rPr>
      </w:pPr>
      <w:r w:rsidRPr="004E4C01">
        <w:rPr>
          <w:rFonts w:cs="Arial"/>
          <w:spacing w:val="-3"/>
        </w:rPr>
        <w:t>Limitantes de implementación de la medida.</w:t>
      </w:r>
    </w:p>
    <w:p w14:paraId="3DC29FEF" w14:textId="77777777" w:rsidR="00750796" w:rsidRPr="004E4C01" w:rsidRDefault="00750796" w:rsidP="00127BD4">
      <w:pPr>
        <w:ind w:left="567" w:hanging="567"/>
        <w:rPr>
          <w:rFonts w:cs="Arial"/>
          <w:spacing w:val="-3"/>
        </w:rPr>
      </w:pPr>
    </w:p>
    <w:p w14:paraId="6E7E6F76" w14:textId="77777777" w:rsidR="00750796" w:rsidRPr="00127BD4" w:rsidRDefault="00750796" w:rsidP="00127BD4">
      <w:pPr>
        <w:numPr>
          <w:ilvl w:val="0"/>
          <w:numId w:val="51"/>
        </w:numPr>
        <w:ind w:left="567" w:hanging="567"/>
        <w:rPr>
          <w:rFonts w:cs="Arial"/>
          <w:spacing w:val="-3"/>
        </w:rPr>
      </w:pPr>
      <w:r w:rsidRPr="004E4C01">
        <w:rPr>
          <w:rFonts w:cs="Arial"/>
          <w:spacing w:val="-3"/>
        </w:rPr>
        <w:t>Lugares de implementación.</w:t>
      </w:r>
    </w:p>
    <w:p w14:paraId="0386E154" w14:textId="77777777" w:rsidR="00750796" w:rsidRPr="004E4C01" w:rsidRDefault="00750796" w:rsidP="00127BD4">
      <w:pPr>
        <w:ind w:left="567" w:hanging="567"/>
        <w:rPr>
          <w:rFonts w:cs="Arial"/>
          <w:spacing w:val="-3"/>
        </w:rPr>
      </w:pPr>
    </w:p>
    <w:p w14:paraId="687F16E0" w14:textId="77777777" w:rsidR="00750796" w:rsidRPr="00127BD4" w:rsidRDefault="00750796" w:rsidP="00127BD4">
      <w:pPr>
        <w:numPr>
          <w:ilvl w:val="0"/>
          <w:numId w:val="51"/>
        </w:numPr>
        <w:ind w:left="567" w:hanging="567"/>
        <w:rPr>
          <w:rFonts w:cs="Arial"/>
          <w:spacing w:val="-3"/>
        </w:rPr>
      </w:pPr>
      <w:r w:rsidRPr="004E4C01">
        <w:rPr>
          <w:rFonts w:cs="Arial"/>
          <w:spacing w:val="-3"/>
        </w:rPr>
        <w:t>Beneficios de implementación.</w:t>
      </w:r>
    </w:p>
    <w:p w14:paraId="6E9D7487" w14:textId="77777777" w:rsidR="00750796" w:rsidRPr="004E4C01" w:rsidRDefault="00750796" w:rsidP="00127BD4">
      <w:pPr>
        <w:ind w:left="567" w:hanging="567"/>
        <w:rPr>
          <w:rFonts w:cs="Arial"/>
          <w:spacing w:val="-3"/>
        </w:rPr>
      </w:pPr>
    </w:p>
    <w:p w14:paraId="298C4120" w14:textId="21052220" w:rsidR="00750796" w:rsidRPr="00127BD4" w:rsidRDefault="00697325" w:rsidP="00127BD4">
      <w:pPr>
        <w:numPr>
          <w:ilvl w:val="0"/>
          <w:numId w:val="51"/>
        </w:numPr>
        <w:ind w:left="567" w:hanging="567"/>
        <w:rPr>
          <w:rFonts w:cs="Arial"/>
          <w:spacing w:val="-3"/>
        </w:rPr>
      </w:pPr>
      <w:r>
        <w:rPr>
          <w:spacing w:val="-3"/>
        </w:rPr>
        <w:t>Etapas</w:t>
      </w:r>
      <w:r w:rsidRPr="004E4C01">
        <w:rPr>
          <w:rFonts w:cs="Arial"/>
          <w:spacing w:val="-3"/>
        </w:rPr>
        <w:t xml:space="preserve"> </w:t>
      </w:r>
      <w:r>
        <w:rPr>
          <w:rFonts w:cs="Arial"/>
          <w:spacing w:val="-3"/>
        </w:rPr>
        <w:t>y f</w:t>
      </w:r>
      <w:r w:rsidR="00750796" w:rsidRPr="004E4C01">
        <w:rPr>
          <w:rFonts w:cs="Arial"/>
          <w:spacing w:val="-3"/>
        </w:rPr>
        <w:t>ases del proyecto, obra o actividad en las que se prevé su implementación.</w:t>
      </w:r>
    </w:p>
    <w:p w14:paraId="04AB39A0" w14:textId="77777777" w:rsidR="00750796" w:rsidRPr="004E4C01" w:rsidRDefault="00750796" w:rsidP="00127BD4">
      <w:pPr>
        <w:ind w:left="567" w:hanging="567"/>
        <w:rPr>
          <w:rFonts w:cs="Arial"/>
          <w:spacing w:val="-3"/>
        </w:rPr>
      </w:pPr>
    </w:p>
    <w:p w14:paraId="37CE702A" w14:textId="77777777" w:rsidR="00750796" w:rsidRPr="00127BD4" w:rsidRDefault="00750796" w:rsidP="00127BD4">
      <w:pPr>
        <w:numPr>
          <w:ilvl w:val="0"/>
          <w:numId w:val="51"/>
        </w:numPr>
        <w:ind w:left="567" w:hanging="567"/>
        <w:rPr>
          <w:rFonts w:cs="Arial"/>
          <w:spacing w:val="-3"/>
        </w:rPr>
      </w:pPr>
      <w:r w:rsidRPr="004E4C01">
        <w:rPr>
          <w:rFonts w:cs="Arial"/>
          <w:spacing w:val="-3"/>
        </w:rPr>
        <w:t>Cronograma de implementación, señalando fechas de inicio y finalización.</w:t>
      </w:r>
    </w:p>
    <w:p w14:paraId="05B1C837" w14:textId="77777777" w:rsidR="00750796" w:rsidRPr="004E4C01" w:rsidRDefault="00750796" w:rsidP="00127BD4">
      <w:pPr>
        <w:ind w:left="567" w:hanging="567"/>
        <w:rPr>
          <w:rFonts w:cs="Arial"/>
          <w:spacing w:val="-3"/>
        </w:rPr>
      </w:pPr>
    </w:p>
    <w:p w14:paraId="105A8800" w14:textId="77777777" w:rsidR="00750796" w:rsidRPr="00127BD4" w:rsidRDefault="00750796" w:rsidP="00127BD4">
      <w:pPr>
        <w:numPr>
          <w:ilvl w:val="0"/>
          <w:numId w:val="51"/>
        </w:numPr>
        <w:ind w:left="567" w:hanging="567"/>
        <w:rPr>
          <w:rFonts w:cs="Arial"/>
          <w:spacing w:val="-3"/>
        </w:rPr>
      </w:pPr>
      <w:r w:rsidRPr="004E4C01">
        <w:rPr>
          <w:rFonts w:cs="Arial"/>
          <w:spacing w:val="-3"/>
        </w:rPr>
        <w:t>Estimativo de los recursos (humanos, técnicos y tecnológicos, maquinaria y equipos, materiales, entre otros) y costos necesarios para la implementación de cada acción.</w:t>
      </w:r>
    </w:p>
    <w:p w14:paraId="7C202D4E" w14:textId="77777777" w:rsidR="00750796" w:rsidRPr="004E4C01" w:rsidRDefault="00750796" w:rsidP="00127BD4">
      <w:pPr>
        <w:ind w:left="567" w:hanging="567"/>
        <w:rPr>
          <w:rFonts w:cs="Arial"/>
          <w:spacing w:val="-3"/>
        </w:rPr>
      </w:pPr>
    </w:p>
    <w:p w14:paraId="79770A36" w14:textId="77777777" w:rsidR="00750796" w:rsidRPr="004E4C01" w:rsidRDefault="00750796" w:rsidP="00127BD4">
      <w:pPr>
        <w:numPr>
          <w:ilvl w:val="0"/>
          <w:numId w:val="51"/>
        </w:numPr>
        <w:ind w:left="567" w:hanging="567"/>
        <w:rPr>
          <w:rFonts w:cs="Arial"/>
          <w:spacing w:val="-3"/>
        </w:rPr>
      </w:pPr>
      <w:r w:rsidRPr="004E4C01">
        <w:rPr>
          <w:rFonts w:cs="Arial"/>
          <w:spacing w:val="-3"/>
        </w:rPr>
        <w:t>Indicador de avance y eficacia de implementación</w:t>
      </w:r>
      <w:r w:rsidRPr="00127BD4">
        <w:rPr>
          <w:rFonts w:cs="Arial"/>
          <w:spacing w:val="-3"/>
          <w:vertAlign w:val="superscript"/>
        </w:rPr>
        <w:footnoteReference w:id="276"/>
      </w:r>
      <w:r w:rsidRPr="004E4C01">
        <w:rPr>
          <w:rFonts w:cs="Arial"/>
          <w:spacing w:val="-3"/>
        </w:rPr>
        <w:t>.</w:t>
      </w:r>
    </w:p>
    <w:p w14:paraId="66CFA3A4" w14:textId="77777777" w:rsidR="00750796" w:rsidRPr="004E4C01" w:rsidRDefault="00750796" w:rsidP="00750796">
      <w:pPr>
        <w:rPr>
          <w:rFonts w:cs="Arial"/>
          <w:spacing w:val="-3"/>
        </w:rPr>
      </w:pPr>
    </w:p>
    <w:p w14:paraId="6D6008E0" w14:textId="48D16AF6" w:rsidR="00293A6F" w:rsidRPr="004E4C01" w:rsidRDefault="00750796" w:rsidP="00750796">
      <w:pPr>
        <w:rPr>
          <w:rFonts w:cs="Arial"/>
          <w:spacing w:val="-3"/>
        </w:rPr>
      </w:pPr>
      <w:r w:rsidRPr="004E4C01">
        <w:rPr>
          <w:rFonts w:cs="Arial"/>
          <w:spacing w:val="-3"/>
        </w:rPr>
        <w:t xml:space="preserve">En caso de obtener el instrumento de manejo y control ambiental y una vez el proyecto inicie actividades, las metas y medidas de mitigación de GEI deben actualizarse conforme avanza cada </w:t>
      </w:r>
      <w:r w:rsidR="00697325">
        <w:rPr>
          <w:rFonts w:cs="Arial"/>
          <w:spacing w:val="-3"/>
        </w:rPr>
        <w:t>etapa</w:t>
      </w:r>
      <w:r w:rsidRPr="004E4C01">
        <w:rPr>
          <w:rFonts w:cs="Arial"/>
          <w:spacing w:val="-3"/>
        </w:rPr>
        <w:t xml:space="preserve"> del proyecto en el marco de su seguimiento y control ambiental.</w:t>
      </w:r>
    </w:p>
    <w:p w14:paraId="2763ECFE" w14:textId="77777777" w:rsidR="00750796" w:rsidRPr="004E4C01" w:rsidRDefault="00750796" w:rsidP="00750796">
      <w:pPr>
        <w:rPr>
          <w:rFonts w:cs="Arial"/>
          <w:spacing w:val="-3"/>
        </w:rPr>
      </w:pPr>
    </w:p>
    <w:p w14:paraId="3F879A93" w14:textId="77777777" w:rsidR="00750796" w:rsidRPr="00127BD4" w:rsidRDefault="00750796" w:rsidP="000A1E20">
      <w:pPr>
        <w:pStyle w:val="Ttulo3"/>
      </w:pPr>
      <w:bookmarkStart w:id="11425" w:name="_Ref204176560"/>
      <w:bookmarkStart w:id="11426" w:name="_Toc230879724"/>
      <w:r w:rsidRPr="00127BD4">
        <w:t>Consideraciones para la adaptación al cambio climático</w:t>
      </w:r>
      <w:bookmarkEnd w:id="11425"/>
      <w:bookmarkEnd w:id="11426"/>
    </w:p>
    <w:p w14:paraId="5041CC1F" w14:textId="77777777" w:rsidR="00750796" w:rsidRPr="00127BD4" w:rsidRDefault="00750796" w:rsidP="00750796">
      <w:pPr>
        <w:rPr>
          <w:rFonts w:cs="Arial"/>
          <w:spacing w:val="-3"/>
        </w:rPr>
      </w:pPr>
    </w:p>
    <w:p w14:paraId="0740AF7C" w14:textId="77777777" w:rsidR="00750796" w:rsidRPr="004E4C01" w:rsidRDefault="00750796" w:rsidP="00750796">
      <w:pPr>
        <w:rPr>
          <w:rFonts w:cs="Arial"/>
          <w:spacing w:val="-3"/>
        </w:rPr>
      </w:pPr>
      <w:r w:rsidRPr="004E4C01">
        <w:rPr>
          <w:rFonts w:cs="Arial"/>
          <w:spacing w:val="-3"/>
        </w:rPr>
        <w:t xml:space="preserve">El propósito de este numeral es formular medidas de adaptación al cambio climático para el proyecto, obra o actividad y los elementos del ambiente que pueden resultar impactados por su ejecución; en este numeral, tales elementos se denominan </w:t>
      </w:r>
      <w:r w:rsidRPr="004E4C01">
        <w:rPr>
          <w:rFonts w:cs="Arial"/>
          <w:i/>
          <w:iCs/>
          <w:spacing w:val="-3"/>
        </w:rPr>
        <w:t>Entorno</w:t>
      </w:r>
      <w:r w:rsidRPr="004E4C01">
        <w:rPr>
          <w:rFonts w:cs="Arial"/>
          <w:spacing w:val="-3"/>
        </w:rPr>
        <w:t>. Para ello, es necesario desarrollar escenarios de variabilidad y cambio climáticos y una evaluación del riesgo climático, considerando los resultados obtenidos en la caracterización ambiental, el capítulo de demanda, uso, aprovechamiento y afectación a los recursos naturales y la Dimensión ambiental del plan de gestión del riesgo; a este último respecto, particularmente la información referida a la identificación, caracterización, análisis y evaluación de amenazas de tipo endógeno y exógeno, la estimación de áreas de amenaza y de probable afectación</w:t>
      </w:r>
      <w:r w:rsidRPr="004E4C01" w:rsidDel="001623D3">
        <w:rPr>
          <w:rFonts w:cs="Arial"/>
          <w:spacing w:val="-3"/>
        </w:rPr>
        <w:t xml:space="preserve"> </w:t>
      </w:r>
      <w:r w:rsidRPr="004E4C01">
        <w:rPr>
          <w:rFonts w:cs="Arial"/>
          <w:spacing w:val="-3"/>
        </w:rPr>
        <w:t>y al análisis de vulnerabilidad.</w:t>
      </w:r>
    </w:p>
    <w:p w14:paraId="5798E2F0" w14:textId="77777777" w:rsidR="00750796" w:rsidRPr="004E4C01" w:rsidRDefault="00750796" w:rsidP="00750796">
      <w:pPr>
        <w:rPr>
          <w:rFonts w:cs="Arial"/>
          <w:spacing w:val="-3"/>
        </w:rPr>
      </w:pPr>
    </w:p>
    <w:p w14:paraId="1F47088D" w14:textId="77777777" w:rsidR="00750796" w:rsidRPr="004E4C01" w:rsidRDefault="00750796" w:rsidP="00750796">
      <w:pPr>
        <w:rPr>
          <w:rFonts w:cs="Arial"/>
          <w:spacing w:val="-3"/>
        </w:rPr>
      </w:pPr>
      <w:r w:rsidRPr="004E4C01">
        <w:rPr>
          <w:rFonts w:cs="Arial"/>
          <w:spacing w:val="-3"/>
        </w:rPr>
        <w:t>Para desarrollar el apartado sobre adaptación al cambio climático, es importante evaluar cómo, en un escenario futuro, la implementación del proyecto, obra o actividad podría incrementar las condiciones de vulnerabilidad al cambio climático de los elementos del ambiente que pueden ser impactos por el proyecto, al comprometer la capacidad de adaptación y resiliencia de las comunidades y de los ecosistemas afectados.</w:t>
      </w:r>
    </w:p>
    <w:p w14:paraId="031FCA44" w14:textId="77777777" w:rsidR="00750796" w:rsidRPr="004E4C01" w:rsidRDefault="00750796" w:rsidP="00750796">
      <w:pPr>
        <w:rPr>
          <w:rFonts w:cs="Arial"/>
          <w:spacing w:val="-3"/>
        </w:rPr>
      </w:pPr>
    </w:p>
    <w:p w14:paraId="759F394A" w14:textId="77777777" w:rsidR="00750796" w:rsidRPr="00127BD4" w:rsidRDefault="00750796" w:rsidP="00127BD4">
      <w:pPr>
        <w:pStyle w:val="Ttulo4"/>
        <w:tabs>
          <w:tab w:val="clear" w:pos="1844"/>
          <w:tab w:val="num" w:pos="1134"/>
        </w:tabs>
        <w:ind w:left="0"/>
        <w:rPr>
          <w:b w:val="0"/>
        </w:rPr>
      </w:pPr>
      <w:bookmarkStart w:id="11427" w:name="_Ref208926634"/>
      <w:r w:rsidRPr="00127BD4">
        <w:rPr>
          <w:lang w:val="es-CO"/>
        </w:rPr>
        <w:t>Escenarios de variabilidad y cambio climático</w:t>
      </w:r>
      <w:bookmarkEnd w:id="11427"/>
    </w:p>
    <w:p w14:paraId="7865BAA0" w14:textId="77777777" w:rsidR="00750796" w:rsidRPr="004E4C01" w:rsidRDefault="00750796" w:rsidP="00750796">
      <w:pPr>
        <w:rPr>
          <w:rFonts w:cs="Arial"/>
          <w:spacing w:val="-3"/>
        </w:rPr>
      </w:pPr>
    </w:p>
    <w:p w14:paraId="7AA82361" w14:textId="4FE9E14D" w:rsidR="0030562D" w:rsidRDefault="00750796" w:rsidP="00750796">
      <w:pPr>
        <w:rPr>
          <w:rFonts w:cs="Arial"/>
          <w:spacing w:val="-3"/>
        </w:rPr>
      </w:pPr>
      <w:r w:rsidRPr="004E4C01">
        <w:rPr>
          <w:rFonts w:cs="Arial"/>
          <w:spacing w:val="-3"/>
        </w:rPr>
        <w:t>Se debe modelizar y analizar la variabilidad climática y el cambio climático utilizando las proyecciones climáticas más recientes bajo los escenarios del último reporte de evaluación del Panel Intergubernamental de Expertos sobre Cambio Climático (IPCC)</w:t>
      </w:r>
      <w:r w:rsidR="005B05C3">
        <w:rPr>
          <w:rStyle w:val="Refdenotaalpie"/>
          <w:rFonts w:cs="Arial"/>
          <w:spacing w:val="-3"/>
        </w:rPr>
        <w:footnoteReference w:id="277"/>
      </w:r>
      <w:r w:rsidR="0030562D">
        <w:rPr>
          <w:rFonts w:cs="Arial"/>
          <w:spacing w:val="-3"/>
        </w:rPr>
        <w:t xml:space="preserve"> </w:t>
      </w:r>
      <w:r w:rsidR="0030562D" w:rsidRPr="0030562D">
        <w:rPr>
          <w:rFonts w:cs="Arial"/>
          <w:spacing w:val="-3"/>
        </w:rPr>
        <w:t xml:space="preserve">y las comunicaciones nacionales sobre cambio climático. </w:t>
      </w:r>
      <w:r w:rsidR="00FC7C05">
        <w:rPr>
          <w:rFonts w:cs="Arial"/>
          <w:spacing w:val="-3"/>
        </w:rPr>
        <w:t xml:space="preserve">Es </w:t>
      </w:r>
      <w:r w:rsidR="00602695">
        <w:rPr>
          <w:rFonts w:cs="Arial"/>
          <w:spacing w:val="-3"/>
        </w:rPr>
        <w:t>p</w:t>
      </w:r>
      <w:r w:rsidR="00FC7C05">
        <w:rPr>
          <w:rFonts w:cs="Arial"/>
          <w:spacing w:val="-3"/>
        </w:rPr>
        <w:t xml:space="preserve">osible </w:t>
      </w:r>
      <w:r w:rsidR="0030562D" w:rsidRPr="0030562D">
        <w:rPr>
          <w:rFonts w:cs="Arial"/>
          <w:spacing w:val="-3"/>
        </w:rPr>
        <w:t xml:space="preserve">desarrollar, actualizar o </w:t>
      </w:r>
      <w:r w:rsidR="0030562D" w:rsidRPr="0030562D">
        <w:rPr>
          <w:rFonts w:cs="Arial"/>
          <w:spacing w:val="-3"/>
        </w:rPr>
        <w:lastRenderedPageBreak/>
        <w:t xml:space="preserve">detallar escenarios climáticos específicos de acuerdo con </w:t>
      </w:r>
      <w:r w:rsidR="00FC7C05">
        <w:rPr>
          <w:rFonts w:cs="Arial"/>
          <w:spacing w:val="-3"/>
        </w:rPr>
        <w:t xml:space="preserve">las </w:t>
      </w:r>
      <w:r w:rsidR="0030562D" w:rsidRPr="0030562D">
        <w:rPr>
          <w:rFonts w:cs="Arial"/>
          <w:spacing w:val="-3"/>
        </w:rPr>
        <w:t xml:space="preserve">necesidades </w:t>
      </w:r>
      <w:r w:rsidR="00FC7C05">
        <w:rPr>
          <w:rFonts w:cs="Arial"/>
          <w:spacing w:val="-3"/>
        </w:rPr>
        <w:t xml:space="preserve">del </w:t>
      </w:r>
      <w:r w:rsidR="0030562D" w:rsidRPr="0030562D">
        <w:rPr>
          <w:rFonts w:cs="Arial"/>
          <w:spacing w:val="-3"/>
        </w:rPr>
        <w:t>sector</w:t>
      </w:r>
      <w:r w:rsidR="00FC7C05">
        <w:rPr>
          <w:rFonts w:cs="Arial"/>
          <w:spacing w:val="-3"/>
        </w:rPr>
        <w:t xml:space="preserve"> al cual pertenece el proyecto</w:t>
      </w:r>
      <w:r w:rsidR="00E73C30">
        <w:rPr>
          <w:rFonts w:cs="Arial"/>
          <w:spacing w:val="-3"/>
        </w:rPr>
        <w:t>, obra o actividad</w:t>
      </w:r>
      <w:r w:rsidR="0030562D" w:rsidRPr="0030562D">
        <w:rPr>
          <w:rFonts w:cs="Arial"/>
          <w:spacing w:val="-3"/>
        </w:rPr>
        <w:t xml:space="preserve">, siempre que estos </w:t>
      </w:r>
      <w:r w:rsidR="009E16EC">
        <w:rPr>
          <w:rFonts w:cs="Arial"/>
          <w:spacing w:val="-3"/>
        </w:rPr>
        <w:t xml:space="preserve">reduzcan la incertidumbre </w:t>
      </w:r>
      <w:r w:rsidR="00F57275">
        <w:rPr>
          <w:rFonts w:cs="Arial"/>
          <w:spacing w:val="-3"/>
        </w:rPr>
        <w:t xml:space="preserve">y </w:t>
      </w:r>
      <w:r w:rsidR="0030562D" w:rsidRPr="0030562D">
        <w:rPr>
          <w:rFonts w:cs="Arial"/>
          <w:spacing w:val="-3"/>
        </w:rPr>
        <w:t>mantengan consistencia metodológica, trazabilidad, robustez técnica</w:t>
      </w:r>
      <w:r w:rsidR="00DD037E">
        <w:rPr>
          <w:rFonts w:cs="Arial"/>
          <w:spacing w:val="-3"/>
        </w:rPr>
        <w:t xml:space="preserve"> </w:t>
      </w:r>
      <w:r w:rsidR="0030562D" w:rsidRPr="0030562D">
        <w:rPr>
          <w:rFonts w:cs="Arial"/>
          <w:spacing w:val="-3"/>
        </w:rPr>
        <w:t xml:space="preserve">y coherencia con los lineamientos nacionales vigentes. Cuando no se </w:t>
      </w:r>
      <w:r w:rsidR="00303E92">
        <w:rPr>
          <w:rFonts w:cs="Arial"/>
          <w:spacing w:val="-3"/>
        </w:rPr>
        <w:t xml:space="preserve">desarrollen </w:t>
      </w:r>
      <w:r w:rsidR="0030562D" w:rsidRPr="0030562D">
        <w:rPr>
          <w:rFonts w:cs="Arial"/>
          <w:spacing w:val="-3"/>
        </w:rPr>
        <w:t xml:space="preserve">escenarios específicos, deben emplearse los escenarios generados y validados por el </w:t>
      </w:r>
      <w:r w:rsidR="00CC3823" w:rsidRPr="0030562D">
        <w:rPr>
          <w:rFonts w:cs="Arial"/>
          <w:spacing w:val="-3"/>
        </w:rPr>
        <w:t xml:space="preserve">Ideam </w:t>
      </w:r>
      <w:r w:rsidR="0030562D" w:rsidRPr="0030562D">
        <w:rPr>
          <w:rFonts w:cs="Arial"/>
          <w:spacing w:val="-3"/>
        </w:rPr>
        <w:t>como entidad nacional competente.</w:t>
      </w:r>
    </w:p>
    <w:p w14:paraId="5D36FFDD" w14:textId="77777777" w:rsidR="00750796" w:rsidRPr="004E4C01" w:rsidRDefault="00750796" w:rsidP="00750796">
      <w:pPr>
        <w:rPr>
          <w:rFonts w:cs="Arial"/>
          <w:spacing w:val="-3"/>
        </w:rPr>
      </w:pPr>
    </w:p>
    <w:p w14:paraId="2202AF0F" w14:textId="77777777" w:rsidR="00750796" w:rsidRPr="004E4C01" w:rsidRDefault="00750796" w:rsidP="00750796">
      <w:pPr>
        <w:rPr>
          <w:rFonts w:cs="Arial"/>
          <w:spacing w:val="-3"/>
        </w:rPr>
      </w:pPr>
      <w:r w:rsidRPr="004E4C01">
        <w:rPr>
          <w:rFonts w:cs="Arial"/>
          <w:spacing w:val="-3"/>
        </w:rPr>
        <w:t>Esta modelización busca evaluar los posibles impactos de la variabilidad climática y el cambio climático en el proyecto y en los elementos del ambiente que éste puede impactar, con el fin de aportar elementos que mejoren su configuración tecnológica, de diseño y localización, así como sus medidas de adaptación al cambio climático. La modelización y su análisis debe incorporar los resultados de la Dimensión ambiental del plan de gestión del riesgo y la información del capítulo de demanda, uso, aprovechamiento y afectación a los recursos naturales, con el fin de ampliar la visión de las potenciales vulnerabilidades y así desarrollar medidas de adaptación más efectivas.</w:t>
      </w:r>
    </w:p>
    <w:p w14:paraId="5C0289E5" w14:textId="77777777" w:rsidR="00750796" w:rsidRPr="004E4C01" w:rsidRDefault="00750796" w:rsidP="00750796">
      <w:pPr>
        <w:rPr>
          <w:rFonts w:cs="Arial"/>
          <w:spacing w:val="-3"/>
        </w:rPr>
      </w:pPr>
    </w:p>
    <w:p w14:paraId="6870FFEA" w14:textId="77777777" w:rsidR="00750796" w:rsidRPr="004E4C01" w:rsidRDefault="00750796" w:rsidP="00750796">
      <w:pPr>
        <w:rPr>
          <w:rFonts w:cs="Arial"/>
          <w:spacing w:val="-3"/>
        </w:rPr>
      </w:pPr>
      <w:r w:rsidRPr="004E4C01">
        <w:rPr>
          <w:rFonts w:cs="Arial"/>
          <w:spacing w:val="-3"/>
        </w:rPr>
        <w:t>Las medidas de adaptación derivadas de los escenarios de variabilidad y cambio climático deben incorporarse al Plan de gestión de cambio climático de forma tal, que su implementación en el corto, mediano y largo plazo sea coherente con las condiciones de ejecución del proyecto, asegurando así una gestión proactiva de los riesgos asociados al cambio climático durante toda su vida útil.</w:t>
      </w:r>
    </w:p>
    <w:p w14:paraId="52169929" w14:textId="77777777" w:rsidR="00750796" w:rsidRPr="004E4C01" w:rsidRDefault="00750796" w:rsidP="00750796">
      <w:pPr>
        <w:rPr>
          <w:rFonts w:cs="Arial"/>
          <w:spacing w:val="-3"/>
        </w:rPr>
      </w:pPr>
    </w:p>
    <w:p w14:paraId="47FE9BFA" w14:textId="77777777" w:rsidR="00750796" w:rsidRPr="004E4C01" w:rsidRDefault="00750796" w:rsidP="00750796">
      <w:pPr>
        <w:rPr>
          <w:rFonts w:cs="Arial"/>
          <w:spacing w:val="-3"/>
        </w:rPr>
      </w:pPr>
      <w:r w:rsidRPr="004E4C01">
        <w:rPr>
          <w:rFonts w:cs="Arial"/>
          <w:spacing w:val="-3"/>
        </w:rPr>
        <w:t>A continuación, se mencionan orientaciones generales para desarrollar modelos de variabilidad climática, de cambio climático, así como del cambio que se esperaría bajo escenarios de cambio climático en los componentes hidrológico e hidrogeológico y en algunos elementos del medio biótico. Estos modelos, aunque no son los únicos, son útiles para la formulación de medidas de adaptación y también para la determinación y valoración de los impactos ambientales del proyecto.</w:t>
      </w:r>
    </w:p>
    <w:p w14:paraId="0DB296BF" w14:textId="77777777" w:rsidR="00750796" w:rsidRPr="004E4C01" w:rsidRDefault="00750796" w:rsidP="00750796">
      <w:pPr>
        <w:rPr>
          <w:rFonts w:cs="Arial"/>
          <w:spacing w:val="-3"/>
        </w:rPr>
      </w:pPr>
    </w:p>
    <w:p w14:paraId="174DD775" w14:textId="77777777" w:rsidR="00750796" w:rsidRPr="004E4C01" w:rsidRDefault="00750796" w:rsidP="00127BD4">
      <w:pPr>
        <w:numPr>
          <w:ilvl w:val="0"/>
          <w:numId w:val="51"/>
        </w:numPr>
        <w:ind w:left="567" w:hanging="567"/>
        <w:rPr>
          <w:rFonts w:cs="Arial"/>
          <w:spacing w:val="-3"/>
        </w:rPr>
      </w:pPr>
      <w:r w:rsidRPr="004E4C01">
        <w:rPr>
          <w:rFonts w:cs="Arial"/>
          <w:b/>
          <w:bCs/>
          <w:spacing w:val="-3"/>
        </w:rPr>
        <w:t>Modelos de variabilidad climática y de cambio climático</w:t>
      </w:r>
      <w:r w:rsidRPr="004E4C01">
        <w:rPr>
          <w:rFonts w:cs="Arial"/>
          <w:spacing w:val="-3"/>
        </w:rPr>
        <w:t>. A partir de las directrices más recientes del IPCC y de acuerdo con la disponibilidad de datos climáticos y meteorológicos, se deben desarrollar modelos de variabilidad climática retrospectivos (en un periodo de entre 20 y 30 años) e identificar eventos extremos en prospectiva para el área de influencia del proyecto, obra o actividad que permitan determinar las tendencias relacionadas con las alteraciones de patrones de variabilidad climática, identificar eventos extremos (p. ej. olas de calor, tormentas intensas y precipitaciones extremas) y establecer efectos asociados a los fenómenos de variabilidad climática analizados. Tales modelos se deben emplear para la formulación e implementación del proyecto, obra o actividad con el fin de fortalecer la resiliencia del proyecto y de aquellos elementos ambientales que éste puede impactar.</w:t>
      </w:r>
    </w:p>
    <w:p w14:paraId="204F7494" w14:textId="77777777" w:rsidR="00750796" w:rsidRPr="004E4C01" w:rsidRDefault="00750796" w:rsidP="00750796">
      <w:pPr>
        <w:rPr>
          <w:rFonts w:cs="Arial"/>
          <w:spacing w:val="-3"/>
        </w:rPr>
      </w:pPr>
    </w:p>
    <w:p w14:paraId="233819C6" w14:textId="77777777" w:rsidR="00750796" w:rsidRPr="004E4C01" w:rsidRDefault="00750796" w:rsidP="00127BD4">
      <w:pPr>
        <w:ind w:left="567"/>
        <w:rPr>
          <w:rFonts w:cs="Arial"/>
          <w:spacing w:val="-3"/>
        </w:rPr>
      </w:pPr>
      <w:r w:rsidRPr="004E4C01">
        <w:rPr>
          <w:rFonts w:cs="Arial"/>
          <w:spacing w:val="-3"/>
        </w:rPr>
        <w:lastRenderedPageBreak/>
        <w:t>Se debe desarrollar un modelo prospectivo de cambio climático que utilice como insumo la información histórica de precipitación y temperatura para un período no inferior a 20 o 30 años, así como los escenarios de cambio climático generados por el Ideam bajo las SSP. El análisis debe incluir al menos dos de los escenarios disponibles (SSP1–2.6, SSP2–4.5, SSP3–7.0, SSP5–8.5)</w:t>
      </w:r>
      <w:r w:rsidRPr="00127BD4">
        <w:rPr>
          <w:rFonts w:cs="Arial"/>
          <w:spacing w:val="-3"/>
          <w:vertAlign w:val="superscript"/>
        </w:rPr>
        <w:footnoteReference w:id="278"/>
      </w:r>
      <w:r w:rsidRPr="004E4C01">
        <w:rPr>
          <w:rFonts w:cs="Arial"/>
          <w:spacing w:val="-3"/>
        </w:rPr>
        <w:t xml:space="preserve"> y cubrir uno o más de los siguientes horizontes temporales: corto (2021–2040), mediano (2041–2060) y largo plazo (2081–2100).</w:t>
      </w:r>
    </w:p>
    <w:p w14:paraId="3A4189C3" w14:textId="77777777" w:rsidR="00750796" w:rsidRPr="004E4C01" w:rsidRDefault="00750796" w:rsidP="00750796">
      <w:pPr>
        <w:rPr>
          <w:rFonts w:cs="Arial"/>
          <w:spacing w:val="-3"/>
        </w:rPr>
      </w:pPr>
    </w:p>
    <w:p w14:paraId="7F4EC697" w14:textId="77777777" w:rsidR="00750796" w:rsidRPr="004E4C01" w:rsidRDefault="00750796" w:rsidP="00127BD4">
      <w:pPr>
        <w:numPr>
          <w:ilvl w:val="0"/>
          <w:numId w:val="51"/>
        </w:numPr>
        <w:ind w:left="567" w:hanging="567"/>
        <w:rPr>
          <w:rFonts w:cs="Arial"/>
          <w:spacing w:val="-3"/>
        </w:rPr>
      </w:pPr>
      <w:r w:rsidRPr="00127BD4">
        <w:rPr>
          <w:rFonts w:cs="Arial"/>
          <w:b/>
          <w:bCs/>
          <w:spacing w:val="-3"/>
        </w:rPr>
        <w:t>Modelos del componente hidrológico</w:t>
      </w:r>
      <w:r w:rsidRPr="00127BD4">
        <w:rPr>
          <w:rFonts w:cs="Arial"/>
          <w:spacing w:val="-3"/>
        </w:rPr>
        <w:t xml:space="preserve">. </w:t>
      </w:r>
      <w:r w:rsidRPr="004E4C01">
        <w:rPr>
          <w:rFonts w:cs="Arial"/>
          <w:spacing w:val="-3"/>
        </w:rPr>
        <w:t>La modelización de los cuerpos de agua sujetos al uso y/o aprovechamiento de recursos naturales renovables, debe realizarse contemplando la precipitación y temperatura de los escenarios SSP</w:t>
      </w:r>
      <w:r w:rsidRPr="004E4C01">
        <w:rPr>
          <w:rFonts w:cs="Arial"/>
          <w:spacing w:val="-3"/>
          <w:vertAlign w:val="superscript"/>
        </w:rPr>
        <w:footnoteReference w:id="279"/>
      </w:r>
      <w:r w:rsidRPr="004E4C01">
        <w:rPr>
          <w:rFonts w:cs="Arial"/>
          <w:spacing w:val="-3"/>
        </w:rPr>
        <w:t>, así como los resultados de los modelos prospectivos desarrollados en la caracterización de los componentes hidrológico (caudales superficiales) y de ecosistemas terrestres (cambios en la cobertura de la tierra).</w:t>
      </w:r>
    </w:p>
    <w:p w14:paraId="0C259D5F" w14:textId="77777777" w:rsidR="00750796" w:rsidRPr="004E4C01" w:rsidRDefault="00750796" w:rsidP="00750796">
      <w:pPr>
        <w:rPr>
          <w:rFonts w:cs="Arial"/>
          <w:spacing w:val="-3"/>
        </w:rPr>
      </w:pPr>
    </w:p>
    <w:p w14:paraId="1A130B93" w14:textId="77777777" w:rsidR="00750796" w:rsidRPr="004E4C01" w:rsidRDefault="00750796" w:rsidP="00127BD4">
      <w:pPr>
        <w:ind w:left="567"/>
        <w:rPr>
          <w:rFonts w:cs="Arial"/>
          <w:spacing w:val="-3"/>
        </w:rPr>
      </w:pPr>
      <w:r w:rsidRPr="004E4C01">
        <w:rPr>
          <w:rFonts w:cs="Arial"/>
          <w:spacing w:val="-3"/>
        </w:rPr>
        <w:t>Para evaluar la dinámica hídrica de los sitios susceptibles de intervención por captación, vertimiento u ocupación de cauce se deben tener en cuenta los fenómenos de inundación o sequía que resulten de los caudales máximos y mínimos arrojados en los escenarios prospectivos de cambio climático. Finalmente, se deben utilizar los escenarios de caudales y temperaturas para evaluar la potencial alteración a la calidad del recurso hídrico cuando se solicite permiso de vertimiento o se generen impactos que reduzcan a la calidad del agua.</w:t>
      </w:r>
    </w:p>
    <w:p w14:paraId="67AFB382" w14:textId="77777777" w:rsidR="00750796" w:rsidRPr="004E4C01" w:rsidRDefault="00750796" w:rsidP="00750796">
      <w:pPr>
        <w:rPr>
          <w:rFonts w:cs="Arial"/>
          <w:spacing w:val="-3"/>
        </w:rPr>
      </w:pPr>
    </w:p>
    <w:p w14:paraId="5A866967" w14:textId="77777777" w:rsidR="00750796" w:rsidRPr="00127BD4" w:rsidRDefault="00750796" w:rsidP="00127BD4">
      <w:pPr>
        <w:numPr>
          <w:ilvl w:val="0"/>
          <w:numId w:val="51"/>
        </w:numPr>
        <w:ind w:left="567" w:hanging="567"/>
        <w:rPr>
          <w:rFonts w:cs="Arial"/>
          <w:b/>
          <w:bCs/>
          <w:spacing w:val="-3"/>
        </w:rPr>
      </w:pPr>
      <w:r w:rsidRPr="00127BD4">
        <w:rPr>
          <w:rFonts w:cs="Arial"/>
          <w:b/>
          <w:bCs/>
          <w:spacing w:val="-3"/>
        </w:rPr>
        <w:t>Modelos del componente hidrogeológico</w:t>
      </w:r>
      <w:r w:rsidRPr="00127BD4">
        <w:rPr>
          <w:rFonts w:cs="Arial"/>
          <w:spacing w:val="-3"/>
        </w:rPr>
        <w:t>. El desarrollo de modelos hidrogeológicos numéricos debe incluir la estimación de la recarga potencial contemplando escenarios prospectivos de cambio climático que consideren como variables de entrada los cambios en la precipitación, temperatura, evapotranspiración y usos del suelo que puedan ocurrir en el área de influencia del proyecto.</w:t>
      </w:r>
    </w:p>
    <w:p w14:paraId="718672D3" w14:textId="77777777" w:rsidR="00750796" w:rsidRPr="004E4C01" w:rsidRDefault="00750796" w:rsidP="00750796">
      <w:pPr>
        <w:rPr>
          <w:rFonts w:cs="Arial"/>
          <w:spacing w:val="-3"/>
        </w:rPr>
      </w:pPr>
    </w:p>
    <w:p w14:paraId="4DF003C2" w14:textId="1F173AB4" w:rsidR="00750796" w:rsidRPr="00127BD4" w:rsidRDefault="00750796" w:rsidP="00127BD4">
      <w:pPr>
        <w:numPr>
          <w:ilvl w:val="0"/>
          <w:numId w:val="51"/>
        </w:numPr>
        <w:ind w:left="567" w:hanging="567"/>
        <w:rPr>
          <w:rFonts w:cs="Arial"/>
          <w:spacing w:val="-3"/>
        </w:rPr>
      </w:pPr>
      <w:r w:rsidRPr="00127BD4">
        <w:rPr>
          <w:rFonts w:cs="Arial"/>
          <w:b/>
          <w:bCs/>
          <w:spacing w:val="-3"/>
        </w:rPr>
        <w:t>Modelos bióticos</w:t>
      </w:r>
      <w:r w:rsidRPr="00127BD4">
        <w:rPr>
          <w:rFonts w:cs="Arial"/>
          <w:spacing w:val="-3"/>
        </w:rPr>
        <w:t xml:space="preserve">. La modelización biótica debe desarrollarse cuando el proyecto prevea el aprovechamiento forestal o intervenciones en ecosistemas estratégicos. Esta modelización debe estimar la distribución potencial de especies de fauna o flora sensibles ante los cambios de temperatura y precipitación (en ecosistemas acuáticos, preferiblemente de especies especialistas); con este fin, es posible realizar la proyección o transferencia del modelo de distribución potencial de especies generado en el marco de la caracterización ambiental (numeral </w:t>
      </w:r>
      <w:r w:rsidRPr="004E4C01">
        <w:rPr>
          <w:rFonts w:cs="Arial"/>
          <w:spacing w:val="-3"/>
        </w:rPr>
        <w:fldChar w:fldCharType="begin"/>
      </w:r>
      <w:r w:rsidRPr="00127BD4">
        <w:rPr>
          <w:rFonts w:cs="Arial"/>
          <w:spacing w:val="-3"/>
        </w:rPr>
        <w:instrText xml:space="preserve"> REF _Ref79492801 \r \h  \* MERGEFORMAT </w:instrText>
      </w:r>
      <w:r w:rsidRPr="004E4C01">
        <w:rPr>
          <w:rFonts w:cs="Arial"/>
          <w:spacing w:val="-3"/>
        </w:rPr>
      </w:r>
      <w:r w:rsidRPr="004E4C01">
        <w:rPr>
          <w:rFonts w:cs="Arial"/>
          <w:spacing w:val="-3"/>
        </w:rPr>
        <w:fldChar w:fldCharType="separate"/>
      </w:r>
      <w:r w:rsidR="009C4A81">
        <w:rPr>
          <w:rFonts w:cs="Arial"/>
          <w:spacing w:val="-3"/>
        </w:rPr>
        <w:t>4.2.2.3.2</w:t>
      </w:r>
      <w:r w:rsidRPr="004E4C01">
        <w:rPr>
          <w:rFonts w:cs="Arial"/>
          <w:spacing w:val="-3"/>
        </w:rPr>
        <w:fldChar w:fldCharType="end"/>
      </w:r>
      <w:r w:rsidRPr="00127BD4">
        <w:rPr>
          <w:rFonts w:cs="Arial"/>
          <w:spacing w:val="-3"/>
        </w:rPr>
        <w:t xml:space="preserve">, Análisis de conectividad) incorporando a éste los cambios previstos en las variables de </w:t>
      </w:r>
      <w:r w:rsidRPr="00127BD4">
        <w:rPr>
          <w:rFonts w:cs="Arial"/>
          <w:spacing w:val="-3"/>
        </w:rPr>
        <w:lastRenderedPageBreak/>
        <w:t>precipitación y temperatura para escenarios SSP en los períodos 2011-2040, así como los resultados de otros modelos prospectivos generados (p. ej. caudal y calidad del agua).</w:t>
      </w:r>
    </w:p>
    <w:p w14:paraId="0BCD141A" w14:textId="77777777" w:rsidR="00750796" w:rsidRPr="004E4C01" w:rsidRDefault="00750796" w:rsidP="00750796">
      <w:pPr>
        <w:rPr>
          <w:rFonts w:cs="Arial"/>
          <w:spacing w:val="-3"/>
        </w:rPr>
      </w:pPr>
    </w:p>
    <w:p w14:paraId="5588EF21" w14:textId="77777777" w:rsidR="00750796" w:rsidRPr="004E4C01" w:rsidRDefault="00750796" w:rsidP="00127BD4">
      <w:pPr>
        <w:ind w:left="567"/>
        <w:rPr>
          <w:rFonts w:cs="Arial"/>
          <w:spacing w:val="-3"/>
        </w:rPr>
      </w:pPr>
      <w:r w:rsidRPr="004E4C01">
        <w:rPr>
          <w:rFonts w:cs="Arial"/>
          <w:spacing w:val="-3"/>
        </w:rPr>
        <w:t>Si la transferencia del modelo conlleva la necesidad de su extrapolación debido a la existencia de condiciones no-análogas, es necesario seleccionar un método de extrapolación adecuado y realizar un análisis de climas análogos para verificar la potencia del modelo.</w:t>
      </w:r>
    </w:p>
    <w:p w14:paraId="014A9BFC" w14:textId="77777777" w:rsidR="00750796" w:rsidRPr="004E4C01" w:rsidRDefault="00750796" w:rsidP="00750796">
      <w:pPr>
        <w:rPr>
          <w:rFonts w:cs="Arial"/>
          <w:spacing w:val="-3"/>
        </w:rPr>
      </w:pPr>
    </w:p>
    <w:p w14:paraId="264EC19B" w14:textId="77777777" w:rsidR="00750796" w:rsidRPr="004E4C01" w:rsidRDefault="00750796" w:rsidP="00127BD4">
      <w:pPr>
        <w:ind w:left="567"/>
        <w:rPr>
          <w:rFonts w:cs="Arial"/>
          <w:spacing w:val="-3"/>
        </w:rPr>
      </w:pPr>
      <w:r w:rsidRPr="004E4C01">
        <w:rPr>
          <w:rFonts w:cs="Arial"/>
          <w:spacing w:val="-3"/>
        </w:rPr>
        <w:t>Como resultado, se debe presentar un análisis de afectación en los ecosistemas estratégicos teniendo en cuenta los escenarios SSP. Asimismo, dada la afectación a los ecosistemas (entre ellos los acuáticos), esta información debe tenerse en cuenta para determinar la cantidad de recursos a aprovechar, usar o afectar en caso de requerir la solicitud del permiso de aprovechamiento forestal o de cualquier otro permiso o autorización.</w:t>
      </w:r>
    </w:p>
    <w:p w14:paraId="36660D7C" w14:textId="77777777" w:rsidR="00750796" w:rsidRPr="004E4C01" w:rsidRDefault="00750796" w:rsidP="00750796">
      <w:pPr>
        <w:rPr>
          <w:rFonts w:cs="Arial"/>
          <w:spacing w:val="-3"/>
        </w:rPr>
      </w:pPr>
    </w:p>
    <w:p w14:paraId="0420198B" w14:textId="77777777" w:rsidR="00750796" w:rsidRPr="004E4C01" w:rsidRDefault="00750796" w:rsidP="00750796">
      <w:pPr>
        <w:rPr>
          <w:rFonts w:cs="Arial"/>
          <w:spacing w:val="-3"/>
        </w:rPr>
      </w:pPr>
      <w:r w:rsidRPr="004E4C01">
        <w:rPr>
          <w:rFonts w:cs="Arial"/>
          <w:spacing w:val="-3"/>
        </w:rPr>
        <w:t>Los resultados de los modelos deben ser tenidos en cuenta para la incorporar a la evaluación ambiental la variable cambio climático.</w:t>
      </w:r>
    </w:p>
    <w:p w14:paraId="5E8089DD" w14:textId="77777777" w:rsidR="00750796" w:rsidRPr="004E4C01" w:rsidRDefault="00750796" w:rsidP="00750796">
      <w:pPr>
        <w:rPr>
          <w:rFonts w:cs="Arial"/>
          <w:spacing w:val="-3"/>
        </w:rPr>
      </w:pPr>
    </w:p>
    <w:p w14:paraId="0435CF1C" w14:textId="77777777" w:rsidR="00750796" w:rsidRPr="00127BD4" w:rsidRDefault="00750796" w:rsidP="00127BD4">
      <w:pPr>
        <w:pStyle w:val="Ttulo4"/>
        <w:tabs>
          <w:tab w:val="clear" w:pos="1844"/>
          <w:tab w:val="num" w:pos="1134"/>
        </w:tabs>
        <w:ind w:left="0"/>
        <w:rPr>
          <w:b w:val="0"/>
        </w:rPr>
      </w:pPr>
      <w:bookmarkStart w:id="11428" w:name="_Ref208926478"/>
      <w:r w:rsidRPr="00127BD4">
        <w:rPr>
          <w:lang w:val="es-CO"/>
        </w:rPr>
        <w:t>Evaluación del riesgo climático</w:t>
      </w:r>
      <w:bookmarkEnd w:id="11428"/>
    </w:p>
    <w:p w14:paraId="1F572743" w14:textId="77777777" w:rsidR="00750796" w:rsidRPr="004E4C01" w:rsidRDefault="00750796" w:rsidP="00750796">
      <w:pPr>
        <w:rPr>
          <w:rFonts w:cs="Arial"/>
          <w:spacing w:val="-3"/>
        </w:rPr>
      </w:pPr>
    </w:p>
    <w:p w14:paraId="6D89F0C1" w14:textId="77777777" w:rsidR="00750796" w:rsidRPr="00127BD4" w:rsidRDefault="00750796" w:rsidP="00750796">
      <w:pPr>
        <w:rPr>
          <w:rFonts w:cs="Arial"/>
          <w:spacing w:val="-3"/>
        </w:rPr>
      </w:pPr>
      <w:r w:rsidRPr="004E4C01">
        <w:rPr>
          <w:rFonts w:cs="Arial"/>
          <w:spacing w:val="-3"/>
        </w:rPr>
        <w:t>El riesgo por cambio climático resulta de la interacción entre las amenazas relacionadas con el clima y la exposición y la vulnerabilidad de los sistemas humanos y naturales afectados (IPCC, 2022</w:t>
      </w:r>
      <w:r w:rsidRPr="00127BD4">
        <w:rPr>
          <w:rFonts w:cs="Arial"/>
          <w:spacing w:val="-3"/>
        </w:rPr>
        <w:t>). Para estimarlo, se deben seguir los lineamientos que establezca el IPCC en su informe de evaluación más reciente, aplicados a las condiciones ambientales del área de influencia y a las características del proyecto, conjugando información cuantitativa y cualitativa sobre el potencial de ocurrencia de amenazas climáticas y el grado de exposición y la vulnerabilidad al cambio climático del proyecto y del entorno.</w:t>
      </w:r>
    </w:p>
    <w:p w14:paraId="5FE61DE3" w14:textId="77777777" w:rsidR="00750796" w:rsidRPr="00127BD4" w:rsidRDefault="00750796" w:rsidP="00750796">
      <w:pPr>
        <w:rPr>
          <w:rFonts w:cs="Arial"/>
          <w:spacing w:val="-3"/>
        </w:rPr>
      </w:pPr>
    </w:p>
    <w:p w14:paraId="1A157E62" w14:textId="10308D79" w:rsidR="00750796" w:rsidRPr="00127BD4" w:rsidRDefault="00750796" w:rsidP="00750796">
      <w:pPr>
        <w:rPr>
          <w:rFonts w:cs="Arial"/>
          <w:spacing w:val="-3"/>
        </w:rPr>
      </w:pPr>
      <w:r w:rsidRPr="00127BD4">
        <w:rPr>
          <w:rFonts w:cs="Arial"/>
          <w:spacing w:val="-3"/>
        </w:rPr>
        <w:t xml:space="preserve">El método de estimación del riesgo por cambio climático debe abordarse desde una perspectiva geográfica a fin de establecer diferentes grados de riesgo para el área de influencia y representar dentro de ésta, la localización de la infraestructura y obras del proyecto considerando las distintas </w:t>
      </w:r>
      <w:r w:rsidR="00FA23AA">
        <w:rPr>
          <w:spacing w:val="-3"/>
        </w:rPr>
        <w:t>etapas</w:t>
      </w:r>
      <w:r w:rsidR="00FA23AA" w:rsidRPr="005C5994" w:rsidDel="00FA23AA">
        <w:rPr>
          <w:rFonts w:cs="Arial"/>
          <w:spacing w:val="-3"/>
        </w:rPr>
        <w:t xml:space="preserve"> </w:t>
      </w:r>
      <w:r w:rsidRPr="00127BD4">
        <w:rPr>
          <w:rFonts w:cs="Arial"/>
          <w:spacing w:val="-3"/>
        </w:rPr>
        <w:t>de éste. El método de estimación del riesgo por cambio climático, así como los procedimientos para calcular las variables que lo componen y desarrollar el mapa, deben ser descritos y justificados técnicamente.</w:t>
      </w:r>
    </w:p>
    <w:p w14:paraId="459E452D" w14:textId="77777777" w:rsidR="00750796" w:rsidRPr="00127BD4" w:rsidRDefault="00750796" w:rsidP="00750796">
      <w:pPr>
        <w:rPr>
          <w:rFonts w:cs="Arial"/>
          <w:spacing w:val="-3"/>
        </w:rPr>
      </w:pPr>
    </w:p>
    <w:p w14:paraId="63D0A570" w14:textId="77777777" w:rsidR="00750796" w:rsidRPr="00127BD4" w:rsidRDefault="00750796" w:rsidP="00127BD4">
      <w:pPr>
        <w:pStyle w:val="Ttulo5"/>
        <w:tabs>
          <w:tab w:val="clear" w:pos="2160"/>
          <w:tab w:val="num" w:pos="1134"/>
        </w:tabs>
        <w:ind w:left="1134" w:hanging="1134"/>
        <w:rPr>
          <w:b w:val="0"/>
          <w:i w:val="0"/>
        </w:rPr>
      </w:pPr>
      <w:r w:rsidRPr="00127BD4">
        <w:rPr>
          <w:lang w:val="es-CO"/>
        </w:rPr>
        <w:t>Amenazas climáticas</w:t>
      </w:r>
    </w:p>
    <w:p w14:paraId="5667AE93" w14:textId="77777777" w:rsidR="00750796" w:rsidRPr="00127BD4" w:rsidRDefault="00750796" w:rsidP="00750796">
      <w:pPr>
        <w:rPr>
          <w:rFonts w:cs="Arial"/>
          <w:spacing w:val="-3"/>
        </w:rPr>
      </w:pPr>
    </w:p>
    <w:p w14:paraId="62A12507" w14:textId="77777777" w:rsidR="00750796" w:rsidRPr="00127BD4" w:rsidRDefault="00750796" w:rsidP="00750796">
      <w:pPr>
        <w:rPr>
          <w:rFonts w:cs="Arial"/>
          <w:spacing w:val="-3"/>
        </w:rPr>
      </w:pPr>
      <w:r w:rsidRPr="00127BD4">
        <w:rPr>
          <w:rFonts w:cs="Arial"/>
          <w:spacing w:val="-3"/>
        </w:rPr>
        <w:t>Esta variable, en el contexto de los estudios ambientales, se refiere a la ocurrencia potencial de un suceso físico climático de origen natural o humano que puede causar pérdidas de vidas, lesiones u otros efectos negativos sobre la salud, así como daños y pérdidas en propiedades, infraestructuras, medios de subsistencia, medios de prestación de servicios, ecosistemas, servicios ecosistémicos y demás elementos ambientales.</w:t>
      </w:r>
    </w:p>
    <w:p w14:paraId="5B165F66" w14:textId="77777777" w:rsidR="00750796" w:rsidRPr="00127BD4" w:rsidRDefault="00750796" w:rsidP="00750796">
      <w:pPr>
        <w:rPr>
          <w:rFonts w:cs="Arial"/>
          <w:spacing w:val="-3"/>
        </w:rPr>
      </w:pPr>
    </w:p>
    <w:p w14:paraId="0456AE71" w14:textId="77777777" w:rsidR="00750796" w:rsidRPr="00127BD4" w:rsidRDefault="00750796" w:rsidP="00750796">
      <w:pPr>
        <w:rPr>
          <w:rFonts w:cs="Arial"/>
          <w:spacing w:val="-3"/>
        </w:rPr>
      </w:pPr>
      <w:r w:rsidRPr="00127BD4">
        <w:rPr>
          <w:rFonts w:cs="Arial"/>
          <w:spacing w:val="-3"/>
        </w:rPr>
        <w:t xml:space="preserve">Teniendo en cuenta lo anterior, y con base en los resultados de los modelos de variabilidad y cambio climático previamente descritos, se deben identificar las amenazas climáticas, específicamente aquellas vinculadas a cambios en la precipitación y temperatura. Las amenazas pueden dividirse en dos tipos: aquellas derivadas de las tendencias a largo plazo, como el aumento del nivel del mar, el aumento de la temperatura, cambios en los patrones de precipitación y la pérdida de sumideros de carbono; y aquellas relacionadas con eventos extremos de variabilidad climática, tales como inundaciones más frecuentes e intensas, sequías prolongadas, deslizamientos, eventos meteorológicos extremos y olas de calor. </w:t>
      </w:r>
      <w:r w:rsidRPr="004E4C01">
        <w:rPr>
          <w:rFonts w:cs="Arial"/>
          <w:spacing w:val="-3"/>
        </w:rPr>
        <w:t xml:space="preserve">También deben considerarse amenazas cuya intensidad puede incrementarse por sinergias con otras presiones antrópicas, como el cambio en el uso del suelo. </w:t>
      </w:r>
      <w:r w:rsidRPr="00127BD4">
        <w:rPr>
          <w:rFonts w:cs="Arial"/>
          <w:spacing w:val="-3"/>
        </w:rPr>
        <w:t>Cada una de estas amenazas representa riesgos significativos para la infraestructura, los ecosistemas, los servicios y la salud, los cuales deben ser analizados y gestionados de manera integral en el marco de los EIA.</w:t>
      </w:r>
    </w:p>
    <w:p w14:paraId="0C6EC520" w14:textId="77777777" w:rsidR="00750796" w:rsidRPr="00127BD4" w:rsidRDefault="00750796" w:rsidP="00750796">
      <w:pPr>
        <w:rPr>
          <w:rFonts w:cs="Arial"/>
          <w:spacing w:val="-3"/>
        </w:rPr>
      </w:pPr>
    </w:p>
    <w:p w14:paraId="108D0637" w14:textId="77777777" w:rsidR="00750796" w:rsidRPr="00127BD4" w:rsidRDefault="00750796" w:rsidP="00127BD4">
      <w:pPr>
        <w:pStyle w:val="Ttulo5"/>
        <w:tabs>
          <w:tab w:val="clear" w:pos="2160"/>
          <w:tab w:val="num" w:pos="1134"/>
        </w:tabs>
        <w:ind w:left="1134" w:hanging="1134"/>
        <w:rPr>
          <w:b w:val="0"/>
          <w:i w:val="0"/>
        </w:rPr>
      </w:pPr>
      <w:r w:rsidRPr="00127BD4">
        <w:rPr>
          <w:lang w:val="es-CO"/>
        </w:rPr>
        <w:t>Elementos expuestos del proyecto o del entorno</w:t>
      </w:r>
    </w:p>
    <w:p w14:paraId="0D341831" w14:textId="77777777" w:rsidR="00750796" w:rsidRPr="00127BD4" w:rsidRDefault="00750796" w:rsidP="00750796">
      <w:pPr>
        <w:rPr>
          <w:rFonts w:cs="Arial"/>
          <w:spacing w:val="-3"/>
        </w:rPr>
      </w:pPr>
    </w:p>
    <w:p w14:paraId="2290C9B9" w14:textId="77777777" w:rsidR="00750796" w:rsidRPr="00127BD4" w:rsidRDefault="00750796" w:rsidP="00750796">
      <w:pPr>
        <w:rPr>
          <w:rFonts w:cs="Arial"/>
          <w:spacing w:val="-3"/>
        </w:rPr>
      </w:pPr>
      <w:r w:rsidRPr="00127BD4">
        <w:rPr>
          <w:rFonts w:cs="Arial"/>
          <w:spacing w:val="-3"/>
        </w:rPr>
        <w:t>Se deben determinar los elementos del proyecto o del entorno que están expuestos a amenazas climáticas (de evolución lenta o eventos extremos) bajo condiciones climáticas actuales y futuras</w:t>
      </w:r>
      <w:r w:rsidRPr="00127BD4">
        <w:rPr>
          <w:rFonts w:cs="Arial"/>
          <w:spacing w:val="-3"/>
          <w:vertAlign w:val="superscript"/>
        </w:rPr>
        <w:footnoteReference w:id="280"/>
      </w:r>
      <w:r w:rsidRPr="00127BD4">
        <w:rPr>
          <w:rFonts w:cs="Arial"/>
          <w:spacing w:val="-3"/>
        </w:rPr>
        <w:t>. Con este fin, se debe identificar qué elementos señalados en la Dimensión ambiental del plan de gestión del riesgo y en los instrumentos de planificación ambiental, territorial y sectorial aplicables (p. ej. POT, POMCA, Planes de Desarrollo Municipal, Planes Integrales de Gestión del Cambio Climático Territoriales y Sectoriales – PIGCCT/S) están expuestos a amenazas climáticas o bien, desarrollar estudios complementarios para determinar qué elementos cumplen con esta condición.</w:t>
      </w:r>
    </w:p>
    <w:p w14:paraId="27978158" w14:textId="77777777" w:rsidR="00750796" w:rsidRPr="00127BD4" w:rsidRDefault="00750796" w:rsidP="00750796">
      <w:pPr>
        <w:rPr>
          <w:rFonts w:cs="Arial"/>
          <w:spacing w:val="-3"/>
        </w:rPr>
      </w:pPr>
    </w:p>
    <w:p w14:paraId="7A49DD37" w14:textId="77777777" w:rsidR="00750796" w:rsidRPr="00127BD4" w:rsidRDefault="00750796" w:rsidP="00750796">
      <w:pPr>
        <w:rPr>
          <w:rFonts w:cs="Arial"/>
          <w:spacing w:val="-3"/>
        </w:rPr>
      </w:pPr>
      <w:r w:rsidRPr="00127BD4">
        <w:rPr>
          <w:rFonts w:cs="Arial"/>
          <w:spacing w:val="-3"/>
        </w:rPr>
        <w:t>Asimismo, a partir de una evaluación cualitativa o cuantitativa de cada uno de los elementos expuestos del proyecto o del entorno, se debe determinar cuán expuestos están a las amenazas climáticas identificadas previamente, o si en definitiva no presentan exposición alguna. Es necesario considerar que la estimación del grado de exposición de los elementos expuestos del entorno debe realizarse sólo para aquellos elementos del ambiente sobre los que el proyecto, obra o actividad genera impactos ambientales.</w:t>
      </w:r>
    </w:p>
    <w:p w14:paraId="7EB8756C" w14:textId="77777777" w:rsidR="00750796" w:rsidRPr="00127BD4" w:rsidRDefault="00750796" w:rsidP="00750796">
      <w:pPr>
        <w:rPr>
          <w:rFonts w:cs="Arial"/>
          <w:spacing w:val="-3"/>
        </w:rPr>
      </w:pPr>
    </w:p>
    <w:p w14:paraId="057DA68D" w14:textId="77777777" w:rsidR="00750796" w:rsidRPr="00127BD4" w:rsidRDefault="00750796" w:rsidP="00750796">
      <w:pPr>
        <w:rPr>
          <w:rFonts w:cs="Arial"/>
          <w:spacing w:val="-3"/>
        </w:rPr>
      </w:pPr>
      <w:r w:rsidRPr="00127BD4">
        <w:rPr>
          <w:rFonts w:cs="Arial"/>
          <w:spacing w:val="-3"/>
        </w:rPr>
        <w:t>La determinación de elementos expuestos y la evaluación de su grado de exposición deben emplear también, información obtenida mediante recorridos de campo, entrevistas a grupos de interés (p. ej. funcionarios de oficinas de planeación municipal, comunidades, juntas de acción comunal) u otros métodos de recolección de información primaria.</w:t>
      </w:r>
    </w:p>
    <w:p w14:paraId="406B1B81" w14:textId="77777777" w:rsidR="00750796" w:rsidRDefault="00750796" w:rsidP="00750796">
      <w:pPr>
        <w:rPr>
          <w:rFonts w:cs="Arial"/>
          <w:spacing w:val="-3"/>
        </w:rPr>
      </w:pPr>
    </w:p>
    <w:p w14:paraId="27E65097" w14:textId="77777777" w:rsidR="00587E83" w:rsidRDefault="00587E83" w:rsidP="00750796">
      <w:pPr>
        <w:rPr>
          <w:rFonts w:cs="Arial"/>
          <w:spacing w:val="-3"/>
        </w:rPr>
      </w:pPr>
    </w:p>
    <w:p w14:paraId="4836BE65" w14:textId="77777777" w:rsidR="00587E83" w:rsidRPr="00127BD4" w:rsidRDefault="00587E83" w:rsidP="00750796">
      <w:pPr>
        <w:rPr>
          <w:rFonts w:cs="Arial"/>
          <w:spacing w:val="-3"/>
        </w:rPr>
      </w:pPr>
    </w:p>
    <w:p w14:paraId="680B0B1D" w14:textId="77777777" w:rsidR="00750796" w:rsidRPr="00127BD4" w:rsidRDefault="00750796" w:rsidP="00127BD4">
      <w:pPr>
        <w:pStyle w:val="Ttulo5"/>
        <w:tabs>
          <w:tab w:val="clear" w:pos="2160"/>
          <w:tab w:val="num" w:pos="1134"/>
        </w:tabs>
        <w:ind w:left="1134" w:hanging="1134"/>
        <w:rPr>
          <w:b w:val="0"/>
          <w:i w:val="0"/>
        </w:rPr>
      </w:pPr>
      <w:r w:rsidRPr="00127BD4">
        <w:rPr>
          <w:lang w:val="es-CO"/>
        </w:rPr>
        <w:lastRenderedPageBreak/>
        <w:t>Vulnerabilidad al cambio climático</w:t>
      </w:r>
    </w:p>
    <w:p w14:paraId="0AB63CEB" w14:textId="77777777" w:rsidR="00750796" w:rsidRPr="00127BD4" w:rsidRDefault="00750796" w:rsidP="00750796">
      <w:pPr>
        <w:rPr>
          <w:rFonts w:cs="Arial"/>
          <w:spacing w:val="-3"/>
        </w:rPr>
      </w:pPr>
    </w:p>
    <w:p w14:paraId="0C4BADA2" w14:textId="77777777" w:rsidR="00750796" w:rsidRPr="00127BD4" w:rsidRDefault="00750796" w:rsidP="00750796">
      <w:pPr>
        <w:rPr>
          <w:rFonts w:cs="Arial"/>
          <w:spacing w:val="-3"/>
        </w:rPr>
      </w:pPr>
      <w:r w:rsidRPr="00127BD4">
        <w:rPr>
          <w:rFonts w:cs="Arial"/>
          <w:spacing w:val="-3"/>
        </w:rPr>
        <w:t xml:space="preserve">La vulnerabilidad al cambio climático es definida por el IPCC (2022) como la </w:t>
      </w:r>
      <w:r w:rsidRPr="004E4C01">
        <w:rPr>
          <w:rFonts w:cs="Arial"/>
          <w:spacing w:val="-3"/>
        </w:rPr>
        <w:t>propensión o predisposición de un sistema a verse afectado negativamente, lo cual incluye su sensibilidad o susceptibilidad al daño, así como su capacidad limitada para enfrentar y adaptarse al cambio climático</w:t>
      </w:r>
      <w:r w:rsidRPr="00127BD4">
        <w:rPr>
          <w:rFonts w:cs="Arial"/>
          <w:spacing w:val="-3"/>
        </w:rPr>
        <w:t>. En tal sentido, la vulnerabilidad al cambio climático debe ser estimada a partir de la sensibilidad climática y la capacidad adaptativa del proyecto y del entorno.</w:t>
      </w:r>
    </w:p>
    <w:p w14:paraId="4E50E469" w14:textId="77777777" w:rsidR="00750796" w:rsidRPr="00127BD4" w:rsidRDefault="00750796" w:rsidP="00750796">
      <w:pPr>
        <w:rPr>
          <w:rFonts w:cs="Arial"/>
          <w:spacing w:val="-3"/>
        </w:rPr>
      </w:pPr>
    </w:p>
    <w:p w14:paraId="105771B4" w14:textId="77777777" w:rsidR="00750796" w:rsidRPr="00127BD4" w:rsidRDefault="00750796" w:rsidP="00750796">
      <w:pPr>
        <w:rPr>
          <w:rFonts w:cs="Arial"/>
          <w:spacing w:val="-3"/>
        </w:rPr>
      </w:pPr>
      <w:r w:rsidRPr="004E4C01">
        <w:rPr>
          <w:rFonts w:cs="Arial"/>
          <w:spacing w:val="-3"/>
        </w:rPr>
        <w:t>Dado que la sensibilidad climática al daño se define como el grado en que un sistema o especie resulta afectado, positiva o negativamente por la variabilidad o el cambio climático de manera directa (p. ej. una variación del rendimiento de los cultivos en respuesta a una variación de la temperatura media) o indirecta (p. ej. los daños causados por un aumento de la frecuencia de inundaciones costeras como consecuencia de una elevación del nivel del mar) (IPCC, 2022), es necesario desarrollar una evaluación cuantitativa o cualitativa para asignar un valor a la susceptibilidad intrínseca de cada elemento expuesto frente a las amenazas climáticas identificadas.</w:t>
      </w:r>
    </w:p>
    <w:p w14:paraId="05B1CCE7" w14:textId="77777777" w:rsidR="00750796" w:rsidRPr="00127BD4" w:rsidRDefault="00750796" w:rsidP="00750796">
      <w:pPr>
        <w:rPr>
          <w:rFonts w:cs="Arial"/>
          <w:spacing w:val="-3"/>
        </w:rPr>
      </w:pPr>
    </w:p>
    <w:p w14:paraId="110E6A7A" w14:textId="77777777" w:rsidR="00750796" w:rsidRPr="00127BD4" w:rsidRDefault="00750796" w:rsidP="00750796">
      <w:pPr>
        <w:rPr>
          <w:rFonts w:cs="Arial"/>
          <w:spacing w:val="-3"/>
        </w:rPr>
      </w:pPr>
      <w:r w:rsidRPr="00127BD4">
        <w:rPr>
          <w:rFonts w:cs="Arial"/>
          <w:spacing w:val="-3"/>
        </w:rPr>
        <w:t>Esta evaluación debe basarse en los posibles daños de la amenaza climática sobre los elementos expuestos. Se debe estimar el grado de afectación sobre los elementos expuestos identificados considerando los modelos de variabilidad y cambio climático basados en el cambio en la temperatura y la precipitación, así como otros modelos desarrollados (p. ej. para los ecosistemas o algunos atributos hidrológicos o hidrogeológicos).</w:t>
      </w:r>
    </w:p>
    <w:p w14:paraId="71177267" w14:textId="77777777" w:rsidR="00750796" w:rsidRPr="00127BD4" w:rsidRDefault="00750796" w:rsidP="00750796">
      <w:pPr>
        <w:rPr>
          <w:rFonts w:cs="Arial"/>
          <w:spacing w:val="-3"/>
        </w:rPr>
      </w:pPr>
    </w:p>
    <w:p w14:paraId="2B8CE071" w14:textId="31B01AA6" w:rsidR="00750796" w:rsidRPr="004E4C01" w:rsidRDefault="00750796" w:rsidP="00750796">
      <w:pPr>
        <w:rPr>
          <w:rFonts w:cs="Arial"/>
          <w:spacing w:val="-3"/>
        </w:rPr>
      </w:pPr>
      <w:r w:rsidRPr="00127BD4">
        <w:rPr>
          <w:rFonts w:cs="Arial"/>
          <w:spacing w:val="-3"/>
        </w:rPr>
        <w:t xml:space="preserve">De otro lado, la capacidad adaptativa es definida por el IPCC (2022) como </w:t>
      </w:r>
      <w:r w:rsidRPr="004E4C01">
        <w:rPr>
          <w:rFonts w:cs="Arial"/>
          <w:spacing w:val="-3"/>
        </w:rPr>
        <w:t xml:space="preserve">la habilidad de los sistemas, las instituciones, las personas y otros organismos para ajustarse a posibles daños, aprovechar oportunidades o enfrentar las consecuencias del cambio climático. Ya que esta capacidad está influenciada por condiciones estructurales como la disponibilidad y el acceso a recursos económicos, infraestructura, tecnología, conocimiento, redes institucionales, factores culturales y de gobernanza y características propias de los ecosistemas, </w:t>
      </w:r>
      <w:r w:rsidRPr="00127BD4">
        <w:rPr>
          <w:rFonts w:cs="Arial"/>
          <w:spacing w:val="-3"/>
        </w:rPr>
        <w:t>es necesario determinar y analizar cuantitativa y cualitativamente el estado de estas variables condicionantes, para evaluar la capacidad adaptativa de los elementos expuestos del proyecto y el entorno frente a las amenazas climáticas.</w:t>
      </w:r>
    </w:p>
    <w:p w14:paraId="568B0ED0" w14:textId="77777777" w:rsidR="00750796" w:rsidRPr="004E4C01" w:rsidRDefault="00750796" w:rsidP="00750796">
      <w:pPr>
        <w:rPr>
          <w:rFonts w:cs="Arial"/>
          <w:spacing w:val="-3"/>
        </w:rPr>
      </w:pPr>
    </w:p>
    <w:p w14:paraId="2FC43182" w14:textId="32DD48EC" w:rsidR="00750796" w:rsidRPr="004E4C01" w:rsidRDefault="00750796" w:rsidP="00750796">
      <w:pPr>
        <w:rPr>
          <w:rFonts w:cs="Arial"/>
          <w:spacing w:val="-3"/>
        </w:rPr>
      </w:pPr>
      <w:r w:rsidRPr="004E4C01">
        <w:rPr>
          <w:rFonts w:cs="Arial"/>
          <w:spacing w:val="-3"/>
        </w:rPr>
        <w:t xml:space="preserve">La estimación y análisis de la vulnerabilidad climática del proyecto y del entorno debe tener en cuenta la información desarrollada en los escenarios prospectivos de variabilidad y cambio climático, así como los resultados de la determinación y valoración de impactos ambientales (numeral </w:t>
      </w:r>
      <w:r w:rsidR="00B87BC8" w:rsidRPr="004E4C01">
        <w:rPr>
          <w:rFonts w:cs="Arial"/>
          <w:spacing w:val="-3"/>
        </w:rPr>
        <w:fldChar w:fldCharType="begin"/>
      </w:r>
      <w:r w:rsidR="00B87BC8" w:rsidRPr="004E4C01">
        <w:rPr>
          <w:rFonts w:cs="Arial"/>
          <w:spacing w:val="-3"/>
        </w:rPr>
        <w:instrText xml:space="preserve"> REF _Ref208927603 \r \h </w:instrText>
      </w:r>
      <w:r w:rsidR="00B87BC8" w:rsidRPr="004E4C01">
        <w:rPr>
          <w:rFonts w:cs="Arial"/>
          <w:spacing w:val="-3"/>
        </w:rPr>
      </w:r>
      <w:r w:rsidR="00B87BC8" w:rsidRPr="004E4C01">
        <w:rPr>
          <w:rFonts w:cs="Arial"/>
          <w:spacing w:val="-3"/>
        </w:rPr>
        <w:fldChar w:fldCharType="separate"/>
      </w:r>
      <w:r w:rsidR="009C4A81">
        <w:rPr>
          <w:rFonts w:cs="Arial"/>
          <w:spacing w:val="-3"/>
        </w:rPr>
        <w:t>7</w:t>
      </w:r>
      <w:r w:rsidR="00B87BC8" w:rsidRPr="004E4C01">
        <w:rPr>
          <w:rFonts w:cs="Arial"/>
          <w:spacing w:val="-3"/>
        </w:rPr>
        <w:fldChar w:fldCharType="end"/>
      </w:r>
      <w:r w:rsidRPr="004E4C01">
        <w:rPr>
          <w:rFonts w:cs="Arial"/>
          <w:spacing w:val="-3"/>
        </w:rPr>
        <w:t>) para definir cómo los impactos previstos del proyecto afectan dicha vulnerabilidad. Este procedimiento debe integrar diversas variables, gestionar incertidumbres y validar los resultados, con el fin de alinearse con las mejores prácticas internacionales, tal como lo establece el IPCC AR6 (Capítulos 16 y 17).</w:t>
      </w:r>
    </w:p>
    <w:p w14:paraId="14AC09F1" w14:textId="77777777" w:rsidR="00750796" w:rsidRPr="004E4C01" w:rsidRDefault="00750796" w:rsidP="00750796">
      <w:pPr>
        <w:rPr>
          <w:rFonts w:cs="Arial"/>
          <w:spacing w:val="-3"/>
        </w:rPr>
      </w:pPr>
    </w:p>
    <w:p w14:paraId="2706217E" w14:textId="77777777" w:rsidR="00750796" w:rsidRPr="004E4C01" w:rsidRDefault="00750796" w:rsidP="00750796">
      <w:pPr>
        <w:rPr>
          <w:rFonts w:cs="Arial"/>
          <w:spacing w:val="-3"/>
        </w:rPr>
      </w:pPr>
      <w:r w:rsidRPr="004E4C01">
        <w:rPr>
          <w:rFonts w:cs="Arial"/>
          <w:spacing w:val="-3"/>
        </w:rPr>
        <w:lastRenderedPageBreak/>
        <w:t>Para estimar y analizar la vulnerabilidad, se debe evaluar primero la vulnerabilidad climática del entorno en ausencia del proyecto y, a partir de ello, identificar cómo la ejecución del proyecto podría modificar las condiciones de exposición, sensibilidad o capacidad adaptativa de sus elementos expuestos. Esta información es clave para orientar la formulación de medidas de adaptación hacia el fortalecimiento de la resiliencia de los sistemas sociales y ecológicos involucrados y hacia el aprovechamiento de oportunidades que mejoren su respuesta frente a los impactos del cambio climático.</w:t>
      </w:r>
    </w:p>
    <w:p w14:paraId="313FA86E" w14:textId="77777777" w:rsidR="00750796" w:rsidRPr="004E4C01" w:rsidRDefault="00750796" w:rsidP="00750796">
      <w:pPr>
        <w:rPr>
          <w:rFonts w:cs="Arial"/>
          <w:spacing w:val="-3"/>
        </w:rPr>
      </w:pPr>
    </w:p>
    <w:p w14:paraId="722D4CA3" w14:textId="77777777" w:rsidR="00750796" w:rsidRPr="00127BD4" w:rsidRDefault="00750796" w:rsidP="00750796">
      <w:pPr>
        <w:rPr>
          <w:rFonts w:cs="Arial"/>
          <w:spacing w:val="-3"/>
        </w:rPr>
      </w:pPr>
      <w:r w:rsidRPr="00127BD4">
        <w:rPr>
          <w:rFonts w:cs="Arial"/>
          <w:spacing w:val="-3"/>
        </w:rPr>
        <w:t>Se debe describir y justificar técnicamente el método cuantitativo o cualitativo aplicado para estimar tanto la vulnerabilidad al cambio climático, como las variables que la componen.</w:t>
      </w:r>
      <w:r w:rsidRPr="004E4C01">
        <w:rPr>
          <w:rFonts w:cs="Arial"/>
          <w:spacing w:val="-3"/>
        </w:rPr>
        <w:t xml:space="preserve"> </w:t>
      </w:r>
      <w:r w:rsidRPr="00127BD4">
        <w:rPr>
          <w:rFonts w:cs="Arial"/>
          <w:spacing w:val="-3"/>
        </w:rPr>
        <w:t>Además, debe verificarse la consistencia y fiabilidad de los resultados obtenidos, por ejemplo, contrastándolos con información contenida en estudios de entidades oficiales como el Ideam o en los POT, PIGCCT o POMCA, así como validando la coherencia interna de los datos utilizados y considerando percepciones locales obtenidas en campo.</w:t>
      </w:r>
    </w:p>
    <w:p w14:paraId="4EE210C2" w14:textId="77777777" w:rsidR="00750796" w:rsidRPr="00127BD4" w:rsidRDefault="00750796" w:rsidP="00750796">
      <w:pPr>
        <w:rPr>
          <w:rFonts w:cs="Arial"/>
          <w:spacing w:val="-3"/>
        </w:rPr>
      </w:pPr>
    </w:p>
    <w:p w14:paraId="51A9D2F1" w14:textId="77777777" w:rsidR="00750796" w:rsidRPr="00127BD4" w:rsidRDefault="00750796" w:rsidP="00127BD4">
      <w:pPr>
        <w:pStyle w:val="Ttulo4"/>
        <w:tabs>
          <w:tab w:val="clear" w:pos="1844"/>
          <w:tab w:val="num" w:pos="1134"/>
        </w:tabs>
        <w:ind w:left="0"/>
        <w:rPr>
          <w:lang w:val="es-CO"/>
        </w:rPr>
      </w:pPr>
      <w:r w:rsidRPr="00127BD4">
        <w:rPr>
          <w:lang w:val="es-CO"/>
        </w:rPr>
        <w:t>Medidas de adaptación al cambio climático</w:t>
      </w:r>
    </w:p>
    <w:p w14:paraId="7B0E5A0A" w14:textId="77777777" w:rsidR="00750796" w:rsidRPr="004E4C01" w:rsidRDefault="00750796" w:rsidP="00750796">
      <w:pPr>
        <w:rPr>
          <w:rFonts w:cs="Arial"/>
          <w:spacing w:val="-3"/>
        </w:rPr>
      </w:pPr>
    </w:p>
    <w:p w14:paraId="70A12073" w14:textId="77777777" w:rsidR="00750796" w:rsidRPr="00127BD4" w:rsidRDefault="00750796" w:rsidP="00750796">
      <w:pPr>
        <w:rPr>
          <w:rFonts w:cs="Arial"/>
          <w:spacing w:val="-3"/>
        </w:rPr>
      </w:pPr>
      <w:r w:rsidRPr="004E4C01">
        <w:rPr>
          <w:rFonts w:cs="Arial"/>
          <w:spacing w:val="-3"/>
        </w:rPr>
        <w:t>A partir de los resultados del análisis de vulnerabilidad, del análisis de resiliencia y de la estimación del riesgo por cambio climático, se deben formular opciones de adaptación, entendidas como el conjunto de líneas de acción para reducir el riesgo climático.</w:t>
      </w:r>
      <w:r w:rsidRPr="00127BD4">
        <w:rPr>
          <w:rFonts w:cs="Arial"/>
          <w:spacing w:val="-3"/>
        </w:rPr>
        <w:t xml:space="preserve"> A partir de estas opciones, se deben formular medidas de adaptación concretas que puedan ser desarrolladas a través de acciones específicas cuyo propósito sea reducir la vulnerabilidad, incrementar la resiliencia</w:t>
      </w:r>
      <w:r w:rsidRPr="00127BD4">
        <w:rPr>
          <w:rFonts w:cs="Arial"/>
          <w:spacing w:val="-3"/>
          <w:vertAlign w:val="superscript"/>
        </w:rPr>
        <w:footnoteReference w:id="281"/>
      </w:r>
      <w:r w:rsidRPr="00127BD4">
        <w:rPr>
          <w:rFonts w:cs="Arial"/>
          <w:spacing w:val="-3"/>
        </w:rPr>
        <w:t xml:space="preserve"> y fortalecer la capacidad adaptativa del proyecto y de los elementos del ambiente que este pueda impactar (p. ej. ecosistemas estratégicos, comunidades rurales y urbanas) frente a los potenciales impactos del cambio climático.</w:t>
      </w:r>
    </w:p>
    <w:p w14:paraId="7066CE7D" w14:textId="77777777" w:rsidR="00750796" w:rsidRPr="004E4C01" w:rsidRDefault="00750796" w:rsidP="00750796">
      <w:pPr>
        <w:rPr>
          <w:rFonts w:cs="Arial"/>
          <w:spacing w:val="-3"/>
        </w:rPr>
      </w:pPr>
    </w:p>
    <w:p w14:paraId="330C9536" w14:textId="4BFB14EA" w:rsidR="00750796" w:rsidRPr="004E4C01" w:rsidRDefault="00750796" w:rsidP="00750796">
      <w:pPr>
        <w:rPr>
          <w:rFonts w:cs="Arial"/>
          <w:spacing w:val="-3"/>
        </w:rPr>
      </w:pPr>
      <w:r w:rsidRPr="004E4C01">
        <w:rPr>
          <w:rFonts w:cs="Arial"/>
          <w:spacing w:val="-3"/>
        </w:rPr>
        <w:t xml:space="preserve">La formulación de las medidas de adaptación debe considerar, además, los resultados del proceso de participación con los grupos de interés del área de influencia con el fin de incorporar su conocimiento y experiencia, así como de </w:t>
      </w:r>
      <w:r w:rsidR="00E74453">
        <w:rPr>
          <w:rFonts w:cs="Arial"/>
          <w:spacing w:val="-3"/>
        </w:rPr>
        <w:t>prevenir</w:t>
      </w:r>
      <w:r w:rsidRPr="004E4C01">
        <w:rPr>
          <w:rFonts w:cs="Arial"/>
          <w:spacing w:val="-3"/>
        </w:rPr>
        <w:t xml:space="preserve"> la configuración de conflictos socioambientales. Estas medidas deben desarrollarse bajo un enfoque integral que, tomando en cuenta las condiciones particulares del proyecto y de su área de influencia, combine coherentemente diferentes acciones o enfoques como el de las soluciones basadas en la naturaleza (SbN).</w:t>
      </w:r>
    </w:p>
    <w:p w14:paraId="04C4FF94" w14:textId="77777777" w:rsidR="00750796" w:rsidRPr="004E4C01" w:rsidRDefault="00750796" w:rsidP="00750796">
      <w:pPr>
        <w:rPr>
          <w:rFonts w:cs="Arial"/>
          <w:spacing w:val="-3"/>
        </w:rPr>
      </w:pPr>
    </w:p>
    <w:p w14:paraId="148D84C5" w14:textId="77777777" w:rsidR="00750796" w:rsidRPr="004E4C01" w:rsidRDefault="00750796" w:rsidP="00750796">
      <w:pPr>
        <w:rPr>
          <w:rFonts w:cs="Arial"/>
          <w:spacing w:val="-3"/>
        </w:rPr>
      </w:pPr>
      <w:r w:rsidRPr="004E4C01">
        <w:rPr>
          <w:rFonts w:cs="Arial"/>
          <w:spacing w:val="-3"/>
        </w:rPr>
        <w:t xml:space="preserve">La formulación de las SbN implica la búsqueda del aprovechamiento y manejo sostenible de los ecosistemas para reducir los riesgos climáticos, fortalecer la resiliencia de las comunidades y proteger los servicios ecosistémicos esenciales; asimismo, busca complementar y reforzar las estrategias tecnológicas y sociales de adaptación. En este sentido, el planteamiento de las SbN debe integrar conocimientos técnicos y científicos, la </w:t>
      </w:r>
      <w:r w:rsidRPr="004E4C01">
        <w:rPr>
          <w:rFonts w:cs="Arial"/>
          <w:spacing w:val="-3"/>
        </w:rPr>
        <w:lastRenderedPageBreak/>
        <w:t>participación de las comunidades y una visión a largo plazo para maximizar sus beneficios y garantizar su sostenibilidad.</w:t>
      </w:r>
    </w:p>
    <w:p w14:paraId="142B2F4B" w14:textId="77777777" w:rsidR="00750796" w:rsidRPr="004E4C01" w:rsidRDefault="00750796" w:rsidP="00750796">
      <w:pPr>
        <w:rPr>
          <w:rFonts w:cs="Arial"/>
          <w:spacing w:val="-3"/>
        </w:rPr>
      </w:pPr>
    </w:p>
    <w:p w14:paraId="57C20CC9" w14:textId="77777777" w:rsidR="00750796" w:rsidRPr="004E4C01" w:rsidRDefault="00750796" w:rsidP="00750796">
      <w:pPr>
        <w:rPr>
          <w:rFonts w:cs="Arial"/>
          <w:spacing w:val="-3"/>
        </w:rPr>
      </w:pPr>
      <w:r w:rsidRPr="004E4C01">
        <w:rPr>
          <w:rFonts w:cs="Arial"/>
          <w:spacing w:val="-3"/>
        </w:rPr>
        <w:t>Las opciones y medidas se deben formular teniendo en cuenta el contexto ecosistémico y empleando, por ejemplo, la información sobre conectividad y fragmentación, así como la modelización biótica señalada más arriba en este numeral de Plan de gestión de cambio climático.</w:t>
      </w:r>
    </w:p>
    <w:p w14:paraId="4A71723B" w14:textId="77777777" w:rsidR="00750796" w:rsidRPr="004E4C01" w:rsidRDefault="00750796" w:rsidP="00750796">
      <w:pPr>
        <w:rPr>
          <w:rFonts w:cs="Arial"/>
          <w:spacing w:val="-3"/>
        </w:rPr>
      </w:pPr>
    </w:p>
    <w:p w14:paraId="7D381AE5" w14:textId="77777777" w:rsidR="00750796" w:rsidRPr="004E4C01" w:rsidRDefault="00750796" w:rsidP="00750796">
      <w:pPr>
        <w:rPr>
          <w:rFonts w:cs="Arial"/>
          <w:spacing w:val="-3"/>
        </w:rPr>
      </w:pPr>
      <w:r w:rsidRPr="004E4C01">
        <w:rPr>
          <w:rFonts w:cs="Arial"/>
          <w:spacing w:val="-3"/>
        </w:rPr>
        <w:t>Con el fin de dar mayor consistencia al Plan de gestión de cambio climático, es necesario que se identifiquen las medidas de adaptación que generan co-beneficios en mitigación de GEI y viceversa, y también, que se señalen las medidas de adaptación que producen aportes adicionales a las metas sobre cambio climático de las iniciativas de las autoridades ambientales o territoriales, por ejemplo, las establecidas en sus planes de acción.</w:t>
      </w:r>
    </w:p>
    <w:p w14:paraId="6C6CBEBF" w14:textId="77777777" w:rsidR="00750796" w:rsidRPr="004E4C01" w:rsidRDefault="00750796" w:rsidP="00750796">
      <w:pPr>
        <w:rPr>
          <w:rFonts w:cs="Arial"/>
          <w:spacing w:val="-3"/>
        </w:rPr>
      </w:pPr>
    </w:p>
    <w:p w14:paraId="22DE9375" w14:textId="77777777" w:rsidR="00750796" w:rsidRPr="004E4C01" w:rsidRDefault="00750796" w:rsidP="00750796">
      <w:pPr>
        <w:rPr>
          <w:rFonts w:cs="Arial"/>
          <w:spacing w:val="-3"/>
        </w:rPr>
      </w:pPr>
      <w:r w:rsidRPr="004E4C01">
        <w:rPr>
          <w:rFonts w:cs="Arial"/>
          <w:spacing w:val="-3"/>
        </w:rPr>
        <w:t>Para la presentación de cada una de las medidas de adaptación al cambio climático se debe definir:</w:t>
      </w:r>
    </w:p>
    <w:p w14:paraId="4FCBC2E6" w14:textId="77777777" w:rsidR="00750796" w:rsidRPr="00127BD4" w:rsidRDefault="00750796" w:rsidP="00750796">
      <w:pPr>
        <w:rPr>
          <w:rFonts w:cs="Arial"/>
          <w:spacing w:val="-3"/>
        </w:rPr>
      </w:pPr>
    </w:p>
    <w:p w14:paraId="5700D1C3" w14:textId="77777777" w:rsidR="00750796" w:rsidRPr="004E4C01" w:rsidRDefault="00750796" w:rsidP="00127BD4">
      <w:pPr>
        <w:numPr>
          <w:ilvl w:val="0"/>
          <w:numId w:val="51"/>
        </w:numPr>
        <w:ind w:left="567" w:hanging="567"/>
        <w:rPr>
          <w:rFonts w:cs="Arial"/>
          <w:spacing w:val="-3"/>
        </w:rPr>
      </w:pPr>
      <w:r w:rsidRPr="004E4C01">
        <w:rPr>
          <w:rFonts w:cs="Arial"/>
          <w:spacing w:val="-3"/>
        </w:rPr>
        <w:t>Nombre.</w:t>
      </w:r>
    </w:p>
    <w:p w14:paraId="557C085F" w14:textId="77777777" w:rsidR="00750796" w:rsidRPr="004E4C01" w:rsidRDefault="00750796" w:rsidP="00127BD4">
      <w:pPr>
        <w:ind w:left="567" w:hanging="567"/>
        <w:rPr>
          <w:rFonts w:cs="Arial"/>
          <w:spacing w:val="-3"/>
        </w:rPr>
      </w:pPr>
    </w:p>
    <w:p w14:paraId="1259F8E2" w14:textId="77777777" w:rsidR="00750796" w:rsidRPr="00127BD4" w:rsidRDefault="00750796" w:rsidP="00127BD4">
      <w:pPr>
        <w:numPr>
          <w:ilvl w:val="0"/>
          <w:numId w:val="51"/>
        </w:numPr>
        <w:ind w:left="567" w:hanging="567"/>
        <w:rPr>
          <w:rFonts w:cs="Arial"/>
          <w:spacing w:val="-3"/>
        </w:rPr>
      </w:pPr>
      <w:r w:rsidRPr="004E4C01">
        <w:rPr>
          <w:rFonts w:cs="Arial"/>
          <w:spacing w:val="-3"/>
        </w:rPr>
        <w:t>Objetivos.</w:t>
      </w:r>
    </w:p>
    <w:p w14:paraId="20ADBDCF" w14:textId="77777777" w:rsidR="00750796" w:rsidRPr="004E4C01" w:rsidRDefault="00750796" w:rsidP="00127BD4">
      <w:pPr>
        <w:ind w:left="567" w:hanging="567"/>
        <w:rPr>
          <w:rFonts w:cs="Arial"/>
          <w:spacing w:val="-3"/>
        </w:rPr>
      </w:pPr>
    </w:p>
    <w:p w14:paraId="44578185" w14:textId="77777777" w:rsidR="00750796" w:rsidRPr="00127BD4" w:rsidRDefault="00750796" w:rsidP="00127BD4">
      <w:pPr>
        <w:numPr>
          <w:ilvl w:val="0"/>
          <w:numId w:val="51"/>
        </w:numPr>
        <w:ind w:left="567" w:hanging="567"/>
        <w:rPr>
          <w:rFonts w:cs="Arial"/>
          <w:spacing w:val="-3"/>
        </w:rPr>
      </w:pPr>
      <w:r w:rsidRPr="004E4C01">
        <w:rPr>
          <w:rFonts w:cs="Arial"/>
          <w:spacing w:val="-3"/>
        </w:rPr>
        <w:t>Meta relacionada con cada objetivo. Las metas deben especificar qué resultados finales y parciales se espera obtener mediante la aplicación de la medida.</w:t>
      </w:r>
    </w:p>
    <w:p w14:paraId="6C10A48E" w14:textId="77777777" w:rsidR="00750796" w:rsidRPr="004E4C01" w:rsidRDefault="00750796" w:rsidP="00127BD4">
      <w:pPr>
        <w:ind w:left="567" w:hanging="567"/>
        <w:rPr>
          <w:rFonts w:cs="Arial"/>
          <w:spacing w:val="-3"/>
        </w:rPr>
      </w:pPr>
    </w:p>
    <w:p w14:paraId="5585C23D" w14:textId="77777777" w:rsidR="00750796" w:rsidRPr="00127BD4" w:rsidRDefault="00750796" w:rsidP="00127BD4">
      <w:pPr>
        <w:numPr>
          <w:ilvl w:val="0"/>
          <w:numId w:val="51"/>
        </w:numPr>
        <w:ind w:left="567" w:hanging="567"/>
        <w:rPr>
          <w:rFonts w:cs="Arial"/>
          <w:spacing w:val="-3"/>
        </w:rPr>
      </w:pPr>
      <w:r w:rsidRPr="004E4C01">
        <w:rPr>
          <w:rFonts w:cs="Arial"/>
          <w:spacing w:val="-3"/>
        </w:rPr>
        <w:t>Descripción de la medida y sus acciones (breve descripción de las acciones mediante las que se desarrolla la medida).</w:t>
      </w:r>
    </w:p>
    <w:p w14:paraId="0779724F" w14:textId="77777777" w:rsidR="00750796" w:rsidRPr="004E4C01" w:rsidRDefault="00750796" w:rsidP="00127BD4">
      <w:pPr>
        <w:ind w:left="567" w:hanging="567"/>
        <w:rPr>
          <w:rFonts w:cs="Arial"/>
          <w:spacing w:val="-3"/>
        </w:rPr>
      </w:pPr>
    </w:p>
    <w:p w14:paraId="5922F380" w14:textId="77777777" w:rsidR="00750796" w:rsidRPr="00127BD4" w:rsidRDefault="00750796" w:rsidP="00127BD4">
      <w:pPr>
        <w:numPr>
          <w:ilvl w:val="0"/>
          <w:numId w:val="51"/>
        </w:numPr>
        <w:ind w:left="567" w:hanging="567"/>
        <w:rPr>
          <w:rFonts w:cs="Arial"/>
          <w:spacing w:val="-3"/>
        </w:rPr>
      </w:pPr>
      <w:r w:rsidRPr="004E4C01">
        <w:rPr>
          <w:rFonts w:cs="Arial"/>
          <w:spacing w:val="-3"/>
        </w:rPr>
        <w:t>Limitantes de implementación de la medida.</w:t>
      </w:r>
    </w:p>
    <w:p w14:paraId="2CE4552F" w14:textId="77777777" w:rsidR="00750796" w:rsidRPr="004E4C01" w:rsidRDefault="00750796" w:rsidP="00127BD4">
      <w:pPr>
        <w:ind w:left="567" w:hanging="567"/>
        <w:rPr>
          <w:rFonts w:cs="Arial"/>
          <w:spacing w:val="-3"/>
        </w:rPr>
      </w:pPr>
    </w:p>
    <w:p w14:paraId="4EA4C430" w14:textId="77777777" w:rsidR="00750796" w:rsidRPr="00127BD4" w:rsidRDefault="00750796" w:rsidP="00127BD4">
      <w:pPr>
        <w:numPr>
          <w:ilvl w:val="0"/>
          <w:numId w:val="51"/>
        </w:numPr>
        <w:ind w:left="567" w:hanging="567"/>
        <w:rPr>
          <w:rFonts w:cs="Arial"/>
          <w:spacing w:val="-3"/>
        </w:rPr>
      </w:pPr>
      <w:r w:rsidRPr="004E4C01">
        <w:rPr>
          <w:rFonts w:cs="Arial"/>
          <w:spacing w:val="-3"/>
        </w:rPr>
        <w:t>Lugares de implementación.</w:t>
      </w:r>
    </w:p>
    <w:p w14:paraId="220756A8" w14:textId="77777777" w:rsidR="00750796" w:rsidRPr="004E4C01" w:rsidRDefault="00750796" w:rsidP="00127BD4">
      <w:pPr>
        <w:ind w:left="567" w:hanging="567"/>
        <w:rPr>
          <w:rFonts w:cs="Arial"/>
          <w:spacing w:val="-3"/>
        </w:rPr>
      </w:pPr>
    </w:p>
    <w:p w14:paraId="0E94301E" w14:textId="77777777" w:rsidR="00750796" w:rsidRPr="00127BD4" w:rsidRDefault="00750796" w:rsidP="00127BD4">
      <w:pPr>
        <w:numPr>
          <w:ilvl w:val="0"/>
          <w:numId w:val="51"/>
        </w:numPr>
        <w:ind w:left="567" w:hanging="567"/>
        <w:rPr>
          <w:rFonts w:cs="Arial"/>
          <w:spacing w:val="-3"/>
        </w:rPr>
      </w:pPr>
      <w:r w:rsidRPr="004E4C01">
        <w:rPr>
          <w:rFonts w:cs="Arial"/>
          <w:spacing w:val="-3"/>
        </w:rPr>
        <w:t>Beneficios de implementación.</w:t>
      </w:r>
    </w:p>
    <w:p w14:paraId="6606B481" w14:textId="77777777" w:rsidR="00750796" w:rsidRPr="004E4C01" w:rsidRDefault="00750796" w:rsidP="00127BD4">
      <w:pPr>
        <w:ind w:left="567" w:hanging="567"/>
        <w:rPr>
          <w:rFonts w:cs="Arial"/>
          <w:spacing w:val="-3"/>
        </w:rPr>
      </w:pPr>
    </w:p>
    <w:p w14:paraId="2A47AF40" w14:textId="77777777" w:rsidR="00750796" w:rsidRPr="00127BD4" w:rsidRDefault="00750796" w:rsidP="00127BD4">
      <w:pPr>
        <w:numPr>
          <w:ilvl w:val="0"/>
          <w:numId w:val="51"/>
        </w:numPr>
        <w:ind w:left="567" w:hanging="567"/>
        <w:rPr>
          <w:rFonts w:cs="Arial"/>
          <w:spacing w:val="-3"/>
        </w:rPr>
      </w:pPr>
      <w:r w:rsidRPr="004E4C01">
        <w:rPr>
          <w:rFonts w:cs="Arial"/>
          <w:spacing w:val="-3"/>
        </w:rPr>
        <w:t>Tipo o enfoque de la medida de adaptación (Adaptación basada en Ecosistemas -AbE, en Comunidades -AbC, en Infraestructura -AbI, entre otras).</w:t>
      </w:r>
    </w:p>
    <w:p w14:paraId="1B1B03CB" w14:textId="77777777" w:rsidR="00750796" w:rsidRPr="004E4C01" w:rsidRDefault="00750796" w:rsidP="00127BD4">
      <w:pPr>
        <w:ind w:left="567" w:hanging="567"/>
        <w:rPr>
          <w:rFonts w:cs="Arial"/>
          <w:spacing w:val="-3"/>
        </w:rPr>
      </w:pPr>
    </w:p>
    <w:p w14:paraId="766D388B" w14:textId="77777777" w:rsidR="00750796" w:rsidRPr="004E4C01" w:rsidRDefault="00750796" w:rsidP="00127BD4">
      <w:pPr>
        <w:numPr>
          <w:ilvl w:val="0"/>
          <w:numId w:val="51"/>
        </w:numPr>
        <w:ind w:left="567" w:hanging="567"/>
        <w:rPr>
          <w:rFonts w:cs="Arial"/>
          <w:spacing w:val="-3"/>
        </w:rPr>
      </w:pPr>
      <w:r w:rsidRPr="004E4C01">
        <w:rPr>
          <w:rFonts w:cs="Arial"/>
          <w:spacing w:val="-3"/>
        </w:rPr>
        <w:t>Dimensión</w:t>
      </w:r>
      <w:r w:rsidRPr="00127BD4">
        <w:rPr>
          <w:rFonts w:cs="Arial"/>
          <w:spacing w:val="-3"/>
          <w:vertAlign w:val="superscript"/>
        </w:rPr>
        <w:footnoteReference w:id="282"/>
      </w:r>
      <w:r w:rsidRPr="004E4C01">
        <w:rPr>
          <w:rFonts w:cs="Arial"/>
          <w:spacing w:val="-3"/>
        </w:rPr>
        <w:t xml:space="preserve"> de la última comunicación en adaptación de país disponible a la cual se asocia.</w:t>
      </w:r>
    </w:p>
    <w:p w14:paraId="571F165E" w14:textId="77777777" w:rsidR="00750796" w:rsidRPr="004E4C01" w:rsidRDefault="00750796" w:rsidP="00127BD4">
      <w:pPr>
        <w:ind w:left="567" w:hanging="567"/>
        <w:rPr>
          <w:rFonts w:cs="Arial"/>
          <w:spacing w:val="-3"/>
        </w:rPr>
      </w:pPr>
    </w:p>
    <w:p w14:paraId="5EAA0750" w14:textId="7A5E4133" w:rsidR="00750796" w:rsidRPr="00127BD4" w:rsidRDefault="00FA23AA" w:rsidP="00127BD4">
      <w:pPr>
        <w:numPr>
          <w:ilvl w:val="0"/>
          <w:numId w:val="51"/>
        </w:numPr>
        <w:ind w:left="567" w:hanging="567"/>
        <w:rPr>
          <w:rFonts w:cs="Arial"/>
          <w:spacing w:val="-3"/>
        </w:rPr>
      </w:pPr>
      <w:r>
        <w:rPr>
          <w:rFonts w:cs="Arial"/>
          <w:spacing w:val="-3"/>
        </w:rPr>
        <w:lastRenderedPageBreak/>
        <w:t>Etapas y f</w:t>
      </w:r>
      <w:r w:rsidR="00750796" w:rsidRPr="004E4C01">
        <w:rPr>
          <w:rFonts w:cs="Arial"/>
          <w:spacing w:val="-3"/>
        </w:rPr>
        <w:t>ases del proyecto, obra o actividad en las que se prevé su implementación.</w:t>
      </w:r>
    </w:p>
    <w:p w14:paraId="3BE768DF" w14:textId="77777777" w:rsidR="00750796" w:rsidRPr="004E4C01" w:rsidRDefault="00750796" w:rsidP="00127BD4">
      <w:pPr>
        <w:ind w:left="567" w:hanging="567"/>
        <w:rPr>
          <w:rFonts w:cs="Arial"/>
          <w:spacing w:val="-3"/>
        </w:rPr>
      </w:pPr>
    </w:p>
    <w:p w14:paraId="37AF0090" w14:textId="77777777" w:rsidR="00750796" w:rsidRPr="00127BD4" w:rsidRDefault="00750796" w:rsidP="00127BD4">
      <w:pPr>
        <w:numPr>
          <w:ilvl w:val="0"/>
          <w:numId w:val="51"/>
        </w:numPr>
        <w:ind w:left="567" w:hanging="567"/>
        <w:rPr>
          <w:rFonts w:cs="Arial"/>
          <w:spacing w:val="-3"/>
        </w:rPr>
      </w:pPr>
      <w:r w:rsidRPr="004E4C01">
        <w:rPr>
          <w:rFonts w:cs="Arial"/>
          <w:spacing w:val="-3"/>
        </w:rPr>
        <w:t xml:space="preserve">Amenaza o riesgo climático que atiende, por ejemplo, cambio en patrones de lluvia, olas de calor, cambios bruscos de temperatura, granizo, vientos fuertes, lluvias intensas, heladas, barreras o riesgo de mercado, uso insostenible de recursos locales o pérdida de conocimientos o activos. </w:t>
      </w:r>
    </w:p>
    <w:p w14:paraId="4FB56E13" w14:textId="77777777" w:rsidR="00750796" w:rsidRPr="004E4C01" w:rsidRDefault="00750796" w:rsidP="00127BD4">
      <w:pPr>
        <w:ind w:left="567" w:hanging="567"/>
        <w:rPr>
          <w:rFonts w:cs="Arial"/>
          <w:spacing w:val="-3"/>
        </w:rPr>
      </w:pPr>
    </w:p>
    <w:p w14:paraId="7E4CBFF7" w14:textId="77777777" w:rsidR="00750796" w:rsidRPr="00127BD4" w:rsidRDefault="00750796" w:rsidP="00127BD4">
      <w:pPr>
        <w:numPr>
          <w:ilvl w:val="0"/>
          <w:numId w:val="51"/>
        </w:numPr>
        <w:ind w:left="567" w:hanging="567"/>
        <w:rPr>
          <w:rFonts w:cs="Arial"/>
          <w:spacing w:val="-3"/>
        </w:rPr>
      </w:pPr>
      <w:r w:rsidRPr="004E4C01">
        <w:rPr>
          <w:rFonts w:cs="Arial"/>
          <w:spacing w:val="-3"/>
        </w:rPr>
        <w:t>Descripción detallada de cómo contribuye en la reducción del riesgo climático y sus impactos asociados.</w:t>
      </w:r>
    </w:p>
    <w:p w14:paraId="616D6A9A" w14:textId="77777777" w:rsidR="00750796" w:rsidRPr="00127BD4" w:rsidRDefault="00750796" w:rsidP="00127BD4">
      <w:pPr>
        <w:ind w:left="567" w:hanging="567"/>
        <w:rPr>
          <w:rFonts w:cs="Arial"/>
          <w:spacing w:val="-3"/>
        </w:rPr>
      </w:pPr>
    </w:p>
    <w:p w14:paraId="3D9F8A29" w14:textId="77777777" w:rsidR="00750796" w:rsidRPr="00127BD4" w:rsidRDefault="00750796" w:rsidP="00127BD4">
      <w:pPr>
        <w:numPr>
          <w:ilvl w:val="0"/>
          <w:numId w:val="51"/>
        </w:numPr>
        <w:ind w:left="567" w:hanging="567"/>
        <w:rPr>
          <w:rFonts w:cs="Arial"/>
          <w:spacing w:val="-3"/>
        </w:rPr>
      </w:pPr>
      <w:r w:rsidRPr="004E4C01">
        <w:rPr>
          <w:rFonts w:cs="Arial"/>
          <w:spacing w:val="-3"/>
        </w:rPr>
        <w:t>Impacto relacionado, por ejemplo, sequías, pérdida de productividad, pérdida de cosechas, erosión, deslizamiento, inundaciones, pérdida de ecosistemas, incendios forestales, disminución de disponibilidad de agua, reducción de seguridad alimentaria, exposición a enfermedades, dependencia económica, degradación de medios de vida o emisiones de GEI.</w:t>
      </w:r>
    </w:p>
    <w:p w14:paraId="2C84162C" w14:textId="77777777" w:rsidR="00750796" w:rsidRPr="004E4C01" w:rsidRDefault="00750796" w:rsidP="00127BD4">
      <w:pPr>
        <w:ind w:left="567" w:hanging="567"/>
        <w:rPr>
          <w:rFonts w:cs="Arial"/>
          <w:spacing w:val="-3"/>
        </w:rPr>
      </w:pPr>
    </w:p>
    <w:p w14:paraId="62535034" w14:textId="77777777" w:rsidR="00750796" w:rsidRPr="00127BD4" w:rsidRDefault="00750796" w:rsidP="00127BD4">
      <w:pPr>
        <w:numPr>
          <w:ilvl w:val="0"/>
          <w:numId w:val="51"/>
        </w:numPr>
        <w:ind w:left="567" w:hanging="567"/>
        <w:rPr>
          <w:rFonts w:cs="Arial"/>
          <w:spacing w:val="-3"/>
        </w:rPr>
      </w:pPr>
      <w:r w:rsidRPr="004E4C01">
        <w:rPr>
          <w:rFonts w:cs="Arial"/>
          <w:spacing w:val="-3"/>
        </w:rPr>
        <w:t>Cronograma de implementación, señalando fechas de inicio y finalización.</w:t>
      </w:r>
    </w:p>
    <w:p w14:paraId="3138B9E7" w14:textId="77777777" w:rsidR="00750796" w:rsidRPr="004E4C01" w:rsidRDefault="00750796" w:rsidP="00127BD4">
      <w:pPr>
        <w:ind w:left="567" w:hanging="567"/>
        <w:rPr>
          <w:rFonts w:cs="Arial"/>
          <w:spacing w:val="-3"/>
        </w:rPr>
      </w:pPr>
    </w:p>
    <w:p w14:paraId="684092AE" w14:textId="77777777" w:rsidR="00750796" w:rsidRPr="00127BD4" w:rsidRDefault="00750796" w:rsidP="00127BD4">
      <w:pPr>
        <w:numPr>
          <w:ilvl w:val="0"/>
          <w:numId w:val="51"/>
        </w:numPr>
        <w:ind w:left="567" w:hanging="567"/>
        <w:rPr>
          <w:rFonts w:cs="Arial"/>
          <w:spacing w:val="-3"/>
        </w:rPr>
      </w:pPr>
      <w:r w:rsidRPr="004E4C01">
        <w:rPr>
          <w:rFonts w:cs="Arial"/>
          <w:spacing w:val="-3"/>
        </w:rPr>
        <w:t>Estructura y análisis de los costos, detallando los principales rubros (humanos, técnicos y tecnológicos, maquinaria y equipos, materiales, entre otros) e incluyendo aquellos relacionados con el monitoreo y seguimiento a la implementación de la medida.</w:t>
      </w:r>
    </w:p>
    <w:p w14:paraId="10480D28" w14:textId="77777777" w:rsidR="00750796" w:rsidRPr="004E4C01" w:rsidRDefault="00750796" w:rsidP="00127BD4">
      <w:pPr>
        <w:ind w:left="567" w:hanging="567"/>
        <w:rPr>
          <w:rFonts w:cs="Arial"/>
          <w:spacing w:val="-3"/>
        </w:rPr>
      </w:pPr>
    </w:p>
    <w:p w14:paraId="605A13D8" w14:textId="28FE645A" w:rsidR="00750796" w:rsidRPr="00BD0E0A" w:rsidRDefault="00750796">
      <w:pPr>
        <w:numPr>
          <w:ilvl w:val="0"/>
          <w:numId w:val="51"/>
        </w:numPr>
        <w:overflowPunct/>
        <w:autoSpaceDE/>
        <w:autoSpaceDN/>
        <w:adjustRightInd/>
        <w:ind w:left="567" w:hanging="567"/>
        <w:jc w:val="left"/>
        <w:textAlignment w:val="auto"/>
        <w:rPr>
          <w:rFonts w:cs="Arial"/>
          <w:spacing w:val="-3"/>
        </w:rPr>
      </w:pPr>
      <w:r w:rsidRPr="00BD0E0A">
        <w:rPr>
          <w:rFonts w:cs="Arial"/>
          <w:spacing w:val="-3"/>
        </w:rPr>
        <w:t xml:space="preserve">Indicadores </w:t>
      </w:r>
      <w:r w:rsidR="00EB0353" w:rsidRPr="00BD0E0A">
        <w:rPr>
          <w:rFonts w:cs="Arial"/>
          <w:spacing w:val="-3"/>
        </w:rPr>
        <w:t>para medir la eficacia</w:t>
      </w:r>
      <w:r w:rsidRPr="00BD0E0A">
        <w:rPr>
          <w:rFonts w:cs="Arial"/>
          <w:spacing w:val="-3"/>
        </w:rPr>
        <w:t xml:space="preserve">. Deben formularse teniendo en cuenta los lineamientos establecidos en el numeral </w:t>
      </w:r>
      <w:r w:rsidRPr="00BD0E0A">
        <w:rPr>
          <w:rFonts w:cs="Arial"/>
          <w:spacing w:val="-3"/>
        </w:rPr>
        <w:fldChar w:fldCharType="begin"/>
      </w:r>
      <w:r w:rsidRPr="00BD0E0A">
        <w:rPr>
          <w:rFonts w:cs="Arial"/>
          <w:spacing w:val="-3"/>
        </w:rPr>
        <w:instrText xml:space="preserve"> REF _Ref175326838 \r \h </w:instrText>
      </w:r>
      <w:r w:rsidRPr="00BD0E0A">
        <w:rPr>
          <w:rFonts w:cs="Arial"/>
          <w:spacing w:val="-3"/>
        </w:rPr>
      </w:r>
      <w:r w:rsidRPr="00BD0E0A">
        <w:rPr>
          <w:rFonts w:cs="Arial"/>
          <w:spacing w:val="-3"/>
        </w:rPr>
        <w:fldChar w:fldCharType="separate"/>
      </w:r>
      <w:r w:rsidR="009C4A81">
        <w:rPr>
          <w:rFonts w:cs="Arial"/>
          <w:spacing w:val="-3"/>
        </w:rPr>
        <w:t>10.2</w:t>
      </w:r>
      <w:r w:rsidRPr="00BD0E0A">
        <w:rPr>
          <w:rFonts w:cs="Arial"/>
          <w:spacing w:val="-3"/>
        </w:rPr>
        <w:fldChar w:fldCharType="end"/>
      </w:r>
      <w:r w:rsidRPr="00BD0E0A">
        <w:rPr>
          <w:rFonts w:cs="Arial"/>
          <w:spacing w:val="-3"/>
        </w:rPr>
        <w:t xml:space="preserve"> del presente capítulo, enfocándose necesariamente en medir el impacto de la ejecución de la medida en la reducción de la vulnerabilidad y el riesgo asociado al cambio climático; complementariamente, es posible formular un indicador dirigido a verificar el cumplimiento de ejecución de la medida.</w:t>
      </w:r>
      <w:r w:rsidR="002979E8" w:rsidRPr="00BD0E0A">
        <w:rPr>
          <w:rFonts w:cs="Arial"/>
          <w:spacing w:val="-3"/>
        </w:rPr>
        <w:br w:type="page"/>
      </w:r>
    </w:p>
    <w:p w14:paraId="4D3D233F" w14:textId="3AA43512" w:rsidR="00EB3085" w:rsidRPr="00127BD4" w:rsidRDefault="00EB3085" w:rsidP="001831AE">
      <w:pPr>
        <w:pStyle w:val="Captulosinnumero"/>
        <w:rPr>
          <w:lang w:val="es-CO"/>
        </w:rPr>
      </w:pPr>
      <w:bookmarkStart w:id="11429" w:name="_Toc488245066"/>
      <w:bookmarkStart w:id="11430" w:name="_Toc488248186"/>
      <w:bookmarkStart w:id="11431" w:name="_Toc488248830"/>
      <w:bookmarkStart w:id="11432" w:name="_Toc488249446"/>
      <w:bookmarkStart w:id="11433" w:name="_Toc488250062"/>
      <w:bookmarkStart w:id="11434" w:name="_Toc488245071"/>
      <w:bookmarkStart w:id="11435" w:name="_Toc488248191"/>
      <w:bookmarkStart w:id="11436" w:name="_Toc488248835"/>
      <w:bookmarkStart w:id="11437" w:name="_Toc488249451"/>
      <w:bookmarkStart w:id="11438" w:name="_Toc488250067"/>
      <w:bookmarkStart w:id="11439" w:name="_Toc437936092"/>
      <w:bookmarkStart w:id="11440" w:name="_Toc230879725"/>
      <w:bookmarkEnd w:id="11429"/>
      <w:bookmarkEnd w:id="11430"/>
      <w:bookmarkEnd w:id="11431"/>
      <w:bookmarkEnd w:id="11432"/>
      <w:bookmarkEnd w:id="11433"/>
      <w:bookmarkEnd w:id="11434"/>
      <w:bookmarkEnd w:id="11435"/>
      <w:bookmarkEnd w:id="11436"/>
      <w:bookmarkEnd w:id="11437"/>
      <w:bookmarkEnd w:id="11438"/>
      <w:r w:rsidRPr="00127BD4">
        <w:rPr>
          <w:lang w:val="es-CO"/>
        </w:rPr>
        <w:lastRenderedPageBreak/>
        <w:t>BIBLIOGRAFÍA</w:t>
      </w:r>
      <w:bookmarkEnd w:id="11439"/>
      <w:bookmarkEnd w:id="11440"/>
    </w:p>
    <w:p w14:paraId="02D4D047" w14:textId="77777777" w:rsidR="00A23EB9" w:rsidRPr="00127BD4" w:rsidRDefault="00A23EB9" w:rsidP="00C86DA5">
      <w:pPr>
        <w:overflowPunct/>
        <w:autoSpaceDE/>
        <w:autoSpaceDN/>
        <w:adjustRightInd/>
        <w:jc w:val="left"/>
        <w:textAlignment w:val="auto"/>
        <w:rPr>
          <w:spacing w:val="-3"/>
        </w:rPr>
      </w:pPr>
      <w:bookmarkStart w:id="11441" w:name="_Toc342071423"/>
      <w:bookmarkStart w:id="11442" w:name="_Toc378923336"/>
      <w:bookmarkStart w:id="11443" w:name="_Toc387312794"/>
      <w:bookmarkStart w:id="11444" w:name="_Toc391040020"/>
      <w:bookmarkStart w:id="11445" w:name="_Toc432071675"/>
      <w:bookmarkStart w:id="11446" w:name="_Toc444507694"/>
    </w:p>
    <w:p w14:paraId="52B8D167" w14:textId="31A5D893" w:rsidR="004D1428" w:rsidRPr="006C00FC" w:rsidRDefault="004D1428">
      <w:pPr>
        <w:tabs>
          <w:tab w:val="left" w:pos="-2268"/>
        </w:tabs>
        <w:suppressAutoHyphens/>
        <w:rPr>
          <w:spacing w:val="-3"/>
          <w:lang w:val="en-US"/>
        </w:rPr>
      </w:pPr>
      <w:r w:rsidRPr="00127BD4">
        <w:rPr>
          <w:spacing w:val="-3"/>
        </w:rPr>
        <w:t xml:space="preserve">ABAJO, B., NAVARRO, D., GARCÍA, G., ZORITA, S., FELIU, E., KLETT, P., SÁNCHEZ, M. &amp; HERAS, F. Guía para la evaluación de riesgos asociados al cambio climático 2023. España: Ministerio para la Transición Ecológica y el Reto Demográfico </w:t>
      </w:r>
      <w:r w:rsidR="00A37419" w:rsidRPr="004E4C01">
        <w:rPr>
          <w:spacing w:val="-3"/>
        </w:rPr>
        <w:t>–</w:t>
      </w:r>
      <w:r w:rsidRPr="00127BD4">
        <w:rPr>
          <w:spacing w:val="-3"/>
        </w:rPr>
        <w:t xml:space="preserve">MITECO, 2023. </w:t>
      </w:r>
      <w:r w:rsidRPr="006C00FC">
        <w:rPr>
          <w:spacing w:val="-3"/>
          <w:lang w:val="en-US"/>
        </w:rPr>
        <w:t>84 p.</w:t>
      </w:r>
    </w:p>
    <w:p w14:paraId="010F0883" w14:textId="77777777" w:rsidR="004D1428" w:rsidRPr="006C00FC" w:rsidRDefault="004D1428">
      <w:pPr>
        <w:tabs>
          <w:tab w:val="left" w:pos="-2268"/>
        </w:tabs>
        <w:suppressAutoHyphens/>
        <w:rPr>
          <w:spacing w:val="-3"/>
          <w:lang w:val="en-US"/>
        </w:rPr>
      </w:pPr>
    </w:p>
    <w:p w14:paraId="1EE7E422" w14:textId="2354A372" w:rsidR="00E93E41" w:rsidRPr="006C00FC" w:rsidRDefault="00E93E41">
      <w:pPr>
        <w:tabs>
          <w:tab w:val="left" w:pos="-2268"/>
        </w:tabs>
        <w:suppressAutoHyphens/>
        <w:rPr>
          <w:spacing w:val="-3"/>
          <w:lang w:val="en-US"/>
        </w:rPr>
      </w:pPr>
      <w:r w:rsidRPr="006C00FC">
        <w:rPr>
          <w:spacing w:val="-3"/>
          <w:lang w:val="en-US"/>
        </w:rPr>
        <w:t>AMENT, R., CALLAHAN, R., MCCLURE, M. REULING, M. &amp; TABOR, G. Wildlife Connectivity: Fundamentals for conservation action. Bozeman, Montana: Center for large landscape conservation, 2014.</w:t>
      </w:r>
    </w:p>
    <w:p w14:paraId="4BD3B672" w14:textId="77777777" w:rsidR="00E93E41" w:rsidRPr="006C00FC" w:rsidRDefault="00E93E41">
      <w:pPr>
        <w:tabs>
          <w:tab w:val="left" w:pos="-2268"/>
        </w:tabs>
        <w:suppressAutoHyphens/>
        <w:rPr>
          <w:spacing w:val="-3"/>
          <w:lang w:val="en-US"/>
        </w:rPr>
      </w:pPr>
    </w:p>
    <w:p w14:paraId="303CC7D4" w14:textId="1F82D8A0" w:rsidR="00304259" w:rsidRPr="006C00FC" w:rsidRDefault="00304259" w:rsidP="000D6E21">
      <w:pPr>
        <w:rPr>
          <w:spacing w:val="-3"/>
          <w:lang w:val="en-US"/>
        </w:rPr>
      </w:pPr>
      <w:r w:rsidRPr="006C00FC">
        <w:rPr>
          <w:spacing w:val="-3"/>
          <w:lang w:val="en-US"/>
        </w:rPr>
        <w:t>AMOROS, C., &amp; BORNETTE, G. Connectivity and biocomplexity in waterbodies of riverine floodplains. Freshwater Biology. 47, 4 (2002); 761–776.</w:t>
      </w:r>
    </w:p>
    <w:p w14:paraId="4B2D7BEB" w14:textId="77777777" w:rsidR="00304259" w:rsidRPr="006C00FC" w:rsidRDefault="00304259" w:rsidP="00311FE2">
      <w:pPr>
        <w:tabs>
          <w:tab w:val="left" w:pos="-2268"/>
        </w:tabs>
        <w:suppressAutoHyphens/>
        <w:rPr>
          <w:spacing w:val="-3"/>
          <w:lang w:val="en-US"/>
        </w:rPr>
      </w:pPr>
    </w:p>
    <w:p w14:paraId="5B78D209" w14:textId="37336EC6" w:rsidR="00311FE2" w:rsidRPr="006C00FC" w:rsidRDefault="00311FE2" w:rsidP="00311FE2">
      <w:pPr>
        <w:tabs>
          <w:tab w:val="left" w:pos="-2268"/>
        </w:tabs>
        <w:suppressAutoHyphens/>
        <w:rPr>
          <w:spacing w:val="-3"/>
          <w:lang w:val="en-US"/>
        </w:rPr>
      </w:pPr>
      <w:r w:rsidRPr="006C00FC">
        <w:rPr>
          <w:spacing w:val="-3"/>
          <w:lang w:val="en-US"/>
        </w:rPr>
        <w:t>ANADÓN, J., D’AGROSA, C., GONDOR, A., GERBER, L. Quantifying the Spatial Ecology of Wide-Ranging Marine Species in the Gulf of California: Implications for Marine Conservation Planning. PLoS ONE. 6, 12 (2011) e28400; 1-10.</w:t>
      </w:r>
    </w:p>
    <w:p w14:paraId="7B861853" w14:textId="77777777" w:rsidR="00311FE2" w:rsidRPr="006C00FC" w:rsidRDefault="00311FE2" w:rsidP="00737201">
      <w:pPr>
        <w:tabs>
          <w:tab w:val="left" w:pos="-2268"/>
        </w:tabs>
        <w:suppressAutoHyphens/>
        <w:rPr>
          <w:spacing w:val="-3"/>
          <w:lang w:val="en-US"/>
        </w:rPr>
      </w:pPr>
    </w:p>
    <w:p w14:paraId="3AB6E191" w14:textId="0F20E1E0" w:rsidR="00737201" w:rsidRPr="004E4C01" w:rsidRDefault="00614041" w:rsidP="00737201">
      <w:pPr>
        <w:tabs>
          <w:tab w:val="left" w:pos="-2268"/>
        </w:tabs>
        <w:suppressAutoHyphens/>
        <w:rPr>
          <w:spacing w:val="-3"/>
        </w:rPr>
      </w:pPr>
      <w:r w:rsidRPr="006C00FC">
        <w:rPr>
          <w:spacing w:val="-3"/>
          <w:lang w:val="en-US"/>
        </w:rPr>
        <w:t>ANGARITA, H., WICKEL, A., SIEBER, J., CHAVARRO, J., MALDONADO-OCAMPO, J. HERRERA-R, G., DELGADO, J. AND PURKEY, D</w:t>
      </w:r>
      <w:r w:rsidR="00737201" w:rsidRPr="006C00FC">
        <w:rPr>
          <w:spacing w:val="-3"/>
          <w:lang w:val="en-US"/>
        </w:rPr>
        <w:t xml:space="preserve">. Basin-scale impacts of hydropower development on the Mompós Depression wetlands, Colombia. </w:t>
      </w:r>
      <w:r w:rsidR="00737201" w:rsidRPr="004E4C01">
        <w:rPr>
          <w:spacing w:val="-3"/>
        </w:rPr>
        <w:t>Hydrology and Earth System Sciences. 22, (2018); p. 2839–2865.</w:t>
      </w:r>
    </w:p>
    <w:p w14:paraId="1575E577" w14:textId="77777777" w:rsidR="00737201" w:rsidRPr="004E4C01" w:rsidRDefault="00737201">
      <w:pPr>
        <w:tabs>
          <w:tab w:val="left" w:pos="-2268"/>
        </w:tabs>
        <w:suppressAutoHyphens/>
        <w:rPr>
          <w:spacing w:val="-3"/>
        </w:rPr>
      </w:pPr>
    </w:p>
    <w:p w14:paraId="41279CC1" w14:textId="14F85231" w:rsidR="00E93E41" w:rsidRPr="006C00FC" w:rsidRDefault="00E93E41">
      <w:pPr>
        <w:tabs>
          <w:tab w:val="left" w:pos="-2268"/>
        </w:tabs>
        <w:suppressAutoHyphens/>
        <w:rPr>
          <w:spacing w:val="-3"/>
          <w:lang w:val="en-US"/>
        </w:rPr>
      </w:pPr>
      <w:r w:rsidRPr="004E4C01">
        <w:rPr>
          <w:spacing w:val="-3"/>
        </w:rPr>
        <w:t xml:space="preserve">ANGULO A., RUEDA-ALMONACID, J., RODRÍGUEZ-MAHECHA, J. &amp; LA MARCA, E. (Eds.). Técnicas de inventario y monitoreo para los anfibios de la región tropical andina. Serie Manuales de Campo Nº 2. Bogotá D.C.: Conservación Internacional. </w:t>
      </w:r>
      <w:r w:rsidRPr="006C00FC">
        <w:rPr>
          <w:spacing w:val="-3"/>
          <w:lang w:val="en-US"/>
        </w:rPr>
        <w:t>Panamericana Formas e Impresos S.A., 2006. 298 p.</w:t>
      </w:r>
    </w:p>
    <w:p w14:paraId="508115C2" w14:textId="77777777" w:rsidR="00E93E41" w:rsidRPr="006C00FC" w:rsidRDefault="00E93E41">
      <w:pPr>
        <w:tabs>
          <w:tab w:val="left" w:pos="-2268"/>
        </w:tabs>
        <w:suppressAutoHyphens/>
        <w:rPr>
          <w:spacing w:val="-3"/>
          <w:lang w:val="en-US"/>
        </w:rPr>
      </w:pPr>
    </w:p>
    <w:p w14:paraId="27B57EFE" w14:textId="77777777" w:rsidR="00E93E41" w:rsidRPr="004E4C01" w:rsidRDefault="00E93E41">
      <w:pPr>
        <w:tabs>
          <w:tab w:val="left" w:pos="-2268"/>
        </w:tabs>
        <w:suppressAutoHyphens/>
        <w:rPr>
          <w:spacing w:val="-3"/>
        </w:rPr>
      </w:pPr>
      <w:r w:rsidRPr="006C00FC">
        <w:rPr>
          <w:spacing w:val="-3"/>
          <w:lang w:val="en-US"/>
        </w:rPr>
        <w:t xml:space="preserve">AZAM, C., LE VIOL, I., JULIEN, J., BAS, Y., &amp; KERBIRIOU, C. Disentangling the relative effect of light pollution, impervious surfaces and intensive agriculture on bat activity with a national-scale monitoring program. </w:t>
      </w:r>
      <w:r w:rsidRPr="004E4C01">
        <w:rPr>
          <w:spacing w:val="-3"/>
        </w:rPr>
        <w:t>Landscape Ecology. 31, 10 (2016); p. 2471–2483.</w:t>
      </w:r>
    </w:p>
    <w:p w14:paraId="1EC72F0F" w14:textId="77777777" w:rsidR="00E93E41" w:rsidRPr="004E4C01" w:rsidRDefault="00E93E41">
      <w:pPr>
        <w:tabs>
          <w:tab w:val="left" w:pos="-2268"/>
        </w:tabs>
        <w:suppressAutoHyphens/>
        <w:rPr>
          <w:spacing w:val="-3"/>
        </w:rPr>
      </w:pPr>
    </w:p>
    <w:p w14:paraId="43339ED8" w14:textId="216FD10B" w:rsidR="005E1E02" w:rsidRPr="00127BD4" w:rsidRDefault="005E1E02">
      <w:pPr>
        <w:tabs>
          <w:tab w:val="left" w:pos="-2268"/>
        </w:tabs>
        <w:suppressAutoHyphens/>
        <w:rPr>
          <w:spacing w:val="-3"/>
          <w:lang w:val="es-MX"/>
        </w:rPr>
      </w:pPr>
      <w:r w:rsidRPr="004E4C01">
        <w:rPr>
          <w:rFonts w:cs="Arial"/>
          <w:szCs w:val="20"/>
        </w:rPr>
        <w:t xml:space="preserve">AUTORIDAD NACIONAL DE LICENCIAS AMBIENTALES – ANLA. Guía para la solicitud y uso del permiso de estudio para la recolección de especímenes de especies silvestres de la diversidad biológica con fines de elaboración de estudios ambientales. </w:t>
      </w:r>
      <w:r w:rsidRPr="00127BD4">
        <w:rPr>
          <w:rFonts w:cs="Arial"/>
          <w:szCs w:val="20"/>
          <w:lang w:val="es-MX"/>
        </w:rPr>
        <w:t>Bogotá D. C.: ANLA, s. f. 60 p.</w:t>
      </w:r>
    </w:p>
    <w:p w14:paraId="6915FFE4" w14:textId="0C06CA5D" w:rsidR="00051AB2" w:rsidRPr="00127BD4" w:rsidRDefault="00051AB2">
      <w:pPr>
        <w:tabs>
          <w:tab w:val="left" w:pos="-2268"/>
        </w:tabs>
        <w:suppressAutoHyphens/>
        <w:rPr>
          <w:spacing w:val="-3"/>
          <w:lang w:val="es-MX"/>
        </w:rPr>
      </w:pPr>
    </w:p>
    <w:p w14:paraId="220364E8" w14:textId="28C1B633" w:rsidR="008E1938" w:rsidRPr="00127BD4" w:rsidRDefault="008E1938">
      <w:pPr>
        <w:tabs>
          <w:tab w:val="left" w:pos="-2268"/>
        </w:tabs>
        <w:suppressAutoHyphens/>
        <w:rPr>
          <w:spacing w:val="-3"/>
          <w:lang w:val="es-MX"/>
        </w:rPr>
      </w:pPr>
      <w:r w:rsidRPr="004E4C01">
        <w:rPr>
          <w:spacing w:val="-3"/>
        </w:rPr>
        <w:t xml:space="preserve">AUTORIDAD NACIONAL DE LICENCIAS AMBIENTALES –ANLA. Guía para el diligenciamiento de metadatos de información geográfica. </w:t>
      </w:r>
      <w:r w:rsidRPr="00127BD4">
        <w:rPr>
          <w:spacing w:val="-3"/>
          <w:lang w:val="es-MX"/>
        </w:rPr>
        <w:t>Bogotá D. C., Colombia: ANLA, 2020</w:t>
      </w:r>
      <w:r w:rsidR="00335B46" w:rsidRPr="00127BD4">
        <w:rPr>
          <w:spacing w:val="-3"/>
          <w:lang w:val="es-MX"/>
        </w:rPr>
        <w:t>.</w:t>
      </w:r>
    </w:p>
    <w:p w14:paraId="5A2AB0A7" w14:textId="77777777" w:rsidR="008E1938" w:rsidRPr="00127BD4" w:rsidRDefault="008E1938">
      <w:pPr>
        <w:tabs>
          <w:tab w:val="left" w:pos="-2268"/>
        </w:tabs>
        <w:suppressAutoHyphens/>
        <w:rPr>
          <w:spacing w:val="-3"/>
          <w:lang w:val="es-MX"/>
        </w:rPr>
      </w:pPr>
    </w:p>
    <w:p w14:paraId="5639D50B" w14:textId="126593A0" w:rsidR="00660A5F" w:rsidRPr="00127BD4" w:rsidRDefault="003232F2">
      <w:pPr>
        <w:tabs>
          <w:tab w:val="left" w:pos="-2268"/>
        </w:tabs>
        <w:suppressAutoHyphens/>
        <w:rPr>
          <w:spacing w:val="-3"/>
          <w:lang w:val="es-MX"/>
        </w:rPr>
      </w:pPr>
      <w:r w:rsidRPr="004E4C01">
        <w:rPr>
          <w:spacing w:val="-3"/>
        </w:rPr>
        <w:t>BÁEZ-POLO</w:t>
      </w:r>
      <w:r w:rsidRPr="00127BD4">
        <w:rPr>
          <w:spacing w:val="-3"/>
          <w:lang w:val="es-MX"/>
        </w:rPr>
        <w:t>, A.</w:t>
      </w:r>
      <w:r w:rsidRPr="004E4C01">
        <w:rPr>
          <w:spacing w:val="-3"/>
        </w:rPr>
        <w:t xml:space="preserve"> </w:t>
      </w:r>
      <w:r w:rsidRPr="00127BD4">
        <w:rPr>
          <w:spacing w:val="-3"/>
          <w:lang w:val="es-MX"/>
        </w:rPr>
        <w:t>(</w:t>
      </w:r>
      <w:r w:rsidR="00D17526" w:rsidRPr="00127BD4">
        <w:rPr>
          <w:spacing w:val="-3"/>
          <w:lang w:val="es-MX"/>
        </w:rPr>
        <w:t>ed.</w:t>
      </w:r>
      <w:r w:rsidRPr="00127BD4">
        <w:rPr>
          <w:spacing w:val="-3"/>
          <w:lang w:val="es-MX"/>
        </w:rPr>
        <w:t xml:space="preserve">). Manual de métodos de ecosistemas marinos y costeros con miras a establecer impactos ambientales. Convenio para fortalecimiento de los métodos de </w:t>
      </w:r>
      <w:r w:rsidRPr="00127BD4">
        <w:rPr>
          <w:spacing w:val="-3"/>
          <w:lang w:val="es-MX"/>
        </w:rPr>
        <w:lastRenderedPageBreak/>
        <w:t>investigación marina para actividades costa afuera por parte del sector hidrocarburos. Invemar-ANH. Santa Marta</w:t>
      </w:r>
      <w:r w:rsidR="007E5377" w:rsidRPr="004E4C01">
        <w:rPr>
          <w:spacing w:val="-3"/>
        </w:rPr>
        <w:t>:</w:t>
      </w:r>
      <w:r w:rsidRPr="00127BD4">
        <w:rPr>
          <w:spacing w:val="-3"/>
          <w:lang w:val="es-MX"/>
        </w:rPr>
        <w:t xml:space="preserve"> D.C.T.H.</w:t>
      </w:r>
      <w:r w:rsidR="007E5377" w:rsidRPr="004E4C01">
        <w:rPr>
          <w:spacing w:val="-3"/>
        </w:rPr>
        <w:t>,</w:t>
      </w:r>
      <w:r w:rsidRPr="00127BD4">
        <w:rPr>
          <w:spacing w:val="-3"/>
          <w:lang w:val="es-MX"/>
        </w:rPr>
        <w:t xml:space="preserve"> </w:t>
      </w:r>
      <w:r w:rsidR="007E5377" w:rsidRPr="004E4C01">
        <w:rPr>
          <w:spacing w:val="-3"/>
        </w:rPr>
        <w:t xml:space="preserve">2013. </w:t>
      </w:r>
      <w:r w:rsidRPr="00127BD4">
        <w:rPr>
          <w:spacing w:val="-3"/>
          <w:lang w:val="es-MX"/>
        </w:rPr>
        <w:t>212 p. + Anexos.</w:t>
      </w:r>
    </w:p>
    <w:p w14:paraId="05E6D1F7" w14:textId="77777777" w:rsidR="003232F2" w:rsidRPr="00127BD4" w:rsidRDefault="003232F2">
      <w:pPr>
        <w:tabs>
          <w:tab w:val="left" w:pos="-2268"/>
        </w:tabs>
        <w:suppressAutoHyphens/>
        <w:rPr>
          <w:spacing w:val="-3"/>
          <w:lang w:val="es-MX"/>
        </w:rPr>
      </w:pPr>
    </w:p>
    <w:p w14:paraId="7B8E00E9" w14:textId="4198AEC7" w:rsidR="00051AB2" w:rsidRPr="006C00FC" w:rsidRDefault="00614041">
      <w:pPr>
        <w:tabs>
          <w:tab w:val="left" w:pos="-2268"/>
        </w:tabs>
        <w:suppressAutoHyphens/>
        <w:rPr>
          <w:spacing w:val="-3"/>
          <w:lang w:val="en-US"/>
        </w:rPr>
      </w:pPr>
      <w:r w:rsidRPr="006C00FC">
        <w:rPr>
          <w:spacing w:val="-3"/>
          <w:lang w:val="en-US"/>
        </w:rPr>
        <w:t>BEIER, P., MAJKA, D. &amp; JENNESS, J</w:t>
      </w:r>
      <w:r w:rsidR="00051AB2" w:rsidRPr="006C00FC">
        <w:rPr>
          <w:spacing w:val="-3"/>
          <w:lang w:val="en-US"/>
        </w:rPr>
        <w:t>. Designing Wildlife Corridors with ArcGIS. Watsonville, CA, 2007.</w:t>
      </w:r>
    </w:p>
    <w:p w14:paraId="142F94B2" w14:textId="77777777" w:rsidR="00051AB2" w:rsidRPr="006C00FC" w:rsidRDefault="00051AB2">
      <w:pPr>
        <w:tabs>
          <w:tab w:val="left" w:pos="-2268"/>
        </w:tabs>
        <w:suppressAutoHyphens/>
        <w:rPr>
          <w:spacing w:val="-3"/>
          <w:lang w:val="en-US"/>
        </w:rPr>
      </w:pPr>
    </w:p>
    <w:p w14:paraId="78D598CE" w14:textId="2E618AAE" w:rsidR="00E93E41" w:rsidRPr="006C00FC" w:rsidRDefault="00E93E41">
      <w:pPr>
        <w:tabs>
          <w:tab w:val="left" w:pos="-2268"/>
        </w:tabs>
        <w:suppressAutoHyphens/>
        <w:rPr>
          <w:spacing w:val="-3"/>
          <w:lang w:val="en-US"/>
        </w:rPr>
      </w:pPr>
      <w:r w:rsidRPr="006C00FC">
        <w:rPr>
          <w:spacing w:val="-3"/>
          <w:lang w:val="en-US"/>
        </w:rPr>
        <w:t>BENNIE, J., DUFFY, J., DAVIES, T., CORREA-CANO, M., GASTON, K. Global trends in exposure to light pollution in natural terrestrial ecosystems. Remote Sensing. 7 (2015); p. 2715-2730.</w:t>
      </w:r>
    </w:p>
    <w:p w14:paraId="5F383D55" w14:textId="77777777" w:rsidR="00E93E41" w:rsidRPr="006C00FC" w:rsidRDefault="00E93E41">
      <w:pPr>
        <w:tabs>
          <w:tab w:val="left" w:pos="-2268"/>
        </w:tabs>
        <w:suppressAutoHyphens/>
        <w:rPr>
          <w:spacing w:val="-3"/>
          <w:lang w:val="en-US"/>
        </w:rPr>
      </w:pPr>
    </w:p>
    <w:p w14:paraId="3554226E" w14:textId="77777777" w:rsidR="00E93E41" w:rsidRPr="006C00FC" w:rsidRDefault="00E93E41">
      <w:pPr>
        <w:tabs>
          <w:tab w:val="left" w:pos="-2268"/>
        </w:tabs>
        <w:suppressAutoHyphens/>
        <w:rPr>
          <w:spacing w:val="-3"/>
          <w:lang w:val="en-US"/>
        </w:rPr>
      </w:pPr>
      <w:r w:rsidRPr="006C00FC">
        <w:rPr>
          <w:spacing w:val="-3"/>
          <w:lang w:val="en-US"/>
        </w:rPr>
        <w:t>BENZING, D. Vascular epiphytes. General biology and related biota. Cambridge, England: Cambridge University Press, 1990.</w:t>
      </w:r>
    </w:p>
    <w:p w14:paraId="5DE1BF18" w14:textId="77777777" w:rsidR="00E93E41" w:rsidRPr="006C00FC" w:rsidRDefault="00E93E41">
      <w:pPr>
        <w:tabs>
          <w:tab w:val="left" w:pos="-2268"/>
        </w:tabs>
        <w:suppressAutoHyphens/>
        <w:rPr>
          <w:spacing w:val="-3"/>
          <w:lang w:val="en-US"/>
        </w:rPr>
      </w:pPr>
    </w:p>
    <w:p w14:paraId="77B998B8" w14:textId="77777777" w:rsidR="00E93E41" w:rsidRPr="006C00FC" w:rsidRDefault="00E93E41">
      <w:pPr>
        <w:tabs>
          <w:tab w:val="left" w:pos="-2268"/>
        </w:tabs>
        <w:suppressAutoHyphens/>
        <w:rPr>
          <w:spacing w:val="-3"/>
          <w:lang w:val="en-US"/>
        </w:rPr>
      </w:pPr>
      <w:r w:rsidRPr="006C00FC">
        <w:rPr>
          <w:spacing w:val="-3"/>
          <w:lang w:val="en-US"/>
        </w:rPr>
        <w:t>BODIN, Ö. &amp; SAURA, S. Ranking individual habitat patches as connectivity providers: integrating network analysis and patch removal experiments. Ecological Modelling. 221, (2010); p. 2393-2405.</w:t>
      </w:r>
    </w:p>
    <w:p w14:paraId="29F801DA" w14:textId="77777777" w:rsidR="00E93E41" w:rsidRPr="006C00FC" w:rsidRDefault="00E93E41">
      <w:pPr>
        <w:tabs>
          <w:tab w:val="left" w:pos="-2268"/>
        </w:tabs>
        <w:suppressAutoHyphens/>
        <w:rPr>
          <w:spacing w:val="-3"/>
          <w:lang w:val="en-US"/>
        </w:rPr>
      </w:pPr>
    </w:p>
    <w:p w14:paraId="2624C4FB" w14:textId="7492F156" w:rsidR="00E93E41" w:rsidRPr="004E4C01" w:rsidRDefault="00E93E41">
      <w:pPr>
        <w:tabs>
          <w:tab w:val="left" w:pos="-2268"/>
        </w:tabs>
        <w:suppressAutoHyphens/>
        <w:rPr>
          <w:spacing w:val="-3"/>
        </w:rPr>
      </w:pPr>
      <w:r w:rsidRPr="006C00FC">
        <w:rPr>
          <w:spacing w:val="-3"/>
          <w:lang w:val="en-US"/>
        </w:rPr>
        <w:t xml:space="preserve">BÖHRINGER, C. &amp; JOCHEM, P. Measuring the immeasurable – A survey of sustainability indexes. </w:t>
      </w:r>
      <w:r w:rsidRPr="004E4C01">
        <w:rPr>
          <w:spacing w:val="-3"/>
        </w:rPr>
        <w:t>Ecological Economics. 63, 1 (2007); p. 1-8.</w:t>
      </w:r>
    </w:p>
    <w:p w14:paraId="7B4161A4" w14:textId="444154F2" w:rsidR="00E93E41" w:rsidRPr="004E4C01" w:rsidRDefault="00E93E41">
      <w:pPr>
        <w:tabs>
          <w:tab w:val="left" w:pos="-2268"/>
        </w:tabs>
        <w:suppressAutoHyphens/>
        <w:rPr>
          <w:spacing w:val="-3"/>
        </w:rPr>
      </w:pPr>
    </w:p>
    <w:p w14:paraId="6BA58781" w14:textId="77777777" w:rsidR="00E93E41" w:rsidRPr="004E4C01" w:rsidRDefault="00E93E41">
      <w:pPr>
        <w:tabs>
          <w:tab w:val="left" w:pos="-2268"/>
        </w:tabs>
        <w:suppressAutoHyphens/>
        <w:rPr>
          <w:spacing w:val="-3"/>
        </w:rPr>
      </w:pPr>
      <w:r w:rsidRPr="004E4C01">
        <w:rPr>
          <w:spacing w:val="-3"/>
        </w:rPr>
        <w:t>BRAUN BLANQUET, J. Fitosociología. Bases para el estudio de las comunidades vegetales. Madrid: H. Blume Ediciones, 1979. 820 p.</w:t>
      </w:r>
    </w:p>
    <w:p w14:paraId="39C583B0" w14:textId="77777777" w:rsidR="00E93E41" w:rsidRPr="004E4C01" w:rsidRDefault="00E93E41">
      <w:pPr>
        <w:tabs>
          <w:tab w:val="left" w:pos="-2268"/>
        </w:tabs>
        <w:suppressAutoHyphens/>
        <w:rPr>
          <w:spacing w:val="-3"/>
        </w:rPr>
      </w:pPr>
    </w:p>
    <w:p w14:paraId="60140017" w14:textId="62BA60D1" w:rsidR="0053750C" w:rsidRPr="00127BD4" w:rsidRDefault="0053750C" w:rsidP="000D6E21">
      <w:pPr>
        <w:rPr>
          <w:spacing w:val="-3"/>
        </w:rPr>
      </w:pPr>
      <w:r w:rsidRPr="00127BD4">
        <w:rPr>
          <w:spacing w:val="-3"/>
        </w:rPr>
        <w:t xml:space="preserve">BUITRAGO, A., MENDOZA, Á., MARÍN, D., MARTÍNEZ, D., BARONA, E., PANTOJA, H., ZAPATA, L., &amp; FORERO, A. Protocolo para toma de medidas de grabaciones focales en espectro audible utilizando el programa Raven (Versión 1.6.1) / Colección de Sonidos Ambientales. Colombia: </w:t>
      </w:r>
      <w:r w:rsidRPr="004E4C01">
        <w:rPr>
          <w:spacing w:val="-3"/>
        </w:rPr>
        <w:t>Instituto de Investigación de Recursos Biológicos Alexander Von Humboldt,</w:t>
      </w:r>
      <w:r w:rsidRPr="00127BD4">
        <w:rPr>
          <w:spacing w:val="-3"/>
        </w:rPr>
        <w:t xml:space="preserve"> 2022.</w:t>
      </w:r>
    </w:p>
    <w:p w14:paraId="5183D899" w14:textId="77777777" w:rsidR="0053750C" w:rsidRPr="00127BD4" w:rsidRDefault="0053750C">
      <w:pPr>
        <w:tabs>
          <w:tab w:val="left" w:pos="-2268"/>
        </w:tabs>
        <w:suppressAutoHyphens/>
        <w:rPr>
          <w:spacing w:val="-3"/>
        </w:rPr>
      </w:pPr>
    </w:p>
    <w:p w14:paraId="484C5427" w14:textId="26DEEF02" w:rsidR="00E93E41" w:rsidRPr="006C00FC" w:rsidRDefault="00E93E41">
      <w:pPr>
        <w:tabs>
          <w:tab w:val="left" w:pos="-2268"/>
        </w:tabs>
        <w:suppressAutoHyphens/>
        <w:rPr>
          <w:spacing w:val="-3"/>
          <w:lang w:val="en-US"/>
        </w:rPr>
      </w:pPr>
      <w:r w:rsidRPr="006C00FC">
        <w:rPr>
          <w:spacing w:val="-3"/>
          <w:lang w:val="en-US"/>
        </w:rPr>
        <w:t>BUNKLEY, J., McCLURE, C., KLEIST, N., FRANCIS, C., &amp; BARBER, J. Anthropogenic noise alters bat activity levels and echolocation calls. Global Ecology and Conservation. 3, (2015); p. 62–71.</w:t>
      </w:r>
    </w:p>
    <w:p w14:paraId="7B942266" w14:textId="77777777" w:rsidR="00E93E41" w:rsidRPr="006C00FC" w:rsidRDefault="00E93E41" w:rsidP="00E93E41">
      <w:pPr>
        <w:tabs>
          <w:tab w:val="left" w:pos="-2268"/>
        </w:tabs>
        <w:suppressAutoHyphens/>
        <w:rPr>
          <w:spacing w:val="-3"/>
          <w:lang w:val="en-US"/>
        </w:rPr>
      </w:pPr>
    </w:p>
    <w:p w14:paraId="33453269" w14:textId="77777777" w:rsidR="00E93E41" w:rsidRPr="006C00FC" w:rsidRDefault="00E93E41" w:rsidP="009420F5">
      <w:pPr>
        <w:tabs>
          <w:tab w:val="left" w:pos="-2268"/>
        </w:tabs>
        <w:suppressAutoHyphens/>
        <w:rPr>
          <w:spacing w:val="-3"/>
          <w:lang w:val="en-US"/>
        </w:rPr>
      </w:pPr>
      <w:r w:rsidRPr="006C00FC">
        <w:rPr>
          <w:spacing w:val="-3"/>
          <w:lang w:val="en-US"/>
        </w:rPr>
        <w:t>BUNN, A., URBAN, D., &amp; KEITT, T. Landscape connectivity: a conservation application of graph theory. Journal of Environmental Management. 59, 4 (2000); 265–278.</w:t>
      </w:r>
    </w:p>
    <w:p w14:paraId="1F444F5C" w14:textId="77777777" w:rsidR="00E93E41" w:rsidRPr="006C00FC" w:rsidRDefault="00E93E41">
      <w:pPr>
        <w:tabs>
          <w:tab w:val="left" w:pos="-2268"/>
        </w:tabs>
        <w:suppressAutoHyphens/>
        <w:rPr>
          <w:rFonts w:cs="Arial"/>
          <w:lang w:val="en-US"/>
        </w:rPr>
      </w:pPr>
    </w:p>
    <w:p w14:paraId="00ABC29C" w14:textId="77777777" w:rsidR="00E93E41" w:rsidRPr="006C00FC" w:rsidRDefault="00E93E41">
      <w:pPr>
        <w:tabs>
          <w:tab w:val="left" w:pos="-2268"/>
        </w:tabs>
        <w:suppressAutoHyphens/>
        <w:rPr>
          <w:rFonts w:cs="Arial"/>
          <w:lang w:val="en-US"/>
        </w:rPr>
      </w:pPr>
      <w:r w:rsidRPr="006C00FC">
        <w:rPr>
          <w:rFonts w:cs="Arial"/>
          <w:lang w:val="en-US"/>
        </w:rPr>
        <w:t xml:space="preserve">BUREAU OF LAND MANAGEMENT –BLM. Visual resource management. </w:t>
      </w:r>
      <w:r w:rsidRPr="004E4C01">
        <w:rPr>
          <w:rFonts w:cs="Arial"/>
        </w:rPr>
        <w:t xml:space="preserve">Manual 8400. Estados Unidos, Washington: Departamento del Interior, 1986. </w:t>
      </w:r>
      <w:r w:rsidRPr="006C00FC">
        <w:rPr>
          <w:rFonts w:cs="Arial"/>
          <w:lang w:val="en-US"/>
        </w:rPr>
        <w:t xml:space="preserve">15 p. </w:t>
      </w:r>
    </w:p>
    <w:p w14:paraId="0F46839E" w14:textId="77777777" w:rsidR="00E93E41" w:rsidRPr="006C00FC" w:rsidRDefault="00E93E41">
      <w:pPr>
        <w:tabs>
          <w:tab w:val="left" w:pos="-2268"/>
        </w:tabs>
        <w:suppressAutoHyphens/>
        <w:rPr>
          <w:spacing w:val="-3"/>
          <w:lang w:val="en-US"/>
        </w:rPr>
      </w:pPr>
    </w:p>
    <w:p w14:paraId="585593B1" w14:textId="77777777" w:rsidR="00E93E41" w:rsidRPr="006C00FC" w:rsidRDefault="00E93E41">
      <w:pPr>
        <w:tabs>
          <w:tab w:val="left" w:pos="-2268"/>
        </w:tabs>
        <w:suppressAutoHyphens/>
        <w:rPr>
          <w:spacing w:val="-3"/>
          <w:lang w:val="en-US"/>
        </w:rPr>
      </w:pPr>
      <w:r w:rsidRPr="006C00FC">
        <w:rPr>
          <w:spacing w:val="-3"/>
          <w:lang w:val="en-US"/>
        </w:rPr>
        <w:t>BURKHARD, B. &amp; MAES, J. (Eds.). Mapping Ecosystem Services. Sofia: Pensoft Publishers, 2017. 374 p.</w:t>
      </w:r>
    </w:p>
    <w:p w14:paraId="2679036E" w14:textId="77777777" w:rsidR="00E93E41" w:rsidRPr="006C00FC" w:rsidRDefault="00E93E41">
      <w:pPr>
        <w:tabs>
          <w:tab w:val="left" w:pos="-2268"/>
        </w:tabs>
        <w:suppressAutoHyphens/>
        <w:rPr>
          <w:spacing w:val="-3"/>
          <w:lang w:val="en-US"/>
        </w:rPr>
      </w:pPr>
    </w:p>
    <w:p w14:paraId="52B132AE" w14:textId="292E67B4" w:rsidR="00D45B87" w:rsidRPr="004E4C01" w:rsidRDefault="00D45B87">
      <w:pPr>
        <w:tabs>
          <w:tab w:val="left" w:pos="-2268"/>
        </w:tabs>
        <w:suppressAutoHyphens/>
        <w:rPr>
          <w:spacing w:val="-3"/>
        </w:rPr>
      </w:pPr>
      <w:r w:rsidRPr="006C00FC">
        <w:rPr>
          <w:spacing w:val="-3"/>
          <w:lang w:val="en-US"/>
        </w:rPr>
        <w:lastRenderedPageBreak/>
        <w:t xml:space="preserve">BURNS, K. C. &amp; G. ZOTZ. A hierarchical framework for investigating epiphyte assemblages: networks, meta-communities, and scale. </w:t>
      </w:r>
      <w:r w:rsidRPr="004E4C01">
        <w:rPr>
          <w:spacing w:val="-3"/>
        </w:rPr>
        <w:t>Ecology, 91, 2 (2010); 377–385.</w:t>
      </w:r>
    </w:p>
    <w:p w14:paraId="6A0AEF6F" w14:textId="77777777" w:rsidR="00D45B87" w:rsidRPr="004E4C01" w:rsidRDefault="00D45B87">
      <w:pPr>
        <w:tabs>
          <w:tab w:val="left" w:pos="-2268"/>
        </w:tabs>
        <w:suppressAutoHyphens/>
        <w:rPr>
          <w:spacing w:val="-3"/>
        </w:rPr>
      </w:pPr>
    </w:p>
    <w:p w14:paraId="660FCFE8" w14:textId="15D3E945" w:rsidR="00E93E41" w:rsidRPr="004E4C01" w:rsidRDefault="00E93E41">
      <w:pPr>
        <w:tabs>
          <w:tab w:val="left" w:pos="-2268"/>
        </w:tabs>
        <w:suppressAutoHyphens/>
        <w:rPr>
          <w:spacing w:val="-3"/>
        </w:rPr>
      </w:pPr>
      <w:r w:rsidRPr="004E4C01">
        <w:rPr>
          <w:spacing w:val="-3"/>
        </w:rPr>
        <w:t xml:space="preserve">CALDERÓN, E.; GALEANO, G y GARCÍA, N. Libro rojo de plantas de Colombia. </w:t>
      </w:r>
      <w:r w:rsidR="002A4465" w:rsidRPr="004E4C01">
        <w:rPr>
          <w:spacing w:val="-3"/>
        </w:rPr>
        <w:t>Vol.</w:t>
      </w:r>
      <w:r w:rsidRPr="004E4C01">
        <w:rPr>
          <w:spacing w:val="-3"/>
        </w:rPr>
        <w:t xml:space="preserve"> 2: Palmas, frailejones y zamias. Serie Libros rojos de especies amenazadas de Colombia. Bogotá: Ministerio del Medio Ambiente, Vivienda y Desarrollo Territorial de Colombia. Instituto de Investigación de Recursos Biológicos Alexander Von Humboldt, Instituto de Ciencias Naturales - Universidad Nacional de Colombia, Ministerio de Ambiente, Vivienda y Desarrollo Territorial, 2005.</w:t>
      </w:r>
    </w:p>
    <w:p w14:paraId="517D5951" w14:textId="77777777" w:rsidR="00E93E41" w:rsidRPr="004E4C01" w:rsidRDefault="00E93E41">
      <w:pPr>
        <w:tabs>
          <w:tab w:val="left" w:pos="-2268"/>
        </w:tabs>
        <w:suppressAutoHyphens/>
        <w:rPr>
          <w:spacing w:val="-3"/>
        </w:rPr>
      </w:pPr>
    </w:p>
    <w:p w14:paraId="55AB960F" w14:textId="098E386C" w:rsidR="00F70F4A" w:rsidRPr="006C00FC" w:rsidRDefault="002A1398" w:rsidP="00F70F4A">
      <w:pPr>
        <w:tabs>
          <w:tab w:val="left" w:pos="-2268"/>
        </w:tabs>
        <w:suppressAutoHyphens/>
        <w:rPr>
          <w:spacing w:val="-3"/>
          <w:lang w:val="en-US"/>
        </w:rPr>
      </w:pPr>
      <w:r w:rsidRPr="004E4C01">
        <w:rPr>
          <w:spacing w:val="-3"/>
        </w:rPr>
        <w:t xml:space="preserve">CÁRDENAS-LÓPEZ, D., BAPTISTE M. Y CASTAÑO N. </w:t>
      </w:r>
      <w:r w:rsidR="00F70F4A" w:rsidRPr="004E4C01">
        <w:rPr>
          <w:spacing w:val="-3"/>
        </w:rPr>
        <w:t xml:space="preserve">(Eds). Plantas exóticas con alto potencial de invasión en Colombia. Bogotá D. C.: Instituto de Investigación de Recursos Biológicos Alexander von Humboldt, 2017. </w:t>
      </w:r>
      <w:r w:rsidR="00F70F4A" w:rsidRPr="006C00FC">
        <w:rPr>
          <w:spacing w:val="-3"/>
          <w:lang w:val="en-US"/>
        </w:rPr>
        <w:t>295 p.</w:t>
      </w:r>
    </w:p>
    <w:p w14:paraId="08424940" w14:textId="77777777" w:rsidR="00F70F4A" w:rsidRPr="006C00FC" w:rsidRDefault="00F70F4A">
      <w:pPr>
        <w:tabs>
          <w:tab w:val="left" w:pos="-2268"/>
        </w:tabs>
        <w:suppressAutoHyphens/>
        <w:rPr>
          <w:spacing w:val="-3"/>
          <w:lang w:val="en-US"/>
        </w:rPr>
      </w:pPr>
    </w:p>
    <w:p w14:paraId="34713AAC" w14:textId="77777777" w:rsidR="00D82BF5" w:rsidRPr="006C00FC" w:rsidRDefault="00D82BF5" w:rsidP="00D82BF5">
      <w:pPr>
        <w:tabs>
          <w:tab w:val="left" w:pos="-2268"/>
        </w:tabs>
        <w:suppressAutoHyphens/>
        <w:rPr>
          <w:spacing w:val="-3"/>
          <w:lang w:val="en-US"/>
        </w:rPr>
      </w:pPr>
      <w:r w:rsidRPr="006C00FC">
        <w:rPr>
          <w:spacing w:val="-3"/>
          <w:lang w:val="en-US"/>
        </w:rPr>
        <w:t>CARR, M. &amp; HANZEN, E. Ecological connectivity in the ocean. En: Hilty, J. (Ed.). Corridor Ecology: Linking Landscapes for Biodiversity Conservation and Climate Adaptation. Second edition. Washington, District of Columbia: Island Press. (2019); 216-237.</w:t>
      </w:r>
    </w:p>
    <w:p w14:paraId="59FDA99E" w14:textId="77777777" w:rsidR="00D82BF5" w:rsidRPr="006C00FC" w:rsidRDefault="00D82BF5">
      <w:pPr>
        <w:tabs>
          <w:tab w:val="left" w:pos="-2268"/>
        </w:tabs>
        <w:suppressAutoHyphens/>
        <w:rPr>
          <w:spacing w:val="-3"/>
          <w:lang w:val="en-US"/>
        </w:rPr>
      </w:pPr>
    </w:p>
    <w:p w14:paraId="74034B43" w14:textId="698D41CE" w:rsidR="002A1398" w:rsidRPr="004E4C01" w:rsidRDefault="002A1398">
      <w:pPr>
        <w:tabs>
          <w:tab w:val="left" w:pos="-2268"/>
        </w:tabs>
        <w:suppressAutoHyphens/>
        <w:rPr>
          <w:spacing w:val="-3"/>
        </w:rPr>
      </w:pPr>
      <w:r w:rsidRPr="006C00FC">
        <w:rPr>
          <w:spacing w:val="-3"/>
          <w:lang w:val="en-US"/>
        </w:rPr>
        <w:t xml:space="preserve">CARROLL, C., McRAE, B., &amp; BROOKES, A. Use of </w:t>
      </w:r>
      <w:r w:rsidRPr="006C00FC">
        <w:rPr>
          <w:lang w:val="en-US"/>
        </w:rPr>
        <w:t>linkage mapping and centrality analysis across habitat gradients to conserve connectivity of gray wolf populations in western North America.</w:t>
      </w:r>
      <w:r w:rsidRPr="006C00FC">
        <w:rPr>
          <w:spacing w:val="-3"/>
          <w:lang w:val="en-US"/>
        </w:rPr>
        <w:t xml:space="preserve"> </w:t>
      </w:r>
      <w:r w:rsidRPr="004E4C01">
        <w:rPr>
          <w:spacing w:val="-3"/>
        </w:rPr>
        <w:t>Conservation Biology, 26, 1 (201</w:t>
      </w:r>
      <w:r w:rsidR="00F21E7B" w:rsidRPr="004E4C01">
        <w:rPr>
          <w:spacing w:val="-3"/>
        </w:rPr>
        <w:t>2</w:t>
      </w:r>
      <w:r w:rsidRPr="004E4C01">
        <w:rPr>
          <w:spacing w:val="-3"/>
        </w:rPr>
        <w:t>), 78–87.</w:t>
      </w:r>
    </w:p>
    <w:p w14:paraId="57FCAAB9" w14:textId="77777777" w:rsidR="002A1398" w:rsidRPr="004E4C01" w:rsidRDefault="002A1398">
      <w:pPr>
        <w:tabs>
          <w:tab w:val="left" w:pos="-2268"/>
        </w:tabs>
        <w:suppressAutoHyphens/>
        <w:rPr>
          <w:spacing w:val="-3"/>
        </w:rPr>
      </w:pPr>
    </w:p>
    <w:p w14:paraId="07A7DE16" w14:textId="3D6B49D8" w:rsidR="00E93E41" w:rsidRPr="004E4C01" w:rsidRDefault="00E93E41">
      <w:pPr>
        <w:tabs>
          <w:tab w:val="left" w:pos="-2268"/>
        </w:tabs>
        <w:suppressAutoHyphens/>
        <w:rPr>
          <w:spacing w:val="-3"/>
        </w:rPr>
      </w:pPr>
      <w:r w:rsidRPr="004E4C01">
        <w:rPr>
          <w:spacing w:val="-3"/>
        </w:rPr>
        <w:t>CARVAJAL, J. Propuesta de estandarización de la cartografía geomorfológica en Colombia. Bogotá, Colombia: Servicio Geológico Colombiano, 2012. 83 p.</w:t>
      </w:r>
    </w:p>
    <w:p w14:paraId="0A26DE03" w14:textId="77777777" w:rsidR="00E93E41" w:rsidRPr="004E4C01" w:rsidRDefault="00E93E41" w:rsidP="001B75E9">
      <w:pPr>
        <w:tabs>
          <w:tab w:val="left" w:pos="-2268"/>
        </w:tabs>
        <w:suppressAutoHyphens/>
        <w:rPr>
          <w:spacing w:val="-3"/>
        </w:rPr>
      </w:pPr>
    </w:p>
    <w:p w14:paraId="4DFFAD8F" w14:textId="6C940EE9" w:rsidR="00E93E41" w:rsidRPr="006C00FC" w:rsidRDefault="00E93E41" w:rsidP="001B75E9">
      <w:pPr>
        <w:tabs>
          <w:tab w:val="left" w:pos="-2268"/>
        </w:tabs>
        <w:suppressAutoHyphens/>
        <w:rPr>
          <w:spacing w:val="-3"/>
          <w:lang w:val="en-US"/>
        </w:rPr>
      </w:pPr>
      <w:r w:rsidRPr="004E4C01">
        <w:rPr>
          <w:spacing w:val="-3"/>
        </w:rPr>
        <w:t>CARVAJAL</w:t>
      </w:r>
      <w:r w:rsidRPr="004E4C01">
        <w:rPr>
          <w:rFonts w:ascii="Cambria Math" w:hAnsi="Cambria Math" w:cs="Cambria Math"/>
          <w:spacing w:val="-3"/>
        </w:rPr>
        <w:t>‐</w:t>
      </w:r>
      <w:r w:rsidRPr="004E4C01">
        <w:rPr>
          <w:spacing w:val="-3"/>
        </w:rPr>
        <w:t>QUINTERO, J., JANUCHOWSKI</w:t>
      </w:r>
      <w:r w:rsidRPr="004E4C01">
        <w:rPr>
          <w:rFonts w:ascii="Cambria Math" w:hAnsi="Cambria Math" w:cs="Cambria Math"/>
          <w:spacing w:val="-3"/>
        </w:rPr>
        <w:t>‐</w:t>
      </w:r>
      <w:r w:rsidRPr="004E4C01">
        <w:rPr>
          <w:spacing w:val="-3"/>
        </w:rPr>
        <w:t>HARTLEY, S., MALDONADO</w:t>
      </w:r>
      <w:r w:rsidRPr="004E4C01">
        <w:rPr>
          <w:rFonts w:ascii="Cambria Math" w:hAnsi="Cambria Math" w:cs="Cambria Math"/>
          <w:spacing w:val="-3"/>
        </w:rPr>
        <w:t>‐</w:t>
      </w:r>
      <w:r w:rsidRPr="004E4C01">
        <w:rPr>
          <w:spacing w:val="-3"/>
        </w:rPr>
        <w:t xml:space="preserve">OCAMPO, J., JÉZÉQUEL, C., DELGADO, J., &amp; TEDESCO, P. A. (2017). </w:t>
      </w:r>
      <w:r w:rsidRPr="006C00FC">
        <w:rPr>
          <w:spacing w:val="-3"/>
          <w:lang w:val="en-US"/>
        </w:rPr>
        <w:t xml:space="preserve">Damming fragments </w:t>
      </w:r>
      <w:r w:rsidR="0005368F" w:rsidRPr="006B66C7">
        <w:rPr>
          <w:spacing w:val="-3"/>
          <w:lang w:val="en-US"/>
        </w:rPr>
        <w:t>species</w:t>
      </w:r>
      <w:r w:rsidRPr="006C00FC">
        <w:rPr>
          <w:spacing w:val="-3"/>
          <w:lang w:val="en-US"/>
        </w:rPr>
        <w:t xml:space="preserve"> ranges and heightens extinction risk. Conservation Letters, 10(6), 708-716.</w:t>
      </w:r>
    </w:p>
    <w:p w14:paraId="48946A6B" w14:textId="77777777" w:rsidR="00E93E41" w:rsidRPr="006C00FC" w:rsidRDefault="00E93E41" w:rsidP="00C01132">
      <w:pPr>
        <w:tabs>
          <w:tab w:val="left" w:pos="-2268"/>
        </w:tabs>
        <w:suppressAutoHyphens/>
        <w:rPr>
          <w:spacing w:val="-3"/>
          <w:lang w:val="en-US"/>
        </w:rPr>
      </w:pPr>
    </w:p>
    <w:p w14:paraId="64B2304C" w14:textId="77777777" w:rsidR="00E93E41" w:rsidRPr="004E4C01" w:rsidRDefault="00E93E41" w:rsidP="00C01132">
      <w:pPr>
        <w:tabs>
          <w:tab w:val="left" w:pos="-2268"/>
        </w:tabs>
        <w:suppressAutoHyphens/>
        <w:rPr>
          <w:spacing w:val="-3"/>
        </w:rPr>
      </w:pPr>
      <w:r w:rsidRPr="004E4C01">
        <w:rPr>
          <w:spacing w:val="-3"/>
        </w:rPr>
        <w:t xml:space="preserve">CASTRO, R., CASTRO, D., CASALLAS, Y. Tasa de descuento: aspectos relevantes para el licenciamiento ambiental en Colombia. Revista Desarrollo y Sociedad, Universidad de los Andes –CEDE. 84, 1 (2020); p. 9-55. </w:t>
      </w:r>
    </w:p>
    <w:p w14:paraId="51EF4543" w14:textId="77777777" w:rsidR="00E93E41" w:rsidRPr="004E4C01" w:rsidRDefault="00E93E41">
      <w:pPr>
        <w:tabs>
          <w:tab w:val="left" w:pos="-2268"/>
        </w:tabs>
        <w:suppressAutoHyphens/>
        <w:rPr>
          <w:rFonts w:cs="Arial"/>
          <w:szCs w:val="20"/>
        </w:rPr>
      </w:pPr>
    </w:p>
    <w:p w14:paraId="22F3BC49" w14:textId="43AF25F1" w:rsidR="00E93E41" w:rsidRPr="00127BD4" w:rsidRDefault="00E93E41">
      <w:pPr>
        <w:tabs>
          <w:tab w:val="left" w:pos="-2268"/>
        </w:tabs>
        <w:suppressAutoHyphens/>
        <w:rPr>
          <w:spacing w:val="-3"/>
        </w:rPr>
      </w:pPr>
      <w:r w:rsidRPr="004E4C01">
        <w:rPr>
          <w:rFonts w:cs="Arial"/>
          <w:szCs w:val="20"/>
        </w:rPr>
        <w:t xml:space="preserve">CHASQUI V., L., A. POLANCO F., A. ACERO P., P.A. MEJÍA-FALLA, A. NAVIA, L.A. ZAPATA Y J.P. CALDAS. (Eds.). Libro rojo de peces marinos de Colombia. Santa Marta, Colombia: Instituto de investigaciones marinas y costeras “José Benito Vives de Andréis” –Invemar, Ministerio de Ambiente y Desarrollo Sostenible. </w:t>
      </w:r>
      <w:r w:rsidRPr="00127BD4">
        <w:rPr>
          <w:rFonts w:cs="Arial"/>
          <w:szCs w:val="20"/>
        </w:rPr>
        <w:t xml:space="preserve">Serie de Publicaciones Generales de </w:t>
      </w:r>
      <w:r w:rsidR="00A92356" w:rsidRPr="00127BD4">
        <w:rPr>
          <w:rFonts w:cs="Arial"/>
          <w:szCs w:val="20"/>
        </w:rPr>
        <w:t>Invemar</w:t>
      </w:r>
      <w:r w:rsidRPr="00127BD4">
        <w:rPr>
          <w:rFonts w:cs="Arial"/>
          <w:szCs w:val="20"/>
        </w:rPr>
        <w:t xml:space="preserve"> # 93, 2017. 552 p.</w:t>
      </w:r>
    </w:p>
    <w:p w14:paraId="34804FFE" w14:textId="4DF7ADF6" w:rsidR="00E93E41" w:rsidRPr="00127BD4" w:rsidRDefault="00E93E41">
      <w:pPr>
        <w:tabs>
          <w:tab w:val="left" w:pos="-2268"/>
        </w:tabs>
        <w:suppressAutoHyphens/>
        <w:rPr>
          <w:spacing w:val="-3"/>
        </w:rPr>
      </w:pPr>
    </w:p>
    <w:p w14:paraId="6486ADAA" w14:textId="5984DF57" w:rsidR="004023C8" w:rsidRPr="006C00FC" w:rsidRDefault="004023C8">
      <w:pPr>
        <w:tabs>
          <w:tab w:val="left" w:pos="-2268"/>
        </w:tabs>
        <w:suppressAutoHyphens/>
        <w:rPr>
          <w:spacing w:val="-3"/>
          <w:lang w:val="en-US"/>
        </w:rPr>
      </w:pPr>
      <w:r w:rsidRPr="00127BD4">
        <w:rPr>
          <w:spacing w:val="-3"/>
        </w:rPr>
        <w:t xml:space="preserve">CHURCHILL, S., ALDANA, C., OPISSO, J., MORALES, T. Familias y géneros de los musgos de los Andes tropicales. </w:t>
      </w:r>
      <w:r w:rsidRPr="006C00FC">
        <w:rPr>
          <w:spacing w:val="-3"/>
          <w:lang w:val="en-US"/>
        </w:rPr>
        <w:t>St Louis: Missouri Botanical Garden (2020).</w:t>
      </w:r>
    </w:p>
    <w:p w14:paraId="0274A945" w14:textId="77777777" w:rsidR="004023C8" w:rsidRPr="006C00FC" w:rsidRDefault="004023C8">
      <w:pPr>
        <w:tabs>
          <w:tab w:val="left" w:pos="-2268"/>
        </w:tabs>
        <w:suppressAutoHyphens/>
        <w:rPr>
          <w:spacing w:val="-3"/>
          <w:lang w:val="en-US"/>
        </w:rPr>
      </w:pPr>
    </w:p>
    <w:p w14:paraId="3F97A65C" w14:textId="48211E14" w:rsidR="004023C8" w:rsidRPr="006C00FC" w:rsidRDefault="004023C8">
      <w:pPr>
        <w:tabs>
          <w:tab w:val="left" w:pos="-2268"/>
        </w:tabs>
        <w:suppressAutoHyphens/>
        <w:rPr>
          <w:spacing w:val="-3"/>
          <w:lang w:val="en-US"/>
        </w:rPr>
      </w:pPr>
      <w:r w:rsidRPr="006C00FC">
        <w:rPr>
          <w:spacing w:val="-3"/>
          <w:lang w:val="en-US"/>
        </w:rPr>
        <w:lastRenderedPageBreak/>
        <w:t>CHURCHILL, S., GRIFFIN, D., MUÑOZ, J. A checklist of the mosses of the tropical Andean countries. Ruizia. 17 (2000); 1–20.</w:t>
      </w:r>
    </w:p>
    <w:p w14:paraId="0ED4FC64" w14:textId="77777777" w:rsidR="004023C8" w:rsidRPr="006C00FC" w:rsidRDefault="004023C8">
      <w:pPr>
        <w:tabs>
          <w:tab w:val="left" w:pos="-2268"/>
        </w:tabs>
        <w:suppressAutoHyphens/>
        <w:rPr>
          <w:spacing w:val="-3"/>
          <w:lang w:val="en-US"/>
        </w:rPr>
      </w:pPr>
    </w:p>
    <w:p w14:paraId="31D9941B" w14:textId="1356C312" w:rsidR="00D50D7B" w:rsidRPr="004E4C01" w:rsidRDefault="00D50D7B">
      <w:pPr>
        <w:tabs>
          <w:tab w:val="left" w:pos="-2268"/>
        </w:tabs>
        <w:suppressAutoHyphens/>
        <w:rPr>
          <w:spacing w:val="-3"/>
        </w:rPr>
      </w:pPr>
      <w:r w:rsidRPr="006C00FC">
        <w:rPr>
          <w:spacing w:val="-3"/>
          <w:lang w:val="en-US"/>
        </w:rPr>
        <w:t xml:space="preserve">COLLINGE, S. &amp; FORMAN, R. A Conceptual Model of Land Conversion Processes: Predictions and Evidence from a Microlandscape Experiment with Grassland Insects. </w:t>
      </w:r>
      <w:r w:rsidRPr="004E4C01">
        <w:rPr>
          <w:spacing w:val="-3"/>
        </w:rPr>
        <w:t>Oikos, 82</w:t>
      </w:r>
      <w:r w:rsidR="0040127B" w:rsidRPr="004E4C01">
        <w:rPr>
          <w:spacing w:val="-3"/>
        </w:rPr>
        <w:t xml:space="preserve">, </w:t>
      </w:r>
      <w:r w:rsidRPr="004E4C01">
        <w:rPr>
          <w:spacing w:val="-3"/>
        </w:rPr>
        <w:t>1</w:t>
      </w:r>
      <w:r w:rsidR="0040127B" w:rsidRPr="004E4C01">
        <w:rPr>
          <w:spacing w:val="-3"/>
        </w:rPr>
        <w:t xml:space="preserve"> (1998</w:t>
      </w:r>
      <w:r w:rsidRPr="004E4C01">
        <w:rPr>
          <w:spacing w:val="-3"/>
        </w:rPr>
        <w:t>)</w:t>
      </w:r>
      <w:r w:rsidR="0040127B" w:rsidRPr="004E4C01">
        <w:rPr>
          <w:spacing w:val="-3"/>
        </w:rPr>
        <w:t>;</w:t>
      </w:r>
      <w:r w:rsidRPr="004E4C01">
        <w:rPr>
          <w:spacing w:val="-3"/>
        </w:rPr>
        <w:t xml:space="preserve"> </w:t>
      </w:r>
      <w:r w:rsidR="0040127B" w:rsidRPr="004E4C01">
        <w:rPr>
          <w:spacing w:val="-3"/>
        </w:rPr>
        <w:t xml:space="preserve">p. </w:t>
      </w:r>
      <w:r w:rsidRPr="004E4C01">
        <w:rPr>
          <w:spacing w:val="-3"/>
        </w:rPr>
        <w:t>66</w:t>
      </w:r>
      <w:r w:rsidR="0040127B" w:rsidRPr="004E4C01">
        <w:rPr>
          <w:spacing w:val="-3"/>
        </w:rPr>
        <w:t>.</w:t>
      </w:r>
    </w:p>
    <w:p w14:paraId="2F09BE5A" w14:textId="77777777" w:rsidR="00D50D7B" w:rsidRDefault="00D50D7B">
      <w:pPr>
        <w:tabs>
          <w:tab w:val="left" w:pos="-2268"/>
        </w:tabs>
        <w:suppressAutoHyphens/>
        <w:rPr>
          <w:spacing w:val="-3"/>
        </w:rPr>
      </w:pPr>
    </w:p>
    <w:p w14:paraId="32421C14" w14:textId="7CA3099D" w:rsidR="00494310" w:rsidRDefault="00494310">
      <w:pPr>
        <w:tabs>
          <w:tab w:val="left" w:pos="-2268"/>
        </w:tabs>
        <w:suppressAutoHyphens/>
        <w:rPr>
          <w:spacing w:val="-3"/>
        </w:rPr>
      </w:pPr>
      <w:r w:rsidRPr="004E4C01">
        <w:rPr>
          <w:rFonts w:cs="Arial"/>
        </w:rPr>
        <w:t xml:space="preserve">COLOMBIA. </w:t>
      </w:r>
      <w:r w:rsidRPr="00494310">
        <w:rPr>
          <w:spacing w:val="-3"/>
        </w:rPr>
        <w:t>INSTITUTO GEOGRÁFICO AGUSTÍN CODAZZI –IGAC</w:t>
      </w:r>
      <w:r w:rsidRPr="004E4C01">
        <w:rPr>
          <w:rFonts w:cs="Arial"/>
        </w:rPr>
        <w:t xml:space="preserve">. </w:t>
      </w:r>
      <w:r w:rsidR="00D047B7" w:rsidRPr="00D047B7">
        <w:rPr>
          <w:rFonts w:cs="Arial"/>
        </w:rPr>
        <w:t xml:space="preserve">Resolución 197 </w:t>
      </w:r>
      <w:r w:rsidRPr="004E4C01">
        <w:rPr>
          <w:rFonts w:cs="Arial"/>
        </w:rPr>
        <w:t>“</w:t>
      </w:r>
      <w:r w:rsidR="00D047B7" w:rsidRPr="00D047B7">
        <w:rPr>
          <w:rFonts w:cs="Arial"/>
        </w:rPr>
        <w:t>Por la cual se modifica la Resolución 471 de 2020</w:t>
      </w:r>
      <w:r w:rsidRPr="004E4C01">
        <w:rPr>
          <w:rFonts w:cs="Arial"/>
        </w:rPr>
        <w:t xml:space="preserve">". Bogotá: </w:t>
      </w:r>
      <w:r w:rsidR="001D5936">
        <w:rPr>
          <w:rFonts w:cs="Arial"/>
        </w:rPr>
        <w:t>IGAC</w:t>
      </w:r>
      <w:r w:rsidRPr="004E4C01">
        <w:rPr>
          <w:rFonts w:cs="Arial"/>
        </w:rPr>
        <w:t>, 20</w:t>
      </w:r>
      <w:r w:rsidR="001D5936">
        <w:rPr>
          <w:rFonts w:cs="Arial"/>
        </w:rPr>
        <w:t>22</w:t>
      </w:r>
      <w:r w:rsidRPr="004E4C01">
        <w:rPr>
          <w:rFonts w:cs="Arial"/>
        </w:rPr>
        <w:t>.</w:t>
      </w:r>
    </w:p>
    <w:p w14:paraId="1DEFFE12" w14:textId="77777777" w:rsidR="00494310" w:rsidRPr="004E4C01" w:rsidRDefault="00494310">
      <w:pPr>
        <w:tabs>
          <w:tab w:val="left" w:pos="-2268"/>
        </w:tabs>
        <w:suppressAutoHyphens/>
        <w:rPr>
          <w:spacing w:val="-3"/>
        </w:rPr>
      </w:pPr>
    </w:p>
    <w:p w14:paraId="46D767AD" w14:textId="30D0E15A" w:rsidR="008D6E89" w:rsidRPr="004E4C01" w:rsidRDefault="008D6E89">
      <w:pPr>
        <w:tabs>
          <w:tab w:val="left" w:pos="-2268"/>
        </w:tabs>
        <w:suppressAutoHyphens/>
        <w:rPr>
          <w:spacing w:val="-3"/>
        </w:rPr>
      </w:pPr>
      <w:r w:rsidRPr="004E4C01">
        <w:rPr>
          <w:spacing w:val="-3"/>
        </w:rPr>
        <w:t xml:space="preserve">COMISIÓN INTERAMERICANA DE DERECHOS HUMANOS (CIDH) &amp; RELATORÍA ESPECIAL SOBRE LOS DERECHOS ECONÓMICOS, SOCIALES, CULTURALES Y AMBIENTALES (REDESCA). Resolución no. 3/2021 Emergencia climática: alcance de las obligaciones interamericanas en materia de derechos humanos. </w:t>
      </w:r>
      <w:r w:rsidR="00710328" w:rsidRPr="004E4C01">
        <w:rPr>
          <w:spacing w:val="-3"/>
        </w:rPr>
        <w:t xml:space="preserve">CIDH – REDESCA, </w:t>
      </w:r>
      <w:r w:rsidRPr="004E4C01">
        <w:rPr>
          <w:spacing w:val="-3"/>
        </w:rPr>
        <w:t>2021</w:t>
      </w:r>
      <w:r w:rsidR="00710328" w:rsidRPr="004E4C01">
        <w:rPr>
          <w:spacing w:val="-3"/>
        </w:rPr>
        <w:t>. 26 p.</w:t>
      </w:r>
    </w:p>
    <w:p w14:paraId="425E256E" w14:textId="77777777" w:rsidR="00710328" w:rsidRPr="004E4C01" w:rsidRDefault="00710328">
      <w:pPr>
        <w:tabs>
          <w:tab w:val="left" w:pos="-2268"/>
        </w:tabs>
        <w:suppressAutoHyphens/>
        <w:rPr>
          <w:spacing w:val="-3"/>
        </w:rPr>
      </w:pPr>
    </w:p>
    <w:p w14:paraId="20788985" w14:textId="77777777" w:rsidR="00E93E41" w:rsidRPr="004E4C01" w:rsidRDefault="00E93E41">
      <w:pPr>
        <w:rPr>
          <w:spacing w:val="-3"/>
        </w:rPr>
      </w:pPr>
      <w:r w:rsidRPr="004E4C01">
        <w:rPr>
          <w:spacing w:val="-3"/>
        </w:rPr>
        <w:t>CONESA, V. Guía metodológica para la Evaluación del Impacto Ambiental. Cuarta edición revisada y ampliada. Madrid España: Ediciones Mundi-Prensa, 2010.</w:t>
      </w:r>
    </w:p>
    <w:p w14:paraId="665698F3" w14:textId="13435602" w:rsidR="00E93E41" w:rsidRPr="004E4C01" w:rsidRDefault="00E93E41" w:rsidP="004E1DDB">
      <w:pPr>
        <w:tabs>
          <w:tab w:val="left" w:pos="-2268"/>
        </w:tabs>
        <w:suppressAutoHyphens/>
        <w:rPr>
          <w:spacing w:val="-3"/>
        </w:rPr>
      </w:pPr>
    </w:p>
    <w:p w14:paraId="5447AC40" w14:textId="55A9B0B4" w:rsidR="0029308A" w:rsidRPr="004E4C01" w:rsidRDefault="00EF00F3" w:rsidP="004E1DDB">
      <w:pPr>
        <w:tabs>
          <w:tab w:val="left" w:pos="-2268"/>
        </w:tabs>
        <w:suppressAutoHyphens/>
        <w:rPr>
          <w:spacing w:val="-3"/>
        </w:rPr>
      </w:pPr>
      <w:r w:rsidRPr="006C00FC">
        <w:rPr>
          <w:spacing w:val="-3"/>
          <w:lang w:val="en-US"/>
        </w:rPr>
        <w:t xml:space="preserve">CORREA, C., MENDOZA, M., ETTER, A., &amp; PÉREZ, </w:t>
      </w:r>
      <w:r w:rsidR="0029308A" w:rsidRPr="006C00FC">
        <w:rPr>
          <w:spacing w:val="-3"/>
          <w:lang w:val="en-US"/>
        </w:rPr>
        <w:t xml:space="preserve">D. Anthropogenic impact on habitat connectivity: A multidimensional human footprint index evaluated in a highly biodiverse landscape of Mexico. </w:t>
      </w:r>
      <w:r w:rsidR="0029308A" w:rsidRPr="00127BD4">
        <w:rPr>
          <w:spacing w:val="-3"/>
        </w:rPr>
        <w:t xml:space="preserve">Ecological Indicators. </w:t>
      </w:r>
      <w:r w:rsidR="0029308A" w:rsidRPr="004E4C01">
        <w:rPr>
          <w:spacing w:val="-3"/>
        </w:rPr>
        <w:t>72 (2017); p. 895–909.</w:t>
      </w:r>
    </w:p>
    <w:p w14:paraId="721A24EB" w14:textId="77777777" w:rsidR="0029308A" w:rsidRPr="004E4C01" w:rsidRDefault="0029308A" w:rsidP="004E1DDB">
      <w:pPr>
        <w:tabs>
          <w:tab w:val="left" w:pos="-2268"/>
        </w:tabs>
        <w:suppressAutoHyphens/>
        <w:rPr>
          <w:spacing w:val="-3"/>
        </w:rPr>
      </w:pPr>
    </w:p>
    <w:p w14:paraId="19475941" w14:textId="65B5C31F" w:rsidR="00FF3184" w:rsidRPr="004E4C01" w:rsidRDefault="00FF3184" w:rsidP="00F66D4F">
      <w:pPr>
        <w:tabs>
          <w:tab w:val="left" w:pos="-2268"/>
        </w:tabs>
        <w:suppressAutoHyphens/>
        <w:rPr>
          <w:spacing w:val="-3"/>
        </w:rPr>
      </w:pPr>
      <w:r w:rsidRPr="004E4C01">
        <w:rPr>
          <w:spacing w:val="-3"/>
        </w:rPr>
        <w:t>CORREA</w:t>
      </w:r>
      <w:r w:rsidR="007B1325" w:rsidRPr="004E4C01">
        <w:rPr>
          <w:spacing w:val="-3"/>
        </w:rPr>
        <w:t>, D</w:t>
      </w:r>
      <w:r w:rsidRPr="004E4C01">
        <w:rPr>
          <w:spacing w:val="-3"/>
        </w:rPr>
        <w:t xml:space="preserve">. Pasos de fauna en infraestructura lineal: </w:t>
      </w:r>
      <w:r w:rsidR="007B1325" w:rsidRPr="004E4C01">
        <w:rPr>
          <w:spacing w:val="-3"/>
        </w:rPr>
        <w:t>c</w:t>
      </w:r>
      <w:r w:rsidRPr="004E4C01">
        <w:rPr>
          <w:spacing w:val="-3"/>
        </w:rPr>
        <w:t>artilla de referencia para toma de decisiones</w:t>
      </w:r>
      <w:r w:rsidR="007B1325" w:rsidRPr="004E4C01">
        <w:rPr>
          <w:spacing w:val="-3"/>
        </w:rPr>
        <w:t>. Bogotá D. C.:</w:t>
      </w:r>
      <w:r w:rsidR="00F66D4F" w:rsidRPr="004E4C01">
        <w:rPr>
          <w:spacing w:val="-3"/>
        </w:rPr>
        <w:t xml:space="preserve"> Conservación de bosques y sostenibilidad en el Corazón de la Amazonía</w:t>
      </w:r>
      <w:r w:rsidRPr="004E4C01">
        <w:rPr>
          <w:spacing w:val="-3"/>
        </w:rPr>
        <w:t>,</w:t>
      </w:r>
      <w:r w:rsidR="007B1325" w:rsidRPr="004E4C01">
        <w:rPr>
          <w:spacing w:val="-3"/>
        </w:rPr>
        <w:t xml:space="preserve"> 2020</w:t>
      </w:r>
      <w:r w:rsidRPr="004E4C01">
        <w:rPr>
          <w:spacing w:val="-3"/>
        </w:rPr>
        <w:t>.</w:t>
      </w:r>
      <w:r w:rsidR="007B1325" w:rsidRPr="004E4C01">
        <w:rPr>
          <w:spacing w:val="-3"/>
        </w:rPr>
        <w:t xml:space="preserve"> 166 p.</w:t>
      </w:r>
    </w:p>
    <w:p w14:paraId="35FFFB53" w14:textId="77777777" w:rsidR="00FF3184" w:rsidRPr="004E4C01" w:rsidRDefault="00FF3184" w:rsidP="004E1DDB">
      <w:pPr>
        <w:tabs>
          <w:tab w:val="left" w:pos="-2268"/>
        </w:tabs>
        <w:suppressAutoHyphens/>
        <w:rPr>
          <w:spacing w:val="-3"/>
        </w:rPr>
      </w:pPr>
    </w:p>
    <w:p w14:paraId="3BAA965D" w14:textId="63A9E001" w:rsidR="00735972" w:rsidRPr="004E4C01" w:rsidRDefault="00735972" w:rsidP="004E1DDB">
      <w:pPr>
        <w:tabs>
          <w:tab w:val="left" w:pos="-2268"/>
        </w:tabs>
        <w:suppressAutoHyphens/>
        <w:rPr>
          <w:spacing w:val="-3"/>
        </w:rPr>
      </w:pPr>
      <w:r w:rsidRPr="004E4C01">
        <w:rPr>
          <w:spacing w:val="-3"/>
        </w:rPr>
        <w:t>CORTE INTERAMERICANA DE DERECHOS HUMANOS –CIDH. Opinión consultiva OC-23/17 de 15 de noviembre de 2017 solicitada por la República de Colombia. Medio Ambiente y Derechos Humanos. San José, Costa Rica: CIDH, 2017.</w:t>
      </w:r>
    </w:p>
    <w:p w14:paraId="5F90A17C" w14:textId="77777777" w:rsidR="00735972" w:rsidRPr="004E4C01" w:rsidRDefault="00735972" w:rsidP="004E1DDB">
      <w:pPr>
        <w:tabs>
          <w:tab w:val="left" w:pos="-2268"/>
        </w:tabs>
        <w:suppressAutoHyphens/>
        <w:rPr>
          <w:spacing w:val="-3"/>
        </w:rPr>
      </w:pPr>
    </w:p>
    <w:p w14:paraId="7D66DD67" w14:textId="6C93076C" w:rsidR="009B6A14" w:rsidRPr="006C00FC" w:rsidRDefault="009B6A14" w:rsidP="004E1DDB">
      <w:pPr>
        <w:tabs>
          <w:tab w:val="left" w:pos="-2268"/>
        </w:tabs>
        <w:suppressAutoHyphens/>
        <w:rPr>
          <w:spacing w:val="-3"/>
          <w:lang w:val="en-US"/>
        </w:rPr>
      </w:pPr>
      <w:r w:rsidRPr="006C00FC">
        <w:rPr>
          <w:spacing w:val="-3"/>
          <w:lang w:val="en-US"/>
        </w:rPr>
        <w:t>CRUMP, M., &amp; SCOTT JR.</w:t>
      </w:r>
      <w:r w:rsidR="005820F6" w:rsidRPr="006C00FC">
        <w:rPr>
          <w:spacing w:val="-3"/>
          <w:lang w:val="en-US"/>
        </w:rPr>
        <w:t>, N.</w:t>
      </w:r>
      <w:r w:rsidRPr="006C00FC">
        <w:rPr>
          <w:spacing w:val="-3"/>
          <w:lang w:val="en-US"/>
        </w:rPr>
        <w:t xml:space="preserve"> Visual encounter surveys. In W. R. </w:t>
      </w:r>
      <w:r w:rsidR="005820F6" w:rsidRPr="006C00FC">
        <w:rPr>
          <w:spacing w:val="-3"/>
          <w:lang w:val="en-US"/>
        </w:rPr>
        <w:t>HEYER</w:t>
      </w:r>
      <w:r w:rsidRPr="006C00FC">
        <w:rPr>
          <w:spacing w:val="-3"/>
          <w:lang w:val="en-US"/>
        </w:rPr>
        <w:t>, M.</w:t>
      </w:r>
      <w:r w:rsidR="005820F6" w:rsidRPr="006C00FC">
        <w:rPr>
          <w:spacing w:val="-3"/>
          <w:lang w:val="en-US"/>
        </w:rPr>
        <w:t>,</w:t>
      </w:r>
      <w:r w:rsidRPr="006C00FC">
        <w:rPr>
          <w:spacing w:val="-3"/>
          <w:lang w:val="en-US"/>
        </w:rPr>
        <w:t xml:space="preserve"> </w:t>
      </w:r>
      <w:r w:rsidR="005820F6" w:rsidRPr="006C00FC">
        <w:rPr>
          <w:spacing w:val="-3"/>
          <w:lang w:val="en-US"/>
        </w:rPr>
        <w:t>DONNELLY</w:t>
      </w:r>
      <w:r w:rsidRPr="006C00FC">
        <w:rPr>
          <w:spacing w:val="-3"/>
          <w:lang w:val="en-US"/>
        </w:rPr>
        <w:t>, McD</w:t>
      </w:r>
      <w:r w:rsidR="005820F6" w:rsidRPr="006C00FC">
        <w:rPr>
          <w:spacing w:val="-3"/>
          <w:lang w:val="en-US"/>
        </w:rPr>
        <w:t>IARMID</w:t>
      </w:r>
      <w:r w:rsidRPr="006C00FC">
        <w:rPr>
          <w:spacing w:val="-3"/>
          <w:lang w:val="en-US"/>
        </w:rPr>
        <w:t xml:space="preserve">, </w:t>
      </w:r>
      <w:r w:rsidR="005820F6" w:rsidRPr="006C00FC">
        <w:rPr>
          <w:spacing w:val="-3"/>
          <w:lang w:val="en-US"/>
        </w:rPr>
        <w:t>R., HAYEK</w:t>
      </w:r>
      <w:r w:rsidRPr="006C00FC">
        <w:rPr>
          <w:spacing w:val="-3"/>
          <w:lang w:val="en-US"/>
        </w:rPr>
        <w:t xml:space="preserve">, </w:t>
      </w:r>
      <w:r w:rsidR="005820F6" w:rsidRPr="006C00FC">
        <w:rPr>
          <w:spacing w:val="-3"/>
          <w:lang w:val="en-US"/>
        </w:rPr>
        <w:t xml:space="preserve">L. &amp; FOSTER, M. </w:t>
      </w:r>
      <w:r w:rsidRPr="006C00FC">
        <w:rPr>
          <w:spacing w:val="-3"/>
          <w:lang w:val="en-US"/>
        </w:rPr>
        <w:t>(</w:t>
      </w:r>
      <w:r w:rsidR="005820F6" w:rsidRPr="006C00FC">
        <w:rPr>
          <w:spacing w:val="-3"/>
          <w:lang w:val="en-US"/>
        </w:rPr>
        <w:t>E</w:t>
      </w:r>
      <w:r w:rsidRPr="006C00FC">
        <w:rPr>
          <w:spacing w:val="-3"/>
          <w:lang w:val="en-US"/>
        </w:rPr>
        <w:t xml:space="preserve">ds.), Measuring and </w:t>
      </w:r>
      <w:r w:rsidR="005820F6" w:rsidRPr="006C00FC">
        <w:rPr>
          <w:spacing w:val="-3"/>
          <w:lang w:val="en-US"/>
        </w:rPr>
        <w:t xml:space="preserve">monitoring biological diversity: standard methods for amphibians. Washington, DC.: </w:t>
      </w:r>
      <w:r w:rsidRPr="006C00FC">
        <w:rPr>
          <w:spacing w:val="-3"/>
          <w:lang w:val="en-US"/>
        </w:rPr>
        <w:t>Smithsonian Institution Press</w:t>
      </w:r>
      <w:r w:rsidR="005820F6" w:rsidRPr="006C00FC">
        <w:rPr>
          <w:spacing w:val="-3"/>
          <w:lang w:val="en-US"/>
        </w:rPr>
        <w:t>.</w:t>
      </w:r>
      <w:r w:rsidRPr="006C00FC">
        <w:rPr>
          <w:spacing w:val="-3"/>
          <w:lang w:val="en-US"/>
        </w:rPr>
        <w:t xml:space="preserve"> </w:t>
      </w:r>
      <w:r w:rsidR="005820F6" w:rsidRPr="006C00FC">
        <w:rPr>
          <w:spacing w:val="-3"/>
          <w:lang w:val="en-US"/>
        </w:rPr>
        <w:t>(1994); p. 84–92.</w:t>
      </w:r>
    </w:p>
    <w:p w14:paraId="5464E443" w14:textId="77777777" w:rsidR="009B6A14" w:rsidRDefault="009B6A14" w:rsidP="004E1DDB">
      <w:pPr>
        <w:tabs>
          <w:tab w:val="left" w:pos="-2268"/>
        </w:tabs>
        <w:suppressAutoHyphens/>
        <w:rPr>
          <w:spacing w:val="-3"/>
          <w:lang w:val="en-US"/>
        </w:rPr>
      </w:pPr>
    </w:p>
    <w:p w14:paraId="4DD5F840" w14:textId="1ED17FEA" w:rsidR="00F80814" w:rsidRDefault="00C86BE0" w:rsidP="0017220C">
      <w:pPr>
        <w:tabs>
          <w:tab w:val="left" w:pos="-2268"/>
        </w:tabs>
        <w:suppressAutoHyphens/>
        <w:rPr>
          <w:spacing w:val="-3"/>
          <w:lang w:val="en-US"/>
        </w:rPr>
      </w:pPr>
      <w:r w:rsidRPr="00C86BE0">
        <w:rPr>
          <w:spacing w:val="-3"/>
          <w:lang w:val="en-US"/>
        </w:rPr>
        <w:t xml:space="preserve">DANISH INSTITUTE FOR HUMAN RIGHTS </w:t>
      </w:r>
      <w:r>
        <w:rPr>
          <w:spacing w:val="-3"/>
          <w:lang w:val="en-US"/>
        </w:rPr>
        <w:t>(</w:t>
      </w:r>
      <w:r w:rsidRPr="00C86BE0">
        <w:rPr>
          <w:spacing w:val="-3"/>
          <w:lang w:val="en-US"/>
        </w:rPr>
        <w:t>DIHR</w:t>
      </w:r>
      <w:r>
        <w:rPr>
          <w:spacing w:val="-3"/>
          <w:lang w:val="en-US"/>
        </w:rPr>
        <w:t xml:space="preserve">). </w:t>
      </w:r>
      <w:r w:rsidR="0017220C" w:rsidRPr="0017220C">
        <w:rPr>
          <w:spacing w:val="-3"/>
          <w:lang w:val="en-US"/>
        </w:rPr>
        <w:t>Crosscutting: Stakehoder Engagement</w:t>
      </w:r>
      <w:r w:rsidR="0017220C">
        <w:rPr>
          <w:spacing w:val="-3"/>
          <w:lang w:val="en-US"/>
        </w:rPr>
        <w:t xml:space="preserve">. </w:t>
      </w:r>
      <w:r w:rsidR="0017220C" w:rsidRPr="0017220C">
        <w:rPr>
          <w:spacing w:val="-3"/>
          <w:lang w:val="en-US"/>
        </w:rPr>
        <w:t>Human Rights Impact Assessment Guidance and Toolbox</w:t>
      </w:r>
      <w:r w:rsidR="0017220C">
        <w:rPr>
          <w:spacing w:val="-3"/>
          <w:lang w:val="en-US"/>
        </w:rPr>
        <w:t xml:space="preserve">. </w:t>
      </w:r>
      <w:r w:rsidR="00A90F9C">
        <w:rPr>
          <w:spacing w:val="-3"/>
          <w:lang w:val="en-US"/>
        </w:rPr>
        <w:t>DIHR, 2020.</w:t>
      </w:r>
    </w:p>
    <w:p w14:paraId="12C90F8F" w14:textId="77777777" w:rsidR="00F80814" w:rsidRPr="006C00FC" w:rsidRDefault="00F80814" w:rsidP="004E1DDB">
      <w:pPr>
        <w:tabs>
          <w:tab w:val="left" w:pos="-2268"/>
        </w:tabs>
        <w:suppressAutoHyphens/>
        <w:rPr>
          <w:spacing w:val="-3"/>
          <w:lang w:val="en-US"/>
        </w:rPr>
      </w:pPr>
    </w:p>
    <w:p w14:paraId="4B407F12" w14:textId="77777777" w:rsidR="00E93E41" w:rsidRPr="006C00FC" w:rsidRDefault="00E93E41" w:rsidP="004E1DDB">
      <w:pPr>
        <w:tabs>
          <w:tab w:val="left" w:pos="-2268"/>
        </w:tabs>
        <w:suppressAutoHyphens/>
        <w:rPr>
          <w:spacing w:val="-3"/>
          <w:lang w:val="en-US"/>
        </w:rPr>
      </w:pPr>
      <w:r w:rsidRPr="006C00FC">
        <w:rPr>
          <w:spacing w:val="-3"/>
          <w:lang w:val="en-US"/>
        </w:rPr>
        <w:t>DAY, T. Longitudinal dispersion of fluid particles in mountain streams: 1. Theory and filed evidence. J. Hydro. (N.Z.), 16, 1 (1977); p. 7-25.</w:t>
      </w:r>
    </w:p>
    <w:p w14:paraId="47E6A96C" w14:textId="77777777" w:rsidR="00E93E41" w:rsidRPr="006C00FC" w:rsidRDefault="00E93E41">
      <w:pPr>
        <w:tabs>
          <w:tab w:val="left" w:pos="-2268"/>
        </w:tabs>
        <w:suppressAutoHyphens/>
        <w:rPr>
          <w:spacing w:val="-3"/>
          <w:lang w:val="en-US"/>
        </w:rPr>
      </w:pPr>
    </w:p>
    <w:p w14:paraId="0457A185" w14:textId="5646D864" w:rsidR="00E93E41" w:rsidRPr="004E4C01" w:rsidRDefault="00E93E41">
      <w:pPr>
        <w:tabs>
          <w:tab w:val="left" w:pos="-2268"/>
        </w:tabs>
        <w:suppressAutoHyphens/>
        <w:rPr>
          <w:spacing w:val="-3"/>
        </w:rPr>
      </w:pPr>
      <w:r w:rsidRPr="006C00FC">
        <w:rPr>
          <w:spacing w:val="-3"/>
          <w:lang w:val="en-US"/>
        </w:rPr>
        <w:lastRenderedPageBreak/>
        <w:t xml:space="preserve">DEICHMANN, J., HERNÁNDEZ-SERNA, A., DELGADO A., CAMPOS-CERQUEIRA, M., MITCHELL AIDE, T. Soundscape analysis and acoustic monitoring document impacts of natural gas exploration on biodiversity in a tropical forest. </w:t>
      </w:r>
      <w:r w:rsidRPr="004E4C01">
        <w:rPr>
          <w:spacing w:val="-3"/>
        </w:rPr>
        <w:t>Ecological Indicators. 74 (2017); p. 39-48.</w:t>
      </w:r>
    </w:p>
    <w:p w14:paraId="59E23398" w14:textId="77777777" w:rsidR="00E93E41" w:rsidRPr="004E4C01" w:rsidRDefault="00E93E41" w:rsidP="004E0E57">
      <w:pPr>
        <w:overflowPunct/>
        <w:textAlignment w:val="auto"/>
      </w:pPr>
    </w:p>
    <w:p w14:paraId="30DC25D6" w14:textId="77777777" w:rsidR="00E93E41" w:rsidRPr="004E4C01" w:rsidRDefault="00E93E41" w:rsidP="004E0E57">
      <w:pPr>
        <w:overflowPunct/>
        <w:textAlignment w:val="auto"/>
      </w:pPr>
      <w:r w:rsidRPr="004E4C01">
        <w:t>DEPARTAMENTO ADMINISTRATIVO NACIONAL DE ESTADÍSTICA –DANE. Ficha metodológica tercer censo nacional agropecuario. Bogotá D. C.: DANE, 2016.</w:t>
      </w:r>
    </w:p>
    <w:p w14:paraId="5D4C1094" w14:textId="77777777" w:rsidR="00E93E41" w:rsidRPr="004E4C01" w:rsidRDefault="00E93E41" w:rsidP="00E93E41">
      <w:pPr>
        <w:overflowPunct/>
        <w:textAlignment w:val="auto"/>
      </w:pPr>
    </w:p>
    <w:p w14:paraId="08A45744" w14:textId="77777777" w:rsidR="00E93E41" w:rsidRPr="004E4C01" w:rsidRDefault="00E93E41" w:rsidP="009420F5">
      <w:pPr>
        <w:overflowPunct/>
        <w:textAlignment w:val="auto"/>
      </w:pPr>
      <w:r w:rsidRPr="004E4C01">
        <w:t>DEPARTAMENTO ADMINISTRATIVO NACIONAL DE ESTADÍSTICA –DANE. Metodología Gran Encuesta Integrada de Hogares. Colección documentos - actualización 2009. Núm. 83. Bogotá D. C.: DANE, 2009.</w:t>
      </w:r>
    </w:p>
    <w:p w14:paraId="77AC6659" w14:textId="5FACAFDD" w:rsidR="00E93E41" w:rsidRPr="004E4C01" w:rsidRDefault="00E93E41">
      <w:pPr>
        <w:tabs>
          <w:tab w:val="left" w:pos="-2268"/>
        </w:tabs>
        <w:suppressAutoHyphens/>
        <w:rPr>
          <w:spacing w:val="-3"/>
        </w:rPr>
      </w:pPr>
    </w:p>
    <w:p w14:paraId="0BB03B8B" w14:textId="46F5E9FF" w:rsidR="009E12F7" w:rsidRPr="006C00FC" w:rsidRDefault="009E12F7" w:rsidP="009E12F7">
      <w:pPr>
        <w:tabs>
          <w:tab w:val="left" w:pos="-2268"/>
        </w:tabs>
        <w:suppressAutoHyphens/>
        <w:rPr>
          <w:spacing w:val="-3"/>
          <w:lang w:val="en-US"/>
        </w:rPr>
      </w:pPr>
      <w:r w:rsidRPr="004E4C01">
        <w:rPr>
          <w:spacing w:val="-3"/>
        </w:rPr>
        <w:t xml:space="preserve">DEPARTAMENTO NACIONAL DE PLANEACIÓN </w:t>
      </w:r>
      <w:r w:rsidRPr="004E4C01">
        <w:t xml:space="preserve">–DNP. Elementos para la formulación de la política nacional de ordenamiento territorial y alcances de las directrices departamentales. </w:t>
      </w:r>
      <w:r w:rsidRPr="006C00FC">
        <w:rPr>
          <w:lang w:val="en-US"/>
        </w:rPr>
        <w:t>Bogotá D.C.: DNP</w:t>
      </w:r>
      <w:r w:rsidRPr="006C00FC">
        <w:rPr>
          <w:spacing w:val="-3"/>
          <w:lang w:val="en-US"/>
        </w:rPr>
        <w:t>, 2013.</w:t>
      </w:r>
    </w:p>
    <w:p w14:paraId="699C53C0" w14:textId="77777777" w:rsidR="009E12F7" w:rsidRPr="006C00FC" w:rsidRDefault="009E12F7">
      <w:pPr>
        <w:tabs>
          <w:tab w:val="left" w:pos="-2268"/>
        </w:tabs>
        <w:suppressAutoHyphens/>
        <w:rPr>
          <w:spacing w:val="-3"/>
          <w:lang w:val="en-US"/>
        </w:rPr>
      </w:pPr>
    </w:p>
    <w:p w14:paraId="0F0334B6" w14:textId="11199F48" w:rsidR="00A23EB9" w:rsidRPr="004E4C01" w:rsidRDefault="00D633BC" w:rsidP="00FA627D">
      <w:pPr>
        <w:overflowPunct/>
        <w:autoSpaceDE/>
        <w:autoSpaceDN/>
        <w:adjustRightInd/>
        <w:textAlignment w:val="auto"/>
        <w:rPr>
          <w:color w:val="000000" w:themeColor="text1"/>
          <w:spacing w:val="-3"/>
        </w:rPr>
      </w:pPr>
      <w:r w:rsidRPr="006C00FC">
        <w:rPr>
          <w:color w:val="000000" w:themeColor="text1"/>
          <w:spacing w:val="-3"/>
          <w:lang w:val="en-US"/>
        </w:rPr>
        <w:t xml:space="preserve">DEPARTMENT FOR COMMUNITIES AND LOCAL GOVERNMENT </w:t>
      </w:r>
      <w:r w:rsidRPr="006C00FC">
        <w:rPr>
          <w:color w:val="000000" w:themeColor="text1"/>
          <w:lang w:val="en-US"/>
        </w:rPr>
        <w:t>–</w:t>
      </w:r>
      <w:r w:rsidR="00A23EB9" w:rsidRPr="006C00FC">
        <w:rPr>
          <w:color w:val="000000" w:themeColor="text1"/>
          <w:spacing w:val="-3"/>
          <w:lang w:val="en-US"/>
        </w:rPr>
        <w:t xml:space="preserve">DCLG. Multi-criteria analysis: a manual. London: Department for Communities and Local Government, </w:t>
      </w:r>
      <w:r w:rsidRPr="006C00FC">
        <w:rPr>
          <w:color w:val="000000" w:themeColor="text1"/>
          <w:spacing w:val="-3"/>
          <w:lang w:val="en-US"/>
        </w:rPr>
        <w:t xml:space="preserve">2009. </w:t>
      </w:r>
      <w:r w:rsidR="00A23EB9" w:rsidRPr="004E4C01">
        <w:rPr>
          <w:color w:val="000000" w:themeColor="text1"/>
          <w:spacing w:val="-3"/>
        </w:rPr>
        <w:t>165p.</w:t>
      </w:r>
    </w:p>
    <w:p w14:paraId="2158AD7E" w14:textId="77777777" w:rsidR="00A23EB9" w:rsidRPr="004E4C01" w:rsidRDefault="00A23EB9" w:rsidP="00FA627D">
      <w:pPr>
        <w:tabs>
          <w:tab w:val="left" w:pos="-2268"/>
        </w:tabs>
        <w:suppressAutoHyphens/>
        <w:rPr>
          <w:spacing w:val="-3"/>
        </w:rPr>
      </w:pPr>
    </w:p>
    <w:p w14:paraId="7EE3960F" w14:textId="1CBDE384" w:rsidR="00283CC7" w:rsidRPr="006C00FC" w:rsidRDefault="00283CC7" w:rsidP="00FA627D">
      <w:pPr>
        <w:tabs>
          <w:tab w:val="left" w:pos="-2268"/>
        </w:tabs>
        <w:suppressAutoHyphens/>
        <w:rPr>
          <w:spacing w:val="-3"/>
          <w:lang w:val="en-US"/>
        </w:rPr>
      </w:pPr>
      <w:r w:rsidRPr="004E4C01">
        <w:rPr>
          <w:spacing w:val="-3"/>
        </w:rPr>
        <w:t xml:space="preserve">DÍAZ-PULIDO, A. Y PAYÁN, E. Manual de fototrampeo: una herramienta de investigación para la conservación de la biodiversidad en Colombia. Bogotá: Instituto de Investigaciones de Recursos Biológicos Alexander von Humboldt y Panthera Colombia, 2012. </w:t>
      </w:r>
      <w:r w:rsidRPr="006C00FC">
        <w:rPr>
          <w:spacing w:val="-3"/>
          <w:lang w:val="en-US"/>
        </w:rPr>
        <w:t>32 p.</w:t>
      </w:r>
    </w:p>
    <w:p w14:paraId="453BCD09" w14:textId="77777777" w:rsidR="00283CC7" w:rsidRPr="006C00FC" w:rsidRDefault="00283CC7" w:rsidP="00FA627D">
      <w:pPr>
        <w:tabs>
          <w:tab w:val="left" w:pos="-2268"/>
        </w:tabs>
        <w:suppressAutoHyphens/>
        <w:rPr>
          <w:spacing w:val="-3"/>
          <w:lang w:val="en-US"/>
        </w:rPr>
      </w:pPr>
    </w:p>
    <w:p w14:paraId="5DDEE0A0" w14:textId="77777777" w:rsidR="00E93E41" w:rsidRPr="006C00FC" w:rsidRDefault="00E93E41" w:rsidP="00FA627D">
      <w:pPr>
        <w:tabs>
          <w:tab w:val="left" w:pos="-2268"/>
        </w:tabs>
        <w:suppressAutoHyphens/>
        <w:rPr>
          <w:spacing w:val="-3"/>
          <w:lang w:val="en-US"/>
        </w:rPr>
      </w:pPr>
      <w:r w:rsidRPr="006C00FC">
        <w:rPr>
          <w:spacing w:val="-3"/>
          <w:lang w:val="en-US"/>
        </w:rPr>
        <w:t>DINGMAN S. Physical hydrology Vol. 1. New Jersey: Prentice Hall, 2002. 646 p.</w:t>
      </w:r>
    </w:p>
    <w:p w14:paraId="4C01E57A" w14:textId="77777777" w:rsidR="00E93E41" w:rsidRPr="006C00FC" w:rsidRDefault="00E93E41" w:rsidP="00FA627D">
      <w:pPr>
        <w:tabs>
          <w:tab w:val="left" w:pos="-2268"/>
        </w:tabs>
        <w:suppressAutoHyphens/>
        <w:rPr>
          <w:spacing w:val="-3"/>
          <w:lang w:val="en-US"/>
        </w:rPr>
      </w:pPr>
    </w:p>
    <w:p w14:paraId="6534FD35" w14:textId="0E81E264" w:rsidR="00A23EB9" w:rsidRPr="006C00FC" w:rsidRDefault="00D633BC" w:rsidP="00FA627D">
      <w:pPr>
        <w:overflowPunct/>
        <w:autoSpaceDE/>
        <w:autoSpaceDN/>
        <w:adjustRightInd/>
        <w:textAlignment w:val="auto"/>
        <w:rPr>
          <w:color w:val="000000" w:themeColor="text1"/>
          <w:spacing w:val="-3"/>
          <w:lang w:val="en-US"/>
        </w:rPr>
      </w:pPr>
      <w:r w:rsidRPr="006C00FC">
        <w:rPr>
          <w:color w:val="000000" w:themeColor="text1"/>
          <w:spacing w:val="-3"/>
          <w:lang w:val="en-US"/>
        </w:rPr>
        <w:t>EASTMAN</w:t>
      </w:r>
      <w:r w:rsidR="00A23EB9" w:rsidRPr="006C00FC">
        <w:rPr>
          <w:color w:val="000000" w:themeColor="text1"/>
          <w:spacing w:val="-3"/>
          <w:lang w:val="en-US"/>
        </w:rPr>
        <w:t xml:space="preserve">, J. Multi-criteria evaluation and GIS. En: </w:t>
      </w:r>
      <w:r w:rsidR="00981D41" w:rsidRPr="006C00FC">
        <w:rPr>
          <w:color w:val="000000" w:themeColor="text1"/>
          <w:spacing w:val="-3"/>
          <w:lang w:val="en-US"/>
        </w:rPr>
        <w:t>LONGLEY, P., GOODCHILD, M., MAGUIRE, D., RHIND</w:t>
      </w:r>
      <w:r w:rsidR="00A23EB9" w:rsidRPr="006C00FC">
        <w:rPr>
          <w:color w:val="000000" w:themeColor="text1"/>
          <w:spacing w:val="-3"/>
          <w:lang w:val="en-US"/>
        </w:rPr>
        <w:t xml:space="preserve">, D. </w:t>
      </w:r>
      <w:r w:rsidR="00981D41" w:rsidRPr="006C00FC">
        <w:rPr>
          <w:color w:val="000000" w:themeColor="text1"/>
          <w:spacing w:val="-3"/>
          <w:lang w:val="en-US"/>
        </w:rPr>
        <w:t>(</w:t>
      </w:r>
      <w:r w:rsidR="00A23EB9" w:rsidRPr="006C00FC">
        <w:rPr>
          <w:color w:val="000000" w:themeColor="text1"/>
          <w:spacing w:val="-3"/>
          <w:lang w:val="en-US"/>
        </w:rPr>
        <w:t>Eds</w:t>
      </w:r>
      <w:r w:rsidR="00981D41" w:rsidRPr="006C00FC">
        <w:rPr>
          <w:color w:val="000000" w:themeColor="text1"/>
          <w:spacing w:val="-3"/>
          <w:lang w:val="en-US"/>
        </w:rPr>
        <w:t>)</w:t>
      </w:r>
      <w:r w:rsidR="00A23EB9" w:rsidRPr="006C00FC">
        <w:rPr>
          <w:color w:val="000000" w:themeColor="text1"/>
          <w:spacing w:val="-3"/>
          <w:lang w:val="en-US"/>
        </w:rPr>
        <w:t>.</w:t>
      </w:r>
      <w:r w:rsidR="00981D41" w:rsidRPr="006C00FC">
        <w:rPr>
          <w:color w:val="000000" w:themeColor="text1"/>
          <w:spacing w:val="-3"/>
          <w:lang w:val="en-US"/>
        </w:rPr>
        <w:t xml:space="preserve"> Geographical Information Systems: principles, techniques, management and applications.</w:t>
      </w:r>
      <w:r w:rsidR="00A23EB9" w:rsidRPr="006C00FC">
        <w:rPr>
          <w:color w:val="000000" w:themeColor="text1"/>
          <w:spacing w:val="-3"/>
          <w:lang w:val="en-US"/>
        </w:rPr>
        <w:t xml:space="preserve"> New York</w:t>
      </w:r>
      <w:r w:rsidR="00981D41" w:rsidRPr="006C00FC">
        <w:rPr>
          <w:color w:val="000000" w:themeColor="text1"/>
          <w:spacing w:val="-3"/>
          <w:lang w:val="en-US"/>
        </w:rPr>
        <w:t>: Wiley.</w:t>
      </w:r>
      <w:r w:rsidR="00A23EB9" w:rsidRPr="006C00FC">
        <w:rPr>
          <w:color w:val="000000" w:themeColor="text1"/>
          <w:spacing w:val="-3"/>
          <w:lang w:val="en-US"/>
        </w:rPr>
        <w:t xml:space="preserve"> </w:t>
      </w:r>
      <w:r w:rsidR="00981D41" w:rsidRPr="006C00FC">
        <w:rPr>
          <w:color w:val="000000" w:themeColor="text1"/>
          <w:spacing w:val="-3"/>
          <w:lang w:val="en-US"/>
        </w:rPr>
        <w:t>(</w:t>
      </w:r>
      <w:r w:rsidR="00A23EB9" w:rsidRPr="006C00FC">
        <w:rPr>
          <w:color w:val="000000" w:themeColor="text1"/>
          <w:spacing w:val="-3"/>
          <w:lang w:val="en-US"/>
        </w:rPr>
        <w:t>2005</w:t>
      </w:r>
      <w:r w:rsidR="00981D41" w:rsidRPr="006C00FC">
        <w:rPr>
          <w:color w:val="000000" w:themeColor="text1"/>
          <w:spacing w:val="-3"/>
          <w:lang w:val="en-US"/>
        </w:rPr>
        <w:t>)</w:t>
      </w:r>
      <w:r w:rsidR="00A23EB9" w:rsidRPr="006C00FC">
        <w:rPr>
          <w:color w:val="000000" w:themeColor="text1"/>
          <w:spacing w:val="-3"/>
          <w:lang w:val="en-US"/>
        </w:rPr>
        <w:t>; p. 493–502.</w:t>
      </w:r>
    </w:p>
    <w:p w14:paraId="21DC4CCA" w14:textId="77777777" w:rsidR="00A23EB9" w:rsidRPr="006C00FC" w:rsidRDefault="00A23EB9" w:rsidP="00FA627D">
      <w:pPr>
        <w:tabs>
          <w:tab w:val="left" w:pos="-2268"/>
        </w:tabs>
        <w:suppressAutoHyphens/>
        <w:rPr>
          <w:spacing w:val="-3"/>
          <w:lang w:val="en-US"/>
        </w:rPr>
      </w:pPr>
    </w:p>
    <w:p w14:paraId="4E481C25" w14:textId="77777777" w:rsidR="00E93E41" w:rsidRPr="00127BD4" w:rsidRDefault="00E93E41" w:rsidP="00FA627D">
      <w:pPr>
        <w:tabs>
          <w:tab w:val="left" w:pos="-2268"/>
        </w:tabs>
        <w:suppressAutoHyphens/>
        <w:rPr>
          <w:spacing w:val="-3"/>
          <w:lang w:val="en-US"/>
        </w:rPr>
      </w:pPr>
      <w:r w:rsidRPr="006C00FC">
        <w:rPr>
          <w:spacing w:val="-3"/>
          <w:lang w:val="en-US"/>
        </w:rPr>
        <w:t xml:space="preserve">EISENBEIS, G. &amp; HÄNEL, A. Light pollution and the impact of artificial night lighting on insects. En: McDONNELL, M., HAHS, A., &amp; BREUSTE, J. (Eds.). Ecology of Cities and Towns. </w:t>
      </w:r>
      <w:r w:rsidRPr="00127BD4">
        <w:rPr>
          <w:spacing w:val="-3"/>
          <w:lang w:val="en-US"/>
        </w:rPr>
        <w:t>Cambridge: Cambridge University Press. (2009); p. 243-263.</w:t>
      </w:r>
    </w:p>
    <w:p w14:paraId="4B59CB0E" w14:textId="77777777" w:rsidR="00E93E41" w:rsidRPr="00127BD4" w:rsidRDefault="00E93E41" w:rsidP="00E93E41">
      <w:pPr>
        <w:tabs>
          <w:tab w:val="left" w:pos="-2268"/>
        </w:tabs>
        <w:suppressAutoHyphens/>
        <w:rPr>
          <w:spacing w:val="-3"/>
          <w:lang w:val="en-US"/>
        </w:rPr>
      </w:pPr>
    </w:p>
    <w:p w14:paraId="24C9729E" w14:textId="7231E0AB" w:rsidR="00787531" w:rsidRPr="00127BD4" w:rsidRDefault="0038330A" w:rsidP="00E93E41">
      <w:pPr>
        <w:tabs>
          <w:tab w:val="left" w:pos="-2268"/>
        </w:tabs>
        <w:suppressAutoHyphens/>
        <w:rPr>
          <w:spacing w:val="-3"/>
          <w:lang w:val="en-US"/>
        </w:rPr>
      </w:pPr>
      <w:r w:rsidRPr="00127BD4">
        <w:rPr>
          <w:spacing w:val="-3"/>
          <w:lang w:val="en-US"/>
        </w:rPr>
        <w:t>ELEFTHERIOU, A. Methods for the study of marine benthos. Fourth edition. Wiley Blackwell</w:t>
      </w:r>
      <w:r w:rsidRPr="006B66C7">
        <w:rPr>
          <w:spacing w:val="-3"/>
          <w:lang w:val="en-US"/>
        </w:rPr>
        <w:t>, 2013.</w:t>
      </w:r>
      <w:r w:rsidRPr="00127BD4">
        <w:rPr>
          <w:spacing w:val="-3"/>
          <w:lang w:val="en-US"/>
        </w:rPr>
        <w:t xml:space="preserve"> 477 p.</w:t>
      </w:r>
    </w:p>
    <w:p w14:paraId="1E01AC37" w14:textId="77777777" w:rsidR="0038330A" w:rsidRPr="00127BD4" w:rsidRDefault="0038330A" w:rsidP="00E93E41">
      <w:pPr>
        <w:tabs>
          <w:tab w:val="left" w:pos="-2268"/>
        </w:tabs>
        <w:suppressAutoHyphens/>
        <w:rPr>
          <w:spacing w:val="-3"/>
          <w:lang w:val="en-US"/>
        </w:rPr>
      </w:pPr>
    </w:p>
    <w:p w14:paraId="4B1DA670" w14:textId="42467FD1" w:rsidR="00123468" w:rsidRPr="006C00FC" w:rsidRDefault="00123468">
      <w:pPr>
        <w:tabs>
          <w:tab w:val="left" w:pos="-2268"/>
        </w:tabs>
        <w:suppressAutoHyphens/>
        <w:rPr>
          <w:spacing w:val="-3"/>
          <w:lang w:val="en-US"/>
        </w:rPr>
      </w:pPr>
      <w:r w:rsidRPr="004E4C01">
        <w:rPr>
          <w:spacing w:val="-3"/>
        </w:rPr>
        <w:t xml:space="preserve">EQUIPO DE TRABAJO DE LA RED LATINOAMERICANA DE SISTEMAS DE EVALUACIÓN DE IMPACTO AMBIENTAL (REDLASEIA) y COMISIÓN ECONÓMICA PARA AMÉRICA LATINA Y EL CARIBE (CEPAL). Criterios para la integración del cambio climático en la evaluación ambiental de proyectos de inversión, serie Medio Ambiente y Desarrollo, N° 176 (LC/TS.2023/147). </w:t>
      </w:r>
      <w:r w:rsidRPr="006C00FC">
        <w:rPr>
          <w:spacing w:val="-3"/>
          <w:lang w:val="en-US"/>
        </w:rPr>
        <w:t>Santiago: CEPAL, 2023. 61 p.</w:t>
      </w:r>
    </w:p>
    <w:p w14:paraId="10B55484" w14:textId="77777777" w:rsidR="00123468" w:rsidRPr="006C00FC" w:rsidRDefault="00123468" w:rsidP="00E93E41">
      <w:pPr>
        <w:tabs>
          <w:tab w:val="left" w:pos="-2268"/>
        </w:tabs>
        <w:suppressAutoHyphens/>
        <w:rPr>
          <w:spacing w:val="-3"/>
          <w:lang w:val="en-US"/>
        </w:rPr>
      </w:pPr>
    </w:p>
    <w:p w14:paraId="3F6C8897" w14:textId="77777777" w:rsidR="00E93E41" w:rsidRPr="006C00FC" w:rsidRDefault="00E93E41" w:rsidP="009420F5">
      <w:pPr>
        <w:tabs>
          <w:tab w:val="left" w:pos="-2268"/>
        </w:tabs>
        <w:suppressAutoHyphens/>
        <w:rPr>
          <w:spacing w:val="-3"/>
          <w:lang w:val="en-US"/>
        </w:rPr>
      </w:pPr>
      <w:r w:rsidRPr="006C00FC">
        <w:rPr>
          <w:spacing w:val="-3"/>
          <w:lang w:val="en-US"/>
        </w:rPr>
        <w:lastRenderedPageBreak/>
        <w:t>ETHERINGTON, T. Least-Cost modelling and landscape ecology: concepts, applications, and opportunities. Current Landscape Ecology Reports. 1, 1 (2016); p. 40–53.</w:t>
      </w:r>
    </w:p>
    <w:p w14:paraId="53189F97" w14:textId="77777777" w:rsidR="00E93E41" w:rsidRPr="006C00FC" w:rsidRDefault="00E93E41">
      <w:pPr>
        <w:tabs>
          <w:tab w:val="left" w:pos="-2268"/>
        </w:tabs>
        <w:suppressAutoHyphens/>
        <w:rPr>
          <w:spacing w:val="-3"/>
          <w:lang w:val="en-US"/>
        </w:rPr>
      </w:pPr>
    </w:p>
    <w:p w14:paraId="41C0D7D5" w14:textId="77777777" w:rsidR="00E93E41" w:rsidRPr="006C00FC" w:rsidRDefault="00E93E41">
      <w:pPr>
        <w:tabs>
          <w:tab w:val="left" w:pos="-2268"/>
        </w:tabs>
        <w:suppressAutoHyphens/>
        <w:rPr>
          <w:spacing w:val="-3"/>
          <w:lang w:val="en-US"/>
        </w:rPr>
      </w:pPr>
      <w:r w:rsidRPr="006C00FC">
        <w:rPr>
          <w:spacing w:val="-3"/>
          <w:lang w:val="en-US"/>
        </w:rPr>
        <w:t>EUROPEAN MONITORING AND EVALUATION PROGRAMME –EMEP &amp; EUROPEAN ENVIRONMENT AGENCY (EEA). EMEP/EEA air pollutant emission inventory guidebook 2019. Luxembourg: EEA, 2019. 21 p.</w:t>
      </w:r>
    </w:p>
    <w:p w14:paraId="1E5782A8" w14:textId="77777777" w:rsidR="00E93E41" w:rsidRPr="006C00FC" w:rsidRDefault="00E93E41">
      <w:pPr>
        <w:tabs>
          <w:tab w:val="left" w:pos="-2268"/>
        </w:tabs>
        <w:suppressAutoHyphens/>
        <w:rPr>
          <w:spacing w:val="-3"/>
          <w:lang w:val="en-US"/>
        </w:rPr>
      </w:pPr>
    </w:p>
    <w:p w14:paraId="4A8F248E" w14:textId="2D8B5E9D" w:rsidR="003F5D45" w:rsidRPr="006C00FC" w:rsidRDefault="003F5D45">
      <w:pPr>
        <w:tabs>
          <w:tab w:val="left" w:pos="-2268"/>
        </w:tabs>
        <w:suppressAutoHyphens/>
        <w:rPr>
          <w:spacing w:val="-3"/>
          <w:lang w:val="en-US"/>
        </w:rPr>
      </w:pPr>
      <w:r w:rsidRPr="006C00FC">
        <w:rPr>
          <w:spacing w:val="-3"/>
          <w:lang w:val="en-US"/>
        </w:rPr>
        <w:t>FRAHM, J.-P., POCS, T., O´SHEA, B., KOPONEN, T., PIIPPO, S., ENROTH, J., RAO, P., &amp; FANG, Y.-M. Manual of tropical bryology. Bryophyte diversity and evolution, 23, 1 (2003); p 1–200. https://doi.org/10.11646/bde.23.1.1</w:t>
      </w:r>
    </w:p>
    <w:p w14:paraId="65719469" w14:textId="77777777" w:rsidR="003F5D45" w:rsidRPr="006C00FC" w:rsidRDefault="003F5D45">
      <w:pPr>
        <w:tabs>
          <w:tab w:val="left" w:pos="-2268"/>
        </w:tabs>
        <w:suppressAutoHyphens/>
        <w:rPr>
          <w:spacing w:val="-3"/>
          <w:lang w:val="en-US"/>
        </w:rPr>
      </w:pPr>
    </w:p>
    <w:p w14:paraId="1E24CB17" w14:textId="489F99B5" w:rsidR="00E93E41" w:rsidRPr="004E4C01" w:rsidRDefault="00E93E41">
      <w:pPr>
        <w:tabs>
          <w:tab w:val="left" w:pos="-2268"/>
        </w:tabs>
        <w:suppressAutoHyphens/>
        <w:rPr>
          <w:spacing w:val="-3"/>
        </w:rPr>
      </w:pPr>
      <w:r w:rsidRPr="006C00FC">
        <w:rPr>
          <w:spacing w:val="-3"/>
          <w:lang w:val="en-US"/>
        </w:rPr>
        <w:t xml:space="preserve">FISCHER, H., List, J., IMBERGER, J., KOH, C., &amp; </w:t>
      </w:r>
      <w:r w:rsidR="003F5D45" w:rsidRPr="006C00FC">
        <w:rPr>
          <w:spacing w:val="-3"/>
          <w:lang w:val="en-US"/>
        </w:rPr>
        <w:t>BROOKS</w:t>
      </w:r>
      <w:r w:rsidRPr="006C00FC">
        <w:rPr>
          <w:spacing w:val="-3"/>
          <w:lang w:val="en-US"/>
        </w:rPr>
        <w:t xml:space="preserve">, N. Mixing in inland and coastal waters: New York: Academic Press, 1979. </w:t>
      </w:r>
      <w:r w:rsidRPr="004E4C01">
        <w:rPr>
          <w:spacing w:val="-3"/>
        </w:rPr>
        <w:t>483 p.</w:t>
      </w:r>
    </w:p>
    <w:p w14:paraId="1567EF19" w14:textId="77777777" w:rsidR="00E93E41" w:rsidRPr="004E4C01" w:rsidRDefault="00E93E41">
      <w:pPr>
        <w:tabs>
          <w:tab w:val="left" w:pos="-2268"/>
        </w:tabs>
        <w:suppressAutoHyphens/>
      </w:pPr>
    </w:p>
    <w:p w14:paraId="048FFA7D" w14:textId="77777777" w:rsidR="00E93E41" w:rsidRPr="006C00FC" w:rsidRDefault="00E93E41">
      <w:pPr>
        <w:tabs>
          <w:tab w:val="left" w:pos="-2268"/>
        </w:tabs>
        <w:suppressAutoHyphens/>
        <w:rPr>
          <w:lang w:val="en-US"/>
        </w:rPr>
      </w:pPr>
      <w:r w:rsidRPr="004E4C01">
        <w:t xml:space="preserve">GAITÁN, M. &amp; CÁRDENAS, P. Guía para la elaboración de inventarios de emisiones atmosféricas. Bogotá D. C.: Ministerio de Ambiente y Desarrollo Sostenible (Minambiente), 2017. </w:t>
      </w:r>
      <w:r w:rsidRPr="006C00FC">
        <w:rPr>
          <w:lang w:val="en-US"/>
        </w:rPr>
        <w:t>91 p.</w:t>
      </w:r>
    </w:p>
    <w:p w14:paraId="42EB09F0" w14:textId="77777777" w:rsidR="00E93E41" w:rsidRPr="006C00FC" w:rsidRDefault="00E93E41">
      <w:pPr>
        <w:tabs>
          <w:tab w:val="left" w:pos="-2268"/>
        </w:tabs>
        <w:suppressAutoHyphens/>
        <w:rPr>
          <w:spacing w:val="-3"/>
          <w:lang w:val="en-US"/>
        </w:rPr>
      </w:pPr>
    </w:p>
    <w:p w14:paraId="22894BAD" w14:textId="77777777" w:rsidR="00E93E41" w:rsidRPr="006C00FC" w:rsidRDefault="00E93E41">
      <w:pPr>
        <w:tabs>
          <w:tab w:val="left" w:pos="-2268"/>
        </w:tabs>
        <w:suppressAutoHyphens/>
        <w:rPr>
          <w:spacing w:val="-3"/>
          <w:lang w:val="en-US"/>
        </w:rPr>
      </w:pPr>
      <w:r w:rsidRPr="006C00FC">
        <w:rPr>
          <w:spacing w:val="-3"/>
          <w:lang w:val="en-US"/>
        </w:rPr>
        <w:t>GENTRY, A. Patterns of Neotropical plant species diversity. Evolutionary Biology. 15 (1982); p. 1-84.</w:t>
      </w:r>
    </w:p>
    <w:p w14:paraId="5DAD39A0" w14:textId="77777777" w:rsidR="00E93E41" w:rsidRPr="006C00FC" w:rsidRDefault="00E93E41">
      <w:pPr>
        <w:tabs>
          <w:tab w:val="left" w:pos="-2268"/>
        </w:tabs>
        <w:suppressAutoHyphens/>
        <w:rPr>
          <w:spacing w:val="-3"/>
          <w:lang w:val="en-US"/>
        </w:rPr>
      </w:pPr>
    </w:p>
    <w:p w14:paraId="08290384" w14:textId="10E9389B" w:rsidR="00E93E41" w:rsidRPr="006C00FC" w:rsidRDefault="00E93E41">
      <w:pPr>
        <w:tabs>
          <w:tab w:val="left" w:pos="-2268"/>
        </w:tabs>
        <w:suppressAutoHyphens/>
        <w:rPr>
          <w:spacing w:val="-3"/>
          <w:lang w:val="en-US"/>
        </w:rPr>
      </w:pPr>
      <w:r w:rsidRPr="006C00FC">
        <w:rPr>
          <w:spacing w:val="-3"/>
          <w:lang w:val="en-US"/>
        </w:rPr>
        <w:t>GENTRY, H., DODSON, C. Diversity and biogeography of neotropical vascular epiphytes. Annals of the Missouri Botanical Garden. 74, 2 (1987); p. 205-233.</w:t>
      </w:r>
    </w:p>
    <w:p w14:paraId="23C465B8" w14:textId="3D09F6F9" w:rsidR="00E93E41" w:rsidRPr="006C00FC" w:rsidRDefault="00E93E41">
      <w:pPr>
        <w:tabs>
          <w:tab w:val="left" w:pos="-2268"/>
        </w:tabs>
        <w:suppressAutoHyphens/>
        <w:rPr>
          <w:spacing w:val="-3"/>
          <w:lang w:val="en-US"/>
        </w:rPr>
      </w:pPr>
    </w:p>
    <w:p w14:paraId="2B2D0BD6" w14:textId="25B7FD9C" w:rsidR="00B3294C" w:rsidRPr="004E4C01" w:rsidRDefault="00B3294C">
      <w:pPr>
        <w:tabs>
          <w:tab w:val="left" w:pos="-2268"/>
        </w:tabs>
        <w:suppressAutoHyphens/>
        <w:rPr>
          <w:spacing w:val="-3"/>
        </w:rPr>
      </w:pPr>
      <w:r w:rsidRPr="006C00FC">
        <w:rPr>
          <w:spacing w:val="-3"/>
          <w:lang w:val="en-US"/>
        </w:rPr>
        <w:t xml:space="preserve">GLIME, J. Field Taxonomy and Collection Methods. </w:t>
      </w:r>
      <w:r w:rsidRPr="006C00FC">
        <w:rPr>
          <w:spacing w:val="-3"/>
          <w:lang w:val="fr-FR"/>
        </w:rPr>
        <w:t xml:space="preserve">Chapter. 1-1. En: </w:t>
      </w:r>
      <w:r w:rsidR="007935B8" w:rsidRPr="006C00FC">
        <w:rPr>
          <w:spacing w:val="-3"/>
          <w:lang w:val="fr-FR"/>
        </w:rPr>
        <w:t>GLIME</w:t>
      </w:r>
      <w:r w:rsidRPr="006C00FC">
        <w:rPr>
          <w:spacing w:val="-3"/>
          <w:lang w:val="fr-FR"/>
        </w:rPr>
        <w:t xml:space="preserve">, J. Bryophyte Ecology. </w:t>
      </w:r>
      <w:r w:rsidRPr="006C00FC">
        <w:rPr>
          <w:spacing w:val="-3"/>
          <w:lang w:val="en-US"/>
        </w:rPr>
        <w:t xml:space="preserve">Volume 3. Methods. Michigan Technological University and the International Association of Bryologists. </w:t>
      </w:r>
      <w:r w:rsidR="007935B8" w:rsidRPr="004E4C01">
        <w:rPr>
          <w:spacing w:val="-3"/>
        </w:rPr>
        <w:t>(</w:t>
      </w:r>
      <w:r w:rsidRPr="004E4C01">
        <w:rPr>
          <w:spacing w:val="-3"/>
        </w:rPr>
        <w:t>2017</w:t>
      </w:r>
      <w:r w:rsidR="007935B8" w:rsidRPr="004E4C01">
        <w:rPr>
          <w:spacing w:val="-3"/>
        </w:rPr>
        <w:t>)</w:t>
      </w:r>
      <w:r w:rsidRPr="004E4C01">
        <w:rPr>
          <w:spacing w:val="-3"/>
        </w:rPr>
        <w:t>.</w:t>
      </w:r>
      <w:r w:rsidR="007935B8" w:rsidRPr="004E4C01">
        <w:rPr>
          <w:spacing w:val="-3"/>
        </w:rPr>
        <w:t xml:space="preserve"> </w:t>
      </w:r>
      <w:r w:rsidR="007935B8" w:rsidRPr="004E4C01">
        <w:t>https://digitalcommons.mtu.edu/oabooks/4/</w:t>
      </w:r>
    </w:p>
    <w:p w14:paraId="7DC89A47" w14:textId="77777777" w:rsidR="007935B8" w:rsidRPr="004E4C01" w:rsidRDefault="007935B8">
      <w:pPr>
        <w:tabs>
          <w:tab w:val="left" w:pos="-2268"/>
        </w:tabs>
        <w:suppressAutoHyphens/>
        <w:rPr>
          <w:spacing w:val="-3"/>
        </w:rPr>
      </w:pPr>
    </w:p>
    <w:p w14:paraId="425489A5" w14:textId="0D9FD0B6" w:rsidR="004F4839" w:rsidRPr="006C00FC" w:rsidRDefault="004F4839">
      <w:pPr>
        <w:tabs>
          <w:tab w:val="left" w:pos="-2268"/>
        </w:tabs>
        <w:suppressAutoHyphens/>
        <w:rPr>
          <w:spacing w:val="-3"/>
          <w:lang w:val="en-US"/>
        </w:rPr>
      </w:pPr>
      <w:r w:rsidRPr="004E4C01">
        <w:rPr>
          <w:spacing w:val="-3"/>
        </w:rPr>
        <w:t>GÓMEZ-LÓPEZ, D., NAVARRETE-RAMÍREZ, S., NAVAS-CAMACHO, R., DÍAZ-SÁNCHEZ, C., MUÑOZ-ESCOBAR, L. &amp; GALEANO, E. Protocolo Indicador Condición Tendencia Praderas de Pastos Marinos (ICT</w:t>
      </w:r>
      <w:r w:rsidRPr="004E4C01">
        <w:rPr>
          <w:spacing w:val="-3"/>
          <w:vertAlign w:val="subscript"/>
        </w:rPr>
        <w:t>PM</w:t>
      </w:r>
      <w:r w:rsidRPr="004E4C01">
        <w:rPr>
          <w:spacing w:val="-3"/>
        </w:rPr>
        <w:t xml:space="preserve">). </w:t>
      </w:r>
      <w:r w:rsidRPr="00127BD4">
        <w:rPr>
          <w:spacing w:val="-3"/>
        </w:rPr>
        <w:t xml:space="preserve">Indicadores de monitoreo biológico del Subsistema de Áreas Marinas Protegidas (SAMP). </w:t>
      </w:r>
      <w:r w:rsidRPr="004E4C01">
        <w:rPr>
          <w:spacing w:val="-3"/>
        </w:rPr>
        <w:t xml:space="preserve">Serie de publicaciones generales del Invemar No. 68. Santa Marta; Invemar, GEF y PNUD, 2014. </w:t>
      </w:r>
      <w:r w:rsidRPr="006C00FC">
        <w:rPr>
          <w:spacing w:val="-3"/>
          <w:lang w:val="en-US"/>
        </w:rPr>
        <w:t>36 p.</w:t>
      </w:r>
    </w:p>
    <w:p w14:paraId="407B1E94" w14:textId="02D47602" w:rsidR="004F4839" w:rsidRPr="006C00FC" w:rsidRDefault="004F4839">
      <w:pPr>
        <w:tabs>
          <w:tab w:val="left" w:pos="-2268"/>
        </w:tabs>
        <w:suppressAutoHyphens/>
        <w:rPr>
          <w:spacing w:val="-3"/>
          <w:lang w:val="en-US"/>
        </w:rPr>
      </w:pPr>
    </w:p>
    <w:p w14:paraId="2BBFDD6B" w14:textId="73E7F9DD" w:rsidR="001B00C8" w:rsidRPr="006C00FC" w:rsidRDefault="001B00C8" w:rsidP="001B00C8">
      <w:pPr>
        <w:tabs>
          <w:tab w:val="left" w:pos="-2268"/>
        </w:tabs>
        <w:suppressAutoHyphens/>
        <w:rPr>
          <w:spacing w:val="-3"/>
          <w:lang w:val="en-US"/>
        </w:rPr>
      </w:pPr>
      <w:r w:rsidRPr="006C00FC">
        <w:rPr>
          <w:spacing w:val="-3"/>
          <w:lang w:val="en-US"/>
        </w:rPr>
        <w:t>GOPAL, B. A conceptual framework for environmental flows assessment based on ecosystem services and their economic valuation. Ecosystem Services. 2016. Volume 21, Part A (2016); p 53-58.</w:t>
      </w:r>
    </w:p>
    <w:p w14:paraId="1D6F26DB" w14:textId="77777777" w:rsidR="001B00C8" w:rsidRPr="006C00FC" w:rsidRDefault="001B00C8">
      <w:pPr>
        <w:tabs>
          <w:tab w:val="left" w:pos="-2268"/>
        </w:tabs>
        <w:suppressAutoHyphens/>
        <w:rPr>
          <w:spacing w:val="-3"/>
          <w:lang w:val="en-US"/>
        </w:rPr>
      </w:pPr>
    </w:p>
    <w:p w14:paraId="5C4EEC2C" w14:textId="728677DA" w:rsidR="00D900FC" w:rsidRPr="006C00FC" w:rsidRDefault="00D900FC" w:rsidP="00D900FC">
      <w:pPr>
        <w:rPr>
          <w:lang w:val="en-US"/>
        </w:rPr>
      </w:pPr>
      <w:r w:rsidRPr="006C00FC">
        <w:rPr>
          <w:lang w:val="en-US"/>
        </w:rPr>
        <w:t>GRADSTEIN, S., CHURCHILL, S. &amp; SALAZAR-ALLEN, N. Guide to the bryophytes of tropical America. Memoirs of the New York Botanical Garden</w:t>
      </w:r>
      <w:r w:rsidR="00ED6321" w:rsidRPr="006C00FC">
        <w:rPr>
          <w:lang w:val="en-US"/>
        </w:rPr>
        <w:t>.</w:t>
      </w:r>
      <w:r w:rsidRPr="006C00FC">
        <w:rPr>
          <w:lang w:val="en-US"/>
        </w:rPr>
        <w:t xml:space="preserve"> 86 (2001)</w:t>
      </w:r>
      <w:r w:rsidR="00ED6321" w:rsidRPr="006C00FC">
        <w:rPr>
          <w:lang w:val="en-US"/>
        </w:rPr>
        <w:t>; p 1-577.</w:t>
      </w:r>
    </w:p>
    <w:p w14:paraId="4895817D" w14:textId="77777777" w:rsidR="00D900FC" w:rsidRPr="006C00FC" w:rsidRDefault="00D900FC">
      <w:pPr>
        <w:tabs>
          <w:tab w:val="left" w:pos="-2268"/>
        </w:tabs>
        <w:suppressAutoHyphens/>
        <w:rPr>
          <w:spacing w:val="-3"/>
          <w:lang w:val="en-US"/>
        </w:rPr>
      </w:pPr>
    </w:p>
    <w:p w14:paraId="2878A65D" w14:textId="77777777" w:rsidR="00E93E41" w:rsidRPr="004E4C01" w:rsidRDefault="00E93E41">
      <w:pPr>
        <w:tabs>
          <w:tab w:val="left" w:pos="-2268"/>
        </w:tabs>
        <w:suppressAutoHyphens/>
        <w:rPr>
          <w:spacing w:val="-3"/>
        </w:rPr>
      </w:pPr>
      <w:r w:rsidRPr="006C00FC">
        <w:rPr>
          <w:spacing w:val="-3"/>
          <w:lang w:val="en-US"/>
        </w:rPr>
        <w:lastRenderedPageBreak/>
        <w:t xml:space="preserve">GRADSTEIN, S., NADKARNI, N., KRÖMER, T., HOLZ I. &amp; NÖSKE, N. A protocol for rapid and representative sampling of vascular and non-vascular epiphyte diversity in tropical rain forests. </w:t>
      </w:r>
      <w:r w:rsidRPr="004E4C01">
        <w:rPr>
          <w:spacing w:val="-3"/>
        </w:rPr>
        <w:t>Selbyana. 24 (2003); 105-111.</w:t>
      </w:r>
    </w:p>
    <w:p w14:paraId="47587C9E" w14:textId="77777777" w:rsidR="00E93E41" w:rsidRPr="004E4C01" w:rsidRDefault="00E93E41">
      <w:pPr>
        <w:tabs>
          <w:tab w:val="left" w:pos="-2268"/>
        </w:tabs>
        <w:suppressAutoHyphens/>
        <w:rPr>
          <w:spacing w:val="-3"/>
        </w:rPr>
      </w:pPr>
    </w:p>
    <w:p w14:paraId="3792F53C" w14:textId="77777777" w:rsidR="00E93E41" w:rsidRPr="004E4C01" w:rsidRDefault="00E93E41">
      <w:pPr>
        <w:tabs>
          <w:tab w:val="left" w:pos="-2268"/>
        </w:tabs>
        <w:suppressAutoHyphens/>
        <w:rPr>
          <w:spacing w:val="-3"/>
        </w:rPr>
      </w:pPr>
      <w:r w:rsidRPr="004E4C01">
        <w:rPr>
          <w:spacing w:val="-3"/>
        </w:rPr>
        <w:t>GRANADOS-SÁNCHEZ, D., LÓPEZ-RÍOS, G., HERNÁNDEZ-GARCÍA M. &amp; SÁNCHEZ GONZÁLEZ, A. Ecología de las plantas epífitas. Revista Chapingo Serie Ciencias Forestales y del Ambiente. 9, 2 (2003); 101-111.</w:t>
      </w:r>
    </w:p>
    <w:p w14:paraId="4FDC6448" w14:textId="77777777" w:rsidR="00E93E41" w:rsidRPr="004E4C01" w:rsidRDefault="00E93E41">
      <w:pPr>
        <w:tabs>
          <w:tab w:val="left" w:pos="-2268"/>
        </w:tabs>
        <w:suppressAutoHyphens/>
        <w:rPr>
          <w:spacing w:val="-3"/>
        </w:rPr>
      </w:pPr>
    </w:p>
    <w:p w14:paraId="5E850AD3" w14:textId="3D9717CD" w:rsidR="00A23EB9" w:rsidRPr="006C00FC" w:rsidRDefault="00FA627D" w:rsidP="00A23EB9">
      <w:pPr>
        <w:overflowPunct/>
        <w:autoSpaceDE/>
        <w:autoSpaceDN/>
        <w:adjustRightInd/>
        <w:jc w:val="left"/>
        <w:textAlignment w:val="auto"/>
        <w:rPr>
          <w:color w:val="000000" w:themeColor="text1"/>
          <w:spacing w:val="-3"/>
          <w:lang w:val="en-US"/>
        </w:rPr>
      </w:pPr>
      <w:r w:rsidRPr="004E4C01">
        <w:rPr>
          <w:color w:val="000000" w:themeColor="text1"/>
          <w:spacing w:val="-3"/>
        </w:rPr>
        <w:t>GUITOUNI, A., &amp; MARTEL</w:t>
      </w:r>
      <w:r w:rsidR="00A23EB9" w:rsidRPr="004E4C01">
        <w:rPr>
          <w:color w:val="000000" w:themeColor="text1"/>
          <w:spacing w:val="-3"/>
        </w:rPr>
        <w:t xml:space="preserve">, J. Tentative guidelines to help choosing an appropriate MCDA method. </w:t>
      </w:r>
      <w:r w:rsidR="00A23EB9" w:rsidRPr="006C00FC">
        <w:rPr>
          <w:color w:val="000000" w:themeColor="text1"/>
          <w:spacing w:val="-3"/>
          <w:lang w:val="en-US"/>
        </w:rPr>
        <w:t>European Journal of Operational Research</w:t>
      </w:r>
      <w:r w:rsidRPr="006C00FC">
        <w:rPr>
          <w:color w:val="000000" w:themeColor="text1"/>
          <w:spacing w:val="-3"/>
          <w:lang w:val="en-US"/>
        </w:rPr>
        <w:t>.</w:t>
      </w:r>
      <w:r w:rsidR="00A23EB9" w:rsidRPr="006C00FC">
        <w:rPr>
          <w:color w:val="000000" w:themeColor="text1"/>
          <w:spacing w:val="-3"/>
          <w:lang w:val="en-US"/>
        </w:rPr>
        <w:t xml:space="preserve"> 109</w:t>
      </w:r>
      <w:r w:rsidRPr="006C00FC">
        <w:rPr>
          <w:color w:val="000000" w:themeColor="text1"/>
          <w:spacing w:val="-3"/>
          <w:lang w:val="en-US"/>
        </w:rPr>
        <w:t xml:space="preserve">, </w:t>
      </w:r>
      <w:r w:rsidR="00A23EB9" w:rsidRPr="006C00FC">
        <w:rPr>
          <w:color w:val="000000" w:themeColor="text1"/>
          <w:spacing w:val="-3"/>
          <w:lang w:val="en-US"/>
        </w:rPr>
        <w:t>2</w:t>
      </w:r>
      <w:r w:rsidRPr="006C00FC">
        <w:rPr>
          <w:color w:val="000000" w:themeColor="text1"/>
          <w:spacing w:val="-3"/>
          <w:lang w:val="en-US"/>
        </w:rPr>
        <w:t xml:space="preserve"> (1998);</w:t>
      </w:r>
      <w:r w:rsidR="00A23EB9" w:rsidRPr="006C00FC">
        <w:rPr>
          <w:color w:val="000000" w:themeColor="text1"/>
          <w:spacing w:val="-3"/>
          <w:lang w:val="en-US"/>
        </w:rPr>
        <w:t xml:space="preserve"> 501–521.</w:t>
      </w:r>
    </w:p>
    <w:p w14:paraId="5B1C560C" w14:textId="77777777" w:rsidR="00A23EB9" w:rsidRPr="006C00FC" w:rsidRDefault="00A23EB9">
      <w:pPr>
        <w:tabs>
          <w:tab w:val="left" w:pos="-2268"/>
        </w:tabs>
        <w:suppressAutoHyphens/>
        <w:rPr>
          <w:spacing w:val="-3"/>
          <w:lang w:val="en-US"/>
        </w:rPr>
      </w:pPr>
    </w:p>
    <w:p w14:paraId="1BD6C229" w14:textId="77777777" w:rsidR="00E93E41" w:rsidRPr="005B2DC3" w:rsidRDefault="00E93E41">
      <w:pPr>
        <w:tabs>
          <w:tab w:val="left" w:pos="-2268"/>
        </w:tabs>
        <w:suppressAutoHyphens/>
        <w:rPr>
          <w:spacing w:val="-3"/>
          <w:lang w:val="en-US"/>
        </w:rPr>
      </w:pPr>
      <w:r w:rsidRPr="006C00FC">
        <w:rPr>
          <w:spacing w:val="-3"/>
          <w:lang w:val="en-US"/>
        </w:rPr>
        <w:t xml:space="preserve">GUTIÉRREZ, F., LASSO, C., BAPTISTE, M., SÁNCHEZ-DUARTE, P. &amp; DÍAZ, A. M. (Eds). </w:t>
      </w:r>
      <w:r w:rsidRPr="004E4C01">
        <w:rPr>
          <w:spacing w:val="-3"/>
        </w:rPr>
        <w:t xml:space="preserve">VI Catálogo de la biodiversidad acuática exótica y trasplantada en Colombia: moluscos, crustáceos, peces, anfibios, reptiles y aves. Serie editorial recursos hidrobiológicos y pesqueros continentales de Colombia. Bogotá, D. C.: Instituto de Investigación de los Recursos Biológicos Alexander von Humboldt, 2012. </w:t>
      </w:r>
      <w:r w:rsidRPr="005B2DC3">
        <w:rPr>
          <w:spacing w:val="-3"/>
          <w:lang w:val="en-US"/>
        </w:rPr>
        <w:t>335 p.</w:t>
      </w:r>
    </w:p>
    <w:p w14:paraId="361D2B25" w14:textId="77777777" w:rsidR="00E93E41" w:rsidRPr="005B2DC3" w:rsidRDefault="00E93E41" w:rsidP="001B2DD1">
      <w:pPr>
        <w:tabs>
          <w:tab w:val="left" w:pos="-2268"/>
        </w:tabs>
        <w:suppressAutoHyphens/>
        <w:rPr>
          <w:spacing w:val="-3"/>
          <w:lang w:val="en-US"/>
        </w:rPr>
      </w:pPr>
    </w:p>
    <w:p w14:paraId="658DE4A7" w14:textId="48060510" w:rsidR="00E93E41" w:rsidRPr="004E4C01" w:rsidRDefault="00E93E41">
      <w:pPr>
        <w:tabs>
          <w:tab w:val="left" w:pos="-2268"/>
        </w:tabs>
        <w:suppressAutoHyphens/>
        <w:rPr>
          <w:spacing w:val="-3"/>
        </w:rPr>
      </w:pPr>
      <w:r w:rsidRPr="006C00FC">
        <w:rPr>
          <w:spacing w:val="-3"/>
          <w:lang w:val="en-US"/>
        </w:rPr>
        <w:t xml:space="preserve">HAINES-YOUNG, R. &amp; POTSCHIN, M. Methodologies for defining and assessing ecosystem services. Final Report, JNCC, Project Code C08-0170-0062. Centre for Environmental Management University of Nottingham, 2009. </w:t>
      </w:r>
      <w:r w:rsidRPr="004E4C01">
        <w:rPr>
          <w:spacing w:val="-3"/>
        </w:rPr>
        <w:t>69 p.</w:t>
      </w:r>
    </w:p>
    <w:p w14:paraId="5E32569C" w14:textId="77777777" w:rsidR="00E93E41" w:rsidRPr="004E4C01" w:rsidRDefault="00E93E41">
      <w:pPr>
        <w:tabs>
          <w:tab w:val="left" w:pos="-2268"/>
        </w:tabs>
        <w:suppressAutoHyphens/>
        <w:rPr>
          <w:spacing w:val="-3"/>
        </w:rPr>
      </w:pPr>
    </w:p>
    <w:p w14:paraId="0F89D1F5" w14:textId="5E2D500C" w:rsidR="00E93E41" w:rsidRPr="006C00FC" w:rsidRDefault="00035CE6">
      <w:pPr>
        <w:tabs>
          <w:tab w:val="left" w:pos="-2268"/>
        </w:tabs>
        <w:suppressAutoHyphens/>
        <w:rPr>
          <w:spacing w:val="-3"/>
          <w:lang w:val="en-US"/>
        </w:rPr>
      </w:pPr>
      <w:r w:rsidRPr="004E4C01">
        <w:t>HALFFTER</w:t>
      </w:r>
      <w:r w:rsidR="00E93E41" w:rsidRPr="004E4C01">
        <w:rPr>
          <w:spacing w:val="-3"/>
        </w:rPr>
        <w:t xml:space="preserve">, G., MORENO C., &amp; PINEDA, E. Manual para evaluación de la biodiversidad en Reservas de la Biosfera. </w:t>
      </w:r>
      <w:r w:rsidR="00E93E41" w:rsidRPr="006C00FC">
        <w:rPr>
          <w:spacing w:val="-3"/>
          <w:lang w:val="en-US"/>
        </w:rPr>
        <w:t xml:space="preserve">Manuales y Tesis. </w:t>
      </w:r>
      <w:r w:rsidR="002A4465" w:rsidRPr="006C00FC">
        <w:rPr>
          <w:spacing w:val="-3"/>
          <w:lang w:val="en-US"/>
        </w:rPr>
        <w:t>Vol.</w:t>
      </w:r>
      <w:r w:rsidR="00E93E41" w:rsidRPr="006C00FC">
        <w:rPr>
          <w:spacing w:val="-3"/>
          <w:lang w:val="en-US"/>
        </w:rPr>
        <w:t xml:space="preserve"> 2. Zaragoza: Sociedad Entomológica Aragonesa, 2001. 79 p.</w:t>
      </w:r>
    </w:p>
    <w:p w14:paraId="5993212E" w14:textId="77777777" w:rsidR="00035CE6" w:rsidRPr="006C00FC" w:rsidRDefault="00035CE6">
      <w:pPr>
        <w:tabs>
          <w:tab w:val="left" w:pos="-2268"/>
        </w:tabs>
        <w:suppressAutoHyphens/>
        <w:rPr>
          <w:spacing w:val="-3"/>
          <w:lang w:val="en-US"/>
        </w:rPr>
      </w:pPr>
    </w:p>
    <w:p w14:paraId="57734919" w14:textId="466F41DF" w:rsidR="00EB6CF3" w:rsidRPr="006C00FC" w:rsidRDefault="00EB6CF3">
      <w:pPr>
        <w:tabs>
          <w:tab w:val="left" w:pos="-2268"/>
        </w:tabs>
        <w:suppressAutoHyphens/>
        <w:rPr>
          <w:spacing w:val="-3"/>
          <w:lang w:val="en-US"/>
        </w:rPr>
      </w:pPr>
      <w:r w:rsidRPr="006C00FC">
        <w:rPr>
          <w:spacing w:val="-3"/>
          <w:lang w:val="en-US"/>
        </w:rPr>
        <w:t>HALFFTER, G. A strategy for measuring landscape biodiversity. Biology International -Special Issue. 36 (1998); 3-17.</w:t>
      </w:r>
    </w:p>
    <w:p w14:paraId="7FCA1AD8" w14:textId="77777777" w:rsidR="00EB6CF3" w:rsidRPr="006C00FC" w:rsidRDefault="00EB6CF3">
      <w:pPr>
        <w:tabs>
          <w:tab w:val="left" w:pos="-2268"/>
        </w:tabs>
        <w:suppressAutoHyphens/>
        <w:rPr>
          <w:spacing w:val="-3"/>
          <w:lang w:val="en-US"/>
        </w:rPr>
      </w:pPr>
    </w:p>
    <w:p w14:paraId="21932808" w14:textId="68FDD6EB" w:rsidR="00CE18BB" w:rsidRPr="006C00FC" w:rsidRDefault="00CE18BB">
      <w:pPr>
        <w:tabs>
          <w:tab w:val="left" w:pos="-2268"/>
        </w:tabs>
        <w:suppressAutoHyphens/>
        <w:rPr>
          <w:spacing w:val="-3"/>
          <w:lang w:val="en-US"/>
        </w:rPr>
      </w:pPr>
      <w:r w:rsidRPr="006C00FC">
        <w:rPr>
          <w:spacing w:val="-3"/>
          <w:lang w:val="en-US"/>
        </w:rPr>
        <w:t>HERMOSO, V., WARD, D., KENNARD, M. Using water residency time to enhance spatio-temporal connectivity for conservation planning in seasonally dynamic freshwater ecosystems. Journal of Applied Ecology. 49 (2012); 1028–1035.</w:t>
      </w:r>
    </w:p>
    <w:p w14:paraId="41EBE74A" w14:textId="77777777" w:rsidR="00DA7F05" w:rsidRPr="006C00FC" w:rsidRDefault="00DA7F05">
      <w:pPr>
        <w:tabs>
          <w:tab w:val="left" w:pos="-2268"/>
        </w:tabs>
        <w:suppressAutoHyphens/>
        <w:rPr>
          <w:spacing w:val="-3"/>
          <w:lang w:val="en-US"/>
        </w:rPr>
      </w:pPr>
    </w:p>
    <w:p w14:paraId="1F4650F0" w14:textId="3540D60D" w:rsidR="00DA7F05" w:rsidRPr="006C00FC" w:rsidRDefault="00DA7F05" w:rsidP="00DA7F05">
      <w:pPr>
        <w:tabs>
          <w:tab w:val="left" w:pos="-2268"/>
        </w:tabs>
        <w:suppressAutoHyphens/>
        <w:rPr>
          <w:spacing w:val="-3"/>
          <w:lang w:val="en-US"/>
        </w:rPr>
      </w:pPr>
      <w:r w:rsidRPr="006C00FC">
        <w:rPr>
          <w:spacing w:val="-3"/>
          <w:lang w:val="en-US"/>
        </w:rPr>
        <w:t>HERMOSO, V., KENNARD, M.J., LINKE, S. Integrating multidirectional connectivity requirements in systematic conservation planning for freshwater systems. Divers. Distrib. 18 (2012); 448–458.</w:t>
      </w:r>
    </w:p>
    <w:p w14:paraId="1D5F1B0A" w14:textId="77777777" w:rsidR="00CE18BB" w:rsidRPr="006C00FC" w:rsidRDefault="00CE18BB">
      <w:pPr>
        <w:tabs>
          <w:tab w:val="left" w:pos="-2268"/>
        </w:tabs>
        <w:suppressAutoHyphens/>
        <w:rPr>
          <w:spacing w:val="-3"/>
          <w:lang w:val="en-US"/>
        </w:rPr>
      </w:pPr>
    </w:p>
    <w:p w14:paraId="735A0636" w14:textId="70A6E695" w:rsidR="00CE4187" w:rsidRPr="004E4C01" w:rsidRDefault="00CE4187" w:rsidP="00CE4187">
      <w:pPr>
        <w:tabs>
          <w:tab w:val="left" w:pos="-2268"/>
        </w:tabs>
        <w:suppressAutoHyphens/>
        <w:rPr>
          <w:spacing w:val="-3"/>
        </w:rPr>
      </w:pPr>
      <w:r w:rsidRPr="006C00FC">
        <w:rPr>
          <w:spacing w:val="-3"/>
          <w:lang w:val="en-US"/>
        </w:rPr>
        <w:t xml:space="preserve">HULBERT, S.H. Pseudoreplication and the Desing of Ecological Field Experiments. </w:t>
      </w:r>
      <w:r w:rsidRPr="004E4C01">
        <w:rPr>
          <w:spacing w:val="-3"/>
        </w:rPr>
        <w:t>Ecological Monographs. 54 (1984); 187 - 211.</w:t>
      </w:r>
    </w:p>
    <w:p w14:paraId="2BEA0643" w14:textId="77777777" w:rsidR="00CE4187" w:rsidRPr="004E4C01" w:rsidRDefault="00CE4187" w:rsidP="00CE4187">
      <w:pPr>
        <w:tabs>
          <w:tab w:val="left" w:pos="-2268"/>
        </w:tabs>
        <w:suppressAutoHyphens/>
        <w:rPr>
          <w:spacing w:val="-3"/>
        </w:rPr>
      </w:pPr>
    </w:p>
    <w:p w14:paraId="6C6E960C" w14:textId="02DCFA46" w:rsidR="00FC2149" w:rsidRPr="00127BD4" w:rsidRDefault="00FC2149">
      <w:pPr>
        <w:tabs>
          <w:tab w:val="left" w:pos="-2268"/>
        </w:tabs>
        <w:suppressAutoHyphens/>
        <w:rPr>
          <w:spacing w:val="-3"/>
        </w:rPr>
      </w:pPr>
      <w:r w:rsidRPr="004E4C01">
        <w:rPr>
          <w:spacing w:val="-3"/>
        </w:rPr>
        <w:t xml:space="preserve">INSTITUTO COLOMBIANO DE NORMAS TÉCNICAS Y CERTIFICACIÓN –Icontec. </w:t>
      </w:r>
      <w:r w:rsidRPr="00127BD4">
        <w:rPr>
          <w:spacing w:val="-3"/>
        </w:rPr>
        <w:t>Norma técnica colombiana NTC-ISO 14091:2021 Adaptación al cambio climático. Directrices sobre la vulnerabilidad, los impactos y la evaluación del riesgo.</w:t>
      </w:r>
      <w:r w:rsidR="00E1574C" w:rsidRPr="00127BD4">
        <w:rPr>
          <w:spacing w:val="-3"/>
        </w:rPr>
        <w:t xml:space="preserve"> Bogotá D. C.: Icontec, 2021. 47p.</w:t>
      </w:r>
    </w:p>
    <w:p w14:paraId="1E626374" w14:textId="77777777" w:rsidR="00FC2149" w:rsidRPr="004E4C01" w:rsidRDefault="00FC2149">
      <w:pPr>
        <w:tabs>
          <w:tab w:val="left" w:pos="-2268"/>
        </w:tabs>
        <w:suppressAutoHyphens/>
        <w:rPr>
          <w:spacing w:val="-3"/>
        </w:rPr>
      </w:pPr>
    </w:p>
    <w:p w14:paraId="344DCFFA" w14:textId="19247B6A" w:rsidR="00E93E41" w:rsidRPr="004E4C01" w:rsidRDefault="00E93E41">
      <w:pPr>
        <w:tabs>
          <w:tab w:val="left" w:pos="-2268"/>
        </w:tabs>
        <w:suppressAutoHyphens/>
        <w:rPr>
          <w:spacing w:val="-3"/>
        </w:rPr>
      </w:pPr>
      <w:r w:rsidRPr="004E4C01">
        <w:rPr>
          <w:spacing w:val="-3"/>
        </w:rPr>
        <w:t>INSTITUTO DE HIDROLOGÍA, METEOROLOGÍA Y ESTUDIOS AMBIENTALES –</w:t>
      </w:r>
      <w:r w:rsidR="00A92356" w:rsidRPr="004E4C01">
        <w:rPr>
          <w:spacing w:val="-3"/>
        </w:rPr>
        <w:t>Ideam</w:t>
      </w:r>
      <w:r w:rsidRPr="004E4C01">
        <w:rPr>
          <w:spacing w:val="-3"/>
        </w:rPr>
        <w:t xml:space="preserve">. Protocolo para el monitoreo y seguimiento del agua. Bogotá: </w:t>
      </w:r>
      <w:r w:rsidR="00A92356" w:rsidRPr="004E4C01">
        <w:rPr>
          <w:spacing w:val="-3"/>
        </w:rPr>
        <w:t>Ideam</w:t>
      </w:r>
      <w:r w:rsidRPr="004E4C01">
        <w:rPr>
          <w:spacing w:val="-3"/>
        </w:rPr>
        <w:t>, MAVDT, 2017. 586 p.</w:t>
      </w:r>
    </w:p>
    <w:p w14:paraId="7AD9DB83" w14:textId="77777777" w:rsidR="00E93E41" w:rsidRPr="004E4C01" w:rsidRDefault="00E93E41">
      <w:pPr>
        <w:tabs>
          <w:tab w:val="left" w:pos="-2268"/>
        </w:tabs>
        <w:suppressAutoHyphens/>
        <w:rPr>
          <w:spacing w:val="-3"/>
        </w:rPr>
      </w:pPr>
    </w:p>
    <w:p w14:paraId="283071D4" w14:textId="27F1DD82" w:rsidR="00E93E41" w:rsidRPr="004E4C01" w:rsidRDefault="00E93E41">
      <w:pPr>
        <w:tabs>
          <w:tab w:val="left" w:pos="-2268"/>
        </w:tabs>
        <w:suppressAutoHyphens/>
        <w:rPr>
          <w:spacing w:val="-3"/>
        </w:rPr>
      </w:pPr>
      <w:r w:rsidRPr="004E4C01">
        <w:rPr>
          <w:spacing w:val="-3"/>
        </w:rPr>
        <w:t>INSTITUTO DE HIDROLOGÍA, METEOROLOGÍA Y ESTUDIOS AMBIENTALES –</w:t>
      </w:r>
      <w:r w:rsidR="00A92356" w:rsidRPr="004E4C01">
        <w:rPr>
          <w:spacing w:val="-3"/>
        </w:rPr>
        <w:t>Ideam</w:t>
      </w:r>
      <w:r w:rsidRPr="004E4C01">
        <w:rPr>
          <w:spacing w:val="-3"/>
        </w:rPr>
        <w:t xml:space="preserve"> &amp; UNIVERSIDAD DE CIENCIAS APLICADAS Y AMBIENTALES –UDCA. Protocolo para la identificación y evaluación de la degradación de suelos por erosión. Versión 2. Bogotá D.C.: </w:t>
      </w:r>
      <w:r w:rsidR="00A92356" w:rsidRPr="004E4C01">
        <w:rPr>
          <w:spacing w:val="-3"/>
        </w:rPr>
        <w:t>Ideam</w:t>
      </w:r>
      <w:r w:rsidRPr="004E4C01">
        <w:rPr>
          <w:spacing w:val="-3"/>
        </w:rPr>
        <w:t xml:space="preserve">, MADS, UDCA, 2015. 170 p. </w:t>
      </w:r>
    </w:p>
    <w:p w14:paraId="6F6FE6B4" w14:textId="77777777" w:rsidR="00E93E41" w:rsidRPr="004E4C01" w:rsidRDefault="00E93E41">
      <w:pPr>
        <w:tabs>
          <w:tab w:val="left" w:pos="-2268"/>
        </w:tabs>
        <w:suppressAutoHyphens/>
        <w:rPr>
          <w:spacing w:val="-3"/>
        </w:rPr>
      </w:pPr>
    </w:p>
    <w:p w14:paraId="658B9AD8" w14:textId="10A4590F" w:rsidR="00E93E41" w:rsidRPr="004E4C01" w:rsidRDefault="00E93E41">
      <w:pPr>
        <w:tabs>
          <w:tab w:val="left" w:pos="-2268"/>
        </w:tabs>
        <w:suppressAutoHyphens/>
        <w:rPr>
          <w:spacing w:val="-3"/>
        </w:rPr>
      </w:pPr>
      <w:r w:rsidRPr="004E4C01">
        <w:rPr>
          <w:spacing w:val="-3"/>
        </w:rPr>
        <w:t>INSTITUTO DE HIDROLOGÍA, METEOROLOGÍA Y ESTUDIOS AMBIENTALES –</w:t>
      </w:r>
      <w:r w:rsidR="00A92356" w:rsidRPr="004E4C01">
        <w:rPr>
          <w:spacing w:val="-3"/>
        </w:rPr>
        <w:t>Ideam</w:t>
      </w:r>
      <w:r w:rsidRPr="004E4C01">
        <w:rPr>
          <w:spacing w:val="-3"/>
        </w:rPr>
        <w:t xml:space="preserve">, CORPORACIÓN AUTÓNOMA REGIONAL DE CUNDINAMARCA –CAR &amp; UNIVERSIDAD DE CIENCIAS APLICADAS Y AMBIENTALES –UDCA. Protocolo para la identificación y evaluación de la degradación de suelos por salinización. Bogotá D.C.: </w:t>
      </w:r>
      <w:r w:rsidR="00A92356" w:rsidRPr="004E4C01">
        <w:rPr>
          <w:spacing w:val="-3"/>
        </w:rPr>
        <w:t>Ideam</w:t>
      </w:r>
      <w:r w:rsidRPr="004E4C01">
        <w:rPr>
          <w:spacing w:val="-3"/>
        </w:rPr>
        <w:t>, CAR, UDCA, 2017. 109 p.</w:t>
      </w:r>
    </w:p>
    <w:p w14:paraId="5B49EB0A" w14:textId="77777777" w:rsidR="00E93E41" w:rsidRPr="004E4C01" w:rsidRDefault="00E93E41">
      <w:pPr>
        <w:tabs>
          <w:tab w:val="left" w:pos="-2268"/>
        </w:tabs>
        <w:suppressAutoHyphens/>
        <w:rPr>
          <w:spacing w:val="-3"/>
        </w:rPr>
      </w:pPr>
    </w:p>
    <w:p w14:paraId="1A0113CC" w14:textId="5D6EB11F" w:rsidR="009A57BB" w:rsidRPr="004E4C01" w:rsidRDefault="009A57BB">
      <w:pPr>
        <w:tabs>
          <w:tab w:val="left" w:pos="-2268"/>
        </w:tabs>
        <w:suppressAutoHyphens/>
        <w:rPr>
          <w:spacing w:val="-3"/>
        </w:rPr>
      </w:pPr>
      <w:r w:rsidRPr="004E4C01">
        <w:rPr>
          <w:spacing w:val="-3"/>
        </w:rPr>
        <w:t>INSTITUTO DE HIDROLOGÍA, METEOROLOGÍA Y ESTUDIOS AMBIENTALES –Ideam, PROGRAMA DE LAS NACIONES UNIDAS PARA EL MEDIO AMBIENTE -PNUD, MINISTERIO DE AMBIENTE Y DESARROLLO SOSTENIBLE -Minambiente, DEPARTAMENTO NACIONAL DE PLANEACIÓN -DNP, MINISTERIO DE RELACINES EXTERIORES – Cancillería. Análisis de vulnerabilidad y riesgo por cambio climático en Colombia. Tercera Comunicación Nacional de Cambio Climático. Bogotá D.C.: Ideam, PNUD, Minambiente, DNP, Cancillería, 2017b. 333 p.</w:t>
      </w:r>
    </w:p>
    <w:p w14:paraId="3CCFF6BB" w14:textId="77777777" w:rsidR="009A57BB" w:rsidRPr="004E4C01" w:rsidRDefault="009A57BB">
      <w:pPr>
        <w:tabs>
          <w:tab w:val="left" w:pos="-2268"/>
        </w:tabs>
        <w:suppressAutoHyphens/>
        <w:rPr>
          <w:spacing w:val="-3"/>
        </w:rPr>
      </w:pPr>
    </w:p>
    <w:p w14:paraId="5C8220E9" w14:textId="461C1DE1" w:rsidR="009A57BB" w:rsidRPr="004E4C01" w:rsidRDefault="009A57BB" w:rsidP="009A57BB">
      <w:pPr>
        <w:tabs>
          <w:tab w:val="left" w:pos="-2268"/>
        </w:tabs>
        <w:suppressAutoHyphens/>
        <w:rPr>
          <w:spacing w:val="-3"/>
        </w:rPr>
      </w:pPr>
      <w:r w:rsidRPr="004E4C01">
        <w:rPr>
          <w:spacing w:val="-3"/>
        </w:rPr>
        <w:t>IDEAM, PNUD, MADS, DNP, CANCILLERÍA. 2017. Análisis de vulnerabilidad y riesgo por cambio climático en Colombia. Tercera Comunicación Nacional de Cambio Climático. IDEAM, PNUD, MADS, DNP, CANCILLERÍA, FMAM. Bogotá D.C., Colombia.</w:t>
      </w:r>
    </w:p>
    <w:p w14:paraId="48D5C9B7" w14:textId="77777777" w:rsidR="009A57BB" w:rsidRPr="004E4C01" w:rsidRDefault="009A57BB">
      <w:pPr>
        <w:tabs>
          <w:tab w:val="left" w:pos="-2268"/>
        </w:tabs>
        <w:suppressAutoHyphens/>
        <w:rPr>
          <w:spacing w:val="-3"/>
        </w:rPr>
      </w:pPr>
    </w:p>
    <w:p w14:paraId="37C03F97" w14:textId="78C438AD" w:rsidR="00E93E41" w:rsidRPr="004E4C01" w:rsidRDefault="00E93E41">
      <w:pPr>
        <w:tabs>
          <w:tab w:val="left" w:pos="-2268"/>
        </w:tabs>
        <w:suppressAutoHyphens/>
        <w:rPr>
          <w:spacing w:val="-3"/>
        </w:rPr>
      </w:pPr>
      <w:r w:rsidRPr="004E4C01">
        <w:rPr>
          <w:spacing w:val="-3"/>
        </w:rPr>
        <w:t>INSTITUTO DE HIDROLOGÍA, METEOROLOGÍA Y ESTUDIOS AMBIENTALES –</w:t>
      </w:r>
      <w:r w:rsidR="00A92356" w:rsidRPr="004E4C01">
        <w:rPr>
          <w:spacing w:val="-3"/>
        </w:rPr>
        <w:t>Ideam</w:t>
      </w:r>
      <w:r w:rsidRPr="004E4C01">
        <w:rPr>
          <w:spacing w:val="-3"/>
        </w:rPr>
        <w:t xml:space="preserve">. Lineamientos conceptuales y metodológicos para la Evaluación Regional del Agua –ERA. Bogotá: </w:t>
      </w:r>
      <w:r w:rsidR="00A92356" w:rsidRPr="004E4C01">
        <w:rPr>
          <w:spacing w:val="-3"/>
        </w:rPr>
        <w:t>Ideam</w:t>
      </w:r>
      <w:r w:rsidRPr="004E4C01">
        <w:rPr>
          <w:spacing w:val="-3"/>
        </w:rPr>
        <w:t>, Minambiente, 2013. 275 p.</w:t>
      </w:r>
    </w:p>
    <w:p w14:paraId="2E0FCE11" w14:textId="27BAD1AB" w:rsidR="00E93E41" w:rsidRPr="004E4C01" w:rsidRDefault="00E93E41">
      <w:pPr>
        <w:tabs>
          <w:tab w:val="left" w:pos="-2268"/>
        </w:tabs>
        <w:suppressAutoHyphens/>
        <w:rPr>
          <w:spacing w:val="-3"/>
        </w:rPr>
      </w:pPr>
    </w:p>
    <w:p w14:paraId="5DE94AA4" w14:textId="7743A43C" w:rsidR="00DB60CF" w:rsidRPr="004E4C01" w:rsidRDefault="00DB60CF" w:rsidP="00DB60CF">
      <w:pPr>
        <w:tabs>
          <w:tab w:val="left" w:pos="-2268"/>
        </w:tabs>
        <w:suppressAutoHyphens/>
        <w:rPr>
          <w:spacing w:val="-3"/>
        </w:rPr>
      </w:pPr>
      <w:r w:rsidRPr="004E4C01">
        <w:rPr>
          <w:spacing w:val="-3"/>
        </w:rPr>
        <w:t xml:space="preserve">INSTITUTO DE HIDROLOGÍA, METEOROLOGÍA Y ESTUDIOS AMBIENTALES –Ideam e INSTITUTO DE INVESTIGACIONES MARINAS Y COSTERAS “JOSÉ BENITO VIVES DE ANDRÉIS” –Invemar. </w:t>
      </w:r>
      <w:hyperlink r:id="rId91" w:history="1">
        <w:r w:rsidRPr="004E4C01">
          <w:rPr>
            <w:spacing w:val="-3"/>
          </w:rPr>
          <w:t>Protocolo de Monitoreo del Agua</w:t>
        </w:r>
      </w:hyperlink>
      <w:r w:rsidRPr="004E4C01">
        <w:rPr>
          <w:spacing w:val="-3"/>
        </w:rPr>
        <w:t>. Bogotá: Ideam, 2017. 586 p.</w:t>
      </w:r>
    </w:p>
    <w:p w14:paraId="69397FD0" w14:textId="77777777" w:rsidR="00DB60CF" w:rsidRPr="004E4C01" w:rsidRDefault="00DB60CF">
      <w:pPr>
        <w:tabs>
          <w:tab w:val="left" w:pos="-2268"/>
        </w:tabs>
        <w:suppressAutoHyphens/>
        <w:rPr>
          <w:spacing w:val="-3"/>
        </w:rPr>
      </w:pPr>
    </w:p>
    <w:p w14:paraId="655445A4" w14:textId="1ABF3910" w:rsidR="00E93E41" w:rsidRPr="004E4C01" w:rsidRDefault="00E93E41">
      <w:pPr>
        <w:tabs>
          <w:tab w:val="left" w:pos="-2268"/>
        </w:tabs>
        <w:suppressAutoHyphens/>
        <w:rPr>
          <w:spacing w:val="-3"/>
        </w:rPr>
      </w:pPr>
      <w:r w:rsidRPr="004E4C01">
        <w:rPr>
          <w:spacing w:val="-3"/>
        </w:rPr>
        <w:t>INSTITUTO DE HIDROLOGÍA, METEOROLOGÍA Y ESTUDIOS AMBIENTALES –</w:t>
      </w:r>
      <w:r w:rsidR="00A92356" w:rsidRPr="004E4C01">
        <w:rPr>
          <w:spacing w:val="-3"/>
        </w:rPr>
        <w:t>Ideam</w:t>
      </w:r>
      <w:r w:rsidRPr="004E4C01">
        <w:rPr>
          <w:spacing w:val="-3"/>
        </w:rPr>
        <w:t xml:space="preserve">, INSTITUTO DE INVESTIGACIÓN DE RECURSOS BIOLÓGICOS ALEXANDER VON HUMBOLDT –IAvH, INSTITUTO GEOGRÁFICO AGUSTÍN CODAZZI –IGAC, INSTITUTO DE INVESTIGACIONES MARINAS Y COSTERAS “JOSÉ BENITO VIVES DE ANDRÉIS” –Invemar, INSTITUTO AMAZÓNICO DE INVESTIGACIONES CIENTÍFICAS –Sinchi, INSTITUTO DE INVESTIGACIONES AMBIENTALES DEL PACÍFICO –IIAP, PARQUES NACIONALES NATURALES DE COLOMBIA –PNN &amp; MINISTERIO DE AMBIENTE Y </w:t>
      </w:r>
      <w:r w:rsidRPr="004E4C01">
        <w:rPr>
          <w:spacing w:val="-3"/>
        </w:rPr>
        <w:lastRenderedPageBreak/>
        <w:t>DESARROLLO SOSTENIBLE –Minambiente. Mapa de Ecosistemas Continentales, Costeros y Marinos de Colombia (MEC) [mapa], Versión 2.1, escala 1:100.000, 2017.</w:t>
      </w:r>
    </w:p>
    <w:p w14:paraId="0896ED49" w14:textId="77777777" w:rsidR="00E93E41" w:rsidRPr="004E4C01" w:rsidRDefault="00E93E41">
      <w:pPr>
        <w:tabs>
          <w:tab w:val="left" w:pos="-2268"/>
        </w:tabs>
        <w:suppressAutoHyphens/>
        <w:rPr>
          <w:spacing w:val="-3"/>
        </w:rPr>
      </w:pPr>
    </w:p>
    <w:p w14:paraId="439C840D" w14:textId="79B1F67D" w:rsidR="00CB3736" w:rsidRPr="004E4C01" w:rsidRDefault="00A40360" w:rsidP="00CB3736">
      <w:pPr>
        <w:tabs>
          <w:tab w:val="left" w:pos="-2268"/>
        </w:tabs>
        <w:suppressAutoHyphens/>
        <w:rPr>
          <w:spacing w:val="-3"/>
        </w:rPr>
      </w:pPr>
      <w:r w:rsidRPr="004E4C01">
        <w:rPr>
          <w:spacing w:val="-3"/>
        </w:rPr>
        <w:t>INSTITUTO DE HIDROLOGÍA, METEOROLOGÍA Y ESTUDIOS AMBIENTALES –Ideam,</w:t>
      </w:r>
      <w:r w:rsidR="00CB3736" w:rsidRPr="004E4C01">
        <w:rPr>
          <w:spacing w:val="-3"/>
        </w:rPr>
        <w:t xml:space="preserve"> </w:t>
      </w:r>
      <w:r w:rsidRPr="004E4C01">
        <w:rPr>
          <w:spacing w:val="-3"/>
        </w:rPr>
        <w:t>PROGRAMA DE LAS NACIONES UNIDAS PARA EL DESARROLLO -</w:t>
      </w:r>
      <w:r w:rsidR="00CB3736" w:rsidRPr="004E4C01">
        <w:rPr>
          <w:spacing w:val="-3"/>
        </w:rPr>
        <w:t xml:space="preserve">PNUD, </w:t>
      </w:r>
      <w:r w:rsidRPr="004E4C01">
        <w:rPr>
          <w:spacing w:val="-3"/>
        </w:rPr>
        <w:t>MINISTERIO DE AMBIENTE Y DESARROLLO SOSTENIBLE -</w:t>
      </w:r>
      <w:r w:rsidR="00CB3736" w:rsidRPr="004E4C01">
        <w:rPr>
          <w:spacing w:val="-3"/>
        </w:rPr>
        <w:t>M</w:t>
      </w:r>
      <w:r w:rsidRPr="004E4C01">
        <w:rPr>
          <w:spacing w:val="-3"/>
        </w:rPr>
        <w:t>inambiente</w:t>
      </w:r>
      <w:r w:rsidR="00CB3736" w:rsidRPr="004E4C01">
        <w:rPr>
          <w:spacing w:val="-3"/>
        </w:rPr>
        <w:t>,</w:t>
      </w:r>
      <w:r w:rsidRPr="004E4C01">
        <w:rPr>
          <w:spacing w:val="-3"/>
        </w:rPr>
        <w:t xml:space="preserve"> DEPARTAMENTO NACIONAL DE PLANEACIÓN -</w:t>
      </w:r>
      <w:r w:rsidR="00CB3736" w:rsidRPr="004E4C01">
        <w:rPr>
          <w:spacing w:val="-3"/>
        </w:rPr>
        <w:t xml:space="preserve">DNP, </w:t>
      </w:r>
      <w:r w:rsidRPr="004E4C01">
        <w:rPr>
          <w:spacing w:val="-3"/>
        </w:rPr>
        <w:t>MINISTERIO DE RELACIONES EXTERIORES -Cancillería</w:t>
      </w:r>
      <w:r w:rsidR="00CB3736" w:rsidRPr="004E4C01">
        <w:rPr>
          <w:spacing w:val="-3"/>
        </w:rPr>
        <w:t xml:space="preserve">. Análisis de vulnerabilidad y riesgo por cambio climático en Colombia. Tercera Comunicación Nacional de Cambio Climático. Bogotá D. C.: </w:t>
      </w:r>
      <w:r w:rsidRPr="004E4C01">
        <w:rPr>
          <w:spacing w:val="-3"/>
        </w:rPr>
        <w:t>Ideam</w:t>
      </w:r>
      <w:r w:rsidR="00CB3736" w:rsidRPr="004E4C01">
        <w:rPr>
          <w:spacing w:val="-3"/>
        </w:rPr>
        <w:t xml:space="preserve">, PNUD, </w:t>
      </w:r>
      <w:r w:rsidRPr="004E4C01">
        <w:rPr>
          <w:spacing w:val="-3"/>
        </w:rPr>
        <w:t>Minambiente</w:t>
      </w:r>
      <w:r w:rsidR="00CB3736" w:rsidRPr="004E4C01">
        <w:rPr>
          <w:spacing w:val="-3"/>
        </w:rPr>
        <w:t>, DNP, CANCILLERÍA, FMAM, 2017</w:t>
      </w:r>
      <w:r w:rsidR="00D6307E" w:rsidRPr="004E4C01">
        <w:rPr>
          <w:spacing w:val="-3"/>
        </w:rPr>
        <w:t>b</w:t>
      </w:r>
      <w:r w:rsidR="00CB3736" w:rsidRPr="004E4C01">
        <w:rPr>
          <w:spacing w:val="-3"/>
        </w:rPr>
        <w:t xml:space="preserve">, 333 p. </w:t>
      </w:r>
    </w:p>
    <w:p w14:paraId="0A15FEA3" w14:textId="77777777" w:rsidR="00CB3736" w:rsidRPr="004E4C01" w:rsidRDefault="00CB3736">
      <w:pPr>
        <w:tabs>
          <w:tab w:val="left" w:pos="-2268"/>
        </w:tabs>
        <w:suppressAutoHyphens/>
        <w:rPr>
          <w:spacing w:val="-3"/>
        </w:rPr>
      </w:pPr>
    </w:p>
    <w:p w14:paraId="6D0090D9" w14:textId="65B00E72" w:rsidR="00E93E41" w:rsidRPr="004E4C01" w:rsidRDefault="00E93E41">
      <w:pPr>
        <w:tabs>
          <w:tab w:val="left" w:pos="-2268"/>
        </w:tabs>
        <w:suppressAutoHyphens/>
        <w:rPr>
          <w:spacing w:val="-3"/>
        </w:rPr>
      </w:pPr>
      <w:r w:rsidRPr="004E4C01">
        <w:rPr>
          <w:spacing w:val="-3"/>
        </w:rPr>
        <w:t>INSTITUTO DE HIDROLOGÍA, METEOROLOGÍA Y ESTUDIOS AMBIENTALES –</w:t>
      </w:r>
      <w:r w:rsidR="00A92356" w:rsidRPr="004E4C01">
        <w:rPr>
          <w:spacing w:val="-3"/>
        </w:rPr>
        <w:t>Ideam</w:t>
      </w:r>
      <w:r w:rsidRPr="004E4C01">
        <w:rPr>
          <w:spacing w:val="-3"/>
        </w:rPr>
        <w:t xml:space="preserve">. Leyenda nacional de coberturas de la tierra. Metodología Corine Land Cover adaptada para Colombia Escala 1:100.000. Bogotá D.C.: </w:t>
      </w:r>
      <w:r w:rsidR="00A92356" w:rsidRPr="004E4C01">
        <w:rPr>
          <w:spacing w:val="-3"/>
        </w:rPr>
        <w:t>Ideam</w:t>
      </w:r>
      <w:r w:rsidRPr="004E4C01">
        <w:rPr>
          <w:spacing w:val="-3"/>
        </w:rPr>
        <w:t>, 2010. 72 p.</w:t>
      </w:r>
    </w:p>
    <w:p w14:paraId="19BA1A36" w14:textId="77777777" w:rsidR="00E93E41" w:rsidRPr="004E4C01" w:rsidRDefault="00E93E41" w:rsidP="00897C15">
      <w:pPr>
        <w:tabs>
          <w:tab w:val="left" w:pos="-2268"/>
        </w:tabs>
        <w:suppressAutoHyphens/>
        <w:rPr>
          <w:spacing w:val="-3"/>
        </w:rPr>
      </w:pPr>
    </w:p>
    <w:p w14:paraId="49C1C0BA" w14:textId="2A299E7A" w:rsidR="00E93E41" w:rsidRPr="004E4C01" w:rsidRDefault="00E93E41" w:rsidP="00897C15">
      <w:pPr>
        <w:tabs>
          <w:tab w:val="left" w:pos="-2268"/>
        </w:tabs>
        <w:suppressAutoHyphens/>
        <w:rPr>
          <w:spacing w:val="-3"/>
        </w:rPr>
      </w:pPr>
      <w:r w:rsidRPr="004E4C01">
        <w:rPr>
          <w:spacing w:val="-3"/>
        </w:rPr>
        <w:t>INSTITUTO DE HIDROLOGÍA, METEOROLOGÍA Y ESTUDIOS AMBIENTALES –</w:t>
      </w:r>
      <w:r w:rsidR="00A92356" w:rsidRPr="004E4C01">
        <w:rPr>
          <w:spacing w:val="-3"/>
        </w:rPr>
        <w:t>Ideam</w:t>
      </w:r>
      <w:r w:rsidRPr="004E4C01">
        <w:rPr>
          <w:spacing w:val="-3"/>
        </w:rPr>
        <w:t xml:space="preserve">. Guía metodológica para la elaboración de mapas geomorfológicos a escala 1:100.000. Bogotá: </w:t>
      </w:r>
      <w:r w:rsidR="00A92356" w:rsidRPr="004E4C01">
        <w:rPr>
          <w:spacing w:val="-3"/>
        </w:rPr>
        <w:t>Ideam</w:t>
      </w:r>
      <w:r w:rsidRPr="004E4C01">
        <w:rPr>
          <w:spacing w:val="-3"/>
        </w:rPr>
        <w:t>, Subdirección de ecosistemas e información ambiental, 2013. 88 p.</w:t>
      </w:r>
    </w:p>
    <w:p w14:paraId="4A6E487A" w14:textId="77777777" w:rsidR="00E93E41" w:rsidRPr="004E4C01" w:rsidRDefault="00E93E41">
      <w:pPr>
        <w:tabs>
          <w:tab w:val="left" w:pos="-2268"/>
        </w:tabs>
        <w:suppressAutoHyphens/>
        <w:rPr>
          <w:spacing w:val="-3"/>
        </w:rPr>
      </w:pPr>
    </w:p>
    <w:p w14:paraId="290B8EFE" w14:textId="19B17462" w:rsidR="00E93E41" w:rsidRPr="004E4C01" w:rsidRDefault="00E93E41">
      <w:pPr>
        <w:tabs>
          <w:tab w:val="left" w:pos="-2268"/>
        </w:tabs>
        <w:suppressAutoHyphens/>
        <w:rPr>
          <w:spacing w:val="-3"/>
        </w:rPr>
      </w:pPr>
      <w:r w:rsidRPr="004E4C01">
        <w:rPr>
          <w:spacing w:val="-3"/>
        </w:rPr>
        <w:t>INSTITUTO DE INVESTIGACIONES MARINAS Y COSTERAS “JOSÉ BENITO VIVES DE ANDRÉIS” –Invemar e INSTITUTO DE HIDROLOGÍA, METEOROLOGÍA Y ESTUDIOS AMBIENTALES –</w:t>
      </w:r>
      <w:r w:rsidR="00A92356" w:rsidRPr="004E4C01">
        <w:rPr>
          <w:spacing w:val="-3"/>
        </w:rPr>
        <w:t>Ideam</w:t>
      </w:r>
      <w:r w:rsidRPr="004E4C01">
        <w:rPr>
          <w:spacing w:val="-3"/>
        </w:rPr>
        <w:t>. Elaboración del análisis de vulnerabilidad marino costera e insular ante el cambio climático para el país. Informe Técnico Final (ITF) – 001. Contrato con el Programa de las Naciones Unidas para el Desarrollo – PNUD, N°. 0000040357. Santa Marta: Invemar, 2017. 256 p.</w:t>
      </w:r>
    </w:p>
    <w:p w14:paraId="11554912" w14:textId="77777777" w:rsidR="00E93E41" w:rsidRPr="004E4C01" w:rsidRDefault="00E93E41">
      <w:pPr>
        <w:tabs>
          <w:tab w:val="left" w:pos="-2268"/>
        </w:tabs>
        <w:suppressAutoHyphens/>
        <w:rPr>
          <w:spacing w:val="-3"/>
        </w:rPr>
      </w:pPr>
    </w:p>
    <w:p w14:paraId="3B795D92" w14:textId="3EB886EE" w:rsidR="00E93E41" w:rsidRPr="004E4C01" w:rsidRDefault="00E93E41">
      <w:pPr>
        <w:tabs>
          <w:tab w:val="left" w:pos="-2268"/>
        </w:tabs>
        <w:suppressAutoHyphens/>
        <w:rPr>
          <w:spacing w:val="-3"/>
        </w:rPr>
      </w:pPr>
      <w:r w:rsidRPr="004E4C01">
        <w:rPr>
          <w:spacing w:val="-3"/>
        </w:rPr>
        <w:t>INSTITUTO GEOGRÁFICO AGUSTÍN CODAZZI –IGAC, INSTITUTO DE HIDROLOGÍA, METEOROLOGÍA Y ESTUDIOS AMBIENTALES –</w:t>
      </w:r>
      <w:r w:rsidR="00A92356" w:rsidRPr="004E4C01">
        <w:rPr>
          <w:spacing w:val="-3"/>
        </w:rPr>
        <w:t>Ideam</w:t>
      </w:r>
      <w:r w:rsidRPr="004E4C01">
        <w:rPr>
          <w:spacing w:val="-3"/>
        </w:rPr>
        <w:t xml:space="preserve"> y MINISTERIO DE AMBIENTE, VIVIENDA Y DESARROLLO TERRITORIAL –MAVDT. Protocolo para la identificación y evaluación de los procesos de degradación de suelos y tierras por desertificación. Bogotá, Colombia: IGAC, </w:t>
      </w:r>
      <w:r w:rsidR="00A92356" w:rsidRPr="004E4C01">
        <w:rPr>
          <w:spacing w:val="-3"/>
        </w:rPr>
        <w:t>Ideam</w:t>
      </w:r>
      <w:r w:rsidRPr="004E4C01">
        <w:rPr>
          <w:spacing w:val="-3"/>
        </w:rPr>
        <w:t>, MAVDT, 2010. 143 p.</w:t>
      </w:r>
    </w:p>
    <w:p w14:paraId="52A036B1" w14:textId="77777777" w:rsidR="00E93E41" w:rsidRPr="004E4C01" w:rsidRDefault="00E93E41">
      <w:pPr>
        <w:tabs>
          <w:tab w:val="left" w:pos="-2268"/>
        </w:tabs>
        <w:suppressAutoHyphens/>
        <w:rPr>
          <w:spacing w:val="-3"/>
        </w:rPr>
      </w:pPr>
    </w:p>
    <w:p w14:paraId="3A0785D4" w14:textId="066E3C9D" w:rsidR="00E93E41" w:rsidRPr="004E4C01" w:rsidRDefault="00E93E41">
      <w:pPr>
        <w:tabs>
          <w:tab w:val="left" w:pos="-2268"/>
        </w:tabs>
        <w:suppressAutoHyphens/>
        <w:rPr>
          <w:spacing w:val="-3"/>
        </w:rPr>
      </w:pPr>
      <w:r w:rsidRPr="004E4C01">
        <w:rPr>
          <w:spacing w:val="-3"/>
        </w:rPr>
        <w:t>INSTITUTO GEOGRÁFICO AGUSTÍN CODAZZI –IGAC. Atlas de la distribución de la propiedad rural en Colombia. Bogotá: Gobierno de Colombia, Universidad de los Andes, IGAC, 2012. 538 p.</w:t>
      </w:r>
    </w:p>
    <w:p w14:paraId="2B93D95B" w14:textId="77777777" w:rsidR="00C1008C" w:rsidRPr="004E4C01" w:rsidRDefault="00C1008C" w:rsidP="00C1008C">
      <w:pPr>
        <w:tabs>
          <w:tab w:val="left" w:pos="-2268"/>
        </w:tabs>
        <w:suppressAutoHyphens/>
        <w:rPr>
          <w:spacing w:val="-3"/>
        </w:rPr>
      </w:pPr>
    </w:p>
    <w:p w14:paraId="62063161" w14:textId="77777777" w:rsidR="00C1008C" w:rsidRPr="004E4C01" w:rsidRDefault="00C1008C" w:rsidP="00C1008C">
      <w:pPr>
        <w:tabs>
          <w:tab w:val="left" w:pos="-2268"/>
        </w:tabs>
        <w:suppressAutoHyphens/>
        <w:rPr>
          <w:spacing w:val="-3"/>
        </w:rPr>
      </w:pPr>
      <w:r w:rsidRPr="004E4C01">
        <w:rPr>
          <w:spacing w:val="-3"/>
        </w:rPr>
        <w:t>INSTITUTO GEOGRÁFICO AGUSTÍN CODAZZI –IGAC. Elaboración de mapa de coberturas y usos de la tierra a diferentes escalas (IN-AGR-PC06-04). Bogotá, Colombia: IGAC, 2024.</w:t>
      </w:r>
    </w:p>
    <w:p w14:paraId="5FA74A9D" w14:textId="4057C516" w:rsidR="00E839A8" w:rsidRPr="004E4C01" w:rsidRDefault="00E839A8">
      <w:pPr>
        <w:tabs>
          <w:tab w:val="left" w:pos="-2268"/>
        </w:tabs>
        <w:suppressAutoHyphens/>
        <w:rPr>
          <w:spacing w:val="-3"/>
        </w:rPr>
      </w:pPr>
    </w:p>
    <w:p w14:paraId="2019CF9E" w14:textId="6AAE78CB" w:rsidR="00F62348" w:rsidRPr="006C00FC" w:rsidRDefault="00F62348" w:rsidP="00F62348">
      <w:pPr>
        <w:tabs>
          <w:tab w:val="left" w:pos="-2268"/>
        </w:tabs>
        <w:suppressAutoHyphens/>
        <w:rPr>
          <w:spacing w:val="-3"/>
          <w:lang w:val="en-US"/>
        </w:rPr>
      </w:pPr>
      <w:r w:rsidRPr="004E4C01">
        <w:rPr>
          <w:spacing w:val="-3"/>
        </w:rPr>
        <w:t xml:space="preserve">INSTITUTO NACIONAL DE VÍAS –INVIAS. Manual de drenaje para carreteras. </w:t>
      </w:r>
      <w:r w:rsidRPr="006C00FC">
        <w:rPr>
          <w:spacing w:val="-3"/>
          <w:lang w:val="en-US"/>
        </w:rPr>
        <w:t>Bogotá: Ministerio de Transporte, 2009. 537 p.</w:t>
      </w:r>
    </w:p>
    <w:p w14:paraId="0230AAEC" w14:textId="77777777" w:rsidR="00F62348" w:rsidRPr="006C00FC" w:rsidRDefault="00F62348">
      <w:pPr>
        <w:tabs>
          <w:tab w:val="left" w:pos="-2268"/>
        </w:tabs>
        <w:suppressAutoHyphens/>
        <w:rPr>
          <w:spacing w:val="-3"/>
          <w:lang w:val="en-US"/>
        </w:rPr>
      </w:pPr>
    </w:p>
    <w:p w14:paraId="4DA5DD0C" w14:textId="77777777" w:rsidR="00E93E41" w:rsidRPr="006C00FC" w:rsidRDefault="00E93E41">
      <w:pPr>
        <w:tabs>
          <w:tab w:val="left" w:pos="-2268"/>
        </w:tabs>
        <w:suppressAutoHyphens/>
        <w:rPr>
          <w:spacing w:val="-3"/>
          <w:lang w:val="en-US"/>
        </w:rPr>
      </w:pPr>
      <w:r w:rsidRPr="006C00FC">
        <w:rPr>
          <w:spacing w:val="-3"/>
          <w:lang w:val="en-US"/>
        </w:rPr>
        <w:lastRenderedPageBreak/>
        <w:t>INTERGOVERNMENTAL OCEANOGRAPHIC COMMISSION –IOC, SCIENTIFIC COMMITTEE ON OCEANIC RESEARCH –SCOR &amp; INTERNATIONAL ASSOCIATION FOR THE PHYSICAL SCIENCES OF THE OCEANS –IAPSO. The international thermodynamic equation of seawater – 2010: Calculation and use of thermodynamic properties. Intergovernmental Oceanographic Commission, Manuals and Guides No. 56. UNESCO, 2010. 196 p.</w:t>
      </w:r>
    </w:p>
    <w:p w14:paraId="0A4CEBB5" w14:textId="77777777" w:rsidR="00E93E41" w:rsidRPr="006C00FC" w:rsidRDefault="00E93E41" w:rsidP="000037C3">
      <w:pPr>
        <w:tabs>
          <w:tab w:val="left" w:pos="-2268"/>
        </w:tabs>
        <w:suppressAutoHyphens/>
        <w:rPr>
          <w:rFonts w:cs="Arial"/>
          <w:spacing w:val="-3"/>
          <w:lang w:val="en-US"/>
        </w:rPr>
      </w:pPr>
    </w:p>
    <w:p w14:paraId="08B5E1BD" w14:textId="77777777" w:rsidR="00B301C3" w:rsidRPr="006B66C7" w:rsidRDefault="00B301C3" w:rsidP="00B301C3">
      <w:pPr>
        <w:tabs>
          <w:tab w:val="left" w:pos="-2268"/>
        </w:tabs>
        <w:suppressAutoHyphens/>
        <w:rPr>
          <w:rFonts w:cs="Arial"/>
          <w:spacing w:val="-3"/>
          <w:lang w:val="en-US"/>
        </w:rPr>
      </w:pPr>
      <w:r w:rsidRPr="006B66C7">
        <w:rPr>
          <w:rFonts w:cs="Arial"/>
          <w:spacing w:val="-3"/>
          <w:lang w:val="en-US"/>
        </w:rPr>
        <w:t>INTERGOVERNMENTAL PANEL ON CLIMATE CHANGE –IPCC. Climate Change 2021: The Physical Science Basis. Contribution of Working Group I to the Sixth Assessment Report of the Intergovernmental Panel on Climate Change [Masson-Delmotte, V., P. Zhai, A. Pirani, S.L. Connors, C. Péan, S. Berger, N. Caud, Y. Chen, L. Goldfarb, M.I. Gomis, M. Huang, K. Leitzell, E. Lonnoy, J.B.R. Matthews, T.K. Maycock, T. Waterfield, O. Yelekçi, R. Yu, and B. Zhou (eds.)]. Cambridge, United Kingdom and New York, NY, USA: Cambridge University Press, 2021. 2391 p.</w:t>
      </w:r>
    </w:p>
    <w:p w14:paraId="44A1B845" w14:textId="77777777" w:rsidR="00B301C3" w:rsidRPr="006B66C7" w:rsidRDefault="00B301C3" w:rsidP="00B301C3">
      <w:pPr>
        <w:tabs>
          <w:tab w:val="left" w:pos="-2268"/>
        </w:tabs>
        <w:suppressAutoHyphens/>
        <w:rPr>
          <w:rFonts w:cs="Arial"/>
          <w:spacing w:val="-3"/>
          <w:lang w:val="en-US"/>
        </w:rPr>
      </w:pPr>
    </w:p>
    <w:p w14:paraId="64256C06" w14:textId="15455C38" w:rsidR="00F92A23" w:rsidRPr="006C00FC" w:rsidRDefault="00B301C3" w:rsidP="00B301C3">
      <w:pPr>
        <w:tabs>
          <w:tab w:val="left" w:pos="-2268"/>
        </w:tabs>
        <w:suppressAutoHyphens/>
        <w:rPr>
          <w:rFonts w:cs="Arial"/>
          <w:spacing w:val="-3"/>
          <w:lang w:val="en-US"/>
        </w:rPr>
      </w:pPr>
      <w:r w:rsidRPr="006B66C7">
        <w:rPr>
          <w:rFonts w:cs="Arial"/>
          <w:spacing w:val="-3"/>
          <w:lang w:val="en-US"/>
        </w:rPr>
        <w:t>INTERGOVERNMENTAL PANEL ON CLIMATE CHANGE –IPCC. Annex II: Glossary [Möller, V., R. van Diemen, J.B.R. Matthews, C. Méndez, S. Semenov, J.S. Fuglestvedt, A. Reisinger (eds.)]. In: Climate Change 2022: Impacts, Adaptation and Vulnerability. Contribution of Working Group II to the Sixth Assessment Report of the Intergovernmental Panel on Climate Change [H.-O. Pörtner, D.C. Roberts, M. Tignor, E.S. Poloczanska, K. Mintenbeck, A. Alegría, M. Craig, S. Langsdorf, S. Löschke, V. Möller, A. Okem, B. Rama (eds.)]. Cambridge, UK and New York, NY, USA: Cambridge University Press, 2022; 2897–2930. doi:10.1017/9781009325844.029.</w:t>
      </w:r>
    </w:p>
    <w:p w14:paraId="277872B0" w14:textId="77777777" w:rsidR="00F92A23" w:rsidRPr="006C00FC" w:rsidRDefault="00F92A23" w:rsidP="00886C4A">
      <w:pPr>
        <w:tabs>
          <w:tab w:val="left" w:pos="-2268"/>
        </w:tabs>
        <w:suppressAutoHyphens/>
        <w:rPr>
          <w:rFonts w:cs="Arial"/>
          <w:spacing w:val="-3"/>
          <w:lang w:val="en-US"/>
        </w:rPr>
      </w:pPr>
    </w:p>
    <w:p w14:paraId="3FA7C773" w14:textId="3B14C939" w:rsidR="00FD5490" w:rsidRPr="006C00FC" w:rsidRDefault="008917C5" w:rsidP="00886C4A">
      <w:pPr>
        <w:tabs>
          <w:tab w:val="left" w:pos="-2268"/>
        </w:tabs>
        <w:suppressAutoHyphens/>
        <w:rPr>
          <w:rFonts w:cs="Arial"/>
          <w:spacing w:val="-3"/>
          <w:lang w:val="en-US"/>
        </w:rPr>
      </w:pPr>
      <w:r w:rsidRPr="006C00FC">
        <w:rPr>
          <w:rFonts w:cs="Arial"/>
          <w:spacing w:val="-3"/>
          <w:lang w:val="en-US"/>
        </w:rPr>
        <w:t>INTERGOVERNMENTAL PANEL ON CLIMATE CHANGE</w:t>
      </w:r>
      <w:r w:rsidR="00FD5490" w:rsidRPr="006C00FC">
        <w:rPr>
          <w:rFonts w:cs="Arial"/>
          <w:spacing w:val="-3"/>
          <w:lang w:val="en-US"/>
        </w:rPr>
        <w:t xml:space="preserve"> </w:t>
      </w:r>
      <w:r w:rsidR="007544CE" w:rsidRPr="006C00FC">
        <w:rPr>
          <w:spacing w:val="-3"/>
          <w:lang w:val="en-US"/>
        </w:rPr>
        <w:t>–</w:t>
      </w:r>
      <w:r w:rsidR="007544CE" w:rsidRPr="006C00FC">
        <w:rPr>
          <w:rFonts w:cs="Arial"/>
          <w:spacing w:val="-3"/>
          <w:lang w:val="en-US"/>
        </w:rPr>
        <w:t xml:space="preserve">IPCC. </w:t>
      </w:r>
      <w:r w:rsidR="00886C4A" w:rsidRPr="006C00FC">
        <w:rPr>
          <w:rFonts w:cs="Arial"/>
          <w:spacing w:val="-3"/>
          <w:lang w:val="en-US"/>
        </w:rPr>
        <w:t>Climate Change 2021: The Physical Science Basis. Contribution of Working Group I to the Sixth Assessment Report of the Intergovernmental Panel on Climate Change [Masson-Delmotte, V., P. Zhai, A. Pirani, S.L. Connors, C. Péan, S. Berger, N. Caud, Y. Chen, L. Goldfarb, M.I. Gomis, M. Huang, K. Leitzell, E. Lonnoy, J.B.R. Matthews, T.K. Maycock, T. Waterfield, O. Yelekçi, R. Yu, and B. Zhou (eds.)].</w:t>
      </w:r>
      <w:r w:rsidR="007544CE" w:rsidRPr="006C00FC">
        <w:rPr>
          <w:rFonts w:cs="Arial"/>
          <w:spacing w:val="-3"/>
          <w:lang w:val="en-US"/>
        </w:rPr>
        <w:t xml:space="preserve"> Cambridge, United Kingdom and New York, NY, USA: Cambridge University Press, 2021</w:t>
      </w:r>
      <w:r w:rsidR="00FD5490" w:rsidRPr="006C00FC">
        <w:rPr>
          <w:rFonts w:cs="Arial"/>
          <w:spacing w:val="-3"/>
          <w:lang w:val="en-US"/>
        </w:rPr>
        <w:t>.</w:t>
      </w:r>
      <w:r w:rsidR="007544CE" w:rsidRPr="006C00FC">
        <w:rPr>
          <w:rFonts w:cs="Arial"/>
          <w:spacing w:val="-3"/>
          <w:lang w:val="en-US"/>
        </w:rPr>
        <w:t xml:space="preserve"> </w:t>
      </w:r>
      <w:r w:rsidR="00886C4A" w:rsidRPr="006C00FC">
        <w:rPr>
          <w:rFonts w:cs="Arial"/>
          <w:spacing w:val="-3"/>
          <w:lang w:val="en-US"/>
        </w:rPr>
        <w:t>2391 p.</w:t>
      </w:r>
    </w:p>
    <w:p w14:paraId="06ABE662" w14:textId="77777777" w:rsidR="00886C4A" w:rsidRPr="006C00FC" w:rsidRDefault="00886C4A" w:rsidP="000037C3">
      <w:pPr>
        <w:tabs>
          <w:tab w:val="left" w:pos="-2268"/>
        </w:tabs>
        <w:suppressAutoHyphens/>
        <w:rPr>
          <w:rFonts w:cs="Arial"/>
          <w:spacing w:val="-3"/>
          <w:lang w:val="en-US"/>
        </w:rPr>
      </w:pPr>
    </w:p>
    <w:p w14:paraId="6F1DF6B0" w14:textId="0E4437A5" w:rsidR="00E93E41" w:rsidRPr="006C00FC" w:rsidRDefault="00E93E41" w:rsidP="000037C3">
      <w:pPr>
        <w:tabs>
          <w:tab w:val="left" w:pos="-2268"/>
        </w:tabs>
        <w:suppressAutoHyphens/>
        <w:rPr>
          <w:rFonts w:cs="Arial"/>
          <w:spacing w:val="-3"/>
          <w:lang w:val="en-US"/>
        </w:rPr>
      </w:pPr>
      <w:r w:rsidRPr="006C00FC">
        <w:rPr>
          <w:rFonts w:cs="Arial"/>
          <w:spacing w:val="-3"/>
          <w:lang w:val="en-US"/>
        </w:rPr>
        <w:t>INTERGOVERNMENTAL SCIENCE-POLICY PLATFORM ON BIODIVERSITY AND ECOSYSTEM SERVICES –IPBES. Decision IPBES-2/4. Conceptual framework. IPBES, s. f., 9 p.</w:t>
      </w:r>
    </w:p>
    <w:p w14:paraId="6FAA0B5F" w14:textId="77777777" w:rsidR="00E93E41" w:rsidRPr="006C00FC" w:rsidRDefault="00E93E41" w:rsidP="006B15A0">
      <w:pPr>
        <w:tabs>
          <w:tab w:val="left" w:pos="-2268"/>
        </w:tabs>
        <w:suppressAutoHyphens/>
        <w:rPr>
          <w:spacing w:val="-3"/>
          <w:lang w:val="en-US"/>
        </w:rPr>
      </w:pPr>
    </w:p>
    <w:p w14:paraId="6B8DBC44" w14:textId="77777777" w:rsidR="00E93E41" w:rsidRPr="006C00FC" w:rsidRDefault="00E93E41" w:rsidP="006B15A0">
      <w:pPr>
        <w:tabs>
          <w:tab w:val="left" w:pos="-2268"/>
        </w:tabs>
        <w:suppressAutoHyphens/>
        <w:rPr>
          <w:spacing w:val="-3"/>
          <w:lang w:val="en-US"/>
        </w:rPr>
      </w:pPr>
      <w:r w:rsidRPr="006C00FC">
        <w:rPr>
          <w:spacing w:val="-3"/>
          <w:lang w:val="en-US"/>
        </w:rPr>
        <w:t>INTERNATIONAL LABOUR ORGANIZATION –ILO. Report I. General report Seventeenth International Conference of Labour Statisticians. Geneva: ILO, 2003. 100 p.</w:t>
      </w:r>
    </w:p>
    <w:p w14:paraId="0A3D71B7" w14:textId="77777777" w:rsidR="00792F74" w:rsidRPr="006C00FC" w:rsidRDefault="00792F74" w:rsidP="004A1C59">
      <w:pPr>
        <w:tabs>
          <w:tab w:val="left" w:pos="-2268"/>
        </w:tabs>
        <w:suppressAutoHyphens/>
        <w:rPr>
          <w:spacing w:val="-3"/>
          <w:lang w:val="en-US"/>
        </w:rPr>
      </w:pPr>
    </w:p>
    <w:p w14:paraId="390D6298" w14:textId="565008FC" w:rsidR="00B40B04" w:rsidRPr="004E4C01" w:rsidRDefault="00B40B04" w:rsidP="004A1C59">
      <w:pPr>
        <w:tabs>
          <w:tab w:val="left" w:pos="-2268"/>
        </w:tabs>
        <w:suppressAutoHyphens/>
        <w:rPr>
          <w:spacing w:val="-3"/>
        </w:rPr>
      </w:pPr>
      <w:r w:rsidRPr="006C00FC">
        <w:rPr>
          <w:spacing w:val="-3"/>
          <w:lang w:val="en-US"/>
        </w:rPr>
        <w:t xml:space="preserve">IWATSUKI Z. The Epiphytic Briophyte Communities in Japan. </w:t>
      </w:r>
      <w:r w:rsidRPr="004E4C01">
        <w:rPr>
          <w:spacing w:val="-3"/>
        </w:rPr>
        <w:t>J Hattori Bot Lab. 22 (1960); 159-339.</w:t>
      </w:r>
    </w:p>
    <w:p w14:paraId="7DF34205" w14:textId="77777777" w:rsidR="00B40B04" w:rsidRPr="004E4C01" w:rsidRDefault="00B40B04" w:rsidP="004A1C59">
      <w:pPr>
        <w:tabs>
          <w:tab w:val="left" w:pos="-2268"/>
        </w:tabs>
        <w:suppressAutoHyphens/>
        <w:rPr>
          <w:spacing w:val="-3"/>
        </w:rPr>
      </w:pPr>
    </w:p>
    <w:p w14:paraId="1749BD85" w14:textId="7EFD5123" w:rsidR="00792F74" w:rsidRPr="004E4C01" w:rsidRDefault="00695FCA" w:rsidP="00792F74">
      <w:pPr>
        <w:tabs>
          <w:tab w:val="left" w:pos="-2268"/>
        </w:tabs>
        <w:suppressAutoHyphens/>
        <w:rPr>
          <w:spacing w:val="-3"/>
        </w:rPr>
      </w:pPr>
      <w:r w:rsidRPr="004E4C01">
        <w:rPr>
          <w:spacing w:val="-3"/>
        </w:rPr>
        <w:lastRenderedPageBreak/>
        <w:t>JARAMILLO-FAYAD, J., VELÁZQUEZ, M., PREMAUER, J., GONZÁLEZ, J., &amp; GONZÁLEZ VÉLEZ, J.</w:t>
      </w:r>
      <w:r w:rsidR="00792F74" w:rsidRPr="004E4C01">
        <w:rPr>
          <w:spacing w:val="-3"/>
        </w:rPr>
        <w:t xml:space="preserve"> Atropellamiento de fauna silvestre en Colombia: Guía para entender y diagnosticar este impacto. </w:t>
      </w:r>
      <w:r w:rsidRPr="004E4C01">
        <w:rPr>
          <w:spacing w:val="-3"/>
        </w:rPr>
        <w:t xml:space="preserve">Medellín: </w:t>
      </w:r>
      <w:r w:rsidR="00792F74" w:rsidRPr="004E4C01">
        <w:rPr>
          <w:spacing w:val="-3"/>
        </w:rPr>
        <w:t>Gobierno Nacional de Colombia – Institución Universitaria ITM</w:t>
      </w:r>
      <w:r w:rsidRPr="004E4C01">
        <w:rPr>
          <w:spacing w:val="-3"/>
        </w:rPr>
        <w:t>, 2021</w:t>
      </w:r>
      <w:r w:rsidR="00792F74" w:rsidRPr="004E4C01">
        <w:rPr>
          <w:spacing w:val="-3"/>
        </w:rPr>
        <w:t>.</w:t>
      </w:r>
      <w:r w:rsidRPr="004E4C01">
        <w:rPr>
          <w:spacing w:val="-3"/>
        </w:rPr>
        <w:t xml:space="preserve"> 109 p.</w:t>
      </w:r>
    </w:p>
    <w:p w14:paraId="40A41D26" w14:textId="77777777" w:rsidR="00792F74" w:rsidRPr="004E4C01" w:rsidRDefault="00792F74">
      <w:pPr>
        <w:tabs>
          <w:tab w:val="left" w:pos="-2268"/>
        </w:tabs>
        <w:suppressAutoHyphens/>
        <w:rPr>
          <w:spacing w:val="-3"/>
        </w:rPr>
      </w:pPr>
    </w:p>
    <w:p w14:paraId="377C5FFC" w14:textId="571EA53F" w:rsidR="00E93E41" w:rsidRPr="006C00FC" w:rsidRDefault="00E93E41">
      <w:pPr>
        <w:tabs>
          <w:tab w:val="left" w:pos="-2268"/>
        </w:tabs>
        <w:suppressAutoHyphens/>
        <w:rPr>
          <w:spacing w:val="-3"/>
          <w:lang w:val="en-US"/>
        </w:rPr>
      </w:pPr>
      <w:r w:rsidRPr="00127BD4">
        <w:rPr>
          <w:spacing w:val="-3"/>
        </w:rPr>
        <w:t xml:space="preserve">JOHANSSON, D. Ecology of vascular epiphytes in West African rain forest. </w:t>
      </w:r>
      <w:r w:rsidRPr="006C00FC">
        <w:rPr>
          <w:spacing w:val="-3"/>
          <w:lang w:val="en-US"/>
        </w:rPr>
        <w:t>Acta Phytogeographica Suecica. 59 (1974); 1-136.</w:t>
      </w:r>
    </w:p>
    <w:p w14:paraId="23F432B0" w14:textId="77777777" w:rsidR="00E93E41" w:rsidRPr="006C00FC" w:rsidRDefault="00E93E41">
      <w:pPr>
        <w:tabs>
          <w:tab w:val="left" w:pos="-2268"/>
        </w:tabs>
        <w:suppressAutoHyphens/>
        <w:rPr>
          <w:spacing w:val="-3"/>
          <w:lang w:val="en-US"/>
        </w:rPr>
      </w:pPr>
    </w:p>
    <w:p w14:paraId="397B13F3" w14:textId="77777777" w:rsidR="00E93E41" w:rsidRPr="006C00FC" w:rsidRDefault="00E93E41">
      <w:pPr>
        <w:tabs>
          <w:tab w:val="left" w:pos="-2268"/>
        </w:tabs>
        <w:suppressAutoHyphens/>
        <w:rPr>
          <w:spacing w:val="-3"/>
          <w:lang w:val="en-US"/>
        </w:rPr>
      </w:pPr>
      <w:r w:rsidRPr="006C00FC">
        <w:rPr>
          <w:spacing w:val="-3"/>
          <w:lang w:val="en-US"/>
        </w:rPr>
        <w:t>KASS, J., VILELA, B., AIELLO-LAMMENS, M., MUSCARELLA, R., MEROW, C., &amp; ANDERSON, R. Wallace: A flexible platform for reproducible modeling of species niches and distributions built for community expansion. Methods in Ecology and Evolution. 9, 4 (2018); 1151–1156.</w:t>
      </w:r>
    </w:p>
    <w:p w14:paraId="363A9AD1" w14:textId="77777777" w:rsidR="00E93E41" w:rsidRPr="006C00FC" w:rsidRDefault="00E93E41">
      <w:pPr>
        <w:tabs>
          <w:tab w:val="left" w:pos="-2268"/>
        </w:tabs>
        <w:suppressAutoHyphens/>
        <w:rPr>
          <w:spacing w:val="-3"/>
          <w:lang w:val="en-US"/>
        </w:rPr>
      </w:pPr>
    </w:p>
    <w:p w14:paraId="41B91D1B" w14:textId="77777777" w:rsidR="00E93E41" w:rsidRPr="006C00FC" w:rsidRDefault="00E93E41">
      <w:pPr>
        <w:tabs>
          <w:tab w:val="left" w:pos="-2268"/>
        </w:tabs>
        <w:suppressAutoHyphens/>
        <w:rPr>
          <w:spacing w:val="-3"/>
          <w:lang w:val="en-US"/>
        </w:rPr>
      </w:pPr>
      <w:r w:rsidRPr="006C00FC">
        <w:rPr>
          <w:spacing w:val="-3"/>
          <w:lang w:val="en-US"/>
        </w:rPr>
        <w:t xml:space="preserve">KATTAN, G., &amp; NARANJO, L. (Eds.). </w:t>
      </w:r>
      <w:r w:rsidRPr="004E4C01">
        <w:rPr>
          <w:spacing w:val="-3"/>
        </w:rPr>
        <w:t xml:space="preserve">Regiones biodiversas: herramientas para la planificación de sistemas regionales de áreas protegidas. </w:t>
      </w:r>
      <w:r w:rsidRPr="006C00FC">
        <w:rPr>
          <w:spacing w:val="-3"/>
          <w:lang w:val="en-US"/>
        </w:rPr>
        <w:t>Santiago de Cali: WWF, EcoAndina, 2008.</w:t>
      </w:r>
    </w:p>
    <w:p w14:paraId="04CB499E" w14:textId="77777777" w:rsidR="00E93E41" w:rsidRPr="006C00FC" w:rsidRDefault="00E93E41">
      <w:pPr>
        <w:tabs>
          <w:tab w:val="left" w:pos="-2268"/>
        </w:tabs>
        <w:suppressAutoHyphens/>
        <w:rPr>
          <w:spacing w:val="-3"/>
          <w:lang w:val="en-US"/>
        </w:rPr>
      </w:pPr>
    </w:p>
    <w:p w14:paraId="759E67C0" w14:textId="77777777" w:rsidR="00E93E41" w:rsidRPr="006C00FC" w:rsidRDefault="00E93E41">
      <w:pPr>
        <w:tabs>
          <w:tab w:val="left" w:pos="-2268"/>
        </w:tabs>
        <w:suppressAutoHyphens/>
        <w:rPr>
          <w:spacing w:val="-3"/>
          <w:lang w:val="en-US"/>
        </w:rPr>
      </w:pPr>
      <w:r w:rsidRPr="006C00FC">
        <w:rPr>
          <w:spacing w:val="-3"/>
          <w:lang w:val="en-US"/>
        </w:rPr>
        <w:t>KILPATRICK, F., &amp; WILSON, J. Measurement of time of travel in streams by dye tracing (rev.). Techniques of Water-Resources Investigations, book 3, chap. A9. Denver: United States Geological Survey, 1989. 27 p.</w:t>
      </w:r>
    </w:p>
    <w:p w14:paraId="16BC7437" w14:textId="77777777" w:rsidR="00E93E41" w:rsidRPr="006C00FC" w:rsidRDefault="00E93E41">
      <w:pPr>
        <w:tabs>
          <w:tab w:val="left" w:pos="-2268"/>
        </w:tabs>
        <w:suppressAutoHyphens/>
        <w:rPr>
          <w:spacing w:val="-3"/>
          <w:lang w:val="en-US"/>
        </w:rPr>
      </w:pPr>
    </w:p>
    <w:p w14:paraId="58FF33E0" w14:textId="77777777" w:rsidR="00E93E41" w:rsidRPr="006C00FC" w:rsidRDefault="00E93E41">
      <w:pPr>
        <w:tabs>
          <w:tab w:val="left" w:pos="-2268"/>
        </w:tabs>
        <w:suppressAutoHyphens/>
        <w:rPr>
          <w:spacing w:val="-3"/>
          <w:lang w:val="en-US"/>
        </w:rPr>
      </w:pPr>
      <w:r w:rsidRPr="006C00FC">
        <w:rPr>
          <w:spacing w:val="-3"/>
          <w:lang w:val="en-US"/>
        </w:rPr>
        <w:t>KING, E. &amp; MURPHY, E. Environmental noise – ‘Forgotten’ or ‘Ignored’ pollutant? Applied Acoustics. 112 (2016); p. 211-215.</w:t>
      </w:r>
    </w:p>
    <w:p w14:paraId="3C1EA991" w14:textId="77777777" w:rsidR="00E93E41" w:rsidRPr="006C00FC" w:rsidRDefault="00E93E41">
      <w:pPr>
        <w:tabs>
          <w:tab w:val="left" w:pos="-2268"/>
        </w:tabs>
        <w:suppressAutoHyphens/>
        <w:rPr>
          <w:spacing w:val="-3"/>
          <w:lang w:val="en-US"/>
        </w:rPr>
      </w:pPr>
    </w:p>
    <w:p w14:paraId="5175ED45" w14:textId="77777777" w:rsidR="00E93E41" w:rsidRPr="006C00FC" w:rsidRDefault="00E93E41">
      <w:pPr>
        <w:tabs>
          <w:tab w:val="left" w:pos="-2268"/>
        </w:tabs>
        <w:suppressAutoHyphens/>
        <w:rPr>
          <w:spacing w:val="-3"/>
          <w:lang w:val="en-US"/>
        </w:rPr>
      </w:pPr>
      <w:r w:rsidRPr="006C00FC">
        <w:rPr>
          <w:spacing w:val="-3"/>
          <w:lang w:val="en-US"/>
        </w:rPr>
        <w:t>KORHONEN, P., MOSKOWITZ, H. &amp; WALLENIUS, J. Multiple Criteria Decision Support - A review. European Journal of Operational Research. 63 (1992); 361-375.</w:t>
      </w:r>
    </w:p>
    <w:p w14:paraId="75452D7D" w14:textId="77777777" w:rsidR="00E93E41" w:rsidRPr="006C00FC" w:rsidRDefault="00E93E41">
      <w:pPr>
        <w:tabs>
          <w:tab w:val="left" w:pos="-2268"/>
        </w:tabs>
        <w:suppressAutoHyphens/>
        <w:rPr>
          <w:spacing w:val="-3"/>
          <w:lang w:val="en-US"/>
        </w:rPr>
      </w:pPr>
    </w:p>
    <w:p w14:paraId="341C4230" w14:textId="4BB810BA" w:rsidR="00E93E41" w:rsidRPr="004E4C01" w:rsidRDefault="00E93E41">
      <w:pPr>
        <w:tabs>
          <w:tab w:val="left" w:pos="-2268"/>
        </w:tabs>
        <w:suppressAutoHyphens/>
        <w:rPr>
          <w:spacing w:val="-3"/>
        </w:rPr>
      </w:pPr>
      <w:r w:rsidRPr="006C00FC">
        <w:rPr>
          <w:spacing w:val="-3"/>
          <w:lang w:val="en-US"/>
        </w:rPr>
        <w:t xml:space="preserve">LANDSBERG, F., TREWEEK, J., STICKLER, M., HENNINGER, N., VENN, O. Weaving ecosystem services into impact assessment. </w:t>
      </w:r>
      <w:r w:rsidRPr="004E4C01">
        <w:rPr>
          <w:spacing w:val="-3"/>
        </w:rPr>
        <w:t>A Step-By-Step Method. Version 1.0. World Resources Institute, 2013.</w:t>
      </w:r>
    </w:p>
    <w:p w14:paraId="13CB04A5" w14:textId="77777777" w:rsidR="00E93E41" w:rsidRPr="004E4C01" w:rsidRDefault="00E93E41">
      <w:pPr>
        <w:tabs>
          <w:tab w:val="left" w:pos="-2268"/>
        </w:tabs>
        <w:suppressAutoHyphens/>
        <w:rPr>
          <w:spacing w:val="-3"/>
        </w:rPr>
      </w:pPr>
    </w:p>
    <w:p w14:paraId="3B240846" w14:textId="6F669638" w:rsidR="00E93E41" w:rsidRPr="004E4C01" w:rsidRDefault="00E93E41">
      <w:pPr>
        <w:tabs>
          <w:tab w:val="left" w:pos="-2268"/>
        </w:tabs>
        <w:suppressAutoHyphens/>
        <w:rPr>
          <w:spacing w:val="-3"/>
        </w:rPr>
      </w:pPr>
      <w:r w:rsidRPr="004E4C01">
        <w:rPr>
          <w:spacing w:val="-3"/>
        </w:rPr>
        <w:t>LATERRA, P., BARRAL, P., CARMONA, A. &amp; NAHUELHUAL, L. ECOSER: protocolo colaborativo de evaluación y mapeo de servicios ecosistémicos y vulnerabilidad socio-ecológica para el ordenamiento territorial. 2015.</w:t>
      </w:r>
    </w:p>
    <w:p w14:paraId="19B9CF25" w14:textId="77777777" w:rsidR="00E93E41" w:rsidRPr="004E4C01" w:rsidRDefault="00E93E41">
      <w:pPr>
        <w:tabs>
          <w:tab w:val="left" w:pos="-2268"/>
        </w:tabs>
        <w:suppressAutoHyphens/>
        <w:rPr>
          <w:spacing w:val="-3"/>
        </w:rPr>
      </w:pPr>
    </w:p>
    <w:p w14:paraId="705E414A" w14:textId="77777777" w:rsidR="00E93E41" w:rsidRPr="004E4C01" w:rsidRDefault="00E93E41">
      <w:pPr>
        <w:tabs>
          <w:tab w:val="left" w:pos="-2268"/>
        </w:tabs>
        <w:suppressAutoHyphens/>
        <w:rPr>
          <w:spacing w:val="-3"/>
        </w:rPr>
      </w:pPr>
      <w:r w:rsidRPr="004E4C01">
        <w:rPr>
          <w:spacing w:val="-3"/>
        </w:rPr>
        <w:t>LINARES, E. &amp; URIBE, J. Libro rojo de Briófitas de Colombia. Bogotá: Instituto de Ciencias Naturales –Universidad Nacional de Colombia, Ministerio del Medio Ambiente, 2002. 170p.</w:t>
      </w:r>
    </w:p>
    <w:p w14:paraId="1DF5EB97" w14:textId="77777777" w:rsidR="00E93E41" w:rsidRPr="004E4C01" w:rsidRDefault="00E93E41">
      <w:pPr>
        <w:tabs>
          <w:tab w:val="left" w:pos="-2268"/>
        </w:tabs>
        <w:suppressAutoHyphens/>
        <w:rPr>
          <w:spacing w:val="-3"/>
        </w:rPr>
      </w:pPr>
    </w:p>
    <w:p w14:paraId="6AFBA83F" w14:textId="69AA0268" w:rsidR="00E93E41" w:rsidRPr="006C00FC" w:rsidRDefault="00E93E41">
      <w:pPr>
        <w:tabs>
          <w:tab w:val="left" w:pos="-2268"/>
        </w:tabs>
        <w:suppressAutoHyphens/>
        <w:rPr>
          <w:spacing w:val="-3"/>
          <w:lang w:val="en-US"/>
        </w:rPr>
      </w:pPr>
      <w:r w:rsidRPr="004E4C01">
        <w:rPr>
          <w:spacing w:val="-3"/>
        </w:rPr>
        <w:t xml:space="preserve">LOZANO-ZAMBRANO, F. (Ed). Herramientas de manejo para la conservación de biodiversidad en paisajes rurales. Bogotá, D. C.: Instituto de Investigación de Recursos Biológicos Alexander von Humboldt -IAvH y Corporación Autónoma Regional de Cundinamarca -CAR, 2009. </w:t>
      </w:r>
      <w:r w:rsidRPr="006C00FC">
        <w:rPr>
          <w:spacing w:val="-3"/>
          <w:lang w:val="en-US"/>
        </w:rPr>
        <w:t>238 p.</w:t>
      </w:r>
    </w:p>
    <w:p w14:paraId="02570FF2" w14:textId="77777777" w:rsidR="00E93E41" w:rsidRPr="006C00FC" w:rsidRDefault="00E93E41">
      <w:pPr>
        <w:tabs>
          <w:tab w:val="left" w:pos="-2268"/>
        </w:tabs>
        <w:suppressAutoHyphens/>
        <w:rPr>
          <w:spacing w:val="-3"/>
          <w:lang w:val="en-US"/>
        </w:rPr>
      </w:pPr>
    </w:p>
    <w:p w14:paraId="5372562C" w14:textId="77777777" w:rsidR="00E93E41" w:rsidRPr="004E4C01" w:rsidRDefault="00E93E41">
      <w:pPr>
        <w:tabs>
          <w:tab w:val="left" w:pos="-2268"/>
        </w:tabs>
        <w:suppressAutoHyphens/>
        <w:rPr>
          <w:spacing w:val="-3"/>
        </w:rPr>
      </w:pPr>
      <w:r w:rsidRPr="006C00FC">
        <w:rPr>
          <w:spacing w:val="-3"/>
          <w:lang w:val="en-US"/>
        </w:rPr>
        <w:lastRenderedPageBreak/>
        <w:t xml:space="preserve">LYYTIMÄKI, J. Nature’s nocturnal services: Light pollution as a non-recognised challenge for ecosystem services research and management. </w:t>
      </w:r>
      <w:r w:rsidRPr="004E4C01">
        <w:rPr>
          <w:spacing w:val="-3"/>
        </w:rPr>
        <w:t>Ecosystem Services. 3 (2013); 44–48.</w:t>
      </w:r>
    </w:p>
    <w:p w14:paraId="3D9D6C30" w14:textId="77777777" w:rsidR="00E93E41" w:rsidRPr="004E4C01" w:rsidRDefault="00E93E41">
      <w:pPr>
        <w:tabs>
          <w:tab w:val="left" w:pos="-2268"/>
        </w:tabs>
        <w:suppressAutoHyphens/>
        <w:rPr>
          <w:spacing w:val="-3"/>
        </w:rPr>
      </w:pPr>
    </w:p>
    <w:p w14:paraId="6460B55E" w14:textId="77777777" w:rsidR="00E93E41" w:rsidRPr="006C00FC" w:rsidRDefault="00E93E41">
      <w:pPr>
        <w:tabs>
          <w:tab w:val="left" w:pos="-2268"/>
        </w:tabs>
        <w:suppressAutoHyphens/>
        <w:rPr>
          <w:spacing w:val="-3"/>
          <w:lang w:val="en-US"/>
        </w:rPr>
      </w:pPr>
      <w:r w:rsidRPr="004E4C01">
        <w:rPr>
          <w:spacing w:val="-3"/>
        </w:rPr>
        <w:t xml:space="preserve">MALDONADO-OCAMPO, J., ORTEGA-LARA, A., USMA J., GALVIS G., VILLA-NAVARRO, F., VÁSQUEZ L., PRADA-PEDREROS, S. &amp; ARDILA C. Peces de los Andes de Colombia. Bogotá, D.C.: Instituto de Investigación de Recursos Biológicos Alexander von Humboldt, 2005. </w:t>
      </w:r>
      <w:r w:rsidRPr="006C00FC">
        <w:rPr>
          <w:spacing w:val="-3"/>
          <w:lang w:val="en-US"/>
        </w:rPr>
        <w:t>346 p.</w:t>
      </w:r>
    </w:p>
    <w:p w14:paraId="5670E352" w14:textId="50C4D008" w:rsidR="00E93E41" w:rsidRPr="006C00FC" w:rsidRDefault="00E93E41">
      <w:pPr>
        <w:tabs>
          <w:tab w:val="left" w:pos="-2268"/>
        </w:tabs>
        <w:suppressAutoHyphens/>
        <w:rPr>
          <w:spacing w:val="-3"/>
          <w:lang w:val="en-US"/>
        </w:rPr>
      </w:pPr>
    </w:p>
    <w:p w14:paraId="296DA49D" w14:textId="308C43E3" w:rsidR="00953095" w:rsidRPr="004E4C01" w:rsidRDefault="00953095">
      <w:pPr>
        <w:tabs>
          <w:tab w:val="left" w:pos="-2268"/>
        </w:tabs>
        <w:suppressAutoHyphens/>
        <w:rPr>
          <w:spacing w:val="-3"/>
        </w:rPr>
      </w:pPr>
      <w:r w:rsidRPr="006C00FC">
        <w:rPr>
          <w:spacing w:val="-3"/>
          <w:lang w:val="en-US"/>
        </w:rPr>
        <w:t xml:space="preserve">MARINE BIODIVERSITY OBSERVATION NETWORK POLE TO POLE OF THE AMERICAS -MBON Pole to Pole. Sampling protocol for assessment of marine diversity on rocky shores (modified from the SARCE South American Research Group on Coastal Ecosystems for sampling on rocky shores protocol). Marine Biodiversity Observation Network Pole to Pole of the Americas, 2019. </w:t>
      </w:r>
      <w:r w:rsidRPr="004E4C01">
        <w:rPr>
          <w:spacing w:val="-3"/>
        </w:rPr>
        <w:t>13p.</w:t>
      </w:r>
    </w:p>
    <w:p w14:paraId="3200105C" w14:textId="77777777" w:rsidR="00953095" w:rsidRPr="004E4C01" w:rsidRDefault="00953095">
      <w:pPr>
        <w:tabs>
          <w:tab w:val="left" w:pos="-2268"/>
        </w:tabs>
        <w:suppressAutoHyphens/>
        <w:rPr>
          <w:spacing w:val="-3"/>
        </w:rPr>
      </w:pPr>
    </w:p>
    <w:p w14:paraId="6D1AB9C0" w14:textId="77777777" w:rsidR="00E93E41" w:rsidRPr="006C00FC" w:rsidRDefault="00E93E41">
      <w:pPr>
        <w:tabs>
          <w:tab w:val="left" w:pos="-2268"/>
        </w:tabs>
        <w:suppressAutoHyphens/>
        <w:rPr>
          <w:spacing w:val="-3"/>
          <w:lang w:val="en-US"/>
        </w:rPr>
      </w:pPr>
      <w:r w:rsidRPr="004E4C01">
        <w:rPr>
          <w:spacing w:val="-3"/>
        </w:rPr>
        <w:t xml:space="preserve">MARTÍN-LÓPEZ, B., GONZÁLEZ, J., VILARDY, S. (Coord). Ciencias de la sostenibilidad: guía docente. Magdalena: Universidad de Magdalena, Instituto de Investigación de Recursos Biológicos Alexander von Humboldt, Universidad Autónoma de Madrid. </w:t>
      </w:r>
      <w:r w:rsidRPr="006C00FC">
        <w:rPr>
          <w:spacing w:val="-3"/>
          <w:lang w:val="en-US"/>
        </w:rPr>
        <w:t>2012. 145 p.</w:t>
      </w:r>
    </w:p>
    <w:p w14:paraId="10D2BD46" w14:textId="77777777" w:rsidR="00E93E41" w:rsidRPr="006C00FC" w:rsidRDefault="00E93E41">
      <w:pPr>
        <w:tabs>
          <w:tab w:val="left" w:pos="-2268"/>
        </w:tabs>
        <w:suppressAutoHyphens/>
        <w:rPr>
          <w:spacing w:val="-3"/>
          <w:lang w:val="en-US"/>
        </w:rPr>
      </w:pPr>
    </w:p>
    <w:p w14:paraId="3554FC74" w14:textId="77777777" w:rsidR="00E93E41" w:rsidRPr="004E4C01" w:rsidRDefault="00E93E41">
      <w:pPr>
        <w:tabs>
          <w:tab w:val="left" w:pos="-2268"/>
        </w:tabs>
        <w:suppressAutoHyphens/>
        <w:rPr>
          <w:spacing w:val="-3"/>
        </w:rPr>
      </w:pPr>
      <w:r w:rsidRPr="006C00FC">
        <w:rPr>
          <w:spacing w:val="-3"/>
          <w:lang w:val="en-US"/>
        </w:rPr>
        <w:t xml:space="preserve">MATEO-SÁNCHEZ, M., BALKENHOL, N., CUSHMAN, S., PÉREZ, T., DOMÍNGUEZ, A. &amp; SAURA, S. A comparative framework to infer landscape effects on population genetic structure: are habitat suitability models effective in explaining gene flow? </w:t>
      </w:r>
      <w:r w:rsidRPr="004E4C01">
        <w:rPr>
          <w:spacing w:val="-3"/>
        </w:rPr>
        <w:t>Landscape Ecology. 30 (2015); 1405–1420.</w:t>
      </w:r>
    </w:p>
    <w:p w14:paraId="6872E75E" w14:textId="77777777" w:rsidR="00E93E41" w:rsidRPr="004E4C01" w:rsidRDefault="00E93E41">
      <w:pPr>
        <w:tabs>
          <w:tab w:val="left" w:pos="-2268"/>
        </w:tabs>
        <w:suppressAutoHyphens/>
        <w:rPr>
          <w:spacing w:val="-3"/>
        </w:rPr>
      </w:pPr>
    </w:p>
    <w:p w14:paraId="1865B1CE" w14:textId="77777777" w:rsidR="00E93E41" w:rsidRPr="004E4C01" w:rsidRDefault="00E93E41">
      <w:pPr>
        <w:tabs>
          <w:tab w:val="left" w:pos="-2268"/>
        </w:tabs>
        <w:suppressAutoHyphens/>
        <w:rPr>
          <w:spacing w:val="-3"/>
        </w:rPr>
      </w:pPr>
      <w:r w:rsidRPr="004E4C01">
        <w:rPr>
          <w:spacing w:val="-3"/>
        </w:rPr>
        <w:t>MATTEUCCI, S. &amp; COLMA, A. Metodología para el estudio de la vegetación. Washington, D.C.: Secretaría General de la Organización de los Estados Americanos. Programa regional de desarrollo Científico y Tecnológico, 1982. 166 p.</w:t>
      </w:r>
    </w:p>
    <w:p w14:paraId="1D46FF51" w14:textId="77777777" w:rsidR="00E93E41" w:rsidRPr="004E4C01" w:rsidRDefault="00E93E41" w:rsidP="00E93E41">
      <w:pPr>
        <w:tabs>
          <w:tab w:val="left" w:pos="-2268"/>
        </w:tabs>
        <w:suppressAutoHyphens/>
        <w:rPr>
          <w:spacing w:val="-3"/>
        </w:rPr>
      </w:pPr>
    </w:p>
    <w:p w14:paraId="1062E024" w14:textId="77777777" w:rsidR="00E93E41" w:rsidRPr="006C00FC" w:rsidRDefault="00E93E41" w:rsidP="009420F5">
      <w:pPr>
        <w:tabs>
          <w:tab w:val="left" w:pos="-2268"/>
        </w:tabs>
        <w:suppressAutoHyphens/>
        <w:rPr>
          <w:spacing w:val="-3"/>
          <w:lang w:val="en-US"/>
        </w:rPr>
      </w:pPr>
      <w:r w:rsidRPr="004E4C01">
        <w:rPr>
          <w:spacing w:val="-3"/>
        </w:rPr>
        <w:t xml:space="preserve">McRAE, B., DICKSON, B., KEITT, T., &amp; SHAH, V. Using circuit theory to model connectivity in ecology, evolution, and conservation. </w:t>
      </w:r>
      <w:r w:rsidRPr="006C00FC">
        <w:rPr>
          <w:spacing w:val="-3"/>
          <w:lang w:val="en-US"/>
        </w:rPr>
        <w:t>Ecology. 89, 10 (2008); 2712–2724.</w:t>
      </w:r>
    </w:p>
    <w:p w14:paraId="7EDB859C" w14:textId="77777777" w:rsidR="00E93E41" w:rsidRPr="006C00FC" w:rsidRDefault="00E93E41">
      <w:pPr>
        <w:tabs>
          <w:tab w:val="left" w:pos="-2268"/>
        </w:tabs>
        <w:suppressAutoHyphens/>
        <w:rPr>
          <w:spacing w:val="-3"/>
          <w:lang w:val="en-US"/>
        </w:rPr>
      </w:pPr>
    </w:p>
    <w:p w14:paraId="42CEFDAF" w14:textId="1E9995C5" w:rsidR="00274FBF" w:rsidRPr="00127BD4" w:rsidRDefault="00274FBF" w:rsidP="000D6E21">
      <w:pPr>
        <w:rPr>
          <w:spacing w:val="-3"/>
        </w:rPr>
      </w:pPr>
      <w:r w:rsidRPr="006C00FC">
        <w:rPr>
          <w:spacing w:val="-3"/>
          <w:lang w:val="en-US"/>
        </w:rPr>
        <w:t xml:space="preserve">MENDIETA-LEIVA, G., &amp; ZOTZ, G. A conceptual framework for the analysis of vascular epiphyte assemblages. </w:t>
      </w:r>
      <w:r w:rsidRPr="00127BD4">
        <w:rPr>
          <w:spacing w:val="-3"/>
        </w:rPr>
        <w:t>Perspectives in Plant Ecology, Evolution and Systematics, 17, 6 (2015); 510–521.</w:t>
      </w:r>
    </w:p>
    <w:p w14:paraId="121B4AF7" w14:textId="77777777" w:rsidR="00274FBF" w:rsidRPr="00127BD4" w:rsidRDefault="00274FBF">
      <w:pPr>
        <w:tabs>
          <w:tab w:val="left" w:pos="-2268"/>
        </w:tabs>
        <w:suppressAutoHyphens/>
        <w:rPr>
          <w:spacing w:val="-3"/>
        </w:rPr>
      </w:pPr>
    </w:p>
    <w:p w14:paraId="3C3D7050" w14:textId="49C47DCF" w:rsidR="00E93E41" w:rsidRPr="004E4C01" w:rsidRDefault="00E93E41">
      <w:pPr>
        <w:tabs>
          <w:tab w:val="left" w:pos="-2268"/>
        </w:tabs>
        <w:suppressAutoHyphens/>
        <w:rPr>
          <w:spacing w:val="-3"/>
        </w:rPr>
      </w:pPr>
      <w:r w:rsidRPr="004E4C01">
        <w:rPr>
          <w:spacing w:val="-3"/>
        </w:rPr>
        <w:t>MINISTERIO DE AMBIENTE Y DESARROLLO SOSTENIBLE –Minambiente &amp; AUTORIDAD NACIONAL DE LICENCIAS AMBIENTALES –ANLA. Criterios técnicos para el uso de herramientas económicas en los proyectos, obras o actividades objeto de licenciamiento ambiental. Minambiente &amp; ANLA, 2017.</w:t>
      </w:r>
    </w:p>
    <w:p w14:paraId="31C1A832" w14:textId="77777777" w:rsidR="00E93E41" w:rsidRPr="004E4C01" w:rsidRDefault="00E93E41" w:rsidP="00B0120E">
      <w:pPr>
        <w:tabs>
          <w:tab w:val="left" w:pos="-2268"/>
        </w:tabs>
        <w:suppressAutoHyphens/>
        <w:rPr>
          <w:spacing w:val="-3"/>
        </w:rPr>
      </w:pPr>
    </w:p>
    <w:p w14:paraId="1C0A7F7C" w14:textId="77777777" w:rsidR="00E93E41" w:rsidRPr="004E4C01" w:rsidRDefault="00E93E41" w:rsidP="00B0120E">
      <w:pPr>
        <w:tabs>
          <w:tab w:val="left" w:pos="-2268"/>
        </w:tabs>
        <w:suppressAutoHyphens/>
        <w:rPr>
          <w:spacing w:val="-3"/>
        </w:rPr>
      </w:pPr>
      <w:r w:rsidRPr="004E4C01">
        <w:rPr>
          <w:spacing w:val="-3"/>
        </w:rPr>
        <w:t>MINISTERIO DE AMBIENTE Y DESARROLLO SOSTENIBLE –Minambiente, CORPORACIÓN AUTÓNOMA REGIONAL DE CUNDINAMRCA –CAR, INSTITUTO DE INVESTIGACIÓN DE RECURSOS BIOLÓGICOS ALEXANDER VON HUMBOLDT –</w:t>
      </w:r>
      <w:r w:rsidRPr="004E4C01">
        <w:rPr>
          <w:spacing w:val="-3"/>
        </w:rPr>
        <w:lastRenderedPageBreak/>
        <w:t>Instituto Humboldt. Iniciativa colombiana de polinizadores. Eds.: Moreno Villamil, R., Vélez Velandia, D., Gómez Hoyos, A. J., Higuera Díaz, D., Carvajal González, J., López Vargas, C. M., Melo, D. Bogotá, D. C.: Minambiente, CAR e Instituto Humboldt, 2018. 60p.</w:t>
      </w:r>
    </w:p>
    <w:p w14:paraId="63B133C9" w14:textId="77777777" w:rsidR="00E93E41" w:rsidRPr="004E4C01" w:rsidRDefault="00E93E41">
      <w:pPr>
        <w:tabs>
          <w:tab w:val="left" w:pos="-2268"/>
        </w:tabs>
        <w:suppressAutoHyphens/>
        <w:rPr>
          <w:spacing w:val="-3"/>
        </w:rPr>
      </w:pPr>
    </w:p>
    <w:p w14:paraId="59C98A64" w14:textId="4211FD18" w:rsidR="00E93E41" w:rsidRPr="004E4C01" w:rsidRDefault="00E93E41">
      <w:pPr>
        <w:tabs>
          <w:tab w:val="left" w:pos="-2268"/>
        </w:tabs>
        <w:suppressAutoHyphens/>
        <w:rPr>
          <w:spacing w:val="-3"/>
        </w:rPr>
      </w:pPr>
      <w:r w:rsidRPr="004E4C01">
        <w:rPr>
          <w:spacing w:val="-3"/>
        </w:rPr>
        <w:t>MINISTERIO DE AMBIENTE Y DESARROLLO SOSTENIBLE –Minambiente. Guía metodológica para la formulación de planes de manejo ambiental de acuíferos. Bogotá: Minambiente, 2014.</w:t>
      </w:r>
    </w:p>
    <w:p w14:paraId="47274DD9" w14:textId="49E2464A" w:rsidR="00F70F4A" w:rsidRPr="004E4C01" w:rsidRDefault="00F70F4A">
      <w:pPr>
        <w:tabs>
          <w:tab w:val="left" w:pos="-2268"/>
        </w:tabs>
        <w:suppressAutoHyphens/>
        <w:rPr>
          <w:spacing w:val="-3"/>
        </w:rPr>
      </w:pPr>
    </w:p>
    <w:p w14:paraId="12847D7E" w14:textId="75ACD1D4" w:rsidR="00F70F4A" w:rsidRPr="004E4C01" w:rsidRDefault="00F70F4A" w:rsidP="00F70F4A">
      <w:pPr>
        <w:tabs>
          <w:tab w:val="left" w:pos="-2268"/>
        </w:tabs>
        <w:suppressAutoHyphens/>
        <w:rPr>
          <w:spacing w:val="-3"/>
        </w:rPr>
      </w:pPr>
      <w:r w:rsidRPr="004E4C01">
        <w:rPr>
          <w:spacing w:val="-3"/>
        </w:rPr>
        <w:t>MINISTERIO DE AMBIENTE Y DESARROLLO SOSTENIBLE –Minambiente. Guía nacional de modelación del recurso hídrico para aguas superficiales continentales. Textos: Buitrago Aguirre, C., González Parra, J., Hernández Suarez, J. Bogotá, D.C.: Minambiente, 2018. 76 p.</w:t>
      </w:r>
    </w:p>
    <w:p w14:paraId="6348D549" w14:textId="77777777" w:rsidR="00E93E41" w:rsidRPr="004E4C01" w:rsidRDefault="00E93E41" w:rsidP="009A1B21">
      <w:pPr>
        <w:tabs>
          <w:tab w:val="left" w:pos="-2268"/>
        </w:tabs>
        <w:suppressAutoHyphens/>
        <w:rPr>
          <w:spacing w:val="-3"/>
        </w:rPr>
      </w:pPr>
    </w:p>
    <w:p w14:paraId="23CF1012" w14:textId="77777777" w:rsidR="00E93E41" w:rsidRPr="004E4C01" w:rsidRDefault="00E93E41" w:rsidP="009A1B21">
      <w:pPr>
        <w:tabs>
          <w:tab w:val="left" w:pos="-2268"/>
        </w:tabs>
        <w:suppressAutoHyphens/>
        <w:rPr>
          <w:spacing w:val="-3"/>
        </w:rPr>
      </w:pPr>
      <w:r w:rsidRPr="004E4C01">
        <w:rPr>
          <w:spacing w:val="-3"/>
        </w:rPr>
        <w:t>MINISTERIO DE AMBIENTE Y DESARROLLO SOSTENIBLE –Minambiente. La restauración como acción de compensación para proyectos licenciables Textos: Lozano Rodríguez, L., Vieira Muñoz, M., Ramírez Martínez, N. Bogotá, D.C.: Minambiente, 2018.</w:t>
      </w:r>
    </w:p>
    <w:p w14:paraId="46A37586" w14:textId="77777777" w:rsidR="00E93E41" w:rsidRPr="004E4C01" w:rsidRDefault="00E93E41">
      <w:pPr>
        <w:tabs>
          <w:tab w:val="left" w:pos="-2268"/>
        </w:tabs>
        <w:suppressAutoHyphens/>
        <w:rPr>
          <w:spacing w:val="-3"/>
        </w:rPr>
      </w:pPr>
    </w:p>
    <w:p w14:paraId="59A85209" w14:textId="481D36DF" w:rsidR="00E93E41" w:rsidRPr="004E4C01" w:rsidRDefault="00E93E41">
      <w:pPr>
        <w:tabs>
          <w:tab w:val="left" w:pos="-2268"/>
        </w:tabs>
        <w:suppressAutoHyphens/>
        <w:rPr>
          <w:spacing w:val="-3"/>
        </w:rPr>
      </w:pPr>
      <w:r w:rsidRPr="004E4C01">
        <w:rPr>
          <w:spacing w:val="-3"/>
        </w:rPr>
        <w:t>MINISTERIO DE AMBIENTE Y DESARROLLO SOSTENIBLE –Minambiente. Manual de compensaciones ambientales del componente biótico. Dirección de Bosques, Biodiversidad y Servicios Ecosistémicos; textos: M. Ramírez; J. Ruíz- ISBN obra completa versión digital: 978-958-8901-88-2. Bogotá: Minambiente, 2018.</w:t>
      </w:r>
    </w:p>
    <w:p w14:paraId="1E8A2A12" w14:textId="212703FB" w:rsidR="00E93E41" w:rsidRPr="004E4C01" w:rsidRDefault="00E93E41" w:rsidP="00360C43">
      <w:pPr>
        <w:tabs>
          <w:tab w:val="left" w:pos="-2268"/>
        </w:tabs>
        <w:suppressAutoHyphens/>
        <w:rPr>
          <w:spacing w:val="-3"/>
        </w:rPr>
      </w:pPr>
    </w:p>
    <w:p w14:paraId="0AA35C57" w14:textId="77777777" w:rsidR="00792F74" w:rsidRPr="004E4C01" w:rsidRDefault="00792F74" w:rsidP="00792F74">
      <w:pPr>
        <w:tabs>
          <w:tab w:val="left" w:pos="-2268"/>
        </w:tabs>
        <w:suppressAutoHyphens/>
        <w:rPr>
          <w:spacing w:val="-3"/>
        </w:rPr>
      </w:pPr>
      <w:r w:rsidRPr="004E4C01">
        <w:rPr>
          <w:spacing w:val="-3"/>
        </w:rPr>
        <w:t>MINISTERIO DE AMBIENTE Y DESARROLLO SOSTENIBLE –Minambiente, Fundación para la Conservación y el Desarrollo Sostenible –FCDS, WWF Colombia –WWF. Lineamientos de Infraestructura Verde Vial para Colombia (LIVV). Bogotá: Minambiente, FCDS, WWF, 2020. 98 p.</w:t>
      </w:r>
    </w:p>
    <w:p w14:paraId="70D085A1" w14:textId="77777777" w:rsidR="00792F74" w:rsidRPr="004E4C01" w:rsidRDefault="00792F74" w:rsidP="00360C43">
      <w:pPr>
        <w:tabs>
          <w:tab w:val="left" w:pos="-2268"/>
        </w:tabs>
        <w:suppressAutoHyphens/>
        <w:rPr>
          <w:spacing w:val="-3"/>
        </w:rPr>
      </w:pPr>
    </w:p>
    <w:p w14:paraId="296018C2" w14:textId="77777777" w:rsidR="00E93E41" w:rsidRPr="004E4C01" w:rsidRDefault="00E93E41" w:rsidP="00360C43">
      <w:pPr>
        <w:tabs>
          <w:tab w:val="left" w:pos="-2268"/>
        </w:tabs>
        <w:suppressAutoHyphens/>
        <w:rPr>
          <w:spacing w:val="-3"/>
        </w:rPr>
      </w:pPr>
      <w:r w:rsidRPr="004E4C01">
        <w:rPr>
          <w:spacing w:val="-3"/>
        </w:rPr>
        <w:t>MINISTERIO DE AMBIENTE, VIVIENDA Y DESARROLLO TERRITORIAL –MAVDT. Propuesta metodológica para la evaluación de la vulnerabilidad intrínseca de los acuíferos a la contaminación. Bogotá: MAVDT, 2010a.</w:t>
      </w:r>
    </w:p>
    <w:p w14:paraId="017BAFD4" w14:textId="77777777" w:rsidR="00E93E41" w:rsidRPr="004E4C01" w:rsidRDefault="00E93E41" w:rsidP="00D64853">
      <w:pPr>
        <w:tabs>
          <w:tab w:val="left" w:pos="-2268"/>
        </w:tabs>
        <w:suppressAutoHyphens/>
        <w:rPr>
          <w:spacing w:val="-3"/>
        </w:rPr>
      </w:pPr>
    </w:p>
    <w:p w14:paraId="66A29D1F" w14:textId="77777777" w:rsidR="00E93E41" w:rsidRPr="004E4C01" w:rsidRDefault="00E93E41" w:rsidP="00D64853">
      <w:pPr>
        <w:tabs>
          <w:tab w:val="left" w:pos="-2268"/>
        </w:tabs>
        <w:suppressAutoHyphens/>
        <w:rPr>
          <w:spacing w:val="-3"/>
        </w:rPr>
      </w:pPr>
      <w:r w:rsidRPr="004E4C01">
        <w:rPr>
          <w:spacing w:val="-3"/>
        </w:rPr>
        <w:t>MINISTERIO DE AMBIENTE, VIVIENDA Y DESARROLLO TERRITORIAL –MAVDT. Política nacional de producción y consumo sostenible. Bogotá D. C.: MAVDT, 2010.</w:t>
      </w:r>
    </w:p>
    <w:p w14:paraId="2902D285" w14:textId="77777777" w:rsidR="00E93E41" w:rsidRPr="004E4C01" w:rsidRDefault="00E93E41">
      <w:pPr>
        <w:tabs>
          <w:tab w:val="left" w:pos="-2268"/>
        </w:tabs>
        <w:suppressAutoHyphens/>
        <w:rPr>
          <w:spacing w:val="-3"/>
        </w:rPr>
      </w:pPr>
    </w:p>
    <w:p w14:paraId="07729584" w14:textId="057AC8E9" w:rsidR="00E93E41" w:rsidRPr="004E4C01" w:rsidRDefault="00E93E41">
      <w:pPr>
        <w:tabs>
          <w:tab w:val="left" w:pos="-2268"/>
        </w:tabs>
        <w:suppressAutoHyphens/>
        <w:rPr>
          <w:spacing w:val="-3"/>
        </w:rPr>
      </w:pPr>
      <w:r w:rsidRPr="004E4C01">
        <w:rPr>
          <w:spacing w:val="-3"/>
        </w:rPr>
        <w:t>MINISTERIO DE AMBIENTE, VIVIENDA Y DESARROLLO TERRITORIAL –MAVDT. Protocolo para el control y vigilancia de la contaminación atmosférica generada por fuentes fijas. Bogotá. D.C.: MAVDT, 2010b. 99 p.</w:t>
      </w:r>
    </w:p>
    <w:p w14:paraId="7AEB0026" w14:textId="77777777" w:rsidR="00E93E41" w:rsidRPr="004E4C01" w:rsidRDefault="00E93E41">
      <w:pPr>
        <w:tabs>
          <w:tab w:val="left" w:pos="-2268"/>
        </w:tabs>
        <w:suppressAutoHyphens/>
        <w:rPr>
          <w:spacing w:val="-3"/>
        </w:rPr>
      </w:pPr>
    </w:p>
    <w:p w14:paraId="38816A09" w14:textId="23072D2D" w:rsidR="00B37DDB" w:rsidRPr="004E4C01" w:rsidRDefault="00B37DDB">
      <w:pPr>
        <w:tabs>
          <w:tab w:val="left" w:pos="-2268"/>
        </w:tabs>
        <w:suppressAutoHyphens/>
        <w:rPr>
          <w:spacing w:val="-3"/>
        </w:rPr>
      </w:pPr>
      <w:r w:rsidRPr="004E4C01">
        <w:rPr>
          <w:spacing w:val="-3"/>
        </w:rPr>
        <w:t xml:space="preserve">MINISTERIO DEL MEDIO AMBIENTE &amp; ASOCIACIÓN COLOMBIANA DE REFORESTADORES. Proyecto aplicación y evaluación de criterios e indicadores para la ordenación sostenible de los bosques naturales Pd 8/97 rev 2(f): guías técnicas para la ordenación y el manejo sostenible de los bosques naturales. Bogotá: Ministerio del Medio </w:t>
      </w:r>
      <w:r w:rsidRPr="004E4C01">
        <w:rPr>
          <w:spacing w:val="-3"/>
        </w:rPr>
        <w:lastRenderedPageBreak/>
        <w:t>Ambiente, Asociación colombiana de reforestadores, Organización Internacional de Maderas Tropicales, 2002. 142p.</w:t>
      </w:r>
    </w:p>
    <w:p w14:paraId="57CDB58F" w14:textId="77777777" w:rsidR="00B37DDB" w:rsidRPr="004E4C01" w:rsidRDefault="00B37DDB">
      <w:pPr>
        <w:tabs>
          <w:tab w:val="left" w:pos="-2268"/>
        </w:tabs>
        <w:suppressAutoHyphens/>
        <w:rPr>
          <w:spacing w:val="-3"/>
        </w:rPr>
      </w:pPr>
    </w:p>
    <w:p w14:paraId="51DEA7F8" w14:textId="77777777" w:rsidR="00E93E41" w:rsidRPr="006C00FC" w:rsidRDefault="00E93E41">
      <w:pPr>
        <w:tabs>
          <w:tab w:val="left" w:pos="-2268"/>
        </w:tabs>
        <w:suppressAutoHyphens/>
        <w:rPr>
          <w:spacing w:val="-3"/>
          <w:lang w:val="en-US"/>
        </w:rPr>
      </w:pPr>
      <w:r w:rsidRPr="004E4C01">
        <w:rPr>
          <w:spacing w:val="-3"/>
        </w:rPr>
        <w:t xml:space="preserve">MOJICA, J., USMA, J., ÁLVAREZ-LEÓN R. &amp; LASSO, C. (Eds.). Libro rojo de peces dulceacuícolas de Colombia 2012. Bogotá: Instituto de Investigación de Recursos Biológicos Alexander von Humboldt, Instituto de Ciencias Naturales de la Universidad Nacional de Colombia, WWF Colombia y Universidad de Manizales, 2012. </w:t>
      </w:r>
      <w:r w:rsidRPr="006C00FC">
        <w:rPr>
          <w:spacing w:val="-3"/>
          <w:lang w:val="en-US"/>
        </w:rPr>
        <w:t>319 p.</w:t>
      </w:r>
    </w:p>
    <w:p w14:paraId="3093EC0B" w14:textId="77777777" w:rsidR="00E93E41" w:rsidRPr="006C00FC" w:rsidRDefault="00E93E41">
      <w:pPr>
        <w:tabs>
          <w:tab w:val="left" w:pos="-2268"/>
        </w:tabs>
        <w:suppressAutoHyphens/>
        <w:rPr>
          <w:spacing w:val="-3"/>
          <w:lang w:val="en-US"/>
        </w:rPr>
      </w:pPr>
    </w:p>
    <w:p w14:paraId="79B2E6A7" w14:textId="0A692BE9" w:rsidR="00F1592D" w:rsidRPr="004E4C01" w:rsidRDefault="00F1592D">
      <w:pPr>
        <w:tabs>
          <w:tab w:val="left" w:pos="-2268"/>
        </w:tabs>
        <w:suppressAutoHyphens/>
        <w:rPr>
          <w:spacing w:val="-3"/>
        </w:rPr>
      </w:pPr>
      <w:r w:rsidRPr="006C00FC">
        <w:rPr>
          <w:spacing w:val="-3"/>
          <w:lang w:val="en-US"/>
        </w:rPr>
        <w:t xml:space="preserve">MOLNAR, P. "Calibration". Watershed Modelling, SS 2011. Institute of Environmental Engineering, Chair of Hydrology and Water Resources Management, ETH Zürich. </w:t>
      </w:r>
      <w:r w:rsidRPr="004E4C01">
        <w:rPr>
          <w:spacing w:val="-3"/>
        </w:rPr>
        <w:t>Switzerland, 2011.</w:t>
      </w:r>
    </w:p>
    <w:p w14:paraId="5CDA0318" w14:textId="77777777" w:rsidR="00F1592D" w:rsidRPr="004E4C01" w:rsidRDefault="00F1592D">
      <w:pPr>
        <w:tabs>
          <w:tab w:val="left" w:pos="-2268"/>
        </w:tabs>
        <w:suppressAutoHyphens/>
        <w:rPr>
          <w:spacing w:val="-3"/>
        </w:rPr>
      </w:pPr>
    </w:p>
    <w:p w14:paraId="439DBEB3" w14:textId="6AD684E6" w:rsidR="00F93FC9" w:rsidRPr="00127BD4" w:rsidRDefault="00F93FC9">
      <w:pPr>
        <w:tabs>
          <w:tab w:val="left" w:pos="-2268"/>
        </w:tabs>
        <w:suppressAutoHyphens/>
        <w:rPr>
          <w:spacing w:val="-3"/>
        </w:rPr>
      </w:pPr>
      <w:r w:rsidRPr="00127BD4">
        <w:rPr>
          <w:spacing w:val="-3"/>
        </w:rPr>
        <w:t>MONTENEGRO, A., ÁLVAREZ, J., BASTIÁN-MONARCA, N., PEREIRA, T. Evaluación de impacto acústico por ruido sobre fauna nativa terrestre en el marco del Sistema de Evaluación de Impacto Ambiental (SEIA) en Chile. Valdivia, Chile: Congreso Internacional de Acústica y Audio Profesional INGEACUS 2020, 2020. 6p.</w:t>
      </w:r>
    </w:p>
    <w:p w14:paraId="031CA875" w14:textId="77777777" w:rsidR="00F93FC9" w:rsidRPr="00127BD4" w:rsidRDefault="00F93FC9">
      <w:pPr>
        <w:tabs>
          <w:tab w:val="left" w:pos="-2268"/>
        </w:tabs>
        <w:suppressAutoHyphens/>
        <w:rPr>
          <w:spacing w:val="-3"/>
        </w:rPr>
      </w:pPr>
    </w:p>
    <w:p w14:paraId="65DEA5B7" w14:textId="21DEF856" w:rsidR="00E93E41" w:rsidRPr="004E4C01" w:rsidRDefault="00E93E41">
      <w:pPr>
        <w:tabs>
          <w:tab w:val="left" w:pos="-2268"/>
        </w:tabs>
        <w:suppressAutoHyphens/>
        <w:rPr>
          <w:spacing w:val="-3"/>
        </w:rPr>
      </w:pPr>
      <w:r w:rsidRPr="004E4C01">
        <w:rPr>
          <w:spacing w:val="-3"/>
        </w:rPr>
        <w:t>MORALES-BETANCOURT, M., LASSO, C., PÁEZ, V. &amp; BOCK, B. Libro rojo de reptiles de Colombia (2015). Bogotá, D. C.: Instituto de Investigación de Recursos Biológicos Alexander von Humboldt –IAvH, Universidad de Antioquia, 2015. 258 p.</w:t>
      </w:r>
    </w:p>
    <w:p w14:paraId="1CC865A2" w14:textId="77777777" w:rsidR="00E93E41" w:rsidRPr="004E4C01" w:rsidRDefault="00E93E41">
      <w:pPr>
        <w:tabs>
          <w:tab w:val="left" w:pos="-2268"/>
        </w:tabs>
        <w:suppressAutoHyphens/>
        <w:rPr>
          <w:spacing w:val="-3"/>
        </w:rPr>
      </w:pPr>
    </w:p>
    <w:p w14:paraId="29884868" w14:textId="77777777" w:rsidR="00E93E41" w:rsidRPr="004E4C01" w:rsidRDefault="00E93E41">
      <w:pPr>
        <w:tabs>
          <w:tab w:val="left" w:pos="-2268"/>
        </w:tabs>
        <w:suppressAutoHyphens/>
        <w:rPr>
          <w:spacing w:val="-3"/>
        </w:rPr>
      </w:pPr>
      <w:r w:rsidRPr="004E4C01">
        <w:rPr>
          <w:spacing w:val="-3"/>
        </w:rPr>
        <w:t>MORALES-JIMÉNEZ A., SÁNCHEZ F., POVEDA, K., &amp; CADENA, A. Mamíferos terrestres y voladores de Colombia. Guía de Campo. Bogotá: Alcom, 2004. 248 p.</w:t>
      </w:r>
    </w:p>
    <w:p w14:paraId="0F61BD57" w14:textId="77777777" w:rsidR="00E93E41" w:rsidRPr="004E4C01" w:rsidRDefault="00E93E41">
      <w:pPr>
        <w:tabs>
          <w:tab w:val="left" w:pos="-2268"/>
        </w:tabs>
        <w:suppressAutoHyphens/>
        <w:rPr>
          <w:spacing w:val="-3"/>
        </w:rPr>
      </w:pPr>
    </w:p>
    <w:p w14:paraId="6C4E78F9" w14:textId="4A32AFC0" w:rsidR="00E93E41" w:rsidRPr="004E4C01" w:rsidRDefault="00E93E41">
      <w:pPr>
        <w:tabs>
          <w:tab w:val="left" w:pos="-2268"/>
        </w:tabs>
        <w:suppressAutoHyphens/>
        <w:rPr>
          <w:spacing w:val="-3"/>
        </w:rPr>
      </w:pPr>
      <w:r w:rsidRPr="004E4C01">
        <w:rPr>
          <w:spacing w:val="-3"/>
        </w:rPr>
        <w:t xml:space="preserve">MORENO, C. Métodos para medir la biodiversidad. Manuales y Tesis. </w:t>
      </w:r>
      <w:r w:rsidR="00434EA7" w:rsidRPr="004E4C01">
        <w:rPr>
          <w:spacing w:val="-3"/>
        </w:rPr>
        <w:t>Vol.</w:t>
      </w:r>
      <w:r w:rsidRPr="004E4C01">
        <w:rPr>
          <w:spacing w:val="-3"/>
        </w:rPr>
        <w:t xml:space="preserve"> 1. Zaragoza: Sociedad Entomológica Aragonesa, 2001. 84 p. </w:t>
      </w:r>
    </w:p>
    <w:p w14:paraId="29902B7A" w14:textId="77777777" w:rsidR="00E93E41" w:rsidRPr="004E4C01" w:rsidRDefault="00E93E41">
      <w:pPr>
        <w:tabs>
          <w:tab w:val="left" w:pos="-2268"/>
        </w:tabs>
        <w:suppressAutoHyphens/>
        <w:rPr>
          <w:spacing w:val="-3"/>
        </w:rPr>
      </w:pPr>
    </w:p>
    <w:p w14:paraId="1983D555" w14:textId="77777777" w:rsidR="00E93E41" w:rsidRPr="006C00FC" w:rsidRDefault="00E93E41">
      <w:pPr>
        <w:tabs>
          <w:tab w:val="left" w:pos="-2268"/>
        </w:tabs>
        <w:suppressAutoHyphens/>
        <w:rPr>
          <w:spacing w:val="-3"/>
          <w:lang w:val="en-US"/>
        </w:rPr>
      </w:pPr>
      <w:r w:rsidRPr="004E4C01">
        <w:rPr>
          <w:spacing w:val="-3"/>
        </w:rPr>
        <w:t xml:space="preserve">MORLÁNS, M. Introducción a la ecología del paisaje. San Fernando del Valle de Catamarca, Argentina: Universidad de Catamarca. </w:t>
      </w:r>
      <w:r w:rsidRPr="006C00FC">
        <w:rPr>
          <w:spacing w:val="-3"/>
          <w:lang w:val="en-US"/>
        </w:rPr>
        <w:t>2005.</w:t>
      </w:r>
    </w:p>
    <w:p w14:paraId="675ACF9D" w14:textId="77777777" w:rsidR="00E93E41" w:rsidRPr="006C00FC" w:rsidRDefault="00E93E41">
      <w:pPr>
        <w:tabs>
          <w:tab w:val="left" w:pos="-2268"/>
        </w:tabs>
        <w:suppressAutoHyphens/>
        <w:rPr>
          <w:spacing w:val="-3"/>
          <w:lang w:val="en-US"/>
        </w:rPr>
      </w:pPr>
    </w:p>
    <w:p w14:paraId="719BCE81" w14:textId="314D68E1" w:rsidR="00E93E41" w:rsidRPr="006C00FC" w:rsidRDefault="00E93E41">
      <w:pPr>
        <w:tabs>
          <w:tab w:val="left" w:pos="-2268"/>
        </w:tabs>
        <w:suppressAutoHyphens/>
        <w:rPr>
          <w:spacing w:val="-3"/>
          <w:lang w:val="en-US"/>
        </w:rPr>
      </w:pPr>
      <w:r w:rsidRPr="006C00FC">
        <w:rPr>
          <w:spacing w:val="-3"/>
          <w:lang w:val="en-US"/>
        </w:rPr>
        <w:t>MUNDA, G. Multicriteria evaluation in a fuzzy environment. Theory and applications in ecological economics. Germany: Physica-Verlag Heidelgerg, 1995</w:t>
      </w:r>
      <w:r w:rsidR="00D712AB" w:rsidRPr="006C00FC">
        <w:rPr>
          <w:spacing w:val="-3"/>
          <w:lang w:val="en-US"/>
        </w:rPr>
        <w:t>. 255 p</w:t>
      </w:r>
      <w:r w:rsidRPr="006C00FC">
        <w:rPr>
          <w:spacing w:val="-3"/>
          <w:lang w:val="en-US"/>
        </w:rPr>
        <w:t>.</w:t>
      </w:r>
    </w:p>
    <w:p w14:paraId="73A258F9" w14:textId="77777777" w:rsidR="00E93E41" w:rsidRPr="006C00FC" w:rsidRDefault="00E93E41" w:rsidP="00624F3E">
      <w:pPr>
        <w:tabs>
          <w:tab w:val="left" w:pos="-2268"/>
        </w:tabs>
        <w:suppressAutoHyphens/>
        <w:rPr>
          <w:rFonts w:cs="Arial"/>
          <w:lang w:val="en-US"/>
        </w:rPr>
      </w:pPr>
    </w:p>
    <w:p w14:paraId="78A0ACA5" w14:textId="0571C44E" w:rsidR="00A23EB9" w:rsidRPr="004E4C01" w:rsidRDefault="00D712AB" w:rsidP="00A23EB9">
      <w:pPr>
        <w:overflowPunct/>
        <w:autoSpaceDE/>
        <w:autoSpaceDN/>
        <w:adjustRightInd/>
        <w:jc w:val="left"/>
        <w:textAlignment w:val="auto"/>
        <w:rPr>
          <w:color w:val="000000" w:themeColor="text1"/>
          <w:spacing w:val="-3"/>
        </w:rPr>
      </w:pPr>
      <w:r w:rsidRPr="006C00FC">
        <w:rPr>
          <w:color w:val="000000" w:themeColor="text1"/>
          <w:spacing w:val="-3"/>
          <w:lang w:val="en-US"/>
        </w:rPr>
        <w:t>MUNDA</w:t>
      </w:r>
      <w:r w:rsidR="00A23EB9" w:rsidRPr="006C00FC">
        <w:rPr>
          <w:color w:val="000000" w:themeColor="text1"/>
          <w:spacing w:val="-3"/>
          <w:lang w:val="en-US"/>
        </w:rPr>
        <w:t xml:space="preserve">, G. Social Multi-Criteria Evaluation for a Sustainable Economy. </w:t>
      </w:r>
      <w:r w:rsidR="00A23EB9" w:rsidRPr="004E4C01">
        <w:rPr>
          <w:color w:val="000000" w:themeColor="text1"/>
          <w:spacing w:val="-3"/>
        </w:rPr>
        <w:t>Berlin</w:t>
      </w:r>
      <w:r w:rsidRPr="004E4C01">
        <w:rPr>
          <w:color w:val="000000" w:themeColor="text1"/>
          <w:spacing w:val="-3"/>
        </w:rPr>
        <w:t>,</w:t>
      </w:r>
      <w:r w:rsidR="00A23EB9" w:rsidRPr="004E4C01">
        <w:rPr>
          <w:color w:val="000000" w:themeColor="text1"/>
          <w:spacing w:val="-3"/>
        </w:rPr>
        <w:t xml:space="preserve"> Heidelberg: Springer-Verlag, </w:t>
      </w:r>
      <w:r w:rsidRPr="004E4C01">
        <w:rPr>
          <w:color w:val="000000" w:themeColor="text1"/>
          <w:spacing w:val="-3"/>
        </w:rPr>
        <w:t xml:space="preserve">2008. </w:t>
      </w:r>
      <w:r w:rsidR="00A23EB9" w:rsidRPr="004E4C01">
        <w:rPr>
          <w:color w:val="000000" w:themeColor="text1"/>
          <w:spacing w:val="-3"/>
        </w:rPr>
        <w:t>210</w:t>
      </w:r>
      <w:r w:rsidRPr="004E4C01">
        <w:rPr>
          <w:color w:val="000000" w:themeColor="text1"/>
          <w:spacing w:val="-3"/>
        </w:rPr>
        <w:t xml:space="preserve"> </w:t>
      </w:r>
      <w:r w:rsidR="00A23EB9" w:rsidRPr="004E4C01">
        <w:rPr>
          <w:color w:val="000000" w:themeColor="text1"/>
          <w:spacing w:val="-3"/>
        </w:rPr>
        <w:t>p.</w:t>
      </w:r>
    </w:p>
    <w:p w14:paraId="2D9BC30D" w14:textId="77777777" w:rsidR="00A23EB9" w:rsidRPr="004E4C01" w:rsidRDefault="00A23EB9" w:rsidP="00624F3E">
      <w:pPr>
        <w:tabs>
          <w:tab w:val="left" w:pos="-2268"/>
        </w:tabs>
        <w:suppressAutoHyphens/>
        <w:rPr>
          <w:rFonts w:cs="Arial"/>
        </w:rPr>
      </w:pPr>
    </w:p>
    <w:p w14:paraId="014E26A6" w14:textId="77777777" w:rsidR="00E93E41" w:rsidRPr="004E4C01" w:rsidRDefault="00E93E41" w:rsidP="00624F3E">
      <w:pPr>
        <w:tabs>
          <w:tab w:val="left" w:pos="-2268"/>
        </w:tabs>
        <w:suppressAutoHyphens/>
        <w:rPr>
          <w:rFonts w:cs="Arial"/>
        </w:rPr>
      </w:pPr>
      <w:r w:rsidRPr="004E4C01">
        <w:rPr>
          <w:rFonts w:cs="Arial"/>
        </w:rPr>
        <w:t xml:space="preserve">MUÑOZ, A. Guía Metodológica. Estudios del Paisaje. Valencia: Conselleria de Infraestructuras, Territorio y Medio Ambiente. 2012. </w:t>
      </w:r>
    </w:p>
    <w:p w14:paraId="2E617F5E" w14:textId="0B5465B4" w:rsidR="00E93E41" w:rsidRPr="004E4C01" w:rsidRDefault="00E93E41">
      <w:pPr>
        <w:tabs>
          <w:tab w:val="left" w:pos="-2268"/>
        </w:tabs>
        <w:suppressAutoHyphens/>
        <w:overflowPunct/>
        <w:autoSpaceDE/>
        <w:autoSpaceDN/>
        <w:adjustRightInd/>
        <w:textAlignment w:val="auto"/>
        <w:rPr>
          <w:rFonts w:eastAsia="Calibri"/>
        </w:rPr>
      </w:pPr>
    </w:p>
    <w:p w14:paraId="22AF40B3" w14:textId="12ABCA70" w:rsidR="00961255" w:rsidRPr="004E4C01" w:rsidRDefault="00961255">
      <w:pPr>
        <w:tabs>
          <w:tab w:val="left" w:pos="-2268"/>
        </w:tabs>
        <w:suppressAutoHyphens/>
        <w:overflowPunct/>
        <w:autoSpaceDE/>
        <w:autoSpaceDN/>
        <w:adjustRightInd/>
        <w:textAlignment w:val="auto"/>
        <w:rPr>
          <w:rFonts w:eastAsia="Calibri"/>
        </w:rPr>
      </w:pPr>
      <w:r w:rsidRPr="004E4C01">
        <w:rPr>
          <w:rFonts w:cs="Arial"/>
          <w:szCs w:val="20"/>
        </w:rPr>
        <w:t>NAVARRETE-RAMÍREZ, S. Protocolo Indicador Variación línea de costa: perfiles de playa. Indicadores de monitoreo biológico del Subsistema de Áreas Marinas Protegidas (SAMP). Serie de Publicaciones Generales del Invemar No. 73. Santa Marta: Invemar, GEF y PNUD, 2014. 36 p.</w:t>
      </w:r>
    </w:p>
    <w:p w14:paraId="37DC6AA2" w14:textId="77777777" w:rsidR="00961255" w:rsidRPr="004E4C01" w:rsidRDefault="00961255">
      <w:pPr>
        <w:tabs>
          <w:tab w:val="left" w:pos="-2268"/>
        </w:tabs>
        <w:suppressAutoHyphens/>
        <w:overflowPunct/>
        <w:autoSpaceDE/>
        <w:autoSpaceDN/>
        <w:adjustRightInd/>
        <w:textAlignment w:val="auto"/>
        <w:rPr>
          <w:rFonts w:eastAsia="Calibri"/>
        </w:rPr>
      </w:pPr>
    </w:p>
    <w:p w14:paraId="3FCE6F06" w14:textId="3851DEC8" w:rsidR="00961255" w:rsidRPr="006C00FC" w:rsidRDefault="00961255">
      <w:pPr>
        <w:tabs>
          <w:tab w:val="left" w:pos="-2268"/>
        </w:tabs>
        <w:suppressAutoHyphens/>
        <w:overflowPunct/>
        <w:autoSpaceDE/>
        <w:autoSpaceDN/>
        <w:adjustRightInd/>
        <w:textAlignment w:val="auto"/>
        <w:rPr>
          <w:rFonts w:eastAsia="Calibri"/>
          <w:lang w:val="en-US"/>
        </w:rPr>
      </w:pPr>
      <w:r w:rsidRPr="004E4C01">
        <w:rPr>
          <w:rFonts w:eastAsia="Calibri"/>
        </w:rPr>
        <w:t>NAVARRETE-RAMÍREZ, S. &amp; RODRÍGUEZ-RINCÓN, A. 2014. Protocolo Indicador Condición Tendencia Bosques de Manglar (ICT</w:t>
      </w:r>
      <w:r w:rsidRPr="004E4C01">
        <w:rPr>
          <w:rFonts w:eastAsia="Calibri"/>
          <w:vertAlign w:val="subscript"/>
        </w:rPr>
        <w:t>BM</w:t>
      </w:r>
      <w:r w:rsidRPr="004E4C01">
        <w:rPr>
          <w:rFonts w:eastAsia="Calibri"/>
        </w:rPr>
        <w:t xml:space="preserve">). Indicadores de monitoreo biológico del Subsistema de Áreas Marinas Protegidas (SAMP). Serie de Publicaciones Generales del Invemar No. 67. Santa Marta: Invemar, GEF y PNUD, 2014. </w:t>
      </w:r>
      <w:r w:rsidRPr="006C00FC">
        <w:rPr>
          <w:rFonts w:eastAsia="Calibri"/>
          <w:lang w:val="en-US"/>
        </w:rPr>
        <w:t>40 p.</w:t>
      </w:r>
    </w:p>
    <w:p w14:paraId="776D128C" w14:textId="77777777" w:rsidR="00961255" w:rsidRPr="006C00FC" w:rsidRDefault="00961255">
      <w:pPr>
        <w:tabs>
          <w:tab w:val="left" w:pos="-2268"/>
        </w:tabs>
        <w:suppressAutoHyphens/>
        <w:overflowPunct/>
        <w:autoSpaceDE/>
        <w:autoSpaceDN/>
        <w:adjustRightInd/>
        <w:textAlignment w:val="auto"/>
        <w:rPr>
          <w:rFonts w:eastAsia="Calibri"/>
          <w:lang w:val="en-US"/>
        </w:rPr>
      </w:pPr>
    </w:p>
    <w:p w14:paraId="1917CFE2" w14:textId="29001FDE" w:rsidR="00E95EE3" w:rsidRPr="006C00FC" w:rsidRDefault="00EC6296" w:rsidP="00E95EE3">
      <w:pPr>
        <w:rPr>
          <w:rFonts w:eastAsia="Calibri"/>
          <w:lang w:val="en-US"/>
        </w:rPr>
      </w:pPr>
      <w:r w:rsidRPr="006C00FC">
        <w:rPr>
          <w:rFonts w:eastAsia="Calibri"/>
          <w:lang w:val="en-US"/>
        </w:rPr>
        <w:t>NEWMAN</w:t>
      </w:r>
      <w:r w:rsidR="00E95EE3" w:rsidRPr="006C00FC">
        <w:rPr>
          <w:rFonts w:eastAsia="Calibri"/>
          <w:lang w:val="en-US"/>
        </w:rPr>
        <w:t>, C. Guidance for hydrogeologic groundwater flow modeling at mine sites. Carson City: Nevada Division of Environmental Protection, 2018. 28 p.</w:t>
      </w:r>
    </w:p>
    <w:p w14:paraId="3C3D2FB3" w14:textId="77777777" w:rsidR="00E95EE3" w:rsidRPr="006C00FC" w:rsidRDefault="00E95EE3">
      <w:pPr>
        <w:tabs>
          <w:tab w:val="left" w:pos="-2268"/>
        </w:tabs>
        <w:suppressAutoHyphens/>
        <w:overflowPunct/>
        <w:autoSpaceDE/>
        <w:autoSpaceDN/>
        <w:adjustRightInd/>
        <w:textAlignment w:val="auto"/>
        <w:rPr>
          <w:rFonts w:eastAsia="Calibri"/>
          <w:lang w:val="en-US"/>
        </w:rPr>
      </w:pPr>
    </w:p>
    <w:p w14:paraId="3D84FFFB" w14:textId="05F2B50D" w:rsidR="00301575" w:rsidRPr="004E4C01" w:rsidRDefault="00301575">
      <w:pPr>
        <w:tabs>
          <w:tab w:val="left" w:pos="-2268"/>
        </w:tabs>
        <w:suppressAutoHyphens/>
        <w:overflowPunct/>
        <w:autoSpaceDE/>
        <w:autoSpaceDN/>
        <w:adjustRightInd/>
        <w:textAlignment w:val="auto"/>
        <w:rPr>
          <w:rFonts w:eastAsia="Calibri"/>
        </w:rPr>
      </w:pPr>
      <w:r w:rsidRPr="006C00FC">
        <w:rPr>
          <w:rFonts w:eastAsia="Calibri"/>
          <w:lang w:val="en-US"/>
        </w:rPr>
        <w:t xml:space="preserve">NIE, M. Drivers of natural resource-based political conflict. </w:t>
      </w:r>
      <w:r w:rsidRPr="00127BD4">
        <w:rPr>
          <w:rFonts w:eastAsia="Calibri"/>
        </w:rPr>
        <w:t xml:space="preserve">Policy Sciences. </w:t>
      </w:r>
      <w:r w:rsidRPr="004E4C01">
        <w:rPr>
          <w:rFonts w:eastAsia="Calibri"/>
        </w:rPr>
        <w:t>360 (2003)</w:t>
      </w:r>
      <w:r w:rsidR="00334CD9" w:rsidRPr="004E4C01">
        <w:rPr>
          <w:rFonts w:eastAsia="Calibri"/>
        </w:rPr>
        <w:t>;</w:t>
      </w:r>
      <w:r w:rsidRPr="004E4C01">
        <w:rPr>
          <w:rFonts w:eastAsia="Calibri"/>
        </w:rPr>
        <w:t xml:space="preserve"> 307-341.</w:t>
      </w:r>
    </w:p>
    <w:p w14:paraId="160CE778" w14:textId="77777777" w:rsidR="00B85AAB" w:rsidRPr="004E4C01" w:rsidRDefault="00B85AAB">
      <w:pPr>
        <w:tabs>
          <w:tab w:val="left" w:pos="-2268"/>
        </w:tabs>
        <w:suppressAutoHyphens/>
        <w:overflowPunct/>
        <w:autoSpaceDE/>
        <w:autoSpaceDN/>
        <w:adjustRightInd/>
        <w:textAlignment w:val="auto"/>
        <w:rPr>
          <w:rFonts w:eastAsia="Calibri"/>
        </w:rPr>
      </w:pPr>
    </w:p>
    <w:p w14:paraId="32EF954F" w14:textId="0EC588E9" w:rsidR="00B85AAB" w:rsidRPr="006C00FC" w:rsidRDefault="00B85AAB" w:rsidP="00B85AAB">
      <w:pPr>
        <w:tabs>
          <w:tab w:val="left" w:pos="-2268"/>
        </w:tabs>
        <w:suppressAutoHyphens/>
        <w:overflowPunct/>
        <w:autoSpaceDE/>
        <w:autoSpaceDN/>
        <w:adjustRightInd/>
        <w:textAlignment w:val="auto"/>
        <w:rPr>
          <w:rFonts w:eastAsia="Calibri"/>
          <w:lang w:val="en-US"/>
        </w:rPr>
      </w:pPr>
      <w:r w:rsidRPr="004E4C01">
        <w:rPr>
          <w:rFonts w:eastAsia="Calibri"/>
        </w:rPr>
        <w:t xml:space="preserve">OLMOS, A. Conflictos ambientales asociados al aprovisionamiento y regulación hídrica, generados por la expansión de cultivos de palma africana. </w:t>
      </w:r>
      <w:r w:rsidRPr="006C00FC">
        <w:rPr>
          <w:rFonts w:eastAsia="Calibri"/>
          <w:lang w:val="en-US"/>
        </w:rPr>
        <w:t>Zona oriental colombiana. Bogotá: Universidad Nacional de Colombia, 2014, 163 p.</w:t>
      </w:r>
    </w:p>
    <w:p w14:paraId="0068A7A7" w14:textId="77777777" w:rsidR="00B85AAB" w:rsidRPr="006C00FC" w:rsidRDefault="00B85AAB" w:rsidP="00B85AAB">
      <w:pPr>
        <w:tabs>
          <w:tab w:val="left" w:pos="-2268"/>
        </w:tabs>
        <w:suppressAutoHyphens/>
        <w:overflowPunct/>
        <w:autoSpaceDE/>
        <w:autoSpaceDN/>
        <w:adjustRightInd/>
        <w:textAlignment w:val="auto"/>
        <w:rPr>
          <w:rFonts w:eastAsia="Calibri"/>
          <w:lang w:val="en-US"/>
        </w:rPr>
      </w:pPr>
    </w:p>
    <w:p w14:paraId="2E2D647B" w14:textId="6D8621B4" w:rsidR="00E93E41" w:rsidRPr="006C00FC" w:rsidRDefault="00E93E41">
      <w:pPr>
        <w:tabs>
          <w:tab w:val="left" w:pos="-2268"/>
        </w:tabs>
        <w:suppressAutoHyphens/>
        <w:overflowPunct/>
        <w:autoSpaceDE/>
        <w:autoSpaceDN/>
        <w:adjustRightInd/>
        <w:textAlignment w:val="auto"/>
        <w:rPr>
          <w:spacing w:val="-3"/>
          <w:lang w:val="en-US"/>
        </w:rPr>
      </w:pPr>
      <w:r w:rsidRPr="006C00FC">
        <w:rPr>
          <w:rFonts w:eastAsia="Calibri"/>
          <w:lang w:val="en-US"/>
        </w:rPr>
        <w:t>ORGANIZATION FOR ECONOMIC CO-OPERATION AND DEVELOPMENT –OCDE. Biodiversity offsets: Effective design and implementation. Paris: OECD publishing, 2016.</w:t>
      </w:r>
    </w:p>
    <w:p w14:paraId="6B8C8A71" w14:textId="25698913" w:rsidR="00E93E41" w:rsidRPr="006C00FC" w:rsidRDefault="00E93E41">
      <w:pPr>
        <w:tabs>
          <w:tab w:val="left" w:pos="-2268"/>
        </w:tabs>
        <w:suppressAutoHyphens/>
        <w:rPr>
          <w:spacing w:val="-3"/>
          <w:lang w:val="en-US"/>
        </w:rPr>
      </w:pPr>
    </w:p>
    <w:p w14:paraId="7DCAD971" w14:textId="09A94626" w:rsidR="00BD3419" w:rsidRPr="004E4C01" w:rsidRDefault="00BD3419" w:rsidP="00BD3419">
      <w:pPr>
        <w:tabs>
          <w:tab w:val="left" w:pos="-2268"/>
        </w:tabs>
        <w:suppressAutoHyphens/>
        <w:overflowPunct/>
        <w:autoSpaceDE/>
        <w:autoSpaceDN/>
        <w:adjustRightInd/>
        <w:textAlignment w:val="auto"/>
        <w:rPr>
          <w:spacing w:val="-3"/>
        </w:rPr>
      </w:pPr>
      <w:r w:rsidRPr="006C00FC">
        <w:rPr>
          <w:rFonts w:eastAsia="Calibri"/>
          <w:lang w:val="en-US"/>
        </w:rPr>
        <w:t xml:space="preserve">ORGANIZATION FOR ECONOMIC CO-OPERATION AND DEVELOPMENT –OCDE. Handbook on constructing composite indicators: Methodology and user guide. </w:t>
      </w:r>
      <w:r w:rsidRPr="004E4C01">
        <w:rPr>
          <w:rFonts w:eastAsia="Calibri"/>
        </w:rPr>
        <w:t>OECD publishing, 2008.</w:t>
      </w:r>
    </w:p>
    <w:p w14:paraId="4BEA7D04" w14:textId="77777777" w:rsidR="00BD3419" w:rsidRPr="004E4C01" w:rsidRDefault="00BD3419">
      <w:pPr>
        <w:tabs>
          <w:tab w:val="left" w:pos="-2268"/>
        </w:tabs>
        <w:suppressAutoHyphens/>
        <w:rPr>
          <w:spacing w:val="-3"/>
        </w:rPr>
      </w:pPr>
    </w:p>
    <w:p w14:paraId="4D006CB7" w14:textId="0F5A206D" w:rsidR="008348CE" w:rsidRPr="006C00FC" w:rsidRDefault="008348CE" w:rsidP="008348CE">
      <w:pPr>
        <w:tabs>
          <w:tab w:val="left" w:pos="-2268"/>
        </w:tabs>
        <w:suppressAutoHyphens/>
        <w:rPr>
          <w:spacing w:val="-3"/>
          <w:lang w:val="en-US"/>
        </w:rPr>
      </w:pPr>
      <w:r w:rsidRPr="004E4C01">
        <w:rPr>
          <w:spacing w:val="-3"/>
        </w:rPr>
        <w:t xml:space="preserve">PHILLIPS, J., DUQUE, A., YEPES, A., CABRERA, K., GARCÍA, M., NAVARRETE, D., ÁLVAREZ, E., CÁRDENAS, D. Estimación de las reservas actuales (2010) de carbono almacenadas en la biomasa aérea en bosques naturales de Colombia. Estratificación, alometría y métodos </w:t>
      </w:r>
      <w:r w:rsidR="005B5E15" w:rsidRPr="004E4C01">
        <w:rPr>
          <w:spacing w:val="-3"/>
        </w:rPr>
        <w:t>analíticos</w:t>
      </w:r>
      <w:r w:rsidRPr="004E4C01">
        <w:rPr>
          <w:spacing w:val="-3"/>
        </w:rPr>
        <w:t xml:space="preserve">. </w:t>
      </w:r>
      <w:r w:rsidR="005B5E15" w:rsidRPr="004E4C01">
        <w:rPr>
          <w:spacing w:val="-3"/>
        </w:rPr>
        <w:t xml:space="preserve">Bogotá D. C.: </w:t>
      </w:r>
      <w:r w:rsidRPr="004E4C01">
        <w:rPr>
          <w:spacing w:val="-3"/>
        </w:rPr>
        <w:t xml:space="preserve">Instituto de Hidrología, Meteorología y Estudios Ambientales </w:t>
      </w:r>
      <w:r w:rsidR="005B5E15" w:rsidRPr="004E4C01">
        <w:rPr>
          <w:spacing w:val="-3"/>
        </w:rPr>
        <w:t>-Ideam, 2011</w:t>
      </w:r>
      <w:r w:rsidRPr="004E4C01">
        <w:rPr>
          <w:spacing w:val="-3"/>
        </w:rPr>
        <w:t xml:space="preserve">. </w:t>
      </w:r>
      <w:r w:rsidRPr="006C00FC">
        <w:rPr>
          <w:spacing w:val="-3"/>
          <w:lang w:val="en-US"/>
        </w:rPr>
        <w:t>68 p.</w:t>
      </w:r>
    </w:p>
    <w:p w14:paraId="0346B99C" w14:textId="77777777" w:rsidR="008348CE" w:rsidRPr="006C00FC" w:rsidRDefault="008348CE" w:rsidP="008348CE">
      <w:pPr>
        <w:tabs>
          <w:tab w:val="left" w:pos="-2268"/>
        </w:tabs>
        <w:suppressAutoHyphens/>
        <w:rPr>
          <w:spacing w:val="-3"/>
          <w:lang w:val="en-US"/>
        </w:rPr>
      </w:pPr>
    </w:p>
    <w:p w14:paraId="5CBC7199" w14:textId="4DB653B4" w:rsidR="001B00C8" w:rsidRPr="004E4C01" w:rsidRDefault="001B00C8">
      <w:pPr>
        <w:tabs>
          <w:tab w:val="left" w:pos="-2268"/>
        </w:tabs>
        <w:suppressAutoHyphens/>
        <w:rPr>
          <w:spacing w:val="-3"/>
        </w:rPr>
      </w:pPr>
      <w:r w:rsidRPr="006C00FC">
        <w:rPr>
          <w:spacing w:val="-3"/>
          <w:lang w:val="en-US"/>
        </w:rPr>
        <w:t xml:space="preserve">POFF, L., THARME, R., &amp; ARTHINGTON, A. Evolution of Environmental Flows Assessment Science, Principles and Methodologies. </w:t>
      </w:r>
      <w:r w:rsidR="007935B8" w:rsidRPr="006C00FC">
        <w:rPr>
          <w:spacing w:val="-3"/>
          <w:lang w:val="en-US"/>
        </w:rPr>
        <w:t>En:</w:t>
      </w:r>
      <w:r w:rsidRPr="006C00FC">
        <w:rPr>
          <w:spacing w:val="-3"/>
          <w:lang w:val="en-US"/>
        </w:rPr>
        <w:t xml:space="preserve"> A. Horne, A. Webb, M. Stewwardson, B. Richter, &amp; M. Acreman (Eds.), Water for the Environment: From Policy and Science to Implementation and Management. </w:t>
      </w:r>
      <w:r w:rsidRPr="004E4C01">
        <w:rPr>
          <w:spacing w:val="-3"/>
        </w:rPr>
        <w:t>Netherlands: Elsevier, 2017. p. 203-228.</w:t>
      </w:r>
    </w:p>
    <w:p w14:paraId="117D5D51" w14:textId="77777777" w:rsidR="005B4D99" w:rsidRPr="004E4C01" w:rsidRDefault="005B4D99">
      <w:pPr>
        <w:tabs>
          <w:tab w:val="left" w:pos="-2268"/>
        </w:tabs>
        <w:suppressAutoHyphens/>
        <w:rPr>
          <w:spacing w:val="-3"/>
        </w:rPr>
      </w:pPr>
    </w:p>
    <w:p w14:paraId="1E7482AD" w14:textId="77777777" w:rsidR="00E93E41" w:rsidRPr="004E4C01" w:rsidRDefault="00E93E41">
      <w:pPr>
        <w:tabs>
          <w:tab w:val="left" w:pos="-2268"/>
        </w:tabs>
        <w:suppressAutoHyphens/>
        <w:rPr>
          <w:spacing w:val="-3"/>
        </w:rPr>
      </w:pPr>
      <w:r w:rsidRPr="004E4C01">
        <w:rPr>
          <w:spacing w:val="-3"/>
        </w:rPr>
        <w:t>PRADA, M., UNGER, B, GÓMEZ, J. Transformación de conflictos mediante el diálogo. Herramientas para practicantes. Bogotá D. C.: Deutsche Gesellschaft für Internationale Zusammenarbeit –GIZ GmbH, 2014. 159 p.</w:t>
      </w:r>
    </w:p>
    <w:p w14:paraId="341F00D8" w14:textId="77777777" w:rsidR="00E93E41" w:rsidRPr="004E4C01" w:rsidRDefault="00E93E41">
      <w:pPr>
        <w:tabs>
          <w:tab w:val="left" w:pos="-2268"/>
        </w:tabs>
        <w:suppressAutoHyphens/>
        <w:rPr>
          <w:spacing w:val="-3"/>
        </w:rPr>
      </w:pPr>
    </w:p>
    <w:p w14:paraId="72CE7E42" w14:textId="20CFC460" w:rsidR="003E17A1" w:rsidRPr="004E4C01" w:rsidRDefault="003E17A1" w:rsidP="003E17A1">
      <w:pPr>
        <w:tabs>
          <w:tab w:val="left" w:pos="-2268"/>
        </w:tabs>
        <w:suppressAutoHyphens/>
        <w:rPr>
          <w:spacing w:val="-3"/>
        </w:rPr>
      </w:pPr>
      <w:r w:rsidRPr="004E4C01">
        <w:rPr>
          <w:spacing w:val="-3"/>
        </w:rPr>
        <w:t>QUIROGA, R. Guía metodológica para desarrollar indicadores ambientales y de desarrollo sostenible en países de América Latina y el Caribe. Serie Manuales 61. Santiago de Chile: Naciones Unidas - CEPAL, 2009. 129 p.</w:t>
      </w:r>
    </w:p>
    <w:p w14:paraId="0091C81D" w14:textId="77777777" w:rsidR="003E17A1" w:rsidRPr="004E4C01" w:rsidRDefault="003E17A1">
      <w:pPr>
        <w:tabs>
          <w:tab w:val="left" w:pos="-2268"/>
        </w:tabs>
        <w:suppressAutoHyphens/>
        <w:rPr>
          <w:spacing w:val="-3"/>
        </w:rPr>
      </w:pPr>
    </w:p>
    <w:p w14:paraId="76C5EA78" w14:textId="77777777" w:rsidR="00E93E41" w:rsidRPr="004E4C01" w:rsidRDefault="00E93E41">
      <w:pPr>
        <w:tabs>
          <w:tab w:val="left" w:pos="-2268"/>
        </w:tabs>
        <w:suppressAutoHyphens/>
        <w:rPr>
          <w:spacing w:val="-3"/>
        </w:rPr>
      </w:pPr>
      <w:r w:rsidRPr="004E4C01">
        <w:rPr>
          <w:spacing w:val="-3"/>
        </w:rPr>
        <w:lastRenderedPageBreak/>
        <w:t>RAMÍREZ, A. &amp; VIÑA, G. Limnología colombiana. Bogotá: BP Exploration Colombia y Universidad Jorge Tadeo Lozano, 1998. 293p.</w:t>
      </w:r>
    </w:p>
    <w:p w14:paraId="7D08DD6C" w14:textId="77777777" w:rsidR="00E93E41" w:rsidRPr="004E4C01" w:rsidRDefault="00E93E41">
      <w:pPr>
        <w:tabs>
          <w:tab w:val="left" w:pos="-2268"/>
        </w:tabs>
        <w:suppressAutoHyphens/>
        <w:rPr>
          <w:spacing w:val="-3"/>
        </w:rPr>
      </w:pPr>
    </w:p>
    <w:p w14:paraId="21C0E7F5" w14:textId="77777777" w:rsidR="00E93E41" w:rsidRPr="004E4C01" w:rsidRDefault="00E93E41">
      <w:pPr>
        <w:tabs>
          <w:tab w:val="left" w:pos="-2268"/>
        </w:tabs>
        <w:suppressAutoHyphens/>
        <w:rPr>
          <w:spacing w:val="-3"/>
        </w:rPr>
      </w:pPr>
      <w:r w:rsidRPr="004E4C01">
        <w:rPr>
          <w:spacing w:val="-3"/>
        </w:rPr>
        <w:t>RANGEL, J. &amp; VELÁZQUEZ, A. Métodos de estudio de la vegetación. En: RANGEL, J., LOWY, P. &amp; AGUILAR, M. (Eds.). Colombia. Diversidad Biótica II. Bogotá: Universidad Nacional de Colombia. (1997); p. 59-87.</w:t>
      </w:r>
    </w:p>
    <w:p w14:paraId="54877FAE" w14:textId="7591868F" w:rsidR="00E93E41" w:rsidRPr="004E4C01" w:rsidRDefault="00E93E41">
      <w:pPr>
        <w:tabs>
          <w:tab w:val="left" w:pos="-2268"/>
        </w:tabs>
        <w:suppressAutoHyphens/>
        <w:rPr>
          <w:spacing w:val="-3"/>
        </w:rPr>
      </w:pPr>
    </w:p>
    <w:p w14:paraId="6AE424FE" w14:textId="39D1C4FF" w:rsidR="00E220CB" w:rsidRPr="006C00FC" w:rsidRDefault="00E220CB">
      <w:pPr>
        <w:tabs>
          <w:tab w:val="left" w:pos="-2268"/>
        </w:tabs>
        <w:suppressAutoHyphens/>
        <w:rPr>
          <w:spacing w:val="-3"/>
          <w:lang w:val="en-US"/>
        </w:rPr>
      </w:pPr>
      <w:r w:rsidRPr="004E4C01">
        <w:rPr>
          <w:spacing w:val="-3"/>
        </w:rPr>
        <w:t xml:space="preserve">RENJIFO, L., FRANCO-MAYA, A., AMAYA-ESPINEL, J., KATTAN, G. Y LÓPEZ-LANÚS, B. (Eds.). Libro rojo de aves de Colombia. Serie Libros Rojos de Especies Amenazadas de Colombia. Bogotá: Instituto de Investigación de Recursos Biológicos Alexander von Humboldt y Ministerio del Medio Ambiente, 2002. </w:t>
      </w:r>
      <w:r w:rsidRPr="006C00FC">
        <w:rPr>
          <w:spacing w:val="-3"/>
          <w:lang w:val="en-US"/>
        </w:rPr>
        <w:t>562 p.</w:t>
      </w:r>
    </w:p>
    <w:p w14:paraId="49C8A7A4" w14:textId="13525E06" w:rsidR="00E220CB" w:rsidRPr="006C00FC" w:rsidRDefault="00E220CB">
      <w:pPr>
        <w:tabs>
          <w:tab w:val="left" w:pos="-2268"/>
        </w:tabs>
        <w:suppressAutoHyphens/>
        <w:rPr>
          <w:spacing w:val="-3"/>
          <w:lang w:val="en-US"/>
        </w:rPr>
      </w:pPr>
    </w:p>
    <w:p w14:paraId="69437F83" w14:textId="122F4FA2" w:rsidR="00B26AA9" w:rsidRPr="004E4C01" w:rsidRDefault="00B26AA9" w:rsidP="00B26AA9">
      <w:pPr>
        <w:tabs>
          <w:tab w:val="left" w:pos="-2268"/>
        </w:tabs>
        <w:suppressAutoHyphens/>
        <w:rPr>
          <w:spacing w:val="-3"/>
        </w:rPr>
      </w:pPr>
      <w:r w:rsidRPr="006C00FC">
        <w:rPr>
          <w:spacing w:val="-3"/>
          <w:lang w:val="en-US"/>
        </w:rPr>
        <w:t xml:space="preserve">RICHTER, B., BAUMGARTNER, J., POWELL, J., BRAUN, D. A Method for Assessing Hydrologic Alteration within Ecosystems. </w:t>
      </w:r>
      <w:r w:rsidRPr="004E4C01">
        <w:rPr>
          <w:spacing w:val="-3"/>
        </w:rPr>
        <w:t>Conservation Biology. 10, 4 (1996); 1163 – 1174.</w:t>
      </w:r>
    </w:p>
    <w:p w14:paraId="2690677A" w14:textId="77777777" w:rsidR="00B26AA9" w:rsidRPr="004E4C01" w:rsidRDefault="00B26AA9">
      <w:pPr>
        <w:tabs>
          <w:tab w:val="left" w:pos="-2268"/>
        </w:tabs>
        <w:suppressAutoHyphens/>
        <w:rPr>
          <w:spacing w:val="-3"/>
        </w:rPr>
      </w:pPr>
    </w:p>
    <w:p w14:paraId="3A1B726D" w14:textId="77777777" w:rsidR="00E93E41" w:rsidRPr="004E4C01" w:rsidRDefault="00E93E41" w:rsidP="009420F5">
      <w:pPr>
        <w:tabs>
          <w:tab w:val="left" w:pos="-2268"/>
        </w:tabs>
        <w:suppressAutoHyphens/>
        <w:rPr>
          <w:spacing w:val="-3"/>
        </w:rPr>
      </w:pPr>
      <w:r w:rsidRPr="004E4C01">
        <w:rPr>
          <w:spacing w:val="-3"/>
        </w:rPr>
        <w:t>RINCÓN-RUIZ, A., ARIAS-ARÉVALO, P., CLAVIJO-ROMERO, M. (Eds). Hacia una valoración incluyente y plural de la biodiversidad y los servicios ecosistémicos: visiones, avances y retos en América Latina. Bogotá: Centro Editorial – Facultad de Ciencias Económicas, Universidad Nacional de Colombia, 2021. 359 p.</w:t>
      </w:r>
    </w:p>
    <w:p w14:paraId="43E3F6CE" w14:textId="77777777" w:rsidR="00E93E41" w:rsidRPr="004E4C01" w:rsidRDefault="00E93E41" w:rsidP="000037C3">
      <w:pPr>
        <w:tabs>
          <w:tab w:val="left" w:pos="-2268"/>
        </w:tabs>
        <w:suppressAutoHyphens/>
        <w:rPr>
          <w:rFonts w:cs="Arial"/>
          <w:spacing w:val="-3"/>
        </w:rPr>
      </w:pPr>
    </w:p>
    <w:p w14:paraId="4A018DC9" w14:textId="77777777" w:rsidR="00E93E41" w:rsidRPr="004E4C01" w:rsidRDefault="00E93E41" w:rsidP="000037C3">
      <w:pPr>
        <w:tabs>
          <w:tab w:val="left" w:pos="-2268"/>
        </w:tabs>
        <w:suppressAutoHyphens/>
        <w:rPr>
          <w:rFonts w:cs="Arial"/>
          <w:spacing w:val="-3"/>
        </w:rPr>
      </w:pPr>
      <w:r w:rsidRPr="004E4C01">
        <w:rPr>
          <w:rFonts w:cs="Arial"/>
          <w:spacing w:val="-3"/>
        </w:rPr>
        <w:t>RINCÓN-RUÍZ, A., ECHEVERRY-DUQUE, M., PIÑEROS, A. M., TAPIA, C. H., DAVID, A., ARIAS-ARÉVALO, P. Y ZULUAGA, P. A. Valoración integral de la biodiversidad y los servicios ecosistémicos: Aspectos conceptuales y metodológicos. Bogotá, D. C.: Instituto de Investigación de Recursos Biológicos Alexander von Humboldt –IAvH, 2014. 151 p.</w:t>
      </w:r>
    </w:p>
    <w:p w14:paraId="4857CEBA" w14:textId="77777777" w:rsidR="00E93E41" w:rsidRPr="004E4C01" w:rsidRDefault="00E93E41" w:rsidP="000037C3">
      <w:pPr>
        <w:tabs>
          <w:tab w:val="left" w:pos="-2268"/>
        </w:tabs>
        <w:suppressAutoHyphens/>
        <w:rPr>
          <w:rFonts w:cs="Arial"/>
        </w:rPr>
      </w:pPr>
    </w:p>
    <w:p w14:paraId="5EBB3029" w14:textId="1DE0EEDF" w:rsidR="00E220CB" w:rsidRPr="006C00FC" w:rsidRDefault="00E220CB" w:rsidP="000037C3">
      <w:pPr>
        <w:tabs>
          <w:tab w:val="left" w:pos="-2268"/>
        </w:tabs>
        <w:suppressAutoHyphens/>
        <w:rPr>
          <w:rFonts w:cs="Arial"/>
          <w:lang w:val="en-US"/>
        </w:rPr>
      </w:pPr>
      <w:r w:rsidRPr="004E4C01">
        <w:rPr>
          <w:rFonts w:cs="Arial"/>
        </w:rPr>
        <w:t xml:space="preserve">RODRÍGUEZ-M., J., ALBERICO, M., TRUJILLO, F. &amp; JORGENSON, J. (Eds.). Libro Rojo de los Mamíferos de Colombia. Serie Libros Rojos de Especies Amenazadas de Colombia. Bogotá: Conservación Internacional Colombia, Instituto de Ciencias Naturales – Universidad Nacional de Colombia, Ministerio del Medio Ambiente. </w:t>
      </w:r>
      <w:r w:rsidRPr="006C00FC">
        <w:rPr>
          <w:rFonts w:cs="Arial"/>
          <w:lang w:val="en-US"/>
        </w:rPr>
        <w:t>2006. 384 p.</w:t>
      </w:r>
    </w:p>
    <w:p w14:paraId="25E41734" w14:textId="77777777" w:rsidR="00E220CB" w:rsidRPr="006C00FC" w:rsidRDefault="00E220CB" w:rsidP="000037C3">
      <w:pPr>
        <w:tabs>
          <w:tab w:val="left" w:pos="-2268"/>
        </w:tabs>
        <w:suppressAutoHyphens/>
        <w:rPr>
          <w:rFonts w:cs="Arial"/>
          <w:lang w:val="en-US"/>
        </w:rPr>
      </w:pPr>
    </w:p>
    <w:p w14:paraId="557A8C2E" w14:textId="14E7BC7F" w:rsidR="00FF59DE" w:rsidRPr="004E4C01" w:rsidRDefault="00FF59DE" w:rsidP="00FF59DE">
      <w:pPr>
        <w:rPr>
          <w:spacing w:val="-3"/>
        </w:rPr>
      </w:pPr>
      <w:r w:rsidRPr="006C00FC">
        <w:rPr>
          <w:spacing w:val="-3"/>
          <w:lang w:val="en-US"/>
        </w:rPr>
        <w:t xml:space="preserve">RODRÍGUEZ, J., BEARD, T., BENNETT, E., CUMMING, G., CORK, S., AGARD, J., DOBSON, A., &amp; PETERSON, G. Trade-offs across space, time, and ecosystem services. Ecology and Society: A Journal of Integrative Science for Resilience and Sustainability. </w:t>
      </w:r>
      <w:r w:rsidRPr="004E4C01">
        <w:rPr>
          <w:spacing w:val="-3"/>
        </w:rPr>
        <w:t>11, 1 (2006). https://doi.org/10.5751/es-01667-110128</w:t>
      </w:r>
    </w:p>
    <w:p w14:paraId="49973B03" w14:textId="77777777" w:rsidR="00FF59DE" w:rsidRPr="004E4C01" w:rsidRDefault="00FF59DE" w:rsidP="00CE285C">
      <w:pPr>
        <w:tabs>
          <w:tab w:val="left" w:pos="-2268"/>
        </w:tabs>
        <w:suppressAutoHyphens/>
        <w:rPr>
          <w:spacing w:val="-3"/>
        </w:rPr>
      </w:pPr>
    </w:p>
    <w:p w14:paraId="718B039C" w14:textId="0180E9D5" w:rsidR="00CE285C" w:rsidRPr="006C00FC" w:rsidRDefault="00CE285C" w:rsidP="00CE285C">
      <w:pPr>
        <w:tabs>
          <w:tab w:val="left" w:pos="-2268"/>
        </w:tabs>
        <w:suppressAutoHyphens/>
        <w:rPr>
          <w:spacing w:val="-3"/>
          <w:lang w:val="en-US"/>
        </w:rPr>
      </w:pPr>
      <w:r w:rsidRPr="004E4C01">
        <w:rPr>
          <w:spacing w:val="-3"/>
        </w:rPr>
        <w:t>RODRÍGUEZ-RINCÓN, A., NAVARRETE-RAMÍREZ, S., GÓMEZ-LÓPEZ, D. &amp; NAVAS-CAMACHO, R. Protocolo Indicador Condición Tendencia Áreas Coralinas (ICT</w:t>
      </w:r>
      <w:r w:rsidRPr="004E4C01">
        <w:rPr>
          <w:spacing w:val="-3"/>
          <w:vertAlign w:val="subscript"/>
        </w:rPr>
        <w:t>AC</w:t>
      </w:r>
      <w:r w:rsidRPr="004E4C01">
        <w:rPr>
          <w:spacing w:val="-3"/>
        </w:rPr>
        <w:t xml:space="preserve">). </w:t>
      </w:r>
      <w:r w:rsidRPr="00127BD4">
        <w:rPr>
          <w:spacing w:val="-3"/>
        </w:rPr>
        <w:t xml:space="preserve">Indicadores de monitoreo biológico del Subsistema de Áreas Marinas Protegidas (SAMP). </w:t>
      </w:r>
      <w:r w:rsidRPr="004E4C01">
        <w:rPr>
          <w:spacing w:val="-3"/>
        </w:rPr>
        <w:t xml:space="preserve">Serie de publicaciones generales del Invemar No. 66. Santa Marta: Invemar, GEF y PNUD, 2014. </w:t>
      </w:r>
      <w:r w:rsidRPr="006C00FC">
        <w:rPr>
          <w:spacing w:val="-3"/>
          <w:lang w:val="en-US"/>
        </w:rPr>
        <w:t>52 p.</w:t>
      </w:r>
    </w:p>
    <w:p w14:paraId="51F986A5" w14:textId="77777777" w:rsidR="00CE285C" w:rsidRPr="006C00FC" w:rsidRDefault="00CE285C">
      <w:pPr>
        <w:tabs>
          <w:tab w:val="left" w:pos="-2268"/>
        </w:tabs>
        <w:suppressAutoHyphens/>
        <w:rPr>
          <w:spacing w:val="-3"/>
          <w:lang w:val="en-US"/>
        </w:rPr>
      </w:pPr>
    </w:p>
    <w:p w14:paraId="4E29D3BF" w14:textId="77777777" w:rsidR="00E93E41" w:rsidRPr="004E4C01" w:rsidRDefault="00E93E41">
      <w:pPr>
        <w:tabs>
          <w:tab w:val="left" w:pos="-2268"/>
        </w:tabs>
        <w:suppressAutoHyphens/>
        <w:rPr>
          <w:spacing w:val="-3"/>
        </w:rPr>
      </w:pPr>
      <w:r w:rsidRPr="006C00FC">
        <w:rPr>
          <w:spacing w:val="-3"/>
          <w:lang w:val="en-US"/>
        </w:rPr>
        <w:lastRenderedPageBreak/>
        <w:t xml:space="preserve">ROWSE, E., LEWANZIK, D., STONE E., HARRIS S., JONES, G. Dark matters: the effects of artificial lighting on bats. En: VOIGT, C. &amp; KINGSTON, T. (Eds.). Bats in the anthropocene: conservation of bats in a changing world. </w:t>
      </w:r>
      <w:r w:rsidRPr="004E4C01">
        <w:rPr>
          <w:spacing w:val="-3"/>
        </w:rPr>
        <w:t>New York: Springer, 2016. p. 187–213.</w:t>
      </w:r>
    </w:p>
    <w:p w14:paraId="42F52128" w14:textId="77777777" w:rsidR="00E93E41" w:rsidRPr="004E4C01" w:rsidRDefault="00E93E41">
      <w:pPr>
        <w:tabs>
          <w:tab w:val="left" w:pos="-2268"/>
        </w:tabs>
        <w:suppressAutoHyphens/>
        <w:rPr>
          <w:spacing w:val="-3"/>
        </w:rPr>
      </w:pPr>
    </w:p>
    <w:p w14:paraId="35AD3834" w14:textId="77777777" w:rsidR="00E93E41" w:rsidRPr="004E4C01" w:rsidRDefault="00E93E41">
      <w:pPr>
        <w:tabs>
          <w:tab w:val="left" w:pos="-2268"/>
        </w:tabs>
        <w:suppressAutoHyphens/>
        <w:rPr>
          <w:spacing w:val="-3"/>
        </w:rPr>
      </w:pPr>
      <w:r w:rsidRPr="004E4C01">
        <w:rPr>
          <w:spacing w:val="-3"/>
        </w:rPr>
        <w:t>RUEDA, G. Manual de métodos en limnología. Bogotá: Asociación colombiana de limnología – ACL. Limnos, 2002.</w:t>
      </w:r>
    </w:p>
    <w:p w14:paraId="28CA4045" w14:textId="77777777" w:rsidR="00E93E41" w:rsidRPr="004E4C01" w:rsidRDefault="00E93E41">
      <w:pPr>
        <w:tabs>
          <w:tab w:val="left" w:pos="-2268"/>
        </w:tabs>
        <w:suppressAutoHyphens/>
        <w:rPr>
          <w:spacing w:val="-3"/>
        </w:rPr>
      </w:pPr>
    </w:p>
    <w:p w14:paraId="5151F95B" w14:textId="77777777" w:rsidR="00E93E41" w:rsidRPr="004E4C01" w:rsidRDefault="00E93E41">
      <w:pPr>
        <w:tabs>
          <w:tab w:val="left" w:pos="-2268"/>
        </w:tabs>
        <w:suppressAutoHyphens/>
        <w:rPr>
          <w:spacing w:val="-3"/>
        </w:rPr>
      </w:pPr>
      <w:r w:rsidRPr="004E4C01">
        <w:rPr>
          <w:spacing w:val="-3"/>
        </w:rPr>
        <w:t>RUEDA-ALMONACID, J., AMÉZQUITA, A. &amp; LYNCH, J. Libro rojo de los anfibios de Colombia. Serie Libros Rojos de Especies Amenazadas de Colombia. Bogotá: Conservación Internacional Colombia, Instituto de Ciencias Naturales, Minambiente, 2004.</w:t>
      </w:r>
    </w:p>
    <w:p w14:paraId="62097140" w14:textId="77777777" w:rsidR="00E93E41" w:rsidRPr="004E4C01" w:rsidRDefault="00E93E41">
      <w:pPr>
        <w:tabs>
          <w:tab w:val="left" w:pos="-2268"/>
        </w:tabs>
        <w:suppressAutoHyphens/>
        <w:rPr>
          <w:spacing w:val="-3"/>
        </w:rPr>
      </w:pPr>
    </w:p>
    <w:p w14:paraId="50D8096D" w14:textId="77777777" w:rsidR="00E93E41" w:rsidRPr="006C00FC" w:rsidRDefault="00E93E41">
      <w:pPr>
        <w:tabs>
          <w:tab w:val="left" w:pos="-2268"/>
        </w:tabs>
        <w:suppressAutoHyphens/>
        <w:rPr>
          <w:spacing w:val="-3"/>
          <w:lang w:val="en-US"/>
        </w:rPr>
      </w:pPr>
      <w:r w:rsidRPr="004E4C01">
        <w:rPr>
          <w:spacing w:val="-3"/>
        </w:rPr>
        <w:t xml:space="preserve">SALDARRIAGA, A. La ranchería de los Wayuu en la Guajira. </w:t>
      </w:r>
      <w:r w:rsidRPr="006C00FC">
        <w:rPr>
          <w:spacing w:val="-3"/>
          <w:lang w:val="en-US"/>
        </w:rPr>
        <w:t>Credencial Historia. 351 (2019).</w:t>
      </w:r>
    </w:p>
    <w:p w14:paraId="7B46C8C9" w14:textId="77777777" w:rsidR="00E93E41" w:rsidRPr="006C00FC" w:rsidRDefault="00E93E41">
      <w:pPr>
        <w:tabs>
          <w:tab w:val="left" w:pos="-2268"/>
        </w:tabs>
        <w:suppressAutoHyphens/>
        <w:rPr>
          <w:spacing w:val="-3"/>
          <w:lang w:val="en-US"/>
        </w:rPr>
      </w:pPr>
    </w:p>
    <w:p w14:paraId="0AEE6D9F" w14:textId="77777777" w:rsidR="00E93E41" w:rsidRPr="006C00FC" w:rsidRDefault="00E93E41">
      <w:pPr>
        <w:tabs>
          <w:tab w:val="left" w:pos="-2268"/>
        </w:tabs>
        <w:suppressAutoHyphens/>
        <w:rPr>
          <w:spacing w:val="-3"/>
          <w:lang w:val="en-US"/>
        </w:rPr>
      </w:pPr>
      <w:r w:rsidRPr="006C00FC">
        <w:rPr>
          <w:spacing w:val="-3"/>
          <w:lang w:val="en-US"/>
        </w:rPr>
        <w:t>SAURA, S., VOGT, P., VELÁZQUEZ, J., HERNANDO, A., &amp; TEJERA, R. Key structural forest connectors can be identified by combining landscape spatial pattern and network analyses. Forest Ecology and Management. 262 (2011); 150–160.</w:t>
      </w:r>
    </w:p>
    <w:p w14:paraId="13BC6752" w14:textId="77777777" w:rsidR="00E93E41" w:rsidRPr="006C00FC" w:rsidRDefault="00E93E41">
      <w:pPr>
        <w:tabs>
          <w:tab w:val="left" w:pos="-2268"/>
        </w:tabs>
        <w:suppressAutoHyphens/>
        <w:rPr>
          <w:spacing w:val="-3"/>
          <w:lang w:val="en-US"/>
        </w:rPr>
      </w:pPr>
    </w:p>
    <w:p w14:paraId="77F02A20" w14:textId="77777777" w:rsidR="00E93E41" w:rsidRPr="006C00FC" w:rsidRDefault="00E93E41">
      <w:pPr>
        <w:tabs>
          <w:tab w:val="left" w:pos="-2268"/>
        </w:tabs>
        <w:suppressAutoHyphens/>
        <w:rPr>
          <w:spacing w:val="-3"/>
          <w:lang w:val="en-US"/>
        </w:rPr>
      </w:pPr>
      <w:r w:rsidRPr="006C00FC">
        <w:rPr>
          <w:spacing w:val="-3"/>
          <w:lang w:val="en-US"/>
        </w:rPr>
        <w:t>SAYRE, R., ROCA, E., SEDAGHATKISH, G., YOUNG, B., KEEL, S., ROCA, R. &amp; SHEPPARD, S. Un Enfoque en la Naturaleza. Evaluaciones Ecológicas Rápidas. Arlington: The Nature Conservancy, 2002. 195 p.</w:t>
      </w:r>
    </w:p>
    <w:p w14:paraId="3DC32CA8" w14:textId="77777777" w:rsidR="00E93E41" w:rsidRPr="006C00FC" w:rsidRDefault="00E93E41">
      <w:pPr>
        <w:tabs>
          <w:tab w:val="left" w:pos="-2268"/>
        </w:tabs>
        <w:suppressAutoHyphens/>
        <w:rPr>
          <w:spacing w:val="-3"/>
          <w:lang w:val="en-US"/>
        </w:rPr>
      </w:pPr>
    </w:p>
    <w:p w14:paraId="538D04C3" w14:textId="77777777" w:rsidR="00E93E41" w:rsidRPr="00127BD4" w:rsidRDefault="00E93E41">
      <w:pPr>
        <w:tabs>
          <w:tab w:val="left" w:pos="-2268"/>
        </w:tabs>
        <w:suppressAutoHyphens/>
        <w:rPr>
          <w:spacing w:val="-3"/>
        </w:rPr>
      </w:pPr>
      <w:r w:rsidRPr="006C00FC">
        <w:rPr>
          <w:spacing w:val="-3"/>
          <w:lang w:val="en-US"/>
        </w:rPr>
        <w:t xml:space="preserve">SCHNEIDER-MAUNOURY, L., LEFEBVRE, V., EWERS, R., MEDINA-RANGEL, G., PERES, C., SOMARRIBA, E., URBINA-CARDONA, N., PFEIFER, M. Abundance signals of amphibians and reptiles indicate strong edge effects in Neotropical fragmented forest landscapes. </w:t>
      </w:r>
      <w:r w:rsidRPr="00127BD4">
        <w:rPr>
          <w:spacing w:val="-3"/>
        </w:rPr>
        <w:t>Biological Conservation. 200 (2016); p. 207-215.</w:t>
      </w:r>
    </w:p>
    <w:p w14:paraId="7B8BCEED" w14:textId="77777777" w:rsidR="00E93E41" w:rsidRPr="00127BD4" w:rsidRDefault="00E93E41" w:rsidP="00624F3E">
      <w:pPr>
        <w:tabs>
          <w:tab w:val="left" w:pos="-2268"/>
        </w:tabs>
        <w:suppressAutoHyphens/>
        <w:rPr>
          <w:rFonts w:cs="Arial"/>
        </w:rPr>
      </w:pPr>
    </w:p>
    <w:p w14:paraId="4F044F49" w14:textId="33217338" w:rsidR="00D10016" w:rsidRPr="00127BD4" w:rsidRDefault="00D10016" w:rsidP="00FA1A75">
      <w:pPr>
        <w:overflowPunct/>
        <w:autoSpaceDE/>
        <w:autoSpaceDN/>
        <w:adjustRightInd/>
        <w:textAlignment w:val="auto"/>
        <w:rPr>
          <w:color w:val="000000" w:themeColor="text1"/>
          <w:spacing w:val="-3"/>
          <w:lang w:val="es-MX"/>
        </w:rPr>
      </w:pPr>
      <w:bookmarkStart w:id="11447" w:name="_Hlk122504199"/>
      <w:r w:rsidRPr="00127BD4">
        <w:rPr>
          <w:color w:val="000000" w:themeColor="text1"/>
          <w:spacing w:val="-3"/>
        </w:rPr>
        <w:t xml:space="preserve">SERVICIO DE EVALUACIÓN AMBIENTAL </w:t>
      </w:r>
      <w:r w:rsidR="00B40B04" w:rsidRPr="00127BD4">
        <w:rPr>
          <w:color w:val="000000" w:themeColor="text1"/>
          <w:spacing w:val="-3"/>
        </w:rPr>
        <w:t>-S</w:t>
      </w:r>
      <w:r w:rsidRPr="00127BD4">
        <w:rPr>
          <w:color w:val="000000" w:themeColor="text1"/>
          <w:spacing w:val="-3"/>
        </w:rPr>
        <w:t xml:space="preserve">EA. Criterio de Evaluación en el SEIA: Evaluación de Impactos por Ruido Sobre Fauna Nativa. </w:t>
      </w:r>
      <w:r w:rsidRPr="00127BD4">
        <w:rPr>
          <w:color w:val="000000" w:themeColor="text1"/>
          <w:spacing w:val="-3"/>
          <w:lang w:val="es-MX"/>
        </w:rPr>
        <w:t>Santiago: SEA, 2022. 15</w:t>
      </w:r>
      <w:r w:rsidR="008A7ED7" w:rsidRPr="00127BD4">
        <w:rPr>
          <w:color w:val="000000" w:themeColor="text1"/>
          <w:spacing w:val="-3"/>
          <w:lang w:val="es-MX"/>
        </w:rPr>
        <w:t xml:space="preserve"> </w:t>
      </w:r>
      <w:r w:rsidRPr="00127BD4">
        <w:rPr>
          <w:color w:val="000000" w:themeColor="text1"/>
          <w:spacing w:val="-3"/>
          <w:lang w:val="es-MX"/>
        </w:rPr>
        <w:t>p</w:t>
      </w:r>
      <w:r w:rsidR="008A7ED7" w:rsidRPr="00127BD4">
        <w:rPr>
          <w:color w:val="000000" w:themeColor="text1"/>
          <w:spacing w:val="-3"/>
          <w:lang w:val="es-MX"/>
        </w:rPr>
        <w:t>.</w:t>
      </w:r>
    </w:p>
    <w:p w14:paraId="75DAFF35" w14:textId="77777777" w:rsidR="00D10016" w:rsidRPr="00127BD4" w:rsidRDefault="00D10016" w:rsidP="00FA1A75">
      <w:pPr>
        <w:overflowPunct/>
        <w:autoSpaceDE/>
        <w:autoSpaceDN/>
        <w:adjustRightInd/>
        <w:textAlignment w:val="auto"/>
        <w:rPr>
          <w:color w:val="000000" w:themeColor="text1"/>
          <w:spacing w:val="-3"/>
          <w:lang w:val="es-MX"/>
        </w:rPr>
      </w:pPr>
    </w:p>
    <w:p w14:paraId="6C38AB0D" w14:textId="5D270EE9" w:rsidR="004640B1" w:rsidRPr="00127BD4" w:rsidRDefault="004640B1" w:rsidP="004640B1">
      <w:pPr>
        <w:overflowPunct/>
        <w:autoSpaceDE/>
        <w:autoSpaceDN/>
        <w:adjustRightInd/>
        <w:textAlignment w:val="auto"/>
        <w:rPr>
          <w:color w:val="000000" w:themeColor="text1"/>
          <w:spacing w:val="-3"/>
          <w:lang w:val="en-US"/>
        </w:rPr>
      </w:pPr>
      <w:r w:rsidRPr="00127BD4">
        <w:rPr>
          <w:color w:val="000000" w:themeColor="text1"/>
          <w:spacing w:val="-3"/>
        </w:rPr>
        <w:t xml:space="preserve">SERVICIO DE EVALUACIÓN AMBIENTAL -SEA. Guía para la evaluación de impacto ambiental del valor paisajístico en el SEIA. </w:t>
      </w:r>
      <w:r w:rsidRPr="00127BD4">
        <w:rPr>
          <w:color w:val="000000" w:themeColor="text1"/>
          <w:spacing w:val="-3"/>
          <w:lang w:val="en-US"/>
        </w:rPr>
        <w:t>Chile: SEA, 2019. 110 p.</w:t>
      </w:r>
    </w:p>
    <w:p w14:paraId="0D7C8D2C" w14:textId="77777777" w:rsidR="004640B1" w:rsidRPr="006C00FC" w:rsidRDefault="004640B1" w:rsidP="00FA1A75">
      <w:pPr>
        <w:overflowPunct/>
        <w:autoSpaceDE/>
        <w:autoSpaceDN/>
        <w:adjustRightInd/>
        <w:textAlignment w:val="auto"/>
        <w:rPr>
          <w:color w:val="000000" w:themeColor="text1"/>
          <w:spacing w:val="-3"/>
          <w:lang w:val="en-US"/>
        </w:rPr>
      </w:pPr>
    </w:p>
    <w:p w14:paraId="7934870D" w14:textId="54DB2303" w:rsidR="00A23EB9" w:rsidRPr="004E4C01" w:rsidRDefault="00D712AB" w:rsidP="00FA1A75">
      <w:pPr>
        <w:overflowPunct/>
        <w:autoSpaceDE/>
        <w:autoSpaceDN/>
        <w:adjustRightInd/>
        <w:textAlignment w:val="auto"/>
        <w:rPr>
          <w:color w:val="000000" w:themeColor="text1"/>
          <w:spacing w:val="-3"/>
        </w:rPr>
      </w:pPr>
      <w:r w:rsidRPr="006C00FC">
        <w:rPr>
          <w:color w:val="000000" w:themeColor="text1"/>
          <w:spacing w:val="-3"/>
          <w:lang w:val="en-US"/>
        </w:rPr>
        <w:t>SHMELEV</w:t>
      </w:r>
      <w:r w:rsidR="00A23EB9" w:rsidRPr="006C00FC">
        <w:rPr>
          <w:color w:val="000000" w:themeColor="text1"/>
          <w:spacing w:val="-3"/>
          <w:lang w:val="en-US"/>
        </w:rPr>
        <w:t>, S.</w:t>
      </w:r>
      <w:bookmarkEnd w:id="11447"/>
      <w:r w:rsidR="00A23EB9" w:rsidRPr="006C00FC">
        <w:rPr>
          <w:color w:val="000000" w:themeColor="text1"/>
          <w:spacing w:val="-3"/>
          <w:lang w:val="en-US"/>
        </w:rPr>
        <w:t xml:space="preserve"> Ecological Economics</w:t>
      </w:r>
      <w:r w:rsidR="00FA1A75" w:rsidRPr="006C00FC">
        <w:rPr>
          <w:color w:val="000000" w:themeColor="text1"/>
          <w:spacing w:val="-3"/>
          <w:lang w:val="en-US"/>
        </w:rPr>
        <w:t>:</w:t>
      </w:r>
      <w:r w:rsidR="00A23EB9" w:rsidRPr="006C00FC">
        <w:rPr>
          <w:color w:val="000000" w:themeColor="text1"/>
          <w:spacing w:val="-3"/>
          <w:lang w:val="en-US"/>
        </w:rPr>
        <w:t xml:space="preserve"> </w:t>
      </w:r>
      <w:r w:rsidR="00FA1A75" w:rsidRPr="006C00FC">
        <w:rPr>
          <w:color w:val="000000" w:themeColor="text1"/>
          <w:spacing w:val="-3"/>
          <w:lang w:val="en-US"/>
        </w:rPr>
        <w:t xml:space="preserve">Sustainability in practice. </w:t>
      </w:r>
      <w:r w:rsidRPr="004E4C01">
        <w:rPr>
          <w:color w:val="000000" w:themeColor="text1"/>
          <w:spacing w:val="-3"/>
        </w:rPr>
        <w:t xml:space="preserve">Netherlands: </w:t>
      </w:r>
      <w:r w:rsidR="00A23EB9" w:rsidRPr="004E4C01">
        <w:rPr>
          <w:color w:val="000000" w:themeColor="text1"/>
          <w:spacing w:val="-3"/>
        </w:rPr>
        <w:t>Springer</w:t>
      </w:r>
      <w:r w:rsidRPr="004E4C01">
        <w:rPr>
          <w:color w:val="000000" w:themeColor="text1"/>
          <w:spacing w:val="-3"/>
        </w:rPr>
        <w:t xml:space="preserve">, 2012. </w:t>
      </w:r>
      <w:r w:rsidR="00FA1A75" w:rsidRPr="004E4C01">
        <w:rPr>
          <w:color w:val="000000" w:themeColor="text1"/>
          <w:spacing w:val="-3"/>
        </w:rPr>
        <w:t>248 p</w:t>
      </w:r>
      <w:r w:rsidRPr="004E4C01">
        <w:rPr>
          <w:color w:val="000000" w:themeColor="text1"/>
          <w:spacing w:val="-3"/>
        </w:rPr>
        <w:t>.</w:t>
      </w:r>
    </w:p>
    <w:p w14:paraId="65F76556" w14:textId="77777777" w:rsidR="00A23EB9" w:rsidRPr="004E4C01" w:rsidRDefault="00A23EB9" w:rsidP="00624F3E">
      <w:pPr>
        <w:tabs>
          <w:tab w:val="left" w:pos="-2268"/>
        </w:tabs>
        <w:suppressAutoHyphens/>
        <w:rPr>
          <w:rFonts w:cs="Arial"/>
        </w:rPr>
      </w:pPr>
    </w:p>
    <w:p w14:paraId="63FC7F56" w14:textId="77777777" w:rsidR="00E93E41" w:rsidRPr="006C00FC" w:rsidRDefault="00E93E41" w:rsidP="00624F3E">
      <w:pPr>
        <w:tabs>
          <w:tab w:val="left" w:pos="-2268"/>
        </w:tabs>
        <w:suppressAutoHyphens/>
        <w:rPr>
          <w:rFonts w:cs="Arial"/>
          <w:lang w:val="en-US"/>
        </w:rPr>
      </w:pPr>
      <w:r w:rsidRPr="004E4C01">
        <w:rPr>
          <w:rFonts w:cs="Arial"/>
        </w:rPr>
        <w:t xml:space="preserve">SOLARI, F. &amp; CAZORLA, L. Valoración de la calidad y fragilidad visual del paisaje. Revista cuadernos del centro de estudios en diseño y comunicación. </w:t>
      </w:r>
      <w:r w:rsidRPr="006C00FC">
        <w:rPr>
          <w:rFonts w:cs="Arial"/>
          <w:lang w:val="en-US"/>
        </w:rPr>
        <w:t>30 (2009). p. 213-225.</w:t>
      </w:r>
    </w:p>
    <w:p w14:paraId="4C5FE0A5" w14:textId="77777777" w:rsidR="00E93E41" w:rsidRPr="006C00FC" w:rsidRDefault="00E93E41">
      <w:pPr>
        <w:tabs>
          <w:tab w:val="left" w:pos="-2268"/>
        </w:tabs>
        <w:suppressAutoHyphens/>
        <w:rPr>
          <w:spacing w:val="-3"/>
          <w:lang w:val="en-US"/>
        </w:rPr>
      </w:pPr>
    </w:p>
    <w:p w14:paraId="68ADDF8E" w14:textId="77777777" w:rsidR="00E93E41" w:rsidRPr="006C00FC" w:rsidRDefault="00E93E41">
      <w:pPr>
        <w:tabs>
          <w:tab w:val="left" w:pos="-2268"/>
        </w:tabs>
        <w:suppressAutoHyphens/>
        <w:rPr>
          <w:spacing w:val="-3"/>
          <w:lang w:val="en-US"/>
        </w:rPr>
      </w:pPr>
      <w:r w:rsidRPr="006C00FC">
        <w:rPr>
          <w:spacing w:val="-3"/>
          <w:lang w:val="en-US"/>
        </w:rPr>
        <w:t>STRATFORD, J. &amp; STOUFFER, P. Forest fragmentation alters microhabitat availability for neotropical terrestrial insectivorous birds. Biological Conservation. 188 (2015); p. 109–115.</w:t>
      </w:r>
    </w:p>
    <w:p w14:paraId="53384563" w14:textId="77777777" w:rsidR="00E93E41" w:rsidRPr="006C00FC" w:rsidRDefault="00E93E41">
      <w:pPr>
        <w:rPr>
          <w:spacing w:val="-3"/>
          <w:lang w:val="en-US"/>
        </w:rPr>
      </w:pPr>
    </w:p>
    <w:p w14:paraId="71663834" w14:textId="77777777" w:rsidR="00E93E41" w:rsidRPr="006C00FC" w:rsidRDefault="00E93E41">
      <w:pPr>
        <w:rPr>
          <w:spacing w:val="-3"/>
          <w:lang w:val="en-US"/>
        </w:rPr>
      </w:pPr>
      <w:r w:rsidRPr="006C00FC">
        <w:rPr>
          <w:spacing w:val="-3"/>
          <w:lang w:val="en-US"/>
        </w:rPr>
        <w:lastRenderedPageBreak/>
        <w:t>STRUCKMEIER, W. &amp; MARGAT, J. Hydrogeological maps - a guide and a standard legend. International Association of Hydrogeology (IAH) International Contributions to Hydrogeology, volume 17. Hannover: Verlag Heinz Heise, 1995. 177 p.</w:t>
      </w:r>
    </w:p>
    <w:p w14:paraId="771DF22E" w14:textId="77777777" w:rsidR="00E93E41" w:rsidRPr="006C00FC" w:rsidRDefault="00E93E41">
      <w:pPr>
        <w:rPr>
          <w:spacing w:val="-3"/>
          <w:lang w:val="en-US"/>
        </w:rPr>
      </w:pPr>
    </w:p>
    <w:p w14:paraId="79871920" w14:textId="77777777" w:rsidR="00E93E41" w:rsidRPr="006C00FC" w:rsidRDefault="00E93E41">
      <w:pPr>
        <w:rPr>
          <w:spacing w:val="-3"/>
          <w:lang w:val="en-US"/>
        </w:rPr>
      </w:pPr>
      <w:r w:rsidRPr="006C00FC">
        <w:rPr>
          <w:spacing w:val="-3"/>
          <w:lang w:val="en-US"/>
        </w:rPr>
        <w:t>TER STEEGE, H. &amp; CORNELISSEN, J. Distribution and ecology of vascular epiphytes in lowland rain forest of Guyana. Biotropica. 21 (1989); p. 331-339.</w:t>
      </w:r>
    </w:p>
    <w:p w14:paraId="043EE7A5" w14:textId="77777777" w:rsidR="00E93E41" w:rsidRPr="006C00FC" w:rsidRDefault="00E93E41">
      <w:pPr>
        <w:tabs>
          <w:tab w:val="left" w:pos="-2268"/>
        </w:tabs>
        <w:suppressAutoHyphens/>
        <w:rPr>
          <w:spacing w:val="-3"/>
          <w:lang w:val="en-US"/>
        </w:rPr>
      </w:pPr>
    </w:p>
    <w:p w14:paraId="4EDBD297" w14:textId="77777777" w:rsidR="00E93E41" w:rsidRPr="004E4C01" w:rsidRDefault="00E93E41">
      <w:pPr>
        <w:tabs>
          <w:tab w:val="left" w:pos="-2268"/>
        </w:tabs>
        <w:suppressAutoHyphens/>
        <w:rPr>
          <w:spacing w:val="-3"/>
        </w:rPr>
      </w:pPr>
      <w:r w:rsidRPr="006C00FC">
        <w:rPr>
          <w:spacing w:val="-3"/>
          <w:lang w:val="en-US"/>
        </w:rPr>
        <w:t xml:space="preserve">THOMANN, R. &amp; MUELLER, J. Principles of surface water quality modelling and control. </w:t>
      </w:r>
      <w:r w:rsidRPr="004E4C01">
        <w:rPr>
          <w:spacing w:val="-3"/>
        </w:rPr>
        <w:t>New York: Harper and Row, 1987.</w:t>
      </w:r>
    </w:p>
    <w:p w14:paraId="17ABD5E1" w14:textId="77777777" w:rsidR="00E93E41" w:rsidRPr="004E4C01" w:rsidRDefault="00E93E41" w:rsidP="00E93E41">
      <w:pPr>
        <w:overflowPunct/>
        <w:textAlignment w:val="auto"/>
        <w:rPr>
          <w:rFonts w:cs="Arial"/>
          <w:color w:val="222222"/>
          <w:lang w:eastAsia="es-CO"/>
        </w:rPr>
      </w:pPr>
    </w:p>
    <w:p w14:paraId="622ACF55" w14:textId="080EB0E8" w:rsidR="00E93E41" w:rsidRPr="004E4C01" w:rsidRDefault="00E93E41" w:rsidP="009420F5">
      <w:pPr>
        <w:overflowPunct/>
        <w:textAlignment w:val="auto"/>
        <w:rPr>
          <w:rFonts w:cs="Arial"/>
          <w:color w:val="222222"/>
          <w:lang w:eastAsia="es-CO"/>
        </w:rPr>
      </w:pPr>
      <w:r w:rsidRPr="004E4C01">
        <w:rPr>
          <w:rFonts w:cs="Arial"/>
          <w:color w:val="222222"/>
          <w:lang w:eastAsia="es-CO"/>
        </w:rPr>
        <w:t xml:space="preserve">UNIDAD DE PLANIFICACIÓN RURAL AGROPECUARIA –UPRA. </w:t>
      </w:r>
      <w:r w:rsidRPr="004E4C01">
        <w:rPr>
          <w:rFonts w:cs="Arial"/>
          <w:iCs/>
          <w:color w:val="222222"/>
          <w:lang w:eastAsia="es-CO"/>
        </w:rPr>
        <w:t xml:space="preserve">Lineamientos para el ordenamiento territorial agropecuario. Anexo 1. Contenidos del componente rural de los POT: elementos para su comprensión – insumos para su formulación. </w:t>
      </w:r>
      <w:r w:rsidRPr="004E4C01">
        <w:rPr>
          <w:rFonts w:cs="Arial"/>
          <w:color w:val="222222"/>
          <w:lang w:eastAsia="es-CO"/>
        </w:rPr>
        <w:t>Bogotá (Colombia): UPRA, 2016. 47 p.</w:t>
      </w:r>
    </w:p>
    <w:p w14:paraId="36A561C3" w14:textId="01A45980" w:rsidR="002D4C5E" w:rsidRPr="004E4C01" w:rsidRDefault="002D4C5E" w:rsidP="009420F5">
      <w:pPr>
        <w:overflowPunct/>
        <w:textAlignment w:val="auto"/>
        <w:rPr>
          <w:rFonts w:cs="Arial"/>
          <w:color w:val="222222"/>
          <w:lang w:eastAsia="es-CO"/>
        </w:rPr>
      </w:pPr>
    </w:p>
    <w:p w14:paraId="190A26F2" w14:textId="57F6C37E" w:rsidR="002D4C5E" w:rsidRPr="004E4C01" w:rsidRDefault="002D4C5E" w:rsidP="002D4C5E">
      <w:pPr>
        <w:overflowPunct/>
        <w:textAlignment w:val="auto"/>
        <w:rPr>
          <w:rFonts w:cs="Arial"/>
          <w:color w:val="222222"/>
          <w:lang w:eastAsia="es-CO"/>
        </w:rPr>
      </w:pPr>
      <w:r w:rsidRPr="004E4C01">
        <w:rPr>
          <w:rFonts w:cs="Arial"/>
          <w:color w:val="222222"/>
          <w:lang w:eastAsia="es-CO"/>
        </w:rPr>
        <w:t xml:space="preserve">UNIDAD NACIONAL PARA LA GESTIÓN DEL RIESGO DE DESASTRES -UNGRD. Terminología sobre Gestión del Riesgo de Desastres y Fenómenos Amenazantes. Bogotá D. C.: UNGRD y Presidencia de la República, 2017. </w:t>
      </w:r>
      <w:r w:rsidR="005E1E02" w:rsidRPr="004E4C01">
        <w:rPr>
          <w:rFonts w:cs="Arial"/>
          <w:color w:val="222222"/>
          <w:lang w:eastAsia="es-CO"/>
        </w:rPr>
        <w:t>45</w:t>
      </w:r>
      <w:r w:rsidRPr="004E4C01">
        <w:rPr>
          <w:rFonts w:cs="Arial"/>
          <w:color w:val="222222"/>
          <w:lang w:eastAsia="es-CO"/>
        </w:rPr>
        <w:t xml:space="preserve"> p.</w:t>
      </w:r>
    </w:p>
    <w:p w14:paraId="14817D23" w14:textId="77777777" w:rsidR="00E93E41" w:rsidRPr="004E4C01" w:rsidRDefault="00E93E41" w:rsidP="0011329F">
      <w:pPr>
        <w:tabs>
          <w:tab w:val="left" w:pos="-2268"/>
        </w:tabs>
        <w:suppressAutoHyphens/>
        <w:rPr>
          <w:spacing w:val="-3"/>
        </w:rPr>
      </w:pPr>
    </w:p>
    <w:p w14:paraId="2F89590D" w14:textId="3BE843E8" w:rsidR="00545EF4" w:rsidRPr="00127BD4" w:rsidRDefault="00545EF4" w:rsidP="0011329F">
      <w:pPr>
        <w:tabs>
          <w:tab w:val="left" w:pos="-2268"/>
        </w:tabs>
        <w:suppressAutoHyphens/>
        <w:rPr>
          <w:spacing w:val="-3"/>
          <w:lang w:val="en-US"/>
        </w:rPr>
      </w:pPr>
      <w:r w:rsidRPr="004E4C01">
        <w:rPr>
          <w:spacing w:val="-3"/>
        </w:rPr>
        <w:t xml:space="preserve">UNIDAD NACIONAL PARA LA GESTIÓN DEL RIESGO DE DESASTRES COLOMBIA –UNGRD. Marco de política de reasentamiento. Plan todos somos Pazcifico, Tumaco y Guapi. </w:t>
      </w:r>
      <w:r w:rsidRPr="00127BD4">
        <w:rPr>
          <w:spacing w:val="-3"/>
          <w:lang w:val="en-US"/>
        </w:rPr>
        <w:t>UNGRD, 2015.</w:t>
      </w:r>
    </w:p>
    <w:p w14:paraId="3F9622AB" w14:textId="77777777" w:rsidR="00545EF4" w:rsidRPr="00127BD4" w:rsidRDefault="00545EF4" w:rsidP="0011329F">
      <w:pPr>
        <w:tabs>
          <w:tab w:val="left" w:pos="-2268"/>
        </w:tabs>
        <w:suppressAutoHyphens/>
        <w:rPr>
          <w:spacing w:val="-3"/>
          <w:lang w:val="en-US"/>
        </w:rPr>
      </w:pPr>
    </w:p>
    <w:p w14:paraId="1F60DFF9" w14:textId="77777777" w:rsidR="00E93E41" w:rsidRPr="006C00FC" w:rsidRDefault="00E93E41" w:rsidP="0011329F">
      <w:pPr>
        <w:tabs>
          <w:tab w:val="left" w:pos="-2268"/>
        </w:tabs>
        <w:suppressAutoHyphens/>
        <w:rPr>
          <w:spacing w:val="-3"/>
          <w:lang w:val="en-US"/>
        </w:rPr>
      </w:pPr>
      <w:r w:rsidRPr="006C00FC">
        <w:rPr>
          <w:spacing w:val="-3"/>
          <w:lang w:val="en-US"/>
        </w:rPr>
        <w:t>UNITED STATES DEPARTMENT OF AGRICULTURE –USDA. Landscape aesthetics: A handbook for scenery management. Agricultural Handbook 701. Washington: USDA, Forest Service, 1995.</w:t>
      </w:r>
    </w:p>
    <w:p w14:paraId="0E8CC688" w14:textId="77777777" w:rsidR="00E93E41" w:rsidRPr="006C00FC" w:rsidRDefault="00E93E41">
      <w:pPr>
        <w:tabs>
          <w:tab w:val="left" w:pos="-2268"/>
        </w:tabs>
        <w:suppressAutoHyphens/>
        <w:rPr>
          <w:rFonts w:cs="Arial"/>
          <w:spacing w:val="-3"/>
          <w:lang w:val="en-US"/>
        </w:rPr>
      </w:pPr>
    </w:p>
    <w:p w14:paraId="627D231B" w14:textId="77777777" w:rsidR="00E93E41" w:rsidRPr="004E4C01" w:rsidRDefault="00E93E41">
      <w:pPr>
        <w:tabs>
          <w:tab w:val="left" w:pos="-2268"/>
        </w:tabs>
        <w:suppressAutoHyphens/>
        <w:rPr>
          <w:spacing w:val="-3"/>
        </w:rPr>
      </w:pPr>
      <w:r w:rsidRPr="006C00FC">
        <w:rPr>
          <w:rFonts w:cs="Arial"/>
          <w:spacing w:val="-3"/>
          <w:lang w:val="en-US"/>
        </w:rPr>
        <w:t>URBINA-CARDONA, N., OLIVARES-PÉREZ, M. &amp; REYNOSO, V. Herpetofauna diversity</w:t>
      </w:r>
      <w:r w:rsidRPr="006C00FC">
        <w:rPr>
          <w:spacing w:val="-3"/>
          <w:lang w:val="en-US"/>
        </w:rPr>
        <w:t xml:space="preserve"> and microenvironment correlates across the pasture-edge-interior gradient in tropical rainforest fragments in the region of Los Tuxtlas, Veracruz. </w:t>
      </w:r>
      <w:r w:rsidRPr="00127BD4">
        <w:rPr>
          <w:spacing w:val="-3"/>
        </w:rPr>
        <w:t xml:space="preserve">Biological Conservation. </w:t>
      </w:r>
      <w:r w:rsidRPr="004E4C01">
        <w:rPr>
          <w:spacing w:val="-3"/>
        </w:rPr>
        <w:t>132 (2006); p. 61-75.</w:t>
      </w:r>
    </w:p>
    <w:p w14:paraId="18F562ED" w14:textId="77777777" w:rsidR="00E93E41" w:rsidRPr="004E4C01" w:rsidRDefault="00E93E41">
      <w:pPr>
        <w:tabs>
          <w:tab w:val="left" w:pos="-2268"/>
        </w:tabs>
        <w:suppressAutoHyphens/>
        <w:rPr>
          <w:rFonts w:cs="Arial"/>
        </w:rPr>
      </w:pPr>
    </w:p>
    <w:p w14:paraId="75B89FDE" w14:textId="77777777" w:rsidR="00E93E41" w:rsidRPr="006C00FC" w:rsidRDefault="00E93E41">
      <w:pPr>
        <w:tabs>
          <w:tab w:val="left" w:pos="-2268"/>
        </w:tabs>
        <w:suppressAutoHyphens/>
        <w:rPr>
          <w:rFonts w:cs="Arial"/>
          <w:lang w:val="en-US"/>
        </w:rPr>
      </w:pPr>
      <w:r w:rsidRPr="004E4C01">
        <w:rPr>
          <w:rFonts w:cs="Arial"/>
        </w:rPr>
        <w:t xml:space="preserve">VELÁSQUEZ, F., GONZÁLEZ, E., MARTÍNEZ, M., PEÑA, J., ARÉVALO, J., VARGAS, J. ¿Qué ha pasado con la participación ciudadana en Colombia? 2003- 2018. Tomo 1. El entorno de la participación. Bogotá D. C.: Fundación Foro Nacional por Colombia, 2020. </w:t>
      </w:r>
      <w:r w:rsidRPr="006C00FC">
        <w:rPr>
          <w:rFonts w:cs="Arial"/>
          <w:lang w:val="en-US"/>
        </w:rPr>
        <w:t>448 p.</w:t>
      </w:r>
    </w:p>
    <w:p w14:paraId="6324702A" w14:textId="77777777" w:rsidR="00E93E41" w:rsidRPr="006C00FC" w:rsidRDefault="00E93E41">
      <w:pPr>
        <w:tabs>
          <w:tab w:val="left" w:pos="-2268"/>
        </w:tabs>
        <w:suppressAutoHyphens/>
        <w:rPr>
          <w:spacing w:val="-3"/>
          <w:lang w:val="en-US"/>
        </w:rPr>
      </w:pPr>
    </w:p>
    <w:p w14:paraId="46D9F86A" w14:textId="77777777" w:rsidR="00E93E41" w:rsidRPr="004E4C01" w:rsidRDefault="00E93E41">
      <w:pPr>
        <w:tabs>
          <w:tab w:val="left" w:pos="-2268"/>
        </w:tabs>
        <w:suppressAutoHyphens/>
        <w:rPr>
          <w:spacing w:val="-3"/>
        </w:rPr>
      </w:pPr>
      <w:r w:rsidRPr="006C00FC">
        <w:rPr>
          <w:spacing w:val="-3"/>
          <w:lang w:val="en-US"/>
        </w:rPr>
        <w:t xml:space="preserve">VETTER, D., RÜCKER, G., &amp; STORCH, I. Meta-analysis: A need for well-defined usage in ecology and conservation biology. </w:t>
      </w:r>
      <w:r w:rsidRPr="004E4C01">
        <w:rPr>
          <w:spacing w:val="-3"/>
        </w:rPr>
        <w:t>Ecosphere. 4, 6 (2013). 74.</w:t>
      </w:r>
    </w:p>
    <w:p w14:paraId="3E3788DD" w14:textId="77777777" w:rsidR="00E93E41" w:rsidRPr="004E4C01" w:rsidRDefault="00E93E41">
      <w:pPr>
        <w:tabs>
          <w:tab w:val="left" w:pos="-2268"/>
        </w:tabs>
        <w:suppressAutoHyphens/>
        <w:rPr>
          <w:spacing w:val="-3"/>
        </w:rPr>
      </w:pPr>
    </w:p>
    <w:p w14:paraId="331BE296" w14:textId="20EF7CDA" w:rsidR="00E93E41" w:rsidRPr="006C00FC" w:rsidRDefault="00E93E41">
      <w:pPr>
        <w:tabs>
          <w:tab w:val="left" w:pos="-2268"/>
        </w:tabs>
        <w:suppressAutoHyphens/>
        <w:rPr>
          <w:spacing w:val="-3"/>
          <w:lang w:val="en-US"/>
        </w:rPr>
      </w:pPr>
      <w:r w:rsidRPr="004E4C01">
        <w:rPr>
          <w:spacing w:val="-3"/>
        </w:rPr>
        <w:t xml:space="preserve">VILLARREAL H., ÁLVAREZ, M., CÓRDOBA, S., ESCOBAR, F., FAGUA, G., GAST, F., MENDOZA, H., OSPINA, M., &amp; UMAÑA, A. Segunda edición. Manual de métodos para el desarrollo de inventarios de biodiversidad. Programa de Inventarios de Biodiversidad. </w:t>
      </w:r>
      <w:r w:rsidRPr="004E4C01">
        <w:rPr>
          <w:spacing w:val="-3"/>
        </w:rPr>
        <w:lastRenderedPageBreak/>
        <w:t>Bogotá: Instituto de Investigación de Recursos Biológicos Alexander von Humboldt, 200</w:t>
      </w:r>
      <w:r w:rsidR="00584905" w:rsidRPr="004E4C01">
        <w:rPr>
          <w:spacing w:val="-3"/>
        </w:rPr>
        <w:t>6</w:t>
      </w:r>
      <w:r w:rsidRPr="004E4C01">
        <w:rPr>
          <w:spacing w:val="-3"/>
        </w:rPr>
        <w:t xml:space="preserve">. </w:t>
      </w:r>
      <w:r w:rsidRPr="006C00FC">
        <w:rPr>
          <w:spacing w:val="-3"/>
          <w:lang w:val="en-US"/>
        </w:rPr>
        <w:t>236 p.</w:t>
      </w:r>
    </w:p>
    <w:p w14:paraId="6F1656FF" w14:textId="77777777" w:rsidR="002D05B3" w:rsidRPr="006C00FC" w:rsidRDefault="002D05B3">
      <w:pPr>
        <w:tabs>
          <w:tab w:val="left" w:pos="-2268"/>
        </w:tabs>
        <w:suppressAutoHyphens/>
        <w:rPr>
          <w:spacing w:val="-3"/>
          <w:lang w:val="en-US"/>
        </w:rPr>
      </w:pPr>
    </w:p>
    <w:p w14:paraId="397E2813" w14:textId="72FCA256" w:rsidR="002D05B3" w:rsidRPr="006C00FC" w:rsidRDefault="006A09A7">
      <w:pPr>
        <w:tabs>
          <w:tab w:val="left" w:pos="-2268"/>
        </w:tabs>
        <w:suppressAutoHyphens/>
        <w:rPr>
          <w:spacing w:val="-3"/>
          <w:lang w:val="en-US"/>
        </w:rPr>
      </w:pPr>
      <w:r w:rsidRPr="006C00FC">
        <w:rPr>
          <w:spacing w:val="-3"/>
          <w:lang w:val="en-US"/>
        </w:rPr>
        <w:t>WOLF</w:t>
      </w:r>
      <w:r w:rsidR="002D05B3" w:rsidRPr="006C00FC">
        <w:rPr>
          <w:spacing w:val="-3"/>
          <w:lang w:val="en-US"/>
        </w:rPr>
        <w:t>, J. Epiphyte communities of tropical montane rain forest in the northern Andes II. Uper montane communities. Phytocoenologia. 22</w:t>
      </w:r>
      <w:r w:rsidRPr="006C00FC">
        <w:rPr>
          <w:spacing w:val="-3"/>
          <w:lang w:val="en-US"/>
        </w:rPr>
        <w:t xml:space="preserve"> (1993);</w:t>
      </w:r>
      <w:r w:rsidR="002D05B3" w:rsidRPr="006C00FC">
        <w:rPr>
          <w:spacing w:val="-3"/>
          <w:lang w:val="en-US"/>
        </w:rPr>
        <w:t xml:space="preserve"> 53-103.</w:t>
      </w:r>
    </w:p>
    <w:p w14:paraId="038A2B84" w14:textId="77777777" w:rsidR="00E93E41" w:rsidRPr="006C00FC" w:rsidRDefault="00E93E41">
      <w:pPr>
        <w:tabs>
          <w:tab w:val="left" w:pos="-2268"/>
        </w:tabs>
        <w:suppressAutoHyphens/>
        <w:rPr>
          <w:spacing w:val="-3"/>
          <w:lang w:val="en-US"/>
        </w:rPr>
      </w:pPr>
    </w:p>
    <w:p w14:paraId="061D92FC" w14:textId="77777777" w:rsidR="00E93E41" w:rsidRPr="00BD67E0" w:rsidRDefault="00E93E41">
      <w:pPr>
        <w:tabs>
          <w:tab w:val="left" w:pos="-2268"/>
        </w:tabs>
        <w:suppressAutoHyphens/>
        <w:rPr>
          <w:spacing w:val="-3"/>
        </w:rPr>
      </w:pPr>
      <w:r w:rsidRPr="006C00FC">
        <w:rPr>
          <w:spacing w:val="-3"/>
          <w:lang w:val="en-US"/>
        </w:rPr>
        <w:t xml:space="preserve">YOTSUKURA, N., &amp; COBB, E. Transverse diffusion of solutes in natural streams. Geological Survey Professional Paper 582-C. Washington: United States Government Printing Office, 1972. </w:t>
      </w:r>
      <w:r w:rsidRPr="00BD67E0">
        <w:rPr>
          <w:spacing w:val="-3"/>
        </w:rPr>
        <w:t>19 p.</w:t>
      </w:r>
    </w:p>
    <w:p w14:paraId="54FCCD7E" w14:textId="77777777" w:rsidR="00E93E41" w:rsidRPr="00BD67E0" w:rsidRDefault="00E93E41">
      <w:pPr>
        <w:tabs>
          <w:tab w:val="left" w:pos="-2268"/>
        </w:tabs>
        <w:suppressAutoHyphens/>
        <w:overflowPunct/>
        <w:autoSpaceDE/>
        <w:autoSpaceDN/>
        <w:adjustRightInd/>
        <w:textAlignment w:val="auto"/>
        <w:rPr>
          <w:spacing w:val="-3"/>
        </w:rPr>
      </w:pPr>
    </w:p>
    <w:p w14:paraId="379C6FDD" w14:textId="77777777" w:rsidR="00E93E41" w:rsidRPr="004E4C01" w:rsidRDefault="00E93E41">
      <w:pPr>
        <w:tabs>
          <w:tab w:val="left" w:pos="-2268"/>
        </w:tabs>
        <w:suppressAutoHyphens/>
        <w:overflowPunct/>
        <w:autoSpaceDE/>
        <w:autoSpaceDN/>
        <w:adjustRightInd/>
        <w:textAlignment w:val="auto"/>
        <w:rPr>
          <w:spacing w:val="-3"/>
        </w:rPr>
      </w:pPr>
      <w:r w:rsidRPr="004E4C01">
        <w:rPr>
          <w:spacing w:val="-3"/>
        </w:rPr>
        <w:t>ZAPATA, L. &amp; USMA J. (Eds.). Guía de las especies migratorias de la biodiversidad en Colombia. Peces. Vol. 2. Bogotá, D.C. Colombia: Ministerio de Ambiente y Desarrollo Sostenible, WWF-Colombia, 2013. 486 p.</w:t>
      </w:r>
    </w:p>
    <w:p w14:paraId="6F8463D2" w14:textId="77777777" w:rsidR="00E93E41" w:rsidRPr="004E4C01" w:rsidRDefault="00E93E41" w:rsidP="00E93E41">
      <w:pPr>
        <w:overflowPunct/>
        <w:autoSpaceDE/>
        <w:autoSpaceDN/>
        <w:adjustRightInd/>
        <w:textAlignment w:val="auto"/>
        <w:rPr>
          <w:spacing w:val="-3"/>
        </w:rPr>
      </w:pPr>
    </w:p>
    <w:p w14:paraId="522AF105" w14:textId="01E9B5EA" w:rsidR="000339A1" w:rsidRPr="004E4C01" w:rsidRDefault="00E93E41" w:rsidP="009420F5">
      <w:pPr>
        <w:overflowPunct/>
        <w:autoSpaceDE/>
        <w:autoSpaceDN/>
        <w:adjustRightInd/>
        <w:textAlignment w:val="auto"/>
        <w:rPr>
          <w:spacing w:val="-3"/>
        </w:rPr>
      </w:pPr>
      <w:r w:rsidRPr="004E4C01">
        <w:rPr>
          <w:spacing w:val="-3"/>
        </w:rPr>
        <w:t>ZURBRIGGEN, C. Gobernanza: una mirada desde América Latina. Perfiles Latinoamericanos. 38 (2011); p. 39-64.</w:t>
      </w:r>
      <w:r w:rsidR="000339A1" w:rsidRPr="004E4C01">
        <w:rPr>
          <w:spacing w:val="-3"/>
        </w:rPr>
        <w:br w:type="page"/>
      </w:r>
    </w:p>
    <w:p w14:paraId="0DB683A9" w14:textId="02A78A56" w:rsidR="007D6428" w:rsidRPr="004E4C01" w:rsidRDefault="007D6428" w:rsidP="007D6428">
      <w:pPr>
        <w:pStyle w:val="Captulosinnumero"/>
        <w:rPr>
          <w:lang w:val="es-CO"/>
        </w:rPr>
      </w:pPr>
      <w:bookmarkStart w:id="11448" w:name="_Toc230879726"/>
      <w:r w:rsidRPr="004E4C01">
        <w:rPr>
          <w:lang w:val="es-CO"/>
        </w:rPr>
        <w:lastRenderedPageBreak/>
        <w:t xml:space="preserve">REFERENCIAS </w:t>
      </w:r>
      <w:r w:rsidR="002B1BEA" w:rsidRPr="004E4C01">
        <w:rPr>
          <w:lang w:val="es-CO"/>
        </w:rPr>
        <w:t xml:space="preserve">DE </w:t>
      </w:r>
      <w:r w:rsidRPr="004E4C01">
        <w:rPr>
          <w:lang w:val="es-CO"/>
        </w:rPr>
        <w:t xml:space="preserve">MÉTODOS </w:t>
      </w:r>
      <w:r w:rsidR="00AA07CC" w:rsidRPr="004E4C01">
        <w:rPr>
          <w:lang w:val="es-CO"/>
        </w:rPr>
        <w:t>DE EVALUACIÓN MULTICRITERIO</w:t>
      </w:r>
      <w:bookmarkEnd w:id="11448"/>
    </w:p>
    <w:p w14:paraId="02492BFC" w14:textId="77777777" w:rsidR="007D6428" w:rsidRPr="004E4C01" w:rsidRDefault="007D6428" w:rsidP="007D6428">
      <w:pPr>
        <w:overflowPunct/>
        <w:autoSpaceDE/>
        <w:autoSpaceDN/>
        <w:adjustRightInd/>
        <w:textAlignment w:val="auto"/>
        <w:rPr>
          <w:spacing w:val="-3"/>
        </w:rPr>
      </w:pPr>
    </w:p>
    <w:p w14:paraId="278268A1" w14:textId="336DAA72" w:rsidR="007D6428" w:rsidRPr="004E4C01" w:rsidRDefault="007D6428" w:rsidP="007D6428">
      <w:pPr>
        <w:overflowPunct/>
        <w:autoSpaceDE/>
        <w:autoSpaceDN/>
        <w:adjustRightInd/>
        <w:textAlignment w:val="auto"/>
        <w:rPr>
          <w:spacing w:val="-3"/>
        </w:rPr>
      </w:pPr>
      <w:r w:rsidRPr="004E4C01">
        <w:rPr>
          <w:spacing w:val="-3"/>
        </w:rPr>
        <w:t xml:space="preserve">A continuación, se listan los documentos que Guitouni &amp; Martel (1998) citan como referencias y en los cuales es posible encontrar información detallada sobre los procedimientos de agregación de preferencias de los métodos de EMC señalados en la </w:t>
      </w:r>
      <w:r w:rsidR="009C61CC" w:rsidRPr="004E4C01">
        <w:rPr>
          <w:spacing w:val="-3"/>
        </w:rPr>
        <w:fldChar w:fldCharType="begin"/>
      </w:r>
      <w:r w:rsidR="009C61CC" w:rsidRPr="004E4C01">
        <w:rPr>
          <w:spacing w:val="-3"/>
        </w:rPr>
        <w:instrText xml:space="preserve"> REF _Ref138759265 \h </w:instrText>
      </w:r>
      <w:r w:rsidR="00BD1319" w:rsidRPr="004E4C01">
        <w:rPr>
          <w:spacing w:val="-3"/>
        </w:rPr>
        <w:instrText xml:space="preserve"> \* MERGEFORMAT </w:instrText>
      </w:r>
      <w:r w:rsidR="009C61CC" w:rsidRPr="004E4C01">
        <w:rPr>
          <w:spacing w:val="-3"/>
        </w:rPr>
      </w:r>
      <w:r w:rsidR="009C61CC" w:rsidRPr="004E4C01">
        <w:rPr>
          <w:spacing w:val="-3"/>
        </w:rPr>
        <w:fldChar w:fldCharType="separate"/>
      </w:r>
      <w:r w:rsidR="009C4A81" w:rsidRPr="004068F6">
        <w:t xml:space="preserve">Tabla </w:t>
      </w:r>
      <w:r w:rsidR="009C4A81">
        <w:t>14</w:t>
      </w:r>
      <w:r w:rsidR="009C61CC" w:rsidRPr="004E4C01">
        <w:rPr>
          <w:spacing w:val="-3"/>
        </w:rPr>
        <w:fldChar w:fldCharType="end"/>
      </w:r>
      <w:r w:rsidRPr="004E4C01">
        <w:rPr>
          <w:spacing w:val="-3"/>
        </w:rPr>
        <w:t xml:space="preserve"> (ver columna 15):</w:t>
      </w:r>
    </w:p>
    <w:p w14:paraId="269EE8C2" w14:textId="77777777" w:rsidR="007D6428" w:rsidRPr="004E4C01" w:rsidRDefault="007D6428" w:rsidP="007D6428">
      <w:pPr>
        <w:overflowPunct/>
        <w:autoSpaceDE/>
        <w:autoSpaceDN/>
        <w:adjustRightInd/>
        <w:textAlignment w:val="auto"/>
        <w:rPr>
          <w:spacing w:val="-3"/>
        </w:rPr>
      </w:pPr>
    </w:p>
    <w:p w14:paraId="6BA864FE" w14:textId="631BE609" w:rsidR="004C7C58" w:rsidRPr="004E4C01" w:rsidRDefault="006B5FEA" w:rsidP="00511F41">
      <w:pPr>
        <w:numPr>
          <w:ilvl w:val="0"/>
          <w:numId w:val="672"/>
        </w:numPr>
        <w:overflowPunct/>
        <w:autoSpaceDE/>
        <w:autoSpaceDN/>
        <w:adjustRightInd/>
        <w:ind w:left="567" w:hanging="567"/>
        <w:textAlignment w:val="auto"/>
        <w:rPr>
          <w:spacing w:val="-3"/>
        </w:rPr>
      </w:pPr>
      <w:r w:rsidRPr="006C00FC">
        <w:rPr>
          <w:spacing w:val="-3"/>
          <w:lang w:val="en-US"/>
        </w:rPr>
        <w:t>BAAS, S., KWAKERNAAK</w:t>
      </w:r>
      <w:r w:rsidR="004C7C58" w:rsidRPr="006C00FC">
        <w:rPr>
          <w:spacing w:val="-3"/>
          <w:lang w:val="en-US"/>
        </w:rPr>
        <w:t xml:space="preserve">, H. Rating and ranking of multiple aspect alternative using fuzzy sets. </w:t>
      </w:r>
      <w:r w:rsidR="004C7C58" w:rsidRPr="004E4C01">
        <w:rPr>
          <w:spacing w:val="-3"/>
        </w:rPr>
        <w:t>Automatica 13 (1977); p 47–58.</w:t>
      </w:r>
    </w:p>
    <w:p w14:paraId="36375138" w14:textId="323E7BED" w:rsidR="004C7C58" w:rsidRPr="004E4C01" w:rsidRDefault="006B5FEA" w:rsidP="00511F41">
      <w:pPr>
        <w:numPr>
          <w:ilvl w:val="0"/>
          <w:numId w:val="672"/>
        </w:numPr>
        <w:overflowPunct/>
        <w:autoSpaceDE/>
        <w:autoSpaceDN/>
        <w:adjustRightInd/>
        <w:ind w:left="567" w:hanging="567"/>
        <w:textAlignment w:val="auto"/>
        <w:rPr>
          <w:spacing w:val="-3"/>
        </w:rPr>
      </w:pPr>
      <w:r w:rsidRPr="006C00FC">
        <w:rPr>
          <w:spacing w:val="-3"/>
          <w:lang w:val="en-US"/>
        </w:rPr>
        <w:t>BELLMAN, R. &amp; ZADEH</w:t>
      </w:r>
      <w:r w:rsidR="004C7C58" w:rsidRPr="006C00FC">
        <w:rPr>
          <w:spacing w:val="-3"/>
          <w:lang w:val="en-US"/>
        </w:rPr>
        <w:t xml:space="preserve">, L. Decision making in a fuzzy environment. </w:t>
      </w:r>
      <w:r w:rsidR="004C7C58" w:rsidRPr="004E4C01">
        <w:rPr>
          <w:spacing w:val="-3"/>
        </w:rPr>
        <w:t>Management Sci. 17B, 4 (1970): p 141–164.</w:t>
      </w:r>
    </w:p>
    <w:p w14:paraId="0333AF62" w14:textId="77924295" w:rsidR="004C7C58" w:rsidRPr="00127BD4" w:rsidRDefault="006B5FEA" w:rsidP="00511F41">
      <w:pPr>
        <w:numPr>
          <w:ilvl w:val="0"/>
          <w:numId w:val="672"/>
        </w:numPr>
        <w:overflowPunct/>
        <w:autoSpaceDE/>
        <w:autoSpaceDN/>
        <w:adjustRightInd/>
        <w:ind w:left="567" w:hanging="567"/>
        <w:textAlignment w:val="auto"/>
        <w:rPr>
          <w:spacing w:val="-3"/>
        </w:rPr>
      </w:pPr>
      <w:r w:rsidRPr="006C00FC">
        <w:rPr>
          <w:spacing w:val="-3"/>
          <w:lang w:val="en-US"/>
        </w:rPr>
        <w:t xml:space="preserve">BRANS, J., VINCKE, </w:t>
      </w:r>
      <w:r w:rsidR="004C7C58" w:rsidRPr="006C00FC">
        <w:rPr>
          <w:spacing w:val="-3"/>
          <w:lang w:val="en-US"/>
        </w:rPr>
        <w:t xml:space="preserve">P. A preference ranking organisation method (the PROMETHEE method for multiple criteria decision-making). </w:t>
      </w:r>
      <w:r w:rsidR="004C7C58" w:rsidRPr="00127BD4">
        <w:rPr>
          <w:spacing w:val="-3"/>
        </w:rPr>
        <w:t>Management Sci. 31, 6 (1985); p 647– 656.</w:t>
      </w:r>
    </w:p>
    <w:p w14:paraId="70DBF480" w14:textId="7BEFF777" w:rsidR="004C7C58" w:rsidRPr="004E4C01" w:rsidRDefault="006B5FEA" w:rsidP="00511F41">
      <w:pPr>
        <w:numPr>
          <w:ilvl w:val="0"/>
          <w:numId w:val="672"/>
        </w:numPr>
        <w:overflowPunct/>
        <w:autoSpaceDE/>
        <w:autoSpaceDN/>
        <w:adjustRightInd/>
        <w:ind w:left="567" w:hanging="567"/>
        <w:textAlignment w:val="auto"/>
        <w:rPr>
          <w:spacing w:val="-3"/>
        </w:rPr>
      </w:pPr>
      <w:r w:rsidRPr="006C00FC">
        <w:rPr>
          <w:spacing w:val="-3"/>
          <w:lang w:val="en-US"/>
        </w:rPr>
        <w:t>BRANS, J., MARESCHAL, B., VINCKE</w:t>
      </w:r>
      <w:r w:rsidR="004C7C58" w:rsidRPr="006C00FC">
        <w:rPr>
          <w:spacing w:val="-3"/>
          <w:lang w:val="en-US"/>
        </w:rPr>
        <w:t xml:space="preserve">, </w:t>
      </w:r>
      <w:r w:rsidR="00511F41" w:rsidRPr="006C00FC">
        <w:rPr>
          <w:spacing w:val="-3"/>
          <w:lang w:val="en-US"/>
        </w:rPr>
        <w:t xml:space="preserve">P. </w:t>
      </w:r>
      <w:r w:rsidR="004C7C58" w:rsidRPr="006C00FC">
        <w:rPr>
          <w:spacing w:val="-3"/>
          <w:lang w:val="en-US"/>
        </w:rPr>
        <w:t>PROMETHEE: A new family of outranking methods in multicriteria analysis</w:t>
      </w:r>
      <w:r w:rsidR="00511F41" w:rsidRPr="006C00FC">
        <w:rPr>
          <w:spacing w:val="-3"/>
          <w:lang w:val="en-US"/>
        </w:rPr>
        <w:t>.</w:t>
      </w:r>
      <w:r w:rsidR="004C7C58" w:rsidRPr="006C00FC">
        <w:rPr>
          <w:spacing w:val="-3"/>
          <w:lang w:val="en-US"/>
        </w:rPr>
        <w:t xml:space="preserve"> </w:t>
      </w:r>
      <w:r w:rsidR="00511F41" w:rsidRPr="00127BD4">
        <w:rPr>
          <w:spacing w:val="-3"/>
        </w:rPr>
        <w:t>E</w:t>
      </w:r>
      <w:r w:rsidR="004C7C58" w:rsidRPr="00127BD4">
        <w:rPr>
          <w:spacing w:val="-3"/>
        </w:rPr>
        <w:t xml:space="preserve">n: </w:t>
      </w:r>
      <w:r w:rsidR="00511F41" w:rsidRPr="00127BD4">
        <w:rPr>
          <w:spacing w:val="-3"/>
        </w:rPr>
        <w:t xml:space="preserve">BRANS, J. </w:t>
      </w:r>
      <w:r w:rsidR="004C7C58" w:rsidRPr="00127BD4">
        <w:rPr>
          <w:spacing w:val="-3"/>
        </w:rPr>
        <w:t>(Ed.)</w:t>
      </w:r>
      <w:r w:rsidR="00511F41" w:rsidRPr="00127BD4">
        <w:rPr>
          <w:spacing w:val="-3"/>
        </w:rPr>
        <w:t>.</w:t>
      </w:r>
      <w:r w:rsidR="004C7C58" w:rsidRPr="00127BD4">
        <w:rPr>
          <w:spacing w:val="-3"/>
        </w:rPr>
        <w:t xml:space="preserve"> </w:t>
      </w:r>
      <w:r w:rsidR="004C7C58" w:rsidRPr="004E4C01">
        <w:rPr>
          <w:spacing w:val="-3"/>
        </w:rPr>
        <w:t>Operational Research’84</w:t>
      </w:r>
      <w:r w:rsidR="00511F41" w:rsidRPr="004E4C01">
        <w:rPr>
          <w:spacing w:val="-3"/>
        </w:rPr>
        <w:t>.</w:t>
      </w:r>
      <w:r w:rsidR="004C7C58" w:rsidRPr="004E4C01">
        <w:rPr>
          <w:spacing w:val="-3"/>
        </w:rPr>
        <w:t xml:space="preserve"> Amsterdam</w:t>
      </w:r>
      <w:r w:rsidR="00511F41" w:rsidRPr="004E4C01">
        <w:rPr>
          <w:spacing w:val="-3"/>
        </w:rPr>
        <w:t>: Elsevier</w:t>
      </w:r>
      <w:r w:rsidR="004C7C58" w:rsidRPr="004E4C01">
        <w:rPr>
          <w:spacing w:val="-3"/>
        </w:rPr>
        <w:t>, 1984, p. 408–421.</w:t>
      </w:r>
    </w:p>
    <w:p w14:paraId="413FD1A8" w14:textId="09D8C21B" w:rsidR="004C7C58" w:rsidRPr="004E4C01" w:rsidRDefault="006B5FEA" w:rsidP="00511F41">
      <w:pPr>
        <w:numPr>
          <w:ilvl w:val="0"/>
          <w:numId w:val="672"/>
        </w:numPr>
        <w:overflowPunct/>
        <w:autoSpaceDE/>
        <w:autoSpaceDN/>
        <w:adjustRightInd/>
        <w:ind w:left="567" w:hanging="567"/>
        <w:textAlignment w:val="auto"/>
        <w:rPr>
          <w:spacing w:val="-3"/>
        </w:rPr>
      </w:pPr>
      <w:r w:rsidRPr="006C00FC">
        <w:rPr>
          <w:spacing w:val="-3"/>
          <w:lang w:val="en-US"/>
        </w:rPr>
        <w:t>BUNN</w:t>
      </w:r>
      <w:r w:rsidR="004C7C58" w:rsidRPr="006C00FC">
        <w:rPr>
          <w:spacing w:val="-3"/>
          <w:lang w:val="en-US"/>
        </w:rPr>
        <w:t xml:space="preserve">, </w:t>
      </w:r>
      <w:r w:rsidR="004E574B" w:rsidRPr="006C00FC">
        <w:rPr>
          <w:spacing w:val="-3"/>
          <w:lang w:val="en-US"/>
        </w:rPr>
        <w:t xml:space="preserve">D. </w:t>
      </w:r>
      <w:r w:rsidR="004C7C58" w:rsidRPr="006C00FC">
        <w:rPr>
          <w:spacing w:val="-3"/>
          <w:lang w:val="en-US"/>
        </w:rPr>
        <w:t>Applied Decision Analysis</w:t>
      </w:r>
      <w:r w:rsidR="004E574B" w:rsidRPr="006C00FC">
        <w:rPr>
          <w:spacing w:val="-3"/>
          <w:lang w:val="en-US"/>
        </w:rPr>
        <w:t>.</w:t>
      </w:r>
      <w:r w:rsidR="004C7C58" w:rsidRPr="006C00FC">
        <w:rPr>
          <w:spacing w:val="-3"/>
          <w:lang w:val="en-US"/>
        </w:rPr>
        <w:t xml:space="preserve"> </w:t>
      </w:r>
      <w:r w:rsidR="004C7C58" w:rsidRPr="004E4C01">
        <w:rPr>
          <w:spacing w:val="-3"/>
        </w:rPr>
        <w:t>New York</w:t>
      </w:r>
      <w:r w:rsidR="004E574B" w:rsidRPr="004E4C01">
        <w:rPr>
          <w:spacing w:val="-3"/>
        </w:rPr>
        <w:t>: McGraw Hill,</w:t>
      </w:r>
      <w:r w:rsidR="004C7C58" w:rsidRPr="004E4C01">
        <w:rPr>
          <w:spacing w:val="-3"/>
        </w:rPr>
        <w:t xml:space="preserve"> 1984.</w:t>
      </w:r>
    </w:p>
    <w:p w14:paraId="485AEDE0" w14:textId="202B0FD8" w:rsidR="004C7C58" w:rsidRPr="004E4C01" w:rsidRDefault="006B5FEA" w:rsidP="00511F41">
      <w:pPr>
        <w:numPr>
          <w:ilvl w:val="0"/>
          <w:numId w:val="672"/>
        </w:numPr>
        <w:overflowPunct/>
        <w:autoSpaceDE/>
        <w:autoSpaceDN/>
        <w:adjustRightInd/>
        <w:ind w:left="567" w:hanging="567"/>
        <w:textAlignment w:val="auto"/>
        <w:rPr>
          <w:spacing w:val="-3"/>
        </w:rPr>
      </w:pPr>
      <w:r w:rsidRPr="006C00FC">
        <w:rPr>
          <w:spacing w:val="-3"/>
          <w:lang w:val="en-US"/>
        </w:rPr>
        <w:t>CHEN, S., HWANG</w:t>
      </w:r>
      <w:r w:rsidR="004C7C58" w:rsidRPr="006C00FC">
        <w:rPr>
          <w:spacing w:val="-3"/>
          <w:lang w:val="en-US"/>
        </w:rPr>
        <w:t xml:space="preserve">, </w:t>
      </w:r>
      <w:r w:rsidR="004E574B" w:rsidRPr="006C00FC">
        <w:rPr>
          <w:spacing w:val="-3"/>
          <w:lang w:val="en-US"/>
        </w:rPr>
        <w:t xml:space="preserve">C. </w:t>
      </w:r>
      <w:r w:rsidR="004C7C58" w:rsidRPr="006C00FC">
        <w:rPr>
          <w:spacing w:val="-3"/>
          <w:lang w:val="en-US"/>
        </w:rPr>
        <w:t>Fuzzy Multiple Attribute Decision Making: Methods and Applications</w:t>
      </w:r>
      <w:r w:rsidR="004E574B" w:rsidRPr="006C00FC">
        <w:rPr>
          <w:spacing w:val="-3"/>
          <w:lang w:val="en-US"/>
        </w:rPr>
        <w:t>.</w:t>
      </w:r>
      <w:r w:rsidR="004C7C58" w:rsidRPr="006C00FC">
        <w:rPr>
          <w:spacing w:val="-3"/>
          <w:lang w:val="en-US"/>
        </w:rPr>
        <w:t xml:space="preserve"> </w:t>
      </w:r>
      <w:r w:rsidR="004C7C58" w:rsidRPr="004E4C01">
        <w:rPr>
          <w:spacing w:val="-3"/>
        </w:rPr>
        <w:t>Berlin</w:t>
      </w:r>
      <w:r w:rsidR="004E574B" w:rsidRPr="004E4C01">
        <w:rPr>
          <w:spacing w:val="-3"/>
        </w:rPr>
        <w:t>: Springer</w:t>
      </w:r>
      <w:r w:rsidR="004C7C58" w:rsidRPr="004E4C01">
        <w:rPr>
          <w:spacing w:val="-3"/>
        </w:rPr>
        <w:t>, 1992.</w:t>
      </w:r>
    </w:p>
    <w:p w14:paraId="63648E07" w14:textId="4520CC2D" w:rsidR="004C7C58" w:rsidRPr="006C00FC" w:rsidRDefault="006B5FEA" w:rsidP="00511F41">
      <w:pPr>
        <w:numPr>
          <w:ilvl w:val="0"/>
          <w:numId w:val="672"/>
        </w:numPr>
        <w:overflowPunct/>
        <w:autoSpaceDE/>
        <w:autoSpaceDN/>
        <w:adjustRightInd/>
        <w:ind w:left="567" w:hanging="567"/>
        <w:textAlignment w:val="auto"/>
        <w:rPr>
          <w:spacing w:val="-3"/>
          <w:lang w:val="en-US"/>
        </w:rPr>
      </w:pPr>
      <w:r w:rsidRPr="006C00FC">
        <w:rPr>
          <w:spacing w:val="-3"/>
          <w:lang w:val="en-US"/>
        </w:rPr>
        <w:t>CHURCHMAN, C., ACKOFF</w:t>
      </w:r>
      <w:r w:rsidR="004C7C58" w:rsidRPr="006C00FC">
        <w:rPr>
          <w:spacing w:val="-3"/>
          <w:lang w:val="en-US"/>
        </w:rPr>
        <w:t xml:space="preserve">, </w:t>
      </w:r>
      <w:r w:rsidR="003C60ED" w:rsidRPr="006C00FC">
        <w:rPr>
          <w:spacing w:val="-3"/>
          <w:lang w:val="en-US"/>
        </w:rPr>
        <w:t xml:space="preserve">R. </w:t>
      </w:r>
      <w:r w:rsidR="004C7C58" w:rsidRPr="006C00FC">
        <w:rPr>
          <w:spacing w:val="-3"/>
          <w:lang w:val="en-US"/>
        </w:rPr>
        <w:t>An approximate measure of value</w:t>
      </w:r>
      <w:r w:rsidR="003C60ED" w:rsidRPr="006C00FC">
        <w:rPr>
          <w:spacing w:val="-3"/>
          <w:lang w:val="en-US"/>
        </w:rPr>
        <w:t>.</w:t>
      </w:r>
      <w:r w:rsidR="004C7C58" w:rsidRPr="006C00FC">
        <w:rPr>
          <w:spacing w:val="-3"/>
          <w:lang w:val="en-US"/>
        </w:rPr>
        <w:t xml:space="preserve"> J. Oper. Res. Soc. Am. 2 (1954)</w:t>
      </w:r>
      <w:r w:rsidR="003C60ED" w:rsidRPr="006C00FC">
        <w:rPr>
          <w:spacing w:val="-3"/>
          <w:lang w:val="en-US"/>
        </w:rPr>
        <w:t>;</w:t>
      </w:r>
      <w:r w:rsidR="004C7C58" w:rsidRPr="006C00FC">
        <w:rPr>
          <w:spacing w:val="-3"/>
          <w:lang w:val="en-US"/>
        </w:rPr>
        <w:t xml:space="preserve"> </w:t>
      </w:r>
      <w:r w:rsidR="003C60ED" w:rsidRPr="006C00FC">
        <w:rPr>
          <w:spacing w:val="-3"/>
          <w:lang w:val="en-US"/>
        </w:rPr>
        <w:t xml:space="preserve">p </w:t>
      </w:r>
      <w:r w:rsidR="004C7C58" w:rsidRPr="006C00FC">
        <w:rPr>
          <w:spacing w:val="-3"/>
          <w:lang w:val="en-US"/>
        </w:rPr>
        <w:t>172–187.</w:t>
      </w:r>
    </w:p>
    <w:p w14:paraId="23A992B6" w14:textId="5F6DEEEA" w:rsidR="004C7C58" w:rsidRPr="006C00FC" w:rsidRDefault="006B5FEA" w:rsidP="00511F41">
      <w:pPr>
        <w:numPr>
          <w:ilvl w:val="0"/>
          <w:numId w:val="672"/>
        </w:numPr>
        <w:overflowPunct/>
        <w:autoSpaceDE/>
        <w:autoSpaceDN/>
        <w:adjustRightInd/>
        <w:ind w:left="567" w:hanging="567"/>
        <w:textAlignment w:val="auto"/>
        <w:rPr>
          <w:spacing w:val="-3"/>
          <w:lang w:val="en-US"/>
        </w:rPr>
      </w:pPr>
      <w:r w:rsidRPr="006C00FC">
        <w:rPr>
          <w:spacing w:val="-3"/>
          <w:lang w:val="en-US"/>
        </w:rPr>
        <w:t>DUBOIS, D., PRADE</w:t>
      </w:r>
      <w:r w:rsidR="004C7C58" w:rsidRPr="006C00FC">
        <w:rPr>
          <w:spacing w:val="-3"/>
          <w:lang w:val="en-US"/>
        </w:rPr>
        <w:t>,</w:t>
      </w:r>
      <w:r w:rsidR="00185E17" w:rsidRPr="006C00FC">
        <w:rPr>
          <w:spacing w:val="-3"/>
          <w:lang w:val="en-US"/>
        </w:rPr>
        <w:t xml:space="preserve"> H.</w:t>
      </w:r>
      <w:r w:rsidR="004C7C58" w:rsidRPr="006C00FC">
        <w:rPr>
          <w:spacing w:val="-3"/>
          <w:lang w:val="en-US"/>
        </w:rPr>
        <w:t xml:space="preserve"> The use of fuzzy numbers in decision analysis</w:t>
      </w:r>
      <w:r w:rsidR="00185E17" w:rsidRPr="006C00FC">
        <w:rPr>
          <w:spacing w:val="-3"/>
          <w:lang w:val="en-US"/>
        </w:rPr>
        <w:t>.</w:t>
      </w:r>
      <w:r w:rsidR="004C7C58" w:rsidRPr="006C00FC">
        <w:rPr>
          <w:spacing w:val="-3"/>
          <w:lang w:val="en-US"/>
        </w:rPr>
        <w:t xml:space="preserve"> </w:t>
      </w:r>
      <w:r w:rsidR="00185E17" w:rsidRPr="006C00FC">
        <w:rPr>
          <w:spacing w:val="-3"/>
          <w:lang w:val="en-US"/>
        </w:rPr>
        <w:t>E</w:t>
      </w:r>
      <w:r w:rsidR="004C7C58" w:rsidRPr="006C00FC">
        <w:rPr>
          <w:spacing w:val="-3"/>
          <w:lang w:val="en-US"/>
        </w:rPr>
        <w:t xml:space="preserve">n: </w:t>
      </w:r>
      <w:r w:rsidRPr="006C00FC">
        <w:rPr>
          <w:spacing w:val="-3"/>
          <w:lang w:val="en-US"/>
        </w:rPr>
        <w:t>GUPTA, M. SANCHEZ</w:t>
      </w:r>
      <w:r w:rsidR="00185E17" w:rsidRPr="006C00FC">
        <w:rPr>
          <w:spacing w:val="-3"/>
          <w:lang w:val="en-US"/>
        </w:rPr>
        <w:t>, E.</w:t>
      </w:r>
      <w:r w:rsidR="004C7C58" w:rsidRPr="006C00FC">
        <w:rPr>
          <w:spacing w:val="-3"/>
          <w:lang w:val="en-US"/>
        </w:rPr>
        <w:t xml:space="preserve"> (Eds.)</w:t>
      </w:r>
      <w:r w:rsidR="00185E17" w:rsidRPr="006C00FC">
        <w:rPr>
          <w:spacing w:val="-3"/>
          <w:lang w:val="en-US"/>
        </w:rPr>
        <w:t>.</w:t>
      </w:r>
      <w:r w:rsidR="004C7C58" w:rsidRPr="006C00FC">
        <w:rPr>
          <w:spacing w:val="-3"/>
          <w:lang w:val="en-US"/>
        </w:rPr>
        <w:t xml:space="preserve"> Fuzzy Information and Decision Processes</w:t>
      </w:r>
      <w:r w:rsidR="00B1120A" w:rsidRPr="006C00FC">
        <w:rPr>
          <w:spacing w:val="-3"/>
          <w:lang w:val="en-US"/>
        </w:rPr>
        <w:t>.</w:t>
      </w:r>
      <w:r w:rsidR="004C7C58" w:rsidRPr="006C00FC">
        <w:rPr>
          <w:spacing w:val="-3"/>
          <w:lang w:val="en-US"/>
        </w:rPr>
        <w:t xml:space="preserve"> Amsterdam</w:t>
      </w:r>
      <w:r w:rsidR="00B1120A" w:rsidRPr="006C00FC">
        <w:rPr>
          <w:spacing w:val="-3"/>
          <w:lang w:val="en-US"/>
        </w:rPr>
        <w:t>: North-Holland</w:t>
      </w:r>
      <w:r w:rsidR="004C7C58" w:rsidRPr="006C00FC">
        <w:rPr>
          <w:spacing w:val="-3"/>
          <w:lang w:val="en-US"/>
        </w:rPr>
        <w:t>, 1982, p 309–321.</w:t>
      </w:r>
    </w:p>
    <w:p w14:paraId="3B6E26BC" w14:textId="5A055FD7" w:rsidR="004C7C58" w:rsidRPr="004E4C01" w:rsidRDefault="006B5FEA" w:rsidP="00511F41">
      <w:pPr>
        <w:numPr>
          <w:ilvl w:val="0"/>
          <w:numId w:val="672"/>
        </w:numPr>
        <w:overflowPunct/>
        <w:autoSpaceDE/>
        <w:autoSpaceDN/>
        <w:adjustRightInd/>
        <w:ind w:left="567" w:hanging="567"/>
        <w:textAlignment w:val="auto"/>
        <w:rPr>
          <w:spacing w:val="-3"/>
        </w:rPr>
      </w:pPr>
      <w:r w:rsidRPr="006C00FC">
        <w:rPr>
          <w:spacing w:val="-3"/>
          <w:lang w:val="en-US"/>
        </w:rPr>
        <w:t>DUBOIS, D., PRADE, H., TESTEMALE, C.</w:t>
      </w:r>
      <w:r w:rsidR="004C7C58" w:rsidRPr="006C00FC">
        <w:rPr>
          <w:spacing w:val="-3"/>
          <w:lang w:val="en-US"/>
        </w:rPr>
        <w:t xml:space="preserve"> Weighted fuzzy pattern matching</w:t>
      </w:r>
      <w:r w:rsidRPr="006C00FC">
        <w:rPr>
          <w:spacing w:val="-3"/>
          <w:lang w:val="en-US"/>
        </w:rPr>
        <w:t>.</w:t>
      </w:r>
      <w:r w:rsidR="004C7C58" w:rsidRPr="006C00FC">
        <w:rPr>
          <w:spacing w:val="-3"/>
          <w:lang w:val="en-US"/>
        </w:rPr>
        <w:t xml:space="preserve"> </w:t>
      </w:r>
      <w:r w:rsidR="004C7C58" w:rsidRPr="00127BD4">
        <w:rPr>
          <w:spacing w:val="-3"/>
        </w:rPr>
        <w:t>Fuzzy Sets and Systems</w:t>
      </w:r>
      <w:r w:rsidRPr="00127BD4">
        <w:rPr>
          <w:spacing w:val="-3"/>
        </w:rPr>
        <w:t>.</w:t>
      </w:r>
      <w:r w:rsidR="004C7C58" w:rsidRPr="00127BD4">
        <w:rPr>
          <w:spacing w:val="-3"/>
        </w:rPr>
        <w:t xml:space="preserve"> </w:t>
      </w:r>
      <w:r w:rsidR="004C7C58" w:rsidRPr="004E4C01">
        <w:rPr>
          <w:spacing w:val="-3"/>
        </w:rPr>
        <w:t>28</w:t>
      </w:r>
      <w:r w:rsidRPr="004E4C01">
        <w:rPr>
          <w:spacing w:val="-3"/>
        </w:rPr>
        <w:t>,</w:t>
      </w:r>
      <w:r w:rsidR="004C7C58" w:rsidRPr="004E4C01">
        <w:rPr>
          <w:spacing w:val="-3"/>
        </w:rPr>
        <w:t xml:space="preserve"> 3 (1988)</w:t>
      </w:r>
      <w:r w:rsidRPr="004E4C01">
        <w:rPr>
          <w:spacing w:val="-3"/>
        </w:rPr>
        <w:t>; p</w:t>
      </w:r>
      <w:r w:rsidR="004C7C58" w:rsidRPr="004E4C01">
        <w:rPr>
          <w:spacing w:val="-3"/>
        </w:rPr>
        <w:t xml:space="preserve"> 313–331.</w:t>
      </w:r>
    </w:p>
    <w:p w14:paraId="0BD0D33E" w14:textId="70262400" w:rsidR="004C7C58" w:rsidRPr="006C00FC" w:rsidRDefault="007D32A9" w:rsidP="00511F41">
      <w:pPr>
        <w:numPr>
          <w:ilvl w:val="0"/>
          <w:numId w:val="672"/>
        </w:numPr>
        <w:overflowPunct/>
        <w:autoSpaceDE/>
        <w:autoSpaceDN/>
        <w:adjustRightInd/>
        <w:ind w:left="567" w:hanging="567"/>
        <w:textAlignment w:val="auto"/>
        <w:rPr>
          <w:spacing w:val="-3"/>
          <w:lang w:val="en-US"/>
        </w:rPr>
      </w:pPr>
      <w:r w:rsidRPr="006C00FC">
        <w:rPr>
          <w:spacing w:val="-3"/>
          <w:lang w:val="en-US"/>
        </w:rPr>
        <w:t xml:space="preserve">EDWARDS, W. </w:t>
      </w:r>
      <w:r w:rsidR="004C7C58" w:rsidRPr="006C00FC">
        <w:rPr>
          <w:spacing w:val="-3"/>
          <w:lang w:val="en-US"/>
        </w:rPr>
        <w:t>Social utilities</w:t>
      </w:r>
      <w:r w:rsidRPr="006C00FC">
        <w:rPr>
          <w:spacing w:val="-3"/>
          <w:lang w:val="en-US"/>
        </w:rPr>
        <w:t>.</w:t>
      </w:r>
      <w:r w:rsidR="004C7C58" w:rsidRPr="006C00FC">
        <w:rPr>
          <w:spacing w:val="-3"/>
          <w:lang w:val="en-US"/>
        </w:rPr>
        <w:t xml:space="preserve"> Eng. Economist Summer Symp. Ser. 6 (1971)</w:t>
      </w:r>
      <w:r w:rsidRPr="006C00FC">
        <w:rPr>
          <w:spacing w:val="-3"/>
          <w:lang w:val="en-US"/>
        </w:rPr>
        <w:t>; p</w:t>
      </w:r>
      <w:r w:rsidR="004C7C58" w:rsidRPr="006C00FC">
        <w:rPr>
          <w:spacing w:val="-3"/>
          <w:lang w:val="en-US"/>
        </w:rPr>
        <w:t xml:space="preserve"> 116–129.</w:t>
      </w:r>
    </w:p>
    <w:p w14:paraId="654495F0" w14:textId="197DE9AC" w:rsidR="004C7C58" w:rsidRPr="004E4C01" w:rsidRDefault="007D32A9" w:rsidP="00511F41">
      <w:pPr>
        <w:numPr>
          <w:ilvl w:val="0"/>
          <w:numId w:val="672"/>
        </w:numPr>
        <w:overflowPunct/>
        <w:autoSpaceDE/>
        <w:autoSpaceDN/>
        <w:adjustRightInd/>
        <w:ind w:left="567" w:hanging="567"/>
        <w:textAlignment w:val="auto"/>
        <w:rPr>
          <w:spacing w:val="-3"/>
        </w:rPr>
      </w:pPr>
      <w:r w:rsidRPr="006C00FC">
        <w:rPr>
          <w:spacing w:val="-3"/>
          <w:lang w:val="en-US"/>
        </w:rPr>
        <w:t xml:space="preserve">EDWARDS, W. </w:t>
      </w:r>
      <w:r w:rsidR="004C7C58" w:rsidRPr="006C00FC">
        <w:rPr>
          <w:spacing w:val="-3"/>
          <w:lang w:val="en-US"/>
        </w:rPr>
        <w:t>How to use multiattribute utility measurement for social decision making</w:t>
      </w:r>
      <w:r w:rsidRPr="006C00FC">
        <w:rPr>
          <w:spacing w:val="-3"/>
          <w:lang w:val="en-US"/>
        </w:rPr>
        <w:t>.</w:t>
      </w:r>
      <w:r w:rsidR="004C7C58" w:rsidRPr="006C00FC">
        <w:rPr>
          <w:spacing w:val="-3"/>
          <w:lang w:val="en-US"/>
        </w:rPr>
        <w:t xml:space="preserve"> </w:t>
      </w:r>
      <w:r w:rsidR="004C7C58" w:rsidRPr="004E4C01">
        <w:rPr>
          <w:spacing w:val="-3"/>
        </w:rPr>
        <w:t>IEEE Trans. Systems Man Cybernet. SMC 7</w:t>
      </w:r>
      <w:r w:rsidRPr="004E4C01">
        <w:rPr>
          <w:spacing w:val="-3"/>
        </w:rPr>
        <w:t>,</w:t>
      </w:r>
      <w:r w:rsidR="004C7C58" w:rsidRPr="004E4C01">
        <w:rPr>
          <w:spacing w:val="-3"/>
        </w:rPr>
        <w:t xml:space="preserve"> 5 (1977)</w:t>
      </w:r>
      <w:r w:rsidRPr="004E4C01">
        <w:rPr>
          <w:spacing w:val="-3"/>
        </w:rPr>
        <w:t>; p</w:t>
      </w:r>
      <w:r w:rsidR="004C7C58" w:rsidRPr="004E4C01">
        <w:rPr>
          <w:spacing w:val="-3"/>
        </w:rPr>
        <w:t xml:space="preserve"> 326–340.</w:t>
      </w:r>
    </w:p>
    <w:p w14:paraId="1338FCAB" w14:textId="0A38CD48" w:rsidR="004C7C58" w:rsidRPr="00127BD4" w:rsidRDefault="007D32A9" w:rsidP="00511F41">
      <w:pPr>
        <w:numPr>
          <w:ilvl w:val="0"/>
          <w:numId w:val="672"/>
        </w:numPr>
        <w:overflowPunct/>
        <w:autoSpaceDE/>
        <w:autoSpaceDN/>
        <w:adjustRightInd/>
        <w:ind w:left="567" w:hanging="567"/>
        <w:textAlignment w:val="auto"/>
        <w:rPr>
          <w:spacing w:val="-3"/>
        </w:rPr>
      </w:pPr>
      <w:r w:rsidRPr="006C00FC">
        <w:rPr>
          <w:spacing w:val="-3"/>
          <w:lang w:val="en-US"/>
        </w:rPr>
        <w:t xml:space="preserve">HINLOOPEN, E. NIJKAMP, P. </w:t>
      </w:r>
      <w:r w:rsidR="004C7C58" w:rsidRPr="006C00FC">
        <w:rPr>
          <w:spacing w:val="-3"/>
          <w:lang w:val="en-US"/>
        </w:rPr>
        <w:t>Information systems in an uncertain planning environment</w:t>
      </w:r>
      <w:r w:rsidRPr="006C00FC">
        <w:rPr>
          <w:spacing w:val="-3"/>
          <w:lang w:val="en-US"/>
        </w:rPr>
        <w:t>:</w:t>
      </w:r>
      <w:r w:rsidR="004C7C58" w:rsidRPr="006C00FC">
        <w:rPr>
          <w:spacing w:val="-3"/>
          <w:lang w:val="en-US"/>
        </w:rPr>
        <w:t xml:space="preserve"> Some methods</w:t>
      </w:r>
      <w:r w:rsidRPr="006C00FC">
        <w:rPr>
          <w:spacing w:val="-3"/>
          <w:lang w:val="en-US"/>
        </w:rPr>
        <w:t>.</w:t>
      </w:r>
      <w:r w:rsidR="004C7C58" w:rsidRPr="006C00FC">
        <w:rPr>
          <w:spacing w:val="-3"/>
          <w:lang w:val="en-US"/>
        </w:rPr>
        <w:t xml:space="preserve"> </w:t>
      </w:r>
      <w:r w:rsidR="004C7C58" w:rsidRPr="00127BD4">
        <w:rPr>
          <w:spacing w:val="-3"/>
        </w:rPr>
        <w:t>Working Paper 82–117, International Institute for Applied System Analysis, 1982.</w:t>
      </w:r>
    </w:p>
    <w:p w14:paraId="0C41F5DB" w14:textId="35E8AA35" w:rsidR="004C7C58" w:rsidRPr="004E4C01" w:rsidRDefault="007D32A9" w:rsidP="00511F41">
      <w:pPr>
        <w:numPr>
          <w:ilvl w:val="0"/>
          <w:numId w:val="672"/>
        </w:numPr>
        <w:overflowPunct/>
        <w:autoSpaceDE/>
        <w:autoSpaceDN/>
        <w:adjustRightInd/>
        <w:ind w:left="567" w:hanging="567"/>
        <w:textAlignment w:val="auto"/>
        <w:rPr>
          <w:spacing w:val="-3"/>
        </w:rPr>
      </w:pPr>
      <w:r w:rsidRPr="006C00FC">
        <w:rPr>
          <w:spacing w:val="-3"/>
          <w:lang w:val="en-US"/>
        </w:rPr>
        <w:t xml:space="preserve">HWANG, C., YOUN, K. </w:t>
      </w:r>
      <w:r w:rsidR="004C7C58" w:rsidRPr="006C00FC">
        <w:rPr>
          <w:spacing w:val="-3"/>
          <w:lang w:val="en-US"/>
        </w:rPr>
        <w:t>Multiple Attribute Decision Making</w:t>
      </w:r>
      <w:r w:rsidRPr="006C00FC">
        <w:rPr>
          <w:spacing w:val="-3"/>
          <w:lang w:val="en-US"/>
        </w:rPr>
        <w:t>.</w:t>
      </w:r>
      <w:r w:rsidR="004C7C58" w:rsidRPr="006C00FC">
        <w:rPr>
          <w:spacing w:val="-3"/>
          <w:lang w:val="en-US"/>
        </w:rPr>
        <w:t xml:space="preserve"> Methods and Application: A State of the Art Survey</w:t>
      </w:r>
      <w:r w:rsidRPr="006C00FC">
        <w:rPr>
          <w:spacing w:val="-3"/>
          <w:lang w:val="en-US"/>
        </w:rPr>
        <w:t xml:space="preserve">. </w:t>
      </w:r>
      <w:r w:rsidR="004C7C58" w:rsidRPr="004E4C01">
        <w:rPr>
          <w:spacing w:val="-3"/>
        </w:rPr>
        <w:t>New York</w:t>
      </w:r>
      <w:r w:rsidRPr="004E4C01">
        <w:rPr>
          <w:spacing w:val="-3"/>
        </w:rPr>
        <w:t>: Springer,</w:t>
      </w:r>
      <w:r w:rsidR="004C7C58" w:rsidRPr="004E4C01">
        <w:rPr>
          <w:spacing w:val="-3"/>
        </w:rPr>
        <w:t xml:space="preserve"> 1981.</w:t>
      </w:r>
    </w:p>
    <w:p w14:paraId="59817BD8" w14:textId="4A3E61C7" w:rsidR="004C7C58" w:rsidRPr="006C00FC" w:rsidRDefault="00DD3B3C" w:rsidP="00511F41">
      <w:pPr>
        <w:numPr>
          <w:ilvl w:val="0"/>
          <w:numId w:val="672"/>
        </w:numPr>
        <w:overflowPunct/>
        <w:autoSpaceDE/>
        <w:autoSpaceDN/>
        <w:adjustRightInd/>
        <w:ind w:left="567" w:hanging="567"/>
        <w:textAlignment w:val="auto"/>
        <w:rPr>
          <w:spacing w:val="-3"/>
          <w:lang w:val="en-US"/>
        </w:rPr>
      </w:pPr>
      <w:r w:rsidRPr="006C00FC">
        <w:rPr>
          <w:spacing w:val="-3"/>
          <w:lang w:val="en-US"/>
        </w:rPr>
        <w:t>JACQUET-LAGRÈZE, E., SISKOS</w:t>
      </w:r>
      <w:r w:rsidR="004C7C58" w:rsidRPr="006C00FC">
        <w:rPr>
          <w:spacing w:val="-3"/>
          <w:lang w:val="en-US"/>
        </w:rPr>
        <w:t xml:space="preserve">, </w:t>
      </w:r>
      <w:r w:rsidR="00976E5F" w:rsidRPr="006C00FC">
        <w:rPr>
          <w:spacing w:val="-3"/>
          <w:lang w:val="en-US"/>
        </w:rPr>
        <w:t xml:space="preserve">J. </w:t>
      </w:r>
      <w:r w:rsidR="004C7C58" w:rsidRPr="006C00FC">
        <w:rPr>
          <w:spacing w:val="-3"/>
          <w:lang w:val="en-US"/>
        </w:rPr>
        <w:t>Assessing a set of additive utility functions for multicriteria decision making, Euro pean J. Oper. Res. 10</w:t>
      </w:r>
      <w:r w:rsidR="00976E5F" w:rsidRPr="006C00FC">
        <w:rPr>
          <w:spacing w:val="-3"/>
          <w:lang w:val="en-US"/>
        </w:rPr>
        <w:t>,</w:t>
      </w:r>
      <w:r w:rsidR="004C7C58" w:rsidRPr="006C00FC">
        <w:rPr>
          <w:spacing w:val="-3"/>
          <w:lang w:val="en-US"/>
        </w:rPr>
        <w:t xml:space="preserve"> 2 (1982)</w:t>
      </w:r>
      <w:r w:rsidR="00976E5F" w:rsidRPr="006C00FC">
        <w:rPr>
          <w:spacing w:val="-3"/>
          <w:lang w:val="en-US"/>
        </w:rPr>
        <w:t>; p</w:t>
      </w:r>
      <w:r w:rsidR="004C7C58" w:rsidRPr="006C00FC">
        <w:rPr>
          <w:spacing w:val="-3"/>
          <w:lang w:val="en-US"/>
        </w:rPr>
        <w:t xml:space="preserve"> 151–164.</w:t>
      </w:r>
    </w:p>
    <w:p w14:paraId="5778EA87" w14:textId="7D85E98B" w:rsidR="004C7C58" w:rsidRPr="004E4C01" w:rsidRDefault="009C6D90" w:rsidP="00511F41">
      <w:pPr>
        <w:numPr>
          <w:ilvl w:val="0"/>
          <w:numId w:val="672"/>
        </w:numPr>
        <w:overflowPunct/>
        <w:autoSpaceDE/>
        <w:autoSpaceDN/>
        <w:adjustRightInd/>
        <w:ind w:left="567" w:hanging="567"/>
        <w:textAlignment w:val="auto"/>
        <w:rPr>
          <w:spacing w:val="-3"/>
        </w:rPr>
      </w:pPr>
      <w:r w:rsidRPr="006C00FC">
        <w:rPr>
          <w:spacing w:val="-3"/>
          <w:lang w:val="en-US"/>
        </w:rPr>
        <w:t xml:space="preserve">KEENEY, R., RAIFA, H. </w:t>
      </w:r>
      <w:r w:rsidR="004C7C58" w:rsidRPr="006C00FC">
        <w:rPr>
          <w:spacing w:val="-3"/>
          <w:lang w:val="en-US"/>
        </w:rPr>
        <w:t>Decision with Multiple Objectives</w:t>
      </w:r>
      <w:r w:rsidRPr="006C00FC">
        <w:rPr>
          <w:spacing w:val="-3"/>
          <w:lang w:val="en-US"/>
        </w:rPr>
        <w:t>.</w:t>
      </w:r>
      <w:r w:rsidR="004C7C58" w:rsidRPr="006C00FC">
        <w:rPr>
          <w:spacing w:val="-3"/>
          <w:lang w:val="en-US"/>
        </w:rPr>
        <w:t xml:space="preserve"> Preferences and Value Trade-Offs</w:t>
      </w:r>
      <w:r w:rsidRPr="006C00FC">
        <w:rPr>
          <w:spacing w:val="-3"/>
          <w:lang w:val="en-US"/>
        </w:rPr>
        <w:t xml:space="preserve">. </w:t>
      </w:r>
      <w:r w:rsidR="004C7C58" w:rsidRPr="004E4C01">
        <w:rPr>
          <w:spacing w:val="-3"/>
        </w:rPr>
        <w:t>New York</w:t>
      </w:r>
      <w:r w:rsidRPr="004E4C01">
        <w:rPr>
          <w:spacing w:val="-3"/>
        </w:rPr>
        <w:t>: Wiley,</w:t>
      </w:r>
      <w:r w:rsidR="004C7C58" w:rsidRPr="004E4C01">
        <w:rPr>
          <w:spacing w:val="-3"/>
        </w:rPr>
        <w:t xml:space="preserve"> 1976.</w:t>
      </w:r>
    </w:p>
    <w:p w14:paraId="54CA2DCF" w14:textId="54EE62F0" w:rsidR="004C7C58" w:rsidRPr="00127BD4" w:rsidRDefault="00D142BD" w:rsidP="00511F41">
      <w:pPr>
        <w:numPr>
          <w:ilvl w:val="0"/>
          <w:numId w:val="672"/>
        </w:numPr>
        <w:overflowPunct/>
        <w:autoSpaceDE/>
        <w:autoSpaceDN/>
        <w:adjustRightInd/>
        <w:ind w:left="567" w:hanging="567"/>
        <w:textAlignment w:val="auto"/>
        <w:rPr>
          <w:spacing w:val="-3"/>
        </w:rPr>
      </w:pPr>
      <w:r w:rsidRPr="006C00FC">
        <w:rPr>
          <w:spacing w:val="-3"/>
          <w:lang w:val="en-US"/>
        </w:rPr>
        <w:t>KRANTZ, D., LUCE, R., SUPPES, P. TVERSKY</w:t>
      </w:r>
      <w:r w:rsidR="004C7C58" w:rsidRPr="006C00FC">
        <w:rPr>
          <w:spacing w:val="-3"/>
          <w:lang w:val="en-US"/>
        </w:rPr>
        <w:t xml:space="preserve">, </w:t>
      </w:r>
      <w:r w:rsidR="00E92F1E" w:rsidRPr="006C00FC">
        <w:rPr>
          <w:spacing w:val="-3"/>
          <w:lang w:val="en-US"/>
        </w:rPr>
        <w:t xml:space="preserve">A. </w:t>
      </w:r>
      <w:r w:rsidR="004C7C58" w:rsidRPr="006C00FC">
        <w:rPr>
          <w:spacing w:val="-3"/>
          <w:lang w:val="en-US"/>
        </w:rPr>
        <w:t>Foundations of Measurement</w:t>
      </w:r>
      <w:r w:rsidR="00E92F1E" w:rsidRPr="006C00FC">
        <w:rPr>
          <w:spacing w:val="-3"/>
          <w:lang w:val="en-US"/>
        </w:rPr>
        <w:t>.</w:t>
      </w:r>
      <w:r w:rsidR="004C7C58" w:rsidRPr="006C00FC">
        <w:rPr>
          <w:spacing w:val="-3"/>
          <w:lang w:val="en-US"/>
        </w:rPr>
        <w:t xml:space="preserve"> </w:t>
      </w:r>
      <w:r w:rsidR="004C7C58" w:rsidRPr="00127BD4">
        <w:rPr>
          <w:spacing w:val="-3"/>
        </w:rPr>
        <w:t>New York</w:t>
      </w:r>
      <w:r w:rsidR="00E92F1E" w:rsidRPr="00127BD4">
        <w:rPr>
          <w:spacing w:val="-3"/>
        </w:rPr>
        <w:t>: Academic Press,</w:t>
      </w:r>
      <w:r w:rsidR="004C7C58" w:rsidRPr="00127BD4">
        <w:rPr>
          <w:spacing w:val="-3"/>
        </w:rPr>
        <w:t xml:space="preserve"> 1971.</w:t>
      </w:r>
    </w:p>
    <w:p w14:paraId="6B4C4633" w14:textId="18653ED2" w:rsidR="004C7C58" w:rsidRPr="004E4C01" w:rsidRDefault="00D142BD" w:rsidP="00511F41">
      <w:pPr>
        <w:numPr>
          <w:ilvl w:val="0"/>
          <w:numId w:val="672"/>
        </w:numPr>
        <w:overflowPunct/>
        <w:autoSpaceDE/>
        <w:autoSpaceDN/>
        <w:adjustRightInd/>
        <w:ind w:left="567" w:hanging="567"/>
        <w:textAlignment w:val="auto"/>
        <w:rPr>
          <w:spacing w:val="-3"/>
        </w:rPr>
      </w:pPr>
      <w:r w:rsidRPr="006C00FC">
        <w:rPr>
          <w:spacing w:val="-3"/>
          <w:lang w:val="en-US"/>
        </w:rPr>
        <w:lastRenderedPageBreak/>
        <w:t>KWAKERNAAK</w:t>
      </w:r>
      <w:r w:rsidR="004C7C58" w:rsidRPr="006C00FC">
        <w:rPr>
          <w:spacing w:val="-3"/>
          <w:lang w:val="en-US"/>
        </w:rPr>
        <w:t xml:space="preserve">, </w:t>
      </w:r>
      <w:r w:rsidRPr="006C00FC">
        <w:rPr>
          <w:spacing w:val="-3"/>
          <w:lang w:val="en-US"/>
        </w:rPr>
        <w:t xml:space="preserve">H. </w:t>
      </w:r>
      <w:r w:rsidR="004C7C58" w:rsidRPr="006C00FC">
        <w:rPr>
          <w:spacing w:val="-3"/>
          <w:lang w:val="en-US"/>
        </w:rPr>
        <w:t>An algorithm for rating multiple-aspect alternatives using fuzzy sets</w:t>
      </w:r>
      <w:r w:rsidRPr="006C00FC">
        <w:rPr>
          <w:spacing w:val="-3"/>
          <w:lang w:val="en-US"/>
        </w:rPr>
        <w:t>.</w:t>
      </w:r>
      <w:r w:rsidR="004C7C58" w:rsidRPr="006C00FC">
        <w:rPr>
          <w:spacing w:val="-3"/>
          <w:lang w:val="en-US"/>
        </w:rPr>
        <w:t xml:space="preserve"> </w:t>
      </w:r>
      <w:r w:rsidR="004C7C58" w:rsidRPr="004E4C01">
        <w:rPr>
          <w:spacing w:val="-3"/>
        </w:rPr>
        <w:t>Automatica 15 (1979)</w:t>
      </w:r>
      <w:r w:rsidRPr="004E4C01">
        <w:rPr>
          <w:spacing w:val="-3"/>
        </w:rPr>
        <w:t>; p</w:t>
      </w:r>
      <w:r w:rsidR="004C7C58" w:rsidRPr="004E4C01">
        <w:rPr>
          <w:spacing w:val="-3"/>
        </w:rPr>
        <w:t xml:space="preserve"> 615– 616.</w:t>
      </w:r>
    </w:p>
    <w:p w14:paraId="682DF0DC" w14:textId="542E7341" w:rsidR="004C7C58" w:rsidRPr="004E4C01" w:rsidRDefault="00D142BD" w:rsidP="00511F41">
      <w:pPr>
        <w:numPr>
          <w:ilvl w:val="0"/>
          <w:numId w:val="672"/>
        </w:numPr>
        <w:overflowPunct/>
        <w:autoSpaceDE/>
        <w:autoSpaceDN/>
        <w:adjustRightInd/>
        <w:ind w:left="567" w:hanging="567"/>
        <w:textAlignment w:val="auto"/>
        <w:rPr>
          <w:spacing w:val="-3"/>
        </w:rPr>
      </w:pPr>
      <w:r w:rsidRPr="006C00FC">
        <w:rPr>
          <w:spacing w:val="-3"/>
          <w:lang w:val="fr-FR"/>
        </w:rPr>
        <w:t>LECLERC</w:t>
      </w:r>
      <w:r w:rsidR="004C7C58" w:rsidRPr="006C00FC">
        <w:rPr>
          <w:spacing w:val="-3"/>
          <w:lang w:val="fr-FR"/>
        </w:rPr>
        <w:t xml:space="preserve">, </w:t>
      </w:r>
      <w:r w:rsidRPr="006C00FC">
        <w:rPr>
          <w:spacing w:val="-3"/>
          <w:lang w:val="fr-FR"/>
        </w:rPr>
        <w:t xml:space="preserve">J. </w:t>
      </w:r>
      <w:r w:rsidR="004C7C58" w:rsidRPr="006C00FC">
        <w:rPr>
          <w:spacing w:val="-3"/>
          <w:lang w:val="fr-FR"/>
        </w:rPr>
        <w:t>Propositions d’extension de la notion de dominance en présence de relations d’ordre sur les pseudo- critères: MELCHIOR</w:t>
      </w:r>
      <w:r w:rsidR="002D703A" w:rsidRPr="006C00FC">
        <w:rPr>
          <w:spacing w:val="-3"/>
          <w:lang w:val="fr-FR"/>
        </w:rPr>
        <w:t xml:space="preserve">. </w:t>
      </w:r>
      <w:r w:rsidR="004C7C58" w:rsidRPr="004E4C01">
        <w:rPr>
          <w:spacing w:val="-3"/>
        </w:rPr>
        <w:t>Math. Social Sci. 8 (1984)</w:t>
      </w:r>
      <w:r w:rsidR="002D703A" w:rsidRPr="004E4C01">
        <w:rPr>
          <w:spacing w:val="-3"/>
        </w:rPr>
        <w:t>; p</w:t>
      </w:r>
      <w:r w:rsidR="004C7C58" w:rsidRPr="004E4C01">
        <w:rPr>
          <w:spacing w:val="-3"/>
        </w:rPr>
        <w:t xml:space="preserve"> 45–61.</w:t>
      </w:r>
    </w:p>
    <w:p w14:paraId="457E1C23" w14:textId="17CAC17C" w:rsidR="004C7C58" w:rsidRPr="004E4C01" w:rsidRDefault="004C7C58" w:rsidP="00511F41">
      <w:pPr>
        <w:numPr>
          <w:ilvl w:val="0"/>
          <w:numId w:val="672"/>
        </w:numPr>
        <w:overflowPunct/>
        <w:autoSpaceDE/>
        <w:autoSpaceDN/>
        <w:adjustRightInd/>
        <w:ind w:left="567" w:hanging="567"/>
        <w:textAlignment w:val="auto"/>
        <w:rPr>
          <w:spacing w:val="-3"/>
        </w:rPr>
      </w:pPr>
      <w:r w:rsidRPr="006C00FC">
        <w:rPr>
          <w:spacing w:val="-3"/>
          <w:lang w:val="en-US"/>
        </w:rPr>
        <w:t>MacC</w:t>
      </w:r>
      <w:r w:rsidR="002B552D" w:rsidRPr="006C00FC">
        <w:rPr>
          <w:spacing w:val="-3"/>
          <w:lang w:val="en-US"/>
        </w:rPr>
        <w:t>RIMON</w:t>
      </w:r>
      <w:r w:rsidRPr="006C00FC">
        <w:rPr>
          <w:spacing w:val="-3"/>
          <w:lang w:val="en-US"/>
        </w:rPr>
        <w:t xml:space="preserve">, </w:t>
      </w:r>
      <w:r w:rsidR="002B552D" w:rsidRPr="006C00FC">
        <w:rPr>
          <w:spacing w:val="-3"/>
          <w:lang w:val="en-US"/>
        </w:rPr>
        <w:t xml:space="preserve">K. </w:t>
      </w:r>
      <w:r w:rsidRPr="006C00FC">
        <w:rPr>
          <w:spacing w:val="-3"/>
          <w:lang w:val="en-US"/>
        </w:rPr>
        <w:t>Decision making among multiple attribute alternatives: A survey and consolidated approach</w:t>
      </w:r>
      <w:r w:rsidR="002B552D" w:rsidRPr="006C00FC">
        <w:rPr>
          <w:spacing w:val="-3"/>
          <w:lang w:val="en-US"/>
        </w:rPr>
        <w:t>.</w:t>
      </w:r>
      <w:r w:rsidRPr="006C00FC">
        <w:rPr>
          <w:spacing w:val="-3"/>
          <w:lang w:val="en-US"/>
        </w:rPr>
        <w:t xml:space="preserve"> </w:t>
      </w:r>
      <w:r w:rsidRPr="004E4C01">
        <w:rPr>
          <w:spacing w:val="-3"/>
        </w:rPr>
        <w:t>Rand Memorandum, RM-4823-ARPA, 1968.</w:t>
      </w:r>
    </w:p>
    <w:p w14:paraId="120A39FE" w14:textId="4DC516AF" w:rsidR="004C7C58" w:rsidRPr="004E4C01" w:rsidRDefault="002B552D" w:rsidP="00511F41">
      <w:pPr>
        <w:numPr>
          <w:ilvl w:val="0"/>
          <w:numId w:val="672"/>
        </w:numPr>
        <w:overflowPunct/>
        <w:autoSpaceDE/>
        <w:autoSpaceDN/>
        <w:adjustRightInd/>
        <w:ind w:left="567" w:hanging="567"/>
        <w:textAlignment w:val="auto"/>
        <w:rPr>
          <w:spacing w:val="-3"/>
        </w:rPr>
      </w:pPr>
      <w:r w:rsidRPr="006C00FC">
        <w:rPr>
          <w:spacing w:val="-3"/>
          <w:lang w:val="fr-FR"/>
        </w:rPr>
        <w:t xml:space="preserve">MARTEL, J., ZARAS, K. </w:t>
      </w:r>
      <w:r w:rsidR="004C7C58" w:rsidRPr="006C00FC">
        <w:rPr>
          <w:spacing w:val="-3"/>
          <w:lang w:val="fr-FR"/>
        </w:rPr>
        <w:t>Dominance stochastique en analyse multicritère face au risque</w:t>
      </w:r>
      <w:r w:rsidRPr="006C00FC">
        <w:rPr>
          <w:spacing w:val="-3"/>
          <w:lang w:val="fr-FR"/>
        </w:rPr>
        <w:t>.</w:t>
      </w:r>
      <w:r w:rsidR="004C7C58" w:rsidRPr="006C00FC">
        <w:rPr>
          <w:spacing w:val="-3"/>
          <w:lang w:val="fr-FR"/>
        </w:rPr>
        <w:t xml:space="preserve"> </w:t>
      </w:r>
      <w:r w:rsidR="004C7C58" w:rsidRPr="004E4C01">
        <w:rPr>
          <w:spacing w:val="-3"/>
        </w:rPr>
        <w:t>Cahier du LAMSADE, No. 100, Université de Paris-Dauphine, 1990.</w:t>
      </w:r>
    </w:p>
    <w:p w14:paraId="2D5F7F7F" w14:textId="0B579FDE" w:rsidR="004C7C58" w:rsidRPr="00127BD4" w:rsidRDefault="00845CDC" w:rsidP="00511F41">
      <w:pPr>
        <w:numPr>
          <w:ilvl w:val="0"/>
          <w:numId w:val="672"/>
        </w:numPr>
        <w:overflowPunct/>
        <w:autoSpaceDE/>
        <w:autoSpaceDN/>
        <w:adjustRightInd/>
        <w:ind w:left="567" w:hanging="567"/>
        <w:textAlignment w:val="auto"/>
        <w:rPr>
          <w:spacing w:val="-3"/>
        </w:rPr>
      </w:pPr>
      <w:r w:rsidRPr="006C00FC">
        <w:rPr>
          <w:spacing w:val="-3"/>
          <w:lang w:val="en-US"/>
        </w:rPr>
        <w:t>MARTEL, J., ZARAS</w:t>
      </w:r>
      <w:r w:rsidR="004C7C58" w:rsidRPr="006C00FC">
        <w:rPr>
          <w:spacing w:val="-3"/>
          <w:lang w:val="en-US"/>
        </w:rPr>
        <w:t xml:space="preserve">, </w:t>
      </w:r>
      <w:r w:rsidR="002B552D" w:rsidRPr="006C00FC">
        <w:rPr>
          <w:spacing w:val="-3"/>
          <w:lang w:val="en-US"/>
        </w:rPr>
        <w:t xml:space="preserve">K. </w:t>
      </w:r>
      <w:r w:rsidR="004C7C58" w:rsidRPr="006C00FC">
        <w:rPr>
          <w:spacing w:val="-3"/>
          <w:lang w:val="en-US"/>
        </w:rPr>
        <w:t>Stochastic dominance in multi- criterion analysis under risk</w:t>
      </w:r>
      <w:r w:rsidR="002B552D" w:rsidRPr="006C00FC">
        <w:rPr>
          <w:spacing w:val="-3"/>
          <w:lang w:val="en-US"/>
        </w:rPr>
        <w:t>.</w:t>
      </w:r>
      <w:r w:rsidR="004C7C58" w:rsidRPr="006C00FC">
        <w:rPr>
          <w:spacing w:val="-3"/>
          <w:lang w:val="en-US"/>
        </w:rPr>
        <w:t xml:space="preserve"> </w:t>
      </w:r>
      <w:r w:rsidR="004C7C58" w:rsidRPr="00127BD4">
        <w:rPr>
          <w:spacing w:val="-3"/>
        </w:rPr>
        <w:t>Theory and Decision 35</w:t>
      </w:r>
      <w:r w:rsidR="002B552D" w:rsidRPr="00127BD4">
        <w:rPr>
          <w:spacing w:val="-3"/>
        </w:rPr>
        <w:t>,</w:t>
      </w:r>
      <w:r w:rsidR="004C7C58" w:rsidRPr="00127BD4">
        <w:rPr>
          <w:spacing w:val="-3"/>
        </w:rPr>
        <w:t xml:space="preserve"> 1 (1995)</w:t>
      </w:r>
      <w:r w:rsidR="002B552D" w:rsidRPr="00127BD4">
        <w:rPr>
          <w:spacing w:val="-3"/>
        </w:rPr>
        <w:t>; p</w:t>
      </w:r>
      <w:r w:rsidR="004C7C58" w:rsidRPr="00127BD4">
        <w:rPr>
          <w:spacing w:val="-3"/>
        </w:rPr>
        <w:t xml:space="preserve"> 31–49.</w:t>
      </w:r>
    </w:p>
    <w:p w14:paraId="43AAE3C8" w14:textId="4E254708" w:rsidR="004C7C58" w:rsidRPr="006C00FC" w:rsidRDefault="00845CDC" w:rsidP="00511F41">
      <w:pPr>
        <w:numPr>
          <w:ilvl w:val="0"/>
          <w:numId w:val="672"/>
        </w:numPr>
        <w:overflowPunct/>
        <w:autoSpaceDE/>
        <w:autoSpaceDN/>
        <w:adjustRightInd/>
        <w:ind w:left="567" w:hanging="567"/>
        <w:textAlignment w:val="auto"/>
        <w:rPr>
          <w:spacing w:val="-3"/>
          <w:lang w:val="en-US"/>
        </w:rPr>
      </w:pPr>
      <w:r w:rsidRPr="006C00FC">
        <w:rPr>
          <w:spacing w:val="-3"/>
          <w:lang w:val="en-US"/>
        </w:rPr>
        <w:t xml:space="preserve">MUNDA, G. </w:t>
      </w:r>
      <w:r w:rsidR="004C7C58" w:rsidRPr="006C00FC">
        <w:rPr>
          <w:spacing w:val="-3"/>
          <w:lang w:val="en-US"/>
        </w:rPr>
        <w:t>Multicriteria Evolution in a Fuzzy Environment</w:t>
      </w:r>
      <w:r w:rsidRPr="006C00FC">
        <w:rPr>
          <w:spacing w:val="-3"/>
          <w:lang w:val="en-US"/>
        </w:rPr>
        <w:t xml:space="preserve">. </w:t>
      </w:r>
      <w:r w:rsidR="004C7C58" w:rsidRPr="006C00FC">
        <w:rPr>
          <w:spacing w:val="-3"/>
          <w:lang w:val="en-US"/>
        </w:rPr>
        <w:t>Berlin</w:t>
      </w:r>
      <w:r w:rsidRPr="006C00FC">
        <w:rPr>
          <w:spacing w:val="-3"/>
          <w:lang w:val="en-US"/>
        </w:rPr>
        <w:t>: Springer,</w:t>
      </w:r>
      <w:r w:rsidR="004C7C58" w:rsidRPr="006C00FC">
        <w:rPr>
          <w:spacing w:val="-3"/>
          <w:lang w:val="en-US"/>
        </w:rPr>
        <w:t xml:space="preserve"> 1995.</w:t>
      </w:r>
    </w:p>
    <w:p w14:paraId="0DF155C9" w14:textId="710DB6D9" w:rsidR="004C7C58" w:rsidRPr="004E4C01" w:rsidRDefault="00845CDC" w:rsidP="00511F41">
      <w:pPr>
        <w:numPr>
          <w:ilvl w:val="0"/>
          <w:numId w:val="672"/>
        </w:numPr>
        <w:overflowPunct/>
        <w:autoSpaceDE/>
        <w:autoSpaceDN/>
        <w:adjustRightInd/>
        <w:ind w:left="567" w:hanging="567"/>
        <w:textAlignment w:val="auto"/>
        <w:rPr>
          <w:spacing w:val="-3"/>
        </w:rPr>
      </w:pPr>
      <w:r w:rsidRPr="006C00FC">
        <w:rPr>
          <w:spacing w:val="-3"/>
          <w:lang w:val="en-US"/>
        </w:rPr>
        <w:t>OLSON</w:t>
      </w:r>
      <w:r w:rsidR="004C7C58" w:rsidRPr="006C00FC">
        <w:rPr>
          <w:spacing w:val="-3"/>
          <w:lang w:val="en-US"/>
        </w:rPr>
        <w:t xml:space="preserve">, </w:t>
      </w:r>
      <w:r w:rsidRPr="006C00FC">
        <w:rPr>
          <w:spacing w:val="-3"/>
          <w:lang w:val="en-US"/>
        </w:rPr>
        <w:t xml:space="preserve">D. </w:t>
      </w:r>
      <w:r w:rsidR="004C7C58" w:rsidRPr="006C00FC">
        <w:rPr>
          <w:spacing w:val="-3"/>
          <w:lang w:val="en-US"/>
        </w:rPr>
        <w:t xml:space="preserve">Decision </w:t>
      </w:r>
      <w:r w:rsidRPr="006C00FC">
        <w:rPr>
          <w:spacing w:val="-3"/>
          <w:lang w:val="en-US"/>
        </w:rPr>
        <w:t xml:space="preserve">aids for selection problems. </w:t>
      </w:r>
      <w:r w:rsidRPr="004E4C01">
        <w:rPr>
          <w:spacing w:val="-3"/>
        </w:rPr>
        <w:t xml:space="preserve">Berlin: Springer, </w:t>
      </w:r>
      <w:r w:rsidR="004C7C58" w:rsidRPr="004E4C01">
        <w:rPr>
          <w:spacing w:val="-3"/>
        </w:rPr>
        <w:t>1996.</w:t>
      </w:r>
    </w:p>
    <w:p w14:paraId="7E74C998" w14:textId="7A4D5E5C" w:rsidR="004C7C58" w:rsidRPr="006C00FC" w:rsidRDefault="00845CDC" w:rsidP="00511F41">
      <w:pPr>
        <w:numPr>
          <w:ilvl w:val="0"/>
          <w:numId w:val="672"/>
        </w:numPr>
        <w:overflowPunct/>
        <w:autoSpaceDE/>
        <w:autoSpaceDN/>
        <w:adjustRightInd/>
        <w:ind w:left="567" w:hanging="567"/>
        <w:textAlignment w:val="auto"/>
        <w:rPr>
          <w:spacing w:val="-3"/>
          <w:lang w:val="en-US"/>
        </w:rPr>
      </w:pPr>
      <w:r w:rsidRPr="006C00FC">
        <w:rPr>
          <w:spacing w:val="-3"/>
          <w:lang w:val="en-US"/>
        </w:rPr>
        <w:t xml:space="preserve">PAELINCK, J. </w:t>
      </w:r>
      <w:r w:rsidR="004C7C58" w:rsidRPr="006C00FC">
        <w:rPr>
          <w:spacing w:val="-3"/>
          <w:lang w:val="en-US"/>
        </w:rPr>
        <w:t>Qualiflex, a flexible multiple criteria method</w:t>
      </w:r>
      <w:r w:rsidRPr="006C00FC">
        <w:rPr>
          <w:spacing w:val="-3"/>
          <w:lang w:val="en-US"/>
        </w:rPr>
        <w:t>.</w:t>
      </w:r>
      <w:r w:rsidR="004C7C58" w:rsidRPr="006C00FC">
        <w:rPr>
          <w:spacing w:val="-3"/>
          <w:lang w:val="en-US"/>
        </w:rPr>
        <w:t xml:space="preserve"> Economic Lett. 3 (1978)</w:t>
      </w:r>
      <w:r w:rsidRPr="006C00FC">
        <w:rPr>
          <w:spacing w:val="-3"/>
          <w:lang w:val="en-US"/>
        </w:rPr>
        <w:t>; p</w:t>
      </w:r>
      <w:r w:rsidR="004C7C58" w:rsidRPr="006C00FC">
        <w:rPr>
          <w:spacing w:val="-3"/>
          <w:lang w:val="en-US"/>
        </w:rPr>
        <w:t xml:space="preserve"> 193–197.</w:t>
      </w:r>
    </w:p>
    <w:p w14:paraId="6166DAA8" w14:textId="58C87F35" w:rsidR="004C7C58" w:rsidRPr="004E4C01" w:rsidRDefault="00C45BE7" w:rsidP="00511F41">
      <w:pPr>
        <w:numPr>
          <w:ilvl w:val="0"/>
          <w:numId w:val="672"/>
        </w:numPr>
        <w:overflowPunct/>
        <w:autoSpaceDE/>
        <w:autoSpaceDN/>
        <w:adjustRightInd/>
        <w:ind w:left="567" w:hanging="567"/>
        <w:textAlignment w:val="auto"/>
        <w:rPr>
          <w:spacing w:val="-3"/>
        </w:rPr>
      </w:pPr>
      <w:r w:rsidRPr="006C00FC">
        <w:rPr>
          <w:spacing w:val="-3"/>
          <w:lang w:val="fr-FR"/>
        </w:rPr>
        <w:t xml:space="preserve">ROUBENS, M. </w:t>
      </w:r>
      <w:r w:rsidR="004C7C58" w:rsidRPr="006C00FC">
        <w:rPr>
          <w:spacing w:val="-3"/>
          <w:lang w:val="fr-FR"/>
        </w:rPr>
        <w:t>Analyse et agr</w:t>
      </w:r>
      <w:r w:rsidRPr="006C00FC">
        <w:rPr>
          <w:spacing w:val="-3"/>
          <w:lang w:val="fr-FR"/>
        </w:rPr>
        <w:t>é</w:t>
      </w:r>
      <w:r w:rsidR="004C7C58" w:rsidRPr="006C00FC">
        <w:rPr>
          <w:spacing w:val="-3"/>
          <w:lang w:val="fr-FR"/>
        </w:rPr>
        <w:t>gation des pr</w:t>
      </w:r>
      <w:r w:rsidRPr="006C00FC">
        <w:rPr>
          <w:spacing w:val="-3"/>
          <w:lang w:val="fr-FR"/>
        </w:rPr>
        <w:t>é</w:t>
      </w:r>
      <w:r w:rsidR="004C7C58" w:rsidRPr="006C00FC">
        <w:rPr>
          <w:spacing w:val="-3"/>
          <w:lang w:val="fr-FR"/>
        </w:rPr>
        <w:t>f</w:t>
      </w:r>
      <w:r w:rsidRPr="006C00FC">
        <w:rPr>
          <w:spacing w:val="-3"/>
          <w:lang w:val="fr-FR"/>
        </w:rPr>
        <w:t>é</w:t>
      </w:r>
      <w:r w:rsidR="004C7C58" w:rsidRPr="006C00FC">
        <w:rPr>
          <w:spacing w:val="-3"/>
          <w:lang w:val="fr-FR"/>
        </w:rPr>
        <w:t>rences: Mod</w:t>
      </w:r>
      <w:r w:rsidRPr="006C00FC">
        <w:rPr>
          <w:spacing w:val="-3"/>
          <w:lang w:val="fr-FR"/>
        </w:rPr>
        <w:t>é</w:t>
      </w:r>
      <w:r w:rsidR="004C7C58" w:rsidRPr="006C00FC">
        <w:rPr>
          <w:spacing w:val="-3"/>
          <w:lang w:val="fr-FR"/>
        </w:rPr>
        <w:t>lisation, adjustement et r</w:t>
      </w:r>
      <w:r w:rsidRPr="006C00FC">
        <w:rPr>
          <w:spacing w:val="-3"/>
          <w:lang w:val="fr-FR"/>
        </w:rPr>
        <w:t>é</w:t>
      </w:r>
      <w:r w:rsidR="004C7C58" w:rsidRPr="006C00FC">
        <w:rPr>
          <w:spacing w:val="-3"/>
          <w:lang w:val="fr-FR"/>
        </w:rPr>
        <w:t>sum</w:t>
      </w:r>
      <w:r w:rsidRPr="006C00FC">
        <w:rPr>
          <w:spacing w:val="-3"/>
          <w:lang w:val="fr-FR"/>
        </w:rPr>
        <w:t>é</w:t>
      </w:r>
      <w:r w:rsidR="004C7C58" w:rsidRPr="006C00FC">
        <w:rPr>
          <w:spacing w:val="-3"/>
          <w:lang w:val="fr-FR"/>
        </w:rPr>
        <w:t xml:space="preserve"> de donn</w:t>
      </w:r>
      <w:r w:rsidRPr="006C00FC">
        <w:rPr>
          <w:spacing w:val="-3"/>
          <w:lang w:val="fr-FR"/>
        </w:rPr>
        <w:t>é</w:t>
      </w:r>
      <w:r w:rsidR="004C7C58" w:rsidRPr="006C00FC">
        <w:rPr>
          <w:spacing w:val="-3"/>
          <w:lang w:val="fr-FR"/>
        </w:rPr>
        <w:t xml:space="preserve">es relationnelles Rev. Belge de Statist d’Informat. </w:t>
      </w:r>
      <w:r w:rsidR="004C7C58" w:rsidRPr="00127BD4">
        <w:rPr>
          <w:spacing w:val="-3"/>
        </w:rPr>
        <w:t xml:space="preserve">Rech. </w:t>
      </w:r>
      <w:r w:rsidR="004C7C58" w:rsidRPr="004E4C01">
        <w:rPr>
          <w:spacing w:val="-3"/>
        </w:rPr>
        <w:t>Op</w:t>
      </w:r>
      <w:r w:rsidRPr="004E4C01">
        <w:rPr>
          <w:spacing w:val="-3"/>
        </w:rPr>
        <w:t>é</w:t>
      </w:r>
      <w:r w:rsidR="004C7C58" w:rsidRPr="004E4C01">
        <w:rPr>
          <w:spacing w:val="-3"/>
        </w:rPr>
        <w:t>r. 20</w:t>
      </w:r>
      <w:r w:rsidRPr="004E4C01">
        <w:rPr>
          <w:spacing w:val="-3"/>
        </w:rPr>
        <w:t>,</w:t>
      </w:r>
      <w:r w:rsidR="004C7C58" w:rsidRPr="004E4C01">
        <w:rPr>
          <w:spacing w:val="-3"/>
        </w:rPr>
        <w:t xml:space="preserve"> 2 (1980)</w:t>
      </w:r>
      <w:r w:rsidRPr="004E4C01">
        <w:rPr>
          <w:spacing w:val="-3"/>
        </w:rPr>
        <w:t>; p</w:t>
      </w:r>
      <w:r w:rsidR="004C7C58" w:rsidRPr="004E4C01">
        <w:rPr>
          <w:spacing w:val="-3"/>
        </w:rPr>
        <w:t xml:space="preserve"> 36–67.</w:t>
      </w:r>
    </w:p>
    <w:p w14:paraId="41DF4469" w14:textId="149EC111" w:rsidR="004C7C58" w:rsidRPr="004E4C01" w:rsidRDefault="001B6426" w:rsidP="00511F41">
      <w:pPr>
        <w:numPr>
          <w:ilvl w:val="0"/>
          <w:numId w:val="672"/>
        </w:numPr>
        <w:overflowPunct/>
        <w:autoSpaceDE/>
        <w:autoSpaceDN/>
        <w:adjustRightInd/>
        <w:ind w:left="567" w:hanging="567"/>
        <w:textAlignment w:val="auto"/>
        <w:rPr>
          <w:spacing w:val="-3"/>
        </w:rPr>
      </w:pPr>
      <w:r w:rsidRPr="006C00FC">
        <w:rPr>
          <w:spacing w:val="-3"/>
          <w:lang w:val="fr-FR"/>
        </w:rPr>
        <w:t>ROY</w:t>
      </w:r>
      <w:r w:rsidR="004C7C58" w:rsidRPr="006C00FC">
        <w:rPr>
          <w:spacing w:val="-3"/>
          <w:lang w:val="fr-FR"/>
        </w:rPr>
        <w:t xml:space="preserve">, </w:t>
      </w:r>
      <w:r w:rsidRPr="006C00FC">
        <w:rPr>
          <w:spacing w:val="-3"/>
          <w:lang w:val="fr-FR"/>
        </w:rPr>
        <w:t xml:space="preserve">B. </w:t>
      </w:r>
      <w:r w:rsidR="004C7C58" w:rsidRPr="006C00FC">
        <w:rPr>
          <w:spacing w:val="-3"/>
          <w:lang w:val="fr-FR"/>
        </w:rPr>
        <w:t>Classement et choix en pr</w:t>
      </w:r>
      <w:r w:rsidRPr="006C00FC">
        <w:rPr>
          <w:spacing w:val="-3"/>
          <w:lang w:val="fr-FR"/>
        </w:rPr>
        <w:t>é</w:t>
      </w:r>
      <w:r w:rsidR="004C7C58" w:rsidRPr="006C00FC">
        <w:rPr>
          <w:spacing w:val="-3"/>
          <w:lang w:val="fr-FR"/>
        </w:rPr>
        <w:t>sence de points de vue multiples (la m</w:t>
      </w:r>
      <w:r w:rsidRPr="006C00FC">
        <w:rPr>
          <w:spacing w:val="-3"/>
          <w:lang w:val="fr-FR"/>
        </w:rPr>
        <w:t>é</w:t>
      </w:r>
      <w:r w:rsidR="004C7C58" w:rsidRPr="006C00FC">
        <w:rPr>
          <w:spacing w:val="-3"/>
          <w:lang w:val="fr-FR"/>
        </w:rPr>
        <w:t>thode ELECTRE)</w:t>
      </w:r>
      <w:r w:rsidRPr="006C00FC">
        <w:rPr>
          <w:spacing w:val="-3"/>
          <w:lang w:val="fr-FR"/>
        </w:rPr>
        <w:t>.</w:t>
      </w:r>
      <w:r w:rsidR="004C7C58" w:rsidRPr="006C00FC">
        <w:rPr>
          <w:spacing w:val="-3"/>
          <w:lang w:val="fr-FR"/>
        </w:rPr>
        <w:t xml:space="preserve"> </w:t>
      </w:r>
      <w:r w:rsidR="004C7C58" w:rsidRPr="004E4C01">
        <w:rPr>
          <w:spacing w:val="-3"/>
        </w:rPr>
        <w:t>RIRO 8 (1968)</w:t>
      </w:r>
      <w:r w:rsidRPr="004E4C01">
        <w:rPr>
          <w:spacing w:val="-3"/>
        </w:rPr>
        <w:t>; p</w:t>
      </w:r>
      <w:r w:rsidR="004C7C58" w:rsidRPr="004E4C01">
        <w:rPr>
          <w:spacing w:val="-3"/>
        </w:rPr>
        <w:t xml:space="preserve"> 57–75.</w:t>
      </w:r>
    </w:p>
    <w:p w14:paraId="2D5040C5" w14:textId="6C9182DA" w:rsidR="004C7C58" w:rsidRPr="00127BD4" w:rsidRDefault="008400A0" w:rsidP="00511F41">
      <w:pPr>
        <w:numPr>
          <w:ilvl w:val="0"/>
          <w:numId w:val="672"/>
        </w:numPr>
        <w:overflowPunct/>
        <w:autoSpaceDE/>
        <w:autoSpaceDN/>
        <w:adjustRightInd/>
        <w:ind w:left="567" w:hanging="567"/>
        <w:textAlignment w:val="auto"/>
        <w:rPr>
          <w:spacing w:val="-3"/>
        </w:rPr>
      </w:pPr>
      <w:r w:rsidRPr="006C00FC">
        <w:rPr>
          <w:spacing w:val="-3"/>
          <w:lang w:val="fr-FR"/>
        </w:rPr>
        <w:t xml:space="preserve">ROY, B. </w:t>
      </w:r>
      <w:r w:rsidR="004C7C58" w:rsidRPr="006C00FC">
        <w:rPr>
          <w:spacing w:val="-3"/>
          <w:lang w:val="fr-FR"/>
        </w:rPr>
        <w:t>ELECTRE III: Un algorithme de classement fond</w:t>
      </w:r>
      <w:r w:rsidRPr="006C00FC">
        <w:rPr>
          <w:spacing w:val="-3"/>
          <w:lang w:val="fr-FR"/>
        </w:rPr>
        <w:t>é</w:t>
      </w:r>
      <w:r w:rsidR="004C7C58" w:rsidRPr="006C00FC">
        <w:rPr>
          <w:spacing w:val="-3"/>
          <w:lang w:val="fr-FR"/>
        </w:rPr>
        <w:t xml:space="preserve"> sur une repr</w:t>
      </w:r>
      <w:r w:rsidRPr="006C00FC">
        <w:rPr>
          <w:spacing w:val="-3"/>
          <w:lang w:val="fr-FR"/>
        </w:rPr>
        <w:t>é</w:t>
      </w:r>
      <w:r w:rsidR="004C7C58" w:rsidRPr="006C00FC">
        <w:rPr>
          <w:spacing w:val="-3"/>
          <w:lang w:val="fr-FR"/>
        </w:rPr>
        <w:t>sentation floue des pr</w:t>
      </w:r>
      <w:r w:rsidRPr="006C00FC">
        <w:rPr>
          <w:spacing w:val="-3"/>
          <w:lang w:val="fr-FR"/>
        </w:rPr>
        <w:t>é</w:t>
      </w:r>
      <w:r w:rsidR="004C7C58" w:rsidRPr="006C00FC">
        <w:rPr>
          <w:spacing w:val="-3"/>
          <w:lang w:val="fr-FR"/>
        </w:rPr>
        <w:t>f</w:t>
      </w:r>
      <w:r w:rsidRPr="006C00FC">
        <w:rPr>
          <w:spacing w:val="-3"/>
          <w:lang w:val="fr-FR"/>
        </w:rPr>
        <w:t>é</w:t>
      </w:r>
      <w:r w:rsidR="004C7C58" w:rsidRPr="006C00FC">
        <w:rPr>
          <w:spacing w:val="-3"/>
          <w:lang w:val="fr-FR"/>
        </w:rPr>
        <w:t>rences en pr</w:t>
      </w:r>
      <w:r w:rsidRPr="006C00FC">
        <w:rPr>
          <w:spacing w:val="-3"/>
          <w:lang w:val="fr-FR"/>
        </w:rPr>
        <w:t>é</w:t>
      </w:r>
      <w:r w:rsidR="004C7C58" w:rsidRPr="006C00FC">
        <w:rPr>
          <w:spacing w:val="-3"/>
          <w:lang w:val="fr-FR"/>
        </w:rPr>
        <w:t>sence de crit</w:t>
      </w:r>
      <w:r w:rsidRPr="006C00FC">
        <w:rPr>
          <w:spacing w:val="-3"/>
          <w:lang w:val="fr-FR"/>
        </w:rPr>
        <w:t>é</w:t>
      </w:r>
      <w:r w:rsidR="004C7C58" w:rsidRPr="006C00FC">
        <w:rPr>
          <w:spacing w:val="-3"/>
          <w:lang w:val="fr-FR"/>
        </w:rPr>
        <w:t>res multiples</w:t>
      </w:r>
      <w:r w:rsidRPr="006C00FC">
        <w:rPr>
          <w:spacing w:val="-3"/>
          <w:lang w:val="fr-FR"/>
        </w:rPr>
        <w:t>.</w:t>
      </w:r>
      <w:r w:rsidR="004C7C58" w:rsidRPr="006C00FC">
        <w:rPr>
          <w:spacing w:val="-3"/>
          <w:lang w:val="fr-FR"/>
        </w:rPr>
        <w:t xml:space="preserve"> </w:t>
      </w:r>
      <w:r w:rsidR="004C7C58" w:rsidRPr="00127BD4">
        <w:rPr>
          <w:spacing w:val="-3"/>
        </w:rPr>
        <w:t>Cahiers Centre d’</w:t>
      </w:r>
      <w:r w:rsidRPr="00127BD4">
        <w:rPr>
          <w:spacing w:val="-3"/>
        </w:rPr>
        <w:t>É</w:t>
      </w:r>
      <w:r w:rsidR="004C7C58" w:rsidRPr="00127BD4">
        <w:rPr>
          <w:spacing w:val="-3"/>
        </w:rPr>
        <w:t>tudes Rech. Op</w:t>
      </w:r>
      <w:r w:rsidRPr="00127BD4">
        <w:rPr>
          <w:spacing w:val="-3"/>
        </w:rPr>
        <w:t>é</w:t>
      </w:r>
      <w:r w:rsidR="004C7C58" w:rsidRPr="00127BD4">
        <w:rPr>
          <w:spacing w:val="-3"/>
        </w:rPr>
        <w:t>r. 20</w:t>
      </w:r>
      <w:r w:rsidRPr="00127BD4">
        <w:rPr>
          <w:spacing w:val="-3"/>
        </w:rPr>
        <w:t>,</w:t>
      </w:r>
      <w:r w:rsidR="004C7C58" w:rsidRPr="00127BD4">
        <w:rPr>
          <w:spacing w:val="-3"/>
        </w:rPr>
        <w:t xml:space="preserve"> 1 (1978)</w:t>
      </w:r>
      <w:r w:rsidRPr="00127BD4">
        <w:rPr>
          <w:spacing w:val="-3"/>
        </w:rPr>
        <w:t>; p</w:t>
      </w:r>
      <w:r w:rsidR="004C7C58" w:rsidRPr="00127BD4">
        <w:rPr>
          <w:spacing w:val="-3"/>
        </w:rPr>
        <w:t xml:space="preserve"> 3–24.</w:t>
      </w:r>
    </w:p>
    <w:p w14:paraId="7AD18A1F" w14:textId="54F2D835" w:rsidR="004C7C58" w:rsidRPr="004E4C01" w:rsidRDefault="001204E1" w:rsidP="00511F41">
      <w:pPr>
        <w:numPr>
          <w:ilvl w:val="0"/>
          <w:numId w:val="672"/>
        </w:numPr>
        <w:overflowPunct/>
        <w:autoSpaceDE/>
        <w:autoSpaceDN/>
        <w:adjustRightInd/>
        <w:ind w:left="567" w:hanging="567"/>
        <w:textAlignment w:val="auto"/>
        <w:rPr>
          <w:spacing w:val="-3"/>
        </w:rPr>
      </w:pPr>
      <w:r w:rsidRPr="006C00FC">
        <w:rPr>
          <w:spacing w:val="-3"/>
          <w:lang w:val="fr-FR"/>
        </w:rPr>
        <w:t>ROY, B.</w:t>
      </w:r>
      <w:r w:rsidR="004C7C58" w:rsidRPr="006C00FC">
        <w:rPr>
          <w:spacing w:val="-3"/>
          <w:lang w:val="fr-FR"/>
        </w:rPr>
        <w:t xml:space="preserve"> </w:t>
      </w:r>
      <w:r w:rsidR="001E394D" w:rsidRPr="006C00FC">
        <w:rPr>
          <w:spacing w:val="-3"/>
          <w:lang w:val="fr-FR"/>
        </w:rPr>
        <w:t>BERTIER</w:t>
      </w:r>
      <w:r w:rsidR="004C7C58" w:rsidRPr="006C00FC">
        <w:rPr>
          <w:spacing w:val="-3"/>
          <w:lang w:val="fr-FR"/>
        </w:rPr>
        <w:t xml:space="preserve">, </w:t>
      </w:r>
      <w:r w:rsidRPr="006C00FC">
        <w:rPr>
          <w:spacing w:val="-3"/>
          <w:lang w:val="fr-FR"/>
        </w:rPr>
        <w:t xml:space="preserve">P. </w:t>
      </w:r>
      <w:r w:rsidR="004C7C58" w:rsidRPr="006C00FC">
        <w:rPr>
          <w:spacing w:val="-3"/>
          <w:lang w:val="fr-FR"/>
        </w:rPr>
        <w:t>La m</w:t>
      </w:r>
      <w:r w:rsidRPr="006C00FC">
        <w:rPr>
          <w:spacing w:val="-3"/>
          <w:lang w:val="fr-FR"/>
        </w:rPr>
        <w:t>é</w:t>
      </w:r>
      <w:r w:rsidR="004C7C58" w:rsidRPr="006C00FC">
        <w:rPr>
          <w:spacing w:val="-3"/>
          <w:lang w:val="fr-FR"/>
        </w:rPr>
        <w:t>thode ELECTRE II – Une application au m</w:t>
      </w:r>
      <w:r w:rsidRPr="006C00FC">
        <w:rPr>
          <w:spacing w:val="-3"/>
          <w:lang w:val="fr-FR"/>
        </w:rPr>
        <w:t>é</w:t>
      </w:r>
      <w:r w:rsidR="004C7C58" w:rsidRPr="006C00FC">
        <w:rPr>
          <w:spacing w:val="-3"/>
          <w:lang w:val="fr-FR"/>
        </w:rPr>
        <w:t>dia-planning</w:t>
      </w:r>
      <w:r w:rsidRPr="006C00FC">
        <w:rPr>
          <w:spacing w:val="-3"/>
          <w:lang w:val="fr-FR"/>
        </w:rPr>
        <w:t>.</w:t>
      </w:r>
      <w:r w:rsidR="004C7C58" w:rsidRPr="006C00FC">
        <w:rPr>
          <w:spacing w:val="-3"/>
          <w:lang w:val="fr-FR"/>
        </w:rPr>
        <w:t xml:space="preserve"> </w:t>
      </w:r>
      <w:r w:rsidR="004C7C58" w:rsidRPr="004E4C01">
        <w:rPr>
          <w:spacing w:val="-3"/>
        </w:rPr>
        <w:t>SEMA (Metra International)</w:t>
      </w:r>
      <w:r w:rsidRPr="004E4C01">
        <w:rPr>
          <w:spacing w:val="-3"/>
        </w:rPr>
        <w:t>.</w:t>
      </w:r>
      <w:r w:rsidR="004C7C58" w:rsidRPr="004E4C01">
        <w:rPr>
          <w:spacing w:val="-3"/>
        </w:rPr>
        <w:t xml:space="preserve"> Note de Travail, 142, 1971.</w:t>
      </w:r>
    </w:p>
    <w:p w14:paraId="53ACCF2E" w14:textId="3A0EFDA8" w:rsidR="004C7C58" w:rsidRPr="004E4C01" w:rsidRDefault="001204E1" w:rsidP="00511F41">
      <w:pPr>
        <w:numPr>
          <w:ilvl w:val="0"/>
          <w:numId w:val="672"/>
        </w:numPr>
        <w:overflowPunct/>
        <w:autoSpaceDE/>
        <w:autoSpaceDN/>
        <w:adjustRightInd/>
        <w:ind w:left="567" w:hanging="567"/>
        <w:textAlignment w:val="auto"/>
        <w:rPr>
          <w:spacing w:val="-3"/>
        </w:rPr>
      </w:pPr>
      <w:r w:rsidRPr="006C00FC">
        <w:rPr>
          <w:spacing w:val="-3"/>
          <w:lang w:val="fr-FR"/>
        </w:rPr>
        <w:t xml:space="preserve">ROY, B. </w:t>
      </w:r>
      <w:r w:rsidR="001E394D" w:rsidRPr="006C00FC">
        <w:rPr>
          <w:spacing w:val="-3"/>
          <w:lang w:val="fr-FR"/>
        </w:rPr>
        <w:t>BOUYSSOU</w:t>
      </w:r>
      <w:r w:rsidR="004C7C58" w:rsidRPr="006C00FC">
        <w:rPr>
          <w:spacing w:val="-3"/>
          <w:lang w:val="fr-FR"/>
        </w:rPr>
        <w:t xml:space="preserve">, </w:t>
      </w:r>
      <w:r w:rsidRPr="006C00FC">
        <w:rPr>
          <w:spacing w:val="-3"/>
          <w:lang w:val="fr-FR"/>
        </w:rPr>
        <w:t xml:space="preserve">D. </w:t>
      </w:r>
      <w:r w:rsidR="004C7C58" w:rsidRPr="006C00FC">
        <w:rPr>
          <w:spacing w:val="-3"/>
          <w:lang w:val="fr-FR"/>
        </w:rPr>
        <w:t>Aide Multicrit</w:t>
      </w:r>
      <w:r w:rsidRPr="006C00FC">
        <w:rPr>
          <w:spacing w:val="-3"/>
          <w:lang w:val="fr-FR"/>
        </w:rPr>
        <w:t>é</w:t>
      </w:r>
      <w:r w:rsidR="004C7C58" w:rsidRPr="006C00FC">
        <w:rPr>
          <w:spacing w:val="-3"/>
          <w:lang w:val="fr-FR"/>
        </w:rPr>
        <w:t xml:space="preserve">re </w:t>
      </w:r>
      <w:r w:rsidR="001E394D" w:rsidRPr="006C00FC">
        <w:rPr>
          <w:rFonts w:cs="Arial"/>
          <w:spacing w:val="-3"/>
          <w:lang w:val="fr-FR"/>
        </w:rPr>
        <w:t>à</w:t>
      </w:r>
      <w:r w:rsidR="004C7C58" w:rsidRPr="006C00FC">
        <w:rPr>
          <w:spacing w:val="-3"/>
          <w:lang w:val="fr-FR"/>
        </w:rPr>
        <w:t xml:space="preserve"> la D</w:t>
      </w:r>
      <w:r w:rsidRPr="006C00FC">
        <w:rPr>
          <w:spacing w:val="-3"/>
          <w:lang w:val="fr-FR"/>
        </w:rPr>
        <w:t>é</w:t>
      </w:r>
      <w:r w:rsidR="004C7C58" w:rsidRPr="006C00FC">
        <w:rPr>
          <w:spacing w:val="-3"/>
          <w:lang w:val="fr-FR"/>
        </w:rPr>
        <w:t>cision: M</w:t>
      </w:r>
      <w:r w:rsidRPr="006C00FC">
        <w:rPr>
          <w:spacing w:val="-3"/>
          <w:lang w:val="fr-FR"/>
        </w:rPr>
        <w:t>é</w:t>
      </w:r>
      <w:r w:rsidR="004C7C58" w:rsidRPr="006C00FC">
        <w:rPr>
          <w:spacing w:val="-3"/>
          <w:lang w:val="fr-FR"/>
        </w:rPr>
        <w:t>thodes et Cas</w:t>
      </w:r>
      <w:r w:rsidRPr="006C00FC">
        <w:rPr>
          <w:spacing w:val="-3"/>
          <w:lang w:val="fr-FR"/>
        </w:rPr>
        <w:t>.</w:t>
      </w:r>
      <w:r w:rsidR="004C7C58" w:rsidRPr="006C00FC">
        <w:rPr>
          <w:spacing w:val="-3"/>
          <w:lang w:val="fr-FR"/>
        </w:rPr>
        <w:t xml:space="preserve"> </w:t>
      </w:r>
      <w:r w:rsidR="004C7C58" w:rsidRPr="004E4C01">
        <w:rPr>
          <w:spacing w:val="-3"/>
        </w:rPr>
        <w:t>Paris</w:t>
      </w:r>
      <w:r w:rsidRPr="004E4C01">
        <w:rPr>
          <w:spacing w:val="-3"/>
        </w:rPr>
        <w:t>: Economica,</w:t>
      </w:r>
      <w:r w:rsidR="004C7C58" w:rsidRPr="004E4C01">
        <w:rPr>
          <w:spacing w:val="-3"/>
        </w:rPr>
        <w:t xml:space="preserve"> 1993.</w:t>
      </w:r>
    </w:p>
    <w:p w14:paraId="279504BC" w14:textId="3CD0EB41" w:rsidR="004C7C58" w:rsidRPr="004E4C01" w:rsidRDefault="001204E1" w:rsidP="00511F41">
      <w:pPr>
        <w:numPr>
          <w:ilvl w:val="0"/>
          <w:numId w:val="672"/>
        </w:numPr>
        <w:overflowPunct/>
        <w:autoSpaceDE/>
        <w:autoSpaceDN/>
        <w:adjustRightInd/>
        <w:ind w:left="567" w:hanging="567"/>
        <w:textAlignment w:val="auto"/>
        <w:rPr>
          <w:spacing w:val="-3"/>
        </w:rPr>
      </w:pPr>
      <w:r w:rsidRPr="006C00FC">
        <w:rPr>
          <w:spacing w:val="-3"/>
          <w:lang w:val="en-US"/>
        </w:rPr>
        <w:t>ROY, B.</w:t>
      </w:r>
      <w:r w:rsidR="004C7C58" w:rsidRPr="006C00FC">
        <w:rPr>
          <w:spacing w:val="-3"/>
          <w:lang w:val="en-US"/>
        </w:rPr>
        <w:t xml:space="preserve"> </w:t>
      </w:r>
      <w:r w:rsidR="001E394D" w:rsidRPr="006C00FC">
        <w:rPr>
          <w:spacing w:val="-3"/>
          <w:lang w:val="en-US"/>
        </w:rPr>
        <w:t>HUGONNARD</w:t>
      </w:r>
      <w:r w:rsidR="004C7C58" w:rsidRPr="006C00FC">
        <w:rPr>
          <w:spacing w:val="-3"/>
          <w:lang w:val="en-US"/>
        </w:rPr>
        <w:t xml:space="preserve">, </w:t>
      </w:r>
      <w:r w:rsidR="001E394D" w:rsidRPr="006C00FC">
        <w:rPr>
          <w:spacing w:val="-3"/>
          <w:lang w:val="en-US"/>
        </w:rPr>
        <w:t xml:space="preserve">J. </w:t>
      </w:r>
      <w:r w:rsidR="004C7C58" w:rsidRPr="006C00FC">
        <w:rPr>
          <w:spacing w:val="-3"/>
          <w:lang w:val="en-US"/>
        </w:rPr>
        <w:t>Ranking of suburban line extension projects on the Paris metro system by a multicriteria method</w:t>
      </w:r>
      <w:r w:rsidR="001E394D" w:rsidRPr="006C00FC">
        <w:rPr>
          <w:spacing w:val="-3"/>
          <w:lang w:val="en-US"/>
        </w:rPr>
        <w:t>.</w:t>
      </w:r>
      <w:r w:rsidR="004C7C58" w:rsidRPr="006C00FC">
        <w:rPr>
          <w:spacing w:val="-3"/>
          <w:lang w:val="en-US"/>
        </w:rPr>
        <w:t xml:space="preserve"> </w:t>
      </w:r>
      <w:r w:rsidR="004C7C58" w:rsidRPr="004E4C01">
        <w:rPr>
          <w:spacing w:val="-3"/>
        </w:rPr>
        <w:t>Transport. Res. 16A</w:t>
      </w:r>
      <w:r w:rsidR="001E394D" w:rsidRPr="004E4C01">
        <w:rPr>
          <w:spacing w:val="-3"/>
        </w:rPr>
        <w:t>,</w:t>
      </w:r>
      <w:r w:rsidR="004C7C58" w:rsidRPr="004E4C01">
        <w:rPr>
          <w:spacing w:val="-3"/>
        </w:rPr>
        <w:t xml:space="preserve"> 4 (1982)</w:t>
      </w:r>
      <w:r w:rsidR="001E394D" w:rsidRPr="004E4C01">
        <w:rPr>
          <w:spacing w:val="-3"/>
        </w:rPr>
        <w:t>; p</w:t>
      </w:r>
      <w:r w:rsidR="004C7C58" w:rsidRPr="004E4C01">
        <w:rPr>
          <w:spacing w:val="-3"/>
        </w:rPr>
        <w:t xml:space="preserve"> 301–312.</w:t>
      </w:r>
    </w:p>
    <w:p w14:paraId="1AE35ECA" w14:textId="169B6C3C" w:rsidR="004C7C58" w:rsidRPr="004E4C01" w:rsidRDefault="001E394D" w:rsidP="00511F41">
      <w:pPr>
        <w:numPr>
          <w:ilvl w:val="0"/>
          <w:numId w:val="672"/>
        </w:numPr>
        <w:overflowPunct/>
        <w:autoSpaceDE/>
        <w:autoSpaceDN/>
        <w:adjustRightInd/>
        <w:ind w:left="567" w:hanging="567"/>
        <w:textAlignment w:val="auto"/>
        <w:rPr>
          <w:spacing w:val="-3"/>
        </w:rPr>
      </w:pPr>
      <w:r w:rsidRPr="006C00FC">
        <w:rPr>
          <w:spacing w:val="-3"/>
          <w:lang w:val="en-US"/>
        </w:rPr>
        <w:t xml:space="preserve">SAATY, T. </w:t>
      </w:r>
      <w:r w:rsidR="004C7C58" w:rsidRPr="006C00FC">
        <w:rPr>
          <w:spacing w:val="-3"/>
          <w:lang w:val="en-US"/>
        </w:rPr>
        <w:t>A scaling method for priorities in hierarchical structures</w:t>
      </w:r>
      <w:r w:rsidRPr="006C00FC">
        <w:rPr>
          <w:spacing w:val="-3"/>
          <w:lang w:val="en-US"/>
        </w:rPr>
        <w:t>.</w:t>
      </w:r>
      <w:r w:rsidR="004C7C58" w:rsidRPr="006C00FC">
        <w:rPr>
          <w:spacing w:val="-3"/>
          <w:lang w:val="en-US"/>
        </w:rPr>
        <w:t xml:space="preserve"> </w:t>
      </w:r>
      <w:r w:rsidR="004C7C58" w:rsidRPr="00127BD4">
        <w:rPr>
          <w:spacing w:val="-3"/>
        </w:rPr>
        <w:t xml:space="preserve">J. Math. </w:t>
      </w:r>
      <w:r w:rsidR="004C7C58" w:rsidRPr="004E4C01">
        <w:rPr>
          <w:spacing w:val="-3"/>
        </w:rPr>
        <w:t>Psychol. 15</w:t>
      </w:r>
      <w:r w:rsidRPr="004E4C01">
        <w:rPr>
          <w:spacing w:val="-3"/>
        </w:rPr>
        <w:t>,</w:t>
      </w:r>
      <w:r w:rsidR="004C7C58" w:rsidRPr="004E4C01">
        <w:rPr>
          <w:spacing w:val="-3"/>
        </w:rPr>
        <w:t xml:space="preserve"> 3 (1977)</w:t>
      </w:r>
      <w:r w:rsidRPr="004E4C01">
        <w:rPr>
          <w:spacing w:val="-3"/>
        </w:rPr>
        <w:t>; p</w:t>
      </w:r>
      <w:r w:rsidR="004C7C58" w:rsidRPr="004E4C01">
        <w:rPr>
          <w:spacing w:val="-3"/>
        </w:rPr>
        <w:t xml:space="preserve"> 234–281.</w:t>
      </w:r>
    </w:p>
    <w:p w14:paraId="1FB83198" w14:textId="4D765F74" w:rsidR="004C7C58" w:rsidRPr="004E4C01" w:rsidRDefault="00D2497C" w:rsidP="00511F41">
      <w:pPr>
        <w:numPr>
          <w:ilvl w:val="0"/>
          <w:numId w:val="672"/>
        </w:numPr>
        <w:overflowPunct/>
        <w:autoSpaceDE/>
        <w:autoSpaceDN/>
        <w:adjustRightInd/>
        <w:ind w:left="567" w:hanging="567"/>
        <w:textAlignment w:val="auto"/>
        <w:rPr>
          <w:spacing w:val="-3"/>
        </w:rPr>
      </w:pPr>
      <w:r w:rsidRPr="006C00FC">
        <w:rPr>
          <w:spacing w:val="-3"/>
          <w:lang w:val="en-US"/>
        </w:rPr>
        <w:t xml:space="preserve">SAATY, T. </w:t>
      </w:r>
      <w:r w:rsidR="004C7C58" w:rsidRPr="006C00FC">
        <w:rPr>
          <w:spacing w:val="-3"/>
          <w:lang w:val="en-US"/>
        </w:rPr>
        <w:t>The Analytic Hierarchy Process</w:t>
      </w:r>
      <w:r w:rsidRPr="006C00FC">
        <w:rPr>
          <w:spacing w:val="-3"/>
          <w:lang w:val="en-US"/>
        </w:rPr>
        <w:t xml:space="preserve">. </w:t>
      </w:r>
      <w:r w:rsidR="004C7C58" w:rsidRPr="004E4C01">
        <w:rPr>
          <w:spacing w:val="-3"/>
        </w:rPr>
        <w:t>New York</w:t>
      </w:r>
      <w:r w:rsidRPr="004E4C01">
        <w:rPr>
          <w:spacing w:val="-3"/>
        </w:rPr>
        <w:t>: McGraw- Hill,</w:t>
      </w:r>
      <w:r w:rsidR="004C7C58" w:rsidRPr="004E4C01">
        <w:rPr>
          <w:spacing w:val="-3"/>
        </w:rPr>
        <w:t xml:space="preserve"> 1980.</w:t>
      </w:r>
    </w:p>
    <w:p w14:paraId="78534F42" w14:textId="622140D1" w:rsidR="004C7C58" w:rsidRPr="006C00FC" w:rsidRDefault="00D2497C" w:rsidP="00511F41">
      <w:pPr>
        <w:numPr>
          <w:ilvl w:val="0"/>
          <w:numId w:val="672"/>
        </w:numPr>
        <w:overflowPunct/>
        <w:autoSpaceDE/>
        <w:autoSpaceDN/>
        <w:adjustRightInd/>
        <w:ind w:left="567" w:hanging="567"/>
        <w:textAlignment w:val="auto"/>
        <w:rPr>
          <w:spacing w:val="-3"/>
          <w:lang w:val="fr-FR"/>
        </w:rPr>
      </w:pPr>
      <w:r w:rsidRPr="006C00FC">
        <w:rPr>
          <w:spacing w:val="-3"/>
          <w:lang w:val="fr-FR"/>
        </w:rPr>
        <w:t xml:space="preserve">VINCKE, P. </w:t>
      </w:r>
      <w:r w:rsidR="004C7C58" w:rsidRPr="006C00FC">
        <w:rPr>
          <w:spacing w:val="-3"/>
          <w:lang w:val="fr-FR"/>
        </w:rPr>
        <w:t>L’aide Multicrit</w:t>
      </w:r>
      <w:r w:rsidRPr="006C00FC">
        <w:rPr>
          <w:spacing w:val="-3"/>
          <w:lang w:val="fr-FR"/>
        </w:rPr>
        <w:t>é</w:t>
      </w:r>
      <w:r w:rsidR="004C7C58" w:rsidRPr="006C00FC">
        <w:rPr>
          <w:spacing w:val="-3"/>
          <w:lang w:val="fr-FR"/>
        </w:rPr>
        <w:t xml:space="preserve">re </w:t>
      </w:r>
      <w:r w:rsidRPr="006C00FC">
        <w:rPr>
          <w:rFonts w:cs="Arial"/>
          <w:spacing w:val="-3"/>
          <w:lang w:val="fr-FR"/>
        </w:rPr>
        <w:t>à</w:t>
      </w:r>
      <w:r w:rsidR="004C7C58" w:rsidRPr="006C00FC">
        <w:rPr>
          <w:spacing w:val="-3"/>
          <w:lang w:val="fr-FR"/>
        </w:rPr>
        <w:t xml:space="preserve"> la D</w:t>
      </w:r>
      <w:r w:rsidRPr="006C00FC">
        <w:rPr>
          <w:spacing w:val="-3"/>
          <w:lang w:val="fr-FR"/>
        </w:rPr>
        <w:t>é</w:t>
      </w:r>
      <w:r w:rsidR="004C7C58" w:rsidRPr="006C00FC">
        <w:rPr>
          <w:spacing w:val="-3"/>
          <w:lang w:val="fr-FR"/>
        </w:rPr>
        <w:t>cision</w:t>
      </w:r>
      <w:r w:rsidRPr="006C00FC">
        <w:rPr>
          <w:spacing w:val="-3"/>
          <w:lang w:val="fr-FR"/>
        </w:rPr>
        <w:t>.</w:t>
      </w:r>
      <w:r w:rsidR="004C7C58" w:rsidRPr="006C00FC">
        <w:rPr>
          <w:spacing w:val="-3"/>
          <w:lang w:val="fr-FR"/>
        </w:rPr>
        <w:t xml:space="preserve"> </w:t>
      </w:r>
      <w:r w:rsidRPr="006C00FC">
        <w:rPr>
          <w:spacing w:val="-3"/>
          <w:lang w:val="fr-FR"/>
        </w:rPr>
        <w:t>É</w:t>
      </w:r>
      <w:r w:rsidR="004C7C58" w:rsidRPr="006C00FC">
        <w:rPr>
          <w:spacing w:val="-3"/>
          <w:lang w:val="fr-FR"/>
        </w:rPr>
        <w:t>ditions del</w:t>
      </w:r>
      <w:r w:rsidRPr="006C00FC">
        <w:rPr>
          <w:spacing w:val="-3"/>
          <w:lang w:val="fr-FR"/>
        </w:rPr>
        <w:t xml:space="preserve"> </w:t>
      </w:r>
      <w:r w:rsidR="004C7C58" w:rsidRPr="006C00FC">
        <w:rPr>
          <w:spacing w:val="-3"/>
          <w:lang w:val="fr-FR"/>
        </w:rPr>
        <w:t>Universit</w:t>
      </w:r>
      <w:r w:rsidRPr="006C00FC">
        <w:rPr>
          <w:spacing w:val="-3"/>
          <w:lang w:val="fr-FR"/>
        </w:rPr>
        <w:t>é</w:t>
      </w:r>
      <w:r w:rsidR="004C7C58" w:rsidRPr="006C00FC">
        <w:rPr>
          <w:spacing w:val="-3"/>
          <w:lang w:val="fr-FR"/>
        </w:rPr>
        <w:t xml:space="preserve"> de Bruxelles, 1989.</w:t>
      </w:r>
    </w:p>
    <w:p w14:paraId="2F149C46" w14:textId="3F096A38" w:rsidR="004C7C58" w:rsidRPr="004E4C01" w:rsidRDefault="00D2497C" w:rsidP="00511F41">
      <w:pPr>
        <w:numPr>
          <w:ilvl w:val="0"/>
          <w:numId w:val="672"/>
        </w:numPr>
        <w:overflowPunct/>
        <w:autoSpaceDE/>
        <w:autoSpaceDN/>
        <w:adjustRightInd/>
        <w:ind w:left="567" w:hanging="567"/>
        <w:textAlignment w:val="auto"/>
        <w:rPr>
          <w:spacing w:val="-3"/>
        </w:rPr>
      </w:pPr>
      <w:r w:rsidRPr="006C00FC">
        <w:rPr>
          <w:spacing w:val="-3"/>
          <w:lang w:val="en-US"/>
        </w:rPr>
        <w:t>VOOGD</w:t>
      </w:r>
      <w:r w:rsidR="004C7C58" w:rsidRPr="006C00FC">
        <w:rPr>
          <w:spacing w:val="-3"/>
          <w:lang w:val="en-US"/>
        </w:rPr>
        <w:t xml:space="preserve">, </w:t>
      </w:r>
      <w:r w:rsidRPr="006C00FC">
        <w:rPr>
          <w:spacing w:val="-3"/>
          <w:lang w:val="en-US"/>
        </w:rPr>
        <w:t xml:space="preserve">H. </w:t>
      </w:r>
      <w:r w:rsidR="004C7C58" w:rsidRPr="006C00FC">
        <w:rPr>
          <w:spacing w:val="-3"/>
          <w:lang w:val="en-US"/>
        </w:rPr>
        <w:t>Multicriteria Evaluation for Urban and Regional Planning</w:t>
      </w:r>
      <w:r w:rsidRPr="006C00FC">
        <w:rPr>
          <w:spacing w:val="-3"/>
          <w:lang w:val="en-US"/>
        </w:rPr>
        <w:t xml:space="preserve">. </w:t>
      </w:r>
      <w:r w:rsidR="004C7C58" w:rsidRPr="004E4C01">
        <w:rPr>
          <w:spacing w:val="-3"/>
        </w:rPr>
        <w:t>London</w:t>
      </w:r>
      <w:r w:rsidRPr="004E4C01">
        <w:rPr>
          <w:spacing w:val="-3"/>
        </w:rPr>
        <w:t>: Pion</w:t>
      </w:r>
      <w:r w:rsidR="004C7C58" w:rsidRPr="004E4C01">
        <w:rPr>
          <w:spacing w:val="-3"/>
        </w:rPr>
        <w:t>, 1983.</w:t>
      </w:r>
    </w:p>
    <w:p w14:paraId="44BC08AA" w14:textId="4E371C7D" w:rsidR="004C7C58" w:rsidRPr="006C00FC" w:rsidRDefault="00D2497C" w:rsidP="00A41DC6">
      <w:pPr>
        <w:numPr>
          <w:ilvl w:val="0"/>
          <w:numId w:val="672"/>
        </w:numPr>
        <w:overflowPunct/>
        <w:autoSpaceDE/>
        <w:autoSpaceDN/>
        <w:adjustRightInd/>
        <w:ind w:left="567" w:hanging="567"/>
        <w:textAlignment w:val="auto"/>
        <w:rPr>
          <w:spacing w:val="-3"/>
          <w:lang w:val="en-US"/>
        </w:rPr>
      </w:pPr>
      <w:r w:rsidRPr="006C00FC">
        <w:rPr>
          <w:spacing w:val="-3"/>
          <w:lang w:val="en-US"/>
        </w:rPr>
        <w:t>YAGER</w:t>
      </w:r>
      <w:r w:rsidR="004C7C58" w:rsidRPr="006C00FC">
        <w:rPr>
          <w:spacing w:val="-3"/>
          <w:lang w:val="en-US"/>
        </w:rPr>
        <w:t xml:space="preserve">, </w:t>
      </w:r>
      <w:r w:rsidRPr="006C00FC">
        <w:rPr>
          <w:spacing w:val="-3"/>
          <w:lang w:val="en-US"/>
        </w:rPr>
        <w:t xml:space="preserve">R. </w:t>
      </w:r>
      <w:r w:rsidR="004C7C58" w:rsidRPr="006C00FC">
        <w:rPr>
          <w:spacing w:val="-3"/>
          <w:lang w:val="en-US"/>
        </w:rPr>
        <w:t>Fuzzy decision-making including unequal objectives</w:t>
      </w:r>
      <w:r w:rsidRPr="006C00FC">
        <w:rPr>
          <w:spacing w:val="-3"/>
          <w:lang w:val="en-US"/>
        </w:rPr>
        <w:t>.</w:t>
      </w:r>
      <w:r w:rsidR="004C7C58" w:rsidRPr="006C00FC">
        <w:rPr>
          <w:spacing w:val="-3"/>
          <w:lang w:val="en-US"/>
        </w:rPr>
        <w:t xml:space="preserve"> Fuzzy Sets and Systems</w:t>
      </w:r>
      <w:r w:rsidRPr="006C00FC">
        <w:rPr>
          <w:spacing w:val="-3"/>
          <w:lang w:val="en-US"/>
        </w:rPr>
        <w:t>.</w:t>
      </w:r>
      <w:r w:rsidR="004C7C58" w:rsidRPr="006C00FC">
        <w:rPr>
          <w:spacing w:val="-3"/>
          <w:lang w:val="en-US"/>
        </w:rPr>
        <w:t xml:space="preserve"> 1</w:t>
      </w:r>
      <w:r w:rsidRPr="006C00FC">
        <w:rPr>
          <w:spacing w:val="-3"/>
          <w:lang w:val="en-US"/>
        </w:rPr>
        <w:t>,</w:t>
      </w:r>
      <w:r w:rsidR="004C7C58" w:rsidRPr="006C00FC">
        <w:rPr>
          <w:spacing w:val="-3"/>
          <w:lang w:val="en-US"/>
        </w:rPr>
        <w:t xml:space="preserve"> 2 (1978)</w:t>
      </w:r>
      <w:r w:rsidRPr="006C00FC">
        <w:rPr>
          <w:spacing w:val="-3"/>
          <w:lang w:val="en-US"/>
        </w:rPr>
        <w:t>; p</w:t>
      </w:r>
      <w:r w:rsidR="004C7C58" w:rsidRPr="006C00FC">
        <w:rPr>
          <w:spacing w:val="-3"/>
          <w:lang w:val="en-US"/>
        </w:rPr>
        <w:t xml:space="preserve"> 87–95.</w:t>
      </w:r>
    </w:p>
    <w:p w14:paraId="7CA5366C" w14:textId="21FAC3EC" w:rsidR="004C7C58" w:rsidRPr="00127BD4" w:rsidRDefault="00D2497C" w:rsidP="00A41DC6">
      <w:pPr>
        <w:numPr>
          <w:ilvl w:val="0"/>
          <w:numId w:val="672"/>
        </w:numPr>
        <w:overflowPunct/>
        <w:autoSpaceDE/>
        <w:autoSpaceDN/>
        <w:adjustRightInd/>
        <w:ind w:left="567" w:hanging="567"/>
        <w:textAlignment w:val="auto"/>
        <w:rPr>
          <w:spacing w:val="-3"/>
        </w:rPr>
      </w:pPr>
      <w:r w:rsidRPr="006C00FC">
        <w:rPr>
          <w:spacing w:val="-3"/>
          <w:lang w:val="en-US"/>
        </w:rPr>
        <w:t>HUTTON, F., BARRETT, B.</w:t>
      </w:r>
      <w:r w:rsidR="004C7C58" w:rsidRPr="006C00FC">
        <w:rPr>
          <w:spacing w:val="-3"/>
          <w:lang w:val="en-US"/>
        </w:rPr>
        <w:t xml:space="preserve"> Decision Quality Using Ranked and Partially ranked Attribute Weights</w:t>
      </w:r>
      <w:r w:rsidRPr="006C00FC">
        <w:rPr>
          <w:spacing w:val="-3"/>
          <w:lang w:val="en-US"/>
        </w:rPr>
        <w:t xml:space="preserve">. </w:t>
      </w:r>
      <w:r w:rsidR="003C3A59" w:rsidRPr="006C00FC">
        <w:rPr>
          <w:spacing w:val="-3"/>
          <w:lang w:val="en-US"/>
        </w:rPr>
        <w:t>Management Science. 42., 11</w:t>
      </w:r>
      <w:r w:rsidRPr="006C00FC">
        <w:rPr>
          <w:spacing w:val="-3"/>
          <w:lang w:val="en-US"/>
        </w:rPr>
        <w:t xml:space="preserve"> </w:t>
      </w:r>
      <w:r w:rsidR="003C3A59" w:rsidRPr="006C00FC">
        <w:rPr>
          <w:spacing w:val="-3"/>
          <w:lang w:val="en-US"/>
        </w:rPr>
        <w:t>(</w:t>
      </w:r>
      <w:r w:rsidRPr="006C00FC">
        <w:rPr>
          <w:spacing w:val="-3"/>
          <w:lang w:val="en-US"/>
        </w:rPr>
        <w:t>1996</w:t>
      </w:r>
      <w:r w:rsidR="003C3A59" w:rsidRPr="006C00FC">
        <w:rPr>
          <w:spacing w:val="-3"/>
          <w:lang w:val="en-US"/>
        </w:rPr>
        <w:t>)</w:t>
      </w:r>
      <w:r w:rsidRPr="006C00FC">
        <w:rPr>
          <w:spacing w:val="-3"/>
          <w:lang w:val="en-US"/>
        </w:rPr>
        <w:t>.</w:t>
      </w:r>
      <w:r w:rsidR="004C7C58" w:rsidRPr="006C00FC">
        <w:rPr>
          <w:spacing w:val="-3"/>
          <w:lang w:val="en-US"/>
        </w:rPr>
        <w:t xml:space="preserve"> </w:t>
      </w:r>
      <w:r w:rsidRPr="006C00FC">
        <w:rPr>
          <w:spacing w:val="-3"/>
          <w:lang w:val="en-US"/>
        </w:rPr>
        <w:t>Citado e</w:t>
      </w:r>
      <w:r w:rsidR="004C7C58" w:rsidRPr="006C00FC">
        <w:rPr>
          <w:spacing w:val="-3"/>
          <w:lang w:val="en-US"/>
        </w:rPr>
        <w:t xml:space="preserve">n </w:t>
      </w:r>
      <w:r w:rsidRPr="006C00FC">
        <w:rPr>
          <w:spacing w:val="-3"/>
          <w:lang w:val="en-US"/>
        </w:rPr>
        <w:t xml:space="preserve">OLSON, D. Decision aids for selection problems. </w:t>
      </w:r>
      <w:r w:rsidRPr="00127BD4">
        <w:rPr>
          <w:spacing w:val="-3"/>
        </w:rPr>
        <w:t>Berlin: Springer, 1996.</w:t>
      </w:r>
    </w:p>
    <w:p w14:paraId="179D32B9" w14:textId="2F54A65A" w:rsidR="007D6428" w:rsidRPr="00127BD4" w:rsidRDefault="003D723A" w:rsidP="00A41DC6">
      <w:pPr>
        <w:numPr>
          <w:ilvl w:val="0"/>
          <w:numId w:val="672"/>
        </w:numPr>
        <w:overflowPunct/>
        <w:autoSpaceDE/>
        <w:autoSpaceDN/>
        <w:adjustRightInd/>
        <w:ind w:left="567" w:hanging="567"/>
        <w:textAlignment w:val="auto"/>
        <w:rPr>
          <w:spacing w:val="-3"/>
        </w:rPr>
      </w:pPr>
      <w:r w:rsidRPr="006C00FC">
        <w:rPr>
          <w:spacing w:val="-3"/>
          <w:lang w:val="en-US"/>
        </w:rPr>
        <w:t>EDWARDS</w:t>
      </w:r>
      <w:r w:rsidR="004C7C58" w:rsidRPr="006C00FC">
        <w:rPr>
          <w:spacing w:val="-3"/>
          <w:lang w:val="en-US"/>
        </w:rPr>
        <w:t xml:space="preserve">, </w:t>
      </w:r>
      <w:r w:rsidRPr="006C00FC">
        <w:rPr>
          <w:spacing w:val="-3"/>
          <w:lang w:val="en-US"/>
        </w:rPr>
        <w:t xml:space="preserve">W., HUTTON </w:t>
      </w:r>
      <w:r w:rsidR="004C7C58" w:rsidRPr="006C00FC">
        <w:rPr>
          <w:spacing w:val="-3"/>
          <w:lang w:val="en-US"/>
        </w:rPr>
        <w:t>F. SMARTS and SMARTER: Improved simple methods for multiattribute utility</w:t>
      </w:r>
      <w:r w:rsidRPr="006C00FC">
        <w:rPr>
          <w:spacing w:val="-3"/>
          <w:lang w:val="en-US"/>
        </w:rPr>
        <w:t xml:space="preserve">. </w:t>
      </w:r>
      <w:r w:rsidRPr="00127BD4">
        <w:rPr>
          <w:spacing w:val="-3"/>
        </w:rPr>
        <w:t>Organizational behavior and human decision processes. 60 (1994); p 306-325.</w:t>
      </w:r>
      <w:r w:rsidR="007D6428" w:rsidRPr="00127BD4">
        <w:rPr>
          <w:spacing w:val="-3"/>
        </w:rPr>
        <w:br w:type="page"/>
      </w:r>
    </w:p>
    <w:p w14:paraId="3DAC3D7A" w14:textId="77777777" w:rsidR="007D6428" w:rsidRPr="00127BD4" w:rsidRDefault="007D6428" w:rsidP="009420F5">
      <w:pPr>
        <w:overflowPunct/>
        <w:autoSpaceDE/>
        <w:autoSpaceDN/>
        <w:adjustRightInd/>
        <w:textAlignment w:val="auto"/>
        <w:rPr>
          <w:spacing w:val="-3"/>
        </w:rPr>
      </w:pPr>
    </w:p>
    <w:p w14:paraId="27765436" w14:textId="20CC216C" w:rsidR="004471D7" w:rsidRPr="00EE6898" w:rsidRDefault="004471D7" w:rsidP="004471D7">
      <w:pPr>
        <w:pStyle w:val="Captulosinnumero"/>
      </w:pPr>
      <w:bookmarkStart w:id="11449" w:name="_Toc230879727"/>
      <w:r w:rsidRPr="004E4C01">
        <w:rPr>
          <w:lang w:val="es-CO"/>
        </w:rPr>
        <w:t>BIBLIOGRAFÍA</w:t>
      </w:r>
      <w:bookmarkEnd w:id="11441"/>
      <w:bookmarkEnd w:id="11442"/>
      <w:bookmarkEnd w:id="11443"/>
      <w:bookmarkEnd w:id="11444"/>
      <w:bookmarkEnd w:id="11445"/>
      <w:r w:rsidRPr="004E4C01">
        <w:rPr>
          <w:lang w:val="es-CO"/>
        </w:rPr>
        <w:t xml:space="preserve"> GLOSARIO</w:t>
      </w:r>
      <w:bookmarkEnd w:id="11446"/>
      <w:bookmarkEnd w:id="11449"/>
    </w:p>
    <w:sectPr w:rsidR="004471D7" w:rsidRPr="00EE6898" w:rsidSect="00967B56">
      <w:headerReference w:type="even" r:id="rId92"/>
      <w:headerReference w:type="default" r:id="rId93"/>
      <w:footerReference w:type="default" r:id="rId94"/>
      <w:headerReference w:type="first" r:id="rId95"/>
      <w:pgSz w:w="12242" w:h="15842" w:code="1"/>
      <w:pgMar w:top="2268" w:right="1134" w:bottom="1701" w:left="1701" w:header="1134"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44F47" w14:textId="77777777" w:rsidR="00921E22" w:rsidRPr="004E4C01" w:rsidRDefault="00921E22"/>
  </w:endnote>
  <w:endnote w:type="continuationSeparator" w:id="0">
    <w:p w14:paraId="049C58E1" w14:textId="77777777" w:rsidR="00921E22" w:rsidRPr="004E4C01" w:rsidRDefault="00921E22">
      <w:r w:rsidRPr="004E4C01">
        <w:continuationSeparator/>
      </w:r>
    </w:p>
  </w:endnote>
  <w:endnote w:type="continuationNotice" w:id="1">
    <w:p w14:paraId="127EA74D" w14:textId="77777777" w:rsidR="00921E22" w:rsidRPr="004E4C01" w:rsidRDefault="00921E22"/>
  </w:endnote>
  <w:endnote w:id="2">
    <w:p w14:paraId="282FD287" w14:textId="1B712F20" w:rsidR="00D55F13" w:rsidRPr="004E4C01" w:rsidRDefault="00D55F13">
      <w:pPr>
        <w:pStyle w:val="Textonotaalfinal"/>
        <w:rPr>
          <w:rFonts w:cs="Arial"/>
        </w:rPr>
      </w:pPr>
      <w:r w:rsidRPr="004E4C01">
        <w:rPr>
          <w:rFonts w:cs="Arial"/>
          <w:vertAlign w:val="superscript"/>
        </w:rPr>
        <w:t>[</w:t>
      </w:r>
      <w:r w:rsidRPr="004E4C01">
        <w:rPr>
          <w:rStyle w:val="Refdenotaalfinal"/>
        </w:rPr>
        <w:endnoteRef/>
      </w:r>
      <w:r w:rsidRPr="004E4C01">
        <w:rPr>
          <w:rFonts w:cs="Arial"/>
          <w:vertAlign w:val="superscript"/>
        </w:rPr>
        <w:t>]</w:t>
      </w:r>
      <w:r w:rsidRPr="004E4C01">
        <w:t xml:space="preserve"> </w:t>
      </w:r>
      <w:r w:rsidRPr="004E4C01">
        <w:rPr>
          <w:rFonts w:cs="Arial"/>
        </w:rPr>
        <w:t>COLOMBIA. MINISTERIO DE AMBIENTE Y DESARROLLO SOSTENIBLE –Minambiente. Decreto 1076 “Por medio del cual se expide el Decreto Único Reglamentario del Sector Ambiente y Desarrollo Sostenible". Bogotá: Ministerio de Ambiente y Desarrollo Sostenible, 2015.</w:t>
      </w:r>
    </w:p>
    <w:p w14:paraId="60299CBD" w14:textId="77777777" w:rsidR="00D55F13" w:rsidRPr="004E4C01" w:rsidRDefault="00D55F13">
      <w:pPr>
        <w:pStyle w:val="Textonotaalfinal"/>
        <w:rPr>
          <w:rFonts w:cs="Arial"/>
        </w:rPr>
      </w:pPr>
    </w:p>
  </w:endnote>
  <w:endnote w:id="3">
    <w:p w14:paraId="1BDAF059" w14:textId="39B0E1D4" w:rsidR="00D55F13" w:rsidRPr="004E4C01" w:rsidRDefault="00D55F13">
      <w:pPr>
        <w:pStyle w:val="Textonotaalfinal"/>
        <w:rPr>
          <w:rFonts w:cs="Arial"/>
        </w:rPr>
      </w:pPr>
      <w:r w:rsidRPr="004E4C01">
        <w:rPr>
          <w:rFonts w:cs="Arial"/>
          <w:vertAlign w:val="superscript"/>
        </w:rPr>
        <w:t>[</w:t>
      </w:r>
      <w:r w:rsidRPr="004E4C01">
        <w:rPr>
          <w:vertAlign w:val="superscript"/>
        </w:rPr>
        <w:endnoteRef/>
      </w:r>
      <w:r w:rsidRPr="004E4C01">
        <w:rPr>
          <w:rFonts w:cs="Arial"/>
          <w:vertAlign w:val="superscript"/>
        </w:rPr>
        <w:t>]</w:t>
      </w:r>
      <w:r w:rsidRPr="004E4C01">
        <w:rPr>
          <w:rFonts w:cs="Arial"/>
        </w:rPr>
        <w:t xml:space="preserve"> COLOMBIA. CONGRESO DE LA REPÚBLICA.</w:t>
      </w:r>
      <w:r w:rsidRPr="004E4C01">
        <w:t xml:space="preserve"> Ley 1931 </w:t>
      </w:r>
      <w:r w:rsidRPr="004E4C01">
        <w:rPr>
          <w:rFonts w:cs="Arial"/>
        </w:rPr>
        <w:t>“Por</w:t>
      </w:r>
      <w:r w:rsidRPr="004E4C01">
        <w:t xml:space="preserve"> la cual se establecen directrices para la gestión del cambio climático</w:t>
      </w:r>
      <w:r w:rsidRPr="004E4C01">
        <w:rPr>
          <w:rFonts w:cs="Arial"/>
        </w:rPr>
        <w:t>”. Bogotá: Congreso de la República. 2018</w:t>
      </w:r>
      <w:r w:rsidRPr="004E4C01">
        <w:t>.</w:t>
      </w:r>
    </w:p>
    <w:p w14:paraId="2405B992" w14:textId="77777777" w:rsidR="00D55F13" w:rsidRPr="004E4C01" w:rsidRDefault="00D55F13">
      <w:pPr>
        <w:pStyle w:val="Textonotaalfinal"/>
        <w:rPr>
          <w:rFonts w:cs="Arial"/>
        </w:rPr>
      </w:pPr>
    </w:p>
  </w:endnote>
  <w:endnote w:id="4">
    <w:p w14:paraId="5AB379AF" w14:textId="77777777" w:rsidR="009D3D93" w:rsidRPr="00127BD4" w:rsidRDefault="009D3D93" w:rsidP="009D3D93">
      <w:pPr>
        <w:pStyle w:val="Textonotaalfinal"/>
        <w:rPr>
          <w:rFonts w:cs="Arial"/>
          <w:lang w:val="en-US"/>
        </w:rPr>
      </w:pPr>
      <w:r w:rsidRPr="00127BD4">
        <w:rPr>
          <w:rFonts w:cs="Arial"/>
          <w:vertAlign w:val="superscript"/>
        </w:rPr>
        <w:t>[</w:t>
      </w:r>
      <w:r w:rsidRPr="004E4C01">
        <w:rPr>
          <w:vertAlign w:val="superscript"/>
        </w:rPr>
        <w:endnoteRef/>
      </w:r>
      <w:r w:rsidRPr="00127BD4">
        <w:rPr>
          <w:rFonts w:cs="Arial"/>
          <w:vertAlign w:val="superscript"/>
        </w:rPr>
        <w:t xml:space="preserve">] </w:t>
      </w:r>
      <w:r w:rsidRPr="00127BD4">
        <w:rPr>
          <w:rFonts w:cs="Arial"/>
        </w:rPr>
        <w:t xml:space="preserve">DEPARTAMENTO NACIONAL DE PLANEACIÓN -DNP. ABC: Adaptación bases conceptuales. Marco conceptual y lineamientos del Plan Nacional de Adaptación al Cambio Climático (PNACC). </w:t>
      </w:r>
      <w:r w:rsidRPr="00127BD4">
        <w:rPr>
          <w:rFonts w:cs="Arial"/>
          <w:lang w:val="en-US"/>
        </w:rPr>
        <w:t>DNP, Minambiente, Ideam, SNGRD, UNGRD, s. f.</w:t>
      </w:r>
    </w:p>
    <w:p w14:paraId="32500CC3" w14:textId="77777777" w:rsidR="009D3D93" w:rsidRPr="00127BD4" w:rsidRDefault="009D3D93" w:rsidP="009D3D93">
      <w:pPr>
        <w:pStyle w:val="Textonotaalfinal"/>
        <w:rPr>
          <w:rFonts w:cs="Arial"/>
          <w:lang w:val="en-US"/>
        </w:rPr>
      </w:pPr>
    </w:p>
  </w:endnote>
  <w:endnote w:id="5">
    <w:p w14:paraId="576978C7" w14:textId="524323D8" w:rsidR="00897F46" w:rsidRPr="004E4C01" w:rsidRDefault="00897F46" w:rsidP="009F32F2">
      <w:pPr>
        <w:pStyle w:val="Textonotaalfinal"/>
        <w:rPr>
          <w:rFonts w:cs="Arial"/>
        </w:rPr>
      </w:pPr>
      <w:r w:rsidRPr="00127BD4">
        <w:rPr>
          <w:rFonts w:cs="Arial"/>
          <w:vertAlign w:val="superscript"/>
          <w:lang w:val="en-US"/>
        </w:rPr>
        <w:t>[</w:t>
      </w:r>
      <w:r w:rsidRPr="004E4C01">
        <w:rPr>
          <w:vertAlign w:val="superscript"/>
        </w:rPr>
        <w:endnoteRef/>
      </w:r>
      <w:r w:rsidRPr="00127BD4">
        <w:rPr>
          <w:rFonts w:cs="Arial"/>
          <w:vertAlign w:val="superscript"/>
          <w:lang w:val="en-US"/>
        </w:rPr>
        <w:t>]</w:t>
      </w:r>
      <w:r w:rsidR="0024415C" w:rsidRPr="00127BD4">
        <w:rPr>
          <w:rFonts w:cs="Arial"/>
          <w:vertAlign w:val="superscript"/>
          <w:lang w:val="en-US"/>
        </w:rPr>
        <w:t xml:space="preserve"> </w:t>
      </w:r>
      <w:r w:rsidR="00BF2F6C" w:rsidRPr="00127BD4">
        <w:rPr>
          <w:lang w:val="en-US"/>
        </w:rPr>
        <w:t xml:space="preserve">Adaptado de: </w:t>
      </w:r>
      <w:r w:rsidR="0024415C" w:rsidRPr="00127BD4">
        <w:rPr>
          <w:rFonts w:cs="Arial"/>
          <w:lang w:val="en-US"/>
        </w:rPr>
        <w:t xml:space="preserve">REID, H., HUQ, S. AND MURRAY, </w:t>
      </w:r>
      <w:r w:rsidR="009C1C12" w:rsidRPr="00127BD4">
        <w:rPr>
          <w:rFonts w:cs="Arial"/>
          <w:lang w:val="en-US"/>
        </w:rPr>
        <w:t>L</w:t>
      </w:r>
      <w:r w:rsidR="0024415C" w:rsidRPr="00127BD4">
        <w:rPr>
          <w:rFonts w:cs="Arial"/>
          <w:lang w:val="en-US"/>
        </w:rPr>
        <w:t xml:space="preserve">. </w:t>
      </w:r>
      <w:r w:rsidR="009F32F2" w:rsidRPr="00127BD4">
        <w:rPr>
          <w:rFonts w:cs="Arial"/>
          <w:lang w:val="en-US"/>
        </w:rPr>
        <w:t xml:space="preserve">Community Champions: Adapting to Climate Challenges. </w:t>
      </w:r>
      <w:r w:rsidR="009F32F2" w:rsidRPr="004E4C01">
        <w:rPr>
          <w:rFonts w:cs="Arial"/>
        </w:rPr>
        <w:t>London</w:t>
      </w:r>
      <w:r w:rsidR="009C1C12" w:rsidRPr="004E4C01">
        <w:rPr>
          <w:rFonts w:cs="Arial"/>
        </w:rPr>
        <w:t>: International Institute for Environment and Development</w:t>
      </w:r>
      <w:r w:rsidR="0045449A" w:rsidRPr="004E4C01">
        <w:rPr>
          <w:rFonts w:cs="Arial"/>
        </w:rPr>
        <w:t>.</w:t>
      </w:r>
      <w:r w:rsidR="009F32F2" w:rsidRPr="004E4C01">
        <w:rPr>
          <w:rFonts w:cs="Arial"/>
        </w:rPr>
        <w:t xml:space="preserve"> 2010.</w:t>
      </w:r>
    </w:p>
    <w:p w14:paraId="044B6002" w14:textId="77777777" w:rsidR="00897F46" w:rsidRPr="004E4C01" w:rsidRDefault="00897F46" w:rsidP="00897F46">
      <w:pPr>
        <w:pStyle w:val="Textonotaalfinal"/>
        <w:rPr>
          <w:rFonts w:cs="Arial"/>
        </w:rPr>
      </w:pPr>
    </w:p>
  </w:endnote>
  <w:endnote w:id="6">
    <w:p w14:paraId="0E5C7787" w14:textId="2A2A97FB" w:rsidR="002F4B3B" w:rsidRPr="004E4C01" w:rsidRDefault="002F4B3B" w:rsidP="00BF2F6C">
      <w:pPr>
        <w:pStyle w:val="Textonotaalfinal"/>
        <w:rPr>
          <w:rFonts w:cs="Arial"/>
        </w:rPr>
      </w:pPr>
      <w:r w:rsidRPr="00127BD4">
        <w:rPr>
          <w:rFonts w:cs="Arial"/>
          <w:vertAlign w:val="superscript"/>
        </w:rPr>
        <w:t>[</w:t>
      </w:r>
      <w:r w:rsidRPr="004E4C01">
        <w:rPr>
          <w:vertAlign w:val="superscript"/>
        </w:rPr>
        <w:endnoteRef/>
      </w:r>
      <w:r w:rsidRPr="00127BD4">
        <w:rPr>
          <w:rFonts w:cs="Arial"/>
          <w:vertAlign w:val="superscript"/>
        </w:rPr>
        <w:t>]</w:t>
      </w:r>
      <w:r w:rsidR="00BF2F6C" w:rsidRPr="00127BD4">
        <w:rPr>
          <w:rFonts w:cs="Arial"/>
          <w:vertAlign w:val="superscript"/>
        </w:rPr>
        <w:t xml:space="preserve"> </w:t>
      </w:r>
      <w:r w:rsidR="001538C7" w:rsidRPr="00127BD4">
        <w:rPr>
          <w:rFonts w:cs="Arial"/>
        </w:rPr>
        <w:t>LHUMEAU, A. &amp; CORDERO, D</w:t>
      </w:r>
      <w:r w:rsidR="00BF2F6C" w:rsidRPr="00127BD4">
        <w:rPr>
          <w:rFonts w:cs="Arial"/>
        </w:rPr>
        <w:t xml:space="preserve">. Adaptación basada en Ecosistemas: una respuesta al cambio climático. </w:t>
      </w:r>
      <w:r w:rsidR="00BF2F6C" w:rsidRPr="004E4C01">
        <w:rPr>
          <w:rFonts w:cs="Arial"/>
        </w:rPr>
        <w:t xml:space="preserve">Quito, Ecuador: UICN, </w:t>
      </w:r>
      <w:r w:rsidR="00BF2F6C" w:rsidRPr="00127BD4">
        <w:rPr>
          <w:rFonts w:cs="Arial"/>
        </w:rPr>
        <w:t>2012.</w:t>
      </w:r>
    </w:p>
    <w:p w14:paraId="0C621BE3" w14:textId="77777777" w:rsidR="002F4B3B" w:rsidRPr="004E4C01" w:rsidRDefault="002F4B3B" w:rsidP="002F4B3B">
      <w:pPr>
        <w:pStyle w:val="Textonotaalfinal"/>
        <w:rPr>
          <w:rFonts w:cs="Arial"/>
        </w:rPr>
      </w:pPr>
    </w:p>
  </w:endnote>
  <w:endnote w:id="7">
    <w:p w14:paraId="1960EBF9" w14:textId="5A9E14B0" w:rsidR="00D55F13" w:rsidRPr="006C00FC" w:rsidRDefault="00D55F13">
      <w:pPr>
        <w:rPr>
          <w:lang w:val="en-US"/>
        </w:rPr>
      </w:pPr>
      <w:r w:rsidRPr="004E4C01">
        <w:rPr>
          <w:vertAlign w:val="superscript"/>
        </w:rPr>
        <w:t>[</w:t>
      </w:r>
      <w:r w:rsidRPr="004E4C01">
        <w:rPr>
          <w:rStyle w:val="Refdenotaalfinal"/>
        </w:rPr>
        <w:endnoteRef/>
      </w:r>
      <w:r w:rsidRPr="004E4C01">
        <w:rPr>
          <w:vertAlign w:val="superscript"/>
        </w:rPr>
        <w:t>]</w:t>
      </w:r>
      <w:r w:rsidRPr="004E4C01">
        <w:t xml:space="preserve"> COLOMBIA. CONGRESO DE LA REPÚBLICA. Ley 1523 “Por la cual se adopta la política nacional de gestión del riesgo de desastres y se establece el Sistema Nacional de Gestión del Riesgo de Desastres”. </w:t>
      </w:r>
      <w:r w:rsidRPr="006C00FC">
        <w:rPr>
          <w:lang w:val="en-US"/>
        </w:rPr>
        <w:t>Bogotá: Congreso de la República, 2012.</w:t>
      </w:r>
    </w:p>
    <w:p w14:paraId="20583A46" w14:textId="77777777" w:rsidR="00D55F13" w:rsidRPr="006C00FC" w:rsidRDefault="00D55F13">
      <w:pPr>
        <w:rPr>
          <w:lang w:val="en-US"/>
        </w:rPr>
      </w:pPr>
    </w:p>
  </w:endnote>
  <w:endnote w:id="8">
    <w:p w14:paraId="72BCC707" w14:textId="7056A140" w:rsidR="00D55F13" w:rsidRPr="006C00FC" w:rsidRDefault="00D55F13" w:rsidP="00040ED9">
      <w:pPr>
        <w:pStyle w:val="Textonotaalfinal"/>
        <w:rPr>
          <w:rFonts w:cs="Arial"/>
          <w:lang w:val="en-US"/>
        </w:rPr>
      </w:pPr>
      <w:r w:rsidRPr="006C00FC">
        <w:rPr>
          <w:rFonts w:cs="Arial"/>
          <w:vertAlign w:val="superscript"/>
          <w:lang w:val="en-US"/>
        </w:rPr>
        <w:t>[</w:t>
      </w:r>
      <w:r w:rsidRPr="004E4C01">
        <w:rPr>
          <w:rFonts w:cs="Arial"/>
          <w:vertAlign w:val="superscript"/>
        </w:rPr>
        <w:endnoteRef/>
      </w:r>
      <w:r w:rsidRPr="006C00FC">
        <w:rPr>
          <w:rFonts w:cs="Arial"/>
          <w:vertAlign w:val="superscript"/>
          <w:lang w:val="en-US"/>
        </w:rPr>
        <w:t>]</w:t>
      </w:r>
      <w:r w:rsidRPr="006C00FC">
        <w:rPr>
          <w:rFonts w:cs="Arial"/>
          <w:lang w:val="en-US"/>
        </w:rPr>
        <w:t xml:space="preserve"> CENTER FOR CHEMICAL PROCESS SAFETY –CCPS. Guidelines for chemical process quantitative risk analysis. New York: John Wiley &amp; Sons, Inc, 2000.</w:t>
      </w:r>
    </w:p>
    <w:p w14:paraId="4F2C4922" w14:textId="77777777" w:rsidR="00D55F13" w:rsidRPr="006C00FC" w:rsidRDefault="00D55F13" w:rsidP="00040ED9">
      <w:pPr>
        <w:pStyle w:val="Textonotaalfinal"/>
        <w:rPr>
          <w:lang w:val="en-US"/>
        </w:rPr>
      </w:pPr>
    </w:p>
  </w:endnote>
  <w:endnote w:id="9">
    <w:p w14:paraId="489086F8" w14:textId="77777777" w:rsidR="00D55F13" w:rsidRPr="004E4C01" w:rsidRDefault="00D55F13" w:rsidP="00844386">
      <w:pPr>
        <w:pStyle w:val="Textonotaalfinal"/>
        <w:rPr>
          <w:rStyle w:val="nfasis"/>
          <w:rFonts w:eastAsiaTheme="majorEastAsia"/>
          <w:i w:val="0"/>
        </w:rPr>
      </w:pPr>
      <w:r w:rsidRPr="006C00FC">
        <w:rPr>
          <w:vertAlign w:val="superscript"/>
          <w:lang w:val="en-US"/>
        </w:rPr>
        <w:t>[</w:t>
      </w:r>
      <w:r w:rsidRPr="004E4C01">
        <w:rPr>
          <w:rStyle w:val="Refdenotaalfinal"/>
        </w:rPr>
        <w:endnoteRef/>
      </w:r>
      <w:r w:rsidRPr="006C00FC">
        <w:rPr>
          <w:vertAlign w:val="superscript"/>
          <w:lang w:val="en-US"/>
        </w:rPr>
        <w:t xml:space="preserve">] </w:t>
      </w:r>
      <w:r w:rsidRPr="006C00FC">
        <w:rPr>
          <w:lang w:val="en-US"/>
        </w:rPr>
        <w:t xml:space="preserve">Adaptado de: AMERICAN PRETROLEUM INSTITUTE –API. Managing system integrity for hazardous liquid pipelines. </w:t>
      </w:r>
      <w:r w:rsidRPr="004E4C01">
        <w:t>API recommended practice 1160</w:t>
      </w:r>
      <w:r w:rsidRPr="004E4C01">
        <w:rPr>
          <w:rStyle w:val="nfasis"/>
          <w:rFonts w:eastAsiaTheme="majorEastAsia"/>
        </w:rPr>
        <w:t>. Washington: API, 2013.</w:t>
      </w:r>
    </w:p>
    <w:p w14:paraId="6B96ABC9" w14:textId="77777777" w:rsidR="00D55F13" w:rsidRPr="004E4C01" w:rsidRDefault="00D55F13" w:rsidP="00844386">
      <w:pPr>
        <w:pStyle w:val="Textonotaalfinal"/>
      </w:pPr>
    </w:p>
  </w:endnote>
  <w:endnote w:id="10">
    <w:p w14:paraId="0B78139D" w14:textId="3CAFBB66" w:rsidR="00D55F13" w:rsidRPr="004E4C01" w:rsidRDefault="00D55F13" w:rsidP="00810791">
      <w:pPr>
        <w:overflowPunct/>
        <w:autoSpaceDE/>
        <w:autoSpaceDN/>
        <w:adjustRightInd/>
        <w:textAlignment w:val="auto"/>
        <w:rPr>
          <w:rFonts w:cs="Arial"/>
          <w:lang w:eastAsia="es-CO"/>
        </w:rPr>
      </w:pPr>
      <w:r w:rsidRPr="004E4C01">
        <w:rPr>
          <w:vertAlign w:val="superscript"/>
        </w:rPr>
        <w:t>[</w:t>
      </w:r>
      <w:r w:rsidRPr="004E4C01">
        <w:rPr>
          <w:rStyle w:val="Refdenotaalfinal"/>
        </w:rPr>
        <w:endnoteRef/>
      </w:r>
      <w:r w:rsidRPr="004E4C01">
        <w:rPr>
          <w:rFonts w:cs="Arial"/>
          <w:vertAlign w:val="superscript"/>
        </w:rPr>
        <w:t>]</w:t>
      </w:r>
      <w:r w:rsidRPr="004E4C01">
        <w:t xml:space="preserve"> Adaptado de: </w:t>
      </w:r>
      <w:r w:rsidRPr="004E4C01">
        <w:rPr>
          <w:rFonts w:cs="Arial"/>
          <w:lang w:eastAsia="es-CO"/>
        </w:rPr>
        <w:t>MINISTERIO DE AMBIENTE Y DESARROLLO SOSTENIBLE –</w:t>
      </w:r>
      <w:r w:rsidRPr="004E4C01">
        <w:t>Minambiente. Manual de compensaciones del componente biótico.</w:t>
      </w:r>
      <w:r w:rsidRPr="004E4C01">
        <w:rPr>
          <w:rFonts w:cs="Arial"/>
          <w:lang w:eastAsia="es-CO"/>
        </w:rPr>
        <w:t xml:space="preserve"> </w:t>
      </w:r>
      <w:r w:rsidRPr="004E4C01">
        <w:rPr>
          <w:rFonts w:cs="Arial"/>
          <w:spacing w:val="-2"/>
          <w:lang w:eastAsia="es-CO"/>
        </w:rPr>
        <w:t>Bogotá: Minambiente, 2018.</w:t>
      </w:r>
    </w:p>
    <w:p w14:paraId="4D9F5532" w14:textId="01BDECAD" w:rsidR="00D55F13" w:rsidRPr="004E4C01" w:rsidRDefault="00D55F13">
      <w:pPr>
        <w:pStyle w:val="Textonotaalfinal"/>
      </w:pPr>
    </w:p>
  </w:endnote>
  <w:endnote w:id="11">
    <w:p w14:paraId="3E32D1E9" w14:textId="61D1AA10" w:rsidR="00D55F13" w:rsidRPr="004E4C01" w:rsidRDefault="00D55F13" w:rsidP="00F236C1">
      <w:pPr>
        <w:suppressAutoHyphens/>
        <w:rPr>
          <w:rFonts w:cs="Arial"/>
          <w:spacing w:val="-2"/>
        </w:rPr>
      </w:pPr>
      <w:r w:rsidRPr="004E4C01">
        <w:rPr>
          <w:rFonts w:cs="Arial"/>
          <w:vertAlign w:val="superscript"/>
        </w:rPr>
        <w:t>[</w:t>
      </w:r>
      <w:r w:rsidRPr="004E4C01">
        <w:rPr>
          <w:rStyle w:val="Refdenotaalfinal"/>
          <w:rFonts w:cs="Arial"/>
        </w:rPr>
        <w:endnoteRef/>
      </w:r>
      <w:r w:rsidRPr="004E4C01">
        <w:rPr>
          <w:rFonts w:cs="Arial"/>
          <w:vertAlign w:val="superscript"/>
        </w:rPr>
        <w:t xml:space="preserve">] </w:t>
      </w:r>
      <w:r w:rsidRPr="004E4C01">
        <w:rPr>
          <w:rFonts w:cs="Arial"/>
        </w:rPr>
        <w:t>Adaptado de: INSTITUTO COLOMBIANO DE NORMAS TÉCNICAS Y CERTIFICACIÓN –ICONTEC. Norma Técnica Colombiana NTC-ISO 14001 (versión 2015). Sistemas de gestión ambiental. Requisitos con orientación para su uso. Bogotá: ICONTEC, 2015.</w:t>
      </w:r>
    </w:p>
    <w:p w14:paraId="3EABA81E" w14:textId="77777777" w:rsidR="00D55F13" w:rsidRPr="004E4C01" w:rsidRDefault="00D55F13" w:rsidP="00F236C1">
      <w:pPr>
        <w:pStyle w:val="Textonotaalfinal"/>
        <w:rPr>
          <w:rFonts w:cs="Arial"/>
        </w:rPr>
      </w:pPr>
    </w:p>
  </w:endnote>
  <w:endnote w:id="12">
    <w:p w14:paraId="4F62317E" w14:textId="75B16C1C" w:rsidR="00D55F13" w:rsidRPr="004E4C01" w:rsidRDefault="00D55F13">
      <w:pPr>
        <w:pStyle w:val="Textonotaalfinal"/>
      </w:pPr>
      <w:r w:rsidRPr="004E4C01">
        <w:rPr>
          <w:rFonts w:cs="Arial"/>
          <w:vertAlign w:val="superscript"/>
        </w:rPr>
        <w:t>[</w:t>
      </w:r>
      <w:r w:rsidRPr="004E4C01">
        <w:rPr>
          <w:rStyle w:val="Refdenotaalfinal"/>
        </w:rPr>
        <w:endnoteRef/>
      </w:r>
      <w:r w:rsidRPr="004E4C01">
        <w:rPr>
          <w:rFonts w:cs="Arial"/>
          <w:vertAlign w:val="superscript"/>
        </w:rPr>
        <w:t>]</w:t>
      </w:r>
      <w:r w:rsidRPr="004E4C01">
        <w:rPr>
          <w:rFonts w:cs="Arial"/>
        </w:rPr>
        <w:t xml:space="preserve"> </w:t>
      </w:r>
      <w:r w:rsidRPr="004E4C01">
        <w:t xml:space="preserve">INSTITUTO GEOGRÁFICO AGUSTÍN CODAZZI –IGAC, Subdirección de Catastro. Catálogo de objetos geográficos de catastro, versión 2.2. Bogotá: ICDE, 2018. </w:t>
      </w:r>
    </w:p>
    <w:p w14:paraId="66AB6E69" w14:textId="77777777" w:rsidR="00D55F13" w:rsidRPr="004E4C01" w:rsidRDefault="00D55F13">
      <w:pPr>
        <w:pStyle w:val="Textonotaalfinal"/>
      </w:pPr>
    </w:p>
  </w:endnote>
  <w:endnote w:id="13">
    <w:p w14:paraId="687B64B7" w14:textId="3D86D669" w:rsidR="00D55F13" w:rsidRPr="004E4C01" w:rsidRDefault="00D55F13" w:rsidP="00AA4F93">
      <w:pPr>
        <w:overflowPunct/>
        <w:autoSpaceDE/>
        <w:autoSpaceDN/>
        <w:adjustRightInd/>
        <w:textAlignment w:val="auto"/>
        <w:rPr>
          <w:rFonts w:cs="Arial"/>
          <w:lang w:eastAsia="es-CO"/>
        </w:rPr>
      </w:pPr>
      <w:r w:rsidRPr="004E4C01">
        <w:rPr>
          <w:rFonts w:cs="Arial"/>
          <w:vertAlign w:val="superscript"/>
        </w:rPr>
        <w:t>[</w:t>
      </w:r>
      <w:r w:rsidRPr="004E4C01">
        <w:rPr>
          <w:rStyle w:val="Refdenotaalfinal"/>
        </w:rPr>
        <w:endnoteRef/>
      </w:r>
      <w:r w:rsidRPr="004E4C01">
        <w:rPr>
          <w:rFonts w:cs="Arial"/>
          <w:vertAlign w:val="superscript"/>
        </w:rPr>
        <w:t xml:space="preserve">] </w:t>
      </w:r>
      <w:r w:rsidRPr="004E4C01">
        <w:rPr>
          <w:rFonts w:cs="Arial"/>
          <w:lang w:eastAsia="es-CO"/>
        </w:rPr>
        <w:t xml:space="preserve">NACIONES UNIDAS –NU. </w:t>
      </w:r>
      <w:r w:rsidRPr="004E4C01">
        <w:t xml:space="preserve">Convenio </w:t>
      </w:r>
      <w:r w:rsidRPr="004E4C01">
        <w:rPr>
          <w:rFonts w:cs="Arial"/>
          <w:lang w:eastAsia="es-CO"/>
        </w:rPr>
        <w:t>sobre la diversidad biológica</w:t>
      </w:r>
      <w:r w:rsidRPr="004E4C01">
        <w:rPr>
          <w:rFonts w:cs="Arial"/>
          <w:spacing w:val="-2"/>
          <w:lang w:eastAsia="es-CO"/>
        </w:rPr>
        <w:t>.</w:t>
      </w:r>
      <w:r w:rsidRPr="004E4C01">
        <w:t xml:space="preserve"> Río de Janeiro: UN,</w:t>
      </w:r>
      <w:r w:rsidRPr="004E4C01">
        <w:rPr>
          <w:spacing w:val="-2"/>
        </w:rPr>
        <w:t xml:space="preserve"> 1992</w:t>
      </w:r>
      <w:r w:rsidRPr="004E4C01">
        <w:rPr>
          <w:rFonts w:cs="Arial"/>
          <w:spacing w:val="-2"/>
          <w:lang w:eastAsia="es-CO"/>
        </w:rPr>
        <w:t>.</w:t>
      </w:r>
    </w:p>
    <w:p w14:paraId="60D3ACAD" w14:textId="77777777" w:rsidR="00D55F13" w:rsidRPr="004E4C01" w:rsidRDefault="00D55F13" w:rsidP="00AA4F93">
      <w:pPr>
        <w:pStyle w:val="Textonotaalfinal"/>
      </w:pPr>
    </w:p>
  </w:endnote>
  <w:endnote w:id="14">
    <w:p w14:paraId="31F19740" w14:textId="77777777" w:rsidR="00D55F13" w:rsidRPr="004E4C01" w:rsidRDefault="00D55F13" w:rsidP="009019A7">
      <w:pPr>
        <w:pStyle w:val="Textonotaalfinal"/>
      </w:pPr>
      <w:r w:rsidRPr="004E4C01">
        <w:rPr>
          <w:vertAlign w:val="superscript"/>
        </w:rPr>
        <w:t>[</w:t>
      </w:r>
      <w:r w:rsidRPr="004E4C01">
        <w:rPr>
          <w:rStyle w:val="Refdenotaalfinal"/>
        </w:rPr>
        <w:endnoteRef/>
      </w:r>
      <w:r w:rsidRPr="004E4C01">
        <w:rPr>
          <w:vertAlign w:val="superscript"/>
        </w:rPr>
        <w:t>]</w:t>
      </w:r>
      <w:r w:rsidRPr="004E4C01">
        <w:t xml:space="preserve"> DEPARTAMENTO ADMINISTRATIVO NACIONAL DE ESTADÍSTICA –DANE. Manual de conceptos. Censo nacional de población y vivienda 2018 – Colombia. DANE, 2018.</w:t>
      </w:r>
    </w:p>
    <w:p w14:paraId="1C4442A7" w14:textId="77777777" w:rsidR="00D55F13" w:rsidRPr="004E4C01" w:rsidRDefault="00D55F13" w:rsidP="009019A7">
      <w:pPr>
        <w:pStyle w:val="Textonotaalfinal"/>
      </w:pPr>
    </w:p>
  </w:endnote>
  <w:endnote w:id="15">
    <w:p w14:paraId="2E9BBA13" w14:textId="01CDA209" w:rsidR="00D55F13" w:rsidRPr="004E4C01" w:rsidRDefault="00D55F13" w:rsidP="00AA4F93">
      <w:pPr>
        <w:pStyle w:val="Textonotaalfinal"/>
        <w:rPr>
          <w:rFonts w:cs="Arial"/>
        </w:rPr>
      </w:pPr>
      <w:r w:rsidRPr="004E4C01">
        <w:rPr>
          <w:rFonts w:cs="Arial"/>
          <w:vertAlign w:val="superscript"/>
        </w:rPr>
        <w:t>[</w:t>
      </w:r>
      <w:r w:rsidRPr="004E4C01">
        <w:rPr>
          <w:rStyle w:val="Refdenotaalfinal"/>
          <w:rFonts w:cs="Arial"/>
        </w:rPr>
        <w:endnoteRef/>
      </w:r>
      <w:r w:rsidRPr="004E4C01">
        <w:rPr>
          <w:rFonts w:cs="Arial"/>
          <w:vertAlign w:val="superscript"/>
        </w:rPr>
        <w:t>]</w:t>
      </w:r>
      <w:r w:rsidRPr="004E4C01">
        <w:rPr>
          <w:rFonts w:cs="Arial"/>
        </w:rPr>
        <w:t xml:space="preserve"> Adaptado de: SILVA, R., MARTÍNEZ, M.L., MORENO-CASASOLA, P., MENDOZA, E., LÓPEZ-PORTILLO, J., LITHGOW, D., VÁZQUEZ, G., MARTÍNEZ-MARTÍNEZ, R.E., MONROY-IBARRA, R., CÁCERES-PUIG, J.I., RAMÍREZ-HERNÁNDEZ, A., BOY TAMBORELL, M. Aspectos generales de la zona costera. Veracruz: UNAM, INECOL, 2017.</w:t>
      </w:r>
    </w:p>
    <w:p w14:paraId="273E2D5E" w14:textId="77777777" w:rsidR="00D55F13" w:rsidRPr="004E4C01" w:rsidRDefault="00D55F13" w:rsidP="00AA4F93">
      <w:pPr>
        <w:pStyle w:val="Textonotaalfinal"/>
      </w:pPr>
    </w:p>
  </w:endnote>
  <w:endnote w:id="16">
    <w:p w14:paraId="3CB2CFA0" w14:textId="36976F89" w:rsidR="00D55F13" w:rsidRPr="004E4C01" w:rsidRDefault="00D55F13" w:rsidP="00ED30A5">
      <w:pPr>
        <w:pStyle w:val="Textonotaalfinal"/>
        <w:rPr>
          <w:rFonts w:cs="Arial"/>
        </w:rPr>
      </w:pPr>
      <w:r w:rsidRPr="004E4C01">
        <w:rPr>
          <w:rFonts w:cs="Arial"/>
          <w:vertAlign w:val="superscript"/>
        </w:rPr>
        <w:t>[</w:t>
      </w:r>
      <w:r w:rsidRPr="004E4C01">
        <w:rPr>
          <w:rStyle w:val="Refdenotaalfinal"/>
          <w:rFonts w:cs="Arial"/>
        </w:rPr>
        <w:endnoteRef/>
      </w:r>
      <w:r w:rsidRPr="004E4C01">
        <w:rPr>
          <w:rFonts w:cs="Arial"/>
          <w:vertAlign w:val="superscript"/>
        </w:rPr>
        <w:t xml:space="preserve">] </w:t>
      </w:r>
      <w:r w:rsidRPr="004E4C01">
        <w:rPr>
          <w:rFonts w:cs="Arial"/>
        </w:rPr>
        <w:t>INSTITUTO DE HIDROLOGÍA, METEOROLOGÍA Y ESTUDIOS AMBIENTALES –Ideam. Glosario meteorológico. Bogotá D.C.: Ideam. Subdirección de meteorología, 2019. 311 p.</w:t>
      </w:r>
    </w:p>
    <w:p w14:paraId="32D3FEDF" w14:textId="77777777" w:rsidR="00D55F13" w:rsidRPr="004E4C01" w:rsidRDefault="00D55F13" w:rsidP="00ED30A5">
      <w:pPr>
        <w:pStyle w:val="Textonotaalfinal"/>
      </w:pPr>
    </w:p>
  </w:endnote>
  <w:endnote w:id="17">
    <w:p w14:paraId="39C060F7" w14:textId="77777777" w:rsidR="00DC5375" w:rsidRDefault="00C4347E" w:rsidP="00C4347E">
      <w:pPr>
        <w:pStyle w:val="Textonotaalfinal"/>
        <w:rPr>
          <w:rFonts w:cs="Arial"/>
        </w:rPr>
      </w:pPr>
      <w:r w:rsidRPr="004E4C01">
        <w:rPr>
          <w:rFonts w:cs="Arial"/>
          <w:vertAlign w:val="superscript"/>
        </w:rPr>
        <w:t>[</w:t>
      </w:r>
      <w:r w:rsidRPr="004E4C01">
        <w:rPr>
          <w:rStyle w:val="Refdenotaalfinal"/>
          <w:rFonts w:cs="Arial"/>
        </w:rPr>
        <w:endnoteRef/>
      </w:r>
      <w:r w:rsidRPr="004E4C01">
        <w:rPr>
          <w:rFonts w:cs="Arial"/>
          <w:vertAlign w:val="superscript"/>
        </w:rPr>
        <w:t xml:space="preserve">] </w:t>
      </w:r>
      <w:r w:rsidR="00DC5375" w:rsidRPr="004E4C01">
        <w:rPr>
          <w:rFonts w:cs="Arial"/>
        </w:rPr>
        <w:t>Adaptado de:</w:t>
      </w:r>
    </w:p>
    <w:p w14:paraId="3D08C1F1" w14:textId="77777777" w:rsidR="00DC5375" w:rsidRDefault="00DC5375" w:rsidP="00C4347E">
      <w:pPr>
        <w:pStyle w:val="Textonotaalfinal"/>
        <w:rPr>
          <w:rFonts w:cs="Arial"/>
        </w:rPr>
      </w:pPr>
    </w:p>
    <w:p w14:paraId="2CC8B894" w14:textId="794AD09E" w:rsidR="00DC5375" w:rsidRPr="00E64F04" w:rsidRDefault="00312337" w:rsidP="00DC5375">
      <w:pPr>
        <w:pStyle w:val="Textonotaalfinal"/>
        <w:numPr>
          <w:ilvl w:val="0"/>
          <w:numId w:val="20"/>
        </w:numPr>
        <w:ind w:left="567" w:hanging="283"/>
        <w:rPr>
          <w:rFonts w:cs="Arial"/>
        </w:rPr>
      </w:pPr>
      <w:r w:rsidRPr="00312337">
        <w:rPr>
          <w:rFonts w:cs="Arial"/>
          <w:lang w:val="es-MX"/>
        </w:rPr>
        <w:t>ANDER-EGG</w:t>
      </w:r>
      <w:r w:rsidR="00696BE2" w:rsidRPr="00E64F04">
        <w:rPr>
          <w:rFonts w:cs="Arial"/>
          <w:lang w:val="es-MX"/>
        </w:rPr>
        <w:t>, E. Metodología y práctica del desarrollo de la comunidad</w:t>
      </w:r>
      <w:r w:rsidR="00043510">
        <w:rPr>
          <w:rFonts w:cs="Arial"/>
          <w:lang w:val="es-MX"/>
        </w:rPr>
        <w:t xml:space="preserve"> 1</w:t>
      </w:r>
      <w:r w:rsidR="00696BE2" w:rsidRPr="00E64F04">
        <w:rPr>
          <w:rFonts w:cs="Arial"/>
          <w:lang w:val="es-MX"/>
        </w:rPr>
        <w:t xml:space="preserve">. </w:t>
      </w:r>
      <w:r w:rsidR="00C82949">
        <w:rPr>
          <w:rFonts w:cs="Arial"/>
          <w:lang w:val="es-MX"/>
        </w:rPr>
        <w:t>Buenos Aires - México</w:t>
      </w:r>
      <w:r w:rsidR="00DC768A">
        <w:rPr>
          <w:rFonts w:cs="Arial"/>
          <w:lang w:val="es-MX"/>
        </w:rPr>
        <w:t xml:space="preserve">: </w:t>
      </w:r>
      <w:r w:rsidR="00C82949">
        <w:rPr>
          <w:rFonts w:cs="Arial"/>
          <w:lang w:val="es-MX"/>
        </w:rPr>
        <w:t xml:space="preserve">Grupo editorial Lumen. </w:t>
      </w:r>
      <w:r w:rsidR="00696BE2" w:rsidRPr="00E64F04">
        <w:rPr>
          <w:rFonts w:cs="Arial"/>
          <w:lang w:val="es-MX"/>
        </w:rPr>
        <w:t>H</w:t>
      </w:r>
      <w:r w:rsidR="00C82949">
        <w:rPr>
          <w:rFonts w:cs="Arial"/>
          <w:lang w:val="es-MX"/>
        </w:rPr>
        <w:t>v</w:t>
      </w:r>
      <w:r w:rsidR="00696BE2" w:rsidRPr="00E64F04">
        <w:rPr>
          <w:rFonts w:cs="Arial"/>
          <w:lang w:val="es-MX"/>
        </w:rPr>
        <w:t>manitas</w:t>
      </w:r>
      <w:r w:rsidR="00DC768A">
        <w:rPr>
          <w:rFonts w:cs="Arial"/>
          <w:lang w:val="es-MX"/>
        </w:rPr>
        <w:t xml:space="preserve">, </w:t>
      </w:r>
      <w:r w:rsidR="00796733">
        <w:rPr>
          <w:rFonts w:cs="Arial"/>
          <w:lang w:val="es-MX"/>
        </w:rPr>
        <w:t>2003</w:t>
      </w:r>
      <w:r w:rsidR="00696BE2" w:rsidRPr="00E64F04">
        <w:rPr>
          <w:rFonts w:cs="Arial"/>
          <w:lang w:val="es-MX"/>
        </w:rPr>
        <w:t>.</w:t>
      </w:r>
    </w:p>
    <w:p w14:paraId="31427EF0" w14:textId="77777777" w:rsidR="00696BE2" w:rsidRPr="00E64F04" w:rsidRDefault="00696BE2" w:rsidP="00E64F04">
      <w:pPr>
        <w:pStyle w:val="Textonotaalfinal"/>
        <w:rPr>
          <w:rFonts w:cs="Arial"/>
        </w:rPr>
      </w:pPr>
    </w:p>
    <w:p w14:paraId="64397306" w14:textId="4305E5F4" w:rsidR="00696BE2" w:rsidRPr="00E64F04" w:rsidRDefault="00C16905" w:rsidP="00E64F04">
      <w:pPr>
        <w:pStyle w:val="Textonotaalfinal"/>
        <w:numPr>
          <w:ilvl w:val="0"/>
          <w:numId w:val="20"/>
        </w:numPr>
        <w:ind w:left="567" w:hanging="283"/>
        <w:rPr>
          <w:rFonts w:cs="Arial"/>
          <w:lang w:val="es-MX"/>
        </w:rPr>
      </w:pPr>
      <w:r w:rsidRPr="00E64F04">
        <w:rPr>
          <w:rFonts w:cs="Arial"/>
          <w:lang w:val="es-MX"/>
        </w:rPr>
        <w:t>CAUSSE, M</w:t>
      </w:r>
      <w:r w:rsidR="00696BE2" w:rsidRPr="00E64F04">
        <w:rPr>
          <w:rFonts w:cs="Arial"/>
          <w:lang w:val="es-MX"/>
        </w:rPr>
        <w:t xml:space="preserve">. </w:t>
      </w:r>
      <w:r w:rsidR="000719B3" w:rsidRPr="00E64F04">
        <w:rPr>
          <w:rFonts w:cs="Arial"/>
          <w:lang w:val="es-MX"/>
        </w:rPr>
        <w:t xml:space="preserve">El concepto de comunidad desde el punto de vista socio - histórico-cultural y lingüístico. </w:t>
      </w:r>
      <w:r w:rsidR="00CB4D74" w:rsidRPr="00E64F04">
        <w:rPr>
          <w:rFonts w:cs="Arial"/>
          <w:lang w:val="es-MX"/>
        </w:rPr>
        <w:t>Ciencia en su PC</w:t>
      </w:r>
      <w:r w:rsidR="00E37F5F" w:rsidRPr="00E64F04">
        <w:rPr>
          <w:rFonts w:cs="Arial"/>
          <w:lang w:val="es-MX"/>
        </w:rPr>
        <w:t>.</w:t>
      </w:r>
      <w:r w:rsidR="00696BE2" w:rsidRPr="00E64F04">
        <w:rPr>
          <w:rFonts w:cs="Arial"/>
          <w:lang w:val="es-MX"/>
        </w:rPr>
        <w:t xml:space="preserve"> </w:t>
      </w:r>
      <w:r w:rsidR="00E37F5F" w:rsidRPr="00E64F04">
        <w:rPr>
          <w:rFonts w:cs="Arial"/>
          <w:lang w:val="es-MX"/>
        </w:rPr>
        <w:t>3 (2009</w:t>
      </w:r>
      <w:r w:rsidR="00696BE2" w:rsidRPr="00E64F04">
        <w:rPr>
          <w:rFonts w:cs="Arial"/>
          <w:lang w:val="es-MX"/>
        </w:rPr>
        <w:t>)</w:t>
      </w:r>
      <w:r w:rsidR="00E37F5F" w:rsidRPr="00E64F04">
        <w:rPr>
          <w:rFonts w:cs="Arial"/>
          <w:lang w:val="es-MX"/>
        </w:rPr>
        <w:t>;</w:t>
      </w:r>
      <w:r w:rsidR="00696BE2" w:rsidRPr="00E64F04">
        <w:rPr>
          <w:rFonts w:cs="Arial"/>
          <w:lang w:val="es-MX"/>
        </w:rPr>
        <w:t xml:space="preserve"> </w:t>
      </w:r>
      <w:r w:rsidR="00E37F5F" w:rsidRPr="00E64F04">
        <w:rPr>
          <w:rFonts w:cs="Arial"/>
          <w:lang w:val="es-MX"/>
        </w:rPr>
        <w:t>12</w:t>
      </w:r>
      <w:r w:rsidR="00696BE2" w:rsidRPr="00E64F04">
        <w:rPr>
          <w:rFonts w:cs="Arial"/>
          <w:lang w:val="es-MX"/>
        </w:rPr>
        <w:t>–</w:t>
      </w:r>
      <w:r w:rsidR="00E37F5F" w:rsidRPr="00E64F04">
        <w:rPr>
          <w:rFonts w:cs="Arial"/>
          <w:lang w:val="es-MX"/>
        </w:rPr>
        <w:t>21</w:t>
      </w:r>
      <w:r w:rsidR="00696BE2" w:rsidRPr="00E64F04">
        <w:rPr>
          <w:rFonts w:cs="Arial"/>
          <w:lang w:val="es-MX"/>
        </w:rPr>
        <w:t>.</w:t>
      </w:r>
    </w:p>
    <w:p w14:paraId="408EB287" w14:textId="77777777" w:rsidR="00C4347E" w:rsidRPr="00E64F04" w:rsidRDefault="00C4347E" w:rsidP="00C4347E">
      <w:pPr>
        <w:pStyle w:val="Textonotaalfinal"/>
        <w:rPr>
          <w:lang w:val="es-MX"/>
        </w:rPr>
      </w:pPr>
    </w:p>
  </w:endnote>
  <w:endnote w:id="18">
    <w:p w14:paraId="71CE5C3F" w14:textId="2F0BF2B0" w:rsidR="00D55F13" w:rsidRPr="004E4C01" w:rsidRDefault="00D55F13" w:rsidP="00295FEA">
      <w:pPr>
        <w:pStyle w:val="Textonotaalfinal"/>
        <w:rPr>
          <w:rFonts w:cs="Arial"/>
          <w:bCs/>
        </w:rPr>
      </w:pPr>
      <w:r w:rsidRPr="00127BD4">
        <w:rPr>
          <w:rFonts w:cs="Arial"/>
          <w:vertAlign w:val="superscript"/>
          <w:lang w:val="es-MX"/>
        </w:rPr>
        <w:t>[</w:t>
      </w:r>
      <w:r w:rsidRPr="004E4C01">
        <w:rPr>
          <w:rStyle w:val="Refdenotaalfinal"/>
        </w:rPr>
        <w:endnoteRef/>
      </w:r>
      <w:r w:rsidRPr="00127BD4">
        <w:rPr>
          <w:vertAlign w:val="superscript"/>
          <w:lang w:val="es-MX"/>
        </w:rPr>
        <w:t>]</w:t>
      </w:r>
      <w:r w:rsidRPr="00127BD4">
        <w:rPr>
          <w:lang w:val="es-MX"/>
        </w:rPr>
        <w:t xml:space="preserve"> </w:t>
      </w:r>
      <w:r w:rsidRPr="00127BD4">
        <w:rPr>
          <w:rFonts w:cs="Arial"/>
          <w:lang w:val="es-MX"/>
        </w:rPr>
        <w:t xml:space="preserve">COLOMBIA. </w:t>
      </w:r>
      <w:r w:rsidRPr="004E4C01">
        <w:rPr>
          <w:rFonts w:cs="Arial"/>
        </w:rPr>
        <w:t>MINISTERIO DE AMBIENTE Y DESARROLLO SOSTENIBLE –Minambiente. Resolución 2035 “Por medio de la cual se implementan los centros regionales de diálogo ambiental y se dictan otras disposiciones". Bogotá: Ministerio de Ambiente y Desarrollo Sostenible, 2018.</w:t>
      </w:r>
    </w:p>
    <w:p w14:paraId="14B5DAEB" w14:textId="77777777" w:rsidR="00D55F13" w:rsidRPr="004E4C01" w:rsidRDefault="00D55F13" w:rsidP="00295FEA">
      <w:pPr>
        <w:pStyle w:val="Textonotaalfinal"/>
      </w:pPr>
    </w:p>
  </w:endnote>
  <w:endnote w:id="19">
    <w:p w14:paraId="489E2EF8" w14:textId="26DD4CAA" w:rsidR="00D55F13" w:rsidRPr="004E4C01" w:rsidRDefault="00D55F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pPr>
      <w:r w:rsidRPr="004E4C01">
        <w:rPr>
          <w:vertAlign w:val="superscript"/>
        </w:rPr>
        <w:t>[</w:t>
      </w:r>
      <w:r w:rsidRPr="004E4C01">
        <w:rPr>
          <w:rStyle w:val="Refdenotaalfinal"/>
        </w:rPr>
        <w:endnoteRef/>
      </w:r>
      <w:r w:rsidRPr="004E4C01">
        <w:rPr>
          <w:vertAlign w:val="superscript"/>
        </w:rPr>
        <w:t xml:space="preserve">] </w:t>
      </w:r>
      <w:r w:rsidRPr="004E4C01">
        <w:rPr>
          <w:rFonts w:cs="Arial"/>
        </w:rPr>
        <w:t>COLOMBIA. CONGRESO DE LA REPÚBLICA. Ley 99 “Por la cual se crea el Ministerio del Medio Ambiente, se reordena el Sector Público encargado de la gestión y conservación del medio ambiente y los recursos naturales renovables, se organiza el Sistema Nacional Ambiental, SINA, y se dictan otras disposiciones”. Bogotá: Congreso de la República, 1993.</w:t>
      </w:r>
    </w:p>
    <w:p w14:paraId="777CACF8" w14:textId="77777777" w:rsidR="00D55F13" w:rsidRPr="004E4C01" w:rsidRDefault="00D55F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pPr>
    </w:p>
  </w:endnote>
  <w:endnote w:id="20">
    <w:p w14:paraId="16B18259" w14:textId="0DFBD59E" w:rsidR="00D55F13" w:rsidRPr="00127BD4" w:rsidRDefault="00D55F13" w:rsidP="00DB1152">
      <w:pPr>
        <w:pStyle w:val="Textonotaalfinal"/>
      </w:pPr>
      <w:r w:rsidRPr="004E4C01">
        <w:rPr>
          <w:rStyle w:val="Refdenotaalfinal"/>
        </w:rPr>
        <w:endnoteRef/>
      </w:r>
      <w:r w:rsidRPr="004E4C01">
        <w:t xml:space="preserve"> ORGANIZACIÓN DE LAS NACIONES UNIDAS PARA LA ALIMENTACIÓN Y LA AGRICULTURA </w:t>
      </w:r>
      <w:r w:rsidRPr="004E4C01">
        <w:rPr>
          <w:rFonts w:cs="Arial"/>
        </w:rPr>
        <w:t>–</w:t>
      </w:r>
      <w:r w:rsidRPr="004E4C01">
        <w:t xml:space="preserve">FAO. Fisheries Topics: Ecosystems. Ecosistemas acuáticos continentales. Topics Fact Sheets. Texto de Peter Manning. In: Departamento de Pesca y Acuicultura de la FAO [en línea]. </w:t>
      </w:r>
      <w:r w:rsidRPr="00127BD4">
        <w:t>Roma: FAO, 2001-2020. Actualizado 28 December 2015. [Citado 27 August 2020]. http://www.fao.org/fishery/en.</w:t>
      </w:r>
    </w:p>
    <w:p w14:paraId="13032630" w14:textId="77777777" w:rsidR="00D55F13" w:rsidRPr="00127BD4" w:rsidRDefault="00D55F13" w:rsidP="00DB1152">
      <w:pPr>
        <w:pStyle w:val="Textonotaalfinal"/>
      </w:pPr>
    </w:p>
  </w:endnote>
  <w:endnote w:id="21">
    <w:p w14:paraId="25FF4B33" w14:textId="77777777" w:rsidR="000107FE" w:rsidRPr="003F3B34" w:rsidRDefault="000107FE" w:rsidP="000107FE">
      <w:pPr>
        <w:pStyle w:val="Textonotaalfinal"/>
        <w:rPr>
          <w:rFonts w:cs="Arial"/>
          <w:bCs/>
          <w:lang w:val="en-US"/>
        </w:rPr>
      </w:pPr>
      <w:r w:rsidRPr="003F3B34">
        <w:rPr>
          <w:rFonts w:cs="Arial"/>
          <w:vertAlign w:val="superscript"/>
          <w:lang w:val="en-US"/>
        </w:rPr>
        <w:t>[</w:t>
      </w:r>
      <w:r w:rsidRPr="004E4C01">
        <w:rPr>
          <w:rStyle w:val="Refdenotaalfinal"/>
        </w:rPr>
        <w:endnoteRef/>
      </w:r>
      <w:r w:rsidRPr="003F3B34">
        <w:rPr>
          <w:vertAlign w:val="superscript"/>
          <w:lang w:val="en-US"/>
        </w:rPr>
        <w:t>]</w:t>
      </w:r>
      <w:r w:rsidRPr="003F3B34">
        <w:rPr>
          <w:lang w:val="en-US"/>
        </w:rPr>
        <w:t xml:space="preserve"> </w:t>
      </w:r>
      <w:r w:rsidRPr="003F3B34">
        <w:rPr>
          <w:rFonts w:cs="Arial"/>
          <w:lang w:val="en-US"/>
        </w:rPr>
        <w:t xml:space="preserve">Adaptado de: </w:t>
      </w:r>
      <w:r w:rsidRPr="003F3B34">
        <w:rPr>
          <w:lang w:val="en-US"/>
        </w:rPr>
        <w:t>KALFF, S. A. A proposed framework to assess cumulative environmental effects in Canadian National Parks. In: Parks Canada technical reports in ecosystem science: Vol. #1. 1995.</w:t>
      </w:r>
    </w:p>
    <w:p w14:paraId="4DF4B7AC" w14:textId="77777777" w:rsidR="000107FE" w:rsidRPr="003F3B34" w:rsidRDefault="000107FE" w:rsidP="000107FE">
      <w:pPr>
        <w:pStyle w:val="Textonotaalfinal"/>
        <w:rPr>
          <w:lang w:val="en-US"/>
        </w:rPr>
      </w:pPr>
    </w:p>
  </w:endnote>
  <w:endnote w:id="22">
    <w:p w14:paraId="2F40C1E7" w14:textId="037039FF" w:rsidR="00472950" w:rsidRPr="004E4C01" w:rsidRDefault="00472950" w:rsidP="00472950">
      <w:pPr>
        <w:pStyle w:val="Textonotaalfinal"/>
      </w:pPr>
      <w:r w:rsidRPr="004E4C01">
        <w:rPr>
          <w:rStyle w:val="Refdenotaalfinal"/>
        </w:rPr>
        <w:endnoteRef/>
      </w:r>
      <w:r w:rsidRPr="00127BD4">
        <w:rPr>
          <w:lang w:val="en-US"/>
        </w:rPr>
        <w:t xml:space="preserve"> </w:t>
      </w:r>
      <w:r w:rsidR="0063483D" w:rsidRPr="00127BD4">
        <w:rPr>
          <w:rFonts w:cs="Arial"/>
          <w:lang w:val="en-US"/>
        </w:rPr>
        <w:t xml:space="preserve">INTERGOVERNMENTAL PANEL ON CLIMATE CHANGE (IPCC). </w:t>
      </w:r>
      <w:r w:rsidR="0063483D" w:rsidRPr="004E4C01">
        <w:rPr>
          <w:rFonts w:cs="Arial"/>
        </w:rPr>
        <w:t xml:space="preserve">Anexo </w:t>
      </w:r>
      <w:r w:rsidR="00EC5195" w:rsidRPr="004E4C01">
        <w:rPr>
          <w:rFonts w:cs="Arial"/>
        </w:rPr>
        <w:t>B</w:t>
      </w:r>
      <w:r w:rsidR="0063483D" w:rsidRPr="004E4C01">
        <w:rPr>
          <w:rFonts w:cs="Arial"/>
        </w:rPr>
        <w:t xml:space="preserve">: </w:t>
      </w:r>
      <w:r w:rsidR="00EC5195" w:rsidRPr="004E4C01">
        <w:rPr>
          <w:rFonts w:cs="Arial"/>
        </w:rPr>
        <w:t>Glosario de términos</w:t>
      </w:r>
      <w:r w:rsidR="00C3222E" w:rsidRPr="004E4C01">
        <w:rPr>
          <w:rFonts w:cs="Arial"/>
        </w:rPr>
        <w:t xml:space="preserve">. </w:t>
      </w:r>
      <w:r w:rsidR="007A403F" w:rsidRPr="004E4C01">
        <w:rPr>
          <w:rFonts w:cs="Arial"/>
        </w:rPr>
        <w:t>Cambio climático 2001: informe de síntesis</w:t>
      </w:r>
      <w:r w:rsidR="009453E2" w:rsidRPr="004E4C01">
        <w:rPr>
          <w:rFonts w:cs="Arial"/>
        </w:rPr>
        <w:t xml:space="preserve">. Watson, R. </w:t>
      </w:r>
      <w:r w:rsidR="0063483D" w:rsidRPr="00127BD4">
        <w:rPr>
          <w:rFonts w:cs="Arial"/>
        </w:rPr>
        <w:t>(ed</w:t>
      </w:r>
      <w:r w:rsidR="009453E2" w:rsidRPr="00127BD4">
        <w:rPr>
          <w:rFonts w:cs="Arial"/>
        </w:rPr>
        <w:t>.</w:t>
      </w:r>
      <w:r w:rsidR="0063483D" w:rsidRPr="00127BD4">
        <w:rPr>
          <w:rFonts w:cs="Arial"/>
        </w:rPr>
        <w:t xml:space="preserve">). IPCC, </w:t>
      </w:r>
      <w:r w:rsidR="0056377C" w:rsidRPr="00127BD4">
        <w:rPr>
          <w:rFonts w:cs="Arial"/>
        </w:rPr>
        <w:t>2001</w:t>
      </w:r>
      <w:r w:rsidR="0063483D" w:rsidRPr="00127BD4">
        <w:rPr>
          <w:rFonts w:cs="Arial"/>
        </w:rPr>
        <w:t xml:space="preserve">, </w:t>
      </w:r>
      <w:r w:rsidR="0056377C" w:rsidRPr="00127BD4">
        <w:rPr>
          <w:rFonts w:cs="Arial"/>
        </w:rPr>
        <w:t>27</w:t>
      </w:r>
      <w:r w:rsidR="0063483D" w:rsidRPr="00127BD4">
        <w:rPr>
          <w:rFonts w:cs="Arial"/>
        </w:rPr>
        <w:t xml:space="preserve"> p.</w:t>
      </w:r>
    </w:p>
    <w:p w14:paraId="625B9415" w14:textId="77777777" w:rsidR="00472950" w:rsidRPr="004E4C01" w:rsidRDefault="00472950" w:rsidP="00472950">
      <w:pPr>
        <w:pStyle w:val="Textonotaalfinal"/>
      </w:pPr>
    </w:p>
  </w:endnote>
  <w:endnote w:id="23">
    <w:p w14:paraId="518E2A23" w14:textId="7872EF3D" w:rsidR="00D55F13" w:rsidRPr="004E4C01" w:rsidRDefault="00D55F13">
      <w:pPr>
        <w:pStyle w:val="Textonotaalfinal"/>
        <w:rPr>
          <w:rFonts w:cs="Arial"/>
        </w:rPr>
      </w:pPr>
      <w:r w:rsidRPr="004E4C01">
        <w:rPr>
          <w:rFonts w:cs="Arial"/>
          <w:vertAlign w:val="superscript"/>
        </w:rPr>
        <w:t>[</w:t>
      </w:r>
      <w:r w:rsidRPr="004E4C01">
        <w:rPr>
          <w:rStyle w:val="Refdenotaalfinal"/>
        </w:rPr>
        <w:endnoteRef/>
      </w:r>
      <w:r w:rsidRPr="004E4C01">
        <w:rPr>
          <w:rFonts w:cs="Arial"/>
          <w:vertAlign w:val="superscript"/>
        </w:rPr>
        <w:t>]</w:t>
      </w:r>
      <w:r w:rsidRPr="004E4C01">
        <w:t xml:space="preserve"> COLOMBIA. MINISTERIO DE AMBIENTE, VIVIENDA Y DESARROLLO TERRITORIAL -MAVDT. Resolución 0627 “Por la cual se establece la norma nacional de emisión de ruido y ruido ambiental”</w:t>
      </w:r>
      <w:r w:rsidRPr="004E4C01">
        <w:rPr>
          <w:rFonts w:cs="Arial"/>
        </w:rPr>
        <w:t>. Bogotá: MAVDT, 2006.</w:t>
      </w:r>
    </w:p>
    <w:p w14:paraId="186536C6" w14:textId="77777777" w:rsidR="00281355" w:rsidRPr="004E4C01" w:rsidRDefault="00281355">
      <w:pPr>
        <w:pStyle w:val="Textonotaalfinal"/>
      </w:pPr>
    </w:p>
  </w:endnote>
  <w:endnote w:id="24">
    <w:p w14:paraId="57AB6ADE" w14:textId="0E18AF58" w:rsidR="00D55F13" w:rsidRPr="004E4C01" w:rsidRDefault="00D55F13">
      <w:pPr>
        <w:pStyle w:val="Textonotaalfinal"/>
      </w:pPr>
      <w:r w:rsidRPr="004E4C01">
        <w:rPr>
          <w:rFonts w:cs="Arial"/>
          <w:vertAlign w:val="superscript"/>
        </w:rPr>
        <w:t>[</w:t>
      </w:r>
      <w:r w:rsidRPr="004E4C01">
        <w:rPr>
          <w:rStyle w:val="Refdenotaalfinal"/>
        </w:rPr>
        <w:endnoteRef/>
      </w:r>
      <w:r w:rsidRPr="004E4C01">
        <w:rPr>
          <w:rFonts w:cs="Arial"/>
          <w:vertAlign w:val="superscript"/>
        </w:rPr>
        <w:t>]</w:t>
      </w:r>
      <w:r w:rsidRPr="004E4C01">
        <w:t xml:space="preserve"> COLOMBIA. MINISTERIO DE VIVIENDA, CIUDAD Y TERRITORIO –MVCT. Decreto 1077 “Por el medio el cual se expide el Decreto único reglamentario del sector vivienda, ciudad y territorio”. Bogotá: MCVT, 2015.</w:t>
      </w:r>
    </w:p>
    <w:p w14:paraId="0D23EA45" w14:textId="77777777" w:rsidR="00D55F13" w:rsidRPr="004E4C01" w:rsidRDefault="00D55F13">
      <w:pPr>
        <w:pStyle w:val="Textonotaalfinal"/>
      </w:pPr>
    </w:p>
  </w:endnote>
  <w:endnote w:id="25">
    <w:p w14:paraId="334EC637" w14:textId="4ED5AFE2" w:rsidR="00D55F13" w:rsidRPr="004E4C01" w:rsidRDefault="00D55F13" w:rsidP="00187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rPr>
      </w:pPr>
      <w:r w:rsidRPr="004E4C01">
        <w:rPr>
          <w:rFonts w:cs="Arial"/>
          <w:vertAlign w:val="superscript"/>
        </w:rPr>
        <w:t>[</w:t>
      </w:r>
      <w:r w:rsidRPr="004E4C01">
        <w:rPr>
          <w:rStyle w:val="Refdenotaalfinal"/>
          <w:rFonts w:cs="Arial"/>
        </w:rPr>
        <w:endnoteRef/>
      </w:r>
      <w:r w:rsidRPr="004E4C01">
        <w:rPr>
          <w:rFonts w:cs="Arial"/>
          <w:vertAlign w:val="superscript"/>
        </w:rPr>
        <w:t>]</w:t>
      </w:r>
      <w:r w:rsidRPr="004E4C01">
        <w:rPr>
          <w:rFonts w:cs="Arial"/>
        </w:rPr>
        <w:t xml:space="preserve"> Adaptado de:</w:t>
      </w:r>
    </w:p>
    <w:p w14:paraId="6FC6EA36" w14:textId="77777777" w:rsidR="00D55F13" w:rsidRPr="004E4C01" w:rsidRDefault="00D55F13" w:rsidP="00187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rPr>
      </w:pPr>
    </w:p>
    <w:p w14:paraId="7017024C" w14:textId="76C955F4" w:rsidR="00D55F13" w:rsidRPr="004E4C01" w:rsidRDefault="00D55F13" w:rsidP="00456AB1">
      <w:pPr>
        <w:pStyle w:val="Textonotaalfinal"/>
        <w:numPr>
          <w:ilvl w:val="0"/>
          <w:numId w:val="20"/>
        </w:numPr>
        <w:ind w:left="567" w:hanging="283"/>
        <w:rPr>
          <w:rFonts w:cs="Arial"/>
        </w:rPr>
      </w:pPr>
      <w:r w:rsidRPr="006C00FC">
        <w:rPr>
          <w:rFonts w:cs="Arial"/>
          <w:lang w:val="en-US"/>
        </w:rPr>
        <w:t xml:space="preserve">De GROOT, R. Functions of Nature: Evaluation of nature in environmental planning, de management and decision making. </w:t>
      </w:r>
      <w:r w:rsidRPr="004E4C01">
        <w:rPr>
          <w:rFonts w:cs="Arial"/>
        </w:rPr>
        <w:t>Groningen: Wolters Noordhoff, 1992.</w:t>
      </w:r>
    </w:p>
    <w:p w14:paraId="3D1411F4" w14:textId="77777777" w:rsidR="00D55F13" w:rsidRPr="004E4C01" w:rsidRDefault="00D55F13" w:rsidP="009420F5">
      <w:pPr>
        <w:pStyle w:val="Textonotaalfinal"/>
        <w:ind w:left="567"/>
        <w:rPr>
          <w:rFonts w:cs="Arial"/>
        </w:rPr>
      </w:pPr>
    </w:p>
    <w:p w14:paraId="44796E3D" w14:textId="640B76F8" w:rsidR="00D55F13" w:rsidRPr="004E4C01" w:rsidRDefault="00D55F13">
      <w:pPr>
        <w:pStyle w:val="Textonotaalfinal"/>
        <w:numPr>
          <w:ilvl w:val="0"/>
          <w:numId w:val="20"/>
        </w:numPr>
        <w:ind w:left="567" w:hanging="283"/>
        <w:rPr>
          <w:rFonts w:cs="Arial"/>
        </w:rPr>
      </w:pPr>
      <w:r w:rsidRPr="006C00FC">
        <w:rPr>
          <w:rFonts w:cs="Arial"/>
          <w:lang w:val="en-US"/>
        </w:rPr>
        <w:t xml:space="preserve">DAILY, G. Nature's services: societal dependence on natural ecosystems. </w:t>
      </w:r>
      <w:r w:rsidRPr="004E4C01">
        <w:rPr>
          <w:rFonts w:cs="Arial"/>
        </w:rPr>
        <w:t>Washington: Island Press, 1997.</w:t>
      </w:r>
    </w:p>
    <w:p w14:paraId="46018C8A" w14:textId="77777777" w:rsidR="00D55F13" w:rsidRPr="004E4C01" w:rsidRDefault="00D55F13" w:rsidP="009420F5">
      <w:pPr>
        <w:pStyle w:val="Textonotaalfinal"/>
        <w:ind w:left="567"/>
        <w:rPr>
          <w:rFonts w:cs="Arial"/>
        </w:rPr>
      </w:pPr>
    </w:p>
    <w:p w14:paraId="0C428F0C" w14:textId="1FDEE7C6" w:rsidR="00D55F13" w:rsidRPr="006C00FC" w:rsidRDefault="00D55F13" w:rsidP="009420F5">
      <w:pPr>
        <w:pStyle w:val="Textonotaalfinal"/>
        <w:numPr>
          <w:ilvl w:val="0"/>
          <w:numId w:val="20"/>
        </w:numPr>
        <w:ind w:left="567" w:hanging="283"/>
        <w:rPr>
          <w:rFonts w:cs="Arial"/>
          <w:lang w:val="en-US"/>
        </w:rPr>
      </w:pPr>
      <w:r w:rsidRPr="006C00FC">
        <w:rPr>
          <w:rFonts w:cs="Arial"/>
          <w:lang w:val="en-US"/>
        </w:rPr>
        <w:t>SCHOWALTER, T. Insect Ecology. An ecosystem approach (Fourth Edition). Amsterdam, Boston, Heidelberg, London, New York, Oxford, Paris, San Diego, San Francisco, Singapore, Sidney, Tokyo: Academic Press, 2016.</w:t>
      </w:r>
    </w:p>
    <w:p w14:paraId="70766CB0" w14:textId="77777777" w:rsidR="00D55F13" w:rsidRPr="006C00FC" w:rsidRDefault="00D55F13" w:rsidP="001877BD">
      <w:pPr>
        <w:pStyle w:val="Textonotaalfinal"/>
        <w:rPr>
          <w:rFonts w:cs="Arial"/>
          <w:lang w:val="en-US"/>
        </w:rPr>
      </w:pPr>
    </w:p>
  </w:endnote>
  <w:endnote w:id="26">
    <w:p w14:paraId="446E6B5E" w14:textId="784C2497" w:rsidR="00D55F13" w:rsidRPr="006C00FC" w:rsidRDefault="00D55F13">
      <w:pPr>
        <w:pStyle w:val="Textonotaalfinal"/>
        <w:rPr>
          <w:lang w:val="en-US"/>
        </w:rPr>
      </w:pPr>
      <w:r w:rsidRPr="006C00FC">
        <w:rPr>
          <w:rFonts w:cs="Arial"/>
          <w:vertAlign w:val="superscript"/>
          <w:lang w:val="en-US"/>
        </w:rPr>
        <w:t>[</w:t>
      </w:r>
      <w:r w:rsidRPr="004E4C01">
        <w:rPr>
          <w:rStyle w:val="Refdenotaalfinal"/>
        </w:rPr>
        <w:endnoteRef/>
      </w:r>
      <w:r w:rsidRPr="006C00FC">
        <w:rPr>
          <w:rFonts w:cs="Arial"/>
          <w:vertAlign w:val="superscript"/>
          <w:lang w:val="en-US"/>
        </w:rPr>
        <w:t>]</w:t>
      </w:r>
      <w:r w:rsidRPr="006C00FC">
        <w:rPr>
          <w:lang w:val="en-US"/>
        </w:rPr>
        <w:t xml:space="preserve"> Adaptado de: BOTEQUILHA, A. Measuring Landscapes: a planner's handbook. </w:t>
      </w:r>
      <w:r w:rsidRPr="006C00FC">
        <w:rPr>
          <w:rFonts w:cs="Arial"/>
          <w:lang w:val="en-US"/>
        </w:rPr>
        <w:t>Washington: Island Press, 2006.</w:t>
      </w:r>
    </w:p>
    <w:p w14:paraId="232AE0FD" w14:textId="77777777" w:rsidR="00D55F13" w:rsidRPr="006C00FC" w:rsidRDefault="00D55F13">
      <w:pPr>
        <w:pStyle w:val="Textonotaalfinal"/>
        <w:rPr>
          <w:lang w:val="en-US"/>
        </w:rPr>
      </w:pPr>
    </w:p>
  </w:endnote>
  <w:endnote w:id="27">
    <w:p w14:paraId="62A51A01" w14:textId="75BC3709" w:rsidR="00D55F13" w:rsidRPr="006C00FC" w:rsidRDefault="00D55F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hd w:val="clear" w:color="auto" w:fill="FFFFFF"/>
          <w:lang w:val="en-US"/>
        </w:rPr>
      </w:pPr>
      <w:r w:rsidRPr="006C00FC">
        <w:rPr>
          <w:vertAlign w:val="superscript"/>
          <w:lang w:val="en-US"/>
        </w:rPr>
        <w:t>[</w:t>
      </w:r>
      <w:r w:rsidRPr="004E4C01">
        <w:rPr>
          <w:rStyle w:val="Refdenotaalfinal"/>
        </w:rPr>
        <w:endnoteRef/>
      </w:r>
      <w:r w:rsidRPr="006C00FC">
        <w:rPr>
          <w:vertAlign w:val="superscript"/>
          <w:lang w:val="en-US"/>
        </w:rPr>
        <w:t>]</w:t>
      </w:r>
      <w:r w:rsidRPr="006C00FC">
        <w:rPr>
          <w:lang w:val="en-US"/>
        </w:rPr>
        <w:t xml:space="preserve"> </w:t>
      </w:r>
      <w:r w:rsidR="00FD2209" w:rsidRPr="006C00FC">
        <w:rPr>
          <w:lang w:val="en-US"/>
        </w:rPr>
        <w:t>BURKHARD, B. &amp; MAES, J. (Eds.). Mapping Ecosystem Services. Sofia: Pensoft Publishers, 2017. 374 p</w:t>
      </w:r>
      <w:r w:rsidRPr="006C00FC">
        <w:rPr>
          <w:lang w:val="en-US"/>
        </w:rPr>
        <w:t>.</w:t>
      </w:r>
      <w:r w:rsidRPr="006C00FC" w:rsidDel="00DF1710">
        <w:rPr>
          <w:lang w:val="en-US"/>
        </w:rPr>
        <w:t xml:space="preserve"> </w:t>
      </w:r>
    </w:p>
    <w:p w14:paraId="72E374F9" w14:textId="77777777" w:rsidR="00D55F13" w:rsidRPr="006C00FC" w:rsidRDefault="00D55F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hd w:val="clear" w:color="auto" w:fill="FFFFFF"/>
          <w:lang w:val="en-US"/>
        </w:rPr>
      </w:pPr>
    </w:p>
  </w:endnote>
  <w:endnote w:id="28">
    <w:p w14:paraId="50BD8DFD" w14:textId="4851060A" w:rsidR="00D55F13" w:rsidRPr="004E4C01" w:rsidRDefault="00D55F13" w:rsidP="00AA4F93">
      <w:pPr>
        <w:pStyle w:val="Textonotaalfinal"/>
        <w:rPr>
          <w:rFonts w:cs="Arial"/>
        </w:rPr>
      </w:pPr>
      <w:r w:rsidRPr="006C00FC">
        <w:rPr>
          <w:rFonts w:cs="Arial"/>
          <w:vertAlign w:val="superscript"/>
          <w:lang w:val="en-US"/>
        </w:rPr>
        <w:t>[</w:t>
      </w:r>
      <w:r w:rsidRPr="004E4C01">
        <w:rPr>
          <w:rStyle w:val="Refdenotaalfinal"/>
        </w:rPr>
        <w:endnoteRef/>
      </w:r>
      <w:r w:rsidRPr="006C00FC">
        <w:rPr>
          <w:rFonts w:cs="Arial"/>
          <w:vertAlign w:val="superscript"/>
          <w:lang w:val="en-US"/>
        </w:rPr>
        <w:t>]</w:t>
      </w:r>
      <w:r w:rsidRPr="006C00FC">
        <w:rPr>
          <w:rFonts w:cs="Arial"/>
          <w:lang w:val="en-US"/>
        </w:rPr>
        <w:t xml:space="preserve"> COLOMBIA. </w:t>
      </w:r>
      <w:r w:rsidRPr="004E4C01">
        <w:rPr>
          <w:rFonts w:cs="Arial"/>
        </w:rPr>
        <w:t>CONGRESO DE LA REPÚBLICA. Ley 357, por “Por medio de la cual se aprueba la "Convención Relativa a los Humedales de Importancia Internacional Especialmente como Hábitat de Aves Acuáticas", suscrita en Ramsar el dos (2) de febrero de mil novecientos setenta y uno (1971)”. Bogotá: Congreso de la República, 1997.</w:t>
      </w:r>
    </w:p>
    <w:p w14:paraId="12FD01B3" w14:textId="77777777" w:rsidR="00D55F13" w:rsidRPr="004E4C01" w:rsidRDefault="00D55F13" w:rsidP="00AA4F93">
      <w:pPr>
        <w:pStyle w:val="Textonotaalfinal"/>
        <w:rPr>
          <w:rFonts w:cs="Arial"/>
        </w:rPr>
      </w:pPr>
    </w:p>
  </w:endnote>
  <w:endnote w:id="29">
    <w:p w14:paraId="0564DBCA" w14:textId="31A7C8C4" w:rsidR="00D55F13" w:rsidRPr="004E4C01" w:rsidRDefault="00D55F13">
      <w:pPr>
        <w:shd w:val="clear" w:color="auto" w:fill="FFFFFF"/>
        <w:ind w:left="284" w:right="57" w:hanging="301"/>
      </w:pPr>
      <w:r w:rsidRPr="004E4C01">
        <w:rPr>
          <w:vertAlign w:val="superscript"/>
        </w:rPr>
        <w:t>[</w:t>
      </w:r>
      <w:r w:rsidRPr="004E4C01">
        <w:rPr>
          <w:vertAlign w:val="superscript"/>
        </w:rPr>
        <w:endnoteRef/>
      </w:r>
      <w:r w:rsidRPr="004E4C01">
        <w:rPr>
          <w:vertAlign w:val="superscript"/>
        </w:rPr>
        <w:t>]</w:t>
      </w:r>
      <w:r w:rsidRPr="004E4C01">
        <w:t xml:space="preserve"> Adaptado de:</w:t>
      </w:r>
    </w:p>
    <w:p w14:paraId="0CCDDD00" w14:textId="77777777" w:rsidR="00D55F13" w:rsidRPr="004E4C01" w:rsidRDefault="00D55F13">
      <w:pPr>
        <w:shd w:val="clear" w:color="auto" w:fill="FFFFFF"/>
        <w:ind w:left="284" w:right="57" w:hanging="301"/>
      </w:pPr>
    </w:p>
    <w:p w14:paraId="7244EB69" w14:textId="6A82FD9C" w:rsidR="00D55F13" w:rsidRPr="004E4C01" w:rsidRDefault="00D55F13" w:rsidP="006B4032">
      <w:pPr>
        <w:pStyle w:val="Textonotaalfinal"/>
        <w:numPr>
          <w:ilvl w:val="0"/>
          <w:numId w:val="20"/>
        </w:numPr>
        <w:ind w:left="567" w:hanging="283"/>
        <w:rPr>
          <w:rFonts w:cs="Arial"/>
        </w:rPr>
      </w:pPr>
      <w:r w:rsidRPr="004E4C01">
        <w:rPr>
          <w:rFonts w:cs="Arial"/>
        </w:rPr>
        <w:t>CONESA, V. Guía metodológica para la Evaluación del Impacto Ambiental. Cuarta edición revisada y ampliada. Madrid España: Ediciones Mundi-Prensa, 2010.</w:t>
      </w:r>
    </w:p>
    <w:p w14:paraId="631AC09E" w14:textId="77777777" w:rsidR="00D55F13" w:rsidRPr="004E4C01" w:rsidRDefault="00D55F13" w:rsidP="009420F5">
      <w:pPr>
        <w:shd w:val="clear" w:color="auto" w:fill="FFFFFF"/>
        <w:ind w:right="55"/>
        <w:contextualSpacing/>
        <w:rPr>
          <w:rFonts w:cs="Arial"/>
          <w:color w:val="000000"/>
        </w:rPr>
      </w:pPr>
    </w:p>
    <w:p w14:paraId="2362014C" w14:textId="6FF70DAD" w:rsidR="00D55F13" w:rsidRPr="004E4C01" w:rsidRDefault="00AB2DFD" w:rsidP="008A4FE9">
      <w:pPr>
        <w:pStyle w:val="Textonotaalfinal"/>
        <w:numPr>
          <w:ilvl w:val="0"/>
          <w:numId w:val="20"/>
        </w:numPr>
        <w:ind w:left="567" w:hanging="283"/>
        <w:rPr>
          <w:rFonts w:cs="Arial"/>
        </w:rPr>
      </w:pPr>
      <w:r w:rsidRPr="006C00FC">
        <w:rPr>
          <w:rFonts w:cs="Arial"/>
          <w:lang w:val="en-US"/>
        </w:rPr>
        <w:t>WALKER, L. &amp; JOHNSTON, J</w:t>
      </w:r>
      <w:r w:rsidR="00D55F13" w:rsidRPr="006C00FC">
        <w:rPr>
          <w:rFonts w:cs="Arial"/>
          <w:lang w:val="en-US"/>
        </w:rPr>
        <w:t xml:space="preserve">. </w:t>
      </w:r>
      <w:r w:rsidRPr="006C00FC">
        <w:rPr>
          <w:rFonts w:cs="Arial"/>
          <w:lang w:val="en-US"/>
        </w:rPr>
        <w:t>Guidelines for the Assessment of Indirect and Cumulative Impacts as well as Impact Interactions</w:t>
      </w:r>
      <w:r w:rsidR="00D55F13" w:rsidRPr="006C00FC">
        <w:rPr>
          <w:rFonts w:cs="Arial"/>
          <w:lang w:val="en-US"/>
        </w:rPr>
        <w:t xml:space="preserve">. </w:t>
      </w:r>
      <w:r w:rsidRPr="004E4C01">
        <w:rPr>
          <w:rFonts w:cs="Arial"/>
        </w:rPr>
        <w:t>Environment, Nuclear Safety &amp; Civil Protection. HHH: The European Commission, 1999</w:t>
      </w:r>
      <w:r w:rsidR="00D55F13" w:rsidRPr="004E4C01">
        <w:rPr>
          <w:rFonts w:cs="Arial"/>
        </w:rPr>
        <w:t>.</w:t>
      </w:r>
    </w:p>
    <w:p w14:paraId="7E1E3386" w14:textId="77777777" w:rsidR="00AE7898" w:rsidRPr="004E4C01" w:rsidRDefault="00AE7898" w:rsidP="008A4FE9">
      <w:pPr>
        <w:pStyle w:val="Textonotaalfinal"/>
        <w:rPr>
          <w:rFonts w:cs="Arial"/>
        </w:rPr>
      </w:pPr>
    </w:p>
  </w:endnote>
  <w:endnote w:id="30">
    <w:p w14:paraId="6D0F1F57" w14:textId="07E23B10" w:rsidR="001A4259" w:rsidRPr="00127BD4" w:rsidRDefault="001A4259" w:rsidP="000D6E21">
      <w:pPr>
        <w:pStyle w:val="Textonotaalfinal"/>
        <w:rPr>
          <w:rFonts w:cs="Arial"/>
        </w:rPr>
      </w:pPr>
      <w:r w:rsidRPr="006C00FC">
        <w:rPr>
          <w:rFonts w:cs="Arial"/>
          <w:vertAlign w:val="superscript"/>
          <w:lang w:val="en-US"/>
        </w:rPr>
        <w:t>[</w:t>
      </w:r>
      <w:r w:rsidRPr="00127BD4">
        <w:rPr>
          <w:rFonts w:cs="Arial"/>
          <w:vertAlign w:val="superscript"/>
        </w:rPr>
        <w:endnoteRef/>
      </w:r>
      <w:r w:rsidRPr="006C00FC">
        <w:rPr>
          <w:rFonts w:cs="Arial"/>
          <w:vertAlign w:val="superscript"/>
          <w:lang w:val="en-US"/>
        </w:rPr>
        <w:t>]</w:t>
      </w:r>
      <w:r w:rsidRPr="006C00FC">
        <w:rPr>
          <w:rFonts w:cs="Arial"/>
          <w:lang w:val="en-US"/>
        </w:rPr>
        <w:t xml:space="preserve"> </w:t>
      </w:r>
      <w:r w:rsidR="007762B3" w:rsidRPr="006C00FC">
        <w:rPr>
          <w:rFonts w:cs="Arial"/>
          <w:lang w:val="en-US"/>
        </w:rPr>
        <w:t xml:space="preserve">INTERGOVERNMENTAL PANEL ON CLIMATE CHANGE (IPCC). Anexo I: Glosario [Matthews J.B.R. (ed.)]. </w:t>
      </w:r>
      <w:r w:rsidR="007762B3" w:rsidRPr="00127BD4">
        <w:rPr>
          <w:rFonts w:cs="Arial"/>
        </w:rPr>
        <w:t>En: Calentamiento global de 1,5 °C, Informe especial del IPCC sobre los impactos del calentamiento global de 1,5 ºC con respecto a los niveles preindustriales y las trayectorias correspondientes que deberían seguir las emisiones mundiales de gases de efecto invernadero, en el contexto del reforzamiento de la respuesta mundial a la amenaza del cambio climático, el desarrollo sostenible y los esfuerzos por erradicar la pobreza [Masson-Delmotte V., P. Zhai, H.-O. Pörtner, D. Roberts, J. Skea, P.R. Shukla, A. Pirani, W. Moufouma-Okia, C. Péan, R. Pidcock, S. Connors, J.B.R. Matthews, Y. Chen, X. Zhou, M.I. Gomis, E. Lonnoy, T. Maycock, M. Tignor y T. Waterfield (eds.)].</w:t>
      </w:r>
      <w:r w:rsidR="002F6211" w:rsidRPr="00127BD4">
        <w:rPr>
          <w:rFonts w:cs="Arial"/>
        </w:rPr>
        <w:t xml:space="preserve"> IPCC, 2018, 94 p.</w:t>
      </w:r>
    </w:p>
    <w:p w14:paraId="52096EFF" w14:textId="77777777" w:rsidR="001A4259" w:rsidRPr="004E4C01" w:rsidRDefault="001A4259" w:rsidP="001A4259">
      <w:pPr>
        <w:pStyle w:val="Textonotaalfinal"/>
        <w:rPr>
          <w:rFonts w:cs="Arial"/>
        </w:rPr>
      </w:pPr>
    </w:p>
  </w:endnote>
  <w:endnote w:id="31">
    <w:p w14:paraId="5ADDEF42" w14:textId="022D460C" w:rsidR="00D55F13" w:rsidRPr="004E4C01" w:rsidRDefault="00D55F13" w:rsidP="00AA4F93">
      <w:pPr>
        <w:pStyle w:val="Textonotaalfinal"/>
        <w:rPr>
          <w:rFonts w:cs="Arial"/>
          <w:vertAlign w:val="superscript"/>
        </w:rPr>
      </w:pPr>
      <w:r w:rsidRPr="004E4C01">
        <w:rPr>
          <w:rFonts w:cs="Arial"/>
          <w:vertAlign w:val="superscript"/>
        </w:rPr>
        <w:t>[</w:t>
      </w:r>
      <w:r w:rsidRPr="004E4C01">
        <w:rPr>
          <w:rFonts w:cs="Arial"/>
          <w:vertAlign w:val="superscript"/>
        </w:rPr>
        <w:endnoteRef/>
      </w:r>
      <w:r w:rsidRPr="004E4C01">
        <w:rPr>
          <w:rFonts w:cs="Arial"/>
          <w:vertAlign w:val="superscript"/>
        </w:rPr>
        <w:t>]</w:t>
      </w:r>
      <w:r w:rsidRPr="004E4C01">
        <w:rPr>
          <w:rFonts w:cs="Arial"/>
        </w:rPr>
        <w:t xml:space="preserve"> INSTITUTO COLOMBIANO DE NORMAS TÉCNICAS Y CERTIFICACIÓN –ICONTEC. Norma Técnica Colombiana NTC 4611. Información geográfica. Metadatos. Bogotá: ICONTEC, 2000.</w:t>
      </w:r>
    </w:p>
    <w:p w14:paraId="0F30A067" w14:textId="77777777" w:rsidR="00D55F13" w:rsidRPr="004E4C01" w:rsidRDefault="00D55F13" w:rsidP="003725C8">
      <w:pPr>
        <w:pStyle w:val="Textonotaalfinal"/>
      </w:pPr>
    </w:p>
  </w:endnote>
  <w:endnote w:id="32">
    <w:p w14:paraId="269CB2C3" w14:textId="73D49BA2" w:rsidR="00D55F13" w:rsidRPr="004E4C01" w:rsidRDefault="00D55F13">
      <w:pPr>
        <w:pStyle w:val="Textonotaalfinal"/>
        <w:rPr>
          <w:rFonts w:cs="Arial"/>
          <w:color w:val="000000"/>
        </w:rPr>
      </w:pPr>
      <w:r w:rsidRPr="004E4C01">
        <w:rPr>
          <w:rFonts w:cs="Arial"/>
          <w:vertAlign w:val="superscript"/>
        </w:rPr>
        <w:t>[</w:t>
      </w:r>
      <w:r w:rsidRPr="004E4C01">
        <w:rPr>
          <w:rStyle w:val="Refdenotaalfinal"/>
        </w:rPr>
        <w:endnoteRef/>
      </w:r>
      <w:r w:rsidRPr="004E4C01">
        <w:rPr>
          <w:vertAlign w:val="superscript"/>
        </w:rPr>
        <w:t>]</w:t>
      </w:r>
      <w:r w:rsidRPr="004E4C01">
        <w:rPr>
          <w:rFonts w:cs="Arial"/>
          <w:color w:val="000000"/>
        </w:rPr>
        <w:t xml:space="preserve"> </w:t>
      </w:r>
      <w:r w:rsidRPr="004E4C01">
        <w:rPr>
          <w:rFonts w:cs="Arial"/>
        </w:rPr>
        <w:t xml:space="preserve">COLOMBIA. EL PUEBLO DE COLOMBIA. Constitución </w:t>
      </w:r>
      <w:r w:rsidR="00C21ACA" w:rsidRPr="004E4C01">
        <w:rPr>
          <w:rFonts w:cs="Arial"/>
        </w:rPr>
        <w:t>P</w:t>
      </w:r>
      <w:r w:rsidRPr="004E4C01">
        <w:rPr>
          <w:rFonts w:cs="Arial"/>
        </w:rPr>
        <w:t>olítica de Colombia. Bogotá: El pueblo de Colombia, 1991.</w:t>
      </w:r>
    </w:p>
    <w:p w14:paraId="3AD05E7F" w14:textId="1216FD6C" w:rsidR="00D55F13" w:rsidRPr="004E4C01" w:rsidRDefault="00D55F13">
      <w:pPr>
        <w:pStyle w:val="Textonotaalfinal"/>
      </w:pPr>
    </w:p>
  </w:endnote>
  <w:endnote w:id="33">
    <w:p w14:paraId="698781DB" w14:textId="77777777" w:rsidR="00D55F13" w:rsidRPr="004E4C01" w:rsidRDefault="00D55F13">
      <w:pPr>
        <w:suppressAutoHyphens/>
        <w:rPr>
          <w:spacing w:val="-2"/>
        </w:rPr>
      </w:pPr>
      <w:r w:rsidRPr="004E4C01">
        <w:rPr>
          <w:vertAlign w:val="superscript"/>
        </w:rPr>
        <w:t>[</w:t>
      </w:r>
      <w:r w:rsidRPr="004E4C01">
        <w:rPr>
          <w:rStyle w:val="Refdenotaalfinal"/>
        </w:rPr>
        <w:endnoteRef/>
      </w:r>
      <w:r w:rsidRPr="004E4C01">
        <w:rPr>
          <w:vertAlign w:val="superscript"/>
        </w:rPr>
        <w:t xml:space="preserve">] </w:t>
      </w:r>
      <w:r w:rsidRPr="004E4C01">
        <w:t>INSTITUTO COLOMBIANO DE NORMAS TÉCNICAS Y CERTIFICACIÓN –ICONTEC. Norma Técnica Colombiana NTC-ISO 31000. Gestión del riesgo. Principios y directrices. Bogotá: ICONTEC, 2016.</w:t>
      </w:r>
    </w:p>
    <w:p w14:paraId="0E8D9D15" w14:textId="77777777" w:rsidR="00D55F13" w:rsidRPr="004E4C01" w:rsidRDefault="00D55F13">
      <w:pPr>
        <w:pStyle w:val="Textonotaalfinal"/>
      </w:pPr>
    </w:p>
  </w:endnote>
  <w:endnote w:id="34">
    <w:p w14:paraId="6D5E6753" w14:textId="13005F5C" w:rsidR="00D55F13" w:rsidRPr="004E4C01" w:rsidRDefault="00D55F13">
      <w:pPr>
        <w:pStyle w:val="Textonotaalfinal"/>
      </w:pPr>
      <w:r w:rsidRPr="004E4C01">
        <w:rPr>
          <w:rFonts w:cs="Arial"/>
          <w:vertAlign w:val="superscript"/>
        </w:rPr>
        <w:t>[</w:t>
      </w:r>
      <w:r w:rsidRPr="004E4C01">
        <w:rPr>
          <w:rStyle w:val="Refdenotaalfinal"/>
        </w:rPr>
        <w:endnoteRef/>
      </w:r>
      <w:r w:rsidRPr="004E4C01">
        <w:rPr>
          <w:rFonts w:cs="Arial"/>
          <w:vertAlign w:val="superscript"/>
        </w:rPr>
        <w:t>]</w:t>
      </w:r>
      <w:r w:rsidRPr="004E4C01">
        <w:t xml:space="preserve"> Adaptado de: </w:t>
      </w:r>
    </w:p>
    <w:p w14:paraId="1F81036E" w14:textId="77777777" w:rsidR="00D55F13" w:rsidRPr="004E4C01" w:rsidRDefault="00D55F13">
      <w:pPr>
        <w:pStyle w:val="Textonotaalfinal"/>
      </w:pPr>
    </w:p>
    <w:p w14:paraId="5804B351" w14:textId="25D5FFAD" w:rsidR="00D55F13" w:rsidRPr="004E4C01" w:rsidRDefault="00D55F13" w:rsidP="006B4032">
      <w:pPr>
        <w:pStyle w:val="Textonotaalfinal"/>
        <w:numPr>
          <w:ilvl w:val="0"/>
          <w:numId w:val="20"/>
        </w:numPr>
        <w:ind w:left="567" w:hanging="283"/>
        <w:rPr>
          <w:rFonts w:cs="Arial"/>
        </w:rPr>
      </w:pPr>
      <w:r w:rsidRPr="004E4C01">
        <w:rPr>
          <w:rFonts w:cs="Arial"/>
        </w:rPr>
        <w:t>ETTER, A. Introducción a la ecología del paisaje: un marco de integración para los levantamientos rurales. Bogotá: IGAC, 1990.</w:t>
      </w:r>
    </w:p>
    <w:p w14:paraId="1DBE48A6" w14:textId="77777777" w:rsidR="00D55F13" w:rsidRPr="004E4C01" w:rsidRDefault="00D55F13" w:rsidP="006B4032">
      <w:pPr>
        <w:pStyle w:val="Textonotaalfinal"/>
        <w:rPr>
          <w:rFonts w:cs="Arial"/>
        </w:rPr>
      </w:pPr>
    </w:p>
    <w:p w14:paraId="5EFAF213" w14:textId="3D6A69B5" w:rsidR="00D55F13" w:rsidRPr="004E4C01" w:rsidRDefault="00D55F13" w:rsidP="006B4032">
      <w:pPr>
        <w:pStyle w:val="Textonotaalfinal"/>
        <w:numPr>
          <w:ilvl w:val="0"/>
          <w:numId w:val="20"/>
        </w:numPr>
        <w:ind w:left="567" w:hanging="283"/>
        <w:rPr>
          <w:rFonts w:cs="Arial"/>
        </w:rPr>
      </w:pPr>
      <w:r w:rsidRPr="004E4C01">
        <w:rPr>
          <w:rFonts w:cs="Arial"/>
        </w:rPr>
        <w:t>MORLÁNS, M. Introducción a la Ecología del Paisaje. Catamarca: Editorial Científica Universitaria, Universidad Nacional de Catamarca, 2005.</w:t>
      </w:r>
    </w:p>
    <w:p w14:paraId="2E8D9AD0" w14:textId="77777777" w:rsidR="00D55F13" w:rsidRPr="004E4C01" w:rsidRDefault="00D55F13">
      <w:pPr>
        <w:pStyle w:val="Textonotaalfinal"/>
      </w:pPr>
    </w:p>
  </w:endnote>
  <w:endnote w:id="35">
    <w:p w14:paraId="2C20C543" w14:textId="2F3AF672" w:rsidR="00D55F13" w:rsidRPr="004E4C01" w:rsidRDefault="00D55F13" w:rsidP="00554813">
      <w:pPr>
        <w:pStyle w:val="Textonotaalfinal"/>
        <w:rPr>
          <w:rFonts w:cs="Arial"/>
        </w:rPr>
      </w:pPr>
      <w:r w:rsidRPr="006C00FC">
        <w:rPr>
          <w:rFonts w:cs="Arial"/>
          <w:vertAlign w:val="superscript"/>
          <w:lang w:val="en-US"/>
        </w:rPr>
        <w:t>[</w:t>
      </w:r>
      <w:r w:rsidRPr="004E4C01">
        <w:rPr>
          <w:rStyle w:val="Refdenotaalfinal"/>
          <w:rFonts w:cs="Arial"/>
        </w:rPr>
        <w:endnoteRef/>
      </w:r>
      <w:r w:rsidRPr="006C00FC">
        <w:rPr>
          <w:rFonts w:cs="Arial"/>
          <w:vertAlign w:val="superscript"/>
          <w:lang w:val="en-US"/>
        </w:rPr>
        <w:t>]</w:t>
      </w:r>
      <w:r w:rsidRPr="006C00FC">
        <w:rPr>
          <w:rFonts w:cs="Arial"/>
          <w:lang w:val="en-US" w:eastAsia="es-CO"/>
        </w:rPr>
        <w:t xml:space="preserve"> </w:t>
      </w:r>
      <w:r w:rsidR="004A617C" w:rsidRPr="006C00FC">
        <w:rPr>
          <w:lang w:val="en-US"/>
        </w:rPr>
        <w:t>Adaptado de:</w:t>
      </w:r>
      <w:r w:rsidR="004A617C" w:rsidRPr="006C00FC">
        <w:rPr>
          <w:rFonts w:cs="Arial"/>
          <w:lang w:val="en-US"/>
        </w:rPr>
        <w:t xml:space="preserve"> </w:t>
      </w:r>
      <w:r w:rsidRPr="006C00FC">
        <w:rPr>
          <w:rFonts w:cs="Arial"/>
          <w:lang w:val="en-US" w:eastAsia="es-CO"/>
        </w:rPr>
        <w:t xml:space="preserve">POSUDIN, Y. Methods of measuring environmental parameters. </w:t>
      </w:r>
      <w:r w:rsidRPr="004E4C01">
        <w:rPr>
          <w:rFonts w:cs="Arial"/>
          <w:lang w:eastAsia="es-CO"/>
        </w:rPr>
        <w:t>New Jersey: John Wiley &amp; Sons, Inc., 2014.</w:t>
      </w:r>
    </w:p>
    <w:p w14:paraId="003C6AD8" w14:textId="77777777" w:rsidR="00D55F13" w:rsidRPr="004E4C01" w:rsidRDefault="00D55F13" w:rsidP="00554813">
      <w:pPr>
        <w:pStyle w:val="Textonotaalfinal"/>
        <w:rPr>
          <w:rFonts w:cs="Arial"/>
        </w:rPr>
      </w:pPr>
    </w:p>
  </w:endnote>
  <w:endnote w:id="36">
    <w:p w14:paraId="5434910C" w14:textId="670E15B3" w:rsidR="00DB06DC" w:rsidRPr="004E4C01" w:rsidRDefault="00B62DAA" w:rsidP="00B62DAA">
      <w:pPr>
        <w:pStyle w:val="Textonotaalfinal"/>
        <w:rPr>
          <w:rFonts w:cs="Arial"/>
        </w:rPr>
      </w:pPr>
      <w:r w:rsidRPr="00127BD4">
        <w:rPr>
          <w:rFonts w:cs="Arial"/>
          <w:vertAlign w:val="superscript"/>
          <w:lang w:val="es-MX"/>
        </w:rPr>
        <w:t>[</w:t>
      </w:r>
      <w:r w:rsidRPr="004E4C01">
        <w:rPr>
          <w:rStyle w:val="Refdenotaalfinal"/>
          <w:rFonts w:cs="Arial"/>
        </w:rPr>
        <w:endnoteRef/>
      </w:r>
      <w:r w:rsidRPr="00127BD4">
        <w:rPr>
          <w:rFonts w:cs="Arial"/>
          <w:vertAlign w:val="superscript"/>
          <w:lang w:val="es-MX"/>
        </w:rPr>
        <w:t>]</w:t>
      </w:r>
      <w:r w:rsidRPr="00127BD4">
        <w:rPr>
          <w:rFonts w:cs="Arial"/>
          <w:lang w:val="es-MX" w:eastAsia="es-CO"/>
        </w:rPr>
        <w:t xml:space="preserve"> </w:t>
      </w:r>
      <w:r w:rsidR="00DB06DC" w:rsidRPr="004E4C01">
        <w:rPr>
          <w:rFonts w:cs="Arial"/>
        </w:rPr>
        <w:t xml:space="preserve">COLOMBIA. </w:t>
      </w:r>
      <w:r w:rsidR="00B94DDF" w:rsidRPr="004E4C01">
        <w:rPr>
          <w:rFonts w:cs="Arial"/>
        </w:rPr>
        <w:t>PRESIDENCIA DE LA REPÚBLICA</w:t>
      </w:r>
      <w:r w:rsidR="00DB06DC" w:rsidRPr="004E4C01">
        <w:rPr>
          <w:rFonts w:cs="Arial"/>
        </w:rPr>
        <w:t xml:space="preserve">. </w:t>
      </w:r>
      <w:r w:rsidR="00B94DDF" w:rsidRPr="004E4C01">
        <w:rPr>
          <w:rFonts w:eastAsia="Arial" w:cs="Arial"/>
        </w:rPr>
        <w:t xml:space="preserve">Decreto 1384 </w:t>
      </w:r>
      <w:r w:rsidR="00DB06DC" w:rsidRPr="004E4C01">
        <w:rPr>
          <w:rFonts w:cs="Arial"/>
        </w:rPr>
        <w:t>“</w:t>
      </w:r>
      <w:r w:rsidR="00A16E98" w:rsidRPr="004E4C01">
        <w:rPr>
          <w:rFonts w:cs="Arial"/>
        </w:rPr>
        <w:t>Por el cual se reglamenta el capítulo IV y las demás disposiciones ambientales contenidas en la Ley 70 de 1993, en lo relacionado con los recursos naturales renovables y del ambiente, en los territorios colectivos adjudicados, en trámite u ocupados ancestral y/o tradicionalmente por las comunidades negras, afrocolombianas, raizales y palenqueras, y se adiciona al Título 12 de la Parte 2 del Libro 2 del Decreto 1076 de 2015 - Decreto Único Reglamentario del Sector Administrativo del Sector Ambiente y Desarrollo Sostenible y se dictan otras disposiciones</w:t>
      </w:r>
      <w:r w:rsidR="00DB06DC" w:rsidRPr="004E4C01">
        <w:rPr>
          <w:rFonts w:cs="Arial"/>
        </w:rPr>
        <w:t xml:space="preserve">". Bogotá: </w:t>
      </w:r>
      <w:r w:rsidR="00A16E98" w:rsidRPr="004E4C01">
        <w:rPr>
          <w:rFonts w:cs="Arial"/>
        </w:rPr>
        <w:t>presidencia</w:t>
      </w:r>
      <w:r w:rsidR="00DB06DC" w:rsidRPr="004E4C01">
        <w:rPr>
          <w:rFonts w:cs="Arial"/>
        </w:rPr>
        <w:t>, 20</w:t>
      </w:r>
      <w:r w:rsidR="00A16E98" w:rsidRPr="004E4C01">
        <w:rPr>
          <w:rFonts w:cs="Arial"/>
        </w:rPr>
        <w:t>23</w:t>
      </w:r>
      <w:r w:rsidR="00DB06DC" w:rsidRPr="004E4C01">
        <w:rPr>
          <w:rFonts w:cs="Arial"/>
        </w:rPr>
        <w:t>.</w:t>
      </w:r>
    </w:p>
    <w:p w14:paraId="636AA254" w14:textId="77777777" w:rsidR="00B62DAA" w:rsidRPr="004E4C01" w:rsidRDefault="00B62DAA" w:rsidP="00B62DAA">
      <w:pPr>
        <w:pStyle w:val="Textonotaalfinal"/>
        <w:rPr>
          <w:rFonts w:cs="Arial"/>
        </w:rPr>
      </w:pPr>
    </w:p>
  </w:endnote>
  <w:endnote w:id="37">
    <w:p w14:paraId="35A56343" w14:textId="72EF7D27" w:rsidR="00FC1EF0" w:rsidRPr="004E4C01" w:rsidRDefault="00FC1EF0" w:rsidP="00FC1EF0">
      <w:pPr>
        <w:pStyle w:val="Textonotaalfinal"/>
      </w:pPr>
      <w:r w:rsidRPr="004E4C01">
        <w:rPr>
          <w:color w:val="2B579A"/>
          <w:shd w:val="clear" w:color="auto" w:fill="E6E6E6"/>
          <w:vertAlign w:val="superscript"/>
        </w:rPr>
        <w:t>[</w:t>
      </w:r>
      <w:r w:rsidRPr="004E4C01">
        <w:rPr>
          <w:rStyle w:val="Refdenotaalfinal"/>
        </w:rPr>
        <w:endnoteRef/>
      </w:r>
      <w:r w:rsidRPr="004E4C01">
        <w:rPr>
          <w:vertAlign w:val="superscript"/>
        </w:rPr>
        <w:t>]</w:t>
      </w:r>
      <w:r w:rsidRPr="004E4C01">
        <w:t xml:space="preserve"> REBOLLO REVESADO, S. Provención, prevención y solución del conflicto humano desde las prácticas restaurativas. En: Revista de Ciencias y Orientación Familiar. </w:t>
      </w:r>
      <w:r w:rsidR="00AA1D1F">
        <w:t>60 (</w:t>
      </w:r>
      <w:r w:rsidRPr="004E4C01">
        <w:t>2022</w:t>
      </w:r>
      <w:r w:rsidR="00AA1D1F">
        <w:t>);</w:t>
      </w:r>
      <w:r w:rsidRPr="004E4C01">
        <w:t xml:space="preserve"> 89 - 103. ISSN: 1130-8893 95.</w:t>
      </w:r>
    </w:p>
    <w:p w14:paraId="24DDDB08" w14:textId="77777777" w:rsidR="00FC1EF0" w:rsidRPr="004E4C01" w:rsidRDefault="00FC1EF0" w:rsidP="00FC1EF0">
      <w:pPr>
        <w:pStyle w:val="Textonotaalfinal"/>
      </w:pPr>
    </w:p>
  </w:endnote>
  <w:endnote w:id="38">
    <w:p w14:paraId="7A2D8F7B" w14:textId="118958AA" w:rsidR="00D55F13" w:rsidRPr="004E4C01" w:rsidRDefault="00D55F13">
      <w:pPr>
        <w:pStyle w:val="Textonotaalfinal"/>
      </w:pPr>
      <w:r w:rsidRPr="004E4C01">
        <w:rPr>
          <w:vertAlign w:val="superscript"/>
        </w:rPr>
        <w:t>[</w:t>
      </w:r>
      <w:r w:rsidRPr="004E4C01">
        <w:rPr>
          <w:rStyle w:val="Refdenotaalfinal"/>
        </w:rPr>
        <w:endnoteRef/>
      </w:r>
      <w:r w:rsidRPr="004E4C01">
        <w:rPr>
          <w:vertAlign w:val="superscript"/>
        </w:rPr>
        <w:t>]</w:t>
      </w:r>
      <w:r w:rsidRPr="004E4C01">
        <w:t xml:space="preserve"> COLOMBIA. CONGRESO DE LA REPÚBLICA. Ley 13 “Por la cual se dicta el estatuto general de pesca”. Bogotá: Congreso de la República, 1990.</w:t>
      </w:r>
    </w:p>
    <w:p w14:paraId="40E64C88" w14:textId="77777777" w:rsidR="00D55F13" w:rsidRPr="004E4C01" w:rsidRDefault="00D55F13">
      <w:pPr>
        <w:pStyle w:val="Textonotaalfinal"/>
      </w:pPr>
    </w:p>
  </w:endnote>
  <w:endnote w:id="39">
    <w:p w14:paraId="53EA28E0" w14:textId="3922AB19" w:rsidR="00D55F13" w:rsidRPr="004E4C01" w:rsidRDefault="00D55F13" w:rsidP="00535659">
      <w:pPr>
        <w:pStyle w:val="Textonotaalfinal"/>
      </w:pPr>
      <w:r w:rsidRPr="004E4C01">
        <w:rPr>
          <w:vertAlign w:val="superscript"/>
        </w:rPr>
        <w:t>[</w:t>
      </w:r>
      <w:r w:rsidRPr="004E4C01">
        <w:rPr>
          <w:rStyle w:val="Refdenotaalfinal"/>
        </w:rPr>
        <w:endnoteRef/>
      </w:r>
      <w:r w:rsidRPr="004E4C01">
        <w:rPr>
          <w:vertAlign w:val="superscript"/>
        </w:rPr>
        <w:t>]</w:t>
      </w:r>
      <w:r w:rsidRPr="004E4C01">
        <w:t xml:space="preserve"> </w:t>
      </w:r>
      <w:r w:rsidRPr="004E4C01">
        <w:rPr>
          <w:rFonts w:cs="Arial"/>
        </w:rPr>
        <w:t>COLOMBIA. MINISTERIO DE AGRICULTURA Y DESARROLLO RURAL –Minagricultura. Decreto 1071 “Por medio del cual se expide el Decreto Único Reglamentario del Sector Administrativo Agropecuario, Pesquero y de Desarrollo Rural". Bogotá: Ministerio de Agricultura y Desarrollo Rural, 2015.</w:t>
      </w:r>
    </w:p>
    <w:p w14:paraId="592EEDAB" w14:textId="77777777" w:rsidR="00D55F13" w:rsidRPr="004E4C01" w:rsidRDefault="00D55F13" w:rsidP="00535659">
      <w:pPr>
        <w:pStyle w:val="Textonotaalfinal"/>
      </w:pPr>
    </w:p>
  </w:endnote>
  <w:endnote w:id="40">
    <w:p w14:paraId="288E9E2B" w14:textId="19194A6E" w:rsidR="00D55F13" w:rsidRPr="004E4C01" w:rsidRDefault="00D55F13" w:rsidP="0036726A">
      <w:pPr>
        <w:pStyle w:val="Textonotaalfinal"/>
        <w:rPr>
          <w:rFonts w:cs="Arial"/>
        </w:rPr>
      </w:pPr>
      <w:r w:rsidRPr="004E4C01">
        <w:rPr>
          <w:rFonts w:cs="Arial"/>
          <w:vertAlign w:val="superscript"/>
        </w:rPr>
        <w:t>[</w:t>
      </w:r>
      <w:r w:rsidRPr="004E4C01">
        <w:rPr>
          <w:rStyle w:val="Refdenotaalfinal"/>
        </w:rPr>
        <w:endnoteRef/>
      </w:r>
      <w:r w:rsidRPr="004E4C01">
        <w:rPr>
          <w:rFonts w:cs="Arial"/>
          <w:vertAlign w:val="superscript"/>
        </w:rPr>
        <w:t>]</w:t>
      </w:r>
      <w:r w:rsidRPr="004E4C01">
        <w:t xml:space="preserve"> </w:t>
      </w:r>
      <w:r w:rsidRPr="004E4C01">
        <w:rPr>
          <w:rFonts w:cs="Arial"/>
        </w:rPr>
        <w:t>COLOMBIA. MINISTERIO DE AMBIENTE Y DESARROLLO SOSTENIBLE –Minambiente. Resolución 472 “Por la cual se reglamenta la gestión integral de los residuos generados en las actividades de Construcción y Demolición (RCD) y se dictan otras disposiciones". Bogotá: Ministerio de Ambiente y Desarrollo Sostenible, 2017.</w:t>
      </w:r>
    </w:p>
    <w:p w14:paraId="7A4920D5" w14:textId="77777777" w:rsidR="00D55F13" w:rsidRPr="004E4C01" w:rsidRDefault="00D55F13" w:rsidP="0036726A">
      <w:pPr>
        <w:pStyle w:val="Textonotaalfinal"/>
        <w:rPr>
          <w:rFonts w:cs="Arial"/>
        </w:rPr>
      </w:pPr>
    </w:p>
  </w:endnote>
  <w:endnote w:id="41">
    <w:p w14:paraId="29AE6838" w14:textId="77777777" w:rsidR="00D55F13" w:rsidRPr="004E4C01" w:rsidRDefault="00D55F13">
      <w:pPr>
        <w:pStyle w:val="Textonotaalfinal"/>
      </w:pPr>
      <w:r w:rsidRPr="004E4C01">
        <w:rPr>
          <w:vertAlign w:val="superscript"/>
        </w:rPr>
        <w:t>[</w:t>
      </w:r>
      <w:r w:rsidRPr="004E4C01">
        <w:rPr>
          <w:rStyle w:val="Refdenotaalfinal"/>
          <w:rFonts w:eastAsiaTheme="majorEastAsia"/>
        </w:rPr>
        <w:endnoteRef/>
      </w:r>
      <w:r w:rsidRPr="004E4C01">
        <w:rPr>
          <w:vertAlign w:val="superscript"/>
        </w:rPr>
        <w:t xml:space="preserve">] </w:t>
      </w:r>
      <w:r w:rsidRPr="004E4C01">
        <w:t>Adaptado de SANDIA, L. &amp; HENAO, A. Sensibilidad Ambiental y Sistemas de Información Geográfica. Proyecto Sistemas Ambientales Venezolanos: VEN/79/001. Metodologías para la elaboración de los mapas de vegetación, uso potencial, agrícola. Caracas: MARNR. Dirección general sectorial de planificación y ordenamiento del ambiente, 1983.</w:t>
      </w:r>
    </w:p>
    <w:p w14:paraId="22E101D7" w14:textId="77777777" w:rsidR="00D55F13" w:rsidRPr="004E4C01" w:rsidRDefault="00D55F13">
      <w:pPr>
        <w:pStyle w:val="Textonotaalfinal"/>
      </w:pPr>
    </w:p>
  </w:endnote>
  <w:endnote w:id="42">
    <w:p w14:paraId="5BBECD11" w14:textId="77777777" w:rsidR="00D55F13" w:rsidRPr="004E4C01" w:rsidRDefault="00D55F13" w:rsidP="008F3CBD">
      <w:pPr>
        <w:pStyle w:val="Textonotaalfinal"/>
        <w:rPr>
          <w:i/>
        </w:rPr>
      </w:pPr>
      <w:r w:rsidRPr="004E4C01">
        <w:rPr>
          <w:vertAlign w:val="superscript"/>
        </w:rPr>
        <w:t>[</w:t>
      </w:r>
      <w:r w:rsidRPr="004E4C01">
        <w:rPr>
          <w:rStyle w:val="Refdenotaalfinal"/>
        </w:rPr>
        <w:endnoteRef/>
      </w:r>
      <w:r w:rsidRPr="004E4C01">
        <w:rPr>
          <w:vertAlign w:val="superscript"/>
        </w:rPr>
        <w:t xml:space="preserve">] </w:t>
      </w:r>
      <w:r w:rsidRPr="004E4C01">
        <w:t xml:space="preserve">COLOMBIA. MINISTERIO DE AMBIENTE Y DESARROLLO SOSTENIBLE –Minambiente. </w:t>
      </w:r>
      <w:r w:rsidRPr="004E4C01">
        <w:rPr>
          <w:spacing w:val="-2"/>
        </w:rPr>
        <w:t>Política nacional para la gestión integral de la biodiversidad y sus servicios ecosistémicos (PNGIBSE). Bogotá:</w:t>
      </w:r>
      <w:r w:rsidRPr="004E4C01">
        <w:t xml:space="preserve"> Ministerio de Ambiente y Desarrollo Sostenible, s. f.</w:t>
      </w:r>
    </w:p>
    <w:p w14:paraId="38468EC4" w14:textId="532FAC80" w:rsidR="00D55F13" w:rsidRPr="004E4C01" w:rsidRDefault="00D55F13" w:rsidP="008F3CBD">
      <w:pPr>
        <w:pStyle w:val="Textonotaalfinal"/>
      </w:pPr>
    </w:p>
  </w:endnote>
  <w:endnote w:id="43">
    <w:p w14:paraId="15A6BB3B" w14:textId="32A3560C" w:rsidR="00D55F13" w:rsidRPr="004E4C01" w:rsidRDefault="00D55F13" w:rsidP="00AA4F93">
      <w:pPr>
        <w:pStyle w:val="Textonotaalfinal"/>
        <w:rPr>
          <w:rFonts w:cs="Arial"/>
        </w:rPr>
      </w:pPr>
      <w:r w:rsidRPr="004E4C01">
        <w:rPr>
          <w:vertAlign w:val="superscript"/>
        </w:rPr>
        <w:t>[</w:t>
      </w:r>
      <w:r w:rsidRPr="004E4C01">
        <w:rPr>
          <w:rStyle w:val="Refdenotaalfinal"/>
          <w:rFonts w:cs="Arial"/>
        </w:rPr>
        <w:endnoteRef/>
      </w:r>
      <w:r w:rsidRPr="004E4C01">
        <w:rPr>
          <w:vertAlign w:val="superscript"/>
        </w:rPr>
        <w:t>]</w:t>
      </w:r>
      <w:r w:rsidRPr="004E4C01">
        <w:rPr>
          <w:rFonts w:cs="Arial"/>
        </w:rPr>
        <w:t xml:space="preserve"> Adaptado de:</w:t>
      </w:r>
    </w:p>
    <w:p w14:paraId="386971BE" w14:textId="77777777" w:rsidR="00D55F13" w:rsidRPr="004E4C01" w:rsidRDefault="00D55F13" w:rsidP="00AA4F93">
      <w:pPr>
        <w:pStyle w:val="Textonotaalfinal"/>
        <w:rPr>
          <w:rFonts w:cs="Arial"/>
        </w:rPr>
      </w:pPr>
    </w:p>
    <w:p w14:paraId="403D5F6A" w14:textId="4E61C89B" w:rsidR="00D55F13" w:rsidRPr="004E4C01" w:rsidRDefault="00D55F13" w:rsidP="006B4032">
      <w:pPr>
        <w:pStyle w:val="Textonotaalfinal"/>
        <w:numPr>
          <w:ilvl w:val="0"/>
          <w:numId w:val="20"/>
        </w:numPr>
        <w:ind w:left="567" w:hanging="283"/>
        <w:rPr>
          <w:rFonts w:cs="Arial"/>
        </w:rPr>
      </w:pPr>
      <w:r w:rsidRPr="004E4C01">
        <w:rPr>
          <w:rFonts w:cs="Arial"/>
        </w:rPr>
        <w:t>CORTÉS-DUQUE, J. Y SARMIENTO, C. (Eds.). Visión socioecosistémica de los páramos y alta montaña colombiana: Memorias del proceso de definición de criterios para la delimitación de páramos. Bogotá D.C., Colombia: Instituto Alexander Von Humboldt, 2013.</w:t>
      </w:r>
    </w:p>
    <w:p w14:paraId="0D8233BD" w14:textId="77777777" w:rsidR="00D55F13" w:rsidRPr="004E4C01" w:rsidRDefault="00D55F13" w:rsidP="00AA4F93">
      <w:pPr>
        <w:pStyle w:val="Textonotaalfinal"/>
        <w:rPr>
          <w:rFonts w:cs="Arial"/>
        </w:rPr>
      </w:pPr>
    </w:p>
    <w:p w14:paraId="57077F0C" w14:textId="1859C3A5" w:rsidR="00D55F13" w:rsidRPr="004E4C01" w:rsidRDefault="00D55F13" w:rsidP="006B4032">
      <w:pPr>
        <w:pStyle w:val="Textonotaalfinal"/>
        <w:numPr>
          <w:ilvl w:val="0"/>
          <w:numId w:val="20"/>
        </w:numPr>
        <w:ind w:left="567" w:hanging="283"/>
        <w:rPr>
          <w:rFonts w:cs="Arial"/>
        </w:rPr>
      </w:pPr>
      <w:r w:rsidRPr="004E4C01">
        <w:rPr>
          <w:rFonts w:cs="Arial"/>
        </w:rPr>
        <w:t>MINISTERIO DE AMBIENTE Y DESARROLLO SOSTENIBLE –Minambiente. Política nacional para la gestión integral de la biodiversidad y sus servicios ecosistémicos (PNGIBSE). Bogotá: Ministerio de Ambiente y Desarrollo Sostenible, s. f.</w:t>
      </w:r>
    </w:p>
    <w:p w14:paraId="55A1E1B3" w14:textId="77777777" w:rsidR="00D55F13" w:rsidRPr="004E4C01" w:rsidRDefault="00D55F13" w:rsidP="00AA4F93">
      <w:pPr>
        <w:pStyle w:val="Textonotaalfinal"/>
        <w:ind w:left="343"/>
        <w:rPr>
          <w:rFonts w:cs="Arial"/>
        </w:rPr>
      </w:pPr>
    </w:p>
  </w:endnote>
  <w:endnote w:id="44">
    <w:p w14:paraId="3E5C70E9" w14:textId="100CEC9F" w:rsidR="00D55F13" w:rsidRPr="004E4C01" w:rsidRDefault="00D55F13">
      <w:pPr>
        <w:pStyle w:val="Textonotaalfinal"/>
        <w:rPr>
          <w:i/>
        </w:rPr>
      </w:pPr>
      <w:r w:rsidRPr="004E4C01">
        <w:rPr>
          <w:vertAlign w:val="superscript"/>
        </w:rPr>
        <w:t>[</w:t>
      </w:r>
      <w:r w:rsidRPr="004E4C01">
        <w:rPr>
          <w:rStyle w:val="Refdenotaalfinal"/>
        </w:rPr>
        <w:endnoteRef/>
      </w:r>
      <w:r w:rsidRPr="004E4C01">
        <w:rPr>
          <w:vertAlign w:val="superscript"/>
        </w:rPr>
        <w:t>]</w:t>
      </w:r>
      <w:r w:rsidRPr="004E4C01">
        <w:t xml:space="preserve"> MINISTERIO DE AMBIENTE Y DESARROLLO SOSTENIBLE –Minambiente. </w:t>
      </w:r>
      <w:r w:rsidRPr="004E4C01">
        <w:rPr>
          <w:spacing w:val="-2"/>
        </w:rPr>
        <w:t>Política para la Gestión Sostenible del Suelo. Bogotá:</w:t>
      </w:r>
      <w:r w:rsidRPr="004E4C01">
        <w:rPr>
          <w:i/>
        </w:rPr>
        <w:t xml:space="preserve"> </w:t>
      </w:r>
      <w:r w:rsidRPr="004E4C01">
        <w:t>Minambiente, 2016</w:t>
      </w:r>
      <w:r w:rsidRPr="004E4C01">
        <w:rPr>
          <w:i/>
        </w:rPr>
        <w:t>.</w:t>
      </w:r>
    </w:p>
    <w:p w14:paraId="7B646F29" w14:textId="77777777" w:rsidR="00D55F13" w:rsidRPr="004E4C01" w:rsidRDefault="00D55F13">
      <w:pPr>
        <w:pStyle w:val="Textonotaalfinal"/>
      </w:pPr>
    </w:p>
  </w:endnote>
  <w:endnote w:id="45">
    <w:p w14:paraId="5D37596F" w14:textId="43758D29" w:rsidR="008607DF" w:rsidRPr="004E4C01" w:rsidRDefault="008607DF" w:rsidP="008607DF">
      <w:pPr>
        <w:pStyle w:val="Textonotaalfinal"/>
        <w:rPr>
          <w:i/>
        </w:rPr>
      </w:pPr>
      <w:r w:rsidRPr="004E4C01">
        <w:rPr>
          <w:vertAlign w:val="superscript"/>
        </w:rPr>
        <w:t>[</w:t>
      </w:r>
      <w:r w:rsidRPr="004E4C01">
        <w:rPr>
          <w:rStyle w:val="Refdenotaalfinal"/>
        </w:rPr>
        <w:endnoteRef/>
      </w:r>
      <w:r w:rsidRPr="004E4C01">
        <w:rPr>
          <w:vertAlign w:val="superscript"/>
        </w:rPr>
        <w:t>]</w:t>
      </w:r>
      <w:r w:rsidRPr="004E4C01">
        <w:t xml:space="preserve"> </w:t>
      </w:r>
      <w:r w:rsidR="00536E2D" w:rsidRPr="004E4C01">
        <w:t>DEFENSORIA DEL PUEBLO</w:t>
      </w:r>
      <w:r w:rsidR="00EB4083" w:rsidRPr="004E4C01">
        <w:t xml:space="preserve"> -Defensoría</w:t>
      </w:r>
      <w:r w:rsidR="00536E2D" w:rsidRPr="004E4C01">
        <w:t xml:space="preserve">. Sujetos de </w:t>
      </w:r>
      <w:r w:rsidR="00EB4083" w:rsidRPr="004E4C01">
        <w:t>especial protección constitucional</w:t>
      </w:r>
      <w:r w:rsidR="00ED213F" w:rsidRPr="004E4C01">
        <w:t xml:space="preserve">. </w:t>
      </w:r>
      <w:r w:rsidR="00D00BC7" w:rsidRPr="004E4C01">
        <w:t xml:space="preserve">Cartilla pedagógica # 1. </w:t>
      </w:r>
      <w:r w:rsidR="00ED213F" w:rsidRPr="004E4C01">
        <w:t>Bogotá</w:t>
      </w:r>
      <w:r w:rsidR="00EB4083" w:rsidRPr="004E4C01">
        <w:t xml:space="preserve">: </w:t>
      </w:r>
      <w:r w:rsidR="00ED213F" w:rsidRPr="004E4C01">
        <w:t>Defensoría</w:t>
      </w:r>
      <w:r w:rsidR="00F34C01" w:rsidRPr="004E4C01">
        <w:t xml:space="preserve">, </w:t>
      </w:r>
      <w:r w:rsidR="00536E2D" w:rsidRPr="004E4C01">
        <w:t>2023</w:t>
      </w:r>
      <w:r w:rsidRPr="004E4C01">
        <w:rPr>
          <w:i/>
        </w:rPr>
        <w:t>.</w:t>
      </w:r>
    </w:p>
    <w:p w14:paraId="2F6ED0B7" w14:textId="77777777" w:rsidR="008607DF" w:rsidRPr="004E4C01" w:rsidRDefault="008607DF" w:rsidP="008607DF">
      <w:pPr>
        <w:pStyle w:val="Textonotaalfinal"/>
      </w:pPr>
    </w:p>
  </w:endnote>
  <w:endnote w:id="46">
    <w:p w14:paraId="335B1A27" w14:textId="2220ED56" w:rsidR="00281355" w:rsidRPr="004E4C01" w:rsidRDefault="004816BC" w:rsidP="004816BC">
      <w:r w:rsidRPr="004E4C01">
        <w:t>[</w:t>
      </w:r>
      <w:r w:rsidRPr="004E4C01">
        <w:rPr>
          <w:vertAlign w:val="superscript"/>
        </w:rPr>
        <w:endnoteRef/>
      </w:r>
      <w:r w:rsidRPr="004E4C01">
        <w:t>] MARTINEZ, D., SÁNCHEZ, J., ZURC, D., SÁNCHEZ, F., OTÁLORA-ARDILA, A., RESTREPO-GIRALDO, C., ACEVEDO-CHARRY, O., HERNÁNDEZ, F., &amp; LIZCANO, D. J. Estándares para registrar señales de ecolocalización y construir bibliotecas de referencia de murciélagos en Colombia. Biota colombiana, 22</w:t>
      </w:r>
      <w:r w:rsidR="00281355" w:rsidRPr="004E4C01">
        <w:t xml:space="preserve">; </w:t>
      </w:r>
      <w:r w:rsidRPr="004E4C01">
        <w:t>1</w:t>
      </w:r>
      <w:r w:rsidR="00281355" w:rsidRPr="004E4C01">
        <w:t xml:space="preserve"> (2021</w:t>
      </w:r>
      <w:r w:rsidRPr="004E4C01">
        <w:t xml:space="preserve">). </w:t>
      </w:r>
      <w:hyperlink r:id="rId1" w:history="1">
        <w:r w:rsidR="00281355" w:rsidRPr="004E4C01">
          <w:t>https://doi.org/10.21068/c2021.v22n01a03</w:t>
        </w:r>
      </w:hyperlink>
    </w:p>
    <w:p w14:paraId="4C5FA8C9" w14:textId="77777777" w:rsidR="005051F4" w:rsidRPr="004E4C01" w:rsidRDefault="005051F4" w:rsidP="004816BC"/>
  </w:endnote>
  <w:endnote w:id="47">
    <w:p w14:paraId="0D8E4F03" w14:textId="298F831D" w:rsidR="00D55F13" w:rsidRPr="004E4C01" w:rsidRDefault="00D55F13">
      <w:r w:rsidRPr="004E4C01">
        <w:t>[</w:t>
      </w:r>
      <w:r w:rsidRPr="004E4C01">
        <w:rPr>
          <w:vertAlign w:val="superscript"/>
        </w:rPr>
        <w:endnoteRef/>
      </w:r>
      <w:r w:rsidRPr="004E4C01">
        <w:t xml:space="preserve">] Adaptado de: CONFERENCIA DE LAS NACIONES UNIDAS SOBRE EL MEDIO AMBIENTE Y EL DESARROLLO. Agenda 21, 1992. Disponible en </w:t>
      </w:r>
      <w:hyperlink r:id="rId2" w:history="1">
        <w:r w:rsidRPr="004E4C01">
          <w:t>http://www.un.org/spanish/esa/sustdev/agenda21/agenda21spchapter34.htm</w:t>
        </w:r>
      </w:hyperlink>
    </w:p>
    <w:p w14:paraId="2779DA2B" w14:textId="77777777" w:rsidR="00D55F13" w:rsidRPr="004E4C01" w:rsidRDefault="00D55F13"/>
  </w:endnote>
  <w:endnote w:id="48">
    <w:p w14:paraId="477F2C5D" w14:textId="17FBBB0C" w:rsidR="00E03D73" w:rsidRPr="004E4C01" w:rsidRDefault="00E03D73" w:rsidP="00E03D73">
      <w:r w:rsidRPr="004E4C01">
        <w:t>[</w:t>
      </w:r>
      <w:r w:rsidRPr="004E4C01">
        <w:rPr>
          <w:vertAlign w:val="superscript"/>
        </w:rPr>
        <w:endnoteRef/>
      </w:r>
      <w:r w:rsidRPr="004E4C01">
        <w:t xml:space="preserve">] Adaptado de: </w:t>
      </w:r>
      <w:r w:rsidR="00360CEA" w:rsidRPr="004E4C01">
        <w:t>DEPARTAMENTO ADMINISTRATIVO NACIONAL DE ESTADÍSTICA –DANE. Manual de conceptos. Censo nacional de población y vivienda 2018 – Colombia. DANE, 2018.</w:t>
      </w:r>
    </w:p>
    <w:p w14:paraId="74D5CB51" w14:textId="77777777" w:rsidR="00E03D73" w:rsidRPr="004E4C01" w:rsidRDefault="00E03D73" w:rsidP="00E03D73"/>
  </w:endnote>
  <w:endnote w:id="49">
    <w:p w14:paraId="332163B6" w14:textId="6B149DD6" w:rsidR="00D55F13" w:rsidRPr="004E4C01" w:rsidRDefault="00D55F13" w:rsidP="00A27AE3">
      <w:pPr>
        <w:pStyle w:val="Textonotaalfinal"/>
        <w:rPr>
          <w:rFonts w:cs="Arial"/>
        </w:rPr>
      </w:pPr>
      <w:r w:rsidRPr="004E4C01">
        <w:rPr>
          <w:vertAlign w:val="superscript"/>
        </w:rPr>
        <w:t>[</w:t>
      </w:r>
      <w:r w:rsidRPr="004E4C01">
        <w:rPr>
          <w:rStyle w:val="Refdenotaalfinal"/>
          <w:rFonts w:cs="Arial"/>
        </w:rPr>
        <w:endnoteRef/>
      </w:r>
      <w:r w:rsidRPr="004E4C01">
        <w:rPr>
          <w:vertAlign w:val="superscript"/>
        </w:rPr>
        <w:t>]</w:t>
      </w:r>
      <w:r w:rsidRPr="004E4C01">
        <w:rPr>
          <w:rFonts w:cs="Arial"/>
        </w:rPr>
        <w:t xml:space="preserve"> Adaptado de: MINISTERIO DE AMBIENTE Y DESARROLLO SOSTENIBLE –Minambiente. Guía técnica para la formulación de planes de ordenamiento del recurso hídrico. Bogotá: Minambiente, 2014.</w:t>
      </w:r>
    </w:p>
    <w:p w14:paraId="22FB02E1" w14:textId="77777777" w:rsidR="00D55F13" w:rsidRPr="004E4C01" w:rsidRDefault="00D55F13" w:rsidP="00A27AE3">
      <w:pPr>
        <w:pStyle w:val="Textonotaalfinal"/>
      </w:pPr>
    </w:p>
  </w:endnote>
  <w:endnote w:id="50">
    <w:p w14:paraId="6362D19C" w14:textId="5EC2DEE5" w:rsidR="00D55F13" w:rsidRPr="004E4C01" w:rsidRDefault="00D55F13" w:rsidP="00AA4F93">
      <w:pPr>
        <w:pStyle w:val="Textonotaalfinal"/>
        <w:rPr>
          <w:rFonts w:cs="Arial"/>
        </w:rPr>
      </w:pPr>
      <w:r w:rsidRPr="004E4C01">
        <w:rPr>
          <w:vertAlign w:val="superscript"/>
        </w:rPr>
        <w:t>[</w:t>
      </w:r>
      <w:r w:rsidRPr="004E4C01">
        <w:rPr>
          <w:rStyle w:val="Refdenotaalfinal"/>
          <w:rFonts w:cs="Arial"/>
        </w:rPr>
        <w:endnoteRef/>
      </w:r>
      <w:r w:rsidRPr="004E4C01">
        <w:rPr>
          <w:vertAlign w:val="superscript"/>
        </w:rPr>
        <w:t>]</w:t>
      </w:r>
      <w:r w:rsidRPr="004E4C01">
        <w:rPr>
          <w:rFonts w:cs="Arial"/>
        </w:rPr>
        <w:t xml:space="preserve"> COLOMBIA. MINISTERIO DE AMBIENTE Y DESARROLLO SOSTENIBLE. Decreto 1120 “Por el cual se reglamentan las Unidades Ambiental Costeras (UAC) y las comisiones conjuntas, se establecen las reglas de procedimiento y criterios para reglamentar la restricción de ciertas actividades en pastos marinos, y se dictan otras disposiciones”. Bogotá: Minambiente, 2013.</w:t>
      </w:r>
    </w:p>
    <w:p w14:paraId="61103AB1" w14:textId="77777777" w:rsidR="00D55F13" w:rsidRPr="004E4C01" w:rsidRDefault="00D55F13" w:rsidP="00AA4F93">
      <w:pPr>
        <w:pStyle w:val="Textonotaalfinal"/>
      </w:pPr>
    </w:p>
  </w:endnote>
  <w:endnote w:id="51">
    <w:p w14:paraId="41936CE5" w14:textId="58351391" w:rsidR="00D55F13" w:rsidRPr="004E4C01" w:rsidRDefault="00D55F13">
      <w:r w:rsidRPr="004E4C01">
        <w:rPr>
          <w:vertAlign w:val="superscript"/>
        </w:rPr>
        <w:t>[</w:t>
      </w:r>
      <w:r w:rsidRPr="004E4C01">
        <w:rPr>
          <w:rStyle w:val="Refdenotaalfinal"/>
        </w:rPr>
        <w:endnoteRef/>
      </w:r>
      <w:r w:rsidRPr="004E4C01">
        <w:rPr>
          <w:vertAlign w:val="superscript"/>
        </w:rPr>
        <w:t>]</w:t>
      </w:r>
      <w:r w:rsidRPr="00127BD4">
        <w:t xml:space="preserve"> </w:t>
      </w:r>
      <w:r w:rsidR="00787784" w:rsidRPr="00127BD4">
        <w:t xml:space="preserve">Adaptado de: </w:t>
      </w:r>
      <w:r w:rsidRPr="004E4C01">
        <w:t>COLOMBIA. INSTITUTO NACIONAL DE CONCESIONES. Resolución 545 “Por la cual se definen los instrumentos de gestión social aplicables a proyectos de infraestructura desarrollados por el Instituto Nacional de Concesiones y se establecen criterios”. Bogotá: Instituto Nacional de Concesiones, 2008.</w:t>
      </w:r>
    </w:p>
    <w:p w14:paraId="4FC56B4D" w14:textId="19384549" w:rsidR="00D55F13" w:rsidRPr="004E4C01" w:rsidRDefault="00D55F13" w:rsidP="009420F5">
      <w:pPr>
        <w:tabs>
          <w:tab w:val="left" w:pos="6061"/>
        </w:tabs>
      </w:pPr>
    </w:p>
  </w:endnote>
  <w:endnote w:id="52">
    <w:p w14:paraId="6B12B575" w14:textId="3E63845F" w:rsidR="00074278" w:rsidRPr="004E4C01" w:rsidRDefault="00074278" w:rsidP="00074278">
      <w:r w:rsidRPr="004E4C01">
        <w:rPr>
          <w:vertAlign w:val="superscript"/>
        </w:rPr>
        <w:t>[</w:t>
      </w:r>
      <w:r w:rsidRPr="004E4C01">
        <w:rPr>
          <w:rStyle w:val="Refdenotaalfinal"/>
        </w:rPr>
        <w:endnoteRef/>
      </w:r>
      <w:r w:rsidRPr="004E4C01">
        <w:rPr>
          <w:vertAlign w:val="superscript"/>
        </w:rPr>
        <w:t xml:space="preserve">] </w:t>
      </w:r>
      <w:r w:rsidRPr="004E4C01">
        <w:rPr>
          <w:rFonts w:cs="Arial"/>
          <w:color w:val="222222"/>
          <w:lang w:eastAsia="es-CO"/>
        </w:rPr>
        <w:t>UNIDAD NACIONAL PARA LA GESTIÓN DEL RIESGO DE DESASTRES -UNGRD. Terminología sobre Gestión del Riesgo de Desastres y Fenómenos Amenazantes. Bogotá D. C.: UNGRD y Presidencia de la República, 2017. 45 p.</w:t>
      </w:r>
    </w:p>
    <w:p w14:paraId="65DDE33F" w14:textId="77777777" w:rsidR="00074278" w:rsidRPr="004E4C01" w:rsidRDefault="00074278" w:rsidP="00074278"/>
  </w:endnote>
  <w:endnote w:id="53">
    <w:p w14:paraId="4F1A9279" w14:textId="77777777" w:rsidR="00B571DA" w:rsidRPr="004E4C01" w:rsidRDefault="00B571DA" w:rsidP="00B571DA">
      <w:r w:rsidRPr="004E4C01">
        <w:rPr>
          <w:vertAlign w:val="superscript"/>
        </w:rPr>
        <w:t>[</w:t>
      </w:r>
      <w:r w:rsidRPr="004E4C01">
        <w:rPr>
          <w:rStyle w:val="Refdenotaalfinal"/>
        </w:rPr>
        <w:endnoteRef/>
      </w:r>
      <w:r w:rsidRPr="004E4C01">
        <w:rPr>
          <w:vertAlign w:val="superscript"/>
        </w:rPr>
        <w:t xml:space="preserve">] </w:t>
      </w:r>
      <w:r w:rsidRPr="004E4C01">
        <w:t xml:space="preserve">Adaptado </w:t>
      </w:r>
      <w:r w:rsidRPr="004E4C01">
        <w:rPr>
          <w:rFonts w:cs="Arial"/>
        </w:rPr>
        <w:t>de: COLOMBIA. MINISTERIO DE AMBIENTE Y DESARROLLO SOSTENIBLE –Minambiente. Decreto 1076 “Por medio del cual se expide el Decreto Único Reglamentario del Sector Ambiente y Desarrollo Sostenible". Bogotá: Ministerio de Ambiente y Desarrollo Sostenible, 2015</w:t>
      </w:r>
      <w:r w:rsidRPr="004E4C01">
        <w:rPr>
          <w:rFonts w:cs="Arial"/>
          <w:color w:val="222222"/>
          <w:lang w:eastAsia="es-CO"/>
        </w:rPr>
        <w:t>.</w:t>
      </w:r>
    </w:p>
    <w:p w14:paraId="497212AF" w14:textId="77777777" w:rsidR="00B571DA" w:rsidRPr="004E4C01" w:rsidRDefault="00B571DA" w:rsidP="00B571DA"/>
  </w:endnote>
  <w:endnote w:id="54">
    <w:p w14:paraId="79F74186" w14:textId="65F17009" w:rsidR="00D55F13" w:rsidRPr="004E4C01" w:rsidRDefault="00D55F13" w:rsidP="008B2CB6">
      <w:r w:rsidRPr="004E4C01">
        <w:rPr>
          <w:vertAlign w:val="superscript"/>
        </w:rPr>
        <w:t>[</w:t>
      </w:r>
      <w:r w:rsidRPr="004E4C01">
        <w:rPr>
          <w:rStyle w:val="Refdenotaalfinal"/>
        </w:rPr>
        <w:endnoteRef/>
      </w:r>
      <w:r w:rsidRPr="004E4C01">
        <w:rPr>
          <w:vertAlign w:val="superscript"/>
        </w:rPr>
        <w:t xml:space="preserve">] </w:t>
      </w:r>
      <w:r w:rsidRPr="004E4C01">
        <w:t>COLOMBIA. CONGRESO DE LA REPÚBLICA. Ley 160 “Por la cual se crea el Sistema Nacional de Reforma Agraria y Desarrollo Rural Campesino, se establece un subsidio para la adquisición de tierras, se reforma el Instituto Colombiano de la Reforma Agraria y se dictan otras disposiciones”. Bogotá: Congreso de la República, 1994.</w:t>
      </w:r>
      <w:r w:rsidR="00907988" w:rsidRPr="004E4C01">
        <w:t xml:space="preserve"> Modificada por el Decreto Ley 236</w:t>
      </w:r>
      <w:r w:rsidR="00691C87" w:rsidRPr="004E4C01">
        <w:t>3</w:t>
      </w:r>
      <w:r w:rsidR="00907988" w:rsidRPr="004E4C01">
        <w:t xml:space="preserve"> </w:t>
      </w:r>
      <w:r w:rsidR="008B2CB6" w:rsidRPr="004E4C01">
        <w:t>“Por el cual se crea la Agencia Nacional de Tierras, ANT, se fija su objeto y estructura”. Bogotá: Ministerio de hacienda y crédito público, Ministerio de agricultura y desarrollo rural, Departamento administrativo de la función pública,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neva">
    <w:charset w:val="00"/>
    <w:family w:val="swiss"/>
    <w:pitch w:val="variable"/>
    <w:sig w:usb0="E00002FF" w:usb1="5200205F" w:usb2="00A0C000" w:usb3="00000000" w:csb0="0000019F" w:csb1="00000000"/>
  </w:font>
  <w:font w:name="Verdana">
    <w:panose1 w:val="020B0604030504040204"/>
    <w:charset w:val="00"/>
    <w:family w:val="swiss"/>
    <w:pitch w:val="variable"/>
    <w:sig w:usb0="A00006FF" w:usb1="4000205B" w:usb2="00000010" w:usb3="00000000" w:csb0="0000019F" w:csb1="00000000"/>
  </w:font>
  <w:font w:name="Arial,Bold">
    <w:altName w:val="Cambria"/>
    <w:panose1 w:val="00000000000000000000"/>
    <w:charset w:val="00"/>
    <w:family w:val="swiss"/>
    <w:notTrueType/>
    <w:pitch w:val="default"/>
    <w:sig w:usb0="00000003" w:usb1="00000000" w:usb2="00000000" w:usb3="00000000" w:csb0="00000001" w:csb1="00000000"/>
  </w:font>
  <w:font w:name="PNDKN T+ Myriad Pro">
    <w:altName w:val="PNDKN T+ Myriad Pr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panose1 w:val="02020609040205080304"/>
    <w:charset w:val="80"/>
    <w:family w:val="modern"/>
    <w:pitch w:val="fixed"/>
    <w:sig w:usb0="E00002FF" w:usb1="6AC7FDFB" w:usb2="08000012" w:usb3="00000000" w:csb0="0002009F" w:csb1="00000000"/>
  </w:font>
  <w:font w:name="Work Sans">
    <w:charset w:val="00"/>
    <w:family w:val="auto"/>
    <w:pitch w:val="variable"/>
    <w:sig w:usb0="A00000FF" w:usb1="5000E07B" w:usb2="00000000" w:usb3="00000000" w:csb0="00000193" w:csb1="00000000"/>
  </w:font>
  <w:font w:name="Arial Unicode MS">
    <w:altName w:val="Yu Gothic"/>
    <w:panose1 w:val="020B0604020202020204"/>
    <w:charset w:val="80"/>
    <w:family w:val="swiss"/>
    <w:pitch w:val="variable"/>
    <w:sig w:usb0="F7FFAEFF" w:usb1="F9DFFFFF" w:usb2="0000007F" w:usb3="00000000" w:csb0="003F01FF" w:csb1="00000000"/>
  </w:font>
  <w:font w:name="Century Gothic">
    <w:panose1 w:val="020B0502020202020204"/>
    <w:charset w:val="00"/>
    <w:family w:val="swiss"/>
    <w:pitch w:val="variable"/>
    <w:sig w:usb0="00000287" w:usb1="00000000" w:usb2="00000000" w:usb3="00000000" w:csb0="0000009F" w:csb1="00000000"/>
  </w:font>
  <w:font w:name="CIDFont+F3">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39B0A" w14:textId="77777777" w:rsidR="00D55F13" w:rsidRPr="004E4C01" w:rsidRDefault="00D55F13" w:rsidP="00FD3351">
    <w:pPr>
      <w:pStyle w:val="Piedepgina"/>
      <w:framePr w:wrap="around" w:vAnchor="text" w:hAnchor="margin" w:xAlign="right" w:y="1"/>
      <w:rPr>
        <w:rStyle w:val="Nmerodepgina"/>
      </w:rPr>
    </w:pPr>
    <w:r w:rsidRPr="004E4C01">
      <w:rPr>
        <w:rStyle w:val="Nmerodepgina"/>
      </w:rPr>
      <w:fldChar w:fldCharType="begin"/>
    </w:r>
    <w:r w:rsidRPr="004E4C01">
      <w:rPr>
        <w:rStyle w:val="Nmerodepgina"/>
      </w:rPr>
      <w:instrText xml:space="preserve">PAGE  </w:instrText>
    </w:r>
    <w:r w:rsidRPr="004E4C01">
      <w:rPr>
        <w:rStyle w:val="Nmerodepgina"/>
      </w:rPr>
      <w:fldChar w:fldCharType="end"/>
    </w:r>
  </w:p>
  <w:p w14:paraId="2DCFA27B" w14:textId="77777777" w:rsidR="00D55F13" w:rsidRPr="004E4C01" w:rsidRDefault="00D55F13" w:rsidP="00AB3956">
    <w:pPr>
      <w:pStyle w:val="Piedepgin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071D" w14:textId="77777777" w:rsidR="00D916C8" w:rsidRPr="004E4C01" w:rsidRDefault="00D916C8" w:rsidP="009D6964">
    <w:pPr>
      <w:pStyle w:val="Piedepgina"/>
      <w:pBdr>
        <w:top w:val="single" w:sz="4" w:space="1" w:color="auto"/>
      </w:pBdr>
      <w:tabs>
        <w:tab w:val="clear" w:pos="8838"/>
        <w:tab w:val="right" w:pos="9356"/>
        <w:tab w:val="left" w:pos="10770"/>
      </w:tabs>
      <w:rPr>
        <w:rFonts w:cs="Arial"/>
        <w:sz w:val="20"/>
        <w:szCs w:val="20"/>
      </w:rPr>
    </w:pPr>
    <w:r w:rsidRPr="004E4C01">
      <w:rPr>
        <w:rFonts w:cs="Arial"/>
        <w:sz w:val="20"/>
        <w:szCs w:val="20"/>
      </w:rPr>
      <w:t>Metodología general para la elaboración y presentación de estudios ambientales</w:t>
    </w:r>
    <w:r w:rsidRPr="004E4C01">
      <w:rPr>
        <w:rFonts w:cs="Arial"/>
        <w:sz w:val="20"/>
        <w:szCs w:val="20"/>
      </w:rPr>
      <w:tab/>
    </w:r>
    <w:r w:rsidRPr="004E4C01">
      <w:rPr>
        <w:rFonts w:cs="Arial"/>
        <w:sz w:val="20"/>
        <w:szCs w:val="20"/>
      </w:rPr>
      <w:fldChar w:fldCharType="begin"/>
    </w:r>
    <w:r w:rsidRPr="004E4C01">
      <w:rPr>
        <w:rFonts w:cs="Arial"/>
        <w:sz w:val="20"/>
        <w:szCs w:val="20"/>
      </w:rPr>
      <w:instrText>PAGE   \* MERGEFORMAT</w:instrText>
    </w:r>
    <w:r w:rsidRPr="004E4C01">
      <w:rPr>
        <w:rFonts w:cs="Arial"/>
        <w:sz w:val="20"/>
        <w:szCs w:val="20"/>
      </w:rPr>
      <w:fldChar w:fldCharType="separate"/>
    </w:r>
    <w:r w:rsidRPr="00127BD4">
      <w:rPr>
        <w:rFonts w:cs="Arial"/>
        <w:sz w:val="20"/>
        <w:szCs w:val="20"/>
      </w:rPr>
      <w:t>372</w:t>
    </w:r>
    <w:r w:rsidRPr="004E4C01">
      <w:rPr>
        <w:rFonts w:cs="Arial"/>
        <w:sz w:val="20"/>
        <w:szCs w:val="20"/>
      </w:rPr>
      <w:fldChar w:fldCharType="end"/>
    </w:r>
  </w:p>
  <w:p w14:paraId="3A23C7DD" w14:textId="77777777" w:rsidR="00D916C8" w:rsidRPr="004E4C01" w:rsidRDefault="00D916C8" w:rsidP="009D6964">
    <w:pPr>
      <w:pStyle w:val="Piedepgina"/>
      <w:pBdr>
        <w:top w:val="single" w:sz="4" w:space="1" w:color="auto"/>
      </w:pBdr>
      <w:tabs>
        <w:tab w:val="clear" w:pos="8838"/>
        <w:tab w:val="right" w:pos="9356"/>
        <w:tab w:val="left" w:pos="10770"/>
      </w:tabs>
      <w:rPr>
        <w:rFonts w:cs="Arial"/>
        <w:sz w:val="20"/>
        <w:szCs w:val="20"/>
      </w:rPr>
    </w:pPr>
    <w:r w:rsidRPr="00AA2094">
      <w:rPr>
        <w:noProof/>
        <w:lang w:eastAsia="es-CO"/>
      </w:rPr>
      <w:drawing>
        <wp:anchor distT="0" distB="0" distL="114300" distR="114300" simplePos="0" relativeHeight="251658261" behindDoc="0" locked="0" layoutInCell="1" allowOverlap="1" wp14:anchorId="09B74B72" wp14:editId="57D605F1">
          <wp:simplePos x="0" y="0"/>
          <wp:positionH relativeFrom="margin">
            <wp:posOffset>5325745</wp:posOffset>
          </wp:positionH>
          <wp:positionV relativeFrom="line">
            <wp:posOffset>2312626</wp:posOffset>
          </wp:positionV>
          <wp:extent cx="644400" cy="349200"/>
          <wp:effectExtent l="0" t="0" r="3810" b="0"/>
          <wp:wrapNone/>
          <wp:docPr id="408189879" name="Imagen 40818987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283" name="Imagen 15042283"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400" cy="34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11A0" w14:textId="3515CECD" w:rsidR="00D55F13" w:rsidRPr="004E4C01" w:rsidRDefault="00D55F13" w:rsidP="00691F59">
    <w:pPr>
      <w:pStyle w:val="Piedepgina"/>
      <w:pBdr>
        <w:top w:val="single" w:sz="4" w:space="1" w:color="auto"/>
      </w:pBdr>
      <w:tabs>
        <w:tab w:val="clear" w:pos="8838"/>
        <w:tab w:val="right" w:pos="9356"/>
      </w:tabs>
      <w:rPr>
        <w:rFonts w:cs="Arial"/>
        <w:sz w:val="20"/>
        <w:szCs w:val="20"/>
      </w:rPr>
    </w:pPr>
    <w:r w:rsidRPr="004E4C01">
      <w:rPr>
        <w:rFonts w:cs="Arial"/>
        <w:spacing w:val="-3"/>
        <w:sz w:val="20"/>
        <w:szCs w:val="20"/>
      </w:rPr>
      <w:t>Metodología general para la elaboración y presentación de estudios ambientales</w:t>
    </w:r>
    <w:r w:rsidRPr="004E4C01">
      <w:rPr>
        <w:rFonts w:cs="Arial"/>
        <w:sz w:val="20"/>
        <w:szCs w:val="20"/>
      </w:rPr>
      <w:tab/>
    </w:r>
    <w:r w:rsidRPr="004E4C01">
      <w:rPr>
        <w:rFonts w:cs="Arial"/>
        <w:sz w:val="20"/>
        <w:szCs w:val="20"/>
      </w:rPr>
      <w:fldChar w:fldCharType="begin"/>
    </w:r>
    <w:r w:rsidRPr="004E4C01">
      <w:rPr>
        <w:rFonts w:cs="Arial"/>
        <w:sz w:val="20"/>
        <w:szCs w:val="20"/>
      </w:rPr>
      <w:instrText>PAGE   \* MERGEFORMAT</w:instrText>
    </w:r>
    <w:r w:rsidRPr="004E4C01">
      <w:rPr>
        <w:rFonts w:cs="Arial"/>
        <w:sz w:val="20"/>
        <w:szCs w:val="20"/>
      </w:rPr>
      <w:fldChar w:fldCharType="separate"/>
    </w:r>
    <w:r w:rsidRPr="004E4C01">
      <w:rPr>
        <w:rFonts w:cs="Arial"/>
        <w:sz w:val="20"/>
        <w:szCs w:val="20"/>
      </w:rPr>
      <w:t>17</w:t>
    </w:r>
    <w:r w:rsidRPr="004E4C01">
      <w:rPr>
        <w:rFonts w:cs="Arial"/>
        <w:sz w:val="20"/>
        <w:szCs w:val="20"/>
      </w:rPr>
      <w:fldChar w:fldCharType="end"/>
    </w:r>
  </w:p>
  <w:p w14:paraId="76BBFDBD" w14:textId="77777777" w:rsidR="00D55F13" w:rsidRPr="004E4C01" w:rsidRDefault="00D55F13" w:rsidP="00691F5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B07B" w14:textId="1A2013DA" w:rsidR="009A3AAD" w:rsidRPr="004E4C01" w:rsidRDefault="009A3AAD" w:rsidP="00691F59">
    <w:pPr>
      <w:pStyle w:val="Piedepgina"/>
      <w:pBdr>
        <w:top w:val="single" w:sz="4" w:space="1" w:color="auto"/>
      </w:pBdr>
      <w:tabs>
        <w:tab w:val="clear" w:pos="8838"/>
        <w:tab w:val="right" w:pos="9356"/>
      </w:tabs>
      <w:rPr>
        <w:rFonts w:cs="Arial"/>
        <w:sz w:val="20"/>
        <w:szCs w:val="20"/>
      </w:rPr>
    </w:pPr>
    <w:r w:rsidRPr="004E4C01">
      <w:rPr>
        <w:rFonts w:cs="Arial"/>
        <w:spacing w:val="-3"/>
        <w:sz w:val="20"/>
        <w:szCs w:val="20"/>
      </w:rPr>
      <w:t>Metodología general para la elaboración y presentación de estudios ambientales</w:t>
    </w:r>
    <w:r w:rsidRPr="004E4C01">
      <w:rPr>
        <w:rFonts w:cs="Arial"/>
        <w:sz w:val="20"/>
        <w:szCs w:val="20"/>
      </w:rPr>
      <w:tab/>
    </w:r>
    <w:r w:rsidRPr="004E4C01">
      <w:rPr>
        <w:rFonts w:cs="Arial"/>
        <w:sz w:val="20"/>
        <w:szCs w:val="20"/>
      </w:rPr>
      <w:fldChar w:fldCharType="begin"/>
    </w:r>
    <w:r w:rsidRPr="004E4C01">
      <w:rPr>
        <w:rFonts w:cs="Arial"/>
        <w:sz w:val="20"/>
        <w:szCs w:val="20"/>
      </w:rPr>
      <w:instrText>PAGE   \* MERGEFORMAT</w:instrText>
    </w:r>
    <w:r w:rsidRPr="004E4C01">
      <w:rPr>
        <w:rFonts w:cs="Arial"/>
        <w:sz w:val="20"/>
        <w:szCs w:val="20"/>
      </w:rPr>
      <w:fldChar w:fldCharType="separate"/>
    </w:r>
    <w:r w:rsidR="002705E6" w:rsidRPr="00127BD4">
      <w:rPr>
        <w:rFonts w:cs="Arial"/>
        <w:sz w:val="20"/>
        <w:szCs w:val="20"/>
      </w:rPr>
      <w:t>132</w:t>
    </w:r>
    <w:r w:rsidRPr="004E4C01">
      <w:rPr>
        <w:rFonts w:cs="Arial"/>
        <w:sz w:val="20"/>
        <w:szCs w:val="20"/>
      </w:rPr>
      <w:fldChar w:fldCharType="end"/>
    </w:r>
  </w:p>
  <w:p w14:paraId="7572FCBF" w14:textId="77777777" w:rsidR="00DF60B5" w:rsidRPr="004E4C01" w:rsidRDefault="00DF60B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C4015" w14:textId="1F297700" w:rsidR="00D55F13" w:rsidRPr="004E4C01" w:rsidRDefault="00D55F13" w:rsidP="00743410">
    <w:pPr>
      <w:tabs>
        <w:tab w:val="right" w:pos="9356"/>
      </w:tabs>
      <w:rPr>
        <w:rFonts w:cs="Arial"/>
        <w:sz w:val="20"/>
        <w:szCs w:val="20"/>
      </w:rPr>
    </w:pPr>
    <w:r w:rsidRPr="004E4C01">
      <w:rPr>
        <w:rFonts w:cs="Arial"/>
        <w:spacing w:val="-3"/>
        <w:sz w:val="20"/>
        <w:szCs w:val="20"/>
      </w:rPr>
      <w:t>Términos de referencia – EIA - Proyectos de Construcción de obras marítimas duras de control y protección costera, y de regeneración de dunas y playas</w:t>
    </w:r>
    <w:r w:rsidRPr="004E4C01">
      <w:rPr>
        <w:rFonts w:cs="Arial"/>
        <w:spacing w:val="-3"/>
        <w:sz w:val="20"/>
        <w:szCs w:val="20"/>
      </w:rPr>
      <w:tab/>
    </w:r>
    <w:r w:rsidRPr="004E4C01">
      <w:rPr>
        <w:rFonts w:cs="Arial"/>
        <w:spacing w:val="-3"/>
        <w:sz w:val="20"/>
        <w:szCs w:val="20"/>
      </w:rPr>
      <w:fldChar w:fldCharType="begin"/>
    </w:r>
    <w:r w:rsidRPr="004E4C01">
      <w:rPr>
        <w:rFonts w:cs="Arial"/>
        <w:spacing w:val="-3"/>
        <w:sz w:val="20"/>
        <w:szCs w:val="20"/>
      </w:rPr>
      <w:instrText xml:space="preserve"> PAGE   \* MERGEFORMAT </w:instrText>
    </w:r>
    <w:r w:rsidRPr="004E4C01">
      <w:rPr>
        <w:rFonts w:cs="Arial"/>
        <w:spacing w:val="-3"/>
        <w:sz w:val="20"/>
        <w:szCs w:val="20"/>
      </w:rPr>
      <w:fldChar w:fldCharType="separate"/>
    </w:r>
    <w:r w:rsidRPr="004E4C01">
      <w:rPr>
        <w:rFonts w:cs="Arial"/>
        <w:spacing w:val="-3"/>
        <w:sz w:val="20"/>
        <w:szCs w:val="20"/>
      </w:rPr>
      <w:t>2</w:t>
    </w:r>
    <w:r w:rsidRPr="004E4C01">
      <w:rPr>
        <w:rFonts w:cs="Arial"/>
        <w:spacing w:val="-3"/>
        <w:sz w:val="20"/>
        <w:szCs w:val="20"/>
      </w:rPr>
      <w:fldChar w:fldCharType="end"/>
    </w:r>
  </w:p>
  <w:p w14:paraId="4ABD6171" w14:textId="77777777" w:rsidR="00DF60B5" w:rsidRPr="004E4C01" w:rsidRDefault="00DF60B5"/>
  <w:p w14:paraId="39BD2CFC" w14:textId="77777777" w:rsidR="00DF60B5" w:rsidRPr="004E4C01" w:rsidRDefault="00DF60B5"/>
  <w:p w14:paraId="493C8E46" w14:textId="77777777" w:rsidR="00DF60B5" w:rsidRPr="004E4C01" w:rsidRDefault="00DF60B5"/>
  <w:p w14:paraId="6E4AE405" w14:textId="77777777" w:rsidR="00DF60B5" w:rsidRPr="004E4C01" w:rsidRDefault="00DF60B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BF692" w14:textId="7DAF3E4A" w:rsidR="0005570C" w:rsidRPr="004E4C01" w:rsidRDefault="0005570C" w:rsidP="00691F59">
    <w:pPr>
      <w:pStyle w:val="Piedepgina"/>
      <w:pBdr>
        <w:top w:val="single" w:sz="4" w:space="1" w:color="auto"/>
      </w:pBdr>
      <w:tabs>
        <w:tab w:val="clear" w:pos="8838"/>
        <w:tab w:val="right" w:pos="9356"/>
      </w:tabs>
      <w:rPr>
        <w:rFonts w:cs="Arial"/>
        <w:sz w:val="20"/>
        <w:szCs w:val="20"/>
      </w:rPr>
    </w:pPr>
    <w:r w:rsidRPr="004E4C01">
      <w:rPr>
        <w:rFonts w:cs="Arial"/>
        <w:spacing w:val="-3"/>
        <w:sz w:val="20"/>
        <w:szCs w:val="20"/>
      </w:rPr>
      <w:t>Metodología general para la elaboración y presentación de estudios ambientales</w:t>
    </w:r>
    <w:r w:rsidRPr="004E4C01">
      <w:rPr>
        <w:rFonts w:cs="Arial"/>
        <w:sz w:val="20"/>
        <w:szCs w:val="20"/>
      </w:rPr>
      <w:tab/>
    </w:r>
    <w:r w:rsidRPr="004E4C01">
      <w:rPr>
        <w:rFonts w:cs="Arial"/>
        <w:sz w:val="20"/>
        <w:szCs w:val="20"/>
      </w:rPr>
      <w:fldChar w:fldCharType="begin"/>
    </w:r>
    <w:r w:rsidRPr="004E4C01">
      <w:rPr>
        <w:rFonts w:cs="Arial"/>
        <w:sz w:val="20"/>
        <w:szCs w:val="20"/>
      </w:rPr>
      <w:instrText>PAGE   \* MERGEFORMAT</w:instrText>
    </w:r>
    <w:r w:rsidRPr="004E4C01">
      <w:rPr>
        <w:rFonts w:cs="Arial"/>
        <w:sz w:val="20"/>
        <w:szCs w:val="20"/>
      </w:rPr>
      <w:fldChar w:fldCharType="separate"/>
    </w:r>
    <w:r w:rsidR="002705E6" w:rsidRPr="00127BD4">
      <w:rPr>
        <w:rFonts w:cs="Arial"/>
        <w:sz w:val="20"/>
        <w:szCs w:val="20"/>
      </w:rPr>
      <w:t>299</w:t>
    </w:r>
    <w:r w:rsidRPr="004E4C01">
      <w:rPr>
        <w:rFonts w:cs="Arial"/>
        <w:sz w:val="20"/>
        <w:szCs w:val="20"/>
      </w:rPr>
      <w:fldChar w:fldCharType="end"/>
    </w:r>
  </w:p>
  <w:p w14:paraId="79CEC41F" w14:textId="77777777" w:rsidR="0005570C" w:rsidRPr="004E4C01" w:rsidRDefault="0005570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C563" w14:textId="75D99820" w:rsidR="00D55F13" w:rsidRPr="004E4C01" w:rsidRDefault="00D55F13" w:rsidP="009D6964">
    <w:pPr>
      <w:pStyle w:val="Piedepgina"/>
      <w:pBdr>
        <w:top w:val="single" w:sz="4" w:space="1" w:color="auto"/>
      </w:pBdr>
      <w:tabs>
        <w:tab w:val="clear" w:pos="8838"/>
        <w:tab w:val="right" w:pos="9356"/>
        <w:tab w:val="left" w:pos="10770"/>
      </w:tabs>
      <w:rPr>
        <w:rFonts w:cs="Arial"/>
        <w:sz w:val="20"/>
        <w:szCs w:val="20"/>
      </w:rPr>
    </w:pPr>
    <w:r w:rsidRPr="004E4C01">
      <w:rPr>
        <w:rFonts w:cs="Arial"/>
        <w:sz w:val="20"/>
        <w:szCs w:val="20"/>
      </w:rPr>
      <w:t>Metodología general para la elaboración y presentación de estudios ambientales</w:t>
    </w:r>
    <w:r w:rsidRPr="004E4C01">
      <w:rPr>
        <w:rFonts w:cs="Arial"/>
        <w:sz w:val="20"/>
        <w:szCs w:val="20"/>
      </w:rPr>
      <w:tab/>
    </w:r>
    <w:r w:rsidRPr="004E4C01">
      <w:rPr>
        <w:rFonts w:cs="Arial"/>
        <w:sz w:val="20"/>
        <w:szCs w:val="20"/>
      </w:rPr>
      <w:fldChar w:fldCharType="begin"/>
    </w:r>
    <w:r w:rsidRPr="004E4C01">
      <w:rPr>
        <w:rFonts w:cs="Arial"/>
        <w:sz w:val="20"/>
        <w:szCs w:val="20"/>
      </w:rPr>
      <w:instrText>PAGE   \* MERGEFORMAT</w:instrText>
    </w:r>
    <w:r w:rsidRPr="004E4C01">
      <w:rPr>
        <w:rFonts w:cs="Arial"/>
        <w:sz w:val="20"/>
        <w:szCs w:val="20"/>
      </w:rPr>
      <w:fldChar w:fldCharType="separate"/>
    </w:r>
    <w:r w:rsidR="002705E6" w:rsidRPr="00127BD4">
      <w:rPr>
        <w:rFonts w:cs="Arial"/>
        <w:sz w:val="20"/>
        <w:szCs w:val="20"/>
      </w:rPr>
      <w:t>303</w:t>
    </w:r>
    <w:r w:rsidRPr="004E4C01">
      <w:rPr>
        <w:rFonts w:cs="Arial"/>
        <w:sz w:val="20"/>
        <w:szCs w:val="20"/>
      </w:rPr>
      <w:fldChar w:fldCharType="end"/>
    </w:r>
  </w:p>
  <w:p w14:paraId="7830DCDB" w14:textId="07BDE6E8" w:rsidR="00D55F13" w:rsidRPr="004E4C01" w:rsidRDefault="00D828AB" w:rsidP="009D6964">
    <w:pPr>
      <w:pStyle w:val="Piedepgina"/>
      <w:pBdr>
        <w:top w:val="single" w:sz="4" w:space="1" w:color="auto"/>
      </w:pBdr>
      <w:tabs>
        <w:tab w:val="clear" w:pos="8838"/>
        <w:tab w:val="right" w:pos="9356"/>
        <w:tab w:val="left" w:pos="10770"/>
      </w:tabs>
      <w:rPr>
        <w:rFonts w:cs="Arial"/>
        <w:sz w:val="20"/>
        <w:szCs w:val="20"/>
      </w:rPr>
    </w:pPr>
    <w:r w:rsidRPr="00AA2094">
      <w:rPr>
        <w:noProof/>
        <w:lang w:eastAsia="es-CO"/>
      </w:rPr>
      <w:drawing>
        <wp:anchor distT="0" distB="0" distL="114300" distR="114300" simplePos="0" relativeHeight="251658250" behindDoc="0" locked="0" layoutInCell="1" allowOverlap="1" wp14:anchorId="533A934B" wp14:editId="09144E6B">
          <wp:simplePos x="0" y="0"/>
          <wp:positionH relativeFrom="margin">
            <wp:posOffset>5325745</wp:posOffset>
          </wp:positionH>
          <wp:positionV relativeFrom="line">
            <wp:posOffset>2312626</wp:posOffset>
          </wp:positionV>
          <wp:extent cx="644400" cy="349200"/>
          <wp:effectExtent l="0" t="0" r="3810" b="0"/>
          <wp:wrapNone/>
          <wp:docPr id="1509068213" name="Imagen 150906821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283" name="Imagen 15042283"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400" cy="34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DED6A" w14:textId="77777777" w:rsidR="00D55F13" w:rsidRPr="004E4C01" w:rsidRDefault="00D55F13" w:rsidP="00743410">
    <w:pPr>
      <w:tabs>
        <w:tab w:val="right" w:pos="9356"/>
      </w:tabs>
      <w:rPr>
        <w:rFonts w:cs="Arial"/>
        <w:sz w:val="20"/>
        <w:szCs w:val="20"/>
      </w:rPr>
    </w:pPr>
    <w:r w:rsidRPr="004E4C01">
      <w:rPr>
        <w:rFonts w:cs="Arial"/>
        <w:spacing w:val="-3"/>
        <w:sz w:val="20"/>
        <w:szCs w:val="20"/>
      </w:rPr>
      <w:t>Términos de referencia – EIA - Proyectos de Construcción de obras marítimas duras de control y protección costera, y de regeneración de dunas y playas</w:t>
    </w:r>
    <w:r w:rsidRPr="004E4C01">
      <w:rPr>
        <w:rFonts w:cs="Arial"/>
        <w:spacing w:val="-3"/>
        <w:sz w:val="20"/>
        <w:szCs w:val="20"/>
      </w:rPr>
      <w:tab/>
    </w:r>
    <w:r w:rsidRPr="004E4C01">
      <w:rPr>
        <w:rFonts w:cs="Arial"/>
        <w:spacing w:val="-3"/>
        <w:sz w:val="20"/>
        <w:szCs w:val="20"/>
      </w:rPr>
      <w:fldChar w:fldCharType="begin"/>
    </w:r>
    <w:r w:rsidRPr="004E4C01">
      <w:rPr>
        <w:rFonts w:cs="Arial"/>
        <w:spacing w:val="-3"/>
        <w:sz w:val="20"/>
        <w:szCs w:val="20"/>
      </w:rPr>
      <w:instrText xml:space="preserve"> PAGE   \* MERGEFORMAT </w:instrText>
    </w:r>
    <w:r w:rsidRPr="004E4C01">
      <w:rPr>
        <w:rFonts w:cs="Arial"/>
        <w:spacing w:val="-3"/>
        <w:sz w:val="20"/>
        <w:szCs w:val="20"/>
      </w:rPr>
      <w:fldChar w:fldCharType="separate"/>
    </w:r>
    <w:r w:rsidRPr="004E4C01">
      <w:rPr>
        <w:rFonts w:cs="Arial"/>
        <w:spacing w:val="-3"/>
        <w:sz w:val="20"/>
        <w:szCs w:val="20"/>
      </w:rPr>
      <w:t>2</w:t>
    </w:r>
    <w:r w:rsidRPr="004E4C01">
      <w:rPr>
        <w:rFonts w:cs="Arial"/>
        <w:spacing w:val="-3"/>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2A4E" w14:textId="77777777" w:rsidR="00D828AB" w:rsidRPr="004E4C01" w:rsidRDefault="00D828AB" w:rsidP="009D6964">
    <w:pPr>
      <w:pStyle w:val="Piedepgina"/>
      <w:pBdr>
        <w:top w:val="single" w:sz="4" w:space="1" w:color="auto"/>
      </w:pBdr>
      <w:tabs>
        <w:tab w:val="clear" w:pos="8838"/>
        <w:tab w:val="right" w:pos="9356"/>
        <w:tab w:val="left" w:pos="10770"/>
      </w:tabs>
      <w:rPr>
        <w:rFonts w:cs="Arial"/>
        <w:sz w:val="20"/>
        <w:szCs w:val="20"/>
      </w:rPr>
    </w:pPr>
    <w:r w:rsidRPr="004E4C01">
      <w:rPr>
        <w:rFonts w:cs="Arial"/>
        <w:sz w:val="20"/>
        <w:szCs w:val="20"/>
      </w:rPr>
      <w:t>Metodología general para la elaboración y presentación de estudios ambientales</w:t>
    </w:r>
    <w:r w:rsidRPr="004E4C01">
      <w:rPr>
        <w:rFonts w:cs="Arial"/>
        <w:sz w:val="20"/>
        <w:szCs w:val="20"/>
      </w:rPr>
      <w:tab/>
    </w:r>
    <w:r w:rsidRPr="004E4C01">
      <w:rPr>
        <w:rFonts w:cs="Arial"/>
        <w:sz w:val="20"/>
        <w:szCs w:val="20"/>
      </w:rPr>
      <w:fldChar w:fldCharType="begin"/>
    </w:r>
    <w:r w:rsidRPr="004E4C01">
      <w:rPr>
        <w:rFonts w:cs="Arial"/>
        <w:sz w:val="20"/>
        <w:szCs w:val="20"/>
      </w:rPr>
      <w:instrText>PAGE   \* MERGEFORMAT</w:instrText>
    </w:r>
    <w:r w:rsidRPr="004E4C01">
      <w:rPr>
        <w:rFonts w:cs="Arial"/>
        <w:sz w:val="20"/>
        <w:szCs w:val="20"/>
      </w:rPr>
      <w:fldChar w:fldCharType="separate"/>
    </w:r>
    <w:r w:rsidR="00FA30FB" w:rsidRPr="00127BD4">
      <w:rPr>
        <w:rFonts w:cs="Arial"/>
        <w:sz w:val="20"/>
        <w:szCs w:val="20"/>
      </w:rPr>
      <w:t>372</w:t>
    </w:r>
    <w:r w:rsidRPr="004E4C01">
      <w:rPr>
        <w:rFonts w:cs="Arial"/>
        <w:sz w:val="20"/>
        <w:szCs w:val="20"/>
      </w:rPr>
      <w:fldChar w:fldCharType="end"/>
    </w:r>
  </w:p>
  <w:p w14:paraId="397FBDCA" w14:textId="3BA40DFC" w:rsidR="00D828AB" w:rsidRPr="004E4C01" w:rsidRDefault="00D828AB" w:rsidP="009D6964">
    <w:pPr>
      <w:pStyle w:val="Piedepgina"/>
      <w:pBdr>
        <w:top w:val="single" w:sz="4" w:space="1" w:color="auto"/>
      </w:pBdr>
      <w:tabs>
        <w:tab w:val="clear" w:pos="8838"/>
        <w:tab w:val="right" w:pos="9356"/>
        <w:tab w:val="left" w:pos="10770"/>
      </w:tabs>
      <w:rPr>
        <w:rFonts w:cs="Arial"/>
        <w:sz w:val="20"/>
        <w:szCs w:val="20"/>
      </w:rPr>
    </w:pPr>
    <w:r w:rsidRPr="00AA2094">
      <w:rPr>
        <w:noProof/>
        <w:lang w:eastAsia="es-CO"/>
      </w:rPr>
      <w:drawing>
        <wp:anchor distT="0" distB="0" distL="114300" distR="114300" simplePos="0" relativeHeight="251658251" behindDoc="0" locked="0" layoutInCell="1" allowOverlap="1" wp14:anchorId="74A0C4D9" wp14:editId="54B3385C">
          <wp:simplePos x="0" y="0"/>
          <wp:positionH relativeFrom="margin">
            <wp:posOffset>5325745</wp:posOffset>
          </wp:positionH>
          <wp:positionV relativeFrom="line">
            <wp:posOffset>2312626</wp:posOffset>
          </wp:positionV>
          <wp:extent cx="644400" cy="349200"/>
          <wp:effectExtent l="0" t="0" r="3810" b="0"/>
          <wp:wrapNone/>
          <wp:docPr id="358663898" name="Imagen 35866389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283" name="Imagen 15042283"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400" cy="34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029F5" w14:textId="77777777" w:rsidR="00D916C8" w:rsidRPr="004E4C01" w:rsidRDefault="00D916C8" w:rsidP="009D6964">
    <w:pPr>
      <w:pStyle w:val="Piedepgina"/>
      <w:pBdr>
        <w:top w:val="single" w:sz="4" w:space="1" w:color="auto"/>
      </w:pBdr>
      <w:tabs>
        <w:tab w:val="clear" w:pos="8838"/>
        <w:tab w:val="right" w:pos="9356"/>
        <w:tab w:val="left" w:pos="10770"/>
      </w:tabs>
      <w:rPr>
        <w:rFonts w:cs="Arial"/>
        <w:sz w:val="20"/>
        <w:szCs w:val="20"/>
      </w:rPr>
    </w:pPr>
    <w:r w:rsidRPr="004E4C01">
      <w:rPr>
        <w:rFonts w:cs="Arial"/>
        <w:sz w:val="20"/>
        <w:szCs w:val="20"/>
      </w:rPr>
      <w:t>Metodología general para la elaboración y presentación de estudios ambientales</w:t>
    </w:r>
    <w:r w:rsidRPr="004E4C01">
      <w:rPr>
        <w:rFonts w:cs="Arial"/>
        <w:sz w:val="20"/>
        <w:szCs w:val="20"/>
      </w:rPr>
      <w:tab/>
    </w:r>
    <w:r w:rsidRPr="004E4C01">
      <w:rPr>
        <w:rFonts w:cs="Arial"/>
        <w:sz w:val="20"/>
        <w:szCs w:val="20"/>
      </w:rPr>
      <w:fldChar w:fldCharType="begin"/>
    </w:r>
    <w:r w:rsidRPr="004E4C01">
      <w:rPr>
        <w:rFonts w:cs="Arial"/>
        <w:sz w:val="20"/>
        <w:szCs w:val="20"/>
      </w:rPr>
      <w:instrText>PAGE   \* MERGEFORMAT</w:instrText>
    </w:r>
    <w:r w:rsidRPr="004E4C01">
      <w:rPr>
        <w:rFonts w:cs="Arial"/>
        <w:sz w:val="20"/>
        <w:szCs w:val="20"/>
      </w:rPr>
      <w:fldChar w:fldCharType="separate"/>
    </w:r>
    <w:r w:rsidRPr="00127BD4">
      <w:rPr>
        <w:rFonts w:cs="Arial"/>
        <w:sz w:val="20"/>
        <w:szCs w:val="20"/>
      </w:rPr>
      <w:t>372</w:t>
    </w:r>
    <w:r w:rsidRPr="004E4C01">
      <w:rPr>
        <w:rFonts w:cs="Arial"/>
        <w:sz w:val="20"/>
        <w:szCs w:val="20"/>
      </w:rPr>
      <w:fldChar w:fldCharType="end"/>
    </w:r>
  </w:p>
  <w:p w14:paraId="47B64B22" w14:textId="77777777" w:rsidR="00D916C8" w:rsidRPr="004E4C01" w:rsidRDefault="00D916C8" w:rsidP="009D6964">
    <w:pPr>
      <w:pStyle w:val="Piedepgina"/>
      <w:pBdr>
        <w:top w:val="single" w:sz="4" w:space="1" w:color="auto"/>
      </w:pBdr>
      <w:tabs>
        <w:tab w:val="clear" w:pos="8838"/>
        <w:tab w:val="right" w:pos="9356"/>
        <w:tab w:val="left" w:pos="10770"/>
      </w:tabs>
      <w:rPr>
        <w:rFonts w:cs="Arial"/>
        <w:sz w:val="20"/>
        <w:szCs w:val="20"/>
      </w:rPr>
    </w:pPr>
    <w:r w:rsidRPr="00AA2094">
      <w:rPr>
        <w:noProof/>
        <w:lang w:eastAsia="es-CO"/>
      </w:rPr>
      <w:drawing>
        <wp:anchor distT="0" distB="0" distL="114300" distR="114300" simplePos="0" relativeHeight="251658260" behindDoc="0" locked="0" layoutInCell="1" allowOverlap="1" wp14:anchorId="376D3ADB" wp14:editId="7477C5C9">
          <wp:simplePos x="0" y="0"/>
          <wp:positionH relativeFrom="margin">
            <wp:posOffset>5325745</wp:posOffset>
          </wp:positionH>
          <wp:positionV relativeFrom="line">
            <wp:posOffset>2312626</wp:posOffset>
          </wp:positionV>
          <wp:extent cx="644400" cy="349200"/>
          <wp:effectExtent l="0" t="0" r="3810" b="0"/>
          <wp:wrapNone/>
          <wp:docPr id="504876993" name="Imagen 50487699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283" name="Imagen 15042283"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400" cy="34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4BCE0" w14:textId="77777777" w:rsidR="00921E22" w:rsidRPr="004E4C01" w:rsidRDefault="00921E22">
      <w:r w:rsidRPr="004E4C01">
        <w:separator/>
      </w:r>
    </w:p>
  </w:footnote>
  <w:footnote w:type="continuationSeparator" w:id="0">
    <w:p w14:paraId="3017CAF8" w14:textId="77777777" w:rsidR="00921E22" w:rsidRPr="004E4C01" w:rsidRDefault="00921E22">
      <w:r w:rsidRPr="004E4C01">
        <w:continuationSeparator/>
      </w:r>
    </w:p>
  </w:footnote>
  <w:footnote w:type="continuationNotice" w:id="1">
    <w:p w14:paraId="6FBA6938" w14:textId="77777777" w:rsidR="00921E22" w:rsidRPr="004E4C01" w:rsidRDefault="00921E22"/>
  </w:footnote>
  <w:footnote w:id="2">
    <w:p w14:paraId="0BFF8CA7" w14:textId="2E351788"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Los términos de referencia </w:t>
      </w:r>
      <w:r w:rsidR="001A0DB9" w:rsidRPr="005B697D">
        <w:rPr>
          <w:rFonts w:cs="Arial"/>
          <w:szCs w:val="20"/>
          <w:lang w:val="es-CO"/>
        </w:rPr>
        <w:t xml:space="preserve">constituyen los requerimientos de información </w:t>
      </w:r>
      <w:r w:rsidRPr="005B697D">
        <w:rPr>
          <w:rFonts w:cs="Arial"/>
          <w:szCs w:val="20"/>
          <w:lang w:val="es-CO"/>
        </w:rPr>
        <w:t>generales que se establecen para orientar la elaboración de los estudios ambientales de los proyectos, obras o actividades sujetas a licenciamiento ambiental y que deben ser presentados ante la autoridad ambiental competente para su evaluación; la expedición de términos de referencia genéricos está a cargo del Ministerio de Ambiente y Desarrollo Sostenible y en caso de que éstos no hayan sido proferidos, las autoridades ambientales, de acuerdo con sus competencias, deben establecer unos específicos para cada caso particular.</w:t>
      </w:r>
    </w:p>
  </w:footnote>
  <w:footnote w:id="3">
    <w:p w14:paraId="35184E29" w14:textId="31A02732"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Los tratados internacionales ratificados por Colombia mediante la Ley 22 de 1981, la Ley 74 de 1968, la Ley 51 de 1981, la Ley 70 de 1986, la Ley 12 de 1992, la Ley 1346 de 2009 y la Ley 2273 de 2022, implican obligaciones para el Estado en materia de participación.</w:t>
      </w:r>
    </w:p>
  </w:footnote>
  <w:footnote w:id="4">
    <w:p w14:paraId="016C1F5C" w14:textId="71AA7D7C" w:rsidR="00E1320B" w:rsidRPr="005B697D" w:rsidRDefault="00E1320B" w:rsidP="005B697D">
      <w:pPr>
        <w:pStyle w:val="Textonotapie"/>
        <w:rPr>
          <w:rFonts w:cs="Arial"/>
          <w:szCs w:val="20"/>
          <w:lang w:val="es-CO"/>
        </w:rPr>
      </w:pPr>
      <w:r w:rsidRPr="005B697D">
        <w:rPr>
          <w:rStyle w:val="Refdenotaalpie"/>
          <w:rFonts w:cs="Arial"/>
          <w:sz w:val="20"/>
          <w:szCs w:val="20"/>
        </w:rPr>
        <w:footnoteRef/>
      </w:r>
      <w:r w:rsidRPr="005B697D">
        <w:rPr>
          <w:rFonts w:cs="Arial"/>
          <w:szCs w:val="20"/>
        </w:rPr>
        <w:t xml:space="preserve"> </w:t>
      </w:r>
      <w:r w:rsidR="00C8739E" w:rsidRPr="005B697D">
        <w:rPr>
          <w:rFonts w:cs="Arial"/>
          <w:szCs w:val="20"/>
        </w:rPr>
        <w:t xml:space="preserve">Considerando que </w:t>
      </w:r>
      <w:r w:rsidR="00C8739E" w:rsidRPr="005B697D">
        <w:rPr>
          <w:rFonts w:cs="Arial"/>
          <w:szCs w:val="20"/>
          <w:lang w:val="es-CO"/>
        </w:rPr>
        <w:t>la justicia ambiental, según la Sentencia T-294 de 2014, puede ser entendida como el “</w:t>
      </w:r>
      <w:r w:rsidR="00C8739E" w:rsidRPr="005B697D">
        <w:rPr>
          <w:rFonts w:cs="Arial"/>
          <w:i/>
          <w:iCs/>
          <w:szCs w:val="20"/>
          <w:lang w:val="es-CO"/>
        </w:rPr>
        <w:t>tratamiento justo y la participación significativa de todas las personas independientemente de su raza, color, origen nacional, cultura, educación o ingreso con respecto al desarrollo y la aplicación de las leyes, reglamentos y políticas ambientales”.</w:t>
      </w:r>
    </w:p>
  </w:footnote>
  <w:footnote w:id="5">
    <w:p w14:paraId="37D12762" w14:textId="0B605A9C" w:rsidR="00DF4B69" w:rsidRPr="005B697D" w:rsidRDefault="00DF4B69"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Este lineamiento </w:t>
      </w:r>
      <w:r w:rsidR="00C0374D" w:rsidRPr="005B697D">
        <w:rPr>
          <w:rFonts w:cs="Arial"/>
          <w:szCs w:val="20"/>
          <w:lang w:val="es-CO"/>
        </w:rPr>
        <w:t>desarrolla</w:t>
      </w:r>
      <w:r w:rsidR="00FB7A08" w:rsidRPr="005B697D">
        <w:rPr>
          <w:rFonts w:cs="Arial"/>
          <w:szCs w:val="20"/>
          <w:lang w:val="es-CO"/>
        </w:rPr>
        <w:t xml:space="preserve"> </w:t>
      </w:r>
      <w:r w:rsidR="00F8062C" w:rsidRPr="005B697D">
        <w:rPr>
          <w:rFonts w:cs="Arial"/>
          <w:szCs w:val="20"/>
          <w:lang w:val="es-CO"/>
        </w:rPr>
        <w:t xml:space="preserve">las directrices de </w:t>
      </w:r>
      <w:r w:rsidRPr="005B697D">
        <w:rPr>
          <w:rFonts w:cs="Arial"/>
          <w:szCs w:val="20"/>
          <w:lang w:val="es-CO"/>
        </w:rPr>
        <w:t>la Resolución No. 3 de 2021 de la Comisión Interamericana de Derechos Humanos (</w:t>
      </w:r>
      <w:r w:rsidR="000D4B8B" w:rsidRPr="005B697D">
        <w:rPr>
          <w:rFonts w:cs="Arial"/>
          <w:szCs w:val="20"/>
          <w:lang w:val="es-CO"/>
        </w:rPr>
        <w:t xml:space="preserve">publicada por </w:t>
      </w:r>
      <w:r w:rsidRPr="005B697D">
        <w:rPr>
          <w:rFonts w:cs="Arial"/>
          <w:szCs w:val="20"/>
          <w:lang w:val="es-CO"/>
        </w:rPr>
        <w:t>CIDH &amp; REDESCA</w:t>
      </w:r>
      <w:r w:rsidR="000D4B8B" w:rsidRPr="005B697D">
        <w:rPr>
          <w:rFonts w:cs="Arial"/>
          <w:szCs w:val="20"/>
          <w:lang w:val="es-CO"/>
        </w:rPr>
        <w:t xml:space="preserve"> en</w:t>
      </w:r>
      <w:r w:rsidRPr="005B697D">
        <w:rPr>
          <w:rFonts w:cs="Arial"/>
          <w:szCs w:val="20"/>
          <w:lang w:val="es-CO"/>
        </w:rPr>
        <w:t xml:space="preserve"> 2021)</w:t>
      </w:r>
      <w:r w:rsidR="00267411" w:rsidRPr="005B697D">
        <w:rPr>
          <w:rFonts w:cs="Arial"/>
          <w:szCs w:val="20"/>
          <w:lang w:val="es-CO"/>
        </w:rPr>
        <w:t xml:space="preserve"> sobre </w:t>
      </w:r>
      <w:r w:rsidR="00B1759D" w:rsidRPr="005B697D">
        <w:rPr>
          <w:rFonts w:cs="Arial"/>
          <w:szCs w:val="20"/>
          <w:lang w:val="es-CO"/>
        </w:rPr>
        <w:t>la debida diligencia en materia de derechos humanos</w:t>
      </w:r>
      <w:r w:rsidR="006F3074" w:rsidRPr="005B697D">
        <w:rPr>
          <w:rFonts w:cs="Arial"/>
          <w:szCs w:val="20"/>
          <w:lang w:val="es-CO"/>
        </w:rPr>
        <w:t>,</w:t>
      </w:r>
      <w:r w:rsidR="00E04B30" w:rsidRPr="005B697D">
        <w:rPr>
          <w:rFonts w:cs="Arial"/>
          <w:szCs w:val="20"/>
          <w:lang w:val="es-CO"/>
        </w:rPr>
        <w:t xml:space="preserve"> así como l</w:t>
      </w:r>
      <w:r w:rsidR="00110271" w:rsidRPr="005B697D">
        <w:rPr>
          <w:rFonts w:cs="Arial"/>
          <w:szCs w:val="20"/>
          <w:lang w:val="es-CO"/>
        </w:rPr>
        <w:t>a</w:t>
      </w:r>
      <w:r w:rsidR="007D49DE" w:rsidRPr="005B697D">
        <w:rPr>
          <w:rFonts w:cs="Arial"/>
          <w:szCs w:val="20"/>
          <w:lang w:val="es-CO"/>
        </w:rPr>
        <w:t xml:space="preserve">s </w:t>
      </w:r>
      <w:r w:rsidR="002A189E" w:rsidRPr="005B697D">
        <w:rPr>
          <w:rFonts w:cs="Arial"/>
          <w:szCs w:val="20"/>
          <w:lang w:val="es-CO"/>
        </w:rPr>
        <w:t>determinaciones</w:t>
      </w:r>
      <w:r w:rsidR="00110271" w:rsidRPr="005B697D">
        <w:rPr>
          <w:rFonts w:cs="Arial"/>
          <w:szCs w:val="20"/>
          <w:lang w:val="es-CO"/>
        </w:rPr>
        <w:t xml:space="preserve"> que sobre esta materia </w:t>
      </w:r>
      <w:r w:rsidR="003F0E44" w:rsidRPr="005B697D">
        <w:rPr>
          <w:rFonts w:cs="Arial"/>
          <w:szCs w:val="20"/>
          <w:lang w:val="es-CO"/>
        </w:rPr>
        <w:t xml:space="preserve">ha fijado </w:t>
      </w:r>
      <w:r w:rsidR="00E95C9D" w:rsidRPr="005B697D">
        <w:rPr>
          <w:rFonts w:cs="Arial"/>
          <w:szCs w:val="20"/>
          <w:lang w:val="es-CO"/>
        </w:rPr>
        <w:t>la C</w:t>
      </w:r>
      <w:r w:rsidR="003F0E44" w:rsidRPr="005B697D">
        <w:rPr>
          <w:rFonts w:cs="Arial"/>
          <w:szCs w:val="20"/>
          <w:lang w:val="es-CO"/>
        </w:rPr>
        <w:t>orte</w:t>
      </w:r>
      <w:r w:rsidR="00E95C9D" w:rsidRPr="005B697D">
        <w:rPr>
          <w:rFonts w:cs="Arial"/>
          <w:szCs w:val="20"/>
          <w:lang w:val="es-CO"/>
        </w:rPr>
        <w:t xml:space="preserve"> Constitucional </w:t>
      </w:r>
      <w:r w:rsidR="003F0E44" w:rsidRPr="005B697D">
        <w:rPr>
          <w:rFonts w:cs="Arial"/>
          <w:szCs w:val="20"/>
          <w:lang w:val="es-CO"/>
        </w:rPr>
        <w:t xml:space="preserve">en las sentencias </w:t>
      </w:r>
      <w:r w:rsidR="001F0BA1" w:rsidRPr="005B697D">
        <w:rPr>
          <w:rFonts w:cs="Arial"/>
          <w:szCs w:val="20"/>
          <w:lang w:val="es-CO"/>
        </w:rPr>
        <w:t>SU-123 de 2018</w:t>
      </w:r>
      <w:r w:rsidR="00FC4D51" w:rsidRPr="005B697D">
        <w:rPr>
          <w:rFonts w:cs="Arial"/>
          <w:szCs w:val="20"/>
          <w:lang w:val="es-CO"/>
        </w:rPr>
        <w:t>, T-375 de 2023</w:t>
      </w:r>
      <w:r w:rsidR="00A20C88" w:rsidRPr="005B697D">
        <w:rPr>
          <w:rFonts w:cs="Arial"/>
          <w:szCs w:val="20"/>
          <w:lang w:val="es-CO"/>
        </w:rPr>
        <w:t xml:space="preserve"> y SU-196 de 2023</w:t>
      </w:r>
      <w:r w:rsidRPr="005B697D">
        <w:rPr>
          <w:rFonts w:cs="Arial"/>
          <w:szCs w:val="20"/>
          <w:lang w:val="es-CO"/>
        </w:rPr>
        <w:t>.</w:t>
      </w:r>
    </w:p>
  </w:footnote>
  <w:footnote w:id="6">
    <w:p w14:paraId="6EC77B28" w14:textId="77777777" w:rsidR="00D55F13" w:rsidRPr="005B697D" w:rsidRDefault="00D55F13" w:rsidP="005B697D">
      <w:pPr>
        <w:pStyle w:val="Textonotapie"/>
        <w:rPr>
          <w:rFonts w:cs="Arial"/>
          <w:szCs w:val="20"/>
          <w:lang w:val="es-CO"/>
        </w:rPr>
      </w:pPr>
      <w:r w:rsidRPr="005B697D">
        <w:rPr>
          <w:rStyle w:val="Refdenotaalpie"/>
          <w:rFonts w:eastAsiaTheme="majorEastAsia" w:cs="Arial"/>
          <w:sz w:val="20"/>
          <w:szCs w:val="20"/>
          <w:lang w:val="es-CO"/>
        </w:rPr>
        <w:footnoteRef/>
      </w:r>
      <w:r w:rsidRPr="005B697D">
        <w:rPr>
          <w:rFonts w:cs="Arial"/>
          <w:szCs w:val="20"/>
          <w:lang w:val="es-CO"/>
        </w:rPr>
        <w:t xml:space="preserve"> Las referencias para esta sección se encuentran al final del documento, en el ítem de Bibliografía glosario.</w:t>
      </w:r>
    </w:p>
  </w:footnote>
  <w:footnote w:id="7">
    <w:p w14:paraId="71862579" w14:textId="5E69C694"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Fuentes oficiales o fuentes técnicas de alto nivel como revistas científicas, publicaciones académicas de centros o institutos de investigación y otras fuentes que hayan tenido un proceso idóneo de gestión. Muchas de ellas se listan en el numeral </w:t>
      </w:r>
      <w:r w:rsidRPr="005B697D">
        <w:rPr>
          <w:rFonts w:cs="Arial"/>
          <w:szCs w:val="20"/>
          <w:lang w:val="es-CO"/>
        </w:rPr>
        <w:fldChar w:fldCharType="begin"/>
      </w:r>
      <w:r w:rsidRPr="005B697D">
        <w:rPr>
          <w:rFonts w:cs="Arial"/>
          <w:szCs w:val="20"/>
          <w:lang w:val="es-CO"/>
        </w:rPr>
        <w:instrText xml:space="preserve"> REF _Ref45085611 \r \h  \* MERGEFORMAT </w:instrText>
      </w:r>
      <w:r w:rsidRPr="005B697D">
        <w:rPr>
          <w:rFonts w:cs="Arial"/>
          <w:szCs w:val="20"/>
          <w:lang w:val="es-CO"/>
        </w:rPr>
      </w:r>
      <w:r w:rsidRPr="005B697D">
        <w:rPr>
          <w:rFonts w:cs="Arial"/>
          <w:szCs w:val="20"/>
          <w:lang w:val="es-CO"/>
        </w:rPr>
        <w:fldChar w:fldCharType="separate"/>
      </w:r>
      <w:r w:rsidR="002D73C1" w:rsidRPr="005B697D">
        <w:rPr>
          <w:rFonts w:cs="Arial"/>
          <w:szCs w:val="20"/>
          <w:lang w:val="es-CO"/>
        </w:rPr>
        <w:t>2</w:t>
      </w:r>
      <w:r w:rsidRPr="005B697D">
        <w:rPr>
          <w:rFonts w:cs="Arial"/>
          <w:szCs w:val="20"/>
          <w:lang w:val="es-CO"/>
        </w:rPr>
        <w:fldChar w:fldCharType="end"/>
      </w:r>
      <w:r w:rsidRPr="005B697D">
        <w:rPr>
          <w:rFonts w:cs="Arial"/>
          <w:szCs w:val="20"/>
          <w:lang w:val="es-CO"/>
        </w:rPr>
        <w:t xml:space="preserve"> de este capítulo.</w:t>
      </w:r>
    </w:p>
  </w:footnote>
  <w:footnote w:id="8">
    <w:p w14:paraId="18CD1022" w14:textId="05E6CB49"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el marco de los estudios ambientales, los indicadores se definen como un tipo de información que sintetiza las características de uno o más fenómenos que resultan importantes para el proceso de licenciamiento ambiental y, por tanto, pueden ser parámetros ambientales o agregaciones, combinaciones y transformaciones de parámetros u otro tipo de información ambiental cuantitativa o cualitativa. Los índices por su parte y de acuerdo con Quiroga (2009), deben entenderse como la expresión numérica de la relación entre dos o más variables que han sido conmensuradas y agregadas hasta convertirlas en un solo meganumerario.</w:t>
      </w:r>
    </w:p>
  </w:footnote>
  <w:footnote w:id="9">
    <w:p w14:paraId="5871BBE7"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Jerarquía conocida internacionalmente como Jerarquía de la mitigación.</w:t>
      </w:r>
    </w:p>
  </w:footnote>
  <w:footnote w:id="10">
    <w:p w14:paraId="07AF57ED" w14:textId="16C08DCA"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Figuras que, al ser adoptadas mediante acto administrativo, gozan de vida propia y, por tanto, deben ser incorporadas en los instrumentos de ordenamiento ambiental y territorial.</w:t>
      </w:r>
      <w:r w:rsidR="00E410FB" w:rsidRPr="005B697D">
        <w:rPr>
          <w:rFonts w:cs="Arial"/>
          <w:szCs w:val="20"/>
          <w:lang w:val="es-CO"/>
        </w:rPr>
        <w:t xml:space="preserve"> </w:t>
      </w:r>
      <w:r w:rsidR="00AD4DEB" w:rsidRPr="005B697D">
        <w:rPr>
          <w:rFonts w:cs="Arial"/>
          <w:szCs w:val="20"/>
          <w:lang w:val="es-CO"/>
        </w:rPr>
        <w:t>Se refiere f</w:t>
      </w:r>
      <w:r w:rsidR="00E410FB" w:rsidRPr="005B697D">
        <w:rPr>
          <w:rFonts w:cs="Arial"/>
          <w:szCs w:val="20"/>
          <w:lang w:val="es-CO"/>
        </w:rPr>
        <w:t xml:space="preserve">undamentalmente </w:t>
      </w:r>
      <w:r w:rsidR="00AD4DEB" w:rsidRPr="005B697D">
        <w:rPr>
          <w:rFonts w:cs="Arial"/>
          <w:szCs w:val="20"/>
          <w:lang w:val="es-CO"/>
        </w:rPr>
        <w:t xml:space="preserve">a </w:t>
      </w:r>
      <w:r w:rsidR="00E410FB" w:rsidRPr="005B697D">
        <w:rPr>
          <w:rFonts w:cs="Arial"/>
          <w:szCs w:val="20"/>
          <w:lang w:val="es-CO"/>
        </w:rPr>
        <w:t xml:space="preserve">las determinantes </w:t>
      </w:r>
      <w:r w:rsidR="002E5110" w:rsidRPr="005B697D">
        <w:rPr>
          <w:rFonts w:cs="Arial"/>
          <w:szCs w:val="20"/>
          <w:lang w:val="es-CO"/>
        </w:rPr>
        <w:t>relacionadas con la conservación, la protección del ambiente y los ecosistemas, el ciclo del agua, los recursos naturales, la prevención de amenazas y riesgos de desastres, la gestión del cambio climático y la soberanía alimentaria</w:t>
      </w:r>
      <w:r w:rsidR="00E370BA" w:rsidRPr="005B697D">
        <w:rPr>
          <w:rFonts w:cs="Arial"/>
          <w:szCs w:val="20"/>
          <w:lang w:val="es-CO"/>
        </w:rPr>
        <w:t xml:space="preserve">, pero también incluye aquellas </w:t>
      </w:r>
      <w:r w:rsidR="00E611DB" w:rsidRPr="005B697D">
        <w:rPr>
          <w:rFonts w:cs="Arial"/>
          <w:szCs w:val="20"/>
          <w:lang w:val="es-CO"/>
        </w:rPr>
        <w:t xml:space="preserve">de </w:t>
      </w:r>
      <w:r w:rsidR="00FE3605" w:rsidRPr="005B697D">
        <w:rPr>
          <w:rFonts w:cs="Arial"/>
          <w:szCs w:val="20"/>
          <w:lang w:val="es-CO"/>
        </w:rPr>
        <w:t>especial interés para proteger el derecho humano a la alimentación de los habitantes del territorio nacional localizadas dentro de la frontera agrícola</w:t>
      </w:r>
      <w:r w:rsidR="00DD0734" w:rsidRPr="005B697D">
        <w:rPr>
          <w:rFonts w:cs="Arial"/>
          <w:szCs w:val="20"/>
          <w:lang w:val="es-CO"/>
        </w:rPr>
        <w:t xml:space="preserve"> (p. ej. </w:t>
      </w:r>
      <w:r w:rsidR="00DC1CB7" w:rsidRPr="005B697D">
        <w:rPr>
          <w:rFonts w:cs="Arial"/>
          <w:szCs w:val="20"/>
          <w:lang w:val="es-CO"/>
        </w:rPr>
        <w:t>las Áreas de Protección para la Producción de Alimentos</w:t>
      </w:r>
      <w:r w:rsidR="00E406B1" w:rsidRPr="005B697D">
        <w:rPr>
          <w:rFonts w:cs="Arial"/>
          <w:szCs w:val="20"/>
          <w:lang w:val="es-CO"/>
        </w:rPr>
        <w:t xml:space="preserve"> -APPA</w:t>
      </w:r>
      <w:r w:rsidR="00DD0734" w:rsidRPr="005B697D">
        <w:rPr>
          <w:rFonts w:cs="Arial"/>
          <w:szCs w:val="20"/>
          <w:lang w:val="es-CO"/>
        </w:rPr>
        <w:t>)</w:t>
      </w:r>
      <w:r w:rsidR="00FE3605" w:rsidRPr="005B697D">
        <w:rPr>
          <w:rFonts w:cs="Arial"/>
          <w:szCs w:val="20"/>
          <w:lang w:val="es-CO"/>
        </w:rPr>
        <w:t>.</w:t>
      </w:r>
    </w:p>
  </w:footnote>
  <w:footnote w:id="11">
    <w:p w14:paraId="1FC9160B" w14:textId="08ABD813"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Sin perjuicio de lo dispuesto en </w:t>
      </w:r>
      <w:r w:rsidR="00B31D84" w:rsidRPr="005B697D">
        <w:rPr>
          <w:rFonts w:cs="Arial"/>
          <w:szCs w:val="20"/>
          <w:lang w:val="es-CO"/>
        </w:rPr>
        <w:t xml:space="preserve">los </w:t>
      </w:r>
      <w:r w:rsidRPr="005B697D">
        <w:rPr>
          <w:rFonts w:cs="Arial"/>
          <w:szCs w:val="20"/>
          <w:lang w:val="es-CO"/>
        </w:rPr>
        <w:t>Decreto</w:t>
      </w:r>
      <w:r w:rsidR="00B31D84" w:rsidRPr="005B697D">
        <w:rPr>
          <w:rFonts w:cs="Arial"/>
          <w:szCs w:val="20"/>
          <w:lang w:val="es-CO"/>
        </w:rPr>
        <w:t>s</w:t>
      </w:r>
      <w:r w:rsidRPr="005B697D">
        <w:rPr>
          <w:rFonts w:cs="Arial"/>
          <w:szCs w:val="20"/>
          <w:lang w:val="es-CO"/>
        </w:rPr>
        <w:t xml:space="preserve"> </w:t>
      </w:r>
      <w:r w:rsidR="009828C8" w:rsidRPr="005B697D">
        <w:rPr>
          <w:rFonts w:cs="Arial"/>
          <w:szCs w:val="20"/>
          <w:lang w:val="es-CO"/>
        </w:rPr>
        <w:t xml:space="preserve">2201 de 2003 y </w:t>
      </w:r>
      <w:r w:rsidRPr="005B697D">
        <w:rPr>
          <w:rFonts w:cs="Arial"/>
          <w:szCs w:val="20"/>
          <w:lang w:val="es-CO"/>
        </w:rPr>
        <w:t>1077 de 2015, o en la norma que lo</w:t>
      </w:r>
      <w:r w:rsidR="009828C8" w:rsidRPr="005B697D">
        <w:rPr>
          <w:rFonts w:cs="Arial"/>
          <w:szCs w:val="20"/>
          <w:lang w:val="es-CO"/>
        </w:rPr>
        <w:t>s</w:t>
      </w:r>
      <w:r w:rsidRPr="005B697D">
        <w:rPr>
          <w:rFonts w:cs="Arial"/>
          <w:szCs w:val="20"/>
          <w:lang w:val="es-CO"/>
        </w:rPr>
        <w:t xml:space="preserve"> modifique o sustituya, sobre los proyectos, obras o actividades considerados de utilidad pública e interés social por el legislador.</w:t>
      </w:r>
    </w:p>
  </w:footnote>
  <w:footnote w:id="12">
    <w:p w14:paraId="6D7D02C6" w14:textId="77777777" w:rsidR="00EE4DE9" w:rsidRPr="005B697D" w:rsidRDefault="00EE4DE9"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debe tener en cuenta que el parágrafo 3 del artículo 10 de la Ley 388 de 1997 (modificado por el artículo 32 de la Ley 2294 de 2023) establece que “los fundamentos definidos por los pueblos y comunidades indígenas serán vinculantes para todos los actores públicos y privados en sus territorios y territorialidades".</w:t>
      </w:r>
    </w:p>
  </w:footnote>
  <w:footnote w:id="13">
    <w:p w14:paraId="101C964B" w14:textId="6023B17A" w:rsidR="00D264DF" w:rsidRPr="005B697D" w:rsidRDefault="00D264DF"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Hace referencia a las personas que tienen mayor dificultad para informarse y participar de manera efectiva por diversas situaciones, entre ellas, limitaciones tecnológicas, auditivas, por tener una lengua diferente al castellano o vivir en espacios territoriales de difícil acceso.</w:t>
      </w:r>
    </w:p>
  </w:footnote>
  <w:footnote w:id="14">
    <w:p w14:paraId="63E48A7F" w14:textId="014BED2A"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spacing w:val="-3"/>
          <w:szCs w:val="20"/>
          <w:lang w:val="es-CO"/>
        </w:rPr>
        <w:t>En caso de que en las fuentes secundarias no se encuentre información con las cualidades requeridas, la orientación metodológica para cumplir con las especificaciones técnicas de caracterización de los medios abiótico, biótico y socioeconómico</w:t>
      </w:r>
      <w:r w:rsidRPr="005B697D" w:rsidDel="0073605B">
        <w:rPr>
          <w:rFonts w:cs="Arial"/>
          <w:spacing w:val="-3"/>
          <w:szCs w:val="20"/>
          <w:lang w:val="es-CO"/>
        </w:rPr>
        <w:t xml:space="preserve"> </w:t>
      </w:r>
      <w:r w:rsidRPr="005B697D">
        <w:rPr>
          <w:rFonts w:cs="Arial"/>
          <w:spacing w:val="-3"/>
          <w:szCs w:val="20"/>
          <w:lang w:val="es-CO"/>
        </w:rPr>
        <w:t>es obtener, procesar y analizar información primaria.</w:t>
      </w:r>
    </w:p>
  </w:footnote>
  <w:footnote w:id="15">
    <w:p w14:paraId="4C4A9068" w14:textId="169CD001"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Disponibles</w:t>
      </w:r>
      <w:r w:rsidRPr="005B697D">
        <w:rPr>
          <w:rFonts w:cs="Arial"/>
          <w:spacing w:val="-3"/>
          <w:szCs w:val="20"/>
          <w:lang w:val="es-CO"/>
        </w:rPr>
        <w:t xml:space="preserve"> en la página Web ANLA</w:t>
      </w:r>
      <w:r w:rsidRPr="005B697D">
        <w:rPr>
          <w:rFonts w:cs="Arial"/>
          <w:szCs w:val="20"/>
          <w:lang w:val="es-CO"/>
        </w:rPr>
        <w:t>.</w:t>
      </w:r>
    </w:p>
  </w:footnote>
  <w:footnote w:id="16">
    <w:p w14:paraId="5F876EFE" w14:textId="58318AF3"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ámbito de aplicación de esta política incluye a las entidades que conforman la Administración Pública, según lo establece el artículo 39 de la Ley 489 de 1998, así como a los particulares que cumplen funciones administrativas.</w:t>
      </w:r>
    </w:p>
  </w:footnote>
  <w:footnote w:id="17">
    <w:p w14:paraId="27BE3B1E" w14:textId="0800FA15"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F76FE4" w:rsidRPr="005B697D">
        <w:rPr>
          <w:rFonts w:cs="Arial"/>
          <w:szCs w:val="20"/>
          <w:lang w:val="es-CO"/>
        </w:rPr>
        <w:t>Si no es posible cargar la información al sistema VITAL (p. ej. cuando los archivos son de gran tamaño), se debe entregar a la autoridad ambiental un dispositivo físico de almacenamiento que contenga los archivos requeridos para el trámite, y solicitar el acompañamiento necesario para su radicación en VITAL a través de los canales de atención dispuestos por ésta.</w:t>
      </w:r>
    </w:p>
  </w:footnote>
  <w:footnote w:id="18">
    <w:p w14:paraId="10B61C7C" w14:textId="42C6EDE0"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ejercicio de evaluación de las autoridades ambientales sobre las opciones de tecnología y diseño </w:t>
      </w:r>
      <w:r w:rsidR="00890B79" w:rsidRPr="005B697D">
        <w:rPr>
          <w:rFonts w:cs="Arial"/>
          <w:szCs w:val="20"/>
          <w:lang w:val="es-CO"/>
        </w:rPr>
        <w:t xml:space="preserve">de </w:t>
      </w:r>
      <w:r w:rsidRPr="005B697D">
        <w:rPr>
          <w:rFonts w:cs="Arial"/>
          <w:szCs w:val="20"/>
          <w:lang w:val="es-CO"/>
        </w:rPr>
        <w:t>las alternativas propuestas se limita a la evaluación de sus consecuencias en el ambiente</w:t>
      </w:r>
      <w:r w:rsidR="00365A48" w:rsidRPr="005B697D">
        <w:rPr>
          <w:rFonts w:cs="Arial"/>
          <w:szCs w:val="20"/>
          <w:lang w:val="es-CO"/>
        </w:rPr>
        <w:t>;</w:t>
      </w:r>
      <w:r w:rsidRPr="005B697D">
        <w:rPr>
          <w:rFonts w:cs="Arial"/>
          <w:szCs w:val="20"/>
          <w:lang w:val="es-CO"/>
        </w:rPr>
        <w:t xml:space="preserve"> no tiene como alcance evaluar la tecnología y el diseño en sí.</w:t>
      </w:r>
    </w:p>
  </w:footnote>
  <w:footnote w:id="19">
    <w:p w14:paraId="356F82AF" w14:textId="70B1F5A9"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Es posible mejorar el desempeño ambiental de un proyecto, obra o actividad planteada en una ubicación o trazado </w:t>
      </w:r>
      <w:r w:rsidR="002F6408" w:rsidRPr="005B697D">
        <w:rPr>
          <w:rFonts w:cs="Arial"/>
          <w:szCs w:val="20"/>
          <w:lang w:val="es-CO"/>
        </w:rPr>
        <w:t>de</w:t>
      </w:r>
      <w:r w:rsidRPr="005B697D">
        <w:rPr>
          <w:rFonts w:cs="Arial"/>
          <w:szCs w:val="20"/>
          <w:lang w:val="es-CO"/>
        </w:rPr>
        <w:t>terminado, al contemplar o incorporar otro tipo de tecnologías, tener en cuenta otras opciones de diseño o prever la implementación de nuevas soluciones ingenieriles; integrar esta gama de posibilidades de forma temprana en los análisis y decisiones propi</w:t>
      </w:r>
      <w:r w:rsidR="00890B79" w:rsidRPr="005B697D">
        <w:rPr>
          <w:rFonts w:cs="Arial"/>
          <w:szCs w:val="20"/>
          <w:lang w:val="es-CO"/>
        </w:rPr>
        <w:t>a</w:t>
      </w:r>
      <w:r w:rsidRPr="005B697D">
        <w:rPr>
          <w:rFonts w:cs="Arial"/>
          <w:szCs w:val="20"/>
          <w:lang w:val="es-CO"/>
        </w:rPr>
        <w:t xml:space="preserve">s de un DAA, permite formular </w:t>
      </w:r>
      <w:r w:rsidR="00890B79" w:rsidRPr="005B697D">
        <w:rPr>
          <w:rFonts w:cs="Arial"/>
          <w:szCs w:val="20"/>
          <w:lang w:val="es-CO"/>
        </w:rPr>
        <w:t xml:space="preserve">mejores </w:t>
      </w:r>
      <w:r w:rsidRPr="005B697D">
        <w:rPr>
          <w:rFonts w:cs="Arial"/>
          <w:szCs w:val="20"/>
          <w:lang w:val="es-CO"/>
        </w:rPr>
        <w:t xml:space="preserve">alternativas </w:t>
      </w:r>
      <w:r w:rsidR="002F6408" w:rsidRPr="005B697D">
        <w:rPr>
          <w:rFonts w:cs="Arial"/>
          <w:szCs w:val="20"/>
          <w:lang w:val="es-CO"/>
        </w:rPr>
        <w:t xml:space="preserve">previniendo </w:t>
      </w:r>
      <w:r w:rsidRPr="005B697D">
        <w:rPr>
          <w:rFonts w:cs="Arial"/>
          <w:szCs w:val="20"/>
          <w:lang w:val="es-CO"/>
        </w:rPr>
        <w:t>y mitig</w:t>
      </w:r>
      <w:r w:rsidR="00890B79" w:rsidRPr="005B697D">
        <w:rPr>
          <w:rFonts w:cs="Arial"/>
          <w:szCs w:val="20"/>
          <w:lang w:val="es-CO"/>
        </w:rPr>
        <w:t>ando</w:t>
      </w:r>
      <w:r w:rsidRPr="005B697D">
        <w:rPr>
          <w:rFonts w:cs="Arial"/>
          <w:szCs w:val="20"/>
          <w:lang w:val="es-CO"/>
        </w:rPr>
        <w:t xml:space="preserve"> los impactos ambientales negativos.</w:t>
      </w:r>
    </w:p>
  </w:footnote>
  <w:footnote w:id="20">
    <w:p w14:paraId="005AEDB7" w14:textId="19D05159"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Tal calidad se determina mediante los atributos de calidad de la información señalados en el capítulo I en función del propósito del DAA, el cual es evaluar y comparar distintas alternativas.</w:t>
      </w:r>
    </w:p>
  </w:footnote>
  <w:footnote w:id="21">
    <w:p w14:paraId="438CE814" w14:textId="762A4216"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Las alternativas </w:t>
      </w:r>
      <w:r w:rsidRPr="005B697D">
        <w:rPr>
          <w:rFonts w:cs="Arial"/>
          <w:spacing w:val="-3"/>
          <w:szCs w:val="20"/>
          <w:lang w:val="es-CO"/>
        </w:rPr>
        <w:t>del proyecto, obra o actividad deben tener en cuenta los usos del suelo establecidos en los instrumentos de ordenamiento territorial (</w:t>
      </w:r>
      <w:r w:rsidR="0004573F" w:rsidRPr="005B697D">
        <w:rPr>
          <w:rFonts w:cs="Arial"/>
          <w:spacing w:val="-3"/>
          <w:szCs w:val="20"/>
          <w:lang w:val="es-CO"/>
        </w:rPr>
        <w:t>s</w:t>
      </w:r>
      <w:r w:rsidR="00E104EE" w:rsidRPr="005B697D">
        <w:rPr>
          <w:rFonts w:cs="Arial"/>
          <w:szCs w:val="20"/>
          <w:lang w:val="es-CO"/>
        </w:rPr>
        <w:t>in perjuicio de lo dispuesto en los Decretos 2201 de 2003 y 1077 de 2015, o en la norma que los modifique o sustituya, sobre los proyectos, obras o actividades considerados de utilidad pública e interés social por el legislador</w:t>
      </w:r>
      <w:r w:rsidRPr="005B697D">
        <w:rPr>
          <w:rFonts w:cs="Arial"/>
          <w:szCs w:val="20"/>
          <w:lang w:val="es-CO"/>
        </w:rPr>
        <w:t>)</w:t>
      </w:r>
      <w:r w:rsidR="00B3421B" w:rsidRPr="005B697D">
        <w:rPr>
          <w:rFonts w:cs="Arial"/>
          <w:szCs w:val="20"/>
          <w:lang w:val="es-CO"/>
        </w:rPr>
        <w:t xml:space="preserve"> y </w:t>
      </w:r>
      <w:r w:rsidR="00B3421B" w:rsidRPr="005B697D">
        <w:rPr>
          <w:rFonts w:cs="Arial"/>
          <w:spacing w:val="-3"/>
          <w:szCs w:val="20"/>
          <w:lang w:val="es-CO"/>
        </w:rPr>
        <w:t xml:space="preserve">las determinantes ambientales, considerando </w:t>
      </w:r>
      <w:r w:rsidR="00B3421B" w:rsidRPr="005B697D">
        <w:rPr>
          <w:rFonts w:cs="Arial"/>
          <w:szCs w:val="20"/>
          <w:lang w:val="es-CO"/>
        </w:rPr>
        <w:t>que el parágrafo 3 del artículo 10 de la Ley 388 de 1997 (modificado por el artículo 32 de la Ley 2294 de 2023) establece que “los fundamentos definidos por los pueblos y comunidades indígenas serán vinculantes para todos los actores públicos y privados en sus territorios y territorialidades"</w:t>
      </w:r>
      <w:r w:rsidRPr="005B697D">
        <w:rPr>
          <w:rFonts w:cs="Arial"/>
          <w:szCs w:val="20"/>
          <w:lang w:val="es-CO"/>
        </w:rPr>
        <w:t>.</w:t>
      </w:r>
    </w:p>
  </w:footnote>
  <w:footnote w:id="22">
    <w:p w14:paraId="4A92979C" w14:textId="65781B38"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el caso de contemplar el desarrollo de vías carreteras, es posible emplear como referencia para la formulación de las alternativas los documentos Lineamientos de </w:t>
      </w:r>
      <w:r w:rsidRPr="005B697D">
        <w:rPr>
          <w:rFonts w:cs="Arial"/>
          <w:spacing w:val="-3"/>
          <w:szCs w:val="20"/>
          <w:lang w:val="es-CO"/>
        </w:rPr>
        <w:t>Infraestructura Verde Vial para Colombia (Minambiente, FCDS &amp; WWF, 2020) y Pasos de fauna en infraestructura lineal: cartilla de referencia para la toma de decisiones (Correa, 2020), u otros de reconocida idoneidad técnica.</w:t>
      </w:r>
    </w:p>
  </w:footnote>
  <w:footnote w:id="23">
    <w:p w14:paraId="3766563F" w14:textId="715F2A47" w:rsidR="001D4E17" w:rsidRPr="005B697D" w:rsidRDefault="001D4E17"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0C6681" w:rsidRPr="005B697D">
        <w:rPr>
          <w:rFonts w:cs="Arial"/>
          <w:szCs w:val="20"/>
        </w:rPr>
        <w:t xml:space="preserve">Aquella </w:t>
      </w:r>
      <w:r w:rsidRPr="005B697D">
        <w:rPr>
          <w:rFonts w:cs="Arial"/>
          <w:szCs w:val="20"/>
        </w:rPr>
        <w:t>área que permite realizar modificaciones razonables de localización o trazado en fases posteriores de la formulación del proyecto y que considera márgenes operativos y necesidades previsibles de uso o aprovechamiento de recursos naturales; esta superficie permite comparar las alternativas suponiendo que cada una de ellas puede localizarse en cualquier lugar la superficie de ajuste técnico que le corresponde.</w:t>
      </w:r>
    </w:p>
  </w:footnote>
  <w:footnote w:id="24">
    <w:p w14:paraId="2C86BCCE" w14:textId="77777777" w:rsidR="00642E22" w:rsidRPr="005B697D" w:rsidRDefault="00642E2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Particularmente sus artículos 4, 5 y 23.1. (literal a). La interpretación de estos artículos en el contexto de la protección del ambiente y del cumplimiento de las obligaciones internacionales de Colombia asociadas a la protección de los derechos humanos, se basó en la Opinión consultiva 23 para Colombia de la Corte interamericana de derechos humanos (CIDH, 2017).</w:t>
      </w:r>
    </w:p>
  </w:footnote>
  <w:footnote w:id="25">
    <w:p w14:paraId="4805F923" w14:textId="77777777" w:rsidR="00642E22" w:rsidRPr="005B697D" w:rsidRDefault="00642E2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Adoptada y proclamada en 1982 por la Resolución 37/7 de la Asamblea General de las Naciones Unidas. Ver especialmente el numeral 23 “</w:t>
      </w:r>
      <w:r w:rsidRPr="005B697D">
        <w:rPr>
          <w:rFonts w:cs="Arial"/>
          <w:i/>
          <w:szCs w:val="20"/>
          <w:lang w:val="es-CO"/>
        </w:rPr>
        <w:t>Toda persona, de conformidad con la legislación nacional, tendrá la oportunidad de participar, individual o colectivamente, en el proceso de preparación de las decisiones que conciernan directamente a su medio ambiente y, cuando éste haya sido objeto de daño o deterioro, podrá ejercer los recursos necesarios para obtener una indemnización</w:t>
      </w:r>
      <w:r w:rsidRPr="005B697D">
        <w:rPr>
          <w:rFonts w:cs="Arial"/>
          <w:szCs w:val="20"/>
          <w:lang w:val="es-CO"/>
        </w:rPr>
        <w:t>”.</w:t>
      </w:r>
    </w:p>
  </w:footnote>
  <w:footnote w:id="26">
    <w:p w14:paraId="28338670" w14:textId="77777777" w:rsidR="00642E22" w:rsidRPr="005B697D" w:rsidRDefault="00642E2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Según el cual “</w:t>
      </w:r>
      <w:r w:rsidRPr="005B697D">
        <w:rPr>
          <w:rFonts w:cs="Arial"/>
          <w:i/>
          <w:szCs w:val="20"/>
          <w:lang w:val="es-CO"/>
        </w:rPr>
        <w:t>El mejor modo de tratar las cuestiones ambientales es con la participación de todos los ciudadanos interesados, en el nivel que corresponda. En el plano nacional, toda persona deberá tener acceso adecuado a la información sobre el medio ambiente de que dispongan las autoridades públicas, incluida la información sobre los materiales y las actividades que encierran peligro en sus comunidades, así como la oportunidad de participar en los procesos de adopción de decisiones. Los Estados deberán facilitar y fomentar la sensibilización y la participación de la población poniendo la información a disposición de todos. Deberá proporcionarse acceso efectivo a los procedimientos judiciales y administrativos, entre estos el resarcimiento de daños y los recursos pertinentes”</w:t>
      </w:r>
      <w:r w:rsidRPr="005B697D">
        <w:rPr>
          <w:rFonts w:cs="Arial"/>
          <w:szCs w:val="20"/>
          <w:lang w:val="es-CO"/>
        </w:rPr>
        <w:t>.</w:t>
      </w:r>
    </w:p>
  </w:footnote>
  <w:footnote w:id="27">
    <w:p w14:paraId="5BB93E8B" w14:textId="77777777" w:rsidR="00642E22" w:rsidRPr="005B697D" w:rsidRDefault="00642E2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Acuerdo conocido como Agenda 21, aprobado en la Conferencia de las Naciones Unidas sobre el Medio Ambiente y el Desarrollo que se reunió en Río de Janeiro en 1992, cuyo capítulo 23.2 señala que “</w:t>
      </w:r>
      <w:r w:rsidRPr="005B697D">
        <w:rPr>
          <w:rFonts w:cs="Arial"/>
          <w:i/>
          <w:szCs w:val="20"/>
          <w:lang w:val="es-CO"/>
        </w:rPr>
        <w:t>Uno de los requisitos fundamentales para alcanzar el desarrollo sostenible es la amplia participación de la opinión pública en la adopción de decisiones. Además, en el contexto más concreto del medio ambiente y el desarrollo, se ha hecho evidente la necesidad de emplear nuevas formas de participación. Se trata de la necesidad de que las personas, los grupos y las organizaciones participen en los procedimientos de evaluación del impacto ambiental, conozcan el mecanismo de adopción de decisiones y participen en él, sobre todo cuando exista la posibilidad de que esas decisiones afecten a las comunidades donde viven y trabajan. Toda persona, grupo u organización debería tener acceso a la información relativa al medio ambiente y el desarrollo con que contaran las autoridades nacionales, incluso a la información acerca de productos y actividades que tuvieran consecuencias importantes para el medio ambiente o hubiera probabilidades de que las tuvieran, así como a la información sobre las medidas de protección del medio ambiente</w:t>
      </w:r>
      <w:r w:rsidRPr="005B697D">
        <w:rPr>
          <w:rFonts w:cs="Arial"/>
          <w:szCs w:val="20"/>
          <w:lang w:val="es-CO"/>
        </w:rPr>
        <w:t>”.</w:t>
      </w:r>
    </w:p>
  </w:footnote>
  <w:footnote w:id="28">
    <w:p w14:paraId="6CA13BC0" w14:textId="77777777" w:rsidR="00642E22" w:rsidRPr="005B697D" w:rsidRDefault="00642E22"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Que en su artículo 74 establece el derecho de petición en materia ambiental.</w:t>
      </w:r>
    </w:p>
  </w:footnote>
  <w:footnote w:id="29">
    <w:p w14:paraId="007E2C1D" w14:textId="77777777" w:rsidR="00642E22" w:rsidRPr="005B697D" w:rsidRDefault="00642E2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Que expide el Código de Procedimiento Administrativo y de lo Contencioso Administrativo y que en su artículo 3 establece que las actuaciones administrativas deben desarrollarse mediante los principios de debido proceso, igualdad, imparcialidad, buena fe, moralidad, participación, responsabilidad, transparencia, publicidad, coordinación, eficacia, economía y celeridad.</w:t>
      </w:r>
    </w:p>
  </w:footnote>
  <w:footnote w:id="30">
    <w:p w14:paraId="036F15A7" w14:textId="77777777" w:rsidR="00642E22" w:rsidRPr="005B697D" w:rsidRDefault="00642E22"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Que regula el derecho fundamental de acceso a la información pública.</w:t>
      </w:r>
    </w:p>
  </w:footnote>
  <w:footnote w:id="31">
    <w:p w14:paraId="579E5539" w14:textId="77777777" w:rsidR="00642E22" w:rsidRPr="005B697D" w:rsidRDefault="00642E22"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Que regula el derecho fundamental de petición.</w:t>
      </w:r>
    </w:p>
  </w:footnote>
  <w:footnote w:id="32">
    <w:p w14:paraId="2E8D68AA" w14:textId="2A6F0019" w:rsidR="00051744" w:rsidRPr="005B697D" w:rsidRDefault="00051744" w:rsidP="005B697D">
      <w:pPr>
        <w:rPr>
          <w:rFonts w:cs="Arial"/>
          <w:sz w:val="20"/>
          <w:szCs w:val="20"/>
        </w:rPr>
      </w:pPr>
      <w:r w:rsidRPr="005B697D">
        <w:rPr>
          <w:rFonts w:eastAsia="Arial" w:cs="Arial"/>
          <w:sz w:val="20"/>
          <w:szCs w:val="20"/>
          <w:vertAlign w:val="superscript"/>
        </w:rPr>
        <w:footnoteRef/>
      </w:r>
      <w:r w:rsidRPr="005B697D">
        <w:rPr>
          <w:rFonts w:eastAsia="Arial" w:cs="Arial"/>
          <w:sz w:val="20"/>
          <w:szCs w:val="20"/>
        </w:rPr>
        <w:t xml:space="preserve"> Por medio de la cual se aprueba el </w:t>
      </w:r>
      <w:r w:rsidR="000A2463" w:rsidRPr="005B697D">
        <w:rPr>
          <w:rFonts w:eastAsia="Arial" w:cs="Arial"/>
          <w:sz w:val="20"/>
          <w:szCs w:val="20"/>
        </w:rPr>
        <w:t>Ac</w:t>
      </w:r>
      <w:r w:rsidRPr="005B697D">
        <w:rPr>
          <w:rFonts w:eastAsia="Arial" w:cs="Arial"/>
          <w:sz w:val="20"/>
          <w:szCs w:val="20"/>
        </w:rPr>
        <w:t>uerdo regional sobre el acceso a la información, la participación pública y el acceso a la justicia en asuntos ambientales en américa latina y el caribe; Acuerdo de Escazú.</w:t>
      </w:r>
    </w:p>
  </w:footnote>
  <w:footnote w:id="33">
    <w:p w14:paraId="38B1DB7B" w14:textId="77777777" w:rsidR="00FB6284" w:rsidRPr="005B697D" w:rsidRDefault="00FB6284" w:rsidP="005B697D">
      <w:pPr>
        <w:pStyle w:val="Textonotapie"/>
        <w:rPr>
          <w:rFonts w:cs="Arial"/>
          <w:szCs w:val="20"/>
          <w:lang w:val="es-ES"/>
        </w:rPr>
      </w:pPr>
      <w:r w:rsidRPr="005B697D">
        <w:rPr>
          <w:rStyle w:val="Refdenotaalpie"/>
          <w:rFonts w:cs="Arial"/>
          <w:sz w:val="20"/>
          <w:szCs w:val="20"/>
        </w:rPr>
        <w:footnoteRef/>
      </w:r>
      <w:r w:rsidRPr="005B697D">
        <w:rPr>
          <w:rFonts w:cs="Arial"/>
          <w:szCs w:val="20"/>
        </w:rPr>
        <w:t xml:space="preserve"> </w:t>
      </w:r>
      <w:r w:rsidRPr="005B697D">
        <w:rPr>
          <w:rFonts w:cs="Arial"/>
          <w:szCs w:val="20"/>
          <w:lang w:val="es-CO"/>
        </w:rPr>
        <w:t>se expidió con fundamento en los artículos 56 transitorio y 330 de la Constitución Política, así como en la Ley 21 de 1991 (Convenio 169 de la OIT), con el fin de reconocer el mandato de la Autoridad Territorial Económica y Ambiental (ATEA) de los pueblos indígenas de los territorios que conforman el Consejo Regional Indígena del Cauca (CRIC, establecer sus competencias y fortalecer los mecanismos de coordinación y autonomía territorial, económica y ambiental de las autoridades indígenas.</w:t>
      </w:r>
    </w:p>
  </w:footnote>
  <w:footnote w:id="34">
    <w:p w14:paraId="2484315F" w14:textId="2F148C12" w:rsidR="00260587" w:rsidRPr="005B697D" w:rsidRDefault="00260587"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420FDF" w:rsidRPr="005B697D">
        <w:rPr>
          <w:rFonts w:cs="Arial"/>
          <w:szCs w:val="20"/>
        </w:rPr>
        <w:t>Se</w:t>
      </w:r>
      <w:r w:rsidRPr="005B697D">
        <w:rPr>
          <w:rFonts w:cs="Arial"/>
          <w:szCs w:val="20"/>
          <w:lang w:val="es-CO"/>
        </w:rPr>
        <w:t xml:space="preserve"> expidió con fundamento en el artículo 56 transitorio y el artículo 330 de la Constitución Política, así como en el artículo 4 de la Ley 21 de 1991 (Convenio 169 de la OIT), con el propósito de reglamentar el funcionamiento de los territorios indígenas en materia ambiental, reconocer las competencias ambientales de las autoridades indígenas y fortalecer la coordinación con las demás autoridades del Sistema Nacional Ambiental.</w:t>
      </w:r>
    </w:p>
  </w:footnote>
  <w:footnote w:id="35">
    <w:p w14:paraId="703861D3" w14:textId="77777777" w:rsidR="00642E22" w:rsidRPr="005B697D" w:rsidRDefault="00642E22" w:rsidP="005B697D">
      <w:pPr>
        <w:pStyle w:val="Textonotapie"/>
        <w:rPr>
          <w:rFonts w:cs="Arial"/>
          <w:szCs w:val="20"/>
          <w:lang w:val="fr-FR"/>
        </w:rPr>
      </w:pPr>
      <w:r w:rsidRPr="005B697D">
        <w:rPr>
          <w:rStyle w:val="Refdenotaalpie"/>
          <w:rFonts w:cs="Arial"/>
          <w:sz w:val="20"/>
          <w:szCs w:val="20"/>
          <w:lang w:val="es-CO"/>
        </w:rPr>
        <w:footnoteRef/>
      </w:r>
      <w:r w:rsidRPr="005B697D">
        <w:rPr>
          <w:rFonts w:cs="Arial"/>
          <w:szCs w:val="20"/>
          <w:lang w:val="fr-FR"/>
        </w:rPr>
        <w:t xml:space="preserve"> Sentencias T-348 de 2012, T-294 de 2014, T-704 de 2016 y SU-217 de 2017.</w:t>
      </w:r>
    </w:p>
  </w:footnote>
  <w:footnote w:id="36">
    <w:p w14:paraId="5BAF0889" w14:textId="0A8C6684" w:rsidR="003D3C69" w:rsidRPr="005B697D" w:rsidRDefault="003D3C69"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Hace referencia a las personas que tienen mayor dificultad para informarse y participar de manera efectiva por diversas situaciones, entre ellas, limitaciones tecnológicas, auditivas, por tener una lengua diferente al castellano o vivir en espacios territoriales de difícil acceso.</w:t>
      </w:r>
    </w:p>
  </w:footnote>
  <w:footnote w:id="37">
    <w:p w14:paraId="1B92C17D" w14:textId="77777777" w:rsidR="006E6308" w:rsidRPr="005B697D" w:rsidRDefault="006E6308"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No obstante, debe restringirse el acceso a datos personales sensibles cuya publicación pueda poner en riesgo la vida, integridad u otros derechos de terceros.</w:t>
      </w:r>
    </w:p>
  </w:footnote>
  <w:footnote w:id="38">
    <w:p w14:paraId="374977F5" w14:textId="77777777" w:rsidR="00642E22" w:rsidRPr="005B697D" w:rsidRDefault="00642E2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Entre ellas, las históricas, demográficas, educativas, de vulnerabilidad, de conflictividad socioambiental, de liderazgo social y ambiental y de limitación a la participación por amenazas a la vida (señaladas en el numeral 4.3 de este capítulo).</w:t>
      </w:r>
    </w:p>
  </w:footnote>
  <w:footnote w:id="39">
    <w:p w14:paraId="39259DF9" w14:textId="77777777" w:rsidR="00A64C76" w:rsidRPr="005B697D" w:rsidRDefault="00A64C7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caso de que Minambiente establezca o adopte con posterioridad a este documento, una guía de relacionamiento con autoridades étnicas para la elaboración de DAA, ésta deberá ser utilizada para la elaboración del estudio ambiental.</w:t>
      </w:r>
    </w:p>
  </w:footnote>
  <w:footnote w:id="40">
    <w:p w14:paraId="78DE48F2" w14:textId="12BCC316" w:rsidR="00351BA6" w:rsidRPr="005B697D" w:rsidRDefault="00351BA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356640" w:rsidRPr="005B697D">
        <w:rPr>
          <w:rFonts w:cs="Arial"/>
          <w:szCs w:val="20"/>
          <w:lang w:val="es-CO"/>
        </w:rPr>
        <w:t xml:space="preserve">Se </w:t>
      </w:r>
      <w:r w:rsidRPr="005B697D">
        <w:rPr>
          <w:rFonts w:cs="Arial"/>
          <w:szCs w:val="20"/>
          <w:lang w:val="es-CO"/>
        </w:rPr>
        <w:t>debe</w:t>
      </w:r>
      <w:r w:rsidR="00356640" w:rsidRPr="005B697D">
        <w:rPr>
          <w:rFonts w:cs="Arial"/>
          <w:szCs w:val="20"/>
          <w:lang w:val="es-CO"/>
        </w:rPr>
        <w:t>n</w:t>
      </w:r>
      <w:r w:rsidRPr="005B697D">
        <w:rPr>
          <w:rFonts w:cs="Arial"/>
          <w:szCs w:val="20"/>
          <w:lang w:val="es-CO"/>
        </w:rPr>
        <w:t xml:space="preserve"> considerar los mecanismos que sean establecidos para el desarrollo de las competencias </w:t>
      </w:r>
      <w:r w:rsidR="00530420" w:rsidRPr="005B697D">
        <w:rPr>
          <w:rFonts w:cs="Arial"/>
          <w:szCs w:val="20"/>
          <w:lang w:val="es-CO"/>
        </w:rPr>
        <w:t>ambientales de las autoridades indígenas</w:t>
      </w:r>
      <w:r w:rsidRPr="005B697D">
        <w:rPr>
          <w:rFonts w:cs="Arial"/>
          <w:szCs w:val="20"/>
          <w:lang w:val="es-CO"/>
        </w:rPr>
        <w:t>, de acuerdo con el Decreto 1275 de 2024.</w:t>
      </w:r>
    </w:p>
  </w:footnote>
  <w:footnote w:id="41">
    <w:p w14:paraId="346D1BAB" w14:textId="61A38C5B" w:rsidR="009E2E7D" w:rsidRPr="005B697D" w:rsidRDefault="009E2E7D"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eastAsia="Arial" w:cs="Arial"/>
          <w:szCs w:val="20"/>
          <w:lang w:val="es-CO"/>
        </w:rPr>
        <w:t xml:space="preserve">Especialmente, </w:t>
      </w:r>
      <w:r w:rsidR="00BB685F" w:rsidRPr="005B697D">
        <w:rPr>
          <w:rFonts w:cs="Arial"/>
          <w:spacing w:val="-3"/>
          <w:szCs w:val="20"/>
          <w:lang w:val="es-CO"/>
        </w:rPr>
        <w:t>la Alerta Temprana 0</w:t>
      </w:r>
      <w:r w:rsidR="00DA6F7D" w:rsidRPr="005B697D">
        <w:rPr>
          <w:rFonts w:cs="Arial"/>
          <w:spacing w:val="-3"/>
          <w:szCs w:val="20"/>
          <w:lang w:val="es-CO"/>
        </w:rPr>
        <w:t>19</w:t>
      </w:r>
      <w:r w:rsidR="00BB685F" w:rsidRPr="005B697D">
        <w:rPr>
          <w:rFonts w:cs="Arial"/>
          <w:spacing w:val="-3"/>
          <w:szCs w:val="20"/>
          <w:lang w:val="es-CO"/>
        </w:rPr>
        <w:t xml:space="preserve"> de 20</w:t>
      </w:r>
      <w:r w:rsidR="00DA6F7D" w:rsidRPr="005B697D">
        <w:rPr>
          <w:rFonts w:cs="Arial"/>
          <w:spacing w:val="-3"/>
          <w:szCs w:val="20"/>
          <w:lang w:val="es-CO"/>
        </w:rPr>
        <w:t>23</w:t>
      </w:r>
      <w:r w:rsidR="00BB685F" w:rsidRPr="005B697D">
        <w:rPr>
          <w:rFonts w:cs="Arial"/>
          <w:spacing w:val="-3"/>
          <w:szCs w:val="20"/>
          <w:lang w:val="es-CO"/>
        </w:rPr>
        <w:t xml:space="preserve"> y las que la actualicen</w:t>
      </w:r>
    </w:p>
  </w:footnote>
  <w:footnote w:id="42">
    <w:p w14:paraId="47222A21" w14:textId="284B3041" w:rsidR="003E6FF4" w:rsidRPr="005B697D" w:rsidRDefault="003E6FF4"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C073DB" w:rsidRPr="005B697D">
        <w:rPr>
          <w:rFonts w:cs="Arial"/>
          <w:szCs w:val="20"/>
        </w:rPr>
        <w:t>La t</w:t>
      </w:r>
      <w:r w:rsidR="00D34816" w:rsidRPr="005B697D">
        <w:rPr>
          <w:rFonts w:cs="Arial"/>
          <w:szCs w:val="20"/>
        </w:rPr>
        <w:t>ransparencia y publicidad reforzada</w:t>
      </w:r>
      <w:r w:rsidR="00C073DB" w:rsidRPr="005B697D">
        <w:rPr>
          <w:rFonts w:cs="Arial"/>
          <w:szCs w:val="20"/>
        </w:rPr>
        <w:t xml:space="preserve"> hace referencia a</w:t>
      </w:r>
      <w:r w:rsidR="00735ADE" w:rsidRPr="005B697D">
        <w:rPr>
          <w:rFonts w:cs="Arial"/>
          <w:szCs w:val="20"/>
        </w:rPr>
        <w:t xml:space="preserve">l proceso de </w:t>
      </w:r>
      <w:r w:rsidR="00D34816" w:rsidRPr="005B697D">
        <w:rPr>
          <w:rFonts w:cs="Arial"/>
          <w:szCs w:val="20"/>
        </w:rPr>
        <w:t xml:space="preserve">publicación por parte de los solicitantes o titulares de licencias ambientales de toda </w:t>
      </w:r>
      <w:r w:rsidR="00FD2ACF" w:rsidRPr="005B697D">
        <w:rPr>
          <w:rFonts w:cs="Arial"/>
          <w:szCs w:val="20"/>
        </w:rPr>
        <w:t xml:space="preserve">la </w:t>
      </w:r>
      <w:r w:rsidR="00D34816" w:rsidRPr="005B697D">
        <w:rPr>
          <w:rFonts w:cs="Arial"/>
          <w:szCs w:val="20"/>
        </w:rPr>
        <w:t xml:space="preserve">información ambiental, incluyendo </w:t>
      </w:r>
      <w:r w:rsidR="00091826" w:rsidRPr="005B697D">
        <w:rPr>
          <w:rFonts w:cs="Arial"/>
          <w:szCs w:val="20"/>
        </w:rPr>
        <w:t xml:space="preserve">datos completos y verificables </w:t>
      </w:r>
      <w:r w:rsidR="008E5C53" w:rsidRPr="005B697D">
        <w:rPr>
          <w:rFonts w:cs="Arial"/>
          <w:szCs w:val="20"/>
        </w:rPr>
        <w:t xml:space="preserve">de </w:t>
      </w:r>
      <w:r w:rsidR="00D34816" w:rsidRPr="005B697D">
        <w:rPr>
          <w:rFonts w:cs="Arial"/>
          <w:szCs w:val="20"/>
        </w:rPr>
        <w:t xml:space="preserve">los estudios ambientales y los instrumentos </w:t>
      </w:r>
      <w:r w:rsidR="0007125D" w:rsidRPr="005B697D">
        <w:rPr>
          <w:rFonts w:cs="Arial"/>
          <w:szCs w:val="20"/>
        </w:rPr>
        <w:t xml:space="preserve">de </w:t>
      </w:r>
      <w:r w:rsidR="00D34816" w:rsidRPr="005B697D">
        <w:rPr>
          <w:rFonts w:cs="Arial"/>
          <w:szCs w:val="20"/>
        </w:rPr>
        <w:t>seguimiento y control</w:t>
      </w:r>
      <w:r w:rsidR="00C24160" w:rsidRPr="005B697D">
        <w:rPr>
          <w:rFonts w:cs="Arial"/>
          <w:szCs w:val="20"/>
        </w:rPr>
        <w:t xml:space="preserve">; </w:t>
      </w:r>
      <w:r w:rsidR="00EB527C" w:rsidRPr="005B697D">
        <w:rPr>
          <w:rFonts w:cs="Arial"/>
          <w:szCs w:val="20"/>
        </w:rPr>
        <w:t xml:space="preserve">la publicación </w:t>
      </w:r>
      <w:r w:rsidR="00C24160" w:rsidRPr="005B697D">
        <w:rPr>
          <w:rFonts w:cs="Arial"/>
          <w:szCs w:val="20"/>
        </w:rPr>
        <w:t xml:space="preserve">se realiza de </w:t>
      </w:r>
      <w:r w:rsidR="00D34816" w:rsidRPr="005B697D">
        <w:rPr>
          <w:rFonts w:cs="Arial"/>
          <w:szCs w:val="20"/>
        </w:rPr>
        <w:t xml:space="preserve">manera </w:t>
      </w:r>
      <w:r w:rsidR="00285E72" w:rsidRPr="005B697D">
        <w:rPr>
          <w:rFonts w:cs="Arial"/>
          <w:szCs w:val="20"/>
        </w:rPr>
        <w:t xml:space="preserve">proactiva, </w:t>
      </w:r>
      <w:r w:rsidR="00D34816" w:rsidRPr="005B697D">
        <w:rPr>
          <w:rFonts w:cs="Arial"/>
          <w:szCs w:val="20"/>
        </w:rPr>
        <w:t>oportuna durante el proceso de toma de decisiones ambientales, en formatos accesibles</w:t>
      </w:r>
      <w:r w:rsidR="00DA68C1" w:rsidRPr="005B697D">
        <w:rPr>
          <w:rFonts w:cs="Arial"/>
          <w:szCs w:val="20"/>
        </w:rPr>
        <w:t>,</w:t>
      </w:r>
      <w:r w:rsidR="00D34816" w:rsidRPr="005B697D">
        <w:rPr>
          <w:rFonts w:cs="Arial"/>
          <w:szCs w:val="20"/>
        </w:rPr>
        <w:t xml:space="preserve"> en lenguaje claro </w:t>
      </w:r>
      <w:r w:rsidR="00EA67BC" w:rsidRPr="005B697D">
        <w:rPr>
          <w:rFonts w:cs="Arial"/>
          <w:szCs w:val="20"/>
        </w:rPr>
        <w:t xml:space="preserve">y </w:t>
      </w:r>
      <w:r w:rsidR="00D34816" w:rsidRPr="005B697D">
        <w:rPr>
          <w:rFonts w:cs="Arial"/>
          <w:szCs w:val="20"/>
        </w:rPr>
        <w:t xml:space="preserve">adecuado a las necesidades de los grupos de especial protección constitucional y a través de medios idóneos de acuerdo con las condiciones de conectividad y prácticas de comunicación de los </w:t>
      </w:r>
      <w:r w:rsidR="004252B3" w:rsidRPr="005B697D">
        <w:rPr>
          <w:rFonts w:cs="Arial"/>
          <w:szCs w:val="20"/>
        </w:rPr>
        <w:t>grupos de interés</w:t>
      </w:r>
      <w:r w:rsidR="00D34816" w:rsidRPr="005B697D">
        <w:rPr>
          <w:rFonts w:cs="Arial"/>
          <w:szCs w:val="20"/>
        </w:rPr>
        <w:t>.</w:t>
      </w:r>
    </w:p>
  </w:footnote>
  <w:footnote w:id="43">
    <w:p w14:paraId="47E358A8" w14:textId="547A93C8" w:rsidR="0088739E" w:rsidRPr="005B697D" w:rsidRDefault="0088739E" w:rsidP="005B697D">
      <w:pPr>
        <w:rPr>
          <w:rFonts w:eastAsia="Arial" w:cs="Arial"/>
          <w:sz w:val="20"/>
          <w:szCs w:val="20"/>
        </w:rPr>
      </w:pPr>
      <w:r w:rsidRPr="005B697D">
        <w:rPr>
          <w:rFonts w:eastAsia="Arial" w:cs="Arial"/>
          <w:sz w:val="20"/>
          <w:szCs w:val="20"/>
          <w:vertAlign w:val="superscript"/>
        </w:rPr>
        <w:footnoteRef/>
      </w:r>
      <w:r w:rsidRPr="005B697D">
        <w:rPr>
          <w:rFonts w:eastAsia="Arial" w:cs="Arial"/>
          <w:sz w:val="20"/>
          <w:szCs w:val="20"/>
        </w:rPr>
        <w:t xml:space="preserve"> Al igual que las demás fases del proceso participativo, la etapa de planeación debe estar debidamente respaldada con soportes que evidencien su ejecución</w:t>
      </w:r>
      <w:r w:rsidR="00B2465C" w:rsidRPr="005B697D">
        <w:rPr>
          <w:rFonts w:eastAsia="Arial" w:cs="Arial"/>
          <w:sz w:val="20"/>
          <w:szCs w:val="20"/>
        </w:rPr>
        <w:t>.</w:t>
      </w:r>
    </w:p>
  </w:footnote>
  <w:footnote w:id="44">
    <w:p w14:paraId="188BCB65" w14:textId="77777777" w:rsidR="00642E22" w:rsidRPr="005B697D" w:rsidRDefault="00642E2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Durante la convocatoria a los procesos de participación pueden proponerse fechas preliminares, no obstante, es necesario que las comunidades tengan pleno conocimiento de las fechas definitivas de forma oportuna.</w:t>
      </w:r>
    </w:p>
  </w:footnote>
  <w:footnote w:id="45">
    <w:p w14:paraId="594010E7" w14:textId="77777777" w:rsidR="000A73C4" w:rsidRPr="005B697D" w:rsidRDefault="000A73C4"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De acuerdo con lo establecido en el Artículo 32 de la Ley 1755 de 2015. Derecho de petición ante organizaciones privadas para garantizar los derechos fundamentales.</w:t>
      </w:r>
    </w:p>
  </w:footnote>
  <w:footnote w:id="46">
    <w:p w14:paraId="1AE4E515" w14:textId="64827C00" w:rsidR="00F443DB" w:rsidRPr="005B697D" w:rsidRDefault="00F443DB"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estado y tendencia de los elementos del ambiente </w:t>
      </w:r>
      <w:r w:rsidR="00E12C0B" w:rsidRPr="005B697D">
        <w:rPr>
          <w:rFonts w:cs="Arial"/>
          <w:szCs w:val="20"/>
          <w:lang w:val="es-CO"/>
        </w:rPr>
        <w:t>con los cuales se asocian los aportes</w:t>
      </w:r>
      <w:r w:rsidR="00E85668" w:rsidRPr="005B697D">
        <w:rPr>
          <w:rFonts w:cs="Arial"/>
          <w:szCs w:val="20"/>
          <w:lang w:val="es-CO"/>
        </w:rPr>
        <w:t>,</w:t>
      </w:r>
      <w:r w:rsidR="00E12C0B" w:rsidRPr="005B697D">
        <w:rPr>
          <w:rFonts w:cs="Arial"/>
          <w:szCs w:val="20"/>
          <w:lang w:val="es-CO"/>
        </w:rPr>
        <w:t xml:space="preserve"> </w:t>
      </w:r>
      <w:r w:rsidRPr="005B697D">
        <w:rPr>
          <w:rFonts w:cs="Arial"/>
          <w:szCs w:val="20"/>
          <w:lang w:val="es-CO"/>
        </w:rPr>
        <w:t>debe</w:t>
      </w:r>
      <w:r w:rsidR="00E85668" w:rsidRPr="005B697D">
        <w:rPr>
          <w:rFonts w:cs="Arial"/>
          <w:szCs w:val="20"/>
          <w:lang w:val="es-CO"/>
        </w:rPr>
        <w:t>n</w:t>
      </w:r>
      <w:r w:rsidRPr="005B697D">
        <w:rPr>
          <w:rFonts w:cs="Arial"/>
          <w:szCs w:val="20"/>
          <w:lang w:val="es-CO"/>
        </w:rPr>
        <w:t xml:space="preserve"> haber sido referenciados en otras fuentes secundarias y primarias de información</w:t>
      </w:r>
      <w:r w:rsidR="00E85668" w:rsidRPr="005B697D">
        <w:rPr>
          <w:rFonts w:cs="Arial"/>
          <w:szCs w:val="20"/>
          <w:lang w:val="es-CO"/>
        </w:rPr>
        <w:t>.</w:t>
      </w:r>
    </w:p>
  </w:footnote>
  <w:footnote w:id="47">
    <w:p w14:paraId="774BB33D" w14:textId="662438CA" w:rsidR="00D55F13" w:rsidRPr="005B697D" w:rsidRDefault="00D55F13" w:rsidP="005B697D">
      <w:pPr>
        <w:overflowPunct/>
        <w:autoSpaceDE/>
        <w:autoSpaceDN/>
        <w:adjustRightInd/>
        <w:textAlignment w:val="auto"/>
        <w:rPr>
          <w:rFonts w:cs="Arial"/>
          <w:sz w:val="20"/>
          <w:szCs w:val="20"/>
          <w:lang w:eastAsia="es-ES_tradnl"/>
        </w:rPr>
      </w:pPr>
      <w:r w:rsidRPr="005B697D">
        <w:rPr>
          <w:rStyle w:val="Refdenotaalpie"/>
          <w:rFonts w:cs="Arial"/>
          <w:sz w:val="20"/>
          <w:szCs w:val="20"/>
          <w:lang w:val="es-CO"/>
        </w:rPr>
        <w:footnoteRef/>
      </w:r>
      <w:r w:rsidRPr="005B697D">
        <w:rPr>
          <w:rFonts w:cs="Arial"/>
          <w:sz w:val="20"/>
          <w:szCs w:val="20"/>
        </w:rPr>
        <w:t xml:space="preserve"> https://www.icde.org.co/</w:t>
      </w:r>
    </w:p>
  </w:footnote>
  <w:footnote w:id="48">
    <w:p w14:paraId="23DE942D" w14:textId="69D0D8E2" w:rsidR="00D55F13" w:rsidRPr="005B697D" w:rsidRDefault="00D55F13" w:rsidP="005B697D">
      <w:pPr>
        <w:overflowPunct/>
        <w:autoSpaceDE/>
        <w:autoSpaceDN/>
        <w:adjustRightInd/>
        <w:textAlignment w:val="auto"/>
        <w:rPr>
          <w:rFonts w:cs="Arial"/>
          <w:sz w:val="20"/>
          <w:szCs w:val="20"/>
          <w:lang w:eastAsia="es-ES_tradnl"/>
        </w:rPr>
      </w:pPr>
      <w:r w:rsidRPr="005B697D">
        <w:rPr>
          <w:rStyle w:val="Refdenotaalpie"/>
          <w:rFonts w:cs="Arial"/>
          <w:sz w:val="20"/>
          <w:szCs w:val="20"/>
          <w:lang w:val="es-CO"/>
        </w:rPr>
        <w:footnoteRef/>
      </w:r>
      <w:r w:rsidRPr="005B697D">
        <w:rPr>
          <w:rFonts w:cs="Arial"/>
          <w:sz w:val="20"/>
          <w:szCs w:val="20"/>
        </w:rPr>
        <w:t xml:space="preserve"> https://www.igac.gov.co/es/ide/estrategia-y-gobierno-geoespacial/estandares/agrologia</w:t>
      </w:r>
    </w:p>
  </w:footnote>
  <w:footnote w:id="49">
    <w:p w14:paraId="38498BD7" w14:textId="4FFB1E06" w:rsidR="00860CF9" w:rsidRPr="005B697D" w:rsidRDefault="00860CF9"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Se debe recordar que estos instrumentos incorporan las determinantes de </w:t>
      </w:r>
      <w:r w:rsidR="00967E00" w:rsidRPr="005B697D">
        <w:rPr>
          <w:rFonts w:cs="Arial"/>
          <w:szCs w:val="20"/>
        </w:rPr>
        <w:t>ordenamiento territorial, entre ellas</w:t>
      </w:r>
      <w:r w:rsidR="00BA49A2" w:rsidRPr="005B697D">
        <w:rPr>
          <w:rFonts w:cs="Arial"/>
          <w:szCs w:val="20"/>
        </w:rPr>
        <w:t>,</w:t>
      </w:r>
      <w:r w:rsidR="00967E00" w:rsidRPr="005B697D">
        <w:rPr>
          <w:rFonts w:cs="Arial"/>
          <w:szCs w:val="20"/>
        </w:rPr>
        <w:t xml:space="preserve"> las asociadas </w:t>
      </w:r>
      <w:r w:rsidR="00BA49A2" w:rsidRPr="005B697D">
        <w:rPr>
          <w:rFonts w:cs="Arial"/>
          <w:szCs w:val="20"/>
        </w:rPr>
        <w:t>con la conservación, la protección del ambiente y los ecosistemas</w:t>
      </w:r>
      <w:r w:rsidR="00A750A0" w:rsidRPr="005B697D">
        <w:rPr>
          <w:rFonts w:cs="Arial"/>
          <w:szCs w:val="20"/>
        </w:rPr>
        <w:t xml:space="preserve"> y las </w:t>
      </w:r>
      <w:r w:rsidR="00F6128C" w:rsidRPr="005B697D">
        <w:rPr>
          <w:rFonts w:cs="Arial"/>
          <w:szCs w:val="20"/>
        </w:rPr>
        <w:t xml:space="preserve">de </w:t>
      </w:r>
      <w:r w:rsidR="00A750A0" w:rsidRPr="005B697D">
        <w:rPr>
          <w:rFonts w:cs="Arial"/>
          <w:szCs w:val="20"/>
        </w:rPr>
        <w:t>interés para proteger el derecho humano a la alimentación de los habitantes del territorio nacional localizadas dentro de la frontera agrícola</w:t>
      </w:r>
      <w:r w:rsidR="007B37EC" w:rsidRPr="005B697D">
        <w:rPr>
          <w:rFonts w:cs="Arial"/>
          <w:szCs w:val="20"/>
        </w:rPr>
        <w:t xml:space="preserve"> (p. ej. APPA)</w:t>
      </w:r>
      <w:r w:rsidR="00F6128C" w:rsidRPr="005B697D">
        <w:rPr>
          <w:rFonts w:cs="Arial"/>
          <w:szCs w:val="20"/>
        </w:rPr>
        <w:t>.</w:t>
      </w:r>
    </w:p>
  </w:footnote>
  <w:footnote w:id="50">
    <w:p w14:paraId="1CB4EC76" w14:textId="339129C0" w:rsidR="00D55F13" w:rsidRPr="005B697D" w:rsidRDefault="00D55F13"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w:t>
      </w:r>
      <w:r w:rsidR="00F93337" w:rsidRPr="005B697D">
        <w:rPr>
          <w:rFonts w:cs="Arial"/>
          <w:sz w:val="20"/>
          <w:szCs w:val="20"/>
        </w:rPr>
        <w:t>Este mapa debe ser suministrado por las entidades o personas encargadas de administrar las áreas protegidas o por las autoridades ambientales con jurisdicción en los ecosistemas estratégicos. En caso de que no exista o de no obtener respuesta de tales entidades o personas, esta situación debe ser señalada y documentada en el estudio ambiental.</w:t>
      </w:r>
    </w:p>
  </w:footnote>
  <w:footnote w:id="51">
    <w:p w14:paraId="18D648E3" w14:textId="05912FA6" w:rsidR="00D55F13" w:rsidRPr="005B697D" w:rsidRDefault="00D55F13" w:rsidP="005B697D">
      <w:pPr>
        <w:overflowPunct/>
        <w:autoSpaceDE/>
        <w:autoSpaceDN/>
        <w:adjustRightInd/>
        <w:textAlignment w:val="auto"/>
        <w:rPr>
          <w:rFonts w:cs="Arial"/>
          <w:sz w:val="20"/>
          <w:szCs w:val="20"/>
          <w:lang w:eastAsia="es-ES_tradnl"/>
        </w:rPr>
      </w:pPr>
      <w:r w:rsidRPr="005B697D">
        <w:rPr>
          <w:rStyle w:val="Refdenotaalpie"/>
          <w:rFonts w:cs="Arial"/>
          <w:sz w:val="20"/>
          <w:szCs w:val="20"/>
          <w:lang w:val="es-CO"/>
        </w:rPr>
        <w:footnoteRef/>
      </w:r>
      <w:r w:rsidRPr="005B697D">
        <w:rPr>
          <w:rFonts w:cs="Arial"/>
          <w:sz w:val="20"/>
          <w:szCs w:val="20"/>
        </w:rPr>
        <w:t xml:space="preserve"> </w:t>
      </w:r>
      <w:r w:rsidRPr="005B697D">
        <w:rPr>
          <w:rFonts w:cs="Arial"/>
          <w:color w:val="000000"/>
          <w:sz w:val="20"/>
          <w:szCs w:val="20"/>
          <w:lang w:eastAsia="es-CO"/>
        </w:rPr>
        <w:t xml:space="preserve">La cual puede ser descargada libremente, junto con sus metadatos, del Sistema de Información Ambiental de Colombia (SIAC) en: </w:t>
      </w:r>
      <w:r w:rsidRPr="005B697D">
        <w:rPr>
          <w:rFonts w:cs="Arial"/>
          <w:sz w:val="20"/>
          <w:szCs w:val="20"/>
        </w:rPr>
        <w:t>http://www.siac.gov.co/catalogo-de-mapas.</w:t>
      </w:r>
    </w:p>
  </w:footnote>
  <w:footnote w:id="52">
    <w:p w14:paraId="42D0A8ED" w14:textId="50F8A57A"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Debe entenderse por acuífero lo establecido en el artículo 2.2.3.1.1.3. del Decreto 1076 de 2015.</w:t>
      </w:r>
    </w:p>
  </w:footnote>
  <w:footnote w:id="53">
    <w:p w14:paraId="2E25214C" w14:textId="7DA3428A" w:rsidR="00D55F13" w:rsidRPr="005B697D" w:rsidRDefault="00D55F13" w:rsidP="005B697D">
      <w:pPr>
        <w:overflowPunct/>
        <w:autoSpaceDE/>
        <w:autoSpaceDN/>
        <w:adjustRightInd/>
        <w:textAlignment w:val="auto"/>
        <w:rPr>
          <w:rFonts w:cs="Arial"/>
          <w:sz w:val="20"/>
          <w:szCs w:val="20"/>
        </w:rPr>
      </w:pPr>
      <w:r w:rsidRPr="005B697D">
        <w:rPr>
          <w:rStyle w:val="Refdenotaalpie"/>
          <w:rFonts w:cs="Arial"/>
          <w:sz w:val="20"/>
          <w:szCs w:val="20"/>
          <w:lang w:val="es-CO"/>
        </w:rPr>
        <w:footnoteRef/>
      </w:r>
      <w:r w:rsidRPr="005B697D">
        <w:rPr>
          <w:rFonts w:cs="Arial"/>
          <w:sz w:val="20"/>
          <w:szCs w:val="20"/>
        </w:rPr>
        <w:t xml:space="preserve"> El catálogo nacional de estaciones del Ideam puede ser consultado en el siguiente enlace: http://dhime.ideam.gov.co/webgis/home/</w:t>
      </w:r>
    </w:p>
  </w:footnote>
  <w:footnote w:id="54">
    <w:p w14:paraId="63827EA3" w14:textId="5405E2BD"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caso de que no exista la información indicada en las fuentes secundarias, ésta debe ser generada directamente por quien elabora el estudio.</w:t>
      </w:r>
    </w:p>
  </w:footnote>
  <w:footnote w:id="55">
    <w:p w14:paraId="67287DF2" w14:textId="6AE241A2" w:rsidR="00D96A7A" w:rsidRPr="005B697D" w:rsidRDefault="00D96A7A"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estudio ambiental debe señalar la fecha de consulta del listado de la UICN.</w:t>
      </w:r>
    </w:p>
  </w:footnote>
  <w:footnote w:id="56">
    <w:p w14:paraId="6F7FC3F8" w14:textId="2958CB6A"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el ámbito del licenciamiento ambiental, la rareza de una especie es función de las siguientes variables: i) área de distribución geográfica; ii) requerimientos de hábitat y; iii) tamaños poblacionales. El documento Regiones biodiversas de Kattan &amp; Naranjo (2008), puede servir como referencia para establecer la rareza de una especie.</w:t>
      </w:r>
    </w:p>
  </w:footnote>
  <w:footnote w:id="57">
    <w:p w14:paraId="650E6B9F" w14:textId="77777777" w:rsidR="005415E1" w:rsidRPr="005B697D" w:rsidRDefault="005415E1"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ecosistemas terrestres se sugiere revisar las metodologías desarrolladas por Angarita et al. (2018) para la depresión Momposina y por Carvajal-Quintero et al. (2017) para la cuenca del Magdalena y, para ecosistemas oceánicos, el documento de Carr &amp; Hanzen (2019).</w:t>
      </w:r>
    </w:p>
  </w:footnote>
  <w:footnote w:id="58">
    <w:p w14:paraId="66F95285" w14:textId="11914DEE" w:rsidR="0025626A" w:rsidRPr="005B697D" w:rsidRDefault="0025626A"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debe solicitar a la Agencia Nacional de Tierras información sobre la existencia o no de cualquier</w:t>
      </w:r>
      <w:r w:rsidR="00B76342" w:rsidRPr="005B697D">
        <w:rPr>
          <w:rFonts w:cs="Arial"/>
          <w:szCs w:val="20"/>
          <w:lang w:val="es-CO"/>
        </w:rPr>
        <w:t xml:space="preserve"> </w:t>
      </w:r>
      <w:r w:rsidRPr="005B697D">
        <w:rPr>
          <w:rFonts w:cs="Arial"/>
          <w:szCs w:val="20"/>
          <w:lang w:val="es-CO"/>
        </w:rPr>
        <w:t>forma de ocupación étnica que cuente con delimitación y titulación o que se encuentre en proceso.</w:t>
      </w:r>
    </w:p>
  </w:footnote>
  <w:footnote w:id="59">
    <w:p w14:paraId="3344A9C5" w14:textId="29B05411" w:rsidR="00415D30" w:rsidRPr="005B697D" w:rsidRDefault="00415D30"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los proyectos</w:t>
      </w:r>
      <w:r w:rsidR="008975C3" w:rsidRPr="005B697D">
        <w:rPr>
          <w:rFonts w:cs="Arial"/>
          <w:szCs w:val="20"/>
          <w:lang w:val="es-CO"/>
        </w:rPr>
        <w:t>, obras o actividades</w:t>
      </w:r>
      <w:r w:rsidRPr="005B697D">
        <w:rPr>
          <w:rFonts w:cs="Arial"/>
          <w:szCs w:val="20"/>
          <w:lang w:val="es-CO"/>
        </w:rPr>
        <w:t xml:space="preserve"> de infraestructura de transporte </w:t>
      </w:r>
      <w:r w:rsidR="00E6505C" w:rsidRPr="005B697D">
        <w:rPr>
          <w:rFonts w:cs="Arial"/>
          <w:szCs w:val="20"/>
          <w:lang w:val="es-CO"/>
        </w:rPr>
        <w:t xml:space="preserve">se </w:t>
      </w:r>
      <w:r w:rsidR="007F0238" w:rsidRPr="005B697D">
        <w:rPr>
          <w:rFonts w:cs="Arial"/>
          <w:szCs w:val="20"/>
          <w:lang w:val="es-CO"/>
        </w:rPr>
        <w:t xml:space="preserve">debe indicar si en el área de estudio existen </w:t>
      </w:r>
      <w:r w:rsidR="00CC0AEC" w:rsidRPr="005B697D">
        <w:rPr>
          <w:rFonts w:cs="Arial"/>
          <w:szCs w:val="20"/>
          <w:lang w:val="es-CO"/>
        </w:rPr>
        <w:t>áreas</w:t>
      </w:r>
      <w:r w:rsidR="00780D16" w:rsidRPr="005B697D">
        <w:rPr>
          <w:rFonts w:cs="Arial"/>
          <w:szCs w:val="20"/>
          <w:lang w:val="es-CO"/>
        </w:rPr>
        <w:t xml:space="preserve"> de interés forense</w:t>
      </w:r>
      <w:r w:rsidR="007F0238" w:rsidRPr="005B697D">
        <w:rPr>
          <w:rFonts w:cs="Arial"/>
          <w:szCs w:val="20"/>
          <w:lang w:val="es-CO"/>
        </w:rPr>
        <w:t>, para lo cual es necesario consulta</w:t>
      </w:r>
      <w:r w:rsidR="00780D16" w:rsidRPr="005B697D">
        <w:rPr>
          <w:rFonts w:cs="Arial"/>
          <w:szCs w:val="20"/>
          <w:lang w:val="es-CO"/>
        </w:rPr>
        <w:t>r</w:t>
      </w:r>
      <w:r w:rsidR="007F0238" w:rsidRPr="005B697D">
        <w:rPr>
          <w:rFonts w:cs="Arial"/>
          <w:szCs w:val="20"/>
          <w:lang w:val="es-CO"/>
        </w:rPr>
        <w:t xml:space="preserve"> a la Unidad de Búsqueda de Personas dadas por Desaparecidas (UBPD) y </w:t>
      </w:r>
      <w:r w:rsidR="00780D16" w:rsidRPr="005B697D">
        <w:rPr>
          <w:rFonts w:cs="Arial"/>
          <w:szCs w:val="20"/>
          <w:lang w:val="es-CO"/>
        </w:rPr>
        <w:t xml:space="preserve">a </w:t>
      </w:r>
      <w:r w:rsidR="007F0238" w:rsidRPr="005B697D">
        <w:rPr>
          <w:rFonts w:cs="Arial"/>
          <w:szCs w:val="20"/>
          <w:lang w:val="es-CO"/>
        </w:rPr>
        <w:t>la Fiscalía General de la Nación</w:t>
      </w:r>
      <w:r w:rsidRPr="005B697D">
        <w:rPr>
          <w:rFonts w:cs="Arial"/>
          <w:szCs w:val="20"/>
          <w:lang w:val="es-CO"/>
        </w:rPr>
        <w:t>.</w:t>
      </w:r>
      <w:r w:rsidR="00770A7D" w:rsidRPr="005B697D">
        <w:rPr>
          <w:rFonts w:cs="Arial"/>
          <w:szCs w:val="20"/>
          <w:lang w:val="es-CO"/>
        </w:rPr>
        <w:t xml:space="preserve"> Lo anterior, de acuerdo con </w:t>
      </w:r>
      <w:r w:rsidR="00056C87" w:rsidRPr="005B697D">
        <w:rPr>
          <w:rFonts w:cs="Arial"/>
          <w:szCs w:val="20"/>
          <w:lang w:val="es-CO"/>
        </w:rPr>
        <w:t xml:space="preserve">la </w:t>
      </w:r>
      <w:r w:rsidR="00770A7D" w:rsidRPr="005B697D">
        <w:rPr>
          <w:rFonts w:cs="Arial"/>
          <w:szCs w:val="20"/>
          <w:lang w:val="es-CO"/>
        </w:rPr>
        <w:t>orden judicial Justicia Especial para la Paz -Sección de primera instancia para casos de ausencia de reconocimiento de verdad y responsabilidad- AI 070 de 2022 y AI 017 de 2024</w:t>
      </w:r>
      <w:r w:rsidR="003273B8" w:rsidRPr="005B697D">
        <w:rPr>
          <w:rFonts w:cs="Arial"/>
          <w:szCs w:val="20"/>
          <w:lang w:val="es-CO"/>
        </w:rPr>
        <w:t xml:space="preserve">. </w:t>
      </w:r>
    </w:p>
  </w:footnote>
  <w:footnote w:id="60">
    <w:p w14:paraId="75925FA1" w14:textId="77777777" w:rsidR="00B60AE4" w:rsidRPr="005B697D" w:rsidRDefault="00B60AE4"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https://www.minambiente.gov.co/asuntos-ambientales-sectorial-y-urbana/otras-herramientas-tecnicas/. Se debe señalar en el estudio ambiental la fecha en la cual se consultó esta tabla.</w:t>
      </w:r>
    </w:p>
  </w:footnote>
  <w:footnote w:id="61">
    <w:p w14:paraId="47D0952C" w14:textId="3ACE6C9D"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caso de que Minambiente establezca o adopte con posterioridad a este documento, una metodología de zonificación ambiental y zonificación de manejo ambiental, ésta deberá ser utilizada para la elaboración de estudios ambientales.</w:t>
      </w:r>
    </w:p>
  </w:footnote>
  <w:footnote w:id="62">
    <w:p w14:paraId="681F8830" w14:textId="3C3B22FE" w:rsidR="00DD7790" w:rsidRPr="005B697D" w:rsidRDefault="00DD7790"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 determinación </w:t>
      </w:r>
      <w:r w:rsidR="009C60B0" w:rsidRPr="005B697D">
        <w:rPr>
          <w:rFonts w:cs="Arial"/>
          <w:szCs w:val="20"/>
          <w:lang w:val="es-CO"/>
        </w:rPr>
        <w:t xml:space="preserve">y evaluación </w:t>
      </w:r>
      <w:r w:rsidRPr="005B697D">
        <w:rPr>
          <w:rFonts w:cs="Arial"/>
          <w:szCs w:val="20"/>
          <w:lang w:val="es-CO"/>
        </w:rPr>
        <w:t xml:space="preserve">de impactos ambientales </w:t>
      </w:r>
      <w:r w:rsidR="00AB28A7" w:rsidRPr="005B697D">
        <w:rPr>
          <w:rFonts w:cs="Arial"/>
          <w:szCs w:val="20"/>
          <w:lang w:val="es-CO"/>
        </w:rPr>
        <w:t xml:space="preserve">en el marco del DAA </w:t>
      </w:r>
      <w:r w:rsidRPr="005B697D">
        <w:rPr>
          <w:rFonts w:cs="Arial"/>
          <w:szCs w:val="20"/>
          <w:lang w:val="es-CO"/>
        </w:rPr>
        <w:t xml:space="preserve">no debe desarrollar la evaluación de los impactos ambientales </w:t>
      </w:r>
      <w:r w:rsidR="009C60B0" w:rsidRPr="005B697D">
        <w:rPr>
          <w:rFonts w:cs="Arial"/>
          <w:i/>
          <w:iCs/>
          <w:szCs w:val="20"/>
          <w:lang w:val="es-CO"/>
        </w:rPr>
        <w:t>residuales</w:t>
      </w:r>
      <w:r w:rsidR="009C60B0" w:rsidRPr="005B697D">
        <w:rPr>
          <w:rFonts w:cs="Arial"/>
          <w:szCs w:val="20"/>
          <w:lang w:val="es-CO"/>
        </w:rPr>
        <w:t xml:space="preserve"> acumulativos y sinérgicos</w:t>
      </w:r>
      <w:r w:rsidR="007F1CFC" w:rsidRPr="005B697D">
        <w:rPr>
          <w:rFonts w:cs="Arial"/>
          <w:szCs w:val="20"/>
          <w:lang w:val="es-CO"/>
        </w:rPr>
        <w:t xml:space="preserve"> (numeral 7.3.4 del capítulo III)</w:t>
      </w:r>
      <w:r w:rsidR="00C70E1B" w:rsidRPr="005B697D">
        <w:rPr>
          <w:rFonts w:cs="Arial"/>
          <w:szCs w:val="20"/>
          <w:lang w:val="es-CO"/>
        </w:rPr>
        <w:t>;</w:t>
      </w:r>
      <w:r w:rsidR="009C60B0" w:rsidRPr="005B697D">
        <w:rPr>
          <w:rFonts w:cs="Arial"/>
          <w:szCs w:val="20"/>
          <w:lang w:val="es-CO"/>
        </w:rPr>
        <w:t xml:space="preserve"> </w:t>
      </w:r>
      <w:r w:rsidR="00C70E1B" w:rsidRPr="005B697D">
        <w:rPr>
          <w:rFonts w:cs="Arial"/>
          <w:szCs w:val="20"/>
          <w:lang w:val="es-CO"/>
        </w:rPr>
        <w:t xml:space="preserve">ésta </w:t>
      </w:r>
      <w:r w:rsidR="009C60B0" w:rsidRPr="005B697D">
        <w:rPr>
          <w:rFonts w:cs="Arial"/>
          <w:szCs w:val="20"/>
          <w:lang w:val="es-CO"/>
        </w:rPr>
        <w:t>es exclusiva del EIA.</w:t>
      </w:r>
    </w:p>
  </w:footnote>
  <w:footnote w:id="63">
    <w:p w14:paraId="4F96D572" w14:textId="4C687A90" w:rsidR="00D55F13" w:rsidRPr="005B697D" w:rsidRDefault="00D55F13" w:rsidP="005B697D">
      <w:pPr>
        <w:tabs>
          <w:tab w:val="left" w:pos="-2268"/>
        </w:tabs>
        <w:suppressAutoHyphens/>
        <w:rPr>
          <w:rFonts w:cs="Arial"/>
          <w:spacing w:val="-3"/>
          <w:sz w:val="20"/>
          <w:szCs w:val="20"/>
        </w:rPr>
      </w:pPr>
      <w:r w:rsidRPr="005B697D">
        <w:rPr>
          <w:rStyle w:val="Refdenotaalpie"/>
          <w:rFonts w:cs="Arial"/>
          <w:sz w:val="20"/>
          <w:szCs w:val="20"/>
          <w:lang w:val="es-CO"/>
        </w:rPr>
        <w:footnoteRef/>
      </w:r>
      <w:r w:rsidRPr="005B697D">
        <w:rPr>
          <w:rFonts w:cs="Arial"/>
          <w:sz w:val="20"/>
          <w:szCs w:val="20"/>
        </w:rPr>
        <w:t xml:space="preserve"> </w:t>
      </w:r>
      <w:r w:rsidR="00C000E0" w:rsidRPr="005B697D">
        <w:rPr>
          <w:rFonts w:cs="Arial"/>
          <w:spacing w:val="-3"/>
          <w:sz w:val="20"/>
          <w:szCs w:val="20"/>
        </w:rPr>
        <w:t xml:space="preserve">Determinar </w:t>
      </w:r>
      <w:r w:rsidRPr="005B697D">
        <w:rPr>
          <w:rFonts w:cs="Arial"/>
          <w:spacing w:val="-3"/>
          <w:sz w:val="20"/>
          <w:szCs w:val="20"/>
        </w:rPr>
        <w:t>los impactos ambientales que resultan significativos es fundamental para optimizar el proceso de elaboración del DAA</w:t>
      </w:r>
      <w:r w:rsidR="00825E1C" w:rsidRPr="005B697D">
        <w:rPr>
          <w:rFonts w:cs="Arial"/>
          <w:spacing w:val="-3"/>
          <w:sz w:val="20"/>
          <w:szCs w:val="20"/>
        </w:rPr>
        <w:t>; de otro modo,</w:t>
      </w:r>
      <w:r w:rsidRPr="005B697D">
        <w:rPr>
          <w:rFonts w:cs="Arial"/>
          <w:spacing w:val="-3"/>
          <w:sz w:val="20"/>
          <w:szCs w:val="20"/>
        </w:rPr>
        <w:t xml:space="preserve"> al considerar la manifestación de todos los impactos, se incrementa considerablemente la extensión del área de estudio, su caracterización y otros procesos como el de participación.</w:t>
      </w:r>
    </w:p>
  </w:footnote>
  <w:footnote w:id="64">
    <w:p w14:paraId="371BA0F7" w14:textId="5F32C180"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w:t>
      </w:r>
      <w:r w:rsidR="00B4735F" w:rsidRPr="005B697D">
        <w:rPr>
          <w:rFonts w:cs="Arial"/>
          <w:szCs w:val="20"/>
          <w:lang w:val="es-CO"/>
        </w:rPr>
        <w:t>https://www.minambiente.gov.co/asuntos-ambientales-sectorial-y-urbana/otras-herramientas-tecnicas/</w:t>
      </w:r>
      <w:r w:rsidRPr="005B697D">
        <w:rPr>
          <w:rFonts w:cs="Arial"/>
          <w:szCs w:val="20"/>
          <w:lang w:val="es-CO"/>
        </w:rPr>
        <w:t>.</w:t>
      </w:r>
    </w:p>
  </w:footnote>
  <w:footnote w:id="65">
    <w:p w14:paraId="735683AD" w14:textId="1CBA6621" w:rsidR="00F15672" w:rsidRPr="005B697D" w:rsidRDefault="00F15672" w:rsidP="005B697D">
      <w:pPr>
        <w:numPr>
          <w:ilvl w:val="12"/>
          <w:numId w:val="0"/>
        </w:numPr>
        <w:tabs>
          <w:tab w:val="left" w:pos="-2268"/>
        </w:tabs>
        <w:suppressAutoHyphens/>
        <w:rPr>
          <w:rFonts w:cs="Arial"/>
          <w:sz w:val="20"/>
          <w:szCs w:val="20"/>
        </w:rPr>
      </w:pPr>
      <w:r w:rsidRPr="005B697D">
        <w:rPr>
          <w:rStyle w:val="Refdenotaalpie"/>
          <w:rFonts w:cs="Arial"/>
          <w:sz w:val="20"/>
          <w:szCs w:val="20"/>
          <w:lang w:val="es-CO"/>
        </w:rPr>
        <w:footnoteRef/>
      </w:r>
      <w:r w:rsidRPr="005B697D">
        <w:rPr>
          <w:rFonts w:cs="Arial"/>
          <w:sz w:val="20"/>
          <w:szCs w:val="20"/>
        </w:rPr>
        <w:t xml:space="preserve"> En el </w:t>
      </w:r>
      <w:r w:rsidRPr="005B697D">
        <w:rPr>
          <w:rFonts w:cs="Arial"/>
          <w:spacing w:val="-3"/>
          <w:sz w:val="20"/>
          <w:szCs w:val="20"/>
        </w:rPr>
        <w:t xml:space="preserve">numeral </w:t>
      </w:r>
      <w:r w:rsidRPr="005B697D">
        <w:rPr>
          <w:rFonts w:cs="Arial"/>
          <w:spacing w:val="-3"/>
          <w:sz w:val="20"/>
          <w:szCs w:val="20"/>
        </w:rPr>
        <w:fldChar w:fldCharType="begin"/>
      </w:r>
      <w:r w:rsidRPr="005B697D">
        <w:rPr>
          <w:rFonts w:cs="Arial"/>
          <w:spacing w:val="-3"/>
          <w:sz w:val="20"/>
          <w:szCs w:val="20"/>
        </w:rPr>
        <w:instrText xml:space="preserve"> REF _Ref415502137 \r \h  \* MERGEFORMAT </w:instrText>
      </w:r>
      <w:r w:rsidRPr="005B697D">
        <w:rPr>
          <w:rFonts w:cs="Arial"/>
          <w:spacing w:val="-3"/>
          <w:sz w:val="20"/>
          <w:szCs w:val="20"/>
        </w:rPr>
      </w:r>
      <w:r w:rsidRPr="005B697D">
        <w:rPr>
          <w:rFonts w:cs="Arial"/>
          <w:spacing w:val="-3"/>
          <w:sz w:val="20"/>
          <w:szCs w:val="20"/>
        </w:rPr>
        <w:fldChar w:fldCharType="separate"/>
      </w:r>
      <w:r w:rsidR="002D73C1" w:rsidRPr="005B697D">
        <w:rPr>
          <w:rFonts w:cs="Arial"/>
          <w:spacing w:val="-3"/>
          <w:sz w:val="20"/>
          <w:szCs w:val="20"/>
        </w:rPr>
        <w:t>9.4</w:t>
      </w:r>
      <w:r w:rsidRPr="005B697D">
        <w:rPr>
          <w:rFonts w:cs="Arial"/>
          <w:spacing w:val="-3"/>
          <w:sz w:val="20"/>
          <w:szCs w:val="20"/>
        </w:rPr>
        <w:fldChar w:fldCharType="end"/>
      </w:r>
      <w:r w:rsidRPr="005B697D">
        <w:rPr>
          <w:rFonts w:cs="Arial"/>
          <w:spacing w:val="-3"/>
          <w:sz w:val="20"/>
          <w:szCs w:val="20"/>
        </w:rPr>
        <w:t xml:space="preserve"> de este capítulo se señalan los criterios, tanto generales como específicos a cada uno de los medios, que se deben considerar para el desarrollo de la EMC.</w:t>
      </w:r>
    </w:p>
  </w:footnote>
  <w:footnote w:id="66">
    <w:p w14:paraId="700333A3" w14:textId="77777777" w:rsidR="00412CAE" w:rsidRPr="005B697D" w:rsidRDefault="00412CAE"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el marco del licenciamiento ambiental sólo son aplicables los métodos EMC discretos, que son aquellos que evalúan un conjunto finito de alternativas. Los métodos continuos evalúan alternativas que varían infinitamente (Guitouni &amp; Martel, 1998; Munda, 2008; DCLG, 2009).</w:t>
      </w:r>
    </w:p>
  </w:footnote>
  <w:footnote w:id="67">
    <w:p w14:paraId="69AF4C0C" w14:textId="4B18A043" w:rsidR="001A4326" w:rsidRPr="005B697D" w:rsidRDefault="001A432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Si en un proceso de toma de decisión se plantea sólo una alternativa que es racional desde el punto de vista ambiental junto con un conjunto de alternativas que no lo son, la comparación y posterior selección de alternativas se inclinaría hacia la alternativa ambientalmente racional; en este caso la EMC no tendría utilidad, dado que en el fondo sólo existe una alternativa. Para poder realizar la evaluación</w:t>
      </w:r>
      <w:r w:rsidR="00C721A8" w:rsidRPr="005B697D">
        <w:rPr>
          <w:rFonts w:cs="Arial"/>
          <w:szCs w:val="20"/>
          <w:lang w:val="es-CO"/>
        </w:rPr>
        <w:t>,</w:t>
      </w:r>
      <w:r w:rsidRPr="005B697D">
        <w:rPr>
          <w:rFonts w:cs="Arial"/>
          <w:szCs w:val="20"/>
          <w:lang w:val="es-CO"/>
        </w:rPr>
        <w:t xml:space="preserve"> todas las alternativas deben ser ambientalmente racionales.</w:t>
      </w:r>
    </w:p>
  </w:footnote>
  <w:footnote w:id="68">
    <w:p w14:paraId="0BE5DD74" w14:textId="565FBA60" w:rsidR="006A626B" w:rsidRPr="005B697D" w:rsidRDefault="006A626B"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 pesar de que éste es uno de los métodos mayormente utilizados para la elaboración de DAA, se debe recordar que no es el único y que, para algunas situaciones, tampoco resulta la mejor opción; en tal sentido, se alienta a los elaboradores de estudios ambientales a que siempre desarrollen el procedimiento del numeral </w:t>
      </w:r>
      <w:r w:rsidRPr="005B697D">
        <w:rPr>
          <w:rFonts w:cs="Arial"/>
          <w:szCs w:val="20"/>
          <w:lang w:val="es-CO"/>
        </w:rPr>
        <w:fldChar w:fldCharType="begin"/>
      </w:r>
      <w:r w:rsidRPr="005B697D">
        <w:rPr>
          <w:rFonts w:cs="Arial"/>
          <w:szCs w:val="20"/>
          <w:lang w:val="es-CO"/>
        </w:rPr>
        <w:instrText xml:space="preserve"> REF _Ref208931452 \r \h </w:instrText>
      </w:r>
      <w:r w:rsidR="00466E26" w:rsidRPr="005B697D">
        <w:rPr>
          <w:rFonts w:cs="Arial"/>
          <w:szCs w:val="20"/>
          <w:lang w:val="es-CO"/>
        </w:rPr>
        <w:instrText xml:space="preserve"> \* MERGEFORMAT </w:instrText>
      </w:r>
      <w:r w:rsidRPr="005B697D">
        <w:rPr>
          <w:rFonts w:cs="Arial"/>
          <w:szCs w:val="20"/>
          <w:lang w:val="es-CO"/>
        </w:rPr>
      </w:r>
      <w:r w:rsidRPr="005B697D">
        <w:rPr>
          <w:rFonts w:cs="Arial"/>
          <w:szCs w:val="20"/>
          <w:lang w:val="es-CO"/>
        </w:rPr>
        <w:fldChar w:fldCharType="separate"/>
      </w:r>
      <w:r w:rsidR="002D73C1" w:rsidRPr="005B697D">
        <w:rPr>
          <w:rFonts w:cs="Arial"/>
          <w:szCs w:val="20"/>
          <w:lang w:val="es-CO"/>
        </w:rPr>
        <w:t>9.2</w:t>
      </w:r>
      <w:r w:rsidRPr="005B697D">
        <w:rPr>
          <w:rFonts w:cs="Arial"/>
          <w:szCs w:val="20"/>
          <w:lang w:val="es-CO"/>
        </w:rPr>
        <w:fldChar w:fldCharType="end"/>
      </w:r>
      <w:r w:rsidRPr="005B697D">
        <w:rPr>
          <w:rFonts w:cs="Arial"/>
          <w:szCs w:val="20"/>
          <w:lang w:val="es-CO"/>
        </w:rPr>
        <w:t xml:space="preserve"> con el fin de seleccionar el método de EMC que mejor se adapte a la situación objeto de evaluación.</w:t>
      </w:r>
    </w:p>
  </w:footnote>
  <w:footnote w:id="69">
    <w:p w14:paraId="050564F8" w14:textId="77777777" w:rsidR="001A4326" w:rsidRPr="005B697D" w:rsidRDefault="001A432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cero no representa la ausencia de la característica medida, corresponde a un punto de referencia desde el que se establecen intervalos de igual magnitud que constituyen la escala.</w:t>
      </w:r>
    </w:p>
  </w:footnote>
  <w:footnote w:id="70">
    <w:p w14:paraId="0F0F6280" w14:textId="441D74D3" w:rsidR="00B301F5" w:rsidRPr="005B697D" w:rsidRDefault="00B301F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Es posible calcular e</w:t>
      </w:r>
      <w:r w:rsidR="00916912" w:rsidRPr="005B697D">
        <w:rPr>
          <w:rFonts w:cs="Arial"/>
          <w:szCs w:val="20"/>
          <w:lang w:val="es-CO"/>
        </w:rPr>
        <w:t xml:space="preserve">ste </w:t>
      </w:r>
      <w:r w:rsidRPr="005B697D">
        <w:rPr>
          <w:rFonts w:cs="Arial"/>
          <w:szCs w:val="20"/>
          <w:lang w:val="es-CO"/>
        </w:rPr>
        <w:t xml:space="preserve">índice empleando información del Estudio Nacional del Agua o de estudios regionales que contengan datos para el área </w:t>
      </w:r>
      <w:r w:rsidR="00916912" w:rsidRPr="005B697D">
        <w:rPr>
          <w:rFonts w:cs="Arial"/>
          <w:szCs w:val="20"/>
          <w:lang w:val="es-CO"/>
        </w:rPr>
        <w:t>de estudio</w:t>
      </w:r>
      <w:r w:rsidR="00E25DBC" w:rsidRPr="005B697D">
        <w:rPr>
          <w:rFonts w:cs="Arial"/>
          <w:szCs w:val="20"/>
          <w:lang w:val="es-CO"/>
        </w:rPr>
        <w:t>,</w:t>
      </w:r>
      <w:r w:rsidR="00916912" w:rsidRPr="005B697D">
        <w:rPr>
          <w:rFonts w:cs="Arial"/>
          <w:szCs w:val="20"/>
          <w:lang w:val="es-CO"/>
        </w:rPr>
        <w:t xml:space="preserve"> adiciona</w:t>
      </w:r>
      <w:r w:rsidR="004C4DC9" w:rsidRPr="005B697D">
        <w:rPr>
          <w:rFonts w:cs="Arial"/>
          <w:szCs w:val="20"/>
          <w:lang w:val="es-CO"/>
        </w:rPr>
        <w:t>n</w:t>
      </w:r>
      <w:r w:rsidR="00916912" w:rsidRPr="005B697D">
        <w:rPr>
          <w:rFonts w:cs="Arial"/>
          <w:szCs w:val="20"/>
          <w:lang w:val="es-CO"/>
        </w:rPr>
        <w:t>do a la cantidad de agua utilizada por los diferentes sectores usuarios</w:t>
      </w:r>
      <w:r w:rsidR="00BD274C" w:rsidRPr="005B697D">
        <w:rPr>
          <w:rFonts w:cs="Arial"/>
          <w:szCs w:val="20"/>
          <w:lang w:val="es-CO"/>
        </w:rPr>
        <w:t>,</w:t>
      </w:r>
      <w:r w:rsidR="00916912" w:rsidRPr="005B697D">
        <w:rPr>
          <w:rFonts w:cs="Arial"/>
          <w:szCs w:val="20"/>
          <w:lang w:val="es-CO"/>
        </w:rPr>
        <w:t xml:space="preserve"> la demanda hídrica potencial de las alternativas y relacionando tal resultado con la oferta hídrica superficial disponible.</w:t>
      </w:r>
    </w:p>
  </w:footnote>
  <w:footnote w:id="71">
    <w:p w14:paraId="052F4063" w14:textId="3685503C"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estimar el </w:t>
      </w:r>
      <w:r w:rsidR="00E70C17" w:rsidRPr="005B697D">
        <w:rPr>
          <w:rFonts w:cs="Arial"/>
          <w:szCs w:val="20"/>
          <w:lang w:val="es-CO"/>
        </w:rPr>
        <w:t xml:space="preserve">área </w:t>
      </w:r>
      <w:r w:rsidRPr="005B697D">
        <w:rPr>
          <w:rFonts w:cs="Arial"/>
          <w:szCs w:val="20"/>
          <w:lang w:val="es-CO"/>
        </w:rPr>
        <w:t>a compensar de cada alternativa se debe</w:t>
      </w:r>
      <w:r w:rsidR="00AC13B8" w:rsidRPr="005B697D">
        <w:rPr>
          <w:rFonts w:cs="Arial"/>
          <w:szCs w:val="20"/>
          <w:lang w:val="es-CO"/>
        </w:rPr>
        <w:t xml:space="preserve"> aplicar el siguiente procedimiento: i) D</w:t>
      </w:r>
      <w:r w:rsidR="005E1ABC" w:rsidRPr="005B697D">
        <w:rPr>
          <w:rFonts w:cs="Arial"/>
          <w:szCs w:val="20"/>
          <w:lang w:val="es-CO"/>
        </w:rPr>
        <w:t xml:space="preserve">eterminar los </w:t>
      </w:r>
      <w:r w:rsidRPr="005B697D">
        <w:rPr>
          <w:rFonts w:cs="Arial"/>
          <w:szCs w:val="20"/>
          <w:lang w:val="es-CO"/>
        </w:rPr>
        <w:t>ecosistema</w:t>
      </w:r>
      <w:r w:rsidR="005E1ABC" w:rsidRPr="005B697D">
        <w:rPr>
          <w:rFonts w:cs="Arial"/>
          <w:szCs w:val="20"/>
          <w:lang w:val="es-CO"/>
        </w:rPr>
        <w:t>s</w:t>
      </w:r>
      <w:r w:rsidRPr="005B697D">
        <w:rPr>
          <w:rFonts w:cs="Arial"/>
          <w:szCs w:val="20"/>
          <w:lang w:val="es-CO"/>
        </w:rPr>
        <w:t xml:space="preserve"> </w:t>
      </w:r>
      <w:r w:rsidR="00034FEE" w:rsidRPr="005B697D">
        <w:rPr>
          <w:rFonts w:cs="Arial"/>
          <w:szCs w:val="20"/>
          <w:lang w:val="es-CO"/>
        </w:rPr>
        <w:t>posiblemente impactado</w:t>
      </w:r>
      <w:r w:rsidR="005E1ABC" w:rsidRPr="005B697D">
        <w:rPr>
          <w:rFonts w:cs="Arial"/>
          <w:szCs w:val="20"/>
          <w:lang w:val="es-CO"/>
        </w:rPr>
        <w:t>s</w:t>
      </w:r>
      <w:r w:rsidR="00034FEE" w:rsidRPr="005B697D">
        <w:rPr>
          <w:rFonts w:cs="Arial"/>
          <w:szCs w:val="20"/>
          <w:lang w:val="es-CO"/>
        </w:rPr>
        <w:t xml:space="preserve"> </w:t>
      </w:r>
      <w:r w:rsidR="005E1ABC" w:rsidRPr="005B697D">
        <w:rPr>
          <w:rFonts w:cs="Arial"/>
          <w:szCs w:val="20"/>
          <w:lang w:val="es-CO"/>
        </w:rPr>
        <w:t>superponiendo</w:t>
      </w:r>
      <w:r w:rsidR="006879E4" w:rsidRPr="005B697D">
        <w:rPr>
          <w:rFonts w:cs="Arial"/>
          <w:szCs w:val="20"/>
          <w:lang w:val="es-CO"/>
        </w:rPr>
        <w:t>,</w:t>
      </w:r>
      <w:r w:rsidR="005E1ABC" w:rsidRPr="005B697D">
        <w:rPr>
          <w:rFonts w:cs="Arial"/>
          <w:szCs w:val="20"/>
          <w:lang w:val="es-CO"/>
        </w:rPr>
        <w:t xml:space="preserve"> </w:t>
      </w:r>
      <w:r w:rsidR="006879E4" w:rsidRPr="005B697D">
        <w:rPr>
          <w:rFonts w:cs="Arial"/>
          <w:szCs w:val="20"/>
          <w:lang w:val="es-CO"/>
        </w:rPr>
        <w:t>para las alternativas, las zonas en las cuales se puede generar el impacto</w:t>
      </w:r>
      <w:r w:rsidR="00EF43A2" w:rsidRPr="005B697D">
        <w:rPr>
          <w:rFonts w:cs="Arial"/>
          <w:szCs w:val="20"/>
          <w:lang w:val="es-CO"/>
        </w:rPr>
        <w:t>,</w:t>
      </w:r>
      <w:r w:rsidR="006879E4" w:rsidRPr="005B697D">
        <w:rPr>
          <w:rFonts w:cs="Arial"/>
          <w:szCs w:val="20"/>
          <w:lang w:val="es-CO"/>
        </w:rPr>
        <w:t xml:space="preserve"> </w:t>
      </w:r>
      <w:r w:rsidR="005E1ABC" w:rsidRPr="005B697D">
        <w:rPr>
          <w:rFonts w:cs="Arial"/>
          <w:szCs w:val="20"/>
          <w:lang w:val="es-CO"/>
        </w:rPr>
        <w:t xml:space="preserve">con </w:t>
      </w:r>
      <w:r w:rsidRPr="005B697D">
        <w:rPr>
          <w:rFonts w:cs="Arial"/>
          <w:szCs w:val="20"/>
          <w:lang w:val="es-CO"/>
        </w:rPr>
        <w:t>el Mapa de ecosistemas continentales, costeros y marinos de Colombia, Versión 2.1, escala 1:100.000 (2017), o sus versiones oficiales posteriores</w:t>
      </w:r>
      <w:r w:rsidR="00AC13B8" w:rsidRPr="005B697D">
        <w:rPr>
          <w:rFonts w:cs="Arial"/>
          <w:szCs w:val="20"/>
          <w:lang w:val="es-CO"/>
        </w:rPr>
        <w:t xml:space="preserve">, ii) </w:t>
      </w:r>
      <w:r w:rsidR="00665AF0" w:rsidRPr="005B697D">
        <w:rPr>
          <w:rFonts w:cs="Arial"/>
          <w:szCs w:val="20"/>
          <w:lang w:val="es-CO"/>
        </w:rPr>
        <w:t xml:space="preserve">Consultar en el </w:t>
      </w:r>
      <w:r w:rsidR="005E1ABC" w:rsidRPr="005B697D">
        <w:rPr>
          <w:rFonts w:cs="Arial"/>
          <w:szCs w:val="20"/>
          <w:lang w:val="es-CO"/>
        </w:rPr>
        <w:t xml:space="preserve">Manual de compensaciones del componente biótico vigente </w:t>
      </w:r>
      <w:r w:rsidR="00665AF0" w:rsidRPr="005B697D">
        <w:rPr>
          <w:rFonts w:cs="Arial"/>
          <w:szCs w:val="20"/>
          <w:lang w:val="es-CO"/>
        </w:rPr>
        <w:t xml:space="preserve">el factor de compensación </w:t>
      </w:r>
      <w:r w:rsidR="005E1ABC" w:rsidRPr="005B697D">
        <w:rPr>
          <w:rFonts w:cs="Arial"/>
          <w:szCs w:val="20"/>
          <w:lang w:val="es-CO"/>
        </w:rPr>
        <w:t xml:space="preserve">que corresponda a </w:t>
      </w:r>
      <w:r w:rsidR="00665AF0" w:rsidRPr="005B697D">
        <w:rPr>
          <w:rFonts w:cs="Arial"/>
          <w:szCs w:val="20"/>
          <w:lang w:val="es-CO"/>
        </w:rPr>
        <w:t xml:space="preserve">los </w:t>
      </w:r>
      <w:r w:rsidR="005E1ABC" w:rsidRPr="005B697D">
        <w:rPr>
          <w:rFonts w:cs="Arial"/>
          <w:szCs w:val="20"/>
          <w:lang w:val="es-CO"/>
        </w:rPr>
        <w:t xml:space="preserve">ecosistemas </w:t>
      </w:r>
      <w:r w:rsidR="00665AF0" w:rsidRPr="005B697D">
        <w:rPr>
          <w:rFonts w:cs="Arial"/>
          <w:szCs w:val="20"/>
          <w:lang w:val="es-CO"/>
        </w:rPr>
        <w:t xml:space="preserve">posiblemente impactados </w:t>
      </w:r>
      <w:r w:rsidR="005E1ABC" w:rsidRPr="005B697D">
        <w:rPr>
          <w:rFonts w:cs="Arial"/>
          <w:szCs w:val="20"/>
          <w:lang w:val="es-CO"/>
        </w:rPr>
        <w:t xml:space="preserve">y </w:t>
      </w:r>
      <w:r w:rsidR="00665AF0" w:rsidRPr="005B697D">
        <w:rPr>
          <w:rFonts w:cs="Arial"/>
          <w:szCs w:val="20"/>
          <w:lang w:val="es-CO"/>
        </w:rPr>
        <w:t>iii) M</w:t>
      </w:r>
      <w:r w:rsidR="005E1ABC" w:rsidRPr="005B697D">
        <w:rPr>
          <w:rFonts w:cs="Arial"/>
          <w:szCs w:val="20"/>
          <w:lang w:val="es-CO"/>
        </w:rPr>
        <w:t>ultiplica</w:t>
      </w:r>
      <w:r w:rsidR="00665AF0" w:rsidRPr="005B697D">
        <w:rPr>
          <w:rFonts w:cs="Arial"/>
          <w:szCs w:val="20"/>
          <w:lang w:val="es-CO"/>
        </w:rPr>
        <w:t xml:space="preserve">r </w:t>
      </w:r>
      <w:r w:rsidR="006879E4" w:rsidRPr="005B697D">
        <w:rPr>
          <w:rFonts w:cs="Arial"/>
          <w:szCs w:val="20"/>
          <w:lang w:val="es-CO"/>
        </w:rPr>
        <w:t xml:space="preserve">la cantidad de superficie de las áreas </w:t>
      </w:r>
      <w:r w:rsidR="005E1ABC" w:rsidRPr="005B697D">
        <w:rPr>
          <w:rFonts w:cs="Arial"/>
          <w:szCs w:val="20"/>
          <w:lang w:val="es-CO"/>
        </w:rPr>
        <w:t>posiblemente impactada</w:t>
      </w:r>
      <w:r w:rsidR="006879E4" w:rsidRPr="005B697D">
        <w:rPr>
          <w:rFonts w:cs="Arial"/>
          <w:szCs w:val="20"/>
          <w:lang w:val="es-CO"/>
        </w:rPr>
        <w:t>s</w:t>
      </w:r>
      <w:r w:rsidR="005E1ABC" w:rsidRPr="005B697D">
        <w:rPr>
          <w:rFonts w:cs="Arial"/>
          <w:szCs w:val="20"/>
          <w:lang w:val="es-CO"/>
        </w:rPr>
        <w:t xml:space="preserve"> por </w:t>
      </w:r>
      <w:r w:rsidR="00ED2EC7" w:rsidRPr="005B697D">
        <w:rPr>
          <w:rFonts w:cs="Arial"/>
          <w:szCs w:val="20"/>
          <w:lang w:val="es-CO"/>
        </w:rPr>
        <w:t xml:space="preserve">los </w:t>
      </w:r>
      <w:r w:rsidR="005E1ABC" w:rsidRPr="005B697D">
        <w:rPr>
          <w:rFonts w:cs="Arial"/>
          <w:szCs w:val="20"/>
          <w:lang w:val="es-CO"/>
        </w:rPr>
        <w:t>factor</w:t>
      </w:r>
      <w:r w:rsidR="00ED2EC7" w:rsidRPr="005B697D">
        <w:rPr>
          <w:rFonts w:cs="Arial"/>
          <w:szCs w:val="20"/>
          <w:lang w:val="es-CO"/>
        </w:rPr>
        <w:t>es</w:t>
      </w:r>
      <w:r w:rsidR="005E1ABC" w:rsidRPr="005B697D">
        <w:rPr>
          <w:rFonts w:cs="Arial"/>
          <w:szCs w:val="20"/>
          <w:lang w:val="es-CO"/>
        </w:rPr>
        <w:t xml:space="preserve"> de compensación</w:t>
      </w:r>
      <w:r w:rsidR="00ED2EC7" w:rsidRPr="005B697D">
        <w:rPr>
          <w:rFonts w:cs="Arial"/>
          <w:szCs w:val="20"/>
          <w:lang w:val="es-CO"/>
        </w:rPr>
        <w:t xml:space="preserve"> que les correspondan</w:t>
      </w:r>
      <w:r w:rsidR="005E1ABC" w:rsidRPr="005B697D">
        <w:rPr>
          <w:rFonts w:cs="Arial"/>
          <w:szCs w:val="20"/>
          <w:lang w:val="es-CO"/>
        </w:rPr>
        <w:t>.</w:t>
      </w:r>
    </w:p>
  </w:footnote>
  <w:footnote w:id="72">
    <w:p w14:paraId="00C5CD57" w14:textId="2CAC9300" w:rsidR="00D55F13" w:rsidRPr="005B697D" w:rsidRDefault="00D55F13" w:rsidP="005B697D">
      <w:pPr>
        <w:pStyle w:val="Textonotapie"/>
        <w:rPr>
          <w:rFonts w:cs="Arial"/>
          <w:szCs w:val="20"/>
          <w:lang w:val="es-CO"/>
        </w:rPr>
      </w:pPr>
      <w:r w:rsidRPr="005B697D">
        <w:rPr>
          <w:rFonts w:cs="Arial"/>
          <w:szCs w:val="20"/>
          <w:vertAlign w:val="superscript"/>
          <w:lang w:val="es-CO"/>
        </w:rPr>
        <w:footnoteRef/>
      </w:r>
      <w:r w:rsidRPr="005B697D">
        <w:rPr>
          <w:rFonts w:cs="Arial"/>
          <w:szCs w:val="20"/>
          <w:lang w:val="es-CO"/>
        </w:rPr>
        <w:t xml:space="preserve"> Categorías establecidas en el numeral de metodología y tratamiento de la información del Atlas de la Distribución de la propiedad rural en Colombia publicado por IGAC en 2012.</w:t>
      </w:r>
    </w:p>
  </w:footnote>
  <w:footnote w:id="73">
    <w:p w14:paraId="4322D59C" w14:textId="2AAC2C19" w:rsidR="002C5B64" w:rsidRPr="005B697D" w:rsidRDefault="002C5B64"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Hace referencia a las personas que tienen mayor dificultad para informarse y participar de manera efectiva por diversas situaciones, entre ellas, limitaciones tecnológicas, auditivas, por tener una lengua diferente al castellano o vivir en espacios territoriales de difícil acceso.</w:t>
      </w:r>
    </w:p>
  </w:footnote>
  <w:footnote w:id="74">
    <w:p w14:paraId="0DE38A8A" w14:textId="416A75CA" w:rsidR="00FF2631" w:rsidRPr="005B697D" w:rsidRDefault="00FF2631"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3F2C4A" w:rsidRPr="005B697D">
        <w:rPr>
          <w:rFonts w:cs="Arial"/>
          <w:szCs w:val="20"/>
        </w:rPr>
        <w:t>Estos instrumentos incorporan las determinantes de ordenamiento territorial, entre ellas, las asociadas con la conservación, la protección del ambiente y los ecosistemas y las de interés para proteger el derecho humano a la alimentación de los habitantes del territorio nacional localizadas dentro de la frontera agrícola</w:t>
      </w:r>
      <w:r w:rsidR="007B37EC" w:rsidRPr="005B697D">
        <w:rPr>
          <w:rFonts w:cs="Arial"/>
          <w:szCs w:val="20"/>
        </w:rPr>
        <w:t xml:space="preserve"> (p. ej. APPA)</w:t>
      </w:r>
      <w:r w:rsidR="003F2C4A" w:rsidRPr="005B697D">
        <w:rPr>
          <w:rFonts w:cs="Arial"/>
          <w:szCs w:val="20"/>
        </w:rPr>
        <w:t>.</w:t>
      </w:r>
    </w:p>
  </w:footnote>
  <w:footnote w:id="75">
    <w:p w14:paraId="58E0EFA2" w14:textId="29EFD141" w:rsidR="00D21AB1" w:rsidRPr="005B697D" w:rsidRDefault="00D21AB1"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Es posible implementar opciones de economía circular en cualquiera de las </w:t>
      </w:r>
      <w:r w:rsidR="007A0F82" w:rsidRPr="005B697D">
        <w:rPr>
          <w:rFonts w:cs="Arial"/>
          <w:spacing w:val="-3"/>
          <w:szCs w:val="20"/>
        </w:rPr>
        <w:t>etapas</w:t>
      </w:r>
      <w:r w:rsidR="007A0F82" w:rsidRPr="005B697D">
        <w:rPr>
          <w:rFonts w:cs="Arial"/>
          <w:szCs w:val="20"/>
          <w:lang w:val="es-CO"/>
        </w:rPr>
        <w:t xml:space="preserve"> </w:t>
      </w:r>
      <w:r w:rsidRPr="005B697D">
        <w:rPr>
          <w:rFonts w:cs="Arial"/>
          <w:szCs w:val="20"/>
          <w:lang w:val="es-CO"/>
        </w:rPr>
        <w:t>del proyecto si es que ello se considera pertinente.</w:t>
      </w:r>
    </w:p>
  </w:footnote>
  <w:footnote w:id="76">
    <w:p w14:paraId="1692500C" w14:textId="77777777" w:rsidR="007E183B" w:rsidRPr="005B697D" w:rsidRDefault="007E183B"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De acuerdo con lo señalado por la Política nacional de producción y consumo sostenible (MAVDT, 2010).</w:t>
      </w:r>
    </w:p>
  </w:footnote>
  <w:footnote w:id="77">
    <w:p w14:paraId="2AC2BF08" w14:textId="3B8F3842" w:rsidR="006D1492" w:rsidRPr="005B697D" w:rsidRDefault="006D1492"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9612E8" w:rsidRPr="005B697D">
        <w:rPr>
          <w:rFonts w:cs="Arial"/>
          <w:szCs w:val="20"/>
        </w:rPr>
        <w:t xml:space="preserve">La implementación de la integración paisajística </w:t>
      </w:r>
      <w:r w:rsidR="00E93E80" w:rsidRPr="005B697D">
        <w:rPr>
          <w:rFonts w:cs="Arial"/>
          <w:szCs w:val="20"/>
        </w:rPr>
        <w:t>puede</w:t>
      </w:r>
      <w:r w:rsidR="009612E8" w:rsidRPr="005B697D">
        <w:rPr>
          <w:rFonts w:cs="Arial"/>
          <w:szCs w:val="20"/>
        </w:rPr>
        <w:t xml:space="preserve"> considerar </w:t>
      </w:r>
      <w:r w:rsidR="00342FC5" w:rsidRPr="005B697D">
        <w:rPr>
          <w:rFonts w:cs="Arial"/>
          <w:szCs w:val="20"/>
        </w:rPr>
        <w:t xml:space="preserve">herramientas </w:t>
      </w:r>
      <w:r w:rsidR="0088211B" w:rsidRPr="005B697D">
        <w:rPr>
          <w:rFonts w:cs="Arial"/>
          <w:szCs w:val="20"/>
        </w:rPr>
        <w:t>de referencia</w:t>
      </w:r>
      <w:r w:rsidR="001521FF" w:rsidRPr="005B697D">
        <w:rPr>
          <w:rFonts w:cs="Arial"/>
          <w:szCs w:val="20"/>
        </w:rPr>
        <w:t xml:space="preserve"> tal</w:t>
      </w:r>
      <w:r w:rsidR="00FD39A0" w:rsidRPr="005B697D">
        <w:rPr>
          <w:rFonts w:cs="Arial"/>
          <w:szCs w:val="20"/>
        </w:rPr>
        <w:t>es</w:t>
      </w:r>
      <w:r w:rsidR="001521FF" w:rsidRPr="005B697D">
        <w:rPr>
          <w:rFonts w:cs="Arial"/>
          <w:szCs w:val="20"/>
        </w:rPr>
        <w:t xml:space="preserve"> como</w:t>
      </w:r>
      <w:r w:rsidR="00C8281B" w:rsidRPr="005B697D">
        <w:rPr>
          <w:rFonts w:cs="Arial"/>
          <w:szCs w:val="20"/>
        </w:rPr>
        <w:t xml:space="preserve"> la </w:t>
      </w:r>
      <w:r w:rsidR="00633000" w:rsidRPr="005B697D">
        <w:rPr>
          <w:rFonts w:cs="Arial"/>
          <w:i/>
          <w:iCs/>
          <w:szCs w:val="20"/>
        </w:rPr>
        <w:t>Guía de parámetros técnicos para orientar las intervenciones en el paisaje cultural cafeter</w:t>
      </w:r>
      <w:r w:rsidR="0077168C" w:rsidRPr="005B697D">
        <w:rPr>
          <w:rFonts w:cs="Arial"/>
          <w:i/>
          <w:iCs/>
          <w:szCs w:val="20"/>
        </w:rPr>
        <w:t>o colombiano</w:t>
      </w:r>
      <w:r w:rsidR="00FD39A0" w:rsidRPr="005B697D">
        <w:rPr>
          <w:rFonts w:cs="Arial"/>
          <w:i/>
          <w:iCs/>
          <w:szCs w:val="20"/>
        </w:rPr>
        <w:t xml:space="preserve"> </w:t>
      </w:r>
      <w:r w:rsidR="00FD39A0" w:rsidRPr="005B697D">
        <w:rPr>
          <w:rFonts w:cs="Arial"/>
          <w:szCs w:val="20"/>
        </w:rPr>
        <w:t>u otras que emita el Ministerio de las Culturas</w:t>
      </w:r>
      <w:r w:rsidR="00220B66" w:rsidRPr="005B697D">
        <w:rPr>
          <w:rFonts w:cs="Arial"/>
          <w:szCs w:val="20"/>
        </w:rPr>
        <w:t>, las Artes y los Saberes</w:t>
      </w:r>
      <w:r w:rsidR="00633000" w:rsidRPr="005B697D">
        <w:rPr>
          <w:rFonts w:cs="Arial"/>
          <w:szCs w:val="20"/>
        </w:rPr>
        <w:t>.</w:t>
      </w:r>
    </w:p>
  </w:footnote>
  <w:footnote w:id="78">
    <w:p w14:paraId="061595D5" w14:textId="77777777" w:rsidR="007E183B" w:rsidRPr="005B697D" w:rsidRDefault="007E183B"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incorporar en los diseños estas especificaciones es posible emplear como referencia los documentos Lineamientos de </w:t>
      </w:r>
      <w:r w:rsidRPr="005B697D">
        <w:rPr>
          <w:rFonts w:cs="Arial"/>
          <w:spacing w:val="-3"/>
          <w:szCs w:val="20"/>
          <w:lang w:val="es-CO"/>
        </w:rPr>
        <w:t>Infraestructura Verde Vial para Colombia (Minambiente, FCDS &amp; WWF, 2020) y Pasos de fauna en infraestructura lineal: cartilla de referencia para la toma de decisiones (Correa, 2020), u otros de reconocida idoneidad técnica.</w:t>
      </w:r>
    </w:p>
  </w:footnote>
  <w:footnote w:id="79">
    <w:p w14:paraId="0C2C6532" w14:textId="02F34FB4" w:rsidR="00BF4C09" w:rsidRPr="005B697D" w:rsidRDefault="00BF4C09" w:rsidP="005B697D">
      <w:pPr>
        <w:pStyle w:val="Textonotapie"/>
        <w:rPr>
          <w:rFonts w:cs="Arial"/>
          <w:szCs w:val="20"/>
          <w:lang w:val="es-CO"/>
        </w:rPr>
      </w:pPr>
      <w:r w:rsidRPr="005B697D">
        <w:rPr>
          <w:rStyle w:val="Refdenotaalpie"/>
          <w:rFonts w:cs="Arial"/>
          <w:sz w:val="20"/>
          <w:szCs w:val="20"/>
        </w:rPr>
        <w:footnoteRef/>
      </w:r>
      <w:r w:rsidRPr="005B697D">
        <w:rPr>
          <w:rFonts w:cs="Arial"/>
          <w:szCs w:val="20"/>
        </w:rPr>
        <w:t xml:space="preserve"> </w:t>
      </w:r>
      <w:r w:rsidR="0082293E" w:rsidRPr="005B697D">
        <w:rPr>
          <w:rFonts w:cs="Arial"/>
          <w:szCs w:val="20"/>
          <w:lang w:val="es-CO"/>
        </w:rPr>
        <w:t>Según la Sentencia T-294 de 2014, la justicia ambiental puede ser entendida como el “</w:t>
      </w:r>
      <w:r w:rsidR="0082293E" w:rsidRPr="005B697D">
        <w:rPr>
          <w:rFonts w:cs="Arial"/>
          <w:i/>
          <w:iCs/>
          <w:szCs w:val="20"/>
          <w:lang w:val="es-CO"/>
        </w:rPr>
        <w:t>tratamiento justo y la participación significativa de todas las personas independientemente de su raza, color, origen nacional, cultura, educación o ingreso con respecto al desarrollo y la aplicación de las leyes, reglamentos y políticas ambientales”.</w:t>
      </w:r>
    </w:p>
  </w:footnote>
  <w:footnote w:id="80">
    <w:p w14:paraId="519E5748" w14:textId="77777777" w:rsidR="00906405" w:rsidRPr="005B697D" w:rsidRDefault="0090640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la formulación de estas consideraciones de adaptación y mitigación, puede emplearse como referencia el Portafolio de buenas prácticas para el cambio climático de ANLA o el documento Criterios para la integración del cambio climático en la evaluación ambiental de proyectos de inversión (REDLASEIA &amp; CEPAL, 2023).</w:t>
      </w:r>
    </w:p>
  </w:footnote>
  <w:footnote w:id="81">
    <w:p w14:paraId="428753D3" w14:textId="3363DA4D" w:rsidR="00906405" w:rsidRPr="005B697D" w:rsidRDefault="0090640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debe tener en cuenta que los proyectos o las </w:t>
      </w:r>
      <w:r w:rsidR="007A0F82" w:rsidRPr="005B697D">
        <w:rPr>
          <w:rFonts w:cs="Arial"/>
          <w:spacing w:val="-3"/>
          <w:szCs w:val="20"/>
        </w:rPr>
        <w:t>etapas</w:t>
      </w:r>
      <w:r w:rsidR="007A0F82" w:rsidRPr="005B697D" w:rsidDel="007A0F82">
        <w:rPr>
          <w:rFonts w:cs="Arial"/>
          <w:szCs w:val="20"/>
          <w:lang w:val="es-CO"/>
        </w:rPr>
        <w:t xml:space="preserve"> </w:t>
      </w:r>
      <w:r w:rsidRPr="005B697D">
        <w:rPr>
          <w:rFonts w:cs="Arial"/>
          <w:szCs w:val="20"/>
          <w:lang w:val="es-CO"/>
        </w:rPr>
        <w:t>de duración extensa deben tolerar</w:t>
      </w:r>
      <w:r w:rsidRPr="005B697D" w:rsidDel="00AD11E0">
        <w:rPr>
          <w:rFonts w:cs="Arial"/>
          <w:szCs w:val="20"/>
          <w:lang w:val="es-CO"/>
        </w:rPr>
        <w:t xml:space="preserve"> </w:t>
      </w:r>
      <w:r w:rsidRPr="005B697D">
        <w:rPr>
          <w:rFonts w:cs="Arial"/>
          <w:szCs w:val="20"/>
          <w:lang w:val="es-CO"/>
        </w:rPr>
        <w:t>la modificación del clima que se espera en el largo plazo, así como una mayor cantidad de eventos extremos y considerar, además, que el momento del año en el que se desarrollen las actividades constructivas u operativas puede determinar diferentes posibilidades de adaptación y mitigación, dado que la ocurrencia de eventos extremos es más probable en ciertas épocas del año.</w:t>
      </w:r>
    </w:p>
  </w:footnote>
  <w:footnote w:id="82">
    <w:p w14:paraId="3C1A2416" w14:textId="18BA80E9"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w:t>
      </w:r>
      <w:r w:rsidRPr="005B697D">
        <w:rPr>
          <w:rFonts w:cs="Arial"/>
          <w:spacing w:val="-3"/>
          <w:szCs w:val="20"/>
          <w:lang w:val="es-CO"/>
        </w:rPr>
        <w:t>proyecto, obra o actividad debe tener en cuenta los usos del suelo establecidos en los instrumentos de ordenamiento territorial (</w:t>
      </w:r>
      <w:r w:rsidR="0004573F" w:rsidRPr="005B697D">
        <w:rPr>
          <w:rFonts w:cs="Arial"/>
          <w:spacing w:val="-3"/>
          <w:szCs w:val="20"/>
          <w:lang w:val="es-CO"/>
        </w:rPr>
        <w:t>s</w:t>
      </w:r>
      <w:r w:rsidR="00F934B5" w:rsidRPr="005B697D">
        <w:rPr>
          <w:rFonts w:cs="Arial"/>
          <w:szCs w:val="20"/>
          <w:lang w:val="es-CO"/>
        </w:rPr>
        <w:t>in perjuicio de lo dispuesto en los Decretos 2201 de 2003 y 1077 de 2015, o en la norma que los modifique o sustituya, sobre los proyectos, obras o actividades considerados de utilidad pública e interés social por el legislador</w:t>
      </w:r>
      <w:r w:rsidRPr="005B697D">
        <w:rPr>
          <w:rFonts w:cs="Arial"/>
          <w:szCs w:val="20"/>
          <w:lang w:val="es-CO"/>
        </w:rPr>
        <w:t>), la zonificación ambiental de áreas protegidas y de zonas amortiguadoras del SPNN, la zonificación de áreas de manglar, los planes de manejo ambiental de páramos y las prohibiciones para el desarrollo de actividades que establece la Ley en este ecosistema, entre otros instrumentos</w:t>
      </w:r>
      <w:r w:rsidR="005F23D7" w:rsidRPr="005B697D">
        <w:rPr>
          <w:rFonts w:cs="Arial"/>
          <w:szCs w:val="20"/>
          <w:lang w:val="es-CO"/>
        </w:rPr>
        <w:t xml:space="preserve">, así como </w:t>
      </w:r>
      <w:r w:rsidR="005F23D7" w:rsidRPr="005B697D">
        <w:rPr>
          <w:rFonts w:cs="Arial"/>
          <w:spacing w:val="-3"/>
          <w:szCs w:val="20"/>
          <w:lang w:val="es-CO"/>
        </w:rPr>
        <w:t xml:space="preserve">las determinantes ambientales, considerando </w:t>
      </w:r>
      <w:r w:rsidR="005F23D7" w:rsidRPr="005B697D">
        <w:rPr>
          <w:rFonts w:cs="Arial"/>
          <w:szCs w:val="20"/>
          <w:lang w:val="es-CO"/>
        </w:rPr>
        <w:t>que el parágrafo 3 del artículo 10 de la Ley 388 de 1997 (modificado por el artículo 32 de la Ley 2294 de 2023) establece que “los fundamentos definidos por los pueblos y comunidades indígenas serán vinculantes para todos los actores públicos y privados en sus territorios y territorialidades"</w:t>
      </w:r>
      <w:r w:rsidRPr="005B697D">
        <w:rPr>
          <w:rFonts w:cs="Arial"/>
          <w:szCs w:val="20"/>
          <w:lang w:val="es-CO"/>
        </w:rPr>
        <w:t>.</w:t>
      </w:r>
    </w:p>
  </w:footnote>
  <w:footnote w:id="83">
    <w:p w14:paraId="51B55FF3" w14:textId="217841A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 infraestructura existente puede ser de propiedad del beneficiario de la licencia ambiental o de terceros; asimismo, las actividades pueden ser desarrolladas o gestionadas mediante terceros. En cualquier caso, quien solicita la licencia ambiental adquiere la responsabilidad directa ante la autoridad ambiental por el manejo del proyecto, obra o actividad en caso de que se le otorgue la licencia.</w:t>
      </w:r>
    </w:p>
  </w:footnote>
  <w:footnote w:id="84">
    <w:p w14:paraId="0E382EA0" w14:textId="2533A0F3" w:rsidR="00D55F13" w:rsidRPr="005B697D" w:rsidRDefault="00D55F13" w:rsidP="005B697D">
      <w:pPr>
        <w:rPr>
          <w:rFonts w:cs="Arial"/>
          <w:bCs/>
          <w:spacing w:val="-3"/>
          <w:sz w:val="20"/>
          <w:szCs w:val="20"/>
        </w:rPr>
      </w:pPr>
      <w:r w:rsidRPr="005B697D">
        <w:rPr>
          <w:rStyle w:val="Refdenotaalpie"/>
          <w:rFonts w:cs="Arial"/>
          <w:sz w:val="20"/>
          <w:szCs w:val="20"/>
          <w:lang w:val="es-CO"/>
        </w:rPr>
        <w:footnoteRef/>
      </w:r>
      <w:r w:rsidRPr="005B697D">
        <w:rPr>
          <w:rFonts w:cs="Arial"/>
          <w:sz w:val="20"/>
          <w:szCs w:val="20"/>
        </w:rPr>
        <w:t xml:space="preserve"> </w:t>
      </w:r>
      <w:r w:rsidRPr="005B697D">
        <w:rPr>
          <w:rFonts w:cs="Arial"/>
          <w:bCs/>
          <w:spacing w:val="-3"/>
          <w:sz w:val="20"/>
          <w:szCs w:val="20"/>
        </w:rPr>
        <w:t xml:space="preserve">Dado que estas actividades de explotación de materiales de construcción se desarrollan directamente por el proyecto, obra o actividad, se debe asegurar total coherencia entre dichas actividades y los demás elementos del EIA que se le relacionen, por ejemplo, delimitación del área de influencia, evaluación ambiental, caracterización ambiental, zonificación ambiental, zonificación de manejo ambiental, plan de manejo ambiental, plan de seguimiento y monitoreo, plan de desmantelamiento y </w:t>
      </w:r>
      <w:r w:rsidR="007F4556" w:rsidRPr="005B697D">
        <w:rPr>
          <w:rFonts w:cs="Arial"/>
          <w:bCs/>
          <w:spacing w:val="-3"/>
          <w:sz w:val="20"/>
          <w:szCs w:val="20"/>
        </w:rPr>
        <w:t xml:space="preserve">cierre ambiental </w:t>
      </w:r>
      <w:r w:rsidRPr="005B697D">
        <w:rPr>
          <w:rFonts w:cs="Arial"/>
          <w:bCs/>
          <w:spacing w:val="-3"/>
          <w:sz w:val="20"/>
          <w:szCs w:val="20"/>
        </w:rPr>
        <w:t>(atendiendo los lineamientos señalados en los términos de referencia sobre proyectos mineros), entre otros.</w:t>
      </w:r>
    </w:p>
  </w:footnote>
  <w:footnote w:id="85">
    <w:p w14:paraId="5F7D56D9"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Style w:val="Refdenotaalpie"/>
          <w:rFonts w:cs="Arial"/>
          <w:sz w:val="20"/>
          <w:szCs w:val="20"/>
          <w:lang w:val="es-CO"/>
        </w:rPr>
        <w:t xml:space="preserve"> </w:t>
      </w:r>
      <w:r w:rsidRPr="005B697D">
        <w:rPr>
          <w:rFonts w:cs="Arial"/>
          <w:szCs w:val="20"/>
          <w:lang w:val="es-CO"/>
        </w:rPr>
        <w:t>De acuerdo con el artículo 2.2.2.3.1.1. del Decreto 1076 de 2015.</w:t>
      </w:r>
    </w:p>
  </w:footnote>
  <w:footnote w:id="86">
    <w:p w14:paraId="6679B47F"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N</w:t>
      </w:r>
      <w:r w:rsidRPr="005B697D">
        <w:rPr>
          <w:rFonts w:cs="Arial"/>
          <w:spacing w:val="-3"/>
          <w:szCs w:val="20"/>
          <w:lang w:val="es-CO"/>
        </w:rPr>
        <w:t>o contempla aquellos impactos ambientales producto de contingencias o de eventos no planeados.</w:t>
      </w:r>
    </w:p>
  </w:footnote>
  <w:footnote w:id="87">
    <w:p w14:paraId="660E5B07" w14:textId="45F02251"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320987" w:rsidRPr="005B697D">
        <w:rPr>
          <w:rFonts w:cs="Arial"/>
          <w:szCs w:val="20"/>
          <w:lang w:val="es-CO"/>
        </w:rPr>
        <w:t xml:space="preserve">Se refiere </w:t>
      </w:r>
      <w:r w:rsidRPr="005B697D">
        <w:rPr>
          <w:rFonts w:cs="Arial"/>
          <w:szCs w:val="20"/>
          <w:lang w:val="es-CO"/>
        </w:rPr>
        <w:t>al proceso de “</w:t>
      </w:r>
      <w:r w:rsidRPr="005B697D">
        <w:rPr>
          <w:rFonts w:cs="Arial"/>
          <w:i/>
          <w:szCs w:val="20"/>
          <w:lang w:val="es-CO"/>
        </w:rPr>
        <w:t>Unión geográfica</w:t>
      </w:r>
      <w:r w:rsidRPr="005B697D">
        <w:rPr>
          <w:rFonts w:cs="Arial"/>
          <w:szCs w:val="20"/>
          <w:lang w:val="es-CO"/>
        </w:rPr>
        <w:t xml:space="preserve">” que se incluye en diversos </w:t>
      </w:r>
      <w:r w:rsidR="000C45CE" w:rsidRPr="005B697D">
        <w:rPr>
          <w:rFonts w:cs="Arial"/>
          <w:szCs w:val="20"/>
          <w:lang w:val="es-CO"/>
        </w:rPr>
        <w:t xml:space="preserve">paquetes informáticos </w:t>
      </w:r>
      <w:r w:rsidRPr="005B697D">
        <w:rPr>
          <w:rFonts w:cs="Arial"/>
          <w:szCs w:val="20"/>
          <w:lang w:val="es-CO"/>
        </w:rPr>
        <w:t>de procesamiento geoespacial.</w:t>
      </w:r>
    </w:p>
  </w:footnote>
  <w:footnote w:id="88">
    <w:p w14:paraId="6DA28E43" w14:textId="43F387E2" w:rsidR="00E94060" w:rsidRPr="005B697D" w:rsidRDefault="00E94060"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Esta área de influencia preliminar se construye </w:t>
      </w:r>
      <w:r w:rsidR="002845C6" w:rsidRPr="005B697D">
        <w:rPr>
          <w:rFonts w:cs="Arial"/>
          <w:szCs w:val="20"/>
          <w:lang w:val="es-CO"/>
        </w:rPr>
        <w:t xml:space="preserve">aplicando el procedimiento descrito con anterioridad </w:t>
      </w:r>
      <w:r w:rsidRPr="005B697D">
        <w:rPr>
          <w:rFonts w:cs="Arial"/>
          <w:szCs w:val="20"/>
          <w:lang w:val="es-CO"/>
        </w:rPr>
        <w:t>a partir de áreas de influencia por factor o componente preliminares</w:t>
      </w:r>
      <w:r w:rsidR="008B7B52" w:rsidRPr="005B697D">
        <w:rPr>
          <w:rFonts w:cs="Arial"/>
          <w:szCs w:val="20"/>
          <w:lang w:val="es-CO"/>
        </w:rPr>
        <w:t xml:space="preserve">. Ver </w:t>
      </w:r>
      <w:r w:rsidRPr="005B697D">
        <w:rPr>
          <w:rFonts w:cs="Arial"/>
          <w:szCs w:val="20"/>
          <w:lang w:val="es-CO"/>
        </w:rPr>
        <w:t xml:space="preserve">la </w:t>
      </w:r>
      <w:r w:rsidR="00556278" w:rsidRPr="005B697D">
        <w:rPr>
          <w:rFonts w:cs="Arial"/>
          <w:szCs w:val="20"/>
          <w:lang w:val="es-CO"/>
        </w:rPr>
        <w:fldChar w:fldCharType="begin"/>
      </w:r>
      <w:r w:rsidR="00556278" w:rsidRPr="005B697D">
        <w:rPr>
          <w:rFonts w:cs="Arial"/>
          <w:szCs w:val="20"/>
          <w:lang w:val="es-CO"/>
        </w:rPr>
        <w:instrText xml:space="preserve"> REF _Ref38259738 \h </w:instrText>
      </w:r>
      <w:r w:rsidR="00466E26" w:rsidRPr="005B697D">
        <w:rPr>
          <w:rFonts w:cs="Arial"/>
          <w:szCs w:val="20"/>
          <w:lang w:val="es-CO"/>
        </w:rPr>
        <w:instrText xml:space="preserve"> \* MERGEFORMAT </w:instrText>
      </w:r>
      <w:r w:rsidR="00556278" w:rsidRPr="005B697D">
        <w:rPr>
          <w:rFonts w:cs="Arial"/>
          <w:szCs w:val="20"/>
          <w:lang w:val="es-CO"/>
        </w:rPr>
      </w:r>
      <w:r w:rsidR="00556278" w:rsidRPr="005B697D">
        <w:rPr>
          <w:rFonts w:cs="Arial"/>
          <w:szCs w:val="20"/>
          <w:lang w:val="es-CO"/>
        </w:rPr>
        <w:fldChar w:fldCharType="separate"/>
      </w:r>
      <w:r w:rsidR="002D73C1" w:rsidRPr="005B697D">
        <w:rPr>
          <w:rFonts w:cs="Arial"/>
          <w:szCs w:val="20"/>
        </w:rPr>
        <w:t xml:space="preserve">Figura </w:t>
      </w:r>
      <w:r w:rsidR="002D73C1" w:rsidRPr="005B697D">
        <w:rPr>
          <w:rFonts w:cs="Arial"/>
          <w:noProof/>
          <w:szCs w:val="20"/>
        </w:rPr>
        <w:t>5</w:t>
      </w:r>
      <w:r w:rsidR="00556278" w:rsidRPr="005B697D">
        <w:rPr>
          <w:rFonts w:cs="Arial"/>
          <w:szCs w:val="20"/>
          <w:lang w:val="es-CO"/>
        </w:rPr>
        <w:fldChar w:fldCharType="end"/>
      </w:r>
      <w:r w:rsidRPr="005B697D">
        <w:rPr>
          <w:rFonts w:cs="Arial"/>
          <w:szCs w:val="20"/>
          <w:lang w:val="es-CO"/>
        </w:rPr>
        <w:t>.</w:t>
      </w:r>
    </w:p>
  </w:footnote>
  <w:footnote w:id="89">
    <w:p w14:paraId="7EF1F275" w14:textId="3D9F873A"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á</w:t>
      </w:r>
      <w:r w:rsidRPr="005B697D">
        <w:rPr>
          <w:rFonts w:cs="Arial"/>
          <w:szCs w:val="20"/>
          <w:lang w:val="es-CO" w:eastAsia="x-none"/>
        </w:rPr>
        <w:t xml:space="preserve">rea </w:t>
      </w:r>
      <w:r w:rsidR="00F53A6E" w:rsidRPr="005B697D">
        <w:rPr>
          <w:rFonts w:cs="Arial"/>
          <w:szCs w:val="20"/>
          <w:lang w:val="es-CO" w:eastAsia="x-none"/>
        </w:rPr>
        <w:t>por</w:t>
      </w:r>
      <w:r w:rsidR="001B4589" w:rsidRPr="005B697D">
        <w:rPr>
          <w:rFonts w:cs="Arial"/>
          <w:szCs w:val="20"/>
          <w:lang w:val="es-CO" w:eastAsia="x-none"/>
        </w:rPr>
        <w:t xml:space="preserve"> </w:t>
      </w:r>
      <w:r w:rsidRPr="005B697D">
        <w:rPr>
          <w:rFonts w:cs="Arial"/>
          <w:szCs w:val="20"/>
          <w:lang w:val="es-CO" w:eastAsia="x-none"/>
        </w:rPr>
        <w:t>intervenir es aquella área ocupada por la infraestructura, las obras y las actividades que es necesario emprender para el desarrollo de un proyecto, obra o actividad; incluye las requeridas para el uso, aprovechamiento y afectación de los recursos naturales renovables.</w:t>
      </w:r>
    </w:p>
  </w:footnote>
  <w:footnote w:id="90">
    <w:p w14:paraId="23162424" w14:textId="10A91E40" w:rsidR="00E46FF2" w:rsidRPr="005B697D" w:rsidRDefault="00E46FF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522CDC" w:rsidRPr="005B697D">
        <w:rPr>
          <w:rFonts w:cs="Arial"/>
          <w:szCs w:val="20"/>
          <w:lang w:val="es-CO"/>
        </w:rPr>
        <w:t xml:space="preserve">La categoría base para delimitar el área de influencia puede </w:t>
      </w:r>
      <w:r w:rsidR="00994D39" w:rsidRPr="005B697D">
        <w:rPr>
          <w:rFonts w:cs="Arial"/>
          <w:szCs w:val="20"/>
          <w:lang w:val="es-CO"/>
        </w:rPr>
        <w:t xml:space="preserve">corresponder </w:t>
      </w:r>
      <w:r w:rsidR="00204608" w:rsidRPr="005B697D">
        <w:rPr>
          <w:rFonts w:cs="Arial"/>
          <w:szCs w:val="20"/>
          <w:lang w:val="es-CO"/>
        </w:rPr>
        <w:t xml:space="preserve">tanto </w:t>
      </w:r>
      <w:r w:rsidR="00994D39" w:rsidRPr="005B697D">
        <w:rPr>
          <w:rFonts w:cs="Arial"/>
          <w:szCs w:val="20"/>
          <w:lang w:val="es-CO"/>
        </w:rPr>
        <w:t>a</w:t>
      </w:r>
      <w:r w:rsidR="00BB7651" w:rsidRPr="005B697D">
        <w:rPr>
          <w:rFonts w:cs="Arial"/>
          <w:szCs w:val="20"/>
          <w:lang w:val="es-CO"/>
        </w:rPr>
        <w:t xml:space="preserve">l </w:t>
      </w:r>
      <w:r w:rsidR="00DA021C" w:rsidRPr="005B697D">
        <w:rPr>
          <w:rFonts w:cs="Arial"/>
          <w:szCs w:val="20"/>
          <w:lang w:val="es-CO"/>
        </w:rPr>
        <w:t xml:space="preserve">factor </w:t>
      </w:r>
      <w:r w:rsidR="00955866" w:rsidRPr="005B697D">
        <w:rPr>
          <w:rFonts w:cs="Arial"/>
          <w:szCs w:val="20"/>
          <w:lang w:val="es-CO"/>
        </w:rPr>
        <w:t>ambiental</w:t>
      </w:r>
      <w:r w:rsidR="00994D39" w:rsidRPr="005B697D">
        <w:rPr>
          <w:rFonts w:cs="Arial"/>
          <w:szCs w:val="20"/>
          <w:lang w:val="es-CO"/>
        </w:rPr>
        <w:t>,</w:t>
      </w:r>
      <w:r w:rsidR="00955866" w:rsidRPr="005B697D">
        <w:rPr>
          <w:rFonts w:cs="Arial"/>
          <w:szCs w:val="20"/>
          <w:lang w:val="es-CO"/>
        </w:rPr>
        <w:t xml:space="preserve"> </w:t>
      </w:r>
      <w:r w:rsidR="00204608" w:rsidRPr="005B697D">
        <w:rPr>
          <w:rFonts w:cs="Arial"/>
          <w:szCs w:val="20"/>
          <w:lang w:val="es-CO"/>
        </w:rPr>
        <w:t xml:space="preserve">como </w:t>
      </w:r>
      <w:r w:rsidR="00994D39" w:rsidRPr="005B697D">
        <w:rPr>
          <w:rFonts w:cs="Arial"/>
          <w:szCs w:val="20"/>
          <w:lang w:val="es-CO"/>
        </w:rPr>
        <w:t>a</w:t>
      </w:r>
      <w:r w:rsidR="00BB7651" w:rsidRPr="005B697D">
        <w:rPr>
          <w:rFonts w:cs="Arial"/>
          <w:szCs w:val="20"/>
          <w:lang w:val="es-CO"/>
        </w:rPr>
        <w:t xml:space="preserve">l </w:t>
      </w:r>
      <w:r w:rsidR="00DA021C" w:rsidRPr="005B697D">
        <w:rPr>
          <w:rFonts w:cs="Arial"/>
          <w:szCs w:val="20"/>
          <w:lang w:val="es-CO"/>
        </w:rPr>
        <w:t>componente ambiental</w:t>
      </w:r>
      <w:r w:rsidR="00E474C5" w:rsidRPr="005B697D">
        <w:rPr>
          <w:rFonts w:cs="Arial"/>
          <w:szCs w:val="20"/>
          <w:lang w:val="es-CO"/>
        </w:rPr>
        <w:t>.</w:t>
      </w:r>
    </w:p>
  </w:footnote>
  <w:footnote w:id="91">
    <w:p w14:paraId="22EF6C7D"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Las unidades de análisis son áreas geográficas que a una determinada escala son temáticamente homogéneas; presentan dimensiones concretas y son cartografiables.</w:t>
      </w:r>
    </w:p>
  </w:footnote>
  <w:footnote w:id="92">
    <w:p w14:paraId="46885473" w14:textId="7B36622D"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 representación en un plano cartográfico de dos dimensiones debe reflejar mediante una proyección ortogonal el hecho de que los impactos ambientales de algunos </w:t>
      </w:r>
      <w:r w:rsidR="001D52B6" w:rsidRPr="005B697D">
        <w:rPr>
          <w:rFonts w:cs="Arial"/>
          <w:szCs w:val="20"/>
          <w:lang w:val="es-CO"/>
        </w:rPr>
        <w:t xml:space="preserve">factores o </w:t>
      </w:r>
      <w:r w:rsidRPr="005B697D">
        <w:rPr>
          <w:rFonts w:cs="Arial"/>
          <w:szCs w:val="20"/>
          <w:lang w:val="es-CO"/>
        </w:rPr>
        <w:t>componentes no ocurren sólo en superficie, sino que también, pueden manifestarse en un espacio tridimensional o volumen (</w:t>
      </w:r>
      <w:r w:rsidR="00041844" w:rsidRPr="005B697D">
        <w:rPr>
          <w:rFonts w:cs="Arial"/>
          <w:szCs w:val="20"/>
          <w:lang w:val="es-CO"/>
        </w:rPr>
        <w:t>p. ej.</w:t>
      </w:r>
      <w:r w:rsidRPr="005B697D">
        <w:rPr>
          <w:rFonts w:cs="Arial"/>
          <w:szCs w:val="20"/>
          <w:lang w:val="es-CO"/>
        </w:rPr>
        <w:t xml:space="preserve"> en el océano, cuerpos de agua lénticos, atmósfera, entre otros).</w:t>
      </w:r>
    </w:p>
  </w:footnote>
  <w:footnote w:id="93">
    <w:p w14:paraId="7A4335A8" w14:textId="7FA97FC7" w:rsidR="003515EC" w:rsidRPr="005B697D" w:rsidRDefault="003515EC" w:rsidP="005B697D">
      <w:pPr>
        <w:pStyle w:val="Textonotapie"/>
        <w:rPr>
          <w:rFonts w:cs="Arial"/>
          <w:szCs w:val="20"/>
          <w:lang w:val="es-CO"/>
        </w:rPr>
      </w:pPr>
      <w:r w:rsidRPr="005B697D">
        <w:rPr>
          <w:rFonts w:cs="Arial"/>
          <w:spacing w:val="-3"/>
          <w:szCs w:val="20"/>
          <w:lang w:val="es-CO"/>
        </w:rPr>
        <w:footnoteRef/>
      </w:r>
      <w:r w:rsidRPr="005B697D">
        <w:rPr>
          <w:rFonts w:cs="Arial"/>
          <w:spacing w:val="-3"/>
          <w:szCs w:val="20"/>
          <w:vertAlign w:val="superscript"/>
          <w:lang w:val="es-CO"/>
        </w:rPr>
        <w:t xml:space="preserve"> </w:t>
      </w:r>
      <w:r w:rsidRPr="005B697D">
        <w:rPr>
          <w:rFonts w:cs="Arial"/>
          <w:spacing w:val="-3"/>
          <w:szCs w:val="20"/>
          <w:lang w:val="es-CO"/>
        </w:rPr>
        <w:t xml:space="preserve">Los modelos de dispersión a emplear pueden ser de tipo gaussiano, lagrangiano o eureliano. </w:t>
      </w:r>
      <w:r w:rsidR="00381337" w:rsidRPr="005B697D">
        <w:rPr>
          <w:rFonts w:cs="Arial"/>
          <w:spacing w:val="-3"/>
          <w:szCs w:val="20"/>
          <w:lang w:val="es-CO"/>
        </w:rPr>
        <w:t xml:space="preserve">Es posible </w:t>
      </w:r>
      <w:r w:rsidRPr="005B697D">
        <w:rPr>
          <w:rFonts w:cs="Arial"/>
          <w:spacing w:val="-3"/>
          <w:szCs w:val="20"/>
          <w:lang w:val="es-CO"/>
        </w:rPr>
        <w:t>el uso de modelos aprobados por la EPA, como AERMOD para aplicaciones de uso general y</w:t>
      </w:r>
      <w:r w:rsidR="00381337" w:rsidRPr="005B697D">
        <w:rPr>
          <w:rFonts w:cs="Arial"/>
          <w:spacing w:val="-3"/>
          <w:szCs w:val="20"/>
          <w:lang w:val="es-CO"/>
        </w:rPr>
        <w:t>,</w:t>
      </w:r>
      <w:r w:rsidRPr="005B697D">
        <w:rPr>
          <w:rFonts w:cs="Arial"/>
          <w:spacing w:val="-3"/>
          <w:szCs w:val="20"/>
          <w:lang w:val="es-CO"/>
        </w:rPr>
        <w:t xml:space="preserve"> CALPUFF en contextos específicos como terreno complejo o transporte a larga distancia. </w:t>
      </w:r>
      <w:r w:rsidR="001E137A" w:rsidRPr="005B697D">
        <w:rPr>
          <w:rFonts w:cs="Arial"/>
          <w:spacing w:val="-3"/>
          <w:szCs w:val="20"/>
          <w:lang w:val="es-CO"/>
        </w:rPr>
        <w:t xml:space="preserve">Asimismo, se deben aplicar las indicaciones establecidas en la </w:t>
      </w:r>
      <w:r w:rsidR="00A81BCE" w:rsidRPr="005B697D">
        <w:rPr>
          <w:rFonts w:cs="Arial"/>
          <w:i/>
          <w:iCs/>
          <w:spacing w:val="-3"/>
          <w:szCs w:val="20"/>
          <w:lang w:val="es-CO"/>
        </w:rPr>
        <w:t>Guía de modelación de calidad del aire</w:t>
      </w:r>
      <w:r w:rsidR="00A81BCE" w:rsidRPr="005B697D">
        <w:rPr>
          <w:rFonts w:cs="Arial"/>
          <w:spacing w:val="-3"/>
          <w:szCs w:val="20"/>
          <w:lang w:val="es-CO"/>
        </w:rPr>
        <w:t xml:space="preserve"> </w:t>
      </w:r>
      <w:r w:rsidR="00483EEC" w:rsidRPr="005B697D">
        <w:rPr>
          <w:rFonts w:cs="Arial"/>
          <w:spacing w:val="-3"/>
          <w:szCs w:val="20"/>
          <w:lang w:val="es-CO"/>
        </w:rPr>
        <w:t xml:space="preserve">desarrollada </w:t>
      </w:r>
      <w:r w:rsidR="00A81BCE" w:rsidRPr="005B697D">
        <w:rPr>
          <w:rFonts w:cs="Arial"/>
          <w:spacing w:val="-3"/>
          <w:szCs w:val="20"/>
          <w:lang w:val="es-CO"/>
        </w:rPr>
        <w:t>por Minambiente</w:t>
      </w:r>
      <w:r w:rsidR="00426910" w:rsidRPr="005B697D">
        <w:rPr>
          <w:rFonts w:cs="Arial"/>
          <w:spacing w:val="-3"/>
          <w:szCs w:val="20"/>
          <w:lang w:val="es-CO"/>
        </w:rPr>
        <w:t xml:space="preserve"> que sean aplicables al caso de modelización</w:t>
      </w:r>
      <w:r w:rsidR="00A81BCE" w:rsidRPr="005B697D">
        <w:rPr>
          <w:rFonts w:cs="Arial"/>
          <w:spacing w:val="-3"/>
          <w:szCs w:val="20"/>
          <w:lang w:val="es-CO"/>
        </w:rPr>
        <w:t xml:space="preserve">. </w:t>
      </w:r>
      <w:r w:rsidRPr="005B697D">
        <w:rPr>
          <w:rFonts w:cs="Arial"/>
          <w:spacing w:val="-3"/>
          <w:szCs w:val="20"/>
          <w:lang w:val="es-CO"/>
        </w:rPr>
        <w:t xml:space="preserve">En </w:t>
      </w:r>
      <w:r w:rsidR="00381337" w:rsidRPr="005B697D">
        <w:rPr>
          <w:rFonts w:cs="Arial"/>
          <w:spacing w:val="-3"/>
          <w:szCs w:val="20"/>
          <w:lang w:val="es-CO"/>
        </w:rPr>
        <w:t xml:space="preserve">cualquier caso, la selección del modelo se debe </w:t>
      </w:r>
      <w:r w:rsidRPr="005B697D">
        <w:rPr>
          <w:rFonts w:cs="Arial"/>
          <w:spacing w:val="-3"/>
          <w:szCs w:val="20"/>
          <w:lang w:val="es-CO"/>
        </w:rPr>
        <w:t>sustenta</w:t>
      </w:r>
      <w:r w:rsidR="00381337" w:rsidRPr="005B697D">
        <w:rPr>
          <w:rFonts w:cs="Arial"/>
          <w:spacing w:val="-3"/>
          <w:szCs w:val="20"/>
          <w:lang w:val="es-CO"/>
        </w:rPr>
        <w:t xml:space="preserve">r </w:t>
      </w:r>
      <w:r w:rsidRPr="005B697D">
        <w:rPr>
          <w:rFonts w:cs="Arial"/>
          <w:spacing w:val="-3"/>
          <w:szCs w:val="20"/>
          <w:lang w:val="es-CO"/>
        </w:rPr>
        <w:t>técnica y científicamente</w:t>
      </w:r>
      <w:r w:rsidR="00381337" w:rsidRPr="005B697D">
        <w:rPr>
          <w:rFonts w:cs="Arial"/>
          <w:spacing w:val="-3"/>
          <w:szCs w:val="20"/>
          <w:lang w:val="es-CO"/>
        </w:rPr>
        <w:t>.</w:t>
      </w:r>
    </w:p>
  </w:footnote>
  <w:footnote w:id="94">
    <w:p w14:paraId="3B6C3229" w14:textId="77777777" w:rsidR="006706DF" w:rsidRPr="005B697D" w:rsidRDefault="006706DF" w:rsidP="006706DF">
      <w:pPr>
        <w:pStyle w:val="Textonotapie"/>
        <w:rPr>
          <w:rFonts w:cs="Arial"/>
          <w:szCs w:val="20"/>
          <w:lang w:val="es-CO"/>
        </w:rPr>
      </w:pPr>
      <w:r w:rsidRPr="005B697D">
        <w:rPr>
          <w:rFonts w:cs="Arial"/>
          <w:spacing w:val="-3"/>
          <w:szCs w:val="20"/>
          <w:lang w:val="es-CO"/>
        </w:rPr>
        <w:footnoteRef/>
      </w:r>
      <w:r w:rsidRPr="005B697D">
        <w:rPr>
          <w:rFonts w:cs="Arial"/>
          <w:spacing w:val="-3"/>
          <w:szCs w:val="20"/>
          <w:vertAlign w:val="superscript"/>
          <w:lang w:val="es-CO"/>
        </w:rPr>
        <w:t xml:space="preserve"> </w:t>
      </w:r>
      <w:r w:rsidRPr="005B697D">
        <w:rPr>
          <w:rFonts w:cs="Arial"/>
          <w:spacing w:val="-3"/>
          <w:szCs w:val="20"/>
          <w:lang w:val="es-CO"/>
        </w:rPr>
        <w:t xml:space="preserve">Se refiere a la concentración ambiental existente de un contaminante atribuida a fuentes no incluidas en el inventario de emisiones modelado, como fuentes naturales, regionales o lejanas (Appendix W to Part 51 – Guideline on Air Quality Models. </w:t>
      </w:r>
      <w:r w:rsidRPr="005B697D">
        <w:rPr>
          <w:rFonts w:cs="Arial"/>
          <w:spacing w:val="-3"/>
          <w:szCs w:val="20"/>
          <w:lang w:val="en-US"/>
        </w:rPr>
        <w:t xml:space="preserve">Title 40 CFR, updated as of September 29, 2025), Section 8.3.1–8.3.2. – U.S. EPA). </w:t>
      </w:r>
      <w:r w:rsidRPr="005B697D">
        <w:rPr>
          <w:rFonts w:cs="Arial"/>
          <w:spacing w:val="-3"/>
          <w:szCs w:val="20"/>
          <w:lang w:val="es-CO"/>
        </w:rPr>
        <w:t>En caso de no contar con información proveniente de estaciones de SVCA permanentes, es posible utilizar otra información disponible de la caracterización de línea base, siguiendo los lineamientos que establece la normatividad vigente.</w:t>
      </w:r>
    </w:p>
  </w:footnote>
  <w:footnote w:id="95">
    <w:p w14:paraId="0BE8E04F" w14:textId="28AAFB58"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spacing w:val="-3"/>
          <w:szCs w:val="20"/>
          <w:lang w:val="es-CO"/>
        </w:rPr>
        <w:t xml:space="preserve">Teniendo en cuenta que de un ecosistema a otro hay diferencias en composición, estructura y función, y que </w:t>
      </w:r>
      <w:r w:rsidRPr="005B697D">
        <w:rPr>
          <w:rFonts w:cs="Arial"/>
          <w:szCs w:val="20"/>
          <w:lang w:val="es-CO"/>
        </w:rPr>
        <w:t xml:space="preserve">distintas coberturas de la tierra pueden reflejar tales diferencias, es posible </w:t>
      </w:r>
      <w:r w:rsidR="00A928E6" w:rsidRPr="005B697D">
        <w:rPr>
          <w:rFonts w:cs="Arial"/>
          <w:szCs w:val="20"/>
          <w:lang w:val="es-CO"/>
        </w:rPr>
        <w:t xml:space="preserve">asumir </w:t>
      </w:r>
      <w:r w:rsidRPr="005B697D">
        <w:rPr>
          <w:rFonts w:cs="Arial"/>
          <w:szCs w:val="20"/>
          <w:lang w:val="es-CO"/>
        </w:rPr>
        <w:t>que los límites de las unidades de análisis seleccionadas (</w:t>
      </w:r>
      <w:r w:rsidR="004B788E" w:rsidRPr="005B697D">
        <w:rPr>
          <w:rFonts w:cs="Arial"/>
          <w:szCs w:val="20"/>
          <w:lang w:val="es-CO"/>
        </w:rPr>
        <w:t xml:space="preserve">p. ej. </w:t>
      </w:r>
      <w:r w:rsidRPr="005B697D">
        <w:rPr>
          <w:rFonts w:cs="Arial"/>
          <w:szCs w:val="20"/>
          <w:lang w:val="es-CO"/>
        </w:rPr>
        <w:t>ecosistemas o coberturas de la tierra), pueden generar interrupciones a los impactos ambientales.</w:t>
      </w:r>
    </w:p>
  </w:footnote>
  <w:footnote w:id="96">
    <w:p w14:paraId="1D684083" w14:textId="7826EB30"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color w:val="000000"/>
          <w:szCs w:val="20"/>
          <w:shd w:val="clear" w:color="auto" w:fill="FFFFFF"/>
          <w:lang w:val="es-CO"/>
        </w:rPr>
        <w:t>Entendida como la descripción del grado en que los paisajes facilitan o impiden el movimiento de organismos y procesos, de acuerdo con lo expuesto por Ament et al. (2014).</w:t>
      </w:r>
    </w:p>
  </w:footnote>
  <w:footnote w:id="97">
    <w:p w14:paraId="5DF533A3" w14:textId="64C71915" w:rsidR="00A32CD3" w:rsidRPr="005B697D" w:rsidRDefault="00A32CD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Asimismo, es posible emplear los BioModelos, una aplicación web para la consulta y descarga de información geográfica sobre la distribución de especies de Colombia, desarrollada por el Laboratorio de biogeografía aplicada del Instituto Humboldt (disponible en: http://biomodelos.humboldt.org.co/).</w:t>
      </w:r>
    </w:p>
  </w:footnote>
  <w:footnote w:id="98">
    <w:p w14:paraId="22CAD9BF" w14:textId="77777777" w:rsidR="00A32CD3" w:rsidRPr="005B697D" w:rsidRDefault="00A32CD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Puede recurrirse, por ejemplo, a las bases de datos Global Biodiversity Information Facility (GBIF) y Sistema de Información sobre Biodiversidad de Colombia (SiB Colombia).</w:t>
      </w:r>
    </w:p>
  </w:footnote>
  <w:footnote w:id="99">
    <w:p w14:paraId="133E778E" w14:textId="175A8AE6"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Ver por ejemplo </w:t>
      </w:r>
      <w:r w:rsidRPr="005B697D">
        <w:rPr>
          <w:rFonts w:cs="Arial"/>
          <w:spacing w:val="-3"/>
          <w:szCs w:val="20"/>
          <w:lang w:val="es-CO"/>
        </w:rPr>
        <w:t xml:space="preserve">los estudios de Schneider-Maunoury </w:t>
      </w:r>
      <w:r w:rsidR="003362F6" w:rsidRPr="005B697D">
        <w:rPr>
          <w:rFonts w:cs="Arial"/>
          <w:spacing w:val="-3"/>
          <w:szCs w:val="20"/>
          <w:lang w:val="es-CO"/>
        </w:rPr>
        <w:t xml:space="preserve">et al. </w:t>
      </w:r>
      <w:r w:rsidRPr="005B697D">
        <w:rPr>
          <w:rFonts w:cs="Arial"/>
          <w:spacing w:val="-3"/>
          <w:szCs w:val="20"/>
          <w:lang w:val="es-CO"/>
        </w:rPr>
        <w:t xml:space="preserve">(2016) y de Urbina-Cardona </w:t>
      </w:r>
      <w:r w:rsidR="003362F6" w:rsidRPr="005B697D">
        <w:rPr>
          <w:rFonts w:cs="Arial"/>
          <w:spacing w:val="-3"/>
          <w:szCs w:val="20"/>
          <w:lang w:val="es-CO"/>
        </w:rPr>
        <w:t>et al.</w:t>
      </w:r>
      <w:r w:rsidRPr="005B697D">
        <w:rPr>
          <w:rFonts w:cs="Arial"/>
          <w:spacing w:val="-3"/>
          <w:szCs w:val="20"/>
          <w:lang w:val="es-CO"/>
        </w:rPr>
        <w:t xml:space="preserve"> (2006)</w:t>
      </w:r>
      <w:r w:rsidR="00C0192C" w:rsidRPr="005B697D">
        <w:rPr>
          <w:rFonts w:cs="Arial"/>
          <w:spacing w:val="-3"/>
          <w:szCs w:val="20"/>
          <w:lang w:val="es-CO"/>
        </w:rPr>
        <w:t xml:space="preserve"> </w:t>
      </w:r>
      <w:r w:rsidR="00BE0C9C" w:rsidRPr="005B697D">
        <w:rPr>
          <w:rFonts w:cs="Arial"/>
          <w:spacing w:val="-3"/>
          <w:szCs w:val="20"/>
          <w:lang w:val="es-CO"/>
        </w:rPr>
        <w:t xml:space="preserve">sobre </w:t>
      </w:r>
      <w:r w:rsidR="00214F33" w:rsidRPr="005B697D">
        <w:rPr>
          <w:rFonts w:cs="Arial"/>
          <w:spacing w:val="-3"/>
          <w:szCs w:val="20"/>
          <w:lang w:val="es-CO"/>
        </w:rPr>
        <w:t xml:space="preserve">el </w:t>
      </w:r>
      <w:r w:rsidR="00BE0C9C" w:rsidRPr="005B697D">
        <w:rPr>
          <w:rFonts w:cs="Arial"/>
          <w:spacing w:val="-3"/>
          <w:szCs w:val="20"/>
          <w:lang w:val="es-CO"/>
        </w:rPr>
        <w:t xml:space="preserve">efecto de borde en </w:t>
      </w:r>
      <w:r w:rsidR="00C0192C" w:rsidRPr="005B697D">
        <w:rPr>
          <w:rFonts w:cs="Arial"/>
          <w:spacing w:val="-3"/>
          <w:szCs w:val="20"/>
          <w:lang w:val="es-CO"/>
        </w:rPr>
        <w:t xml:space="preserve">anfibios y reptiles; </w:t>
      </w:r>
      <w:r w:rsidR="00936DB6" w:rsidRPr="005B697D">
        <w:rPr>
          <w:rFonts w:cs="Arial"/>
          <w:spacing w:val="-3"/>
          <w:szCs w:val="20"/>
          <w:lang w:val="es-CO"/>
        </w:rPr>
        <w:t xml:space="preserve">de </w:t>
      </w:r>
      <w:r w:rsidR="00C0192C" w:rsidRPr="005B697D">
        <w:rPr>
          <w:rFonts w:cs="Arial"/>
          <w:spacing w:val="-3"/>
          <w:szCs w:val="20"/>
          <w:lang w:val="es-CO"/>
        </w:rPr>
        <w:t xml:space="preserve">Stratford </w:t>
      </w:r>
      <w:r w:rsidR="002C2C89" w:rsidRPr="005B697D">
        <w:rPr>
          <w:rFonts w:cs="Arial"/>
          <w:spacing w:val="-3"/>
          <w:szCs w:val="20"/>
          <w:lang w:val="es-CO"/>
        </w:rPr>
        <w:t>y</w:t>
      </w:r>
      <w:r w:rsidR="00C0192C" w:rsidRPr="005B697D">
        <w:rPr>
          <w:rFonts w:cs="Arial"/>
          <w:spacing w:val="-3"/>
          <w:szCs w:val="20"/>
          <w:lang w:val="es-CO"/>
        </w:rPr>
        <w:t xml:space="preserve"> Stouffer (2015) y </w:t>
      </w:r>
      <w:r w:rsidR="00936DB6" w:rsidRPr="005B697D">
        <w:rPr>
          <w:rFonts w:cs="Arial"/>
          <w:spacing w:val="-3"/>
          <w:szCs w:val="20"/>
          <w:lang w:val="es-CO"/>
        </w:rPr>
        <w:t xml:space="preserve">de </w:t>
      </w:r>
      <w:r w:rsidR="00C0192C" w:rsidRPr="005B697D">
        <w:rPr>
          <w:rFonts w:cs="Arial"/>
          <w:spacing w:val="-3"/>
          <w:szCs w:val="20"/>
          <w:lang w:val="es-CO"/>
        </w:rPr>
        <w:t xml:space="preserve">Vetter </w:t>
      </w:r>
      <w:r w:rsidR="00F214A2" w:rsidRPr="005B697D">
        <w:rPr>
          <w:rFonts w:cs="Arial"/>
          <w:spacing w:val="-3"/>
          <w:szCs w:val="20"/>
          <w:lang w:val="es-CO"/>
        </w:rPr>
        <w:t>et al.</w:t>
      </w:r>
      <w:r w:rsidR="00C0192C" w:rsidRPr="005B697D">
        <w:rPr>
          <w:rFonts w:cs="Arial"/>
          <w:spacing w:val="-3"/>
          <w:szCs w:val="20"/>
          <w:lang w:val="es-CO"/>
        </w:rPr>
        <w:t xml:space="preserve"> (2013)</w:t>
      </w:r>
      <w:r w:rsidR="00936DB6" w:rsidRPr="005B697D">
        <w:rPr>
          <w:rFonts w:cs="Arial"/>
          <w:spacing w:val="-3"/>
          <w:szCs w:val="20"/>
          <w:lang w:val="es-CO"/>
        </w:rPr>
        <w:t xml:space="preserve"> </w:t>
      </w:r>
      <w:r w:rsidR="00A503BF" w:rsidRPr="005B697D">
        <w:rPr>
          <w:rFonts w:cs="Arial"/>
          <w:spacing w:val="-3"/>
          <w:szCs w:val="20"/>
          <w:lang w:val="es-CO"/>
        </w:rPr>
        <w:t xml:space="preserve">sobre </w:t>
      </w:r>
      <w:r w:rsidR="00D63300" w:rsidRPr="005B697D">
        <w:rPr>
          <w:rFonts w:cs="Arial"/>
          <w:spacing w:val="-3"/>
          <w:szCs w:val="20"/>
          <w:lang w:val="es-CO"/>
        </w:rPr>
        <w:t xml:space="preserve">el </w:t>
      </w:r>
      <w:r w:rsidR="00E349E6" w:rsidRPr="005B697D">
        <w:rPr>
          <w:rFonts w:cs="Arial"/>
          <w:spacing w:val="-3"/>
          <w:szCs w:val="20"/>
          <w:lang w:val="es-CO"/>
        </w:rPr>
        <w:t xml:space="preserve">efecto de </w:t>
      </w:r>
      <w:r w:rsidR="002C2C89" w:rsidRPr="005B697D">
        <w:rPr>
          <w:rFonts w:cs="Arial"/>
          <w:spacing w:val="-3"/>
          <w:szCs w:val="20"/>
          <w:lang w:val="es-CO"/>
        </w:rPr>
        <w:t xml:space="preserve">la </w:t>
      </w:r>
      <w:r w:rsidR="00E349E6" w:rsidRPr="005B697D">
        <w:rPr>
          <w:rFonts w:cs="Arial"/>
          <w:spacing w:val="-3"/>
          <w:szCs w:val="20"/>
          <w:lang w:val="es-CO"/>
        </w:rPr>
        <w:t xml:space="preserve">fragmentación en </w:t>
      </w:r>
      <w:r w:rsidR="00C0192C" w:rsidRPr="005B697D">
        <w:rPr>
          <w:rFonts w:cs="Arial"/>
          <w:spacing w:val="-3"/>
          <w:szCs w:val="20"/>
          <w:lang w:val="es-CO"/>
        </w:rPr>
        <w:t>aves</w:t>
      </w:r>
      <w:r w:rsidR="005857CE" w:rsidRPr="005B697D">
        <w:rPr>
          <w:rFonts w:cs="Arial"/>
          <w:spacing w:val="-3"/>
          <w:szCs w:val="20"/>
          <w:lang w:val="es-CO"/>
        </w:rPr>
        <w:t xml:space="preserve"> y; </w:t>
      </w:r>
      <w:r w:rsidR="00D63300" w:rsidRPr="005B697D">
        <w:rPr>
          <w:rFonts w:cs="Arial"/>
          <w:spacing w:val="-3"/>
          <w:szCs w:val="20"/>
          <w:lang w:val="es-CO"/>
        </w:rPr>
        <w:t xml:space="preserve">de </w:t>
      </w:r>
      <w:r w:rsidR="005857CE" w:rsidRPr="005B697D">
        <w:rPr>
          <w:rFonts w:cs="Arial"/>
          <w:spacing w:val="-3"/>
          <w:szCs w:val="20"/>
          <w:lang w:val="es-CO"/>
        </w:rPr>
        <w:t xml:space="preserve">Azam </w:t>
      </w:r>
      <w:r w:rsidR="00F214A2" w:rsidRPr="005B697D">
        <w:rPr>
          <w:rFonts w:cs="Arial"/>
          <w:spacing w:val="-3"/>
          <w:szCs w:val="20"/>
          <w:lang w:val="es-CO"/>
        </w:rPr>
        <w:t>et al.</w:t>
      </w:r>
      <w:r w:rsidR="005857CE" w:rsidRPr="005B697D">
        <w:rPr>
          <w:rFonts w:cs="Arial"/>
          <w:spacing w:val="-3"/>
          <w:szCs w:val="20"/>
          <w:lang w:val="es-CO"/>
        </w:rPr>
        <w:t xml:space="preserve"> </w:t>
      </w:r>
      <w:r w:rsidR="005857CE" w:rsidRPr="005B697D">
        <w:rPr>
          <w:rFonts w:cs="Arial"/>
          <w:spacing w:val="-3"/>
          <w:szCs w:val="20"/>
          <w:lang w:val="fr-FR"/>
        </w:rPr>
        <w:t xml:space="preserve">(2016), Bennie et al. (2015), Eisenbeis y Hänel (2009), Lyytimäki (2013) y Rowse </w:t>
      </w:r>
      <w:r w:rsidR="00F214A2" w:rsidRPr="005B697D">
        <w:rPr>
          <w:rFonts w:cs="Arial"/>
          <w:spacing w:val="-3"/>
          <w:szCs w:val="20"/>
          <w:lang w:val="fr-FR"/>
        </w:rPr>
        <w:t>et al.</w:t>
      </w:r>
      <w:r w:rsidR="00F94B80" w:rsidRPr="005B697D">
        <w:rPr>
          <w:rFonts w:cs="Arial"/>
          <w:spacing w:val="-3"/>
          <w:szCs w:val="20"/>
          <w:lang w:val="fr-FR"/>
        </w:rPr>
        <w:t xml:space="preserve"> </w:t>
      </w:r>
      <w:r w:rsidR="005857CE" w:rsidRPr="005B697D">
        <w:rPr>
          <w:rFonts w:cs="Arial"/>
          <w:spacing w:val="-3"/>
          <w:szCs w:val="20"/>
          <w:lang w:val="es-CO"/>
        </w:rPr>
        <w:t xml:space="preserve">(2016) </w:t>
      </w:r>
      <w:r w:rsidR="00F94B80" w:rsidRPr="005B697D">
        <w:rPr>
          <w:rFonts w:cs="Arial"/>
          <w:spacing w:val="-3"/>
          <w:szCs w:val="20"/>
          <w:lang w:val="es-CO"/>
        </w:rPr>
        <w:t xml:space="preserve">sobre el </w:t>
      </w:r>
      <w:r w:rsidR="00E349E6" w:rsidRPr="005B697D">
        <w:rPr>
          <w:rFonts w:cs="Arial"/>
          <w:spacing w:val="-3"/>
          <w:szCs w:val="20"/>
          <w:lang w:val="es-CO"/>
        </w:rPr>
        <w:t xml:space="preserve">efecto de la luz </w:t>
      </w:r>
      <w:r w:rsidR="00F94B80" w:rsidRPr="005B697D">
        <w:rPr>
          <w:rFonts w:cs="Arial"/>
          <w:spacing w:val="-3"/>
          <w:szCs w:val="20"/>
          <w:lang w:val="es-CO"/>
        </w:rPr>
        <w:t xml:space="preserve">en </w:t>
      </w:r>
      <w:r w:rsidR="00E349E6" w:rsidRPr="005B697D">
        <w:rPr>
          <w:rFonts w:cs="Arial"/>
          <w:spacing w:val="-3"/>
          <w:szCs w:val="20"/>
          <w:lang w:val="es-CO"/>
        </w:rPr>
        <w:t>la fauna silvestre</w:t>
      </w:r>
      <w:r w:rsidRPr="005B697D">
        <w:rPr>
          <w:rFonts w:cs="Arial"/>
          <w:spacing w:val="-3"/>
          <w:szCs w:val="20"/>
          <w:lang w:val="es-CO"/>
        </w:rPr>
        <w:t>.</w:t>
      </w:r>
    </w:p>
  </w:footnote>
  <w:footnote w:id="100">
    <w:p w14:paraId="791AF3DA" w14:textId="71E43F70" w:rsidR="00D55F13" w:rsidRPr="005B697D" w:rsidRDefault="00D55F13"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Tipo de poblamiento de la comunidad indígena Wayuu, que se caracteriza por ser un conjunto de viviendas en la zona rural asociado a su concepción territorial y de asentamiento familiar (Saldarriaga, 2019).</w:t>
      </w:r>
    </w:p>
  </w:footnote>
  <w:footnote w:id="101">
    <w:p w14:paraId="1A09EE0E"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color w:val="000000"/>
          <w:szCs w:val="20"/>
          <w:lang w:val="es-CO"/>
        </w:rPr>
        <w:t>De acuerdo con el Artículo 2 del Decreto 2164 de 1995, una parcialidad indígena es un grupo o conjunto de familias de ascendencia amerindia, que tienen conciencia de identidad y comparten valores, rasgos, usos o costumbres de su cultura, así como formas de gobierno, gestión, control social o sistemas normativos propios que la distinguen de otras comunidades, tengan o no títulos de propiedad, o que no puedan acreditarlos legalmente, o que sus resguardos fueron disueltos, divididos o declarados vacantes.</w:t>
      </w:r>
    </w:p>
  </w:footnote>
  <w:footnote w:id="102">
    <w:p w14:paraId="40C5CF82" w14:textId="549C2FE4" w:rsidR="00E229D0" w:rsidRPr="005B697D" w:rsidRDefault="00E229D0"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Resguardos de </w:t>
      </w:r>
      <w:r w:rsidR="00B53FC2" w:rsidRPr="005B697D">
        <w:rPr>
          <w:rFonts w:cs="Arial"/>
          <w:szCs w:val="20"/>
          <w:lang w:val="es-CO"/>
        </w:rPr>
        <w:t>origen colonial</w:t>
      </w:r>
      <w:r w:rsidR="001C7EA6" w:rsidRPr="005B697D">
        <w:rPr>
          <w:rFonts w:cs="Arial"/>
          <w:szCs w:val="20"/>
          <w:lang w:val="es-CO"/>
        </w:rPr>
        <w:t>;</w:t>
      </w:r>
      <w:r w:rsidRPr="005B697D">
        <w:rPr>
          <w:rFonts w:cs="Arial"/>
          <w:szCs w:val="20"/>
          <w:lang w:val="es-CO"/>
        </w:rPr>
        <w:t xml:space="preserve"> Territorios </w:t>
      </w:r>
      <w:r w:rsidR="00B53FC2" w:rsidRPr="005B697D">
        <w:rPr>
          <w:rFonts w:cs="Arial"/>
          <w:szCs w:val="20"/>
          <w:lang w:val="es-CO"/>
        </w:rPr>
        <w:t>i</w:t>
      </w:r>
      <w:r w:rsidRPr="005B697D">
        <w:rPr>
          <w:rFonts w:cs="Arial"/>
          <w:szCs w:val="20"/>
          <w:lang w:val="es-CO"/>
        </w:rPr>
        <w:t>ndígenas en áreas no municipalizadas según el Decreto 632 de 2018</w:t>
      </w:r>
      <w:r w:rsidR="001C7EA6" w:rsidRPr="005B697D">
        <w:rPr>
          <w:rFonts w:cs="Arial"/>
          <w:szCs w:val="20"/>
          <w:lang w:val="es-CO"/>
        </w:rPr>
        <w:t>, o aquella norma que lo modifique o sustituya;</w:t>
      </w:r>
      <w:r w:rsidRPr="005B697D">
        <w:rPr>
          <w:rFonts w:cs="Arial"/>
          <w:szCs w:val="20"/>
          <w:lang w:val="es-CO"/>
        </w:rPr>
        <w:t xml:space="preserve"> </w:t>
      </w:r>
      <w:r w:rsidR="00B53FC2" w:rsidRPr="005B697D">
        <w:rPr>
          <w:rFonts w:cs="Arial"/>
          <w:szCs w:val="20"/>
          <w:lang w:val="es-CO"/>
        </w:rPr>
        <w:t>T</w:t>
      </w:r>
      <w:r w:rsidRPr="005B697D">
        <w:rPr>
          <w:rFonts w:cs="Arial"/>
          <w:szCs w:val="20"/>
          <w:lang w:val="es-CO"/>
        </w:rPr>
        <w:t xml:space="preserve">erritorios </w:t>
      </w:r>
      <w:r w:rsidR="00B53FC2" w:rsidRPr="005B697D">
        <w:rPr>
          <w:rFonts w:cs="Arial"/>
          <w:szCs w:val="20"/>
          <w:lang w:val="es-CO"/>
        </w:rPr>
        <w:t>i</w:t>
      </w:r>
      <w:r w:rsidRPr="005B697D">
        <w:rPr>
          <w:rFonts w:cs="Arial"/>
          <w:szCs w:val="20"/>
          <w:lang w:val="es-CO"/>
        </w:rPr>
        <w:t>ndígenas constituidos según el Decreto 488 de 2025</w:t>
      </w:r>
      <w:r w:rsidR="001C7EA6" w:rsidRPr="005B697D">
        <w:rPr>
          <w:rFonts w:cs="Arial"/>
          <w:szCs w:val="20"/>
          <w:lang w:val="es-CO"/>
        </w:rPr>
        <w:t>, o aquella norma que lo modifique o sustituya</w:t>
      </w:r>
      <w:r w:rsidRPr="005B697D">
        <w:rPr>
          <w:rFonts w:cs="Arial"/>
          <w:szCs w:val="20"/>
          <w:lang w:val="es-CO"/>
        </w:rPr>
        <w:t>.</w:t>
      </w:r>
    </w:p>
  </w:footnote>
  <w:footnote w:id="103">
    <w:p w14:paraId="09FE4C4E"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Sus definiciones pueden ser consultadas en el glosario de este documento.</w:t>
      </w:r>
    </w:p>
  </w:footnote>
  <w:footnote w:id="104">
    <w:p w14:paraId="29D0FD6B" w14:textId="68683448" w:rsidR="00170A3B" w:rsidRPr="005B697D" w:rsidRDefault="00170A3B"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Ver por ejemplo Morláns (2005) y </w:t>
      </w:r>
      <w:r w:rsidRPr="005B697D">
        <w:rPr>
          <w:rFonts w:cs="Arial"/>
          <w:spacing w:val="-3"/>
          <w:szCs w:val="20"/>
          <w:lang w:val="es-CO"/>
        </w:rPr>
        <w:t>USDA (1995)</w:t>
      </w:r>
      <w:r w:rsidRPr="005B697D">
        <w:rPr>
          <w:rFonts w:cs="Arial"/>
          <w:szCs w:val="20"/>
          <w:lang w:val="es-CO"/>
        </w:rPr>
        <w:t>. Tener en cuenta que los rangos de distancia deben ser establecidos de acuerdo con las características y naturaleza del proyecto, específicamente, con la magnitud espacial de las obras e infraestructuras propuestas.</w:t>
      </w:r>
    </w:p>
  </w:footnote>
  <w:footnote w:id="105">
    <w:p w14:paraId="7D773200" w14:textId="77777777" w:rsidR="00CB70CF" w:rsidRPr="005B697D" w:rsidRDefault="00CB70CF"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Particularmente sus artículos 4, 5 y 23.1. (literal a). La interpretación de estos artículos en el contexto de la protección del ambiente y del cumplimiento de las obligaciones internacionales de Colombia asociadas a la protección de los derechos humanos, se basó en la Opinión consultiva 23 para Colombia de la Corte interamericana de derechos humanos (CIDH, 2017).</w:t>
      </w:r>
    </w:p>
  </w:footnote>
  <w:footnote w:id="106">
    <w:p w14:paraId="60C61D2A" w14:textId="77777777" w:rsidR="00CB70CF" w:rsidRPr="005B697D" w:rsidRDefault="00CB70CF"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Adoptada y proclamada en 1982 por la Resolución 37/7 de la Asamblea General de las Naciones Unidas. Ver especialmente el numeral 23 “</w:t>
      </w:r>
      <w:r w:rsidRPr="005B697D">
        <w:rPr>
          <w:rFonts w:cs="Arial"/>
          <w:i/>
          <w:szCs w:val="20"/>
          <w:lang w:val="es-CO"/>
        </w:rPr>
        <w:t>Toda persona, de conformidad con la legislación nacional, tendrá la oportunidad de participar, individual o colectivamente, en el proceso de preparación de las decisiones que conciernan directamente a su medio ambiente y, cuando éste haya sido objeto de daño o deterioro, podrá ejercer los recursos necesarios para obtener una indemnización</w:t>
      </w:r>
      <w:r w:rsidRPr="005B697D">
        <w:rPr>
          <w:rFonts w:cs="Arial"/>
          <w:szCs w:val="20"/>
          <w:lang w:val="es-CO"/>
        </w:rPr>
        <w:t>”.</w:t>
      </w:r>
    </w:p>
  </w:footnote>
  <w:footnote w:id="107">
    <w:p w14:paraId="2B59B524" w14:textId="77777777" w:rsidR="00CB70CF" w:rsidRPr="005B697D" w:rsidRDefault="00CB70CF"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Según el cual “</w:t>
      </w:r>
      <w:r w:rsidRPr="005B697D">
        <w:rPr>
          <w:rFonts w:cs="Arial"/>
          <w:i/>
          <w:szCs w:val="20"/>
          <w:lang w:val="es-CO"/>
        </w:rPr>
        <w:t>El mejor modo de tratar las cuestiones ambientales es con la participación de todos los ciudadanos interesados, en el nivel que corresponda. En el plano nacional, toda persona deberá tener acceso adecuado a la información sobre el medio ambiente de que dispongan las autoridades públicas, incluida la información sobre los materiales y las actividades que encierran peligro en sus comunidades, así como la oportunidad de participar en los procesos de adopción de decisiones. Los Estados deberán facilitar y fomentar la sensibilización y la participación de la población poniendo la información a disposición de todos. Deberá proporcionarse acceso efectivo a los procedimientos judiciales y administrativos, entre estos el resarcimiento de daños y los recursos pertinentes”</w:t>
      </w:r>
      <w:r w:rsidRPr="005B697D">
        <w:rPr>
          <w:rFonts w:cs="Arial"/>
          <w:szCs w:val="20"/>
          <w:lang w:val="es-CO"/>
        </w:rPr>
        <w:t>.</w:t>
      </w:r>
    </w:p>
  </w:footnote>
  <w:footnote w:id="108">
    <w:p w14:paraId="2B86FA99" w14:textId="77777777" w:rsidR="00CB70CF" w:rsidRPr="005B697D" w:rsidRDefault="00CB70CF"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Acuerdo conocido como Agenda 21, aprobado en la Conferencia de las Naciones Unidas sobre el Medio Ambiente y el Desarrollo que se reunió en Río de Janeiro en 1992, cuyo capítulo 23.2 señala que “</w:t>
      </w:r>
      <w:r w:rsidRPr="005B697D">
        <w:rPr>
          <w:rFonts w:cs="Arial"/>
          <w:i/>
          <w:szCs w:val="20"/>
          <w:lang w:val="es-CO"/>
        </w:rPr>
        <w:t>Uno de los requisitos fundamentales para alcanzar el desarrollo sostenible es la amplia participación de la opinión pública en la adopción de decisiones. Además, en el contexto más concreto del medio ambiente y el desarrollo, se ha hecho evidente la necesidad de emplear nuevas formas de participación. Se trata de la necesidad de que las personas, los grupos y las organizaciones participen en los procedimientos de evaluación del impacto ambiental, conozcan el mecanismo de adopción de decisiones y participen en él, sobre todo cuando exista la posibilidad de que esas decisiones afecten a las comunidades donde viven y trabajan. Toda persona, grupo u organización debería tener acceso a la información relativa al medio ambiente y el desarrollo con que contaran las autoridades nacionales, incluso a la información acerca de productos y actividades que tuvieran consecuencias importantes para el medio ambiente o hubiera probabilidades de que las tuvieran, así como a la información sobre las medidas de protección del medio ambiente</w:t>
      </w:r>
      <w:r w:rsidRPr="005B697D">
        <w:rPr>
          <w:rFonts w:cs="Arial"/>
          <w:szCs w:val="20"/>
          <w:lang w:val="es-CO"/>
        </w:rPr>
        <w:t>”.</w:t>
      </w:r>
    </w:p>
  </w:footnote>
  <w:footnote w:id="109">
    <w:p w14:paraId="74489539" w14:textId="77777777" w:rsidR="00CB70CF" w:rsidRPr="005B697D" w:rsidRDefault="00CB70CF"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Que en su artículo 74 establece el derecho de petición en materia ambiental.</w:t>
      </w:r>
    </w:p>
  </w:footnote>
  <w:footnote w:id="110">
    <w:p w14:paraId="1F919D27" w14:textId="77777777" w:rsidR="00CB70CF" w:rsidRPr="005B697D" w:rsidRDefault="00CB70CF"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Que expide el Código de Procedimiento Administrativo y de lo Contencioso Administrativo y que en su artículo 3 establece que las actuaciones administrativas deben desarrollarse mediante los principios de debido proceso, igualdad, imparcialidad, buena fe, moralidad, participación, responsabilidad, transparencia, publicidad, coordinación, eficacia, economía y celeridad.</w:t>
      </w:r>
    </w:p>
  </w:footnote>
  <w:footnote w:id="111">
    <w:p w14:paraId="304694F2" w14:textId="77777777" w:rsidR="00CB70CF" w:rsidRPr="005B697D" w:rsidRDefault="00CB70CF"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Que regula el derecho fundamental de acceso a la información pública.</w:t>
      </w:r>
    </w:p>
  </w:footnote>
  <w:footnote w:id="112">
    <w:p w14:paraId="1ECCCF19" w14:textId="77777777" w:rsidR="00CB70CF" w:rsidRPr="005B697D" w:rsidRDefault="00CB70CF"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Que regula el derecho fundamental de petición.</w:t>
      </w:r>
    </w:p>
  </w:footnote>
  <w:footnote w:id="113">
    <w:p w14:paraId="3231BAFD" w14:textId="77777777" w:rsidR="00CB70CF" w:rsidRPr="005B697D" w:rsidRDefault="00CB70CF" w:rsidP="005B697D">
      <w:pPr>
        <w:rPr>
          <w:rFonts w:cs="Arial"/>
          <w:sz w:val="20"/>
          <w:szCs w:val="20"/>
        </w:rPr>
      </w:pPr>
      <w:r w:rsidRPr="005B697D">
        <w:rPr>
          <w:rFonts w:eastAsia="Arial" w:cs="Arial"/>
          <w:sz w:val="20"/>
          <w:szCs w:val="20"/>
          <w:vertAlign w:val="superscript"/>
        </w:rPr>
        <w:footnoteRef/>
      </w:r>
      <w:r w:rsidRPr="005B697D">
        <w:rPr>
          <w:rFonts w:eastAsia="Arial" w:cs="Arial"/>
          <w:sz w:val="20"/>
          <w:szCs w:val="20"/>
        </w:rPr>
        <w:t xml:space="preserve"> Por medio de la cual se aprueba el Acuerdo regional sobre el acceso a la información, la participación pública y el acceso a la justicia en asuntos ambientales en américa latina y el caribe; Acuerdo de Escazú.</w:t>
      </w:r>
    </w:p>
  </w:footnote>
  <w:footnote w:id="114">
    <w:p w14:paraId="38DF4BA2" w14:textId="77777777" w:rsidR="00CB70CF" w:rsidRPr="005B697D" w:rsidRDefault="00CB70CF" w:rsidP="005B697D">
      <w:pPr>
        <w:pStyle w:val="Textonotapie"/>
        <w:rPr>
          <w:rFonts w:cs="Arial"/>
          <w:szCs w:val="20"/>
          <w:lang w:val="es-ES"/>
        </w:rPr>
      </w:pPr>
      <w:r w:rsidRPr="005B697D">
        <w:rPr>
          <w:rStyle w:val="Refdenotaalpie"/>
          <w:rFonts w:cs="Arial"/>
          <w:sz w:val="20"/>
          <w:szCs w:val="20"/>
        </w:rPr>
        <w:footnoteRef/>
      </w:r>
      <w:r w:rsidRPr="005B697D">
        <w:rPr>
          <w:rFonts w:cs="Arial"/>
          <w:szCs w:val="20"/>
        </w:rPr>
        <w:t xml:space="preserve"> </w:t>
      </w:r>
      <w:r w:rsidRPr="005B697D">
        <w:rPr>
          <w:rFonts w:cs="Arial"/>
          <w:szCs w:val="20"/>
          <w:lang w:val="es-CO"/>
        </w:rPr>
        <w:t>se expidió con fundamento en los artículos 56 transitorio y 330 de la Constitución Política, así como en la Ley 21 de 1991 (Convenio 169 de la OIT), con el fin de reconocer el mandato de la Autoridad Territorial Económica y Ambiental (ATEA) de los pueblos indígenas de los territorios que conforman el Consejo Regional Indígena del Cauca (CRIC, establecer sus competencias y fortalecer los mecanismos de coordinación y autonomía territorial, económica y ambiental de las autoridades indígenas.</w:t>
      </w:r>
    </w:p>
  </w:footnote>
  <w:footnote w:id="115">
    <w:p w14:paraId="696569E1" w14:textId="77777777" w:rsidR="00CB70CF" w:rsidRPr="005B697D" w:rsidRDefault="00CB70CF"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S</w:t>
      </w:r>
      <w:r w:rsidRPr="005B697D">
        <w:rPr>
          <w:rFonts w:cs="Arial"/>
          <w:szCs w:val="20"/>
          <w:lang w:val="es-CO"/>
        </w:rPr>
        <w:t>e expidió con fundamento en el artículo 56 transitorio y el artículo 330 de la Constitución Política, así como en el artículo 4 de la Ley 21 de 1991 (Convenio 169 de la OIT), con el propósito de reglamentar el funcionamiento de los territorios indígenas en materia ambiental, reconocer las competencias ambientales de las autoridades indígenas y fortalecer la coordinación con las demás autoridades del Sistema Nacional Ambiental.</w:t>
      </w:r>
    </w:p>
  </w:footnote>
  <w:footnote w:id="116">
    <w:p w14:paraId="729BC962" w14:textId="77777777" w:rsidR="00CB70CF" w:rsidRPr="005B697D" w:rsidRDefault="00CB70CF" w:rsidP="005B697D">
      <w:pPr>
        <w:pStyle w:val="Textonotapie"/>
        <w:rPr>
          <w:rFonts w:cs="Arial"/>
          <w:szCs w:val="20"/>
          <w:lang w:val="fr-FR"/>
        </w:rPr>
      </w:pPr>
      <w:r w:rsidRPr="005B697D">
        <w:rPr>
          <w:rStyle w:val="Refdenotaalpie"/>
          <w:rFonts w:cs="Arial"/>
          <w:sz w:val="20"/>
          <w:szCs w:val="20"/>
          <w:lang w:val="es-CO"/>
        </w:rPr>
        <w:footnoteRef/>
      </w:r>
      <w:r w:rsidRPr="005B697D">
        <w:rPr>
          <w:rFonts w:cs="Arial"/>
          <w:szCs w:val="20"/>
          <w:lang w:val="fr-FR"/>
        </w:rPr>
        <w:t xml:space="preserve"> Sentencias T-348 de 2012, T-294 de 2014, T-704 de 2016 y SU-217 de 2017.</w:t>
      </w:r>
    </w:p>
  </w:footnote>
  <w:footnote w:id="117">
    <w:p w14:paraId="69DC8F99" w14:textId="60EAAB58" w:rsidR="005D18C9" w:rsidRPr="005B697D" w:rsidRDefault="005D18C9"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ref</w:t>
      </w:r>
      <w:r w:rsidR="002C5B64" w:rsidRPr="005B697D">
        <w:rPr>
          <w:rFonts w:cs="Arial"/>
          <w:szCs w:val="20"/>
          <w:lang w:val="es-CO"/>
        </w:rPr>
        <w:t xml:space="preserve">iere </w:t>
      </w:r>
      <w:r w:rsidRPr="005B697D">
        <w:rPr>
          <w:rFonts w:cs="Arial"/>
          <w:szCs w:val="20"/>
          <w:lang w:val="es-CO"/>
        </w:rPr>
        <w:t>a las personas que tienen mayor dificultad para informarse y participar de manera efectiva por diversas situaciones, entre ellas, limitaciones tecnológicas, auditivas, por tener una lengua diferente al castellano o vivir en espacios territoriales de difícil acceso.</w:t>
      </w:r>
    </w:p>
  </w:footnote>
  <w:footnote w:id="118">
    <w:p w14:paraId="1359DB98" w14:textId="77777777" w:rsidR="00533295" w:rsidRPr="005B697D" w:rsidRDefault="0053329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caso de que el solicitante del trámite de evaluación del estudio ambiental sea un sujeto obligado en términos de la Ley 1712 de 2014, toda la información pública que no esté limitada o reservada bajo una disposición constitucional debe ponerse a disposición de los grupos de interés.</w:t>
      </w:r>
    </w:p>
  </w:footnote>
  <w:footnote w:id="119">
    <w:p w14:paraId="7EF8ECEC" w14:textId="5EA05335" w:rsidR="007D7E89" w:rsidRPr="005B697D" w:rsidRDefault="007D7E89"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AB728D" w:rsidRPr="005B697D">
        <w:rPr>
          <w:rFonts w:cs="Arial"/>
          <w:szCs w:val="20"/>
        </w:rPr>
        <w:t>No obstante, debe restringirse e</w:t>
      </w:r>
      <w:r w:rsidR="00617298" w:rsidRPr="005B697D">
        <w:rPr>
          <w:rFonts w:cs="Arial"/>
          <w:szCs w:val="20"/>
        </w:rPr>
        <w:t xml:space="preserve">l acceso </w:t>
      </w:r>
      <w:r w:rsidR="00AB728D" w:rsidRPr="005B697D">
        <w:rPr>
          <w:rFonts w:cs="Arial"/>
          <w:szCs w:val="20"/>
        </w:rPr>
        <w:t xml:space="preserve">a </w:t>
      </w:r>
      <w:r w:rsidRPr="005B697D">
        <w:rPr>
          <w:rFonts w:cs="Arial"/>
          <w:szCs w:val="20"/>
        </w:rPr>
        <w:t xml:space="preserve">datos personales sensibles cuya publicación </w:t>
      </w:r>
      <w:r w:rsidR="00B85540" w:rsidRPr="005B697D">
        <w:rPr>
          <w:rFonts w:cs="Arial"/>
          <w:szCs w:val="20"/>
        </w:rPr>
        <w:t xml:space="preserve">pueda </w:t>
      </w:r>
      <w:r w:rsidRPr="005B697D">
        <w:rPr>
          <w:rFonts w:cs="Arial"/>
          <w:szCs w:val="20"/>
        </w:rPr>
        <w:t xml:space="preserve">poner </w:t>
      </w:r>
      <w:r w:rsidR="00B85540" w:rsidRPr="005B697D">
        <w:rPr>
          <w:rFonts w:cs="Arial"/>
          <w:szCs w:val="20"/>
        </w:rPr>
        <w:t>en</w:t>
      </w:r>
      <w:r w:rsidRPr="005B697D">
        <w:rPr>
          <w:rFonts w:cs="Arial"/>
          <w:szCs w:val="20"/>
        </w:rPr>
        <w:t xml:space="preserve"> riesgo la vida, integridad u otros derechos de terceros</w:t>
      </w:r>
      <w:r w:rsidR="00C74C97" w:rsidRPr="005B697D">
        <w:rPr>
          <w:rFonts w:cs="Arial"/>
          <w:szCs w:val="20"/>
        </w:rPr>
        <w:t>.</w:t>
      </w:r>
    </w:p>
  </w:footnote>
  <w:footnote w:id="120">
    <w:p w14:paraId="665F8AA0" w14:textId="6FA1B9D9" w:rsidR="00FB2FEE" w:rsidRPr="005B697D" w:rsidRDefault="00FB2FEE"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541D55" w:rsidRPr="005B697D">
        <w:rPr>
          <w:rFonts w:cs="Arial"/>
          <w:szCs w:val="20"/>
        </w:rPr>
        <w:t>L</w:t>
      </w:r>
      <w:r w:rsidR="008E6A58" w:rsidRPr="005B697D">
        <w:rPr>
          <w:rFonts w:cs="Arial"/>
          <w:szCs w:val="20"/>
        </w:rPr>
        <w:t xml:space="preserve">as actividades, </w:t>
      </w:r>
      <w:r w:rsidR="00541D55" w:rsidRPr="005B697D">
        <w:rPr>
          <w:rFonts w:cs="Arial"/>
          <w:szCs w:val="20"/>
        </w:rPr>
        <w:t>procedimientos y dem</w:t>
      </w:r>
      <w:r w:rsidR="008E6A58" w:rsidRPr="005B697D">
        <w:rPr>
          <w:rFonts w:cs="Arial"/>
          <w:szCs w:val="20"/>
        </w:rPr>
        <w:t>ás especificaciones</w:t>
      </w:r>
      <w:r w:rsidR="00315D69" w:rsidRPr="005B697D">
        <w:rPr>
          <w:rFonts w:cs="Arial"/>
          <w:szCs w:val="20"/>
        </w:rPr>
        <w:t xml:space="preserve"> que deben desarrollarse cuando se prevea la manifestación de impactos ambientales significativos transfronterizos</w:t>
      </w:r>
      <w:r w:rsidR="005407F1" w:rsidRPr="005B697D">
        <w:rPr>
          <w:rFonts w:cs="Arial"/>
          <w:szCs w:val="20"/>
        </w:rPr>
        <w:t xml:space="preserve">, se establecerán </w:t>
      </w:r>
      <w:r w:rsidR="00797D85" w:rsidRPr="005B697D">
        <w:rPr>
          <w:rFonts w:cs="Arial"/>
          <w:szCs w:val="20"/>
        </w:rPr>
        <w:t>mediante un mecanismo de información emitido por Cancillería</w:t>
      </w:r>
      <w:r w:rsidR="00515641" w:rsidRPr="005B697D">
        <w:rPr>
          <w:rFonts w:cs="Arial"/>
          <w:szCs w:val="20"/>
        </w:rPr>
        <w:t xml:space="preserve"> con el apoyo de</w:t>
      </w:r>
      <w:r w:rsidR="009D0918" w:rsidRPr="005B697D">
        <w:rPr>
          <w:rFonts w:cs="Arial"/>
          <w:szCs w:val="20"/>
        </w:rPr>
        <w:t>l Ministerio de Ambiente y Desarrollo Sostenible</w:t>
      </w:r>
      <w:r w:rsidR="00797D85" w:rsidRPr="005B697D">
        <w:rPr>
          <w:rFonts w:cs="Arial"/>
          <w:szCs w:val="20"/>
        </w:rPr>
        <w:t>.</w:t>
      </w:r>
    </w:p>
  </w:footnote>
  <w:footnote w:id="121">
    <w:p w14:paraId="28A2007E" w14:textId="2372504D" w:rsidR="00533295" w:rsidRPr="005B697D" w:rsidRDefault="0053329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Entre ellas, las históricas, demográficas, educativas, patrimoniales, de relación con los ecosistemas, de género, de memoria, de vulnerabilidad, de liderazgo social y ambiental y de limitación a la participación por amenazas a la vida (señaladas en el numeral 4.3.2 de este capítulo).</w:t>
      </w:r>
    </w:p>
  </w:footnote>
  <w:footnote w:id="122">
    <w:p w14:paraId="08949804" w14:textId="20AD5085" w:rsidR="005E4631" w:rsidRPr="005B697D" w:rsidRDefault="005E4631"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BA1831" w:rsidRPr="005B697D">
        <w:rPr>
          <w:rFonts w:cs="Arial"/>
          <w:szCs w:val="20"/>
          <w:lang w:val="es-CO"/>
        </w:rPr>
        <w:t>E</w:t>
      </w:r>
      <w:r w:rsidR="0063314C" w:rsidRPr="005B697D">
        <w:rPr>
          <w:rFonts w:cs="Arial"/>
          <w:szCs w:val="20"/>
          <w:lang w:val="es-CO"/>
        </w:rPr>
        <w:t>specialmente</w:t>
      </w:r>
      <w:r w:rsidR="00BA1831" w:rsidRPr="005B697D">
        <w:rPr>
          <w:rFonts w:eastAsia="Arial" w:cs="Arial"/>
          <w:szCs w:val="20"/>
          <w:lang w:val="es-CO"/>
        </w:rPr>
        <w:t>, la Alerta Temprana 0</w:t>
      </w:r>
      <w:r w:rsidR="00A71713" w:rsidRPr="005B697D">
        <w:rPr>
          <w:rFonts w:eastAsia="Arial" w:cs="Arial"/>
          <w:szCs w:val="20"/>
          <w:lang w:val="es-CO"/>
        </w:rPr>
        <w:t>19</w:t>
      </w:r>
      <w:r w:rsidR="00BA1831" w:rsidRPr="005B697D">
        <w:rPr>
          <w:rFonts w:eastAsia="Arial" w:cs="Arial"/>
          <w:szCs w:val="20"/>
          <w:lang w:val="es-CO"/>
        </w:rPr>
        <w:t xml:space="preserve"> de 20</w:t>
      </w:r>
      <w:r w:rsidR="00A71713" w:rsidRPr="005B697D">
        <w:rPr>
          <w:rFonts w:eastAsia="Arial" w:cs="Arial"/>
          <w:szCs w:val="20"/>
          <w:lang w:val="es-CO"/>
        </w:rPr>
        <w:t>23</w:t>
      </w:r>
      <w:r w:rsidR="00BA1831" w:rsidRPr="005B697D">
        <w:rPr>
          <w:rFonts w:eastAsia="Arial" w:cs="Arial"/>
          <w:szCs w:val="20"/>
          <w:lang w:val="es-CO"/>
        </w:rPr>
        <w:t xml:space="preserve"> y las que la actualicen.</w:t>
      </w:r>
    </w:p>
  </w:footnote>
  <w:footnote w:id="123">
    <w:p w14:paraId="08E6D20A" w14:textId="33F6B71D" w:rsidR="00984EF4" w:rsidRPr="005B697D" w:rsidRDefault="00984EF4"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As</w:t>
      </w:r>
      <w:r w:rsidR="00E107FF" w:rsidRPr="005B697D">
        <w:rPr>
          <w:rFonts w:cs="Arial"/>
          <w:szCs w:val="20"/>
          <w:lang w:val="es-CO"/>
        </w:rPr>
        <w:t>i</w:t>
      </w:r>
      <w:r w:rsidRPr="005B697D">
        <w:rPr>
          <w:rFonts w:cs="Arial"/>
          <w:szCs w:val="20"/>
          <w:lang w:val="es-CO"/>
        </w:rPr>
        <w:t xml:space="preserve">mismo, deben considerarse los mecanismos que sean establecidos para el desarrollo de las competencias </w:t>
      </w:r>
      <w:r w:rsidR="00E107FF" w:rsidRPr="005B697D">
        <w:rPr>
          <w:rFonts w:cs="Arial"/>
          <w:szCs w:val="20"/>
          <w:lang w:val="es-CO"/>
        </w:rPr>
        <w:t>a</w:t>
      </w:r>
      <w:r w:rsidRPr="005B697D">
        <w:rPr>
          <w:rFonts w:cs="Arial"/>
          <w:szCs w:val="20"/>
          <w:lang w:val="es-CO"/>
        </w:rPr>
        <w:t xml:space="preserve">mbientales de las </w:t>
      </w:r>
      <w:r w:rsidR="00EE13E7" w:rsidRPr="005B697D">
        <w:rPr>
          <w:rFonts w:cs="Arial"/>
          <w:szCs w:val="20"/>
          <w:lang w:val="es-CO"/>
        </w:rPr>
        <w:t>a</w:t>
      </w:r>
      <w:r w:rsidRPr="005B697D">
        <w:rPr>
          <w:rFonts w:cs="Arial"/>
          <w:szCs w:val="20"/>
          <w:lang w:val="es-CO"/>
        </w:rPr>
        <w:t xml:space="preserve">utoridades </w:t>
      </w:r>
      <w:r w:rsidR="00E107FF" w:rsidRPr="005B697D">
        <w:rPr>
          <w:rFonts w:cs="Arial"/>
          <w:szCs w:val="20"/>
          <w:lang w:val="es-CO"/>
        </w:rPr>
        <w:t>i</w:t>
      </w:r>
      <w:r w:rsidRPr="005B697D">
        <w:rPr>
          <w:rFonts w:cs="Arial"/>
          <w:szCs w:val="20"/>
          <w:lang w:val="es-CO"/>
        </w:rPr>
        <w:t>ndígenas, de acuerdo con el Decreto 1275 de 2024.</w:t>
      </w:r>
    </w:p>
  </w:footnote>
  <w:footnote w:id="124">
    <w:p w14:paraId="69F9AD39" w14:textId="77777777" w:rsidR="00533295" w:rsidRPr="005B697D" w:rsidRDefault="0053329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Durante la convocatoria a los procesos de participación pueden proponerse fechas preliminares, no obstante, es necesario que las comunidades tengan pleno conocimiento de las fechas definitivas de forma oportuna.</w:t>
      </w:r>
    </w:p>
  </w:footnote>
  <w:footnote w:id="125">
    <w:p w14:paraId="07AA5AA8" w14:textId="77777777" w:rsidR="002B062E" w:rsidRPr="005B697D" w:rsidRDefault="002B062E"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De acuerdo con lo establecido en el Artículo 32 de la Ley 1755 de 2015. Derecho de petición ante organizaciones privadas para garantizar los derechos fundamentales.</w:t>
      </w:r>
    </w:p>
  </w:footnote>
  <w:footnote w:id="126">
    <w:p w14:paraId="4B4ADE3C" w14:textId="23F87B97" w:rsidR="000264AA" w:rsidRPr="005B697D" w:rsidRDefault="000264AA" w:rsidP="005B697D">
      <w:pPr>
        <w:pStyle w:val="Textonotapie"/>
        <w:rPr>
          <w:rFonts w:cs="Arial"/>
          <w:szCs w:val="20"/>
          <w:lang w:val="es-CO"/>
        </w:rPr>
      </w:pPr>
      <w:r w:rsidRPr="005B697D">
        <w:rPr>
          <w:rStyle w:val="Refdenotaalpie"/>
          <w:rFonts w:cs="Arial"/>
          <w:sz w:val="20"/>
          <w:szCs w:val="20"/>
        </w:rPr>
        <w:footnoteRef/>
      </w:r>
      <w:r w:rsidRPr="005B697D">
        <w:rPr>
          <w:rFonts w:cs="Arial"/>
          <w:szCs w:val="20"/>
        </w:rPr>
        <w:t xml:space="preserve"> </w:t>
      </w:r>
      <w:r w:rsidR="003276F1" w:rsidRPr="005B697D">
        <w:rPr>
          <w:rFonts w:cs="Arial"/>
          <w:szCs w:val="20"/>
        </w:rPr>
        <w:t>En áreas declaradas como Paisaje cultural de la Nación o Patrimonio Mundial</w:t>
      </w:r>
      <w:r w:rsidR="00903391" w:rsidRPr="005B697D">
        <w:rPr>
          <w:rFonts w:cs="Arial"/>
          <w:szCs w:val="20"/>
        </w:rPr>
        <w:t>, debe</w:t>
      </w:r>
      <w:r w:rsidR="003276F1" w:rsidRPr="005B697D">
        <w:rPr>
          <w:rFonts w:cs="Arial"/>
          <w:szCs w:val="20"/>
        </w:rPr>
        <w:t xml:space="preserve"> </w:t>
      </w:r>
      <w:r w:rsidR="00576000" w:rsidRPr="005B697D">
        <w:rPr>
          <w:rFonts w:cs="Arial"/>
          <w:szCs w:val="20"/>
        </w:rPr>
        <w:t xml:space="preserve">promoverse la deliberación </w:t>
      </w:r>
      <w:r w:rsidR="00EB5B3E" w:rsidRPr="005B697D">
        <w:rPr>
          <w:rFonts w:cs="Arial"/>
          <w:szCs w:val="20"/>
        </w:rPr>
        <w:t xml:space="preserve">sobre </w:t>
      </w:r>
      <w:r w:rsidR="00576000" w:rsidRPr="005B697D">
        <w:rPr>
          <w:rFonts w:cs="Arial"/>
          <w:szCs w:val="20"/>
        </w:rPr>
        <w:t xml:space="preserve">la </w:t>
      </w:r>
      <w:r w:rsidR="003276F1" w:rsidRPr="005B697D">
        <w:rPr>
          <w:rFonts w:cs="Arial"/>
          <w:szCs w:val="20"/>
        </w:rPr>
        <w:t xml:space="preserve">identificación de los atributos y valores inmateriales y </w:t>
      </w:r>
      <w:r w:rsidR="00EB5B3E" w:rsidRPr="005B697D">
        <w:rPr>
          <w:rFonts w:cs="Arial"/>
          <w:szCs w:val="20"/>
        </w:rPr>
        <w:t xml:space="preserve">sobre </w:t>
      </w:r>
      <w:r w:rsidR="003276F1" w:rsidRPr="005B697D">
        <w:rPr>
          <w:rFonts w:cs="Arial"/>
          <w:szCs w:val="20"/>
        </w:rPr>
        <w:t>la percepción social del paisaje.</w:t>
      </w:r>
    </w:p>
  </w:footnote>
  <w:footnote w:id="127">
    <w:p w14:paraId="173D27A0" w14:textId="7568E03C" w:rsidR="00165497" w:rsidRPr="005B697D" w:rsidRDefault="00165497"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Para ello, es pertinente implementar metodologías participativas que faciliten la visualización de la información</w:t>
      </w:r>
      <w:r w:rsidR="007A1ED7" w:rsidRPr="005B697D">
        <w:rPr>
          <w:rFonts w:cs="Arial"/>
          <w:szCs w:val="20"/>
        </w:rPr>
        <w:t>,</w:t>
      </w:r>
      <w:r w:rsidRPr="005B697D">
        <w:rPr>
          <w:rFonts w:cs="Arial"/>
          <w:szCs w:val="20"/>
        </w:rPr>
        <w:t xml:space="preserve"> adapt</w:t>
      </w:r>
      <w:r w:rsidR="0026781F" w:rsidRPr="005B697D">
        <w:rPr>
          <w:rFonts w:cs="Arial"/>
          <w:szCs w:val="20"/>
        </w:rPr>
        <w:t xml:space="preserve">ándola a </w:t>
      </w:r>
      <w:r w:rsidRPr="005B697D">
        <w:rPr>
          <w:rFonts w:cs="Arial"/>
          <w:szCs w:val="20"/>
        </w:rPr>
        <w:t>las particularidades de cada comunidad</w:t>
      </w:r>
      <w:r w:rsidR="007A1ED7" w:rsidRPr="005B697D">
        <w:rPr>
          <w:rFonts w:cs="Arial"/>
          <w:szCs w:val="20"/>
        </w:rPr>
        <w:t xml:space="preserve"> y presentándola </w:t>
      </w:r>
      <w:r w:rsidR="00CE650D" w:rsidRPr="005B697D">
        <w:rPr>
          <w:rFonts w:cs="Arial"/>
          <w:szCs w:val="20"/>
        </w:rPr>
        <w:t>en lenguaje claro</w:t>
      </w:r>
      <w:r w:rsidR="007A1ED7" w:rsidRPr="005B697D">
        <w:rPr>
          <w:rFonts w:cs="Arial"/>
          <w:szCs w:val="20"/>
        </w:rPr>
        <w:t xml:space="preserve"> y</w:t>
      </w:r>
      <w:r w:rsidR="00CE650D" w:rsidRPr="005B697D">
        <w:rPr>
          <w:rFonts w:cs="Arial"/>
          <w:szCs w:val="20"/>
        </w:rPr>
        <w:t xml:space="preserve"> sencillo</w:t>
      </w:r>
      <w:r w:rsidRPr="005B697D">
        <w:rPr>
          <w:rFonts w:cs="Arial"/>
          <w:szCs w:val="20"/>
        </w:rPr>
        <w:t>.</w:t>
      </w:r>
    </w:p>
  </w:footnote>
  <w:footnote w:id="128">
    <w:p w14:paraId="4C3477FA" w14:textId="2A184085" w:rsidR="00177527" w:rsidRPr="005B697D" w:rsidRDefault="00177527"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DE636C" w:rsidRPr="005B697D">
        <w:rPr>
          <w:rFonts w:cs="Arial"/>
          <w:szCs w:val="20"/>
          <w:lang w:val="es-CO"/>
        </w:rPr>
        <w:t>Bajo esta situación</w:t>
      </w:r>
      <w:r w:rsidR="001B4084" w:rsidRPr="005B697D">
        <w:rPr>
          <w:rFonts w:cs="Arial"/>
          <w:szCs w:val="20"/>
          <w:lang w:val="es-CO"/>
        </w:rPr>
        <w:t xml:space="preserve"> hipotétic</w:t>
      </w:r>
      <w:r w:rsidR="00DE636C" w:rsidRPr="005B697D">
        <w:rPr>
          <w:rFonts w:cs="Arial"/>
          <w:szCs w:val="20"/>
          <w:lang w:val="es-CO"/>
        </w:rPr>
        <w:t>a</w:t>
      </w:r>
      <w:r w:rsidR="001B4084" w:rsidRPr="005B697D">
        <w:rPr>
          <w:rFonts w:cs="Arial"/>
          <w:szCs w:val="20"/>
          <w:lang w:val="es-CO"/>
        </w:rPr>
        <w:t xml:space="preserve"> es necesario aclarar, tanto en el EIA como en el MAG, que dicha caracterización responde a la necesidad de contar con información complementaria y no, </w:t>
      </w:r>
      <w:r w:rsidR="00170480" w:rsidRPr="005B697D">
        <w:rPr>
          <w:rFonts w:cs="Arial"/>
          <w:szCs w:val="20"/>
          <w:lang w:val="es-CO"/>
        </w:rPr>
        <w:t xml:space="preserve">a la generación de impactos </w:t>
      </w:r>
      <w:r w:rsidR="003F3CC8" w:rsidRPr="005B697D">
        <w:rPr>
          <w:rFonts w:cs="Arial"/>
          <w:szCs w:val="20"/>
          <w:lang w:val="es-CO"/>
        </w:rPr>
        <w:t xml:space="preserve">al factor </w:t>
      </w:r>
      <w:r w:rsidR="003F3CC8" w:rsidRPr="005B697D">
        <w:rPr>
          <w:rFonts w:cs="Arial"/>
          <w:i/>
          <w:iCs/>
          <w:szCs w:val="20"/>
          <w:lang w:val="es-CO"/>
        </w:rPr>
        <w:t>Calidad del agua</w:t>
      </w:r>
      <w:r w:rsidR="003F3CC8" w:rsidRPr="005B697D">
        <w:rPr>
          <w:rFonts w:cs="Arial"/>
          <w:szCs w:val="20"/>
          <w:lang w:val="es-CO"/>
        </w:rPr>
        <w:t>.</w:t>
      </w:r>
    </w:p>
  </w:footnote>
  <w:footnote w:id="129">
    <w:p w14:paraId="58F8A99D" w14:textId="77777777" w:rsidR="009A54ED" w:rsidRPr="005B697D" w:rsidRDefault="009A54ED"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estado y tendencia de los elementos del ambiente con los cuales se asocian los aportes, deben haber sido referenciados en otras fuentes secundarias y primarias de información.</w:t>
      </w:r>
    </w:p>
  </w:footnote>
  <w:footnote w:id="130">
    <w:p w14:paraId="3CA45182" w14:textId="3FBF8099"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 técnica o principio puede cambiar, lo fundamental es garantizar que se realice en un laboratorio acreditado </w:t>
      </w:r>
      <w:r w:rsidR="0076433C" w:rsidRPr="005B697D">
        <w:rPr>
          <w:rFonts w:cs="Arial"/>
          <w:color w:val="000000" w:themeColor="text1"/>
          <w:szCs w:val="20"/>
          <w:lang w:val="es-CO"/>
        </w:rPr>
        <w:t>por organismos competentes para este fin (según la normativa vigente)</w:t>
      </w:r>
      <w:r w:rsidR="00946412" w:rsidRPr="005B697D">
        <w:rPr>
          <w:rFonts w:cs="Arial"/>
          <w:color w:val="000000" w:themeColor="text1"/>
          <w:szCs w:val="20"/>
          <w:lang w:val="es-CO"/>
        </w:rPr>
        <w:t xml:space="preserve"> </w:t>
      </w:r>
      <w:r w:rsidRPr="005B697D">
        <w:rPr>
          <w:rFonts w:cs="Arial"/>
          <w:szCs w:val="20"/>
          <w:lang w:val="es-CO"/>
        </w:rPr>
        <w:t>y asegurar que la que se emplee permita conocer el estado del suelo.</w:t>
      </w:r>
    </w:p>
  </w:footnote>
  <w:footnote w:id="131">
    <w:p w14:paraId="42C5BF34" w14:textId="7D81598A" w:rsidR="00D55F13" w:rsidRPr="005B697D" w:rsidRDefault="00D55F13" w:rsidP="005B697D">
      <w:pPr>
        <w:pStyle w:val="Textonotapie"/>
        <w:rPr>
          <w:rFonts w:cs="Arial"/>
          <w:szCs w:val="20"/>
          <w:lang w:val="es-CO"/>
        </w:rPr>
      </w:pPr>
      <w:r w:rsidRPr="005B697D">
        <w:rPr>
          <w:rStyle w:val="Refdenotaalpie"/>
          <w:rFonts w:cs="Arial"/>
          <w:color w:val="000000" w:themeColor="text1"/>
          <w:sz w:val="20"/>
          <w:szCs w:val="20"/>
          <w:lang w:val="es-CO"/>
        </w:rPr>
        <w:footnoteRef/>
      </w:r>
      <w:r w:rsidRPr="005B697D">
        <w:rPr>
          <w:rFonts w:cs="Arial"/>
          <w:color w:val="000000" w:themeColor="text1"/>
          <w:szCs w:val="20"/>
          <w:lang w:val="es-CO"/>
        </w:rPr>
        <w:t xml:space="preserve"> Los análisis de este tipo de parámetros deben ser desarrollados </w:t>
      </w:r>
      <w:r w:rsidR="001811F1" w:rsidRPr="005B697D">
        <w:rPr>
          <w:rFonts w:cs="Arial"/>
          <w:color w:val="000000" w:themeColor="text1"/>
          <w:szCs w:val="20"/>
          <w:lang w:val="es-CO"/>
        </w:rPr>
        <w:t xml:space="preserve">cuando la localización del área de influencia permita trasladar muestras viables a </w:t>
      </w:r>
      <w:r w:rsidRPr="005B697D">
        <w:rPr>
          <w:rFonts w:cs="Arial"/>
          <w:color w:val="000000" w:themeColor="text1"/>
          <w:szCs w:val="20"/>
          <w:lang w:val="es-CO"/>
        </w:rPr>
        <w:t xml:space="preserve">laboratorios </w:t>
      </w:r>
      <w:r w:rsidR="004D51DB" w:rsidRPr="005B697D">
        <w:rPr>
          <w:rFonts w:cs="Arial"/>
          <w:color w:val="000000" w:themeColor="text1"/>
          <w:szCs w:val="20"/>
          <w:lang w:val="es-CO"/>
        </w:rPr>
        <w:t>acreditados</w:t>
      </w:r>
      <w:r w:rsidR="00BE6560" w:rsidRPr="005B697D">
        <w:rPr>
          <w:rFonts w:cs="Arial"/>
          <w:color w:val="000000" w:themeColor="text1"/>
          <w:szCs w:val="20"/>
          <w:lang w:val="es-CO"/>
        </w:rPr>
        <w:t xml:space="preserve"> </w:t>
      </w:r>
      <w:r w:rsidR="00186324" w:rsidRPr="005B697D">
        <w:rPr>
          <w:rFonts w:cs="Arial"/>
          <w:color w:val="000000" w:themeColor="text1"/>
          <w:szCs w:val="20"/>
          <w:lang w:val="es-CO"/>
        </w:rPr>
        <w:t>(</w:t>
      </w:r>
      <w:r w:rsidR="003E5E44" w:rsidRPr="005B697D">
        <w:rPr>
          <w:rFonts w:cs="Arial"/>
          <w:color w:val="000000" w:themeColor="text1"/>
          <w:szCs w:val="20"/>
          <w:lang w:val="es-CO"/>
        </w:rPr>
        <w:t xml:space="preserve">por organismos </w:t>
      </w:r>
      <w:r w:rsidR="001724FA" w:rsidRPr="005B697D">
        <w:rPr>
          <w:rFonts w:cs="Arial"/>
          <w:color w:val="000000" w:themeColor="text1"/>
          <w:szCs w:val="20"/>
          <w:lang w:val="es-CO"/>
        </w:rPr>
        <w:t xml:space="preserve">competentes según la </w:t>
      </w:r>
      <w:r w:rsidR="00B9786F" w:rsidRPr="005B697D">
        <w:rPr>
          <w:rFonts w:cs="Arial"/>
          <w:color w:val="000000" w:themeColor="text1"/>
          <w:szCs w:val="20"/>
          <w:lang w:val="es-CO"/>
        </w:rPr>
        <w:t>normativa vigente establezca</w:t>
      </w:r>
      <w:r w:rsidR="003E5E44" w:rsidRPr="005B697D">
        <w:rPr>
          <w:rFonts w:cs="Arial"/>
          <w:color w:val="000000" w:themeColor="text1"/>
          <w:szCs w:val="20"/>
          <w:lang w:val="es-CO"/>
        </w:rPr>
        <w:t>)</w:t>
      </w:r>
      <w:r w:rsidR="00134193" w:rsidRPr="005B697D">
        <w:rPr>
          <w:rFonts w:cs="Arial"/>
          <w:color w:val="000000" w:themeColor="text1"/>
          <w:szCs w:val="20"/>
          <w:lang w:val="es-CO"/>
        </w:rPr>
        <w:t>.</w:t>
      </w:r>
    </w:p>
  </w:footnote>
  <w:footnote w:id="132">
    <w:p w14:paraId="6DEFA0BC" w14:textId="77777777" w:rsidR="005A4F4E" w:rsidRPr="005B697D" w:rsidRDefault="005A4F4E"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https://www.epa.gov/risk/regional-screening-levels-rsls-generic-tables</w:t>
      </w:r>
    </w:p>
  </w:footnote>
  <w:footnote w:id="133">
    <w:p w14:paraId="10D750F2" w14:textId="737F58D6"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la actualidad el IGAC cuenta con información a escala 1:25000 e incluso más detallada para determinadas áreas del país, por tanto, debe consultarse esta fuente de información.</w:t>
      </w:r>
    </w:p>
  </w:footnote>
  <w:footnote w:id="134">
    <w:p w14:paraId="53E07C21" w14:textId="6564AADB" w:rsidR="00F6128C" w:rsidRPr="005B697D" w:rsidRDefault="00F6128C"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Se debe recordar que estos instrumentos incorporan las determinantes de ordenamiento territorial, entre ellas, las asociadas con la conservación, la protección del ambiente y los ecosistemas y las de interés para proteger el derecho humano a la alimentación de los habitantes del territorio nacional localizadas dentro de la frontera agrícola</w:t>
      </w:r>
      <w:r w:rsidR="007B37EC" w:rsidRPr="005B697D">
        <w:rPr>
          <w:rFonts w:cs="Arial"/>
          <w:szCs w:val="20"/>
        </w:rPr>
        <w:t xml:space="preserve"> (p. ej. APPA)</w:t>
      </w:r>
      <w:r w:rsidRPr="005B697D">
        <w:rPr>
          <w:rFonts w:cs="Arial"/>
          <w:szCs w:val="20"/>
        </w:rPr>
        <w:t>.</w:t>
      </w:r>
    </w:p>
  </w:footnote>
  <w:footnote w:id="135">
    <w:p w14:paraId="7E8FDD51" w14:textId="7585B3A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577A06" w:rsidRPr="005B697D">
        <w:rPr>
          <w:rFonts w:cs="Arial"/>
          <w:szCs w:val="20"/>
          <w:lang w:val="es-CO"/>
        </w:rPr>
        <w:t>Este mapa debe ser suministrado por las entidades o personas encargadas de administrar las áreas protegidas o por las autoridades ambientales</w:t>
      </w:r>
      <w:r w:rsidR="00066A71" w:rsidRPr="005B697D">
        <w:rPr>
          <w:rFonts w:cs="Arial"/>
          <w:szCs w:val="20"/>
          <w:lang w:val="es-CO"/>
        </w:rPr>
        <w:t xml:space="preserve"> con jurisdicción en los ecosistemas estratégicos</w:t>
      </w:r>
      <w:r w:rsidR="00577A06" w:rsidRPr="005B697D">
        <w:rPr>
          <w:rFonts w:cs="Arial"/>
          <w:szCs w:val="20"/>
          <w:lang w:val="es-CO"/>
        </w:rPr>
        <w:t>. En caso de que no exista o de no obtener respuesta de tales entidades o personas, esta situación debe ser señalada y documentada en el estudio ambiental.</w:t>
      </w:r>
    </w:p>
  </w:footnote>
  <w:footnote w:id="136">
    <w:p w14:paraId="0D2AC955" w14:textId="77777777" w:rsidR="00B55470" w:rsidRPr="005B697D" w:rsidRDefault="00B55470" w:rsidP="005B697D">
      <w:pPr>
        <w:pStyle w:val="Textonotapie"/>
        <w:rPr>
          <w:rFonts w:cs="Arial"/>
          <w:szCs w:val="20"/>
          <w:highlight w:val="green"/>
          <w:lang w:val="es-CO"/>
        </w:rPr>
      </w:pPr>
      <w:r w:rsidRPr="005B697D">
        <w:rPr>
          <w:rFonts w:cs="Arial"/>
          <w:szCs w:val="20"/>
          <w:lang w:val="es-CO"/>
        </w:rPr>
        <w:footnoteRef/>
      </w:r>
      <w:r w:rsidRPr="005B697D">
        <w:rPr>
          <w:rFonts w:cs="Arial"/>
          <w:szCs w:val="20"/>
          <w:lang w:val="es-CO"/>
        </w:rPr>
        <w:t xml:space="preserve"> De acuerdo con lo establecido en el artículo 2.2.3.3.1.3 del Decreto 1076 de 2015, el caudal ambiental es el “Volumen de agua por unidad de tiempo, en términos de régimen y calidad, requerido para mantener el funcionamiento y resiliencia de los ecosistemas acuáticos y su provisión de servicios ecosistémicos”.</w:t>
      </w:r>
    </w:p>
  </w:footnote>
  <w:footnote w:id="137">
    <w:p w14:paraId="1D00A0BA" w14:textId="77777777" w:rsidR="00B55470" w:rsidRPr="005B697D" w:rsidRDefault="00B55470"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Lo anterior hasta que sea expedida una guía para la estimación de caudales ambientales en el ámbito nacional.</w:t>
      </w:r>
    </w:p>
  </w:footnote>
  <w:footnote w:id="138">
    <w:p w14:paraId="480D76E7"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refiere al efecto combinado de la meteorología y la oceanografía.</w:t>
      </w:r>
    </w:p>
  </w:footnote>
  <w:footnote w:id="139">
    <w:p w14:paraId="14DC8270" w14:textId="1F51012B" w:rsidR="00D55F13" w:rsidRPr="005B697D" w:rsidRDefault="00D55F13" w:rsidP="005B697D">
      <w:pPr>
        <w:overflowPunct/>
        <w:autoSpaceDE/>
        <w:autoSpaceDN/>
        <w:adjustRightInd/>
        <w:textAlignment w:val="auto"/>
        <w:rPr>
          <w:rFonts w:cs="Arial"/>
          <w:sz w:val="20"/>
          <w:szCs w:val="20"/>
        </w:rPr>
      </w:pPr>
      <w:r w:rsidRPr="005B697D">
        <w:rPr>
          <w:rStyle w:val="Refdenotaalpie"/>
          <w:rFonts w:cs="Arial"/>
          <w:sz w:val="20"/>
          <w:szCs w:val="20"/>
          <w:lang w:val="es-CO"/>
        </w:rPr>
        <w:footnoteRef/>
      </w:r>
      <w:r w:rsidRPr="005B697D">
        <w:rPr>
          <w:rFonts w:cs="Arial"/>
          <w:sz w:val="20"/>
          <w:szCs w:val="20"/>
        </w:rPr>
        <w:t xml:space="preserve"> En función del objetivo de la modelización y de las particularidades del proyecto, obra o actividad, es posible emplear un modelo con diferentes especificaciones (2D, 3D, profundidades objeto de estudio, entre otras), situación que debe ser sustentada técnicamente.</w:t>
      </w:r>
    </w:p>
  </w:footnote>
  <w:footnote w:id="140">
    <w:p w14:paraId="6FAA7A20" w14:textId="029222B4" w:rsidR="008B16D9" w:rsidRPr="005B697D" w:rsidRDefault="008B16D9"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el ámbito del licenciamiento ambiental la funci</w:t>
      </w:r>
      <w:r w:rsidR="00AB4432" w:rsidRPr="005B697D">
        <w:rPr>
          <w:rFonts w:cs="Arial"/>
          <w:szCs w:val="20"/>
          <w:lang w:val="es-CO"/>
        </w:rPr>
        <w:t>ón</w:t>
      </w:r>
      <w:r w:rsidR="00FD2209" w:rsidRPr="005B697D">
        <w:rPr>
          <w:rFonts w:cs="Arial"/>
          <w:szCs w:val="20"/>
          <w:lang w:val="es-CO"/>
        </w:rPr>
        <w:t xml:space="preserve"> del </w:t>
      </w:r>
      <w:r w:rsidR="00AB4432" w:rsidRPr="005B697D">
        <w:rPr>
          <w:rFonts w:cs="Arial"/>
          <w:szCs w:val="20"/>
          <w:lang w:val="es-CO"/>
        </w:rPr>
        <w:t>ecosist</w:t>
      </w:r>
      <w:r w:rsidR="00FD2209" w:rsidRPr="005B697D">
        <w:rPr>
          <w:rFonts w:cs="Arial"/>
          <w:szCs w:val="20"/>
          <w:lang w:val="es-CO"/>
        </w:rPr>
        <w:t xml:space="preserve">ema </w:t>
      </w:r>
      <w:r w:rsidRPr="005B697D">
        <w:rPr>
          <w:rFonts w:cs="Arial"/>
          <w:szCs w:val="20"/>
          <w:lang w:val="es-CO"/>
        </w:rPr>
        <w:t>se refiere a</w:t>
      </w:r>
      <w:r w:rsidR="00FD2209" w:rsidRPr="005B697D">
        <w:rPr>
          <w:rFonts w:cs="Arial"/>
          <w:szCs w:val="20"/>
          <w:lang w:val="es-CO"/>
        </w:rPr>
        <w:t>l conjunto de</w:t>
      </w:r>
      <w:r w:rsidRPr="005B697D">
        <w:rPr>
          <w:rFonts w:cs="Arial"/>
          <w:szCs w:val="20"/>
          <w:lang w:val="es-CO"/>
        </w:rPr>
        <w:t xml:space="preserve"> </w:t>
      </w:r>
      <w:r w:rsidR="00335193" w:rsidRPr="005B697D">
        <w:rPr>
          <w:rFonts w:cs="Arial"/>
          <w:szCs w:val="20"/>
          <w:lang w:val="es-CO"/>
        </w:rPr>
        <w:t>interacciones entre estructuras biofísicas y procesos ecosistémicos que sustentan la capacidad de un ecosistema para proporcionar servicios ecosistémicos (Burkhard &amp; Maes, 2017).</w:t>
      </w:r>
      <w:r w:rsidR="001B0D05" w:rsidRPr="005B697D">
        <w:rPr>
          <w:rFonts w:cs="Arial"/>
          <w:szCs w:val="20"/>
          <w:lang w:val="es-CO"/>
        </w:rPr>
        <w:t xml:space="preserve"> Más adelante se establecen lineamientos para caracterizar esta propiedad de los ecosistemas.</w:t>
      </w:r>
    </w:p>
  </w:footnote>
  <w:footnote w:id="141">
    <w:p w14:paraId="307DBA5C" w14:textId="77777777" w:rsidR="009D2570" w:rsidRPr="005B697D" w:rsidRDefault="009D2570"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general se deben usar datos con máximo tres (3) años de antigüedad; no obstante, dependiendo del fenómeno objeto de caracterización y la dinámica ambiental de la zona, es posible emplear información más antigua.</w:t>
      </w:r>
    </w:p>
  </w:footnote>
  <w:footnote w:id="142">
    <w:p w14:paraId="2E90741E" w14:textId="3D711278"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caso de que la autoridad ambiental competente sea ANLA, es pertinente consultar la Guía para la solicitud y uso del permiso de estudio para la recolección de especímenes de especies silvestres de la diversidad biológica con fines de elaboración de estudios ambientales (ANLA, s. f.).</w:t>
      </w:r>
    </w:p>
  </w:footnote>
  <w:footnote w:id="143">
    <w:p w14:paraId="4C4E6CEF" w14:textId="766F25C0" w:rsidR="001C3003" w:rsidRPr="005B697D" w:rsidRDefault="001C300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Ley 1955 de 2019 y Decreto 1375 de 2013 o aquellas </w:t>
      </w:r>
      <w:r w:rsidR="00DB44DF" w:rsidRPr="005B697D">
        <w:rPr>
          <w:rFonts w:cs="Arial"/>
          <w:szCs w:val="20"/>
          <w:lang w:val="es-CO"/>
        </w:rPr>
        <w:t xml:space="preserve">leyes o normas </w:t>
      </w:r>
      <w:r w:rsidRPr="005B697D">
        <w:rPr>
          <w:rFonts w:cs="Arial"/>
          <w:szCs w:val="20"/>
          <w:lang w:val="es-CO"/>
        </w:rPr>
        <w:t>que l</w:t>
      </w:r>
      <w:r w:rsidR="00AA5F80" w:rsidRPr="005B697D">
        <w:rPr>
          <w:rFonts w:cs="Arial"/>
          <w:szCs w:val="20"/>
          <w:lang w:val="es-CO"/>
        </w:rPr>
        <w:t>as</w:t>
      </w:r>
      <w:r w:rsidRPr="005B697D">
        <w:rPr>
          <w:rFonts w:cs="Arial"/>
          <w:szCs w:val="20"/>
          <w:lang w:val="es-CO"/>
        </w:rPr>
        <w:t xml:space="preserve"> modifique</w:t>
      </w:r>
      <w:r w:rsidR="00AA5F80" w:rsidRPr="005B697D">
        <w:rPr>
          <w:rFonts w:cs="Arial"/>
          <w:szCs w:val="20"/>
          <w:lang w:val="es-CO"/>
        </w:rPr>
        <w:t>n</w:t>
      </w:r>
      <w:r w:rsidRPr="005B697D">
        <w:rPr>
          <w:rFonts w:cs="Arial"/>
          <w:szCs w:val="20"/>
          <w:lang w:val="es-CO"/>
        </w:rPr>
        <w:t xml:space="preserve"> o sustituya</w:t>
      </w:r>
      <w:r w:rsidR="00AA5F80" w:rsidRPr="005B697D">
        <w:rPr>
          <w:rFonts w:cs="Arial"/>
          <w:szCs w:val="20"/>
          <w:lang w:val="es-CO"/>
        </w:rPr>
        <w:t>n</w:t>
      </w:r>
      <w:r w:rsidRPr="005B697D">
        <w:rPr>
          <w:rFonts w:cs="Arial"/>
          <w:szCs w:val="20"/>
          <w:lang w:val="es-CO"/>
        </w:rPr>
        <w:t>.</w:t>
      </w:r>
    </w:p>
  </w:footnote>
  <w:footnote w:id="144">
    <w:p w14:paraId="2E5F9A7E" w14:textId="254A0614"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w:t>
      </w:r>
      <w:r w:rsidR="00C204DF" w:rsidRPr="005B697D">
        <w:rPr>
          <w:rFonts w:cs="Arial"/>
          <w:szCs w:val="20"/>
          <w:lang w:val="es-CO"/>
        </w:rPr>
        <w:t>:</w:t>
      </w:r>
      <w:r w:rsidRPr="005B697D">
        <w:rPr>
          <w:rFonts w:cs="Arial"/>
          <w:szCs w:val="20"/>
          <w:lang w:val="es-CO"/>
        </w:rPr>
        <w:t xml:space="preserve"> </w:t>
      </w:r>
      <w:r w:rsidR="00C204DF" w:rsidRPr="005B697D">
        <w:rPr>
          <w:rFonts w:cs="Arial"/>
          <w:szCs w:val="20"/>
          <w:lang w:val="es-CO"/>
        </w:rPr>
        <w:t>https://ipt.biodiversidad.co/sib/resource?r=catalogo_plantas_liquenes#anchor-downloads</w:t>
      </w:r>
      <w:r w:rsidRPr="005B697D">
        <w:rPr>
          <w:rFonts w:cs="Arial"/>
          <w:spacing w:val="-3"/>
          <w:szCs w:val="20"/>
          <w:lang w:val="es-CO"/>
        </w:rPr>
        <w:t>.</w:t>
      </w:r>
    </w:p>
  </w:footnote>
  <w:footnote w:id="145">
    <w:p w14:paraId="0689EB40" w14:textId="77777777" w:rsidR="00D55F13" w:rsidRPr="005B697D" w:rsidRDefault="00D55F13" w:rsidP="005B697D">
      <w:pPr>
        <w:pStyle w:val="Textonotapie"/>
        <w:rPr>
          <w:rFonts w:cs="Arial"/>
          <w:szCs w:val="20"/>
          <w:lang w:val="es-CO"/>
        </w:rPr>
      </w:pPr>
      <w:r w:rsidRPr="005B697D">
        <w:rPr>
          <w:rFonts w:cs="Arial"/>
          <w:szCs w:val="20"/>
          <w:vertAlign w:val="superscript"/>
          <w:lang w:val="es-CO"/>
        </w:rPr>
        <w:footnoteRef/>
      </w:r>
      <w:r w:rsidRPr="005B697D">
        <w:rPr>
          <w:rFonts w:cs="Arial"/>
          <w:szCs w:val="20"/>
          <w:lang w:val="es-CO"/>
        </w:rPr>
        <w:t xml:space="preserve"> Disponible en http://repository.humboldt.org.co/bitstream/handle/20.500.11761/32935/557.pdf?se</w:t>
      </w:r>
    </w:p>
  </w:footnote>
  <w:footnote w:id="146">
    <w:p w14:paraId="2279F993" w14:textId="7B599293" w:rsidR="008348CE" w:rsidRPr="005B697D" w:rsidRDefault="008348CE"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Actualmente corresponde a la descrita en Estimación de las reservas actuales (2010) de carbono almacenadas en la biomasa aérea en bosques naturales de Colombia (Phillips et al., 2011).</w:t>
      </w:r>
    </w:p>
  </w:footnote>
  <w:footnote w:id="147">
    <w:p w14:paraId="282BCAA3" w14:textId="0FD7F78D"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debe hacer uso de las herramientas tecnológicas (aplicaciones o plataformas) que las autoridades ambientales pongan a disposición para el cargue de la información relacionada con los ejemplares fotografiados, </w:t>
      </w:r>
      <w:r w:rsidR="00BB45DA" w:rsidRPr="005B697D">
        <w:rPr>
          <w:rFonts w:cs="Arial"/>
          <w:szCs w:val="20"/>
          <w:lang w:val="es-CO"/>
        </w:rPr>
        <w:t xml:space="preserve">por ejemplo, </w:t>
      </w:r>
      <w:r w:rsidRPr="005B697D">
        <w:rPr>
          <w:rFonts w:cs="Arial"/>
          <w:szCs w:val="20"/>
          <w:lang w:val="es-CO"/>
        </w:rPr>
        <w:t xml:space="preserve">datos </w:t>
      </w:r>
      <w:r w:rsidR="00BB45DA" w:rsidRPr="005B697D">
        <w:rPr>
          <w:rFonts w:cs="Arial"/>
          <w:szCs w:val="20"/>
          <w:lang w:val="es-CO"/>
        </w:rPr>
        <w:t xml:space="preserve">sobre </w:t>
      </w:r>
      <w:r w:rsidRPr="005B697D">
        <w:rPr>
          <w:rFonts w:cs="Arial"/>
          <w:szCs w:val="20"/>
          <w:lang w:val="es-CO"/>
        </w:rPr>
        <w:t xml:space="preserve">localización, </w:t>
      </w:r>
      <w:r w:rsidR="00BB45DA" w:rsidRPr="005B697D">
        <w:rPr>
          <w:rFonts w:cs="Arial"/>
          <w:szCs w:val="20"/>
          <w:lang w:val="es-CO"/>
        </w:rPr>
        <w:t xml:space="preserve">determinación </w:t>
      </w:r>
      <w:r w:rsidRPr="005B697D">
        <w:rPr>
          <w:rFonts w:cs="Arial"/>
          <w:szCs w:val="20"/>
          <w:lang w:val="es-CO"/>
        </w:rPr>
        <w:t>preliminar y fecha.</w:t>
      </w:r>
    </w:p>
  </w:footnote>
  <w:footnote w:id="148">
    <w:p w14:paraId="05E98F30" w14:textId="5E3268AA" w:rsidR="00B001A6" w:rsidRPr="005B697D" w:rsidRDefault="00B001A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 experiencia en la evaluación de estudios ambientales ha demostrado que los muestreos aleatorios para este grupo de especies no son apropiados por cuanto subestiman la diversidad de especies y no permiten una buena aproximación a la estructura</w:t>
      </w:r>
      <w:r w:rsidR="00ED5EE2" w:rsidRPr="005B697D">
        <w:rPr>
          <w:rFonts w:cs="Arial"/>
          <w:szCs w:val="20"/>
          <w:lang w:val="es-CO"/>
        </w:rPr>
        <w:t xml:space="preserve"> de los ecosistemas</w:t>
      </w:r>
      <w:r w:rsidRPr="005B697D">
        <w:rPr>
          <w:rFonts w:cs="Arial"/>
          <w:szCs w:val="20"/>
          <w:lang w:val="es-CO"/>
        </w:rPr>
        <w:t>.</w:t>
      </w:r>
    </w:p>
  </w:footnote>
  <w:footnote w:id="149">
    <w:p w14:paraId="0BEE1B17" w14:textId="43EF3B59" w:rsidR="007A43A9" w:rsidRPr="005B697D" w:rsidRDefault="007A43A9"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3E0059" w:rsidRPr="005B697D">
        <w:rPr>
          <w:rFonts w:cs="Arial"/>
          <w:spacing w:val="-3"/>
          <w:szCs w:val="20"/>
          <w:lang w:val="es-CO"/>
        </w:rPr>
        <w:t>En caso de que sea expedido por un herbario, debe ser elaborado en papelería institucional que contenga nombre, sigla</w:t>
      </w:r>
      <w:r w:rsidR="00314F0E" w:rsidRPr="005B697D">
        <w:rPr>
          <w:rFonts w:cs="Arial"/>
          <w:spacing w:val="-3"/>
          <w:szCs w:val="20"/>
          <w:lang w:val="es-CO"/>
        </w:rPr>
        <w:t xml:space="preserve"> y</w:t>
      </w:r>
      <w:r w:rsidR="003E0059" w:rsidRPr="005B697D">
        <w:rPr>
          <w:rFonts w:cs="Arial"/>
          <w:spacing w:val="-3"/>
          <w:szCs w:val="20"/>
          <w:lang w:val="es-CO"/>
        </w:rPr>
        <w:t xml:space="preserve"> dirección física y electrónica</w:t>
      </w:r>
      <w:r w:rsidR="00314F0E" w:rsidRPr="005B697D">
        <w:rPr>
          <w:rFonts w:cs="Arial"/>
          <w:spacing w:val="-3"/>
          <w:szCs w:val="20"/>
          <w:lang w:val="es-CO"/>
        </w:rPr>
        <w:t>. E</w:t>
      </w:r>
      <w:r w:rsidR="003E0059" w:rsidRPr="005B697D">
        <w:rPr>
          <w:rFonts w:cs="Arial"/>
          <w:spacing w:val="-3"/>
          <w:szCs w:val="20"/>
          <w:lang w:val="es-CO"/>
        </w:rPr>
        <w:t xml:space="preserve">n caso de </w:t>
      </w:r>
      <w:r w:rsidR="00314F0E" w:rsidRPr="005B697D">
        <w:rPr>
          <w:rFonts w:cs="Arial"/>
          <w:spacing w:val="-3"/>
          <w:szCs w:val="20"/>
          <w:lang w:val="es-CO"/>
        </w:rPr>
        <w:t xml:space="preserve">que lo emita un </w:t>
      </w:r>
      <w:r w:rsidR="003E0059" w:rsidRPr="005B697D">
        <w:rPr>
          <w:rFonts w:cs="Arial"/>
          <w:spacing w:val="-3"/>
          <w:szCs w:val="20"/>
          <w:lang w:val="es-CO"/>
        </w:rPr>
        <w:t xml:space="preserve">especialista, </w:t>
      </w:r>
      <w:r w:rsidR="007B5AF5" w:rsidRPr="005B697D">
        <w:rPr>
          <w:rFonts w:cs="Arial"/>
          <w:spacing w:val="-3"/>
          <w:szCs w:val="20"/>
          <w:lang w:val="es-CO"/>
        </w:rPr>
        <w:t xml:space="preserve">puede ser </w:t>
      </w:r>
      <w:r w:rsidR="003E0059" w:rsidRPr="005B697D">
        <w:rPr>
          <w:rFonts w:cs="Arial"/>
          <w:spacing w:val="-3"/>
          <w:szCs w:val="20"/>
          <w:lang w:val="es-CO"/>
        </w:rPr>
        <w:t xml:space="preserve">un documento libre </w:t>
      </w:r>
      <w:r w:rsidR="007B5AF5" w:rsidRPr="005B697D">
        <w:rPr>
          <w:rFonts w:cs="Arial"/>
          <w:spacing w:val="-3"/>
          <w:szCs w:val="20"/>
          <w:lang w:val="es-CO"/>
        </w:rPr>
        <w:t xml:space="preserve">y </w:t>
      </w:r>
      <w:r w:rsidR="003E0059" w:rsidRPr="005B697D">
        <w:rPr>
          <w:rFonts w:cs="Arial"/>
          <w:spacing w:val="-3"/>
          <w:szCs w:val="20"/>
          <w:lang w:val="es-CO"/>
        </w:rPr>
        <w:t>sin logos</w:t>
      </w:r>
      <w:r w:rsidR="007B5AF5" w:rsidRPr="005B697D">
        <w:rPr>
          <w:rFonts w:cs="Arial"/>
          <w:spacing w:val="-3"/>
          <w:szCs w:val="20"/>
          <w:lang w:val="es-CO"/>
        </w:rPr>
        <w:t>.</w:t>
      </w:r>
    </w:p>
  </w:footnote>
  <w:footnote w:id="150">
    <w:p w14:paraId="7959755A" w14:textId="6B409730" w:rsidR="00AC06A1" w:rsidRPr="005B697D" w:rsidRDefault="00AC06A1"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De acuerdo con la </w:t>
      </w:r>
      <w:r w:rsidR="00D143E4" w:rsidRPr="005B697D">
        <w:rPr>
          <w:rFonts w:cs="Arial"/>
          <w:szCs w:val="20"/>
          <w:lang w:val="es-CO"/>
        </w:rPr>
        <w:t>Resolución 0126 de 2024</w:t>
      </w:r>
      <w:r w:rsidRPr="005B697D">
        <w:rPr>
          <w:rFonts w:cs="Arial"/>
          <w:szCs w:val="20"/>
          <w:lang w:val="es-CO"/>
        </w:rPr>
        <w:t xml:space="preserve"> o aquella norma que la modifique o sustituya, la serie Libros rojos de especies amenazadas, los marcos normativos nacionales establecidos para la protección de la flora y los listados de UICN.</w:t>
      </w:r>
    </w:p>
  </w:footnote>
  <w:footnote w:id="151">
    <w:p w14:paraId="36C9051C" w14:textId="7D11F61C"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debe hacer uso de las herramientas tecnológicas (aplicaciones o plataformas) que las autoridades ambientales pongan a disposición para el cargue de la información relacionada con los ejemplares fotografiados, </w:t>
      </w:r>
      <w:r w:rsidR="00BB45DA" w:rsidRPr="005B697D">
        <w:rPr>
          <w:rFonts w:cs="Arial"/>
          <w:szCs w:val="20"/>
          <w:lang w:val="es-CO"/>
        </w:rPr>
        <w:t>por ejemplo, datos sobre</w:t>
      </w:r>
      <w:r w:rsidRPr="005B697D">
        <w:rPr>
          <w:rFonts w:cs="Arial"/>
          <w:szCs w:val="20"/>
          <w:lang w:val="es-CO"/>
        </w:rPr>
        <w:t xml:space="preserve"> localización, </w:t>
      </w:r>
      <w:r w:rsidR="00BB45DA" w:rsidRPr="005B697D">
        <w:rPr>
          <w:rFonts w:cs="Arial"/>
          <w:szCs w:val="20"/>
          <w:lang w:val="es-CO"/>
        </w:rPr>
        <w:t xml:space="preserve">determinación </w:t>
      </w:r>
      <w:r w:rsidRPr="005B697D">
        <w:rPr>
          <w:rFonts w:cs="Arial"/>
          <w:szCs w:val="20"/>
          <w:lang w:val="es-CO"/>
        </w:rPr>
        <w:t>preliminar y fecha.</w:t>
      </w:r>
    </w:p>
  </w:footnote>
  <w:footnote w:id="152">
    <w:p w14:paraId="3D6DAFC0" w14:textId="5811C96F"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https://amphibiansoftheworld.amnh.org/</w:t>
      </w:r>
    </w:p>
  </w:footnote>
  <w:footnote w:id="153">
    <w:p w14:paraId="6C4D40E6" w14:textId="382AD7C8"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https://www.batrachia.com/</w:t>
      </w:r>
    </w:p>
  </w:footnote>
  <w:footnote w:id="154">
    <w:p w14:paraId="33FC2D0C"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w:t>
      </w:r>
      <w:hyperlink r:id="rId1" w:history="1">
        <w:r w:rsidRPr="005B697D">
          <w:rPr>
            <w:rFonts w:cs="Arial"/>
            <w:spacing w:val="-3"/>
            <w:szCs w:val="20"/>
            <w:lang w:val="es-CO"/>
          </w:rPr>
          <w:t>http://www.reptile-database.org/</w:t>
        </w:r>
      </w:hyperlink>
    </w:p>
  </w:footnote>
  <w:footnote w:id="155">
    <w:p w14:paraId="6C58E618"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w:t>
      </w:r>
      <w:hyperlink r:id="rId2" w:history="1">
        <w:r w:rsidRPr="005B697D">
          <w:rPr>
            <w:rFonts w:cs="Arial"/>
            <w:spacing w:val="-3"/>
            <w:szCs w:val="20"/>
            <w:lang w:val="es-CO"/>
          </w:rPr>
          <w:t>http://www.museum.lsu.edu/~Remsen/SACCBaseline.htm</w:t>
        </w:r>
      </w:hyperlink>
    </w:p>
  </w:footnote>
  <w:footnote w:id="156">
    <w:p w14:paraId="29802486"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w:t>
      </w:r>
      <w:hyperlink r:id="rId3" w:history="1">
        <w:r w:rsidRPr="005B697D">
          <w:rPr>
            <w:rFonts w:cs="Arial"/>
            <w:spacing w:val="-3"/>
            <w:szCs w:val="20"/>
            <w:lang w:val="es-CO"/>
          </w:rPr>
          <w:t>http://www.departments.bucknell.edu/biology/resources/msw3/</w:t>
        </w:r>
      </w:hyperlink>
    </w:p>
  </w:footnote>
  <w:footnote w:id="157">
    <w:p w14:paraId="7C091839" w14:textId="30FFEF35"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w:t>
      </w:r>
      <w:r w:rsidR="00792E77" w:rsidRPr="005B697D">
        <w:rPr>
          <w:rFonts w:cs="Arial"/>
          <w:szCs w:val="20"/>
          <w:lang w:val="es-CO"/>
        </w:rPr>
        <w:t>https://datos.biodiversidad.co/</w:t>
      </w:r>
    </w:p>
  </w:footnote>
  <w:footnote w:id="158">
    <w:p w14:paraId="3406019F" w14:textId="3D699A31"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w:t>
      </w:r>
      <w:r w:rsidRPr="005B697D">
        <w:rPr>
          <w:rFonts w:cs="Arial"/>
          <w:spacing w:val="-3"/>
          <w:szCs w:val="20"/>
          <w:lang w:val="es-CO"/>
        </w:rPr>
        <w:t xml:space="preserve">isponible en </w:t>
      </w:r>
      <w:r w:rsidRPr="005B697D">
        <w:rPr>
          <w:rFonts w:cs="Arial"/>
          <w:szCs w:val="20"/>
          <w:lang w:val="es-CO"/>
        </w:rPr>
        <w:t>http://viceroy.eeb.uconn.edu/EstimateS/EstimateSPages/AboutEstimateS.htm</w:t>
      </w:r>
    </w:p>
  </w:footnote>
  <w:footnote w:id="159">
    <w:p w14:paraId="5C341706" w14:textId="65888DC2" w:rsidR="00C65192" w:rsidRPr="005B697D" w:rsidRDefault="00C6519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Correa Ayram et. al. (2015).</w:t>
      </w:r>
    </w:p>
  </w:footnote>
  <w:footnote w:id="160">
    <w:p w14:paraId="5CA78AA4" w14:textId="77777777" w:rsidR="0002683C" w:rsidRPr="005B697D" w:rsidRDefault="0002683C"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Asimismo, es posible emplear los BioModelos, una aplicación web para la consulta y descarga de información geográfica sobre la distribución de especies de Colombia, desarrollada por el Laboratorio de biogeografía aplicada del Instituto Humboldt (disponible en: http://biomodelos.humboldt.org.co/).</w:t>
      </w:r>
    </w:p>
  </w:footnote>
  <w:footnote w:id="161">
    <w:p w14:paraId="6F926809" w14:textId="602C4341" w:rsidR="0002683C" w:rsidRPr="005B697D" w:rsidRDefault="0002683C"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Krausman y Morrison (2016).</w:t>
      </w:r>
    </w:p>
  </w:footnote>
  <w:footnote w:id="162">
    <w:p w14:paraId="6D56C19C" w14:textId="3CA00629"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Aplicable para formaciones coralinas en aguas poco profundas.</w:t>
      </w:r>
    </w:p>
  </w:footnote>
  <w:footnote w:id="163">
    <w:p w14:paraId="041233CB" w14:textId="3B3E5DC6"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https://www.algaebase.org/</w:t>
      </w:r>
    </w:p>
  </w:footnote>
  <w:footnote w:id="164">
    <w:p w14:paraId="082E6693" w14:textId="0EF851F3"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https://ipt.biodiversidad.co/sib/resource?r=ictiofauna_colombiana_dulceacuicola</w:t>
      </w:r>
    </w:p>
  </w:footnote>
  <w:footnote w:id="165">
    <w:p w14:paraId="70FBDE10" w14:textId="127B286F"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http://researcharchive.calacademy.org/research/ichthyology/catalog/fishcatmain.asp</w:t>
      </w:r>
    </w:p>
  </w:footnote>
  <w:footnote w:id="166">
    <w:p w14:paraId="73C4EC76"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http://invasoresmarinos.invemar.org.co/</w:t>
      </w:r>
    </w:p>
  </w:footnote>
  <w:footnote w:id="167">
    <w:p w14:paraId="14B5F1EA" w14:textId="0687A53D"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Definida por el artículo 38 de la Ley 160 de 1994 como la empresa básica de producción agrícola, pecuaria, acuícola o forestal cuya extensión, conforme a las condiciones agroecológicas de la zona y con tecnología adecuada, permite a la familia remunerar su trabajo y disponer de un excedente capitalizable que coadyuve a la formación de su patrimonio.</w:t>
      </w:r>
    </w:p>
  </w:footnote>
  <w:footnote w:id="168">
    <w:p w14:paraId="55FB69BE" w14:textId="7A46406F" w:rsidR="00D55F13" w:rsidRPr="005B697D" w:rsidRDefault="00D55F13"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Ejercicio de la autoridad económica, política y administrativa para administrar los asuntos de un país a todos los niveles de gobierno. Comprende los mecanismos, los procesos y las instituciones a través de las cuales los ciudadanos y los grupos articulan sus intereses, ejercen sus derechos legales, cumplen sus obligaciones y resuelven sus diferencias (PNUD, 1997</w:t>
      </w:r>
      <w:bookmarkStart w:id="2952" w:name="_Hlk86332252"/>
      <w:r w:rsidRPr="005B697D">
        <w:rPr>
          <w:rFonts w:cs="Arial"/>
          <w:sz w:val="20"/>
          <w:szCs w:val="20"/>
        </w:rPr>
        <w:t>, citado por Zurbriggen, 2011</w:t>
      </w:r>
      <w:bookmarkEnd w:id="2952"/>
      <w:r w:rsidRPr="005B697D">
        <w:rPr>
          <w:rFonts w:cs="Arial"/>
          <w:sz w:val="20"/>
          <w:szCs w:val="20"/>
        </w:rPr>
        <w:t>).</w:t>
      </w:r>
    </w:p>
  </w:footnote>
  <w:footnote w:id="169">
    <w:p w14:paraId="29DA2084" w14:textId="09364FD1" w:rsidR="00C453B7" w:rsidRPr="005B697D" w:rsidRDefault="00C453B7"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De acuerdo con orden judicial Justicia Especial para la Paz- Sección de primera instancia para casos de ausencia de reconocimiento de verdad y responsabilidad- AI 070 de 2022 y AI 017 de 2024.</w:t>
      </w:r>
    </w:p>
  </w:footnote>
  <w:footnote w:id="170">
    <w:p w14:paraId="7A77EFC3" w14:textId="51486340"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Población constituida por todas las personas de 12 años en adelante para las zonas urbanas y de 10 años en adelante en las zonas rurales (DANE, 2009).</w:t>
      </w:r>
    </w:p>
  </w:footnote>
  <w:footnote w:id="171">
    <w:p w14:paraId="51EBC4FD" w14:textId="77777777" w:rsidR="002C5B64" w:rsidRPr="005B697D" w:rsidRDefault="002C5B64"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hace referencia a las personas que tienen mayor dificultad para informarse y participar de manera efectiva por diversas situaciones, entre ellas, limitaciones tecnológicas, auditivas, por tener una lengua diferente al castellano o vivir en espacios territoriales de difícil acceso.</w:t>
      </w:r>
    </w:p>
  </w:footnote>
  <w:footnote w:id="172">
    <w:p w14:paraId="0A88BB30" w14:textId="42B32C95"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Son aquellas relaciones que facilitan o favorecen el intercambio de bienes y servicios entre las diferentes zonas urbanas y rurales que conforman el territorio, que están determinadas por condiciones adecuadas de proximidad y accesibilidad, y que pueden ser tanto intra-municipales o </w:t>
      </w:r>
      <w:r w:rsidR="006C3807" w:rsidRPr="005B697D">
        <w:rPr>
          <w:rFonts w:cs="Arial"/>
          <w:szCs w:val="20"/>
          <w:lang w:val="es-CO"/>
        </w:rPr>
        <w:t>supramunicipales</w:t>
      </w:r>
      <w:r w:rsidRPr="005B697D">
        <w:rPr>
          <w:rFonts w:cs="Arial"/>
          <w:szCs w:val="20"/>
          <w:lang w:val="es-CO"/>
        </w:rPr>
        <w:t xml:space="preserve"> (UPRA, 2016).</w:t>
      </w:r>
    </w:p>
  </w:footnote>
  <w:footnote w:id="173">
    <w:p w14:paraId="410F86AF" w14:textId="298C5288"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Actividades asociadas a trabajos informales, en los cuales de acuerdo con ILO (2003), la relación de trabajo no está sujeta a la legislación laboral nacional, a impuestos, a la protección social o a determinadas prestaciones relacionadas con el empleo.</w:t>
      </w:r>
    </w:p>
  </w:footnote>
  <w:footnote w:id="174">
    <w:p w14:paraId="286202D1" w14:textId="01556A9A"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 procedencia de realización de la de consulta previa es determinada por la Autoridad Nacional de Consulta Previa o quien haga sus veces, de conformidad con las previsiones legales y funcionales que la regulen y lineamientos adicionales que considere.</w:t>
      </w:r>
    </w:p>
  </w:footnote>
  <w:footnote w:id="175">
    <w:p w14:paraId="29CD9317" w14:textId="52B2898F"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 información obtenida y los acercamientos </w:t>
      </w:r>
      <w:r w:rsidRPr="005B697D">
        <w:rPr>
          <w:rFonts w:cs="Arial"/>
          <w:color w:val="000000"/>
          <w:szCs w:val="20"/>
          <w:lang w:val="es-CO"/>
        </w:rPr>
        <w:t>especiales con estos agentes, en caso de que sea posible desarrollarlos, constituyen elementos que desde el conocimiento tradicional permiten precisar en el numeral de evaluación ambiental del EIA, las implicaciones del proyecto</w:t>
      </w:r>
      <w:r w:rsidRPr="005B697D">
        <w:rPr>
          <w:rFonts w:cs="Arial"/>
          <w:spacing w:val="-3"/>
          <w:szCs w:val="20"/>
          <w:lang w:val="es-CO"/>
        </w:rPr>
        <w:t>, obra o actividad</w:t>
      </w:r>
      <w:r w:rsidRPr="005B697D">
        <w:rPr>
          <w:rFonts w:cs="Arial"/>
          <w:color w:val="000000"/>
          <w:szCs w:val="20"/>
          <w:lang w:val="es-CO"/>
        </w:rPr>
        <w:t xml:space="preserve"> en el bienestar de la comunidad.</w:t>
      </w:r>
    </w:p>
  </w:footnote>
  <w:footnote w:id="176">
    <w:p w14:paraId="2D3F8A71" w14:textId="583F109C" w:rsidR="00B0090E" w:rsidRPr="005B697D" w:rsidRDefault="00B0090E"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CF3E8D" w:rsidRPr="005B697D">
        <w:rPr>
          <w:rFonts w:cs="Arial"/>
          <w:szCs w:val="20"/>
        </w:rPr>
        <w:t>Entre ellas, las asociadas con la conservación, la protección del ambiente y los ecosistemas y las de interés para proteger el derecho humano a la alimentación de los habitantes del territorio nacional localizadas dentro de la frontera agrícola</w:t>
      </w:r>
      <w:r w:rsidR="007B37EC" w:rsidRPr="005B697D">
        <w:rPr>
          <w:rFonts w:cs="Arial"/>
          <w:szCs w:val="20"/>
        </w:rPr>
        <w:t xml:space="preserve"> (p. ej. APPA)</w:t>
      </w:r>
      <w:r w:rsidR="00CF3E8D" w:rsidRPr="005B697D">
        <w:rPr>
          <w:rFonts w:cs="Arial"/>
          <w:szCs w:val="20"/>
        </w:rPr>
        <w:t>.</w:t>
      </w:r>
    </w:p>
  </w:footnote>
  <w:footnote w:id="177">
    <w:p w14:paraId="3B46FA7B" w14:textId="6FC15EC2" w:rsidR="00BB3021" w:rsidRPr="005B697D" w:rsidRDefault="00BB3021"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FF59DE" w:rsidRPr="005B697D">
        <w:rPr>
          <w:rFonts w:cs="Arial"/>
          <w:szCs w:val="20"/>
          <w:lang w:val="es-CO"/>
        </w:rPr>
        <w:t>Situación en la cual se pierde una cualidad a cambio de otra (Nie, 2003). Los trade-off ocurren cuando la provisión de un servicio ecosistémico es reducida como consecuencia del incremento en el uso de otro (Rodríguez et al., 2006).</w:t>
      </w:r>
    </w:p>
  </w:footnote>
  <w:footnote w:id="178">
    <w:p w14:paraId="4F20D776" w14:textId="251FA84B" w:rsidR="00463D5F" w:rsidRPr="005B697D" w:rsidRDefault="00463D5F"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refieren más que a procesos conflictivos específicos, al reconocimiento de posibles factores exógenos al ámbito local, que actúan como direccionadores de cambio, tensionantes o motivadores para la elección de alternativas de acción que tienen los distintos actores pertenecientes a dicho </w:t>
      </w:r>
      <w:r w:rsidR="00B85AAB" w:rsidRPr="005B697D">
        <w:rPr>
          <w:rFonts w:cs="Arial"/>
          <w:szCs w:val="20"/>
          <w:lang w:val="es-CO"/>
        </w:rPr>
        <w:t xml:space="preserve">ámbito local </w:t>
      </w:r>
      <w:r w:rsidRPr="005B697D">
        <w:rPr>
          <w:rFonts w:cs="Arial"/>
          <w:szCs w:val="20"/>
          <w:shd w:val="clear" w:color="auto" w:fill="E6E6E6"/>
          <w:lang w:val="es-CO"/>
        </w:rPr>
        <w:t>(Olmos, 2014)</w:t>
      </w:r>
      <w:r w:rsidR="00B85AAB" w:rsidRPr="005B697D">
        <w:rPr>
          <w:rFonts w:cs="Arial"/>
          <w:szCs w:val="20"/>
          <w:shd w:val="clear" w:color="auto" w:fill="E6E6E6"/>
          <w:lang w:val="es-CO"/>
        </w:rPr>
        <w:t>.</w:t>
      </w:r>
    </w:p>
  </w:footnote>
  <w:footnote w:id="179">
    <w:p w14:paraId="13FA294E" w14:textId="685D24F8"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ello es necesario </w:t>
      </w:r>
      <w:r w:rsidR="00C000E0" w:rsidRPr="005B697D">
        <w:rPr>
          <w:rFonts w:cs="Arial"/>
          <w:szCs w:val="20"/>
          <w:lang w:val="es-CO"/>
        </w:rPr>
        <w:t xml:space="preserve">determinar </w:t>
      </w:r>
      <w:r w:rsidRPr="005B697D">
        <w:rPr>
          <w:rFonts w:cs="Arial"/>
          <w:szCs w:val="20"/>
          <w:lang w:val="es-CO"/>
        </w:rPr>
        <w:t>las actividades, obras e infraestructuras del proyecto por las que se debe realizar el reasentamiento involuntario de población; dicha información debe estar desarrollada en el apartado de descripción del proyecto y las implicaciones ambientales de tales actividades, obras e infraestructuras, deben desarrollarse en el numeral de evaluación ambiental.</w:t>
      </w:r>
    </w:p>
  </w:footnote>
  <w:footnote w:id="180">
    <w:p w14:paraId="2C1F7A48" w14:textId="04F77538" w:rsidR="0073561F" w:rsidRPr="005B697D" w:rsidRDefault="0073561F"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uso del registro fílmico y fotográfico o solo </w:t>
      </w:r>
      <w:r w:rsidR="00DC210D" w:rsidRPr="005B697D">
        <w:rPr>
          <w:rFonts w:cs="Arial"/>
          <w:szCs w:val="20"/>
          <w:lang w:val="es-CO"/>
        </w:rPr>
        <w:t xml:space="preserve">es </w:t>
      </w:r>
      <w:r w:rsidRPr="005B697D">
        <w:rPr>
          <w:rFonts w:cs="Arial"/>
          <w:szCs w:val="20"/>
          <w:lang w:val="es-CO"/>
        </w:rPr>
        <w:t xml:space="preserve">permitido con la autorización previa y documentada de los asistentes, en cumplimiento de la Ley 1581 de 2012, conocida como la Ley de </w:t>
      </w:r>
      <w:r w:rsidR="00DC210D" w:rsidRPr="005B697D">
        <w:rPr>
          <w:rFonts w:cs="Arial"/>
          <w:szCs w:val="20"/>
          <w:lang w:val="es-CO"/>
        </w:rPr>
        <w:t>protección de datos</w:t>
      </w:r>
      <w:r w:rsidRPr="005B697D">
        <w:rPr>
          <w:rFonts w:cs="Arial"/>
          <w:szCs w:val="20"/>
          <w:lang w:val="es-CO"/>
        </w:rPr>
        <w:t>.</w:t>
      </w:r>
    </w:p>
  </w:footnote>
  <w:footnote w:id="181">
    <w:p w14:paraId="3742DE20" w14:textId="77777777" w:rsidR="007F3771" w:rsidRPr="005B697D" w:rsidRDefault="007F3771"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https://www.minambiente.gov.co/asuntos-ambientales-sectorial-y-urbana/otras-herramientas-tecnicas/. Se debe señalar en el estudio ambiental la fecha en la cual se consultó esta tabla.</w:t>
      </w:r>
    </w:p>
  </w:footnote>
  <w:footnote w:id="182">
    <w:p w14:paraId="59492879" w14:textId="58603EE5"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w:t>
      </w:r>
      <w:r w:rsidR="00C000E0" w:rsidRPr="005B697D">
        <w:rPr>
          <w:rFonts w:cs="Arial"/>
          <w:szCs w:val="20"/>
          <w:lang w:val="es-CO"/>
        </w:rPr>
        <w:t>determinar</w:t>
      </w:r>
      <w:r w:rsidRPr="005B697D">
        <w:rPr>
          <w:rFonts w:cs="Arial"/>
          <w:szCs w:val="20"/>
          <w:lang w:val="es-CO"/>
        </w:rPr>
        <w:t>, clasificar, evaluar y describir los SE, así como para definir las unidades de análisis, es posible tomar como referencia los siguientes documentos, metodologías, herramientas y sistemas de indicadores sobre biodiversidad:</w:t>
      </w:r>
    </w:p>
    <w:p w14:paraId="66A28332" w14:textId="0BBAF5D0" w:rsidR="00D55F13" w:rsidRPr="005B697D" w:rsidRDefault="00D55F13" w:rsidP="005B697D">
      <w:pPr>
        <w:pStyle w:val="Textonotapie"/>
        <w:numPr>
          <w:ilvl w:val="0"/>
          <w:numId w:val="71"/>
        </w:numPr>
        <w:ind w:left="284" w:hanging="284"/>
        <w:rPr>
          <w:rFonts w:cs="Arial"/>
          <w:szCs w:val="20"/>
          <w:lang w:val="es-CO"/>
        </w:rPr>
      </w:pPr>
      <w:r w:rsidRPr="005B697D">
        <w:rPr>
          <w:rFonts w:cs="Arial"/>
          <w:szCs w:val="20"/>
          <w:lang w:val="es-CO"/>
        </w:rPr>
        <w:t>Hacia una valoración incluyente y plural de la biodiversidad y los servicios ecosistémicos. Rincón, A., Arias, P. &amp; Clavijo, M. (Eds.). (2021).</w:t>
      </w:r>
    </w:p>
    <w:p w14:paraId="038FFBD2" w14:textId="17BD1A08" w:rsidR="00D55F13" w:rsidRPr="005B697D" w:rsidRDefault="00D55F13" w:rsidP="005B697D">
      <w:pPr>
        <w:pStyle w:val="Textonotapie"/>
        <w:numPr>
          <w:ilvl w:val="0"/>
          <w:numId w:val="71"/>
        </w:numPr>
        <w:ind w:left="284" w:hanging="284"/>
        <w:rPr>
          <w:rFonts w:cs="Arial"/>
          <w:szCs w:val="20"/>
          <w:lang w:val="es-CO"/>
        </w:rPr>
      </w:pPr>
      <w:r w:rsidRPr="005B697D">
        <w:rPr>
          <w:rFonts w:cs="Arial"/>
          <w:szCs w:val="20"/>
          <w:lang w:val="en-US"/>
        </w:rPr>
        <w:t xml:space="preserve">Mapping Ecosystem Services. Burkhard, B. &amp; Maes, J. (Eds.). </w:t>
      </w:r>
      <w:r w:rsidRPr="005B697D">
        <w:rPr>
          <w:rFonts w:cs="Arial"/>
          <w:szCs w:val="20"/>
          <w:lang w:val="es-CO"/>
        </w:rPr>
        <w:t>(2017).</w:t>
      </w:r>
    </w:p>
    <w:p w14:paraId="45BC54EC" w14:textId="77777777" w:rsidR="00D55F13" w:rsidRPr="005B697D" w:rsidRDefault="00D55F13" w:rsidP="005B697D">
      <w:pPr>
        <w:pStyle w:val="Textonotapie"/>
        <w:numPr>
          <w:ilvl w:val="0"/>
          <w:numId w:val="71"/>
        </w:numPr>
        <w:ind w:left="284" w:hanging="284"/>
        <w:rPr>
          <w:rFonts w:cs="Arial"/>
          <w:szCs w:val="20"/>
          <w:lang w:val="es-CO"/>
        </w:rPr>
      </w:pPr>
      <w:r w:rsidRPr="005B697D">
        <w:rPr>
          <w:rFonts w:cs="Arial"/>
          <w:szCs w:val="20"/>
          <w:lang w:val="es-CO"/>
        </w:rPr>
        <w:t>Ecoser: protocolo colaborativo de evaluación y mapeo de servicios ecosistémicos y vulnerabilidad socio-ecológica para el ordenamiento territorial. Laterra, Barral, Carmona y Nahuelhual (2015).</w:t>
      </w:r>
    </w:p>
    <w:p w14:paraId="6512ACF6" w14:textId="77777777" w:rsidR="00D55F13" w:rsidRPr="005B697D" w:rsidRDefault="00D55F13" w:rsidP="005B697D">
      <w:pPr>
        <w:pStyle w:val="Textonotapie"/>
        <w:numPr>
          <w:ilvl w:val="0"/>
          <w:numId w:val="71"/>
        </w:numPr>
        <w:ind w:left="284" w:hanging="284"/>
        <w:rPr>
          <w:rFonts w:cs="Arial"/>
          <w:szCs w:val="20"/>
          <w:lang w:val="es-CO"/>
        </w:rPr>
      </w:pPr>
      <w:r w:rsidRPr="005B697D">
        <w:rPr>
          <w:rFonts w:cs="Arial"/>
          <w:szCs w:val="20"/>
          <w:lang w:val="es-CO"/>
        </w:rPr>
        <w:t>Valoración integral de la biodiversidad y los servicios ecosistémicos: Aspectos conceptuales y metodológicos. Rincón-Ruíz, A., et al. (2014).</w:t>
      </w:r>
    </w:p>
    <w:p w14:paraId="1882414C" w14:textId="77777777" w:rsidR="00D55F13" w:rsidRPr="005B697D" w:rsidRDefault="00D55F13" w:rsidP="005B697D">
      <w:pPr>
        <w:pStyle w:val="Textonotapie"/>
        <w:numPr>
          <w:ilvl w:val="0"/>
          <w:numId w:val="71"/>
        </w:numPr>
        <w:ind w:left="284" w:hanging="284"/>
        <w:rPr>
          <w:rFonts w:cs="Arial"/>
          <w:szCs w:val="20"/>
          <w:lang w:val="es-CO"/>
        </w:rPr>
      </w:pPr>
      <w:r w:rsidRPr="005B697D">
        <w:rPr>
          <w:rFonts w:cs="Arial"/>
          <w:szCs w:val="20"/>
          <w:lang w:val="en-US"/>
        </w:rPr>
        <w:t xml:space="preserve">Weaving ecosystem services into impact assessment. </w:t>
      </w:r>
      <w:r w:rsidRPr="005B697D">
        <w:rPr>
          <w:rFonts w:cs="Arial"/>
          <w:szCs w:val="20"/>
          <w:lang w:val="es-CO"/>
        </w:rPr>
        <w:t>Landsberg, et al. (2013).</w:t>
      </w:r>
    </w:p>
    <w:p w14:paraId="580FB19D" w14:textId="77777777" w:rsidR="00D55F13" w:rsidRPr="005B697D" w:rsidRDefault="00D55F13" w:rsidP="005B697D">
      <w:pPr>
        <w:pStyle w:val="Textonotapie"/>
        <w:numPr>
          <w:ilvl w:val="0"/>
          <w:numId w:val="71"/>
        </w:numPr>
        <w:ind w:left="284" w:hanging="284"/>
        <w:rPr>
          <w:rFonts w:cs="Arial"/>
          <w:szCs w:val="20"/>
          <w:lang w:val="es-CO"/>
        </w:rPr>
      </w:pPr>
      <w:r w:rsidRPr="005B697D">
        <w:rPr>
          <w:rFonts w:cs="Arial"/>
          <w:szCs w:val="20"/>
          <w:lang w:val="es-CO"/>
        </w:rPr>
        <w:t>Ciencias de la sostenibilidad: guía docente. Martín-López, González &amp; Vilardy (Coord.) (2012).</w:t>
      </w:r>
    </w:p>
    <w:p w14:paraId="6D1DA5EE" w14:textId="77777777" w:rsidR="00D55F13" w:rsidRPr="005B697D" w:rsidRDefault="00D55F13" w:rsidP="005B697D">
      <w:pPr>
        <w:pStyle w:val="Textonotapie"/>
        <w:numPr>
          <w:ilvl w:val="0"/>
          <w:numId w:val="71"/>
        </w:numPr>
        <w:ind w:left="284" w:hanging="284"/>
        <w:rPr>
          <w:rFonts w:cs="Arial"/>
          <w:szCs w:val="20"/>
          <w:lang w:val="es-CO"/>
        </w:rPr>
      </w:pPr>
      <w:r w:rsidRPr="005B697D">
        <w:rPr>
          <w:rFonts w:cs="Arial"/>
          <w:szCs w:val="20"/>
          <w:lang w:val="en-US"/>
        </w:rPr>
        <w:t xml:space="preserve">Methodologies for defining and assessing ecosystem. </w:t>
      </w:r>
      <w:r w:rsidRPr="005B697D">
        <w:rPr>
          <w:rFonts w:cs="Arial"/>
          <w:szCs w:val="20"/>
          <w:lang w:val="es-CO"/>
        </w:rPr>
        <w:t>Haines-Young &amp; Potschin (2009).</w:t>
      </w:r>
    </w:p>
    <w:p w14:paraId="257389C2" w14:textId="77777777" w:rsidR="00D55F13" w:rsidRPr="005B697D" w:rsidRDefault="00D55F13" w:rsidP="005B697D">
      <w:pPr>
        <w:pStyle w:val="Textonotapie"/>
        <w:numPr>
          <w:ilvl w:val="0"/>
          <w:numId w:val="71"/>
        </w:numPr>
        <w:ind w:left="284" w:hanging="284"/>
        <w:rPr>
          <w:rFonts w:cs="Arial"/>
          <w:szCs w:val="20"/>
          <w:lang w:val="en-US"/>
        </w:rPr>
      </w:pPr>
      <w:r w:rsidRPr="005B697D">
        <w:rPr>
          <w:rFonts w:cs="Arial"/>
          <w:szCs w:val="20"/>
          <w:lang w:val="en-US"/>
        </w:rPr>
        <w:t>Toolkit for Ecosystem Service Site-Based Assessment –TESSA: http://tessa.tools/.</w:t>
      </w:r>
    </w:p>
    <w:p w14:paraId="5C789956" w14:textId="1570D09C" w:rsidR="00D55F13" w:rsidRPr="005B697D" w:rsidRDefault="00D55F13" w:rsidP="005B697D">
      <w:pPr>
        <w:pStyle w:val="Textonotapie"/>
        <w:numPr>
          <w:ilvl w:val="0"/>
          <w:numId w:val="71"/>
        </w:numPr>
        <w:ind w:left="284" w:hanging="284"/>
        <w:rPr>
          <w:rFonts w:cs="Arial"/>
          <w:szCs w:val="20"/>
          <w:lang w:val="en-US"/>
        </w:rPr>
      </w:pPr>
      <w:r w:rsidRPr="005B697D">
        <w:rPr>
          <w:rFonts w:cs="Arial"/>
          <w:szCs w:val="20"/>
          <w:lang w:val="en-US"/>
        </w:rPr>
        <w:t xml:space="preserve">Common International Classification of Ecosystem Services: </w:t>
      </w:r>
      <w:r w:rsidRPr="005B697D">
        <w:rPr>
          <w:rFonts w:cs="Arial"/>
          <w:szCs w:val="20"/>
          <w:shd w:val="clear" w:color="auto" w:fill="FFFFFF"/>
          <w:lang w:val="en-US"/>
        </w:rPr>
        <w:t>http://cices.eu/</w:t>
      </w:r>
      <w:r w:rsidRPr="005B697D">
        <w:rPr>
          <w:rStyle w:val="Hipervnculo"/>
          <w:rFonts w:cs="Arial"/>
          <w:color w:val="auto"/>
          <w:szCs w:val="20"/>
          <w:u w:val="none"/>
          <w:shd w:val="clear" w:color="auto" w:fill="FFFFFF"/>
          <w:lang w:val="en-US"/>
        </w:rPr>
        <w:t>.</w:t>
      </w:r>
    </w:p>
    <w:p w14:paraId="199F6B7C" w14:textId="77777777" w:rsidR="00D55F13" w:rsidRPr="005B697D" w:rsidRDefault="00D55F13" w:rsidP="005B697D">
      <w:pPr>
        <w:pStyle w:val="Textonotapie"/>
        <w:numPr>
          <w:ilvl w:val="0"/>
          <w:numId w:val="71"/>
        </w:numPr>
        <w:ind w:left="284" w:hanging="284"/>
        <w:rPr>
          <w:rFonts w:cs="Arial"/>
          <w:szCs w:val="20"/>
          <w:lang w:val="en-US"/>
        </w:rPr>
      </w:pPr>
      <w:r w:rsidRPr="005B697D">
        <w:rPr>
          <w:rFonts w:cs="Arial"/>
          <w:szCs w:val="20"/>
          <w:lang w:val="en-US"/>
        </w:rPr>
        <w:t>Biodiversity Indicators Partnership (BIP): https://www.bipindicators.net/.</w:t>
      </w:r>
    </w:p>
  </w:footnote>
  <w:footnote w:id="183">
    <w:p w14:paraId="49B87CFD" w14:textId="5B399BA8"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Por ejemplo, </w:t>
      </w:r>
      <w:r w:rsidRPr="005B697D">
        <w:rPr>
          <w:rFonts w:cs="Arial"/>
          <w:spacing w:val="-3"/>
          <w:szCs w:val="20"/>
          <w:lang w:val="es-CO"/>
        </w:rPr>
        <w:t>la acumulación de nitrógeno en la materia orgánica (proceso) de las plantas (estructura), permite la remoción y retención de nutrientes (función) que, a su vez, permite la purificación del agua (servicio) (Haines-Young &amp; Potschin, 2009).</w:t>
      </w:r>
    </w:p>
  </w:footnote>
  <w:footnote w:id="184">
    <w:p w14:paraId="261B7425" w14:textId="698863DB" w:rsidR="00C91826" w:rsidRPr="005B697D" w:rsidRDefault="00C9182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Puede referirse a cualquier clasificación útil para la evaluación de los S</w:t>
      </w:r>
      <w:r w:rsidR="000124F4" w:rsidRPr="005B697D">
        <w:rPr>
          <w:rFonts w:cs="Arial"/>
          <w:szCs w:val="20"/>
          <w:lang w:val="es-CO"/>
        </w:rPr>
        <w:t>SE</w:t>
      </w:r>
      <w:r w:rsidRPr="005B697D">
        <w:rPr>
          <w:rFonts w:cs="Arial"/>
          <w:szCs w:val="20"/>
          <w:lang w:val="es-CO"/>
        </w:rPr>
        <w:t>E, por ejemplo, a partir de la actividad económica principal (p. ej. población que depende económicamente de la producción agropecuaria, de la transformación industrial o agroindustrial, de la prestación de servicios), del lugar de residencia (p. ej. población rural o población urbana), de la etnicidad (p. ej. población indígena, población afrodescendiente, población sin autorreconocimiento étnico).</w:t>
      </w:r>
    </w:p>
  </w:footnote>
  <w:footnote w:id="185">
    <w:p w14:paraId="556343B7" w14:textId="77777777" w:rsidR="00825F2A" w:rsidRPr="005B697D" w:rsidRDefault="00825F2A"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 Iniciativa colombiana de polinizadores, publicada en 2018 por Minambiente, CAR e Instituto Humboldt, brinda elementos conceptuales y de contexto general que pueden emplearse para la caracterización de este SE, en caso de aplicar.</w:t>
      </w:r>
    </w:p>
  </w:footnote>
  <w:footnote w:id="186">
    <w:p w14:paraId="10D98838" w14:textId="77777777" w:rsidR="008026E5" w:rsidRPr="005B697D" w:rsidRDefault="008026E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spacing w:val="-3"/>
          <w:szCs w:val="20"/>
          <w:lang w:val="es-CO"/>
        </w:rPr>
        <w:t>Corresponde a</w:t>
      </w:r>
      <w:r w:rsidRPr="005B697D">
        <w:rPr>
          <w:rFonts w:cs="Arial"/>
          <w:szCs w:val="20"/>
          <w:lang w:val="es-CO"/>
        </w:rPr>
        <w:t xml:space="preserve"> la importancia que puede tener un paisaje respecto a la percepción humana del valor estético asociado a características intrínsecas.</w:t>
      </w:r>
    </w:p>
  </w:footnote>
  <w:footnote w:id="187">
    <w:p w14:paraId="044B9780" w14:textId="77777777" w:rsidR="008026E5" w:rsidRPr="005B697D" w:rsidRDefault="008026E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spacing w:val="-3"/>
          <w:szCs w:val="20"/>
          <w:lang w:val="es-CO"/>
        </w:rPr>
        <w:t>Corresponde a la evaluación de la capacidad de resiliencia del paisaje frente a una intervención.</w:t>
      </w:r>
    </w:p>
  </w:footnote>
  <w:footnote w:id="188">
    <w:p w14:paraId="62FFC418" w14:textId="65F72AB2" w:rsidR="008026E5" w:rsidRPr="005B697D" w:rsidRDefault="008026E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Propiedad que i</w:t>
      </w:r>
      <w:r w:rsidRPr="005B697D">
        <w:rPr>
          <w:rFonts w:cs="Arial"/>
          <w:spacing w:val="-3"/>
          <w:szCs w:val="20"/>
          <w:lang w:val="es-CO"/>
        </w:rPr>
        <w:t>ndica qué tan intacto en términos visuales se encuentra un paisaje. Se establece a partir de la identificación de las alteraciones existentes y de la evaluación de los elementos discordantes.</w:t>
      </w:r>
    </w:p>
  </w:footnote>
  <w:footnote w:id="189">
    <w:p w14:paraId="0912A836" w14:textId="1C5A2C92" w:rsidR="008026E5" w:rsidRPr="005B697D" w:rsidRDefault="008026E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Ver por ejemplo Morláns (2005) y </w:t>
      </w:r>
      <w:r w:rsidRPr="005B697D">
        <w:rPr>
          <w:rFonts w:cs="Arial"/>
          <w:spacing w:val="-3"/>
          <w:szCs w:val="20"/>
          <w:lang w:val="es-CO"/>
        </w:rPr>
        <w:t>USDA (1995)</w:t>
      </w:r>
      <w:r w:rsidRPr="005B697D">
        <w:rPr>
          <w:rFonts w:cs="Arial"/>
          <w:szCs w:val="20"/>
          <w:lang w:val="es-CO"/>
        </w:rPr>
        <w:t>. Tener en cuenta que los rangos de distancia deben ser establecidos de acuerdo con las características y naturaleza del proyecto, específicamente, con la magnitud espacial de las obras e infraestructuras propuestas.</w:t>
      </w:r>
    </w:p>
  </w:footnote>
  <w:footnote w:id="190">
    <w:p w14:paraId="2BCBCAC7" w14:textId="02367724" w:rsidR="008026E5" w:rsidRPr="005B697D" w:rsidRDefault="008026E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Ver por ejemplo BLM (1986), Muñoz (2012), Solari &amp; Cazorla (2009) y Morláns (2005).</w:t>
      </w:r>
    </w:p>
  </w:footnote>
  <w:footnote w:id="191">
    <w:p w14:paraId="1222C97A" w14:textId="77777777" w:rsidR="00C41281" w:rsidRPr="005B697D" w:rsidRDefault="00C41281" w:rsidP="005B697D">
      <w:pPr>
        <w:numPr>
          <w:ilvl w:val="12"/>
          <w:numId w:val="0"/>
        </w:numPr>
        <w:tabs>
          <w:tab w:val="left" w:pos="-2268"/>
        </w:tabs>
        <w:suppressAutoHyphens/>
        <w:rPr>
          <w:rFonts w:cs="Arial"/>
          <w:spacing w:val="-3"/>
          <w:sz w:val="20"/>
          <w:szCs w:val="20"/>
        </w:rPr>
      </w:pPr>
      <w:r w:rsidRPr="005B697D">
        <w:rPr>
          <w:rStyle w:val="Refdenotaalpie"/>
          <w:rFonts w:cs="Arial"/>
          <w:sz w:val="20"/>
          <w:szCs w:val="20"/>
          <w:lang w:val="es-CO"/>
        </w:rPr>
        <w:footnoteRef/>
      </w:r>
      <w:r w:rsidRPr="005B697D">
        <w:rPr>
          <w:rFonts w:cs="Arial"/>
          <w:sz w:val="20"/>
          <w:szCs w:val="20"/>
        </w:rPr>
        <w:t xml:space="preserve"> </w:t>
      </w:r>
      <w:r w:rsidRPr="005B697D">
        <w:rPr>
          <w:rFonts w:cs="Arial"/>
          <w:spacing w:val="-3"/>
          <w:sz w:val="20"/>
          <w:szCs w:val="20"/>
        </w:rPr>
        <w:t>La zonificación ambiental, además de ser uno de los insumos para formular la zonificación de manejo ambiental del proyecto, obra o actividad, permite que el diseño y ejecución de éste, contemple y sea coherente con el grado de sensibilidad ambiental del entorno en el que se prevé su ejecución.</w:t>
      </w:r>
    </w:p>
  </w:footnote>
  <w:footnote w:id="192">
    <w:p w14:paraId="2BFCE074" w14:textId="0A1951AD"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spacing w:val="-3"/>
          <w:szCs w:val="20"/>
          <w:lang w:val="es-CO"/>
        </w:rPr>
        <w:t>En algunos casos, la sensibilidad ambiental también está definida por las restricciones impuestas en las figuras de protección ambiental adoptadas mediante la reglamentación expedida por la autoridad ambiental competente.</w:t>
      </w:r>
    </w:p>
  </w:footnote>
  <w:footnote w:id="193">
    <w:p w14:paraId="22C2A6DD" w14:textId="5FCDBF3B" w:rsidR="007D4BC0" w:rsidRPr="005B697D" w:rsidRDefault="007D4BC0"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Los parámetros, indicadores o índices </w:t>
      </w:r>
      <w:r w:rsidR="00292E56" w:rsidRPr="005B697D">
        <w:rPr>
          <w:rFonts w:cs="Arial"/>
          <w:szCs w:val="20"/>
          <w:lang w:val="es-CO"/>
        </w:rPr>
        <w:t xml:space="preserve">se refieren a </w:t>
      </w:r>
      <w:r w:rsidRPr="005B697D">
        <w:rPr>
          <w:rFonts w:cs="Arial"/>
          <w:szCs w:val="20"/>
          <w:lang w:val="es-CO"/>
        </w:rPr>
        <w:t>los factores ambientales y, por tanto, pueden reflejar los aportes que resulten de los procesos de información y participación con los grupos de interés del área de influencia.</w:t>
      </w:r>
    </w:p>
  </w:footnote>
  <w:footnote w:id="194">
    <w:p w14:paraId="2385866C" w14:textId="45387695" w:rsidR="003052EF" w:rsidRPr="005B697D" w:rsidRDefault="003052EF" w:rsidP="005B697D">
      <w:pPr>
        <w:pStyle w:val="Textonotapie"/>
        <w:rPr>
          <w:rFonts w:cs="Arial"/>
          <w:szCs w:val="20"/>
          <w:lang w:val="es-CO"/>
        </w:rPr>
      </w:pPr>
      <w:r w:rsidRPr="005B697D">
        <w:rPr>
          <w:rStyle w:val="Refdenotaalpie"/>
          <w:rFonts w:cs="Arial"/>
          <w:sz w:val="20"/>
          <w:szCs w:val="20"/>
        </w:rPr>
        <w:footnoteRef/>
      </w:r>
      <w:r w:rsidRPr="005B697D">
        <w:rPr>
          <w:rFonts w:cs="Arial"/>
          <w:szCs w:val="20"/>
        </w:rPr>
        <w:t xml:space="preserve"> </w:t>
      </w:r>
      <w:r w:rsidR="00250BFB" w:rsidRPr="005B697D">
        <w:rPr>
          <w:rFonts w:cs="Arial"/>
          <w:szCs w:val="20"/>
        </w:rPr>
        <w:t>Se debe recordar que estos instrumentos incorporan las determinantes de ordenamiento territorial, entre ellas, las asociadas con la conservación, la protección del ambiente y los ecosistemas y las de interés para proteger el derecho humano a la alimentación de los habitantes del territorio nacional localizadas dentro de la frontera agrícola</w:t>
      </w:r>
      <w:r w:rsidR="007B37EC" w:rsidRPr="005B697D">
        <w:rPr>
          <w:rFonts w:cs="Arial"/>
          <w:szCs w:val="20"/>
        </w:rPr>
        <w:t xml:space="preserve"> (p. ej. APPA)</w:t>
      </w:r>
      <w:r w:rsidR="00250BFB" w:rsidRPr="005B697D">
        <w:rPr>
          <w:rFonts w:cs="Arial"/>
          <w:szCs w:val="20"/>
        </w:rPr>
        <w:t>.</w:t>
      </w:r>
    </w:p>
  </w:footnote>
  <w:footnote w:id="195">
    <w:p w14:paraId="6BE49872" w14:textId="77777777" w:rsidR="004271CF" w:rsidRPr="005B697D" w:rsidRDefault="004271CF"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Metodología para el cálculo del índice de escasez de agua superficial, Resolución 0865 del 22 de junio de 2004, o aquella norma que la modifique o sustituya.</w:t>
      </w:r>
    </w:p>
  </w:footnote>
  <w:footnote w:id="196">
    <w:p w14:paraId="682E2F5C" w14:textId="1FCFAD59"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eastAsia="CIDFont+F3" w:cs="Arial"/>
          <w:szCs w:val="20"/>
          <w:lang w:val="es-CO"/>
        </w:rPr>
        <w:t>Unidad de roca o sedimento, capaz de almacenar y transmitir agua, entendida como el sistema que involucra las zonas de recarga, tránsito y de descarga, así como sus interacciones con otras unidades similares, las aguas superficiales y marinas; definición establecida por el artículo 2.2.3.1.1.3. del Decreto 1076 de 2015.</w:t>
      </w:r>
    </w:p>
  </w:footnote>
  <w:footnote w:id="197">
    <w:p w14:paraId="634CDC10" w14:textId="75AA5135" w:rsidR="00D55F13" w:rsidRPr="005B697D" w:rsidRDefault="00D55F13" w:rsidP="005B697D">
      <w:pPr>
        <w:overflowPunct/>
        <w:textAlignment w:val="auto"/>
        <w:rPr>
          <w:rFonts w:cs="Arial"/>
          <w:sz w:val="20"/>
          <w:szCs w:val="20"/>
        </w:rPr>
      </w:pPr>
      <w:r w:rsidRPr="005B697D">
        <w:rPr>
          <w:rStyle w:val="Refdenotaalpie"/>
          <w:rFonts w:cs="Arial"/>
          <w:sz w:val="20"/>
          <w:szCs w:val="20"/>
          <w:lang w:val="es-CO"/>
        </w:rPr>
        <w:footnoteRef/>
      </w:r>
      <w:r w:rsidRPr="005B697D">
        <w:rPr>
          <w:rFonts w:cs="Arial"/>
          <w:sz w:val="20"/>
          <w:szCs w:val="20"/>
        </w:rPr>
        <w:t xml:space="preserve"> </w:t>
      </w:r>
      <w:r w:rsidRPr="005B697D">
        <w:rPr>
          <w:rFonts w:eastAsia="CIDFont+F3" w:cs="Arial"/>
          <w:sz w:val="20"/>
          <w:szCs w:val="20"/>
        </w:rPr>
        <w:t>En caso de que el Ministerio de Ambiente y Desarrollo Sostenible, la autoridad ambiental regional o el Ideam establezcan o adopten con posterioridad una metodología para la estimación de la longitud de influencia del vertimiento sobre corrientes de agua superficial, ésta deberá ser aplicada para la formulación de los modelos.</w:t>
      </w:r>
    </w:p>
  </w:footnote>
  <w:footnote w:id="198">
    <w:p w14:paraId="2B85FC1B" w14:textId="08CC1B6B"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determinar las ocupaciones de cauce, se deben tener en cuenta los artículos 2.2.3.2.3.1, 2.2.3.2.3.2</w:t>
      </w:r>
      <w:r w:rsidR="00591A1D" w:rsidRPr="005B697D">
        <w:rPr>
          <w:rFonts w:cs="Arial"/>
          <w:szCs w:val="20"/>
          <w:lang w:val="es-CO"/>
        </w:rPr>
        <w:t>, 2.2.3.2.3A.2.</w:t>
      </w:r>
      <w:r w:rsidRPr="005B697D">
        <w:rPr>
          <w:rFonts w:cs="Arial"/>
          <w:szCs w:val="20"/>
          <w:lang w:val="es-CO"/>
        </w:rPr>
        <w:t xml:space="preserve"> y 2.2.3.2.12.1 del Decreto 1076 de 2015.</w:t>
      </w:r>
      <w:r w:rsidR="00845A02" w:rsidRPr="005B697D">
        <w:rPr>
          <w:rFonts w:cs="Arial"/>
          <w:szCs w:val="20"/>
          <w:lang w:val="es-CO"/>
        </w:rPr>
        <w:t xml:space="preserve"> Entre las obras hidr</w:t>
      </w:r>
      <w:r w:rsidR="009D099F" w:rsidRPr="005B697D">
        <w:rPr>
          <w:rFonts w:cs="Arial"/>
          <w:szCs w:val="20"/>
          <w:lang w:val="es-CO"/>
        </w:rPr>
        <w:t>áu</w:t>
      </w:r>
      <w:r w:rsidR="00845A02" w:rsidRPr="005B697D">
        <w:rPr>
          <w:rFonts w:cs="Arial"/>
          <w:szCs w:val="20"/>
          <w:lang w:val="es-CO"/>
        </w:rPr>
        <w:t xml:space="preserve">licas que requieren del permiso de ocupación de cauce se encuentran las siguientes: i) Captaciones y estructuras de vertimiento localizadas en el lecho o aferentes en los cuerpos de agua (incluye las estructuras de entrega de alcantarillados pluviales que lleguen a ocupar áreas del cauce permanente o la faja paralela), ii) Obras localizadas en el lecho </w:t>
      </w:r>
      <w:r w:rsidR="00B47C6E" w:rsidRPr="005B697D">
        <w:rPr>
          <w:rFonts w:cs="Arial"/>
          <w:szCs w:val="20"/>
          <w:lang w:val="es-CO"/>
        </w:rPr>
        <w:t xml:space="preserve">o en las obras que puedan afectar el área de inundación de crecientes máximas ordinarias (nivel promedio del agua de los últimos 15 años de acuerdo con el ARTÍCULO 2.2.3.2.3.3. del decreto 1076 de 2015); </w:t>
      </w:r>
      <w:r w:rsidR="00845A02" w:rsidRPr="005B697D">
        <w:rPr>
          <w:rFonts w:cs="Arial"/>
          <w:szCs w:val="20"/>
          <w:lang w:val="es-CO"/>
        </w:rPr>
        <w:t>incluye los cruces aéreos y subfluviales de tuberías, jaulas de uso piscícola, pilotes y otras estructuras de cruce, iii) Estructuras de protección de orillas como protecciones directas, enrocados y espolones, iv) Jarillones, muros o diques longitudinales o perimetrales usados para el manejo de inundaciones o el control de la evolución de los cuerpos de agua loticos o la explotación de minerales o materiales de arrastre, v) Estructuras de disipación de energía como gradas, rápidas, canales o sedimentadores que entreguen flujos a los cuerpos de agua ocupando zonas de su cauce permanente o faja paralela, vi) Actividades autorizadas que se realicen sobre el cauce permanente o la faja paralela de los cuerpos de agua incluyendo actividades de recreación y explotación de materiales del lecho, vi) Diques, presas y otras estructuras transversales usadas para generar embalsamientos, captar aguas o para cualquier otro fin.</w:t>
      </w:r>
      <w:r w:rsidR="00DE05C1" w:rsidRPr="005B697D">
        <w:rPr>
          <w:rFonts w:cs="Arial"/>
          <w:szCs w:val="20"/>
          <w:lang w:val="es-CO"/>
        </w:rPr>
        <w:t xml:space="preserve"> Se debe tener en cuenta que la construcción y desmantelamiento de obras de ocupación temporales no deben generar inestabilidad o mayores impactos en el cauce y que las obras tipo batea para cruces viales no se consideran ambientalmente viables.</w:t>
      </w:r>
    </w:p>
  </w:footnote>
  <w:footnote w:id="199">
    <w:p w14:paraId="568D0517" w14:textId="7B625EA9" w:rsidR="00845A02" w:rsidRPr="005B697D" w:rsidRDefault="00845A02"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determinar si una obra es mayor o menor, se deben considerar sus dimensiones y las características del cuerpo de agua a ocupar; </w:t>
      </w:r>
      <w:r w:rsidR="00937545" w:rsidRPr="005B697D">
        <w:rPr>
          <w:rFonts w:cs="Arial"/>
          <w:szCs w:val="20"/>
          <w:lang w:val="es-CO"/>
        </w:rPr>
        <w:t>por ejemplo, d</w:t>
      </w:r>
      <w:r w:rsidRPr="005B697D">
        <w:rPr>
          <w:rFonts w:cs="Arial"/>
          <w:szCs w:val="20"/>
          <w:lang w:val="es-CO"/>
        </w:rPr>
        <w:t>e acuerdo con el tratamiento que el Manual de drenajes para carreteras del Ministerio de Transporte de INVIAS (2009) le da a diferentes obras, las alcantarillas (sencillas, dobles o múltiples), box culvert, descoles</w:t>
      </w:r>
      <w:r w:rsidR="00937545" w:rsidRPr="005B697D">
        <w:rPr>
          <w:rFonts w:cs="Arial"/>
          <w:szCs w:val="20"/>
          <w:lang w:val="es-CO"/>
        </w:rPr>
        <w:t xml:space="preserve"> y</w:t>
      </w:r>
      <w:r w:rsidRPr="005B697D">
        <w:rPr>
          <w:rFonts w:cs="Arial"/>
          <w:szCs w:val="20"/>
          <w:lang w:val="es-CO"/>
        </w:rPr>
        <w:t xml:space="preserve"> disipadores</w:t>
      </w:r>
      <w:r w:rsidR="00937545" w:rsidRPr="005B697D">
        <w:rPr>
          <w:rFonts w:cs="Arial"/>
          <w:szCs w:val="20"/>
          <w:lang w:val="es-CO"/>
        </w:rPr>
        <w:t xml:space="preserve"> </w:t>
      </w:r>
      <w:r w:rsidRPr="005B697D">
        <w:rPr>
          <w:rFonts w:cs="Arial"/>
          <w:szCs w:val="20"/>
          <w:lang w:val="es-CO"/>
        </w:rPr>
        <w:t>pueden clasificarse como obras menores, mientras que los puentes, pontones</w:t>
      </w:r>
      <w:r w:rsidR="00937545" w:rsidRPr="005B697D">
        <w:rPr>
          <w:rFonts w:cs="Arial"/>
          <w:szCs w:val="20"/>
          <w:lang w:val="es-CO"/>
        </w:rPr>
        <w:t xml:space="preserve"> y</w:t>
      </w:r>
      <w:r w:rsidRPr="005B697D">
        <w:rPr>
          <w:rFonts w:cs="Arial"/>
          <w:szCs w:val="20"/>
          <w:lang w:val="es-CO"/>
        </w:rPr>
        <w:t xml:space="preserve"> viaductos</w:t>
      </w:r>
      <w:r w:rsidR="00937545" w:rsidRPr="005B697D">
        <w:rPr>
          <w:rFonts w:cs="Arial"/>
          <w:szCs w:val="20"/>
          <w:lang w:val="es-CO"/>
        </w:rPr>
        <w:t xml:space="preserve"> </w:t>
      </w:r>
      <w:r w:rsidRPr="005B697D">
        <w:rPr>
          <w:rFonts w:cs="Arial"/>
          <w:szCs w:val="20"/>
          <w:lang w:val="es-CO"/>
        </w:rPr>
        <w:t>pueden clasificarse como obras mayores.</w:t>
      </w:r>
      <w:r w:rsidR="00DF02CF" w:rsidRPr="005B697D">
        <w:rPr>
          <w:rFonts w:cs="Arial"/>
          <w:szCs w:val="20"/>
          <w:lang w:val="es-CO"/>
        </w:rPr>
        <w:t xml:space="preserve"> </w:t>
      </w:r>
      <w:r w:rsidR="00DF02CF" w:rsidRPr="005B697D">
        <w:rPr>
          <w:rFonts w:cs="Arial"/>
          <w:bCs/>
          <w:szCs w:val="20"/>
          <w:lang w:val="es-CO"/>
        </w:rPr>
        <w:t xml:space="preserve">Lo anterior sin perjuicio de otro tipo de obras hidráulicas no abordadas en el </w:t>
      </w:r>
      <w:r w:rsidR="00826670" w:rsidRPr="005B697D">
        <w:rPr>
          <w:rFonts w:cs="Arial"/>
          <w:bCs/>
          <w:szCs w:val="20"/>
          <w:lang w:val="es-CO"/>
        </w:rPr>
        <w:t>m</w:t>
      </w:r>
      <w:r w:rsidR="00DF02CF" w:rsidRPr="005B697D">
        <w:rPr>
          <w:rFonts w:cs="Arial"/>
          <w:bCs/>
          <w:szCs w:val="20"/>
          <w:lang w:val="es-CO"/>
        </w:rPr>
        <w:t>anual citado.</w:t>
      </w:r>
    </w:p>
  </w:footnote>
  <w:footnote w:id="200">
    <w:p w14:paraId="16A3401C" w14:textId="7A7B2538" w:rsidR="00D55F13" w:rsidRPr="005B697D" w:rsidRDefault="00D55F13" w:rsidP="005B697D">
      <w:pPr>
        <w:pStyle w:val="Textonotapie"/>
        <w:rPr>
          <w:rFonts w:cs="Arial"/>
          <w:szCs w:val="20"/>
          <w:lang w:val="es-CO"/>
        </w:rPr>
      </w:pPr>
      <w:r w:rsidRPr="005B697D">
        <w:rPr>
          <w:rFonts w:cs="Arial"/>
          <w:szCs w:val="20"/>
          <w:vertAlign w:val="superscript"/>
          <w:lang w:val="es-CO"/>
        </w:rPr>
        <w:footnoteRef/>
      </w:r>
      <w:r w:rsidRPr="005B697D">
        <w:rPr>
          <w:rFonts w:cs="Arial"/>
          <w:szCs w:val="20"/>
          <w:lang w:val="es-CO"/>
        </w:rPr>
        <w:t xml:space="preserve"> Aprovechamiento forestal único y aprovechamiento forestal de árboles aislados.</w:t>
      </w:r>
    </w:p>
  </w:footnote>
  <w:footnote w:id="201">
    <w:p w14:paraId="0FDF340A" w14:textId="3F290F3F" w:rsidR="00D55F13" w:rsidRPr="005B697D" w:rsidRDefault="00D55F13" w:rsidP="005B697D">
      <w:pPr>
        <w:pStyle w:val="Textonotapie"/>
        <w:rPr>
          <w:rFonts w:cs="Arial"/>
          <w:szCs w:val="20"/>
          <w:lang w:val="es-CO"/>
        </w:rPr>
      </w:pPr>
      <w:r w:rsidRPr="005B697D">
        <w:rPr>
          <w:rFonts w:cs="Arial"/>
          <w:szCs w:val="20"/>
          <w:vertAlign w:val="superscript"/>
          <w:lang w:val="es-CO"/>
        </w:rPr>
        <w:footnoteRef/>
      </w:r>
      <w:r w:rsidRPr="005B697D">
        <w:rPr>
          <w:rFonts w:cs="Arial"/>
          <w:szCs w:val="20"/>
          <w:lang w:val="es-CO"/>
        </w:rPr>
        <w:t xml:space="preserve"> Muestreo forestal: proceso mediante el que se registra información de un subconjunto de la población de una cobertura vegetal, con base en la cual es posible hacer inferencias sobre la población total. Censo forestal: proceso mediante el que se registra información del 100% de los individuos de un área.</w:t>
      </w:r>
    </w:p>
  </w:footnote>
  <w:footnote w:id="202">
    <w:p w14:paraId="241D8756" w14:textId="77777777" w:rsidR="00443D03" w:rsidRPr="005B697D" w:rsidRDefault="00443D03"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Las variables críticas son aquellas cuya variación genera el mayor cambio en la concentración estimada en los receptores.</w:t>
      </w:r>
    </w:p>
  </w:footnote>
  <w:footnote w:id="203">
    <w:p w14:paraId="534797BE" w14:textId="7629C0EC" w:rsidR="00D55F13" w:rsidRPr="005B697D" w:rsidRDefault="00D55F13"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El escenario con proyecto se define como la simulación para el año más crítico, es decir, el año con las mayores emisiones</w:t>
      </w:r>
      <w:r w:rsidR="00CF51C5" w:rsidRPr="005B697D">
        <w:rPr>
          <w:rFonts w:cs="Arial"/>
          <w:sz w:val="20"/>
          <w:szCs w:val="20"/>
        </w:rPr>
        <w:t>,</w:t>
      </w:r>
      <w:r w:rsidRPr="005B697D">
        <w:rPr>
          <w:rFonts w:cs="Arial"/>
          <w:sz w:val="20"/>
          <w:szCs w:val="20"/>
        </w:rPr>
        <w:t xml:space="preserve"> considera</w:t>
      </w:r>
      <w:r w:rsidR="00CF51C5" w:rsidRPr="005B697D">
        <w:rPr>
          <w:rFonts w:cs="Arial"/>
          <w:sz w:val="20"/>
          <w:szCs w:val="20"/>
        </w:rPr>
        <w:t xml:space="preserve">ndo </w:t>
      </w:r>
      <w:r w:rsidRPr="005B697D">
        <w:rPr>
          <w:rFonts w:cs="Arial"/>
          <w:sz w:val="20"/>
          <w:szCs w:val="20"/>
        </w:rPr>
        <w:t>condiciones meteorológicas críticas</w:t>
      </w:r>
      <w:r w:rsidR="00CF51C5" w:rsidRPr="005B697D">
        <w:rPr>
          <w:rFonts w:cs="Arial"/>
          <w:sz w:val="20"/>
          <w:szCs w:val="20"/>
        </w:rPr>
        <w:t xml:space="preserve"> </w:t>
      </w:r>
      <w:r w:rsidR="00FF6958" w:rsidRPr="005B697D">
        <w:rPr>
          <w:rFonts w:cs="Arial"/>
          <w:sz w:val="20"/>
          <w:szCs w:val="20"/>
        </w:rPr>
        <w:t>u otras que se identifiquen</w:t>
      </w:r>
      <w:r w:rsidRPr="005B697D">
        <w:rPr>
          <w:rFonts w:cs="Arial"/>
          <w:sz w:val="20"/>
          <w:szCs w:val="20"/>
        </w:rPr>
        <w:t>.</w:t>
      </w:r>
    </w:p>
  </w:footnote>
  <w:footnote w:id="204">
    <w:p w14:paraId="5BD663A2" w14:textId="3EC95233"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FF6958" w:rsidRPr="005B697D">
        <w:rPr>
          <w:rFonts w:cs="Arial"/>
          <w:szCs w:val="20"/>
          <w:lang w:val="es-CO"/>
        </w:rPr>
        <w:t xml:space="preserve">El escenario sin medidas de manejo permite determinar la eficiencia de las medidas implementadas para el control de emisiones. En aquellos casos donde las fuentes fijas cuenten, desde fábrica, con sistemas de control incorporados y no se disponga de información sobre las emisiones en ausencia de dichos sistemas, </w:t>
      </w:r>
      <w:r w:rsidR="00AF3EE2" w:rsidRPr="005B697D">
        <w:rPr>
          <w:rFonts w:cs="Arial"/>
          <w:szCs w:val="20"/>
          <w:lang w:val="es-CO"/>
        </w:rPr>
        <w:t xml:space="preserve">es posible </w:t>
      </w:r>
      <w:r w:rsidR="00FF6958" w:rsidRPr="005B697D">
        <w:rPr>
          <w:rFonts w:cs="Arial"/>
          <w:szCs w:val="20"/>
          <w:lang w:val="es-CO"/>
        </w:rPr>
        <w:t>inclui</w:t>
      </w:r>
      <w:r w:rsidR="00AF3EE2" w:rsidRPr="005B697D">
        <w:rPr>
          <w:rFonts w:cs="Arial"/>
          <w:szCs w:val="20"/>
          <w:lang w:val="es-CO"/>
        </w:rPr>
        <w:t xml:space="preserve">rlas </w:t>
      </w:r>
      <w:r w:rsidR="00FF6958" w:rsidRPr="005B697D">
        <w:rPr>
          <w:rFonts w:cs="Arial"/>
          <w:szCs w:val="20"/>
          <w:lang w:val="es-CO"/>
        </w:rPr>
        <w:t>en el segundo escenario, siempre que su eficiencia esté debidamente certificada mediante fichas técnicas que respalden los niveles de emisión considerados en la model</w:t>
      </w:r>
      <w:r w:rsidR="00B340A1" w:rsidRPr="005B697D">
        <w:rPr>
          <w:rFonts w:cs="Arial"/>
          <w:szCs w:val="20"/>
          <w:lang w:val="es-CO"/>
        </w:rPr>
        <w:t>iz</w:t>
      </w:r>
      <w:r w:rsidR="00FF6958" w:rsidRPr="005B697D">
        <w:rPr>
          <w:rFonts w:cs="Arial"/>
          <w:szCs w:val="20"/>
          <w:lang w:val="es-CO"/>
        </w:rPr>
        <w:t xml:space="preserve">ación. Por el contrario, cualquier medida de </w:t>
      </w:r>
      <w:r w:rsidR="00AF3EE2" w:rsidRPr="005B697D">
        <w:rPr>
          <w:rFonts w:cs="Arial"/>
          <w:szCs w:val="20"/>
          <w:lang w:val="es-CO"/>
        </w:rPr>
        <w:t xml:space="preserve">manejo </w:t>
      </w:r>
      <w:r w:rsidR="00FF6958" w:rsidRPr="005B697D">
        <w:rPr>
          <w:rFonts w:cs="Arial"/>
          <w:szCs w:val="20"/>
          <w:lang w:val="es-CO"/>
        </w:rPr>
        <w:t>adicional que no haga parte intrínseca del diseño de la fuente (por ejemplo, la humectación u otras medidas similares), o de la cual no se tenga certeza, o cuya información provenga de bases de datos generales (como la AP-42, en donde se presentan factores de emisión con medidas de control genéricas), no p</w:t>
      </w:r>
      <w:r w:rsidR="00AF3EE2" w:rsidRPr="005B697D">
        <w:rPr>
          <w:rFonts w:cs="Arial"/>
          <w:szCs w:val="20"/>
          <w:lang w:val="es-CO"/>
        </w:rPr>
        <w:t xml:space="preserve">uede </w:t>
      </w:r>
      <w:r w:rsidR="00FF6958" w:rsidRPr="005B697D">
        <w:rPr>
          <w:rFonts w:cs="Arial"/>
          <w:szCs w:val="20"/>
          <w:lang w:val="es-CO"/>
        </w:rPr>
        <w:t>ser considerada dentro de este escenario</w:t>
      </w:r>
      <w:r w:rsidRPr="005B697D">
        <w:rPr>
          <w:rFonts w:cs="Arial"/>
          <w:szCs w:val="20"/>
          <w:lang w:val="es-CO"/>
        </w:rPr>
        <w:t>.</w:t>
      </w:r>
    </w:p>
  </w:footnote>
  <w:footnote w:id="205">
    <w:p w14:paraId="26E99F36" w14:textId="399ABE92" w:rsidR="00FF6958" w:rsidRPr="005B697D" w:rsidRDefault="00FF6958" w:rsidP="005B697D">
      <w:pPr>
        <w:spacing w:after="160"/>
        <w:rPr>
          <w:rFonts w:cs="Arial"/>
          <w:sz w:val="20"/>
          <w:szCs w:val="20"/>
        </w:rPr>
      </w:pPr>
      <w:r w:rsidRPr="005B697D">
        <w:rPr>
          <w:rStyle w:val="Refdenotaalpie"/>
          <w:rFonts w:cs="Arial"/>
          <w:sz w:val="20"/>
          <w:szCs w:val="20"/>
          <w:lang w:val="es-CO"/>
        </w:rPr>
        <w:footnoteRef/>
      </w:r>
      <w:r w:rsidRPr="005B697D">
        <w:rPr>
          <w:rFonts w:cs="Arial"/>
          <w:sz w:val="20"/>
          <w:szCs w:val="20"/>
        </w:rPr>
        <w:t xml:space="preserve"> Las medidas de </w:t>
      </w:r>
      <w:r w:rsidR="00AF3EE2" w:rsidRPr="005B697D">
        <w:rPr>
          <w:rFonts w:cs="Arial"/>
          <w:sz w:val="20"/>
          <w:szCs w:val="20"/>
        </w:rPr>
        <w:t xml:space="preserve">manejo </w:t>
      </w:r>
      <w:r w:rsidRPr="005B697D">
        <w:rPr>
          <w:rFonts w:cs="Arial"/>
          <w:sz w:val="20"/>
          <w:szCs w:val="20"/>
        </w:rPr>
        <w:t xml:space="preserve">corresponden al conjunto de acciones, dispositivos, estrategias o sistemas orientados a prevenir, minimizar o mitigar los impactos ambientales generados por el proyecto. Entre ellas se incluyen los sistemas de control de emisiones, definidos por la Resolución 909 de 2008 como “el conjunto ordenado de equipos, elementos o maquinaria que se utilizan para el desarrollo de acciones destinadas al logro de resultados medibles y verificables de reducción o mejoramiento de las emisiones atmosféricas generadas en un proceso productivo”. Se aclara que las medidas señaladas en la normativa referenciada no son excluyentes, y que </w:t>
      </w:r>
      <w:r w:rsidR="00AF3EE2" w:rsidRPr="005B697D">
        <w:rPr>
          <w:rFonts w:cs="Arial"/>
          <w:sz w:val="20"/>
          <w:szCs w:val="20"/>
        </w:rPr>
        <w:t xml:space="preserve">es posible </w:t>
      </w:r>
      <w:r w:rsidRPr="005B697D">
        <w:rPr>
          <w:rFonts w:cs="Arial"/>
          <w:sz w:val="20"/>
          <w:szCs w:val="20"/>
        </w:rPr>
        <w:t>plantear otras alternativas de</w:t>
      </w:r>
      <w:r w:rsidR="00AF3EE2" w:rsidRPr="005B697D">
        <w:rPr>
          <w:rFonts w:cs="Arial"/>
          <w:sz w:val="20"/>
          <w:szCs w:val="20"/>
        </w:rPr>
        <w:t xml:space="preserve"> minimización o mitigación</w:t>
      </w:r>
      <w:r w:rsidRPr="005B697D">
        <w:rPr>
          <w:rFonts w:cs="Arial"/>
          <w:sz w:val="20"/>
          <w:szCs w:val="20"/>
        </w:rPr>
        <w:t>, siempre que estén técnica y ambientalmente justificadas y contribuyan a la gestión efectiva de los impactos identificados.</w:t>
      </w:r>
    </w:p>
  </w:footnote>
  <w:footnote w:id="206">
    <w:p w14:paraId="263823D0" w14:textId="340DA056" w:rsidR="000B17B1" w:rsidRPr="005B697D" w:rsidRDefault="000B17B1"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El periodo más crítico puede identificarse con base en registros históricos oficiales del Ideam, el tablero de reporte de variabilidad climática de la ANLA o fuentes internacionales como NOAA (National Oceanic and Atmospheric Administration).</w:t>
      </w:r>
    </w:p>
    <w:p w14:paraId="52C2B369" w14:textId="77777777" w:rsidR="000B17B1" w:rsidRPr="005B697D" w:rsidRDefault="000B17B1" w:rsidP="005B697D">
      <w:pPr>
        <w:pStyle w:val="Textonotapie"/>
        <w:rPr>
          <w:rFonts w:cs="Arial"/>
          <w:szCs w:val="20"/>
          <w:lang w:val="es-CO"/>
        </w:rPr>
      </w:pPr>
    </w:p>
  </w:footnote>
  <w:footnote w:id="207">
    <w:p w14:paraId="77A42458" w14:textId="7DABC97D" w:rsidR="00065467" w:rsidRPr="005B697D" w:rsidRDefault="00065467"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El orden </w:t>
      </w:r>
      <w:r w:rsidR="00B83F42" w:rsidRPr="005B697D">
        <w:rPr>
          <w:rFonts w:cs="Arial"/>
          <w:szCs w:val="20"/>
        </w:rPr>
        <w:t xml:space="preserve">de los numerales que contienen los lineamientos para </w:t>
      </w:r>
      <w:r w:rsidR="00A836E6" w:rsidRPr="005B697D">
        <w:rPr>
          <w:rFonts w:cs="Arial"/>
          <w:szCs w:val="20"/>
        </w:rPr>
        <w:t xml:space="preserve">la </w:t>
      </w:r>
      <w:r w:rsidRPr="005B697D">
        <w:rPr>
          <w:rFonts w:cs="Arial"/>
          <w:szCs w:val="20"/>
        </w:rPr>
        <w:t xml:space="preserve">evaluación ambiental </w:t>
      </w:r>
      <w:r w:rsidR="00A836E6" w:rsidRPr="005B697D">
        <w:rPr>
          <w:rFonts w:cs="Arial"/>
          <w:szCs w:val="20"/>
        </w:rPr>
        <w:t xml:space="preserve">en la MGEPEA </w:t>
      </w:r>
      <w:r w:rsidRPr="005B697D">
        <w:rPr>
          <w:rFonts w:cs="Arial"/>
          <w:szCs w:val="20"/>
        </w:rPr>
        <w:t xml:space="preserve">no define necesariamente el orden en el que se debe </w:t>
      </w:r>
      <w:r w:rsidR="00DC5287" w:rsidRPr="005B697D">
        <w:rPr>
          <w:rFonts w:cs="Arial"/>
          <w:szCs w:val="20"/>
        </w:rPr>
        <w:t xml:space="preserve">proceder para </w:t>
      </w:r>
      <w:r w:rsidRPr="005B697D">
        <w:rPr>
          <w:rFonts w:cs="Arial"/>
          <w:szCs w:val="20"/>
        </w:rPr>
        <w:t>al formular un estudio ambiental.</w:t>
      </w:r>
    </w:p>
  </w:footnote>
  <w:footnote w:id="208">
    <w:p w14:paraId="1E11CF73" w14:textId="5351BB15" w:rsidR="00D55F13" w:rsidRPr="005B697D" w:rsidRDefault="00D55F13" w:rsidP="005B697D">
      <w:pPr>
        <w:numPr>
          <w:ilvl w:val="12"/>
          <w:numId w:val="0"/>
        </w:numPr>
        <w:tabs>
          <w:tab w:val="left" w:pos="-2268"/>
        </w:tabs>
        <w:suppressAutoHyphens/>
        <w:rPr>
          <w:rFonts w:cs="Arial"/>
          <w:spacing w:val="-3"/>
          <w:sz w:val="20"/>
          <w:szCs w:val="20"/>
        </w:rPr>
      </w:pPr>
      <w:r w:rsidRPr="005B697D">
        <w:rPr>
          <w:rStyle w:val="Refdenotaalpie"/>
          <w:rFonts w:cs="Arial"/>
          <w:sz w:val="20"/>
          <w:szCs w:val="20"/>
          <w:lang w:val="es-CO"/>
        </w:rPr>
        <w:footnoteRef/>
      </w:r>
      <w:r w:rsidRPr="005B697D">
        <w:rPr>
          <w:rFonts w:cs="Arial"/>
          <w:sz w:val="20"/>
          <w:szCs w:val="20"/>
        </w:rPr>
        <w:t xml:space="preserve"> Mediante las cuales es posible evidenciar, por ejemplo, </w:t>
      </w:r>
      <w:r w:rsidRPr="005B697D">
        <w:rPr>
          <w:rFonts w:cs="Arial"/>
          <w:spacing w:val="-3"/>
          <w:sz w:val="20"/>
          <w:szCs w:val="20"/>
        </w:rPr>
        <w:t xml:space="preserve">que algunos impactos ambientales sobre el medio socioeconómico pueden ser consecuencia de impactos ambientales generados </w:t>
      </w:r>
      <w:r w:rsidR="000C2986" w:rsidRPr="005B697D">
        <w:rPr>
          <w:rFonts w:cs="Arial"/>
          <w:spacing w:val="-3"/>
          <w:sz w:val="20"/>
          <w:szCs w:val="20"/>
        </w:rPr>
        <w:t xml:space="preserve">por las actividades del proyecto </w:t>
      </w:r>
      <w:r w:rsidRPr="005B697D">
        <w:rPr>
          <w:rFonts w:cs="Arial"/>
          <w:spacing w:val="-3"/>
          <w:sz w:val="20"/>
          <w:szCs w:val="20"/>
        </w:rPr>
        <w:t>en los medios abiótico y biótico</w:t>
      </w:r>
      <w:r w:rsidR="00275E75" w:rsidRPr="005B697D">
        <w:rPr>
          <w:rFonts w:cs="Arial"/>
          <w:spacing w:val="-3"/>
          <w:sz w:val="20"/>
          <w:szCs w:val="20"/>
        </w:rPr>
        <w:t xml:space="preserve">; </w:t>
      </w:r>
      <w:r w:rsidR="00E84CAB" w:rsidRPr="005B697D">
        <w:rPr>
          <w:rFonts w:cs="Arial"/>
          <w:spacing w:val="-3"/>
          <w:sz w:val="20"/>
          <w:szCs w:val="20"/>
        </w:rPr>
        <w:t>así</w:t>
      </w:r>
      <w:r w:rsidR="00275E75" w:rsidRPr="005B697D">
        <w:rPr>
          <w:rFonts w:cs="Arial"/>
          <w:spacing w:val="-3"/>
          <w:sz w:val="20"/>
          <w:szCs w:val="20"/>
        </w:rPr>
        <w:t>, un impacto a la calidad del agua puede generar impactos a la biota y éstos, a su vez, a las condiciones socioeconómicas</w:t>
      </w:r>
      <w:r w:rsidRPr="005B697D">
        <w:rPr>
          <w:rFonts w:cs="Arial"/>
          <w:sz w:val="20"/>
          <w:szCs w:val="20"/>
        </w:rPr>
        <w:t>.</w:t>
      </w:r>
      <w:r w:rsidR="001611D1" w:rsidRPr="005B697D">
        <w:rPr>
          <w:rFonts w:cs="Arial"/>
          <w:sz w:val="20"/>
          <w:szCs w:val="20"/>
        </w:rPr>
        <w:t xml:space="preserve"> </w:t>
      </w:r>
      <w:r w:rsidR="00C14DF7" w:rsidRPr="005B697D">
        <w:rPr>
          <w:rFonts w:cs="Arial"/>
          <w:sz w:val="20"/>
          <w:szCs w:val="20"/>
        </w:rPr>
        <w:t>L</w:t>
      </w:r>
      <w:r w:rsidR="001611D1" w:rsidRPr="005B697D">
        <w:rPr>
          <w:rFonts w:cs="Arial"/>
          <w:sz w:val="20"/>
          <w:szCs w:val="20"/>
        </w:rPr>
        <w:t>os resultados de la caracterización de los servicios ecosistémicos</w:t>
      </w:r>
      <w:r w:rsidR="0098637A" w:rsidRPr="005B697D">
        <w:rPr>
          <w:rFonts w:cs="Arial"/>
          <w:sz w:val="20"/>
          <w:szCs w:val="20"/>
        </w:rPr>
        <w:t>,</w:t>
      </w:r>
      <w:r w:rsidR="00391DD6" w:rsidRPr="005B697D">
        <w:rPr>
          <w:rFonts w:cs="Arial"/>
          <w:sz w:val="20"/>
          <w:szCs w:val="20"/>
        </w:rPr>
        <w:t xml:space="preserve"> </w:t>
      </w:r>
      <w:r w:rsidR="0098637A" w:rsidRPr="005B697D">
        <w:rPr>
          <w:rFonts w:cs="Arial"/>
          <w:sz w:val="20"/>
          <w:szCs w:val="20"/>
        </w:rPr>
        <w:t xml:space="preserve">al </w:t>
      </w:r>
      <w:r w:rsidR="00914B3A" w:rsidRPr="005B697D">
        <w:rPr>
          <w:rFonts w:cs="Arial"/>
          <w:sz w:val="20"/>
          <w:szCs w:val="20"/>
        </w:rPr>
        <w:t xml:space="preserve">denotar </w:t>
      </w:r>
      <w:r w:rsidR="001611D1" w:rsidRPr="005B697D">
        <w:rPr>
          <w:rFonts w:cs="Arial"/>
          <w:sz w:val="20"/>
          <w:szCs w:val="20"/>
        </w:rPr>
        <w:t xml:space="preserve">las relaciones </w:t>
      </w:r>
      <w:r w:rsidR="00914B3A" w:rsidRPr="005B697D">
        <w:rPr>
          <w:rFonts w:cs="Arial"/>
          <w:sz w:val="20"/>
          <w:szCs w:val="20"/>
        </w:rPr>
        <w:t xml:space="preserve">que existen entre </w:t>
      </w:r>
      <w:r w:rsidR="008972E7" w:rsidRPr="005B697D">
        <w:rPr>
          <w:rFonts w:cs="Arial"/>
          <w:sz w:val="20"/>
          <w:szCs w:val="20"/>
        </w:rPr>
        <w:t xml:space="preserve">los </w:t>
      </w:r>
      <w:r w:rsidR="001611D1" w:rsidRPr="005B697D">
        <w:rPr>
          <w:rFonts w:cs="Arial"/>
          <w:sz w:val="20"/>
          <w:szCs w:val="20"/>
        </w:rPr>
        <w:t>elementos del ambiente</w:t>
      </w:r>
      <w:r w:rsidR="00914B3A" w:rsidRPr="005B697D">
        <w:rPr>
          <w:rFonts w:cs="Arial"/>
          <w:sz w:val="20"/>
          <w:szCs w:val="20"/>
        </w:rPr>
        <w:t xml:space="preserve">, facilitan la </w:t>
      </w:r>
      <w:r w:rsidR="008972E7" w:rsidRPr="005B697D">
        <w:rPr>
          <w:rFonts w:cs="Arial"/>
          <w:sz w:val="20"/>
          <w:szCs w:val="20"/>
        </w:rPr>
        <w:t>determina</w:t>
      </w:r>
      <w:r w:rsidR="00914B3A" w:rsidRPr="005B697D">
        <w:rPr>
          <w:rFonts w:cs="Arial"/>
          <w:sz w:val="20"/>
          <w:szCs w:val="20"/>
        </w:rPr>
        <w:t xml:space="preserve">ción de </w:t>
      </w:r>
      <w:r w:rsidR="00A80F73" w:rsidRPr="005B697D">
        <w:rPr>
          <w:rFonts w:cs="Arial"/>
          <w:sz w:val="20"/>
          <w:szCs w:val="20"/>
        </w:rPr>
        <w:t xml:space="preserve">relaciones causa-efecto y </w:t>
      </w:r>
      <w:r w:rsidR="00344E0A" w:rsidRPr="005B697D">
        <w:rPr>
          <w:rFonts w:cs="Arial"/>
          <w:sz w:val="20"/>
          <w:szCs w:val="20"/>
        </w:rPr>
        <w:t xml:space="preserve">de </w:t>
      </w:r>
      <w:r w:rsidR="00A80F73" w:rsidRPr="005B697D">
        <w:rPr>
          <w:rFonts w:cs="Arial"/>
          <w:sz w:val="20"/>
          <w:szCs w:val="20"/>
        </w:rPr>
        <w:t>cadenas de impactos</w:t>
      </w:r>
      <w:r w:rsidR="00344E0A" w:rsidRPr="005B697D">
        <w:rPr>
          <w:rFonts w:cs="Arial"/>
          <w:sz w:val="20"/>
          <w:szCs w:val="20"/>
        </w:rPr>
        <w:t xml:space="preserve"> generadas por las actividades </w:t>
      </w:r>
      <w:r w:rsidR="0094773B" w:rsidRPr="005B697D">
        <w:rPr>
          <w:rFonts w:cs="Arial"/>
          <w:sz w:val="20"/>
          <w:szCs w:val="20"/>
        </w:rPr>
        <w:t>humanas</w:t>
      </w:r>
      <w:r w:rsidR="001611D1" w:rsidRPr="005B697D">
        <w:rPr>
          <w:rFonts w:cs="Arial"/>
          <w:sz w:val="20"/>
          <w:szCs w:val="20"/>
        </w:rPr>
        <w:t>.</w:t>
      </w:r>
    </w:p>
  </w:footnote>
  <w:footnote w:id="209">
    <w:p w14:paraId="1F2A5C67" w14:textId="0968447F"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impacto ambiental potencial estima la capacidad que tiene un proyecto, obra o actividad, de generar impactos ambientales sobre los medios abiótico, biótico y socioeconómico debido a sus características intrínsecas, siendo posible evaluarlo con base en actividades previas o que se encuentran en operación.</w:t>
      </w:r>
      <w:r w:rsidR="0020386D" w:rsidRPr="005B697D">
        <w:rPr>
          <w:rFonts w:cs="Arial"/>
          <w:szCs w:val="20"/>
          <w:lang w:val="es-CO"/>
        </w:rPr>
        <w:t xml:space="preserve"> Minambiente </w:t>
      </w:r>
      <w:r w:rsidR="0020386D" w:rsidRPr="005B697D">
        <w:rPr>
          <w:rFonts w:cs="Arial"/>
          <w:spacing w:val="-3"/>
          <w:szCs w:val="20"/>
        </w:rPr>
        <w:t xml:space="preserve">pone a disposición de los elaboradores de estudios ambientales la </w:t>
      </w:r>
      <w:r w:rsidR="00FC5A73" w:rsidRPr="005B697D">
        <w:rPr>
          <w:rFonts w:cs="Arial"/>
          <w:i/>
          <w:iCs/>
          <w:spacing w:val="-3"/>
          <w:szCs w:val="20"/>
        </w:rPr>
        <w:t>C</w:t>
      </w:r>
      <w:r w:rsidR="0020386D" w:rsidRPr="005B697D">
        <w:rPr>
          <w:rFonts w:cs="Arial"/>
          <w:i/>
          <w:iCs/>
          <w:spacing w:val="-3"/>
          <w:szCs w:val="20"/>
        </w:rPr>
        <w:t>alificación de los impactos ambientales potenciales de los proyectos, obras o actividades sujetos a licenciamiento ambiental</w:t>
      </w:r>
      <w:r w:rsidR="00A91A7B" w:rsidRPr="005B697D">
        <w:rPr>
          <w:rFonts w:cs="Arial"/>
          <w:spacing w:val="-3"/>
          <w:szCs w:val="20"/>
        </w:rPr>
        <w:t xml:space="preserve">; este documento está </w:t>
      </w:r>
      <w:r w:rsidR="00A91A7B" w:rsidRPr="005B697D">
        <w:rPr>
          <w:rFonts w:cs="Arial"/>
          <w:szCs w:val="20"/>
          <w:lang w:val="es-CO"/>
        </w:rPr>
        <w:t>disponible en la página Web de Minambiente. https://www.minambiente.gov.co/asuntos-ambientales-sectorial-y-urbana/otras-herramientas-tecnicas/. Si este documento es tomado como referencia, se debe señalar en el estudio ambiental la fecha en la cual se descargó de Internet.</w:t>
      </w:r>
    </w:p>
  </w:footnote>
  <w:footnote w:id="210">
    <w:p w14:paraId="06ACB5D2" w14:textId="6626F35B"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307329" w:rsidRPr="005B697D">
        <w:rPr>
          <w:rFonts w:cs="Arial"/>
          <w:szCs w:val="20"/>
          <w:lang w:val="es-CO"/>
        </w:rPr>
        <w:t xml:space="preserve">Tanto el </w:t>
      </w:r>
      <w:r w:rsidRPr="005B697D">
        <w:rPr>
          <w:rFonts w:cs="Arial"/>
          <w:szCs w:val="20"/>
          <w:lang w:val="es-CO"/>
        </w:rPr>
        <w:t xml:space="preserve">Listado de impactos ambientales específicos </w:t>
      </w:r>
      <w:r w:rsidR="00307329" w:rsidRPr="005B697D">
        <w:rPr>
          <w:rFonts w:cs="Arial"/>
          <w:szCs w:val="20"/>
          <w:lang w:val="es-CO"/>
        </w:rPr>
        <w:t xml:space="preserve">como el Banco de indicadores </w:t>
      </w:r>
      <w:r w:rsidR="005F6A83" w:rsidRPr="005B697D">
        <w:rPr>
          <w:rFonts w:cs="Arial"/>
          <w:szCs w:val="20"/>
          <w:lang w:val="es-CO"/>
        </w:rPr>
        <w:t xml:space="preserve">son documentos que </w:t>
      </w:r>
      <w:r w:rsidR="00307329" w:rsidRPr="005B697D">
        <w:rPr>
          <w:rFonts w:cs="Arial"/>
          <w:szCs w:val="20"/>
          <w:lang w:val="es-CO"/>
        </w:rPr>
        <w:t>se encuentran d</w:t>
      </w:r>
      <w:r w:rsidRPr="005B697D">
        <w:rPr>
          <w:rFonts w:cs="Arial"/>
          <w:szCs w:val="20"/>
          <w:lang w:val="es-CO"/>
        </w:rPr>
        <w:t>isponible</w:t>
      </w:r>
      <w:r w:rsidR="00307329" w:rsidRPr="005B697D">
        <w:rPr>
          <w:rFonts w:cs="Arial"/>
          <w:szCs w:val="20"/>
          <w:lang w:val="es-CO"/>
        </w:rPr>
        <w:t>s</w:t>
      </w:r>
      <w:r w:rsidRPr="005B697D">
        <w:rPr>
          <w:rFonts w:cs="Arial"/>
          <w:szCs w:val="20"/>
          <w:lang w:val="es-CO"/>
        </w:rPr>
        <w:t xml:space="preserve"> en: </w:t>
      </w:r>
      <w:r w:rsidR="00BE5ADC" w:rsidRPr="005B697D">
        <w:rPr>
          <w:rFonts w:cs="Arial"/>
          <w:szCs w:val="20"/>
          <w:lang w:val="es-CO"/>
        </w:rPr>
        <w:t>https://www.minambiente.gov.co/asuntos-ambientales-sectorial-y-urbana/otras-herramientas-tecnicas/</w:t>
      </w:r>
      <w:r w:rsidRPr="005B697D">
        <w:rPr>
          <w:rFonts w:cs="Arial"/>
          <w:szCs w:val="20"/>
          <w:lang w:val="es-CO"/>
        </w:rPr>
        <w:t>. Si est</w:t>
      </w:r>
      <w:r w:rsidR="00307329" w:rsidRPr="005B697D">
        <w:rPr>
          <w:rFonts w:cs="Arial"/>
          <w:szCs w:val="20"/>
          <w:lang w:val="es-CO"/>
        </w:rPr>
        <w:t>os</w:t>
      </w:r>
      <w:r w:rsidRPr="005B697D">
        <w:rPr>
          <w:rFonts w:cs="Arial"/>
          <w:szCs w:val="20"/>
          <w:lang w:val="es-CO"/>
        </w:rPr>
        <w:t xml:space="preserve"> documento</w:t>
      </w:r>
      <w:r w:rsidR="00307329" w:rsidRPr="005B697D">
        <w:rPr>
          <w:rFonts w:cs="Arial"/>
          <w:szCs w:val="20"/>
          <w:lang w:val="es-CO"/>
        </w:rPr>
        <w:t>s</w:t>
      </w:r>
      <w:r w:rsidRPr="005B697D">
        <w:rPr>
          <w:rFonts w:cs="Arial"/>
          <w:szCs w:val="20"/>
          <w:lang w:val="es-CO"/>
        </w:rPr>
        <w:t xml:space="preserve"> </w:t>
      </w:r>
      <w:r w:rsidR="00307329" w:rsidRPr="005B697D">
        <w:rPr>
          <w:rFonts w:cs="Arial"/>
          <w:szCs w:val="20"/>
          <w:lang w:val="es-CO"/>
        </w:rPr>
        <w:t xml:space="preserve">son </w:t>
      </w:r>
      <w:r w:rsidRPr="005B697D">
        <w:rPr>
          <w:rFonts w:cs="Arial"/>
          <w:szCs w:val="20"/>
          <w:lang w:val="es-CO"/>
        </w:rPr>
        <w:t>tomado</w:t>
      </w:r>
      <w:r w:rsidR="00307329" w:rsidRPr="005B697D">
        <w:rPr>
          <w:rFonts w:cs="Arial"/>
          <w:szCs w:val="20"/>
          <w:lang w:val="es-CO"/>
        </w:rPr>
        <w:t>s</w:t>
      </w:r>
      <w:r w:rsidRPr="005B697D">
        <w:rPr>
          <w:rFonts w:cs="Arial"/>
          <w:szCs w:val="20"/>
          <w:lang w:val="es-CO"/>
        </w:rPr>
        <w:t xml:space="preserve"> como referencia, </w:t>
      </w:r>
      <w:r w:rsidR="005B43AD" w:rsidRPr="005B697D">
        <w:rPr>
          <w:rFonts w:cs="Arial"/>
          <w:szCs w:val="20"/>
          <w:lang w:val="es-CO"/>
        </w:rPr>
        <w:t xml:space="preserve">es necesario </w:t>
      </w:r>
      <w:r w:rsidRPr="005B697D">
        <w:rPr>
          <w:rFonts w:cs="Arial"/>
          <w:szCs w:val="20"/>
          <w:lang w:val="es-CO"/>
        </w:rPr>
        <w:t xml:space="preserve">señalar en el estudio ambiental la fecha en la cual </w:t>
      </w:r>
      <w:r w:rsidR="005B43AD" w:rsidRPr="005B697D">
        <w:rPr>
          <w:rFonts w:cs="Arial"/>
          <w:szCs w:val="20"/>
          <w:lang w:val="es-CO"/>
        </w:rPr>
        <w:t xml:space="preserve">fueron </w:t>
      </w:r>
      <w:r w:rsidRPr="005B697D">
        <w:rPr>
          <w:rFonts w:cs="Arial"/>
          <w:szCs w:val="20"/>
          <w:lang w:val="es-CO"/>
        </w:rPr>
        <w:t>descarg</w:t>
      </w:r>
      <w:r w:rsidR="005B43AD" w:rsidRPr="005B697D">
        <w:rPr>
          <w:rFonts w:cs="Arial"/>
          <w:szCs w:val="20"/>
          <w:lang w:val="es-CO"/>
        </w:rPr>
        <w:t xml:space="preserve">ados </w:t>
      </w:r>
      <w:r w:rsidRPr="005B697D">
        <w:rPr>
          <w:rFonts w:cs="Arial"/>
          <w:szCs w:val="20"/>
          <w:lang w:val="es-CO"/>
        </w:rPr>
        <w:t>de Internet.</w:t>
      </w:r>
    </w:p>
  </w:footnote>
  <w:footnote w:id="211">
    <w:p w14:paraId="15ABB2B9" w14:textId="11C4EFBB"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Disponible en: </w:t>
      </w:r>
      <w:r w:rsidR="008F5741" w:rsidRPr="005B697D">
        <w:rPr>
          <w:rFonts w:cs="Arial"/>
          <w:szCs w:val="20"/>
          <w:lang w:val="es-CO"/>
        </w:rPr>
        <w:t>https://www.minambiente.gov.co/asuntos-ambientales-sectorial-y-urbana/otras-herramientas-tecnicas/</w:t>
      </w:r>
      <w:r w:rsidRPr="005B697D">
        <w:rPr>
          <w:rFonts w:cs="Arial"/>
          <w:szCs w:val="20"/>
          <w:lang w:val="es-CO"/>
        </w:rPr>
        <w:t>.</w:t>
      </w:r>
      <w:r w:rsidR="00745F61" w:rsidRPr="005B697D">
        <w:rPr>
          <w:rFonts w:cs="Arial"/>
          <w:szCs w:val="20"/>
          <w:lang w:val="es-CO"/>
        </w:rPr>
        <w:t xml:space="preserve"> Se debe señalar en el estudio ambiental la fecha en la cual se </w:t>
      </w:r>
      <w:r w:rsidR="002D74AB" w:rsidRPr="005B697D">
        <w:rPr>
          <w:rFonts w:cs="Arial"/>
          <w:szCs w:val="20"/>
          <w:lang w:val="es-CO"/>
        </w:rPr>
        <w:t>consultó esta tabla</w:t>
      </w:r>
      <w:r w:rsidR="00745F61" w:rsidRPr="005B697D">
        <w:rPr>
          <w:rFonts w:cs="Arial"/>
          <w:szCs w:val="20"/>
          <w:lang w:val="es-CO"/>
        </w:rPr>
        <w:t>.</w:t>
      </w:r>
    </w:p>
  </w:footnote>
  <w:footnote w:id="212">
    <w:p w14:paraId="71F4E660" w14:textId="350DF7B0" w:rsidR="00FC191C" w:rsidRPr="005B697D" w:rsidRDefault="00FC191C"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D85D9E" w:rsidRPr="005B697D">
        <w:rPr>
          <w:rFonts w:cs="Arial"/>
          <w:szCs w:val="20"/>
          <w:lang w:val="es-CO"/>
        </w:rPr>
        <w:t>Esta herramienta permite identificar las categorías estandarizadas de impactos a considerar a partir del tipo de proyecto, obra o actividad; e</w:t>
      </w:r>
      <w:r w:rsidR="00C66889" w:rsidRPr="005B697D">
        <w:rPr>
          <w:rFonts w:cs="Arial"/>
          <w:szCs w:val="20"/>
          <w:lang w:val="es-CO"/>
        </w:rPr>
        <w:t xml:space="preserve">n razón a que tiene un carácter dinámico, es necesario mencionar en el estudio ambiental la versión </w:t>
      </w:r>
      <w:r w:rsidR="00A45835" w:rsidRPr="005B697D">
        <w:rPr>
          <w:rFonts w:cs="Arial"/>
          <w:szCs w:val="20"/>
          <w:lang w:val="es-CO"/>
        </w:rPr>
        <w:t xml:space="preserve">de la herramienta </w:t>
      </w:r>
      <w:r w:rsidR="00F5717B" w:rsidRPr="005B697D">
        <w:rPr>
          <w:rFonts w:cs="Arial"/>
          <w:szCs w:val="20"/>
          <w:lang w:val="es-CO"/>
        </w:rPr>
        <w:t xml:space="preserve">que se empleó </w:t>
      </w:r>
      <w:r w:rsidR="00C66889" w:rsidRPr="005B697D">
        <w:rPr>
          <w:rFonts w:cs="Arial"/>
          <w:szCs w:val="20"/>
          <w:lang w:val="es-CO"/>
        </w:rPr>
        <w:t xml:space="preserve">para identificar </w:t>
      </w:r>
      <w:r w:rsidR="00A66B80" w:rsidRPr="005B697D">
        <w:rPr>
          <w:rFonts w:cs="Arial"/>
          <w:szCs w:val="20"/>
          <w:lang w:val="es-CO"/>
        </w:rPr>
        <w:t>l</w:t>
      </w:r>
      <w:r w:rsidR="00C66889" w:rsidRPr="005B697D">
        <w:rPr>
          <w:rFonts w:cs="Arial"/>
          <w:szCs w:val="20"/>
          <w:lang w:val="es-CO"/>
        </w:rPr>
        <w:t>as categorías estandarizadas.</w:t>
      </w:r>
      <w:r w:rsidR="00D85D9E" w:rsidRPr="005B697D">
        <w:rPr>
          <w:rFonts w:cs="Arial"/>
          <w:szCs w:val="20"/>
          <w:lang w:val="es-CO"/>
        </w:rPr>
        <w:t xml:space="preserve"> Disponible en: </w:t>
      </w:r>
      <w:hyperlink r:id="rId4" w:history="1">
        <w:r w:rsidR="00D85D9E" w:rsidRPr="005B697D">
          <w:rPr>
            <w:rFonts w:cs="Arial"/>
            <w:szCs w:val="20"/>
            <w:lang w:val="es-CO"/>
          </w:rPr>
          <w:t>https://www.anla.gov.co</w:t>
        </w:r>
      </w:hyperlink>
      <w:r w:rsidR="00D85D9E" w:rsidRPr="005B697D">
        <w:rPr>
          <w:rFonts w:cs="Arial"/>
          <w:szCs w:val="20"/>
          <w:lang w:val="es-CO"/>
        </w:rPr>
        <w:t>.</w:t>
      </w:r>
    </w:p>
  </w:footnote>
  <w:footnote w:id="213">
    <w:p w14:paraId="1688BF47" w14:textId="77777777" w:rsidR="00420EDE" w:rsidRPr="005B697D" w:rsidRDefault="00420EDE"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Esto no implica generar escenarios de cambio climático adicionales, sino emplear los escenarios prospectivos de cambio climático ya desarrollados, particularmente los basados en variables como precipitación y temperatura (por ejemplo, los generados para los componentes hidrológico e hidrogeológico y el medio biótico), con el fin de prever cómo pueden modificar la significancia de los impactos ambientales generados tanto por las actividades humanas descritas en la línea base, como los que ocurrirían de ejecutarse el proyecto.</w:t>
      </w:r>
    </w:p>
  </w:footnote>
  <w:footnote w:id="214">
    <w:p w14:paraId="22AD0D64" w14:textId="2F180A81" w:rsidR="0053494E" w:rsidRPr="005B697D" w:rsidRDefault="0053494E"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7E1135" w:rsidRPr="005B697D">
        <w:rPr>
          <w:rFonts w:cs="Arial"/>
          <w:szCs w:val="20"/>
          <w:lang w:val="es-CO"/>
        </w:rPr>
        <w:t>Un criterio es una r</w:t>
      </w:r>
      <w:r w:rsidR="00755A18" w:rsidRPr="005B697D">
        <w:rPr>
          <w:rFonts w:cs="Arial"/>
          <w:szCs w:val="20"/>
          <w:lang w:val="es-CO"/>
        </w:rPr>
        <w:t xml:space="preserve">egla o norma conforme a la cual se establece un juicio o se toma una determinación sobre un tema en particular, en este caso, sobre el grado de modificación de las condiciones ambientales que puede </w:t>
      </w:r>
      <w:r w:rsidR="00305ED9" w:rsidRPr="005B697D">
        <w:rPr>
          <w:rFonts w:cs="Arial"/>
          <w:szCs w:val="20"/>
          <w:lang w:val="es-CO"/>
        </w:rPr>
        <w:t xml:space="preserve">generar </w:t>
      </w:r>
      <w:r w:rsidR="00CC5C38" w:rsidRPr="005B697D">
        <w:rPr>
          <w:rFonts w:cs="Arial"/>
          <w:szCs w:val="20"/>
          <w:lang w:val="es-CO"/>
        </w:rPr>
        <w:t>un proyecto</w:t>
      </w:r>
      <w:r w:rsidR="00305ED9" w:rsidRPr="005B697D">
        <w:rPr>
          <w:rFonts w:cs="Arial"/>
          <w:szCs w:val="20"/>
          <w:lang w:val="es-CO"/>
        </w:rPr>
        <w:t>.</w:t>
      </w:r>
    </w:p>
  </w:footnote>
  <w:footnote w:id="215">
    <w:p w14:paraId="521DD506" w14:textId="790591C3"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spacing w:val="-3"/>
          <w:szCs w:val="20"/>
          <w:lang w:val="es-CO"/>
        </w:rPr>
        <w:t xml:space="preserve">En caso de no existir regulación nacional para algún parámetro, se pueden emplear como </w:t>
      </w:r>
      <w:r w:rsidRPr="005B697D">
        <w:rPr>
          <w:rFonts w:cs="Arial"/>
          <w:i/>
          <w:spacing w:val="-3"/>
          <w:szCs w:val="20"/>
          <w:lang w:val="es-CO"/>
        </w:rPr>
        <w:t>referencia</w:t>
      </w:r>
      <w:r w:rsidRPr="005B697D">
        <w:rPr>
          <w:rFonts w:cs="Arial"/>
          <w:spacing w:val="-3"/>
          <w:szCs w:val="20"/>
          <w:lang w:val="es-CO"/>
        </w:rPr>
        <w:t xml:space="preserve"> los estándares, valores límite o criterios de normativas internacionales.</w:t>
      </w:r>
    </w:p>
  </w:footnote>
  <w:footnote w:id="216">
    <w:p w14:paraId="0618B366" w14:textId="073D11B2" w:rsidR="00535F65" w:rsidRPr="005B697D" w:rsidRDefault="00535F6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8D3B86" w:rsidRPr="005B697D">
        <w:rPr>
          <w:rFonts w:cs="Arial"/>
          <w:szCs w:val="20"/>
          <w:lang w:val="es-CO"/>
        </w:rPr>
        <w:t xml:space="preserve">Dentro de las variables </w:t>
      </w:r>
      <w:r w:rsidR="00D37411" w:rsidRPr="005B697D">
        <w:rPr>
          <w:rFonts w:cs="Arial"/>
          <w:szCs w:val="20"/>
          <w:lang w:val="es-CO"/>
        </w:rPr>
        <w:t xml:space="preserve">objeto de caracterización ambiental </w:t>
      </w:r>
      <w:r w:rsidR="00BE4C1E" w:rsidRPr="005B697D">
        <w:rPr>
          <w:rFonts w:cs="Arial"/>
          <w:szCs w:val="20"/>
          <w:lang w:val="es-CO"/>
        </w:rPr>
        <w:t xml:space="preserve">que son de importancia para esta evaluación, se encuentran </w:t>
      </w:r>
      <w:r w:rsidR="003C40A2" w:rsidRPr="005B697D">
        <w:rPr>
          <w:rFonts w:cs="Arial"/>
          <w:szCs w:val="20"/>
          <w:lang w:val="es-CO"/>
        </w:rPr>
        <w:t>la perspectiva del desarrollo regional y local, la dinámica económica, los conflictos socioambientales existentes (incluyendo los que se presentan por el uso de recursos naturales como agua, suelo, bosque)</w:t>
      </w:r>
      <w:r w:rsidR="001B7A50" w:rsidRPr="005B697D">
        <w:rPr>
          <w:rFonts w:cs="Arial"/>
          <w:szCs w:val="20"/>
          <w:lang w:val="es-CO"/>
        </w:rPr>
        <w:t xml:space="preserve"> y </w:t>
      </w:r>
      <w:r w:rsidR="003C40A2" w:rsidRPr="005B697D">
        <w:rPr>
          <w:rFonts w:cs="Arial"/>
          <w:szCs w:val="20"/>
          <w:lang w:val="es-CO"/>
        </w:rPr>
        <w:t>las figuras y estrategias de conservación</w:t>
      </w:r>
      <w:r w:rsidR="001B7A50" w:rsidRPr="005B697D">
        <w:rPr>
          <w:rFonts w:cs="Arial"/>
          <w:szCs w:val="20"/>
          <w:lang w:val="es-CO"/>
        </w:rPr>
        <w:t xml:space="preserve"> ambiental.</w:t>
      </w:r>
    </w:p>
  </w:footnote>
  <w:footnote w:id="217">
    <w:p w14:paraId="155E745C" w14:textId="77777777" w:rsidR="00E63F45" w:rsidRPr="005B697D" w:rsidRDefault="00E63F4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algunas oportunidades, tales parámetros pueden ser estimados mediante indicadores o índices que sintetizan la información referida al elemento ambiental que resulta impactado.</w:t>
      </w:r>
    </w:p>
  </w:footnote>
  <w:footnote w:id="218">
    <w:p w14:paraId="1F7F4975" w14:textId="7A6BE32B" w:rsidR="000A78FA" w:rsidRPr="005B697D" w:rsidRDefault="000A78FA"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szCs w:val="20"/>
        </w:rPr>
        <w:t xml:space="preserve">Son grupos </w:t>
      </w:r>
      <w:r w:rsidR="00DD6DC4" w:rsidRPr="005B697D">
        <w:rPr>
          <w:rFonts w:cs="Arial"/>
          <w:szCs w:val="20"/>
        </w:rPr>
        <w:t>de</w:t>
      </w:r>
      <w:r w:rsidRPr="005B697D">
        <w:rPr>
          <w:rFonts w:cs="Arial"/>
          <w:szCs w:val="20"/>
        </w:rPr>
        <w:t xml:space="preserve"> personas que </w:t>
      </w:r>
      <w:r w:rsidRPr="005B697D">
        <w:rPr>
          <w:rFonts w:cs="Arial"/>
          <w:color w:val="000000" w:themeColor="text1"/>
          <w:szCs w:val="20"/>
          <w:lang w:eastAsia="es-MX"/>
        </w:rPr>
        <w:t xml:space="preserve">tienen derecho a disfrutar y ejercer sus derechos en virtud de ser humanos, así como a acceder a un recurso efectivo cuando sus derechos han sido vulnerados (DIHR, 2020). </w:t>
      </w:r>
      <w:r w:rsidRPr="005B697D">
        <w:rPr>
          <w:rFonts w:cs="Arial"/>
          <w:szCs w:val="20"/>
          <w:lang w:val="es-CO"/>
        </w:rPr>
        <w:t>Para la identificación de titulares de derechos no se debe hacer una identificación individual o personal respecto de actores en el territorio. Se trata del reconocimiento de grupos humanos referenciados de manera general.</w:t>
      </w:r>
    </w:p>
  </w:footnote>
  <w:footnote w:id="219">
    <w:p w14:paraId="718D4F20" w14:textId="6E7D1819" w:rsidR="00E84039" w:rsidRPr="005B697D" w:rsidRDefault="00E84039"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E601C4" w:rsidRPr="005B697D">
        <w:rPr>
          <w:rFonts w:cs="Arial"/>
          <w:szCs w:val="20"/>
          <w:lang w:val="es-CO"/>
        </w:rPr>
        <w:t>Por ejemplo, p</w:t>
      </w:r>
      <w:r w:rsidRPr="005B697D">
        <w:rPr>
          <w:rFonts w:cs="Arial"/>
          <w:szCs w:val="20"/>
          <w:lang w:val="es-CO"/>
        </w:rPr>
        <w:t xml:space="preserve">ara el caso de impactos de generación o exacerbación de conflictos socioambientales, </w:t>
      </w:r>
      <w:r w:rsidR="00765B69" w:rsidRPr="005B697D">
        <w:rPr>
          <w:rFonts w:cs="Arial"/>
          <w:szCs w:val="20"/>
          <w:lang w:val="es-CO"/>
        </w:rPr>
        <w:t xml:space="preserve">ello significa </w:t>
      </w:r>
      <w:r w:rsidRPr="005B697D">
        <w:rPr>
          <w:rFonts w:cs="Arial"/>
          <w:szCs w:val="20"/>
          <w:lang w:val="es-CO"/>
        </w:rPr>
        <w:t xml:space="preserve">prever el escenario más crítico </w:t>
      </w:r>
      <w:r w:rsidR="00834608" w:rsidRPr="005B697D">
        <w:rPr>
          <w:rFonts w:cs="Arial"/>
          <w:szCs w:val="20"/>
          <w:lang w:val="es-CO"/>
        </w:rPr>
        <w:t>a partir de</w:t>
      </w:r>
      <w:r w:rsidR="00CE19F9" w:rsidRPr="005B697D">
        <w:rPr>
          <w:rFonts w:cs="Arial"/>
          <w:szCs w:val="20"/>
          <w:lang w:val="es-CO"/>
        </w:rPr>
        <w:t xml:space="preserve"> los estados </w:t>
      </w:r>
      <w:r w:rsidR="0033221F" w:rsidRPr="005B697D">
        <w:rPr>
          <w:rFonts w:cs="Arial"/>
          <w:szCs w:val="20"/>
          <w:lang w:val="es-CO"/>
        </w:rPr>
        <w:t>de</w:t>
      </w:r>
      <w:r w:rsidR="00834608" w:rsidRPr="005B697D">
        <w:rPr>
          <w:rFonts w:cs="Arial"/>
          <w:szCs w:val="20"/>
          <w:lang w:val="es-CO"/>
        </w:rPr>
        <w:t xml:space="preserve"> </w:t>
      </w:r>
      <w:r w:rsidR="00365670" w:rsidRPr="005B697D">
        <w:rPr>
          <w:rFonts w:cs="Arial"/>
          <w:szCs w:val="20"/>
          <w:lang w:val="es-CO"/>
        </w:rPr>
        <w:t xml:space="preserve">variables como </w:t>
      </w:r>
      <w:r w:rsidR="00027921" w:rsidRPr="005B697D">
        <w:rPr>
          <w:rFonts w:cs="Arial"/>
          <w:szCs w:val="20"/>
          <w:lang w:val="es-CO"/>
        </w:rPr>
        <w:t>c</w:t>
      </w:r>
      <w:r w:rsidRPr="005B697D">
        <w:rPr>
          <w:rFonts w:cs="Arial"/>
          <w:szCs w:val="20"/>
          <w:lang w:val="es-CO"/>
        </w:rPr>
        <w:t xml:space="preserve">ausas, </w:t>
      </w:r>
      <w:r w:rsidR="00027921" w:rsidRPr="005B697D">
        <w:rPr>
          <w:rFonts w:cs="Arial"/>
          <w:szCs w:val="20"/>
          <w:lang w:val="es-CO"/>
        </w:rPr>
        <w:t>a</w:t>
      </w:r>
      <w:r w:rsidRPr="005B697D">
        <w:rPr>
          <w:rFonts w:cs="Arial"/>
          <w:szCs w:val="20"/>
          <w:lang w:val="es-CO"/>
        </w:rPr>
        <w:t>ctores</w:t>
      </w:r>
      <w:r w:rsidR="00620E7A" w:rsidRPr="005B697D">
        <w:rPr>
          <w:rFonts w:cs="Arial"/>
          <w:szCs w:val="20"/>
          <w:lang w:val="es-CO"/>
        </w:rPr>
        <w:t xml:space="preserve"> y</w:t>
      </w:r>
      <w:r w:rsidRPr="005B697D">
        <w:rPr>
          <w:rFonts w:cs="Arial"/>
          <w:szCs w:val="20"/>
          <w:lang w:val="es-CO"/>
        </w:rPr>
        <w:t xml:space="preserve"> </w:t>
      </w:r>
      <w:r w:rsidR="00027921" w:rsidRPr="005B697D">
        <w:rPr>
          <w:rFonts w:cs="Arial"/>
          <w:szCs w:val="20"/>
          <w:lang w:val="es-CO"/>
        </w:rPr>
        <w:t>a</w:t>
      </w:r>
      <w:r w:rsidRPr="005B697D">
        <w:rPr>
          <w:rFonts w:cs="Arial"/>
          <w:szCs w:val="20"/>
          <w:lang w:val="es-CO"/>
        </w:rPr>
        <w:t>suntos objeto de conflicto</w:t>
      </w:r>
      <w:r w:rsidR="0033221F" w:rsidRPr="005B697D">
        <w:rPr>
          <w:rFonts w:cs="Arial"/>
          <w:szCs w:val="20"/>
          <w:lang w:val="es-CO"/>
        </w:rPr>
        <w:t xml:space="preserve"> que </w:t>
      </w:r>
      <w:r w:rsidR="00FE21A5" w:rsidRPr="005B697D">
        <w:rPr>
          <w:rFonts w:cs="Arial"/>
          <w:szCs w:val="20"/>
          <w:lang w:val="es-CO"/>
        </w:rPr>
        <w:t xml:space="preserve">tienen la posibilidad de </w:t>
      </w:r>
      <w:r w:rsidR="0033221F" w:rsidRPr="005B697D">
        <w:rPr>
          <w:rFonts w:cs="Arial"/>
          <w:szCs w:val="20"/>
          <w:lang w:val="es-CO"/>
        </w:rPr>
        <w:t>maximiza</w:t>
      </w:r>
      <w:r w:rsidR="00FE21A5" w:rsidRPr="005B697D">
        <w:rPr>
          <w:rFonts w:cs="Arial"/>
          <w:szCs w:val="20"/>
          <w:lang w:val="es-CO"/>
        </w:rPr>
        <w:t>r</w:t>
      </w:r>
      <w:r w:rsidR="0033221F" w:rsidRPr="005B697D">
        <w:rPr>
          <w:rFonts w:cs="Arial"/>
          <w:szCs w:val="20"/>
          <w:lang w:val="es-CO"/>
        </w:rPr>
        <w:t xml:space="preserve"> </w:t>
      </w:r>
      <w:r w:rsidR="008C75A1" w:rsidRPr="005B697D">
        <w:rPr>
          <w:rFonts w:cs="Arial"/>
          <w:szCs w:val="20"/>
          <w:lang w:val="es-CO"/>
        </w:rPr>
        <w:t xml:space="preserve">el </w:t>
      </w:r>
      <w:r w:rsidR="00421BD1" w:rsidRPr="005B697D">
        <w:rPr>
          <w:rFonts w:cs="Arial"/>
          <w:szCs w:val="20"/>
          <w:lang w:val="es-CO"/>
        </w:rPr>
        <w:t>impacto</w:t>
      </w:r>
      <w:r w:rsidRPr="005B697D">
        <w:rPr>
          <w:rFonts w:cs="Arial"/>
          <w:szCs w:val="20"/>
          <w:lang w:val="es-CO"/>
        </w:rPr>
        <w:t>.</w:t>
      </w:r>
    </w:p>
  </w:footnote>
  <w:footnote w:id="220">
    <w:p w14:paraId="576EAF23" w14:textId="09DF114A" w:rsidR="004C49B3" w:rsidRPr="005B697D" w:rsidRDefault="004C49B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557D2B" w:rsidRPr="005B697D">
        <w:rPr>
          <w:rFonts w:cs="Arial"/>
          <w:szCs w:val="20"/>
          <w:lang w:val="es-CO"/>
        </w:rPr>
        <w:t xml:space="preserve">Estas tendencias de cambio </w:t>
      </w:r>
      <w:r w:rsidR="00557D2B" w:rsidRPr="005B697D">
        <w:rPr>
          <w:rFonts w:cs="Arial"/>
          <w:spacing w:val="-3"/>
          <w:szCs w:val="20"/>
          <w:lang w:val="es-CO"/>
        </w:rPr>
        <w:t>son consecuencia</w:t>
      </w:r>
      <w:r w:rsidR="00306A80" w:rsidRPr="005B697D">
        <w:rPr>
          <w:rFonts w:cs="Arial"/>
          <w:spacing w:val="-3"/>
          <w:szCs w:val="20"/>
          <w:lang w:val="es-CO"/>
        </w:rPr>
        <w:t>, entre otros fenómenos,</w:t>
      </w:r>
      <w:r w:rsidR="00557D2B" w:rsidRPr="005B697D">
        <w:rPr>
          <w:rFonts w:cs="Arial"/>
          <w:spacing w:val="-3"/>
          <w:szCs w:val="20"/>
          <w:lang w:val="es-CO"/>
        </w:rPr>
        <w:t xml:space="preserve"> de </w:t>
      </w:r>
      <w:r w:rsidR="005C2CE9" w:rsidRPr="005B697D">
        <w:rPr>
          <w:rFonts w:cs="Arial"/>
          <w:spacing w:val="-3"/>
          <w:szCs w:val="20"/>
          <w:lang w:val="es-CO"/>
        </w:rPr>
        <w:t xml:space="preserve">los impactos ambientales generados por las actividades humanas </w:t>
      </w:r>
      <w:r w:rsidR="006B4002" w:rsidRPr="005B697D">
        <w:rPr>
          <w:rFonts w:cs="Arial"/>
          <w:spacing w:val="-3"/>
          <w:szCs w:val="20"/>
          <w:lang w:val="es-CO"/>
        </w:rPr>
        <w:t xml:space="preserve">que tienen implicaciones </w:t>
      </w:r>
      <w:r w:rsidR="005C2CE9" w:rsidRPr="005B697D">
        <w:rPr>
          <w:rFonts w:cs="Arial"/>
          <w:spacing w:val="-3"/>
          <w:szCs w:val="20"/>
          <w:lang w:val="es-CO"/>
        </w:rPr>
        <w:t xml:space="preserve">en el área de influencia, las cuales incluyen </w:t>
      </w:r>
      <w:r w:rsidR="00A22641" w:rsidRPr="005B697D">
        <w:rPr>
          <w:rFonts w:cs="Arial"/>
          <w:spacing w:val="-3"/>
          <w:szCs w:val="20"/>
          <w:lang w:val="es-CO"/>
        </w:rPr>
        <w:t xml:space="preserve">tanto </w:t>
      </w:r>
      <w:r w:rsidR="006B4002" w:rsidRPr="005B697D">
        <w:rPr>
          <w:rFonts w:cs="Arial"/>
          <w:spacing w:val="-3"/>
          <w:szCs w:val="20"/>
          <w:lang w:val="es-CO"/>
        </w:rPr>
        <w:t xml:space="preserve">a </w:t>
      </w:r>
      <w:r w:rsidR="00557D2B" w:rsidRPr="005B697D">
        <w:rPr>
          <w:rFonts w:cs="Arial"/>
          <w:spacing w:val="-3"/>
          <w:szCs w:val="20"/>
          <w:lang w:val="es-CO"/>
        </w:rPr>
        <w:t xml:space="preserve">los proyectos, obras o actividades </w:t>
      </w:r>
      <w:r w:rsidR="00D81551" w:rsidRPr="005B697D">
        <w:rPr>
          <w:rFonts w:cs="Arial"/>
          <w:spacing w:val="-3"/>
          <w:szCs w:val="20"/>
          <w:lang w:val="es-CO"/>
        </w:rPr>
        <w:t xml:space="preserve">que no requieren de </w:t>
      </w:r>
      <w:r w:rsidR="00A22641" w:rsidRPr="005B697D">
        <w:rPr>
          <w:rFonts w:cs="Arial"/>
          <w:spacing w:val="-3"/>
          <w:szCs w:val="20"/>
          <w:lang w:val="es-CO"/>
        </w:rPr>
        <w:t xml:space="preserve">licencia ambiental, como </w:t>
      </w:r>
      <w:r w:rsidR="006B4002" w:rsidRPr="005B697D">
        <w:rPr>
          <w:rFonts w:cs="Arial"/>
          <w:spacing w:val="-3"/>
          <w:szCs w:val="20"/>
          <w:lang w:val="es-CO"/>
        </w:rPr>
        <w:t>aquell</w:t>
      </w:r>
      <w:r w:rsidR="00220DF8" w:rsidRPr="005B697D">
        <w:rPr>
          <w:rFonts w:cs="Arial"/>
          <w:spacing w:val="-3"/>
          <w:szCs w:val="20"/>
          <w:lang w:val="es-CO"/>
        </w:rPr>
        <w:t xml:space="preserve">os </w:t>
      </w:r>
      <w:r w:rsidR="00C37DE6" w:rsidRPr="005B697D">
        <w:rPr>
          <w:rFonts w:cs="Arial"/>
          <w:spacing w:val="-3"/>
          <w:szCs w:val="20"/>
          <w:lang w:val="es-CO"/>
        </w:rPr>
        <w:t xml:space="preserve">que sí. </w:t>
      </w:r>
      <w:r w:rsidR="00B0642D" w:rsidRPr="005B697D">
        <w:rPr>
          <w:rFonts w:cs="Arial"/>
          <w:spacing w:val="-3"/>
          <w:szCs w:val="20"/>
          <w:lang w:val="es-CO"/>
        </w:rPr>
        <w:t>E</w:t>
      </w:r>
      <w:r w:rsidR="00C37DE6" w:rsidRPr="005B697D">
        <w:rPr>
          <w:rFonts w:cs="Arial"/>
          <w:spacing w:val="-3"/>
          <w:szCs w:val="20"/>
          <w:lang w:val="es-CO"/>
        </w:rPr>
        <w:t>s importante</w:t>
      </w:r>
      <w:r w:rsidR="00C45B9D" w:rsidRPr="005B697D">
        <w:rPr>
          <w:rFonts w:cs="Arial"/>
          <w:spacing w:val="-3"/>
          <w:szCs w:val="20"/>
          <w:lang w:val="es-CO"/>
        </w:rPr>
        <w:t xml:space="preserve"> consulta</w:t>
      </w:r>
      <w:r w:rsidR="00F43E53" w:rsidRPr="005B697D">
        <w:rPr>
          <w:rFonts w:cs="Arial"/>
          <w:spacing w:val="-3"/>
          <w:szCs w:val="20"/>
          <w:lang w:val="es-CO"/>
        </w:rPr>
        <w:t xml:space="preserve">r </w:t>
      </w:r>
      <w:r w:rsidR="00C45B9D" w:rsidRPr="005B697D">
        <w:rPr>
          <w:rFonts w:cs="Arial"/>
          <w:spacing w:val="-3"/>
          <w:szCs w:val="20"/>
          <w:lang w:val="es-CO"/>
        </w:rPr>
        <w:t xml:space="preserve">a </w:t>
      </w:r>
      <w:r w:rsidR="00071BAF" w:rsidRPr="005B697D">
        <w:rPr>
          <w:rFonts w:cs="Arial"/>
          <w:spacing w:val="-3"/>
          <w:szCs w:val="20"/>
          <w:lang w:val="es-CO"/>
        </w:rPr>
        <w:t xml:space="preserve">las </w:t>
      </w:r>
      <w:r w:rsidR="00C45B9D" w:rsidRPr="005B697D">
        <w:rPr>
          <w:rFonts w:cs="Arial"/>
          <w:spacing w:val="-3"/>
          <w:szCs w:val="20"/>
          <w:lang w:val="es-CO"/>
        </w:rPr>
        <w:t xml:space="preserve">entidades </w:t>
      </w:r>
      <w:r w:rsidR="00FC7CF0" w:rsidRPr="005B697D">
        <w:rPr>
          <w:rFonts w:cs="Arial"/>
          <w:spacing w:val="-3"/>
          <w:szCs w:val="20"/>
          <w:lang w:val="es-CO"/>
        </w:rPr>
        <w:t xml:space="preserve">sectoriales </w:t>
      </w:r>
      <w:r w:rsidR="00C45B9D" w:rsidRPr="005B697D">
        <w:rPr>
          <w:rFonts w:cs="Arial"/>
          <w:spacing w:val="-3"/>
          <w:szCs w:val="20"/>
          <w:lang w:val="es-CO"/>
        </w:rPr>
        <w:t>del Estado</w:t>
      </w:r>
      <w:r w:rsidR="00071BAF" w:rsidRPr="005B697D">
        <w:rPr>
          <w:rFonts w:cs="Arial"/>
          <w:spacing w:val="-3"/>
          <w:szCs w:val="20"/>
          <w:lang w:val="es-CO"/>
        </w:rPr>
        <w:t xml:space="preserve"> competentes </w:t>
      </w:r>
      <w:r w:rsidR="007F7311" w:rsidRPr="005B697D">
        <w:rPr>
          <w:rFonts w:cs="Arial"/>
          <w:spacing w:val="-3"/>
          <w:szCs w:val="20"/>
          <w:lang w:val="es-CO"/>
        </w:rPr>
        <w:t xml:space="preserve">respecto de </w:t>
      </w:r>
      <w:r w:rsidR="00071BAF" w:rsidRPr="005B697D">
        <w:rPr>
          <w:rFonts w:cs="Arial"/>
          <w:spacing w:val="-3"/>
          <w:szCs w:val="20"/>
          <w:lang w:val="es-CO"/>
        </w:rPr>
        <w:t xml:space="preserve">cada </w:t>
      </w:r>
      <w:r w:rsidR="00435182" w:rsidRPr="005B697D">
        <w:rPr>
          <w:rFonts w:cs="Arial"/>
          <w:spacing w:val="-3"/>
          <w:szCs w:val="20"/>
          <w:lang w:val="es-CO"/>
        </w:rPr>
        <w:t xml:space="preserve">proyecto, obra o actividad </w:t>
      </w:r>
      <w:r w:rsidR="00DC7110" w:rsidRPr="005B697D">
        <w:rPr>
          <w:rFonts w:cs="Arial"/>
          <w:spacing w:val="-3"/>
          <w:szCs w:val="20"/>
          <w:lang w:val="es-CO"/>
        </w:rPr>
        <w:t xml:space="preserve">presente o prevista </w:t>
      </w:r>
      <w:r w:rsidR="00B22471" w:rsidRPr="005B697D">
        <w:rPr>
          <w:rFonts w:cs="Arial"/>
          <w:spacing w:val="-3"/>
          <w:szCs w:val="20"/>
          <w:lang w:val="es-CO"/>
        </w:rPr>
        <w:t xml:space="preserve">a fin de </w:t>
      </w:r>
      <w:r w:rsidR="00071BAF" w:rsidRPr="005B697D">
        <w:rPr>
          <w:rFonts w:cs="Arial"/>
          <w:spacing w:val="-3"/>
          <w:szCs w:val="20"/>
          <w:lang w:val="es-CO"/>
        </w:rPr>
        <w:t>obtener información</w:t>
      </w:r>
      <w:r w:rsidR="00435182" w:rsidRPr="005B697D">
        <w:rPr>
          <w:rFonts w:cs="Arial"/>
          <w:spacing w:val="-3"/>
          <w:szCs w:val="20"/>
          <w:lang w:val="es-CO"/>
        </w:rPr>
        <w:t xml:space="preserve"> </w:t>
      </w:r>
      <w:r w:rsidR="007F7311" w:rsidRPr="005B697D">
        <w:rPr>
          <w:rFonts w:cs="Arial"/>
          <w:spacing w:val="-3"/>
          <w:szCs w:val="20"/>
          <w:lang w:val="es-CO"/>
        </w:rPr>
        <w:t xml:space="preserve">que permita </w:t>
      </w:r>
      <w:r w:rsidR="00B22471" w:rsidRPr="005B697D">
        <w:rPr>
          <w:rFonts w:cs="Arial"/>
          <w:spacing w:val="-3"/>
          <w:szCs w:val="20"/>
          <w:lang w:val="es-CO"/>
        </w:rPr>
        <w:t xml:space="preserve">aproximarse </w:t>
      </w:r>
      <w:r w:rsidR="0099083C" w:rsidRPr="005B697D">
        <w:rPr>
          <w:rFonts w:cs="Arial"/>
          <w:spacing w:val="-3"/>
          <w:szCs w:val="20"/>
          <w:lang w:val="es-CO"/>
        </w:rPr>
        <w:t xml:space="preserve">al conocimiento de </w:t>
      </w:r>
      <w:r w:rsidR="00B22471" w:rsidRPr="005B697D">
        <w:rPr>
          <w:rFonts w:cs="Arial"/>
          <w:spacing w:val="-3"/>
          <w:szCs w:val="20"/>
          <w:lang w:val="es-CO"/>
        </w:rPr>
        <w:t>dichas tendencias</w:t>
      </w:r>
      <w:r w:rsidR="00220DF8" w:rsidRPr="005B697D">
        <w:rPr>
          <w:rFonts w:cs="Arial"/>
          <w:spacing w:val="-3"/>
          <w:szCs w:val="20"/>
          <w:lang w:val="es-CO"/>
        </w:rPr>
        <w:t>.</w:t>
      </w:r>
    </w:p>
  </w:footnote>
  <w:footnote w:id="221">
    <w:p w14:paraId="0E6547F4" w14:textId="6D3A49E2" w:rsidR="00195FC0" w:rsidRPr="005B697D" w:rsidRDefault="00195FC0"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Por ejemplo, la Autoridad Nacional de Licencias Ambientales</w:t>
      </w:r>
      <w:r w:rsidR="00114678" w:rsidRPr="005B697D">
        <w:rPr>
          <w:rFonts w:cs="Arial"/>
          <w:szCs w:val="20"/>
          <w:lang w:val="es-CO"/>
        </w:rPr>
        <w:t xml:space="preserve"> </w:t>
      </w:r>
      <w:r w:rsidR="00597C7C" w:rsidRPr="005B697D">
        <w:rPr>
          <w:rFonts w:cs="Arial"/>
          <w:szCs w:val="20"/>
          <w:lang w:val="es-CO"/>
        </w:rPr>
        <w:t xml:space="preserve">desarrolla periódicamente </w:t>
      </w:r>
      <w:r w:rsidRPr="005B697D">
        <w:rPr>
          <w:rFonts w:cs="Arial"/>
          <w:szCs w:val="20"/>
          <w:lang w:val="es-CO"/>
        </w:rPr>
        <w:t>los Reportes de Análisis Regional</w:t>
      </w:r>
      <w:r w:rsidR="00767CD0" w:rsidRPr="005B697D">
        <w:rPr>
          <w:rFonts w:cs="Arial"/>
          <w:szCs w:val="20"/>
          <w:lang w:val="es-CO"/>
        </w:rPr>
        <w:t xml:space="preserve">; estos </w:t>
      </w:r>
      <w:r w:rsidR="00597C7C" w:rsidRPr="005B697D">
        <w:rPr>
          <w:rFonts w:cs="Arial"/>
          <w:szCs w:val="20"/>
          <w:lang w:val="es-CO"/>
        </w:rPr>
        <w:t xml:space="preserve">documentos </w:t>
      </w:r>
      <w:r w:rsidRPr="005B697D">
        <w:rPr>
          <w:rFonts w:cs="Arial"/>
          <w:szCs w:val="20"/>
          <w:lang w:val="es-CO"/>
        </w:rPr>
        <w:t>pueden consulta</w:t>
      </w:r>
      <w:r w:rsidR="00597C7C" w:rsidRPr="005B697D">
        <w:rPr>
          <w:rFonts w:cs="Arial"/>
          <w:szCs w:val="20"/>
          <w:lang w:val="es-CO"/>
        </w:rPr>
        <w:t xml:space="preserve">rse </w:t>
      </w:r>
      <w:r w:rsidRPr="005B697D">
        <w:rPr>
          <w:rFonts w:cs="Arial"/>
          <w:szCs w:val="20"/>
          <w:lang w:val="es-CO"/>
        </w:rPr>
        <w:t xml:space="preserve">en </w:t>
      </w:r>
      <w:r w:rsidR="00767CD0" w:rsidRPr="005B697D">
        <w:rPr>
          <w:rFonts w:cs="Arial"/>
          <w:szCs w:val="20"/>
          <w:lang w:val="es-CO"/>
        </w:rPr>
        <w:t xml:space="preserve">la </w:t>
      </w:r>
      <w:r w:rsidRPr="005B697D">
        <w:rPr>
          <w:rFonts w:cs="Arial"/>
          <w:szCs w:val="20"/>
          <w:lang w:val="es-CO"/>
        </w:rPr>
        <w:t xml:space="preserve">página </w:t>
      </w:r>
      <w:r w:rsidR="00597C7C" w:rsidRPr="005B697D">
        <w:rPr>
          <w:rFonts w:cs="Arial"/>
          <w:szCs w:val="20"/>
          <w:lang w:val="es-CO"/>
        </w:rPr>
        <w:t>W</w:t>
      </w:r>
      <w:r w:rsidRPr="005B697D">
        <w:rPr>
          <w:rFonts w:cs="Arial"/>
          <w:szCs w:val="20"/>
          <w:lang w:val="es-CO"/>
        </w:rPr>
        <w:t>eb</w:t>
      </w:r>
      <w:r w:rsidR="00767CD0" w:rsidRPr="005B697D">
        <w:rPr>
          <w:rFonts w:cs="Arial"/>
          <w:szCs w:val="20"/>
          <w:lang w:val="es-CO"/>
        </w:rPr>
        <w:t xml:space="preserve"> de dicha entidad</w:t>
      </w:r>
      <w:r w:rsidRPr="005B697D">
        <w:rPr>
          <w:rFonts w:cs="Arial"/>
          <w:szCs w:val="20"/>
          <w:lang w:val="es-CO"/>
        </w:rPr>
        <w:t>.</w:t>
      </w:r>
    </w:p>
  </w:footnote>
  <w:footnote w:id="222">
    <w:p w14:paraId="21566C83" w14:textId="4B585A82" w:rsidR="001167C8" w:rsidRPr="005B697D" w:rsidRDefault="001167C8"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Un impacto ambiental significativo </w:t>
      </w:r>
      <w:r w:rsidR="00C73CFE" w:rsidRPr="005B697D">
        <w:rPr>
          <w:rFonts w:cs="Arial"/>
          <w:szCs w:val="20"/>
          <w:lang w:val="es-CO"/>
        </w:rPr>
        <w:t xml:space="preserve">negativo </w:t>
      </w:r>
      <w:r w:rsidRPr="005B697D">
        <w:rPr>
          <w:rFonts w:cs="Arial"/>
          <w:szCs w:val="20"/>
          <w:lang w:val="es-CO"/>
        </w:rPr>
        <w:t xml:space="preserve">se define como aquel </w:t>
      </w:r>
      <w:r w:rsidR="00D42E4F" w:rsidRPr="005B697D">
        <w:rPr>
          <w:rFonts w:cs="Arial"/>
          <w:szCs w:val="20"/>
          <w:lang w:val="es-CO"/>
        </w:rPr>
        <w:t xml:space="preserve">impacto que dada la sensibilidad ambiental del área en la que se manifiesta, </w:t>
      </w:r>
      <w:r w:rsidR="005D6D89" w:rsidRPr="005B697D">
        <w:rPr>
          <w:rFonts w:cs="Arial"/>
          <w:szCs w:val="20"/>
        </w:rPr>
        <w:t>genera una alteración de las condiciones ambientales que afecta su integridad y limita su capacidad para mantener la sostenibilidad ambiental</w:t>
      </w:r>
      <w:r w:rsidR="00D42E4F" w:rsidRPr="005B697D">
        <w:rPr>
          <w:rFonts w:cs="Arial"/>
          <w:szCs w:val="20"/>
          <w:lang w:val="es-CO"/>
        </w:rPr>
        <w:t>. Se considera como impacto ambiental significativo negativo, a todo impacto negativo clasificado en las tres (3) categorías más altas de Potencial normalizado de modificación de las condiciones ambientales</w:t>
      </w:r>
      <w:r w:rsidR="001923DD" w:rsidRPr="005B697D">
        <w:rPr>
          <w:rFonts w:cs="Arial"/>
          <w:szCs w:val="20"/>
          <w:lang w:val="es-CO"/>
        </w:rPr>
        <w:t>.</w:t>
      </w:r>
    </w:p>
  </w:footnote>
  <w:footnote w:id="223">
    <w:p w14:paraId="3F49B03B" w14:textId="4BC122E6" w:rsidR="00D83A0A" w:rsidRPr="005B697D" w:rsidRDefault="00D83A0A"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Si bien </w:t>
      </w:r>
      <w:r w:rsidR="00F724FF" w:rsidRPr="005B697D">
        <w:rPr>
          <w:rFonts w:cs="Arial"/>
          <w:szCs w:val="20"/>
          <w:lang w:val="es-CO"/>
        </w:rPr>
        <w:t xml:space="preserve">la modalidad alternativa 2 hace </w:t>
      </w:r>
      <w:r w:rsidRPr="005B697D">
        <w:rPr>
          <w:rFonts w:cs="Arial"/>
          <w:szCs w:val="20"/>
          <w:lang w:val="es-CO"/>
        </w:rPr>
        <w:t xml:space="preserve">posible excluir los atributos no relacionados con la significancia de los impactos </w:t>
      </w:r>
      <w:r w:rsidR="000E6888" w:rsidRPr="005B697D">
        <w:rPr>
          <w:rFonts w:cs="Arial"/>
          <w:szCs w:val="20"/>
          <w:lang w:val="es-CO"/>
        </w:rPr>
        <w:t xml:space="preserve">desde el </w:t>
      </w:r>
      <w:r w:rsidR="000C3493" w:rsidRPr="005B697D">
        <w:rPr>
          <w:rFonts w:cs="Arial"/>
          <w:szCs w:val="20"/>
          <w:lang w:val="es-CO"/>
        </w:rPr>
        <w:t>inicio de</w:t>
      </w:r>
      <w:r w:rsidR="00AC10E6" w:rsidRPr="005B697D">
        <w:rPr>
          <w:rFonts w:cs="Arial"/>
          <w:szCs w:val="20"/>
          <w:lang w:val="es-CO"/>
        </w:rPr>
        <w:t xml:space="preserve">l proceso, </w:t>
      </w:r>
      <w:r w:rsidR="00374305" w:rsidRPr="005B697D">
        <w:rPr>
          <w:rFonts w:cs="Arial"/>
          <w:szCs w:val="20"/>
          <w:lang w:val="es-CO"/>
        </w:rPr>
        <w:t xml:space="preserve">y así </w:t>
      </w:r>
      <w:r w:rsidRPr="005B697D">
        <w:rPr>
          <w:rFonts w:cs="Arial"/>
          <w:szCs w:val="20"/>
          <w:lang w:val="es-CO"/>
        </w:rPr>
        <w:t xml:space="preserve">emplear </w:t>
      </w:r>
      <w:r w:rsidR="000C3493" w:rsidRPr="005B697D">
        <w:rPr>
          <w:rFonts w:cs="Arial"/>
          <w:szCs w:val="20"/>
          <w:lang w:val="es-CO"/>
        </w:rPr>
        <w:t xml:space="preserve">sus </w:t>
      </w:r>
      <w:r w:rsidRPr="005B697D">
        <w:rPr>
          <w:rFonts w:cs="Arial"/>
          <w:szCs w:val="20"/>
          <w:lang w:val="es-CO"/>
        </w:rPr>
        <w:t xml:space="preserve">resultados de forma directa en la determinación de los impactos significativos, ello </w:t>
      </w:r>
      <w:r w:rsidR="00BC37C0" w:rsidRPr="005B697D">
        <w:rPr>
          <w:rFonts w:cs="Arial"/>
          <w:szCs w:val="20"/>
          <w:lang w:val="es-CO"/>
        </w:rPr>
        <w:t xml:space="preserve">puede </w:t>
      </w:r>
      <w:r w:rsidRPr="005B697D">
        <w:rPr>
          <w:rFonts w:cs="Arial"/>
          <w:szCs w:val="20"/>
          <w:lang w:val="es-CO"/>
        </w:rPr>
        <w:t>conlleva</w:t>
      </w:r>
      <w:r w:rsidR="00BC37C0" w:rsidRPr="005B697D">
        <w:rPr>
          <w:rFonts w:cs="Arial"/>
          <w:szCs w:val="20"/>
          <w:lang w:val="es-CO"/>
        </w:rPr>
        <w:t>r</w:t>
      </w:r>
      <w:r w:rsidRPr="005B697D">
        <w:rPr>
          <w:rFonts w:cs="Arial"/>
          <w:szCs w:val="20"/>
          <w:lang w:val="es-CO"/>
        </w:rPr>
        <w:t xml:space="preserve"> a la pérdida de información </w:t>
      </w:r>
      <w:r w:rsidRPr="005B697D">
        <w:rPr>
          <w:rFonts w:cs="Arial"/>
          <w:spacing w:val="-3"/>
          <w:szCs w:val="20"/>
          <w:lang w:val="es-CO"/>
        </w:rPr>
        <w:t>útil para la estructuración del plan de manejo ambiental, dado que algunos de los atributos descartados podrían dar luces sobre cómo, más adelante, definir y organizar temporal y espacialmente la ejecución de las medidas de manejo.</w:t>
      </w:r>
    </w:p>
  </w:footnote>
  <w:footnote w:id="224">
    <w:p w14:paraId="65D72FAD" w14:textId="70D32089" w:rsidR="00AC7064" w:rsidRPr="005B697D" w:rsidRDefault="00AC7064"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Por ejemplo, si en el método para evaluar los escenarios con y sin proyecto se emplean 10 atributos y la suma </w:t>
      </w:r>
      <w:r w:rsidR="00015178" w:rsidRPr="005B697D">
        <w:rPr>
          <w:rFonts w:cs="Arial"/>
          <w:szCs w:val="20"/>
          <w:lang w:val="es-CO"/>
        </w:rPr>
        <w:t xml:space="preserve">máxima </w:t>
      </w:r>
      <w:r w:rsidRPr="005B697D">
        <w:rPr>
          <w:rFonts w:cs="Arial"/>
          <w:szCs w:val="20"/>
          <w:lang w:val="es-CO"/>
        </w:rPr>
        <w:t xml:space="preserve">de los valores ponderados </w:t>
      </w:r>
      <w:r w:rsidR="008F52D3" w:rsidRPr="005B697D">
        <w:rPr>
          <w:rFonts w:cs="Arial"/>
          <w:szCs w:val="20"/>
          <w:lang w:val="es-CO"/>
        </w:rPr>
        <w:t xml:space="preserve">es </w:t>
      </w:r>
      <w:r w:rsidRPr="005B697D">
        <w:rPr>
          <w:rFonts w:cs="Arial"/>
          <w:szCs w:val="20"/>
          <w:lang w:val="es-CO"/>
        </w:rPr>
        <w:t>de 100</w:t>
      </w:r>
      <w:r w:rsidR="008F52D3" w:rsidRPr="005B697D">
        <w:rPr>
          <w:rFonts w:cs="Arial"/>
          <w:szCs w:val="20"/>
          <w:lang w:val="es-CO"/>
        </w:rPr>
        <w:t xml:space="preserve"> unidades</w:t>
      </w:r>
      <w:r w:rsidRPr="005B697D">
        <w:rPr>
          <w:rFonts w:cs="Arial"/>
          <w:szCs w:val="20"/>
          <w:lang w:val="es-CO"/>
        </w:rPr>
        <w:t>, al realizar el ajuste y eliminar 4 de los 10 atributos</w:t>
      </w:r>
      <w:r w:rsidR="008F52D3" w:rsidRPr="005B697D">
        <w:rPr>
          <w:rFonts w:cs="Arial"/>
          <w:szCs w:val="20"/>
          <w:lang w:val="es-CO"/>
        </w:rPr>
        <w:t xml:space="preserve"> que no están relacionados con la significancia</w:t>
      </w:r>
      <w:r w:rsidRPr="005B697D">
        <w:rPr>
          <w:rFonts w:cs="Arial"/>
          <w:szCs w:val="20"/>
          <w:lang w:val="es-CO"/>
        </w:rPr>
        <w:t>, se debe</w:t>
      </w:r>
      <w:r w:rsidR="003D1C37" w:rsidRPr="005B697D">
        <w:rPr>
          <w:rFonts w:cs="Arial"/>
          <w:szCs w:val="20"/>
          <w:lang w:val="es-CO"/>
        </w:rPr>
        <w:t>n</w:t>
      </w:r>
      <w:r w:rsidRPr="005B697D">
        <w:rPr>
          <w:rFonts w:cs="Arial"/>
          <w:szCs w:val="20"/>
          <w:lang w:val="es-CO"/>
        </w:rPr>
        <w:t xml:space="preserve"> </w:t>
      </w:r>
      <w:r w:rsidR="00BD2CFD" w:rsidRPr="005B697D">
        <w:rPr>
          <w:rFonts w:cs="Arial"/>
          <w:szCs w:val="20"/>
          <w:lang w:val="es-CO"/>
        </w:rPr>
        <w:t xml:space="preserve">modificar los </w:t>
      </w:r>
      <w:r w:rsidRPr="005B697D">
        <w:rPr>
          <w:rFonts w:cs="Arial"/>
          <w:szCs w:val="20"/>
          <w:lang w:val="es-CO"/>
        </w:rPr>
        <w:t xml:space="preserve">valores ponderados de los 6 atributos restantes </w:t>
      </w:r>
      <w:r w:rsidR="003D1C37" w:rsidRPr="005B697D">
        <w:rPr>
          <w:rFonts w:cs="Arial"/>
          <w:szCs w:val="20"/>
          <w:lang w:val="es-CO"/>
        </w:rPr>
        <w:t xml:space="preserve">para asegurar </w:t>
      </w:r>
      <w:r w:rsidR="00BD2CFD" w:rsidRPr="005B697D">
        <w:rPr>
          <w:rFonts w:cs="Arial"/>
          <w:szCs w:val="20"/>
          <w:lang w:val="es-CO"/>
        </w:rPr>
        <w:t xml:space="preserve">que </w:t>
      </w:r>
      <w:r w:rsidR="00226EB5" w:rsidRPr="005B697D">
        <w:rPr>
          <w:rFonts w:cs="Arial"/>
          <w:szCs w:val="20"/>
          <w:lang w:val="es-CO"/>
        </w:rPr>
        <w:t xml:space="preserve">la </w:t>
      </w:r>
      <w:r w:rsidR="003D1C37" w:rsidRPr="005B697D">
        <w:rPr>
          <w:rFonts w:cs="Arial"/>
          <w:szCs w:val="20"/>
          <w:lang w:val="es-CO"/>
        </w:rPr>
        <w:t xml:space="preserve">suma </w:t>
      </w:r>
      <w:r w:rsidR="00226EB5" w:rsidRPr="005B697D">
        <w:rPr>
          <w:rFonts w:cs="Arial"/>
          <w:szCs w:val="20"/>
          <w:lang w:val="es-CO"/>
        </w:rPr>
        <w:t xml:space="preserve">de sus valores máximos </w:t>
      </w:r>
      <w:r w:rsidRPr="005B697D">
        <w:rPr>
          <w:rFonts w:cs="Arial"/>
          <w:szCs w:val="20"/>
          <w:lang w:val="es-CO"/>
        </w:rPr>
        <w:t>lleg</w:t>
      </w:r>
      <w:r w:rsidR="00226EB5" w:rsidRPr="005B697D">
        <w:rPr>
          <w:rFonts w:cs="Arial"/>
          <w:szCs w:val="20"/>
          <w:lang w:val="es-CO"/>
        </w:rPr>
        <w:t>ue</w:t>
      </w:r>
      <w:r w:rsidRPr="005B697D">
        <w:rPr>
          <w:rFonts w:cs="Arial"/>
          <w:szCs w:val="20"/>
          <w:lang w:val="es-CO"/>
        </w:rPr>
        <w:t xml:space="preserve"> a 100.</w:t>
      </w:r>
    </w:p>
  </w:footnote>
  <w:footnote w:id="225">
    <w:p w14:paraId="2545B022" w14:textId="5D5CD553" w:rsidR="00E63F45" w:rsidRPr="005B697D" w:rsidRDefault="00E63F4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B57353" w:rsidRPr="005B697D">
        <w:rPr>
          <w:rFonts w:cs="Arial"/>
          <w:szCs w:val="20"/>
          <w:lang w:val="es-CO"/>
        </w:rPr>
        <w:t xml:space="preserve">Este método </w:t>
      </w:r>
      <w:r w:rsidRPr="005B697D">
        <w:rPr>
          <w:rFonts w:cs="Arial"/>
          <w:szCs w:val="20"/>
          <w:lang w:val="es-CO"/>
        </w:rPr>
        <w:t xml:space="preserve">no </w:t>
      </w:r>
      <w:r w:rsidR="00B57353" w:rsidRPr="005B697D">
        <w:rPr>
          <w:rFonts w:cs="Arial"/>
          <w:szCs w:val="20"/>
          <w:lang w:val="es-CO"/>
        </w:rPr>
        <w:t xml:space="preserve">debe </w:t>
      </w:r>
      <w:r w:rsidRPr="005B697D">
        <w:rPr>
          <w:rFonts w:cs="Arial"/>
          <w:szCs w:val="20"/>
          <w:lang w:val="es-CO"/>
        </w:rPr>
        <w:t>hace</w:t>
      </w:r>
      <w:r w:rsidR="00B57353" w:rsidRPr="005B697D">
        <w:rPr>
          <w:rFonts w:cs="Arial"/>
          <w:szCs w:val="20"/>
          <w:lang w:val="es-CO"/>
        </w:rPr>
        <w:t>r</w:t>
      </w:r>
      <w:r w:rsidRPr="005B697D">
        <w:rPr>
          <w:rFonts w:cs="Arial"/>
          <w:szCs w:val="20"/>
          <w:lang w:val="es-CO"/>
        </w:rPr>
        <w:t xml:space="preserve"> uso de </w:t>
      </w:r>
      <w:r w:rsidR="002A77EA" w:rsidRPr="005B697D">
        <w:rPr>
          <w:rFonts w:cs="Arial"/>
          <w:szCs w:val="20"/>
          <w:lang w:val="es-CO"/>
        </w:rPr>
        <w:t xml:space="preserve">procedimientos </w:t>
      </w:r>
      <w:r w:rsidR="005058B4" w:rsidRPr="005B697D">
        <w:rPr>
          <w:rFonts w:cs="Arial"/>
          <w:szCs w:val="20"/>
          <w:lang w:val="es-CO"/>
        </w:rPr>
        <w:t xml:space="preserve">o atributos </w:t>
      </w:r>
      <w:r w:rsidRPr="005B697D">
        <w:rPr>
          <w:rFonts w:cs="Arial"/>
          <w:szCs w:val="20"/>
          <w:lang w:val="es-CO"/>
        </w:rPr>
        <w:t>referidos a la probabilidad de ocurrencia</w:t>
      </w:r>
      <w:r w:rsidR="000E13B4" w:rsidRPr="005B697D">
        <w:rPr>
          <w:rFonts w:cs="Arial"/>
          <w:szCs w:val="20"/>
          <w:lang w:val="es-CO"/>
        </w:rPr>
        <w:t xml:space="preserve"> </w:t>
      </w:r>
      <w:r w:rsidR="005058B4" w:rsidRPr="005B697D">
        <w:rPr>
          <w:rFonts w:cs="Arial"/>
          <w:szCs w:val="20"/>
          <w:lang w:val="es-CO"/>
        </w:rPr>
        <w:t>de los impactos</w:t>
      </w:r>
      <w:r w:rsidR="0056351A" w:rsidRPr="005B697D">
        <w:rPr>
          <w:rFonts w:cs="Arial"/>
          <w:szCs w:val="20"/>
          <w:lang w:val="es-CO"/>
        </w:rPr>
        <w:t>,</w:t>
      </w:r>
      <w:r w:rsidR="005058B4" w:rsidRPr="005B697D">
        <w:rPr>
          <w:rFonts w:cs="Arial"/>
          <w:szCs w:val="20"/>
          <w:lang w:val="es-CO"/>
        </w:rPr>
        <w:t xml:space="preserve"> </w:t>
      </w:r>
      <w:r w:rsidR="0056351A" w:rsidRPr="005B697D">
        <w:rPr>
          <w:rFonts w:cs="Arial"/>
          <w:szCs w:val="20"/>
          <w:lang w:val="es-CO"/>
        </w:rPr>
        <w:t>a la</w:t>
      </w:r>
      <w:r w:rsidRPr="005B697D">
        <w:rPr>
          <w:rFonts w:cs="Arial"/>
          <w:szCs w:val="20"/>
          <w:lang w:val="es-CO"/>
        </w:rPr>
        <w:t xml:space="preserve"> posibilidad de recuperación </w:t>
      </w:r>
      <w:r w:rsidR="000E13B4" w:rsidRPr="005B697D">
        <w:rPr>
          <w:rFonts w:cs="Arial"/>
          <w:szCs w:val="20"/>
          <w:lang w:val="es-CO"/>
        </w:rPr>
        <w:t xml:space="preserve">de </w:t>
      </w:r>
      <w:r w:rsidR="0056351A" w:rsidRPr="005B697D">
        <w:rPr>
          <w:rFonts w:cs="Arial"/>
          <w:szCs w:val="20"/>
          <w:lang w:val="es-CO"/>
        </w:rPr>
        <w:t xml:space="preserve">éstos </w:t>
      </w:r>
      <w:r w:rsidRPr="005B697D">
        <w:rPr>
          <w:rFonts w:cs="Arial"/>
          <w:szCs w:val="20"/>
          <w:lang w:val="es-CO"/>
        </w:rPr>
        <w:t>mediante acciones humanas</w:t>
      </w:r>
      <w:r w:rsidR="00A31B09" w:rsidRPr="005B697D">
        <w:rPr>
          <w:rFonts w:cs="Arial"/>
          <w:szCs w:val="20"/>
          <w:lang w:val="es-CO"/>
        </w:rPr>
        <w:t xml:space="preserve"> </w:t>
      </w:r>
      <w:r w:rsidR="00217DE8" w:rsidRPr="005B697D">
        <w:rPr>
          <w:rFonts w:cs="Arial"/>
          <w:szCs w:val="20"/>
          <w:lang w:val="es-CO"/>
        </w:rPr>
        <w:t>ni</w:t>
      </w:r>
      <w:r w:rsidRPr="005B697D">
        <w:rPr>
          <w:rFonts w:cs="Arial"/>
          <w:szCs w:val="20"/>
          <w:lang w:val="es-CO"/>
        </w:rPr>
        <w:t xml:space="preserve">, </w:t>
      </w:r>
      <w:r w:rsidR="00A31B09" w:rsidRPr="005B697D">
        <w:rPr>
          <w:rFonts w:cs="Arial"/>
          <w:szCs w:val="20"/>
          <w:lang w:val="es-CO"/>
        </w:rPr>
        <w:t xml:space="preserve">tampoco, </w:t>
      </w:r>
      <w:r w:rsidR="005436A0" w:rsidRPr="005B697D">
        <w:rPr>
          <w:rFonts w:cs="Arial"/>
          <w:szCs w:val="20"/>
          <w:lang w:val="es-CO"/>
        </w:rPr>
        <w:t xml:space="preserve">procedimientos o atributos </w:t>
      </w:r>
      <w:r w:rsidRPr="005B697D">
        <w:rPr>
          <w:rFonts w:cs="Arial"/>
          <w:szCs w:val="20"/>
          <w:lang w:val="es-CO"/>
        </w:rPr>
        <w:t xml:space="preserve">que establezcan per se valores </w:t>
      </w:r>
      <w:r w:rsidR="0002661E" w:rsidRPr="005B697D">
        <w:rPr>
          <w:rFonts w:cs="Arial"/>
          <w:szCs w:val="20"/>
          <w:lang w:val="es-CO"/>
        </w:rPr>
        <w:t xml:space="preserve">de capacidad de alteración ambiental </w:t>
      </w:r>
      <w:r w:rsidRPr="005B697D">
        <w:rPr>
          <w:rFonts w:cs="Arial"/>
          <w:szCs w:val="20"/>
          <w:lang w:val="es-CO"/>
        </w:rPr>
        <w:t xml:space="preserve">a los impactos de acuerdo con el tiempo que tardan en manifestarse o </w:t>
      </w:r>
      <w:r w:rsidR="005436A0" w:rsidRPr="005B697D">
        <w:rPr>
          <w:rFonts w:cs="Arial"/>
          <w:szCs w:val="20"/>
          <w:lang w:val="es-CO"/>
        </w:rPr>
        <w:t xml:space="preserve">con </w:t>
      </w:r>
      <w:r w:rsidRPr="005B697D">
        <w:rPr>
          <w:rFonts w:cs="Arial"/>
          <w:szCs w:val="20"/>
          <w:lang w:val="es-CO"/>
        </w:rPr>
        <w:t>su condición de ser impactos directos o indirectos.</w:t>
      </w:r>
    </w:p>
  </w:footnote>
  <w:footnote w:id="226">
    <w:p w14:paraId="19D4A44B" w14:textId="5E416C9F" w:rsidR="00A677FA" w:rsidRPr="005B697D" w:rsidRDefault="00A677FA" w:rsidP="005B697D">
      <w:pPr>
        <w:rPr>
          <w:rFonts w:cs="Arial"/>
          <w:sz w:val="20"/>
          <w:szCs w:val="20"/>
        </w:rPr>
      </w:pPr>
      <w:r w:rsidRPr="005B697D">
        <w:rPr>
          <w:rStyle w:val="Refdenotaalpie"/>
          <w:rFonts w:cs="Arial"/>
          <w:sz w:val="20"/>
          <w:szCs w:val="20"/>
          <w:lang w:val="es-CO"/>
        </w:rPr>
        <w:footnoteRef/>
      </w:r>
      <w:r w:rsidRPr="005B697D">
        <w:rPr>
          <w:rFonts w:cs="Arial"/>
          <w:sz w:val="20"/>
          <w:szCs w:val="20"/>
        </w:rPr>
        <w:t xml:space="preserve"> Estos elementos de control son aquellos que desde fabrica vienen incluidos en los equipos, como: cerramientos, silenciadores, entre otros, que han sido validados mediante pruebas por el fabricante y cuentan con documentación que respalda los indicadores de ruido de la fuente. Estos difieren de sistemas complementarios, como barreras acústicas o aditamentos adicionales, los cuales son requeridos para asegurar el cumplimiento de los niveles de ruido establecidos por la normativa vigente, orientados a la mitigación de los niveles de presión sonora.</w:t>
      </w:r>
    </w:p>
  </w:footnote>
  <w:footnote w:id="227">
    <w:p w14:paraId="7D2342F4" w14:textId="472DD4FE" w:rsidR="00E85CE7" w:rsidRPr="005B697D" w:rsidRDefault="00E85CE7"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Propiedad que i</w:t>
      </w:r>
      <w:r w:rsidRPr="005B697D">
        <w:rPr>
          <w:rFonts w:cs="Arial"/>
          <w:spacing w:val="-3"/>
          <w:szCs w:val="20"/>
          <w:lang w:val="es-CO"/>
        </w:rPr>
        <w:t>ndica qué tan intacto se encuentra un paisaje visualmente</w:t>
      </w:r>
      <w:r w:rsidRPr="005B697D">
        <w:rPr>
          <w:rFonts w:cs="Arial"/>
          <w:color w:val="000000" w:themeColor="text1"/>
          <w:spacing w:val="-3"/>
          <w:szCs w:val="20"/>
          <w:lang w:val="es-CO"/>
        </w:rPr>
        <w:t xml:space="preserve"> mediante </w:t>
      </w:r>
      <w:r w:rsidRPr="005B697D">
        <w:rPr>
          <w:rFonts w:cs="Arial"/>
          <w:spacing w:val="-3"/>
          <w:szCs w:val="20"/>
          <w:lang w:val="es-CO"/>
        </w:rPr>
        <w:t xml:space="preserve">la determinación de las alteraciones existentes, el análisis de los elementos discordantes y la fragmentación y conectividad ecosistémica (numeral </w:t>
      </w:r>
      <w:r w:rsidRPr="005B697D">
        <w:rPr>
          <w:rFonts w:cs="Arial"/>
          <w:spacing w:val="-3"/>
          <w:szCs w:val="20"/>
          <w:lang w:val="es-CO"/>
        </w:rPr>
        <w:fldChar w:fldCharType="begin"/>
      </w:r>
      <w:r w:rsidRPr="005B697D">
        <w:rPr>
          <w:rFonts w:cs="Arial"/>
          <w:spacing w:val="-3"/>
          <w:szCs w:val="20"/>
          <w:lang w:val="es-CO"/>
        </w:rPr>
        <w:instrText xml:space="preserve"> REF _Ref78383170 \r \h  \* MERGEFORMAT </w:instrText>
      </w:r>
      <w:r w:rsidRPr="005B697D">
        <w:rPr>
          <w:rFonts w:cs="Arial"/>
          <w:spacing w:val="-3"/>
          <w:szCs w:val="20"/>
          <w:lang w:val="es-CO"/>
        </w:rPr>
      </w:r>
      <w:r w:rsidRPr="005B697D">
        <w:rPr>
          <w:rFonts w:cs="Arial"/>
          <w:spacing w:val="-3"/>
          <w:szCs w:val="20"/>
          <w:lang w:val="es-CO"/>
        </w:rPr>
        <w:fldChar w:fldCharType="separate"/>
      </w:r>
      <w:r w:rsidR="002D73C1" w:rsidRPr="005B697D">
        <w:rPr>
          <w:rFonts w:cs="Arial"/>
          <w:spacing w:val="-3"/>
          <w:szCs w:val="20"/>
          <w:lang w:val="es-CO"/>
        </w:rPr>
        <w:t>4.2.2.3</w:t>
      </w:r>
      <w:r w:rsidRPr="005B697D">
        <w:rPr>
          <w:rFonts w:cs="Arial"/>
          <w:spacing w:val="-3"/>
          <w:szCs w:val="20"/>
          <w:lang w:val="es-CO"/>
        </w:rPr>
        <w:fldChar w:fldCharType="end"/>
      </w:r>
      <w:r w:rsidRPr="005B697D">
        <w:rPr>
          <w:rFonts w:cs="Arial"/>
          <w:spacing w:val="-3"/>
          <w:szCs w:val="20"/>
          <w:lang w:val="es-CO"/>
        </w:rPr>
        <w:t xml:space="preserve"> de este capítulo).</w:t>
      </w:r>
    </w:p>
  </w:footnote>
  <w:footnote w:id="228">
    <w:p w14:paraId="79A50EB7" w14:textId="25F03820" w:rsidR="00984DE7" w:rsidRPr="005B697D" w:rsidRDefault="00984DE7"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Los modelos de visibilidad para el escenario con proyecto deben ser desarrollados empleando herramientas de análisis espacial como las que ofrecen los softwares ArcGIS, QGIS, INVEST, entre otros, según lo sugiere el Sistema de Evaluación Ambiental chileno (SEA) en su documento de 2019 “</w:t>
      </w:r>
      <w:r w:rsidRPr="005B697D">
        <w:rPr>
          <w:rFonts w:cs="Arial"/>
          <w:i/>
          <w:szCs w:val="20"/>
          <w:lang w:val="es-CO"/>
        </w:rPr>
        <w:t>Guía para la evaluación de impacto ambiental del valor paisajístico en el SEIA</w:t>
      </w:r>
      <w:r w:rsidRPr="005B697D">
        <w:rPr>
          <w:rFonts w:cs="Arial"/>
          <w:szCs w:val="20"/>
          <w:lang w:val="es-CO"/>
        </w:rPr>
        <w:t>”.</w:t>
      </w:r>
    </w:p>
  </w:footnote>
  <w:footnote w:id="229">
    <w:p w14:paraId="11B9D3F5"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Los impactos ambientales no internalizables no deben vulnerar los derechos fundamentales de la población. Cuando los impactos ambientales afecten los derechos fundamentales de la población, éstos deben ser prevenidos o corregidos.</w:t>
      </w:r>
    </w:p>
  </w:footnote>
  <w:footnote w:id="230">
    <w:p w14:paraId="452FB332" w14:textId="1E5FD5FC"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Conocida internacionalmente como jerarquía de la mitigación.</w:t>
      </w:r>
    </w:p>
  </w:footnote>
  <w:footnote w:id="231">
    <w:p w14:paraId="4FD11E17" w14:textId="0B339102"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Si en la práctica, dadas las condiciones particulares del proyecto, obra o actividad, es posible medir la fracción de los impactos mitigables que es efectivamente disminuida, esta fracción se debe incluir en la categoría de impactos ambientales internalizables; así, los impactos internalizables corresponderían a los impactos que son prevenidos y corregidos, y a la fracción mitigada de los impactos mitigables, mientras que los no internalizables, corresponderían a los impactos que no son prevenidos ni corregidos, y a la fracción no mitigada de los impactos mitigables.</w:t>
      </w:r>
    </w:p>
  </w:footnote>
  <w:footnote w:id="232">
    <w:p w14:paraId="7188C10F" w14:textId="4B64AD31"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Las medidas de mitigación pueden ser incluidas en el análisis de internalización siempre y cuando sea posible establecer la fracción mitigable del impacto, de lo contrario el valor del impacto debe ser incluido como un costo en el análisis costo beneficio.</w:t>
      </w:r>
    </w:p>
  </w:footnote>
  <w:footnote w:id="233">
    <w:p w14:paraId="26633E4F" w14:textId="59D71C21" w:rsidR="00D55F13" w:rsidRPr="005B697D" w:rsidRDefault="00D55F13" w:rsidP="005B697D">
      <w:pPr>
        <w:overflowPunct/>
        <w:autoSpaceDE/>
        <w:autoSpaceDN/>
        <w:adjustRightInd/>
        <w:textAlignment w:val="auto"/>
        <w:rPr>
          <w:rFonts w:cs="Arial"/>
          <w:sz w:val="20"/>
          <w:szCs w:val="20"/>
        </w:rPr>
      </w:pPr>
      <w:r w:rsidRPr="005B697D">
        <w:rPr>
          <w:rStyle w:val="Refdenotaalpie"/>
          <w:rFonts w:cs="Arial"/>
          <w:sz w:val="20"/>
          <w:szCs w:val="20"/>
          <w:lang w:val="es-CO"/>
        </w:rPr>
        <w:footnoteRef/>
      </w:r>
      <w:r w:rsidRPr="005B697D">
        <w:rPr>
          <w:rFonts w:cs="Arial"/>
          <w:sz w:val="20"/>
          <w:szCs w:val="20"/>
        </w:rPr>
        <w:t xml:space="preserve"> </w:t>
      </w:r>
      <w:r w:rsidR="002F23ED" w:rsidRPr="005B697D">
        <w:rPr>
          <w:rFonts w:cs="Arial"/>
          <w:color w:val="000000"/>
          <w:sz w:val="20"/>
          <w:szCs w:val="20"/>
          <w:lang w:eastAsia="es-ES_tradnl"/>
        </w:rPr>
        <w:t>impacto ambiental que persiste en el ambiente debido a que no pudo ser prevenido ni corregido o a que, en tanto fue mitigado, se mantiene presente modificando las condiciones ambientales con una menor magnitud</w:t>
      </w:r>
      <w:r w:rsidRPr="005B697D">
        <w:rPr>
          <w:rFonts w:cs="Arial"/>
          <w:color w:val="000000"/>
          <w:sz w:val="20"/>
          <w:szCs w:val="20"/>
          <w:lang w:eastAsia="es-ES_tradnl"/>
        </w:rPr>
        <w:t>. Implica que debe ser objeto de compensación.</w:t>
      </w:r>
    </w:p>
  </w:footnote>
  <w:footnote w:id="234">
    <w:p w14:paraId="3A49FCC4" w14:textId="492DC65B"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Minambiente puede adoptar con posterioridad a la adopción de esta metodología otras tasas de descuento para el proceso de licenciamiento ambiental, las cuales deben ser utilizadas a partir del momento de su entrada en vigor.</w:t>
      </w:r>
    </w:p>
  </w:footnote>
  <w:footnote w:id="235">
    <w:p w14:paraId="59848CD5" w14:textId="0469F250"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Cuando un impacto es generado por más de una actividad, se debe tomar la categoría más alta de potencial normalizado de modificación de las condiciones ambientales, o bien, realizar el análisis de cada actividad de forma independiente diferenciando las unidades de análisis en las que actúan.</w:t>
      </w:r>
    </w:p>
  </w:footnote>
  <w:footnote w:id="236">
    <w:p w14:paraId="1A8D0A87" w14:textId="3E32BEF8" w:rsidR="002946B1" w:rsidRPr="005B697D" w:rsidRDefault="002946B1"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EE595E" w:rsidRPr="005B697D">
        <w:rPr>
          <w:rFonts w:cs="Arial"/>
          <w:szCs w:val="20"/>
          <w:lang w:val="es-CO"/>
        </w:rPr>
        <w:t>En caso de que se requiera, l</w:t>
      </w:r>
      <w:r w:rsidR="0036320F" w:rsidRPr="005B697D">
        <w:rPr>
          <w:rFonts w:cs="Arial"/>
          <w:szCs w:val="20"/>
          <w:lang w:val="es-CO"/>
        </w:rPr>
        <w:t xml:space="preserve">a definición de subcategorías para el área de intervención con restricciones </w:t>
      </w:r>
      <w:r w:rsidR="00EE595E" w:rsidRPr="005B697D">
        <w:rPr>
          <w:rFonts w:cs="Arial"/>
          <w:szCs w:val="20"/>
          <w:lang w:val="es-CO"/>
        </w:rPr>
        <w:t xml:space="preserve">(p. ej. </w:t>
      </w:r>
      <w:r w:rsidR="009917E0" w:rsidRPr="005B697D">
        <w:rPr>
          <w:rFonts w:cs="Arial"/>
          <w:szCs w:val="20"/>
          <w:lang w:val="es-CO"/>
        </w:rPr>
        <w:t xml:space="preserve">área de intervención con </w:t>
      </w:r>
      <w:r w:rsidR="00EE595E" w:rsidRPr="005B697D">
        <w:rPr>
          <w:rFonts w:cs="Arial"/>
          <w:szCs w:val="20"/>
          <w:lang w:val="es-CO"/>
        </w:rPr>
        <w:t xml:space="preserve">restricción alta, media </w:t>
      </w:r>
      <w:r w:rsidR="009917E0" w:rsidRPr="005B697D">
        <w:rPr>
          <w:rFonts w:cs="Arial"/>
          <w:szCs w:val="20"/>
          <w:lang w:val="es-CO"/>
        </w:rPr>
        <w:t>o</w:t>
      </w:r>
      <w:r w:rsidR="00EE595E" w:rsidRPr="005B697D">
        <w:rPr>
          <w:rFonts w:cs="Arial"/>
          <w:szCs w:val="20"/>
          <w:lang w:val="es-CO"/>
        </w:rPr>
        <w:t xml:space="preserve"> baja)</w:t>
      </w:r>
      <w:r w:rsidR="0060640E" w:rsidRPr="005B697D">
        <w:rPr>
          <w:rFonts w:cs="Arial"/>
          <w:szCs w:val="20"/>
          <w:lang w:val="es-CO"/>
        </w:rPr>
        <w:t xml:space="preserve"> debe </w:t>
      </w:r>
      <w:r w:rsidR="00B22F5A" w:rsidRPr="005B697D">
        <w:rPr>
          <w:rFonts w:cs="Arial"/>
          <w:szCs w:val="20"/>
          <w:lang w:val="es-CO"/>
        </w:rPr>
        <w:t xml:space="preserve">respetar </w:t>
      </w:r>
      <w:r w:rsidR="00A71AAA" w:rsidRPr="005B697D">
        <w:rPr>
          <w:rFonts w:cs="Arial"/>
          <w:szCs w:val="20"/>
          <w:lang w:val="es-CO"/>
        </w:rPr>
        <w:t xml:space="preserve">y mantenerse dentro de </w:t>
      </w:r>
      <w:r w:rsidR="00B22F5A" w:rsidRPr="005B697D">
        <w:rPr>
          <w:rFonts w:cs="Arial"/>
          <w:szCs w:val="20"/>
          <w:lang w:val="es-CO"/>
        </w:rPr>
        <w:t>los rangos de la regla de decisión establecid</w:t>
      </w:r>
      <w:r w:rsidR="005B2156" w:rsidRPr="005B697D">
        <w:rPr>
          <w:rFonts w:cs="Arial"/>
          <w:szCs w:val="20"/>
          <w:lang w:val="es-CO"/>
        </w:rPr>
        <w:t>a</w:t>
      </w:r>
      <w:r w:rsidR="00B22F5A" w:rsidRPr="005B697D">
        <w:rPr>
          <w:rFonts w:cs="Arial"/>
          <w:szCs w:val="20"/>
          <w:lang w:val="es-CO"/>
        </w:rPr>
        <w:t xml:space="preserve"> </w:t>
      </w:r>
      <w:r w:rsidR="00EE6BC9" w:rsidRPr="005B697D">
        <w:rPr>
          <w:rFonts w:cs="Arial"/>
          <w:szCs w:val="20"/>
          <w:lang w:val="es-CO"/>
        </w:rPr>
        <w:t xml:space="preserve">en la </w:t>
      </w:r>
      <w:r w:rsidR="00EE6BC9" w:rsidRPr="005B697D">
        <w:rPr>
          <w:rFonts w:cs="Arial"/>
          <w:szCs w:val="20"/>
          <w:lang w:val="es-CO"/>
        </w:rPr>
        <w:fldChar w:fldCharType="begin"/>
      </w:r>
      <w:r w:rsidR="00EE6BC9" w:rsidRPr="005B697D">
        <w:rPr>
          <w:rFonts w:cs="Arial"/>
          <w:szCs w:val="20"/>
          <w:lang w:val="es-CO"/>
        </w:rPr>
        <w:instrText xml:space="preserve"> REF _Ref82611062 \h </w:instrText>
      </w:r>
      <w:r w:rsidR="00466E26" w:rsidRPr="005B697D">
        <w:rPr>
          <w:rFonts w:cs="Arial"/>
          <w:szCs w:val="20"/>
          <w:lang w:val="es-CO"/>
        </w:rPr>
        <w:instrText xml:space="preserve"> \* MERGEFORMAT </w:instrText>
      </w:r>
      <w:r w:rsidR="00EE6BC9" w:rsidRPr="005B697D">
        <w:rPr>
          <w:rFonts w:cs="Arial"/>
          <w:szCs w:val="20"/>
          <w:lang w:val="es-CO"/>
        </w:rPr>
      </w:r>
      <w:r w:rsidR="00EE6BC9" w:rsidRPr="005B697D">
        <w:rPr>
          <w:rFonts w:cs="Arial"/>
          <w:szCs w:val="20"/>
          <w:lang w:val="es-CO"/>
        </w:rPr>
        <w:fldChar w:fldCharType="separate"/>
      </w:r>
      <w:r w:rsidR="002D73C1" w:rsidRPr="005B697D">
        <w:rPr>
          <w:rFonts w:cs="Arial"/>
          <w:szCs w:val="20"/>
        </w:rPr>
        <w:t xml:space="preserve">Tabla </w:t>
      </w:r>
      <w:r w:rsidR="002D73C1" w:rsidRPr="005B697D">
        <w:rPr>
          <w:rFonts w:cs="Arial"/>
          <w:noProof/>
          <w:szCs w:val="20"/>
        </w:rPr>
        <w:t>37</w:t>
      </w:r>
      <w:r w:rsidR="00EE6BC9" w:rsidRPr="005B697D">
        <w:rPr>
          <w:rFonts w:cs="Arial"/>
          <w:szCs w:val="20"/>
          <w:lang w:val="es-CO"/>
        </w:rPr>
        <w:fldChar w:fldCharType="end"/>
      </w:r>
      <w:r w:rsidR="00EE6BC9" w:rsidRPr="005B697D">
        <w:rPr>
          <w:rFonts w:cs="Arial"/>
          <w:szCs w:val="20"/>
          <w:lang w:val="es-CO"/>
        </w:rPr>
        <w:t>.</w:t>
      </w:r>
    </w:p>
  </w:footnote>
  <w:footnote w:id="237">
    <w:p w14:paraId="2B777FE9" w14:textId="012AE039" w:rsidR="00F42098" w:rsidRPr="005B697D" w:rsidRDefault="00F42098"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8D0713" w:rsidRPr="005B697D">
        <w:rPr>
          <w:rFonts w:cs="Arial"/>
          <w:szCs w:val="20"/>
          <w:lang w:val="es-CO"/>
        </w:rPr>
        <w:t>Una zonificación de manejo ambiental intermedia corresponde a la zonificación de manejo ambiental de un factor, de un componente o de un medio</w:t>
      </w:r>
      <w:r w:rsidR="00F824DD" w:rsidRPr="005B697D">
        <w:rPr>
          <w:rFonts w:cs="Arial"/>
          <w:szCs w:val="20"/>
          <w:lang w:val="es-CO"/>
        </w:rPr>
        <w:t xml:space="preserve">. La zonificación de manejo ambiental final corresponde </w:t>
      </w:r>
      <w:r w:rsidR="00E85093" w:rsidRPr="005B697D">
        <w:rPr>
          <w:rFonts w:cs="Arial"/>
          <w:szCs w:val="20"/>
          <w:lang w:val="es-CO"/>
        </w:rPr>
        <w:t xml:space="preserve">a la zonificación de manejo ambiental </w:t>
      </w:r>
      <w:r w:rsidR="008929FF" w:rsidRPr="005B697D">
        <w:rPr>
          <w:rFonts w:cs="Arial"/>
          <w:szCs w:val="20"/>
          <w:lang w:val="es-CO"/>
        </w:rPr>
        <w:t>de</w:t>
      </w:r>
      <w:r w:rsidR="00F824DD" w:rsidRPr="005B697D">
        <w:rPr>
          <w:rFonts w:cs="Arial"/>
          <w:szCs w:val="20"/>
          <w:lang w:val="es-CO"/>
        </w:rPr>
        <w:t>l proyecto, obra o actividad.</w:t>
      </w:r>
    </w:p>
  </w:footnote>
  <w:footnote w:id="238">
    <w:p w14:paraId="51ED995E" w14:textId="70551042" w:rsidR="005C767B" w:rsidRPr="005B697D" w:rsidRDefault="005C767B" w:rsidP="005B697D">
      <w:pPr>
        <w:pStyle w:val="Textonotapie"/>
        <w:rPr>
          <w:rFonts w:cs="Arial"/>
          <w:szCs w:val="20"/>
          <w:lang w:val="es-CO"/>
        </w:rPr>
      </w:pPr>
      <w:r w:rsidRPr="005B697D">
        <w:rPr>
          <w:rStyle w:val="Refdenotaalpie"/>
          <w:rFonts w:cs="Arial"/>
          <w:sz w:val="20"/>
          <w:szCs w:val="20"/>
        </w:rPr>
        <w:footnoteRef/>
      </w:r>
      <w:r w:rsidRPr="005B697D">
        <w:rPr>
          <w:rFonts w:cs="Arial"/>
          <w:szCs w:val="20"/>
        </w:rPr>
        <w:t xml:space="preserve"> </w:t>
      </w:r>
      <w:r w:rsidR="003F58C5" w:rsidRPr="005B697D">
        <w:rPr>
          <w:rFonts w:cs="Arial"/>
          <w:szCs w:val="20"/>
          <w:lang w:val="es-CO"/>
        </w:rPr>
        <w:t xml:space="preserve">En la medida en que este derecho guarda una relación de interdependencia con otros derechos </w:t>
      </w:r>
      <w:r w:rsidR="00E679FC" w:rsidRPr="005B697D">
        <w:rPr>
          <w:rFonts w:cs="Arial"/>
          <w:szCs w:val="20"/>
          <w:lang w:val="es-CO"/>
        </w:rPr>
        <w:t>humanos</w:t>
      </w:r>
      <w:r w:rsidR="003F58C5" w:rsidRPr="005B697D">
        <w:rPr>
          <w:rFonts w:cs="Arial"/>
          <w:szCs w:val="20"/>
          <w:lang w:val="es-CO"/>
        </w:rPr>
        <w:t>, asegurar el cumplimiento de los objetivos de la licencia</w:t>
      </w:r>
      <w:r w:rsidR="0013103D" w:rsidRPr="005B697D">
        <w:rPr>
          <w:rFonts w:cs="Arial"/>
          <w:szCs w:val="20"/>
          <w:lang w:val="es-CO"/>
        </w:rPr>
        <w:t xml:space="preserve"> a través de medidas efectivas</w:t>
      </w:r>
      <w:r w:rsidR="00931E17" w:rsidRPr="005B697D">
        <w:rPr>
          <w:rFonts w:cs="Arial"/>
          <w:szCs w:val="20"/>
          <w:lang w:val="es-CO"/>
        </w:rPr>
        <w:t xml:space="preserve">, </w:t>
      </w:r>
      <w:r w:rsidR="00075623" w:rsidRPr="005B697D">
        <w:rPr>
          <w:rFonts w:cs="Arial"/>
          <w:szCs w:val="20"/>
          <w:lang w:val="es-CO"/>
        </w:rPr>
        <w:t xml:space="preserve">previene que </w:t>
      </w:r>
      <w:r w:rsidR="00F04BF3" w:rsidRPr="005B697D">
        <w:rPr>
          <w:rFonts w:cs="Arial"/>
          <w:szCs w:val="20"/>
          <w:lang w:val="es-CO"/>
        </w:rPr>
        <w:t xml:space="preserve">los </w:t>
      </w:r>
      <w:r w:rsidR="0013103D" w:rsidRPr="005B697D">
        <w:rPr>
          <w:rFonts w:cs="Arial"/>
          <w:szCs w:val="20"/>
          <w:lang w:val="es-CO"/>
        </w:rPr>
        <w:t xml:space="preserve">derechos </w:t>
      </w:r>
      <w:r w:rsidR="003474DA" w:rsidRPr="005B697D">
        <w:rPr>
          <w:rFonts w:cs="Arial"/>
          <w:szCs w:val="20"/>
          <w:lang w:val="es-CO"/>
        </w:rPr>
        <w:t xml:space="preserve">conexos </w:t>
      </w:r>
      <w:r w:rsidR="0013103D" w:rsidRPr="005B697D">
        <w:rPr>
          <w:rFonts w:cs="Arial"/>
          <w:szCs w:val="20"/>
          <w:lang w:val="es-CO"/>
        </w:rPr>
        <w:t>sean incididos de forma negativa</w:t>
      </w:r>
      <w:r w:rsidR="0092606F" w:rsidRPr="005B697D">
        <w:rPr>
          <w:rFonts w:cs="Arial"/>
          <w:szCs w:val="20"/>
          <w:lang w:val="es-CO"/>
        </w:rPr>
        <w:t xml:space="preserve"> por la eventual ejecución de</w:t>
      </w:r>
      <w:r w:rsidR="00BC250E" w:rsidRPr="005B697D">
        <w:rPr>
          <w:rFonts w:cs="Arial"/>
          <w:szCs w:val="20"/>
          <w:lang w:val="es-CO"/>
        </w:rPr>
        <w:t xml:space="preserve">l </w:t>
      </w:r>
      <w:r w:rsidR="0092606F" w:rsidRPr="005B697D">
        <w:rPr>
          <w:rFonts w:cs="Arial"/>
          <w:szCs w:val="20"/>
          <w:lang w:val="es-CO"/>
        </w:rPr>
        <w:t>proyecto</w:t>
      </w:r>
      <w:r w:rsidR="0013103D" w:rsidRPr="005B697D">
        <w:rPr>
          <w:rFonts w:cs="Arial"/>
          <w:szCs w:val="20"/>
          <w:lang w:val="es-CO"/>
        </w:rPr>
        <w:t>.</w:t>
      </w:r>
    </w:p>
  </w:footnote>
  <w:footnote w:id="239">
    <w:p w14:paraId="63D3CEDA" w14:textId="78D67161" w:rsidR="00AF6222" w:rsidRPr="005B697D" w:rsidRDefault="00AF6222"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D84634" w:rsidRPr="005B697D">
        <w:rPr>
          <w:rFonts w:cs="Arial"/>
          <w:szCs w:val="20"/>
        </w:rPr>
        <w:t xml:space="preserve">En caso de </w:t>
      </w:r>
      <w:r w:rsidR="00515762" w:rsidRPr="005B697D">
        <w:rPr>
          <w:rFonts w:cs="Arial"/>
          <w:szCs w:val="20"/>
        </w:rPr>
        <w:t xml:space="preserve">que exista </w:t>
      </w:r>
      <w:r w:rsidRPr="005B697D">
        <w:rPr>
          <w:rFonts w:cs="Arial"/>
          <w:szCs w:val="20"/>
        </w:rPr>
        <w:t xml:space="preserve">relacionamiento o interacción con personas, grupos u organizaciones defensoras de derechos humanos, se deben </w:t>
      </w:r>
      <w:r w:rsidR="00D84634" w:rsidRPr="005B697D">
        <w:rPr>
          <w:rFonts w:cs="Arial"/>
          <w:szCs w:val="20"/>
        </w:rPr>
        <w:t xml:space="preserve">seguir los lineamientos que a este respecto </w:t>
      </w:r>
      <w:r w:rsidRPr="005B697D">
        <w:rPr>
          <w:rFonts w:cs="Arial"/>
          <w:szCs w:val="20"/>
        </w:rPr>
        <w:t>establec</w:t>
      </w:r>
      <w:r w:rsidR="00D84634" w:rsidRPr="005B697D">
        <w:rPr>
          <w:rFonts w:cs="Arial"/>
          <w:szCs w:val="20"/>
        </w:rPr>
        <w:t xml:space="preserve">e </w:t>
      </w:r>
      <w:r w:rsidRPr="005B697D">
        <w:rPr>
          <w:rFonts w:cs="Arial"/>
          <w:szCs w:val="20"/>
        </w:rPr>
        <w:t xml:space="preserve">el numeral </w:t>
      </w:r>
      <w:r w:rsidR="00CF5A69" w:rsidRPr="005B697D">
        <w:rPr>
          <w:rFonts w:cs="Arial"/>
          <w:szCs w:val="20"/>
        </w:rPr>
        <w:fldChar w:fldCharType="begin"/>
      </w:r>
      <w:r w:rsidR="00CF5A69" w:rsidRPr="005B697D">
        <w:rPr>
          <w:rFonts w:cs="Arial"/>
          <w:szCs w:val="20"/>
        </w:rPr>
        <w:instrText xml:space="preserve"> REF _Ref214023722 \r \h </w:instrText>
      </w:r>
      <w:r w:rsidR="00466E26" w:rsidRPr="005B697D">
        <w:rPr>
          <w:rFonts w:cs="Arial"/>
          <w:szCs w:val="20"/>
        </w:rPr>
        <w:instrText xml:space="preserve"> \* MERGEFORMAT </w:instrText>
      </w:r>
      <w:r w:rsidR="00CF5A69" w:rsidRPr="005B697D">
        <w:rPr>
          <w:rFonts w:cs="Arial"/>
          <w:szCs w:val="20"/>
        </w:rPr>
      </w:r>
      <w:r w:rsidR="00CF5A69" w:rsidRPr="005B697D">
        <w:rPr>
          <w:rFonts w:cs="Arial"/>
          <w:szCs w:val="20"/>
        </w:rPr>
        <w:fldChar w:fldCharType="separate"/>
      </w:r>
      <w:r w:rsidR="002D73C1" w:rsidRPr="005B697D">
        <w:rPr>
          <w:rFonts w:cs="Arial"/>
          <w:szCs w:val="20"/>
        </w:rPr>
        <w:t>3.2.1.1</w:t>
      </w:r>
      <w:r w:rsidR="00CF5A69" w:rsidRPr="005B697D">
        <w:rPr>
          <w:rFonts w:cs="Arial"/>
          <w:szCs w:val="20"/>
        </w:rPr>
        <w:fldChar w:fldCharType="end"/>
      </w:r>
      <w:r w:rsidR="00DE3A72" w:rsidRPr="005B697D">
        <w:rPr>
          <w:rFonts w:cs="Arial"/>
          <w:szCs w:val="20"/>
        </w:rPr>
        <w:t xml:space="preserve"> </w:t>
      </w:r>
      <w:r w:rsidRPr="005B697D">
        <w:rPr>
          <w:rFonts w:cs="Arial"/>
          <w:szCs w:val="20"/>
        </w:rPr>
        <w:t>del capítulo III.</w:t>
      </w:r>
    </w:p>
  </w:footnote>
  <w:footnote w:id="240">
    <w:p w14:paraId="0F40A014" w14:textId="678B1B00"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Que comprenden, según aplique, su </w:t>
      </w:r>
      <w:r w:rsidR="003B13FE" w:rsidRPr="005B697D">
        <w:rPr>
          <w:rFonts w:cs="Arial"/>
          <w:szCs w:val="20"/>
          <w:lang w:val="es-CO"/>
        </w:rPr>
        <w:t>preconstrucción (planeación, emplazamiento y adecuación), construcción, operación</w:t>
      </w:r>
      <w:r w:rsidR="00F35C56" w:rsidRPr="005B697D">
        <w:rPr>
          <w:rFonts w:cs="Arial"/>
          <w:szCs w:val="20"/>
          <w:lang w:val="es-CO"/>
        </w:rPr>
        <w:t xml:space="preserve"> y</w:t>
      </w:r>
      <w:r w:rsidR="003B13FE" w:rsidRPr="005B697D">
        <w:rPr>
          <w:rFonts w:cs="Arial"/>
          <w:szCs w:val="20"/>
          <w:lang w:val="es-CO"/>
        </w:rPr>
        <w:t xml:space="preserve"> desmantelamiento y cierre ambiental</w:t>
      </w:r>
      <w:r w:rsidRPr="005B697D">
        <w:rPr>
          <w:rFonts w:cs="Arial"/>
          <w:szCs w:val="20"/>
          <w:shd w:val="clear" w:color="auto" w:fill="FFFFFF"/>
          <w:lang w:val="es-CO"/>
        </w:rPr>
        <w:t>.</w:t>
      </w:r>
    </w:p>
  </w:footnote>
  <w:footnote w:id="241">
    <w:p w14:paraId="20AE155A" w14:textId="77777777" w:rsidR="0024448A" w:rsidRPr="005B697D" w:rsidRDefault="0024448A"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La provención de conflictos es el </w:t>
      </w:r>
      <w:r w:rsidRPr="005B697D">
        <w:rPr>
          <w:rFonts w:cs="Arial"/>
          <w:szCs w:val="20"/>
          <w:lang w:val="es-CO"/>
        </w:rPr>
        <w:t>conjunto de conocimientos y habilidades puestos en práctica para comprender e intervenir en la resolución pacífica y no violenta de los enfrentamientos entre dos o más personas. En el marco del plan de manejo ambiental no se espera que se planteen medidas para manejar situaciones como el conflicto armado u otros conflictos que ocurren en los territorios; en este plan pueden incluirse medidas que busquen resolver los conflictos que ocurren a raíz de la ejecución del proyecto, así como prevenir la exacerbación de conflictos previos empleando, en ambos casos, herramientas como la provención de conflictos.</w:t>
      </w:r>
    </w:p>
  </w:footnote>
  <w:footnote w:id="242">
    <w:p w14:paraId="4B2DA5F4" w14:textId="78068312"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Conocida internacionalmente como la jerarquía de la mitigación.</w:t>
      </w:r>
    </w:p>
  </w:footnote>
  <w:footnote w:id="243">
    <w:p w14:paraId="31446572" w14:textId="77777777"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No se deben establecer medidas dirigidas a compensar impactos residuales que vulneren los derechos fundamentales de la población, pues por principio, la formulación de proyectos no puede permitir la generación de impactos residuales que vulneren este tipo de derechos.</w:t>
      </w:r>
    </w:p>
  </w:footnote>
  <w:footnote w:id="244">
    <w:p w14:paraId="57B210C6" w14:textId="766B18F1"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debe recordar que las medidas de compensación son acciones dirigidas a resarcir y retribuir a las comunidades, las regiones, localidades y al entorno natural por los impactos o efectos negativos generados por un proyecto, obra o actividad, que no puedan ser prevenidos, corregidos o mitigados, y que se ha establecido reglamentación específica para el caso de las compensaciones al medio biótico mediante la Resolución </w:t>
      </w:r>
      <w:r w:rsidR="007A2FA5">
        <w:rPr>
          <w:rFonts w:cs="Arial"/>
          <w:szCs w:val="20"/>
          <w:lang w:val="es-CO"/>
        </w:rPr>
        <w:t>0305</w:t>
      </w:r>
      <w:r w:rsidRPr="005B697D">
        <w:rPr>
          <w:rFonts w:cs="Arial"/>
          <w:szCs w:val="20"/>
          <w:lang w:val="es-CO"/>
        </w:rPr>
        <w:t xml:space="preserve"> de 20</w:t>
      </w:r>
      <w:r w:rsidR="006C088B">
        <w:rPr>
          <w:rFonts w:cs="Arial"/>
          <w:szCs w:val="20"/>
          <w:lang w:val="es-CO"/>
        </w:rPr>
        <w:t>26</w:t>
      </w:r>
      <w:r w:rsidRPr="005B697D">
        <w:rPr>
          <w:rFonts w:cs="Arial"/>
          <w:szCs w:val="20"/>
          <w:lang w:val="es-CO"/>
        </w:rPr>
        <w:t>, o aquella norma que la modifique o sustituya.</w:t>
      </w:r>
    </w:p>
  </w:footnote>
  <w:footnote w:id="245">
    <w:p w14:paraId="35B14FC8" w14:textId="00A25C46" w:rsidR="00782D04" w:rsidRPr="005B697D" w:rsidRDefault="00782D04"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eastAsia="Arial Narrow" w:cs="Arial"/>
          <w:szCs w:val="20"/>
          <w:lang w:val="es-CO"/>
        </w:rPr>
        <w:t xml:space="preserve">Las orientaciones referidas a la disminución de las emisiones netas de GEI y a los riesgos del cambio climático pueden consultarse en los numerales </w:t>
      </w:r>
      <w:r w:rsidRPr="005B697D">
        <w:rPr>
          <w:rFonts w:eastAsia="Arial Narrow" w:cs="Arial"/>
          <w:szCs w:val="20"/>
          <w:lang w:val="es-CO"/>
        </w:rPr>
        <w:fldChar w:fldCharType="begin"/>
      </w:r>
      <w:r w:rsidRPr="005B697D">
        <w:rPr>
          <w:rFonts w:eastAsia="Arial Narrow" w:cs="Arial"/>
          <w:szCs w:val="20"/>
          <w:lang w:val="es-CO"/>
        </w:rPr>
        <w:instrText xml:space="preserve"> REF _Ref204176556 \r \h  \* MERGEFORMAT </w:instrText>
      </w:r>
      <w:r w:rsidRPr="005B697D">
        <w:rPr>
          <w:rFonts w:eastAsia="Arial Narrow" w:cs="Arial"/>
          <w:szCs w:val="20"/>
          <w:lang w:val="es-CO"/>
        </w:rPr>
      </w:r>
      <w:r w:rsidRPr="005B697D">
        <w:rPr>
          <w:rFonts w:eastAsia="Arial Narrow" w:cs="Arial"/>
          <w:szCs w:val="20"/>
          <w:lang w:val="es-CO"/>
        </w:rPr>
        <w:fldChar w:fldCharType="separate"/>
      </w:r>
      <w:r w:rsidR="002D73C1" w:rsidRPr="005B697D">
        <w:rPr>
          <w:rFonts w:eastAsia="Arial Narrow" w:cs="Arial"/>
          <w:szCs w:val="20"/>
          <w:lang w:val="es-CO"/>
        </w:rPr>
        <w:t>10.7.2</w:t>
      </w:r>
      <w:r w:rsidRPr="005B697D">
        <w:rPr>
          <w:rFonts w:eastAsia="Arial Narrow" w:cs="Arial"/>
          <w:szCs w:val="20"/>
          <w:lang w:val="es-CO"/>
        </w:rPr>
        <w:fldChar w:fldCharType="end"/>
      </w:r>
      <w:r w:rsidRPr="005B697D">
        <w:rPr>
          <w:rFonts w:eastAsia="Arial Narrow" w:cs="Arial"/>
          <w:szCs w:val="20"/>
          <w:lang w:val="es-CO"/>
        </w:rPr>
        <w:t xml:space="preserve"> y </w:t>
      </w:r>
      <w:r w:rsidRPr="005B697D">
        <w:rPr>
          <w:rFonts w:eastAsia="Arial Narrow" w:cs="Arial"/>
          <w:szCs w:val="20"/>
          <w:lang w:val="es-CO"/>
        </w:rPr>
        <w:fldChar w:fldCharType="begin"/>
      </w:r>
      <w:r w:rsidRPr="005B697D">
        <w:rPr>
          <w:rFonts w:eastAsia="Arial Narrow" w:cs="Arial"/>
          <w:szCs w:val="20"/>
          <w:lang w:val="es-CO"/>
        </w:rPr>
        <w:instrText xml:space="preserve"> REF _Ref204176560 \r \h  \* MERGEFORMAT </w:instrText>
      </w:r>
      <w:r w:rsidRPr="005B697D">
        <w:rPr>
          <w:rFonts w:eastAsia="Arial Narrow" w:cs="Arial"/>
          <w:szCs w:val="20"/>
          <w:lang w:val="es-CO"/>
        </w:rPr>
      </w:r>
      <w:r w:rsidRPr="005B697D">
        <w:rPr>
          <w:rFonts w:eastAsia="Arial Narrow" w:cs="Arial"/>
          <w:szCs w:val="20"/>
          <w:lang w:val="es-CO"/>
        </w:rPr>
        <w:fldChar w:fldCharType="separate"/>
      </w:r>
      <w:r w:rsidR="002D73C1" w:rsidRPr="005B697D">
        <w:rPr>
          <w:rFonts w:eastAsia="Arial Narrow" w:cs="Arial"/>
          <w:szCs w:val="20"/>
          <w:lang w:val="es-CO"/>
        </w:rPr>
        <w:t>10.7.3</w:t>
      </w:r>
      <w:r w:rsidRPr="005B697D">
        <w:rPr>
          <w:rFonts w:eastAsia="Arial Narrow" w:cs="Arial"/>
          <w:szCs w:val="20"/>
          <w:lang w:val="es-CO"/>
        </w:rPr>
        <w:fldChar w:fldCharType="end"/>
      </w:r>
      <w:r w:rsidRPr="005B697D">
        <w:rPr>
          <w:rFonts w:cs="Arial"/>
          <w:szCs w:val="20"/>
          <w:lang w:val="es-CO"/>
        </w:rPr>
        <w:t>, respectivamente.</w:t>
      </w:r>
    </w:p>
  </w:footnote>
  <w:footnote w:id="246">
    <w:p w14:paraId="40594F63" w14:textId="67987FAB" w:rsidR="00E44CA5" w:rsidRPr="005B697D" w:rsidRDefault="00E44CA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9E26D0" w:rsidRPr="005B697D">
        <w:rPr>
          <w:rFonts w:cs="Arial"/>
          <w:szCs w:val="20"/>
          <w:lang w:val="es-CO"/>
        </w:rPr>
        <w:t xml:space="preserve">La información sobre </w:t>
      </w:r>
      <w:r w:rsidR="00990D7D" w:rsidRPr="005B697D">
        <w:rPr>
          <w:rFonts w:cs="Arial"/>
          <w:szCs w:val="20"/>
          <w:lang w:val="es-CO"/>
        </w:rPr>
        <w:t xml:space="preserve">los </w:t>
      </w:r>
      <w:r w:rsidR="009E26D0" w:rsidRPr="005B697D">
        <w:rPr>
          <w:rFonts w:cs="Arial"/>
          <w:szCs w:val="20"/>
          <w:lang w:val="es-CO"/>
        </w:rPr>
        <w:t xml:space="preserve">proyectos </w:t>
      </w:r>
      <w:r w:rsidR="00990D7D" w:rsidRPr="005B697D">
        <w:rPr>
          <w:rFonts w:cs="Arial"/>
          <w:szCs w:val="20"/>
          <w:lang w:val="es-CO"/>
        </w:rPr>
        <w:t xml:space="preserve">con licencia ambiental puede obtenerse mediante herramientas como </w:t>
      </w:r>
      <w:r w:rsidR="00DD5019" w:rsidRPr="005B697D">
        <w:rPr>
          <w:rFonts w:cs="Arial"/>
          <w:szCs w:val="20"/>
          <w:lang w:val="es-CO"/>
        </w:rPr>
        <w:t xml:space="preserve">el Sistema para el Análisis y Gestión de Información del Licenciamiento Ambiental (AGIL) o la </w:t>
      </w:r>
      <w:r w:rsidR="00996E6F" w:rsidRPr="005B697D">
        <w:rPr>
          <w:rFonts w:cs="Arial"/>
          <w:szCs w:val="20"/>
          <w:lang w:val="es-CO"/>
        </w:rPr>
        <w:t xml:space="preserve">Ventanilla Integral de Trámites Ambientales </w:t>
      </w:r>
      <w:r w:rsidR="00DD5019" w:rsidRPr="005B697D">
        <w:rPr>
          <w:rFonts w:cs="Arial"/>
          <w:szCs w:val="20"/>
          <w:lang w:val="es-CO"/>
        </w:rPr>
        <w:t>(</w:t>
      </w:r>
      <w:r w:rsidR="00B9754C" w:rsidRPr="005B697D">
        <w:rPr>
          <w:rFonts w:cs="Arial"/>
          <w:szCs w:val="20"/>
          <w:lang w:val="es-CO"/>
        </w:rPr>
        <w:t>VITAL</w:t>
      </w:r>
      <w:r w:rsidR="00DD5019" w:rsidRPr="005B697D">
        <w:rPr>
          <w:rFonts w:cs="Arial"/>
          <w:szCs w:val="20"/>
          <w:lang w:val="es-CO"/>
        </w:rPr>
        <w:t>)</w:t>
      </w:r>
      <w:r w:rsidR="00B42E83" w:rsidRPr="005B697D">
        <w:rPr>
          <w:rFonts w:cs="Arial"/>
          <w:szCs w:val="20"/>
          <w:lang w:val="es-CO"/>
        </w:rPr>
        <w:t>.</w:t>
      </w:r>
      <w:r w:rsidR="00B9754C" w:rsidRPr="005B697D">
        <w:rPr>
          <w:rFonts w:cs="Arial"/>
          <w:szCs w:val="20"/>
          <w:lang w:val="es-CO"/>
        </w:rPr>
        <w:t xml:space="preserve"> </w:t>
      </w:r>
      <w:r w:rsidR="00B42E83" w:rsidRPr="005B697D">
        <w:rPr>
          <w:rFonts w:cs="Arial"/>
          <w:szCs w:val="20"/>
          <w:lang w:val="es-CO"/>
        </w:rPr>
        <w:t>E</w:t>
      </w:r>
      <w:r w:rsidR="009D19C7" w:rsidRPr="005B697D">
        <w:rPr>
          <w:rFonts w:cs="Arial"/>
          <w:szCs w:val="20"/>
          <w:lang w:val="es-CO"/>
        </w:rPr>
        <w:t xml:space="preserve">n caso de no </w:t>
      </w:r>
      <w:r w:rsidR="00BB56FF" w:rsidRPr="005B697D">
        <w:rPr>
          <w:rFonts w:cs="Arial"/>
          <w:szCs w:val="20"/>
          <w:lang w:val="es-CO"/>
        </w:rPr>
        <w:t>encontrar información en estas plataforma</w:t>
      </w:r>
      <w:r w:rsidR="00A5557A" w:rsidRPr="005B697D">
        <w:rPr>
          <w:rFonts w:cs="Arial"/>
          <w:szCs w:val="20"/>
          <w:lang w:val="es-CO"/>
        </w:rPr>
        <w:t>s</w:t>
      </w:r>
      <w:r w:rsidR="00C7491C" w:rsidRPr="005B697D">
        <w:rPr>
          <w:rFonts w:cs="Arial"/>
          <w:szCs w:val="20"/>
          <w:lang w:val="es-CO"/>
        </w:rPr>
        <w:t>,</w:t>
      </w:r>
      <w:r w:rsidR="00BB56FF" w:rsidRPr="005B697D">
        <w:rPr>
          <w:rFonts w:cs="Arial"/>
          <w:szCs w:val="20"/>
          <w:lang w:val="es-CO"/>
        </w:rPr>
        <w:t xml:space="preserve"> se </w:t>
      </w:r>
      <w:r w:rsidR="00B9754C" w:rsidRPr="005B697D">
        <w:rPr>
          <w:rFonts w:cs="Arial"/>
          <w:szCs w:val="20"/>
          <w:lang w:val="es-CO"/>
        </w:rPr>
        <w:t xml:space="preserve">debe consultar </w:t>
      </w:r>
      <w:r w:rsidR="00205CEF" w:rsidRPr="005B697D">
        <w:rPr>
          <w:rFonts w:cs="Arial"/>
          <w:szCs w:val="20"/>
          <w:lang w:val="es-CO"/>
        </w:rPr>
        <w:t xml:space="preserve">directamente a </w:t>
      </w:r>
      <w:r w:rsidR="00C7491C" w:rsidRPr="005B697D">
        <w:rPr>
          <w:rFonts w:cs="Arial"/>
          <w:szCs w:val="20"/>
          <w:lang w:val="es-CO"/>
        </w:rPr>
        <w:t xml:space="preserve">las autoridades ambientales competentes </w:t>
      </w:r>
      <w:r w:rsidR="00205CEF" w:rsidRPr="005B697D">
        <w:rPr>
          <w:rFonts w:cs="Arial"/>
          <w:szCs w:val="20"/>
          <w:lang w:val="es-CO"/>
        </w:rPr>
        <w:t>d</w:t>
      </w:r>
      <w:r w:rsidR="00C7491C" w:rsidRPr="005B697D">
        <w:rPr>
          <w:rFonts w:cs="Arial"/>
          <w:szCs w:val="20"/>
          <w:lang w:val="es-CO"/>
        </w:rPr>
        <w:t xml:space="preserve">el seguimiento a </w:t>
      </w:r>
      <w:r w:rsidR="00205CEF" w:rsidRPr="005B697D">
        <w:rPr>
          <w:rFonts w:cs="Arial"/>
          <w:szCs w:val="20"/>
          <w:lang w:val="es-CO"/>
        </w:rPr>
        <w:t xml:space="preserve">tales </w:t>
      </w:r>
      <w:r w:rsidR="00B9754C" w:rsidRPr="005B697D">
        <w:rPr>
          <w:rFonts w:cs="Arial"/>
          <w:szCs w:val="20"/>
          <w:lang w:val="es-CO"/>
        </w:rPr>
        <w:t xml:space="preserve">proyectos </w:t>
      </w:r>
      <w:r w:rsidR="00205CEF" w:rsidRPr="005B697D">
        <w:rPr>
          <w:rFonts w:cs="Arial"/>
          <w:szCs w:val="20"/>
          <w:lang w:val="es-CO"/>
        </w:rPr>
        <w:t>licenciados</w:t>
      </w:r>
      <w:r w:rsidR="005A5B57" w:rsidRPr="005B697D">
        <w:rPr>
          <w:rFonts w:cs="Arial"/>
          <w:szCs w:val="20"/>
          <w:lang w:val="es-CO"/>
        </w:rPr>
        <w:t xml:space="preserve">, así como </w:t>
      </w:r>
      <w:r w:rsidR="00F35F27" w:rsidRPr="005B697D">
        <w:rPr>
          <w:rFonts w:cs="Arial"/>
          <w:szCs w:val="20"/>
          <w:lang w:val="es-CO"/>
        </w:rPr>
        <w:t xml:space="preserve">documentar y </w:t>
      </w:r>
      <w:r w:rsidR="00B9754C" w:rsidRPr="005B697D">
        <w:rPr>
          <w:rFonts w:cs="Arial"/>
          <w:szCs w:val="20"/>
          <w:lang w:val="es-CO"/>
        </w:rPr>
        <w:t xml:space="preserve">presentar </w:t>
      </w:r>
      <w:r w:rsidR="00F35F27" w:rsidRPr="005B697D">
        <w:rPr>
          <w:rFonts w:cs="Arial"/>
          <w:szCs w:val="20"/>
          <w:lang w:val="es-CO"/>
        </w:rPr>
        <w:t xml:space="preserve">en el EIA </w:t>
      </w:r>
      <w:r w:rsidR="00B9754C" w:rsidRPr="005B697D">
        <w:rPr>
          <w:rFonts w:cs="Arial"/>
          <w:szCs w:val="20"/>
          <w:lang w:val="es-CO"/>
        </w:rPr>
        <w:t xml:space="preserve">las consultas </w:t>
      </w:r>
      <w:r w:rsidR="00F35F27" w:rsidRPr="005B697D">
        <w:rPr>
          <w:rFonts w:cs="Arial"/>
          <w:szCs w:val="20"/>
          <w:lang w:val="es-CO"/>
        </w:rPr>
        <w:t>efectuadas</w:t>
      </w:r>
      <w:r w:rsidR="00B9754C" w:rsidRPr="005B697D">
        <w:rPr>
          <w:rFonts w:cs="Arial"/>
          <w:szCs w:val="20"/>
          <w:lang w:val="es-CO"/>
        </w:rPr>
        <w:t>.</w:t>
      </w:r>
    </w:p>
  </w:footnote>
  <w:footnote w:id="247">
    <w:p w14:paraId="1836E558" w14:textId="6FE8AE75"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cs="Arial"/>
          <w:spacing w:val="-3"/>
          <w:szCs w:val="20"/>
          <w:lang w:val="es-CO"/>
        </w:rPr>
        <w:t>El indicador de eficacia de cada medida, en lo posible, debe referirse directamente al parámetro que resulta alterado y que se está manejando; no debe plantearse como un indicador de gestión, es decir, como un indicador que señale la cantidad de actividades, capacitaciones, talleres, o reuniones ejecutadas, o la cantidad de insumos o recursos empleados para la implementación de la medida. Los indicadores de gestión pueden usarse como complemento de los indicadores que se establecen para informar sobre la eficacia de las medidas de manejo, pero nunca como su reemplazo.</w:t>
      </w:r>
    </w:p>
  </w:footnote>
  <w:footnote w:id="248">
    <w:p w14:paraId="2E7DBC50" w14:textId="38CA4C45" w:rsidR="008C2494" w:rsidRPr="005B697D" w:rsidRDefault="008C2494"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Para el diseño de</w:t>
      </w:r>
      <w:r w:rsidR="00E14A28" w:rsidRPr="005B697D">
        <w:rPr>
          <w:rFonts w:cs="Arial"/>
          <w:szCs w:val="20"/>
          <w:lang w:val="es-CO"/>
        </w:rPr>
        <w:t>l</w:t>
      </w:r>
      <w:r w:rsidRPr="005B697D">
        <w:rPr>
          <w:rFonts w:cs="Arial"/>
          <w:szCs w:val="20"/>
          <w:lang w:val="es-CO"/>
        </w:rPr>
        <w:t xml:space="preserve"> </w:t>
      </w:r>
      <w:r w:rsidR="008F6B02" w:rsidRPr="005B697D">
        <w:rPr>
          <w:rFonts w:cs="Arial"/>
          <w:szCs w:val="20"/>
          <w:lang w:val="es-CO"/>
        </w:rPr>
        <w:t>reasentamiento</w:t>
      </w:r>
      <w:r w:rsidR="00463159" w:rsidRPr="005B697D">
        <w:rPr>
          <w:rFonts w:cs="Arial"/>
          <w:szCs w:val="20"/>
          <w:lang w:val="es-CO"/>
        </w:rPr>
        <w:t xml:space="preserve"> </w:t>
      </w:r>
      <w:r w:rsidR="00F80456" w:rsidRPr="005B697D">
        <w:rPr>
          <w:rFonts w:cs="Arial"/>
          <w:szCs w:val="20"/>
          <w:lang w:val="es-CO"/>
        </w:rPr>
        <w:t xml:space="preserve">es posible </w:t>
      </w:r>
      <w:r w:rsidRPr="005B697D">
        <w:rPr>
          <w:rFonts w:cs="Arial"/>
          <w:szCs w:val="20"/>
          <w:lang w:val="es-CO"/>
        </w:rPr>
        <w:t xml:space="preserve">revisar las directrices del Alto </w:t>
      </w:r>
      <w:r w:rsidR="00F80456" w:rsidRPr="005B697D">
        <w:rPr>
          <w:rFonts w:cs="Arial"/>
          <w:szCs w:val="20"/>
          <w:lang w:val="es-CO"/>
        </w:rPr>
        <w:t>c</w:t>
      </w:r>
      <w:r w:rsidRPr="005B697D">
        <w:rPr>
          <w:rFonts w:cs="Arial"/>
          <w:szCs w:val="20"/>
          <w:lang w:val="es-CO"/>
        </w:rPr>
        <w:t xml:space="preserve">omisionado de Naciones Unidas sobre </w:t>
      </w:r>
      <w:r w:rsidR="00F80456" w:rsidRPr="005B697D">
        <w:rPr>
          <w:rFonts w:cs="Arial"/>
          <w:szCs w:val="20"/>
          <w:lang w:val="es-CO"/>
        </w:rPr>
        <w:t>el derecho a una vivienda adecuada</w:t>
      </w:r>
      <w:r w:rsidRPr="005B697D">
        <w:rPr>
          <w:rFonts w:cs="Arial"/>
          <w:szCs w:val="20"/>
          <w:lang w:val="es-CO"/>
        </w:rPr>
        <w:t xml:space="preserve">, los Principios </w:t>
      </w:r>
      <w:r w:rsidR="00F80456" w:rsidRPr="005B697D">
        <w:rPr>
          <w:rFonts w:cs="Arial"/>
          <w:szCs w:val="20"/>
          <w:lang w:val="es-CO"/>
        </w:rPr>
        <w:t xml:space="preserve">básicos y directrices sobre los desalojos y el desplazamiento generados por el desarrollo </w:t>
      </w:r>
      <w:r w:rsidRPr="005B697D">
        <w:rPr>
          <w:rFonts w:cs="Arial"/>
          <w:szCs w:val="20"/>
          <w:lang w:val="es-CO"/>
        </w:rPr>
        <w:t xml:space="preserve">y los documentos </w:t>
      </w:r>
      <w:r w:rsidR="000E2823" w:rsidRPr="005B697D">
        <w:rPr>
          <w:rFonts w:cs="Arial"/>
          <w:szCs w:val="20"/>
          <w:lang w:val="es-CO"/>
        </w:rPr>
        <w:t xml:space="preserve">formulados </w:t>
      </w:r>
      <w:r w:rsidRPr="005B697D">
        <w:rPr>
          <w:rFonts w:cs="Arial"/>
          <w:szCs w:val="20"/>
          <w:lang w:val="es-CO"/>
        </w:rPr>
        <w:t xml:space="preserve">por la Asociación Internacional de Evaluación </w:t>
      </w:r>
      <w:r w:rsidR="00305071" w:rsidRPr="005B697D">
        <w:rPr>
          <w:rFonts w:cs="Arial"/>
          <w:szCs w:val="20"/>
          <w:lang w:val="es-CO"/>
        </w:rPr>
        <w:t>de I</w:t>
      </w:r>
      <w:r w:rsidR="00065FC5" w:rsidRPr="005B697D">
        <w:rPr>
          <w:rFonts w:cs="Arial"/>
          <w:szCs w:val="20"/>
          <w:lang w:val="es-CO"/>
        </w:rPr>
        <w:t>m</w:t>
      </w:r>
      <w:r w:rsidR="00305071" w:rsidRPr="005B697D">
        <w:rPr>
          <w:rFonts w:cs="Arial"/>
          <w:szCs w:val="20"/>
          <w:lang w:val="es-CO"/>
        </w:rPr>
        <w:t>pacto</w:t>
      </w:r>
      <w:r w:rsidR="00065FC5" w:rsidRPr="005B697D">
        <w:rPr>
          <w:rFonts w:cs="Arial"/>
          <w:szCs w:val="20"/>
          <w:lang w:val="es-CO"/>
        </w:rPr>
        <w:t xml:space="preserve"> </w:t>
      </w:r>
      <w:r w:rsidR="000E2823" w:rsidRPr="005B697D">
        <w:rPr>
          <w:rFonts w:cs="Arial"/>
          <w:szCs w:val="20"/>
          <w:lang w:val="es-CO"/>
        </w:rPr>
        <w:t>(</w:t>
      </w:r>
      <w:r w:rsidR="00C045A1" w:rsidRPr="005B697D">
        <w:rPr>
          <w:rFonts w:cs="Arial"/>
          <w:szCs w:val="20"/>
          <w:lang w:val="es-CO"/>
        </w:rPr>
        <w:t>IAIA, por su sigla en inglés</w:t>
      </w:r>
      <w:r w:rsidR="000E2823" w:rsidRPr="005B697D">
        <w:rPr>
          <w:rFonts w:cs="Arial"/>
          <w:szCs w:val="20"/>
          <w:lang w:val="es-CO"/>
        </w:rPr>
        <w:t xml:space="preserve">) </w:t>
      </w:r>
      <w:r w:rsidRPr="005B697D">
        <w:rPr>
          <w:rFonts w:cs="Arial"/>
          <w:szCs w:val="20"/>
          <w:lang w:val="es-CO"/>
        </w:rPr>
        <w:t xml:space="preserve">en materia de reasentamiento y </w:t>
      </w:r>
      <w:r w:rsidR="00065FC5" w:rsidRPr="005B697D">
        <w:rPr>
          <w:rFonts w:cs="Arial"/>
          <w:szCs w:val="20"/>
          <w:lang w:val="es-CO"/>
        </w:rPr>
        <w:t>d</w:t>
      </w:r>
      <w:r w:rsidRPr="005B697D">
        <w:rPr>
          <w:rFonts w:cs="Arial"/>
          <w:szCs w:val="20"/>
          <w:lang w:val="es-CO"/>
        </w:rPr>
        <w:t xml:space="preserve">erechos </w:t>
      </w:r>
      <w:r w:rsidR="00065FC5" w:rsidRPr="005B697D">
        <w:rPr>
          <w:rFonts w:cs="Arial"/>
          <w:szCs w:val="20"/>
          <w:lang w:val="es-CO"/>
        </w:rPr>
        <w:t>h</w:t>
      </w:r>
      <w:r w:rsidRPr="005B697D">
        <w:rPr>
          <w:rFonts w:cs="Arial"/>
          <w:szCs w:val="20"/>
          <w:lang w:val="es-CO"/>
        </w:rPr>
        <w:t>umanos.</w:t>
      </w:r>
    </w:p>
  </w:footnote>
  <w:footnote w:id="249">
    <w:p w14:paraId="51571810" w14:textId="4C79A515"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caso de que Minambiente establezca o adopte con posterioridad a este documento una metodología para la formulación del programa de reasentamiento, esta deberá ser utilizada para la elaboración de los estudios ambientales. Algunos textos de referencia para la elaboración de este programa son </w:t>
      </w:r>
      <w:r w:rsidR="00BF12AF" w:rsidRPr="005B697D">
        <w:rPr>
          <w:rFonts w:cs="Arial"/>
          <w:szCs w:val="20"/>
          <w:lang w:val="es-CO"/>
        </w:rPr>
        <w:t>Marco de política de reasentamiento. Plan todos somos pazcífico Tumaco y Guapi</w:t>
      </w:r>
      <w:r w:rsidR="009F7E16" w:rsidRPr="005B697D">
        <w:rPr>
          <w:rFonts w:cs="Arial"/>
          <w:szCs w:val="20"/>
          <w:lang w:val="es-CO"/>
        </w:rPr>
        <w:t xml:space="preserve"> </w:t>
      </w:r>
      <w:r w:rsidR="00D306D8" w:rsidRPr="005B697D">
        <w:rPr>
          <w:rFonts w:cs="Arial"/>
          <w:szCs w:val="20"/>
          <w:lang w:val="es-CO"/>
        </w:rPr>
        <w:t>de la UNGRD</w:t>
      </w:r>
      <w:r w:rsidR="00BF12AF" w:rsidRPr="005B697D">
        <w:rPr>
          <w:rFonts w:cs="Arial"/>
          <w:szCs w:val="20"/>
          <w:lang w:val="es-CO"/>
        </w:rPr>
        <w:t xml:space="preserve">, </w:t>
      </w:r>
      <w:r w:rsidR="00F07D12" w:rsidRPr="005B697D">
        <w:rPr>
          <w:rFonts w:cs="Arial"/>
          <w:szCs w:val="20"/>
          <w:lang w:val="es-CO"/>
        </w:rPr>
        <w:t xml:space="preserve">la </w:t>
      </w:r>
      <w:r w:rsidR="00BF12AF" w:rsidRPr="005B697D">
        <w:rPr>
          <w:rFonts w:cs="Arial"/>
          <w:szCs w:val="20"/>
          <w:lang w:val="es-CO"/>
        </w:rPr>
        <w:t>Política operación al 4.12. Anexo A</w:t>
      </w:r>
      <w:r w:rsidR="00F07D12" w:rsidRPr="005B697D">
        <w:rPr>
          <w:rFonts w:cs="Arial"/>
          <w:szCs w:val="20"/>
          <w:lang w:val="es-CO"/>
        </w:rPr>
        <w:t xml:space="preserve"> del Banco Mundial</w:t>
      </w:r>
      <w:r w:rsidR="00BF12AF" w:rsidRPr="005B697D">
        <w:rPr>
          <w:rFonts w:cs="Arial"/>
          <w:szCs w:val="20"/>
          <w:lang w:val="es-CO"/>
        </w:rPr>
        <w:t xml:space="preserve">, </w:t>
      </w:r>
      <w:r w:rsidR="000D0D50" w:rsidRPr="005B697D">
        <w:rPr>
          <w:rFonts w:cs="Arial"/>
          <w:szCs w:val="20"/>
          <w:lang w:val="es-CO"/>
        </w:rPr>
        <w:t>l</w:t>
      </w:r>
      <w:r w:rsidR="00BF12AF" w:rsidRPr="005B697D">
        <w:rPr>
          <w:rFonts w:cs="Arial"/>
          <w:szCs w:val="20"/>
          <w:lang w:val="es-CO"/>
        </w:rPr>
        <w:t>a política de Reasentamiento Involuntario del Banco Interamericano de Desarrollo y la Norma de Desempeño 5 Adquisición de tierras y reasentamiento involuntario de la Corporación financiera Internacional</w:t>
      </w:r>
      <w:r w:rsidRPr="005B697D">
        <w:rPr>
          <w:rFonts w:cs="Arial"/>
          <w:szCs w:val="20"/>
          <w:lang w:val="es-CO"/>
        </w:rPr>
        <w:t>.</w:t>
      </w:r>
    </w:p>
  </w:footnote>
  <w:footnote w:id="250">
    <w:p w14:paraId="15431002" w14:textId="2649760C"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Uno de los objetivos principales que ha de satisfacerse a través del conjunto de medidas para el reasentamiento de la población, es el de garantizar que las condiciones en las que se reubica sean iguales o mejores a sus condiciones actuales.</w:t>
      </w:r>
    </w:p>
  </w:footnote>
  <w:footnote w:id="251">
    <w:p w14:paraId="027E5CC5" w14:textId="048E21E1" w:rsidR="00D55F13" w:rsidRPr="005B697D" w:rsidRDefault="00D55F13" w:rsidP="005B697D">
      <w:pPr>
        <w:numPr>
          <w:ilvl w:val="12"/>
          <w:numId w:val="0"/>
        </w:numPr>
        <w:tabs>
          <w:tab w:val="left" w:pos="-2268"/>
        </w:tabs>
        <w:suppressAutoHyphens/>
        <w:rPr>
          <w:rFonts w:cs="Arial"/>
          <w:sz w:val="20"/>
          <w:szCs w:val="20"/>
        </w:rPr>
      </w:pPr>
      <w:r w:rsidRPr="005B697D">
        <w:rPr>
          <w:rStyle w:val="Refdenotaalpie"/>
          <w:rFonts w:cs="Arial"/>
          <w:sz w:val="20"/>
          <w:szCs w:val="20"/>
          <w:lang w:val="es-CO"/>
        </w:rPr>
        <w:footnoteRef/>
      </w:r>
      <w:r w:rsidRPr="005B697D">
        <w:rPr>
          <w:rFonts w:cs="Arial"/>
          <w:sz w:val="20"/>
          <w:szCs w:val="20"/>
        </w:rPr>
        <w:t xml:space="preserve"> En caso de que Minambiente establezca o adopte con posterioridad a este documento, un sistema de indicadores para la evaluación, monitoreo y seguimiento de impactos ambientales en el marco del licenciamiento ambiental, se deben incorporar sus lineamientos, parámetros, indicadores e índices en la elaboración de los estudios ambientales.</w:t>
      </w:r>
    </w:p>
  </w:footnote>
  <w:footnote w:id="252">
    <w:p w14:paraId="0245D5CD" w14:textId="71BEE3BA"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el marco del licenciamiento ambiental, la eficacia se define como la capacidad de lograr el efecto que se espera.</w:t>
      </w:r>
    </w:p>
  </w:footnote>
  <w:footnote w:id="253">
    <w:p w14:paraId="280F931F" w14:textId="2EB2608F"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En algunas oportunidades, un p</w:t>
      </w:r>
      <w:r w:rsidRPr="005B697D">
        <w:rPr>
          <w:rFonts w:cs="Arial"/>
          <w:spacing w:val="-3"/>
          <w:szCs w:val="20"/>
          <w:lang w:val="es-CO"/>
        </w:rPr>
        <w:t>arámetro, indicador o índice puede ser empleado para más de un propósito y, por lo tanto, puede corresponder a más de un tipo.</w:t>
      </w:r>
    </w:p>
  </w:footnote>
  <w:footnote w:id="254">
    <w:p w14:paraId="3F0F4C71" w14:textId="2F226194" w:rsidR="00D55F13" w:rsidRPr="005B697D" w:rsidRDefault="00D55F13" w:rsidP="005B697D">
      <w:pPr>
        <w:numPr>
          <w:ilvl w:val="12"/>
          <w:numId w:val="0"/>
        </w:numPr>
        <w:tabs>
          <w:tab w:val="left" w:pos="-2268"/>
        </w:tabs>
        <w:suppressAutoHyphens/>
        <w:rPr>
          <w:rFonts w:cs="Arial"/>
          <w:spacing w:val="-3"/>
          <w:sz w:val="20"/>
          <w:szCs w:val="20"/>
        </w:rPr>
      </w:pPr>
      <w:r w:rsidRPr="005B697D">
        <w:rPr>
          <w:rStyle w:val="Refdenotaalpie"/>
          <w:rFonts w:cs="Arial"/>
          <w:sz w:val="20"/>
          <w:szCs w:val="20"/>
          <w:lang w:val="es-CO"/>
        </w:rPr>
        <w:footnoteRef/>
      </w:r>
      <w:r w:rsidRPr="005B697D">
        <w:rPr>
          <w:rFonts w:cs="Arial"/>
          <w:sz w:val="20"/>
          <w:szCs w:val="20"/>
        </w:rPr>
        <w:t xml:space="preserve"> </w:t>
      </w:r>
      <w:r w:rsidRPr="005B697D">
        <w:rPr>
          <w:rFonts w:cs="Arial"/>
          <w:spacing w:val="-3"/>
          <w:sz w:val="20"/>
          <w:szCs w:val="20"/>
        </w:rPr>
        <w:t>Es importante tener en cuenta que dicha comparación también permite establecer qué tan precisa fue la predicción hecha en la evaluación ambiental, información relevante para la elaboración de futuros estudios ambientales de proyectos, obras o actividades en condiciones ambientales similares a las identificadas en el EIA.</w:t>
      </w:r>
    </w:p>
  </w:footnote>
  <w:footnote w:id="255">
    <w:p w14:paraId="1983E028" w14:textId="4C45DFD4"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Tales lineamientos aplican para todos los índices que se formulen. Información adicional al respecto puede ser encontrada, por ejemplo, en </w:t>
      </w:r>
      <w:r w:rsidRPr="005B697D">
        <w:rPr>
          <w:rFonts w:cs="Arial"/>
          <w:szCs w:val="20"/>
          <w:lang w:val="es-CO" w:eastAsia="es-CO"/>
        </w:rPr>
        <w:t xml:space="preserve">Böhringer &amp; Jochem (2007) o en </w:t>
      </w:r>
      <w:r w:rsidR="00BD3419" w:rsidRPr="005B697D">
        <w:rPr>
          <w:rFonts w:cs="Arial"/>
          <w:szCs w:val="20"/>
          <w:lang w:val="es-CO" w:eastAsia="es-CO"/>
        </w:rPr>
        <w:t>OCDE</w:t>
      </w:r>
      <w:r w:rsidRPr="005B697D">
        <w:rPr>
          <w:rFonts w:cs="Arial"/>
          <w:szCs w:val="20"/>
          <w:lang w:val="es-CO" w:eastAsia="es-CO"/>
        </w:rPr>
        <w:t xml:space="preserve"> (200</w:t>
      </w:r>
      <w:r w:rsidR="00BD3419" w:rsidRPr="005B697D">
        <w:rPr>
          <w:rFonts w:cs="Arial"/>
          <w:szCs w:val="20"/>
          <w:lang w:val="es-CO" w:eastAsia="es-CO"/>
        </w:rPr>
        <w:t>8</w:t>
      </w:r>
      <w:r w:rsidRPr="005B697D">
        <w:rPr>
          <w:rFonts w:cs="Arial"/>
          <w:szCs w:val="20"/>
          <w:lang w:val="es-CO" w:eastAsia="es-CO"/>
        </w:rPr>
        <w:t>).</w:t>
      </w:r>
    </w:p>
  </w:footnote>
  <w:footnote w:id="256">
    <w:p w14:paraId="581E8E0D" w14:textId="1344A59C" w:rsidR="00F85684" w:rsidRPr="005B697D" w:rsidRDefault="00F85684" w:rsidP="005B697D">
      <w:pPr>
        <w:pStyle w:val="Textonotapie"/>
        <w:rPr>
          <w:rFonts w:cs="Arial"/>
          <w:szCs w:val="20"/>
          <w:lang w:val="es-CO"/>
        </w:rPr>
      </w:pPr>
      <w:r w:rsidRPr="005B697D">
        <w:rPr>
          <w:rStyle w:val="Refdenotaalpie"/>
          <w:rFonts w:cs="Arial"/>
          <w:sz w:val="20"/>
          <w:szCs w:val="20"/>
        </w:rPr>
        <w:footnoteRef/>
      </w:r>
      <w:r w:rsidRPr="005B697D">
        <w:rPr>
          <w:rFonts w:cs="Arial"/>
          <w:szCs w:val="20"/>
        </w:rPr>
        <w:t xml:space="preserve"> </w:t>
      </w:r>
      <w:r w:rsidR="00D1631F" w:rsidRPr="005B697D">
        <w:rPr>
          <w:rFonts w:cs="Arial"/>
          <w:szCs w:val="20"/>
        </w:rPr>
        <w:t>Para este medio, se deben considerar las particularidades de los sujetos de especial protección constitucional (entre ellos: mujeres, niños, comunidades étnicas, víctimas de conflicto armado) y de los territorios étnicos, los cuales podrían verse afectados de manera diferenciada. Lo anterior, e</w:t>
      </w:r>
      <w:r w:rsidR="00D1631F" w:rsidRPr="005B697D">
        <w:rPr>
          <w:rFonts w:cs="Arial"/>
          <w:szCs w:val="20"/>
          <w:lang w:val="es-CO"/>
        </w:rPr>
        <w:t>n concordancia con lo estipulado en la Circular 12 del 20 de mayo de 2024 emitida por la Agencia Nacional de Defensa Jurídica del Estado</w:t>
      </w:r>
      <w:r w:rsidR="00364C05" w:rsidRPr="005B697D">
        <w:rPr>
          <w:rFonts w:cs="Arial"/>
          <w:szCs w:val="20"/>
          <w:lang w:val="es-CO"/>
        </w:rPr>
        <w:t>.</w:t>
      </w:r>
    </w:p>
  </w:footnote>
  <w:footnote w:id="257">
    <w:p w14:paraId="688ADBA9" w14:textId="3016F820" w:rsidR="0089701E" w:rsidRPr="005B697D" w:rsidRDefault="0089701E"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39568F" w:rsidRPr="005B697D">
        <w:rPr>
          <w:rFonts w:cs="Arial"/>
          <w:szCs w:val="20"/>
        </w:rPr>
        <w:t xml:space="preserve">Son grupos que personas que </w:t>
      </w:r>
      <w:r w:rsidR="0039568F" w:rsidRPr="005B697D">
        <w:rPr>
          <w:rFonts w:cs="Arial"/>
          <w:color w:val="000000" w:themeColor="text1"/>
          <w:szCs w:val="20"/>
          <w:lang w:eastAsia="es-MX"/>
        </w:rPr>
        <w:t>tienen derecho a disfrutar y ejercer sus derechos en virtud de ser humanos, así como a acceder a un recurso efectivo cuando sus derechos han sido vulnerados (DIHR, 2020)</w:t>
      </w:r>
      <w:r w:rsidRPr="005B697D">
        <w:rPr>
          <w:rFonts w:cs="Arial"/>
          <w:color w:val="000000" w:themeColor="text1"/>
          <w:szCs w:val="20"/>
          <w:lang w:eastAsia="es-MX"/>
        </w:rPr>
        <w:t xml:space="preserve">. </w:t>
      </w:r>
      <w:r w:rsidRPr="005B697D">
        <w:rPr>
          <w:rFonts w:cs="Arial"/>
          <w:szCs w:val="20"/>
          <w:lang w:val="es-CO"/>
        </w:rPr>
        <w:t>Para la identificación de titulares de derechos no se debe hacer una identificación individual o personal respecto de actores en el territorio. Se trata del reconocimiento de grupos humanos referenciados de manera general.</w:t>
      </w:r>
    </w:p>
  </w:footnote>
  <w:footnote w:id="258">
    <w:p w14:paraId="79D3BFC2" w14:textId="77777777" w:rsidR="00E94C87" w:rsidRPr="005B697D" w:rsidRDefault="00E94C87"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Cualquier construcción física para reducir o evitar las afectaciones de las amenazas o riesgos, incluye la aplicación de técnicas de ingeniería para lograr la resistencia y la resiliencia de las estructuras o de los sistemas frente a las amenazas (UNISDR, 2009, citado por UNGRD, 2017). Dentro de estas medidas se incluyen acciones de intervención basadas en ecosistemas.</w:t>
      </w:r>
    </w:p>
  </w:footnote>
  <w:footnote w:id="259">
    <w:p w14:paraId="4B707F45" w14:textId="77777777" w:rsidR="00E94C87" w:rsidRPr="005B697D" w:rsidRDefault="00E94C87"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Cualquier medida que no suponga una construcción física y que utiliza el conocimiento, las prácticas o los acuerdos existentes para reducir el riesgo y sus afectaciones, especialmente a través de una mayor concientización pública, la capacitación y la educación (UNISDR, 2009, citado por UNGRD, 2017).</w:t>
      </w:r>
    </w:p>
  </w:footnote>
  <w:footnote w:id="260">
    <w:p w14:paraId="35CF5568" w14:textId="701E379F" w:rsidR="00E94C87" w:rsidRPr="005B697D" w:rsidRDefault="00E94C87"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Pr="005B697D">
        <w:rPr>
          <w:rFonts w:eastAsia="Arial Narrow" w:cs="Arial"/>
          <w:szCs w:val="20"/>
          <w:lang w:val="es-CO"/>
        </w:rPr>
        <w:t xml:space="preserve">Las orientaciones referidas a la disminución de las emisiones netas de GEI y a los riesgos del cambio climático pueden consultarse en los numerales </w:t>
      </w:r>
      <w:r w:rsidRPr="005B697D">
        <w:rPr>
          <w:rFonts w:eastAsia="Arial Narrow" w:cs="Arial"/>
          <w:szCs w:val="20"/>
          <w:lang w:val="es-CO"/>
        </w:rPr>
        <w:fldChar w:fldCharType="begin"/>
      </w:r>
      <w:r w:rsidRPr="005B697D">
        <w:rPr>
          <w:rFonts w:eastAsia="Arial Narrow" w:cs="Arial"/>
          <w:szCs w:val="20"/>
          <w:lang w:val="es-CO"/>
        </w:rPr>
        <w:instrText xml:space="preserve"> REF _Ref204176556 \r \h  \* MERGEFORMAT </w:instrText>
      </w:r>
      <w:r w:rsidRPr="005B697D">
        <w:rPr>
          <w:rFonts w:eastAsia="Arial Narrow" w:cs="Arial"/>
          <w:szCs w:val="20"/>
          <w:lang w:val="es-CO"/>
        </w:rPr>
      </w:r>
      <w:r w:rsidRPr="005B697D">
        <w:rPr>
          <w:rFonts w:eastAsia="Arial Narrow" w:cs="Arial"/>
          <w:szCs w:val="20"/>
          <w:lang w:val="es-CO"/>
        </w:rPr>
        <w:fldChar w:fldCharType="separate"/>
      </w:r>
      <w:r w:rsidR="002D73C1" w:rsidRPr="005B697D">
        <w:rPr>
          <w:rFonts w:eastAsia="Arial Narrow" w:cs="Arial"/>
          <w:szCs w:val="20"/>
          <w:lang w:val="es-CO"/>
        </w:rPr>
        <w:t>10.7.2</w:t>
      </w:r>
      <w:r w:rsidRPr="005B697D">
        <w:rPr>
          <w:rFonts w:eastAsia="Arial Narrow" w:cs="Arial"/>
          <w:szCs w:val="20"/>
          <w:lang w:val="es-CO"/>
        </w:rPr>
        <w:fldChar w:fldCharType="end"/>
      </w:r>
      <w:r w:rsidRPr="005B697D">
        <w:rPr>
          <w:rFonts w:eastAsia="Arial Narrow" w:cs="Arial"/>
          <w:szCs w:val="20"/>
          <w:lang w:val="es-CO"/>
        </w:rPr>
        <w:t xml:space="preserve"> y </w:t>
      </w:r>
      <w:r w:rsidRPr="005B697D">
        <w:rPr>
          <w:rFonts w:eastAsia="Arial Narrow" w:cs="Arial"/>
          <w:szCs w:val="20"/>
          <w:lang w:val="es-CO"/>
        </w:rPr>
        <w:fldChar w:fldCharType="begin"/>
      </w:r>
      <w:r w:rsidRPr="005B697D">
        <w:rPr>
          <w:rFonts w:eastAsia="Arial Narrow" w:cs="Arial"/>
          <w:szCs w:val="20"/>
          <w:lang w:val="es-CO"/>
        </w:rPr>
        <w:instrText xml:space="preserve"> REF _Ref204176560 \r \h  \* MERGEFORMAT </w:instrText>
      </w:r>
      <w:r w:rsidRPr="005B697D">
        <w:rPr>
          <w:rFonts w:eastAsia="Arial Narrow" w:cs="Arial"/>
          <w:szCs w:val="20"/>
          <w:lang w:val="es-CO"/>
        </w:rPr>
      </w:r>
      <w:r w:rsidRPr="005B697D">
        <w:rPr>
          <w:rFonts w:eastAsia="Arial Narrow" w:cs="Arial"/>
          <w:szCs w:val="20"/>
          <w:lang w:val="es-CO"/>
        </w:rPr>
        <w:fldChar w:fldCharType="separate"/>
      </w:r>
      <w:r w:rsidR="002D73C1" w:rsidRPr="005B697D">
        <w:rPr>
          <w:rFonts w:eastAsia="Arial Narrow" w:cs="Arial"/>
          <w:szCs w:val="20"/>
          <w:lang w:val="es-CO"/>
        </w:rPr>
        <w:t>10.7.3</w:t>
      </w:r>
      <w:r w:rsidRPr="005B697D">
        <w:rPr>
          <w:rFonts w:eastAsia="Arial Narrow" w:cs="Arial"/>
          <w:szCs w:val="20"/>
          <w:lang w:val="es-CO"/>
        </w:rPr>
        <w:fldChar w:fldCharType="end"/>
      </w:r>
      <w:r w:rsidRPr="005B697D">
        <w:rPr>
          <w:rFonts w:cs="Arial"/>
          <w:szCs w:val="20"/>
          <w:lang w:val="es-CO"/>
        </w:rPr>
        <w:t>, respectivamente.</w:t>
      </w:r>
    </w:p>
  </w:footnote>
  <w:footnote w:id="261">
    <w:p w14:paraId="0A28343A" w14:textId="5D006B79"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w:t>
      </w:r>
      <w:r w:rsidR="00DA650E" w:rsidRPr="005B697D">
        <w:rPr>
          <w:rFonts w:cs="Arial"/>
          <w:szCs w:val="20"/>
          <w:lang w:val="es-CO"/>
        </w:rPr>
        <w:t>La Evaluación de Daños y Análisis de Necesidades Ambientales (EDANA) es una herramienta utilizada para conocer el grado de afectación que los recursos naturales han sufrido por una contingencia en un lugar y tiempo determinado; es decir, se utiliza para evaluar los daños y priorizar necesidades por medio de la determinación y registro cuali-cuantitativo de la extensión, gravedad y localización de los efectos de la contingencia. Esta evaluación de daños y análisis de necesidades ambientales es diferente a la metodología EDANA-C planteada por la Dirección de Cambio Climático y Gestión del Riesgo de Minambiente, la cual se enfoca en eventos naturales, socio naturales e incendios forestales no relacionados con proyectos licenciados</w:t>
      </w:r>
      <w:r w:rsidRPr="005B697D">
        <w:rPr>
          <w:rFonts w:cs="Arial"/>
          <w:szCs w:val="20"/>
          <w:lang w:val="es-CO"/>
        </w:rPr>
        <w:t>.</w:t>
      </w:r>
    </w:p>
  </w:footnote>
  <w:footnote w:id="262">
    <w:p w14:paraId="2BBD863C" w14:textId="287283FD" w:rsidR="009D1195" w:rsidRPr="005B697D" w:rsidRDefault="009D1195"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Los lineamientos establecidos en este apartado son aplicables tanto al plan de desmantelamiento y cierre ambiental que hace parte del EIA, como al que contiene el estudio que se debe suministrar a la autoridad ambiental competente cuando se requiera o deba iniciar la </w:t>
      </w:r>
      <w:r w:rsidR="007A0F82" w:rsidRPr="005B697D">
        <w:rPr>
          <w:rFonts w:cs="Arial"/>
          <w:spacing w:val="-3"/>
          <w:szCs w:val="20"/>
        </w:rPr>
        <w:t>etapa</w:t>
      </w:r>
      <w:r w:rsidR="007A0F82" w:rsidRPr="005B697D">
        <w:rPr>
          <w:rFonts w:cs="Arial"/>
          <w:szCs w:val="20"/>
          <w:lang w:val="es-CO"/>
        </w:rPr>
        <w:t xml:space="preserve"> </w:t>
      </w:r>
      <w:r w:rsidRPr="005B697D">
        <w:rPr>
          <w:rFonts w:cs="Arial"/>
          <w:szCs w:val="20"/>
          <w:lang w:val="es-CO"/>
        </w:rPr>
        <w:t>de desmantelamiento y cierre ambiental al que hace referencia el artículo 2.2.2.3.9.2 del Decreto 1076 de 2015, o aquella norma que lo modifique o sustituya.</w:t>
      </w:r>
    </w:p>
  </w:footnote>
  <w:footnote w:id="263">
    <w:p w14:paraId="411BB93C" w14:textId="16FFA10C"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Artículo 174 de la Ley 1753 de 2015, artículo 321 de la Ley 1955 de 2019 y Decreto 1076 de 2015 (modificado por los Decretos 2099 de 2016, 075 y 1120 de 2017), o las normas que los modifiquen o sustituyan.</w:t>
      </w:r>
    </w:p>
  </w:footnote>
  <w:footnote w:id="264">
    <w:p w14:paraId="7FDC7785" w14:textId="3801250E" w:rsidR="00D55F13" w:rsidRPr="005B697D" w:rsidRDefault="00D55F13"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Actualmente, la Resolución </w:t>
      </w:r>
      <w:r w:rsidR="00E12801">
        <w:rPr>
          <w:rFonts w:cs="Arial"/>
          <w:szCs w:val="20"/>
          <w:lang w:val="es-CO"/>
        </w:rPr>
        <w:t xml:space="preserve">0305 </w:t>
      </w:r>
      <w:r w:rsidRPr="005B697D">
        <w:rPr>
          <w:rFonts w:cs="Arial"/>
          <w:szCs w:val="20"/>
          <w:lang w:val="es-CO"/>
        </w:rPr>
        <w:t>de 20</w:t>
      </w:r>
      <w:bookmarkStart w:id="11419" w:name="_Hlk99961533"/>
      <w:r w:rsidR="00E12801">
        <w:rPr>
          <w:rFonts w:cs="Arial"/>
          <w:szCs w:val="20"/>
          <w:lang w:val="es-CO"/>
        </w:rPr>
        <w:t>26</w:t>
      </w:r>
      <w:bookmarkEnd w:id="11419"/>
      <w:r w:rsidRPr="005B697D">
        <w:rPr>
          <w:rFonts w:cs="Arial"/>
          <w:szCs w:val="20"/>
          <w:lang w:val="es-CO"/>
        </w:rPr>
        <w:t>.</w:t>
      </w:r>
    </w:p>
  </w:footnote>
  <w:footnote w:id="265">
    <w:p w14:paraId="669124D3" w14:textId="77777777" w:rsidR="00750796" w:rsidRPr="005B697D" w:rsidRDefault="0075079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Según la norma ISO 14064-1:2018, la </w:t>
      </w:r>
      <w:r w:rsidRPr="005B697D">
        <w:rPr>
          <w:rFonts w:cs="Arial"/>
          <w:i/>
          <w:iCs/>
          <w:szCs w:val="20"/>
          <w:lang w:val="es-CO"/>
        </w:rPr>
        <w:t>emisión de GEI biogénica antropogénica</w:t>
      </w:r>
      <w:r w:rsidRPr="005B697D">
        <w:rPr>
          <w:rFonts w:cs="Arial"/>
          <w:szCs w:val="20"/>
          <w:lang w:val="es-CO"/>
        </w:rPr>
        <w:t xml:space="preserve"> corresponde a la emisión de GEI a partir de material biogénico como resultado de actividades humanas; </w:t>
      </w:r>
      <w:r w:rsidRPr="005B697D">
        <w:rPr>
          <w:rFonts w:cs="Arial"/>
          <w:i/>
          <w:iCs/>
          <w:szCs w:val="20"/>
          <w:lang w:val="es-CO"/>
        </w:rPr>
        <w:t>CO</w:t>
      </w:r>
      <w:r w:rsidRPr="005B697D">
        <w:rPr>
          <w:rFonts w:cs="Arial"/>
          <w:i/>
          <w:iCs/>
          <w:szCs w:val="20"/>
          <w:vertAlign w:val="subscript"/>
          <w:lang w:val="es-CO"/>
        </w:rPr>
        <w:t>2</w:t>
      </w:r>
      <w:r w:rsidRPr="005B697D">
        <w:rPr>
          <w:rFonts w:cs="Arial"/>
          <w:i/>
          <w:iCs/>
          <w:szCs w:val="20"/>
          <w:lang w:val="es-CO"/>
        </w:rPr>
        <w:t xml:space="preserve"> biogénico </w:t>
      </w:r>
      <w:r w:rsidRPr="005B697D">
        <w:rPr>
          <w:rFonts w:cs="Arial"/>
          <w:szCs w:val="20"/>
          <w:lang w:val="es-CO"/>
        </w:rPr>
        <w:t>se refiere al CO</w:t>
      </w:r>
      <w:r w:rsidRPr="005B697D">
        <w:rPr>
          <w:rFonts w:cs="Arial"/>
          <w:szCs w:val="20"/>
          <w:vertAlign w:val="subscript"/>
          <w:lang w:val="es-CO"/>
        </w:rPr>
        <w:t>2</w:t>
      </w:r>
      <w:r w:rsidRPr="005B697D">
        <w:rPr>
          <w:rFonts w:cs="Arial"/>
          <w:szCs w:val="20"/>
          <w:lang w:val="es-CO"/>
        </w:rPr>
        <w:t xml:space="preserve"> obtenido mediante a oxidación de carbono biogénico. </w:t>
      </w:r>
      <w:r w:rsidRPr="005B697D">
        <w:rPr>
          <w:rFonts w:cs="Arial"/>
          <w:i/>
          <w:iCs/>
          <w:szCs w:val="20"/>
          <w:lang w:val="es-CO"/>
        </w:rPr>
        <w:t xml:space="preserve">Carbono biogénico </w:t>
      </w:r>
      <w:r w:rsidRPr="005B697D">
        <w:rPr>
          <w:rFonts w:cs="Arial"/>
          <w:szCs w:val="20"/>
          <w:lang w:val="es-CO"/>
        </w:rPr>
        <w:t>corresponde al carbono derivado de la biomasa.</w:t>
      </w:r>
    </w:p>
  </w:footnote>
  <w:footnote w:id="266">
    <w:p w14:paraId="693EA2AB" w14:textId="77777777" w:rsidR="00750796" w:rsidRPr="005B697D" w:rsidRDefault="00750796" w:rsidP="005B697D">
      <w:pPr>
        <w:rPr>
          <w:rFonts w:eastAsia="Arial" w:cs="Arial"/>
          <w:sz w:val="20"/>
          <w:szCs w:val="20"/>
        </w:rPr>
      </w:pPr>
      <w:r w:rsidRPr="005B697D">
        <w:rPr>
          <w:rFonts w:cs="Arial"/>
          <w:sz w:val="20"/>
          <w:szCs w:val="20"/>
          <w:vertAlign w:val="superscript"/>
        </w:rPr>
        <w:footnoteRef/>
      </w:r>
      <w:r w:rsidRPr="005B697D">
        <w:rPr>
          <w:rFonts w:cs="Arial"/>
          <w:sz w:val="20"/>
          <w:szCs w:val="20"/>
          <w:vertAlign w:val="superscript"/>
        </w:rPr>
        <w:t xml:space="preserve"> </w:t>
      </w:r>
      <w:r w:rsidRPr="005B697D">
        <w:rPr>
          <w:rFonts w:eastAsia="Arial" w:cs="Arial"/>
          <w:sz w:val="20"/>
          <w:szCs w:val="20"/>
        </w:rPr>
        <w:t>Esto incluye las emisiones generadas por la combustión de combustibles en vehículos de flota (como automóviles, camionetas, furgonetas, camiones, entre otros), así como las emisiones de fuentes fijas o estacionarias como calderas, hornos y equipos, cambio de uso del suelo y, las emisiones de fuentes fugitivas (aires y refrigerantes, extintores, entre otros) propias o contratadas por el proyecto.</w:t>
      </w:r>
    </w:p>
  </w:footnote>
  <w:footnote w:id="267">
    <w:p w14:paraId="22F3692B" w14:textId="39604601" w:rsidR="00750796" w:rsidRPr="005B697D" w:rsidRDefault="00750796" w:rsidP="005B697D">
      <w:pPr>
        <w:rPr>
          <w:rFonts w:eastAsia="Arial" w:cs="Arial"/>
          <w:sz w:val="20"/>
          <w:szCs w:val="20"/>
        </w:rPr>
      </w:pPr>
      <w:r w:rsidRPr="005B697D">
        <w:rPr>
          <w:rFonts w:cs="Arial"/>
          <w:sz w:val="20"/>
          <w:szCs w:val="20"/>
          <w:vertAlign w:val="superscript"/>
        </w:rPr>
        <w:footnoteRef/>
      </w:r>
      <w:r w:rsidRPr="005B697D">
        <w:rPr>
          <w:rFonts w:cs="Arial"/>
          <w:sz w:val="20"/>
          <w:szCs w:val="20"/>
        </w:rPr>
        <w:t xml:space="preserve"> </w:t>
      </w:r>
      <w:r w:rsidRPr="005B697D">
        <w:rPr>
          <w:rFonts w:eastAsia="Arial" w:cs="Arial"/>
          <w:sz w:val="20"/>
          <w:szCs w:val="20"/>
        </w:rPr>
        <w:t xml:space="preserve">Las emisiones indirectas significativas incluyen aquellas generadas </w:t>
      </w:r>
      <w:r w:rsidR="008058C0" w:rsidRPr="005B697D">
        <w:rPr>
          <w:rFonts w:eastAsia="Arial" w:cs="Arial"/>
          <w:sz w:val="20"/>
          <w:szCs w:val="20"/>
        </w:rPr>
        <w:t xml:space="preserve">durante todas las </w:t>
      </w:r>
      <w:r w:rsidR="007A0F82" w:rsidRPr="005B697D">
        <w:rPr>
          <w:rFonts w:eastAsia="Arial" w:cs="Arial"/>
          <w:sz w:val="20"/>
          <w:szCs w:val="20"/>
        </w:rPr>
        <w:t>etapas</w:t>
      </w:r>
      <w:r w:rsidR="007A0F82" w:rsidRPr="005B697D" w:rsidDel="007A0F82">
        <w:rPr>
          <w:rFonts w:eastAsia="Arial" w:cs="Arial"/>
          <w:sz w:val="20"/>
          <w:szCs w:val="20"/>
        </w:rPr>
        <w:t xml:space="preserve"> </w:t>
      </w:r>
      <w:r w:rsidR="008058C0" w:rsidRPr="005B697D">
        <w:rPr>
          <w:rFonts w:eastAsia="Arial" w:cs="Arial"/>
          <w:sz w:val="20"/>
          <w:szCs w:val="20"/>
        </w:rPr>
        <w:t>de ejecución del proyecto (preconstrucción, construcción, operación</w:t>
      </w:r>
      <w:r w:rsidR="008254A9" w:rsidRPr="005B697D">
        <w:rPr>
          <w:rFonts w:eastAsia="Arial" w:cs="Arial"/>
          <w:sz w:val="20"/>
          <w:szCs w:val="20"/>
        </w:rPr>
        <w:t xml:space="preserve"> y</w:t>
      </w:r>
      <w:r w:rsidR="008058C0" w:rsidRPr="005B697D">
        <w:rPr>
          <w:rFonts w:eastAsia="Arial" w:cs="Arial"/>
          <w:sz w:val="20"/>
          <w:szCs w:val="20"/>
        </w:rPr>
        <w:t xml:space="preserve"> desmantelamiento y cierre ambiental)</w:t>
      </w:r>
      <w:r w:rsidRPr="005B697D">
        <w:rPr>
          <w:rFonts w:eastAsia="Arial" w:cs="Arial"/>
          <w:sz w:val="20"/>
          <w:szCs w:val="20"/>
        </w:rPr>
        <w:t>, abarcando fuentes como la producción y transporte de insumos y materiales necesarios para su ejecución, el consumo de bienes y servicios adquiridos, las actividades realizadas por contratistas y proveedores, el uso de equipos o infraestructuras externas vinculadas al proyecto, el transporte y distribución de bienes relacionados, el tratamiento y disposición de residuos generados, así como cualquier otra fuente de emisión derivada de actividades que, aunque no sean controladas directamente por el proyecto, estén asociadas a su desarrollo y operación.</w:t>
      </w:r>
    </w:p>
  </w:footnote>
  <w:footnote w:id="268">
    <w:p w14:paraId="6F165170" w14:textId="77777777" w:rsidR="00750796" w:rsidRPr="005B697D" w:rsidRDefault="00750796" w:rsidP="005B697D">
      <w:pPr>
        <w:rPr>
          <w:rFonts w:cs="Arial"/>
          <w:sz w:val="20"/>
          <w:szCs w:val="20"/>
        </w:rPr>
      </w:pPr>
      <w:r w:rsidRPr="005B697D">
        <w:rPr>
          <w:rFonts w:cs="Arial"/>
          <w:sz w:val="20"/>
          <w:szCs w:val="20"/>
          <w:vertAlign w:val="superscript"/>
        </w:rPr>
        <w:footnoteRef/>
      </w:r>
      <w:r w:rsidRPr="005B697D">
        <w:rPr>
          <w:rFonts w:cs="Arial"/>
          <w:sz w:val="20"/>
          <w:szCs w:val="20"/>
          <w:vertAlign w:val="superscript"/>
        </w:rPr>
        <w:t xml:space="preserve"> </w:t>
      </w:r>
      <w:r w:rsidRPr="005B697D">
        <w:rPr>
          <w:rFonts w:cs="Arial"/>
          <w:sz w:val="20"/>
          <w:szCs w:val="20"/>
        </w:rPr>
        <w:t>El detalle requerido para la estimación de GEI, según el sector o tipo de proyecto, obra o actividad, debe consultarse en los términos de referencia que apliquen.</w:t>
      </w:r>
    </w:p>
  </w:footnote>
  <w:footnote w:id="269">
    <w:p w14:paraId="463F2614" w14:textId="0A5D9D8E" w:rsidR="00750796" w:rsidRPr="005B697D" w:rsidRDefault="0075079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Las declaraciones de verificación de las emisiones de GEI deben ser expedidas por un organismo acreditado por el Organismo Nacional de Acreditación (ONAC).</w:t>
      </w:r>
    </w:p>
  </w:footnote>
  <w:footnote w:id="270">
    <w:p w14:paraId="7FA4B8C9" w14:textId="77777777" w:rsidR="00750796" w:rsidRPr="005B697D" w:rsidRDefault="00750796" w:rsidP="005B697D">
      <w:pPr>
        <w:rPr>
          <w:rFonts w:cs="Arial"/>
          <w:sz w:val="20"/>
          <w:szCs w:val="20"/>
        </w:rPr>
      </w:pPr>
      <w:r w:rsidRPr="005B697D">
        <w:rPr>
          <w:rFonts w:cs="Arial"/>
          <w:sz w:val="20"/>
          <w:szCs w:val="20"/>
          <w:vertAlign w:val="superscript"/>
        </w:rPr>
        <w:footnoteRef/>
      </w:r>
      <w:r w:rsidRPr="005B697D">
        <w:rPr>
          <w:rFonts w:cs="Arial"/>
          <w:sz w:val="20"/>
          <w:szCs w:val="20"/>
          <w:vertAlign w:val="superscript"/>
        </w:rPr>
        <w:t xml:space="preserve"> </w:t>
      </w:r>
      <w:r w:rsidRPr="005B697D">
        <w:rPr>
          <w:rFonts w:eastAsia="Arial" w:cs="Arial"/>
          <w:sz w:val="20"/>
          <w:szCs w:val="20"/>
        </w:rPr>
        <w:t>Por ejemplo, documentos oficiales publicados por la Unidad de Planeación Minero Energética (UPME) o, en ausencia de estos, otras fuentes secundarias reconocidas que aseguren la validez técnica, representatividad y coherencia de los factores de emisión con las condiciones del proyecto.</w:t>
      </w:r>
    </w:p>
  </w:footnote>
  <w:footnote w:id="271">
    <w:p w14:paraId="0E223716" w14:textId="23431DEC" w:rsidR="00C034D5" w:rsidRPr="005B697D" w:rsidRDefault="00C034D5" w:rsidP="005B697D">
      <w:pPr>
        <w:pStyle w:val="Textonotapie"/>
        <w:rPr>
          <w:rFonts w:cs="Arial"/>
          <w:szCs w:val="20"/>
        </w:rPr>
      </w:pPr>
      <w:r w:rsidRPr="005B697D">
        <w:rPr>
          <w:rStyle w:val="Refdenotaalpie"/>
          <w:rFonts w:cs="Arial"/>
          <w:sz w:val="20"/>
          <w:szCs w:val="20"/>
        </w:rPr>
        <w:footnoteRef/>
      </w:r>
      <w:r w:rsidRPr="005B697D">
        <w:rPr>
          <w:rFonts w:cs="Arial"/>
          <w:szCs w:val="20"/>
        </w:rPr>
        <w:t xml:space="preserve"> </w:t>
      </w:r>
      <w:r w:rsidR="00491765" w:rsidRPr="005B697D">
        <w:rPr>
          <w:rFonts w:cs="Arial"/>
          <w:szCs w:val="20"/>
        </w:rPr>
        <w:t>E</w:t>
      </w:r>
      <w:r w:rsidRPr="005B697D">
        <w:rPr>
          <w:rFonts w:cs="Arial"/>
          <w:szCs w:val="20"/>
        </w:rPr>
        <w:t xml:space="preserve">misiones que genera el proyecto durante </w:t>
      </w:r>
      <w:r w:rsidR="00DE33BB" w:rsidRPr="005B697D">
        <w:rPr>
          <w:rFonts w:cs="Arial"/>
          <w:szCs w:val="20"/>
        </w:rPr>
        <w:t xml:space="preserve">el </w:t>
      </w:r>
      <w:r w:rsidR="00491765" w:rsidRPr="005B697D">
        <w:rPr>
          <w:rFonts w:cs="Arial"/>
          <w:szCs w:val="20"/>
        </w:rPr>
        <w:t xml:space="preserve">año </w:t>
      </w:r>
      <w:r w:rsidRPr="005B697D">
        <w:rPr>
          <w:rFonts w:cs="Arial"/>
          <w:szCs w:val="20"/>
        </w:rPr>
        <w:t>que mejor representa su comportamiento</w:t>
      </w:r>
      <w:r w:rsidR="00DE33BB" w:rsidRPr="005B697D">
        <w:rPr>
          <w:rFonts w:cs="Arial"/>
          <w:szCs w:val="20"/>
        </w:rPr>
        <w:t xml:space="preserve"> en términos de emisiones de GEI</w:t>
      </w:r>
      <w:r w:rsidRPr="005B697D">
        <w:rPr>
          <w:rFonts w:cs="Arial"/>
          <w:szCs w:val="20"/>
        </w:rPr>
        <w:t>.</w:t>
      </w:r>
    </w:p>
  </w:footnote>
  <w:footnote w:id="272">
    <w:p w14:paraId="6D51E9F5" w14:textId="77777777" w:rsidR="00750796" w:rsidRPr="005B697D" w:rsidRDefault="00750796" w:rsidP="005B697D">
      <w:pPr>
        <w:rPr>
          <w:rFonts w:eastAsia="Arial" w:cs="Arial"/>
          <w:sz w:val="20"/>
          <w:szCs w:val="20"/>
        </w:rPr>
      </w:pPr>
      <w:r w:rsidRPr="005B697D">
        <w:rPr>
          <w:rFonts w:cs="Arial"/>
          <w:sz w:val="20"/>
          <w:szCs w:val="20"/>
          <w:vertAlign w:val="superscript"/>
        </w:rPr>
        <w:footnoteRef/>
      </w:r>
      <w:r w:rsidRPr="005B697D">
        <w:rPr>
          <w:rFonts w:cs="Arial"/>
          <w:sz w:val="20"/>
          <w:szCs w:val="20"/>
          <w:vertAlign w:val="superscript"/>
        </w:rPr>
        <w:t xml:space="preserve"> </w:t>
      </w:r>
      <w:r w:rsidRPr="005B697D">
        <w:rPr>
          <w:rFonts w:eastAsia="Arial" w:cs="Arial"/>
          <w:sz w:val="20"/>
          <w:szCs w:val="20"/>
        </w:rPr>
        <w:t>Esto incluye las emisiones generadas por la combustión de combustibles en vehículos de flota (como automóviles, camionetas, furgonetas, camiones, entre otros), así como las emisiones de fuentes fijas o estacionarias como calderas, hornos y equipos, cambio de uso del suelo y, las emisiones de fuentes fugitivas (aires y refrigerantes, extintores, entre otros) propias o contratadas por el proyecto.</w:t>
      </w:r>
    </w:p>
  </w:footnote>
  <w:footnote w:id="273">
    <w:p w14:paraId="7A894E6B" w14:textId="77777777" w:rsidR="00750796" w:rsidRPr="005B697D" w:rsidRDefault="00750796" w:rsidP="005B697D">
      <w:pPr>
        <w:rPr>
          <w:rFonts w:eastAsia="Arial" w:cs="Arial"/>
          <w:sz w:val="20"/>
          <w:szCs w:val="20"/>
        </w:rPr>
      </w:pPr>
      <w:r w:rsidRPr="005B697D">
        <w:rPr>
          <w:rFonts w:cs="Arial"/>
          <w:sz w:val="20"/>
          <w:szCs w:val="20"/>
          <w:vertAlign w:val="superscript"/>
        </w:rPr>
        <w:footnoteRef/>
      </w:r>
      <w:r w:rsidRPr="005B697D">
        <w:rPr>
          <w:rFonts w:cs="Arial"/>
          <w:sz w:val="20"/>
          <w:szCs w:val="20"/>
        </w:rPr>
        <w:t xml:space="preserve"> </w:t>
      </w:r>
      <w:r w:rsidRPr="005B697D">
        <w:rPr>
          <w:rFonts w:eastAsia="Arial" w:cs="Arial"/>
          <w:sz w:val="20"/>
          <w:szCs w:val="20"/>
        </w:rPr>
        <w:t>Aquellas generadas a lo largo de la cadena de valor del proyecto, abarcando fuentes como la producción y transporte de insumos y materiales necesarios para su ejecución, el consumo de bienes y servicios adquiridos, las actividades realizadas por contratistas y proveedores, el uso de equipos o infraestructuras externas vinculadas al proyecto, el transporte y distribución de bienes relacionados, el tratamiento y disposición de residuos generados, así como cualquier otra fuente de emisión derivada de actividades que, aunque no sean controladas directamente por el proyecto, estén asociadas a su desarrollo y operación.</w:t>
      </w:r>
    </w:p>
  </w:footnote>
  <w:footnote w:id="274">
    <w:p w14:paraId="009246CD" w14:textId="77777777" w:rsidR="00750796" w:rsidRPr="005B697D" w:rsidRDefault="00750796" w:rsidP="005B697D">
      <w:pPr>
        <w:pStyle w:val="Textonotapie"/>
        <w:rPr>
          <w:rFonts w:cs="Arial"/>
          <w:szCs w:val="20"/>
          <w:lang w:val="es-CO"/>
        </w:rPr>
      </w:pPr>
      <w:r w:rsidRPr="005B697D">
        <w:rPr>
          <w:rStyle w:val="Refdenotaalpie"/>
          <w:rFonts w:eastAsiaTheme="majorEastAsia" w:cs="Arial"/>
          <w:sz w:val="20"/>
          <w:szCs w:val="20"/>
          <w:lang w:val="es-CO"/>
        </w:rPr>
        <w:footnoteRef/>
      </w:r>
      <w:r w:rsidRPr="005B697D">
        <w:rPr>
          <w:rFonts w:cs="Arial"/>
          <w:szCs w:val="20"/>
          <w:lang w:val="es-CO"/>
        </w:rPr>
        <w:t xml:space="preserve"> BAU: Business as usual, por sus siglas en inglés. En español se entiende como el escenario convencional.</w:t>
      </w:r>
    </w:p>
  </w:footnote>
  <w:footnote w:id="275">
    <w:p w14:paraId="06B2D78E" w14:textId="77777777" w:rsidR="00750796" w:rsidRPr="005B697D" w:rsidRDefault="00750796" w:rsidP="005B697D">
      <w:pPr>
        <w:rPr>
          <w:rFonts w:eastAsia="Arial" w:cs="Arial"/>
          <w:sz w:val="20"/>
          <w:szCs w:val="20"/>
        </w:rPr>
      </w:pPr>
      <w:r w:rsidRPr="005B697D">
        <w:rPr>
          <w:rFonts w:cs="Arial"/>
          <w:sz w:val="20"/>
          <w:szCs w:val="20"/>
          <w:vertAlign w:val="superscript"/>
        </w:rPr>
        <w:footnoteRef/>
      </w:r>
      <w:r w:rsidRPr="005B697D">
        <w:rPr>
          <w:rFonts w:cs="Arial"/>
          <w:sz w:val="20"/>
          <w:szCs w:val="20"/>
        </w:rPr>
        <w:t xml:space="preserve"> </w:t>
      </w:r>
      <w:r w:rsidRPr="005B697D">
        <w:rPr>
          <w:rFonts w:eastAsia="Arial" w:cs="Arial"/>
          <w:sz w:val="20"/>
          <w:szCs w:val="20"/>
        </w:rPr>
        <w:t>Por ejemplo, documentos oficiales publicados por la Unidad de Planeación Minero Energética (UPME) o, en ausencia de estos, otras fuentes secundarias reconocidas que aseguren la validez técnica, representatividad y coherencia de los factores de emisión con las condiciones del proyecto.</w:t>
      </w:r>
    </w:p>
  </w:footnote>
  <w:footnote w:id="276">
    <w:p w14:paraId="16041517" w14:textId="4DC5B0A6" w:rsidR="00750796" w:rsidRPr="005B697D" w:rsidRDefault="0075079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indicador de cada medida debe formularse teniendo en cuenta los lineamientos establecidos en el numeral </w:t>
      </w:r>
      <w:r w:rsidRPr="005B697D">
        <w:rPr>
          <w:rFonts w:cs="Arial"/>
          <w:spacing w:val="-3"/>
          <w:szCs w:val="20"/>
          <w:lang w:val="es-CO"/>
        </w:rPr>
        <w:fldChar w:fldCharType="begin"/>
      </w:r>
      <w:r w:rsidRPr="005B697D">
        <w:rPr>
          <w:rFonts w:cs="Arial"/>
          <w:spacing w:val="-3"/>
          <w:szCs w:val="20"/>
          <w:lang w:val="es-CO"/>
        </w:rPr>
        <w:instrText xml:space="preserve"> REF _Ref175326838 \r \h </w:instrText>
      </w:r>
      <w:r w:rsidR="00466E26" w:rsidRPr="005B697D">
        <w:rPr>
          <w:rFonts w:cs="Arial"/>
          <w:spacing w:val="-3"/>
          <w:szCs w:val="20"/>
          <w:lang w:val="es-CO"/>
        </w:rPr>
        <w:instrText xml:space="preserve"> \* MERGEFORMAT </w:instrText>
      </w:r>
      <w:r w:rsidRPr="005B697D">
        <w:rPr>
          <w:rFonts w:cs="Arial"/>
          <w:spacing w:val="-3"/>
          <w:szCs w:val="20"/>
          <w:lang w:val="es-CO"/>
        </w:rPr>
      </w:r>
      <w:r w:rsidRPr="005B697D">
        <w:rPr>
          <w:rFonts w:cs="Arial"/>
          <w:spacing w:val="-3"/>
          <w:szCs w:val="20"/>
          <w:lang w:val="es-CO"/>
        </w:rPr>
        <w:fldChar w:fldCharType="separate"/>
      </w:r>
      <w:r w:rsidR="002D73C1" w:rsidRPr="005B697D">
        <w:rPr>
          <w:rFonts w:cs="Arial"/>
          <w:spacing w:val="-3"/>
          <w:szCs w:val="20"/>
          <w:lang w:val="es-CO"/>
        </w:rPr>
        <w:t>10.2</w:t>
      </w:r>
      <w:r w:rsidRPr="005B697D">
        <w:rPr>
          <w:rFonts w:cs="Arial"/>
          <w:spacing w:val="-3"/>
          <w:szCs w:val="20"/>
          <w:lang w:val="es-CO"/>
        </w:rPr>
        <w:fldChar w:fldCharType="end"/>
      </w:r>
      <w:r w:rsidRPr="005B697D">
        <w:rPr>
          <w:rFonts w:cs="Arial"/>
          <w:szCs w:val="20"/>
          <w:lang w:val="es-CO"/>
        </w:rPr>
        <w:t xml:space="preserve"> del presente capítulo.</w:t>
      </w:r>
    </w:p>
  </w:footnote>
  <w:footnote w:id="277">
    <w:p w14:paraId="31BB7F4E" w14:textId="1BD74C4E" w:rsidR="005B05C3" w:rsidRPr="005B697D" w:rsidRDefault="005B05C3" w:rsidP="005B697D">
      <w:pPr>
        <w:pStyle w:val="Textonotapie"/>
        <w:rPr>
          <w:rFonts w:cs="Arial"/>
          <w:szCs w:val="20"/>
          <w:lang w:val="es-CO"/>
        </w:rPr>
      </w:pPr>
      <w:r w:rsidRPr="005B697D">
        <w:rPr>
          <w:rStyle w:val="Refdenotaalpie"/>
          <w:rFonts w:cs="Arial"/>
          <w:sz w:val="20"/>
          <w:szCs w:val="20"/>
        </w:rPr>
        <w:footnoteRef/>
      </w:r>
      <w:r w:rsidRPr="005B697D">
        <w:rPr>
          <w:rFonts w:cs="Arial"/>
          <w:szCs w:val="20"/>
        </w:rPr>
        <w:t xml:space="preserve"> Actualmente, </w:t>
      </w:r>
      <w:r w:rsidR="00B722C4" w:rsidRPr="005B697D">
        <w:rPr>
          <w:rFonts w:cs="Arial"/>
          <w:szCs w:val="20"/>
        </w:rPr>
        <w:t xml:space="preserve">los </w:t>
      </w:r>
      <w:r w:rsidRPr="005B697D">
        <w:rPr>
          <w:rFonts w:cs="Arial"/>
          <w:szCs w:val="20"/>
        </w:rPr>
        <w:t xml:space="preserve">escenarios </w:t>
      </w:r>
      <w:r w:rsidR="00B722C4" w:rsidRPr="005B697D">
        <w:rPr>
          <w:rFonts w:cs="Arial"/>
          <w:szCs w:val="20"/>
        </w:rPr>
        <w:t xml:space="preserve">incorporados </w:t>
      </w:r>
      <w:r w:rsidR="00884F3F" w:rsidRPr="005B697D">
        <w:rPr>
          <w:rFonts w:cs="Arial"/>
          <w:szCs w:val="20"/>
        </w:rPr>
        <w:t xml:space="preserve">al quinto y sexto reporte de evaluación (IPCC AR5) e (IPCC AR6), </w:t>
      </w:r>
      <w:r w:rsidRPr="005B697D">
        <w:rPr>
          <w:rFonts w:cs="Arial"/>
          <w:szCs w:val="20"/>
        </w:rPr>
        <w:t>corresponden a las Trayectorias Socioeconómicas Compartidas (SSP, por su sigla en inglés) de la selección justificada de los diferentes Modelos de Circulación Global (GCM)</w:t>
      </w:r>
      <w:r w:rsidR="00D96B36" w:rsidRPr="005B697D">
        <w:rPr>
          <w:rFonts w:cs="Arial"/>
          <w:szCs w:val="20"/>
        </w:rPr>
        <w:t>.</w:t>
      </w:r>
    </w:p>
  </w:footnote>
  <w:footnote w:id="278">
    <w:p w14:paraId="59069574" w14:textId="77777777" w:rsidR="00750796" w:rsidRPr="005B697D" w:rsidRDefault="0075079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Es importante que para el análisis se prioricen como mínimo los escenarios SSP2-4.5 y SSP3-7.0, los cuales representan un camino intermedio de desarrollo económico y un escenario de altas emisiones y menor mitigación, respectivamente.</w:t>
      </w:r>
    </w:p>
  </w:footnote>
  <w:footnote w:id="279">
    <w:p w14:paraId="6CA07926" w14:textId="77777777" w:rsidR="00750796" w:rsidRPr="005B697D" w:rsidRDefault="0075079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Se deben emplear los informes más recientes del IPCC o bien, la información oficial más actualizada del Ideam.</w:t>
      </w:r>
    </w:p>
  </w:footnote>
  <w:footnote w:id="280">
    <w:p w14:paraId="6354AA3A" w14:textId="77777777" w:rsidR="00750796" w:rsidRPr="005B697D" w:rsidRDefault="0075079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De acuerdo con l</w:t>
      </w:r>
      <w:r w:rsidRPr="005B697D">
        <w:rPr>
          <w:rFonts w:eastAsia="Arial" w:cs="Arial"/>
          <w:color w:val="000000" w:themeColor="text1"/>
          <w:szCs w:val="20"/>
          <w:lang w:val="es-CO"/>
        </w:rPr>
        <w:t xml:space="preserve">os resultados obtenidos en el numeral </w:t>
      </w:r>
      <w:r w:rsidRPr="005B697D">
        <w:rPr>
          <w:rFonts w:eastAsia="Arial" w:cs="Arial"/>
          <w:i/>
          <w:iCs/>
          <w:color w:val="000000" w:themeColor="text1"/>
          <w:szCs w:val="20"/>
          <w:lang w:val="es-CO"/>
        </w:rPr>
        <w:t>Escenarios de variabilidad y cambio climático</w:t>
      </w:r>
      <w:r w:rsidRPr="005B697D">
        <w:rPr>
          <w:rFonts w:eastAsia="Arial" w:cs="Arial"/>
          <w:color w:val="000000" w:themeColor="text1"/>
          <w:szCs w:val="20"/>
          <w:lang w:val="es-CO"/>
        </w:rPr>
        <w:t xml:space="preserve"> del presente plan.</w:t>
      </w:r>
    </w:p>
  </w:footnote>
  <w:footnote w:id="281">
    <w:p w14:paraId="421363FD" w14:textId="77777777" w:rsidR="00750796" w:rsidRPr="005B697D" w:rsidRDefault="0075079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El análisis de resiliencia debe desarrollarse considerando las condiciones ambientales del área de influencia del proyecto (p. ej. ecosistémicas, abióticas, sociales, económicas y culturales).</w:t>
      </w:r>
    </w:p>
  </w:footnote>
  <w:footnote w:id="282">
    <w:p w14:paraId="7CEFB07B" w14:textId="77777777" w:rsidR="00750796" w:rsidRPr="005B697D" w:rsidRDefault="00750796" w:rsidP="005B697D">
      <w:pPr>
        <w:pStyle w:val="Textonotapie"/>
        <w:rPr>
          <w:rFonts w:cs="Arial"/>
          <w:szCs w:val="20"/>
          <w:lang w:val="es-CO"/>
        </w:rPr>
      </w:pPr>
      <w:r w:rsidRPr="005B697D">
        <w:rPr>
          <w:rStyle w:val="Refdenotaalpie"/>
          <w:rFonts w:cs="Arial"/>
          <w:sz w:val="20"/>
          <w:szCs w:val="20"/>
          <w:lang w:val="es-CO"/>
        </w:rPr>
        <w:footnoteRef/>
      </w:r>
      <w:r w:rsidRPr="005B697D">
        <w:rPr>
          <w:rFonts w:cs="Arial"/>
          <w:szCs w:val="20"/>
          <w:lang w:val="es-CO"/>
        </w:rPr>
        <w:t xml:space="preserve"> Hace referencia a las categorías bajo las cuales el Ideam evalúa el riesgo climático y sus variables, por ejemplo, dimensión recurso hídrico, dimensión biodiversidad y dimensión infraestructura.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BA2BF" w14:textId="69B21540" w:rsidR="00D55F13" w:rsidRPr="004E4C01" w:rsidRDefault="00D55F13">
    <w:pPr>
      <w:pStyle w:val="Encabezado"/>
      <w:framePr w:wrap="around" w:vAnchor="text" w:hAnchor="margin" w:xAlign="right" w:y="1"/>
      <w:rPr>
        <w:rStyle w:val="Nmerodepgina"/>
      </w:rPr>
    </w:pPr>
    <w:r w:rsidRPr="004E4C01">
      <w:rPr>
        <w:rStyle w:val="Nmerodepgina"/>
      </w:rPr>
      <w:fldChar w:fldCharType="begin"/>
    </w:r>
    <w:r w:rsidRPr="004E4C01">
      <w:rPr>
        <w:rStyle w:val="Nmerodepgina"/>
      </w:rPr>
      <w:instrText xml:space="preserve">PAGE  </w:instrText>
    </w:r>
    <w:r w:rsidRPr="004E4C01">
      <w:rPr>
        <w:rStyle w:val="Nmerodepgina"/>
      </w:rPr>
      <w:fldChar w:fldCharType="end"/>
    </w:r>
  </w:p>
  <w:p w14:paraId="109F51CE" w14:textId="77777777" w:rsidR="00D55F13" w:rsidRPr="004E4C01" w:rsidRDefault="00D55F13">
    <w:pPr>
      <w:pStyle w:val="Encabezado"/>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5A713" w14:textId="1C42E59C" w:rsidR="00FB6181" w:rsidRPr="004E4C01" w:rsidRDefault="00FB6181">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7C9A9" w14:textId="4D6F41DA" w:rsidR="0049045D" w:rsidRPr="004E4C01" w:rsidRDefault="0049045D">
    <w:pPr>
      <w:pStyle w:val="Encabezado"/>
    </w:pPr>
    <w:r w:rsidRPr="00AA2094">
      <w:rPr>
        <w:noProof/>
      </w:rPr>
      <w:drawing>
        <wp:anchor distT="0" distB="0" distL="114300" distR="114300" simplePos="0" relativeHeight="251658255" behindDoc="1" locked="0" layoutInCell="1" allowOverlap="1" wp14:anchorId="183F88D4" wp14:editId="57386B2D">
          <wp:simplePos x="0" y="0"/>
          <wp:positionH relativeFrom="column">
            <wp:posOffset>1663700</wp:posOffset>
          </wp:positionH>
          <wp:positionV relativeFrom="paragraph">
            <wp:posOffset>-180340</wp:posOffset>
          </wp:positionV>
          <wp:extent cx="2678400" cy="658800"/>
          <wp:effectExtent l="0" t="0" r="0" b="8255"/>
          <wp:wrapNone/>
          <wp:docPr id="1975380372"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6824" name="Imagen 3"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678400" cy="658800"/>
                  </a:xfrm>
                  <a:prstGeom prst="rect">
                    <a:avLst/>
                  </a:prstGeom>
                </pic:spPr>
              </pic:pic>
            </a:graphicData>
          </a:graphic>
          <wp14:sizeRelH relativeFrom="margin">
            <wp14:pctWidth>0</wp14:pctWidth>
          </wp14:sizeRelH>
          <wp14:sizeRelV relativeFrom="margin">
            <wp14:pctHeight>0</wp14:pctHeight>
          </wp14:sizeRelV>
        </wp:anchor>
      </w:drawing>
    </w:r>
  </w:p>
  <w:p w14:paraId="65103049" w14:textId="77777777" w:rsidR="0049045D" w:rsidRPr="004E4C01" w:rsidRDefault="0049045D"/>
  <w:p w14:paraId="39193CD5" w14:textId="77777777" w:rsidR="0049045D" w:rsidRPr="004E4C01" w:rsidRDefault="0049045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595B" w14:textId="7EA1B252" w:rsidR="00FB6181" w:rsidRPr="004E4C01" w:rsidRDefault="00FB6181">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DFF9" w14:textId="297EB286" w:rsidR="00D55F13" w:rsidRPr="004E4C01" w:rsidRDefault="00D55F13">
    <w:pPr>
      <w:pStyle w:val="Encabezado"/>
    </w:pPr>
    <w:r w:rsidRPr="00AA2094">
      <w:rPr>
        <w:noProof/>
        <w:lang w:eastAsia="es-CO"/>
      </w:rPr>
      <mc:AlternateContent>
        <mc:Choice Requires="wps">
          <w:drawing>
            <wp:anchor distT="0" distB="0" distL="114300" distR="114300" simplePos="0" relativeHeight="251658249" behindDoc="1" locked="0" layoutInCell="0" allowOverlap="1" wp14:anchorId="04A8EB38" wp14:editId="2A726560">
              <wp:simplePos x="0" y="0"/>
              <wp:positionH relativeFrom="margin">
                <wp:align>center</wp:align>
              </wp:positionH>
              <wp:positionV relativeFrom="margin">
                <wp:align>center</wp:align>
              </wp:positionV>
              <wp:extent cx="7018020" cy="1403350"/>
              <wp:effectExtent l="0" t="2047875" r="0" b="2006600"/>
              <wp:wrapNone/>
              <wp:docPr id="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18020" cy="1403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1350B1" w14:textId="77777777" w:rsidR="00D55F13" w:rsidRPr="004E4C01" w:rsidRDefault="00D55F13" w:rsidP="005C3F9C">
                          <w:pPr>
                            <w:jc w:val="center"/>
                            <w:rPr>
                              <w:rFonts w:cs="Arial"/>
                              <w:color w:val="C0C0C0"/>
                              <w:sz w:val="2"/>
                              <w:szCs w:val="2"/>
                              <w14:textFill>
                                <w14:solidFill>
                                  <w14:srgbClr w14:val="C0C0C0">
                                    <w14:alpha w14:val="50000"/>
                                  </w14:srgbClr>
                                </w14:solidFill>
                              </w14:textFill>
                            </w:rPr>
                          </w:pPr>
                          <w:r w:rsidRPr="004E4C01">
                            <w:rPr>
                              <w:rFonts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A8EB38" id="_x0000_t202" coordsize="21600,21600" o:spt="202" path="m,l,21600r21600,l21600,xe">
              <v:stroke joinstyle="miter"/>
              <v:path gradientshapeok="t" o:connecttype="rect"/>
            </v:shapetype>
            <v:shape id="WordArt 17" o:spid="_x0000_s1555" type="#_x0000_t202" style="position:absolute;left:0;text-align:left;margin-left:0;margin-top:0;width:552.6pt;height:110.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" o:allowincell="f" filled="f" stroked="f">
              <v:stroke joinstyle="round"/>
              <o:lock v:ext="edit" shapetype="t"/>
              <v:textbox style="mso-fit-shape-to-text:t">
                <w:txbxContent>
                  <w:p w14:paraId="401350B1" w14:textId="77777777" w:rsidR="00D55F13" w:rsidRPr="004E4C01" w:rsidRDefault="00D55F13" w:rsidP="005C3F9C">
                    <w:pPr>
                      <w:jc w:val="center"/>
                      <w:rPr>
                        <w:rFonts w:cs="Arial"/>
                        <w:color w:val="C0C0C0"/>
                        <w:sz w:val="2"/>
                        <w:szCs w:val="2"/>
                        <w14:textFill>
                          <w14:solidFill>
                            <w14:srgbClr w14:val="C0C0C0">
                              <w14:alpha w14:val="50000"/>
                            </w14:srgbClr>
                          </w14:solidFill>
                        </w14:textFill>
                      </w:rPr>
                    </w:pPr>
                    <w:r w:rsidRPr="004E4C01">
                      <w:rPr>
                        <w:rFonts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AB27D" w14:textId="7C937C6B" w:rsidR="00D55F13" w:rsidRPr="004E4C01" w:rsidRDefault="00DA3149" w:rsidP="009D6964">
    <w:pPr>
      <w:pStyle w:val="Encabezado"/>
      <w:tabs>
        <w:tab w:val="clear" w:pos="4252"/>
        <w:tab w:val="clear" w:pos="8504"/>
        <w:tab w:val="left" w:pos="8730"/>
      </w:tabs>
    </w:pPr>
    <w:r w:rsidRPr="00AA2094">
      <w:rPr>
        <w:noProof/>
      </w:rPr>
      <w:drawing>
        <wp:anchor distT="0" distB="0" distL="114300" distR="114300" simplePos="0" relativeHeight="251658256" behindDoc="1" locked="0" layoutInCell="1" allowOverlap="1" wp14:anchorId="6409BD2C" wp14:editId="1309E335">
          <wp:simplePos x="0" y="0"/>
          <wp:positionH relativeFrom="margin">
            <wp:posOffset>3103880</wp:posOffset>
          </wp:positionH>
          <wp:positionV relativeFrom="paragraph">
            <wp:posOffset>-467995</wp:posOffset>
          </wp:positionV>
          <wp:extent cx="2678400" cy="658800"/>
          <wp:effectExtent l="0" t="0" r="0" b="8255"/>
          <wp:wrapNone/>
          <wp:docPr id="1531345785"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6824" name="Imagen 3"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678400" cy="65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F073" w14:textId="403E1A2B" w:rsidR="00D55F13" w:rsidRPr="004E4C01" w:rsidRDefault="00D55F13">
    <w:pPr>
      <w:pStyle w:val="Encabezado"/>
    </w:pPr>
    <w:r w:rsidRPr="00AA2094">
      <w:rPr>
        <w:noProof/>
        <w:lang w:eastAsia="es-CO"/>
      </w:rPr>
      <mc:AlternateContent>
        <mc:Choice Requires="wps">
          <w:drawing>
            <wp:anchor distT="0" distB="0" distL="114300" distR="114300" simplePos="0" relativeHeight="251658248" behindDoc="1" locked="0" layoutInCell="0" allowOverlap="1" wp14:anchorId="47D4D726" wp14:editId="640533EE">
              <wp:simplePos x="0" y="0"/>
              <wp:positionH relativeFrom="margin">
                <wp:align>center</wp:align>
              </wp:positionH>
              <wp:positionV relativeFrom="margin">
                <wp:align>center</wp:align>
              </wp:positionV>
              <wp:extent cx="7018020" cy="1403350"/>
              <wp:effectExtent l="0" t="2047875" r="0" b="2006600"/>
              <wp:wrapNone/>
              <wp:docPr id="2"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18020" cy="1403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6EF9C2" w14:textId="77777777" w:rsidR="00D55F13" w:rsidRPr="004E4C01" w:rsidRDefault="00D55F13" w:rsidP="005C3F9C">
                          <w:pPr>
                            <w:jc w:val="center"/>
                            <w:rPr>
                              <w:rFonts w:cs="Arial"/>
                              <w:color w:val="C0C0C0"/>
                              <w:sz w:val="2"/>
                              <w:szCs w:val="2"/>
                              <w14:textFill>
                                <w14:solidFill>
                                  <w14:srgbClr w14:val="C0C0C0">
                                    <w14:alpha w14:val="50000"/>
                                  </w14:srgbClr>
                                </w14:solidFill>
                              </w14:textFill>
                            </w:rPr>
                          </w:pPr>
                          <w:r w:rsidRPr="004E4C01">
                            <w:rPr>
                              <w:rFonts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D4D726" id="_x0000_t202" coordsize="21600,21600" o:spt="202" path="m,l,21600r21600,l21600,xe">
              <v:stroke joinstyle="miter"/>
              <v:path gradientshapeok="t" o:connecttype="rect"/>
            </v:shapetype>
            <v:shape id="WordArt 16" o:spid="_x0000_s1556" type="#_x0000_t202" style="position:absolute;left:0;text-align:left;margin-left:0;margin-top:0;width:552.6pt;height:110.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" o:allowincell="f" filled="f" stroked="f">
              <v:stroke joinstyle="round"/>
              <o:lock v:ext="edit" shapetype="t"/>
              <v:textbox style="mso-fit-shape-to-text:t">
                <w:txbxContent>
                  <w:p w14:paraId="3F6EF9C2" w14:textId="77777777" w:rsidR="00D55F13" w:rsidRPr="004E4C01" w:rsidRDefault="00D55F13" w:rsidP="005C3F9C">
                    <w:pPr>
                      <w:jc w:val="center"/>
                      <w:rPr>
                        <w:rFonts w:cs="Arial"/>
                        <w:color w:val="C0C0C0"/>
                        <w:sz w:val="2"/>
                        <w:szCs w:val="2"/>
                        <w14:textFill>
                          <w14:solidFill>
                            <w14:srgbClr w14:val="C0C0C0">
                              <w14:alpha w14:val="50000"/>
                            </w14:srgbClr>
                          </w14:solidFill>
                        </w14:textFill>
                      </w:rPr>
                    </w:pPr>
                    <w:r w:rsidRPr="004E4C01">
                      <w:rPr>
                        <w:rFonts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r w:rsidRPr="00AA2094">
      <w:rPr>
        <w:noProof/>
        <w:lang w:eastAsia="es-CO"/>
      </w:rPr>
      <mc:AlternateContent>
        <mc:Choice Requires="wpg">
          <w:drawing>
            <wp:anchor distT="0" distB="0" distL="114300" distR="114300" simplePos="0" relativeHeight="251658241" behindDoc="0" locked="0" layoutInCell="1" allowOverlap="1" wp14:anchorId="5E4C0417" wp14:editId="2545C4FE">
              <wp:simplePos x="0" y="0"/>
              <wp:positionH relativeFrom="column">
                <wp:posOffset>-3810</wp:posOffset>
              </wp:positionH>
              <wp:positionV relativeFrom="paragraph">
                <wp:posOffset>-567690</wp:posOffset>
              </wp:positionV>
              <wp:extent cx="1914525" cy="1381125"/>
              <wp:effectExtent l="0" t="0" r="9525" b="9525"/>
              <wp:wrapNone/>
              <wp:docPr id="18" name="Grupo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4525" cy="1381125"/>
                        <a:chOff x="0" y="0"/>
                        <a:chExt cx="2162175" cy="1656715"/>
                      </a:xfrm>
                    </wpg:grpSpPr>
                    <pic:pic xmlns:pic="http://schemas.openxmlformats.org/drawingml/2006/picture">
                      <pic:nvPicPr>
                        <pic:cNvPr id="22" name="0 Imagen"/>
                        <pic:cNvPicPr>
                          <a:picLocks noChangeAspect="1"/>
                        </pic:cNvPicPr>
                      </pic:nvPicPr>
                      <pic:blipFill rotWithShape="1">
                        <a:blip r:embed="rId1">
                          <a:extLst>
                            <a:ext uri="{28A0092B-C50C-407E-A947-70E740481C1C}">
                              <a14:useLocalDpi xmlns:a14="http://schemas.microsoft.com/office/drawing/2010/main" val="0"/>
                            </a:ext>
                          </a:extLst>
                        </a:blip>
                        <a:srcRect r="48100"/>
                        <a:stretch/>
                      </pic:blipFill>
                      <pic:spPr bwMode="auto">
                        <a:xfrm>
                          <a:off x="0" y="640080"/>
                          <a:ext cx="2162175" cy="1016635"/>
                        </a:xfrm>
                        <a:prstGeom prst="rect">
                          <a:avLst/>
                        </a:prstGeom>
                        <a:ln>
                          <a:noFill/>
                        </a:ln>
                      </pic:spPr>
                    </pic:pic>
                    <pic:pic xmlns:pic="http://schemas.openxmlformats.org/drawingml/2006/picture">
                      <pic:nvPicPr>
                        <pic:cNvPr id="776357504" name="0 Imagen"/>
                        <pic:cNvPicPr/>
                      </pic:nvPicPr>
                      <pic:blipFill rotWithShape="1">
                        <a:blip r:embed="rId2">
                          <a:extLst>
                            <a:ext uri="{28A0092B-C50C-407E-A947-70E740481C1C}">
                              <a14:useLocalDpi xmlns:a14="http://schemas.microsoft.com/office/drawing/2010/main" val="0"/>
                            </a:ext>
                          </a:extLst>
                        </a:blip>
                        <a:srcRect l="47317"/>
                        <a:stretch/>
                      </pic:blipFill>
                      <pic:spPr bwMode="auto">
                        <a:xfrm>
                          <a:off x="198120" y="0"/>
                          <a:ext cx="1740535" cy="88836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1B6A913D" id="Grupo 2512" o:spid="_x0000_s1026" style="position:absolute;margin-left:-.3pt;margin-top:-44.7pt;width:150.75pt;height:108.75pt;z-index:251658241;mso-width-relative:margin;mso-height-relative:margin" coordsize="21621,1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top:6400;width:21621;height:1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">
                <v:imagedata r:id="rId3" o:title="" cropright="31523f"/>
              </v:shape>
              <v:shape id="0 Imagen" o:spid="_x0000_s1028" type="#_x0000_t75" style="position:absolute;left:1981;width:17405;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">
                <v:imagedata r:id="rId4" o:title="" cropleft="31010f"/>
              </v:shape>
            </v:group>
          </w:pict>
        </mc:Fallback>
      </mc:AlternateContent>
    </w:r>
    <w:r w:rsidRPr="00AA2094">
      <w:rPr>
        <w:noProof/>
        <w:lang w:eastAsia="es-CO"/>
      </w:rPr>
      <w:drawing>
        <wp:anchor distT="0" distB="0" distL="114300" distR="114300" simplePos="0" relativeHeight="251658240" behindDoc="1" locked="0" layoutInCell="1" allowOverlap="1" wp14:anchorId="00A30790" wp14:editId="0965D723">
          <wp:simplePos x="0" y="0"/>
          <wp:positionH relativeFrom="column">
            <wp:posOffset>4384675</wp:posOffset>
          </wp:positionH>
          <wp:positionV relativeFrom="paragraph">
            <wp:posOffset>-388620</wp:posOffset>
          </wp:positionV>
          <wp:extent cx="2209800" cy="942975"/>
          <wp:effectExtent l="0" t="0" r="0" b="9525"/>
          <wp:wrapNone/>
          <wp:docPr id="2091786786" name="Imagen 209178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9800" cy="942975"/>
                  </a:xfrm>
                  <a:prstGeom prst="rect">
                    <a:avLst/>
                  </a:prstGeom>
                  <a:noFill/>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F4996" w14:textId="7867615F" w:rsidR="00D55F13" w:rsidRPr="004E4C01" w:rsidRDefault="00D55F13">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9C74" w14:textId="310F8208" w:rsidR="00D55F13" w:rsidRPr="004E4C01" w:rsidRDefault="00C841ED">
    <w:pPr>
      <w:pStyle w:val="Encabezado"/>
    </w:pPr>
    <w:r w:rsidRPr="00AA2094">
      <w:rPr>
        <w:noProof/>
      </w:rPr>
      <w:drawing>
        <wp:anchor distT="0" distB="0" distL="114300" distR="114300" simplePos="0" relativeHeight="251658257" behindDoc="1" locked="0" layoutInCell="1" allowOverlap="1" wp14:anchorId="0AAE5497" wp14:editId="18E9B420">
          <wp:simplePos x="0" y="0"/>
          <wp:positionH relativeFrom="column">
            <wp:posOffset>1663700</wp:posOffset>
          </wp:positionH>
          <wp:positionV relativeFrom="paragraph">
            <wp:posOffset>-180340</wp:posOffset>
          </wp:positionV>
          <wp:extent cx="2678400" cy="658800"/>
          <wp:effectExtent l="0" t="0" r="0" b="8255"/>
          <wp:wrapNone/>
          <wp:docPr id="1298223778"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6824" name="Imagen 3"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678400" cy="65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CEABB" w14:textId="4119087C" w:rsidR="00D55F13" w:rsidRPr="004E4C01" w:rsidRDefault="00D55F13">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6EA8" w14:textId="77777777" w:rsidR="00C87748" w:rsidRDefault="00C8774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ADB7E" w14:textId="6FE63886" w:rsidR="00D55F13" w:rsidRPr="004E4C01" w:rsidRDefault="00D55F13" w:rsidP="00F81F10">
    <w:pPr>
      <w:pStyle w:val="Encabezado"/>
    </w:pPr>
    <w:r w:rsidRPr="00AA2094">
      <w:rPr>
        <w:noProof/>
        <w:lang w:eastAsia="es-CO"/>
      </w:rPr>
      <w:drawing>
        <wp:anchor distT="0" distB="0" distL="114300" distR="114300" simplePos="0" relativeHeight="251658245" behindDoc="0" locked="0" layoutInCell="1" allowOverlap="1" wp14:anchorId="47D6B660" wp14:editId="131F50E7">
          <wp:simplePos x="0" y="0"/>
          <wp:positionH relativeFrom="column">
            <wp:posOffset>-352425</wp:posOffset>
          </wp:positionH>
          <wp:positionV relativeFrom="page">
            <wp:posOffset>337820</wp:posOffset>
          </wp:positionV>
          <wp:extent cx="3610800" cy="705600"/>
          <wp:effectExtent l="0" t="0" r="8890" b="0"/>
          <wp:wrapNone/>
          <wp:docPr id="919298549" name="Imagen 919298549" descr="img08 img01 img02 img03 img05 img06 img07 img04 img09 img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8 img01 img02 img03 img05 img06 img07 img04 img09 img10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08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094">
      <w:rPr>
        <w:noProof/>
        <w:lang w:eastAsia="es-CO"/>
      </w:rPr>
      <w:drawing>
        <wp:anchor distT="0" distB="0" distL="114300" distR="114300" simplePos="0" relativeHeight="251658244" behindDoc="1" locked="0" layoutInCell="1" allowOverlap="1" wp14:anchorId="336F6118" wp14:editId="52ECB1E1">
          <wp:simplePos x="0" y="0"/>
          <wp:positionH relativeFrom="column">
            <wp:posOffset>3766820</wp:posOffset>
          </wp:positionH>
          <wp:positionV relativeFrom="paragraph">
            <wp:posOffset>-524510</wp:posOffset>
          </wp:positionV>
          <wp:extent cx="2209800" cy="942975"/>
          <wp:effectExtent l="0" t="0" r="0" b="9525"/>
          <wp:wrapNone/>
          <wp:docPr id="1352466744" name="Imagen 135246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9800" cy="942975"/>
                  </a:xfrm>
                  <a:prstGeom prst="rect">
                    <a:avLst/>
                  </a:prstGeom>
                  <a:noFill/>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2063" w14:textId="14E42747" w:rsidR="00952E2C" w:rsidRPr="004E4C01" w:rsidRDefault="00952E2C">
    <w:pPr>
      <w:pStyle w:val="Encabezado"/>
    </w:pPr>
    <w:r w:rsidRPr="00AA2094">
      <w:rPr>
        <w:noProof/>
      </w:rPr>
      <w:drawing>
        <wp:anchor distT="0" distB="0" distL="114300" distR="114300" simplePos="0" relativeHeight="251658258" behindDoc="1" locked="0" layoutInCell="1" allowOverlap="1" wp14:anchorId="60CE3521" wp14:editId="3A9DD124">
          <wp:simplePos x="0" y="0"/>
          <wp:positionH relativeFrom="margin">
            <wp:posOffset>3103880</wp:posOffset>
          </wp:positionH>
          <wp:positionV relativeFrom="paragraph">
            <wp:posOffset>-467995</wp:posOffset>
          </wp:positionV>
          <wp:extent cx="2678400" cy="658800"/>
          <wp:effectExtent l="0" t="0" r="0" b="8255"/>
          <wp:wrapNone/>
          <wp:docPr id="2106451251"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6824" name="Imagen 3"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678400" cy="65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D38C" w14:textId="77777777" w:rsidR="00C87748" w:rsidRDefault="00C87748">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1F13" w14:textId="77777777" w:rsidR="00C87748" w:rsidRDefault="00C87748">
    <w:pPr>
      <w:pStyle w:val="Encabezad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1BDB" w14:textId="2EE3D9C4" w:rsidR="00C82A00" w:rsidRPr="004E4C01" w:rsidRDefault="00C82A00">
    <w:pPr>
      <w:pStyle w:val="Encabezado"/>
    </w:pPr>
    <w:r w:rsidRPr="00AA2094">
      <w:rPr>
        <w:noProof/>
      </w:rPr>
      <w:drawing>
        <wp:anchor distT="0" distB="0" distL="114300" distR="114300" simplePos="0" relativeHeight="251658259" behindDoc="1" locked="0" layoutInCell="1" allowOverlap="1" wp14:anchorId="0A5A4B45" wp14:editId="42001AE0">
          <wp:simplePos x="0" y="0"/>
          <wp:positionH relativeFrom="column">
            <wp:posOffset>1663700</wp:posOffset>
          </wp:positionH>
          <wp:positionV relativeFrom="paragraph">
            <wp:posOffset>-180340</wp:posOffset>
          </wp:positionV>
          <wp:extent cx="2678400" cy="658800"/>
          <wp:effectExtent l="0" t="0" r="0" b="8255"/>
          <wp:wrapNone/>
          <wp:docPr id="880749184"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6824" name="Imagen 3"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678400" cy="65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7B601" w14:textId="77777777" w:rsidR="00C87748" w:rsidRDefault="00C8774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E095" w14:textId="1A9BE522" w:rsidR="00D55F13" w:rsidRPr="004E4C01" w:rsidRDefault="006F2DE1" w:rsidP="00F86F8C">
    <w:pPr>
      <w:pStyle w:val="Encabezado"/>
      <w:tabs>
        <w:tab w:val="clear" w:pos="4252"/>
        <w:tab w:val="clear" w:pos="8504"/>
        <w:tab w:val="left" w:pos="6495"/>
      </w:tabs>
    </w:pPr>
    <w:r w:rsidRPr="00AA2094">
      <w:rPr>
        <w:noProof/>
      </w:rPr>
      <w:drawing>
        <wp:anchor distT="0" distB="0" distL="114300" distR="114300" simplePos="0" relativeHeight="251658252" behindDoc="1" locked="0" layoutInCell="1" allowOverlap="1" wp14:anchorId="13485945" wp14:editId="19C44353">
          <wp:simplePos x="0" y="0"/>
          <wp:positionH relativeFrom="column">
            <wp:posOffset>1663700</wp:posOffset>
          </wp:positionH>
          <wp:positionV relativeFrom="paragraph">
            <wp:posOffset>-248285</wp:posOffset>
          </wp:positionV>
          <wp:extent cx="2678400" cy="658800"/>
          <wp:effectExtent l="0" t="0" r="0" b="8255"/>
          <wp:wrapNone/>
          <wp:docPr id="728459999"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59999" name="Imagen 3"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678400" cy="65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EA78B" w14:textId="7A16EDEA" w:rsidR="00D55F13" w:rsidRPr="004E4C01" w:rsidRDefault="00D55F13">
    <w:pPr>
      <w:pStyle w:val="Encabezado"/>
    </w:pPr>
    <w:r w:rsidRPr="00AA2094">
      <w:rPr>
        <w:noProof/>
        <w:lang w:eastAsia="es-CO"/>
      </w:rPr>
      <mc:AlternateContent>
        <mc:Choice Requires="wps">
          <w:drawing>
            <wp:anchor distT="0" distB="0" distL="114300" distR="114300" simplePos="0" relativeHeight="251658247" behindDoc="1" locked="0" layoutInCell="0" allowOverlap="1" wp14:anchorId="5C29ADF4" wp14:editId="73397990">
              <wp:simplePos x="0" y="0"/>
              <wp:positionH relativeFrom="margin">
                <wp:align>center</wp:align>
              </wp:positionH>
              <wp:positionV relativeFrom="margin">
                <wp:align>center</wp:align>
              </wp:positionV>
              <wp:extent cx="7018020" cy="1403350"/>
              <wp:effectExtent l="0" t="2047875" r="0" b="2006600"/>
              <wp:wrapNone/>
              <wp:docPr id="2784"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18020" cy="1403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BA9A03" w14:textId="77777777" w:rsidR="00D55F13" w:rsidRPr="004E4C01" w:rsidRDefault="00D55F13" w:rsidP="005C3F9C">
                          <w:pPr>
                            <w:jc w:val="center"/>
                            <w:rPr>
                              <w:rFonts w:cs="Arial"/>
                              <w:color w:val="C0C0C0"/>
                              <w:sz w:val="2"/>
                              <w:szCs w:val="2"/>
                              <w14:textFill>
                                <w14:solidFill>
                                  <w14:srgbClr w14:val="C0C0C0">
                                    <w14:alpha w14:val="50000"/>
                                  </w14:srgbClr>
                                </w14:solidFill>
                              </w14:textFill>
                            </w:rPr>
                          </w:pPr>
                          <w:r w:rsidRPr="004E4C01">
                            <w:rPr>
                              <w:rFonts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29ADF4" id="_x0000_t202" coordsize="21600,21600" o:spt="202" path="m,l,21600r21600,l21600,xe">
              <v:stroke joinstyle="miter"/>
              <v:path gradientshapeok="t" o:connecttype="rect"/>
            </v:shapetype>
            <v:shape id="WordArt 14" o:spid="_x0000_s1553" type="#_x0000_t202" style="position:absolute;left:0;text-align:left;margin-left:0;margin-top:0;width:552.6pt;height:110.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" o:allowincell="f" filled="f" stroked="f">
              <v:stroke joinstyle="round"/>
              <o:lock v:ext="edit" shapetype="t"/>
              <v:textbox style="mso-fit-shape-to-text:t">
                <w:txbxContent>
                  <w:p w14:paraId="0DBA9A03" w14:textId="77777777" w:rsidR="00D55F13" w:rsidRPr="004E4C01" w:rsidRDefault="00D55F13" w:rsidP="005C3F9C">
                    <w:pPr>
                      <w:jc w:val="center"/>
                      <w:rPr>
                        <w:rFonts w:cs="Arial"/>
                        <w:color w:val="C0C0C0"/>
                        <w:sz w:val="2"/>
                        <w:szCs w:val="2"/>
                        <w14:textFill>
                          <w14:solidFill>
                            <w14:srgbClr w14:val="C0C0C0">
                              <w14:alpha w14:val="50000"/>
                            </w14:srgbClr>
                          </w14:solidFill>
                        </w14:textFill>
                      </w:rPr>
                    </w:pPr>
                    <w:r w:rsidRPr="004E4C01">
                      <w:rPr>
                        <w:rFonts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p>
  <w:p w14:paraId="12D10D37" w14:textId="77777777" w:rsidR="00DF60B5" w:rsidRPr="004E4C01" w:rsidRDefault="00DF60B5"/>
  <w:p w14:paraId="374EA8A2" w14:textId="77777777" w:rsidR="00DF60B5" w:rsidRPr="004E4C01" w:rsidRDefault="00DF60B5"/>
  <w:p w14:paraId="757911A7" w14:textId="77777777" w:rsidR="00DF60B5" w:rsidRPr="004E4C01" w:rsidRDefault="00DF60B5"/>
  <w:p w14:paraId="18E847D7" w14:textId="77777777" w:rsidR="00DF60B5" w:rsidRPr="004E4C01" w:rsidRDefault="00DF60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2C1D" w14:textId="5CB22603" w:rsidR="00D55F13" w:rsidRPr="004E4C01" w:rsidRDefault="006F2DE1">
    <w:pPr>
      <w:pStyle w:val="Encabezado"/>
    </w:pPr>
    <w:r w:rsidRPr="00AA2094">
      <w:rPr>
        <w:noProof/>
      </w:rPr>
      <w:drawing>
        <wp:anchor distT="0" distB="0" distL="114300" distR="114300" simplePos="0" relativeHeight="251658253" behindDoc="1" locked="0" layoutInCell="1" allowOverlap="1" wp14:anchorId="38B451CC" wp14:editId="4DD23E05">
          <wp:simplePos x="0" y="0"/>
          <wp:positionH relativeFrom="column">
            <wp:posOffset>1663700</wp:posOffset>
          </wp:positionH>
          <wp:positionV relativeFrom="paragraph">
            <wp:posOffset>-180340</wp:posOffset>
          </wp:positionV>
          <wp:extent cx="2678400" cy="658800"/>
          <wp:effectExtent l="0" t="0" r="0" b="8255"/>
          <wp:wrapNone/>
          <wp:docPr id="1334812280"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18599" name="Imagen 3"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678400" cy="658800"/>
                  </a:xfrm>
                  <a:prstGeom prst="rect">
                    <a:avLst/>
                  </a:prstGeom>
                </pic:spPr>
              </pic:pic>
            </a:graphicData>
          </a:graphic>
          <wp14:sizeRelH relativeFrom="margin">
            <wp14:pctWidth>0</wp14:pctWidth>
          </wp14:sizeRelH>
          <wp14:sizeRelV relativeFrom="margin">
            <wp14:pctHeight>0</wp14:pctHeight>
          </wp14:sizeRelV>
        </wp:anchor>
      </w:drawing>
    </w:r>
  </w:p>
  <w:p w14:paraId="50650C32" w14:textId="77777777" w:rsidR="00DF60B5" w:rsidRPr="004E4C01" w:rsidRDefault="00DF60B5"/>
  <w:p w14:paraId="4A42D94B" w14:textId="77777777" w:rsidR="00DF60B5" w:rsidRPr="004E4C01" w:rsidRDefault="00DF60B5"/>
  <w:p w14:paraId="57CF4734" w14:textId="77777777" w:rsidR="00DF60B5" w:rsidRPr="004E4C01" w:rsidRDefault="00DF60B5"/>
  <w:p w14:paraId="77F24ED9" w14:textId="77777777" w:rsidR="00DF60B5" w:rsidRPr="004E4C01" w:rsidRDefault="00DF60B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D6D6" w14:textId="6E136BAE" w:rsidR="00D55F13" w:rsidRPr="004E4C01" w:rsidRDefault="00D55F13">
    <w:pPr>
      <w:pStyle w:val="Encabezado"/>
    </w:pPr>
    <w:r w:rsidRPr="00AA2094">
      <w:rPr>
        <w:noProof/>
        <w:lang w:eastAsia="es-CO"/>
      </w:rPr>
      <mc:AlternateContent>
        <mc:Choice Requires="wps">
          <w:drawing>
            <wp:anchor distT="0" distB="0" distL="114300" distR="114300" simplePos="0" relativeHeight="251658246" behindDoc="1" locked="0" layoutInCell="0" allowOverlap="1" wp14:anchorId="06E46FFD" wp14:editId="213AADB0">
              <wp:simplePos x="0" y="0"/>
              <wp:positionH relativeFrom="margin">
                <wp:align>center</wp:align>
              </wp:positionH>
              <wp:positionV relativeFrom="margin">
                <wp:align>center</wp:align>
              </wp:positionV>
              <wp:extent cx="7018020" cy="1403350"/>
              <wp:effectExtent l="0" t="2047875" r="0" b="2006600"/>
              <wp:wrapNone/>
              <wp:docPr id="8"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18020" cy="1403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6B8DFD" w14:textId="77777777" w:rsidR="00D55F13" w:rsidRPr="004E4C01" w:rsidRDefault="00D55F13" w:rsidP="005C3F9C">
                          <w:pPr>
                            <w:jc w:val="center"/>
                            <w:rPr>
                              <w:rFonts w:cs="Arial"/>
                              <w:color w:val="C0C0C0"/>
                              <w:sz w:val="2"/>
                              <w:szCs w:val="2"/>
                              <w14:textFill>
                                <w14:solidFill>
                                  <w14:srgbClr w14:val="C0C0C0">
                                    <w14:alpha w14:val="50000"/>
                                  </w14:srgbClr>
                                </w14:solidFill>
                              </w14:textFill>
                            </w:rPr>
                          </w:pPr>
                          <w:r w:rsidRPr="004E4C01">
                            <w:rPr>
                              <w:rFonts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E46FFD" id="_x0000_t202" coordsize="21600,21600" o:spt="202" path="m,l,21600r21600,l21600,xe">
              <v:stroke joinstyle="miter"/>
              <v:path gradientshapeok="t" o:connecttype="rect"/>
            </v:shapetype>
            <v:shape id="WordArt 13" o:spid="_x0000_s1554" type="#_x0000_t202" style="position:absolute;left:0;text-align:left;margin-left:0;margin-top:0;width:552.6pt;height:110.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" o:allowincell="f" filled="f" stroked="f">
              <v:stroke joinstyle="round"/>
              <o:lock v:ext="edit" shapetype="t"/>
              <v:textbox style="mso-fit-shape-to-text:t">
                <w:txbxContent>
                  <w:p w14:paraId="706B8DFD" w14:textId="77777777" w:rsidR="00D55F13" w:rsidRPr="004E4C01" w:rsidRDefault="00D55F13" w:rsidP="005C3F9C">
                    <w:pPr>
                      <w:jc w:val="center"/>
                      <w:rPr>
                        <w:rFonts w:cs="Arial"/>
                        <w:color w:val="C0C0C0"/>
                        <w:sz w:val="2"/>
                        <w:szCs w:val="2"/>
                        <w14:textFill>
                          <w14:solidFill>
                            <w14:srgbClr w14:val="C0C0C0">
                              <w14:alpha w14:val="50000"/>
                            </w14:srgbClr>
                          </w14:solidFill>
                        </w14:textFill>
                      </w:rPr>
                    </w:pPr>
                    <w:r w:rsidRPr="004E4C01">
                      <w:rPr>
                        <w:rFonts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r w:rsidRPr="00AA2094">
      <w:rPr>
        <w:noProof/>
        <w:lang w:eastAsia="es-CO"/>
      </w:rPr>
      <mc:AlternateContent>
        <mc:Choice Requires="wpg">
          <w:drawing>
            <wp:anchor distT="0" distB="0" distL="114300" distR="114300" simplePos="0" relativeHeight="251658243" behindDoc="0" locked="0" layoutInCell="1" allowOverlap="1" wp14:anchorId="718E33D1" wp14:editId="7766C6B1">
              <wp:simplePos x="0" y="0"/>
              <wp:positionH relativeFrom="column">
                <wp:posOffset>-3810</wp:posOffset>
              </wp:positionH>
              <wp:positionV relativeFrom="paragraph">
                <wp:posOffset>-567690</wp:posOffset>
              </wp:positionV>
              <wp:extent cx="1914525" cy="1381125"/>
              <wp:effectExtent l="0" t="0" r="9525" b="9525"/>
              <wp:wrapNone/>
              <wp:docPr id="9"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4525" cy="1381125"/>
                        <a:chOff x="0" y="0"/>
                        <a:chExt cx="2162175" cy="1656715"/>
                      </a:xfrm>
                    </wpg:grpSpPr>
                    <pic:pic xmlns:pic="http://schemas.openxmlformats.org/drawingml/2006/picture">
                      <pic:nvPicPr>
                        <pic:cNvPr id="12" name="0 Imagen"/>
                        <pic:cNvPicPr>
                          <a:picLocks noChangeAspect="1"/>
                        </pic:cNvPicPr>
                      </pic:nvPicPr>
                      <pic:blipFill rotWithShape="1">
                        <a:blip r:embed="rId1">
                          <a:extLst>
                            <a:ext uri="{28A0092B-C50C-407E-A947-70E740481C1C}">
                              <a14:useLocalDpi xmlns:a14="http://schemas.microsoft.com/office/drawing/2010/main" val="0"/>
                            </a:ext>
                          </a:extLst>
                        </a:blip>
                        <a:srcRect r="48100"/>
                        <a:stretch/>
                      </pic:blipFill>
                      <pic:spPr bwMode="auto">
                        <a:xfrm>
                          <a:off x="0" y="640080"/>
                          <a:ext cx="2162175" cy="1016635"/>
                        </a:xfrm>
                        <a:prstGeom prst="rect">
                          <a:avLst/>
                        </a:prstGeom>
                        <a:ln>
                          <a:noFill/>
                        </a:ln>
                      </pic:spPr>
                    </pic:pic>
                    <pic:pic xmlns:pic="http://schemas.openxmlformats.org/drawingml/2006/picture">
                      <pic:nvPicPr>
                        <pic:cNvPr id="15" name="0 Imagen"/>
                        <pic:cNvPicPr/>
                      </pic:nvPicPr>
                      <pic:blipFill rotWithShape="1">
                        <a:blip r:embed="rId2">
                          <a:extLst>
                            <a:ext uri="{28A0092B-C50C-407E-A947-70E740481C1C}">
                              <a14:useLocalDpi xmlns:a14="http://schemas.microsoft.com/office/drawing/2010/main" val="0"/>
                            </a:ext>
                          </a:extLst>
                        </a:blip>
                        <a:srcRect l="47317"/>
                        <a:stretch/>
                      </pic:blipFill>
                      <pic:spPr bwMode="auto">
                        <a:xfrm>
                          <a:off x="198120" y="0"/>
                          <a:ext cx="1740535" cy="88836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76A1F337" id="Grupo 32" o:spid="_x0000_s1026" style="position:absolute;margin-left:-.3pt;margin-top:-44.7pt;width:150.75pt;height:108.75pt;z-index:251658243;mso-width-relative:margin;mso-height-relative:margin" coordsize="21621,1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top:6400;width:21621;height:1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">
                <v:imagedata r:id="rId3" o:title="" cropright="31523f"/>
              </v:shape>
              <v:shape id="0 Imagen" o:spid="_x0000_s1028" type="#_x0000_t75" style="position:absolute;left:1981;width:17405;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">
                <v:imagedata r:id="rId4" o:title="" cropleft="31010f"/>
              </v:shape>
            </v:group>
          </w:pict>
        </mc:Fallback>
      </mc:AlternateContent>
    </w:r>
    <w:r w:rsidRPr="00AA2094">
      <w:rPr>
        <w:noProof/>
        <w:lang w:eastAsia="es-CO"/>
      </w:rPr>
      <w:drawing>
        <wp:anchor distT="0" distB="0" distL="114300" distR="114300" simplePos="0" relativeHeight="251658242" behindDoc="1" locked="0" layoutInCell="1" allowOverlap="1" wp14:anchorId="3CE1788D" wp14:editId="30DA83A1">
          <wp:simplePos x="0" y="0"/>
          <wp:positionH relativeFrom="column">
            <wp:posOffset>4384675</wp:posOffset>
          </wp:positionH>
          <wp:positionV relativeFrom="paragraph">
            <wp:posOffset>-388620</wp:posOffset>
          </wp:positionV>
          <wp:extent cx="2209800" cy="942975"/>
          <wp:effectExtent l="0" t="0" r="0" b="9525"/>
          <wp:wrapNone/>
          <wp:docPr id="914923636" name="Imagen 91492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9800" cy="942975"/>
                  </a:xfrm>
                  <a:prstGeom prst="rect">
                    <a:avLst/>
                  </a:prstGeom>
                  <a:noFill/>
                </pic:spPr>
              </pic:pic>
            </a:graphicData>
          </a:graphic>
        </wp:anchor>
      </w:drawing>
    </w:r>
  </w:p>
  <w:p w14:paraId="16BD01FB" w14:textId="77777777" w:rsidR="00DF60B5" w:rsidRPr="004E4C01" w:rsidRDefault="00DF60B5"/>
  <w:p w14:paraId="39A04DE3" w14:textId="77777777" w:rsidR="00DF60B5" w:rsidRPr="004E4C01" w:rsidRDefault="00DF60B5"/>
  <w:p w14:paraId="31AFFC1F" w14:textId="77777777" w:rsidR="00DF60B5" w:rsidRPr="004E4C01" w:rsidRDefault="00DF60B5"/>
  <w:p w14:paraId="4440CE8E" w14:textId="77777777" w:rsidR="00DF60B5" w:rsidRPr="004E4C01" w:rsidRDefault="00DF60B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A027" w14:textId="13C74545" w:rsidR="00FB6181" w:rsidRPr="004E4C01" w:rsidRDefault="00FB6181">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976D9" w14:textId="5EB91D30" w:rsidR="0005570C" w:rsidRPr="004E4C01" w:rsidRDefault="00CD7A4F">
    <w:pPr>
      <w:pStyle w:val="Encabezado"/>
    </w:pPr>
    <w:r w:rsidRPr="00AA2094">
      <w:rPr>
        <w:noProof/>
      </w:rPr>
      <w:drawing>
        <wp:anchor distT="0" distB="0" distL="114300" distR="114300" simplePos="0" relativeHeight="251658254" behindDoc="1" locked="0" layoutInCell="1" allowOverlap="1" wp14:anchorId="323F64B7" wp14:editId="0E8E2700">
          <wp:simplePos x="0" y="0"/>
          <wp:positionH relativeFrom="margin">
            <wp:posOffset>3103245</wp:posOffset>
          </wp:positionH>
          <wp:positionV relativeFrom="paragraph">
            <wp:posOffset>-467360</wp:posOffset>
          </wp:positionV>
          <wp:extent cx="2679700" cy="659197"/>
          <wp:effectExtent l="0" t="0" r="0" b="7620"/>
          <wp:wrapNone/>
          <wp:docPr id="1895716824"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6824" name="Imagen 3"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679700" cy="659197"/>
                  </a:xfrm>
                  <a:prstGeom prst="rect">
                    <a:avLst/>
                  </a:prstGeom>
                </pic:spPr>
              </pic:pic>
            </a:graphicData>
          </a:graphic>
          <wp14:sizeRelH relativeFrom="margin">
            <wp14:pctWidth>0</wp14:pctWidth>
          </wp14:sizeRelH>
          <wp14:sizeRelV relativeFrom="margin">
            <wp14:pctHeight>0</wp14:pctHeight>
          </wp14:sizeRelV>
        </wp:anchor>
      </w:drawing>
    </w:r>
  </w:p>
  <w:p w14:paraId="40BB9FA5" w14:textId="77777777" w:rsidR="0005570C" w:rsidRPr="004E4C01" w:rsidRDefault="0005570C"/>
  <w:p w14:paraId="740A62B5" w14:textId="77777777" w:rsidR="0005570C" w:rsidRPr="004E4C01" w:rsidRDefault="0005570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C5F2A" w14:textId="3969329B" w:rsidR="00FB6181" w:rsidRPr="004E4C01" w:rsidRDefault="00FB61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FAF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60A4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4485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BEF3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3E06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F0B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369C521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E4C62226"/>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81053F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3D430C"/>
    <w:multiLevelType w:val="hybridMultilevel"/>
    <w:tmpl w:val="A9A46C38"/>
    <w:lvl w:ilvl="0" w:tplc="240A0001">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07B206B"/>
    <w:multiLevelType w:val="hybridMultilevel"/>
    <w:tmpl w:val="41ACBBDC"/>
    <w:lvl w:ilvl="0" w:tplc="6640039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082365D"/>
    <w:multiLevelType w:val="multilevel"/>
    <w:tmpl w:val="BBB00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122B9A"/>
    <w:multiLevelType w:val="hybridMultilevel"/>
    <w:tmpl w:val="54E078BC"/>
    <w:lvl w:ilvl="0" w:tplc="ED2899BC">
      <w:numFmt w:val="bullet"/>
      <w:lvlText w:val="-"/>
      <w:lvlJc w:val="left"/>
      <w:pPr>
        <w:ind w:left="343" w:hanging="360"/>
      </w:pPr>
      <w:rPr>
        <w:rFonts w:ascii="Arial" w:eastAsia="Times New Roman" w:hAnsi="Arial" w:cs="Arial" w:hint="default"/>
        <w:sz w:val="24"/>
      </w:rPr>
    </w:lvl>
    <w:lvl w:ilvl="1" w:tplc="240A0003" w:tentative="1">
      <w:start w:val="1"/>
      <w:numFmt w:val="bullet"/>
      <w:lvlText w:val="o"/>
      <w:lvlJc w:val="left"/>
      <w:pPr>
        <w:ind w:left="1063" w:hanging="360"/>
      </w:pPr>
      <w:rPr>
        <w:rFonts w:ascii="Courier New" w:hAnsi="Courier New" w:cs="Courier New" w:hint="default"/>
      </w:rPr>
    </w:lvl>
    <w:lvl w:ilvl="2" w:tplc="240A0005" w:tentative="1">
      <w:start w:val="1"/>
      <w:numFmt w:val="bullet"/>
      <w:lvlText w:val=""/>
      <w:lvlJc w:val="left"/>
      <w:pPr>
        <w:ind w:left="1783" w:hanging="360"/>
      </w:pPr>
      <w:rPr>
        <w:rFonts w:ascii="Wingdings" w:hAnsi="Wingdings" w:hint="default"/>
      </w:rPr>
    </w:lvl>
    <w:lvl w:ilvl="3" w:tplc="240A0001" w:tentative="1">
      <w:start w:val="1"/>
      <w:numFmt w:val="bullet"/>
      <w:lvlText w:val=""/>
      <w:lvlJc w:val="left"/>
      <w:pPr>
        <w:ind w:left="2503" w:hanging="360"/>
      </w:pPr>
      <w:rPr>
        <w:rFonts w:ascii="Symbol" w:hAnsi="Symbol" w:hint="default"/>
      </w:rPr>
    </w:lvl>
    <w:lvl w:ilvl="4" w:tplc="240A0003" w:tentative="1">
      <w:start w:val="1"/>
      <w:numFmt w:val="bullet"/>
      <w:lvlText w:val="o"/>
      <w:lvlJc w:val="left"/>
      <w:pPr>
        <w:ind w:left="3223" w:hanging="360"/>
      </w:pPr>
      <w:rPr>
        <w:rFonts w:ascii="Courier New" w:hAnsi="Courier New" w:cs="Courier New" w:hint="default"/>
      </w:rPr>
    </w:lvl>
    <w:lvl w:ilvl="5" w:tplc="240A0005" w:tentative="1">
      <w:start w:val="1"/>
      <w:numFmt w:val="bullet"/>
      <w:lvlText w:val=""/>
      <w:lvlJc w:val="left"/>
      <w:pPr>
        <w:ind w:left="3943" w:hanging="360"/>
      </w:pPr>
      <w:rPr>
        <w:rFonts w:ascii="Wingdings" w:hAnsi="Wingdings" w:hint="default"/>
      </w:rPr>
    </w:lvl>
    <w:lvl w:ilvl="6" w:tplc="240A0001" w:tentative="1">
      <w:start w:val="1"/>
      <w:numFmt w:val="bullet"/>
      <w:lvlText w:val=""/>
      <w:lvlJc w:val="left"/>
      <w:pPr>
        <w:ind w:left="4663" w:hanging="360"/>
      </w:pPr>
      <w:rPr>
        <w:rFonts w:ascii="Symbol" w:hAnsi="Symbol" w:hint="default"/>
      </w:rPr>
    </w:lvl>
    <w:lvl w:ilvl="7" w:tplc="240A0003" w:tentative="1">
      <w:start w:val="1"/>
      <w:numFmt w:val="bullet"/>
      <w:lvlText w:val="o"/>
      <w:lvlJc w:val="left"/>
      <w:pPr>
        <w:ind w:left="5383" w:hanging="360"/>
      </w:pPr>
      <w:rPr>
        <w:rFonts w:ascii="Courier New" w:hAnsi="Courier New" w:cs="Courier New" w:hint="default"/>
      </w:rPr>
    </w:lvl>
    <w:lvl w:ilvl="8" w:tplc="240A0005" w:tentative="1">
      <w:start w:val="1"/>
      <w:numFmt w:val="bullet"/>
      <w:lvlText w:val=""/>
      <w:lvlJc w:val="left"/>
      <w:pPr>
        <w:ind w:left="6103" w:hanging="360"/>
      </w:pPr>
      <w:rPr>
        <w:rFonts w:ascii="Wingdings" w:hAnsi="Wingdings" w:hint="default"/>
      </w:rPr>
    </w:lvl>
  </w:abstractNum>
  <w:abstractNum w:abstractNumId="13" w15:restartNumberingAfterBreak="0">
    <w:nsid w:val="0136122E"/>
    <w:multiLevelType w:val="hybridMultilevel"/>
    <w:tmpl w:val="7C82F7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18D245C"/>
    <w:multiLevelType w:val="hybridMultilevel"/>
    <w:tmpl w:val="4A506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2092FB7"/>
    <w:multiLevelType w:val="hybridMultilevel"/>
    <w:tmpl w:val="5B765922"/>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25B0CFC"/>
    <w:multiLevelType w:val="hybridMultilevel"/>
    <w:tmpl w:val="9F4EE876"/>
    <w:lvl w:ilvl="0" w:tplc="DC7877A6">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27F70A9"/>
    <w:multiLevelType w:val="hybridMultilevel"/>
    <w:tmpl w:val="A31AC3D8"/>
    <w:lvl w:ilvl="0" w:tplc="AB7080E6">
      <w:start w:val="1"/>
      <w:numFmt w:val="decimal"/>
      <w:lvlText w:val="%1."/>
      <w:lvlJc w:val="left"/>
      <w:pPr>
        <w:tabs>
          <w:tab w:val="num" w:pos="720"/>
        </w:tabs>
        <w:ind w:left="720" w:hanging="360"/>
      </w:pPr>
    </w:lvl>
    <w:lvl w:ilvl="1" w:tplc="A07668FA" w:tentative="1">
      <w:start w:val="1"/>
      <w:numFmt w:val="decimal"/>
      <w:lvlText w:val="%2."/>
      <w:lvlJc w:val="left"/>
      <w:pPr>
        <w:tabs>
          <w:tab w:val="num" w:pos="1440"/>
        </w:tabs>
        <w:ind w:left="1440" w:hanging="360"/>
      </w:pPr>
    </w:lvl>
    <w:lvl w:ilvl="2" w:tplc="AD74B45E" w:tentative="1">
      <w:start w:val="1"/>
      <w:numFmt w:val="decimal"/>
      <w:lvlText w:val="%3."/>
      <w:lvlJc w:val="left"/>
      <w:pPr>
        <w:tabs>
          <w:tab w:val="num" w:pos="2160"/>
        </w:tabs>
        <w:ind w:left="2160" w:hanging="360"/>
      </w:pPr>
    </w:lvl>
    <w:lvl w:ilvl="3" w:tplc="1DA0C4C8" w:tentative="1">
      <w:start w:val="1"/>
      <w:numFmt w:val="decimal"/>
      <w:lvlText w:val="%4."/>
      <w:lvlJc w:val="left"/>
      <w:pPr>
        <w:tabs>
          <w:tab w:val="num" w:pos="2880"/>
        </w:tabs>
        <w:ind w:left="2880" w:hanging="360"/>
      </w:pPr>
    </w:lvl>
    <w:lvl w:ilvl="4" w:tplc="9FA03FAC" w:tentative="1">
      <w:start w:val="1"/>
      <w:numFmt w:val="decimal"/>
      <w:lvlText w:val="%5."/>
      <w:lvlJc w:val="left"/>
      <w:pPr>
        <w:tabs>
          <w:tab w:val="num" w:pos="3600"/>
        </w:tabs>
        <w:ind w:left="3600" w:hanging="360"/>
      </w:pPr>
    </w:lvl>
    <w:lvl w:ilvl="5" w:tplc="1C16DF02" w:tentative="1">
      <w:start w:val="1"/>
      <w:numFmt w:val="decimal"/>
      <w:lvlText w:val="%6."/>
      <w:lvlJc w:val="left"/>
      <w:pPr>
        <w:tabs>
          <w:tab w:val="num" w:pos="4320"/>
        </w:tabs>
        <w:ind w:left="4320" w:hanging="360"/>
      </w:pPr>
    </w:lvl>
    <w:lvl w:ilvl="6" w:tplc="E800C6CC" w:tentative="1">
      <w:start w:val="1"/>
      <w:numFmt w:val="decimal"/>
      <w:lvlText w:val="%7."/>
      <w:lvlJc w:val="left"/>
      <w:pPr>
        <w:tabs>
          <w:tab w:val="num" w:pos="5040"/>
        </w:tabs>
        <w:ind w:left="5040" w:hanging="360"/>
      </w:pPr>
    </w:lvl>
    <w:lvl w:ilvl="7" w:tplc="3C26EAA8" w:tentative="1">
      <w:start w:val="1"/>
      <w:numFmt w:val="decimal"/>
      <w:lvlText w:val="%8."/>
      <w:lvlJc w:val="left"/>
      <w:pPr>
        <w:tabs>
          <w:tab w:val="num" w:pos="5760"/>
        </w:tabs>
        <w:ind w:left="5760" w:hanging="360"/>
      </w:pPr>
    </w:lvl>
    <w:lvl w:ilvl="8" w:tplc="AB846082" w:tentative="1">
      <w:start w:val="1"/>
      <w:numFmt w:val="decimal"/>
      <w:lvlText w:val="%9."/>
      <w:lvlJc w:val="left"/>
      <w:pPr>
        <w:tabs>
          <w:tab w:val="num" w:pos="6480"/>
        </w:tabs>
        <w:ind w:left="6480" w:hanging="360"/>
      </w:pPr>
    </w:lvl>
  </w:abstractNum>
  <w:abstractNum w:abstractNumId="18" w15:restartNumberingAfterBreak="0">
    <w:nsid w:val="02801E5B"/>
    <w:multiLevelType w:val="hybridMultilevel"/>
    <w:tmpl w:val="86A4DB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28A1E0D"/>
    <w:multiLevelType w:val="hybridMultilevel"/>
    <w:tmpl w:val="0AAEEF46"/>
    <w:lvl w:ilvl="0" w:tplc="CA6E74E2">
      <w:start w:val="1"/>
      <w:numFmt w:val="decimal"/>
      <w:lvlText w:val="%1."/>
      <w:lvlJc w:val="left"/>
      <w:pPr>
        <w:ind w:left="1123" w:hanging="360"/>
      </w:pPr>
      <w:rPr>
        <w:rFonts w:hint="default"/>
        <w:color w:val="auto"/>
        <w:sz w:val="22"/>
      </w:rPr>
    </w:lvl>
    <w:lvl w:ilvl="1" w:tplc="240A0003" w:tentative="1">
      <w:start w:val="1"/>
      <w:numFmt w:val="bullet"/>
      <w:lvlText w:val="o"/>
      <w:lvlJc w:val="left"/>
      <w:pPr>
        <w:ind w:left="1843" w:hanging="360"/>
      </w:pPr>
      <w:rPr>
        <w:rFonts w:ascii="Courier New" w:hAnsi="Courier New" w:cs="Courier New" w:hint="default"/>
      </w:rPr>
    </w:lvl>
    <w:lvl w:ilvl="2" w:tplc="240A0005" w:tentative="1">
      <w:start w:val="1"/>
      <w:numFmt w:val="bullet"/>
      <w:lvlText w:val=""/>
      <w:lvlJc w:val="left"/>
      <w:pPr>
        <w:ind w:left="2563" w:hanging="360"/>
      </w:pPr>
      <w:rPr>
        <w:rFonts w:ascii="Wingdings" w:hAnsi="Wingdings" w:hint="default"/>
      </w:rPr>
    </w:lvl>
    <w:lvl w:ilvl="3" w:tplc="240A0001" w:tentative="1">
      <w:start w:val="1"/>
      <w:numFmt w:val="bullet"/>
      <w:lvlText w:val=""/>
      <w:lvlJc w:val="left"/>
      <w:pPr>
        <w:ind w:left="3283" w:hanging="360"/>
      </w:pPr>
      <w:rPr>
        <w:rFonts w:ascii="Symbol" w:hAnsi="Symbol" w:hint="default"/>
      </w:rPr>
    </w:lvl>
    <w:lvl w:ilvl="4" w:tplc="240A0003" w:tentative="1">
      <w:start w:val="1"/>
      <w:numFmt w:val="bullet"/>
      <w:lvlText w:val="o"/>
      <w:lvlJc w:val="left"/>
      <w:pPr>
        <w:ind w:left="4003" w:hanging="360"/>
      </w:pPr>
      <w:rPr>
        <w:rFonts w:ascii="Courier New" w:hAnsi="Courier New" w:cs="Courier New" w:hint="default"/>
      </w:rPr>
    </w:lvl>
    <w:lvl w:ilvl="5" w:tplc="240A0005" w:tentative="1">
      <w:start w:val="1"/>
      <w:numFmt w:val="bullet"/>
      <w:lvlText w:val=""/>
      <w:lvlJc w:val="left"/>
      <w:pPr>
        <w:ind w:left="4723" w:hanging="360"/>
      </w:pPr>
      <w:rPr>
        <w:rFonts w:ascii="Wingdings" w:hAnsi="Wingdings" w:hint="default"/>
      </w:rPr>
    </w:lvl>
    <w:lvl w:ilvl="6" w:tplc="240A0001" w:tentative="1">
      <w:start w:val="1"/>
      <w:numFmt w:val="bullet"/>
      <w:lvlText w:val=""/>
      <w:lvlJc w:val="left"/>
      <w:pPr>
        <w:ind w:left="5443" w:hanging="360"/>
      </w:pPr>
      <w:rPr>
        <w:rFonts w:ascii="Symbol" w:hAnsi="Symbol" w:hint="default"/>
      </w:rPr>
    </w:lvl>
    <w:lvl w:ilvl="7" w:tplc="240A0003" w:tentative="1">
      <w:start w:val="1"/>
      <w:numFmt w:val="bullet"/>
      <w:lvlText w:val="o"/>
      <w:lvlJc w:val="left"/>
      <w:pPr>
        <w:ind w:left="6163" w:hanging="360"/>
      </w:pPr>
      <w:rPr>
        <w:rFonts w:ascii="Courier New" w:hAnsi="Courier New" w:cs="Courier New" w:hint="default"/>
      </w:rPr>
    </w:lvl>
    <w:lvl w:ilvl="8" w:tplc="240A0005" w:tentative="1">
      <w:start w:val="1"/>
      <w:numFmt w:val="bullet"/>
      <w:lvlText w:val=""/>
      <w:lvlJc w:val="left"/>
      <w:pPr>
        <w:ind w:left="6883" w:hanging="360"/>
      </w:pPr>
      <w:rPr>
        <w:rFonts w:ascii="Wingdings" w:hAnsi="Wingdings" w:hint="default"/>
      </w:rPr>
    </w:lvl>
  </w:abstractNum>
  <w:abstractNum w:abstractNumId="20" w15:restartNumberingAfterBreak="0">
    <w:nsid w:val="028A21B3"/>
    <w:multiLevelType w:val="hybridMultilevel"/>
    <w:tmpl w:val="EDD0C5DC"/>
    <w:lvl w:ilvl="0" w:tplc="240A000D">
      <w:start w:val="1"/>
      <w:numFmt w:val="bullet"/>
      <w:lvlText w:val=""/>
      <w:lvlJc w:val="left"/>
      <w:pPr>
        <w:ind w:left="1065" w:hanging="360"/>
      </w:pPr>
      <w:rPr>
        <w:rFonts w:ascii="Wingdings" w:hAnsi="Wingdings"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21" w15:restartNumberingAfterBreak="0">
    <w:nsid w:val="02D31952"/>
    <w:multiLevelType w:val="hybridMultilevel"/>
    <w:tmpl w:val="E336176E"/>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02E5371C"/>
    <w:multiLevelType w:val="hybridMultilevel"/>
    <w:tmpl w:val="64488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30D35B5"/>
    <w:multiLevelType w:val="hybridMultilevel"/>
    <w:tmpl w:val="D4265A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35C7E03"/>
    <w:multiLevelType w:val="hybridMultilevel"/>
    <w:tmpl w:val="AB56AB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03B0150B"/>
    <w:multiLevelType w:val="hybridMultilevel"/>
    <w:tmpl w:val="F44221E2"/>
    <w:lvl w:ilvl="0" w:tplc="5A2E030E">
      <w:numFmt w:val="bullet"/>
      <w:lvlText w:val="•"/>
      <w:lvlJc w:val="left"/>
      <w:pPr>
        <w:ind w:left="847"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3D95B2D"/>
    <w:multiLevelType w:val="hybridMultilevel"/>
    <w:tmpl w:val="448C2D22"/>
    <w:lvl w:ilvl="0" w:tplc="3FA6218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041B3C43"/>
    <w:multiLevelType w:val="hybridMultilevel"/>
    <w:tmpl w:val="07A8FB5A"/>
    <w:lvl w:ilvl="0" w:tplc="240A000D">
      <w:start w:val="1"/>
      <w:numFmt w:val="bullet"/>
      <w:lvlText w:val=""/>
      <w:lvlJc w:val="left"/>
      <w:pPr>
        <w:ind w:left="1453" w:hanging="360"/>
      </w:pPr>
      <w:rPr>
        <w:rFonts w:ascii="Wingdings" w:hAnsi="Wingdings" w:hint="default"/>
      </w:rPr>
    </w:lvl>
    <w:lvl w:ilvl="1" w:tplc="240A0003" w:tentative="1">
      <w:start w:val="1"/>
      <w:numFmt w:val="bullet"/>
      <w:lvlText w:val="o"/>
      <w:lvlJc w:val="left"/>
      <w:pPr>
        <w:ind w:left="2173" w:hanging="360"/>
      </w:pPr>
      <w:rPr>
        <w:rFonts w:ascii="Courier New" w:hAnsi="Courier New" w:cs="Courier New" w:hint="default"/>
      </w:rPr>
    </w:lvl>
    <w:lvl w:ilvl="2" w:tplc="240A0005" w:tentative="1">
      <w:start w:val="1"/>
      <w:numFmt w:val="bullet"/>
      <w:lvlText w:val=""/>
      <w:lvlJc w:val="left"/>
      <w:pPr>
        <w:ind w:left="2893" w:hanging="360"/>
      </w:pPr>
      <w:rPr>
        <w:rFonts w:ascii="Wingdings" w:hAnsi="Wingdings" w:hint="default"/>
      </w:rPr>
    </w:lvl>
    <w:lvl w:ilvl="3" w:tplc="240A0001" w:tentative="1">
      <w:start w:val="1"/>
      <w:numFmt w:val="bullet"/>
      <w:lvlText w:val=""/>
      <w:lvlJc w:val="left"/>
      <w:pPr>
        <w:ind w:left="3613" w:hanging="360"/>
      </w:pPr>
      <w:rPr>
        <w:rFonts w:ascii="Symbol" w:hAnsi="Symbol" w:hint="default"/>
      </w:rPr>
    </w:lvl>
    <w:lvl w:ilvl="4" w:tplc="240A0003" w:tentative="1">
      <w:start w:val="1"/>
      <w:numFmt w:val="bullet"/>
      <w:lvlText w:val="o"/>
      <w:lvlJc w:val="left"/>
      <w:pPr>
        <w:ind w:left="4333" w:hanging="360"/>
      </w:pPr>
      <w:rPr>
        <w:rFonts w:ascii="Courier New" w:hAnsi="Courier New" w:cs="Courier New" w:hint="default"/>
      </w:rPr>
    </w:lvl>
    <w:lvl w:ilvl="5" w:tplc="240A0005" w:tentative="1">
      <w:start w:val="1"/>
      <w:numFmt w:val="bullet"/>
      <w:lvlText w:val=""/>
      <w:lvlJc w:val="left"/>
      <w:pPr>
        <w:ind w:left="5053" w:hanging="360"/>
      </w:pPr>
      <w:rPr>
        <w:rFonts w:ascii="Wingdings" w:hAnsi="Wingdings" w:hint="default"/>
      </w:rPr>
    </w:lvl>
    <w:lvl w:ilvl="6" w:tplc="240A0001" w:tentative="1">
      <w:start w:val="1"/>
      <w:numFmt w:val="bullet"/>
      <w:lvlText w:val=""/>
      <w:lvlJc w:val="left"/>
      <w:pPr>
        <w:ind w:left="5773" w:hanging="360"/>
      </w:pPr>
      <w:rPr>
        <w:rFonts w:ascii="Symbol" w:hAnsi="Symbol" w:hint="default"/>
      </w:rPr>
    </w:lvl>
    <w:lvl w:ilvl="7" w:tplc="240A0003" w:tentative="1">
      <w:start w:val="1"/>
      <w:numFmt w:val="bullet"/>
      <w:lvlText w:val="o"/>
      <w:lvlJc w:val="left"/>
      <w:pPr>
        <w:ind w:left="6493" w:hanging="360"/>
      </w:pPr>
      <w:rPr>
        <w:rFonts w:ascii="Courier New" w:hAnsi="Courier New" w:cs="Courier New" w:hint="default"/>
      </w:rPr>
    </w:lvl>
    <w:lvl w:ilvl="8" w:tplc="240A0005" w:tentative="1">
      <w:start w:val="1"/>
      <w:numFmt w:val="bullet"/>
      <w:lvlText w:val=""/>
      <w:lvlJc w:val="left"/>
      <w:pPr>
        <w:ind w:left="7213" w:hanging="360"/>
      </w:pPr>
      <w:rPr>
        <w:rFonts w:ascii="Wingdings" w:hAnsi="Wingdings" w:hint="default"/>
      </w:rPr>
    </w:lvl>
  </w:abstractNum>
  <w:abstractNum w:abstractNumId="28" w15:restartNumberingAfterBreak="0">
    <w:nsid w:val="042247D6"/>
    <w:multiLevelType w:val="hybridMultilevel"/>
    <w:tmpl w:val="6694B4C0"/>
    <w:lvl w:ilvl="0" w:tplc="240A0017">
      <w:start w:val="1"/>
      <w:numFmt w:val="lowerLetter"/>
      <w:lvlText w:val="%1)"/>
      <w:lvlJc w:val="left"/>
      <w:pPr>
        <w:ind w:left="360" w:hanging="360"/>
      </w:pPr>
      <w:rPr>
        <w:rFonts w:hint="default"/>
        <w:lang w:val="es-C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19AEA178">
      <w:numFmt w:val="bullet"/>
      <w:lvlText w:val="•"/>
      <w:lvlJc w:val="left"/>
      <w:pPr>
        <w:ind w:left="2865" w:hanging="705"/>
      </w:pPr>
      <w:rPr>
        <w:rFonts w:ascii="Arial" w:eastAsia="Times New Roman" w:hAnsi="Arial" w:cs="Aria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04A0191A"/>
    <w:multiLevelType w:val="hybridMultilevel"/>
    <w:tmpl w:val="B9E284E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04A56867"/>
    <w:multiLevelType w:val="hybridMultilevel"/>
    <w:tmpl w:val="05D298B6"/>
    <w:lvl w:ilvl="0" w:tplc="4DB80760">
      <w:start w:val="1"/>
      <w:numFmt w:val="bullet"/>
      <w:lvlText w:val="­"/>
      <w:lvlJc w:val="left"/>
      <w:pPr>
        <w:ind w:left="720" w:hanging="360"/>
      </w:pPr>
      <w:rPr>
        <w:rFonts w:ascii="Courier New" w:hAnsi="Courier New"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04BA7E73"/>
    <w:multiLevelType w:val="hybridMultilevel"/>
    <w:tmpl w:val="86E0E9E6"/>
    <w:lvl w:ilvl="0" w:tplc="4DB80760">
      <w:start w:val="1"/>
      <w:numFmt w:val="bullet"/>
      <w:lvlText w:val="­"/>
      <w:lvlJc w:val="left"/>
      <w:pPr>
        <w:ind w:left="360" w:hanging="360"/>
      </w:pPr>
      <w:rPr>
        <w:rFonts w:ascii="Courier New" w:hAnsi="Courier New" w:cs="Times New Roman"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04C07262"/>
    <w:multiLevelType w:val="hybridMultilevel"/>
    <w:tmpl w:val="EBCC8DFE"/>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3" w15:restartNumberingAfterBreak="0">
    <w:nsid w:val="04DC1060"/>
    <w:multiLevelType w:val="hybridMultilevel"/>
    <w:tmpl w:val="83A83EB0"/>
    <w:lvl w:ilvl="0" w:tplc="CB728A6A">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5D44125"/>
    <w:multiLevelType w:val="hybridMultilevel"/>
    <w:tmpl w:val="B2A021E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06291533"/>
    <w:multiLevelType w:val="hybridMultilevel"/>
    <w:tmpl w:val="FA6224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069F37B6"/>
    <w:multiLevelType w:val="hybridMultilevel"/>
    <w:tmpl w:val="F10E539A"/>
    <w:lvl w:ilvl="0" w:tplc="BC4678EC">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06F9385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075A2DD1"/>
    <w:multiLevelType w:val="hybridMultilevel"/>
    <w:tmpl w:val="690E9972"/>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9" w15:restartNumberingAfterBreak="0">
    <w:nsid w:val="0792230D"/>
    <w:multiLevelType w:val="hybridMultilevel"/>
    <w:tmpl w:val="5A2A87E4"/>
    <w:lvl w:ilvl="0" w:tplc="00145946">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07BC5A8B"/>
    <w:multiLevelType w:val="multilevel"/>
    <w:tmpl w:val="33C6977A"/>
    <w:lvl w:ilvl="0">
      <w:start w:val="1"/>
      <w:numFmt w:val="decimal"/>
      <w:lvlText w:val="%1."/>
      <w:lvlJc w:val="left"/>
      <w:pPr>
        <w:tabs>
          <w:tab w:val="num" w:pos="0"/>
        </w:tabs>
        <w:ind w:left="0" w:firstLine="0"/>
      </w:pPr>
      <w:rPr>
        <w:rFonts w:ascii="Arial" w:hAnsi="Arial" w:cs="Arial" w:hint="default"/>
        <w:b/>
        <w:i w:val="0"/>
        <w:sz w:val="24"/>
        <w:szCs w:val="24"/>
      </w:rPr>
    </w:lvl>
    <w:lvl w:ilvl="1">
      <w:start w:val="1"/>
      <w:numFmt w:val="decimal"/>
      <w:pStyle w:val="Ttulo2"/>
      <w:lvlText w:val="%1.%2"/>
      <w:lvlJc w:val="left"/>
      <w:pPr>
        <w:tabs>
          <w:tab w:val="num" w:pos="0"/>
        </w:tabs>
        <w:ind w:left="0" w:firstLine="0"/>
      </w:pPr>
      <w:rPr>
        <w:rFonts w:ascii="Arial" w:hAnsi="Arial" w:cs="Arial" w:hint="default"/>
        <w:b/>
        <w:i w:val="0"/>
        <w:sz w:val="24"/>
        <w:szCs w:val="24"/>
      </w:rPr>
    </w:lvl>
    <w:lvl w:ilvl="2">
      <w:start w:val="1"/>
      <w:numFmt w:val="decimal"/>
      <w:pStyle w:val="Ttulo3"/>
      <w:lvlText w:val="%1.%2.%3"/>
      <w:lvlJc w:val="left"/>
      <w:pPr>
        <w:tabs>
          <w:tab w:val="num" w:pos="1276"/>
        </w:tabs>
        <w:ind w:left="1276" w:firstLine="0"/>
      </w:pPr>
      <w:rPr>
        <w:rFonts w:ascii="Arial" w:hAnsi="Arial" w:cs="Arial" w:hint="default"/>
        <w:b/>
        <w:i w:val="0"/>
        <w:caps/>
        <w:sz w:val="24"/>
        <w:szCs w:val="20"/>
        <w:lang w:val="es-CO"/>
      </w:rPr>
    </w:lvl>
    <w:lvl w:ilvl="3">
      <w:start w:val="1"/>
      <w:numFmt w:val="decimal"/>
      <w:pStyle w:val="Ttulo4"/>
      <w:lvlText w:val="%1.%2.%3.%4"/>
      <w:lvlJc w:val="left"/>
      <w:pPr>
        <w:tabs>
          <w:tab w:val="num" w:pos="1844"/>
        </w:tabs>
        <w:ind w:left="1844" w:firstLine="0"/>
      </w:pPr>
      <w:rPr>
        <w:rFonts w:ascii="Arial" w:hAnsi="Arial" w:cs="Arial" w:hint="default"/>
        <w:b/>
        <w:i w:val="0"/>
        <w:sz w:val="24"/>
        <w:szCs w:val="20"/>
      </w:rPr>
    </w:lvl>
    <w:lvl w:ilvl="4">
      <w:start w:val="1"/>
      <w:numFmt w:val="decimal"/>
      <w:pStyle w:val="Ttulo5"/>
      <w:lvlText w:val="%1.%2.%3.%4.%5"/>
      <w:lvlJc w:val="left"/>
      <w:pPr>
        <w:tabs>
          <w:tab w:val="num" w:pos="2160"/>
        </w:tabs>
        <w:ind w:left="2160" w:hanging="1080"/>
      </w:pPr>
      <w:rPr>
        <w:rFonts w:hint="default"/>
      </w:rPr>
    </w:lvl>
    <w:lvl w:ilvl="5">
      <w:start w:val="1"/>
      <w:numFmt w:val="decimal"/>
      <w:pStyle w:val="Ttulo6"/>
      <w:lvlText w:val="%1.%2.%3.%4.%5.%6"/>
      <w:lvlJc w:val="left"/>
      <w:pPr>
        <w:tabs>
          <w:tab w:val="num" w:pos="2160"/>
        </w:tabs>
        <w:ind w:left="216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880"/>
        </w:tabs>
        <w:ind w:left="2880" w:hanging="1800"/>
      </w:pPr>
      <w:rPr>
        <w:rFonts w:hint="default"/>
      </w:rPr>
    </w:lvl>
  </w:abstractNum>
  <w:abstractNum w:abstractNumId="41" w15:restartNumberingAfterBreak="0">
    <w:nsid w:val="084C788E"/>
    <w:multiLevelType w:val="hybridMultilevel"/>
    <w:tmpl w:val="3F74B76C"/>
    <w:lvl w:ilvl="0" w:tplc="240A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8ED301A"/>
    <w:multiLevelType w:val="hybridMultilevel"/>
    <w:tmpl w:val="01EC2D38"/>
    <w:lvl w:ilvl="0" w:tplc="4DB80760">
      <w:start w:val="1"/>
      <w:numFmt w:val="bullet"/>
      <w:lvlText w:val="­"/>
      <w:lvlJc w:val="left"/>
      <w:pPr>
        <w:ind w:left="360" w:hanging="360"/>
      </w:pPr>
      <w:rPr>
        <w:rFonts w:ascii="Courier New" w:hAnsi="Courier New" w:cs="Times New Roman" w:hint="default"/>
        <w:color w:val="auto"/>
      </w:rPr>
    </w:lvl>
    <w:lvl w:ilvl="1" w:tplc="26169528">
      <w:start w:val="1"/>
      <w:numFmt w:val="lowerLetter"/>
      <w:lvlText w:val="%2."/>
      <w:lvlJc w:val="left"/>
      <w:pPr>
        <w:ind w:left="1425" w:hanging="705"/>
      </w:pPr>
      <w:rPr>
        <w:rFonts w:hint="default"/>
      </w:rPr>
    </w:lvl>
    <w:lvl w:ilvl="2" w:tplc="B5CABCD4">
      <w:start w:val="1"/>
      <w:numFmt w:val="lowerLetter"/>
      <w:lvlText w:val="%3)"/>
      <w:lvlJc w:val="left"/>
      <w:pPr>
        <w:ind w:left="1980" w:hanging="360"/>
      </w:pPr>
      <w:rPr>
        <w:rFonts w:hint="default"/>
      </w:rPr>
    </w:lvl>
    <w:lvl w:ilvl="3" w:tplc="240A000F" w:tentative="1">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09C048AD"/>
    <w:multiLevelType w:val="hybridMultilevel"/>
    <w:tmpl w:val="B16AB946"/>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0B9D2BA8"/>
    <w:multiLevelType w:val="hybridMultilevel"/>
    <w:tmpl w:val="31A6FC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0BE8646F"/>
    <w:multiLevelType w:val="hybridMultilevel"/>
    <w:tmpl w:val="882EC234"/>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0C3162CE"/>
    <w:multiLevelType w:val="hybridMultilevel"/>
    <w:tmpl w:val="0BE6E49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0C3745AD"/>
    <w:multiLevelType w:val="hybridMultilevel"/>
    <w:tmpl w:val="790AD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0C705B7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0C775A51"/>
    <w:multiLevelType w:val="hybridMultilevel"/>
    <w:tmpl w:val="35323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0CC2159C"/>
    <w:multiLevelType w:val="hybridMultilevel"/>
    <w:tmpl w:val="698A31B2"/>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0CEA23E0"/>
    <w:multiLevelType w:val="hybridMultilevel"/>
    <w:tmpl w:val="143A42E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0D6F00C9"/>
    <w:multiLevelType w:val="hybridMultilevel"/>
    <w:tmpl w:val="94D8C01A"/>
    <w:lvl w:ilvl="0" w:tplc="4DB80760">
      <w:start w:val="1"/>
      <w:numFmt w:val="bullet"/>
      <w:lvlText w:val="­"/>
      <w:lvlJc w:val="left"/>
      <w:pPr>
        <w:ind w:left="1065" w:hanging="360"/>
      </w:pPr>
      <w:rPr>
        <w:rFonts w:ascii="Courier New" w:hAnsi="Courier New" w:cs="Times New Roman" w:hint="default"/>
        <w:color w:val="auto"/>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53" w15:restartNumberingAfterBreak="0">
    <w:nsid w:val="0DD439BF"/>
    <w:multiLevelType w:val="hybridMultilevel"/>
    <w:tmpl w:val="4028AD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0E0F7AB7"/>
    <w:multiLevelType w:val="hybridMultilevel"/>
    <w:tmpl w:val="915CDD5C"/>
    <w:lvl w:ilvl="0" w:tplc="ED2899BC">
      <w:numFmt w:val="bullet"/>
      <w:lvlText w:val="-"/>
      <w:lvlJc w:val="left"/>
      <w:pPr>
        <w:ind w:left="1778" w:hanging="360"/>
      </w:pPr>
      <w:rPr>
        <w:rFonts w:ascii="Arial" w:eastAsia="Times New Roman" w:hAnsi="Arial" w:cs="Arial" w:hint="default"/>
        <w:sz w:val="24"/>
      </w:rPr>
    </w:lvl>
    <w:lvl w:ilvl="1" w:tplc="ED2899BC">
      <w:numFmt w:val="bullet"/>
      <w:lvlText w:val="-"/>
      <w:lvlJc w:val="left"/>
      <w:pPr>
        <w:ind w:left="2498" w:hanging="360"/>
      </w:pPr>
      <w:rPr>
        <w:rFonts w:ascii="Arial" w:eastAsia="Times New Roman" w:hAnsi="Arial" w:cs="Arial" w:hint="default"/>
        <w:sz w:val="24"/>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55" w15:restartNumberingAfterBreak="0">
    <w:nsid w:val="0E3E0DF3"/>
    <w:multiLevelType w:val="hybridMultilevel"/>
    <w:tmpl w:val="878ECE8C"/>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0E772C01"/>
    <w:multiLevelType w:val="hybridMultilevel"/>
    <w:tmpl w:val="9D568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0EC97839"/>
    <w:multiLevelType w:val="hybridMultilevel"/>
    <w:tmpl w:val="0E0AD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0F544E6D"/>
    <w:multiLevelType w:val="multilevel"/>
    <w:tmpl w:val="FC7A84DA"/>
    <w:lvl w:ilvl="0">
      <w:start w:val="1"/>
      <w:numFmt w:val="bullet"/>
      <w:lvlText w:val=""/>
      <w:lvlJc w:val="left"/>
      <w:pPr>
        <w:tabs>
          <w:tab w:val="num" w:pos="720"/>
        </w:tabs>
        <w:ind w:left="720" w:hanging="360"/>
      </w:pPr>
      <w:rPr>
        <w:rFonts w:ascii="Symbol" w:hAnsi="Symbol" w:hint="default"/>
        <w:sz w:val="20"/>
        <w:lang w:val="es-E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F8F1C70"/>
    <w:multiLevelType w:val="hybridMultilevel"/>
    <w:tmpl w:val="482C28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0FA674C6"/>
    <w:multiLevelType w:val="hybridMultilevel"/>
    <w:tmpl w:val="3EC46D60"/>
    <w:lvl w:ilvl="0" w:tplc="25D0E072">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108D11EC"/>
    <w:multiLevelType w:val="multilevel"/>
    <w:tmpl w:val="07827B7C"/>
    <w:lvl w:ilvl="0">
      <w:start w:val="10"/>
      <w:numFmt w:val="decimal"/>
      <w:lvlText w:val="%1"/>
      <w:lvlJc w:val="left"/>
      <w:pPr>
        <w:ind w:left="1776" w:hanging="935"/>
      </w:pPr>
      <w:rPr>
        <w:rFonts w:hint="default"/>
      </w:rPr>
    </w:lvl>
    <w:lvl w:ilvl="1">
      <w:start w:val="1"/>
      <w:numFmt w:val="decimal"/>
      <w:lvlText w:val="%1.%2"/>
      <w:lvlJc w:val="left"/>
      <w:pPr>
        <w:ind w:left="1776" w:hanging="935"/>
      </w:pPr>
      <w:rPr>
        <w:rFonts w:hint="default"/>
      </w:rPr>
    </w:lvl>
    <w:lvl w:ilvl="2">
      <w:start w:val="3"/>
      <w:numFmt w:val="decimal"/>
      <w:lvlText w:val="%1.%2.%3"/>
      <w:lvlJc w:val="left"/>
      <w:pPr>
        <w:ind w:left="1776" w:hanging="935"/>
      </w:pPr>
      <w:rPr>
        <w:rFonts w:hint="default"/>
      </w:rPr>
    </w:lvl>
    <w:lvl w:ilvl="3">
      <w:start w:val="1"/>
      <w:numFmt w:val="decimal"/>
      <w:lvlText w:val="%1.%2.%3.%4"/>
      <w:lvlJc w:val="left"/>
      <w:pPr>
        <w:ind w:left="1776" w:hanging="935"/>
      </w:pPr>
      <w:rPr>
        <w:rFonts w:ascii="Arial" w:eastAsia="Arial" w:hAnsi="Arial" w:cs="Arial" w:hint="default"/>
        <w:b/>
        <w:bCs/>
        <w:spacing w:val="-2"/>
        <w:w w:val="99"/>
        <w:sz w:val="24"/>
        <w:szCs w:val="24"/>
      </w:rPr>
    </w:lvl>
    <w:lvl w:ilvl="4">
      <w:numFmt w:val="bullet"/>
      <w:lvlText w:val="•"/>
      <w:lvlJc w:val="left"/>
      <w:pPr>
        <w:ind w:left="5212" w:hanging="935"/>
      </w:pPr>
      <w:rPr>
        <w:rFonts w:hint="default"/>
      </w:rPr>
    </w:lvl>
    <w:lvl w:ilvl="5">
      <w:numFmt w:val="bullet"/>
      <w:lvlText w:val="•"/>
      <w:lvlJc w:val="left"/>
      <w:pPr>
        <w:ind w:left="6071" w:hanging="935"/>
      </w:pPr>
      <w:rPr>
        <w:rFonts w:hint="default"/>
      </w:rPr>
    </w:lvl>
    <w:lvl w:ilvl="6">
      <w:numFmt w:val="bullet"/>
      <w:lvlText w:val="•"/>
      <w:lvlJc w:val="left"/>
      <w:pPr>
        <w:ind w:left="6929" w:hanging="935"/>
      </w:pPr>
      <w:rPr>
        <w:rFonts w:hint="default"/>
      </w:rPr>
    </w:lvl>
    <w:lvl w:ilvl="7">
      <w:numFmt w:val="bullet"/>
      <w:lvlText w:val="•"/>
      <w:lvlJc w:val="left"/>
      <w:pPr>
        <w:ind w:left="7787" w:hanging="935"/>
      </w:pPr>
      <w:rPr>
        <w:rFonts w:hint="default"/>
      </w:rPr>
    </w:lvl>
    <w:lvl w:ilvl="8">
      <w:numFmt w:val="bullet"/>
      <w:lvlText w:val="•"/>
      <w:lvlJc w:val="left"/>
      <w:pPr>
        <w:ind w:left="8645" w:hanging="935"/>
      </w:pPr>
      <w:rPr>
        <w:rFonts w:hint="default"/>
      </w:rPr>
    </w:lvl>
  </w:abstractNum>
  <w:abstractNum w:abstractNumId="62" w15:restartNumberingAfterBreak="0">
    <w:nsid w:val="10C3440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10FE193F"/>
    <w:multiLevelType w:val="hybridMultilevel"/>
    <w:tmpl w:val="117E6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114956B7"/>
    <w:multiLevelType w:val="hybridMultilevel"/>
    <w:tmpl w:val="0904332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5" w15:restartNumberingAfterBreak="0">
    <w:nsid w:val="117612BB"/>
    <w:multiLevelType w:val="hybridMultilevel"/>
    <w:tmpl w:val="65BC33BC"/>
    <w:lvl w:ilvl="0" w:tplc="4DB80760">
      <w:start w:val="1"/>
      <w:numFmt w:val="bullet"/>
      <w:lvlText w:val="­"/>
      <w:lvlJc w:val="left"/>
      <w:pPr>
        <w:tabs>
          <w:tab w:val="num" w:pos="720"/>
        </w:tabs>
        <w:ind w:left="720" w:hanging="360"/>
      </w:pPr>
      <w:rPr>
        <w:rFonts w:ascii="Courier New" w:hAnsi="Courier New" w:cs="Times New Roman" w:hint="default"/>
        <w:color w:val="auto"/>
      </w:rPr>
    </w:lvl>
    <w:lvl w:ilvl="1" w:tplc="D2FCA9A8" w:tentative="1">
      <w:start w:val="1"/>
      <w:numFmt w:val="bullet"/>
      <w:lvlText w:val="•"/>
      <w:lvlJc w:val="left"/>
      <w:pPr>
        <w:tabs>
          <w:tab w:val="num" w:pos="1440"/>
        </w:tabs>
        <w:ind w:left="1440" w:hanging="360"/>
      </w:pPr>
      <w:rPr>
        <w:rFonts w:ascii="Arial" w:hAnsi="Arial" w:hint="default"/>
      </w:rPr>
    </w:lvl>
    <w:lvl w:ilvl="2" w:tplc="FC88B270" w:tentative="1">
      <w:start w:val="1"/>
      <w:numFmt w:val="bullet"/>
      <w:lvlText w:val="•"/>
      <w:lvlJc w:val="left"/>
      <w:pPr>
        <w:tabs>
          <w:tab w:val="num" w:pos="2160"/>
        </w:tabs>
        <w:ind w:left="2160" w:hanging="360"/>
      </w:pPr>
      <w:rPr>
        <w:rFonts w:ascii="Arial" w:hAnsi="Arial" w:hint="default"/>
      </w:rPr>
    </w:lvl>
    <w:lvl w:ilvl="3" w:tplc="1D8CD8D2" w:tentative="1">
      <w:start w:val="1"/>
      <w:numFmt w:val="bullet"/>
      <w:lvlText w:val="•"/>
      <w:lvlJc w:val="left"/>
      <w:pPr>
        <w:tabs>
          <w:tab w:val="num" w:pos="2880"/>
        </w:tabs>
        <w:ind w:left="2880" w:hanging="360"/>
      </w:pPr>
      <w:rPr>
        <w:rFonts w:ascii="Arial" w:hAnsi="Arial" w:hint="default"/>
      </w:rPr>
    </w:lvl>
    <w:lvl w:ilvl="4" w:tplc="6CDCB484" w:tentative="1">
      <w:start w:val="1"/>
      <w:numFmt w:val="bullet"/>
      <w:lvlText w:val="•"/>
      <w:lvlJc w:val="left"/>
      <w:pPr>
        <w:tabs>
          <w:tab w:val="num" w:pos="3600"/>
        </w:tabs>
        <w:ind w:left="3600" w:hanging="360"/>
      </w:pPr>
      <w:rPr>
        <w:rFonts w:ascii="Arial" w:hAnsi="Arial" w:hint="default"/>
      </w:rPr>
    </w:lvl>
    <w:lvl w:ilvl="5" w:tplc="BED806C0" w:tentative="1">
      <w:start w:val="1"/>
      <w:numFmt w:val="bullet"/>
      <w:lvlText w:val="•"/>
      <w:lvlJc w:val="left"/>
      <w:pPr>
        <w:tabs>
          <w:tab w:val="num" w:pos="4320"/>
        </w:tabs>
        <w:ind w:left="4320" w:hanging="360"/>
      </w:pPr>
      <w:rPr>
        <w:rFonts w:ascii="Arial" w:hAnsi="Arial" w:hint="default"/>
      </w:rPr>
    </w:lvl>
    <w:lvl w:ilvl="6" w:tplc="492470DE" w:tentative="1">
      <w:start w:val="1"/>
      <w:numFmt w:val="bullet"/>
      <w:lvlText w:val="•"/>
      <w:lvlJc w:val="left"/>
      <w:pPr>
        <w:tabs>
          <w:tab w:val="num" w:pos="5040"/>
        </w:tabs>
        <w:ind w:left="5040" w:hanging="360"/>
      </w:pPr>
      <w:rPr>
        <w:rFonts w:ascii="Arial" w:hAnsi="Arial" w:hint="default"/>
      </w:rPr>
    </w:lvl>
    <w:lvl w:ilvl="7" w:tplc="69009ED4" w:tentative="1">
      <w:start w:val="1"/>
      <w:numFmt w:val="bullet"/>
      <w:lvlText w:val="•"/>
      <w:lvlJc w:val="left"/>
      <w:pPr>
        <w:tabs>
          <w:tab w:val="num" w:pos="5760"/>
        </w:tabs>
        <w:ind w:left="5760" w:hanging="360"/>
      </w:pPr>
      <w:rPr>
        <w:rFonts w:ascii="Arial" w:hAnsi="Arial" w:hint="default"/>
      </w:rPr>
    </w:lvl>
    <w:lvl w:ilvl="8" w:tplc="996422FE"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18547A4"/>
    <w:multiLevelType w:val="hybridMultilevel"/>
    <w:tmpl w:val="27F64DE2"/>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11A926D6"/>
    <w:multiLevelType w:val="hybridMultilevel"/>
    <w:tmpl w:val="2062CA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8" w15:restartNumberingAfterBreak="0">
    <w:nsid w:val="123C382D"/>
    <w:multiLevelType w:val="hybridMultilevel"/>
    <w:tmpl w:val="CEF04616"/>
    <w:lvl w:ilvl="0" w:tplc="240A0001">
      <w:start w:val="1"/>
      <w:numFmt w:val="bullet"/>
      <w:lvlText w:val=""/>
      <w:lvlJc w:val="left"/>
      <w:pPr>
        <w:ind w:left="1287" w:hanging="360"/>
      </w:pPr>
      <w:rPr>
        <w:rFonts w:ascii="Symbol" w:hAnsi="Symbol" w:hint="default"/>
      </w:rPr>
    </w:lvl>
    <w:lvl w:ilvl="1" w:tplc="240A0003">
      <w:start w:val="1"/>
      <w:numFmt w:val="bullet"/>
      <w:lvlText w:val="o"/>
      <w:lvlJc w:val="left"/>
      <w:pPr>
        <w:ind w:left="2007" w:hanging="360"/>
      </w:pPr>
      <w:rPr>
        <w:rFonts w:ascii="Courier New" w:hAnsi="Courier New" w:cs="Courier New" w:hint="default"/>
      </w:rPr>
    </w:lvl>
    <w:lvl w:ilvl="2" w:tplc="240A0005">
      <w:start w:val="1"/>
      <w:numFmt w:val="bullet"/>
      <w:lvlText w:val=""/>
      <w:lvlJc w:val="left"/>
      <w:pPr>
        <w:ind w:left="2727" w:hanging="360"/>
      </w:pPr>
      <w:rPr>
        <w:rFonts w:ascii="Wingdings" w:hAnsi="Wingdings" w:hint="default"/>
      </w:rPr>
    </w:lvl>
    <w:lvl w:ilvl="3" w:tplc="240A0001">
      <w:start w:val="1"/>
      <w:numFmt w:val="bullet"/>
      <w:lvlText w:val=""/>
      <w:lvlJc w:val="left"/>
      <w:pPr>
        <w:ind w:left="3447" w:hanging="360"/>
      </w:pPr>
      <w:rPr>
        <w:rFonts w:ascii="Symbol" w:hAnsi="Symbol" w:hint="default"/>
      </w:rPr>
    </w:lvl>
    <w:lvl w:ilvl="4" w:tplc="240A0003">
      <w:start w:val="1"/>
      <w:numFmt w:val="bullet"/>
      <w:lvlText w:val="o"/>
      <w:lvlJc w:val="left"/>
      <w:pPr>
        <w:ind w:left="4167" w:hanging="360"/>
      </w:pPr>
      <w:rPr>
        <w:rFonts w:ascii="Courier New" w:hAnsi="Courier New" w:cs="Courier New" w:hint="default"/>
      </w:rPr>
    </w:lvl>
    <w:lvl w:ilvl="5" w:tplc="240A0005">
      <w:start w:val="1"/>
      <w:numFmt w:val="bullet"/>
      <w:lvlText w:val=""/>
      <w:lvlJc w:val="left"/>
      <w:pPr>
        <w:ind w:left="4887" w:hanging="360"/>
      </w:pPr>
      <w:rPr>
        <w:rFonts w:ascii="Wingdings" w:hAnsi="Wingdings" w:hint="default"/>
      </w:rPr>
    </w:lvl>
    <w:lvl w:ilvl="6" w:tplc="240A0001">
      <w:start w:val="1"/>
      <w:numFmt w:val="bullet"/>
      <w:lvlText w:val=""/>
      <w:lvlJc w:val="left"/>
      <w:pPr>
        <w:ind w:left="5607" w:hanging="360"/>
      </w:pPr>
      <w:rPr>
        <w:rFonts w:ascii="Symbol" w:hAnsi="Symbol" w:hint="default"/>
      </w:rPr>
    </w:lvl>
    <w:lvl w:ilvl="7" w:tplc="240A0003">
      <w:start w:val="1"/>
      <w:numFmt w:val="bullet"/>
      <w:lvlText w:val="o"/>
      <w:lvlJc w:val="left"/>
      <w:pPr>
        <w:ind w:left="6327" w:hanging="360"/>
      </w:pPr>
      <w:rPr>
        <w:rFonts w:ascii="Courier New" w:hAnsi="Courier New" w:cs="Courier New" w:hint="default"/>
      </w:rPr>
    </w:lvl>
    <w:lvl w:ilvl="8" w:tplc="240A0005">
      <w:start w:val="1"/>
      <w:numFmt w:val="bullet"/>
      <w:lvlText w:val=""/>
      <w:lvlJc w:val="left"/>
      <w:pPr>
        <w:ind w:left="7047" w:hanging="360"/>
      </w:pPr>
      <w:rPr>
        <w:rFonts w:ascii="Wingdings" w:hAnsi="Wingdings" w:hint="default"/>
      </w:rPr>
    </w:lvl>
  </w:abstractNum>
  <w:abstractNum w:abstractNumId="69" w15:restartNumberingAfterBreak="0">
    <w:nsid w:val="126F58C0"/>
    <w:multiLevelType w:val="hybridMultilevel"/>
    <w:tmpl w:val="F6000468"/>
    <w:lvl w:ilvl="0" w:tplc="B2EEFD8E">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12707A00"/>
    <w:multiLevelType w:val="hybridMultilevel"/>
    <w:tmpl w:val="0772E200"/>
    <w:lvl w:ilvl="0" w:tplc="002E3D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12810869"/>
    <w:multiLevelType w:val="multilevel"/>
    <w:tmpl w:val="84EA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2882C70"/>
    <w:multiLevelType w:val="hybridMultilevel"/>
    <w:tmpl w:val="522CC000"/>
    <w:lvl w:ilvl="0" w:tplc="240A0001">
      <w:start w:val="1"/>
      <w:numFmt w:val="bullet"/>
      <w:lvlText w:val=""/>
      <w:lvlJc w:val="left"/>
      <w:pPr>
        <w:ind w:left="1069" w:hanging="360"/>
      </w:pPr>
      <w:rPr>
        <w:rFonts w:ascii="Symbol" w:hAnsi="Symbol" w:hint="default"/>
      </w:rPr>
    </w:lvl>
    <w:lvl w:ilvl="1" w:tplc="B2E8FD9A">
      <w:start w:val="1"/>
      <w:numFmt w:val="bullet"/>
      <w:lvlText w:val="o"/>
      <w:lvlJc w:val="left"/>
      <w:pPr>
        <w:ind w:left="1789" w:hanging="360"/>
      </w:pPr>
      <w:rPr>
        <w:rFonts w:ascii="Courier New" w:hAnsi="Courier New" w:hint="default"/>
      </w:rPr>
    </w:lvl>
    <w:lvl w:ilvl="2" w:tplc="C4D825E6">
      <w:start w:val="1"/>
      <w:numFmt w:val="bullet"/>
      <w:lvlText w:val=""/>
      <w:lvlJc w:val="left"/>
      <w:pPr>
        <w:ind w:left="2509" w:hanging="360"/>
      </w:pPr>
      <w:rPr>
        <w:rFonts w:ascii="Wingdings" w:hAnsi="Wingdings" w:hint="default"/>
      </w:rPr>
    </w:lvl>
    <w:lvl w:ilvl="3" w:tplc="3A901592">
      <w:start w:val="1"/>
      <w:numFmt w:val="bullet"/>
      <w:lvlText w:val=""/>
      <w:lvlJc w:val="left"/>
      <w:pPr>
        <w:ind w:left="3229" w:hanging="360"/>
      </w:pPr>
      <w:rPr>
        <w:rFonts w:ascii="Symbol" w:hAnsi="Symbol" w:hint="default"/>
      </w:rPr>
    </w:lvl>
    <w:lvl w:ilvl="4" w:tplc="C73CD678">
      <w:start w:val="1"/>
      <w:numFmt w:val="bullet"/>
      <w:lvlText w:val="o"/>
      <w:lvlJc w:val="left"/>
      <w:pPr>
        <w:ind w:left="3949" w:hanging="360"/>
      </w:pPr>
      <w:rPr>
        <w:rFonts w:ascii="Courier New" w:hAnsi="Courier New" w:hint="default"/>
      </w:rPr>
    </w:lvl>
    <w:lvl w:ilvl="5" w:tplc="345AB478">
      <w:start w:val="1"/>
      <w:numFmt w:val="bullet"/>
      <w:lvlText w:val=""/>
      <w:lvlJc w:val="left"/>
      <w:pPr>
        <w:ind w:left="4669" w:hanging="360"/>
      </w:pPr>
      <w:rPr>
        <w:rFonts w:ascii="Wingdings" w:hAnsi="Wingdings" w:hint="default"/>
      </w:rPr>
    </w:lvl>
    <w:lvl w:ilvl="6" w:tplc="0A9E9130">
      <w:start w:val="1"/>
      <w:numFmt w:val="bullet"/>
      <w:lvlText w:val=""/>
      <w:lvlJc w:val="left"/>
      <w:pPr>
        <w:ind w:left="5389" w:hanging="360"/>
      </w:pPr>
      <w:rPr>
        <w:rFonts w:ascii="Symbol" w:hAnsi="Symbol" w:hint="default"/>
      </w:rPr>
    </w:lvl>
    <w:lvl w:ilvl="7" w:tplc="72D24A7A">
      <w:start w:val="1"/>
      <w:numFmt w:val="bullet"/>
      <w:lvlText w:val="o"/>
      <w:lvlJc w:val="left"/>
      <w:pPr>
        <w:ind w:left="6109" w:hanging="360"/>
      </w:pPr>
      <w:rPr>
        <w:rFonts w:ascii="Courier New" w:hAnsi="Courier New" w:hint="default"/>
      </w:rPr>
    </w:lvl>
    <w:lvl w:ilvl="8" w:tplc="B0F08C30">
      <w:start w:val="1"/>
      <w:numFmt w:val="bullet"/>
      <w:lvlText w:val=""/>
      <w:lvlJc w:val="left"/>
      <w:pPr>
        <w:ind w:left="6829" w:hanging="360"/>
      </w:pPr>
      <w:rPr>
        <w:rFonts w:ascii="Wingdings" w:hAnsi="Wingdings" w:hint="default"/>
      </w:rPr>
    </w:lvl>
  </w:abstractNum>
  <w:abstractNum w:abstractNumId="73" w15:restartNumberingAfterBreak="0">
    <w:nsid w:val="129A5FB5"/>
    <w:multiLevelType w:val="hybridMultilevel"/>
    <w:tmpl w:val="4DEA8D5C"/>
    <w:lvl w:ilvl="0" w:tplc="1A4421E0">
      <w:start w:val="1"/>
      <w:numFmt w:val="lowerRoman"/>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13096BB3"/>
    <w:multiLevelType w:val="multilevel"/>
    <w:tmpl w:val="E066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3990958"/>
    <w:multiLevelType w:val="hybridMultilevel"/>
    <w:tmpl w:val="DAE05690"/>
    <w:lvl w:ilvl="0" w:tplc="1A4421E0">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143F5601"/>
    <w:multiLevelType w:val="hybridMultilevel"/>
    <w:tmpl w:val="154EAFE6"/>
    <w:lvl w:ilvl="0" w:tplc="240A0001">
      <w:start w:val="1"/>
      <w:numFmt w:val="bullet"/>
      <w:lvlText w:val=""/>
      <w:lvlJc w:val="left"/>
      <w:pPr>
        <w:ind w:left="360" w:hanging="360"/>
      </w:pPr>
      <w:rPr>
        <w:rFonts w:ascii="Symbol" w:hAnsi="Symbol" w:hint="default"/>
      </w:rPr>
    </w:lvl>
    <w:lvl w:ilvl="1" w:tplc="26169528">
      <w:start w:val="1"/>
      <w:numFmt w:val="lowerLetter"/>
      <w:lvlText w:val="%2."/>
      <w:lvlJc w:val="left"/>
      <w:pPr>
        <w:ind w:left="1425" w:hanging="705"/>
      </w:pPr>
      <w:rPr>
        <w:rFonts w:hint="default"/>
      </w:rPr>
    </w:lvl>
    <w:lvl w:ilvl="2" w:tplc="B5CABCD4">
      <w:start w:val="1"/>
      <w:numFmt w:val="lowerLetter"/>
      <w:lvlText w:val="%3)"/>
      <w:lvlJc w:val="left"/>
      <w:pPr>
        <w:ind w:left="1980" w:hanging="360"/>
      </w:pPr>
      <w:rPr>
        <w:rFonts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7" w15:restartNumberingAfterBreak="0">
    <w:nsid w:val="14401D64"/>
    <w:multiLevelType w:val="hybridMultilevel"/>
    <w:tmpl w:val="61B25FF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4512D2E"/>
    <w:multiLevelType w:val="hybridMultilevel"/>
    <w:tmpl w:val="4828A77E"/>
    <w:lvl w:ilvl="0" w:tplc="A1301BA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Vrinda"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Vrinda"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Vrinda"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14D26A42"/>
    <w:multiLevelType w:val="hybridMultilevel"/>
    <w:tmpl w:val="5FDCE356"/>
    <w:lvl w:ilvl="0" w:tplc="F2B4939A">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59D00124">
      <w:start w:val="727"/>
      <w:numFmt w:val="bullet"/>
      <w:lvlText w:val="-"/>
      <w:lvlJc w:val="left"/>
      <w:pPr>
        <w:ind w:left="2880" w:hanging="360"/>
      </w:pPr>
      <w:rPr>
        <w:rFonts w:ascii="Calibri" w:eastAsiaTheme="minorHAnsi" w:hAnsi="Calibri" w:cstheme="minorBid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14DC6528"/>
    <w:multiLevelType w:val="hybridMultilevel"/>
    <w:tmpl w:val="1A70991E"/>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color w:val="auto"/>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14EC663F"/>
    <w:multiLevelType w:val="hybridMultilevel"/>
    <w:tmpl w:val="A750474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15A62E18"/>
    <w:multiLevelType w:val="hybridMultilevel"/>
    <w:tmpl w:val="19DC6292"/>
    <w:lvl w:ilvl="0" w:tplc="5352EBE2">
      <w:start w:val="1"/>
      <w:numFmt w:val="bullet"/>
      <w:lvlText w:val=""/>
      <w:lvlJc w:val="left"/>
      <w:pPr>
        <w:ind w:left="1123" w:hanging="360"/>
      </w:pPr>
      <w:rPr>
        <w:rFonts w:ascii="Symbol" w:hAnsi="Symbol" w:hint="default"/>
        <w:color w:val="auto"/>
      </w:rPr>
    </w:lvl>
    <w:lvl w:ilvl="1" w:tplc="240A0003" w:tentative="1">
      <w:start w:val="1"/>
      <w:numFmt w:val="bullet"/>
      <w:lvlText w:val="o"/>
      <w:lvlJc w:val="left"/>
      <w:pPr>
        <w:ind w:left="1843" w:hanging="360"/>
      </w:pPr>
      <w:rPr>
        <w:rFonts w:ascii="Courier New" w:hAnsi="Courier New" w:cs="Courier New" w:hint="default"/>
      </w:rPr>
    </w:lvl>
    <w:lvl w:ilvl="2" w:tplc="240A0005" w:tentative="1">
      <w:start w:val="1"/>
      <w:numFmt w:val="bullet"/>
      <w:lvlText w:val=""/>
      <w:lvlJc w:val="left"/>
      <w:pPr>
        <w:ind w:left="2563" w:hanging="360"/>
      </w:pPr>
      <w:rPr>
        <w:rFonts w:ascii="Wingdings" w:hAnsi="Wingdings" w:hint="default"/>
      </w:rPr>
    </w:lvl>
    <w:lvl w:ilvl="3" w:tplc="240A0001" w:tentative="1">
      <w:start w:val="1"/>
      <w:numFmt w:val="bullet"/>
      <w:lvlText w:val=""/>
      <w:lvlJc w:val="left"/>
      <w:pPr>
        <w:ind w:left="3283" w:hanging="360"/>
      </w:pPr>
      <w:rPr>
        <w:rFonts w:ascii="Symbol" w:hAnsi="Symbol" w:hint="default"/>
      </w:rPr>
    </w:lvl>
    <w:lvl w:ilvl="4" w:tplc="240A0003" w:tentative="1">
      <w:start w:val="1"/>
      <w:numFmt w:val="bullet"/>
      <w:lvlText w:val="o"/>
      <w:lvlJc w:val="left"/>
      <w:pPr>
        <w:ind w:left="4003" w:hanging="360"/>
      </w:pPr>
      <w:rPr>
        <w:rFonts w:ascii="Courier New" w:hAnsi="Courier New" w:cs="Courier New" w:hint="default"/>
      </w:rPr>
    </w:lvl>
    <w:lvl w:ilvl="5" w:tplc="240A0005" w:tentative="1">
      <w:start w:val="1"/>
      <w:numFmt w:val="bullet"/>
      <w:lvlText w:val=""/>
      <w:lvlJc w:val="left"/>
      <w:pPr>
        <w:ind w:left="4723" w:hanging="360"/>
      </w:pPr>
      <w:rPr>
        <w:rFonts w:ascii="Wingdings" w:hAnsi="Wingdings" w:hint="default"/>
      </w:rPr>
    </w:lvl>
    <w:lvl w:ilvl="6" w:tplc="240A0001" w:tentative="1">
      <w:start w:val="1"/>
      <w:numFmt w:val="bullet"/>
      <w:lvlText w:val=""/>
      <w:lvlJc w:val="left"/>
      <w:pPr>
        <w:ind w:left="5443" w:hanging="360"/>
      </w:pPr>
      <w:rPr>
        <w:rFonts w:ascii="Symbol" w:hAnsi="Symbol" w:hint="default"/>
      </w:rPr>
    </w:lvl>
    <w:lvl w:ilvl="7" w:tplc="240A0003" w:tentative="1">
      <w:start w:val="1"/>
      <w:numFmt w:val="bullet"/>
      <w:lvlText w:val="o"/>
      <w:lvlJc w:val="left"/>
      <w:pPr>
        <w:ind w:left="6163" w:hanging="360"/>
      </w:pPr>
      <w:rPr>
        <w:rFonts w:ascii="Courier New" w:hAnsi="Courier New" w:cs="Courier New" w:hint="default"/>
      </w:rPr>
    </w:lvl>
    <w:lvl w:ilvl="8" w:tplc="240A0005" w:tentative="1">
      <w:start w:val="1"/>
      <w:numFmt w:val="bullet"/>
      <w:lvlText w:val=""/>
      <w:lvlJc w:val="left"/>
      <w:pPr>
        <w:ind w:left="6883" w:hanging="360"/>
      </w:pPr>
      <w:rPr>
        <w:rFonts w:ascii="Wingdings" w:hAnsi="Wingdings" w:hint="default"/>
      </w:rPr>
    </w:lvl>
  </w:abstractNum>
  <w:abstractNum w:abstractNumId="83" w15:restartNumberingAfterBreak="0">
    <w:nsid w:val="16125631"/>
    <w:multiLevelType w:val="hybridMultilevel"/>
    <w:tmpl w:val="D8003276"/>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16E03DF3"/>
    <w:multiLevelType w:val="hybridMultilevel"/>
    <w:tmpl w:val="0CDCD508"/>
    <w:lvl w:ilvl="0" w:tplc="1A4421E0">
      <w:start w:val="1"/>
      <w:numFmt w:val="lowerRoman"/>
      <w:lvlText w:val="%1)"/>
      <w:lvlJc w:val="left"/>
      <w:pPr>
        <w:ind w:left="1080" w:hanging="72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171E1BA2"/>
    <w:multiLevelType w:val="hybridMultilevel"/>
    <w:tmpl w:val="90F8E1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173868B2"/>
    <w:multiLevelType w:val="hybridMultilevel"/>
    <w:tmpl w:val="55D086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173E64C8"/>
    <w:multiLevelType w:val="hybridMultilevel"/>
    <w:tmpl w:val="35F20C02"/>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175F3CA1"/>
    <w:multiLevelType w:val="hybridMultilevel"/>
    <w:tmpl w:val="7DE2E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179C7378"/>
    <w:multiLevelType w:val="hybridMultilevel"/>
    <w:tmpl w:val="1F52109C"/>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185650BC"/>
    <w:multiLevelType w:val="hybridMultilevel"/>
    <w:tmpl w:val="18C6DA68"/>
    <w:lvl w:ilvl="0" w:tplc="ECCCCD1C">
      <w:start w:val="1"/>
      <w:numFmt w:val="decimal"/>
      <w:lvlText w:val="%1."/>
      <w:lvlJc w:val="left"/>
      <w:pPr>
        <w:ind w:left="455" w:hanging="360"/>
      </w:pPr>
      <w:rPr>
        <w:rFonts w:hint="default"/>
      </w:rPr>
    </w:lvl>
    <w:lvl w:ilvl="1" w:tplc="240A0019" w:tentative="1">
      <w:start w:val="1"/>
      <w:numFmt w:val="lowerLetter"/>
      <w:lvlText w:val="%2."/>
      <w:lvlJc w:val="left"/>
      <w:pPr>
        <w:ind w:left="1175" w:hanging="360"/>
      </w:pPr>
    </w:lvl>
    <w:lvl w:ilvl="2" w:tplc="240A001B" w:tentative="1">
      <w:start w:val="1"/>
      <w:numFmt w:val="lowerRoman"/>
      <w:lvlText w:val="%3."/>
      <w:lvlJc w:val="right"/>
      <w:pPr>
        <w:ind w:left="1895" w:hanging="180"/>
      </w:pPr>
    </w:lvl>
    <w:lvl w:ilvl="3" w:tplc="240A000F" w:tentative="1">
      <w:start w:val="1"/>
      <w:numFmt w:val="decimal"/>
      <w:lvlText w:val="%4."/>
      <w:lvlJc w:val="left"/>
      <w:pPr>
        <w:ind w:left="2615" w:hanging="360"/>
      </w:pPr>
    </w:lvl>
    <w:lvl w:ilvl="4" w:tplc="240A0019" w:tentative="1">
      <w:start w:val="1"/>
      <w:numFmt w:val="lowerLetter"/>
      <w:lvlText w:val="%5."/>
      <w:lvlJc w:val="left"/>
      <w:pPr>
        <w:ind w:left="3335" w:hanging="360"/>
      </w:pPr>
    </w:lvl>
    <w:lvl w:ilvl="5" w:tplc="240A001B" w:tentative="1">
      <w:start w:val="1"/>
      <w:numFmt w:val="lowerRoman"/>
      <w:lvlText w:val="%6."/>
      <w:lvlJc w:val="right"/>
      <w:pPr>
        <w:ind w:left="4055" w:hanging="180"/>
      </w:pPr>
    </w:lvl>
    <w:lvl w:ilvl="6" w:tplc="240A000F" w:tentative="1">
      <w:start w:val="1"/>
      <w:numFmt w:val="decimal"/>
      <w:lvlText w:val="%7."/>
      <w:lvlJc w:val="left"/>
      <w:pPr>
        <w:ind w:left="4775" w:hanging="360"/>
      </w:pPr>
    </w:lvl>
    <w:lvl w:ilvl="7" w:tplc="240A0019" w:tentative="1">
      <w:start w:val="1"/>
      <w:numFmt w:val="lowerLetter"/>
      <w:lvlText w:val="%8."/>
      <w:lvlJc w:val="left"/>
      <w:pPr>
        <w:ind w:left="5495" w:hanging="360"/>
      </w:pPr>
    </w:lvl>
    <w:lvl w:ilvl="8" w:tplc="240A001B" w:tentative="1">
      <w:start w:val="1"/>
      <w:numFmt w:val="lowerRoman"/>
      <w:lvlText w:val="%9."/>
      <w:lvlJc w:val="right"/>
      <w:pPr>
        <w:ind w:left="6215" w:hanging="180"/>
      </w:pPr>
    </w:lvl>
  </w:abstractNum>
  <w:abstractNum w:abstractNumId="91" w15:restartNumberingAfterBreak="0">
    <w:nsid w:val="18745A71"/>
    <w:multiLevelType w:val="hybridMultilevel"/>
    <w:tmpl w:val="B4383B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2" w15:restartNumberingAfterBreak="0">
    <w:nsid w:val="1896710D"/>
    <w:multiLevelType w:val="multilevel"/>
    <w:tmpl w:val="B1B0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8B7544B"/>
    <w:multiLevelType w:val="hybridMultilevel"/>
    <w:tmpl w:val="32DCAA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1948162D"/>
    <w:multiLevelType w:val="hybridMultilevel"/>
    <w:tmpl w:val="D92AD59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5" w15:restartNumberingAfterBreak="0">
    <w:nsid w:val="196446EF"/>
    <w:multiLevelType w:val="hybridMultilevel"/>
    <w:tmpl w:val="229ADD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19E64849"/>
    <w:multiLevelType w:val="hybridMultilevel"/>
    <w:tmpl w:val="26724C2A"/>
    <w:lvl w:ilvl="0" w:tplc="4DB80760">
      <w:start w:val="1"/>
      <w:numFmt w:val="bullet"/>
      <w:lvlText w:val="­"/>
      <w:lvlJc w:val="left"/>
      <w:pPr>
        <w:ind w:left="360" w:hanging="360"/>
      </w:pPr>
      <w:rPr>
        <w:rFonts w:ascii="Courier New" w:hAnsi="Courier New" w:cs="Times New Roman" w:hint="default"/>
        <w:color w:val="auto"/>
      </w:rPr>
    </w:lvl>
    <w:lvl w:ilvl="1" w:tplc="1B4A25EA">
      <w:numFmt w:val="bullet"/>
      <w:lvlText w:val="•"/>
      <w:lvlJc w:val="left"/>
      <w:pPr>
        <w:ind w:left="1080" w:hanging="360"/>
      </w:pPr>
      <w:rPr>
        <w:rFonts w:ascii="Arial Narrow" w:eastAsia="Times New Roman" w:hAnsi="Arial Narrow"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15:restartNumberingAfterBreak="0">
    <w:nsid w:val="1A450ACD"/>
    <w:multiLevelType w:val="hybridMultilevel"/>
    <w:tmpl w:val="29DE6CA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8" w15:restartNumberingAfterBreak="0">
    <w:nsid w:val="1A783530"/>
    <w:multiLevelType w:val="hybridMultilevel"/>
    <w:tmpl w:val="912852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1AEC0FD0"/>
    <w:multiLevelType w:val="hybridMultilevel"/>
    <w:tmpl w:val="AFDAC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1B4A27F7"/>
    <w:multiLevelType w:val="hybridMultilevel"/>
    <w:tmpl w:val="EB1ACC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1B5B33EF"/>
    <w:multiLevelType w:val="hybridMultilevel"/>
    <w:tmpl w:val="49907B8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1B665F16"/>
    <w:multiLevelType w:val="hybridMultilevel"/>
    <w:tmpl w:val="777A137A"/>
    <w:lvl w:ilvl="0" w:tplc="82DCA7BE">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1B694DF2"/>
    <w:multiLevelType w:val="multilevel"/>
    <w:tmpl w:val="E6F8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B7C07A8"/>
    <w:multiLevelType w:val="hybridMultilevel"/>
    <w:tmpl w:val="E1BCA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1BAC4DF1"/>
    <w:multiLevelType w:val="hybridMultilevel"/>
    <w:tmpl w:val="B69AE068"/>
    <w:lvl w:ilvl="0" w:tplc="4DB80760">
      <w:start w:val="1"/>
      <w:numFmt w:val="bullet"/>
      <w:lvlText w:val="­"/>
      <w:lvlJc w:val="left"/>
      <w:pPr>
        <w:ind w:left="720" w:hanging="360"/>
      </w:pPr>
      <w:rPr>
        <w:rFonts w:ascii="Courier New" w:hAnsi="Courier New" w:cs="Times New Roman"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1BE141FB"/>
    <w:multiLevelType w:val="hybridMultilevel"/>
    <w:tmpl w:val="16F04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1BF6697D"/>
    <w:multiLevelType w:val="multilevel"/>
    <w:tmpl w:val="5BD80080"/>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1C3C54AC"/>
    <w:multiLevelType w:val="hybridMultilevel"/>
    <w:tmpl w:val="B1B610B0"/>
    <w:lvl w:ilvl="0" w:tplc="4DB80760">
      <w:start w:val="1"/>
      <w:numFmt w:val="bullet"/>
      <w:lvlText w:val="­"/>
      <w:lvlJc w:val="left"/>
      <w:pPr>
        <w:ind w:left="720" w:hanging="360"/>
      </w:pPr>
      <w:rPr>
        <w:rFonts w:ascii="Courier New" w:hAnsi="Courier New" w:cs="Times New Roman" w:hint="default"/>
        <w:b w:val="0"/>
        <w:i w:val="0"/>
        <w:color w:val="auto"/>
        <w:sz w:val="24"/>
        <w:lang w:val="es-C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1C45434E"/>
    <w:multiLevelType w:val="hybridMultilevel"/>
    <w:tmpl w:val="7B6AFA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1CDF4169"/>
    <w:multiLevelType w:val="hybridMultilevel"/>
    <w:tmpl w:val="D9F635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1" w15:restartNumberingAfterBreak="0">
    <w:nsid w:val="1D0E61F6"/>
    <w:multiLevelType w:val="hybridMultilevel"/>
    <w:tmpl w:val="3446E922"/>
    <w:lvl w:ilvl="0" w:tplc="14D20D7A">
      <w:start w:val="1"/>
      <w:numFmt w:val="upperRoman"/>
      <w:pStyle w:val="Tituloaparte"/>
      <w:lvlText w:val="%1."/>
      <w:lvlJc w:val="right"/>
      <w:pPr>
        <w:ind w:left="720" w:hanging="360"/>
      </w:pPr>
    </w:lvl>
    <w:lvl w:ilvl="1" w:tplc="4914E3D4">
      <w:start w:val="1"/>
      <w:numFmt w:val="decimal"/>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1D520B66"/>
    <w:multiLevelType w:val="hybridMultilevel"/>
    <w:tmpl w:val="E724F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1DB2638D"/>
    <w:multiLevelType w:val="hybridMultilevel"/>
    <w:tmpl w:val="D9F06D20"/>
    <w:lvl w:ilvl="0" w:tplc="529C9D72">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1DDA6183"/>
    <w:multiLevelType w:val="hybridMultilevel"/>
    <w:tmpl w:val="232CC6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15:restartNumberingAfterBreak="0">
    <w:nsid w:val="1E6006FB"/>
    <w:multiLevelType w:val="hybridMultilevel"/>
    <w:tmpl w:val="E0444A06"/>
    <w:lvl w:ilvl="0" w:tplc="4DB80760">
      <w:start w:val="1"/>
      <w:numFmt w:val="bullet"/>
      <w:lvlText w:val="­"/>
      <w:lvlJc w:val="left"/>
      <w:pPr>
        <w:ind w:left="1287" w:hanging="360"/>
      </w:pPr>
      <w:rPr>
        <w:rFonts w:ascii="Courier New" w:hAnsi="Courier New" w:cs="Times New Roman"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6" w15:restartNumberingAfterBreak="0">
    <w:nsid w:val="1EE45760"/>
    <w:multiLevelType w:val="hybridMultilevel"/>
    <w:tmpl w:val="E36C3F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1EE73563"/>
    <w:multiLevelType w:val="hybridMultilevel"/>
    <w:tmpl w:val="B7C0B964"/>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8" w15:restartNumberingAfterBreak="0">
    <w:nsid w:val="1EFA1F30"/>
    <w:multiLevelType w:val="hybridMultilevel"/>
    <w:tmpl w:val="3A204C0E"/>
    <w:lvl w:ilvl="0" w:tplc="1276B62A">
      <w:start w:val="1"/>
      <w:numFmt w:val="lowerLetter"/>
      <w:lvlText w:val="%1."/>
      <w:lvlJc w:val="left"/>
      <w:pPr>
        <w:ind w:left="1408" w:hanging="567"/>
      </w:pPr>
      <w:rPr>
        <w:rFonts w:ascii="Arial" w:eastAsia="Arial" w:hAnsi="Arial" w:cs="Arial" w:hint="default"/>
        <w:b/>
        <w:bCs/>
        <w:spacing w:val="-6"/>
        <w:w w:val="99"/>
        <w:sz w:val="24"/>
        <w:szCs w:val="24"/>
      </w:rPr>
    </w:lvl>
    <w:lvl w:ilvl="1" w:tplc="FA16E9CC">
      <w:numFmt w:val="bullet"/>
      <w:lvlText w:val="•"/>
      <w:lvlJc w:val="left"/>
      <w:pPr>
        <w:ind w:left="2296" w:hanging="567"/>
      </w:pPr>
      <w:rPr>
        <w:rFonts w:hint="default"/>
      </w:rPr>
    </w:lvl>
    <w:lvl w:ilvl="2" w:tplc="F4586442">
      <w:numFmt w:val="bullet"/>
      <w:lvlText w:val="•"/>
      <w:lvlJc w:val="left"/>
      <w:pPr>
        <w:ind w:left="3192" w:hanging="567"/>
      </w:pPr>
      <w:rPr>
        <w:rFonts w:hint="default"/>
      </w:rPr>
    </w:lvl>
    <w:lvl w:ilvl="3" w:tplc="D14A9936">
      <w:numFmt w:val="bullet"/>
      <w:lvlText w:val="•"/>
      <w:lvlJc w:val="left"/>
      <w:pPr>
        <w:ind w:left="4088" w:hanging="567"/>
      </w:pPr>
      <w:rPr>
        <w:rFonts w:hint="default"/>
      </w:rPr>
    </w:lvl>
    <w:lvl w:ilvl="4" w:tplc="46EA07BA">
      <w:numFmt w:val="bullet"/>
      <w:lvlText w:val="•"/>
      <w:lvlJc w:val="left"/>
      <w:pPr>
        <w:ind w:left="4984" w:hanging="567"/>
      </w:pPr>
      <w:rPr>
        <w:rFonts w:hint="default"/>
      </w:rPr>
    </w:lvl>
    <w:lvl w:ilvl="5" w:tplc="E2FA2E2A">
      <w:numFmt w:val="bullet"/>
      <w:lvlText w:val="•"/>
      <w:lvlJc w:val="left"/>
      <w:pPr>
        <w:ind w:left="5881" w:hanging="567"/>
      </w:pPr>
      <w:rPr>
        <w:rFonts w:hint="default"/>
      </w:rPr>
    </w:lvl>
    <w:lvl w:ilvl="6" w:tplc="5F1AF04C">
      <w:numFmt w:val="bullet"/>
      <w:lvlText w:val="•"/>
      <w:lvlJc w:val="left"/>
      <w:pPr>
        <w:ind w:left="6777" w:hanging="567"/>
      </w:pPr>
      <w:rPr>
        <w:rFonts w:hint="default"/>
      </w:rPr>
    </w:lvl>
    <w:lvl w:ilvl="7" w:tplc="20D4E4FE">
      <w:numFmt w:val="bullet"/>
      <w:lvlText w:val="•"/>
      <w:lvlJc w:val="left"/>
      <w:pPr>
        <w:ind w:left="7673" w:hanging="567"/>
      </w:pPr>
      <w:rPr>
        <w:rFonts w:hint="default"/>
      </w:rPr>
    </w:lvl>
    <w:lvl w:ilvl="8" w:tplc="9738EBC8">
      <w:numFmt w:val="bullet"/>
      <w:lvlText w:val="•"/>
      <w:lvlJc w:val="left"/>
      <w:pPr>
        <w:ind w:left="8569" w:hanging="567"/>
      </w:pPr>
      <w:rPr>
        <w:rFonts w:hint="default"/>
      </w:rPr>
    </w:lvl>
  </w:abstractNum>
  <w:abstractNum w:abstractNumId="119" w15:restartNumberingAfterBreak="0">
    <w:nsid w:val="1F02341D"/>
    <w:multiLevelType w:val="hybridMultilevel"/>
    <w:tmpl w:val="443288C2"/>
    <w:lvl w:ilvl="0" w:tplc="04090003">
      <w:start w:val="1"/>
      <w:numFmt w:val="bullet"/>
      <w:lvlText w:val="o"/>
      <w:lvlJc w:val="left"/>
      <w:pPr>
        <w:ind w:left="1440" w:hanging="360"/>
      </w:pPr>
      <w:rPr>
        <w:rFonts w:ascii="Courier New" w:hAnsi="Courier New" w:cs="Courier New" w:hint="default"/>
      </w:rPr>
    </w:lvl>
    <w:lvl w:ilvl="1" w:tplc="D9EE16D8">
      <w:numFmt w:val="bullet"/>
      <w:lvlText w:val=""/>
      <w:lvlJc w:val="left"/>
      <w:pPr>
        <w:ind w:left="2520" w:hanging="720"/>
      </w:pPr>
      <w:rPr>
        <w:rFonts w:ascii="Symbol" w:eastAsia="Times New Roman" w:hAnsi="Symbol" w:cs="Arial"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20" w15:restartNumberingAfterBreak="0">
    <w:nsid w:val="1F18152A"/>
    <w:multiLevelType w:val="hybridMultilevel"/>
    <w:tmpl w:val="39108F50"/>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1F1A5CF4"/>
    <w:multiLevelType w:val="hybridMultilevel"/>
    <w:tmpl w:val="E6F4BBE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2" w15:restartNumberingAfterBreak="0">
    <w:nsid w:val="1F664549"/>
    <w:multiLevelType w:val="hybridMultilevel"/>
    <w:tmpl w:val="0D5A76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3" w15:restartNumberingAfterBreak="0">
    <w:nsid w:val="1F7E62A5"/>
    <w:multiLevelType w:val="hybridMultilevel"/>
    <w:tmpl w:val="C16C0638"/>
    <w:lvl w:ilvl="0" w:tplc="390E56E0">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1F94384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1F9B4372"/>
    <w:multiLevelType w:val="hybridMultilevel"/>
    <w:tmpl w:val="56AED0CC"/>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1FA41E71"/>
    <w:multiLevelType w:val="hybridMultilevel"/>
    <w:tmpl w:val="F830E590"/>
    <w:lvl w:ilvl="0" w:tplc="4DB80760">
      <w:start w:val="1"/>
      <w:numFmt w:val="bullet"/>
      <w:lvlText w:val="­"/>
      <w:lvlJc w:val="left"/>
      <w:pPr>
        <w:ind w:left="360" w:hanging="360"/>
      </w:pPr>
      <w:rPr>
        <w:rFonts w:ascii="Courier New" w:hAnsi="Courier New" w:cs="Times New Roman"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7" w15:restartNumberingAfterBreak="0">
    <w:nsid w:val="1FC6248B"/>
    <w:multiLevelType w:val="hybridMultilevel"/>
    <w:tmpl w:val="3B4EA59C"/>
    <w:lvl w:ilvl="0" w:tplc="4DB80760">
      <w:start w:val="1"/>
      <w:numFmt w:val="bullet"/>
      <w:lvlText w:val="­"/>
      <w:lvlJc w:val="left"/>
      <w:pPr>
        <w:ind w:left="720" w:hanging="360"/>
      </w:pPr>
      <w:rPr>
        <w:rFonts w:ascii="Courier New" w:hAnsi="Courier New"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0034BEA"/>
    <w:multiLevelType w:val="hybridMultilevel"/>
    <w:tmpl w:val="5FDCE356"/>
    <w:lvl w:ilvl="0" w:tplc="F2B4939A">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59D00124">
      <w:start w:val="727"/>
      <w:numFmt w:val="bullet"/>
      <w:lvlText w:val="-"/>
      <w:lvlJc w:val="left"/>
      <w:pPr>
        <w:ind w:left="2880" w:hanging="360"/>
      </w:pPr>
      <w:rPr>
        <w:rFonts w:ascii="Calibri" w:eastAsiaTheme="minorHAnsi" w:hAnsi="Calibri" w:cstheme="minorBid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200D4487"/>
    <w:multiLevelType w:val="hybridMultilevel"/>
    <w:tmpl w:val="B5B456F6"/>
    <w:lvl w:ilvl="0" w:tplc="DC7877A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20D36DC0"/>
    <w:multiLevelType w:val="hybridMultilevel"/>
    <w:tmpl w:val="768EB0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1062CC4"/>
    <w:multiLevelType w:val="hybridMultilevel"/>
    <w:tmpl w:val="BD54FA5A"/>
    <w:lvl w:ilvl="0" w:tplc="080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21075469"/>
    <w:multiLevelType w:val="hybridMultilevel"/>
    <w:tmpl w:val="202ECA1A"/>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21BD1AED"/>
    <w:multiLevelType w:val="hybridMultilevel"/>
    <w:tmpl w:val="F3906C90"/>
    <w:lvl w:ilvl="0" w:tplc="AD7AB39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4" w15:restartNumberingAfterBreak="0">
    <w:nsid w:val="22293F33"/>
    <w:multiLevelType w:val="hybridMultilevel"/>
    <w:tmpl w:val="7F0C68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5" w15:restartNumberingAfterBreak="0">
    <w:nsid w:val="22815814"/>
    <w:multiLevelType w:val="hybridMultilevel"/>
    <w:tmpl w:val="A20AFF8E"/>
    <w:lvl w:ilvl="0" w:tplc="59D00124">
      <w:start w:val="727"/>
      <w:numFmt w:val="bullet"/>
      <w:lvlText w:val="-"/>
      <w:lvlJc w:val="left"/>
      <w:pPr>
        <w:ind w:left="780" w:hanging="360"/>
      </w:pPr>
      <w:rPr>
        <w:rFonts w:ascii="Calibri" w:eastAsiaTheme="minorHAnsi" w:hAnsi="Calibri" w:cstheme="minorBidi"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36" w15:restartNumberingAfterBreak="0">
    <w:nsid w:val="229C6B97"/>
    <w:multiLevelType w:val="hybridMultilevel"/>
    <w:tmpl w:val="BDF01D8C"/>
    <w:lvl w:ilvl="0" w:tplc="ED2899BC">
      <w:numFmt w:val="bullet"/>
      <w:lvlText w:val="-"/>
      <w:lvlJc w:val="left"/>
      <w:pPr>
        <w:ind w:left="720" w:hanging="360"/>
      </w:pPr>
      <w:rPr>
        <w:rFonts w:ascii="Arial" w:eastAsia="Times New Roman"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15:restartNumberingAfterBreak="0">
    <w:nsid w:val="229D21A8"/>
    <w:multiLevelType w:val="hybridMultilevel"/>
    <w:tmpl w:val="A1C0AF42"/>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22E148EF"/>
    <w:multiLevelType w:val="hybridMultilevel"/>
    <w:tmpl w:val="7EE0F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23967567"/>
    <w:multiLevelType w:val="hybridMultilevel"/>
    <w:tmpl w:val="9DA67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15:restartNumberingAfterBreak="0">
    <w:nsid w:val="24A34709"/>
    <w:multiLevelType w:val="hybridMultilevel"/>
    <w:tmpl w:val="DBA8631A"/>
    <w:lvl w:ilvl="0" w:tplc="DC7877A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4C607B3"/>
    <w:multiLevelType w:val="hybridMultilevel"/>
    <w:tmpl w:val="FF5E753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2" w15:restartNumberingAfterBreak="0">
    <w:nsid w:val="25417540"/>
    <w:multiLevelType w:val="hybridMultilevel"/>
    <w:tmpl w:val="C5AC05E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3" w15:restartNumberingAfterBreak="0">
    <w:nsid w:val="258174EA"/>
    <w:multiLevelType w:val="hybridMultilevel"/>
    <w:tmpl w:val="F45270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26170912"/>
    <w:multiLevelType w:val="hybridMultilevel"/>
    <w:tmpl w:val="BEB0F3E4"/>
    <w:lvl w:ilvl="0" w:tplc="FC107DA8">
      <w:start w:val="1"/>
      <w:numFmt w:val="bullet"/>
      <w:pStyle w:val="bolita"/>
      <w:lvlText w:val="o"/>
      <w:lvlJc w:val="left"/>
      <w:pPr>
        <w:ind w:left="1077" w:hanging="360"/>
      </w:pPr>
      <w:rPr>
        <w:rFonts w:ascii="Courier New" w:hAnsi="Courier New" w:cs="Courier New" w:hint="default"/>
        <w:color w:val="auto"/>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45" w15:restartNumberingAfterBreak="0">
    <w:nsid w:val="262C21E1"/>
    <w:multiLevelType w:val="hybridMultilevel"/>
    <w:tmpl w:val="10CE31A4"/>
    <w:lvl w:ilvl="0" w:tplc="A69069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6" w15:restartNumberingAfterBreak="0">
    <w:nsid w:val="26541169"/>
    <w:multiLevelType w:val="hybridMultilevel"/>
    <w:tmpl w:val="4768C4CE"/>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26FF3EC4"/>
    <w:multiLevelType w:val="hybridMultilevel"/>
    <w:tmpl w:val="71706C0C"/>
    <w:lvl w:ilvl="0" w:tplc="D6E6E8F4">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8" w15:restartNumberingAfterBreak="0">
    <w:nsid w:val="274547C6"/>
    <w:multiLevelType w:val="hybridMultilevel"/>
    <w:tmpl w:val="7B780902"/>
    <w:lvl w:ilvl="0" w:tplc="240A0003">
      <w:start w:val="1"/>
      <w:numFmt w:val="bullet"/>
      <w:lvlText w:val="o"/>
      <w:lvlJc w:val="left"/>
      <w:pPr>
        <w:ind w:left="1180" w:hanging="360"/>
      </w:pPr>
      <w:rPr>
        <w:rFonts w:ascii="Courier New" w:hAnsi="Courier New" w:cs="Courier New" w:hint="default"/>
      </w:rPr>
    </w:lvl>
    <w:lvl w:ilvl="1" w:tplc="240A0003" w:tentative="1">
      <w:start w:val="1"/>
      <w:numFmt w:val="bullet"/>
      <w:lvlText w:val="o"/>
      <w:lvlJc w:val="left"/>
      <w:pPr>
        <w:ind w:left="1900" w:hanging="360"/>
      </w:pPr>
      <w:rPr>
        <w:rFonts w:ascii="Courier New" w:hAnsi="Courier New" w:cs="Courier New" w:hint="default"/>
      </w:rPr>
    </w:lvl>
    <w:lvl w:ilvl="2" w:tplc="240A0005" w:tentative="1">
      <w:start w:val="1"/>
      <w:numFmt w:val="bullet"/>
      <w:lvlText w:val=""/>
      <w:lvlJc w:val="left"/>
      <w:pPr>
        <w:ind w:left="2620" w:hanging="360"/>
      </w:pPr>
      <w:rPr>
        <w:rFonts w:ascii="Wingdings" w:hAnsi="Wingdings" w:hint="default"/>
      </w:rPr>
    </w:lvl>
    <w:lvl w:ilvl="3" w:tplc="240A0001" w:tentative="1">
      <w:start w:val="1"/>
      <w:numFmt w:val="bullet"/>
      <w:lvlText w:val=""/>
      <w:lvlJc w:val="left"/>
      <w:pPr>
        <w:ind w:left="3340" w:hanging="360"/>
      </w:pPr>
      <w:rPr>
        <w:rFonts w:ascii="Symbol" w:hAnsi="Symbol" w:hint="default"/>
      </w:rPr>
    </w:lvl>
    <w:lvl w:ilvl="4" w:tplc="240A0003" w:tentative="1">
      <w:start w:val="1"/>
      <w:numFmt w:val="bullet"/>
      <w:lvlText w:val="o"/>
      <w:lvlJc w:val="left"/>
      <w:pPr>
        <w:ind w:left="4060" w:hanging="360"/>
      </w:pPr>
      <w:rPr>
        <w:rFonts w:ascii="Courier New" w:hAnsi="Courier New" w:cs="Courier New" w:hint="default"/>
      </w:rPr>
    </w:lvl>
    <w:lvl w:ilvl="5" w:tplc="240A0005" w:tentative="1">
      <w:start w:val="1"/>
      <w:numFmt w:val="bullet"/>
      <w:lvlText w:val=""/>
      <w:lvlJc w:val="left"/>
      <w:pPr>
        <w:ind w:left="4780" w:hanging="360"/>
      </w:pPr>
      <w:rPr>
        <w:rFonts w:ascii="Wingdings" w:hAnsi="Wingdings" w:hint="default"/>
      </w:rPr>
    </w:lvl>
    <w:lvl w:ilvl="6" w:tplc="240A0001" w:tentative="1">
      <w:start w:val="1"/>
      <w:numFmt w:val="bullet"/>
      <w:lvlText w:val=""/>
      <w:lvlJc w:val="left"/>
      <w:pPr>
        <w:ind w:left="5500" w:hanging="360"/>
      </w:pPr>
      <w:rPr>
        <w:rFonts w:ascii="Symbol" w:hAnsi="Symbol" w:hint="default"/>
      </w:rPr>
    </w:lvl>
    <w:lvl w:ilvl="7" w:tplc="240A0003" w:tentative="1">
      <w:start w:val="1"/>
      <w:numFmt w:val="bullet"/>
      <w:lvlText w:val="o"/>
      <w:lvlJc w:val="left"/>
      <w:pPr>
        <w:ind w:left="6220" w:hanging="360"/>
      </w:pPr>
      <w:rPr>
        <w:rFonts w:ascii="Courier New" w:hAnsi="Courier New" w:cs="Courier New" w:hint="default"/>
      </w:rPr>
    </w:lvl>
    <w:lvl w:ilvl="8" w:tplc="240A0005" w:tentative="1">
      <w:start w:val="1"/>
      <w:numFmt w:val="bullet"/>
      <w:lvlText w:val=""/>
      <w:lvlJc w:val="left"/>
      <w:pPr>
        <w:ind w:left="6940" w:hanging="360"/>
      </w:pPr>
      <w:rPr>
        <w:rFonts w:ascii="Wingdings" w:hAnsi="Wingdings" w:hint="default"/>
      </w:rPr>
    </w:lvl>
  </w:abstractNum>
  <w:abstractNum w:abstractNumId="149" w15:restartNumberingAfterBreak="0">
    <w:nsid w:val="28127A49"/>
    <w:multiLevelType w:val="hybridMultilevel"/>
    <w:tmpl w:val="43BE2F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28307A77"/>
    <w:multiLevelType w:val="hybridMultilevel"/>
    <w:tmpl w:val="2366677E"/>
    <w:lvl w:ilvl="0" w:tplc="240A0001">
      <w:start w:val="1"/>
      <w:numFmt w:val="bullet"/>
      <w:lvlText w:val=""/>
      <w:lvlJc w:val="left"/>
      <w:pPr>
        <w:ind w:left="720" w:hanging="360"/>
      </w:pPr>
      <w:rPr>
        <w:rFonts w:ascii="Symbol" w:hAnsi="Symbol" w:hint="default"/>
        <w:color w:val="auto"/>
      </w:rPr>
    </w:lvl>
    <w:lvl w:ilvl="1" w:tplc="240A0005">
      <w:start w:val="1"/>
      <w:numFmt w:val="bullet"/>
      <w:lvlText w:val=""/>
      <w:lvlJc w:val="left"/>
      <w:pPr>
        <w:ind w:left="1440" w:hanging="360"/>
      </w:pPr>
      <w:rPr>
        <w:rFonts w:ascii="Wingdings" w:hAnsi="Wingdings" w:hint="default"/>
        <w:color w:val="auto"/>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28964F64"/>
    <w:multiLevelType w:val="hybridMultilevel"/>
    <w:tmpl w:val="DB4CA3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15:restartNumberingAfterBreak="0">
    <w:nsid w:val="28B60759"/>
    <w:multiLevelType w:val="hybridMultilevel"/>
    <w:tmpl w:val="0096CF0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3" w15:restartNumberingAfterBreak="0">
    <w:nsid w:val="29000DAE"/>
    <w:multiLevelType w:val="hybridMultilevel"/>
    <w:tmpl w:val="B4EAE3A2"/>
    <w:lvl w:ilvl="0" w:tplc="0409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4" w15:restartNumberingAfterBreak="0">
    <w:nsid w:val="29833350"/>
    <w:multiLevelType w:val="multilevel"/>
    <w:tmpl w:val="60B473F2"/>
    <w:lvl w:ilvl="0">
      <w:start w:val="3"/>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5" w15:restartNumberingAfterBreak="0">
    <w:nsid w:val="29A146B6"/>
    <w:multiLevelType w:val="hybridMultilevel"/>
    <w:tmpl w:val="6CDEE7EC"/>
    <w:lvl w:ilvl="0" w:tplc="F2B4939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6" w15:restartNumberingAfterBreak="0">
    <w:nsid w:val="29A8457D"/>
    <w:multiLevelType w:val="multilevel"/>
    <w:tmpl w:val="399A3D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2A3446C5"/>
    <w:multiLevelType w:val="hybridMultilevel"/>
    <w:tmpl w:val="8B8E28E2"/>
    <w:lvl w:ilvl="0" w:tplc="BFC6C052">
      <w:start w:val="1"/>
      <w:numFmt w:val="bullet"/>
      <w:lvlText w:val="-"/>
      <w:lvlJc w:val="left"/>
      <w:pPr>
        <w:tabs>
          <w:tab w:val="num" w:pos="720"/>
        </w:tabs>
        <w:ind w:left="720" w:hanging="360"/>
      </w:pPr>
      <w:rPr>
        <w:rFonts w:ascii="Times New Roman" w:hAnsi="Times New Roman" w:hint="default"/>
      </w:rPr>
    </w:lvl>
    <w:lvl w:ilvl="1" w:tplc="7A04648A" w:tentative="1">
      <w:start w:val="1"/>
      <w:numFmt w:val="bullet"/>
      <w:lvlText w:val="-"/>
      <w:lvlJc w:val="left"/>
      <w:pPr>
        <w:tabs>
          <w:tab w:val="num" w:pos="1440"/>
        </w:tabs>
        <w:ind w:left="1440" w:hanging="360"/>
      </w:pPr>
      <w:rPr>
        <w:rFonts w:ascii="Times New Roman" w:hAnsi="Times New Roman" w:hint="default"/>
      </w:rPr>
    </w:lvl>
    <w:lvl w:ilvl="2" w:tplc="7796256C" w:tentative="1">
      <w:start w:val="1"/>
      <w:numFmt w:val="bullet"/>
      <w:lvlText w:val="-"/>
      <w:lvlJc w:val="left"/>
      <w:pPr>
        <w:tabs>
          <w:tab w:val="num" w:pos="2160"/>
        </w:tabs>
        <w:ind w:left="2160" w:hanging="360"/>
      </w:pPr>
      <w:rPr>
        <w:rFonts w:ascii="Times New Roman" w:hAnsi="Times New Roman" w:hint="default"/>
      </w:rPr>
    </w:lvl>
    <w:lvl w:ilvl="3" w:tplc="2A06A450" w:tentative="1">
      <w:start w:val="1"/>
      <w:numFmt w:val="bullet"/>
      <w:lvlText w:val="-"/>
      <w:lvlJc w:val="left"/>
      <w:pPr>
        <w:tabs>
          <w:tab w:val="num" w:pos="2880"/>
        </w:tabs>
        <w:ind w:left="2880" w:hanging="360"/>
      </w:pPr>
      <w:rPr>
        <w:rFonts w:ascii="Times New Roman" w:hAnsi="Times New Roman" w:hint="default"/>
      </w:rPr>
    </w:lvl>
    <w:lvl w:ilvl="4" w:tplc="049630CC" w:tentative="1">
      <w:start w:val="1"/>
      <w:numFmt w:val="bullet"/>
      <w:lvlText w:val="-"/>
      <w:lvlJc w:val="left"/>
      <w:pPr>
        <w:tabs>
          <w:tab w:val="num" w:pos="3600"/>
        </w:tabs>
        <w:ind w:left="3600" w:hanging="360"/>
      </w:pPr>
      <w:rPr>
        <w:rFonts w:ascii="Times New Roman" w:hAnsi="Times New Roman" w:hint="default"/>
      </w:rPr>
    </w:lvl>
    <w:lvl w:ilvl="5" w:tplc="802CC056" w:tentative="1">
      <w:start w:val="1"/>
      <w:numFmt w:val="bullet"/>
      <w:lvlText w:val="-"/>
      <w:lvlJc w:val="left"/>
      <w:pPr>
        <w:tabs>
          <w:tab w:val="num" w:pos="4320"/>
        </w:tabs>
        <w:ind w:left="4320" w:hanging="360"/>
      </w:pPr>
      <w:rPr>
        <w:rFonts w:ascii="Times New Roman" w:hAnsi="Times New Roman" w:hint="default"/>
      </w:rPr>
    </w:lvl>
    <w:lvl w:ilvl="6" w:tplc="2EDC12B6" w:tentative="1">
      <w:start w:val="1"/>
      <w:numFmt w:val="bullet"/>
      <w:lvlText w:val="-"/>
      <w:lvlJc w:val="left"/>
      <w:pPr>
        <w:tabs>
          <w:tab w:val="num" w:pos="5040"/>
        </w:tabs>
        <w:ind w:left="5040" w:hanging="360"/>
      </w:pPr>
      <w:rPr>
        <w:rFonts w:ascii="Times New Roman" w:hAnsi="Times New Roman" w:hint="default"/>
      </w:rPr>
    </w:lvl>
    <w:lvl w:ilvl="7" w:tplc="44F6DCD2" w:tentative="1">
      <w:start w:val="1"/>
      <w:numFmt w:val="bullet"/>
      <w:lvlText w:val="-"/>
      <w:lvlJc w:val="left"/>
      <w:pPr>
        <w:tabs>
          <w:tab w:val="num" w:pos="5760"/>
        </w:tabs>
        <w:ind w:left="5760" w:hanging="360"/>
      </w:pPr>
      <w:rPr>
        <w:rFonts w:ascii="Times New Roman" w:hAnsi="Times New Roman" w:hint="default"/>
      </w:rPr>
    </w:lvl>
    <w:lvl w:ilvl="8" w:tplc="06E01456" w:tentative="1">
      <w:start w:val="1"/>
      <w:numFmt w:val="bullet"/>
      <w:lvlText w:val="-"/>
      <w:lvlJc w:val="left"/>
      <w:pPr>
        <w:tabs>
          <w:tab w:val="num" w:pos="6480"/>
        </w:tabs>
        <w:ind w:left="6480" w:hanging="360"/>
      </w:pPr>
      <w:rPr>
        <w:rFonts w:ascii="Times New Roman" w:hAnsi="Times New Roman" w:hint="default"/>
      </w:rPr>
    </w:lvl>
  </w:abstractNum>
  <w:abstractNum w:abstractNumId="158" w15:restartNumberingAfterBreak="0">
    <w:nsid w:val="2A4E257D"/>
    <w:multiLevelType w:val="hybridMultilevel"/>
    <w:tmpl w:val="57EED486"/>
    <w:lvl w:ilvl="0" w:tplc="FFFFFFFF">
      <w:start w:val="1"/>
      <w:numFmt w:val="bullet"/>
      <w:lvlText w:val=""/>
      <w:lvlJc w:val="left"/>
      <w:pPr>
        <w:ind w:left="720" w:hanging="360"/>
      </w:pPr>
      <w:rPr>
        <w:rFonts w:ascii="Symbol" w:hAnsi="Symbol" w:hint="default"/>
      </w:rPr>
    </w:lvl>
    <w:lvl w:ilvl="1" w:tplc="4DB80760">
      <w:start w:val="1"/>
      <w:numFmt w:val="bullet"/>
      <w:lvlText w:val="­"/>
      <w:lvlJc w:val="left"/>
      <w:pPr>
        <w:ind w:left="720" w:hanging="360"/>
      </w:pPr>
      <w:rPr>
        <w:rFonts w:ascii="Courier New" w:hAnsi="Courier New" w:cs="Times New Roman" w:hint="default"/>
        <w:color w:val="auto"/>
        <w:lang w:val="es-C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2B4E1C6B"/>
    <w:multiLevelType w:val="hybridMultilevel"/>
    <w:tmpl w:val="10CE31A4"/>
    <w:lvl w:ilvl="0" w:tplc="A69069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0" w15:restartNumberingAfterBreak="0">
    <w:nsid w:val="2BEA71A4"/>
    <w:multiLevelType w:val="hybridMultilevel"/>
    <w:tmpl w:val="DB96A540"/>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15:restartNumberingAfterBreak="0">
    <w:nsid w:val="2C126859"/>
    <w:multiLevelType w:val="hybridMultilevel"/>
    <w:tmpl w:val="BEFC757C"/>
    <w:lvl w:ilvl="0" w:tplc="0C0A0017">
      <w:start w:val="1"/>
      <w:numFmt w:val="lowerLetter"/>
      <w:lvlText w:val="%1)"/>
      <w:lvlJc w:val="lef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62" w15:restartNumberingAfterBreak="0">
    <w:nsid w:val="2C4E5839"/>
    <w:multiLevelType w:val="hybridMultilevel"/>
    <w:tmpl w:val="8A8466B2"/>
    <w:lvl w:ilvl="0" w:tplc="DA5C8EFA">
      <w:start w:val="1"/>
      <w:numFmt w:val="bullet"/>
      <w:lvlText w:val=""/>
      <w:lvlJc w:val="left"/>
      <w:pPr>
        <w:ind w:left="360" w:hanging="360"/>
      </w:pPr>
      <w:rPr>
        <w:rFonts w:ascii="Symbol" w:hAnsi="Symbol" w:hint="default"/>
        <w:lang w:val="es-CO"/>
      </w:rPr>
    </w:lvl>
    <w:lvl w:ilvl="1" w:tplc="4DB80760">
      <w:start w:val="1"/>
      <w:numFmt w:val="bullet"/>
      <w:lvlText w:val="­"/>
      <w:lvlJc w:val="left"/>
      <w:pPr>
        <w:ind w:left="1080" w:hanging="360"/>
      </w:pPr>
      <w:rPr>
        <w:rFonts w:ascii="Courier New" w:hAnsi="Courier New" w:cs="Times New Roman" w:hint="default"/>
        <w:color w:val="auto"/>
      </w:rPr>
    </w:lvl>
    <w:lvl w:ilvl="2" w:tplc="240A0005">
      <w:start w:val="1"/>
      <w:numFmt w:val="bullet"/>
      <w:lvlText w:val=""/>
      <w:lvlJc w:val="left"/>
      <w:pPr>
        <w:ind w:left="1800" w:hanging="360"/>
      </w:pPr>
      <w:rPr>
        <w:rFonts w:ascii="Wingdings" w:hAnsi="Wingdings" w:hint="default"/>
      </w:rPr>
    </w:lvl>
    <w:lvl w:ilvl="3" w:tplc="19AEA178">
      <w:numFmt w:val="bullet"/>
      <w:lvlText w:val="•"/>
      <w:lvlJc w:val="left"/>
      <w:pPr>
        <w:ind w:left="2865" w:hanging="705"/>
      </w:pPr>
      <w:rPr>
        <w:rFonts w:ascii="Arial" w:eastAsia="Times New Roman" w:hAnsi="Arial" w:cs="Aria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3" w15:restartNumberingAfterBreak="0">
    <w:nsid w:val="2CB421EE"/>
    <w:multiLevelType w:val="hybridMultilevel"/>
    <w:tmpl w:val="B75CE020"/>
    <w:lvl w:ilvl="0" w:tplc="4DB80760">
      <w:start w:val="1"/>
      <w:numFmt w:val="bullet"/>
      <w:lvlText w:val="­"/>
      <w:lvlJc w:val="left"/>
      <w:pPr>
        <w:ind w:left="720" w:hanging="360"/>
      </w:pPr>
      <w:rPr>
        <w:rFonts w:ascii="Courier New" w:hAnsi="Courier New" w:cs="Times New Roman" w:hint="default"/>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4" w15:restartNumberingAfterBreak="0">
    <w:nsid w:val="2CB67AB9"/>
    <w:multiLevelType w:val="hybridMultilevel"/>
    <w:tmpl w:val="CAE2C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2D0A094A"/>
    <w:multiLevelType w:val="hybridMultilevel"/>
    <w:tmpl w:val="35D203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6" w15:restartNumberingAfterBreak="0">
    <w:nsid w:val="2D123B35"/>
    <w:multiLevelType w:val="hybridMultilevel"/>
    <w:tmpl w:val="AD0406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15:restartNumberingAfterBreak="0">
    <w:nsid w:val="2D1F3B65"/>
    <w:multiLevelType w:val="hybridMultilevel"/>
    <w:tmpl w:val="A80C46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15:restartNumberingAfterBreak="0">
    <w:nsid w:val="2D3F73BF"/>
    <w:multiLevelType w:val="hybridMultilevel"/>
    <w:tmpl w:val="51CC8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2E0826C5"/>
    <w:multiLevelType w:val="hybridMultilevel"/>
    <w:tmpl w:val="96666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0" w15:restartNumberingAfterBreak="0">
    <w:nsid w:val="2E4076B2"/>
    <w:multiLevelType w:val="hybridMultilevel"/>
    <w:tmpl w:val="A1C0F5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1" w15:restartNumberingAfterBreak="0">
    <w:nsid w:val="2E5D51EF"/>
    <w:multiLevelType w:val="multilevel"/>
    <w:tmpl w:val="EE2C9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2E6211A5"/>
    <w:multiLevelType w:val="hybridMultilevel"/>
    <w:tmpl w:val="37180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2EEE20DF"/>
    <w:multiLevelType w:val="hybridMultilevel"/>
    <w:tmpl w:val="7714A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2F0767BC"/>
    <w:multiLevelType w:val="hybridMultilevel"/>
    <w:tmpl w:val="4DEA8D5C"/>
    <w:lvl w:ilvl="0" w:tplc="FFFFFFFF">
      <w:start w:val="1"/>
      <w:numFmt w:val="lowerRoman"/>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5" w15:restartNumberingAfterBreak="0">
    <w:nsid w:val="2F504548"/>
    <w:multiLevelType w:val="hybridMultilevel"/>
    <w:tmpl w:val="3DDC8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2F712E16"/>
    <w:multiLevelType w:val="hybridMultilevel"/>
    <w:tmpl w:val="10CE31A4"/>
    <w:lvl w:ilvl="0" w:tplc="A69069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7" w15:restartNumberingAfterBreak="0">
    <w:nsid w:val="2FF62224"/>
    <w:multiLevelType w:val="hybridMultilevel"/>
    <w:tmpl w:val="677A099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8" w15:restartNumberingAfterBreak="0">
    <w:nsid w:val="31664826"/>
    <w:multiLevelType w:val="hybridMultilevel"/>
    <w:tmpl w:val="23CE11B8"/>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9" w15:restartNumberingAfterBreak="0">
    <w:nsid w:val="32C01C16"/>
    <w:multiLevelType w:val="hybridMultilevel"/>
    <w:tmpl w:val="79A426D8"/>
    <w:lvl w:ilvl="0" w:tplc="2B6073EA">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32D853B4"/>
    <w:multiLevelType w:val="hybridMultilevel"/>
    <w:tmpl w:val="4D88DC20"/>
    <w:lvl w:ilvl="0" w:tplc="0409000D">
      <w:start w:val="1"/>
      <w:numFmt w:val="bullet"/>
      <w:lvlText w:val=""/>
      <w:lvlJc w:val="left"/>
      <w:pPr>
        <w:ind w:left="1080" w:hanging="360"/>
      </w:pPr>
      <w:rPr>
        <w:rFonts w:ascii="Wingdings" w:hAnsi="Wingdings"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1" w15:restartNumberingAfterBreak="0">
    <w:nsid w:val="337662A0"/>
    <w:multiLevelType w:val="multilevel"/>
    <w:tmpl w:val="D58258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37A1059"/>
    <w:multiLevelType w:val="hybridMultilevel"/>
    <w:tmpl w:val="D4E2792C"/>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83" w15:restartNumberingAfterBreak="0">
    <w:nsid w:val="337F5A23"/>
    <w:multiLevelType w:val="hybridMultilevel"/>
    <w:tmpl w:val="BD54FA5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339636A5"/>
    <w:multiLevelType w:val="hybridMultilevel"/>
    <w:tmpl w:val="8E886206"/>
    <w:lvl w:ilvl="0" w:tplc="D874762A">
      <w:start w:val="1"/>
      <w:numFmt w:val="bullet"/>
      <w:pStyle w:val="Diamant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5" w15:restartNumberingAfterBreak="0">
    <w:nsid w:val="339F157A"/>
    <w:multiLevelType w:val="hybridMultilevel"/>
    <w:tmpl w:val="34F04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6" w15:restartNumberingAfterBreak="0">
    <w:nsid w:val="33AB5218"/>
    <w:multiLevelType w:val="multilevel"/>
    <w:tmpl w:val="6A3636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3AC0DEE"/>
    <w:multiLevelType w:val="hybridMultilevel"/>
    <w:tmpl w:val="14685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15:restartNumberingAfterBreak="0">
    <w:nsid w:val="33CC5ACE"/>
    <w:multiLevelType w:val="hybridMultilevel"/>
    <w:tmpl w:val="9424A102"/>
    <w:lvl w:ilvl="0" w:tplc="BB2AAC48">
      <w:start w:val="1"/>
      <w:numFmt w:val="bullet"/>
      <w:lvlText w:val=""/>
      <w:lvlJc w:val="left"/>
      <w:pPr>
        <w:ind w:left="720" w:hanging="360"/>
      </w:pPr>
      <w:rPr>
        <w:rFonts w:ascii="Symbol" w:hAnsi="Symbol"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9" w15:restartNumberingAfterBreak="0">
    <w:nsid w:val="33D120D5"/>
    <w:multiLevelType w:val="hybridMultilevel"/>
    <w:tmpl w:val="8424C046"/>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0" w15:restartNumberingAfterBreak="0">
    <w:nsid w:val="33D354A2"/>
    <w:multiLevelType w:val="hybridMultilevel"/>
    <w:tmpl w:val="03BCA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15:restartNumberingAfterBreak="0">
    <w:nsid w:val="341668A7"/>
    <w:multiLevelType w:val="hybridMultilevel"/>
    <w:tmpl w:val="E9CCFFEA"/>
    <w:lvl w:ilvl="0" w:tplc="701690C0">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343523BC"/>
    <w:multiLevelType w:val="hybridMultilevel"/>
    <w:tmpl w:val="48B81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3" w15:restartNumberingAfterBreak="0">
    <w:nsid w:val="34403539"/>
    <w:multiLevelType w:val="hybridMultilevel"/>
    <w:tmpl w:val="1FC2A1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4" w15:restartNumberingAfterBreak="0">
    <w:nsid w:val="345600F7"/>
    <w:multiLevelType w:val="hybridMultilevel"/>
    <w:tmpl w:val="1F74FA5C"/>
    <w:lvl w:ilvl="0" w:tplc="51827248">
      <w:start w:val="1"/>
      <w:numFmt w:val="upperRoman"/>
      <w:pStyle w:val="Captulonmero"/>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5" w15:restartNumberingAfterBreak="0">
    <w:nsid w:val="34820BE3"/>
    <w:multiLevelType w:val="hybridMultilevel"/>
    <w:tmpl w:val="424491D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348E76CB"/>
    <w:multiLevelType w:val="hybridMultilevel"/>
    <w:tmpl w:val="358EDA9A"/>
    <w:lvl w:ilvl="0" w:tplc="00145946">
      <w:numFmt w:val="bullet"/>
      <w:lvlText w:val="-"/>
      <w:lvlJc w:val="left"/>
      <w:pPr>
        <w:ind w:left="720" w:hanging="360"/>
      </w:pPr>
      <w:rPr>
        <w:rFonts w:ascii="Arial" w:eastAsiaTheme="minorHAnsi"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7" w15:restartNumberingAfterBreak="0">
    <w:nsid w:val="34AD1B43"/>
    <w:multiLevelType w:val="hybridMultilevel"/>
    <w:tmpl w:val="9D1497A2"/>
    <w:lvl w:ilvl="0" w:tplc="59D00124">
      <w:start w:val="727"/>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8" w15:restartNumberingAfterBreak="0">
    <w:nsid w:val="34EE5115"/>
    <w:multiLevelType w:val="hybridMultilevel"/>
    <w:tmpl w:val="AD3C4B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15:restartNumberingAfterBreak="0">
    <w:nsid w:val="35693547"/>
    <w:multiLevelType w:val="multilevel"/>
    <w:tmpl w:val="25A2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5774AE2"/>
    <w:multiLevelType w:val="hybridMultilevel"/>
    <w:tmpl w:val="FA288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1" w15:restartNumberingAfterBreak="0">
    <w:nsid w:val="358C777B"/>
    <w:multiLevelType w:val="hybridMultilevel"/>
    <w:tmpl w:val="4D78513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2" w15:restartNumberingAfterBreak="0">
    <w:nsid w:val="35A5486C"/>
    <w:multiLevelType w:val="hybridMultilevel"/>
    <w:tmpl w:val="12EC41F0"/>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15:restartNumberingAfterBreak="0">
    <w:nsid w:val="35BE0A91"/>
    <w:multiLevelType w:val="hybridMultilevel"/>
    <w:tmpl w:val="109C770A"/>
    <w:lvl w:ilvl="0" w:tplc="240A0005">
      <w:start w:val="1"/>
      <w:numFmt w:val="bullet"/>
      <w:lvlText w:val=""/>
      <w:lvlJc w:val="left"/>
      <w:pPr>
        <w:ind w:left="1180" w:hanging="360"/>
      </w:pPr>
      <w:rPr>
        <w:rFonts w:ascii="Wingdings" w:hAnsi="Wingdings" w:hint="default"/>
      </w:rPr>
    </w:lvl>
    <w:lvl w:ilvl="1" w:tplc="240A0003" w:tentative="1">
      <w:start w:val="1"/>
      <w:numFmt w:val="bullet"/>
      <w:lvlText w:val="o"/>
      <w:lvlJc w:val="left"/>
      <w:pPr>
        <w:ind w:left="1900" w:hanging="360"/>
      </w:pPr>
      <w:rPr>
        <w:rFonts w:ascii="Courier New" w:hAnsi="Courier New" w:cs="Courier New" w:hint="default"/>
      </w:rPr>
    </w:lvl>
    <w:lvl w:ilvl="2" w:tplc="240A0005" w:tentative="1">
      <w:start w:val="1"/>
      <w:numFmt w:val="bullet"/>
      <w:lvlText w:val=""/>
      <w:lvlJc w:val="left"/>
      <w:pPr>
        <w:ind w:left="2620" w:hanging="360"/>
      </w:pPr>
      <w:rPr>
        <w:rFonts w:ascii="Wingdings" w:hAnsi="Wingdings" w:hint="default"/>
      </w:rPr>
    </w:lvl>
    <w:lvl w:ilvl="3" w:tplc="240A0001" w:tentative="1">
      <w:start w:val="1"/>
      <w:numFmt w:val="bullet"/>
      <w:lvlText w:val=""/>
      <w:lvlJc w:val="left"/>
      <w:pPr>
        <w:ind w:left="3340" w:hanging="360"/>
      </w:pPr>
      <w:rPr>
        <w:rFonts w:ascii="Symbol" w:hAnsi="Symbol" w:hint="default"/>
      </w:rPr>
    </w:lvl>
    <w:lvl w:ilvl="4" w:tplc="240A0003" w:tentative="1">
      <w:start w:val="1"/>
      <w:numFmt w:val="bullet"/>
      <w:lvlText w:val="o"/>
      <w:lvlJc w:val="left"/>
      <w:pPr>
        <w:ind w:left="4060" w:hanging="360"/>
      </w:pPr>
      <w:rPr>
        <w:rFonts w:ascii="Courier New" w:hAnsi="Courier New" w:cs="Courier New" w:hint="default"/>
      </w:rPr>
    </w:lvl>
    <w:lvl w:ilvl="5" w:tplc="240A0005" w:tentative="1">
      <w:start w:val="1"/>
      <w:numFmt w:val="bullet"/>
      <w:lvlText w:val=""/>
      <w:lvlJc w:val="left"/>
      <w:pPr>
        <w:ind w:left="4780" w:hanging="360"/>
      </w:pPr>
      <w:rPr>
        <w:rFonts w:ascii="Wingdings" w:hAnsi="Wingdings" w:hint="default"/>
      </w:rPr>
    </w:lvl>
    <w:lvl w:ilvl="6" w:tplc="240A0001" w:tentative="1">
      <w:start w:val="1"/>
      <w:numFmt w:val="bullet"/>
      <w:lvlText w:val=""/>
      <w:lvlJc w:val="left"/>
      <w:pPr>
        <w:ind w:left="5500" w:hanging="360"/>
      </w:pPr>
      <w:rPr>
        <w:rFonts w:ascii="Symbol" w:hAnsi="Symbol" w:hint="default"/>
      </w:rPr>
    </w:lvl>
    <w:lvl w:ilvl="7" w:tplc="240A0003" w:tentative="1">
      <w:start w:val="1"/>
      <w:numFmt w:val="bullet"/>
      <w:lvlText w:val="o"/>
      <w:lvlJc w:val="left"/>
      <w:pPr>
        <w:ind w:left="6220" w:hanging="360"/>
      </w:pPr>
      <w:rPr>
        <w:rFonts w:ascii="Courier New" w:hAnsi="Courier New" w:cs="Courier New" w:hint="default"/>
      </w:rPr>
    </w:lvl>
    <w:lvl w:ilvl="8" w:tplc="240A0005" w:tentative="1">
      <w:start w:val="1"/>
      <w:numFmt w:val="bullet"/>
      <w:lvlText w:val=""/>
      <w:lvlJc w:val="left"/>
      <w:pPr>
        <w:ind w:left="6940" w:hanging="360"/>
      </w:pPr>
      <w:rPr>
        <w:rFonts w:ascii="Wingdings" w:hAnsi="Wingdings" w:hint="default"/>
      </w:rPr>
    </w:lvl>
  </w:abstractNum>
  <w:abstractNum w:abstractNumId="204" w15:restartNumberingAfterBreak="0">
    <w:nsid w:val="36412AAF"/>
    <w:multiLevelType w:val="hybridMultilevel"/>
    <w:tmpl w:val="473ACB02"/>
    <w:lvl w:ilvl="0" w:tplc="4DB80760">
      <w:start w:val="1"/>
      <w:numFmt w:val="bullet"/>
      <w:lvlText w:val="­"/>
      <w:lvlJc w:val="left"/>
      <w:pPr>
        <w:ind w:left="360" w:hanging="360"/>
      </w:pPr>
      <w:rPr>
        <w:rFonts w:ascii="Courier New" w:hAnsi="Courier New" w:cs="Times New Roman" w:hint="default"/>
        <w:color w:val="auto"/>
      </w:rPr>
    </w:lvl>
    <w:lvl w:ilvl="1" w:tplc="240A0003">
      <w:start w:val="1"/>
      <w:numFmt w:val="bullet"/>
      <w:lvlText w:val="o"/>
      <w:lvlJc w:val="left"/>
      <w:pPr>
        <w:ind w:left="1080" w:hanging="360"/>
      </w:pPr>
      <w:rPr>
        <w:rFonts w:ascii="Courier New" w:hAnsi="Courier New" w:cs="Courier New" w:hint="default"/>
      </w:rPr>
    </w:lvl>
    <w:lvl w:ilvl="2" w:tplc="D6143CF6">
      <w:numFmt w:val="bullet"/>
      <w:lvlText w:val="•"/>
      <w:lvlJc w:val="left"/>
      <w:pPr>
        <w:ind w:left="2145" w:hanging="705"/>
      </w:pPr>
      <w:rPr>
        <w:rFonts w:ascii="Arial" w:eastAsia="Times New Roman" w:hAnsi="Arial" w:cs="Arial" w:hint="default"/>
      </w:rPr>
    </w:lvl>
    <w:lvl w:ilvl="3" w:tplc="354E41B6">
      <w:numFmt w:val="bullet"/>
      <w:lvlText w:val="-"/>
      <w:lvlJc w:val="left"/>
      <w:pPr>
        <w:ind w:left="2520" w:hanging="360"/>
      </w:pPr>
      <w:rPr>
        <w:rFonts w:ascii="Arial Narrow" w:eastAsia="Times New Roman" w:hAnsi="Arial Narrow" w:cs="Aria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5" w15:restartNumberingAfterBreak="0">
    <w:nsid w:val="36687D15"/>
    <w:multiLevelType w:val="hybridMultilevel"/>
    <w:tmpl w:val="0846B2BC"/>
    <w:lvl w:ilvl="0" w:tplc="080A001B">
      <w:start w:val="1"/>
      <w:numFmt w:val="lowerRoman"/>
      <w:lvlText w:val="%1."/>
      <w:lvlJc w:val="right"/>
      <w:pPr>
        <w:ind w:left="720" w:hanging="360"/>
      </w:pPr>
    </w:lvl>
    <w:lvl w:ilvl="1" w:tplc="1A4C4074">
      <w:start w:val="1"/>
      <w:numFmt w:val="low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36C56137"/>
    <w:multiLevelType w:val="hybridMultilevel"/>
    <w:tmpl w:val="70BC7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7" w15:restartNumberingAfterBreak="0">
    <w:nsid w:val="37421FF7"/>
    <w:multiLevelType w:val="hybridMultilevel"/>
    <w:tmpl w:val="1F1CE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8" w15:restartNumberingAfterBreak="0">
    <w:nsid w:val="37E20D7F"/>
    <w:multiLevelType w:val="hybridMultilevel"/>
    <w:tmpl w:val="D8B2BD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9" w15:restartNumberingAfterBreak="0">
    <w:nsid w:val="382D4CCB"/>
    <w:multiLevelType w:val="hybridMultilevel"/>
    <w:tmpl w:val="BBF2A6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3850011E"/>
    <w:multiLevelType w:val="hybridMultilevel"/>
    <w:tmpl w:val="07081D6C"/>
    <w:lvl w:ilvl="0" w:tplc="426697A6">
      <w:start w:val="1"/>
      <w:numFmt w:val="bullet"/>
      <w:lvlText w:val="‒"/>
      <w:lvlJc w:val="left"/>
      <w:pPr>
        <w:ind w:left="720" w:hanging="360"/>
      </w:pPr>
      <w:rPr>
        <w:rFonts w:ascii="Calibri" w:hAnsi="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1" w15:restartNumberingAfterBreak="0">
    <w:nsid w:val="38D32DD6"/>
    <w:multiLevelType w:val="multilevel"/>
    <w:tmpl w:val="B4FE1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38DC15CB"/>
    <w:multiLevelType w:val="hybridMultilevel"/>
    <w:tmpl w:val="9558B6AA"/>
    <w:lvl w:ilvl="0" w:tplc="1A4421E0">
      <w:start w:val="1"/>
      <w:numFmt w:val="low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3" w15:restartNumberingAfterBreak="0">
    <w:nsid w:val="392A40C0"/>
    <w:multiLevelType w:val="hybridMultilevel"/>
    <w:tmpl w:val="8F926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4" w15:restartNumberingAfterBreak="0">
    <w:nsid w:val="393610F3"/>
    <w:multiLevelType w:val="hybridMultilevel"/>
    <w:tmpl w:val="F44E1B3E"/>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5" w15:restartNumberingAfterBreak="0">
    <w:nsid w:val="396D427B"/>
    <w:multiLevelType w:val="hybridMultilevel"/>
    <w:tmpl w:val="53E4ED5C"/>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6" w15:restartNumberingAfterBreak="0">
    <w:nsid w:val="398555C6"/>
    <w:multiLevelType w:val="hybridMultilevel"/>
    <w:tmpl w:val="9A28926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7" w15:restartNumberingAfterBreak="0">
    <w:nsid w:val="39B10C8E"/>
    <w:multiLevelType w:val="hybridMultilevel"/>
    <w:tmpl w:val="CD385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8" w15:restartNumberingAfterBreak="0">
    <w:nsid w:val="39DF5DEE"/>
    <w:multiLevelType w:val="hybridMultilevel"/>
    <w:tmpl w:val="2AEE36AA"/>
    <w:lvl w:ilvl="0" w:tplc="EFF89B98">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39F7048C"/>
    <w:multiLevelType w:val="hybridMultilevel"/>
    <w:tmpl w:val="10CE31A4"/>
    <w:lvl w:ilvl="0" w:tplc="A69069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0" w15:restartNumberingAfterBreak="0">
    <w:nsid w:val="3A1B593F"/>
    <w:multiLevelType w:val="hybridMultilevel"/>
    <w:tmpl w:val="1E202F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1" w15:restartNumberingAfterBreak="0">
    <w:nsid w:val="3A242F63"/>
    <w:multiLevelType w:val="hybridMultilevel"/>
    <w:tmpl w:val="2E40B3DA"/>
    <w:lvl w:ilvl="0" w:tplc="240A0001">
      <w:start w:val="1"/>
      <w:numFmt w:val="bullet"/>
      <w:lvlText w:val=""/>
      <w:lvlJc w:val="left"/>
      <w:pPr>
        <w:ind w:left="1069" w:hanging="360"/>
      </w:pPr>
      <w:rPr>
        <w:rFonts w:ascii="Symbol" w:hAnsi="Symbol" w:hint="default"/>
      </w:rPr>
    </w:lvl>
    <w:lvl w:ilvl="1" w:tplc="DDEEAB54">
      <w:start w:val="1"/>
      <w:numFmt w:val="bullet"/>
      <w:lvlText w:val="o"/>
      <w:lvlJc w:val="left"/>
      <w:pPr>
        <w:ind w:left="1789" w:hanging="360"/>
      </w:pPr>
      <w:rPr>
        <w:rFonts w:ascii="Courier New" w:hAnsi="Courier New" w:hint="default"/>
      </w:rPr>
    </w:lvl>
    <w:lvl w:ilvl="2" w:tplc="685036AE">
      <w:start w:val="1"/>
      <w:numFmt w:val="bullet"/>
      <w:lvlText w:val=""/>
      <w:lvlJc w:val="left"/>
      <w:pPr>
        <w:ind w:left="2509" w:hanging="360"/>
      </w:pPr>
      <w:rPr>
        <w:rFonts w:ascii="Wingdings" w:hAnsi="Wingdings" w:hint="default"/>
      </w:rPr>
    </w:lvl>
    <w:lvl w:ilvl="3" w:tplc="2D5687D8">
      <w:start w:val="1"/>
      <w:numFmt w:val="bullet"/>
      <w:lvlText w:val=""/>
      <w:lvlJc w:val="left"/>
      <w:pPr>
        <w:ind w:left="3229" w:hanging="360"/>
      </w:pPr>
      <w:rPr>
        <w:rFonts w:ascii="Symbol" w:hAnsi="Symbol" w:hint="default"/>
      </w:rPr>
    </w:lvl>
    <w:lvl w:ilvl="4" w:tplc="EED298AE">
      <w:start w:val="1"/>
      <w:numFmt w:val="bullet"/>
      <w:lvlText w:val="o"/>
      <w:lvlJc w:val="left"/>
      <w:pPr>
        <w:ind w:left="3949" w:hanging="360"/>
      </w:pPr>
      <w:rPr>
        <w:rFonts w:ascii="Courier New" w:hAnsi="Courier New" w:hint="default"/>
      </w:rPr>
    </w:lvl>
    <w:lvl w:ilvl="5" w:tplc="E13A0ECC">
      <w:start w:val="1"/>
      <w:numFmt w:val="bullet"/>
      <w:lvlText w:val=""/>
      <w:lvlJc w:val="left"/>
      <w:pPr>
        <w:ind w:left="4669" w:hanging="360"/>
      </w:pPr>
      <w:rPr>
        <w:rFonts w:ascii="Wingdings" w:hAnsi="Wingdings" w:hint="default"/>
      </w:rPr>
    </w:lvl>
    <w:lvl w:ilvl="6" w:tplc="1198398C">
      <w:start w:val="1"/>
      <w:numFmt w:val="bullet"/>
      <w:lvlText w:val=""/>
      <w:lvlJc w:val="left"/>
      <w:pPr>
        <w:ind w:left="5389" w:hanging="360"/>
      </w:pPr>
      <w:rPr>
        <w:rFonts w:ascii="Symbol" w:hAnsi="Symbol" w:hint="default"/>
      </w:rPr>
    </w:lvl>
    <w:lvl w:ilvl="7" w:tplc="049404B0">
      <w:start w:val="1"/>
      <w:numFmt w:val="bullet"/>
      <w:lvlText w:val="o"/>
      <w:lvlJc w:val="left"/>
      <w:pPr>
        <w:ind w:left="6109" w:hanging="360"/>
      </w:pPr>
      <w:rPr>
        <w:rFonts w:ascii="Courier New" w:hAnsi="Courier New" w:hint="default"/>
      </w:rPr>
    </w:lvl>
    <w:lvl w:ilvl="8" w:tplc="17C421B4">
      <w:start w:val="1"/>
      <w:numFmt w:val="bullet"/>
      <w:lvlText w:val=""/>
      <w:lvlJc w:val="left"/>
      <w:pPr>
        <w:ind w:left="6829" w:hanging="360"/>
      </w:pPr>
      <w:rPr>
        <w:rFonts w:ascii="Wingdings" w:hAnsi="Wingdings" w:hint="default"/>
      </w:rPr>
    </w:lvl>
  </w:abstractNum>
  <w:abstractNum w:abstractNumId="222" w15:restartNumberingAfterBreak="0">
    <w:nsid w:val="3A615863"/>
    <w:multiLevelType w:val="hybridMultilevel"/>
    <w:tmpl w:val="444A53CA"/>
    <w:lvl w:ilvl="0" w:tplc="240A0003">
      <w:start w:val="1"/>
      <w:numFmt w:val="bullet"/>
      <w:lvlText w:val="o"/>
      <w:lvlJc w:val="left"/>
      <w:pPr>
        <w:ind w:left="1287" w:hanging="360"/>
      </w:pPr>
      <w:rPr>
        <w:rFonts w:ascii="Courier New" w:hAnsi="Courier New" w:cs="Courier New"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23" w15:restartNumberingAfterBreak="0">
    <w:nsid w:val="3B126E21"/>
    <w:multiLevelType w:val="hybridMultilevel"/>
    <w:tmpl w:val="7E2CDE02"/>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4" w15:restartNumberingAfterBreak="0">
    <w:nsid w:val="3B737753"/>
    <w:multiLevelType w:val="hybridMultilevel"/>
    <w:tmpl w:val="EFA64CA6"/>
    <w:lvl w:ilvl="0" w:tplc="E722B4D8">
      <w:start w:val="1"/>
      <w:numFmt w:val="decimal"/>
      <w:lvlText w:val="%1."/>
      <w:lvlJc w:val="left"/>
      <w:pPr>
        <w:tabs>
          <w:tab w:val="num" w:pos="720"/>
        </w:tabs>
        <w:ind w:left="720" w:hanging="360"/>
      </w:pPr>
    </w:lvl>
    <w:lvl w:ilvl="1" w:tplc="4C8C1816" w:tentative="1">
      <w:start w:val="1"/>
      <w:numFmt w:val="decimal"/>
      <w:lvlText w:val="%2."/>
      <w:lvlJc w:val="left"/>
      <w:pPr>
        <w:tabs>
          <w:tab w:val="num" w:pos="1440"/>
        </w:tabs>
        <w:ind w:left="1440" w:hanging="360"/>
      </w:pPr>
    </w:lvl>
    <w:lvl w:ilvl="2" w:tplc="6FBAD106" w:tentative="1">
      <w:start w:val="1"/>
      <w:numFmt w:val="decimal"/>
      <w:lvlText w:val="%3."/>
      <w:lvlJc w:val="left"/>
      <w:pPr>
        <w:tabs>
          <w:tab w:val="num" w:pos="2160"/>
        </w:tabs>
        <w:ind w:left="2160" w:hanging="360"/>
      </w:pPr>
    </w:lvl>
    <w:lvl w:ilvl="3" w:tplc="80C44982" w:tentative="1">
      <w:start w:val="1"/>
      <w:numFmt w:val="decimal"/>
      <w:lvlText w:val="%4."/>
      <w:lvlJc w:val="left"/>
      <w:pPr>
        <w:tabs>
          <w:tab w:val="num" w:pos="2880"/>
        </w:tabs>
        <w:ind w:left="2880" w:hanging="360"/>
      </w:pPr>
    </w:lvl>
    <w:lvl w:ilvl="4" w:tplc="881C33CE" w:tentative="1">
      <w:start w:val="1"/>
      <w:numFmt w:val="decimal"/>
      <w:lvlText w:val="%5."/>
      <w:lvlJc w:val="left"/>
      <w:pPr>
        <w:tabs>
          <w:tab w:val="num" w:pos="3600"/>
        </w:tabs>
        <w:ind w:left="3600" w:hanging="360"/>
      </w:pPr>
    </w:lvl>
    <w:lvl w:ilvl="5" w:tplc="BAFE2D72" w:tentative="1">
      <w:start w:val="1"/>
      <w:numFmt w:val="decimal"/>
      <w:lvlText w:val="%6."/>
      <w:lvlJc w:val="left"/>
      <w:pPr>
        <w:tabs>
          <w:tab w:val="num" w:pos="4320"/>
        </w:tabs>
        <w:ind w:left="4320" w:hanging="360"/>
      </w:pPr>
    </w:lvl>
    <w:lvl w:ilvl="6" w:tplc="C0B80E74" w:tentative="1">
      <w:start w:val="1"/>
      <w:numFmt w:val="decimal"/>
      <w:lvlText w:val="%7."/>
      <w:lvlJc w:val="left"/>
      <w:pPr>
        <w:tabs>
          <w:tab w:val="num" w:pos="5040"/>
        </w:tabs>
        <w:ind w:left="5040" w:hanging="360"/>
      </w:pPr>
    </w:lvl>
    <w:lvl w:ilvl="7" w:tplc="FC3635C4" w:tentative="1">
      <w:start w:val="1"/>
      <w:numFmt w:val="decimal"/>
      <w:lvlText w:val="%8."/>
      <w:lvlJc w:val="left"/>
      <w:pPr>
        <w:tabs>
          <w:tab w:val="num" w:pos="5760"/>
        </w:tabs>
        <w:ind w:left="5760" w:hanging="360"/>
      </w:pPr>
    </w:lvl>
    <w:lvl w:ilvl="8" w:tplc="2B6069AE" w:tentative="1">
      <w:start w:val="1"/>
      <w:numFmt w:val="decimal"/>
      <w:lvlText w:val="%9."/>
      <w:lvlJc w:val="left"/>
      <w:pPr>
        <w:tabs>
          <w:tab w:val="num" w:pos="6480"/>
        </w:tabs>
        <w:ind w:left="6480" w:hanging="360"/>
      </w:pPr>
    </w:lvl>
  </w:abstractNum>
  <w:abstractNum w:abstractNumId="225" w15:restartNumberingAfterBreak="0">
    <w:nsid w:val="3BC37A5F"/>
    <w:multiLevelType w:val="hybridMultilevel"/>
    <w:tmpl w:val="AEFC97F8"/>
    <w:lvl w:ilvl="0" w:tplc="BB2AAC48">
      <w:start w:val="1"/>
      <w:numFmt w:val="bullet"/>
      <w:lvlText w:val=""/>
      <w:lvlJc w:val="left"/>
      <w:pPr>
        <w:ind w:left="720" w:hanging="360"/>
      </w:pPr>
      <w:rPr>
        <w:rFonts w:ascii="Symbol" w:hAnsi="Symbol" w:hint="default"/>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6" w15:restartNumberingAfterBreak="0">
    <w:nsid w:val="3BC833EC"/>
    <w:multiLevelType w:val="hybridMultilevel"/>
    <w:tmpl w:val="175A3ED8"/>
    <w:lvl w:ilvl="0" w:tplc="1A4421E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7" w15:restartNumberingAfterBreak="0">
    <w:nsid w:val="3BF30797"/>
    <w:multiLevelType w:val="hybridMultilevel"/>
    <w:tmpl w:val="BAB4158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8" w15:restartNumberingAfterBreak="0">
    <w:nsid w:val="3C147E0F"/>
    <w:multiLevelType w:val="hybridMultilevel"/>
    <w:tmpl w:val="A82871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9" w15:restartNumberingAfterBreak="0">
    <w:nsid w:val="3C204AF4"/>
    <w:multiLevelType w:val="hybridMultilevel"/>
    <w:tmpl w:val="C124022E"/>
    <w:lvl w:ilvl="0" w:tplc="529C9D72">
      <w:start w:val="4"/>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0" w15:restartNumberingAfterBreak="0">
    <w:nsid w:val="3C3E43BA"/>
    <w:multiLevelType w:val="hybridMultilevel"/>
    <w:tmpl w:val="1842FAC0"/>
    <w:lvl w:ilvl="0" w:tplc="4DB80760">
      <w:start w:val="1"/>
      <w:numFmt w:val="bullet"/>
      <w:lvlText w:val="­"/>
      <w:lvlJc w:val="left"/>
      <w:pPr>
        <w:ind w:left="360" w:hanging="360"/>
      </w:pPr>
      <w:rPr>
        <w:rFonts w:ascii="Courier New" w:hAnsi="Courier New" w:cs="Times New Roman" w:hint="default"/>
        <w:color w:val="auto"/>
      </w:rPr>
    </w:lvl>
    <w:lvl w:ilvl="1" w:tplc="1B4A25EA">
      <w:numFmt w:val="bullet"/>
      <w:lvlText w:val="•"/>
      <w:lvlJc w:val="left"/>
      <w:pPr>
        <w:ind w:left="1080" w:hanging="360"/>
      </w:pPr>
      <w:rPr>
        <w:rFonts w:ascii="Arial Narrow" w:eastAsia="Times New Roman" w:hAnsi="Arial Narrow"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1" w15:restartNumberingAfterBreak="0">
    <w:nsid w:val="3C6067CD"/>
    <w:multiLevelType w:val="hybridMultilevel"/>
    <w:tmpl w:val="379E35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2" w15:restartNumberingAfterBreak="0">
    <w:nsid w:val="3C8F6EC9"/>
    <w:multiLevelType w:val="multilevel"/>
    <w:tmpl w:val="B9581C6A"/>
    <w:lvl w:ilvl="0">
      <w:start w:val="1"/>
      <w:numFmt w:val="bullet"/>
      <w:lvlText w:val=""/>
      <w:lvlJc w:val="left"/>
      <w:pPr>
        <w:tabs>
          <w:tab w:val="num" w:pos="720"/>
        </w:tabs>
        <w:ind w:left="720" w:hanging="360"/>
      </w:pPr>
      <w:rPr>
        <w:rFonts w:ascii="Symbol" w:hAnsi="Symbol" w:hint="default"/>
        <w:sz w:val="20"/>
        <w:lang w:val="es-E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C9F6F57"/>
    <w:multiLevelType w:val="hybridMultilevel"/>
    <w:tmpl w:val="5FDCE356"/>
    <w:lvl w:ilvl="0" w:tplc="F2B4939A">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59D00124">
      <w:start w:val="727"/>
      <w:numFmt w:val="bullet"/>
      <w:lvlText w:val="-"/>
      <w:lvlJc w:val="left"/>
      <w:pPr>
        <w:ind w:left="2880" w:hanging="360"/>
      </w:pPr>
      <w:rPr>
        <w:rFonts w:ascii="Calibri" w:eastAsiaTheme="minorHAnsi" w:hAnsi="Calibri" w:cstheme="minorBid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15:restartNumberingAfterBreak="0">
    <w:nsid w:val="3CA66A5B"/>
    <w:multiLevelType w:val="hybridMultilevel"/>
    <w:tmpl w:val="E392F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5" w15:restartNumberingAfterBreak="0">
    <w:nsid w:val="3CBF30B3"/>
    <w:multiLevelType w:val="hybridMultilevel"/>
    <w:tmpl w:val="097C2976"/>
    <w:lvl w:ilvl="0" w:tplc="4DB80760">
      <w:start w:val="1"/>
      <w:numFmt w:val="bullet"/>
      <w:lvlText w:val="­"/>
      <w:lvlJc w:val="left"/>
      <w:pPr>
        <w:ind w:left="360" w:hanging="360"/>
      </w:pPr>
      <w:rPr>
        <w:rFonts w:ascii="Courier New" w:hAnsi="Courier New" w:cs="Times New Roman" w:hint="default"/>
        <w:color w:val="auto"/>
      </w:rPr>
    </w:lvl>
    <w:lvl w:ilvl="1" w:tplc="240A0003">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6" w15:restartNumberingAfterBreak="0">
    <w:nsid w:val="3D471C6A"/>
    <w:multiLevelType w:val="hybridMultilevel"/>
    <w:tmpl w:val="E72C40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D5F21B2"/>
    <w:multiLevelType w:val="hybridMultilevel"/>
    <w:tmpl w:val="E03AB20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8" w15:restartNumberingAfterBreak="0">
    <w:nsid w:val="3D657DBD"/>
    <w:multiLevelType w:val="hybridMultilevel"/>
    <w:tmpl w:val="D4265A1C"/>
    <w:lvl w:ilvl="0" w:tplc="080A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15:restartNumberingAfterBreak="0">
    <w:nsid w:val="3DEA6950"/>
    <w:multiLevelType w:val="hybridMultilevel"/>
    <w:tmpl w:val="F5742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0" w15:restartNumberingAfterBreak="0">
    <w:nsid w:val="3E0B6802"/>
    <w:multiLevelType w:val="hybridMultilevel"/>
    <w:tmpl w:val="AA1456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1" w15:restartNumberingAfterBreak="0">
    <w:nsid w:val="3E2555AA"/>
    <w:multiLevelType w:val="hybridMultilevel"/>
    <w:tmpl w:val="58EE2B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2" w15:restartNumberingAfterBreak="0">
    <w:nsid w:val="3E306EFF"/>
    <w:multiLevelType w:val="hybridMultilevel"/>
    <w:tmpl w:val="132265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3" w15:restartNumberingAfterBreak="0">
    <w:nsid w:val="3E4A67BA"/>
    <w:multiLevelType w:val="hybridMultilevel"/>
    <w:tmpl w:val="4DC039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4" w15:restartNumberingAfterBreak="0">
    <w:nsid w:val="3E8D60A8"/>
    <w:multiLevelType w:val="hybridMultilevel"/>
    <w:tmpl w:val="9AF09372"/>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5" w15:restartNumberingAfterBreak="0">
    <w:nsid w:val="3E93539E"/>
    <w:multiLevelType w:val="hybridMultilevel"/>
    <w:tmpl w:val="4D7851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6" w15:restartNumberingAfterBreak="0">
    <w:nsid w:val="3E952B74"/>
    <w:multiLevelType w:val="hybridMultilevel"/>
    <w:tmpl w:val="1B2836BC"/>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247" w15:restartNumberingAfterBreak="0">
    <w:nsid w:val="3EBA2414"/>
    <w:multiLevelType w:val="hybridMultilevel"/>
    <w:tmpl w:val="86C26454"/>
    <w:lvl w:ilvl="0" w:tplc="4DB80760">
      <w:start w:val="1"/>
      <w:numFmt w:val="bullet"/>
      <w:lvlText w:val="­"/>
      <w:lvlJc w:val="left"/>
      <w:pPr>
        <w:ind w:left="1800" w:hanging="360"/>
      </w:pPr>
      <w:rPr>
        <w:rFonts w:ascii="Courier New" w:hAnsi="Courier New" w:cs="Times New Roman" w:hint="default"/>
        <w:color w:val="auto"/>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48" w15:restartNumberingAfterBreak="0">
    <w:nsid w:val="3EDB1ED4"/>
    <w:multiLevelType w:val="hybridMultilevel"/>
    <w:tmpl w:val="D46E0A0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49" w15:restartNumberingAfterBreak="0">
    <w:nsid w:val="3F2116D3"/>
    <w:multiLevelType w:val="hybridMultilevel"/>
    <w:tmpl w:val="C35C3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0" w15:restartNumberingAfterBreak="0">
    <w:nsid w:val="3F3E6A7D"/>
    <w:multiLevelType w:val="hybridMultilevel"/>
    <w:tmpl w:val="378EBB42"/>
    <w:lvl w:ilvl="0" w:tplc="240A000B">
      <w:start w:val="1"/>
      <w:numFmt w:val="bullet"/>
      <w:lvlText w:val=""/>
      <w:lvlJc w:val="left"/>
      <w:pPr>
        <w:ind w:left="1123" w:hanging="360"/>
      </w:pPr>
      <w:rPr>
        <w:rFonts w:ascii="Wingdings" w:hAnsi="Wingdings" w:hint="default"/>
        <w:color w:val="auto"/>
      </w:rPr>
    </w:lvl>
    <w:lvl w:ilvl="1" w:tplc="240A0003" w:tentative="1">
      <w:start w:val="1"/>
      <w:numFmt w:val="bullet"/>
      <w:lvlText w:val="o"/>
      <w:lvlJc w:val="left"/>
      <w:pPr>
        <w:ind w:left="1843" w:hanging="360"/>
      </w:pPr>
      <w:rPr>
        <w:rFonts w:ascii="Courier New" w:hAnsi="Courier New" w:cs="Courier New" w:hint="default"/>
      </w:rPr>
    </w:lvl>
    <w:lvl w:ilvl="2" w:tplc="240A0005" w:tentative="1">
      <w:start w:val="1"/>
      <w:numFmt w:val="bullet"/>
      <w:lvlText w:val=""/>
      <w:lvlJc w:val="left"/>
      <w:pPr>
        <w:ind w:left="2563" w:hanging="360"/>
      </w:pPr>
      <w:rPr>
        <w:rFonts w:ascii="Wingdings" w:hAnsi="Wingdings" w:hint="default"/>
      </w:rPr>
    </w:lvl>
    <w:lvl w:ilvl="3" w:tplc="240A0001" w:tentative="1">
      <w:start w:val="1"/>
      <w:numFmt w:val="bullet"/>
      <w:lvlText w:val=""/>
      <w:lvlJc w:val="left"/>
      <w:pPr>
        <w:ind w:left="3283" w:hanging="360"/>
      </w:pPr>
      <w:rPr>
        <w:rFonts w:ascii="Symbol" w:hAnsi="Symbol" w:hint="default"/>
      </w:rPr>
    </w:lvl>
    <w:lvl w:ilvl="4" w:tplc="240A0003" w:tentative="1">
      <w:start w:val="1"/>
      <w:numFmt w:val="bullet"/>
      <w:lvlText w:val="o"/>
      <w:lvlJc w:val="left"/>
      <w:pPr>
        <w:ind w:left="4003" w:hanging="360"/>
      </w:pPr>
      <w:rPr>
        <w:rFonts w:ascii="Courier New" w:hAnsi="Courier New" w:cs="Courier New" w:hint="default"/>
      </w:rPr>
    </w:lvl>
    <w:lvl w:ilvl="5" w:tplc="240A0005" w:tentative="1">
      <w:start w:val="1"/>
      <w:numFmt w:val="bullet"/>
      <w:lvlText w:val=""/>
      <w:lvlJc w:val="left"/>
      <w:pPr>
        <w:ind w:left="4723" w:hanging="360"/>
      </w:pPr>
      <w:rPr>
        <w:rFonts w:ascii="Wingdings" w:hAnsi="Wingdings" w:hint="default"/>
      </w:rPr>
    </w:lvl>
    <w:lvl w:ilvl="6" w:tplc="240A0001" w:tentative="1">
      <w:start w:val="1"/>
      <w:numFmt w:val="bullet"/>
      <w:lvlText w:val=""/>
      <w:lvlJc w:val="left"/>
      <w:pPr>
        <w:ind w:left="5443" w:hanging="360"/>
      </w:pPr>
      <w:rPr>
        <w:rFonts w:ascii="Symbol" w:hAnsi="Symbol" w:hint="default"/>
      </w:rPr>
    </w:lvl>
    <w:lvl w:ilvl="7" w:tplc="240A0003" w:tentative="1">
      <w:start w:val="1"/>
      <w:numFmt w:val="bullet"/>
      <w:lvlText w:val="o"/>
      <w:lvlJc w:val="left"/>
      <w:pPr>
        <w:ind w:left="6163" w:hanging="360"/>
      </w:pPr>
      <w:rPr>
        <w:rFonts w:ascii="Courier New" w:hAnsi="Courier New" w:cs="Courier New" w:hint="default"/>
      </w:rPr>
    </w:lvl>
    <w:lvl w:ilvl="8" w:tplc="240A0005" w:tentative="1">
      <w:start w:val="1"/>
      <w:numFmt w:val="bullet"/>
      <w:lvlText w:val=""/>
      <w:lvlJc w:val="left"/>
      <w:pPr>
        <w:ind w:left="6883" w:hanging="360"/>
      </w:pPr>
      <w:rPr>
        <w:rFonts w:ascii="Wingdings" w:hAnsi="Wingdings" w:hint="default"/>
      </w:rPr>
    </w:lvl>
  </w:abstractNum>
  <w:abstractNum w:abstractNumId="251" w15:restartNumberingAfterBreak="0">
    <w:nsid w:val="3F4B592E"/>
    <w:multiLevelType w:val="hybridMultilevel"/>
    <w:tmpl w:val="0D8037A6"/>
    <w:lvl w:ilvl="0" w:tplc="240A000F">
      <w:start w:val="1"/>
      <w:numFmt w:val="decimal"/>
      <w:lvlText w:val="%1."/>
      <w:lvlJc w:val="left"/>
      <w:pPr>
        <w:ind w:left="768" w:hanging="360"/>
      </w:pPr>
    </w:lvl>
    <w:lvl w:ilvl="1" w:tplc="240A0019">
      <w:start w:val="1"/>
      <w:numFmt w:val="lowerLetter"/>
      <w:lvlText w:val="%2."/>
      <w:lvlJc w:val="left"/>
      <w:pPr>
        <w:ind w:left="1488" w:hanging="360"/>
      </w:pPr>
    </w:lvl>
    <w:lvl w:ilvl="2" w:tplc="240A001B">
      <w:start w:val="1"/>
      <w:numFmt w:val="lowerRoman"/>
      <w:lvlText w:val="%3."/>
      <w:lvlJc w:val="right"/>
      <w:pPr>
        <w:ind w:left="2208" w:hanging="180"/>
      </w:pPr>
    </w:lvl>
    <w:lvl w:ilvl="3" w:tplc="240A000F">
      <w:start w:val="1"/>
      <w:numFmt w:val="decimal"/>
      <w:lvlText w:val="%4."/>
      <w:lvlJc w:val="left"/>
      <w:pPr>
        <w:ind w:left="2928" w:hanging="360"/>
      </w:pPr>
    </w:lvl>
    <w:lvl w:ilvl="4" w:tplc="240A0019">
      <w:start w:val="1"/>
      <w:numFmt w:val="lowerLetter"/>
      <w:lvlText w:val="%5."/>
      <w:lvlJc w:val="left"/>
      <w:pPr>
        <w:ind w:left="3648" w:hanging="360"/>
      </w:pPr>
    </w:lvl>
    <w:lvl w:ilvl="5" w:tplc="240A001B">
      <w:start w:val="1"/>
      <w:numFmt w:val="lowerRoman"/>
      <w:lvlText w:val="%6."/>
      <w:lvlJc w:val="right"/>
      <w:pPr>
        <w:ind w:left="4368" w:hanging="180"/>
      </w:pPr>
    </w:lvl>
    <w:lvl w:ilvl="6" w:tplc="240A000F">
      <w:start w:val="1"/>
      <w:numFmt w:val="decimal"/>
      <w:lvlText w:val="%7."/>
      <w:lvlJc w:val="left"/>
      <w:pPr>
        <w:ind w:left="5088" w:hanging="360"/>
      </w:pPr>
    </w:lvl>
    <w:lvl w:ilvl="7" w:tplc="240A0019">
      <w:start w:val="1"/>
      <w:numFmt w:val="lowerLetter"/>
      <w:lvlText w:val="%8."/>
      <w:lvlJc w:val="left"/>
      <w:pPr>
        <w:ind w:left="5808" w:hanging="360"/>
      </w:pPr>
    </w:lvl>
    <w:lvl w:ilvl="8" w:tplc="240A001B">
      <w:start w:val="1"/>
      <w:numFmt w:val="lowerRoman"/>
      <w:lvlText w:val="%9."/>
      <w:lvlJc w:val="right"/>
      <w:pPr>
        <w:ind w:left="6528" w:hanging="180"/>
      </w:pPr>
    </w:lvl>
  </w:abstractNum>
  <w:abstractNum w:abstractNumId="252" w15:restartNumberingAfterBreak="0">
    <w:nsid w:val="3F835182"/>
    <w:multiLevelType w:val="hybridMultilevel"/>
    <w:tmpl w:val="5E02FC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3" w15:restartNumberingAfterBreak="0">
    <w:nsid w:val="3F9742AD"/>
    <w:multiLevelType w:val="hybridMultilevel"/>
    <w:tmpl w:val="5DB2C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4" w15:restartNumberingAfterBreak="0">
    <w:nsid w:val="3FC367EB"/>
    <w:multiLevelType w:val="hybridMultilevel"/>
    <w:tmpl w:val="E7B24FF2"/>
    <w:lvl w:ilvl="0" w:tplc="54A6D0FE">
      <w:numFmt w:val="bullet"/>
      <w:lvlText w:val=""/>
      <w:lvlJc w:val="left"/>
      <w:pPr>
        <w:ind w:left="1408" w:hanging="567"/>
      </w:pPr>
      <w:rPr>
        <w:rFonts w:ascii="Symbol" w:eastAsia="Symbol" w:hAnsi="Symbol" w:cs="Symbol" w:hint="default"/>
        <w:w w:val="100"/>
        <w:sz w:val="24"/>
        <w:szCs w:val="24"/>
      </w:rPr>
    </w:lvl>
    <w:lvl w:ilvl="1" w:tplc="2F6A4E8E">
      <w:numFmt w:val="bullet"/>
      <w:lvlText w:val="-"/>
      <w:lvlJc w:val="left"/>
      <w:pPr>
        <w:ind w:left="1554" w:hanging="147"/>
      </w:pPr>
      <w:rPr>
        <w:rFonts w:ascii="Arial" w:eastAsia="Arial" w:hAnsi="Arial" w:cs="Arial" w:hint="default"/>
        <w:w w:val="99"/>
        <w:sz w:val="24"/>
        <w:szCs w:val="24"/>
      </w:rPr>
    </w:lvl>
    <w:lvl w:ilvl="2" w:tplc="2C88AF4A">
      <w:numFmt w:val="bullet"/>
      <w:lvlText w:val="•"/>
      <w:lvlJc w:val="left"/>
      <w:pPr>
        <w:ind w:left="2538" w:hanging="147"/>
      </w:pPr>
      <w:rPr>
        <w:rFonts w:hint="default"/>
      </w:rPr>
    </w:lvl>
    <w:lvl w:ilvl="3" w:tplc="3D821374">
      <w:numFmt w:val="bullet"/>
      <w:lvlText w:val="•"/>
      <w:lvlJc w:val="left"/>
      <w:pPr>
        <w:ind w:left="3516" w:hanging="147"/>
      </w:pPr>
      <w:rPr>
        <w:rFonts w:hint="default"/>
      </w:rPr>
    </w:lvl>
    <w:lvl w:ilvl="4" w:tplc="A0D4682E">
      <w:numFmt w:val="bullet"/>
      <w:lvlText w:val="•"/>
      <w:lvlJc w:val="left"/>
      <w:pPr>
        <w:ind w:left="4494" w:hanging="147"/>
      </w:pPr>
      <w:rPr>
        <w:rFonts w:hint="default"/>
      </w:rPr>
    </w:lvl>
    <w:lvl w:ilvl="5" w:tplc="0EF4185A">
      <w:numFmt w:val="bullet"/>
      <w:lvlText w:val="•"/>
      <w:lvlJc w:val="left"/>
      <w:pPr>
        <w:ind w:left="5472" w:hanging="147"/>
      </w:pPr>
      <w:rPr>
        <w:rFonts w:hint="default"/>
      </w:rPr>
    </w:lvl>
    <w:lvl w:ilvl="6" w:tplc="AFB64FEA">
      <w:numFmt w:val="bullet"/>
      <w:lvlText w:val="•"/>
      <w:lvlJc w:val="left"/>
      <w:pPr>
        <w:ind w:left="6450" w:hanging="147"/>
      </w:pPr>
      <w:rPr>
        <w:rFonts w:hint="default"/>
      </w:rPr>
    </w:lvl>
    <w:lvl w:ilvl="7" w:tplc="1902D728">
      <w:numFmt w:val="bullet"/>
      <w:lvlText w:val="•"/>
      <w:lvlJc w:val="left"/>
      <w:pPr>
        <w:ind w:left="7428" w:hanging="147"/>
      </w:pPr>
      <w:rPr>
        <w:rFonts w:hint="default"/>
      </w:rPr>
    </w:lvl>
    <w:lvl w:ilvl="8" w:tplc="92E4A8D2">
      <w:numFmt w:val="bullet"/>
      <w:lvlText w:val="•"/>
      <w:lvlJc w:val="left"/>
      <w:pPr>
        <w:ind w:left="8406" w:hanging="147"/>
      </w:pPr>
      <w:rPr>
        <w:rFonts w:hint="default"/>
      </w:rPr>
    </w:lvl>
  </w:abstractNum>
  <w:abstractNum w:abstractNumId="255" w15:restartNumberingAfterBreak="0">
    <w:nsid w:val="400C51BE"/>
    <w:multiLevelType w:val="hybridMultilevel"/>
    <w:tmpl w:val="BD54FA5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6" w15:restartNumberingAfterBreak="0">
    <w:nsid w:val="40B22520"/>
    <w:multiLevelType w:val="hybridMultilevel"/>
    <w:tmpl w:val="84169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7" w15:restartNumberingAfterBreak="0">
    <w:nsid w:val="41010D64"/>
    <w:multiLevelType w:val="hybridMultilevel"/>
    <w:tmpl w:val="CD18D194"/>
    <w:lvl w:ilvl="0" w:tplc="F2B4939A">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59D00124">
      <w:start w:val="727"/>
      <w:numFmt w:val="bullet"/>
      <w:lvlText w:val="-"/>
      <w:lvlJc w:val="left"/>
      <w:pPr>
        <w:ind w:left="2880" w:hanging="360"/>
      </w:pPr>
      <w:rPr>
        <w:rFonts w:ascii="Calibri" w:eastAsiaTheme="minorHAnsi" w:hAnsi="Calibri" w:cstheme="minorBidi" w:hint="default"/>
      </w:rPr>
    </w:lvl>
    <w:lvl w:ilvl="4" w:tplc="240A000F">
      <w:start w:val="1"/>
      <w:numFmt w:val="decimal"/>
      <w:lvlText w:val="%5."/>
      <w:lvlJc w:val="left"/>
      <w:pPr>
        <w:ind w:left="3960" w:hanging="720"/>
      </w:pPr>
      <w:rPr>
        <w:rFont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8" w15:restartNumberingAfterBreak="0">
    <w:nsid w:val="410B0535"/>
    <w:multiLevelType w:val="hybridMultilevel"/>
    <w:tmpl w:val="F2C2A9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9" w15:restartNumberingAfterBreak="0">
    <w:nsid w:val="411C1B1E"/>
    <w:multiLevelType w:val="hybridMultilevel"/>
    <w:tmpl w:val="DFCE9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0" w15:restartNumberingAfterBreak="0">
    <w:nsid w:val="41215B4B"/>
    <w:multiLevelType w:val="hybridMultilevel"/>
    <w:tmpl w:val="2A0EB6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1" w15:restartNumberingAfterBreak="0">
    <w:nsid w:val="41341B27"/>
    <w:multiLevelType w:val="multilevel"/>
    <w:tmpl w:val="A6326C78"/>
    <w:lvl w:ilvl="0">
      <w:start w:val="1"/>
      <w:numFmt w:val="bullet"/>
      <w:lvlText w:val=""/>
      <w:lvlJc w:val="left"/>
      <w:pPr>
        <w:ind w:left="600" w:hanging="600"/>
      </w:pPr>
      <w:rPr>
        <w:rFonts w:ascii="Wingdings" w:hAnsi="Wingding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2" w15:restartNumberingAfterBreak="0">
    <w:nsid w:val="41424367"/>
    <w:multiLevelType w:val="hybridMultilevel"/>
    <w:tmpl w:val="EC4C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4172008E"/>
    <w:multiLevelType w:val="hybridMultilevel"/>
    <w:tmpl w:val="7EFE3B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4" w15:restartNumberingAfterBreak="0">
    <w:nsid w:val="41D42E1E"/>
    <w:multiLevelType w:val="hybridMultilevel"/>
    <w:tmpl w:val="04C67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5" w15:restartNumberingAfterBreak="0">
    <w:nsid w:val="41F21834"/>
    <w:multiLevelType w:val="hybridMultilevel"/>
    <w:tmpl w:val="5AA294A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6" w15:restartNumberingAfterBreak="0">
    <w:nsid w:val="41F8098D"/>
    <w:multiLevelType w:val="hybridMultilevel"/>
    <w:tmpl w:val="10CE31A4"/>
    <w:lvl w:ilvl="0" w:tplc="A69069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7" w15:restartNumberingAfterBreak="0">
    <w:nsid w:val="426D7EB5"/>
    <w:multiLevelType w:val="hybridMultilevel"/>
    <w:tmpl w:val="4C92ECF4"/>
    <w:lvl w:ilvl="0" w:tplc="6F80E94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8" w15:restartNumberingAfterBreak="0">
    <w:nsid w:val="42B44785"/>
    <w:multiLevelType w:val="hybridMultilevel"/>
    <w:tmpl w:val="10CE31A4"/>
    <w:lvl w:ilvl="0" w:tplc="A69069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9" w15:restartNumberingAfterBreak="0">
    <w:nsid w:val="432E0159"/>
    <w:multiLevelType w:val="hybridMultilevel"/>
    <w:tmpl w:val="E88A9DF2"/>
    <w:lvl w:ilvl="0" w:tplc="59D00124">
      <w:start w:val="72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15:restartNumberingAfterBreak="0">
    <w:nsid w:val="4333506A"/>
    <w:multiLevelType w:val="hybridMultilevel"/>
    <w:tmpl w:val="7F566DF4"/>
    <w:lvl w:ilvl="0" w:tplc="ED2899BC">
      <w:numFmt w:val="bullet"/>
      <w:lvlText w:val="-"/>
      <w:lvlJc w:val="left"/>
      <w:pPr>
        <w:ind w:left="720" w:hanging="360"/>
      </w:pPr>
      <w:rPr>
        <w:rFonts w:ascii="Arial" w:eastAsia="Times New Roman"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1" w15:restartNumberingAfterBreak="0">
    <w:nsid w:val="4344467C"/>
    <w:multiLevelType w:val="hybridMultilevel"/>
    <w:tmpl w:val="A528818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2" w15:restartNumberingAfterBreak="0">
    <w:nsid w:val="438C068D"/>
    <w:multiLevelType w:val="hybridMultilevel"/>
    <w:tmpl w:val="057495B0"/>
    <w:lvl w:ilvl="0" w:tplc="240A000D">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3" w15:restartNumberingAfterBreak="0">
    <w:nsid w:val="43986D58"/>
    <w:multiLevelType w:val="hybridMultilevel"/>
    <w:tmpl w:val="BD54FA5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4" w15:restartNumberingAfterBreak="0">
    <w:nsid w:val="43CE7767"/>
    <w:multiLevelType w:val="hybridMultilevel"/>
    <w:tmpl w:val="F782FA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5" w15:restartNumberingAfterBreak="0">
    <w:nsid w:val="43F014FE"/>
    <w:multiLevelType w:val="hybridMultilevel"/>
    <w:tmpl w:val="1A34A4D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6" w15:restartNumberingAfterBreak="0">
    <w:nsid w:val="44287026"/>
    <w:multiLevelType w:val="hybridMultilevel"/>
    <w:tmpl w:val="52809104"/>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77" w15:restartNumberingAfterBreak="0">
    <w:nsid w:val="44355C88"/>
    <w:multiLevelType w:val="hybridMultilevel"/>
    <w:tmpl w:val="527A71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8" w15:restartNumberingAfterBreak="0">
    <w:nsid w:val="45660AFC"/>
    <w:multiLevelType w:val="hybridMultilevel"/>
    <w:tmpl w:val="0E28788C"/>
    <w:lvl w:ilvl="0" w:tplc="FFFFFFFF">
      <w:start w:val="1"/>
      <w:numFmt w:val="bullet"/>
      <w:lvlText w:val=""/>
      <w:lvlJc w:val="left"/>
      <w:pPr>
        <w:ind w:left="720" w:hanging="360"/>
      </w:pPr>
      <w:rPr>
        <w:rFonts w:ascii="Symbol" w:hAnsi="Symbol" w:hint="default"/>
      </w:rPr>
    </w:lvl>
    <w:lvl w:ilvl="1" w:tplc="4DB80760">
      <w:start w:val="1"/>
      <w:numFmt w:val="bullet"/>
      <w:lvlText w:val="­"/>
      <w:lvlJc w:val="left"/>
      <w:pPr>
        <w:ind w:left="720" w:hanging="360"/>
      </w:pPr>
      <w:rPr>
        <w:rFonts w:ascii="Courier New" w:hAnsi="Courier New" w:cs="Times New Roman"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9" w15:restartNumberingAfterBreak="0">
    <w:nsid w:val="4574296B"/>
    <w:multiLevelType w:val="hybridMultilevel"/>
    <w:tmpl w:val="67EC2DF2"/>
    <w:lvl w:ilvl="0" w:tplc="59D00124">
      <w:start w:val="727"/>
      <w:numFmt w:val="bullet"/>
      <w:lvlText w:val="-"/>
      <w:lvlJc w:val="left"/>
      <w:pPr>
        <w:ind w:left="360" w:hanging="360"/>
      </w:pPr>
      <w:rPr>
        <w:rFonts w:ascii="Calibri" w:eastAsiaTheme="minorHAnsi" w:hAnsi="Calibri" w:cstheme="minorBidi" w:hint="default"/>
        <w:lang w:val="es-ES"/>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19AEA178">
      <w:numFmt w:val="bullet"/>
      <w:lvlText w:val="•"/>
      <w:lvlJc w:val="left"/>
      <w:pPr>
        <w:ind w:left="2865" w:hanging="705"/>
      </w:pPr>
      <w:rPr>
        <w:rFonts w:ascii="Arial" w:eastAsia="Times New Roman" w:hAnsi="Arial" w:cs="Aria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0" w15:restartNumberingAfterBreak="0">
    <w:nsid w:val="45AD49E0"/>
    <w:multiLevelType w:val="hybridMultilevel"/>
    <w:tmpl w:val="9088421A"/>
    <w:lvl w:ilvl="0" w:tplc="4DB80760">
      <w:start w:val="1"/>
      <w:numFmt w:val="bullet"/>
      <w:lvlText w:val="­"/>
      <w:lvlJc w:val="left"/>
      <w:pPr>
        <w:ind w:left="360" w:hanging="360"/>
      </w:pPr>
      <w:rPr>
        <w:rFonts w:ascii="Courier New" w:hAnsi="Courier New" w:cs="Times New Roman" w:hint="default"/>
        <w:color w:val="auto"/>
        <w:lang w:val="es-ES"/>
      </w:rPr>
    </w:lvl>
    <w:lvl w:ilvl="1" w:tplc="4DB80760">
      <w:start w:val="1"/>
      <w:numFmt w:val="bullet"/>
      <w:lvlText w:val="­"/>
      <w:lvlJc w:val="left"/>
      <w:pPr>
        <w:ind w:left="1080" w:hanging="360"/>
      </w:pPr>
      <w:rPr>
        <w:rFonts w:ascii="Courier New" w:hAnsi="Courier New" w:cs="Times New Roman" w:hint="default"/>
        <w:color w:val="auto"/>
      </w:rPr>
    </w:lvl>
    <w:lvl w:ilvl="2" w:tplc="240A0005">
      <w:start w:val="1"/>
      <w:numFmt w:val="bullet"/>
      <w:lvlText w:val=""/>
      <w:lvlJc w:val="left"/>
      <w:pPr>
        <w:ind w:left="1800" w:hanging="360"/>
      </w:pPr>
      <w:rPr>
        <w:rFonts w:ascii="Wingdings" w:hAnsi="Wingdings" w:hint="default"/>
      </w:rPr>
    </w:lvl>
    <w:lvl w:ilvl="3" w:tplc="19AEA178">
      <w:numFmt w:val="bullet"/>
      <w:lvlText w:val="•"/>
      <w:lvlJc w:val="left"/>
      <w:pPr>
        <w:ind w:left="2865" w:hanging="705"/>
      </w:pPr>
      <w:rPr>
        <w:rFonts w:ascii="Arial" w:eastAsia="Times New Roman" w:hAnsi="Arial" w:cs="Aria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1" w15:restartNumberingAfterBreak="0">
    <w:nsid w:val="45B86A40"/>
    <w:multiLevelType w:val="hybridMultilevel"/>
    <w:tmpl w:val="CFBA8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2" w15:restartNumberingAfterBreak="0">
    <w:nsid w:val="464B6B15"/>
    <w:multiLevelType w:val="hybridMultilevel"/>
    <w:tmpl w:val="CAF2476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3" w15:restartNumberingAfterBreak="0">
    <w:nsid w:val="47001CEF"/>
    <w:multiLevelType w:val="hybridMultilevel"/>
    <w:tmpl w:val="1A38470E"/>
    <w:lvl w:ilvl="0" w:tplc="46B61F7C">
      <w:start w:val="1"/>
      <w:numFmt w:val="bullet"/>
      <w:pStyle w:val="Diamantico"/>
      <w:lvlText w:val=""/>
      <w:lvlJc w:val="left"/>
      <w:pPr>
        <w:ind w:left="360" w:hanging="360"/>
      </w:pPr>
      <w:rPr>
        <w:rFonts w:ascii="Wingdings" w:hAnsi="Wingdings" w:hint="default"/>
        <w:b w:val="0"/>
      </w:rPr>
    </w:lvl>
    <w:lvl w:ilvl="1" w:tplc="D3867C30" w:tentative="1">
      <w:start w:val="1"/>
      <w:numFmt w:val="bullet"/>
      <w:lvlText w:val="o"/>
      <w:lvlJc w:val="left"/>
      <w:pPr>
        <w:ind w:left="1788" w:hanging="360"/>
      </w:pPr>
      <w:rPr>
        <w:rFonts w:ascii="Courier New" w:hAnsi="Courier New" w:cs="Courier New" w:hint="default"/>
      </w:rPr>
    </w:lvl>
    <w:lvl w:ilvl="2" w:tplc="AD5A04F4" w:tentative="1">
      <w:start w:val="1"/>
      <w:numFmt w:val="bullet"/>
      <w:lvlText w:val=""/>
      <w:lvlJc w:val="left"/>
      <w:pPr>
        <w:ind w:left="2508" w:hanging="360"/>
      </w:pPr>
      <w:rPr>
        <w:rFonts w:ascii="Wingdings" w:hAnsi="Wingdings" w:hint="default"/>
      </w:rPr>
    </w:lvl>
    <w:lvl w:ilvl="3" w:tplc="4606A6F2" w:tentative="1">
      <w:start w:val="1"/>
      <w:numFmt w:val="bullet"/>
      <w:lvlText w:val=""/>
      <w:lvlJc w:val="left"/>
      <w:pPr>
        <w:ind w:left="3228" w:hanging="360"/>
      </w:pPr>
      <w:rPr>
        <w:rFonts w:ascii="Symbol" w:hAnsi="Symbol" w:hint="default"/>
      </w:rPr>
    </w:lvl>
    <w:lvl w:ilvl="4" w:tplc="152CABB4" w:tentative="1">
      <w:start w:val="1"/>
      <w:numFmt w:val="bullet"/>
      <w:lvlText w:val="o"/>
      <w:lvlJc w:val="left"/>
      <w:pPr>
        <w:ind w:left="3948" w:hanging="360"/>
      </w:pPr>
      <w:rPr>
        <w:rFonts w:ascii="Courier New" w:hAnsi="Courier New" w:cs="Courier New" w:hint="default"/>
      </w:rPr>
    </w:lvl>
    <w:lvl w:ilvl="5" w:tplc="A0880F52" w:tentative="1">
      <w:start w:val="1"/>
      <w:numFmt w:val="bullet"/>
      <w:lvlText w:val=""/>
      <w:lvlJc w:val="left"/>
      <w:pPr>
        <w:ind w:left="4668" w:hanging="360"/>
      </w:pPr>
      <w:rPr>
        <w:rFonts w:ascii="Wingdings" w:hAnsi="Wingdings" w:hint="default"/>
      </w:rPr>
    </w:lvl>
    <w:lvl w:ilvl="6" w:tplc="163A1F22" w:tentative="1">
      <w:start w:val="1"/>
      <w:numFmt w:val="bullet"/>
      <w:lvlText w:val=""/>
      <w:lvlJc w:val="left"/>
      <w:pPr>
        <w:ind w:left="5388" w:hanging="360"/>
      </w:pPr>
      <w:rPr>
        <w:rFonts w:ascii="Symbol" w:hAnsi="Symbol" w:hint="default"/>
      </w:rPr>
    </w:lvl>
    <w:lvl w:ilvl="7" w:tplc="D51EA094" w:tentative="1">
      <w:start w:val="1"/>
      <w:numFmt w:val="bullet"/>
      <w:lvlText w:val="o"/>
      <w:lvlJc w:val="left"/>
      <w:pPr>
        <w:ind w:left="6108" w:hanging="360"/>
      </w:pPr>
      <w:rPr>
        <w:rFonts w:ascii="Courier New" w:hAnsi="Courier New" w:cs="Courier New" w:hint="default"/>
      </w:rPr>
    </w:lvl>
    <w:lvl w:ilvl="8" w:tplc="B5BA42F0" w:tentative="1">
      <w:start w:val="1"/>
      <w:numFmt w:val="bullet"/>
      <w:lvlText w:val=""/>
      <w:lvlJc w:val="left"/>
      <w:pPr>
        <w:ind w:left="6828" w:hanging="360"/>
      </w:pPr>
      <w:rPr>
        <w:rFonts w:ascii="Wingdings" w:hAnsi="Wingdings" w:hint="default"/>
      </w:rPr>
    </w:lvl>
  </w:abstractNum>
  <w:abstractNum w:abstractNumId="284" w15:restartNumberingAfterBreak="0">
    <w:nsid w:val="4719509C"/>
    <w:multiLevelType w:val="hybridMultilevel"/>
    <w:tmpl w:val="5FDCE356"/>
    <w:lvl w:ilvl="0" w:tplc="F2B4939A">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59D00124">
      <w:start w:val="727"/>
      <w:numFmt w:val="bullet"/>
      <w:lvlText w:val="-"/>
      <w:lvlJc w:val="left"/>
      <w:pPr>
        <w:ind w:left="2880" w:hanging="360"/>
      </w:pPr>
      <w:rPr>
        <w:rFonts w:ascii="Calibri" w:eastAsiaTheme="minorHAnsi" w:hAnsi="Calibri" w:cstheme="minorBid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5" w15:restartNumberingAfterBreak="0">
    <w:nsid w:val="472234D5"/>
    <w:multiLevelType w:val="hybridMultilevel"/>
    <w:tmpl w:val="2CF075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6" w15:restartNumberingAfterBreak="0">
    <w:nsid w:val="47262D53"/>
    <w:multiLevelType w:val="hybridMultilevel"/>
    <w:tmpl w:val="F5066CFA"/>
    <w:lvl w:ilvl="0" w:tplc="1A4421E0">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15:restartNumberingAfterBreak="0">
    <w:nsid w:val="473030D4"/>
    <w:multiLevelType w:val="hybridMultilevel"/>
    <w:tmpl w:val="BB8C74E2"/>
    <w:lvl w:ilvl="0" w:tplc="6824A634">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8" w15:restartNumberingAfterBreak="0">
    <w:nsid w:val="47914B6C"/>
    <w:multiLevelType w:val="hybridMultilevel"/>
    <w:tmpl w:val="6CF80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9" w15:restartNumberingAfterBreak="0">
    <w:nsid w:val="47E6113C"/>
    <w:multiLevelType w:val="hybridMultilevel"/>
    <w:tmpl w:val="CE72950E"/>
    <w:lvl w:ilvl="0" w:tplc="240A0001">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0" w15:restartNumberingAfterBreak="0">
    <w:nsid w:val="48273350"/>
    <w:multiLevelType w:val="hybridMultilevel"/>
    <w:tmpl w:val="8B2C9F00"/>
    <w:lvl w:ilvl="0" w:tplc="8508ECF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1" w15:restartNumberingAfterBreak="0">
    <w:nsid w:val="488145B5"/>
    <w:multiLevelType w:val="hybridMultilevel"/>
    <w:tmpl w:val="CCFA1AF2"/>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color w:val="auto"/>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2" w15:restartNumberingAfterBreak="0">
    <w:nsid w:val="49046E7A"/>
    <w:multiLevelType w:val="hybridMultilevel"/>
    <w:tmpl w:val="3F6A2A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3" w15:restartNumberingAfterBreak="0">
    <w:nsid w:val="49F04BC5"/>
    <w:multiLevelType w:val="multilevel"/>
    <w:tmpl w:val="F6E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4A8753CE"/>
    <w:multiLevelType w:val="hybridMultilevel"/>
    <w:tmpl w:val="E5DA874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5" w15:restartNumberingAfterBreak="0">
    <w:nsid w:val="4A9754A7"/>
    <w:multiLevelType w:val="hybridMultilevel"/>
    <w:tmpl w:val="A4108010"/>
    <w:lvl w:ilvl="0" w:tplc="240A0001">
      <w:start w:val="1"/>
      <w:numFmt w:val="bullet"/>
      <w:lvlText w:val=""/>
      <w:lvlJc w:val="left"/>
      <w:pPr>
        <w:ind w:left="360" w:hanging="360"/>
      </w:pPr>
      <w:rPr>
        <w:rFonts w:ascii="Symbol" w:hAnsi="Symbol" w:hint="default"/>
      </w:rPr>
    </w:lvl>
    <w:lvl w:ilvl="1" w:tplc="4DB80760">
      <w:start w:val="1"/>
      <w:numFmt w:val="bullet"/>
      <w:lvlText w:val="­"/>
      <w:lvlJc w:val="left"/>
      <w:pPr>
        <w:ind w:left="1080" w:hanging="360"/>
      </w:pPr>
      <w:rPr>
        <w:rFonts w:ascii="Courier New" w:hAnsi="Courier New" w:cs="Times New Roman" w:hint="default"/>
        <w:color w:val="auto"/>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6" w15:restartNumberingAfterBreak="0">
    <w:nsid w:val="4ABB21F0"/>
    <w:multiLevelType w:val="hybridMultilevel"/>
    <w:tmpl w:val="53D2F23A"/>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7" w15:restartNumberingAfterBreak="0">
    <w:nsid w:val="4ABD6CC0"/>
    <w:multiLevelType w:val="hybridMultilevel"/>
    <w:tmpl w:val="A8FC6F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8" w15:restartNumberingAfterBreak="0">
    <w:nsid w:val="4AE327AB"/>
    <w:multiLevelType w:val="hybridMultilevel"/>
    <w:tmpl w:val="F04400F0"/>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9" w15:restartNumberingAfterBreak="0">
    <w:nsid w:val="4AFE3159"/>
    <w:multiLevelType w:val="hybridMultilevel"/>
    <w:tmpl w:val="9F700AFA"/>
    <w:lvl w:ilvl="0" w:tplc="4DB80760">
      <w:start w:val="1"/>
      <w:numFmt w:val="bullet"/>
      <w:lvlText w:val="­"/>
      <w:lvlJc w:val="left"/>
      <w:pPr>
        <w:ind w:left="720" w:hanging="360"/>
      </w:pPr>
      <w:rPr>
        <w:rFonts w:ascii="Courier New" w:hAnsi="Courier New" w:cs="Times New Roman"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0" w15:restartNumberingAfterBreak="0">
    <w:nsid w:val="4B037868"/>
    <w:multiLevelType w:val="hybridMultilevel"/>
    <w:tmpl w:val="F51E3C5C"/>
    <w:lvl w:ilvl="0" w:tplc="59D00124">
      <w:start w:val="727"/>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1" w15:restartNumberingAfterBreak="0">
    <w:nsid w:val="4B606B01"/>
    <w:multiLevelType w:val="multilevel"/>
    <w:tmpl w:val="B1B0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4D212336"/>
    <w:multiLevelType w:val="hybridMultilevel"/>
    <w:tmpl w:val="06C8829C"/>
    <w:lvl w:ilvl="0" w:tplc="080A0015">
      <w:start w:val="1"/>
      <w:numFmt w:val="upp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3" w15:restartNumberingAfterBreak="0">
    <w:nsid w:val="4D7A052F"/>
    <w:multiLevelType w:val="hybridMultilevel"/>
    <w:tmpl w:val="1428B6D8"/>
    <w:lvl w:ilvl="0" w:tplc="240A0003">
      <w:start w:val="1"/>
      <w:numFmt w:val="bullet"/>
      <w:lvlText w:val="o"/>
      <w:lvlJc w:val="left"/>
      <w:pPr>
        <w:ind w:left="1854" w:hanging="360"/>
      </w:pPr>
      <w:rPr>
        <w:rFonts w:ascii="Courier New" w:hAnsi="Courier New" w:cs="Courier New"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04" w15:restartNumberingAfterBreak="0">
    <w:nsid w:val="4D7F59B4"/>
    <w:multiLevelType w:val="hybridMultilevel"/>
    <w:tmpl w:val="22741694"/>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5" w15:restartNumberingAfterBreak="0">
    <w:nsid w:val="4D805C5A"/>
    <w:multiLevelType w:val="hybridMultilevel"/>
    <w:tmpl w:val="7C901244"/>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6" w15:restartNumberingAfterBreak="0">
    <w:nsid w:val="4EE31276"/>
    <w:multiLevelType w:val="hybridMultilevel"/>
    <w:tmpl w:val="472CF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7" w15:restartNumberingAfterBreak="0">
    <w:nsid w:val="4EEF6BFE"/>
    <w:multiLevelType w:val="hybridMultilevel"/>
    <w:tmpl w:val="00E6BA10"/>
    <w:lvl w:ilvl="0" w:tplc="54AA8EA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8" w15:restartNumberingAfterBreak="0">
    <w:nsid w:val="4F152DAA"/>
    <w:multiLevelType w:val="hybridMultilevel"/>
    <w:tmpl w:val="26107E24"/>
    <w:lvl w:ilvl="0" w:tplc="4DB80760">
      <w:start w:val="1"/>
      <w:numFmt w:val="bullet"/>
      <w:lvlText w:val="­"/>
      <w:lvlJc w:val="left"/>
      <w:pPr>
        <w:ind w:left="720" w:hanging="360"/>
      </w:pPr>
      <w:rPr>
        <w:rFonts w:ascii="Courier New" w:hAnsi="Courier New" w:cs="Times New Roman"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9" w15:restartNumberingAfterBreak="0">
    <w:nsid w:val="4F9A1C06"/>
    <w:multiLevelType w:val="hybridMultilevel"/>
    <w:tmpl w:val="FB06CE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4FB46B2F"/>
    <w:multiLevelType w:val="hybridMultilevel"/>
    <w:tmpl w:val="B1A8E752"/>
    <w:lvl w:ilvl="0" w:tplc="D250E522">
      <w:start w:val="1"/>
      <w:numFmt w:val="bullet"/>
      <w:lvlText w:val=""/>
      <w:lvlJc w:val="left"/>
      <w:pPr>
        <w:tabs>
          <w:tab w:val="num" w:pos="360"/>
        </w:tabs>
        <w:ind w:left="360" w:hanging="360"/>
      </w:pPr>
      <w:rPr>
        <w:rFonts w:ascii="Symbol" w:hAnsi="Symbol" w:hint="default"/>
        <w:color w:val="auto"/>
        <w:lang w:val="es-ES_tradnl"/>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1" w15:restartNumberingAfterBreak="0">
    <w:nsid w:val="4FFB0378"/>
    <w:multiLevelType w:val="hybridMultilevel"/>
    <w:tmpl w:val="8972489C"/>
    <w:lvl w:ilvl="0" w:tplc="946A2CF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2" w15:restartNumberingAfterBreak="0">
    <w:nsid w:val="501B7415"/>
    <w:multiLevelType w:val="hybridMultilevel"/>
    <w:tmpl w:val="448C2D22"/>
    <w:lvl w:ilvl="0" w:tplc="3FA6218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3" w15:restartNumberingAfterBreak="0">
    <w:nsid w:val="50627CE0"/>
    <w:multiLevelType w:val="multilevel"/>
    <w:tmpl w:val="C0065042"/>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4" w15:restartNumberingAfterBreak="0">
    <w:nsid w:val="508D7E69"/>
    <w:multiLevelType w:val="hybridMultilevel"/>
    <w:tmpl w:val="40AC68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5" w15:restartNumberingAfterBreak="0">
    <w:nsid w:val="50CA27DB"/>
    <w:multiLevelType w:val="hybridMultilevel"/>
    <w:tmpl w:val="4E6E2400"/>
    <w:lvl w:ilvl="0" w:tplc="240A000D">
      <w:start w:val="1"/>
      <w:numFmt w:val="bullet"/>
      <w:lvlText w:val=""/>
      <w:lvlJc w:val="left"/>
      <w:pPr>
        <w:ind w:left="720" w:hanging="360"/>
      </w:pPr>
      <w:rPr>
        <w:rFonts w:ascii="Wingdings" w:hAnsi="Wingdings" w:hint="default"/>
      </w:rPr>
    </w:lvl>
    <w:lvl w:ilvl="1" w:tplc="01BAB790">
      <w:numFmt w:val="bullet"/>
      <w:lvlText w:val="•"/>
      <w:lvlJc w:val="left"/>
      <w:pPr>
        <w:ind w:left="1785" w:hanging="705"/>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6" w15:restartNumberingAfterBreak="0">
    <w:nsid w:val="50FB6D97"/>
    <w:multiLevelType w:val="hybridMultilevel"/>
    <w:tmpl w:val="28A82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7" w15:restartNumberingAfterBreak="0">
    <w:nsid w:val="5117254E"/>
    <w:multiLevelType w:val="hybridMultilevel"/>
    <w:tmpl w:val="91980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8" w15:restartNumberingAfterBreak="0">
    <w:nsid w:val="513C2FFB"/>
    <w:multiLevelType w:val="hybridMultilevel"/>
    <w:tmpl w:val="F2CAAE66"/>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9" w15:restartNumberingAfterBreak="0">
    <w:nsid w:val="514519DA"/>
    <w:multiLevelType w:val="hybridMultilevel"/>
    <w:tmpl w:val="E5BAB890"/>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0" w15:restartNumberingAfterBreak="0">
    <w:nsid w:val="514C1EE4"/>
    <w:multiLevelType w:val="hybridMultilevel"/>
    <w:tmpl w:val="A6EADA6C"/>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1" w15:restartNumberingAfterBreak="0">
    <w:nsid w:val="518E7960"/>
    <w:multiLevelType w:val="hybridMultilevel"/>
    <w:tmpl w:val="705CE810"/>
    <w:lvl w:ilvl="0" w:tplc="240A0003">
      <w:start w:val="1"/>
      <w:numFmt w:val="bullet"/>
      <w:lvlText w:val="o"/>
      <w:lvlJc w:val="left"/>
      <w:pPr>
        <w:ind w:left="720" w:hanging="360"/>
      </w:pPr>
      <w:rPr>
        <w:rFonts w:ascii="Courier New" w:hAnsi="Courier New" w:hint="default"/>
        <w:color w:val="auto"/>
      </w:rPr>
    </w:lvl>
    <w:lvl w:ilvl="1" w:tplc="4DB80760">
      <w:start w:val="1"/>
      <w:numFmt w:val="bullet"/>
      <w:lvlText w:val="­"/>
      <w:lvlJc w:val="left"/>
      <w:pPr>
        <w:ind w:left="1440" w:hanging="360"/>
      </w:pPr>
      <w:rPr>
        <w:rFonts w:ascii="Courier New" w:hAnsi="Courier New" w:cs="Times New Roman"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2" w15:restartNumberingAfterBreak="0">
    <w:nsid w:val="51E62DA0"/>
    <w:multiLevelType w:val="hybridMultilevel"/>
    <w:tmpl w:val="4378B622"/>
    <w:lvl w:ilvl="0" w:tplc="CBFAC3AA">
      <w:start w:val="1"/>
      <w:numFmt w:val="bullet"/>
      <w:lvlText w:val=""/>
      <w:lvlJc w:val="left"/>
      <w:pPr>
        <w:ind w:left="720" w:hanging="360"/>
      </w:pPr>
      <w:rPr>
        <w:rFonts w:ascii="Symbol" w:hAnsi="Symbol"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3" w15:restartNumberingAfterBreak="0">
    <w:nsid w:val="51FC68AB"/>
    <w:multiLevelType w:val="hybridMultilevel"/>
    <w:tmpl w:val="F58A3F56"/>
    <w:lvl w:ilvl="0" w:tplc="2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4" w15:restartNumberingAfterBreak="0">
    <w:nsid w:val="52166EC0"/>
    <w:multiLevelType w:val="hybridMultilevel"/>
    <w:tmpl w:val="F4BC6D2A"/>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5" w15:restartNumberingAfterBreak="0">
    <w:nsid w:val="52401F4F"/>
    <w:multiLevelType w:val="hybridMultilevel"/>
    <w:tmpl w:val="B26A33F6"/>
    <w:lvl w:ilvl="0" w:tplc="240A0001">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6" w15:restartNumberingAfterBreak="0">
    <w:nsid w:val="5265354B"/>
    <w:multiLevelType w:val="hybridMultilevel"/>
    <w:tmpl w:val="6DBE6A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7" w15:restartNumberingAfterBreak="0">
    <w:nsid w:val="53104F52"/>
    <w:multiLevelType w:val="hybridMultilevel"/>
    <w:tmpl w:val="831688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8" w15:restartNumberingAfterBreak="0">
    <w:nsid w:val="537754DC"/>
    <w:multiLevelType w:val="hybridMultilevel"/>
    <w:tmpl w:val="92F8A3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9" w15:restartNumberingAfterBreak="0">
    <w:nsid w:val="53936EF1"/>
    <w:multiLevelType w:val="hybridMultilevel"/>
    <w:tmpl w:val="0E1CA834"/>
    <w:lvl w:ilvl="0" w:tplc="1DF6DE1A">
      <w:start w:val="1"/>
      <w:numFmt w:val="bullet"/>
      <w:lvlText w:val="-"/>
      <w:lvlJc w:val="left"/>
      <w:pPr>
        <w:ind w:left="360" w:hanging="360"/>
      </w:pPr>
      <w:rPr>
        <w:rFonts w:ascii="Arial" w:hAnsi="Arial" w:hint="default"/>
        <w:b w:val="0"/>
        <w:i w:val="0"/>
        <w:sz w:val="24"/>
        <w:lang w:val="es-C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865" w:hanging="705"/>
      </w:pPr>
      <w:rPr>
        <w:rFonts w:ascii="Arial" w:eastAsia="Times New Roman" w:hAnsi="Arial" w:cs="Aria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0" w15:restartNumberingAfterBreak="0">
    <w:nsid w:val="53EB2303"/>
    <w:multiLevelType w:val="hybridMultilevel"/>
    <w:tmpl w:val="4FACD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1" w15:restartNumberingAfterBreak="0">
    <w:nsid w:val="541B5F19"/>
    <w:multiLevelType w:val="hybridMultilevel"/>
    <w:tmpl w:val="B2A4E890"/>
    <w:lvl w:ilvl="0" w:tplc="A1885E3C">
      <w:numFmt w:val="bullet"/>
      <w:lvlText w:val="-"/>
      <w:lvlJc w:val="left"/>
      <w:pPr>
        <w:ind w:left="1065" w:hanging="360"/>
      </w:pPr>
      <w:rPr>
        <w:rFonts w:ascii="Arial" w:eastAsia="Times New Roman" w:hAnsi="Arial" w:cs="Arial"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332" w15:restartNumberingAfterBreak="0">
    <w:nsid w:val="542A16A2"/>
    <w:multiLevelType w:val="hybridMultilevel"/>
    <w:tmpl w:val="6FC8A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3" w15:restartNumberingAfterBreak="0">
    <w:nsid w:val="548A6AEE"/>
    <w:multiLevelType w:val="hybridMultilevel"/>
    <w:tmpl w:val="F6BE72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4" w15:restartNumberingAfterBreak="0">
    <w:nsid w:val="548E21A8"/>
    <w:multiLevelType w:val="hybridMultilevel"/>
    <w:tmpl w:val="ABCC373A"/>
    <w:lvl w:ilvl="0" w:tplc="1A4421E0">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5" w15:restartNumberingAfterBreak="0">
    <w:nsid w:val="553D42BA"/>
    <w:multiLevelType w:val="hybridMultilevel"/>
    <w:tmpl w:val="65B2EC1E"/>
    <w:lvl w:ilvl="0" w:tplc="4DB80760">
      <w:start w:val="1"/>
      <w:numFmt w:val="bullet"/>
      <w:lvlText w:val="­"/>
      <w:lvlJc w:val="left"/>
      <w:pPr>
        <w:ind w:left="360" w:hanging="360"/>
      </w:pPr>
      <w:rPr>
        <w:rFonts w:ascii="Courier New" w:hAnsi="Courier New" w:cs="Times New Roman"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6" w15:restartNumberingAfterBreak="0">
    <w:nsid w:val="55706033"/>
    <w:multiLevelType w:val="hybridMultilevel"/>
    <w:tmpl w:val="818ECD88"/>
    <w:lvl w:ilvl="0" w:tplc="ED2899BC">
      <w:numFmt w:val="bullet"/>
      <w:lvlText w:val="-"/>
      <w:lvlJc w:val="left"/>
      <w:pPr>
        <w:ind w:left="720" w:hanging="360"/>
      </w:pPr>
      <w:rPr>
        <w:rFonts w:ascii="Arial" w:eastAsia="Times New Roman"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7" w15:restartNumberingAfterBreak="0">
    <w:nsid w:val="55AB3765"/>
    <w:multiLevelType w:val="hybridMultilevel"/>
    <w:tmpl w:val="D01C64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8" w15:restartNumberingAfterBreak="0">
    <w:nsid w:val="55C530AC"/>
    <w:multiLevelType w:val="hybridMultilevel"/>
    <w:tmpl w:val="F6884D66"/>
    <w:lvl w:ilvl="0" w:tplc="4DB80760">
      <w:start w:val="1"/>
      <w:numFmt w:val="bullet"/>
      <w:lvlText w:val="­"/>
      <w:lvlJc w:val="left"/>
      <w:pPr>
        <w:ind w:left="1800" w:hanging="360"/>
      </w:pPr>
      <w:rPr>
        <w:rFonts w:ascii="Courier New" w:hAnsi="Courier New" w:cs="Times New Roman" w:hint="default"/>
        <w:color w:val="auto"/>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39" w15:restartNumberingAfterBreak="0">
    <w:nsid w:val="55D232F4"/>
    <w:multiLevelType w:val="hybridMultilevel"/>
    <w:tmpl w:val="ED7A15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0" w15:restartNumberingAfterBreak="0">
    <w:nsid w:val="562D4BFD"/>
    <w:multiLevelType w:val="hybridMultilevel"/>
    <w:tmpl w:val="AC90B9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1" w15:restartNumberingAfterBreak="0">
    <w:nsid w:val="56430D1D"/>
    <w:multiLevelType w:val="hybridMultilevel"/>
    <w:tmpl w:val="D548EABA"/>
    <w:lvl w:ilvl="0" w:tplc="240A000D">
      <w:start w:val="1"/>
      <w:numFmt w:val="bullet"/>
      <w:lvlText w:val=""/>
      <w:lvlJc w:val="left"/>
      <w:pPr>
        <w:ind w:left="720" w:hanging="360"/>
      </w:pPr>
      <w:rPr>
        <w:rFonts w:ascii="Wingdings" w:hAnsi="Wingdings" w:hint="default"/>
      </w:rPr>
    </w:lvl>
    <w:lvl w:ilvl="1" w:tplc="8508ECF4">
      <w:numFmt w:val="bullet"/>
      <w:lvlText w:val="•"/>
      <w:lvlJc w:val="left"/>
      <w:pPr>
        <w:ind w:left="1800" w:hanging="72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2" w15:restartNumberingAfterBreak="0">
    <w:nsid w:val="572B53A0"/>
    <w:multiLevelType w:val="hybridMultilevel"/>
    <w:tmpl w:val="BF5CE816"/>
    <w:lvl w:ilvl="0" w:tplc="4DB80760">
      <w:start w:val="1"/>
      <w:numFmt w:val="bullet"/>
      <w:lvlText w:val="­"/>
      <w:lvlJc w:val="left"/>
      <w:pPr>
        <w:ind w:left="360" w:hanging="360"/>
      </w:pPr>
      <w:rPr>
        <w:rFonts w:ascii="Courier New" w:hAnsi="Courier New" w:cs="Times New Roman" w:hint="default"/>
        <w:color w:val="auto"/>
        <w:lang w:val="es-ES"/>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19AEA178">
      <w:numFmt w:val="bullet"/>
      <w:lvlText w:val="•"/>
      <w:lvlJc w:val="left"/>
      <w:pPr>
        <w:ind w:left="2865" w:hanging="705"/>
      </w:pPr>
      <w:rPr>
        <w:rFonts w:ascii="Arial" w:eastAsia="Times New Roman" w:hAnsi="Arial" w:cs="Aria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3" w15:restartNumberingAfterBreak="0">
    <w:nsid w:val="57731A7E"/>
    <w:multiLevelType w:val="hybridMultilevel"/>
    <w:tmpl w:val="F7D2F288"/>
    <w:lvl w:ilvl="0" w:tplc="240A000D">
      <w:start w:val="1"/>
      <w:numFmt w:val="bullet"/>
      <w:lvlText w:val=""/>
      <w:lvlJc w:val="left"/>
      <w:pPr>
        <w:ind w:left="360" w:hanging="360"/>
      </w:pPr>
      <w:rPr>
        <w:rFonts w:ascii="Wingdings" w:hAnsi="Wingdings" w:hint="default"/>
      </w:rPr>
    </w:lvl>
    <w:lvl w:ilvl="1" w:tplc="1B4A25EA">
      <w:numFmt w:val="bullet"/>
      <w:lvlText w:val="•"/>
      <w:lvlJc w:val="left"/>
      <w:pPr>
        <w:ind w:left="1080" w:hanging="360"/>
      </w:pPr>
      <w:rPr>
        <w:rFonts w:ascii="Arial Narrow" w:eastAsia="Times New Roman" w:hAnsi="Arial Narrow"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4" w15:restartNumberingAfterBreak="0">
    <w:nsid w:val="57842296"/>
    <w:multiLevelType w:val="hybridMultilevel"/>
    <w:tmpl w:val="33083EE4"/>
    <w:lvl w:ilvl="0" w:tplc="BB2AAC48">
      <w:start w:val="1"/>
      <w:numFmt w:val="bullet"/>
      <w:lvlText w:val=""/>
      <w:lvlJc w:val="left"/>
      <w:pPr>
        <w:ind w:left="360" w:hanging="360"/>
      </w:pPr>
      <w:rPr>
        <w:rFonts w:ascii="Symbol" w:hAnsi="Symbol" w:hint="default"/>
        <w:color w:val="auto"/>
        <w:lang w:val="es-ES"/>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5" w15:restartNumberingAfterBreak="0">
    <w:nsid w:val="57AA6164"/>
    <w:multiLevelType w:val="hybridMultilevel"/>
    <w:tmpl w:val="E7369A7A"/>
    <w:lvl w:ilvl="0" w:tplc="0409000B">
      <w:start w:val="1"/>
      <w:numFmt w:val="bullet"/>
      <w:lvlText w:val=""/>
      <w:lvlJc w:val="left"/>
      <w:pPr>
        <w:ind w:left="780" w:hanging="360"/>
      </w:pPr>
      <w:rPr>
        <w:rFonts w:ascii="Wingdings" w:hAnsi="Wingdings" w:hint="default"/>
      </w:rPr>
    </w:lvl>
    <w:lvl w:ilvl="1" w:tplc="580A0003" w:tentative="1">
      <w:start w:val="1"/>
      <w:numFmt w:val="bullet"/>
      <w:lvlText w:val="o"/>
      <w:lvlJc w:val="left"/>
      <w:pPr>
        <w:ind w:left="1500" w:hanging="360"/>
      </w:pPr>
      <w:rPr>
        <w:rFonts w:ascii="Courier New" w:hAnsi="Courier New" w:cs="Courier New" w:hint="default"/>
      </w:rPr>
    </w:lvl>
    <w:lvl w:ilvl="2" w:tplc="580A0005" w:tentative="1">
      <w:start w:val="1"/>
      <w:numFmt w:val="bullet"/>
      <w:lvlText w:val=""/>
      <w:lvlJc w:val="left"/>
      <w:pPr>
        <w:ind w:left="2220" w:hanging="360"/>
      </w:pPr>
      <w:rPr>
        <w:rFonts w:ascii="Wingdings" w:hAnsi="Wingdings" w:hint="default"/>
      </w:rPr>
    </w:lvl>
    <w:lvl w:ilvl="3" w:tplc="580A0001" w:tentative="1">
      <w:start w:val="1"/>
      <w:numFmt w:val="bullet"/>
      <w:lvlText w:val=""/>
      <w:lvlJc w:val="left"/>
      <w:pPr>
        <w:ind w:left="2940" w:hanging="360"/>
      </w:pPr>
      <w:rPr>
        <w:rFonts w:ascii="Symbol" w:hAnsi="Symbol" w:hint="default"/>
      </w:rPr>
    </w:lvl>
    <w:lvl w:ilvl="4" w:tplc="580A0003" w:tentative="1">
      <w:start w:val="1"/>
      <w:numFmt w:val="bullet"/>
      <w:lvlText w:val="o"/>
      <w:lvlJc w:val="left"/>
      <w:pPr>
        <w:ind w:left="3660" w:hanging="360"/>
      </w:pPr>
      <w:rPr>
        <w:rFonts w:ascii="Courier New" w:hAnsi="Courier New" w:cs="Courier New" w:hint="default"/>
      </w:rPr>
    </w:lvl>
    <w:lvl w:ilvl="5" w:tplc="580A0005" w:tentative="1">
      <w:start w:val="1"/>
      <w:numFmt w:val="bullet"/>
      <w:lvlText w:val=""/>
      <w:lvlJc w:val="left"/>
      <w:pPr>
        <w:ind w:left="4380" w:hanging="360"/>
      </w:pPr>
      <w:rPr>
        <w:rFonts w:ascii="Wingdings" w:hAnsi="Wingdings" w:hint="default"/>
      </w:rPr>
    </w:lvl>
    <w:lvl w:ilvl="6" w:tplc="580A0001" w:tentative="1">
      <w:start w:val="1"/>
      <w:numFmt w:val="bullet"/>
      <w:lvlText w:val=""/>
      <w:lvlJc w:val="left"/>
      <w:pPr>
        <w:ind w:left="5100" w:hanging="360"/>
      </w:pPr>
      <w:rPr>
        <w:rFonts w:ascii="Symbol" w:hAnsi="Symbol" w:hint="default"/>
      </w:rPr>
    </w:lvl>
    <w:lvl w:ilvl="7" w:tplc="580A0003" w:tentative="1">
      <w:start w:val="1"/>
      <w:numFmt w:val="bullet"/>
      <w:lvlText w:val="o"/>
      <w:lvlJc w:val="left"/>
      <w:pPr>
        <w:ind w:left="5820" w:hanging="360"/>
      </w:pPr>
      <w:rPr>
        <w:rFonts w:ascii="Courier New" w:hAnsi="Courier New" w:cs="Courier New" w:hint="default"/>
      </w:rPr>
    </w:lvl>
    <w:lvl w:ilvl="8" w:tplc="580A0005" w:tentative="1">
      <w:start w:val="1"/>
      <w:numFmt w:val="bullet"/>
      <w:lvlText w:val=""/>
      <w:lvlJc w:val="left"/>
      <w:pPr>
        <w:ind w:left="6540" w:hanging="360"/>
      </w:pPr>
      <w:rPr>
        <w:rFonts w:ascii="Wingdings" w:hAnsi="Wingdings" w:hint="default"/>
      </w:rPr>
    </w:lvl>
  </w:abstractNum>
  <w:abstractNum w:abstractNumId="346" w15:restartNumberingAfterBreak="0">
    <w:nsid w:val="57F356A9"/>
    <w:multiLevelType w:val="hybridMultilevel"/>
    <w:tmpl w:val="BF28198C"/>
    <w:lvl w:ilvl="0" w:tplc="0C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7" w15:restartNumberingAfterBreak="0">
    <w:nsid w:val="586022E5"/>
    <w:multiLevelType w:val="hybridMultilevel"/>
    <w:tmpl w:val="E27EB010"/>
    <w:lvl w:ilvl="0" w:tplc="240A0003">
      <w:start w:val="1"/>
      <w:numFmt w:val="bullet"/>
      <w:lvlText w:val="o"/>
      <w:lvlJc w:val="left"/>
      <w:pPr>
        <w:ind w:left="720" w:hanging="360"/>
      </w:pPr>
      <w:rPr>
        <w:rFonts w:ascii="Courier New" w:hAnsi="Courier New" w:cs="Courier Ne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8" w15:restartNumberingAfterBreak="0">
    <w:nsid w:val="58AB5F7F"/>
    <w:multiLevelType w:val="hybridMultilevel"/>
    <w:tmpl w:val="ADF4F9CA"/>
    <w:lvl w:ilvl="0" w:tplc="4DB80760">
      <w:start w:val="1"/>
      <w:numFmt w:val="bullet"/>
      <w:lvlText w:val="­"/>
      <w:lvlJc w:val="left"/>
      <w:pPr>
        <w:ind w:left="360" w:hanging="360"/>
      </w:pPr>
      <w:rPr>
        <w:rFonts w:ascii="Courier New" w:hAnsi="Courier New" w:cs="Times New Roman" w:hint="default"/>
        <w:color w:val="auto"/>
      </w:rPr>
    </w:lvl>
    <w:lvl w:ilvl="1" w:tplc="240A0003">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9" w15:restartNumberingAfterBreak="0">
    <w:nsid w:val="58BB39DC"/>
    <w:multiLevelType w:val="multilevel"/>
    <w:tmpl w:val="B1B0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58C13750"/>
    <w:multiLevelType w:val="hybridMultilevel"/>
    <w:tmpl w:val="5D784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1" w15:restartNumberingAfterBreak="0">
    <w:nsid w:val="58DD50A8"/>
    <w:multiLevelType w:val="hybridMultilevel"/>
    <w:tmpl w:val="0F22E3AA"/>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2" w15:restartNumberingAfterBreak="0">
    <w:nsid w:val="59347168"/>
    <w:multiLevelType w:val="singleLevel"/>
    <w:tmpl w:val="E884D0B8"/>
    <w:lvl w:ilvl="0">
      <w:numFmt w:val="bullet"/>
      <w:lvlText w:val=""/>
      <w:lvlJc w:val="left"/>
      <w:pPr>
        <w:tabs>
          <w:tab w:val="num" w:pos="360"/>
        </w:tabs>
        <w:ind w:left="360" w:hanging="360"/>
      </w:pPr>
      <w:rPr>
        <w:rFonts w:ascii="Symbol" w:hAnsi="Symbol" w:hint="default"/>
      </w:rPr>
    </w:lvl>
  </w:abstractNum>
  <w:abstractNum w:abstractNumId="353" w15:restartNumberingAfterBreak="0">
    <w:nsid w:val="59DA473A"/>
    <w:multiLevelType w:val="hybridMultilevel"/>
    <w:tmpl w:val="FA760E06"/>
    <w:lvl w:ilvl="0" w:tplc="62280C32">
      <w:start w:val="1"/>
      <w:numFmt w:val="lowerLetter"/>
      <w:pStyle w:val="EstiloEpgrafeJustificado3"/>
      <w:lvlText w:val="%1)"/>
      <w:lvlJc w:val="left"/>
      <w:pPr>
        <w:tabs>
          <w:tab w:val="num" w:pos="723"/>
        </w:tabs>
        <w:ind w:left="723" w:hanging="360"/>
      </w:pPr>
      <w:rPr>
        <w:rFonts w:cs="Times New Roman"/>
      </w:rPr>
    </w:lvl>
    <w:lvl w:ilvl="1" w:tplc="0C0A0019" w:tentative="1">
      <w:start w:val="1"/>
      <w:numFmt w:val="lowerLetter"/>
      <w:lvlText w:val="%2."/>
      <w:lvlJc w:val="left"/>
      <w:pPr>
        <w:tabs>
          <w:tab w:val="num" w:pos="1443"/>
        </w:tabs>
        <w:ind w:left="1443" w:hanging="360"/>
      </w:pPr>
      <w:rPr>
        <w:rFonts w:cs="Times New Roman"/>
      </w:rPr>
    </w:lvl>
    <w:lvl w:ilvl="2" w:tplc="0C0A001B" w:tentative="1">
      <w:start w:val="1"/>
      <w:numFmt w:val="lowerRoman"/>
      <w:lvlText w:val="%3."/>
      <w:lvlJc w:val="right"/>
      <w:pPr>
        <w:tabs>
          <w:tab w:val="num" w:pos="2163"/>
        </w:tabs>
        <w:ind w:left="2163" w:hanging="180"/>
      </w:pPr>
      <w:rPr>
        <w:rFonts w:cs="Times New Roman"/>
      </w:rPr>
    </w:lvl>
    <w:lvl w:ilvl="3" w:tplc="0C0A000F" w:tentative="1">
      <w:start w:val="1"/>
      <w:numFmt w:val="decimal"/>
      <w:lvlText w:val="%4."/>
      <w:lvlJc w:val="left"/>
      <w:pPr>
        <w:tabs>
          <w:tab w:val="num" w:pos="2883"/>
        </w:tabs>
        <w:ind w:left="2883" w:hanging="360"/>
      </w:pPr>
      <w:rPr>
        <w:rFonts w:cs="Times New Roman"/>
      </w:rPr>
    </w:lvl>
    <w:lvl w:ilvl="4" w:tplc="0C0A0019" w:tentative="1">
      <w:start w:val="1"/>
      <w:numFmt w:val="lowerLetter"/>
      <w:lvlText w:val="%5."/>
      <w:lvlJc w:val="left"/>
      <w:pPr>
        <w:tabs>
          <w:tab w:val="num" w:pos="3603"/>
        </w:tabs>
        <w:ind w:left="3603" w:hanging="360"/>
      </w:pPr>
      <w:rPr>
        <w:rFonts w:cs="Times New Roman"/>
      </w:rPr>
    </w:lvl>
    <w:lvl w:ilvl="5" w:tplc="0C0A001B" w:tentative="1">
      <w:start w:val="1"/>
      <w:numFmt w:val="lowerRoman"/>
      <w:lvlText w:val="%6."/>
      <w:lvlJc w:val="right"/>
      <w:pPr>
        <w:tabs>
          <w:tab w:val="num" w:pos="4323"/>
        </w:tabs>
        <w:ind w:left="4323" w:hanging="180"/>
      </w:pPr>
      <w:rPr>
        <w:rFonts w:cs="Times New Roman"/>
      </w:rPr>
    </w:lvl>
    <w:lvl w:ilvl="6" w:tplc="0C0A000F" w:tentative="1">
      <w:start w:val="1"/>
      <w:numFmt w:val="decimal"/>
      <w:lvlText w:val="%7."/>
      <w:lvlJc w:val="left"/>
      <w:pPr>
        <w:tabs>
          <w:tab w:val="num" w:pos="5043"/>
        </w:tabs>
        <w:ind w:left="5043" w:hanging="360"/>
      </w:pPr>
      <w:rPr>
        <w:rFonts w:cs="Times New Roman"/>
      </w:rPr>
    </w:lvl>
    <w:lvl w:ilvl="7" w:tplc="0C0A0019" w:tentative="1">
      <w:start w:val="1"/>
      <w:numFmt w:val="lowerLetter"/>
      <w:lvlText w:val="%8."/>
      <w:lvlJc w:val="left"/>
      <w:pPr>
        <w:tabs>
          <w:tab w:val="num" w:pos="5763"/>
        </w:tabs>
        <w:ind w:left="5763" w:hanging="360"/>
      </w:pPr>
      <w:rPr>
        <w:rFonts w:cs="Times New Roman"/>
      </w:rPr>
    </w:lvl>
    <w:lvl w:ilvl="8" w:tplc="0C0A001B" w:tentative="1">
      <w:start w:val="1"/>
      <w:numFmt w:val="lowerRoman"/>
      <w:lvlText w:val="%9."/>
      <w:lvlJc w:val="right"/>
      <w:pPr>
        <w:tabs>
          <w:tab w:val="num" w:pos="6483"/>
        </w:tabs>
        <w:ind w:left="6483" w:hanging="180"/>
      </w:pPr>
      <w:rPr>
        <w:rFonts w:cs="Times New Roman"/>
      </w:rPr>
    </w:lvl>
  </w:abstractNum>
  <w:abstractNum w:abstractNumId="354" w15:restartNumberingAfterBreak="0">
    <w:nsid w:val="5A460080"/>
    <w:multiLevelType w:val="hybridMultilevel"/>
    <w:tmpl w:val="33F82D2C"/>
    <w:lvl w:ilvl="0" w:tplc="F4703420">
      <w:start w:val="1"/>
      <w:numFmt w:val="decimal"/>
      <w:lvlText w:val="%1."/>
      <w:lvlJc w:val="left"/>
      <w:pPr>
        <w:ind w:left="455" w:hanging="360"/>
      </w:pPr>
      <w:rPr>
        <w:rFonts w:hint="default"/>
      </w:rPr>
    </w:lvl>
    <w:lvl w:ilvl="1" w:tplc="240A0019" w:tentative="1">
      <w:start w:val="1"/>
      <w:numFmt w:val="lowerLetter"/>
      <w:lvlText w:val="%2."/>
      <w:lvlJc w:val="left"/>
      <w:pPr>
        <w:ind w:left="1175" w:hanging="360"/>
      </w:pPr>
    </w:lvl>
    <w:lvl w:ilvl="2" w:tplc="240A001B" w:tentative="1">
      <w:start w:val="1"/>
      <w:numFmt w:val="lowerRoman"/>
      <w:lvlText w:val="%3."/>
      <w:lvlJc w:val="right"/>
      <w:pPr>
        <w:ind w:left="1895" w:hanging="180"/>
      </w:pPr>
    </w:lvl>
    <w:lvl w:ilvl="3" w:tplc="240A000F" w:tentative="1">
      <w:start w:val="1"/>
      <w:numFmt w:val="decimal"/>
      <w:lvlText w:val="%4."/>
      <w:lvlJc w:val="left"/>
      <w:pPr>
        <w:ind w:left="2615" w:hanging="360"/>
      </w:pPr>
    </w:lvl>
    <w:lvl w:ilvl="4" w:tplc="240A0019" w:tentative="1">
      <w:start w:val="1"/>
      <w:numFmt w:val="lowerLetter"/>
      <w:lvlText w:val="%5."/>
      <w:lvlJc w:val="left"/>
      <w:pPr>
        <w:ind w:left="3335" w:hanging="360"/>
      </w:pPr>
    </w:lvl>
    <w:lvl w:ilvl="5" w:tplc="240A001B" w:tentative="1">
      <w:start w:val="1"/>
      <w:numFmt w:val="lowerRoman"/>
      <w:lvlText w:val="%6."/>
      <w:lvlJc w:val="right"/>
      <w:pPr>
        <w:ind w:left="4055" w:hanging="180"/>
      </w:pPr>
    </w:lvl>
    <w:lvl w:ilvl="6" w:tplc="240A000F" w:tentative="1">
      <w:start w:val="1"/>
      <w:numFmt w:val="decimal"/>
      <w:lvlText w:val="%7."/>
      <w:lvlJc w:val="left"/>
      <w:pPr>
        <w:ind w:left="4775" w:hanging="360"/>
      </w:pPr>
    </w:lvl>
    <w:lvl w:ilvl="7" w:tplc="240A0019" w:tentative="1">
      <w:start w:val="1"/>
      <w:numFmt w:val="lowerLetter"/>
      <w:lvlText w:val="%8."/>
      <w:lvlJc w:val="left"/>
      <w:pPr>
        <w:ind w:left="5495" w:hanging="360"/>
      </w:pPr>
    </w:lvl>
    <w:lvl w:ilvl="8" w:tplc="240A001B" w:tentative="1">
      <w:start w:val="1"/>
      <w:numFmt w:val="lowerRoman"/>
      <w:lvlText w:val="%9."/>
      <w:lvlJc w:val="right"/>
      <w:pPr>
        <w:ind w:left="6215" w:hanging="180"/>
      </w:pPr>
    </w:lvl>
  </w:abstractNum>
  <w:abstractNum w:abstractNumId="355" w15:restartNumberingAfterBreak="0">
    <w:nsid w:val="5A791E06"/>
    <w:multiLevelType w:val="hybridMultilevel"/>
    <w:tmpl w:val="126E75EC"/>
    <w:lvl w:ilvl="0" w:tplc="59D00124">
      <w:start w:val="727"/>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6" w15:restartNumberingAfterBreak="0">
    <w:nsid w:val="5A9C6C8F"/>
    <w:multiLevelType w:val="multilevel"/>
    <w:tmpl w:val="F42E0A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5ABB7323"/>
    <w:multiLevelType w:val="hybridMultilevel"/>
    <w:tmpl w:val="9300F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8" w15:restartNumberingAfterBreak="0">
    <w:nsid w:val="5AFB0A05"/>
    <w:multiLevelType w:val="hybridMultilevel"/>
    <w:tmpl w:val="F2C2A9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9" w15:restartNumberingAfterBreak="0">
    <w:nsid w:val="5B17425D"/>
    <w:multiLevelType w:val="hybridMultilevel"/>
    <w:tmpl w:val="4F88877A"/>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0" w15:restartNumberingAfterBreak="0">
    <w:nsid w:val="5B256C3D"/>
    <w:multiLevelType w:val="hybridMultilevel"/>
    <w:tmpl w:val="CA747CF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1" w15:restartNumberingAfterBreak="0">
    <w:nsid w:val="5B6165D4"/>
    <w:multiLevelType w:val="hybridMultilevel"/>
    <w:tmpl w:val="8AA6AB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2" w15:restartNumberingAfterBreak="0">
    <w:nsid w:val="5B703417"/>
    <w:multiLevelType w:val="hybridMultilevel"/>
    <w:tmpl w:val="103C3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3" w15:restartNumberingAfterBreak="0">
    <w:nsid w:val="5BAD3BEA"/>
    <w:multiLevelType w:val="hybridMultilevel"/>
    <w:tmpl w:val="7A045F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5BC67189"/>
    <w:multiLevelType w:val="multilevel"/>
    <w:tmpl w:val="C8AE57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5C32441B"/>
    <w:multiLevelType w:val="hybridMultilevel"/>
    <w:tmpl w:val="24E0255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66" w15:restartNumberingAfterBreak="0">
    <w:nsid w:val="5C3E0928"/>
    <w:multiLevelType w:val="hybridMultilevel"/>
    <w:tmpl w:val="F4DA059E"/>
    <w:lvl w:ilvl="0" w:tplc="4DB80760">
      <w:start w:val="1"/>
      <w:numFmt w:val="bullet"/>
      <w:lvlText w:val="­"/>
      <w:lvlJc w:val="left"/>
      <w:pPr>
        <w:ind w:left="360" w:hanging="360"/>
      </w:pPr>
      <w:rPr>
        <w:rFonts w:ascii="Courier New" w:hAnsi="Courier New" w:cs="Times New Roman" w:hint="default"/>
        <w:color w:val="auto"/>
        <w:lang w:val="es-C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7" w15:restartNumberingAfterBreak="0">
    <w:nsid w:val="5C6B3AA1"/>
    <w:multiLevelType w:val="hybridMultilevel"/>
    <w:tmpl w:val="F40E64A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8" w15:restartNumberingAfterBreak="0">
    <w:nsid w:val="5C905D63"/>
    <w:multiLevelType w:val="hybridMultilevel"/>
    <w:tmpl w:val="C78E12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9" w15:restartNumberingAfterBreak="0">
    <w:nsid w:val="5CBE3708"/>
    <w:multiLevelType w:val="hybridMultilevel"/>
    <w:tmpl w:val="BB9CCF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0" w15:restartNumberingAfterBreak="0">
    <w:nsid w:val="5CDF1029"/>
    <w:multiLevelType w:val="hybridMultilevel"/>
    <w:tmpl w:val="28BE6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1" w15:restartNumberingAfterBreak="0">
    <w:nsid w:val="5D344DC7"/>
    <w:multiLevelType w:val="multilevel"/>
    <w:tmpl w:val="2402BE72"/>
    <w:lvl w:ilvl="0">
      <w:start w:val="1"/>
      <w:numFmt w:val="decimal"/>
      <w:lvlText w:val="%1."/>
      <w:lvlJc w:val="left"/>
      <w:pPr>
        <w:ind w:left="1000" w:hanging="1000"/>
      </w:pPr>
      <w:rPr>
        <w:rFonts w:hint="default"/>
      </w:rPr>
    </w:lvl>
    <w:lvl w:ilvl="1">
      <w:start w:val="1"/>
      <w:numFmt w:val="decimal"/>
      <w:lvlText w:val="%1.%2."/>
      <w:lvlJc w:val="left"/>
      <w:pPr>
        <w:ind w:left="1000" w:hanging="1000"/>
      </w:pPr>
      <w:rPr>
        <w:rFonts w:hint="default"/>
      </w:rPr>
    </w:lvl>
    <w:lvl w:ilvl="2">
      <w:start w:val="1"/>
      <w:numFmt w:val="decimal"/>
      <w:lvlText w:val="%1.%2.%3."/>
      <w:lvlJc w:val="left"/>
      <w:pPr>
        <w:ind w:left="1000" w:hanging="10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2" w15:restartNumberingAfterBreak="0">
    <w:nsid w:val="5D7C1A70"/>
    <w:multiLevelType w:val="hybridMultilevel"/>
    <w:tmpl w:val="83C0C6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3" w15:restartNumberingAfterBreak="0">
    <w:nsid w:val="5D8F1151"/>
    <w:multiLevelType w:val="hybridMultilevel"/>
    <w:tmpl w:val="FFFC12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4" w15:restartNumberingAfterBreak="0">
    <w:nsid w:val="5D9D1EAA"/>
    <w:multiLevelType w:val="hybridMultilevel"/>
    <w:tmpl w:val="1F3EE1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5" w15:restartNumberingAfterBreak="0">
    <w:nsid w:val="5E484B43"/>
    <w:multiLevelType w:val="hybridMultilevel"/>
    <w:tmpl w:val="2BC22714"/>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6" w15:restartNumberingAfterBreak="0">
    <w:nsid w:val="5E7B4FF5"/>
    <w:multiLevelType w:val="hybridMultilevel"/>
    <w:tmpl w:val="BE30E690"/>
    <w:lvl w:ilvl="0" w:tplc="BECAF93A">
      <w:start w:val="100"/>
      <w:numFmt w:val="decimal"/>
      <w:lvlText w:val="%1"/>
      <w:lvlJc w:val="left"/>
      <w:pPr>
        <w:ind w:left="2220" w:hanging="360"/>
      </w:pPr>
      <w:rPr>
        <w:rFonts w:hint="default"/>
      </w:rPr>
    </w:lvl>
    <w:lvl w:ilvl="1" w:tplc="240A0019" w:tentative="1">
      <w:start w:val="1"/>
      <w:numFmt w:val="lowerLetter"/>
      <w:lvlText w:val="%2."/>
      <w:lvlJc w:val="left"/>
      <w:pPr>
        <w:ind w:left="2940" w:hanging="360"/>
      </w:pPr>
    </w:lvl>
    <w:lvl w:ilvl="2" w:tplc="240A001B" w:tentative="1">
      <w:start w:val="1"/>
      <w:numFmt w:val="lowerRoman"/>
      <w:lvlText w:val="%3."/>
      <w:lvlJc w:val="right"/>
      <w:pPr>
        <w:ind w:left="3660" w:hanging="180"/>
      </w:pPr>
    </w:lvl>
    <w:lvl w:ilvl="3" w:tplc="240A000F" w:tentative="1">
      <w:start w:val="1"/>
      <w:numFmt w:val="decimal"/>
      <w:lvlText w:val="%4."/>
      <w:lvlJc w:val="left"/>
      <w:pPr>
        <w:ind w:left="4380" w:hanging="360"/>
      </w:pPr>
    </w:lvl>
    <w:lvl w:ilvl="4" w:tplc="240A0019" w:tentative="1">
      <w:start w:val="1"/>
      <w:numFmt w:val="lowerLetter"/>
      <w:lvlText w:val="%5."/>
      <w:lvlJc w:val="left"/>
      <w:pPr>
        <w:ind w:left="5100" w:hanging="360"/>
      </w:pPr>
    </w:lvl>
    <w:lvl w:ilvl="5" w:tplc="240A001B" w:tentative="1">
      <w:start w:val="1"/>
      <w:numFmt w:val="lowerRoman"/>
      <w:lvlText w:val="%6."/>
      <w:lvlJc w:val="right"/>
      <w:pPr>
        <w:ind w:left="5820" w:hanging="180"/>
      </w:pPr>
    </w:lvl>
    <w:lvl w:ilvl="6" w:tplc="240A000F" w:tentative="1">
      <w:start w:val="1"/>
      <w:numFmt w:val="decimal"/>
      <w:lvlText w:val="%7."/>
      <w:lvlJc w:val="left"/>
      <w:pPr>
        <w:ind w:left="6540" w:hanging="360"/>
      </w:pPr>
    </w:lvl>
    <w:lvl w:ilvl="7" w:tplc="240A0019" w:tentative="1">
      <w:start w:val="1"/>
      <w:numFmt w:val="lowerLetter"/>
      <w:lvlText w:val="%8."/>
      <w:lvlJc w:val="left"/>
      <w:pPr>
        <w:ind w:left="7260" w:hanging="360"/>
      </w:pPr>
    </w:lvl>
    <w:lvl w:ilvl="8" w:tplc="240A001B" w:tentative="1">
      <w:start w:val="1"/>
      <w:numFmt w:val="lowerRoman"/>
      <w:lvlText w:val="%9."/>
      <w:lvlJc w:val="right"/>
      <w:pPr>
        <w:ind w:left="7980" w:hanging="180"/>
      </w:pPr>
    </w:lvl>
  </w:abstractNum>
  <w:abstractNum w:abstractNumId="377" w15:restartNumberingAfterBreak="0">
    <w:nsid w:val="5F5C0C80"/>
    <w:multiLevelType w:val="multilevel"/>
    <w:tmpl w:val="96B41356"/>
    <w:lvl w:ilvl="0">
      <w:start w:val="3"/>
      <w:numFmt w:val="decimal"/>
      <w:lvlText w:val="%1."/>
      <w:lvlJc w:val="left"/>
      <w:pPr>
        <w:ind w:left="360" w:hanging="360"/>
      </w:pPr>
      <w:rPr>
        <w:rFonts w:asciiTheme="minorHAnsi" w:eastAsiaTheme="minorHAnsi" w:hAnsiTheme="minorHAnsi" w:hint="default"/>
        <w:b w:val="0"/>
        <w:sz w:val="22"/>
        <w:u w:val="none"/>
      </w:rPr>
    </w:lvl>
    <w:lvl w:ilvl="1">
      <w:start w:val="2"/>
      <w:numFmt w:val="decimal"/>
      <w:lvlText w:val="%1.%2."/>
      <w:lvlJc w:val="left"/>
      <w:pPr>
        <w:ind w:left="720" w:hanging="720"/>
      </w:pPr>
      <w:rPr>
        <w:rFonts w:asciiTheme="minorHAnsi" w:eastAsiaTheme="minorHAnsi" w:hAnsiTheme="minorHAnsi" w:hint="default"/>
        <w:b w:val="0"/>
        <w:sz w:val="22"/>
        <w:u w:val="none"/>
      </w:rPr>
    </w:lvl>
    <w:lvl w:ilvl="2">
      <w:start w:val="1"/>
      <w:numFmt w:val="decimal"/>
      <w:lvlText w:val="%1.%2.%3."/>
      <w:lvlJc w:val="left"/>
      <w:pPr>
        <w:ind w:left="720" w:hanging="720"/>
      </w:pPr>
      <w:rPr>
        <w:rFonts w:asciiTheme="minorHAnsi" w:eastAsiaTheme="minorHAnsi" w:hAnsiTheme="minorHAnsi" w:hint="default"/>
        <w:b w:val="0"/>
        <w:sz w:val="22"/>
        <w:u w:val="none"/>
      </w:rPr>
    </w:lvl>
    <w:lvl w:ilvl="3">
      <w:start w:val="1"/>
      <w:numFmt w:val="decimal"/>
      <w:lvlText w:val="%1.%2.%3.%4."/>
      <w:lvlJc w:val="left"/>
      <w:pPr>
        <w:ind w:left="1080" w:hanging="1080"/>
      </w:pPr>
      <w:rPr>
        <w:rFonts w:asciiTheme="minorHAnsi" w:eastAsiaTheme="minorHAnsi" w:hAnsiTheme="minorHAnsi" w:hint="default"/>
        <w:b w:val="0"/>
        <w:sz w:val="22"/>
        <w:u w:val="none"/>
      </w:rPr>
    </w:lvl>
    <w:lvl w:ilvl="4">
      <w:start w:val="1"/>
      <w:numFmt w:val="decimal"/>
      <w:lvlText w:val="%1.%2.%3.%4.%5."/>
      <w:lvlJc w:val="left"/>
      <w:pPr>
        <w:ind w:left="1080" w:hanging="1080"/>
      </w:pPr>
      <w:rPr>
        <w:rFonts w:asciiTheme="minorHAnsi" w:eastAsiaTheme="minorHAnsi" w:hAnsiTheme="minorHAnsi" w:hint="default"/>
        <w:b w:val="0"/>
        <w:sz w:val="22"/>
        <w:u w:val="none"/>
      </w:rPr>
    </w:lvl>
    <w:lvl w:ilvl="5">
      <w:start w:val="1"/>
      <w:numFmt w:val="decimal"/>
      <w:lvlText w:val="%1.%2.%3.%4.%5.%6."/>
      <w:lvlJc w:val="left"/>
      <w:pPr>
        <w:ind w:left="1440" w:hanging="1440"/>
      </w:pPr>
      <w:rPr>
        <w:rFonts w:asciiTheme="minorHAnsi" w:eastAsiaTheme="minorHAnsi" w:hAnsiTheme="minorHAnsi" w:hint="default"/>
        <w:b w:val="0"/>
        <w:sz w:val="22"/>
        <w:u w:val="none"/>
      </w:rPr>
    </w:lvl>
    <w:lvl w:ilvl="6">
      <w:start w:val="1"/>
      <w:numFmt w:val="decimal"/>
      <w:lvlText w:val="%1.%2.%3.%4.%5.%6.%7."/>
      <w:lvlJc w:val="left"/>
      <w:pPr>
        <w:ind w:left="1440" w:hanging="1440"/>
      </w:pPr>
      <w:rPr>
        <w:rFonts w:asciiTheme="minorHAnsi" w:eastAsiaTheme="minorHAnsi" w:hAnsiTheme="minorHAnsi" w:hint="default"/>
        <w:b w:val="0"/>
        <w:sz w:val="22"/>
        <w:u w:val="none"/>
      </w:rPr>
    </w:lvl>
    <w:lvl w:ilvl="7">
      <w:start w:val="1"/>
      <w:numFmt w:val="decimal"/>
      <w:lvlText w:val="%1.%2.%3.%4.%5.%6.%7.%8."/>
      <w:lvlJc w:val="left"/>
      <w:pPr>
        <w:ind w:left="1800" w:hanging="1800"/>
      </w:pPr>
      <w:rPr>
        <w:rFonts w:asciiTheme="minorHAnsi" w:eastAsiaTheme="minorHAnsi" w:hAnsiTheme="minorHAnsi" w:hint="default"/>
        <w:b w:val="0"/>
        <w:sz w:val="22"/>
        <w:u w:val="none"/>
      </w:rPr>
    </w:lvl>
    <w:lvl w:ilvl="8">
      <w:start w:val="1"/>
      <w:numFmt w:val="decimal"/>
      <w:lvlText w:val="%1.%2.%3.%4.%5.%6.%7.%8.%9."/>
      <w:lvlJc w:val="left"/>
      <w:pPr>
        <w:ind w:left="2160" w:hanging="2160"/>
      </w:pPr>
      <w:rPr>
        <w:rFonts w:asciiTheme="minorHAnsi" w:eastAsiaTheme="minorHAnsi" w:hAnsiTheme="minorHAnsi" w:hint="default"/>
        <w:b w:val="0"/>
        <w:sz w:val="22"/>
        <w:u w:val="none"/>
      </w:rPr>
    </w:lvl>
  </w:abstractNum>
  <w:abstractNum w:abstractNumId="378" w15:restartNumberingAfterBreak="0">
    <w:nsid w:val="5F6D1E3E"/>
    <w:multiLevelType w:val="hybridMultilevel"/>
    <w:tmpl w:val="D80CF908"/>
    <w:lvl w:ilvl="0" w:tplc="3B26A1EA">
      <w:start w:val="1"/>
      <w:numFmt w:val="bullet"/>
      <w:lvlText w:val="-"/>
      <w:lvlJc w:val="left"/>
      <w:pPr>
        <w:ind w:left="360" w:hanging="360"/>
      </w:pPr>
      <w:rPr>
        <w:rFonts w:ascii="SimSun" w:eastAsia="SimSun" w:hAnsi="SimSun" w:hint="eastAsia"/>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79" w15:restartNumberingAfterBreak="0">
    <w:nsid w:val="5FC562CD"/>
    <w:multiLevelType w:val="hybridMultilevel"/>
    <w:tmpl w:val="30942772"/>
    <w:lvl w:ilvl="0" w:tplc="DC7877A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0" w15:restartNumberingAfterBreak="0">
    <w:nsid w:val="6087656B"/>
    <w:multiLevelType w:val="hybridMultilevel"/>
    <w:tmpl w:val="22FC6CEC"/>
    <w:lvl w:ilvl="0" w:tplc="240A0001">
      <w:start w:val="1"/>
      <w:numFmt w:val="bullet"/>
      <w:lvlText w:val=""/>
      <w:lvlJc w:val="left"/>
      <w:pPr>
        <w:ind w:left="720" w:hanging="360"/>
      </w:pPr>
      <w:rPr>
        <w:rFonts w:ascii="Symbol" w:hAnsi="Symbol" w:hint="default"/>
      </w:rPr>
    </w:lvl>
    <w:lvl w:ilvl="1" w:tplc="4DB80760">
      <w:start w:val="1"/>
      <w:numFmt w:val="bullet"/>
      <w:lvlText w:val="­"/>
      <w:lvlJc w:val="left"/>
      <w:pPr>
        <w:ind w:left="1440" w:hanging="360"/>
      </w:pPr>
      <w:rPr>
        <w:rFonts w:ascii="Courier New" w:hAnsi="Courier New" w:cs="Times New Roman"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1" w15:restartNumberingAfterBreak="0">
    <w:nsid w:val="60BE31C8"/>
    <w:multiLevelType w:val="hybridMultilevel"/>
    <w:tmpl w:val="04EAEE9C"/>
    <w:lvl w:ilvl="0" w:tplc="6186C6B2">
      <w:start w:val="1"/>
      <w:numFmt w:val="upperLetter"/>
      <w:lvlText w:val="%1."/>
      <w:lvlJc w:val="left"/>
      <w:pPr>
        <w:ind w:left="1020" w:hanging="360"/>
      </w:pPr>
    </w:lvl>
    <w:lvl w:ilvl="1" w:tplc="526EA2DA">
      <w:start w:val="1"/>
      <w:numFmt w:val="upperLetter"/>
      <w:lvlText w:val="%2."/>
      <w:lvlJc w:val="left"/>
      <w:pPr>
        <w:ind w:left="1020" w:hanging="360"/>
      </w:pPr>
    </w:lvl>
    <w:lvl w:ilvl="2" w:tplc="1CCC35A2">
      <w:start w:val="1"/>
      <w:numFmt w:val="upperLetter"/>
      <w:lvlText w:val="%3."/>
      <w:lvlJc w:val="left"/>
      <w:pPr>
        <w:ind w:left="1020" w:hanging="360"/>
      </w:pPr>
    </w:lvl>
    <w:lvl w:ilvl="3" w:tplc="D862C028">
      <w:start w:val="1"/>
      <w:numFmt w:val="upperLetter"/>
      <w:lvlText w:val="%4."/>
      <w:lvlJc w:val="left"/>
      <w:pPr>
        <w:ind w:left="1020" w:hanging="360"/>
      </w:pPr>
    </w:lvl>
    <w:lvl w:ilvl="4" w:tplc="796A648A">
      <w:start w:val="1"/>
      <w:numFmt w:val="upperLetter"/>
      <w:lvlText w:val="%5."/>
      <w:lvlJc w:val="left"/>
      <w:pPr>
        <w:ind w:left="1020" w:hanging="360"/>
      </w:pPr>
    </w:lvl>
    <w:lvl w:ilvl="5" w:tplc="6966EF7C">
      <w:start w:val="1"/>
      <w:numFmt w:val="upperLetter"/>
      <w:lvlText w:val="%6."/>
      <w:lvlJc w:val="left"/>
      <w:pPr>
        <w:ind w:left="1020" w:hanging="360"/>
      </w:pPr>
    </w:lvl>
    <w:lvl w:ilvl="6" w:tplc="E94EEB58">
      <w:start w:val="1"/>
      <w:numFmt w:val="upperLetter"/>
      <w:lvlText w:val="%7."/>
      <w:lvlJc w:val="left"/>
      <w:pPr>
        <w:ind w:left="1020" w:hanging="360"/>
      </w:pPr>
    </w:lvl>
    <w:lvl w:ilvl="7" w:tplc="5558978C">
      <w:start w:val="1"/>
      <w:numFmt w:val="upperLetter"/>
      <w:lvlText w:val="%8."/>
      <w:lvlJc w:val="left"/>
      <w:pPr>
        <w:ind w:left="1020" w:hanging="360"/>
      </w:pPr>
    </w:lvl>
    <w:lvl w:ilvl="8" w:tplc="73503850">
      <w:start w:val="1"/>
      <w:numFmt w:val="upperLetter"/>
      <w:lvlText w:val="%9."/>
      <w:lvlJc w:val="left"/>
      <w:pPr>
        <w:ind w:left="1020" w:hanging="360"/>
      </w:pPr>
    </w:lvl>
  </w:abstractNum>
  <w:abstractNum w:abstractNumId="382" w15:restartNumberingAfterBreak="0">
    <w:nsid w:val="611A64E2"/>
    <w:multiLevelType w:val="hybridMultilevel"/>
    <w:tmpl w:val="E8D00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3" w15:restartNumberingAfterBreak="0">
    <w:nsid w:val="61390B41"/>
    <w:multiLevelType w:val="hybridMultilevel"/>
    <w:tmpl w:val="DF160314"/>
    <w:lvl w:ilvl="0" w:tplc="0C0A0001">
      <w:start w:val="1"/>
      <w:numFmt w:val="bullet"/>
      <w:lvlText w:val=""/>
      <w:lvlJc w:val="left"/>
      <w:pPr>
        <w:ind w:left="720" w:hanging="360"/>
      </w:pPr>
      <w:rPr>
        <w:rFonts w:ascii="Symbol" w:hAnsi="Symbol" w:hint="default"/>
      </w:rPr>
    </w:lvl>
    <w:lvl w:ilvl="1" w:tplc="4DB80760">
      <w:start w:val="1"/>
      <w:numFmt w:val="bullet"/>
      <w:lvlText w:val="­"/>
      <w:lvlJc w:val="left"/>
      <w:pPr>
        <w:ind w:left="1440" w:hanging="360"/>
      </w:pPr>
      <w:rPr>
        <w:rFonts w:ascii="Courier New" w:hAnsi="Courier New" w:cs="Times New Roman" w:hint="default"/>
        <w:color w:val="auto"/>
      </w:rPr>
    </w:lvl>
    <w:lvl w:ilvl="2" w:tplc="0C0A0003">
      <w:start w:val="1"/>
      <w:numFmt w:val="bullet"/>
      <w:lvlText w:val="o"/>
      <w:lvlJc w:val="left"/>
      <w:pPr>
        <w:ind w:left="2160" w:hanging="360"/>
      </w:pPr>
      <w:rPr>
        <w:rFonts w:ascii="Courier New" w:hAnsi="Courier New" w:cs="Courier New" w:hint="default"/>
      </w:rPr>
    </w:lvl>
    <w:lvl w:ilvl="3" w:tplc="240A0005">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4" w15:restartNumberingAfterBreak="0">
    <w:nsid w:val="617E6A34"/>
    <w:multiLevelType w:val="hybridMultilevel"/>
    <w:tmpl w:val="55F4E2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5" w15:restartNumberingAfterBreak="0">
    <w:nsid w:val="617F231C"/>
    <w:multiLevelType w:val="hybridMultilevel"/>
    <w:tmpl w:val="2C4CA37C"/>
    <w:lvl w:ilvl="0" w:tplc="240A0003">
      <w:start w:val="1"/>
      <w:numFmt w:val="bullet"/>
      <w:lvlText w:val="o"/>
      <w:lvlJc w:val="left"/>
      <w:pPr>
        <w:ind w:left="360" w:hanging="360"/>
      </w:pPr>
      <w:rPr>
        <w:rFonts w:ascii="Courier New" w:hAnsi="Courier New" w:cs="Courier New"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6" w15:restartNumberingAfterBreak="0">
    <w:nsid w:val="61D15C8F"/>
    <w:multiLevelType w:val="hybridMultilevel"/>
    <w:tmpl w:val="4B1E1B7E"/>
    <w:lvl w:ilvl="0" w:tplc="5352EBE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7" w15:restartNumberingAfterBreak="0">
    <w:nsid w:val="61DF62DD"/>
    <w:multiLevelType w:val="hybridMultilevel"/>
    <w:tmpl w:val="F886BE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8" w15:restartNumberingAfterBreak="0">
    <w:nsid w:val="61E3165C"/>
    <w:multiLevelType w:val="hybridMultilevel"/>
    <w:tmpl w:val="1D5465C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9" w15:restartNumberingAfterBreak="0">
    <w:nsid w:val="61FD7509"/>
    <w:multiLevelType w:val="hybridMultilevel"/>
    <w:tmpl w:val="79A4158A"/>
    <w:lvl w:ilvl="0" w:tplc="240A0001">
      <w:start w:val="1"/>
      <w:numFmt w:val="bullet"/>
      <w:lvlText w:val=""/>
      <w:lvlJc w:val="left"/>
      <w:pPr>
        <w:ind w:left="720" w:hanging="360"/>
      </w:pPr>
      <w:rPr>
        <w:rFonts w:ascii="Symbol" w:hAnsi="Symbo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0" w15:restartNumberingAfterBreak="0">
    <w:nsid w:val="62041062"/>
    <w:multiLevelType w:val="hybridMultilevel"/>
    <w:tmpl w:val="703E7D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1" w15:restartNumberingAfterBreak="0">
    <w:nsid w:val="6208157D"/>
    <w:multiLevelType w:val="hybridMultilevel"/>
    <w:tmpl w:val="2AB26D02"/>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2" w15:restartNumberingAfterBreak="0">
    <w:nsid w:val="62551038"/>
    <w:multiLevelType w:val="hybridMultilevel"/>
    <w:tmpl w:val="F06E4D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3" w15:restartNumberingAfterBreak="0">
    <w:nsid w:val="62750016"/>
    <w:multiLevelType w:val="hybridMultilevel"/>
    <w:tmpl w:val="1A6C238A"/>
    <w:lvl w:ilvl="0" w:tplc="4DB80760">
      <w:start w:val="1"/>
      <w:numFmt w:val="bullet"/>
      <w:lvlText w:val="­"/>
      <w:lvlJc w:val="left"/>
      <w:pPr>
        <w:ind w:left="1080" w:hanging="360"/>
      </w:pPr>
      <w:rPr>
        <w:rFonts w:ascii="Courier New" w:hAnsi="Courier New" w:cs="Times New Roman"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4" w15:restartNumberingAfterBreak="0">
    <w:nsid w:val="62C268F4"/>
    <w:multiLevelType w:val="hybridMultilevel"/>
    <w:tmpl w:val="5492F66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95" w15:restartNumberingAfterBreak="0">
    <w:nsid w:val="62DA1485"/>
    <w:multiLevelType w:val="hybridMultilevel"/>
    <w:tmpl w:val="22347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6" w15:restartNumberingAfterBreak="0">
    <w:nsid w:val="632A1C52"/>
    <w:multiLevelType w:val="hybridMultilevel"/>
    <w:tmpl w:val="468A6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7" w15:restartNumberingAfterBreak="0">
    <w:nsid w:val="63771B89"/>
    <w:multiLevelType w:val="hybridMultilevel"/>
    <w:tmpl w:val="2C30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8" w15:restartNumberingAfterBreak="0">
    <w:nsid w:val="63D9524F"/>
    <w:multiLevelType w:val="multilevel"/>
    <w:tmpl w:val="42B81104"/>
    <w:lvl w:ilvl="0">
      <w:start w:val="1"/>
      <w:numFmt w:val="decimal"/>
      <w:lvlText w:val="%1."/>
      <w:lvlJc w:val="left"/>
      <w:pPr>
        <w:ind w:left="785"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9" w15:restartNumberingAfterBreak="0">
    <w:nsid w:val="63E76388"/>
    <w:multiLevelType w:val="hybridMultilevel"/>
    <w:tmpl w:val="34A87E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0" w15:restartNumberingAfterBreak="0">
    <w:nsid w:val="640B351E"/>
    <w:multiLevelType w:val="multilevel"/>
    <w:tmpl w:val="9A7C2AF2"/>
    <w:lvl w:ilvl="0">
      <w:start w:val="1"/>
      <w:numFmt w:val="decimal"/>
      <w:lvlText w:val="%1."/>
      <w:lvlJc w:val="left"/>
      <w:pPr>
        <w:tabs>
          <w:tab w:val="num" w:pos="720"/>
        </w:tabs>
        <w:ind w:left="720" w:hanging="360"/>
      </w:pPr>
      <w:rPr>
        <w:rFonts w:ascii="Arial" w:eastAsia="Times New Roman" w:hAnsi="Arial"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64A14B68"/>
    <w:multiLevelType w:val="hybridMultilevel"/>
    <w:tmpl w:val="1B5E44B8"/>
    <w:lvl w:ilvl="0" w:tplc="4DB80760">
      <w:start w:val="1"/>
      <w:numFmt w:val="bullet"/>
      <w:lvlText w:val="­"/>
      <w:lvlJc w:val="left"/>
      <w:pPr>
        <w:ind w:left="720" w:hanging="360"/>
      </w:pPr>
      <w:rPr>
        <w:rFonts w:ascii="Courier New" w:hAnsi="Courier New" w:cs="Times New Roman" w:hint="default"/>
        <w:color w:val="auto"/>
      </w:rPr>
    </w:lvl>
    <w:lvl w:ilvl="1" w:tplc="4DB80760">
      <w:start w:val="1"/>
      <w:numFmt w:val="bullet"/>
      <w:lvlText w:val="­"/>
      <w:lvlJc w:val="left"/>
      <w:pPr>
        <w:ind w:left="1440" w:hanging="360"/>
      </w:pPr>
      <w:rPr>
        <w:rFonts w:ascii="Courier New" w:hAnsi="Courier New" w:cs="Times New Roman"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2" w15:restartNumberingAfterBreak="0">
    <w:nsid w:val="65595297"/>
    <w:multiLevelType w:val="hybridMultilevel"/>
    <w:tmpl w:val="0E8ECBE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3" w15:restartNumberingAfterBreak="0">
    <w:nsid w:val="65652C76"/>
    <w:multiLevelType w:val="hybridMultilevel"/>
    <w:tmpl w:val="ECCA8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4" w15:restartNumberingAfterBreak="0">
    <w:nsid w:val="65D30F01"/>
    <w:multiLevelType w:val="hybridMultilevel"/>
    <w:tmpl w:val="A17E10E0"/>
    <w:lvl w:ilvl="0" w:tplc="E7A2F2F4">
      <w:start w:val="1"/>
      <w:numFmt w:val="lowerLetter"/>
      <w:lvlText w:val="%1."/>
      <w:lvlJc w:val="left"/>
      <w:pPr>
        <w:ind w:left="720" w:hanging="360"/>
      </w:pPr>
      <w:rPr>
        <w:rFonts w:eastAsia="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5" w15:restartNumberingAfterBreak="0">
    <w:nsid w:val="66424E07"/>
    <w:multiLevelType w:val="multilevel"/>
    <w:tmpl w:val="3C26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664F1E72"/>
    <w:multiLevelType w:val="hybridMultilevel"/>
    <w:tmpl w:val="FFE8ED2C"/>
    <w:lvl w:ilvl="0" w:tplc="0C0A0001">
      <w:start w:val="1"/>
      <w:numFmt w:val="bullet"/>
      <w:lvlText w:val=""/>
      <w:lvlJc w:val="left"/>
      <w:pPr>
        <w:ind w:left="360" w:hanging="360"/>
      </w:pPr>
      <w:rPr>
        <w:rFonts w:ascii="Symbol" w:hAnsi="Symbol" w:hint="default"/>
      </w:rPr>
    </w:lvl>
    <w:lvl w:ilvl="1" w:tplc="F39EA5A6">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7" w15:restartNumberingAfterBreak="0">
    <w:nsid w:val="66603A71"/>
    <w:multiLevelType w:val="hybridMultilevel"/>
    <w:tmpl w:val="9F225620"/>
    <w:lvl w:ilvl="0" w:tplc="4DB80760">
      <w:start w:val="1"/>
      <w:numFmt w:val="bullet"/>
      <w:lvlText w:val="­"/>
      <w:lvlJc w:val="left"/>
      <w:pPr>
        <w:ind w:left="360" w:hanging="360"/>
      </w:pPr>
      <w:rPr>
        <w:rFonts w:ascii="Courier New" w:hAnsi="Courier New" w:cs="Times New Roman"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8" w15:restartNumberingAfterBreak="0">
    <w:nsid w:val="666E5EE2"/>
    <w:multiLevelType w:val="hybridMultilevel"/>
    <w:tmpl w:val="C06C7A5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9" w15:restartNumberingAfterBreak="0">
    <w:nsid w:val="670C127A"/>
    <w:multiLevelType w:val="hybridMultilevel"/>
    <w:tmpl w:val="0D58361C"/>
    <w:lvl w:ilvl="0" w:tplc="4566D1F2">
      <w:start w:val="1"/>
      <w:numFmt w:val="decimal"/>
      <w:lvlText w:val="%1."/>
      <w:lvlJc w:val="left"/>
      <w:pPr>
        <w:ind w:left="1020" w:hanging="360"/>
      </w:pPr>
    </w:lvl>
    <w:lvl w:ilvl="1" w:tplc="A782A3B4">
      <w:start w:val="1"/>
      <w:numFmt w:val="decimal"/>
      <w:lvlText w:val="%2."/>
      <w:lvlJc w:val="left"/>
      <w:pPr>
        <w:ind w:left="1020" w:hanging="360"/>
      </w:pPr>
    </w:lvl>
    <w:lvl w:ilvl="2" w:tplc="D31A3D66">
      <w:start w:val="1"/>
      <w:numFmt w:val="decimal"/>
      <w:lvlText w:val="%3."/>
      <w:lvlJc w:val="left"/>
      <w:pPr>
        <w:ind w:left="1020" w:hanging="360"/>
      </w:pPr>
    </w:lvl>
    <w:lvl w:ilvl="3" w:tplc="C01CA896">
      <w:start w:val="1"/>
      <w:numFmt w:val="decimal"/>
      <w:lvlText w:val="%4."/>
      <w:lvlJc w:val="left"/>
      <w:pPr>
        <w:ind w:left="1020" w:hanging="360"/>
      </w:pPr>
    </w:lvl>
    <w:lvl w:ilvl="4" w:tplc="F7DC3AEC">
      <w:start w:val="1"/>
      <w:numFmt w:val="decimal"/>
      <w:lvlText w:val="%5."/>
      <w:lvlJc w:val="left"/>
      <w:pPr>
        <w:ind w:left="1020" w:hanging="360"/>
      </w:pPr>
    </w:lvl>
    <w:lvl w:ilvl="5" w:tplc="C5504456">
      <w:start w:val="1"/>
      <w:numFmt w:val="decimal"/>
      <w:lvlText w:val="%6."/>
      <w:lvlJc w:val="left"/>
      <w:pPr>
        <w:ind w:left="1020" w:hanging="360"/>
      </w:pPr>
    </w:lvl>
    <w:lvl w:ilvl="6" w:tplc="28F834B8">
      <w:start w:val="1"/>
      <w:numFmt w:val="decimal"/>
      <w:lvlText w:val="%7."/>
      <w:lvlJc w:val="left"/>
      <w:pPr>
        <w:ind w:left="1020" w:hanging="360"/>
      </w:pPr>
    </w:lvl>
    <w:lvl w:ilvl="7" w:tplc="E0360A94">
      <w:start w:val="1"/>
      <w:numFmt w:val="decimal"/>
      <w:lvlText w:val="%8."/>
      <w:lvlJc w:val="left"/>
      <w:pPr>
        <w:ind w:left="1020" w:hanging="360"/>
      </w:pPr>
    </w:lvl>
    <w:lvl w:ilvl="8" w:tplc="2F7E80EC">
      <w:start w:val="1"/>
      <w:numFmt w:val="decimal"/>
      <w:lvlText w:val="%9."/>
      <w:lvlJc w:val="left"/>
      <w:pPr>
        <w:ind w:left="1020" w:hanging="360"/>
      </w:pPr>
    </w:lvl>
  </w:abstractNum>
  <w:abstractNum w:abstractNumId="410" w15:restartNumberingAfterBreak="0">
    <w:nsid w:val="675E432B"/>
    <w:multiLevelType w:val="hybridMultilevel"/>
    <w:tmpl w:val="F3BE6FB2"/>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1" w15:restartNumberingAfterBreak="0">
    <w:nsid w:val="678519F7"/>
    <w:multiLevelType w:val="hybridMultilevel"/>
    <w:tmpl w:val="9D927212"/>
    <w:lvl w:ilvl="0" w:tplc="1A4421E0">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2" w15:restartNumberingAfterBreak="0">
    <w:nsid w:val="67C24447"/>
    <w:multiLevelType w:val="hybridMultilevel"/>
    <w:tmpl w:val="4AFAE9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3" w15:restartNumberingAfterBreak="0">
    <w:nsid w:val="68043128"/>
    <w:multiLevelType w:val="hybridMultilevel"/>
    <w:tmpl w:val="219CCF04"/>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4" w15:restartNumberingAfterBreak="0">
    <w:nsid w:val="681C4F95"/>
    <w:multiLevelType w:val="hybridMultilevel"/>
    <w:tmpl w:val="92229178"/>
    <w:lvl w:ilvl="0" w:tplc="60504E42">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5" w15:restartNumberingAfterBreak="0">
    <w:nsid w:val="68CD4591"/>
    <w:multiLevelType w:val="hybridMultilevel"/>
    <w:tmpl w:val="0B866C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6" w15:restartNumberingAfterBreak="0">
    <w:nsid w:val="695F343A"/>
    <w:multiLevelType w:val="hybridMultilevel"/>
    <w:tmpl w:val="BA5290B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7" w15:restartNumberingAfterBreak="0">
    <w:nsid w:val="697D1DF6"/>
    <w:multiLevelType w:val="hybridMultilevel"/>
    <w:tmpl w:val="3BBE71E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8" w15:restartNumberingAfterBreak="0">
    <w:nsid w:val="69A3696D"/>
    <w:multiLevelType w:val="hybridMultilevel"/>
    <w:tmpl w:val="72185C98"/>
    <w:lvl w:ilvl="0" w:tplc="4DB80760">
      <w:start w:val="1"/>
      <w:numFmt w:val="bullet"/>
      <w:lvlText w:val="­"/>
      <w:lvlJc w:val="left"/>
      <w:pPr>
        <w:ind w:left="720" w:hanging="360"/>
      </w:pPr>
      <w:rPr>
        <w:rFonts w:ascii="Courier New" w:hAnsi="Courier New"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6A3A128F"/>
    <w:multiLevelType w:val="hybridMultilevel"/>
    <w:tmpl w:val="66E275D8"/>
    <w:lvl w:ilvl="0" w:tplc="1A4421E0">
      <w:start w:val="1"/>
      <w:numFmt w:val="lowerRoman"/>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20" w15:restartNumberingAfterBreak="0">
    <w:nsid w:val="6A697E3B"/>
    <w:multiLevelType w:val="hybridMultilevel"/>
    <w:tmpl w:val="A328B6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1" w15:restartNumberingAfterBreak="0">
    <w:nsid w:val="6AA80B9E"/>
    <w:multiLevelType w:val="hybridMultilevel"/>
    <w:tmpl w:val="96689764"/>
    <w:lvl w:ilvl="0" w:tplc="2C0E6588">
      <w:start w:val="1"/>
      <w:numFmt w:val="bullet"/>
      <w:lvlText w:val=""/>
      <w:lvlJc w:val="left"/>
      <w:pPr>
        <w:ind w:left="1080" w:hanging="360"/>
      </w:pPr>
      <w:rPr>
        <w:rFonts w:ascii="Symbol" w:hAnsi="Symbol" w:hint="default"/>
      </w:rPr>
    </w:lvl>
    <w:lvl w:ilvl="1" w:tplc="E656329E">
      <w:start w:val="1"/>
      <w:numFmt w:val="bullet"/>
      <w:lvlText w:val="o"/>
      <w:lvlJc w:val="left"/>
      <w:pPr>
        <w:ind w:left="1800" w:hanging="360"/>
      </w:pPr>
      <w:rPr>
        <w:rFonts w:ascii="Courier New" w:hAnsi="Courier New" w:hint="default"/>
      </w:rPr>
    </w:lvl>
    <w:lvl w:ilvl="2" w:tplc="5DB2DB02">
      <w:start w:val="1"/>
      <w:numFmt w:val="bullet"/>
      <w:lvlText w:val=""/>
      <w:lvlJc w:val="left"/>
      <w:pPr>
        <w:ind w:left="2520" w:hanging="360"/>
      </w:pPr>
      <w:rPr>
        <w:rFonts w:ascii="Wingdings" w:hAnsi="Wingdings" w:hint="default"/>
      </w:rPr>
    </w:lvl>
    <w:lvl w:ilvl="3" w:tplc="6E82F896">
      <w:start w:val="1"/>
      <w:numFmt w:val="bullet"/>
      <w:lvlText w:val=""/>
      <w:lvlJc w:val="left"/>
      <w:pPr>
        <w:ind w:left="3240" w:hanging="360"/>
      </w:pPr>
      <w:rPr>
        <w:rFonts w:ascii="Symbol" w:hAnsi="Symbol" w:hint="default"/>
      </w:rPr>
    </w:lvl>
    <w:lvl w:ilvl="4" w:tplc="195A1220">
      <w:start w:val="1"/>
      <w:numFmt w:val="bullet"/>
      <w:lvlText w:val="o"/>
      <w:lvlJc w:val="left"/>
      <w:pPr>
        <w:ind w:left="3960" w:hanging="360"/>
      </w:pPr>
      <w:rPr>
        <w:rFonts w:ascii="Courier New" w:hAnsi="Courier New" w:hint="default"/>
      </w:rPr>
    </w:lvl>
    <w:lvl w:ilvl="5" w:tplc="9B3CDAB2">
      <w:start w:val="1"/>
      <w:numFmt w:val="bullet"/>
      <w:lvlText w:val=""/>
      <w:lvlJc w:val="left"/>
      <w:pPr>
        <w:ind w:left="4680" w:hanging="360"/>
      </w:pPr>
      <w:rPr>
        <w:rFonts w:ascii="Wingdings" w:hAnsi="Wingdings" w:hint="default"/>
      </w:rPr>
    </w:lvl>
    <w:lvl w:ilvl="6" w:tplc="6DEA0FD4">
      <w:start w:val="1"/>
      <w:numFmt w:val="bullet"/>
      <w:lvlText w:val=""/>
      <w:lvlJc w:val="left"/>
      <w:pPr>
        <w:ind w:left="5400" w:hanging="360"/>
      </w:pPr>
      <w:rPr>
        <w:rFonts w:ascii="Symbol" w:hAnsi="Symbol" w:hint="default"/>
      </w:rPr>
    </w:lvl>
    <w:lvl w:ilvl="7" w:tplc="9AC025CE">
      <w:start w:val="1"/>
      <w:numFmt w:val="bullet"/>
      <w:lvlText w:val="o"/>
      <w:lvlJc w:val="left"/>
      <w:pPr>
        <w:ind w:left="6120" w:hanging="360"/>
      </w:pPr>
      <w:rPr>
        <w:rFonts w:ascii="Courier New" w:hAnsi="Courier New" w:hint="default"/>
      </w:rPr>
    </w:lvl>
    <w:lvl w:ilvl="8" w:tplc="C884E266">
      <w:start w:val="1"/>
      <w:numFmt w:val="bullet"/>
      <w:lvlText w:val=""/>
      <w:lvlJc w:val="left"/>
      <w:pPr>
        <w:ind w:left="6840" w:hanging="360"/>
      </w:pPr>
      <w:rPr>
        <w:rFonts w:ascii="Wingdings" w:hAnsi="Wingdings" w:hint="default"/>
      </w:rPr>
    </w:lvl>
  </w:abstractNum>
  <w:abstractNum w:abstractNumId="422" w15:restartNumberingAfterBreak="0">
    <w:nsid w:val="6ABD1FE3"/>
    <w:multiLevelType w:val="hybridMultilevel"/>
    <w:tmpl w:val="ECFC20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3" w15:restartNumberingAfterBreak="0">
    <w:nsid w:val="6AC96EC5"/>
    <w:multiLevelType w:val="hybridMultilevel"/>
    <w:tmpl w:val="9B5A40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4" w15:restartNumberingAfterBreak="0">
    <w:nsid w:val="6B334750"/>
    <w:multiLevelType w:val="multilevel"/>
    <w:tmpl w:val="3152A51E"/>
    <w:lvl w:ilvl="0">
      <w:start w:val="4"/>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5" w15:restartNumberingAfterBreak="0">
    <w:nsid w:val="6B40452B"/>
    <w:multiLevelType w:val="hybridMultilevel"/>
    <w:tmpl w:val="2978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6" w15:restartNumberingAfterBreak="0">
    <w:nsid w:val="6BE33255"/>
    <w:multiLevelType w:val="multilevel"/>
    <w:tmpl w:val="395E5438"/>
    <w:lvl w:ilvl="0">
      <w:start w:val="1"/>
      <w:numFmt w:val="bullet"/>
      <w:lvlText w:val="o"/>
      <w:lvlJc w:val="left"/>
      <w:pPr>
        <w:ind w:left="600" w:hanging="600"/>
      </w:pPr>
      <w:rPr>
        <w:rFonts w:ascii="Courier New" w:hAnsi="Courier New" w:cs="Courier New"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7" w15:restartNumberingAfterBreak="0">
    <w:nsid w:val="6BEE5829"/>
    <w:multiLevelType w:val="hybridMultilevel"/>
    <w:tmpl w:val="1444CBCA"/>
    <w:lvl w:ilvl="0" w:tplc="88FCBD4C">
      <w:start w:val="1"/>
      <w:numFmt w:val="bullet"/>
      <w:lvlText w:val=""/>
      <w:lvlJc w:val="left"/>
      <w:pPr>
        <w:ind w:left="720" w:hanging="360"/>
      </w:pPr>
      <w:rPr>
        <w:rFonts w:ascii="Symbol" w:hAnsi="Symbol" w:hint="default"/>
        <w:color w:val="auto"/>
        <w:lang w:val="es-C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8" w15:restartNumberingAfterBreak="0">
    <w:nsid w:val="6C316A8A"/>
    <w:multiLevelType w:val="multilevel"/>
    <w:tmpl w:val="ACA821A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6C432593"/>
    <w:multiLevelType w:val="hybridMultilevel"/>
    <w:tmpl w:val="482053D6"/>
    <w:lvl w:ilvl="0" w:tplc="BB2AAC48">
      <w:start w:val="1"/>
      <w:numFmt w:val="bullet"/>
      <w:lvlText w:val=""/>
      <w:lvlJc w:val="left"/>
      <w:pPr>
        <w:ind w:left="360" w:hanging="360"/>
      </w:pPr>
      <w:rPr>
        <w:rFonts w:ascii="Symbol" w:hAnsi="Symbol" w:hint="default"/>
        <w:lang w:val="es-ES"/>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19AEA178">
      <w:numFmt w:val="bullet"/>
      <w:lvlText w:val="•"/>
      <w:lvlJc w:val="left"/>
      <w:pPr>
        <w:ind w:left="2865" w:hanging="705"/>
      </w:pPr>
      <w:rPr>
        <w:rFonts w:ascii="Arial" w:eastAsia="Times New Roman" w:hAnsi="Arial" w:cs="Aria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0" w15:restartNumberingAfterBreak="0">
    <w:nsid w:val="6D081267"/>
    <w:multiLevelType w:val="hybridMultilevel"/>
    <w:tmpl w:val="631C91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1" w15:restartNumberingAfterBreak="0">
    <w:nsid w:val="6D3970A2"/>
    <w:multiLevelType w:val="hybridMultilevel"/>
    <w:tmpl w:val="7C043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2" w15:restartNumberingAfterBreak="0">
    <w:nsid w:val="6D5C33E6"/>
    <w:multiLevelType w:val="multilevel"/>
    <w:tmpl w:val="5AD8711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3" w15:restartNumberingAfterBreak="0">
    <w:nsid w:val="6D7D1C28"/>
    <w:multiLevelType w:val="hybridMultilevel"/>
    <w:tmpl w:val="BDF6300E"/>
    <w:lvl w:ilvl="0" w:tplc="4DB80760">
      <w:start w:val="1"/>
      <w:numFmt w:val="bullet"/>
      <w:lvlText w:val="­"/>
      <w:lvlJc w:val="left"/>
      <w:pPr>
        <w:ind w:left="360" w:hanging="360"/>
      </w:pPr>
      <w:rPr>
        <w:rFonts w:ascii="Courier New" w:hAnsi="Courier New" w:cs="Times New Roman" w:hint="default"/>
        <w:color w:val="auto"/>
        <w:lang w:val="es-C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19AEA178">
      <w:numFmt w:val="bullet"/>
      <w:lvlText w:val="•"/>
      <w:lvlJc w:val="left"/>
      <w:pPr>
        <w:ind w:left="2865" w:hanging="705"/>
      </w:pPr>
      <w:rPr>
        <w:rFonts w:ascii="Arial" w:eastAsia="Times New Roman" w:hAnsi="Arial" w:cs="Aria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4" w15:restartNumberingAfterBreak="0">
    <w:nsid w:val="6D9660FE"/>
    <w:multiLevelType w:val="hybridMultilevel"/>
    <w:tmpl w:val="80E419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5" w15:restartNumberingAfterBreak="0">
    <w:nsid w:val="6E04625A"/>
    <w:multiLevelType w:val="hybridMultilevel"/>
    <w:tmpl w:val="FDFAE6DA"/>
    <w:lvl w:ilvl="0" w:tplc="F448113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6" w15:restartNumberingAfterBreak="0">
    <w:nsid w:val="6E395BD2"/>
    <w:multiLevelType w:val="hybridMultilevel"/>
    <w:tmpl w:val="A0E061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7" w15:restartNumberingAfterBreak="0">
    <w:nsid w:val="6E3C3F7E"/>
    <w:multiLevelType w:val="hybridMultilevel"/>
    <w:tmpl w:val="FB06CE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8" w15:restartNumberingAfterBreak="0">
    <w:nsid w:val="6E8C3F3E"/>
    <w:multiLevelType w:val="hybridMultilevel"/>
    <w:tmpl w:val="EE78276E"/>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9" w15:restartNumberingAfterBreak="0">
    <w:nsid w:val="6F527A33"/>
    <w:multiLevelType w:val="multilevel"/>
    <w:tmpl w:val="A0D0F468"/>
    <w:lvl w:ilvl="0">
      <w:start w:val="1"/>
      <w:numFmt w:val="decimal"/>
      <w:lvlText w:val="%1."/>
      <w:lvlJc w:val="left"/>
      <w:pPr>
        <w:tabs>
          <w:tab w:val="num" w:pos="0"/>
        </w:tabs>
        <w:ind w:left="0" w:firstLine="0"/>
      </w:pPr>
      <w:rPr>
        <w:rFonts w:ascii="Arial" w:hAnsi="Arial" w:cs="Symbol" w:hint="default"/>
        <w:b/>
        <w:i w:val="0"/>
        <w:sz w:val="24"/>
        <w:szCs w:val="24"/>
      </w:rPr>
    </w:lvl>
    <w:lvl w:ilvl="1">
      <w:start w:val="1"/>
      <w:numFmt w:val="decimal"/>
      <w:lvlText w:val="%1.%2"/>
      <w:lvlJc w:val="left"/>
      <w:pPr>
        <w:tabs>
          <w:tab w:val="num" w:pos="0"/>
        </w:tabs>
        <w:ind w:left="0" w:firstLine="0"/>
      </w:pPr>
      <w:rPr>
        <w:rFonts w:ascii="Arial" w:hAnsi="Arial" w:cs="Symbol" w:hint="default"/>
        <w:b/>
        <w:i w:val="0"/>
        <w:sz w:val="24"/>
        <w:szCs w:val="24"/>
      </w:rPr>
    </w:lvl>
    <w:lvl w:ilvl="2">
      <w:start w:val="1"/>
      <w:numFmt w:val="decimal"/>
      <w:lvlText w:val="%1.%2.%3"/>
      <w:lvlJc w:val="left"/>
      <w:pPr>
        <w:tabs>
          <w:tab w:val="num" w:pos="0"/>
        </w:tabs>
        <w:ind w:left="0" w:firstLine="0"/>
      </w:pPr>
      <w:rPr>
        <w:rFonts w:ascii="Arial" w:hAnsi="Arial" w:cs="Symbol" w:hint="default"/>
        <w:b/>
        <w:i w:val="0"/>
        <w:caps/>
        <w:sz w:val="24"/>
        <w:szCs w:val="20"/>
        <w:lang w:val="es-CO"/>
      </w:rPr>
    </w:lvl>
    <w:lvl w:ilvl="3">
      <w:start w:val="1"/>
      <w:numFmt w:val="decimal"/>
      <w:lvlText w:val="%1.%2.%3.%4"/>
      <w:lvlJc w:val="left"/>
      <w:pPr>
        <w:tabs>
          <w:tab w:val="num" w:pos="0"/>
        </w:tabs>
        <w:ind w:left="0" w:firstLine="0"/>
      </w:pPr>
      <w:rPr>
        <w:rFonts w:ascii="Arial" w:hAnsi="Arial" w:cs="Symbol" w:hint="default"/>
        <w:b/>
        <w:i w:val="0"/>
        <w:sz w:val="24"/>
        <w:szCs w:val="20"/>
      </w:rPr>
    </w:lvl>
    <w:lvl w:ilvl="4">
      <w:start w:val="1"/>
      <w:numFmt w:val="decimal"/>
      <w:lvlText w:val="%1.%2.%3.%4.%5"/>
      <w:lvlJc w:val="left"/>
      <w:pPr>
        <w:tabs>
          <w:tab w:val="num" w:pos="2160"/>
        </w:tabs>
        <w:ind w:left="2160" w:hanging="1080"/>
      </w:pPr>
    </w:lvl>
    <w:lvl w:ilvl="5">
      <w:start w:val="1"/>
      <w:numFmt w:val="decimal"/>
      <w:lvlText w:val="%1.%2.%3.%4.%5.%6"/>
      <w:lvlJc w:val="left"/>
      <w:pPr>
        <w:tabs>
          <w:tab w:val="num" w:pos="2160"/>
        </w:tabs>
        <w:ind w:left="216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520"/>
        </w:tabs>
        <w:ind w:left="2520" w:hanging="1440"/>
      </w:pPr>
    </w:lvl>
    <w:lvl w:ilvl="8">
      <w:start w:val="1"/>
      <w:numFmt w:val="decimal"/>
      <w:lvlText w:val="%1.%2.%3.%4.%5.%6.%7.%8.%9"/>
      <w:lvlJc w:val="left"/>
      <w:pPr>
        <w:tabs>
          <w:tab w:val="num" w:pos="2880"/>
        </w:tabs>
        <w:ind w:left="2880" w:hanging="1800"/>
      </w:pPr>
    </w:lvl>
  </w:abstractNum>
  <w:abstractNum w:abstractNumId="440" w15:restartNumberingAfterBreak="0">
    <w:nsid w:val="701659E0"/>
    <w:multiLevelType w:val="hybridMultilevel"/>
    <w:tmpl w:val="244A9EA6"/>
    <w:lvl w:ilvl="0" w:tplc="DA5C8EFA">
      <w:start w:val="1"/>
      <w:numFmt w:val="bullet"/>
      <w:lvlText w:val=""/>
      <w:lvlJc w:val="left"/>
      <w:pPr>
        <w:ind w:left="360" w:hanging="360"/>
      </w:pPr>
      <w:rPr>
        <w:rFonts w:ascii="Symbol" w:hAnsi="Symbol" w:hint="default"/>
        <w:lang w:val="es-C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19AEA178">
      <w:numFmt w:val="bullet"/>
      <w:lvlText w:val="•"/>
      <w:lvlJc w:val="left"/>
      <w:pPr>
        <w:ind w:left="2865" w:hanging="705"/>
      </w:pPr>
      <w:rPr>
        <w:rFonts w:ascii="Arial" w:eastAsia="Times New Roman" w:hAnsi="Arial" w:cs="Aria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1" w15:restartNumberingAfterBreak="0">
    <w:nsid w:val="706475F5"/>
    <w:multiLevelType w:val="hybridMultilevel"/>
    <w:tmpl w:val="08283A80"/>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2" w15:restartNumberingAfterBreak="0">
    <w:nsid w:val="710941BA"/>
    <w:multiLevelType w:val="hybridMultilevel"/>
    <w:tmpl w:val="A2947BD6"/>
    <w:lvl w:ilvl="0" w:tplc="240A0001">
      <w:start w:val="1"/>
      <w:numFmt w:val="bullet"/>
      <w:lvlText w:val=""/>
      <w:lvlJc w:val="left"/>
      <w:pPr>
        <w:ind w:left="360" w:hanging="360"/>
      </w:pPr>
      <w:rPr>
        <w:rFonts w:ascii="Symbol" w:hAnsi="Symbol" w:hint="default"/>
      </w:rPr>
    </w:lvl>
    <w:lvl w:ilvl="1" w:tplc="26169528">
      <w:start w:val="1"/>
      <w:numFmt w:val="lowerLetter"/>
      <w:lvlText w:val="%2."/>
      <w:lvlJc w:val="left"/>
      <w:pPr>
        <w:ind w:left="1425" w:hanging="705"/>
      </w:pPr>
      <w:rPr>
        <w:rFonts w:hint="default"/>
      </w:rPr>
    </w:lvl>
    <w:lvl w:ilvl="2" w:tplc="F2B4939A">
      <w:start w:val="1"/>
      <w:numFmt w:val="lowerLetter"/>
      <w:lvlText w:val="%3)"/>
      <w:lvlJc w:val="left"/>
      <w:pPr>
        <w:ind w:left="1980" w:hanging="360"/>
      </w:pPr>
      <w:rPr>
        <w:rFonts w:hint="default"/>
        <w:b/>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3" w15:restartNumberingAfterBreak="0">
    <w:nsid w:val="71CE3103"/>
    <w:multiLevelType w:val="hybridMultilevel"/>
    <w:tmpl w:val="E8B2AEB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Vrinda"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Vrinda"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Vrinda" w:hint="default"/>
      </w:rPr>
    </w:lvl>
    <w:lvl w:ilvl="8" w:tplc="240A0005">
      <w:start w:val="1"/>
      <w:numFmt w:val="bullet"/>
      <w:lvlText w:val=""/>
      <w:lvlJc w:val="left"/>
      <w:pPr>
        <w:ind w:left="6120" w:hanging="360"/>
      </w:pPr>
      <w:rPr>
        <w:rFonts w:ascii="Wingdings" w:hAnsi="Wingdings" w:hint="default"/>
      </w:rPr>
    </w:lvl>
  </w:abstractNum>
  <w:abstractNum w:abstractNumId="444" w15:restartNumberingAfterBreak="0">
    <w:nsid w:val="72835D97"/>
    <w:multiLevelType w:val="hybridMultilevel"/>
    <w:tmpl w:val="F9F8216C"/>
    <w:lvl w:ilvl="0" w:tplc="D8A6D34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5" w15:restartNumberingAfterBreak="0">
    <w:nsid w:val="7418085E"/>
    <w:multiLevelType w:val="hybridMultilevel"/>
    <w:tmpl w:val="0304154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46" w15:restartNumberingAfterBreak="0">
    <w:nsid w:val="7440021D"/>
    <w:multiLevelType w:val="hybridMultilevel"/>
    <w:tmpl w:val="5D143C4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7" w15:restartNumberingAfterBreak="0">
    <w:nsid w:val="74483F19"/>
    <w:multiLevelType w:val="hybridMultilevel"/>
    <w:tmpl w:val="6F3264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8" w15:restartNumberingAfterBreak="0">
    <w:nsid w:val="74704960"/>
    <w:multiLevelType w:val="hybridMultilevel"/>
    <w:tmpl w:val="A86CD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9" w15:restartNumberingAfterBreak="0">
    <w:nsid w:val="748678D6"/>
    <w:multiLevelType w:val="hybridMultilevel"/>
    <w:tmpl w:val="5FDCE356"/>
    <w:lvl w:ilvl="0" w:tplc="F2B4939A">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59D00124">
      <w:start w:val="727"/>
      <w:numFmt w:val="bullet"/>
      <w:lvlText w:val="-"/>
      <w:lvlJc w:val="left"/>
      <w:pPr>
        <w:ind w:left="2880" w:hanging="360"/>
      </w:pPr>
      <w:rPr>
        <w:rFonts w:ascii="Calibri" w:eastAsiaTheme="minorHAnsi" w:hAnsi="Calibri" w:cstheme="minorBid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0" w15:restartNumberingAfterBreak="0">
    <w:nsid w:val="748E4A94"/>
    <w:multiLevelType w:val="hybridMultilevel"/>
    <w:tmpl w:val="A574E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1" w15:restartNumberingAfterBreak="0">
    <w:nsid w:val="74A23EBE"/>
    <w:multiLevelType w:val="multilevel"/>
    <w:tmpl w:val="A0EC06EC"/>
    <w:lvl w:ilvl="0">
      <w:start w:val="1"/>
      <w:numFmt w:val="bullet"/>
      <w:lvlText w:val=""/>
      <w:lvlJc w:val="left"/>
      <w:pPr>
        <w:ind w:left="720" w:hanging="72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2" w15:restartNumberingAfterBreak="0">
    <w:nsid w:val="74DD0B7D"/>
    <w:multiLevelType w:val="hybridMultilevel"/>
    <w:tmpl w:val="F72AB074"/>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3" w15:restartNumberingAfterBreak="0">
    <w:nsid w:val="752B443A"/>
    <w:multiLevelType w:val="hybridMultilevel"/>
    <w:tmpl w:val="4F84DD7C"/>
    <w:lvl w:ilvl="0" w:tplc="4DB80760">
      <w:start w:val="1"/>
      <w:numFmt w:val="bullet"/>
      <w:lvlText w:val="­"/>
      <w:lvlJc w:val="left"/>
      <w:pPr>
        <w:ind w:left="720" w:hanging="360"/>
      </w:pPr>
      <w:rPr>
        <w:rFonts w:ascii="Courier New" w:hAnsi="Courier New"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4" w15:restartNumberingAfterBreak="0">
    <w:nsid w:val="755A60C4"/>
    <w:multiLevelType w:val="hybridMultilevel"/>
    <w:tmpl w:val="71D8D470"/>
    <w:lvl w:ilvl="0" w:tplc="48A43A4A">
      <w:numFmt w:val="bullet"/>
      <w:lvlText w:val="•"/>
      <w:lvlJc w:val="left"/>
      <w:pPr>
        <w:ind w:left="1065" w:hanging="705"/>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5" w15:restartNumberingAfterBreak="0">
    <w:nsid w:val="75E92ECD"/>
    <w:multiLevelType w:val="hybridMultilevel"/>
    <w:tmpl w:val="31560418"/>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6" w15:restartNumberingAfterBreak="0">
    <w:nsid w:val="75FE58BA"/>
    <w:multiLevelType w:val="hybridMultilevel"/>
    <w:tmpl w:val="235263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7" w15:restartNumberingAfterBreak="0">
    <w:nsid w:val="76156207"/>
    <w:multiLevelType w:val="hybridMultilevel"/>
    <w:tmpl w:val="C18474EC"/>
    <w:lvl w:ilvl="0" w:tplc="E84C41B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8" w15:restartNumberingAfterBreak="0">
    <w:nsid w:val="76317A91"/>
    <w:multiLevelType w:val="hybridMultilevel"/>
    <w:tmpl w:val="21A04AA8"/>
    <w:lvl w:ilvl="0" w:tplc="240A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9" w15:restartNumberingAfterBreak="0">
    <w:nsid w:val="763D6689"/>
    <w:multiLevelType w:val="hybridMultilevel"/>
    <w:tmpl w:val="999EC71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0" w15:restartNumberingAfterBreak="0">
    <w:nsid w:val="765E3E83"/>
    <w:multiLevelType w:val="hybridMultilevel"/>
    <w:tmpl w:val="62561262"/>
    <w:lvl w:ilvl="0" w:tplc="ED4C209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1" w15:restartNumberingAfterBreak="0">
    <w:nsid w:val="76E02FD4"/>
    <w:multiLevelType w:val="hybridMultilevel"/>
    <w:tmpl w:val="934405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2" w15:restartNumberingAfterBreak="0">
    <w:nsid w:val="77067EE1"/>
    <w:multiLevelType w:val="hybridMultilevel"/>
    <w:tmpl w:val="A7E806C0"/>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3" w15:restartNumberingAfterBreak="0">
    <w:nsid w:val="771E12A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4" w15:restartNumberingAfterBreak="0">
    <w:nsid w:val="77374C17"/>
    <w:multiLevelType w:val="hybridMultilevel"/>
    <w:tmpl w:val="EC52AC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5" w15:restartNumberingAfterBreak="0">
    <w:nsid w:val="773C0F75"/>
    <w:multiLevelType w:val="hybridMultilevel"/>
    <w:tmpl w:val="708080A8"/>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6" w15:restartNumberingAfterBreak="0">
    <w:nsid w:val="775E2428"/>
    <w:multiLevelType w:val="hybridMultilevel"/>
    <w:tmpl w:val="A85A36F6"/>
    <w:lvl w:ilvl="0" w:tplc="BB2AAC48">
      <w:start w:val="1"/>
      <w:numFmt w:val="bullet"/>
      <w:lvlText w:val=""/>
      <w:lvlJc w:val="left"/>
      <w:pPr>
        <w:ind w:left="720" w:hanging="360"/>
      </w:pPr>
      <w:rPr>
        <w:rFonts w:ascii="Symbol" w:hAnsi="Symbol" w:hint="default"/>
        <w:sz w:val="24"/>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7" w15:restartNumberingAfterBreak="0">
    <w:nsid w:val="776C3B0A"/>
    <w:multiLevelType w:val="hybridMultilevel"/>
    <w:tmpl w:val="6EDC4B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8" w15:restartNumberingAfterBreak="0">
    <w:nsid w:val="77A36B08"/>
    <w:multiLevelType w:val="hybridMultilevel"/>
    <w:tmpl w:val="B658BF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9" w15:restartNumberingAfterBreak="0">
    <w:nsid w:val="77C1768A"/>
    <w:multiLevelType w:val="multilevel"/>
    <w:tmpl w:val="D2E8867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0" w15:restartNumberingAfterBreak="0">
    <w:nsid w:val="787F7BF9"/>
    <w:multiLevelType w:val="hybridMultilevel"/>
    <w:tmpl w:val="A57E5B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1" w15:restartNumberingAfterBreak="0">
    <w:nsid w:val="78AD60E7"/>
    <w:multiLevelType w:val="hybridMultilevel"/>
    <w:tmpl w:val="9B64F0E0"/>
    <w:lvl w:ilvl="0" w:tplc="59D00124">
      <w:start w:val="727"/>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2" w15:restartNumberingAfterBreak="0">
    <w:nsid w:val="78AF2780"/>
    <w:multiLevelType w:val="multilevel"/>
    <w:tmpl w:val="1D8A9BC8"/>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3" w15:restartNumberingAfterBreak="0">
    <w:nsid w:val="78BF7B60"/>
    <w:multiLevelType w:val="hybridMultilevel"/>
    <w:tmpl w:val="A6B639B4"/>
    <w:lvl w:ilvl="0" w:tplc="4DB80760">
      <w:start w:val="1"/>
      <w:numFmt w:val="bullet"/>
      <w:lvlText w:val="­"/>
      <w:lvlJc w:val="left"/>
      <w:pPr>
        <w:ind w:left="360" w:hanging="360"/>
      </w:pPr>
      <w:rPr>
        <w:rFonts w:ascii="Courier New" w:hAnsi="Courier New" w:cs="Times New Roman" w:hint="default"/>
        <w:color w:val="auto"/>
      </w:rPr>
    </w:lvl>
    <w:lvl w:ilvl="1" w:tplc="1B4A25EA">
      <w:numFmt w:val="bullet"/>
      <w:lvlText w:val="•"/>
      <w:lvlJc w:val="left"/>
      <w:pPr>
        <w:ind w:left="1080" w:hanging="360"/>
      </w:pPr>
      <w:rPr>
        <w:rFonts w:ascii="Arial Narrow" w:eastAsia="Times New Roman" w:hAnsi="Arial Narrow"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4" w15:restartNumberingAfterBreak="0">
    <w:nsid w:val="78E71AD0"/>
    <w:multiLevelType w:val="hybridMultilevel"/>
    <w:tmpl w:val="89A6094E"/>
    <w:lvl w:ilvl="0" w:tplc="4DB80760">
      <w:start w:val="1"/>
      <w:numFmt w:val="bullet"/>
      <w:lvlText w:val="­"/>
      <w:lvlJc w:val="left"/>
      <w:pPr>
        <w:ind w:left="720" w:hanging="360"/>
      </w:pPr>
      <w:rPr>
        <w:rFonts w:ascii="Courier New" w:hAnsi="Courier New" w:cs="Times New Roman"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5" w15:restartNumberingAfterBreak="0">
    <w:nsid w:val="790753B5"/>
    <w:multiLevelType w:val="multilevel"/>
    <w:tmpl w:val="3C7A76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6" w15:restartNumberingAfterBreak="0">
    <w:nsid w:val="79620288"/>
    <w:multiLevelType w:val="hybridMultilevel"/>
    <w:tmpl w:val="51602994"/>
    <w:lvl w:ilvl="0" w:tplc="0409000D">
      <w:start w:val="1"/>
      <w:numFmt w:val="bullet"/>
      <w:lvlText w:val=""/>
      <w:lvlJc w:val="left"/>
      <w:pPr>
        <w:ind w:left="1080" w:hanging="360"/>
      </w:pPr>
      <w:rPr>
        <w:rFonts w:ascii="Wingdings" w:hAnsi="Wingdings"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77" w15:restartNumberingAfterBreak="0">
    <w:nsid w:val="79852FDA"/>
    <w:multiLevelType w:val="hybridMultilevel"/>
    <w:tmpl w:val="10CE31A4"/>
    <w:lvl w:ilvl="0" w:tplc="A69069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8" w15:restartNumberingAfterBreak="0">
    <w:nsid w:val="7A3F2122"/>
    <w:multiLevelType w:val="hybridMultilevel"/>
    <w:tmpl w:val="B8D69F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79" w15:restartNumberingAfterBreak="0">
    <w:nsid w:val="7A531BCB"/>
    <w:multiLevelType w:val="hybridMultilevel"/>
    <w:tmpl w:val="0550285E"/>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80" w15:restartNumberingAfterBreak="0">
    <w:nsid w:val="7A8C1C99"/>
    <w:multiLevelType w:val="hybridMultilevel"/>
    <w:tmpl w:val="AE1268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1" w15:restartNumberingAfterBreak="0">
    <w:nsid w:val="7AE91E4B"/>
    <w:multiLevelType w:val="hybridMultilevel"/>
    <w:tmpl w:val="9DEC0C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2" w15:restartNumberingAfterBreak="0">
    <w:nsid w:val="7AF86094"/>
    <w:multiLevelType w:val="hybridMultilevel"/>
    <w:tmpl w:val="B810F624"/>
    <w:lvl w:ilvl="0" w:tplc="390E56E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3" w15:restartNumberingAfterBreak="0">
    <w:nsid w:val="7B332B0A"/>
    <w:multiLevelType w:val="hybridMultilevel"/>
    <w:tmpl w:val="983841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4" w15:restartNumberingAfterBreak="0">
    <w:nsid w:val="7B472D8C"/>
    <w:multiLevelType w:val="hybridMultilevel"/>
    <w:tmpl w:val="2D9053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5" w15:restartNumberingAfterBreak="0">
    <w:nsid w:val="7C57596F"/>
    <w:multiLevelType w:val="hybridMultilevel"/>
    <w:tmpl w:val="6302C092"/>
    <w:lvl w:ilvl="0" w:tplc="4DB80760">
      <w:start w:val="1"/>
      <w:numFmt w:val="bullet"/>
      <w:lvlText w:val="­"/>
      <w:lvlJc w:val="left"/>
      <w:pPr>
        <w:ind w:left="780" w:hanging="360"/>
      </w:pPr>
      <w:rPr>
        <w:rFonts w:ascii="Courier New" w:hAnsi="Courier New" w:cs="Times New Roman" w:hint="default"/>
        <w:color w:val="auto"/>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86" w15:restartNumberingAfterBreak="0">
    <w:nsid w:val="7C7A324E"/>
    <w:multiLevelType w:val="hybridMultilevel"/>
    <w:tmpl w:val="33523F12"/>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7" w15:restartNumberingAfterBreak="0">
    <w:nsid w:val="7CC619C6"/>
    <w:multiLevelType w:val="hybridMultilevel"/>
    <w:tmpl w:val="F55C71DA"/>
    <w:lvl w:ilvl="0" w:tplc="E954D1A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8" w15:restartNumberingAfterBreak="0">
    <w:nsid w:val="7CF643ED"/>
    <w:multiLevelType w:val="hybridMultilevel"/>
    <w:tmpl w:val="35DEE04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9" w15:restartNumberingAfterBreak="0">
    <w:nsid w:val="7D562AA4"/>
    <w:multiLevelType w:val="hybridMultilevel"/>
    <w:tmpl w:val="27CAF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0" w15:restartNumberingAfterBreak="0">
    <w:nsid w:val="7D5C7522"/>
    <w:multiLevelType w:val="hybridMultilevel"/>
    <w:tmpl w:val="B9744C9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1" w15:restartNumberingAfterBreak="0">
    <w:nsid w:val="7D9229EB"/>
    <w:multiLevelType w:val="hybridMultilevel"/>
    <w:tmpl w:val="8BA47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2" w15:restartNumberingAfterBreak="0">
    <w:nsid w:val="7DB736CF"/>
    <w:multiLevelType w:val="hybridMultilevel"/>
    <w:tmpl w:val="0250FE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3" w15:restartNumberingAfterBreak="0">
    <w:nsid w:val="7E45673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4" w15:restartNumberingAfterBreak="0">
    <w:nsid w:val="7E6714EB"/>
    <w:multiLevelType w:val="hybridMultilevel"/>
    <w:tmpl w:val="6D7CB42A"/>
    <w:lvl w:ilvl="0" w:tplc="ED2899BC">
      <w:numFmt w:val="bullet"/>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EE610A2"/>
    <w:multiLevelType w:val="hybridMultilevel"/>
    <w:tmpl w:val="4C2A46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6" w15:restartNumberingAfterBreak="0">
    <w:nsid w:val="7F1C38AB"/>
    <w:multiLevelType w:val="hybridMultilevel"/>
    <w:tmpl w:val="77DE1358"/>
    <w:lvl w:ilvl="0" w:tplc="240A000D">
      <w:start w:val="1"/>
      <w:numFmt w:val="bullet"/>
      <w:lvlText w:val=""/>
      <w:lvlJc w:val="left"/>
      <w:pPr>
        <w:ind w:left="1065" w:hanging="360"/>
      </w:pPr>
      <w:rPr>
        <w:rFonts w:ascii="Wingdings" w:hAnsi="Wingdings"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497" w15:restartNumberingAfterBreak="0">
    <w:nsid w:val="7F937AF9"/>
    <w:multiLevelType w:val="hybridMultilevel"/>
    <w:tmpl w:val="448C2D22"/>
    <w:lvl w:ilvl="0" w:tplc="3FA6218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8" w15:restartNumberingAfterBreak="0">
    <w:nsid w:val="7FD97F68"/>
    <w:multiLevelType w:val="hybridMultilevel"/>
    <w:tmpl w:val="FFFFFFFF"/>
    <w:lvl w:ilvl="0" w:tplc="07024904">
      <w:start w:val="1"/>
      <w:numFmt w:val="bullet"/>
      <w:lvlText w:val=""/>
      <w:lvlJc w:val="left"/>
      <w:pPr>
        <w:ind w:left="720" w:hanging="360"/>
      </w:pPr>
      <w:rPr>
        <w:rFonts w:ascii="Symbol" w:hAnsi="Symbol" w:hint="default"/>
      </w:rPr>
    </w:lvl>
    <w:lvl w:ilvl="1" w:tplc="B34847CE">
      <w:start w:val="1"/>
      <w:numFmt w:val="bullet"/>
      <w:lvlText w:val="o"/>
      <w:lvlJc w:val="left"/>
      <w:pPr>
        <w:ind w:left="1440" w:hanging="360"/>
      </w:pPr>
      <w:rPr>
        <w:rFonts w:ascii="Courier New" w:hAnsi="Courier New" w:hint="default"/>
      </w:rPr>
    </w:lvl>
    <w:lvl w:ilvl="2" w:tplc="0D666B50">
      <w:start w:val="1"/>
      <w:numFmt w:val="bullet"/>
      <w:lvlText w:val=""/>
      <w:lvlJc w:val="left"/>
      <w:pPr>
        <w:ind w:left="2160" w:hanging="360"/>
      </w:pPr>
      <w:rPr>
        <w:rFonts w:ascii="Wingdings" w:hAnsi="Wingdings" w:hint="default"/>
      </w:rPr>
    </w:lvl>
    <w:lvl w:ilvl="3" w:tplc="4D4236D6">
      <w:start w:val="1"/>
      <w:numFmt w:val="bullet"/>
      <w:lvlText w:val=""/>
      <w:lvlJc w:val="left"/>
      <w:pPr>
        <w:ind w:left="2880" w:hanging="360"/>
      </w:pPr>
      <w:rPr>
        <w:rFonts w:ascii="Symbol" w:hAnsi="Symbol" w:hint="default"/>
      </w:rPr>
    </w:lvl>
    <w:lvl w:ilvl="4" w:tplc="32EE43F6">
      <w:start w:val="1"/>
      <w:numFmt w:val="bullet"/>
      <w:lvlText w:val="o"/>
      <w:lvlJc w:val="left"/>
      <w:pPr>
        <w:ind w:left="3600" w:hanging="360"/>
      </w:pPr>
      <w:rPr>
        <w:rFonts w:ascii="Courier New" w:hAnsi="Courier New" w:hint="default"/>
      </w:rPr>
    </w:lvl>
    <w:lvl w:ilvl="5" w:tplc="818C4420">
      <w:start w:val="1"/>
      <w:numFmt w:val="bullet"/>
      <w:lvlText w:val=""/>
      <w:lvlJc w:val="left"/>
      <w:pPr>
        <w:ind w:left="4320" w:hanging="360"/>
      </w:pPr>
      <w:rPr>
        <w:rFonts w:ascii="Wingdings" w:hAnsi="Wingdings" w:hint="default"/>
      </w:rPr>
    </w:lvl>
    <w:lvl w:ilvl="6" w:tplc="FD00B376">
      <w:start w:val="1"/>
      <w:numFmt w:val="bullet"/>
      <w:lvlText w:val=""/>
      <w:lvlJc w:val="left"/>
      <w:pPr>
        <w:ind w:left="5040" w:hanging="360"/>
      </w:pPr>
      <w:rPr>
        <w:rFonts w:ascii="Symbol" w:hAnsi="Symbol" w:hint="default"/>
      </w:rPr>
    </w:lvl>
    <w:lvl w:ilvl="7" w:tplc="30A459B0">
      <w:start w:val="1"/>
      <w:numFmt w:val="bullet"/>
      <w:lvlText w:val="o"/>
      <w:lvlJc w:val="left"/>
      <w:pPr>
        <w:ind w:left="5760" w:hanging="360"/>
      </w:pPr>
      <w:rPr>
        <w:rFonts w:ascii="Courier New" w:hAnsi="Courier New" w:hint="default"/>
      </w:rPr>
    </w:lvl>
    <w:lvl w:ilvl="8" w:tplc="2F9E3348">
      <w:start w:val="1"/>
      <w:numFmt w:val="bullet"/>
      <w:lvlText w:val=""/>
      <w:lvlJc w:val="left"/>
      <w:pPr>
        <w:ind w:left="6480" w:hanging="360"/>
      </w:pPr>
      <w:rPr>
        <w:rFonts w:ascii="Wingdings" w:hAnsi="Wingdings" w:hint="default"/>
      </w:rPr>
    </w:lvl>
  </w:abstractNum>
  <w:num w:numId="1" w16cid:durableId="1673413173">
    <w:abstractNumId w:val="353"/>
  </w:num>
  <w:num w:numId="2" w16cid:durableId="1471826284">
    <w:abstractNumId w:val="40"/>
  </w:num>
  <w:num w:numId="3" w16cid:durableId="267545232">
    <w:abstractNumId w:val="8"/>
  </w:num>
  <w:num w:numId="4" w16cid:durableId="1197692871">
    <w:abstractNumId w:val="194"/>
  </w:num>
  <w:num w:numId="5" w16cid:durableId="318003144">
    <w:abstractNumId w:val="91"/>
  </w:num>
  <w:num w:numId="6" w16cid:durableId="2113629064">
    <w:abstractNumId w:val="111"/>
  </w:num>
  <w:num w:numId="7" w16cid:durableId="9779939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10056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6975202">
    <w:abstractNumId w:val="10"/>
  </w:num>
  <w:num w:numId="10" w16cid:durableId="1770462108">
    <w:abstractNumId w:val="283"/>
  </w:num>
  <w:num w:numId="11" w16cid:durableId="238371220">
    <w:abstractNumId w:val="144"/>
  </w:num>
  <w:num w:numId="12" w16cid:durableId="1025712712">
    <w:abstractNumId w:val="467"/>
  </w:num>
  <w:num w:numId="13" w16cid:durableId="224806395">
    <w:abstractNumId w:val="256"/>
  </w:num>
  <w:num w:numId="14" w16cid:durableId="722484400">
    <w:abstractNumId w:val="39"/>
  </w:num>
  <w:num w:numId="15" w16cid:durableId="161745149">
    <w:abstractNumId w:val="392"/>
  </w:num>
  <w:num w:numId="16" w16cid:durableId="803739193">
    <w:abstractNumId w:val="446"/>
  </w:num>
  <w:num w:numId="17" w16cid:durableId="865675848">
    <w:abstractNumId w:val="142"/>
  </w:num>
  <w:num w:numId="18" w16cid:durableId="1823425057">
    <w:abstractNumId w:val="394"/>
  </w:num>
  <w:num w:numId="19" w16cid:durableId="804783697">
    <w:abstractNumId w:val="440"/>
  </w:num>
  <w:num w:numId="20" w16cid:durableId="1614165502">
    <w:abstractNumId w:val="269"/>
  </w:num>
  <w:num w:numId="21" w16cid:durableId="703099235">
    <w:abstractNumId w:val="492"/>
  </w:num>
  <w:num w:numId="22" w16cid:durableId="1101223834">
    <w:abstractNumId w:val="12"/>
  </w:num>
  <w:num w:numId="23" w16cid:durableId="1293554443">
    <w:abstractNumId w:val="448"/>
  </w:num>
  <w:num w:numId="24" w16cid:durableId="425344215">
    <w:abstractNumId w:val="401"/>
  </w:num>
  <w:num w:numId="25" w16cid:durableId="745223770">
    <w:abstractNumId w:val="433"/>
  </w:num>
  <w:num w:numId="26" w16cid:durableId="551159204">
    <w:abstractNumId w:val="172"/>
  </w:num>
  <w:num w:numId="27" w16cid:durableId="174657134">
    <w:abstractNumId w:val="193"/>
  </w:num>
  <w:num w:numId="28" w16cid:durableId="1356418280">
    <w:abstractNumId w:val="240"/>
  </w:num>
  <w:num w:numId="29" w16cid:durableId="190145242">
    <w:abstractNumId w:val="402"/>
  </w:num>
  <w:num w:numId="30" w16cid:durableId="2017607243">
    <w:abstractNumId w:val="59"/>
  </w:num>
  <w:num w:numId="31" w16cid:durableId="876697211">
    <w:abstractNumId w:val="471"/>
  </w:num>
  <w:num w:numId="32" w16cid:durableId="1258711945">
    <w:abstractNumId w:val="300"/>
  </w:num>
  <w:num w:numId="33" w16cid:durableId="2003966188">
    <w:abstractNumId w:val="318"/>
  </w:num>
  <w:num w:numId="34" w16cid:durableId="1231500363">
    <w:abstractNumId w:val="137"/>
  </w:num>
  <w:num w:numId="35" w16cid:durableId="20979043">
    <w:abstractNumId w:val="413"/>
  </w:num>
  <w:num w:numId="36" w16cid:durableId="2108191971">
    <w:abstractNumId w:val="412"/>
  </w:num>
  <w:num w:numId="37" w16cid:durableId="1598440248">
    <w:abstractNumId w:val="229"/>
  </w:num>
  <w:num w:numId="38" w16cid:durableId="1837258550">
    <w:abstractNumId w:val="115"/>
  </w:num>
  <w:num w:numId="39" w16cid:durableId="498472967">
    <w:abstractNumId w:val="334"/>
  </w:num>
  <w:num w:numId="40" w16cid:durableId="636686155">
    <w:abstractNumId w:val="383"/>
  </w:num>
  <w:num w:numId="41" w16cid:durableId="1120758361">
    <w:abstractNumId w:val="284"/>
  </w:num>
  <w:num w:numId="42" w16cid:durableId="1598556999">
    <w:abstractNumId w:val="56"/>
  </w:num>
  <w:num w:numId="43" w16cid:durableId="1398288413">
    <w:abstractNumId w:val="17"/>
  </w:num>
  <w:num w:numId="44" w16cid:durableId="2034110378">
    <w:abstractNumId w:val="134"/>
  </w:num>
  <w:num w:numId="45" w16cid:durableId="1813718012">
    <w:abstractNumId w:val="389"/>
  </w:num>
  <w:num w:numId="46" w16cid:durableId="1668825299">
    <w:abstractNumId w:val="316"/>
  </w:num>
  <w:num w:numId="47" w16cid:durableId="1871406938">
    <w:abstractNumId w:val="498"/>
  </w:num>
  <w:num w:numId="48" w16cid:durableId="1975061952">
    <w:abstractNumId w:val="231"/>
  </w:num>
  <w:num w:numId="49" w16cid:durableId="590550545">
    <w:abstractNumId w:val="370"/>
  </w:num>
  <w:num w:numId="50" w16cid:durableId="615991003">
    <w:abstractNumId w:val="421"/>
  </w:num>
  <w:num w:numId="51" w16cid:durableId="2100984855">
    <w:abstractNumId w:val="221"/>
  </w:num>
  <w:num w:numId="52" w16cid:durableId="936837449">
    <w:abstractNumId w:val="404"/>
  </w:num>
  <w:num w:numId="53" w16cid:durableId="1582791875">
    <w:abstractNumId w:val="72"/>
  </w:num>
  <w:num w:numId="54" w16cid:durableId="1607425287">
    <w:abstractNumId w:val="74"/>
  </w:num>
  <w:num w:numId="55" w16cid:durableId="1186485442">
    <w:abstractNumId w:val="140"/>
  </w:num>
  <w:num w:numId="56" w16cid:durableId="323709644">
    <w:abstractNumId w:val="277"/>
  </w:num>
  <w:num w:numId="57" w16cid:durableId="2024626130">
    <w:abstractNumId w:val="310"/>
  </w:num>
  <w:num w:numId="58" w16cid:durableId="916937400">
    <w:abstractNumId w:val="16"/>
  </w:num>
  <w:num w:numId="59" w16cid:durableId="1962031572">
    <w:abstractNumId w:val="38"/>
  </w:num>
  <w:num w:numId="60" w16cid:durableId="1384596789">
    <w:abstractNumId w:val="352"/>
  </w:num>
  <w:num w:numId="61" w16cid:durableId="1499881693">
    <w:abstractNumId w:val="53"/>
  </w:num>
  <w:num w:numId="62" w16cid:durableId="1578251357">
    <w:abstractNumId w:val="266"/>
  </w:num>
  <w:num w:numId="63" w16cid:durableId="1115515408">
    <w:abstractNumId w:val="444"/>
  </w:num>
  <w:num w:numId="64" w16cid:durableId="1496610783">
    <w:abstractNumId w:val="358"/>
  </w:num>
  <w:num w:numId="65" w16cid:durableId="367686275">
    <w:abstractNumId w:val="213"/>
  </w:num>
  <w:num w:numId="66" w16cid:durableId="943145497">
    <w:abstractNumId w:val="170"/>
  </w:num>
  <w:num w:numId="67" w16cid:durableId="142429121">
    <w:abstractNumId w:val="485"/>
  </w:num>
  <w:num w:numId="68" w16cid:durableId="1778063325">
    <w:abstractNumId w:val="168"/>
  </w:num>
  <w:num w:numId="69" w16cid:durableId="10590127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17605414">
    <w:abstractNumId w:val="456"/>
  </w:num>
  <w:num w:numId="71" w16cid:durableId="1253780638">
    <w:abstractNumId w:val="149"/>
  </w:num>
  <w:num w:numId="72" w16cid:durableId="1741320415">
    <w:abstractNumId w:val="321"/>
  </w:num>
  <w:num w:numId="73" w16cid:durableId="1550916228">
    <w:abstractNumId w:val="487"/>
  </w:num>
  <w:num w:numId="74" w16cid:durableId="680667228">
    <w:abstractNumId w:val="339"/>
  </w:num>
  <w:num w:numId="75" w16cid:durableId="1285817273">
    <w:abstractNumId w:val="69"/>
  </w:num>
  <w:num w:numId="76" w16cid:durableId="1429812961">
    <w:abstractNumId w:val="262"/>
  </w:num>
  <w:num w:numId="77" w16cid:durableId="860511216">
    <w:abstractNumId w:val="239"/>
  </w:num>
  <w:num w:numId="78" w16cid:durableId="1778140212">
    <w:abstractNumId w:val="373"/>
  </w:num>
  <w:num w:numId="79" w16cid:durableId="165368061">
    <w:abstractNumId w:val="75"/>
  </w:num>
  <w:num w:numId="80" w16cid:durableId="1423455244">
    <w:abstractNumId w:val="336"/>
  </w:num>
  <w:num w:numId="81" w16cid:durableId="662978328">
    <w:abstractNumId w:val="136"/>
  </w:num>
  <w:num w:numId="82" w16cid:durableId="1563518888">
    <w:abstractNumId w:val="88"/>
  </w:num>
  <w:num w:numId="83" w16cid:durableId="1232160789">
    <w:abstractNumId w:val="191"/>
  </w:num>
  <w:num w:numId="84" w16cid:durableId="899634533">
    <w:abstractNumId w:val="474"/>
  </w:num>
  <w:num w:numId="85" w16cid:durableId="762528810">
    <w:abstractNumId w:val="423"/>
  </w:num>
  <w:num w:numId="86" w16cid:durableId="704065147">
    <w:abstractNumId w:val="330"/>
  </w:num>
  <w:num w:numId="87" w16cid:durableId="31619749">
    <w:abstractNumId w:val="295"/>
  </w:num>
  <w:num w:numId="88" w16cid:durableId="979579279">
    <w:abstractNumId w:val="494"/>
  </w:num>
  <w:num w:numId="89" w16cid:durableId="877938087">
    <w:abstractNumId w:val="488"/>
  </w:num>
  <w:num w:numId="90" w16cid:durableId="2103984683">
    <w:abstractNumId w:val="265"/>
  </w:num>
  <w:num w:numId="91" w16cid:durableId="208684675">
    <w:abstractNumId w:val="89"/>
  </w:num>
  <w:num w:numId="92" w16cid:durableId="1451900592">
    <w:abstractNumId w:val="121"/>
  </w:num>
  <w:num w:numId="93" w16cid:durableId="922376768">
    <w:abstractNumId w:val="177"/>
  </w:num>
  <w:num w:numId="94" w16cid:durableId="1880126764">
    <w:abstractNumId w:val="51"/>
  </w:num>
  <w:num w:numId="95" w16cid:durableId="779229155">
    <w:abstractNumId w:val="425"/>
  </w:num>
  <w:num w:numId="96" w16cid:durableId="652370218">
    <w:abstractNumId w:val="470"/>
  </w:num>
  <w:num w:numId="97" w16cid:durableId="1731269417">
    <w:abstractNumId w:val="236"/>
  </w:num>
  <w:num w:numId="98" w16cid:durableId="2024937530">
    <w:abstractNumId w:val="363"/>
  </w:num>
  <w:num w:numId="99" w16cid:durableId="438110213">
    <w:abstractNumId w:val="459"/>
  </w:num>
  <w:num w:numId="100" w16cid:durableId="1742559550">
    <w:abstractNumId w:val="271"/>
  </w:num>
  <w:num w:numId="101" w16cid:durableId="1199778054">
    <w:abstractNumId w:val="388"/>
  </w:num>
  <w:num w:numId="102" w16cid:durableId="1126121991">
    <w:abstractNumId w:val="28"/>
  </w:num>
  <w:num w:numId="103" w16cid:durableId="1478767124">
    <w:abstractNumId w:val="319"/>
  </w:num>
  <w:num w:numId="104" w16cid:durableId="1419407820">
    <w:abstractNumId w:val="270"/>
  </w:num>
  <w:num w:numId="105" w16cid:durableId="1054500723">
    <w:abstractNumId w:val="424"/>
  </w:num>
  <w:num w:numId="106" w16cid:durableId="490416139">
    <w:abstractNumId w:val="217"/>
  </w:num>
  <w:num w:numId="107" w16cid:durableId="1064643570">
    <w:abstractNumId w:val="416"/>
  </w:num>
  <w:num w:numId="108" w16cid:durableId="949431827">
    <w:abstractNumId w:val="153"/>
  </w:num>
  <w:num w:numId="109" w16cid:durableId="1943758344">
    <w:abstractNumId w:val="180"/>
  </w:num>
  <w:num w:numId="110" w16cid:durableId="1734545173">
    <w:abstractNumId w:val="345"/>
  </w:num>
  <w:num w:numId="111" w16cid:durableId="1570650926">
    <w:abstractNumId w:val="476"/>
  </w:num>
  <w:num w:numId="112" w16cid:durableId="574169059">
    <w:abstractNumId w:val="119"/>
  </w:num>
  <w:num w:numId="113" w16cid:durableId="137722626">
    <w:abstractNumId w:val="13"/>
  </w:num>
  <w:num w:numId="114" w16cid:durableId="141627395">
    <w:abstractNumId w:val="215"/>
  </w:num>
  <w:num w:numId="115" w16cid:durableId="1034765286">
    <w:abstractNumId w:val="443"/>
  </w:num>
  <w:num w:numId="116" w16cid:durableId="1855222553">
    <w:abstractNumId w:val="78"/>
  </w:num>
  <w:num w:numId="117" w16cid:durableId="2081713361">
    <w:abstractNumId w:val="406"/>
  </w:num>
  <w:num w:numId="118" w16cid:durableId="911038452">
    <w:abstractNumId w:val="259"/>
  </w:num>
  <w:num w:numId="119" w16cid:durableId="506603225">
    <w:abstractNumId w:val="104"/>
  </w:num>
  <w:num w:numId="120" w16cid:durableId="1191257192">
    <w:abstractNumId w:val="106"/>
  </w:num>
  <w:num w:numId="121" w16cid:durableId="1398090377">
    <w:abstractNumId w:val="47"/>
  </w:num>
  <w:num w:numId="122" w16cid:durableId="2078284507">
    <w:abstractNumId w:val="95"/>
  </w:num>
  <w:num w:numId="123" w16cid:durableId="447243018">
    <w:abstractNumId w:val="248"/>
  </w:num>
  <w:num w:numId="124" w16cid:durableId="337387909">
    <w:abstractNumId w:val="245"/>
  </w:num>
  <w:num w:numId="125" w16cid:durableId="373114449">
    <w:abstractNumId w:val="129"/>
  </w:num>
  <w:num w:numId="126" w16cid:durableId="1833065337">
    <w:abstractNumId w:val="340"/>
  </w:num>
  <w:num w:numId="127" w16cid:durableId="2067799222">
    <w:abstractNumId w:val="126"/>
  </w:num>
  <w:num w:numId="128" w16cid:durableId="575359329">
    <w:abstractNumId w:val="57"/>
  </w:num>
  <w:num w:numId="129" w16cid:durableId="1831287989">
    <w:abstractNumId w:val="328"/>
  </w:num>
  <w:num w:numId="130" w16cid:durableId="237053999">
    <w:abstractNumId w:val="155"/>
  </w:num>
  <w:num w:numId="131" w16cid:durableId="568467445">
    <w:abstractNumId w:val="436"/>
  </w:num>
  <w:num w:numId="132" w16cid:durableId="1882089391">
    <w:abstractNumId w:val="151"/>
  </w:num>
  <w:num w:numId="133" w16cid:durableId="449513795">
    <w:abstractNumId w:val="206"/>
  </w:num>
  <w:num w:numId="134" w16cid:durableId="2067143786">
    <w:abstractNumId w:val="114"/>
  </w:num>
  <w:num w:numId="135" w16cid:durableId="1731229289">
    <w:abstractNumId w:val="396"/>
  </w:num>
  <w:num w:numId="136" w16cid:durableId="80176884">
    <w:abstractNumId w:val="369"/>
  </w:num>
  <w:num w:numId="137" w16cid:durableId="455871776">
    <w:abstractNumId w:val="185"/>
  </w:num>
  <w:num w:numId="138" w16cid:durableId="1750695396">
    <w:abstractNumId w:val="461"/>
  </w:num>
  <w:num w:numId="139" w16cid:durableId="174659638">
    <w:abstractNumId w:val="49"/>
  </w:num>
  <w:num w:numId="140" w16cid:durableId="1991598724">
    <w:abstractNumId w:val="242"/>
  </w:num>
  <w:num w:numId="141" w16cid:durableId="1800152083">
    <w:abstractNumId w:val="234"/>
  </w:num>
  <w:num w:numId="142" w16cid:durableId="1815101984">
    <w:abstractNumId w:val="486"/>
  </w:num>
  <w:num w:numId="143" w16cid:durableId="1445926667">
    <w:abstractNumId w:val="169"/>
  </w:num>
  <w:num w:numId="144" w16cid:durableId="569388744">
    <w:abstractNumId w:val="202"/>
  </w:num>
  <w:num w:numId="145" w16cid:durableId="720906197">
    <w:abstractNumId w:val="327"/>
  </w:num>
  <w:num w:numId="146" w16cid:durableId="1105921335">
    <w:abstractNumId w:val="110"/>
  </w:num>
  <w:num w:numId="147" w16cid:durableId="1524785453">
    <w:abstractNumId w:val="122"/>
  </w:num>
  <w:num w:numId="148" w16cid:durableId="1275331299">
    <w:abstractNumId w:val="303"/>
  </w:num>
  <w:num w:numId="149" w16cid:durableId="1240404442">
    <w:abstractNumId w:val="165"/>
  </w:num>
  <w:num w:numId="150" w16cid:durableId="205991374">
    <w:abstractNumId w:val="457"/>
  </w:num>
  <w:num w:numId="151" w16cid:durableId="1062633189">
    <w:abstractNumId w:val="431"/>
  </w:num>
  <w:num w:numId="152" w16cid:durableId="1052656173">
    <w:abstractNumId w:val="260"/>
  </w:num>
  <w:num w:numId="153" w16cid:durableId="1924759142">
    <w:abstractNumId w:val="357"/>
  </w:num>
  <w:num w:numId="154" w16cid:durableId="2146578345">
    <w:abstractNumId w:val="483"/>
  </w:num>
  <w:num w:numId="155" w16cid:durableId="2048941526">
    <w:abstractNumId w:val="382"/>
  </w:num>
  <w:num w:numId="156" w16cid:durableId="926688836">
    <w:abstractNumId w:val="201"/>
  </w:num>
  <w:num w:numId="157" w16cid:durableId="1187331169">
    <w:abstractNumId w:val="326"/>
  </w:num>
  <w:num w:numId="158" w16cid:durableId="265700259">
    <w:abstractNumId w:val="210"/>
  </w:num>
  <w:num w:numId="159" w16cid:durableId="377243752">
    <w:abstractNumId w:val="76"/>
  </w:num>
  <w:num w:numId="160" w16cid:durableId="1913154546">
    <w:abstractNumId w:val="80"/>
  </w:num>
  <w:num w:numId="161" w16cid:durableId="793912578">
    <w:abstractNumId w:val="291"/>
  </w:num>
  <w:num w:numId="162" w16cid:durableId="449859611">
    <w:abstractNumId w:val="462"/>
  </w:num>
  <w:num w:numId="163" w16cid:durableId="1161040909">
    <w:abstractNumId w:val="166"/>
  </w:num>
  <w:num w:numId="164" w16cid:durableId="1186754329">
    <w:abstractNumId w:val="99"/>
  </w:num>
  <w:num w:numId="165" w16cid:durableId="777455027">
    <w:abstractNumId w:val="192"/>
  </w:num>
  <w:num w:numId="166" w16cid:durableId="542254454">
    <w:abstractNumId w:val="167"/>
  </w:num>
  <w:num w:numId="167" w16cid:durableId="1600985220">
    <w:abstractNumId w:val="164"/>
  </w:num>
  <w:num w:numId="168" w16cid:durableId="407389426">
    <w:abstractNumId w:val="83"/>
  </w:num>
  <w:num w:numId="169" w16cid:durableId="892810440">
    <w:abstractNumId w:val="348"/>
  </w:num>
  <w:num w:numId="170" w16cid:durableId="2131043922">
    <w:abstractNumId w:val="235"/>
  </w:num>
  <w:num w:numId="171" w16cid:durableId="508913763">
    <w:abstractNumId w:val="294"/>
  </w:num>
  <w:num w:numId="172" w16cid:durableId="2056393189">
    <w:abstractNumId w:val="207"/>
  </w:num>
  <w:num w:numId="173" w16cid:durableId="1186483141">
    <w:abstractNumId w:val="81"/>
  </w:num>
  <w:num w:numId="174" w16cid:durableId="158162517">
    <w:abstractNumId w:val="93"/>
  </w:num>
  <w:num w:numId="175" w16cid:durableId="83843820">
    <w:abstractNumId w:val="403"/>
  </w:num>
  <w:num w:numId="176" w16cid:durableId="612983443">
    <w:abstractNumId w:val="367"/>
  </w:num>
  <w:num w:numId="177" w16cid:durableId="366413757">
    <w:abstractNumId w:val="351"/>
  </w:num>
  <w:num w:numId="178" w16cid:durableId="2126342114">
    <w:abstractNumId w:val="464"/>
  </w:num>
  <w:num w:numId="179" w16cid:durableId="153185734">
    <w:abstractNumId w:val="25"/>
  </w:num>
  <w:num w:numId="180" w16cid:durableId="1977177381">
    <w:abstractNumId w:val="391"/>
  </w:num>
  <w:num w:numId="181" w16cid:durableId="849834308">
    <w:abstractNumId w:val="495"/>
  </w:num>
  <w:num w:numId="182" w16cid:durableId="1996378533">
    <w:abstractNumId w:val="324"/>
  </w:num>
  <w:num w:numId="183" w16cid:durableId="1960842264">
    <w:abstractNumId w:val="395"/>
  </w:num>
  <w:num w:numId="184" w16cid:durableId="1825931020">
    <w:abstractNumId w:val="375"/>
  </w:num>
  <w:num w:numId="185" w16cid:durableId="1647126612">
    <w:abstractNumId w:val="272"/>
  </w:num>
  <w:num w:numId="186" w16cid:durableId="1146316714">
    <w:abstractNumId w:val="279"/>
  </w:num>
  <w:num w:numId="187" w16cid:durableId="110979443">
    <w:abstractNumId w:val="342"/>
  </w:num>
  <w:num w:numId="188" w16cid:durableId="217212047">
    <w:abstractNumId w:val="280"/>
  </w:num>
  <w:num w:numId="189" w16cid:durableId="2131505738">
    <w:abstractNumId w:val="484"/>
  </w:num>
  <w:num w:numId="190" w16cid:durableId="972322938">
    <w:abstractNumId w:val="297"/>
  </w:num>
  <w:num w:numId="191" w16cid:durableId="256864235">
    <w:abstractNumId w:val="15"/>
  </w:num>
  <w:num w:numId="192" w16cid:durableId="408355884">
    <w:abstractNumId w:val="346"/>
  </w:num>
  <w:num w:numId="193" w16cid:durableId="1309943082">
    <w:abstractNumId w:val="410"/>
  </w:num>
  <w:num w:numId="194" w16cid:durableId="1941793651">
    <w:abstractNumId w:val="157"/>
  </w:num>
  <w:num w:numId="195" w16cid:durableId="1359502232">
    <w:abstractNumId w:val="408"/>
  </w:num>
  <w:num w:numId="196" w16cid:durableId="1022508816">
    <w:abstractNumId w:val="263"/>
  </w:num>
  <w:num w:numId="197" w16cid:durableId="812527542">
    <w:abstractNumId w:val="65"/>
  </w:num>
  <w:num w:numId="198" w16cid:durableId="460611778">
    <w:abstractNumId w:val="66"/>
  </w:num>
  <w:num w:numId="199" w16cid:durableId="429591180">
    <w:abstractNumId w:val="331"/>
  </w:num>
  <w:num w:numId="200" w16cid:durableId="353502248">
    <w:abstractNumId w:val="308"/>
  </w:num>
  <w:num w:numId="201" w16cid:durableId="1913194555">
    <w:abstractNumId w:val="438"/>
  </w:num>
  <w:num w:numId="202" w16cid:durableId="28921725">
    <w:abstractNumId w:val="496"/>
  </w:num>
  <w:num w:numId="203" w16cid:durableId="1907060257">
    <w:abstractNumId w:val="20"/>
  </w:num>
  <w:num w:numId="204" w16cid:durableId="1778593875">
    <w:abstractNumId w:val="52"/>
  </w:num>
  <w:num w:numId="205" w16cid:durableId="687410264">
    <w:abstractNumId w:val="292"/>
  </w:num>
  <w:num w:numId="206" w16cid:durableId="1109087132">
    <w:abstractNumId w:val="42"/>
  </w:num>
  <w:num w:numId="207" w16cid:durableId="1884366251">
    <w:abstractNumId w:val="161"/>
  </w:num>
  <w:num w:numId="208" w16cid:durableId="1718313706">
    <w:abstractNumId w:val="407"/>
  </w:num>
  <w:num w:numId="209" w16cid:durableId="1861355540">
    <w:abstractNumId w:val="441"/>
  </w:num>
  <w:num w:numId="210" w16cid:durableId="61218404">
    <w:abstractNumId w:val="146"/>
  </w:num>
  <w:num w:numId="211" w16cid:durableId="1560094245">
    <w:abstractNumId w:val="120"/>
  </w:num>
  <w:num w:numId="212" w16cid:durableId="1196695407">
    <w:abstractNumId w:val="453"/>
  </w:num>
  <w:num w:numId="213" w16cid:durableId="90703203">
    <w:abstractNumId w:val="320"/>
  </w:num>
  <w:num w:numId="214" w16cid:durableId="226232604">
    <w:abstractNumId w:val="214"/>
  </w:num>
  <w:num w:numId="215" w16cid:durableId="1534490402">
    <w:abstractNumId w:val="50"/>
  </w:num>
  <w:num w:numId="216" w16cid:durableId="1706828009">
    <w:abstractNumId w:val="87"/>
  </w:num>
  <w:num w:numId="217" w16cid:durableId="1334575933">
    <w:abstractNumId w:val="223"/>
  </w:num>
  <w:num w:numId="218" w16cid:durableId="1157647637">
    <w:abstractNumId w:val="97"/>
  </w:num>
  <w:num w:numId="219" w16cid:durableId="1724791035">
    <w:abstractNumId w:val="335"/>
  </w:num>
  <w:num w:numId="220" w16cid:durableId="1496022552">
    <w:abstractNumId w:val="178"/>
  </w:num>
  <w:num w:numId="221" w16cid:durableId="1564245612">
    <w:abstractNumId w:val="315"/>
  </w:num>
  <w:num w:numId="222" w16cid:durableId="512300819">
    <w:abstractNumId w:val="160"/>
  </w:num>
  <w:num w:numId="223" w16cid:durableId="390277047">
    <w:abstractNumId w:val="96"/>
  </w:num>
  <w:num w:numId="224" w16cid:durableId="1687487762">
    <w:abstractNumId w:val="473"/>
  </w:num>
  <w:num w:numId="225" w16cid:durableId="1720931858">
    <w:abstractNumId w:val="468"/>
  </w:num>
  <w:num w:numId="226" w16cid:durableId="372079818">
    <w:abstractNumId w:val="343"/>
  </w:num>
  <w:num w:numId="227" w16cid:durableId="546452683">
    <w:abstractNumId w:val="230"/>
  </w:num>
  <w:num w:numId="228" w16cid:durableId="128325111">
    <w:abstractNumId w:val="55"/>
  </w:num>
  <w:num w:numId="229" w16cid:durableId="1549338894">
    <w:abstractNumId w:val="480"/>
  </w:num>
  <w:num w:numId="230" w16cid:durableId="1078602435">
    <w:abstractNumId w:val="189"/>
  </w:num>
  <w:num w:numId="231" w16cid:durableId="577374173">
    <w:abstractNumId w:val="244"/>
  </w:num>
  <w:num w:numId="232" w16cid:durableId="807012430">
    <w:abstractNumId w:val="304"/>
  </w:num>
  <w:num w:numId="233" w16cid:durableId="612400984">
    <w:abstractNumId w:val="105"/>
  </w:num>
  <w:num w:numId="234" w16cid:durableId="342361518">
    <w:abstractNumId w:val="204"/>
  </w:num>
  <w:num w:numId="235" w16cid:durableId="1515455556">
    <w:abstractNumId w:val="226"/>
  </w:num>
  <w:num w:numId="236" w16cid:durableId="1541239552">
    <w:abstractNumId w:val="469"/>
  </w:num>
  <w:num w:numId="237" w16cid:durableId="659231380">
    <w:abstractNumId w:val="118"/>
  </w:num>
  <w:num w:numId="238" w16cid:durableId="2038114312">
    <w:abstractNumId w:val="254"/>
  </w:num>
  <w:num w:numId="239" w16cid:durableId="117334099">
    <w:abstractNumId w:val="79"/>
  </w:num>
  <w:num w:numId="240" w16cid:durableId="1679499104">
    <w:abstractNumId w:val="61"/>
  </w:num>
  <w:num w:numId="241" w16cid:durableId="1862670696">
    <w:abstractNumId w:val="379"/>
  </w:num>
  <w:num w:numId="242" w16cid:durableId="505708297">
    <w:abstractNumId w:val="454"/>
  </w:num>
  <w:num w:numId="243" w16cid:durableId="785462071">
    <w:abstractNumId w:val="70"/>
  </w:num>
  <w:num w:numId="244" w16cid:durableId="1098327668">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163622221">
    <w:abstractNumId w:val="465"/>
  </w:num>
  <w:num w:numId="246" w16cid:durableId="129980364">
    <w:abstractNumId w:val="482"/>
  </w:num>
  <w:num w:numId="247" w16cid:durableId="1116144930">
    <w:abstractNumId w:val="123"/>
  </w:num>
  <w:num w:numId="248" w16cid:durableId="157356260">
    <w:abstractNumId w:val="311"/>
  </w:num>
  <w:num w:numId="249" w16cid:durableId="235820486">
    <w:abstractNumId w:val="311"/>
    <w:lvlOverride w:ilvl="0">
      <w:startOverride w:val="1"/>
    </w:lvlOverride>
  </w:num>
  <w:num w:numId="250" w16cid:durableId="1352801688">
    <w:abstractNumId w:val="257"/>
  </w:num>
  <w:num w:numId="251" w16cid:durableId="158079486">
    <w:abstractNumId w:val="86"/>
  </w:num>
  <w:num w:numId="252" w16cid:durableId="230778390">
    <w:abstractNumId w:val="84"/>
  </w:num>
  <w:num w:numId="253" w16cid:durableId="1266156660">
    <w:abstractNumId w:val="267"/>
  </w:num>
  <w:num w:numId="254" w16cid:durableId="1164971942">
    <w:abstractNumId w:val="40"/>
    <w:lvlOverride w:ilvl="0">
      <w:startOverride w:val="1"/>
    </w:lvlOverride>
  </w:num>
  <w:num w:numId="255" w16cid:durableId="848720815">
    <w:abstractNumId w:val="285"/>
  </w:num>
  <w:num w:numId="256" w16cid:durableId="55517844">
    <w:abstractNumId w:val="154"/>
  </w:num>
  <w:num w:numId="257" w16cid:durableId="816528860">
    <w:abstractNumId w:val="317"/>
  </w:num>
  <w:num w:numId="258" w16cid:durableId="872614150">
    <w:abstractNumId w:val="289"/>
  </w:num>
  <w:num w:numId="259" w16cid:durableId="2011638553">
    <w:abstractNumId w:val="249"/>
  </w:num>
  <w:num w:numId="260" w16cid:durableId="665747279">
    <w:abstractNumId w:val="220"/>
  </w:num>
  <w:num w:numId="261" w16cid:durableId="1079526017">
    <w:abstractNumId w:val="241"/>
  </w:num>
  <w:num w:numId="262" w16cid:durableId="498270244">
    <w:abstractNumId w:val="398"/>
  </w:num>
  <w:num w:numId="263" w16cid:durableId="2077778718">
    <w:abstractNumId w:val="68"/>
  </w:num>
  <w:num w:numId="264" w16cid:durableId="116085016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783111156">
    <w:abstractNumId w:val="325"/>
  </w:num>
  <w:num w:numId="266" w16cid:durableId="1385834210">
    <w:abstractNumId w:val="323"/>
  </w:num>
  <w:num w:numId="267" w16cid:durableId="358896543">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843129625">
    <w:abstractNumId w:val="296"/>
  </w:num>
  <w:num w:numId="269" w16cid:durableId="1424911141">
    <w:abstractNumId w:val="491"/>
  </w:num>
  <w:num w:numId="270" w16cid:durableId="1045255313">
    <w:abstractNumId w:val="479"/>
  </w:num>
  <w:num w:numId="271" w16cid:durableId="1030640919">
    <w:abstractNumId w:val="442"/>
  </w:num>
  <w:num w:numId="272" w16cid:durableId="1867138780">
    <w:abstractNumId w:val="322"/>
  </w:num>
  <w:num w:numId="273" w16cid:durableId="1780679278">
    <w:abstractNumId w:val="405"/>
  </w:num>
  <w:num w:numId="274" w16cid:durableId="545147510">
    <w:abstractNumId w:val="198"/>
  </w:num>
  <w:num w:numId="275" w16cid:durableId="681711103">
    <w:abstractNumId w:val="390"/>
  </w:num>
  <w:num w:numId="276" w16cid:durableId="1210337322">
    <w:abstractNumId w:val="475"/>
  </w:num>
  <w:num w:numId="277" w16cid:durableId="1423137718">
    <w:abstractNumId w:val="29"/>
  </w:num>
  <w:num w:numId="278" w16cid:durableId="1116406169">
    <w:abstractNumId w:val="341"/>
  </w:num>
  <w:num w:numId="279" w16cid:durableId="1867983685">
    <w:abstractNumId w:val="445"/>
  </w:num>
  <w:num w:numId="280" w16cid:durableId="545416740">
    <w:abstractNumId w:val="101"/>
  </w:num>
  <w:num w:numId="281" w16cid:durableId="69619067">
    <w:abstractNumId w:val="458"/>
  </w:num>
  <w:num w:numId="282" w16cid:durableId="1569656991">
    <w:abstractNumId w:val="472"/>
  </w:num>
  <w:num w:numId="283" w16cid:durableId="611472301">
    <w:abstractNumId w:val="432"/>
  </w:num>
  <w:num w:numId="284" w16cid:durableId="1824927050">
    <w:abstractNumId w:val="376"/>
  </w:num>
  <w:num w:numId="285" w16cid:durableId="616983900">
    <w:abstractNumId w:val="313"/>
  </w:num>
  <w:num w:numId="286" w16cid:durableId="2136214605">
    <w:abstractNumId w:val="107"/>
  </w:num>
  <w:num w:numId="287" w16cid:durableId="203829307">
    <w:abstractNumId w:val="252"/>
  </w:num>
  <w:num w:numId="288" w16cid:durableId="588849900">
    <w:abstractNumId w:val="374"/>
  </w:num>
  <w:num w:numId="289" w16cid:durableId="1192182749">
    <w:abstractNumId w:val="361"/>
  </w:num>
  <w:num w:numId="290" w16cid:durableId="1044062393">
    <w:abstractNumId w:val="261"/>
  </w:num>
  <w:num w:numId="291" w16cid:durableId="1602907254">
    <w:abstractNumId w:val="250"/>
  </w:num>
  <w:num w:numId="292" w16cid:durableId="1722706168">
    <w:abstractNumId w:val="82"/>
  </w:num>
  <w:num w:numId="293" w16cid:durableId="917060041">
    <w:abstractNumId w:val="216"/>
  </w:num>
  <w:num w:numId="294" w16cid:durableId="24328032">
    <w:abstractNumId w:val="243"/>
  </w:num>
  <w:num w:numId="295" w16cid:durableId="560598414">
    <w:abstractNumId w:val="282"/>
  </w:num>
  <w:num w:numId="296" w16cid:durableId="1442719460">
    <w:abstractNumId w:val="85"/>
  </w:num>
  <w:num w:numId="297" w16cid:durableId="357968813">
    <w:abstractNumId w:val="228"/>
  </w:num>
  <w:num w:numId="298" w16cid:durableId="1811089173">
    <w:abstractNumId w:val="43"/>
  </w:num>
  <w:num w:numId="299" w16cid:durableId="1443650826">
    <w:abstractNumId w:val="451"/>
  </w:num>
  <w:num w:numId="300" w16cid:durableId="1458600780">
    <w:abstractNumId w:val="354"/>
  </w:num>
  <w:num w:numId="301" w16cid:durableId="766583518">
    <w:abstractNumId w:val="90"/>
  </w:num>
  <w:num w:numId="302" w16cid:durableId="1161697467">
    <w:abstractNumId w:val="109"/>
  </w:num>
  <w:num w:numId="303" w16cid:durableId="503203061">
    <w:abstractNumId w:val="368"/>
  </w:num>
  <w:num w:numId="304" w16cid:durableId="1269118719">
    <w:abstractNumId w:val="27"/>
  </w:num>
  <w:num w:numId="305" w16cid:durableId="1667786134">
    <w:abstractNumId w:val="264"/>
  </w:num>
  <w:num w:numId="306" w16cid:durableId="243999584">
    <w:abstractNumId w:val="450"/>
  </w:num>
  <w:num w:numId="307" w16cid:durableId="1502114266">
    <w:abstractNumId w:val="386"/>
  </w:num>
  <w:num w:numId="308" w16cid:durableId="1805148573">
    <w:abstractNumId w:val="11"/>
  </w:num>
  <w:num w:numId="309" w16cid:durableId="1040319092">
    <w:abstractNumId w:val="290"/>
  </w:num>
  <w:num w:numId="310" w16cid:durableId="1482313710">
    <w:abstractNumId w:val="148"/>
  </w:num>
  <w:num w:numId="311" w16cid:durableId="1353146407">
    <w:abstractNumId w:val="203"/>
  </w:num>
  <w:num w:numId="312" w16cid:durableId="759911079">
    <w:abstractNumId w:val="422"/>
  </w:num>
  <w:num w:numId="313" w16cid:durableId="66731049">
    <w:abstractNumId w:val="426"/>
  </w:num>
  <w:num w:numId="314" w16cid:durableId="1764719222">
    <w:abstractNumId w:val="19"/>
  </w:num>
  <w:num w:numId="315" w16cid:durableId="211353800">
    <w:abstractNumId w:val="222"/>
  </w:num>
  <w:num w:numId="316" w16cid:durableId="1232616231">
    <w:abstractNumId w:val="377"/>
  </w:num>
  <w:num w:numId="317" w16cid:durableId="497424122">
    <w:abstractNumId w:val="435"/>
  </w:num>
  <w:num w:numId="318" w16cid:durableId="203098322">
    <w:abstractNumId w:val="253"/>
  </w:num>
  <w:num w:numId="319" w16cid:durableId="456917877">
    <w:abstractNumId w:val="362"/>
  </w:num>
  <w:num w:numId="320" w16cid:durableId="1174537138">
    <w:abstractNumId w:val="46"/>
  </w:num>
  <w:num w:numId="321" w16cid:durableId="1252661672">
    <w:abstractNumId w:val="150"/>
  </w:num>
  <w:num w:numId="322" w16cid:durableId="1616476680">
    <w:abstractNumId w:val="384"/>
  </w:num>
  <w:num w:numId="323" w16cid:durableId="501706467">
    <w:abstractNumId w:val="227"/>
  </w:num>
  <w:num w:numId="324" w16cid:durableId="1724717025">
    <w:abstractNumId w:val="44"/>
  </w:num>
  <w:num w:numId="325" w16cid:durableId="1906648349">
    <w:abstractNumId w:val="54"/>
  </w:num>
  <w:num w:numId="326" w16cid:durableId="1285504692">
    <w:abstractNumId w:val="224"/>
  </w:num>
  <w:num w:numId="327" w16cid:durableId="1932199431">
    <w:abstractNumId w:val="372"/>
  </w:num>
  <w:num w:numId="328" w16cid:durableId="1731151367">
    <w:abstractNumId w:val="399"/>
  </w:num>
  <w:num w:numId="329" w16cid:durableId="661931223">
    <w:abstractNumId w:val="60"/>
  </w:num>
  <w:num w:numId="330" w16cid:durableId="1487435369">
    <w:abstractNumId w:val="366"/>
  </w:num>
  <w:num w:numId="331" w16cid:durableId="1045905950">
    <w:abstractNumId w:val="7"/>
  </w:num>
  <w:num w:numId="332" w16cid:durableId="902982437">
    <w:abstractNumId w:val="3"/>
  </w:num>
  <w:num w:numId="333" w16cid:durableId="869680901">
    <w:abstractNumId w:val="2"/>
  </w:num>
  <w:num w:numId="334" w16cid:durableId="1006204124">
    <w:abstractNumId w:val="1"/>
  </w:num>
  <w:num w:numId="335" w16cid:durableId="820465592">
    <w:abstractNumId w:val="0"/>
  </w:num>
  <w:num w:numId="336" w16cid:durableId="1843424364">
    <w:abstractNumId w:val="6"/>
  </w:num>
  <w:num w:numId="337" w16cid:durableId="1692343260">
    <w:abstractNumId w:val="5"/>
  </w:num>
  <w:num w:numId="338" w16cid:durableId="118183831">
    <w:abstractNumId w:val="4"/>
  </w:num>
  <w:num w:numId="339" w16cid:durableId="901450056">
    <w:abstractNumId w:val="414"/>
  </w:num>
  <w:num w:numId="340" w16cid:durableId="1276869208">
    <w:abstractNumId w:val="493"/>
  </w:num>
  <w:num w:numId="341" w16cid:durableId="1865437013">
    <w:abstractNumId w:val="194"/>
  </w:num>
  <w:num w:numId="342" w16cid:durableId="121581775">
    <w:abstractNumId w:val="40"/>
  </w:num>
  <w:num w:numId="343" w16cid:durableId="2144734340">
    <w:abstractNumId w:val="40"/>
  </w:num>
  <w:num w:numId="344" w16cid:durableId="1521360086">
    <w:abstractNumId w:val="478"/>
  </w:num>
  <w:num w:numId="345" w16cid:durableId="791557010">
    <w:abstractNumId w:val="143"/>
  </w:num>
  <w:num w:numId="346" w16cid:durableId="1868063371">
    <w:abstractNumId w:val="40"/>
  </w:num>
  <w:num w:numId="347" w16cid:durableId="469632338">
    <w:abstractNumId w:val="40"/>
  </w:num>
  <w:num w:numId="348" w16cid:durableId="1718894167">
    <w:abstractNumId w:val="40"/>
  </w:num>
  <w:num w:numId="349" w16cid:durableId="955449629">
    <w:abstractNumId w:val="40"/>
  </w:num>
  <w:num w:numId="350" w16cid:durableId="2026860257">
    <w:abstractNumId w:val="40"/>
  </w:num>
  <w:num w:numId="351" w16cid:durableId="394354239">
    <w:abstractNumId w:val="40"/>
  </w:num>
  <w:num w:numId="352" w16cid:durableId="629820414">
    <w:abstractNumId w:val="40"/>
  </w:num>
  <w:num w:numId="353" w16cid:durableId="467819656">
    <w:abstractNumId w:val="40"/>
  </w:num>
  <w:num w:numId="354" w16cid:durableId="2001232984">
    <w:abstractNumId w:val="40"/>
  </w:num>
  <w:num w:numId="355" w16cid:durableId="112672922">
    <w:abstractNumId w:val="40"/>
  </w:num>
  <w:num w:numId="356" w16cid:durableId="2017153183">
    <w:abstractNumId w:val="40"/>
  </w:num>
  <w:num w:numId="357" w16cid:durableId="2086106388">
    <w:abstractNumId w:val="40"/>
  </w:num>
  <w:num w:numId="358" w16cid:durableId="1744332173">
    <w:abstractNumId w:val="40"/>
  </w:num>
  <w:num w:numId="359" w16cid:durableId="1197740558">
    <w:abstractNumId w:val="138"/>
  </w:num>
  <w:num w:numId="360" w16cid:durableId="1739749196">
    <w:abstractNumId w:val="306"/>
  </w:num>
  <w:num w:numId="361" w16cid:durableId="59911433">
    <w:abstractNumId w:val="9"/>
  </w:num>
  <w:num w:numId="362" w16cid:durableId="630747715">
    <w:abstractNumId w:val="196"/>
  </w:num>
  <w:num w:numId="363" w16cid:durableId="1005985570">
    <w:abstractNumId w:val="299"/>
  </w:num>
  <w:num w:numId="364" w16cid:durableId="757487676">
    <w:abstractNumId w:val="92"/>
  </w:num>
  <w:num w:numId="365" w16cid:durableId="1923098456">
    <w:abstractNumId w:val="103"/>
  </w:num>
  <w:num w:numId="366" w16cid:durableId="1054547572">
    <w:abstractNumId w:val="349"/>
  </w:num>
  <w:num w:numId="367" w16cid:durableId="1882136091">
    <w:abstractNumId w:val="301"/>
  </w:num>
  <w:num w:numId="368" w16cid:durableId="1994869246">
    <w:abstractNumId w:val="314"/>
  </w:num>
  <w:num w:numId="369" w16cid:durableId="332295267">
    <w:abstractNumId w:val="67"/>
  </w:num>
  <w:num w:numId="370" w16cid:durableId="3469554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1349409063">
    <w:abstractNumId w:val="40"/>
  </w:num>
  <w:num w:numId="372" w16cid:durableId="2076007727">
    <w:abstractNumId w:val="418"/>
  </w:num>
  <w:num w:numId="373" w16cid:durableId="1234778658">
    <w:abstractNumId w:val="127"/>
  </w:num>
  <w:num w:numId="374" w16cid:durableId="1059128664">
    <w:abstractNumId w:val="41"/>
  </w:num>
  <w:num w:numId="375" w16cid:durableId="1117409609">
    <w:abstractNumId w:val="40"/>
  </w:num>
  <w:num w:numId="376" w16cid:durableId="2040619843">
    <w:abstractNumId w:val="415"/>
  </w:num>
  <w:num w:numId="377" w16cid:durableId="2146964603">
    <w:abstractNumId w:val="40"/>
  </w:num>
  <w:num w:numId="378" w16cid:durableId="1208757308">
    <w:abstractNumId w:val="237"/>
  </w:num>
  <w:num w:numId="379" w16cid:durableId="868302588">
    <w:abstractNumId w:val="40"/>
  </w:num>
  <w:num w:numId="380" w16cid:durableId="1175608314">
    <w:abstractNumId w:val="40"/>
  </w:num>
  <w:num w:numId="381" w16cid:durableId="343829826">
    <w:abstractNumId w:val="40"/>
  </w:num>
  <w:num w:numId="382" w16cid:durableId="345720055">
    <w:abstractNumId w:val="40"/>
  </w:num>
  <w:num w:numId="383" w16cid:durableId="1647130104">
    <w:abstractNumId w:val="40"/>
  </w:num>
  <w:num w:numId="384" w16cid:durableId="960265373">
    <w:abstractNumId w:val="40"/>
  </w:num>
  <w:num w:numId="385" w16cid:durableId="1446997269">
    <w:abstractNumId w:val="152"/>
  </w:num>
  <w:num w:numId="386" w16cid:durableId="958293411">
    <w:abstractNumId w:val="163"/>
  </w:num>
  <w:num w:numId="387" w16cid:durableId="1982420981">
    <w:abstractNumId w:val="40"/>
  </w:num>
  <w:num w:numId="388" w16cid:durableId="280919571">
    <w:abstractNumId w:val="40"/>
  </w:num>
  <w:num w:numId="389" w16cid:durableId="1511876317">
    <w:abstractNumId w:val="429"/>
  </w:num>
  <w:num w:numId="390" w16cid:durableId="182597695">
    <w:abstractNumId w:val="40"/>
  </w:num>
  <w:num w:numId="391" w16cid:durableId="617180160">
    <w:abstractNumId w:val="40"/>
  </w:num>
  <w:num w:numId="392" w16cid:durableId="1876847233">
    <w:abstractNumId w:val="40"/>
  </w:num>
  <w:num w:numId="393" w16cid:durableId="1508473694">
    <w:abstractNumId w:val="40"/>
  </w:num>
  <w:num w:numId="394" w16cid:durableId="1878932439">
    <w:abstractNumId w:val="225"/>
  </w:num>
  <w:num w:numId="395" w16cid:durableId="513955038">
    <w:abstractNumId w:val="359"/>
  </w:num>
  <w:num w:numId="396" w16cid:durableId="2081907400">
    <w:abstractNumId w:val="298"/>
  </w:num>
  <w:num w:numId="397" w16cid:durableId="1425878067">
    <w:abstractNumId w:val="125"/>
  </w:num>
  <w:num w:numId="398" w16cid:durableId="2143769798">
    <w:abstractNumId w:val="452"/>
  </w:num>
  <w:num w:numId="399" w16cid:durableId="2062509399">
    <w:abstractNumId w:val="40"/>
  </w:num>
  <w:num w:numId="400" w16cid:durableId="313796383">
    <w:abstractNumId w:val="466"/>
  </w:num>
  <w:num w:numId="401" w16cid:durableId="260652481">
    <w:abstractNumId w:val="188"/>
  </w:num>
  <w:num w:numId="402" w16cid:durableId="1746564440">
    <w:abstractNumId w:val="31"/>
  </w:num>
  <w:num w:numId="403" w16cid:durableId="1532717951">
    <w:abstractNumId w:val="385"/>
  </w:num>
  <w:num w:numId="404" w16cid:durableId="569535662">
    <w:abstractNumId w:val="344"/>
  </w:num>
  <w:num w:numId="405" w16cid:durableId="472449248">
    <w:abstractNumId w:val="305"/>
  </w:num>
  <w:num w:numId="406" w16cid:durableId="294221179">
    <w:abstractNumId w:val="232"/>
  </w:num>
  <w:num w:numId="407" w16cid:durableId="338121107">
    <w:abstractNumId w:val="58"/>
  </w:num>
  <w:num w:numId="408" w16cid:durableId="405032745">
    <w:abstractNumId w:val="275"/>
  </w:num>
  <w:num w:numId="409" w16cid:durableId="1556040758">
    <w:abstractNumId w:val="200"/>
  </w:num>
  <w:num w:numId="410" w16cid:durableId="1421869670">
    <w:abstractNumId w:val="184"/>
  </w:num>
  <w:num w:numId="411" w16cid:durableId="2086607436">
    <w:abstractNumId w:val="393"/>
  </w:num>
  <w:num w:numId="412" w16cid:durableId="1965967692">
    <w:abstractNumId w:val="455"/>
  </w:num>
  <w:num w:numId="413" w16cid:durableId="920912206">
    <w:abstractNumId w:val="132"/>
  </w:num>
  <w:num w:numId="414" w16cid:durableId="106436769">
    <w:abstractNumId w:val="347"/>
  </w:num>
  <w:num w:numId="415" w16cid:durableId="1062945143">
    <w:abstractNumId w:val="117"/>
  </w:num>
  <w:num w:numId="416" w16cid:durableId="1624654795">
    <w:abstractNumId w:val="380"/>
  </w:num>
  <w:num w:numId="417" w16cid:durableId="1399667277">
    <w:abstractNumId w:val="187"/>
  </w:num>
  <w:num w:numId="418" w16cid:durableId="1804152909">
    <w:abstractNumId w:val="338"/>
  </w:num>
  <w:num w:numId="419" w16cid:durableId="781998647">
    <w:abstractNumId w:val="40"/>
  </w:num>
  <w:num w:numId="420" w16cid:durableId="617569049">
    <w:abstractNumId w:val="268"/>
  </w:num>
  <w:num w:numId="421" w16cid:durableId="2141530978">
    <w:abstractNumId w:val="62"/>
  </w:num>
  <w:num w:numId="422" w16cid:durableId="1237664634">
    <w:abstractNumId w:val="124"/>
  </w:num>
  <w:num w:numId="423" w16cid:durableId="157428518">
    <w:abstractNumId w:val="463"/>
  </w:num>
  <w:num w:numId="424" w16cid:durableId="1005858800">
    <w:abstractNumId w:val="40"/>
  </w:num>
  <w:num w:numId="425" w16cid:durableId="43911080">
    <w:abstractNumId w:val="40"/>
  </w:num>
  <w:num w:numId="426" w16cid:durableId="831872915">
    <w:abstractNumId w:val="40"/>
  </w:num>
  <w:num w:numId="427" w16cid:durableId="1630822369">
    <w:abstractNumId w:val="40"/>
  </w:num>
  <w:num w:numId="428" w16cid:durableId="1973174572">
    <w:abstractNumId w:val="40"/>
  </w:num>
  <w:num w:numId="429" w16cid:durableId="1596862878">
    <w:abstractNumId w:val="40"/>
  </w:num>
  <w:num w:numId="430" w16cid:durableId="363822756">
    <w:abstractNumId w:val="40"/>
  </w:num>
  <w:num w:numId="431" w16cid:durableId="777481495">
    <w:abstractNumId w:val="40"/>
  </w:num>
  <w:num w:numId="432" w16cid:durableId="184056221">
    <w:abstractNumId w:val="40"/>
  </w:num>
  <w:num w:numId="433" w16cid:durableId="167990684">
    <w:abstractNumId w:val="40"/>
  </w:num>
  <w:num w:numId="434" w16cid:durableId="877666833">
    <w:abstractNumId w:val="40"/>
  </w:num>
  <w:num w:numId="435" w16cid:durableId="681665852">
    <w:abstractNumId w:val="40"/>
  </w:num>
  <w:num w:numId="436" w16cid:durableId="1326325957">
    <w:abstractNumId w:val="40"/>
  </w:num>
  <w:num w:numId="437" w16cid:durableId="157769773">
    <w:abstractNumId w:val="40"/>
  </w:num>
  <w:num w:numId="438" w16cid:durableId="32124680">
    <w:abstractNumId w:val="22"/>
  </w:num>
  <w:num w:numId="439" w16cid:durableId="139462174">
    <w:abstractNumId w:val="40"/>
  </w:num>
  <w:num w:numId="440" w16cid:durableId="1630475377">
    <w:abstractNumId w:val="40"/>
  </w:num>
  <w:num w:numId="441" w16cid:durableId="912010966">
    <w:abstractNumId w:val="40"/>
  </w:num>
  <w:num w:numId="442" w16cid:durableId="514148198">
    <w:abstractNumId w:val="40"/>
  </w:num>
  <w:num w:numId="443" w16cid:durableId="928195894">
    <w:abstractNumId w:val="40"/>
  </w:num>
  <w:num w:numId="444" w16cid:durableId="1330718858">
    <w:abstractNumId w:val="40"/>
  </w:num>
  <w:num w:numId="445" w16cid:durableId="51999840">
    <w:abstractNumId w:val="40"/>
  </w:num>
  <w:num w:numId="446" w16cid:durableId="232592869">
    <w:abstractNumId w:val="40"/>
  </w:num>
  <w:num w:numId="447" w16cid:durableId="236986273">
    <w:abstractNumId w:val="40"/>
  </w:num>
  <w:num w:numId="448" w16cid:durableId="2117553656">
    <w:abstractNumId w:val="40"/>
  </w:num>
  <w:num w:numId="449" w16cid:durableId="1734236487">
    <w:abstractNumId w:val="40"/>
  </w:num>
  <w:num w:numId="450" w16cid:durableId="818108754">
    <w:abstractNumId w:val="40"/>
  </w:num>
  <w:num w:numId="451" w16cid:durableId="110325334">
    <w:abstractNumId w:val="40"/>
  </w:num>
  <w:num w:numId="452" w16cid:durableId="17679662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2031057994">
    <w:abstractNumId w:val="40"/>
  </w:num>
  <w:num w:numId="454" w16cid:durableId="625309996">
    <w:abstractNumId w:val="40"/>
  </w:num>
  <w:num w:numId="455" w16cid:durableId="534781235">
    <w:abstractNumId w:val="387"/>
  </w:num>
  <w:num w:numId="456" w16cid:durableId="1280407168">
    <w:abstractNumId w:val="40"/>
  </w:num>
  <w:num w:numId="457" w16cid:durableId="1874807136">
    <w:abstractNumId w:val="40"/>
  </w:num>
  <w:num w:numId="458" w16cid:durableId="1399398209">
    <w:abstractNumId w:val="40"/>
  </w:num>
  <w:num w:numId="459" w16cid:durableId="1828083535">
    <w:abstractNumId w:val="40"/>
  </w:num>
  <w:num w:numId="460" w16cid:durableId="1443577521">
    <w:abstractNumId w:val="40"/>
  </w:num>
  <w:num w:numId="461" w16cid:durableId="664211772">
    <w:abstractNumId w:val="40"/>
  </w:num>
  <w:num w:numId="462" w16cid:durableId="1771926139">
    <w:abstractNumId w:val="40"/>
  </w:num>
  <w:num w:numId="463" w16cid:durableId="1776828245">
    <w:abstractNumId w:val="40"/>
  </w:num>
  <w:num w:numId="464" w16cid:durableId="1176387898">
    <w:abstractNumId w:val="36"/>
  </w:num>
  <w:num w:numId="465" w16cid:durableId="1189370029">
    <w:abstractNumId w:val="171"/>
  </w:num>
  <w:num w:numId="466" w16cid:durableId="106242555">
    <w:abstractNumId w:val="181"/>
  </w:num>
  <w:num w:numId="467" w16cid:durableId="1272585683">
    <w:abstractNumId w:val="356"/>
  </w:num>
  <w:num w:numId="468" w16cid:durableId="1598635235">
    <w:abstractNumId w:val="186"/>
  </w:num>
  <w:num w:numId="469" w16cid:durableId="1452481585">
    <w:abstractNumId w:val="364"/>
  </w:num>
  <w:num w:numId="470" w16cid:durableId="1274676258">
    <w:abstractNumId w:val="145"/>
  </w:num>
  <w:num w:numId="471" w16cid:durableId="1625044499">
    <w:abstractNumId w:val="159"/>
  </w:num>
  <w:num w:numId="472" w16cid:durableId="1637756226">
    <w:abstractNumId w:val="378"/>
  </w:num>
  <w:num w:numId="473" w16cid:durableId="1804735695">
    <w:abstractNumId w:val="40"/>
  </w:num>
  <w:num w:numId="474" w16cid:durableId="498346320">
    <w:abstractNumId w:val="40"/>
  </w:num>
  <w:num w:numId="475" w16cid:durableId="63378761">
    <w:abstractNumId w:val="258"/>
  </w:num>
  <w:num w:numId="476" w16cid:durableId="974945489">
    <w:abstractNumId w:val="40"/>
  </w:num>
  <w:num w:numId="477" w16cid:durableId="1838497075">
    <w:abstractNumId w:val="21"/>
  </w:num>
  <w:num w:numId="478" w16cid:durableId="63111692">
    <w:abstractNumId w:val="35"/>
  </w:num>
  <w:num w:numId="479" w16cid:durableId="27802896">
    <w:abstractNumId w:val="113"/>
  </w:num>
  <w:num w:numId="480" w16cid:durableId="2051682461">
    <w:abstractNumId w:val="45"/>
  </w:num>
  <w:num w:numId="481" w16cid:durableId="1919169833">
    <w:abstractNumId w:val="40"/>
  </w:num>
  <w:num w:numId="482" w16cid:durableId="1186402888">
    <w:abstractNumId w:val="40"/>
  </w:num>
  <w:num w:numId="483" w16cid:durableId="2131194944">
    <w:abstractNumId w:val="40"/>
  </w:num>
  <w:num w:numId="484" w16cid:durableId="396053233">
    <w:abstractNumId w:val="40"/>
  </w:num>
  <w:num w:numId="485" w16cid:durableId="1070232990">
    <w:abstractNumId w:val="40"/>
  </w:num>
  <w:num w:numId="486" w16cid:durableId="1293897875">
    <w:abstractNumId w:val="40"/>
  </w:num>
  <w:num w:numId="487" w16cid:durableId="67004308">
    <w:abstractNumId w:val="40"/>
  </w:num>
  <w:num w:numId="488" w16cid:durableId="1721977674">
    <w:abstractNumId w:val="40"/>
  </w:num>
  <w:num w:numId="489" w16cid:durableId="1072584368">
    <w:abstractNumId w:val="40"/>
  </w:num>
  <w:num w:numId="490" w16cid:durableId="562369065">
    <w:abstractNumId w:val="40"/>
  </w:num>
  <w:num w:numId="491" w16cid:durableId="1600523984">
    <w:abstractNumId w:val="40"/>
  </w:num>
  <w:num w:numId="492" w16cid:durableId="780608576">
    <w:abstractNumId w:val="40"/>
  </w:num>
  <w:num w:numId="493" w16cid:durableId="477693992">
    <w:abstractNumId w:val="40"/>
  </w:num>
  <w:num w:numId="494" w16cid:durableId="210043569">
    <w:abstractNumId w:val="40"/>
  </w:num>
  <w:num w:numId="495" w16cid:durableId="832529646">
    <w:abstractNumId w:val="40"/>
  </w:num>
  <w:num w:numId="496" w16cid:durableId="629745647">
    <w:abstractNumId w:val="40"/>
  </w:num>
  <w:num w:numId="497" w16cid:durableId="670789521">
    <w:abstractNumId w:val="40"/>
  </w:num>
  <w:num w:numId="498" w16cid:durableId="2036419948">
    <w:abstractNumId w:val="40"/>
  </w:num>
  <w:num w:numId="499" w16cid:durableId="1785231060">
    <w:abstractNumId w:val="40"/>
  </w:num>
  <w:num w:numId="500" w16cid:durableId="1127429596">
    <w:abstractNumId w:val="40"/>
  </w:num>
  <w:num w:numId="501" w16cid:durableId="1322124934">
    <w:abstractNumId w:val="40"/>
  </w:num>
  <w:num w:numId="502" w16cid:durableId="1679234427">
    <w:abstractNumId w:val="40"/>
  </w:num>
  <w:num w:numId="503" w16cid:durableId="1824658758">
    <w:abstractNumId w:val="40"/>
  </w:num>
  <w:num w:numId="504" w16cid:durableId="737947564">
    <w:abstractNumId w:val="40"/>
  </w:num>
  <w:num w:numId="505" w16cid:durableId="550731571">
    <w:abstractNumId w:val="40"/>
  </w:num>
  <w:num w:numId="506" w16cid:durableId="938679595">
    <w:abstractNumId w:val="40"/>
  </w:num>
  <w:num w:numId="507" w16cid:durableId="1082993288">
    <w:abstractNumId w:val="40"/>
  </w:num>
  <w:num w:numId="508" w16cid:durableId="778715558">
    <w:abstractNumId w:val="40"/>
  </w:num>
  <w:num w:numId="509" w16cid:durableId="1492015372">
    <w:abstractNumId w:val="40"/>
  </w:num>
  <w:num w:numId="510" w16cid:durableId="2008096408">
    <w:abstractNumId w:val="40"/>
  </w:num>
  <w:num w:numId="511" w16cid:durableId="97452282">
    <w:abstractNumId w:val="40"/>
  </w:num>
  <w:num w:numId="512" w16cid:durableId="1585608450">
    <w:abstractNumId w:val="40"/>
  </w:num>
  <w:num w:numId="513" w16cid:durableId="1486043258">
    <w:abstractNumId w:val="40"/>
  </w:num>
  <w:num w:numId="514" w16cid:durableId="1517108971">
    <w:abstractNumId w:val="40"/>
  </w:num>
  <w:num w:numId="515" w16cid:durableId="1979869721">
    <w:abstractNumId w:val="40"/>
  </w:num>
  <w:num w:numId="516" w16cid:durableId="620496837">
    <w:abstractNumId w:val="40"/>
  </w:num>
  <w:num w:numId="517" w16cid:durableId="1482846078">
    <w:abstractNumId w:val="40"/>
  </w:num>
  <w:num w:numId="518" w16cid:durableId="443158840">
    <w:abstractNumId w:val="40"/>
  </w:num>
  <w:num w:numId="519" w16cid:durableId="323557347">
    <w:abstractNumId w:val="40"/>
  </w:num>
  <w:num w:numId="520" w16cid:durableId="1421633110">
    <w:abstractNumId w:val="40"/>
  </w:num>
  <w:num w:numId="521" w16cid:durableId="1870676004">
    <w:abstractNumId w:val="40"/>
  </w:num>
  <w:num w:numId="522" w16cid:durableId="573665025">
    <w:abstractNumId w:val="40"/>
  </w:num>
  <w:num w:numId="523" w16cid:durableId="604845419">
    <w:abstractNumId w:val="40"/>
  </w:num>
  <w:num w:numId="524" w16cid:durableId="1856580142">
    <w:abstractNumId w:val="40"/>
  </w:num>
  <w:num w:numId="525" w16cid:durableId="454493802">
    <w:abstractNumId w:val="40"/>
  </w:num>
  <w:num w:numId="526" w16cid:durableId="1543859445">
    <w:abstractNumId w:val="40"/>
  </w:num>
  <w:num w:numId="527" w16cid:durableId="1006444504">
    <w:abstractNumId w:val="40"/>
  </w:num>
  <w:num w:numId="528" w16cid:durableId="525289780">
    <w:abstractNumId w:val="40"/>
  </w:num>
  <w:num w:numId="529" w16cid:durableId="1035689625">
    <w:abstractNumId w:val="40"/>
  </w:num>
  <w:num w:numId="530" w16cid:durableId="2046370632">
    <w:abstractNumId w:val="40"/>
  </w:num>
  <w:num w:numId="531" w16cid:durableId="1249003652">
    <w:abstractNumId w:val="40"/>
  </w:num>
  <w:num w:numId="532" w16cid:durableId="1634826540">
    <w:abstractNumId w:val="40"/>
  </w:num>
  <w:num w:numId="533" w16cid:durableId="625357278">
    <w:abstractNumId w:val="40"/>
  </w:num>
  <w:num w:numId="534" w16cid:durableId="1395005007">
    <w:abstractNumId w:val="40"/>
  </w:num>
  <w:num w:numId="535" w16cid:durableId="433285662">
    <w:abstractNumId w:val="40"/>
  </w:num>
  <w:num w:numId="536" w16cid:durableId="971442071">
    <w:abstractNumId w:val="40"/>
  </w:num>
  <w:num w:numId="537" w16cid:durableId="1528567811">
    <w:abstractNumId w:val="40"/>
  </w:num>
  <w:num w:numId="538" w16cid:durableId="927538569">
    <w:abstractNumId w:val="40"/>
  </w:num>
  <w:num w:numId="539" w16cid:durableId="1153640906">
    <w:abstractNumId w:val="40"/>
  </w:num>
  <w:num w:numId="540" w16cid:durableId="1166671949">
    <w:abstractNumId w:val="417"/>
  </w:num>
  <w:num w:numId="541" w16cid:durableId="1316565196">
    <w:abstractNumId w:val="18"/>
  </w:num>
  <w:num w:numId="542" w16cid:durableId="10184303">
    <w:abstractNumId w:val="481"/>
  </w:num>
  <w:num w:numId="543" w16cid:durableId="2099328130">
    <w:abstractNumId w:val="434"/>
  </w:num>
  <w:num w:numId="544" w16cid:durableId="1650556519">
    <w:abstractNumId w:val="133"/>
  </w:num>
  <w:num w:numId="545" w16cid:durableId="440078320">
    <w:abstractNumId w:val="247"/>
  </w:num>
  <w:num w:numId="546" w16cid:durableId="1770464329">
    <w:abstractNumId w:val="63"/>
  </w:num>
  <w:num w:numId="547" w16cid:durableId="1633947479">
    <w:abstractNumId w:val="211"/>
  </w:num>
  <w:num w:numId="548" w16cid:durableId="429816905">
    <w:abstractNumId w:val="182"/>
  </w:num>
  <w:num w:numId="549" w16cid:durableId="480078107">
    <w:abstractNumId w:val="64"/>
  </w:num>
  <w:num w:numId="550" w16cid:durableId="1516574502">
    <w:abstractNumId w:val="32"/>
  </w:num>
  <w:num w:numId="551" w16cid:durableId="58111239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16cid:durableId="23215878">
    <w:abstractNumId w:val="37"/>
  </w:num>
  <w:num w:numId="553" w16cid:durableId="936865066">
    <w:abstractNumId w:val="40"/>
  </w:num>
  <w:num w:numId="554" w16cid:durableId="1033387801">
    <w:abstractNumId w:val="40"/>
  </w:num>
  <w:num w:numId="555" w16cid:durableId="1112239796">
    <w:abstractNumId w:val="40"/>
  </w:num>
  <w:num w:numId="556" w16cid:durableId="1251237901">
    <w:abstractNumId w:val="40"/>
  </w:num>
  <w:num w:numId="557" w16cid:durableId="43219259">
    <w:abstractNumId w:val="40"/>
  </w:num>
  <w:num w:numId="558" w16cid:durableId="819733277">
    <w:abstractNumId w:val="40"/>
  </w:num>
  <w:num w:numId="559" w16cid:durableId="844856309">
    <w:abstractNumId w:val="40"/>
  </w:num>
  <w:num w:numId="560" w16cid:durableId="1940286149">
    <w:abstractNumId w:val="40"/>
  </w:num>
  <w:num w:numId="561" w16cid:durableId="2061437656">
    <w:abstractNumId w:val="40"/>
  </w:num>
  <w:num w:numId="562" w16cid:durableId="1509825637">
    <w:abstractNumId w:val="40"/>
  </w:num>
  <w:num w:numId="563" w16cid:durableId="519245475">
    <w:abstractNumId w:val="40"/>
  </w:num>
  <w:num w:numId="564" w16cid:durableId="2873920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756636046">
    <w:abstractNumId w:val="40"/>
  </w:num>
  <w:num w:numId="566" w16cid:durableId="417333558">
    <w:abstractNumId w:val="40"/>
  </w:num>
  <w:num w:numId="567" w16cid:durableId="1094088582">
    <w:abstractNumId w:val="40"/>
  </w:num>
  <w:num w:numId="568" w16cid:durableId="1429544126">
    <w:abstractNumId w:val="40"/>
  </w:num>
  <w:num w:numId="569" w16cid:durableId="948121400">
    <w:abstractNumId w:val="40"/>
  </w:num>
  <w:num w:numId="570" w16cid:durableId="969557131">
    <w:abstractNumId w:val="40"/>
  </w:num>
  <w:num w:numId="571" w16cid:durableId="1916893599">
    <w:abstractNumId w:val="40"/>
  </w:num>
  <w:num w:numId="572" w16cid:durableId="436292795">
    <w:abstractNumId w:val="40"/>
  </w:num>
  <w:num w:numId="573" w16cid:durableId="1689401901">
    <w:abstractNumId w:val="162"/>
  </w:num>
  <w:num w:numId="574" w16cid:durableId="390006929">
    <w:abstractNumId w:val="371"/>
  </w:num>
  <w:num w:numId="575" w16cid:durableId="1720204652">
    <w:abstractNumId w:val="337"/>
  </w:num>
  <w:num w:numId="576" w16cid:durableId="1656447027">
    <w:abstractNumId w:val="312"/>
  </w:num>
  <w:num w:numId="577" w16cid:durableId="2021002532">
    <w:abstractNumId w:val="497"/>
  </w:num>
  <w:num w:numId="578" w16cid:durableId="443578833">
    <w:abstractNumId w:val="26"/>
  </w:num>
  <w:num w:numId="579" w16cid:durableId="6174601">
    <w:abstractNumId w:val="40"/>
  </w:num>
  <w:num w:numId="580" w16cid:durableId="2140100535">
    <w:abstractNumId w:val="40"/>
  </w:num>
  <w:num w:numId="581" w16cid:durableId="1675913625">
    <w:abstractNumId w:val="40"/>
  </w:num>
  <w:num w:numId="582" w16cid:durableId="741295631">
    <w:abstractNumId w:val="40"/>
  </w:num>
  <w:num w:numId="583" w16cid:durableId="189032135">
    <w:abstractNumId w:val="40"/>
  </w:num>
  <w:num w:numId="584" w16cid:durableId="157162833">
    <w:abstractNumId w:val="430"/>
  </w:num>
  <w:num w:numId="585" w16cid:durableId="2041279200">
    <w:abstractNumId w:val="449"/>
  </w:num>
  <w:num w:numId="586" w16cid:durableId="801770294">
    <w:abstractNumId w:val="128"/>
  </w:num>
  <w:num w:numId="587" w16cid:durableId="503740775">
    <w:abstractNumId w:val="233"/>
  </w:num>
  <w:num w:numId="588" w16cid:durableId="871653646">
    <w:abstractNumId w:val="360"/>
  </w:num>
  <w:num w:numId="589" w16cid:durableId="1485467195">
    <w:abstractNumId w:val="40"/>
  </w:num>
  <w:num w:numId="590" w16cid:durableId="513110294">
    <w:abstractNumId w:val="40"/>
  </w:num>
  <w:num w:numId="591" w16cid:durableId="951282075">
    <w:abstractNumId w:val="40"/>
  </w:num>
  <w:num w:numId="592" w16cid:durableId="1996227479">
    <w:abstractNumId w:val="40"/>
  </w:num>
  <w:num w:numId="593" w16cid:durableId="1668945740">
    <w:abstractNumId w:val="40"/>
  </w:num>
  <w:num w:numId="594" w16cid:durableId="1135874692">
    <w:abstractNumId w:val="40"/>
  </w:num>
  <w:num w:numId="595" w16cid:durableId="843252374">
    <w:abstractNumId w:val="40"/>
  </w:num>
  <w:num w:numId="596" w16cid:durableId="1820341994">
    <w:abstractNumId w:val="40"/>
  </w:num>
  <w:num w:numId="597" w16cid:durableId="751901741">
    <w:abstractNumId w:val="40"/>
  </w:num>
  <w:num w:numId="598" w16cid:durableId="1179660977">
    <w:abstractNumId w:val="40"/>
  </w:num>
  <w:num w:numId="599" w16cid:durableId="1289628041">
    <w:abstractNumId w:val="40"/>
  </w:num>
  <w:num w:numId="600" w16cid:durableId="259027573">
    <w:abstractNumId w:val="40"/>
  </w:num>
  <w:num w:numId="601" w16cid:durableId="395250921">
    <w:abstractNumId w:val="40"/>
  </w:num>
  <w:num w:numId="602" w16cid:durableId="1382706117">
    <w:abstractNumId w:val="40"/>
  </w:num>
  <w:num w:numId="603" w16cid:durableId="162362405">
    <w:abstractNumId w:val="40"/>
  </w:num>
  <w:num w:numId="604" w16cid:durableId="514926294">
    <w:abstractNumId w:val="40"/>
  </w:num>
  <w:num w:numId="605" w16cid:durableId="431710346">
    <w:abstractNumId w:val="40"/>
  </w:num>
  <w:num w:numId="606" w16cid:durableId="553322476">
    <w:abstractNumId w:val="40"/>
  </w:num>
  <w:num w:numId="607" w16cid:durableId="1580292377">
    <w:abstractNumId w:val="40"/>
  </w:num>
  <w:num w:numId="608" w16cid:durableId="945816426">
    <w:abstractNumId w:val="40"/>
  </w:num>
  <w:num w:numId="609" w16cid:durableId="2030254551">
    <w:abstractNumId w:val="40"/>
  </w:num>
  <w:num w:numId="610" w16cid:durableId="1508784316">
    <w:abstractNumId w:val="40"/>
  </w:num>
  <w:num w:numId="611" w16cid:durableId="145248815">
    <w:abstractNumId w:val="40"/>
  </w:num>
  <w:num w:numId="612" w16cid:durableId="1415515668">
    <w:abstractNumId w:val="40"/>
  </w:num>
  <w:num w:numId="613" w16cid:durableId="2145537083">
    <w:abstractNumId w:val="40"/>
  </w:num>
  <w:num w:numId="614" w16cid:durableId="444929645">
    <w:abstractNumId w:val="40"/>
  </w:num>
  <w:num w:numId="615" w16cid:durableId="2082094017">
    <w:abstractNumId w:val="40"/>
  </w:num>
  <w:num w:numId="616" w16cid:durableId="1844393267">
    <w:abstractNumId w:val="40"/>
  </w:num>
  <w:num w:numId="617" w16cid:durableId="1376270539">
    <w:abstractNumId w:val="40"/>
  </w:num>
  <w:num w:numId="618" w16cid:durableId="530460674">
    <w:abstractNumId w:val="40"/>
  </w:num>
  <w:num w:numId="619" w16cid:durableId="992023402">
    <w:abstractNumId w:val="40"/>
  </w:num>
  <w:num w:numId="620" w16cid:durableId="1754399198">
    <w:abstractNumId w:val="40"/>
  </w:num>
  <w:num w:numId="621" w16cid:durableId="203250443">
    <w:abstractNumId w:val="40"/>
  </w:num>
  <w:num w:numId="622" w16cid:durableId="996151477">
    <w:abstractNumId w:val="40"/>
  </w:num>
  <w:num w:numId="623" w16cid:durableId="1107694946">
    <w:abstractNumId w:val="40"/>
  </w:num>
  <w:num w:numId="624" w16cid:durableId="1433818132">
    <w:abstractNumId w:val="40"/>
  </w:num>
  <w:num w:numId="625" w16cid:durableId="502286420">
    <w:abstractNumId w:val="477"/>
  </w:num>
  <w:num w:numId="626" w16cid:durableId="1364013322">
    <w:abstractNumId w:val="40"/>
  </w:num>
  <w:num w:numId="627" w16cid:durableId="808977229">
    <w:abstractNumId w:val="219"/>
  </w:num>
  <w:num w:numId="628" w16cid:durableId="1905599947">
    <w:abstractNumId w:val="176"/>
  </w:num>
  <w:num w:numId="629" w16cid:durableId="172648263">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16cid:durableId="1552110677">
    <w:abstractNumId w:val="40"/>
  </w:num>
  <w:num w:numId="631" w16cid:durableId="1855262795">
    <w:abstractNumId w:val="141"/>
  </w:num>
  <w:num w:numId="632" w16cid:durableId="388892266">
    <w:abstractNumId w:val="40"/>
  </w:num>
  <w:num w:numId="633" w16cid:durableId="2120829156">
    <w:abstractNumId w:val="40"/>
  </w:num>
  <w:num w:numId="634" w16cid:durableId="286085090">
    <w:abstractNumId w:val="40"/>
  </w:num>
  <w:num w:numId="635" w16cid:durableId="654339715">
    <w:abstractNumId w:val="40"/>
  </w:num>
  <w:num w:numId="636" w16cid:durableId="1758749356">
    <w:abstractNumId w:val="411"/>
  </w:num>
  <w:num w:numId="637" w16cid:durableId="1174340552">
    <w:abstractNumId w:val="40"/>
  </w:num>
  <w:num w:numId="638" w16cid:durableId="549418810">
    <w:abstractNumId w:val="40"/>
  </w:num>
  <w:num w:numId="639" w16cid:durableId="794176994">
    <w:abstractNumId w:val="40"/>
  </w:num>
  <w:num w:numId="640" w16cid:durableId="1417366321">
    <w:abstractNumId w:val="40"/>
  </w:num>
  <w:num w:numId="641" w16cid:durableId="2111122287">
    <w:abstractNumId w:val="40"/>
  </w:num>
  <w:num w:numId="642" w16cid:durableId="1804075442">
    <w:abstractNumId w:val="40"/>
  </w:num>
  <w:num w:numId="643" w16cid:durableId="701326785">
    <w:abstractNumId w:val="40"/>
  </w:num>
  <w:num w:numId="644" w16cid:durableId="1107693414">
    <w:abstractNumId w:val="40"/>
  </w:num>
  <w:num w:numId="645" w16cid:durableId="19357000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16cid:durableId="736513611">
    <w:abstractNumId w:val="40"/>
  </w:num>
  <w:num w:numId="647" w16cid:durableId="1480994910">
    <w:abstractNumId w:val="40"/>
  </w:num>
  <w:num w:numId="648" w16cid:durableId="355353639">
    <w:abstractNumId w:val="350"/>
  </w:num>
  <w:num w:numId="649" w16cid:durableId="476066720">
    <w:abstractNumId w:val="40"/>
  </w:num>
  <w:num w:numId="650" w16cid:durableId="1417510007">
    <w:abstractNumId w:val="48"/>
  </w:num>
  <w:num w:numId="651" w16cid:durableId="462118847">
    <w:abstractNumId w:val="208"/>
  </w:num>
  <w:num w:numId="652" w16cid:durableId="820848392">
    <w:abstractNumId w:val="437"/>
  </w:num>
  <w:num w:numId="653" w16cid:durableId="646058041">
    <w:abstractNumId w:val="108"/>
  </w:num>
  <w:num w:numId="654" w16cid:durableId="1848716333">
    <w:abstractNumId w:val="278"/>
  </w:num>
  <w:num w:numId="655" w16cid:durableId="460074176">
    <w:abstractNumId w:val="158"/>
  </w:num>
  <w:num w:numId="656" w16cid:durableId="897085786">
    <w:abstractNumId w:val="40"/>
  </w:num>
  <w:num w:numId="657" w16cid:durableId="1604992785">
    <w:abstractNumId w:val="190"/>
  </w:num>
  <w:num w:numId="658" w16cid:durableId="1733115924">
    <w:abstractNumId w:val="365"/>
  </w:num>
  <w:num w:numId="659" w16cid:durableId="449592822">
    <w:abstractNumId w:val="156"/>
  </w:num>
  <w:num w:numId="660" w16cid:durableId="1221598591">
    <w:abstractNumId w:val="309"/>
  </w:num>
  <w:num w:numId="661" w16cid:durableId="1350333902">
    <w:abstractNumId w:val="40"/>
  </w:num>
  <w:num w:numId="662" w16cid:durableId="390691696">
    <w:abstractNumId w:val="40"/>
  </w:num>
  <w:num w:numId="663" w16cid:durableId="33846135">
    <w:abstractNumId w:val="40"/>
  </w:num>
  <w:num w:numId="664" w16cid:durableId="131869151">
    <w:abstractNumId w:val="40"/>
  </w:num>
  <w:num w:numId="665" w16cid:durableId="414131623">
    <w:abstractNumId w:val="40"/>
  </w:num>
  <w:num w:numId="666" w16cid:durableId="66147465">
    <w:abstractNumId w:val="40"/>
  </w:num>
  <w:num w:numId="667" w16cid:durableId="1445269681">
    <w:abstractNumId w:val="40"/>
  </w:num>
  <w:num w:numId="668" w16cid:durableId="855652341">
    <w:abstractNumId w:val="40"/>
  </w:num>
  <w:num w:numId="669" w16cid:durableId="127942524">
    <w:abstractNumId w:val="40"/>
  </w:num>
  <w:num w:numId="670" w16cid:durableId="230121361">
    <w:abstractNumId w:val="40"/>
  </w:num>
  <w:num w:numId="671" w16cid:durableId="629240017">
    <w:abstractNumId w:val="40"/>
  </w:num>
  <w:num w:numId="672" w16cid:durableId="327945935">
    <w:abstractNumId w:val="173"/>
  </w:num>
  <w:num w:numId="673" w16cid:durableId="1451896935">
    <w:abstractNumId w:val="295"/>
  </w:num>
  <w:num w:numId="674" w16cid:durableId="8624804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16cid:durableId="1709991655">
    <w:abstractNumId w:val="40"/>
  </w:num>
  <w:num w:numId="676" w16cid:durableId="2100983025">
    <w:abstractNumId w:val="112"/>
  </w:num>
  <w:num w:numId="677" w16cid:durableId="1329753198">
    <w:abstractNumId w:val="30"/>
  </w:num>
  <w:num w:numId="678" w16cid:durableId="1232354901">
    <w:abstractNumId w:val="98"/>
  </w:num>
  <w:num w:numId="679" w16cid:durableId="127213501">
    <w:abstractNumId w:val="288"/>
  </w:num>
  <w:num w:numId="680" w16cid:durableId="1379015728">
    <w:abstractNumId w:val="116"/>
  </w:num>
  <w:num w:numId="681" w16cid:durableId="1878278756">
    <w:abstractNumId w:val="197"/>
  </w:num>
  <w:num w:numId="682" w16cid:durableId="1211570501">
    <w:abstractNumId w:val="40"/>
  </w:num>
  <w:num w:numId="683" w16cid:durableId="1364789400">
    <w:abstractNumId w:val="40"/>
  </w:num>
  <w:num w:numId="684" w16cid:durableId="1465349823">
    <w:abstractNumId w:val="40"/>
  </w:num>
  <w:num w:numId="685" w16cid:durableId="224875127">
    <w:abstractNumId w:val="40"/>
  </w:num>
  <w:num w:numId="686" w16cid:durableId="456022162">
    <w:abstractNumId w:val="40"/>
  </w:num>
  <w:num w:numId="687" w16cid:durableId="1661883017">
    <w:abstractNumId w:val="40"/>
  </w:num>
  <w:num w:numId="688" w16cid:durableId="982387102">
    <w:abstractNumId w:val="355"/>
  </w:num>
  <w:num w:numId="689" w16cid:durableId="1635062792">
    <w:abstractNumId w:val="135"/>
  </w:num>
  <w:num w:numId="690" w16cid:durableId="784885153">
    <w:abstractNumId w:val="276"/>
  </w:num>
  <w:num w:numId="691" w16cid:durableId="473376776">
    <w:abstractNumId w:val="40"/>
  </w:num>
  <w:num w:numId="692" w16cid:durableId="1305967348">
    <w:abstractNumId w:val="40"/>
  </w:num>
  <w:num w:numId="693" w16cid:durableId="1341739294">
    <w:abstractNumId w:val="40"/>
  </w:num>
  <w:num w:numId="694" w16cid:durableId="1099519586">
    <w:abstractNumId w:val="40"/>
  </w:num>
  <w:num w:numId="695" w16cid:durableId="1885629415">
    <w:abstractNumId w:val="40"/>
  </w:num>
  <w:num w:numId="696" w16cid:durableId="1865708042">
    <w:abstractNumId w:val="40"/>
  </w:num>
  <w:num w:numId="697" w16cid:durableId="1554266906">
    <w:abstractNumId w:val="40"/>
  </w:num>
  <w:num w:numId="698" w16cid:durableId="499851238">
    <w:abstractNumId w:val="40"/>
  </w:num>
  <w:num w:numId="699" w16cid:durableId="1246719172">
    <w:abstractNumId w:val="40"/>
  </w:num>
  <w:num w:numId="700" w16cid:durableId="1606109129">
    <w:abstractNumId w:val="40"/>
  </w:num>
  <w:num w:numId="701" w16cid:durableId="1833569828">
    <w:abstractNumId w:val="40"/>
  </w:num>
  <w:num w:numId="702" w16cid:durableId="512307892">
    <w:abstractNumId w:val="40"/>
  </w:num>
  <w:num w:numId="703" w16cid:durableId="1648824206">
    <w:abstractNumId w:val="40"/>
  </w:num>
  <w:num w:numId="704" w16cid:durableId="295573862">
    <w:abstractNumId w:val="40"/>
  </w:num>
  <w:num w:numId="705" w16cid:durableId="1354570973">
    <w:abstractNumId w:val="281"/>
  </w:num>
  <w:num w:numId="706" w16cid:durableId="1628467066">
    <w:abstractNumId w:val="333"/>
  </w:num>
  <w:num w:numId="707" w16cid:durableId="2117675509">
    <w:abstractNumId w:val="40"/>
  </w:num>
  <w:num w:numId="708" w16cid:durableId="29496738">
    <w:abstractNumId w:val="40"/>
  </w:num>
  <w:num w:numId="709" w16cid:durableId="1884175645">
    <w:abstractNumId w:val="40"/>
  </w:num>
  <w:num w:numId="710" w16cid:durableId="401564727">
    <w:abstractNumId w:val="40"/>
  </w:num>
  <w:num w:numId="711" w16cid:durableId="655837386">
    <w:abstractNumId w:val="40"/>
  </w:num>
  <w:num w:numId="712" w16cid:durableId="1505701971">
    <w:abstractNumId w:val="40"/>
  </w:num>
  <w:num w:numId="713" w16cid:durableId="1318264205">
    <w:abstractNumId w:val="40"/>
  </w:num>
  <w:num w:numId="714" w16cid:durableId="625281065">
    <w:abstractNumId w:val="40"/>
  </w:num>
  <w:num w:numId="715" w16cid:durableId="1533615072">
    <w:abstractNumId w:val="40"/>
  </w:num>
  <w:num w:numId="716" w16cid:durableId="1365595497">
    <w:abstractNumId w:val="40"/>
  </w:num>
  <w:num w:numId="717" w16cid:durableId="984310304">
    <w:abstractNumId w:val="274"/>
  </w:num>
  <w:num w:numId="718" w16cid:durableId="2120636988">
    <w:abstractNumId w:val="14"/>
  </w:num>
  <w:num w:numId="719" w16cid:durableId="1921089109">
    <w:abstractNumId w:val="40"/>
  </w:num>
  <w:num w:numId="720" w16cid:durableId="313872611">
    <w:abstractNumId w:val="40"/>
  </w:num>
  <w:num w:numId="721" w16cid:durableId="1008748114">
    <w:abstractNumId w:val="40"/>
  </w:num>
  <w:num w:numId="722" w16cid:durableId="1800953917">
    <w:abstractNumId w:val="40"/>
  </w:num>
  <w:num w:numId="723" w16cid:durableId="1825779184">
    <w:abstractNumId w:val="40"/>
  </w:num>
  <w:num w:numId="724" w16cid:durableId="1943800279">
    <w:abstractNumId w:val="40"/>
  </w:num>
  <w:num w:numId="725" w16cid:durableId="1961492676">
    <w:abstractNumId w:val="40"/>
  </w:num>
  <w:num w:numId="726" w16cid:durableId="17623377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7" w16cid:durableId="19000934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8" w16cid:durableId="1271400038">
    <w:abstractNumId w:val="40"/>
  </w:num>
  <w:num w:numId="729" w16cid:durableId="1112431294">
    <w:abstractNumId w:val="40"/>
  </w:num>
  <w:num w:numId="730" w16cid:durableId="136267112">
    <w:abstractNumId w:val="40"/>
  </w:num>
  <w:num w:numId="731" w16cid:durableId="1076168365">
    <w:abstractNumId w:val="40"/>
  </w:num>
  <w:num w:numId="732" w16cid:durableId="16114718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16cid:durableId="3543124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4" w16cid:durableId="1008481848">
    <w:abstractNumId w:val="24"/>
  </w:num>
  <w:num w:numId="735" w16cid:durableId="1078211573">
    <w:abstractNumId w:val="40"/>
  </w:num>
  <w:num w:numId="736" w16cid:durableId="607808699">
    <w:abstractNumId w:val="40"/>
  </w:num>
  <w:num w:numId="737" w16cid:durableId="1269193637">
    <w:abstractNumId w:val="40"/>
  </w:num>
  <w:num w:numId="738" w16cid:durableId="2129078550">
    <w:abstractNumId w:val="40"/>
  </w:num>
  <w:num w:numId="739" w16cid:durableId="173959732">
    <w:abstractNumId w:val="40"/>
  </w:num>
  <w:num w:numId="740" w16cid:durableId="1114132671">
    <w:abstractNumId w:val="40"/>
  </w:num>
  <w:num w:numId="741" w16cid:durableId="266886959">
    <w:abstractNumId w:val="419"/>
  </w:num>
  <w:num w:numId="742" w16cid:durableId="662122531">
    <w:abstractNumId w:val="147"/>
  </w:num>
  <w:num w:numId="743" w16cid:durableId="12653099">
    <w:abstractNumId w:val="238"/>
  </w:num>
  <w:num w:numId="744" w16cid:durableId="476725529">
    <w:abstractNumId w:val="131"/>
  </w:num>
  <w:num w:numId="745" w16cid:durableId="2119136514">
    <w:abstractNumId w:val="73"/>
  </w:num>
  <w:num w:numId="746" w16cid:durableId="1164541671">
    <w:abstractNumId w:val="246"/>
  </w:num>
  <w:num w:numId="747" w16cid:durableId="56710123">
    <w:abstractNumId w:val="139"/>
  </w:num>
  <w:num w:numId="748" w16cid:durableId="1760060719">
    <w:abstractNumId w:val="329"/>
  </w:num>
  <w:num w:numId="749" w16cid:durableId="1466579982">
    <w:abstractNumId w:val="130"/>
  </w:num>
  <w:num w:numId="750" w16cid:durableId="1598633468">
    <w:abstractNumId w:val="209"/>
  </w:num>
  <w:num w:numId="751" w16cid:durableId="484397360">
    <w:abstractNumId w:val="273"/>
  </w:num>
  <w:num w:numId="752" w16cid:durableId="1997566414">
    <w:abstractNumId w:val="205"/>
  </w:num>
  <w:num w:numId="753" w16cid:durableId="1742485450">
    <w:abstractNumId w:val="489"/>
  </w:num>
  <w:num w:numId="754" w16cid:durableId="1617759612">
    <w:abstractNumId w:val="34"/>
  </w:num>
  <w:num w:numId="755" w16cid:durableId="1584216877">
    <w:abstractNumId w:val="381"/>
  </w:num>
  <w:num w:numId="756" w16cid:durableId="1412653025">
    <w:abstractNumId w:val="174"/>
  </w:num>
  <w:num w:numId="757" w16cid:durableId="2137598060">
    <w:abstractNumId w:val="447"/>
  </w:num>
  <w:num w:numId="758" w16cid:durableId="753278056">
    <w:abstractNumId w:val="40"/>
  </w:num>
  <w:num w:numId="759" w16cid:durableId="1959141323">
    <w:abstractNumId w:val="40"/>
  </w:num>
  <w:num w:numId="760" w16cid:durableId="1845896229">
    <w:abstractNumId w:val="40"/>
  </w:num>
  <w:num w:numId="761" w16cid:durableId="1429153484">
    <w:abstractNumId w:val="40"/>
  </w:num>
  <w:num w:numId="762" w16cid:durableId="329215398">
    <w:abstractNumId w:val="40"/>
  </w:num>
  <w:num w:numId="763" w16cid:durableId="709185547">
    <w:abstractNumId w:val="40"/>
  </w:num>
  <w:num w:numId="764" w16cid:durableId="369234584">
    <w:abstractNumId w:val="40"/>
  </w:num>
  <w:num w:numId="765" w16cid:durableId="665978321">
    <w:abstractNumId w:val="40"/>
  </w:num>
  <w:num w:numId="766" w16cid:durableId="925966083">
    <w:abstractNumId w:val="40"/>
  </w:num>
  <w:num w:numId="767" w16cid:durableId="289748072">
    <w:abstractNumId w:val="293"/>
  </w:num>
  <w:num w:numId="768" w16cid:durableId="1634290206">
    <w:abstractNumId w:val="420"/>
  </w:num>
  <w:num w:numId="769" w16cid:durableId="859706975">
    <w:abstractNumId w:val="397"/>
  </w:num>
  <w:num w:numId="770" w16cid:durableId="1367366090">
    <w:abstractNumId w:val="175"/>
  </w:num>
  <w:num w:numId="771" w16cid:durableId="1402563032">
    <w:abstractNumId w:val="40"/>
  </w:num>
  <w:num w:numId="772" w16cid:durableId="1874032821">
    <w:abstractNumId w:val="40"/>
  </w:num>
  <w:num w:numId="773" w16cid:durableId="850681779">
    <w:abstractNumId w:val="400"/>
  </w:num>
  <w:num w:numId="774" w16cid:durableId="1492211175">
    <w:abstractNumId w:val="199"/>
  </w:num>
  <w:num w:numId="775" w16cid:durableId="511066976">
    <w:abstractNumId w:val="40"/>
  </w:num>
  <w:num w:numId="776" w16cid:durableId="857620109">
    <w:abstractNumId w:val="409"/>
  </w:num>
  <w:num w:numId="777" w16cid:durableId="1744333638">
    <w:abstractNumId w:val="307"/>
  </w:num>
  <w:num w:numId="778" w16cid:durableId="1455976090">
    <w:abstractNumId w:val="428"/>
  </w:num>
  <w:num w:numId="779" w16cid:durableId="1261719517">
    <w:abstractNumId w:val="94"/>
  </w:num>
  <w:num w:numId="780" w16cid:durableId="519973496">
    <w:abstractNumId w:val="255"/>
  </w:num>
  <w:num w:numId="781" w16cid:durableId="1137260397">
    <w:abstractNumId w:val="183"/>
  </w:num>
  <w:num w:numId="782" w16cid:durableId="1252082939">
    <w:abstractNumId w:val="40"/>
  </w:num>
  <w:num w:numId="783" w16cid:durableId="907836581">
    <w:abstractNumId w:val="40"/>
  </w:num>
  <w:num w:numId="784" w16cid:durableId="20329109">
    <w:abstractNumId w:val="212"/>
  </w:num>
  <w:num w:numId="785" w16cid:durableId="367223312">
    <w:abstractNumId w:val="23"/>
  </w:num>
  <w:num w:numId="786" w16cid:durableId="1321301944">
    <w:abstractNumId w:val="179"/>
  </w:num>
  <w:num w:numId="787" w16cid:durableId="151408523">
    <w:abstractNumId w:val="40"/>
  </w:num>
  <w:num w:numId="788" w16cid:durableId="1132331150">
    <w:abstractNumId w:val="40"/>
  </w:num>
  <w:num w:numId="789" w16cid:durableId="690497894">
    <w:abstractNumId w:val="40"/>
  </w:num>
  <w:num w:numId="790" w16cid:durableId="293412028">
    <w:abstractNumId w:val="40"/>
  </w:num>
  <w:num w:numId="791" w16cid:durableId="295986404">
    <w:abstractNumId w:val="332"/>
  </w:num>
  <w:num w:numId="792" w16cid:durableId="1015961571">
    <w:abstractNumId w:val="100"/>
  </w:num>
  <w:num w:numId="793" w16cid:durableId="1925916971">
    <w:abstractNumId w:val="195"/>
  </w:num>
  <w:num w:numId="794" w16cid:durableId="1778061051">
    <w:abstractNumId w:val="490"/>
  </w:num>
  <w:num w:numId="795" w16cid:durableId="2014260520">
    <w:abstractNumId w:val="33"/>
  </w:num>
  <w:num w:numId="796" w16cid:durableId="1442334907">
    <w:abstractNumId w:val="460"/>
  </w:num>
  <w:num w:numId="797" w16cid:durableId="1395396433">
    <w:abstractNumId w:val="218"/>
  </w:num>
  <w:num w:numId="798" w16cid:durableId="971835679">
    <w:abstractNumId w:val="102"/>
  </w:num>
  <w:num w:numId="799" w16cid:durableId="2009016842">
    <w:abstractNumId w:val="302"/>
  </w:num>
  <w:num w:numId="800" w16cid:durableId="1338731510">
    <w:abstractNumId w:val="77"/>
  </w:num>
  <w:num w:numId="801" w16cid:durableId="1099595432">
    <w:abstractNumId w:val="286"/>
  </w:num>
  <w:num w:numId="802" w16cid:durableId="311761372">
    <w:abstractNumId w:val="427"/>
  </w:num>
  <w:num w:numId="803" w16cid:durableId="2051807794">
    <w:abstractNumId w:val="71"/>
  </w:num>
  <w:numIdMacAtCleanup w:val="8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SystemFonts/>
  <w:activeWritingStyle w:appName="MSWord" w:lang="es-MX" w:vendorID="64" w:dllVersion="0" w:nlCheck="1" w:checkStyle="0"/>
  <w:activeWritingStyle w:appName="MSWord" w:lang="es-ES" w:vendorID="64" w:dllVersion="6" w:nlCheck="1" w:checkStyle="0"/>
  <w:activeWritingStyle w:appName="MSWord" w:lang="es-ES_tradnl" w:vendorID="64" w:dllVersion="6" w:nlCheck="1" w:checkStyle="1"/>
  <w:activeWritingStyle w:appName="MSWord" w:lang="es-CO" w:vendorID="64" w:dllVersion="6" w:nlCheck="1" w:checkStyle="1"/>
  <w:activeWritingStyle w:appName="MSWord" w:lang="es-MX" w:vendorID="64" w:dllVersion="6" w:nlCheck="1" w:checkStyle="1"/>
  <w:activeWritingStyle w:appName="MSWord" w:lang="es-CL" w:vendorID="64" w:dllVersion="6" w:nlCheck="1" w:checkStyle="0"/>
  <w:activeWritingStyle w:appName="MSWord" w:lang="en-US" w:vendorID="64" w:dllVersion="6" w:nlCheck="1" w:checkStyle="1"/>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419" w:vendorID="64" w:dllVersion="0" w:nlCheck="1" w:checkStyle="0"/>
  <w:activeWritingStyle w:appName="MSWord" w:lang="es-C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s-CL" w:vendorID="64" w:dllVersion="4096" w:nlCheck="1" w:checkStyle="0"/>
  <w:activeWritingStyle w:appName="MSWord" w:lang="es-419" w:vendorID="64" w:dllVersion="4096" w:nlCheck="1" w:checkStyle="0"/>
  <w:activeWritingStyle w:appName="MSWord" w:lang="es-419" w:vendorID="64" w:dllVersion="6" w:nlCheck="1" w:checkStyle="0"/>
  <w:activeWritingStyle w:appName="MSWord" w:lang="fr-FR" w:vendorID="64" w:dllVersion="0" w:nlCheck="1" w:checkStyle="0"/>
  <w:activeWritingStyle w:appName="MSWord" w:lang="fr-FR" w:vendorID="64" w:dllVersion="6" w:nlCheck="1" w:checkStyle="1"/>
  <w:activeWritingStyle w:appName="MSWord" w:lang="fr-FR" w:vendorID="64" w:dllVersion="4096" w:nlCheck="1" w:checkStyle="0"/>
  <w:activeWritingStyle w:appName="MSWord" w:lang="en-GB"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39F"/>
    <w:rsid w:val="0000007B"/>
    <w:rsid w:val="00000496"/>
    <w:rsid w:val="000004D0"/>
    <w:rsid w:val="000004E0"/>
    <w:rsid w:val="000004EF"/>
    <w:rsid w:val="00000674"/>
    <w:rsid w:val="000006FB"/>
    <w:rsid w:val="00000851"/>
    <w:rsid w:val="00000A87"/>
    <w:rsid w:val="00000AAE"/>
    <w:rsid w:val="00000C95"/>
    <w:rsid w:val="00000CC5"/>
    <w:rsid w:val="00000D1F"/>
    <w:rsid w:val="00000E19"/>
    <w:rsid w:val="00000F65"/>
    <w:rsid w:val="00000F72"/>
    <w:rsid w:val="000012AE"/>
    <w:rsid w:val="00001306"/>
    <w:rsid w:val="000013E0"/>
    <w:rsid w:val="000013F6"/>
    <w:rsid w:val="00001476"/>
    <w:rsid w:val="0000172A"/>
    <w:rsid w:val="0000175F"/>
    <w:rsid w:val="000017C0"/>
    <w:rsid w:val="000018E9"/>
    <w:rsid w:val="00001977"/>
    <w:rsid w:val="00001A94"/>
    <w:rsid w:val="00001BB3"/>
    <w:rsid w:val="00001C9E"/>
    <w:rsid w:val="00001D4C"/>
    <w:rsid w:val="00001DDA"/>
    <w:rsid w:val="00001F0C"/>
    <w:rsid w:val="00001F17"/>
    <w:rsid w:val="00002224"/>
    <w:rsid w:val="00002362"/>
    <w:rsid w:val="000023BA"/>
    <w:rsid w:val="0000248C"/>
    <w:rsid w:val="00002530"/>
    <w:rsid w:val="0000273B"/>
    <w:rsid w:val="0000278E"/>
    <w:rsid w:val="0000283C"/>
    <w:rsid w:val="000028E8"/>
    <w:rsid w:val="00002C70"/>
    <w:rsid w:val="00002CE7"/>
    <w:rsid w:val="00002D10"/>
    <w:rsid w:val="00002D4B"/>
    <w:rsid w:val="00002EF0"/>
    <w:rsid w:val="0000302F"/>
    <w:rsid w:val="0000308F"/>
    <w:rsid w:val="0000317D"/>
    <w:rsid w:val="0000317E"/>
    <w:rsid w:val="00003231"/>
    <w:rsid w:val="0000328C"/>
    <w:rsid w:val="000032EE"/>
    <w:rsid w:val="0000330F"/>
    <w:rsid w:val="0000331A"/>
    <w:rsid w:val="0000338E"/>
    <w:rsid w:val="00003544"/>
    <w:rsid w:val="000036FF"/>
    <w:rsid w:val="000037C3"/>
    <w:rsid w:val="00003842"/>
    <w:rsid w:val="00003B99"/>
    <w:rsid w:val="00003E1D"/>
    <w:rsid w:val="00003F85"/>
    <w:rsid w:val="00003FE7"/>
    <w:rsid w:val="00003FE8"/>
    <w:rsid w:val="0000400A"/>
    <w:rsid w:val="000040BF"/>
    <w:rsid w:val="0000417C"/>
    <w:rsid w:val="000042F2"/>
    <w:rsid w:val="00004300"/>
    <w:rsid w:val="0000437F"/>
    <w:rsid w:val="0000438E"/>
    <w:rsid w:val="000043B5"/>
    <w:rsid w:val="000043C0"/>
    <w:rsid w:val="0000442A"/>
    <w:rsid w:val="00004613"/>
    <w:rsid w:val="000047EE"/>
    <w:rsid w:val="0000480B"/>
    <w:rsid w:val="00004A29"/>
    <w:rsid w:val="00004AD1"/>
    <w:rsid w:val="00004DA5"/>
    <w:rsid w:val="00004E4D"/>
    <w:rsid w:val="00004E4F"/>
    <w:rsid w:val="0000501C"/>
    <w:rsid w:val="000050A6"/>
    <w:rsid w:val="00005313"/>
    <w:rsid w:val="00005394"/>
    <w:rsid w:val="00005407"/>
    <w:rsid w:val="000054C1"/>
    <w:rsid w:val="000054F2"/>
    <w:rsid w:val="0000579F"/>
    <w:rsid w:val="0000586D"/>
    <w:rsid w:val="00005BB7"/>
    <w:rsid w:val="00005CF6"/>
    <w:rsid w:val="00005D7F"/>
    <w:rsid w:val="00005D99"/>
    <w:rsid w:val="00005E00"/>
    <w:rsid w:val="00005E5E"/>
    <w:rsid w:val="00005EEE"/>
    <w:rsid w:val="00006014"/>
    <w:rsid w:val="0000601F"/>
    <w:rsid w:val="0000615A"/>
    <w:rsid w:val="00006274"/>
    <w:rsid w:val="000062A5"/>
    <w:rsid w:val="00006338"/>
    <w:rsid w:val="000063D2"/>
    <w:rsid w:val="00006483"/>
    <w:rsid w:val="00006487"/>
    <w:rsid w:val="000065A1"/>
    <w:rsid w:val="0000660B"/>
    <w:rsid w:val="0000664B"/>
    <w:rsid w:val="0000679F"/>
    <w:rsid w:val="000067BE"/>
    <w:rsid w:val="0000682D"/>
    <w:rsid w:val="00006901"/>
    <w:rsid w:val="00006904"/>
    <w:rsid w:val="00006991"/>
    <w:rsid w:val="00006A7C"/>
    <w:rsid w:val="00006B44"/>
    <w:rsid w:val="00006DB8"/>
    <w:rsid w:val="00006E79"/>
    <w:rsid w:val="000070DD"/>
    <w:rsid w:val="00007279"/>
    <w:rsid w:val="000072E7"/>
    <w:rsid w:val="000073FC"/>
    <w:rsid w:val="00007495"/>
    <w:rsid w:val="000074AF"/>
    <w:rsid w:val="000075C8"/>
    <w:rsid w:val="0000766D"/>
    <w:rsid w:val="000076D2"/>
    <w:rsid w:val="000078E0"/>
    <w:rsid w:val="00007A22"/>
    <w:rsid w:val="00007AB3"/>
    <w:rsid w:val="00007C6E"/>
    <w:rsid w:val="00007F0C"/>
    <w:rsid w:val="0001000A"/>
    <w:rsid w:val="00010100"/>
    <w:rsid w:val="000101A2"/>
    <w:rsid w:val="000105B1"/>
    <w:rsid w:val="000105F5"/>
    <w:rsid w:val="00010710"/>
    <w:rsid w:val="00010757"/>
    <w:rsid w:val="000107FE"/>
    <w:rsid w:val="00010FA3"/>
    <w:rsid w:val="0001107B"/>
    <w:rsid w:val="00011465"/>
    <w:rsid w:val="0001156E"/>
    <w:rsid w:val="00011674"/>
    <w:rsid w:val="0001172C"/>
    <w:rsid w:val="0001180F"/>
    <w:rsid w:val="000118E9"/>
    <w:rsid w:val="00011A79"/>
    <w:rsid w:val="00011B22"/>
    <w:rsid w:val="00011CCA"/>
    <w:rsid w:val="00011D6D"/>
    <w:rsid w:val="00011E70"/>
    <w:rsid w:val="00011F37"/>
    <w:rsid w:val="00011F45"/>
    <w:rsid w:val="00011F4F"/>
    <w:rsid w:val="00011FE3"/>
    <w:rsid w:val="0001214D"/>
    <w:rsid w:val="00012383"/>
    <w:rsid w:val="00012389"/>
    <w:rsid w:val="0001245C"/>
    <w:rsid w:val="000124F2"/>
    <w:rsid w:val="000124F4"/>
    <w:rsid w:val="0001258E"/>
    <w:rsid w:val="000125CD"/>
    <w:rsid w:val="00012605"/>
    <w:rsid w:val="000128A6"/>
    <w:rsid w:val="000129D2"/>
    <w:rsid w:val="00012BC7"/>
    <w:rsid w:val="00012C19"/>
    <w:rsid w:val="00012E81"/>
    <w:rsid w:val="00012F0F"/>
    <w:rsid w:val="00012F22"/>
    <w:rsid w:val="00012F40"/>
    <w:rsid w:val="00013031"/>
    <w:rsid w:val="0001309A"/>
    <w:rsid w:val="000130E6"/>
    <w:rsid w:val="00013122"/>
    <w:rsid w:val="0001330A"/>
    <w:rsid w:val="000134D3"/>
    <w:rsid w:val="0001351F"/>
    <w:rsid w:val="00013729"/>
    <w:rsid w:val="000137DC"/>
    <w:rsid w:val="00013950"/>
    <w:rsid w:val="000139BC"/>
    <w:rsid w:val="00013A07"/>
    <w:rsid w:val="00013A18"/>
    <w:rsid w:val="00013A6C"/>
    <w:rsid w:val="00013BC7"/>
    <w:rsid w:val="00013C2E"/>
    <w:rsid w:val="00013DC1"/>
    <w:rsid w:val="00013DDC"/>
    <w:rsid w:val="00013ED7"/>
    <w:rsid w:val="000140DE"/>
    <w:rsid w:val="0001425A"/>
    <w:rsid w:val="0001433E"/>
    <w:rsid w:val="000144FE"/>
    <w:rsid w:val="00014587"/>
    <w:rsid w:val="000145CC"/>
    <w:rsid w:val="00014BE5"/>
    <w:rsid w:val="00014D03"/>
    <w:rsid w:val="00014D30"/>
    <w:rsid w:val="00014D44"/>
    <w:rsid w:val="00014E27"/>
    <w:rsid w:val="00014F3F"/>
    <w:rsid w:val="00014F63"/>
    <w:rsid w:val="00015023"/>
    <w:rsid w:val="00015071"/>
    <w:rsid w:val="00015132"/>
    <w:rsid w:val="00015178"/>
    <w:rsid w:val="000151CC"/>
    <w:rsid w:val="00015319"/>
    <w:rsid w:val="00015329"/>
    <w:rsid w:val="00015378"/>
    <w:rsid w:val="00015464"/>
    <w:rsid w:val="00015507"/>
    <w:rsid w:val="00015BBA"/>
    <w:rsid w:val="00015D1E"/>
    <w:rsid w:val="00015D4D"/>
    <w:rsid w:val="00015E78"/>
    <w:rsid w:val="00015FD8"/>
    <w:rsid w:val="00016060"/>
    <w:rsid w:val="00016121"/>
    <w:rsid w:val="00016166"/>
    <w:rsid w:val="000161C4"/>
    <w:rsid w:val="000161FB"/>
    <w:rsid w:val="00016228"/>
    <w:rsid w:val="000162B9"/>
    <w:rsid w:val="000162F4"/>
    <w:rsid w:val="0001647C"/>
    <w:rsid w:val="00016514"/>
    <w:rsid w:val="00016721"/>
    <w:rsid w:val="0001691B"/>
    <w:rsid w:val="000169F9"/>
    <w:rsid w:val="00016A90"/>
    <w:rsid w:val="00016BBE"/>
    <w:rsid w:val="00016D9A"/>
    <w:rsid w:val="00016E77"/>
    <w:rsid w:val="00017083"/>
    <w:rsid w:val="0001712F"/>
    <w:rsid w:val="000172EB"/>
    <w:rsid w:val="0001759F"/>
    <w:rsid w:val="00017671"/>
    <w:rsid w:val="00017695"/>
    <w:rsid w:val="0001774B"/>
    <w:rsid w:val="00017762"/>
    <w:rsid w:val="00017931"/>
    <w:rsid w:val="00017B25"/>
    <w:rsid w:val="00017B4D"/>
    <w:rsid w:val="00017BCE"/>
    <w:rsid w:val="00017D31"/>
    <w:rsid w:val="00017DA7"/>
    <w:rsid w:val="00017F60"/>
    <w:rsid w:val="00017FD0"/>
    <w:rsid w:val="00020236"/>
    <w:rsid w:val="00020268"/>
    <w:rsid w:val="0002027B"/>
    <w:rsid w:val="000202A6"/>
    <w:rsid w:val="00020363"/>
    <w:rsid w:val="0002038B"/>
    <w:rsid w:val="000203E9"/>
    <w:rsid w:val="0002045D"/>
    <w:rsid w:val="00020537"/>
    <w:rsid w:val="00020571"/>
    <w:rsid w:val="000205C5"/>
    <w:rsid w:val="0002074D"/>
    <w:rsid w:val="000207D2"/>
    <w:rsid w:val="000207D9"/>
    <w:rsid w:val="0002085E"/>
    <w:rsid w:val="000208E2"/>
    <w:rsid w:val="000209C3"/>
    <w:rsid w:val="00020A29"/>
    <w:rsid w:val="00020B81"/>
    <w:rsid w:val="00020C68"/>
    <w:rsid w:val="00020C77"/>
    <w:rsid w:val="00020E10"/>
    <w:rsid w:val="00020EDA"/>
    <w:rsid w:val="00020F42"/>
    <w:rsid w:val="0002103C"/>
    <w:rsid w:val="0002113B"/>
    <w:rsid w:val="00021143"/>
    <w:rsid w:val="00021210"/>
    <w:rsid w:val="00021230"/>
    <w:rsid w:val="00021382"/>
    <w:rsid w:val="000213CC"/>
    <w:rsid w:val="00021686"/>
    <w:rsid w:val="000216A6"/>
    <w:rsid w:val="000217C4"/>
    <w:rsid w:val="0002190C"/>
    <w:rsid w:val="0002195B"/>
    <w:rsid w:val="00021A3E"/>
    <w:rsid w:val="00021D35"/>
    <w:rsid w:val="00021D9A"/>
    <w:rsid w:val="00021DDB"/>
    <w:rsid w:val="00021DED"/>
    <w:rsid w:val="00021F9D"/>
    <w:rsid w:val="00021FDB"/>
    <w:rsid w:val="0002205F"/>
    <w:rsid w:val="000222CD"/>
    <w:rsid w:val="000222D1"/>
    <w:rsid w:val="000223B9"/>
    <w:rsid w:val="00022414"/>
    <w:rsid w:val="00022440"/>
    <w:rsid w:val="00022496"/>
    <w:rsid w:val="00022807"/>
    <w:rsid w:val="0002286A"/>
    <w:rsid w:val="000229EE"/>
    <w:rsid w:val="00022B40"/>
    <w:rsid w:val="00022B80"/>
    <w:rsid w:val="00022C05"/>
    <w:rsid w:val="00022D46"/>
    <w:rsid w:val="00022E50"/>
    <w:rsid w:val="00022E5D"/>
    <w:rsid w:val="00023167"/>
    <w:rsid w:val="000232A2"/>
    <w:rsid w:val="000234A2"/>
    <w:rsid w:val="0002365E"/>
    <w:rsid w:val="00023696"/>
    <w:rsid w:val="00023762"/>
    <w:rsid w:val="00023933"/>
    <w:rsid w:val="00023996"/>
    <w:rsid w:val="00023B13"/>
    <w:rsid w:val="00023B47"/>
    <w:rsid w:val="00023C6D"/>
    <w:rsid w:val="00023CF8"/>
    <w:rsid w:val="00023D09"/>
    <w:rsid w:val="00023D6C"/>
    <w:rsid w:val="00023DDF"/>
    <w:rsid w:val="00023DF4"/>
    <w:rsid w:val="00023EAE"/>
    <w:rsid w:val="00023F1A"/>
    <w:rsid w:val="00023F4B"/>
    <w:rsid w:val="0002405D"/>
    <w:rsid w:val="0002426E"/>
    <w:rsid w:val="0002436B"/>
    <w:rsid w:val="0002446F"/>
    <w:rsid w:val="000244A2"/>
    <w:rsid w:val="00024B31"/>
    <w:rsid w:val="00024B9E"/>
    <w:rsid w:val="00024BF3"/>
    <w:rsid w:val="00024C20"/>
    <w:rsid w:val="00024F77"/>
    <w:rsid w:val="000250D4"/>
    <w:rsid w:val="0002514F"/>
    <w:rsid w:val="000251CF"/>
    <w:rsid w:val="0002520D"/>
    <w:rsid w:val="00025384"/>
    <w:rsid w:val="000254CB"/>
    <w:rsid w:val="0002562C"/>
    <w:rsid w:val="0002571E"/>
    <w:rsid w:val="0002572B"/>
    <w:rsid w:val="000257A8"/>
    <w:rsid w:val="00025801"/>
    <w:rsid w:val="000258C3"/>
    <w:rsid w:val="0002594B"/>
    <w:rsid w:val="0002596E"/>
    <w:rsid w:val="000259C6"/>
    <w:rsid w:val="00025A1B"/>
    <w:rsid w:val="00025B72"/>
    <w:rsid w:val="00025C16"/>
    <w:rsid w:val="00025CB1"/>
    <w:rsid w:val="00025E84"/>
    <w:rsid w:val="00025E92"/>
    <w:rsid w:val="00025F8A"/>
    <w:rsid w:val="00026080"/>
    <w:rsid w:val="0002610E"/>
    <w:rsid w:val="00026141"/>
    <w:rsid w:val="00026246"/>
    <w:rsid w:val="00026414"/>
    <w:rsid w:val="00026455"/>
    <w:rsid w:val="000264AA"/>
    <w:rsid w:val="0002661E"/>
    <w:rsid w:val="00026655"/>
    <w:rsid w:val="00026767"/>
    <w:rsid w:val="0002683C"/>
    <w:rsid w:val="0002688E"/>
    <w:rsid w:val="00026A2E"/>
    <w:rsid w:val="00026A41"/>
    <w:rsid w:val="00026A4D"/>
    <w:rsid w:val="00026D74"/>
    <w:rsid w:val="00026D8E"/>
    <w:rsid w:val="00026F3C"/>
    <w:rsid w:val="00026FF9"/>
    <w:rsid w:val="00027031"/>
    <w:rsid w:val="000270EC"/>
    <w:rsid w:val="00027108"/>
    <w:rsid w:val="000271D5"/>
    <w:rsid w:val="000271DA"/>
    <w:rsid w:val="000274C7"/>
    <w:rsid w:val="00027521"/>
    <w:rsid w:val="00027538"/>
    <w:rsid w:val="0002754A"/>
    <w:rsid w:val="0002757C"/>
    <w:rsid w:val="0002762D"/>
    <w:rsid w:val="000277A5"/>
    <w:rsid w:val="000277B5"/>
    <w:rsid w:val="00027921"/>
    <w:rsid w:val="00027958"/>
    <w:rsid w:val="000279BF"/>
    <w:rsid w:val="00027BD1"/>
    <w:rsid w:val="00027D89"/>
    <w:rsid w:val="00027E6B"/>
    <w:rsid w:val="00027E95"/>
    <w:rsid w:val="00027EF6"/>
    <w:rsid w:val="0003000C"/>
    <w:rsid w:val="000300AE"/>
    <w:rsid w:val="000300B6"/>
    <w:rsid w:val="000300E0"/>
    <w:rsid w:val="00030170"/>
    <w:rsid w:val="0003022D"/>
    <w:rsid w:val="0003027D"/>
    <w:rsid w:val="000303D3"/>
    <w:rsid w:val="00030424"/>
    <w:rsid w:val="000304EB"/>
    <w:rsid w:val="00030708"/>
    <w:rsid w:val="00030744"/>
    <w:rsid w:val="000307D6"/>
    <w:rsid w:val="00030968"/>
    <w:rsid w:val="000309E9"/>
    <w:rsid w:val="000309F7"/>
    <w:rsid w:val="00030A47"/>
    <w:rsid w:val="00030AE9"/>
    <w:rsid w:val="00030B2E"/>
    <w:rsid w:val="00030D45"/>
    <w:rsid w:val="00030E3A"/>
    <w:rsid w:val="00030F7D"/>
    <w:rsid w:val="0003100B"/>
    <w:rsid w:val="0003106E"/>
    <w:rsid w:val="000311B5"/>
    <w:rsid w:val="00031305"/>
    <w:rsid w:val="000314B7"/>
    <w:rsid w:val="000315DD"/>
    <w:rsid w:val="00031626"/>
    <w:rsid w:val="00031748"/>
    <w:rsid w:val="000318D5"/>
    <w:rsid w:val="000318F2"/>
    <w:rsid w:val="00031A9C"/>
    <w:rsid w:val="00031AE8"/>
    <w:rsid w:val="00031B62"/>
    <w:rsid w:val="00031C29"/>
    <w:rsid w:val="00031C4F"/>
    <w:rsid w:val="00031D22"/>
    <w:rsid w:val="00031FC7"/>
    <w:rsid w:val="0003209D"/>
    <w:rsid w:val="000320D4"/>
    <w:rsid w:val="00032109"/>
    <w:rsid w:val="00032175"/>
    <w:rsid w:val="000322A0"/>
    <w:rsid w:val="000322A1"/>
    <w:rsid w:val="000323C2"/>
    <w:rsid w:val="000323F9"/>
    <w:rsid w:val="00032414"/>
    <w:rsid w:val="00032616"/>
    <w:rsid w:val="0003272F"/>
    <w:rsid w:val="00032763"/>
    <w:rsid w:val="000327D8"/>
    <w:rsid w:val="000327E0"/>
    <w:rsid w:val="00032A85"/>
    <w:rsid w:val="00032B44"/>
    <w:rsid w:val="00032C74"/>
    <w:rsid w:val="00032DBB"/>
    <w:rsid w:val="00032DED"/>
    <w:rsid w:val="00032E59"/>
    <w:rsid w:val="00033024"/>
    <w:rsid w:val="00033190"/>
    <w:rsid w:val="00033341"/>
    <w:rsid w:val="00033390"/>
    <w:rsid w:val="0003340A"/>
    <w:rsid w:val="00033465"/>
    <w:rsid w:val="0003347A"/>
    <w:rsid w:val="000336EF"/>
    <w:rsid w:val="000337D4"/>
    <w:rsid w:val="0003387F"/>
    <w:rsid w:val="0003389B"/>
    <w:rsid w:val="000338A9"/>
    <w:rsid w:val="000339A1"/>
    <w:rsid w:val="00033A3B"/>
    <w:rsid w:val="00033A3C"/>
    <w:rsid w:val="00033BED"/>
    <w:rsid w:val="00033C78"/>
    <w:rsid w:val="00033D8F"/>
    <w:rsid w:val="00033FD4"/>
    <w:rsid w:val="00034147"/>
    <w:rsid w:val="000341AF"/>
    <w:rsid w:val="000341D8"/>
    <w:rsid w:val="00034235"/>
    <w:rsid w:val="00034250"/>
    <w:rsid w:val="0003455D"/>
    <w:rsid w:val="0003458D"/>
    <w:rsid w:val="00034603"/>
    <w:rsid w:val="00034697"/>
    <w:rsid w:val="000348F3"/>
    <w:rsid w:val="00034A07"/>
    <w:rsid w:val="00034B4D"/>
    <w:rsid w:val="00034B93"/>
    <w:rsid w:val="00034C85"/>
    <w:rsid w:val="00034CE2"/>
    <w:rsid w:val="00034D41"/>
    <w:rsid w:val="00034F5A"/>
    <w:rsid w:val="00034FEE"/>
    <w:rsid w:val="00035065"/>
    <w:rsid w:val="000355BA"/>
    <w:rsid w:val="000355BE"/>
    <w:rsid w:val="000355F7"/>
    <w:rsid w:val="0003581A"/>
    <w:rsid w:val="0003584E"/>
    <w:rsid w:val="00035929"/>
    <w:rsid w:val="000359CA"/>
    <w:rsid w:val="00035AA7"/>
    <w:rsid w:val="00035ABF"/>
    <w:rsid w:val="00035B9E"/>
    <w:rsid w:val="00035CB4"/>
    <w:rsid w:val="00035CE6"/>
    <w:rsid w:val="00035D1D"/>
    <w:rsid w:val="00035D3F"/>
    <w:rsid w:val="00035D85"/>
    <w:rsid w:val="00035F27"/>
    <w:rsid w:val="0003600C"/>
    <w:rsid w:val="00036101"/>
    <w:rsid w:val="00036156"/>
    <w:rsid w:val="000363C0"/>
    <w:rsid w:val="000363FC"/>
    <w:rsid w:val="00036454"/>
    <w:rsid w:val="00036463"/>
    <w:rsid w:val="0003654E"/>
    <w:rsid w:val="00036672"/>
    <w:rsid w:val="000366B5"/>
    <w:rsid w:val="00036909"/>
    <w:rsid w:val="0003692F"/>
    <w:rsid w:val="000369CA"/>
    <w:rsid w:val="00036A00"/>
    <w:rsid w:val="00036A27"/>
    <w:rsid w:val="00036BD6"/>
    <w:rsid w:val="00036D0C"/>
    <w:rsid w:val="00036D80"/>
    <w:rsid w:val="00036DCC"/>
    <w:rsid w:val="00036EF5"/>
    <w:rsid w:val="00037008"/>
    <w:rsid w:val="00037013"/>
    <w:rsid w:val="000370C1"/>
    <w:rsid w:val="000370DC"/>
    <w:rsid w:val="000370EF"/>
    <w:rsid w:val="00037336"/>
    <w:rsid w:val="00037455"/>
    <w:rsid w:val="0003769B"/>
    <w:rsid w:val="0003769C"/>
    <w:rsid w:val="000376A5"/>
    <w:rsid w:val="000376AB"/>
    <w:rsid w:val="000378B8"/>
    <w:rsid w:val="00037994"/>
    <w:rsid w:val="00037A36"/>
    <w:rsid w:val="00037A3E"/>
    <w:rsid w:val="00037A44"/>
    <w:rsid w:val="00037ABE"/>
    <w:rsid w:val="00037AC1"/>
    <w:rsid w:val="00037C59"/>
    <w:rsid w:val="00037C61"/>
    <w:rsid w:val="00037DA7"/>
    <w:rsid w:val="00037DB6"/>
    <w:rsid w:val="00037DC7"/>
    <w:rsid w:val="00037ED5"/>
    <w:rsid w:val="00037F09"/>
    <w:rsid w:val="00037F66"/>
    <w:rsid w:val="00037FF6"/>
    <w:rsid w:val="0004003B"/>
    <w:rsid w:val="00040105"/>
    <w:rsid w:val="000403A1"/>
    <w:rsid w:val="0004042F"/>
    <w:rsid w:val="000404AA"/>
    <w:rsid w:val="000404B7"/>
    <w:rsid w:val="00040566"/>
    <w:rsid w:val="00040593"/>
    <w:rsid w:val="00040A8A"/>
    <w:rsid w:val="00040B09"/>
    <w:rsid w:val="00040C9C"/>
    <w:rsid w:val="00040D62"/>
    <w:rsid w:val="00040DB3"/>
    <w:rsid w:val="00040EA8"/>
    <w:rsid w:val="00040ED9"/>
    <w:rsid w:val="00040FF5"/>
    <w:rsid w:val="00041124"/>
    <w:rsid w:val="000411DE"/>
    <w:rsid w:val="00041208"/>
    <w:rsid w:val="0004130D"/>
    <w:rsid w:val="000413A8"/>
    <w:rsid w:val="000414D0"/>
    <w:rsid w:val="000414EF"/>
    <w:rsid w:val="000415F1"/>
    <w:rsid w:val="00041622"/>
    <w:rsid w:val="00041844"/>
    <w:rsid w:val="000419FA"/>
    <w:rsid w:val="00041B50"/>
    <w:rsid w:val="00041B9C"/>
    <w:rsid w:val="00041CD6"/>
    <w:rsid w:val="00041D0A"/>
    <w:rsid w:val="00041D85"/>
    <w:rsid w:val="00041E53"/>
    <w:rsid w:val="00042053"/>
    <w:rsid w:val="000420CC"/>
    <w:rsid w:val="0004216D"/>
    <w:rsid w:val="0004246E"/>
    <w:rsid w:val="000424B9"/>
    <w:rsid w:val="00042590"/>
    <w:rsid w:val="0004295F"/>
    <w:rsid w:val="00042A25"/>
    <w:rsid w:val="00042B3A"/>
    <w:rsid w:val="00042C5F"/>
    <w:rsid w:val="00042E66"/>
    <w:rsid w:val="00042E72"/>
    <w:rsid w:val="00042EDF"/>
    <w:rsid w:val="0004308A"/>
    <w:rsid w:val="00043264"/>
    <w:rsid w:val="0004331B"/>
    <w:rsid w:val="000433DC"/>
    <w:rsid w:val="000434B9"/>
    <w:rsid w:val="00043510"/>
    <w:rsid w:val="00043572"/>
    <w:rsid w:val="00043866"/>
    <w:rsid w:val="00043954"/>
    <w:rsid w:val="000439BB"/>
    <w:rsid w:val="00043A98"/>
    <w:rsid w:val="00043B65"/>
    <w:rsid w:val="00043D17"/>
    <w:rsid w:val="00043D58"/>
    <w:rsid w:val="00043DB5"/>
    <w:rsid w:val="00043E06"/>
    <w:rsid w:val="00043EED"/>
    <w:rsid w:val="00044030"/>
    <w:rsid w:val="000440CD"/>
    <w:rsid w:val="0004417E"/>
    <w:rsid w:val="0004436C"/>
    <w:rsid w:val="00044391"/>
    <w:rsid w:val="0004443B"/>
    <w:rsid w:val="00044495"/>
    <w:rsid w:val="000444AD"/>
    <w:rsid w:val="00044526"/>
    <w:rsid w:val="000445E1"/>
    <w:rsid w:val="00044613"/>
    <w:rsid w:val="0004469B"/>
    <w:rsid w:val="00044729"/>
    <w:rsid w:val="0004472F"/>
    <w:rsid w:val="000449CE"/>
    <w:rsid w:val="00044A07"/>
    <w:rsid w:val="00044AD4"/>
    <w:rsid w:val="00044CF3"/>
    <w:rsid w:val="00044CFE"/>
    <w:rsid w:val="00044D9A"/>
    <w:rsid w:val="00044DB4"/>
    <w:rsid w:val="00044F5D"/>
    <w:rsid w:val="0004503C"/>
    <w:rsid w:val="000451EB"/>
    <w:rsid w:val="000452CD"/>
    <w:rsid w:val="0004536C"/>
    <w:rsid w:val="000453C6"/>
    <w:rsid w:val="000453F1"/>
    <w:rsid w:val="00045414"/>
    <w:rsid w:val="0004545E"/>
    <w:rsid w:val="00045627"/>
    <w:rsid w:val="0004567F"/>
    <w:rsid w:val="000456FB"/>
    <w:rsid w:val="0004573F"/>
    <w:rsid w:val="000457FA"/>
    <w:rsid w:val="00045804"/>
    <w:rsid w:val="00045883"/>
    <w:rsid w:val="0004588A"/>
    <w:rsid w:val="000458FC"/>
    <w:rsid w:val="00045A5D"/>
    <w:rsid w:val="00045AB5"/>
    <w:rsid w:val="00045B66"/>
    <w:rsid w:val="00045B77"/>
    <w:rsid w:val="00045C94"/>
    <w:rsid w:val="00045D2C"/>
    <w:rsid w:val="00045FE6"/>
    <w:rsid w:val="00046132"/>
    <w:rsid w:val="00046197"/>
    <w:rsid w:val="00046380"/>
    <w:rsid w:val="000463CB"/>
    <w:rsid w:val="00046574"/>
    <w:rsid w:val="000465FD"/>
    <w:rsid w:val="000467EE"/>
    <w:rsid w:val="00046818"/>
    <w:rsid w:val="0004696E"/>
    <w:rsid w:val="0004699E"/>
    <w:rsid w:val="00046AD0"/>
    <w:rsid w:val="00046B3E"/>
    <w:rsid w:val="00046BD6"/>
    <w:rsid w:val="00046C49"/>
    <w:rsid w:val="00046C87"/>
    <w:rsid w:val="00046C91"/>
    <w:rsid w:val="00046DEB"/>
    <w:rsid w:val="00046E96"/>
    <w:rsid w:val="00046E99"/>
    <w:rsid w:val="00046EAA"/>
    <w:rsid w:val="00046ED2"/>
    <w:rsid w:val="00046F48"/>
    <w:rsid w:val="00046F53"/>
    <w:rsid w:val="0004704B"/>
    <w:rsid w:val="0004707D"/>
    <w:rsid w:val="00047220"/>
    <w:rsid w:val="00047271"/>
    <w:rsid w:val="000473D4"/>
    <w:rsid w:val="000473EE"/>
    <w:rsid w:val="000475D7"/>
    <w:rsid w:val="00047905"/>
    <w:rsid w:val="0004793C"/>
    <w:rsid w:val="00047A4F"/>
    <w:rsid w:val="00047AAB"/>
    <w:rsid w:val="00047AB6"/>
    <w:rsid w:val="00047AD4"/>
    <w:rsid w:val="00047CDE"/>
    <w:rsid w:val="00047D7D"/>
    <w:rsid w:val="00047E1E"/>
    <w:rsid w:val="000500B3"/>
    <w:rsid w:val="0005013B"/>
    <w:rsid w:val="000501D6"/>
    <w:rsid w:val="000501DE"/>
    <w:rsid w:val="000502AA"/>
    <w:rsid w:val="000502B5"/>
    <w:rsid w:val="00050322"/>
    <w:rsid w:val="000504CC"/>
    <w:rsid w:val="000504CD"/>
    <w:rsid w:val="0005094C"/>
    <w:rsid w:val="000509FD"/>
    <w:rsid w:val="00050AFA"/>
    <w:rsid w:val="00050C39"/>
    <w:rsid w:val="00050C88"/>
    <w:rsid w:val="00050CA5"/>
    <w:rsid w:val="00050CF7"/>
    <w:rsid w:val="00050E38"/>
    <w:rsid w:val="00050E60"/>
    <w:rsid w:val="00050E7C"/>
    <w:rsid w:val="00050EEF"/>
    <w:rsid w:val="00050F2F"/>
    <w:rsid w:val="00050FBB"/>
    <w:rsid w:val="0005118C"/>
    <w:rsid w:val="0005133C"/>
    <w:rsid w:val="00051396"/>
    <w:rsid w:val="00051496"/>
    <w:rsid w:val="00051594"/>
    <w:rsid w:val="00051673"/>
    <w:rsid w:val="00051744"/>
    <w:rsid w:val="000519E4"/>
    <w:rsid w:val="00051AB2"/>
    <w:rsid w:val="00051AC6"/>
    <w:rsid w:val="00051B17"/>
    <w:rsid w:val="00051B2F"/>
    <w:rsid w:val="00051B46"/>
    <w:rsid w:val="00051C2E"/>
    <w:rsid w:val="00051C70"/>
    <w:rsid w:val="00051DCF"/>
    <w:rsid w:val="00051EC2"/>
    <w:rsid w:val="0005200C"/>
    <w:rsid w:val="00052076"/>
    <w:rsid w:val="0005220B"/>
    <w:rsid w:val="000522C9"/>
    <w:rsid w:val="00052351"/>
    <w:rsid w:val="000523DA"/>
    <w:rsid w:val="00052528"/>
    <w:rsid w:val="000525F7"/>
    <w:rsid w:val="0005279D"/>
    <w:rsid w:val="0005299C"/>
    <w:rsid w:val="000529A3"/>
    <w:rsid w:val="00052AED"/>
    <w:rsid w:val="00052BD0"/>
    <w:rsid w:val="00052BED"/>
    <w:rsid w:val="00052F4C"/>
    <w:rsid w:val="00052FC1"/>
    <w:rsid w:val="00053026"/>
    <w:rsid w:val="00053074"/>
    <w:rsid w:val="000530C0"/>
    <w:rsid w:val="00053365"/>
    <w:rsid w:val="0005341B"/>
    <w:rsid w:val="000535A6"/>
    <w:rsid w:val="0005365B"/>
    <w:rsid w:val="0005368F"/>
    <w:rsid w:val="0005379C"/>
    <w:rsid w:val="00053ADB"/>
    <w:rsid w:val="00053AF2"/>
    <w:rsid w:val="00053CD4"/>
    <w:rsid w:val="00053DD6"/>
    <w:rsid w:val="00053E2D"/>
    <w:rsid w:val="00053FFC"/>
    <w:rsid w:val="00054059"/>
    <w:rsid w:val="00054354"/>
    <w:rsid w:val="00054422"/>
    <w:rsid w:val="00054434"/>
    <w:rsid w:val="000544FF"/>
    <w:rsid w:val="000545C9"/>
    <w:rsid w:val="0005468C"/>
    <w:rsid w:val="0005493F"/>
    <w:rsid w:val="00054945"/>
    <w:rsid w:val="00054A71"/>
    <w:rsid w:val="00054A95"/>
    <w:rsid w:val="00054C06"/>
    <w:rsid w:val="00054CBD"/>
    <w:rsid w:val="00054DF4"/>
    <w:rsid w:val="00054E30"/>
    <w:rsid w:val="00055015"/>
    <w:rsid w:val="0005501D"/>
    <w:rsid w:val="00055078"/>
    <w:rsid w:val="00055266"/>
    <w:rsid w:val="0005528D"/>
    <w:rsid w:val="000552CE"/>
    <w:rsid w:val="0005541B"/>
    <w:rsid w:val="000555FD"/>
    <w:rsid w:val="00055654"/>
    <w:rsid w:val="0005570C"/>
    <w:rsid w:val="00055743"/>
    <w:rsid w:val="0005576D"/>
    <w:rsid w:val="000557B0"/>
    <w:rsid w:val="0005580B"/>
    <w:rsid w:val="000558BF"/>
    <w:rsid w:val="000559C3"/>
    <w:rsid w:val="00055B73"/>
    <w:rsid w:val="00055CE4"/>
    <w:rsid w:val="00055DAF"/>
    <w:rsid w:val="00055DBB"/>
    <w:rsid w:val="00056196"/>
    <w:rsid w:val="0005636B"/>
    <w:rsid w:val="00056440"/>
    <w:rsid w:val="000564D3"/>
    <w:rsid w:val="000565C4"/>
    <w:rsid w:val="00056688"/>
    <w:rsid w:val="00056689"/>
    <w:rsid w:val="00056B6A"/>
    <w:rsid w:val="00056BB1"/>
    <w:rsid w:val="00056C03"/>
    <w:rsid w:val="00056C87"/>
    <w:rsid w:val="00057006"/>
    <w:rsid w:val="0005704B"/>
    <w:rsid w:val="0005725D"/>
    <w:rsid w:val="000572E4"/>
    <w:rsid w:val="0005745F"/>
    <w:rsid w:val="000574FC"/>
    <w:rsid w:val="0005755C"/>
    <w:rsid w:val="000575BF"/>
    <w:rsid w:val="000576DF"/>
    <w:rsid w:val="0005780C"/>
    <w:rsid w:val="00057870"/>
    <w:rsid w:val="0005793B"/>
    <w:rsid w:val="00057967"/>
    <w:rsid w:val="00057A31"/>
    <w:rsid w:val="00057C75"/>
    <w:rsid w:val="00057D9F"/>
    <w:rsid w:val="00057E8C"/>
    <w:rsid w:val="00060036"/>
    <w:rsid w:val="0006013F"/>
    <w:rsid w:val="0006021A"/>
    <w:rsid w:val="0006024D"/>
    <w:rsid w:val="00060619"/>
    <w:rsid w:val="00060688"/>
    <w:rsid w:val="00060C90"/>
    <w:rsid w:val="00060CE5"/>
    <w:rsid w:val="00061076"/>
    <w:rsid w:val="000610EB"/>
    <w:rsid w:val="0006119E"/>
    <w:rsid w:val="0006130F"/>
    <w:rsid w:val="000613E3"/>
    <w:rsid w:val="00061654"/>
    <w:rsid w:val="00061756"/>
    <w:rsid w:val="00061BC7"/>
    <w:rsid w:val="00061C78"/>
    <w:rsid w:val="00061F02"/>
    <w:rsid w:val="00061F04"/>
    <w:rsid w:val="00061F31"/>
    <w:rsid w:val="00061F70"/>
    <w:rsid w:val="00062026"/>
    <w:rsid w:val="0006211B"/>
    <w:rsid w:val="00062134"/>
    <w:rsid w:val="000621DD"/>
    <w:rsid w:val="00062237"/>
    <w:rsid w:val="00062570"/>
    <w:rsid w:val="000625AB"/>
    <w:rsid w:val="000626B3"/>
    <w:rsid w:val="000626C0"/>
    <w:rsid w:val="000626E6"/>
    <w:rsid w:val="00062996"/>
    <w:rsid w:val="00063087"/>
    <w:rsid w:val="000631C7"/>
    <w:rsid w:val="0006330C"/>
    <w:rsid w:val="000636DD"/>
    <w:rsid w:val="00063780"/>
    <w:rsid w:val="00063838"/>
    <w:rsid w:val="00063889"/>
    <w:rsid w:val="000639ED"/>
    <w:rsid w:val="00063B7C"/>
    <w:rsid w:val="00063C9D"/>
    <w:rsid w:val="00063CB7"/>
    <w:rsid w:val="00063CC0"/>
    <w:rsid w:val="00063DB7"/>
    <w:rsid w:val="00063E02"/>
    <w:rsid w:val="00063F51"/>
    <w:rsid w:val="00063F72"/>
    <w:rsid w:val="00063F94"/>
    <w:rsid w:val="00063F96"/>
    <w:rsid w:val="0006409A"/>
    <w:rsid w:val="000640B4"/>
    <w:rsid w:val="000641EE"/>
    <w:rsid w:val="000642B6"/>
    <w:rsid w:val="00064338"/>
    <w:rsid w:val="0006441D"/>
    <w:rsid w:val="00064493"/>
    <w:rsid w:val="00064548"/>
    <w:rsid w:val="0006456A"/>
    <w:rsid w:val="000646CC"/>
    <w:rsid w:val="00064779"/>
    <w:rsid w:val="0006499B"/>
    <w:rsid w:val="000649E7"/>
    <w:rsid w:val="00064A83"/>
    <w:rsid w:val="00064A85"/>
    <w:rsid w:val="00064A9E"/>
    <w:rsid w:val="00064B3B"/>
    <w:rsid w:val="00064B42"/>
    <w:rsid w:val="00064B58"/>
    <w:rsid w:val="00064C78"/>
    <w:rsid w:val="00064ED7"/>
    <w:rsid w:val="00064FCF"/>
    <w:rsid w:val="0006509A"/>
    <w:rsid w:val="00065113"/>
    <w:rsid w:val="00065115"/>
    <w:rsid w:val="00065169"/>
    <w:rsid w:val="000652F9"/>
    <w:rsid w:val="0006536E"/>
    <w:rsid w:val="00065467"/>
    <w:rsid w:val="000655EA"/>
    <w:rsid w:val="0006563A"/>
    <w:rsid w:val="00065667"/>
    <w:rsid w:val="00065837"/>
    <w:rsid w:val="0006596D"/>
    <w:rsid w:val="00065BF7"/>
    <w:rsid w:val="00065C58"/>
    <w:rsid w:val="00065C5B"/>
    <w:rsid w:val="00065F3F"/>
    <w:rsid w:val="00065F46"/>
    <w:rsid w:val="00065F54"/>
    <w:rsid w:val="00065FC5"/>
    <w:rsid w:val="00066095"/>
    <w:rsid w:val="00066169"/>
    <w:rsid w:val="00066195"/>
    <w:rsid w:val="00066311"/>
    <w:rsid w:val="000663CF"/>
    <w:rsid w:val="00066433"/>
    <w:rsid w:val="000664CF"/>
    <w:rsid w:val="000665BA"/>
    <w:rsid w:val="000665CF"/>
    <w:rsid w:val="000665E8"/>
    <w:rsid w:val="000666F2"/>
    <w:rsid w:val="000667E7"/>
    <w:rsid w:val="000669C8"/>
    <w:rsid w:val="000669D5"/>
    <w:rsid w:val="00066A17"/>
    <w:rsid w:val="00066A71"/>
    <w:rsid w:val="00066B83"/>
    <w:rsid w:val="00066C94"/>
    <w:rsid w:val="00066CCB"/>
    <w:rsid w:val="00066DF3"/>
    <w:rsid w:val="00066DF8"/>
    <w:rsid w:val="00066E2D"/>
    <w:rsid w:val="00066E3E"/>
    <w:rsid w:val="00066EDC"/>
    <w:rsid w:val="00066FFD"/>
    <w:rsid w:val="000671CE"/>
    <w:rsid w:val="000674B4"/>
    <w:rsid w:val="00067514"/>
    <w:rsid w:val="00067534"/>
    <w:rsid w:val="000676F3"/>
    <w:rsid w:val="00067784"/>
    <w:rsid w:val="000679CD"/>
    <w:rsid w:val="00067AF5"/>
    <w:rsid w:val="00067B4C"/>
    <w:rsid w:val="00067C47"/>
    <w:rsid w:val="00067CF3"/>
    <w:rsid w:val="00067DCC"/>
    <w:rsid w:val="000700BE"/>
    <w:rsid w:val="00070334"/>
    <w:rsid w:val="00070372"/>
    <w:rsid w:val="000703FF"/>
    <w:rsid w:val="000705A6"/>
    <w:rsid w:val="00070625"/>
    <w:rsid w:val="00070775"/>
    <w:rsid w:val="0007077A"/>
    <w:rsid w:val="0007079E"/>
    <w:rsid w:val="00070AE3"/>
    <w:rsid w:val="00070BF8"/>
    <w:rsid w:val="00070C76"/>
    <w:rsid w:val="00070E63"/>
    <w:rsid w:val="00070E9D"/>
    <w:rsid w:val="00070F20"/>
    <w:rsid w:val="00070FD3"/>
    <w:rsid w:val="0007108E"/>
    <w:rsid w:val="000711C9"/>
    <w:rsid w:val="0007125D"/>
    <w:rsid w:val="000712AC"/>
    <w:rsid w:val="00071362"/>
    <w:rsid w:val="00071396"/>
    <w:rsid w:val="000713D4"/>
    <w:rsid w:val="0007143D"/>
    <w:rsid w:val="00071997"/>
    <w:rsid w:val="000719B3"/>
    <w:rsid w:val="00071AA5"/>
    <w:rsid w:val="00071BAF"/>
    <w:rsid w:val="00071DC0"/>
    <w:rsid w:val="00071F94"/>
    <w:rsid w:val="00072082"/>
    <w:rsid w:val="000720D1"/>
    <w:rsid w:val="0007223C"/>
    <w:rsid w:val="000722F4"/>
    <w:rsid w:val="0007259D"/>
    <w:rsid w:val="000725AE"/>
    <w:rsid w:val="00072605"/>
    <w:rsid w:val="00072622"/>
    <w:rsid w:val="000727D3"/>
    <w:rsid w:val="000727FB"/>
    <w:rsid w:val="000728A5"/>
    <w:rsid w:val="000729E2"/>
    <w:rsid w:val="00072A66"/>
    <w:rsid w:val="00072A6D"/>
    <w:rsid w:val="00072A7D"/>
    <w:rsid w:val="00072AC0"/>
    <w:rsid w:val="00072AD5"/>
    <w:rsid w:val="00072DF3"/>
    <w:rsid w:val="00072EA3"/>
    <w:rsid w:val="0007315E"/>
    <w:rsid w:val="00073174"/>
    <w:rsid w:val="00073217"/>
    <w:rsid w:val="00073219"/>
    <w:rsid w:val="000732C4"/>
    <w:rsid w:val="000732FA"/>
    <w:rsid w:val="00073316"/>
    <w:rsid w:val="0007359D"/>
    <w:rsid w:val="000735BC"/>
    <w:rsid w:val="0007363A"/>
    <w:rsid w:val="00073643"/>
    <w:rsid w:val="00073756"/>
    <w:rsid w:val="000737C4"/>
    <w:rsid w:val="000738E2"/>
    <w:rsid w:val="00073A21"/>
    <w:rsid w:val="00073AFD"/>
    <w:rsid w:val="00073B17"/>
    <w:rsid w:val="00073B9C"/>
    <w:rsid w:val="00073CA4"/>
    <w:rsid w:val="00073DD9"/>
    <w:rsid w:val="00073DDD"/>
    <w:rsid w:val="00073EDE"/>
    <w:rsid w:val="00073F18"/>
    <w:rsid w:val="00073F9A"/>
    <w:rsid w:val="00073FD3"/>
    <w:rsid w:val="00074278"/>
    <w:rsid w:val="0007439C"/>
    <w:rsid w:val="0007473F"/>
    <w:rsid w:val="00074A3A"/>
    <w:rsid w:val="00074AE4"/>
    <w:rsid w:val="00074AFB"/>
    <w:rsid w:val="00074C35"/>
    <w:rsid w:val="00074CC0"/>
    <w:rsid w:val="00074CF8"/>
    <w:rsid w:val="00074E80"/>
    <w:rsid w:val="000750C0"/>
    <w:rsid w:val="00075135"/>
    <w:rsid w:val="00075235"/>
    <w:rsid w:val="0007535D"/>
    <w:rsid w:val="000753D4"/>
    <w:rsid w:val="000753EF"/>
    <w:rsid w:val="00075441"/>
    <w:rsid w:val="00075623"/>
    <w:rsid w:val="00075693"/>
    <w:rsid w:val="000756D1"/>
    <w:rsid w:val="0007586D"/>
    <w:rsid w:val="000759BD"/>
    <w:rsid w:val="00075A59"/>
    <w:rsid w:val="00075A91"/>
    <w:rsid w:val="00075B97"/>
    <w:rsid w:val="00075C46"/>
    <w:rsid w:val="00075C84"/>
    <w:rsid w:val="00075F79"/>
    <w:rsid w:val="00076044"/>
    <w:rsid w:val="00076076"/>
    <w:rsid w:val="000760E1"/>
    <w:rsid w:val="0007617B"/>
    <w:rsid w:val="0007619D"/>
    <w:rsid w:val="000762E8"/>
    <w:rsid w:val="00076374"/>
    <w:rsid w:val="0007637F"/>
    <w:rsid w:val="000764C9"/>
    <w:rsid w:val="00076511"/>
    <w:rsid w:val="000765B4"/>
    <w:rsid w:val="0007661C"/>
    <w:rsid w:val="00076717"/>
    <w:rsid w:val="00076756"/>
    <w:rsid w:val="00076765"/>
    <w:rsid w:val="00076769"/>
    <w:rsid w:val="000767EF"/>
    <w:rsid w:val="0007687D"/>
    <w:rsid w:val="000768A4"/>
    <w:rsid w:val="000768C6"/>
    <w:rsid w:val="00076915"/>
    <w:rsid w:val="000769B6"/>
    <w:rsid w:val="00076AB7"/>
    <w:rsid w:val="00076B32"/>
    <w:rsid w:val="00076D00"/>
    <w:rsid w:val="00076D1F"/>
    <w:rsid w:val="00076DAF"/>
    <w:rsid w:val="00076E83"/>
    <w:rsid w:val="00076EEF"/>
    <w:rsid w:val="00076F22"/>
    <w:rsid w:val="0007705F"/>
    <w:rsid w:val="0007707E"/>
    <w:rsid w:val="00077101"/>
    <w:rsid w:val="0007715D"/>
    <w:rsid w:val="00077321"/>
    <w:rsid w:val="00077356"/>
    <w:rsid w:val="000773F6"/>
    <w:rsid w:val="0007744E"/>
    <w:rsid w:val="00077489"/>
    <w:rsid w:val="000774F6"/>
    <w:rsid w:val="000775BB"/>
    <w:rsid w:val="00077696"/>
    <w:rsid w:val="0007781C"/>
    <w:rsid w:val="000779D7"/>
    <w:rsid w:val="00077AFF"/>
    <w:rsid w:val="00077B59"/>
    <w:rsid w:val="00077B6D"/>
    <w:rsid w:val="00077D69"/>
    <w:rsid w:val="00077DBC"/>
    <w:rsid w:val="00077E48"/>
    <w:rsid w:val="0008029E"/>
    <w:rsid w:val="0008046A"/>
    <w:rsid w:val="0008054A"/>
    <w:rsid w:val="0008061E"/>
    <w:rsid w:val="000806A6"/>
    <w:rsid w:val="00080BE1"/>
    <w:rsid w:val="00080FF9"/>
    <w:rsid w:val="00081105"/>
    <w:rsid w:val="00081249"/>
    <w:rsid w:val="0008131F"/>
    <w:rsid w:val="0008133D"/>
    <w:rsid w:val="000813BB"/>
    <w:rsid w:val="000813CF"/>
    <w:rsid w:val="0008144B"/>
    <w:rsid w:val="0008158D"/>
    <w:rsid w:val="000815B3"/>
    <w:rsid w:val="000815C7"/>
    <w:rsid w:val="000815E2"/>
    <w:rsid w:val="000816CB"/>
    <w:rsid w:val="000816F0"/>
    <w:rsid w:val="00081712"/>
    <w:rsid w:val="0008182B"/>
    <w:rsid w:val="0008185C"/>
    <w:rsid w:val="000818A8"/>
    <w:rsid w:val="00081B8C"/>
    <w:rsid w:val="00081CC2"/>
    <w:rsid w:val="00081D7B"/>
    <w:rsid w:val="00081E97"/>
    <w:rsid w:val="0008209F"/>
    <w:rsid w:val="00082369"/>
    <w:rsid w:val="00082384"/>
    <w:rsid w:val="000823D0"/>
    <w:rsid w:val="00082426"/>
    <w:rsid w:val="00082471"/>
    <w:rsid w:val="000824D9"/>
    <w:rsid w:val="000825C6"/>
    <w:rsid w:val="00082675"/>
    <w:rsid w:val="0008267C"/>
    <w:rsid w:val="00082707"/>
    <w:rsid w:val="00082B31"/>
    <w:rsid w:val="00082BC6"/>
    <w:rsid w:val="00082C82"/>
    <w:rsid w:val="00082F82"/>
    <w:rsid w:val="000830F4"/>
    <w:rsid w:val="00083141"/>
    <w:rsid w:val="00083252"/>
    <w:rsid w:val="00083380"/>
    <w:rsid w:val="000834C8"/>
    <w:rsid w:val="000834D1"/>
    <w:rsid w:val="000835AD"/>
    <w:rsid w:val="000837B3"/>
    <w:rsid w:val="0008388A"/>
    <w:rsid w:val="00083948"/>
    <w:rsid w:val="00083949"/>
    <w:rsid w:val="000839AB"/>
    <w:rsid w:val="00083BEE"/>
    <w:rsid w:val="00083C5C"/>
    <w:rsid w:val="00083CD2"/>
    <w:rsid w:val="00083D63"/>
    <w:rsid w:val="00083D6C"/>
    <w:rsid w:val="00083FEB"/>
    <w:rsid w:val="00084100"/>
    <w:rsid w:val="00084324"/>
    <w:rsid w:val="000843A5"/>
    <w:rsid w:val="000845EB"/>
    <w:rsid w:val="00084652"/>
    <w:rsid w:val="000847BD"/>
    <w:rsid w:val="000847CB"/>
    <w:rsid w:val="00084896"/>
    <w:rsid w:val="000848E5"/>
    <w:rsid w:val="0008498F"/>
    <w:rsid w:val="00084B89"/>
    <w:rsid w:val="00084B98"/>
    <w:rsid w:val="00084C99"/>
    <w:rsid w:val="00084EC3"/>
    <w:rsid w:val="00084EF3"/>
    <w:rsid w:val="00084F29"/>
    <w:rsid w:val="000850EA"/>
    <w:rsid w:val="0008519C"/>
    <w:rsid w:val="000851AE"/>
    <w:rsid w:val="000851EB"/>
    <w:rsid w:val="00085281"/>
    <w:rsid w:val="00085334"/>
    <w:rsid w:val="000853B9"/>
    <w:rsid w:val="000854DE"/>
    <w:rsid w:val="0008555A"/>
    <w:rsid w:val="00085614"/>
    <w:rsid w:val="00085772"/>
    <w:rsid w:val="0008579A"/>
    <w:rsid w:val="000858C8"/>
    <w:rsid w:val="000859E5"/>
    <w:rsid w:val="000859F0"/>
    <w:rsid w:val="00085B5C"/>
    <w:rsid w:val="00085B6C"/>
    <w:rsid w:val="00085C5C"/>
    <w:rsid w:val="00085C97"/>
    <w:rsid w:val="00085D3C"/>
    <w:rsid w:val="00085D5F"/>
    <w:rsid w:val="00085DCC"/>
    <w:rsid w:val="00085F6A"/>
    <w:rsid w:val="00086148"/>
    <w:rsid w:val="0008640B"/>
    <w:rsid w:val="000866DB"/>
    <w:rsid w:val="000866E4"/>
    <w:rsid w:val="0008673E"/>
    <w:rsid w:val="00086772"/>
    <w:rsid w:val="00086776"/>
    <w:rsid w:val="00086960"/>
    <w:rsid w:val="000869B5"/>
    <w:rsid w:val="00086AB3"/>
    <w:rsid w:val="00086B85"/>
    <w:rsid w:val="00086C79"/>
    <w:rsid w:val="00086C81"/>
    <w:rsid w:val="00086CEE"/>
    <w:rsid w:val="00086E08"/>
    <w:rsid w:val="00086F18"/>
    <w:rsid w:val="0008705D"/>
    <w:rsid w:val="000870C1"/>
    <w:rsid w:val="000870C7"/>
    <w:rsid w:val="000870CE"/>
    <w:rsid w:val="00087295"/>
    <w:rsid w:val="00087485"/>
    <w:rsid w:val="000874FF"/>
    <w:rsid w:val="000876B0"/>
    <w:rsid w:val="000876FB"/>
    <w:rsid w:val="00087721"/>
    <w:rsid w:val="0008785A"/>
    <w:rsid w:val="00087906"/>
    <w:rsid w:val="00087A2E"/>
    <w:rsid w:val="00087B2E"/>
    <w:rsid w:val="00087C15"/>
    <w:rsid w:val="00087C40"/>
    <w:rsid w:val="00087DAD"/>
    <w:rsid w:val="00087ED5"/>
    <w:rsid w:val="00087FA2"/>
    <w:rsid w:val="00087FB8"/>
    <w:rsid w:val="00090013"/>
    <w:rsid w:val="00090043"/>
    <w:rsid w:val="000901A3"/>
    <w:rsid w:val="0009021A"/>
    <w:rsid w:val="0009030E"/>
    <w:rsid w:val="0009031A"/>
    <w:rsid w:val="00090447"/>
    <w:rsid w:val="0009071D"/>
    <w:rsid w:val="000907CF"/>
    <w:rsid w:val="00090803"/>
    <w:rsid w:val="00090906"/>
    <w:rsid w:val="000909F4"/>
    <w:rsid w:val="00090D19"/>
    <w:rsid w:val="00090EB4"/>
    <w:rsid w:val="00090F1E"/>
    <w:rsid w:val="00090F86"/>
    <w:rsid w:val="00090FE2"/>
    <w:rsid w:val="0009120A"/>
    <w:rsid w:val="00091229"/>
    <w:rsid w:val="00091237"/>
    <w:rsid w:val="0009124E"/>
    <w:rsid w:val="0009128D"/>
    <w:rsid w:val="000912AE"/>
    <w:rsid w:val="00091311"/>
    <w:rsid w:val="000913D4"/>
    <w:rsid w:val="000915B6"/>
    <w:rsid w:val="000915F9"/>
    <w:rsid w:val="000915FD"/>
    <w:rsid w:val="000916B7"/>
    <w:rsid w:val="00091760"/>
    <w:rsid w:val="00091769"/>
    <w:rsid w:val="00091826"/>
    <w:rsid w:val="000918EB"/>
    <w:rsid w:val="00091B7F"/>
    <w:rsid w:val="00091C18"/>
    <w:rsid w:val="00091C81"/>
    <w:rsid w:val="00091CA1"/>
    <w:rsid w:val="00091D0C"/>
    <w:rsid w:val="00091D14"/>
    <w:rsid w:val="00092086"/>
    <w:rsid w:val="00092253"/>
    <w:rsid w:val="000922A6"/>
    <w:rsid w:val="00092465"/>
    <w:rsid w:val="0009248E"/>
    <w:rsid w:val="000925BE"/>
    <w:rsid w:val="00092629"/>
    <w:rsid w:val="00092652"/>
    <w:rsid w:val="00092747"/>
    <w:rsid w:val="00092762"/>
    <w:rsid w:val="000927BE"/>
    <w:rsid w:val="0009286A"/>
    <w:rsid w:val="00092886"/>
    <w:rsid w:val="00092916"/>
    <w:rsid w:val="00092A21"/>
    <w:rsid w:val="00092ADF"/>
    <w:rsid w:val="00092B30"/>
    <w:rsid w:val="00092D2A"/>
    <w:rsid w:val="00092EB3"/>
    <w:rsid w:val="00092EFF"/>
    <w:rsid w:val="00092FD3"/>
    <w:rsid w:val="000930F1"/>
    <w:rsid w:val="00093104"/>
    <w:rsid w:val="0009311A"/>
    <w:rsid w:val="00093127"/>
    <w:rsid w:val="00093198"/>
    <w:rsid w:val="000931E2"/>
    <w:rsid w:val="000933A5"/>
    <w:rsid w:val="0009367A"/>
    <w:rsid w:val="000936A0"/>
    <w:rsid w:val="000939BA"/>
    <w:rsid w:val="00093A3D"/>
    <w:rsid w:val="00093AC0"/>
    <w:rsid w:val="00093B77"/>
    <w:rsid w:val="00093B95"/>
    <w:rsid w:val="00093C4C"/>
    <w:rsid w:val="00093CBD"/>
    <w:rsid w:val="00093EAF"/>
    <w:rsid w:val="00093F5C"/>
    <w:rsid w:val="00093FE2"/>
    <w:rsid w:val="00093FF2"/>
    <w:rsid w:val="0009435C"/>
    <w:rsid w:val="0009451B"/>
    <w:rsid w:val="0009462F"/>
    <w:rsid w:val="000946D1"/>
    <w:rsid w:val="0009475B"/>
    <w:rsid w:val="00094785"/>
    <w:rsid w:val="000947C2"/>
    <w:rsid w:val="0009489C"/>
    <w:rsid w:val="000948D5"/>
    <w:rsid w:val="00094933"/>
    <w:rsid w:val="00094983"/>
    <w:rsid w:val="000949DB"/>
    <w:rsid w:val="00094A6A"/>
    <w:rsid w:val="00094CF6"/>
    <w:rsid w:val="00094E87"/>
    <w:rsid w:val="00094F51"/>
    <w:rsid w:val="00094FAF"/>
    <w:rsid w:val="00095039"/>
    <w:rsid w:val="000950A5"/>
    <w:rsid w:val="000951B5"/>
    <w:rsid w:val="000952C4"/>
    <w:rsid w:val="000954B1"/>
    <w:rsid w:val="000954B2"/>
    <w:rsid w:val="0009572B"/>
    <w:rsid w:val="00095839"/>
    <w:rsid w:val="00095992"/>
    <w:rsid w:val="00095B1A"/>
    <w:rsid w:val="00095C3D"/>
    <w:rsid w:val="00095C71"/>
    <w:rsid w:val="00095CF4"/>
    <w:rsid w:val="00095D62"/>
    <w:rsid w:val="00095DC7"/>
    <w:rsid w:val="00095EDC"/>
    <w:rsid w:val="00095EDD"/>
    <w:rsid w:val="00095F2F"/>
    <w:rsid w:val="00095F6D"/>
    <w:rsid w:val="00095FD5"/>
    <w:rsid w:val="00096117"/>
    <w:rsid w:val="00096484"/>
    <w:rsid w:val="000964FD"/>
    <w:rsid w:val="00096528"/>
    <w:rsid w:val="00096650"/>
    <w:rsid w:val="000966F8"/>
    <w:rsid w:val="00096829"/>
    <w:rsid w:val="00096944"/>
    <w:rsid w:val="00096C0D"/>
    <w:rsid w:val="00096C10"/>
    <w:rsid w:val="00096E06"/>
    <w:rsid w:val="00096E37"/>
    <w:rsid w:val="00096EF3"/>
    <w:rsid w:val="00096F02"/>
    <w:rsid w:val="00097246"/>
    <w:rsid w:val="00097365"/>
    <w:rsid w:val="00097456"/>
    <w:rsid w:val="0009761D"/>
    <w:rsid w:val="0009764E"/>
    <w:rsid w:val="000976A6"/>
    <w:rsid w:val="000976B9"/>
    <w:rsid w:val="0009770C"/>
    <w:rsid w:val="0009774E"/>
    <w:rsid w:val="000977B1"/>
    <w:rsid w:val="000979B4"/>
    <w:rsid w:val="00097CD6"/>
    <w:rsid w:val="00097E2E"/>
    <w:rsid w:val="00097EF9"/>
    <w:rsid w:val="00097F97"/>
    <w:rsid w:val="000A01AC"/>
    <w:rsid w:val="000A01CC"/>
    <w:rsid w:val="000A0219"/>
    <w:rsid w:val="000A0244"/>
    <w:rsid w:val="000A0305"/>
    <w:rsid w:val="000A052B"/>
    <w:rsid w:val="000A06BD"/>
    <w:rsid w:val="000A0761"/>
    <w:rsid w:val="000A07FC"/>
    <w:rsid w:val="000A0824"/>
    <w:rsid w:val="000A08E6"/>
    <w:rsid w:val="000A08F2"/>
    <w:rsid w:val="000A0928"/>
    <w:rsid w:val="000A0943"/>
    <w:rsid w:val="000A0A68"/>
    <w:rsid w:val="000A0B2B"/>
    <w:rsid w:val="000A0B89"/>
    <w:rsid w:val="000A0C1C"/>
    <w:rsid w:val="000A0CFF"/>
    <w:rsid w:val="000A0F3B"/>
    <w:rsid w:val="000A0F68"/>
    <w:rsid w:val="000A0F84"/>
    <w:rsid w:val="000A1032"/>
    <w:rsid w:val="000A114D"/>
    <w:rsid w:val="000A12EE"/>
    <w:rsid w:val="000A1338"/>
    <w:rsid w:val="000A1493"/>
    <w:rsid w:val="000A1589"/>
    <w:rsid w:val="000A164F"/>
    <w:rsid w:val="000A1711"/>
    <w:rsid w:val="000A1717"/>
    <w:rsid w:val="000A171F"/>
    <w:rsid w:val="000A17A3"/>
    <w:rsid w:val="000A17C4"/>
    <w:rsid w:val="000A17ED"/>
    <w:rsid w:val="000A188F"/>
    <w:rsid w:val="000A19FD"/>
    <w:rsid w:val="000A1BC5"/>
    <w:rsid w:val="000A1BF1"/>
    <w:rsid w:val="000A1C70"/>
    <w:rsid w:val="000A1C8F"/>
    <w:rsid w:val="000A1CF1"/>
    <w:rsid w:val="000A1E20"/>
    <w:rsid w:val="000A1EB4"/>
    <w:rsid w:val="000A1F2C"/>
    <w:rsid w:val="000A1F52"/>
    <w:rsid w:val="000A2463"/>
    <w:rsid w:val="000A2579"/>
    <w:rsid w:val="000A2605"/>
    <w:rsid w:val="000A26C0"/>
    <w:rsid w:val="000A272A"/>
    <w:rsid w:val="000A276B"/>
    <w:rsid w:val="000A278F"/>
    <w:rsid w:val="000A283F"/>
    <w:rsid w:val="000A2872"/>
    <w:rsid w:val="000A28C5"/>
    <w:rsid w:val="000A2964"/>
    <w:rsid w:val="000A29AB"/>
    <w:rsid w:val="000A2A16"/>
    <w:rsid w:val="000A2D40"/>
    <w:rsid w:val="000A347C"/>
    <w:rsid w:val="000A34AB"/>
    <w:rsid w:val="000A3702"/>
    <w:rsid w:val="000A3818"/>
    <w:rsid w:val="000A3860"/>
    <w:rsid w:val="000A3C98"/>
    <w:rsid w:val="000A3DB9"/>
    <w:rsid w:val="000A3DC4"/>
    <w:rsid w:val="000A3E2F"/>
    <w:rsid w:val="000A3EC4"/>
    <w:rsid w:val="000A3ECF"/>
    <w:rsid w:val="000A3F6C"/>
    <w:rsid w:val="000A40B7"/>
    <w:rsid w:val="000A41A8"/>
    <w:rsid w:val="000A4229"/>
    <w:rsid w:val="000A4293"/>
    <w:rsid w:val="000A4312"/>
    <w:rsid w:val="000A4323"/>
    <w:rsid w:val="000A43B6"/>
    <w:rsid w:val="000A44CD"/>
    <w:rsid w:val="000A458D"/>
    <w:rsid w:val="000A4675"/>
    <w:rsid w:val="000A4712"/>
    <w:rsid w:val="000A474B"/>
    <w:rsid w:val="000A4760"/>
    <w:rsid w:val="000A47D2"/>
    <w:rsid w:val="000A47D6"/>
    <w:rsid w:val="000A481A"/>
    <w:rsid w:val="000A4A07"/>
    <w:rsid w:val="000A4B2F"/>
    <w:rsid w:val="000A4BFC"/>
    <w:rsid w:val="000A4D0A"/>
    <w:rsid w:val="000A4D3A"/>
    <w:rsid w:val="000A4D49"/>
    <w:rsid w:val="000A4FBF"/>
    <w:rsid w:val="000A50A4"/>
    <w:rsid w:val="000A5118"/>
    <w:rsid w:val="000A5176"/>
    <w:rsid w:val="000A539C"/>
    <w:rsid w:val="000A5475"/>
    <w:rsid w:val="000A54AB"/>
    <w:rsid w:val="000A5521"/>
    <w:rsid w:val="000A5602"/>
    <w:rsid w:val="000A578C"/>
    <w:rsid w:val="000A5809"/>
    <w:rsid w:val="000A58FD"/>
    <w:rsid w:val="000A5D3F"/>
    <w:rsid w:val="000A5E92"/>
    <w:rsid w:val="000A614D"/>
    <w:rsid w:val="000A6153"/>
    <w:rsid w:val="000A6216"/>
    <w:rsid w:val="000A62E4"/>
    <w:rsid w:val="000A6404"/>
    <w:rsid w:val="000A6427"/>
    <w:rsid w:val="000A65B6"/>
    <w:rsid w:val="000A6654"/>
    <w:rsid w:val="000A66ED"/>
    <w:rsid w:val="000A6760"/>
    <w:rsid w:val="000A6783"/>
    <w:rsid w:val="000A686E"/>
    <w:rsid w:val="000A689C"/>
    <w:rsid w:val="000A6928"/>
    <w:rsid w:val="000A6B6A"/>
    <w:rsid w:val="000A6C33"/>
    <w:rsid w:val="000A6D28"/>
    <w:rsid w:val="000A6DC7"/>
    <w:rsid w:val="000A6E1C"/>
    <w:rsid w:val="000A6F3B"/>
    <w:rsid w:val="000A6F4E"/>
    <w:rsid w:val="000A6FB7"/>
    <w:rsid w:val="000A70C6"/>
    <w:rsid w:val="000A7134"/>
    <w:rsid w:val="000A73BA"/>
    <w:rsid w:val="000A73C4"/>
    <w:rsid w:val="000A73D4"/>
    <w:rsid w:val="000A74CF"/>
    <w:rsid w:val="000A7577"/>
    <w:rsid w:val="000A7600"/>
    <w:rsid w:val="000A78FA"/>
    <w:rsid w:val="000A797B"/>
    <w:rsid w:val="000A79B8"/>
    <w:rsid w:val="000A7AFF"/>
    <w:rsid w:val="000A7CDE"/>
    <w:rsid w:val="000A7DA4"/>
    <w:rsid w:val="000A7E94"/>
    <w:rsid w:val="000A7F4D"/>
    <w:rsid w:val="000A7F59"/>
    <w:rsid w:val="000A7F9A"/>
    <w:rsid w:val="000B0262"/>
    <w:rsid w:val="000B0326"/>
    <w:rsid w:val="000B0392"/>
    <w:rsid w:val="000B0582"/>
    <w:rsid w:val="000B064F"/>
    <w:rsid w:val="000B0676"/>
    <w:rsid w:val="000B069B"/>
    <w:rsid w:val="000B06D6"/>
    <w:rsid w:val="000B0924"/>
    <w:rsid w:val="000B092F"/>
    <w:rsid w:val="000B0987"/>
    <w:rsid w:val="000B0992"/>
    <w:rsid w:val="000B0B96"/>
    <w:rsid w:val="000B0CA2"/>
    <w:rsid w:val="000B0D39"/>
    <w:rsid w:val="000B0F18"/>
    <w:rsid w:val="000B1054"/>
    <w:rsid w:val="000B112F"/>
    <w:rsid w:val="000B123F"/>
    <w:rsid w:val="000B1336"/>
    <w:rsid w:val="000B13EE"/>
    <w:rsid w:val="000B14F8"/>
    <w:rsid w:val="000B157A"/>
    <w:rsid w:val="000B1724"/>
    <w:rsid w:val="000B17B1"/>
    <w:rsid w:val="000B17E7"/>
    <w:rsid w:val="000B1E6B"/>
    <w:rsid w:val="000B1EAE"/>
    <w:rsid w:val="000B2100"/>
    <w:rsid w:val="000B21E5"/>
    <w:rsid w:val="000B2217"/>
    <w:rsid w:val="000B22E3"/>
    <w:rsid w:val="000B23D9"/>
    <w:rsid w:val="000B248C"/>
    <w:rsid w:val="000B25AA"/>
    <w:rsid w:val="000B2628"/>
    <w:rsid w:val="000B288C"/>
    <w:rsid w:val="000B2A6A"/>
    <w:rsid w:val="000B2D50"/>
    <w:rsid w:val="000B2D5F"/>
    <w:rsid w:val="000B2E79"/>
    <w:rsid w:val="000B2E9A"/>
    <w:rsid w:val="000B2FC2"/>
    <w:rsid w:val="000B305A"/>
    <w:rsid w:val="000B306A"/>
    <w:rsid w:val="000B3084"/>
    <w:rsid w:val="000B3185"/>
    <w:rsid w:val="000B3269"/>
    <w:rsid w:val="000B3400"/>
    <w:rsid w:val="000B351E"/>
    <w:rsid w:val="000B3594"/>
    <w:rsid w:val="000B35F0"/>
    <w:rsid w:val="000B3685"/>
    <w:rsid w:val="000B36BE"/>
    <w:rsid w:val="000B36C3"/>
    <w:rsid w:val="000B3783"/>
    <w:rsid w:val="000B3830"/>
    <w:rsid w:val="000B391F"/>
    <w:rsid w:val="000B394E"/>
    <w:rsid w:val="000B394F"/>
    <w:rsid w:val="000B3A2F"/>
    <w:rsid w:val="000B3ACD"/>
    <w:rsid w:val="000B3BCA"/>
    <w:rsid w:val="000B3CA7"/>
    <w:rsid w:val="000B3F18"/>
    <w:rsid w:val="000B40A4"/>
    <w:rsid w:val="000B41F6"/>
    <w:rsid w:val="000B423E"/>
    <w:rsid w:val="000B42FB"/>
    <w:rsid w:val="000B4474"/>
    <w:rsid w:val="000B44A9"/>
    <w:rsid w:val="000B45FF"/>
    <w:rsid w:val="000B4722"/>
    <w:rsid w:val="000B4781"/>
    <w:rsid w:val="000B4A77"/>
    <w:rsid w:val="000B4A87"/>
    <w:rsid w:val="000B4B46"/>
    <w:rsid w:val="000B4B89"/>
    <w:rsid w:val="000B5015"/>
    <w:rsid w:val="000B50FF"/>
    <w:rsid w:val="000B5341"/>
    <w:rsid w:val="000B53C2"/>
    <w:rsid w:val="000B549F"/>
    <w:rsid w:val="000B5796"/>
    <w:rsid w:val="000B594D"/>
    <w:rsid w:val="000B59C3"/>
    <w:rsid w:val="000B59EF"/>
    <w:rsid w:val="000B5A72"/>
    <w:rsid w:val="000B5C23"/>
    <w:rsid w:val="000B5E58"/>
    <w:rsid w:val="000B5F06"/>
    <w:rsid w:val="000B5FD1"/>
    <w:rsid w:val="000B6243"/>
    <w:rsid w:val="000B6292"/>
    <w:rsid w:val="000B6345"/>
    <w:rsid w:val="000B6355"/>
    <w:rsid w:val="000B63C5"/>
    <w:rsid w:val="000B6402"/>
    <w:rsid w:val="000B64C0"/>
    <w:rsid w:val="000B6541"/>
    <w:rsid w:val="000B65EA"/>
    <w:rsid w:val="000B666B"/>
    <w:rsid w:val="000B667C"/>
    <w:rsid w:val="000B6683"/>
    <w:rsid w:val="000B6A2F"/>
    <w:rsid w:val="000B6F23"/>
    <w:rsid w:val="000B6F67"/>
    <w:rsid w:val="000B6FA3"/>
    <w:rsid w:val="000B706B"/>
    <w:rsid w:val="000B7129"/>
    <w:rsid w:val="000B73D0"/>
    <w:rsid w:val="000B74C1"/>
    <w:rsid w:val="000B7542"/>
    <w:rsid w:val="000B75F0"/>
    <w:rsid w:val="000B762A"/>
    <w:rsid w:val="000B77A8"/>
    <w:rsid w:val="000B77CC"/>
    <w:rsid w:val="000B7A67"/>
    <w:rsid w:val="000B7A6D"/>
    <w:rsid w:val="000B7A82"/>
    <w:rsid w:val="000B7B8C"/>
    <w:rsid w:val="000B7C08"/>
    <w:rsid w:val="000B7D21"/>
    <w:rsid w:val="000B7D6D"/>
    <w:rsid w:val="000B7E3F"/>
    <w:rsid w:val="000B7F7E"/>
    <w:rsid w:val="000C0051"/>
    <w:rsid w:val="000C007E"/>
    <w:rsid w:val="000C00E9"/>
    <w:rsid w:val="000C03E3"/>
    <w:rsid w:val="000C04A3"/>
    <w:rsid w:val="000C04C2"/>
    <w:rsid w:val="000C0556"/>
    <w:rsid w:val="000C069A"/>
    <w:rsid w:val="000C0876"/>
    <w:rsid w:val="000C0979"/>
    <w:rsid w:val="000C0A42"/>
    <w:rsid w:val="000C0B8D"/>
    <w:rsid w:val="000C0D2F"/>
    <w:rsid w:val="000C0D63"/>
    <w:rsid w:val="000C0E16"/>
    <w:rsid w:val="000C0F15"/>
    <w:rsid w:val="000C1022"/>
    <w:rsid w:val="000C114C"/>
    <w:rsid w:val="000C114F"/>
    <w:rsid w:val="000C1199"/>
    <w:rsid w:val="000C13E7"/>
    <w:rsid w:val="000C140A"/>
    <w:rsid w:val="000C145F"/>
    <w:rsid w:val="000C153E"/>
    <w:rsid w:val="000C1761"/>
    <w:rsid w:val="000C1783"/>
    <w:rsid w:val="000C18BA"/>
    <w:rsid w:val="000C19F3"/>
    <w:rsid w:val="000C1B8B"/>
    <w:rsid w:val="000C1F83"/>
    <w:rsid w:val="000C1FB0"/>
    <w:rsid w:val="000C2151"/>
    <w:rsid w:val="000C21D5"/>
    <w:rsid w:val="000C2509"/>
    <w:rsid w:val="000C2538"/>
    <w:rsid w:val="000C268B"/>
    <w:rsid w:val="000C2736"/>
    <w:rsid w:val="000C277E"/>
    <w:rsid w:val="000C2790"/>
    <w:rsid w:val="000C27D2"/>
    <w:rsid w:val="000C2923"/>
    <w:rsid w:val="000C293E"/>
    <w:rsid w:val="000C2986"/>
    <w:rsid w:val="000C29DB"/>
    <w:rsid w:val="000C2A03"/>
    <w:rsid w:val="000C2B0C"/>
    <w:rsid w:val="000C2C27"/>
    <w:rsid w:val="000C2C4B"/>
    <w:rsid w:val="000C2D9A"/>
    <w:rsid w:val="000C2E00"/>
    <w:rsid w:val="000C2ED5"/>
    <w:rsid w:val="000C3247"/>
    <w:rsid w:val="000C32EB"/>
    <w:rsid w:val="000C32FF"/>
    <w:rsid w:val="000C3477"/>
    <w:rsid w:val="000C3493"/>
    <w:rsid w:val="000C3696"/>
    <w:rsid w:val="000C379B"/>
    <w:rsid w:val="000C3843"/>
    <w:rsid w:val="000C395C"/>
    <w:rsid w:val="000C3C34"/>
    <w:rsid w:val="000C3CF6"/>
    <w:rsid w:val="000C3DFB"/>
    <w:rsid w:val="000C3F4D"/>
    <w:rsid w:val="000C4050"/>
    <w:rsid w:val="000C40A1"/>
    <w:rsid w:val="000C4273"/>
    <w:rsid w:val="000C4277"/>
    <w:rsid w:val="000C42BF"/>
    <w:rsid w:val="000C4525"/>
    <w:rsid w:val="000C45CE"/>
    <w:rsid w:val="000C4658"/>
    <w:rsid w:val="000C46BA"/>
    <w:rsid w:val="000C470F"/>
    <w:rsid w:val="000C48B4"/>
    <w:rsid w:val="000C48CC"/>
    <w:rsid w:val="000C4A11"/>
    <w:rsid w:val="000C4B24"/>
    <w:rsid w:val="000C4CDF"/>
    <w:rsid w:val="000C4D2A"/>
    <w:rsid w:val="000C4E65"/>
    <w:rsid w:val="000C4F2E"/>
    <w:rsid w:val="000C50FE"/>
    <w:rsid w:val="000C516C"/>
    <w:rsid w:val="000C518C"/>
    <w:rsid w:val="000C5288"/>
    <w:rsid w:val="000C52CF"/>
    <w:rsid w:val="000C537D"/>
    <w:rsid w:val="000C5397"/>
    <w:rsid w:val="000C54CE"/>
    <w:rsid w:val="000C5692"/>
    <w:rsid w:val="000C56BF"/>
    <w:rsid w:val="000C5813"/>
    <w:rsid w:val="000C586D"/>
    <w:rsid w:val="000C58EE"/>
    <w:rsid w:val="000C59B6"/>
    <w:rsid w:val="000C5AEC"/>
    <w:rsid w:val="000C5B48"/>
    <w:rsid w:val="000C5C1D"/>
    <w:rsid w:val="000C5D88"/>
    <w:rsid w:val="000C5DD5"/>
    <w:rsid w:val="000C5DEE"/>
    <w:rsid w:val="000C6013"/>
    <w:rsid w:val="000C6090"/>
    <w:rsid w:val="000C62BD"/>
    <w:rsid w:val="000C6434"/>
    <w:rsid w:val="000C6556"/>
    <w:rsid w:val="000C65CC"/>
    <w:rsid w:val="000C6616"/>
    <w:rsid w:val="000C6681"/>
    <w:rsid w:val="000C67E3"/>
    <w:rsid w:val="000C69D6"/>
    <w:rsid w:val="000C6A78"/>
    <w:rsid w:val="000C6BE6"/>
    <w:rsid w:val="000C6BF9"/>
    <w:rsid w:val="000C6CFC"/>
    <w:rsid w:val="000C6E16"/>
    <w:rsid w:val="000C6E4B"/>
    <w:rsid w:val="000C7252"/>
    <w:rsid w:val="000C7791"/>
    <w:rsid w:val="000C7810"/>
    <w:rsid w:val="000C78D4"/>
    <w:rsid w:val="000C7A06"/>
    <w:rsid w:val="000C7D3F"/>
    <w:rsid w:val="000C7FF7"/>
    <w:rsid w:val="000D0047"/>
    <w:rsid w:val="000D008E"/>
    <w:rsid w:val="000D02AE"/>
    <w:rsid w:val="000D02DA"/>
    <w:rsid w:val="000D0403"/>
    <w:rsid w:val="000D0464"/>
    <w:rsid w:val="000D047C"/>
    <w:rsid w:val="000D0593"/>
    <w:rsid w:val="000D06F4"/>
    <w:rsid w:val="000D090D"/>
    <w:rsid w:val="000D0924"/>
    <w:rsid w:val="000D0A91"/>
    <w:rsid w:val="000D0AC5"/>
    <w:rsid w:val="000D0C86"/>
    <w:rsid w:val="000D0CA2"/>
    <w:rsid w:val="000D0D07"/>
    <w:rsid w:val="000D0D50"/>
    <w:rsid w:val="000D0E7A"/>
    <w:rsid w:val="000D0FFB"/>
    <w:rsid w:val="000D10BA"/>
    <w:rsid w:val="000D11AE"/>
    <w:rsid w:val="000D1570"/>
    <w:rsid w:val="000D1618"/>
    <w:rsid w:val="000D1650"/>
    <w:rsid w:val="000D16C7"/>
    <w:rsid w:val="000D1712"/>
    <w:rsid w:val="000D17D8"/>
    <w:rsid w:val="000D1834"/>
    <w:rsid w:val="000D18D5"/>
    <w:rsid w:val="000D18EE"/>
    <w:rsid w:val="000D198A"/>
    <w:rsid w:val="000D1AFB"/>
    <w:rsid w:val="000D1BC5"/>
    <w:rsid w:val="000D1C02"/>
    <w:rsid w:val="000D1D2A"/>
    <w:rsid w:val="000D1D5C"/>
    <w:rsid w:val="000D1F96"/>
    <w:rsid w:val="000D1FD6"/>
    <w:rsid w:val="000D2201"/>
    <w:rsid w:val="000D2268"/>
    <w:rsid w:val="000D2463"/>
    <w:rsid w:val="000D251D"/>
    <w:rsid w:val="000D255C"/>
    <w:rsid w:val="000D2950"/>
    <w:rsid w:val="000D2954"/>
    <w:rsid w:val="000D2A39"/>
    <w:rsid w:val="000D2A64"/>
    <w:rsid w:val="000D2A80"/>
    <w:rsid w:val="000D2AE4"/>
    <w:rsid w:val="000D2C82"/>
    <w:rsid w:val="000D2CD6"/>
    <w:rsid w:val="000D2F23"/>
    <w:rsid w:val="000D2F84"/>
    <w:rsid w:val="000D307B"/>
    <w:rsid w:val="000D30A9"/>
    <w:rsid w:val="000D3114"/>
    <w:rsid w:val="000D3405"/>
    <w:rsid w:val="000D36ED"/>
    <w:rsid w:val="000D3923"/>
    <w:rsid w:val="000D395C"/>
    <w:rsid w:val="000D39A7"/>
    <w:rsid w:val="000D39BD"/>
    <w:rsid w:val="000D3BB2"/>
    <w:rsid w:val="000D3BDC"/>
    <w:rsid w:val="000D3BFF"/>
    <w:rsid w:val="000D3C09"/>
    <w:rsid w:val="000D3CE7"/>
    <w:rsid w:val="000D3DBB"/>
    <w:rsid w:val="000D3E9A"/>
    <w:rsid w:val="000D3EB2"/>
    <w:rsid w:val="000D3EC0"/>
    <w:rsid w:val="000D3EFF"/>
    <w:rsid w:val="000D3F14"/>
    <w:rsid w:val="000D40C0"/>
    <w:rsid w:val="000D4643"/>
    <w:rsid w:val="000D468E"/>
    <w:rsid w:val="000D46C3"/>
    <w:rsid w:val="000D48B2"/>
    <w:rsid w:val="000D4A54"/>
    <w:rsid w:val="000D4A91"/>
    <w:rsid w:val="000D4B56"/>
    <w:rsid w:val="000D4B8B"/>
    <w:rsid w:val="000D4BAA"/>
    <w:rsid w:val="000D4D81"/>
    <w:rsid w:val="000D4E84"/>
    <w:rsid w:val="000D4F63"/>
    <w:rsid w:val="000D4FA4"/>
    <w:rsid w:val="000D53BB"/>
    <w:rsid w:val="000D5478"/>
    <w:rsid w:val="000D5684"/>
    <w:rsid w:val="000D5716"/>
    <w:rsid w:val="000D5854"/>
    <w:rsid w:val="000D5929"/>
    <w:rsid w:val="000D5A92"/>
    <w:rsid w:val="000D5BB1"/>
    <w:rsid w:val="000D5C0C"/>
    <w:rsid w:val="000D5C70"/>
    <w:rsid w:val="000D5CB3"/>
    <w:rsid w:val="000D5D52"/>
    <w:rsid w:val="000D5F1F"/>
    <w:rsid w:val="000D62D6"/>
    <w:rsid w:val="000D638F"/>
    <w:rsid w:val="000D63E1"/>
    <w:rsid w:val="000D64FA"/>
    <w:rsid w:val="000D6517"/>
    <w:rsid w:val="000D660C"/>
    <w:rsid w:val="000D662E"/>
    <w:rsid w:val="000D6646"/>
    <w:rsid w:val="000D6649"/>
    <w:rsid w:val="000D67DC"/>
    <w:rsid w:val="000D6B0F"/>
    <w:rsid w:val="000D6CE8"/>
    <w:rsid w:val="000D6CF1"/>
    <w:rsid w:val="000D6E21"/>
    <w:rsid w:val="000D6EE6"/>
    <w:rsid w:val="000D6F1B"/>
    <w:rsid w:val="000D702F"/>
    <w:rsid w:val="000D7174"/>
    <w:rsid w:val="000D71EB"/>
    <w:rsid w:val="000D7254"/>
    <w:rsid w:val="000D7333"/>
    <w:rsid w:val="000D73AA"/>
    <w:rsid w:val="000D7508"/>
    <w:rsid w:val="000D7664"/>
    <w:rsid w:val="000D789A"/>
    <w:rsid w:val="000D79B9"/>
    <w:rsid w:val="000D7A10"/>
    <w:rsid w:val="000D7BA6"/>
    <w:rsid w:val="000D7D61"/>
    <w:rsid w:val="000D7DD7"/>
    <w:rsid w:val="000D7DD8"/>
    <w:rsid w:val="000D7E4F"/>
    <w:rsid w:val="000D7F09"/>
    <w:rsid w:val="000D7F7C"/>
    <w:rsid w:val="000D7FC5"/>
    <w:rsid w:val="000E0090"/>
    <w:rsid w:val="000E0134"/>
    <w:rsid w:val="000E0162"/>
    <w:rsid w:val="000E02AD"/>
    <w:rsid w:val="000E0311"/>
    <w:rsid w:val="000E046B"/>
    <w:rsid w:val="000E0478"/>
    <w:rsid w:val="000E049C"/>
    <w:rsid w:val="000E04D4"/>
    <w:rsid w:val="000E0667"/>
    <w:rsid w:val="000E0708"/>
    <w:rsid w:val="000E070B"/>
    <w:rsid w:val="000E07F3"/>
    <w:rsid w:val="000E087E"/>
    <w:rsid w:val="000E090F"/>
    <w:rsid w:val="000E0964"/>
    <w:rsid w:val="000E098F"/>
    <w:rsid w:val="000E0993"/>
    <w:rsid w:val="000E09B5"/>
    <w:rsid w:val="000E0A71"/>
    <w:rsid w:val="000E0B10"/>
    <w:rsid w:val="000E0BF9"/>
    <w:rsid w:val="000E0D5D"/>
    <w:rsid w:val="000E0D75"/>
    <w:rsid w:val="000E0DD0"/>
    <w:rsid w:val="000E0E4A"/>
    <w:rsid w:val="000E0F00"/>
    <w:rsid w:val="000E0F1F"/>
    <w:rsid w:val="000E0F76"/>
    <w:rsid w:val="000E1057"/>
    <w:rsid w:val="000E1235"/>
    <w:rsid w:val="000E12A3"/>
    <w:rsid w:val="000E1363"/>
    <w:rsid w:val="000E13B4"/>
    <w:rsid w:val="000E160E"/>
    <w:rsid w:val="000E1631"/>
    <w:rsid w:val="000E16BC"/>
    <w:rsid w:val="000E16F1"/>
    <w:rsid w:val="000E1B87"/>
    <w:rsid w:val="000E1B8C"/>
    <w:rsid w:val="000E1BB0"/>
    <w:rsid w:val="000E1C5B"/>
    <w:rsid w:val="000E1C78"/>
    <w:rsid w:val="000E1FE6"/>
    <w:rsid w:val="000E207F"/>
    <w:rsid w:val="000E245B"/>
    <w:rsid w:val="000E266A"/>
    <w:rsid w:val="000E27D4"/>
    <w:rsid w:val="000E2823"/>
    <w:rsid w:val="000E28AF"/>
    <w:rsid w:val="000E2A1B"/>
    <w:rsid w:val="000E2A96"/>
    <w:rsid w:val="000E2AED"/>
    <w:rsid w:val="000E2B12"/>
    <w:rsid w:val="000E2C0E"/>
    <w:rsid w:val="000E2F58"/>
    <w:rsid w:val="000E3041"/>
    <w:rsid w:val="000E3107"/>
    <w:rsid w:val="000E32A7"/>
    <w:rsid w:val="000E32CD"/>
    <w:rsid w:val="000E32D3"/>
    <w:rsid w:val="000E3359"/>
    <w:rsid w:val="000E338A"/>
    <w:rsid w:val="000E35A1"/>
    <w:rsid w:val="000E3647"/>
    <w:rsid w:val="000E3699"/>
    <w:rsid w:val="000E3875"/>
    <w:rsid w:val="000E38E2"/>
    <w:rsid w:val="000E38E8"/>
    <w:rsid w:val="000E3904"/>
    <w:rsid w:val="000E3911"/>
    <w:rsid w:val="000E3930"/>
    <w:rsid w:val="000E3942"/>
    <w:rsid w:val="000E3965"/>
    <w:rsid w:val="000E39A2"/>
    <w:rsid w:val="000E39BF"/>
    <w:rsid w:val="000E3A9A"/>
    <w:rsid w:val="000E3AB2"/>
    <w:rsid w:val="000E3ABF"/>
    <w:rsid w:val="000E3B34"/>
    <w:rsid w:val="000E3C4D"/>
    <w:rsid w:val="000E3C52"/>
    <w:rsid w:val="000E3DBB"/>
    <w:rsid w:val="000E3E7E"/>
    <w:rsid w:val="000E3FB8"/>
    <w:rsid w:val="000E4026"/>
    <w:rsid w:val="000E404F"/>
    <w:rsid w:val="000E4141"/>
    <w:rsid w:val="000E4172"/>
    <w:rsid w:val="000E418D"/>
    <w:rsid w:val="000E41E0"/>
    <w:rsid w:val="000E4333"/>
    <w:rsid w:val="000E4345"/>
    <w:rsid w:val="000E4389"/>
    <w:rsid w:val="000E4454"/>
    <w:rsid w:val="000E4470"/>
    <w:rsid w:val="000E449D"/>
    <w:rsid w:val="000E4520"/>
    <w:rsid w:val="000E455D"/>
    <w:rsid w:val="000E45ED"/>
    <w:rsid w:val="000E4618"/>
    <w:rsid w:val="000E465F"/>
    <w:rsid w:val="000E4814"/>
    <w:rsid w:val="000E4836"/>
    <w:rsid w:val="000E4889"/>
    <w:rsid w:val="000E494B"/>
    <w:rsid w:val="000E49EE"/>
    <w:rsid w:val="000E4AB1"/>
    <w:rsid w:val="000E4B32"/>
    <w:rsid w:val="000E4C76"/>
    <w:rsid w:val="000E4DE3"/>
    <w:rsid w:val="000E502A"/>
    <w:rsid w:val="000E504F"/>
    <w:rsid w:val="000E50DE"/>
    <w:rsid w:val="000E513D"/>
    <w:rsid w:val="000E5484"/>
    <w:rsid w:val="000E54F4"/>
    <w:rsid w:val="000E551A"/>
    <w:rsid w:val="000E556C"/>
    <w:rsid w:val="000E5596"/>
    <w:rsid w:val="000E56E9"/>
    <w:rsid w:val="000E573A"/>
    <w:rsid w:val="000E5883"/>
    <w:rsid w:val="000E58EF"/>
    <w:rsid w:val="000E5B6B"/>
    <w:rsid w:val="000E5BC6"/>
    <w:rsid w:val="000E5C6E"/>
    <w:rsid w:val="000E6068"/>
    <w:rsid w:val="000E60EB"/>
    <w:rsid w:val="000E63AE"/>
    <w:rsid w:val="000E63E3"/>
    <w:rsid w:val="000E64B4"/>
    <w:rsid w:val="000E6553"/>
    <w:rsid w:val="000E65AB"/>
    <w:rsid w:val="000E6824"/>
    <w:rsid w:val="000E6881"/>
    <w:rsid w:val="000E6888"/>
    <w:rsid w:val="000E68CF"/>
    <w:rsid w:val="000E68D2"/>
    <w:rsid w:val="000E6967"/>
    <w:rsid w:val="000E6972"/>
    <w:rsid w:val="000E6980"/>
    <w:rsid w:val="000E6A19"/>
    <w:rsid w:val="000E6A2B"/>
    <w:rsid w:val="000E6A4E"/>
    <w:rsid w:val="000E6B42"/>
    <w:rsid w:val="000E6BC1"/>
    <w:rsid w:val="000E6C25"/>
    <w:rsid w:val="000E6CED"/>
    <w:rsid w:val="000E6D94"/>
    <w:rsid w:val="000E6EBC"/>
    <w:rsid w:val="000E703A"/>
    <w:rsid w:val="000E70A2"/>
    <w:rsid w:val="000E7136"/>
    <w:rsid w:val="000E713E"/>
    <w:rsid w:val="000E71D4"/>
    <w:rsid w:val="000E7370"/>
    <w:rsid w:val="000E73DD"/>
    <w:rsid w:val="000E7436"/>
    <w:rsid w:val="000E76E4"/>
    <w:rsid w:val="000E77D1"/>
    <w:rsid w:val="000E7803"/>
    <w:rsid w:val="000E7BF0"/>
    <w:rsid w:val="000E7BF9"/>
    <w:rsid w:val="000E7C1F"/>
    <w:rsid w:val="000E7CBA"/>
    <w:rsid w:val="000E7D2B"/>
    <w:rsid w:val="000E7D40"/>
    <w:rsid w:val="000E7DC2"/>
    <w:rsid w:val="000E7E1B"/>
    <w:rsid w:val="000E7EC2"/>
    <w:rsid w:val="000F003E"/>
    <w:rsid w:val="000F0288"/>
    <w:rsid w:val="000F049A"/>
    <w:rsid w:val="000F04FD"/>
    <w:rsid w:val="000F05D3"/>
    <w:rsid w:val="000F06BF"/>
    <w:rsid w:val="000F07BC"/>
    <w:rsid w:val="000F097A"/>
    <w:rsid w:val="000F0988"/>
    <w:rsid w:val="000F09B3"/>
    <w:rsid w:val="000F0CA5"/>
    <w:rsid w:val="000F0D33"/>
    <w:rsid w:val="000F0D6F"/>
    <w:rsid w:val="000F0D87"/>
    <w:rsid w:val="000F0E67"/>
    <w:rsid w:val="000F0EEB"/>
    <w:rsid w:val="000F10DD"/>
    <w:rsid w:val="000F1316"/>
    <w:rsid w:val="000F14CA"/>
    <w:rsid w:val="000F15E4"/>
    <w:rsid w:val="000F1683"/>
    <w:rsid w:val="000F1726"/>
    <w:rsid w:val="000F18A5"/>
    <w:rsid w:val="000F192C"/>
    <w:rsid w:val="000F1A7E"/>
    <w:rsid w:val="000F1B21"/>
    <w:rsid w:val="000F1B37"/>
    <w:rsid w:val="000F1F4E"/>
    <w:rsid w:val="000F1FB9"/>
    <w:rsid w:val="000F2105"/>
    <w:rsid w:val="000F2276"/>
    <w:rsid w:val="000F23C1"/>
    <w:rsid w:val="000F23DD"/>
    <w:rsid w:val="000F2400"/>
    <w:rsid w:val="000F251C"/>
    <w:rsid w:val="000F2600"/>
    <w:rsid w:val="000F260D"/>
    <w:rsid w:val="000F266C"/>
    <w:rsid w:val="000F269A"/>
    <w:rsid w:val="000F26A0"/>
    <w:rsid w:val="000F2955"/>
    <w:rsid w:val="000F29DE"/>
    <w:rsid w:val="000F2AAD"/>
    <w:rsid w:val="000F2B13"/>
    <w:rsid w:val="000F2B97"/>
    <w:rsid w:val="000F2C89"/>
    <w:rsid w:val="000F2F13"/>
    <w:rsid w:val="000F2F3D"/>
    <w:rsid w:val="000F31C4"/>
    <w:rsid w:val="000F327C"/>
    <w:rsid w:val="000F32B7"/>
    <w:rsid w:val="000F3353"/>
    <w:rsid w:val="000F33AC"/>
    <w:rsid w:val="000F3500"/>
    <w:rsid w:val="000F356C"/>
    <w:rsid w:val="000F3593"/>
    <w:rsid w:val="000F35CE"/>
    <w:rsid w:val="000F3650"/>
    <w:rsid w:val="000F36BA"/>
    <w:rsid w:val="000F37A5"/>
    <w:rsid w:val="000F37F1"/>
    <w:rsid w:val="000F3840"/>
    <w:rsid w:val="000F3843"/>
    <w:rsid w:val="000F3B82"/>
    <w:rsid w:val="000F4050"/>
    <w:rsid w:val="000F4074"/>
    <w:rsid w:val="000F4093"/>
    <w:rsid w:val="000F417B"/>
    <w:rsid w:val="000F4240"/>
    <w:rsid w:val="000F42C3"/>
    <w:rsid w:val="000F438B"/>
    <w:rsid w:val="000F43C1"/>
    <w:rsid w:val="000F43FB"/>
    <w:rsid w:val="000F455A"/>
    <w:rsid w:val="000F45BC"/>
    <w:rsid w:val="000F4650"/>
    <w:rsid w:val="000F4745"/>
    <w:rsid w:val="000F47FF"/>
    <w:rsid w:val="000F489D"/>
    <w:rsid w:val="000F4929"/>
    <w:rsid w:val="000F4953"/>
    <w:rsid w:val="000F497D"/>
    <w:rsid w:val="000F49A2"/>
    <w:rsid w:val="000F4A88"/>
    <w:rsid w:val="000F4AA9"/>
    <w:rsid w:val="000F4BC5"/>
    <w:rsid w:val="000F4D45"/>
    <w:rsid w:val="000F4D88"/>
    <w:rsid w:val="000F5007"/>
    <w:rsid w:val="000F500D"/>
    <w:rsid w:val="000F5172"/>
    <w:rsid w:val="000F5499"/>
    <w:rsid w:val="000F54E5"/>
    <w:rsid w:val="000F55DE"/>
    <w:rsid w:val="000F562C"/>
    <w:rsid w:val="000F563E"/>
    <w:rsid w:val="000F569A"/>
    <w:rsid w:val="000F56EE"/>
    <w:rsid w:val="000F57DE"/>
    <w:rsid w:val="000F59A6"/>
    <w:rsid w:val="000F5A3B"/>
    <w:rsid w:val="000F5A6F"/>
    <w:rsid w:val="000F5B04"/>
    <w:rsid w:val="000F5C05"/>
    <w:rsid w:val="000F5CA0"/>
    <w:rsid w:val="000F5CEB"/>
    <w:rsid w:val="000F5D28"/>
    <w:rsid w:val="000F5D36"/>
    <w:rsid w:val="000F5EA0"/>
    <w:rsid w:val="000F5EA1"/>
    <w:rsid w:val="000F5FFE"/>
    <w:rsid w:val="000F6026"/>
    <w:rsid w:val="000F603F"/>
    <w:rsid w:val="000F607D"/>
    <w:rsid w:val="000F60F8"/>
    <w:rsid w:val="000F611F"/>
    <w:rsid w:val="000F61B4"/>
    <w:rsid w:val="000F61C8"/>
    <w:rsid w:val="000F61E3"/>
    <w:rsid w:val="000F62D1"/>
    <w:rsid w:val="000F6349"/>
    <w:rsid w:val="000F634D"/>
    <w:rsid w:val="000F651F"/>
    <w:rsid w:val="000F6544"/>
    <w:rsid w:val="000F669C"/>
    <w:rsid w:val="000F66FC"/>
    <w:rsid w:val="000F69CD"/>
    <w:rsid w:val="000F6A29"/>
    <w:rsid w:val="000F6A88"/>
    <w:rsid w:val="000F6A97"/>
    <w:rsid w:val="000F6B7F"/>
    <w:rsid w:val="000F6C8B"/>
    <w:rsid w:val="000F6CC9"/>
    <w:rsid w:val="000F6CDC"/>
    <w:rsid w:val="000F6E24"/>
    <w:rsid w:val="000F6E5F"/>
    <w:rsid w:val="000F71B0"/>
    <w:rsid w:val="000F7364"/>
    <w:rsid w:val="000F7533"/>
    <w:rsid w:val="000F7589"/>
    <w:rsid w:val="000F7758"/>
    <w:rsid w:val="000F7968"/>
    <w:rsid w:val="000F79E6"/>
    <w:rsid w:val="000F7A94"/>
    <w:rsid w:val="000F7AF9"/>
    <w:rsid w:val="000F7C0F"/>
    <w:rsid w:val="000F7C65"/>
    <w:rsid w:val="000F7DF4"/>
    <w:rsid w:val="000F7E3C"/>
    <w:rsid w:val="000F7EDF"/>
    <w:rsid w:val="000F7FB9"/>
    <w:rsid w:val="001002B6"/>
    <w:rsid w:val="00100331"/>
    <w:rsid w:val="001003D0"/>
    <w:rsid w:val="0010040D"/>
    <w:rsid w:val="00100448"/>
    <w:rsid w:val="0010056F"/>
    <w:rsid w:val="0010064E"/>
    <w:rsid w:val="00100675"/>
    <w:rsid w:val="001006F3"/>
    <w:rsid w:val="00100760"/>
    <w:rsid w:val="001009C1"/>
    <w:rsid w:val="00100DDF"/>
    <w:rsid w:val="00100E6A"/>
    <w:rsid w:val="00100EFB"/>
    <w:rsid w:val="00100F6D"/>
    <w:rsid w:val="0010129A"/>
    <w:rsid w:val="001013F2"/>
    <w:rsid w:val="0010145F"/>
    <w:rsid w:val="001014CD"/>
    <w:rsid w:val="0010154F"/>
    <w:rsid w:val="0010155C"/>
    <w:rsid w:val="001018C3"/>
    <w:rsid w:val="001018D5"/>
    <w:rsid w:val="001018D8"/>
    <w:rsid w:val="00101A5E"/>
    <w:rsid w:val="00101AB1"/>
    <w:rsid w:val="00101C6F"/>
    <w:rsid w:val="00101CDF"/>
    <w:rsid w:val="00101CF9"/>
    <w:rsid w:val="00101EAE"/>
    <w:rsid w:val="00101EE6"/>
    <w:rsid w:val="00101F70"/>
    <w:rsid w:val="00101F72"/>
    <w:rsid w:val="00101FE2"/>
    <w:rsid w:val="00102046"/>
    <w:rsid w:val="00102112"/>
    <w:rsid w:val="00102133"/>
    <w:rsid w:val="001021A7"/>
    <w:rsid w:val="00102276"/>
    <w:rsid w:val="001022BA"/>
    <w:rsid w:val="0010231F"/>
    <w:rsid w:val="0010236A"/>
    <w:rsid w:val="00102400"/>
    <w:rsid w:val="001025B5"/>
    <w:rsid w:val="00102753"/>
    <w:rsid w:val="0010277C"/>
    <w:rsid w:val="00102787"/>
    <w:rsid w:val="00102893"/>
    <w:rsid w:val="001028CE"/>
    <w:rsid w:val="00102919"/>
    <w:rsid w:val="00102A1C"/>
    <w:rsid w:val="00102ADC"/>
    <w:rsid w:val="00102E46"/>
    <w:rsid w:val="00102EDB"/>
    <w:rsid w:val="00102EEB"/>
    <w:rsid w:val="00102F0F"/>
    <w:rsid w:val="00102FD3"/>
    <w:rsid w:val="00103241"/>
    <w:rsid w:val="001032FA"/>
    <w:rsid w:val="00103345"/>
    <w:rsid w:val="001033A7"/>
    <w:rsid w:val="001034DC"/>
    <w:rsid w:val="00103702"/>
    <w:rsid w:val="00103981"/>
    <w:rsid w:val="00103C1C"/>
    <w:rsid w:val="00103D37"/>
    <w:rsid w:val="00103DD9"/>
    <w:rsid w:val="00103F40"/>
    <w:rsid w:val="00103F5A"/>
    <w:rsid w:val="00103FB5"/>
    <w:rsid w:val="00104278"/>
    <w:rsid w:val="00104421"/>
    <w:rsid w:val="001045E0"/>
    <w:rsid w:val="001046AC"/>
    <w:rsid w:val="0010472F"/>
    <w:rsid w:val="0010485C"/>
    <w:rsid w:val="001049D6"/>
    <w:rsid w:val="00104AA0"/>
    <w:rsid w:val="00104B0D"/>
    <w:rsid w:val="00104C57"/>
    <w:rsid w:val="00104D1D"/>
    <w:rsid w:val="00104DF1"/>
    <w:rsid w:val="00104EA2"/>
    <w:rsid w:val="0010500F"/>
    <w:rsid w:val="0010505D"/>
    <w:rsid w:val="00105126"/>
    <w:rsid w:val="001051B6"/>
    <w:rsid w:val="001051F7"/>
    <w:rsid w:val="0010529F"/>
    <w:rsid w:val="001052FC"/>
    <w:rsid w:val="00105420"/>
    <w:rsid w:val="0010558C"/>
    <w:rsid w:val="0010560D"/>
    <w:rsid w:val="0010566B"/>
    <w:rsid w:val="001056F5"/>
    <w:rsid w:val="001057B9"/>
    <w:rsid w:val="00105B95"/>
    <w:rsid w:val="00105D1B"/>
    <w:rsid w:val="00105EA2"/>
    <w:rsid w:val="00105FBA"/>
    <w:rsid w:val="001060FD"/>
    <w:rsid w:val="00106150"/>
    <w:rsid w:val="0010619C"/>
    <w:rsid w:val="001061D0"/>
    <w:rsid w:val="001063DD"/>
    <w:rsid w:val="001064E6"/>
    <w:rsid w:val="001065AC"/>
    <w:rsid w:val="00106671"/>
    <w:rsid w:val="001066C0"/>
    <w:rsid w:val="001067F4"/>
    <w:rsid w:val="0010683B"/>
    <w:rsid w:val="001068BA"/>
    <w:rsid w:val="001068D5"/>
    <w:rsid w:val="001068DD"/>
    <w:rsid w:val="00106B10"/>
    <w:rsid w:val="00106B57"/>
    <w:rsid w:val="00106B65"/>
    <w:rsid w:val="00106CC5"/>
    <w:rsid w:val="00106DF9"/>
    <w:rsid w:val="00106F3C"/>
    <w:rsid w:val="00106F9B"/>
    <w:rsid w:val="001070EE"/>
    <w:rsid w:val="001070F6"/>
    <w:rsid w:val="001070FE"/>
    <w:rsid w:val="0010710E"/>
    <w:rsid w:val="0010713E"/>
    <w:rsid w:val="001071CC"/>
    <w:rsid w:val="00107261"/>
    <w:rsid w:val="0010730D"/>
    <w:rsid w:val="001073D0"/>
    <w:rsid w:val="001074FD"/>
    <w:rsid w:val="00107518"/>
    <w:rsid w:val="0010775F"/>
    <w:rsid w:val="00107994"/>
    <w:rsid w:val="00107B6E"/>
    <w:rsid w:val="00107CBC"/>
    <w:rsid w:val="00107CDC"/>
    <w:rsid w:val="00107CF1"/>
    <w:rsid w:val="00107D67"/>
    <w:rsid w:val="00107E37"/>
    <w:rsid w:val="00107E93"/>
    <w:rsid w:val="00107EF1"/>
    <w:rsid w:val="00107FAF"/>
    <w:rsid w:val="00110271"/>
    <w:rsid w:val="00110307"/>
    <w:rsid w:val="00110546"/>
    <w:rsid w:val="001105E1"/>
    <w:rsid w:val="00110812"/>
    <w:rsid w:val="001109B0"/>
    <w:rsid w:val="00110B17"/>
    <w:rsid w:val="00110B6B"/>
    <w:rsid w:val="00110D6B"/>
    <w:rsid w:val="00110EE5"/>
    <w:rsid w:val="00110EEB"/>
    <w:rsid w:val="00111071"/>
    <w:rsid w:val="0011135F"/>
    <w:rsid w:val="00111433"/>
    <w:rsid w:val="00111447"/>
    <w:rsid w:val="0011154F"/>
    <w:rsid w:val="0011164C"/>
    <w:rsid w:val="0011164D"/>
    <w:rsid w:val="0011164E"/>
    <w:rsid w:val="001116E0"/>
    <w:rsid w:val="001116FA"/>
    <w:rsid w:val="00111863"/>
    <w:rsid w:val="00111B2E"/>
    <w:rsid w:val="00111B8D"/>
    <w:rsid w:val="00111D54"/>
    <w:rsid w:val="00111E4B"/>
    <w:rsid w:val="00111E51"/>
    <w:rsid w:val="00111E55"/>
    <w:rsid w:val="00111FF9"/>
    <w:rsid w:val="001120A2"/>
    <w:rsid w:val="00112299"/>
    <w:rsid w:val="001123ED"/>
    <w:rsid w:val="001123FB"/>
    <w:rsid w:val="0011240A"/>
    <w:rsid w:val="00112526"/>
    <w:rsid w:val="00112553"/>
    <w:rsid w:val="0011257E"/>
    <w:rsid w:val="001125D2"/>
    <w:rsid w:val="00112637"/>
    <w:rsid w:val="00112893"/>
    <w:rsid w:val="0011289C"/>
    <w:rsid w:val="001128B4"/>
    <w:rsid w:val="0011293B"/>
    <w:rsid w:val="001129BF"/>
    <w:rsid w:val="00112A7A"/>
    <w:rsid w:val="00112B88"/>
    <w:rsid w:val="00112C26"/>
    <w:rsid w:val="00112C2F"/>
    <w:rsid w:val="00112D07"/>
    <w:rsid w:val="00112D7B"/>
    <w:rsid w:val="00112D85"/>
    <w:rsid w:val="00112DA9"/>
    <w:rsid w:val="00112EA9"/>
    <w:rsid w:val="00113064"/>
    <w:rsid w:val="001130B9"/>
    <w:rsid w:val="00113166"/>
    <w:rsid w:val="00113213"/>
    <w:rsid w:val="0011329F"/>
    <w:rsid w:val="0011344C"/>
    <w:rsid w:val="00113526"/>
    <w:rsid w:val="0011356E"/>
    <w:rsid w:val="00113627"/>
    <w:rsid w:val="00113638"/>
    <w:rsid w:val="00113713"/>
    <w:rsid w:val="001137E6"/>
    <w:rsid w:val="001139A3"/>
    <w:rsid w:val="00113A83"/>
    <w:rsid w:val="00113BE4"/>
    <w:rsid w:val="00113C71"/>
    <w:rsid w:val="00113D03"/>
    <w:rsid w:val="00113DBF"/>
    <w:rsid w:val="00114055"/>
    <w:rsid w:val="001142BE"/>
    <w:rsid w:val="0011458E"/>
    <w:rsid w:val="00114593"/>
    <w:rsid w:val="00114623"/>
    <w:rsid w:val="00114678"/>
    <w:rsid w:val="001146F4"/>
    <w:rsid w:val="001148CA"/>
    <w:rsid w:val="0011495A"/>
    <w:rsid w:val="00114A10"/>
    <w:rsid w:val="00114BC7"/>
    <w:rsid w:val="00114CAA"/>
    <w:rsid w:val="00114CC1"/>
    <w:rsid w:val="00114CE9"/>
    <w:rsid w:val="00114D32"/>
    <w:rsid w:val="00114ED3"/>
    <w:rsid w:val="0011516A"/>
    <w:rsid w:val="00115236"/>
    <w:rsid w:val="00115266"/>
    <w:rsid w:val="001153C8"/>
    <w:rsid w:val="00115459"/>
    <w:rsid w:val="001154B5"/>
    <w:rsid w:val="001154E3"/>
    <w:rsid w:val="00115643"/>
    <w:rsid w:val="001156CF"/>
    <w:rsid w:val="001158BC"/>
    <w:rsid w:val="00115B2F"/>
    <w:rsid w:val="00115C08"/>
    <w:rsid w:val="00115C61"/>
    <w:rsid w:val="00115D5D"/>
    <w:rsid w:val="00115D88"/>
    <w:rsid w:val="00115DA3"/>
    <w:rsid w:val="00115E4F"/>
    <w:rsid w:val="00115F66"/>
    <w:rsid w:val="00116121"/>
    <w:rsid w:val="0011613C"/>
    <w:rsid w:val="001161C0"/>
    <w:rsid w:val="001162D4"/>
    <w:rsid w:val="0011639B"/>
    <w:rsid w:val="001164AD"/>
    <w:rsid w:val="001164E4"/>
    <w:rsid w:val="00116510"/>
    <w:rsid w:val="001165DE"/>
    <w:rsid w:val="001166B0"/>
    <w:rsid w:val="001167C8"/>
    <w:rsid w:val="00116A63"/>
    <w:rsid w:val="00116CD1"/>
    <w:rsid w:val="00116D34"/>
    <w:rsid w:val="001171C5"/>
    <w:rsid w:val="00117253"/>
    <w:rsid w:val="0011754B"/>
    <w:rsid w:val="00117721"/>
    <w:rsid w:val="00117934"/>
    <w:rsid w:val="00117A90"/>
    <w:rsid w:val="00117B1E"/>
    <w:rsid w:val="00117D2C"/>
    <w:rsid w:val="00117DCC"/>
    <w:rsid w:val="00117F0D"/>
    <w:rsid w:val="00120128"/>
    <w:rsid w:val="00120407"/>
    <w:rsid w:val="00120421"/>
    <w:rsid w:val="0012049B"/>
    <w:rsid w:val="001204E1"/>
    <w:rsid w:val="0012052B"/>
    <w:rsid w:val="0012070E"/>
    <w:rsid w:val="0012082A"/>
    <w:rsid w:val="001208D2"/>
    <w:rsid w:val="00120A49"/>
    <w:rsid w:val="00120A59"/>
    <w:rsid w:val="00120ADA"/>
    <w:rsid w:val="00120C75"/>
    <w:rsid w:val="00120E14"/>
    <w:rsid w:val="00120F25"/>
    <w:rsid w:val="00121135"/>
    <w:rsid w:val="001212DA"/>
    <w:rsid w:val="00121304"/>
    <w:rsid w:val="00121368"/>
    <w:rsid w:val="0012138C"/>
    <w:rsid w:val="001213F7"/>
    <w:rsid w:val="0012142E"/>
    <w:rsid w:val="00121472"/>
    <w:rsid w:val="00121639"/>
    <w:rsid w:val="001216E4"/>
    <w:rsid w:val="0012192A"/>
    <w:rsid w:val="00121B89"/>
    <w:rsid w:val="00121BF5"/>
    <w:rsid w:val="00121D31"/>
    <w:rsid w:val="00121E19"/>
    <w:rsid w:val="00121E89"/>
    <w:rsid w:val="001220EB"/>
    <w:rsid w:val="0012215D"/>
    <w:rsid w:val="0012222F"/>
    <w:rsid w:val="001222E8"/>
    <w:rsid w:val="00122609"/>
    <w:rsid w:val="0012261C"/>
    <w:rsid w:val="00122660"/>
    <w:rsid w:val="001226C8"/>
    <w:rsid w:val="0012275D"/>
    <w:rsid w:val="0012280A"/>
    <w:rsid w:val="0012283D"/>
    <w:rsid w:val="00122A00"/>
    <w:rsid w:val="00122B11"/>
    <w:rsid w:val="00122BEF"/>
    <w:rsid w:val="00122C10"/>
    <w:rsid w:val="00122D4D"/>
    <w:rsid w:val="00122D77"/>
    <w:rsid w:val="00122F90"/>
    <w:rsid w:val="00123055"/>
    <w:rsid w:val="001232AF"/>
    <w:rsid w:val="001233C8"/>
    <w:rsid w:val="00123468"/>
    <w:rsid w:val="001234EE"/>
    <w:rsid w:val="00123509"/>
    <w:rsid w:val="00123571"/>
    <w:rsid w:val="001235D8"/>
    <w:rsid w:val="001235E1"/>
    <w:rsid w:val="001235FC"/>
    <w:rsid w:val="00123628"/>
    <w:rsid w:val="0012394A"/>
    <w:rsid w:val="00123A5C"/>
    <w:rsid w:val="00123AF2"/>
    <w:rsid w:val="00123B16"/>
    <w:rsid w:val="00123B2B"/>
    <w:rsid w:val="00123B35"/>
    <w:rsid w:val="00123D99"/>
    <w:rsid w:val="00123E6E"/>
    <w:rsid w:val="00123E8C"/>
    <w:rsid w:val="00123F12"/>
    <w:rsid w:val="00123F7A"/>
    <w:rsid w:val="00124063"/>
    <w:rsid w:val="0012423F"/>
    <w:rsid w:val="001243C6"/>
    <w:rsid w:val="0012442D"/>
    <w:rsid w:val="001247A7"/>
    <w:rsid w:val="0012494C"/>
    <w:rsid w:val="00124AFB"/>
    <w:rsid w:val="00124BA0"/>
    <w:rsid w:val="00124BA5"/>
    <w:rsid w:val="00124C95"/>
    <w:rsid w:val="00124E2C"/>
    <w:rsid w:val="001250AC"/>
    <w:rsid w:val="00125203"/>
    <w:rsid w:val="00125283"/>
    <w:rsid w:val="0012529D"/>
    <w:rsid w:val="00125343"/>
    <w:rsid w:val="001253AC"/>
    <w:rsid w:val="001253C0"/>
    <w:rsid w:val="001253D4"/>
    <w:rsid w:val="001254BE"/>
    <w:rsid w:val="00125565"/>
    <w:rsid w:val="001255DB"/>
    <w:rsid w:val="0012566C"/>
    <w:rsid w:val="00125691"/>
    <w:rsid w:val="001256B9"/>
    <w:rsid w:val="001258FE"/>
    <w:rsid w:val="00125933"/>
    <w:rsid w:val="00125995"/>
    <w:rsid w:val="001259D1"/>
    <w:rsid w:val="00125A17"/>
    <w:rsid w:val="00125ABC"/>
    <w:rsid w:val="00125AC5"/>
    <w:rsid w:val="00125DA7"/>
    <w:rsid w:val="00125E53"/>
    <w:rsid w:val="00125F8B"/>
    <w:rsid w:val="00125F98"/>
    <w:rsid w:val="00126199"/>
    <w:rsid w:val="00126382"/>
    <w:rsid w:val="00126467"/>
    <w:rsid w:val="00126746"/>
    <w:rsid w:val="00126770"/>
    <w:rsid w:val="00126890"/>
    <w:rsid w:val="001268C0"/>
    <w:rsid w:val="00126910"/>
    <w:rsid w:val="00126BB2"/>
    <w:rsid w:val="00126BC0"/>
    <w:rsid w:val="00126C1F"/>
    <w:rsid w:val="00126C8D"/>
    <w:rsid w:val="00126CBE"/>
    <w:rsid w:val="00126E05"/>
    <w:rsid w:val="00126E4A"/>
    <w:rsid w:val="00126F09"/>
    <w:rsid w:val="00126F0B"/>
    <w:rsid w:val="00126F0D"/>
    <w:rsid w:val="00126F7F"/>
    <w:rsid w:val="0012705C"/>
    <w:rsid w:val="001270C2"/>
    <w:rsid w:val="001271AB"/>
    <w:rsid w:val="0012725B"/>
    <w:rsid w:val="001272BD"/>
    <w:rsid w:val="0012757C"/>
    <w:rsid w:val="001276DD"/>
    <w:rsid w:val="001277B2"/>
    <w:rsid w:val="00127929"/>
    <w:rsid w:val="0012792C"/>
    <w:rsid w:val="00127A66"/>
    <w:rsid w:val="00127B40"/>
    <w:rsid w:val="00127B94"/>
    <w:rsid w:val="00127BD4"/>
    <w:rsid w:val="00127BE1"/>
    <w:rsid w:val="00127C31"/>
    <w:rsid w:val="00127EF5"/>
    <w:rsid w:val="00127F58"/>
    <w:rsid w:val="00127F5C"/>
    <w:rsid w:val="001300AD"/>
    <w:rsid w:val="0013013C"/>
    <w:rsid w:val="00130291"/>
    <w:rsid w:val="0013029F"/>
    <w:rsid w:val="00130593"/>
    <w:rsid w:val="001305A9"/>
    <w:rsid w:val="001305BF"/>
    <w:rsid w:val="00130697"/>
    <w:rsid w:val="001306E4"/>
    <w:rsid w:val="00130977"/>
    <w:rsid w:val="00130A66"/>
    <w:rsid w:val="00130AA1"/>
    <w:rsid w:val="00130BED"/>
    <w:rsid w:val="00130DBC"/>
    <w:rsid w:val="0013101C"/>
    <w:rsid w:val="0013103D"/>
    <w:rsid w:val="001310AA"/>
    <w:rsid w:val="001310C2"/>
    <w:rsid w:val="00131163"/>
    <w:rsid w:val="0013120B"/>
    <w:rsid w:val="00131359"/>
    <w:rsid w:val="0013135B"/>
    <w:rsid w:val="0013143D"/>
    <w:rsid w:val="00131466"/>
    <w:rsid w:val="00131753"/>
    <w:rsid w:val="001317D2"/>
    <w:rsid w:val="001318DE"/>
    <w:rsid w:val="00131936"/>
    <w:rsid w:val="0013198A"/>
    <w:rsid w:val="00131B30"/>
    <w:rsid w:val="00131BF3"/>
    <w:rsid w:val="00131C52"/>
    <w:rsid w:val="00131E6B"/>
    <w:rsid w:val="00131F88"/>
    <w:rsid w:val="00131FCF"/>
    <w:rsid w:val="0013225B"/>
    <w:rsid w:val="00132284"/>
    <w:rsid w:val="0013232C"/>
    <w:rsid w:val="0013258E"/>
    <w:rsid w:val="0013262F"/>
    <w:rsid w:val="00132746"/>
    <w:rsid w:val="001327B0"/>
    <w:rsid w:val="00132852"/>
    <w:rsid w:val="0013291A"/>
    <w:rsid w:val="001329E1"/>
    <w:rsid w:val="00132C74"/>
    <w:rsid w:val="00132CDC"/>
    <w:rsid w:val="00132D39"/>
    <w:rsid w:val="00132DD2"/>
    <w:rsid w:val="0013302F"/>
    <w:rsid w:val="001333E6"/>
    <w:rsid w:val="0013346A"/>
    <w:rsid w:val="001334E3"/>
    <w:rsid w:val="0013354F"/>
    <w:rsid w:val="00133550"/>
    <w:rsid w:val="001335E7"/>
    <w:rsid w:val="00133820"/>
    <w:rsid w:val="0013390A"/>
    <w:rsid w:val="0013391F"/>
    <w:rsid w:val="00133A53"/>
    <w:rsid w:val="00133B68"/>
    <w:rsid w:val="00133CD9"/>
    <w:rsid w:val="00133D29"/>
    <w:rsid w:val="00133D7F"/>
    <w:rsid w:val="00133E5B"/>
    <w:rsid w:val="00134193"/>
    <w:rsid w:val="00134271"/>
    <w:rsid w:val="0013455A"/>
    <w:rsid w:val="001345E1"/>
    <w:rsid w:val="001346B5"/>
    <w:rsid w:val="00134867"/>
    <w:rsid w:val="0013490F"/>
    <w:rsid w:val="00134A8C"/>
    <w:rsid w:val="00134A96"/>
    <w:rsid w:val="00134A9A"/>
    <w:rsid w:val="00134A9B"/>
    <w:rsid w:val="00134B5C"/>
    <w:rsid w:val="00134CB3"/>
    <w:rsid w:val="00134D6C"/>
    <w:rsid w:val="00134E2B"/>
    <w:rsid w:val="00134E68"/>
    <w:rsid w:val="00134EAB"/>
    <w:rsid w:val="00134EDC"/>
    <w:rsid w:val="00134EE2"/>
    <w:rsid w:val="0013511E"/>
    <w:rsid w:val="001352A3"/>
    <w:rsid w:val="0013530A"/>
    <w:rsid w:val="0013547B"/>
    <w:rsid w:val="00135568"/>
    <w:rsid w:val="00135C1B"/>
    <w:rsid w:val="00135C1C"/>
    <w:rsid w:val="00135C41"/>
    <w:rsid w:val="00135C66"/>
    <w:rsid w:val="00135CA7"/>
    <w:rsid w:val="00135DE7"/>
    <w:rsid w:val="00135EDC"/>
    <w:rsid w:val="00135EFD"/>
    <w:rsid w:val="00135F4D"/>
    <w:rsid w:val="00135F83"/>
    <w:rsid w:val="00135FAB"/>
    <w:rsid w:val="00135FB5"/>
    <w:rsid w:val="0013601A"/>
    <w:rsid w:val="00136182"/>
    <w:rsid w:val="0013620C"/>
    <w:rsid w:val="0013627D"/>
    <w:rsid w:val="001362E8"/>
    <w:rsid w:val="00136408"/>
    <w:rsid w:val="001365AE"/>
    <w:rsid w:val="001365BD"/>
    <w:rsid w:val="00136610"/>
    <w:rsid w:val="001366CE"/>
    <w:rsid w:val="001368F8"/>
    <w:rsid w:val="001369BA"/>
    <w:rsid w:val="00136B08"/>
    <w:rsid w:val="00136B2D"/>
    <w:rsid w:val="00136CAB"/>
    <w:rsid w:val="00136CFE"/>
    <w:rsid w:val="00136DE3"/>
    <w:rsid w:val="00136E73"/>
    <w:rsid w:val="00136F25"/>
    <w:rsid w:val="001370AB"/>
    <w:rsid w:val="001370D8"/>
    <w:rsid w:val="001371CC"/>
    <w:rsid w:val="00137230"/>
    <w:rsid w:val="0013734D"/>
    <w:rsid w:val="001373C2"/>
    <w:rsid w:val="00137401"/>
    <w:rsid w:val="0013751C"/>
    <w:rsid w:val="001376B8"/>
    <w:rsid w:val="001376DC"/>
    <w:rsid w:val="00137795"/>
    <w:rsid w:val="00137C1A"/>
    <w:rsid w:val="00137D7C"/>
    <w:rsid w:val="00137F46"/>
    <w:rsid w:val="0014007D"/>
    <w:rsid w:val="001400A1"/>
    <w:rsid w:val="001401AD"/>
    <w:rsid w:val="00140249"/>
    <w:rsid w:val="00140472"/>
    <w:rsid w:val="00140643"/>
    <w:rsid w:val="00140670"/>
    <w:rsid w:val="0014068B"/>
    <w:rsid w:val="001406E6"/>
    <w:rsid w:val="001407D3"/>
    <w:rsid w:val="00140949"/>
    <w:rsid w:val="00140974"/>
    <w:rsid w:val="00140A33"/>
    <w:rsid w:val="00140B0D"/>
    <w:rsid w:val="00140BBA"/>
    <w:rsid w:val="00140BDD"/>
    <w:rsid w:val="0014108B"/>
    <w:rsid w:val="0014115E"/>
    <w:rsid w:val="00141162"/>
    <w:rsid w:val="0014122F"/>
    <w:rsid w:val="001412DE"/>
    <w:rsid w:val="001413B8"/>
    <w:rsid w:val="00141545"/>
    <w:rsid w:val="0014179C"/>
    <w:rsid w:val="001417C9"/>
    <w:rsid w:val="00141ADF"/>
    <w:rsid w:val="00141BBD"/>
    <w:rsid w:val="00141D43"/>
    <w:rsid w:val="00141D4A"/>
    <w:rsid w:val="00141E14"/>
    <w:rsid w:val="00141EAA"/>
    <w:rsid w:val="00141F25"/>
    <w:rsid w:val="001420BB"/>
    <w:rsid w:val="001424EB"/>
    <w:rsid w:val="001424FA"/>
    <w:rsid w:val="00142688"/>
    <w:rsid w:val="0014275B"/>
    <w:rsid w:val="00142857"/>
    <w:rsid w:val="001429BF"/>
    <w:rsid w:val="00142B1A"/>
    <w:rsid w:val="00142B8F"/>
    <w:rsid w:val="00142BEA"/>
    <w:rsid w:val="00142CD8"/>
    <w:rsid w:val="00142DB0"/>
    <w:rsid w:val="00142EFE"/>
    <w:rsid w:val="00142FEC"/>
    <w:rsid w:val="00143096"/>
    <w:rsid w:val="00143237"/>
    <w:rsid w:val="00143271"/>
    <w:rsid w:val="00143349"/>
    <w:rsid w:val="0014337D"/>
    <w:rsid w:val="001436FB"/>
    <w:rsid w:val="001437A1"/>
    <w:rsid w:val="001438D6"/>
    <w:rsid w:val="001439E3"/>
    <w:rsid w:val="00143A02"/>
    <w:rsid w:val="00143AEA"/>
    <w:rsid w:val="00143CF0"/>
    <w:rsid w:val="00143E09"/>
    <w:rsid w:val="00144014"/>
    <w:rsid w:val="0014428E"/>
    <w:rsid w:val="0014433D"/>
    <w:rsid w:val="001443A3"/>
    <w:rsid w:val="00144493"/>
    <w:rsid w:val="00144758"/>
    <w:rsid w:val="0014478E"/>
    <w:rsid w:val="00144AEF"/>
    <w:rsid w:val="00144C1C"/>
    <w:rsid w:val="00144C44"/>
    <w:rsid w:val="00144C4A"/>
    <w:rsid w:val="00145070"/>
    <w:rsid w:val="001450AE"/>
    <w:rsid w:val="00145242"/>
    <w:rsid w:val="00145374"/>
    <w:rsid w:val="001454A0"/>
    <w:rsid w:val="001454B8"/>
    <w:rsid w:val="0014550A"/>
    <w:rsid w:val="001455A4"/>
    <w:rsid w:val="001456B9"/>
    <w:rsid w:val="00145767"/>
    <w:rsid w:val="00145924"/>
    <w:rsid w:val="001459D0"/>
    <w:rsid w:val="001459EE"/>
    <w:rsid w:val="00145BBD"/>
    <w:rsid w:val="00145C50"/>
    <w:rsid w:val="00145C59"/>
    <w:rsid w:val="00145C94"/>
    <w:rsid w:val="00145CCD"/>
    <w:rsid w:val="00145D95"/>
    <w:rsid w:val="0014610E"/>
    <w:rsid w:val="001462F2"/>
    <w:rsid w:val="001464FF"/>
    <w:rsid w:val="00146688"/>
    <w:rsid w:val="001466F9"/>
    <w:rsid w:val="001468B9"/>
    <w:rsid w:val="001469D8"/>
    <w:rsid w:val="001469DB"/>
    <w:rsid w:val="001469F1"/>
    <w:rsid w:val="001469F2"/>
    <w:rsid w:val="00146AFD"/>
    <w:rsid w:val="00146B93"/>
    <w:rsid w:val="00146C2F"/>
    <w:rsid w:val="00146DD1"/>
    <w:rsid w:val="00146EC4"/>
    <w:rsid w:val="001470C2"/>
    <w:rsid w:val="001470D6"/>
    <w:rsid w:val="00147319"/>
    <w:rsid w:val="001476A0"/>
    <w:rsid w:val="0014776A"/>
    <w:rsid w:val="00147957"/>
    <w:rsid w:val="00147978"/>
    <w:rsid w:val="001479FF"/>
    <w:rsid w:val="00147AAB"/>
    <w:rsid w:val="00147AF8"/>
    <w:rsid w:val="00147B9A"/>
    <w:rsid w:val="00147DE8"/>
    <w:rsid w:val="00147EDF"/>
    <w:rsid w:val="00150019"/>
    <w:rsid w:val="0015011A"/>
    <w:rsid w:val="00150212"/>
    <w:rsid w:val="00150220"/>
    <w:rsid w:val="0015049D"/>
    <w:rsid w:val="001504B2"/>
    <w:rsid w:val="001505BE"/>
    <w:rsid w:val="001505D8"/>
    <w:rsid w:val="00150795"/>
    <w:rsid w:val="00150824"/>
    <w:rsid w:val="00150921"/>
    <w:rsid w:val="00150A87"/>
    <w:rsid w:val="00150C1D"/>
    <w:rsid w:val="00151015"/>
    <w:rsid w:val="0015103F"/>
    <w:rsid w:val="0015108D"/>
    <w:rsid w:val="0015108F"/>
    <w:rsid w:val="0015135B"/>
    <w:rsid w:val="00151527"/>
    <w:rsid w:val="001515D9"/>
    <w:rsid w:val="001515E7"/>
    <w:rsid w:val="001517DE"/>
    <w:rsid w:val="0015181F"/>
    <w:rsid w:val="001518A1"/>
    <w:rsid w:val="001519EC"/>
    <w:rsid w:val="00151A01"/>
    <w:rsid w:val="00151C8E"/>
    <w:rsid w:val="00151CBB"/>
    <w:rsid w:val="00151FC8"/>
    <w:rsid w:val="0015202E"/>
    <w:rsid w:val="001521FF"/>
    <w:rsid w:val="0015220E"/>
    <w:rsid w:val="00152211"/>
    <w:rsid w:val="0015242F"/>
    <w:rsid w:val="0015243A"/>
    <w:rsid w:val="001524D3"/>
    <w:rsid w:val="001524D5"/>
    <w:rsid w:val="0015251E"/>
    <w:rsid w:val="00152651"/>
    <w:rsid w:val="001526DD"/>
    <w:rsid w:val="00152795"/>
    <w:rsid w:val="00152900"/>
    <w:rsid w:val="001529C9"/>
    <w:rsid w:val="00152A12"/>
    <w:rsid w:val="00152A3F"/>
    <w:rsid w:val="00152A4B"/>
    <w:rsid w:val="00152B6A"/>
    <w:rsid w:val="00152BF6"/>
    <w:rsid w:val="00152C06"/>
    <w:rsid w:val="00152C74"/>
    <w:rsid w:val="00152D99"/>
    <w:rsid w:val="00152E08"/>
    <w:rsid w:val="00152E6E"/>
    <w:rsid w:val="00152E71"/>
    <w:rsid w:val="00152E7A"/>
    <w:rsid w:val="00153175"/>
    <w:rsid w:val="001531F4"/>
    <w:rsid w:val="0015349E"/>
    <w:rsid w:val="0015352C"/>
    <w:rsid w:val="00153580"/>
    <w:rsid w:val="00153705"/>
    <w:rsid w:val="00153745"/>
    <w:rsid w:val="0015377E"/>
    <w:rsid w:val="001538C7"/>
    <w:rsid w:val="001539AF"/>
    <w:rsid w:val="00153A03"/>
    <w:rsid w:val="00153A8D"/>
    <w:rsid w:val="00153C65"/>
    <w:rsid w:val="00153C93"/>
    <w:rsid w:val="00153C9C"/>
    <w:rsid w:val="00153CE0"/>
    <w:rsid w:val="00153CE3"/>
    <w:rsid w:val="00154060"/>
    <w:rsid w:val="001540A3"/>
    <w:rsid w:val="00154132"/>
    <w:rsid w:val="00154354"/>
    <w:rsid w:val="001543DA"/>
    <w:rsid w:val="001545AE"/>
    <w:rsid w:val="00154612"/>
    <w:rsid w:val="0015464E"/>
    <w:rsid w:val="00154652"/>
    <w:rsid w:val="0015487C"/>
    <w:rsid w:val="0015489E"/>
    <w:rsid w:val="001548C9"/>
    <w:rsid w:val="00154B02"/>
    <w:rsid w:val="00154B3F"/>
    <w:rsid w:val="00154B99"/>
    <w:rsid w:val="00154CB7"/>
    <w:rsid w:val="00154CCF"/>
    <w:rsid w:val="00154D29"/>
    <w:rsid w:val="00154EF3"/>
    <w:rsid w:val="00154FB4"/>
    <w:rsid w:val="001550CA"/>
    <w:rsid w:val="00155215"/>
    <w:rsid w:val="00155292"/>
    <w:rsid w:val="00155455"/>
    <w:rsid w:val="00155547"/>
    <w:rsid w:val="00155835"/>
    <w:rsid w:val="0015591D"/>
    <w:rsid w:val="00155C7C"/>
    <w:rsid w:val="00155D0B"/>
    <w:rsid w:val="00155D52"/>
    <w:rsid w:val="00155F65"/>
    <w:rsid w:val="0015604B"/>
    <w:rsid w:val="00156266"/>
    <w:rsid w:val="00156267"/>
    <w:rsid w:val="00156275"/>
    <w:rsid w:val="001562E7"/>
    <w:rsid w:val="00156313"/>
    <w:rsid w:val="001563DB"/>
    <w:rsid w:val="00156699"/>
    <w:rsid w:val="001566F1"/>
    <w:rsid w:val="00156748"/>
    <w:rsid w:val="001567A1"/>
    <w:rsid w:val="00156804"/>
    <w:rsid w:val="001568BF"/>
    <w:rsid w:val="00156A43"/>
    <w:rsid w:val="00156AE1"/>
    <w:rsid w:val="00156B76"/>
    <w:rsid w:val="00156B95"/>
    <w:rsid w:val="00156BF4"/>
    <w:rsid w:val="00156E7D"/>
    <w:rsid w:val="00156EE0"/>
    <w:rsid w:val="00156FD7"/>
    <w:rsid w:val="00156FF1"/>
    <w:rsid w:val="00157183"/>
    <w:rsid w:val="001572F5"/>
    <w:rsid w:val="0015738D"/>
    <w:rsid w:val="001573DF"/>
    <w:rsid w:val="00157AE2"/>
    <w:rsid w:val="00157BB8"/>
    <w:rsid w:val="00157BFB"/>
    <w:rsid w:val="00157C7F"/>
    <w:rsid w:val="00157DD5"/>
    <w:rsid w:val="00157E19"/>
    <w:rsid w:val="00157ED3"/>
    <w:rsid w:val="00157F30"/>
    <w:rsid w:val="00157FFC"/>
    <w:rsid w:val="00160080"/>
    <w:rsid w:val="001602EA"/>
    <w:rsid w:val="0016034F"/>
    <w:rsid w:val="00160433"/>
    <w:rsid w:val="001606C8"/>
    <w:rsid w:val="00160776"/>
    <w:rsid w:val="001607B6"/>
    <w:rsid w:val="00160908"/>
    <w:rsid w:val="00160914"/>
    <w:rsid w:val="00160958"/>
    <w:rsid w:val="00160B4A"/>
    <w:rsid w:val="00160B76"/>
    <w:rsid w:val="00160C5A"/>
    <w:rsid w:val="00160D29"/>
    <w:rsid w:val="00160D3F"/>
    <w:rsid w:val="00160D84"/>
    <w:rsid w:val="00160DCF"/>
    <w:rsid w:val="00160E09"/>
    <w:rsid w:val="00160F72"/>
    <w:rsid w:val="00161002"/>
    <w:rsid w:val="0016105E"/>
    <w:rsid w:val="00161118"/>
    <w:rsid w:val="00161146"/>
    <w:rsid w:val="001611D1"/>
    <w:rsid w:val="00161231"/>
    <w:rsid w:val="001613AF"/>
    <w:rsid w:val="0016152A"/>
    <w:rsid w:val="00161595"/>
    <w:rsid w:val="001615D2"/>
    <w:rsid w:val="001615F6"/>
    <w:rsid w:val="00161638"/>
    <w:rsid w:val="00161664"/>
    <w:rsid w:val="00161A29"/>
    <w:rsid w:val="00161B35"/>
    <w:rsid w:val="00161C4D"/>
    <w:rsid w:val="00161C5F"/>
    <w:rsid w:val="00161E30"/>
    <w:rsid w:val="00161E87"/>
    <w:rsid w:val="00161F62"/>
    <w:rsid w:val="001620E7"/>
    <w:rsid w:val="0016215D"/>
    <w:rsid w:val="00162272"/>
    <w:rsid w:val="001625F1"/>
    <w:rsid w:val="00162623"/>
    <w:rsid w:val="0016265A"/>
    <w:rsid w:val="001626DE"/>
    <w:rsid w:val="00162A70"/>
    <w:rsid w:val="00162A75"/>
    <w:rsid w:val="00162ABB"/>
    <w:rsid w:val="00162B61"/>
    <w:rsid w:val="00162C9D"/>
    <w:rsid w:val="00162D88"/>
    <w:rsid w:val="00162FBD"/>
    <w:rsid w:val="001630E6"/>
    <w:rsid w:val="0016310B"/>
    <w:rsid w:val="00163381"/>
    <w:rsid w:val="0016339C"/>
    <w:rsid w:val="00163430"/>
    <w:rsid w:val="001634B3"/>
    <w:rsid w:val="00163A42"/>
    <w:rsid w:val="00163BE3"/>
    <w:rsid w:val="00163C69"/>
    <w:rsid w:val="00163E15"/>
    <w:rsid w:val="00163F8F"/>
    <w:rsid w:val="00163FF8"/>
    <w:rsid w:val="00164043"/>
    <w:rsid w:val="001640FE"/>
    <w:rsid w:val="0016413D"/>
    <w:rsid w:val="001641D6"/>
    <w:rsid w:val="0016424F"/>
    <w:rsid w:val="0016432F"/>
    <w:rsid w:val="00164679"/>
    <w:rsid w:val="001646EE"/>
    <w:rsid w:val="00164859"/>
    <w:rsid w:val="0016496C"/>
    <w:rsid w:val="0016497C"/>
    <w:rsid w:val="001649E0"/>
    <w:rsid w:val="00164AA2"/>
    <w:rsid w:val="00164C8A"/>
    <w:rsid w:val="00164D56"/>
    <w:rsid w:val="00164E29"/>
    <w:rsid w:val="00164E49"/>
    <w:rsid w:val="00164E53"/>
    <w:rsid w:val="00164EC4"/>
    <w:rsid w:val="00164F29"/>
    <w:rsid w:val="00164F3D"/>
    <w:rsid w:val="0016515B"/>
    <w:rsid w:val="00165257"/>
    <w:rsid w:val="0016526A"/>
    <w:rsid w:val="00165360"/>
    <w:rsid w:val="00165432"/>
    <w:rsid w:val="00165493"/>
    <w:rsid w:val="00165497"/>
    <w:rsid w:val="001654A0"/>
    <w:rsid w:val="00165639"/>
    <w:rsid w:val="0016588E"/>
    <w:rsid w:val="00165897"/>
    <w:rsid w:val="00165930"/>
    <w:rsid w:val="00165960"/>
    <w:rsid w:val="00165A63"/>
    <w:rsid w:val="00165B7B"/>
    <w:rsid w:val="00165BAE"/>
    <w:rsid w:val="00165D80"/>
    <w:rsid w:val="00165FC1"/>
    <w:rsid w:val="00165FD5"/>
    <w:rsid w:val="0016602E"/>
    <w:rsid w:val="001660BA"/>
    <w:rsid w:val="001661E8"/>
    <w:rsid w:val="001661FF"/>
    <w:rsid w:val="00166220"/>
    <w:rsid w:val="001663BC"/>
    <w:rsid w:val="00166413"/>
    <w:rsid w:val="00166419"/>
    <w:rsid w:val="001665DC"/>
    <w:rsid w:val="001666E4"/>
    <w:rsid w:val="00166788"/>
    <w:rsid w:val="0016678F"/>
    <w:rsid w:val="001667AD"/>
    <w:rsid w:val="001667B7"/>
    <w:rsid w:val="001668BA"/>
    <w:rsid w:val="0016692C"/>
    <w:rsid w:val="00166A75"/>
    <w:rsid w:val="00166B14"/>
    <w:rsid w:val="00166BCF"/>
    <w:rsid w:val="00166C29"/>
    <w:rsid w:val="00166E44"/>
    <w:rsid w:val="00166E88"/>
    <w:rsid w:val="00167310"/>
    <w:rsid w:val="001674C1"/>
    <w:rsid w:val="001677BE"/>
    <w:rsid w:val="0016784D"/>
    <w:rsid w:val="00167987"/>
    <w:rsid w:val="00167AED"/>
    <w:rsid w:val="00167BD8"/>
    <w:rsid w:val="00167C0C"/>
    <w:rsid w:val="00167D18"/>
    <w:rsid w:val="00167D78"/>
    <w:rsid w:val="00167DA8"/>
    <w:rsid w:val="00167DF5"/>
    <w:rsid w:val="00167EA7"/>
    <w:rsid w:val="00167EF7"/>
    <w:rsid w:val="0016F5AC"/>
    <w:rsid w:val="0017001E"/>
    <w:rsid w:val="00170480"/>
    <w:rsid w:val="001704BF"/>
    <w:rsid w:val="001704F5"/>
    <w:rsid w:val="0017067A"/>
    <w:rsid w:val="001706A0"/>
    <w:rsid w:val="001706AC"/>
    <w:rsid w:val="0017075F"/>
    <w:rsid w:val="001707F8"/>
    <w:rsid w:val="00170926"/>
    <w:rsid w:val="0017096E"/>
    <w:rsid w:val="00170A06"/>
    <w:rsid w:val="00170A3B"/>
    <w:rsid w:val="00170ADD"/>
    <w:rsid w:val="00170B04"/>
    <w:rsid w:val="00170B6C"/>
    <w:rsid w:val="00170BC3"/>
    <w:rsid w:val="00170E97"/>
    <w:rsid w:val="00170F2D"/>
    <w:rsid w:val="00170F4D"/>
    <w:rsid w:val="00170F8F"/>
    <w:rsid w:val="0017108C"/>
    <w:rsid w:val="001710D8"/>
    <w:rsid w:val="001711E6"/>
    <w:rsid w:val="00171227"/>
    <w:rsid w:val="001712AD"/>
    <w:rsid w:val="001712D8"/>
    <w:rsid w:val="0017135E"/>
    <w:rsid w:val="00171445"/>
    <w:rsid w:val="0017149C"/>
    <w:rsid w:val="00171517"/>
    <w:rsid w:val="00171520"/>
    <w:rsid w:val="00171572"/>
    <w:rsid w:val="001715A0"/>
    <w:rsid w:val="001717B2"/>
    <w:rsid w:val="001718E9"/>
    <w:rsid w:val="0017199D"/>
    <w:rsid w:val="001719B2"/>
    <w:rsid w:val="00171A12"/>
    <w:rsid w:val="00171B3C"/>
    <w:rsid w:val="00171B53"/>
    <w:rsid w:val="00171BB1"/>
    <w:rsid w:val="00171D9C"/>
    <w:rsid w:val="00171DF2"/>
    <w:rsid w:val="00171FBC"/>
    <w:rsid w:val="00172001"/>
    <w:rsid w:val="001721BF"/>
    <w:rsid w:val="001721CC"/>
    <w:rsid w:val="0017220C"/>
    <w:rsid w:val="00172294"/>
    <w:rsid w:val="001722D4"/>
    <w:rsid w:val="001722F8"/>
    <w:rsid w:val="001724FA"/>
    <w:rsid w:val="001728B8"/>
    <w:rsid w:val="001728C4"/>
    <w:rsid w:val="001729A7"/>
    <w:rsid w:val="001729C5"/>
    <w:rsid w:val="00172A09"/>
    <w:rsid w:val="00172B10"/>
    <w:rsid w:val="00172B5C"/>
    <w:rsid w:val="00172DE4"/>
    <w:rsid w:val="00172FA7"/>
    <w:rsid w:val="00173028"/>
    <w:rsid w:val="00173153"/>
    <w:rsid w:val="001731DC"/>
    <w:rsid w:val="0017325A"/>
    <w:rsid w:val="0017347A"/>
    <w:rsid w:val="001734E3"/>
    <w:rsid w:val="00173510"/>
    <w:rsid w:val="00173647"/>
    <w:rsid w:val="001736DF"/>
    <w:rsid w:val="00173741"/>
    <w:rsid w:val="001738CA"/>
    <w:rsid w:val="0017394C"/>
    <w:rsid w:val="00173AE4"/>
    <w:rsid w:val="00173DA5"/>
    <w:rsid w:val="00174029"/>
    <w:rsid w:val="00174207"/>
    <w:rsid w:val="00174295"/>
    <w:rsid w:val="00174320"/>
    <w:rsid w:val="0017433E"/>
    <w:rsid w:val="001743BB"/>
    <w:rsid w:val="00174474"/>
    <w:rsid w:val="001745D5"/>
    <w:rsid w:val="001745E2"/>
    <w:rsid w:val="001745EC"/>
    <w:rsid w:val="00174631"/>
    <w:rsid w:val="001746A0"/>
    <w:rsid w:val="001748AF"/>
    <w:rsid w:val="001749F1"/>
    <w:rsid w:val="001749F7"/>
    <w:rsid w:val="00174A97"/>
    <w:rsid w:val="00174E51"/>
    <w:rsid w:val="00174E9D"/>
    <w:rsid w:val="00175017"/>
    <w:rsid w:val="0017506F"/>
    <w:rsid w:val="00175167"/>
    <w:rsid w:val="0017522C"/>
    <w:rsid w:val="00175254"/>
    <w:rsid w:val="001752C8"/>
    <w:rsid w:val="0017554F"/>
    <w:rsid w:val="00175670"/>
    <w:rsid w:val="0017569E"/>
    <w:rsid w:val="00175728"/>
    <w:rsid w:val="00175732"/>
    <w:rsid w:val="0017585C"/>
    <w:rsid w:val="001758D6"/>
    <w:rsid w:val="00175A33"/>
    <w:rsid w:val="00175A82"/>
    <w:rsid w:val="00175AA7"/>
    <w:rsid w:val="00175AD0"/>
    <w:rsid w:val="00175B48"/>
    <w:rsid w:val="00175E9A"/>
    <w:rsid w:val="00175F6C"/>
    <w:rsid w:val="00176037"/>
    <w:rsid w:val="0017633D"/>
    <w:rsid w:val="00176450"/>
    <w:rsid w:val="00176600"/>
    <w:rsid w:val="001768F7"/>
    <w:rsid w:val="001768FE"/>
    <w:rsid w:val="0017690A"/>
    <w:rsid w:val="001769E3"/>
    <w:rsid w:val="00176AD2"/>
    <w:rsid w:val="00176B9D"/>
    <w:rsid w:val="00176D79"/>
    <w:rsid w:val="00176DCB"/>
    <w:rsid w:val="00176E67"/>
    <w:rsid w:val="00177164"/>
    <w:rsid w:val="001771A9"/>
    <w:rsid w:val="001771E1"/>
    <w:rsid w:val="001773BA"/>
    <w:rsid w:val="0017741A"/>
    <w:rsid w:val="00177426"/>
    <w:rsid w:val="001774CB"/>
    <w:rsid w:val="00177527"/>
    <w:rsid w:val="00177741"/>
    <w:rsid w:val="0017793A"/>
    <w:rsid w:val="0017798C"/>
    <w:rsid w:val="00177A1B"/>
    <w:rsid w:val="00177B0F"/>
    <w:rsid w:val="00177C46"/>
    <w:rsid w:val="00177D01"/>
    <w:rsid w:val="0018003B"/>
    <w:rsid w:val="00180083"/>
    <w:rsid w:val="001800B7"/>
    <w:rsid w:val="00180115"/>
    <w:rsid w:val="001801E7"/>
    <w:rsid w:val="00180249"/>
    <w:rsid w:val="0018043E"/>
    <w:rsid w:val="001804B8"/>
    <w:rsid w:val="001804D9"/>
    <w:rsid w:val="00180542"/>
    <w:rsid w:val="00180560"/>
    <w:rsid w:val="00180571"/>
    <w:rsid w:val="001805D4"/>
    <w:rsid w:val="00180A98"/>
    <w:rsid w:val="00180B9A"/>
    <w:rsid w:val="00180BD0"/>
    <w:rsid w:val="00180CA4"/>
    <w:rsid w:val="00180CBF"/>
    <w:rsid w:val="00180E5F"/>
    <w:rsid w:val="00180EA7"/>
    <w:rsid w:val="00180F19"/>
    <w:rsid w:val="00180FBA"/>
    <w:rsid w:val="00180FEE"/>
    <w:rsid w:val="001811F1"/>
    <w:rsid w:val="0018120D"/>
    <w:rsid w:val="00181390"/>
    <w:rsid w:val="001813A0"/>
    <w:rsid w:val="001813D6"/>
    <w:rsid w:val="001814AD"/>
    <w:rsid w:val="00181596"/>
    <w:rsid w:val="0018189D"/>
    <w:rsid w:val="00181C6A"/>
    <w:rsid w:val="00181CDA"/>
    <w:rsid w:val="00181D18"/>
    <w:rsid w:val="00182017"/>
    <w:rsid w:val="0018203C"/>
    <w:rsid w:val="0018209D"/>
    <w:rsid w:val="00182386"/>
    <w:rsid w:val="001823BE"/>
    <w:rsid w:val="001824F4"/>
    <w:rsid w:val="00182611"/>
    <w:rsid w:val="00182705"/>
    <w:rsid w:val="0018270B"/>
    <w:rsid w:val="001827BD"/>
    <w:rsid w:val="0018289E"/>
    <w:rsid w:val="00182AD9"/>
    <w:rsid w:val="00182B3B"/>
    <w:rsid w:val="00182DEC"/>
    <w:rsid w:val="00182E5E"/>
    <w:rsid w:val="00182F63"/>
    <w:rsid w:val="001830F9"/>
    <w:rsid w:val="00183164"/>
    <w:rsid w:val="001831AE"/>
    <w:rsid w:val="001831B2"/>
    <w:rsid w:val="001831D0"/>
    <w:rsid w:val="00183267"/>
    <w:rsid w:val="00183309"/>
    <w:rsid w:val="00183442"/>
    <w:rsid w:val="00183498"/>
    <w:rsid w:val="00183550"/>
    <w:rsid w:val="0018357F"/>
    <w:rsid w:val="00183751"/>
    <w:rsid w:val="00183777"/>
    <w:rsid w:val="0018380A"/>
    <w:rsid w:val="0018385A"/>
    <w:rsid w:val="00183895"/>
    <w:rsid w:val="0018397D"/>
    <w:rsid w:val="00183A50"/>
    <w:rsid w:val="00183D3B"/>
    <w:rsid w:val="00183EAE"/>
    <w:rsid w:val="00183F90"/>
    <w:rsid w:val="00184056"/>
    <w:rsid w:val="0018407F"/>
    <w:rsid w:val="001840B6"/>
    <w:rsid w:val="001840FC"/>
    <w:rsid w:val="001841F7"/>
    <w:rsid w:val="001842C4"/>
    <w:rsid w:val="00184379"/>
    <w:rsid w:val="00184387"/>
    <w:rsid w:val="0018439C"/>
    <w:rsid w:val="001843D6"/>
    <w:rsid w:val="001843D8"/>
    <w:rsid w:val="00184469"/>
    <w:rsid w:val="00184571"/>
    <w:rsid w:val="00184578"/>
    <w:rsid w:val="001845C3"/>
    <w:rsid w:val="0018464A"/>
    <w:rsid w:val="00184656"/>
    <w:rsid w:val="0018468C"/>
    <w:rsid w:val="001848BE"/>
    <w:rsid w:val="00184931"/>
    <w:rsid w:val="00184B0E"/>
    <w:rsid w:val="00184B14"/>
    <w:rsid w:val="00184BF2"/>
    <w:rsid w:val="00184E67"/>
    <w:rsid w:val="00184F80"/>
    <w:rsid w:val="00185137"/>
    <w:rsid w:val="00185190"/>
    <w:rsid w:val="001851E5"/>
    <w:rsid w:val="00185401"/>
    <w:rsid w:val="001856D9"/>
    <w:rsid w:val="00185701"/>
    <w:rsid w:val="00185725"/>
    <w:rsid w:val="001857F0"/>
    <w:rsid w:val="001858C4"/>
    <w:rsid w:val="001858DF"/>
    <w:rsid w:val="00185997"/>
    <w:rsid w:val="00185A14"/>
    <w:rsid w:val="00185AC1"/>
    <w:rsid w:val="00185AD1"/>
    <w:rsid w:val="00185B64"/>
    <w:rsid w:val="00185C60"/>
    <w:rsid w:val="00185D33"/>
    <w:rsid w:val="00185E17"/>
    <w:rsid w:val="00185EA9"/>
    <w:rsid w:val="00185FAA"/>
    <w:rsid w:val="00186124"/>
    <w:rsid w:val="001861B6"/>
    <w:rsid w:val="001861C6"/>
    <w:rsid w:val="001861FD"/>
    <w:rsid w:val="0018627D"/>
    <w:rsid w:val="00186324"/>
    <w:rsid w:val="00186489"/>
    <w:rsid w:val="0018659E"/>
    <w:rsid w:val="00186653"/>
    <w:rsid w:val="00186781"/>
    <w:rsid w:val="001867DC"/>
    <w:rsid w:val="00186B29"/>
    <w:rsid w:val="00186C39"/>
    <w:rsid w:val="00186CD1"/>
    <w:rsid w:val="00186EF0"/>
    <w:rsid w:val="00186FC3"/>
    <w:rsid w:val="001870A1"/>
    <w:rsid w:val="001870BF"/>
    <w:rsid w:val="00187164"/>
    <w:rsid w:val="00187242"/>
    <w:rsid w:val="00187431"/>
    <w:rsid w:val="001874F6"/>
    <w:rsid w:val="00187573"/>
    <w:rsid w:val="001875D0"/>
    <w:rsid w:val="001876BD"/>
    <w:rsid w:val="00187705"/>
    <w:rsid w:val="001877BD"/>
    <w:rsid w:val="0018793A"/>
    <w:rsid w:val="00187A33"/>
    <w:rsid w:val="00187A72"/>
    <w:rsid w:val="00187AD5"/>
    <w:rsid w:val="00187B52"/>
    <w:rsid w:val="00187CE6"/>
    <w:rsid w:val="00187CFB"/>
    <w:rsid w:val="00187D02"/>
    <w:rsid w:val="00187D67"/>
    <w:rsid w:val="00190055"/>
    <w:rsid w:val="001900EF"/>
    <w:rsid w:val="0019010C"/>
    <w:rsid w:val="0019032A"/>
    <w:rsid w:val="00190434"/>
    <w:rsid w:val="0019060D"/>
    <w:rsid w:val="001906C0"/>
    <w:rsid w:val="00190792"/>
    <w:rsid w:val="00190844"/>
    <w:rsid w:val="001908F1"/>
    <w:rsid w:val="001909CD"/>
    <w:rsid w:val="00190B63"/>
    <w:rsid w:val="00190C42"/>
    <w:rsid w:val="00190D66"/>
    <w:rsid w:val="00190EAB"/>
    <w:rsid w:val="00190F35"/>
    <w:rsid w:val="00191033"/>
    <w:rsid w:val="0019120B"/>
    <w:rsid w:val="00191266"/>
    <w:rsid w:val="001912D3"/>
    <w:rsid w:val="00191310"/>
    <w:rsid w:val="001914B2"/>
    <w:rsid w:val="001914C5"/>
    <w:rsid w:val="001914D6"/>
    <w:rsid w:val="00191564"/>
    <w:rsid w:val="001915FE"/>
    <w:rsid w:val="0019173E"/>
    <w:rsid w:val="001917DB"/>
    <w:rsid w:val="001918A6"/>
    <w:rsid w:val="00191A25"/>
    <w:rsid w:val="00191A80"/>
    <w:rsid w:val="00191B1F"/>
    <w:rsid w:val="00191D46"/>
    <w:rsid w:val="00191D57"/>
    <w:rsid w:val="00191DB2"/>
    <w:rsid w:val="00191DCB"/>
    <w:rsid w:val="00191E06"/>
    <w:rsid w:val="0019209E"/>
    <w:rsid w:val="001920C0"/>
    <w:rsid w:val="0019214C"/>
    <w:rsid w:val="001921B4"/>
    <w:rsid w:val="00192268"/>
    <w:rsid w:val="001922B7"/>
    <w:rsid w:val="001922FB"/>
    <w:rsid w:val="001923DD"/>
    <w:rsid w:val="001924FD"/>
    <w:rsid w:val="001925A1"/>
    <w:rsid w:val="00192B46"/>
    <w:rsid w:val="00192B82"/>
    <w:rsid w:val="00192D8E"/>
    <w:rsid w:val="00192D90"/>
    <w:rsid w:val="00192DB0"/>
    <w:rsid w:val="00192DFD"/>
    <w:rsid w:val="00192FD5"/>
    <w:rsid w:val="00192FE6"/>
    <w:rsid w:val="00193084"/>
    <w:rsid w:val="00193141"/>
    <w:rsid w:val="001931AA"/>
    <w:rsid w:val="00193303"/>
    <w:rsid w:val="0019341C"/>
    <w:rsid w:val="001935E7"/>
    <w:rsid w:val="0019379A"/>
    <w:rsid w:val="00193866"/>
    <w:rsid w:val="00193B3B"/>
    <w:rsid w:val="00193CA3"/>
    <w:rsid w:val="00193F3B"/>
    <w:rsid w:val="00193F5C"/>
    <w:rsid w:val="0019428C"/>
    <w:rsid w:val="0019434D"/>
    <w:rsid w:val="001943B1"/>
    <w:rsid w:val="00194492"/>
    <w:rsid w:val="00194498"/>
    <w:rsid w:val="001944AF"/>
    <w:rsid w:val="001944E7"/>
    <w:rsid w:val="0019450B"/>
    <w:rsid w:val="0019459C"/>
    <w:rsid w:val="001946C0"/>
    <w:rsid w:val="00194701"/>
    <w:rsid w:val="00194749"/>
    <w:rsid w:val="001948CD"/>
    <w:rsid w:val="00194980"/>
    <w:rsid w:val="00194B6E"/>
    <w:rsid w:val="00194BF1"/>
    <w:rsid w:val="00194D18"/>
    <w:rsid w:val="00194FEB"/>
    <w:rsid w:val="0019534B"/>
    <w:rsid w:val="0019539B"/>
    <w:rsid w:val="001954A2"/>
    <w:rsid w:val="001955F3"/>
    <w:rsid w:val="00195709"/>
    <w:rsid w:val="001959FC"/>
    <w:rsid w:val="00195A97"/>
    <w:rsid w:val="00195AF2"/>
    <w:rsid w:val="00195B3B"/>
    <w:rsid w:val="00195C64"/>
    <w:rsid w:val="00195C92"/>
    <w:rsid w:val="00195E1D"/>
    <w:rsid w:val="00195E7B"/>
    <w:rsid w:val="00195E93"/>
    <w:rsid w:val="00195EC6"/>
    <w:rsid w:val="00195FA7"/>
    <w:rsid w:val="00195FC0"/>
    <w:rsid w:val="00196111"/>
    <w:rsid w:val="001961FB"/>
    <w:rsid w:val="00196444"/>
    <w:rsid w:val="00196566"/>
    <w:rsid w:val="001966FD"/>
    <w:rsid w:val="00196983"/>
    <w:rsid w:val="001969A4"/>
    <w:rsid w:val="00196C78"/>
    <w:rsid w:val="00196DA2"/>
    <w:rsid w:val="00196F87"/>
    <w:rsid w:val="001973BB"/>
    <w:rsid w:val="0019761F"/>
    <w:rsid w:val="00197733"/>
    <w:rsid w:val="00197762"/>
    <w:rsid w:val="0019777F"/>
    <w:rsid w:val="00197797"/>
    <w:rsid w:val="001977C1"/>
    <w:rsid w:val="00197884"/>
    <w:rsid w:val="00197A74"/>
    <w:rsid w:val="00197A93"/>
    <w:rsid w:val="00197B35"/>
    <w:rsid w:val="00197B76"/>
    <w:rsid w:val="00197B8A"/>
    <w:rsid w:val="00197B93"/>
    <w:rsid w:val="00197B97"/>
    <w:rsid w:val="00197BA9"/>
    <w:rsid w:val="00197CB6"/>
    <w:rsid w:val="00197CF4"/>
    <w:rsid w:val="00197E47"/>
    <w:rsid w:val="00197E76"/>
    <w:rsid w:val="00197FC4"/>
    <w:rsid w:val="001A0000"/>
    <w:rsid w:val="001A0078"/>
    <w:rsid w:val="001A0309"/>
    <w:rsid w:val="001A0629"/>
    <w:rsid w:val="001A07A0"/>
    <w:rsid w:val="001A07C4"/>
    <w:rsid w:val="001A085E"/>
    <w:rsid w:val="001A0916"/>
    <w:rsid w:val="001A09A0"/>
    <w:rsid w:val="001A0A8E"/>
    <w:rsid w:val="001A0C78"/>
    <w:rsid w:val="001A0CFE"/>
    <w:rsid w:val="001A0DB9"/>
    <w:rsid w:val="001A0E20"/>
    <w:rsid w:val="001A0EC5"/>
    <w:rsid w:val="001A0FF3"/>
    <w:rsid w:val="001A0FF6"/>
    <w:rsid w:val="001A1070"/>
    <w:rsid w:val="001A10C3"/>
    <w:rsid w:val="001A10F7"/>
    <w:rsid w:val="001A1116"/>
    <w:rsid w:val="001A1351"/>
    <w:rsid w:val="001A14A1"/>
    <w:rsid w:val="001A1598"/>
    <w:rsid w:val="001A17EC"/>
    <w:rsid w:val="001A1837"/>
    <w:rsid w:val="001A18E7"/>
    <w:rsid w:val="001A1A3D"/>
    <w:rsid w:val="001A1B58"/>
    <w:rsid w:val="001A1D02"/>
    <w:rsid w:val="001A1D17"/>
    <w:rsid w:val="001A1D95"/>
    <w:rsid w:val="001A1DAB"/>
    <w:rsid w:val="001A1DC7"/>
    <w:rsid w:val="001A1F11"/>
    <w:rsid w:val="001A1F40"/>
    <w:rsid w:val="001A20C3"/>
    <w:rsid w:val="001A21AC"/>
    <w:rsid w:val="001A2265"/>
    <w:rsid w:val="001A24B2"/>
    <w:rsid w:val="001A27C7"/>
    <w:rsid w:val="001A295A"/>
    <w:rsid w:val="001A2979"/>
    <w:rsid w:val="001A29D4"/>
    <w:rsid w:val="001A29F9"/>
    <w:rsid w:val="001A2A04"/>
    <w:rsid w:val="001A2A3B"/>
    <w:rsid w:val="001A2B3D"/>
    <w:rsid w:val="001A2CD3"/>
    <w:rsid w:val="001A2DFA"/>
    <w:rsid w:val="001A2ED4"/>
    <w:rsid w:val="001A31EF"/>
    <w:rsid w:val="001A326D"/>
    <w:rsid w:val="001A327A"/>
    <w:rsid w:val="001A344C"/>
    <w:rsid w:val="001A34BC"/>
    <w:rsid w:val="001A35AA"/>
    <w:rsid w:val="001A35FF"/>
    <w:rsid w:val="001A3602"/>
    <w:rsid w:val="001A36C8"/>
    <w:rsid w:val="001A36F0"/>
    <w:rsid w:val="001A3806"/>
    <w:rsid w:val="001A3826"/>
    <w:rsid w:val="001A396F"/>
    <w:rsid w:val="001A399A"/>
    <w:rsid w:val="001A3AB4"/>
    <w:rsid w:val="001A3CB5"/>
    <w:rsid w:val="001A3EC3"/>
    <w:rsid w:val="001A4085"/>
    <w:rsid w:val="001A417E"/>
    <w:rsid w:val="001A4259"/>
    <w:rsid w:val="001A4326"/>
    <w:rsid w:val="001A43AA"/>
    <w:rsid w:val="001A43FB"/>
    <w:rsid w:val="001A446F"/>
    <w:rsid w:val="001A44C5"/>
    <w:rsid w:val="001A452C"/>
    <w:rsid w:val="001A4571"/>
    <w:rsid w:val="001A45E1"/>
    <w:rsid w:val="001A46BE"/>
    <w:rsid w:val="001A4702"/>
    <w:rsid w:val="001A47EC"/>
    <w:rsid w:val="001A4931"/>
    <w:rsid w:val="001A4989"/>
    <w:rsid w:val="001A49F6"/>
    <w:rsid w:val="001A4B25"/>
    <w:rsid w:val="001A4C1A"/>
    <w:rsid w:val="001A4D9E"/>
    <w:rsid w:val="001A4E38"/>
    <w:rsid w:val="001A4F7F"/>
    <w:rsid w:val="001A5057"/>
    <w:rsid w:val="001A5191"/>
    <w:rsid w:val="001A52DF"/>
    <w:rsid w:val="001A54FB"/>
    <w:rsid w:val="001A5591"/>
    <w:rsid w:val="001A580B"/>
    <w:rsid w:val="001A58FB"/>
    <w:rsid w:val="001A59FB"/>
    <w:rsid w:val="001A5A4E"/>
    <w:rsid w:val="001A5E20"/>
    <w:rsid w:val="001A5EEC"/>
    <w:rsid w:val="001A5FBE"/>
    <w:rsid w:val="001A60C5"/>
    <w:rsid w:val="001A61E4"/>
    <w:rsid w:val="001A63A9"/>
    <w:rsid w:val="001A6577"/>
    <w:rsid w:val="001A66A7"/>
    <w:rsid w:val="001A6700"/>
    <w:rsid w:val="001A6739"/>
    <w:rsid w:val="001A69C9"/>
    <w:rsid w:val="001A6A17"/>
    <w:rsid w:val="001A6A9C"/>
    <w:rsid w:val="001A6AE6"/>
    <w:rsid w:val="001A6D2C"/>
    <w:rsid w:val="001A6E9E"/>
    <w:rsid w:val="001A710B"/>
    <w:rsid w:val="001A7163"/>
    <w:rsid w:val="001A7536"/>
    <w:rsid w:val="001A75AE"/>
    <w:rsid w:val="001A75AF"/>
    <w:rsid w:val="001A761C"/>
    <w:rsid w:val="001A7657"/>
    <w:rsid w:val="001A7718"/>
    <w:rsid w:val="001A7A41"/>
    <w:rsid w:val="001A7B39"/>
    <w:rsid w:val="001A7BD5"/>
    <w:rsid w:val="001A7E27"/>
    <w:rsid w:val="001A7EDD"/>
    <w:rsid w:val="001A7EFF"/>
    <w:rsid w:val="001A7F7C"/>
    <w:rsid w:val="001B00C8"/>
    <w:rsid w:val="001B00F6"/>
    <w:rsid w:val="001B062E"/>
    <w:rsid w:val="001B0643"/>
    <w:rsid w:val="001B0931"/>
    <w:rsid w:val="001B09EE"/>
    <w:rsid w:val="001B09EF"/>
    <w:rsid w:val="001B0A7B"/>
    <w:rsid w:val="001B0AAD"/>
    <w:rsid w:val="001B0C5B"/>
    <w:rsid w:val="001B0D05"/>
    <w:rsid w:val="001B0DD4"/>
    <w:rsid w:val="001B0EC5"/>
    <w:rsid w:val="001B0ED8"/>
    <w:rsid w:val="001B1061"/>
    <w:rsid w:val="001B11ED"/>
    <w:rsid w:val="001B12F6"/>
    <w:rsid w:val="001B131A"/>
    <w:rsid w:val="001B1341"/>
    <w:rsid w:val="001B149E"/>
    <w:rsid w:val="001B16B0"/>
    <w:rsid w:val="001B1748"/>
    <w:rsid w:val="001B1885"/>
    <w:rsid w:val="001B18C3"/>
    <w:rsid w:val="001B191B"/>
    <w:rsid w:val="001B19D6"/>
    <w:rsid w:val="001B1AA3"/>
    <w:rsid w:val="001B1AC4"/>
    <w:rsid w:val="001B1CDD"/>
    <w:rsid w:val="001B1D4B"/>
    <w:rsid w:val="001B1DAC"/>
    <w:rsid w:val="001B1F13"/>
    <w:rsid w:val="001B1F20"/>
    <w:rsid w:val="001B1F3D"/>
    <w:rsid w:val="001B1F9F"/>
    <w:rsid w:val="001B21F9"/>
    <w:rsid w:val="001B2224"/>
    <w:rsid w:val="001B2229"/>
    <w:rsid w:val="001B224B"/>
    <w:rsid w:val="001B228B"/>
    <w:rsid w:val="001B236D"/>
    <w:rsid w:val="001B257C"/>
    <w:rsid w:val="001B25E7"/>
    <w:rsid w:val="001B2658"/>
    <w:rsid w:val="001B2740"/>
    <w:rsid w:val="001B2816"/>
    <w:rsid w:val="001B2880"/>
    <w:rsid w:val="001B29DD"/>
    <w:rsid w:val="001B29EF"/>
    <w:rsid w:val="001B2A6D"/>
    <w:rsid w:val="001B2A88"/>
    <w:rsid w:val="001B2AD2"/>
    <w:rsid w:val="001B2B1E"/>
    <w:rsid w:val="001B2B4C"/>
    <w:rsid w:val="001B2B9F"/>
    <w:rsid w:val="001B2C23"/>
    <w:rsid w:val="001B2C7A"/>
    <w:rsid w:val="001B2DB9"/>
    <w:rsid w:val="001B2DD1"/>
    <w:rsid w:val="001B2E32"/>
    <w:rsid w:val="001B2E80"/>
    <w:rsid w:val="001B2EFE"/>
    <w:rsid w:val="001B2F01"/>
    <w:rsid w:val="001B30B1"/>
    <w:rsid w:val="001B3163"/>
    <w:rsid w:val="001B3318"/>
    <w:rsid w:val="001B3327"/>
    <w:rsid w:val="001B33CA"/>
    <w:rsid w:val="001B33CC"/>
    <w:rsid w:val="001B34A8"/>
    <w:rsid w:val="001B34C4"/>
    <w:rsid w:val="001B36AE"/>
    <w:rsid w:val="001B36CA"/>
    <w:rsid w:val="001B36FF"/>
    <w:rsid w:val="001B3ADA"/>
    <w:rsid w:val="001B4084"/>
    <w:rsid w:val="001B41BE"/>
    <w:rsid w:val="001B4322"/>
    <w:rsid w:val="001B434D"/>
    <w:rsid w:val="001B44E3"/>
    <w:rsid w:val="001B4589"/>
    <w:rsid w:val="001B4599"/>
    <w:rsid w:val="001B461E"/>
    <w:rsid w:val="001B47ED"/>
    <w:rsid w:val="001B482D"/>
    <w:rsid w:val="001B485E"/>
    <w:rsid w:val="001B4923"/>
    <w:rsid w:val="001B4D10"/>
    <w:rsid w:val="001B4F46"/>
    <w:rsid w:val="001B4F88"/>
    <w:rsid w:val="001B4FDF"/>
    <w:rsid w:val="001B504C"/>
    <w:rsid w:val="001B5110"/>
    <w:rsid w:val="001B51DB"/>
    <w:rsid w:val="001B51DE"/>
    <w:rsid w:val="001B51FD"/>
    <w:rsid w:val="001B5220"/>
    <w:rsid w:val="001B52EC"/>
    <w:rsid w:val="001B532D"/>
    <w:rsid w:val="001B5475"/>
    <w:rsid w:val="001B5572"/>
    <w:rsid w:val="001B55DA"/>
    <w:rsid w:val="001B5640"/>
    <w:rsid w:val="001B5770"/>
    <w:rsid w:val="001B57FB"/>
    <w:rsid w:val="001B5900"/>
    <w:rsid w:val="001B594F"/>
    <w:rsid w:val="001B5D36"/>
    <w:rsid w:val="001B5E31"/>
    <w:rsid w:val="001B5F39"/>
    <w:rsid w:val="001B5F3A"/>
    <w:rsid w:val="001B60BF"/>
    <w:rsid w:val="001B621D"/>
    <w:rsid w:val="001B6426"/>
    <w:rsid w:val="001B646D"/>
    <w:rsid w:val="001B6692"/>
    <w:rsid w:val="001B6816"/>
    <w:rsid w:val="001B6862"/>
    <w:rsid w:val="001B688B"/>
    <w:rsid w:val="001B6913"/>
    <w:rsid w:val="001B6965"/>
    <w:rsid w:val="001B696F"/>
    <w:rsid w:val="001B6C31"/>
    <w:rsid w:val="001B6EEC"/>
    <w:rsid w:val="001B6FCF"/>
    <w:rsid w:val="001B6FF8"/>
    <w:rsid w:val="001B71E7"/>
    <w:rsid w:val="001B725C"/>
    <w:rsid w:val="001B7385"/>
    <w:rsid w:val="001B7425"/>
    <w:rsid w:val="001B742E"/>
    <w:rsid w:val="001B758C"/>
    <w:rsid w:val="001B75E9"/>
    <w:rsid w:val="001B78C5"/>
    <w:rsid w:val="001B792F"/>
    <w:rsid w:val="001B7966"/>
    <w:rsid w:val="001B7A50"/>
    <w:rsid w:val="001B7BA0"/>
    <w:rsid w:val="001B7FCF"/>
    <w:rsid w:val="001C02D4"/>
    <w:rsid w:val="001C02E4"/>
    <w:rsid w:val="001C02ED"/>
    <w:rsid w:val="001C035E"/>
    <w:rsid w:val="001C0520"/>
    <w:rsid w:val="001C052B"/>
    <w:rsid w:val="001C054E"/>
    <w:rsid w:val="001C0921"/>
    <w:rsid w:val="001C09E2"/>
    <w:rsid w:val="001C0A9D"/>
    <w:rsid w:val="001C0E0C"/>
    <w:rsid w:val="001C0E35"/>
    <w:rsid w:val="001C0E66"/>
    <w:rsid w:val="001C0F02"/>
    <w:rsid w:val="001C1037"/>
    <w:rsid w:val="001C105C"/>
    <w:rsid w:val="001C1066"/>
    <w:rsid w:val="001C114A"/>
    <w:rsid w:val="001C116A"/>
    <w:rsid w:val="001C1394"/>
    <w:rsid w:val="001C14D7"/>
    <w:rsid w:val="001C1505"/>
    <w:rsid w:val="001C158A"/>
    <w:rsid w:val="001C1647"/>
    <w:rsid w:val="001C1694"/>
    <w:rsid w:val="001C1731"/>
    <w:rsid w:val="001C17AE"/>
    <w:rsid w:val="001C183F"/>
    <w:rsid w:val="001C196E"/>
    <w:rsid w:val="001C1A81"/>
    <w:rsid w:val="001C1CE5"/>
    <w:rsid w:val="001C1D38"/>
    <w:rsid w:val="001C1F16"/>
    <w:rsid w:val="001C1F3D"/>
    <w:rsid w:val="001C1F84"/>
    <w:rsid w:val="001C20C1"/>
    <w:rsid w:val="001C2189"/>
    <w:rsid w:val="001C2276"/>
    <w:rsid w:val="001C2289"/>
    <w:rsid w:val="001C2356"/>
    <w:rsid w:val="001C23CB"/>
    <w:rsid w:val="001C23F2"/>
    <w:rsid w:val="001C24F8"/>
    <w:rsid w:val="001C25AE"/>
    <w:rsid w:val="001C2690"/>
    <w:rsid w:val="001C26D5"/>
    <w:rsid w:val="001C288B"/>
    <w:rsid w:val="001C28C8"/>
    <w:rsid w:val="001C29C4"/>
    <w:rsid w:val="001C2A5E"/>
    <w:rsid w:val="001C2AD9"/>
    <w:rsid w:val="001C2B01"/>
    <w:rsid w:val="001C2B34"/>
    <w:rsid w:val="001C2B36"/>
    <w:rsid w:val="001C2B58"/>
    <w:rsid w:val="001C2BBB"/>
    <w:rsid w:val="001C2BD3"/>
    <w:rsid w:val="001C2C41"/>
    <w:rsid w:val="001C2C8C"/>
    <w:rsid w:val="001C2CD6"/>
    <w:rsid w:val="001C2D87"/>
    <w:rsid w:val="001C2E97"/>
    <w:rsid w:val="001C2EF0"/>
    <w:rsid w:val="001C3003"/>
    <w:rsid w:val="001C301F"/>
    <w:rsid w:val="001C3069"/>
    <w:rsid w:val="001C32C8"/>
    <w:rsid w:val="001C3390"/>
    <w:rsid w:val="001C346D"/>
    <w:rsid w:val="001C34A2"/>
    <w:rsid w:val="001C34A3"/>
    <w:rsid w:val="001C35CC"/>
    <w:rsid w:val="001C3741"/>
    <w:rsid w:val="001C383F"/>
    <w:rsid w:val="001C3919"/>
    <w:rsid w:val="001C3943"/>
    <w:rsid w:val="001C3974"/>
    <w:rsid w:val="001C39FA"/>
    <w:rsid w:val="001C3B3D"/>
    <w:rsid w:val="001C3C59"/>
    <w:rsid w:val="001C3D30"/>
    <w:rsid w:val="001C3D47"/>
    <w:rsid w:val="001C3D6B"/>
    <w:rsid w:val="001C3D8C"/>
    <w:rsid w:val="001C3DB6"/>
    <w:rsid w:val="001C3E54"/>
    <w:rsid w:val="001C3EFE"/>
    <w:rsid w:val="001C3F10"/>
    <w:rsid w:val="001C3F22"/>
    <w:rsid w:val="001C3FDC"/>
    <w:rsid w:val="001C4046"/>
    <w:rsid w:val="001C408E"/>
    <w:rsid w:val="001C4094"/>
    <w:rsid w:val="001C40AF"/>
    <w:rsid w:val="001C40B2"/>
    <w:rsid w:val="001C4136"/>
    <w:rsid w:val="001C4139"/>
    <w:rsid w:val="001C43B5"/>
    <w:rsid w:val="001C4453"/>
    <w:rsid w:val="001C4688"/>
    <w:rsid w:val="001C4732"/>
    <w:rsid w:val="001C4747"/>
    <w:rsid w:val="001C4855"/>
    <w:rsid w:val="001C4994"/>
    <w:rsid w:val="001C49FE"/>
    <w:rsid w:val="001C4A1B"/>
    <w:rsid w:val="001C4AF8"/>
    <w:rsid w:val="001C4DE3"/>
    <w:rsid w:val="001C4DE9"/>
    <w:rsid w:val="001C4E69"/>
    <w:rsid w:val="001C4EDB"/>
    <w:rsid w:val="001C4FFB"/>
    <w:rsid w:val="001C5111"/>
    <w:rsid w:val="001C5139"/>
    <w:rsid w:val="001C521C"/>
    <w:rsid w:val="001C53D1"/>
    <w:rsid w:val="001C541C"/>
    <w:rsid w:val="001C54EB"/>
    <w:rsid w:val="001C5695"/>
    <w:rsid w:val="001C579B"/>
    <w:rsid w:val="001C57A6"/>
    <w:rsid w:val="001C57C0"/>
    <w:rsid w:val="001C57C5"/>
    <w:rsid w:val="001C5807"/>
    <w:rsid w:val="001C58A1"/>
    <w:rsid w:val="001C5A59"/>
    <w:rsid w:val="001C5ADB"/>
    <w:rsid w:val="001C5BEE"/>
    <w:rsid w:val="001C5C79"/>
    <w:rsid w:val="001C5D15"/>
    <w:rsid w:val="001C5E18"/>
    <w:rsid w:val="001C5F69"/>
    <w:rsid w:val="001C606A"/>
    <w:rsid w:val="001C6087"/>
    <w:rsid w:val="001C6166"/>
    <w:rsid w:val="001C61B2"/>
    <w:rsid w:val="001C61B4"/>
    <w:rsid w:val="001C61E6"/>
    <w:rsid w:val="001C64D5"/>
    <w:rsid w:val="001C66FD"/>
    <w:rsid w:val="001C683C"/>
    <w:rsid w:val="001C69B5"/>
    <w:rsid w:val="001C6A1C"/>
    <w:rsid w:val="001C6A89"/>
    <w:rsid w:val="001C6AD3"/>
    <w:rsid w:val="001C6B0F"/>
    <w:rsid w:val="001C6B56"/>
    <w:rsid w:val="001C6CE2"/>
    <w:rsid w:val="001C6D59"/>
    <w:rsid w:val="001C6DC5"/>
    <w:rsid w:val="001C6F0D"/>
    <w:rsid w:val="001C6FF2"/>
    <w:rsid w:val="001C70A3"/>
    <w:rsid w:val="001C71B3"/>
    <w:rsid w:val="001C71D4"/>
    <w:rsid w:val="001C7459"/>
    <w:rsid w:val="001C746C"/>
    <w:rsid w:val="001C74E5"/>
    <w:rsid w:val="001C7501"/>
    <w:rsid w:val="001C7534"/>
    <w:rsid w:val="001C75FD"/>
    <w:rsid w:val="001C7847"/>
    <w:rsid w:val="001C7A84"/>
    <w:rsid w:val="001C7C6A"/>
    <w:rsid w:val="001C7D23"/>
    <w:rsid w:val="001C7D44"/>
    <w:rsid w:val="001C7DCE"/>
    <w:rsid w:val="001C7E9C"/>
    <w:rsid w:val="001C7EA6"/>
    <w:rsid w:val="001C7F76"/>
    <w:rsid w:val="001C7FAA"/>
    <w:rsid w:val="001C7FB5"/>
    <w:rsid w:val="001D0083"/>
    <w:rsid w:val="001D02C7"/>
    <w:rsid w:val="001D0355"/>
    <w:rsid w:val="001D040F"/>
    <w:rsid w:val="001D0451"/>
    <w:rsid w:val="001D06E5"/>
    <w:rsid w:val="001D0791"/>
    <w:rsid w:val="001D08A5"/>
    <w:rsid w:val="001D0975"/>
    <w:rsid w:val="001D09EE"/>
    <w:rsid w:val="001D0AFD"/>
    <w:rsid w:val="001D0B65"/>
    <w:rsid w:val="001D0D08"/>
    <w:rsid w:val="001D0DD7"/>
    <w:rsid w:val="001D0FC2"/>
    <w:rsid w:val="001D1059"/>
    <w:rsid w:val="001D107E"/>
    <w:rsid w:val="001D1179"/>
    <w:rsid w:val="001D11C5"/>
    <w:rsid w:val="001D12E7"/>
    <w:rsid w:val="001D1335"/>
    <w:rsid w:val="001D13EB"/>
    <w:rsid w:val="001D14B2"/>
    <w:rsid w:val="001D1516"/>
    <w:rsid w:val="001D1553"/>
    <w:rsid w:val="001D15CC"/>
    <w:rsid w:val="001D15E3"/>
    <w:rsid w:val="001D1635"/>
    <w:rsid w:val="001D16BC"/>
    <w:rsid w:val="001D170A"/>
    <w:rsid w:val="001D17EE"/>
    <w:rsid w:val="001D188F"/>
    <w:rsid w:val="001D199D"/>
    <w:rsid w:val="001D199E"/>
    <w:rsid w:val="001D1B80"/>
    <w:rsid w:val="001D1BA1"/>
    <w:rsid w:val="001D1D73"/>
    <w:rsid w:val="001D1DC0"/>
    <w:rsid w:val="001D1E34"/>
    <w:rsid w:val="001D1F64"/>
    <w:rsid w:val="001D1F71"/>
    <w:rsid w:val="001D2073"/>
    <w:rsid w:val="001D2376"/>
    <w:rsid w:val="001D24B8"/>
    <w:rsid w:val="001D2606"/>
    <w:rsid w:val="001D2679"/>
    <w:rsid w:val="001D27B9"/>
    <w:rsid w:val="001D2894"/>
    <w:rsid w:val="001D2ABB"/>
    <w:rsid w:val="001D2BD3"/>
    <w:rsid w:val="001D2DD2"/>
    <w:rsid w:val="001D2E06"/>
    <w:rsid w:val="001D2F78"/>
    <w:rsid w:val="001D30FA"/>
    <w:rsid w:val="001D31D4"/>
    <w:rsid w:val="001D320D"/>
    <w:rsid w:val="001D328B"/>
    <w:rsid w:val="001D33B0"/>
    <w:rsid w:val="001D3619"/>
    <w:rsid w:val="001D361B"/>
    <w:rsid w:val="001D361F"/>
    <w:rsid w:val="001D3644"/>
    <w:rsid w:val="001D366F"/>
    <w:rsid w:val="001D374D"/>
    <w:rsid w:val="001D384E"/>
    <w:rsid w:val="001D3C7E"/>
    <w:rsid w:val="001D3C9C"/>
    <w:rsid w:val="001D3CB6"/>
    <w:rsid w:val="001D3CB7"/>
    <w:rsid w:val="001D3CBA"/>
    <w:rsid w:val="001D3E1B"/>
    <w:rsid w:val="001D3E76"/>
    <w:rsid w:val="001D3EEA"/>
    <w:rsid w:val="001D3F0D"/>
    <w:rsid w:val="001D3FF9"/>
    <w:rsid w:val="001D4027"/>
    <w:rsid w:val="001D40F1"/>
    <w:rsid w:val="001D4112"/>
    <w:rsid w:val="001D4199"/>
    <w:rsid w:val="001D4435"/>
    <w:rsid w:val="001D449A"/>
    <w:rsid w:val="001D44B5"/>
    <w:rsid w:val="001D4534"/>
    <w:rsid w:val="001D46E7"/>
    <w:rsid w:val="001D480F"/>
    <w:rsid w:val="001D4875"/>
    <w:rsid w:val="001D4A36"/>
    <w:rsid w:val="001D4ACD"/>
    <w:rsid w:val="001D4AF4"/>
    <w:rsid w:val="001D4B7E"/>
    <w:rsid w:val="001D4DFF"/>
    <w:rsid w:val="001D4E07"/>
    <w:rsid w:val="001D4E17"/>
    <w:rsid w:val="001D4E29"/>
    <w:rsid w:val="001D4F54"/>
    <w:rsid w:val="001D5140"/>
    <w:rsid w:val="001D523B"/>
    <w:rsid w:val="001D52B6"/>
    <w:rsid w:val="001D54C4"/>
    <w:rsid w:val="001D5514"/>
    <w:rsid w:val="001D5654"/>
    <w:rsid w:val="001D56AD"/>
    <w:rsid w:val="001D56E2"/>
    <w:rsid w:val="001D5884"/>
    <w:rsid w:val="001D5925"/>
    <w:rsid w:val="001D592E"/>
    <w:rsid w:val="001D5936"/>
    <w:rsid w:val="001D5960"/>
    <w:rsid w:val="001D59C6"/>
    <w:rsid w:val="001D5BB3"/>
    <w:rsid w:val="001D5C97"/>
    <w:rsid w:val="001D5DFD"/>
    <w:rsid w:val="001D6064"/>
    <w:rsid w:val="001D60CF"/>
    <w:rsid w:val="001D6145"/>
    <w:rsid w:val="001D6479"/>
    <w:rsid w:val="001D64E0"/>
    <w:rsid w:val="001D653C"/>
    <w:rsid w:val="001D6611"/>
    <w:rsid w:val="001D669A"/>
    <w:rsid w:val="001D696C"/>
    <w:rsid w:val="001D6A3A"/>
    <w:rsid w:val="001D6AD8"/>
    <w:rsid w:val="001D6B42"/>
    <w:rsid w:val="001D6B92"/>
    <w:rsid w:val="001D6BBC"/>
    <w:rsid w:val="001D6C8D"/>
    <w:rsid w:val="001D6EF6"/>
    <w:rsid w:val="001D6F98"/>
    <w:rsid w:val="001D6FEB"/>
    <w:rsid w:val="001D716E"/>
    <w:rsid w:val="001D744C"/>
    <w:rsid w:val="001D74FD"/>
    <w:rsid w:val="001D760F"/>
    <w:rsid w:val="001D7662"/>
    <w:rsid w:val="001D770B"/>
    <w:rsid w:val="001D78F5"/>
    <w:rsid w:val="001D7D68"/>
    <w:rsid w:val="001D7F14"/>
    <w:rsid w:val="001D7FB0"/>
    <w:rsid w:val="001E0147"/>
    <w:rsid w:val="001E016A"/>
    <w:rsid w:val="001E01F6"/>
    <w:rsid w:val="001E0256"/>
    <w:rsid w:val="001E04F7"/>
    <w:rsid w:val="001E05B0"/>
    <w:rsid w:val="001E0607"/>
    <w:rsid w:val="001E06FE"/>
    <w:rsid w:val="001E0AE2"/>
    <w:rsid w:val="001E0C2E"/>
    <w:rsid w:val="001E0C6E"/>
    <w:rsid w:val="001E0DE1"/>
    <w:rsid w:val="001E0EAB"/>
    <w:rsid w:val="001E0F34"/>
    <w:rsid w:val="001E0FB7"/>
    <w:rsid w:val="001E1299"/>
    <w:rsid w:val="001E1346"/>
    <w:rsid w:val="001E137A"/>
    <w:rsid w:val="001E13AA"/>
    <w:rsid w:val="001E145B"/>
    <w:rsid w:val="001E16FD"/>
    <w:rsid w:val="001E1715"/>
    <w:rsid w:val="001E17ED"/>
    <w:rsid w:val="001E184D"/>
    <w:rsid w:val="001E19A8"/>
    <w:rsid w:val="001E19EF"/>
    <w:rsid w:val="001E1A01"/>
    <w:rsid w:val="001E1B37"/>
    <w:rsid w:val="001E1BBB"/>
    <w:rsid w:val="001E1BF2"/>
    <w:rsid w:val="001E1C9A"/>
    <w:rsid w:val="001E1D44"/>
    <w:rsid w:val="001E1DA4"/>
    <w:rsid w:val="001E1F35"/>
    <w:rsid w:val="001E1FA7"/>
    <w:rsid w:val="001E2027"/>
    <w:rsid w:val="001E204A"/>
    <w:rsid w:val="001E21D2"/>
    <w:rsid w:val="001E221D"/>
    <w:rsid w:val="001E2244"/>
    <w:rsid w:val="001E235A"/>
    <w:rsid w:val="001E259A"/>
    <w:rsid w:val="001E26B5"/>
    <w:rsid w:val="001E281B"/>
    <w:rsid w:val="001E2849"/>
    <w:rsid w:val="001E284D"/>
    <w:rsid w:val="001E28C7"/>
    <w:rsid w:val="001E28DE"/>
    <w:rsid w:val="001E28F7"/>
    <w:rsid w:val="001E2974"/>
    <w:rsid w:val="001E29F3"/>
    <w:rsid w:val="001E2A94"/>
    <w:rsid w:val="001E2D00"/>
    <w:rsid w:val="001E2E9C"/>
    <w:rsid w:val="001E2EC9"/>
    <w:rsid w:val="001E30E4"/>
    <w:rsid w:val="001E30F9"/>
    <w:rsid w:val="001E31ED"/>
    <w:rsid w:val="001E32F9"/>
    <w:rsid w:val="001E3334"/>
    <w:rsid w:val="001E3344"/>
    <w:rsid w:val="001E341F"/>
    <w:rsid w:val="001E346C"/>
    <w:rsid w:val="001E34EF"/>
    <w:rsid w:val="001E35AF"/>
    <w:rsid w:val="001E35C9"/>
    <w:rsid w:val="001E3681"/>
    <w:rsid w:val="001E36F5"/>
    <w:rsid w:val="001E3786"/>
    <w:rsid w:val="001E38B4"/>
    <w:rsid w:val="001E394D"/>
    <w:rsid w:val="001E39ED"/>
    <w:rsid w:val="001E3C25"/>
    <w:rsid w:val="001E3D68"/>
    <w:rsid w:val="001E3EE7"/>
    <w:rsid w:val="001E3F24"/>
    <w:rsid w:val="001E3F7E"/>
    <w:rsid w:val="001E3FDA"/>
    <w:rsid w:val="001E4009"/>
    <w:rsid w:val="001E4042"/>
    <w:rsid w:val="001E43C3"/>
    <w:rsid w:val="001E443F"/>
    <w:rsid w:val="001E462C"/>
    <w:rsid w:val="001E473E"/>
    <w:rsid w:val="001E4766"/>
    <w:rsid w:val="001E4901"/>
    <w:rsid w:val="001E49FC"/>
    <w:rsid w:val="001E4B52"/>
    <w:rsid w:val="001E4C60"/>
    <w:rsid w:val="001E4DA2"/>
    <w:rsid w:val="001E4ED9"/>
    <w:rsid w:val="001E4F54"/>
    <w:rsid w:val="001E4F88"/>
    <w:rsid w:val="001E4FD1"/>
    <w:rsid w:val="001E51D7"/>
    <w:rsid w:val="001E52BA"/>
    <w:rsid w:val="001E52D7"/>
    <w:rsid w:val="001E530C"/>
    <w:rsid w:val="001E53CE"/>
    <w:rsid w:val="001E5416"/>
    <w:rsid w:val="001E551F"/>
    <w:rsid w:val="001E5573"/>
    <w:rsid w:val="001E567A"/>
    <w:rsid w:val="001E5698"/>
    <w:rsid w:val="001E57BF"/>
    <w:rsid w:val="001E57EF"/>
    <w:rsid w:val="001E58E8"/>
    <w:rsid w:val="001E59B5"/>
    <w:rsid w:val="001E5B48"/>
    <w:rsid w:val="001E5D96"/>
    <w:rsid w:val="001E5F25"/>
    <w:rsid w:val="001E6295"/>
    <w:rsid w:val="001E64D2"/>
    <w:rsid w:val="001E6508"/>
    <w:rsid w:val="001E6530"/>
    <w:rsid w:val="001E6617"/>
    <w:rsid w:val="001E6621"/>
    <w:rsid w:val="001E6631"/>
    <w:rsid w:val="001E66C3"/>
    <w:rsid w:val="001E6759"/>
    <w:rsid w:val="001E6794"/>
    <w:rsid w:val="001E67A2"/>
    <w:rsid w:val="001E688B"/>
    <w:rsid w:val="001E68B7"/>
    <w:rsid w:val="001E68BB"/>
    <w:rsid w:val="001E69A1"/>
    <w:rsid w:val="001E69EE"/>
    <w:rsid w:val="001E6E98"/>
    <w:rsid w:val="001E6FDD"/>
    <w:rsid w:val="001E703A"/>
    <w:rsid w:val="001E7294"/>
    <w:rsid w:val="001E7428"/>
    <w:rsid w:val="001E7668"/>
    <w:rsid w:val="001E78E5"/>
    <w:rsid w:val="001E7916"/>
    <w:rsid w:val="001E7960"/>
    <w:rsid w:val="001E7AE7"/>
    <w:rsid w:val="001E7AEE"/>
    <w:rsid w:val="001E7C04"/>
    <w:rsid w:val="001E7CC9"/>
    <w:rsid w:val="001E7D60"/>
    <w:rsid w:val="001E7E13"/>
    <w:rsid w:val="001E7EF5"/>
    <w:rsid w:val="001E7FA8"/>
    <w:rsid w:val="001F0153"/>
    <w:rsid w:val="001F01F1"/>
    <w:rsid w:val="001F0508"/>
    <w:rsid w:val="001F0691"/>
    <w:rsid w:val="001F09CD"/>
    <w:rsid w:val="001F0BA1"/>
    <w:rsid w:val="001F0D06"/>
    <w:rsid w:val="001F0D51"/>
    <w:rsid w:val="001F0D5B"/>
    <w:rsid w:val="001F0DBA"/>
    <w:rsid w:val="001F1086"/>
    <w:rsid w:val="001F11DE"/>
    <w:rsid w:val="001F1301"/>
    <w:rsid w:val="001F1382"/>
    <w:rsid w:val="001F1416"/>
    <w:rsid w:val="001F1440"/>
    <w:rsid w:val="001F15C2"/>
    <w:rsid w:val="001F160B"/>
    <w:rsid w:val="001F177F"/>
    <w:rsid w:val="001F193F"/>
    <w:rsid w:val="001F1958"/>
    <w:rsid w:val="001F1A81"/>
    <w:rsid w:val="001F1B04"/>
    <w:rsid w:val="001F1B50"/>
    <w:rsid w:val="001F1BE8"/>
    <w:rsid w:val="001F1BFA"/>
    <w:rsid w:val="001F1C6C"/>
    <w:rsid w:val="001F1D6D"/>
    <w:rsid w:val="001F1D8F"/>
    <w:rsid w:val="001F1EAE"/>
    <w:rsid w:val="001F20A2"/>
    <w:rsid w:val="001F2107"/>
    <w:rsid w:val="001F212F"/>
    <w:rsid w:val="001F2286"/>
    <w:rsid w:val="001F2399"/>
    <w:rsid w:val="001F23F6"/>
    <w:rsid w:val="001F2453"/>
    <w:rsid w:val="001F24E2"/>
    <w:rsid w:val="001F25E7"/>
    <w:rsid w:val="001F2609"/>
    <w:rsid w:val="001F26DE"/>
    <w:rsid w:val="001F273A"/>
    <w:rsid w:val="001F2889"/>
    <w:rsid w:val="001F289C"/>
    <w:rsid w:val="001F28A2"/>
    <w:rsid w:val="001F2AFB"/>
    <w:rsid w:val="001F2B50"/>
    <w:rsid w:val="001F2BDB"/>
    <w:rsid w:val="001F2C8C"/>
    <w:rsid w:val="001F2CF2"/>
    <w:rsid w:val="001F2DF5"/>
    <w:rsid w:val="001F2EAA"/>
    <w:rsid w:val="001F3054"/>
    <w:rsid w:val="001F3068"/>
    <w:rsid w:val="001F320C"/>
    <w:rsid w:val="001F328F"/>
    <w:rsid w:val="001F3357"/>
    <w:rsid w:val="001F3524"/>
    <w:rsid w:val="001F365C"/>
    <w:rsid w:val="001F3686"/>
    <w:rsid w:val="001F36C3"/>
    <w:rsid w:val="001F378B"/>
    <w:rsid w:val="001F3998"/>
    <w:rsid w:val="001F3BA5"/>
    <w:rsid w:val="001F3C5C"/>
    <w:rsid w:val="001F3CFA"/>
    <w:rsid w:val="001F3D88"/>
    <w:rsid w:val="001F3DAB"/>
    <w:rsid w:val="001F3E8B"/>
    <w:rsid w:val="001F42DD"/>
    <w:rsid w:val="001F43FC"/>
    <w:rsid w:val="001F446E"/>
    <w:rsid w:val="001F474E"/>
    <w:rsid w:val="001F4770"/>
    <w:rsid w:val="001F4832"/>
    <w:rsid w:val="001F48C0"/>
    <w:rsid w:val="001F48DA"/>
    <w:rsid w:val="001F498C"/>
    <w:rsid w:val="001F49C3"/>
    <w:rsid w:val="001F4A65"/>
    <w:rsid w:val="001F4AAA"/>
    <w:rsid w:val="001F4DFE"/>
    <w:rsid w:val="001F4EE3"/>
    <w:rsid w:val="001F4FF8"/>
    <w:rsid w:val="001F5147"/>
    <w:rsid w:val="001F517E"/>
    <w:rsid w:val="001F5232"/>
    <w:rsid w:val="001F5406"/>
    <w:rsid w:val="001F541A"/>
    <w:rsid w:val="001F5459"/>
    <w:rsid w:val="001F54C9"/>
    <w:rsid w:val="001F5560"/>
    <w:rsid w:val="001F562D"/>
    <w:rsid w:val="001F569B"/>
    <w:rsid w:val="001F5724"/>
    <w:rsid w:val="001F5788"/>
    <w:rsid w:val="001F57E0"/>
    <w:rsid w:val="001F5886"/>
    <w:rsid w:val="001F58A5"/>
    <w:rsid w:val="001F5963"/>
    <w:rsid w:val="001F5A22"/>
    <w:rsid w:val="001F5A42"/>
    <w:rsid w:val="001F5F43"/>
    <w:rsid w:val="001F5F9B"/>
    <w:rsid w:val="001F6094"/>
    <w:rsid w:val="001F620A"/>
    <w:rsid w:val="001F628B"/>
    <w:rsid w:val="001F64EF"/>
    <w:rsid w:val="001F6597"/>
    <w:rsid w:val="001F6618"/>
    <w:rsid w:val="001F66C4"/>
    <w:rsid w:val="001F68A6"/>
    <w:rsid w:val="001F68CD"/>
    <w:rsid w:val="001F68DE"/>
    <w:rsid w:val="001F6937"/>
    <w:rsid w:val="001F6C68"/>
    <w:rsid w:val="001F6CCD"/>
    <w:rsid w:val="001F6D70"/>
    <w:rsid w:val="001F6E3C"/>
    <w:rsid w:val="001F6E59"/>
    <w:rsid w:val="001F6EC0"/>
    <w:rsid w:val="001F6F00"/>
    <w:rsid w:val="001F707F"/>
    <w:rsid w:val="001F70BF"/>
    <w:rsid w:val="001F7107"/>
    <w:rsid w:val="001F714D"/>
    <w:rsid w:val="001F7171"/>
    <w:rsid w:val="001F71EB"/>
    <w:rsid w:val="001F7447"/>
    <w:rsid w:val="001F74B3"/>
    <w:rsid w:val="001F7534"/>
    <w:rsid w:val="001F7601"/>
    <w:rsid w:val="001F77E1"/>
    <w:rsid w:val="001F7854"/>
    <w:rsid w:val="001F7987"/>
    <w:rsid w:val="001F79A7"/>
    <w:rsid w:val="001F79B2"/>
    <w:rsid w:val="001F7B18"/>
    <w:rsid w:val="001F7CAB"/>
    <w:rsid w:val="001F7CAD"/>
    <w:rsid w:val="001F7CF8"/>
    <w:rsid w:val="001F7D2F"/>
    <w:rsid w:val="001F7D56"/>
    <w:rsid w:val="001F7DA3"/>
    <w:rsid w:val="001F7DC3"/>
    <w:rsid w:val="001F7F38"/>
    <w:rsid w:val="001F7F64"/>
    <w:rsid w:val="001F7FDD"/>
    <w:rsid w:val="00200005"/>
    <w:rsid w:val="0020007A"/>
    <w:rsid w:val="0020020C"/>
    <w:rsid w:val="0020074C"/>
    <w:rsid w:val="002007CC"/>
    <w:rsid w:val="00200928"/>
    <w:rsid w:val="002009D4"/>
    <w:rsid w:val="00200B7F"/>
    <w:rsid w:val="00200BF0"/>
    <w:rsid w:val="00200CC4"/>
    <w:rsid w:val="00200CE4"/>
    <w:rsid w:val="00200E05"/>
    <w:rsid w:val="0020107D"/>
    <w:rsid w:val="002010B6"/>
    <w:rsid w:val="0020129D"/>
    <w:rsid w:val="002014A7"/>
    <w:rsid w:val="00201601"/>
    <w:rsid w:val="00201631"/>
    <w:rsid w:val="0020169D"/>
    <w:rsid w:val="0020185B"/>
    <w:rsid w:val="00201960"/>
    <w:rsid w:val="00201A43"/>
    <w:rsid w:val="00201A69"/>
    <w:rsid w:val="00201B13"/>
    <w:rsid w:val="00201CA0"/>
    <w:rsid w:val="00201D1A"/>
    <w:rsid w:val="00201D4A"/>
    <w:rsid w:val="00201EB3"/>
    <w:rsid w:val="00201F2D"/>
    <w:rsid w:val="0020216F"/>
    <w:rsid w:val="0020221D"/>
    <w:rsid w:val="00202246"/>
    <w:rsid w:val="002024A2"/>
    <w:rsid w:val="0020250E"/>
    <w:rsid w:val="0020280E"/>
    <w:rsid w:val="00202905"/>
    <w:rsid w:val="00202BB9"/>
    <w:rsid w:val="00203003"/>
    <w:rsid w:val="00203085"/>
    <w:rsid w:val="002033F9"/>
    <w:rsid w:val="00203463"/>
    <w:rsid w:val="00203508"/>
    <w:rsid w:val="0020367E"/>
    <w:rsid w:val="00203719"/>
    <w:rsid w:val="00203783"/>
    <w:rsid w:val="00203864"/>
    <w:rsid w:val="0020386D"/>
    <w:rsid w:val="00203872"/>
    <w:rsid w:val="002038C0"/>
    <w:rsid w:val="0020395E"/>
    <w:rsid w:val="00203981"/>
    <w:rsid w:val="00203A05"/>
    <w:rsid w:val="00203B9A"/>
    <w:rsid w:val="00203C59"/>
    <w:rsid w:val="00203DE0"/>
    <w:rsid w:val="00203EE2"/>
    <w:rsid w:val="00203F64"/>
    <w:rsid w:val="00204072"/>
    <w:rsid w:val="002040ED"/>
    <w:rsid w:val="002042B4"/>
    <w:rsid w:val="0020448A"/>
    <w:rsid w:val="0020459F"/>
    <w:rsid w:val="00204608"/>
    <w:rsid w:val="002046C2"/>
    <w:rsid w:val="002046FA"/>
    <w:rsid w:val="00204808"/>
    <w:rsid w:val="002049EC"/>
    <w:rsid w:val="00204B36"/>
    <w:rsid w:val="00204B3B"/>
    <w:rsid w:val="00204B46"/>
    <w:rsid w:val="00204B71"/>
    <w:rsid w:val="00204C0E"/>
    <w:rsid w:val="00204C4C"/>
    <w:rsid w:val="00204C55"/>
    <w:rsid w:val="00204C9F"/>
    <w:rsid w:val="00204CF6"/>
    <w:rsid w:val="00204CF9"/>
    <w:rsid w:val="00204D13"/>
    <w:rsid w:val="00204D1F"/>
    <w:rsid w:val="00204DA0"/>
    <w:rsid w:val="00204F0C"/>
    <w:rsid w:val="00204F85"/>
    <w:rsid w:val="0020501D"/>
    <w:rsid w:val="0020512E"/>
    <w:rsid w:val="00205190"/>
    <w:rsid w:val="002051BE"/>
    <w:rsid w:val="00205314"/>
    <w:rsid w:val="002053AC"/>
    <w:rsid w:val="0020543A"/>
    <w:rsid w:val="0020543C"/>
    <w:rsid w:val="002054FB"/>
    <w:rsid w:val="00205632"/>
    <w:rsid w:val="00205794"/>
    <w:rsid w:val="00205795"/>
    <w:rsid w:val="00205803"/>
    <w:rsid w:val="0020586F"/>
    <w:rsid w:val="002058A3"/>
    <w:rsid w:val="002058C0"/>
    <w:rsid w:val="00205A87"/>
    <w:rsid w:val="00205B9F"/>
    <w:rsid w:val="00205CA5"/>
    <w:rsid w:val="00205CEF"/>
    <w:rsid w:val="0020602A"/>
    <w:rsid w:val="0020603B"/>
    <w:rsid w:val="0020607F"/>
    <w:rsid w:val="00206107"/>
    <w:rsid w:val="00206181"/>
    <w:rsid w:val="002062AB"/>
    <w:rsid w:val="002063DE"/>
    <w:rsid w:val="002064AE"/>
    <w:rsid w:val="0020652E"/>
    <w:rsid w:val="00206615"/>
    <w:rsid w:val="0020667E"/>
    <w:rsid w:val="0020668D"/>
    <w:rsid w:val="00206835"/>
    <w:rsid w:val="0020684F"/>
    <w:rsid w:val="002068EE"/>
    <w:rsid w:val="00206962"/>
    <w:rsid w:val="002069B6"/>
    <w:rsid w:val="00206A44"/>
    <w:rsid w:val="00206AFB"/>
    <w:rsid w:val="00206B61"/>
    <w:rsid w:val="00206D71"/>
    <w:rsid w:val="00206DAF"/>
    <w:rsid w:val="00206F93"/>
    <w:rsid w:val="00206FA7"/>
    <w:rsid w:val="0020700A"/>
    <w:rsid w:val="002073E9"/>
    <w:rsid w:val="002073FF"/>
    <w:rsid w:val="0020749A"/>
    <w:rsid w:val="002074B6"/>
    <w:rsid w:val="0020755E"/>
    <w:rsid w:val="002076FF"/>
    <w:rsid w:val="0020775B"/>
    <w:rsid w:val="00207803"/>
    <w:rsid w:val="00207830"/>
    <w:rsid w:val="0020789C"/>
    <w:rsid w:val="002078C6"/>
    <w:rsid w:val="00207A37"/>
    <w:rsid w:val="00207BB8"/>
    <w:rsid w:val="00207BD2"/>
    <w:rsid w:val="00207CE9"/>
    <w:rsid w:val="00207EDD"/>
    <w:rsid w:val="00210112"/>
    <w:rsid w:val="0021021C"/>
    <w:rsid w:val="0021028B"/>
    <w:rsid w:val="002102C8"/>
    <w:rsid w:val="002102F6"/>
    <w:rsid w:val="0021037C"/>
    <w:rsid w:val="00210470"/>
    <w:rsid w:val="00210497"/>
    <w:rsid w:val="002107F6"/>
    <w:rsid w:val="0021080F"/>
    <w:rsid w:val="00210878"/>
    <w:rsid w:val="00210901"/>
    <w:rsid w:val="00210CE4"/>
    <w:rsid w:val="00210D98"/>
    <w:rsid w:val="00210DFD"/>
    <w:rsid w:val="00210FB1"/>
    <w:rsid w:val="00211111"/>
    <w:rsid w:val="0021116B"/>
    <w:rsid w:val="0021133C"/>
    <w:rsid w:val="00211451"/>
    <w:rsid w:val="002115BE"/>
    <w:rsid w:val="0021168F"/>
    <w:rsid w:val="002116FC"/>
    <w:rsid w:val="00211736"/>
    <w:rsid w:val="002117E3"/>
    <w:rsid w:val="002117EE"/>
    <w:rsid w:val="00211806"/>
    <w:rsid w:val="00211AEE"/>
    <w:rsid w:val="00211C2B"/>
    <w:rsid w:val="00211E69"/>
    <w:rsid w:val="00211EA9"/>
    <w:rsid w:val="00211F06"/>
    <w:rsid w:val="00211F77"/>
    <w:rsid w:val="00211FC1"/>
    <w:rsid w:val="00211FF1"/>
    <w:rsid w:val="0021208A"/>
    <w:rsid w:val="002121F0"/>
    <w:rsid w:val="0021229D"/>
    <w:rsid w:val="002122E8"/>
    <w:rsid w:val="00212358"/>
    <w:rsid w:val="002123DE"/>
    <w:rsid w:val="0021241C"/>
    <w:rsid w:val="002127C3"/>
    <w:rsid w:val="002127C8"/>
    <w:rsid w:val="00212816"/>
    <w:rsid w:val="00212849"/>
    <w:rsid w:val="002128EF"/>
    <w:rsid w:val="00212ACC"/>
    <w:rsid w:val="00212B29"/>
    <w:rsid w:val="00212B93"/>
    <w:rsid w:val="00212C87"/>
    <w:rsid w:val="00212CD6"/>
    <w:rsid w:val="00212CE3"/>
    <w:rsid w:val="00212FDA"/>
    <w:rsid w:val="002130CD"/>
    <w:rsid w:val="0021310E"/>
    <w:rsid w:val="002133F1"/>
    <w:rsid w:val="00213404"/>
    <w:rsid w:val="00213563"/>
    <w:rsid w:val="0021359F"/>
    <w:rsid w:val="00213692"/>
    <w:rsid w:val="00213715"/>
    <w:rsid w:val="0021371F"/>
    <w:rsid w:val="0021385E"/>
    <w:rsid w:val="00213933"/>
    <w:rsid w:val="002139EF"/>
    <w:rsid w:val="00213A96"/>
    <w:rsid w:val="00213AD5"/>
    <w:rsid w:val="00213C9B"/>
    <w:rsid w:val="00213D12"/>
    <w:rsid w:val="00213D4A"/>
    <w:rsid w:val="00213D9E"/>
    <w:rsid w:val="00213EA4"/>
    <w:rsid w:val="00213F06"/>
    <w:rsid w:val="00213F89"/>
    <w:rsid w:val="002140AB"/>
    <w:rsid w:val="002140B3"/>
    <w:rsid w:val="002141C4"/>
    <w:rsid w:val="002141E6"/>
    <w:rsid w:val="00214208"/>
    <w:rsid w:val="002143B5"/>
    <w:rsid w:val="0021442E"/>
    <w:rsid w:val="00214584"/>
    <w:rsid w:val="00214751"/>
    <w:rsid w:val="00214A0F"/>
    <w:rsid w:val="00214B13"/>
    <w:rsid w:val="00214B5D"/>
    <w:rsid w:val="00214D81"/>
    <w:rsid w:val="00214DFE"/>
    <w:rsid w:val="00214E47"/>
    <w:rsid w:val="00214E4E"/>
    <w:rsid w:val="00214E9E"/>
    <w:rsid w:val="00214F2E"/>
    <w:rsid w:val="00214F33"/>
    <w:rsid w:val="00214F8F"/>
    <w:rsid w:val="002150CA"/>
    <w:rsid w:val="00215231"/>
    <w:rsid w:val="00215278"/>
    <w:rsid w:val="00215367"/>
    <w:rsid w:val="00215791"/>
    <w:rsid w:val="002158CC"/>
    <w:rsid w:val="0021598A"/>
    <w:rsid w:val="0021598C"/>
    <w:rsid w:val="002159C2"/>
    <w:rsid w:val="00215CAE"/>
    <w:rsid w:val="00215D65"/>
    <w:rsid w:val="00215DEA"/>
    <w:rsid w:val="002160E0"/>
    <w:rsid w:val="00216167"/>
    <w:rsid w:val="00216227"/>
    <w:rsid w:val="0021660B"/>
    <w:rsid w:val="002166C2"/>
    <w:rsid w:val="002167A5"/>
    <w:rsid w:val="0021686C"/>
    <w:rsid w:val="002168AC"/>
    <w:rsid w:val="00216930"/>
    <w:rsid w:val="00216955"/>
    <w:rsid w:val="0021696B"/>
    <w:rsid w:val="00216985"/>
    <w:rsid w:val="002169A9"/>
    <w:rsid w:val="00216C6B"/>
    <w:rsid w:val="00216DFA"/>
    <w:rsid w:val="00216E23"/>
    <w:rsid w:val="00216F6D"/>
    <w:rsid w:val="00216FB1"/>
    <w:rsid w:val="00217007"/>
    <w:rsid w:val="00217030"/>
    <w:rsid w:val="0021704A"/>
    <w:rsid w:val="00217134"/>
    <w:rsid w:val="002171E3"/>
    <w:rsid w:val="00217250"/>
    <w:rsid w:val="00217381"/>
    <w:rsid w:val="0021741A"/>
    <w:rsid w:val="00217441"/>
    <w:rsid w:val="002174B5"/>
    <w:rsid w:val="002174F2"/>
    <w:rsid w:val="002175C7"/>
    <w:rsid w:val="002175D1"/>
    <w:rsid w:val="00217631"/>
    <w:rsid w:val="00217787"/>
    <w:rsid w:val="002177BD"/>
    <w:rsid w:val="0021782A"/>
    <w:rsid w:val="00217939"/>
    <w:rsid w:val="002179B1"/>
    <w:rsid w:val="00217A8D"/>
    <w:rsid w:val="00217BCD"/>
    <w:rsid w:val="00217C5E"/>
    <w:rsid w:val="00217DC7"/>
    <w:rsid w:val="00217DE8"/>
    <w:rsid w:val="00217FB3"/>
    <w:rsid w:val="00220088"/>
    <w:rsid w:val="00220372"/>
    <w:rsid w:val="002205BA"/>
    <w:rsid w:val="00220747"/>
    <w:rsid w:val="00220798"/>
    <w:rsid w:val="002207F0"/>
    <w:rsid w:val="00220848"/>
    <w:rsid w:val="002208B5"/>
    <w:rsid w:val="00220B66"/>
    <w:rsid w:val="00220D6C"/>
    <w:rsid w:val="00220DF8"/>
    <w:rsid w:val="00220E86"/>
    <w:rsid w:val="002210C4"/>
    <w:rsid w:val="00221119"/>
    <w:rsid w:val="002212E0"/>
    <w:rsid w:val="0022137A"/>
    <w:rsid w:val="002215D4"/>
    <w:rsid w:val="002216B2"/>
    <w:rsid w:val="00221758"/>
    <w:rsid w:val="00221888"/>
    <w:rsid w:val="00221904"/>
    <w:rsid w:val="00221916"/>
    <w:rsid w:val="00221A59"/>
    <w:rsid w:val="00221B2B"/>
    <w:rsid w:val="00221D12"/>
    <w:rsid w:val="00221D5A"/>
    <w:rsid w:val="00221DB7"/>
    <w:rsid w:val="00221E3B"/>
    <w:rsid w:val="00221FF4"/>
    <w:rsid w:val="002221EB"/>
    <w:rsid w:val="00222346"/>
    <w:rsid w:val="002223D6"/>
    <w:rsid w:val="002224B2"/>
    <w:rsid w:val="0022251B"/>
    <w:rsid w:val="002227C7"/>
    <w:rsid w:val="002227D9"/>
    <w:rsid w:val="00222832"/>
    <w:rsid w:val="00222B8E"/>
    <w:rsid w:val="00222C13"/>
    <w:rsid w:val="00222D3D"/>
    <w:rsid w:val="00222E1B"/>
    <w:rsid w:val="00222E7D"/>
    <w:rsid w:val="00223067"/>
    <w:rsid w:val="002230D3"/>
    <w:rsid w:val="00223172"/>
    <w:rsid w:val="002232A2"/>
    <w:rsid w:val="002232E3"/>
    <w:rsid w:val="00223743"/>
    <w:rsid w:val="002237E5"/>
    <w:rsid w:val="00223939"/>
    <w:rsid w:val="0022399F"/>
    <w:rsid w:val="00223A3F"/>
    <w:rsid w:val="00223B3F"/>
    <w:rsid w:val="00223BCE"/>
    <w:rsid w:val="00223D06"/>
    <w:rsid w:val="00223D78"/>
    <w:rsid w:val="0022410D"/>
    <w:rsid w:val="002241DB"/>
    <w:rsid w:val="002243B5"/>
    <w:rsid w:val="00224558"/>
    <w:rsid w:val="00224704"/>
    <w:rsid w:val="0022472F"/>
    <w:rsid w:val="00224762"/>
    <w:rsid w:val="002247DF"/>
    <w:rsid w:val="00224884"/>
    <w:rsid w:val="002248B3"/>
    <w:rsid w:val="002248FB"/>
    <w:rsid w:val="00224B71"/>
    <w:rsid w:val="00224C74"/>
    <w:rsid w:val="00224C8F"/>
    <w:rsid w:val="00224CF7"/>
    <w:rsid w:val="00224E9C"/>
    <w:rsid w:val="00224F4F"/>
    <w:rsid w:val="0022507C"/>
    <w:rsid w:val="002250C1"/>
    <w:rsid w:val="0022511E"/>
    <w:rsid w:val="00225260"/>
    <w:rsid w:val="002252AC"/>
    <w:rsid w:val="002253BC"/>
    <w:rsid w:val="00225521"/>
    <w:rsid w:val="0022553F"/>
    <w:rsid w:val="00225597"/>
    <w:rsid w:val="0022567D"/>
    <w:rsid w:val="00225791"/>
    <w:rsid w:val="002257BF"/>
    <w:rsid w:val="002257D6"/>
    <w:rsid w:val="002258EF"/>
    <w:rsid w:val="00225A27"/>
    <w:rsid w:val="00225AD9"/>
    <w:rsid w:val="00225B03"/>
    <w:rsid w:val="00225B10"/>
    <w:rsid w:val="00225D3C"/>
    <w:rsid w:val="00225DFC"/>
    <w:rsid w:val="00225F15"/>
    <w:rsid w:val="00225FD8"/>
    <w:rsid w:val="0022601D"/>
    <w:rsid w:val="00226028"/>
    <w:rsid w:val="00226073"/>
    <w:rsid w:val="002260DD"/>
    <w:rsid w:val="002260FB"/>
    <w:rsid w:val="0022610A"/>
    <w:rsid w:val="002262E8"/>
    <w:rsid w:val="00226309"/>
    <w:rsid w:val="0022633D"/>
    <w:rsid w:val="00226341"/>
    <w:rsid w:val="0022645C"/>
    <w:rsid w:val="002265DD"/>
    <w:rsid w:val="00226766"/>
    <w:rsid w:val="00226786"/>
    <w:rsid w:val="002268B5"/>
    <w:rsid w:val="002268C4"/>
    <w:rsid w:val="0022696B"/>
    <w:rsid w:val="00226A2D"/>
    <w:rsid w:val="00226B07"/>
    <w:rsid w:val="00226CD5"/>
    <w:rsid w:val="00226E3A"/>
    <w:rsid w:val="00226EB5"/>
    <w:rsid w:val="002270B2"/>
    <w:rsid w:val="002270B3"/>
    <w:rsid w:val="002272DB"/>
    <w:rsid w:val="002273AD"/>
    <w:rsid w:val="0022761A"/>
    <w:rsid w:val="0022792F"/>
    <w:rsid w:val="002279F3"/>
    <w:rsid w:val="00227A09"/>
    <w:rsid w:val="00227A2D"/>
    <w:rsid w:val="00227A53"/>
    <w:rsid w:val="00227ACE"/>
    <w:rsid w:val="00227C98"/>
    <w:rsid w:val="00227D18"/>
    <w:rsid w:val="00227E50"/>
    <w:rsid w:val="00227F23"/>
    <w:rsid w:val="00227FA8"/>
    <w:rsid w:val="00227FAF"/>
    <w:rsid w:val="00230236"/>
    <w:rsid w:val="0023029B"/>
    <w:rsid w:val="002302FE"/>
    <w:rsid w:val="00230515"/>
    <w:rsid w:val="00230602"/>
    <w:rsid w:val="002306E9"/>
    <w:rsid w:val="00230762"/>
    <w:rsid w:val="0023088B"/>
    <w:rsid w:val="002308F3"/>
    <w:rsid w:val="00230B3F"/>
    <w:rsid w:val="00230B65"/>
    <w:rsid w:val="00230B6C"/>
    <w:rsid w:val="00230CA0"/>
    <w:rsid w:val="00230CA4"/>
    <w:rsid w:val="00230DF9"/>
    <w:rsid w:val="002311F9"/>
    <w:rsid w:val="00231516"/>
    <w:rsid w:val="0023158E"/>
    <w:rsid w:val="002315AF"/>
    <w:rsid w:val="00231667"/>
    <w:rsid w:val="00231686"/>
    <w:rsid w:val="00231695"/>
    <w:rsid w:val="00231725"/>
    <w:rsid w:val="002317DE"/>
    <w:rsid w:val="0023193A"/>
    <w:rsid w:val="00231A5C"/>
    <w:rsid w:val="00231B05"/>
    <w:rsid w:val="00231B5B"/>
    <w:rsid w:val="00231B80"/>
    <w:rsid w:val="00231BE4"/>
    <w:rsid w:val="00231C2C"/>
    <w:rsid w:val="00231D4A"/>
    <w:rsid w:val="00232098"/>
    <w:rsid w:val="00232111"/>
    <w:rsid w:val="00232193"/>
    <w:rsid w:val="00232239"/>
    <w:rsid w:val="0023226D"/>
    <w:rsid w:val="002323A0"/>
    <w:rsid w:val="00232599"/>
    <w:rsid w:val="0023273C"/>
    <w:rsid w:val="0023286E"/>
    <w:rsid w:val="0023289B"/>
    <w:rsid w:val="0023291E"/>
    <w:rsid w:val="00232B8F"/>
    <w:rsid w:val="00232C46"/>
    <w:rsid w:val="00232CD0"/>
    <w:rsid w:val="00232D0C"/>
    <w:rsid w:val="00232D37"/>
    <w:rsid w:val="00232E70"/>
    <w:rsid w:val="00232EA2"/>
    <w:rsid w:val="00232EA9"/>
    <w:rsid w:val="00232ED4"/>
    <w:rsid w:val="00232FCF"/>
    <w:rsid w:val="00233020"/>
    <w:rsid w:val="00233048"/>
    <w:rsid w:val="00233325"/>
    <w:rsid w:val="002333E9"/>
    <w:rsid w:val="002334D5"/>
    <w:rsid w:val="002335AF"/>
    <w:rsid w:val="002337B5"/>
    <w:rsid w:val="002339C1"/>
    <w:rsid w:val="00233A4D"/>
    <w:rsid w:val="00233A4F"/>
    <w:rsid w:val="00233B14"/>
    <w:rsid w:val="00233CE9"/>
    <w:rsid w:val="00233DC7"/>
    <w:rsid w:val="00233E25"/>
    <w:rsid w:val="00233E26"/>
    <w:rsid w:val="00233EB9"/>
    <w:rsid w:val="00233FDA"/>
    <w:rsid w:val="002341D4"/>
    <w:rsid w:val="002341FE"/>
    <w:rsid w:val="00234223"/>
    <w:rsid w:val="00234299"/>
    <w:rsid w:val="002343FA"/>
    <w:rsid w:val="002344B4"/>
    <w:rsid w:val="00234510"/>
    <w:rsid w:val="002345CC"/>
    <w:rsid w:val="002345D5"/>
    <w:rsid w:val="00234810"/>
    <w:rsid w:val="002348A0"/>
    <w:rsid w:val="002348B4"/>
    <w:rsid w:val="002348D6"/>
    <w:rsid w:val="002349F2"/>
    <w:rsid w:val="00234DF5"/>
    <w:rsid w:val="00234E51"/>
    <w:rsid w:val="00234E97"/>
    <w:rsid w:val="00234F8B"/>
    <w:rsid w:val="00234FD6"/>
    <w:rsid w:val="00235074"/>
    <w:rsid w:val="00235078"/>
    <w:rsid w:val="00235249"/>
    <w:rsid w:val="00235254"/>
    <w:rsid w:val="002352E1"/>
    <w:rsid w:val="00235366"/>
    <w:rsid w:val="0023562E"/>
    <w:rsid w:val="00235636"/>
    <w:rsid w:val="00235693"/>
    <w:rsid w:val="00235867"/>
    <w:rsid w:val="00235902"/>
    <w:rsid w:val="00235986"/>
    <w:rsid w:val="00235A47"/>
    <w:rsid w:val="00235AB0"/>
    <w:rsid w:val="00235B90"/>
    <w:rsid w:val="00235C45"/>
    <w:rsid w:val="00235CDD"/>
    <w:rsid w:val="00235DC7"/>
    <w:rsid w:val="00235F0B"/>
    <w:rsid w:val="00235F13"/>
    <w:rsid w:val="00235F6D"/>
    <w:rsid w:val="00235FA5"/>
    <w:rsid w:val="0023606C"/>
    <w:rsid w:val="002360E6"/>
    <w:rsid w:val="0023627A"/>
    <w:rsid w:val="002363C1"/>
    <w:rsid w:val="002364BA"/>
    <w:rsid w:val="002364C9"/>
    <w:rsid w:val="002364E1"/>
    <w:rsid w:val="00236526"/>
    <w:rsid w:val="00236659"/>
    <w:rsid w:val="0023681B"/>
    <w:rsid w:val="00236852"/>
    <w:rsid w:val="002368E6"/>
    <w:rsid w:val="002368FC"/>
    <w:rsid w:val="002369B5"/>
    <w:rsid w:val="00236A1E"/>
    <w:rsid w:val="00236A76"/>
    <w:rsid w:val="00236AA9"/>
    <w:rsid w:val="00236B92"/>
    <w:rsid w:val="00236BD7"/>
    <w:rsid w:val="00236CA3"/>
    <w:rsid w:val="00236F08"/>
    <w:rsid w:val="00236F18"/>
    <w:rsid w:val="00236F6A"/>
    <w:rsid w:val="00237022"/>
    <w:rsid w:val="00237085"/>
    <w:rsid w:val="00237087"/>
    <w:rsid w:val="002370B7"/>
    <w:rsid w:val="002373B6"/>
    <w:rsid w:val="00237660"/>
    <w:rsid w:val="00237735"/>
    <w:rsid w:val="0023784E"/>
    <w:rsid w:val="0023793A"/>
    <w:rsid w:val="00237ABF"/>
    <w:rsid w:val="00237AFD"/>
    <w:rsid w:val="00237B2B"/>
    <w:rsid w:val="00237D4B"/>
    <w:rsid w:val="00237E6E"/>
    <w:rsid w:val="00237F2B"/>
    <w:rsid w:val="002400A2"/>
    <w:rsid w:val="0024014E"/>
    <w:rsid w:val="00240210"/>
    <w:rsid w:val="00240391"/>
    <w:rsid w:val="002404E4"/>
    <w:rsid w:val="0024053A"/>
    <w:rsid w:val="00240811"/>
    <w:rsid w:val="0024085B"/>
    <w:rsid w:val="002408B6"/>
    <w:rsid w:val="00240A53"/>
    <w:rsid w:val="00240AC5"/>
    <w:rsid w:val="00240B88"/>
    <w:rsid w:val="00240D74"/>
    <w:rsid w:val="00240E80"/>
    <w:rsid w:val="00240F37"/>
    <w:rsid w:val="00240F94"/>
    <w:rsid w:val="0024134B"/>
    <w:rsid w:val="0024168E"/>
    <w:rsid w:val="002416A6"/>
    <w:rsid w:val="00241830"/>
    <w:rsid w:val="00241893"/>
    <w:rsid w:val="00241966"/>
    <w:rsid w:val="00241A04"/>
    <w:rsid w:val="00241B0D"/>
    <w:rsid w:val="00241C66"/>
    <w:rsid w:val="00241C92"/>
    <w:rsid w:val="00241CEC"/>
    <w:rsid w:val="00241D70"/>
    <w:rsid w:val="00241F98"/>
    <w:rsid w:val="00242093"/>
    <w:rsid w:val="002420C1"/>
    <w:rsid w:val="002420D6"/>
    <w:rsid w:val="00242174"/>
    <w:rsid w:val="002421AF"/>
    <w:rsid w:val="0024221F"/>
    <w:rsid w:val="00242239"/>
    <w:rsid w:val="00242411"/>
    <w:rsid w:val="00242432"/>
    <w:rsid w:val="002424BE"/>
    <w:rsid w:val="002424E9"/>
    <w:rsid w:val="00242597"/>
    <w:rsid w:val="002425D4"/>
    <w:rsid w:val="0024282A"/>
    <w:rsid w:val="00242C20"/>
    <w:rsid w:val="00242C97"/>
    <w:rsid w:val="00242CD3"/>
    <w:rsid w:val="00242D27"/>
    <w:rsid w:val="00242DA0"/>
    <w:rsid w:val="00242E57"/>
    <w:rsid w:val="00242F78"/>
    <w:rsid w:val="00243039"/>
    <w:rsid w:val="00243197"/>
    <w:rsid w:val="002432CF"/>
    <w:rsid w:val="00243653"/>
    <w:rsid w:val="0024378E"/>
    <w:rsid w:val="002437D9"/>
    <w:rsid w:val="002438EC"/>
    <w:rsid w:val="00243999"/>
    <w:rsid w:val="00243AE1"/>
    <w:rsid w:val="00243BFA"/>
    <w:rsid w:val="00243D8A"/>
    <w:rsid w:val="00243D95"/>
    <w:rsid w:val="00243FAA"/>
    <w:rsid w:val="0024415C"/>
    <w:rsid w:val="00244222"/>
    <w:rsid w:val="002442B1"/>
    <w:rsid w:val="002442E4"/>
    <w:rsid w:val="00244359"/>
    <w:rsid w:val="002443AB"/>
    <w:rsid w:val="0024448A"/>
    <w:rsid w:val="00244608"/>
    <w:rsid w:val="002446A0"/>
    <w:rsid w:val="002446F7"/>
    <w:rsid w:val="0024496D"/>
    <w:rsid w:val="00244B1A"/>
    <w:rsid w:val="00244B5E"/>
    <w:rsid w:val="00244DDA"/>
    <w:rsid w:val="00244E19"/>
    <w:rsid w:val="00244EC6"/>
    <w:rsid w:val="00244F97"/>
    <w:rsid w:val="002450C4"/>
    <w:rsid w:val="002450E3"/>
    <w:rsid w:val="0024519D"/>
    <w:rsid w:val="002452B5"/>
    <w:rsid w:val="002452F0"/>
    <w:rsid w:val="0024535A"/>
    <w:rsid w:val="00245398"/>
    <w:rsid w:val="002454BB"/>
    <w:rsid w:val="002454C6"/>
    <w:rsid w:val="0024579E"/>
    <w:rsid w:val="002457AC"/>
    <w:rsid w:val="002458B1"/>
    <w:rsid w:val="002458C7"/>
    <w:rsid w:val="002458C9"/>
    <w:rsid w:val="00245904"/>
    <w:rsid w:val="002459EE"/>
    <w:rsid w:val="00245B05"/>
    <w:rsid w:val="00245C4B"/>
    <w:rsid w:val="00245C8C"/>
    <w:rsid w:val="00245D88"/>
    <w:rsid w:val="00245EF3"/>
    <w:rsid w:val="00246066"/>
    <w:rsid w:val="00246093"/>
    <w:rsid w:val="0024609B"/>
    <w:rsid w:val="002461EC"/>
    <w:rsid w:val="002463E4"/>
    <w:rsid w:val="002465AA"/>
    <w:rsid w:val="002466A7"/>
    <w:rsid w:val="00246867"/>
    <w:rsid w:val="002468D5"/>
    <w:rsid w:val="00246A67"/>
    <w:rsid w:val="00246CA1"/>
    <w:rsid w:val="00246D2D"/>
    <w:rsid w:val="00246DC7"/>
    <w:rsid w:val="00246E44"/>
    <w:rsid w:val="00246E8D"/>
    <w:rsid w:val="00246F21"/>
    <w:rsid w:val="00246F69"/>
    <w:rsid w:val="00246F6B"/>
    <w:rsid w:val="0024701F"/>
    <w:rsid w:val="00247453"/>
    <w:rsid w:val="0024746F"/>
    <w:rsid w:val="00247567"/>
    <w:rsid w:val="002476DE"/>
    <w:rsid w:val="002476E0"/>
    <w:rsid w:val="00247708"/>
    <w:rsid w:val="0024774B"/>
    <w:rsid w:val="00247974"/>
    <w:rsid w:val="00247ABF"/>
    <w:rsid w:val="00247B14"/>
    <w:rsid w:val="00247B23"/>
    <w:rsid w:val="00247D06"/>
    <w:rsid w:val="00247F16"/>
    <w:rsid w:val="0025009F"/>
    <w:rsid w:val="002501D9"/>
    <w:rsid w:val="002502D9"/>
    <w:rsid w:val="002502E6"/>
    <w:rsid w:val="002504FD"/>
    <w:rsid w:val="0025054F"/>
    <w:rsid w:val="002505A3"/>
    <w:rsid w:val="0025062E"/>
    <w:rsid w:val="0025078A"/>
    <w:rsid w:val="002507E7"/>
    <w:rsid w:val="002508EA"/>
    <w:rsid w:val="00250954"/>
    <w:rsid w:val="00250AAB"/>
    <w:rsid w:val="00250B8E"/>
    <w:rsid w:val="00250BFB"/>
    <w:rsid w:val="00250D07"/>
    <w:rsid w:val="00250E58"/>
    <w:rsid w:val="00250EC7"/>
    <w:rsid w:val="00251052"/>
    <w:rsid w:val="00251144"/>
    <w:rsid w:val="0025119D"/>
    <w:rsid w:val="002511F4"/>
    <w:rsid w:val="00251442"/>
    <w:rsid w:val="002514F0"/>
    <w:rsid w:val="0025163B"/>
    <w:rsid w:val="002516AC"/>
    <w:rsid w:val="00251961"/>
    <w:rsid w:val="00251C8A"/>
    <w:rsid w:val="00251D0A"/>
    <w:rsid w:val="00251EF0"/>
    <w:rsid w:val="00252146"/>
    <w:rsid w:val="00252539"/>
    <w:rsid w:val="00252633"/>
    <w:rsid w:val="00252756"/>
    <w:rsid w:val="0025284C"/>
    <w:rsid w:val="00252856"/>
    <w:rsid w:val="0025295F"/>
    <w:rsid w:val="00252965"/>
    <w:rsid w:val="00252B85"/>
    <w:rsid w:val="00252BC9"/>
    <w:rsid w:val="00252CA4"/>
    <w:rsid w:val="00252D17"/>
    <w:rsid w:val="00252D73"/>
    <w:rsid w:val="00252E3F"/>
    <w:rsid w:val="00252F05"/>
    <w:rsid w:val="00253370"/>
    <w:rsid w:val="002533C2"/>
    <w:rsid w:val="00253406"/>
    <w:rsid w:val="00253441"/>
    <w:rsid w:val="00253609"/>
    <w:rsid w:val="00253865"/>
    <w:rsid w:val="00253936"/>
    <w:rsid w:val="002539D4"/>
    <w:rsid w:val="00253A6B"/>
    <w:rsid w:val="00253A9F"/>
    <w:rsid w:val="00253AC8"/>
    <w:rsid w:val="00253B0D"/>
    <w:rsid w:val="00253B24"/>
    <w:rsid w:val="00253B25"/>
    <w:rsid w:val="00253B5F"/>
    <w:rsid w:val="00253BB3"/>
    <w:rsid w:val="00253DA2"/>
    <w:rsid w:val="00253E88"/>
    <w:rsid w:val="00253EEC"/>
    <w:rsid w:val="00253F06"/>
    <w:rsid w:val="00253FAC"/>
    <w:rsid w:val="00254001"/>
    <w:rsid w:val="002541BE"/>
    <w:rsid w:val="0025434E"/>
    <w:rsid w:val="00254489"/>
    <w:rsid w:val="0025454F"/>
    <w:rsid w:val="002545E5"/>
    <w:rsid w:val="00254640"/>
    <w:rsid w:val="002546D8"/>
    <w:rsid w:val="002546E7"/>
    <w:rsid w:val="0025479B"/>
    <w:rsid w:val="002548DD"/>
    <w:rsid w:val="00254CC5"/>
    <w:rsid w:val="00254FE8"/>
    <w:rsid w:val="002552E9"/>
    <w:rsid w:val="00255334"/>
    <w:rsid w:val="002553CC"/>
    <w:rsid w:val="002554E3"/>
    <w:rsid w:val="002555F4"/>
    <w:rsid w:val="002556DA"/>
    <w:rsid w:val="00255715"/>
    <w:rsid w:val="002558FE"/>
    <w:rsid w:val="00255AF6"/>
    <w:rsid w:val="00255B0C"/>
    <w:rsid w:val="00255BC6"/>
    <w:rsid w:val="00255C7B"/>
    <w:rsid w:val="00255E36"/>
    <w:rsid w:val="00255E5B"/>
    <w:rsid w:val="00255E90"/>
    <w:rsid w:val="00255FB6"/>
    <w:rsid w:val="00256165"/>
    <w:rsid w:val="0025626A"/>
    <w:rsid w:val="00256341"/>
    <w:rsid w:val="002564DA"/>
    <w:rsid w:val="0025658E"/>
    <w:rsid w:val="00256707"/>
    <w:rsid w:val="00256882"/>
    <w:rsid w:val="002568D1"/>
    <w:rsid w:val="002569A8"/>
    <w:rsid w:val="00256A1C"/>
    <w:rsid w:val="00256A74"/>
    <w:rsid w:val="00256B3C"/>
    <w:rsid w:val="00256C6B"/>
    <w:rsid w:val="00256C87"/>
    <w:rsid w:val="00256E4F"/>
    <w:rsid w:val="00256ECB"/>
    <w:rsid w:val="00257391"/>
    <w:rsid w:val="002573A3"/>
    <w:rsid w:val="002573EC"/>
    <w:rsid w:val="00257532"/>
    <w:rsid w:val="00257555"/>
    <w:rsid w:val="0025760C"/>
    <w:rsid w:val="0025761F"/>
    <w:rsid w:val="00257635"/>
    <w:rsid w:val="00257704"/>
    <w:rsid w:val="00257C5B"/>
    <w:rsid w:val="00257D71"/>
    <w:rsid w:val="00257F3B"/>
    <w:rsid w:val="00257F66"/>
    <w:rsid w:val="00257F76"/>
    <w:rsid w:val="00257FA8"/>
    <w:rsid w:val="00257FDE"/>
    <w:rsid w:val="0026004A"/>
    <w:rsid w:val="00260064"/>
    <w:rsid w:val="00260078"/>
    <w:rsid w:val="002600DE"/>
    <w:rsid w:val="002602F9"/>
    <w:rsid w:val="002603B4"/>
    <w:rsid w:val="0026050F"/>
    <w:rsid w:val="00260587"/>
    <w:rsid w:val="002606C5"/>
    <w:rsid w:val="00260BD4"/>
    <w:rsid w:val="00260E7A"/>
    <w:rsid w:val="00260F70"/>
    <w:rsid w:val="00261149"/>
    <w:rsid w:val="00261209"/>
    <w:rsid w:val="002613B0"/>
    <w:rsid w:val="002613D8"/>
    <w:rsid w:val="0026163A"/>
    <w:rsid w:val="00261672"/>
    <w:rsid w:val="0026167A"/>
    <w:rsid w:val="00261772"/>
    <w:rsid w:val="0026180C"/>
    <w:rsid w:val="00261846"/>
    <w:rsid w:val="0026189F"/>
    <w:rsid w:val="002618AC"/>
    <w:rsid w:val="002618ED"/>
    <w:rsid w:val="0026194F"/>
    <w:rsid w:val="002619F5"/>
    <w:rsid w:val="00261BC4"/>
    <w:rsid w:val="00261FF7"/>
    <w:rsid w:val="00262014"/>
    <w:rsid w:val="00262423"/>
    <w:rsid w:val="002624C8"/>
    <w:rsid w:val="00262552"/>
    <w:rsid w:val="002626CD"/>
    <w:rsid w:val="002628F7"/>
    <w:rsid w:val="00262930"/>
    <w:rsid w:val="00262A16"/>
    <w:rsid w:val="00262C3E"/>
    <w:rsid w:val="00262C6C"/>
    <w:rsid w:val="00262EDC"/>
    <w:rsid w:val="00262F37"/>
    <w:rsid w:val="00262F41"/>
    <w:rsid w:val="0026322A"/>
    <w:rsid w:val="0026325E"/>
    <w:rsid w:val="00263454"/>
    <w:rsid w:val="00263496"/>
    <w:rsid w:val="002634A4"/>
    <w:rsid w:val="002635BC"/>
    <w:rsid w:val="002636BD"/>
    <w:rsid w:val="002636E3"/>
    <w:rsid w:val="0026370B"/>
    <w:rsid w:val="002637A2"/>
    <w:rsid w:val="002637BA"/>
    <w:rsid w:val="002637E2"/>
    <w:rsid w:val="00263989"/>
    <w:rsid w:val="00263AD7"/>
    <w:rsid w:val="00263AE0"/>
    <w:rsid w:val="00263B49"/>
    <w:rsid w:val="00263B8D"/>
    <w:rsid w:val="00263D79"/>
    <w:rsid w:val="00263F79"/>
    <w:rsid w:val="00264135"/>
    <w:rsid w:val="0026427F"/>
    <w:rsid w:val="002642DE"/>
    <w:rsid w:val="002643A7"/>
    <w:rsid w:val="00264492"/>
    <w:rsid w:val="002644F0"/>
    <w:rsid w:val="00264540"/>
    <w:rsid w:val="002645AC"/>
    <w:rsid w:val="002645D6"/>
    <w:rsid w:val="0026470F"/>
    <w:rsid w:val="0026472B"/>
    <w:rsid w:val="002647FE"/>
    <w:rsid w:val="002648E6"/>
    <w:rsid w:val="00264976"/>
    <w:rsid w:val="00264A7E"/>
    <w:rsid w:val="00264AFF"/>
    <w:rsid w:val="00264B07"/>
    <w:rsid w:val="00264B0E"/>
    <w:rsid w:val="00264CB5"/>
    <w:rsid w:val="00264DC7"/>
    <w:rsid w:val="00264E8A"/>
    <w:rsid w:val="00264EE8"/>
    <w:rsid w:val="00265128"/>
    <w:rsid w:val="00265181"/>
    <w:rsid w:val="00265368"/>
    <w:rsid w:val="0026557A"/>
    <w:rsid w:val="002655FC"/>
    <w:rsid w:val="0026565A"/>
    <w:rsid w:val="0026584C"/>
    <w:rsid w:val="00265A50"/>
    <w:rsid w:val="00265ACE"/>
    <w:rsid w:val="00265BB4"/>
    <w:rsid w:val="00265D43"/>
    <w:rsid w:val="00265FC3"/>
    <w:rsid w:val="00265FCB"/>
    <w:rsid w:val="00266047"/>
    <w:rsid w:val="002661E6"/>
    <w:rsid w:val="002661F3"/>
    <w:rsid w:val="002661F4"/>
    <w:rsid w:val="00266246"/>
    <w:rsid w:val="002665F6"/>
    <w:rsid w:val="00266636"/>
    <w:rsid w:val="002667C5"/>
    <w:rsid w:val="002668BF"/>
    <w:rsid w:val="00266B94"/>
    <w:rsid w:val="00266C26"/>
    <w:rsid w:val="00266D44"/>
    <w:rsid w:val="00266DF0"/>
    <w:rsid w:val="00266E61"/>
    <w:rsid w:val="00266F33"/>
    <w:rsid w:val="00266F64"/>
    <w:rsid w:val="00266FC7"/>
    <w:rsid w:val="0026701C"/>
    <w:rsid w:val="0026710F"/>
    <w:rsid w:val="00267229"/>
    <w:rsid w:val="002672C4"/>
    <w:rsid w:val="002673CD"/>
    <w:rsid w:val="0026740A"/>
    <w:rsid w:val="00267411"/>
    <w:rsid w:val="00267489"/>
    <w:rsid w:val="002674DB"/>
    <w:rsid w:val="00267569"/>
    <w:rsid w:val="002675A8"/>
    <w:rsid w:val="00267726"/>
    <w:rsid w:val="00267766"/>
    <w:rsid w:val="0026781F"/>
    <w:rsid w:val="002678AC"/>
    <w:rsid w:val="002678E3"/>
    <w:rsid w:val="00267A12"/>
    <w:rsid w:val="00267B2F"/>
    <w:rsid w:val="00267BF0"/>
    <w:rsid w:val="00267C8C"/>
    <w:rsid w:val="00267CA5"/>
    <w:rsid w:val="00267CE5"/>
    <w:rsid w:val="00267F5D"/>
    <w:rsid w:val="0027005C"/>
    <w:rsid w:val="002701A5"/>
    <w:rsid w:val="00270241"/>
    <w:rsid w:val="002702D5"/>
    <w:rsid w:val="00270419"/>
    <w:rsid w:val="00270437"/>
    <w:rsid w:val="00270449"/>
    <w:rsid w:val="00270492"/>
    <w:rsid w:val="00270557"/>
    <w:rsid w:val="002705E6"/>
    <w:rsid w:val="0027072D"/>
    <w:rsid w:val="00270881"/>
    <w:rsid w:val="002708B8"/>
    <w:rsid w:val="0027094C"/>
    <w:rsid w:val="002709DB"/>
    <w:rsid w:val="00270A70"/>
    <w:rsid w:val="00270A8E"/>
    <w:rsid w:val="00270A97"/>
    <w:rsid w:val="00270B13"/>
    <w:rsid w:val="00270B7D"/>
    <w:rsid w:val="00270BFB"/>
    <w:rsid w:val="00270D14"/>
    <w:rsid w:val="00270E9F"/>
    <w:rsid w:val="002711C6"/>
    <w:rsid w:val="002711D7"/>
    <w:rsid w:val="00271210"/>
    <w:rsid w:val="0027127C"/>
    <w:rsid w:val="0027129B"/>
    <w:rsid w:val="00271536"/>
    <w:rsid w:val="00271624"/>
    <w:rsid w:val="00271670"/>
    <w:rsid w:val="0027167E"/>
    <w:rsid w:val="002719E7"/>
    <w:rsid w:val="00271B03"/>
    <w:rsid w:val="00271B04"/>
    <w:rsid w:val="00271B51"/>
    <w:rsid w:val="00271F13"/>
    <w:rsid w:val="00272002"/>
    <w:rsid w:val="00272064"/>
    <w:rsid w:val="00272088"/>
    <w:rsid w:val="00272611"/>
    <w:rsid w:val="0027263F"/>
    <w:rsid w:val="002726AB"/>
    <w:rsid w:val="002726D5"/>
    <w:rsid w:val="002726FE"/>
    <w:rsid w:val="00272739"/>
    <w:rsid w:val="0027283D"/>
    <w:rsid w:val="00272A4E"/>
    <w:rsid w:val="00272AB4"/>
    <w:rsid w:val="00272CBF"/>
    <w:rsid w:val="00272D5D"/>
    <w:rsid w:val="00272FF5"/>
    <w:rsid w:val="00273047"/>
    <w:rsid w:val="0027308B"/>
    <w:rsid w:val="002732F6"/>
    <w:rsid w:val="0027331C"/>
    <w:rsid w:val="002734B2"/>
    <w:rsid w:val="00273568"/>
    <w:rsid w:val="002735C1"/>
    <w:rsid w:val="00273660"/>
    <w:rsid w:val="002738D2"/>
    <w:rsid w:val="002738ED"/>
    <w:rsid w:val="00273993"/>
    <w:rsid w:val="00273A20"/>
    <w:rsid w:val="002744FB"/>
    <w:rsid w:val="002745F6"/>
    <w:rsid w:val="00274735"/>
    <w:rsid w:val="002749DD"/>
    <w:rsid w:val="00274A25"/>
    <w:rsid w:val="00274A8B"/>
    <w:rsid w:val="00274B89"/>
    <w:rsid w:val="00274BAC"/>
    <w:rsid w:val="00274C4A"/>
    <w:rsid w:val="00274CD5"/>
    <w:rsid w:val="00274CDD"/>
    <w:rsid w:val="00274CDE"/>
    <w:rsid w:val="00274D3F"/>
    <w:rsid w:val="00274D43"/>
    <w:rsid w:val="00274D61"/>
    <w:rsid w:val="00274FBF"/>
    <w:rsid w:val="00274FC7"/>
    <w:rsid w:val="0027508D"/>
    <w:rsid w:val="0027519B"/>
    <w:rsid w:val="0027519D"/>
    <w:rsid w:val="00275230"/>
    <w:rsid w:val="00275331"/>
    <w:rsid w:val="0027548A"/>
    <w:rsid w:val="0027549D"/>
    <w:rsid w:val="00275628"/>
    <w:rsid w:val="00275649"/>
    <w:rsid w:val="0027564A"/>
    <w:rsid w:val="002757C4"/>
    <w:rsid w:val="002757D1"/>
    <w:rsid w:val="002757DF"/>
    <w:rsid w:val="0027587D"/>
    <w:rsid w:val="002758C7"/>
    <w:rsid w:val="00275974"/>
    <w:rsid w:val="00275ABC"/>
    <w:rsid w:val="00275AF1"/>
    <w:rsid w:val="00275E75"/>
    <w:rsid w:val="00275FD9"/>
    <w:rsid w:val="0027602E"/>
    <w:rsid w:val="002760FC"/>
    <w:rsid w:val="00276293"/>
    <w:rsid w:val="002763C7"/>
    <w:rsid w:val="002764AC"/>
    <w:rsid w:val="0027651B"/>
    <w:rsid w:val="00276563"/>
    <w:rsid w:val="00276659"/>
    <w:rsid w:val="0027696C"/>
    <w:rsid w:val="00276BBF"/>
    <w:rsid w:val="00276BD1"/>
    <w:rsid w:val="00276BF4"/>
    <w:rsid w:val="00276D10"/>
    <w:rsid w:val="00276D2E"/>
    <w:rsid w:val="00276DAF"/>
    <w:rsid w:val="00276FFD"/>
    <w:rsid w:val="002771AD"/>
    <w:rsid w:val="0027722A"/>
    <w:rsid w:val="00277234"/>
    <w:rsid w:val="002773C8"/>
    <w:rsid w:val="00277419"/>
    <w:rsid w:val="002775DC"/>
    <w:rsid w:val="00277700"/>
    <w:rsid w:val="00277983"/>
    <w:rsid w:val="00277A05"/>
    <w:rsid w:val="00277B37"/>
    <w:rsid w:val="00277C3B"/>
    <w:rsid w:val="00277EC4"/>
    <w:rsid w:val="00277F53"/>
    <w:rsid w:val="00277FAD"/>
    <w:rsid w:val="0028047F"/>
    <w:rsid w:val="002806C8"/>
    <w:rsid w:val="002806FD"/>
    <w:rsid w:val="00280754"/>
    <w:rsid w:val="002807C4"/>
    <w:rsid w:val="00280843"/>
    <w:rsid w:val="0028084A"/>
    <w:rsid w:val="002808EF"/>
    <w:rsid w:val="0028091A"/>
    <w:rsid w:val="00280924"/>
    <w:rsid w:val="00280A4C"/>
    <w:rsid w:val="00280A98"/>
    <w:rsid w:val="00280D55"/>
    <w:rsid w:val="00280DA3"/>
    <w:rsid w:val="00280E6A"/>
    <w:rsid w:val="00280FBD"/>
    <w:rsid w:val="002810BE"/>
    <w:rsid w:val="00281167"/>
    <w:rsid w:val="00281233"/>
    <w:rsid w:val="00281256"/>
    <w:rsid w:val="002812EB"/>
    <w:rsid w:val="00281355"/>
    <w:rsid w:val="00281356"/>
    <w:rsid w:val="00281461"/>
    <w:rsid w:val="002815D2"/>
    <w:rsid w:val="00281605"/>
    <w:rsid w:val="00281622"/>
    <w:rsid w:val="00281623"/>
    <w:rsid w:val="00281711"/>
    <w:rsid w:val="00281A55"/>
    <w:rsid w:val="00281B09"/>
    <w:rsid w:val="00281BA9"/>
    <w:rsid w:val="00281C64"/>
    <w:rsid w:val="00281DFA"/>
    <w:rsid w:val="00282038"/>
    <w:rsid w:val="00282049"/>
    <w:rsid w:val="002821DC"/>
    <w:rsid w:val="0028226D"/>
    <w:rsid w:val="0028243C"/>
    <w:rsid w:val="0028249E"/>
    <w:rsid w:val="002824C2"/>
    <w:rsid w:val="00282630"/>
    <w:rsid w:val="00282650"/>
    <w:rsid w:val="0028289A"/>
    <w:rsid w:val="0028289C"/>
    <w:rsid w:val="00282BEA"/>
    <w:rsid w:val="00282C54"/>
    <w:rsid w:val="00282ED8"/>
    <w:rsid w:val="00282F10"/>
    <w:rsid w:val="00282FC0"/>
    <w:rsid w:val="0028306D"/>
    <w:rsid w:val="002830FF"/>
    <w:rsid w:val="00283162"/>
    <w:rsid w:val="00283228"/>
    <w:rsid w:val="0028325B"/>
    <w:rsid w:val="002832F1"/>
    <w:rsid w:val="00283351"/>
    <w:rsid w:val="0028338A"/>
    <w:rsid w:val="002833AC"/>
    <w:rsid w:val="002833FB"/>
    <w:rsid w:val="0028353C"/>
    <w:rsid w:val="0028357A"/>
    <w:rsid w:val="002835A3"/>
    <w:rsid w:val="00283601"/>
    <w:rsid w:val="00283663"/>
    <w:rsid w:val="002836CF"/>
    <w:rsid w:val="00283834"/>
    <w:rsid w:val="00283865"/>
    <w:rsid w:val="00283877"/>
    <w:rsid w:val="00283964"/>
    <w:rsid w:val="002839D3"/>
    <w:rsid w:val="00283A9B"/>
    <w:rsid w:val="00283B76"/>
    <w:rsid w:val="00283C0B"/>
    <w:rsid w:val="00283C0C"/>
    <w:rsid w:val="00283CC7"/>
    <w:rsid w:val="002840A8"/>
    <w:rsid w:val="0028413B"/>
    <w:rsid w:val="002843A5"/>
    <w:rsid w:val="0028447E"/>
    <w:rsid w:val="00284483"/>
    <w:rsid w:val="002845C6"/>
    <w:rsid w:val="002846AF"/>
    <w:rsid w:val="002846BE"/>
    <w:rsid w:val="00284995"/>
    <w:rsid w:val="00284A08"/>
    <w:rsid w:val="00284A37"/>
    <w:rsid w:val="00284ACC"/>
    <w:rsid w:val="00284CC3"/>
    <w:rsid w:val="00284CEB"/>
    <w:rsid w:val="00284D68"/>
    <w:rsid w:val="00285211"/>
    <w:rsid w:val="0028527B"/>
    <w:rsid w:val="002853A8"/>
    <w:rsid w:val="00285550"/>
    <w:rsid w:val="00285573"/>
    <w:rsid w:val="002855A2"/>
    <w:rsid w:val="002855DB"/>
    <w:rsid w:val="002855DF"/>
    <w:rsid w:val="00285643"/>
    <w:rsid w:val="00285A45"/>
    <w:rsid w:val="00285A5A"/>
    <w:rsid w:val="00285B07"/>
    <w:rsid w:val="00285BE4"/>
    <w:rsid w:val="00285C2A"/>
    <w:rsid w:val="00285D01"/>
    <w:rsid w:val="00285E72"/>
    <w:rsid w:val="00285F8C"/>
    <w:rsid w:val="0028606B"/>
    <w:rsid w:val="002860F6"/>
    <w:rsid w:val="0028617A"/>
    <w:rsid w:val="002861DD"/>
    <w:rsid w:val="00286368"/>
    <w:rsid w:val="002864EB"/>
    <w:rsid w:val="002866B3"/>
    <w:rsid w:val="002866B4"/>
    <w:rsid w:val="00286765"/>
    <w:rsid w:val="002868BA"/>
    <w:rsid w:val="00286910"/>
    <w:rsid w:val="00286952"/>
    <w:rsid w:val="00286AC5"/>
    <w:rsid w:val="00286AFB"/>
    <w:rsid w:val="00286E56"/>
    <w:rsid w:val="00286E5E"/>
    <w:rsid w:val="00286EDA"/>
    <w:rsid w:val="00287104"/>
    <w:rsid w:val="00287146"/>
    <w:rsid w:val="002871AF"/>
    <w:rsid w:val="0028722A"/>
    <w:rsid w:val="0028726A"/>
    <w:rsid w:val="002873B6"/>
    <w:rsid w:val="002873BE"/>
    <w:rsid w:val="0028752A"/>
    <w:rsid w:val="002875CC"/>
    <w:rsid w:val="0028761E"/>
    <w:rsid w:val="00287697"/>
    <w:rsid w:val="00287819"/>
    <w:rsid w:val="00287830"/>
    <w:rsid w:val="0028784B"/>
    <w:rsid w:val="002878DA"/>
    <w:rsid w:val="0028797D"/>
    <w:rsid w:val="00287A01"/>
    <w:rsid w:val="00287A23"/>
    <w:rsid w:val="00287A2E"/>
    <w:rsid w:val="00287AFB"/>
    <w:rsid w:val="00287B08"/>
    <w:rsid w:val="00287B34"/>
    <w:rsid w:val="00287C6B"/>
    <w:rsid w:val="00287E7A"/>
    <w:rsid w:val="00287F0A"/>
    <w:rsid w:val="00287F44"/>
    <w:rsid w:val="00287F51"/>
    <w:rsid w:val="00287FE0"/>
    <w:rsid w:val="00290094"/>
    <w:rsid w:val="002900ED"/>
    <w:rsid w:val="00290136"/>
    <w:rsid w:val="002902D3"/>
    <w:rsid w:val="002904CE"/>
    <w:rsid w:val="0029057E"/>
    <w:rsid w:val="002905E1"/>
    <w:rsid w:val="0029068C"/>
    <w:rsid w:val="002906CA"/>
    <w:rsid w:val="00290725"/>
    <w:rsid w:val="0029074F"/>
    <w:rsid w:val="002908AB"/>
    <w:rsid w:val="002908F9"/>
    <w:rsid w:val="00290A61"/>
    <w:rsid w:val="00290A75"/>
    <w:rsid w:val="00290B36"/>
    <w:rsid w:val="00290C75"/>
    <w:rsid w:val="00290DF9"/>
    <w:rsid w:val="00290E09"/>
    <w:rsid w:val="00290E50"/>
    <w:rsid w:val="00290EA1"/>
    <w:rsid w:val="00290F24"/>
    <w:rsid w:val="00290F54"/>
    <w:rsid w:val="00290F62"/>
    <w:rsid w:val="00290FE4"/>
    <w:rsid w:val="00291232"/>
    <w:rsid w:val="0029127C"/>
    <w:rsid w:val="0029180C"/>
    <w:rsid w:val="0029180E"/>
    <w:rsid w:val="00291972"/>
    <w:rsid w:val="002919C2"/>
    <w:rsid w:val="00291AE1"/>
    <w:rsid w:val="00291C4B"/>
    <w:rsid w:val="00291C70"/>
    <w:rsid w:val="00291E57"/>
    <w:rsid w:val="00291EFA"/>
    <w:rsid w:val="00291F02"/>
    <w:rsid w:val="00291F3A"/>
    <w:rsid w:val="00291F3F"/>
    <w:rsid w:val="002920FA"/>
    <w:rsid w:val="00292199"/>
    <w:rsid w:val="002922FF"/>
    <w:rsid w:val="002924CD"/>
    <w:rsid w:val="00292541"/>
    <w:rsid w:val="00292570"/>
    <w:rsid w:val="00292577"/>
    <w:rsid w:val="002927D4"/>
    <w:rsid w:val="00292887"/>
    <w:rsid w:val="002929DD"/>
    <w:rsid w:val="002929E2"/>
    <w:rsid w:val="00292A32"/>
    <w:rsid w:val="00292B3D"/>
    <w:rsid w:val="00292D38"/>
    <w:rsid w:val="00292E56"/>
    <w:rsid w:val="00292F5A"/>
    <w:rsid w:val="00292F8F"/>
    <w:rsid w:val="00292FA8"/>
    <w:rsid w:val="0029308A"/>
    <w:rsid w:val="00293227"/>
    <w:rsid w:val="00293389"/>
    <w:rsid w:val="00293540"/>
    <w:rsid w:val="00293642"/>
    <w:rsid w:val="00293838"/>
    <w:rsid w:val="0029384B"/>
    <w:rsid w:val="0029387A"/>
    <w:rsid w:val="00293884"/>
    <w:rsid w:val="00293892"/>
    <w:rsid w:val="0029397F"/>
    <w:rsid w:val="002939E5"/>
    <w:rsid w:val="00293A60"/>
    <w:rsid w:val="00293A6F"/>
    <w:rsid w:val="00293B56"/>
    <w:rsid w:val="00293C11"/>
    <w:rsid w:val="00293C77"/>
    <w:rsid w:val="00293D23"/>
    <w:rsid w:val="00293D57"/>
    <w:rsid w:val="00293D9D"/>
    <w:rsid w:val="00293DD4"/>
    <w:rsid w:val="00293EB1"/>
    <w:rsid w:val="00293FE7"/>
    <w:rsid w:val="00294053"/>
    <w:rsid w:val="002941EC"/>
    <w:rsid w:val="00294349"/>
    <w:rsid w:val="0029448F"/>
    <w:rsid w:val="002946B1"/>
    <w:rsid w:val="00294724"/>
    <w:rsid w:val="0029483F"/>
    <w:rsid w:val="00294968"/>
    <w:rsid w:val="00294B94"/>
    <w:rsid w:val="00294C71"/>
    <w:rsid w:val="00294D07"/>
    <w:rsid w:val="00294FF5"/>
    <w:rsid w:val="0029500D"/>
    <w:rsid w:val="0029529C"/>
    <w:rsid w:val="002952C7"/>
    <w:rsid w:val="0029530B"/>
    <w:rsid w:val="00295352"/>
    <w:rsid w:val="00295448"/>
    <w:rsid w:val="00295549"/>
    <w:rsid w:val="002955E8"/>
    <w:rsid w:val="002956BE"/>
    <w:rsid w:val="002956CE"/>
    <w:rsid w:val="00295A11"/>
    <w:rsid w:val="00295A8A"/>
    <w:rsid w:val="00295AF4"/>
    <w:rsid w:val="00295B64"/>
    <w:rsid w:val="00295BA0"/>
    <w:rsid w:val="00295DD0"/>
    <w:rsid w:val="00295FEA"/>
    <w:rsid w:val="00296614"/>
    <w:rsid w:val="00296630"/>
    <w:rsid w:val="00296654"/>
    <w:rsid w:val="00296675"/>
    <w:rsid w:val="00296682"/>
    <w:rsid w:val="0029675B"/>
    <w:rsid w:val="002968C8"/>
    <w:rsid w:val="002969A0"/>
    <w:rsid w:val="00296BD3"/>
    <w:rsid w:val="00296C08"/>
    <w:rsid w:val="00296C34"/>
    <w:rsid w:val="00296CD7"/>
    <w:rsid w:val="00296EF2"/>
    <w:rsid w:val="00297080"/>
    <w:rsid w:val="0029708D"/>
    <w:rsid w:val="002970E2"/>
    <w:rsid w:val="00297311"/>
    <w:rsid w:val="00297402"/>
    <w:rsid w:val="00297648"/>
    <w:rsid w:val="0029780E"/>
    <w:rsid w:val="00297885"/>
    <w:rsid w:val="002978BF"/>
    <w:rsid w:val="002978FA"/>
    <w:rsid w:val="0029796A"/>
    <w:rsid w:val="002979E8"/>
    <w:rsid w:val="00297B41"/>
    <w:rsid w:val="00297C58"/>
    <w:rsid w:val="00297D70"/>
    <w:rsid w:val="00297EEE"/>
    <w:rsid w:val="00297F92"/>
    <w:rsid w:val="002A0007"/>
    <w:rsid w:val="002A0290"/>
    <w:rsid w:val="002A0291"/>
    <w:rsid w:val="002A02D3"/>
    <w:rsid w:val="002A03AD"/>
    <w:rsid w:val="002A0490"/>
    <w:rsid w:val="002A05C5"/>
    <w:rsid w:val="002A06DE"/>
    <w:rsid w:val="002A06EB"/>
    <w:rsid w:val="002A07BF"/>
    <w:rsid w:val="002A086C"/>
    <w:rsid w:val="002A086D"/>
    <w:rsid w:val="002A08DB"/>
    <w:rsid w:val="002A0956"/>
    <w:rsid w:val="002A0975"/>
    <w:rsid w:val="002A09AF"/>
    <w:rsid w:val="002A09BB"/>
    <w:rsid w:val="002A0CAA"/>
    <w:rsid w:val="002A0E78"/>
    <w:rsid w:val="002A0FB6"/>
    <w:rsid w:val="002A0FD5"/>
    <w:rsid w:val="002A106B"/>
    <w:rsid w:val="002A10EB"/>
    <w:rsid w:val="002A12B6"/>
    <w:rsid w:val="002A1398"/>
    <w:rsid w:val="002A14FB"/>
    <w:rsid w:val="002A15F0"/>
    <w:rsid w:val="002A162F"/>
    <w:rsid w:val="002A1740"/>
    <w:rsid w:val="002A1774"/>
    <w:rsid w:val="002A189E"/>
    <w:rsid w:val="002A193C"/>
    <w:rsid w:val="002A1A00"/>
    <w:rsid w:val="002A1A21"/>
    <w:rsid w:val="002A1B4A"/>
    <w:rsid w:val="002A1DDD"/>
    <w:rsid w:val="002A20B2"/>
    <w:rsid w:val="002A212D"/>
    <w:rsid w:val="002A2322"/>
    <w:rsid w:val="002A2440"/>
    <w:rsid w:val="002A24F1"/>
    <w:rsid w:val="002A25A0"/>
    <w:rsid w:val="002A25DE"/>
    <w:rsid w:val="002A265D"/>
    <w:rsid w:val="002A28E3"/>
    <w:rsid w:val="002A28EA"/>
    <w:rsid w:val="002A293E"/>
    <w:rsid w:val="002A2977"/>
    <w:rsid w:val="002A2A43"/>
    <w:rsid w:val="002A2BA8"/>
    <w:rsid w:val="002A2BAD"/>
    <w:rsid w:val="002A2C95"/>
    <w:rsid w:val="002A2CD9"/>
    <w:rsid w:val="002A2CEB"/>
    <w:rsid w:val="002A2CFD"/>
    <w:rsid w:val="002A2D8D"/>
    <w:rsid w:val="002A2DB0"/>
    <w:rsid w:val="002A2FD5"/>
    <w:rsid w:val="002A3042"/>
    <w:rsid w:val="002A304E"/>
    <w:rsid w:val="002A3102"/>
    <w:rsid w:val="002A3527"/>
    <w:rsid w:val="002A3736"/>
    <w:rsid w:val="002A378A"/>
    <w:rsid w:val="002A3957"/>
    <w:rsid w:val="002A3A21"/>
    <w:rsid w:val="002A3A5B"/>
    <w:rsid w:val="002A3A85"/>
    <w:rsid w:val="002A3ADB"/>
    <w:rsid w:val="002A3B33"/>
    <w:rsid w:val="002A3CCB"/>
    <w:rsid w:val="002A3D27"/>
    <w:rsid w:val="002A3DA4"/>
    <w:rsid w:val="002A3E69"/>
    <w:rsid w:val="002A3EA0"/>
    <w:rsid w:val="002A4012"/>
    <w:rsid w:val="002A4065"/>
    <w:rsid w:val="002A40BD"/>
    <w:rsid w:val="002A41A1"/>
    <w:rsid w:val="002A420C"/>
    <w:rsid w:val="002A42FA"/>
    <w:rsid w:val="002A436B"/>
    <w:rsid w:val="002A4415"/>
    <w:rsid w:val="002A4465"/>
    <w:rsid w:val="002A475E"/>
    <w:rsid w:val="002A494E"/>
    <w:rsid w:val="002A4AD2"/>
    <w:rsid w:val="002A4D69"/>
    <w:rsid w:val="002A4EFC"/>
    <w:rsid w:val="002A4F59"/>
    <w:rsid w:val="002A5000"/>
    <w:rsid w:val="002A500F"/>
    <w:rsid w:val="002A50C2"/>
    <w:rsid w:val="002A5109"/>
    <w:rsid w:val="002A5228"/>
    <w:rsid w:val="002A529F"/>
    <w:rsid w:val="002A52D1"/>
    <w:rsid w:val="002A5369"/>
    <w:rsid w:val="002A549F"/>
    <w:rsid w:val="002A5715"/>
    <w:rsid w:val="002A57E3"/>
    <w:rsid w:val="002A57E5"/>
    <w:rsid w:val="002A5A6D"/>
    <w:rsid w:val="002A5B06"/>
    <w:rsid w:val="002A5B09"/>
    <w:rsid w:val="002A5B32"/>
    <w:rsid w:val="002A5B42"/>
    <w:rsid w:val="002A5BA7"/>
    <w:rsid w:val="002A5C3A"/>
    <w:rsid w:val="002A5D03"/>
    <w:rsid w:val="002A5D90"/>
    <w:rsid w:val="002A60D5"/>
    <w:rsid w:val="002A627D"/>
    <w:rsid w:val="002A6677"/>
    <w:rsid w:val="002A6838"/>
    <w:rsid w:val="002A68C7"/>
    <w:rsid w:val="002A6AB5"/>
    <w:rsid w:val="002A6ABB"/>
    <w:rsid w:val="002A6CBE"/>
    <w:rsid w:val="002A6CFA"/>
    <w:rsid w:val="002A6D28"/>
    <w:rsid w:val="002A6EEF"/>
    <w:rsid w:val="002A6EFD"/>
    <w:rsid w:val="002A6F71"/>
    <w:rsid w:val="002A6F88"/>
    <w:rsid w:val="002A6FCD"/>
    <w:rsid w:val="002A72FF"/>
    <w:rsid w:val="002A7358"/>
    <w:rsid w:val="002A73A6"/>
    <w:rsid w:val="002A73E7"/>
    <w:rsid w:val="002A743D"/>
    <w:rsid w:val="002A76C0"/>
    <w:rsid w:val="002A76E6"/>
    <w:rsid w:val="002A76FD"/>
    <w:rsid w:val="002A77C8"/>
    <w:rsid w:val="002A77EA"/>
    <w:rsid w:val="002A78AB"/>
    <w:rsid w:val="002A7987"/>
    <w:rsid w:val="002A79E7"/>
    <w:rsid w:val="002A79F9"/>
    <w:rsid w:val="002A7A10"/>
    <w:rsid w:val="002A7ABE"/>
    <w:rsid w:val="002A7B08"/>
    <w:rsid w:val="002A7B84"/>
    <w:rsid w:val="002A7C73"/>
    <w:rsid w:val="002A7DD9"/>
    <w:rsid w:val="002A7E2F"/>
    <w:rsid w:val="002A7E38"/>
    <w:rsid w:val="002A7F8F"/>
    <w:rsid w:val="002A7FFB"/>
    <w:rsid w:val="002B027B"/>
    <w:rsid w:val="002B0294"/>
    <w:rsid w:val="002B0591"/>
    <w:rsid w:val="002B061F"/>
    <w:rsid w:val="002B062E"/>
    <w:rsid w:val="002B065B"/>
    <w:rsid w:val="002B0854"/>
    <w:rsid w:val="002B0A9E"/>
    <w:rsid w:val="002B0D15"/>
    <w:rsid w:val="002B0D18"/>
    <w:rsid w:val="002B0D53"/>
    <w:rsid w:val="002B0D82"/>
    <w:rsid w:val="002B0E3F"/>
    <w:rsid w:val="002B0ECB"/>
    <w:rsid w:val="002B0EF7"/>
    <w:rsid w:val="002B1008"/>
    <w:rsid w:val="002B1070"/>
    <w:rsid w:val="002B1143"/>
    <w:rsid w:val="002B1563"/>
    <w:rsid w:val="002B1627"/>
    <w:rsid w:val="002B166B"/>
    <w:rsid w:val="002B1773"/>
    <w:rsid w:val="002B1822"/>
    <w:rsid w:val="002B18EB"/>
    <w:rsid w:val="002B1925"/>
    <w:rsid w:val="002B195E"/>
    <w:rsid w:val="002B1967"/>
    <w:rsid w:val="002B1974"/>
    <w:rsid w:val="002B1B67"/>
    <w:rsid w:val="002B1BEA"/>
    <w:rsid w:val="002B1CA1"/>
    <w:rsid w:val="002B1F19"/>
    <w:rsid w:val="002B1FAD"/>
    <w:rsid w:val="002B1FF3"/>
    <w:rsid w:val="002B20A5"/>
    <w:rsid w:val="002B22BC"/>
    <w:rsid w:val="002B2393"/>
    <w:rsid w:val="002B23D7"/>
    <w:rsid w:val="002B23F7"/>
    <w:rsid w:val="002B2479"/>
    <w:rsid w:val="002B275D"/>
    <w:rsid w:val="002B27CD"/>
    <w:rsid w:val="002B28B6"/>
    <w:rsid w:val="002B28D7"/>
    <w:rsid w:val="002B2A94"/>
    <w:rsid w:val="002B2AB3"/>
    <w:rsid w:val="002B2B3D"/>
    <w:rsid w:val="002B2E29"/>
    <w:rsid w:val="002B2E99"/>
    <w:rsid w:val="002B30C6"/>
    <w:rsid w:val="002B30F5"/>
    <w:rsid w:val="002B33D2"/>
    <w:rsid w:val="002B355A"/>
    <w:rsid w:val="002B3A4D"/>
    <w:rsid w:val="002B3AE7"/>
    <w:rsid w:val="002B3C05"/>
    <w:rsid w:val="002B3C66"/>
    <w:rsid w:val="002B3D55"/>
    <w:rsid w:val="002B3E12"/>
    <w:rsid w:val="002B40EF"/>
    <w:rsid w:val="002B440E"/>
    <w:rsid w:val="002B450E"/>
    <w:rsid w:val="002B46D5"/>
    <w:rsid w:val="002B4727"/>
    <w:rsid w:val="002B479E"/>
    <w:rsid w:val="002B49BC"/>
    <w:rsid w:val="002B4A5D"/>
    <w:rsid w:val="002B4B75"/>
    <w:rsid w:val="002B4BA1"/>
    <w:rsid w:val="002B4E02"/>
    <w:rsid w:val="002B4E7C"/>
    <w:rsid w:val="002B4F41"/>
    <w:rsid w:val="002B4FEA"/>
    <w:rsid w:val="002B50AA"/>
    <w:rsid w:val="002B50F6"/>
    <w:rsid w:val="002B5305"/>
    <w:rsid w:val="002B53BA"/>
    <w:rsid w:val="002B546A"/>
    <w:rsid w:val="002B552D"/>
    <w:rsid w:val="002B55CE"/>
    <w:rsid w:val="002B56E9"/>
    <w:rsid w:val="002B56FC"/>
    <w:rsid w:val="002B5718"/>
    <w:rsid w:val="002B5776"/>
    <w:rsid w:val="002B58B9"/>
    <w:rsid w:val="002B5984"/>
    <w:rsid w:val="002B5AB8"/>
    <w:rsid w:val="002B5BD6"/>
    <w:rsid w:val="002B5C23"/>
    <w:rsid w:val="002B5C76"/>
    <w:rsid w:val="002B5C7D"/>
    <w:rsid w:val="002B5D9C"/>
    <w:rsid w:val="002B5DC5"/>
    <w:rsid w:val="002B5DE2"/>
    <w:rsid w:val="002B5EB0"/>
    <w:rsid w:val="002B5EEB"/>
    <w:rsid w:val="002B621D"/>
    <w:rsid w:val="002B62D6"/>
    <w:rsid w:val="002B6324"/>
    <w:rsid w:val="002B6373"/>
    <w:rsid w:val="002B6588"/>
    <w:rsid w:val="002B6603"/>
    <w:rsid w:val="002B6657"/>
    <w:rsid w:val="002B66A9"/>
    <w:rsid w:val="002B66D6"/>
    <w:rsid w:val="002B67BD"/>
    <w:rsid w:val="002B699D"/>
    <w:rsid w:val="002B69F5"/>
    <w:rsid w:val="002B6A69"/>
    <w:rsid w:val="002B6BCA"/>
    <w:rsid w:val="002B6FA3"/>
    <w:rsid w:val="002B70CF"/>
    <w:rsid w:val="002B7182"/>
    <w:rsid w:val="002B7236"/>
    <w:rsid w:val="002B73D4"/>
    <w:rsid w:val="002B7418"/>
    <w:rsid w:val="002B74AB"/>
    <w:rsid w:val="002B74EC"/>
    <w:rsid w:val="002B74F4"/>
    <w:rsid w:val="002B75CC"/>
    <w:rsid w:val="002B76DF"/>
    <w:rsid w:val="002B7787"/>
    <w:rsid w:val="002B77FC"/>
    <w:rsid w:val="002B7A7C"/>
    <w:rsid w:val="002B7A9B"/>
    <w:rsid w:val="002B7BBF"/>
    <w:rsid w:val="002B7BFA"/>
    <w:rsid w:val="002B7DDE"/>
    <w:rsid w:val="002B7EBE"/>
    <w:rsid w:val="002B7EC5"/>
    <w:rsid w:val="002B7FF8"/>
    <w:rsid w:val="002C0047"/>
    <w:rsid w:val="002C019E"/>
    <w:rsid w:val="002C01F4"/>
    <w:rsid w:val="002C0253"/>
    <w:rsid w:val="002C026A"/>
    <w:rsid w:val="002C0296"/>
    <w:rsid w:val="002C02C0"/>
    <w:rsid w:val="002C0431"/>
    <w:rsid w:val="002C0522"/>
    <w:rsid w:val="002C0AE8"/>
    <w:rsid w:val="002C0C08"/>
    <w:rsid w:val="002C0C11"/>
    <w:rsid w:val="002C0DF5"/>
    <w:rsid w:val="002C0EE2"/>
    <w:rsid w:val="002C0F6E"/>
    <w:rsid w:val="002C0FC5"/>
    <w:rsid w:val="002C10D9"/>
    <w:rsid w:val="002C10EB"/>
    <w:rsid w:val="002C11A0"/>
    <w:rsid w:val="002C123E"/>
    <w:rsid w:val="002C1292"/>
    <w:rsid w:val="002C12CF"/>
    <w:rsid w:val="002C14E4"/>
    <w:rsid w:val="002C1593"/>
    <w:rsid w:val="002C1697"/>
    <w:rsid w:val="002C1788"/>
    <w:rsid w:val="002C18D3"/>
    <w:rsid w:val="002C1A41"/>
    <w:rsid w:val="002C1AC2"/>
    <w:rsid w:val="002C1DB6"/>
    <w:rsid w:val="002C1E19"/>
    <w:rsid w:val="002C1E4E"/>
    <w:rsid w:val="002C1F7F"/>
    <w:rsid w:val="002C2021"/>
    <w:rsid w:val="002C206D"/>
    <w:rsid w:val="002C21FE"/>
    <w:rsid w:val="002C22B8"/>
    <w:rsid w:val="002C2415"/>
    <w:rsid w:val="002C2491"/>
    <w:rsid w:val="002C24A4"/>
    <w:rsid w:val="002C2576"/>
    <w:rsid w:val="002C258C"/>
    <w:rsid w:val="002C2607"/>
    <w:rsid w:val="002C273A"/>
    <w:rsid w:val="002C2745"/>
    <w:rsid w:val="002C275D"/>
    <w:rsid w:val="002C2830"/>
    <w:rsid w:val="002C28B6"/>
    <w:rsid w:val="002C2928"/>
    <w:rsid w:val="002C2A2F"/>
    <w:rsid w:val="002C2A53"/>
    <w:rsid w:val="002C2AFA"/>
    <w:rsid w:val="002C2BA9"/>
    <w:rsid w:val="002C2C22"/>
    <w:rsid w:val="002C2C89"/>
    <w:rsid w:val="002C2CDC"/>
    <w:rsid w:val="002C2DA1"/>
    <w:rsid w:val="002C2E45"/>
    <w:rsid w:val="002C2E7C"/>
    <w:rsid w:val="002C3175"/>
    <w:rsid w:val="002C31BD"/>
    <w:rsid w:val="002C334D"/>
    <w:rsid w:val="002C34B1"/>
    <w:rsid w:val="002C34C3"/>
    <w:rsid w:val="002C350E"/>
    <w:rsid w:val="002C3524"/>
    <w:rsid w:val="002C35DF"/>
    <w:rsid w:val="002C3657"/>
    <w:rsid w:val="002C3659"/>
    <w:rsid w:val="002C380A"/>
    <w:rsid w:val="002C3897"/>
    <w:rsid w:val="002C390F"/>
    <w:rsid w:val="002C39AC"/>
    <w:rsid w:val="002C3A07"/>
    <w:rsid w:val="002C3A82"/>
    <w:rsid w:val="002C3A99"/>
    <w:rsid w:val="002C3DC8"/>
    <w:rsid w:val="002C3DC9"/>
    <w:rsid w:val="002C3DFC"/>
    <w:rsid w:val="002C3E82"/>
    <w:rsid w:val="002C3F2F"/>
    <w:rsid w:val="002C40EC"/>
    <w:rsid w:val="002C41B5"/>
    <w:rsid w:val="002C41CC"/>
    <w:rsid w:val="002C41D6"/>
    <w:rsid w:val="002C47EC"/>
    <w:rsid w:val="002C4851"/>
    <w:rsid w:val="002C4ACF"/>
    <w:rsid w:val="002C4D70"/>
    <w:rsid w:val="002C4E31"/>
    <w:rsid w:val="002C4E90"/>
    <w:rsid w:val="002C4F65"/>
    <w:rsid w:val="002C4F7B"/>
    <w:rsid w:val="002C5080"/>
    <w:rsid w:val="002C533B"/>
    <w:rsid w:val="002C54E3"/>
    <w:rsid w:val="002C55FE"/>
    <w:rsid w:val="002C5610"/>
    <w:rsid w:val="002C5616"/>
    <w:rsid w:val="002C56DF"/>
    <w:rsid w:val="002C5738"/>
    <w:rsid w:val="002C589C"/>
    <w:rsid w:val="002C59A5"/>
    <w:rsid w:val="002C59CE"/>
    <w:rsid w:val="002C5AC5"/>
    <w:rsid w:val="002C5ACF"/>
    <w:rsid w:val="002C5B64"/>
    <w:rsid w:val="002C5DD2"/>
    <w:rsid w:val="002C5EDB"/>
    <w:rsid w:val="002C5FB0"/>
    <w:rsid w:val="002C6350"/>
    <w:rsid w:val="002C6491"/>
    <w:rsid w:val="002C6576"/>
    <w:rsid w:val="002C6582"/>
    <w:rsid w:val="002C65A9"/>
    <w:rsid w:val="002C6679"/>
    <w:rsid w:val="002C66A5"/>
    <w:rsid w:val="002C6706"/>
    <w:rsid w:val="002C6791"/>
    <w:rsid w:val="002C6860"/>
    <w:rsid w:val="002C699F"/>
    <w:rsid w:val="002C6C1A"/>
    <w:rsid w:val="002C6D69"/>
    <w:rsid w:val="002C6F8B"/>
    <w:rsid w:val="002C7068"/>
    <w:rsid w:val="002C708D"/>
    <w:rsid w:val="002C7153"/>
    <w:rsid w:val="002C729F"/>
    <w:rsid w:val="002C72B3"/>
    <w:rsid w:val="002C7656"/>
    <w:rsid w:val="002C7723"/>
    <w:rsid w:val="002C77A7"/>
    <w:rsid w:val="002C7890"/>
    <w:rsid w:val="002C7A87"/>
    <w:rsid w:val="002C7B8E"/>
    <w:rsid w:val="002C7EB5"/>
    <w:rsid w:val="002C7F51"/>
    <w:rsid w:val="002D0006"/>
    <w:rsid w:val="002D006D"/>
    <w:rsid w:val="002D015F"/>
    <w:rsid w:val="002D01DF"/>
    <w:rsid w:val="002D02BA"/>
    <w:rsid w:val="002D03EF"/>
    <w:rsid w:val="002D04FB"/>
    <w:rsid w:val="002D05B3"/>
    <w:rsid w:val="002D0782"/>
    <w:rsid w:val="002D07AF"/>
    <w:rsid w:val="002D08D8"/>
    <w:rsid w:val="002D0C04"/>
    <w:rsid w:val="002D10C4"/>
    <w:rsid w:val="002D11CD"/>
    <w:rsid w:val="002D1271"/>
    <w:rsid w:val="002D1366"/>
    <w:rsid w:val="002D140D"/>
    <w:rsid w:val="002D14E9"/>
    <w:rsid w:val="002D1625"/>
    <w:rsid w:val="002D1719"/>
    <w:rsid w:val="002D17E6"/>
    <w:rsid w:val="002D1987"/>
    <w:rsid w:val="002D1996"/>
    <w:rsid w:val="002D19BF"/>
    <w:rsid w:val="002D1A2F"/>
    <w:rsid w:val="002D1A5F"/>
    <w:rsid w:val="002D1AEB"/>
    <w:rsid w:val="002D1D7E"/>
    <w:rsid w:val="002D1E27"/>
    <w:rsid w:val="002D1E38"/>
    <w:rsid w:val="002D1F97"/>
    <w:rsid w:val="002D205C"/>
    <w:rsid w:val="002D20F5"/>
    <w:rsid w:val="002D21A0"/>
    <w:rsid w:val="002D21BF"/>
    <w:rsid w:val="002D2255"/>
    <w:rsid w:val="002D2277"/>
    <w:rsid w:val="002D248F"/>
    <w:rsid w:val="002D24B3"/>
    <w:rsid w:val="002D24F2"/>
    <w:rsid w:val="002D2527"/>
    <w:rsid w:val="002D2663"/>
    <w:rsid w:val="002D297E"/>
    <w:rsid w:val="002D2E10"/>
    <w:rsid w:val="002D2EAC"/>
    <w:rsid w:val="002D2F25"/>
    <w:rsid w:val="002D2FE9"/>
    <w:rsid w:val="002D3290"/>
    <w:rsid w:val="002D3382"/>
    <w:rsid w:val="002D3485"/>
    <w:rsid w:val="002D3520"/>
    <w:rsid w:val="002D36B1"/>
    <w:rsid w:val="002D37B9"/>
    <w:rsid w:val="002D37E0"/>
    <w:rsid w:val="002D38F4"/>
    <w:rsid w:val="002D3AB5"/>
    <w:rsid w:val="002D3ABC"/>
    <w:rsid w:val="002D3B54"/>
    <w:rsid w:val="002D3BC4"/>
    <w:rsid w:val="002D3BD3"/>
    <w:rsid w:val="002D3C96"/>
    <w:rsid w:val="002D3D01"/>
    <w:rsid w:val="002D3D20"/>
    <w:rsid w:val="002D3D88"/>
    <w:rsid w:val="002D3F4C"/>
    <w:rsid w:val="002D4045"/>
    <w:rsid w:val="002D40FE"/>
    <w:rsid w:val="002D417A"/>
    <w:rsid w:val="002D44CF"/>
    <w:rsid w:val="002D44DD"/>
    <w:rsid w:val="002D44E4"/>
    <w:rsid w:val="002D455B"/>
    <w:rsid w:val="002D457E"/>
    <w:rsid w:val="002D46DF"/>
    <w:rsid w:val="002D4A32"/>
    <w:rsid w:val="002D4A9D"/>
    <w:rsid w:val="002D4B22"/>
    <w:rsid w:val="002D4C40"/>
    <w:rsid w:val="002D4C5E"/>
    <w:rsid w:val="002D4D3D"/>
    <w:rsid w:val="002D4D59"/>
    <w:rsid w:val="002D4EB2"/>
    <w:rsid w:val="002D4EBB"/>
    <w:rsid w:val="002D4F6E"/>
    <w:rsid w:val="002D4F79"/>
    <w:rsid w:val="002D53DA"/>
    <w:rsid w:val="002D543B"/>
    <w:rsid w:val="002D5515"/>
    <w:rsid w:val="002D5608"/>
    <w:rsid w:val="002D5815"/>
    <w:rsid w:val="002D58AB"/>
    <w:rsid w:val="002D5994"/>
    <w:rsid w:val="002D5A96"/>
    <w:rsid w:val="002D5ACD"/>
    <w:rsid w:val="002D5C24"/>
    <w:rsid w:val="002D5D14"/>
    <w:rsid w:val="002D5DB8"/>
    <w:rsid w:val="002D5DBD"/>
    <w:rsid w:val="002D5F5F"/>
    <w:rsid w:val="002D604B"/>
    <w:rsid w:val="002D631B"/>
    <w:rsid w:val="002D64A0"/>
    <w:rsid w:val="002D6507"/>
    <w:rsid w:val="002D66CB"/>
    <w:rsid w:val="002D6A81"/>
    <w:rsid w:val="002D6B64"/>
    <w:rsid w:val="002D6FD7"/>
    <w:rsid w:val="002D703A"/>
    <w:rsid w:val="002D7098"/>
    <w:rsid w:val="002D7245"/>
    <w:rsid w:val="002D73C1"/>
    <w:rsid w:val="002D73C7"/>
    <w:rsid w:val="002D749D"/>
    <w:rsid w:val="002D74AB"/>
    <w:rsid w:val="002D7508"/>
    <w:rsid w:val="002D7547"/>
    <w:rsid w:val="002D7700"/>
    <w:rsid w:val="002D7745"/>
    <w:rsid w:val="002D7887"/>
    <w:rsid w:val="002D7891"/>
    <w:rsid w:val="002D78A8"/>
    <w:rsid w:val="002D7929"/>
    <w:rsid w:val="002D79F6"/>
    <w:rsid w:val="002D7AA0"/>
    <w:rsid w:val="002D7C29"/>
    <w:rsid w:val="002D7CFB"/>
    <w:rsid w:val="002E004E"/>
    <w:rsid w:val="002E007E"/>
    <w:rsid w:val="002E00DA"/>
    <w:rsid w:val="002E0114"/>
    <w:rsid w:val="002E01A5"/>
    <w:rsid w:val="002E0275"/>
    <w:rsid w:val="002E031E"/>
    <w:rsid w:val="002E057A"/>
    <w:rsid w:val="002E064F"/>
    <w:rsid w:val="002E0690"/>
    <w:rsid w:val="002E07A5"/>
    <w:rsid w:val="002E089C"/>
    <w:rsid w:val="002E099D"/>
    <w:rsid w:val="002E09FF"/>
    <w:rsid w:val="002E0AD4"/>
    <w:rsid w:val="002E0CC0"/>
    <w:rsid w:val="002E10B2"/>
    <w:rsid w:val="002E11C8"/>
    <w:rsid w:val="002E11F2"/>
    <w:rsid w:val="002E1307"/>
    <w:rsid w:val="002E147B"/>
    <w:rsid w:val="002E14B6"/>
    <w:rsid w:val="002E15A5"/>
    <w:rsid w:val="002E179B"/>
    <w:rsid w:val="002E18F7"/>
    <w:rsid w:val="002E1966"/>
    <w:rsid w:val="002E1A7A"/>
    <w:rsid w:val="002E1AB4"/>
    <w:rsid w:val="002E1C46"/>
    <w:rsid w:val="002E1CCC"/>
    <w:rsid w:val="002E1EA0"/>
    <w:rsid w:val="002E1F58"/>
    <w:rsid w:val="002E201C"/>
    <w:rsid w:val="002E2106"/>
    <w:rsid w:val="002E21D0"/>
    <w:rsid w:val="002E21F8"/>
    <w:rsid w:val="002E226E"/>
    <w:rsid w:val="002E227F"/>
    <w:rsid w:val="002E2326"/>
    <w:rsid w:val="002E2361"/>
    <w:rsid w:val="002E23D5"/>
    <w:rsid w:val="002E25A7"/>
    <w:rsid w:val="002E2692"/>
    <w:rsid w:val="002E2711"/>
    <w:rsid w:val="002E273B"/>
    <w:rsid w:val="002E2955"/>
    <w:rsid w:val="002E2974"/>
    <w:rsid w:val="002E299E"/>
    <w:rsid w:val="002E2AD0"/>
    <w:rsid w:val="002E2C56"/>
    <w:rsid w:val="002E2D1E"/>
    <w:rsid w:val="002E2D5A"/>
    <w:rsid w:val="002E2D9C"/>
    <w:rsid w:val="002E2DCA"/>
    <w:rsid w:val="002E2EB0"/>
    <w:rsid w:val="002E2F35"/>
    <w:rsid w:val="002E2FDC"/>
    <w:rsid w:val="002E3006"/>
    <w:rsid w:val="002E3041"/>
    <w:rsid w:val="002E3157"/>
    <w:rsid w:val="002E31BC"/>
    <w:rsid w:val="002E32A3"/>
    <w:rsid w:val="002E32DB"/>
    <w:rsid w:val="002E37D8"/>
    <w:rsid w:val="002E3882"/>
    <w:rsid w:val="002E3962"/>
    <w:rsid w:val="002E3AAB"/>
    <w:rsid w:val="002E3ACD"/>
    <w:rsid w:val="002E3AEF"/>
    <w:rsid w:val="002E3B51"/>
    <w:rsid w:val="002E3D61"/>
    <w:rsid w:val="002E3DAA"/>
    <w:rsid w:val="002E3DD9"/>
    <w:rsid w:val="002E3DE0"/>
    <w:rsid w:val="002E3EC3"/>
    <w:rsid w:val="002E408C"/>
    <w:rsid w:val="002E409E"/>
    <w:rsid w:val="002E43B7"/>
    <w:rsid w:val="002E43CB"/>
    <w:rsid w:val="002E4545"/>
    <w:rsid w:val="002E462C"/>
    <w:rsid w:val="002E4679"/>
    <w:rsid w:val="002E489A"/>
    <w:rsid w:val="002E48B8"/>
    <w:rsid w:val="002E4C34"/>
    <w:rsid w:val="002E4CD2"/>
    <w:rsid w:val="002E4E74"/>
    <w:rsid w:val="002E4EBA"/>
    <w:rsid w:val="002E4ED0"/>
    <w:rsid w:val="002E4FA5"/>
    <w:rsid w:val="002E50BB"/>
    <w:rsid w:val="002E50C7"/>
    <w:rsid w:val="002E5110"/>
    <w:rsid w:val="002E5216"/>
    <w:rsid w:val="002E5394"/>
    <w:rsid w:val="002E5430"/>
    <w:rsid w:val="002E54A6"/>
    <w:rsid w:val="002E55C3"/>
    <w:rsid w:val="002E55E2"/>
    <w:rsid w:val="002E5682"/>
    <w:rsid w:val="002E572C"/>
    <w:rsid w:val="002E587C"/>
    <w:rsid w:val="002E58ED"/>
    <w:rsid w:val="002E59C1"/>
    <w:rsid w:val="002E5B9E"/>
    <w:rsid w:val="002E5BD4"/>
    <w:rsid w:val="002E5C70"/>
    <w:rsid w:val="002E5D68"/>
    <w:rsid w:val="002E5E58"/>
    <w:rsid w:val="002E606C"/>
    <w:rsid w:val="002E6102"/>
    <w:rsid w:val="002E62A1"/>
    <w:rsid w:val="002E63DA"/>
    <w:rsid w:val="002E64FA"/>
    <w:rsid w:val="002E6540"/>
    <w:rsid w:val="002E65C2"/>
    <w:rsid w:val="002E6625"/>
    <w:rsid w:val="002E678E"/>
    <w:rsid w:val="002E6803"/>
    <w:rsid w:val="002E68FF"/>
    <w:rsid w:val="002E699A"/>
    <w:rsid w:val="002E6B78"/>
    <w:rsid w:val="002E6DA9"/>
    <w:rsid w:val="002E6EAE"/>
    <w:rsid w:val="002E6ED7"/>
    <w:rsid w:val="002E724E"/>
    <w:rsid w:val="002E725E"/>
    <w:rsid w:val="002E736D"/>
    <w:rsid w:val="002E7424"/>
    <w:rsid w:val="002E748A"/>
    <w:rsid w:val="002E74B8"/>
    <w:rsid w:val="002E76AF"/>
    <w:rsid w:val="002E77DC"/>
    <w:rsid w:val="002E786E"/>
    <w:rsid w:val="002E78EF"/>
    <w:rsid w:val="002E7A7C"/>
    <w:rsid w:val="002E7A84"/>
    <w:rsid w:val="002E7AC6"/>
    <w:rsid w:val="002E7AE6"/>
    <w:rsid w:val="002E7AE9"/>
    <w:rsid w:val="002E7B71"/>
    <w:rsid w:val="002E7D5E"/>
    <w:rsid w:val="002F00A0"/>
    <w:rsid w:val="002F0132"/>
    <w:rsid w:val="002F0147"/>
    <w:rsid w:val="002F01BD"/>
    <w:rsid w:val="002F020E"/>
    <w:rsid w:val="002F0246"/>
    <w:rsid w:val="002F0264"/>
    <w:rsid w:val="002F026E"/>
    <w:rsid w:val="002F0380"/>
    <w:rsid w:val="002F0385"/>
    <w:rsid w:val="002F03C6"/>
    <w:rsid w:val="002F040D"/>
    <w:rsid w:val="002F044C"/>
    <w:rsid w:val="002F0466"/>
    <w:rsid w:val="002F04DB"/>
    <w:rsid w:val="002F0549"/>
    <w:rsid w:val="002F0802"/>
    <w:rsid w:val="002F0830"/>
    <w:rsid w:val="002F083D"/>
    <w:rsid w:val="002F0954"/>
    <w:rsid w:val="002F0A02"/>
    <w:rsid w:val="002F0A2A"/>
    <w:rsid w:val="002F0B98"/>
    <w:rsid w:val="002F0CFD"/>
    <w:rsid w:val="002F0DAC"/>
    <w:rsid w:val="002F0E2C"/>
    <w:rsid w:val="002F0F22"/>
    <w:rsid w:val="002F0F64"/>
    <w:rsid w:val="002F1061"/>
    <w:rsid w:val="002F1124"/>
    <w:rsid w:val="002F11E3"/>
    <w:rsid w:val="002F142F"/>
    <w:rsid w:val="002F176B"/>
    <w:rsid w:val="002F1824"/>
    <w:rsid w:val="002F1B09"/>
    <w:rsid w:val="002F1B89"/>
    <w:rsid w:val="002F1C3A"/>
    <w:rsid w:val="002F1D11"/>
    <w:rsid w:val="002F1DEC"/>
    <w:rsid w:val="002F1E79"/>
    <w:rsid w:val="002F1FA8"/>
    <w:rsid w:val="002F1FC2"/>
    <w:rsid w:val="002F21B8"/>
    <w:rsid w:val="002F2231"/>
    <w:rsid w:val="002F22C5"/>
    <w:rsid w:val="002F23ED"/>
    <w:rsid w:val="002F2416"/>
    <w:rsid w:val="002F257E"/>
    <w:rsid w:val="002F25D6"/>
    <w:rsid w:val="002F25E2"/>
    <w:rsid w:val="002F2681"/>
    <w:rsid w:val="002F2793"/>
    <w:rsid w:val="002F28BF"/>
    <w:rsid w:val="002F2D87"/>
    <w:rsid w:val="002F2F9E"/>
    <w:rsid w:val="002F2FED"/>
    <w:rsid w:val="002F30E1"/>
    <w:rsid w:val="002F3101"/>
    <w:rsid w:val="002F3148"/>
    <w:rsid w:val="002F31A6"/>
    <w:rsid w:val="002F32CE"/>
    <w:rsid w:val="002F33AD"/>
    <w:rsid w:val="002F33BC"/>
    <w:rsid w:val="002F34CA"/>
    <w:rsid w:val="002F3782"/>
    <w:rsid w:val="002F3926"/>
    <w:rsid w:val="002F39B9"/>
    <w:rsid w:val="002F3A3D"/>
    <w:rsid w:val="002F3A7F"/>
    <w:rsid w:val="002F3A80"/>
    <w:rsid w:val="002F3A9E"/>
    <w:rsid w:val="002F3B1F"/>
    <w:rsid w:val="002F3B83"/>
    <w:rsid w:val="002F3DE7"/>
    <w:rsid w:val="002F3F7A"/>
    <w:rsid w:val="002F3FF4"/>
    <w:rsid w:val="002F402A"/>
    <w:rsid w:val="002F405E"/>
    <w:rsid w:val="002F40A9"/>
    <w:rsid w:val="002F40CB"/>
    <w:rsid w:val="002F40EA"/>
    <w:rsid w:val="002F426A"/>
    <w:rsid w:val="002F433F"/>
    <w:rsid w:val="002F446A"/>
    <w:rsid w:val="002F44A7"/>
    <w:rsid w:val="002F44B5"/>
    <w:rsid w:val="002F4605"/>
    <w:rsid w:val="002F47E5"/>
    <w:rsid w:val="002F4880"/>
    <w:rsid w:val="002F49A3"/>
    <w:rsid w:val="002F4A49"/>
    <w:rsid w:val="002F4B3B"/>
    <w:rsid w:val="002F4EE6"/>
    <w:rsid w:val="002F5195"/>
    <w:rsid w:val="002F5202"/>
    <w:rsid w:val="002F5289"/>
    <w:rsid w:val="002F5307"/>
    <w:rsid w:val="002F539B"/>
    <w:rsid w:val="002F5570"/>
    <w:rsid w:val="002F5576"/>
    <w:rsid w:val="002F55A0"/>
    <w:rsid w:val="002F5611"/>
    <w:rsid w:val="002F5664"/>
    <w:rsid w:val="002F56BB"/>
    <w:rsid w:val="002F59A5"/>
    <w:rsid w:val="002F5A19"/>
    <w:rsid w:val="002F5B72"/>
    <w:rsid w:val="002F5C26"/>
    <w:rsid w:val="002F5C41"/>
    <w:rsid w:val="002F5DCA"/>
    <w:rsid w:val="002F5DCF"/>
    <w:rsid w:val="002F5FAF"/>
    <w:rsid w:val="002F6211"/>
    <w:rsid w:val="002F63AC"/>
    <w:rsid w:val="002F6408"/>
    <w:rsid w:val="002F64A4"/>
    <w:rsid w:val="002F64ED"/>
    <w:rsid w:val="002F65C3"/>
    <w:rsid w:val="002F6609"/>
    <w:rsid w:val="002F6743"/>
    <w:rsid w:val="002F6962"/>
    <w:rsid w:val="002F696B"/>
    <w:rsid w:val="002F69EF"/>
    <w:rsid w:val="002F6BB2"/>
    <w:rsid w:val="002F6F69"/>
    <w:rsid w:val="002F6FFA"/>
    <w:rsid w:val="002F7034"/>
    <w:rsid w:val="002F706C"/>
    <w:rsid w:val="002F70D0"/>
    <w:rsid w:val="002F7152"/>
    <w:rsid w:val="002F71AC"/>
    <w:rsid w:val="002F729B"/>
    <w:rsid w:val="002F738A"/>
    <w:rsid w:val="002F73AA"/>
    <w:rsid w:val="002F742B"/>
    <w:rsid w:val="002F74C0"/>
    <w:rsid w:val="002F756A"/>
    <w:rsid w:val="002F7619"/>
    <w:rsid w:val="002F767D"/>
    <w:rsid w:val="002F76CC"/>
    <w:rsid w:val="002F76FC"/>
    <w:rsid w:val="002F77C8"/>
    <w:rsid w:val="002F78FA"/>
    <w:rsid w:val="002F7AA7"/>
    <w:rsid w:val="002F7B62"/>
    <w:rsid w:val="002F7D56"/>
    <w:rsid w:val="002F7EB8"/>
    <w:rsid w:val="002F7EBA"/>
    <w:rsid w:val="00300141"/>
    <w:rsid w:val="0030016A"/>
    <w:rsid w:val="00300270"/>
    <w:rsid w:val="0030028E"/>
    <w:rsid w:val="0030034A"/>
    <w:rsid w:val="00300500"/>
    <w:rsid w:val="00300640"/>
    <w:rsid w:val="003007DD"/>
    <w:rsid w:val="00300833"/>
    <w:rsid w:val="00300899"/>
    <w:rsid w:val="0030099D"/>
    <w:rsid w:val="00300AA1"/>
    <w:rsid w:val="00300B16"/>
    <w:rsid w:val="00300B6C"/>
    <w:rsid w:val="00300CCD"/>
    <w:rsid w:val="00300DAD"/>
    <w:rsid w:val="00300E1A"/>
    <w:rsid w:val="00300F33"/>
    <w:rsid w:val="00300F90"/>
    <w:rsid w:val="003010F5"/>
    <w:rsid w:val="003011D1"/>
    <w:rsid w:val="003012E7"/>
    <w:rsid w:val="003013BF"/>
    <w:rsid w:val="003014C9"/>
    <w:rsid w:val="003014E7"/>
    <w:rsid w:val="00301512"/>
    <w:rsid w:val="00301517"/>
    <w:rsid w:val="00301575"/>
    <w:rsid w:val="003017AA"/>
    <w:rsid w:val="003017C4"/>
    <w:rsid w:val="003018AE"/>
    <w:rsid w:val="00301912"/>
    <w:rsid w:val="0030198A"/>
    <w:rsid w:val="00301ABD"/>
    <w:rsid w:val="00301B47"/>
    <w:rsid w:val="00301C76"/>
    <w:rsid w:val="00301EDB"/>
    <w:rsid w:val="00301FB9"/>
    <w:rsid w:val="00302026"/>
    <w:rsid w:val="0030206B"/>
    <w:rsid w:val="00302127"/>
    <w:rsid w:val="00302175"/>
    <w:rsid w:val="003021EC"/>
    <w:rsid w:val="00302233"/>
    <w:rsid w:val="00302305"/>
    <w:rsid w:val="00302526"/>
    <w:rsid w:val="0030280F"/>
    <w:rsid w:val="003029EF"/>
    <w:rsid w:val="00302A6B"/>
    <w:rsid w:val="00302B12"/>
    <w:rsid w:val="00302B90"/>
    <w:rsid w:val="00302E13"/>
    <w:rsid w:val="00302E35"/>
    <w:rsid w:val="00303103"/>
    <w:rsid w:val="00303132"/>
    <w:rsid w:val="00303147"/>
    <w:rsid w:val="003031C6"/>
    <w:rsid w:val="00303287"/>
    <w:rsid w:val="003032B6"/>
    <w:rsid w:val="003032D8"/>
    <w:rsid w:val="003032EE"/>
    <w:rsid w:val="003032F2"/>
    <w:rsid w:val="00303765"/>
    <w:rsid w:val="003038F5"/>
    <w:rsid w:val="003039B4"/>
    <w:rsid w:val="00303CAC"/>
    <w:rsid w:val="00303E92"/>
    <w:rsid w:val="00303F27"/>
    <w:rsid w:val="0030418D"/>
    <w:rsid w:val="00304214"/>
    <w:rsid w:val="00304259"/>
    <w:rsid w:val="00304342"/>
    <w:rsid w:val="003043A3"/>
    <w:rsid w:val="0030444B"/>
    <w:rsid w:val="00304544"/>
    <w:rsid w:val="003045C6"/>
    <w:rsid w:val="003048E1"/>
    <w:rsid w:val="003048EC"/>
    <w:rsid w:val="0030496A"/>
    <w:rsid w:val="00304A94"/>
    <w:rsid w:val="00304A9B"/>
    <w:rsid w:val="00304B50"/>
    <w:rsid w:val="00304C72"/>
    <w:rsid w:val="00305071"/>
    <w:rsid w:val="003051E8"/>
    <w:rsid w:val="003051FA"/>
    <w:rsid w:val="003052EF"/>
    <w:rsid w:val="0030562D"/>
    <w:rsid w:val="00305777"/>
    <w:rsid w:val="00305833"/>
    <w:rsid w:val="00305946"/>
    <w:rsid w:val="00305B9A"/>
    <w:rsid w:val="00305D47"/>
    <w:rsid w:val="00305ED9"/>
    <w:rsid w:val="0030619E"/>
    <w:rsid w:val="003061A7"/>
    <w:rsid w:val="00306341"/>
    <w:rsid w:val="00306358"/>
    <w:rsid w:val="00306364"/>
    <w:rsid w:val="00306372"/>
    <w:rsid w:val="00306460"/>
    <w:rsid w:val="003065C6"/>
    <w:rsid w:val="003065D2"/>
    <w:rsid w:val="0030663B"/>
    <w:rsid w:val="00306730"/>
    <w:rsid w:val="00306766"/>
    <w:rsid w:val="003067F5"/>
    <w:rsid w:val="0030684B"/>
    <w:rsid w:val="00306946"/>
    <w:rsid w:val="00306984"/>
    <w:rsid w:val="00306A80"/>
    <w:rsid w:val="00306B43"/>
    <w:rsid w:val="00306D4D"/>
    <w:rsid w:val="00306E2B"/>
    <w:rsid w:val="00306EB7"/>
    <w:rsid w:val="0030701F"/>
    <w:rsid w:val="00307109"/>
    <w:rsid w:val="00307279"/>
    <w:rsid w:val="003072BF"/>
    <w:rsid w:val="00307326"/>
    <w:rsid w:val="00307329"/>
    <w:rsid w:val="00307455"/>
    <w:rsid w:val="00307462"/>
    <w:rsid w:val="003075B4"/>
    <w:rsid w:val="00307B13"/>
    <w:rsid w:val="00307BE0"/>
    <w:rsid w:val="00307C64"/>
    <w:rsid w:val="00307D2D"/>
    <w:rsid w:val="003100FB"/>
    <w:rsid w:val="003101CE"/>
    <w:rsid w:val="003101D3"/>
    <w:rsid w:val="003102DA"/>
    <w:rsid w:val="003106B9"/>
    <w:rsid w:val="0031075C"/>
    <w:rsid w:val="00310A9D"/>
    <w:rsid w:val="00310AE3"/>
    <w:rsid w:val="00310B90"/>
    <w:rsid w:val="00310C3E"/>
    <w:rsid w:val="00310C8D"/>
    <w:rsid w:val="00310E2F"/>
    <w:rsid w:val="00310E55"/>
    <w:rsid w:val="00310FB1"/>
    <w:rsid w:val="00310FC1"/>
    <w:rsid w:val="0031101F"/>
    <w:rsid w:val="00311165"/>
    <w:rsid w:val="00311203"/>
    <w:rsid w:val="003112C9"/>
    <w:rsid w:val="003113AD"/>
    <w:rsid w:val="00311455"/>
    <w:rsid w:val="0031152F"/>
    <w:rsid w:val="00311606"/>
    <w:rsid w:val="00311679"/>
    <w:rsid w:val="00311734"/>
    <w:rsid w:val="00311831"/>
    <w:rsid w:val="0031185E"/>
    <w:rsid w:val="0031189B"/>
    <w:rsid w:val="003118D3"/>
    <w:rsid w:val="0031196F"/>
    <w:rsid w:val="00311B24"/>
    <w:rsid w:val="00311B71"/>
    <w:rsid w:val="00311B82"/>
    <w:rsid w:val="00311BF2"/>
    <w:rsid w:val="00311CE0"/>
    <w:rsid w:val="00311D0A"/>
    <w:rsid w:val="00311E03"/>
    <w:rsid w:val="00311E94"/>
    <w:rsid w:val="00311EBC"/>
    <w:rsid w:val="00311FE2"/>
    <w:rsid w:val="003121C8"/>
    <w:rsid w:val="00312337"/>
    <w:rsid w:val="0031250F"/>
    <w:rsid w:val="003126C2"/>
    <w:rsid w:val="0031272A"/>
    <w:rsid w:val="00312A83"/>
    <w:rsid w:val="00312A8B"/>
    <w:rsid w:val="00312AD0"/>
    <w:rsid w:val="00312B5F"/>
    <w:rsid w:val="00312CD9"/>
    <w:rsid w:val="00312D2B"/>
    <w:rsid w:val="00312E3C"/>
    <w:rsid w:val="00312ED1"/>
    <w:rsid w:val="00312F99"/>
    <w:rsid w:val="00312FAC"/>
    <w:rsid w:val="00312FC3"/>
    <w:rsid w:val="00313013"/>
    <w:rsid w:val="0031310C"/>
    <w:rsid w:val="003131C1"/>
    <w:rsid w:val="00313203"/>
    <w:rsid w:val="00313242"/>
    <w:rsid w:val="003132D8"/>
    <w:rsid w:val="0031355A"/>
    <w:rsid w:val="00313642"/>
    <w:rsid w:val="0031380C"/>
    <w:rsid w:val="00313846"/>
    <w:rsid w:val="003139C1"/>
    <w:rsid w:val="00313AE7"/>
    <w:rsid w:val="00313C1D"/>
    <w:rsid w:val="00313CD6"/>
    <w:rsid w:val="00313DA8"/>
    <w:rsid w:val="00313EAE"/>
    <w:rsid w:val="00313EC5"/>
    <w:rsid w:val="00313F00"/>
    <w:rsid w:val="00314092"/>
    <w:rsid w:val="00314095"/>
    <w:rsid w:val="00314181"/>
    <w:rsid w:val="0031420A"/>
    <w:rsid w:val="00314254"/>
    <w:rsid w:val="00314326"/>
    <w:rsid w:val="00314329"/>
    <w:rsid w:val="00314394"/>
    <w:rsid w:val="0031443A"/>
    <w:rsid w:val="00314568"/>
    <w:rsid w:val="003145A3"/>
    <w:rsid w:val="003145F5"/>
    <w:rsid w:val="00314747"/>
    <w:rsid w:val="0031485C"/>
    <w:rsid w:val="00314969"/>
    <w:rsid w:val="003149E5"/>
    <w:rsid w:val="00314A51"/>
    <w:rsid w:val="00314A63"/>
    <w:rsid w:val="00314ADD"/>
    <w:rsid w:val="00314AE9"/>
    <w:rsid w:val="00314B9F"/>
    <w:rsid w:val="00314CD3"/>
    <w:rsid w:val="00314D6B"/>
    <w:rsid w:val="00314D86"/>
    <w:rsid w:val="00314DE6"/>
    <w:rsid w:val="00314F0E"/>
    <w:rsid w:val="00314F34"/>
    <w:rsid w:val="00314FE0"/>
    <w:rsid w:val="00314FE9"/>
    <w:rsid w:val="00315164"/>
    <w:rsid w:val="003151DC"/>
    <w:rsid w:val="00315202"/>
    <w:rsid w:val="003153B1"/>
    <w:rsid w:val="00315597"/>
    <w:rsid w:val="003156CA"/>
    <w:rsid w:val="00315738"/>
    <w:rsid w:val="003157DA"/>
    <w:rsid w:val="00315826"/>
    <w:rsid w:val="003158E1"/>
    <w:rsid w:val="003159F6"/>
    <w:rsid w:val="00315AA5"/>
    <w:rsid w:val="00315C98"/>
    <w:rsid w:val="00315D69"/>
    <w:rsid w:val="00315DC1"/>
    <w:rsid w:val="00315DE7"/>
    <w:rsid w:val="00315E6E"/>
    <w:rsid w:val="00316118"/>
    <w:rsid w:val="0031628B"/>
    <w:rsid w:val="003162AC"/>
    <w:rsid w:val="00316323"/>
    <w:rsid w:val="0031634D"/>
    <w:rsid w:val="00316416"/>
    <w:rsid w:val="0031656F"/>
    <w:rsid w:val="00316922"/>
    <w:rsid w:val="00316933"/>
    <w:rsid w:val="00316972"/>
    <w:rsid w:val="003169A2"/>
    <w:rsid w:val="003169E2"/>
    <w:rsid w:val="00316C79"/>
    <w:rsid w:val="00316D61"/>
    <w:rsid w:val="00316DAB"/>
    <w:rsid w:val="00316FD7"/>
    <w:rsid w:val="003171AC"/>
    <w:rsid w:val="003172B6"/>
    <w:rsid w:val="00317369"/>
    <w:rsid w:val="003175C1"/>
    <w:rsid w:val="0031782E"/>
    <w:rsid w:val="00317831"/>
    <w:rsid w:val="00317896"/>
    <w:rsid w:val="0031791A"/>
    <w:rsid w:val="003179B7"/>
    <w:rsid w:val="00317A93"/>
    <w:rsid w:val="00317B09"/>
    <w:rsid w:val="00317CBA"/>
    <w:rsid w:val="00317D5A"/>
    <w:rsid w:val="00317D8C"/>
    <w:rsid w:val="00317E92"/>
    <w:rsid w:val="00317EC8"/>
    <w:rsid w:val="00320024"/>
    <w:rsid w:val="0032022E"/>
    <w:rsid w:val="003202B6"/>
    <w:rsid w:val="00320334"/>
    <w:rsid w:val="0032038D"/>
    <w:rsid w:val="0032040C"/>
    <w:rsid w:val="00320571"/>
    <w:rsid w:val="003207D0"/>
    <w:rsid w:val="00320839"/>
    <w:rsid w:val="0032096B"/>
    <w:rsid w:val="00320987"/>
    <w:rsid w:val="00320A52"/>
    <w:rsid w:val="00320B18"/>
    <w:rsid w:val="00320C95"/>
    <w:rsid w:val="00320D50"/>
    <w:rsid w:val="00320DF9"/>
    <w:rsid w:val="00320FDC"/>
    <w:rsid w:val="00320FEB"/>
    <w:rsid w:val="00321065"/>
    <w:rsid w:val="0032110E"/>
    <w:rsid w:val="003214EA"/>
    <w:rsid w:val="00321571"/>
    <w:rsid w:val="00321688"/>
    <w:rsid w:val="00321768"/>
    <w:rsid w:val="003217D3"/>
    <w:rsid w:val="003217FF"/>
    <w:rsid w:val="0032180C"/>
    <w:rsid w:val="00321836"/>
    <w:rsid w:val="0032186C"/>
    <w:rsid w:val="003218E3"/>
    <w:rsid w:val="003218F4"/>
    <w:rsid w:val="00321AFC"/>
    <w:rsid w:val="00321C48"/>
    <w:rsid w:val="00321C7D"/>
    <w:rsid w:val="00321CAB"/>
    <w:rsid w:val="00321CC8"/>
    <w:rsid w:val="00321E44"/>
    <w:rsid w:val="00321EF0"/>
    <w:rsid w:val="00321FC4"/>
    <w:rsid w:val="0032208B"/>
    <w:rsid w:val="00322197"/>
    <w:rsid w:val="003221A4"/>
    <w:rsid w:val="0032228E"/>
    <w:rsid w:val="003222F1"/>
    <w:rsid w:val="0032240E"/>
    <w:rsid w:val="0032242C"/>
    <w:rsid w:val="00322514"/>
    <w:rsid w:val="00322540"/>
    <w:rsid w:val="0032256D"/>
    <w:rsid w:val="003225CA"/>
    <w:rsid w:val="003226B2"/>
    <w:rsid w:val="00322814"/>
    <w:rsid w:val="00322C37"/>
    <w:rsid w:val="00322C79"/>
    <w:rsid w:val="00322CD9"/>
    <w:rsid w:val="00323020"/>
    <w:rsid w:val="003231A0"/>
    <w:rsid w:val="003231EE"/>
    <w:rsid w:val="003232F2"/>
    <w:rsid w:val="00323321"/>
    <w:rsid w:val="00323423"/>
    <w:rsid w:val="00323435"/>
    <w:rsid w:val="003234C3"/>
    <w:rsid w:val="003235DB"/>
    <w:rsid w:val="0032366F"/>
    <w:rsid w:val="003236AA"/>
    <w:rsid w:val="0032376C"/>
    <w:rsid w:val="00323891"/>
    <w:rsid w:val="0032390E"/>
    <w:rsid w:val="00323978"/>
    <w:rsid w:val="003239DF"/>
    <w:rsid w:val="00324143"/>
    <w:rsid w:val="00324216"/>
    <w:rsid w:val="00324222"/>
    <w:rsid w:val="003242F7"/>
    <w:rsid w:val="00324356"/>
    <w:rsid w:val="00324673"/>
    <w:rsid w:val="003246B3"/>
    <w:rsid w:val="00324734"/>
    <w:rsid w:val="003248F4"/>
    <w:rsid w:val="0032497C"/>
    <w:rsid w:val="003249F7"/>
    <w:rsid w:val="00324AC0"/>
    <w:rsid w:val="00324AF0"/>
    <w:rsid w:val="00324C1D"/>
    <w:rsid w:val="00324CC2"/>
    <w:rsid w:val="00324E6E"/>
    <w:rsid w:val="00324EBE"/>
    <w:rsid w:val="00324F0F"/>
    <w:rsid w:val="00325193"/>
    <w:rsid w:val="003251B9"/>
    <w:rsid w:val="0032529A"/>
    <w:rsid w:val="003252A0"/>
    <w:rsid w:val="003253AC"/>
    <w:rsid w:val="003253C6"/>
    <w:rsid w:val="00325540"/>
    <w:rsid w:val="003255F2"/>
    <w:rsid w:val="003258A9"/>
    <w:rsid w:val="00325925"/>
    <w:rsid w:val="00325B4A"/>
    <w:rsid w:val="00325C5A"/>
    <w:rsid w:val="00325C8A"/>
    <w:rsid w:val="00325D3A"/>
    <w:rsid w:val="00325E09"/>
    <w:rsid w:val="00325E1D"/>
    <w:rsid w:val="00325F15"/>
    <w:rsid w:val="00325F1E"/>
    <w:rsid w:val="00326033"/>
    <w:rsid w:val="00326089"/>
    <w:rsid w:val="0032608A"/>
    <w:rsid w:val="003260A8"/>
    <w:rsid w:val="003260D0"/>
    <w:rsid w:val="003261F4"/>
    <w:rsid w:val="0032636A"/>
    <w:rsid w:val="0032636C"/>
    <w:rsid w:val="00326405"/>
    <w:rsid w:val="0032671C"/>
    <w:rsid w:val="003267F9"/>
    <w:rsid w:val="003267FE"/>
    <w:rsid w:val="003269F5"/>
    <w:rsid w:val="00326CE1"/>
    <w:rsid w:val="00326DC9"/>
    <w:rsid w:val="00326E0F"/>
    <w:rsid w:val="00326F22"/>
    <w:rsid w:val="003271C9"/>
    <w:rsid w:val="003272EA"/>
    <w:rsid w:val="003273B8"/>
    <w:rsid w:val="00327476"/>
    <w:rsid w:val="003274FE"/>
    <w:rsid w:val="00327610"/>
    <w:rsid w:val="00327638"/>
    <w:rsid w:val="003276F0"/>
    <w:rsid w:val="003276F1"/>
    <w:rsid w:val="00327766"/>
    <w:rsid w:val="003277B8"/>
    <w:rsid w:val="00327812"/>
    <w:rsid w:val="003278AB"/>
    <w:rsid w:val="0032790B"/>
    <w:rsid w:val="00327919"/>
    <w:rsid w:val="0032799F"/>
    <w:rsid w:val="003279AE"/>
    <w:rsid w:val="00327A45"/>
    <w:rsid w:val="00327D00"/>
    <w:rsid w:val="00327DE3"/>
    <w:rsid w:val="00327E8A"/>
    <w:rsid w:val="00330037"/>
    <w:rsid w:val="00330081"/>
    <w:rsid w:val="00330424"/>
    <w:rsid w:val="00330439"/>
    <w:rsid w:val="0033065E"/>
    <w:rsid w:val="003306EA"/>
    <w:rsid w:val="00330710"/>
    <w:rsid w:val="00330870"/>
    <w:rsid w:val="0033088F"/>
    <w:rsid w:val="00330ADD"/>
    <w:rsid w:val="00330C12"/>
    <w:rsid w:val="00331009"/>
    <w:rsid w:val="003310B6"/>
    <w:rsid w:val="003313EE"/>
    <w:rsid w:val="00331689"/>
    <w:rsid w:val="0033168C"/>
    <w:rsid w:val="00331715"/>
    <w:rsid w:val="00331728"/>
    <w:rsid w:val="0033186B"/>
    <w:rsid w:val="003318F3"/>
    <w:rsid w:val="00331B4A"/>
    <w:rsid w:val="00331D11"/>
    <w:rsid w:val="00331D6A"/>
    <w:rsid w:val="00331DF8"/>
    <w:rsid w:val="00331F25"/>
    <w:rsid w:val="00331F2F"/>
    <w:rsid w:val="00331F49"/>
    <w:rsid w:val="00331F9C"/>
    <w:rsid w:val="003321BD"/>
    <w:rsid w:val="0033221F"/>
    <w:rsid w:val="00332279"/>
    <w:rsid w:val="0033243A"/>
    <w:rsid w:val="00332492"/>
    <w:rsid w:val="003325A9"/>
    <w:rsid w:val="00332631"/>
    <w:rsid w:val="0033265D"/>
    <w:rsid w:val="003326F5"/>
    <w:rsid w:val="00332726"/>
    <w:rsid w:val="003327AF"/>
    <w:rsid w:val="00332887"/>
    <w:rsid w:val="003328C3"/>
    <w:rsid w:val="003328CA"/>
    <w:rsid w:val="00332900"/>
    <w:rsid w:val="003329D5"/>
    <w:rsid w:val="00332ADF"/>
    <w:rsid w:val="00332CF7"/>
    <w:rsid w:val="00332DB4"/>
    <w:rsid w:val="00332E11"/>
    <w:rsid w:val="00332F0B"/>
    <w:rsid w:val="00332F87"/>
    <w:rsid w:val="003331B8"/>
    <w:rsid w:val="003331C7"/>
    <w:rsid w:val="00333267"/>
    <w:rsid w:val="003332D9"/>
    <w:rsid w:val="003332EF"/>
    <w:rsid w:val="00333358"/>
    <w:rsid w:val="0033342E"/>
    <w:rsid w:val="003334DA"/>
    <w:rsid w:val="003336AF"/>
    <w:rsid w:val="003336C5"/>
    <w:rsid w:val="0033380C"/>
    <w:rsid w:val="003339C2"/>
    <w:rsid w:val="003339F5"/>
    <w:rsid w:val="00333A09"/>
    <w:rsid w:val="00333B26"/>
    <w:rsid w:val="00333B9D"/>
    <w:rsid w:val="00333C5A"/>
    <w:rsid w:val="00333CD9"/>
    <w:rsid w:val="00333D11"/>
    <w:rsid w:val="00333E68"/>
    <w:rsid w:val="00333F42"/>
    <w:rsid w:val="0033458F"/>
    <w:rsid w:val="003346DD"/>
    <w:rsid w:val="003346FA"/>
    <w:rsid w:val="00334787"/>
    <w:rsid w:val="00334789"/>
    <w:rsid w:val="00334793"/>
    <w:rsid w:val="003347B2"/>
    <w:rsid w:val="00334821"/>
    <w:rsid w:val="00334B26"/>
    <w:rsid w:val="00334B2D"/>
    <w:rsid w:val="00334C1F"/>
    <w:rsid w:val="00334CD9"/>
    <w:rsid w:val="00334DDB"/>
    <w:rsid w:val="00334DEF"/>
    <w:rsid w:val="00334F2B"/>
    <w:rsid w:val="00334F68"/>
    <w:rsid w:val="00335067"/>
    <w:rsid w:val="00335193"/>
    <w:rsid w:val="003351A6"/>
    <w:rsid w:val="003351AD"/>
    <w:rsid w:val="003351BE"/>
    <w:rsid w:val="003351C0"/>
    <w:rsid w:val="003352BE"/>
    <w:rsid w:val="00335331"/>
    <w:rsid w:val="0033535A"/>
    <w:rsid w:val="00335366"/>
    <w:rsid w:val="00335495"/>
    <w:rsid w:val="0033549B"/>
    <w:rsid w:val="003354AA"/>
    <w:rsid w:val="00335527"/>
    <w:rsid w:val="0033579D"/>
    <w:rsid w:val="0033588D"/>
    <w:rsid w:val="003358C4"/>
    <w:rsid w:val="0033597C"/>
    <w:rsid w:val="003359A7"/>
    <w:rsid w:val="00335B46"/>
    <w:rsid w:val="00335E47"/>
    <w:rsid w:val="00335EC1"/>
    <w:rsid w:val="003360AB"/>
    <w:rsid w:val="003360CC"/>
    <w:rsid w:val="003360D5"/>
    <w:rsid w:val="003360FD"/>
    <w:rsid w:val="0033628A"/>
    <w:rsid w:val="003362F6"/>
    <w:rsid w:val="00336397"/>
    <w:rsid w:val="00336402"/>
    <w:rsid w:val="00336481"/>
    <w:rsid w:val="003364CB"/>
    <w:rsid w:val="003364CF"/>
    <w:rsid w:val="00336542"/>
    <w:rsid w:val="003366C7"/>
    <w:rsid w:val="00336739"/>
    <w:rsid w:val="003367DC"/>
    <w:rsid w:val="0033685B"/>
    <w:rsid w:val="003368C2"/>
    <w:rsid w:val="003368E3"/>
    <w:rsid w:val="00336946"/>
    <w:rsid w:val="00336AF0"/>
    <w:rsid w:val="00336B46"/>
    <w:rsid w:val="00336B94"/>
    <w:rsid w:val="00336D45"/>
    <w:rsid w:val="00336DFD"/>
    <w:rsid w:val="00336E5C"/>
    <w:rsid w:val="00336EE0"/>
    <w:rsid w:val="003371C0"/>
    <w:rsid w:val="003372C3"/>
    <w:rsid w:val="0033735A"/>
    <w:rsid w:val="0033738A"/>
    <w:rsid w:val="0033738F"/>
    <w:rsid w:val="003373A4"/>
    <w:rsid w:val="003374BC"/>
    <w:rsid w:val="003375C4"/>
    <w:rsid w:val="003376D6"/>
    <w:rsid w:val="00337733"/>
    <w:rsid w:val="0033775C"/>
    <w:rsid w:val="00337810"/>
    <w:rsid w:val="0033795D"/>
    <w:rsid w:val="00337A01"/>
    <w:rsid w:val="00337B7F"/>
    <w:rsid w:val="00337CAC"/>
    <w:rsid w:val="00337DC6"/>
    <w:rsid w:val="00337E49"/>
    <w:rsid w:val="00337EF3"/>
    <w:rsid w:val="00340280"/>
    <w:rsid w:val="003402A9"/>
    <w:rsid w:val="003405B8"/>
    <w:rsid w:val="00340747"/>
    <w:rsid w:val="0034075E"/>
    <w:rsid w:val="003409DD"/>
    <w:rsid w:val="00340B64"/>
    <w:rsid w:val="00340BF3"/>
    <w:rsid w:val="00340C53"/>
    <w:rsid w:val="00340CA9"/>
    <w:rsid w:val="00340D7D"/>
    <w:rsid w:val="00340F03"/>
    <w:rsid w:val="00341067"/>
    <w:rsid w:val="0034110C"/>
    <w:rsid w:val="00341163"/>
    <w:rsid w:val="00341191"/>
    <w:rsid w:val="00341195"/>
    <w:rsid w:val="003412A1"/>
    <w:rsid w:val="003412D7"/>
    <w:rsid w:val="00341307"/>
    <w:rsid w:val="0034170F"/>
    <w:rsid w:val="00341747"/>
    <w:rsid w:val="00341A26"/>
    <w:rsid w:val="00341B35"/>
    <w:rsid w:val="00341C63"/>
    <w:rsid w:val="00341E70"/>
    <w:rsid w:val="00341EB1"/>
    <w:rsid w:val="00341FD6"/>
    <w:rsid w:val="00341FED"/>
    <w:rsid w:val="003420A1"/>
    <w:rsid w:val="00342163"/>
    <w:rsid w:val="00342209"/>
    <w:rsid w:val="003422CC"/>
    <w:rsid w:val="003422F0"/>
    <w:rsid w:val="00342479"/>
    <w:rsid w:val="003424BE"/>
    <w:rsid w:val="00342547"/>
    <w:rsid w:val="00342606"/>
    <w:rsid w:val="0034277F"/>
    <w:rsid w:val="003428E5"/>
    <w:rsid w:val="00342996"/>
    <w:rsid w:val="003429D4"/>
    <w:rsid w:val="00342D25"/>
    <w:rsid w:val="00342DCE"/>
    <w:rsid w:val="00342EC1"/>
    <w:rsid w:val="00342ED2"/>
    <w:rsid w:val="00342FC5"/>
    <w:rsid w:val="00342FD9"/>
    <w:rsid w:val="0034300E"/>
    <w:rsid w:val="003431E0"/>
    <w:rsid w:val="00343207"/>
    <w:rsid w:val="00343219"/>
    <w:rsid w:val="00343370"/>
    <w:rsid w:val="00343426"/>
    <w:rsid w:val="00343472"/>
    <w:rsid w:val="003434DD"/>
    <w:rsid w:val="00343597"/>
    <w:rsid w:val="003435FC"/>
    <w:rsid w:val="00343795"/>
    <w:rsid w:val="003437F8"/>
    <w:rsid w:val="00343825"/>
    <w:rsid w:val="00343B89"/>
    <w:rsid w:val="00343B8D"/>
    <w:rsid w:val="00343C21"/>
    <w:rsid w:val="00343DC4"/>
    <w:rsid w:val="00343E45"/>
    <w:rsid w:val="00343EB9"/>
    <w:rsid w:val="00343EF8"/>
    <w:rsid w:val="00343FAE"/>
    <w:rsid w:val="00344118"/>
    <w:rsid w:val="0034436E"/>
    <w:rsid w:val="003443F7"/>
    <w:rsid w:val="0034441C"/>
    <w:rsid w:val="003444A5"/>
    <w:rsid w:val="003444E4"/>
    <w:rsid w:val="00344587"/>
    <w:rsid w:val="00344944"/>
    <w:rsid w:val="00344A4A"/>
    <w:rsid w:val="00344AB0"/>
    <w:rsid w:val="00344AFD"/>
    <w:rsid w:val="00344B33"/>
    <w:rsid w:val="00344C38"/>
    <w:rsid w:val="00344C9D"/>
    <w:rsid w:val="00344D16"/>
    <w:rsid w:val="00344D17"/>
    <w:rsid w:val="00344E0A"/>
    <w:rsid w:val="00345189"/>
    <w:rsid w:val="003451EE"/>
    <w:rsid w:val="003452AF"/>
    <w:rsid w:val="003454BB"/>
    <w:rsid w:val="0034557C"/>
    <w:rsid w:val="003456E6"/>
    <w:rsid w:val="0034579E"/>
    <w:rsid w:val="003457BE"/>
    <w:rsid w:val="0034581E"/>
    <w:rsid w:val="003458F0"/>
    <w:rsid w:val="00345963"/>
    <w:rsid w:val="00345A34"/>
    <w:rsid w:val="00345A62"/>
    <w:rsid w:val="00345C6F"/>
    <w:rsid w:val="00345D72"/>
    <w:rsid w:val="00346167"/>
    <w:rsid w:val="00346310"/>
    <w:rsid w:val="003465C1"/>
    <w:rsid w:val="00346756"/>
    <w:rsid w:val="003467F2"/>
    <w:rsid w:val="003467FD"/>
    <w:rsid w:val="0034688A"/>
    <w:rsid w:val="003468DD"/>
    <w:rsid w:val="00346913"/>
    <w:rsid w:val="00346935"/>
    <w:rsid w:val="00346A27"/>
    <w:rsid w:val="00346AAA"/>
    <w:rsid w:val="00346ACC"/>
    <w:rsid w:val="00346AE0"/>
    <w:rsid w:val="00346BC5"/>
    <w:rsid w:val="00346BE0"/>
    <w:rsid w:val="00346E40"/>
    <w:rsid w:val="00346EEF"/>
    <w:rsid w:val="00346F08"/>
    <w:rsid w:val="00347069"/>
    <w:rsid w:val="003470A6"/>
    <w:rsid w:val="003471B3"/>
    <w:rsid w:val="003471B9"/>
    <w:rsid w:val="003473AB"/>
    <w:rsid w:val="00347496"/>
    <w:rsid w:val="003474DA"/>
    <w:rsid w:val="00347526"/>
    <w:rsid w:val="00347759"/>
    <w:rsid w:val="0034780C"/>
    <w:rsid w:val="0034788D"/>
    <w:rsid w:val="003478A4"/>
    <w:rsid w:val="003479E6"/>
    <w:rsid w:val="00347BD7"/>
    <w:rsid w:val="00347BDF"/>
    <w:rsid w:val="00347C39"/>
    <w:rsid w:val="00347CF6"/>
    <w:rsid w:val="00347D02"/>
    <w:rsid w:val="00347F50"/>
    <w:rsid w:val="0035018B"/>
    <w:rsid w:val="0035023F"/>
    <w:rsid w:val="00350255"/>
    <w:rsid w:val="003502AD"/>
    <w:rsid w:val="003502AE"/>
    <w:rsid w:val="003503A4"/>
    <w:rsid w:val="003507E7"/>
    <w:rsid w:val="00350880"/>
    <w:rsid w:val="003508EB"/>
    <w:rsid w:val="003508ED"/>
    <w:rsid w:val="00350913"/>
    <w:rsid w:val="00350997"/>
    <w:rsid w:val="00350B17"/>
    <w:rsid w:val="00350BBA"/>
    <w:rsid w:val="00350C6A"/>
    <w:rsid w:val="00350D3E"/>
    <w:rsid w:val="00350DC7"/>
    <w:rsid w:val="00350DEE"/>
    <w:rsid w:val="00351045"/>
    <w:rsid w:val="0035104C"/>
    <w:rsid w:val="003511F2"/>
    <w:rsid w:val="00351221"/>
    <w:rsid w:val="00351283"/>
    <w:rsid w:val="003512CD"/>
    <w:rsid w:val="00351401"/>
    <w:rsid w:val="003515DE"/>
    <w:rsid w:val="003515EC"/>
    <w:rsid w:val="003516E7"/>
    <w:rsid w:val="003517ED"/>
    <w:rsid w:val="003518E0"/>
    <w:rsid w:val="00351B11"/>
    <w:rsid w:val="00351BA6"/>
    <w:rsid w:val="00351D69"/>
    <w:rsid w:val="00351F0B"/>
    <w:rsid w:val="00351F77"/>
    <w:rsid w:val="003523BC"/>
    <w:rsid w:val="003524BE"/>
    <w:rsid w:val="003524CF"/>
    <w:rsid w:val="003526D5"/>
    <w:rsid w:val="003527B2"/>
    <w:rsid w:val="00352913"/>
    <w:rsid w:val="0035299D"/>
    <w:rsid w:val="00352A11"/>
    <w:rsid w:val="00352B9D"/>
    <w:rsid w:val="00352C0A"/>
    <w:rsid w:val="00352E37"/>
    <w:rsid w:val="00352F41"/>
    <w:rsid w:val="00352FA2"/>
    <w:rsid w:val="00352FC2"/>
    <w:rsid w:val="00352FC6"/>
    <w:rsid w:val="003530BF"/>
    <w:rsid w:val="00353138"/>
    <w:rsid w:val="003531A9"/>
    <w:rsid w:val="0035320E"/>
    <w:rsid w:val="00353382"/>
    <w:rsid w:val="003533C4"/>
    <w:rsid w:val="003534BE"/>
    <w:rsid w:val="003535E7"/>
    <w:rsid w:val="00353667"/>
    <w:rsid w:val="003538CB"/>
    <w:rsid w:val="0035395A"/>
    <w:rsid w:val="00353A0E"/>
    <w:rsid w:val="00353C08"/>
    <w:rsid w:val="00353C55"/>
    <w:rsid w:val="00353D0C"/>
    <w:rsid w:val="00353E3C"/>
    <w:rsid w:val="00353E5F"/>
    <w:rsid w:val="00354194"/>
    <w:rsid w:val="0035429B"/>
    <w:rsid w:val="00354382"/>
    <w:rsid w:val="00354400"/>
    <w:rsid w:val="0035455F"/>
    <w:rsid w:val="003547D6"/>
    <w:rsid w:val="003548BC"/>
    <w:rsid w:val="0035490A"/>
    <w:rsid w:val="00354959"/>
    <w:rsid w:val="00354A01"/>
    <w:rsid w:val="00354A37"/>
    <w:rsid w:val="00354A46"/>
    <w:rsid w:val="00354A97"/>
    <w:rsid w:val="00354C91"/>
    <w:rsid w:val="0035504E"/>
    <w:rsid w:val="00355104"/>
    <w:rsid w:val="0035525D"/>
    <w:rsid w:val="00355614"/>
    <w:rsid w:val="0035585E"/>
    <w:rsid w:val="00355948"/>
    <w:rsid w:val="00355977"/>
    <w:rsid w:val="003559DC"/>
    <w:rsid w:val="00355A1E"/>
    <w:rsid w:val="00355A2F"/>
    <w:rsid w:val="00355A57"/>
    <w:rsid w:val="00355AE1"/>
    <w:rsid w:val="00355C20"/>
    <w:rsid w:val="00355C4F"/>
    <w:rsid w:val="00355CAE"/>
    <w:rsid w:val="00355CE3"/>
    <w:rsid w:val="00355DE4"/>
    <w:rsid w:val="00355EB2"/>
    <w:rsid w:val="00355FA9"/>
    <w:rsid w:val="00356021"/>
    <w:rsid w:val="00356022"/>
    <w:rsid w:val="003562AD"/>
    <w:rsid w:val="003562D7"/>
    <w:rsid w:val="003563AB"/>
    <w:rsid w:val="00356465"/>
    <w:rsid w:val="00356640"/>
    <w:rsid w:val="003566B5"/>
    <w:rsid w:val="0035676D"/>
    <w:rsid w:val="003567CB"/>
    <w:rsid w:val="0035683B"/>
    <w:rsid w:val="00356913"/>
    <w:rsid w:val="003569A1"/>
    <w:rsid w:val="003569C4"/>
    <w:rsid w:val="00356A64"/>
    <w:rsid w:val="00356B3E"/>
    <w:rsid w:val="00356BED"/>
    <w:rsid w:val="00356C22"/>
    <w:rsid w:val="00356CE5"/>
    <w:rsid w:val="00356E5F"/>
    <w:rsid w:val="00356F4D"/>
    <w:rsid w:val="00356FC6"/>
    <w:rsid w:val="003570BB"/>
    <w:rsid w:val="003571B3"/>
    <w:rsid w:val="003571BB"/>
    <w:rsid w:val="0035724B"/>
    <w:rsid w:val="0035728F"/>
    <w:rsid w:val="00357510"/>
    <w:rsid w:val="003575E1"/>
    <w:rsid w:val="00357856"/>
    <w:rsid w:val="00357935"/>
    <w:rsid w:val="00357951"/>
    <w:rsid w:val="0035796B"/>
    <w:rsid w:val="00357AFA"/>
    <w:rsid w:val="00357B02"/>
    <w:rsid w:val="00357E1A"/>
    <w:rsid w:val="00357E70"/>
    <w:rsid w:val="0036019A"/>
    <w:rsid w:val="003601C9"/>
    <w:rsid w:val="0036024F"/>
    <w:rsid w:val="003602C4"/>
    <w:rsid w:val="00360354"/>
    <w:rsid w:val="003605B5"/>
    <w:rsid w:val="00360636"/>
    <w:rsid w:val="0036066E"/>
    <w:rsid w:val="003608EA"/>
    <w:rsid w:val="00360C43"/>
    <w:rsid w:val="00360CB2"/>
    <w:rsid w:val="00360CEA"/>
    <w:rsid w:val="00360D1B"/>
    <w:rsid w:val="00360DB0"/>
    <w:rsid w:val="00360DBA"/>
    <w:rsid w:val="00360E83"/>
    <w:rsid w:val="00360F66"/>
    <w:rsid w:val="00360F87"/>
    <w:rsid w:val="00361061"/>
    <w:rsid w:val="003610A8"/>
    <w:rsid w:val="003611F7"/>
    <w:rsid w:val="003612B2"/>
    <w:rsid w:val="003613E6"/>
    <w:rsid w:val="003613F3"/>
    <w:rsid w:val="003613F9"/>
    <w:rsid w:val="003614FE"/>
    <w:rsid w:val="003615A9"/>
    <w:rsid w:val="00361645"/>
    <w:rsid w:val="00361857"/>
    <w:rsid w:val="00361A35"/>
    <w:rsid w:val="00361DB0"/>
    <w:rsid w:val="00361DD0"/>
    <w:rsid w:val="00361EC9"/>
    <w:rsid w:val="00361FD8"/>
    <w:rsid w:val="00362036"/>
    <w:rsid w:val="0036205C"/>
    <w:rsid w:val="003621DE"/>
    <w:rsid w:val="003621EA"/>
    <w:rsid w:val="003622E1"/>
    <w:rsid w:val="003622F0"/>
    <w:rsid w:val="00362309"/>
    <w:rsid w:val="0036232D"/>
    <w:rsid w:val="0036247D"/>
    <w:rsid w:val="003625DE"/>
    <w:rsid w:val="00362691"/>
    <w:rsid w:val="003626B2"/>
    <w:rsid w:val="0036272E"/>
    <w:rsid w:val="0036281D"/>
    <w:rsid w:val="00362B27"/>
    <w:rsid w:val="00362BFF"/>
    <w:rsid w:val="00362C8E"/>
    <w:rsid w:val="00362D77"/>
    <w:rsid w:val="00362D8A"/>
    <w:rsid w:val="00362EA3"/>
    <w:rsid w:val="0036303D"/>
    <w:rsid w:val="00363100"/>
    <w:rsid w:val="0036320F"/>
    <w:rsid w:val="00363267"/>
    <w:rsid w:val="003632BB"/>
    <w:rsid w:val="003632FF"/>
    <w:rsid w:val="0036337A"/>
    <w:rsid w:val="003633E1"/>
    <w:rsid w:val="0036344F"/>
    <w:rsid w:val="003635B1"/>
    <w:rsid w:val="003635BD"/>
    <w:rsid w:val="00363643"/>
    <w:rsid w:val="00363661"/>
    <w:rsid w:val="0036372F"/>
    <w:rsid w:val="00363761"/>
    <w:rsid w:val="0036382D"/>
    <w:rsid w:val="00363916"/>
    <w:rsid w:val="003639A9"/>
    <w:rsid w:val="00363A81"/>
    <w:rsid w:val="00363B4C"/>
    <w:rsid w:val="00363C81"/>
    <w:rsid w:val="00363DAE"/>
    <w:rsid w:val="00363F9A"/>
    <w:rsid w:val="0036427A"/>
    <w:rsid w:val="003642CA"/>
    <w:rsid w:val="003644DC"/>
    <w:rsid w:val="00364501"/>
    <w:rsid w:val="0036459A"/>
    <w:rsid w:val="003645C5"/>
    <w:rsid w:val="0036468F"/>
    <w:rsid w:val="00364768"/>
    <w:rsid w:val="0036480D"/>
    <w:rsid w:val="0036484C"/>
    <w:rsid w:val="0036498C"/>
    <w:rsid w:val="00364A10"/>
    <w:rsid w:val="00364C05"/>
    <w:rsid w:val="00364CCE"/>
    <w:rsid w:val="00364D06"/>
    <w:rsid w:val="00364E22"/>
    <w:rsid w:val="00364EC5"/>
    <w:rsid w:val="00364F29"/>
    <w:rsid w:val="0036504F"/>
    <w:rsid w:val="00365631"/>
    <w:rsid w:val="00365670"/>
    <w:rsid w:val="0036567F"/>
    <w:rsid w:val="003656D7"/>
    <w:rsid w:val="0036577F"/>
    <w:rsid w:val="003657DE"/>
    <w:rsid w:val="00365A48"/>
    <w:rsid w:val="00365AF7"/>
    <w:rsid w:val="00365C64"/>
    <w:rsid w:val="00365CDD"/>
    <w:rsid w:val="00365D5B"/>
    <w:rsid w:val="00365EEC"/>
    <w:rsid w:val="003660AC"/>
    <w:rsid w:val="00366151"/>
    <w:rsid w:val="003661B7"/>
    <w:rsid w:val="0036631D"/>
    <w:rsid w:val="00366508"/>
    <w:rsid w:val="00366566"/>
    <w:rsid w:val="003665EC"/>
    <w:rsid w:val="003665F0"/>
    <w:rsid w:val="003665F5"/>
    <w:rsid w:val="0036668B"/>
    <w:rsid w:val="00366707"/>
    <w:rsid w:val="003667C6"/>
    <w:rsid w:val="003668EA"/>
    <w:rsid w:val="00366918"/>
    <w:rsid w:val="003669BB"/>
    <w:rsid w:val="00366BF3"/>
    <w:rsid w:val="00366C60"/>
    <w:rsid w:val="00366C6C"/>
    <w:rsid w:val="00366D89"/>
    <w:rsid w:val="00366E36"/>
    <w:rsid w:val="00366E66"/>
    <w:rsid w:val="00366E67"/>
    <w:rsid w:val="00366F10"/>
    <w:rsid w:val="00366F26"/>
    <w:rsid w:val="003670FD"/>
    <w:rsid w:val="0036726A"/>
    <w:rsid w:val="003673B3"/>
    <w:rsid w:val="003675A8"/>
    <w:rsid w:val="0036782A"/>
    <w:rsid w:val="0036782F"/>
    <w:rsid w:val="00367912"/>
    <w:rsid w:val="00367A2D"/>
    <w:rsid w:val="00367A83"/>
    <w:rsid w:val="00367BA3"/>
    <w:rsid w:val="00367BEA"/>
    <w:rsid w:val="00367CD4"/>
    <w:rsid w:val="00367DDA"/>
    <w:rsid w:val="00367E79"/>
    <w:rsid w:val="00367E8E"/>
    <w:rsid w:val="00367F14"/>
    <w:rsid w:val="00370024"/>
    <w:rsid w:val="003700D7"/>
    <w:rsid w:val="00370152"/>
    <w:rsid w:val="00370272"/>
    <w:rsid w:val="00370554"/>
    <w:rsid w:val="0037056E"/>
    <w:rsid w:val="003705E9"/>
    <w:rsid w:val="00370629"/>
    <w:rsid w:val="0037070C"/>
    <w:rsid w:val="00370785"/>
    <w:rsid w:val="003707CF"/>
    <w:rsid w:val="00370887"/>
    <w:rsid w:val="0037091D"/>
    <w:rsid w:val="00370937"/>
    <w:rsid w:val="003709B1"/>
    <w:rsid w:val="00370A26"/>
    <w:rsid w:val="00370A9F"/>
    <w:rsid w:val="00370B53"/>
    <w:rsid w:val="00370C26"/>
    <w:rsid w:val="00370C35"/>
    <w:rsid w:val="00370D91"/>
    <w:rsid w:val="00370F20"/>
    <w:rsid w:val="00371145"/>
    <w:rsid w:val="0037117C"/>
    <w:rsid w:val="003711AE"/>
    <w:rsid w:val="003714CA"/>
    <w:rsid w:val="00371687"/>
    <w:rsid w:val="003717C6"/>
    <w:rsid w:val="003717D4"/>
    <w:rsid w:val="0037186F"/>
    <w:rsid w:val="00371ABA"/>
    <w:rsid w:val="00371BC5"/>
    <w:rsid w:val="00371D0E"/>
    <w:rsid w:val="00371D32"/>
    <w:rsid w:val="00371D88"/>
    <w:rsid w:val="00371EF7"/>
    <w:rsid w:val="00371F99"/>
    <w:rsid w:val="00372067"/>
    <w:rsid w:val="0037218C"/>
    <w:rsid w:val="003721D1"/>
    <w:rsid w:val="003721E8"/>
    <w:rsid w:val="0037239C"/>
    <w:rsid w:val="0037257A"/>
    <w:rsid w:val="003725C8"/>
    <w:rsid w:val="00372887"/>
    <w:rsid w:val="00372925"/>
    <w:rsid w:val="00372967"/>
    <w:rsid w:val="0037298B"/>
    <w:rsid w:val="00372A32"/>
    <w:rsid w:val="00372A3D"/>
    <w:rsid w:val="00372BE0"/>
    <w:rsid w:val="00372C22"/>
    <w:rsid w:val="00372D5B"/>
    <w:rsid w:val="00372E3F"/>
    <w:rsid w:val="00372F8A"/>
    <w:rsid w:val="00373145"/>
    <w:rsid w:val="00373223"/>
    <w:rsid w:val="00373396"/>
    <w:rsid w:val="00373442"/>
    <w:rsid w:val="00373531"/>
    <w:rsid w:val="0037359C"/>
    <w:rsid w:val="0037365E"/>
    <w:rsid w:val="00373736"/>
    <w:rsid w:val="003737ED"/>
    <w:rsid w:val="0037385D"/>
    <w:rsid w:val="003738A7"/>
    <w:rsid w:val="00373AEB"/>
    <w:rsid w:val="00373B1B"/>
    <w:rsid w:val="00373BF3"/>
    <w:rsid w:val="00373DF3"/>
    <w:rsid w:val="00373E10"/>
    <w:rsid w:val="00373E2A"/>
    <w:rsid w:val="00373FB2"/>
    <w:rsid w:val="00374094"/>
    <w:rsid w:val="003740EF"/>
    <w:rsid w:val="003740FA"/>
    <w:rsid w:val="003741A9"/>
    <w:rsid w:val="00374293"/>
    <w:rsid w:val="00374305"/>
    <w:rsid w:val="003745FD"/>
    <w:rsid w:val="00374699"/>
    <w:rsid w:val="003747E9"/>
    <w:rsid w:val="003749A6"/>
    <w:rsid w:val="00374BE5"/>
    <w:rsid w:val="00374BFE"/>
    <w:rsid w:val="00374E8A"/>
    <w:rsid w:val="00375276"/>
    <w:rsid w:val="003752BA"/>
    <w:rsid w:val="0037537A"/>
    <w:rsid w:val="003753D4"/>
    <w:rsid w:val="00375430"/>
    <w:rsid w:val="003755A5"/>
    <w:rsid w:val="003755C2"/>
    <w:rsid w:val="00375675"/>
    <w:rsid w:val="00375715"/>
    <w:rsid w:val="00375748"/>
    <w:rsid w:val="00375B0A"/>
    <w:rsid w:val="00375CA7"/>
    <w:rsid w:val="00375D5E"/>
    <w:rsid w:val="00375E54"/>
    <w:rsid w:val="00375E8D"/>
    <w:rsid w:val="00375EA5"/>
    <w:rsid w:val="00375EBD"/>
    <w:rsid w:val="00375FDB"/>
    <w:rsid w:val="003760F0"/>
    <w:rsid w:val="003762C4"/>
    <w:rsid w:val="00376413"/>
    <w:rsid w:val="0037654D"/>
    <w:rsid w:val="0037658F"/>
    <w:rsid w:val="003767DF"/>
    <w:rsid w:val="0037682C"/>
    <w:rsid w:val="0037685B"/>
    <w:rsid w:val="003768D0"/>
    <w:rsid w:val="00376C3E"/>
    <w:rsid w:val="00376E6A"/>
    <w:rsid w:val="00377007"/>
    <w:rsid w:val="00377043"/>
    <w:rsid w:val="00377044"/>
    <w:rsid w:val="003770D5"/>
    <w:rsid w:val="003771FA"/>
    <w:rsid w:val="0037720E"/>
    <w:rsid w:val="003772F3"/>
    <w:rsid w:val="00377462"/>
    <w:rsid w:val="003775A8"/>
    <w:rsid w:val="003775CC"/>
    <w:rsid w:val="00377621"/>
    <w:rsid w:val="00377939"/>
    <w:rsid w:val="003779C9"/>
    <w:rsid w:val="003779DF"/>
    <w:rsid w:val="00377BCA"/>
    <w:rsid w:val="00377C1C"/>
    <w:rsid w:val="00377F5E"/>
    <w:rsid w:val="00377FB3"/>
    <w:rsid w:val="00380038"/>
    <w:rsid w:val="003800BB"/>
    <w:rsid w:val="003800BE"/>
    <w:rsid w:val="00380157"/>
    <w:rsid w:val="003801E1"/>
    <w:rsid w:val="00380366"/>
    <w:rsid w:val="00380429"/>
    <w:rsid w:val="00380449"/>
    <w:rsid w:val="0038055D"/>
    <w:rsid w:val="00380656"/>
    <w:rsid w:val="003807A6"/>
    <w:rsid w:val="003808A3"/>
    <w:rsid w:val="003808E0"/>
    <w:rsid w:val="003808FC"/>
    <w:rsid w:val="00380B34"/>
    <w:rsid w:val="00380C46"/>
    <w:rsid w:val="00380E0B"/>
    <w:rsid w:val="00380E11"/>
    <w:rsid w:val="00380E99"/>
    <w:rsid w:val="00380EED"/>
    <w:rsid w:val="00380F43"/>
    <w:rsid w:val="00380F62"/>
    <w:rsid w:val="003811E0"/>
    <w:rsid w:val="00381337"/>
    <w:rsid w:val="00381441"/>
    <w:rsid w:val="00381548"/>
    <w:rsid w:val="003815A5"/>
    <w:rsid w:val="003815CD"/>
    <w:rsid w:val="003815E3"/>
    <w:rsid w:val="003816D7"/>
    <w:rsid w:val="0038175C"/>
    <w:rsid w:val="003817A9"/>
    <w:rsid w:val="003818C7"/>
    <w:rsid w:val="00381A2B"/>
    <w:rsid w:val="00381CF8"/>
    <w:rsid w:val="00381D08"/>
    <w:rsid w:val="00381E14"/>
    <w:rsid w:val="00382028"/>
    <w:rsid w:val="00382061"/>
    <w:rsid w:val="003820CD"/>
    <w:rsid w:val="0038229D"/>
    <w:rsid w:val="0038254E"/>
    <w:rsid w:val="003825D3"/>
    <w:rsid w:val="00382700"/>
    <w:rsid w:val="003827F7"/>
    <w:rsid w:val="0038282B"/>
    <w:rsid w:val="0038289E"/>
    <w:rsid w:val="00382900"/>
    <w:rsid w:val="00382D4E"/>
    <w:rsid w:val="003830C5"/>
    <w:rsid w:val="0038330A"/>
    <w:rsid w:val="003833F4"/>
    <w:rsid w:val="00383765"/>
    <w:rsid w:val="0038378B"/>
    <w:rsid w:val="00383799"/>
    <w:rsid w:val="00383A4A"/>
    <w:rsid w:val="00383A98"/>
    <w:rsid w:val="00383AE0"/>
    <w:rsid w:val="00383AF4"/>
    <w:rsid w:val="00383BAF"/>
    <w:rsid w:val="00383C05"/>
    <w:rsid w:val="00383C18"/>
    <w:rsid w:val="00383C76"/>
    <w:rsid w:val="00383CF8"/>
    <w:rsid w:val="00383E4C"/>
    <w:rsid w:val="00383E68"/>
    <w:rsid w:val="00384101"/>
    <w:rsid w:val="00384127"/>
    <w:rsid w:val="0038415C"/>
    <w:rsid w:val="003841AC"/>
    <w:rsid w:val="003841B6"/>
    <w:rsid w:val="00384433"/>
    <w:rsid w:val="00384614"/>
    <w:rsid w:val="00384916"/>
    <w:rsid w:val="003849CD"/>
    <w:rsid w:val="00384A1F"/>
    <w:rsid w:val="00384B77"/>
    <w:rsid w:val="00384C76"/>
    <w:rsid w:val="00384DDB"/>
    <w:rsid w:val="00384E4E"/>
    <w:rsid w:val="00384F85"/>
    <w:rsid w:val="00384FEB"/>
    <w:rsid w:val="0038505D"/>
    <w:rsid w:val="0038519D"/>
    <w:rsid w:val="00385266"/>
    <w:rsid w:val="00385306"/>
    <w:rsid w:val="00385346"/>
    <w:rsid w:val="003857B2"/>
    <w:rsid w:val="003857BE"/>
    <w:rsid w:val="00385AEF"/>
    <w:rsid w:val="00385BDB"/>
    <w:rsid w:val="00385BFB"/>
    <w:rsid w:val="00385C7A"/>
    <w:rsid w:val="00385CAC"/>
    <w:rsid w:val="00385D39"/>
    <w:rsid w:val="00385DD0"/>
    <w:rsid w:val="00385EF4"/>
    <w:rsid w:val="00385F3D"/>
    <w:rsid w:val="00385F4E"/>
    <w:rsid w:val="0038607E"/>
    <w:rsid w:val="00386106"/>
    <w:rsid w:val="0038612A"/>
    <w:rsid w:val="0038619C"/>
    <w:rsid w:val="003861AF"/>
    <w:rsid w:val="00386470"/>
    <w:rsid w:val="00386490"/>
    <w:rsid w:val="00386541"/>
    <w:rsid w:val="003866C6"/>
    <w:rsid w:val="003866E9"/>
    <w:rsid w:val="00386709"/>
    <w:rsid w:val="0038675C"/>
    <w:rsid w:val="0038676E"/>
    <w:rsid w:val="003867EF"/>
    <w:rsid w:val="0038684D"/>
    <w:rsid w:val="00386986"/>
    <w:rsid w:val="003869A2"/>
    <w:rsid w:val="003869C5"/>
    <w:rsid w:val="003869D1"/>
    <w:rsid w:val="003869EC"/>
    <w:rsid w:val="003869FF"/>
    <w:rsid w:val="00386A21"/>
    <w:rsid w:val="00386ACF"/>
    <w:rsid w:val="00386B43"/>
    <w:rsid w:val="00386C9D"/>
    <w:rsid w:val="00386D6B"/>
    <w:rsid w:val="00386D99"/>
    <w:rsid w:val="00386DF5"/>
    <w:rsid w:val="00386F27"/>
    <w:rsid w:val="00387035"/>
    <w:rsid w:val="00387117"/>
    <w:rsid w:val="00387290"/>
    <w:rsid w:val="0038742F"/>
    <w:rsid w:val="00387640"/>
    <w:rsid w:val="0038783A"/>
    <w:rsid w:val="00387858"/>
    <w:rsid w:val="00387866"/>
    <w:rsid w:val="00387ABF"/>
    <w:rsid w:val="00387BCF"/>
    <w:rsid w:val="00387BD3"/>
    <w:rsid w:val="00387BF2"/>
    <w:rsid w:val="00387CD2"/>
    <w:rsid w:val="00387D77"/>
    <w:rsid w:val="00387D79"/>
    <w:rsid w:val="00387EE8"/>
    <w:rsid w:val="0039008A"/>
    <w:rsid w:val="00390147"/>
    <w:rsid w:val="00390178"/>
    <w:rsid w:val="00390301"/>
    <w:rsid w:val="0039034F"/>
    <w:rsid w:val="003903D0"/>
    <w:rsid w:val="003903EA"/>
    <w:rsid w:val="00390472"/>
    <w:rsid w:val="00390483"/>
    <w:rsid w:val="003905A6"/>
    <w:rsid w:val="003905AB"/>
    <w:rsid w:val="00390622"/>
    <w:rsid w:val="0039082D"/>
    <w:rsid w:val="0039089D"/>
    <w:rsid w:val="00390B30"/>
    <w:rsid w:val="00390CDE"/>
    <w:rsid w:val="00390E46"/>
    <w:rsid w:val="00390E6C"/>
    <w:rsid w:val="00390ED1"/>
    <w:rsid w:val="00390F04"/>
    <w:rsid w:val="0039102A"/>
    <w:rsid w:val="003910AC"/>
    <w:rsid w:val="0039112B"/>
    <w:rsid w:val="00391249"/>
    <w:rsid w:val="003912D0"/>
    <w:rsid w:val="0039139C"/>
    <w:rsid w:val="0039140E"/>
    <w:rsid w:val="0039148A"/>
    <w:rsid w:val="003914BA"/>
    <w:rsid w:val="003914C1"/>
    <w:rsid w:val="0039171F"/>
    <w:rsid w:val="00391778"/>
    <w:rsid w:val="003917BD"/>
    <w:rsid w:val="003917F3"/>
    <w:rsid w:val="003918E0"/>
    <w:rsid w:val="003918E3"/>
    <w:rsid w:val="00391907"/>
    <w:rsid w:val="003919D8"/>
    <w:rsid w:val="00391C52"/>
    <w:rsid w:val="00391C5D"/>
    <w:rsid w:val="00391D11"/>
    <w:rsid w:val="00391DD6"/>
    <w:rsid w:val="00391DE3"/>
    <w:rsid w:val="003920A9"/>
    <w:rsid w:val="0039211B"/>
    <w:rsid w:val="0039216A"/>
    <w:rsid w:val="00392493"/>
    <w:rsid w:val="0039254C"/>
    <w:rsid w:val="00392581"/>
    <w:rsid w:val="003925FB"/>
    <w:rsid w:val="003926D3"/>
    <w:rsid w:val="003929C0"/>
    <w:rsid w:val="00392A03"/>
    <w:rsid w:val="00392A08"/>
    <w:rsid w:val="00392A22"/>
    <w:rsid w:val="00392A80"/>
    <w:rsid w:val="00392AB7"/>
    <w:rsid w:val="00392BB2"/>
    <w:rsid w:val="00392BF4"/>
    <w:rsid w:val="00392C52"/>
    <w:rsid w:val="00392E45"/>
    <w:rsid w:val="00392F73"/>
    <w:rsid w:val="00393059"/>
    <w:rsid w:val="00393225"/>
    <w:rsid w:val="00393228"/>
    <w:rsid w:val="003933A9"/>
    <w:rsid w:val="003934E3"/>
    <w:rsid w:val="003934E9"/>
    <w:rsid w:val="003935BD"/>
    <w:rsid w:val="003935E0"/>
    <w:rsid w:val="0039389B"/>
    <w:rsid w:val="00393922"/>
    <w:rsid w:val="00393A0A"/>
    <w:rsid w:val="00393B24"/>
    <w:rsid w:val="00393C52"/>
    <w:rsid w:val="00393D39"/>
    <w:rsid w:val="00393D84"/>
    <w:rsid w:val="00393DDC"/>
    <w:rsid w:val="00393DDE"/>
    <w:rsid w:val="00393F94"/>
    <w:rsid w:val="00394151"/>
    <w:rsid w:val="0039426E"/>
    <w:rsid w:val="00394300"/>
    <w:rsid w:val="00394314"/>
    <w:rsid w:val="0039433C"/>
    <w:rsid w:val="003944A2"/>
    <w:rsid w:val="003944CE"/>
    <w:rsid w:val="003944F4"/>
    <w:rsid w:val="003945B4"/>
    <w:rsid w:val="0039468B"/>
    <w:rsid w:val="00394744"/>
    <w:rsid w:val="0039474B"/>
    <w:rsid w:val="0039476E"/>
    <w:rsid w:val="00394771"/>
    <w:rsid w:val="00394826"/>
    <w:rsid w:val="0039495B"/>
    <w:rsid w:val="003949E0"/>
    <w:rsid w:val="00394A8E"/>
    <w:rsid w:val="00394C0A"/>
    <w:rsid w:val="00394C48"/>
    <w:rsid w:val="00394CDD"/>
    <w:rsid w:val="00394D11"/>
    <w:rsid w:val="00394D4E"/>
    <w:rsid w:val="00394D50"/>
    <w:rsid w:val="00394DC3"/>
    <w:rsid w:val="00394E24"/>
    <w:rsid w:val="00394E35"/>
    <w:rsid w:val="00394F53"/>
    <w:rsid w:val="003950E9"/>
    <w:rsid w:val="0039526E"/>
    <w:rsid w:val="0039535F"/>
    <w:rsid w:val="00395462"/>
    <w:rsid w:val="003954B3"/>
    <w:rsid w:val="0039568F"/>
    <w:rsid w:val="003957BB"/>
    <w:rsid w:val="00395857"/>
    <w:rsid w:val="00395A91"/>
    <w:rsid w:val="00395C75"/>
    <w:rsid w:val="00395CF0"/>
    <w:rsid w:val="00395DBE"/>
    <w:rsid w:val="00395F66"/>
    <w:rsid w:val="0039612E"/>
    <w:rsid w:val="003962B4"/>
    <w:rsid w:val="00396382"/>
    <w:rsid w:val="00396390"/>
    <w:rsid w:val="003964D1"/>
    <w:rsid w:val="003965CC"/>
    <w:rsid w:val="003966C1"/>
    <w:rsid w:val="003966E0"/>
    <w:rsid w:val="00396870"/>
    <w:rsid w:val="00396897"/>
    <w:rsid w:val="003968FB"/>
    <w:rsid w:val="00396A90"/>
    <w:rsid w:val="00396B0B"/>
    <w:rsid w:val="00396B31"/>
    <w:rsid w:val="00396D6D"/>
    <w:rsid w:val="00396F59"/>
    <w:rsid w:val="00396F5C"/>
    <w:rsid w:val="003970A2"/>
    <w:rsid w:val="0039712D"/>
    <w:rsid w:val="00397195"/>
    <w:rsid w:val="003971B7"/>
    <w:rsid w:val="0039730B"/>
    <w:rsid w:val="003975AE"/>
    <w:rsid w:val="00397721"/>
    <w:rsid w:val="0039774D"/>
    <w:rsid w:val="00397778"/>
    <w:rsid w:val="003977FB"/>
    <w:rsid w:val="00397817"/>
    <w:rsid w:val="00397865"/>
    <w:rsid w:val="003979C3"/>
    <w:rsid w:val="003979D7"/>
    <w:rsid w:val="00397BBC"/>
    <w:rsid w:val="00397C4A"/>
    <w:rsid w:val="00397D08"/>
    <w:rsid w:val="00397F0F"/>
    <w:rsid w:val="00397F7F"/>
    <w:rsid w:val="00397FCE"/>
    <w:rsid w:val="00397FE3"/>
    <w:rsid w:val="003A0032"/>
    <w:rsid w:val="003A0120"/>
    <w:rsid w:val="003A018E"/>
    <w:rsid w:val="003A01FD"/>
    <w:rsid w:val="003A02EE"/>
    <w:rsid w:val="003A03B6"/>
    <w:rsid w:val="003A04BF"/>
    <w:rsid w:val="003A0692"/>
    <w:rsid w:val="003A06A1"/>
    <w:rsid w:val="003A06F4"/>
    <w:rsid w:val="003A072B"/>
    <w:rsid w:val="003A0737"/>
    <w:rsid w:val="003A081B"/>
    <w:rsid w:val="003A08C4"/>
    <w:rsid w:val="003A0915"/>
    <w:rsid w:val="003A09F4"/>
    <w:rsid w:val="003A0A61"/>
    <w:rsid w:val="003A0A8A"/>
    <w:rsid w:val="003A0C38"/>
    <w:rsid w:val="003A0D09"/>
    <w:rsid w:val="003A0D9B"/>
    <w:rsid w:val="003A0E14"/>
    <w:rsid w:val="003A0E45"/>
    <w:rsid w:val="003A0E76"/>
    <w:rsid w:val="003A0F17"/>
    <w:rsid w:val="003A109A"/>
    <w:rsid w:val="003A112B"/>
    <w:rsid w:val="003A1131"/>
    <w:rsid w:val="003A11B1"/>
    <w:rsid w:val="003A1234"/>
    <w:rsid w:val="003A1276"/>
    <w:rsid w:val="003A1332"/>
    <w:rsid w:val="003A134D"/>
    <w:rsid w:val="003A1371"/>
    <w:rsid w:val="003A1445"/>
    <w:rsid w:val="003A163D"/>
    <w:rsid w:val="003A167B"/>
    <w:rsid w:val="003A168A"/>
    <w:rsid w:val="003A170D"/>
    <w:rsid w:val="003A1A95"/>
    <w:rsid w:val="003A1ADF"/>
    <w:rsid w:val="003A1B0B"/>
    <w:rsid w:val="003A1B6E"/>
    <w:rsid w:val="003A1BE4"/>
    <w:rsid w:val="003A1DD7"/>
    <w:rsid w:val="003A1DDA"/>
    <w:rsid w:val="003A1F92"/>
    <w:rsid w:val="003A2088"/>
    <w:rsid w:val="003A2165"/>
    <w:rsid w:val="003A21AD"/>
    <w:rsid w:val="003A2324"/>
    <w:rsid w:val="003A24BF"/>
    <w:rsid w:val="003A24EE"/>
    <w:rsid w:val="003A2635"/>
    <w:rsid w:val="003A2692"/>
    <w:rsid w:val="003A295D"/>
    <w:rsid w:val="003A2A77"/>
    <w:rsid w:val="003A2AC1"/>
    <w:rsid w:val="003A2B01"/>
    <w:rsid w:val="003A2B0B"/>
    <w:rsid w:val="003A2DE1"/>
    <w:rsid w:val="003A2E11"/>
    <w:rsid w:val="003A2F29"/>
    <w:rsid w:val="003A2F57"/>
    <w:rsid w:val="003A2FE3"/>
    <w:rsid w:val="003A3016"/>
    <w:rsid w:val="003A30B2"/>
    <w:rsid w:val="003A3227"/>
    <w:rsid w:val="003A32E5"/>
    <w:rsid w:val="003A339F"/>
    <w:rsid w:val="003A33D6"/>
    <w:rsid w:val="003A33F7"/>
    <w:rsid w:val="003A34FC"/>
    <w:rsid w:val="003A353F"/>
    <w:rsid w:val="003A35E9"/>
    <w:rsid w:val="003A363A"/>
    <w:rsid w:val="003A37C2"/>
    <w:rsid w:val="003A3814"/>
    <w:rsid w:val="003A38DC"/>
    <w:rsid w:val="003A3A3B"/>
    <w:rsid w:val="003A3ACF"/>
    <w:rsid w:val="003A3B28"/>
    <w:rsid w:val="003A3B79"/>
    <w:rsid w:val="003A3B7D"/>
    <w:rsid w:val="003A3C62"/>
    <w:rsid w:val="003A3DDD"/>
    <w:rsid w:val="003A3E13"/>
    <w:rsid w:val="003A3F42"/>
    <w:rsid w:val="003A3F96"/>
    <w:rsid w:val="003A4100"/>
    <w:rsid w:val="003A41B8"/>
    <w:rsid w:val="003A42A1"/>
    <w:rsid w:val="003A431C"/>
    <w:rsid w:val="003A4377"/>
    <w:rsid w:val="003A44A3"/>
    <w:rsid w:val="003A45EF"/>
    <w:rsid w:val="003A46D4"/>
    <w:rsid w:val="003A488B"/>
    <w:rsid w:val="003A4966"/>
    <w:rsid w:val="003A4B3C"/>
    <w:rsid w:val="003A4E59"/>
    <w:rsid w:val="003A4EB3"/>
    <w:rsid w:val="003A501D"/>
    <w:rsid w:val="003A50CA"/>
    <w:rsid w:val="003A50D1"/>
    <w:rsid w:val="003A51BE"/>
    <w:rsid w:val="003A53E9"/>
    <w:rsid w:val="003A542D"/>
    <w:rsid w:val="003A54D6"/>
    <w:rsid w:val="003A54EB"/>
    <w:rsid w:val="003A579A"/>
    <w:rsid w:val="003A59FD"/>
    <w:rsid w:val="003A5AAB"/>
    <w:rsid w:val="003A5B46"/>
    <w:rsid w:val="003A5B6E"/>
    <w:rsid w:val="003A5C0C"/>
    <w:rsid w:val="003A5C39"/>
    <w:rsid w:val="003A5CB0"/>
    <w:rsid w:val="003A5DDC"/>
    <w:rsid w:val="003A5DE6"/>
    <w:rsid w:val="003A5DF0"/>
    <w:rsid w:val="003A5F66"/>
    <w:rsid w:val="003A602D"/>
    <w:rsid w:val="003A6108"/>
    <w:rsid w:val="003A6195"/>
    <w:rsid w:val="003A6286"/>
    <w:rsid w:val="003A62AE"/>
    <w:rsid w:val="003A637F"/>
    <w:rsid w:val="003A6441"/>
    <w:rsid w:val="003A65DA"/>
    <w:rsid w:val="003A661B"/>
    <w:rsid w:val="003A669A"/>
    <w:rsid w:val="003A66BD"/>
    <w:rsid w:val="003A6761"/>
    <w:rsid w:val="003A6964"/>
    <w:rsid w:val="003A6A5B"/>
    <w:rsid w:val="003A6A6A"/>
    <w:rsid w:val="003A6A9B"/>
    <w:rsid w:val="003A6AF6"/>
    <w:rsid w:val="003A6DAC"/>
    <w:rsid w:val="003A6F7B"/>
    <w:rsid w:val="003A6F90"/>
    <w:rsid w:val="003A7273"/>
    <w:rsid w:val="003A738F"/>
    <w:rsid w:val="003A73A6"/>
    <w:rsid w:val="003A73DE"/>
    <w:rsid w:val="003A753C"/>
    <w:rsid w:val="003A754A"/>
    <w:rsid w:val="003A7567"/>
    <w:rsid w:val="003A7688"/>
    <w:rsid w:val="003A76AD"/>
    <w:rsid w:val="003A76FF"/>
    <w:rsid w:val="003A7B4D"/>
    <w:rsid w:val="003A7C80"/>
    <w:rsid w:val="003A7CA5"/>
    <w:rsid w:val="003A7E0A"/>
    <w:rsid w:val="003B002F"/>
    <w:rsid w:val="003B0096"/>
    <w:rsid w:val="003B00C0"/>
    <w:rsid w:val="003B0159"/>
    <w:rsid w:val="003B0163"/>
    <w:rsid w:val="003B026F"/>
    <w:rsid w:val="003B02D0"/>
    <w:rsid w:val="003B032C"/>
    <w:rsid w:val="003B03CA"/>
    <w:rsid w:val="003B03DF"/>
    <w:rsid w:val="003B0517"/>
    <w:rsid w:val="003B059D"/>
    <w:rsid w:val="003B0721"/>
    <w:rsid w:val="003B07FC"/>
    <w:rsid w:val="003B0916"/>
    <w:rsid w:val="003B0973"/>
    <w:rsid w:val="003B09B2"/>
    <w:rsid w:val="003B09B9"/>
    <w:rsid w:val="003B0A7B"/>
    <w:rsid w:val="003B0B7D"/>
    <w:rsid w:val="003B0CCC"/>
    <w:rsid w:val="003B0D6B"/>
    <w:rsid w:val="003B0D87"/>
    <w:rsid w:val="003B0F92"/>
    <w:rsid w:val="003B11F4"/>
    <w:rsid w:val="003B1281"/>
    <w:rsid w:val="003B132E"/>
    <w:rsid w:val="003B13A9"/>
    <w:rsid w:val="003B13B2"/>
    <w:rsid w:val="003B13FE"/>
    <w:rsid w:val="003B1514"/>
    <w:rsid w:val="003B1548"/>
    <w:rsid w:val="003B159C"/>
    <w:rsid w:val="003B1676"/>
    <w:rsid w:val="003B18AA"/>
    <w:rsid w:val="003B1A38"/>
    <w:rsid w:val="003B1FE7"/>
    <w:rsid w:val="003B2085"/>
    <w:rsid w:val="003B230B"/>
    <w:rsid w:val="003B25A1"/>
    <w:rsid w:val="003B25C5"/>
    <w:rsid w:val="003B268F"/>
    <w:rsid w:val="003B26CB"/>
    <w:rsid w:val="003B2777"/>
    <w:rsid w:val="003B27AD"/>
    <w:rsid w:val="003B27B6"/>
    <w:rsid w:val="003B27EB"/>
    <w:rsid w:val="003B283A"/>
    <w:rsid w:val="003B283F"/>
    <w:rsid w:val="003B288D"/>
    <w:rsid w:val="003B2892"/>
    <w:rsid w:val="003B295A"/>
    <w:rsid w:val="003B29E9"/>
    <w:rsid w:val="003B2BF6"/>
    <w:rsid w:val="003B2C0E"/>
    <w:rsid w:val="003B2C67"/>
    <w:rsid w:val="003B2E3D"/>
    <w:rsid w:val="003B3083"/>
    <w:rsid w:val="003B3119"/>
    <w:rsid w:val="003B331C"/>
    <w:rsid w:val="003B33AC"/>
    <w:rsid w:val="003B340E"/>
    <w:rsid w:val="003B35C5"/>
    <w:rsid w:val="003B37E3"/>
    <w:rsid w:val="003B37FE"/>
    <w:rsid w:val="003B380B"/>
    <w:rsid w:val="003B3C34"/>
    <w:rsid w:val="003B3D0E"/>
    <w:rsid w:val="003B3F19"/>
    <w:rsid w:val="003B3F27"/>
    <w:rsid w:val="003B3FFC"/>
    <w:rsid w:val="003B413F"/>
    <w:rsid w:val="003B443F"/>
    <w:rsid w:val="003B450F"/>
    <w:rsid w:val="003B463F"/>
    <w:rsid w:val="003B4722"/>
    <w:rsid w:val="003B47D6"/>
    <w:rsid w:val="003B4941"/>
    <w:rsid w:val="003B4965"/>
    <w:rsid w:val="003B4B27"/>
    <w:rsid w:val="003B4C2B"/>
    <w:rsid w:val="003B4E07"/>
    <w:rsid w:val="003B4E8F"/>
    <w:rsid w:val="003B4F1A"/>
    <w:rsid w:val="003B4F83"/>
    <w:rsid w:val="003B4FF6"/>
    <w:rsid w:val="003B5057"/>
    <w:rsid w:val="003B5089"/>
    <w:rsid w:val="003B514D"/>
    <w:rsid w:val="003B53E8"/>
    <w:rsid w:val="003B566F"/>
    <w:rsid w:val="003B5743"/>
    <w:rsid w:val="003B57E0"/>
    <w:rsid w:val="003B584A"/>
    <w:rsid w:val="003B596C"/>
    <w:rsid w:val="003B5B4E"/>
    <w:rsid w:val="003B5C00"/>
    <w:rsid w:val="003B5CEE"/>
    <w:rsid w:val="003B5D7D"/>
    <w:rsid w:val="003B5D8B"/>
    <w:rsid w:val="003B5DA7"/>
    <w:rsid w:val="003B5E17"/>
    <w:rsid w:val="003B5E3F"/>
    <w:rsid w:val="003B5E6E"/>
    <w:rsid w:val="003B5F3F"/>
    <w:rsid w:val="003B5F43"/>
    <w:rsid w:val="003B62ED"/>
    <w:rsid w:val="003B636E"/>
    <w:rsid w:val="003B63EF"/>
    <w:rsid w:val="003B6497"/>
    <w:rsid w:val="003B64B5"/>
    <w:rsid w:val="003B64DE"/>
    <w:rsid w:val="003B65B0"/>
    <w:rsid w:val="003B65B2"/>
    <w:rsid w:val="003B6654"/>
    <w:rsid w:val="003B667A"/>
    <w:rsid w:val="003B6704"/>
    <w:rsid w:val="003B67B8"/>
    <w:rsid w:val="003B6893"/>
    <w:rsid w:val="003B6B89"/>
    <w:rsid w:val="003B6BE2"/>
    <w:rsid w:val="003B6D38"/>
    <w:rsid w:val="003B6E5C"/>
    <w:rsid w:val="003B6F13"/>
    <w:rsid w:val="003B6FA4"/>
    <w:rsid w:val="003B705E"/>
    <w:rsid w:val="003B70E2"/>
    <w:rsid w:val="003B711B"/>
    <w:rsid w:val="003B7172"/>
    <w:rsid w:val="003B7223"/>
    <w:rsid w:val="003B729E"/>
    <w:rsid w:val="003B74EA"/>
    <w:rsid w:val="003B75A5"/>
    <w:rsid w:val="003B76A7"/>
    <w:rsid w:val="003B76EE"/>
    <w:rsid w:val="003B7869"/>
    <w:rsid w:val="003B7904"/>
    <w:rsid w:val="003B7956"/>
    <w:rsid w:val="003B7A03"/>
    <w:rsid w:val="003B7A7B"/>
    <w:rsid w:val="003B7B64"/>
    <w:rsid w:val="003B7BC4"/>
    <w:rsid w:val="003B7BFB"/>
    <w:rsid w:val="003B7C10"/>
    <w:rsid w:val="003B7C49"/>
    <w:rsid w:val="003B7C4E"/>
    <w:rsid w:val="003B7D59"/>
    <w:rsid w:val="003B7E99"/>
    <w:rsid w:val="003B7F0D"/>
    <w:rsid w:val="003B7FDE"/>
    <w:rsid w:val="003C00FA"/>
    <w:rsid w:val="003C01DB"/>
    <w:rsid w:val="003C06A1"/>
    <w:rsid w:val="003C07BC"/>
    <w:rsid w:val="003C08F1"/>
    <w:rsid w:val="003C0955"/>
    <w:rsid w:val="003C0C8B"/>
    <w:rsid w:val="003C0D0B"/>
    <w:rsid w:val="003C0F0E"/>
    <w:rsid w:val="003C0F4C"/>
    <w:rsid w:val="003C0F7D"/>
    <w:rsid w:val="003C0FDB"/>
    <w:rsid w:val="003C1062"/>
    <w:rsid w:val="003C1073"/>
    <w:rsid w:val="003C12C0"/>
    <w:rsid w:val="003C1339"/>
    <w:rsid w:val="003C133C"/>
    <w:rsid w:val="003C1371"/>
    <w:rsid w:val="003C15FC"/>
    <w:rsid w:val="003C1679"/>
    <w:rsid w:val="003C170F"/>
    <w:rsid w:val="003C1B3E"/>
    <w:rsid w:val="003C1B55"/>
    <w:rsid w:val="003C1C12"/>
    <w:rsid w:val="003C1C18"/>
    <w:rsid w:val="003C1E45"/>
    <w:rsid w:val="003C1F7C"/>
    <w:rsid w:val="003C1FE0"/>
    <w:rsid w:val="003C2090"/>
    <w:rsid w:val="003C214D"/>
    <w:rsid w:val="003C228D"/>
    <w:rsid w:val="003C22F1"/>
    <w:rsid w:val="003C2384"/>
    <w:rsid w:val="003C2438"/>
    <w:rsid w:val="003C24A1"/>
    <w:rsid w:val="003C2806"/>
    <w:rsid w:val="003C2821"/>
    <w:rsid w:val="003C2881"/>
    <w:rsid w:val="003C2974"/>
    <w:rsid w:val="003C29E4"/>
    <w:rsid w:val="003C2A52"/>
    <w:rsid w:val="003C2A54"/>
    <w:rsid w:val="003C2AF8"/>
    <w:rsid w:val="003C2FA1"/>
    <w:rsid w:val="003C2FA4"/>
    <w:rsid w:val="003C2FB4"/>
    <w:rsid w:val="003C32CC"/>
    <w:rsid w:val="003C33BA"/>
    <w:rsid w:val="003C3413"/>
    <w:rsid w:val="003C36AF"/>
    <w:rsid w:val="003C37AA"/>
    <w:rsid w:val="003C3893"/>
    <w:rsid w:val="003C3A59"/>
    <w:rsid w:val="003C3BAE"/>
    <w:rsid w:val="003C3EDE"/>
    <w:rsid w:val="003C40A2"/>
    <w:rsid w:val="003C4101"/>
    <w:rsid w:val="003C41BA"/>
    <w:rsid w:val="003C4326"/>
    <w:rsid w:val="003C4380"/>
    <w:rsid w:val="003C4410"/>
    <w:rsid w:val="003C4466"/>
    <w:rsid w:val="003C4500"/>
    <w:rsid w:val="003C4560"/>
    <w:rsid w:val="003C4580"/>
    <w:rsid w:val="003C45F2"/>
    <w:rsid w:val="003C463E"/>
    <w:rsid w:val="003C49CC"/>
    <w:rsid w:val="003C4A56"/>
    <w:rsid w:val="003C4B02"/>
    <w:rsid w:val="003C4C53"/>
    <w:rsid w:val="003C4CB8"/>
    <w:rsid w:val="003C4DC1"/>
    <w:rsid w:val="003C4F0A"/>
    <w:rsid w:val="003C4F3E"/>
    <w:rsid w:val="003C5126"/>
    <w:rsid w:val="003C51A3"/>
    <w:rsid w:val="003C52C2"/>
    <w:rsid w:val="003C54CA"/>
    <w:rsid w:val="003C5660"/>
    <w:rsid w:val="003C56D3"/>
    <w:rsid w:val="003C56DE"/>
    <w:rsid w:val="003C5700"/>
    <w:rsid w:val="003C5717"/>
    <w:rsid w:val="003C5794"/>
    <w:rsid w:val="003C5B08"/>
    <w:rsid w:val="003C5BD9"/>
    <w:rsid w:val="003C5CFC"/>
    <w:rsid w:val="003C5DC5"/>
    <w:rsid w:val="003C5ED8"/>
    <w:rsid w:val="003C5FB5"/>
    <w:rsid w:val="003C60ED"/>
    <w:rsid w:val="003C6157"/>
    <w:rsid w:val="003C619C"/>
    <w:rsid w:val="003C6269"/>
    <w:rsid w:val="003C6411"/>
    <w:rsid w:val="003C6475"/>
    <w:rsid w:val="003C655E"/>
    <w:rsid w:val="003C65C2"/>
    <w:rsid w:val="003C6948"/>
    <w:rsid w:val="003C6B1D"/>
    <w:rsid w:val="003C6C77"/>
    <w:rsid w:val="003C6D28"/>
    <w:rsid w:val="003C6E42"/>
    <w:rsid w:val="003C701F"/>
    <w:rsid w:val="003C70CD"/>
    <w:rsid w:val="003C70CF"/>
    <w:rsid w:val="003C717E"/>
    <w:rsid w:val="003C72AC"/>
    <w:rsid w:val="003C7343"/>
    <w:rsid w:val="003C7364"/>
    <w:rsid w:val="003C7554"/>
    <w:rsid w:val="003C7571"/>
    <w:rsid w:val="003C75FD"/>
    <w:rsid w:val="003C7652"/>
    <w:rsid w:val="003C76A5"/>
    <w:rsid w:val="003C76D9"/>
    <w:rsid w:val="003C770B"/>
    <w:rsid w:val="003C77F4"/>
    <w:rsid w:val="003C7829"/>
    <w:rsid w:val="003C7DC7"/>
    <w:rsid w:val="003C7E49"/>
    <w:rsid w:val="003C7E63"/>
    <w:rsid w:val="003D0006"/>
    <w:rsid w:val="003D0162"/>
    <w:rsid w:val="003D03A0"/>
    <w:rsid w:val="003D03C5"/>
    <w:rsid w:val="003D03FF"/>
    <w:rsid w:val="003D04B6"/>
    <w:rsid w:val="003D068A"/>
    <w:rsid w:val="003D076D"/>
    <w:rsid w:val="003D0787"/>
    <w:rsid w:val="003D08CB"/>
    <w:rsid w:val="003D095F"/>
    <w:rsid w:val="003D0AB0"/>
    <w:rsid w:val="003D0B61"/>
    <w:rsid w:val="003D0BA5"/>
    <w:rsid w:val="003D0C37"/>
    <w:rsid w:val="003D0DBC"/>
    <w:rsid w:val="003D0EA6"/>
    <w:rsid w:val="003D1077"/>
    <w:rsid w:val="003D107F"/>
    <w:rsid w:val="003D1201"/>
    <w:rsid w:val="003D1299"/>
    <w:rsid w:val="003D13B3"/>
    <w:rsid w:val="003D1426"/>
    <w:rsid w:val="003D15E8"/>
    <w:rsid w:val="003D17CB"/>
    <w:rsid w:val="003D17D2"/>
    <w:rsid w:val="003D18D0"/>
    <w:rsid w:val="003D1AAD"/>
    <w:rsid w:val="003D1ABF"/>
    <w:rsid w:val="003D1C37"/>
    <w:rsid w:val="003D1E4A"/>
    <w:rsid w:val="003D1EB6"/>
    <w:rsid w:val="003D1EE1"/>
    <w:rsid w:val="003D1F2B"/>
    <w:rsid w:val="003D1F82"/>
    <w:rsid w:val="003D211E"/>
    <w:rsid w:val="003D2455"/>
    <w:rsid w:val="003D249E"/>
    <w:rsid w:val="003D2553"/>
    <w:rsid w:val="003D25D2"/>
    <w:rsid w:val="003D26C3"/>
    <w:rsid w:val="003D27C4"/>
    <w:rsid w:val="003D27FF"/>
    <w:rsid w:val="003D294E"/>
    <w:rsid w:val="003D2969"/>
    <w:rsid w:val="003D2D17"/>
    <w:rsid w:val="003D2D70"/>
    <w:rsid w:val="003D2E26"/>
    <w:rsid w:val="003D2E4D"/>
    <w:rsid w:val="003D2F3D"/>
    <w:rsid w:val="003D2F41"/>
    <w:rsid w:val="003D301B"/>
    <w:rsid w:val="003D3074"/>
    <w:rsid w:val="003D3174"/>
    <w:rsid w:val="003D324B"/>
    <w:rsid w:val="003D32F0"/>
    <w:rsid w:val="003D33A0"/>
    <w:rsid w:val="003D35A0"/>
    <w:rsid w:val="003D35EC"/>
    <w:rsid w:val="003D365E"/>
    <w:rsid w:val="003D36B7"/>
    <w:rsid w:val="003D37DF"/>
    <w:rsid w:val="003D3805"/>
    <w:rsid w:val="003D389E"/>
    <w:rsid w:val="003D3A43"/>
    <w:rsid w:val="003D3A7B"/>
    <w:rsid w:val="003D3A91"/>
    <w:rsid w:val="003D3A95"/>
    <w:rsid w:val="003D3AF5"/>
    <w:rsid w:val="003D3C69"/>
    <w:rsid w:val="003D3CF7"/>
    <w:rsid w:val="003D3D4D"/>
    <w:rsid w:val="003D3EC7"/>
    <w:rsid w:val="003D416C"/>
    <w:rsid w:val="003D41B3"/>
    <w:rsid w:val="003D41DF"/>
    <w:rsid w:val="003D4443"/>
    <w:rsid w:val="003D46C4"/>
    <w:rsid w:val="003D470C"/>
    <w:rsid w:val="003D474D"/>
    <w:rsid w:val="003D4861"/>
    <w:rsid w:val="003D4A1C"/>
    <w:rsid w:val="003D4A4B"/>
    <w:rsid w:val="003D4ED0"/>
    <w:rsid w:val="003D5157"/>
    <w:rsid w:val="003D5457"/>
    <w:rsid w:val="003D54E3"/>
    <w:rsid w:val="003D56B0"/>
    <w:rsid w:val="003D585A"/>
    <w:rsid w:val="003D595E"/>
    <w:rsid w:val="003D5A34"/>
    <w:rsid w:val="003D5BDB"/>
    <w:rsid w:val="003D5C6F"/>
    <w:rsid w:val="003D5DAE"/>
    <w:rsid w:val="003D5E7A"/>
    <w:rsid w:val="003D5EED"/>
    <w:rsid w:val="003D6288"/>
    <w:rsid w:val="003D62F4"/>
    <w:rsid w:val="003D6323"/>
    <w:rsid w:val="003D64C7"/>
    <w:rsid w:val="003D64ED"/>
    <w:rsid w:val="003D6923"/>
    <w:rsid w:val="003D6ABA"/>
    <w:rsid w:val="003D6AE0"/>
    <w:rsid w:val="003D6B33"/>
    <w:rsid w:val="003D6B7B"/>
    <w:rsid w:val="003D6B9D"/>
    <w:rsid w:val="003D6BF3"/>
    <w:rsid w:val="003D6C5C"/>
    <w:rsid w:val="003D6D42"/>
    <w:rsid w:val="003D6D93"/>
    <w:rsid w:val="003D6EDD"/>
    <w:rsid w:val="003D705A"/>
    <w:rsid w:val="003D723A"/>
    <w:rsid w:val="003D7292"/>
    <w:rsid w:val="003D7392"/>
    <w:rsid w:val="003D757D"/>
    <w:rsid w:val="003D769F"/>
    <w:rsid w:val="003D76A7"/>
    <w:rsid w:val="003D770A"/>
    <w:rsid w:val="003D7780"/>
    <w:rsid w:val="003D78FF"/>
    <w:rsid w:val="003D794F"/>
    <w:rsid w:val="003D7ACD"/>
    <w:rsid w:val="003D7B0F"/>
    <w:rsid w:val="003D7BD3"/>
    <w:rsid w:val="003D7C5F"/>
    <w:rsid w:val="003D7CB7"/>
    <w:rsid w:val="003D7D98"/>
    <w:rsid w:val="003D7DEC"/>
    <w:rsid w:val="003E0059"/>
    <w:rsid w:val="003E006B"/>
    <w:rsid w:val="003E00D2"/>
    <w:rsid w:val="003E016A"/>
    <w:rsid w:val="003E0263"/>
    <w:rsid w:val="003E03D1"/>
    <w:rsid w:val="003E053B"/>
    <w:rsid w:val="003E0658"/>
    <w:rsid w:val="003E079E"/>
    <w:rsid w:val="003E07BF"/>
    <w:rsid w:val="003E083D"/>
    <w:rsid w:val="003E0C41"/>
    <w:rsid w:val="003E0D14"/>
    <w:rsid w:val="003E0DAB"/>
    <w:rsid w:val="003E0E52"/>
    <w:rsid w:val="003E0FC0"/>
    <w:rsid w:val="003E1090"/>
    <w:rsid w:val="003E112B"/>
    <w:rsid w:val="003E12EA"/>
    <w:rsid w:val="003E1583"/>
    <w:rsid w:val="003E15A6"/>
    <w:rsid w:val="003E160E"/>
    <w:rsid w:val="003E1687"/>
    <w:rsid w:val="003E17A1"/>
    <w:rsid w:val="003E1825"/>
    <w:rsid w:val="003E18B5"/>
    <w:rsid w:val="003E1902"/>
    <w:rsid w:val="003E1C0C"/>
    <w:rsid w:val="003E1CC7"/>
    <w:rsid w:val="003E1D78"/>
    <w:rsid w:val="003E1ED4"/>
    <w:rsid w:val="003E1FAA"/>
    <w:rsid w:val="003E20A6"/>
    <w:rsid w:val="003E212C"/>
    <w:rsid w:val="003E222D"/>
    <w:rsid w:val="003E233E"/>
    <w:rsid w:val="003E237A"/>
    <w:rsid w:val="003E2498"/>
    <w:rsid w:val="003E279D"/>
    <w:rsid w:val="003E2967"/>
    <w:rsid w:val="003E29E6"/>
    <w:rsid w:val="003E2A4F"/>
    <w:rsid w:val="003E2A67"/>
    <w:rsid w:val="003E2AEB"/>
    <w:rsid w:val="003E2BEB"/>
    <w:rsid w:val="003E2C48"/>
    <w:rsid w:val="003E2E12"/>
    <w:rsid w:val="003E30C9"/>
    <w:rsid w:val="003E3380"/>
    <w:rsid w:val="003E33F1"/>
    <w:rsid w:val="003E357A"/>
    <w:rsid w:val="003E36D1"/>
    <w:rsid w:val="003E3760"/>
    <w:rsid w:val="003E38DA"/>
    <w:rsid w:val="003E38E7"/>
    <w:rsid w:val="003E38F1"/>
    <w:rsid w:val="003E3977"/>
    <w:rsid w:val="003E3B23"/>
    <w:rsid w:val="003E3C69"/>
    <w:rsid w:val="003E3CA4"/>
    <w:rsid w:val="003E3E58"/>
    <w:rsid w:val="003E4025"/>
    <w:rsid w:val="003E40AF"/>
    <w:rsid w:val="003E4159"/>
    <w:rsid w:val="003E4213"/>
    <w:rsid w:val="003E429E"/>
    <w:rsid w:val="003E4300"/>
    <w:rsid w:val="003E43CB"/>
    <w:rsid w:val="003E4599"/>
    <w:rsid w:val="003E45A1"/>
    <w:rsid w:val="003E468F"/>
    <w:rsid w:val="003E48B4"/>
    <w:rsid w:val="003E4A06"/>
    <w:rsid w:val="003E4A5F"/>
    <w:rsid w:val="003E4A87"/>
    <w:rsid w:val="003E4BA6"/>
    <w:rsid w:val="003E4E88"/>
    <w:rsid w:val="003E4FA6"/>
    <w:rsid w:val="003E5023"/>
    <w:rsid w:val="003E50BB"/>
    <w:rsid w:val="003E5143"/>
    <w:rsid w:val="003E53B9"/>
    <w:rsid w:val="003E53BA"/>
    <w:rsid w:val="003E53BC"/>
    <w:rsid w:val="003E556E"/>
    <w:rsid w:val="003E559A"/>
    <w:rsid w:val="003E561B"/>
    <w:rsid w:val="003E564B"/>
    <w:rsid w:val="003E5798"/>
    <w:rsid w:val="003E5815"/>
    <w:rsid w:val="003E5904"/>
    <w:rsid w:val="003E59A4"/>
    <w:rsid w:val="003E59B6"/>
    <w:rsid w:val="003E59D5"/>
    <w:rsid w:val="003E5A67"/>
    <w:rsid w:val="003E5ABC"/>
    <w:rsid w:val="003E5BA0"/>
    <w:rsid w:val="003E5BAB"/>
    <w:rsid w:val="003E5DC1"/>
    <w:rsid w:val="003E5E20"/>
    <w:rsid w:val="003E5E44"/>
    <w:rsid w:val="003E5FC4"/>
    <w:rsid w:val="003E6064"/>
    <w:rsid w:val="003E606D"/>
    <w:rsid w:val="003E607D"/>
    <w:rsid w:val="003E60B3"/>
    <w:rsid w:val="003E612A"/>
    <w:rsid w:val="003E62D4"/>
    <w:rsid w:val="003E6404"/>
    <w:rsid w:val="003E660A"/>
    <w:rsid w:val="003E661A"/>
    <w:rsid w:val="003E676E"/>
    <w:rsid w:val="003E68D0"/>
    <w:rsid w:val="003E6A2E"/>
    <w:rsid w:val="003E6B50"/>
    <w:rsid w:val="003E6C2F"/>
    <w:rsid w:val="003E6ED4"/>
    <w:rsid w:val="003E6F29"/>
    <w:rsid w:val="003E6FEB"/>
    <w:rsid w:val="003E6FF4"/>
    <w:rsid w:val="003E7045"/>
    <w:rsid w:val="003E70DB"/>
    <w:rsid w:val="003E70FC"/>
    <w:rsid w:val="003E715B"/>
    <w:rsid w:val="003E7274"/>
    <w:rsid w:val="003E731C"/>
    <w:rsid w:val="003E73E9"/>
    <w:rsid w:val="003E73EF"/>
    <w:rsid w:val="003E749E"/>
    <w:rsid w:val="003E7540"/>
    <w:rsid w:val="003E7559"/>
    <w:rsid w:val="003E7745"/>
    <w:rsid w:val="003E79C2"/>
    <w:rsid w:val="003E7B1C"/>
    <w:rsid w:val="003E7C8A"/>
    <w:rsid w:val="003E7CC2"/>
    <w:rsid w:val="003E7D13"/>
    <w:rsid w:val="003E7E67"/>
    <w:rsid w:val="003E7E8D"/>
    <w:rsid w:val="003F0084"/>
    <w:rsid w:val="003F02C5"/>
    <w:rsid w:val="003F02D2"/>
    <w:rsid w:val="003F045A"/>
    <w:rsid w:val="003F04DC"/>
    <w:rsid w:val="003F04FA"/>
    <w:rsid w:val="003F0B24"/>
    <w:rsid w:val="003F0B32"/>
    <w:rsid w:val="003F0CE6"/>
    <w:rsid w:val="003F0D48"/>
    <w:rsid w:val="003F0D63"/>
    <w:rsid w:val="003F0E3F"/>
    <w:rsid w:val="003F0E44"/>
    <w:rsid w:val="003F0E82"/>
    <w:rsid w:val="003F0F97"/>
    <w:rsid w:val="003F0FB8"/>
    <w:rsid w:val="003F0FE8"/>
    <w:rsid w:val="003F11AB"/>
    <w:rsid w:val="003F11C9"/>
    <w:rsid w:val="003F1213"/>
    <w:rsid w:val="003F129E"/>
    <w:rsid w:val="003F12E1"/>
    <w:rsid w:val="003F12E9"/>
    <w:rsid w:val="003F13DA"/>
    <w:rsid w:val="003F13FF"/>
    <w:rsid w:val="003F1694"/>
    <w:rsid w:val="003F17E3"/>
    <w:rsid w:val="003F1884"/>
    <w:rsid w:val="003F1905"/>
    <w:rsid w:val="003F190F"/>
    <w:rsid w:val="003F19C4"/>
    <w:rsid w:val="003F1B10"/>
    <w:rsid w:val="003F1B1A"/>
    <w:rsid w:val="003F1BE1"/>
    <w:rsid w:val="003F2152"/>
    <w:rsid w:val="003F2488"/>
    <w:rsid w:val="003F24E9"/>
    <w:rsid w:val="003F24F9"/>
    <w:rsid w:val="003F2546"/>
    <w:rsid w:val="003F2680"/>
    <w:rsid w:val="003F2765"/>
    <w:rsid w:val="003F27F6"/>
    <w:rsid w:val="003F2862"/>
    <w:rsid w:val="003F28B9"/>
    <w:rsid w:val="003F2A39"/>
    <w:rsid w:val="003F2B13"/>
    <w:rsid w:val="003F2B3B"/>
    <w:rsid w:val="003F2C4A"/>
    <w:rsid w:val="003F2DFF"/>
    <w:rsid w:val="003F2F53"/>
    <w:rsid w:val="003F3031"/>
    <w:rsid w:val="003F31B0"/>
    <w:rsid w:val="003F3308"/>
    <w:rsid w:val="003F354A"/>
    <w:rsid w:val="003F366F"/>
    <w:rsid w:val="003F3794"/>
    <w:rsid w:val="003F3924"/>
    <w:rsid w:val="003F39DD"/>
    <w:rsid w:val="003F3B34"/>
    <w:rsid w:val="003F3CC8"/>
    <w:rsid w:val="003F3EF1"/>
    <w:rsid w:val="003F3F55"/>
    <w:rsid w:val="003F4048"/>
    <w:rsid w:val="003F426A"/>
    <w:rsid w:val="003F430A"/>
    <w:rsid w:val="003F433B"/>
    <w:rsid w:val="003F44B2"/>
    <w:rsid w:val="003F44C7"/>
    <w:rsid w:val="003F4571"/>
    <w:rsid w:val="003F45F3"/>
    <w:rsid w:val="003F4641"/>
    <w:rsid w:val="003F4668"/>
    <w:rsid w:val="003F46E8"/>
    <w:rsid w:val="003F4710"/>
    <w:rsid w:val="003F473F"/>
    <w:rsid w:val="003F4858"/>
    <w:rsid w:val="003F4904"/>
    <w:rsid w:val="003F4AC4"/>
    <w:rsid w:val="003F4CFA"/>
    <w:rsid w:val="003F4FCD"/>
    <w:rsid w:val="003F50AA"/>
    <w:rsid w:val="003F518F"/>
    <w:rsid w:val="003F54C8"/>
    <w:rsid w:val="003F5880"/>
    <w:rsid w:val="003F58C5"/>
    <w:rsid w:val="003F5D3E"/>
    <w:rsid w:val="003F5D45"/>
    <w:rsid w:val="003F5E31"/>
    <w:rsid w:val="003F5F7C"/>
    <w:rsid w:val="003F60C4"/>
    <w:rsid w:val="003F6265"/>
    <w:rsid w:val="003F648E"/>
    <w:rsid w:val="003F6572"/>
    <w:rsid w:val="003F65CD"/>
    <w:rsid w:val="003F6613"/>
    <w:rsid w:val="003F6656"/>
    <w:rsid w:val="003F66C5"/>
    <w:rsid w:val="003F67C3"/>
    <w:rsid w:val="003F6837"/>
    <w:rsid w:val="003F690D"/>
    <w:rsid w:val="003F6959"/>
    <w:rsid w:val="003F698D"/>
    <w:rsid w:val="003F69E2"/>
    <w:rsid w:val="003F69EE"/>
    <w:rsid w:val="003F6B3C"/>
    <w:rsid w:val="003F6C14"/>
    <w:rsid w:val="003F6CC6"/>
    <w:rsid w:val="003F6D5C"/>
    <w:rsid w:val="003F6D91"/>
    <w:rsid w:val="003F6DCD"/>
    <w:rsid w:val="003F6E77"/>
    <w:rsid w:val="003F6E96"/>
    <w:rsid w:val="003F6F2D"/>
    <w:rsid w:val="003F70A8"/>
    <w:rsid w:val="003F70CE"/>
    <w:rsid w:val="003F719C"/>
    <w:rsid w:val="003F73B5"/>
    <w:rsid w:val="003F747A"/>
    <w:rsid w:val="003F7533"/>
    <w:rsid w:val="003F76DA"/>
    <w:rsid w:val="003F7818"/>
    <w:rsid w:val="003F7907"/>
    <w:rsid w:val="003F7A75"/>
    <w:rsid w:val="003F7B4E"/>
    <w:rsid w:val="003F7D68"/>
    <w:rsid w:val="003F7E2F"/>
    <w:rsid w:val="004000F3"/>
    <w:rsid w:val="004003D3"/>
    <w:rsid w:val="0040064B"/>
    <w:rsid w:val="004006D7"/>
    <w:rsid w:val="00400788"/>
    <w:rsid w:val="004007C2"/>
    <w:rsid w:val="004007E2"/>
    <w:rsid w:val="004008D1"/>
    <w:rsid w:val="004008E4"/>
    <w:rsid w:val="00400952"/>
    <w:rsid w:val="0040099B"/>
    <w:rsid w:val="004009BA"/>
    <w:rsid w:val="00400ABB"/>
    <w:rsid w:val="00400B06"/>
    <w:rsid w:val="00400F23"/>
    <w:rsid w:val="00401071"/>
    <w:rsid w:val="0040127B"/>
    <w:rsid w:val="004013A9"/>
    <w:rsid w:val="004013C6"/>
    <w:rsid w:val="004013D8"/>
    <w:rsid w:val="004016DA"/>
    <w:rsid w:val="0040172B"/>
    <w:rsid w:val="00401771"/>
    <w:rsid w:val="004018A2"/>
    <w:rsid w:val="0040192E"/>
    <w:rsid w:val="00401B99"/>
    <w:rsid w:val="00401CA3"/>
    <w:rsid w:val="00401D61"/>
    <w:rsid w:val="00401D73"/>
    <w:rsid w:val="00401DE0"/>
    <w:rsid w:val="00401F8B"/>
    <w:rsid w:val="00402122"/>
    <w:rsid w:val="00402174"/>
    <w:rsid w:val="0040217B"/>
    <w:rsid w:val="00402311"/>
    <w:rsid w:val="004023C8"/>
    <w:rsid w:val="0040243C"/>
    <w:rsid w:val="00402533"/>
    <w:rsid w:val="0040253F"/>
    <w:rsid w:val="00402572"/>
    <w:rsid w:val="004026A9"/>
    <w:rsid w:val="0040295C"/>
    <w:rsid w:val="00402998"/>
    <w:rsid w:val="004029BE"/>
    <w:rsid w:val="00402B6E"/>
    <w:rsid w:val="00402C45"/>
    <w:rsid w:val="00402C6E"/>
    <w:rsid w:val="00402C75"/>
    <w:rsid w:val="00402C87"/>
    <w:rsid w:val="00402CE7"/>
    <w:rsid w:val="00402D2D"/>
    <w:rsid w:val="00402D2E"/>
    <w:rsid w:val="00402D35"/>
    <w:rsid w:val="00402D66"/>
    <w:rsid w:val="00402DB3"/>
    <w:rsid w:val="00402E47"/>
    <w:rsid w:val="00402E52"/>
    <w:rsid w:val="00402EA3"/>
    <w:rsid w:val="00402FB4"/>
    <w:rsid w:val="0040318B"/>
    <w:rsid w:val="0040329D"/>
    <w:rsid w:val="004035E4"/>
    <w:rsid w:val="00403635"/>
    <w:rsid w:val="00403665"/>
    <w:rsid w:val="0040390B"/>
    <w:rsid w:val="00403A18"/>
    <w:rsid w:val="00403AA1"/>
    <w:rsid w:val="00403CB8"/>
    <w:rsid w:val="00403CBE"/>
    <w:rsid w:val="00403D72"/>
    <w:rsid w:val="00403F24"/>
    <w:rsid w:val="00403FD9"/>
    <w:rsid w:val="004041B0"/>
    <w:rsid w:val="004041E6"/>
    <w:rsid w:val="004044FC"/>
    <w:rsid w:val="0040453A"/>
    <w:rsid w:val="0040478C"/>
    <w:rsid w:val="004048E8"/>
    <w:rsid w:val="004049B0"/>
    <w:rsid w:val="00404A8F"/>
    <w:rsid w:val="00404BBC"/>
    <w:rsid w:val="00404C9B"/>
    <w:rsid w:val="00404D94"/>
    <w:rsid w:val="00404DEF"/>
    <w:rsid w:val="00404F17"/>
    <w:rsid w:val="00404F40"/>
    <w:rsid w:val="00405075"/>
    <w:rsid w:val="00405130"/>
    <w:rsid w:val="0040527B"/>
    <w:rsid w:val="0040535C"/>
    <w:rsid w:val="004054C3"/>
    <w:rsid w:val="00405500"/>
    <w:rsid w:val="00405628"/>
    <w:rsid w:val="0040575C"/>
    <w:rsid w:val="0040576B"/>
    <w:rsid w:val="00405785"/>
    <w:rsid w:val="004059FC"/>
    <w:rsid w:val="00405BDA"/>
    <w:rsid w:val="00405EC6"/>
    <w:rsid w:val="00406188"/>
    <w:rsid w:val="004061DB"/>
    <w:rsid w:val="00406374"/>
    <w:rsid w:val="00406468"/>
    <w:rsid w:val="004064BF"/>
    <w:rsid w:val="004066B4"/>
    <w:rsid w:val="0040676C"/>
    <w:rsid w:val="004068E8"/>
    <w:rsid w:val="004068F6"/>
    <w:rsid w:val="00406C1B"/>
    <w:rsid w:val="00406C68"/>
    <w:rsid w:val="00407004"/>
    <w:rsid w:val="0040709E"/>
    <w:rsid w:val="004070CF"/>
    <w:rsid w:val="00407321"/>
    <w:rsid w:val="00407343"/>
    <w:rsid w:val="00407347"/>
    <w:rsid w:val="00407396"/>
    <w:rsid w:val="0040746D"/>
    <w:rsid w:val="0040751C"/>
    <w:rsid w:val="004075AA"/>
    <w:rsid w:val="00407676"/>
    <w:rsid w:val="00407751"/>
    <w:rsid w:val="0040776E"/>
    <w:rsid w:val="0040781F"/>
    <w:rsid w:val="00407832"/>
    <w:rsid w:val="004079D8"/>
    <w:rsid w:val="00407A7D"/>
    <w:rsid w:val="00407CD9"/>
    <w:rsid w:val="00407DFF"/>
    <w:rsid w:val="00410034"/>
    <w:rsid w:val="004102D2"/>
    <w:rsid w:val="004102D4"/>
    <w:rsid w:val="004102F4"/>
    <w:rsid w:val="0041033B"/>
    <w:rsid w:val="0041034C"/>
    <w:rsid w:val="0041038C"/>
    <w:rsid w:val="00410552"/>
    <w:rsid w:val="004105F1"/>
    <w:rsid w:val="004106BF"/>
    <w:rsid w:val="00410826"/>
    <w:rsid w:val="00410844"/>
    <w:rsid w:val="0041084C"/>
    <w:rsid w:val="0041099C"/>
    <w:rsid w:val="004109BD"/>
    <w:rsid w:val="004109BE"/>
    <w:rsid w:val="00410B44"/>
    <w:rsid w:val="00410BB7"/>
    <w:rsid w:val="00410FE7"/>
    <w:rsid w:val="004111A0"/>
    <w:rsid w:val="00411284"/>
    <w:rsid w:val="00411317"/>
    <w:rsid w:val="00411483"/>
    <w:rsid w:val="0041171E"/>
    <w:rsid w:val="00411781"/>
    <w:rsid w:val="004118A7"/>
    <w:rsid w:val="004118BD"/>
    <w:rsid w:val="0041197A"/>
    <w:rsid w:val="00411E65"/>
    <w:rsid w:val="00411F30"/>
    <w:rsid w:val="004122D9"/>
    <w:rsid w:val="00412684"/>
    <w:rsid w:val="00412707"/>
    <w:rsid w:val="0041279A"/>
    <w:rsid w:val="004127A2"/>
    <w:rsid w:val="00412874"/>
    <w:rsid w:val="00412927"/>
    <w:rsid w:val="00412944"/>
    <w:rsid w:val="0041295D"/>
    <w:rsid w:val="0041299F"/>
    <w:rsid w:val="00412A08"/>
    <w:rsid w:val="00412AB9"/>
    <w:rsid w:val="00412ACA"/>
    <w:rsid w:val="00412AE8"/>
    <w:rsid w:val="00412B12"/>
    <w:rsid w:val="00412BB2"/>
    <w:rsid w:val="00412CAE"/>
    <w:rsid w:val="00412E3B"/>
    <w:rsid w:val="0041305A"/>
    <w:rsid w:val="00413075"/>
    <w:rsid w:val="0041311B"/>
    <w:rsid w:val="00413334"/>
    <w:rsid w:val="00413451"/>
    <w:rsid w:val="0041390F"/>
    <w:rsid w:val="00413975"/>
    <w:rsid w:val="00413AD3"/>
    <w:rsid w:val="00413BD0"/>
    <w:rsid w:val="00413C5A"/>
    <w:rsid w:val="00413C8A"/>
    <w:rsid w:val="00413D24"/>
    <w:rsid w:val="00413DDE"/>
    <w:rsid w:val="00413E79"/>
    <w:rsid w:val="00414043"/>
    <w:rsid w:val="0041412F"/>
    <w:rsid w:val="00414238"/>
    <w:rsid w:val="00414285"/>
    <w:rsid w:val="0041428E"/>
    <w:rsid w:val="00414322"/>
    <w:rsid w:val="0041436F"/>
    <w:rsid w:val="0041445E"/>
    <w:rsid w:val="004144FB"/>
    <w:rsid w:val="0041473C"/>
    <w:rsid w:val="0041498F"/>
    <w:rsid w:val="00414AC9"/>
    <w:rsid w:val="00414B08"/>
    <w:rsid w:val="00414BAE"/>
    <w:rsid w:val="00414D15"/>
    <w:rsid w:val="00414D5E"/>
    <w:rsid w:val="00414DF4"/>
    <w:rsid w:val="00414EFC"/>
    <w:rsid w:val="0041505E"/>
    <w:rsid w:val="004150D7"/>
    <w:rsid w:val="00415362"/>
    <w:rsid w:val="0041554E"/>
    <w:rsid w:val="00415624"/>
    <w:rsid w:val="00415635"/>
    <w:rsid w:val="00415678"/>
    <w:rsid w:val="0041570E"/>
    <w:rsid w:val="0041589F"/>
    <w:rsid w:val="004158F1"/>
    <w:rsid w:val="00415B6B"/>
    <w:rsid w:val="00415C46"/>
    <w:rsid w:val="00415C87"/>
    <w:rsid w:val="00415C89"/>
    <w:rsid w:val="00415D30"/>
    <w:rsid w:val="00416240"/>
    <w:rsid w:val="00416277"/>
    <w:rsid w:val="00416445"/>
    <w:rsid w:val="00416484"/>
    <w:rsid w:val="004164A6"/>
    <w:rsid w:val="00416684"/>
    <w:rsid w:val="00416692"/>
    <w:rsid w:val="0041670C"/>
    <w:rsid w:val="00416737"/>
    <w:rsid w:val="00416765"/>
    <w:rsid w:val="0041678F"/>
    <w:rsid w:val="0041683A"/>
    <w:rsid w:val="00416872"/>
    <w:rsid w:val="0041689A"/>
    <w:rsid w:val="004169A3"/>
    <w:rsid w:val="00416AAC"/>
    <w:rsid w:val="00416B0C"/>
    <w:rsid w:val="00416DCC"/>
    <w:rsid w:val="00416DD9"/>
    <w:rsid w:val="00416E57"/>
    <w:rsid w:val="00416EE9"/>
    <w:rsid w:val="00416EF1"/>
    <w:rsid w:val="00416F73"/>
    <w:rsid w:val="00417017"/>
    <w:rsid w:val="00417028"/>
    <w:rsid w:val="00417061"/>
    <w:rsid w:val="004170F2"/>
    <w:rsid w:val="004171A4"/>
    <w:rsid w:val="00417357"/>
    <w:rsid w:val="004175FD"/>
    <w:rsid w:val="0041770D"/>
    <w:rsid w:val="00417824"/>
    <w:rsid w:val="0041783C"/>
    <w:rsid w:val="004178D5"/>
    <w:rsid w:val="00417956"/>
    <w:rsid w:val="004179E1"/>
    <w:rsid w:val="004179F2"/>
    <w:rsid w:val="00417A40"/>
    <w:rsid w:val="00417AC9"/>
    <w:rsid w:val="00417B42"/>
    <w:rsid w:val="00417B7E"/>
    <w:rsid w:val="00417CDE"/>
    <w:rsid w:val="00417E3B"/>
    <w:rsid w:val="00417E44"/>
    <w:rsid w:val="00417E5A"/>
    <w:rsid w:val="00417EE4"/>
    <w:rsid w:val="00417FB4"/>
    <w:rsid w:val="004200BE"/>
    <w:rsid w:val="004203D5"/>
    <w:rsid w:val="00420451"/>
    <w:rsid w:val="004205B7"/>
    <w:rsid w:val="0042068F"/>
    <w:rsid w:val="004206A7"/>
    <w:rsid w:val="004209BF"/>
    <w:rsid w:val="00420A78"/>
    <w:rsid w:val="00420AD4"/>
    <w:rsid w:val="00420D53"/>
    <w:rsid w:val="00420E6B"/>
    <w:rsid w:val="00420EDE"/>
    <w:rsid w:val="00420F17"/>
    <w:rsid w:val="00420FDF"/>
    <w:rsid w:val="0042112F"/>
    <w:rsid w:val="00421212"/>
    <w:rsid w:val="00421249"/>
    <w:rsid w:val="0042127F"/>
    <w:rsid w:val="0042133D"/>
    <w:rsid w:val="0042169F"/>
    <w:rsid w:val="00421720"/>
    <w:rsid w:val="00421786"/>
    <w:rsid w:val="00421A25"/>
    <w:rsid w:val="00421B03"/>
    <w:rsid w:val="00421B92"/>
    <w:rsid w:val="00421BD1"/>
    <w:rsid w:val="00421BF9"/>
    <w:rsid w:val="00421CB6"/>
    <w:rsid w:val="00421D93"/>
    <w:rsid w:val="00421FA9"/>
    <w:rsid w:val="0042203F"/>
    <w:rsid w:val="00422115"/>
    <w:rsid w:val="00422146"/>
    <w:rsid w:val="0042222E"/>
    <w:rsid w:val="00422249"/>
    <w:rsid w:val="00422366"/>
    <w:rsid w:val="004224BD"/>
    <w:rsid w:val="0042258C"/>
    <w:rsid w:val="004227BF"/>
    <w:rsid w:val="00422A25"/>
    <w:rsid w:val="00422AAB"/>
    <w:rsid w:val="00423174"/>
    <w:rsid w:val="004231CF"/>
    <w:rsid w:val="00423324"/>
    <w:rsid w:val="00423382"/>
    <w:rsid w:val="004233EE"/>
    <w:rsid w:val="0042341A"/>
    <w:rsid w:val="00423460"/>
    <w:rsid w:val="004234ED"/>
    <w:rsid w:val="00423506"/>
    <w:rsid w:val="00423577"/>
    <w:rsid w:val="0042360B"/>
    <w:rsid w:val="004237A2"/>
    <w:rsid w:val="004237A4"/>
    <w:rsid w:val="00423839"/>
    <w:rsid w:val="00423915"/>
    <w:rsid w:val="00423AD6"/>
    <w:rsid w:val="00423B8A"/>
    <w:rsid w:val="00423B8F"/>
    <w:rsid w:val="00423C05"/>
    <w:rsid w:val="00423D00"/>
    <w:rsid w:val="00423E9D"/>
    <w:rsid w:val="0042406C"/>
    <w:rsid w:val="00424094"/>
    <w:rsid w:val="00424145"/>
    <w:rsid w:val="00424251"/>
    <w:rsid w:val="00424522"/>
    <w:rsid w:val="004247CD"/>
    <w:rsid w:val="0042485A"/>
    <w:rsid w:val="0042488E"/>
    <w:rsid w:val="0042491B"/>
    <w:rsid w:val="00424C49"/>
    <w:rsid w:val="00424CC6"/>
    <w:rsid w:val="00424DE0"/>
    <w:rsid w:val="00424F7F"/>
    <w:rsid w:val="004250CA"/>
    <w:rsid w:val="004250E5"/>
    <w:rsid w:val="004250FA"/>
    <w:rsid w:val="004251A7"/>
    <w:rsid w:val="00425234"/>
    <w:rsid w:val="0042529C"/>
    <w:rsid w:val="004252B3"/>
    <w:rsid w:val="00425355"/>
    <w:rsid w:val="004253A0"/>
    <w:rsid w:val="0042541A"/>
    <w:rsid w:val="0042559A"/>
    <w:rsid w:val="00425754"/>
    <w:rsid w:val="00425766"/>
    <w:rsid w:val="0042584C"/>
    <w:rsid w:val="004258A6"/>
    <w:rsid w:val="004258ED"/>
    <w:rsid w:val="0042597C"/>
    <w:rsid w:val="004259D9"/>
    <w:rsid w:val="00425B42"/>
    <w:rsid w:val="00425C4A"/>
    <w:rsid w:val="00425D97"/>
    <w:rsid w:val="00425DB2"/>
    <w:rsid w:val="00425DBF"/>
    <w:rsid w:val="00425ED8"/>
    <w:rsid w:val="004260F8"/>
    <w:rsid w:val="00426175"/>
    <w:rsid w:val="00426341"/>
    <w:rsid w:val="0042637C"/>
    <w:rsid w:val="004264A4"/>
    <w:rsid w:val="004264F2"/>
    <w:rsid w:val="00426592"/>
    <w:rsid w:val="00426865"/>
    <w:rsid w:val="00426910"/>
    <w:rsid w:val="00426B12"/>
    <w:rsid w:val="00426C60"/>
    <w:rsid w:val="00426D85"/>
    <w:rsid w:val="00427133"/>
    <w:rsid w:val="004271CF"/>
    <w:rsid w:val="004271E2"/>
    <w:rsid w:val="00427417"/>
    <w:rsid w:val="00427508"/>
    <w:rsid w:val="004275AA"/>
    <w:rsid w:val="004275E2"/>
    <w:rsid w:val="004275E5"/>
    <w:rsid w:val="004276B2"/>
    <w:rsid w:val="00427758"/>
    <w:rsid w:val="0042782D"/>
    <w:rsid w:val="004279AB"/>
    <w:rsid w:val="004279CC"/>
    <w:rsid w:val="004279F0"/>
    <w:rsid w:val="00427B90"/>
    <w:rsid w:val="00427BBD"/>
    <w:rsid w:val="00427C63"/>
    <w:rsid w:val="00427D47"/>
    <w:rsid w:val="00427EAC"/>
    <w:rsid w:val="00430072"/>
    <w:rsid w:val="0043025C"/>
    <w:rsid w:val="00430352"/>
    <w:rsid w:val="004305E0"/>
    <w:rsid w:val="004306A8"/>
    <w:rsid w:val="00430726"/>
    <w:rsid w:val="004307F0"/>
    <w:rsid w:val="00430864"/>
    <w:rsid w:val="00430882"/>
    <w:rsid w:val="00430A5A"/>
    <w:rsid w:val="00430D3C"/>
    <w:rsid w:val="00430DD4"/>
    <w:rsid w:val="00430EFA"/>
    <w:rsid w:val="00431149"/>
    <w:rsid w:val="00431190"/>
    <w:rsid w:val="004313CC"/>
    <w:rsid w:val="0043149B"/>
    <w:rsid w:val="00431599"/>
    <w:rsid w:val="004315B4"/>
    <w:rsid w:val="00431607"/>
    <w:rsid w:val="00431642"/>
    <w:rsid w:val="00431643"/>
    <w:rsid w:val="0043166F"/>
    <w:rsid w:val="004317F8"/>
    <w:rsid w:val="0043189B"/>
    <w:rsid w:val="004318BF"/>
    <w:rsid w:val="004318E7"/>
    <w:rsid w:val="004318F7"/>
    <w:rsid w:val="00431981"/>
    <w:rsid w:val="00431A85"/>
    <w:rsid w:val="00431CBB"/>
    <w:rsid w:val="00431CFD"/>
    <w:rsid w:val="00431D86"/>
    <w:rsid w:val="00431E98"/>
    <w:rsid w:val="00431EDF"/>
    <w:rsid w:val="004320A5"/>
    <w:rsid w:val="004320F6"/>
    <w:rsid w:val="0043211F"/>
    <w:rsid w:val="0043220B"/>
    <w:rsid w:val="0043221F"/>
    <w:rsid w:val="0043231D"/>
    <w:rsid w:val="0043239B"/>
    <w:rsid w:val="004325EC"/>
    <w:rsid w:val="00432789"/>
    <w:rsid w:val="004329CD"/>
    <w:rsid w:val="00432A07"/>
    <w:rsid w:val="00432C3A"/>
    <w:rsid w:val="00432CE3"/>
    <w:rsid w:val="00432D96"/>
    <w:rsid w:val="00432F8E"/>
    <w:rsid w:val="00433040"/>
    <w:rsid w:val="0043307D"/>
    <w:rsid w:val="004330C5"/>
    <w:rsid w:val="00433178"/>
    <w:rsid w:val="004333A0"/>
    <w:rsid w:val="0043341A"/>
    <w:rsid w:val="0043360E"/>
    <w:rsid w:val="00433787"/>
    <w:rsid w:val="00433915"/>
    <w:rsid w:val="00433A10"/>
    <w:rsid w:val="00433CF3"/>
    <w:rsid w:val="00433CFD"/>
    <w:rsid w:val="00433F2F"/>
    <w:rsid w:val="00433F74"/>
    <w:rsid w:val="00433FCA"/>
    <w:rsid w:val="004340B0"/>
    <w:rsid w:val="004340E6"/>
    <w:rsid w:val="00434125"/>
    <w:rsid w:val="00434252"/>
    <w:rsid w:val="00434394"/>
    <w:rsid w:val="00434395"/>
    <w:rsid w:val="0043448E"/>
    <w:rsid w:val="00434497"/>
    <w:rsid w:val="00434498"/>
    <w:rsid w:val="00434565"/>
    <w:rsid w:val="004345E5"/>
    <w:rsid w:val="004345FC"/>
    <w:rsid w:val="00434602"/>
    <w:rsid w:val="0043464D"/>
    <w:rsid w:val="0043466D"/>
    <w:rsid w:val="004346E6"/>
    <w:rsid w:val="00434729"/>
    <w:rsid w:val="00434753"/>
    <w:rsid w:val="004347E1"/>
    <w:rsid w:val="00434819"/>
    <w:rsid w:val="0043491D"/>
    <w:rsid w:val="00434A33"/>
    <w:rsid w:val="00434B98"/>
    <w:rsid w:val="00434D97"/>
    <w:rsid w:val="00434DD2"/>
    <w:rsid w:val="00434E96"/>
    <w:rsid w:val="00434EA7"/>
    <w:rsid w:val="00435129"/>
    <w:rsid w:val="00435182"/>
    <w:rsid w:val="0043521E"/>
    <w:rsid w:val="0043546B"/>
    <w:rsid w:val="0043551D"/>
    <w:rsid w:val="0043561F"/>
    <w:rsid w:val="0043563C"/>
    <w:rsid w:val="0043583B"/>
    <w:rsid w:val="00435988"/>
    <w:rsid w:val="004359E2"/>
    <w:rsid w:val="00435AA6"/>
    <w:rsid w:val="00435B1B"/>
    <w:rsid w:val="00435BBB"/>
    <w:rsid w:val="00435D2A"/>
    <w:rsid w:val="00435E03"/>
    <w:rsid w:val="00435EAC"/>
    <w:rsid w:val="00435EF6"/>
    <w:rsid w:val="00436066"/>
    <w:rsid w:val="00436090"/>
    <w:rsid w:val="004363E1"/>
    <w:rsid w:val="004364BB"/>
    <w:rsid w:val="00436511"/>
    <w:rsid w:val="004367FF"/>
    <w:rsid w:val="0043696B"/>
    <w:rsid w:val="0043699A"/>
    <w:rsid w:val="004369E7"/>
    <w:rsid w:val="00436BEB"/>
    <w:rsid w:val="00436CEA"/>
    <w:rsid w:val="00436D14"/>
    <w:rsid w:val="00436E0B"/>
    <w:rsid w:val="00436E39"/>
    <w:rsid w:val="00436E47"/>
    <w:rsid w:val="00436E5E"/>
    <w:rsid w:val="00436E61"/>
    <w:rsid w:val="00436FB1"/>
    <w:rsid w:val="00437042"/>
    <w:rsid w:val="0043705A"/>
    <w:rsid w:val="004371AC"/>
    <w:rsid w:val="004371B9"/>
    <w:rsid w:val="00437235"/>
    <w:rsid w:val="004372B0"/>
    <w:rsid w:val="00437305"/>
    <w:rsid w:val="004374A4"/>
    <w:rsid w:val="00437753"/>
    <w:rsid w:val="00437785"/>
    <w:rsid w:val="00437795"/>
    <w:rsid w:val="0043781A"/>
    <w:rsid w:val="00437904"/>
    <w:rsid w:val="00437916"/>
    <w:rsid w:val="004379F3"/>
    <w:rsid w:val="00437B02"/>
    <w:rsid w:val="00437B2C"/>
    <w:rsid w:val="00437B3E"/>
    <w:rsid w:val="00437B96"/>
    <w:rsid w:val="00437C92"/>
    <w:rsid w:val="00437D32"/>
    <w:rsid w:val="00437DC3"/>
    <w:rsid w:val="00440086"/>
    <w:rsid w:val="004400A5"/>
    <w:rsid w:val="004400BC"/>
    <w:rsid w:val="00440111"/>
    <w:rsid w:val="00440153"/>
    <w:rsid w:val="0044028B"/>
    <w:rsid w:val="00440439"/>
    <w:rsid w:val="0044053F"/>
    <w:rsid w:val="0044058C"/>
    <w:rsid w:val="0044060E"/>
    <w:rsid w:val="0044067B"/>
    <w:rsid w:val="00440691"/>
    <w:rsid w:val="004406DF"/>
    <w:rsid w:val="00440783"/>
    <w:rsid w:val="00440849"/>
    <w:rsid w:val="00440957"/>
    <w:rsid w:val="00440C2F"/>
    <w:rsid w:val="00440C46"/>
    <w:rsid w:val="00440D11"/>
    <w:rsid w:val="00440D53"/>
    <w:rsid w:val="00440D55"/>
    <w:rsid w:val="00440E93"/>
    <w:rsid w:val="00440F1D"/>
    <w:rsid w:val="00441009"/>
    <w:rsid w:val="004411C5"/>
    <w:rsid w:val="004413BF"/>
    <w:rsid w:val="00441599"/>
    <w:rsid w:val="004416C6"/>
    <w:rsid w:val="004417B6"/>
    <w:rsid w:val="00441994"/>
    <w:rsid w:val="00441B9F"/>
    <w:rsid w:val="00441BCF"/>
    <w:rsid w:val="00441D11"/>
    <w:rsid w:val="00441DD7"/>
    <w:rsid w:val="00441F06"/>
    <w:rsid w:val="00442066"/>
    <w:rsid w:val="0044234E"/>
    <w:rsid w:val="00442358"/>
    <w:rsid w:val="004424D0"/>
    <w:rsid w:val="00442502"/>
    <w:rsid w:val="004427B7"/>
    <w:rsid w:val="00442875"/>
    <w:rsid w:val="00442887"/>
    <w:rsid w:val="0044289F"/>
    <w:rsid w:val="00442A4A"/>
    <w:rsid w:val="00442ADF"/>
    <w:rsid w:val="00442C34"/>
    <w:rsid w:val="00442D02"/>
    <w:rsid w:val="004434C8"/>
    <w:rsid w:val="004434DC"/>
    <w:rsid w:val="004436C0"/>
    <w:rsid w:val="00443737"/>
    <w:rsid w:val="00443788"/>
    <w:rsid w:val="00443789"/>
    <w:rsid w:val="004437A7"/>
    <w:rsid w:val="004437E7"/>
    <w:rsid w:val="00443905"/>
    <w:rsid w:val="00443A11"/>
    <w:rsid w:val="00443AAA"/>
    <w:rsid w:val="00443BFE"/>
    <w:rsid w:val="00443D03"/>
    <w:rsid w:val="00443DC4"/>
    <w:rsid w:val="00443E4F"/>
    <w:rsid w:val="00443FA7"/>
    <w:rsid w:val="0044426A"/>
    <w:rsid w:val="00444274"/>
    <w:rsid w:val="004442A6"/>
    <w:rsid w:val="004444B2"/>
    <w:rsid w:val="0044469A"/>
    <w:rsid w:val="004448F1"/>
    <w:rsid w:val="004449BB"/>
    <w:rsid w:val="00444A51"/>
    <w:rsid w:val="00444A53"/>
    <w:rsid w:val="00444D91"/>
    <w:rsid w:val="00444E4F"/>
    <w:rsid w:val="00444E7F"/>
    <w:rsid w:val="00444F5D"/>
    <w:rsid w:val="004451D1"/>
    <w:rsid w:val="00445254"/>
    <w:rsid w:val="0044525C"/>
    <w:rsid w:val="0044527C"/>
    <w:rsid w:val="0044530A"/>
    <w:rsid w:val="004454D0"/>
    <w:rsid w:val="00445621"/>
    <w:rsid w:val="0044563A"/>
    <w:rsid w:val="00445693"/>
    <w:rsid w:val="004459CC"/>
    <w:rsid w:val="00445A18"/>
    <w:rsid w:val="00445C64"/>
    <w:rsid w:val="00445D5A"/>
    <w:rsid w:val="00445D79"/>
    <w:rsid w:val="00445F21"/>
    <w:rsid w:val="004460F2"/>
    <w:rsid w:val="004461A9"/>
    <w:rsid w:val="004462A5"/>
    <w:rsid w:val="004463BB"/>
    <w:rsid w:val="004465C0"/>
    <w:rsid w:val="00446630"/>
    <w:rsid w:val="0044670F"/>
    <w:rsid w:val="00446752"/>
    <w:rsid w:val="00446795"/>
    <w:rsid w:val="0044682F"/>
    <w:rsid w:val="00446975"/>
    <w:rsid w:val="00446995"/>
    <w:rsid w:val="00446A48"/>
    <w:rsid w:val="00446A9C"/>
    <w:rsid w:val="00446B25"/>
    <w:rsid w:val="00446C5C"/>
    <w:rsid w:val="00446D44"/>
    <w:rsid w:val="00446D69"/>
    <w:rsid w:val="004470BD"/>
    <w:rsid w:val="00447141"/>
    <w:rsid w:val="0044715B"/>
    <w:rsid w:val="004471D7"/>
    <w:rsid w:val="004471F0"/>
    <w:rsid w:val="0044720E"/>
    <w:rsid w:val="0044730E"/>
    <w:rsid w:val="0044731A"/>
    <w:rsid w:val="0044737D"/>
    <w:rsid w:val="00447519"/>
    <w:rsid w:val="0044752B"/>
    <w:rsid w:val="004475D7"/>
    <w:rsid w:val="00447666"/>
    <w:rsid w:val="004476A5"/>
    <w:rsid w:val="0044789E"/>
    <w:rsid w:val="00447950"/>
    <w:rsid w:val="00447ACD"/>
    <w:rsid w:val="00447B99"/>
    <w:rsid w:val="00447CE6"/>
    <w:rsid w:val="00447D16"/>
    <w:rsid w:val="00447EA6"/>
    <w:rsid w:val="00447EAB"/>
    <w:rsid w:val="00450114"/>
    <w:rsid w:val="0045022E"/>
    <w:rsid w:val="0045029D"/>
    <w:rsid w:val="00450508"/>
    <w:rsid w:val="00450522"/>
    <w:rsid w:val="004505B6"/>
    <w:rsid w:val="0045086C"/>
    <w:rsid w:val="00450870"/>
    <w:rsid w:val="00450907"/>
    <w:rsid w:val="00450987"/>
    <w:rsid w:val="00450A50"/>
    <w:rsid w:val="00450AA1"/>
    <w:rsid w:val="00450BF8"/>
    <w:rsid w:val="00450E4A"/>
    <w:rsid w:val="00450EB2"/>
    <w:rsid w:val="00450FF7"/>
    <w:rsid w:val="004510DA"/>
    <w:rsid w:val="004510FB"/>
    <w:rsid w:val="00451316"/>
    <w:rsid w:val="00451604"/>
    <w:rsid w:val="004516D3"/>
    <w:rsid w:val="0045176D"/>
    <w:rsid w:val="0045181F"/>
    <w:rsid w:val="004518D0"/>
    <w:rsid w:val="004519C1"/>
    <w:rsid w:val="00451A13"/>
    <w:rsid w:val="00451A2B"/>
    <w:rsid w:val="00451A3E"/>
    <w:rsid w:val="00451C91"/>
    <w:rsid w:val="00451E71"/>
    <w:rsid w:val="00451F05"/>
    <w:rsid w:val="00451FCF"/>
    <w:rsid w:val="00452163"/>
    <w:rsid w:val="0045217B"/>
    <w:rsid w:val="004521A6"/>
    <w:rsid w:val="004521D2"/>
    <w:rsid w:val="004521FC"/>
    <w:rsid w:val="0045220B"/>
    <w:rsid w:val="004522C6"/>
    <w:rsid w:val="00452424"/>
    <w:rsid w:val="0045251B"/>
    <w:rsid w:val="00452585"/>
    <w:rsid w:val="0045265C"/>
    <w:rsid w:val="0045269F"/>
    <w:rsid w:val="004527C2"/>
    <w:rsid w:val="004527DA"/>
    <w:rsid w:val="0045286C"/>
    <w:rsid w:val="004528DF"/>
    <w:rsid w:val="004529A3"/>
    <w:rsid w:val="00452B48"/>
    <w:rsid w:val="00452CEB"/>
    <w:rsid w:val="00452D3A"/>
    <w:rsid w:val="00453141"/>
    <w:rsid w:val="00453187"/>
    <w:rsid w:val="004531C6"/>
    <w:rsid w:val="004532BF"/>
    <w:rsid w:val="004534BA"/>
    <w:rsid w:val="00453582"/>
    <w:rsid w:val="004535B0"/>
    <w:rsid w:val="0045370A"/>
    <w:rsid w:val="00453795"/>
    <w:rsid w:val="004537BC"/>
    <w:rsid w:val="004537F6"/>
    <w:rsid w:val="00453966"/>
    <w:rsid w:val="00453981"/>
    <w:rsid w:val="00453A70"/>
    <w:rsid w:val="00453B18"/>
    <w:rsid w:val="00453C1C"/>
    <w:rsid w:val="00453DF9"/>
    <w:rsid w:val="00453DFF"/>
    <w:rsid w:val="00453F6A"/>
    <w:rsid w:val="00454046"/>
    <w:rsid w:val="004540EE"/>
    <w:rsid w:val="004542EC"/>
    <w:rsid w:val="004543F1"/>
    <w:rsid w:val="0045449A"/>
    <w:rsid w:val="004544BC"/>
    <w:rsid w:val="00454606"/>
    <w:rsid w:val="00454700"/>
    <w:rsid w:val="00454722"/>
    <w:rsid w:val="004547C6"/>
    <w:rsid w:val="00454995"/>
    <w:rsid w:val="00454B1B"/>
    <w:rsid w:val="00454D3F"/>
    <w:rsid w:val="0045509F"/>
    <w:rsid w:val="00455282"/>
    <w:rsid w:val="00455368"/>
    <w:rsid w:val="004554AB"/>
    <w:rsid w:val="00455597"/>
    <w:rsid w:val="00455697"/>
    <w:rsid w:val="00455853"/>
    <w:rsid w:val="00455997"/>
    <w:rsid w:val="00455A0E"/>
    <w:rsid w:val="00455AA1"/>
    <w:rsid w:val="00455B5C"/>
    <w:rsid w:val="00455DFC"/>
    <w:rsid w:val="00456030"/>
    <w:rsid w:val="00456555"/>
    <w:rsid w:val="00456557"/>
    <w:rsid w:val="00456691"/>
    <w:rsid w:val="00456723"/>
    <w:rsid w:val="0045675C"/>
    <w:rsid w:val="004567AB"/>
    <w:rsid w:val="004567DD"/>
    <w:rsid w:val="00456808"/>
    <w:rsid w:val="00456809"/>
    <w:rsid w:val="0045693E"/>
    <w:rsid w:val="00456981"/>
    <w:rsid w:val="00456AB1"/>
    <w:rsid w:val="00456C35"/>
    <w:rsid w:val="00456D60"/>
    <w:rsid w:val="00456DE0"/>
    <w:rsid w:val="0045703A"/>
    <w:rsid w:val="004570A6"/>
    <w:rsid w:val="004571DF"/>
    <w:rsid w:val="004571F3"/>
    <w:rsid w:val="00457209"/>
    <w:rsid w:val="00457400"/>
    <w:rsid w:val="00457411"/>
    <w:rsid w:val="00457412"/>
    <w:rsid w:val="004574C7"/>
    <w:rsid w:val="0045755B"/>
    <w:rsid w:val="004575EE"/>
    <w:rsid w:val="004575F8"/>
    <w:rsid w:val="00457632"/>
    <w:rsid w:val="00457647"/>
    <w:rsid w:val="00457648"/>
    <w:rsid w:val="004576A7"/>
    <w:rsid w:val="0045778D"/>
    <w:rsid w:val="00457A51"/>
    <w:rsid w:val="00457AAE"/>
    <w:rsid w:val="00457C2E"/>
    <w:rsid w:val="00457CBE"/>
    <w:rsid w:val="00457F51"/>
    <w:rsid w:val="00457FE3"/>
    <w:rsid w:val="004600D0"/>
    <w:rsid w:val="0046034F"/>
    <w:rsid w:val="004604D1"/>
    <w:rsid w:val="00460544"/>
    <w:rsid w:val="00460567"/>
    <w:rsid w:val="0046056B"/>
    <w:rsid w:val="00460575"/>
    <w:rsid w:val="004605F7"/>
    <w:rsid w:val="00460655"/>
    <w:rsid w:val="00460739"/>
    <w:rsid w:val="00460769"/>
    <w:rsid w:val="00460822"/>
    <w:rsid w:val="004609C2"/>
    <w:rsid w:val="004609C4"/>
    <w:rsid w:val="00460A33"/>
    <w:rsid w:val="00460AD9"/>
    <w:rsid w:val="00460D2A"/>
    <w:rsid w:val="00460D55"/>
    <w:rsid w:val="00460E35"/>
    <w:rsid w:val="00460EA7"/>
    <w:rsid w:val="00460EFE"/>
    <w:rsid w:val="00460FA4"/>
    <w:rsid w:val="00461040"/>
    <w:rsid w:val="00461080"/>
    <w:rsid w:val="0046108E"/>
    <w:rsid w:val="004610C4"/>
    <w:rsid w:val="00461244"/>
    <w:rsid w:val="00461277"/>
    <w:rsid w:val="00461411"/>
    <w:rsid w:val="0046147B"/>
    <w:rsid w:val="00461591"/>
    <w:rsid w:val="00461597"/>
    <w:rsid w:val="00461653"/>
    <w:rsid w:val="004616DE"/>
    <w:rsid w:val="0046172F"/>
    <w:rsid w:val="00461883"/>
    <w:rsid w:val="00461915"/>
    <w:rsid w:val="00461D01"/>
    <w:rsid w:val="00461EC5"/>
    <w:rsid w:val="00461F0B"/>
    <w:rsid w:val="0046200A"/>
    <w:rsid w:val="0046218E"/>
    <w:rsid w:val="0046224D"/>
    <w:rsid w:val="004625FF"/>
    <w:rsid w:val="00462656"/>
    <w:rsid w:val="0046269C"/>
    <w:rsid w:val="00462726"/>
    <w:rsid w:val="004627C7"/>
    <w:rsid w:val="00462855"/>
    <w:rsid w:val="00462908"/>
    <w:rsid w:val="00462BBD"/>
    <w:rsid w:val="00462EA9"/>
    <w:rsid w:val="00462FC5"/>
    <w:rsid w:val="0046300C"/>
    <w:rsid w:val="00463159"/>
    <w:rsid w:val="00463242"/>
    <w:rsid w:val="00463250"/>
    <w:rsid w:val="004633FF"/>
    <w:rsid w:val="00463507"/>
    <w:rsid w:val="0046381A"/>
    <w:rsid w:val="00463964"/>
    <w:rsid w:val="00463969"/>
    <w:rsid w:val="00463B3A"/>
    <w:rsid w:val="00463B7B"/>
    <w:rsid w:val="00463D5F"/>
    <w:rsid w:val="0046407A"/>
    <w:rsid w:val="004640B1"/>
    <w:rsid w:val="00464188"/>
    <w:rsid w:val="00464626"/>
    <w:rsid w:val="00464744"/>
    <w:rsid w:val="004647AE"/>
    <w:rsid w:val="0046494A"/>
    <w:rsid w:val="00464AA8"/>
    <w:rsid w:val="00464D46"/>
    <w:rsid w:val="00464E84"/>
    <w:rsid w:val="00464EE0"/>
    <w:rsid w:val="00465008"/>
    <w:rsid w:val="00465024"/>
    <w:rsid w:val="00465069"/>
    <w:rsid w:val="00465131"/>
    <w:rsid w:val="00465163"/>
    <w:rsid w:val="00465339"/>
    <w:rsid w:val="004654A3"/>
    <w:rsid w:val="0046558A"/>
    <w:rsid w:val="00465678"/>
    <w:rsid w:val="00465784"/>
    <w:rsid w:val="004657A2"/>
    <w:rsid w:val="004657DE"/>
    <w:rsid w:val="0046585D"/>
    <w:rsid w:val="004658F4"/>
    <w:rsid w:val="0046590E"/>
    <w:rsid w:val="00465ABB"/>
    <w:rsid w:val="00465DB2"/>
    <w:rsid w:val="00465E1E"/>
    <w:rsid w:val="00465F22"/>
    <w:rsid w:val="00465FC7"/>
    <w:rsid w:val="00466188"/>
    <w:rsid w:val="00466220"/>
    <w:rsid w:val="00466564"/>
    <w:rsid w:val="004668CC"/>
    <w:rsid w:val="0046693A"/>
    <w:rsid w:val="00466956"/>
    <w:rsid w:val="004669DF"/>
    <w:rsid w:val="00466B06"/>
    <w:rsid w:val="00466B34"/>
    <w:rsid w:val="00466C84"/>
    <w:rsid w:val="00466D0B"/>
    <w:rsid w:val="00466E26"/>
    <w:rsid w:val="00466F54"/>
    <w:rsid w:val="00466F7D"/>
    <w:rsid w:val="00466F9F"/>
    <w:rsid w:val="00466FDA"/>
    <w:rsid w:val="0046700D"/>
    <w:rsid w:val="004673C0"/>
    <w:rsid w:val="00467554"/>
    <w:rsid w:val="004675A0"/>
    <w:rsid w:val="0046760E"/>
    <w:rsid w:val="00467686"/>
    <w:rsid w:val="00467724"/>
    <w:rsid w:val="004677B2"/>
    <w:rsid w:val="004677E4"/>
    <w:rsid w:val="00467AB9"/>
    <w:rsid w:val="00467BBC"/>
    <w:rsid w:val="00467BFE"/>
    <w:rsid w:val="00467CE5"/>
    <w:rsid w:val="00467DD9"/>
    <w:rsid w:val="00467DE2"/>
    <w:rsid w:val="00467E18"/>
    <w:rsid w:val="00467EDB"/>
    <w:rsid w:val="00467F30"/>
    <w:rsid w:val="00470127"/>
    <w:rsid w:val="00470172"/>
    <w:rsid w:val="0047025E"/>
    <w:rsid w:val="004703D0"/>
    <w:rsid w:val="0047059E"/>
    <w:rsid w:val="004705B3"/>
    <w:rsid w:val="004705F9"/>
    <w:rsid w:val="00470670"/>
    <w:rsid w:val="00470765"/>
    <w:rsid w:val="004707DC"/>
    <w:rsid w:val="0047086C"/>
    <w:rsid w:val="00470A56"/>
    <w:rsid w:val="00470A63"/>
    <w:rsid w:val="00470A9C"/>
    <w:rsid w:val="00470B75"/>
    <w:rsid w:val="00470D0F"/>
    <w:rsid w:val="00470F14"/>
    <w:rsid w:val="00470F23"/>
    <w:rsid w:val="00470FDA"/>
    <w:rsid w:val="004711A8"/>
    <w:rsid w:val="004711B9"/>
    <w:rsid w:val="00471254"/>
    <w:rsid w:val="004712FF"/>
    <w:rsid w:val="0047136B"/>
    <w:rsid w:val="0047139D"/>
    <w:rsid w:val="004713AB"/>
    <w:rsid w:val="004715AA"/>
    <w:rsid w:val="004715BD"/>
    <w:rsid w:val="0047161F"/>
    <w:rsid w:val="0047188F"/>
    <w:rsid w:val="00471A72"/>
    <w:rsid w:val="00471B21"/>
    <w:rsid w:val="00471C56"/>
    <w:rsid w:val="00471CD4"/>
    <w:rsid w:val="00471D28"/>
    <w:rsid w:val="00471E10"/>
    <w:rsid w:val="00471E53"/>
    <w:rsid w:val="00471E5D"/>
    <w:rsid w:val="0047207C"/>
    <w:rsid w:val="0047212F"/>
    <w:rsid w:val="004723FC"/>
    <w:rsid w:val="00472427"/>
    <w:rsid w:val="004724F6"/>
    <w:rsid w:val="0047256C"/>
    <w:rsid w:val="00472838"/>
    <w:rsid w:val="00472950"/>
    <w:rsid w:val="00472A03"/>
    <w:rsid w:val="00472AA4"/>
    <w:rsid w:val="00472AB7"/>
    <w:rsid w:val="00472B11"/>
    <w:rsid w:val="00472BCF"/>
    <w:rsid w:val="00472CB4"/>
    <w:rsid w:val="00472D1D"/>
    <w:rsid w:val="00472E82"/>
    <w:rsid w:val="004731B3"/>
    <w:rsid w:val="00473461"/>
    <w:rsid w:val="004734F0"/>
    <w:rsid w:val="0047363D"/>
    <w:rsid w:val="004736C1"/>
    <w:rsid w:val="004736C9"/>
    <w:rsid w:val="004736D1"/>
    <w:rsid w:val="0047380B"/>
    <w:rsid w:val="004738C6"/>
    <w:rsid w:val="00473BC8"/>
    <w:rsid w:val="00473CC6"/>
    <w:rsid w:val="00473F58"/>
    <w:rsid w:val="00474091"/>
    <w:rsid w:val="004740F1"/>
    <w:rsid w:val="00474140"/>
    <w:rsid w:val="00474164"/>
    <w:rsid w:val="00474234"/>
    <w:rsid w:val="0047434A"/>
    <w:rsid w:val="00474562"/>
    <w:rsid w:val="004745C6"/>
    <w:rsid w:val="00474679"/>
    <w:rsid w:val="004747D3"/>
    <w:rsid w:val="004749C4"/>
    <w:rsid w:val="00474AE5"/>
    <w:rsid w:val="00474C31"/>
    <w:rsid w:val="00474CA4"/>
    <w:rsid w:val="00474D2C"/>
    <w:rsid w:val="00474E9C"/>
    <w:rsid w:val="00474F66"/>
    <w:rsid w:val="0047504B"/>
    <w:rsid w:val="00475148"/>
    <w:rsid w:val="00475205"/>
    <w:rsid w:val="004752E1"/>
    <w:rsid w:val="00475559"/>
    <w:rsid w:val="00475562"/>
    <w:rsid w:val="004755AC"/>
    <w:rsid w:val="004755B0"/>
    <w:rsid w:val="004757C0"/>
    <w:rsid w:val="004758B0"/>
    <w:rsid w:val="004758E3"/>
    <w:rsid w:val="00475A15"/>
    <w:rsid w:val="00475A1F"/>
    <w:rsid w:val="00475A29"/>
    <w:rsid w:val="00475BF4"/>
    <w:rsid w:val="00475D56"/>
    <w:rsid w:val="00475E02"/>
    <w:rsid w:val="004761BA"/>
    <w:rsid w:val="00476268"/>
    <w:rsid w:val="0047626A"/>
    <w:rsid w:val="004764E1"/>
    <w:rsid w:val="004764F9"/>
    <w:rsid w:val="004766E7"/>
    <w:rsid w:val="00476BC0"/>
    <w:rsid w:val="00476BF7"/>
    <w:rsid w:val="00476F9B"/>
    <w:rsid w:val="004770AC"/>
    <w:rsid w:val="004770C9"/>
    <w:rsid w:val="0047739B"/>
    <w:rsid w:val="0047756E"/>
    <w:rsid w:val="00477574"/>
    <w:rsid w:val="004775C1"/>
    <w:rsid w:val="00477680"/>
    <w:rsid w:val="00477686"/>
    <w:rsid w:val="004777C4"/>
    <w:rsid w:val="004777F0"/>
    <w:rsid w:val="0047785D"/>
    <w:rsid w:val="0047788A"/>
    <w:rsid w:val="004779CE"/>
    <w:rsid w:val="004779DC"/>
    <w:rsid w:val="00477A1F"/>
    <w:rsid w:val="00477A5A"/>
    <w:rsid w:val="00477A5D"/>
    <w:rsid w:val="00477BCD"/>
    <w:rsid w:val="00477C41"/>
    <w:rsid w:val="00477C76"/>
    <w:rsid w:val="00477D4C"/>
    <w:rsid w:val="00477E08"/>
    <w:rsid w:val="00477EB6"/>
    <w:rsid w:val="00477EC9"/>
    <w:rsid w:val="00477FAE"/>
    <w:rsid w:val="00477FC1"/>
    <w:rsid w:val="00480530"/>
    <w:rsid w:val="004805CD"/>
    <w:rsid w:val="004806B5"/>
    <w:rsid w:val="00480868"/>
    <w:rsid w:val="00480B11"/>
    <w:rsid w:val="00480BE3"/>
    <w:rsid w:val="00480C79"/>
    <w:rsid w:val="00480CD6"/>
    <w:rsid w:val="00480E7C"/>
    <w:rsid w:val="0048116E"/>
    <w:rsid w:val="00481419"/>
    <w:rsid w:val="00481469"/>
    <w:rsid w:val="004815ED"/>
    <w:rsid w:val="004816BC"/>
    <w:rsid w:val="004816CA"/>
    <w:rsid w:val="004816D0"/>
    <w:rsid w:val="004816D9"/>
    <w:rsid w:val="004817C3"/>
    <w:rsid w:val="00481805"/>
    <w:rsid w:val="004818B4"/>
    <w:rsid w:val="004819B1"/>
    <w:rsid w:val="00481C71"/>
    <w:rsid w:val="00481E91"/>
    <w:rsid w:val="00481F32"/>
    <w:rsid w:val="004821FE"/>
    <w:rsid w:val="00482685"/>
    <w:rsid w:val="00482A5F"/>
    <w:rsid w:val="00482CAC"/>
    <w:rsid w:val="00482CED"/>
    <w:rsid w:val="00482D74"/>
    <w:rsid w:val="00483053"/>
    <w:rsid w:val="004831DA"/>
    <w:rsid w:val="004832CE"/>
    <w:rsid w:val="00483472"/>
    <w:rsid w:val="004834B9"/>
    <w:rsid w:val="004834BF"/>
    <w:rsid w:val="004835C8"/>
    <w:rsid w:val="0048379E"/>
    <w:rsid w:val="004837EF"/>
    <w:rsid w:val="00483B9D"/>
    <w:rsid w:val="00483BAC"/>
    <w:rsid w:val="00483C81"/>
    <w:rsid w:val="00483CC6"/>
    <w:rsid w:val="00483D6C"/>
    <w:rsid w:val="00483E97"/>
    <w:rsid w:val="00483EEC"/>
    <w:rsid w:val="00483F91"/>
    <w:rsid w:val="00483FB0"/>
    <w:rsid w:val="00484153"/>
    <w:rsid w:val="00484237"/>
    <w:rsid w:val="004843CA"/>
    <w:rsid w:val="0048444A"/>
    <w:rsid w:val="00484469"/>
    <w:rsid w:val="004844AA"/>
    <w:rsid w:val="004845DE"/>
    <w:rsid w:val="00484696"/>
    <w:rsid w:val="004847F9"/>
    <w:rsid w:val="00484827"/>
    <w:rsid w:val="00484932"/>
    <w:rsid w:val="00484938"/>
    <w:rsid w:val="00484A66"/>
    <w:rsid w:val="00484B21"/>
    <w:rsid w:val="00484B56"/>
    <w:rsid w:val="00484E52"/>
    <w:rsid w:val="00484EE2"/>
    <w:rsid w:val="004851D6"/>
    <w:rsid w:val="0048524B"/>
    <w:rsid w:val="0048536A"/>
    <w:rsid w:val="00485494"/>
    <w:rsid w:val="00485512"/>
    <w:rsid w:val="0048555A"/>
    <w:rsid w:val="00485679"/>
    <w:rsid w:val="0048572A"/>
    <w:rsid w:val="00485792"/>
    <w:rsid w:val="00485A3B"/>
    <w:rsid w:val="00485A81"/>
    <w:rsid w:val="00485B42"/>
    <w:rsid w:val="00485BEB"/>
    <w:rsid w:val="00485D10"/>
    <w:rsid w:val="00485DF3"/>
    <w:rsid w:val="00485EC4"/>
    <w:rsid w:val="00485F90"/>
    <w:rsid w:val="00485F96"/>
    <w:rsid w:val="00485FFF"/>
    <w:rsid w:val="00486118"/>
    <w:rsid w:val="0048619C"/>
    <w:rsid w:val="004863B2"/>
    <w:rsid w:val="00486448"/>
    <w:rsid w:val="00486598"/>
    <w:rsid w:val="00486652"/>
    <w:rsid w:val="004867D4"/>
    <w:rsid w:val="00486886"/>
    <w:rsid w:val="004868D9"/>
    <w:rsid w:val="0048696B"/>
    <w:rsid w:val="004869C9"/>
    <w:rsid w:val="00486A26"/>
    <w:rsid w:val="00486A27"/>
    <w:rsid w:val="00486BED"/>
    <w:rsid w:val="00486C35"/>
    <w:rsid w:val="00486C5D"/>
    <w:rsid w:val="00486CA3"/>
    <w:rsid w:val="00486CBA"/>
    <w:rsid w:val="00486DAA"/>
    <w:rsid w:val="00486DB9"/>
    <w:rsid w:val="00486E8B"/>
    <w:rsid w:val="00486EC6"/>
    <w:rsid w:val="00486F75"/>
    <w:rsid w:val="004871D1"/>
    <w:rsid w:val="00487261"/>
    <w:rsid w:val="00487498"/>
    <w:rsid w:val="004874C8"/>
    <w:rsid w:val="004874E2"/>
    <w:rsid w:val="00487575"/>
    <w:rsid w:val="0048761E"/>
    <w:rsid w:val="0048778A"/>
    <w:rsid w:val="004877F0"/>
    <w:rsid w:val="0048781A"/>
    <w:rsid w:val="00487867"/>
    <w:rsid w:val="004879BB"/>
    <w:rsid w:val="00487A33"/>
    <w:rsid w:val="00487B19"/>
    <w:rsid w:val="00487BC0"/>
    <w:rsid w:val="00487C67"/>
    <w:rsid w:val="004901D5"/>
    <w:rsid w:val="00490355"/>
    <w:rsid w:val="0049045D"/>
    <w:rsid w:val="00490564"/>
    <w:rsid w:val="004905B1"/>
    <w:rsid w:val="004907AD"/>
    <w:rsid w:val="0049081E"/>
    <w:rsid w:val="00490945"/>
    <w:rsid w:val="004909FB"/>
    <w:rsid w:val="00490A99"/>
    <w:rsid w:val="00490B3C"/>
    <w:rsid w:val="00490BCB"/>
    <w:rsid w:val="00490BE3"/>
    <w:rsid w:val="00490DAC"/>
    <w:rsid w:val="00491055"/>
    <w:rsid w:val="004912E0"/>
    <w:rsid w:val="0049132D"/>
    <w:rsid w:val="00491361"/>
    <w:rsid w:val="004913A2"/>
    <w:rsid w:val="00491562"/>
    <w:rsid w:val="00491765"/>
    <w:rsid w:val="0049196F"/>
    <w:rsid w:val="00491985"/>
    <w:rsid w:val="00491ADA"/>
    <w:rsid w:val="00491B6E"/>
    <w:rsid w:val="00491B87"/>
    <w:rsid w:val="00491DFF"/>
    <w:rsid w:val="00491F8B"/>
    <w:rsid w:val="00491FA9"/>
    <w:rsid w:val="00492082"/>
    <w:rsid w:val="004920D9"/>
    <w:rsid w:val="004920F3"/>
    <w:rsid w:val="00492256"/>
    <w:rsid w:val="00492442"/>
    <w:rsid w:val="00492445"/>
    <w:rsid w:val="00492478"/>
    <w:rsid w:val="0049247B"/>
    <w:rsid w:val="004924B2"/>
    <w:rsid w:val="00492665"/>
    <w:rsid w:val="004926BE"/>
    <w:rsid w:val="00492832"/>
    <w:rsid w:val="00492A25"/>
    <w:rsid w:val="00492B69"/>
    <w:rsid w:val="00492B9D"/>
    <w:rsid w:val="00492C00"/>
    <w:rsid w:val="00492CD7"/>
    <w:rsid w:val="00492DE9"/>
    <w:rsid w:val="004930BB"/>
    <w:rsid w:val="0049313F"/>
    <w:rsid w:val="00493666"/>
    <w:rsid w:val="0049369E"/>
    <w:rsid w:val="0049376E"/>
    <w:rsid w:val="00493862"/>
    <w:rsid w:val="004939E6"/>
    <w:rsid w:val="00493ABF"/>
    <w:rsid w:val="00493BE1"/>
    <w:rsid w:val="00493BEE"/>
    <w:rsid w:val="00493C02"/>
    <w:rsid w:val="00493C92"/>
    <w:rsid w:val="00493D50"/>
    <w:rsid w:val="00493F1D"/>
    <w:rsid w:val="004940E0"/>
    <w:rsid w:val="004941B1"/>
    <w:rsid w:val="004942DA"/>
    <w:rsid w:val="00494310"/>
    <w:rsid w:val="0049435B"/>
    <w:rsid w:val="004944EB"/>
    <w:rsid w:val="00494527"/>
    <w:rsid w:val="0049461E"/>
    <w:rsid w:val="0049468B"/>
    <w:rsid w:val="0049471E"/>
    <w:rsid w:val="0049473F"/>
    <w:rsid w:val="00494751"/>
    <w:rsid w:val="00494958"/>
    <w:rsid w:val="00494A14"/>
    <w:rsid w:val="00494A17"/>
    <w:rsid w:val="00494ABF"/>
    <w:rsid w:val="00494B47"/>
    <w:rsid w:val="00494C27"/>
    <w:rsid w:val="00494C48"/>
    <w:rsid w:val="00494EC7"/>
    <w:rsid w:val="0049501E"/>
    <w:rsid w:val="0049503A"/>
    <w:rsid w:val="0049514D"/>
    <w:rsid w:val="004951FC"/>
    <w:rsid w:val="0049530E"/>
    <w:rsid w:val="00495322"/>
    <w:rsid w:val="0049539A"/>
    <w:rsid w:val="004953A3"/>
    <w:rsid w:val="00495499"/>
    <w:rsid w:val="0049558C"/>
    <w:rsid w:val="00495797"/>
    <w:rsid w:val="004957FE"/>
    <w:rsid w:val="00495934"/>
    <w:rsid w:val="00495BE1"/>
    <w:rsid w:val="00495C9A"/>
    <w:rsid w:val="00495D12"/>
    <w:rsid w:val="00495DFD"/>
    <w:rsid w:val="00495EAD"/>
    <w:rsid w:val="0049615A"/>
    <w:rsid w:val="00496312"/>
    <w:rsid w:val="004964C3"/>
    <w:rsid w:val="0049656F"/>
    <w:rsid w:val="0049660B"/>
    <w:rsid w:val="004967E6"/>
    <w:rsid w:val="00496815"/>
    <w:rsid w:val="0049683F"/>
    <w:rsid w:val="004969BC"/>
    <w:rsid w:val="004969EB"/>
    <w:rsid w:val="00496A03"/>
    <w:rsid w:val="00496B2B"/>
    <w:rsid w:val="00496B5F"/>
    <w:rsid w:val="00496BE3"/>
    <w:rsid w:val="00496C04"/>
    <w:rsid w:val="00496CCB"/>
    <w:rsid w:val="00496CDD"/>
    <w:rsid w:val="00496D33"/>
    <w:rsid w:val="00496D4E"/>
    <w:rsid w:val="00496E42"/>
    <w:rsid w:val="00496EAA"/>
    <w:rsid w:val="00496F55"/>
    <w:rsid w:val="0049707D"/>
    <w:rsid w:val="00497152"/>
    <w:rsid w:val="00497226"/>
    <w:rsid w:val="0049729E"/>
    <w:rsid w:val="0049742E"/>
    <w:rsid w:val="0049746A"/>
    <w:rsid w:val="00497471"/>
    <w:rsid w:val="004974BF"/>
    <w:rsid w:val="004974E5"/>
    <w:rsid w:val="00497612"/>
    <w:rsid w:val="00497722"/>
    <w:rsid w:val="0049772D"/>
    <w:rsid w:val="00497739"/>
    <w:rsid w:val="004977D5"/>
    <w:rsid w:val="00497874"/>
    <w:rsid w:val="0049789A"/>
    <w:rsid w:val="0049790C"/>
    <w:rsid w:val="004979A7"/>
    <w:rsid w:val="00497ACB"/>
    <w:rsid w:val="00497ACD"/>
    <w:rsid w:val="00497C5C"/>
    <w:rsid w:val="00497D09"/>
    <w:rsid w:val="00497EB4"/>
    <w:rsid w:val="00497F35"/>
    <w:rsid w:val="00497FC4"/>
    <w:rsid w:val="004A0212"/>
    <w:rsid w:val="004A03EB"/>
    <w:rsid w:val="004A0430"/>
    <w:rsid w:val="004A04D5"/>
    <w:rsid w:val="004A0515"/>
    <w:rsid w:val="004A0590"/>
    <w:rsid w:val="004A065E"/>
    <w:rsid w:val="004A0693"/>
    <w:rsid w:val="004A06A4"/>
    <w:rsid w:val="004A0706"/>
    <w:rsid w:val="004A0943"/>
    <w:rsid w:val="004A0D3A"/>
    <w:rsid w:val="004A0F1B"/>
    <w:rsid w:val="004A0FE8"/>
    <w:rsid w:val="004A11BD"/>
    <w:rsid w:val="004A1302"/>
    <w:rsid w:val="004A1336"/>
    <w:rsid w:val="004A1356"/>
    <w:rsid w:val="004A13E3"/>
    <w:rsid w:val="004A1731"/>
    <w:rsid w:val="004A184F"/>
    <w:rsid w:val="004A1933"/>
    <w:rsid w:val="004A195A"/>
    <w:rsid w:val="004A19AD"/>
    <w:rsid w:val="004A19FD"/>
    <w:rsid w:val="004A1AA7"/>
    <w:rsid w:val="004A1B3C"/>
    <w:rsid w:val="004A1B8D"/>
    <w:rsid w:val="004A1BC3"/>
    <w:rsid w:val="004A1C59"/>
    <w:rsid w:val="004A1CF2"/>
    <w:rsid w:val="004A1D07"/>
    <w:rsid w:val="004A1D37"/>
    <w:rsid w:val="004A1E27"/>
    <w:rsid w:val="004A1EB3"/>
    <w:rsid w:val="004A2054"/>
    <w:rsid w:val="004A206A"/>
    <w:rsid w:val="004A20A7"/>
    <w:rsid w:val="004A21E7"/>
    <w:rsid w:val="004A2238"/>
    <w:rsid w:val="004A243E"/>
    <w:rsid w:val="004A24D1"/>
    <w:rsid w:val="004A24DE"/>
    <w:rsid w:val="004A257E"/>
    <w:rsid w:val="004A25B0"/>
    <w:rsid w:val="004A2752"/>
    <w:rsid w:val="004A2884"/>
    <w:rsid w:val="004A29C8"/>
    <w:rsid w:val="004A2B34"/>
    <w:rsid w:val="004A2C2D"/>
    <w:rsid w:val="004A2CD0"/>
    <w:rsid w:val="004A2CF9"/>
    <w:rsid w:val="004A2D33"/>
    <w:rsid w:val="004A2DAA"/>
    <w:rsid w:val="004A2E6D"/>
    <w:rsid w:val="004A3347"/>
    <w:rsid w:val="004A33E2"/>
    <w:rsid w:val="004A36B7"/>
    <w:rsid w:val="004A36EB"/>
    <w:rsid w:val="004A3772"/>
    <w:rsid w:val="004A3841"/>
    <w:rsid w:val="004A3854"/>
    <w:rsid w:val="004A3AF0"/>
    <w:rsid w:val="004A3CB7"/>
    <w:rsid w:val="004A3F95"/>
    <w:rsid w:val="004A3FE9"/>
    <w:rsid w:val="004A407B"/>
    <w:rsid w:val="004A4257"/>
    <w:rsid w:val="004A45D7"/>
    <w:rsid w:val="004A45DA"/>
    <w:rsid w:val="004A47DC"/>
    <w:rsid w:val="004A4855"/>
    <w:rsid w:val="004A4A12"/>
    <w:rsid w:val="004A4A45"/>
    <w:rsid w:val="004A4A86"/>
    <w:rsid w:val="004A4AA4"/>
    <w:rsid w:val="004A4AF1"/>
    <w:rsid w:val="004A4CD7"/>
    <w:rsid w:val="004A4D79"/>
    <w:rsid w:val="004A51A8"/>
    <w:rsid w:val="004A5250"/>
    <w:rsid w:val="004A532D"/>
    <w:rsid w:val="004A5444"/>
    <w:rsid w:val="004A54F9"/>
    <w:rsid w:val="004A5609"/>
    <w:rsid w:val="004A56DE"/>
    <w:rsid w:val="004A56EE"/>
    <w:rsid w:val="004A56F3"/>
    <w:rsid w:val="004A5786"/>
    <w:rsid w:val="004A5DA1"/>
    <w:rsid w:val="004A5DB6"/>
    <w:rsid w:val="004A5DD0"/>
    <w:rsid w:val="004A5E15"/>
    <w:rsid w:val="004A5FED"/>
    <w:rsid w:val="004A6097"/>
    <w:rsid w:val="004A6125"/>
    <w:rsid w:val="004A617C"/>
    <w:rsid w:val="004A621F"/>
    <w:rsid w:val="004A635E"/>
    <w:rsid w:val="004A639C"/>
    <w:rsid w:val="004A6541"/>
    <w:rsid w:val="004A65FD"/>
    <w:rsid w:val="004A6634"/>
    <w:rsid w:val="004A6656"/>
    <w:rsid w:val="004A6681"/>
    <w:rsid w:val="004A66CC"/>
    <w:rsid w:val="004A67EC"/>
    <w:rsid w:val="004A6893"/>
    <w:rsid w:val="004A6902"/>
    <w:rsid w:val="004A695E"/>
    <w:rsid w:val="004A6A70"/>
    <w:rsid w:val="004A6B03"/>
    <w:rsid w:val="004A6B9B"/>
    <w:rsid w:val="004A6CF4"/>
    <w:rsid w:val="004A6D3C"/>
    <w:rsid w:val="004A6E3B"/>
    <w:rsid w:val="004A7007"/>
    <w:rsid w:val="004A704F"/>
    <w:rsid w:val="004A7073"/>
    <w:rsid w:val="004A7175"/>
    <w:rsid w:val="004A7290"/>
    <w:rsid w:val="004A7336"/>
    <w:rsid w:val="004A774D"/>
    <w:rsid w:val="004A775D"/>
    <w:rsid w:val="004A7A1B"/>
    <w:rsid w:val="004A7A4A"/>
    <w:rsid w:val="004A7B7D"/>
    <w:rsid w:val="004A7D6E"/>
    <w:rsid w:val="004A7DE3"/>
    <w:rsid w:val="004A7E5F"/>
    <w:rsid w:val="004A7E9F"/>
    <w:rsid w:val="004A7FD0"/>
    <w:rsid w:val="004B0025"/>
    <w:rsid w:val="004B01B0"/>
    <w:rsid w:val="004B01E1"/>
    <w:rsid w:val="004B0360"/>
    <w:rsid w:val="004B05C8"/>
    <w:rsid w:val="004B0636"/>
    <w:rsid w:val="004B06A8"/>
    <w:rsid w:val="004B07AB"/>
    <w:rsid w:val="004B07EC"/>
    <w:rsid w:val="004B099D"/>
    <w:rsid w:val="004B0A44"/>
    <w:rsid w:val="004B0BDA"/>
    <w:rsid w:val="004B0DA7"/>
    <w:rsid w:val="004B0DAA"/>
    <w:rsid w:val="004B0DB8"/>
    <w:rsid w:val="004B0DC6"/>
    <w:rsid w:val="004B0ECE"/>
    <w:rsid w:val="004B0FED"/>
    <w:rsid w:val="004B110C"/>
    <w:rsid w:val="004B1136"/>
    <w:rsid w:val="004B11DC"/>
    <w:rsid w:val="004B12A5"/>
    <w:rsid w:val="004B14A3"/>
    <w:rsid w:val="004B1606"/>
    <w:rsid w:val="004B162F"/>
    <w:rsid w:val="004B163E"/>
    <w:rsid w:val="004B192B"/>
    <w:rsid w:val="004B194D"/>
    <w:rsid w:val="004B1995"/>
    <w:rsid w:val="004B1A2E"/>
    <w:rsid w:val="004B1BA3"/>
    <w:rsid w:val="004B1C79"/>
    <w:rsid w:val="004B20CD"/>
    <w:rsid w:val="004B223F"/>
    <w:rsid w:val="004B2273"/>
    <w:rsid w:val="004B24B8"/>
    <w:rsid w:val="004B24DD"/>
    <w:rsid w:val="004B264A"/>
    <w:rsid w:val="004B27C9"/>
    <w:rsid w:val="004B27DA"/>
    <w:rsid w:val="004B286A"/>
    <w:rsid w:val="004B2A32"/>
    <w:rsid w:val="004B2B31"/>
    <w:rsid w:val="004B2C25"/>
    <w:rsid w:val="004B2C56"/>
    <w:rsid w:val="004B2DC0"/>
    <w:rsid w:val="004B2E70"/>
    <w:rsid w:val="004B30D5"/>
    <w:rsid w:val="004B3200"/>
    <w:rsid w:val="004B3222"/>
    <w:rsid w:val="004B33EA"/>
    <w:rsid w:val="004B3545"/>
    <w:rsid w:val="004B36C6"/>
    <w:rsid w:val="004B3732"/>
    <w:rsid w:val="004B3773"/>
    <w:rsid w:val="004B3840"/>
    <w:rsid w:val="004B3842"/>
    <w:rsid w:val="004B393A"/>
    <w:rsid w:val="004B3C2E"/>
    <w:rsid w:val="004B3D09"/>
    <w:rsid w:val="004B3D3E"/>
    <w:rsid w:val="004B3DD4"/>
    <w:rsid w:val="004B4020"/>
    <w:rsid w:val="004B4117"/>
    <w:rsid w:val="004B41F4"/>
    <w:rsid w:val="004B422B"/>
    <w:rsid w:val="004B4419"/>
    <w:rsid w:val="004B44CE"/>
    <w:rsid w:val="004B466F"/>
    <w:rsid w:val="004B4678"/>
    <w:rsid w:val="004B46F6"/>
    <w:rsid w:val="004B48A3"/>
    <w:rsid w:val="004B48DD"/>
    <w:rsid w:val="004B490B"/>
    <w:rsid w:val="004B4A4B"/>
    <w:rsid w:val="004B4A53"/>
    <w:rsid w:val="004B4CB6"/>
    <w:rsid w:val="004B4DDF"/>
    <w:rsid w:val="004B4E1C"/>
    <w:rsid w:val="004B4E6F"/>
    <w:rsid w:val="004B4EFD"/>
    <w:rsid w:val="004B5043"/>
    <w:rsid w:val="004B50E7"/>
    <w:rsid w:val="004B50EC"/>
    <w:rsid w:val="004B514B"/>
    <w:rsid w:val="004B5186"/>
    <w:rsid w:val="004B51C8"/>
    <w:rsid w:val="004B523B"/>
    <w:rsid w:val="004B52BA"/>
    <w:rsid w:val="004B53B8"/>
    <w:rsid w:val="004B5481"/>
    <w:rsid w:val="004B5486"/>
    <w:rsid w:val="004B569A"/>
    <w:rsid w:val="004B5737"/>
    <w:rsid w:val="004B575C"/>
    <w:rsid w:val="004B587D"/>
    <w:rsid w:val="004B5924"/>
    <w:rsid w:val="004B592F"/>
    <w:rsid w:val="004B5AAF"/>
    <w:rsid w:val="004B5B4B"/>
    <w:rsid w:val="004B5B56"/>
    <w:rsid w:val="004B5C3B"/>
    <w:rsid w:val="004B5D17"/>
    <w:rsid w:val="004B5DB4"/>
    <w:rsid w:val="004B5E19"/>
    <w:rsid w:val="004B5F5A"/>
    <w:rsid w:val="004B61FB"/>
    <w:rsid w:val="004B6346"/>
    <w:rsid w:val="004B634E"/>
    <w:rsid w:val="004B644A"/>
    <w:rsid w:val="004B6484"/>
    <w:rsid w:val="004B64C4"/>
    <w:rsid w:val="004B6638"/>
    <w:rsid w:val="004B6828"/>
    <w:rsid w:val="004B6AAC"/>
    <w:rsid w:val="004B6B43"/>
    <w:rsid w:val="004B6B93"/>
    <w:rsid w:val="004B6BBA"/>
    <w:rsid w:val="004B6C0B"/>
    <w:rsid w:val="004B6D87"/>
    <w:rsid w:val="004B6F7B"/>
    <w:rsid w:val="004B721B"/>
    <w:rsid w:val="004B7258"/>
    <w:rsid w:val="004B72C9"/>
    <w:rsid w:val="004B7312"/>
    <w:rsid w:val="004B73F9"/>
    <w:rsid w:val="004B7446"/>
    <w:rsid w:val="004B753D"/>
    <w:rsid w:val="004B7613"/>
    <w:rsid w:val="004B7844"/>
    <w:rsid w:val="004B788E"/>
    <w:rsid w:val="004B793E"/>
    <w:rsid w:val="004B7954"/>
    <w:rsid w:val="004B7956"/>
    <w:rsid w:val="004B7981"/>
    <w:rsid w:val="004B7A2D"/>
    <w:rsid w:val="004B7ADA"/>
    <w:rsid w:val="004B7AE7"/>
    <w:rsid w:val="004B7AF6"/>
    <w:rsid w:val="004B7B01"/>
    <w:rsid w:val="004B7B73"/>
    <w:rsid w:val="004B7C12"/>
    <w:rsid w:val="004B7C6D"/>
    <w:rsid w:val="004B7E0D"/>
    <w:rsid w:val="004B7F35"/>
    <w:rsid w:val="004B7FFB"/>
    <w:rsid w:val="004C0067"/>
    <w:rsid w:val="004C023E"/>
    <w:rsid w:val="004C034A"/>
    <w:rsid w:val="004C0486"/>
    <w:rsid w:val="004C05FC"/>
    <w:rsid w:val="004C068F"/>
    <w:rsid w:val="004C0751"/>
    <w:rsid w:val="004C0827"/>
    <w:rsid w:val="004C0888"/>
    <w:rsid w:val="004C0892"/>
    <w:rsid w:val="004C099A"/>
    <w:rsid w:val="004C0AD7"/>
    <w:rsid w:val="004C0C39"/>
    <w:rsid w:val="004C0DF5"/>
    <w:rsid w:val="004C0E06"/>
    <w:rsid w:val="004C1054"/>
    <w:rsid w:val="004C13D2"/>
    <w:rsid w:val="004C14AB"/>
    <w:rsid w:val="004C1516"/>
    <w:rsid w:val="004C160C"/>
    <w:rsid w:val="004C1648"/>
    <w:rsid w:val="004C16B3"/>
    <w:rsid w:val="004C173C"/>
    <w:rsid w:val="004C190B"/>
    <w:rsid w:val="004C19AE"/>
    <w:rsid w:val="004C1A4A"/>
    <w:rsid w:val="004C1BCB"/>
    <w:rsid w:val="004C1C9D"/>
    <w:rsid w:val="004C1CCA"/>
    <w:rsid w:val="004C1CDB"/>
    <w:rsid w:val="004C1E23"/>
    <w:rsid w:val="004C213B"/>
    <w:rsid w:val="004C2152"/>
    <w:rsid w:val="004C2306"/>
    <w:rsid w:val="004C230C"/>
    <w:rsid w:val="004C2552"/>
    <w:rsid w:val="004C258C"/>
    <w:rsid w:val="004C27B3"/>
    <w:rsid w:val="004C290A"/>
    <w:rsid w:val="004C29D0"/>
    <w:rsid w:val="004C2A07"/>
    <w:rsid w:val="004C2A46"/>
    <w:rsid w:val="004C2B8A"/>
    <w:rsid w:val="004C2BCA"/>
    <w:rsid w:val="004C2BF9"/>
    <w:rsid w:val="004C2C98"/>
    <w:rsid w:val="004C2EC6"/>
    <w:rsid w:val="004C2ED2"/>
    <w:rsid w:val="004C3064"/>
    <w:rsid w:val="004C313B"/>
    <w:rsid w:val="004C31B7"/>
    <w:rsid w:val="004C31BF"/>
    <w:rsid w:val="004C32D2"/>
    <w:rsid w:val="004C32FD"/>
    <w:rsid w:val="004C331D"/>
    <w:rsid w:val="004C33E7"/>
    <w:rsid w:val="004C3477"/>
    <w:rsid w:val="004C34AF"/>
    <w:rsid w:val="004C34BE"/>
    <w:rsid w:val="004C3769"/>
    <w:rsid w:val="004C37CC"/>
    <w:rsid w:val="004C3862"/>
    <w:rsid w:val="004C39B9"/>
    <w:rsid w:val="004C39BA"/>
    <w:rsid w:val="004C3A44"/>
    <w:rsid w:val="004C3A60"/>
    <w:rsid w:val="004C3B33"/>
    <w:rsid w:val="004C3CF6"/>
    <w:rsid w:val="004C3D4F"/>
    <w:rsid w:val="004C3DF8"/>
    <w:rsid w:val="004C3F4E"/>
    <w:rsid w:val="004C40EA"/>
    <w:rsid w:val="004C413A"/>
    <w:rsid w:val="004C42DF"/>
    <w:rsid w:val="004C44AF"/>
    <w:rsid w:val="004C45AF"/>
    <w:rsid w:val="004C45FD"/>
    <w:rsid w:val="004C4729"/>
    <w:rsid w:val="004C4835"/>
    <w:rsid w:val="004C48A6"/>
    <w:rsid w:val="004C49B3"/>
    <w:rsid w:val="004C4A41"/>
    <w:rsid w:val="004C4A87"/>
    <w:rsid w:val="004C4B1B"/>
    <w:rsid w:val="004C4C85"/>
    <w:rsid w:val="004C4D68"/>
    <w:rsid w:val="004C4DC9"/>
    <w:rsid w:val="004C51ED"/>
    <w:rsid w:val="004C52DD"/>
    <w:rsid w:val="004C533F"/>
    <w:rsid w:val="004C5364"/>
    <w:rsid w:val="004C5377"/>
    <w:rsid w:val="004C53CE"/>
    <w:rsid w:val="004C5492"/>
    <w:rsid w:val="004C5710"/>
    <w:rsid w:val="004C5786"/>
    <w:rsid w:val="004C57F8"/>
    <w:rsid w:val="004C5948"/>
    <w:rsid w:val="004C5ADC"/>
    <w:rsid w:val="004C5AFA"/>
    <w:rsid w:val="004C5B73"/>
    <w:rsid w:val="004C5B8A"/>
    <w:rsid w:val="004C5E72"/>
    <w:rsid w:val="004C5EF8"/>
    <w:rsid w:val="004C5F7D"/>
    <w:rsid w:val="004C6087"/>
    <w:rsid w:val="004C60CB"/>
    <w:rsid w:val="004C620C"/>
    <w:rsid w:val="004C63E7"/>
    <w:rsid w:val="004C6443"/>
    <w:rsid w:val="004C655F"/>
    <w:rsid w:val="004C65DF"/>
    <w:rsid w:val="004C660A"/>
    <w:rsid w:val="004C671F"/>
    <w:rsid w:val="004C687F"/>
    <w:rsid w:val="004C695A"/>
    <w:rsid w:val="004C6BD3"/>
    <w:rsid w:val="004C6D85"/>
    <w:rsid w:val="004C6FC5"/>
    <w:rsid w:val="004C710D"/>
    <w:rsid w:val="004C71FB"/>
    <w:rsid w:val="004C72B2"/>
    <w:rsid w:val="004C72FC"/>
    <w:rsid w:val="004C7309"/>
    <w:rsid w:val="004C7324"/>
    <w:rsid w:val="004C7353"/>
    <w:rsid w:val="004C745E"/>
    <w:rsid w:val="004C762D"/>
    <w:rsid w:val="004C763A"/>
    <w:rsid w:val="004C76B9"/>
    <w:rsid w:val="004C76C1"/>
    <w:rsid w:val="004C76F8"/>
    <w:rsid w:val="004C78BB"/>
    <w:rsid w:val="004C791B"/>
    <w:rsid w:val="004C79B5"/>
    <w:rsid w:val="004C7AA8"/>
    <w:rsid w:val="004C7B27"/>
    <w:rsid w:val="004C7BCF"/>
    <w:rsid w:val="004C7C08"/>
    <w:rsid w:val="004C7C58"/>
    <w:rsid w:val="004C7C85"/>
    <w:rsid w:val="004C7C9B"/>
    <w:rsid w:val="004C7C9D"/>
    <w:rsid w:val="004C7D6B"/>
    <w:rsid w:val="004C7F5D"/>
    <w:rsid w:val="004D0143"/>
    <w:rsid w:val="004D023E"/>
    <w:rsid w:val="004D02A8"/>
    <w:rsid w:val="004D02B2"/>
    <w:rsid w:val="004D0478"/>
    <w:rsid w:val="004D0547"/>
    <w:rsid w:val="004D05F7"/>
    <w:rsid w:val="004D0684"/>
    <w:rsid w:val="004D0763"/>
    <w:rsid w:val="004D0802"/>
    <w:rsid w:val="004D08A7"/>
    <w:rsid w:val="004D0988"/>
    <w:rsid w:val="004D0BFE"/>
    <w:rsid w:val="004D0C05"/>
    <w:rsid w:val="004D103E"/>
    <w:rsid w:val="004D1130"/>
    <w:rsid w:val="004D1173"/>
    <w:rsid w:val="004D132C"/>
    <w:rsid w:val="004D1428"/>
    <w:rsid w:val="004D1469"/>
    <w:rsid w:val="004D14FF"/>
    <w:rsid w:val="004D1542"/>
    <w:rsid w:val="004D1599"/>
    <w:rsid w:val="004D185D"/>
    <w:rsid w:val="004D1BFD"/>
    <w:rsid w:val="004D1C9E"/>
    <w:rsid w:val="004D204B"/>
    <w:rsid w:val="004D2193"/>
    <w:rsid w:val="004D2251"/>
    <w:rsid w:val="004D225D"/>
    <w:rsid w:val="004D2298"/>
    <w:rsid w:val="004D241D"/>
    <w:rsid w:val="004D2431"/>
    <w:rsid w:val="004D2587"/>
    <w:rsid w:val="004D25F9"/>
    <w:rsid w:val="004D2687"/>
    <w:rsid w:val="004D271E"/>
    <w:rsid w:val="004D28E5"/>
    <w:rsid w:val="004D2922"/>
    <w:rsid w:val="004D29B5"/>
    <w:rsid w:val="004D2A96"/>
    <w:rsid w:val="004D2B95"/>
    <w:rsid w:val="004D2C80"/>
    <w:rsid w:val="004D2CA7"/>
    <w:rsid w:val="004D2CF7"/>
    <w:rsid w:val="004D2E9C"/>
    <w:rsid w:val="004D30FE"/>
    <w:rsid w:val="004D3376"/>
    <w:rsid w:val="004D34FD"/>
    <w:rsid w:val="004D3521"/>
    <w:rsid w:val="004D352C"/>
    <w:rsid w:val="004D3626"/>
    <w:rsid w:val="004D3708"/>
    <w:rsid w:val="004D38E7"/>
    <w:rsid w:val="004D39E6"/>
    <w:rsid w:val="004D3A18"/>
    <w:rsid w:val="004D3A54"/>
    <w:rsid w:val="004D3B48"/>
    <w:rsid w:val="004D3BBF"/>
    <w:rsid w:val="004D3C19"/>
    <w:rsid w:val="004D3CB4"/>
    <w:rsid w:val="004D3CC4"/>
    <w:rsid w:val="004D3E7B"/>
    <w:rsid w:val="004D3FF3"/>
    <w:rsid w:val="004D4032"/>
    <w:rsid w:val="004D417D"/>
    <w:rsid w:val="004D41A2"/>
    <w:rsid w:val="004D43E3"/>
    <w:rsid w:val="004D44A8"/>
    <w:rsid w:val="004D4640"/>
    <w:rsid w:val="004D47B9"/>
    <w:rsid w:val="004D4AE5"/>
    <w:rsid w:val="004D4B47"/>
    <w:rsid w:val="004D4C0A"/>
    <w:rsid w:val="004D4D8D"/>
    <w:rsid w:val="004D4E2F"/>
    <w:rsid w:val="004D4E31"/>
    <w:rsid w:val="004D4EBB"/>
    <w:rsid w:val="004D4EFA"/>
    <w:rsid w:val="004D4F40"/>
    <w:rsid w:val="004D4F80"/>
    <w:rsid w:val="004D4FBC"/>
    <w:rsid w:val="004D50F5"/>
    <w:rsid w:val="004D51DB"/>
    <w:rsid w:val="004D5255"/>
    <w:rsid w:val="004D5472"/>
    <w:rsid w:val="004D5550"/>
    <w:rsid w:val="004D56CE"/>
    <w:rsid w:val="004D5AB4"/>
    <w:rsid w:val="004D5C00"/>
    <w:rsid w:val="004D5C13"/>
    <w:rsid w:val="004D5D0A"/>
    <w:rsid w:val="004D5D7E"/>
    <w:rsid w:val="004D5E3C"/>
    <w:rsid w:val="004D5F1D"/>
    <w:rsid w:val="004D5F97"/>
    <w:rsid w:val="004D608B"/>
    <w:rsid w:val="004D60E0"/>
    <w:rsid w:val="004D62E3"/>
    <w:rsid w:val="004D63D5"/>
    <w:rsid w:val="004D6598"/>
    <w:rsid w:val="004D665A"/>
    <w:rsid w:val="004D6843"/>
    <w:rsid w:val="004D68E2"/>
    <w:rsid w:val="004D6A34"/>
    <w:rsid w:val="004D6A99"/>
    <w:rsid w:val="004D6F87"/>
    <w:rsid w:val="004D7098"/>
    <w:rsid w:val="004D70B4"/>
    <w:rsid w:val="004D71BD"/>
    <w:rsid w:val="004D71BF"/>
    <w:rsid w:val="004D7319"/>
    <w:rsid w:val="004D73C3"/>
    <w:rsid w:val="004D73D3"/>
    <w:rsid w:val="004D7401"/>
    <w:rsid w:val="004D749E"/>
    <w:rsid w:val="004D755D"/>
    <w:rsid w:val="004D75A0"/>
    <w:rsid w:val="004D75B6"/>
    <w:rsid w:val="004D76C0"/>
    <w:rsid w:val="004D7719"/>
    <w:rsid w:val="004D7748"/>
    <w:rsid w:val="004D7B0E"/>
    <w:rsid w:val="004D7BBD"/>
    <w:rsid w:val="004D7D13"/>
    <w:rsid w:val="004D7DB8"/>
    <w:rsid w:val="004D7DEC"/>
    <w:rsid w:val="004D7FCC"/>
    <w:rsid w:val="004E01EE"/>
    <w:rsid w:val="004E03A6"/>
    <w:rsid w:val="004E06A6"/>
    <w:rsid w:val="004E0808"/>
    <w:rsid w:val="004E087B"/>
    <w:rsid w:val="004E0A88"/>
    <w:rsid w:val="004E0AA5"/>
    <w:rsid w:val="004E0C83"/>
    <w:rsid w:val="004E0CED"/>
    <w:rsid w:val="004E0DA6"/>
    <w:rsid w:val="004E0E56"/>
    <w:rsid w:val="004E0E57"/>
    <w:rsid w:val="004E1164"/>
    <w:rsid w:val="004E1168"/>
    <w:rsid w:val="004E1190"/>
    <w:rsid w:val="004E125C"/>
    <w:rsid w:val="004E12F2"/>
    <w:rsid w:val="004E138A"/>
    <w:rsid w:val="004E153E"/>
    <w:rsid w:val="004E15CB"/>
    <w:rsid w:val="004E15FE"/>
    <w:rsid w:val="004E1605"/>
    <w:rsid w:val="004E1620"/>
    <w:rsid w:val="004E17F2"/>
    <w:rsid w:val="004E1960"/>
    <w:rsid w:val="004E1BD8"/>
    <w:rsid w:val="004E1BE9"/>
    <w:rsid w:val="004E1C05"/>
    <w:rsid w:val="004E1DDB"/>
    <w:rsid w:val="004E1EE1"/>
    <w:rsid w:val="004E202E"/>
    <w:rsid w:val="004E2031"/>
    <w:rsid w:val="004E2060"/>
    <w:rsid w:val="004E2098"/>
    <w:rsid w:val="004E20A7"/>
    <w:rsid w:val="004E2225"/>
    <w:rsid w:val="004E2231"/>
    <w:rsid w:val="004E226A"/>
    <w:rsid w:val="004E2272"/>
    <w:rsid w:val="004E2393"/>
    <w:rsid w:val="004E2420"/>
    <w:rsid w:val="004E2691"/>
    <w:rsid w:val="004E26D3"/>
    <w:rsid w:val="004E26E9"/>
    <w:rsid w:val="004E26F9"/>
    <w:rsid w:val="004E2787"/>
    <w:rsid w:val="004E2793"/>
    <w:rsid w:val="004E2850"/>
    <w:rsid w:val="004E296D"/>
    <w:rsid w:val="004E29DB"/>
    <w:rsid w:val="004E2CE3"/>
    <w:rsid w:val="004E2DE2"/>
    <w:rsid w:val="004E2ED8"/>
    <w:rsid w:val="004E2F51"/>
    <w:rsid w:val="004E317D"/>
    <w:rsid w:val="004E3447"/>
    <w:rsid w:val="004E36EE"/>
    <w:rsid w:val="004E37C1"/>
    <w:rsid w:val="004E37DE"/>
    <w:rsid w:val="004E38B9"/>
    <w:rsid w:val="004E38EB"/>
    <w:rsid w:val="004E39EB"/>
    <w:rsid w:val="004E39ED"/>
    <w:rsid w:val="004E3EC5"/>
    <w:rsid w:val="004E3EFC"/>
    <w:rsid w:val="004E3F47"/>
    <w:rsid w:val="004E3F99"/>
    <w:rsid w:val="004E406E"/>
    <w:rsid w:val="004E413B"/>
    <w:rsid w:val="004E4175"/>
    <w:rsid w:val="004E4523"/>
    <w:rsid w:val="004E4544"/>
    <w:rsid w:val="004E4617"/>
    <w:rsid w:val="004E463C"/>
    <w:rsid w:val="004E467C"/>
    <w:rsid w:val="004E469B"/>
    <w:rsid w:val="004E46FF"/>
    <w:rsid w:val="004E472A"/>
    <w:rsid w:val="004E47DD"/>
    <w:rsid w:val="004E48A6"/>
    <w:rsid w:val="004E4947"/>
    <w:rsid w:val="004E4B06"/>
    <w:rsid w:val="004E4B97"/>
    <w:rsid w:val="004E4BB8"/>
    <w:rsid w:val="004E4C01"/>
    <w:rsid w:val="004E4C81"/>
    <w:rsid w:val="004E4DCA"/>
    <w:rsid w:val="004E4DD7"/>
    <w:rsid w:val="004E4E02"/>
    <w:rsid w:val="004E5098"/>
    <w:rsid w:val="004E5267"/>
    <w:rsid w:val="004E52A9"/>
    <w:rsid w:val="004E5341"/>
    <w:rsid w:val="004E5540"/>
    <w:rsid w:val="004E5559"/>
    <w:rsid w:val="004E568C"/>
    <w:rsid w:val="004E570C"/>
    <w:rsid w:val="004E5745"/>
    <w:rsid w:val="004E574B"/>
    <w:rsid w:val="004E5795"/>
    <w:rsid w:val="004E57DF"/>
    <w:rsid w:val="004E5994"/>
    <w:rsid w:val="004E599F"/>
    <w:rsid w:val="004E59C0"/>
    <w:rsid w:val="004E5AA7"/>
    <w:rsid w:val="004E5AF3"/>
    <w:rsid w:val="004E5D06"/>
    <w:rsid w:val="004E5E1A"/>
    <w:rsid w:val="004E5F4F"/>
    <w:rsid w:val="004E5F83"/>
    <w:rsid w:val="004E5FD4"/>
    <w:rsid w:val="004E6241"/>
    <w:rsid w:val="004E632D"/>
    <w:rsid w:val="004E66A8"/>
    <w:rsid w:val="004E66D1"/>
    <w:rsid w:val="004E6741"/>
    <w:rsid w:val="004E6794"/>
    <w:rsid w:val="004E6844"/>
    <w:rsid w:val="004E693F"/>
    <w:rsid w:val="004E6945"/>
    <w:rsid w:val="004E696D"/>
    <w:rsid w:val="004E6C6A"/>
    <w:rsid w:val="004E6CC9"/>
    <w:rsid w:val="004E6D13"/>
    <w:rsid w:val="004E6D2B"/>
    <w:rsid w:val="004E6DB6"/>
    <w:rsid w:val="004E6DDC"/>
    <w:rsid w:val="004E7360"/>
    <w:rsid w:val="004E73B1"/>
    <w:rsid w:val="004E749C"/>
    <w:rsid w:val="004E74D2"/>
    <w:rsid w:val="004E7852"/>
    <w:rsid w:val="004E78FB"/>
    <w:rsid w:val="004E7902"/>
    <w:rsid w:val="004E79C6"/>
    <w:rsid w:val="004E7AC8"/>
    <w:rsid w:val="004E7B58"/>
    <w:rsid w:val="004E7C1B"/>
    <w:rsid w:val="004E7C59"/>
    <w:rsid w:val="004E7C94"/>
    <w:rsid w:val="004E7E36"/>
    <w:rsid w:val="004E7F0E"/>
    <w:rsid w:val="004F00C6"/>
    <w:rsid w:val="004F01DD"/>
    <w:rsid w:val="004F059F"/>
    <w:rsid w:val="004F05BB"/>
    <w:rsid w:val="004F0797"/>
    <w:rsid w:val="004F07F8"/>
    <w:rsid w:val="004F0AC2"/>
    <w:rsid w:val="004F0AD4"/>
    <w:rsid w:val="004F0AFE"/>
    <w:rsid w:val="004F0C77"/>
    <w:rsid w:val="004F0EA2"/>
    <w:rsid w:val="004F0F0E"/>
    <w:rsid w:val="004F0F72"/>
    <w:rsid w:val="004F0FD0"/>
    <w:rsid w:val="004F10BC"/>
    <w:rsid w:val="004F11E1"/>
    <w:rsid w:val="004F140F"/>
    <w:rsid w:val="004F142B"/>
    <w:rsid w:val="004F1438"/>
    <w:rsid w:val="004F1442"/>
    <w:rsid w:val="004F15FD"/>
    <w:rsid w:val="004F170E"/>
    <w:rsid w:val="004F1718"/>
    <w:rsid w:val="004F176A"/>
    <w:rsid w:val="004F18ED"/>
    <w:rsid w:val="004F1AD4"/>
    <w:rsid w:val="004F1B80"/>
    <w:rsid w:val="004F1B86"/>
    <w:rsid w:val="004F1F5B"/>
    <w:rsid w:val="004F1F73"/>
    <w:rsid w:val="004F2027"/>
    <w:rsid w:val="004F2437"/>
    <w:rsid w:val="004F25A1"/>
    <w:rsid w:val="004F27D3"/>
    <w:rsid w:val="004F27EA"/>
    <w:rsid w:val="004F2825"/>
    <w:rsid w:val="004F2843"/>
    <w:rsid w:val="004F28EF"/>
    <w:rsid w:val="004F2902"/>
    <w:rsid w:val="004F2A19"/>
    <w:rsid w:val="004F2AB3"/>
    <w:rsid w:val="004F2C39"/>
    <w:rsid w:val="004F2E24"/>
    <w:rsid w:val="004F333C"/>
    <w:rsid w:val="004F359D"/>
    <w:rsid w:val="004F3804"/>
    <w:rsid w:val="004F3832"/>
    <w:rsid w:val="004F3879"/>
    <w:rsid w:val="004F38F8"/>
    <w:rsid w:val="004F3925"/>
    <w:rsid w:val="004F3A8E"/>
    <w:rsid w:val="004F3B9B"/>
    <w:rsid w:val="004F3CBD"/>
    <w:rsid w:val="004F3D87"/>
    <w:rsid w:val="004F3FBE"/>
    <w:rsid w:val="004F40B9"/>
    <w:rsid w:val="004F41C7"/>
    <w:rsid w:val="004F44C6"/>
    <w:rsid w:val="004F44E5"/>
    <w:rsid w:val="004F44F2"/>
    <w:rsid w:val="004F45A6"/>
    <w:rsid w:val="004F4760"/>
    <w:rsid w:val="004F4764"/>
    <w:rsid w:val="004F4769"/>
    <w:rsid w:val="004F4839"/>
    <w:rsid w:val="004F483F"/>
    <w:rsid w:val="004F49C0"/>
    <w:rsid w:val="004F4ACE"/>
    <w:rsid w:val="004F4B29"/>
    <w:rsid w:val="004F4BA9"/>
    <w:rsid w:val="004F4CC2"/>
    <w:rsid w:val="004F4EAF"/>
    <w:rsid w:val="004F4FF0"/>
    <w:rsid w:val="004F5106"/>
    <w:rsid w:val="004F51B7"/>
    <w:rsid w:val="004F521D"/>
    <w:rsid w:val="004F5225"/>
    <w:rsid w:val="004F52AC"/>
    <w:rsid w:val="004F53CC"/>
    <w:rsid w:val="004F53FD"/>
    <w:rsid w:val="004F543C"/>
    <w:rsid w:val="004F557C"/>
    <w:rsid w:val="004F561C"/>
    <w:rsid w:val="004F5650"/>
    <w:rsid w:val="004F566C"/>
    <w:rsid w:val="004F56D0"/>
    <w:rsid w:val="004F57C8"/>
    <w:rsid w:val="004F5911"/>
    <w:rsid w:val="004F5A1C"/>
    <w:rsid w:val="004F5B5B"/>
    <w:rsid w:val="004F5BE0"/>
    <w:rsid w:val="004F5BE5"/>
    <w:rsid w:val="004F5D47"/>
    <w:rsid w:val="004F5F7D"/>
    <w:rsid w:val="004F6016"/>
    <w:rsid w:val="004F626F"/>
    <w:rsid w:val="004F6332"/>
    <w:rsid w:val="004F6442"/>
    <w:rsid w:val="004F6765"/>
    <w:rsid w:val="004F6804"/>
    <w:rsid w:val="004F68CE"/>
    <w:rsid w:val="004F693F"/>
    <w:rsid w:val="004F6A99"/>
    <w:rsid w:val="004F6AA1"/>
    <w:rsid w:val="004F6B34"/>
    <w:rsid w:val="004F6B7A"/>
    <w:rsid w:val="004F7011"/>
    <w:rsid w:val="004F70C4"/>
    <w:rsid w:val="004F7164"/>
    <w:rsid w:val="004F71EF"/>
    <w:rsid w:val="004F7249"/>
    <w:rsid w:val="004F7273"/>
    <w:rsid w:val="004F728F"/>
    <w:rsid w:val="004F7540"/>
    <w:rsid w:val="004F755C"/>
    <w:rsid w:val="004F76EA"/>
    <w:rsid w:val="004F79C1"/>
    <w:rsid w:val="004F7A6B"/>
    <w:rsid w:val="004F7AB5"/>
    <w:rsid w:val="004F7AF9"/>
    <w:rsid w:val="004F7BCF"/>
    <w:rsid w:val="004F7CD6"/>
    <w:rsid w:val="004F7CE9"/>
    <w:rsid w:val="004F7E8B"/>
    <w:rsid w:val="004F7EE5"/>
    <w:rsid w:val="0050004D"/>
    <w:rsid w:val="0050005E"/>
    <w:rsid w:val="0050008E"/>
    <w:rsid w:val="005000E4"/>
    <w:rsid w:val="00500430"/>
    <w:rsid w:val="00500476"/>
    <w:rsid w:val="005005F3"/>
    <w:rsid w:val="00500848"/>
    <w:rsid w:val="0050085C"/>
    <w:rsid w:val="005008BE"/>
    <w:rsid w:val="005009B5"/>
    <w:rsid w:val="00500A39"/>
    <w:rsid w:val="00500AE8"/>
    <w:rsid w:val="00500D4F"/>
    <w:rsid w:val="00500E7E"/>
    <w:rsid w:val="00500FEA"/>
    <w:rsid w:val="005010C7"/>
    <w:rsid w:val="00501131"/>
    <w:rsid w:val="00501194"/>
    <w:rsid w:val="00501195"/>
    <w:rsid w:val="005013AA"/>
    <w:rsid w:val="005013F1"/>
    <w:rsid w:val="0050143A"/>
    <w:rsid w:val="005015A4"/>
    <w:rsid w:val="0050173E"/>
    <w:rsid w:val="005017DD"/>
    <w:rsid w:val="0050183A"/>
    <w:rsid w:val="0050196A"/>
    <w:rsid w:val="005019EF"/>
    <w:rsid w:val="00501BF6"/>
    <w:rsid w:val="00501CB6"/>
    <w:rsid w:val="00501EC4"/>
    <w:rsid w:val="005020DE"/>
    <w:rsid w:val="0050218E"/>
    <w:rsid w:val="005022B2"/>
    <w:rsid w:val="005023B0"/>
    <w:rsid w:val="005023B5"/>
    <w:rsid w:val="0050269A"/>
    <w:rsid w:val="00502702"/>
    <w:rsid w:val="005027D3"/>
    <w:rsid w:val="005027E4"/>
    <w:rsid w:val="005027E7"/>
    <w:rsid w:val="00502838"/>
    <w:rsid w:val="0050289E"/>
    <w:rsid w:val="00502BC3"/>
    <w:rsid w:val="00502D3B"/>
    <w:rsid w:val="00502E20"/>
    <w:rsid w:val="00502E7B"/>
    <w:rsid w:val="0050306B"/>
    <w:rsid w:val="00503070"/>
    <w:rsid w:val="00503083"/>
    <w:rsid w:val="005031EA"/>
    <w:rsid w:val="00503222"/>
    <w:rsid w:val="0050331A"/>
    <w:rsid w:val="005033F9"/>
    <w:rsid w:val="0050341B"/>
    <w:rsid w:val="005034DF"/>
    <w:rsid w:val="005035B8"/>
    <w:rsid w:val="0050361C"/>
    <w:rsid w:val="00503656"/>
    <w:rsid w:val="00503728"/>
    <w:rsid w:val="00503733"/>
    <w:rsid w:val="005038AC"/>
    <w:rsid w:val="00503900"/>
    <w:rsid w:val="0050395F"/>
    <w:rsid w:val="005039A0"/>
    <w:rsid w:val="00503B8D"/>
    <w:rsid w:val="00503BD7"/>
    <w:rsid w:val="00503BF5"/>
    <w:rsid w:val="00503C6B"/>
    <w:rsid w:val="00503CCF"/>
    <w:rsid w:val="00503F8D"/>
    <w:rsid w:val="00503FB3"/>
    <w:rsid w:val="00503FF6"/>
    <w:rsid w:val="005040A0"/>
    <w:rsid w:val="0050413F"/>
    <w:rsid w:val="005041BD"/>
    <w:rsid w:val="0050428A"/>
    <w:rsid w:val="00504331"/>
    <w:rsid w:val="0050458A"/>
    <w:rsid w:val="005045DC"/>
    <w:rsid w:val="005048E5"/>
    <w:rsid w:val="005049EA"/>
    <w:rsid w:val="00504A4E"/>
    <w:rsid w:val="00504ABD"/>
    <w:rsid w:val="00504B84"/>
    <w:rsid w:val="00504B8E"/>
    <w:rsid w:val="00504C11"/>
    <w:rsid w:val="00504CDC"/>
    <w:rsid w:val="00504D09"/>
    <w:rsid w:val="00504E60"/>
    <w:rsid w:val="00504FEB"/>
    <w:rsid w:val="005050B4"/>
    <w:rsid w:val="005051F4"/>
    <w:rsid w:val="0050526C"/>
    <w:rsid w:val="00505312"/>
    <w:rsid w:val="0050547D"/>
    <w:rsid w:val="00505775"/>
    <w:rsid w:val="00505781"/>
    <w:rsid w:val="005058B4"/>
    <w:rsid w:val="0050593D"/>
    <w:rsid w:val="00505B5A"/>
    <w:rsid w:val="00505B74"/>
    <w:rsid w:val="00505B95"/>
    <w:rsid w:val="00505CEF"/>
    <w:rsid w:val="00505D39"/>
    <w:rsid w:val="00505E89"/>
    <w:rsid w:val="00505F75"/>
    <w:rsid w:val="00505FB8"/>
    <w:rsid w:val="00505FF7"/>
    <w:rsid w:val="0050601B"/>
    <w:rsid w:val="0050644A"/>
    <w:rsid w:val="0050669C"/>
    <w:rsid w:val="005066F4"/>
    <w:rsid w:val="005069CA"/>
    <w:rsid w:val="005069CC"/>
    <w:rsid w:val="00506ACD"/>
    <w:rsid w:val="00506B7C"/>
    <w:rsid w:val="00506B9A"/>
    <w:rsid w:val="00506C16"/>
    <w:rsid w:val="00506C80"/>
    <w:rsid w:val="00506CB9"/>
    <w:rsid w:val="00506EE0"/>
    <w:rsid w:val="00506F82"/>
    <w:rsid w:val="00506FD4"/>
    <w:rsid w:val="00506FEA"/>
    <w:rsid w:val="00507273"/>
    <w:rsid w:val="005072C0"/>
    <w:rsid w:val="005072DE"/>
    <w:rsid w:val="00507517"/>
    <w:rsid w:val="005079E5"/>
    <w:rsid w:val="00507A29"/>
    <w:rsid w:val="00507A87"/>
    <w:rsid w:val="00507AB7"/>
    <w:rsid w:val="00507B60"/>
    <w:rsid w:val="00507D37"/>
    <w:rsid w:val="00507DFD"/>
    <w:rsid w:val="00507E6E"/>
    <w:rsid w:val="005100D3"/>
    <w:rsid w:val="0051034B"/>
    <w:rsid w:val="00510485"/>
    <w:rsid w:val="00510522"/>
    <w:rsid w:val="0051052D"/>
    <w:rsid w:val="0051059C"/>
    <w:rsid w:val="0051094D"/>
    <w:rsid w:val="00510AE7"/>
    <w:rsid w:val="00510B05"/>
    <w:rsid w:val="00510B0C"/>
    <w:rsid w:val="00510BF7"/>
    <w:rsid w:val="00510C63"/>
    <w:rsid w:val="00510CE4"/>
    <w:rsid w:val="00510EAA"/>
    <w:rsid w:val="00510FB4"/>
    <w:rsid w:val="005111C2"/>
    <w:rsid w:val="0051121F"/>
    <w:rsid w:val="00511247"/>
    <w:rsid w:val="005112A3"/>
    <w:rsid w:val="005112AE"/>
    <w:rsid w:val="005112D7"/>
    <w:rsid w:val="0051142D"/>
    <w:rsid w:val="0051145E"/>
    <w:rsid w:val="00511520"/>
    <w:rsid w:val="005115A0"/>
    <w:rsid w:val="00511794"/>
    <w:rsid w:val="00511883"/>
    <w:rsid w:val="00511901"/>
    <w:rsid w:val="00511A83"/>
    <w:rsid w:val="00511B28"/>
    <w:rsid w:val="00511C35"/>
    <w:rsid w:val="00511CE1"/>
    <w:rsid w:val="00511D7C"/>
    <w:rsid w:val="00511F0C"/>
    <w:rsid w:val="00511F41"/>
    <w:rsid w:val="005120B0"/>
    <w:rsid w:val="00512120"/>
    <w:rsid w:val="005123F4"/>
    <w:rsid w:val="00512458"/>
    <w:rsid w:val="005125D8"/>
    <w:rsid w:val="005125FF"/>
    <w:rsid w:val="0051277B"/>
    <w:rsid w:val="00512881"/>
    <w:rsid w:val="005128AD"/>
    <w:rsid w:val="005128BA"/>
    <w:rsid w:val="005128CE"/>
    <w:rsid w:val="0051298A"/>
    <w:rsid w:val="00512BE4"/>
    <w:rsid w:val="00512BEA"/>
    <w:rsid w:val="00512BFB"/>
    <w:rsid w:val="00512C12"/>
    <w:rsid w:val="00512C82"/>
    <w:rsid w:val="00512D5C"/>
    <w:rsid w:val="00512D6E"/>
    <w:rsid w:val="00512DA4"/>
    <w:rsid w:val="00512FBE"/>
    <w:rsid w:val="00512FD0"/>
    <w:rsid w:val="005131CD"/>
    <w:rsid w:val="005131D3"/>
    <w:rsid w:val="00513445"/>
    <w:rsid w:val="0051358A"/>
    <w:rsid w:val="005135FA"/>
    <w:rsid w:val="0051362D"/>
    <w:rsid w:val="005136C2"/>
    <w:rsid w:val="00513702"/>
    <w:rsid w:val="005138C0"/>
    <w:rsid w:val="00513920"/>
    <w:rsid w:val="0051398E"/>
    <w:rsid w:val="00513992"/>
    <w:rsid w:val="00513A6F"/>
    <w:rsid w:val="00513AAD"/>
    <w:rsid w:val="00513C2A"/>
    <w:rsid w:val="00513E54"/>
    <w:rsid w:val="00513F26"/>
    <w:rsid w:val="00514176"/>
    <w:rsid w:val="00514257"/>
    <w:rsid w:val="00514351"/>
    <w:rsid w:val="0051439C"/>
    <w:rsid w:val="005143F4"/>
    <w:rsid w:val="00514454"/>
    <w:rsid w:val="005144A5"/>
    <w:rsid w:val="005144F0"/>
    <w:rsid w:val="005145C1"/>
    <w:rsid w:val="0051467A"/>
    <w:rsid w:val="00514A1E"/>
    <w:rsid w:val="00514BFD"/>
    <w:rsid w:val="00514C59"/>
    <w:rsid w:val="00514D3B"/>
    <w:rsid w:val="00514D7E"/>
    <w:rsid w:val="00514DD7"/>
    <w:rsid w:val="00514DEF"/>
    <w:rsid w:val="00514ED9"/>
    <w:rsid w:val="00514F2F"/>
    <w:rsid w:val="00515022"/>
    <w:rsid w:val="0051508B"/>
    <w:rsid w:val="005150DE"/>
    <w:rsid w:val="005150F8"/>
    <w:rsid w:val="005152C4"/>
    <w:rsid w:val="00515354"/>
    <w:rsid w:val="00515438"/>
    <w:rsid w:val="00515515"/>
    <w:rsid w:val="0051554E"/>
    <w:rsid w:val="00515641"/>
    <w:rsid w:val="00515757"/>
    <w:rsid w:val="00515762"/>
    <w:rsid w:val="00515766"/>
    <w:rsid w:val="00515A5B"/>
    <w:rsid w:val="00515C91"/>
    <w:rsid w:val="0051600F"/>
    <w:rsid w:val="005160E6"/>
    <w:rsid w:val="0051611B"/>
    <w:rsid w:val="005163B6"/>
    <w:rsid w:val="00516435"/>
    <w:rsid w:val="005164C7"/>
    <w:rsid w:val="0051664F"/>
    <w:rsid w:val="00516692"/>
    <w:rsid w:val="005166BD"/>
    <w:rsid w:val="00516771"/>
    <w:rsid w:val="00516788"/>
    <w:rsid w:val="005169E2"/>
    <w:rsid w:val="00516A02"/>
    <w:rsid w:val="00516A2E"/>
    <w:rsid w:val="00516C5C"/>
    <w:rsid w:val="00516E58"/>
    <w:rsid w:val="00516F96"/>
    <w:rsid w:val="00516FB4"/>
    <w:rsid w:val="00516FE3"/>
    <w:rsid w:val="0051707D"/>
    <w:rsid w:val="0051714E"/>
    <w:rsid w:val="005171B5"/>
    <w:rsid w:val="00517266"/>
    <w:rsid w:val="00517598"/>
    <w:rsid w:val="00517787"/>
    <w:rsid w:val="005177E0"/>
    <w:rsid w:val="005178D6"/>
    <w:rsid w:val="005178FC"/>
    <w:rsid w:val="00517A76"/>
    <w:rsid w:val="00517B29"/>
    <w:rsid w:val="00517B33"/>
    <w:rsid w:val="00517C0F"/>
    <w:rsid w:val="00517DAD"/>
    <w:rsid w:val="00517E69"/>
    <w:rsid w:val="00517F88"/>
    <w:rsid w:val="00517FAB"/>
    <w:rsid w:val="00517FB7"/>
    <w:rsid w:val="00520095"/>
    <w:rsid w:val="005200AA"/>
    <w:rsid w:val="005200B4"/>
    <w:rsid w:val="00520108"/>
    <w:rsid w:val="00520155"/>
    <w:rsid w:val="00520172"/>
    <w:rsid w:val="00520322"/>
    <w:rsid w:val="005204FD"/>
    <w:rsid w:val="00520555"/>
    <w:rsid w:val="0052094A"/>
    <w:rsid w:val="00520958"/>
    <w:rsid w:val="00520969"/>
    <w:rsid w:val="005209BF"/>
    <w:rsid w:val="00520B3D"/>
    <w:rsid w:val="00520B78"/>
    <w:rsid w:val="00520BCA"/>
    <w:rsid w:val="00520C5B"/>
    <w:rsid w:val="00520E4B"/>
    <w:rsid w:val="00520E58"/>
    <w:rsid w:val="00521001"/>
    <w:rsid w:val="005210D0"/>
    <w:rsid w:val="0052111B"/>
    <w:rsid w:val="00521159"/>
    <w:rsid w:val="005212F7"/>
    <w:rsid w:val="005214C5"/>
    <w:rsid w:val="0052151F"/>
    <w:rsid w:val="00521586"/>
    <w:rsid w:val="005215FF"/>
    <w:rsid w:val="00521852"/>
    <w:rsid w:val="00521973"/>
    <w:rsid w:val="00521B67"/>
    <w:rsid w:val="00521C79"/>
    <w:rsid w:val="00521CD5"/>
    <w:rsid w:val="00521D1A"/>
    <w:rsid w:val="00521DCF"/>
    <w:rsid w:val="00521E62"/>
    <w:rsid w:val="00521E79"/>
    <w:rsid w:val="00522109"/>
    <w:rsid w:val="005222F8"/>
    <w:rsid w:val="005224E5"/>
    <w:rsid w:val="0052250B"/>
    <w:rsid w:val="0052252E"/>
    <w:rsid w:val="005228AD"/>
    <w:rsid w:val="00522949"/>
    <w:rsid w:val="00522A37"/>
    <w:rsid w:val="00522B93"/>
    <w:rsid w:val="00522C26"/>
    <w:rsid w:val="00522CDC"/>
    <w:rsid w:val="0052317F"/>
    <w:rsid w:val="0052323E"/>
    <w:rsid w:val="005233E7"/>
    <w:rsid w:val="00523417"/>
    <w:rsid w:val="00523421"/>
    <w:rsid w:val="00523475"/>
    <w:rsid w:val="00523514"/>
    <w:rsid w:val="00523566"/>
    <w:rsid w:val="0052368F"/>
    <w:rsid w:val="0052373D"/>
    <w:rsid w:val="00523779"/>
    <w:rsid w:val="00523ACE"/>
    <w:rsid w:val="00523B2E"/>
    <w:rsid w:val="00523BF3"/>
    <w:rsid w:val="00523C0C"/>
    <w:rsid w:val="00523D26"/>
    <w:rsid w:val="00523DB2"/>
    <w:rsid w:val="00523DF3"/>
    <w:rsid w:val="00523EFA"/>
    <w:rsid w:val="00523F25"/>
    <w:rsid w:val="00523FD7"/>
    <w:rsid w:val="00524083"/>
    <w:rsid w:val="005242F2"/>
    <w:rsid w:val="005247CD"/>
    <w:rsid w:val="00524854"/>
    <w:rsid w:val="0052485C"/>
    <w:rsid w:val="005248BB"/>
    <w:rsid w:val="005248EC"/>
    <w:rsid w:val="0052493B"/>
    <w:rsid w:val="0052496D"/>
    <w:rsid w:val="005249D7"/>
    <w:rsid w:val="00524CE3"/>
    <w:rsid w:val="00524D38"/>
    <w:rsid w:val="00524E67"/>
    <w:rsid w:val="00524E9D"/>
    <w:rsid w:val="00524EDE"/>
    <w:rsid w:val="00524F96"/>
    <w:rsid w:val="00524FE1"/>
    <w:rsid w:val="00524FE6"/>
    <w:rsid w:val="005250C7"/>
    <w:rsid w:val="00525236"/>
    <w:rsid w:val="005253CF"/>
    <w:rsid w:val="005253F6"/>
    <w:rsid w:val="005254BE"/>
    <w:rsid w:val="00525800"/>
    <w:rsid w:val="00525859"/>
    <w:rsid w:val="00525917"/>
    <w:rsid w:val="00525981"/>
    <w:rsid w:val="00525999"/>
    <w:rsid w:val="005259F7"/>
    <w:rsid w:val="00525AD8"/>
    <w:rsid w:val="00525B9A"/>
    <w:rsid w:val="00525C3D"/>
    <w:rsid w:val="00525E59"/>
    <w:rsid w:val="00525E86"/>
    <w:rsid w:val="00525EA9"/>
    <w:rsid w:val="00525F1D"/>
    <w:rsid w:val="00525FFA"/>
    <w:rsid w:val="00526180"/>
    <w:rsid w:val="0052621E"/>
    <w:rsid w:val="00526310"/>
    <w:rsid w:val="00526603"/>
    <w:rsid w:val="00526613"/>
    <w:rsid w:val="00526619"/>
    <w:rsid w:val="005267B8"/>
    <w:rsid w:val="00526918"/>
    <w:rsid w:val="00526B10"/>
    <w:rsid w:val="00526C02"/>
    <w:rsid w:val="00526D34"/>
    <w:rsid w:val="00526DFA"/>
    <w:rsid w:val="00526FD4"/>
    <w:rsid w:val="00526FF7"/>
    <w:rsid w:val="00527060"/>
    <w:rsid w:val="00527083"/>
    <w:rsid w:val="00527243"/>
    <w:rsid w:val="0052738C"/>
    <w:rsid w:val="005274F4"/>
    <w:rsid w:val="00527754"/>
    <w:rsid w:val="005278C3"/>
    <w:rsid w:val="00527C6D"/>
    <w:rsid w:val="00527DA1"/>
    <w:rsid w:val="00527E1E"/>
    <w:rsid w:val="00527EA1"/>
    <w:rsid w:val="00527F41"/>
    <w:rsid w:val="005300DB"/>
    <w:rsid w:val="005300FF"/>
    <w:rsid w:val="0053031F"/>
    <w:rsid w:val="00530420"/>
    <w:rsid w:val="00530529"/>
    <w:rsid w:val="0053057D"/>
    <w:rsid w:val="0053057E"/>
    <w:rsid w:val="00530640"/>
    <w:rsid w:val="005306C4"/>
    <w:rsid w:val="00530932"/>
    <w:rsid w:val="005309D9"/>
    <w:rsid w:val="00530A25"/>
    <w:rsid w:val="00530DCF"/>
    <w:rsid w:val="00530E90"/>
    <w:rsid w:val="00530EAD"/>
    <w:rsid w:val="00530EE4"/>
    <w:rsid w:val="00530F8A"/>
    <w:rsid w:val="005312E8"/>
    <w:rsid w:val="005312F2"/>
    <w:rsid w:val="005312F4"/>
    <w:rsid w:val="0053142B"/>
    <w:rsid w:val="005315B9"/>
    <w:rsid w:val="00531615"/>
    <w:rsid w:val="0053171C"/>
    <w:rsid w:val="005317BD"/>
    <w:rsid w:val="005317EE"/>
    <w:rsid w:val="00531867"/>
    <w:rsid w:val="00531951"/>
    <w:rsid w:val="00531A41"/>
    <w:rsid w:val="00531AEA"/>
    <w:rsid w:val="00531B0A"/>
    <w:rsid w:val="00531CEB"/>
    <w:rsid w:val="00531E33"/>
    <w:rsid w:val="00531ECA"/>
    <w:rsid w:val="0053210F"/>
    <w:rsid w:val="00532261"/>
    <w:rsid w:val="005323E3"/>
    <w:rsid w:val="00532436"/>
    <w:rsid w:val="00532479"/>
    <w:rsid w:val="0053247D"/>
    <w:rsid w:val="005324BC"/>
    <w:rsid w:val="00532516"/>
    <w:rsid w:val="005326C0"/>
    <w:rsid w:val="005329C0"/>
    <w:rsid w:val="00532A17"/>
    <w:rsid w:val="00532F2C"/>
    <w:rsid w:val="00532FD8"/>
    <w:rsid w:val="0053319F"/>
    <w:rsid w:val="00533287"/>
    <w:rsid w:val="00533295"/>
    <w:rsid w:val="0053338C"/>
    <w:rsid w:val="00533444"/>
    <w:rsid w:val="00533485"/>
    <w:rsid w:val="005334F4"/>
    <w:rsid w:val="00533557"/>
    <w:rsid w:val="00533604"/>
    <w:rsid w:val="0053375A"/>
    <w:rsid w:val="00533782"/>
    <w:rsid w:val="005337DB"/>
    <w:rsid w:val="00533897"/>
    <w:rsid w:val="005339EB"/>
    <w:rsid w:val="00533A95"/>
    <w:rsid w:val="00533AD7"/>
    <w:rsid w:val="00533B26"/>
    <w:rsid w:val="00533C65"/>
    <w:rsid w:val="00533CF0"/>
    <w:rsid w:val="00533CFE"/>
    <w:rsid w:val="00533DA2"/>
    <w:rsid w:val="00533E24"/>
    <w:rsid w:val="00533EAB"/>
    <w:rsid w:val="00533F9C"/>
    <w:rsid w:val="00533FD6"/>
    <w:rsid w:val="00534106"/>
    <w:rsid w:val="0053413B"/>
    <w:rsid w:val="005342CC"/>
    <w:rsid w:val="005342EB"/>
    <w:rsid w:val="00534558"/>
    <w:rsid w:val="00534701"/>
    <w:rsid w:val="005347C6"/>
    <w:rsid w:val="005347F2"/>
    <w:rsid w:val="00534937"/>
    <w:rsid w:val="0053494E"/>
    <w:rsid w:val="00534AFD"/>
    <w:rsid w:val="00534B06"/>
    <w:rsid w:val="00534B3C"/>
    <w:rsid w:val="00534BDB"/>
    <w:rsid w:val="00534C44"/>
    <w:rsid w:val="00534D89"/>
    <w:rsid w:val="00534DEC"/>
    <w:rsid w:val="00534E5A"/>
    <w:rsid w:val="00534E7C"/>
    <w:rsid w:val="00534F53"/>
    <w:rsid w:val="00534F5D"/>
    <w:rsid w:val="00534FE2"/>
    <w:rsid w:val="005351E1"/>
    <w:rsid w:val="0053533A"/>
    <w:rsid w:val="005355F5"/>
    <w:rsid w:val="00535659"/>
    <w:rsid w:val="00535693"/>
    <w:rsid w:val="00535765"/>
    <w:rsid w:val="00535770"/>
    <w:rsid w:val="00535851"/>
    <w:rsid w:val="0053589B"/>
    <w:rsid w:val="00535A13"/>
    <w:rsid w:val="00535AC4"/>
    <w:rsid w:val="00535B45"/>
    <w:rsid w:val="00535C1E"/>
    <w:rsid w:val="00535C4D"/>
    <w:rsid w:val="00535D6B"/>
    <w:rsid w:val="00535D71"/>
    <w:rsid w:val="00535E07"/>
    <w:rsid w:val="00535F51"/>
    <w:rsid w:val="00535F65"/>
    <w:rsid w:val="00535FD3"/>
    <w:rsid w:val="00535FF4"/>
    <w:rsid w:val="00536007"/>
    <w:rsid w:val="00536086"/>
    <w:rsid w:val="005360CE"/>
    <w:rsid w:val="005360FD"/>
    <w:rsid w:val="005362FC"/>
    <w:rsid w:val="0053637F"/>
    <w:rsid w:val="00536711"/>
    <w:rsid w:val="00536763"/>
    <w:rsid w:val="00536780"/>
    <w:rsid w:val="00536894"/>
    <w:rsid w:val="005369C2"/>
    <w:rsid w:val="005369C8"/>
    <w:rsid w:val="005369CE"/>
    <w:rsid w:val="00536BE9"/>
    <w:rsid w:val="00536C3A"/>
    <w:rsid w:val="00536CA6"/>
    <w:rsid w:val="00536D90"/>
    <w:rsid w:val="00536DB1"/>
    <w:rsid w:val="00536DB8"/>
    <w:rsid w:val="00536E2D"/>
    <w:rsid w:val="00536FAE"/>
    <w:rsid w:val="00537068"/>
    <w:rsid w:val="005371CA"/>
    <w:rsid w:val="005371E7"/>
    <w:rsid w:val="0053727C"/>
    <w:rsid w:val="00537286"/>
    <w:rsid w:val="005372EC"/>
    <w:rsid w:val="005372F6"/>
    <w:rsid w:val="005373E4"/>
    <w:rsid w:val="0053750C"/>
    <w:rsid w:val="0053776C"/>
    <w:rsid w:val="005377DC"/>
    <w:rsid w:val="00537804"/>
    <w:rsid w:val="0053791C"/>
    <w:rsid w:val="00537992"/>
    <w:rsid w:val="005379E6"/>
    <w:rsid w:val="00537A6C"/>
    <w:rsid w:val="00537C56"/>
    <w:rsid w:val="00537C8C"/>
    <w:rsid w:val="00537D2D"/>
    <w:rsid w:val="00537D37"/>
    <w:rsid w:val="00537E69"/>
    <w:rsid w:val="00537F78"/>
    <w:rsid w:val="00537FAB"/>
    <w:rsid w:val="00540014"/>
    <w:rsid w:val="0054002D"/>
    <w:rsid w:val="00540168"/>
    <w:rsid w:val="005401D3"/>
    <w:rsid w:val="00540212"/>
    <w:rsid w:val="0054025A"/>
    <w:rsid w:val="005404C3"/>
    <w:rsid w:val="00540544"/>
    <w:rsid w:val="005407F1"/>
    <w:rsid w:val="00540931"/>
    <w:rsid w:val="00540BD4"/>
    <w:rsid w:val="00540C1D"/>
    <w:rsid w:val="00540CA6"/>
    <w:rsid w:val="00540D1C"/>
    <w:rsid w:val="00540E77"/>
    <w:rsid w:val="00540F5E"/>
    <w:rsid w:val="00541223"/>
    <w:rsid w:val="00541246"/>
    <w:rsid w:val="005412DA"/>
    <w:rsid w:val="0054134F"/>
    <w:rsid w:val="0054146E"/>
    <w:rsid w:val="005415E1"/>
    <w:rsid w:val="0054162F"/>
    <w:rsid w:val="0054173B"/>
    <w:rsid w:val="005417AE"/>
    <w:rsid w:val="00541802"/>
    <w:rsid w:val="00541A3E"/>
    <w:rsid w:val="00541A75"/>
    <w:rsid w:val="00541B0C"/>
    <w:rsid w:val="00541CA3"/>
    <w:rsid w:val="00541CDF"/>
    <w:rsid w:val="00541D21"/>
    <w:rsid w:val="00541D36"/>
    <w:rsid w:val="00541D55"/>
    <w:rsid w:val="00541D7C"/>
    <w:rsid w:val="00541D9D"/>
    <w:rsid w:val="00541E89"/>
    <w:rsid w:val="00541EBF"/>
    <w:rsid w:val="00541F52"/>
    <w:rsid w:val="005421EE"/>
    <w:rsid w:val="005422FB"/>
    <w:rsid w:val="005424B8"/>
    <w:rsid w:val="005424FB"/>
    <w:rsid w:val="005424FE"/>
    <w:rsid w:val="00542647"/>
    <w:rsid w:val="00542767"/>
    <w:rsid w:val="00542769"/>
    <w:rsid w:val="00542811"/>
    <w:rsid w:val="00542853"/>
    <w:rsid w:val="00542864"/>
    <w:rsid w:val="00542892"/>
    <w:rsid w:val="00542A57"/>
    <w:rsid w:val="00542C23"/>
    <w:rsid w:val="00542C7F"/>
    <w:rsid w:val="00542ED4"/>
    <w:rsid w:val="00542F5D"/>
    <w:rsid w:val="00542FAC"/>
    <w:rsid w:val="00543140"/>
    <w:rsid w:val="00543302"/>
    <w:rsid w:val="005434E7"/>
    <w:rsid w:val="005434FE"/>
    <w:rsid w:val="00543625"/>
    <w:rsid w:val="00543642"/>
    <w:rsid w:val="00543669"/>
    <w:rsid w:val="005436A0"/>
    <w:rsid w:val="005436FD"/>
    <w:rsid w:val="0054381F"/>
    <w:rsid w:val="00543900"/>
    <w:rsid w:val="00543970"/>
    <w:rsid w:val="00543AB9"/>
    <w:rsid w:val="00543C73"/>
    <w:rsid w:val="00543D20"/>
    <w:rsid w:val="00543E52"/>
    <w:rsid w:val="00543E6B"/>
    <w:rsid w:val="00543EB4"/>
    <w:rsid w:val="00543FDF"/>
    <w:rsid w:val="00544142"/>
    <w:rsid w:val="005441FA"/>
    <w:rsid w:val="0054429E"/>
    <w:rsid w:val="005443A4"/>
    <w:rsid w:val="005443C4"/>
    <w:rsid w:val="00544471"/>
    <w:rsid w:val="00544833"/>
    <w:rsid w:val="005449E0"/>
    <w:rsid w:val="00544AC6"/>
    <w:rsid w:val="00544DEB"/>
    <w:rsid w:val="00544E30"/>
    <w:rsid w:val="00544E5D"/>
    <w:rsid w:val="005450D1"/>
    <w:rsid w:val="0054526F"/>
    <w:rsid w:val="005452E3"/>
    <w:rsid w:val="0054568C"/>
    <w:rsid w:val="0054570B"/>
    <w:rsid w:val="005458DD"/>
    <w:rsid w:val="00545928"/>
    <w:rsid w:val="005459B5"/>
    <w:rsid w:val="00545A78"/>
    <w:rsid w:val="00545BF4"/>
    <w:rsid w:val="00545CC7"/>
    <w:rsid w:val="00545CD6"/>
    <w:rsid w:val="00545D47"/>
    <w:rsid w:val="00545E12"/>
    <w:rsid w:val="00545EF4"/>
    <w:rsid w:val="00546197"/>
    <w:rsid w:val="00546220"/>
    <w:rsid w:val="005462D4"/>
    <w:rsid w:val="00546336"/>
    <w:rsid w:val="00546367"/>
    <w:rsid w:val="005463D2"/>
    <w:rsid w:val="005464BA"/>
    <w:rsid w:val="005464DA"/>
    <w:rsid w:val="005464E1"/>
    <w:rsid w:val="0054658C"/>
    <w:rsid w:val="00546651"/>
    <w:rsid w:val="005466EF"/>
    <w:rsid w:val="0054678E"/>
    <w:rsid w:val="00546871"/>
    <w:rsid w:val="0054687B"/>
    <w:rsid w:val="0054695C"/>
    <w:rsid w:val="00546A75"/>
    <w:rsid w:val="00546BB4"/>
    <w:rsid w:val="00546C2A"/>
    <w:rsid w:val="00546C4F"/>
    <w:rsid w:val="00546C52"/>
    <w:rsid w:val="00546C6F"/>
    <w:rsid w:val="00546CF0"/>
    <w:rsid w:val="00546DD5"/>
    <w:rsid w:val="00546E7C"/>
    <w:rsid w:val="00546EF7"/>
    <w:rsid w:val="00546FF3"/>
    <w:rsid w:val="0054700C"/>
    <w:rsid w:val="0054700F"/>
    <w:rsid w:val="005470DA"/>
    <w:rsid w:val="005472C6"/>
    <w:rsid w:val="005472CA"/>
    <w:rsid w:val="005472E0"/>
    <w:rsid w:val="005473A7"/>
    <w:rsid w:val="005473CD"/>
    <w:rsid w:val="00547490"/>
    <w:rsid w:val="00547518"/>
    <w:rsid w:val="0054757D"/>
    <w:rsid w:val="0054775C"/>
    <w:rsid w:val="0054797C"/>
    <w:rsid w:val="005479A2"/>
    <w:rsid w:val="00547A00"/>
    <w:rsid w:val="00547AD3"/>
    <w:rsid w:val="00547B64"/>
    <w:rsid w:val="00547BE5"/>
    <w:rsid w:val="00547C49"/>
    <w:rsid w:val="00547D14"/>
    <w:rsid w:val="00547D9B"/>
    <w:rsid w:val="00547ECD"/>
    <w:rsid w:val="00550055"/>
    <w:rsid w:val="0055007F"/>
    <w:rsid w:val="005501A9"/>
    <w:rsid w:val="00550405"/>
    <w:rsid w:val="0055047A"/>
    <w:rsid w:val="00550585"/>
    <w:rsid w:val="00550708"/>
    <w:rsid w:val="0055070F"/>
    <w:rsid w:val="005508D2"/>
    <w:rsid w:val="005508EF"/>
    <w:rsid w:val="00550AD7"/>
    <w:rsid w:val="00550C76"/>
    <w:rsid w:val="00550D61"/>
    <w:rsid w:val="00550D73"/>
    <w:rsid w:val="00550E92"/>
    <w:rsid w:val="00550FC6"/>
    <w:rsid w:val="00551064"/>
    <w:rsid w:val="00551221"/>
    <w:rsid w:val="00551276"/>
    <w:rsid w:val="005512E1"/>
    <w:rsid w:val="0055137C"/>
    <w:rsid w:val="005513A8"/>
    <w:rsid w:val="00551411"/>
    <w:rsid w:val="005514B4"/>
    <w:rsid w:val="00551502"/>
    <w:rsid w:val="00551518"/>
    <w:rsid w:val="00551535"/>
    <w:rsid w:val="005515CF"/>
    <w:rsid w:val="00551861"/>
    <w:rsid w:val="005518B6"/>
    <w:rsid w:val="005519B7"/>
    <w:rsid w:val="00551A59"/>
    <w:rsid w:val="00551A8D"/>
    <w:rsid w:val="00551B7C"/>
    <w:rsid w:val="00551BA1"/>
    <w:rsid w:val="00551C9D"/>
    <w:rsid w:val="00551CBB"/>
    <w:rsid w:val="00551CE1"/>
    <w:rsid w:val="00551D46"/>
    <w:rsid w:val="00551F8C"/>
    <w:rsid w:val="00551FBB"/>
    <w:rsid w:val="00552056"/>
    <w:rsid w:val="00552071"/>
    <w:rsid w:val="00552127"/>
    <w:rsid w:val="005522A8"/>
    <w:rsid w:val="00552475"/>
    <w:rsid w:val="00552695"/>
    <w:rsid w:val="0055280B"/>
    <w:rsid w:val="005528D0"/>
    <w:rsid w:val="005529DA"/>
    <w:rsid w:val="00552A96"/>
    <w:rsid w:val="00552C75"/>
    <w:rsid w:val="00552C9E"/>
    <w:rsid w:val="00552CA6"/>
    <w:rsid w:val="00552DBB"/>
    <w:rsid w:val="00552E37"/>
    <w:rsid w:val="00552F69"/>
    <w:rsid w:val="005530FD"/>
    <w:rsid w:val="00553132"/>
    <w:rsid w:val="005532E6"/>
    <w:rsid w:val="005533C9"/>
    <w:rsid w:val="00553523"/>
    <w:rsid w:val="005536A0"/>
    <w:rsid w:val="00553701"/>
    <w:rsid w:val="0055377B"/>
    <w:rsid w:val="005537F2"/>
    <w:rsid w:val="005538FE"/>
    <w:rsid w:val="00553958"/>
    <w:rsid w:val="005539BB"/>
    <w:rsid w:val="00553AF6"/>
    <w:rsid w:val="00553C24"/>
    <w:rsid w:val="00553C70"/>
    <w:rsid w:val="00553DE8"/>
    <w:rsid w:val="00553E6C"/>
    <w:rsid w:val="0055407F"/>
    <w:rsid w:val="005541B1"/>
    <w:rsid w:val="005541EA"/>
    <w:rsid w:val="0055439D"/>
    <w:rsid w:val="00554435"/>
    <w:rsid w:val="005545DD"/>
    <w:rsid w:val="005546EE"/>
    <w:rsid w:val="00554813"/>
    <w:rsid w:val="00554878"/>
    <w:rsid w:val="0055491A"/>
    <w:rsid w:val="00554957"/>
    <w:rsid w:val="005549F6"/>
    <w:rsid w:val="00554BC7"/>
    <w:rsid w:val="00554C62"/>
    <w:rsid w:val="00554E0B"/>
    <w:rsid w:val="00554EB6"/>
    <w:rsid w:val="005550BC"/>
    <w:rsid w:val="0055510E"/>
    <w:rsid w:val="00555252"/>
    <w:rsid w:val="00555274"/>
    <w:rsid w:val="005553A3"/>
    <w:rsid w:val="005553FD"/>
    <w:rsid w:val="0055547C"/>
    <w:rsid w:val="00555489"/>
    <w:rsid w:val="00555798"/>
    <w:rsid w:val="005557CB"/>
    <w:rsid w:val="00555AA6"/>
    <w:rsid w:val="00555AE9"/>
    <w:rsid w:val="00555C05"/>
    <w:rsid w:val="00555C25"/>
    <w:rsid w:val="00555DE9"/>
    <w:rsid w:val="00555E2B"/>
    <w:rsid w:val="00555E54"/>
    <w:rsid w:val="00555F31"/>
    <w:rsid w:val="00555FAF"/>
    <w:rsid w:val="00556130"/>
    <w:rsid w:val="005561B7"/>
    <w:rsid w:val="00556233"/>
    <w:rsid w:val="00556278"/>
    <w:rsid w:val="00556355"/>
    <w:rsid w:val="00556615"/>
    <w:rsid w:val="0055662E"/>
    <w:rsid w:val="00556630"/>
    <w:rsid w:val="0055663C"/>
    <w:rsid w:val="0055673D"/>
    <w:rsid w:val="0055687E"/>
    <w:rsid w:val="005568FA"/>
    <w:rsid w:val="0055691C"/>
    <w:rsid w:val="00556937"/>
    <w:rsid w:val="00556A0C"/>
    <w:rsid w:val="00556A3C"/>
    <w:rsid w:val="00556AA7"/>
    <w:rsid w:val="00556C29"/>
    <w:rsid w:val="00556D41"/>
    <w:rsid w:val="00556E37"/>
    <w:rsid w:val="00556F02"/>
    <w:rsid w:val="00557032"/>
    <w:rsid w:val="005571E6"/>
    <w:rsid w:val="0055729B"/>
    <w:rsid w:val="0055729E"/>
    <w:rsid w:val="005575CC"/>
    <w:rsid w:val="00557761"/>
    <w:rsid w:val="00557883"/>
    <w:rsid w:val="00557A21"/>
    <w:rsid w:val="00557A2A"/>
    <w:rsid w:val="00557AD3"/>
    <w:rsid w:val="00557B08"/>
    <w:rsid w:val="00557BC9"/>
    <w:rsid w:val="00557D2B"/>
    <w:rsid w:val="00557D51"/>
    <w:rsid w:val="00557E67"/>
    <w:rsid w:val="00557E6C"/>
    <w:rsid w:val="00557F8D"/>
    <w:rsid w:val="005600AA"/>
    <w:rsid w:val="005600C3"/>
    <w:rsid w:val="0056013E"/>
    <w:rsid w:val="0056031B"/>
    <w:rsid w:val="0056035C"/>
    <w:rsid w:val="00560374"/>
    <w:rsid w:val="0056057D"/>
    <w:rsid w:val="005606BF"/>
    <w:rsid w:val="00560725"/>
    <w:rsid w:val="005607EB"/>
    <w:rsid w:val="00560859"/>
    <w:rsid w:val="0056088F"/>
    <w:rsid w:val="005608A2"/>
    <w:rsid w:val="005609E6"/>
    <w:rsid w:val="00560BC4"/>
    <w:rsid w:val="00560BCF"/>
    <w:rsid w:val="00560DF5"/>
    <w:rsid w:val="00560E6A"/>
    <w:rsid w:val="0056105F"/>
    <w:rsid w:val="00561085"/>
    <w:rsid w:val="005610FB"/>
    <w:rsid w:val="005612F7"/>
    <w:rsid w:val="0056144E"/>
    <w:rsid w:val="0056161C"/>
    <w:rsid w:val="00561768"/>
    <w:rsid w:val="00561B17"/>
    <w:rsid w:val="00561BCA"/>
    <w:rsid w:val="00561DA1"/>
    <w:rsid w:val="00561DCC"/>
    <w:rsid w:val="00561FA6"/>
    <w:rsid w:val="00562088"/>
    <w:rsid w:val="00562120"/>
    <w:rsid w:val="005621F1"/>
    <w:rsid w:val="005622B4"/>
    <w:rsid w:val="00562344"/>
    <w:rsid w:val="00562399"/>
    <w:rsid w:val="005623B9"/>
    <w:rsid w:val="0056240F"/>
    <w:rsid w:val="0056269B"/>
    <w:rsid w:val="005626DD"/>
    <w:rsid w:val="0056278E"/>
    <w:rsid w:val="005628AC"/>
    <w:rsid w:val="00562917"/>
    <w:rsid w:val="00562985"/>
    <w:rsid w:val="00562B30"/>
    <w:rsid w:val="00562D5E"/>
    <w:rsid w:val="00562D7E"/>
    <w:rsid w:val="00562DE8"/>
    <w:rsid w:val="005630B1"/>
    <w:rsid w:val="00563117"/>
    <w:rsid w:val="005633C6"/>
    <w:rsid w:val="005633F8"/>
    <w:rsid w:val="00563419"/>
    <w:rsid w:val="0056350C"/>
    <w:rsid w:val="0056351A"/>
    <w:rsid w:val="00563523"/>
    <w:rsid w:val="00563595"/>
    <w:rsid w:val="005635CD"/>
    <w:rsid w:val="005636EE"/>
    <w:rsid w:val="0056377C"/>
    <w:rsid w:val="005637D6"/>
    <w:rsid w:val="005638FE"/>
    <w:rsid w:val="00563954"/>
    <w:rsid w:val="00563AD6"/>
    <w:rsid w:val="00563CAF"/>
    <w:rsid w:val="00563D5B"/>
    <w:rsid w:val="00563D8A"/>
    <w:rsid w:val="00563DCA"/>
    <w:rsid w:val="00563E67"/>
    <w:rsid w:val="00563F38"/>
    <w:rsid w:val="0056402F"/>
    <w:rsid w:val="005641DD"/>
    <w:rsid w:val="005642C0"/>
    <w:rsid w:val="005642C7"/>
    <w:rsid w:val="005646A4"/>
    <w:rsid w:val="0056472E"/>
    <w:rsid w:val="00564782"/>
    <w:rsid w:val="005647C4"/>
    <w:rsid w:val="005648CD"/>
    <w:rsid w:val="005649F1"/>
    <w:rsid w:val="00564A83"/>
    <w:rsid w:val="00564AEE"/>
    <w:rsid w:val="00564B0B"/>
    <w:rsid w:val="00564B46"/>
    <w:rsid w:val="00564C0F"/>
    <w:rsid w:val="00564C66"/>
    <w:rsid w:val="00564CD2"/>
    <w:rsid w:val="00564CE2"/>
    <w:rsid w:val="00564DF3"/>
    <w:rsid w:val="00564F32"/>
    <w:rsid w:val="00565027"/>
    <w:rsid w:val="005651C4"/>
    <w:rsid w:val="005652A2"/>
    <w:rsid w:val="005654A5"/>
    <w:rsid w:val="00565681"/>
    <w:rsid w:val="005656EF"/>
    <w:rsid w:val="005656FC"/>
    <w:rsid w:val="00565810"/>
    <w:rsid w:val="00565A2D"/>
    <w:rsid w:val="00565A7B"/>
    <w:rsid w:val="00565B47"/>
    <w:rsid w:val="00565BD1"/>
    <w:rsid w:val="00565C7B"/>
    <w:rsid w:val="00565C9B"/>
    <w:rsid w:val="00565E37"/>
    <w:rsid w:val="00565EAA"/>
    <w:rsid w:val="0056612E"/>
    <w:rsid w:val="0056616E"/>
    <w:rsid w:val="005661B0"/>
    <w:rsid w:val="005662B6"/>
    <w:rsid w:val="00566341"/>
    <w:rsid w:val="005663FA"/>
    <w:rsid w:val="00566404"/>
    <w:rsid w:val="00566765"/>
    <w:rsid w:val="005667A7"/>
    <w:rsid w:val="005667FE"/>
    <w:rsid w:val="005668E5"/>
    <w:rsid w:val="00566945"/>
    <w:rsid w:val="00566985"/>
    <w:rsid w:val="00566AE7"/>
    <w:rsid w:val="00566C43"/>
    <w:rsid w:val="00566C44"/>
    <w:rsid w:val="00566D9C"/>
    <w:rsid w:val="00566E4B"/>
    <w:rsid w:val="00566EC4"/>
    <w:rsid w:val="00567041"/>
    <w:rsid w:val="005670D4"/>
    <w:rsid w:val="0056716B"/>
    <w:rsid w:val="00567195"/>
    <w:rsid w:val="0056728F"/>
    <w:rsid w:val="005673FF"/>
    <w:rsid w:val="00567479"/>
    <w:rsid w:val="00567553"/>
    <w:rsid w:val="00567696"/>
    <w:rsid w:val="005677AE"/>
    <w:rsid w:val="005678D8"/>
    <w:rsid w:val="0056792E"/>
    <w:rsid w:val="00567A3D"/>
    <w:rsid w:val="00567A80"/>
    <w:rsid w:val="00567AAF"/>
    <w:rsid w:val="00567ADE"/>
    <w:rsid w:val="00567C3F"/>
    <w:rsid w:val="00567D2D"/>
    <w:rsid w:val="00567D62"/>
    <w:rsid w:val="00567DCC"/>
    <w:rsid w:val="00567F0E"/>
    <w:rsid w:val="00567FD8"/>
    <w:rsid w:val="0057008C"/>
    <w:rsid w:val="005700EB"/>
    <w:rsid w:val="005702DB"/>
    <w:rsid w:val="00570397"/>
    <w:rsid w:val="00570399"/>
    <w:rsid w:val="005703AA"/>
    <w:rsid w:val="005703C8"/>
    <w:rsid w:val="0057059E"/>
    <w:rsid w:val="005709A8"/>
    <w:rsid w:val="00570ACD"/>
    <w:rsid w:val="00570CD5"/>
    <w:rsid w:val="00570D9A"/>
    <w:rsid w:val="00570EC4"/>
    <w:rsid w:val="00570EDF"/>
    <w:rsid w:val="005710BF"/>
    <w:rsid w:val="00571113"/>
    <w:rsid w:val="0057118D"/>
    <w:rsid w:val="0057130D"/>
    <w:rsid w:val="005717B0"/>
    <w:rsid w:val="00571A0A"/>
    <w:rsid w:val="00571AC8"/>
    <w:rsid w:val="00571B66"/>
    <w:rsid w:val="00571BF2"/>
    <w:rsid w:val="00571EA1"/>
    <w:rsid w:val="00571F37"/>
    <w:rsid w:val="00571F8F"/>
    <w:rsid w:val="00571FC6"/>
    <w:rsid w:val="0057217D"/>
    <w:rsid w:val="005721EA"/>
    <w:rsid w:val="0057221C"/>
    <w:rsid w:val="005722B4"/>
    <w:rsid w:val="00572366"/>
    <w:rsid w:val="005723A9"/>
    <w:rsid w:val="005725B3"/>
    <w:rsid w:val="00572626"/>
    <w:rsid w:val="00572701"/>
    <w:rsid w:val="005727A3"/>
    <w:rsid w:val="00572808"/>
    <w:rsid w:val="00572855"/>
    <w:rsid w:val="0057286A"/>
    <w:rsid w:val="005728B4"/>
    <w:rsid w:val="005728F2"/>
    <w:rsid w:val="00572904"/>
    <w:rsid w:val="005729AB"/>
    <w:rsid w:val="00572AA4"/>
    <w:rsid w:val="00572B79"/>
    <w:rsid w:val="00572D59"/>
    <w:rsid w:val="00572E53"/>
    <w:rsid w:val="00572EB3"/>
    <w:rsid w:val="00572EBA"/>
    <w:rsid w:val="00572FE4"/>
    <w:rsid w:val="00573375"/>
    <w:rsid w:val="005733A4"/>
    <w:rsid w:val="00573524"/>
    <w:rsid w:val="0057380C"/>
    <w:rsid w:val="00573811"/>
    <w:rsid w:val="0057384A"/>
    <w:rsid w:val="005738B8"/>
    <w:rsid w:val="005739D9"/>
    <w:rsid w:val="00573AAD"/>
    <w:rsid w:val="00573C21"/>
    <w:rsid w:val="00573C83"/>
    <w:rsid w:val="00573DA5"/>
    <w:rsid w:val="00573DB5"/>
    <w:rsid w:val="00573DF8"/>
    <w:rsid w:val="00573E08"/>
    <w:rsid w:val="00573E25"/>
    <w:rsid w:val="00573EA7"/>
    <w:rsid w:val="00573ED0"/>
    <w:rsid w:val="00573FEB"/>
    <w:rsid w:val="0057408E"/>
    <w:rsid w:val="005740C2"/>
    <w:rsid w:val="005740E5"/>
    <w:rsid w:val="00574125"/>
    <w:rsid w:val="00574127"/>
    <w:rsid w:val="005741FA"/>
    <w:rsid w:val="00574240"/>
    <w:rsid w:val="005743EC"/>
    <w:rsid w:val="00574400"/>
    <w:rsid w:val="0057457B"/>
    <w:rsid w:val="005745EC"/>
    <w:rsid w:val="00574665"/>
    <w:rsid w:val="0057469D"/>
    <w:rsid w:val="0057469F"/>
    <w:rsid w:val="0057470F"/>
    <w:rsid w:val="005747A8"/>
    <w:rsid w:val="00574806"/>
    <w:rsid w:val="0057489F"/>
    <w:rsid w:val="00574A00"/>
    <w:rsid w:val="00574A5D"/>
    <w:rsid w:val="00574C6E"/>
    <w:rsid w:val="00574CEC"/>
    <w:rsid w:val="00574F9E"/>
    <w:rsid w:val="00574FF8"/>
    <w:rsid w:val="0057505B"/>
    <w:rsid w:val="005751AB"/>
    <w:rsid w:val="005751E4"/>
    <w:rsid w:val="0057529D"/>
    <w:rsid w:val="005753C4"/>
    <w:rsid w:val="005753F7"/>
    <w:rsid w:val="005756C2"/>
    <w:rsid w:val="00575732"/>
    <w:rsid w:val="005758EF"/>
    <w:rsid w:val="005759AB"/>
    <w:rsid w:val="00575E11"/>
    <w:rsid w:val="00575E77"/>
    <w:rsid w:val="00575EBC"/>
    <w:rsid w:val="00576000"/>
    <w:rsid w:val="005760B3"/>
    <w:rsid w:val="005760ED"/>
    <w:rsid w:val="00576131"/>
    <w:rsid w:val="005761CB"/>
    <w:rsid w:val="005762B2"/>
    <w:rsid w:val="005762D2"/>
    <w:rsid w:val="00576603"/>
    <w:rsid w:val="005767CC"/>
    <w:rsid w:val="005768E6"/>
    <w:rsid w:val="00576918"/>
    <w:rsid w:val="00576B58"/>
    <w:rsid w:val="00576BEA"/>
    <w:rsid w:val="00576BFF"/>
    <w:rsid w:val="00576C67"/>
    <w:rsid w:val="00576D98"/>
    <w:rsid w:val="00576DD7"/>
    <w:rsid w:val="00576E78"/>
    <w:rsid w:val="00576E9D"/>
    <w:rsid w:val="005771C8"/>
    <w:rsid w:val="005771FA"/>
    <w:rsid w:val="0057730B"/>
    <w:rsid w:val="005774A9"/>
    <w:rsid w:val="005775C0"/>
    <w:rsid w:val="0057762B"/>
    <w:rsid w:val="0057792E"/>
    <w:rsid w:val="005779CB"/>
    <w:rsid w:val="00577A06"/>
    <w:rsid w:val="00577AFA"/>
    <w:rsid w:val="00577BD4"/>
    <w:rsid w:val="00577C40"/>
    <w:rsid w:val="00577CBB"/>
    <w:rsid w:val="00577E3F"/>
    <w:rsid w:val="00577F04"/>
    <w:rsid w:val="00577F84"/>
    <w:rsid w:val="00577FA0"/>
    <w:rsid w:val="00577FCD"/>
    <w:rsid w:val="0058004D"/>
    <w:rsid w:val="00580091"/>
    <w:rsid w:val="005805FA"/>
    <w:rsid w:val="005807DA"/>
    <w:rsid w:val="00580C0D"/>
    <w:rsid w:val="00580E61"/>
    <w:rsid w:val="00580EBB"/>
    <w:rsid w:val="00581141"/>
    <w:rsid w:val="005814A4"/>
    <w:rsid w:val="00581742"/>
    <w:rsid w:val="00581843"/>
    <w:rsid w:val="00581A37"/>
    <w:rsid w:val="00581A8B"/>
    <w:rsid w:val="00581C09"/>
    <w:rsid w:val="00581D56"/>
    <w:rsid w:val="00581F0F"/>
    <w:rsid w:val="00581F18"/>
    <w:rsid w:val="00582008"/>
    <w:rsid w:val="005820C4"/>
    <w:rsid w:val="005820F6"/>
    <w:rsid w:val="005821A8"/>
    <w:rsid w:val="0058229F"/>
    <w:rsid w:val="0058242B"/>
    <w:rsid w:val="00582660"/>
    <w:rsid w:val="00582673"/>
    <w:rsid w:val="005827A4"/>
    <w:rsid w:val="005827D6"/>
    <w:rsid w:val="00582877"/>
    <w:rsid w:val="00582896"/>
    <w:rsid w:val="005829DA"/>
    <w:rsid w:val="00582A09"/>
    <w:rsid w:val="00582B11"/>
    <w:rsid w:val="00582B2F"/>
    <w:rsid w:val="00582F3D"/>
    <w:rsid w:val="00582F84"/>
    <w:rsid w:val="00583051"/>
    <w:rsid w:val="0058309D"/>
    <w:rsid w:val="0058315C"/>
    <w:rsid w:val="005831EC"/>
    <w:rsid w:val="0058322D"/>
    <w:rsid w:val="0058330A"/>
    <w:rsid w:val="005833F5"/>
    <w:rsid w:val="00583479"/>
    <w:rsid w:val="005834D0"/>
    <w:rsid w:val="00583625"/>
    <w:rsid w:val="00583692"/>
    <w:rsid w:val="00583810"/>
    <w:rsid w:val="00583816"/>
    <w:rsid w:val="005838F0"/>
    <w:rsid w:val="00583A93"/>
    <w:rsid w:val="00583AEE"/>
    <w:rsid w:val="00583D59"/>
    <w:rsid w:val="00583DFE"/>
    <w:rsid w:val="00583E84"/>
    <w:rsid w:val="00583EE1"/>
    <w:rsid w:val="00584270"/>
    <w:rsid w:val="00584286"/>
    <w:rsid w:val="005842F8"/>
    <w:rsid w:val="0058434A"/>
    <w:rsid w:val="005843F9"/>
    <w:rsid w:val="0058447C"/>
    <w:rsid w:val="005846A2"/>
    <w:rsid w:val="005847DE"/>
    <w:rsid w:val="005848F2"/>
    <w:rsid w:val="00584905"/>
    <w:rsid w:val="00584A36"/>
    <w:rsid w:val="00584AF0"/>
    <w:rsid w:val="00584B7C"/>
    <w:rsid w:val="00584C4C"/>
    <w:rsid w:val="00584C61"/>
    <w:rsid w:val="00584C81"/>
    <w:rsid w:val="00584D0F"/>
    <w:rsid w:val="00584D30"/>
    <w:rsid w:val="00584D76"/>
    <w:rsid w:val="00584F1A"/>
    <w:rsid w:val="00585070"/>
    <w:rsid w:val="0058512D"/>
    <w:rsid w:val="005852BA"/>
    <w:rsid w:val="005854F9"/>
    <w:rsid w:val="00585784"/>
    <w:rsid w:val="00585793"/>
    <w:rsid w:val="005857CE"/>
    <w:rsid w:val="0058589B"/>
    <w:rsid w:val="00585A77"/>
    <w:rsid w:val="00585A7D"/>
    <w:rsid w:val="00585B20"/>
    <w:rsid w:val="00585C1C"/>
    <w:rsid w:val="00585D3E"/>
    <w:rsid w:val="00585DB2"/>
    <w:rsid w:val="00585F22"/>
    <w:rsid w:val="00585F73"/>
    <w:rsid w:val="00585FA2"/>
    <w:rsid w:val="00586002"/>
    <w:rsid w:val="0058601E"/>
    <w:rsid w:val="00586054"/>
    <w:rsid w:val="00586091"/>
    <w:rsid w:val="005860E9"/>
    <w:rsid w:val="005861CA"/>
    <w:rsid w:val="0058629B"/>
    <w:rsid w:val="005865C4"/>
    <w:rsid w:val="0058663D"/>
    <w:rsid w:val="00586644"/>
    <w:rsid w:val="005866D8"/>
    <w:rsid w:val="0058691A"/>
    <w:rsid w:val="0058693F"/>
    <w:rsid w:val="00586999"/>
    <w:rsid w:val="005869FC"/>
    <w:rsid w:val="00586B06"/>
    <w:rsid w:val="00586B5B"/>
    <w:rsid w:val="00586BB8"/>
    <w:rsid w:val="00586BCF"/>
    <w:rsid w:val="00586E0B"/>
    <w:rsid w:val="00586F05"/>
    <w:rsid w:val="00586F58"/>
    <w:rsid w:val="00587070"/>
    <w:rsid w:val="0058707D"/>
    <w:rsid w:val="005870B1"/>
    <w:rsid w:val="00587101"/>
    <w:rsid w:val="005871A3"/>
    <w:rsid w:val="005871B3"/>
    <w:rsid w:val="0058724E"/>
    <w:rsid w:val="00587532"/>
    <w:rsid w:val="005875BD"/>
    <w:rsid w:val="0058764C"/>
    <w:rsid w:val="005876F5"/>
    <w:rsid w:val="005877BB"/>
    <w:rsid w:val="0058796C"/>
    <w:rsid w:val="00587971"/>
    <w:rsid w:val="00587CE4"/>
    <w:rsid w:val="00587D23"/>
    <w:rsid w:val="00587D38"/>
    <w:rsid w:val="00587E48"/>
    <w:rsid w:val="00587E83"/>
    <w:rsid w:val="00590001"/>
    <w:rsid w:val="00590062"/>
    <w:rsid w:val="005900BD"/>
    <w:rsid w:val="0059012E"/>
    <w:rsid w:val="005901FA"/>
    <w:rsid w:val="00590308"/>
    <w:rsid w:val="005903D2"/>
    <w:rsid w:val="0059044D"/>
    <w:rsid w:val="005904F7"/>
    <w:rsid w:val="00590631"/>
    <w:rsid w:val="00590638"/>
    <w:rsid w:val="005906FF"/>
    <w:rsid w:val="0059075F"/>
    <w:rsid w:val="0059080F"/>
    <w:rsid w:val="00590828"/>
    <w:rsid w:val="0059082A"/>
    <w:rsid w:val="005908AC"/>
    <w:rsid w:val="005909DA"/>
    <w:rsid w:val="00590A1E"/>
    <w:rsid w:val="00590AC0"/>
    <w:rsid w:val="00590AE2"/>
    <w:rsid w:val="00590B16"/>
    <w:rsid w:val="00590B9E"/>
    <w:rsid w:val="00590BC5"/>
    <w:rsid w:val="00590BD1"/>
    <w:rsid w:val="00590BF0"/>
    <w:rsid w:val="00590E37"/>
    <w:rsid w:val="00590F88"/>
    <w:rsid w:val="00590FD0"/>
    <w:rsid w:val="0059104E"/>
    <w:rsid w:val="0059107E"/>
    <w:rsid w:val="00591202"/>
    <w:rsid w:val="005914AB"/>
    <w:rsid w:val="00591564"/>
    <w:rsid w:val="005915A9"/>
    <w:rsid w:val="005917D9"/>
    <w:rsid w:val="005919A7"/>
    <w:rsid w:val="00591A1D"/>
    <w:rsid w:val="00591B8D"/>
    <w:rsid w:val="00591CA5"/>
    <w:rsid w:val="00591F1B"/>
    <w:rsid w:val="00591F73"/>
    <w:rsid w:val="00592027"/>
    <w:rsid w:val="00592043"/>
    <w:rsid w:val="00592109"/>
    <w:rsid w:val="005921FE"/>
    <w:rsid w:val="00592219"/>
    <w:rsid w:val="00592268"/>
    <w:rsid w:val="00592422"/>
    <w:rsid w:val="00592457"/>
    <w:rsid w:val="00592661"/>
    <w:rsid w:val="005928CC"/>
    <w:rsid w:val="00592952"/>
    <w:rsid w:val="005929B9"/>
    <w:rsid w:val="00592A22"/>
    <w:rsid w:val="00592A37"/>
    <w:rsid w:val="00592A81"/>
    <w:rsid w:val="00592B38"/>
    <w:rsid w:val="00592B40"/>
    <w:rsid w:val="00592B64"/>
    <w:rsid w:val="00592BD6"/>
    <w:rsid w:val="00592C20"/>
    <w:rsid w:val="00592D95"/>
    <w:rsid w:val="00592E5F"/>
    <w:rsid w:val="00592E9F"/>
    <w:rsid w:val="00592F34"/>
    <w:rsid w:val="0059306C"/>
    <w:rsid w:val="00593085"/>
    <w:rsid w:val="00593099"/>
    <w:rsid w:val="0059324C"/>
    <w:rsid w:val="005932F5"/>
    <w:rsid w:val="0059335C"/>
    <w:rsid w:val="005933DA"/>
    <w:rsid w:val="0059349F"/>
    <w:rsid w:val="0059350C"/>
    <w:rsid w:val="0059352E"/>
    <w:rsid w:val="005935D1"/>
    <w:rsid w:val="00593666"/>
    <w:rsid w:val="00593878"/>
    <w:rsid w:val="0059389B"/>
    <w:rsid w:val="00593932"/>
    <w:rsid w:val="00593A23"/>
    <w:rsid w:val="00593A7D"/>
    <w:rsid w:val="00593B0C"/>
    <w:rsid w:val="00593CC7"/>
    <w:rsid w:val="0059402C"/>
    <w:rsid w:val="00594096"/>
    <w:rsid w:val="005942B2"/>
    <w:rsid w:val="005943C4"/>
    <w:rsid w:val="00594420"/>
    <w:rsid w:val="005947A9"/>
    <w:rsid w:val="00594B4C"/>
    <w:rsid w:val="00594BE9"/>
    <w:rsid w:val="00594CFC"/>
    <w:rsid w:val="00594E6F"/>
    <w:rsid w:val="00594EFB"/>
    <w:rsid w:val="00594F0F"/>
    <w:rsid w:val="00594FCB"/>
    <w:rsid w:val="00594FDC"/>
    <w:rsid w:val="00594FE4"/>
    <w:rsid w:val="00595001"/>
    <w:rsid w:val="0059500F"/>
    <w:rsid w:val="005952C7"/>
    <w:rsid w:val="0059557E"/>
    <w:rsid w:val="00595692"/>
    <w:rsid w:val="005957A0"/>
    <w:rsid w:val="005957C7"/>
    <w:rsid w:val="00595804"/>
    <w:rsid w:val="005959B2"/>
    <w:rsid w:val="00595A75"/>
    <w:rsid w:val="00595CDD"/>
    <w:rsid w:val="00595D9A"/>
    <w:rsid w:val="00595D9D"/>
    <w:rsid w:val="00595DE6"/>
    <w:rsid w:val="00595EE4"/>
    <w:rsid w:val="00595F89"/>
    <w:rsid w:val="00595FF6"/>
    <w:rsid w:val="005960CE"/>
    <w:rsid w:val="0059616B"/>
    <w:rsid w:val="005961C1"/>
    <w:rsid w:val="0059633D"/>
    <w:rsid w:val="0059649D"/>
    <w:rsid w:val="005965BA"/>
    <w:rsid w:val="005965F5"/>
    <w:rsid w:val="0059663A"/>
    <w:rsid w:val="00596658"/>
    <w:rsid w:val="00596726"/>
    <w:rsid w:val="00596774"/>
    <w:rsid w:val="00596938"/>
    <w:rsid w:val="0059693B"/>
    <w:rsid w:val="00596978"/>
    <w:rsid w:val="00596AD7"/>
    <w:rsid w:val="00596B80"/>
    <w:rsid w:val="00596CD1"/>
    <w:rsid w:val="00596D7F"/>
    <w:rsid w:val="00596DD9"/>
    <w:rsid w:val="00596DE0"/>
    <w:rsid w:val="00596EF8"/>
    <w:rsid w:val="0059739D"/>
    <w:rsid w:val="005973B0"/>
    <w:rsid w:val="005976A9"/>
    <w:rsid w:val="00597736"/>
    <w:rsid w:val="0059776A"/>
    <w:rsid w:val="005979C7"/>
    <w:rsid w:val="005979D7"/>
    <w:rsid w:val="00597A1E"/>
    <w:rsid w:val="00597A4F"/>
    <w:rsid w:val="00597B52"/>
    <w:rsid w:val="00597C7C"/>
    <w:rsid w:val="00597E39"/>
    <w:rsid w:val="00597F17"/>
    <w:rsid w:val="00597F89"/>
    <w:rsid w:val="00597FEE"/>
    <w:rsid w:val="005A01FD"/>
    <w:rsid w:val="005A021E"/>
    <w:rsid w:val="005A025D"/>
    <w:rsid w:val="005A0264"/>
    <w:rsid w:val="005A03B4"/>
    <w:rsid w:val="005A0421"/>
    <w:rsid w:val="005A0496"/>
    <w:rsid w:val="005A04BA"/>
    <w:rsid w:val="005A062F"/>
    <w:rsid w:val="005A06C1"/>
    <w:rsid w:val="005A07CF"/>
    <w:rsid w:val="005A09F9"/>
    <w:rsid w:val="005A0DD9"/>
    <w:rsid w:val="005A0DF6"/>
    <w:rsid w:val="005A0E16"/>
    <w:rsid w:val="005A0E88"/>
    <w:rsid w:val="005A0EB1"/>
    <w:rsid w:val="005A0F59"/>
    <w:rsid w:val="005A0F86"/>
    <w:rsid w:val="005A1038"/>
    <w:rsid w:val="005A10C6"/>
    <w:rsid w:val="005A10DA"/>
    <w:rsid w:val="005A1196"/>
    <w:rsid w:val="005A11BA"/>
    <w:rsid w:val="005A11E5"/>
    <w:rsid w:val="005A1275"/>
    <w:rsid w:val="005A1296"/>
    <w:rsid w:val="005A12D0"/>
    <w:rsid w:val="005A145C"/>
    <w:rsid w:val="005A1618"/>
    <w:rsid w:val="005A1645"/>
    <w:rsid w:val="005A16CC"/>
    <w:rsid w:val="005A17E2"/>
    <w:rsid w:val="005A180C"/>
    <w:rsid w:val="005A1A45"/>
    <w:rsid w:val="005A1B45"/>
    <w:rsid w:val="005A1E82"/>
    <w:rsid w:val="005A1FC6"/>
    <w:rsid w:val="005A1FED"/>
    <w:rsid w:val="005A2141"/>
    <w:rsid w:val="005A216E"/>
    <w:rsid w:val="005A2172"/>
    <w:rsid w:val="005A21CF"/>
    <w:rsid w:val="005A21EE"/>
    <w:rsid w:val="005A228E"/>
    <w:rsid w:val="005A22F5"/>
    <w:rsid w:val="005A2461"/>
    <w:rsid w:val="005A2485"/>
    <w:rsid w:val="005A24BE"/>
    <w:rsid w:val="005A262D"/>
    <w:rsid w:val="005A26C2"/>
    <w:rsid w:val="005A277C"/>
    <w:rsid w:val="005A2790"/>
    <w:rsid w:val="005A27BA"/>
    <w:rsid w:val="005A2B36"/>
    <w:rsid w:val="005A2B52"/>
    <w:rsid w:val="005A2C37"/>
    <w:rsid w:val="005A2DB6"/>
    <w:rsid w:val="005A2E0D"/>
    <w:rsid w:val="005A2E84"/>
    <w:rsid w:val="005A2ECA"/>
    <w:rsid w:val="005A2F5A"/>
    <w:rsid w:val="005A3011"/>
    <w:rsid w:val="005A304F"/>
    <w:rsid w:val="005A3084"/>
    <w:rsid w:val="005A313A"/>
    <w:rsid w:val="005A31BD"/>
    <w:rsid w:val="005A3224"/>
    <w:rsid w:val="005A3229"/>
    <w:rsid w:val="005A32B2"/>
    <w:rsid w:val="005A32F7"/>
    <w:rsid w:val="005A3320"/>
    <w:rsid w:val="005A3428"/>
    <w:rsid w:val="005A344F"/>
    <w:rsid w:val="005A35CE"/>
    <w:rsid w:val="005A3674"/>
    <w:rsid w:val="005A36AD"/>
    <w:rsid w:val="005A371C"/>
    <w:rsid w:val="005A377D"/>
    <w:rsid w:val="005A37B3"/>
    <w:rsid w:val="005A3930"/>
    <w:rsid w:val="005A394F"/>
    <w:rsid w:val="005A3DF5"/>
    <w:rsid w:val="005A40CB"/>
    <w:rsid w:val="005A41B9"/>
    <w:rsid w:val="005A420D"/>
    <w:rsid w:val="005A43A9"/>
    <w:rsid w:val="005A4414"/>
    <w:rsid w:val="005A45F4"/>
    <w:rsid w:val="005A465D"/>
    <w:rsid w:val="005A476C"/>
    <w:rsid w:val="005A477A"/>
    <w:rsid w:val="005A47F9"/>
    <w:rsid w:val="005A4955"/>
    <w:rsid w:val="005A4981"/>
    <w:rsid w:val="005A4B66"/>
    <w:rsid w:val="005A4BB0"/>
    <w:rsid w:val="005A4CB6"/>
    <w:rsid w:val="005A4F4E"/>
    <w:rsid w:val="005A4FB8"/>
    <w:rsid w:val="005A5082"/>
    <w:rsid w:val="005A542C"/>
    <w:rsid w:val="005A57DC"/>
    <w:rsid w:val="005A5823"/>
    <w:rsid w:val="005A5891"/>
    <w:rsid w:val="005A5954"/>
    <w:rsid w:val="005A5B01"/>
    <w:rsid w:val="005A5B57"/>
    <w:rsid w:val="005A5CD2"/>
    <w:rsid w:val="005A5CD3"/>
    <w:rsid w:val="005A5E68"/>
    <w:rsid w:val="005A5EBF"/>
    <w:rsid w:val="005A5EF2"/>
    <w:rsid w:val="005A5FBE"/>
    <w:rsid w:val="005A6089"/>
    <w:rsid w:val="005A6154"/>
    <w:rsid w:val="005A61B7"/>
    <w:rsid w:val="005A61C0"/>
    <w:rsid w:val="005A61CB"/>
    <w:rsid w:val="005A62DB"/>
    <w:rsid w:val="005A6350"/>
    <w:rsid w:val="005A6367"/>
    <w:rsid w:val="005A642F"/>
    <w:rsid w:val="005A64A5"/>
    <w:rsid w:val="005A64B6"/>
    <w:rsid w:val="005A65FD"/>
    <w:rsid w:val="005A6742"/>
    <w:rsid w:val="005A685F"/>
    <w:rsid w:val="005A694D"/>
    <w:rsid w:val="005A6960"/>
    <w:rsid w:val="005A6A31"/>
    <w:rsid w:val="005A6A3A"/>
    <w:rsid w:val="005A6AB2"/>
    <w:rsid w:val="005A6AD5"/>
    <w:rsid w:val="005A6B5B"/>
    <w:rsid w:val="005A6BAB"/>
    <w:rsid w:val="005A6C3F"/>
    <w:rsid w:val="005A6C94"/>
    <w:rsid w:val="005A6C9A"/>
    <w:rsid w:val="005A6D4D"/>
    <w:rsid w:val="005A707F"/>
    <w:rsid w:val="005A7264"/>
    <w:rsid w:val="005A726D"/>
    <w:rsid w:val="005A77E9"/>
    <w:rsid w:val="005A7A89"/>
    <w:rsid w:val="005A7D08"/>
    <w:rsid w:val="005A7D9B"/>
    <w:rsid w:val="005A7E46"/>
    <w:rsid w:val="005A7E59"/>
    <w:rsid w:val="005A7EB3"/>
    <w:rsid w:val="005A7EBE"/>
    <w:rsid w:val="005A7FB8"/>
    <w:rsid w:val="005B0030"/>
    <w:rsid w:val="005B00F6"/>
    <w:rsid w:val="005B056F"/>
    <w:rsid w:val="005B05C3"/>
    <w:rsid w:val="005B05FE"/>
    <w:rsid w:val="005B066E"/>
    <w:rsid w:val="005B08FA"/>
    <w:rsid w:val="005B0A13"/>
    <w:rsid w:val="005B0B83"/>
    <w:rsid w:val="005B0D17"/>
    <w:rsid w:val="005B0DC2"/>
    <w:rsid w:val="005B1102"/>
    <w:rsid w:val="005B1266"/>
    <w:rsid w:val="005B1299"/>
    <w:rsid w:val="005B129E"/>
    <w:rsid w:val="005B1397"/>
    <w:rsid w:val="005B1497"/>
    <w:rsid w:val="005B1578"/>
    <w:rsid w:val="005B16C1"/>
    <w:rsid w:val="005B18D4"/>
    <w:rsid w:val="005B1911"/>
    <w:rsid w:val="005B1924"/>
    <w:rsid w:val="005B1BF3"/>
    <w:rsid w:val="005B1D6A"/>
    <w:rsid w:val="005B1F4E"/>
    <w:rsid w:val="005B1F78"/>
    <w:rsid w:val="005B1F7E"/>
    <w:rsid w:val="005B1F99"/>
    <w:rsid w:val="005B1F9E"/>
    <w:rsid w:val="005B2015"/>
    <w:rsid w:val="005B2156"/>
    <w:rsid w:val="005B21E8"/>
    <w:rsid w:val="005B222E"/>
    <w:rsid w:val="005B224B"/>
    <w:rsid w:val="005B22B8"/>
    <w:rsid w:val="005B22E4"/>
    <w:rsid w:val="005B2475"/>
    <w:rsid w:val="005B25F7"/>
    <w:rsid w:val="005B26D9"/>
    <w:rsid w:val="005B2888"/>
    <w:rsid w:val="005B296A"/>
    <w:rsid w:val="005B2B37"/>
    <w:rsid w:val="005B2B59"/>
    <w:rsid w:val="005B2D9E"/>
    <w:rsid w:val="005B2DC3"/>
    <w:rsid w:val="005B2E6C"/>
    <w:rsid w:val="005B2F03"/>
    <w:rsid w:val="005B2F96"/>
    <w:rsid w:val="005B3065"/>
    <w:rsid w:val="005B321D"/>
    <w:rsid w:val="005B323F"/>
    <w:rsid w:val="005B3284"/>
    <w:rsid w:val="005B32CF"/>
    <w:rsid w:val="005B337B"/>
    <w:rsid w:val="005B34F7"/>
    <w:rsid w:val="005B3575"/>
    <w:rsid w:val="005B3640"/>
    <w:rsid w:val="005B374B"/>
    <w:rsid w:val="005B3A8F"/>
    <w:rsid w:val="005B3B24"/>
    <w:rsid w:val="005B3C34"/>
    <w:rsid w:val="005B3CAF"/>
    <w:rsid w:val="005B3EE6"/>
    <w:rsid w:val="005B3F3B"/>
    <w:rsid w:val="005B3F9D"/>
    <w:rsid w:val="005B4174"/>
    <w:rsid w:val="005B4254"/>
    <w:rsid w:val="005B438C"/>
    <w:rsid w:val="005B43AD"/>
    <w:rsid w:val="005B47D5"/>
    <w:rsid w:val="005B49CA"/>
    <w:rsid w:val="005B4A0C"/>
    <w:rsid w:val="005B4A45"/>
    <w:rsid w:val="005B4A76"/>
    <w:rsid w:val="005B4BF6"/>
    <w:rsid w:val="005B4CDD"/>
    <w:rsid w:val="005B4D99"/>
    <w:rsid w:val="005B4DEF"/>
    <w:rsid w:val="005B4F96"/>
    <w:rsid w:val="005B50C5"/>
    <w:rsid w:val="005B51E0"/>
    <w:rsid w:val="005B52E8"/>
    <w:rsid w:val="005B5335"/>
    <w:rsid w:val="005B5368"/>
    <w:rsid w:val="005B53C7"/>
    <w:rsid w:val="005B53F4"/>
    <w:rsid w:val="005B55D6"/>
    <w:rsid w:val="005B55F0"/>
    <w:rsid w:val="005B565B"/>
    <w:rsid w:val="005B569D"/>
    <w:rsid w:val="005B56DF"/>
    <w:rsid w:val="005B570C"/>
    <w:rsid w:val="005B57B0"/>
    <w:rsid w:val="005B585A"/>
    <w:rsid w:val="005B59C9"/>
    <w:rsid w:val="005B5AAC"/>
    <w:rsid w:val="005B5C6A"/>
    <w:rsid w:val="005B5CE3"/>
    <w:rsid w:val="005B5E15"/>
    <w:rsid w:val="005B5E95"/>
    <w:rsid w:val="005B60CC"/>
    <w:rsid w:val="005B61C3"/>
    <w:rsid w:val="005B622F"/>
    <w:rsid w:val="005B624E"/>
    <w:rsid w:val="005B62A0"/>
    <w:rsid w:val="005B649E"/>
    <w:rsid w:val="005B67AC"/>
    <w:rsid w:val="005B6852"/>
    <w:rsid w:val="005B697D"/>
    <w:rsid w:val="005B6A33"/>
    <w:rsid w:val="005B6AEC"/>
    <w:rsid w:val="005B6BB7"/>
    <w:rsid w:val="005B6C92"/>
    <w:rsid w:val="005B6CB5"/>
    <w:rsid w:val="005B6CC5"/>
    <w:rsid w:val="005B6E39"/>
    <w:rsid w:val="005B6E49"/>
    <w:rsid w:val="005B7025"/>
    <w:rsid w:val="005B70BA"/>
    <w:rsid w:val="005B7187"/>
    <w:rsid w:val="005B71F1"/>
    <w:rsid w:val="005B7299"/>
    <w:rsid w:val="005B729D"/>
    <w:rsid w:val="005B7378"/>
    <w:rsid w:val="005B737D"/>
    <w:rsid w:val="005B740B"/>
    <w:rsid w:val="005B742E"/>
    <w:rsid w:val="005B753C"/>
    <w:rsid w:val="005B7570"/>
    <w:rsid w:val="005B7645"/>
    <w:rsid w:val="005B7750"/>
    <w:rsid w:val="005B7790"/>
    <w:rsid w:val="005B7798"/>
    <w:rsid w:val="005B78C9"/>
    <w:rsid w:val="005B790C"/>
    <w:rsid w:val="005B7AF6"/>
    <w:rsid w:val="005B7B11"/>
    <w:rsid w:val="005B7B1E"/>
    <w:rsid w:val="005B7B2F"/>
    <w:rsid w:val="005B7C0B"/>
    <w:rsid w:val="005B7D43"/>
    <w:rsid w:val="005B7D48"/>
    <w:rsid w:val="005B7E9A"/>
    <w:rsid w:val="005B7F70"/>
    <w:rsid w:val="005C00D4"/>
    <w:rsid w:val="005C0104"/>
    <w:rsid w:val="005C01A8"/>
    <w:rsid w:val="005C03B4"/>
    <w:rsid w:val="005C04D2"/>
    <w:rsid w:val="005C051D"/>
    <w:rsid w:val="005C059D"/>
    <w:rsid w:val="005C063D"/>
    <w:rsid w:val="005C064D"/>
    <w:rsid w:val="005C09F9"/>
    <w:rsid w:val="005C0B2E"/>
    <w:rsid w:val="005C0B75"/>
    <w:rsid w:val="005C0C6A"/>
    <w:rsid w:val="005C0C7D"/>
    <w:rsid w:val="005C0D0B"/>
    <w:rsid w:val="005C0E24"/>
    <w:rsid w:val="005C0E69"/>
    <w:rsid w:val="005C1268"/>
    <w:rsid w:val="005C13B9"/>
    <w:rsid w:val="005C147E"/>
    <w:rsid w:val="005C1793"/>
    <w:rsid w:val="005C1A2D"/>
    <w:rsid w:val="005C1CE6"/>
    <w:rsid w:val="005C1EA4"/>
    <w:rsid w:val="005C2151"/>
    <w:rsid w:val="005C238D"/>
    <w:rsid w:val="005C2488"/>
    <w:rsid w:val="005C24ED"/>
    <w:rsid w:val="005C2851"/>
    <w:rsid w:val="005C28B2"/>
    <w:rsid w:val="005C2A93"/>
    <w:rsid w:val="005C2ACA"/>
    <w:rsid w:val="005C2C6B"/>
    <w:rsid w:val="005C2CE9"/>
    <w:rsid w:val="005C2CED"/>
    <w:rsid w:val="005C2D89"/>
    <w:rsid w:val="005C2E97"/>
    <w:rsid w:val="005C3058"/>
    <w:rsid w:val="005C30D7"/>
    <w:rsid w:val="005C3129"/>
    <w:rsid w:val="005C3190"/>
    <w:rsid w:val="005C31FF"/>
    <w:rsid w:val="005C33B1"/>
    <w:rsid w:val="005C3453"/>
    <w:rsid w:val="005C3594"/>
    <w:rsid w:val="005C3893"/>
    <w:rsid w:val="005C38B6"/>
    <w:rsid w:val="005C3910"/>
    <w:rsid w:val="005C3A59"/>
    <w:rsid w:val="005C3A5B"/>
    <w:rsid w:val="005C3C6B"/>
    <w:rsid w:val="005C3CF3"/>
    <w:rsid w:val="005C3DA2"/>
    <w:rsid w:val="005C3F06"/>
    <w:rsid w:val="005C3F1B"/>
    <w:rsid w:val="005C3F9C"/>
    <w:rsid w:val="005C4064"/>
    <w:rsid w:val="005C4137"/>
    <w:rsid w:val="005C41AB"/>
    <w:rsid w:val="005C41CB"/>
    <w:rsid w:val="005C425E"/>
    <w:rsid w:val="005C4299"/>
    <w:rsid w:val="005C43EF"/>
    <w:rsid w:val="005C43FE"/>
    <w:rsid w:val="005C442A"/>
    <w:rsid w:val="005C4794"/>
    <w:rsid w:val="005C4803"/>
    <w:rsid w:val="005C4860"/>
    <w:rsid w:val="005C4BB5"/>
    <w:rsid w:val="005C4C99"/>
    <w:rsid w:val="005C4CEB"/>
    <w:rsid w:val="005C4CEC"/>
    <w:rsid w:val="005C4D0D"/>
    <w:rsid w:val="005C4D4C"/>
    <w:rsid w:val="005C4D83"/>
    <w:rsid w:val="005C5023"/>
    <w:rsid w:val="005C50AB"/>
    <w:rsid w:val="005C5121"/>
    <w:rsid w:val="005C520A"/>
    <w:rsid w:val="005C538D"/>
    <w:rsid w:val="005C5410"/>
    <w:rsid w:val="005C541D"/>
    <w:rsid w:val="005C5532"/>
    <w:rsid w:val="005C55AC"/>
    <w:rsid w:val="005C55F5"/>
    <w:rsid w:val="005C5691"/>
    <w:rsid w:val="005C57F6"/>
    <w:rsid w:val="005C5846"/>
    <w:rsid w:val="005C5994"/>
    <w:rsid w:val="005C5A51"/>
    <w:rsid w:val="005C5E1D"/>
    <w:rsid w:val="005C5E52"/>
    <w:rsid w:val="005C5FF5"/>
    <w:rsid w:val="005C60B4"/>
    <w:rsid w:val="005C61CA"/>
    <w:rsid w:val="005C626F"/>
    <w:rsid w:val="005C636E"/>
    <w:rsid w:val="005C63A3"/>
    <w:rsid w:val="005C6400"/>
    <w:rsid w:val="005C64AF"/>
    <w:rsid w:val="005C64B2"/>
    <w:rsid w:val="005C6652"/>
    <w:rsid w:val="005C66E3"/>
    <w:rsid w:val="005C6833"/>
    <w:rsid w:val="005C685D"/>
    <w:rsid w:val="005C68BC"/>
    <w:rsid w:val="005C690E"/>
    <w:rsid w:val="005C69B1"/>
    <w:rsid w:val="005C6A31"/>
    <w:rsid w:val="005C6AAE"/>
    <w:rsid w:val="005C6C2B"/>
    <w:rsid w:val="005C6D33"/>
    <w:rsid w:val="005C6D9F"/>
    <w:rsid w:val="005C7013"/>
    <w:rsid w:val="005C7032"/>
    <w:rsid w:val="005C71CA"/>
    <w:rsid w:val="005C736F"/>
    <w:rsid w:val="005C7380"/>
    <w:rsid w:val="005C75C7"/>
    <w:rsid w:val="005C767B"/>
    <w:rsid w:val="005C76B4"/>
    <w:rsid w:val="005C77A7"/>
    <w:rsid w:val="005C7894"/>
    <w:rsid w:val="005C7956"/>
    <w:rsid w:val="005C79E2"/>
    <w:rsid w:val="005C7A8F"/>
    <w:rsid w:val="005C7B23"/>
    <w:rsid w:val="005C7B57"/>
    <w:rsid w:val="005C7DCB"/>
    <w:rsid w:val="005C7EFB"/>
    <w:rsid w:val="005C7F31"/>
    <w:rsid w:val="005D002E"/>
    <w:rsid w:val="005D00DB"/>
    <w:rsid w:val="005D00E0"/>
    <w:rsid w:val="005D030A"/>
    <w:rsid w:val="005D0320"/>
    <w:rsid w:val="005D0350"/>
    <w:rsid w:val="005D04D9"/>
    <w:rsid w:val="005D0600"/>
    <w:rsid w:val="005D061A"/>
    <w:rsid w:val="005D0657"/>
    <w:rsid w:val="005D0797"/>
    <w:rsid w:val="005D07B0"/>
    <w:rsid w:val="005D091E"/>
    <w:rsid w:val="005D0B69"/>
    <w:rsid w:val="005D0BC6"/>
    <w:rsid w:val="005D0D02"/>
    <w:rsid w:val="005D0DFB"/>
    <w:rsid w:val="005D0E99"/>
    <w:rsid w:val="005D1002"/>
    <w:rsid w:val="005D1037"/>
    <w:rsid w:val="005D109F"/>
    <w:rsid w:val="005D1176"/>
    <w:rsid w:val="005D1183"/>
    <w:rsid w:val="005D1367"/>
    <w:rsid w:val="005D1375"/>
    <w:rsid w:val="005D1583"/>
    <w:rsid w:val="005D1637"/>
    <w:rsid w:val="005D18C9"/>
    <w:rsid w:val="005D1B4A"/>
    <w:rsid w:val="005D1C14"/>
    <w:rsid w:val="005D1C61"/>
    <w:rsid w:val="005D1D75"/>
    <w:rsid w:val="005D1EB6"/>
    <w:rsid w:val="005D1F3D"/>
    <w:rsid w:val="005D200E"/>
    <w:rsid w:val="005D219F"/>
    <w:rsid w:val="005D21AF"/>
    <w:rsid w:val="005D2283"/>
    <w:rsid w:val="005D22A3"/>
    <w:rsid w:val="005D23AA"/>
    <w:rsid w:val="005D2415"/>
    <w:rsid w:val="005D246D"/>
    <w:rsid w:val="005D2471"/>
    <w:rsid w:val="005D24DD"/>
    <w:rsid w:val="005D24EA"/>
    <w:rsid w:val="005D2619"/>
    <w:rsid w:val="005D2684"/>
    <w:rsid w:val="005D28D5"/>
    <w:rsid w:val="005D2BC0"/>
    <w:rsid w:val="005D2BD5"/>
    <w:rsid w:val="005D2C88"/>
    <w:rsid w:val="005D2D55"/>
    <w:rsid w:val="005D2D79"/>
    <w:rsid w:val="005D2DDD"/>
    <w:rsid w:val="005D2FA2"/>
    <w:rsid w:val="005D2FB0"/>
    <w:rsid w:val="005D3037"/>
    <w:rsid w:val="005D3154"/>
    <w:rsid w:val="005D3173"/>
    <w:rsid w:val="005D31F1"/>
    <w:rsid w:val="005D3201"/>
    <w:rsid w:val="005D3207"/>
    <w:rsid w:val="005D3218"/>
    <w:rsid w:val="005D3234"/>
    <w:rsid w:val="005D3409"/>
    <w:rsid w:val="005D3498"/>
    <w:rsid w:val="005D34E5"/>
    <w:rsid w:val="005D3528"/>
    <w:rsid w:val="005D354C"/>
    <w:rsid w:val="005D37E9"/>
    <w:rsid w:val="005D380C"/>
    <w:rsid w:val="005D3861"/>
    <w:rsid w:val="005D39CF"/>
    <w:rsid w:val="005D39E8"/>
    <w:rsid w:val="005D39F2"/>
    <w:rsid w:val="005D3AF6"/>
    <w:rsid w:val="005D3C6E"/>
    <w:rsid w:val="005D3CF4"/>
    <w:rsid w:val="005D3D45"/>
    <w:rsid w:val="005D3FAE"/>
    <w:rsid w:val="005D4035"/>
    <w:rsid w:val="005D414D"/>
    <w:rsid w:val="005D425A"/>
    <w:rsid w:val="005D4442"/>
    <w:rsid w:val="005D4499"/>
    <w:rsid w:val="005D454E"/>
    <w:rsid w:val="005D4553"/>
    <w:rsid w:val="005D470C"/>
    <w:rsid w:val="005D4791"/>
    <w:rsid w:val="005D4BF1"/>
    <w:rsid w:val="005D4DA6"/>
    <w:rsid w:val="005D517A"/>
    <w:rsid w:val="005D51C6"/>
    <w:rsid w:val="005D522A"/>
    <w:rsid w:val="005D5446"/>
    <w:rsid w:val="005D5479"/>
    <w:rsid w:val="005D5622"/>
    <w:rsid w:val="005D56C4"/>
    <w:rsid w:val="005D56D5"/>
    <w:rsid w:val="005D58D1"/>
    <w:rsid w:val="005D5914"/>
    <w:rsid w:val="005D592B"/>
    <w:rsid w:val="005D5981"/>
    <w:rsid w:val="005D5C5C"/>
    <w:rsid w:val="005D5C7F"/>
    <w:rsid w:val="005D5CC5"/>
    <w:rsid w:val="005D5DD1"/>
    <w:rsid w:val="005D5F41"/>
    <w:rsid w:val="005D5F82"/>
    <w:rsid w:val="005D6435"/>
    <w:rsid w:val="005D64E3"/>
    <w:rsid w:val="005D654D"/>
    <w:rsid w:val="005D65BF"/>
    <w:rsid w:val="005D65DD"/>
    <w:rsid w:val="005D674E"/>
    <w:rsid w:val="005D699F"/>
    <w:rsid w:val="005D6B69"/>
    <w:rsid w:val="005D6D89"/>
    <w:rsid w:val="005D6DAF"/>
    <w:rsid w:val="005D6EE0"/>
    <w:rsid w:val="005D6FAF"/>
    <w:rsid w:val="005D701E"/>
    <w:rsid w:val="005D7203"/>
    <w:rsid w:val="005D7399"/>
    <w:rsid w:val="005D741B"/>
    <w:rsid w:val="005D7437"/>
    <w:rsid w:val="005D749D"/>
    <w:rsid w:val="005D74D8"/>
    <w:rsid w:val="005D74E2"/>
    <w:rsid w:val="005D74E5"/>
    <w:rsid w:val="005D750B"/>
    <w:rsid w:val="005D75AD"/>
    <w:rsid w:val="005D76E4"/>
    <w:rsid w:val="005D7841"/>
    <w:rsid w:val="005D78A5"/>
    <w:rsid w:val="005D78CA"/>
    <w:rsid w:val="005D78CD"/>
    <w:rsid w:val="005D7954"/>
    <w:rsid w:val="005D7A5B"/>
    <w:rsid w:val="005D7B02"/>
    <w:rsid w:val="005D7BDE"/>
    <w:rsid w:val="005D7E56"/>
    <w:rsid w:val="005D7EEC"/>
    <w:rsid w:val="005D7FDF"/>
    <w:rsid w:val="005E011F"/>
    <w:rsid w:val="005E0175"/>
    <w:rsid w:val="005E0600"/>
    <w:rsid w:val="005E0770"/>
    <w:rsid w:val="005E0823"/>
    <w:rsid w:val="005E0B1F"/>
    <w:rsid w:val="005E0C78"/>
    <w:rsid w:val="005E0C8D"/>
    <w:rsid w:val="005E0D68"/>
    <w:rsid w:val="005E0D79"/>
    <w:rsid w:val="005E0E11"/>
    <w:rsid w:val="005E0EDF"/>
    <w:rsid w:val="005E10D1"/>
    <w:rsid w:val="005E128C"/>
    <w:rsid w:val="005E132B"/>
    <w:rsid w:val="005E13A0"/>
    <w:rsid w:val="005E13E5"/>
    <w:rsid w:val="005E1494"/>
    <w:rsid w:val="005E1500"/>
    <w:rsid w:val="005E1630"/>
    <w:rsid w:val="005E190C"/>
    <w:rsid w:val="005E196F"/>
    <w:rsid w:val="005E1ABC"/>
    <w:rsid w:val="005E1AEA"/>
    <w:rsid w:val="005E1B7E"/>
    <w:rsid w:val="005E1BAC"/>
    <w:rsid w:val="005E1E02"/>
    <w:rsid w:val="005E1E67"/>
    <w:rsid w:val="005E21F9"/>
    <w:rsid w:val="005E23CE"/>
    <w:rsid w:val="005E246B"/>
    <w:rsid w:val="005E24AF"/>
    <w:rsid w:val="005E26A2"/>
    <w:rsid w:val="005E2710"/>
    <w:rsid w:val="005E2777"/>
    <w:rsid w:val="005E278E"/>
    <w:rsid w:val="005E27CE"/>
    <w:rsid w:val="005E2825"/>
    <w:rsid w:val="005E288B"/>
    <w:rsid w:val="005E28BD"/>
    <w:rsid w:val="005E29B5"/>
    <w:rsid w:val="005E2A35"/>
    <w:rsid w:val="005E2AF2"/>
    <w:rsid w:val="005E2B13"/>
    <w:rsid w:val="005E2B24"/>
    <w:rsid w:val="005E2B48"/>
    <w:rsid w:val="005E2B57"/>
    <w:rsid w:val="005E2BA7"/>
    <w:rsid w:val="005E2CC2"/>
    <w:rsid w:val="005E2E36"/>
    <w:rsid w:val="005E2F14"/>
    <w:rsid w:val="005E2F77"/>
    <w:rsid w:val="005E2F78"/>
    <w:rsid w:val="005E3064"/>
    <w:rsid w:val="005E307B"/>
    <w:rsid w:val="005E3155"/>
    <w:rsid w:val="005E31B6"/>
    <w:rsid w:val="005E330C"/>
    <w:rsid w:val="005E34BC"/>
    <w:rsid w:val="005E3618"/>
    <w:rsid w:val="005E362F"/>
    <w:rsid w:val="005E3668"/>
    <w:rsid w:val="005E368B"/>
    <w:rsid w:val="005E36AD"/>
    <w:rsid w:val="005E378A"/>
    <w:rsid w:val="005E39F8"/>
    <w:rsid w:val="005E3A93"/>
    <w:rsid w:val="005E3AD1"/>
    <w:rsid w:val="005E3B01"/>
    <w:rsid w:val="005E3B6D"/>
    <w:rsid w:val="005E3CEB"/>
    <w:rsid w:val="005E3D98"/>
    <w:rsid w:val="005E3F68"/>
    <w:rsid w:val="005E405D"/>
    <w:rsid w:val="005E40C3"/>
    <w:rsid w:val="005E4108"/>
    <w:rsid w:val="005E41AC"/>
    <w:rsid w:val="005E4426"/>
    <w:rsid w:val="005E4495"/>
    <w:rsid w:val="005E449B"/>
    <w:rsid w:val="005E44C7"/>
    <w:rsid w:val="005E459F"/>
    <w:rsid w:val="005E4631"/>
    <w:rsid w:val="005E4731"/>
    <w:rsid w:val="005E4870"/>
    <w:rsid w:val="005E48EE"/>
    <w:rsid w:val="005E4908"/>
    <w:rsid w:val="005E499D"/>
    <w:rsid w:val="005E4B5E"/>
    <w:rsid w:val="005E4B6C"/>
    <w:rsid w:val="005E4D88"/>
    <w:rsid w:val="005E4DE1"/>
    <w:rsid w:val="005E4E45"/>
    <w:rsid w:val="005E4F3B"/>
    <w:rsid w:val="005E5166"/>
    <w:rsid w:val="005E5192"/>
    <w:rsid w:val="005E5324"/>
    <w:rsid w:val="005E5418"/>
    <w:rsid w:val="005E549B"/>
    <w:rsid w:val="005E5533"/>
    <w:rsid w:val="005E55F5"/>
    <w:rsid w:val="005E565A"/>
    <w:rsid w:val="005E5803"/>
    <w:rsid w:val="005E5925"/>
    <w:rsid w:val="005E5B25"/>
    <w:rsid w:val="005E5C9C"/>
    <w:rsid w:val="005E5D0B"/>
    <w:rsid w:val="005E5FFF"/>
    <w:rsid w:val="005E607F"/>
    <w:rsid w:val="005E60C3"/>
    <w:rsid w:val="005E63FD"/>
    <w:rsid w:val="005E64C9"/>
    <w:rsid w:val="005E66F0"/>
    <w:rsid w:val="005E676D"/>
    <w:rsid w:val="005E6A0B"/>
    <w:rsid w:val="005E6A48"/>
    <w:rsid w:val="005E6AB4"/>
    <w:rsid w:val="005E6B9F"/>
    <w:rsid w:val="005E6C6F"/>
    <w:rsid w:val="005E6CC7"/>
    <w:rsid w:val="005E6CD2"/>
    <w:rsid w:val="005E6D05"/>
    <w:rsid w:val="005E6D76"/>
    <w:rsid w:val="005E6F12"/>
    <w:rsid w:val="005E6F78"/>
    <w:rsid w:val="005E703A"/>
    <w:rsid w:val="005E7447"/>
    <w:rsid w:val="005E77A4"/>
    <w:rsid w:val="005E77CF"/>
    <w:rsid w:val="005E77EE"/>
    <w:rsid w:val="005E780B"/>
    <w:rsid w:val="005E789F"/>
    <w:rsid w:val="005E7952"/>
    <w:rsid w:val="005E7A80"/>
    <w:rsid w:val="005E7B9F"/>
    <w:rsid w:val="005E7BBE"/>
    <w:rsid w:val="005E7C13"/>
    <w:rsid w:val="005E7C49"/>
    <w:rsid w:val="005E7C59"/>
    <w:rsid w:val="005E7C85"/>
    <w:rsid w:val="005E7DB9"/>
    <w:rsid w:val="005E7DDF"/>
    <w:rsid w:val="005E7E22"/>
    <w:rsid w:val="005E7E6C"/>
    <w:rsid w:val="005E7F35"/>
    <w:rsid w:val="005E7FC4"/>
    <w:rsid w:val="005F0003"/>
    <w:rsid w:val="005F001F"/>
    <w:rsid w:val="005F01C5"/>
    <w:rsid w:val="005F0217"/>
    <w:rsid w:val="005F036A"/>
    <w:rsid w:val="005F0394"/>
    <w:rsid w:val="005F0419"/>
    <w:rsid w:val="005F04BB"/>
    <w:rsid w:val="005F0500"/>
    <w:rsid w:val="005F055A"/>
    <w:rsid w:val="005F05F1"/>
    <w:rsid w:val="005F0648"/>
    <w:rsid w:val="005F06E9"/>
    <w:rsid w:val="005F077F"/>
    <w:rsid w:val="005F0824"/>
    <w:rsid w:val="005F0841"/>
    <w:rsid w:val="005F09A1"/>
    <w:rsid w:val="005F09C5"/>
    <w:rsid w:val="005F09E1"/>
    <w:rsid w:val="005F0AF1"/>
    <w:rsid w:val="005F0C2C"/>
    <w:rsid w:val="005F0F75"/>
    <w:rsid w:val="005F0FEE"/>
    <w:rsid w:val="005F108A"/>
    <w:rsid w:val="005F1093"/>
    <w:rsid w:val="005F1159"/>
    <w:rsid w:val="005F115F"/>
    <w:rsid w:val="005F1170"/>
    <w:rsid w:val="005F1197"/>
    <w:rsid w:val="005F11BE"/>
    <w:rsid w:val="005F126F"/>
    <w:rsid w:val="005F12C8"/>
    <w:rsid w:val="005F131D"/>
    <w:rsid w:val="005F139F"/>
    <w:rsid w:val="005F13C8"/>
    <w:rsid w:val="005F1464"/>
    <w:rsid w:val="005F1561"/>
    <w:rsid w:val="005F1685"/>
    <w:rsid w:val="005F16D0"/>
    <w:rsid w:val="005F1901"/>
    <w:rsid w:val="005F19CC"/>
    <w:rsid w:val="005F1B02"/>
    <w:rsid w:val="005F1B4C"/>
    <w:rsid w:val="005F1E0B"/>
    <w:rsid w:val="005F1E7C"/>
    <w:rsid w:val="005F1EF2"/>
    <w:rsid w:val="005F20D3"/>
    <w:rsid w:val="005F221A"/>
    <w:rsid w:val="005F2266"/>
    <w:rsid w:val="005F23D7"/>
    <w:rsid w:val="005F24E1"/>
    <w:rsid w:val="005F269D"/>
    <w:rsid w:val="005F26DC"/>
    <w:rsid w:val="005F26FC"/>
    <w:rsid w:val="005F2800"/>
    <w:rsid w:val="005F2806"/>
    <w:rsid w:val="005F2967"/>
    <w:rsid w:val="005F296C"/>
    <w:rsid w:val="005F2A5E"/>
    <w:rsid w:val="005F2CF6"/>
    <w:rsid w:val="005F2D2F"/>
    <w:rsid w:val="005F2D8D"/>
    <w:rsid w:val="005F2E8C"/>
    <w:rsid w:val="005F2F57"/>
    <w:rsid w:val="005F30FA"/>
    <w:rsid w:val="005F31F1"/>
    <w:rsid w:val="005F32F7"/>
    <w:rsid w:val="005F33E4"/>
    <w:rsid w:val="005F343B"/>
    <w:rsid w:val="005F34B8"/>
    <w:rsid w:val="005F34CF"/>
    <w:rsid w:val="005F3529"/>
    <w:rsid w:val="005F35D7"/>
    <w:rsid w:val="005F3650"/>
    <w:rsid w:val="005F3882"/>
    <w:rsid w:val="005F38CC"/>
    <w:rsid w:val="005F394D"/>
    <w:rsid w:val="005F397C"/>
    <w:rsid w:val="005F3AC7"/>
    <w:rsid w:val="005F3BC5"/>
    <w:rsid w:val="005F3BEF"/>
    <w:rsid w:val="005F3D88"/>
    <w:rsid w:val="005F3F68"/>
    <w:rsid w:val="005F3FA0"/>
    <w:rsid w:val="005F40D3"/>
    <w:rsid w:val="005F41D9"/>
    <w:rsid w:val="005F42DA"/>
    <w:rsid w:val="005F441F"/>
    <w:rsid w:val="005F4728"/>
    <w:rsid w:val="005F474B"/>
    <w:rsid w:val="005F481A"/>
    <w:rsid w:val="005F49B1"/>
    <w:rsid w:val="005F4AC9"/>
    <w:rsid w:val="005F4C38"/>
    <w:rsid w:val="005F4CBE"/>
    <w:rsid w:val="005F4DDE"/>
    <w:rsid w:val="005F5058"/>
    <w:rsid w:val="005F524B"/>
    <w:rsid w:val="005F5303"/>
    <w:rsid w:val="005F530B"/>
    <w:rsid w:val="005F5510"/>
    <w:rsid w:val="005F56B7"/>
    <w:rsid w:val="005F5858"/>
    <w:rsid w:val="005F58BE"/>
    <w:rsid w:val="005F594B"/>
    <w:rsid w:val="005F59A7"/>
    <w:rsid w:val="005F5FED"/>
    <w:rsid w:val="005F5FFA"/>
    <w:rsid w:val="005F6090"/>
    <w:rsid w:val="005F60EE"/>
    <w:rsid w:val="005F6166"/>
    <w:rsid w:val="005F6289"/>
    <w:rsid w:val="005F645B"/>
    <w:rsid w:val="005F65C2"/>
    <w:rsid w:val="005F6672"/>
    <w:rsid w:val="005F670A"/>
    <w:rsid w:val="005F6774"/>
    <w:rsid w:val="005F67EF"/>
    <w:rsid w:val="005F6A41"/>
    <w:rsid w:val="005F6A83"/>
    <w:rsid w:val="005F6CEC"/>
    <w:rsid w:val="005F6D40"/>
    <w:rsid w:val="005F6E8F"/>
    <w:rsid w:val="005F7167"/>
    <w:rsid w:val="005F7189"/>
    <w:rsid w:val="005F74F9"/>
    <w:rsid w:val="005F756E"/>
    <w:rsid w:val="005F75B7"/>
    <w:rsid w:val="005F781A"/>
    <w:rsid w:val="005F7995"/>
    <w:rsid w:val="005F79AF"/>
    <w:rsid w:val="005F7A8B"/>
    <w:rsid w:val="005F7B4F"/>
    <w:rsid w:val="005F7D11"/>
    <w:rsid w:val="005F7D4F"/>
    <w:rsid w:val="005F7E6C"/>
    <w:rsid w:val="005F7EF5"/>
    <w:rsid w:val="005F7F4D"/>
    <w:rsid w:val="005F7F79"/>
    <w:rsid w:val="005F7FD0"/>
    <w:rsid w:val="0060000F"/>
    <w:rsid w:val="00600077"/>
    <w:rsid w:val="0060009D"/>
    <w:rsid w:val="006000C3"/>
    <w:rsid w:val="006001BF"/>
    <w:rsid w:val="006002DA"/>
    <w:rsid w:val="006003DF"/>
    <w:rsid w:val="0060049A"/>
    <w:rsid w:val="006004A3"/>
    <w:rsid w:val="00600502"/>
    <w:rsid w:val="00600510"/>
    <w:rsid w:val="00600612"/>
    <w:rsid w:val="00600769"/>
    <w:rsid w:val="00600777"/>
    <w:rsid w:val="0060083C"/>
    <w:rsid w:val="00600911"/>
    <w:rsid w:val="0060093C"/>
    <w:rsid w:val="00600961"/>
    <w:rsid w:val="0060099E"/>
    <w:rsid w:val="006009C2"/>
    <w:rsid w:val="006009D8"/>
    <w:rsid w:val="00600C95"/>
    <w:rsid w:val="00600F4D"/>
    <w:rsid w:val="0060101A"/>
    <w:rsid w:val="00601025"/>
    <w:rsid w:val="00601208"/>
    <w:rsid w:val="0060136E"/>
    <w:rsid w:val="00601500"/>
    <w:rsid w:val="00601612"/>
    <w:rsid w:val="00601832"/>
    <w:rsid w:val="00601907"/>
    <w:rsid w:val="00601919"/>
    <w:rsid w:val="00601D5C"/>
    <w:rsid w:val="00602085"/>
    <w:rsid w:val="0060221C"/>
    <w:rsid w:val="00602362"/>
    <w:rsid w:val="00602447"/>
    <w:rsid w:val="00602455"/>
    <w:rsid w:val="00602631"/>
    <w:rsid w:val="00602695"/>
    <w:rsid w:val="0060275A"/>
    <w:rsid w:val="00602880"/>
    <w:rsid w:val="006028AB"/>
    <w:rsid w:val="006028C0"/>
    <w:rsid w:val="006028FB"/>
    <w:rsid w:val="00602961"/>
    <w:rsid w:val="0060296E"/>
    <w:rsid w:val="00602AF5"/>
    <w:rsid w:val="00602C0E"/>
    <w:rsid w:val="00602C69"/>
    <w:rsid w:val="00602D18"/>
    <w:rsid w:val="00602D36"/>
    <w:rsid w:val="00602E26"/>
    <w:rsid w:val="00602EF5"/>
    <w:rsid w:val="0060306B"/>
    <w:rsid w:val="00603158"/>
    <w:rsid w:val="00603286"/>
    <w:rsid w:val="00603397"/>
    <w:rsid w:val="0060341D"/>
    <w:rsid w:val="006037EF"/>
    <w:rsid w:val="00603930"/>
    <w:rsid w:val="00603A20"/>
    <w:rsid w:val="00603B2B"/>
    <w:rsid w:val="00603BA4"/>
    <w:rsid w:val="00603CD1"/>
    <w:rsid w:val="00603CF3"/>
    <w:rsid w:val="00603D47"/>
    <w:rsid w:val="00603D53"/>
    <w:rsid w:val="00603D93"/>
    <w:rsid w:val="00603DDC"/>
    <w:rsid w:val="00603E3A"/>
    <w:rsid w:val="00603E97"/>
    <w:rsid w:val="00603EFF"/>
    <w:rsid w:val="00603F4F"/>
    <w:rsid w:val="00603FBA"/>
    <w:rsid w:val="006040E1"/>
    <w:rsid w:val="0060418F"/>
    <w:rsid w:val="006041C8"/>
    <w:rsid w:val="00604222"/>
    <w:rsid w:val="006042F7"/>
    <w:rsid w:val="00604315"/>
    <w:rsid w:val="006044B8"/>
    <w:rsid w:val="00604577"/>
    <w:rsid w:val="00604672"/>
    <w:rsid w:val="0060476D"/>
    <w:rsid w:val="006047AB"/>
    <w:rsid w:val="0060491B"/>
    <w:rsid w:val="00604AB9"/>
    <w:rsid w:val="00604B3A"/>
    <w:rsid w:val="00604B71"/>
    <w:rsid w:val="00604B9E"/>
    <w:rsid w:val="00604C67"/>
    <w:rsid w:val="00604FC5"/>
    <w:rsid w:val="00604FF7"/>
    <w:rsid w:val="0060504C"/>
    <w:rsid w:val="006050E3"/>
    <w:rsid w:val="006052B3"/>
    <w:rsid w:val="006052E3"/>
    <w:rsid w:val="006054C1"/>
    <w:rsid w:val="0060552A"/>
    <w:rsid w:val="0060552F"/>
    <w:rsid w:val="006055D0"/>
    <w:rsid w:val="006055DA"/>
    <w:rsid w:val="00605661"/>
    <w:rsid w:val="006056C6"/>
    <w:rsid w:val="00605788"/>
    <w:rsid w:val="006057D3"/>
    <w:rsid w:val="006057DD"/>
    <w:rsid w:val="006058F0"/>
    <w:rsid w:val="0060593C"/>
    <w:rsid w:val="006059CB"/>
    <w:rsid w:val="00605A3D"/>
    <w:rsid w:val="00605D4E"/>
    <w:rsid w:val="00605D66"/>
    <w:rsid w:val="00605E54"/>
    <w:rsid w:val="00606076"/>
    <w:rsid w:val="00606168"/>
    <w:rsid w:val="0060630A"/>
    <w:rsid w:val="0060637A"/>
    <w:rsid w:val="006063B0"/>
    <w:rsid w:val="0060640E"/>
    <w:rsid w:val="0060645A"/>
    <w:rsid w:val="006064C6"/>
    <w:rsid w:val="00606522"/>
    <w:rsid w:val="00606539"/>
    <w:rsid w:val="006065D5"/>
    <w:rsid w:val="00606694"/>
    <w:rsid w:val="0060675C"/>
    <w:rsid w:val="0060686C"/>
    <w:rsid w:val="0060697B"/>
    <w:rsid w:val="00606A10"/>
    <w:rsid w:val="00606ABE"/>
    <w:rsid w:val="00606AF0"/>
    <w:rsid w:val="00606AFF"/>
    <w:rsid w:val="00606B1C"/>
    <w:rsid w:val="00606C68"/>
    <w:rsid w:val="00606CE6"/>
    <w:rsid w:val="00606D05"/>
    <w:rsid w:val="00606D16"/>
    <w:rsid w:val="00606E4C"/>
    <w:rsid w:val="00606E60"/>
    <w:rsid w:val="00606EC3"/>
    <w:rsid w:val="00606EF8"/>
    <w:rsid w:val="00607274"/>
    <w:rsid w:val="006072B5"/>
    <w:rsid w:val="00607358"/>
    <w:rsid w:val="006073B7"/>
    <w:rsid w:val="006073B9"/>
    <w:rsid w:val="00607463"/>
    <w:rsid w:val="006074C1"/>
    <w:rsid w:val="00607715"/>
    <w:rsid w:val="0060776B"/>
    <w:rsid w:val="006078AA"/>
    <w:rsid w:val="006079E7"/>
    <w:rsid w:val="00607B41"/>
    <w:rsid w:val="00607BB2"/>
    <w:rsid w:val="00607C22"/>
    <w:rsid w:val="00607CEC"/>
    <w:rsid w:val="00607D37"/>
    <w:rsid w:val="00607E44"/>
    <w:rsid w:val="00607E6E"/>
    <w:rsid w:val="00607E7C"/>
    <w:rsid w:val="00607F6B"/>
    <w:rsid w:val="00607FD4"/>
    <w:rsid w:val="006101FD"/>
    <w:rsid w:val="00610318"/>
    <w:rsid w:val="0061066F"/>
    <w:rsid w:val="0061079F"/>
    <w:rsid w:val="006107A8"/>
    <w:rsid w:val="00610872"/>
    <w:rsid w:val="00610B97"/>
    <w:rsid w:val="00610D11"/>
    <w:rsid w:val="00610D41"/>
    <w:rsid w:val="00610E12"/>
    <w:rsid w:val="00610E4B"/>
    <w:rsid w:val="00610ED3"/>
    <w:rsid w:val="00610EFC"/>
    <w:rsid w:val="00610F0B"/>
    <w:rsid w:val="00611009"/>
    <w:rsid w:val="0061104B"/>
    <w:rsid w:val="0061121F"/>
    <w:rsid w:val="00611263"/>
    <w:rsid w:val="006112F5"/>
    <w:rsid w:val="0061133D"/>
    <w:rsid w:val="0061134E"/>
    <w:rsid w:val="0061149C"/>
    <w:rsid w:val="00611536"/>
    <w:rsid w:val="00611636"/>
    <w:rsid w:val="00611751"/>
    <w:rsid w:val="00611A63"/>
    <w:rsid w:val="00611A7B"/>
    <w:rsid w:val="00611ACA"/>
    <w:rsid w:val="00611AE8"/>
    <w:rsid w:val="00611AEE"/>
    <w:rsid w:val="00611EA4"/>
    <w:rsid w:val="00611F95"/>
    <w:rsid w:val="00612065"/>
    <w:rsid w:val="006120B0"/>
    <w:rsid w:val="006122DF"/>
    <w:rsid w:val="00612529"/>
    <w:rsid w:val="006125D6"/>
    <w:rsid w:val="006127E7"/>
    <w:rsid w:val="0061287E"/>
    <w:rsid w:val="00612A32"/>
    <w:rsid w:val="00612AB8"/>
    <w:rsid w:val="00612AD1"/>
    <w:rsid w:val="00612BB1"/>
    <w:rsid w:val="00612BF3"/>
    <w:rsid w:val="00612CA4"/>
    <w:rsid w:val="00612CD5"/>
    <w:rsid w:val="00612D60"/>
    <w:rsid w:val="00612D98"/>
    <w:rsid w:val="006130C0"/>
    <w:rsid w:val="006134A9"/>
    <w:rsid w:val="006134C2"/>
    <w:rsid w:val="00613518"/>
    <w:rsid w:val="00613601"/>
    <w:rsid w:val="0061365F"/>
    <w:rsid w:val="006136A0"/>
    <w:rsid w:val="00613772"/>
    <w:rsid w:val="006139F2"/>
    <w:rsid w:val="00613B8C"/>
    <w:rsid w:val="00613C40"/>
    <w:rsid w:val="00613DA1"/>
    <w:rsid w:val="00613E66"/>
    <w:rsid w:val="00613F74"/>
    <w:rsid w:val="00614041"/>
    <w:rsid w:val="00614095"/>
    <w:rsid w:val="006140B2"/>
    <w:rsid w:val="00614170"/>
    <w:rsid w:val="00614181"/>
    <w:rsid w:val="00614243"/>
    <w:rsid w:val="006143F3"/>
    <w:rsid w:val="006144AB"/>
    <w:rsid w:val="006144AD"/>
    <w:rsid w:val="006144D6"/>
    <w:rsid w:val="006145E8"/>
    <w:rsid w:val="006147ED"/>
    <w:rsid w:val="006148E4"/>
    <w:rsid w:val="00614A8F"/>
    <w:rsid w:val="00614DBD"/>
    <w:rsid w:val="00614DD3"/>
    <w:rsid w:val="00615016"/>
    <w:rsid w:val="0061501B"/>
    <w:rsid w:val="006150D7"/>
    <w:rsid w:val="00615104"/>
    <w:rsid w:val="0061514C"/>
    <w:rsid w:val="006151DD"/>
    <w:rsid w:val="00615397"/>
    <w:rsid w:val="0061545B"/>
    <w:rsid w:val="006154E7"/>
    <w:rsid w:val="0061554C"/>
    <w:rsid w:val="00615707"/>
    <w:rsid w:val="006157A1"/>
    <w:rsid w:val="006157F9"/>
    <w:rsid w:val="006157FD"/>
    <w:rsid w:val="006158A8"/>
    <w:rsid w:val="006159A8"/>
    <w:rsid w:val="00615B26"/>
    <w:rsid w:val="00615C76"/>
    <w:rsid w:val="00616027"/>
    <w:rsid w:val="006160EB"/>
    <w:rsid w:val="00616164"/>
    <w:rsid w:val="006162EB"/>
    <w:rsid w:val="006165A5"/>
    <w:rsid w:val="006165A6"/>
    <w:rsid w:val="0061664B"/>
    <w:rsid w:val="0061680E"/>
    <w:rsid w:val="00616812"/>
    <w:rsid w:val="00616866"/>
    <w:rsid w:val="006168A4"/>
    <w:rsid w:val="00616B79"/>
    <w:rsid w:val="00616C4A"/>
    <w:rsid w:val="00616C71"/>
    <w:rsid w:val="00616D5E"/>
    <w:rsid w:val="00616EF6"/>
    <w:rsid w:val="00617061"/>
    <w:rsid w:val="00617176"/>
    <w:rsid w:val="00617298"/>
    <w:rsid w:val="00617512"/>
    <w:rsid w:val="0061755F"/>
    <w:rsid w:val="00617561"/>
    <w:rsid w:val="006176E3"/>
    <w:rsid w:val="006177BB"/>
    <w:rsid w:val="006177F4"/>
    <w:rsid w:val="006177FF"/>
    <w:rsid w:val="00617869"/>
    <w:rsid w:val="00617A3B"/>
    <w:rsid w:val="00617BFC"/>
    <w:rsid w:val="00617C12"/>
    <w:rsid w:val="00617C80"/>
    <w:rsid w:val="00617CB9"/>
    <w:rsid w:val="00617CE9"/>
    <w:rsid w:val="00617DE5"/>
    <w:rsid w:val="00617DF3"/>
    <w:rsid w:val="00617EC4"/>
    <w:rsid w:val="00617EE7"/>
    <w:rsid w:val="006200AE"/>
    <w:rsid w:val="006200DD"/>
    <w:rsid w:val="0062012D"/>
    <w:rsid w:val="0062018D"/>
    <w:rsid w:val="0062029D"/>
    <w:rsid w:val="0062040E"/>
    <w:rsid w:val="00620538"/>
    <w:rsid w:val="006205CA"/>
    <w:rsid w:val="0062081B"/>
    <w:rsid w:val="0062089C"/>
    <w:rsid w:val="006208D2"/>
    <w:rsid w:val="00620972"/>
    <w:rsid w:val="00620AA2"/>
    <w:rsid w:val="00620C34"/>
    <w:rsid w:val="00620DDB"/>
    <w:rsid w:val="00620E04"/>
    <w:rsid w:val="00620E7A"/>
    <w:rsid w:val="00621121"/>
    <w:rsid w:val="00621142"/>
    <w:rsid w:val="0062117B"/>
    <w:rsid w:val="0062125F"/>
    <w:rsid w:val="006212F5"/>
    <w:rsid w:val="0062133E"/>
    <w:rsid w:val="00621397"/>
    <w:rsid w:val="0062148C"/>
    <w:rsid w:val="006215B4"/>
    <w:rsid w:val="00621617"/>
    <w:rsid w:val="006216DB"/>
    <w:rsid w:val="00621841"/>
    <w:rsid w:val="006218B2"/>
    <w:rsid w:val="00621C36"/>
    <w:rsid w:val="00621C53"/>
    <w:rsid w:val="00621EF0"/>
    <w:rsid w:val="00621FA4"/>
    <w:rsid w:val="00622028"/>
    <w:rsid w:val="006220A0"/>
    <w:rsid w:val="0062230E"/>
    <w:rsid w:val="0062231E"/>
    <w:rsid w:val="006223A9"/>
    <w:rsid w:val="00622613"/>
    <w:rsid w:val="00622618"/>
    <w:rsid w:val="006226B4"/>
    <w:rsid w:val="006228CB"/>
    <w:rsid w:val="00622931"/>
    <w:rsid w:val="00622964"/>
    <w:rsid w:val="00622B85"/>
    <w:rsid w:val="00622DD8"/>
    <w:rsid w:val="00622E24"/>
    <w:rsid w:val="00623053"/>
    <w:rsid w:val="00623149"/>
    <w:rsid w:val="00623177"/>
    <w:rsid w:val="00623697"/>
    <w:rsid w:val="006236B4"/>
    <w:rsid w:val="006239EA"/>
    <w:rsid w:val="00623BFA"/>
    <w:rsid w:val="00623CD5"/>
    <w:rsid w:val="00623CE0"/>
    <w:rsid w:val="00623D63"/>
    <w:rsid w:val="00623EF3"/>
    <w:rsid w:val="00623F42"/>
    <w:rsid w:val="00623FBF"/>
    <w:rsid w:val="0062403C"/>
    <w:rsid w:val="0062406E"/>
    <w:rsid w:val="0062407A"/>
    <w:rsid w:val="006241D4"/>
    <w:rsid w:val="00624272"/>
    <w:rsid w:val="00624375"/>
    <w:rsid w:val="00624388"/>
    <w:rsid w:val="0062457E"/>
    <w:rsid w:val="006247C5"/>
    <w:rsid w:val="006249CF"/>
    <w:rsid w:val="00624A8C"/>
    <w:rsid w:val="00624AD4"/>
    <w:rsid w:val="00624B6D"/>
    <w:rsid w:val="00624C0D"/>
    <w:rsid w:val="00624C16"/>
    <w:rsid w:val="00624CDC"/>
    <w:rsid w:val="00624E24"/>
    <w:rsid w:val="00624F3E"/>
    <w:rsid w:val="006250F2"/>
    <w:rsid w:val="00625187"/>
    <w:rsid w:val="00625276"/>
    <w:rsid w:val="0062550C"/>
    <w:rsid w:val="006258D6"/>
    <w:rsid w:val="006258E9"/>
    <w:rsid w:val="00625997"/>
    <w:rsid w:val="006259AD"/>
    <w:rsid w:val="006259FA"/>
    <w:rsid w:val="00625C8E"/>
    <w:rsid w:val="00625D94"/>
    <w:rsid w:val="00625DB2"/>
    <w:rsid w:val="0062610B"/>
    <w:rsid w:val="006261F7"/>
    <w:rsid w:val="00626259"/>
    <w:rsid w:val="006262D8"/>
    <w:rsid w:val="00626475"/>
    <w:rsid w:val="00626603"/>
    <w:rsid w:val="00626614"/>
    <w:rsid w:val="006266DB"/>
    <w:rsid w:val="0062694C"/>
    <w:rsid w:val="0062696E"/>
    <w:rsid w:val="00626995"/>
    <w:rsid w:val="00626B20"/>
    <w:rsid w:val="00626C08"/>
    <w:rsid w:val="00626DD7"/>
    <w:rsid w:val="00626E4C"/>
    <w:rsid w:val="00626F9F"/>
    <w:rsid w:val="006270A1"/>
    <w:rsid w:val="006271E2"/>
    <w:rsid w:val="00627406"/>
    <w:rsid w:val="00627413"/>
    <w:rsid w:val="006275D9"/>
    <w:rsid w:val="00627607"/>
    <w:rsid w:val="00627623"/>
    <w:rsid w:val="00627668"/>
    <w:rsid w:val="00627791"/>
    <w:rsid w:val="00627974"/>
    <w:rsid w:val="00627A1D"/>
    <w:rsid w:val="00627A30"/>
    <w:rsid w:val="00627CB7"/>
    <w:rsid w:val="00627DB6"/>
    <w:rsid w:val="00627F2C"/>
    <w:rsid w:val="00627F7A"/>
    <w:rsid w:val="00627FA1"/>
    <w:rsid w:val="0063002B"/>
    <w:rsid w:val="006300F7"/>
    <w:rsid w:val="00630161"/>
    <w:rsid w:val="00630180"/>
    <w:rsid w:val="006301E5"/>
    <w:rsid w:val="0063036D"/>
    <w:rsid w:val="006304D0"/>
    <w:rsid w:val="00630624"/>
    <w:rsid w:val="0063075D"/>
    <w:rsid w:val="00630877"/>
    <w:rsid w:val="00630959"/>
    <w:rsid w:val="00630A0E"/>
    <w:rsid w:val="00630BB0"/>
    <w:rsid w:val="00630EA0"/>
    <w:rsid w:val="00631099"/>
    <w:rsid w:val="006312EA"/>
    <w:rsid w:val="00631467"/>
    <w:rsid w:val="0063150F"/>
    <w:rsid w:val="00631545"/>
    <w:rsid w:val="00631703"/>
    <w:rsid w:val="00631718"/>
    <w:rsid w:val="00631766"/>
    <w:rsid w:val="006317BF"/>
    <w:rsid w:val="00631851"/>
    <w:rsid w:val="0063193B"/>
    <w:rsid w:val="006319AA"/>
    <w:rsid w:val="006319D8"/>
    <w:rsid w:val="00631A8A"/>
    <w:rsid w:val="00631AD0"/>
    <w:rsid w:val="00631BC2"/>
    <w:rsid w:val="00631CF2"/>
    <w:rsid w:val="00631E20"/>
    <w:rsid w:val="00631E7E"/>
    <w:rsid w:val="00631EAD"/>
    <w:rsid w:val="00631F6D"/>
    <w:rsid w:val="006320D6"/>
    <w:rsid w:val="006321E3"/>
    <w:rsid w:val="0063243D"/>
    <w:rsid w:val="00632615"/>
    <w:rsid w:val="0063262F"/>
    <w:rsid w:val="00632677"/>
    <w:rsid w:val="00632743"/>
    <w:rsid w:val="006327A6"/>
    <w:rsid w:val="00632B1A"/>
    <w:rsid w:val="00632B56"/>
    <w:rsid w:val="00632BAD"/>
    <w:rsid w:val="00632BCD"/>
    <w:rsid w:val="00632BD6"/>
    <w:rsid w:val="00632C40"/>
    <w:rsid w:val="00632E09"/>
    <w:rsid w:val="00632EF2"/>
    <w:rsid w:val="00633000"/>
    <w:rsid w:val="0063305F"/>
    <w:rsid w:val="0063313D"/>
    <w:rsid w:val="0063314C"/>
    <w:rsid w:val="00633306"/>
    <w:rsid w:val="00633677"/>
    <w:rsid w:val="006336AD"/>
    <w:rsid w:val="00633948"/>
    <w:rsid w:val="00633958"/>
    <w:rsid w:val="00633A04"/>
    <w:rsid w:val="00633B77"/>
    <w:rsid w:val="00633C04"/>
    <w:rsid w:val="00633E28"/>
    <w:rsid w:val="00633E6D"/>
    <w:rsid w:val="00633E94"/>
    <w:rsid w:val="00633F0B"/>
    <w:rsid w:val="00633F90"/>
    <w:rsid w:val="00634255"/>
    <w:rsid w:val="0063433A"/>
    <w:rsid w:val="006343DD"/>
    <w:rsid w:val="00634430"/>
    <w:rsid w:val="00634443"/>
    <w:rsid w:val="006344EF"/>
    <w:rsid w:val="006345CA"/>
    <w:rsid w:val="006346DC"/>
    <w:rsid w:val="00634768"/>
    <w:rsid w:val="0063483D"/>
    <w:rsid w:val="006348AB"/>
    <w:rsid w:val="006348CD"/>
    <w:rsid w:val="00634A9C"/>
    <w:rsid w:val="00634B34"/>
    <w:rsid w:val="00634C5F"/>
    <w:rsid w:val="00634C72"/>
    <w:rsid w:val="00634D69"/>
    <w:rsid w:val="00634DB7"/>
    <w:rsid w:val="00634E91"/>
    <w:rsid w:val="0063509D"/>
    <w:rsid w:val="0063509E"/>
    <w:rsid w:val="00635205"/>
    <w:rsid w:val="006352AF"/>
    <w:rsid w:val="00635376"/>
    <w:rsid w:val="00635429"/>
    <w:rsid w:val="0063578C"/>
    <w:rsid w:val="00635846"/>
    <w:rsid w:val="006358FE"/>
    <w:rsid w:val="00635B04"/>
    <w:rsid w:val="00635B50"/>
    <w:rsid w:val="00635B68"/>
    <w:rsid w:val="00635BBF"/>
    <w:rsid w:val="00635DB4"/>
    <w:rsid w:val="00635DCB"/>
    <w:rsid w:val="00635DE3"/>
    <w:rsid w:val="00635E28"/>
    <w:rsid w:val="006362E8"/>
    <w:rsid w:val="00636333"/>
    <w:rsid w:val="0063640F"/>
    <w:rsid w:val="006365B7"/>
    <w:rsid w:val="0063672B"/>
    <w:rsid w:val="006367A3"/>
    <w:rsid w:val="0063689E"/>
    <w:rsid w:val="00636924"/>
    <w:rsid w:val="00636972"/>
    <w:rsid w:val="00636AFE"/>
    <w:rsid w:val="00636B24"/>
    <w:rsid w:val="00636B93"/>
    <w:rsid w:val="00636CD1"/>
    <w:rsid w:val="00636EA4"/>
    <w:rsid w:val="00636F4A"/>
    <w:rsid w:val="00636FE2"/>
    <w:rsid w:val="00636FEE"/>
    <w:rsid w:val="0063703A"/>
    <w:rsid w:val="006371FE"/>
    <w:rsid w:val="00637305"/>
    <w:rsid w:val="00637656"/>
    <w:rsid w:val="0063780B"/>
    <w:rsid w:val="006379B6"/>
    <w:rsid w:val="006379C0"/>
    <w:rsid w:val="00637A86"/>
    <w:rsid w:val="00637D65"/>
    <w:rsid w:val="00637DC7"/>
    <w:rsid w:val="00637F03"/>
    <w:rsid w:val="00637F09"/>
    <w:rsid w:val="00637F1D"/>
    <w:rsid w:val="00640119"/>
    <w:rsid w:val="00640300"/>
    <w:rsid w:val="0064053E"/>
    <w:rsid w:val="006406B9"/>
    <w:rsid w:val="006406FE"/>
    <w:rsid w:val="0064075D"/>
    <w:rsid w:val="00640821"/>
    <w:rsid w:val="0064095A"/>
    <w:rsid w:val="00640A81"/>
    <w:rsid w:val="00640AA9"/>
    <w:rsid w:val="00640BF1"/>
    <w:rsid w:val="00640C03"/>
    <w:rsid w:val="00640C45"/>
    <w:rsid w:val="00640C6B"/>
    <w:rsid w:val="00640C9A"/>
    <w:rsid w:val="00640F0B"/>
    <w:rsid w:val="0064114D"/>
    <w:rsid w:val="0064122B"/>
    <w:rsid w:val="00641250"/>
    <w:rsid w:val="006412FA"/>
    <w:rsid w:val="00641377"/>
    <w:rsid w:val="006413D9"/>
    <w:rsid w:val="0064150E"/>
    <w:rsid w:val="00641536"/>
    <w:rsid w:val="006415ED"/>
    <w:rsid w:val="00641673"/>
    <w:rsid w:val="00641845"/>
    <w:rsid w:val="00641ADC"/>
    <w:rsid w:val="00641F4E"/>
    <w:rsid w:val="00642051"/>
    <w:rsid w:val="006421BA"/>
    <w:rsid w:val="00642217"/>
    <w:rsid w:val="0064229B"/>
    <w:rsid w:val="006423DC"/>
    <w:rsid w:val="006424C6"/>
    <w:rsid w:val="006424F6"/>
    <w:rsid w:val="00642575"/>
    <w:rsid w:val="00642694"/>
    <w:rsid w:val="006427DF"/>
    <w:rsid w:val="00642881"/>
    <w:rsid w:val="00642BF8"/>
    <w:rsid w:val="00642CA2"/>
    <w:rsid w:val="00642CD4"/>
    <w:rsid w:val="00642CF2"/>
    <w:rsid w:val="00642D70"/>
    <w:rsid w:val="00642E22"/>
    <w:rsid w:val="00642FD7"/>
    <w:rsid w:val="00643095"/>
    <w:rsid w:val="006435BE"/>
    <w:rsid w:val="006436A6"/>
    <w:rsid w:val="00643762"/>
    <w:rsid w:val="00643820"/>
    <w:rsid w:val="00643ABD"/>
    <w:rsid w:val="00643B87"/>
    <w:rsid w:val="00643BEA"/>
    <w:rsid w:val="00643BF3"/>
    <w:rsid w:val="00643CF0"/>
    <w:rsid w:val="00643F0E"/>
    <w:rsid w:val="0064404E"/>
    <w:rsid w:val="006440A6"/>
    <w:rsid w:val="006442AA"/>
    <w:rsid w:val="00644304"/>
    <w:rsid w:val="00644315"/>
    <w:rsid w:val="0064431F"/>
    <w:rsid w:val="006444AB"/>
    <w:rsid w:val="006447FC"/>
    <w:rsid w:val="006448C4"/>
    <w:rsid w:val="0064497B"/>
    <w:rsid w:val="00644AD2"/>
    <w:rsid w:val="00644AF8"/>
    <w:rsid w:val="00644B65"/>
    <w:rsid w:val="00644BA6"/>
    <w:rsid w:val="00644C73"/>
    <w:rsid w:val="00644D0C"/>
    <w:rsid w:val="00644D37"/>
    <w:rsid w:val="00644E27"/>
    <w:rsid w:val="0064508F"/>
    <w:rsid w:val="00645126"/>
    <w:rsid w:val="00645199"/>
    <w:rsid w:val="006451A7"/>
    <w:rsid w:val="006452CA"/>
    <w:rsid w:val="006452D8"/>
    <w:rsid w:val="00645438"/>
    <w:rsid w:val="00645443"/>
    <w:rsid w:val="006455A3"/>
    <w:rsid w:val="006457AB"/>
    <w:rsid w:val="00645960"/>
    <w:rsid w:val="00645A78"/>
    <w:rsid w:val="00645A8D"/>
    <w:rsid w:val="00645B20"/>
    <w:rsid w:val="00645B6A"/>
    <w:rsid w:val="00645C19"/>
    <w:rsid w:val="00645CDA"/>
    <w:rsid w:val="00645E5A"/>
    <w:rsid w:val="006461D3"/>
    <w:rsid w:val="006462DB"/>
    <w:rsid w:val="00646506"/>
    <w:rsid w:val="0064656A"/>
    <w:rsid w:val="00646584"/>
    <w:rsid w:val="00646624"/>
    <w:rsid w:val="006466DA"/>
    <w:rsid w:val="006468FD"/>
    <w:rsid w:val="006468FE"/>
    <w:rsid w:val="0064695E"/>
    <w:rsid w:val="00646B57"/>
    <w:rsid w:val="00646B64"/>
    <w:rsid w:val="00646C8B"/>
    <w:rsid w:val="00646CDC"/>
    <w:rsid w:val="00646D62"/>
    <w:rsid w:val="00646D8F"/>
    <w:rsid w:val="00646F7A"/>
    <w:rsid w:val="00647149"/>
    <w:rsid w:val="006471F0"/>
    <w:rsid w:val="00647317"/>
    <w:rsid w:val="0064741B"/>
    <w:rsid w:val="00647438"/>
    <w:rsid w:val="00647571"/>
    <w:rsid w:val="00647692"/>
    <w:rsid w:val="006478E7"/>
    <w:rsid w:val="00647B27"/>
    <w:rsid w:val="00647C11"/>
    <w:rsid w:val="00647C2B"/>
    <w:rsid w:val="00647C56"/>
    <w:rsid w:val="00647C89"/>
    <w:rsid w:val="00647C91"/>
    <w:rsid w:val="00647D04"/>
    <w:rsid w:val="00647D78"/>
    <w:rsid w:val="00647F00"/>
    <w:rsid w:val="00647F2E"/>
    <w:rsid w:val="00647F5F"/>
    <w:rsid w:val="0065000F"/>
    <w:rsid w:val="006500AC"/>
    <w:rsid w:val="006500F0"/>
    <w:rsid w:val="0065023A"/>
    <w:rsid w:val="00650285"/>
    <w:rsid w:val="00650362"/>
    <w:rsid w:val="006504FB"/>
    <w:rsid w:val="0065052B"/>
    <w:rsid w:val="00650570"/>
    <w:rsid w:val="006506FA"/>
    <w:rsid w:val="00650727"/>
    <w:rsid w:val="0065076D"/>
    <w:rsid w:val="0065079E"/>
    <w:rsid w:val="00650982"/>
    <w:rsid w:val="00650A00"/>
    <w:rsid w:val="00650C62"/>
    <w:rsid w:val="00650CA7"/>
    <w:rsid w:val="00650D8C"/>
    <w:rsid w:val="00650E6C"/>
    <w:rsid w:val="00650F04"/>
    <w:rsid w:val="006510F1"/>
    <w:rsid w:val="006510FF"/>
    <w:rsid w:val="0065113D"/>
    <w:rsid w:val="0065114B"/>
    <w:rsid w:val="0065118D"/>
    <w:rsid w:val="00651288"/>
    <w:rsid w:val="006513A3"/>
    <w:rsid w:val="006514EF"/>
    <w:rsid w:val="0065168B"/>
    <w:rsid w:val="006517C1"/>
    <w:rsid w:val="00651811"/>
    <w:rsid w:val="0065195A"/>
    <w:rsid w:val="00651B31"/>
    <w:rsid w:val="00651BF9"/>
    <w:rsid w:val="00651D3A"/>
    <w:rsid w:val="00651DC7"/>
    <w:rsid w:val="00651E47"/>
    <w:rsid w:val="00651EAF"/>
    <w:rsid w:val="00651EE7"/>
    <w:rsid w:val="00651F09"/>
    <w:rsid w:val="00651FC5"/>
    <w:rsid w:val="00652087"/>
    <w:rsid w:val="00652148"/>
    <w:rsid w:val="006524BE"/>
    <w:rsid w:val="00652500"/>
    <w:rsid w:val="006525B3"/>
    <w:rsid w:val="006525D2"/>
    <w:rsid w:val="00652667"/>
    <w:rsid w:val="00652741"/>
    <w:rsid w:val="00652894"/>
    <w:rsid w:val="00652898"/>
    <w:rsid w:val="00652A84"/>
    <w:rsid w:val="00652AA0"/>
    <w:rsid w:val="00652B18"/>
    <w:rsid w:val="00652B4B"/>
    <w:rsid w:val="00652C47"/>
    <w:rsid w:val="00652EC5"/>
    <w:rsid w:val="00652F24"/>
    <w:rsid w:val="00652FC4"/>
    <w:rsid w:val="006531B3"/>
    <w:rsid w:val="00653280"/>
    <w:rsid w:val="00653465"/>
    <w:rsid w:val="0065347C"/>
    <w:rsid w:val="0065350B"/>
    <w:rsid w:val="00653568"/>
    <w:rsid w:val="00653576"/>
    <w:rsid w:val="006535E5"/>
    <w:rsid w:val="00653683"/>
    <w:rsid w:val="006537C7"/>
    <w:rsid w:val="00653828"/>
    <w:rsid w:val="00653922"/>
    <w:rsid w:val="0065392D"/>
    <w:rsid w:val="00653952"/>
    <w:rsid w:val="00653AF1"/>
    <w:rsid w:val="00653C99"/>
    <w:rsid w:val="00653D98"/>
    <w:rsid w:val="00653DC6"/>
    <w:rsid w:val="00653DE1"/>
    <w:rsid w:val="00653EF0"/>
    <w:rsid w:val="00653F0B"/>
    <w:rsid w:val="00654045"/>
    <w:rsid w:val="006540B0"/>
    <w:rsid w:val="00654456"/>
    <w:rsid w:val="006544B8"/>
    <w:rsid w:val="00654556"/>
    <w:rsid w:val="00654641"/>
    <w:rsid w:val="0065471D"/>
    <w:rsid w:val="00654A9D"/>
    <w:rsid w:val="00654AA2"/>
    <w:rsid w:val="00654B0F"/>
    <w:rsid w:val="00654BF9"/>
    <w:rsid w:val="00654C03"/>
    <w:rsid w:val="00654C23"/>
    <w:rsid w:val="00654C6C"/>
    <w:rsid w:val="00654E43"/>
    <w:rsid w:val="00654E59"/>
    <w:rsid w:val="00654EF3"/>
    <w:rsid w:val="00654F1D"/>
    <w:rsid w:val="00654FA2"/>
    <w:rsid w:val="00655021"/>
    <w:rsid w:val="00655048"/>
    <w:rsid w:val="00655094"/>
    <w:rsid w:val="006551F8"/>
    <w:rsid w:val="0065550B"/>
    <w:rsid w:val="0065552E"/>
    <w:rsid w:val="00655581"/>
    <w:rsid w:val="006556AD"/>
    <w:rsid w:val="00655797"/>
    <w:rsid w:val="006557AB"/>
    <w:rsid w:val="00655876"/>
    <w:rsid w:val="00655929"/>
    <w:rsid w:val="006559FA"/>
    <w:rsid w:val="00655C28"/>
    <w:rsid w:val="00655C2A"/>
    <w:rsid w:val="00655EFE"/>
    <w:rsid w:val="00656079"/>
    <w:rsid w:val="00656110"/>
    <w:rsid w:val="00656142"/>
    <w:rsid w:val="006563E6"/>
    <w:rsid w:val="0065655F"/>
    <w:rsid w:val="006565E7"/>
    <w:rsid w:val="00656681"/>
    <w:rsid w:val="00656976"/>
    <w:rsid w:val="00656B82"/>
    <w:rsid w:val="00656BB5"/>
    <w:rsid w:val="00656BEE"/>
    <w:rsid w:val="00656BFC"/>
    <w:rsid w:val="00656D95"/>
    <w:rsid w:val="00656E10"/>
    <w:rsid w:val="00657099"/>
    <w:rsid w:val="006571A8"/>
    <w:rsid w:val="0065724E"/>
    <w:rsid w:val="00657725"/>
    <w:rsid w:val="0065787F"/>
    <w:rsid w:val="00657896"/>
    <w:rsid w:val="00657A3A"/>
    <w:rsid w:val="00657D3F"/>
    <w:rsid w:val="00657E0D"/>
    <w:rsid w:val="00657E39"/>
    <w:rsid w:val="00657E8F"/>
    <w:rsid w:val="00657EA3"/>
    <w:rsid w:val="0066001A"/>
    <w:rsid w:val="00660029"/>
    <w:rsid w:val="0066004D"/>
    <w:rsid w:val="0066023F"/>
    <w:rsid w:val="00660346"/>
    <w:rsid w:val="00660350"/>
    <w:rsid w:val="006604A2"/>
    <w:rsid w:val="006605C0"/>
    <w:rsid w:val="00660740"/>
    <w:rsid w:val="006607F6"/>
    <w:rsid w:val="006609D2"/>
    <w:rsid w:val="00660A11"/>
    <w:rsid w:val="00660A39"/>
    <w:rsid w:val="00660A5F"/>
    <w:rsid w:val="00660A81"/>
    <w:rsid w:val="00660C6D"/>
    <w:rsid w:val="00660CC7"/>
    <w:rsid w:val="00660DC1"/>
    <w:rsid w:val="00660E97"/>
    <w:rsid w:val="00660EC5"/>
    <w:rsid w:val="00660F77"/>
    <w:rsid w:val="00660FB5"/>
    <w:rsid w:val="006610D7"/>
    <w:rsid w:val="006612CD"/>
    <w:rsid w:val="00661301"/>
    <w:rsid w:val="00661319"/>
    <w:rsid w:val="006613E3"/>
    <w:rsid w:val="00661586"/>
    <w:rsid w:val="00661696"/>
    <w:rsid w:val="006618FD"/>
    <w:rsid w:val="006619BC"/>
    <w:rsid w:val="00661B22"/>
    <w:rsid w:val="00661BE4"/>
    <w:rsid w:val="00661CCE"/>
    <w:rsid w:val="00661D69"/>
    <w:rsid w:val="00661D8E"/>
    <w:rsid w:val="00661E1D"/>
    <w:rsid w:val="00661F5A"/>
    <w:rsid w:val="00661F8D"/>
    <w:rsid w:val="006620FF"/>
    <w:rsid w:val="00662118"/>
    <w:rsid w:val="00662215"/>
    <w:rsid w:val="0066232C"/>
    <w:rsid w:val="00662688"/>
    <w:rsid w:val="0066273E"/>
    <w:rsid w:val="006627E5"/>
    <w:rsid w:val="006628AF"/>
    <w:rsid w:val="006628B4"/>
    <w:rsid w:val="00662B17"/>
    <w:rsid w:val="00662B93"/>
    <w:rsid w:val="00662CAE"/>
    <w:rsid w:val="00662F19"/>
    <w:rsid w:val="0066309F"/>
    <w:rsid w:val="006630E2"/>
    <w:rsid w:val="006631B2"/>
    <w:rsid w:val="00663286"/>
    <w:rsid w:val="00663293"/>
    <w:rsid w:val="006632DA"/>
    <w:rsid w:val="0066331D"/>
    <w:rsid w:val="006634AB"/>
    <w:rsid w:val="006634D3"/>
    <w:rsid w:val="006635C0"/>
    <w:rsid w:val="006635EC"/>
    <w:rsid w:val="00663809"/>
    <w:rsid w:val="0066395C"/>
    <w:rsid w:val="00663967"/>
    <w:rsid w:val="006639D9"/>
    <w:rsid w:val="00663AB3"/>
    <w:rsid w:val="00663BAE"/>
    <w:rsid w:val="00663BC3"/>
    <w:rsid w:val="00663BE8"/>
    <w:rsid w:val="00663CF3"/>
    <w:rsid w:val="00663D84"/>
    <w:rsid w:val="00663F8B"/>
    <w:rsid w:val="00663FFC"/>
    <w:rsid w:val="006640A2"/>
    <w:rsid w:val="0066429B"/>
    <w:rsid w:val="006642E1"/>
    <w:rsid w:val="00664306"/>
    <w:rsid w:val="00664315"/>
    <w:rsid w:val="00664469"/>
    <w:rsid w:val="00664489"/>
    <w:rsid w:val="00664531"/>
    <w:rsid w:val="00664601"/>
    <w:rsid w:val="00664657"/>
    <w:rsid w:val="00664690"/>
    <w:rsid w:val="006647A6"/>
    <w:rsid w:val="0066487D"/>
    <w:rsid w:val="00664978"/>
    <w:rsid w:val="00664A2A"/>
    <w:rsid w:val="00664A53"/>
    <w:rsid w:val="00664B34"/>
    <w:rsid w:val="00664C06"/>
    <w:rsid w:val="00664C19"/>
    <w:rsid w:val="00664C43"/>
    <w:rsid w:val="00664C9C"/>
    <w:rsid w:val="00664DC8"/>
    <w:rsid w:val="00664F27"/>
    <w:rsid w:val="00664F8F"/>
    <w:rsid w:val="00664FAF"/>
    <w:rsid w:val="00664FBA"/>
    <w:rsid w:val="00665060"/>
    <w:rsid w:val="00665118"/>
    <w:rsid w:val="006653B9"/>
    <w:rsid w:val="00665402"/>
    <w:rsid w:val="006658CB"/>
    <w:rsid w:val="0066598D"/>
    <w:rsid w:val="00665AF0"/>
    <w:rsid w:val="00665B96"/>
    <w:rsid w:val="00665C66"/>
    <w:rsid w:val="00665D76"/>
    <w:rsid w:val="00665E7D"/>
    <w:rsid w:val="00665F15"/>
    <w:rsid w:val="00665FCE"/>
    <w:rsid w:val="0066618E"/>
    <w:rsid w:val="006661C6"/>
    <w:rsid w:val="00666332"/>
    <w:rsid w:val="0066647D"/>
    <w:rsid w:val="00666482"/>
    <w:rsid w:val="00666733"/>
    <w:rsid w:val="00666745"/>
    <w:rsid w:val="00666827"/>
    <w:rsid w:val="0066689A"/>
    <w:rsid w:val="00666956"/>
    <w:rsid w:val="00666A1D"/>
    <w:rsid w:val="00666A96"/>
    <w:rsid w:val="00666AC5"/>
    <w:rsid w:val="00666C0B"/>
    <w:rsid w:val="00666D0F"/>
    <w:rsid w:val="00666DEA"/>
    <w:rsid w:val="00666E01"/>
    <w:rsid w:val="00667206"/>
    <w:rsid w:val="006672B1"/>
    <w:rsid w:val="00667310"/>
    <w:rsid w:val="0066735A"/>
    <w:rsid w:val="00667441"/>
    <w:rsid w:val="00667453"/>
    <w:rsid w:val="006674DD"/>
    <w:rsid w:val="006676B4"/>
    <w:rsid w:val="00667765"/>
    <w:rsid w:val="00667F30"/>
    <w:rsid w:val="00670008"/>
    <w:rsid w:val="00670192"/>
    <w:rsid w:val="0067034B"/>
    <w:rsid w:val="0067057A"/>
    <w:rsid w:val="00670598"/>
    <w:rsid w:val="006705A3"/>
    <w:rsid w:val="006706DF"/>
    <w:rsid w:val="00670BB5"/>
    <w:rsid w:val="00670EDA"/>
    <w:rsid w:val="00670F3A"/>
    <w:rsid w:val="00670F57"/>
    <w:rsid w:val="006710CF"/>
    <w:rsid w:val="0067113C"/>
    <w:rsid w:val="0067113E"/>
    <w:rsid w:val="006712C1"/>
    <w:rsid w:val="006713CB"/>
    <w:rsid w:val="006714B1"/>
    <w:rsid w:val="00671705"/>
    <w:rsid w:val="0067172D"/>
    <w:rsid w:val="00671860"/>
    <w:rsid w:val="0067193C"/>
    <w:rsid w:val="00671ABC"/>
    <w:rsid w:val="00671B81"/>
    <w:rsid w:val="00671E37"/>
    <w:rsid w:val="00671EA4"/>
    <w:rsid w:val="006720A1"/>
    <w:rsid w:val="006725F2"/>
    <w:rsid w:val="00672617"/>
    <w:rsid w:val="00672626"/>
    <w:rsid w:val="006726EA"/>
    <w:rsid w:val="0067299E"/>
    <w:rsid w:val="006729F3"/>
    <w:rsid w:val="00672A77"/>
    <w:rsid w:val="00672BFC"/>
    <w:rsid w:val="00672CF2"/>
    <w:rsid w:val="00672E2F"/>
    <w:rsid w:val="00672ED7"/>
    <w:rsid w:val="00672F0E"/>
    <w:rsid w:val="00672F26"/>
    <w:rsid w:val="00672F9B"/>
    <w:rsid w:val="006731E9"/>
    <w:rsid w:val="006732F9"/>
    <w:rsid w:val="006733A4"/>
    <w:rsid w:val="00673664"/>
    <w:rsid w:val="006737C6"/>
    <w:rsid w:val="00673907"/>
    <w:rsid w:val="0067396C"/>
    <w:rsid w:val="00673ADB"/>
    <w:rsid w:val="00673BBE"/>
    <w:rsid w:val="00673D21"/>
    <w:rsid w:val="00673D71"/>
    <w:rsid w:val="00673E0A"/>
    <w:rsid w:val="00673E23"/>
    <w:rsid w:val="00673E35"/>
    <w:rsid w:val="00673FAF"/>
    <w:rsid w:val="00673FF9"/>
    <w:rsid w:val="0067405A"/>
    <w:rsid w:val="006743D0"/>
    <w:rsid w:val="00674467"/>
    <w:rsid w:val="00674521"/>
    <w:rsid w:val="00674547"/>
    <w:rsid w:val="00674549"/>
    <w:rsid w:val="00674740"/>
    <w:rsid w:val="006747BB"/>
    <w:rsid w:val="0067487A"/>
    <w:rsid w:val="00674888"/>
    <w:rsid w:val="00674A5A"/>
    <w:rsid w:val="00674F92"/>
    <w:rsid w:val="00675042"/>
    <w:rsid w:val="00675083"/>
    <w:rsid w:val="0067513E"/>
    <w:rsid w:val="0067518F"/>
    <w:rsid w:val="00675195"/>
    <w:rsid w:val="0067523D"/>
    <w:rsid w:val="0067524F"/>
    <w:rsid w:val="0067536E"/>
    <w:rsid w:val="00675393"/>
    <w:rsid w:val="006753CD"/>
    <w:rsid w:val="00675410"/>
    <w:rsid w:val="0067578D"/>
    <w:rsid w:val="0067581F"/>
    <w:rsid w:val="00675859"/>
    <w:rsid w:val="00675861"/>
    <w:rsid w:val="00675874"/>
    <w:rsid w:val="0067588F"/>
    <w:rsid w:val="00675ACF"/>
    <w:rsid w:val="00675B5D"/>
    <w:rsid w:val="00675B91"/>
    <w:rsid w:val="00675BEE"/>
    <w:rsid w:val="00675C87"/>
    <w:rsid w:val="00675CBB"/>
    <w:rsid w:val="00675D7D"/>
    <w:rsid w:val="00675E27"/>
    <w:rsid w:val="00675F82"/>
    <w:rsid w:val="00675FBF"/>
    <w:rsid w:val="00676015"/>
    <w:rsid w:val="006760B5"/>
    <w:rsid w:val="00676150"/>
    <w:rsid w:val="00676181"/>
    <w:rsid w:val="00676212"/>
    <w:rsid w:val="0067621B"/>
    <w:rsid w:val="006762AB"/>
    <w:rsid w:val="006762EC"/>
    <w:rsid w:val="0067648A"/>
    <w:rsid w:val="006764C6"/>
    <w:rsid w:val="006765F6"/>
    <w:rsid w:val="00676632"/>
    <w:rsid w:val="0067663F"/>
    <w:rsid w:val="006768F9"/>
    <w:rsid w:val="0067691C"/>
    <w:rsid w:val="00676952"/>
    <w:rsid w:val="0067697D"/>
    <w:rsid w:val="00676A62"/>
    <w:rsid w:val="00676AD7"/>
    <w:rsid w:val="00676AF6"/>
    <w:rsid w:val="00676B9B"/>
    <w:rsid w:val="00676BE8"/>
    <w:rsid w:val="00676CA7"/>
    <w:rsid w:val="00676DE6"/>
    <w:rsid w:val="00676FA4"/>
    <w:rsid w:val="00677024"/>
    <w:rsid w:val="006770D4"/>
    <w:rsid w:val="006774BC"/>
    <w:rsid w:val="006774EB"/>
    <w:rsid w:val="0067758A"/>
    <w:rsid w:val="00677831"/>
    <w:rsid w:val="00677A25"/>
    <w:rsid w:val="00677B46"/>
    <w:rsid w:val="00677F7B"/>
    <w:rsid w:val="0068010F"/>
    <w:rsid w:val="00680265"/>
    <w:rsid w:val="006803D8"/>
    <w:rsid w:val="006803FC"/>
    <w:rsid w:val="00680558"/>
    <w:rsid w:val="006805E3"/>
    <w:rsid w:val="00680673"/>
    <w:rsid w:val="006806A9"/>
    <w:rsid w:val="00680B61"/>
    <w:rsid w:val="00680EAD"/>
    <w:rsid w:val="00680ED4"/>
    <w:rsid w:val="00680F2A"/>
    <w:rsid w:val="00680F40"/>
    <w:rsid w:val="00680F60"/>
    <w:rsid w:val="006812C0"/>
    <w:rsid w:val="00681354"/>
    <w:rsid w:val="0068149C"/>
    <w:rsid w:val="0068154F"/>
    <w:rsid w:val="00681609"/>
    <w:rsid w:val="0068185E"/>
    <w:rsid w:val="0068186F"/>
    <w:rsid w:val="006819D3"/>
    <w:rsid w:val="00681B34"/>
    <w:rsid w:val="00681B41"/>
    <w:rsid w:val="00681BA2"/>
    <w:rsid w:val="00681C17"/>
    <w:rsid w:val="00681C70"/>
    <w:rsid w:val="00681C73"/>
    <w:rsid w:val="00681CE6"/>
    <w:rsid w:val="00681E42"/>
    <w:rsid w:val="00681FBC"/>
    <w:rsid w:val="00681FCE"/>
    <w:rsid w:val="00682013"/>
    <w:rsid w:val="00682353"/>
    <w:rsid w:val="006824B2"/>
    <w:rsid w:val="006824D4"/>
    <w:rsid w:val="00682504"/>
    <w:rsid w:val="006825C9"/>
    <w:rsid w:val="006825E1"/>
    <w:rsid w:val="006827EB"/>
    <w:rsid w:val="006828D3"/>
    <w:rsid w:val="006829A2"/>
    <w:rsid w:val="00682A6C"/>
    <w:rsid w:val="00682AC0"/>
    <w:rsid w:val="00682B98"/>
    <w:rsid w:val="00682D31"/>
    <w:rsid w:val="00682ECB"/>
    <w:rsid w:val="00682F9A"/>
    <w:rsid w:val="006830C9"/>
    <w:rsid w:val="006830DB"/>
    <w:rsid w:val="006831C4"/>
    <w:rsid w:val="006833F0"/>
    <w:rsid w:val="00683400"/>
    <w:rsid w:val="00683543"/>
    <w:rsid w:val="006835D9"/>
    <w:rsid w:val="006835DC"/>
    <w:rsid w:val="00683639"/>
    <w:rsid w:val="00683657"/>
    <w:rsid w:val="006836A5"/>
    <w:rsid w:val="0068381C"/>
    <w:rsid w:val="0068383C"/>
    <w:rsid w:val="0068388B"/>
    <w:rsid w:val="00683986"/>
    <w:rsid w:val="006839AA"/>
    <w:rsid w:val="00683AFA"/>
    <w:rsid w:val="00683B3A"/>
    <w:rsid w:val="00683B73"/>
    <w:rsid w:val="00683BC3"/>
    <w:rsid w:val="00683C46"/>
    <w:rsid w:val="00683C5B"/>
    <w:rsid w:val="00683CB7"/>
    <w:rsid w:val="00683D4E"/>
    <w:rsid w:val="00683DF4"/>
    <w:rsid w:val="00683DFA"/>
    <w:rsid w:val="00683DFD"/>
    <w:rsid w:val="00683E53"/>
    <w:rsid w:val="00683EBF"/>
    <w:rsid w:val="00683EFE"/>
    <w:rsid w:val="00683F3E"/>
    <w:rsid w:val="00684001"/>
    <w:rsid w:val="006840B3"/>
    <w:rsid w:val="00684103"/>
    <w:rsid w:val="0068431E"/>
    <w:rsid w:val="0068433C"/>
    <w:rsid w:val="006843F5"/>
    <w:rsid w:val="00684412"/>
    <w:rsid w:val="00684657"/>
    <w:rsid w:val="00684685"/>
    <w:rsid w:val="006846CC"/>
    <w:rsid w:val="0068475A"/>
    <w:rsid w:val="006847A8"/>
    <w:rsid w:val="006847EB"/>
    <w:rsid w:val="00684866"/>
    <w:rsid w:val="00684955"/>
    <w:rsid w:val="00684C08"/>
    <w:rsid w:val="00684D12"/>
    <w:rsid w:val="00684E78"/>
    <w:rsid w:val="00684FF3"/>
    <w:rsid w:val="00685011"/>
    <w:rsid w:val="0068517B"/>
    <w:rsid w:val="00685222"/>
    <w:rsid w:val="006852B7"/>
    <w:rsid w:val="00685379"/>
    <w:rsid w:val="006853F3"/>
    <w:rsid w:val="00685434"/>
    <w:rsid w:val="00685482"/>
    <w:rsid w:val="0068548B"/>
    <w:rsid w:val="006854E2"/>
    <w:rsid w:val="006856B5"/>
    <w:rsid w:val="006857CC"/>
    <w:rsid w:val="006857CF"/>
    <w:rsid w:val="0068586A"/>
    <w:rsid w:val="006858CB"/>
    <w:rsid w:val="006859D2"/>
    <w:rsid w:val="00685B16"/>
    <w:rsid w:val="00685B96"/>
    <w:rsid w:val="00685C92"/>
    <w:rsid w:val="00685EC1"/>
    <w:rsid w:val="00686049"/>
    <w:rsid w:val="006860C6"/>
    <w:rsid w:val="00686232"/>
    <w:rsid w:val="00686339"/>
    <w:rsid w:val="006864F6"/>
    <w:rsid w:val="006866BC"/>
    <w:rsid w:val="006868FD"/>
    <w:rsid w:val="0068692D"/>
    <w:rsid w:val="00686C09"/>
    <w:rsid w:val="00686C3B"/>
    <w:rsid w:val="00686D5C"/>
    <w:rsid w:val="00686E5B"/>
    <w:rsid w:val="00686F75"/>
    <w:rsid w:val="0068704F"/>
    <w:rsid w:val="00687087"/>
    <w:rsid w:val="006871F8"/>
    <w:rsid w:val="0068720A"/>
    <w:rsid w:val="0068732E"/>
    <w:rsid w:val="006873DD"/>
    <w:rsid w:val="006873FD"/>
    <w:rsid w:val="00687443"/>
    <w:rsid w:val="006874F2"/>
    <w:rsid w:val="00687582"/>
    <w:rsid w:val="00687616"/>
    <w:rsid w:val="006878D6"/>
    <w:rsid w:val="006879E4"/>
    <w:rsid w:val="00687A91"/>
    <w:rsid w:val="00687AAA"/>
    <w:rsid w:val="00687B44"/>
    <w:rsid w:val="00687B83"/>
    <w:rsid w:val="00687D27"/>
    <w:rsid w:val="00687E2C"/>
    <w:rsid w:val="00687F48"/>
    <w:rsid w:val="006900D7"/>
    <w:rsid w:val="00690214"/>
    <w:rsid w:val="0069052C"/>
    <w:rsid w:val="00690624"/>
    <w:rsid w:val="0069073D"/>
    <w:rsid w:val="006907CE"/>
    <w:rsid w:val="00690AC1"/>
    <w:rsid w:val="00690C2C"/>
    <w:rsid w:val="00690C9B"/>
    <w:rsid w:val="00690CD4"/>
    <w:rsid w:val="00690D50"/>
    <w:rsid w:val="00690EB7"/>
    <w:rsid w:val="00690FDB"/>
    <w:rsid w:val="00691001"/>
    <w:rsid w:val="006911A1"/>
    <w:rsid w:val="00691356"/>
    <w:rsid w:val="00691376"/>
    <w:rsid w:val="006913A2"/>
    <w:rsid w:val="006913DA"/>
    <w:rsid w:val="006913EB"/>
    <w:rsid w:val="006913FE"/>
    <w:rsid w:val="006914FB"/>
    <w:rsid w:val="0069154F"/>
    <w:rsid w:val="0069158F"/>
    <w:rsid w:val="006915A6"/>
    <w:rsid w:val="00691663"/>
    <w:rsid w:val="0069168D"/>
    <w:rsid w:val="0069169A"/>
    <w:rsid w:val="006916DF"/>
    <w:rsid w:val="0069186E"/>
    <w:rsid w:val="00691870"/>
    <w:rsid w:val="006918CA"/>
    <w:rsid w:val="006918E6"/>
    <w:rsid w:val="0069198F"/>
    <w:rsid w:val="00691AE3"/>
    <w:rsid w:val="00691B1C"/>
    <w:rsid w:val="00691C74"/>
    <w:rsid w:val="00691C87"/>
    <w:rsid w:val="00691E86"/>
    <w:rsid w:val="00691F59"/>
    <w:rsid w:val="00691F66"/>
    <w:rsid w:val="00691FB7"/>
    <w:rsid w:val="00692022"/>
    <w:rsid w:val="006920D5"/>
    <w:rsid w:val="0069212B"/>
    <w:rsid w:val="006922F4"/>
    <w:rsid w:val="00692495"/>
    <w:rsid w:val="00692551"/>
    <w:rsid w:val="006925B7"/>
    <w:rsid w:val="0069293E"/>
    <w:rsid w:val="00692A92"/>
    <w:rsid w:val="00692B7D"/>
    <w:rsid w:val="00692B8D"/>
    <w:rsid w:val="00692C53"/>
    <w:rsid w:val="00692C61"/>
    <w:rsid w:val="00692D52"/>
    <w:rsid w:val="00692D68"/>
    <w:rsid w:val="00692E80"/>
    <w:rsid w:val="0069307E"/>
    <w:rsid w:val="00693238"/>
    <w:rsid w:val="006935B9"/>
    <w:rsid w:val="0069362B"/>
    <w:rsid w:val="0069366C"/>
    <w:rsid w:val="006937C9"/>
    <w:rsid w:val="00693863"/>
    <w:rsid w:val="006938C3"/>
    <w:rsid w:val="00693980"/>
    <w:rsid w:val="00693AFE"/>
    <w:rsid w:val="00693B9A"/>
    <w:rsid w:val="00693E5E"/>
    <w:rsid w:val="00693E86"/>
    <w:rsid w:val="00693F1A"/>
    <w:rsid w:val="00693F4E"/>
    <w:rsid w:val="00693FA3"/>
    <w:rsid w:val="00693FFF"/>
    <w:rsid w:val="00694146"/>
    <w:rsid w:val="00694222"/>
    <w:rsid w:val="0069422C"/>
    <w:rsid w:val="0069427B"/>
    <w:rsid w:val="006943F2"/>
    <w:rsid w:val="00694420"/>
    <w:rsid w:val="0069472A"/>
    <w:rsid w:val="006947D2"/>
    <w:rsid w:val="00694817"/>
    <w:rsid w:val="006948A1"/>
    <w:rsid w:val="006949D9"/>
    <w:rsid w:val="00694B3F"/>
    <w:rsid w:val="00694C5F"/>
    <w:rsid w:val="00694CC9"/>
    <w:rsid w:val="00694E1B"/>
    <w:rsid w:val="00694F07"/>
    <w:rsid w:val="00694F91"/>
    <w:rsid w:val="00694FFF"/>
    <w:rsid w:val="006950A3"/>
    <w:rsid w:val="006951E3"/>
    <w:rsid w:val="0069530A"/>
    <w:rsid w:val="00695380"/>
    <w:rsid w:val="006953C5"/>
    <w:rsid w:val="006953D9"/>
    <w:rsid w:val="00695612"/>
    <w:rsid w:val="0069561C"/>
    <w:rsid w:val="00695623"/>
    <w:rsid w:val="006956B6"/>
    <w:rsid w:val="006958CC"/>
    <w:rsid w:val="0069598E"/>
    <w:rsid w:val="00695AC9"/>
    <w:rsid w:val="00695B91"/>
    <w:rsid w:val="00695BCB"/>
    <w:rsid w:val="00695C84"/>
    <w:rsid w:val="00695DA9"/>
    <w:rsid w:val="00695DD7"/>
    <w:rsid w:val="00695FCA"/>
    <w:rsid w:val="006960D4"/>
    <w:rsid w:val="00696148"/>
    <w:rsid w:val="0069625B"/>
    <w:rsid w:val="006962B0"/>
    <w:rsid w:val="00696338"/>
    <w:rsid w:val="00696385"/>
    <w:rsid w:val="00696453"/>
    <w:rsid w:val="006964FD"/>
    <w:rsid w:val="0069656E"/>
    <w:rsid w:val="0069681A"/>
    <w:rsid w:val="00696878"/>
    <w:rsid w:val="006968B1"/>
    <w:rsid w:val="0069697E"/>
    <w:rsid w:val="00696ABD"/>
    <w:rsid w:val="00696AD4"/>
    <w:rsid w:val="00696B84"/>
    <w:rsid w:val="00696BE2"/>
    <w:rsid w:val="00696C87"/>
    <w:rsid w:val="00696CF8"/>
    <w:rsid w:val="00696D73"/>
    <w:rsid w:val="00696DCB"/>
    <w:rsid w:val="00696ECB"/>
    <w:rsid w:val="00696F36"/>
    <w:rsid w:val="00697171"/>
    <w:rsid w:val="00697231"/>
    <w:rsid w:val="00697270"/>
    <w:rsid w:val="00697272"/>
    <w:rsid w:val="0069731B"/>
    <w:rsid w:val="00697325"/>
    <w:rsid w:val="0069768D"/>
    <w:rsid w:val="006976B6"/>
    <w:rsid w:val="006977EF"/>
    <w:rsid w:val="0069780A"/>
    <w:rsid w:val="00697843"/>
    <w:rsid w:val="006978C4"/>
    <w:rsid w:val="00697912"/>
    <w:rsid w:val="006979B6"/>
    <w:rsid w:val="006979EC"/>
    <w:rsid w:val="00697C82"/>
    <w:rsid w:val="00697D54"/>
    <w:rsid w:val="00697DCC"/>
    <w:rsid w:val="00697E17"/>
    <w:rsid w:val="00697E75"/>
    <w:rsid w:val="00697F23"/>
    <w:rsid w:val="00697F94"/>
    <w:rsid w:val="006A0167"/>
    <w:rsid w:val="006A0205"/>
    <w:rsid w:val="006A02C9"/>
    <w:rsid w:val="006A0438"/>
    <w:rsid w:val="006A058C"/>
    <w:rsid w:val="006A08D2"/>
    <w:rsid w:val="006A08E0"/>
    <w:rsid w:val="006A08E1"/>
    <w:rsid w:val="006A098B"/>
    <w:rsid w:val="006A09A7"/>
    <w:rsid w:val="006A09CD"/>
    <w:rsid w:val="006A0BC3"/>
    <w:rsid w:val="006A0BCF"/>
    <w:rsid w:val="006A0C63"/>
    <w:rsid w:val="006A0CAE"/>
    <w:rsid w:val="006A0D5C"/>
    <w:rsid w:val="006A0E88"/>
    <w:rsid w:val="006A107D"/>
    <w:rsid w:val="006A1123"/>
    <w:rsid w:val="006A1304"/>
    <w:rsid w:val="006A13A8"/>
    <w:rsid w:val="006A146C"/>
    <w:rsid w:val="006A14C5"/>
    <w:rsid w:val="006A16B5"/>
    <w:rsid w:val="006A16DA"/>
    <w:rsid w:val="006A1996"/>
    <w:rsid w:val="006A19E1"/>
    <w:rsid w:val="006A1A36"/>
    <w:rsid w:val="006A1B87"/>
    <w:rsid w:val="006A1CF6"/>
    <w:rsid w:val="006A1DD2"/>
    <w:rsid w:val="006A1DF4"/>
    <w:rsid w:val="006A1E1F"/>
    <w:rsid w:val="006A1F8E"/>
    <w:rsid w:val="006A1F99"/>
    <w:rsid w:val="006A1FD7"/>
    <w:rsid w:val="006A2190"/>
    <w:rsid w:val="006A221C"/>
    <w:rsid w:val="006A234D"/>
    <w:rsid w:val="006A241C"/>
    <w:rsid w:val="006A246A"/>
    <w:rsid w:val="006A25A8"/>
    <w:rsid w:val="006A25D4"/>
    <w:rsid w:val="006A25E2"/>
    <w:rsid w:val="006A267B"/>
    <w:rsid w:val="006A268F"/>
    <w:rsid w:val="006A26F4"/>
    <w:rsid w:val="006A2A2C"/>
    <w:rsid w:val="006A2A56"/>
    <w:rsid w:val="006A2BB0"/>
    <w:rsid w:val="006A2BD6"/>
    <w:rsid w:val="006A2C64"/>
    <w:rsid w:val="006A2C7E"/>
    <w:rsid w:val="006A2E8B"/>
    <w:rsid w:val="006A3046"/>
    <w:rsid w:val="006A3097"/>
    <w:rsid w:val="006A30CF"/>
    <w:rsid w:val="006A30EF"/>
    <w:rsid w:val="006A3262"/>
    <w:rsid w:val="006A32A2"/>
    <w:rsid w:val="006A3576"/>
    <w:rsid w:val="006A35A6"/>
    <w:rsid w:val="006A35DF"/>
    <w:rsid w:val="006A35EC"/>
    <w:rsid w:val="006A37A0"/>
    <w:rsid w:val="006A37F0"/>
    <w:rsid w:val="006A3836"/>
    <w:rsid w:val="006A385E"/>
    <w:rsid w:val="006A38C6"/>
    <w:rsid w:val="006A3C81"/>
    <w:rsid w:val="006A3C99"/>
    <w:rsid w:val="006A3E03"/>
    <w:rsid w:val="006A3F26"/>
    <w:rsid w:val="006A40BE"/>
    <w:rsid w:val="006A4128"/>
    <w:rsid w:val="006A4545"/>
    <w:rsid w:val="006A47F0"/>
    <w:rsid w:val="006A4800"/>
    <w:rsid w:val="006A4A37"/>
    <w:rsid w:val="006A4A5A"/>
    <w:rsid w:val="006A4B01"/>
    <w:rsid w:val="006A4BFB"/>
    <w:rsid w:val="006A4CAC"/>
    <w:rsid w:val="006A4DE0"/>
    <w:rsid w:val="006A4E81"/>
    <w:rsid w:val="006A5138"/>
    <w:rsid w:val="006A51A1"/>
    <w:rsid w:val="006A53D9"/>
    <w:rsid w:val="006A5567"/>
    <w:rsid w:val="006A557D"/>
    <w:rsid w:val="006A55EF"/>
    <w:rsid w:val="006A561C"/>
    <w:rsid w:val="006A57AD"/>
    <w:rsid w:val="006A58EC"/>
    <w:rsid w:val="006A5909"/>
    <w:rsid w:val="006A5914"/>
    <w:rsid w:val="006A5988"/>
    <w:rsid w:val="006A5A2C"/>
    <w:rsid w:val="006A5BA6"/>
    <w:rsid w:val="006A5C0D"/>
    <w:rsid w:val="006A5C20"/>
    <w:rsid w:val="006A5CBE"/>
    <w:rsid w:val="006A5D01"/>
    <w:rsid w:val="006A5D89"/>
    <w:rsid w:val="006A5E06"/>
    <w:rsid w:val="006A5E1E"/>
    <w:rsid w:val="006A5F13"/>
    <w:rsid w:val="006A5F16"/>
    <w:rsid w:val="006A6087"/>
    <w:rsid w:val="006A60C5"/>
    <w:rsid w:val="006A612B"/>
    <w:rsid w:val="006A6135"/>
    <w:rsid w:val="006A616D"/>
    <w:rsid w:val="006A626B"/>
    <w:rsid w:val="006A628F"/>
    <w:rsid w:val="006A6296"/>
    <w:rsid w:val="006A64C5"/>
    <w:rsid w:val="006A64FF"/>
    <w:rsid w:val="006A6955"/>
    <w:rsid w:val="006A6971"/>
    <w:rsid w:val="006A697C"/>
    <w:rsid w:val="006A6A69"/>
    <w:rsid w:val="006A6AB0"/>
    <w:rsid w:val="006A6BB6"/>
    <w:rsid w:val="006A6BDD"/>
    <w:rsid w:val="006A6CC6"/>
    <w:rsid w:val="006A6E08"/>
    <w:rsid w:val="006A6E5F"/>
    <w:rsid w:val="006A6EED"/>
    <w:rsid w:val="006A716E"/>
    <w:rsid w:val="006A74A3"/>
    <w:rsid w:val="006A76EB"/>
    <w:rsid w:val="006A76F6"/>
    <w:rsid w:val="006A7716"/>
    <w:rsid w:val="006A7795"/>
    <w:rsid w:val="006A7955"/>
    <w:rsid w:val="006A7AAE"/>
    <w:rsid w:val="006A7B59"/>
    <w:rsid w:val="006A7F22"/>
    <w:rsid w:val="006B007C"/>
    <w:rsid w:val="006B0085"/>
    <w:rsid w:val="006B00CA"/>
    <w:rsid w:val="006B01AE"/>
    <w:rsid w:val="006B01CC"/>
    <w:rsid w:val="006B0219"/>
    <w:rsid w:val="006B022A"/>
    <w:rsid w:val="006B0259"/>
    <w:rsid w:val="006B02F4"/>
    <w:rsid w:val="006B03F7"/>
    <w:rsid w:val="006B0420"/>
    <w:rsid w:val="006B043F"/>
    <w:rsid w:val="006B05A0"/>
    <w:rsid w:val="006B05A3"/>
    <w:rsid w:val="006B05A7"/>
    <w:rsid w:val="006B05FC"/>
    <w:rsid w:val="006B0736"/>
    <w:rsid w:val="006B0785"/>
    <w:rsid w:val="006B07EB"/>
    <w:rsid w:val="006B07F7"/>
    <w:rsid w:val="006B08B4"/>
    <w:rsid w:val="006B0954"/>
    <w:rsid w:val="006B09AC"/>
    <w:rsid w:val="006B09D3"/>
    <w:rsid w:val="006B0A96"/>
    <w:rsid w:val="006B0AE5"/>
    <w:rsid w:val="006B0B39"/>
    <w:rsid w:val="006B0BDE"/>
    <w:rsid w:val="006B0D0A"/>
    <w:rsid w:val="006B0D71"/>
    <w:rsid w:val="006B10A5"/>
    <w:rsid w:val="006B10D6"/>
    <w:rsid w:val="006B1133"/>
    <w:rsid w:val="006B11C6"/>
    <w:rsid w:val="006B14EA"/>
    <w:rsid w:val="006B14F6"/>
    <w:rsid w:val="006B15A0"/>
    <w:rsid w:val="006B17A9"/>
    <w:rsid w:val="006B184D"/>
    <w:rsid w:val="006B1932"/>
    <w:rsid w:val="006B193A"/>
    <w:rsid w:val="006B1994"/>
    <w:rsid w:val="006B19B9"/>
    <w:rsid w:val="006B1BC3"/>
    <w:rsid w:val="006B1DDF"/>
    <w:rsid w:val="006B1DFD"/>
    <w:rsid w:val="006B20F4"/>
    <w:rsid w:val="006B2176"/>
    <w:rsid w:val="006B22A8"/>
    <w:rsid w:val="006B2314"/>
    <w:rsid w:val="006B2438"/>
    <w:rsid w:val="006B24D4"/>
    <w:rsid w:val="006B25B6"/>
    <w:rsid w:val="006B2672"/>
    <w:rsid w:val="006B2775"/>
    <w:rsid w:val="006B27A2"/>
    <w:rsid w:val="006B2920"/>
    <w:rsid w:val="006B2A0B"/>
    <w:rsid w:val="006B2A86"/>
    <w:rsid w:val="006B2AAD"/>
    <w:rsid w:val="006B2AF4"/>
    <w:rsid w:val="006B2DE8"/>
    <w:rsid w:val="006B3069"/>
    <w:rsid w:val="006B30AF"/>
    <w:rsid w:val="006B31F6"/>
    <w:rsid w:val="006B3489"/>
    <w:rsid w:val="006B3516"/>
    <w:rsid w:val="006B365E"/>
    <w:rsid w:val="006B3665"/>
    <w:rsid w:val="006B3674"/>
    <w:rsid w:val="006B36A0"/>
    <w:rsid w:val="006B36C9"/>
    <w:rsid w:val="006B3851"/>
    <w:rsid w:val="006B3884"/>
    <w:rsid w:val="006B3915"/>
    <w:rsid w:val="006B3981"/>
    <w:rsid w:val="006B39AF"/>
    <w:rsid w:val="006B39C6"/>
    <w:rsid w:val="006B3A76"/>
    <w:rsid w:val="006B3B19"/>
    <w:rsid w:val="006B3B96"/>
    <w:rsid w:val="006B3CD9"/>
    <w:rsid w:val="006B3D6D"/>
    <w:rsid w:val="006B3DB2"/>
    <w:rsid w:val="006B3EA6"/>
    <w:rsid w:val="006B4002"/>
    <w:rsid w:val="006B4032"/>
    <w:rsid w:val="006B40C6"/>
    <w:rsid w:val="006B411E"/>
    <w:rsid w:val="006B43CF"/>
    <w:rsid w:val="006B4400"/>
    <w:rsid w:val="006B461E"/>
    <w:rsid w:val="006B46BD"/>
    <w:rsid w:val="006B4757"/>
    <w:rsid w:val="006B4773"/>
    <w:rsid w:val="006B48B8"/>
    <w:rsid w:val="006B4906"/>
    <w:rsid w:val="006B499C"/>
    <w:rsid w:val="006B4A97"/>
    <w:rsid w:val="006B4AFD"/>
    <w:rsid w:val="006B4B12"/>
    <w:rsid w:val="006B4C73"/>
    <w:rsid w:val="006B4C7A"/>
    <w:rsid w:val="006B4D93"/>
    <w:rsid w:val="006B4EA3"/>
    <w:rsid w:val="006B4F04"/>
    <w:rsid w:val="006B5043"/>
    <w:rsid w:val="006B508B"/>
    <w:rsid w:val="006B50D5"/>
    <w:rsid w:val="006B5112"/>
    <w:rsid w:val="006B51F5"/>
    <w:rsid w:val="006B534C"/>
    <w:rsid w:val="006B5351"/>
    <w:rsid w:val="006B538A"/>
    <w:rsid w:val="006B53B1"/>
    <w:rsid w:val="006B55BF"/>
    <w:rsid w:val="006B562D"/>
    <w:rsid w:val="006B58CA"/>
    <w:rsid w:val="006B5A68"/>
    <w:rsid w:val="006B5AED"/>
    <w:rsid w:val="006B5B58"/>
    <w:rsid w:val="006B5E0F"/>
    <w:rsid w:val="006B5E47"/>
    <w:rsid w:val="006B5E89"/>
    <w:rsid w:val="006B5FC8"/>
    <w:rsid w:val="006B5FEA"/>
    <w:rsid w:val="006B6009"/>
    <w:rsid w:val="006B60AF"/>
    <w:rsid w:val="006B60B8"/>
    <w:rsid w:val="006B60F6"/>
    <w:rsid w:val="006B61E6"/>
    <w:rsid w:val="006B62A4"/>
    <w:rsid w:val="006B62BE"/>
    <w:rsid w:val="006B634F"/>
    <w:rsid w:val="006B636C"/>
    <w:rsid w:val="006B652F"/>
    <w:rsid w:val="006B66C7"/>
    <w:rsid w:val="006B674C"/>
    <w:rsid w:val="006B676A"/>
    <w:rsid w:val="006B6796"/>
    <w:rsid w:val="006B67E2"/>
    <w:rsid w:val="006B6849"/>
    <w:rsid w:val="006B6922"/>
    <w:rsid w:val="006B696D"/>
    <w:rsid w:val="006B69EB"/>
    <w:rsid w:val="006B6D31"/>
    <w:rsid w:val="006B6D4E"/>
    <w:rsid w:val="006B6DAA"/>
    <w:rsid w:val="006B6DF8"/>
    <w:rsid w:val="006B6E4A"/>
    <w:rsid w:val="006B6E87"/>
    <w:rsid w:val="006B7062"/>
    <w:rsid w:val="006B712F"/>
    <w:rsid w:val="006B7333"/>
    <w:rsid w:val="006B7341"/>
    <w:rsid w:val="006B7500"/>
    <w:rsid w:val="006B755E"/>
    <w:rsid w:val="006B764A"/>
    <w:rsid w:val="006B76C3"/>
    <w:rsid w:val="006B7865"/>
    <w:rsid w:val="006B7958"/>
    <w:rsid w:val="006B796B"/>
    <w:rsid w:val="006B79C7"/>
    <w:rsid w:val="006B79DB"/>
    <w:rsid w:val="006B79F4"/>
    <w:rsid w:val="006B7B4D"/>
    <w:rsid w:val="006B7B7F"/>
    <w:rsid w:val="006B7BC7"/>
    <w:rsid w:val="006B7C1A"/>
    <w:rsid w:val="006B7CBE"/>
    <w:rsid w:val="006B7CF0"/>
    <w:rsid w:val="006B7DDE"/>
    <w:rsid w:val="006B7DF0"/>
    <w:rsid w:val="006C0060"/>
    <w:rsid w:val="006C00FC"/>
    <w:rsid w:val="006C01F4"/>
    <w:rsid w:val="006C0211"/>
    <w:rsid w:val="006C02AD"/>
    <w:rsid w:val="006C02E0"/>
    <w:rsid w:val="006C030C"/>
    <w:rsid w:val="006C0311"/>
    <w:rsid w:val="006C0349"/>
    <w:rsid w:val="006C0498"/>
    <w:rsid w:val="006C04B8"/>
    <w:rsid w:val="006C0637"/>
    <w:rsid w:val="006C07BA"/>
    <w:rsid w:val="006C0848"/>
    <w:rsid w:val="006C088B"/>
    <w:rsid w:val="006C08BA"/>
    <w:rsid w:val="006C08FC"/>
    <w:rsid w:val="006C09A4"/>
    <w:rsid w:val="006C0AED"/>
    <w:rsid w:val="006C0B62"/>
    <w:rsid w:val="006C0C33"/>
    <w:rsid w:val="006C0D13"/>
    <w:rsid w:val="006C0D35"/>
    <w:rsid w:val="006C0DA5"/>
    <w:rsid w:val="006C0DE7"/>
    <w:rsid w:val="006C0E60"/>
    <w:rsid w:val="006C0F32"/>
    <w:rsid w:val="006C0F67"/>
    <w:rsid w:val="006C103D"/>
    <w:rsid w:val="006C1157"/>
    <w:rsid w:val="006C1370"/>
    <w:rsid w:val="006C13E5"/>
    <w:rsid w:val="006C1776"/>
    <w:rsid w:val="006C17C3"/>
    <w:rsid w:val="006C19AC"/>
    <w:rsid w:val="006C1BFC"/>
    <w:rsid w:val="006C1C2E"/>
    <w:rsid w:val="006C1C6B"/>
    <w:rsid w:val="006C1F47"/>
    <w:rsid w:val="006C20F6"/>
    <w:rsid w:val="006C212F"/>
    <w:rsid w:val="006C22E6"/>
    <w:rsid w:val="006C2580"/>
    <w:rsid w:val="006C25C6"/>
    <w:rsid w:val="006C2636"/>
    <w:rsid w:val="006C26BB"/>
    <w:rsid w:val="006C26C4"/>
    <w:rsid w:val="006C2725"/>
    <w:rsid w:val="006C2782"/>
    <w:rsid w:val="006C281B"/>
    <w:rsid w:val="006C28BA"/>
    <w:rsid w:val="006C2A2F"/>
    <w:rsid w:val="006C2ADA"/>
    <w:rsid w:val="006C2B21"/>
    <w:rsid w:val="006C2BAF"/>
    <w:rsid w:val="006C2D65"/>
    <w:rsid w:val="006C2DB4"/>
    <w:rsid w:val="006C2F26"/>
    <w:rsid w:val="006C2F2D"/>
    <w:rsid w:val="006C2F41"/>
    <w:rsid w:val="006C3038"/>
    <w:rsid w:val="006C3049"/>
    <w:rsid w:val="006C3098"/>
    <w:rsid w:val="006C309F"/>
    <w:rsid w:val="006C3108"/>
    <w:rsid w:val="006C310D"/>
    <w:rsid w:val="006C3235"/>
    <w:rsid w:val="006C337B"/>
    <w:rsid w:val="006C337E"/>
    <w:rsid w:val="006C3410"/>
    <w:rsid w:val="006C3432"/>
    <w:rsid w:val="006C36CE"/>
    <w:rsid w:val="006C3807"/>
    <w:rsid w:val="006C3820"/>
    <w:rsid w:val="006C38BB"/>
    <w:rsid w:val="006C38CA"/>
    <w:rsid w:val="006C3B80"/>
    <w:rsid w:val="006C3C69"/>
    <w:rsid w:val="006C3CB4"/>
    <w:rsid w:val="006C3DEF"/>
    <w:rsid w:val="006C3E91"/>
    <w:rsid w:val="006C3F40"/>
    <w:rsid w:val="006C3FAD"/>
    <w:rsid w:val="006C4071"/>
    <w:rsid w:val="006C410B"/>
    <w:rsid w:val="006C43E7"/>
    <w:rsid w:val="006C46E7"/>
    <w:rsid w:val="006C475B"/>
    <w:rsid w:val="006C4924"/>
    <w:rsid w:val="006C4A9C"/>
    <w:rsid w:val="006C4AB0"/>
    <w:rsid w:val="006C4BA7"/>
    <w:rsid w:val="006C4C63"/>
    <w:rsid w:val="006C4CB2"/>
    <w:rsid w:val="006C4DC0"/>
    <w:rsid w:val="006C4DCB"/>
    <w:rsid w:val="006C4EA5"/>
    <w:rsid w:val="006C4F34"/>
    <w:rsid w:val="006C4F47"/>
    <w:rsid w:val="006C4F69"/>
    <w:rsid w:val="006C50E1"/>
    <w:rsid w:val="006C51D6"/>
    <w:rsid w:val="006C5202"/>
    <w:rsid w:val="006C5440"/>
    <w:rsid w:val="006C5558"/>
    <w:rsid w:val="006C5584"/>
    <w:rsid w:val="006C5625"/>
    <w:rsid w:val="006C5960"/>
    <w:rsid w:val="006C596B"/>
    <w:rsid w:val="006C5B44"/>
    <w:rsid w:val="006C5B6B"/>
    <w:rsid w:val="006C5C8F"/>
    <w:rsid w:val="006C5CA4"/>
    <w:rsid w:val="006C5D76"/>
    <w:rsid w:val="006C5DDD"/>
    <w:rsid w:val="006C5E88"/>
    <w:rsid w:val="006C5EDB"/>
    <w:rsid w:val="006C6043"/>
    <w:rsid w:val="006C6067"/>
    <w:rsid w:val="006C6109"/>
    <w:rsid w:val="006C6218"/>
    <w:rsid w:val="006C63A6"/>
    <w:rsid w:val="006C63E2"/>
    <w:rsid w:val="006C664F"/>
    <w:rsid w:val="006C6676"/>
    <w:rsid w:val="006C66F3"/>
    <w:rsid w:val="006C6741"/>
    <w:rsid w:val="006C6780"/>
    <w:rsid w:val="006C6797"/>
    <w:rsid w:val="006C689B"/>
    <w:rsid w:val="006C697F"/>
    <w:rsid w:val="006C6AAB"/>
    <w:rsid w:val="006C6BC3"/>
    <w:rsid w:val="006C6BDE"/>
    <w:rsid w:val="006C6C50"/>
    <w:rsid w:val="006C6D02"/>
    <w:rsid w:val="006C6D06"/>
    <w:rsid w:val="006C6E24"/>
    <w:rsid w:val="006C6F04"/>
    <w:rsid w:val="006C74C4"/>
    <w:rsid w:val="006C75C3"/>
    <w:rsid w:val="006C76E8"/>
    <w:rsid w:val="006C7860"/>
    <w:rsid w:val="006C7C8E"/>
    <w:rsid w:val="006C7CC7"/>
    <w:rsid w:val="006C7F06"/>
    <w:rsid w:val="006C7F8D"/>
    <w:rsid w:val="006C7FF5"/>
    <w:rsid w:val="006D0002"/>
    <w:rsid w:val="006D0006"/>
    <w:rsid w:val="006D00B3"/>
    <w:rsid w:val="006D00C1"/>
    <w:rsid w:val="006D0157"/>
    <w:rsid w:val="006D022F"/>
    <w:rsid w:val="006D03B0"/>
    <w:rsid w:val="006D0627"/>
    <w:rsid w:val="006D0774"/>
    <w:rsid w:val="006D0970"/>
    <w:rsid w:val="006D0A1A"/>
    <w:rsid w:val="006D0A7C"/>
    <w:rsid w:val="006D0B83"/>
    <w:rsid w:val="006D0D7A"/>
    <w:rsid w:val="006D0E20"/>
    <w:rsid w:val="006D0E6A"/>
    <w:rsid w:val="006D11BD"/>
    <w:rsid w:val="006D11C8"/>
    <w:rsid w:val="006D128F"/>
    <w:rsid w:val="006D13A5"/>
    <w:rsid w:val="006D1492"/>
    <w:rsid w:val="006D16AF"/>
    <w:rsid w:val="006D16F1"/>
    <w:rsid w:val="006D1960"/>
    <w:rsid w:val="006D1B22"/>
    <w:rsid w:val="006D1BB9"/>
    <w:rsid w:val="006D1C62"/>
    <w:rsid w:val="006D1D92"/>
    <w:rsid w:val="006D1DAA"/>
    <w:rsid w:val="006D1EC3"/>
    <w:rsid w:val="006D1F46"/>
    <w:rsid w:val="006D1F4A"/>
    <w:rsid w:val="006D1F66"/>
    <w:rsid w:val="006D2007"/>
    <w:rsid w:val="006D227D"/>
    <w:rsid w:val="006D2408"/>
    <w:rsid w:val="006D2465"/>
    <w:rsid w:val="006D2475"/>
    <w:rsid w:val="006D2594"/>
    <w:rsid w:val="006D266D"/>
    <w:rsid w:val="006D2710"/>
    <w:rsid w:val="006D278E"/>
    <w:rsid w:val="006D28D1"/>
    <w:rsid w:val="006D2A3D"/>
    <w:rsid w:val="006D2F2A"/>
    <w:rsid w:val="006D3115"/>
    <w:rsid w:val="006D3166"/>
    <w:rsid w:val="006D32F6"/>
    <w:rsid w:val="006D3592"/>
    <w:rsid w:val="006D35E7"/>
    <w:rsid w:val="006D3619"/>
    <w:rsid w:val="006D36D0"/>
    <w:rsid w:val="006D36EC"/>
    <w:rsid w:val="006D3894"/>
    <w:rsid w:val="006D38A4"/>
    <w:rsid w:val="006D3A64"/>
    <w:rsid w:val="006D3CC2"/>
    <w:rsid w:val="006D3D06"/>
    <w:rsid w:val="006D3E01"/>
    <w:rsid w:val="006D4077"/>
    <w:rsid w:val="006D411E"/>
    <w:rsid w:val="006D4132"/>
    <w:rsid w:val="006D4150"/>
    <w:rsid w:val="006D417A"/>
    <w:rsid w:val="006D4189"/>
    <w:rsid w:val="006D42CE"/>
    <w:rsid w:val="006D430D"/>
    <w:rsid w:val="006D43A5"/>
    <w:rsid w:val="006D449F"/>
    <w:rsid w:val="006D4575"/>
    <w:rsid w:val="006D468E"/>
    <w:rsid w:val="006D468F"/>
    <w:rsid w:val="006D478F"/>
    <w:rsid w:val="006D4877"/>
    <w:rsid w:val="006D48BB"/>
    <w:rsid w:val="006D4A58"/>
    <w:rsid w:val="006D4A98"/>
    <w:rsid w:val="006D4C10"/>
    <w:rsid w:val="006D4C54"/>
    <w:rsid w:val="006D4C7A"/>
    <w:rsid w:val="006D4E15"/>
    <w:rsid w:val="006D4EB2"/>
    <w:rsid w:val="006D4FA8"/>
    <w:rsid w:val="006D5083"/>
    <w:rsid w:val="006D50CA"/>
    <w:rsid w:val="006D5226"/>
    <w:rsid w:val="006D5329"/>
    <w:rsid w:val="006D538B"/>
    <w:rsid w:val="006D53B8"/>
    <w:rsid w:val="006D54C4"/>
    <w:rsid w:val="006D552D"/>
    <w:rsid w:val="006D5535"/>
    <w:rsid w:val="006D5783"/>
    <w:rsid w:val="006D5819"/>
    <w:rsid w:val="006D58B7"/>
    <w:rsid w:val="006D5900"/>
    <w:rsid w:val="006D5A88"/>
    <w:rsid w:val="006D5BDF"/>
    <w:rsid w:val="006D5ECD"/>
    <w:rsid w:val="006D5EEB"/>
    <w:rsid w:val="006D5F04"/>
    <w:rsid w:val="006D5F3F"/>
    <w:rsid w:val="006D5FD1"/>
    <w:rsid w:val="006D5FD3"/>
    <w:rsid w:val="006D603F"/>
    <w:rsid w:val="006D60E3"/>
    <w:rsid w:val="006D60E8"/>
    <w:rsid w:val="006D61BA"/>
    <w:rsid w:val="006D6296"/>
    <w:rsid w:val="006D63AD"/>
    <w:rsid w:val="006D63F9"/>
    <w:rsid w:val="006D6437"/>
    <w:rsid w:val="006D6481"/>
    <w:rsid w:val="006D64C3"/>
    <w:rsid w:val="006D6734"/>
    <w:rsid w:val="006D67BB"/>
    <w:rsid w:val="006D681F"/>
    <w:rsid w:val="006D685A"/>
    <w:rsid w:val="006D699C"/>
    <w:rsid w:val="006D69B0"/>
    <w:rsid w:val="006D6A88"/>
    <w:rsid w:val="006D6DF4"/>
    <w:rsid w:val="006D716C"/>
    <w:rsid w:val="006D7229"/>
    <w:rsid w:val="006D7234"/>
    <w:rsid w:val="006D7285"/>
    <w:rsid w:val="006D7334"/>
    <w:rsid w:val="006D73E8"/>
    <w:rsid w:val="006D74D1"/>
    <w:rsid w:val="006D7518"/>
    <w:rsid w:val="006D753D"/>
    <w:rsid w:val="006D7598"/>
    <w:rsid w:val="006D75A2"/>
    <w:rsid w:val="006D76EC"/>
    <w:rsid w:val="006D770A"/>
    <w:rsid w:val="006D7851"/>
    <w:rsid w:val="006D788E"/>
    <w:rsid w:val="006D7AD4"/>
    <w:rsid w:val="006D7B1E"/>
    <w:rsid w:val="006D7C85"/>
    <w:rsid w:val="006D7C9F"/>
    <w:rsid w:val="006D7CA8"/>
    <w:rsid w:val="006D7CDE"/>
    <w:rsid w:val="006D7DEC"/>
    <w:rsid w:val="006D7E41"/>
    <w:rsid w:val="006D7ECB"/>
    <w:rsid w:val="006D7F7F"/>
    <w:rsid w:val="006E00D6"/>
    <w:rsid w:val="006E01B1"/>
    <w:rsid w:val="006E01E9"/>
    <w:rsid w:val="006E045D"/>
    <w:rsid w:val="006E0485"/>
    <w:rsid w:val="006E04DC"/>
    <w:rsid w:val="006E05C8"/>
    <w:rsid w:val="006E06F2"/>
    <w:rsid w:val="006E0815"/>
    <w:rsid w:val="006E0850"/>
    <w:rsid w:val="006E091F"/>
    <w:rsid w:val="006E0938"/>
    <w:rsid w:val="006E0BEA"/>
    <w:rsid w:val="006E0C3B"/>
    <w:rsid w:val="006E0E20"/>
    <w:rsid w:val="006E0E3F"/>
    <w:rsid w:val="006E11BD"/>
    <w:rsid w:val="006E1395"/>
    <w:rsid w:val="006E13DC"/>
    <w:rsid w:val="006E13E7"/>
    <w:rsid w:val="006E1462"/>
    <w:rsid w:val="006E14F9"/>
    <w:rsid w:val="006E15C6"/>
    <w:rsid w:val="006E16E0"/>
    <w:rsid w:val="006E17B6"/>
    <w:rsid w:val="006E1865"/>
    <w:rsid w:val="006E1906"/>
    <w:rsid w:val="006E196F"/>
    <w:rsid w:val="006E1A85"/>
    <w:rsid w:val="006E1B21"/>
    <w:rsid w:val="006E1B46"/>
    <w:rsid w:val="006E1BA2"/>
    <w:rsid w:val="006E1CD4"/>
    <w:rsid w:val="006E1D20"/>
    <w:rsid w:val="006E1E50"/>
    <w:rsid w:val="006E1FE7"/>
    <w:rsid w:val="006E216A"/>
    <w:rsid w:val="006E2300"/>
    <w:rsid w:val="006E2337"/>
    <w:rsid w:val="006E240C"/>
    <w:rsid w:val="006E2488"/>
    <w:rsid w:val="006E24F1"/>
    <w:rsid w:val="006E25A2"/>
    <w:rsid w:val="006E26C9"/>
    <w:rsid w:val="006E272A"/>
    <w:rsid w:val="006E2878"/>
    <w:rsid w:val="006E2928"/>
    <w:rsid w:val="006E2A85"/>
    <w:rsid w:val="006E2D00"/>
    <w:rsid w:val="006E2D23"/>
    <w:rsid w:val="006E2D98"/>
    <w:rsid w:val="006E2E3F"/>
    <w:rsid w:val="006E2E71"/>
    <w:rsid w:val="006E2E93"/>
    <w:rsid w:val="006E2EF7"/>
    <w:rsid w:val="006E2FEF"/>
    <w:rsid w:val="006E310E"/>
    <w:rsid w:val="006E3213"/>
    <w:rsid w:val="006E323D"/>
    <w:rsid w:val="006E351D"/>
    <w:rsid w:val="006E3565"/>
    <w:rsid w:val="006E36AB"/>
    <w:rsid w:val="006E39A6"/>
    <w:rsid w:val="006E3A1E"/>
    <w:rsid w:val="006E3AB7"/>
    <w:rsid w:val="006E3C2B"/>
    <w:rsid w:val="006E3C59"/>
    <w:rsid w:val="006E3C69"/>
    <w:rsid w:val="006E3C7B"/>
    <w:rsid w:val="006E3EDA"/>
    <w:rsid w:val="006E40C2"/>
    <w:rsid w:val="006E41AC"/>
    <w:rsid w:val="006E41CD"/>
    <w:rsid w:val="006E4249"/>
    <w:rsid w:val="006E4347"/>
    <w:rsid w:val="006E4387"/>
    <w:rsid w:val="006E443F"/>
    <w:rsid w:val="006E445E"/>
    <w:rsid w:val="006E4523"/>
    <w:rsid w:val="006E4531"/>
    <w:rsid w:val="006E4636"/>
    <w:rsid w:val="006E479D"/>
    <w:rsid w:val="006E47E7"/>
    <w:rsid w:val="006E481C"/>
    <w:rsid w:val="006E48A1"/>
    <w:rsid w:val="006E49D4"/>
    <w:rsid w:val="006E4A69"/>
    <w:rsid w:val="006E4BCC"/>
    <w:rsid w:val="006E4BE8"/>
    <w:rsid w:val="006E4CAF"/>
    <w:rsid w:val="006E4CF8"/>
    <w:rsid w:val="006E4D28"/>
    <w:rsid w:val="006E4EA1"/>
    <w:rsid w:val="006E4EB2"/>
    <w:rsid w:val="006E5139"/>
    <w:rsid w:val="006E53D3"/>
    <w:rsid w:val="006E54B7"/>
    <w:rsid w:val="006E5591"/>
    <w:rsid w:val="006E5666"/>
    <w:rsid w:val="006E5761"/>
    <w:rsid w:val="006E57E5"/>
    <w:rsid w:val="006E591B"/>
    <w:rsid w:val="006E5AC8"/>
    <w:rsid w:val="006E5B48"/>
    <w:rsid w:val="006E5BF4"/>
    <w:rsid w:val="006E5BF6"/>
    <w:rsid w:val="006E5C0E"/>
    <w:rsid w:val="006E5CF9"/>
    <w:rsid w:val="006E5E15"/>
    <w:rsid w:val="006E5F1D"/>
    <w:rsid w:val="006E606A"/>
    <w:rsid w:val="006E60DC"/>
    <w:rsid w:val="006E61C9"/>
    <w:rsid w:val="006E61D1"/>
    <w:rsid w:val="006E61DB"/>
    <w:rsid w:val="006E61F0"/>
    <w:rsid w:val="006E6225"/>
    <w:rsid w:val="006E6308"/>
    <w:rsid w:val="006E64BC"/>
    <w:rsid w:val="006E6527"/>
    <w:rsid w:val="006E6618"/>
    <w:rsid w:val="006E6624"/>
    <w:rsid w:val="006E66C2"/>
    <w:rsid w:val="006E67A9"/>
    <w:rsid w:val="006E6844"/>
    <w:rsid w:val="006E6B23"/>
    <w:rsid w:val="006E70A5"/>
    <w:rsid w:val="006E71A0"/>
    <w:rsid w:val="006E732F"/>
    <w:rsid w:val="006E73FD"/>
    <w:rsid w:val="006E741A"/>
    <w:rsid w:val="006E74C3"/>
    <w:rsid w:val="006E7741"/>
    <w:rsid w:val="006E7749"/>
    <w:rsid w:val="006E787B"/>
    <w:rsid w:val="006E79BC"/>
    <w:rsid w:val="006E7A71"/>
    <w:rsid w:val="006E7AF9"/>
    <w:rsid w:val="006E7C61"/>
    <w:rsid w:val="006E7CD9"/>
    <w:rsid w:val="006E7CFA"/>
    <w:rsid w:val="006E7F13"/>
    <w:rsid w:val="006E7F96"/>
    <w:rsid w:val="006F0003"/>
    <w:rsid w:val="006F001E"/>
    <w:rsid w:val="006F0109"/>
    <w:rsid w:val="006F02C7"/>
    <w:rsid w:val="006F04C3"/>
    <w:rsid w:val="006F054F"/>
    <w:rsid w:val="006F05A0"/>
    <w:rsid w:val="006F05B3"/>
    <w:rsid w:val="006F07C3"/>
    <w:rsid w:val="006F07E9"/>
    <w:rsid w:val="006F0A86"/>
    <w:rsid w:val="006F0C17"/>
    <w:rsid w:val="006F0C1C"/>
    <w:rsid w:val="006F0C9D"/>
    <w:rsid w:val="006F0E9F"/>
    <w:rsid w:val="006F106D"/>
    <w:rsid w:val="006F109C"/>
    <w:rsid w:val="006F10AA"/>
    <w:rsid w:val="006F1102"/>
    <w:rsid w:val="006F110F"/>
    <w:rsid w:val="006F11F5"/>
    <w:rsid w:val="006F13EC"/>
    <w:rsid w:val="006F1432"/>
    <w:rsid w:val="006F1497"/>
    <w:rsid w:val="006F152C"/>
    <w:rsid w:val="006F1888"/>
    <w:rsid w:val="006F18C0"/>
    <w:rsid w:val="006F194E"/>
    <w:rsid w:val="006F1953"/>
    <w:rsid w:val="006F1A4C"/>
    <w:rsid w:val="006F1B53"/>
    <w:rsid w:val="006F1B72"/>
    <w:rsid w:val="006F1C13"/>
    <w:rsid w:val="006F1CF3"/>
    <w:rsid w:val="006F1D13"/>
    <w:rsid w:val="006F1D2C"/>
    <w:rsid w:val="006F1DFD"/>
    <w:rsid w:val="006F1E00"/>
    <w:rsid w:val="006F1E1F"/>
    <w:rsid w:val="006F1E21"/>
    <w:rsid w:val="006F1F35"/>
    <w:rsid w:val="006F2186"/>
    <w:rsid w:val="006F2214"/>
    <w:rsid w:val="006F2397"/>
    <w:rsid w:val="006F249B"/>
    <w:rsid w:val="006F24C3"/>
    <w:rsid w:val="006F282F"/>
    <w:rsid w:val="006F2855"/>
    <w:rsid w:val="006F28AB"/>
    <w:rsid w:val="006F29A4"/>
    <w:rsid w:val="006F2A0F"/>
    <w:rsid w:val="006F2A8C"/>
    <w:rsid w:val="006F2BA9"/>
    <w:rsid w:val="006F2C23"/>
    <w:rsid w:val="006F2DE1"/>
    <w:rsid w:val="006F2F41"/>
    <w:rsid w:val="006F2F7D"/>
    <w:rsid w:val="006F3074"/>
    <w:rsid w:val="006F3252"/>
    <w:rsid w:val="006F33DF"/>
    <w:rsid w:val="006F347C"/>
    <w:rsid w:val="006F34A6"/>
    <w:rsid w:val="006F350B"/>
    <w:rsid w:val="006F355A"/>
    <w:rsid w:val="006F35EF"/>
    <w:rsid w:val="006F3682"/>
    <w:rsid w:val="006F36C9"/>
    <w:rsid w:val="006F375A"/>
    <w:rsid w:val="006F382F"/>
    <w:rsid w:val="006F396F"/>
    <w:rsid w:val="006F3AC5"/>
    <w:rsid w:val="006F3B28"/>
    <w:rsid w:val="006F3BB7"/>
    <w:rsid w:val="006F3BDD"/>
    <w:rsid w:val="006F3D30"/>
    <w:rsid w:val="006F3DC5"/>
    <w:rsid w:val="006F3F99"/>
    <w:rsid w:val="006F3F9E"/>
    <w:rsid w:val="006F407A"/>
    <w:rsid w:val="006F41B5"/>
    <w:rsid w:val="006F45A7"/>
    <w:rsid w:val="006F4758"/>
    <w:rsid w:val="006F485E"/>
    <w:rsid w:val="006F48AA"/>
    <w:rsid w:val="006F4BF9"/>
    <w:rsid w:val="006F4C9F"/>
    <w:rsid w:val="006F4CFE"/>
    <w:rsid w:val="006F4D28"/>
    <w:rsid w:val="006F4DB9"/>
    <w:rsid w:val="006F4EA2"/>
    <w:rsid w:val="006F4FD1"/>
    <w:rsid w:val="006F4FD7"/>
    <w:rsid w:val="006F5195"/>
    <w:rsid w:val="006F528B"/>
    <w:rsid w:val="006F5298"/>
    <w:rsid w:val="006F529D"/>
    <w:rsid w:val="006F5326"/>
    <w:rsid w:val="006F5346"/>
    <w:rsid w:val="006F5526"/>
    <w:rsid w:val="006F5537"/>
    <w:rsid w:val="006F5556"/>
    <w:rsid w:val="006F5632"/>
    <w:rsid w:val="006F56BD"/>
    <w:rsid w:val="006F5807"/>
    <w:rsid w:val="006F58EF"/>
    <w:rsid w:val="006F5968"/>
    <w:rsid w:val="006F59D4"/>
    <w:rsid w:val="006F5AAA"/>
    <w:rsid w:val="006F5BF3"/>
    <w:rsid w:val="006F5C6F"/>
    <w:rsid w:val="006F5CCF"/>
    <w:rsid w:val="006F5D4E"/>
    <w:rsid w:val="006F5F84"/>
    <w:rsid w:val="006F5FA9"/>
    <w:rsid w:val="006F5FB1"/>
    <w:rsid w:val="006F6375"/>
    <w:rsid w:val="006F6398"/>
    <w:rsid w:val="006F63A5"/>
    <w:rsid w:val="006F63D6"/>
    <w:rsid w:val="006F662F"/>
    <w:rsid w:val="006F66F4"/>
    <w:rsid w:val="006F66FF"/>
    <w:rsid w:val="006F678B"/>
    <w:rsid w:val="006F693E"/>
    <w:rsid w:val="006F69C1"/>
    <w:rsid w:val="006F69D7"/>
    <w:rsid w:val="006F69F7"/>
    <w:rsid w:val="006F6B38"/>
    <w:rsid w:val="006F6B94"/>
    <w:rsid w:val="006F6DFB"/>
    <w:rsid w:val="006F6F8D"/>
    <w:rsid w:val="006F6FDA"/>
    <w:rsid w:val="006F70B0"/>
    <w:rsid w:val="006F724D"/>
    <w:rsid w:val="006F7317"/>
    <w:rsid w:val="006F73FA"/>
    <w:rsid w:val="006F7476"/>
    <w:rsid w:val="006F754B"/>
    <w:rsid w:val="006F7779"/>
    <w:rsid w:val="006F7848"/>
    <w:rsid w:val="006F78FA"/>
    <w:rsid w:val="006F795A"/>
    <w:rsid w:val="006F7E1A"/>
    <w:rsid w:val="006F7E60"/>
    <w:rsid w:val="006F7E7F"/>
    <w:rsid w:val="006F7FAB"/>
    <w:rsid w:val="006F7FAE"/>
    <w:rsid w:val="007000C1"/>
    <w:rsid w:val="007000C9"/>
    <w:rsid w:val="007000E6"/>
    <w:rsid w:val="007001BC"/>
    <w:rsid w:val="00700261"/>
    <w:rsid w:val="00700450"/>
    <w:rsid w:val="0070070D"/>
    <w:rsid w:val="0070077C"/>
    <w:rsid w:val="007007FD"/>
    <w:rsid w:val="0070090D"/>
    <w:rsid w:val="00700B13"/>
    <w:rsid w:val="00700B23"/>
    <w:rsid w:val="00700BC7"/>
    <w:rsid w:val="00700BDB"/>
    <w:rsid w:val="00700E34"/>
    <w:rsid w:val="00700E97"/>
    <w:rsid w:val="00700F27"/>
    <w:rsid w:val="007010FB"/>
    <w:rsid w:val="00701305"/>
    <w:rsid w:val="00701363"/>
    <w:rsid w:val="007013E5"/>
    <w:rsid w:val="007013F3"/>
    <w:rsid w:val="00701423"/>
    <w:rsid w:val="0070157B"/>
    <w:rsid w:val="0070168B"/>
    <w:rsid w:val="007017D6"/>
    <w:rsid w:val="00701A4E"/>
    <w:rsid w:val="00701BB7"/>
    <w:rsid w:val="00701C21"/>
    <w:rsid w:val="00701C53"/>
    <w:rsid w:val="00701DE5"/>
    <w:rsid w:val="00701E08"/>
    <w:rsid w:val="00701E99"/>
    <w:rsid w:val="00701EE2"/>
    <w:rsid w:val="00702021"/>
    <w:rsid w:val="007021D8"/>
    <w:rsid w:val="00702221"/>
    <w:rsid w:val="007023F9"/>
    <w:rsid w:val="0070242A"/>
    <w:rsid w:val="007027D3"/>
    <w:rsid w:val="007028D5"/>
    <w:rsid w:val="00702B11"/>
    <w:rsid w:val="00702BB8"/>
    <w:rsid w:val="00702C3E"/>
    <w:rsid w:val="00702CD9"/>
    <w:rsid w:val="00702E22"/>
    <w:rsid w:val="00702E86"/>
    <w:rsid w:val="00702EA0"/>
    <w:rsid w:val="00702FB4"/>
    <w:rsid w:val="00702FF0"/>
    <w:rsid w:val="00703156"/>
    <w:rsid w:val="0070323F"/>
    <w:rsid w:val="00703281"/>
    <w:rsid w:val="00703489"/>
    <w:rsid w:val="007036B1"/>
    <w:rsid w:val="00703864"/>
    <w:rsid w:val="007038B3"/>
    <w:rsid w:val="007039EB"/>
    <w:rsid w:val="00703A33"/>
    <w:rsid w:val="00703B13"/>
    <w:rsid w:val="00703D8F"/>
    <w:rsid w:val="00703EB3"/>
    <w:rsid w:val="0070405D"/>
    <w:rsid w:val="0070422E"/>
    <w:rsid w:val="0070437E"/>
    <w:rsid w:val="007046DB"/>
    <w:rsid w:val="007046E5"/>
    <w:rsid w:val="007048A8"/>
    <w:rsid w:val="007049AA"/>
    <w:rsid w:val="00704F0C"/>
    <w:rsid w:val="0070503F"/>
    <w:rsid w:val="0070522E"/>
    <w:rsid w:val="00705543"/>
    <w:rsid w:val="00705707"/>
    <w:rsid w:val="0070572D"/>
    <w:rsid w:val="007058D8"/>
    <w:rsid w:val="00705B06"/>
    <w:rsid w:val="00705B16"/>
    <w:rsid w:val="00705B24"/>
    <w:rsid w:val="00705B39"/>
    <w:rsid w:val="00705C46"/>
    <w:rsid w:val="00705C6A"/>
    <w:rsid w:val="00705CB7"/>
    <w:rsid w:val="00706004"/>
    <w:rsid w:val="00706076"/>
    <w:rsid w:val="007060B2"/>
    <w:rsid w:val="007060EC"/>
    <w:rsid w:val="0070611C"/>
    <w:rsid w:val="007061D0"/>
    <w:rsid w:val="0070626E"/>
    <w:rsid w:val="00706423"/>
    <w:rsid w:val="00706582"/>
    <w:rsid w:val="007065B2"/>
    <w:rsid w:val="00706775"/>
    <w:rsid w:val="007067DC"/>
    <w:rsid w:val="00706812"/>
    <w:rsid w:val="00706943"/>
    <w:rsid w:val="007069F1"/>
    <w:rsid w:val="00706A9E"/>
    <w:rsid w:val="00706AFF"/>
    <w:rsid w:val="00706B30"/>
    <w:rsid w:val="00706BF3"/>
    <w:rsid w:val="00706C03"/>
    <w:rsid w:val="00706C75"/>
    <w:rsid w:val="00706DD5"/>
    <w:rsid w:val="00706EA8"/>
    <w:rsid w:val="00706EC4"/>
    <w:rsid w:val="00706EE4"/>
    <w:rsid w:val="00706F95"/>
    <w:rsid w:val="00707056"/>
    <w:rsid w:val="007072E1"/>
    <w:rsid w:val="00707342"/>
    <w:rsid w:val="0070737C"/>
    <w:rsid w:val="00707425"/>
    <w:rsid w:val="0070748F"/>
    <w:rsid w:val="00707543"/>
    <w:rsid w:val="0070759E"/>
    <w:rsid w:val="00707695"/>
    <w:rsid w:val="007076EC"/>
    <w:rsid w:val="00707773"/>
    <w:rsid w:val="007077FF"/>
    <w:rsid w:val="00707832"/>
    <w:rsid w:val="00707894"/>
    <w:rsid w:val="007078D0"/>
    <w:rsid w:val="00707980"/>
    <w:rsid w:val="007079B9"/>
    <w:rsid w:val="007079CF"/>
    <w:rsid w:val="00707AA6"/>
    <w:rsid w:val="00707C4E"/>
    <w:rsid w:val="00707C97"/>
    <w:rsid w:val="00707D29"/>
    <w:rsid w:val="00707D86"/>
    <w:rsid w:val="00707D9E"/>
    <w:rsid w:val="00707ED3"/>
    <w:rsid w:val="00707EF3"/>
    <w:rsid w:val="007101D7"/>
    <w:rsid w:val="00710328"/>
    <w:rsid w:val="0071036C"/>
    <w:rsid w:val="007103E8"/>
    <w:rsid w:val="007103F6"/>
    <w:rsid w:val="00710437"/>
    <w:rsid w:val="007108C4"/>
    <w:rsid w:val="00710AAA"/>
    <w:rsid w:val="00710B65"/>
    <w:rsid w:val="00710C5F"/>
    <w:rsid w:val="00710E4C"/>
    <w:rsid w:val="00710EA1"/>
    <w:rsid w:val="00710ECF"/>
    <w:rsid w:val="00710EEA"/>
    <w:rsid w:val="00711121"/>
    <w:rsid w:val="0071123A"/>
    <w:rsid w:val="0071123E"/>
    <w:rsid w:val="00711336"/>
    <w:rsid w:val="007113DF"/>
    <w:rsid w:val="007113FB"/>
    <w:rsid w:val="0071140E"/>
    <w:rsid w:val="007114B2"/>
    <w:rsid w:val="007114C1"/>
    <w:rsid w:val="007114CD"/>
    <w:rsid w:val="00711542"/>
    <w:rsid w:val="00711696"/>
    <w:rsid w:val="00711726"/>
    <w:rsid w:val="007119AC"/>
    <w:rsid w:val="007119E5"/>
    <w:rsid w:val="00711A54"/>
    <w:rsid w:val="00711B15"/>
    <w:rsid w:val="00711BA7"/>
    <w:rsid w:val="00711C84"/>
    <w:rsid w:val="00711CE8"/>
    <w:rsid w:val="00711E1D"/>
    <w:rsid w:val="00711EDC"/>
    <w:rsid w:val="00711EFD"/>
    <w:rsid w:val="00711FCB"/>
    <w:rsid w:val="00712055"/>
    <w:rsid w:val="00712090"/>
    <w:rsid w:val="007120D6"/>
    <w:rsid w:val="00712143"/>
    <w:rsid w:val="00712174"/>
    <w:rsid w:val="00712181"/>
    <w:rsid w:val="0071239F"/>
    <w:rsid w:val="007123AC"/>
    <w:rsid w:val="007123EF"/>
    <w:rsid w:val="00712409"/>
    <w:rsid w:val="0071245E"/>
    <w:rsid w:val="007125E2"/>
    <w:rsid w:val="00712641"/>
    <w:rsid w:val="00712868"/>
    <w:rsid w:val="00712895"/>
    <w:rsid w:val="0071294C"/>
    <w:rsid w:val="0071295F"/>
    <w:rsid w:val="00712B33"/>
    <w:rsid w:val="00712B3A"/>
    <w:rsid w:val="00712B6D"/>
    <w:rsid w:val="00712CF4"/>
    <w:rsid w:val="00712E35"/>
    <w:rsid w:val="00712E63"/>
    <w:rsid w:val="00712EAE"/>
    <w:rsid w:val="00712FD6"/>
    <w:rsid w:val="00713006"/>
    <w:rsid w:val="00713057"/>
    <w:rsid w:val="0071309F"/>
    <w:rsid w:val="007134A0"/>
    <w:rsid w:val="007135EB"/>
    <w:rsid w:val="007135EC"/>
    <w:rsid w:val="00713652"/>
    <w:rsid w:val="00713668"/>
    <w:rsid w:val="007136F6"/>
    <w:rsid w:val="00713782"/>
    <w:rsid w:val="0071379D"/>
    <w:rsid w:val="007137C7"/>
    <w:rsid w:val="007138AA"/>
    <w:rsid w:val="00713947"/>
    <w:rsid w:val="00713BDD"/>
    <w:rsid w:val="00713C09"/>
    <w:rsid w:val="00713E90"/>
    <w:rsid w:val="00713EE3"/>
    <w:rsid w:val="00713F06"/>
    <w:rsid w:val="00713F0A"/>
    <w:rsid w:val="00713F19"/>
    <w:rsid w:val="00713F2A"/>
    <w:rsid w:val="00713FA8"/>
    <w:rsid w:val="00714005"/>
    <w:rsid w:val="0071409C"/>
    <w:rsid w:val="00714403"/>
    <w:rsid w:val="007144F3"/>
    <w:rsid w:val="00714738"/>
    <w:rsid w:val="0071483B"/>
    <w:rsid w:val="00714873"/>
    <w:rsid w:val="00714A03"/>
    <w:rsid w:val="00714C97"/>
    <w:rsid w:val="00714D5A"/>
    <w:rsid w:val="00714EE0"/>
    <w:rsid w:val="0071524D"/>
    <w:rsid w:val="00715330"/>
    <w:rsid w:val="0071536C"/>
    <w:rsid w:val="007153FE"/>
    <w:rsid w:val="00715416"/>
    <w:rsid w:val="0071554D"/>
    <w:rsid w:val="00715749"/>
    <w:rsid w:val="007157A4"/>
    <w:rsid w:val="007157CC"/>
    <w:rsid w:val="00715810"/>
    <w:rsid w:val="00715995"/>
    <w:rsid w:val="007159DD"/>
    <w:rsid w:val="007159F1"/>
    <w:rsid w:val="00715C28"/>
    <w:rsid w:val="00715C9F"/>
    <w:rsid w:val="00715D16"/>
    <w:rsid w:val="00715E09"/>
    <w:rsid w:val="00715F6F"/>
    <w:rsid w:val="00715F84"/>
    <w:rsid w:val="00715FD9"/>
    <w:rsid w:val="00716053"/>
    <w:rsid w:val="00716057"/>
    <w:rsid w:val="00716177"/>
    <w:rsid w:val="007163B8"/>
    <w:rsid w:val="0071641B"/>
    <w:rsid w:val="00716458"/>
    <w:rsid w:val="00716503"/>
    <w:rsid w:val="00716581"/>
    <w:rsid w:val="007165AD"/>
    <w:rsid w:val="0071665B"/>
    <w:rsid w:val="007166C7"/>
    <w:rsid w:val="0071678A"/>
    <w:rsid w:val="007167A0"/>
    <w:rsid w:val="00716AC3"/>
    <w:rsid w:val="00716CCF"/>
    <w:rsid w:val="00716D7F"/>
    <w:rsid w:val="00716DBB"/>
    <w:rsid w:val="00716FE8"/>
    <w:rsid w:val="0071700E"/>
    <w:rsid w:val="00717113"/>
    <w:rsid w:val="00717133"/>
    <w:rsid w:val="00717134"/>
    <w:rsid w:val="00717204"/>
    <w:rsid w:val="007173E5"/>
    <w:rsid w:val="007174F1"/>
    <w:rsid w:val="0071757D"/>
    <w:rsid w:val="007175A2"/>
    <w:rsid w:val="0071773F"/>
    <w:rsid w:val="00717796"/>
    <w:rsid w:val="0071781D"/>
    <w:rsid w:val="0071784F"/>
    <w:rsid w:val="00717C1B"/>
    <w:rsid w:val="00717D2F"/>
    <w:rsid w:val="00717E36"/>
    <w:rsid w:val="00717E6A"/>
    <w:rsid w:val="00717EEE"/>
    <w:rsid w:val="00717F33"/>
    <w:rsid w:val="00717FE8"/>
    <w:rsid w:val="00720038"/>
    <w:rsid w:val="007200C5"/>
    <w:rsid w:val="00720221"/>
    <w:rsid w:val="007203F9"/>
    <w:rsid w:val="0072054C"/>
    <w:rsid w:val="0072056C"/>
    <w:rsid w:val="007205C6"/>
    <w:rsid w:val="007206AF"/>
    <w:rsid w:val="007206F5"/>
    <w:rsid w:val="0072073A"/>
    <w:rsid w:val="00720741"/>
    <w:rsid w:val="00720846"/>
    <w:rsid w:val="007208D1"/>
    <w:rsid w:val="00720A29"/>
    <w:rsid w:val="00720B22"/>
    <w:rsid w:val="00720C3F"/>
    <w:rsid w:val="00720D42"/>
    <w:rsid w:val="00720DB2"/>
    <w:rsid w:val="00720DEE"/>
    <w:rsid w:val="00720EA7"/>
    <w:rsid w:val="00720EBE"/>
    <w:rsid w:val="00720ECE"/>
    <w:rsid w:val="00720F8E"/>
    <w:rsid w:val="0072102D"/>
    <w:rsid w:val="0072107E"/>
    <w:rsid w:val="00721110"/>
    <w:rsid w:val="0072123D"/>
    <w:rsid w:val="0072132F"/>
    <w:rsid w:val="0072165E"/>
    <w:rsid w:val="0072176B"/>
    <w:rsid w:val="0072177A"/>
    <w:rsid w:val="007217DF"/>
    <w:rsid w:val="0072182E"/>
    <w:rsid w:val="00721866"/>
    <w:rsid w:val="007218ED"/>
    <w:rsid w:val="00721A58"/>
    <w:rsid w:val="00721AAE"/>
    <w:rsid w:val="00721D27"/>
    <w:rsid w:val="00721D67"/>
    <w:rsid w:val="00721D9A"/>
    <w:rsid w:val="00721DA0"/>
    <w:rsid w:val="00721E2A"/>
    <w:rsid w:val="00721E52"/>
    <w:rsid w:val="00721EB1"/>
    <w:rsid w:val="007220F8"/>
    <w:rsid w:val="0072213F"/>
    <w:rsid w:val="00722159"/>
    <w:rsid w:val="007224A4"/>
    <w:rsid w:val="007225E3"/>
    <w:rsid w:val="00722671"/>
    <w:rsid w:val="007227EB"/>
    <w:rsid w:val="00722955"/>
    <w:rsid w:val="00722A2B"/>
    <w:rsid w:val="00722B7C"/>
    <w:rsid w:val="00722FC6"/>
    <w:rsid w:val="007231FA"/>
    <w:rsid w:val="0072328F"/>
    <w:rsid w:val="0072339B"/>
    <w:rsid w:val="00723488"/>
    <w:rsid w:val="007234E6"/>
    <w:rsid w:val="007235E2"/>
    <w:rsid w:val="007235FA"/>
    <w:rsid w:val="00723770"/>
    <w:rsid w:val="00723827"/>
    <w:rsid w:val="007238A7"/>
    <w:rsid w:val="007238E2"/>
    <w:rsid w:val="00723990"/>
    <w:rsid w:val="007239A7"/>
    <w:rsid w:val="007239AD"/>
    <w:rsid w:val="007239C2"/>
    <w:rsid w:val="00723A58"/>
    <w:rsid w:val="00723B32"/>
    <w:rsid w:val="00723CAC"/>
    <w:rsid w:val="00723D94"/>
    <w:rsid w:val="0072402B"/>
    <w:rsid w:val="007242D6"/>
    <w:rsid w:val="0072438A"/>
    <w:rsid w:val="007243DF"/>
    <w:rsid w:val="0072441D"/>
    <w:rsid w:val="0072445E"/>
    <w:rsid w:val="007245AA"/>
    <w:rsid w:val="00724620"/>
    <w:rsid w:val="0072486E"/>
    <w:rsid w:val="00724971"/>
    <w:rsid w:val="00724A06"/>
    <w:rsid w:val="00724B84"/>
    <w:rsid w:val="00724B96"/>
    <w:rsid w:val="00724C51"/>
    <w:rsid w:val="00724CBB"/>
    <w:rsid w:val="00724ECA"/>
    <w:rsid w:val="00724F96"/>
    <w:rsid w:val="00724FAB"/>
    <w:rsid w:val="00725066"/>
    <w:rsid w:val="00725086"/>
    <w:rsid w:val="0072509B"/>
    <w:rsid w:val="0072510F"/>
    <w:rsid w:val="0072524F"/>
    <w:rsid w:val="00725511"/>
    <w:rsid w:val="00725607"/>
    <w:rsid w:val="00725631"/>
    <w:rsid w:val="007256DA"/>
    <w:rsid w:val="007256EC"/>
    <w:rsid w:val="007257F6"/>
    <w:rsid w:val="007259E0"/>
    <w:rsid w:val="00725C05"/>
    <w:rsid w:val="00725CC8"/>
    <w:rsid w:val="00725D87"/>
    <w:rsid w:val="00725E73"/>
    <w:rsid w:val="00725ED2"/>
    <w:rsid w:val="00725F18"/>
    <w:rsid w:val="00725F23"/>
    <w:rsid w:val="00725F80"/>
    <w:rsid w:val="007260C7"/>
    <w:rsid w:val="0072619C"/>
    <w:rsid w:val="007261EE"/>
    <w:rsid w:val="007262B3"/>
    <w:rsid w:val="007264AC"/>
    <w:rsid w:val="00726527"/>
    <w:rsid w:val="007265BB"/>
    <w:rsid w:val="0072664C"/>
    <w:rsid w:val="00726720"/>
    <w:rsid w:val="0072677F"/>
    <w:rsid w:val="007267EF"/>
    <w:rsid w:val="007268C0"/>
    <w:rsid w:val="007268DB"/>
    <w:rsid w:val="00726940"/>
    <w:rsid w:val="00726A5A"/>
    <w:rsid w:val="00726C14"/>
    <w:rsid w:val="00726C29"/>
    <w:rsid w:val="00726CDC"/>
    <w:rsid w:val="00726D8F"/>
    <w:rsid w:val="00726E81"/>
    <w:rsid w:val="00727122"/>
    <w:rsid w:val="007271A9"/>
    <w:rsid w:val="007271F0"/>
    <w:rsid w:val="00727213"/>
    <w:rsid w:val="0072736D"/>
    <w:rsid w:val="007273CD"/>
    <w:rsid w:val="00727659"/>
    <w:rsid w:val="007278C2"/>
    <w:rsid w:val="00727968"/>
    <w:rsid w:val="0072799A"/>
    <w:rsid w:val="007279F2"/>
    <w:rsid w:val="00727B09"/>
    <w:rsid w:val="00727BE4"/>
    <w:rsid w:val="00727DCE"/>
    <w:rsid w:val="00727E06"/>
    <w:rsid w:val="00727E37"/>
    <w:rsid w:val="00727E99"/>
    <w:rsid w:val="00727ECB"/>
    <w:rsid w:val="00727EE7"/>
    <w:rsid w:val="00727F52"/>
    <w:rsid w:val="00730019"/>
    <w:rsid w:val="0073004F"/>
    <w:rsid w:val="0073017D"/>
    <w:rsid w:val="0073019B"/>
    <w:rsid w:val="00730511"/>
    <w:rsid w:val="007305F2"/>
    <w:rsid w:val="00730600"/>
    <w:rsid w:val="007306ED"/>
    <w:rsid w:val="00730710"/>
    <w:rsid w:val="0073072A"/>
    <w:rsid w:val="00730855"/>
    <w:rsid w:val="00730B1F"/>
    <w:rsid w:val="00730C2D"/>
    <w:rsid w:val="00730D2C"/>
    <w:rsid w:val="00730E38"/>
    <w:rsid w:val="00730F37"/>
    <w:rsid w:val="0073109F"/>
    <w:rsid w:val="007310C5"/>
    <w:rsid w:val="007310DB"/>
    <w:rsid w:val="0073112C"/>
    <w:rsid w:val="00731180"/>
    <w:rsid w:val="007312BF"/>
    <w:rsid w:val="007313A0"/>
    <w:rsid w:val="007314B5"/>
    <w:rsid w:val="007315A2"/>
    <w:rsid w:val="007315AE"/>
    <w:rsid w:val="007315F1"/>
    <w:rsid w:val="00731615"/>
    <w:rsid w:val="00731752"/>
    <w:rsid w:val="007317AE"/>
    <w:rsid w:val="007317F2"/>
    <w:rsid w:val="00731BD8"/>
    <w:rsid w:val="00731D59"/>
    <w:rsid w:val="00731EED"/>
    <w:rsid w:val="00731F02"/>
    <w:rsid w:val="00731F91"/>
    <w:rsid w:val="00732038"/>
    <w:rsid w:val="00732260"/>
    <w:rsid w:val="00732307"/>
    <w:rsid w:val="0073246A"/>
    <w:rsid w:val="00732551"/>
    <w:rsid w:val="0073258E"/>
    <w:rsid w:val="007326F6"/>
    <w:rsid w:val="0073272E"/>
    <w:rsid w:val="00732730"/>
    <w:rsid w:val="00732737"/>
    <w:rsid w:val="007327A3"/>
    <w:rsid w:val="007327D9"/>
    <w:rsid w:val="00732822"/>
    <w:rsid w:val="00732895"/>
    <w:rsid w:val="0073295B"/>
    <w:rsid w:val="00732A16"/>
    <w:rsid w:val="00732ACC"/>
    <w:rsid w:val="00732DF6"/>
    <w:rsid w:val="00732ED3"/>
    <w:rsid w:val="00733128"/>
    <w:rsid w:val="0073325F"/>
    <w:rsid w:val="00733311"/>
    <w:rsid w:val="0073332A"/>
    <w:rsid w:val="007334A4"/>
    <w:rsid w:val="007334BC"/>
    <w:rsid w:val="00733530"/>
    <w:rsid w:val="0073354A"/>
    <w:rsid w:val="00733594"/>
    <w:rsid w:val="007335EE"/>
    <w:rsid w:val="00733633"/>
    <w:rsid w:val="00733717"/>
    <w:rsid w:val="00733830"/>
    <w:rsid w:val="0073387F"/>
    <w:rsid w:val="00733908"/>
    <w:rsid w:val="00733999"/>
    <w:rsid w:val="00733AC0"/>
    <w:rsid w:val="00733AEA"/>
    <w:rsid w:val="00733CCE"/>
    <w:rsid w:val="00733E70"/>
    <w:rsid w:val="00733FEA"/>
    <w:rsid w:val="00734025"/>
    <w:rsid w:val="0073403C"/>
    <w:rsid w:val="0073426D"/>
    <w:rsid w:val="00734378"/>
    <w:rsid w:val="0073442F"/>
    <w:rsid w:val="007346F5"/>
    <w:rsid w:val="0073479E"/>
    <w:rsid w:val="00734950"/>
    <w:rsid w:val="00734A53"/>
    <w:rsid w:val="00734A7A"/>
    <w:rsid w:val="00734BA6"/>
    <w:rsid w:val="00734BEF"/>
    <w:rsid w:val="00734CF6"/>
    <w:rsid w:val="00734D45"/>
    <w:rsid w:val="00734D48"/>
    <w:rsid w:val="00734DE1"/>
    <w:rsid w:val="00734E02"/>
    <w:rsid w:val="00734F15"/>
    <w:rsid w:val="00734F56"/>
    <w:rsid w:val="00734F69"/>
    <w:rsid w:val="00734FB3"/>
    <w:rsid w:val="00734FC1"/>
    <w:rsid w:val="0073513C"/>
    <w:rsid w:val="00735213"/>
    <w:rsid w:val="0073524C"/>
    <w:rsid w:val="00735280"/>
    <w:rsid w:val="00735410"/>
    <w:rsid w:val="007354D3"/>
    <w:rsid w:val="0073561F"/>
    <w:rsid w:val="00735653"/>
    <w:rsid w:val="0073579C"/>
    <w:rsid w:val="00735871"/>
    <w:rsid w:val="00735874"/>
    <w:rsid w:val="0073596B"/>
    <w:rsid w:val="00735972"/>
    <w:rsid w:val="007359FA"/>
    <w:rsid w:val="00735ADE"/>
    <w:rsid w:val="00735B38"/>
    <w:rsid w:val="00735B49"/>
    <w:rsid w:val="00735BD2"/>
    <w:rsid w:val="00735C5D"/>
    <w:rsid w:val="00735C61"/>
    <w:rsid w:val="00735E46"/>
    <w:rsid w:val="00735E91"/>
    <w:rsid w:val="00735E9F"/>
    <w:rsid w:val="00735F08"/>
    <w:rsid w:val="00735F68"/>
    <w:rsid w:val="00736058"/>
    <w:rsid w:val="0073605B"/>
    <w:rsid w:val="00736113"/>
    <w:rsid w:val="0073614E"/>
    <w:rsid w:val="00736254"/>
    <w:rsid w:val="007362CF"/>
    <w:rsid w:val="0073630F"/>
    <w:rsid w:val="00736329"/>
    <w:rsid w:val="00736386"/>
    <w:rsid w:val="00736395"/>
    <w:rsid w:val="00736434"/>
    <w:rsid w:val="007365B1"/>
    <w:rsid w:val="007365F9"/>
    <w:rsid w:val="00736710"/>
    <w:rsid w:val="0073675C"/>
    <w:rsid w:val="00736792"/>
    <w:rsid w:val="0073688E"/>
    <w:rsid w:val="00736904"/>
    <w:rsid w:val="0073692C"/>
    <w:rsid w:val="00736970"/>
    <w:rsid w:val="0073698F"/>
    <w:rsid w:val="00736ADC"/>
    <w:rsid w:val="00736B34"/>
    <w:rsid w:val="00736F04"/>
    <w:rsid w:val="00736F0A"/>
    <w:rsid w:val="00736F42"/>
    <w:rsid w:val="00737023"/>
    <w:rsid w:val="007370B6"/>
    <w:rsid w:val="0073718B"/>
    <w:rsid w:val="00737201"/>
    <w:rsid w:val="00737211"/>
    <w:rsid w:val="0073731E"/>
    <w:rsid w:val="00737476"/>
    <w:rsid w:val="007374D4"/>
    <w:rsid w:val="0073774B"/>
    <w:rsid w:val="00737796"/>
    <w:rsid w:val="0073790E"/>
    <w:rsid w:val="00737A66"/>
    <w:rsid w:val="00737B6D"/>
    <w:rsid w:val="00737D27"/>
    <w:rsid w:val="00737D89"/>
    <w:rsid w:val="00737E1F"/>
    <w:rsid w:val="00737EA5"/>
    <w:rsid w:val="00737EC6"/>
    <w:rsid w:val="007400EB"/>
    <w:rsid w:val="0074012D"/>
    <w:rsid w:val="007401A6"/>
    <w:rsid w:val="007405D6"/>
    <w:rsid w:val="00740622"/>
    <w:rsid w:val="00740940"/>
    <w:rsid w:val="007409F3"/>
    <w:rsid w:val="00740AA5"/>
    <w:rsid w:val="00740AE5"/>
    <w:rsid w:val="00740B9E"/>
    <w:rsid w:val="00740C68"/>
    <w:rsid w:val="00740D56"/>
    <w:rsid w:val="00740ED9"/>
    <w:rsid w:val="00740F46"/>
    <w:rsid w:val="00740F71"/>
    <w:rsid w:val="00740FCB"/>
    <w:rsid w:val="00740FE9"/>
    <w:rsid w:val="00741093"/>
    <w:rsid w:val="007410C0"/>
    <w:rsid w:val="00741256"/>
    <w:rsid w:val="0074127D"/>
    <w:rsid w:val="00741402"/>
    <w:rsid w:val="00741467"/>
    <w:rsid w:val="0074166A"/>
    <w:rsid w:val="00741677"/>
    <w:rsid w:val="007416B9"/>
    <w:rsid w:val="00741701"/>
    <w:rsid w:val="007417CC"/>
    <w:rsid w:val="007417CF"/>
    <w:rsid w:val="0074182E"/>
    <w:rsid w:val="00741862"/>
    <w:rsid w:val="00741964"/>
    <w:rsid w:val="00741A0D"/>
    <w:rsid w:val="00741B27"/>
    <w:rsid w:val="00741E31"/>
    <w:rsid w:val="00741F4E"/>
    <w:rsid w:val="00741F7C"/>
    <w:rsid w:val="00741FF6"/>
    <w:rsid w:val="007420D5"/>
    <w:rsid w:val="0074234F"/>
    <w:rsid w:val="0074236D"/>
    <w:rsid w:val="007424B6"/>
    <w:rsid w:val="007424C6"/>
    <w:rsid w:val="007425BB"/>
    <w:rsid w:val="00742758"/>
    <w:rsid w:val="00742842"/>
    <w:rsid w:val="00742A2C"/>
    <w:rsid w:val="00742AE8"/>
    <w:rsid w:val="00742BEA"/>
    <w:rsid w:val="00742C1A"/>
    <w:rsid w:val="00742C83"/>
    <w:rsid w:val="00742D3E"/>
    <w:rsid w:val="00742D76"/>
    <w:rsid w:val="00742E0C"/>
    <w:rsid w:val="00742E1E"/>
    <w:rsid w:val="00742EEE"/>
    <w:rsid w:val="00742F40"/>
    <w:rsid w:val="00743076"/>
    <w:rsid w:val="00743235"/>
    <w:rsid w:val="007432F0"/>
    <w:rsid w:val="0074330E"/>
    <w:rsid w:val="00743410"/>
    <w:rsid w:val="0074343B"/>
    <w:rsid w:val="0074345B"/>
    <w:rsid w:val="0074345C"/>
    <w:rsid w:val="00743634"/>
    <w:rsid w:val="0074366D"/>
    <w:rsid w:val="007436FF"/>
    <w:rsid w:val="00743723"/>
    <w:rsid w:val="00743727"/>
    <w:rsid w:val="007439A9"/>
    <w:rsid w:val="00743A17"/>
    <w:rsid w:val="00743A64"/>
    <w:rsid w:val="00743A69"/>
    <w:rsid w:val="00743B1A"/>
    <w:rsid w:val="00743B49"/>
    <w:rsid w:val="00743CD9"/>
    <w:rsid w:val="00743DAF"/>
    <w:rsid w:val="00743E37"/>
    <w:rsid w:val="00743E5A"/>
    <w:rsid w:val="00743EBE"/>
    <w:rsid w:val="00743F14"/>
    <w:rsid w:val="00743F4F"/>
    <w:rsid w:val="00744057"/>
    <w:rsid w:val="007442AE"/>
    <w:rsid w:val="0074435D"/>
    <w:rsid w:val="007443E1"/>
    <w:rsid w:val="007445DD"/>
    <w:rsid w:val="00744777"/>
    <w:rsid w:val="00744869"/>
    <w:rsid w:val="007449C1"/>
    <w:rsid w:val="00744B4A"/>
    <w:rsid w:val="00744D5F"/>
    <w:rsid w:val="00744E3D"/>
    <w:rsid w:val="00744EDF"/>
    <w:rsid w:val="00744FB7"/>
    <w:rsid w:val="007451A8"/>
    <w:rsid w:val="0074537B"/>
    <w:rsid w:val="00745486"/>
    <w:rsid w:val="007455C0"/>
    <w:rsid w:val="007455CA"/>
    <w:rsid w:val="00745673"/>
    <w:rsid w:val="00745681"/>
    <w:rsid w:val="0074570B"/>
    <w:rsid w:val="00745825"/>
    <w:rsid w:val="0074584F"/>
    <w:rsid w:val="0074594C"/>
    <w:rsid w:val="00745987"/>
    <w:rsid w:val="007459B3"/>
    <w:rsid w:val="00745A32"/>
    <w:rsid w:val="00745AEB"/>
    <w:rsid w:val="00745C1B"/>
    <w:rsid w:val="00745C48"/>
    <w:rsid w:val="00745D82"/>
    <w:rsid w:val="00745F61"/>
    <w:rsid w:val="00746146"/>
    <w:rsid w:val="007461D7"/>
    <w:rsid w:val="00746321"/>
    <w:rsid w:val="007463BF"/>
    <w:rsid w:val="00746456"/>
    <w:rsid w:val="0074656A"/>
    <w:rsid w:val="00746721"/>
    <w:rsid w:val="00746736"/>
    <w:rsid w:val="007468FB"/>
    <w:rsid w:val="00746928"/>
    <w:rsid w:val="007469DB"/>
    <w:rsid w:val="00746ADD"/>
    <w:rsid w:val="00746B3D"/>
    <w:rsid w:val="00746B90"/>
    <w:rsid w:val="00746BDF"/>
    <w:rsid w:val="00746DB6"/>
    <w:rsid w:val="00746DCE"/>
    <w:rsid w:val="00746F0F"/>
    <w:rsid w:val="0074732E"/>
    <w:rsid w:val="007473B7"/>
    <w:rsid w:val="00747414"/>
    <w:rsid w:val="0074751C"/>
    <w:rsid w:val="00747750"/>
    <w:rsid w:val="00747AB5"/>
    <w:rsid w:val="00747D8E"/>
    <w:rsid w:val="00747FD9"/>
    <w:rsid w:val="00750119"/>
    <w:rsid w:val="00750155"/>
    <w:rsid w:val="0075023A"/>
    <w:rsid w:val="00750298"/>
    <w:rsid w:val="007503EE"/>
    <w:rsid w:val="007504B9"/>
    <w:rsid w:val="00750525"/>
    <w:rsid w:val="00750587"/>
    <w:rsid w:val="007506FF"/>
    <w:rsid w:val="00750796"/>
    <w:rsid w:val="0075094A"/>
    <w:rsid w:val="007509B8"/>
    <w:rsid w:val="00750AA3"/>
    <w:rsid w:val="00750AD5"/>
    <w:rsid w:val="00750EB3"/>
    <w:rsid w:val="00750F60"/>
    <w:rsid w:val="00750FD6"/>
    <w:rsid w:val="00750FE7"/>
    <w:rsid w:val="007510C2"/>
    <w:rsid w:val="007512AF"/>
    <w:rsid w:val="007513E3"/>
    <w:rsid w:val="007514D6"/>
    <w:rsid w:val="00751642"/>
    <w:rsid w:val="0075168F"/>
    <w:rsid w:val="00751692"/>
    <w:rsid w:val="007517F5"/>
    <w:rsid w:val="00751965"/>
    <w:rsid w:val="00751B1F"/>
    <w:rsid w:val="00751E23"/>
    <w:rsid w:val="00751EA6"/>
    <w:rsid w:val="00751EF1"/>
    <w:rsid w:val="00752024"/>
    <w:rsid w:val="00752282"/>
    <w:rsid w:val="0075265F"/>
    <w:rsid w:val="00752758"/>
    <w:rsid w:val="007527D5"/>
    <w:rsid w:val="0075289C"/>
    <w:rsid w:val="007528BC"/>
    <w:rsid w:val="007528DC"/>
    <w:rsid w:val="007529C1"/>
    <w:rsid w:val="00752A78"/>
    <w:rsid w:val="00752EBF"/>
    <w:rsid w:val="00752EDC"/>
    <w:rsid w:val="00752F7E"/>
    <w:rsid w:val="00752FA9"/>
    <w:rsid w:val="00753035"/>
    <w:rsid w:val="00753182"/>
    <w:rsid w:val="007532FF"/>
    <w:rsid w:val="007533FD"/>
    <w:rsid w:val="00753425"/>
    <w:rsid w:val="007535F6"/>
    <w:rsid w:val="00753742"/>
    <w:rsid w:val="00753850"/>
    <w:rsid w:val="0075389A"/>
    <w:rsid w:val="007538D8"/>
    <w:rsid w:val="00753B31"/>
    <w:rsid w:val="00753CF6"/>
    <w:rsid w:val="00753DD2"/>
    <w:rsid w:val="00754033"/>
    <w:rsid w:val="007542CC"/>
    <w:rsid w:val="00754494"/>
    <w:rsid w:val="007544CE"/>
    <w:rsid w:val="0075451E"/>
    <w:rsid w:val="00754964"/>
    <w:rsid w:val="00754B46"/>
    <w:rsid w:val="00754D30"/>
    <w:rsid w:val="00754DF7"/>
    <w:rsid w:val="00754E9A"/>
    <w:rsid w:val="00754EC0"/>
    <w:rsid w:val="00754F03"/>
    <w:rsid w:val="00755049"/>
    <w:rsid w:val="00755102"/>
    <w:rsid w:val="0075511E"/>
    <w:rsid w:val="0075536E"/>
    <w:rsid w:val="007553DA"/>
    <w:rsid w:val="00755408"/>
    <w:rsid w:val="00755461"/>
    <w:rsid w:val="00755498"/>
    <w:rsid w:val="00755598"/>
    <w:rsid w:val="007555FF"/>
    <w:rsid w:val="00755778"/>
    <w:rsid w:val="007557AD"/>
    <w:rsid w:val="007559D1"/>
    <w:rsid w:val="00755A07"/>
    <w:rsid w:val="00755A18"/>
    <w:rsid w:val="00755A5A"/>
    <w:rsid w:val="00755A76"/>
    <w:rsid w:val="00755EBD"/>
    <w:rsid w:val="00755FA8"/>
    <w:rsid w:val="00755FBD"/>
    <w:rsid w:val="00756115"/>
    <w:rsid w:val="007561E4"/>
    <w:rsid w:val="0075647D"/>
    <w:rsid w:val="0075648C"/>
    <w:rsid w:val="00756589"/>
    <w:rsid w:val="00756631"/>
    <w:rsid w:val="007569AC"/>
    <w:rsid w:val="00756C84"/>
    <w:rsid w:val="00756D13"/>
    <w:rsid w:val="00756F4D"/>
    <w:rsid w:val="00756FBD"/>
    <w:rsid w:val="00756FE0"/>
    <w:rsid w:val="007572D2"/>
    <w:rsid w:val="007574CA"/>
    <w:rsid w:val="0075766B"/>
    <w:rsid w:val="007576A8"/>
    <w:rsid w:val="00757702"/>
    <w:rsid w:val="00757706"/>
    <w:rsid w:val="00757791"/>
    <w:rsid w:val="0075779B"/>
    <w:rsid w:val="00757808"/>
    <w:rsid w:val="007579CE"/>
    <w:rsid w:val="00757A1C"/>
    <w:rsid w:val="00757A3E"/>
    <w:rsid w:val="00757ABD"/>
    <w:rsid w:val="00757AF8"/>
    <w:rsid w:val="00757C0F"/>
    <w:rsid w:val="00757E07"/>
    <w:rsid w:val="00757E54"/>
    <w:rsid w:val="00757F00"/>
    <w:rsid w:val="00757F6D"/>
    <w:rsid w:val="00760025"/>
    <w:rsid w:val="007600DA"/>
    <w:rsid w:val="0076019D"/>
    <w:rsid w:val="007602A3"/>
    <w:rsid w:val="007606C2"/>
    <w:rsid w:val="007607C6"/>
    <w:rsid w:val="00760841"/>
    <w:rsid w:val="0076097E"/>
    <w:rsid w:val="00760C67"/>
    <w:rsid w:val="00760D4F"/>
    <w:rsid w:val="00760F24"/>
    <w:rsid w:val="00760F97"/>
    <w:rsid w:val="00761161"/>
    <w:rsid w:val="00761168"/>
    <w:rsid w:val="00761188"/>
    <w:rsid w:val="00761232"/>
    <w:rsid w:val="007613E3"/>
    <w:rsid w:val="007614EF"/>
    <w:rsid w:val="007615C3"/>
    <w:rsid w:val="00761777"/>
    <w:rsid w:val="007617E8"/>
    <w:rsid w:val="007618F2"/>
    <w:rsid w:val="00761910"/>
    <w:rsid w:val="00761A38"/>
    <w:rsid w:val="00761A56"/>
    <w:rsid w:val="00761ADA"/>
    <w:rsid w:val="00761CB7"/>
    <w:rsid w:val="00761E19"/>
    <w:rsid w:val="00761E91"/>
    <w:rsid w:val="00761F8F"/>
    <w:rsid w:val="00761FEE"/>
    <w:rsid w:val="00762091"/>
    <w:rsid w:val="007620BD"/>
    <w:rsid w:val="00762106"/>
    <w:rsid w:val="00762245"/>
    <w:rsid w:val="007622E6"/>
    <w:rsid w:val="0076241D"/>
    <w:rsid w:val="007624A5"/>
    <w:rsid w:val="00762523"/>
    <w:rsid w:val="00762565"/>
    <w:rsid w:val="0076260F"/>
    <w:rsid w:val="00762719"/>
    <w:rsid w:val="00762975"/>
    <w:rsid w:val="00762A97"/>
    <w:rsid w:val="00762B14"/>
    <w:rsid w:val="00762C39"/>
    <w:rsid w:val="00762C58"/>
    <w:rsid w:val="00762C5B"/>
    <w:rsid w:val="00762C77"/>
    <w:rsid w:val="00762F1E"/>
    <w:rsid w:val="00762F54"/>
    <w:rsid w:val="00763018"/>
    <w:rsid w:val="007631AF"/>
    <w:rsid w:val="0076327F"/>
    <w:rsid w:val="0076334C"/>
    <w:rsid w:val="007635E3"/>
    <w:rsid w:val="00763619"/>
    <w:rsid w:val="00763735"/>
    <w:rsid w:val="00763909"/>
    <w:rsid w:val="00763984"/>
    <w:rsid w:val="00763A8D"/>
    <w:rsid w:val="00763B49"/>
    <w:rsid w:val="00763B7B"/>
    <w:rsid w:val="00763D67"/>
    <w:rsid w:val="00763FDF"/>
    <w:rsid w:val="007640C6"/>
    <w:rsid w:val="00764125"/>
    <w:rsid w:val="00764292"/>
    <w:rsid w:val="0076430D"/>
    <w:rsid w:val="0076433C"/>
    <w:rsid w:val="007644C2"/>
    <w:rsid w:val="0076454C"/>
    <w:rsid w:val="0076456A"/>
    <w:rsid w:val="0076468F"/>
    <w:rsid w:val="007646DE"/>
    <w:rsid w:val="00764814"/>
    <w:rsid w:val="00764A12"/>
    <w:rsid w:val="00764A31"/>
    <w:rsid w:val="00764B93"/>
    <w:rsid w:val="00764F13"/>
    <w:rsid w:val="007650D9"/>
    <w:rsid w:val="00765105"/>
    <w:rsid w:val="00765140"/>
    <w:rsid w:val="00765245"/>
    <w:rsid w:val="0076547C"/>
    <w:rsid w:val="00765498"/>
    <w:rsid w:val="0076551E"/>
    <w:rsid w:val="00765665"/>
    <w:rsid w:val="007656F8"/>
    <w:rsid w:val="007658D3"/>
    <w:rsid w:val="00765A51"/>
    <w:rsid w:val="00765B69"/>
    <w:rsid w:val="00765C5A"/>
    <w:rsid w:val="00765D06"/>
    <w:rsid w:val="00765E45"/>
    <w:rsid w:val="00765FF6"/>
    <w:rsid w:val="007660B4"/>
    <w:rsid w:val="0076613A"/>
    <w:rsid w:val="0076625E"/>
    <w:rsid w:val="0076648C"/>
    <w:rsid w:val="00766671"/>
    <w:rsid w:val="007667BB"/>
    <w:rsid w:val="00766C2C"/>
    <w:rsid w:val="00766CDC"/>
    <w:rsid w:val="00766DED"/>
    <w:rsid w:val="00766DF7"/>
    <w:rsid w:val="00766EE2"/>
    <w:rsid w:val="00766F40"/>
    <w:rsid w:val="00767135"/>
    <w:rsid w:val="007671C8"/>
    <w:rsid w:val="00767376"/>
    <w:rsid w:val="007677F3"/>
    <w:rsid w:val="007678D9"/>
    <w:rsid w:val="0076792A"/>
    <w:rsid w:val="00767CD0"/>
    <w:rsid w:val="00767D33"/>
    <w:rsid w:val="00767D68"/>
    <w:rsid w:val="00767D6C"/>
    <w:rsid w:val="00767E60"/>
    <w:rsid w:val="00767EA6"/>
    <w:rsid w:val="00767FEF"/>
    <w:rsid w:val="00770005"/>
    <w:rsid w:val="007700E1"/>
    <w:rsid w:val="0077018C"/>
    <w:rsid w:val="0077032C"/>
    <w:rsid w:val="00770371"/>
    <w:rsid w:val="00770436"/>
    <w:rsid w:val="00770549"/>
    <w:rsid w:val="00770621"/>
    <w:rsid w:val="007706A2"/>
    <w:rsid w:val="007706D9"/>
    <w:rsid w:val="007706FF"/>
    <w:rsid w:val="0077096F"/>
    <w:rsid w:val="00770A7D"/>
    <w:rsid w:val="00770CDA"/>
    <w:rsid w:val="00770D9E"/>
    <w:rsid w:val="00770E50"/>
    <w:rsid w:val="00770E8F"/>
    <w:rsid w:val="00771028"/>
    <w:rsid w:val="00771074"/>
    <w:rsid w:val="007710E5"/>
    <w:rsid w:val="00771164"/>
    <w:rsid w:val="0077117C"/>
    <w:rsid w:val="007711BE"/>
    <w:rsid w:val="007711D1"/>
    <w:rsid w:val="0077121F"/>
    <w:rsid w:val="007714B2"/>
    <w:rsid w:val="00771529"/>
    <w:rsid w:val="007715E0"/>
    <w:rsid w:val="0077168C"/>
    <w:rsid w:val="007718D4"/>
    <w:rsid w:val="007719D0"/>
    <w:rsid w:val="007719F0"/>
    <w:rsid w:val="00771AF0"/>
    <w:rsid w:val="00771B76"/>
    <w:rsid w:val="00771BEE"/>
    <w:rsid w:val="00771CC6"/>
    <w:rsid w:val="00771EB9"/>
    <w:rsid w:val="00771F1E"/>
    <w:rsid w:val="00771FAF"/>
    <w:rsid w:val="00772145"/>
    <w:rsid w:val="00772162"/>
    <w:rsid w:val="00772192"/>
    <w:rsid w:val="00772241"/>
    <w:rsid w:val="00772312"/>
    <w:rsid w:val="00772357"/>
    <w:rsid w:val="0077242E"/>
    <w:rsid w:val="00772450"/>
    <w:rsid w:val="007724F0"/>
    <w:rsid w:val="007725B5"/>
    <w:rsid w:val="007726E1"/>
    <w:rsid w:val="007728E8"/>
    <w:rsid w:val="00772A1C"/>
    <w:rsid w:val="00772A4E"/>
    <w:rsid w:val="00772A7F"/>
    <w:rsid w:val="00772AD2"/>
    <w:rsid w:val="00772C5D"/>
    <w:rsid w:val="00772C74"/>
    <w:rsid w:val="00772C8D"/>
    <w:rsid w:val="00772D10"/>
    <w:rsid w:val="00772D74"/>
    <w:rsid w:val="00772DE7"/>
    <w:rsid w:val="00772EC6"/>
    <w:rsid w:val="00773099"/>
    <w:rsid w:val="00773165"/>
    <w:rsid w:val="0077338A"/>
    <w:rsid w:val="007734ED"/>
    <w:rsid w:val="00773653"/>
    <w:rsid w:val="00773697"/>
    <w:rsid w:val="0077378A"/>
    <w:rsid w:val="0077382B"/>
    <w:rsid w:val="0077382E"/>
    <w:rsid w:val="00773888"/>
    <w:rsid w:val="007738DA"/>
    <w:rsid w:val="00773997"/>
    <w:rsid w:val="007739F1"/>
    <w:rsid w:val="00773A23"/>
    <w:rsid w:val="00773AAA"/>
    <w:rsid w:val="00773C63"/>
    <w:rsid w:val="00773C77"/>
    <w:rsid w:val="00773CCA"/>
    <w:rsid w:val="00773D14"/>
    <w:rsid w:val="00773DE6"/>
    <w:rsid w:val="00773F08"/>
    <w:rsid w:val="00773F76"/>
    <w:rsid w:val="00773FD2"/>
    <w:rsid w:val="00774021"/>
    <w:rsid w:val="00774087"/>
    <w:rsid w:val="007741AC"/>
    <w:rsid w:val="0077430C"/>
    <w:rsid w:val="00774532"/>
    <w:rsid w:val="00774546"/>
    <w:rsid w:val="0077459E"/>
    <w:rsid w:val="007745C7"/>
    <w:rsid w:val="007745FE"/>
    <w:rsid w:val="00774653"/>
    <w:rsid w:val="0077469D"/>
    <w:rsid w:val="007747CA"/>
    <w:rsid w:val="007747D7"/>
    <w:rsid w:val="0077491E"/>
    <w:rsid w:val="00774B01"/>
    <w:rsid w:val="00774B0C"/>
    <w:rsid w:val="00774BD9"/>
    <w:rsid w:val="00774C8D"/>
    <w:rsid w:val="00774CEF"/>
    <w:rsid w:val="00774D3D"/>
    <w:rsid w:val="00774D87"/>
    <w:rsid w:val="00774D8E"/>
    <w:rsid w:val="00774DD6"/>
    <w:rsid w:val="0077509B"/>
    <w:rsid w:val="00775170"/>
    <w:rsid w:val="007751BE"/>
    <w:rsid w:val="00775242"/>
    <w:rsid w:val="00775281"/>
    <w:rsid w:val="0077530D"/>
    <w:rsid w:val="007753B2"/>
    <w:rsid w:val="00775481"/>
    <w:rsid w:val="00775601"/>
    <w:rsid w:val="00775605"/>
    <w:rsid w:val="00775613"/>
    <w:rsid w:val="00775694"/>
    <w:rsid w:val="00775819"/>
    <w:rsid w:val="00775D57"/>
    <w:rsid w:val="00775DA8"/>
    <w:rsid w:val="00775DE8"/>
    <w:rsid w:val="00775E36"/>
    <w:rsid w:val="00775F53"/>
    <w:rsid w:val="0077625B"/>
    <w:rsid w:val="0077628B"/>
    <w:rsid w:val="007762B3"/>
    <w:rsid w:val="00776575"/>
    <w:rsid w:val="00776615"/>
    <w:rsid w:val="00776652"/>
    <w:rsid w:val="00776681"/>
    <w:rsid w:val="00776783"/>
    <w:rsid w:val="007767AF"/>
    <w:rsid w:val="0077699F"/>
    <w:rsid w:val="00776A7F"/>
    <w:rsid w:val="00776C43"/>
    <w:rsid w:val="00776CBA"/>
    <w:rsid w:val="00776EBB"/>
    <w:rsid w:val="00776F5E"/>
    <w:rsid w:val="00776F99"/>
    <w:rsid w:val="00777002"/>
    <w:rsid w:val="007770AF"/>
    <w:rsid w:val="0077714B"/>
    <w:rsid w:val="007771B0"/>
    <w:rsid w:val="00777305"/>
    <w:rsid w:val="0077745E"/>
    <w:rsid w:val="0077756B"/>
    <w:rsid w:val="0077758D"/>
    <w:rsid w:val="007775EC"/>
    <w:rsid w:val="00777A44"/>
    <w:rsid w:val="00777A5E"/>
    <w:rsid w:val="00777A76"/>
    <w:rsid w:val="00777B82"/>
    <w:rsid w:val="00777D5A"/>
    <w:rsid w:val="00777DBD"/>
    <w:rsid w:val="00777F1E"/>
    <w:rsid w:val="007800B3"/>
    <w:rsid w:val="00780246"/>
    <w:rsid w:val="007802B2"/>
    <w:rsid w:val="007803D4"/>
    <w:rsid w:val="00780431"/>
    <w:rsid w:val="007804BE"/>
    <w:rsid w:val="0078056F"/>
    <w:rsid w:val="007805BF"/>
    <w:rsid w:val="0078063E"/>
    <w:rsid w:val="0078096D"/>
    <w:rsid w:val="00780A49"/>
    <w:rsid w:val="00780A53"/>
    <w:rsid w:val="00780B1C"/>
    <w:rsid w:val="00780D16"/>
    <w:rsid w:val="00780D2D"/>
    <w:rsid w:val="00780D69"/>
    <w:rsid w:val="00780D9F"/>
    <w:rsid w:val="00780EB6"/>
    <w:rsid w:val="00780FA4"/>
    <w:rsid w:val="00780FAE"/>
    <w:rsid w:val="00781015"/>
    <w:rsid w:val="00781025"/>
    <w:rsid w:val="00781053"/>
    <w:rsid w:val="00781074"/>
    <w:rsid w:val="007810F5"/>
    <w:rsid w:val="007811AD"/>
    <w:rsid w:val="007812AB"/>
    <w:rsid w:val="007815A2"/>
    <w:rsid w:val="0078162B"/>
    <w:rsid w:val="0078164E"/>
    <w:rsid w:val="007816DD"/>
    <w:rsid w:val="007818B1"/>
    <w:rsid w:val="007818D3"/>
    <w:rsid w:val="007819F2"/>
    <w:rsid w:val="00781B95"/>
    <w:rsid w:val="00781C37"/>
    <w:rsid w:val="00781EE4"/>
    <w:rsid w:val="00781F23"/>
    <w:rsid w:val="0078203B"/>
    <w:rsid w:val="00782137"/>
    <w:rsid w:val="0078221B"/>
    <w:rsid w:val="00782274"/>
    <w:rsid w:val="00782373"/>
    <w:rsid w:val="007824C6"/>
    <w:rsid w:val="007827D2"/>
    <w:rsid w:val="007827D5"/>
    <w:rsid w:val="00782808"/>
    <w:rsid w:val="00782821"/>
    <w:rsid w:val="007828AC"/>
    <w:rsid w:val="00782A46"/>
    <w:rsid w:val="00782B2B"/>
    <w:rsid w:val="00782C6F"/>
    <w:rsid w:val="00782CF0"/>
    <w:rsid w:val="00782D04"/>
    <w:rsid w:val="00782E53"/>
    <w:rsid w:val="00782E6D"/>
    <w:rsid w:val="00782E8D"/>
    <w:rsid w:val="007832D2"/>
    <w:rsid w:val="00783368"/>
    <w:rsid w:val="007834EB"/>
    <w:rsid w:val="0078358A"/>
    <w:rsid w:val="007837A3"/>
    <w:rsid w:val="0078387C"/>
    <w:rsid w:val="00783885"/>
    <w:rsid w:val="0078392A"/>
    <w:rsid w:val="0078392D"/>
    <w:rsid w:val="007839CD"/>
    <w:rsid w:val="00783BBB"/>
    <w:rsid w:val="00783BEC"/>
    <w:rsid w:val="00783D1D"/>
    <w:rsid w:val="00783EA8"/>
    <w:rsid w:val="00783FA6"/>
    <w:rsid w:val="00784001"/>
    <w:rsid w:val="007840AC"/>
    <w:rsid w:val="00784145"/>
    <w:rsid w:val="007841FA"/>
    <w:rsid w:val="0078439D"/>
    <w:rsid w:val="00784492"/>
    <w:rsid w:val="00784740"/>
    <w:rsid w:val="0078481C"/>
    <w:rsid w:val="0078488D"/>
    <w:rsid w:val="007848CA"/>
    <w:rsid w:val="00784B7F"/>
    <w:rsid w:val="00784B9A"/>
    <w:rsid w:val="00784BB5"/>
    <w:rsid w:val="00784C0F"/>
    <w:rsid w:val="00784C99"/>
    <w:rsid w:val="00784DAD"/>
    <w:rsid w:val="00784DD0"/>
    <w:rsid w:val="00784E4C"/>
    <w:rsid w:val="00784F08"/>
    <w:rsid w:val="007851C2"/>
    <w:rsid w:val="007851D8"/>
    <w:rsid w:val="0078528D"/>
    <w:rsid w:val="007852E1"/>
    <w:rsid w:val="007854D1"/>
    <w:rsid w:val="0078556B"/>
    <w:rsid w:val="007855A3"/>
    <w:rsid w:val="00785641"/>
    <w:rsid w:val="0078567E"/>
    <w:rsid w:val="007856B7"/>
    <w:rsid w:val="007858C8"/>
    <w:rsid w:val="00785A15"/>
    <w:rsid w:val="00785A27"/>
    <w:rsid w:val="00785AEE"/>
    <w:rsid w:val="00785B44"/>
    <w:rsid w:val="00785C87"/>
    <w:rsid w:val="00785D9E"/>
    <w:rsid w:val="00785E21"/>
    <w:rsid w:val="00785F82"/>
    <w:rsid w:val="00786019"/>
    <w:rsid w:val="00786034"/>
    <w:rsid w:val="007860C5"/>
    <w:rsid w:val="00786117"/>
    <w:rsid w:val="0078633B"/>
    <w:rsid w:val="00786389"/>
    <w:rsid w:val="007863E0"/>
    <w:rsid w:val="00786413"/>
    <w:rsid w:val="00786544"/>
    <w:rsid w:val="0078659E"/>
    <w:rsid w:val="007867C0"/>
    <w:rsid w:val="007867F2"/>
    <w:rsid w:val="00786B00"/>
    <w:rsid w:val="00786CEC"/>
    <w:rsid w:val="00786E23"/>
    <w:rsid w:val="007872DD"/>
    <w:rsid w:val="0078735B"/>
    <w:rsid w:val="007873D7"/>
    <w:rsid w:val="00787414"/>
    <w:rsid w:val="00787463"/>
    <w:rsid w:val="0078747D"/>
    <w:rsid w:val="0078751B"/>
    <w:rsid w:val="00787531"/>
    <w:rsid w:val="007876C8"/>
    <w:rsid w:val="00787712"/>
    <w:rsid w:val="00787784"/>
    <w:rsid w:val="00787850"/>
    <w:rsid w:val="00787886"/>
    <w:rsid w:val="00787A38"/>
    <w:rsid w:val="00787A81"/>
    <w:rsid w:val="00787ADD"/>
    <w:rsid w:val="00787CB7"/>
    <w:rsid w:val="00787D8E"/>
    <w:rsid w:val="00790037"/>
    <w:rsid w:val="007900C1"/>
    <w:rsid w:val="00790270"/>
    <w:rsid w:val="00790308"/>
    <w:rsid w:val="007903DF"/>
    <w:rsid w:val="007903F5"/>
    <w:rsid w:val="0079041D"/>
    <w:rsid w:val="00790491"/>
    <w:rsid w:val="00790527"/>
    <w:rsid w:val="007905F9"/>
    <w:rsid w:val="00790833"/>
    <w:rsid w:val="00790861"/>
    <w:rsid w:val="007908E8"/>
    <w:rsid w:val="00790995"/>
    <w:rsid w:val="00790A32"/>
    <w:rsid w:val="00790A3C"/>
    <w:rsid w:val="00790AB1"/>
    <w:rsid w:val="00790AEB"/>
    <w:rsid w:val="00790B00"/>
    <w:rsid w:val="00790BE6"/>
    <w:rsid w:val="00790BF1"/>
    <w:rsid w:val="00790C7A"/>
    <w:rsid w:val="00790C82"/>
    <w:rsid w:val="00790F3E"/>
    <w:rsid w:val="00790F5F"/>
    <w:rsid w:val="0079103E"/>
    <w:rsid w:val="00791097"/>
    <w:rsid w:val="00791106"/>
    <w:rsid w:val="007913A5"/>
    <w:rsid w:val="007913AA"/>
    <w:rsid w:val="007913BC"/>
    <w:rsid w:val="007914FF"/>
    <w:rsid w:val="00791541"/>
    <w:rsid w:val="0079168E"/>
    <w:rsid w:val="007916AA"/>
    <w:rsid w:val="007918FA"/>
    <w:rsid w:val="00791A40"/>
    <w:rsid w:val="00791A50"/>
    <w:rsid w:val="00791AD3"/>
    <w:rsid w:val="00791CBD"/>
    <w:rsid w:val="00791D3A"/>
    <w:rsid w:val="00791E44"/>
    <w:rsid w:val="00791FD5"/>
    <w:rsid w:val="00792079"/>
    <w:rsid w:val="0079208E"/>
    <w:rsid w:val="007920B2"/>
    <w:rsid w:val="0079211D"/>
    <w:rsid w:val="00792144"/>
    <w:rsid w:val="007922A5"/>
    <w:rsid w:val="00792512"/>
    <w:rsid w:val="00792516"/>
    <w:rsid w:val="00792673"/>
    <w:rsid w:val="007926E9"/>
    <w:rsid w:val="0079290E"/>
    <w:rsid w:val="0079291B"/>
    <w:rsid w:val="007929E5"/>
    <w:rsid w:val="00792A56"/>
    <w:rsid w:val="00792B1D"/>
    <w:rsid w:val="00792C4E"/>
    <w:rsid w:val="00792D52"/>
    <w:rsid w:val="00792E77"/>
    <w:rsid w:val="00792F74"/>
    <w:rsid w:val="00792F77"/>
    <w:rsid w:val="00792F7C"/>
    <w:rsid w:val="0079300D"/>
    <w:rsid w:val="00793188"/>
    <w:rsid w:val="007932C3"/>
    <w:rsid w:val="007933EF"/>
    <w:rsid w:val="00793573"/>
    <w:rsid w:val="007935B8"/>
    <w:rsid w:val="00793653"/>
    <w:rsid w:val="007936DC"/>
    <w:rsid w:val="00793706"/>
    <w:rsid w:val="00793943"/>
    <w:rsid w:val="00793A6B"/>
    <w:rsid w:val="00793A77"/>
    <w:rsid w:val="00793B17"/>
    <w:rsid w:val="00793B4F"/>
    <w:rsid w:val="00793CE4"/>
    <w:rsid w:val="00793DD2"/>
    <w:rsid w:val="00794394"/>
    <w:rsid w:val="0079451C"/>
    <w:rsid w:val="007945AB"/>
    <w:rsid w:val="00794657"/>
    <w:rsid w:val="00794695"/>
    <w:rsid w:val="0079485C"/>
    <w:rsid w:val="007949CB"/>
    <w:rsid w:val="00794E67"/>
    <w:rsid w:val="00794E91"/>
    <w:rsid w:val="0079503A"/>
    <w:rsid w:val="00795285"/>
    <w:rsid w:val="007952AD"/>
    <w:rsid w:val="00795437"/>
    <w:rsid w:val="00795449"/>
    <w:rsid w:val="00795476"/>
    <w:rsid w:val="007954AA"/>
    <w:rsid w:val="007954B5"/>
    <w:rsid w:val="00795734"/>
    <w:rsid w:val="0079583B"/>
    <w:rsid w:val="00795C8A"/>
    <w:rsid w:val="00795ECB"/>
    <w:rsid w:val="00795F0F"/>
    <w:rsid w:val="00796080"/>
    <w:rsid w:val="007960BC"/>
    <w:rsid w:val="0079615C"/>
    <w:rsid w:val="007965AE"/>
    <w:rsid w:val="0079660E"/>
    <w:rsid w:val="0079663C"/>
    <w:rsid w:val="007966EF"/>
    <w:rsid w:val="00796728"/>
    <w:rsid w:val="00796733"/>
    <w:rsid w:val="00796770"/>
    <w:rsid w:val="007968A8"/>
    <w:rsid w:val="0079697A"/>
    <w:rsid w:val="00796BCA"/>
    <w:rsid w:val="00796BE7"/>
    <w:rsid w:val="00796C4F"/>
    <w:rsid w:val="00796DB9"/>
    <w:rsid w:val="00796EEA"/>
    <w:rsid w:val="00796F20"/>
    <w:rsid w:val="00796FED"/>
    <w:rsid w:val="00797030"/>
    <w:rsid w:val="00797257"/>
    <w:rsid w:val="00797269"/>
    <w:rsid w:val="007974B0"/>
    <w:rsid w:val="00797593"/>
    <w:rsid w:val="007975CD"/>
    <w:rsid w:val="007975E5"/>
    <w:rsid w:val="00797630"/>
    <w:rsid w:val="00797644"/>
    <w:rsid w:val="00797732"/>
    <w:rsid w:val="0079791D"/>
    <w:rsid w:val="007979DB"/>
    <w:rsid w:val="00797BDD"/>
    <w:rsid w:val="00797C9D"/>
    <w:rsid w:val="00797D85"/>
    <w:rsid w:val="00797E0B"/>
    <w:rsid w:val="00797EEF"/>
    <w:rsid w:val="00797F43"/>
    <w:rsid w:val="00797F74"/>
    <w:rsid w:val="00797F97"/>
    <w:rsid w:val="007A0197"/>
    <w:rsid w:val="007A03AB"/>
    <w:rsid w:val="007A0422"/>
    <w:rsid w:val="007A0433"/>
    <w:rsid w:val="007A0664"/>
    <w:rsid w:val="007A06A7"/>
    <w:rsid w:val="007A0721"/>
    <w:rsid w:val="007A0724"/>
    <w:rsid w:val="007A0C0E"/>
    <w:rsid w:val="007A0C3C"/>
    <w:rsid w:val="007A0D01"/>
    <w:rsid w:val="007A0EB2"/>
    <w:rsid w:val="007A0EF0"/>
    <w:rsid w:val="007A0F82"/>
    <w:rsid w:val="007A10F4"/>
    <w:rsid w:val="007A1177"/>
    <w:rsid w:val="007A12CA"/>
    <w:rsid w:val="007A136D"/>
    <w:rsid w:val="007A14E7"/>
    <w:rsid w:val="007A1513"/>
    <w:rsid w:val="007A1524"/>
    <w:rsid w:val="007A15E2"/>
    <w:rsid w:val="007A1674"/>
    <w:rsid w:val="007A16DA"/>
    <w:rsid w:val="007A17CA"/>
    <w:rsid w:val="007A1919"/>
    <w:rsid w:val="007A1947"/>
    <w:rsid w:val="007A1D3F"/>
    <w:rsid w:val="007A1ED7"/>
    <w:rsid w:val="007A1F2F"/>
    <w:rsid w:val="007A2108"/>
    <w:rsid w:val="007A21CB"/>
    <w:rsid w:val="007A2299"/>
    <w:rsid w:val="007A2478"/>
    <w:rsid w:val="007A25FC"/>
    <w:rsid w:val="007A2710"/>
    <w:rsid w:val="007A27EC"/>
    <w:rsid w:val="007A29A2"/>
    <w:rsid w:val="007A2A17"/>
    <w:rsid w:val="007A2A2A"/>
    <w:rsid w:val="007A2ED7"/>
    <w:rsid w:val="007A2EF2"/>
    <w:rsid w:val="007A2F37"/>
    <w:rsid w:val="007A2FA5"/>
    <w:rsid w:val="007A2FC3"/>
    <w:rsid w:val="007A2FEF"/>
    <w:rsid w:val="007A3000"/>
    <w:rsid w:val="007A310E"/>
    <w:rsid w:val="007A323E"/>
    <w:rsid w:val="007A3287"/>
    <w:rsid w:val="007A335F"/>
    <w:rsid w:val="007A3363"/>
    <w:rsid w:val="007A34BE"/>
    <w:rsid w:val="007A34CA"/>
    <w:rsid w:val="007A3650"/>
    <w:rsid w:val="007A36C4"/>
    <w:rsid w:val="007A3906"/>
    <w:rsid w:val="007A3915"/>
    <w:rsid w:val="007A3979"/>
    <w:rsid w:val="007A3A2E"/>
    <w:rsid w:val="007A3AED"/>
    <w:rsid w:val="007A3BA6"/>
    <w:rsid w:val="007A3BBE"/>
    <w:rsid w:val="007A3CA5"/>
    <w:rsid w:val="007A3DF1"/>
    <w:rsid w:val="007A3E03"/>
    <w:rsid w:val="007A3E84"/>
    <w:rsid w:val="007A403F"/>
    <w:rsid w:val="007A40C8"/>
    <w:rsid w:val="007A414B"/>
    <w:rsid w:val="007A4185"/>
    <w:rsid w:val="007A432F"/>
    <w:rsid w:val="007A43A9"/>
    <w:rsid w:val="007A449E"/>
    <w:rsid w:val="007A471E"/>
    <w:rsid w:val="007A476A"/>
    <w:rsid w:val="007A47CB"/>
    <w:rsid w:val="007A480F"/>
    <w:rsid w:val="007A48E4"/>
    <w:rsid w:val="007A4922"/>
    <w:rsid w:val="007A498E"/>
    <w:rsid w:val="007A49CB"/>
    <w:rsid w:val="007A4A51"/>
    <w:rsid w:val="007A4AA3"/>
    <w:rsid w:val="007A4C47"/>
    <w:rsid w:val="007A4E26"/>
    <w:rsid w:val="007A4E31"/>
    <w:rsid w:val="007A4E7C"/>
    <w:rsid w:val="007A4F5A"/>
    <w:rsid w:val="007A4F64"/>
    <w:rsid w:val="007A4FED"/>
    <w:rsid w:val="007A502A"/>
    <w:rsid w:val="007A51F2"/>
    <w:rsid w:val="007A51F5"/>
    <w:rsid w:val="007A53B4"/>
    <w:rsid w:val="007A5465"/>
    <w:rsid w:val="007A549C"/>
    <w:rsid w:val="007A552D"/>
    <w:rsid w:val="007A5817"/>
    <w:rsid w:val="007A5821"/>
    <w:rsid w:val="007A59C3"/>
    <w:rsid w:val="007A59CB"/>
    <w:rsid w:val="007A5AD2"/>
    <w:rsid w:val="007A5E29"/>
    <w:rsid w:val="007A5E7F"/>
    <w:rsid w:val="007A5FB3"/>
    <w:rsid w:val="007A61B6"/>
    <w:rsid w:val="007A6362"/>
    <w:rsid w:val="007A63FE"/>
    <w:rsid w:val="007A6542"/>
    <w:rsid w:val="007A659C"/>
    <w:rsid w:val="007A6819"/>
    <w:rsid w:val="007A6956"/>
    <w:rsid w:val="007A6A11"/>
    <w:rsid w:val="007A6B2E"/>
    <w:rsid w:val="007A6CAF"/>
    <w:rsid w:val="007A6D50"/>
    <w:rsid w:val="007A6E4D"/>
    <w:rsid w:val="007A6F53"/>
    <w:rsid w:val="007A6F92"/>
    <w:rsid w:val="007A704E"/>
    <w:rsid w:val="007A70CC"/>
    <w:rsid w:val="007A742C"/>
    <w:rsid w:val="007A7495"/>
    <w:rsid w:val="007A75CE"/>
    <w:rsid w:val="007A7718"/>
    <w:rsid w:val="007A7881"/>
    <w:rsid w:val="007A78B2"/>
    <w:rsid w:val="007A794E"/>
    <w:rsid w:val="007A79DC"/>
    <w:rsid w:val="007A7A69"/>
    <w:rsid w:val="007A7BEF"/>
    <w:rsid w:val="007A7C98"/>
    <w:rsid w:val="007A7CD7"/>
    <w:rsid w:val="007A7D2D"/>
    <w:rsid w:val="007A7D75"/>
    <w:rsid w:val="007A7F43"/>
    <w:rsid w:val="007B0059"/>
    <w:rsid w:val="007B0076"/>
    <w:rsid w:val="007B0259"/>
    <w:rsid w:val="007B036C"/>
    <w:rsid w:val="007B037F"/>
    <w:rsid w:val="007B03B5"/>
    <w:rsid w:val="007B03ED"/>
    <w:rsid w:val="007B0462"/>
    <w:rsid w:val="007B06DD"/>
    <w:rsid w:val="007B06F7"/>
    <w:rsid w:val="007B079C"/>
    <w:rsid w:val="007B0803"/>
    <w:rsid w:val="007B08CA"/>
    <w:rsid w:val="007B0932"/>
    <w:rsid w:val="007B0D27"/>
    <w:rsid w:val="007B0EA1"/>
    <w:rsid w:val="007B0F27"/>
    <w:rsid w:val="007B1042"/>
    <w:rsid w:val="007B12BE"/>
    <w:rsid w:val="007B1325"/>
    <w:rsid w:val="007B1375"/>
    <w:rsid w:val="007B13FE"/>
    <w:rsid w:val="007B14AF"/>
    <w:rsid w:val="007B14C0"/>
    <w:rsid w:val="007B17CA"/>
    <w:rsid w:val="007B1B42"/>
    <w:rsid w:val="007B1C38"/>
    <w:rsid w:val="007B1C91"/>
    <w:rsid w:val="007B1CD4"/>
    <w:rsid w:val="007B1D5E"/>
    <w:rsid w:val="007B1E0C"/>
    <w:rsid w:val="007B1E3C"/>
    <w:rsid w:val="007B1EB4"/>
    <w:rsid w:val="007B2072"/>
    <w:rsid w:val="007B207D"/>
    <w:rsid w:val="007B2294"/>
    <w:rsid w:val="007B2330"/>
    <w:rsid w:val="007B2354"/>
    <w:rsid w:val="007B24D9"/>
    <w:rsid w:val="007B257A"/>
    <w:rsid w:val="007B282F"/>
    <w:rsid w:val="007B284F"/>
    <w:rsid w:val="007B298E"/>
    <w:rsid w:val="007B2A51"/>
    <w:rsid w:val="007B2A5B"/>
    <w:rsid w:val="007B2B91"/>
    <w:rsid w:val="007B2CCC"/>
    <w:rsid w:val="007B2D2D"/>
    <w:rsid w:val="007B2D65"/>
    <w:rsid w:val="007B2DBA"/>
    <w:rsid w:val="007B2E23"/>
    <w:rsid w:val="007B3017"/>
    <w:rsid w:val="007B3105"/>
    <w:rsid w:val="007B3141"/>
    <w:rsid w:val="007B31DD"/>
    <w:rsid w:val="007B377A"/>
    <w:rsid w:val="007B37EC"/>
    <w:rsid w:val="007B37EF"/>
    <w:rsid w:val="007B392F"/>
    <w:rsid w:val="007B39D7"/>
    <w:rsid w:val="007B3F53"/>
    <w:rsid w:val="007B3FA1"/>
    <w:rsid w:val="007B406F"/>
    <w:rsid w:val="007B40EE"/>
    <w:rsid w:val="007B4400"/>
    <w:rsid w:val="007B461E"/>
    <w:rsid w:val="007B4979"/>
    <w:rsid w:val="007B4AAC"/>
    <w:rsid w:val="007B4EA4"/>
    <w:rsid w:val="007B510A"/>
    <w:rsid w:val="007B51E7"/>
    <w:rsid w:val="007B51FF"/>
    <w:rsid w:val="007B5279"/>
    <w:rsid w:val="007B537B"/>
    <w:rsid w:val="007B5585"/>
    <w:rsid w:val="007B55FD"/>
    <w:rsid w:val="007B567C"/>
    <w:rsid w:val="007B56C6"/>
    <w:rsid w:val="007B572F"/>
    <w:rsid w:val="007B577C"/>
    <w:rsid w:val="007B5840"/>
    <w:rsid w:val="007B5925"/>
    <w:rsid w:val="007B5AF5"/>
    <w:rsid w:val="007B5B55"/>
    <w:rsid w:val="007B5BA5"/>
    <w:rsid w:val="007B5E5F"/>
    <w:rsid w:val="007B5EC5"/>
    <w:rsid w:val="007B5F2F"/>
    <w:rsid w:val="007B605B"/>
    <w:rsid w:val="007B6507"/>
    <w:rsid w:val="007B652B"/>
    <w:rsid w:val="007B669C"/>
    <w:rsid w:val="007B66F9"/>
    <w:rsid w:val="007B6833"/>
    <w:rsid w:val="007B6968"/>
    <w:rsid w:val="007B6A79"/>
    <w:rsid w:val="007B6B4C"/>
    <w:rsid w:val="007B6B76"/>
    <w:rsid w:val="007B6BA1"/>
    <w:rsid w:val="007B6BB2"/>
    <w:rsid w:val="007B6BD2"/>
    <w:rsid w:val="007B6D14"/>
    <w:rsid w:val="007B6DC7"/>
    <w:rsid w:val="007B6E59"/>
    <w:rsid w:val="007B6FD1"/>
    <w:rsid w:val="007B7283"/>
    <w:rsid w:val="007B72EC"/>
    <w:rsid w:val="007B7358"/>
    <w:rsid w:val="007B7463"/>
    <w:rsid w:val="007B7469"/>
    <w:rsid w:val="007B74CD"/>
    <w:rsid w:val="007B7560"/>
    <w:rsid w:val="007B7585"/>
    <w:rsid w:val="007B75FC"/>
    <w:rsid w:val="007B763A"/>
    <w:rsid w:val="007B78C5"/>
    <w:rsid w:val="007B795E"/>
    <w:rsid w:val="007B7A8E"/>
    <w:rsid w:val="007B7B7E"/>
    <w:rsid w:val="007B7BC7"/>
    <w:rsid w:val="007B7D2B"/>
    <w:rsid w:val="007B7EF6"/>
    <w:rsid w:val="007B7FCD"/>
    <w:rsid w:val="007C021A"/>
    <w:rsid w:val="007C02BF"/>
    <w:rsid w:val="007C032D"/>
    <w:rsid w:val="007C045C"/>
    <w:rsid w:val="007C0582"/>
    <w:rsid w:val="007C05D0"/>
    <w:rsid w:val="007C08BC"/>
    <w:rsid w:val="007C09DE"/>
    <w:rsid w:val="007C0A83"/>
    <w:rsid w:val="007C0A89"/>
    <w:rsid w:val="007C0B52"/>
    <w:rsid w:val="007C0B79"/>
    <w:rsid w:val="007C0EA7"/>
    <w:rsid w:val="007C0F0E"/>
    <w:rsid w:val="007C1015"/>
    <w:rsid w:val="007C11E9"/>
    <w:rsid w:val="007C1235"/>
    <w:rsid w:val="007C12BC"/>
    <w:rsid w:val="007C131B"/>
    <w:rsid w:val="007C139A"/>
    <w:rsid w:val="007C1418"/>
    <w:rsid w:val="007C1452"/>
    <w:rsid w:val="007C175A"/>
    <w:rsid w:val="007C17B7"/>
    <w:rsid w:val="007C19FC"/>
    <w:rsid w:val="007C1AAF"/>
    <w:rsid w:val="007C1B96"/>
    <w:rsid w:val="007C1C82"/>
    <w:rsid w:val="007C1E51"/>
    <w:rsid w:val="007C1F93"/>
    <w:rsid w:val="007C1FF7"/>
    <w:rsid w:val="007C2060"/>
    <w:rsid w:val="007C2096"/>
    <w:rsid w:val="007C209D"/>
    <w:rsid w:val="007C2101"/>
    <w:rsid w:val="007C2169"/>
    <w:rsid w:val="007C22A4"/>
    <w:rsid w:val="007C23BB"/>
    <w:rsid w:val="007C2478"/>
    <w:rsid w:val="007C24AC"/>
    <w:rsid w:val="007C24E9"/>
    <w:rsid w:val="007C275E"/>
    <w:rsid w:val="007C27A3"/>
    <w:rsid w:val="007C27D9"/>
    <w:rsid w:val="007C2818"/>
    <w:rsid w:val="007C28E4"/>
    <w:rsid w:val="007C2A1B"/>
    <w:rsid w:val="007C2A47"/>
    <w:rsid w:val="007C2AA7"/>
    <w:rsid w:val="007C2AD1"/>
    <w:rsid w:val="007C2C26"/>
    <w:rsid w:val="007C2D08"/>
    <w:rsid w:val="007C2D22"/>
    <w:rsid w:val="007C2D99"/>
    <w:rsid w:val="007C2EF8"/>
    <w:rsid w:val="007C2FBD"/>
    <w:rsid w:val="007C305E"/>
    <w:rsid w:val="007C3085"/>
    <w:rsid w:val="007C311E"/>
    <w:rsid w:val="007C31CE"/>
    <w:rsid w:val="007C3462"/>
    <w:rsid w:val="007C347D"/>
    <w:rsid w:val="007C349E"/>
    <w:rsid w:val="007C34E0"/>
    <w:rsid w:val="007C35F3"/>
    <w:rsid w:val="007C362D"/>
    <w:rsid w:val="007C36B4"/>
    <w:rsid w:val="007C38B1"/>
    <w:rsid w:val="007C3A3A"/>
    <w:rsid w:val="007C3D01"/>
    <w:rsid w:val="007C3D30"/>
    <w:rsid w:val="007C3F16"/>
    <w:rsid w:val="007C3F56"/>
    <w:rsid w:val="007C3FAA"/>
    <w:rsid w:val="007C43A8"/>
    <w:rsid w:val="007C43FA"/>
    <w:rsid w:val="007C441E"/>
    <w:rsid w:val="007C478D"/>
    <w:rsid w:val="007C4836"/>
    <w:rsid w:val="007C4AF9"/>
    <w:rsid w:val="007C4B39"/>
    <w:rsid w:val="007C4C8D"/>
    <w:rsid w:val="007C4D8D"/>
    <w:rsid w:val="007C4DC9"/>
    <w:rsid w:val="007C4E02"/>
    <w:rsid w:val="007C4E36"/>
    <w:rsid w:val="007C4E98"/>
    <w:rsid w:val="007C501B"/>
    <w:rsid w:val="007C5048"/>
    <w:rsid w:val="007C50F0"/>
    <w:rsid w:val="007C5121"/>
    <w:rsid w:val="007C5143"/>
    <w:rsid w:val="007C531D"/>
    <w:rsid w:val="007C551D"/>
    <w:rsid w:val="007C57DB"/>
    <w:rsid w:val="007C58E1"/>
    <w:rsid w:val="007C594B"/>
    <w:rsid w:val="007C5A37"/>
    <w:rsid w:val="007C5A38"/>
    <w:rsid w:val="007C5AD7"/>
    <w:rsid w:val="007C5BB4"/>
    <w:rsid w:val="007C5BE5"/>
    <w:rsid w:val="007C5C3E"/>
    <w:rsid w:val="007C5D86"/>
    <w:rsid w:val="007C5EED"/>
    <w:rsid w:val="007C5FA8"/>
    <w:rsid w:val="007C6038"/>
    <w:rsid w:val="007C6160"/>
    <w:rsid w:val="007C618D"/>
    <w:rsid w:val="007C61C5"/>
    <w:rsid w:val="007C62A0"/>
    <w:rsid w:val="007C62D8"/>
    <w:rsid w:val="007C6392"/>
    <w:rsid w:val="007C64A5"/>
    <w:rsid w:val="007C64DF"/>
    <w:rsid w:val="007C6631"/>
    <w:rsid w:val="007C66B0"/>
    <w:rsid w:val="007C6722"/>
    <w:rsid w:val="007C672F"/>
    <w:rsid w:val="007C67F7"/>
    <w:rsid w:val="007C67FA"/>
    <w:rsid w:val="007C6889"/>
    <w:rsid w:val="007C6C53"/>
    <w:rsid w:val="007C6CD8"/>
    <w:rsid w:val="007C6DB2"/>
    <w:rsid w:val="007C6F30"/>
    <w:rsid w:val="007C6F44"/>
    <w:rsid w:val="007C7167"/>
    <w:rsid w:val="007C726C"/>
    <w:rsid w:val="007C73DD"/>
    <w:rsid w:val="007C73F5"/>
    <w:rsid w:val="007C742C"/>
    <w:rsid w:val="007C745D"/>
    <w:rsid w:val="007C765D"/>
    <w:rsid w:val="007C77CC"/>
    <w:rsid w:val="007C7833"/>
    <w:rsid w:val="007C7840"/>
    <w:rsid w:val="007C7957"/>
    <w:rsid w:val="007C79FD"/>
    <w:rsid w:val="007C7A38"/>
    <w:rsid w:val="007C7AB5"/>
    <w:rsid w:val="007C7BA3"/>
    <w:rsid w:val="007C7D15"/>
    <w:rsid w:val="007C7EBB"/>
    <w:rsid w:val="007C7ECF"/>
    <w:rsid w:val="007C7EFB"/>
    <w:rsid w:val="007C7F31"/>
    <w:rsid w:val="007C7FDF"/>
    <w:rsid w:val="007D0147"/>
    <w:rsid w:val="007D0185"/>
    <w:rsid w:val="007D01E8"/>
    <w:rsid w:val="007D037A"/>
    <w:rsid w:val="007D0477"/>
    <w:rsid w:val="007D05FC"/>
    <w:rsid w:val="007D060F"/>
    <w:rsid w:val="007D06C9"/>
    <w:rsid w:val="007D084B"/>
    <w:rsid w:val="007D0861"/>
    <w:rsid w:val="007D0864"/>
    <w:rsid w:val="007D08AF"/>
    <w:rsid w:val="007D0992"/>
    <w:rsid w:val="007D09F8"/>
    <w:rsid w:val="007D0B49"/>
    <w:rsid w:val="007D0B7A"/>
    <w:rsid w:val="007D0BD2"/>
    <w:rsid w:val="007D0EB3"/>
    <w:rsid w:val="007D108E"/>
    <w:rsid w:val="007D10A2"/>
    <w:rsid w:val="007D11C0"/>
    <w:rsid w:val="007D12ED"/>
    <w:rsid w:val="007D130E"/>
    <w:rsid w:val="007D1366"/>
    <w:rsid w:val="007D1394"/>
    <w:rsid w:val="007D1413"/>
    <w:rsid w:val="007D143B"/>
    <w:rsid w:val="007D1565"/>
    <w:rsid w:val="007D1592"/>
    <w:rsid w:val="007D1884"/>
    <w:rsid w:val="007D1890"/>
    <w:rsid w:val="007D1C3F"/>
    <w:rsid w:val="007D1CCB"/>
    <w:rsid w:val="007D1E3F"/>
    <w:rsid w:val="007D2027"/>
    <w:rsid w:val="007D2105"/>
    <w:rsid w:val="007D2195"/>
    <w:rsid w:val="007D21CE"/>
    <w:rsid w:val="007D224F"/>
    <w:rsid w:val="007D2385"/>
    <w:rsid w:val="007D23A9"/>
    <w:rsid w:val="007D23C3"/>
    <w:rsid w:val="007D242E"/>
    <w:rsid w:val="007D243C"/>
    <w:rsid w:val="007D25DC"/>
    <w:rsid w:val="007D25DD"/>
    <w:rsid w:val="007D2626"/>
    <w:rsid w:val="007D26A0"/>
    <w:rsid w:val="007D2869"/>
    <w:rsid w:val="007D2940"/>
    <w:rsid w:val="007D29B5"/>
    <w:rsid w:val="007D2A42"/>
    <w:rsid w:val="007D2B64"/>
    <w:rsid w:val="007D2B8F"/>
    <w:rsid w:val="007D2C22"/>
    <w:rsid w:val="007D2C67"/>
    <w:rsid w:val="007D2C69"/>
    <w:rsid w:val="007D2CB5"/>
    <w:rsid w:val="007D2D73"/>
    <w:rsid w:val="007D3007"/>
    <w:rsid w:val="007D31D7"/>
    <w:rsid w:val="007D31E9"/>
    <w:rsid w:val="007D32A9"/>
    <w:rsid w:val="007D32E8"/>
    <w:rsid w:val="007D3618"/>
    <w:rsid w:val="007D3623"/>
    <w:rsid w:val="007D3636"/>
    <w:rsid w:val="007D367F"/>
    <w:rsid w:val="007D37C5"/>
    <w:rsid w:val="007D3955"/>
    <w:rsid w:val="007D395C"/>
    <w:rsid w:val="007D3A25"/>
    <w:rsid w:val="007D3A9B"/>
    <w:rsid w:val="007D3AE1"/>
    <w:rsid w:val="007D3B21"/>
    <w:rsid w:val="007D3EAD"/>
    <w:rsid w:val="007D4003"/>
    <w:rsid w:val="007D404E"/>
    <w:rsid w:val="007D40B2"/>
    <w:rsid w:val="007D423A"/>
    <w:rsid w:val="007D4318"/>
    <w:rsid w:val="007D4382"/>
    <w:rsid w:val="007D44FE"/>
    <w:rsid w:val="007D4645"/>
    <w:rsid w:val="007D46BB"/>
    <w:rsid w:val="007D49DE"/>
    <w:rsid w:val="007D4BC0"/>
    <w:rsid w:val="007D4CD7"/>
    <w:rsid w:val="007D4CE7"/>
    <w:rsid w:val="007D4EA0"/>
    <w:rsid w:val="007D4EB1"/>
    <w:rsid w:val="007D4EFC"/>
    <w:rsid w:val="007D4F84"/>
    <w:rsid w:val="007D50DF"/>
    <w:rsid w:val="007D531C"/>
    <w:rsid w:val="007D5402"/>
    <w:rsid w:val="007D5409"/>
    <w:rsid w:val="007D5415"/>
    <w:rsid w:val="007D5516"/>
    <w:rsid w:val="007D5827"/>
    <w:rsid w:val="007D59A7"/>
    <w:rsid w:val="007D5AF7"/>
    <w:rsid w:val="007D5B69"/>
    <w:rsid w:val="007D5C20"/>
    <w:rsid w:val="007D5C47"/>
    <w:rsid w:val="007D5D17"/>
    <w:rsid w:val="007D5E08"/>
    <w:rsid w:val="007D5F0B"/>
    <w:rsid w:val="007D5F13"/>
    <w:rsid w:val="007D609A"/>
    <w:rsid w:val="007D61FF"/>
    <w:rsid w:val="007D6333"/>
    <w:rsid w:val="007D6428"/>
    <w:rsid w:val="007D65D3"/>
    <w:rsid w:val="007D6656"/>
    <w:rsid w:val="007D6756"/>
    <w:rsid w:val="007D6772"/>
    <w:rsid w:val="007D682C"/>
    <w:rsid w:val="007D694F"/>
    <w:rsid w:val="007D6A63"/>
    <w:rsid w:val="007D6C6D"/>
    <w:rsid w:val="007D6D7C"/>
    <w:rsid w:val="007D6DAB"/>
    <w:rsid w:val="007D6E8C"/>
    <w:rsid w:val="007D6F96"/>
    <w:rsid w:val="007D6FFE"/>
    <w:rsid w:val="007D713D"/>
    <w:rsid w:val="007D73D5"/>
    <w:rsid w:val="007D7404"/>
    <w:rsid w:val="007D747C"/>
    <w:rsid w:val="007D74DD"/>
    <w:rsid w:val="007D759E"/>
    <w:rsid w:val="007D774B"/>
    <w:rsid w:val="007D7775"/>
    <w:rsid w:val="007D79C9"/>
    <w:rsid w:val="007D7A77"/>
    <w:rsid w:val="007D7AD3"/>
    <w:rsid w:val="007D7B58"/>
    <w:rsid w:val="007D7BA2"/>
    <w:rsid w:val="007D7C02"/>
    <w:rsid w:val="007D7C43"/>
    <w:rsid w:val="007D7C5A"/>
    <w:rsid w:val="007D7E89"/>
    <w:rsid w:val="007D7EBE"/>
    <w:rsid w:val="007D7F3D"/>
    <w:rsid w:val="007D7F99"/>
    <w:rsid w:val="007E0020"/>
    <w:rsid w:val="007E0147"/>
    <w:rsid w:val="007E01F0"/>
    <w:rsid w:val="007E023B"/>
    <w:rsid w:val="007E04F0"/>
    <w:rsid w:val="007E0595"/>
    <w:rsid w:val="007E0679"/>
    <w:rsid w:val="007E0859"/>
    <w:rsid w:val="007E0934"/>
    <w:rsid w:val="007E09E8"/>
    <w:rsid w:val="007E0A0D"/>
    <w:rsid w:val="007E0D92"/>
    <w:rsid w:val="007E0E82"/>
    <w:rsid w:val="007E0F0C"/>
    <w:rsid w:val="007E10F3"/>
    <w:rsid w:val="007E1135"/>
    <w:rsid w:val="007E1170"/>
    <w:rsid w:val="007E1180"/>
    <w:rsid w:val="007E11B4"/>
    <w:rsid w:val="007E1254"/>
    <w:rsid w:val="007E134D"/>
    <w:rsid w:val="007E1398"/>
    <w:rsid w:val="007E13BB"/>
    <w:rsid w:val="007E1460"/>
    <w:rsid w:val="007E1463"/>
    <w:rsid w:val="007E1521"/>
    <w:rsid w:val="007E15A5"/>
    <w:rsid w:val="007E15DF"/>
    <w:rsid w:val="007E15FF"/>
    <w:rsid w:val="007E171D"/>
    <w:rsid w:val="007E17B4"/>
    <w:rsid w:val="007E183B"/>
    <w:rsid w:val="007E1DDD"/>
    <w:rsid w:val="007E1F20"/>
    <w:rsid w:val="007E1F37"/>
    <w:rsid w:val="007E212C"/>
    <w:rsid w:val="007E21E4"/>
    <w:rsid w:val="007E2343"/>
    <w:rsid w:val="007E2381"/>
    <w:rsid w:val="007E2435"/>
    <w:rsid w:val="007E2571"/>
    <w:rsid w:val="007E27F5"/>
    <w:rsid w:val="007E291D"/>
    <w:rsid w:val="007E29A1"/>
    <w:rsid w:val="007E2A99"/>
    <w:rsid w:val="007E2BC6"/>
    <w:rsid w:val="007E2D93"/>
    <w:rsid w:val="007E2DF9"/>
    <w:rsid w:val="007E2F28"/>
    <w:rsid w:val="007E2F2D"/>
    <w:rsid w:val="007E30CB"/>
    <w:rsid w:val="007E31E9"/>
    <w:rsid w:val="007E32E4"/>
    <w:rsid w:val="007E34CC"/>
    <w:rsid w:val="007E371D"/>
    <w:rsid w:val="007E3774"/>
    <w:rsid w:val="007E3981"/>
    <w:rsid w:val="007E39ED"/>
    <w:rsid w:val="007E3B13"/>
    <w:rsid w:val="007E3B49"/>
    <w:rsid w:val="007E3B9F"/>
    <w:rsid w:val="007E3C84"/>
    <w:rsid w:val="007E3CC7"/>
    <w:rsid w:val="007E3CE4"/>
    <w:rsid w:val="007E4057"/>
    <w:rsid w:val="007E40A5"/>
    <w:rsid w:val="007E40D0"/>
    <w:rsid w:val="007E4358"/>
    <w:rsid w:val="007E4410"/>
    <w:rsid w:val="007E4459"/>
    <w:rsid w:val="007E4706"/>
    <w:rsid w:val="007E485F"/>
    <w:rsid w:val="007E4879"/>
    <w:rsid w:val="007E4881"/>
    <w:rsid w:val="007E4883"/>
    <w:rsid w:val="007E498E"/>
    <w:rsid w:val="007E49E4"/>
    <w:rsid w:val="007E4A9F"/>
    <w:rsid w:val="007E4BA6"/>
    <w:rsid w:val="007E4C26"/>
    <w:rsid w:val="007E4C29"/>
    <w:rsid w:val="007E4CD3"/>
    <w:rsid w:val="007E4DC1"/>
    <w:rsid w:val="007E4F70"/>
    <w:rsid w:val="007E4F71"/>
    <w:rsid w:val="007E505A"/>
    <w:rsid w:val="007E5072"/>
    <w:rsid w:val="007E5128"/>
    <w:rsid w:val="007E530F"/>
    <w:rsid w:val="007E5377"/>
    <w:rsid w:val="007E5392"/>
    <w:rsid w:val="007E5519"/>
    <w:rsid w:val="007E55D3"/>
    <w:rsid w:val="007E5612"/>
    <w:rsid w:val="007E5701"/>
    <w:rsid w:val="007E57D2"/>
    <w:rsid w:val="007E5861"/>
    <w:rsid w:val="007E58C0"/>
    <w:rsid w:val="007E5943"/>
    <w:rsid w:val="007E5A62"/>
    <w:rsid w:val="007E5AF1"/>
    <w:rsid w:val="007E5C4D"/>
    <w:rsid w:val="007E5CB5"/>
    <w:rsid w:val="007E5CFC"/>
    <w:rsid w:val="007E5D29"/>
    <w:rsid w:val="007E5DB7"/>
    <w:rsid w:val="007E5F2D"/>
    <w:rsid w:val="007E6155"/>
    <w:rsid w:val="007E61D3"/>
    <w:rsid w:val="007E63BC"/>
    <w:rsid w:val="007E6463"/>
    <w:rsid w:val="007E647B"/>
    <w:rsid w:val="007E6574"/>
    <w:rsid w:val="007E6592"/>
    <w:rsid w:val="007E65C6"/>
    <w:rsid w:val="007E65CE"/>
    <w:rsid w:val="007E65E5"/>
    <w:rsid w:val="007E673C"/>
    <w:rsid w:val="007E6775"/>
    <w:rsid w:val="007E69BA"/>
    <w:rsid w:val="007E6A1D"/>
    <w:rsid w:val="007E6A66"/>
    <w:rsid w:val="007E6C00"/>
    <w:rsid w:val="007E6D51"/>
    <w:rsid w:val="007E6DFA"/>
    <w:rsid w:val="007E6E24"/>
    <w:rsid w:val="007E6F7B"/>
    <w:rsid w:val="007E6FC1"/>
    <w:rsid w:val="007E7041"/>
    <w:rsid w:val="007E7149"/>
    <w:rsid w:val="007E7219"/>
    <w:rsid w:val="007E7263"/>
    <w:rsid w:val="007E7325"/>
    <w:rsid w:val="007E7533"/>
    <w:rsid w:val="007E75FC"/>
    <w:rsid w:val="007E7781"/>
    <w:rsid w:val="007E77EB"/>
    <w:rsid w:val="007E7921"/>
    <w:rsid w:val="007E7970"/>
    <w:rsid w:val="007E7B56"/>
    <w:rsid w:val="007E7E1A"/>
    <w:rsid w:val="007E7E1D"/>
    <w:rsid w:val="007E7E56"/>
    <w:rsid w:val="007F0154"/>
    <w:rsid w:val="007F0238"/>
    <w:rsid w:val="007F0344"/>
    <w:rsid w:val="007F0401"/>
    <w:rsid w:val="007F0451"/>
    <w:rsid w:val="007F049D"/>
    <w:rsid w:val="007F0504"/>
    <w:rsid w:val="007F062F"/>
    <w:rsid w:val="007F097B"/>
    <w:rsid w:val="007F09AB"/>
    <w:rsid w:val="007F0A02"/>
    <w:rsid w:val="007F0A33"/>
    <w:rsid w:val="007F0A5F"/>
    <w:rsid w:val="007F0D69"/>
    <w:rsid w:val="007F0D6C"/>
    <w:rsid w:val="007F0FF5"/>
    <w:rsid w:val="007F1105"/>
    <w:rsid w:val="007F1195"/>
    <w:rsid w:val="007F11B2"/>
    <w:rsid w:val="007F1325"/>
    <w:rsid w:val="007F13F2"/>
    <w:rsid w:val="007F1418"/>
    <w:rsid w:val="007F1473"/>
    <w:rsid w:val="007F16C7"/>
    <w:rsid w:val="007F1720"/>
    <w:rsid w:val="007F1776"/>
    <w:rsid w:val="007F178E"/>
    <w:rsid w:val="007F1791"/>
    <w:rsid w:val="007F1B9E"/>
    <w:rsid w:val="007F1CFC"/>
    <w:rsid w:val="007F2324"/>
    <w:rsid w:val="007F24CB"/>
    <w:rsid w:val="007F2616"/>
    <w:rsid w:val="007F26CF"/>
    <w:rsid w:val="007F2735"/>
    <w:rsid w:val="007F277B"/>
    <w:rsid w:val="007F293D"/>
    <w:rsid w:val="007F2A2D"/>
    <w:rsid w:val="007F2BE7"/>
    <w:rsid w:val="007F2C3E"/>
    <w:rsid w:val="007F2E59"/>
    <w:rsid w:val="007F2EA4"/>
    <w:rsid w:val="007F3473"/>
    <w:rsid w:val="007F34E4"/>
    <w:rsid w:val="007F358C"/>
    <w:rsid w:val="007F36FD"/>
    <w:rsid w:val="007F3771"/>
    <w:rsid w:val="007F3A2B"/>
    <w:rsid w:val="007F3E20"/>
    <w:rsid w:val="007F3E2C"/>
    <w:rsid w:val="007F4331"/>
    <w:rsid w:val="007F44B8"/>
    <w:rsid w:val="007F450A"/>
    <w:rsid w:val="007F450D"/>
    <w:rsid w:val="007F4556"/>
    <w:rsid w:val="007F4584"/>
    <w:rsid w:val="007F45D3"/>
    <w:rsid w:val="007F4614"/>
    <w:rsid w:val="007F4629"/>
    <w:rsid w:val="007F477A"/>
    <w:rsid w:val="007F49B3"/>
    <w:rsid w:val="007F4BC6"/>
    <w:rsid w:val="007F4D88"/>
    <w:rsid w:val="007F4E4A"/>
    <w:rsid w:val="007F4EE9"/>
    <w:rsid w:val="007F4F11"/>
    <w:rsid w:val="007F4FAA"/>
    <w:rsid w:val="007F4FE8"/>
    <w:rsid w:val="007F500D"/>
    <w:rsid w:val="007F5030"/>
    <w:rsid w:val="007F5222"/>
    <w:rsid w:val="007F5715"/>
    <w:rsid w:val="007F5A26"/>
    <w:rsid w:val="007F5A2D"/>
    <w:rsid w:val="007F5B3B"/>
    <w:rsid w:val="007F5C5B"/>
    <w:rsid w:val="007F5C63"/>
    <w:rsid w:val="007F5EC7"/>
    <w:rsid w:val="007F61F0"/>
    <w:rsid w:val="007F621C"/>
    <w:rsid w:val="007F623C"/>
    <w:rsid w:val="007F6259"/>
    <w:rsid w:val="007F6392"/>
    <w:rsid w:val="007F658C"/>
    <w:rsid w:val="007F666C"/>
    <w:rsid w:val="007F6680"/>
    <w:rsid w:val="007F669F"/>
    <w:rsid w:val="007F6865"/>
    <w:rsid w:val="007F6983"/>
    <w:rsid w:val="007F6BB0"/>
    <w:rsid w:val="007F6CC6"/>
    <w:rsid w:val="007F6DB0"/>
    <w:rsid w:val="007F6F05"/>
    <w:rsid w:val="007F6F2B"/>
    <w:rsid w:val="007F6F77"/>
    <w:rsid w:val="007F7084"/>
    <w:rsid w:val="007F7107"/>
    <w:rsid w:val="007F721F"/>
    <w:rsid w:val="007F7299"/>
    <w:rsid w:val="007F7311"/>
    <w:rsid w:val="007F7415"/>
    <w:rsid w:val="007F74AE"/>
    <w:rsid w:val="007F774A"/>
    <w:rsid w:val="007F779D"/>
    <w:rsid w:val="007F77C3"/>
    <w:rsid w:val="007F7AE8"/>
    <w:rsid w:val="007F7B1A"/>
    <w:rsid w:val="007F7B44"/>
    <w:rsid w:val="007F7B6C"/>
    <w:rsid w:val="007F7CE2"/>
    <w:rsid w:val="00800092"/>
    <w:rsid w:val="00800107"/>
    <w:rsid w:val="008002C8"/>
    <w:rsid w:val="00800317"/>
    <w:rsid w:val="008003CC"/>
    <w:rsid w:val="00800406"/>
    <w:rsid w:val="00800552"/>
    <w:rsid w:val="00800567"/>
    <w:rsid w:val="0080059D"/>
    <w:rsid w:val="00800604"/>
    <w:rsid w:val="00800750"/>
    <w:rsid w:val="00800889"/>
    <w:rsid w:val="00800945"/>
    <w:rsid w:val="00800AE5"/>
    <w:rsid w:val="00800B06"/>
    <w:rsid w:val="00800B85"/>
    <w:rsid w:val="00800CB4"/>
    <w:rsid w:val="00800E3D"/>
    <w:rsid w:val="00800E8B"/>
    <w:rsid w:val="00800E92"/>
    <w:rsid w:val="00800ED4"/>
    <w:rsid w:val="00800F0A"/>
    <w:rsid w:val="0080100A"/>
    <w:rsid w:val="0080109F"/>
    <w:rsid w:val="00801160"/>
    <w:rsid w:val="008012E7"/>
    <w:rsid w:val="00801314"/>
    <w:rsid w:val="00801334"/>
    <w:rsid w:val="0080147F"/>
    <w:rsid w:val="00801548"/>
    <w:rsid w:val="008015C3"/>
    <w:rsid w:val="0080164D"/>
    <w:rsid w:val="0080177D"/>
    <w:rsid w:val="00801794"/>
    <w:rsid w:val="0080190F"/>
    <w:rsid w:val="00801CA9"/>
    <w:rsid w:val="00801D62"/>
    <w:rsid w:val="00801D9C"/>
    <w:rsid w:val="00801E94"/>
    <w:rsid w:val="00802038"/>
    <w:rsid w:val="00802045"/>
    <w:rsid w:val="0080206A"/>
    <w:rsid w:val="00802186"/>
    <w:rsid w:val="008021D3"/>
    <w:rsid w:val="008025C1"/>
    <w:rsid w:val="008026E5"/>
    <w:rsid w:val="008027F5"/>
    <w:rsid w:val="008028A8"/>
    <w:rsid w:val="00802994"/>
    <w:rsid w:val="00802A27"/>
    <w:rsid w:val="00802A55"/>
    <w:rsid w:val="00802B5A"/>
    <w:rsid w:val="00802BAE"/>
    <w:rsid w:val="00802BF2"/>
    <w:rsid w:val="00802C0E"/>
    <w:rsid w:val="00802D7D"/>
    <w:rsid w:val="00802F0E"/>
    <w:rsid w:val="00802F9E"/>
    <w:rsid w:val="0080307A"/>
    <w:rsid w:val="0080314E"/>
    <w:rsid w:val="008031E5"/>
    <w:rsid w:val="0080325B"/>
    <w:rsid w:val="008033F9"/>
    <w:rsid w:val="00803537"/>
    <w:rsid w:val="008035F2"/>
    <w:rsid w:val="00803744"/>
    <w:rsid w:val="00803811"/>
    <w:rsid w:val="00803855"/>
    <w:rsid w:val="008038C2"/>
    <w:rsid w:val="008039B1"/>
    <w:rsid w:val="00803BC1"/>
    <w:rsid w:val="00803BD3"/>
    <w:rsid w:val="00803E53"/>
    <w:rsid w:val="00803F22"/>
    <w:rsid w:val="008040D9"/>
    <w:rsid w:val="0080412F"/>
    <w:rsid w:val="00804176"/>
    <w:rsid w:val="008041FF"/>
    <w:rsid w:val="0080464B"/>
    <w:rsid w:val="0080475B"/>
    <w:rsid w:val="008048FF"/>
    <w:rsid w:val="00804B5E"/>
    <w:rsid w:val="00804BBD"/>
    <w:rsid w:val="00804C65"/>
    <w:rsid w:val="00804D14"/>
    <w:rsid w:val="00804F34"/>
    <w:rsid w:val="00804F44"/>
    <w:rsid w:val="00805450"/>
    <w:rsid w:val="00805458"/>
    <w:rsid w:val="00805473"/>
    <w:rsid w:val="008054A2"/>
    <w:rsid w:val="0080558A"/>
    <w:rsid w:val="008055AC"/>
    <w:rsid w:val="008056E2"/>
    <w:rsid w:val="008057F2"/>
    <w:rsid w:val="00805838"/>
    <w:rsid w:val="008058C0"/>
    <w:rsid w:val="0080591A"/>
    <w:rsid w:val="0080596D"/>
    <w:rsid w:val="008059D8"/>
    <w:rsid w:val="008059DC"/>
    <w:rsid w:val="008059E0"/>
    <w:rsid w:val="00805A10"/>
    <w:rsid w:val="00805B3D"/>
    <w:rsid w:val="00805BD3"/>
    <w:rsid w:val="00805DBC"/>
    <w:rsid w:val="00805F3C"/>
    <w:rsid w:val="00805F76"/>
    <w:rsid w:val="00806106"/>
    <w:rsid w:val="0080611E"/>
    <w:rsid w:val="00806161"/>
    <w:rsid w:val="0080621B"/>
    <w:rsid w:val="008062EE"/>
    <w:rsid w:val="008063D6"/>
    <w:rsid w:val="008064A3"/>
    <w:rsid w:val="0080652B"/>
    <w:rsid w:val="00806693"/>
    <w:rsid w:val="008066CC"/>
    <w:rsid w:val="008066DC"/>
    <w:rsid w:val="00806AD8"/>
    <w:rsid w:val="00806AF1"/>
    <w:rsid w:val="00806B40"/>
    <w:rsid w:val="00806D7F"/>
    <w:rsid w:val="00806E85"/>
    <w:rsid w:val="00806EA3"/>
    <w:rsid w:val="00806EFA"/>
    <w:rsid w:val="00806F16"/>
    <w:rsid w:val="00806F3F"/>
    <w:rsid w:val="008070AE"/>
    <w:rsid w:val="00807113"/>
    <w:rsid w:val="008071BC"/>
    <w:rsid w:val="00807418"/>
    <w:rsid w:val="008075B5"/>
    <w:rsid w:val="00807741"/>
    <w:rsid w:val="00807845"/>
    <w:rsid w:val="008078A5"/>
    <w:rsid w:val="008079C6"/>
    <w:rsid w:val="008079CB"/>
    <w:rsid w:val="008079D7"/>
    <w:rsid w:val="00807BE3"/>
    <w:rsid w:val="00807C4E"/>
    <w:rsid w:val="00807F43"/>
    <w:rsid w:val="008100BE"/>
    <w:rsid w:val="00810123"/>
    <w:rsid w:val="008101D6"/>
    <w:rsid w:val="0081022D"/>
    <w:rsid w:val="008102D0"/>
    <w:rsid w:val="008103B2"/>
    <w:rsid w:val="008103F4"/>
    <w:rsid w:val="0081051E"/>
    <w:rsid w:val="008106C0"/>
    <w:rsid w:val="008106E4"/>
    <w:rsid w:val="008106FA"/>
    <w:rsid w:val="00810791"/>
    <w:rsid w:val="008107E5"/>
    <w:rsid w:val="00810924"/>
    <w:rsid w:val="00810BE0"/>
    <w:rsid w:val="00810C1C"/>
    <w:rsid w:val="00810C28"/>
    <w:rsid w:val="00810C53"/>
    <w:rsid w:val="00810C6A"/>
    <w:rsid w:val="00810CAE"/>
    <w:rsid w:val="00810D63"/>
    <w:rsid w:val="00810EF6"/>
    <w:rsid w:val="00810F7E"/>
    <w:rsid w:val="0081114C"/>
    <w:rsid w:val="008111A7"/>
    <w:rsid w:val="008111E3"/>
    <w:rsid w:val="008113C6"/>
    <w:rsid w:val="00811780"/>
    <w:rsid w:val="008117F2"/>
    <w:rsid w:val="00811817"/>
    <w:rsid w:val="0081189D"/>
    <w:rsid w:val="00811A86"/>
    <w:rsid w:val="00811AC1"/>
    <w:rsid w:val="00811ADD"/>
    <w:rsid w:val="00811B1F"/>
    <w:rsid w:val="00811D1B"/>
    <w:rsid w:val="00811D8A"/>
    <w:rsid w:val="00811DBF"/>
    <w:rsid w:val="00811DC0"/>
    <w:rsid w:val="00811EB1"/>
    <w:rsid w:val="00811F7B"/>
    <w:rsid w:val="00811FD7"/>
    <w:rsid w:val="00812027"/>
    <w:rsid w:val="0081202C"/>
    <w:rsid w:val="008122E0"/>
    <w:rsid w:val="00812341"/>
    <w:rsid w:val="0081239D"/>
    <w:rsid w:val="008125CD"/>
    <w:rsid w:val="008125D2"/>
    <w:rsid w:val="008126D6"/>
    <w:rsid w:val="00812C9B"/>
    <w:rsid w:val="00812F85"/>
    <w:rsid w:val="00812FB3"/>
    <w:rsid w:val="00812FE3"/>
    <w:rsid w:val="00813093"/>
    <w:rsid w:val="008134C4"/>
    <w:rsid w:val="00813680"/>
    <w:rsid w:val="008136E2"/>
    <w:rsid w:val="00813749"/>
    <w:rsid w:val="0081386C"/>
    <w:rsid w:val="008138FE"/>
    <w:rsid w:val="0081390A"/>
    <w:rsid w:val="00813BCC"/>
    <w:rsid w:val="00813FC4"/>
    <w:rsid w:val="0081401E"/>
    <w:rsid w:val="00814132"/>
    <w:rsid w:val="0081417B"/>
    <w:rsid w:val="008141E7"/>
    <w:rsid w:val="0081427F"/>
    <w:rsid w:val="008143BD"/>
    <w:rsid w:val="00814493"/>
    <w:rsid w:val="008145AC"/>
    <w:rsid w:val="008145F0"/>
    <w:rsid w:val="0081462F"/>
    <w:rsid w:val="00814779"/>
    <w:rsid w:val="008148BB"/>
    <w:rsid w:val="008148BE"/>
    <w:rsid w:val="0081494B"/>
    <w:rsid w:val="00814975"/>
    <w:rsid w:val="00814A52"/>
    <w:rsid w:val="00814AA5"/>
    <w:rsid w:val="00814BFB"/>
    <w:rsid w:val="00814D92"/>
    <w:rsid w:val="00814E53"/>
    <w:rsid w:val="00814E60"/>
    <w:rsid w:val="00814EA6"/>
    <w:rsid w:val="00815125"/>
    <w:rsid w:val="0081518A"/>
    <w:rsid w:val="008151EF"/>
    <w:rsid w:val="00815212"/>
    <w:rsid w:val="008152F5"/>
    <w:rsid w:val="008153AD"/>
    <w:rsid w:val="00815499"/>
    <w:rsid w:val="008154D0"/>
    <w:rsid w:val="00815556"/>
    <w:rsid w:val="0081579F"/>
    <w:rsid w:val="00815904"/>
    <w:rsid w:val="00815A3F"/>
    <w:rsid w:val="00815BEB"/>
    <w:rsid w:val="00815C92"/>
    <w:rsid w:val="00815C99"/>
    <w:rsid w:val="00815E23"/>
    <w:rsid w:val="00815F51"/>
    <w:rsid w:val="00816215"/>
    <w:rsid w:val="00816261"/>
    <w:rsid w:val="0081633B"/>
    <w:rsid w:val="0081640B"/>
    <w:rsid w:val="008164BD"/>
    <w:rsid w:val="008165E0"/>
    <w:rsid w:val="008166E7"/>
    <w:rsid w:val="0081685B"/>
    <w:rsid w:val="00816919"/>
    <w:rsid w:val="008169CA"/>
    <w:rsid w:val="008169F3"/>
    <w:rsid w:val="00816A04"/>
    <w:rsid w:val="00816AB6"/>
    <w:rsid w:val="00816B30"/>
    <w:rsid w:val="00816B98"/>
    <w:rsid w:val="00816BB4"/>
    <w:rsid w:val="00816BC8"/>
    <w:rsid w:val="00816C4A"/>
    <w:rsid w:val="00816CF9"/>
    <w:rsid w:val="00816DD2"/>
    <w:rsid w:val="00816E2B"/>
    <w:rsid w:val="00816F3B"/>
    <w:rsid w:val="00816F3F"/>
    <w:rsid w:val="00817071"/>
    <w:rsid w:val="008171F9"/>
    <w:rsid w:val="0081729C"/>
    <w:rsid w:val="0081733A"/>
    <w:rsid w:val="008173DF"/>
    <w:rsid w:val="008175B3"/>
    <w:rsid w:val="00817600"/>
    <w:rsid w:val="008177FC"/>
    <w:rsid w:val="00817832"/>
    <w:rsid w:val="00817B41"/>
    <w:rsid w:val="00817BED"/>
    <w:rsid w:val="00817BF0"/>
    <w:rsid w:val="00817CEF"/>
    <w:rsid w:val="00817D04"/>
    <w:rsid w:val="00817D0A"/>
    <w:rsid w:val="00817F0D"/>
    <w:rsid w:val="00817FC0"/>
    <w:rsid w:val="00820062"/>
    <w:rsid w:val="0082018F"/>
    <w:rsid w:val="0082024E"/>
    <w:rsid w:val="00820295"/>
    <w:rsid w:val="008202CE"/>
    <w:rsid w:val="0082035B"/>
    <w:rsid w:val="008203AA"/>
    <w:rsid w:val="00820525"/>
    <w:rsid w:val="008205A7"/>
    <w:rsid w:val="008205FC"/>
    <w:rsid w:val="00820816"/>
    <w:rsid w:val="00820939"/>
    <w:rsid w:val="00820A1E"/>
    <w:rsid w:val="00820A9D"/>
    <w:rsid w:val="00820AA8"/>
    <w:rsid w:val="00820C65"/>
    <w:rsid w:val="00820D07"/>
    <w:rsid w:val="00820D62"/>
    <w:rsid w:val="00820F58"/>
    <w:rsid w:val="00821030"/>
    <w:rsid w:val="00821255"/>
    <w:rsid w:val="0082127E"/>
    <w:rsid w:val="00821316"/>
    <w:rsid w:val="00821348"/>
    <w:rsid w:val="00821371"/>
    <w:rsid w:val="008213E1"/>
    <w:rsid w:val="008215BB"/>
    <w:rsid w:val="008217C6"/>
    <w:rsid w:val="008218E6"/>
    <w:rsid w:val="008218FE"/>
    <w:rsid w:val="00821926"/>
    <w:rsid w:val="008219B1"/>
    <w:rsid w:val="00821A3C"/>
    <w:rsid w:val="00821AC3"/>
    <w:rsid w:val="00821C3C"/>
    <w:rsid w:val="00821C61"/>
    <w:rsid w:val="00821CA3"/>
    <w:rsid w:val="00821DE2"/>
    <w:rsid w:val="00821E56"/>
    <w:rsid w:val="00821F9D"/>
    <w:rsid w:val="00821FC6"/>
    <w:rsid w:val="00822045"/>
    <w:rsid w:val="00822057"/>
    <w:rsid w:val="00822402"/>
    <w:rsid w:val="00822692"/>
    <w:rsid w:val="008226F2"/>
    <w:rsid w:val="0082271D"/>
    <w:rsid w:val="0082276F"/>
    <w:rsid w:val="008227B8"/>
    <w:rsid w:val="0082293E"/>
    <w:rsid w:val="00822A3C"/>
    <w:rsid w:val="00822CEE"/>
    <w:rsid w:val="00822D42"/>
    <w:rsid w:val="00822D8F"/>
    <w:rsid w:val="00822E2C"/>
    <w:rsid w:val="00822E38"/>
    <w:rsid w:val="00822F1C"/>
    <w:rsid w:val="00822F2C"/>
    <w:rsid w:val="008230A5"/>
    <w:rsid w:val="008230DE"/>
    <w:rsid w:val="008232E7"/>
    <w:rsid w:val="00823376"/>
    <w:rsid w:val="008233F3"/>
    <w:rsid w:val="008234E9"/>
    <w:rsid w:val="008234F3"/>
    <w:rsid w:val="00823577"/>
    <w:rsid w:val="00823606"/>
    <w:rsid w:val="008236EC"/>
    <w:rsid w:val="008236F8"/>
    <w:rsid w:val="00823727"/>
    <w:rsid w:val="00823992"/>
    <w:rsid w:val="008239BF"/>
    <w:rsid w:val="008239EE"/>
    <w:rsid w:val="008239F9"/>
    <w:rsid w:val="00823C3C"/>
    <w:rsid w:val="00823F2D"/>
    <w:rsid w:val="00824050"/>
    <w:rsid w:val="00824092"/>
    <w:rsid w:val="008240B7"/>
    <w:rsid w:val="00824161"/>
    <w:rsid w:val="008241F7"/>
    <w:rsid w:val="00824313"/>
    <w:rsid w:val="00824316"/>
    <w:rsid w:val="0082432C"/>
    <w:rsid w:val="008244E0"/>
    <w:rsid w:val="00824670"/>
    <w:rsid w:val="008248A2"/>
    <w:rsid w:val="0082494B"/>
    <w:rsid w:val="008249CD"/>
    <w:rsid w:val="00824A3D"/>
    <w:rsid w:val="00824B3E"/>
    <w:rsid w:val="00824C2D"/>
    <w:rsid w:val="00824C3B"/>
    <w:rsid w:val="00824C96"/>
    <w:rsid w:val="00824CE4"/>
    <w:rsid w:val="00824D0B"/>
    <w:rsid w:val="00824D41"/>
    <w:rsid w:val="00824F07"/>
    <w:rsid w:val="00825051"/>
    <w:rsid w:val="008252E9"/>
    <w:rsid w:val="0082531F"/>
    <w:rsid w:val="00825336"/>
    <w:rsid w:val="00825338"/>
    <w:rsid w:val="00825343"/>
    <w:rsid w:val="008254A9"/>
    <w:rsid w:val="00825560"/>
    <w:rsid w:val="008258CE"/>
    <w:rsid w:val="008258FE"/>
    <w:rsid w:val="0082595C"/>
    <w:rsid w:val="008259A6"/>
    <w:rsid w:val="00825A28"/>
    <w:rsid w:val="00825DF0"/>
    <w:rsid w:val="00825E1C"/>
    <w:rsid w:val="00825F07"/>
    <w:rsid w:val="00825F0E"/>
    <w:rsid w:val="00825F2A"/>
    <w:rsid w:val="00825F9E"/>
    <w:rsid w:val="0082608B"/>
    <w:rsid w:val="0082619B"/>
    <w:rsid w:val="008262C7"/>
    <w:rsid w:val="00826375"/>
    <w:rsid w:val="00826396"/>
    <w:rsid w:val="00826428"/>
    <w:rsid w:val="0082652A"/>
    <w:rsid w:val="0082658B"/>
    <w:rsid w:val="008265A1"/>
    <w:rsid w:val="008265B9"/>
    <w:rsid w:val="00826670"/>
    <w:rsid w:val="0082667D"/>
    <w:rsid w:val="008268BA"/>
    <w:rsid w:val="008268BF"/>
    <w:rsid w:val="008269FA"/>
    <w:rsid w:val="00826A7B"/>
    <w:rsid w:val="00826B9A"/>
    <w:rsid w:val="00826C05"/>
    <w:rsid w:val="00826C3F"/>
    <w:rsid w:val="00826D22"/>
    <w:rsid w:val="00826DBA"/>
    <w:rsid w:val="00826F5B"/>
    <w:rsid w:val="0082710D"/>
    <w:rsid w:val="008271D0"/>
    <w:rsid w:val="008271ED"/>
    <w:rsid w:val="008272AA"/>
    <w:rsid w:val="00827374"/>
    <w:rsid w:val="00827503"/>
    <w:rsid w:val="008275EF"/>
    <w:rsid w:val="00827762"/>
    <w:rsid w:val="008277DD"/>
    <w:rsid w:val="00827864"/>
    <w:rsid w:val="008278D6"/>
    <w:rsid w:val="00827A56"/>
    <w:rsid w:val="00827AD9"/>
    <w:rsid w:val="00827F57"/>
    <w:rsid w:val="008301E5"/>
    <w:rsid w:val="0083020C"/>
    <w:rsid w:val="008302A5"/>
    <w:rsid w:val="00830461"/>
    <w:rsid w:val="00830622"/>
    <w:rsid w:val="00830638"/>
    <w:rsid w:val="00830679"/>
    <w:rsid w:val="0083070C"/>
    <w:rsid w:val="00830791"/>
    <w:rsid w:val="00830866"/>
    <w:rsid w:val="008308A6"/>
    <w:rsid w:val="00830B74"/>
    <w:rsid w:val="00830D2F"/>
    <w:rsid w:val="00830DF9"/>
    <w:rsid w:val="00830E19"/>
    <w:rsid w:val="00830E97"/>
    <w:rsid w:val="00830F0E"/>
    <w:rsid w:val="00831112"/>
    <w:rsid w:val="008311F8"/>
    <w:rsid w:val="00831267"/>
    <w:rsid w:val="00831321"/>
    <w:rsid w:val="00831435"/>
    <w:rsid w:val="0083152B"/>
    <w:rsid w:val="00831567"/>
    <w:rsid w:val="008315EB"/>
    <w:rsid w:val="008316B4"/>
    <w:rsid w:val="0083186B"/>
    <w:rsid w:val="0083193B"/>
    <w:rsid w:val="00831978"/>
    <w:rsid w:val="00831AD1"/>
    <w:rsid w:val="00831B17"/>
    <w:rsid w:val="00831CC8"/>
    <w:rsid w:val="00831CEA"/>
    <w:rsid w:val="00831D92"/>
    <w:rsid w:val="00831D9A"/>
    <w:rsid w:val="00831E2D"/>
    <w:rsid w:val="00831FA7"/>
    <w:rsid w:val="008320DA"/>
    <w:rsid w:val="00832420"/>
    <w:rsid w:val="00832663"/>
    <w:rsid w:val="008326F7"/>
    <w:rsid w:val="0083284C"/>
    <w:rsid w:val="00832A2D"/>
    <w:rsid w:val="00832A55"/>
    <w:rsid w:val="00832A86"/>
    <w:rsid w:val="00832A90"/>
    <w:rsid w:val="00832B73"/>
    <w:rsid w:val="00832B90"/>
    <w:rsid w:val="00832CDD"/>
    <w:rsid w:val="00832EAF"/>
    <w:rsid w:val="0083310D"/>
    <w:rsid w:val="00833138"/>
    <w:rsid w:val="0083325B"/>
    <w:rsid w:val="008334BF"/>
    <w:rsid w:val="008335CF"/>
    <w:rsid w:val="0083365E"/>
    <w:rsid w:val="00833788"/>
    <w:rsid w:val="0083388C"/>
    <w:rsid w:val="0083392F"/>
    <w:rsid w:val="00833BA0"/>
    <w:rsid w:val="00833D60"/>
    <w:rsid w:val="00834068"/>
    <w:rsid w:val="0083418F"/>
    <w:rsid w:val="00834192"/>
    <w:rsid w:val="00834208"/>
    <w:rsid w:val="00834247"/>
    <w:rsid w:val="00834333"/>
    <w:rsid w:val="00834416"/>
    <w:rsid w:val="00834608"/>
    <w:rsid w:val="00834670"/>
    <w:rsid w:val="008346ED"/>
    <w:rsid w:val="0083470C"/>
    <w:rsid w:val="0083478E"/>
    <w:rsid w:val="008347EB"/>
    <w:rsid w:val="00834828"/>
    <w:rsid w:val="008348CE"/>
    <w:rsid w:val="008348D2"/>
    <w:rsid w:val="00834972"/>
    <w:rsid w:val="00834C69"/>
    <w:rsid w:val="00834C6C"/>
    <w:rsid w:val="00834D3A"/>
    <w:rsid w:val="00834E16"/>
    <w:rsid w:val="00834E77"/>
    <w:rsid w:val="00834ECE"/>
    <w:rsid w:val="00835080"/>
    <w:rsid w:val="00835137"/>
    <w:rsid w:val="00835220"/>
    <w:rsid w:val="0083534B"/>
    <w:rsid w:val="0083550C"/>
    <w:rsid w:val="0083555C"/>
    <w:rsid w:val="00835596"/>
    <w:rsid w:val="00835698"/>
    <w:rsid w:val="008356F5"/>
    <w:rsid w:val="0083588C"/>
    <w:rsid w:val="008358C7"/>
    <w:rsid w:val="00835B80"/>
    <w:rsid w:val="00835BD7"/>
    <w:rsid w:val="00835D44"/>
    <w:rsid w:val="00835DC0"/>
    <w:rsid w:val="00835F2C"/>
    <w:rsid w:val="00835F3A"/>
    <w:rsid w:val="008361DD"/>
    <w:rsid w:val="00836266"/>
    <w:rsid w:val="0083627A"/>
    <w:rsid w:val="00836397"/>
    <w:rsid w:val="008363D1"/>
    <w:rsid w:val="0083646F"/>
    <w:rsid w:val="0083650C"/>
    <w:rsid w:val="0083659E"/>
    <w:rsid w:val="00836621"/>
    <w:rsid w:val="00836BDE"/>
    <w:rsid w:val="00836CEE"/>
    <w:rsid w:val="00836DBE"/>
    <w:rsid w:val="00837097"/>
    <w:rsid w:val="00837163"/>
    <w:rsid w:val="00837197"/>
    <w:rsid w:val="00837373"/>
    <w:rsid w:val="00837398"/>
    <w:rsid w:val="00837535"/>
    <w:rsid w:val="00837579"/>
    <w:rsid w:val="00837748"/>
    <w:rsid w:val="008377D3"/>
    <w:rsid w:val="00837816"/>
    <w:rsid w:val="008379AC"/>
    <w:rsid w:val="00837A3F"/>
    <w:rsid w:val="00837B27"/>
    <w:rsid w:val="00837C57"/>
    <w:rsid w:val="00837D22"/>
    <w:rsid w:val="00837D58"/>
    <w:rsid w:val="00837FE6"/>
    <w:rsid w:val="00840012"/>
    <w:rsid w:val="008400A0"/>
    <w:rsid w:val="008401CA"/>
    <w:rsid w:val="00840230"/>
    <w:rsid w:val="008402B6"/>
    <w:rsid w:val="0084041C"/>
    <w:rsid w:val="00840510"/>
    <w:rsid w:val="0084058A"/>
    <w:rsid w:val="0084077F"/>
    <w:rsid w:val="008407F0"/>
    <w:rsid w:val="008408B3"/>
    <w:rsid w:val="00840ABB"/>
    <w:rsid w:val="00840BD5"/>
    <w:rsid w:val="00840D56"/>
    <w:rsid w:val="00840E45"/>
    <w:rsid w:val="00840EAA"/>
    <w:rsid w:val="00840EE5"/>
    <w:rsid w:val="00841007"/>
    <w:rsid w:val="0084101A"/>
    <w:rsid w:val="008411ED"/>
    <w:rsid w:val="00841202"/>
    <w:rsid w:val="008414F4"/>
    <w:rsid w:val="00841507"/>
    <w:rsid w:val="00841613"/>
    <w:rsid w:val="0084169F"/>
    <w:rsid w:val="008417B1"/>
    <w:rsid w:val="00841844"/>
    <w:rsid w:val="00841854"/>
    <w:rsid w:val="008419D1"/>
    <w:rsid w:val="00841C3A"/>
    <w:rsid w:val="00841CE4"/>
    <w:rsid w:val="00841DAA"/>
    <w:rsid w:val="00841E24"/>
    <w:rsid w:val="00841F7B"/>
    <w:rsid w:val="008420F2"/>
    <w:rsid w:val="008421AC"/>
    <w:rsid w:val="0084236D"/>
    <w:rsid w:val="00842386"/>
    <w:rsid w:val="008423E5"/>
    <w:rsid w:val="0084251B"/>
    <w:rsid w:val="00842569"/>
    <w:rsid w:val="00842BC1"/>
    <w:rsid w:val="00842C71"/>
    <w:rsid w:val="00842CAF"/>
    <w:rsid w:val="00842CD9"/>
    <w:rsid w:val="00842D30"/>
    <w:rsid w:val="00842D8E"/>
    <w:rsid w:val="00842E92"/>
    <w:rsid w:val="00843126"/>
    <w:rsid w:val="00843179"/>
    <w:rsid w:val="0084335F"/>
    <w:rsid w:val="0084339E"/>
    <w:rsid w:val="0084348B"/>
    <w:rsid w:val="008434E1"/>
    <w:rsid w:val="00843506"/>
    <w:rsid w:val="00843786"/>
    <w:rsid w:val="008439C4"/>
    <w:rsid w:val="00843A6E"/>
    <w:rsid w:val="00843ADB"/>
    <w:rsid w:val="00843B2C"/>
    <w:rsid w:val="00843DD9"/>
    <w:rsid w:val="00843E3D"/>
    <w:rsid w:val="00843E68"/>
    <w:rsid w:val="00843F52"/>
    <w:rsid w:val="00844278"/>
    <w:rsid w:val="008442F1"/>
    <w:rsid w:val="00844386"/>
    <w:rsid w:val="00844394"/>
    <w:rsid w:val="0084448E"/>
    <w:rsid w:val="00844889"/>
    <w:rsid w:val="008448FD"/>
    <w:rsid w:val="00844AB9"/>
    <w:rsid w:val="00844AE7"/>
    <w:rsid w:val="00844B41"/>
    <w:rsid w:val="00844B87"/>
    <w:rsid w:val="00844C7E"/>
    <w:rsid w:val="00844E0A"/>
    <w:rsid w:val="00844E37"/>
    <w:rsid w:val="00844E72"/>
    <w:rsid w:val="00844F3A"/>
    <w:rsid w:val="00844F46"/>
    <w:rsid w:val="008450ED"/>
    <w:rsid w:val="00845109"/>
    <w:rsid w:val="008451F4"/>
    <w:rsid w:val="008452E2"/>
    <w:rsid w:val="008454B6"/>
    <w:rsid w:val="00845542"/>
    <w:rsid w:val="00845577"/>
    <w:rsid w:val="008455F9"/>
    <w:rsid w:val="0084561E"/>
    <w:rsid w:val="00845623"/>
    <w:rsid w:val="0084569C"/>
    <w:rsid w:val="008458FA"/>
    <w:rsid w:val="00845904"/>
    <w:rsid w:val="00845A02"/>
    <w:rsid w:val="00845ADF"/>
    <w:rsid w:val="00845B39"/>
    <w:rsid w:val="00845B8A"/>
    <w:rsid w:val="00845CDC"/>
    <w:rsid w:val="00845D51"/>
    <w:rsid w:val="00845DBF"/>
    <w:rsid w:val="00845F79"/>
    <w:rsid w:val="00845FDB"/>
    <w:rsid w:val="00845FE3"/>
    <w:rsid w:val="00846136"/>
    <w:rsid w:val="008461B9"/>
    <w:rsid w:val="00846229"/>
    <w:rsid w:val="008463C7"/>
    <w:rsid w:val="0084673B"/>
    <w:rsid w:val="0084673D"/>
    <w:rsid w:val="00846880"/>
    <w:rsid w:val="008468BF"/>
    <w:rsid w:val="00846917"/>
    <w:rsid w:val="008469AE"/>
    <w:rsid w:val="00847009"/>
    <w:rsid w:val="008470FA"/>
    <w:rsid w:val="00847107"/>
    <w:rsid w:val="00847130"/>
    <w:rsid w:val="00847187"/>
    <w:rsid w:val="00847271"/>
    <w:rsid w:val="0084728B"/>
    <w:rsid w:val="00847396"/>
    <w:rsid w:val="0084739A"/>
    <w:rsid w:val="00847504"/>
    <w:rsid w:val="00847530"/>
    <w:rsid w:val="0084755E"/>
    <w:rsid w:val="0084759B"/>
    <w:rsid w:val="008475AC"/>
    <w:rsid w:val="008475B2"/>
    <w:rsid w:val="00847650"/>
    <w:rsid w:val="0084769B"/>
    <w:rsid w:val="008476CB"/>
    <w:rsid w:val="00847761"/>
    <w:rsid w:val="008477F1"/>
    <w:rsid w:val="00847A4B"/>
    <w:rsid w:val="00847ABE"/>
    <w:rsid w:val="00847AD0"/>
    <w:rsid w:val="00847BF2"/>
    <w:rsid w:val="00847C7B"/>
    <w:rsid w:val="00847F86"/>
    <w:rsid w:val="00850071"/>
    <w:rsid w:val="008503B4"/>
    <w:rsid w:val="008503BC"/>
    <w:rsid w:val="0085040D"/>
    <w:rsid w:val="00850612"/>
    <w:rsid w:val="0085063E"/>
    <w:rsid w:val="00850640"/>
    <w:rsid w:val="0085065E"/>
    <w:rsid w:val="00850854"/>
    <w:rsid w:val="0085089C"/>
    <w:rsid w:val="008508DC"/>
    <w:rsid w:val="00850938"/>
    <w:rsid w:val="0085097B"/>
    <w:rsid w:val="00850A5C"/>
    <w:rsid w:val="00850D1C"/>
    <w:rsid w:val="00850D8B"/>
    <w:rsid w:val="00850EBD"/>
    <w:rsid w:val="00850EE1"/>
    <w:rsid w:val="0085105A"/>
    <w:rsid w:val="0085113C"/>
    <w:rsid w:val="00851350"/>
    <w:rsid w:val="0085135F"/>
    <w:rsid w:val="0085141D"/>
    <w:rsid w:val="008514C5"/>
    <w:rsid w:val="008517FE"/>
    <w:rsid w:val="00851816"/>
    <w:rsid w:val="00851825"/>
    <w:rsid w:val="00851857"/>
    <w:rsid w:val="00851ACD"/>
    <w:rsid w:val="00851BC4"/>
    <w:rsid w:val="00851CBF"/>
    <w:rsid w:val="00851D84"/>
    <w:rsid w:val="00851E79"/>
    <w:rsid w:val="00851EEC"/>
    <w:rsid w:val="00852021"/>
    <w:rsid w:val="0085206E"/>
    <w:rsid w:val="00852347"/>
    <w:rsid w:val="00852416"/>
    <w:rsid w:val="00852453"/>
    <w:rsid w:val="0085246D"/>
    <w:rsid w:val="0085249D"/>
    <w:rsid w:val="0085252A"/>
    <w:rsid w:val="0085259E"/>
    <w:rsid w:val="00852753"/>
    <w:rsid w:val="00852786"/>
    <w:rsid w:val="008527D1"/>
    <w:rsid w:val="00852833"/>
    <w:rsid w:val="0085287A"/>
    <w:rsid w:val="00852939"/>
    <w:rsid w:val="008529A3"/>
    <w:rsid w:val="008529FB"/>
    <w:rsid w:val="00852A07"/>
    <w:rsid w:val="00852A88"/>
    <w:rsid w:val="00852AFF"/>
    <w:rsid w:val="00852BF0"/>
    <w:rsid w:val="00852DAA"/>
    <w:rsid w:val="00852E00"/>
    <w:rsid w:val="0085303B"/>
    <w:rsid w:val="0085315E"/>
    <w:rsid w:val="008533BB"/>
    <w:rsid w:val="008534D5"/>
    <w:rsid w:val="00853568"/>
    <w:rsid w:val="008535B5"/>
    <w:rsid w:val="00853600"/>
    <w:rsid w:val="0085395E"/>
    <w:rsid w:val="008539E1"/>
    <w:rsid w:val="00853B49"/>
    <w:rsid w:val="00853C66"/>
    <w:rsid w:val="00853C7F"/>
    <w:rsid w:val="00853D2C"/>
    <w:rsid w:val="00853F24"/>
    <w:rsid w:val="008541EE"/>
    <w:rsid w:val="008543D1"/>
    <w:rsid w:val="00854449"/>
    <w:rsid w:val="00854459"/>
    <w:rsid w:val="0085447A"/>
    <w:rsid w:val="00854905"/>
    <w:rsid w:val="00854A18"/>
    <w:rsid w:val="00854A6C"/>
    <w:rsid w:val="00854ABF"/>
    <w:rsid w:val="00854AD1"/>
    <w:rsid w:val="00854AFF"/>
    <w:rsid w:val="00854BBD"/>
    <w:rsid w:val="00854BEF"/>
    <w:rsid w:val="00854EEE"/>
    <w:rsid w:val="00854F0A"/>
    <w:rsid w:val="00855075"/>
    <w:rsid w:val="008550A4"/>
    <w:rsid w:val="00855136"/>
    <w:rsid w:val="008551A8"/>
    <w:rsid w:val="00855734"/>
    <w:rsid w:val="00855A16"/>
    <w:rsid w:val="00855B4B"/>
    <w:rsid w:val="00855BD4"/>
    <w:rsid w:val="00855C60"/>
    <w:rsid w:val="00855CF2"/>
    <w:rsid w:val="00855D50"/>
    <w:rsid w:val="00855DF9"/>
    <w:rsid w:val="00855F07"/>
    <w:rsid w:val="00856024"/>
    <w:rsid w:val="0085619C"/>
    <w:rsid w:val="008561F8"/>
    <w:rsid w:val="008562F8"/>
    <w:rsid w:val="00856324"/>
    <w:rsid w:val="00856383"/>
    <w:rsid w:val="008564E4"/>
    <w:rsid w:val="008565A1"/>
    <w:rsid w:val="008565E7"/>
    <w:rsid w:val="00856631"/>
    <w:rsid w:val="00856730"/>
    <w:rsid w:val="008569D9"/>
    <w:rsid w:val="00856B55"/>
    <w:rsid w:val="00856CA4"/>
    <w:rsid w:val="00856CDC"/>
    <w:rsid w:val="00856F3F"/>
    <w:rsid w:val="00856F78"/>
    <w:rsid w:val="00856FDC"/>
    <w:rsid w:val="0085725F"/>
    <w:rsid w:val="00857302"/>
    <w:rsid w:val="0085730B"/>
    <w:rsid w:val="0085742D"/>
    <w:rsid w:val="00857463"/>
    <w:rsid w:val="00857731"/>
    <w:rsid w:val="0085774B"/>
    <w:rsid w:val="00857BE8"/>
    <w:rsid w:val="00857C1A"/>
    <w:rsid w:val="00857C76"/>
    <w:rsid w:val="00857CD8"/>
    <w:rsid w:val="00857D47"/>
    <w:rsid w:val="0086012A"/>
    <w:rsid w:val="00860217"/>
    <w:rsid w:val="008602D9"/>
    <w:rsid w:val="0086055A"/>
    <w:rsid w:val="00860600"/>
    <w:rsid w:val="008607DF"/>
    <w:rsid w:val="0086086A"/>
    <w:rsid w:val="0086094C"/>
    <w:rsid w:val="00860A0A"/>
    <w:rsid w:val="00860A6D"/>
    <w:rsid w:val="00860AE6"/>
    <w:rsid w:val="00860BD6"/>
    <w:rsid w:val="00860C8A"/>
    <w:rsid w:val="00860CDE"/>
    <w:rsid w:val="00860CF9"/>
    <w:rsid w:val="00860D97"/>
    <w:rsid w:val="00860DE3"/>
    <w:rsid w:val="00860DFC"/>
    <w:rsid w:val="00860E7D"/>
    <w:rsid w:val="00860FCE"/>
    <w:rsid w:val="00860FF4"/>
    <w:rsid w:val="0086100C"/>
    <w:rsid w:val="0086105A"/>
    <w:rsid w:val="0086126A"/>
    <w:rsid w:val="0086135B"/>
    <w:rsid w:val="008614AF"/>
    <w:rsid w:val="008614FA"/>
    <w:rsid w:val="00861556"/>
    <w:rsid w:val="008616B1"/>
    <w:rsid w:val="00861708"/>
    <w:rsid w:val="0086176E"/>
    <w:rsid w:val="00861A71"/>
    <w:rsid w:val="00861BE7"/>
    <w:rsid w:val="00861C32"/>
    <w:rsid w:val="00861C83"/>
    <w:rsid w:val="00861D0B"/>
    <w:rsid w:val="00861DC8"/>
    <w:rsid w:val="00861EE8"/>
    <w:rsid w:val="00861F7A"/>
    <w:rsid w:val="00862033"/>
    <w:rsid w:val="008620F2"/>
    <w:rsid w:val="00862398"/>
    <w:rsid w:val="00862627"/>
    <w:rsid w:val="008626F7"/>
    <w:rsid w:val="00862790"/>
    <w:rsid w:val="00862891"/>
    <w:rsid w:val="008629E4"/>
    <w:rsid w:val="00862B6E"/>
    <w:rsid w:val="00862D7A"/>
    <w:rsid w:val="00862E33"/>
    <w:rsid w:val="00862E39"/>
    <w:rsid w:val="00862E62"/>
    <w:rsid w:val="00862F33"/>
    <w:rsid w:val="0086313C"/>
    <w:rsid w:val="0086317C"/>
    <w:rsid w:val="0086320E"/>
    <w:rsid w:val="00863458"/>
    <w:rsid w:val="00863535"/>
    <w:rsid w:val="008637C2"/>
    <w:rsid w:val="008637D5"/>
    <w:rsid w:val="0086385C"/>
    <w:rsid w:val="00863A0E"/>
    <w:rsid w:val="00863C3C"/>
    <w:rsid w:val="00863CE3"/>
    <w:rsid w:val="00863DE6"/>
    <w:rsid w:val="00863DEA"/>
    <w:rsid w:val="00863FAB"/>
    <w:rsid w:val="00863FC0"/>
    <w:rsid w:val="00864225"/>
    <w:rsid w:val="0086439E"/>
    <w:rsid w:val="008643AA"/>
    <w:rsid w:val="008643EF"/>
    <w:rsid w:val="0086458F"/>
    <w:rsid w:val="008645A2"/>
    <w:rsid w:val="00864692"/>
    <w:rsid w:val="008647D8"/>
    <w:rsid w:val="008648B4"/>
    <w:rsid w:val="00864943"/>
    <w:rsid w:val="008649C2"/>
    <w:rsid w:val="00864B76"/>
    <w:rsid w:val="00864D31"/>
    <w:rsid w:val="00864D4E"/>
    <w:rsid w:val="00864D9A"/>
    <w:rsid w:val="00864D9E"/>
    <w:rsid w:val="00864F38"/>
    <w:rsid w:val="00864FF0"/>
    <w:rsid w:val="008650A4"/>
    <w:rsid w:val="0086530A"/>
    <w:rsid w:val="00865368"/>
    <w:rsid w:val="00865507"/>
    <w:rsid w:val="00865597"/>
    <w:rsid w:val="008656AE"/>
    <w:rsid w:val="008656B0"/>
    <w:rsid w:val="00865999"/>
    <w:rsid w:val="00865A48"/>
    <w:rsid w:val="00865B09"/>
    <w:rsid w:val="00865B8F"/>
    <w:rsid w:val="00865E78"/>
    <w:rsid w:val="00865E8D"/>
    <w:rsid w:val="00866044"/>
    <w:rsid w:val="008660C4"/>
    <w:rsid w:val="008660CF"/>
    <w:rsid w:val="00866348"/>
    <w:rsid w:val="008663EA"/>
    <w:rsid w:val="0086655F"/>
    <w:rsid w:val="0086658C"/>
    <w:rsid w:val="00866610"/>
    <w:rsid w:val="008666C7"/>
    <w:rsid w:val="00866726"/>
    <w:rsid w:val="00866748"/>
    <w:rsid w:val="0086674C"/>
    <w:rsid w:val="008667D5"/>
    <w:rsid w:val="008667EA"/>
    <w:rsid w:val="00866820"/>
    <w:rsid w:val="008668AF"/>
    <w:rsid w:val="00866908"/>
    <w:rsid w:val="008669E5"/>
    <w:rsid w:val="00866A55"/>
    <w:rsid w:val="00866AB2"/>
    <w:rsid w:val="00866AF9"/>
    <w:rsid w:val="00866BE7"/>
    <w:rsid w:val="00866D12"/>
    <w:rsid w:val="00866E3B"/>
    <w:rsid w:val="00866E60"/>
    <w:rsid w:val="00866F99"/>
    <w:rsid w:val="0086709D"/>
    <w:rsid w:val="0086730D"/>
    <w:rsid w:val="008673B0"/>
    <w:rsid w:val="008674D2"/>
    <w:rsid w:val="008674F0"/>
    <w:rsid w:val="00867508"/>
    <w:rsid w:val="00867579"/>
    <w:rsid w:val="008677D6"/>
    <w:rsid w:val="00867839"/>
    <w:rsid w:val="008678CE"/>
    <w:rsid w:val="008679BC"/>
    <w:rsid w:val="00867A43"/>
    <w:rsid w:val="00867DBB"/>
    <w:rsid w:val="00867E9A"/>
    <w:rsid w:val="00867F1B"/>
    <w:rsid w:val="00867F80"/>
    <w:rsid w:val="00867F83"/>
    <w:rsid w:val="008700C6"/>
    <w:rsid w:val="0087011F"/>
    <w:rsid w:val="00870395"/>
    <w:rsid w:val="00870541"/>
    <w:rsid w:val="00870722"/>
    <w:rsid w:val="00870746"/>
    <w:rsid w:val="0087077D"/>
    <w:rsid w:val="008708E1"/>
    <w:rsid w:val="00870929"/>
    <w:rsid w:val="00870966"/>
    <w:rsid w:val="00870988"/>
    <w:rsid w:val="00870B5F"/>
    <w:rsid w:val="00870C02"/>
    <w:rsid w:val="00870C85"/>
    <w:rsid w:val="00870CE8"/>
    <w:rsid w:val="00870DB4"/>
    <w:rsid w:val="00870E47"/>
    <w:rsid w:val="00870EAD"/>
    <w:rsid w:val="00870FE6"/>
    <w:rsid w:val="0087109C"/>
    <w:rsid w:val="008710DF"/>
    <w:rsid w:val="0087121B"/>
    <w:rsid w:val="008713B8"/>
    <w:rsid w:val="008713EB"/>
    <w:rsid w:val="008713F0"/>
    <w:rsid w:val="00871480"/>
    <w:rsid w:val="008714FF"/>
    <w:rsid w:val="008715E4"/>
    <w:rsid w:val="0087167D"/>
    <w:rsid w:val="008716D6"/>
    <w:rsid w:val="0087170B"/>
    <w:rsid w:val="00871B1D"/>
    <w:rsid w:val="00871C0D"/>
    <w:rsid w:val="00871D30"/>
    <w:rsid w:val="00871EF5"/>
    <w:rsid w:val="00871FA8"/>
    <w:rsid w:val="0087206D"/>
    <w:rsid w:val="00872351"/>
    <w:rsid w:val="008724A5"/>
    <w:rsid w:val="0087262F"/>
    <w:rsid w:val="00872778"/>
    <w:rsid w:val="0087282E"/>
    <w:rsid w:val="00872870"/>
    <w:rsid w:val="00872A45"/>
    <w:rsid w:val="00872AF8"/>
    <w:rsid w:val="00872B9E"/>
    <w:rsid w:val="00872C20"/>
    <w:rsid w:val="00872D47"/>
    <w:rsid w:val="00872DE1"/>
    <w:rsid w:val="00872F3E"/>
    <w:rsid w:val="00873056"/>
    <w:rsid w:val="00873083"/>
    <w:rsid w:val="008731D4"/>
    <w:rsid w:val="008731D5"/>
    <w:rsid w:val="00873213"/>
    <w:rsid w:val="00873253"/>
    <w:rsid w:val="008733E9"/>
    <w:rsid w:val="008735A8"/>
    <w:rsid w:val="0087371E"/>
    <w:rsid w:val="008737A7"/>
    <w:rsid w:val="00873A11"/>
    <w:rsid w:val="00873B46"/>
    <w:rsid w:val="00873E36"/>
    <w:rsid w:val="008740C7"/>
    <w:rsid w:val="008740D0"/>
    <w:rsid w:val="008740E1"/>
    <w:rsid w:val="00874101"/>
    <w:rsid w:val="008743E2"/>
    <w:rsid w:val="008746E3"/>
    <w:rsid w:val="0087473B"/>
    <w:rsid w:val="00874895"/>
    <w:rsid w:val="008749D9"/>
    <w:rsid w:val="00874A08"/>
    <w:rsid w:val="00874A6C"/>
    <w:rsid w:val="00874AE6"/>
    <w:rsid w:val="00874AF5"/>
    <w:rsid w:val="00874BDC"/>
    <w:rsid w:val="00874CD1"/>
    <w:rsid w:val="00874F22"/>
    <w:rsid w:val="00874F5D"/>
    <w:rsid w:val="0087505B"/>
    <w:rsid w:val="00875083"/>
    <w:rsid w:val="0087508C"/>
    <w:rsid w:val="00875304"/>
    <w:rsid w:val="00875314"/>
    <w:rsid w:val="00875360"/>
    <w:rsid w:val="00875393"/>
    <w:rsid w:val="008753B2"/>
    <w:rsid w:val="008753DA"/>
    <w:rsid w:val="0087558C"/>
    <w:rsid w:val="008757B8"/>
    <w:rsid w:val="008757C3"/>
    <w:rsid w:val="00875955"/>
    <w:rsid w:val="00875A64"/>
    <w:rsid w:val="00875C62"/>
    <w:rsid w:val="008760EC"/>
    <w:rsid w:val="008760FF"/>
    <w:rsid w:val="00876265"/>
    <w:rsid w:val="00876363"/>
    <w:rsid w:val="00876474"/>
    <w:rsid w:val="008765F6"/>
    <w:rsid w:val="00876A4D"/>
    <w:rsid w:val="00876AF1"/>
    <w:rsid w:val="00876B4F"/>
    <w:rsid w:val="00876B78"/>
    <w:rsid w:val="00876B82"/>
    <w:rsid w:val="00876D4E"/>
    <w:rsid w:val="00876F34"/>
    <w:rsid w:val="0087700D"/>
    <w:rsid w:val="00877095"/>
    <w:rsid w:val="0087724D"/>
    <w:rsid w:val="00877319"/>
    <w:rsid w:val="0087744E"/>
    <w:rsid w:val="008774FD"/>
    <w:rsid w:val="008776D6"/>
    <w:rsid w:val="00877826"/>
    <w:rsid w:val="008779C4"/>
    <w:rsid w:val="008779F9"/>
    <w:rsid w:val="00877B2A"/>
    <w:rsid w:val="00877C07"/>
    <w:rsid w:val="00877C29"/>
    <w:rsid w:val="00877D48"/>
    <w:rsid w:val="00877E03"/>
    <w:rsid w:val="00877F3B"/>
    <w:rsid w:val="00880067"/>
    <w:rsid w:val="008800EC"/>
    <w:rsid w:val="00880298"/>
    <w:rsid w:val="00880348"/>
    <w:rsid w:val="008803E4"/>
    <w:rsid w:val="00880442"/>
    <w:rsid w:val="00880453"/>
    <w:rsid w:val="00880465"/>
    <w:rsid w:val="008805EF"/>
    <w:rsid w:val="008806EA"/>
    <w:rsid w:val="008807BE"/>
    <w:rsid w:val="00880B4F"/>
    <w:rsid w:val="00880BFB"/>
    <w:rsid w:val="00880CD3"/>
    <w:rsid w:val="00880E1D"/>
    <w:rsid w:val="00880E28"/>
    <w:rsid w:val="00880F0F"/>
    <w:rsid w:val="00881011"/>
    <w:rsid w:val="00881100"/>
    <w:rsid w:val="00881137"/>
    <w:rsid w:val="0088113D"/>
    <w:rsid w:val="008812A7"/>
    <w:rsid w:val="008812F3"/>
    <w:rsid w:val="00881593"/>
    <w:rsid w:val="008815E5"/>
    <w:rsid w:val="008816D6"/>
    <w:rsid w:val="008816FC"/>
    <w:rsid w:val="00881746"/>
    <w:rsid w:val="008819A0"/>
    <w:rsid w:val="00881A2B"/>
    <w:rsid w:val="00881A45"/>
    <w:rsid w:val="00881AC8"/>
    <w:rsid w:val="00881B97"/>
    <w:rsid w:val="00881B9A"/>
    <w:rsid w:val="00881B9F"/>
    <w:rsid w:val="00881BCA"/>
    <w:rsid w:val="00881FB9"/>
    <w:rsid w:val="00881FF3"/>
    <w:rsid w:val="0088211B"/>
    <w:rsid w:val="0088212E"/>
    <w:rsid w:val="00882189"/>
    <w:rsid w:val="00882219"/>
    <w:rsid w:val="0088223B"/>
    <w:rsid w:val="0088239C"/>
    <w:rsid w:val="00882506"/>
    <w:rsid w:val="008825D9"/>
    <w:rsid w:val="00882635"/>
    <w:rsid w:val="00882740"/>
    <w:rsid w:val="0088277E"/>
    <w:rsid w:val="00882954"/>
    <w:rsid w:val="008829E2"/>
    <w:rsid w:val="00882BB8"/>
    <w:rsid w:val="00882C09"/>
    <w:rsid w:val="00882C61"/>
    <w:rsid w:val="00883252"/>
    <w:rsid w:val="008832BC"/>
    <w:rsid w:val="008832FB"/>
    <w:rsid w:val="008833FB"/>
    <w:rsid w:val="0088357D"/>
    <w:rsid w:val="00883590"/>
    <w:rsid w:val="008836DA"/>
    <w:rsid w:val="008839BE"/>
    <w:rsid w:val="00883A84"/>
    <w:rsid w:val="00883B98"/>
    <w:rsid w:val="00883B99"/>
    <w:rsid w:val="00883EBB"/>
    <w:rsid w:val="00884008"/>
    <w:rsid w:val="00884060"/>
    <w:rsid w:val="008841C2"/>
    <w:rsid w:val="008844BA"/>
    <w:rsid w:val="008844F8"/>
    <w:rsid w:val="00884678"/>
    <w:rsid w:val="00884690"/>
    <w:rsid w:val="008846FB"/>
    <w:rsid w:val="0088473B"/>
    <w:rsid w:val="0088479B"/>
    <w:rsid w:val="0088480E"/>
    <w:rsid w:val="008848AE"/>
    <w:rsid w:val="00884B2D"/>
    <w:rsid w:val="00884B62"/>
    <w:rsid w:val="00884B65"/>
    <w:rsid w:val="00884B83"/>
    <w:rsid w:val="00884BC6"/>
    <w:rsid w:val="00884C55"/>
    <w:rsid w:val="00884C83"/>
    <w:rsid w:val="00884CD7"/>
    <w:rsid w:val="00884D62"/>
    <w:rsid w:val="00884D6D"/>
    <w:rsid w:val="00884DFA"/>
    <w:rsid w:val="00884E32"/>
    <w:rsid w:val="00884F3F"/>
    <w:rsid w:val="00884FC3"/>
    <w:rsid w:val="00885195"/>
    <w:rsid w:val="00885259"/>
    <w:rsid w:val="008852B5"/>
    <w:rsid w:val="008853D5"/>
    <w:rsid w:val="00885573"/>
    <w:rsid w:val="0088562B"/>
    <w:rsid w:val="008856BF"/>
    <w:rsid w:val="008856F5"/>
    <w:rsid w:val="00885922"/>
    <w:rsid w:val="00885A20"/>
    <w:rsid w:val="00885B31"/>
    <w:rsid w:val="00885DBF"/>
    <w:rsid w:val="008860FC"/>
    <w:rsid w:val="00886118"/>
    <w:rsid w:val="008861CA"/>
    <w:rsid w:val="00886237"/>
    <w:rsid w:val="00886384"/>
    <w:rsid w:val="008863CC"/>
    <w:rsid w:val="00886414"/>
    <w:rsid w:val="00886448"/>
    <w:rsid w:val="008865D4"/>
    <w:rsid w:val="0088662C"/>
    <w:rsid w:val="0088664F"/>
    <w:rsid w:val="00886690"/>
    <w:rsid w:val="00886712"/>
    <w:rsid w:val="0088689B"/>
    <w:rsid w:val="00886B14"/>
    <w:rsid w:val="00886B7D"/>
    <w:rsid w:val="00886C4A"/>
    <w:rsid w:val="00886D21"/>
    <w:rsid w:val="00886DE1"/>
    <w:rsid w:val="008871A2"/>
    <w:rsid w:val="008871BA"/>
    <w:rsid w:val="008871E1"/>
    <w:rsid w:val="00887240"/>
    <w:rsid w:val="0088739E"/>
    <w:rsid w:val="0088745C"/>
    <w:rsid w:val="00887845"/>
    <w:rsid w:val="008878F5"/>
    <w:rsid w:val="00887937"/>
    <w:rsid w:val="00887AA7"/>
    <w:rsid w:val="00887AAF"/>
    <w:rsid w:val="00887D5D"/>
    <w:rsid w:val="00887DB8"/>
    <w:rsid w:val="00890073"/>
    <w:rsid w:val="00890117"/>
    <w:rsid w:val="008901AA"/>
    <w:rsid w:val="00890305"/>
    <w:rsid w:val="00890440"/>
    <w:rsid w:val="00890442"/>
    <w:rsid w:val="008904E1"/>
    <w:rsid w:val="008904E9"/>
    <w:rsid w:val="00890572"/>
    <w:rsid w:val="008907E0"/>
    <w:rsid w:val="00890A9D"/>
    <w:rsid w:val="00890B79"/>
    <w:rsid w:val="00890DF4"/>
    <w:rsid w:val="00890E38"/>
    <w:rsid w:val="00890F2C"/>
    <w:rsid w:val="00890FCB"/>
    <w:rsid w:val="008910E3"/>
    <w:rsid w:val="00891118"/>
    <w:rsid w:val="0089125E"/>
    <w:rsid w:val="008912AC"/>
    <w:rsid w:val="00891319"/>
    <w:rsid w:val="0089135A"/>
    <w:rsid w:val="008913E4"/>
    <w:rsid w:val="00891549"/>
    <w:rsid w:val="00891584"/>
    <w:rsid w:val="0089174C"/>
    <w:rsid w:val="008917C5"/>
    <w:rsid w:val="00891853"/>
    <w:rsid w:val="00891885"/>
    <w:rsid w:val="00891A5B"/>
    <w:rsid w:val="00891B13"/>
    <w:rsid w:val="00891BB5"/>
    <w:rsid w:val="00891C12"/>
    <w:rsid w:val="00891C4E"/>
    <w:rsid w:val="00891C7F"/>
    <w:rsid w:val="00891CCE"/>
    <w:rsid w:val="00891E3F"/>
    <w:rsid w:val="00891F93"/>
    <w:rsid w:val="00891F9F"/>
    <w:rsid w:val="0089204A"/>
    <w:rsid w:val="0089218E"/>
    <w:rsid w:val="008921F6"/>
    <w:rsid w:val="008922FC"/>
    <w:rsid w:val="0089234F"/>
    <w:rsid w:val="00892594"/>
    <w:rsid w:val="00892679"/>
    <w:rsid w:val="008926DE"/>
    <w:rsid w:val="0089273A"/>
    <w:rsid w:val="00892816"/>
    <w:rsid w:val="008928BA"/>
    <w:rsid w:val="008928F0"/>
    <w:rsid w:val="008929FF"/>
    <w:rsid w:val="00892BC7"/>
    <w:rsid w:val="00892CFB"/>
    <w:rsid w:val="00892E19"/>
    <w:rsid w:val="00892ED5"/>
    <w:rsid w:val="00893076"/>
    <w:rsid w:val="008930DF"/>
    <w:rsid w:val="0089315B"/>
    <w:rsid w:val="008933C3"/>
    <w:rsid w:val="008934B4"/>
    <w:rsid w:val="008934BB"/>
    <w:rsid w:val="008936FE"/>
    <w:rsid w:val="00893902"/>
    <w:rsid w:val="00893941"/>
    <w:rsid w:val="008939AA"/>
    <w:rsid w:val="00893A3C"/>
    <w:rsid w:val="00893C4A"/>
    <w:rsid w:val="00893EC3"/>
    <w:rsid w:val="0089409F"/>
    <w:rsid w:val="008940D9"/>
    <w:rsid w:val="008940F8"/>
    <w:rsid w:val="00894541"/>
    <w:rsid w:val="0089455B"/>
    <w:rsid w:val="00894650"/>
    <w:rsid w:val="00894684"/>
    <w:rsid w:val="008946C3"/>
    <w:rsid w:val="008947C3"/>
    <w:rsid w:val="0089483E"/>
    <w:rsid w:val="008948C5"/>
    <w:rsid w:val="00894996"/>
    <w:rsid w:val="008949DD"/>
    <w:rsid w:val="008949EB"/>
    <w:rsid w:val="00894C79"/>
    <w:rsid w:val="00894D9B"/>
    <w:rsid w:val="00894DA1"/>
    <w:rsid w:val="00894DE4"/>
    <w:rsid w:val="00894FB4"/>
    <w:rsid w:val="0089500B"/>
    <w:rsid w:val="00895065"/>
    <w:rsid w:val="0089506F"/>
    <w:rsid w:val="00895071"/>
    <w:rsid w:val="008950DC"/>
    <w:rsid w:val="008951ED"/>
    <w:rsid w:val="008953AB"/>
    <w:rsid w:val="0089542B"/>
    <w:rsid w:val="00895447"/>
    <w:rsid w:val="008954FD"/>
    <w:rsid w:val="0089554A"/>
    <w:rsid w:val="008956FD"/>
    <w:rsid w:val="0089583E"/>
    <w:rsid w:val="008958D5"/>
    <w:rsid w:val="008958F4"/>
    <w:rsid w:val="00895B91"/>
    <w:rsid w:val="00895B93"/>
    <w:rsid w:val="00895BFA"/>
    <w:rsid w:val="00895C38"/>
    <w:rsid w:val="00895C69"/>
    <w:rsid w:val="00895C8F"/>
    <w:rsid w:val="00895D5B"/>
    <w:rsid w:val="00895F57"/>
    <w:rsid w:val="008960CB"/>
    <w:rsid w:val="00896149"/>
    <w:rsid w:val="008961CA"/>
    <w:rsid w:val="008961FF"/>
    <w:rsid w:val="0089624D"/>
    <w:rsid w:val="0089637A"/>
    <w:rsid w:val="008964F1"/>
    <w:rsid w:val="008964FF"/>
    <w:rsid w:val="0089666C"/>
    <w:rsid w:val="008966AC"/>
    <w:rsid w:val="0089687A"/>
    <w:rsid w:val="0089687E"/>
    <w:rsid w:val="00896ADC"/>
    <w:rsid w:val="00896B13"/>
    <w:rsid w:val="00896B6B"/>
    <w:rsid w:val="00896BB4"/>
    <w:rsid w:val="00896DB8"/>
    <w:rsid w:val="00896DF0"/>
    <w:rsid w:val="00896E05"/>
    <w:rsid w:val="00896E83"/>
    <w:rsid w:val="00896FD2"/>
    <w:rsid w:val="0089701E"/>
    <w:rsid w:val="008972A0"/>
    <w:rsid w:val="008972E7"/>
    <w:rsid w:val="008972ED"/>
    <w:rsid w:val="008973B3"/>
    <w:rsid w:val="008973FB"/>
    <w:rsid w:val="008975C3"/>
    <w:rsid w:val="008975DB"/>
    <w:rsid w:val="008975FF"/>
    <w:rsid w:val="00897617"/>
    <w:rsid w:val="00897682"/>
    <w:rsid w:val="008977D3"/>
    <w:rsid w:val="00897808"/>
    <w:rsid w:val="0089782D"/>
    <w:rsid w:val="00897856"/>
    <w:rsid w:val="008978B7"/>
    <w:rsid w:val="00897A5A"/>
    <w:rsid w:val="00897B27"/>
    <w:rsid w:val="00897BD9"/>
    <w:rsid w:val="00897BEE"/>
    <w:rsid w:val="00897C15"/>
    <w:rsid w:val="00897CE5"/>
    <w:rsid w:val="00897E68"/>
    <w:rsid w:val="00897F14"/>
    <w:rsid w:val="00897F46"/>
    <w:rsid w:val="008A0059"/>
    <w:rsid w:val="008A0075"/>
    <w:rsid w:val="008A007F"/>
    <w:rsid w:val="008A012E"/>
    <w:rsid w:val="008A01AA"/>
    <w:rsid w:val="008A03F5"/>
    <w:rsid w:val="008A0481"/>
    <w:rsid w:val="008A0507"/>
    <w:rsid w:val="008A07C0"/>
    <w:rsid w:val="008A07DC"/>
    <w:rsid w:val="008A08CC"/>
    <w:rsid w:val="008A08EC"/>
    <w:rsid w:val="008A0BF9"/>
    <w:rsid w:val="008A0E0A"/>
    <w:rsid w:val="008A12B2"/>
    <w:rsid w:val="008A1303"/>
    <w:rsid w:val="008A13E1"/>
    <w:rsid w:val="008A15ED"/>
    <w:rsid w:val="008A17DA"/>
    <w:rsid w:val="008A184F"/>
    <w:rsid w:val="008A19EE"/>
    <w:rsid w:val="008A19F6"/>
    <w:rsid w:val="008A1ADF"/>
    <w:rsid w:val="008A1B5E"/>
    <w:rsid w:val="008A1C0D"/>
    <w:rsid w:val="008A1CDE"/>
    <w:rsid w:val="008A1CE8"/>
    <w:rsid w:val="008A1D28"/>
    <w:rsid w:val="008A1D49"/>
    <w:rsid w:val="008A2029"/>
    <w:rsid w:val="008A202D"/>
    <w:rsid w:val="008A203A"/>
    <w:rsid w:val="008A2083"/>
    <w:rsid w:val="008A20B3"/>
    <w:rsid w:val="008A2138"/>
    <w:rsid w:val="008A21A1"/>
    <w:rsid w:val="008A21AD"/>
    <w:rsid w:val="008A21FF"/>
    <w:rsid w:val="008A2391"/>
    <w:rsid w:val="008A23A0"/>
    <w:rsid w:val="008A2403"/>
    <w:rsid w:val="008A25EA"/>
    <w:rsid w:val="008A26C0"/>
    <w:rsid w:val="008A2956"/>
    <w:rsid w:val="008A2980"/>
    <w:rsid w:val="008A2998"/>
    <w:rsid w:val="008A2A1C"/>
    <w:rsid w:val="008A2A59"/>
    <w:rsid w:val="008A2BA5"/>
    <w:rsid w:val="008A2E06"/>
    <w:rsid w:val="008A2F05"/>
    <w:rsid w:val="008A302C"/>
    <w:rsid w:val="008A321C"/>
    <w:rsid w:val="008A3304"/>
    <w:rsid w:val="008A3522"/>
    <w:rsid w:val="008A3576"/>
    <w:rsid w:val="008A35AA"/>
    <w:rsid w:val="008A36B0"/>
    <w:rsid w:val="008A3846"/>
    <w:rsid w:val="008A3B04"/>
    <w:rsid w:val="008A3C24"/>
    <w:rsid w:val="008A3D23"/>
    <w:rsid w:val="008A3E9D"/>
    <w:rsid w:val="008A3F3B"/>
    <w:rsid w:val="008A3FF7"/>
    <w:rsid w:val="008A3FF8"/>
    <w:rsid w:val="008A41D0"/>
    <w:rsid w:val="008A425F"/>
    <w:rsid w:val="008A42CA"/>
    <w:rsid w:val="008A4327"/>
    <w:rsid w:val="008A44B4"/>
    <w:rsid w:val="008A471D"/>
    <w:rsid w:val="008A48A6"/>
    <w:rsid w:val="008A495E"/>
    <w:rsid w:val="008A4B6D"/>
    <w:rsid w:val="008A4B7F"/>
    <w:rsid w:val="008A4BF0"/>
    <w:rsid w:val="008A4CC7"/>
    <w:rsid w:val="008A4D9F"/>
    <w:rsid w:val="008A4E08"/>
    <w:rsid w:val="008A4EB9"/>
    <w:rsid w:val="008A4FE9"/>
    <w:rsid w:val="008A505C"/>
    <w:rsid w:val="008A50B8"/>
    <w:rsid w:val="008A5102"/>
    <w:rsid w:val="008A5207"/>
    <w:rsid w:val="008A522A"/>
    <w:rsid w:val="008A5480"/>
    <w:rsid w:val="008A556E"/>
    <w:rsid w:val="008A564C"/>
    <w:rsid w:val="008A5763"/>
    <w:rsid w:val="008A57CF"/>
    <w:rsid w:val="008A5868"/>
    <w:rsid w:val="008A59A5"/>
    <w:rsid w:val="008A5AF8"/>
    <w:rsid w:val="008A5D9A"/>
    <w:rsid w:val="008A5EC3"/>
    <w:rsid w:val="008A5F76"/>
    <w:rsid w:val="008A5FE2"/>
    <w:rsid w:val="008A628C"/>
    <w:rsid w:val="008A628F"/>
    <w:rsid w:val="008A633A"/>
    <w:rsid w:val="008A64BC"/>
    <w:rsid w:val="008A64C8"/>
    <w:rsid w:val="008A64E1"/>
    <w:rsid w:val="008A64F0"/>
    <w:rsid w:val="008A656A"/>
    <w:rsid w:val="008A6572"/>
    <w:rsid w:val="008A6624"/>
    <w:rsid w:val="008A667D"/>
    <w:rsid w:val="008A66C5"/>
    <w:rsid w:val="008A674A"/>
    <w:rsid w:val="008A67F7"/>
    <w:rsid w:val="008A6917"/>
    <w:rsid w:val="008A698D"/>
    <w:rsid w:val="008A698E"/>
    <w:rsid w:val="008A6992"/>
    <w:rsid w:val="008A6B43"/>
    <w:rsid w:val="008A6C87"/>
    <w:rsid w:val="008A6CBD"/>
    <w:rsid w:val="008A6E47"/>
    <w:rsid w:val="008A6F2A"/>
    <w:rsid w:val="008A720A"/>
    <w:rsid w:val="008A74AF"/>
    <w:rsid w:val="008A74BC"/>
    <w:rsid w:val="008A74CC"/>
    <w:rsid w:val="008A759F"/>
    <w:rsid w:val="008A7790"/>
    <w:rsid w:val="008A77B3"/>
    <w:rsid w:val="008A7877"/>
    <w:rsid w:val="008A7970"/>
    <w:rsid w:val="008A79CC"/>
    <w:rsid w:val="008A79DB"/>
    <w:rsid w:val="008A7AE3"/>
    <w:rsid w:val="008A7C8A"/>
    <w:rsid w:val="008A7DDC"/>
    <w:rsid w:val="008A7DE0"/>
    <w:rsid w:val="008A7DF5"/>
    <w:rsid w:val="008A7ED7"/>
    <w:rsid w:val="008A7F94"/>
    <w:rsid w:val="008B010C"/>
    <w:rsid w:val="008B0115"/>
    <w:rsid w:val="008B0164"/>
    <w:rsid w:val="008B02EB"/>
    <w:rsid w:val="008B032F"/>
    <w:rsid w:val="008B04E5"/>
    <w:rsid w:val="008B0517"/>
    <w:rsid w:val="008B0540"/>
    <w:rsid w:val="008B0543"/>
    <w:rsid w:val="008B0551"/>
    <w:rsid w:val="008B06F9"/>
    <w:rsid w:val="008B07DB"/>
    <w:rsid w:val="008B0A7D"/>
    <w:rsid w:val="008B0AA6"/>
    <w:rsid w:val="008B0AB7"/>
    <w:rsid w:val="008B0E79"/>
    <w:rsid w:val="008B0E7F"/>
    <w:rsid w:val="008B0EC3"/>
    <w:rsid w:val="008B0FAB"/>
    <w:rsid w:val="008B10DA"/>
    <w:rsid w:val="008B11D1"/>
    <w:rsid w:val="008B1404"/>
    <w:rsid w:val="008B1430"/>
    <w:rsid w:val="008B1524"/>
    <w:rsid w:val="008B16D9"/>
    <w:rsid w:val="008B1A99"/>
    <w:rsid w:val="008B1B3E"/>
    <w:rsid w:val="008B1C09"/>
    <w:rsid w:val="008B1CE2"/>
    <w:rsid w:val="008B1E9F"/>
    <w:rsid w:val="008B1F1A"/>
    <w:rsid w:val="008B1F3F"/>
    <w:rsid w:val="008B1F85"/>
    <w:rsid w:val="008B2101"/>
    <w:rsid w:val="008B228D"/>
    <w:rsid w:val="008B22D8"/>
    <w:rsid w:val="008B24A7"/>
    <w:rsid w:val="008B2536"/>
    <w:rsid w:val="008B25C8"/>
    <w:rsid w:val="008B26B3"/>
    <w:rsid w:val="008B277D"/>
    <w:rsid w:val="008B2929"/>
    <w:rsid w:val="008B2AD8"/>
    <w:rsid w:val="008B2B3F"/>
    <w:rsid w:val="008B2CB6"/>
    <w:rsid w:val="008B2CD9"/>
    <w:rsid w:val="008B2D37"/>
    <w:rsid w:val="008B2D45"/>
    <w:rsid w:val="008B2DFD"/>
    <w:rsid w:val="008B2EAC"/>
    <w:rsid w:val="008B2FCC"/>
    <w:rsid w:val="008B2FEC"/>
    <w:rsid w:val="008B304F"/>
    <w:rsid w:val="008B30B5"/>
    <w:rsid w:val="008B311E"/>
    <w:rsid w:val="008B3247"/>
    <w:rsid w:val="008B3409"/>
    <w:rsid w:val="008B347A"/>
    <w:rsid w:val="008B34AE"/>
    <w:rsid w:val="008B359E"/>
    <w:rsid w:val="008B35ED"/>
    <w:rsid w:val="008B35EF"/>
    <w:rsid w:val="008B36E8"/>
    <w:rsid w:val="008B37D9"/>
    <w:rsid w:val="008B3841"/>
    <w:rsid w:val="008B3984"/>
    <w:rsid w:val="008B3B1C"/>
    <w:rsid w:val="008B3C8D"/>
    <w:rsid w:val="008B3DB4"/>
    <w:rsid w:val="008B3F17"/>
    <w:rsid w:val="008B3F79"/>
    <w:rsid w:val="008B404D"/>
    <w:rsid w:val="008B409C"/>
    <w:rsid w:val="008B40C5"/>
    <w:rsid w:val="008B41BC"/>
    <w:rsid w:val="008B42F8"/>
    <w:rsid w:val="008B4679"/>
    <w:rsid w:val="008B4697"/>
    <w:rsid w:val="008B4761"/>
    <w:rsid w:val="008B4795"/>
    <w:rsid w:val="008B4A54"/>
    <w:rsid w:val="008B4ABA"/>
    <w:rsid w:val="008B4B13"/>
    <w:rsid w:val="008B4B28"/>
    <w:rsid w:val="008B4DE1"/>
    <w:rsid w:val="008B4E79"/>
    <w:rsid w:val="008B4F3A"/>
    <w:rsid w:val="008B5005"/>
    <w:rsid w:val="008B50D5"/>
    <w:rsid w:val="008B51BC"/>
    <w:rsid w:val="008B51F9"/>
    <w:rsid w:val="008B5340"/>
    <w:rsid w:val="008B53A9"/>
    <w:rsid w:val="008B551C"/>
    <w:rsid w:val="008B554F"/>
    <w:rsid w:val="008B5551"/>
    <w:rsid w:val="008B56B2"/>
    <w:rsid w:val="008B5720"/>
    <w:rsid w:val="008B582F"/>
    <w:rsid w:val="008B5BF9"/>
    <w:rsid w:val="008B5CA0"/>
    <w:rsid w:val="008B5E9D"/>
    <w:rsid w:val="008B5ED5"/>
    <w:rsid w:val="008B5EF3"/>
    <w:rsid w:val="008B5F69"/>
    <w:rsid w:val="008B600C"/>
    <w:rsid w:val="008B603F"/>
    <w:rsid w:val="008B6149"/>
    <w:rsid w:val="008B61E9"/>
    <w:rsid w:val="008B635F"/>
    <w:rsid w:val="008B64C5"/>
    <w:rsid w:val="008B668F"/>
    <w:rsid w:val="008B6778"/>
    <w:rsid w:val="008B67DF"/>
    <w:rsid w:val="008B6802"/>
    <w:rsid w:val="008B6834"/>
    <w:rsid w:val="008B68AD"/>
    <w:rsid w:val="008B68EF"/>
    <w:rsid w:val="008B69E3"/>
    <w:rsid w:val="008B6A43"/>
    <w:rsid w:val="008B6C34"/>
    <w:rsid w:val="008B6C72"/>
    <w:rsid w:val="008B6CBB"/>
    <w:rsid w:val="008B6DA5"/>
    <w:rsid w:val="008B6DC4"/>
    <w:rsid w:val="008B6E72"/>
    <w:rsid w:val="008B6EE1"/>
    <w:rsid w:val="008B6EE9"/>
    <w:rsid w:val="008B6FDB"/>
    <w:rsid w:val="008B71A0"/>
    <w:rsid w:val="008B71C8"/>
    <w:rsid w:val="008B7241"/>
    <w:rsid w:val="008B7272"/>
    <w:rsid w:val="008B72B8"/>
    <w:rsid w:val="008B742F"/>
    <w:rsid w:val="008B74DD"/>
    <w:rsid w:val="008B7580"/>
    <w:rsid w:val="008B75E8"/>
    <w:rsid w:val="008B76D8"/>
    <w:rsid w:val="008B7708"/>
    <w:rsid w:val="008B7B40"/>
    <w:rsid w:val="008B7B52"/>
    <w:rsid w:val="008B7D4C"/>
    <w:rsid w:val="008B7D7E"/>
    <w:rsid w:val="008B7EC4"/>
    <w:rsid w:val="008B7FC5"/>
    <w:rsid w:val="008C0023"/>
    <w:rsid w:val="008C0043"/>
    <w:rsid w:val="008C0108"/>
    <w:rsid w:val="008C020B"/>
    <w:rsid w:val="008C0488"/>
    <w:rsid w:val="008C057B"/>
    <w:rsid w:val="008C075F"/>
    <w:rsid w:val="008C0822"/>
    <w:rsid w:val="008C0906"/>
    <w:rsid w:val="008C0A3B"/>
    <w:rsid w:val="008C0AE0"/>
    <w:rsid w:val="008C0BFC"/>
    <w:rsid w:val="008C0D90"/>
    <w:rsid w:val="008C0DD3"/>
    <w:rsid w:val="008C0EFF"/>
    <w:rsid w:val="008C0F0C"/>
    <w:rsid w:val="008C108A"/>
    <w:rsid w:val="008C1097"/>
    <w:rsid w:val="008C119D"/>
    <w:rsid w:val="008C11E8"/>
    <w:rsid w:val="008C1287"/>
    <w:rsid w:val="008C13D7"/>
    <w:rsid w:val="008C1545"/>
    <w:rsid w:val="008C1572"/>
    <w:rsid w:val="008C165F"/>
    <w:rsid w:val="008C1693"/>
    <w:rsid w:val="008C16CF"/>
    <w:rsid w:val="008C1722"/>
    <w:rsid w:val="008C1741"/>
    <w:rsid w:val="008C17B8"/>
    <w:rsid w:val="008C17DD"/>
    <w:rsid w:val="008C1807"/>
    <w:rsid w:val="008C19DB"/>
    <w:rsid w:val="008C1B85"/>
    <w:rsid w:val="008C1BD7"/>
    <w:rsid w:val="008C1CDE"/>
    <w:rsid w:val="008C1D2F"/>
    <w:rsid w:val="008C1DB0"/>
    <w:rsid w:val="008C1DFF"/>
    <w:rsid w:val="008C1E74"/>
    <w:rsid w:val="008C1E97"/>
    <w:rsid w:val="008C1F67"/>
    <w:rsid w:val="008C2007"/>
    <w:rsid w:val="008C2057"/>
    <w:rsid w:val="008C2073"/>
    <w:rsid w:val="008C2494"/>
    <w:rsid w:val="008C24D9"/>
    <w:rsid w:val="008C24ED"/>
    <w:rsid w:val="008C2516"/>
    <w:rsid w:val="008C2580"/>
    <w:rsid w:val="008C258A"/>
    <w:rsid w:val="008C28E1"/>
    <w:rsid w:val="008C2907"/>
    <w:rsid w:val="008C2CA1"/>
    <w:rsid w:val="008C2D45"/>
    <w:rsid w:val="008C2D8F"/>
    <w:rsid w:val="008C2DE2"/>
    <w:rsid w:val="008C30AC"/>
    <w:rsid w:val="008C3107"/>
    <w:rsid w:val="008C311B"/>
    <w:rsid w:val="008C3138"/>
    <w:rsid w:val="008C33E8"/>
    <w:rsid w:val="008C3484"/>
    <w:rsid w:val="008C34B7"/>
    <w:rsid w:val="008C353B"/>
    <w:rsid w:val="008C3566"/>
    <w:rsid w:val="008C3591"/>
    <w:rsid w:val="008C3676"/>
    <w:rsid w:val="008C3678"/>
    <w:rsid w:val="008C36B6"/>
    <w:rsid w:val="008C3750"/>
    <w:rsid w:val="008C38EA"/>
    <w:rsid w:val="008C394D"/>
    <w:rsid w:val="008C39F8"/>
    <w:rsid w:val="008C3A6B"/>
    <w:rsid w:val="008C3B11"/>
    <w:rsid w:val="008C3BD1"/>
    <w:rsid w:val="008C3DDB"/>
    <w:rsid w:val="008C3E15"/>
    <w:rsid w:val="008C3E32"/>
    <w:rsid w:val="008C3E6F"/>
    <w:rsid w:val="008C3EDE"/>
    <w:rsid w:val="008C3FF1"/>
    <w:rsid w:val="008C4032"/>
    <w:rsid w:val="008C4083"/>
    <w:rsid w:val="008C41AD"/>
    <w:rsid w:val="008C42A6"/>
    <w:rsid w:val="008C42D2"/>
    <w:rsid w:val="008C42E0"/>
    <w:rsid w:val="008C4307"/>
    <w:rsid w:val="008C442C"/>
    <w:rsid w:val="008C4510"/>
    <w:rsid w:val="008C4643"/>
    <w:rsid w:val="008C47AD"/>
    <w:rsid w:val="008C47D2"/>
    <w:rsid w:val="008C48F1"/>
    <w:rsid w:val="008C4908"/>
    <w:rsid w:val="008C4B03"/>
    <w:rsid w:val="008C4B4C"/>
    <w:rsid w:val="008C4C17"/>
    <w:rsid w:val="008C4CCD"/>
    <w:rsid w:val="008C4D7F"/>
    <w:rsid w:val="008C4DEE"/>
    <w:rsid w:val="008C4F17"/>
    <w:rsid w:val="008C505B"/>
    <w:rsid w:val="008C520C"/>
    <w:rsid w:val="008C5243"/>
    <w:rsid w:val="008C545E"/>
    <w:rsid w:val="008C5468"/>
    <w:rsid w:val="008C5516"/>
    <w:rsid w:val="008C553C"/>
    <w:rsid w:val="008C5648"/>
    <w:rsid w:val="008C56ED"/>
    <w:rsid w:val="008C585F"/>
    <w:rsid w:val="008C586F"/>
    <w:rsid w:val="008C596D"/>
    <w:rsid w:val="008C59A2"/>
    <w:rsid w:val="008C5F5D"/>
    <w:rsid w:val="008C5F62"/>
    <w:rsid w:val="008C6394"/>
    <w:rsid w:val="008C6477"/>
    <w:rsid w:val="008C6632"/>
    <w:rsid w:val="008C6637"/>
    <w:rsid w:val="008C663B"/>
    <w:rsid w:val="008C68AA"/>
    <w:rsid w:val="008C693B"/>
    <w:rsid w:val="008C6C89"/>
    <w:rsid w:val="008C6E75"/>
    <w:rsid w:val="008C6FA1"/>
    <w:rsid w:val="008C70A8"/>
    <w:rsid w:val="008C70AF"/>
    <w:rsid w:val="008C7298"/>
    <w:rsid w:val="008C75A1"/>
    <w:rsid w:val="008C7672"/>
    <w:rsid w:val="008C776D"/>
    <w:rsid w:val="008C7937"/>
    <w:rsid w:val="008C7CC3"/>
    <w:rsid w:val="008C7E28"/>
    <w:rsid w:val="008C7EE9"/>
    <w:rsid w:val="008C7F04"/>
    <w:rsid w:val="008C7F29"/>
    <w:rsid w:val="008C7F71"/>
    <w:rsid w:val="008D01C0"/>
    <w:rsid w:val="008D0284"/>
    <w:rsid w:val="008D02F7"/>
    <w:rsid w:val="008D0363"/>
    <w:rsid w:val="008D0413"/>
    <w:rsid w:val="008D042C"/>
    <w:rsid w:val="008D0606"/>
    <w:rsid w:val="008D0667"/>
    <w:rsid w:val="008D0683"/>
    <w:rsid w:val="008D06E7"/>
    <w:rsid w:val="008D0713"/>
    <w:rsid w:val="008D07A3"/>
    <w:rsid w:val="008D099F"/>
    <w:rsid w:val="008D09AB"/>
    <w:rsid w:val="008D0C14"/>
    <w:rsid w:val="008D0C32"/>
    <w:rsid w:val="008D0C92"/>
    <w:rsid w:val="008D0CB7"/>
    <w:rsid w:val="008D0E51"/>
    <w:rsid w:val="008D0F08"/>
    <w:rsid w:val="008D0F1E"/>
    <w:rsid w:val="008D117C"/>
    <w:rsid w:val="008D117D"/>
    <w:rsid w:val="008D11EB"/>
    <w:rsid w:val="008D13E3"/>
    <w:rsid w:val="008D1525"/>
    <w:rsid w:val="008D15B0"/>
    <w:rsid w:val="008D1607"/>
    <w:rsid w:val="008D168E"/>
    <w:rsid w:val="008D170A"/>
    <w:rsid w:val="008D1785"/>
    <w:rsid w:val="008D17BF"/>
    <w:rsid w:val="008D1853"/>
    <w:rsid w:val="008D19DD"/>
    <w:rsid w:val="008D1A26"/>
    <w:rsid w:val="008D1AD5"/>
    <w:rsid w:val="008D1B44"/>
    <w:rsid w:val="008D1C1B"/>
    <w:rsid w:val="008D1CAF"/>
    <w:rsid w:val="008D1CBC"/>
    <w:rsid w:val="008D1CEC"/>
    <w:rsid w:val="008D1DA4"/>
    <w:rsid w:val="008D1DC5"/>
    <w:rsid w:val="008D1DE7"/>
    <w:rsid w:val="008D1FC0"/>
    <w:rsid w:val="008D2223"/>
    <w:rsid w:val="008D2395"/>
    <w:rsid w:val="008D24BC"/>
    <w:rsid w:val="008D253F"/>
    <w:rsid w:val="008D255B"/>
    <w:rsid w:val="008D2728"/>
    <w:rsid w:val="008D2864"/>
    <w:rsid w:val="008D28D0"/>
    <w:rsid w:val="008D2905"/>
    <w:rsid w:val="008D297D"/>
    <w:rsid w:val="008D2982"/>
    <w:rsid w:val="008D2B74"/>
    <w:rsid w:val="008D2D08"/>
    <w:rsid w:val="008D2E0C"/>
    <w:rsid w:val="008D2E1E"/>
    <w:rsid w:val="008D3246"/>
    <w:rsid w:val="008D3685"/>
    <w:rsid w:val="008D3743"/>
    <w:rsid w:val="008D381C"/>
    <w:rsid w:val="008D3851"/>
    <w:rsid w:val="008D38A9"/>
    <w:rsid w:val="008D38B7"/>
    <w:rsid w:val="008D3A4A"/>
    <w:rsid w:val="008D3B86"/>
    <w:rsid w:val="008D3C2B"/>
    <w:rsid w:val="008D3C2F"/>
    <w:rsid w:val="008D3DBE"/>
    <w:rsid w:val="008D3E30"/>
    <w:rsid w:val="008D3EA6"/>
    <w:rsid w:val="008D3F18"/>
    <w:rsid w:val="008D3F45"/>
    <w:rsid w:val="008D3F9A"/>
    <w:rsid w:val="008D3FBF"/>
    <w:rsid w:val="008D3FC7"/>
    <w:rsid w:val="008D4071"/>
    <w:rsid w:val="008D418A"/>
    <w:rsid w:val="008D4192"/>
    <w:rsid w:val="008D454C"/>
    <w:rsid w:val="008D465E"/>
    <w:rsid w:val="008D4664"/>
    <w:rsid w:val="008D4787"/>
    <w:rsid w:val="008D4794"/>
    <w:rsid w:val="008D482B"/>
    <w:rsid w:val="008D4A32"/>
    <w:rsid w:val="008D4AE1"/>
    <w:rsid w:val="008D4D5A"/>
    <w:rsid w:val="008D4D66"/>
    <w:rsid w:val="008D4DB2"/>
    <w:rsid w:val="008D4DBF"/>
    <w:rsid w:val="008D4E80"/>
    <w:rsid w:val="008D5057"/>
    <w:rsid w:val="008D5388"/>
    <w:rsid w:val="008D53EB"/>
    <w:rsid w:val="008D54C4"/>
    <w:rsid w:val="008D5636"/>
    <w:rsid w:val="008D5764"/>
    <w:rsid w:val="008D57F0"/>
    <w:rsid w:val="008D580F"/>
    <w:rsid w:val="008D5849"/>
    <w:rsid w:val="008D58D5"/>
    <w:rsid w:val="008D59D3"/>
    <w:rsid w:val="008D5AAB"/>
    <w:rsid w:val="008D5CC9"/>
    <w:rsid w:val="008D5D25"/>
    <w:rsid w:val="008D5D93"/>
    <w:rsid w:val="008D5E67"/>
    <w:rsid w:val="008D5F2F"/>
    <w:rsid w:val="008D601D"/>
    <w:rsid w:val="008D61FD"/>
    <w:rsid w:val="008D6244"/>
    <w:rsid w:val="008D6319"/>
    <w:rsid w:val="008D6358"/>
    <w:rsid w:val="008D6408"/>
    <w:rsid w:val="008D642E"/>
    <w:rsid w:val="008D678E"/>
    <w:rsid w:val="008D679E"/>
    <w:rsid w:val="008D68DF"/>
    <w:rsid w:val="008D6A33"/>
    <w:rsid w:val="008D6CCA"/>
    <w:rsid w:val="008D6E57"/>
    <w:rsid w:val="008D6E89"/>
    <w:rsid w:val="008D6E95"/>
    <w:rsid w:val="008D7043"/>
    <w:rsid w:val="008D7070"/>
    <w:rsid w:val="008D7088"/>
    <w:rsid w:val="008D7367"/>
    <w:rsid w:val="008D749B"/>
    <w:rsid w:val="008D74AD"/>
    <w:rsid w:val="008D7549"/>
    <w:rsid w:val="008D76E1"/>
    <w:rsid w:val="008D76FB"/>
    <w:rsid w:val="008D772B"/>
    <w:rsid w:val="008D7AEE"/>
    <w:rsid w:val="008D7D7C"/>
    <w:rsid w:val="008D7E20"/>
    <w:rsid w:val="008D7E5C"/>
    <w:rsid w:val="008D7E8C"/>
    <w:rsid w:val="008D7FFC"/>
    <w:rsid w:val="008E0064"/>
    <w:rsid w:val="008E0066"/>
    <w:rsid w:val="008E007A"/>
    <w:rsid w:val="008E02B9"/>
    <w:rsid w:val="008E035C"/>
    <w:rsid w:val="008E037D"/>
    <w:rsid w:val="008E03D0"/>
    <w:rsid w:val="008E07AD"/>
    <w:rsid w:val="008E090B"/>
    <w:rsid w:val="008E0A8B"/>
    <w:rsid w:val="008E0AEC"/>
    <w:rsid w:val="008E0B05"/>
    <w:rsid w:val="008E0B68"/>
    <w:rsid w:val="008E0CBE"/>
    <w:rsid w:val="008E0EA9"/>
    <w:rsid w:val="008E1088"/>
    <w:rsid w:val="008E10E2"/>
    <w:rsid w:val="008E110F"/>
    <w:rsid w:val="008E1175"/>
    <w:rsid w:val="008E11AD"/>
    <w:rsid w:val="008E1270"/>
    <w:rsid w:val="008E140C"/>
    <w:rsid w:val="008E1440"/>
    <w:rsid w:val="008E1461"/>
    <w:rsid w:val="008E1510"/>
    <w:rsid w:val="008E1580"/>
    <w:rsid w:val="008E165E"/>
    <w:rsid w:val="008E16E5"/>
    <w:rsid w:val="008E1842"/>
    <w:rsid w:val="008E1936"/>
    <w:rsid w:val="008E1938"/>
    <w:rsid w:val="008E1A30"/>
    <w:rsid w:val="008E1A95"/>
    <w:rsid w:val="008E1AB2"/>
    <w:rsid w:val="008E1F8C"/>
    <w:rsid w:val="008E2021"/>
    <w:rsid w:val="008E219C"/>
    <w:rsid w:val="008E222E"/>
    <w:rsid w:val="008E2248"/>
    <w:rsid w:val="008E2429"/>
    <w:rsid w:val="008E25C8"/>
    <w:rsid w:val="008E25DA"/>
    <w:rsid w:val="008E2631"/>
    <w:rsid w:val="008E269A"/>
    <w:rsid w:val="008E2768"/>
    <w:rsid w:val="008E278B"/>
    <w:rsid w:val="008E286F"/>
    <w:rsid w:val="008E29D7"/>
    <w:rsid w:val="008E2BCD"/>
    <w:rsid w:val="008E2D11"/>
    <w:rsid w:val="008E2EF2"/>
    <w:rsid w:val="008E2F52"/>
    <w:rsid w:val="008E2FE3"/>
    <w:rsid w:val="008E30D7"/>
    <w:rsid w:val="008E319C"/>
    <w:rsid w:val="008E3387"/>
    <w:rsid w:val="008E34B3"/>
    <w:rsid w:val="008E357B"/>
    <w:rsid w:val="008E362E"/>
    <w:rsid w:val="008E3697"/>
    <w:rsid w:val="008E36AB"/>
    <w:rsid w:val="008E3754"/>
    <w:rsid w:val="008E3798"/>
    <w:rsid w:val="008E38CB"/>
    <w:rsid w:val="008E3900"/>
    <w:rsid w:val="008E397A"/>
    <w:rsid w:val="008E3A3F"/>
    <w:rsid w:val="008E3C08"/>
    <w:rsid w:val="008E3D0C"/>
    <w:rsid w:val="008E3F12"/>
    <w:rsid w:val="008E4031"/>
    <w:rsid w:val="008E406D"/>
    <w:rsid w:val="008E414E"/>
    <w:rsid w:val="008E4165"/>
    <w:rsid w:val="008E4592"/>
    <w:rsid w:val="008E47D0"/>
    <w:rsid w:val="008E48B8"/>
    <w:rsid w:val="008E49F3"/>
    <w:rsid w:val="008E4BB7"/>
    <w:rsid w:val="008E4BFC"/>
    <w:rsid w:val="008E4F85"/>
    <w:rsid w:val="008E4FA5"/>
    <w:rsid w:val="008E5219"/>
    <w:rsid w:val="008E5520"/>
    <w:rsid w:val="008E55DB"/>
    <w:rsid w:val="008E562E"/>
    <w:rsid w:val="008E564F"/>
    <w:rsid w:val="008E5665"/>
    <w:rsid w:val="008E5723"/>
    <w:rsid w:val="008E577B"/>
    <w:rsid w:val="008E585C"/>
    <w:rsid w:val="008E58C3"/>
    <w:rsid w:val="008E5956"/>
    <w:rsid w:val="008E5C53"/>
    <w:rsid w:val="008E5D96"/>
    <w:rsid w:val="008E5ED1"/>
    <w:rsid w:val="008E630A"/>
    <w:rsid w:val="008E68CA"/>
    <w:rsid w:val="008E69CD"/>
    <w:rsid w:val="008E69D8"/>
    <w:rsid w:val="008E6A20"/>
    <w:rsid w:val="008E6A58"/>
    <w:rsid w:val="008E6B9D"/>
    <w:rsid w:val="008E6D34"/>
    <w:rsid w:val="008E6F1A"/>
    <w:rsid w:val="008E70CE"/>
    <w:rsid w:val="008E7139"/>
    <w:rsid w:val="008E71E4"/>
    <w:rsid w:val="008E7247"/>
    <w:rsid w:val="008E727A"/>
    <w:rsid w:val="008E738E"/>
    <w:rsid w:val="008E74E7"/>
    <w:rsid w:val="008E7574"/>
    <w:rsid w:val="008E75F1"/>
    <w:rsid w:val="008E77AA"/>
    <w:rsid w:val="008E784A"/>
    <w:rsid w:val="008E78BC"/>
    <w:rsid w:val="008E797D"/>
    <w:rsid w:val="008E7AF8"/>
    <w:rsid w:val="008F005E"/>
    <w:rsid w:val="008F0060"/>
    <w:rsid w:val="008F0219"/>
    <w:rsid w:val="008F029A"/>
    <w:rsid w:val="008F042E"/>
    <w:rsid w:val="008F056E"/>
    <w:rsid w:val="008F063E"/>
    <w:rsid w:val="008F08C4"/>
    <w:rsid w:val="008F08F7"/>
    <w:rsid w:val="008F097D"/>
    <w:rsid w:val="008F0A6E"/>
    <w:rsid w:val="008F0B37"/>
    <w:rsid w:val="008F0CCE"/>
    <w:rsid w:val="008F0CE1"/>
    <w:rsid w:val="008F0D10"/>
    <w:rsid w:val="008F0E19"/>
    <w:rsid w:val="008F0E3E"/>
    <w:rsid w:val="008F0E70"/>
    <w:rsid w:val="008F0E9D"/>
    <w:rsid w:val="008F0F55"/>
    <w:rsid w:val="008F0FB8"/>
    <w:rsid w:val="008F10D0"/>
    <w:rsid w:val="008F112A"/>
    <w:rsid w:val="008F135C"/>
    <w:rsid w:val="008F13BE"/>
    <w:rsid w:val="008F1495"/>
    <w:rsid w:val="008F14E5"/>
    <w:rsid w:val="008F16A8"/>
    <w:rsid w:val="008F16FB"/>
    <w:rsid w:val="008F17BC"/>
    <w:rsid w:val="008F17E9"/>
    <w:rsid w:val="008F184E"/>
    <w:rsid w:val="008F18A5"/>
    <w:rsid w:val="008F1A66"/>
    <w:rsid w:val="008F1B2F"/>
    <w:rsid w:val="008F1B42"/>
    <w:rsid w:val="008F1B74"/>
    <w:rsid w:val="008F1C9F"/>
    <w:rsid w:val="008F1CCC"/>
    <w:rsid w:val="008F1D67"/>
    <w:rsid w:val="008F1DBE"/>
    <w:rsid w:val="008F1EBC"/>
    <w:rsid w:val="008F207C"/>
    <w:rsid w:val="008F20FE"/>
    <w:rsid w:val="008F211A"/>
    <w:rsid w:val="008F2144"/>
    <w:rsid w:val="008F21FB"/>
    <w:rsid w:val="008F228B"/>
    <w:rsid w:val="008F228F"/>
    <w:rsid w:val="008F236F"/>
    <w:rsid w:val="008F240C"/>
    <w:rsid w:val="008F2486"/>
    <w:rsid w:val="008F24B9"/>
    <w:rsid w:val="008F24FD"/>
    <w:rsid w:val="008F259B"/>
    <w:rsid w:val="008F26CF"/>
    <w:rsid w:val="008F27B6"/>
    <w:rsid w:val="008F2AE0"/>
    <w:rsid w:val="008F2B10"/>
    <w:rsid w:val="008F2C38"/>
    <w:rsid w:val="008F2C4C"/>
    <w:rsid w:val="008F2CF2"/>
    <w:rsid w:val="008F2D9A"/>
    <w:rsid w:val="008F2E6D"/>
    <w:rsid w:val="008F312F"/>
    <w:rsid w:val="008F31C1"/>
    <w:rsid w:val="008F325D"/>
    <w:rsid w:val="008F32DE"/>
    <w:rsid w:val="008F33B9"/>
    <w:rsid w:val="008F3466"/>
    <w:rsid w:val="008F356A"/>
    <w:rsid w:val="008F35C1"/>
    <w:rsid w:val="008F3722"/>
    <w:rsid w:val="008F376C"/>
    <w:rsid w:val="008F377D"/>
    <w:rsid w:val="008F386D"/>
    <w:rsid w:val="008F39EA"/>
    <w:rsid w:val="008F3AF9"/>
    <w:rsid w:val="008F3B72"/>
    <w:rsid w:val="008F3BAB"/>
    <w:rsid w:val="008F3CBD"/>
    <w:rsid w:val="008F3D60"/>
    <w:rsid w:val="008F3E43"/>
    <w:rsid w:val="008F3F46"/>
    <w:rsid w:val="008F3FA6"/>
    <w:rsid w:val="008F402D"/>
    <w:rsid w:val="008F4089"/>
    <w:rsid w:val="008F40FE"/>
    <w:rsid w:val="008F41E1"/>
    <w:rsid w:val="008F4218"/>
    <w:rsid w:val="008F4287"/>
    <w:rsid w:val="008F42F1"/>
    <w:rsid w:val="008F431D"/>
    <w:rsid w:val="008F452F"/>
    <w:rsid w:val="008F453F"/>
    <w:rsid w:val="008F463F"/>
    <w:rsid w:val="008F4716"/>
    <w:rsid w:val="008F479C"/>
    <w:rsid w:val="008F47CB"/>
    <w:rsid w:val="008F499A"/>
    <w:rsid w:val="008F4B07"/>
    <w:rsid w:val="008F4B2D"/>
    <w:rsid w:val="008F4B52"/>
    <w:rsid w:val="008F4D07"/>
    <w:rsid w:val="008F4D2D"/>
    <w:rsid w:val="008F4EA9"/>
    <w:rsid w:val="008F4F24"/>
    <w:rsid w:val="008F4FB4"/>
    <w:rsid w:val="008F51B7"/>
    <w:rsid w:val="008F52D3"/>
    <w:rsid w:val="008F536D"/>
    <w:rsid w:val="008F546C"/>
    <w:rsid w:val="008F5583"/>
    <w:rsid w:val="008F558B"/>
    <w:rsid w:val="008F55EE"/>
    <w:rsid w:val="008F562B"/>
    <w:rsid w:val="008F5741"/>
    <w:rsid w:val="008F583C"/>
    <w:rsid w:val="008F58B9"/>
    <w:rsid w:val="008F58E3"/>
    <w:rsid w:val="008F5958"/>
    <w:rsid w:val="008F597F"/>
    <w:rsid w:val="008F5A3D"/>
    <w:rsid w:val="008F5C69"/>
    <w:rsid w:val="008F5DE4"/>
    <w:rsid w:val="008F5EFA"/>
    <w:rsid w:val="008F5F63"/>
    <w:rsid w:val="008F615E"/>
    <w:rsid w:val="008F61E7"/>
    <w:rsid w:val="008F6216"/>
    <w:rsid w:val="008F625A"/>
    <w:rsid w:val="008F6336"/>
    <w:rsid w:val="008F6588"/>
    <w:rsid w:val="008F6664"/>
    <w:rsid w:val="008F66E5"/>
    <w:rsid w:val="008F6853"/>
    <w:rsid w:val="008F687B"/>
    <w:rsid w:val="008F68C1"/>
    <w:rsid w:val="008F68D9"/>
    <w:rsid w:val="008F696A"/>
    <w:rsid w:val="008F69AF"/>
    <w:rsid w:val="008F6A60"/>
    <w:rsid w:val="008F6A7A"/>
    <w:rsid w:val="008F6B02"/>
    <w:rsid w:val="008F6B38"/>
    <w:rsid w:val="008F6E59"/>
    <w:rsid w:val="008F6EB7"/>
    <w:rsid w:val="008F6EF6"/>
    <w:rsid w:val="008F6F9A"/>
    <w:rsid w:val="008F7009"/>
    <w:rsid w:val="008F7052"/>
    <w:rsid w:val="008F7124"/>
    <w:rsid w:val="008F71B0"/>
    <w:rsid w:val="008F71DA"/>
    <w:rsid w:val="008F749C"/>
    <w:rsid w:val="008F7625"/>
    <w:rsid w:val="008F7626"/>
    <w:rsid w:val="008F7807"/>
    <w:rsid w:val="008F782E"/>
    <w:rsid w:val="008F799D"/>
    <w:rsid w:val="008F7A25"/>
    <w:rsid w:val="008F7BBE"/>
    <w:rsid w:val="008F7E4C"/>
    <w:rsid w:val="008F7F7B"/>
    <w:rsid w:val="0090006A"/>
    <w:rsid w:val="00900141"/>
    <w:rsid w:val="00900347"/>
    <w:rsid w:val="009003C3"/>
    <w:rsid w:val="009004E4"/>
    <w:rsid w:val="009005B7"/>
    <w:rsid w:val="00900684"/>
    <w:rsid w:val="0090072D"/>
    <w:rsid w:val="00900A47"/>
    <w:rsid w:val="00900B61"/>
    <w:rsid w:val="00900BD5"/>
    <w:rsid w:val="00900CD5"/>
    <w:rsid w:val="00900D13"/>
    <w:rsid w:val="00900D7F"/>
    <w:rsid w:val="00900D91"/>
    <w:rsid w:val="00900E04"/>
    <w:rsid w:val="009010F5"/>
    <w:rsid w:val="009011A7"/>
    <w:rsid w:val="0090131B"/>
    <w:rsid w:val="00901330"/>
    <w:rsid w:val="0090135D"/>
    <w:rsid w:val="00901428"/>
    <w:rsid w:val="009014DF"/>
    <w:rsid w:val="009014FE"/>
    <w:rsid w:val="00901635"/>
    <w:rsid w:val="009016A9"/>
    <w:rsid w:val="00901779"/>
    <w:rsid w:val="00901911"/>
    <w:rsid w:val="009019A7"/>
    <w:rsid w:val="00901B7E"/>
    <w:rsid w:val="00901C67"/>
    <w:rsid w:val="00901DAD"/>
    <w:rsid w:val="00901DC9"/>
    <w:rsid w:val="00901F12"/>
    <w:rsid w:val="00901FC5"/>
    <w:rsid w:val="0090200B"/>
    <w:rsid w:val="0090203E"/>
    <w:rsid w:val="0090224B"/>
    <w:rsid w:val="009022B2"/>
    <w:rsid w:val="00902857"/>
    <w:rsid w:val="00902959"/>
    <w:rsid w:val="00902A1C"/>
    <w:rsid w:val="00902B45"/>
    <w:rsid w:val="00902C1E"/>
    <w:rsid w:val="00902E56"/>
    <w:rsid w:val="009030EB"/>
    <w:rsid w:val="00903188"/>
    <w:rsid w:val="009031FA"/>
    <w:rsid w:val="0090320E"/>
    <w:rsid w:val="0090335E"/>
    <w:rsid w:val="00903391"/>
    <w:rsid w:val="009033B9"/>
    <w:rsid w:val="009033BB"/>
    <w:rsid w:val="00903400"/>
    <w:rsid w:val="00903437"/>
    <w:rsid w:val="00903445"/>
    <w:rsid w:val="009035CA"/>
    <w:rsid w:val="0090360B"/>
    <w:rsid w:val="00903644"/>
    <w:rsid w:val="009036EC"/>
    <w:rsid w:val="009037A4"/>
    <w:rsid w:val="009037CD"/>
    <w:rsid w:val="009037D3"/>
    <w:rsid w:val="00903898"/>
    <w:rsid w:val="009038F3"/>
    <w:rsid w:val="0090393E"/>
    <w:rsid w:val="00903967"/>
    <w:rsid w:val="00903A59"/>
    <w:rsid w:val="00903BDE"/>
    <w:rsid w:val="00903BE7"/>
    <w:rsid w:val="00903EB7"/>
    <w:rsid w:val="00903F2D"/>
    <w:rsid w:val="00903F8C"/>
    <w:rsid w:val="0090435A"/>
    <w:rsid w:val="009044B6"/>
    <w:rsid w:val="00904569"/>
    <w:rsid w:val="00904576"/>
    <w:rsid w:val="00904580"/>
    <w:rsid w:val="0090460E"/>
    <w:rsid w:val="009046F0"/>
    <w:rsid w:val="00904789"/>
    <w:rsid w:val="009047F5"/>
    <w:rsid w:val="00904882"/>
    <w:rsid w:val="00904918"/>
    <w:rsid w:val="009049B4"/>
    <w:rsid w:val="009049CF"/>
    <w:rsid w:val="00904A19"/>
    <w:rsid w:val="00904B02"/>
    <w:rsid w:val="00904B7D"/>
    <w:rsid w:val="00904B81"/>
    <w:rsid w:val="00904CA5"/>
    <w:rsid w:val="00904DEC"/>
    <w:rsid w:val="00904EF8"/>
    <w:rsid w:val="00904F12"/>
    <w:rsid w:val="00905266"/>
    <w:rsid w:val="0090545E"/>
    <w:rsid w:val="0090555E"/>
    <w:rsid w:val="009056F0"/>
    <w:rsid w:val="00905893"/>
    <w:rsid w:val="0090591B"/>
    <w:rsid w:val="009059E6"/>
    <w:rsid w:val="00905A1C"/>
    <w:rsid w:val="00905A58"/>
    <w:rsid w:val="00905AD9"/>
    <w:rsid w:val="00905E53"/>
    <w:rsid w:val="00905F87"/>
    <w:rsid w:val="0090628C"/>
    <w:rsid w:val="00906405"/>
    <w:rsid w:val="009065D1"/>
    <w:rsid w:val="00906765"/>
    <w:rsid w:val="0090696F"/>
    <w:rsid w:val="009069C6"/>
    <w:rsid w:val="00906B18"/>
    <w:rsid w:val="00906D41"/>
    <w:rsid w:val="00906FAD"/>
    <w:rsid w:val="00906FCF"/>
    <w:rsid w:val="00906FEE"/>
    <w:rsid w:val="00906FF5"/>
    <w:rsid w:val="00907074"/>
    <w:rsid w:val="00907153"/>
    <w:rsid w:val="009073D9"/>
    <w:rsid w:val="009074C8"/>
    <w:rsid w:val="00907584"/>
    <w:rsid w:val="00907712"/>
    <w:rsid w:val="00907855"/>
    <w:rsid w:val="009078FB"/>
    <w:rsid w:val="00907988"/>
    <w:rsid w:val="009079C1"/>
    <w:rsid w:val="00907AA2"/>
    <w:rsid w:val="00907B4D"/>
    <w:rsid w:val="00907D75"/>
    <w:rsid w:val="00907ECC"/>
    <w:rsid w:val="00907F14"/>
    <w:rsid w:val="009100C3"/>
    <w:rsid w:val="009103A8"/>
    <w:rsid w:val="0091040E"/>
    <w:rsid w:val="00910422"/>
    <w:rsid w:val="00910443"/>
    <w:rsid w:val="009106BA"/>
    <w:rsid w:val="00910707"/>
    <w:rsid w:val="00910825"/>
    <w:rsid w:val="0091098A"/>
    <w:rsid w:val="00910C49"/>
    <w:rsid w:val="00910D61"/>
    <w:rsid w:val="00910EA8"/>
    <w:rsid w:val="00910FB1"/>
    <w:rsid w:val="00910FF2"/>
    <w:rsid w:val="00911057"/>
    <w:rsid w:val="009110A2"/>
    <w:rsid w:val="009110E5"/>
    <w:rsid w:val="00911178"/>
    <w:rsid w:val="00911422"/>
    <w:rsid w:val="009115BD"/>
    <w:rsid w:val="00911667"/>
    <w:rsid w:val="009116B9"/>
    <w:rsid w:val="009118F4"/>
    <w:rsid w:val="0091193B"/>
    <w:rsid w:val="00911C42"/>
    <w:rsid w:val="00911C87"/>
    <w:rsid w:val="00911CC2"/>
    <w:rsid w:val="00911E20"/>
    <w:rsid w:val="00911E2D"/>
    <w:rsid w:val="00911F76"/>
    <w:rsid w:val="0091215B"/>
    <w:rsid w:val="009121E4"/>
    <w:rsid w:val="0091225C"/>
    <w:rsid w:val="009124E9"/>
    <w:rsid w:val="009125B2"/>
    <w:rsid w:val="0091262D"/>
    <w:rsid w:val="00912640"/>
    <w:rsid w:val="00912647"/>
    <w:rsid w:val="0091288D"/>
    <w:rsid w:val="00912944"/>
    <w:rsid w:val="00912A13"/>
    <w:rsid w:val="00912E30"/>
    <w:rsid w:val="00912E63"/>
    <w:rsid w:val="00912EA9"/>
    <w:rsid w:val="00912EB5"/>
    <w:rsid w:val="009130C8"/>
    <w:rsid w:val="0091310A"/>
    <w:rsid w:val="00913263"/>
    <w:rsid w:val="00913441"/>
    <w:rsid w:val="00913469"/>
    <w:rsid w:val="0091361B"/>
    <w:rsid w:val="00913633"/>
    <w:rsid w:val="0091388C"/>
    <w:rsid w:val="0091391A"/>
    <w:rsid w:val="00913A71"/>
    <w:rsid w:val="00913AF2"/>
    <w:rsid w:val="00913B6E"/>
    <w:rsid w:val="00913B9F"/>
    <w:rsid w:val="00913C7F"/>
    <w:rsid w:val="00913CA2"/>
    <w:rsid w:val="00913D58"/>
    <w:rsid w:val="00913D5F"/>
    <w:rsid w:val="00913EFA"/>
    <w:rsid w:val="00914186"/>
    <w:rsid w:val="00914187"/>
    <w:rsid w:val="009141D7"/>
    <w:rsid w:val="00914255"/>
    <w:rsid w:val="00914431"/>
    <w:rsid w:val="009144CC"/>
    <w:rsid w:val="009147F2"/>
    <w:rsid w:val="009148F1"/>
    <w:rsid w:val="00914A24"/>
    <w:rsid w:val="00914AF9"/>
    <w:rsid w:val="00914B3A"/>
    <w:rsid w:val="00914C76"/>
    <w:rsid w:val="00914D2A"/>
    <w:rsid w:val="00914DDB"/>
    <w:rsid w:val="00914E58"/>
    <w:rsid w:val="0091507E"/>
    <w:rsid w:val="009151ED"/>
    <w:rsid w:val="009152A6"/>
    <w:rsid w:val="009152BE"/>
    <w:rsid w:val="00915331"/>
    <w:rsid w:val="00915395"/>
    <w:rsid w:val="009154DC"/>
    <w:rsid w:val="00915587"/>
    <w:rsid w:val="009155CB"/>
    <w:rsid w:val="0091571B"/>
    <w:rsid w:val="00915829"/>
    <w:rsid w:val="00915837"/>
    <w:rsid w:val="00915A11"/>
    <w:rsid w:val="00915A32"/>
    <w:rsid w:val="00915AA7"/>
    <w:rsid w:val="00915BB6"/>
    <w:rsid w:val="00915C0E"/>
    <w:rsid w:val="00915C20"/>
    <w:rsid w:val="00915F80"/>
    <w:rsid w:val="00916205"/>
    <w:rsid w:val="00916266"/>
    <w:rsid w:val="009162BD"/>
    <w:rsid w:val="00916323"/>
    <w:rsid w:val="0091662A"/>
    <w:rsid w:val="0091663D"/>
    <w:rsid w:val="00916757"/>
    <w:rsid w:val="009168B8"/>
    <w:rsid w:val="00916912"/>
    <w:rsid w:val="009169C5"/>
    <w:rsid w:val="00916A4A"/>
    <w:rsid w:val="00916A4D"/>
    <w:rsid w:val="00916B4D"/>
    <w:rsid w:val="00916D00"/>
    <w:rsid w:val="00916D07"/>
    <w:rsid w:val="00916D40"/>
    <w:rsid w:val="00916D7E"/>
    <w:rsid w:val="00916ECB"/>
    <w:rsid w:val="00917181"/>
    <w:rsid w:val="00917260"/>
    <w:rsid w:val="0091728B"/>
    <w:rsid w:val="0091730E"/>
    <w:rsid w:val="00917569"/>
    <w:rsid w:val="0091763F"/>
    <w:rsid w:val="00917656"/>
    <w:rsid w:val="009176D6"/>
    <w:rsid w:val="00917842"/>
    <w:rsid w:val="009178E9"/>
    <w:rsid w:val="00917BBD"/>
    <w:rsid w:val="00917C1F"/>
    <w:rsid w:val="00917CFE"/>
    <w:rsid w:val="00917D57"/>
    <w:rsid w:val="00917E2E"/>
    <w:rsid w:val="00917EAF"/>
    <w:rsid w:val="00917F02"/>
    <w:rsid w:val="00917F4D"/>
    <w:rsid w:val="00920009"/>
    <w:rsid w:val="00920292"/>
    <w:rsid w:val="009203B2"/>
    <w:rsid w:val="00920448"/>
    <w:rsid w:val="009205F6"/>
    <w:rsid w:val="0092063E"/>
    <w:rsid w:val="00920726"/>
    <w:rsid w:val="00920772"/>
    <w:rsid w:val="00920796"/>
    <w:rsid w:val="00920859"/>
    <w:rsid w:val="009208ED"/>
    <w:rsid w:val="0092093E"/>
    <w:rsid w:val="009209A7"/>
    <w:rsid w:val="00920A8F"/>
    <w:rsid w:val="00920DFC"/>
    <w:rsid w:val="00920E61"/>
    <w:rsid w:val="00920F57"/>
    <w:rsid w:val="00921041"/>
    <w:rsid w:val="0092109F"/>
    <w:rsid w:val="0092118B"/>
    <w:rsid w:val="00921359"/>
    <w:rsid w:val="00921408"/>
    <w:rsid w:val="00921531"/>
    <w:rsid w:val="00921605"/>
    <w:rsid w:val="00921616"/>
    <w:rsid w:val="00921683"/>
    <w:rsid w:val="009219A9"/>
    <w:rsid w:val="00921A1D"/>
    <w:rsid w:val="00921C17"/>
    <w:rsid w:val="00921C1F"/>
    <w:rsid w:val="00921D03"/>
    <w:rsid w:val="00921D2E"/>
    <w:rsid w:val="00921D54"/>
    <w:rsid w:val="00921DCF"/>
    <w:rsid w:val="00921E1C"/>
    <w:rsid w:val="00921E22"/>
    <w:rsid w:val="00921EA5"/>
    <w:rsid w:val="00921EDA"/>
    <w:rsid w:val="00921FE9"/>
    <w:rsid w:val="0092202D"/>
    <w:rsid w:val="00922078"/>
    <w:rsid w:val="00922195"/>
    <w:rsid w:val="0092227D"/>
    <w:rsid w:val="00922322"/>
    <w:rsid w:val="0092249F"/>
    <w:rsid w:val="009225F0"/>
    <w:rsid w:val="009226C4"/>
    <w:rsid w:val="0092272A"/>
    <w:rsid w:val="0092283B"/>
    <w:rsid w:val="00922A35"/>
    <w:rsid w:val="00922AFC"/>
    <w:rsid w:val="00922BC6"/>
    <w:rsid w:val="00922C18"/>
    <w:rsid w:val="00922D76"/>
    <w:rsid w:val="00922ECB"/>
    <w:rsid w:val="00922F1B"/>
    <w:rsid w:val="00922F4C"/>
    <w:rsid w:val="0092310E"/>
    <w:rsid w:val="009231B0"/>
    <w:rsid w:val="0092321E"/>
    <w:rsid w:val="0092329C"/>
    <w:rsid w:val="00923362"/>
    <w:rsid w:val="0092336C"/>
    <w:rsid w:val="0092337E"/>
    <w:rsid w:val="009233BB"/>
    <w:rsid w:val="009235A2"/>
    <w:rsid w:val="00923683"/>
    <w:rsid w:val="0092379E"/>
    <w:rsid w:val="009237DD"/>
    <w:rsid w:val="00923878"/>
    <w:rsid w:val="009238D7"/>
    <w:rsid w:val="009238EC"/>
    <w:rsid w:val="0092391C"/>
    <w:rsid w:val="00923995"/>
    <w:rsid w:val="00923A2A"/>
    <w:rsid w:val="00923BCB"/>
    <w:rsid w:val="0092407B"/>
    <w:rsid w:val="00924331"/>
    <w:rsid w:val="00924411"/>
    <w:rsid w:val="00924432"/>
    <w:rsid w:val="00924549"/>
    <w:rsid w:val="009245FC"/>
    <w:rsid w:val="009246A3"/>
    <w:rsid w:val="00924917"/>
    <w:rsid w:val="009249B4"/>
    <w:rsid w:val="00924A22"/>
    <w:rsid w:val="00924BC7"/>
    <w:rsid w:val="00924BFD"/>
    <w:rsid w:val="00924C6C"/>
    <w:rsid w:val="00924F68"/>
    <w:rsid w:val="00924FBD"/>
    <w:rsid w:val="009250FE"/>
    <w:rsid w:val="0092529A"/>
    <w:rsid w:val="009252B5"/>
    <w:rsid w:val="009252C9"/>
    <w:rsid w:val="009254AA"/>
    <w:rsid w:val="0092558F"/>
    <w:rsid w:val="009255D6"/>
    <w:rsid w:val="009255F6"/>
    <w:rsid w:val="0092574C"/>
    <w:rsid w:val="00925840"/>
    <w:rsid w:val="00925881"/>
    <w:rsid w:val="00925A75"/>
    <w:rsid w:val="00925B09"/>
    <w:rsid w:val="00925BA7"/>
    <w:rsid w:val="00925BD9"/>
    <w:rsid w:val="00925C37"/>
    <w:rsid w:val="00925C46"/>
    <w:rsid w:val="00925E03"/>
    <w:rsid w:val="00925E39"/>
    <w:rsid w:val="00925F1F"/>
    <w:rsid w:val="0092603C"/>
    <w:rsid w:val="0092606F"/>
    <w:rsid w:val="0092621A"/>
    <w:rsid w:val="0092631C"/>
    <w:rsid w:val="00926593"/>
    <w:rsid w:val="0092666B"/>
    <w:rsid w:val="009268B1"/>
    <w:rsid w:val="009269BA"/>
    <w:rsid w:val="00926A77"/>
    <w:rsid w:val="00926C59"/>
    <w:rsid w:val="00926DBA"/>
    <w:rsid w:val="00926FB1"/>
    <w:rsid w:val="009270D6"/>
    <w:rsid w:val="009271E0"/>
    <w:rsid w:val="009272D4"/>
    <w:rsid w:val="00927402"/>
    <w:rsid w:val="00927470"/>
    <w:rsid w:val="0092749A"/>
    <w:rsid w:val="009275D3"/>
    <w:rsid w:val="00927687"/>
    <w:rsid w:val="0092769E"/>
    <w:rsid w:val="009276D5"/>
    <w:rsid w:val="009278A1"/>
    <w:rsid w:val="009278F3"/>
    <w:rsid w:val="00927943"/>
    <w:rsid w:val="00927B43"/>
    <w:rsid w:val="00927C99"/>
    <w:rsid w:val="00927D20"/>
    <w:rsid w:val="00927D60"/>
    <w:rsid w:val="00927ECE"/>
    <w:rsid w:val="00927F0D"/>
    <w:rsid w:val="009301BD"/>
    <w:rsid w:val="0093022A"/>
    <w:rsid w:val="0093040F"/>
    <w:rsid w:val="009304F5"/>
    <w:rsid w:val="00930502"/>
    <w:rsid w:val="00930647"/>
    <w:rsid w:val="0093074D"/>
    <w:rsid w:val="00930753"/>
    <w:rsid w:val="009307D8"/>
    <w:rsid w:val="009307D9"/>
    <w:rsid w:val="009308B3"/>
    <w:rsid w:val="00930908"/>
    <w:rsid w:val="00930985"/>
    <w:rsid w:val="00930ACE"/>
    <w:rsid w:val="00930B91"/>
    <w:rsid w:val="00930BB6"/>
    <w:rsid w:val="00930E0F"/>
    <w:rsid w:val="00930E69"/>
    <w:rsid w:val="00930EA7"/>
    <w:rsid w:val="00930FD5"/>
    <w:rsid w:val="00931069"/>
    <w:rsid w:val="009310F2"/>
    <w:rsid w:val="0093116E"/>
    <w:rsid w:val="009311FB"/>
    <w:rsid w:val="0093133F"/>
    <w:rsid w:val="00931432"/>
    <w:rsid w:val="00931475"/>
    <w:rsid w:val="00931576"/>
    <w:rsid w:val="009315DF"/>
    <w:rsid w:val="0093166E"/>
    <w:rsid w:val="0093179B"/>
    <w:rsid w:val="009318F7"/>
    <w:rsid w:val="00931982"/>
    <w:rsid w:val="009319F4"/>
    <w:rsid w:val="00931B28"/>
    <w:rsid w:val="00931E17"/>
    <w:rsid w:val="00932064"/>
    <w:rsid w:val="009321AF"/>
    <w:rsid w:val="0093220D"/>
    <w:rsid w:val="009322D2"/>
    <w:rsid w:val="009323C7"/>
    <w:rsid w:val="0093249D"/>
    <w:rsid w:val="009326E0"/>
    <w:rsid w:val="009327D4"/>
    <w:rsid w:val="009327EE"/>
    <w:rsid w:val="0093282D"/>
    <w:rsid w:val="00932A9A"/>
    <w:rsid w:val="00932B67"/>
    <w:rsid w:val="00932BB6"/>
    <w:rsid w:val="00932BFF"/>
    <w:rsid w:val="00932C74"/>
    <w:rsid w:val="00932CC6"/>
    <w:rsid w:val="00932D19"/>
    <w:rsid w:val="00932D33"/>
    <w:rsid w:val="00932E8C"/>
    <w:rsid w:val="00932F57"/>
    <w:rsid w:val="00933068"/>
    <w:rsid w:val="009330A2"/>
    <w:rsid w:val="0093333F"/>
    <w:rsid w:val="009333DD"/>
    <w:rsid w:val="009334A0"/>
    <w:rsid w:val="00933603"/>
    <w:rsid w:val="0093367D"/>
    <w:rsid w:val="00933A5D"/>
    <w:rsid w:val="00933B77"/>
    <w:rsid w:val="00933D87"/>
    <w:rsid w:val="00934109"/>
    <w:rsid w:val="0093414A"/>
    <w:rsid w:val="00934339"/>
    <w:rsid w:val="009343D1"/>
    <w:rsid w:val="00934627"/>
    <w:rsid w:val="00934643"/>
    <w:rsid w:val="009346BF"/>
    <w:rsid w:val="009346DB"/>
    <w:rsid w:val="00934725"/>
    <w:rsid w:val="009348CA"/>
    <w:rsid w:val="00934A18"/>
    <w:rsid w:val="00934B7B"/>
    <w:rsid w:val="00934DEA"/>
    <w:rsid w:val="00934E09"/>
    <w:rsid w:val="00934F23"/>
    <w:rsid w:val="00934FE4"/>
    <w:rsid w:val="00934FF3"/>
    <w:rsid w:val="00934FF5"/>
    <w:rsid w:val="00935148"/>
    <w:rsid w:val="0093521B"/>
    <w:rsid w:val="009352F4"/>
    <w:rsid w:val="0093534D"/>
    <w:rsid w:val="009354C3"/>
    <w:rsid w:val="009355E0"/>
    <w:rsid w:val="009355E4"/>
    <w:rsid w:val="00935974"/>
    <w:rsid w:val="00935B2B"/>
    <w:rsid w:val="00935B88"/>
    <w:rsid w:val="00935C6E"/>
    <w:rsid w:val="00935D1F"/>
    <w:rsid w:val="00935E17"/>
    <w:rsid w:val="00935F83"/>
    <w:rsid w:val="009360F3"/>
    <w:rsid w:val="00936122"/>
    <w:rsid w:val="00936132"/>
    <w:rsid w:val="00936144"/>
    <w:rsid w:val="009362D9"/>
    <w:rsid w:val="00936342"/>
    <w:rsid w:val="00936378"/>
    <w:rsid w:val="00936420"/>
    <w:rsid w:val="00936438"/>
    <w:rsid w:val="00936488"/>
    <w:rsid w:val="0093648B"/>
    <w:rsid w:val="009364C0"/>
    <w:rsid w:val="0093666D"/>
    <w:rsid w:val="009366CD"/>
    <w:rsid w:val="009366CE"/>
    <w:rsid w:val="0093676E"/>
    <w:rsid w:val="00936782"/>
    <w:rsid w:val="00936954"/>
    <w:rsid w:val="00936A7F"/>
    <w:rsid w:val="00936B76"/>
    <w:rsid w:val="00936BE4"/>
    <w:rsid w:val="00936BEB"/>
    <w:rsid w:val="00936C40"/>
    <w:rsid w:val="00936CEF"/>
    <w:rsid w:val="00936D2A"/>
    <w:rsid w:val="00936DB6"/>
    <w:rsid w:val="00936EFA"/>
    <w:rsid w:val="00936F52"/>
    <w:rsid w:val="00937006"/>
    <w:rsid w:val="0093701F"/>
    <w:rsid w:val="0093703D"/>
    <w:rsid w:val="00937067"/>
    <w:rsid w:val="009371BA"/>
    <w:rsid w:val="00937346"/>
    <w:rsid w:val="00937368"/>
    <w:rsid w:val="00937472"/>
    <w:rsid w:val="00937490"/>
    <w:rsid w:val="009374CD"/>
    <w:rsid w:val="00937545"/>
    <w:rsid w:val="00937567"/>
    <w:rsid w:val="0093770B"/>
    <w:rsid w:val="00937717"/>
    <w:rsid w:val="00937BCD"/>
    <w:rsid w:val="00937C4B"/>
    <w:rsid w:val="00937DDD"/>
    <w:rsid w:val="00937EFA"/>
    <w:rsid w:val="00937F73"/>
    <w:rsid w:val="00940039"/>
    <w:rsid w:val="009400B2"/>
    <w:rsid w:val="009400E9"/>
    <w:rsid w:val="009401C6"/>
    <w:rsid w:val="0094025A"/>
    <w:rsid w:val="0094051D"/>
    <w:rsid w:val="0094051E"/>
    <w:rsid w:val="00940750"/>
    <w:rsid w:val="009407DB"/>
    <w:rsid w:val="00940866"/>
    <w:rsid w:val="00940A44"/>
    <w:rsid w:val="00940AFD"/>
    <w:rsid w:val="00940B9F"/>
    <w:rsid w:val="00940BED"/>
    <w:rsid w:val="00940D61"/>
    <w:rsid w:val="00940DCB"/>
    <w:rsid w:val="00940E50"/>
    <w:rsid w:val="00940EAF"/>
    <w:rsid w:val="00940F12"/>
    <w:rsid w:val="00940F5F"/>
    <w:rsid w:val="00940FB4"/>
    <w:rsid w:val="00941023"/>
    <w:rsid w:val="00941128"/>
    <w:rsid w:val="00941263"/>
    <w:rsid w:val="009413C4"/>
    <w:rsid w:val="00941508"/>
    <w:rsid w:val="00941602"/>
    <w:rsid w:val="009416B5"/>
    <w:rsid w:val="009417B6"/>
    <w:rsid w:val="009417D0"/>
    <w:rsid w:val="0094187F"/>
    <w:rsid w:val="00941891"/>
    <w:rsid w:val="0094199D"/>
    <w:rsid w:val="00941C21"/>
    <w:rsid w:val="00941D3E"/>
    <w:rsid w:val="00941E14"/>
    <w:rsid w:val="009420F5"/>
    <w:rsid w:val="00942161"/>
    <w:rsid w:val="009421D9"/>
    <w:rsid w:val="009424EF"/>
    <w:rsid w:val="0094259F"/>
    <w:rsid w:val="0094266E"/>
    <w:rsid w:val="00942721"/>
    <w:rsid w:val="009428A3"/>
    <w:rsid w:val="009428E6"/>
    <w:rsid w:val="009428E9"/>
    <w:rsid w:val="009429CC"/>
    <w:rsid w:val="00942AAC"/>
    <w:rsid w:val="00942CBA"/>
    <w:rsid w:val="00942D30"/>
    <w:rsid w:val="00942EB6"/>
    <w:rsid w:val="00942EC6"/>
    <w:rsid w:val="00942EE8"/>
    <w:rsid w:val="00942F8F"/>
    <w:rsid w:val="0094302F"/>
    <w:rsid w:val="009430F9"/>
    <w:rsid w:val="0094316F"/>
    <w:rsid w:val="009431EC"/>
    <w:rsid w:val="0094320D"/>
    <w:rsid w:val="00943361"/>
    <w:rsid w:val="00943470"/>
    <w:rsid w:val="0094376D"/>
    <w:rsid w:val="0094395F"/>
    <w:rsid w:val="00943ABF"/>
    <w:rsid w:val="00943B5D"/>
    <w:rsid w:val="00943C04"/>
    <w:rsid w:val="00943C3A"/>
    <w:rsid w:val="00943D70"/>
    <w:rsid w:val="00943D76"/>
    <w:rsid w:val="00943DD6"/>
    <w:rsid w:val="00943F49"/>
    <w:rsid w:val="00943FDC"/>
    <w:rsid w:val="00944017"/>
    <w:rsid w:val="00944060"/>
    <w:rsid w:val="009440D5"/>
    <w:rsid w:val="0094422B"/>
    <w:rsid w:val="00944244"/>
    <w:rsid w:val="009442E6"/>
    <w:rsid w:val="009443CD"/>
    <w:rsid w:val="00944443"/>
    <w:rsid w:val="009444B7"/>
    <w:rsid w:val="009444C2"/>
    <w:rsid w:val="0094473B"/>
    <w:rsid w:val="00944786"/>
    <w:rsid w:val="0094499E"/>
    <w:rsid w:val="00944ABC"/>
    <w:rsid w:val="00944B6C"/>
    <w:rsid w:val="00944DDE"/>
    <w:rsid w:val="00944F68"/>
    <w:rsid w:val="00945134"/>
    <w:rsid w:val="00945142"/>
    <w:rsid w:val="00945178"/>
    <w:rsid w:val="00945236"/>
    <w:rsid w:val="009452C9"/>
    <w:rsid w:val="009452D2"/>
    <w:rsid w:val="00945358"/>
    <w:rsid w:val="00945366"/>
    <w:rsid w:val="009453E2"/>
    <w:rsid w:val="009455F5"/>
    <w:rsid w:val="00945623"/>
    <w:rsid w:val="009456CF"/>
    <w:rsid w:val="009456E7"/>
    <w:rsid w:val="00945804"/>
    <w:rsid w:val="0094582C"/>
    <w:rsid w:val="00945914"/>
    <w:rsid w:val="00945AAB"/>
    <w:rsid w:val="00945C15"/>
    <w:rsid w:val="00945CE6"/>
    <w:rsid w:val="00945D28"/>
    <w:rsid w:val="00945E00"/>
    <w:rsid w:val="00945EEE"/>
    <w:rsid w:val="0094601A"/>
    <w:rsid w:val="00946082"/>
    <w:rsid w:val="0094622C"/>
    <w:rsid w:val="00946412"/>
    <w:rsid w:val="0094641A"/>
    <w:rsid w:val="009464EE"/>
    <w:rsid w:val="00946762"/>
    <w:rsid w:val="009467AC"/>
    <w:rsid w:val="009467B8"/>
    <w:rsid w:val="009467EC"/>
    <w:rsid w:val="00946846"/>
    <w:rsid w:val="009469CE"/>
    <w:rsid w:val="00946A04"/>
    <w:rsid w:val="00946AF1"/>
    <w:rsid w:val="00946BCC"/>
    <w:rsid w:val="00946C46"/>
    <w:rsid w:val="00946C91"/>
    <w:rsid w:val="00946CB6"/>
    <w:rsid w:val="00946CFA"/>
    <w:rsid w:val="00946DAB"/>
    <w:rsid w:val="00946DF8"/>
    <w:rsid w:val="009473A2"/>
    <w:rsid w:val="009473C1"/>
    <w:rsid w:val="00947424"/>
    <w:rsid w:val="00947437"/>
    <w:rsid w:val="00947626"/>
    <w:rsid w:val="0094773B"/>
    <w:rsid w:val="0094783F"/>
    <w:rsid w:val="00947B6D"/>
    <w:rsid w:val="00947BEE"/>
    <w:rsid w:val="00947C37"/>
    <w:rsid w:val="00947E01"/>
    <w:rsid w:val="00947F1F"/>
    <w:rsid w:val="00950050"/>
    <w:rsid w:val="009500FC"/>
    <w:rsid w:val="009501B1"/>
    <w:rsid w:val="009501BD"/>
    <w:rsid w:val="009501D4"/>
    <w:rsid w:val="00950275"/>
    <w:rsid w:val="009502C2"/>
    <w:rsid w:val="00950540"/>
    <w:rsid w:val="0095060D"/>
    <w:rsid w:val="009507A4"/>
    <w:rsid w:val="009507ED"/>
    <w:rsid w:val="009508BB"/>
    <w:rsid w:val="00950921"/>
    <w:rsid w:val="00950B83"/>
    <w:rsid w:val="00950DFB"/>
    <w:rsid w:val="0095105D"/>
    <w:rsid w:val="00951076"/>
    <w:rsid w:val="00951109"/>
    <w:rsid w:val="009511C0"/>
    <w:rsid w:val="0095124B"/>
    <w:rsid w:val="009515FA"/>
    <w:rsid w:val="0095163F"/>
    <w:rsid w:val="0095164F"/>
    <w:rsid w:val="00951840"/>
    <w:rsid w:val="0095198F"/>
    <w:rsid w:val="009519E7"/>
    <w:rsid w:val="00951A34"/>
    <w:rsid w:val="00951B4D"/>
    <w:rsid w:val="00951C0E"/>
    <w:rsid w:val="00951D73"/>
    <w:rsid w:val="00951E6E"/>
    <w:rsid w:val="00951EF3"/>
    <w:rsid w:val="00952306"/>
    <w:rsid w:val="00952334"/>
    <w:rsid w:val="00952343"/>
    <w:rsid w:val="0095238C"/>
    <w:rsid w:val="009523AB"/>
    <w:rsid w:val="009524B7"/>
    <w:rsid w:val="009524FF"/>
    <w:rsid w:val="0095264D"/>
    <w:rsid w:val="009527FC"/>
    <w:rsid w:val="00952A37"/>
    <w:rsid w:val="00952CAA"/>
    <w:rsid w:val="00952CD5"/>
    <w:rsid w:val="00952D83"/>
    <w:rsid w:val="00952D8B"/>
    <w:rsid w:val="00952D97"/>
    <w:rsid w:val="00952E03"/>
    <w:rsid w:val="00952E2C"/>
    <w:rsid w:val="00952E54"/>
    <w:rsid w:val="00952ECA"/>
    <w:rsid w:val="00953084"/>
    <w:rsid w:val="00953095"/>
    <w:rsid w:val="009530DB"/>
    <w:rsid w:val="0095312A"/>
    <w:rsid w:val="0095319D"/>
    <w:rsid w:val="00953291"/>
    <w:rsid w:val="009534E6"/>
    <w:rsid w:val="0095358F"/>
    <w:rsid w:val="009536E9"/>
    <w:rsid w:val="00953715"/>
    <w:rsid w:val="009537E5"/>
    <w:rsid w:val="0095389B"/>
    <w:rsid w:val="0095389D"/>
    <w:rsid w:val="009538D4"/>
    <w:rsid w:val="009539F6"/>
    <w:rsid w:val="00953AE7"/>
    <w:rsid w:val="00953BF3"/>
    <w:rsid w:val="00953C75"/>
    <w:rsid w:val="00953DB7"/>
    <w:rsid w:val="0095402C"/>
    <w:rsid w:val="009541AE"/>
    <w:rsid w:val="009541F6"/>
    <w:rsid w:val="00954203"/>
    <w:rsid w:val="0095438D"/>
    <w:rsid w:val="00954529"/>
    <w:rsid w:val="00954591"/>
    <w:rsid w:val="00954669"/>
    <w:rsid w:val="00954779"/>
    <w:rsid w:val="00954987"/>
    <w:rsid w:val="00954B52"/>
    <w:rsid w:val="00954B74"/>
    <w:rsid w:val="00954D1E"/>
    <w:rsid w:val="00954F96"/>
    <w:rsid w:val="009550CD"/>
    <w:rsid w:val="00955241"/>
    <w:rsid w:val="0095525F"/>
    <w:rsid w:val="00955498"/>
    <w:rsid w:val="00955569"/>
    <w:rsid w:val="009555B5"/>
    <w:rsid w:val="0095561F"/>
    <w:rsid w:val="00955641"/>
    <w:rsid w:val="009557DF"/>
    <w:rsid w:val="0095583D"/>
    <w:rsid w:val="00955866"/>
    <w:rsid w:val="0095587A"/>
    <w:rsid w:val="00955B71"/>
    <w:rsid w:val="00955BEA"/>
    <w:rsid w:val="00955DB0"/>
    <w:rsid w:val="00956078"/>
    <w:rsid w:val="00956094"/>
    <w:rsid w:val="009561B5"/>
    <w:rsid w:val="00956255"/>
    <w:rsid w:val="00956286"/>
    <w:rsid w:val="00956305"/>
    <w:rsid w:val="009564E1"/>
    <w:rsid w:val="009567A8"/>
    <w:rsid w:val="00956813"/>
    <w:rsid w:val="00956A44"/>
    <w:rsid w:val="00956B12"/>
    <w:rsid w:val="00956BF5"/>
    <w:rsid w:val="00956C16"/>
    <w:rsid w:val="00956C64"/>
    <w:rsid w:val="00956C95"/>
    <w:rsid w:val="00956DF7"/>
    <w:rsid w:val="00956EE7"/>
    <w:rsid w:val="009570E1"/>
    <w:rsid w:val="00957101"/>
    <w:rsid w:val="0095734D"/>
    <w:rsid w:val="00957379"/>
    <w:rsid w:val="00957548"/>
    <w:rsid w:val="00957556"/>
    <w:rsid w:val="0095768F"/>
    <w:rsid w:val="009576F6"/>
    <w:rsid w:val="0095783E"/>
    <w:rsid w:val="00957840"/>
    <w:rsid w:val="009579C4"/>
    <w:rsid w:val="00957A66"/>
    <w:rsid w:val="00957AE5"/>
    <w:rsid w:val="00957AF4"/>
    <w:rsid w:val="00957D10"/>
    <w:rsid w:val="00957D2B"/>
    <w:rsid w:val="00957D5E"/>
    <w:rsid w:val="00957E21"/>
    <w:rsid w:val="00957EAC"/>
    <w:rsid w:val="00957F58"/>
    <w:rsid w:val="00957F77"/>
    <w:rsid w:val="0096000E"/>
    <w:rsid w:val="00960107"/>
    <w:rsid w:val="0096017F"/>
    <w:rsid w:val="009601CD"/>
    <w:rsid w:val="0096026C"/>
    <w:rsid w:val="00960507"/>
    <w:rsid w:val="00960599"/>
    <w:rsid w:val="0096064D"/>
    <w:rsid w:val="00960B03"/>
    <w:rsid w:val="00960BDE"/>
    <w:rsid w:val="00960D22"/>
    <w:rsid w:val="00960D91"/>
    <w:rsid w:val="00961215"/>
    <w:rsid w:val="00961220"/>
    <w:rsid w:val="00961242"/>
    <w:rsid w:val="00961255"/>
    <w:rsid w:val="009612B3"/>
    <w:rsid w:val="009612E8"/>
    <w:rsid w:val="0096131B"/>
    <w:rsid w:val="009613A0"/>
    <w:rsid w:val="009613C7"/>
    <w:rsid w:val="00961530"/>
    <w:rsid w:val="00961689"/>
    <w:rsid w:val="00961699"/>
    <w:rsid w:val="00961774"/>
    <w:rsid w:val="009618CE"/>
    <w:rsid w:val="009619A9"/>
    <w:rsid w:val="00961AFA"/>
    <w:rsid w:val="00961B86"/>
    <w:rsid w:val="00961C97"/>
    <w:rsid w:val="00961D20"/>
    <w:rsid w:val="00961D8F"/>
    <w:rsid w:val="00961DA7"/>
    <w:rsid w:val="00961EED"/>
    <w:rsid w:val="00961FC9"/>
    <w:rsid w:val="009620E0"/>
    <w:rsid w:val="00962128"/>
    <w:rsid w:val="0096212D"/>
    <w:rsid w:val="00962187"/>
    <w:rsid w:val="00962269"/>
    <w:rsid w:val="0096270F"/>
    <w:rsid w:val="0096296A"/>
    <w:rsid w:val="009629DE"/>
    <w:rsid w:val="00962B70"/>
    <w:rsid w:val="00962C5E"/>
    <w:rsid w:val="00962C87"/>
    <w:rsid w:val="00962D43"/>
    <w:rsid w:val="00962D79"/>
    <w:rsid w:val="00962F7A"/>
    <w:rsid w:val="009630D2"/>
    <w:rsid w:val="009631D3"/>
    <w:rsid w:val="00963456"/>
    <w:rsid w:val="00963577"/>
    <w:rsid w:val="00963581"/>
    <w:rsid w:val="0096366D"/>
    <w:rsid w:val="0096368F"/>
    <w:rsid w:val="00963744"/>
    <w:rsid w:val="00963789"/>
    <w:rsid w:val="0096381D"/>
    <w:rsid w:val="00963943"/>
    <w:rsid w:val="0096394F"/>
    <w:rsid w:val="0096396A"/>
    <w:rsid w:val="00963997"/>
    <w:rsid w:val="00963A83"/>
    <w:rsid w:val="00963B46"/>
    <w:rsid w:val="00963B99"/>
    <w:rsid w:val="00963BFD"/>
    <w:rsid w:val="00963C39"/>
    <w:rsid w:val="00963D9C"/>
    <w:rsid w:val="00963EBF"/>
    <w:rsid w:val="00963FAE"/>
    <w:rsid w:val="009640DE"/>
    <w:rsid w:val="0096414E"/>
    <w:rsid w:val="00964151"/>
    <w:rsid w:val="009641B8"/>
    <w:rsid w:val="009641B9"/>
    <w:rsid w:val="009642E0"/>
    <w:rsid w:val="00964304"/>
    <w:rsid w:val="0096436B"/>
    <w:rsid w:val="009646DB"/>
    <w:rsid w:val="009648B1"/>
    <w:rsid w:val="009649D6"/>
    <w:rsid w:val="009649E8"/>
    <w:rsid w:val="009649F9"/>
    <w:rsid w:val="00964A11"/>
    <w:rsid w:val="00964A77"/>
    <w:rsid w:val="00964E55"/>
    <w:rsid w:val="00964EDF"/>
    <w:rsid w:val="00964F94"/>
    <w:rsid w:val="00965236"/>
    <w:rsid w:val="0096531E"/>
    <w:rsid w:val="0096534D"/>
    <w:rsid w:val="009653DD"/>
    <w:rsid w:val="009654DC"/>
    <w:rsid w:val="00965638"/>
    <w:rsid w:val="0096568C"/>
    <w:rsid w:val="0096587C"/>
    <w:rsid w:val="009658CD"/>
    <w:rsid w:val="009658F3"/>
    <w:rsid w:val="00965D48"/>
    <w:rsid w:val="00965D9B"/>
    <w:rsid w:val="00965E77"/>
    <w:rsid w:val="00965EC6"/>
    <w:rsid w:val="0096600E"/>
    <w:rsid w:val="009660C8"/>
    <w:rsid w:val="009661A1"/>
    <w:rsid w:val="009661B3"/>
    <w:rsid w:val="00966297"/>
    <w:rsid w:val="00966303"/>
    <w:rsid w:val="00966407"/>
    <w:rsid w:val="00966478"/>
    <w:rsid w:val="009665AB"/>
    <w:rsid w:val="009665E3"/>
    <w:rsid w:val="00966686"/>
    <w:rsid w:val="0096668B"/>
    <w:rsid w:val="00966746"/>
    <w:rsid w:val="009667C8"/>
    <w:rsid w:val="009668A6"/>
    <w:rsid w:val="009668F5"/>
    <w:rsid w:val="00966924"/>
    <w:rsid w:val="00966941"/>
    <w:rsid w:val="0096696C"/>
    <w:rsid w:val="00966A2F"/>
    <w:rsid w:val="00966A48"/>
    <w:rsid w:val="00966CA1"/>
    <w:rsid w:val="00966CE1"/>
    <w:rsid w:val="00966D77"/>
    <w:rsid w:val="00966F17"/>
    <w:rsid w:val="00967070"/>
    <w:rsid w:val="009670CD"/>
    <w:rsid w:val="009672DD"/>
    <w:rsid w:val="00967536"/>
    <w:rsid w:val="00967552"/>
    <w:rsid w:val="00967585"/>
    <w:rsid w:val="0096768C"/>
    <w:rsid w:val="009678EE"/>
    <w:rsid w:val="00967934"/>
    <w:rsid w:val="00967A38"/>
    <w:rsid w:val="00967A53"/>
    <w:rsid w:val="00967B2E"/>
    <w:rsid w:val="00967B56"/>
    <w:rsid w:val="00967B7E"/>
    <w:rsid w:val="00967BD6"/>
    <w:rsid w:val="00967E00"/>
    <w:rsid w:val="00967E10"/>
    <w:rsid w:val="00967E48"/>
    <w:rsid w:val="00967F1F"/>
    <w:rsid w:val="00967F9C"/>
    <w:rsid w:val="00970189"/>
    <w:rsid w:val="0097029D"/>
    <w:rsid w:val="0097032A"/>
    <w:rsid w:val="009703B5"/>
    <w:rsid w:val="0097051D"/>
    <w:rsid w:val="009705C1"/>
    <w:rsid w:val="00970694"/>
    <w:rsid w:val="009706B1"/>
    <w:rsid w:val="00970758"/>
    <w:rsid w:val="009707F3"/>
    <w:rsid w:val="009707FF"/>
    <w:rsid w:val="00970821"/>
    <w:rsid w:val="0097091A"/>
    <w:rsid w:val="0097091F"/>
    <w:rsid w:val="00970945"/>
    <w:rsid w:val="00970951"/>
    <w:rsid w:val="009709B4"/>
    <w:rsid w:val="00970A40"/>
    <w:rsid w:val="00970A83"/>
    <w:rsid w:val="00970AE1"/>
    <w:rsid w:val="00970BFC"/>
    <w:rsid w:val="00970CF2"/>
    <w:rsid w:val="00970E79"/>
    <w:rsid w:val="00970F5B"/>
    <w:rsid w:val="00970F63"/>
    <w:rsid w:val="0097105B"/>
    <w:rsid w:val="0097111B"/>
    <w:rsid w:val="009712BB"/>
    <w:rsid w:val="009712EB"/>
    <w:rsid w:val="00971317"/>
    <w:rsid w:val="00971456"/>
    <w:rsid w:val="0097158D"/>
    <w:rsid w:val="009718A1"/>
    <w:rsid w:val="009718F4"/>
    <w:rsid w:val="009719A4"/>
    <w:rsid w:val="009719BE"/>
    <w:rsid w:val="00971CB8"/>
    <w:rsid w:val="00971DD9"/>
    <w:rsid w:val="00971ECB"/>
    <w:rsid w:val="00971F09"/>
    <w:rsid w:val="00971F41"/>
    <w:rsid w:val="009720CC"/>
    <w:rsid w:val="00972172"/>
    <w:rsid w:val="0097220B"/>
    <w:rsid w:val="0097298C"/>
    <w:rsid w:val="00972AA1"/>
    <w:rsid w:val="00972AAC"/>
    <w:rsid w:val="00972AD8"/>
    <w:rsid w:val="00972AE3"/>
    <w:rsid w:val="00972B99"/>
    <w:rsid w:val="00972D54"/>
    <w:rsid w:val="00972DFA"/>
    <w:rsid w:val="00972E1E"/>
    <w:rsid w:val="00972FE5"/>
    <w:rsid w:val="00972FE8"/>
    <w:rsid w:val="00973143"/>
    <w:rsid w:val="00973235"/>
    <w:rsid w:val="00973268"/>
    <w:rsid w:val="009734A6"/>
    <w:rsid w:val="009736A5"/>
    <w:rsid w:val="009737CA"/>
    <w:rsid w:val="00973845"/>
    <w:rsid w:val="00973869"/>
    <w:rsid w:val="0097386A"/>
    <w:rsid w:val="0097389B"/>
    <w:rsid w:val="0097394E"/>
    <w:rsid w:val="009739CE"/>
    <w:rsid w:val="00973A5D"/>
    <w:rsid w:val="00973B62"/>
    <w:rsid w:val="00973BBF"/>
    <w:rsid w:val="00973BC8"/>
    <w:rsid w:val="00973C7F"/>
    <w:rsid w:val="00973CA0"/>
    <w:rsid w:val="00973CDF"/>
    <w:rsid w:val="00973EE0"/>
    <w:rsid w:val="00974183"/>
    <w:rsid w:val="009741A7"/>
    <w:rsid w:val="009741B5"/>
    <w:rsid w:val="009741DB"/>
    <w:rsid w:val="009743F6"/>
    <w:rsid w:val="00974461"/>
    <w:rsid w:val="00974472"/>
    <w:rsid w:val="00974511"/>
    <w:rsid w:val="0097465C"/>
    <w:rsid w:val="00974852"/>
    <w:rsid w:val="00974A6F"/>
    <w:rsid w:val="00974A78"/>
    <w:rsid w:val="00974A89"/>
    <w:rsid w:val="00974CAE"/>
    <w:rsid w:val="00974D47"/>
    <w:rsid w:val="00974D68"/>
    <w:rsid w:val="00974DB7"/>
    <w:rsid w:val="00974DF0"/>
    <w:rsid w:val="00974E93"/>
    <w:rsid w:val="00974FB7"/>
    <w:rsid w:val="009750B1"/>
    <w:rsid w:val="009750F1"/>
    <w:rsid w:val="0097513F"/>
    <w:rsid w:val="0097526A"/>
    <w:rsid w:val="009753AD"/>
    <w:rsid w:val="009753BA"/>
    <w:rsid w:val="00975428"/>
    <w:rsid w:val="009754AE"/>
    <w:rsid w:val="00975539"/>
    <w:rsid w:val="00975620"/>
    <w:rsid w:val="009756A6"/>
    <w:rsid w:val="0097572A"/>
    <w:rsid w:val="0097584B"/>
    <w:rsid w:val="00975A1B"/>
    <w:rsid w:val="00975B34"/>
    <w:rsid w:val="00975C33"/>
    <w:rsid w:val="00975D70"/>
    <w:rsid w:val="00975E59"/>
    <w:rsid w:val="00975EAE"/>
    <w:rsid w:val="0097602F"/>
    <w:rsid w:val="0097623C"/>
    <w:rsid w:val="00976291"/>
    <w:rsid w:val="009762EA"/>
    <w:rsid w:val="00976324"/>
    <w:rsid w:val="0097634B"/>
    <w:rsid w:val="00976383"/>
    <w:rsid w:val="00976470"/>
    <w:rsid w:val="009764A5"/>
    <w:rsid w:val="009764EC"/>
    <w:rsid w:val="00976507"/>
    <w:rsid w:val="00976518"/>
    <w:rsid w:val="00976523"/>
    <w:rsid w:val="0097659F"/>
    <w:rsid w:val="00976604"/>
    <w:rsid w:val="00976806"/>
    <w:rsid w:val="00976918"/>
    <w:rsid w:val="009769BF"/>
    <w:rsid w:val="00976A48"/>
    <w:rsid w:val="00976AF9"/>
    <w:rsid w:val="00976C95"/>
    <w:rsid w:val="00976CE3"/>
    <w:rsid w:val="00976CE5"/>
    <w:rsid w:val="00976E5F"/>
    <w:rsid w:val="00976F1C"/>
    <w:rsid w:val="00976F9C"/>
    <w:rsid w:val="00976FCD"/>
    <w:rsid w:val="00977111"/>
    <w:rsid w:val="0097718D"/>
    <w:rsid w:val="0097722F"/>
    <w:rsid w:val="0097732E"/>
    <w:rsid w:val="009774C1"/>
    <w:rsid w:val="009774E8"/>
    <w:rsid w:val="0097762C"/>
    <w:rsid w:val="00977651"/>
    <w:rsid w:val="009779B4"/>
    <w:rsid w:val="00977A48"/>
    <w:rsid w:val="00977A85"/>
    <w:rsid w:val="00977AEA"/>
    <w:rsid w:val="00977BC2"/>
    <w:rsid w:val="00977C62"/>
    <w:rsid w:val="00977C86"/>
    <w:rsid w:val="00977D37"/>
    <w:rsid w:val="00977DA5"/>
    <w:rsid w:val="00977DC1"/>
    <w:rsid w:val="00980282"/>
    <w:rsid w:val="009802FD"/>
    <w:rsid w:val="0098049B"/>
    <w:rsid w:val="009805A8"/>
    <w:rsid w:val="009805F9"/>
    <w:rsid w:val="0098066C"/>
    <w:rsid w:val="009806CF"/>
    <w:rsid w:val="00980F6B"/>
    <w:rsid w:val="00981052"/>
    <w:rsid w:val="0098107D"/>
    <w:rsid w:val="009811AD"/>
    <w:rsid w:val="009812CF"/>
    <w:rsid w:val="00981428"/>
    <w:rsid w:val="0098143D"/>
    <w:rsid w:val="00981494"/>
    <w:rsid w:val="009814A1"/>
    <w:rsid w:val="00981524"/>
    <w:rsid w:val="00981B88"/>
    <w:rsid w:val="00981D41"/>
    <w:rsid w:val="00981D89"/>
    <w:rsid w:val="00981DA5"/>
    <w:rsid w:val="00981E43"/>
    <w:rsid w:val="00981EB3"/>
    <w:rsid w:val="00981EE2"/>
    <w:rsid w:val="00982019"/>
    <w:rsid w:val="0098209F"/>
    <w:rsid w:val="00982103"/>
    <w:rsid w:val="009822A2"/>
    <w:rsid w:val="00982558"/>
    <w:rsid w:val="009826E1"/>
    <w:rsid w:val="009826F3"/>
    <w:rsid w:val="009828C8"/>
    <w:rsid w:val="00982901"/>
    <w:rsid w:val="00982996"/>
    <w:rsid w:val="009829A2"/>
    <w:rsid w:val="009829F5"/>
    <w:rsid w:val="00982ABF"/>
    <w:rsid w:val="00982B1F"/>
    <w:rsid w:val="00983039"/>
    <w:rsid w:val="00983117"/>
    <w:rsid w:val="009833CE"/>
    <w:rsid w:val="0098362D"/>
    <w:rsid w:val="00983897"/>
    <w:rsid w:val="00983910"/>
    <w:rsid w:val="009839D1"/>
    <w:rsid w:val="009839F7"/>
    <w:rsid w:val="00983B4B"/>
    <w:rsid w:val="00983B84"/>
    <w:rsid w:val="00983BC4"/>
    <w:rsid w:val="00983BE0"/>
    <w:rsid w:val="00984186"/>
    <w:rsid w:val="009842E0"/>
    <w:rsid w:val="0098434B"/>
    <w:rsid w:val="00984357"/>
    <w:rsid w:val="00984551"/>
    <w:rsid w:val="009845BC"/>
    <w:rsid w:val="009845F6"/>
    <w:rsid w:val="00984612"/>
    <w:rsid w:val="0098469B"/>
    <w:rsid w:val="009847FE"/>
    <w:rsid w:val="009848E1"/>
    <w:rsid w:val="00984A50"/>
    <w:rsid w:val="00984A7D"/>
    <w:rsid w:val="00984CF0"/>
    <w:rsid w:val="00984DD7"/>
    <w:rsid w:val="00984DE7"/>
    <w:rsid w:val="00984E00"/>
    <w:rsid w:val="00984E43"/>
    <w:rsid w:val="00984ED3"/>
    <w:rsid w:val="00984EF4"/>
    <w:rsid w:val="00984F7B"/>
    <w:rsid w:val="0098511C"/>
    <w:rsid w:val="0098517F"/>
    <w:rsid w:val="00985379"/>
    <w:rsid w:val="00985380"/>
    <w:rsid w:val="00985428"/>
    <w:rsid w:val="009854BC"/>
    <w:rsid w:val="00985935"/>
    <w:rsid w:val="00985AED"/>
    <w:rsid w:val="00985D24"/>
    <w:rsid w:val="00985DF9"/>
    <w:rsid w:val="009862D2"/>
    <w:rsid w:val="00986357"/>
    <w:rsid w:val="0098637A"/>
    <w:rsid w:val="00986387"/>
    <w:rsid w:val="00986917"/>
    <w:rsid w:val="00986930"/>
    <w:rsid w:val="00986A4A"/>
    <w:rsid w:val="00986AB8"/>
    <w:rsid w:val="00986B09"/>
    <w:rsid w:val="00986B4C"/>
    <w:rsid w:val="00986BF9"/>
    <w:rsid w:val="00986CE5"/>
    <w:rsid w:val="00986F04"/>
    <w:rsid w:val="00986F7E"/>
    <w:rsid w:val="00986F87"/>
    <w:rsid w:val="0098700D"/>
    <w:rsid w:val="0098709E"/>
    <w:rsid w:val="009870A3"/>
    <w:rsid w:val="0098716B"/>
    <w:rsid w:val="009871FB"/>
    <w:rsid w:val="009872FC"/>
    <w:rsid w:val="0098741B"/>
    <w:rsid w:val="00987480"/>
    <w:rsid w:val="009875E8"/>
    <w:rsid w:val="00987609"/>
    <w:rsid w:val="009877DE"/>
    <w:rsid w:val="009879C4"/>
    <w:rsid w:val="00987C52"/>
    <w:rsid w:val="00987D9B"/>
    <w:rsid w:val="00987DE8"/>
    <w:rsid w:val="00987E88"/>
    <w:rsid w:val="00987F8D"/>
    <w:rsid w:val="00987FFC"/>
    <w:rsid w:val="009900A4"/>
    <w:rsid w:val="00990115"/>
    <w:rsid w:val="009901C5"/>
    <w:rsid w:val="009902CC"/>
    <w:rsid w:val="009902DE"/>
    <w:rsid w:val="009903B1"/>
    <w:rsid w:val="009903B9"/>
    <w:rsid w:val="0099045A"/>
    <w:rsid w:val="00990719"/>
    <w:rsid w:val="00990798"/>
    <w:rsid w:val="0099083C"/>
    <w:rsid w:val="009908B2"/>
    <w:rsid w:val="00990990"/>
    <w:rsid w:val="00990992"/>
    <w:rsid w:val="00990ACC"/>
    <w:rsid w:val="00990C92"/>
    <w:rsid w:val="00990D7D"/>
    <w:rsid w:val="00990F7F"/>
    <w:rsid w:val="00990FF9"/>
    <w:rsid w:val="0099110B"/>
    <w:rsid w:val="009911E3"/>
    <w:rsid w:val="0099129E"/>
    <w:rsid w:val="009916AD"/>
    <w:rsid w:val="009917E0"/>
    <w:rsid w:val="00991896"/>
    <w:rsid w:val="009918A5"/>
    <w:rsid w:val="00991940"/>
    <w:rsid w:val="00991AE1"/>
    <w:rsid w:val="00991AE6"/>
    <w:rsid w:val="00991B68"/>
    <w:rsid w:val="00991C38"/>
    <w:rsid w:val="00991CC1"/>
    <w:rsid w:val="00991D88"/>
    <w:rsid w:val="00991DC9"/>
    <w:rsid w:val="00991DF1"/>
    <w:rsid w:val="00992083"/>
    <w:rsid w:val="009920A8"/>
    <w:rsid w:val="009920F6"/>
    <w:rsid w:val="009921E0"/>
    <w:rsid w:val="009926CB"/>
    <w:rsid w:val="009926E0"/>
    <w:rsid w:val="009927C6"/>
    <w:rsid w:val="00992893"/>
    <w:rsid w:val="009928C9"/>
    <w:rsid w:val="00992AA1"/>
    <w:rsid w:val="00992B46"/>
    <w:rsid w:val="00992BB2"/>
    <w:rsid w:val="00992DC9"/>
    <w:rsid w:val="00992F41"/>
    <w:rsid w:val="0099309F"/>
    <w:rsid w:val="009930C3"/>
    <w:rsid w:val="00993180"/>
    <w:rsid w:val="00993271"/>
    <w:rsid w:val="0099330C"/>
    <w:rsid w:val="00993362"/>
    <w:rsid w:val="009933E8"/>
    <w:rsid w:val="009935E8"/>
    <w:rsid w:val="00993680"/>
    <w:rsid w:val="00993740"/>
    <w:rsid w:val="00993803"/>
    <w:rsid w:val="009938D5"/>
    <w:rsid w:val="009938FE"/>
    <w:rsid w:val="00993B9C"/>
    <w:rsid w:val="0099402E"/>
    <w:rsid w:val="00994052"/>
    <w:rsid w:val="00994270"/>
    <w:rsid w:val="009943E4"/>
    <w:rsid w:val="00994495"/>
    <w:rsid w:val="0099452B"/>
    <w:rsid w:val="00994532"/>
    <w:rsid w:val="0099458F"/>
    <w:rsid w:val="00994656"/>
    <w:rsid w:val="009946CF"/>
    <w:rsid w:val="009946E1"/>
    <w:rsid w:val="00994784"/>
    <w:rsid w:val="00994A1D"/>
    <w:rsid w:val="00994A40"/>
    <w:rsid w:val="00994A4A"/>
    <w:rsid w:val="00994A71"/>
    <w:rsid w:val="00994B23"/>
    <w:rsid w:val="00994B7B"/>
    <w:rsid w:val="00994C13"/>
    <w:rsid w:val="00994D00"/>
    <w:rsid w:val="00994D39"/>
    <w:rsid w:val="00994DAE"/>
    <w:rsid w:val="00994DB1"/>
    <w:rsid w:val="00994E9F"/>
    <w:rsid w:val="00995188"/>
    <w:rsid w:val="00995189"/>
    <w:rsid w:val="009951DE"/>
    <w:rsid w:val="0099526D"/>
    <w:rsid w:val="00995486"/>
    <w:rsid w:val="00995737"/>
    <w:rsid w:val="0099579C"/>
    <w:rsid w:val="00995859"/>
    <w:rsid w:val="00995866"/>
    <w:rsid w:val="009959AA"/>
    <w:rsid w:val="00995A0D"/>
    <w:rsid w:val="00995AF9"/>
    <w:rsid w:val="00995B39"/>
    <w:rsid w:val="00995BDF"/>
    <w:rsid w:val="00995D18"/>
    <w:rsid w:val="00995D55"/>
    <w:rsid w:val="00995D59"/>
    <w:rsid w:val="00995DA2"/>
    <w:rsid w:val="00995E70"/>
    <w:rsid w:val="00995F49"/>
    <w:rsid w:val="00995F70"/>
    <w:rsid w:val="00995F7E"/>
    <w:rsid w:val="00995FFD"/>
    <w:rsid w:val="0099620E"/>
    <w:rsid w:val="009962FA"/>
    <w:rsid w:val="00996444"/>
    <w:rsid w:val="00996491"/>
    <w:rsid w:val="0099650F"/>
    <w:rsid w:val="0099660C"/>
    <w:rsid w:val="0099667C"/>
    <w:rsid w:val="009966F3"/>
    <w:rsid w:val="009968CF"/>
    <w:rsid w:val="00996961"/>
    <w:rsid w:val="00996A54"/>
    <w:rsid w:val="00996AA2"/>
    <w:rsid w:val="00996AFB"/>
    <w:rsid w:val="00996C67"/>
    <w:rsid w:val="00996D12"/>
    <w:rsid w:val="00996D34"/>
    <w:rsid w:val="00996E6F"/>
    <w:rsid w:val="0099713E"/>
    <w:rsid w:val="00997140"/>
    <w:rsid w:val="009971B0"/>
    <w:rsid w:val="00997291"/>
    <w:rsid w:val="00997296"/>
    <w:rsid w:val="009973B5"/>
    <w:rsid w:val="00997428"/>
    <w:rsid w:val="0099745A"/>
    <w:rsid w:val="0099752C"/>
    <w:rsid w:val="00997552"/>
    <w:rsid w:val="009975C2"/>
    <w:rsid w:val="009975F9"/>
    <w:rsid w:val="00997781"/>
    <w:rsid w:val="0099788E"/>
    <w:rsid w:val="009978A6"/>
    <w:rsid w:val="009978F6"/>
    <w:rsid w:val="00997AC4"/>
    <w:rsid w:val="00997AE5"/>
    <w:rsid w:val="00997C6D"/>
    <w:rsid w:val="00997C7F"/>
    <w:rsid w:val="00997C96"/>
    <w:rsid w:val="00997D10"/>
    <w:rsid w:val="00997DDE"/>
    <w:rsid w:val="00997E05"/>
    <w:rsid w:val="00997E4C"/>
    <w:rsid w:val="00997F39"/>
    <w:rsid w:val="00997FC2"/>
    <w:rsid w:val="009A0054"/>
    <w:rsid w:val="009A0168"/>
    <w:rsid w:val="009A02CC"/>
    <w:rsid w:val="009A049C"/>
    <w:rsid w:val="009A057B"/>
    <w:rsid w:val="009A0A0D"/>
    <w:rsid w:val="009A0B37"/>
    <w:rsid w:val="009A0B6B"/>
    <w:rsid w:val="009A0BB3"/>
    <w:rsid w:val="009A0C6B"/>
    <w:rsid w:val="009A0CB3"/>
    <w:rsid w:val="009A0D23"/>
    <w:rsid w:val="009A0D9C"/>
    <w:rsid w:val="009A0EBB"/>
    <w:rsid w:val="009A0FAF"/>
    <w:rsid w:val="009A10CD"/>
    <w:rsid w:val="009A124D"/>
    <w:rsid w:val="009A12EB"/>
    <w:rsid w:val="009A1429"/>
    <w:rsid w:val="009A1644"/>
    <w:rsid w:val="009A18A9"/>
    <w:rsid w:val="009A1A46"/>
    <w:rsid w:val="009A1AFB"/>
    <w:rsid w:val="009A1B21"/>
    <w:rsid w:val="009A1F24"/>
    <w:rsid w:val="009A2139"/>
    <w:rsid w:val="009A22D1"/>
    <w:rsid w:val="009A2539"/>
    <w:rsid w:val="009A2606"/>
    <w:rsid w:val="009A26A1"/>
    <w:rsid w:val="009A274B"/>
    <w:rsid w:val="009A27BC"/>
    <w:rsid w:val="009A27FA"/>
    <w:rsid w:val="009A28C7"/>
    <w:rsid w:val="009A29CE"/>
    <w:rsid w:val="009A2C62"/>
    <w:rsid w:val="009A2CFD"/>
    <w:rsid w:val="009A2F1D"/>
    <w:rsid w:val="009A2FF2"/>
    <w:rsid w:val="009A3005"/>
    <w:rsid w:val="009A32C0"/>
    <w:rsid w:val="009A3352"/>
    <w:rsid w:val="009A3478"/>
    <w:rsid w:val="009A3489"/>
    <w:rsid w:val="009A352F"/>
    <w:rsid w:val="009A35A1"/>
    <w:rsid w:val="009A35AA"/>
    <w:rsid w:val="009A35C5"/>
    <w:rsid w:val="009A370C"/>
    <w:rsid w:val="009A37B2"/>
    <w:rsid w:val="009A38CC"/>
    <w:rsid w:val="009A396D"/>
    <w:rsid w:val="009A3A40"/>
    <w:rsid w:val="009A3A47"/>
    <w:rsid w:val="009A3A67"/>
    <w:rsid w:val="009A3AAD"/>
    <w:rsid w:val="009A3B1F"/>
    <w:rsid w:val="009A3CBF"/>
    <w:rsid w:val="009A3D1F"/>
    <w:rsid w:val="009A3D80"/>
    <w:rsid w:val="009A3D8C"/>
    <w:rsid w:val="009A3E23"/>
    <w:rsid w:val="009A3E63"/>
    <w:rsid w:val="009A3EE1"/>
    <w:rsid w:val="009A40A5"/>
    <w:rsid w:val="009A41AE"/>
    <w:rsid w:val="009A4353"/>
    <w:rsid w:val="009A4451"/>
    <w:rsid w:val="009A45B7"/>
    <w:rsid w:val="009A4649"/>
    <w:rsid w:val="009A4862"/>
    <w:rsid w:val="009A4910"/>
    <w:rsid w:val="009A49A9"/>
    <w:rsid w:val="009A4A6B"/>
    <w:rsid w:val="009A4C09"/>
    <w:rsid w:val="009A4C32"/>
    <w:rsid w:val="009A4D3E"/>
    <w:rsid w:val="009A4D44"/>
    <w:rsid w:val="009A4E8B"/>
    <w:rsid w:val="009A4F83"/>
    <w:rsid w:val="009A506A"/>
    <w:rsid w:val="009A5247"/>
    <w:rsid w:val="009A533E"/>
    <w:rsid w:val="009A535A"/>
    <w:rsid w:val="009A54ED"/>
    <w:rsid w:val="009A5520"/>
    <w:rsid w:val="009A5699"/>
    <w:rsid w:val="009A56B6"/>
    <w:rsid w:val="009A57BB"/>
    <w:rsid w:val="009A5811"/>
    <w:rsid w:val="009A59DB"/>
    <w:rsid w:val="009A5A56"/>
    <w:rsid w:val="009A5CA9"/>
    <w:rsid w:val="009A5D47"/>
    <w:rsid w:val="009A5E1D"/>
    <w:rsid w:val="009A6094"/>
    <w:rsid w:val="009A61AA"/>
    <w:rsid w:val="009A61E1"/>
    <w:rsid w:val="009A61F5"/>
    <w:rsid w:val="009A639C"/>
    <w:rsid w:val="009A6463"/>
    <w:rsid w:val="009A6599"/>
    <w:rsid w:val="009A6736"/>
    <w:rsid w:val="009A6838"/>
    <w:rsid w:val="009A683D"/>
    <w:rsid w:val="009A6896"/>
    <w:rsid w:val="009A690E"/>
    <w:rsid w:val="009A699B"/>
    <w:rsid w:val="009A6A9A"/>
    <w:rsid w:val="009A6B48"/>
    <w:rsid w:val="009A6B65"/>
    <w:rsid w:val="009A6CC9"/>
    <w:rsid w:val="009A6DFA"/>
    <w:rsid w:val="009A6E5C"/>
    <w:rsid w:val="009A6FCC"/>
    <w:rsid w:val="009A7064"/>
    <w:rsid w:val="009A7095"/>
    <w:rsid w:val="009A70B2"/>
    <w:rsid w:val="009A71A1"/>
    <w:rsid w:val="009A71D0"/>
    <w:rsid w:val="009A7365"/>
    <w:rsid w:val="009A739C"/>
    <w:rsid w:val="009A73EA"/>
    <w:rsid w:val="009A75B0"/>
    <w:rsid w:val="009A776A"/>
    <w:rsid w:val="009A78A8"/>
    <w:rsid w:val="009A79E5"/>
    <w:rsid w:val="009A7BDA"/>
    <w:rsid w:val="009A7C98"/>
    <w:rsid w:val="009A7DA2"/>
    <w:rsid w:val="009A7DFC"/>
    <w:rsid w:val="009A7E3D"/>
    <w:rsid w:val="009A7E9D"/>
    <w:rsid w:val="009A7EF7"/>
    <w:rsid w:val="009A7F48"/>
    <w:rsid w:val="009A7F8F"/>
    <w:rsid w:val="009B0013"/>
    <w:rsid w:val="009B02AB"/>
    <w:rsid w:val="009B03FC"/>
    <w:rsid w:val="009B04FC"/>
    <w:rsid w:val="009B0590"/>
    <w:rsid w:val="009B0625"/>
    <w:rsid w:val="009B065C"/>
    <w:rsid w:val="009B070D"/>
    <w:rsid w:val="009B0769"/>
    <w:rsid w:val="009B0AB7"/>
    <w:rsid w:val="009B0B70"/>
    <w:rsid w:val="009B0C1B"/>
    <w:rsid w:val="009B0FAE"/>
    <w:rsid w:val="009B1072"/>
    <w:rsid w:val="009B10EB"/>
    <w:rsid w:val="009B11B5"/>
    <w:rsid w:val="009B12CA"/>
    <w:rsid w:val="009B13C3"/>
    <w:rsid w:val="009B14A4"/>
    <w:rsid w:val="009B14FA"/>
    <w:rsid w:val="009B1544"/>
    <w:rsid w:val="009B164D"/>
    <w:rsid w:val="009B16EF"/>
    <w:rsid w:val="009B1716"/>
    <w:rsid w:val="009B17A9"/>
    <w:rsid w:val="009B18B1"/>
    <w:rsid w:val="009B1958"/>
    <w:rsid w:val="009B19E6"/>
    <w:rsid w:val="009B1B5B"/>
    <w:rsid w:val="009B1BB3"/>
    <w:rsid w:val="009B1CC4"/>
    <w:rsid w:val="009B1CC8"/>
    <w:rsid w:val="009B1CF7"/>
    <w:rsid w:val="009B1E91"/>
    <w:rsid w:val="009B1FBD"/>
    <w:rsid w:val="009B2185"/>
    <w:rsid w:val="009B2204"/>
    <w:rsid w:val="009B2217"/>
    <w:rsid w:val="009B22F2"/>
    <w:rsid w:val="009B2393"/>
    <w:rsid w:val="009B2415"/>
    <w:rsid w:val="009B24EA"/>
    <w:rsid w:val="009B252C"/>
    <w:rsid w:val="009B26D2"/>
    <w:rsid w:val="009B278E"/>
    <w:rsid w:val="009B283F"/>
    <w:rsid w:val="009B28DF"/>
    <w:rsid w:val="009B2B06"/>
    <w:rsid w:val="009B2B0F"/>
    <w:rsid w:val="009B2CB6"/>
    <w:rsid w:val="009B2CE5"/>
    <w:rsid w:val="009B2EA1"/>
    <w:rsid w:val="009B2FF5"/>
    <w:rsid w:val="009B30F0"/>
    <w:rsid w:val="009B3273"/>
    <w:rsid w:val="009B32B5"/>
    <w:rsid w:val="009B32E9"/>
    <w:rsid w:val="009B3405"/>
    <w:rsid w:val="009B3475"/>
    <w:rsid w:val="009B34D2"/>
    <w:rsid w:val="009B3916"/>
    <w:rsid w:val="009B3935"/>
    <w:rsid w:val="009B3B7F"/>
    <w:rsid w:val="009B3C17"/>
    <w:rsid w:val="009B3C7A"/>
    <w:rsid w:val="009B3D19"/>
    <w:rsid w:val="009B3DA0"/>
    <w:rsid w:val="009B408A"/>
    <w:rsid w:val="009B42E0"/>
    <w:rsid w:val="009B4479"/>
    <w:rsid w:val="009B44F3"/>
    <w:rsid w:val="009B451B"/>
    <w:rsid w:val="009B4527"/>
    <w:rsid w:val="009B4646"/>
    <w:rsid w:val="009B46BE"/>
    <w:rsid w:val="009B4796"/>
    <w:rsid w:val="009B489B"/>
    <w:rsid w:val="009B4A8C"/>
    <w:rsid w:val="009B4C74"/>
    <w:rsid w:val="009B4CBC"/>
    <w:rsid w:val="009B4DFD"/>
    <w:rsid w:val="009B4FB7"/>
    <w:rsid w:val="009B51A5"/>
    <w:rsid w:val="009B5266"/>
    <w:rsid w:val="009B5438"/>
    <w:rsid w:val="009B5579"/>
    <w:rsid w:val="009B57E4"/>
    <w:rsid w:val="009B5880"/>
    <w:rsid w:val="009B5B6B"/>
    <w:rsid w:val="009B5BBE"/>
    <w:rsid w:val="009B5C04"/>
    <w:rsid w:val="009B5C63"/>
    <w:rsid w:val="009B5C7F"/>
    <w:rsid w:val="009B5D75"/>
    <w:rsid w:val="009B5DDA"/>
    <w:rsid w:val="009B5E1A"/>
    <w:rsid w:val="009B5E7F"/>
    <w:rsid w:val="009B5EE6"/>
    <w:rsid w:val="009B5F50"/>
    <w:rsid w:val="009B5FD7"/>
    <w:rsid w:val="009B60E0"/>
    <w:rsid w:val="009B60EB"/>
    <w:rsid w:val="009B615D"/>
    <w:rsid w:val="009B62C0"/>
    <w:rsid w:val="009B6383"/>
    <w:rsid w:val="009B65B8"/>
    <w:rsid w:val="009B67E7"/>
    <w:rsid w:val="009B68AB"/>
    <w:rsid w:val="009B68FD"/>
    <w:rsid w:val="009B69F3"/>
    <w:rsid w:val="009B6A14"/>
    <w:rsid w:val="009B6B6C"/>
    <w:rsid w:val="009B6D9A"/>
    <w:rsid w:val="009B6E04"/>
    <w:rsid w:val="009B6E19"/>
    <w:rsid w:val="009B6E2C"/>
    <w:rsid w:val="009B717D"/>
    <w:rsid w:val="009B72DF"/>
    <w:rsid w:val="009B738F"/>
    <w:rsid w:val="009B73B1"/>
    <w:rsid w:val="009B73E6"/>
    <w:rsid w:val="009B74F4"/>
    <w:rsid w:val="009B7504"/>
    <w:rsid w:val="009B769C"/>
    <w:rsid w:val="009B7858"/>
    <w:rsid w:val="009B78A5"/>
    <w:rsid w:val="009B7930"/>
    <w:rsid w:val="009B7B47"/>
    <w:rsid w:val="009B7B72"/>
    <w:rsid w:val="009B7D18"/>
    <w:rsid w:val="009B7E1B"/>
    <w:rsid w:val="009B7EB2"/>
    <w:rsid w:val="009B7F63"/>
    <w:rsid w:val="009C0241"/>
    <w:rsid w:val="009C0263"/>
    <w:rsid w:val="009C0355"/>
    <w:rsid w:val="009C04B0"/>
    <w:rsid w:val="009C0828"/>
    <w:rsid w:val="009C0849"/>
    <w:rsid w:val="009C084D"/>
    <w:rsid w:val="009C094A"/>
    <w:rsid w:val="009C0987"/>
    <w:rsid w:val="009C0A52"/>
    <w:rsid w:val="009C0A98"/>
    <w:rsid w:val="009C0BFF"/>
    <w:rsid w:val="009C0DE4"/>
    <w:rsid w:val="009C0F01"/>
    <w:rsid w:val="009C0FBB"/>
    <w:rsid w:val="009C114C"/>
    <w:rsid w:val="009C11E7"/>
    <w:rsid w:val="009C13F3"/>
    <w:rsid w:val="009C14EF"/>
    <w:rsid w:val="009C160B"/>
    <w:rsid w:val="009C161D"/>
    <w:rsid w:val="009C16B3"/>
    <w:rsid w:val="009C17EE"/>
    <w:rsid w:val="009C1846"/>
    <w:rsid w:val="009C1856"/>
    <w:rsid w:val="009C18D8"/>
    <w:rsid w:val="009C19E1"/>
    <w:rsid w:val="009C1B25"/>
    <w:rsid w:val="009C1B3D"/>
    <w:rsid w:val="009C1B9B"/>
    <w:rsid w:val="009C1BD9"/>
    <w:rsid w:val="009C1C12"/>
    <w:rsid w:val="009C1D66"/>
    <w:rsid w:val="009C1DA2"/>
    <w:rsid w:val="009C1E90"/>
    <w:rsid w:val="009C1F52"/>
    <w:rsid w:val="009C2047"/>
    <w:rsid w:val="009C22C3"/>
    <w:rsid w:val="009C23ED"/>
    <w:rsid w:val="009C241F"/>
    <w:rsid w:val="009C2495"/>
    <w:rsid w:val="009C26D3"/>
    <w:rsid w:val="009C26F2"/>
    <w:rsid w:val="009C27BC"/>
    <w:rsid w:val="009C2865"/>
    <w:rsid w:val="009C29FF"/>
    <w:rsid w:val="009C2ABD"/>
    <w:rsid w:val="009C2AF6"/>
    <w:rsid w:val="009C2B1A"/>
    <w:rsid w:val="009C2B98"/>
    <w:rsid w:val="009C2BE2"/>
    <w:rsid w:val="009C2E26"/>
    <w:rsid w:val="009C3218"/>
    <w:rsid w:val="009C3416"/>
    <w:rsid w:val="009C348E"/>
    <w:rsid w:val="009C3497"/>
    <w:rsid w:val="009C34FC"/>
    <w:rsid w:val="009C35D5"/>
    <w:rsid w:val="009C35F0"/>
    <w:rsid w:val="009C3798"/>
    <w:rsid w:val="009C379E"/>
    <w:rsid w:val="009C3892"/>
    <w:rsid w:val="009C38C3"/>
    <w:rsid w:val="009C39A9"/>
    <w:rsid w:val="009C3A77"/>
    <w:rsid w:val="009C3C40"/>
    <w:rsid w:val="009C3D2D"/>
    <w:rsid w:val="009C3DF8"/>
    <w:rsid w:val="009C43D3"/>
    <w:rsid w:val="009C4443"/>
    <w:rsid w:val="009C4490"/>
    <w:rsid w:val="009C45FE"/>
    <w:rsid w:val="009C4627"/>
    <w:rsid w:val="009C463A"/>
    <w:rsid w:val="009C4733"/>
    <w:rsid w:val="009C4A81"/>
    <w:rsid w:val="009C4B49"/>
    <w:rsid w:val="009C4B96"/>
    <w:rsid w:val="009C4CFC"/>
    <w:rsid w:val="009C4D00"/>
    <w:rsid w:val="009C4E02"/>
    <w:rsid w:val="009C4E62"/>
    <w:rsid w:val="009C505B"/>
    <w:rsid w:val="009C5067"/>
    <w:rsid w:val="009C50D4"/>
    <w:rsid w:val="009C5316"/>
    <w:rsid w:val="009C549B"/>
    <w:rsid w:val="009C57AD"/>
    <w:rsid w:val="009C57D8"/>
    <w:rsid w:val="009C588E"/>
    <w:rsid w:val="009C58C7"/>
    <w:rsid w:val="009C596D"/>
    <w:rsid w:val="009C59CE"/>
    <w:rsid w:val="009C5AB9"/>
    <w:rsid w:val="009C5B36"/>
    <w:rsid w:val="009C5BB6"/>
    <w:rsid w:val="009C5C05"/>
    <w:rsid w:val="009C5DDB"/>
    <w:rsid w:val="009C5F04"/>
    <w:rsid w:val="009C60B0"/>
    <w:rsid w:val="009C60D0"/>
    <w:rsid w:val="009C61CC"/>
    <w:rsid w:val="009C633A"/>
    <w:rsid w:val="009C63DC"/>
    <w:rsid w:val="009C6495"/>
    <w:rsid w:val="009C64C1"/>
    <w:rsid w:val="009C64E6"/>
    <w:rsid w:val="009C64F6"/>
    <w:rsid w:val="009C67ED"/>
    <w:rsid w:val="009C67FC"/>
    <w:rsid w:val="009C6CC7"/>
    <w:rsid w:val="009C6D90"/>
    <w:rsid w:val="009C6F43"/>
    <w:rsid w:val="009C6F80"/>
    <w:rsid w:val="009C71D5"/>
    <w:rsid w:val="009C72CA"/>
    <w:rsid w:val="009C7340"/>
    <w:rsid w:val="009C75E9"/>
    <w:rsid w:val="009C76EC"/>
    <w:rsid w:val="009C77D8"/>
    <w:rsid w:val="009C7877"/>
    <w:rsid w:val="009C7AED"/>
    <w:rsid w:val="009C7B2C"/>
    <w:rsid w:val="009C7BD0"/>
    <w:rsid w:val="009C7BD5"/>
    <w:rsid w:val="009C7C8A"/>
    <w:rsid w:val="009C7FCE"/>
    <w:rsid w:val="009C7FD5"/>
    <w:rsid w:val="009D022D"/>
    <w:rsid w:val="009D0314"/>
    <w:rsid w:val="009D05F6"/>
    <w:rsid w:val="009D0918"/>
    <w:rsid w:val="009D099F"/>
    <w:rsid w:val="009D0B16"/>
    <w:rsid w:val="009D0CAF"/>
    <w:rsid w:val="009D0DCF"/>
    <w:rsid w:val="009D0FF9"/>
    <w:rsid w:val="009D117C"/>
    <w:rsid w:val="009D1195"/>
    <w:rsid w:val="009D130D"/>
    <w:rsid w:val="009D132B"/>
    <w:rsid w:val="009D13C2"/>
    <w:rsid w:val="009D1439"/>
    <w:rsid w:val="009D1454"/>
    <w:rsid w:val="009D14E3"/>
    <w:rsid w:val="009D1675"/>
    <w:rsid w:val="009D170A"/>
    <w:rsid w:val="009D17F0"/>
    <w:rsid w:val="009D192C"/>
    <w:rsid w:val="009D1947"/>
    <w:rsid w:val="009D19C6"/>
    <w:rsid w:val="009D19C7"/>
    <w:rsid w:val="009D1C15"/>
    <w:rsid w:val="009D1C51"/>
    <w:rsid w:val="009D1C6A"/>
    <w:rsid w:val="009D1EFF"/>
    <w:rsid w:val="009D21DC"/>
    <w:rsid w:val="009D2246"/>
    <w:rsid w:val="009D22A0"/>
    <w:rsid w:val="009D22B1"/>
    <w:rsid w:val="009D22F2"/>
    <w:rsid w:val="009D2303"/>
    <w:rsid w:val="009D24A6"/>
    <w:rsid w:val="009D24B7"/>
    <w:rsid w:val="009D24BE"/>
    <w:rsid w:val="009D2570"/>
    <w:rsid w:val="009D26B1"/>
    <w:rsid w:val="009D27D6"/>
    <w:rsid w:val="009D2871"/>
    <w:rsid w:val="009D2880"/>
    <w:rsid w:val="009D2B4A"/>
    <w:rsid w:val="009D2B54"/>
    <w:rsid w:val="009D2C0B"/>
    <w:rsid w:val="009D2D16"/>
    <w:rsid w:val="009D2D5C"/>
    <w:rsid w:val="009D2FBD"/>
    <w:rsid w:val="009D3064"/>
    <w:rsid w:val="009D309E"/>
    <w:rsid w:val="009D30D2"/>
    <w:rsid w:val="009D30E0"/>
    <w:rsid w:val="009D3113"/>
    <w:rsid w:val="009D3131"/>
    <w:rsid w:val="009D3180"/>
    <w:rsid w:val="009D3288"/>
    <w:rsid w:val="009D336C"/>
    <w:rsid w:val="009D3490"/>
    <w:rsid w:val="009D35E3"/>
    <w:rsid w:val="009D3753"/>
    <w:rsid w:val="009D379C"/>
    <w:rsid w:val="009D388C"/>
    <w:rsid w:val="009D3971"/>
    <w:rsid w:val="009D3982"/>
    <w:rsid w:val="009D3C22"/>
    <w:rsid w:val="009D3C50"/>
    <w:rsid w:val="009D3C76"/>
    <w:rsid w:val="009D3CC9"/>
    <w:rsid w:val="009D3D93"/>
    <w:rsid w:val="009D3EF9"/>
    <w:rsid w:val="009D3F46"/>
    <w:rsid w:val="009D4097"/>
    <w:rsid w:val="009D40B0"/>
    <w:rsid w:val="009D4222"/>
    <w:rsid w:val="009D42C2"/>
    <w:rsid w:val="009D42FB"/>
    <w:rsid w:val="009D4332"/>
    <w:rsid w:val="009D4416"/>
    <w:rsid w:val="009D4444"/>
    <w:rsid w:val="009D45B8"/>
    <w:rsid w:val="009D474D"/>
    <w:rsid w:val="009D47E8"/>
    <w:rsid w:val="009D49C6"/>
    <w:rsid w:val="009D4A76"/>
    <w:rsid w:val="009D4DC2"/>
    <w:rsid w:val="009D4E2B"/>
    <w:rsid w:val="009D4E8B"/>
    <w:rsid w:val="009D4EBE"/>
    <w:rsid w:val="009D4F2B"/>
    <w:rsid w:val="009D4F96"/>
    <w:rsid w:val="009D4F9F"/>
    <w:rsid w:val="009D5130"/>
    <w:rsid w:val="009D51C0"/>
    <w:rsid w:val="009D5581"/>
    <w:rsid w:val="009D5605"/>
    <w:rsid w:val="009D5691"/>
    <w:rsid w:val="009D57C6"/>
    <w:rsid w:val="009D58A5"/>
    <w:rsid w:val="009D59BB"/>
    <w:rsid w:val="009D5B82"/>
    <w:rsid w:val="009D5CCE"/>
    <w:rsid w:val="009D5DF3"/>
    <w:rsid w:val="009D5E07"/>
    <w:rsid w:val="009D5EB8"/>
    <w:rsid w:val="009D5EC0"/>
    <w:rsid w:val="009D5F8E"/>
    <w:rsid w:val="009D601F"/>
    <w:rsid w:val="009D60B7"/>
    <w:rsid w:val="009D6343"/>
    <w:rsid w:val="009D6346"/>
    <w:rsid w:val="009D6448"/>
    <w:rsid w:val="009D6470"/>
    <w:rsid w:val="009D65F3"/>
    <w:rsid w:val="009D6670"/>
    <w:rsid w:val="009D67BF"/>
    <w:rsid w:val="009D684D"/>
    <w:rsid w:val="009D6964"/>
    <w:rsid w:val="009D6B98"/>
    <w:rsid w:val="009D6CC6"/>
    <w:rsid w:val="009D6E15"/>
    <w:rsid w:val="009D6E61"/>
    <w:rsid w:val="009D6F5C"/>
    <w:rsid w:val="009D6F82"/>
    <w:rsid w:val="009D6F9A"/>
    <w:rsid w:val="009D72DF"/>
    <w:rsid w:val="009D757A"/>
    <w:rsid w:val="009D76C4"/>
    <w:rsid w:val="009D778F"/>
    <w:rsid w:val="009D78FD"/>
    <w:rsid w:val="009D7940"/>
    <w:rsid w:val="009D7B3F"/>
    <w:rsid w:val="009D7BCC"/>
    <w:rsid w:val="009D7EEB"/>
    <w:rsid w:val="009D7F24"/>
    <w:rsid w:val="009D7FBF"/>
    <w:rsid w:val="009D7FC5"/>
    <w:rsid w:val="009E044C"/>
    <w:rsid w:val="009E0510"/>
    <w:rsid w:val="009E094C"/>
    <w:rsid w:val="009E0AFE"/>
    <w:rsid w:val="009E0DFA"/>
    <w:rsid w:val="009E0F11"/>
    <w:rsid w:val="009E0F35"/>
    <w:rsid w:val="009E0F7E"/>
    <w:rsid w:val="009E100B"/>
    <w:rsid w:val="009E1020"/>
    <w:rsid w:val="009E1162"/>
    <w:rsid w:val="009E11D5"/>
    <w:rsid w:val="009E123D"/>
    <w:rsid w:val="009E128D"/>
    <w:rsid w:val="009E12D8"/>
    <w:rsid w:val="009E12F7"/>
    <w:rsid w:val="009E1483"/>
    <w:rsid w:val="009E1650"/>
    <w:rsid w:val="009E16EC"/>
    <w:rsid w:val="009E17F6"/>
    <w:rsid w:val="009E17F8"/>
    <w:rsid w:val="009E186F"/>
    <w:rsid w:val="009E188D"/>
    <w:rsid w:val="009E19D8"/>
    <w:rsid w:val="009E19F6"/>
    <w:rsid w:val="009E1B42"/>
    <w:rsid w:val="009E1B91"/>
    <w:rsid w:val="009E1B92"/>
    <w:rsid w:val="009E1D92"/>
    <w:rsid w:val="009E1D94"/>
    <w:rsid w:val="009E1E58"/>
    <w:rsid w:val="009E1EAA"/>
    <w:rsid w:val="009E21C8"/>
    <w:rsid w:val="009E2308"/>
    <w:rsid w:val="009E23A3"/>
    <w:rsid w:val="009E23AD"/>
    <w:rsid w:val="009E2484"/>
    <w:rsid w:val="009E24BA"/>
    <w:rsid w:val="009E264C"/>
    <w:rsid w:val="009E26D0"/>
    <w:rsid w:val="009E290F"/>
    <w:rsid w:val="009E292A"/>
    <w:rsid w:val="009E2A31"/>
    <w:rsid w:val="009E2BA2"/>
    <w:rsid w:val="009E2BD2"/>
    <w:rsid w:val="009E2CED"/>
    <w:rsid w:val="009E2E23"/>
    <w:rsid w:val="009E2E7D"/>
    <w:rsid w:val="009E30F7"/>
    <w:rsid w:val="009E32F7"/>
    <w:rsid w:val="009E3508"/>
    <w:rsid w:val="009E3521"/>
    <w:rsid w:val="009E3568"/>
    <w:rsid w:val="009E358C"/>
    <w:rsid w:val="009E35B2"/>
    <w:rsid w:val="009E360C"/>
    <w:rsid w:val="009E3647"/>
    <w:rsid w:val="009E36DC"/>
    <w:rsid w:val="009E38E1"/>
    <w:rsid w:val="009E38F9"/>
    <w:rsid w:val="009E3B5C"/>
    <w:rsid w:val="009E3BA7"/>
    <w:rsid w:val="009E3D98"/>
    <w:rsid w:val="009E3DAC"/>
    <w:rsid w:val="009E3F96"/>
    <w:rsid w:val="009E416E"/>
    <w:rsid w:val="009E41A6"/>
    <w:rsid w:val="009E42C6"/>
    <w:rsid w:val="009E4302"/>
    <w:rsid w:val="009E4318"/>
    <w:rsid w:val="009E436F"/>
    <w:rsid w:val="009E4423"/>
    <w:rsid w:val="009E481E"/>
    <w:rsid w:val="009E4846"/>
    <w:rsid w:val="009E498A"/>
    <w:rsid w:val="009E498E"/>
    <w:rsid w:val="009E4AF4"/>
    <w:rsid w:val="009E4BE9"/>
    <w:rsid w:val="009E4C3A"/>
    <w:rsid w:val="009E4C3E"/>
    <w:rsid w:val="009E4E15"/>
    <w:rsid w:val="009E4E69"/>
    <w:rsid w:val="009E5004"/>
    <w:rsid w:val="009E5009"/>
    <w:rsid w:val="009E526A"/>
    <w:rsid w:val="009E534F"/>
    <w:rsid w:val="009E5520"/>
    <w:rsid w:val="009E577E"/>
    <w:rsid w:val="009E57BE"/>
    <w:rsid w:val="009E5895"/>
    <w:rsid w:val="009E58D2"/>
    <w:rsid w:val="009E58F5"/>
    <w:rsid w:val="009E5A12"/>
    <w:rsid w:val="009E5AFC"/>
    <w:rsid w:val="009E5C01"/>
    <w:rsid w:val="009E5C4C"/>
    <w:rsid w:val="009E5C95"/>
    <w:rsid w:val="009E5C9B"/>
    <w:rsid w:val="009E5CFE"/>
    <w:rsid w:val="009E5F58"/>
    <w:rsid w:val="009E6066"/>
    <w:rsid w:val="009E61B6"/>
    <w:rsid w:val="009E627D"/>
    <w:rsid w:val="009E63CC"/>
    <w:rsid w:val="009E6424"/>
    <w:rsid w:val="009E644C"/>
    <w:rsid w:val="009E650F"/>
    <w:rsid w:val="009E66F2"/>
    <w:rsid w:val="009E6718"/>
    <w:rsid w:val="009E6743"/>
    <w:rsid w:val="009E689E"/>
    <w:rsid w:val="009E693A"/>
    <w:rsid w:val="009E6987"/>
    <w:rsid w:val="009E6AB7"/>
    <w:rsid w:val="009E6B8D"/>
    <w:rsid w:val="009E7058"/>
    <w:rsid w:val="009E722C"/>
    <w:rsid w:val="009E735F"/>
    <w:rsid w:val="009E7439"/>
    <w:rsid w:val="009E7477"/>
    <w:rsid w:val="009E763B"/>
    <w:rsid w:val="009E7677"/>
    <w:rsid w:val="009E76B5"/>
    <w:rsid w:val="009E77F7"/>
    <w:rsid w:val="009E7800"/>
    <w:rsid w:val="009E784C"/>
    <w:rsid w:val="009E7943"/>
    <w:rsid w:val="009E7981"/>
    <w:rsid w:val="009E79A1"/>
    <w:rsid w:val="009F0008"/>
    <w:rsid w:val="009F0023"/>
    <w:rsid w:val="009F019A"/>
    <w:rsid w:val="009F01B1"/>
    <w:rsid w:val="009F0222"/>
    <w:rsid w:val="009F0465"/>
    <w:rsid w:val="009F0619"/>
    <w:rsid w:val="009F061C"/>
    <w:rsid w:val="009F076F"/>
    <w:rsid w:val="009F0C4B"/>
    <w:rsid w:val="009F0F88"/>
    <w:rsid w:val="009F0FBE"/>
    <w:rsid w:val="009F103C"/>
    <w:rsid w:val="009F12D6"/>
    <w:rsid w:val="009F1398"/>
    <w:rsid w:val="009F1479"/>
    <w:rsid w:val="009F1490"/>
    <w:rsid w:val="009F14B2"/>
    <w:rsid w:val="009F1533"/>
    <w:rsid w:val="009F154F"/>
    <w:rsid w:val="009F1698"/>
    <w:rsid w:val="009F17A8"/>
    <w:rsid w:val="009F184F"/>
    <w:rsid w:val="009F188E"/>
    <w:rsid w:val="009F1B9B"/>
    <w:rsid w:val="009F1B9C"/>
    <w:rsid w:val="009F1BF4"/>
    <w:rsid w:val="009F1DB9"/>
    <w:rsid w:val="009F1F49"/>
    <w:rsid w:val="009F2109"/>
    <w:rsid w:val="009F2154"/>
    <w:rsid w:val="009F2220"/>
    <w:rsid w:val="009F23EC"/>
    <w:rsid w:val="009F2460"/>
    <w:rsid w:val="009F24E4"/>
    <w:rsid w:val="009F2580"/>
    <w:rsid w:val="009F26CD"/>
    <w:rsid w:val="009F2868"/>
    <w:rsid w:val="009F28B6"/>
    <w:rsid w:val="009F2990"/>
    <w:rsid w:val="009F2A4A"/>
    <w:rsid w:val="009F2AF1"/>
    <w:rsid w:val="009F2B73"/>
    <w:rsid w:val="009F2C5C"/>
    <w:rsid w:val="009F2F58"/>
    <w:rsid w:val="009F30CD"/>
    <w:rsid w:val="009F31F5"/>
    <w:rsid w:val="009F3226"/>
    <w:rsid w:val="009F3288"/>
    <w:rsid w:val="009F32F2"/>
    <w:rsid w:val="009F33EC"/>
    <w:rsid w:val="009F357E"/>
    <w:rsid w:val="009F365E"/>
    <w:rsid w:val="009F3673"/>
    <w:rsid w:val="009F38FA"/>
    <w:rsid w:val="009F395E"/>
    <w:rsid w:val="009F396E"/>
    <w:rsid w:val="009F39A9"/>
    <w:rsid w:val="009F3B60"/>
    <w:rsid w:val="009F3C9C"/>
    <w:rsid w:val="009F3DE6"/>
    <w:rsid w:val="009F3E1F"/>
    <w:rsid w:val="009F3E4E"/>
    <w:rsid w:val="009F4208"/>
    <w:rsid w:val="009F4347"/>
    <w:rsid w:val="009F44CD"/>
    <w:rsid w:val="009F4597"/>
    <w:rsid w:val="009F482B"/>
    <w:rsid w:val="009F492D"/>
    <w:rsid w:val="009F4A40"/>
    <w:rsid w:val="009F4C0F"/>
    <w:rsid w:val="009F4DFC"/>
    <w:rsid w:val="009F4E0F"/>
    <w:rsid w:val="009F4EDB"/>
    <w:rsid w:val="009F4FF4"/>
    <w:rsid w:val="009F509E"/>
    <w:rsid w:val="009F5147"/>
    <w:rsid w:val="009F51C2"/>
    <w:rsid w:val="009F530D"/>
    <w:rsid w:val="009F5344"/>
    <w:rsid w:val="009F535F"/>
    <w:rsid w:val="009F53BD"/>
    <w:rsid w:val="009F53D1"/>
    <w:rsid w:val="009F544C"/>
    <w:rsid w:val="009F5556"/>
    <w:rsid w:val="009F55AD"/>
    <w:rsid w:val="009F567B"/>
    <w:rsid w:val="009F56FA"/>
    <w:rsid w:val="009F57AE"/>
    <w:rsid w:val="009F5807"/>
    <w:rsid w:val="009F599D"/>
    <w:rsid w:val="009F5ACA"/>
    <w:rsid w:val="009F5CF6"/>
    <w:rsid w:val="009F5D75"/>
    <w:rsid w:val="009F6030"/>
    <w:rsid w:val="009F608C"/>
    <w:rsid w:val="009F60F1"/>
    <w:rsid w:val="009F6102"/>
    <w:rsid w:val="009F62DD"/>
    <w:rsid w:val="009F63F4"/>
    <w:rsid w:val="009F6433"/>
    <w:rsid w:val="009F6448"/>
    <w:rsid w:val="009F6465"/>
    <w:rsid w:val="009F6676"/>
    <w:rsid w:val="009F675D"/>
    <w:rsid w:val="009F67C1"/>
    <w:rsid w:val="009F6968"/>
    <w:rsid w:val="009F6A46"/>
    <w:rsid w:val="009F6D0D"/>
    <w:rsid w:val="009F6F4C"/>
    <w:rsid w:val="009F7031"/>
    <w:rsid w:val="009F7097"/>
    <w:rsid w:val="009F709D"/>
    <w:rsid w:val="009F716E"/>
    <w:rsid w:val="009F7186"/>
    <w:rsid w:val="009F7249"/>
    <w:rsid w:val="009F7340"/>
    <w:rsid w:val="009F73BB"/>
    <w:rsid w:val="009F743D"/>
    <w:rsid w:val="009F75A8"/>
    <w:rsid w:val="009F7693"/>
    <w:rsid w:val="009F7780"/>
    <w:rsid w:val="009F77B7"/>
    <w:rsid w:val="009F7B6E"/>
    <w:rsid w:val="009F7BBD"/>
    <w:rsid w:val="009F7E16"/>
    <w:rsid w:val="009F7F68"/>
    <w:rsid w:val="009F7FB3"/>
    <w:rsid w:val="00A000EB"/>
    <w:rsid w:val="00A001AA"/>
    <w:rsid w:val="00A001F8"/>
    <w:rsid w:val="00A00208"/>
    <w:rsid w:val="00A0022C"/>
    <w:rsid w:val="00A003B4"/>
    <w:rsid w:val="00A00479"/>
    <w:rsid w:val="00A004D3"/>
    <w:rsid w:val="00A004D8"/>
    <w:rsid w:val="00A006D8"/>
    <w:rsid w:val="00A00834"/>
    <w:rsid w:val="00A00866"/>
    <w:rsid w:val="00A008E4"/>
    <w:rsid w:val="00A009B7"/>
    <w:rsid w:val="00A00A34"/>
    <w:rsid w:val="00A00C29"/>
    <w:rsid w:val="00A00EC0"/>
    <w:rsid w:val="00A00FD2"/>
    <w:rsid w:val="00A0103F"/>
    <w:rsid w:val="00A010A5"/>
    <w:rsid w:val="00A01265"/>
    <w:rsid w:val="00A012D1"/>
    <w:rsid w:val="00A0151C"/>
    <w:rsid w:val="00A0153E"/>
    <w:rsid w:val="00A01691"/>
    <w:rsid w:val="00A017A3"/>
    <w:rsid w:val="00A019B7"/>
    <w:rsid w:val="00A01AE5"/>
    <w:rsid w:val="00A01F47"/>
    <w:rsid w:val="00A0210C"/>
    <w:rsid w:val="00A0223F"/>
    <w:rsid w:val="00A02382"/>
    <w:rsid w:val="00A02529"/>
    <w:rsid w:val="00A0259D"/>
    <w:rsid w:val="00A02651"/>
    <w:rsid w:val="00A02727"/>
    <w:rsid w:val="00A02777"/>
    <w:rsid w:val="00A02879"/>
    <w:rsid w:val="00A02997"/>
    <w:rsid w:val="00A0299A"/>
    <w:rsid w:val="00A029A0"/>
    <w:rsid w:val="00A02A41"/>
    <w:rsid w:val="00A02A84"/>
    <w:rsid w:val="00A02AA6"/>
    <w:rsid w:val="00A02C78"/>
    <w:rsid w:val="00A02D0B"/>
    <w:rsid w:val="00A02D5F"/>
    <w:rsid w:val="00A02E22"/>
    <w:rsid w:val="00A02EBE"/>
    <w:rsid w:val="00A02EEE"/>
    <w:rsid w:val="00A02F2F"/>
    <w:rsid w:val="00A02F5A"/>
    <w:rsid w:val="00A03248"/>
    <w:rsid w:val="00A03294"/>
    <w:rsid w:val="00A03419"/>
    <w:rsid w:val="00A03521"/>
    <w:rsid w:val="00A03531"/>
    <w:rsid w:val="00A03577"/>
    <w:rsid w:val="00A035FA"/>
    <w:rsid w:val="00A03732"/>
    <w:rsid w:val="00A0376E"/>
    <w:rsid w:val="00A037D1"/>
    <w:rsid w:val="00A037FC"/>
    <w:rsid w:val="00A03895"/>
    <w:rsid w:val="00A0392E"/>
    <w:rsid w:val="00A0393D"/>
    <w:rsid w:val="00A03A54"/>
    <w:rsid w:val="00A03BA3"/>
    <w:rsid w:val="00A03D89"/>
    <w:rsid w:val="00A03E11"/>
    <w:rsid w:val="00A03EF4"/>
    <w:rsid w:val="00A03F54"/>
    <w:rsid w:val="00A03F74"/>
    <w:rsid w:val="00A03F9F"/>
    <w:rsid w:val="00A0402A"/>
    <w:rsid w:val="00A04198"/>
    <w:rsid w:val="00A0435F"/>
    <w:rsid w:val="00A0463A"/>
    <w:rsid w:val="00A04664"/>
    <w:rsid w:val="00A046F1"/>
    <w:rsid w:val="00A04702"/>
    <w:rsid w:val="00A0485A"/>
    <w:rsid w:val="00A0487C"/>
    <w:rsid w:val="00A048A5"/>
    <w:rsid w:val="00A04991"/>
    <w:rsid w:val="00A04A62"/>
    <w:rsid w:val="00A04ABD"/>
    <w:rsid w:val="00A04B13"/>
    <w:rsid w:val="00A04B53"/>
    <w:rsid w:val="00A04C89"/>
    <w:rsid w:val="00A04D3C"/>
    <w:rsid w:val="00A04D5C"/>
    <w:rsid w:val="00A04D65"/>
    <w:rsid w:val="00A04E6C"/>
    <w:rsid w:val="00A04F6C"/>
    <w:rsid w:val="00A0508F"/>
    <w:rsid w:val="00A0527B"/>
    <w:rsid w:val="00A052E7"/>
    <w:rsid w:val="00A05670"/>
    <w:rsid w:val="00A05705"/>
    <w:rsid w:val="00A057CA"/>
    <w:rsid w:val="00A058CA"/>
    <w:rsid w:val="00A058FE"/>
    <w:rsid w:val="00A05A7D"/>
    <w:rsid w:val="00A05A90"/>
    <w:rsid w:val="00A05D48"/>
    <w:rsid w:val="00A05DFE"/>
    <w:rsid w:val="00A05E48"/>
    <w:rsid w:val="00A05FAC"/>
    <w:rsid w:val="00A05FB9"/>
    <w:rsid w:val="00A0636D"/>
    <w:rsid w:val="00A06433"/>
    <w:rsid w:val="00A065E0"/>
    <w:rsid w:val="00A06784"/>
    <w:rsid w:val="00A067CA"/>
    <w:rsid w:val="00A0685B"/>
    <w:rsid w:val="00A068F1"/>
    <w:rsid w:val="00A06920"/>
    <w:rsid w:val="00A06932"/>
    <w:rsid w:val="00A06974"/>
    <w:rsid w:val="00A06975"/>
    <w:rsid w:val="00A069B5"/>
    <w:rsid w:val="00A069E2"/>
    <w:rsid w:val="00A06A89"/>
    <w:rsid w:val="00A06AD4"/>
    <w:rsid w:val="00A06B79"/>
    <w:rsid w:val="00A06BAF"/>
    <w:rsid w:val="00A06C12"/>
    <w:rsid w:val="00A06C3C"/>
    <w:rsid w:val="00A06CE7"/>
    <w:rsid w:val="00A06D2E"/>
    <w:rsid w:val="00A06D41"/>
    <w:rsid w:val="00A07036"/>
    <w:rsid w:val="00A070B8"/>
    <w:rsid w:val="00A070DB"/>
    <w:rsid w:val="00A07123"/>
    <w:rsid w:val="00A07304"/>
    <w:rsid w:val="00A075BC"/>
    <w:rsid w:val="00A07714"/>
    <w:rsid w:val="00A07753"/>
    <w:rsid w:val="00A07765"/>
    <w:rsid w:val="00A078AC"/>
    <w:rsid w:val="00A07CD2"/>
    <w:rsid w:val="00A07D7D"/>
    <w:rsid w:val="00A07E08"/>
    <w:rsid w:val="00A07FD6"/>
    <w:rsid w:val="00A10078"/>
    <w:rsid w:val="00A100E8"/>
    <w:rsid w:val="00A10185"/>
    <w:rsid w:val="00A101A4"/>
    <w:rsid w:val="00A101E4"/>
    <w:rsid w:val="00A102B6"/>
    <w:rsid w:val="00A105B1"/>
    <w:rsid w:val="00A105BE"/>
    <w:rsid w:val="00A106ED"/>
    <w:rsid w:val="00A10790"/>
    <w:rsid w:val="00A1083F"/>
    <w:rsid w:val="00A10950"/>
    <w:rsid w:val="00A10A71"/>
    <w:rsid w:val="00A10B3A"/>
    <w:rsid w:val="00A10C6D"/>
    <w:rsid w:val="00A10D91"/>
    <w:rsid w:val="00A10E60"/>
    <w:rsid w:val="00A10EEF"/>
    <w:rsid w:val="00A10F13"/>
    <w:rsid w:val="00A10F2E"/>
    <w:rsid w:val="00A11018"/>
    <w:rsid w:val="00A110C3"/>
    <w:rsid w:val="00A1117E"/>
    <w:rsid w:val="00A1127E"/>
    <w:rsid w:val="00A112FD"/>
    <w:rsid w:val="00A113ED"/>
    <w:rsid w:val="00A114BC"/>
    <w:rsid w:val="00A11515"/>
    <w:rsid w:val="00A1167A"/>
    <w:rsid w:val="00A1167E"/>
    <w:rsid w:val="00A116D8"/>
    <w:rsid w:val="00A117A9"/>
    <w:rsid w:val="00A117ED"/>
    <w:rsid w:val="00A1190D"/>
    <w:rsid w:val="00A11A16"/>
    <w:rsid w:val="00A11A7B"/>
    <w:rsid w:val="00A11B77"/>
    <w:rsid w:val="00A11CDC"/>
    <w:rsid w:val="00A11DB0"/>
    <w:rsid w:val="00A11F0C"/>
    <w:rsid w:val="00A11F6B"/>
    <w:rsid w:val="00A1202C"/>
    <w:rsid w:val="00A120F2"/>
    <w:rsid w:val="00A122F0"/>
    <w:rsid w:val="00A12364"/>
    <w:rsid w:val="00A123A1"/>
    <w:rsid w:val="00A123CB"/>
    <w:rsid w:val="00A125E2"/>
    <w:rsid w:val="00A1280E"/>
    <w:rsid w:val="00A12818"/>
    <w:rsid w:val="00A12A17"/>
    <w:rsid w:val="00A12AD5"/>
    <w:rsid w:val="00A12C5E"/>
    <w:rsid w:val="00A12C6A"/>
    <w:rsid w:val="00A12CA0"/>
    <w:rsid w:val="00A12CE0"/>
    <w:rsid w:val="00A1302B"/>
    <w:rsid w:val="00A130AC"/>
    <w:rsid w:val="00A132FB"/>
    <w:rsid w:val="00A134F7"/>
    <w:rsid w:val="00A1352F"/>
    <w:rsid w:val="00A135E2"/>
    <w:rsid w:val="00A1360A"/>
    <w:rsid w:val="00A136AB"/>
    <w:rsid w:val="00A137E5"/>
    <w:rsid w:val="00A1385D"/>
    <w:rsid w:val="00A138BD"/>
    <w:rsid w:val="00A13AD2"/>
    <w:rsid w:val="00A13DA1"/>
    <w:rsid w:val="00A1404B"/>
    <w:rsid w:val="00A1405A"/>
    <w:rsid w:val="00A1411D"/>
    <w:rsid w:val="00A141C1"/>
    <w:rsid w:val="00A14268"/>
    <w:rsid w:val="00A14436"/>
    <w:rsid w:val="00A14449"/>
    <w:rsid w:val="00A14476"/>
    <w:rsid w:val="00A14525"/>
    <w:rsid w:val="00A14575"/>
    <w:rsid w:val="00A14637"/>
    <w:rsid w:val="00A14677"/>
    <w:rsid w:val="00A14743"/>
    <w:rsid w:val="00A14844"/>
    <w:rsid w:val="00A14B41"/>
    <w:rsid w:val="00A14B55"/>
    <w:rsid w:val="00A14CC5"/>
    <w:rsid w:val="00A14DD5"/>
    <w:rsid w:val="00A14F26"/>
    <w:rsid w:val="00A14F86"/>
    <w:rsid w:val="00A14FAC"/>
    <w:rsid w:val="00A151DC"/>
    <w:rsid w:val="00A15344"/>
    <w:rsid w:val="00A15401"/>
    <w:rsid w:val="00A15482"/>
    <w:rsid w:val="00A1578F"/>
    <w:rsid w:val="00A157E0"/>
    <w:rsid w:val="00A15964"/>
    <w:rsid w:val="00A1598B"/>
    <w:rsid w:val="00A159AD"/>
    <w:rsid w:val="00A15A16"/>
    <w:rsid w:val="00A15AB3"/>
    <w:rsid w:val="00A15BD4"/>
    <w:rsid w:val="00A15C3B"/>
    <w:rsid w:val="00A15E87"/>
    <w:rsid w:val="00A15E95"/>
    <w:rsid w:val="00A15EBD"/>
    <w:rsid w:val="00A16016"/>
    <w:rsid w:val="00A160CD"/>
    <w:rsid w:val="00A1622C"/>
    <w:rsid w:val="00A16296"/>
    <w:rsid w:val="00A162B7"/>
    <w:rsid w:val="00A16476"/>
    <w:rsid w:val="00A16666"/>
    <w:rsid w:val="00A16806"/>
    <w:rsid w:val="00A16808"/>
    <w:rsid w:val="00A16A42"/>
    <w:rsid w:val="00A16B7A"/>
    <w:rsid w:val="00A16D90"/>
    <w:rsid w:val="00A16E98"/>
    <w:rsid w:val="00A16F44"/>
    <w:rsid w:val="00A1701F"/>
    <w:rsid w:val="00A170C5"/>
    <w:rsid w:val="00A17130"/>
    <w:rsid w:val="00A1742D"/>
    <w:rsid w:val="00A17538"/>
    <w:rsid w:val="00A1775E"/>
    <w:rsid w:val="00A177CF"/>
    <w:rsid w:val="00A177F9"/>
    <w:rsid w:val="00A1780D"/>
    <w:rsid w:val="00A179F4"/>
    <w:rsid w:val="00A17A41"/>
    <w:rsid w:val="00A17A44"/>
    <w:rsid w:val="00A17B0C"/>
    <w:rsid w:val="00A17B0F"/>
    <w:rsid w:val="00A17B7A"/>
    <w:rsid w:val="00A17CD3"/>
    <w:rsid w:val="00A17D60"/>
    <w:rsid w:val="00A17F4E"/>
    <w:rsid w:val="00A20039"/>
    <w:rsid w:val="00A20135"/>
    <w:rsid w:val="00A20183"/>
    <w:rsid w:val="00A2041A"/>
    <w:rsid w:val="00A2060F"/>
    <w:rsid w:val="00A207B6"/>
    <w:rsid w:val="00A2083C"/>
    <w:rsid w:val="00A209E5"/>
    <w:rsid w:val="00A20AEB"/>
    <w:rsid w:val="00A20B47"/>
    <w:rsid w:val="00A20BFB"/>
    <w:rsid w:val="00A20C88"/>
    <w:rsid w:val="00A20D4B"/>
    <w:rsid w:val="00A20DAF"/>
    <w:rsid w:val="00A20E90"/>
    <w:rsid w:val="00A20F0D"/>
    <w:rsid w:val="00A20FCB"/>
    <w:rsid w:val="00A20FE7"/>
    <w:rsid w:val="00A2107F"/>
    <w:rsid w:val="00A210EA"/>
    <w:rsid w:val="00A211AA"/>
    <w:rsid w:val="00A212DB"/>
    <w:rsid w:val="00A21366"/>
    <w:rsid w:val="00A215A8"/>
    <w:rsid w:val="00A21623"/>
    <w:rsid w:val="00A218F0"/>
    <w:rsid w:val="00A21A06"/>
    <w:rsid w:val="00A21A8C"/>
    <w:rsid w:val="00A21BD2"/>
    <w:rsid w:val="00A22045"/>
    <w:rsid w:val="00A222E9"/>
    <w:rsid w:val="00A2231B"/>
    <w:rsid w:val="00A22342"/>
    <w:rsid w:val="00A22393"/>
    <w:rsid w:val="00A224CE"/>
    <w:rsid w:val="00A2257E"/>
    <w:rsid w:val="00A22641"/>
    <w:rsid w:val="00A228C2"/>
    <w:rsid w:val="00A22923"/>
    <w:rsid w:val="00A22939"/>
    <w:rsid w:val="00A22A2E"/>
    <w:rsid w:val="00A22AEB"/>
    <w:rsid w:val="00A22E4D"/>
    <w:rsid w:val="00A230D1"/>
    <w:rsid w:val="00A2315E"/>
    <w:rsid w:val="00A23372"/>
    <w:rsid w:val="00A233B0"/>
    <w:rsid w:val="00A235B6"/>
    <w:rsid w:val="00A2362D"/>
    <w:rsid w:val="00A2371A"/>
    <w:rsid w:val="00A237E6"/>
    <w:rsid w:val="00A23B77"/>
    <w:rsid w:val="00A23BD2"/>
    <w:rsid w:val="00A23E10"/>
    <w:rsid w:val="00A23EB9"/>
    <w:rsid w:val="00A23EC7"/>
    <w:rsid w:val="00A24137"/>
    <w:rsid w:val="00A241B0"/>
    <w:rsid w:val="00A242A5"/>
    <w:rsid w:val="00A242C3"/>
    <w:rsid w:val="00A243A8"/>
    <w:rsid w:val="00A244A7"/>
    <w:rsid w:val="00A244C9"/>
    <w:rsid w:val="00A244FE"/>
    <w:rsid w:val="00A24556"/>
    <w:rsid w:val="00A24617"/>
    <w:rsid w:val="00A246CA"/>
    <w:rsid w:val="00A246EE"/>
    <w:rsid w:val="00A24962"/>
    <w:rsid w:val="00A24987"/>
    <w:rsid w:val="00A24A32"/>
    <w:rsid w:val="00A24C86"/>
    <w:rsid w:val="00A250BE"/>
    <w:rsid w:val="00A25104"/>
    <w:rsid w:val="00A2529C"/>
    <w:rsid w:val="00A252B3"/>
    <w:rsid w:val="00A25311"/>
    <w:rsid w:val="00A2532D"/>
    <w:rsid w:val="00A253D7"/>
    <w:rsid w:val="00A25408"/>
    <w:rsid w:val="00A254BC"/>
    <w:rsid w:val="00A2563F"/>
    <w:rsid w:val="00A25674"/>
    <w:rsid w:val="00A25751"/>
    <w:rsid w:val="00A258DC"/>
    <w:rsid w:val="00A25BBB"/>
    <w:rsid w:val="00A25CC7"/>
    <w:rsid w:val="00A25CCD"/>
    <w:rsid w:val="00A25CFC"/>
    <w:rsid w:val="00A25DD8"/>
    <w:rsid w:val="00A25F2A"/>
    <w:rsid w:val="00A25F86"/>
    <w:rsid w:val="00A25FB2"/>
    <w:rsid w:val="00A263A0"/>
    <w:rsid w:val="00A263ED"/>
    <w:rsid w:val="00A26494"/>
    <w:rsid w:val="00A264DD"/>
    <w:rsid w:val="00A2651B"/>
    <w:rsid w:val="00A2656A"/>
    <w:rsid w:val="00A266ED"/>
    <w:rsid w:val="00A26776"/>
    <w:rsid w:val="00A267A1"/>
    <w:rsid w:val="00A26BF0"/>
    <w:rsid w:val="00A26D08"/>
    <w:rsid w:val="00A26D46"/>
    <w:rsid w:val="00A26E64"/>
    <w:rsid w:val="00A27394"/>
    <w:rsid w:val="00A273BE"/>
    <w:rsid w:val="00A27443"/>
    <w:rsid w:val="00A27534"/>
    <w:rsid w:val="00A27701"/>
    <w:rsid w:val="00A277C9"/>
    <w:rsid w:val="00A278BD"/>
    <w:rsid w:val="00A27951"/>
    <w:rsid w:val="00A27A18"/>
    <w:rsid w:val="00A27A31"/>
    <w:rsid w:val="00A27AAA"/>
    <w:rsid w:val="00A27AE3"/>
    <w:rsid w:val="00A27B5D"/>
    <w:rsid w:val="00A27E09"/>
    <w:rsid w:val="00A27EC6"/>
    <w:rsid w:val="00A30001"/>
    <w:rsid w:val="00A301B6"/>
    <w:rsid w:val="00A30205"/>
    <w:rsid w:val="00A30354"/>
    <w:rsid w:val="00A303AB"/>
    <w:rsid w:val="00A303F8"/>
    <w:rsid w:val="00A3040F"/>
    <w:rsid w:val="00A30497"/>
    <w:rsid w:val="00A3056A"/>
    <w:rsid w:val="00A305A7"/>
    <w:rsid w:val="00A306CE"/>
    <w:rsid w:val="00A306F4"/>
    <w:rsid w:val="00A30736"/>
    <w:rsid w:val="00A3078E"/>
    <w:rsid w:val="00A30A10"/>
    <w:rsid w:val="00A30AC3"/>
    <w:rsid w:val="00A30EE8"/>
    <w:rsid w:val="00A30F1C"/>
    <w:rsid w:val="00A30F71"/>
    <w:rsid w:val="00A30FC7"/>
    <w:rsid w:val="00A3102C"/>
    <w:rsid w:val="00A31030"/>
    <w:rsid w:val="00A3106D"/>
    <w:rsid w:val="00A31098"/>
    <w:rsid w:val="00A310B6"/>
    <w:rsid w:val="00A311DB"/>
    <w:rsid w:val="00A313E4"/>
    <w:rsid w:val="00A31408"/>
    <w:rsid w:val="00A314A9"/>
    <w:rsid w:val="00A314CB"/>
    <w:rsid w:val="00A3156C"/>
    <w:rsid w:val="00A31579"/>
    <w:rsid w:val="00A31625"/>
    <w:rsid w:val="00A31846"/>
    <w:rsid w:val="00A319D2"/>
    <w:rsid w:val="00A31B09"/>
    <w:rsid w:val="00A31B8C"/>
    <w:rsid w:val="00A31D1B"/>
    <w:rsid w:val="00A31D6C"/>
    <w:rsid w:val="00A31D9B"/>
    <w:rsid w:val="00A31DC6"/>
    <w:rsid w:val="00A31EE9"/>
    <w:rsid w:val="00A322CA"/>
    <w:rsid w:val="00A323F3"/>
    <w:rsid w:val="00A324ED"/>
    <w:rsid w:val="00A32723"/>
    <w:rsid w:val="00A32784"/>
    <w:rsid w:val="00A327D9"/>
    <w:rsid w:val="00A327FC"/>
    <w:rsid w:val="00A32A64"/>
    <w:rsid w:val="00A32BCB"/>
    <w:rsid w:val="00A32CD3"/>
    <w:rsid w:val="00A32FF2"/>
    <w:rsid w:val="00A330BF"/>
    <w:rsid w:val="00A33107"/>
    <w:rsid w:val="00A331A2"/>
    <w:rsid w:val="00A33257"/>
    <w:rsid w:val="00A3333A"/>
    <w:rsid w:val="00A3334A"/>
    <w:rsid w:val="00A33365"/>
    <w:rsid w:val="00A3338D"/>
    <w:rsid w:val="00A33397"/>
    <w:rsid w:val="00A333DD"/>
    <w:rsid w:val="00A33418"/>
    <w:rsid w:val="00A334B5"/>
    <w:rsid w:val="00A334D4"/>
    <w:rsid w:val="00A334F4"/>
    <w:rsid w:val="00A3354E"/>
    <w:rsid w:val="00A3363C"/>
    <w:rsid w:val="00A33663"/>
    <w:rsid w:val="00A3368A"/>
    <w:rsid w:val="00A337EF"/>
    <w:rsid w:val="00A338CF"/>
    <w:rsid w:val="00A33A87"/>
    <w:rsid w:val="00A33A8B"/>
    <w:rsid w:val="00A33CCE"/>
    <w:rsid w:val="00A33D6C"/>
    <w:rsid w:val="00A33D9C"/>
    <w:rsid w:val="00A33DDC"/>
    <w:rsid w:val="00A33E2C"/>
    <w:rsid w:val="00A33F30"/>
    <w:rsid w:val="00A33F41"/>
    <w:rsid w:val="00A33FA9"/>
    <w:rsid w:val="00A3418E"/>
    <w:rsid w:val="00A341F7"/>
    <w:rsid w:val="00A3449A"/>
    <w:rsid w:val="00A344EC"/>
    <w:rsid w:val="00A34510"/>
    <w:rsid w:val="00A3457F"/>
    <w:rsid w:val="00A345ED"/>
    <w:rsid w:val="00A345F8"/>
    <w:rsid w:val="00A346C5"/>
    <w:rsid w:val="00A346ED"/>
    <w:rsid w:val="00A34719"/>
    <w:rsid w:val="00A3471A"/>
    <w:rsid w:val="00A34776"/>
    <w:rsid w:val="00A347D9"/>
    <w:rsid w:val="00A348A1"/>
    <w:rsid w:val="00A348F8"/>
    <w:rsid w:val="00A349CB"/>
    <w:rsid w:val="00A34AC2"/>
    <w:rsid w:val="00A34C67"/>
    <w:rsid w:val="00A34CDF"/>
    <w:rsid w:val="00A34DF9"/>
    <w:rsid w:val="00A34ECE"/>
    <w:rsid w:val="00A34EFE"/>
    <w:rsid w:val="00A3503B"/>
    <w:rsid w:val="00A3507A"/>
    <w:rsid w:val="00A350B4"/>
    <w:rsid w:val="00A351FA"/>
    <w:rsid w:val="00A3543F"/>
    <w:rsid w:val="00A35569"/>
    <w:rsid w:val="00A355D0"/>
    <w:rsid w:val="00A35698"/>
    <w:rsid w:val="00A356F3"/>
    <w:rsid w:val="00A3582F"/>
    <w:rsid w:val="00A35923"/>
    <w:rsid w:val="00A35943"/>
    <w:rsid w:val="00A35970"/>
    <w:rsid w:val="00A35AC3"/>
    <w:rsid w:val="00A35B9F"/>
    <w:rsid w:val="00A35BB2"/>
    <w:rsid w:val="00A35C43"/>
    <w:rsid w:val="00A35C68"/>
    <w:rsid w:val="00A35C98"/>
    <w:rsid w:val="00A35D9C"/>
    <w:rsid w:val="00A35F0A"/>
    <w:rsid w:val="00A35F9E"/>
    <w:rsid w:val="00A35FAB"/>
    <w:rsid w:val="00A360A7"/>
    <w:rsid w:val="00A3610A"/>
    <w:rsid w:val="00A361BD"/>
    <w:rsid w:val="00A36205"/>
    <w:rsid w:val="00A36763"/>
    <w:rsid w:val="00A3684D"/>
    <w:rsid w:val="00A368B6"/>
    <w:rsid w:val="00A36B27"/>
    <w:rsid w:val="00A36BE5"/>
    <w:rsid w:val="00A36C89"/>
    <w:rsid w:val="00A36CE6"/>
    <w:rsid w:val="00A36CF0"/>
    <w:rsid w:val="00A36E24"/>
    <w:rsid w:val="00A36FB4"/>
    <w:rsid w:val="00A370C7"/>
    <w:rsid w:val="00A370DF"/>
    <w:rsid w:val="00A3736C"/>
    <w:rsid w:val="00A373A6"/>
    <w:rsid w:val="00A37419"/>
    <w:rsid w:val="00A3766C"/>
    <w:rsid w:val="00A376F2"/>
    <w:rsid w:val="00A37850"/>
    <w:rsid w:val="00A379E0"/>
    <w:rsid w:val="00A37A44"/>
    <w:rsid w:val="00A37B89"/>
    <w:rsid w:val="00A37B8C"/>
    <w:rsid w:val="00A37C6D"/>
    <w:rsid w:val="00A37CBF"/>
    <w:rsid w:val="00A37DEC"/>
    <w:rsid w:val="00A37F58"/>
    <w:rsid w:val="00A37F6B"/>
    <w:rsid w:val="00A4017C"/>
    <w:rsid w:val="00A40202"/>
    <w:rsid w:val="00A4033F"/>
    <w:rsid w:val="00A40360"/>
    <w:rsid w:val="00A40428"/>
    <w:rsid w:val="00A404C1"/>
    <w:rsid w:val="00A40521"/>
    <w:rsid w:val="00A40560"/>
    <w:rsid w:val="00A405AB"/>
    <w:rsid w:val="00A4077C"/>
    <w:rsid w:val="00A407D3"/>
    <w:rsid w:val="00A40835"/>
    <w:rsid w:val="00A40844"/>
    <w:rsid w:val="00A408D1"/>
    <w:rsid w:val="00A408D3"/>
    <w:rsid w:val="00A40A64"/>
    <w:rsid w:val="00A40BCA"/>
    <w:rsid w:val="00A40C3C"/>
    <w:rsid w:val="00A40C9C"/>
    <w:rsid w:val="00A40E5F"/>
    <w:rsid w:val="00A40EBA"/>
    <w:rsid w:val="00A40EFC"/>
    <w:rsid w:val="00A4137C"/>
    <w:rsid w:val="00A418F7"/>
    <w:rsid w:val="00A4190D"/>
    <w:rsid w:val="00A419F2"/>
    <w:rsid w:val="00A41A3A"/>
    <w:rsid w:val="00A41B29"/>
    <w:rsid w:val="00A41BC1"/>
    <w:rsid w:val="00A41BE8"/>
    <w:rsid w:val="00A41CAE"/>
    <w:rsid w:val="00A41D81"/>
    <w:rsid w:val="00A41DC6"/>
    <w:rsid w:val="00A42083"/>
    <w:rsid w:val="00A421BA"/>
    <w:rsid w:val="00A424F1"/>
    <w:rsid w:val="00A425C8"/>
    <w:rsid w:val="00A42608"/>
    <w:rsid w:val="00A4266A"/>
    <w:rsid w:val="00A426DC"/>
    <w:rsid w:val="00A4286F"/>
    <w:rsid w:val="00A42895"/>
    <w:rsid w:val="00A42A7D"/>
    <w:rsid w:val="00A42AE0"/>
    <w:rsid w:val="00A42B78"/>
    <w:rsid w:val="00A42DBB"/>
    <w:rsid w:val="00A42E3A"/>
    <w:rsid w:val="00A42F65"/>
    <w:rsid w:val="00A42FE8"/>
    <w:rsid w:val="00A430CB"/>
    <w:rsid w:val="00A4317B"/>
    <w:rsid w:val="00A431B1"/>
    <w:rsid w:val="00A431DB"/>
    <w:rsid w:val="00A431FA"/>
    <w:rsid w:val="00A43243"/>
    <w:rsid w:val="00A4341C"/>
    <w:rsid w:val="00A43525"/>
    <w:rsid w:val="00A4354A"/>
    <w:rsid w:val="00A436C9"/>
    <w:rsid w:val="00A437D7"/>
    <w:rsid w:val="00A43AE2"/>
    <w:rsid w:val="00A43C70"/>
    <w:rsid w:val="00A43CB5"/>
    <w:rsid w:val="00A43CE6"/>
    <w:rsid w:val="00A43D15"/>
    <w:rsid w:val="00A43E8E"/>
    <w:rsid w:val="00A43EEE"/>
    <w:rsid w:val="00A440F9"/>
    <w:rsid w:val="00A442AF"/>
    <w:rsid w:val="00A44403"/>
    <w:rsid w:val="00A44744"/>
    <w:rsid w:val="00A44859"/>
    <w:rsid w:val="00A448A6"/>
    <w:rsid w:val="00A448E0"/>
    <w:rsid w:val="00A44911"/>
    <w:rsid w:val="00A44C26"/>
    <w:rsid w:val="00A44D27"/>
    <w:rsid w:val="00A44D73"/>
    <w:rsid w:val="00A44D76"/>
    <w:rsid w:val="00A44E98"/>
    <w:rsid w:val="00A44F36"/>
    <w:rsid w:val="00A45030"/>
    <w:rsid w:val="00A450E2"/>
    <w:rsid w:val="00A4527B"/>
    <w:rsid w:val="00A45562"/>
    <w:rsid w:val="00A4562F"/>
    <w:rsid w:val="00A45692"/>
    <w:rsid w:val="00A456E7"/>
    <w:rsid w:val="00A456F2"/>
    <w:rsid w:val="00A457E1"/>
    <w:rsid w:val="00A45813"/>
    <w:rsid w:val="00A45835"/>
    <w:rsid w:val="00A45913"/>
    <w:rsid w:val="00A4593C"/>
    <w:rsid w:val="00A45942"/>
    <w:rsid w:val="00A45A56"/>
    <w:rsid w:val="00A45BA8"/>
    <w:rsid w:val="00A45C5A"/>
    <w:rsid w:val="00A45CCF"/>
    <w:rsid w:val="00A45D42"/>
    <w:rsid w:val="00A45D61"/>
    <w:rsid w:val="00A460AE"/>
    <w:rsid w:val="00A460EF"/>
    <w:rsid w:val="00A4614B"/>
    <w:rsid w:val="00A46244"/>
    <w:rsid w:val="00A462A0"/>
    <w:rsid w:val="00A4631B"/>
    <w:rsid w:val="00A46348"/>
    <w:rsid w:val="00A46384"/>
    <w:rsid w:val="00A466BF"/>
    <w:rsid w:val="00A466D3"/>
    <w:rsid w:val="00A466DA"/>
    <w:rsid w:val="00A46820"/>
    <w:rsid w:val="00A46822"/>
    <w:rsid w:val="00A4686B"/>
    <w:rsid w:val="00A468DC"/>
    <w:rsid w:val="00A46903"/>
    <w:rsid w:val="00A4696E"/>
    <w:rsid w:val="00A46ACD"/>
    <w:rsid w:val="00A46B54"/>
    <w:rsid w:val="00A46CBF"/>
    <w:rsid w:val="00A46EA9"/>
    <w:rsid w:val="00A46FE9"/>
    <w:rsid w:val="00A47385"/>
    <w:rsid w:val="00A473AD"/>
    <w:rsid w:val="00A475FA"/>
    <w:rsid w:val="00A476DE"/>
    <w:rsid w:val="00A478E0"/>
    <w:rsid w:val="00A478EF"/>
    <w:rsid w:val="00A47A1D"/>
    <w:rsid w:val="00A47A45"/>
    <w:rsid w:val="00A47CBA"/>
    <w:rsid w:val="00A47D23"/>
    <w:rsid w:val="00A47DD3"/>
    <w:rsid w:val="00A47E09"/>
    <w:rsid w:val="00A50011"/>
    <w:rsid w:val="00A50031"/>
    <w:rsid w:val="00A500AE"/>
    <w:rsid w:val="00A502A9"/>
    <w:rsid w:val="00A50314"/>
    <w:rsid w:val="00A503BF"/>
    <w:rsid w:val="00A503CE"/>
    <w:rsid w:val="00A50612"/>
    <w:rsid w:val="00A5068B"/>
    <w:rsid w:val="00A506AF"/>
    <w:rsid w:val="00A506BA"/>
    <w:rsid w:val="00A50836"/>
    <w:rsid w:val="00A5096E"/>
    <w:rsid w:val="00A50FB7"/>
    <w:rsid w:val="00A50FBF"/>
    <w:rsid w:val="00A51056"/>
    <w:rsid w:val="00A514CE"/>
    <w:rsid w:val="00A51569"/>
    <w:rsid w:val="00A51585"/>
    <w:rsid w:val="00A51687"/>
    <w:rsid w:val="00A516CF"/>
    <w:rsid w:val="00A5195F"/>
    <w:rsid w:val="00A5197B"/>
    <w:rsid w:val="00A51B87"/>
    <w:rsid w:val="00A51BBD"/>
    <w:rsid w:val="00A51D54"/>
    <w:rsid w:val="00A51DA1"/>
    <w:rsid w:val="00A51E25"/>
    <w:rsid w:val="00A51F0D"/>
    <w:rsid w:val="00A51F34"/>
    <w:rsid w:val="00A52059"/>
    <w:rsid w:val="00A5207B"/>
    <w:rsid w:val="00A52135"/>
    <w:rsid w:val="00A5218B"/>
    <w:rsid w:val="00A52201"/>
    <w:rsid w:val="00A5221F"/>
    <w:rsid w:val="00A5238F"/>
    <w:rsid w:val="00A52408"/>
    <w:rsid w:val="00A524CE"/>
    <w:rsid w:val="00A52653"/>
    <w:rsid w:val="00A52761"/>
    <w:rsid w:val="00A52766"/>
    <w:rsid w:val="00A5288B"/>
    <w:rsid w:val="00A528A2"/>
    <w:rsid w:val="00A528A3"/>
    <w:rsid w:val="00A52931"/>
    <w:rsid w:val="00A52B73"/>
    <w:rsid w:val="00A52CB6"/>
    <w:rsid w:val="00A52D8D"/>
    <w:rsid w:val="00A52DC4"/>
    <w:rsid w:val="00A52DDB"/>
    <w:rsid w:val="00A52DFF"/>
    <w:rsid w:val="00A53030"/>
    <w:rsid w:val="00A53042"/>
    <w:rsid w:val="00A53107"/>
    <w:rsid w:val="00A533F2"/>
    <w:rsid w:val="00A53411"/>
    <w:rsid w:val="00A5344D"/>
    <w:rsid w:val="00A53453"/>
    <w:rsid w:val="00A534BA"/>
    <w:rsid w:val="00A53510"/>
    <w:rsid w:val="00A53539"/>
    <w:rsid w:val="00A53881"/>
    <w:rsid w:val="00A53994"/>
    <w:rsid w:val="00A53AF4"/>
    <w:rsid w:val="00A53AFB"/>
    <w:rsid w:val="00A53B5B"/>
    <w:rsid w:val="00A53BE0"/>
    <w:rsid w:val="00A53CC6"/>
    <w:rsid w:val="00A53CD0"/>
    <w:rsid w:val="00A53DC1"/>
    <w:rsid w:val="00A53E04"/>
    <w:rsid w:val="00A53EA1"/>
    <w:rsid w:val="00A53EE1"/>
    <w:rsid w:val="00A53F2A"/>
    <w:rsid w:val="00A54090"/>
    <w:rsid w:val="00A5425B"/>
    <w:rsid w:val="00A5426B"/>
    <w:rsid w:val="00A542EB"/>
    <w:rsid w:val="00A54327"/>
    <w:rsid w:val="00A5438D"/>
    <w:rsid w:val="00A543F1"/>
    <w:rsid w:val="00A5473B"/>
    <w:rsid w:val="00A54792"/>
    <w:rsid w:val="00A54A81"/>
    <w:rsid w:val="00A54AB8"/>
    <w:rsid w:val="00A54CCC"/>
    <w:rsid w:val="00A54E90"/>
    <w:rsid w:val="00A54EF9"/>
    <w:rsid w:val="00A54F45"/>
    <w:rsid w:val="00A551AF"/>
    <w:rsid w:val="00A55227"/>
    <w:rsid w:val="00A55236"/>
    <w:rsid w:val="00A55265"/>
    <w:rsid w:val="00A552F5"/>
    <w:rsid w:val="00A55351"/>
    <w:rsid w:val="00A5538D"/>
    <w:rsid w:val="00A553DF"/>
    <w:rsid w:val="00A553E1"/>
    <w:rsid w:val="00A5551B"/>
    <w:rsid w:val="00A5557A"/>
    <w:rsid w:val="00A55673"/>
    <w:rsid w:val="00A556BD"/>
    <w:rsid w:val="00A5577B"/>
    <w:rsid w:val="00A5588E"/>
    <w:rsid w:val="00A55A40"/>
    <w:rsid w:val="00A55B7B"/>
    <w:rsid w:val="00A55BB9"/>
    <w:rsid w:val="00A55ED4"/>
    <w:rsid w:val="00A55FE2"/>
    <w:rsid w:val="00A55FFA"/>
    <w:rsid w:val="00A56059"/>
    <w:rsid w:val="00A5609F"/>
    <w:rsid w:val="00A561A7"/>
    <w:rsid w:val="00A56288"/>
    <w:rsid w:val="00A56377"/>
    <w:rsid w:val="00A5639A"/>
    <w:rsid w:val="00A563A5"/>
    <w:rsid w:val="00A564EC"/>
    <w:rsid w:val="00A566FB"/>
    <w:rsid w:val="00A56828"/>
    <w:rsid w:val="00A568B3"/>
    <w:rsid w:val="00A56A91"/>
    <w:rsid w:val="00A56B78"/>
    <w:rsid w:val="00A56F01"/>
    <w:rsid w:val="00A56F23"/>
    <w:rsid w:val="00A57033"/>
    <w:rsid w:val="00A5705F"/>
    <w:rsid w:val="00A5707E"/>
    <w:rsid w:val="00A572B7"/>
    <w:rsid w:val="00A572C3"/>
    <w:rsid w:val="00A57475"/>
    <w:rsid w:val="00A57714"/>
    <w:rsid w:val="00A579C7"/>
    <w:rsid w:val="00A57ACF"/>
    <w:rsid w:val="00A57C0D"/>
    <w:rsid w:val="00A57C4D"/>
    <w:rsid w:val="00A57CA5"/>
    <w:rsid w:val="00A60054"/>
    <w:rsid w:val="00A60177"/>
    <w:rsid w:val="00A60199"/>
    <w:rsid w:val="00A601F0"/>
    <w:rsid w:val="00A602E7"/>
    <w:rsid w:val="00A602F8"/>
    <w:rsid w:val="00A6037D"/>
    <w:rsid w:val="00A60447"/>
    <w:rsid w:val="00A604A8"/>
    <w:rsid w:val="00A60520"/>
    <w:rsid w:val="00A6055F"/>
    <w:rsid w:val="00A605AB"/>
    <w:rsid w:val="00A605C8"/>
    <w:rsid w:val="00A6067F"/>
    <w:rsid w:val="00A60802"/>
    <w:rsid w:val="00A608F6"/>
    <w:rsid w:val="00A60B59"/>
    <w:rsid w:val="00A60C67"/>
    <w:rsid w:val="00A60D91"/>
    <w:rsid w:val="00A60DC1"/>
    <w:rsid w:val="00A60DC2"/>
    <w:rsid w:val="00A60E18"/>
    <w:rsid w:val="00A60E3A"/>
    <w:rsid w:val="00A60EF5"/>
    <w:rsid w:val="00A6126D"/>
    <w:rsid w:val="00A612C7"/>
    <w:rsid w:val="00A612FD"/>
    <w:rsid w:val="00A617D7"/>
    <w:rsid w:val="00A61896"/>
    <w:rsid w:val="00A61AF7"/>
    <w:rsid w:val="00A61B43"/>
    <w:rsid w:val="00A61B9A"/>
    <w:rsid w:val="00A61BA5"/>
    <w:rsid w:val="00A61BCD"/>
    <w:rsid w:val="00A61C9D"/>
    <w:rsid w:val="00A61F18"/>
    <w:rsid w:val="00A61F89"/>
    <w:rsid w:val="00A6213B"/>
    <w:rsid w:val="00A62179"/>
    <w:rsid w:val="00A62197"/>
    <w:rsid w:val="00A621F4"/>
    <w:rsid w:val="00A62317"/>
    <w:rsid w:val="00A6252C"/>
    <w:rsid w:val="00A62600"/>
    <w:rsid w:val="00A62751"/>
    <w:rsid w:val="00A627B5"/>
    <w:rsid w:val="00A629A1"/>
    <w:rsid w:val="00A62A3E"/>
    <w:rsid w:val="00A62E3B"/>
    <w:rsid w:val="00A63186"/>
    <w:rsid w:val="00A63195"/>
    <w:rsid w:val="00A632C7"/>
    <w:rsid w:val="00A633D7"/>
    <w:rsid w:val="00A6347B"/>
    <w:rsid w:val="00A634A2"/>
    <w:rsid w:val="00A635C4"/>
    <w:rsid w:val="00A6364B"/>
    <w:rsid w:val="00A63699"/>
    <w:rsid w:val="00A63718"/>
    <w:rsid w:val="00A63728"/>
    <w:rsid w:val="00A63800"/>
    <w:rsid w:val="00A63842"/>
    <w:rsid w:val="00A63973"/>
    <w:rsid w:val="00A63B6D"/>
    <w:rsid w:val="00A63B8B"/>
    <w:rsid w:val="00A63C86"/>
    <w:rsid w:val="00A63D7A"/>
    <w:rsid w:val="00A63E15"/>
    <w:rsid w:val="00A64215"/>
    <w:rsid w:val="00A64417"/>
    <w:rsid w:val="00A64465"/>
    <w:rsid w:val="00A6447D"/>
    <w:rsid w:val="00A644B3"/>
    <w:rsid w:val="00A64546"/>
    <w:rsid w:val="00A64566"/>
    <w:rsid w:val="00A645F3"/>
    <w:rsid w:val="00A64605"/>
    <w:rsid w:val="00A64645"/>
    <w:rsid w:val="00A64929"/>
    <w:rsid w:val="00A64994"/>
    <w:rsid w:val="00A64AC7"/>
    <w:rsid w:val="00A64B40"/>
    <w:rsid w:val="00A64C52"/>
    <w:rsid w:val="00A64C76"/>
    <w:rsid w:val="00A64D48"/>
    <w:rsid w:val="00A64E15"/>
    <w:rsid w:val="00A64E3F"/>
    <w:rsid w:val="00A64E5C"/>
    <w:rsid w:val="00A64E70"/>
    <w:rsid w:val="00A6525F"/>
    <w:rsid w:val="00A653AA"/>
    <w:rsid w:val="00A6565A"/>
    <w:rsid w:val="00A656DE"/>
    <w:rsid w:val="00A6573F"/>
    <w:rsid w:val="00A6581E"/>
    <w:rsid w:val="00A65A51"/>
    <w:rsid w:val="00A65A98"/>
    <w:rsid w:val="00A65B18"/>
    <w:rsid w:val="00A65FCE"/>
    <w:rsid w:val="00A663C6"/>
    <w:rsid w:val="00A66400"/>
    <w:rsid w:val="00A6657B"/>
    <w:rsid w:val="00A665B7"/>
    <w:rsid w:val="00A666E5"/>
    <w:rsid w:val="00A66703"/>
    <w:rsid w:val="00A6671E"/>
    <w:rsid w:val="00A6683E"/>
    <w:rsid w:val="00A66903"/>
    <w:rsid w:val="00A66952"/>
    <w:rsid w:val="00A6697E"/>
    <w:rsid w:val="00A669AA"/>
    <w:rsid w:val="00A66A69"/>
    <w:rsid w:val="00A66B80"/>
    <w:rsid w:val="00A66B8A"/>
    <w:rsid w:val="00A66C38"/>
    <w:rsid w:val="00A66D5D"/>
    <w:rsid w:val="00A66FB4"/>
    <w:rsid w:val="00A670AA"/>
    <w:rsid w:val="00A670D0"/>
    <w:rsid w:val="00A671DE"/>
    <w:rsid w:val="00A6736E"/>
    <w:rsid w:val="00A673A7"/>
    <w:rsid w:val="00A673FB"/>
    <w:rsid w:val="00A674EB"/>
    <w:rsid w:val="00A67700"/>
    <w:rsid w:val="00A67796"/>
    <w:rsid w:val="00A677FA"/>
    <w:rsid w:val="00A677FB"/>
    <w:rsid w:val="00A6792E"/>
    <w:rsid w:val="00A6794D"/>
    <w:rsid w:val="00A67B39"/>
    <w:rsid w:val="00A67FC4"/>
    <w:rsid w:val="00A700E1"/>
    <w:rsid w:val="00A700F9"/>
    <w:rsid w:val="00A701E5"/>
    <w:rsid w:val="00A70343"/>
    <w:rsid w:val="00A70597"/>
    <w:rsid w:val="00A705C4"/>
    <w:rsid w:val="00A70661"/>
    <w:rsid w:val="00A706D2"/>
    <w:rsid w:val="00A7075E"/>
    <w:rsid w:val="00A7089F"/>
    <w:rsid w:val="00A709B4"/>
    <w:rsid w:val="00A70A2F"/>
    <w:rsid w:val="00A70AD8"/>
    <w:rsid w:val="00A70BB0"/>
    <w:rsid w:val="00A70C44"/>
    <w:rsid w:val="00A70D63"/>
    <w:rsid w:val="00A70E20"/>
    <w:rsid w:val="00A70F64"/>
    <w:rsid w:val="00A71027"/>
    <w:rsid w:val="00A7135A"/>
    <w:rsid w:val="00A714C2"/>
    <w:rsid w:val="00A715BD"/>
    <w:rsid w:val="00A7162C"/>
    <w:rsid w:val="00A716D2"/>
    <w:rsid w:val="00A716E6"/>
    <w:rsid w:val="00A71713"/>
    <w:rsid w:val="00A717BF"/>
    <w:rsid w:val="00A7180D"/>
    <w:rsid w:val="00A71836"/>
    <w:rsid w:val="00A718D6"/>
    <w:rsid w:val="00A71A61"/>
    <w:rsid w:val="00A71AAA"/>
    <w:rsid w:val="00A71F8B"/>
    <w:rsid w:val="00A721BD"/>
    <w:rsid w:val="00A721D8"/>
    <w:rsid w:val="00A72264"/>
    <w:rsid w:val="00A7230E"/>
    <w:rsid w:val="00A72393"/>
    <w:rsid w:val="00A7239E"/>
    <w:rsid w:val="00A723C2"/>
    <w:rsid w:val="00A72475"/>
    <w:rsid w:val="00A7251A"/>
    <w:rsid w:val="00A7254D"/>
    <w:rsid w:val="00A72732"/>
    <w:rsid w:val="00A7279D"/>
    <w:rsid w:val="00A72809"/>
    <w:rsid w:val="00A72988"/>
    <w:rsid w:val="00A72A2A"/>
    <w:rsid w:val="00A72A78"/>
    <w:rsid w:val="00A72E0F"/>
    <w:rsid w:val="00A730AC"/>
    <w:rsid w:val="00A73287"/>
    <w:rsid w:val="00A7334B"/>
    <w:rsid w:val="00A735BD"/>
    <w:rsid w:val="00A735CE"/>
    <w:rsid w:val="00A7364A"/>
    <w:rsid w:val="00A736C5"/>
    <w:rsid w:val="00A736E8"/>
    <w:rsid w:val="00A737F5"/>
    <w:rsid w:val="00A7381E"/>
    <w:rsid w:val="00A738DB"/>
    <w:rsid w:val="00A73A38"/>
    <w:rsid w:val="00A73C17"/>
    <w:rsid w:val="00A73CB1"/>
    <w:rsid w:val="00A73CBB"/>
    <w:rsid w:val="00A73CC1"/>
    <w:rsid w:val="00A73D20"/>
    <w:rsid w:val="00A73E20"/>
    <w:rsid w:val="00A73E53"/>
    <w:rsid w:val="00A73F45"/>
    <w:rsid w:val="00A73FE5"/>
    <w:rsid w:val="00A74010"/>
    <w:rsid w:val="00A74015"/>
    <w:rsid w:val="00A7403F"/>
    <w:rsid w:val="00A74172"/>
    <w:rsid w:val="00A74181"/>
    <w:rsid w:val="00A741C1"/>
    <w:rsid w:val="00A74281"/>
    <w:rsid w:val="00A742B2"/>
    <w:rsid w:val="00A742C6"/>
    <w:rsid w:val="00A7442A"/>
    <w:rsid w:val="00A745DE"/>
    <w:rsid w:val="00A74667"/>
    <w:rsid w:val="00A74669"/>
    <w:rsid w:val="00A74709"/>
    <w:rsid w:val="00A74731"/>
    <w:rsid w:val="00A74771"/>
    <w:rsid w:val="00A747E5"/>
    <w:rsid w:val="00A7482C"/>
    <w:rsid w:val="00A74BBD"/>
    <w:rsid w:val="00A74BF7"/>
    <w:rsid w:val="00A750A0"/>
    <w:rsid w:val="00A751B8"/>
    <w:rsid w:val="00A751D0"/>
    <w:rsid w:val="00A752F7"/>
    <w:rsid w:val="00A75445"/>
    <w:rsid w:val="00A754C1"/>
    <w:rsid w:val="00A754EF"/>
    <w:rsid w:val="00A7560A"/>
    <w:rsid w:val="00A7570B"/>
    <w:rsid w:val="00A757D2"/>
    <w:rsid w:val="00A759B9"/>
    <w:rsid w:val="00A75AC0"/>
    <w:rsid w:val="00A75AD1"/>
    <w:rsid w:val="00A75C48"/>
    <w:rsid w:val="00A75C70"/>
    <w:rsid w:val="00A75CEB"/>
    <w:rsid w:val="00A75D3D"/>
    <w:rsid w:val="00A75DB7"/>
    <w:rsid w:val="00A75DC0"/>
    <w:rsid w:val="00A75E0E"/>
    <w:rsid w:val="00A75E35"/>
    <w:rsid w:val="00A75F4C"/>
    <w:rsid w:val="00A75FB6"/>
    <w:rsid w:val="00A75FBF"/>
    <w:rsid w:val="00A76145"/>
    <w:rsid w:val="00A761AA"/>
    <w:rsid w:val="00A7623B"/>
    <w:rsid w:val="00A763C4"/>
    <w:rsid w:val="00A764F4"/>
    <w:rsid w:val="00A766E3"/>
    <w:rsid w:val="00A768F0"/>
    <w:rsid w:val="00A7692C"/>
    <w:rsid w:val="00A76A9C"/>
    <w:rsid w:val="00A76ADE"/>
    <w:rsid w:val="00A76C49"/>
    <w:rsid w:val="00A76C4F"/>
    <w:rsid w:val="00A76CB6"/>
    <w:rsid w:val="00A76DC7"/>
    <w:rsid w:val="00A76DFF"/>
    <w:rsid w:val="00A76EE5"/>
    <w:rsid w:val="00A76F6C"/>
    <w:rsid w:val="00A76FCA"/>
    <w:rsid w:val="00A77011"/>
    <w:rsid w:val="00A770BF"/>
    <w:rsid w:val="00A77233"/>
    <w:rsid w:val="00A7724D"/>
    <w:rsid w:val="00A77277"/>
    <w:rsid w:val="00A77373"/>
    <w:rsid w:val="00A7747E"/>
    <w:rsid w:val="00A774F3"/>
    <w:rsid w:val="00A77505"/>
    <w:rsid w:val="00A7750C"/>
    <w:rsid w:val="00A775D0"/>
    <w:rsid w:val="00A77712"/>
    <w:rsid w:val="00A778FE"/>
    <w:rsid w:val="00A7792F"/>
    <w:rsid w:val="00A779CE"/>
    <w:rsid w:val="00A77CEE"/>
    <w:rsid w:val="00A77DC7"/>
    <w:rsid w:val="00A77EDA"/>
    <w:rsid w:val="00A77EF7"/>
    <w:rsid w:val="00A80364"/>
    <w:rsid w:val="00A80459"/>
    <w:rsid w:val="00A80533"/>
    <w:rsid w:val="00A80579"/>
    <w:rsid w:val="00A805A1"/>
    <w:rsid w:val="00A805E7"/>
    <w:rsid w:val="00A8061A"/>
    <w:rsid w:val="00A80777"/>
    <w:rsid w:val="00A80873"/>
    <w:rsid w:val="00A80AB4"/>
    <w:rsid w:val="00A80AC6"/>
    <w:rsid w:val="00A80B24"/>
    <w:rsid w:val="00A80BBD"/>
    <w:rsid w:val="00A80CA9"/>
    <w:rsid w:val="00A80CBA"/>
    <w:rsid w:val="00A80CF7"/>
    <w:rsid w:val="00A80D0D"/>
    <w:rsid w:val="00A80D82"/>
    <w:rsid w:val="00A80DC9"/>
    <w:rsid w:val="00A80E57"/>
    <w:rsid w:val="00A80F73"/>
    <w:rsid w:val="00A81193"/>
    <w:rsid w:val="00A812E2"/>
    <w:rsid w:val="00A8138D"/>
    <w:rsid w:val="00A813D7"/>
    <w:rsid w:val="00A8164C"/>
    <w:rsid w:val="00A81705"/>
    <w:rsid w:val="00A81776"/>
    <w:rsid w:val="00A8185E"/>
    <w:rsid w:val="00A81AAA"/>
    <w:rsid w:val="00A81ABC"/>
    <w:rsid w:val="00A81AC7"/>
    <w:rsid w:val="00A81BBC"/>
    <w:rsid w:val="00A81BCE"/>
    <w:rsid w:val="00A81D2F"/>
    <w:rsid w:val="00A81E42"/>
    <w:rsid w:val="00A8201B"/>
    <w:rsid w:val="00A82074"/>
    <w:rsid w:val="00A82090"/>
    <w:rsid w:val="00A8210A"/>
    <w:rsid w:val="00A822C0"/>
    <w:rsid w:val="00A8256C"/>
    <w:rsid w:val="00A825B1"/>
    <w:rsid w:val="00A8265B"/>
    <w:rsid w:val="00A826AF"/>
    <w:rsid w:val="00A826C8"/>
    <w:rsid w:val="00A827AD"/>
    <w:rsid w:val="00A8289B"/>
    <w:rsid w:val="00A82ADC"/>
    <w:rsid w:val="00A82AEC"/>
    <w:rsid w:val="00A82B3C"/>
    <w:rsid w:val="00A82D49"/>
    <w:rsid w:val="00A82EDD"/>
    <w:rsid w:val="00A82EE4"/>
    <w:rsid w:val="00A83124"/>
    <w:rsid w:val="00A832F6"/>
    <w:rsid w:val="00A83686"/>
    <w:rsid w:val="00A836A6"/>
    <w:rsid w:val="00A836E6"/>
    <w:rsid w:val="00A83744"/>
    <w:rsid w:val="00A83854"/>
    <w:rsid w:val="00A83A36"/>
    <w:rsid w:val="00A83A65"/>
    <w:rsid w:val="00A83AB2"/>
    <w:rsid w:val="00A83C20"/>
    <w:rsid w:val="00A83FAB"/>
    <w:rsid w:val="00A84003"/>
    <w:rsid w:val="00A8406D"/>
    <w:rsid w:val="00A840B3"/>
    <w:rsid w:val="00A840D5"/>
    <w:rsid w:val="00A84145"/>
    <w:rsid w:val="00A841FA"/>
    <w:rsid w:val="00A842AF"/>
    <w:rsid w:val="00A842B6"/>
    <w:rsid w:val="00A842D9"/>
    <w:rsid w:val="00A842F9"/>
    <w:rsid w:val="00A84402"/>
    <w:rsid w:val="00A8478E"/>
    <w:rsid w:val="00A84899"/>
    <w:rsid w:val="00A84A64"/>
    <w:rsid w:val="00A84BC0"/>
    <w:rsid w:val="00A84BFB"/>
    <w:rsid w:val="00A84C1E"/>
    <w:rsid w:val="00A84EDB"/>
    <w:rsid w:val="00A84F21"/>
    <w:rsid w:val="00A84F48"/>
    <w:rsid w:val="00A84F4A"/>
    <w:rsid w:val="00A84F59"/>
    <w:rsid w:val="00A84FF4"/>
    <w:rsid w:val="00A85036"/>
    <w:rsid w:val="00A850C8"/>
    <w:rsid w:val="00A850DB"/>
    <w:rsid w:val="00A85175"/>
    <w:rsid w:val="00A851AD"/>
    <w:rsid w:val="00A85233"/>
    <w:rsid w:val="00A85247"/>
    <w:rsid w:val="00A85393"/>
    <w:rsid w:val="00A855AB"/>
    <w:rsid w:val="00A855D3"/>
    <w:rsid w:val="00A856FC"/>
    <w:rsid w:val="00A85775"/>
    <w:rsid w:val="00A857E8"/>
    <w:rsid w:val="00A85837"/>
    <w:rsid w:val="00A85A8B"/>
    <w:rsid w:val="00A85CB1"/>
    <w:rsid w:val="00A85D07"/>
    <w:rsid w:val="00A85D7F"/>
    <w:rsid w:val="00A85D89"/>
    <w:rsid w:val="00A85DF0"/>
    <w:rsid w:val="00A85E5E"/>
    <w:rsid w:val="00A85EDB"/>
    <w:rsid w:val="00A85F5A"/>
    <w:rsid w:val="00A860E0"/>
    <w:rsid w:val="00A860E5"/>
    <w:rsid w:val="00A86221"/>
    <w:rsid w:val="00A862CB"/>
    <w:rsid w:val="00A863CB"/>
    <w:rsid w:val="00A863E2"/>
    <w:rsid w:val="00A86522"/>
    <w:rsid w:val="00A86586"/>
    <w:rsid w:val="00A865D6"/>
    <w:rsid w:val="00A865DB"/>
    <w:rsid w:val="00A865FF"/>
    <w:rsid w:val="00A866DB"/>
    <w:rsid w:val="00A86832"/>
    <w:rsid w:val="00A8697C"/>
    <w:rsid w:val="00A86A1B"/>
    <w:rsid w:val="00A86B60"/>
    <w:rsid w:val="00A86BC5"/>
    <w:rsid w:val="00A86E3F"/>
    <w:rsid w:val="00A86EAD"/>
    <w:rsid w:val="00A86F31"/>
    <w:rsid w:val="00A870CE"/>
    <w:rsid w:val="00A8714C"/>
    <w:rsid w:val="00A871B5"/>
    <w:rsid w:val="00A87278"/>
    <w:rsid w:val="00A87372"/>
    <w:rsid w:val="00A874CE"/>
    <w:rsid w:val="00A874FE"/>
    <w:rsid w:val="00A87504"/>
    <w:rsid w:val="00A875A8"/>
    <w:rsid w:val="00A8763C"/>
    <w:rsid w:val="00A8787E"/>
    <w:rsid w:val="00A8796A"/>
    <w:rsid w:val="00A879DD"/>
    <w:rsid w:val="00A87A67"/>
    <w:rsid w:val="00A87AEF"/>
    <w:rsid w:val="00A87E09"/>
    <w:rsid w:val="00A87F16"/>
    <w:rsid w:val="00A87FAD"/>
    <w:rsid w:val="00A87FCE"/>
    <w:rsid w:val="00A9010F"/>
    <w:rsid w:val="00A901A8"/>
    <w:rsid w:val="00A90352"/>
    <w:rsid w:val="00A9037D"/>
    <w:rsid w:val="00A904E7"/>
    <w:rsid w:val="00A9067D"/>
    <w:rsid w:val="00A90800"/>
    <w:rsid w:val="00A908AC"/>
    <w:rsid w:val="00A90A9D"/>
    <w:rsid w:val="00A90B3A"/>
    <w:rsid w:val="00A90C91"/>
    <w:rsid w:val="00A90CAB"/>
    <w:rsid w:val="00A90D40"/>
    <w:rsid w:val="00A90F8F"/>
    <w:rsid w:val="00A90F9C"/>
    <w:rsid w:val="00A911ED"/>
    <w:rsid w:val="00A912AF"/>
    <w:rsid w:val="00A912CA"/>
    <w:rsid w:val="00A913DE"/>
    <w:rsid w:val="00A91517"/>
    <w:rsid w:val="00A917FE"/>
    <w:rsid w:val="00A9183D"/>
    <w:rsid w:val="00A91893"/>
    <w:rsid w:val="00A91A7B"/>
    <w:rsid w:val="00A91B6F"/>
    <w:rsid w:val="00A91BDA"/>
    <w:rsid w:val="00A9207E"/>
    <w:rsid w:val="00A920F5"/>
    <w:rsid w:val="00A92356"/>
    <w:rsid w:val="00A9245B"/>
    <w:rsid w:val="00A9248E"/>
    <w:rsid w:val="00A924C7"/>
    <w:rsid w:val="00A92501"/>
    <w:rsid w:val="00A9256F"/>
    <w:rsid w:val="00A9257B"/>
    <w:rsid w:val="00A928A7"/>
    <w:rsid w:val="00A928E6"/>
    <w:rsid w:val="00A92928"/>
    <w:rsid w:val="00A92995"/>
    <w:rsid w:val="00A929F8"/>
    <w:rsid w:val="00A92B64"/>
    <w:rsid w:val="00A92C32"/>
    <w:rsid w:val="00A92D0D"/>
    <w:rsid w:val="00A92D2E"/>
    <w:rsid w:val="00A92F34"/>
    <w:rsid w:val="00A93194"/>
    <w:rsid w:val="00A93372"/>
    <w:rsid w:val="00A93577"/>
    <w:rsid w:val="00A937F6"/>
    <w:rsid w:val="00A9386C"/>
    <w:rsid w:val="00A93AFF"/>
    <w:rsid w:val="00A93B24"/>
    <w:rsid w:val="00A93D7D"/>
    <w:rsid w:val="00A93F8E"/>
    <w:rsid w:val="00A93FC7"/>
    <w:rsid w:val="00A94091"/>
    <w:rsid w:val="00A9442A"/>
    <w:rsid w:val="00A944EF"/>
    <w:rsid w:val="00A9451E"/>
    <w:rsid w:val="00A94739"/>
    <w:rsid w:val="00A94802"/>
    <w:rsid w:val="00A948A4"/>
    <w:rsid w:val="00A9497F"/>
    <w:rsid w:val="00A949E1"/>
    <w:rsid w:val="00A94B9A"/>
    <w:rsid w:val="00A94D7C"/>
    <w:rsid w:val="00A94E73"/>
    <w:rsid w:val="00A95152"/>
    <w:rsid w:val="00A951F8"/>
    <w:rsid w:val="00A9537B"/>
    <w:rsid w:val="00A954DF"/>
    <w:rsid w:val="00A95509"/>
    <w:rsid w:val="00A9558B"/>
    <w:rsid w:val="00A955B3"/>
    <w:rsid w:val="00A9599E"/>
    <w:rsid w:val="00A95A69"/>
    <w:rsid w:val="00A95B31"/>
    <w:rsid w:val="00A95B39"/>
    <w:rsid w:val="00A95B91"/>
    <w:rsid w:val="00A95DA8"/>
    <w:rsid w:val="00A95E77"/>
    <w:rsid w:val="00A95F23"/>
    <w:rsid w:val="00A95F3A"/>
    <w:rsid w:val="00A95F86"/>
    <w:rsid w:val="00A9603D"/>
    <w:rsid w:val="00A960AF"/>
    <w:rsid w:val="00A96196"/>
    <w:rsid w:val="00A961A5"/>
    <w:rsid w:val="00A961D5"/>
    <w:rsid w:val="00A9629F"/>
    <w:rsid w:val="00A962C2"/>
    <w:rsid w:val="00A96354"/>
    <w:rsid w:val="00A9644E"/>
    <w:rsid w:val="00A96532"/>
    <w:rsid w:val="00A9683B"/>
    <w:rsid w:val="00A968B8"/>
    <w:rsid w:val="00A96AEA"/>
    <w:rsid w:val="00A96B2C"/>
    <w:rsid w:val="00A96B67"/>
    <w:rsid w:val="00A96B81"/>
    <w:rsid w:val="00A96BB0"/>
    <w:rsid w:val="00A96DD3"/>
    <w:rsid w:val="00A96E43"/>
    <w:rsid w:val="00A96FC8"/>
    <w:rsid w:val="00A96FCE"/>
    <w:rsid w:val="00A9703C"/>
    <w:rsid w:val="00A970B1"/>
    <w:rsid w:val="00A970BE"/>
    <w:rsid w:val="00A97172"/>
    <w:rsid w:val="00A971EE"/>
    <w:rsid w:val="00A971F3"/>
    <w:rsid w:val="00A979E9"/>
    <w:rsid w:val="00A97A93"/>
    <w:rsid w:val="00A97B34"/>
    <w:rsid w:val="00A97B3D"/>
    <w:rsid w:val="00A97C8F"/>
    <w:rsid w:val="00A97D81"/>
    <w:rsid w:val="00A97E5E"/>
    <w:rsid w:val="00A97E9B"/>
    <w:rsid w:val="00AA001F"/>
    <w:rsid w:val="00AA0047"/>
    <w:rsid w:val="00AA01A8"/>
    <w:rsid w:val="00AA0208"/>
    <w:rsid w:val="00AA02D3"/>
    <w:rsid w:val="00AA02F0"/>
    <w:rsid w:val="00AA02FB"/>
    <w:rsid w:val="00AA038D"/>
    <w:rsid w:val="00AA059D"/>
    <w:rsid w:val="00AA0636"/>
    <w:rsid w:val="00AA063B"/>
    <w:rsid w:val="00AA0679"/>
    <w:rsid w:val="00AA07CC"/>
    <w:rsid w:val="00AA0986"/>
    <w:rsid w:val="00AA0EC1"/>
    <w:rsid w:val="00AA0FF4"/>
    <w:rsid w:val="00AA0FF6"/>
    <w:rsid w:val="00AA0FFD"/>
    <w:rsid w:val="00AA1051"/>
    <w:rsid w:val="00AA10F3"/>
    <w:rsid w:val="00AA12C7"/>
    <w:rsid w:val="00AA1324"/>
    <w:rsid w:val="00AA1327"/>
    <w:rsid w:val="00AA14C5"/>
    <w:rsid w:val="00AA1564"/>
    <w:rsid w:val="00AA1722"/>
    <w:rsid w:val="00AA172A"/>
    <w:rsid w:val="00AA178F"/>
    <w:rsid w:val="00AA17F7"/>
    <w:rsid w:val="00AA1812"/>
    <w:rsid w:val="00AA1871"/>
    <w:rsid w:val="00AA18F4"/>
    <w:rsid w:val="00AA197B"/>
    <w:rsid w:val="00AA1A85"/>
    <w:rsid w:val="00AA1A98"/>
    <w:rsid w:val="00AA1AE0"/>
    <w:rsid w:val="00AA1C5A"/>
    <w:rsid w:val="00AA1C82"/>
    <w:rsid w:val="00AA1D1F"/>
    <w:rsid w:val="00AA1D28"/>
    <w:rsid w:val="00AA1DE9"/>
    <w:rsid w:val="00AA1E1B"/>
    <w:rsid w:val="00AA1F6D"/>
    <w:rsid w:val="00AA1FD6"/>
    <w:rsid w:val="00AA208E"/>
    <w:rsid w:val="00AA2094"/>
    <w:rsid w:val="00AA20D0"/>
    <w:rsid w:val="00AA2121"/>
    <w:rsid w:val="00AA2149"/>
    <w:rsid w:val="00AA215F"/>
    <w:rsid w:val="00AA2361"/>
    <w:rsid w:val="00AA2384"/>
    <w:rsid w:val="00AA25C4"/>
    <w:rsid w:val="00AA25CC"/>
    <w:rsid w:val="00AA2618"/>
    <w:rsid w:val="00AA262A"/>
    <w:rsid w:val="00AA2699"/>
    <w:rsid w:val="00AA2869"/>
    <w:rsid w:val="00AA29FF"/>
    <w:rsid w:val="00AA2AA7"/>
    <w:rsid w:val="00AA2B21"/>
    <w:rsid w:val="00AA2C32"/>
    <w:rsid w:val="00AA2CA4"/>
    <w:rsid w:val="00AA2CE7"/>
    <w:rsid w:val="00AA2D97"/>
    <w:rsid w:val="00AA2E24"/>
    <w:rsid w:val="00AA3167"/>
    <w:rsid w:val="00AA31FD"/>
    <w:rsid w:val="00AA323A"/>
    <w:rsid w:val="00AA3267"/>
    <w:rsid w:val="00AA32B2"/>
    <w:rsid w:val="00AA32F9"/>
    <w:rsid w:val="00AA3317"/>
    <w:rsid w:val="00AA34BB"/>
    <w:rsid w:val="00AA3540"/>
    <w:rsid w:val="00AA3542"/>
    <w:rsid w:val="00AA37D4"/>
    <w:rsid w:val="00AA37FB"/>
    <w:rsid w:val="00AA3809"/>
    <w:rsid w:val="00AA381A"/>
    <w:rsid w:val="00AA3C9B"/>
    <w:rsid w:val="00AA3DE3"/>
    <w:rsid w:val="00AA3E6E"/>
    <w:rsid w:val="00AA40F6"/>
    <w:rsid w:val="00AA413F"/>
    <w:rsid w:val="00AA414A"/>
    <w:rsid w:val="00AA4305"/>
    <w:rsid w:val="00AA434F"/>
    <w:rsid w:val="00AA43B2"/>
    <w:rsid w:val="00AA43F6"/>
    <w:rsid w:val="00AA451B"/>
    <w:rsid w:val="00AA46E3"/>
    <w:rsid w:val="00AA4720"/>
    <w:rsid w:val="00AA478C"/>
    <w:rsid w:val="00AA4854"/>
    <w:rsid w:val="00AA48FA"/>
    <w:rsid w:val="00AA491B"/>
    <w:rsid w:val="00AA4A00"/>
    <w:rsid w:val="00AA4A11"/>
    <w:rsid w:val="00AA4A2A"/>
    <w:rsid w:val="00AA4AC5"/>
    <w:rsid w:val="00AA4B99"/>
    <w:rsid w:val="00AA4BE4"/>
    <w:rsid w:val="00AA4C55"/>
    <w:rsid w:val="00AA4C70"/>
    <w:rsid w:val="00AA4F93"/>
    <w:rsid w:val="00AA4FAA"/>
    <w:rsid w:val="00AA508D"/>
    <w:rsid w:val="00AA50B5"/>
    <w:rsid w:val="00AA51B6"/>
    <w:rsid w:val="00AA552D"/>
    <w:rsid w:val="00AA563E"/>
    <w:rsid w:val="00AA56E9"/>
    <w:rsid w:val="00AA5800"/>
    <w:rsid w:val="00AA585E"/>
    <w:rsid w:val="00AA591E"/>
    <w:rsid w:val="00AA59E0"/>
    <w:rsid w:val="00AA5C73"/>
    <w:rsid w:val="00AA5E07"/>
    <w:rsid w:val="00AA5E7C"/>
    <w:rsid w:val="00AA5F80"/>
    <w:rsid w:val="00AA5FE6"/>
    <w:rsid w:val="00AA6090"/>
    <w:rsid w:val="00AA62EF"/>
    <w:rsid w:val="00AA6437"/>
    <w:rsid w:val="00AA64BE"/>
    <w:rsid w:val="00AA669B"/>
    <w:rsid w:val="00AA6789"/>
    <w:rsid w:val="00AA6820"/>
    <w:rsid w:val="00AA69A1"/>
    <w:rsid w:val="00AA6C39"/>
    <w:rsid w:val="00AA6DC8"/>
    <w:rsid w:val="00AA6E2C"/>
    <w:rsid w:val="00AA6E87"/>
    <w:rsid w:val="00AA6F4F"/>
    <w:rsid w:val="00AA720F"/>
    <w:rsid w:val="00AA721D"/>
    <w:rsid w:val="00AA724C"/>
    <w:rsid w:val="00AA727A"/>
    <w:rsid w:val="00AA72D8"/>
    <w:rsid w:val="00AA746E"/>
    <w:rsid w:val="00AA7506"/>
    <w:rsid w:val="00AA756A"/>
    <w:rsid w:val="00AA75A1"/>
    <w:rsid w:val="00AA75BF"/>
    <w:rsid w:val="00AA76FA"/>
    <w:rsid w:val="00AA7CAB"/>
    <w:rsid w:val="00AA7CB7"/>
    <w:rsid w:val="00AA7CDE"/>
    <w:rsid w:val="00AA7FAC"/>
    <w:rsid w:val="00AA7FF6"/>
    <w:rsid w:val="00AB00D3"/>
    <w:rsid w:val="00AB00D6"/>
    <w:rsid w:val="00AB01B7"/>
    <w:rsid w:val="00AB0613"/>
    <w:rsid w:val="00AB0720"/>
    <w:rsid w:val="00AB0773"/>
    <w:rsid w:val="00AB0ACE"/>
    <w:rsid w:val="00AB0AD9"/>
    <w:rsid w:val="00AB0C75"/>
    <w:rsid w:val="00AB0DDC"/>
    <w:rsid w:val="00AB0EFD"/>
    <w:rsid w:val="00AB110D"/>
    <w:rsid w:val="00AB1367"/>
    <w:rsid w:val="00AB142C"/>
    <w:rsid w:val="00AB16B0"/>
    <w:rsid w:val="00AB1725"/>
    <w:rsid w:val="00AB18AD"/>
    <w:rsid w:val="00AB18FE"/>
    <w:rsid w:val="00AB190D"/>
    <w:rsid w:val="00AB1A7E"/>
    <w:rsid w:val="00AB1AAE"/>
    <w:rsid w:val="00AB1B01"/>
    <w:rsid w:val="00AB1C50"/>
    <w:rsid w:val="00AB1C81"/>
    <w:rsid w:val="00AB1E0E"/>
    <w:rsid w:val="00AB1E24"/>
    <w:rsid w:val="00AB1E37"/>
    <w:rsid w:val="00AB1F04"/>
    <w:rsid w:val="00AB209E"/>
    <w:rsid w:val="00AB2174"/>
    <w:rsid w:val="00AB2384"/>
    <w:rsid w:val="00AB23F0"/>
    <w:rsid w:val="00AB26EB"/>
    <w:rsid w:val="00AB28A7"/>
    <w:rsid w:val="00AB299B"/>
    <w:rsid w:val="00AB29A4"/>
    <w:rsid w:val="00AB2B5A"/>
    <w:rsid w:val="00AB2BA9"/>
    <w:rsid w:val="00AB2DF4"/>
    <w:rsid w:val="00AB2DFD"/>
    <w:rsid w:val="00AB2E0C"/>
    <w:rsid w:val="00AB2E73"/>
    <w:rsid w:val="00AB2EF2"/>
    <w:rsid w:val="00AB305B"/>
    <w:rsid w:val="00AB30A4"/>
    <w:rsid w:val="00AB3138"/>
    <w:rsid w:val="00AB3150"/>
    <w:rsid w:val="00AB356B"/>
    <w:rsid w:val="00AB362E"/>
    <w:rsid w:val="00AB36CE"/>
    <w:rsid w:val="00AB36E8"/>
    <w:rsid w:val="00AB381F"/>
    <w:rsid w:val="00AB3956"/>
    <w:rsid w:val="00AB3AEA"/>
    <w:rsid w:val="00AB3C7E"/>
    <w:rsid w:val="00AB3CE1"/>
    <w:rsid w:val="00AB3D14"/>
    <w:rsid w:val="00AB3D70"/>
    <w:rsid w:val="00AB3E4C"/>
    <w:rsid w:val="00AB3F52"/>
    <w:rsid w:val="00AB3F7F"/>
    <w:rsid w:val="00AB40C9"/>
    <w:rsid w:val="00AB40D6"/>
    <w:rsid w:val="00AB4184"/>
    <w:rsid w:val="00AB4255"/>
    <w:rsid w:val="00AB42AB"/>
    <w:rsid w:val="00AB4385"/>
    <w:rsid w:val="00AB4432"/>
    <w:rsid w:val="00AB44A9"/>
    <w:rsid w:val="00AB4563"/>
    <w:rsid w:val="00AB47E1"/>
    <w:rsid w:val="00AB488D"/>
    <w:rsid w:val="00AB4893"/>
    <w:rsid w:val="00AB490A"/>
    <w:rsid w:val="00AB4955"/>
    <w:rsid w:val="00AB4A50"/>
    <w:rsid w:val="00AB4B41"/>
    <w:rsid w:val="00AB4BAC"/>
    <w:rsid w:val="00AB4CF3"/>
    <w:rsid w:val="00AB4D3F"/>
    <w:rsid w:val="00AB4E0A"/>
    <w:rsid w:val="00AB517B"/>
    <w:rsid w:val="00AB51C7"/>
    <w:rsid w:val="00AB51F4"/>
    <w:rsid w:val="00AB5297"/>
    <w:rsid w:val="00AB53B5"/>
    <w:rsid w:val="00AB541F"/>
    <w:rsid w:val="00AB551C"/>
    <w:rsid w:val="00AB56F5"/>
    <w:rsid w:val="00AB5713"/>
    <w:rsid w:val="00AB584A"/>
    <w:rsid w:val="00AB586E"/>
    <w:rsid w:val="00AB5969"/>
    <w:rsid w:val="00AB5B24"/>
    <w:rsid w:val="00AB5C51"/>
    <w:rsid w:val="00AB5E45"/>
    <w:rsid w:val="00AB602D"/>
    <w:rsid w:val="00AB60FA"/>
    <w:rsid w:val="00AB6128"/>
    <w:rsid w:val="00AB61D7"/>
    <w:rsid w:val="00AB633A"/>
    <w:rsid w:val="00AB638E"/>
    <w:rsid w:val="00AB6434"/>
    <w:rsid w:val="00AB645A"/>
    <w:rsid w:val="00AB6607"/>
    <w:rsid w:val="00AB6773"/>
    <w:rsid w:val="00AB68FD"/>
    <w:rsid w:val="00AB6972"/>
    <w:rsid w:val="00AB697A"/>
    <w:rsid w:val="00AB6A14"/>
    <w:rsid w:val="00AB6B04"/>
    <w:rsid w:val="00AB6B48"/>
    <w:rsid w:val="00AB6C1A"/>
    <w:rsid w:val="00AB6C4F"/>
    <w:rsid w:val="00AB703B"/>
    <w:rsid w:val="00AB705B"/>
    <w:rsid w:val="00AB7060"/>
    <w:rsid w:val="00AB728D"/>
    <w:rsid w:val="00AB7359"/>
    <w:rsid w:val="00AB7403"/>
    <w:rsid w:val="00AB7479"/>
    <w:rsid w:val="00AB75B4"/>
    <w:rsid w:val="00AB75D3"/>
    <w:rsid w:val="00AB75F5"/>
    <w:rsid w:val="00AB77E2"/>
    <w:rsid w:val="00AB7834"/>
    <w:rsid w:val="00AB7877"/>
    <w:rsid w:val="00AB78D8"/>
    <w:rsid w:val="00AB794E"/>
    <w:rsid w:val="00AB79FE"/>
    <w:rsid w:val="00AB7BAB"/>
    <w:rsid w:val="00AB7DB4"/>
    <w:rsid w:val="00AB7FD6"/>
    <w:rsid w:val="00AC004E"/>
    <w:rsid w:val="00AC005E"/>
    <w:rsid w:val="00AC0075"/>
    <w:rsid w:val="00AC00B6"/>
    <w:rsid w:val="00AC01B6"/>
    <w:rsid w:val="00AC0309"/>
    <w:rsid w:val="00AC0554"/>
    <w:rsid w:val="00AC060B"/>
    <w:rsid w:val="00AC06A1"/>
    <w:rsid w:val="00AC091D"/>
    <w:rsid w:val="00AC0EED"/>
    <w:rsid w:val="00AC0FA8"/>
    <w:rsid w:val="00AC1057"/>
    <w:rsid w:val="00AC1071"/>
    <w:rsid w:val="00AC10AE"/>
    <w:rsid w:val="00AC10E6"/>
    <w:rsid w:val="00AC12D7"/>
    <w:rsid w:val="00AC130B"/>
    <w:rsid w:val="00AC13B8"/>
    <w:rsid w:val="00AC13BF"/>
    <w:rsid w:val="00AC143B"/>
    <w:rsid w:val="00AC1555"/>
    <w:rsid w:val="00AC1586"/>
    <w:rsid w:val="00AC1596"/>
    <w:rsid w:val="00AC15B7"/>
    <w:rsid w:val="00AC1602"/>
    <w:rsid w:val="00AC1762"/>
    <w:rsid w:val="00AC18C8"/>
    <w:rsid w:val="00AC1908"/>
    <w:rsid w:val="00AC1B54"/>
    <w:rsid w:val="00AC1BF3"/>
    <w:rsid w:val="00AC1C93"/>
    <w:rsid w:val="00AC1E22"/>
    <w:rsid w:val="00AC1ED6"/>
    <w:rsid w:val="00AC1EEE"/>
    <w:rsid w:val="00AC1FE5"/>
    <w:rsid w:val="00AC20BD"/>
    <w:rsid w:val="00AC20D6"/>
    <w:rsid w:val="00AC240D"/>
    <w:rsid w:val="00AC2470"/>
    <w:rsid w:val="00AC2488"/>
    <w:rsid w:val="00AC2611"/>
    <w:rsid w:val="00AC2655"/>
    <w:rsid w:val="00AC26E2"/>
    <w:rsid w:val="00AC27DA"/>
    <w:rsid w:val="00AC29C7"/>
    <w:rsid w:val="00AC29CD"/>
    <w:rsid w:val="00AC2A4A"/>
    <w:rsid w:val="00AC2A57"/>
    <w:rsid w:val="00AC2AB8"/>
    <w:rsid w:val="00AC2AD2"/>
    <w:rsid w:val="00AC2B9A"/>
    <w:rsid w:val="00AC2C39"/>
    <w:rsid w:val="00AC2D57"/>
    <w:rsid w:val="00AC2D6C"/>
    <w:rsid w:val="00AC2E11"/>
    <w:rsid w:val="00AC3023"/>
    <w:rsid w:val="00AC30F9"/>
    <w:rsid w:val="00AC33C9"/>
    <w:rsid w:val="00AC3459"/>
    <w:rsid w:val="00AC34CF"/>
    <w:rsid w:val="00AC350C"/>
    <w:rsid w:val="00AC3533"/>
    <w:rsid w:val="00AC361C"/>
    <w:rsid w:val="00AC376B"/>
    <w:rsid w:val="00AC37AC"/>
    <w:rsid w:val="00AC3830"/>
    <w:rsid w:val="00AC388D"/>
    <w:rsid w:val="00AC38B9"/>
    <w:rsid w:val="00AC38EC"/>
    <w:rsid w:val="00AC39C7"/>
    <w:rsid w:val="00AC3A56"/>
    <w:rsid w:val="00AC3AF1"/>
    <w:rsid w:val="00AC3B6F"/>
    <w:rsid w:val="00AC3BC7"/>
    <w:rsid w:val="00AC3C19"/>
    <w:rsid w:val="00AC3C49"/>
    <w:rsid w:val="00AC3C8E"/>
    <w:rsid w:val="00AC3D11"/>
    <w:rsid w:val="00AC3DD6"/>
    <w:rsid w:val="00AC3E02"/>
    <w:rsid w:val="00AC3E5D"/>
    <w:rsid w:val="00AC3EDB"/>
    <w:rsid w:val="00AC3EF6"/>
    <w:rsid w:val="00AC3F66"/>
    <w:rsid w:val="00AC3FD2"/>
    <w:rsid w:val="00AC40E6"/>
    <w:rsid w:val="00AC40EC"/>
    <w:rsid w:val="00AC4141"/>
    <w:rsid w:val="00AC4157"/>
    <w:rsid w:val="00AC437A"/>
    <w:rsid w:val="00AC43EB"/>
    <w:rsid w:val="00AC44BF"/>
    <w:rsid w:val="00AC45D2"/>
    <w:rsid w:val="00AC491A"/>
    <w:rsid w:val="00AC49E6"/>
    <w:rsid w:val="00AC4A48"/>
    <w:rsid w:val="00AC4A85"/>
    <w:rsid w:val="00AC4AE5"/>
    <w:rsid w:val="00AC4BDD"/>
    <w:rsid w:val="00AC4DB0"/>
    <w:rsid w:val="00AC4FA7"/>
    <w:rsid w:val="00AC4FDA"/>
    <w:rsid w:val="00AC52B3"/>
    <w:rsid w:val="00AC52D8"/>
    <w:rsid w:val="00AC534D"/>
    <w:rsid w:val="00AC545A"/>
    <w:rsid w:val="00AC54C2"/>
    <w:rsid w:val="00AC57D4"/>
    <w:rsid w:val="00AC581E"/>
    <w:rsid w:val="00AC5921"/>
    <w:rsid w:val="00AC5992"/>
    <w:rsid w:val="00AC5D91"/>
    <w:rsid w:val="00AC5DB2"/>
    <w:rsid w:val="00AC5F0C"/>
    <w:rsid w:val="00AC5F1B"/>
    <w:rsid w:val="00AC60DE"/>
    <w:rsid w:val="00AC61EA"/>
    <w:rsid w:val="00AC61F4"/>
    <w:rsid w:val="00AC6224"/>
    <w:rsid w:val="00AC62B5"/>
    <w:rsid w:val="00AC67A3"/>
    <w:rsid w:val="00AC67E7"/>
    <w:rsid w:val="00AC6808"/>
    <w:rsid w:val="00AC688F"/>
    <w:rsid w:val="00AC6AFF"/>
    <w:rsid w:val="00AC6B1F"/>
    <w:rsid w:val="00AC6C57"/>
    <w:rsid w:val="00AC6E11"/>
    <w:rsid w:val="00AC6E46"/>
    <w:rsid w:val="00AC6F8A"/>
    <w:rsid w:val="00AC7064"/>
    <w:rsid w:val="00AC70CD"/>
    <w:rsid w:val="00AC714D"/>
    <w:rsid w:val="00AC73F3"/>
    <w:rsid w:val="00AC74A6"/>
    <w:rsid w:val="00AC7538"/>
    <w:rsid w:val="00AC75C9"/>
    <w:rsid w:val="00AC764E"/>
    <w:rsid w:val="00AC7672"/>
    <w:rsid w:val="00AC79E0"/>
    <w:rsid w:val="00AC7B38"/>
    <w:rsid w:val="00AC7C3D"/>
    <w:rsid w:val="00AC7D8B"/>
    <w:rsid w:val="00AD00F3"/>
    <w:rsid w:val="00AD0135"/>
    <w:rsid w:val="00AD01A7"/>
    <w:rsid w:val="00AD01DD"/>
    <w:rsid w:val="00AD0202"/>
    <w:rsid w:val="00AD03BC"/>
    <w:rsid w:val="00AD0463"/>
    <w:rsid w:val="00AD0509"/>
    <w:rsid w:val="00AD0671"/>
    <w:rsid w:val="00AD0674"/>
    <w:rsid w:val="00AD06AD"/>
    <w:rsid w:val="00AD089B"/>
    <w:rsid w:val="00AD0AC0"/>
    <w:rsid w:val="00AD0B3D"/>
    <w:rsid w:val="00AD0C8F"/>
    <w:rsid w:val="00AD0CCE"/>
    <w:rsid w:val="00AD0E89"/>
    <w:rsid w:val="00AD0EF8"/>
    <w:rsid w:val="00AD0EFC"/>
    <w:rsid w:val="00AD1012"/>
    <w:rsid w:val="00AD103B"/>
    <w:rsid w:val="00AD1136"/>
    <w:rsid w:val="00AD114B"/>
    <w:rsid w:val="00AD1207"/>
    <w:rsid w:val="00AD12F5"/>
    <w:rsid w:val="00AD13DF"/>
    <w:rsid w:val="00AD1458"/>
    <w:rsid w:val="00AD14D3"/>
    <w:rsid w:val="00AD154B"/>
    <w:rsid w:val="00AD162C"/>
    <w:rsid w:val="00AD171D"/>
    <w:rsid w:val="00AD1756"/>
    <w:rsid w:val="00AD181D"/>
    <w:rsid w:val="00AD18CD"/>
    <w:rsid w:val="00AD198D"/>
    <w:rsid w:val="00AD19C7"/>
    <w:rsid w:val="00AD1A05"/>
    <w:rsid w:val="00AD1A5D"/>
    <w:rsid w:val="00AD1B76"/>
    <w:rsid w:val="00AD1C28"/>
    <w:rsid w:val="00AD1C51"/>
    <w:rsid w:val="00AD1D78"/>
    <w:rsid w:val="00AD1DA4"/>
    <w:rsid w:val="00AD1F6D"/>
    <w:rsid w:val="00AD2092"/>
    <w:rsid w:val="00AD22B1"/>
    <w:rsid w:val="00AD25A9"/>
    <w:rsid w:val="00AD26E1"/>
    <w:rsid w:val="00AD27B3"/>
    <w:rsid w:val="00AD27F2"/>
    <w:rsid w:val="00AD28B0"/>
    <w:rsid w:val="00AD2B66"/>
    <w:rsid w:val="00AD2BB4"/>
    <w:rsid w:val="00AD2C93"/>
    <w:rsid w:val="00AD2CB5"/>
    <w:rsid w:val="00AD2CBE"/>
    <w:rsid w:val="00AD2D41"/>
    <w:rsid w:val="00AD2D89"/>
    <w:rsid w:val="00AD2E35"/>
    <w:rsid w:val="00AD30D5"/>
    <w:rsid w:val="00AD30F5"/>
    <w:rsid w:val="00AD31C2"/>
    <w:rsid w:val="00AD3254"/>
    <w:rsid w:val="00AD32A8"/>
    <w:rsid w:val="00AD32C2"/>
    <w:rsid w:val="00AD32ED"/>
    <w:rsid w:val="00AD333A"/>
    <w:rsid w:val="00AD33FE"/>
    <w:rsid w:val="00AD350B"/>
    <w:rsid w:val="00AD356D"/>
    <w:rsid w:val="00AD3626"/>
    <w:rsid w:val="00AD375B"/>
    <w:rsid w:val="00AD388C"/>
    <w:rsid w:val="00AD3AB0"/>
    <w:rsid w:val="00AD3BC7"/>
    <w:rsid w:val="00AD3BE4"/>
    <w:rsid w:val="00AD3D75"/>
    <w:rsid w:val="00AD3E02"/>
    <w:rsid w:val="00AD3E11"/>
    <w:rsid w:val="00AD3F90"/>
    <w:rsid w:val="00AD4178"/>
    <w:rsid w:val="00AD4179"/>
    <w:rsid w:val="00AD44C0"/>
    <w:rsid w:val="00AD44D1"/>
    <w:rsid w:val="00AD4728"/>
    <w:rsid w:val="00AD48D9"/>
    <w:rsid w:val="00AD4A5E"/>
    <w:rsid w:val="00AD4A84"/>
    <w:rsid w:val="00AD4BEB"/>
    <w:rsid w:val="00AD4C1A"/>
    <w:rsid w:val="00AD4C8A"/>
    <w:rsid w:val="00AD4DEB"/>
    <w:rsid w:val="00AD4EA8"/>
    <w:rsid w:val="00AD4EF0"/>
    <w:rsid w:val="00AD4F5C"/>
    <w:rsid w:val="00AD4FAF"/>
    <w:rsid w:val="00AD4FB7"/>
    <w:rsid w:val="00AD502B"/>
    <w:rsid w:val="00AD5056"/>
    <w:rsid w:val="00AD5171"/>
    <w:rsid w:val="00AD536E"/>
    <w:rsid w:val="00AD540C"/>
    <w:rsid w:val="00AD5499"/>
    <w:rsid w:val="00AD55DA"/>
    <w:rsid w:val="00AD5612"/>
    <w:rsid w:val="00AD5618"/>
    <w:rsid w:val="00AD563E"/>
    <w:rsid w:val="00AD5723"/>
    <w:rsid w:val="00AD5792"/>
    <w:rsid w:val="00AD5991"/>
    <w:rsid w:val="00AD5A82"/>
    <w:rsid w:val="00AD5BE0"/>
    <w:rsid w:val="00AD5DEA"/>
    <w:rsid w:val="00AD5FED"/>
    <w:rsid w:val="00AD62D5"/>
    <w:rsid w:val="00AD6445"/>
    <w:rsid w:val="00AD6447"/>
    <w:rsid w:val="00AD647E"/>
    <w:rsid w:val="00AD64AE"/>
    <w:rsid w:val="00AD6529"/>
    <w:rsid w:val="00AD6566"/>
    <w:rsid w:val="00AD6772"/>
    <w:rsid w:val="00AD67C9"/>
    <w:rsid w:val="00AD67CF"/>
    <w:rsid w:val="00AD687C"/>
    <w:rsid w:val="00AD6A68"/>
    <w:rsid w:val="00AD6A99"/>
    <w:rsid w:val="00AD6AD2"/>
    <w:rsid w:val="00AD6B1E"/>
    <w:rsid w:val="00AD6BD8"/>
    <w:rsid w:val="00AD6D87"/>
    <w:rsid w:val="00AD6DD0"/>
    <w:rsid w:val="00AD6E36"/>
    <w:rsid w:val="00AD6E6C"/>
    <w:rsid w:val="00AD6EBC"/>
    <w:rsid w:val="00AD6F4E"/>
    <w:rsid w:val="00AD7026"/>
    <w:rsid w:val="00AD70A7"/>
    <w:rsid w:val="00AD70BE"/>
    <w:rsid w:val="00AD7210"/>
    <w:rsid w:val="00AD7314"/>
    <w:rsid w:val="00AD7346"/>
    <w:rsid w:val="00AD740B"/>
    <w:rsid w:val="00AD74F3"/>
    <w:rsid w:val="00AD752C"/>
    <w:rsid w:val="00AD768E"/>
    <w:rsid w:val="00AD778F"/>
    <w:rsid w:val="00AD77A3"/>
    <w:rsid w:val="00AD79C3"/>
    <w:rsid w:val="00AD7A5E"/>
    <w:rsid w:val="00AD7A7E"/>
    <w:rsid w:val="00AD7AEF"/>
    <w:rsid w:val="00AD7AFB"/>
    <w:rsid w:val="00AD7BF7"/>
    <w:rsid w:val="00AD7C07"/>
    <w:rsid w:val="00AD7C76"/>
    <w:rsid w:val="00AD7E3A"/>
    <w:rsid w:val="00AD7E84"/>
    <w:rsid w:val="00AD7F3D"/>
    <w:rsid w:val="00AE0058"/>
    <w:rsid w:val="00AE008C"/>
    <w:rsid w:val="00AE0125"/>
    <w:rsid w:val="00AE024C"/>
    <w:rsid w:val="00AE035A"/>
    <w:rsid w:val="00AE0367"/>
    <w:rsid w:val="00AE05AC"/>
    <w:rsid w:val="00AE05E1"/>
    <w:rsid w:val="00AE05F1"/>
    <w:rsid w:val="00AE05F2"/>
    <w:rsid w:val="00AE07A2"/>
    <w:rsid w:val="00AE0AA7"/>
    <w:rsid w:val="00AE0AB8"/>
    <w:rsid w:val="00AE0B26"/>
    <w:rsid w:val="00AE0C0E"/>
    <w:rsid w:val="00AE0C91"/>
    <w:rsid w:val="00AE0E16"/>
    <w:rsid w:val="00AE0E85"/>
    <w:rsid w:val="00AE0E8B"/>
    <w:rsid w:val="00AE0F85"/>
    <w:rsid w:val="00AE0F97"/>
    <w:rsid w:val="00AE0FB2"/>
    <w:rsid w:val="00AE1094"/>
    <w:rsid w:val="00AE10A4"/>
    <w:rsid w:val="00AE10C9"/>
    <w:rsid w:val="00AE1117"/>
    <w:rsid w:val="00AE113F"/>
    <w:rsid w:val="00AE126F"/>
    <w:rsid w:val="00AE12B2"/>
    <w:rsid w:val="00AE13E1"/>
    <w:rsid w:val="00AE13E2"/>
    <w:rsid w:val="00AE15BF"/>
    <w:rsid w:val="00AE171D"/>
    <w:rsid w:val="00AE173B"/>
    <w:rsid w:val="00AE1779"/>
    <w:rsid w:val="00AE181E"/>
    <w:rsid w:val="00AE1836"/>
    <w:rsid w:val="00AE1844"/>
    <w:rsid w:val="00AE1980"/>
    <w:rsid w:val="00AE1AE5"/>
    <w:rsid w:val="00AE1B80"/>
    <w:rsid w:val="00AE1D54"/>
    <w:rsid w:val="00AE1D57"/>
    <w:rsid w:val="00AE20E0"/>
    <w:rsid w:val="00AE211A"/>
    <w:rsid w:val="00AE213C"/>
    <w:rsid w:val="00AE218D"/>
    <w:rsid w:val="00AE2197"/>
    <w:rsid w:val="00AE219E"/>
    <w:rsid w:val="00AE21FD"/>
    <w:rsid w:val="00AE227A"/>
    <w:rsid w:val="00AE24DE"/>
    <w:rsid w:val="00AE2622"/>
    <w:rsid w:val="00AE281A"/>
    <w:rsid w:val="00AE2836"/>
    <w:rsid w:val="00AE298A"/>
    <w:rsid w:val="00AE2A29"/>
    <w:rsid w:val="00AE2AA8"/>
    <w:rsid w:val="00AE2BF2"/>
    <w:rsid w:val="00AE2C02"/>
    <w:rsid w:val="00AE2C05"/>
    <w:rsid w:val="00AE2C8E"/>
    <w:rsid w:val="00AE31C0"/>
    <w:rsid w:val="00AE3211"/>
    <w:rsid w:val="00AE32C3"/>
    <w:rsid w:val="00AE35AA"/>
    <w:rsid w:val="00AE36BE"/>
    <w:rsid w:val="00AE372D"/>
    <w:rsid w:val="00AE3781"/>
    <w:rsid w:val="00AE3804"/>
    <w:rsid w:val="00AE3828"/>
    <w:rsid w:val="00AE387D"/>
    <w:rsid w:val="00AE3933"/>
    <w:rsid w:val="00AE39C9"/>
    <w:rsid w:val="00AE3A3A"/>
    <w:rsid w:val="00AE3AA8"/>
    <w:rsid w:val="00AE3C89"/>
    <w:rsid w:val="00AE43B9"/>
    <w:rsid w:val="00AE45AE"/>
    <w:rsid w:val="00AE4713"/>
    <w:rsid w:val="00AE4796"/>
    <w:rsid w:val="00AE47F2"/>
    <w:rsid w:val="00AE4863"/>
    <w:rsid w:val="00AE48F1"/>
    <w:rsid w:val="00AE4A04"/>
    <w:rsid w:val="00AE4A43"/>
    <w:rsid w:val="00AE4D0C"/>
    <w:rsid w:val="00AE4D4D"/>
    <w:rsid w:val="00AE4D70"/>
    <w:rsid w:val="00AE4E02"/>
    <w:rsid w:val="00AE4FFB"/>
    <w:rsid w:val="00AE502A"/>
    <w:rsid w:val="00AE53B0"/>
    <w:rsid w:val="00AE54DF"/>
    <w:rsid w:val="00AE5575"/>
    <w:rsid w:val="00AE55BE"/>
    <w:rsid w:val="00AE566D"/>
    <w:rsid w:val="00AE5733"/>
    <w:rsid w:val="00AE5753"/>
    <w:rsid w:val="00AE575F"/>
    <w:rsid w:val="00AE5A33"/>
    <w:rsid w:val="00AE5A5E"/>
    <w:rsid w:val="00AE5CC4"/>
    <w:rsid w:val="00AE5D01"/>
    <w:rsid w:val="00AE5E1B"/>
    <w:rsid w:val="00AE5F78"/>
    <w:rsid w:val="00AE6012"/>
    <w:rsid w:val="00AE619B"/>
    <w:rsid w:val="00AE61BC"/>
    <w:rsid w:val="00AE61C6"/>
    <w:rsid w:val="00AE6484"/>
    <w:rsid w:val="00AE64CC"/>
    <w:rsid w:val="00AE66AF"/>
    <w:rsid w:val="00AE66D2"/>
    <w:rsid w:val="00AE66DC"/>
    <w:rsid w:val="00AE681F"/>
    <w:rsid w:val="00AE6840"/>
    <w:rsid w:val="00AE68CD"/>
    <w:rsid w:val="00AE6962"/>
    <w:rsid w:val="00AE69F6"/>
    <w:rsid w:val="00AE6A7E"/>
    <w:rsid w:val="00AE6A91"/>
    <w:rsid w:val="00AE6BAA"/>
    <w:rsid w:val="00AE6BBE"/>
    <w:rsid w:val="00AE6BF8"/>
    <w:rsid w:val="00AE6D08"/>
    <w:rsid w:val="00AE6DD8"/>
    <w:rsid w:val="00AE6E18"/>
    <w:rsid w:val="00AE6F28"/>
    <w:rsid w:val="00AE6FC4"/>
    <w:rsid w:val="00AE70EE"/>
    <w:rsid w:val="00AE712F"/>
    <w:rsid w:val="00AE71AF"/>
    <w:rsid w:val="00AE71B7"/>
    <w:rsid w:val="00AE7202"/>
    <w:rsid w:val="00AE7280"/>
    <w:rsid w:val="00AE7659"/>
    <w:rsid w:val="00AE77F6"/>
    <w:rsid w:val="00AE787E"/>
    <w:rsid w:val="00AE7896"/>
    <w:rsid w:val="00AE7898"/>
    <w:rsid w:val="00AE7918"/>
    <w:rsid w:val="00AE79FB"/>
    <w:rsid w:val="00AE7A1E"/>
    <w:rsid w:val="00AE7A4F"/>
    <w:rsid w:val="00AE7B4B"/>
    <w:rsid w:val="00AE7C3E"/>
    <w:rsid w:val="00AE7CA6"/>
    <w:rsid w:val="00AE7E45"/>
    <w:rsid w:val="00AE7F15"/>
    <w:rsid w:val="00AE7F37"/>
    <w:rsid w:val="00AE7F70"/>
    <w:rsid w:val="00AF0022"/>
    <w:rsid w:val="00AF012A"/>
    <w:rsid w:val="00AF02A0"/>
    <w:rsid w:val="00AF0387"/>
    <w:rsid w:val="00AF03C8"/>
    <w:rsid w:val="00AF0451"/>
    <w:rsid w:val="00AF04DB"/>
    <w:rsid w:val="00AF0568"/>
    <w:rsid w:val="00AF05DE"/>
    <w:rsid w:val="00AF0670"/>
    <w:rsid w:val="00AF0776"/>
    <w:rsid w:val="00AF08B6"/>
    <w:rsid w:val="00AF08E6"/>
    <w:rsid w:val="00AF0A51"/>
    <w:rsid w:val="00AF0A98"/>
    <w:rsid w:val="00AF0B27"/>
    <w:rsid w:val="00AF0B45"/>
    <w:rsid w:val="00AF0B7F"/>
    <w:rsid w:val="00AF0B8F"/>
    <w:rsid w:val="00AF0C03"/>
    <w:rsid w:val="00AF0C07"/>
    <w:rsid w:val="00AF0C2D"/>
    <w:rsid w:val="00AF0EA0"/>
    <w:rsid w:val="00AF0EE9"/>
    <w:rsid w:val="00AF1167"/>
    <w:rsid w:val="00AF1388"/>
    <w:rsid w:val="00AF1405"/>
    <w:rsid w:val="00AF1463"/>
    <w:rsid w:val="00AF156E"/>
    <w:rsid w:val="00AF15CF"/>
    <w:rsid w:val="00AF1795"/>
    <w:rsid w:val="00AF19C1"/>
    <w:rsid w:val="00AF19DE"/>
    <w:rsid w:val="00AF1A64"/>
    <w:rsid w:val="00AF1B64"/>
    <w:rsid w:val="00AF1C3F"/>
    <w:rsid w:val="00AF1C84"/>
    <w:rsid w:val="00AF1E83"/>
    <w:rsid w:val="00AF1F06"/>
    <w:rsid w:val="00AF1F57"/>
    <w:rsid w:val="00AF212D"/>
    <w:rsid w:val="00AF2192"/>
    <w:rsid w:val="00AF21BA"/>
    <w:rsid w:val="00AF224C"/>
    <w:rsid w:val="00AF230A"/>
    <w:rsid w:val="00AF236A"/>
    <w:rsid w:val="00AF2388"/>
    <w:rsid w:val="00AF23DB"/>
    <w:rsid w:val="00AF264D"/>
    <w:rsid w:val="00AF270F"/>
    <w:rsid w:val="00AF2B4B"/>
    <w:rsid w:val="00AF2C67"/>
    <w:rsid w:val="00AF2D63"/>
    <w:rsid w:val="00AF2EEE"/>
    <w:rsid w:val="00AF2F7C"/>
    <w:rsid w:val="00AF2FA5"/>
    <w:rsid w:val="00AF301F"/>
    <w:rsid w:val="00AF306F"/>
    <w:rsid w:val="00AF30BD"/>
    <w:rsid w:val="00AF33ED"/>
    <w:rsid w:val="00AF3492"/>
    <w:rsid w:val="00AF3561"/>
    <w:rsid w:val="00AF377A"/>
    <w:rsid w:val="00AF3790"/>
    <w:rsid w:val="00AF3792"/>
    <w:rsid w:val="00AF3811"/>
    <w:rsid w:val="00AF3865"/>
    <w:rsid w:val="00AF39DD"/>
    <w:rsid w:val="00AF3A27"/>
    <w:rsid w:val="00AF3A44"/>
    <w:rsid w:val="00AF3AEA"/>
    <w:rsid w:val="00AF3BC8"/>
    <w:rsid w:val="00AF3BCF"/>
    <w:rsid w:val="00AF3EA5"/>
    <w:rsid w:val="00AF3EE2"/>
    <w:rsid w:val="00AF3F3B"/>
    <w:rsid w:val="00AF3FD9"/>
    <w:rsid w:val="00AF4046"/>
    <w:rsid w:val="00AF40BB"/>
    <w:rsid w:val="00AF40D6"/>
    <w:rsid w:val="00AF4112"/>
    <w:rsid w:val="00AF42D1"/>
    <w:rsid w:val="00AF42DF"/>
    <w:rsid w:val="00AF4396"/>
    <w:rsid w:val="00AF456A"/>
    <w:rsid w:val="00AF4664"/>
    <w:rsid w:val="00AF46F8"/>
    <w:rsid w:val="00AF48AB"/>
    <w:rsid w:val="00AF4967"/>
    <w:rsid w:val="00AF4A66"/>
    <w:rsid w:val="00AF4AF6"/>
    <w:rsid w:val="00AF4BEF"/>
    <w:rsid w:val="00AF4C86"/>
    <w:rsid w:val="00AF4CA0"/>
    <w:rsid w:val="00AF4CF1"/>
    <w:rsid w:val="00AF4D2D"/>
    <w:rsid w:val="00AF4D88"/>
    <w:rsid w:val="00AF4FA0"/>
    <w:rsid w:val="00AF50AB"/>
    <w:rsid w:val="00AF5157"/>
    <w:rsid w:val="00AF523E"/>
    <w:rsid w:val="00AF52F5"/>
    <w:rsid w:val="00AF5463"/>
    <w:rsid w:val="00AF5471"/>
    <w:rsid w:val="00AF55CD"/>
    <w:rsid w:val="00AF57B8"/>
    <w:rsid w:val="00AF57F4"/>
    <w:rsid w:val="00AF581B"/>
    <w:rsid w:val="00AF5874"/>
    <w:rsid w:val="00AF5B77"/>
    <w:rsid w:val="00AF5C33"/>
    <w:rsid w:val="00AF5C55"/>
    <w:rsid w:val="00AF5CFC"/>
    <w:rsid w:val="00AF5EA2"/>
    <w:rsid w:val="00AF5EA9"/>
    <w:rsid w:val="00AF5EDA"/>
    <w:rsid w:val="00AF6029"/>
    <w:rsid w:val="00AF60B8"/>
    <w:rsid w:val="00AF60FB"/>
    <w:rsid w:val="00AF6126"/>
    <w:rsid w:val="00AF615F"/>
    <w:rsid w:val="00AF61E4"/>
    <w:rsid w:val="00AF6222"/>
    <w:rsid w:val="00AF6394"/>
    <w:rsid w:val="00AF6579"/>
    <w:rsid w:val="00AF6639"/>
    <w:rsid w:val="00AF67BD"/>
    <w:rsid w:val="00AF67D2"/>
    <w:rsid w:val="00AF695C"/>
    <w:rsid w:val="00AF69C7"/>
    <w:rsid w:val="00AF6B6B"/>
    <w:rsid w:val="00AF6BC3"/>
    <w:rsid w:val="00AF6C2B"/>
    <w:rsid w:val="00AF6CDF"/>
    <w:rsid w:val="00AF6D23"/>
    <w:rsid w:val="00AF6DD9"/>
    <w:rsid w:val="00AF6E57"/>
    <w:rsid w:val="00AF6E8B"/>
    <w:rsid w:val="00AF6F2D"/>
    <w:rsid w:val="00AF6F4B"/>
    <w:rsid w:val="00AF6FBF"/>
    <w:rsid w:val="00AF70E9"/>
    <w:rsid w:val="00AF7106"/>
    <w:rsid w:val="00AF711D"/>
    <w:rsid w:val="00AF7330"/>
    <w:rsid w:val="00AF7485"/>
    <w:rsid w:val="00AF74E7"/>
    <w:rsid w:val="00AF754A"/>
    <w:rsid w:val="00AF76AA"/>
    <w:rsid w:val="00AF779E"/>
    <w:rsid w:val="00AF789A"/>
    <w:rsid w:val="00AF78D4"/>
    <w:rsid w:val="00AF78EC"/>
    <w:rsid w:val="00AF792C"/>
    <w:rsid w:val="00AF7A30"/>
    <w:rsid w:val="00AF7A54"/>
    <w:rsid w:val="00AF7AAB"/>
    <w:rsid w:val="00AF7E50"/>
    <w:rsid w:val="00AF7F53"/>
    <w:rsid w:val="00B00005"/>
    <w:rsid w:val="00B0015C"/>
    <w:rsid w:val="00B001A6"/>
    <w:rsid w:val="00B001D9"/>
    <w:rsid w:val="00B001E6"/>
    <w:rsid w:val="00B002C8"/>
    <w:rsid w:val="00B00335"/>
    <w:rsid w:val="00B003F2"/>
    <w:rsid w:val="00B00400"/>
    <w:rsid w:val="00B0055E"/>
    <w:rsid w:val="00B00571"/>
    <w:rsid w:val="00B007D5"/>
    <w:rsid w:val="00B0090E"/>
    <w:rsid w:val="00B00977"/>
    <w:rsid w:val="00B00B1E"/>
    <w:rsid w:val="00B00C88"/>
    <w:rsid w:val="00B00D8E"/>
    <w:rsid w:val="00B00E6C"/>
    <w:rsid w:val="00B011A1"/>
    <w:rsid w:val="00B011E8"/>
    <w:rsid w:val="00B0120E"/>
    <w:rsid w:val="00B013CE"/>
    <w:rsid w:val="00B014F4"/>
    <w:rsid w:val="00B016CF"/>
    <w:rsid w:val="00B0171E"/>
    <w:rsid w:val="00B01C91"/>
    <w:rsid w:val="00B01D06"/>
    <w:rsid w:val="00B01D3A"/>
    <w:rsid w:val="00B01D7B"/>
    <w:rsid w:val="00B01E23"/>
    <w:rsid w:val="00B01E59"/>
    <w:rsid w:val="00B01FB0"/>
    <w:rsid w:val="00B02005"/>
    <w:rsid w:val="00B022E9"/>
    <w:rsid w:val="00B025B1"/>
    <w:rsid w:val="00B02728"/>
    <w:rsid w:val="00B02AC5"/>
    <w:rsid w:val="00B02C11"/>
    <w:rsid w:val="00B02C23"/>
    <w:rsid w:val="00B02E32"/>
    <w:rsid w:val="00B02EFA"/>
    <w:rsid w:val="00B03069"/>
    <w:rsid w:val="00B03089"/>
    <w:rsid w:val="00B031CF"/>
    <w:rsid w:val="00B0323D"/>
    <w:rsid w:val="00B03615"/>
    <w:rsid w:val="00B0379E"/>
    <w:rsid w:val="00B037B2"/>
    <w:rsid w:val="00B03989"/>
    <w:rsid w:val="00B039A9"/>
    <w:rsid w:val="00B03A3F"/>
    <w:rsid w:val="00B03A6E"/>
    <w:rsid w:val="00B03AB2"/>
    <w:rsid w:val="00B03DCF"/>
    <w:rsid w:val="00B04AF8"/>
    <w:rsid w:val="00B04B5B"/>
    <w:rsid w:val="00B04E38"/>
    <w:rsid w:val="00B04F48"/>
    <w:rsid w:val="00B04FB7"/>
    <w:rsid w:val="00B050D3"/>
    <w:rsid w:val="00B051B2"/>
    <w:rsid w:val="00B051FA"/>
    <w:rsid w:val="00B05292"/>
    <w:rsid w:val="00B054D9"/>
    <w:rsid w:val="00B054FD"/>
    <w:rsid w:val="00B055E6"/>
    <w:rsid w:val="00B05663"/>
    <w:rsid w:val="00B05809"/>
    <w:rsid w:val="00B05826"/>
    <w:rsid w:val="00B059A8"/>
    <w:rsid w:val="00B05C3A"/>
    <w:rsid w:val="00B05DD3"/>
    <w:rsid w:val="00B0608B"/>
    <w:rsid w:val="00B06162"/>
    <w:rsid w:val="00B06193"/>
    <w:rsid w:val="00B061D5"/>
    <w:rsid w:val="00B062F2"/>
    <w:rsid w:val="00B063FF"/>
    <w:rsid w:val="00B0642D"/>
    <w:rsid w:val="00B06445"/>
    <w:rsid w:val="00B06521"/>
    <w:rsid w:val="00B06559"/>
    <w:rsid w:val="00B06622"/>
    <w:rsid w:val="00B0695F"/>
    <w:rsid w:val="00B06ADB"/>
    <w:rsid w:val="00B06E80"/>
    <w:rsid w:val="00B06F49"/>
    <w:rsid w:val="00B071F7"/>
    <w:rsid w:val="00B072A8"/>
    <w:rsid w:val="00B072C2"/>
    <w:rsid w:val="00B0731F"/>
    <w:rsid w:val="00B07478"/>
    <w:rsid w:val="00B074C2"/>
    <w:rsid w:val="00B074FC"/>
    <w:rsid w:val="00B0752B"/>
    <w:rsid w:val="00B07750"/>
    <w:rsid w:val="00B07A94"/>
    <w:rsid w:val="00B07BDF"/>
    <w:rsid w:val="00B07C82"/>
    <w:rsid w:val="00B07CCC"/>
    <w:rsid w:val="00B07E6C"/>
    <w:rsid w:val="00B07FA1"/>
    <w:rsid w:val="00B07FF4"/>
    <w:rsid w:val="00B10167"/>
    <w:rsid w:val="00B10192"/>
    <w:rsid w:val="00B10235"/>
    <w:rsid w:val="00B103EF"/>
    <w:rsid w:val="00B10499"/>
    <w:rsid w:val="00B104C8"/>
    <w:rsid w:val="00B105D7"/>
    <w:rsid w:val="00B10908"/>
    <w:rsid w:val="00B10B70"/>
    <w:rsid w:val="00B10DD8"/>
    <w:rsid w:val="00B10EA4"/>
    <w:rsid w:val="00B10FE8"/>
    <w:rsid w:val="00B1110E"/>
    <w:rsid w:val="00B11197"/>
    <w:rsid w:val="00B1120A"/>
    <w:rsid w:val="00B11257"/>
    <w:rsid w:val="00B11306"/>
    <w:rsid w:val="00B11317"/>
    <w:rsid w:val="00B1143C"/>
    <w:rsid w:val="00B115AF"/>
    <w:rsid w:val="00B115DB"/>
    <w:rsid w:val="00B11616"/>
    <w:rsid w:val="00B1163E"/>
    <w:rsid w:val="00B116FA"/>
    <w:rsid w:val="00B1170A"/>
    <w:rsid w:val="00B1170E"/>
    <w:rsid w:val="00B1184A"/>
    <w:rsid w:val="00B11A12"/>
    <w:rsid w:val="00B11A68"/>
    <w:rsid w:val="00B11AD1"/>
    <w:rsid w:val="00B11B12"/>
    <w:rsid w:val="00B11C2D"/>
    <w:rsid w:val="00B11CE3"/>
    <w:rsid w:val="00B11D24"/>
    <w:rsid w:val="00B11EA5"/>
    <w:rsid w:val="00B11ED0"/>
    <w:rsid w:val="00B12012"/>
    <w:rsid w:val="00B1204C"/>
    <w:rsid w:val="00B120E2"/>
    <w:rsid w:val="00B121DD"/>
    <w:rsid w:val="00B122D6"/>
    <w:rsid w:val="00B12351"/>
    <w:rsid w:val="00B1236B"/>
    <w:rsid w:val="00B1237B"/>
    <w:rsid w:val="00B12651"/>
    <w:rsid w:val="00B12837"/>
    <w:rsid w:val="00B1286D"/>
    <w:rsid w:val="00B128FB"/>
    <w:rsid w:val="00B129AF"/>
    <w:rsid w:val="00B129B0"/>
    <w:rsid w:val="00B129E0"/>
    <w:rsid w:val="00B12A32"/>
    <w:rsid w:val="00B12D20"/>
    <w:rsid w:val="00B12D22"/>
    <w:rsid w:val="00B12D2C"/>
    <w:rsid w:val="00B12E05"/>
    <w:rsid w:val="00B12FB0"/>
    <w:rsid w:val="00B12FFB"/>
    <w:rsid w:val="00B130AD"/>
    <w:rsid w:val="00B130D4"/>
    <w:rsid w:val="00B13187"/>
    <w:rsid w:val="00B13342"/>
    <w:rsid w:val="00B133B8"/>
    <w:rsid w:val="00B13478"/>
    <w:rsid w:val="00B13547"/>
    <w:rsid w:val="00B135FD"/>
    <w:rsid w:val="00B13601"/>
    <w:rsid w:val="00B1382B"/>
    <w:rsid w:val="00B13AB2"/>
    <w:rsid w:val="00B13B46"/>
    <w:rsid w:val="00B13B63"/>
    <w:rsid w:val="00B13BA6"/>
    <w:rsid w:val="00B13C68"/>
    <w:rsid w:val="00B13CD3"/>
    <w:rsid w:val="00B13E30"/>
    <w:rsid w:val="00B14049"/>
    <w:rsid w:val="00B140A0"/>
    <w:rsid w:val="00B14207"/>
    <w:rsid w:val="00B1451F"/>
    <w:rsid w:val="00B146DC"/>
    <w:rsid w:val="00B14761"/>
    <w:rsid w:val="00B14780"/>
    <w:rsid w:val="00B147D5"/>
    <w:rsid w:val="00B14875"/>
    <w:rsid w:val="00B14932"/>
    <w:rsid w:val="00B14B78"/>
    <w:rsid w:val="00B14CC8"/>
    <w:rsid w:val="00B14DA6"/>
    <w:rsid w:val="00B14E94"/>
    <w:rsid w:val="00B14F5B"/>
    <w:rsid w:val="00B14F6D"/>
    <w:rsid w:val="00B1504E"/>
    <w:rsid w:val="00B150A3"/>
    <w:rsid w:val="00B15134"/>
    <w:rsid w:val="00B15150"/>
    <w:rsid w:val="00B15168"/>
    <w:rsid w:val="00B151E5"/>
    <w:rsid w:val="00B152DF"/>
    <w:rsid w:val="00B15329"/>
    <w:rsid w:val="00B1540A"/>
    <w:rsid w:val="00B15689"/>
    <w:rsid w:val="00B156F0"/>
    <w:rsid w:val="00B158F6"/>
    <w:rsid w:val="00B15A06"/>
    <w:rsid w:val="00B15A14"/>
    <w:rsid w:val="00B15A17"/>
    <w:rsid w:val="00B15A55"/>
    <w:rsid w:val="00B15A67"/>
    <w:rsid w:val="00B15DC6"/>
    <w:rsid w:val="00B15EE0"/>
    <w:rsid w:val="00B15FEB"/>
    <w:rsid w:val="00B1619A"/>
    <w:rsid w:val="00B162C8"/>
    <w:rsid w:val="00B163AC"/>
    <w:rsid w:val="00B16436"/>
    <w:rsid w:val="00B16514"/>
    <w:rsid w:val="00B16577"/>
    <w:rsid w:val="00B16612"/>
    <w:rsid w:val="00B1669B"/>
    <w:rsid w:val="00B1677C"/>
    <w:rsid w:val="00B167EB"/>
    <w:rsid w:val="00B1683C"/>
    <w:rsid w:val="00B16927"/>
    <w:rsid w:val="00B16A6C"/>
    <w:rsid w:val="00B16C31"/>
    <w:rsid w:val="00B16C63"/>
    <w:rsid w:val="00B16DAB"/>
    <w:rsid w:val="00B1714E"/>
    <w:rsid w:val="00B1738D"/>
    <w:rsid w:val="00B17463"/>
    <w:rsid w:val="00B17474"/>
    <w:rsid w:val="00B174A8"/>
    <w:rsid w:val="00B1759D"/>
    <w:rsid w:val="00B1769A"/>
    <w:rsid w:val="00B176C5"/>
    <w:rsid w:val="00B177B5"/>
    <w:rsid w:val="00B178AC"/>
    <w:rsid w:val="00B17922"/>
    <w:rsid w:val="00B17983"/>
    <w:rsid w:val="00B17B01"/>
    <w:rsid w:val="00B17B5B"/>
    <w:rsid w:val="00B17BB4"/>
    <w:rsid w:val="00B17BE9"/>
    <w:rsid w:val="00B17CD4"/>
    <w:rsid w:val="00B17D2A"/>
    <w:rsid w:val="00B17D5A"/>
    <w:rsid w:val="00B17D6C"/>
    <w:rsid w:val="00B17D81"/>
    <w:rsid w:val="00B17F5B"/>
    <w:rsid w:val="00B20055"/>
    <w:rsid w:val="00B2022A"/>
    <w:rsid w:val="00B20244"/>
    <w:rsid w:val="00B20257"/>
    <w:rsid w:val="00B204DC"/>
    <w:rsid w:val="00B204FC"/>
    <w:rsid w:val="00B2055B"/>
    <w:rsid w:val="00B205CB"/>
    <w:rsid w:val="00B205CF"/>
    <w:rsid w:val="00B206EF"/>
    <w:rsid w:val="00B2073D"/>
    <w:rsid w:val="00B20749"/>
    <w:rsid w:val="00B2092A"/>
    <w:rsid w:val="00B209C8"/>
    <w:rsid w:val="00B20A5B"/>
    <w:rsid w:val="00B20B50"/>
    <w:rsid w:val="00B20BC0"/>
    <w:rsid w:val="00B20C44"/>
    <w:rsid w:val="00B20EB0"/>
    <w:rsid w:val="00B21031"/>
    <w:rsid w:val="00B2108D"/>
    <w:rsid w:val="00B21139"/>
    <w:rsid w:val="00B21256"/>
    <w:rsid w:val="00B21266"/>
    <w:rsid w:val="00B212CD"/>
    <w:rsid w:val="00B213ED"/>
    <w:rsid w:val="00B214E6"/>
    <w:rsid w:val="00B2151B"/>
    <w:rsid w:val="00B215CC"/>
    <w:rsid w:val="00B21694"/>
    <w:rsid w:val="00B216CD"/>
    <w:rsid w:val="00B21722"/>
    <w:rsid w:val="00B217C1"/>
    <w:rsid w:val="00B21857"/>
    <w:rsid w:val="00B21913"/>
    <w:rsid w:val="00B21969"/>
    <w:rsid w:val="00B21AEA"/>
    <w:rsid w:val="00B21BBE"/>
    <w:rsid w:val="00B21C23"/>
    <w:rsid w:val="00B21C53"/>
    <w:rsid w:val="00B21CD6"/>
    <w:rsid w:val="00B21D91"/>
    <w:rsid w:val="00B21DA6"/>
    <w:rsid w:val="00B21E0E"/>
    <w:rsid w:val="00B21E31"/>
    <w:rsid w:val="00B21EF4"/>
    <w:rsid w:val="00B21FF5"/>
    <w:rsid w:val="00B220FB"/>
    <w:rsid w:val="00B2218F"/>
    <w:rsid w:val="00B221F8"/>
    <w:rsid w:val="00B2225A"/>
    <w:rsid w:val="00B222E1"/>
    <w:rsid w:val="00B22309"/>
    <w:rsid w:val="00B22346"/>
    <w:rsid w:val="00B2236D"/>
    <w:rsid w:val="00B223E4"/>
    <w:rsid w:val="00B2243F"/>
    <w:rsid w:val="00B22471"/>
    <w:rsid w:val="00B224E2"/>
    <w:rsid w:val="00B22761"/>
    <w:rsid w:val="00B227A8"/>
    <w:rsid w:val="00B227E1"/>
    <w:rsid w:val="00B2281A"/>
    <w:rsid w:val="00B228B0"/>
    <w:rsid w:val="00B228E9"/>
    <w:rsid w:val="00B22913"/>
    <w:rsid w:val="00B22977"/>
    <w:rsid w:val="00B22980"/>
    <w:rsid w:val="00B22E1D"/>
    <w:rsid w:val="00B22EAA"/>
    <w:rsid w:val="00B22F5A"/>
    <w:rsid w:val="00B22F76"/>
    <w:rsid w:val="00B2300D"/>
    <w:rsid w:val="00B2306C"/>
    <w:rsid w:val="00B23102"/>
    <w:rsid w:val="00B2316A"/>
    <w:rsid w:val="00B231E1"/>
    <w:rsid w:val="00B232CC"/>
    <w:rsid w:val="00B232F6"/>
    <w:rsid w:val="00B23558"/>
    <w:rsid w:val="00B237E9"/>
    <w:rsid w:val="00B2388C"/>
    <w:rsid w:val="00B238FC"/>
    <w:rsid w:val="00B23965"/>
    <w:rsid w:val="00B239CD"/>
    <w:rsid w:val="00B23A0C"/>
    <w:rsid w:val="00B23A4C"/>
    <w:rsid w:val="00B23D47"/>
    <w:rsid w:val="00B23E87"/>
    <w:rsid w:val="00B23EBC"/>
    <w:rsid w:val="00B24060"/>
    <w:rsid w:val="00B24115"/>
    <w:rsid w:val="00B241D4"/>
    <w:rsid w:val="00B2420D"/>
    <w:rsid w:val="00B2425C"/>
    <w:rsid w:val="00B2427D"/>
    <w:rsid w:val="00B24348"/>
    <w:rsid w:val="00B2439E"/>
    <w:rsid w:val="00B243A1"/>
    <w:rsid w:val="00B2444A"/>
    <w:rsid w:val="00B24467"/>
    <w:rsid w:val="00B24536"/>
    <w:rsid w:val="00B2465C"/>
    <w:rsid w:val="00B24719"/>
    <w:rsid w:val="00B24941"/>
    <w:rsid w:val="00B24958"/>
    <w:rsid w:val="00B24A1E"/>
    <w:rsid w:val="00B24A79"/>
    <w:rsid w:val="00B24BA5"/>
    <w:rsid w:val="00B24CF8"/>
    <w:rsid w:val="00B24D45"/>
    <w:rsid w:val="00B24DF9"/>
    <w:rsid w:val="00B24EA7"/>
    <w:rsid w:val="00B24EAF"/>
    <w:rsid w:val="00B24F4C"/>
    <w:rsid w:val="00B24FFB"/>
    <w:rsid w:val="00B2528A"/>
    <w:rsid w:val="00B25292"/>
    <w:rsid w:val="00B25351"/>
    <w:rsid w:val="00B25403"/>
    <w:rsid w:val="00B2543C"/>
    <w:rsid w:val="00B254D2"/>
    <w:rsid w:val="00B25508"/>
    <w:rsid w:val="00B255C2"/>
    <w:rsid w:val="00B255D0"/>
    <w:rsid w:val="00B255DC"/>
    <w:rsid w:val="00B25646"/>
    <w:rsid w:val="00B256A8"/>
    <w:rsid w:val="00B25853"/>
    <w:rsid w:val="00B25A1C"/>
    <w:rsid w:val="00B25ADB"/>
    <w:rsid w:val="00B25BBE"/>
    <w:rsid w:val="00B25DD2"/>
    <w:rsid w:val="00B25EBC"/>
    <w:rsid w:val="00B25ECE"/>
    <w:rsid w:val="00B25EE4"/>
    <w:rsid w:val="00B26058"/>
    <w:rsid w:val="00B26150"/>
    <w:rsid w:val="00B2635F"/>
    <w:rsid w:val="00B2638C"/>
    <w:rsid w:val="00B2638D"/>
    <w:rsid w:val="00B263E4"/>
    <w:rsid w:val="00B26809"/>
    <w:rsid w:val="00B26A1F"/>
    <w:rsid w:val="00B26A39"/>
    <w:rsid w:val="00B26A6D"/>
    <w:rsid w:val="00B26AA9"/>
    <w:rsid w:val="00B26B03"/>
    <w:rsid w:val="00B26D08"/>
    <w:rsid w:val="00B26EAB"/>
    <w:rsid w:val="00B2727D"/>
    <w:rsid w:val="00B272CA"/>
    <w:rsid w:val="00B2736C"/>
    <w:rsid w:val="00B275D6"/>
    <w:rsid w:val="00B27628"/>
    <w:rsid w:val="00B2776C"/>
    <w:rsid w:val="00B2778D"/>
    <w:rsid w:val="00B27804"/>
    <w:rsid w:val="00B278A3"/>
    <w:rsid w:val="00B278E4"/>
    <w:rsid w:val="00B27A8F"/>
    <w:rsid w:val="00B27BE1"/>
    <w:rsid w:val="00B27C5E"/>
    <w:rsid w:val="00B3003E"/>
    <w:rsid w:val="00B300B5"/>
    <w:rsid w:val="00B301C3"/>
    <w:rsid w:val="00B301E2"/>
    <w:rsid w:val="00B301F5"/>
    <w:rsid w:val="00B30240"/>
    <w:rsid w:val="00B3026C"/>
    <w:rsid w:val="00B309CF"/>
    <w:rsid w:val="00B30AD0"/>
    <w:rsid w:val="00B30AEF"/>
    <w:rsid w:val="00B30B67"/>
    <w:rsid w:val="00B30B8E"/>
    <w:rsid w:val="00B30BEC"/>
    <w:rsid w:val="00B30CE4"/>
    <w:rsid w:val="00B30D53"/>
    <w:rsid w:val="00B30D74"/>
    <w:rsid w:val="00B30DFC"/>
    <w:rsid w:val="00B31120"/>
    <w:rsid w:val="00B31172"/>
    <w:rsid w:val="00B311B1"/>
    <w:rsid w:val="00B3127E"/>
    <w:rsid w:val="00B313AC"/>
    <w:rsid w:val="00B31566"/>
    <w:rsid w:val="00B31673"/>
    <w:rsid w:val="00B31689"/>
    <w:rsid w:val="00B3173C"/>
    <w:rsid w:val="00B31885"/>
    <w:rsid w:val="00B31973"/>
    <w:rsid w:val="00B31C2C"/>
    <w:rsid w:val="00B31C30"/>
    <w:rsid w:val="00B31CB9"/>
    <w:rsid w:val="00B31D36"/>
    <w:rsid w:val="00B31D48"/>
    <w:rsid w:val="00B31D84"/>
    <w:rsid w:val="00B31EA7"/>
    <w:rsid w:val="00B31FBB"/>
    <w:rsid w:val="00B320AA"/>
    <w:rsid w:val="00B320D8"/>
    <w:rsid w:val="00B32132"/>
    <w:rsid w:val="00B32257"/>
    <w:rsid w:val="00B32292"/>
    <w:rsid w:val="00B322AC"/>
    <w:rsid w:val="00B32361"/>
    <w:rsid w:val="00B323EE"/>
    <w:rsid w:val="00B3248C"/>
    <w:rsid w:val="00B32498"/>
    <w:rsid w:val="00B32629"/>
    <w:rsid w:val="00B32631"/>
    <w:rsid w:val="00B3269F"/>
    <w:rsid w:val="00B32946"/>
    <w:rsid w:val="00B3294C"/>
    <w:rsid w:val="00B329E8"/>
    <w:rsid w:val="00B32AEE"/>
    <w:rsid w:val="00B32B9C"/>
    <w:rsid w:val="00B32BBC"/>
    <w:rsid w:val="00B32D62"/>
    <w:rsid w:val="00B32E7C"/>
    <w:rsid w:val="00B32ED0"/>
    <w:rsid w:val="00B32EF1"/>
    <w:rsid w:val="00B33023"/>
    <w:rsid w:val="00B330CD"/>
    <w:rsid w:val="00B33149"/>
    <w:rsid w:val="00B33174"/>
    <w:rsid w:val="00B3321B"/>
    <w:rsid w:val="00B33270"/>
    <w:rsid w:val="00B3335C"/>
    <w:rsid w:val="00B3346A"/>
    <w:rsid w:val="00B33566"/>
    <w:rsid w:val="00B3361E"/>
    <w:rsid w:val="00B33879"/>
    <w:rsid w:val="00B33975"/>
    <w:rsid w:val="00B33AB3"/>
    <w:rsid w:val="00B33AF5"/>
    <w:rsid w:val="00B33BC6"/>
    <w:rsid w:val="00B33C22"/>
    <w:rsid w:val="00B33CDB"/>
    <w:rsid w:val="00B33D4E"/>
    <w:rsid w:val="00B33D64"/>
    <w:rsid w:val="00B33D9B"/>
    <w:rsid w:val="00B33E18"/>
    <w:rsid w:val="00B33F17"/>
    <w:rsid w:val="00B33F56"/>
    <w:rsid w:val="00B34005"/>
    <w:rsid w:val="00B340A1"/>
    <w:rsid w:val="00B341FA"/>
    <w:rsid w:val="00B3421B"/>
    <w:rsid w:val="00B343E7"/>
    <w:rsid w:val="00B3440E"/>
    <w:rsid w:val="00B344C1"/>
    <w:rsid w:val="00B3459E"/>
    <w:rsid w:val="00B34745"/>
    <w:rsid w:val="00B34746"/>
    <w:rsid w:val="00B3474D"/>
    <w:rsid w:val="00B34769"/>
    <w:rsid w:val="00B34892"/>
    <w:rsid w:val="00B34A34"/>
    <w:rsid w:val="00B34A98"/>
    <w:rsid w:val="00B34B11"/>
    <w:rsid w:val="00B34C64"/>
    <w:rsid w:val="00B34EF6"/>
    <w:rsid w:val="00B3509F"/>
    <w:rsid w:val="00B35125"/>
    <w:rsid w:val="00B35308"/>
    <w:rsid w:val="00B3533C"/>
    <w:rsid w:val="00B35374"/>
    <w:rsid w:val="00B353AF"/>
    <w:rsid w:val="00B35779"/>
    <w:rsid w:val="00B357A5"/>
    <w:rsid w:val="00B358F7"/>
    <w:rsid w:val="00B359C3"/>
    <w:rsid w:val="00B35AD4"/>
    <w:rsid w:val="00B35BA8"/>
    <w:rsid w:val="00B35BDD"/>
    <w:rsid w:val="00B35CA4"/>
    <w:rsid w:val="00B35DC4"/>
    <w:rsid w:val="00B3609F"/>
    <w:rsid w:val="00B3612F"/>
    <w:rsid w:val="00B36286"/>
    <w:rsid w:val="00B364D5"/>
    <w:rsid w:val="00B365A2"/>
    <w:rsid w:val="00B365CF"/>
    <w:rsid w:val="00B36610"/>
    <w:rsid w:val="00B366CE"/>
    <w:rsid w:val="00B3689D"/>
    <w:rsid w:val="00B36997"/>
    <w:rsid w:val="00B369A0"/>
    <w:rsid w:val="00B369D9"/>
    <w:rsid w:val="00B369DB"/>
    <w:rsid w:val="00B36CFA"/>
    <w:rsid w:val="00B36FEC"/>
    <w:rsid w:val="00B37131"/>
    <w:rsid w:val="00B372AF"/>
    <w:rsid w:val="00B3738A"/>
    <w:rsid w:val="00B37634"/>
    <w:rsid w:val="00B37690"/>
    <w:rsid w:val="00B37839"/>
    <w:rsid w:val="00B37864"/>
    <w:rsid w:val="00B378B8"/>
    <w:rsid w:val="00B379C9"/>
    <w:rsid w:val="00B37A4F"/>
    <w:rsid w:val="00B37DDB"/>
    <w:rsid w:val="00B40057"/>
    <w:rsid w:val="00B400F4"/>
    <w:rsid w:val="00B4015D"/>
    <w:rsid w:val="00B401A4"/>
    <w:rsid w:val="00B40389"/>
    <w:rsid w:val="00B403EF"/>
    <w:rsid w:val="00B404CF"/>
    <w:rsid w:val="00B40507"/>
    <w:rsid w:val="00B40664"/>
    <w:rsid w:val="00B4081A"/>
    <w:rsid w:val="00B4084C"/>
    <w:rsid w:val="00B40B04"/>
    <w:rsid w:val="00B40B6E"/>
    <w:rsid w:val="00B40C41"/>
    <w:rsid w:val="00B40C66"/>
    <w:rsid w:val="00B40CBB"/>
    <w:rsid w:val="00B40D21"/>
    <w:rsid w:val="00B40D3B"/>
    <w:rsid w:val="00B40D5C"/>
    <w:rsid w:val="00B40D83"/>
    <w:rsid w:val="00B40DCF"/>
    <w:rsid w:val="00B40E64"/>
    <w:rsid w:val="00B40F3E"/>
    <w:rsid w:val="00B4105C"/>
    <w:rsid w:val="00B410B0"/>
    <w:rsid w:val="00B41102"/>
    <w:rsid w:val="00B41216"/>
    <w:rsid w:val="00B41261"/>
    <w:rsid w:val="00B412E3"/>
    <w:rsid w:val="00B41392"/>
    <w:rsid w:val="00B4149A"/>
    <w:rsid w:val="00B414FF"/>
    <w:rsid w:val="00B4171B"/>
    <w:rsid w:val="00B41789"/>
    <w:rsid w:val="00B417A8"/>
    <w:rsid w:val="00B41810"/>
    <w:rsid w:val="00B41895"/>
    <w:rsid w:val="00B419F3"/>
    <w:rsid w:val="00B41A6C"/>
    <w:rsid w:val="00B41A79"/>
    <w:rsid w:val="00B41ADE"/>
    <w:rsid w:val="00B41C08"/>
    <w:rsid w:val="00B42109"/>
    <w:rsid w:val="00B421E0"/>
    <w:rsid w:val="00B42488"/>
    <w:rsid w:val="00B42629"/>
    <w:rsid w:val="00B42746"/>
    <w:rsid w:val="00B42A9F"/>
    <w:rsid w:val="00B42C21"/>
    <w:rsid w:val="00B42C39"/>
    <w:rsid w:val="00B42D6F"/>
    <w:rsid w:val="00B42E5E"/>
    <w:rsid w:val="00B42E5F"/>
    <w:rsid w:val="00B42E83"/>
    <w:rsid w:val="00B42F4E"/>
    <w:rsid w:val="00B42F93"/>
    <w:rsid w:val="00B430A7"/>
    <w:rsid w:val="00B4318A"/>
    <w:rsid w:val="00B4324F"/>
    <w:rsid w:val="00B4336C"/>
    <w:rsid w:val="00B433B0"/>
    <w:rsid w:val="00B433FE"/>
    <w:rsid w:val="00B4341D"/>
    <w:rsid w:val="00B43454"/>
    <w:rsid w:val="00B4355C"/>
    <w:rsid w:val="00B43580"/>
    <w:rsid w:val="00B43623"/>
    <w:rsid w:val="00B436D7"/>
    <w:rsid w:val="00B43797"/>
    <w:rsid w:val="00B437B8"/>
    <w:rsid w:val="00B43885"/>
    <w:rsid w:val="00B43986"/>
    <w:rsid w:val="00B439A5"/>
    <w:rsid w:val="00B43AB4"/>
    <w:rsid w:val="00B43C8F"/>
    <w:rsid w:val="00B44007"/>
    <w:rsid w:val="00B44112"/>
    <w:rsid w:val="00B44191"/>
    <w:rsid w:val="00B441FD"/>
    <w:rsid w:val="00B4426F"/>
    <w:rsid w:val="00B44356"/>
    <w:rsid w:val="00B44435"/>
    <w:rsid w:val="00B446BD"/>
    <w:rsid w:val="00B447C4"/>
    <w:rsid w:val="00B447E3"/>
    <w:rsid w:val="00B4490B"/>
    <w:rsid w:val="00B449BF"/>
    <w:rsid w:val="00B44AFA"/>
    <w:rsid w:val="00B44B14"/>
    <w:rsid w:val="00B44BB4"/>
    <w:rsid w:val="00B44C28"/>
    <w:rsid w:val="00B44CEE"/>
    <w:rsid w:val="00B44D4A"/>
    <w:rsid w:val="00B44D76"/>
    <w:rsid w:val="00B44DCD"/>
    <w:rsid w:val="00B44DE1"/>
    <w:rsid w:val="00B450B8"/>
    <w:rsid w:val="00B450EF"/>
    <w:rsid w:val="00B4512E"/>
    <w:rsid w:val="00B451CF"/>
    <w:rsid w:val="00B453CD"/>
    <w:rsid w:val="00B45403"/>
    <w:rsid w:val="00B4544C"/>
    <w:rsid w:val="00B45480"/>
    <w:rsid w:val="00B454B6"/>
    <w:rsid w:val="00B454EB"/>
    <w:rsid w:val="00B4563B"/>
    <w:rsid w:val="00B457B3"/>
    <w:rsid w:val="00B458B8"/>
    <w:rsid w:val="00B458CF"/>
    <w:rsid w:val="00B4596A"/>
    <w:rsid w:val="00B45A3E"/>
    <w:rsid w:val="00B45BFB"/>
    <w:rsid w:val="00B45CC2"/>
    <w:rsid w:val="00B45DE0"/>
    <w:rsid w:val="00B45E1C"/>
    <w:rsid w:val="00B46214"/>
    <w:rsid w:val="00B4623E"/>
    <w:rsid w:val="00B463AE"/>
    <w:rsid w:val="00B465C4"/>
    <w:rsid w:val="00B466F8"/>
    <w:rsid w:val="00B46712"/>
    <w:rsid w:val="00B467FD"/>
    <w:rsid w:val="00B46976"/>
    <w:rsid w:val="00B469AB"/>
    <w:rsid w:val="00B46A8F"/>
    <w:rsid w:val="00B46C89"/>
    <w:rsid w:val="00B46E12"/>
    <w:rsid w:val="00B46E69"/>
    <w:rsid w:val="00B46F0A"/>
    <w:rsid w:val="00B46F3E"/>
    <w:rsid w:val="00B47059"/>
    <w:rsid w:val="00B47110"/>
    <w:rsid w:val="00B471DB"/>
    <w:rsid w:val="00B4735F"/>
    <w:rsid w:val="00B47AF0"/>
    <w:rsid w:val="00B47C1F"/>
    <w:rsid w:val="00B47C30"/>
    <w:rsid w:val="00B47C5B"/>
    <w:rsid w:val="00B47C5E"/>
    <w:rsid w:val="00B47C6E"/>
    <w:rsid w:val="00B47CD0"/>
    <w:rsid w:val="00B47CFD"/>
    <w:rsid w:val="00B47D72"/>
    <w:rsid w:val="00B47F15"/>
    <w:rsid w:val="00B47F52"/>
    <w:rsid w:val="00B47F65"/>
    <w:rsid w:val="00B47F9D"/>
    <w:rsid w:val="00B50070"/>
    <w:rsid w:val="00B50271"/>
    <w:rsid w:val="00B502B8"/>
    <w:rsid w:val="00B50398"/>
    <w:rsid w:val="00B504DC"/>
    <w:rsid w:val="00B507DE"/>
    <w:rsid w:val="00B50A25"/>
    <w:rsid w:val="00B50A49"/>
    <w:rsid w:val="00B50A84"/>
    <w:rsid w:val="00B50BEA"/>
    <w:rsid w:val="00B50D98"/>
    <w:rsid w:val="00B50DC9"/>
    <w:rsid w:val="00B50DEC"/>
    <w:rsid w:val="00B50E26"/>
    <w:rsid w:val="00B51078"/>
    <w:rsid w:val="00B51194"/>
    <w:rsid w:val="00B512AB"/>
    <w:rsid w:val="00B51378"/>
    <w:rsid w:val="00B513D5"/>
    <w:rsid w:val="00B517F0"/>
    <w:rsid w:val="00B51861"/>
    <w:rsid w:val="00B5188A"/>
    <w:rsid w:val="00B51BBF"/>
    <w:rsid w:val="00B51C3A"/>
    <w:rsid w:val="00B51DB2"/>
    <w:rsid w:val="00B51EF9"/>
    <w:rsid w:val="00B51F57"/>
    <w:rsid w:val="00B51F84"/>
    <w:rsid w:val="00B51F8D"/>
    <w:rsid w:val="00B52197"/>
    <w:rsid w:val="00B521CB"/>
    <w:rsid w:val="00B521E5"/>
    <w:rsid w:val="00B52322"/>
    <w:rsid w:val="00B523C7"/>
    <w:rsid w:val="00B523D7"/>
    <w:rsid w:val="00B524D5"/>
    <w:rsid w:val="00B525CF"/>
    <w:rsid w:val="00B525DA"/>
    <w:rsid w:val="00B5272D"/>
    <w:rsid w:val="00B527A9"/>
    <w:rsid w:val="00B528C2"/>
    <w:rsid w:val="00B528D2"/>
    <w:rsid w:val="00B52C38"/>
    <w:rsid w:val="00B52C49"/>
    <w:rsid w:val="00B52FAA"/>
    <w:rsid w:val="00B53014"/>
    <w:rsid w:val="00B53073"/>
    <w:rsid w:val="00B531AF"/>
    <w:rsid w:val="00B53334"/>
    <w:rsid w:val="00B53484"/>
    <w:rsid w:val="00B536B9"/>
    <w:rsid w:val="00B5377D"/>
    <w:rsid w:val="00B53781"/>
    <w:rsid w:val="00B53A0A"/>
    <w:rsid w:val="00B53A1C"/>
    <w:rsid w:val="00B53A37"/>
    <w:rsid w:val="00B53BB5"/>
    <w:rsid w:val="00B53E09"/>
    <w:rsid w:val="00B53E54"/>
    <w:rsid w:val="00B53F5A"/>
    <w:rsid w:val="00B53FC2"/>
    <w:rsid w:val="00B53FE4"/>
    <w:rsid w:val="00B541EC"/>
    <w:rsid w:val="00B5428B"/>
    <w:rsid w:val="00B54532"/>
    <w:rsid w:val="00B54769"/>
    <w:rsid w:val="00B548B7"/>
    <w:rsid w:val="00B5495D"/>
    <w:rsid w:val="00B54A64"/>
    <w:rsid w:val="00B54A8E"/>
    <w:rsid w:val="00B54AB7"/>
    <w:rsid w:val="00B54B60"/>
    <w:rsid w:val="00B54B96"/>
    <w:rsid w:val="00B54C68"/>
    <w:rsid w:val="00B54CB3"/>
    <w:rsid w:val="00B54E05"/>
    <w:rsid w:val="00B54EAE"/>
    <w:rsid w:val="00B54FD8"/>
    <w:rsid w:val="00B55028"/>
    <w:rsid w:val="00B55069"/>
    <w:rsid w:val="00B550AE"/>
    <w:rsid w:val="00B551C0"/>
    <w:rsid w:val="00B552B5"/>
    <w:rsid w:val="00B55390"/>
    <w:rsid w:val="00B55470"/>
    <w:rsid w:val="00B5552A"/>
    <w:rsid w:val="00B555B3"/>
    <w:rsid w:val="00B558FC"/>
    <w:rsid w:val="00B559D2"/>
    <w:rsid w:val="00B55A6B"/>
    <w:rsid w:val="00B55ACF"/>
    <w:rsid w:val="00B55AD2"/>
    <w:rsid w:val="00B55C27"/>
    <w:rsid w:val="00B55C61"/>
    <w:rsid w:val="00B55CED"/>
    <w:rsid w:val="00B55E6D"/>
    <w:rsid w:val="00B55EA2"/>
    <w:rsid w:val="00B56092"/>
    <w:rsid w:val="00B560C8"/>
    <w:rsid w:val="00B561ED"/>
    <w:rsid w:val="00B5632A"/>
    <w:rsid w:val="00B56444"/>
    <w:rsid w:val="00B565C1"/>
    <w:rsid w:val="00B56645"/>
    <w:rsid w:val="00B56668"/>
    <w:rsid w:val="00B56716"/>
    <w:rsid w:val="00B567C1"/>
    <w:rsid w:val="00B56919"/>
    <w:rsid w:val="00B56AC7"/>
    <w:rsid w:val="00B56AE3"/>
    <w:rsid w:val="00B56C78"/>
    <w:rsid w:val="00B57084"/>
    <w:rsid w:val="00B57156"/>
    <w:rsid w:val="00B571B8"/>
    <w:rsid w:val="00B571DA"/>
    <w:rsid w:val="00B572D8"/>
    <w:rsid w:val="00B572DF"/>
    <w:rsid w:val="00B5733E"/>
    <w:rsid w:val="00B57353"/>
    <w:rsid w:val="00B5742B"/>
    <w:rsid w:val="00B574EF"/>
    <w:rsid w:val="00B5758F"/>
    <w:rsid w:val="00B575B3"/>
    <w:rsid w:val="00B575F1"/>
    <w:rsid w:val="00B578A6"/>
    <w:rsid w:val="00B57913"/>
    <w:rsid w:val="00B57918"/>
    <w:rsid w:val="00B5795D"/>
    <w:rsid w:val="00B57A6A"/>
    <w:rsid w:val="00B57A8A"/>
    <w:rsid w:val="00B57A98"/>
    <w:rsid w:val="00B57B69"/>
    <w:rsid w:val="00B57C5B"/>
    <w:rsid w:val="00B57C62"/>
    <w:rsid w:val="00B57E5B"/>
    <w:rsid w:val="00B57F3A"/>
    <w:rsid w:val="00B57F3E"/>
    <w:rsid w:val="00B57F45"/>
    <w:rsid w:val="00B57F5E"/>
    <w:rsid w:val="00B57FB9"/>
    <w:rsid w:val="00B6004E"/>
    <w:rsid w:val="00B600C1"/>
    <w:rsid w:val="00B601C9"/>
    <w:rsid w:val="00B602F1"/>
    <w:rsid w:val="00B60417"/>
    <w:rsid w:val="00B60494"/>
    <w:rsid w:val="00B6060D"/>
    <w:rsid w:val="00B606D4"/>
    <w:rsid w:val="00B60996"/>
    <w:rsid w:val="00B60AE4"/>
    <w:rsid w:val="00B60C2B"/>
    <w:rsid w:val="00B60E61"/>
    <w:rsid w:val="00B60F10"/>
    <w:rsid w:val="00B61003"/>
    <w:rsid w:val="00B61110"/>
    <w:rsid w:val="00B61331"/>
    <w:rsid w:val="00B614FC"/>
    <w:rsid w:val="00B61649"/>
    <w:rsid w:val="00B616CB"/>
    <w:rsid w:val="00B616E6"/>
    <w:rsid w:val="00B61706"/>
    <w:rsid w:val="00B61733"/>
    <w:rsid w:val="00B617B3"/>
    <w:rsid w:val="00B6182B"/>
    <w:rsid w:val="00B61AFB"/>
    <w:rsid w:val="00B61C8D"/>
    <w:rsid w:val="00B61D2C"/>
    <w:rsid w:val="00B61D96"/>
    <w:rsid w:val="00B61DE7"/>
    <w:rsid w:val="00B61DE9"/>
    <w:rsid w:val="00B61E4A"/>
    <w:rsid w:val="00B61E6F"/>
    <w:rsid w:val="00B61ECC"/>
    <w:rsid w:val="00B62063"/>
    <w:rsid w:val="00B62175"/>
    <w:rsid w:val="00B6217C"/>
    <w:rsid w:val="00B6219D"/>
    <w:rsid w:val="00B621B9"/>
    <w:rsid w:val="00B621BB"/>
    <w:rsid w:val="00B62448"/>
    <w:rsid w:val="00B624F9"/>
    <w:rsid w:val="00B626C9"/>
    <w:rsid w:val="00B6282B"/>
    <w:rsid w:val="00B629C6"/>
    <w:rsid w:val="00B62A2E"/>
    <w:rsid w:val="00B62BB7"/>
    <w:rsid w:val="00B62C92"/>
    <w:rsid w:val="00B62CB7"/>
    <w:rsid w:val="00B62DAA"/>
    <w:rsid w:val="00B62DEB"/>
    <w:rsid w:val="00B62F12"/>
    <w:rsid w:val="00B62F3E"/>
    <w:rsid w:val="00B62F9B"/>
    <w:rsid w:val="00B63191"/>
    <w:rsid w:val="00B632A4"/>
    <w:rsid w:val="00B633D0"/>
    <w:rsid w:val="00B63476"/>
    <w:rsid w:val="00B63783"/>
    <w:rsid w:val="00B63830"/>
    <w:rsid w:val="00B638A8"/>
    <w:rsid w:val="00B63AF1"/>
    <w:rsid w:val="00B63B21"/>
    <w:rsid w:val="00B63BA2"/>
    <w:rsid w:val="00B63DA9"/>
    <w:rsid w:val="00B63E48"/>
    <w:rsid w:val="00B63EF4"/>
    <w:rsid w:val="00B63F09"/>
    <w:rsid w:val="00B63FDC"/>
    <w:rsid w:val="00B6403D"/>
    <w:rsid w:val="00B640B9"/>
    <w:rsid w:val="00B64361"/>
    <w:rsid w:val="00B643DC"/>
    <w:rsid w:val="00B6440D"/>
    <w:rsid w:val="00B64642"/>
    <w:rsid w:val="00B64655"/>
    <w:rsid w:val="00B64698"/>
    <w:rsid w:val="00B64B71"/>
    <w:rsid w:val="00B64C7D"/>
    <w:rsid w:val="00B64CEA"/>
    <w:rsid w:val="00B64D9C"/>
    <w:rsid w:val="00B64F19"/>
    <w:rsid w:val="00B65170"/>
    <w:rsid w:val="00B651E7"/>
    <w:rsid w:val="00B65222"/>
    <w:rsid w:val="00B6535D"/>
    <w:rsid w:val="00B65447"/>
    <w:rsid w:val="00B654B6"/>
    <w:rsid w:val="00B65500"/>
    <w:rsid w:val="00B65567"/>
    <w:rsid w:val="00B655A8"/>
    <w:rsid w:val="00B657C4"/>
    <w:rsid w:val="00B65824"/>
    <w:rsid w:val="00B65918"/>
    <w:rsid w:val="00B65DA2"/>
    <w:rsid w:val="00B6607E"/>
    <w:rsid w:val="00B660AF"/>
    <w:rsid w:val="00B660DF"/>
    <w:rsid w:val="00B660F0"/>
    <w:rsid w:val="00B66413"/>
    <w:rsid w:val="00B66453"/>
    <w:rsid w:val="00B665D3"/>
    <w:rsid w:val="00B66726"/>
    <w:rsid w:val="00B667F8"/>
    <w:rsid w:val="00B66899"/>
    <w:rsid w:val="00B66978"/>
    <w:rsid w:val="00B66A4A"/>
    <w:rsid w:val="00B66AA2"/>
    <w:rsid w:val="00B66AE5"/>
    <w:rsid w:val="00B66B64"/>
    <w:rsid w:val="00B66B69"/>
    <w:rsid w:val="00B66C58"/>
    <w:rsid w:val="00B66CD9"/>
    <w:rsid w:val="00B66D23"/>
    <w:rsid w:val="00B66D61"/>
    <w:rsid w:val="00B66E49"/>
    <w:rsid w:val="00B66F22"/>
    <w:rsid w:val="00B66F42"/>
    <w:rsid w:val="00B66FA0"/>
    <w:rsid w:val="00B672B9"/>
    <w:rsid w:val="00B672E1"/>
    <w:rsid w:val="00B67328"/>
    <w:rsid w:val="00B67444"/>
    <w:rsid w:val="00B674B7"/>
    <w:rsid w:val="00B6750D"/>
    <w:rsid w:val="00B6753B"/>
    <w:rsid w:val="00B67569"/>
    <w:rsid w:val="00B675AC"/>
    <w:rsid w:val="00B67706"/>
    <w:rsid w:val="00B67822"/>
    <w:rsid w:val="00B67845"/>
    <w:rsid w:val="00B67901"/>
    <w:rsid w:val="00B67A75"/>
    <w:rsid w:val="00B67CC7"/>
    <w:rsid w:val="00B67E3B"/>
    <w:rsid w:val="00B67FC2"/>
    <w:rsid w:val="00B70094"/>
    <w:rsid w:val="00B70166"/>
    <w:rsid w:val="00B702B8"/>
    <w:rsid w:val="00B70366"/>
    <w:rsid w:val="00B7050C"/>
    <w:rsid w:val="00B70583"/>
    <w:rsid w:val="00B705D2"/>
    <w:rsid w:val="00B706EF"/>
    <w:rsid w:val="00B70808"/>
    <w:rsid w:val="00B70858"/>
    <w:rsid w:val="00B7086D"/>
    <w:rsid w:val="00B70955"/>
    <w:rsid w:val="00B70982"/>
    <w:rsid w:val="00B709D6"/>
    <w:rsid w:val="00B70A9A"/>
    <w:rsid w:val="00B70AD0"/>
    <w:rsid w:val="00B70AEA"/>
    <w:rsid w:val="00B70B54"/>
    <w:rsid w:val="00B70C36"/>
    <w:rsid w:val="00B70C4C"/>
    <w:rsid w:val="00B70CAA"/>
    <w:rsid w:val="00B70D2B"/>
    <w:rsid w:val="00B70D9B"/>
    <w:rsid w:val="00B70DAC"/>
    <w:rsid w:val="00B70DD4"/>
    <w:rsid w:val="00B70E36"/>
    <w:rsid w:val="00B71130"/>
    <w:rsid w:val="00B7114C"/>
    <w:rsid w:val="00B7125B"/>
    <w:rsid w:val="00B71414"/>
    <w:rsid w:val="00B71813"/>
    <w:rsid w:val="00B7184A"/>
    <w:rsid w:val="00B71AF3"/>
    <w:rsid w:val="00B71C7C"/>
    <w:rsid w:val="00B71D02"/>
    <w:rsid w:val="00B71DC4"/>
    <w:rsid w:val="00B71EE2"/>
    <w:rsid w:val="00B71EFA"/>
    <w:rsid w:val="00B72145"/>
    <w:rsid w:val="00B7214D"/>
    <w:rsid w:val="00B7223D"/>
    <w:rsid w:val="00B7224C"/>
    <w:rsid w:val="00B722C4"/>
    <w:rsid w:val="00B72358"/>
    <w:rsid w:val="00B72394"/>
    <w:rsid w:val="00B724BA"/>
    <w:rsid w:val="00B72592"/>
    <w:rsid w:val="00B726DF"/>
    <w:rsid w:val="00B72767"/>
    <w:rsid w:val="00B72861"/>
    <w:rsid w:val="00B72864"/>
    <w:rsid w:val="00B72989"/>
    <w:rsid w:val="00B729E3"/>
    <w:rsid w:val="00B72A84"/>
    <w:rsid w:val="00B72A85"/>
    <w:rsid w:val="00B72B61"/>
    <w:rsid w:val="00B72C99"/>
    <w:rsid w:val="00B72CF4"/>
    <w:rsid w:val="00B72D07"/>
    <w:rsid w:val="00B72D5B"/>
    <w:rsid w:val="00B72D87"/>
    <w:rsid w:val="00B72F0C"/>
    <w:rsid w:val="00B72F50"/>
    <w:rsid w:val="00B73040"/>
    <w:rsid w:val="00B7305C"/>
    <w:rsid w:val="00B73099"/>
    <w:rsid w:val="00B7317B"/>
    <w:rsid w:val="00B736C1"/>
    <w:rsid w:val="00B73777"/>
    <w:rsid w:val="00B737D5"/>
    <w:rsid w:val="00B73814"/>
    <w:rsid w:val="00B73837"/>
    <w:rsid w:val="00B738F8"/>
    <w:rsid w:val="00B73987"/>
    <w:rsid w:val="00B73A7B"/>
    <w:rsid w:val="00B73BAC"/>
    <w:rsid w:val="00B73C5A"/>
    <w:rsid w:val="00B73C68"/>
    <w:rsid w:val="00B73CF2"/>
    <w:rsid w:val="00B73D08"/>
    <w:rsid w:val="00B73E03"/>
    <w:rsid w:val="00B73F3F"/>
    <w:rsid w:val="00B741FD"/>
    <w:rsid w:val="00B74219"/>
    <w:rsid w:val="00B742F1"/>
    <w:rsid w:val="00B745BF"/>
    <w:rsid w:val="00B745F5"/>
    <w:rsid w:val="00B74641"/>
    <w:rsid w:val="00B749DE"/>
    <w:rsid w:val="00B749F8"/>
    <w:rsid w:val="00B74A4D"/>
    <w:rsid w:val="00B74B25"/>
    <w:rsid w:val="00B74B98"/>
    <w:rsid w:val="00B74C10"/>
    <w:rsid w:val="00B74D90"/>
    <w:rsid w:val="00B74E3E"/>
    <w:rsid w:val="00B74F5A"/>
    <w:rsid w:val="00B74FEB"/>
    <w:rsid w:val="00B75105"/>
    <w:rsid w:val="00B751EB"/>
    <w:rsid w:val="00B75389"/>
    <w:rsid w:val="00B75460"/>
    <w:rsid w:val="00B75467"/>
    <w:rsid w:val="00B755D4"/>
    <w:rsid w:val="00B756DC"/>
    <w:rsid w:val="00B75787"/>
    <w:rsid w:val="00B757A0"/>
    <w:rsid w:val="00B75804"/>
    <w:rsid w:val="00B75846"/>
    <w:rsid w:val="00B75B59"/>
    <w:rsid w:val="00B75BAE"/>
    <w:rsid w:val="00B75D96"/>
    <w:rsid w:val="00B75DB5"/>
    <w:rsid w:val="00B75E56"/>
    <w:rsid w:val="00B75E90"/>
    <w:rsid w:val="00B75F81"/>
    <w:rsid w:val="00B75F88"/>
    <w:rsid w:val="00B76342"/>
    <w:rsid w:val="00B7637C"/>
    <w:rsid w:val="00B763B8"/>
    <w:rsid w:val="00B763F1"/>
    <w:rsid w:val="00B7645D"/>
    <w:rsid w:val="00B76637"/>
    <w:rsid w:val="00B767EB"/>
    <w:rsid w:val="00B76819"/>
    <w:rsid w:val="00B76C9D"/>
    <w:rsid w:val="00B76CB6"/>
    <w:rsid w:val="00B76CD3"/>
    <w:rsid w:val="00B76E3B"/>
    <w:rsid w:val="00B76F1E"/>
    <w:rsid w:val="00B7716C"/>
    <w:rsid w:val="00B771A1"/>
    <w:rsid w:val="00B77537"/>
    <w:rsid w:val="00B77571"/>
    <w:rsid w:val="00B775FF"/>
    <w:rsid w:val="00B77705"/>
    <w:rsid w:val="00B7775A"/>
    <w:rsid w:val="00B77872"/>
    <w:rsid w:val="00B7792D"/>
    <w:rsid w:val="00B779E5"/>
    <w:rsid w:val="00B77A3A"/>
    <w:rsid w:val="00B77A87"/>
    <w:rsid w:val="00B77A8C"/>
    <w:rsid w:val="00B77B2C"/>
    <w:rsid w:val="00B77B76"/>
    <w:rsid w:val="00B77B86"/>
    <w:rsid w:val="00B77F42"/>
    <w:rsid w:val="00B77F57"/>
    <w:rsid w:val="00B77F78"/>
    <w:rsid w:val="00B80000"/>
    <w:rsid w:val="00B80057"/>
    <w:rsid w:val="00B80183"/>
    <w:rsid w:val="00B80241"/>
    <w:rsid w:val="00B80256"/>
    <w:rsid w:val="00B8025C"/>
    <w:rsid w:val="00B802BC"/>
    <w:rsid w:val="00B80408"/>
    <w:rsid w:val="00B806DB"/>
    <w:rsid w:val="00B80932"/>
    <w:rsid w:val="00B80946"/>
    <w:rsid w:val="00B80D5C"/>
    <w:rsid w:val="00B80EBD"/>
    <w:rsid w:val="00B80EFB"/>
    <w:rsid w:val="00B80F53"/>
    <w:rsid w:val="00B8116D"/>
    <w:rsid w:val="00B81375"/>
    <w:rsid w:val="00B81402"/>
    <w:rsid w:val="00B81642"/>
    <w:rsid w:val="00B81691"/>
    <w:rsid w:val="00B818FB"/>
    <w:rsid w:val="00B81A31"/>
    <w:rsid w:val="00B81A58"/>
    <w:rsid w:val="00B81BAE"/>
    <w:rsid w:val="00B81C25"/>
    <w:rsid w:val="00B81D2B"/>
    <w:rsid w:val="00B81EC8"/>
    <w:rsid w:val="00B81ECF"/>
    <w:rsid w:val="00B820CC"/>
    <w:rsid w:val="00B8216A"/>
    <w:rsid w:val="00B821CB"/>
    <w:rsid w:val="00B82378"/>
    <w:rsid w:val="00B823AA"/>
    <w:rsid w:val="00B82426"/>
    <w:rsid w:val="00B82442"/>
    <w:rsid w:val="00B825F5"/>
    <w:rsid w:val="00B825FB"/>
    <w:rsid w:val="00B82629"/>
    <w:rsid w:val="00B826D3"/>
    <w:rsid w:val="00B8270E"/>
    <w:rsid w:val="00B827CD"/>
    <w:rsid w:val="00B829B9"/>
    <w:rsid w:val="00B82A31"/>
    <w:rsid w:val="00B82A83"/>
    <w:rsid w:val="00B82C40"/>
    <w:rsid w:val="00B82CD0"/>
    <w:rsid w:val="00B82D26"/>
    <w:rsid w:val="00B82F3D"/>
    <w:rsid w:val="00B82F67"/>
    <w:rsid w:val="00B83067"/>
    <w:rsid w:val="00B830A7"/>
    <w:rsid w:val="00B831BA"/>
    <w:rsid w:val="00B831E0"/>
    <w:rsid w:val="00B83242"/>
    <w:rsid w:val="00B832B2"/>
    <w:rsid w:val="00B832F3"/>
    <w:rsid w:val="00B83350"/>
    <w:rsid w:val="00B8335C"/>
    <w:rsid w:val="00B8338C"/>
    <w:rsid w:val="00B8355A"/>
    <w:rsid w:val="00B8394B"/>
    <w:rsid w:val="00B83A28"/>
    <w:rsid w:val="00B83B79"/>
    <w:rsid w:val="00B83DEB"/>
    <w:rsid w:val="00B83E4C"/>
    <w:rsid w:val="00B83F42"/>
    <w:rsid w:val="00B84064"/>
    <w:rsid w:val="00B840AB"/>
    <w:rsid w:val="00B84105"/>
    <w:rsid w:val="00B8415D"/>
    <w:rsid w:val="00B841DD"/>
    <w:rsid w:val="00B84240"/>
    <w:rsid w:val="00B844DD"/>
    <w:rsid w:val="00B8450B"/>
    <w:rsid w:val="00B84664"/>
    <w:rsid w:val="00B846D8"/>
    <w:rsid w:val="00B8480B"/>
    <w:rsid w:val="00B848A0"/>
    <w:rsid w:val="00B84975"/>
    <w:rsid w:val="00B84991"/>
    <w:rsid w:val="00B84A08"/>
    <w:rsid w:val="00B84AD2"/>
    <w:rsid w:val="00B84B20"/>
    <w:rsid w:val="00B84C07"/>
    <w:rsid w:val="00B84C5E"/>
    <w:rsid w:val="00B84CBA"/>
    <w:rsid w:val="00B84E2D"/>
    <w:rsid w:val="00B84E66"/>
    <w:rsid w:val="00B84F55"/>
    <w:rsid w:val="00B85014"/>
    <w:rsid w:val="00B85147"/>
    <w:rsid w:val="00B8527E"/>
    <w:rsid w:val="00B85455"/>
    <w:rsid w:val="00B85540"/>
    <w:rsid w:val="00B85542"/>
    <w:rsid w:val="00B85A79"/>
    <w:rsid w:val="00B85AAB"/>
    <w:rsid w:val="00B85B42"/>
    <w:rsid w:val="00B85CD7"/>
    <w:rsid w:val="00B85D2B"/>
    <w:rsid w:val="00B85D2F"/>
    <w:rsid w:val="00B85E62"/>
    <w:rsid w:val="00B85EE8"/>
    <w:rsid w:val="00B85FCF"/>
    <w:rsid w:val="00B8616B"/>
    <w:rsid w:val="00B862B7"/>
    <w:rsid w:val="00B86319"/>
    <w:rsid w:val="00B8633B"/>
    <w:rsid w:val="00B865CB"/>
    <w:rsid w:val="00B86881"/>
    <w:rsid w:val="00B86885"/>
    <w:rsid w:val="00B86987"/>
    <w:rsid w:val="00B869A7"/>
    <w:rsid w:val="00B86B7A"/>
    <w:rsid w:val="00B86BE3"/>
    <w:rsid w:val="00B86C91"/>
    <w:rsid w:val="00B86DA7"/>
    <w:rsid w:val="00B87002"/>
    <w:rsid w:val="00B872A4"/>
    <w:rsid w:val="00B87354"/>
    <w:rsid w:val="00B8745D"/>
    <w:rsid w:val="00B876CD"/>
    <w:rsid w:val="00B8779A"/>
    <w:rsid w:val="00B877FB"/>
    <w:rsid w:val="00B87855"/>
    <w:rsid w:val="00B8789E"/>
    <w:rsid w:val="00B87AF1"/>
    <w:rsid w:val="00B87BC8"/>
    <w:rsid w:val="00B87F04"/>
    <w:rsid w:val="00B901BD"/>
    <w:rsid w:val="00B90217"/>
    <w:rsid w:val="00B902A4"/>
    <w:rsid w:val="00B9034A"/>
    <w:rsid w:val="00B903B8"/>
    <w:rsid w:val="00B905C3"/>
    <w:rsid w:val="00B906CE"/>
    <w:rsid w:val="00B90767"/>
    <w:rsid w:val="00B90900"/>
    <w:rsid w:val="00B9096A"/>
    <w:rsid w:val="00B90A26"/>
    <w:rsid w:val="00B90A6C"/>
    <w:rsid w:val="00B90B2D"/>
    <w:rsid w:val="00B9105B"/>
    <w:rsid w:val="00B91260"/>
    <w:rsid w:val="00B912B7"/>
    <w:rsid w:val="00B91324"/>
    <w:rsid w:val="00B914B2"/>
    <w:rsid w:val="00B91543"/>
    <w:rsid w:val="00B91578"/>
    <w:rsid w:val="00B91584"/>
    <w:rsid w:val="00B915D5"/>
    <w:rsid w:val="00B91B59"/>
    <w:rsid w:val="00B91C34"/>
    <w:rsid w:val="00B91C6B"/>
    <w:rsid w:val="00B91D0F"/>
    <w:rsid w:val="00B91E4B"/>
    <w:rsid w:val="00B91EE4"/>
    <w:rsid w:val="00B92028"/>
    <w:rsid w:val="00B920A8"/>
    <w:rsid w:val="00B9217C"/>
    <w:rsid w:val="00B921A0"/>
    <w:rsid w:val="00B923C0"/>
    <w:rsid w:val="00B923F5"/>
    <w:rsid w:val="00B924B7"/>
    <w:rsid w:val="00B92501"/>
    <w:rsid w:val="00B9254D"/>
    <w:rsid w:val="00B925E5"/>
    <w:rsid w:val="00B92612"/>
    <w:rsid w:val="00B926A1"/>
    <w:rsid w:val="00B92776"/>
    <w:rsid w:val="00B92792"/>
    <w:rsid w:val="00B92796"/>
    <w:rsid w:val="00B927DC"/>
    <w:rsid w:val="00B92820"/>
    <w:rsid w:val="00B9282C"/>
    <w:rsid w:val="00B92946"/>
    <w:rsid w:val="00B929FA"/>
    <w:rsid w:val="00B92A2A"/>
    <w:rsid w:val="00B92A55"/>
    <w:rsid w:val="00B92A9A"/>
    <w:rsid w:val="00B92B42"/>
    <w:rsid w:val="00B92C16"/>
    <w:rsid w:val="00B92C66"/>
    <w:rsid w:val="00B92CE5"/>
    <w:rsid w:val="00B92F07"/>
    <w:rsid w:val="00B92F2E"/>
    <w:rsid w:val="00B92F3B"/>
    <w:rsid w:val="00B92FE5"/>
    <w:rsid w:val="00B9313E"/>
    <w:rsid w:val="00B931A0"/>
    <w:rsid w:val="00B93370"/>
    <w:rsid w:val="00B93568"/>
    <w:rsid w:val="00B9361C"/>
    <w:rsid w:val="00B93698"/>
    <w:rsid w:val="00B936E4"/>
    <w:rsid w:val="00B9374E"/>
    <w:rsid w:val="00B93991"/>
    <w:rsid w:val="00B939E4"/>
    <w:rsid w:val="00B93A3B"/>
    <w:rsid w:val="00B93AEF"/>
    <w:rsid w:val="00B93C73"/>
    <w:rsid w:val="00B93E39"/>
    <w:rsid w:val="00B93E8A"/>
    <w:rsid w:val="00B93FC7"/>
    <w:rsid w:val="00B93FFC"/>
    <w:rsid w:val="00B940DA"/>
    <w:rsid w:val="00B943A0"/>
    <w:rsid w:val="00B943E2"/>
    <w:rsid w:val="00B943F5"/>
    <w:rsid w:val="00B9447D"/>
    <w:rsid w:val="00B946CC"/>
    <w:rsid w:val="00B94767"/>
    <w:rsid w:val="00B94885"/>
    <w:rsid w:val="00B9491F"/>
    <w:rsid w:val="00B9494F"/>
    <w:rsid w:val="00B94951"/>
    <w:rsid w:val="00B949E3"/>
    <w:rsid w:val="00B94A44"/>
    <w:rsid w:val="00B94BD2"/>
    <w:rsid w:val="00B94DDF"/>
    <w:rsid w:val="00B94E01"/>
    <w:rsid w:val="00B94F2C"/>
    <w:rsid w:val="00B9500B"/>
    <w:rsid w:val="00B95405"/>
    <w:rsid w:val="00B955DE"/>
    <w:rsid w:val="00B95688"/>
    <w:rsid w:val="00B95898"/>
    <w:rsid w:val="00B959A9"/>
    <w:rsid w:val="00B95A84"/>
    <w:rsid w:val="00B95CF4"/>
    <w:rsid w:val="00B95F07"/>
    <w:rsid w:val="00B95F97"/>
    <w:rsid w:val="00B96298"/>
    <w:rsid w:val="00B962BA"/>
    <w:rsid w:val="00B962FF"/>
    <w:rsid w:val="00B96340"/>
    <w:rsid w:val="00B96434"/>
    <w:rsid w:val="00B9643B"/>
    <w:rsid w:val="00B964C8"/>
    <w:rsid w:val="00B96620"/>
    <w:rsid w:val="00B9673D"/>
    <w:rsid w:val="00B96835"/>
    <w:rsid w:val="00B968DE"/>
    <w:rsid w:val="00B96A39"/>
    <w:rsid w:val="00B96BE5"/>
    <w:rsid w:val="00B96C1C"/>
    <w:rsid w:val="00B96C7A"/>
    <w:rsid w:val="00B96EB5"/>
    <w:rsid w:val="00B96F47"/>
    <w:rsid w:val="00B96F78"/>
    <w:rsid w:val="00B973A4"/>
    <w:rsid w:val="00B973C8"/>
    <w:rsid w:val="00B9754C"/>
    <w:rsid w:val="00B9768B"/>
    <w:rsid w:val="00B9774B"/>
    <w:rsid w:val="00B977EA"/>
    <w:rsid w:val="00B977F7"/>
    <w:rsid w:val="00B9783B"/>
    <w:rsid w:val="00B97868"/>
    <w:rsid w:val="00B9786F"/>
    <w:rsid w:val="00B9794F"/>
    <w:rsid w:val="00B979D8"/>
    <w:rsid w:val="00B97A0C"/>
    <w:rsid w:val="00B97C94"/>
    <w:rsid w:val="00B97D21"/>
    <w:rsid w:val="00B97DAB"/>
    <w:rsid w:val="00B97EB5"/>
    <w:rsid w:val="00B97EF5"/>
    <w:rsid w:val="00BA0056"/>
    <w:rsid w:val="00BA0059"/>
    <w:rsid w:val="00BA00BA"/>
    <w:rsid w:val="00BA00BF"/>
    <w:rsid w:val="00BA024B"/>
    <w:rsid w:val="00BA029E"/>
    <w:rsid w:val="00BA02E4"/>
    <w:rsid w:val="00BA030A"/>
    <w:rsid w:val="00BA039D"/>
    <w:rsid w:val="00BA0578"/>
    <w:rsid w:val="00BA075B"/>
    <w:rsid w:val="00BA0868"/>
    <w:rsid w:val="00BA0883"/>
    <w:rsid w:val="00BA08A7"/>
    <w:rsid w:val="00BA090B"/>
    <w:rsid w:val="00BA093C"/>
    <w:rsid w:val="00BA09F2"/>
    <w:rsid w:val="00BA0DAE"/>
    <w:rsid w:val="00BA0F14"/>
    <w:rsid w:val="00BA0F2A"/>
    <w:rsid w:val="00BA0FEC"/>
    <w:rsid w:val="00BA10F5"/>
    <w:rsid w:val="00BA121D"/>
    <w:rsid w:val="00BA13E6"/>
    <w:rsid w:val="00BA152F"/>
    <w:rsid w:val="00BA159B"/>
    <w:rsid w:val="00BA1629"/>
    <w:rsid w:val="00BA1635"/>
    <w:rsid w:val="00BA1643"/>
    <w:rsid w:val="00BA16B4"/>
    <w:rsid w:val="00BA16D6"/>
    <w:rsid w:val="00BA1831"/>
    <w:rsid w:val="00BA190C"/>
    <w:rsid w:val="00BA1A0E"/>
    <w:rsid w:val="00BA1AEA"/>
    <w:rsid w:val="00BA1BB1"/>
    <w:rsid w:val="00BA1C36"/>
    <w:rsid w:val="00BA1CD8"/>
    <w:rsid w:val="00BA1DFE"/>
    <w:rsid w:val="00BA1EE1"/>
    <w:rsid w:val="00BA2074"/>
    <w:rsid w:val="00BA2174"/>
    <w:rsid w:val="00BA2266"/>
    <w:rsid w:val="00BA2496"/>
    <w:rsid w:val="00BA2499"/>
    <w:rsid w:val="00BA25F0"/>
    <w:rsid w:val="00BA26AC"/>
    <w:rsid w:val="00BA2725"/>
    <w:rsid w:val="00BA273E"/>
    <w:rsid w:val="00BA2765"/>
    <w:rsid w:val="00BA2920"/>
    <w:rsid w:val="00BA2C5D"/>
    <w:rsid w:val="00BA2CD8"/>
    <w:rsid w:val="00BA2D24"/>
    <w:rsid w:val="00BA2D4A"/>
    <w:rsid w:val="00BA2D84"/>
    <w:rsid w:val="00BA2E18"/>
    <w:rsid w:val="00BA2F72"/>
    <w:rsid w:val="00BA311D"/>
    <w:rsid w:val="00BA3199"/>
    <w:rsid w:val="00BA324A"/>
    <w:rsid w:val="00BA32B1"/>
    <w:rsid w:val="00BA3312"/>
    <w:rsid w:val="00BA331D"/>
    <w:rsid w:val="00BA3469"/>
    <w:rsid w:val="00BA380D"/>
    <w:rsid w:val="00BA3B5C"/>
    <w:rsid w:val="00BA3D08"/>
    <w:rsid w:val="00BA3DF0"/>
    <w:rsid w:val="00BA3F02"/>
    <w:rsid w:val="00BA416A"/>
    <w:rsid w:val="00BA41BD"/>
    <w:rsid w:val="00BA41F4"/>
    <w:rsid w:val="00BA423D"/>
    <w:rsid w:val="00BA43D2"/>
    <w:rsid w:val="00BA43D9"/>
    <w:rsid w:val="00BA43E7"/>
    <w:rsid w:val="00BA443B"/>
    <w:rsid w:val="00BA4492"/>
    <w:rsid w:val="00BA44EC"/>
    <w:rsid w:val="00BA450D"/>
    <w:rsid w:val="00BA45DD"/>
    <w:rsid w:val="00BA479D"/>
    <w:rsid w:val="00BA4889"/>
    <w:rsid w:val="00BA48EB"/>
    <w:rsid w:val="00BA49A2"/>
    <w:rsid w:val="00BA4C64"/>
    <w:rsid w:val="00BA4E03"/>
    <w:rsid w:val="00BA4EBC"/>
    <w:rsid w:val="00BA4F70"/>
    <w:rsid w:val="00BA4FFF"/>
    <w:rsid w:val="00BA50D0"/>
    <w:rsid w:val="00BA50F8"/>
    <w:rsid w:val="00BA5475"/>
    <w:rsid w:val="00BA5660"/>
    <w:rsid w:val="00BA59E7"/>
    <w:rsid w:val="00BA5BD9"/>
    <w:rsid w:val="00BA5C8C"/>
    <w:rsid w:val="00BA5D5F"/>
    <w:rsid w:val="00BA5F4E"/>
    <w:rsid w:val="00BA6147"/>
    <w:rsid w:val="00BA6167"/>
    <w:rsid w:val="00BA62A9"/>
    <w:rsid w:val="00BA630D"/>
    <w:rsid w:val="00BA65F5"/>
    <w:rsid w:val="00BA660E"/>
    <w:rsid w:val="00BA66FF"/>
    <w:rsid w:val="00BA672A"/>
    <w:rsid w:val="00BA6824"/>
    <w:rsid w:val="00BA6876"/>
    <w:rsid w:val="00BA6919"/>
    <w:rsid w:val="00BA697D"/>
    <w:rsid w:val="00BA69B3"/>
    <w:rsid w:val="00BA6B5F"/>
    <w:rsid w:val="00BA6F61"/>
    <w:rsid w:val="00BA6F91"/>
    <w:rsid w:val="00BA6F95"/>
    <w:rsid w:val="00BA719F"/>
    <w:rsid w:val="00BA726C"/>
    <w:rsid w:val="00BA7444"/>
    <w:rsid w:val="00BA74C6"/>
    <w:rsid w:val="00BA74CE"/>
    <w:rsid w:val="00BA7541"/>
    <w:rsid w:val="00BA762C"/>
    <w:rsid w:val="00BA785C"/>
    <w:rsid w:val="00BA78C1"/>
    <w:rsid w:val="00BA7A0F"/>
    <w:rsid w:val="00BA7AB6"/>
    <w:rsid w:val="00BA7AFE"/>
    <w:rsid w:val="00BA7C40"/>
    <w:rsid w:val="00BA7D84"/>
    <w:rsid w:val="00BA7E45"/>
    <w:rsid w:val="00BA7EC4"/>
    <w:rsid w:val="00BB0067"/>
    <w:rsid w:val="00BB01D3"/>
    <w:rsid w:val="00BB02AE"/>
    <w:rsid w:val="00BB03C6"/>
    <w:rsid w:val="00BB0638"/>
    <w:rsid w:val="00BB065D"/>
    <w:rsid w:val="00BB07AF"/>
    <w:rsid w:val="00BB08FB"/>
    <w:rsid w:val="00BB0A39"/>
    <w:rsid w:val="00BB0A67"/>
    <w:rsid w:val="00BB0B2E"/>
    <w:rsid w:val="00BB0CEC"/>
    <w:rsid w:val="00BB0D8D"/>
    <w:rsid w:val="00BB0E1E"/>
    <w:rsid w:val="00BB0F68"/>
    <w:rsid w:val="00BB1078"/>
    <w:rsid w:val="00BB1145"/>
    <w:rsid w:val="00BB12D1"/>
    <w:rsid w:val="00BB13F9"/>
    <w:rsid w:val="00BB1683"/>
    <w:rsid w:val="00BB16F0"/>
    <w:rsid w:val="00BB177F"/>
    <w:rsid w:val="00BB193B"/>
    <w:rsid w:val="00BB198F"/>
    <w:rsid w:val="00BB1A9F"/>
    <w:rsid w:val="00BB1BCA"/>
    <w:rsid w:val="00BB1CFA"/>
    <w:rsid w:val="00BB1D19"/>
    <w:rsid w:val="00BB2095"/>
    <w:rsid w:val="00BB20F5"/>
    <w:rsid w:val="00BB21DB"/>
    <w:rsid w:val="00BB221C"/>
    <w:rsid w:val="00BB231C"/>
    <w:rsid w:val="00BB26C8"/>
    <w:rsid w:val="00BB270C"/>
    <w:rsid w:val="00BB273D"/>
    <w:rsid w:val="00BB2938"/>
    <w:rsid w:val="00BB2977"/>
    <w:rsid w:val="00BB2A34"/>
    <w:rsid w:val="00BB2B09"/>
    <w:rsid w:val="00BB2BBC"/>
    <w:rsid w:val="00BB2D22"/>
    <w:rsid w:val="00BB2D2E"/>
    <w:rsid w:val="00BB2D6E"/>
    <w:rsid w:val="00BB2DB0"/>
    <w:rsid w:val="00BB2DE4"/>
    <w:rsid w:val="00BB2E7B"/>
    <w:rsid w:val="00BB2F5C"/>
    <w:rsid w:val="00BB3021"/>
    <w:rsid w:val="00BB320E"/>
    <w:rsid w:val="00BB3560"/>
    <w:rsid w:val="00BB362F"/>
    <w:rsid w:val="00BB36AF"/>
    <w:rsid w:val="00BB376A"/>
    <w:rsid w:val="00BB37AF"/>
    <w:rsid w:val="00BB380D"/>
    <w:rsid w:val="00BB3819"/>
    <w:rsid w:val="00BB38BF"/>
    <w:rsid w:val="00BB3A3D"/>
    <w:rsid w:val="00BB3C94"/>
    <w:rsid w:val="00BB3DA1"/>
    <w:rsid w:val="00BB3F01"/>
    <w:rsid w:val="00BB3F21"/>
    <w:rsid w:val="00BB3F4C"/>
    <w:rsid w:val="00BB4079"/>
    <w:rsid w:val="00BB409B"/>
    <w:rsid w:val="00BB414F"/>
    <w:rsid w:val="00BB4213"/>
    <w:rsid w:val="00BB42CF"/>
    <w:rsid w:val="00BB42D2"/>
    <w:rsid w:val="00BB4362"/>
    <w:rsid w:val="00BB4365"/>
    <w:rsid w:val="00BB43C9"/>
    <w:rsid w:val="00BB4484"/>
    <w:rsid w:val="00BB45DA"/>
    <w:rsid w:val="00BB4615"/>
    <w:rsid w:val="00BB47A8"/>
    <w:rsid w:val="00BB4B14"/>
    <w:rsid w:val="00BB4B2B"/>
    <w:rsid w:val="00BB4CA6"/>
    <w:rsid w:val="00BB4EF6"/>
    <w:rsid w:val="00BB4F48"/>
    <w:rsid w:val="00BB4FE0"/>
    <w:rsid w:val="00BB503C"/>
    <w:rsid w:val="00BB534A"/>
    <w:rsid w:val="00BB5398"/>
    <w:rsid w:val="00BB547D"/>
    <w:rsid w:val="00BB56FF"/>
    <w:rsid w:val="00BB5788"/>
    <w:rsid w:val="00BB57F8"/>
    <w:rsid w:val="00BB5956"/>
    <w:rsid w:val="00BB5A62"/>
    <w:rsid w:val="00BB5B36"/>
    <w:rsid w:val="00BB5B88"/>
    <w:rsid w:val="00BB5C59"/>
    <w:rsid w:val="00BB5CE3"/>
    <w:rsid w:val="00BB5DE6"/>
    <w:rsid w:val="00BB5E52"/>
    <w:rsid w:val="00BB5E73"/>
    <w:rsid w:val="00BB60BE"/>
    <w:rsid w:val="00BB6331"/>
    <w:rsid w:val="00BB6363"/>
    <w:rsid w:val="00BB640A"/>
    <w:rsid w:val="00BB685F"/>
    <w:rsid w:val="00BB6997"/>
    <w:rsid w:val="00BB6A54"/>
    <w:rsid w:val="00BB6BA6"/>
    <w:rsid w:val="00BB6C4F"/>
    <w:rsid w:val="00BB6C6E"/>
    <w:rsid w:val="00BB6D1C"/>
    <w:rsid w:val="00BB6D5A"/>
    <w:rsid w:val="00BB6DD1"/>
    <w:rsid w:val="00BB6E07"/>
    <w:rsid w:val="00BB6E17"/>
    <w:rsid w:val="00BB6E2C"/>
    <w:rsid w:val="00BB708F"/>
    <w:rsid w:val="00BB70B0"/>
    <w:rsid w:val="00BB70D6"/>
    <w:rsid w:val="00BB719A"/>
    <w:rsid w:val="00BB7337"/>
    <w:rsid w:val="00BB742C"/>
    <w:rsid w:val="00BB745F"/>
    <w:rsid w:val="00BB755F"/>
    <w:rsid w:val="00BB7639"/>
    <w:rsid w:val="00BB7651"/>
    <w:rsid w:val="00BB78CB"/>
    <w:rsid w:val="00BB7946"/>
    <w:rsid w:val="00BB79E7"/>
    <w:rsid w:val="00BB7E73"/>
    <w:rsid w:val="00BB7EC8"/>
    <w:rsid w:val="00BB7F2C"/>
    <w:rsid w:val="00BC00A2"/>
    <w:rsid w:val="00BC00C5"/>
    <w:rsid w:val="00BC00FF"/>
    <w:rsid w:val="00BC010D"/>
    <w:rsid w:val="00BC02C0"/>
    <w:rsid w:val="00BC05F8"/>
    <w:rsid w:val="00BC05FF"/>
    <w:rsid w:val="00BC06DA"/>
    <w:rsid w:val="00BC07DB"/>
    <w:rsid w:val="00BC0A77"/>
    <w:rsid w:val="00BC0A95"/>
    <w:rsid w:val="00BC0B43"/>
    <w:rsid w:val="00BC0C05"/>
    <w:rsid w:val="00BC0C08"/>
    <w:rsid w:val="00BC112E"/>
    <w:rsid w:val="00BC1274"/>
    <w:rsid w:val="00BC12D0"/>
    <w:rsid w:val="00BC172A"/>
    <w:rsid w:val="00BC1790"/>
    <w:rsid w:val="00BC18E8"/>
    <w:rsid w:val="00BC19BB"/>
    <w:rsid w:val="00BC1ACB"/>
    <w:rsid w:val="00BC1C5E"/>
    <w:rsid w:val="00BC1CD2"/>
    <w:rsid w:val="00BC1F2E"/>
    <w:rsid w:val="00BC1FAE"/>
    <w:rsid w:val="00BC20C4"/>
    <w:rsid w:val="00BC219E"/>
    <w:rsid w:val="00BC21D3"/>
    <w:rsid w:val="00BC227C"/>
    <w:rsid w:val="00BC241F"/>
    <w:rsid w:val="00BC24BD"/>
    <w:rsid w:val="00BC250E"/>
    <w:rsid w:val="00BC286D"/>
    <w:rsid w:val="00BC2898"/>
    <w:rsid w:val="00BC296C"/>
    <w:rsid w:val="00BC296F"/>
    <w:rsid w:val="00BC29EE"/>
    <w:rsid w:val="00BC2A25"/>
    <w:rsid w:val="00BC2AF3"/>
    <w:rsid w:val="00BC2BBD"/>
    <w:rsid w:val="00BC2BCB"/>
    <w:rsid w:val="00BC2D98"/>
    <w:rsid w:val="00BC2D9A"/>
    <w:rsid w:val="00BC2DD2"/>
    <w:rsid w:val="00BC2EE3"/>
    <w:rsid w:val="00BC3114"/>
    <w:rsid w:val="00BC3249"/>
    <w:rsid w:val="00BC3301"/>
    <w:rsid w:val="00BC330D"/>
    <w:rsid w:val="00BC33FD"/>
    <w:rsid w:val="00BC378F"/>
    <w:rsid w:val="00BC37C0"/>
    <w:rsid w:val="00BC386A"/>
    <w:rsid w:val="00BC392A"/>
    <w:rsid w:val="00BC3A2A"/>
    <w:rsid w:val="00BC3B27"/>
    <w:rsid w:val="00BC3BD3"/>
    <w:rsid w:val="00BC3C53"/>
    <w:rsid w:val="00BC3CA0"/>
    <w:rsid w:val="00BC3CD4"/>
    <w:rsid w:val="00BC3DFA"/>
    <w:rsid w:val="00BC3E06"/>
    <w:rsid w:val="00BC3F28"/>
    <w:rsid w:val="00BC3FF4"/>
    <w:rsid w:val="00BC40BD"/>
    <w:rsid w:val="00BC424B"/>
    <w:rsid w:val="00BC4291"/>
    <w:rsid w:val="00BC42C0"/>
    <w:rsid w:val="00BC4476"/>
    <w:rsid w:val="00BC4643"/>
    <w:rsid w:val="00BC47A2"/>
    <w:rsid w:val="00BC4812"/>
    <w:rsid w:val="00BC48E9"/>
    <w:rsid w:val="00BC4A15"/>
    <w:rsid w:val="00BC4A21"/>
    <w:rsid w:val="00BC4AF7"/>
    <w:rsid w:val="00BC4B88"/>
    <w:rsid w:val="00BC4C47"/>
    <w:rsid w:val="00BC4DE5"/>
    <w:rsid w:val="00BC4E0B"/>
    <w:rsid w:val="00BC4E3F"/>
    <w:rsid w:val="00BC5145"/>
    <w:rsid w:val="00BC53E0"/>
    <w:rsid w:val="00BC54B5"/>
    <w:rsid w:val="00BC5732"/>
    <w:rsid w:val="00BC585A"/>
    <w:rsid w:val="00BC5A2F"/>
    <w:rsid w:val="00BC5C85"/>
    <w:rsid w:val="00BC5C9E"/>
    <w:rsid w:val="00BC5D47"/>
    <w:rsid w:val="00BC5D79"/>
    <w:rsid w:val="00BC5D90"/>
    <w:rsid w:val="00BC5DA2"/>
    <w:rsid w:val="00BC5DFF"/>
    <w:rsid w:val="00BC5F81"/>
    <w:rsid w:val="00BC5F9B"/>
    <w:rsid w:val="00BC60CB"/>
    <w:rsid w:val="00BC6112"/>
    <w:rsid w:val="00BC6190"/>
    <w:rsid w:val="00BC625B"/>
    <w:rsid w:val="00BC62FC"/>
    <w:rsid w:val="00BC63CD"/>
    <w:rsid w:val="00BC6571"/>
    <w:rsid w:val="00BC65A2"/>
    <w:rsid w:val="00BC6680"/>
    <w:rsid w:val="00BC67DB"/>
    <w:rsid w:val="00BC699B"/>
    <w:rsid w:val="00BC69B7"/>
    <w:rsid w:val="00BC6A50"/>
    <w:rsid w:val="00BC6A9C"/>
    <w:rsid w:val="00BC6B63"/>
    <w:rsid w:val="00BC6D6A"/>
    <w:rsid w:val="00BC6F25"/>
    <w:rsid w:val="00BC6FCA"/>
    <w:rsid w:val="00BC6FE8"/>
    <w:rsid w:val="00BC7278"/>
    <w:rsid w:val="00BC73DC"/>
    <w:rsid w:val="00BC7507"/>
    <w:rsid w:val="00BC7538"/>
    <w:rsid w:val="00BC7600"/>
    <w:rsid w:val="00BC76DF"/>
    <w:rsid w:val="00BC7866"/>
    <w:rsid w:val="00BC7999"/>
    <w:rsid w:val="00BC79DF"/>
    <w:rsid w:val="00BC79F1"/>
    <w:rsid w:val="00BC7A4E"/>
    <w:rsid w:val="00BC7B85"/>
    <w:rsid w:val="00BC7E12"/>
    <w:rsid w:val="00BC7E93"/>
    <w:rsid w:val="00BC7EFB"/>
    <w:rsid w:val="00BC7FAB"/>
    <w:rsid w:val="00BD0200"/>
    <w:rsid w:val="00BD030C"/>
    <w:rsid w:val="00BD0359"/>
    <w:rsid w:val="00BD03E4"/>
    <w:rsid w:val="00BD0593"/>
    <w:rsid w:val="00BD05E9"/>
    <w:rsid w:val="00BD064A"/>
    <w:rsid w:val="00BD0721"/>
    <w:rsid w:val="00BD07D8"/>
    <w:rsid w:val="00BD08C2"/>
    <w:rsid w:val="00BD09A7"/>
    <w:rsid w:val="00BD0AA7"/>
    <w:rsid w:val="00BD0BAA"/>
    <w:rsid w:val="00BD0D68"/>
    <w:rsid w:val="00BD0E0A"/>
    <w:rsid w:val="00BD0EF2"/>
    <w:rsid w:val="00BD0F1B"/>
    <w:rsid w:val="00BD0F5C"/>
    <w:rsid w:val="00BD12D2"/>
    <w:rsid w:val="00BD12F9"/>
    <w:rsid w:val="00BD1319"/>
    <w:rsid w:val="00BD1530"/>
    <w:rsid w:val="00BD15FE"/>
    <w:rsid w:val="00BD17E2"/>
    <w:rsid w:val="00BD1858"/>
    <w:rsid w:val="00BD1B8F"/>
    <w:rsid w:val="00BD1D59"/>
    <w:rsid w:val="00BD1DC1"/>
    <w:rsid w:val="00BD1F7C"/>
    <w:rsid w:val="00BD206D"/>
    <w:rsid w:val="00BD2080"/>
    <w:rsid w:val="00BD22D6"/>
    <w:rsid w:val="00BD246D"/>
    <w:rsid w:val="00BD2513"/>
    <w:rsid w:val="00BD264C"/>
    <w:rsid w:val="00BD268E"/>
    <w:rsid w:val="00BD26D5"/>
    <w:rsid w:val="00BD274C"/>
    <w:rsid w:val="00BD282E"/>
    <w:rsid w:val="00BD28E9"/>
    <w:rsid w:val="00BD29EC"/>
    <w:rsid w:val="00BD2BC3"/>
    <w:rsid w:val="00BD2BE8"/>
    <w:rsid w:val="00BD2CFD"/>
    <w:rsid w:val="00BD2D53"/>
    <w:rsid w:val="00BD2D8A"/>
    <w:rsid w:val="00BD2F71"/>
    <w:rsid w:val="00BD2FDE"/>
    <w:rsid w:val="00BD313D"/>
    <w:rsid w:val="00BD31B2"/>
    <w:rsid w:val="00BD327D"/>
    <w:rsid w:val="00BD32B4"/>
    <w:rsid w:val="00BD340C"/>
    <w:rsid w:val="00BD3419"/>
    <w:rsid w:val="00BD3440"/>
    <w:rsid w:val="00BD3445"/>
    <w:rsid w:val="00BD3481"/>
    <w:rsid w:val="00BD34BE"/>
    <w:rsid w:val="00BD3554"/>
    <w:rsid w:val="00BD356B"/>
    <w:rsid w:val="00BD3605"/>
    <w:rsid w:val="00BD3795"/>
    <w:rsid w:val="00BD3851"/>
    <w:rsid w:val="00BD38E5"/>
    <w:rsid w:val="00BD39D5"/>
    <w:rsid w:val="00BD39DF"/>
    <w:rsid w:val="00BD3A10"/>
    <w:rsid w:val="00BD3B10"/>
    <w:rsid w:val="00BD3B97"/>
    <w:rsid w:val="00BD3BAD"/>
    <w:rsid w:val="00BD3D6F"/>
    <w:rsid w:val="00BD3E2B"/>
    <w:rsid w:val="00BD40BD"/>
    <w:rsid w:val="00BD4118"/>
    <w:rsid w:val="00BD4398"/>
    <w:rsid w:val="00BD43F2"/>
    <w:rsid w:val="00BD446B"/>
    <w:rsid w:val="00BD4644"/>
    <w:rsid w:val="00BD4767"/>
    <w:rsid w:val="00BD47AA"/>
    <w:rsid w:val="00BD4E58"/>
    <w:rsid w:val="00BD4EEA"/>
    <w:rsid w:val="00BD507D"/>
    <w:rsid w:val="00BD51A9"/>
    <w:rsid w:val="00BD51AF"/>
    <w:rsid w:val="00BD5250"/>
    <w:rsid w:val="00BD5296"/>
    <w:rsid w:val="00BD52AE"/>
    <w:rsid w:val="00BD53D6"/>
    <w:rsid w:val="00BD5415"/>
    <w:rsid w:val="00BD5453"/>
    <w:rsid w:val="00BD5460"/>
    <w:rsid w:val="00BD5596"/>
    <w:rsid w:val="00BD571F"/>
    <w:rsid w:val="00BD57C6"/>
    <w:rsid w:val="00BD589E"/>
    <w:rsid w:val="00BD5A58"/>
    <w:rsid w:val="00BD5CF2"/>
    <w:rsid w:val="00BD5D47"/>
    <w:rsid w:val="00BD5E2F"/>
    <w:rsid w:val="00BD5ED5"/>
    <w:rsid w:val="00BD6053"/>
    <w:rsid w:val="00BD6070"/>
    <w:rsid w:val="00BD6192"/>
    <w:rsid w:val="00BD6260"/>
    <w:rsid w:val="00BD6306"/>
    <w:rsid w:val="00BD631D"/>
    <w:rsid w:val="00BD632E"/>
    <w:rsid w:val="00BD63B9"/>
    <w:rsid w:val="00BD6482"/>
    <w:rsid w:val="00BD64B1"/>
    <w:rsid w:val="00BD6515"/>
    <w:rsid w:val="00BD65C5"/>
    <w:rsid w:val="00BD6606"/>
    <w:rsid w:val="00BD664A"/>
    <w:rsid w:val="00BD665D"/>
    <w:rsid w:val="00BD66C3"/>
    <w:rsid w:val="00BD671B"/>
    <w:rsid w:val="00BD671C"/>
    <w:rsid w:val="00BD67C4"/>
    <w:rsid w:val="00BD67E0"/>
    <w:rsid w:val="00BD68DE"/>
    <w:rsid w:val="00BD6957"/>
    <w:rsid w:val="00BD69F0"/>
    <w:rsid w:val="00BD6A30"/>
    <w:rsid w:val="00BD6C9C"/>
    <w:rsid w:val="00BD6CE2"/>
    <w:rsid w:val="00BD6D46"/>
    <w:rsid w:val="00BD6F1F"/>
    <w:rsid w:val="00BD6F84"/>
    <w:rsid w:val="00BD711E"/>
    <w:rsid w:val="00BD7122"/>
    <w:rsid w:val="00BD7143"/>
    <w:rsid w:val="00BD72F8"/>
    <w:rsid w:val="00BD74FE"/>
    <w:rsid w:val="00BD7589"/>
    <w:rsid w:val="00BD763E"/>
    <w:rsid w:val="00BD7A59"/>
    <w:rsid w:val="00BD7C18"/>
    <w:rsid w:val="00BD7C5A"/>
    <w:rsid w:val="00BD7EEA"/>
    <w:rsid w:val="00BE0054"/>
    <w:rsid w:val="00BE0068"/>
    <w:rsid w:val="00BE010A"/>
    <w:rsid w:val="00BE032F"/>
    <w:rsid w:val="00BE048D"/>
    <w:rsid w:val="00BE0541"/>
    <w:rsid w:val="00BE0696"/>
    <w:rsid w:val="00BE0781"/>
    <w:rsid w:val="00BE079D"/>
    <w:rsid w:val="00BE0807"/>
    <w:rsid w:val="00BE0875"/>
    <w:rsid w:val="00BE08B5"/>
    <w:rsid w:val="00BE092A"/>
    <w:rsid w:val="00BE0BFD"/>
    <w:rsid w:val="00BE0C16"/>
    <w:rsid w:val="00BE0C9C"/>
    <w:rsid w:val="00BE0D41"/>
    <w:rsid w:val="00BE0D71"/>
    <w:rsid w:val="00BE0F33"/>
    <w:rsid w:val="00BE0F6E"/>
    <w:rsid w:val="00BE0F96"/>
    <w:rsid w:val="00BE106F"/>
    <w:rsid w:val="00BE1093"/>
    <w:rsid w:val="00BE10A1"/>
    <w:rsid w:val="00BE10DF"/>
    <w:rsid w:val="00BE110C"/>
    <w:rsid w:val="00BE113B"/>
    <w:rsid w:val="00BE1280"/>
    <w:rsid w:val="00BE146B"/>
    <w:rsid w:val="00BE1519"/>
    <w:rsid w:val="00BE17B9"/>
    <w:rsid w:val="00BE181B"/>
    <w:rsid w:val="00BE1894"/>
    <w:rsid w:val="00BE1941"/>
    <w:rsid w:val="00BE19D3"/>
    <w:rsid w:val="00BE19FC"/>
    <w:rsid w:val="00BE1EF9"/>
    <w:rsid w:val="00BE1F61"/>
    <w:rsid w:val="00BE2049"/>
    <w:rsid w:val="00BE20A5"/>
    <w:rsid w:val="00BE20E8"/>
    <w:rsid w:val="00BE22A6"/>
    <w:rsid w:val="00BE22C6"/>
    <w:rsid w:val="00BE2313"/>
    <w:rsid w:val="00BE2560"/>
    <w:rsid w:val="00BE262B"/>
    <w:rsid w:val="00BE26F5"/>
    <w:rsid w:val="00BE2878"/>
    <w:rsid w:val="00BE28AE"/>
    <w:rsid w:val="00BE2960"/>
    <w:rsid w:val="00BE2A09"/>
    <w:rsid w:val="00BE2B45"/>
    <w:rsid w:val="00BE2C38"/>
    <w:rsid w:val="00BE2CC9"/>
    <w:rsid w:val="00BE2DDC"/>
    <w:rsid w:val="00BE2E67"/>
    <w:rsid w:val="00BE2E93"/>
    <w:rsid w:val="00BE3031"/>
    <w:rsid w:val="00BE3122"/>
    <w:rsid w:val="00BE3216"/>
    <w:rsid w:val="00BE32C9"/>
    <w:rsid w:val="00BE343D"/>
    <w:rsid w:val="00BE3590"/>
    <w:rsid w:val="00BE3603"/>
    <w:rsid w:val="00BE3A12"/>
    <w:rsid w:val="00BE3B41"/>
    <w:rsid w:val="00BE3E48"/>
    <w:rsid w:val="00BE40A8"/>
    <w:rsid w:val="00BE412B"/>
    <w:rsid w:val="00BE419F"/>
    <w:rsid w:val="00BE41EF"/>
    <w:rsid w:val="00BE4337"/>
    <w:rsid w:val="00BE4350"/>
    <w:rsid w:val="00BE43C9"/>
    <w:rsid w:val="00BE45B6"/>
    <w:rsid w:val="00BE4690"/>
    <w:rsid w:val="00BE478B"/>
    <w:rsid w:val="00BE47A6"/>
    <w:rsid w:val="00BE47C7"/>
    <w:rsid w:val="00BE4A12"/>
    <w:rsid w:val="00BE4A43"/>
    <w:rsid w:val="00BE4A5B"/>
    <w:rsid w:val="00BE4C1E"/>
    <w:rsid w:val="00BE4CFE"/>
    <w:rsid w:val="00BE4E97"/>
    <w:rsid w:val="00BE4EDB"/>
    <w:rsid w:val="00BE4FB1"/>
    <w:rsid w:val="00BE507F"/>
    <w:rsid w:val="00BE50FF"/>
    <w:rsid w:val="00BE51B2"/>
    <w:rsid w:val="00BE51E2"/>
    <w:rsid w:val="00BE51E6"/>
    <w:rsid w:val="00BE5534"/>
    <w:rsid w:val="00BE5583"/>
    <w:rsid w:val="00BE5620"/>
    <w:rsid w:val="00BE565A"/>
    <w:rsid w:val="00BE5726"/>
    <w:rsid w:val="00BE576B"/>
    <w:rsid w:val="00BE581E"/>
    <w:rsid w:val="00BE5ADC"/>
    <w:rsid w:val="00BE5B11"/>
    <w:rsid w:val="00BE5BB5"/>
    <w:rsid w:val="00BE5CD3"/>
    <w:rsid w:val="00BE6203"/>
    <w:rsid w:val="00BE6505"/>
    <w:rsid w:val="00BE653A"/>
    <w:rsid w:val="00BE6560"/>
    <w:rsid w:val="00BE65E7"/>
    <w:rsid w:val="00BE6685"/>
    <w:rsid w:val="00BE66EC"/>
    <w:rsid w:val="00BE6784"/>
    <w:rsid w:val="00BE68DD"/>
    <w:rsid w:val="00BE68EE"/>
    <w:rsid w:val="00BE69A2"/>
    <w:rsid w:val="00BE6B0C"/>
    <w:rsid w:val="00BE6B16"/>
    <w:rsid w:val="00BE6BD2"/>
    <w:rsid w:val="00BE6C44"/>
    <w:rsid w:val="00BE6C61"/>
    <w:rsid w:val="00BE6CF0"/>
    <w:rsid w:val="00BE6D1D"/>
    <w:rsid w:val="00BE6D7A"/>
    <w:rsid w:val="00BE6DA2"/>
    <w:rsid w:val="00BE6DFE"/>
    <w:rsid w:val="00BE6F14"/>
    <w:rsid w:val="00BE6F3C"/>
    <w:rsid w:val="00BE71D0"/>
    <w:rsid w:val="00BE7268"/>
    <w:rsid w:val="00BE734E"/>
    <w:rsid w:val="00BE750D"/>
    <w:rsid w:val="00BE7703"/>
    <w:rsid w:val="00BE7792"/>
    <w:rsid w:val="00BE7B5D"/>
    <w:rsid w:val="00BE7B63"/>
    <w:rsid w:val="00BE7C0B"/>
    <w:rsid w:val="00BE7C47"/>
    <w:rsid w:val="00BE7EF2"/>
    <w:rsid w:val="00BE7F04"/>
    <w:rsid w:val="00BF0035"/>
    <w:rsid w:val="00BF0242"/>
    <w:rsid w:val="00BF065B"/>
    <w:rsid w:val="00BF06B1"/>
    <w:rsid w:val="00BF0711"/>
    <w:rsid w:val="00BF0906"/>
    <w:rsid w:val="00BF0AE3"/>
    <w:rsid w:val="00BF0BF8"/>
    <w:rsid w:val="00BF0DCF"/>
    <w:rsid w:val="00BF0EBF"/>
    <w:rsid w:val="00BF0F17"/>
    <w:rsid w:val="00BF0FEF"/>
    <w:rsid w:val="00BF1068"/>
    <w:rsid w:val="00BF1100"/>
    <w:rsid w:val="00BF1132"/>
    <w:rsid w:val="00BF1177"/>
    <w:rsid w:val="00BF1250"/>
    <w:rsid w:val="00BF12AF"/>
    <w:rsid w:val="00BF137C"/>
    <w:rsid w:val="00BF1433"/>
    <w:rsid w:val="00BF14F9"/>
    <w:rsid w:val="00BF1987"/>
    <w:rsid w:val="00BF19FB"/>
    <w:rsid w:val="00BF1B32"/>
    <w:rsid w:val="00BF1C4A"/>
    <w:rsid w:val="00BF1C80"/>
    <w:rsid w:val="00BF1DB0"/>
    <w:rsid w:val="00BF1DEA"/>
    <w:rsid w:val="00BF1E99"/>
    <w:rsid w:val="00BF1EB4"/>
    <w:rsid w:val="00BF202C"/>
    <w:rsid w:val="00BF2465"/>
    <w:rsid w:val="00BF24EE"/>
    <w:rsid w:val="00BF24F8"/>
    <w:rsid w:val="00BF255F"/>
    <w:rsid w:val="00BF2642"/>
    <w:rsid w:val="00BF276B"/>
    <w:rsid w:val="00BF27E0"/>
    <w:rsid w:val="00BF2825"/>
    <w:rsid w:val="00BF2945"/>
    <w:rsid w:val="00BF2954"/>
    <w:rsid w:val="00BF2D52"/>
    <w:rsid w:val="00BF2D7B"/>
    <w:rsid w:val="00BF2F41"/>
    <w:rsid w:val="00BF2F6C"/>
    <w:rsid w:val="00BF2F83"/>
    <w:rsid w:val="00BF301D"/>
    <w:rsid w:val="00BF30B2"/>
    <w:rsid w:val="00BF3275"/>
    <w:rsid w:val="00BF32A2"/>
    <w:rsid w:val="00BF34C4"/>
    <w:rsid w:val="00BF3560"/>
    <w:rsid w:val="00BF359A"/>
    <w:rsid w:val="00BF3622"/>
    <w:rsid w:val="00BF3851"/>
    <w:rsid w:val="00BF3962"/>
    <w:rsid w:val="00BF3AF8"/>
    <w:rsid w:val="00BF3B24"/>
    <w:rsid w:val="00BF3BBB"/>
    <w:rsid w:val="00BF3BC4"/>
    <w:rsid w:val="00BF3DB5"/>
    <w:rsid w:val="00BF4049"/>
    <w:rsid w:val="00BF4073"/>
    <w:rsid w:val="00BF4432"/>
    <w:rsid w:val="00BF46A8"/>
    <w:rsid w:val="00BF4753"/>
    <w:rsid w:val="00BF47F1"/>
    <w:rsid w:val="00BF4811"/>
    <w:rsid w:val="00BF4A10"/>
    <w:rsid w:val="00BF4C09"/>
    <w:rsid w:val="00BF4C5C"/>
    <w:rsid w:val="00BF4C8D"/>
    <w:rsid w:val="00BF4D49"/>
    <w:rsid w:val="00BF4E2F"/>
    <w:rsid w:val="00BF4EB2"/>
    <w:rsid w:val="00BF4FCB"/>
    <w:rsid w:val="00BF4FF0"/>
    <w:rsid w:val="00BF51AC"/>
    <w:rsid w:val="00BF51BB"/>
    <w:rsid w:val="00BF529A"/>
    <w:rsid w:val="00BF52D7"/>
    <w:rsid w:val="00BF52F1"/>
    <w:rsid w:val="00BF53B1"/>
    <w:rsid w:val="00BF53C5"/>
    <w:rsid w:val="00BF54BD"/>
    <w:rsid w:val="00BF54FC"/>
    <w:rsid w:val="00BF550B"/>
    <w:rsid w:val="00BF555D"/>
    <w:rsid w:val="00BF5571"/>
    <w:rsid w:val="00BF564D"/>
    <w:rsid w:val="00BF57E7"/>
    <w:rsid w:val="00BF592B"/>
    <w:rsid w:val="00BF5955"/>
    <w:rsid w:val="00BF5B01"/>
    <w:rsid w:val="00BF5B5D"/>
    <w:rsid w:val="00BF5CC4"/>
    <w:rsid w:val="00BF5CC7"/>
    <w:rsid w:val="00BF5CD1"/>
    <w:rsid w:val="00BF5E58"/>
    <w:rsid w:val="00BF5EA0"/>
    <w:rsid w:val="00BF6013"/>
    <w:rsid w:val="00BF6021"/>
    <w:rsid w:val="00BF6057"/>
    <w:rsid w:val="00BF617A"/>
    <w:rsid w:val="00BF61CA"/>
    <w:rsid w:val="00BF6453"/>
    <w:rsid w:val="00BF65F8"/>
    <w:rsid w:val="00BF6600"/>
    <w:rsid w:val="00BF6656"/>
    <w:rsid w:val="00BF6697"/>
    <w:rsid w:val="00BF66EF"/>
    <w:rsid w:val="00BF677B"/>
    <w:rsid w:val="00BF6A76"/>
    <w:rsid w:val="00BF6A80"/>
    <w:rsid w:val="00BF6AC8"/>
    <w:rsid w:val="00BF6BCA"/>
    <w:rsid w:val="00BF6CB6"/>
    <w:rsid w:val="00BF6D4D"/>
    <w:rsid w:val="00BF6D4E"/>
    <w:rsid w:val="00BF6DB3"/>
    <w:rsid w:val="00BF6DC6"/>
    <w:rsid w:val="00BF6F6A"/>
    <w:rsid w:val="00BF7051"/>
    <w:rsid w:val="00BF71D9"/>
    <w:rsid w:val="00BF7251"/>
    <w:rsid w:val="00BF728D"/>
    <w:rsid w:val="00BF7396"/>
    <w:rsid w:val="00BF739A"/>
    <w:rsid w:val="00BF7452"/>
    <w:rsid w:val="00BF7548"/>
    <w:rsid w:val="00BF761A"/>
    <w:rsid w:val="00BF7733"/>
    <w:rsid w:val="00BF7878"/>
    <w:rsid w:val="00BF790D"/>
    <w:rsid w:val="00BF79FC"/>
    <w:rsid w:val="00BF7ACA"/>
    <w:rsid w:val="00BF7AE1"/>
    <w:rsid w:val="00BF7C5B"/>
    <w:rsid w:val="00BF7C89"/>
    <w:rsid w:val="00BF7D7C"/>
    <w:rsid w:val="00BF7D9C"/>
    <w:rsid w:val="00BF7E36"/>
    <w:rsid w:val="00BF7FF4"/>
    <w:rsid w:val="00C000E0"/>
    <w:rsid w:val="00C00116"/>
    <w:rsid w:val="00C0017B"/>
    <w:rsid w:val="00C002D8"/>
    <w:rsid w:val="00C003A5"/>
    <w:rsid w:val="00C003EF"/>
    <w:rsid w:val="00C004D1"/>
    <w:rsid w:val="00C0056F"/>
    <w:rsid w:val="00C00632"/>
    <w:rsid w:val="00C0064B"/>
    <w:rsid w:val="00C00684"/>
    <w:rsid w:val="00C0097C"/>
    <w:rsid w:val="00C00981"/>
    <w:rsid w:val="00C009B8"/>
    <w:rsid w:val="00C00A8C"/>
    <w:rsid w:val="00C00B9B"/>
    <w:rsid w:val="00C00D2B"/>
    <w:rsid w:val="00C00E05"/>
    <w:rsid w:val="00C00ED0"/>
    <w:rsid w:val="00C010D2"/>
    <w:rsid w:val="00C01132"/>
    <w:rsid w:val="00C01259"/>
    <w:rsid w:val="00C01482"/>
    <w:rsid w:val="00C0149A"/>
    <w:rsid w:val="00C01511"/>
    <w:rsid w:val="00C01581"/>
    <w:rsid w:val="00C015B6"/>
    <w:rsid w:val="00C015EA"/>
    <w:rsid w:val="00C015F8"/>
    <w:rsid w:val="00C01784"/>
    <w:rsid w:val="00C018EB"/>
    <w:rsid w:val="00C0192C"/>
    <w:rsid w:val="00C019FF"/>
    <w:rsid w:val="00C01ADE"/>
    <w:rsid w:val="00C01B53"/>
    <w:rsid w:val="00C01C59"/>
    <w:rsid w:val="00C01C8F"/>
    <w:rsid w:val="00C01EB2"/>
    <w:rsid w:val="00C01EB6"/>
    <w:rsid w:val="00C01F3F"/>
    <w:rsid w:val="00C02076"/>
    <w:rsid w:val="00C020E6"/>
    <w:rsid w:val="00C0216F"/>
    <w:rsid w:val="00C02265"/>
    <w:rsid w:val="00C02294"/>
    <w:rsid w:val="00C024E9"/>
    <w:rsid w:val="00C02571"/>
    <w:rsid w:val="00C026D6"/>
    <w:rsid w:val="00C0275C"/>
    <w:rsid w:val="00C027D8"/>
    <w:rsid w:val="00C02A1F"/>
    <w:rsid w:val="00C02B05"/>
    <w:rsid w:val="00C02B69"/>
    <w:rsid w:val="00C02BD4"/>
    <w:rsid w:val="00C02CE1"/>
    <w:rsid w:val="00C02CFD"/>
    <w:rsid w:val="00C02D90"/>
    <w:rsid w:val="00C02D96"/>
    <w:rsid w:val="00C02DCF"/>
    <w:rsid w:val="00C02E7D"/>
    <w:rsid w:val="00C02E88"/>
    <w:rsid w:val="00C030E7"/>
    <w:rsid w:val="00C03104"/>
    <w:rsid w:val="00C03140"/>
    <w:rsid w:val="00C03221"/>
    <w:rsid w:val="00C033EE"/>
    <w:rsid w:val="00C034D5"/>
    <w:rsid w:val="00C0374D"/>
    <w:rsid w:val="00C037A6"/>
    <w:rsid w:val="00C03842"/>
    <w:rsid w:val="00C039C4"/>
    <w:rsid w:val="00C03A3C"/>
    <w:rsid w:val="00C03A6B"/>
    <w:rsid w:val="00C03AB8"/>
    <w:rsid w:val="00C03B7F"/>
    <w:rsid w:val="00C03BD1"/>
    <w:rsid w:val="00C03C01"/>
    <w:rsid w:val="00C03C3C"/>
    <w:rsid w:val="00C03E57"/>
    <w:rsid w:val="00C03F77"/>
    <w:rsid w:val="00C03FFC"/>
    <w:rsid w:val="00C04072"/>
    <w:rsid w:val="00C0413A"/>
    <w:rsid w:val="00C042BB"/>
    <w:rsid w:val="00C04343"/>
    <w:rsid w:val="00C0440A"/>
    <w:rsid w:val="00C045A1"/>
    <w:rsid w:val="00C04664"/>
    <w:rsid w:val="00C046AB"/>
    <w:rsid w:val="00C0474A"/>
    <w:rsid w:val="00C04893"/>
    <w:rsid w:val="00C04941"/>
    <w:rsid w:val="00C049FF"/>
    <w:rsid w:val="00C04A1F"/>
    <w:rsid w:val="00C04BBE"/>
    <w:rsid w:val="00C04BC8"/>
    <w:rsid w:val="00C04C47"/>
    <w:rsid w:val="00C04CAB"/>
    <w:rsid w:val="00C04D3C"/>
    <w:rsid w:val="00C04EE7"/>
    <w:rsid w:val="00C04F42"/>
    <w:rsid w:val="00C05069"/>
    <w:rsid w:val="00C050D8"/>
    <w:rsid w:val="00C05150"/>
    <w:rsid w:val="00C0528C"/>
    <w:rsid w:val="00C05620"/>
    <w:rsid w:val="00C0562E"/>
    <w:rsid w:val="00C05649"/>
    <w:rsid w:val="00C057D6"/>
    <w:rsid w:val="00C05894"/>
    <w:rsid w:val="00C0590F"/>
    <w:rsid w:val="00C05999"/>
    <w:rsid w:val="00C05A74"/>
    <w:rsid w:val="00C05A78"/>
    <w:rsid w:val="00C05BFE"/>
    <w:rsid w:val="00C05E2A"/>
    <w:rsid w:val="00C060D0"/>
    <w:rsid w:val="00C06138"/>
    <w:rsid w:val="00C061C7"/>
    <w:rsid w:val="00C06401"/>
    <w:rsid w:val="00C0686C"/>
    <w:rsid w:val="00C068FC"/>
    <w:rsid w:val="00C069F6"/>
    <w:rsid w:val="00C06A7F"/>
    <w:rsid w:val="00C06BE0"/>
    <w:rsid w:val="00C06C12"/>
    <w:rsid w:val="00C06DB8"/>
    <w:rsid w:val="00C06F28"/>
    <w:rsid w:val="00C06F39"/>
    <w:rsid w:val="00C06F50"/>
    <w:rsid w:val="00C06FA2"/>
    <w:rsid w:val="00C071FF"/>
    <w:rsid w:val="00C073DB"/>
    <w:rsid w:val="00C074C5"/>
    <w:rsid w:val="00C074F9"/>
    <w:rsid w:val="00C076D8"/>
    <w:rsid w:val="00C07A97"/>
    <w:rsid w:val="00C07AC9"/>
    <w:rsid w:val="00C07B1F"/>
    <w:rsid w:val="00C07B4D"/>
    <w:rsid w:val="00C07B4E"/>
    <w:rsid w:val="00C07C31"/>
    <w:rsid w:val="00C07D45"/>
    <w:rsid w:val="00C07D4C"/>
    <w:rsid w:val="00C07DAE"/>
    <w:rsid w:val="00C07F33"/>
    <w:rsid w:val="00C07F4C"/>
    <w:rsid w:val="00C1008C"/>
    <w:rsid w:val="00C100CF"/>
    <w:rsid w:val="00C1017C"/>
    <w:rsid w:val="00C101EC"/>
    <w:rsid w:val="00C10252"/>
    <w:rsid w:val="00C1028B"/>
    <w:rsid w:val="00C1031A"/>
    <w:rsid w:val="00C10385"/>
    <w:rsid w:val="00C10565"/>
    <w:rsid w:val="00C106FC"/>
    <w:rsid w:val="00C107A4"/>
    <w:rsid w:val="00C10860"/>
    <w:rsid w:val="00C10A08"/>
    <w:rsid w:val="00C10B40"/>
    <w:rsid w:val="00C10C21"/>
    <w:rsid w:val="00C10CD2"/>
    <w:rsid w:val="00C10D6C"/>
    <w:rsid w:val="00C10E83"/>
    <w:rsid w:val="00C10F3E"/>
    <w:rsid w:val="00C10F4C"/>
    <w:rsid w:val="00C10FCC"/>
    <w:rsid w:val="00C1125C"/>
    <w:rsid w:val="00C11342"/>
    <w:rsid w:val="00C11381"/>
    <w:rsid w:val="00C11487"/>
    <w:rsid w:val="00C11496"/>
    <w:rsid w:val="00C114B8"/>
    <w:rsid w:val="00C11505"/>
    <w:rsid w:val="00C11506"/>
    <w:rsid w:val="00C11523"/>
    <w:rsid w:val="00C11577"/>
    <w:rsid w:val="00C1175B"/>
    <w:rsid w:val="00C11789"/>
    <w:rsid w:val="00C117A0"/>
    <w:rsid w:val="00C117C5"/>
    <w:rsid w:val="00C117DC"/>
    <w:rsid w:val="00C117E8"/>
    <w:rsid w:val="00C118F3"/>
    <w:rsid w:val="00C11A29"/>
    <w:rsid w:val="00C11B82"/>
    <w:rsid w:val="00C11C4A"/>
    <w:rsid w:val="00C11DA9"/>
    <w:rsid w:val="00C11E09"/>
    <w:rsid w:val="00C11E9D"/>
    <w:rsid w:val="00C11EDE"/>
    <w:rsid w:val="00C11EE2"/>
    <w:rsid w:val="00C12073"/>
    <w:rsid w:val="00C12110"/>
    <w:rsid w:val="00C121EA"/>
    <w:rsid w:val="00C12284"/>
    <w:rsid w:val="00C12396"/>
    <w:rsid w:val="00C1241D"/>
    <w:rsid w:val="00C124EC"/>
    <w:rsid w:val="00C127BD"/>
    <w:rsid w:val="00C12973"/>
    <w:rsid w:val="00C12A63"/>
    <w:rsid w:val="00C12B07"/>
    <w:rsid w:val="00C12BAF"/>
    <w:rsid w:val="00C12D18"/>
    <w:rsid w:val="00C12D88"/>
    <w:rsid w:val="00C12DA3"/>
    <w:rsid w:val="00C12F6F"/>
    <w:rsid w:val="00C12FB5"/>
    <w:rsid w:val="00C1303C"/>
    <w:rsid w:val="00C13063"/>
    <w:rsid w:val="00C1306D"/>
    <w:rsid w:val="00C130B3"/>
    <w:rsid w:val="00C13104"/>
    <w:rsid w:val="00C131E7"/>
    <w:rsid w:val="00C1322B"/>
    <w:rsid w:val="00C13237"/>
    <w:rsid w:val="00C13244"/>
    <w:rsid w:val="00C1334F"/>
    <w:rsid w:val="00C13495"/>
    <w:rsid w:val="00C134F2"/>
    <w:rsid w:val="00C1355F"/>
    <w:rsid w:val="00C139E3"/>
    <w:rsid w:val="00C139E8"/>
    <w:rsid w:val="00C13A42"/>
    <w:rsid w:val="00C13E39"/>
    <w:rsid w:val="00C14101"/>
    <w:rsid w:val="00C1411C"/>
    <w:rsid w:val="00C14132"/>
    <w:rsid w:val="00C141C9"/>
    <w:rsid w:val="00C14292"/>
    <w:rsid w:val="00C142E5"/>
    <w:rsid w:val="00C14310"/>
    <w:rsid w:val="00C14380"/>
    <w:rsid w:val="00C14564"/>
    <w:rsid w:val="00C1457D"/>
    <w:rsid w:val="00C145D1"/>
    <w:rsid w:val="00C14618"/>
    <w:rsid w:val="00C1474F"/>
    <w:rsid w:val="00C14845"/>
    <w:rsid w:val="00C14AD5"/>
    <w:rsid w:val="00C14D35"/>
    <w:rsid w:val="00C14DF7"/>
    <w:rsid w:val="00C14E17"/>
    <w:rsid w:val="00C14E60"/>
    <w:rsid w:val="00C14F93"/>
    <w:rsid w:val="00C14FBB"/>
    <w:rsid w:val="00C14FDA"/>
    <w:rsid w:val="00C1503A"/>
    <w:rsid w:val="00C15291"/>
    <w:rsid w:val="00C152D2"/>
    <w:rsid w:val="00C1533F"/>
    <w:rsid w:val="00C153FB"/>
    <w:rsid w:val="00C157E1"/>
    <w:rsid w:val="00C158D7"/>
    <w:rsid w:val="00C15965"/>
    <w:rsid w:val="00C15992"/>
    <w:rsid w:val="00C159A3"/>
    <w:rsid w:val="00C15A00"/>
    <w:rsid w:val="00C15A07"/>
    <w:rsid w:val="00C15AF1"/>
    <w:rsid w:val="00C15C27"/>
    <w:rsid w:val="00C15C73"/>
    <w:rsid w:val="00C15DA3"/>
    <w:rsid w:val="00C15E48"/>
    <w:rsid w:val="00C15F04"/>
    <w:rsid w:val="00C15FBA"/>
    <w:rsid w:val="00C16007"/>
    <w:rsid w:val="00C161BC"/>
    <w:rsid w:val="00C161D8"/>
    <w:rsid w:val="00C1636F"/>
    <w:rsid w:val="00C1643F"/>
    <w:rsid w:val="00C1650F"/>
    <w:rsid w:val="00C1659F"/>
    <w:rsid w:val="00C16905"/>
    <w:rsid w:val="00C169AB"/>
    <w:rsid w:val="00C16E0C"/>
    <w:rsid w:val="00C16E8C"/>
    <w:rsid w:val="00C172FF"/>
    <w:rsid w:val="00C173CD"/>
    <w:rsid w:val="00C1759B"/>
    <w:rsid w:val="00C175D7"/>
    <w:rsid w:val="00C17697"/>
    <w:rsid w:val="00C17942"/>
    <w:rsid w:val="00C179E7"/>
    <w:rsid w:val="00C17C5F"/>
    <w:rsid w:val="00C17D1C"/>
    <w:rsid w:val="00C17E87"/>
    <w:rsid w:val="00C17EC2"/>
    <w:rsid w:val="00C17EE7"/>
    <w:rsid w:val="00C2002D"/>
    <w:rsid w:val="00C201BB"/>
    <w:rsid w:val="00C202A2"/>
    <w:rsid w:val="00C202BB"/>
    <w:rsid w:val="00C20348"/>
    <w:rsid w:val="00C20397"/>
    <w:rsid w:val="00C2044B"/>
    <w:rsid w:val="00C204DF"/>
    <w:rsid w:val="00C20582"/>
    <w:rsid w:val="00C2074A"/>
    <w:rsid w:val="00C207B8"/>
    <w:rsid w:val="00C208A3"/>
    <w:rsid w:val="00C208F2"/>
    <w:rsid w:val="00C20AEF"/>
    <w:rsid w:val="00C20BDB"/>
    <w:rsid w:val="00C20D60"/>
    <w:rsid w:val="00C20DE1"/>
    <w:rsid w:val="00C20E0B"/>
    <w:rsid w:val="00C20F7D"/>
    <w:rsid w:val="00C210DF"/>
    <w:rsid w:val="00C211B3"/>
    <w:rsid w:val="00C2127A"/>
    <w:rsid w:val="00C212BE"/>
    <w:rsid w:val="00C212FA"/>
    <w:rsid w:val="00C21431"/>
    <w:rsid w:val="00C21561"/>
    <w:rsid w:val="00C215C8"/>
    <w:rsid w:val="00C2174C"/>
    <w:rsid w:val="00C21755"/>
    <w:rsid w:val="00C21A0A"/>
    <w:rsid w:val="00C21ACA"/>
    <w:rsid w:val="00C21BBD"/>
    <w:rsid w:val="00C21D61"/>
    <w:rsid w:val="00C21DB4"/>
    <w:rsid w:val="00C21E10"/>
    <w:rsid w:val="00C21E68"/>
    <w:rsid w:val="00C21F13"/>
    <w:rsid w:val="00C220C4"/>
    <w:rsid w:val="00C223E2"/>
    <w:rsid w:val="00C2248B"/>
    <w:rsid w:val="00C2280A"/>
    <w:rsid w:val="00C2287C"/>
    <w:rsid w:val="00C228D9"/>
    <w:rsid w:val="00C22947"/>
    <w:rsid w:val="00C22B3F"/>
    <w:rsid w:val="00C22C8B"/>
    <w:rsid w:val="00C22CAF"/>
    <w:rsid w:val="00C22D33"/>
    <w:rsid w:val="00C22DBA"/>
    <w:rsid w:val="00C22E48"/>
    <w:rsid w:val="00C22EE2"/>
    <w:rsid w:val="00C22FEC"/>
    <w:rsid w:val="00C230EF"/>
    <w:rsid w:val="00C231D1"/>
    <w:rsid w:val="00C232AC"/>
    <w:rsid w:val="00C23410"/>
    <w:rsid w:val="00C23420"/>
    <w:rsid w:val="00C235CD"/>
    <w:rsid w:val="00C235E0"/>
    <w:rsid w:val="00C23789"/>
    <w:rsid w:val="00C23872"/>
    <w:rsid w:val="00C23AD2"/>
    <w:rsid w:val="00C23ECA"/>
    <w:rsid w:val="00C23FB9"/>
    <w:rsid w:val="00C24160"/>
    <w:rsid w:val="00C241C5"/>
    <w:rsid w:val="00C2421B"/>
    <w:rsid w:val="00C246BE"/>
    <w:rsid w:val="00C246E6"/>
    <w:rsid w:val="00C24834"/>
    <w:rsid w:val="00C24958"/>
    <w:rsid w:val="00C24A9F"/>
    <w:rsid w:val="00C24B17"/>
    <w:rsid w:val="00C24C0B"/>
    <w:rsid w:val="00C24D88"/>
    <w:rsid w:val="00C24E3B"/>
    <w:rsid w:val="00C24E6F"/>
    <w:rsid w:val="00C250F7"/>
    <w:rsid w:val="00C25130"/>
    <w:rsid w:val="00C25144"/>
    <w:rsid w:val="00C251B8"/>
    <w:rsid w:val="00C251DE"/>
    <w:rsid w:val="00C252D7"/>
    <w:rsid w:val="00C252E6"/>
    <w:rsid w:val="00C25321"/>
    <w:rsid w:val="00C2533A"/>
    <w:rsid w:val="00C2537E"/>
    <w:rsid w:val="00C253EE"/>
    <w:rsid w:val="00C2545E"/>
    <w:rsid w:val="00C2549F"/>
    <w:rsid w:val="00C2593B"/>
    <w:rsid w:val="00C25AC9"/>
    <w:rsid w:val="00C25B26"/>
    <w:rsid w:val="00C25B4B"/>
    <w:rsid w:val="00C25EA1"/>
    <w:rsid w:val="00C25EBA"/>
    <w:rsid w:val="00C26158"/>
    <w:rsid w:val="00C26181"/>
    <w:rsid w:val="00C26259"/>
    <w:rsid w:val="00C2642C"/>
    <w:rsid w:val="00C2663E"/>
    <w:rsid w:val="00C267A7"/>
    <w:rsid w:val="00C26915"/>
    <w:rsid w:val="00C269CE"/>
    <w:rsid w:val="00C26A5D"/>
    <w:rsid w:val="00C26B62"/>
    <w:rsid w:val="00C26B8E"/>
    <w:rsid w:val="00C26BF0"/>
    <w:rsid w:val="00C26C1F"/>
    <w:rsid w:val="00C26CF3"/>
    <w:rsid w:val="00C26DD4"/>
    <w:rsid w:val="00C26E19"/>
    <w:rsid w:val="00C26E64"/>
    <w:rsid w:val="00C26EEC"/>
    <w:rsid w:val="00C26FB6"/>
    <w:rsid w:val="00C27211"/>
    <w:rsid w:val="00C2730D"/>
    <w:rsid w:val="00C2739F"/>
    <w:rsid w:val="00C274B4"/>
    <w:rsid w:val="00C276BB"/>
    <w:rsid w:val="00C27807"/>
    <w:rsid w:val="00C27A45"/>
    <w:rsid w:val="00C27C5C"/>
    <w:rsid w:val="00C27C9E"/>
    <w:rsid w:val="00C27D9F"/>
    <w:rsid w:val="00C27EC8"/>
    <w:rsid w:val="00C3001C"/>
    <w:rsid w:val="00C3015C"/>
    <w:rsid w:val="00C303E4"/>
    <w:rsid w:val="00C30449"/>
    <w:rsid w:val="00C305B8"/>
    <w:rsid w:val="00C3067A"/>
    <w:rsid w:val="00C3081B"/>
    <w:rsid w:val="00C3099E"/>
    <w:rsid w:val="00C30A7B"/>
    <w:rsid w:val="00C30B39"/>
    <w:rsid w:val="00C30D41"/>
    <w:rsid w:val="00C30DDC"/>
    <w:rsid w:val="00C30E7B"/>
    <w:rsid w:val="00C30F6B"/>
    <w:rsid w:val="00C30FD8"/>
    <w:rsid w:val="00C31026"/>
    <w:rsid w:val="00C3106B"/>
    <w:rsid w:val="00C310F5"/>
    <w:rsid w:val="00C31178"/>
    <w:rsid w:val="00C312A4"/>
    <w:rsid w:val="00C31346"/>
    <w:rsid w:val="00C31358"/>
    <w:rsid w:val="00C3144C"/>
    <w:rsid w:val="00C31488"/>
    <w:rsid w:val="00C315CD"/>
    <w:rsid w:val="00C318D9"/>
    <w:rsid w:val="00C31ACF"/>
    <w:rsid w:val="00C31B14"/>
    <w:rsid w:val="00C31D10"/>
    <w:rsid w:val="00C31DFC"/>
    <w:rsid w:val="00C31EF7"/>
    <w:rsid w:val="00C31FD6"/>
    <w:rsid w:val="00C320F6"/>
    <w:rsid w:val="00C3211B"/>
    <w:rsid w:val="00C3222E"/>
    <w:rsid w:val="00C32237"/>
    <w:rsid w:val="00C32312"/>
    <w:rsid w:val="00C32332"/>
    <w:rsid w:val="00C323DC"/>
    <w:rsid w:val="00C32436"/>
    <w:rsid w:val="00C32562"/>
    <w:rsid w:val="00C325E2"/>
    <w:rsid w:val="00C32798"/>
    <w:rsid w:val="00C327B7"/>
    <w:rsid w:val="00C32A8D"/>
    <w:rsid w:val="00C32B93"/>
    <w:rsid w:val="00C32FDB"/>
    <w:rsid w:val="00C3307E"/>
    <w:rsid w:val="00C3321A"/>
    <w:rsid w:val="00C33259"/>
    <w:rsid w:val="00C332AC"/>
    <w:rsid w:val="00C33369"/>
    <w:rsid w:val="00C33462"/>
    <w:rsid w:val="00C33805"/>
    <w:rsid w:val="00C33845"/>
    <w:rsid w:val="00C33888"/>
    <w:rsid w:val="00C33916"/>
    <w:rsid w:val="00C33C32"/>
    <w:rsid w:val="00C33C8C"/>
    <w:rsid w:val="00C33C92"/>
    <w:rsid w:val="00C33DA6"/>
    <w:rsid w:val="00C33DA7"/>
    <w:rsid w:val="00C33E32"/>
    <w:rsid w:val="00C33E50"/>
    <w:rsid w:val="00C33EC4"/>
    <w:rsid w:val="00C33ED0"/>
    <w:rsid w:val="00C33EE1"/>
    <w:rsid w:val="00C33F27"/>
    <w:rsid w:val="00C34247"/>
    <w:rsid w:val="00C34388"/>
    <w:rsid w:val="00C343B3"/>
    <w:rsid w:val="00C343DA"/>
    <w:rsid w:val="00C34439"/>
    <w:rsid w:val="00C34488"/>
    <w:rsid w:val="00C345B0"/>
    <w:rsid w:val="00C346E2"/>
    <w:rsid w:val="00C34711"/>
    <w:rsid w:val="00C34733"/>
    <w:rsid w:val="00C348AE"/>
    <w:rsid w:val="00C348CB"/>
    <w:rsid w:val="00C349F4"/>
    <w:rsid w:val="00C34AD0"/>
    <w:rsid w:val="00C34DBD"/>
    <w:rsid w:val="00C34E27"/>
    <w:rsid w:val="00C34E67"/>
    <w:rsid w:val="00C34EA4"/>
    <w:rsid w:val="00C350A8"/>
    <w:rsid w:val="00C35382"/>
    <w:rsid w:val="00C35405"/>
    <w:rsid w:val="00C3542B"/>
    <w:rsid w:val="00C35631"/>
    <w:rsid w:val="00C3569B"/>
    <w:rsid w:val="00C357A7"/>
    <w:rsid w:val="00C35896"/>
    <w:rsid w:val="00C35CB9"/>
    <w:rsid w:val="00C35F70"/>
    <w:rsid w:val="00C35F99"/>
    <w:rsid w:val="00C361B5"/>
    <w:rsid w:val="00C362CF"/>
    <w:rsid w:val="00C36391"/>
    <w:rsid w:val="00C36497"/>
    <w:rsid w:val="00C364D0"/>
    <w:rsid w:val="00C36573"/>
    <w:rsid w:val="00C36608"/>
    <w:rsid w:val="00C366E5"/>
    <w:rsid w:val="00C36726"/>
    <w:rsid w:val="00C36733"/>
    <w:rsid w:val="00C3677B"/>
    <w:rsid w:val="00C368A2"/>
    <w:rsid w:val="00C36A3F"/>
    <w:rsid w:val="00C36A8F"/>
    <w:rsid w:val="00C36C60"/>
    <w:rsid w:val="00C36DDB"/>
    <w:rsid w:val="00C36DF3"/>
    <w:rsid w:val="00C36FF7"/>
    <w:rsid w:val="00C371A9"/>
    <w:rsid w:val="00C371AE"/>
    <w:rsid w:val="00C37218"/>
    <w:rsid w:val="00C37347"/>
    <w:rsid w:val="00C37371"/>
    <w:rsid w:val="00C37519"/>
    <w:rsid w:val="00C37566"/>
    <w:rsid w:val="00C3758B"/>
    <w:rsid w:val="00C375D8"/>
    <w:rsid w:val="00C376A7"/>
    <w:rsid w:val="00C376AB"/>
    <w:rsid w:val="00C3777D"/>
    <w:rsid w:val="00C377FA"/>
    <w:rsid w:val="00C3793C"/>
    <w:rsid w:val="00C37AFC"/>
    <w:rsid w:val="00C37B16"/>
    <w:rsid w:val="00C37C26"/>
    <w:rsid w:val="00C37CB0"/>
    <w:rsid w:val="00C37CB8"/>
    <w:rsid w:val="00C37DE6"/>
    <w:rsid w:val="00C37E74"/>
    <w:rsid w:val="00C40020"/>
    <w:rsid w:val="00C40244"/>
    <w:rsid w:val="00C404A2"/>
    <w:rsid w:val="00C40528"/>
    <w:rsid w:val="00C405AA"/>
    <w:rsid w:val="00C406EC"/>
    <w:rsid w:val="00C40710"/>
    <w:rsid w:val="00C408A9"/>
    <w:rsid w:val="00C40940"/>
    <w:rsid w:val="00C40B27"/>
    <w:rsid w:val="00C40BFE"/>
    <w:rsid w:val="00C40C0E"/>
    <w:rsid w:val="00C40EF9"/>
    <w:rsid w:val="00C40FF0"/>
    <w:rsid w:val="00C410C0"/>
    <w:rsid w:val="00C41123"/>
    <w:rsid w:val="00C41281"/>
    <w:rsid w:val="00C412C8"/>
    <w:rsid w:val="00C41394"/>
    <w:rsid w:val="00C4145F"/>
    <w:rsid w:val="00C41881"/>
    <w:rsid w:val="00C419D2"/>
    <w:rsid w:val="00C41AAA"/>
    <w:rsid w:val="00C41B44"/>
    <w:rsid w:val="00C41D1C"/>
    <w:rsid w:val="00C41D95"/>
    <w:rsid w:val="00C41F17"/>
    <w:rsid w:val="00C42114"/>
    <w:rsid w:val="00C42147"/>
    <w:rsid w:val="00C4232F"/>
    <w:rsid w:val="00C4234D"/>
    <w:rsid w:val="00C42430"/>
    <w:rsid w:val="00C424A8"/>
    <w:rsid w:val="00C424E9"/>
    <w:rsid w:val="00C42581"/>
    <w:rsid w:val="00C426DD"/>
    <w:rsid w:val="00C4274D"/>
    <w:rsid w:val="00C42895"/>
    <w:rsid w:val="00C428B4"/>
    <w:rsid w:val="00C42A60"/>
    <w:rsid w:val="00C42B01"/>
    <w:rsid w:val="00C42C19"/>
    <w:rsid w:val="00C42CF0"/>
    <w:rsid w:val="00C42DBF"/>
    <w:rsid w:val="00C42DCB"/>
    <w:rsid w:val="00C42DF6"/>
    <w:rsid w:val="00C43165"/>
    <w:rsid w:val="00C432AF"/>
    <w:rsid w:val="00C4345A"/>
    <w:rsid w:val="00C4347E"/>
    <w:rsid w:val="00C43732"/>
    <w:rsid w:val="00C43809"/>
    <w:rsid w:val="00C43815"/>
    <w:rsid w:val="00C43A8F"/>
    <w:rsid w:val="00C43A9C"/>
    <w:rsid w:val="00C43D19"/>
    <w:rsid w:val="00C43D42"/>
    <w:rsid w:val="00C4409F"/>
    <w:rsid w:val="00C440E6"/>
    <w:rsid w:val="00C441B6"/>
    <w:rsid w:val="00C442EC"/>
    <w:rsid w:val="00C4432E"/>
    <w:rsid w:val="00C44701"/>
    <w:rsid w:val="00C44734"/>
    <w:rsid w:val="00C448EC"/>
    <w:rsid w:val="00C4498F"/>
    <w:rsid w:val="00C449F3"/>
    <w:rsid w:val="00C44B52"/>
    <w:rsid w:val="00C44C85"/>
    <w:rsid w:val="00C44E59"/>
    <w:rsid w:val="00C44E9D"/>
    <w:rsid w:val="00C44F59"/>
    <w:rsid w:val="00C450B2"/>
    <w:rsid w:val="00C45161"/>
    <w:rsid w:val="00C453B7"/>
    <w:rsid w:val="00C45428"/>
    <w:rsid w:val="00C454D1"/>
    <w:rsid w:val="00C45690"/>
    <w:rsid w:val="00C457F9"/>
    <w:rsid w:val="00C45810"/>
    <w:rsid w:val="00C45B82"/>
    <w:rsid w:val="00C45B9D"/>
    <w:rsid w:val="00C45BE7"/>
    <w:rsid w:val="00C45BF0"/>
    <w:rsid w:val="00C45E1C"/>
    <w:rsid w:val="00C45E95"/>
    <w:rsid w:val="00C45EA1"/>
    <w:rsid w:val="00C45F14"/>
    <w:rsid w:val="00C460BE"/>
    <w:rsid w:val="00C461C7"/>
    <w:rsid w:val="00C4624D"/>
    <w:rsid w:val="00C463AB"/>
    <w:rsid w:val="00C4646B"/>
    <w:rsid w:val="00C46479"/>
    <w:rsid w:val="00C46682"/>
    <w:rsid w:val="00C466EA"/>
    <w:rsid w:val="00C46939"/>
    <w:rsid w:val="00C46946"/>
    <w:rsid w:val="00C46A58"/>
    <w:rsid w:val="00C46C4C"/>
    <w:rsid w:val="00C46C72"/>
    <w:rsid w:val="00C46DA2"/>
    <w:rsid w:val="00C46DAE"/>
    <w:rsid w:val="00C46E5D"/>
    <w:rsid w:val="00C46E90"/>
    <w:rsid w:val="00C46F0B"/>
    <w:rsid w:val="00C46F2B"/>
    <w:rsid w:val="00C4700B"/>
    <w:rsid w:val="00C4708E"/>
    <w:rsid w:val="00C47126"/>
    <w:rsid w:val="00C4722E"/>
    <w:rsid w:val="00C473A0"/>
    <w:rsid w:val="00C474A5"/>
    <w:rsid w:val="00C474C2"/>
    <w:rsid w:val="00C4763F"/>
    <w:rsid w:val="00C4779B"/>
    <w:rsid w:val="00C478C4"/>
    <w:rsid w:val="00C47A74"/>
    <w:rsid w:val="00C47B28"/>
    <w:rsid w:val="00C47B4F"/>
    <w:rsid w:val="00C47C44"/>
    <w:rsid w:val="00C47DBD"/>
    <w:rsid w:val="00C47DC6"/>
    <w:rsid w:val="00C47E56"/>
    <w:rsid w:val="00C47EDA"/>
    <w:rsid w:val="00C50271"/>
    <w:rsid w:val="00C5035E"/>
    <w:rsid w:val="00C504B1"/>
    <w:rsid w:val="00C504DA"/>
    <w:rsid w:val="00C5052F"/>
    <w:rsid w:val="00C5055F"/>
    <w:rsid w:val="00C50661"/>
    <w:rsid w:val="00C50678"/>
    <w:rsid w:val="00C50747"/>
    <w:rsid w:val="00C50B13"/>
    <w:rsid w:val="00C50BC9"/>
    <w:rsid w:val="00C50C1E"/>
    <w:rsid w:val="00C50D82"/>
    <w:rsid w:val="00C50F3B"/>
    <w:rsid w:val="00C50F55"/>
    <w:rsid w:val="00C50F8A"/>
    <w:rsid w:val="00C5105E"/>
    <w:rsid w:val="00C51079"/>
    <w:rsid w:val="00C51702"/>
    <w:rsid w:val="00C51784"/>
    <w:rsid w:val="00C5193D"/>
    <w:rsid w:val="00C51A09"/>
    <w:rsid w:val="00C51ACD"/>
    <w:rsid w:val="00C51B0B"/>
    <w:rsid w:val="00C51B55"/>
    <w:rsid w:val="00C51BA7"/>
    <w:rsid w:val="00C51BC6"/>
    <w:rsid w:val="00C51D25"/>
    <w:rsid w:val="00C51EFE"/>
    <w:rsid w:val="00C51F93"/>
    <w:rsid w:val="00C52156"/>
    <w:rsid w:val="00C523D7"/>
    <w:rsid w:val="00C52449"/>
    <w:rsid w:val="00C5245D"/>
    <w:rsid w:val="00C525DF"/>
    <w:rsid w:val="00C526C9"/>
    <w:rsid w:val="00C526D4"/>
    <w:rsid w:val="00C5278E"/>
    <w:rsid w:val="00C52839"/>
    <w:rsid w:val="00C5284A"/>
    <w:rsid w:val="00C528BD"/>
    <w:rsid w:val="00C529CC"/>
    <w:rsid w:val="00C52A41"/>
    <w:rsid w:val="00C52AD4"/>
    <w:rsid w:val="00C52CAE"/>
    <w:rsid w:val="00C52D91"/>
    <w:rsid w:val="00C52E25"/>
    <w:rsid w:val="00C52F54"/>
    <w:rsid w:val="00C530FA"/>
    <w:rsid w:val="00C532C7"/>
    <w:rsid w:val="00C533B9"/>
    <w:rsid w:val="00C53403"/>
    <w:rsid w:val="00C535DC"/>
    <w:rsid w:val="00C53703"/>
    <w:rsid w:val="00C5373C"/>
    <w:rsid w:val="00C53779"/>
    <w:rsid w:val="00C539A3"/>
    <w:rsid w:val="00C539DA"/>
    <w:rsid w:val="00C53A16"/>
    <w:rsid w:val="00C53ACE"/>
    <w:rsid w:val="00C53BED"/>
    <w:rsid w:val="00C53C8F"/>
    <w:rsid w:val="00C53D4E"/>
    <w:rsid w:val="00C53E01"/>
    <w:rsid w:val="00C53E71"/>
    <w:rsid w:val="00C53FA2"/>
    <w:rsid w:val="00C5405E"/>
    <w:rsid w:val="00C5412B"/>
    <w:rsid w:val="00C5420D"/>
    <w:rsid w:val="00C54211"/>
    <w:rsid w:val="00C5440C"/>
    <w:rsid w:val="00C5440D"/>
    <w:rsid w:val="00C5449B"/>
    <w:rsid w:val="00C54507"/>
    <w:rsid w:val="00C5454C"/>
    <w:rsid w:val="00C545B9"/>
    <w:rsid w:val="00C5473F"/>
    <w:rsid w:val="00C547FB"/>
    <w:rsid w:val="00C54876"/>
    <w:rsid w:val="00C54895"/>
    <w:rsid w:val="00C548F3"/>
    <w:rsid w:val="00C5493E"/>
    <w:rsid w:val="00C549BD"/>
    <w:rsid w:val="00C54AA3"/>
    <w:rsid w:val="00C54CA8"/>
    <w:rsid w:val="00C54F66"/>
    <w:rsid w:val="00C54FB2"/>
    <w:rsid w:val="00C550F4"/>
    <w:rsid w:val="00C5513D"/>
    <w:rsid w:val="00C5518F"/>
    <w:rsid w:val="00C552A4"/>
    <w:rsid w:val="00C5543A"/>
    <w:rsid w:val="00C55457"/>
    <w:rsid w:val="00C554C2"/>
    <w:rsid w:val="00C555F8"/>
    <w:rsid w:val="00C5565F"/>
    <w:rsid w:val="00C5568F"/>
    <w:rsid w:val="00C558A9"/>
    <w:rsid w:val="00C55954"/>
    <w:rsid w:val="00C559C9"/>
    <w:rsid w:val="00C55A7F"/>
    <w:rsid w:val="00C55AAF"/>
    <w:rsid w:val="00C55ADB"/>
    <w:rsid w:val="00C55B23"/>
    <w:rsid w:val="00C55C00"/>
    <w:rsid w:val="00C55C46"/>
    <w:rsid w:val="00C56104"/>
    <w:rsid w:val="00C5649C"/>
    <w:rsid w:val="00C564B1"/>
    <w:rsid w:val="00C56616"/>
    <w:rsid w:val="00C5663E"/>
    <w:rsid w:val="00C5664B"/>
    <w:rsid w:val="00C56738"/>
    <w:rsid w:val="00C56747"/>
    <w:rsid w:val="00C567AF"/>
    <w:rsid w:val="00C56984"/>
    <w:rsid w:val="00C56AF8"/>
    <w:rsid w:val="00C56D3A"/>
    <w:rsid w:val="00C56ECA"/>
    <w:rsid w:val="00C56F7E"/>
    <w:rsid w:val="00C56F8D"/>
    <w:rsid w:val="00C56FD1"/>
    <w:rsid w:val="00C5709E"/>
    <w:rsid w:val="00C5728C"/>
    <w:rsid w:val="00C5729A"/>
    <w:rsid w:val="00C57340"/>
    <w:rsid w:val="00C57404"/>
    <w:rsid w:val="00C5744D"/>
    <w:rsid w:val="00C574A0"/>
    <w:rsid w:val="00C5756A"/>
    <w:rsid w:val="00C575FA"/>
    <w:rsid w:val="00C57A1E"/>
    <w:rsid w:val="00C57CBD"/>
    <w:rsid w:val="00C57D2F"/>
    <w:rsid w:val="00C57E94"/>
    <w:rsid w:val="00C57EA4"/>
    <w:rsid w:val="00C60235"/>
    <w:rsid w:val="00C6032D"/>
    <w:rsid w:val="00C60334"/>
    <w:rsid w:val="00C603E8"/>
    <w:rsid w:val="00C6042E"/>
    <w:rsid w:val="00C60462"/>
    <w:rsid w:val="00C6068E"/>
    <w:rsid w:val="00C608CB"/>
    <w:rsid w:val="00C609B4"/>
    <w:rsid w:val="00C60A84"/>
    <w:rsid w:val="00C60AC0"/>
    <w:rsid w:val="00C60B62"/>
    <w:rsid w:val="00C60BFD"/>
    <w:rsid w:val="00C60D14"/>
    <w:rsid w:val="00C6110C"/>
    <w:rsid w:val="00C6115C"/>
    <w:rsid w:val="00C61254"/>
    <w:rsid w:val="00C613AC"/>
    <w:rsid w:val="00C6145E"/>
    <w:rsid w:val="00C6154C"/>
    <w:rsid w:val="00C616D0"/>
    <w:rsid w:val="00C61727"/>
    <w:rsid w:val="00C61740"/>
    <w:rsid w:val="00C617E5"/>
    <w:rsid w:val="00C617FA"/>
    <w:rsid w:val="00C619F9"/>
    <w:rsid w:val="00C61B74"/>
    <w:rsid w:val="00C61C0E"/>
    <w:rsid w:val="00C61C23"/>
    <w:rsid w:val="00C61C97"/>
    <w:rsid w:val="00C61CB4"/>
    <w:rsid w:val="00C61D5F"/>
    <w:rsid w:val="00C61DFC"/>
    <w:rsid w:val="00C61FAE"/>
    <w:rsid w:val="00C6216E"/>
    <w:rsid w:val="00C624A1"/>
    <w:rsid w:val="00C62666"/>
    <w:rsid w:val="00C626C1"/>
    <w:rsid w:val="00C6272D"/>
    <w:rsid w:val="00C62793"/>
    <w:rsid w:val="00C628C0"/>
    <w:rsid w:val="00C62953"/>
    <w:rsid w:val="00C62A28"/>
    <w:rsid w:val="00C62B87"/>
    <w:rsid w:val="00C62BA8"/>
    <w:rsid w:val="00C62EDC"/>
    <w:rsid w:val="00C62FF9"/>
    <w:rsid w:val="00C631C6"/>
    <w:rsid w:val="00C6321D"/>
    <w:rsid w:val="00C6339A"/>
    <w:rsid w:val="00C633E2"/>
    <w:rsid w:val="00C6342E"/>
    <w:rsid w:val="00C6345E"/>
    <w:rsid w:val="00C634F0"/>
    <w:rsid w:val="00C63793"/>
    <w:rsid w:val="00C63991"/>
    <w:rsid w:val="00C639D3"/>
    <w:rsid w:val="00C63B1C"/>
    <w:rsid w:val="00C63C9A"/>
    <w:rsid w:val="00C63CDE"/>
    <w:rsid w:val="00C63CE7"/>
    <w:rsid w:val="00C63E14"/>
    <w:rsid w:val="00C63E46"/>
    <w:rsid w:val="00C63E58"/>
    <w:rsid w:val="00C63E63"/>
    <w:rsid w:val="00C63E68"/>
    <w:rsid w:val="00C63E7B"/>
    <w:rsid w:val="00C63F05"/>
    <w:rsid w:val="00C63F13"/>
    <w:rsid w:val="00C640A4"/>
    <w:rsid w:val="00C640D1"/>
    <w:rsid w:val="00C64142"/>
    <w:rsid w:val="00C6429E"/>
    <w:rsid w:val="00C643EB"/>
    <w:rsid w:val="00C645A6"/>
    <w:rsid w:val="00C6461E"/>
    <w:rsid w:val="00C64627"/>
    <w:rsid w:val="00C647FA"/>
    <w:rsid w:val="00C647FF"/>
    <w:rsid w:val="00C648BB"/>
    <w:rsid w:val="00C648F7"/>
    <w:rsid w:val="00C649C2"/>
    <w:rsid w:val="00C64B83"/>
    <w:rsid w:val="00C64B85"/>
    <w:rsid w:val="00C64C05"/>
    <w:rsid w:val="00C64C2D"/>
    <w:rsid w:val="00C64C33"/>
    <w:rsid w:val="00C64C34"/>
    <w:rsid w:val="00C64D82"/>
    <w:rsid w:val="00C64DF9"/>
    <w:rsid w:val="00C65004"/>
    <w:rsid w:val="00C65192"/>
    <w:rsid w:val="00C652A2"/>
    <w:rsid w:val="00C653DF"/>
    <w:rsid w:val="00C65515"/>
    <w:rsid w:val="00C6554D"/>
    <w:rsid w:val="00C6569C"/>
    <w:rsid w:val="00C65753"/>
    <w:rsid w:val="00C65764"/>
    <w:rsid w:val="00C658A0"/>
    <w:rsid w:val="00C659A3"/>
    <w:rsid w:val="00C659E2"/>
    <w:rsid w:val="00C65A66"/>
    <w:rsid w:val="00C65AC8"/>
    <w:rsid w:val="00C65B39"/>
    <w:rsid w:val="00C65C27"/>
    <w:rsid w:val="00C65E5C"/>
    <w:rsid w:val="00C65E6C"/>
    <w:rsid w:val="00C65EDF"/>
    <w:rsid w:val="00C65FD3"/>
    <w:rsid w:val="00C66038"/>
    <w:rsid w:val="00C6619D"/>
    <w:rsid w:val="00C661B5"/>
    <w:rsid w:val="00C66214"/>
    <w:rsid w:val="00C66259"/>
    <w:rsid w:val="00C66301"/>
    <w:rsid w:val="00C664C1"/>
    <w:rsid w:val="00C664F8"/>
    <w:rsid w:val="00C6653F"/>
    <w:rsid w:val="00C66563"/>
    <w:rsid w:val="00C665E4"/>
    <w:rsid w:val="00C6667C"/>
    <w:rsid w:val="00C6668D"/>
    <w:rsid w:val="00C66791"/>
    <w:rsid w:val="00C66889"/>
    <w:rsid w:val="00C6689F"/>
    <w:rsid w:val="00C669EF"/>
    <w:rsid w:val="00C66A10"/>
    <w:rsid w:val="00C66A7A"/>
    <w:rsid w:val="00C66AF4"/>
    <w:rsid w:val="00C66AFE"/>
    <w:rsid w:val="00C67108"/>
    <w:rsid w:val="00C67155"/>
    <w:rsid w:val="00C6721F"/>
    <w:rsid w:val="00C67243"/>
    <w:rsid w:val="00C67429"/>
    <w:rsid w:val="00C679FE"/>
    <w:rsid w:val="00C67B67"/>
    <w:rsid w:val="00C67C1A"/>
    <w:rsid w:val="00C67CA5"/>
    <w:rsid w:val="00C67D07"/>
    <w:rsid w:val="00C67E22"/>
    <w:rsid w:val="00C67EFE"/>
    <w:rsid w:val="00C67F50"/>
    <w:rsid w:val="00C67FA3"/>
    <w:rsid w:val="00C7012F"/>
    <w:rsid w:val="00C702FC"/>
    <w:rsid w:val="00C706D1"/>
    <w:rsid w:val="00C706F4"/>
    <w:rsid w:val="00C707AC"/>
    <w:rsid w:val="00C70883"/>
    <w:rsid w:val="00C709E8"/>
    <w:rsid w:val="00C70AAE"/>
    <w:rsid w:val="00C70B12"/>
    <w:rsid w:val="00C70B49"/>
    <w:rsid w:val="00C70BE9"/>
    <w:rsid w:val="00C70CE5"/>
    <w:rsid w:val="00C70D58"/>
    <w:rsid w:val="00C70E1B"/>
    <w:rsid w:val="00C70E79"/>
    <w:rsid w:val="00C713C4"/>
    <w:rsid w:val="00C713CD"/>
    <w:rsid w:val="00C713E5"/>
    <w:rsid w:val="00C7155A"/>
    <w:rsid w:val="00C716CA"/>
    <w:rsid w:val="00C716D0"/>
    <w:rsid w:val="00C7176A"/>
    <w:rsid w:val="00C717A3"/>
    <w:rsid w:val="00C717C2"/>
    <w:rsid w:val="00C71922"/>
    <w:rsid w:val="00C719F5"/>
    <w:rsid w:val="00C71A3E"/>
    <w:rsid w:val="00C71A64"/>
    <w:rsid w:val="00C71C18"/>
    <w:rsid w:val="00C71C60"/>
    <w:rsid w:val="00C71CAD"/>
    <w:rsid w:val="00C71CB0"/>
    <w:rsid w:val="00C71D5D"/>
    <w:rsid w:val="00C71DCB"/>
    <w:rsid w:val="00C71E19"/>
    <w:rsid w:val="00C71E62"/>
    <w:rsid w:val="00C72032"/>
    <w:rsid w:val="00C7205F"/>
    <w:rsid w:val="00C721A8"/>
    <w:rsid w:val="00C724D2"/>
    <w:rsid w:val="00C72572"/>
    <w:rsid w:val="00C725E7"/>
    <w:rsid w:val="00C726EA"/>
    <w:rsid w:val="00C7299E"/>
    <w:rsid w:val="00C729B9"/>
    <w:rsid w:val="00C729DD"/>
    <w:rsid w:val="00C72B2F"/>
    <w:rsid w:val="00C72BA4"/>
    <w:rsid w:val="00C72D03"/>
    <w:rsid w:val="00C72D0B"/>
    <w:rsid w:val="00C72E86"/>
    <w:rsid w:val="00C72F5B"/>
    <w:rsid w:val="00C72F97"/>
    <w:rsid w:val="00C7301B"/>
    <w:rsid w:val="00C730B4"/>
    <w:rsid w:val="00C7326E"/>
    <w:rsid w:val="00C73385"/>
    <w:rsid w:val="00C734CE"/>
    <w:rsid w:val="00C734F1"/>
    <w:rsid w:val="00C73613"/>
    <w:rsid w:val="00C73701"/>
    <w:rsid w:val="00C73C64"/>
    <w:rsid w:val="00C73CA6"/>
    <w:rsid w:val="00C73CFE"/>
    <w:rsid w:val="00C73D62"/>
    <w:rsid w:val="00C73EBE"/>
    <w:rsid w:val="00C73FAE"/>
    <w:rsid w:val="00C73FEF"/>
    <w:rsid w:val="00C74223"/>
    <w:rsid w:val="00C743A3"/>
    <w:rsid w:val="00C743AB"/>
    <w:rsid w:val="00C74534"/>
    <w:rsid w:val="00C746A5"/>
    <w:rsid w:val="00C7471B"/>
    <w:rsid w:val="00C74743"/>
    <w:rsid w:val="00C747BE"/>
    <w:rsid w:val="00C74864"/>
    <w:rsid w:val="00C7491A"/>
    <w:rsid w:val="00C7491C"/>
    <w:rsid w:val="00C749A8"/>
    <w:rsid w:val="00C74A37"/>
    <w:rsid w:val="00C74AC2"/>
    <w:rsid w:val="00C74B51"/>
    <w:rsid w:val="00C74BBB"/>
    <w:rsid w:val="00C74C39"/>
    <w:rsid w:val="00C74C7F"/>
    <w:rsid w:val="00C74C97"/>
    <w:rsid w:val="00C74CC9"/>
    <w:rsid w:val="00C74CDD"/>
    <w:rsid w:val="00C74E94"/>
    <w:rsid w:val="00C74F77"/>
    <w:rsid w:val="00C74F84"/>
    <w:rsid w:val="00C751BE"/>
    <w:rsid w:val="00C75532"/>
    <w:rsid w:val="00C755FA"/>
    <w:rsid w:val="00C75646"/>
    <w:rsid w:val="00C756F8"/>
    <w:rsid w:val="00C75793"/>
    <w:rsid w:val="00C757F7"/>
    <w:rsid w:val="00C7592E"/>
    <w:rsid w:val="00C75A16"/>
    <w:rsid w:val="00C75A2A"/>
    <w:rsid w:val="00C75AD3"/>
    <w:rsid w:val="00C75D45"/>
    <w:rsid w:val="00C75D60"/>
    <w:rsid w:val="00C75D62"/>
    <w:rsid w:val="00C75DF7"/>
    <w:rsid w:val="00C75E9F"/>
    <w:rsid w:val="00C75F01"/>
    <w:rsid w:val="00C75F04"/>
    <w:rsid w:val="00C75F9D"/>
    <w:rsid w:val="00C76012"/>
    <w:rsid w:val="00C760CE"/>
    <w:rsid w:val="00C76226"/>
    <w:rsid w:val="00C762D0"/>
    <w:rsid w:val="00C76302"/>
    <w:rsid w:val="00C764B4"/>
    <w:rsid w:val="00C76694"/>
    <w:rsid w:val="00C76700"/>
    <w:rsid w:val="00C7693B"/>
    <w:rsid w:val="00C76A78"/>
    <w:rsid w:val="00C76ADE"/>
    <w:rsid w:val="00C76C88"/>
    <w:rsid w:val="00C76CDE"/>
    <w:rsid w:val="00C76F3A"/>
    <w:rsid w:val="00C7713B"/>
    <w:rsid w:val="00C77151"/>
    <w:rsid w:val="00C7726F"/>
    <w:rsid w:val="00C7727E"/>
    <w:rsid w:val="00C7735D"/>
    <w:rsid w:val="00C774D2"/>
    <w:rsid w:val="00C774F5"/>
    <w:rsid w:val="00C77502"/>
    <w:rsid w:val="00C77589"/>
    <w:rsid w:val="00C7767C"/>
    <w:rsid w:val="00C776F5"/>
    <w:rsid w:val="00C7777C"/>
    <w:rsid w:val="00C77864"/>
    <w:rsid w:val="00C778AD"/>
    <w:rsid w:val="00C7791C"/>
    <w:rsid w:val="00C779CC"/>
    <w:rsid w:val="00C77CF6"/>
    <w:rsid w:val="00C77DBF"/>
    <w:rsid w:val="00C8001D"/>
    <w:rsid w:val="00C80060"/>
    <w:rsid w:val="00C800F2"/>
    <w:rsid w:val="00C800FF"/>
    <w:rsid w:val="00C80281"/>
    <w:rsid w:val="00C803E7"/>
    <w:rsid w:val="00C80733"/>
    <w:rsid w:val="00C80796"/>
    <w:rsid w:val="00C807D5"/>
    <w:rsid w:val="00C807DC"/>
    <w:rsid w:val="00C80826"/>
    <w:rsid w:val="00C809D7"/>
    <w:rsid w:val="00C80AB6"/>
    <w:rsid w:val="00C80D3A"/>
    <w:rsid w:val="00C80EA4"/>
    <w:rsid w:val="00C81142"/>
    <w:rsid w:val="00C81224"/>
    <w:rsid w:val="00C8143E"/>
    <w:rsid w:val="00C81477"/>
    <w:rsid w:val="00C817D4"/>
    <w:rsid w:val="00C817F8"/>
    <w:rsid w:val="00C81843"/>
    <w:rsid w:val="00C818A5"/>
    <w:rsid w:val="00C818D5"/>
    <w:rsid w:val="00C81927"/>
    <w:rsid w:val="00C81954"/>
    <w:rsid w:val="00C81961"/>
    <w:rsid w:val="00C81A23"/>
    <w:rsid w:val="00C81A54"/>
    <w:rsid w:val="00C81CA3"/>
    <w:rsid w:val="00C81D29"/>
    <w:rsid w:val="00C81DCB"/>
    <w:rsid w:val="00C81E6A"/>
    <w:rsid w:val="00C81FC7"/>
    <w:rsid w:val="00C82057"/>
    <w:rsid w:val="00C820F3"/>
    <w:rsid w:val="00C82121"/>
    <w:rsid w:val="00C8213C"/>
    <w:rsid w:val="00C8214C"/>
    <w:rsid w:val="00C823E9"/>
    <w:rsid w:val="00C8240B"/>
    <w:rsid w:val="00C824F2"/>
    <w:rsid w:val="00C82507"/>
    <w:rsid w:val="00C82604"/>
    <w:rsid w:val="00C8281B"/>
    <w:rsid w:val="00C82949"/>
    <w:rsid w:val="00C82954"/>
    <w:rsid w:val="00C829A5"/>
    <w:rsid w:val="00C82A00"/>
    <w:rsid w:val="00C82AFC"/>
    <w:rsid w:val="00C82F37"/>
    <w:rsid w:val="00C82F6C"/>
    <w:rsid w:val="00C82FBB"/>
    <w:rsid w:val="00C8307E"/>
    <w:rsid w:val="00C83127"/>
    <w:rsid w:val="00C83150"/>
    <w:rsid w:val="00C83206"/>
    <w:rsid w:val="00C83331"/>
    <w:rsid w:val="00C833D7"/>
    <w:rsid w:val="00C83651"/>
    <w:rsid w:val="00C83677"/>
    <w:rsid w:val="00C8370C"/>
    <w:rsid w:val="00C837B7"/>
    <w:rsid w:val="00C83862"/>
    <w:rsid w:val="00C83A0E"/>
    <w:rsid w:val="00C83A58"/>
    <w:rsid w:val="00C83ACB"/>
    <w:rsid w:val="00C83CF5"/>
    <w:rsid w:val="00C83ED3"/>
    <w:rsid w:val="00C83FAF"/>
    <w:rsid w:val="00C84031"/>
    <w:rsid w:val="00C840A9"/>
    <w:rsid w:val="00C841ED"/>
    <w:rsid w:val="00C842B3"/>
    <w:rsid w:val="00C84374"/>
    <w:rsid w:val="00C84628"/>
    <w:rsid w:val="00C847BB"/>
    <w:rsid w:val="00C84823"/>
    <w:rsid w:val="00C8486D"/>
    <w:rsid w:val="00C84966"/>
    <w:rsid w:val="00C84B78"/>
    <w:rsid w:val="00C84C12"/>
    <w:rsid w:val="00C84C5D"/>
    <w:rsid w:val="00C84C8F"/>
    <w:rsid w:val="00C84D69"/>
    <w:rsid w:val="00C85030"/>
    <w:rsid w:val="00C85114"/>
    <w:rsid w:val="00C853C0"/>
    <w:rsid w:val="00C85401"/>
    <w:rsid w:val="00C85441"/>
    <w:rsid w:val="00C85664"/>
    <w:rsid w:val="00C85815"/>
    <w:rsid w:val="00C85840"/>
    <w:rsid w:val="00C8598E"/>
    <w:rsid w:val="00C85D26"/>
    <w:rsid w:val="00C85DE9"/>
    <w:rsid w:val="00C85EC1"/>
    <w:rsid w:val="00C85F3A"/>
    <w:rsid w:val="00C85FD9"/>
    <w:rsid w:val="00C860C9"/>
    <w:rsid w:val="00C860F8"/>
    <w:rsid w:val="00C862B6"/>
    <w:rsid w:val="00C863BB"/>
    <w:rsid w:val="00C8640F"/>
    <w:rsid w:val="00C86750"/>
    <w:rsid w:val="00C86799"/>
    <w:rsid w:val="00C86820"/>
    <w:rsid w:val="00C86824"/>
    <w:rsid w:val="00C86ADB"/>
    <w:rsid w:val="00C86BE0"/>
    <w:rsid w:val="00C86C35"/>
    <w:rsid w:val="00C86DA5"/>
    <w:rsid w:val="00C86E6B"/>
    <w:rsid w:val="00C86E92"/>
    <w:rsid w:val="00C86FA9"/>
    <w:rsid w:val="00C86FF8"/>
    <w:rsid w:val="00C87082"/>
    <w:rsid w:val="00C8739E"/>
    <w:rsid w:val="00C87685"/>
    <w:rsid w:val="00C87748"/>
    <w:rsid w:val="00C87AF2"/>
    <w:rsid w:val="00C87C17"/>
    <w:rsid w:val="00C87CF6"/>
    <w:rsid w:val="00C87DD5"/>
    <w:rsid w:val="00C900A2"/>
    <w:rsid w:val="00C900CF"/>
    <w:rsid w:val="00C9015B"/>
    <w:rsid w:val="00C9016B"/>
    <w:rsid w:val="00C90203"/>
    <w:rsid w:val="00C90224"/>
    <w:rsid w:val="00C902EB"/>
    <w:rsid w:val="00C905D6"/>
    <w:rsid w:val="00C9064E"/>
    <w:rsid w:val="00C90A07"/>
    <w:rsid w:val="00C90B03"/>
    <w:rsid w:val="00C90C43"/>
    <w:rsid w:val="00C90C7E"/>
    <w:rsid w:val="00C90CE1"/>
    <w:rsid w:val="00C90D24"/>
    <w:rsid w:val="00C90D2A"/>
    <w:rsid w:val="00C90D67"/>
    <w:rsid w:val="00C90DCC"/>
    <w:rsid w:val="00C90EC7"/>
    <w:rsid w:val="00C90F3D"/>
    <w:rsid w:val="00C91012"/>
    <w:rsid w:val="00C91084"/>
    <w:rsid w:val="00C910C4"/>
    <w:rsid w:val="00C9112E"/>
    <w:rsid w:val="00C911E5"/>
    <w:rsid w:val="00C911FC"/>
    <w:rsid w:val="00C912A4"/>
    <w:rsid w:val="00C91355"/>
    <w:rsid w:val="00C9156C"/>
    <w:rsid w:val="00C9166B"/>
    <w:rsid w:val="00C91691"/>
    <w:rsid w:val="00C9174C"/>
    <w:rsid w:val="00C91768"/>
    <w:rsid w:val="00C91826"/>
    <w:rsid w:val="00C91887"/>
    <w:rsid w:val="00C91918"/>
    <w:rsid w:val="00C919C6"/>
    <w:rsid w:val="00C91A49"/>
    <w:rsid w:val="00C91ACB"/>
    <w:rsid w:val="00C91B29"/>
    <w:rsid w:val="00C91C35"/>
    <w:rsid w:val="00C91DB5"/>
    <w:rsid w:val="00C91F5B"/>
    <w:rsid w:val="00C91F7D"/>
    <w:rsid w:val="00C91FE5"/>
    <w:rsid w:val="00C92011"/>
    <w:rsid w:val="00C92418"/>
    <w:rsid w:val="00C92478"/>
    <w:rsid w:val="00C924A1"/>
    <w:rsid w:val="00C924EC"/>
    <w:rsid w:val="00C9253F"/>
    <w:rsid w:val="00C92585"/>
    <w:rsid w:val="00C925A8"/>
    <w:rsid w:val="00C9262F"/>
    <w:rsid w:val="00C92767"/>
    <w:rsid w:val="00C92887"/>
    <w:rsid w:val="00C9295B"/>
    <w:rsid w:val="00C92B4A"/>
    <w:rsid w:val="00C92C16"/>
    <w:rsid w:val="00C92D6D"/>
    <w:rsid w:val="00C92DB6"/>
    <w:rsid w:val="00C92DFF"/>
    <w:rsid w:val="00C930D2"/>
    <w:rsid w:val="00C931E2"/>
    <w:rsid w:val="00C93397"/>
    <w:rsid w:val="00C934C9"/>
    <w:rsid w:val="00C93545"/>
    <w:rsid w:val="00C936D3"/>
    <w:rsid w:val="00C937A2"/>
    <w:rsid w:val="00C937EC"/>
    <w:rsid w:val="00C93858"/>
    <w:rsid w:val="00C938BC"/>
    <w:rsid w:val="00C938E5"/>
    <w:rsid w:val="00C938FB"/>
    <w:rsid w:val="00C9391B"/>
    <w:rsid w:val="00C93A8F"/>
    <w:rsid w:val="00C93B82"/>
    <w:rsid w:val="00C93BA3"/>
    <w:rsid w:val="00C93C0E"/>
    <w:rsid w:val="00C93CF6"/>
    <w:rsid w:val="00C93D2F"/>
    <w:rsid w:val="00C93DAE"/>
    <w:rsid w:val="00C93DBE"/>
    <w:rsid w:val="00C93EA7"/>
    <w:rsid w:val="00C93FA5"/>
    <w:rsid w:val="00C93FD8"/>
    <w:rsid w:val="00C9413D"/>
    <w:rsid w:val="00C941DC"/>
    <w:rsid w:val="00C94232"/>
    <w:rsid w:val="00C943E2"/>
    <w:rsid w:val="00C94421"/>
    <w:rsid w:val="00C94471"/>
    <w:rsid w:val="00C94499"/>
    <w:rsid w:val="00C944F2"/>
    <w:rsid w:val="00C9467F"/>
    <w:rsid w:val="00C94716"/>
    <w:rsid w:val="00C94831"/>
    <w:rsid w:val="00C949F1"/>
    <w:rsid w:val="00C94A0A"/>
    <w:rsid w:val="00C94A0D"/>
    <w:rsid w:val="00C94A64"/>
    <w:rsid w:val="00C94B7C"/>
    <w:rsid w:val="00C94C06"/>
    <w:rsid w:val="00C94C39"/>
    <w:rsid w:val="00C94C9F"/>
    <w:rsid w:val="00C94E1A"/>
    <w:rsid w:val="00C94E3D"/>
    <w:rsid w:val="00C94EDC"/>
    <w:rsid w:val="00C94F26"/>
    <w:rsid w:val="00C94FD4"/>
    <w:rsid w:val="00C94FED"/>
    <w:rsid w:val="00C95004"/>
    <w:rsid w:val="00C9511A"/>
    <w:rsid w:val="00C95163"/>
    <w:rsid w:val="00C95329"/>
    <w:rsid w:val="00C955A9"/>
    <w:rsid w:val="00C956A3"/>
    <w:rsid w:val="00C95B10"/>
    <w:rsid w:val="00C95D35"/>
    <w:rsid w:val="00C95DCF"/>
    <w:rsid w:val="00C95DE4"/>
    <w:rsid w:val="00C95E4B"/>
    <w:rsid w:val="00C95F59"/>
    <w:rsid w:val="00C95F82"/>
    <w:rsid w:val="00C960E8"/>
    <w:rsid w:val="00C96100"/>
    <w:rsid w:val="00C96151"/>
    <w:rsid w:val="00C962D9"/>
    <w:rsid w:val="00C96418"/>
    <w:rsid w:val="00C9643D"/>
    <w:rsid w:val="00C965D1"/>
    <w:rsid w:val="00C966F1"/>
    <w:rsid w:val="00C96795"/>
    <w:rsid w:val="00C967FB"/>
    <w:rsid w:val="00C9698C"/>
    <w:rsid w:val="00C969E1"/>
    <w:rsid w:val="00C96D94"/>
    <w:rsid w:val="00C96DD5"/>
    <w:rsid w:val="00C96E17"/>
    <w:rsid w:val="00C96E91"/>
    <w:rsid w:val="00C97231"/>
    <w:rsid w:val="00C9728A"/>
    <w:rsid w:val="00C97603"/>
    <w:rsid w:val="00C976AE"/>
    <w:rsid w:val="00C97AF0"/>
    <w:rsid w:val="00C97D74"/>
    <w:rsid w:val="00C97DC5"/>
    <w:rsid w:val="00C97E8D"/>
    <w:rsid w:val="00C97F8E"/>
    <w:rsid w:val="00C97FB0"/>
    <w:rsid w:val="00CA01EE"/>
    <w:rsid w:val="00CA027F"/>
    <w:rsid w:val="00CA02D6"/>
    <w:rsid w:val="00CA044B"/>
    <w:rsid w:val="00CA04FC"/>
    <w:rsid w:val="00CA0553"/>
    <w:rsid w:val="00CA0557"/>
    <w:rsid w:val="00CA072A"/>
    <w:rsid w:val="00CA08C5"/>
    <w:rsid w:val="00CA097B"/>
    <w:rsid w:val="00CA0A73"/>
    <w:rsid w:val="00CA0B76"/>
    <w:rsid w:val="00CA0BEC"/>
    <w:rsid w:val="00CA0C00"/>
    <w:rsid w:val="00CA0CC3"/>
    <w:rsid w:val="00CA0CD9"/>
    <w:rsid w:val="00CA0D30"/>
    <w:rsid w:val="00CA0EF6"/>
    <w:rsid w:val="00CA114A"/>
    <w:rsid w:val="00CA1197"/>
    <w:rsid w:val="00CA12B4"/>
    <w:rsid w:val="00CA1319"/>
    <w:rsid w:val="00CA13D6"/>
    <w:rsid w:val="00CA140D"/>
    <w:rsid w:val="00CA141A"/>
    <w:rsid w:val="00CA1566"/>
    <w:rsid w:val="00CA17AF"/>
    <w:rsid w:val="00CA17C8"/>
    <w:rsid w:val="00CA1830"/>
    <w:rsid w:val="00CA19B6"/>
    <w:rsid w:val="00CA1C80"/>
    <w:rsid w:val="00CA20BF"/>
    <w:rsid w:val="00CA20CA"/>
    <w:rsid w:val="00CA2127"/>
    <w:rsid w:val="00CA2274"/>
    <w:rsid w:val="00CA2381"/>
    <w:rsid w:val="00CA23BE"/>
    <w:rsid w:val="00CA23C3"/>
    <w:rsid w:val="00CA23D3"/>
    <w:rsid w:val="00CA242A"/>
    <w:rsid w:val="00CA24B5"/>
    <w:rsid w:val="00CA2732"/>
    <w:rsid w:val="00CA27ED"/>
    <w:rsid w:val="00CA2803"/>
    <w:rsid w:val="00CA28CB"/>
    <w:rsid w:val="00CA294E"/>
    <w:rsid w:val="00CA2981"/>
    <w:rsid w:val="00CA29E9"/>
    <w:rsid w:val="00CA2B7C"/>
    <w:rsid w:val="00CA2D2E"/>
    <w:rsid w:val="00CA2EE3"/>
    <w:rsid w:val="00CA2F24"/>
    <w:rsid w:val="00CA316B"/>
    <w:rsid w:val="00CA31A4"/>
    <w:rsid w:val="00CA320D"/>
    <w:rsid w:val="00CA3333"/>
    <w:rsid w:val="00CA34AF"/>
    <w:rsid w:val="00CA34E7"/>
    <w:rsid w:val="00CA361A"/>
    <w:rsid w:val="00CA366D"/>
    <w:rsid w:val="00CA3743"/>
    <w:rsid w:val="00CA3774"/>
    <w:rsid w:val="00CA37AA"/>
    <w:rsid w:val="00CA38DE"/>
    <w:rsid w:val="00CA3A76"/>
    <w:rsid w:val="00CA3B81"/>
    <w:rsid w:val="00CA3C74"/>
    <w:rsid w:val="00CA3CBC"/>
    <w:rsid w:val="00CA3CD3"/>
    <w:rsid w:val="00CA3DAD"/>
    <w:rsid w:val="00CA3E9F"/>
    <w:rsid w:val="00CA3F4E"/>
    <w:rsid w:val="00CA3F76"/>
    <w:rsid w:val="00CA414C"/>
    <w:rsid w:val="00CA417A"/>
    <w:rsid w:val="00CA427E"/>
    <w:rsid w:val="00CA443F"/>
    <w:rsid w:val="00CA44D5"/>
    <w:rsid w:val="00CA44D9"/>
    <w:rsid w:val="00CA452C"/>
    <w:rsid w:val="00CA4572"/>
    <w:rsid w:val="00CA4688"/>
    <w:rsid w:val="00CA46BA"/>
    <w:rsid w:val="00CA470F"/>
    <w:rsid w:val="00CA472C"/>
    <w:rsid w:val="00CA4795"/>
    <w:rsid w:val="00CA4A10"/>
    <w:rsid w:val="00CA4A4F"/>
    <w:rsid w:val="00CA4BB9"/>
    <w:rsid w:val="00CA4BEC"/>
    <w:rsid w:val="00CA4D1A"/>
    <w:rsid w:val="00CA4DAE"/>
    <w:rsid w:val="00CA4FE1"/>
    <w:rsid w:val="00CA512D"/>
    <w:rsid w:val="00CA51DA"/>
    <w:rsid w:val="00CA526C"/>
    <w:rsid w:val="00CA52FA"/>
    <w:rsid w:val="00CA5392"/>
    <w:rsid w:val="00CA544F"/>
    <w:rsid w:val="00CA5537"/>
    <w:rsid w:val="00CA5762"/>
    <w:rsid w:val="00CA57F7"/>
    <w:rsid w:val="00CA5858"/>
    <w:rsid w:val="00CA5D2C"/>
    <w:rsid w:val="00CA5F1E"/>
    <w:rsid w:val="00CA5F5C"/>
    <w:rsid w:val="00CA6461"/>
    <w:rsid w:val="00CA64D6"/>
    <w:rsid w:val="00CA6532"/>
    <w:rsid w:val="00CA65A6"/>
    <w:rsid w:val="00CA6616"/>
    <w:rsid w:val="00CA6670"/>
    <w:rsid w:val="00CA669D"/>
    <w:rsid w:val="00CA6AC6"/>
    <w:rsid w:val="00CA6B99"/>
    <w:rsid w:val="00CA6C43"/>
    <w:rsid w:val="00CA6D57"/>
    <w:rsid w:val="00CA6DAF"/>
    <w:rsid w:val="00CA6EAF"/>
    <w:rsid w:val="00CA70FA"/>
    <w:rsid w:val="00CA712A"/>
    <w:rsid w:val="00CA7237"/>
    <w:rsid w:val="00CA7248"/>
    <w:rsid w:val="00CA72D6"/>
    <w:rsid w:val="00CA7453"/>
    <w:rsid w:val="00CA7476"/>
    <w:rsid w:val="00CA77C9"/>
    <w:rsid w:val="00CA781E"/>
    <w:rsid w:val="00CA7908"/>
    <w:rsid w:val="00CA7B29"/>
    <w:rsid w:val="00CA7C25"/>
    <w:rsid w:val="00CA7C82"/>
    <w:rsid w:val="00CA7E50"/>
    <w:rsid w:val="00CB01D8"/>
    <w:rsid w:val="00CB02B4"/>
    <w:rsid w:val="00CB0419"/>
    <w:rsid w:val="00CB042A"/>
    <w:rsid w:val="00CB0477"/>
    <w:rsid w:val="00CB04FA"/>
    <w:rsid w:val="00CB069F"/>
    <w:rsid w:val="00CB06B0"/>
    <w:rsid w:val="00CB0854"/>
    <w:rsid w:val="00CB08AB"/>
    <w:rsid w:val="00CB08E7"/>
    <w:rsid w:val="00CB0A39"/>
    <w:rsid w:val="00CB0B73"/>
    <w:rsid w:val="00CB0B9E"/>
    <w:rsid w:val="00CB0CA6"/>
    <w:rsid w:val="00CB0E11"/>
    <w:rsid w:val="00CB0E3E"/>
    <w:rsid w:val="00CB0E51"/>
    <w:rsid w:val="00CB0EA2"/>
    <w:rsid w:val="00CB0F15"/>
    <w:rsid w:val="00CB0FEC"/>
    <w:rsid w:val="00CB10F5"/>
    <w:rsid w:val="00CB1329"/>
    <w:rsid w:val="00CB1353"/>
    <w:rsid w:val="00CB13C1"/>
    <w:rsid w:val="00CB1408"/>
    <w:rsid w:val="00CB1617"/>
    <w:rsid w:val="00CB18B5"/>
    <w:rsid w:val="00CB18D3"/>
    <w:rsid w:val="00CB1945"/>
    <w:rsid w:val="00CB1996"/>
    <w:rsid w:val="00CB19EE"/>
    <w:rsid w:val="00CB1A19"/>
    <w:rsid w:val="00CB1C00"/>
    <w:rsid w:val="00CB1C7F"/>
    <w:rsid w:val="00CB1CD6"/>
    <w:rsid w:val="00CB1DC0"/>
    <w:rsid w:val="00CB1EC3"/>
    <w:rsid w:val="00CB1F26"/>
    <w:rsid w:val="00CB1F69"/>
    <w:rsid w:val="00CB1FF3"/>
    <w:rsid w:val="00CB1FFB"/>
    <w:rsid w:val="00CB2055"/>
    <w:rsid w:val="00CB207D"/>
    <w:rsid w:val="00CB208A"/>
    <w:rsid w:val="00CB2223"/>
    <w:rsid w:val="00CB225D"/>
    <w:rsid w:val="00CB238E"/>
    <w:rsid w:val="00CB2497"/>
    <w:rsid w:val="00CB260E"/>
    <w:rsid w:val="00CB26A4"/>
    <w:rsid w:val="00CB274A"/>
    <w:rsid w:val="00CB27A5"/>
    <w:rsid w:val="00CB284E"/>
    <w:rsid w:val="00CB2998"/>
    <w:rsid w:val="00CB2A0C"/>
    <w:rsid w:val="00CB2A56"/>
    <w:rsid w:val="00CB2A9D"/>
    <w:rsid w:val="00CB2B11"/>
    <w:rsid w:val="00CB2B94"/>
    <w:rsid w:val="00CB2BA4"/>
    <w:rsid w:val="00CB2CA8"/>
    <w:rsid w:val="00CB2D0E"/>
    <w:rsid w:val="00CB2DAC"/>
    <w:rsid w:val="00CB2E13"/>
    <w:rsid w:val="00CB2F6E"/>
    <w:rsid w:val="00CB2FDC"/>
    <w:rsid w:val="00CB31AC"/>
    <w:rsid w:val="00CB31C7"/>
    <w:rsid w:val="00CB3347"/>
    <w:rsid w:val="00CB3508"/>
    <w:rsid w:val="00CB3736"/>
    <w:rsid w:val="00CB37CA"/>
    <w:rsid w:val="00CB38C4"/>
    <w:rsid w:val="00CB3A60"/>
    <w:rsid w:val="00CB3A90"/>
    <w:rsid w:val="00CB3B43"/>
    <w:rsid w:val="00CB3BD1"/>
    <w:rsid w:val="00CB3C94"/>
    <w:rsid w:val="00CB3DD0"/>
    <w:rsid w:val="00CB406F"/>
    <w:rsid w:val="00CB408F"/>
    <w:rsid w:val="00CB41AB"/>
    <w:rsid w:val="00CB4414"/>
    <w:rsid w:val="00CB4499"/>
    <w:rsid w:val="00CB44DC"/>
    <w:rsid w:val="00CB4557"/>
    <w:rsid w:val="00CB458A"/>
    <w:rsid w:val="00CB45C0"/>
    <w:rsid w:val="00CB468B"/>
    <w:rsid w:val="00CB4783"/>
    <w:rsid w:val="00CB479F"/>
    <w:rsid w:val="00CB47F1"/>
    <w:rsid w:val="00CB481B"/>
    <w:rsid w:val="00CB486E"/>
    <w:rsid w:val="00CB4968"/>
    <w:rsid w:val="00CB4973"/>
    <w:rsid w:val="00CB4A25"/>
    <w:rsid w:val="00CB4BCE"/>
    <w:rsid w:val="00CB4C98"/>
    <w:rsid w:val="00CB4CB8"/>
    <w:rsid w:val="00CB4D74"/>
    <w:rsid w:val="00CB4DF7"/>
    <w:rsid w:val="00CB4F32"/>
    <w:rsid w:val="00CB4FD8"/>
    <w:rsid w:val="00CB5168"/>
    <w:rsid w:val="00CB51CB"/>
    <w:rsid w:val="00CB51EA"/>
    <w:rsid w:val="00CB5643"/>
    <w:rsid w:val="00CB564A"/>
    <w:rsid w:val="00CB5766"/>
    <w:rsid w:val="00CB5799"/>
    <w:rsid w:val="00CB57B7"/>
    <w:rsid w:val="00CB57C1"/>
    <w:rsid w:val="00CB5827"/>
    <w:rsid w:val="00CB58A8"/>
    <w:rsid w:val="00CB58E4"/>
    <w:rsid w:val="00CB5942"/>
    <w:rsid w:val="00CB59AB"/>
    <w:rsid w:val="00CB5ADA"/>
    <w:rsid w:val="00CB5BC2"/>
    <w:rsid w:val="00CB5CA5"/>
    <w:rsid w:val="00CB5DBB"/>
    <w:rsid w:val="00CB5DE5"/>
    <w:rsid w:val="00CB5E1F"/>
    <w:rsid w:val="00CB5E71"/>
    <w:rsid w:val="00CB5ED9"/>
    <w:rsid w:val="00CB5FBF"/>
    <w:rsid w:val="00CB6106"/>
    <w:rsid w:val="00CB618A"/>
    <w:rsid w:val="00CB61D1"/>
    <w:rsid w:val="00CB6278"/>
    <w:rsid w:val="00CB634C"/>
    <w:rsid w:val="00CB63B8"/>
    <w:rsid w:val="00CB63E3"/>
    <w:rsid w:val="00CB656E"/>
    <w:rsid w:val="00CB6579"/>
    <w:rsid w:val="00CB65CE"/>
    <w:rsid w:val="00CB6708"/>
    <w:rsid w:val="00CB672B"/>
    <w:rsid w:val="00CB6730"/>
    <w:rsid w:val="00CB686E"/>
    <w:rsid w:val="00CB68BD"/>
    <w:rsid w:val="00CB6962"/>
    <w:rsid w:val="00CB6AA4"/>
    <w:rsid w:val="00CB6ABA"/>
    <w:rsid w:val="00CB6B47"/>
    <w:rsid w:val="00CB6C46"/>
    <w:rsid w:val="00CB6F4A"/>
    <w:rsid w:val="00CB70CF"/>
    <w:rsid w:val="00CB7187"/>
    <w:rsid w:val="00CB72D4"/>
    <w:rsid w:val="00CB730D"/>
    <w:rsid w:val="00CB730E"/>
    <w:rsid w:val="00CB7346"/>
    <w:rsid w:val="00CB7373"/>
    <w:rsid w:val="00CB73B7"/>
    <w:rsid w:val="00CB7448"/>
    <w:rsid w:val="00CB74E5"/>
    <w:rsid w:val="00CB7509"/>
    <w:rsid w:val="00CB7535"/>
    <w:rsid w:val="00CB76EB"/>
    <w:rsid w:val="00CB772F"/>
    <w:rsid w:val="00CB7C02"/>
    <w:rsid w:val="00CB7C1C"/>
    <w:rsid w:val="00CB7C61"/>
    <w:rsid w:val="00CB7C95"/>
    <w:rsid w:val="00CB7CE1"/>
    <w:rsid w:val="00CB7DF0"/>
    <w:rsid w:val="00CB7E99"/>
    <w:rsid w:val="00CB7F19"/>
    <w:rsid w:val="00CB7F4E"/>
    <w:rsid w:val="00CB7FAE"/>
    <w:rsid w:val="00CB7FFA"/>
    <w:rsid w:val="00CC02B0"/>
    <w:rsid w:val="00CC0319"/>
    <w:rsid w:val="00CC0373"/>
    <w:rsid w:val="00CC046D"/>
    <w:rsid w:val="00CC06A2"/>
    <w:rsid w:val="00CC06AC"/>
    <w:rsid w:val="00CC076D"/>
    <w:rsid w:val="00CC09A5"/>
    <w:rsid w:val="00CC0A4C"/>
    <w:rsid w:val="00CC0AEC"/>
    <w:rsid w:val="00CC0B2B"/>
    <w:rsid w:val="00CC0B51"/>
    <w:rsid w:val="00CC0D4D"/>
    <w:rsid w:val="00CC0DFE"/>
    <w:rsid w:val="00CC0EA8"/>
    <w:rsid w:val="00CC0EDF"/>
    <w:rsid w:val="00CC0F46"/>
    <w:rsid w:val="00CC0F85"/>
    <w:rsid w:val="00CC1471"/>
    <w:rsid w:val="00CC1514"/>
    <w:rsid w:val="00CC15FC"/>
    <w:rsid w:val="00CC1611"/>
    <w:rsid w:val="00CC1638"/>
    <w:rsid w:val="00CC1729"/>
    <w:rsid w:val="00CC1737"/>
    <w:rsid w:val="00CC1769"/>
    <w:rsid w:val="00CC1784"/>
    <w:rsid w:val="00CC19CB"/>
    <w:rsid w:val="00CC19E2"/>
    <w:rsid w:val="00CC19EB"/>
    <w:rsid w:val="00CC1C4D"/>
    <w:rsid w:val="00CC1C5D"/>
    <w:rsid w:val="00CC1CA1"/>
    <w:rsid w:val="00CC1D27"/>
    <w:rsid w:val="00CC1DC5"/>
    <w:rsid w:val="00CC2139"/>
    <w:rsid w:val="00CC2266"/>
    <w:rsid w:val="00CC227C"/>
    <w:rsid w:val="00CC22F0"/>
    <w:rsid w:val="00CC2432"/>
    <w:rsid w:val="00CC2698"/>
    <w:rsid w:val="00CC2819"/>
    <w:rsid w:val="00CC28F4"/>
    <w:rsid w:val="00CC2943"/>
    <w:rsid w:val="00CC2DDE"/>
    <w:rsid w:val="00CC2EAF"/>
    <w:rsid w:val="00CC3221"/>
    <w:rsid w:val="00CC34D0"/>
    <w:rsid w:val="00CC3725"/>
    <w:rsid w:val="00CC380B"/>
    <w:rsid w:val="00CC3823"/>
    <w:rsid w:val="00CC399D"/>
    <w:rsid w:val="00CC3A91"/>
    <w:rsid w:val="00CC3CB2"/>
    <w:rsid w:val="00CC3E57"/>
    <w:rsid w:val="00CC3F47"/>
    <w:rsid w:val="00CC3F85"/>
    <w:rsid w:val="00CC3FED"/>
    <w:rsid w:val="00CC40C3"/>
    <w:rsid w:val="00CC418C"/>
    <w:rsid w:val="00CC41BF"/>
    <w:rsid w:val="00CC42BB"/>
    <w:rsid w:val="00CC4317"/>
    <w:rsid w:val="00CC4422"/>
    <w:rsid w:val="00CC443C"/>
    <w:rsid w:val="00CC4529"/>
    <w:rsid w:val="00CC46DB"/>
    <w:rsid w:val="00CC473B"/>
    <w:rsid w:val="00CC4754"/>
    <w:rsid w:val="00CC486B"/>
    <w:rsid w:val="00CC4880"/>
    <w:rsid w:val="00CC48E6"/>
    <w:rsid w:val="00CC4AF4"/>
    <w:rsid w:val="00CC4DFD"/>
    <w:rsid w:val="00CC4E11"/>
    <w:rsid w:val="00CC4E59"/>
    <w:rsid w:val="00CC4E69"/>
    <w:rsid w:val="00CC4F04"/>
    <w:rsid w:val="00CC511D"/>
    <w:rsid w:val="00CC5208"/>
    <w:rsid w:val="00CC524D"/>
    <w:rsid w:val="00CC526E"/>
    <w:rsid w:val="00CC52C5"/>
    <w:rsid w:val="00CC53D5"/>
    <w:rsid w:val="00CC54E9"/>
    <w:rsid w:val="00CC5595"/>
    <w:rsid w:val="00CC559E"/>
    <w:rsid w:val="00CC571B"/>
    <w:rsid w:val="00CC5789"/>
    <w:rsid w:val="00CC5800"/>
    <w:rsid w:val="00CC585D"/>
    <w:rsid w:val="00CC5951"/>
    <w:rsid w:val="00CC5A17"/>
    <w:rsid w:val="00CC5AA4"/>
    <w:rsid w:val="00CC5BCB"/>
    <w:rsid w:val="00CC5C1B"/>
    <w:rsid w:val="00CC5C38"/>
    <w:rsid w:val="00CC5CC1"/>
    <w:rsid w:val="00CC5D00"/>
    <w:rsid w:val="00CC5E9E"/>
    <w:rsid w:val="00CC5FC0"/>
    <w:rsid w:val="00CC6010"/>
    <w:rsid w:val="00CC605B"/>
    <w:rsid w:val="00CC611E"/>
    <w:rsid w:val="00CC614E"/>
    <w:rsid w:val="00CC6346"/>
    <w:rsid w:val="00CC634B"/>
    <w:rsid w:val="00CC639B"/>
    <w:rsid w:val="00CC66CF"/>
    <w:rsid w:val="00CC67C6"/>
    <w:rsid w:val="00CC6809"/>
    <w:rsid w:val="00CC68C7"/>
    <w:rsid w:val="00CC6960"/>
    <w:rsid w:val="00CC69F1"/>
    <w:rsid w:val="00CC69FF"/>
    <w:rsid w:val="00CC6B8B"/>
    <w:rsid w:val="00CC6C91"/>
    <w:rsid w:val="00CC6CF8"/>
    <w:rsid w:val="00CC6CFE"/>
    <w:rsid w:val="00CC6F65"/>
    <w:rsid w:val="00CC6FFA"/>
    <w:rsid w:val="00CC70C4"/>
    <w:rsid w:val="00CC70CE"/>
    <w:rsid w:val="00CC71E3"/>
    <w:rsid w:val="00CC72C8"/>
    <w:rsid w:val="00CC7399"/>
    <w:rsid w:val="00CC7451"/>
    <w:rsid w:val="00CC75D4"/>
    <w:rsid w:val="00CC767F"/>
    <w:rsid w:val="00CC768F"/>
    <w:rsid w:val="00CC785C"/>
    <w:rsid w:val="00CC789F"/>
    <w:rsid w:val="00CC78BD"/>
    <w:rsid w:val="00CC78BE"/>
    <w:rsid w:val="00CC790F"/>
    <w:rsid w:val="00CC7951"/>
    <w:rsid w:val="00CC7A57"/>
    <w:rsid w:val="00CC7B50"/>
    <w:rsid w:val="00CC7B62"/>
    <w:rsid w:val="00CC7B68"/>
    <w:rsid w:val="00CC7BEC"/>
    <w:rsid w:val="00CC7C63"/>
    <w:rsid w:val="00CC7CB7"/>
    <w:rsid w:val="00CC7DFC"/>
    <w:rsid w:val="00CD0188"/>
    <w:rsid w:val="00CD03D4"/>
    <w:rsid w:val="00CD0452"/>
    <w:rsid w:val="00CD0678"/>
    <w:rsid w:val="00CD0762"/>
    <w:rsid w:val="00CD079A"/>
    <w:rsid w:val="00CD07A4"/>
    <w:rsid w:val="00CD0936"/>
    <w:rsid w:val="00CD09D0"/>
    <w:rsid w:val="00CD09DF"/>
    <w:rsid w:val="00CD0A1D"/>
    <w:rsid w:val="00CD0AA0"/>
    <w:rsid w:val="00CD0B63"/>
    <w:rsid w:val="00CD0C3F"/>
    <w:rsid w:val="00CD0C74"/>
    <w:rsid w:val="00CD0C8C"/>
    <w:rsid w:val="00CD0D9B"/>
    <w:rsid w:val="00CD0E01"/>
    <w:rsid w:val="00CD0E92"/>
    <w:rsid w:val="00CD0FA0"/>
    <w:rsid w:val="00CD0FD4"/>
    <w:rsid w:val="00CD0FEC"/>
    <w:rsid w:val="00CD10E6"/>
    <w:rsid w:val="00CD13F2"/>
    <w:rsid w:val="00CD143D"/>
    <w:rsid w:val="00CD154E"/>
    <w:rsid w:val="00CD16BF"/>
    <w:rsid w:val="00CD18F6"/>
    <w:rsid w:val="00CD1A0C"/>
    <w:rsid w:val="00CD1A2A"/>
    <w:rsid w:val="00CD1AD2"/>
    <w:rsid w:val="00CD1AD6"/>
    <w:rsid w:val="00CD1C04"/>
    <w:rsid w:val="00CD1C06"/>
    <w:rsid w:val="00CD1D0E"/>
    <w:rsid w:val="00CD1DF9"/>
    <w:rsid w:val="00CD1E84"/>
    <w:rsid w:val="00CD1EBE"/>
    <w:rsid w:val="00CD1F6A"/>
    <w:rsid w:val="00CD1F97"/>
    <w:rsid w:val="00CD1FF2"/>
    <w:rsid w:val="00CD207D"/>
    <w:rsid w:val="00CD2251"/>
    <w:rsid w:val="00CD242C"/>
    <w:rsid w:val="00CD26A8"/>
    <w:rsid w:val="00CD27FC"/>
    <w:rsid w:val="00CD288F"/>
    <w:rsid w:val="00CD28B1"/>
    <w:rsid w:val="00CD29A9"/>
    <w:rsid w:val="00CD2A36"/>
    <w:rsid w:val="00CD2AFD"/>
    <w:rsid w:val="00CD2B0E"/>
    <w:rsid w:val="00CD2B1E"/>
    <w:rsid w:val="00CD2CDB"/>
    <w:rsid w:val="00CD2DED"/>
    <w:rsid w:val="00CD2E39"/>
    <w:rsid w:val="00CD2FDF"/>
    <w:rsid w:val="00CD302C"/>
    <w:rsid w:val="00CD3099"/>
    <w:rsid w:val="00CD30BA"/>
    <w:rsid w:val="00CD333B"/>
    <w:rsid w:val="00CD33DB"/>
    <w:rsid w:val="00CD3560"/>
    <w:rsid w:val="00CD35C6"/>
    <w:rsid w:val="00CD390C"/>
    <w:rsid w:val="00CD3A3D"/>
    <w:rsid w:val="00CD3A8D"/>
    <w:rsid w:val="00CD3ACF"/>
    <w:rsid w:val="00CD3B07"/>
    <w:rsid w:val="00CD3D03"/>
    <w:rsid w:val="00CD3DF3"/>
    <w:rsid w:val="00CD3F1B"/>
    <w:rsid w:val="00CD4031"/>
    <w:rsid w:val="00CD4160"/>
    <w:rsid w:val="00CD4321"/>
    <w:rsid w:val="00CD4417"/>
    <w:rsid w:val="00CD4599"/>
    <w:rsid w:val="00CD4722"/>
    <w:rsid w:val="00CD4849"/>
    <w:rsid w:val="00CD4879"/>
    <w:rsid w:val="00CD4883"/>
    <w:rsid w:val="00CD48FB"/>
    <w:rsid w:val="00CD499A"/>
    <w:rsid w:val="00CD49DB"/>
    <w:rsid w:val="00CD4E68"/>
    <w:rsid w:val="00CD4EA0"/>
    <w:rsid w:val="00CD4F3A"/>
    <w:rsid w:val="00CD51F6"/>
    <w:rsid w:val="00CD52E9"/>
    <w:rsid w:val="00CD57E0"/>
    <w:rsid w:val="00CD5880"/>
    <w:rsid w:val="00CD5A00"/>
    <w:rsid w:val="00CD5A31"/>
    <w:rsid w:val="00CD5ACD"/>
    <w:rsid w:val="00CD5B9B"/>
    <w:rsid w:val="00CD5C89"/>
    <w:rsid w:val="00CD5CFB"/>
    <w:rsid w:val="00CD5D7E"/>
    <w:rsid w:val="00CD5DA5"/>
    <w:rsid w:val="00CD607E"/>
    <w:rsid w:val="00CD6153"/>
    <w:rsid w:val="00CD61EF"/>
    <w:rsid w:val="00CD624D"/>
    <w:rsid w:val="00CD63B8"/>
    <w:rsid w:val="00CD6483"/>
    <w:rsid w:val="00CD69AC"/>
    <w:rsid w:val="00CD69EA"/>
    <w:rsid w:val="00CD6B5B"/>
    <w:rsid w:val="00CD6B99"/>
    <w:rsid w:val="00CD6C5C"/>
    <w:rsid w:val="00CD6CA3"/>
    <w:rsid w:val="00CD6CF7"/>
    <w:rsid w:val="00CD6DCE"/>
    <w:rsid w:val="00CD6EC2"/>
    <w:rsid w:val="00CD70CF"/>
    <w:rsid w:val="00CD7107"/>
    <w:rsid w:val="00CD713C"/>
    <w:rsid w:val="00CD7164"/>
    <w:rsid w:val="00CD724B"/>
    <w:rsid w:val="00CD7491"/>
    <w:rsid w:val="00CD7592"/>
    <w:rsid w:val="00CD7896"/>
    <w:rsid w:val="00CD7993"/>
    <w:rsid w:val="00CD7A4F"/>
    <w:rsid w:val="00CD7B7C"/>
    <w:rsid w:val="00CD7C30"/>
    <w:rsid w:val="00CD7E79"/>
    <w:rsid w:val="00CD7F12"/>
    <w:rsid w:val="00CD7FD6"/>
    <w:rsid w:val="00CE00EE"/>
    <w:rsid w:val="00CE01CD"/>
    <w:rsid w:val="00CE0218"/>
    <w:rsid w:val="00CE0239"/>
    <w:rsid w:val="00CE0277"/>
    <w:rsid w:val="00CE02A1"/>
    <w:rsid w:val="00CE045E"/>
    <w:rsid w:val="00CE0478"/>
    <w:rsid w:val="00CE0492"/>
    <w:rsid w:val="00CE04A0"/>
    <w:rsid w:val="00CE0520"/>
    <w:rsid w:val="00CE0677"/>
    <w:rsid w:val="00CE07D8"/>
    <w:rsid w:val="00CE08CB"/>
    <w:rsid w:val="00CE0A05"/>
    <w:rsid w:val="00CE0AA1"/>
    <w:rsid w:val="00CE0BD4"/>
    <w:rsid w:val="00CE0BF1"/>
    <w:rsid w:val="00CE0DB7"/>
    <w:rsid w:val="00CE0E6F"/>
    <w:rsid w:val="00CE11CD"/>
    <w:rsid w:val="00CE11F5"/>
    <w:rsid w:val="00CE12AD"/>
    <w:rsid w:val="00CE14B7"/>
    <w:rsid w:val="00CE1551"/>
    <w:rsid w:val="00CE1552"/>
    <w:rsid w:val="00CE156C"/>
    <w:rsid w:val="00CE167E"/>
    <w:rsid w:val="00CE16E8"/>
    <w:rsid w:val="00CE1754"/>
    <w:rsid w:val="00CE17F8"/>
    <w:rsid w:val="00CE1824"/>
    <w:rsid w:val="00CE1827"/>
    <w:rsid w:val="00CE18BB"/>
    <w:rsid w:val="00CE18DF"/>
    <w:rsid w:val="00CE1979"/>
    <w:rsid w:val="00CE19F9"/>
    <w:rsid w:val="00CE1AD5"/>
    <w:rsid w:val="00CE1C76"/>
    <w:rsid w:val="00CE1D0C"/>
    <w:rsid w:val="00CE1DE8"/>
    <w:rsid w:val="00CE1E6E"/>
    <w:rsid w:val="00CE1F87"/>
    <w:rsid w:val="00CE2017"/>
    <w:rsid w:val="00CE2041"/>
    <w:rsid w:val="00CE210D"/>
    <w:rsid w:val="00CE211D"/>
    <w:rsid w:val="00CE241D"/>
    <w:rsid w:val="00CE2465"/>
    <w:rsid w:val="00CE2532"/>
    <w:rsid w:val="00CE2667"/>
    <w:rsid w:val="00CE285C"/>
    <w:rsid w:val="00CE2A11"/>
    <w:rsid w:val="00CE2A5B"/>
    <w:rsid w:val="00CE2A65"/>
    <w:rsid w:val="00CE2CC8"/>
    <w:rsid w:val="00CE2D50"/>
    <w:rsid w:val="00CE2E63"/>
    <w:rsid w:val="00CE2E70"/>
    <w:rsid w:val="00CE2FC8"/>
    <w:rsid w:val="00CE3014"/>
    <w:rsid w:val="00CE309D"/>
    <w:rsid w:val="00CE3162"/>
    <w:rsid w:val="00CE3261"/>
    <w:rsid w:val="00CE3427"/>
    <w:rsid w:val="00CE346E"/>
    <w:rsid w:val="00CE35B8"/>
    <w:rsid w:val="00CE3663"/>
    <w:rsid w:val="00CE3710"/>
    <w:rsid w:val="00CE3804"/>
    <w:rsid w:val="00CE3A6A"/>
    <w:rsid w:val="00CE3ABA"/>
    <w:rsid w:val="00CE3B36"/>
    <w:rsid w:val="00CE3B72"/>
    <w:rsid w:val="00CE3BC9"/>
    <w:rsid w:val="00CE3BE9"/>
    <w:rsid w:val="00CE3C10"/>
    <w:rsid w:val="00CE3E51"/>
    <w:rsid w:val="00CE3E81"/>
    <w:rsid w:val="00CE3F4E"/>
    <w:rsid w:val="00CE3FFA"/>
    <w:rsid w:val="00CE4187"/>
    <w:rsid w:val="00CE41A8"/>
    <w:rsid w:val="00CE425C"/>
    <w:rsid w:val="00CE4294"/>
    <w:rsid w:val="00CE42C5"/>
    <w:rsid w:val="00CE4679"/>
    <w:rsid w:val="00CE4879"/>
    <w:rsid w:val="00CE49BC"/>
    <w:rsid w:val="00CE49E2"/>
    <w:rsid w:val="00CE4A04"/>
    <w:rsid w:val="00CE4B17"/>
    <w:rsid w:val="00CE4D21"/>
    <w:rsid w:val="00CE4D28"/>
    <w:rsid w:val="00CE4DC1"/>
    <w:rsid w:val="00CE4E00"/>
    <w:rsid w:val="00CE5008"/>
    <w:rsid w:val="00CE50D3"/>
    <w:rsid w:val="00CE5237"/>
    <w:rsid w:val="00CE5289"/>
    <w:rsid w:val="00CE539F"/>
    <w:rsid w:val="00CE550F"/>
    <w:rsid w:val="00CE554F"/>
    <w:rsid w:val="00CE564E"/>
    <w:rsid w:val="00CE5724"/>
    <w:rsid w:val="00CE574E"/>
    <w:rsid w:val="00CE5751"/>
    <w:rsid w:val="00CE5AAC"/>
    <w:rsid w:val="00CE5AB6"/>
    <w:rsid w:val="00CE5B33"/>
    <w:rsid w:val="00CE5C51"/>
    <w:rsid w:val="00CE5DB0"/>
    <w:rsid w:val="00CE5EB1"/>
    <w:rsid w:val="00CE5EB5"/>
    <w:rsid w:val="00CE6048"/>
    <w:rsid w:val="00CE6104"/>
    <w:rsid w:val="00CE62CE"/>
    <w:rsid w:val="00CE6378"/>
    <w:rsid w:val="00CE64D9"/>
    <w:rsid w:val="00CE650D"/>
    <w:rsid w:val="00CE6588"/>
    <w:rsid w:val="00CE6833"/>
    <w:rsid w:val="00CE6886"/>
    <w:rsid w:val="00CE68D2"/>
    <w:rsid w:val="00CE6905"/>
    <w:rsid w:val="00CE6A39"/>
    <w:rsid w:val="00CE6A8F"/>
    <w:rsid w:val="00CE6B02"/>
    <w:rsid w:val="00CE6B5F"/>
    <w:rsid w:val="00CE6B7D"/>
    <w:rsid w:val="00CE6D3C"/>
    <w:rsid w:val="00CE6E18"/>
    <w:rsid w:val="00CE6E9E"/>
    <w:rsid w:val="00CE6EFE"/>
    <w:rsid w:val="00CE7113"/>
    <w:rsid w:val="00CE7143"/>
    <w:rsid w:val="00CE7199"/>
    <w:rsid w:val="00CE71B9"/>
    <w:rsid w:val="00CE72A9"/>
    <w:rsid w:val="00CE72B2"/>
    <w:rsid w:val="00CE73E6"/>
    <w:rsid w:val="00CE75D9"/>
    <w:rsid w:val="00CE76C2"/>
    <w:rsid w:val="00CE770D"/>
    <w:rsid w:val="00CE774F"/>
    <w:rsid w:val="00CE792F"/>
    <w:rsid w:val="00CE7A2A"/>
    <w:rsid w:val="00CE7A87"/>
    <w:rsid w:val="00CE7BD8"/>
    <w:rsid w:val="00CE7BF9"/>
    <w:rsid w:val="00CE7CB3"/>
    <w:rsid w:val="00CE7CDF"/>
    <w:rsid w:val="00CE7EC7"/>
    <w:rsid w:val="00CE7F01"/>
    <w:rsid w:val="00CE7F71"/>
    <w:rsid w:val="00CE7FAB"/>
    <w:rsid w:val="00CF0341"/>
    <w:rsid w:val="00CF037C"/>
    <w:rsid w:val="00CF0485"/>
    <w:rsid w:val="00CF04F8"/>
    <w:rsid w:val="00CF05AC"/>
    <w:rsid w:val="00CF05E8"/>
    <w:rsid w:val="00CF063D"/>
    <w:rsid w:val="00CF094A"/>
    <w:rsid w:val="00CF0969"/>
    <w:rsid w:val="00CF0A7D"/>
    <w:rsid w:val="00CF0AE0"/>
    <w:rsid w:val="00CF0B17"/>
    <w:rsid w:val="00CF0B44"/>
    <w:rsid w:val="00CF0B93"/>
    <w:rsid w:val="00CF0C1B"/>
    <w:rsid w:val="00CF0DE9"/>
    <w:rsid w:val="00CF0E1F"/>
    <w:rsid w:val="00CF0ED4"/>
    <w:rsid w:val="00CF0F6C"/>
    <w:rsid w:val="00CF1126"/>
    <w:rsid w:val="00CF115B"/>
    <w:rsid w:val="00CF11C8"/>
    <w:rsid w:val="00CF1204"/>
    <w:rsid w:val="00CF1448"/>
    <w:rsid w:val="00CF1450"/>
    <w:rsid w:val="00CF1486"/>
    <w:rsid w:val="00CF14BA"/>
    <w:rsid w:val="00CF16D4"/>
    <w:rsid w:val="00CF16F9"/>
    <w:rsid w:val="00CF171C"/>
    <w:rsid w:val="00CF1803"/>
    <w:rsid w:val="00CF1847"/>
    <w:rsid w:val="00CF1927"/>
    <w:rsid w:val="00CF193B"/>
    <w:rsid w:val="00CF1B2F"/>
    <w:rsid w:val="00CF1E53"/>
    <w:rsid w:val="00CF1E5E"/>
    <w:rsid w:val="00CF1EF7"/>
    <w:rsid w:val="00CF1FE3"/>
    <w:rsid w:val="00CF2030"/>
    <w:rsid w:val="00CF2083"/>
    <w:rsid w:val="00CF217C"/>
    <w:rsid w:val="00CF21DE"/>
    <w:rsid w:val="00CF220E"/>
    <w:rsid w:val="00CF22A0"/>
    <w:rsid w:val="00CF22FD"/>
    <w:rsid w:val="00CF2314"/>
    <w:rsid w:val="00CF25AE"/>
    <w:rsid w:val="00CF25EB"/>
    <w:rsid w:val="00CF2786"/>
    <w:rsid w:val="00CF27E7"/>
    <w:rsid w:val="00CF29BD"/>
    <w:rsid w:val="00CF2A60"/>
    <w:rsid w:val="00CF2A83"/>
    <w:rsid w:val="00CF2BB6"/>
    <w:rsid w:val="00CF2C67"/>
    <w:rsid w:val="00CF2F07"/>
    <w:rsid w:val="00CF2F60"/>
    <w:rsid w:val="00CF310F"/>
    <w:rsid w:val="00CF3187"/>
    <w:rsid w:val="00CF3275"/>
    <w:rsid w:val="00CF32A8"/>
    <w:rsid w:val="00CF3548"/>
    <w:rsid w:val="00CF3625"/>
    <w:rsid w:val="00CF3674"/>
    <w:rsid w:val="00CF36A1"/>
    <w:rsid w:val="00CF37FF"/>
    <w:rsid w:val="00CF386D"/>
    <w:rsid w:val="00CF38A3"/>
    <w:rsid w:val="00CF39E7"/>
    <w:rsid w:val="00CF3C21"/>
    <w:rsid w:val="00CF3D81"/>
    <w:rsid w:val="00CF3DE2"/>
    <w:rsid w:val="00CF3DE4"/>
    <w:rsid w:val="00CF3E30"/>
    <w:rsid w:val="00CF3E8D"/>
    <w:rsid w:val="00CF3EBC"/>
    <w:rsid w:val="00CF3F09"/>
    <w:rsid w:val="00CF4008"/>
    <w:rsid w:val="00CF4044"/>
    <w:rsid w:val="00CF40CE"/>
    <w:rsid w:val="00CF4230"/>
    <w:rsid w:val="00CF42A8"/>
    <w:rsid w:val="00CF42DC"/>
    <w:rsid w:val="00CF4300"/>
    <w:rsid w:val="00CF437B"/>
    <w:rsid w:val="00CF44BF"/>
    <w:rsid w:val="00CF4606"/>
    <w:rsid w:val="00CF476B"/>
    <w:rsid w:val="00CF48A4"/>
    <w:rsid w:val="00CF4A3B"/>
    <w:rsid w:val="00CF4AA1"/>
    <w:rsid w:val="00CF4ADF"/>
    <w:rsid w:val="00CF4DCE"/>
    <w:rsid w:val="00CF4E6B"/>
    <w:rsid w:val="00CF4FC6"/>
    <w:rsid w:val="00CF506B"/>
    <w:rsid w:val="00CF51C5"/>
    <w:rsid w:val="00CF51D7"/>
    <w:rsid w:val="00CF522A"/>
    <w:rsid w:val="00CF5259"/>
    <w:rsid w:val="00CF54D8"/>
    <w:rsid w:val="00CF5511"/>
    <w:rsid w:val="00CF5641"/>
    <w:rsid w:val="00CF56A1"/>
    <w:rsid w:val="00CF5805"/>
    <w:rsid w:val="00CF59A4"/>
    <w:rsid w:val="00CF5A69"/>
    <w:rsid w:val="00CF5A6A"/>
    <w:rsid w:val="00CF5B86"/>
    <w:rsid w:val="00CF5BDD"/>
    <w:rsid w:val="00CF5C48"/>
    <w:rsid w:val="00CF5CDC"/>
    <w:rsid w:val="00CF5D53"/>
    <w:rsid w:val="00CF5E15"/>
    <w:rsid w:val="00CF6057"/>
    <w:rsid w:val="00CF61E4"/>
    <w:rsid w:val="00CF620B"/>
    <w:rsid w:val="00CF62EC"/>
    <w:rsid w:val="00CF6581"/>
    <w:rsid w:val="00CF658C"/>
    <w:rsid w:val="00CF65E3"/>
    <w:rsid w:val="00CF6646"/>
    <w:rsid w:val="00CF68D6"/>
    <w:rsid w:val="00CF6B3D"/>
    <w:rsid w:val="00CF6DDB"/>
    <w:rsid w:val="00CF6E21"/>
    <w:rsid w:val="00CF6E70"/>
    <w:rsid w:val="00CF6EA8"/>
    <w:rsid w:val="00CF6F28"/>
    <w:rsid w:val="00CF7142"/>
    <w:rsid w:val="00CF71A4"/>
    <w:rsid w:val="00CF71C4"/>
    <w:rsid w:val="00CF7221"/>
    <w:rsid w:val="00CF72F7"/>
    <w:rsid w:val="00CF740E"/>
    <w:rsid w:val="00CF7487"/>
    <w:rsid w:val="00CF7546"/>
    <w:rsid w:val="00CF7607"/>
    <w:rsid w:val="00CF7693"/>
    <w:rsid w:val="00CF7713"/>
    <w:rsid w:val="00CF77FC"/>
    <w:rsid w:val="00CF78E7"/>
    <w:rsid w:val="00CF78ED"/>
    <w:rsid w:val="00CF79AD"/>
    <w:rsid w:val="00CF7A3F"/>
    <w:rsid w:val="00CF7AC2"/>
    <w:rsid w:val="00CF7AC9"/>
    <w:rsid w:val="00CF7B07"/>
    <w:rsid w:val="00CF7B91"/>
    <w:rsid w:val="00CF7D19"/>
    <w:rsid w:val="00CF7D74"/>
    <w:rsid w:val="00D001EA"/>
    <w:rsid w:val="00D00474"/>
    <w:rsid w:val="00D00647"/>
    <w:rsid w:val="00D0070F"/>
    <w:rsid w:val="00D0073F"/>
    <w:rsid w:val="00D008D3"/>
    <w:rsid w:val="00D00912"/>
    <w:rsid w:val="00D00B19"/>
    <w:rsid w:val="00D00BC7"/>
    <w:rsid w:val="00D00CED"/>
    <w:rsid w:val="00D00D36"/>
    <w:rsid w:val="00D01517"/>
    <w:rsid w:val="00D01575"/>
    <w:rsid w:val="00D0162E"/>
    <w:rsid w:val="00D017B9"/>
    <w:rsid w:val="00D01882"/>
    <w:rsid w:val="00D01A36"/>
    <w:rsid w:val="00D01A4F"/>
    <w:rsid w:val="00D01AD0"/>
    <w:rsid w:val="00D01B4D"/>
    <w:rsid w:val="00D01C1D"/>
    <w:rsid w:val="00D01C61"/>
    <w:rsid w:val="00D01DA0"/>
    <w:rsid w:val="00D01E90"/>
    <w:rsid w:val="00D01FD0"/>
    <w:rsid w:val="00D01FFF"/>
    <w:rsid w:val="00D022AB"/>
    <w:rsid w:val="00D02309"/>
    <w:rsid w:val="00D0231D"/>
    <w:rsid w:val="00D0234F"/>
    <w:rsid w:val="00D023D1"/>
    <w:rsid w:val="00D0240A"/>
    <w:rsid w:val="00D0241B"/>
    <w:rsid w:val="00D02435"/>
    <w:rsid w:val="00D02472"/>
    <w:rsid w:val="00D024A0"/>
    <w:rsid w:val="00D02537"/>
    <w:rsid w:val="00D02670"/>
    <w:rsid w:val="00D0269A"/>
    <w:rsid w:val="00D0272F"/>
    <w:rsid w:val="00D02871"/>
    <w:rsid w:val="00D029AB"/>
    <w:rsid w:val="00D02BF1"/>
    <w:rsid w:val="00D02C94"/>
    <w:rsid w:val="00D02CCA"/>
    <w:rsid w:val="00D02CE6"/>
    <w:rsid w:val="00D02F9C"/>
    <w:rsid w:val="00D03170"/>
    <w:rsid w:val="00D03182"/>
    <w:rsid w:val="00D035E9"/>
    <w:rsid w:val="00D03606"/>
    <w:rsid w:val="00D036E9"/>
    <w:rsid w:val="00D037E1"/>
    <w:rsid w:val="00D03908"/>
    <w:rsid w:val="00D03930"/>
    <w:rsid w:val="00D0396C"/>
    <w:rsid w:val="00D039C6"/>
    <w:rsid w:val="00D03A2C"/>
    <w:rsid w:val="00D03A7F"/>
    <w:rsid w:val="00D03C2A"/>
    <w:rsid w:val="00D03CD1"/>
    <w:rsid w:val="00D0413C"/>
    <w:rsid w:val="00D041DD"/>
    <w:rsid w:val="00D0426C"/>
    <w:rsid w:val="00D044C5"/>
    <w:rsid w:val="00D04595"/>
    <w:rsid w:val="00D0462C"/>
    <w:rsid w:val="00D046FC"/>
    <w:rsid w:val="00D047B7"/>
    <w:rsid w:val="00D04966"/>
    <w:rsid w:val="00D04A63"/>
    <w:rsid w:val="00D04B20"/>
    <w:rsid w:val="00D04CD5"/>
    <w:rsid w:val="00D04EE0"/>
    <w:rsid w:val="00D04EEF"/>
    <w:rsid w:val="00D04FC0"/>
    <w:rsid w:val="00D05046"/>
    <w:rsid w:val="00D05224"/>
    <w:rsid w:val="00D0522B"/>
    <w:rsid w:val="00D05730"/>
    <w:rsid w:val="00D058F5"/>
    <w:rsid w:val="00D05974"/>
    <w:rsid w:val="00D05B19"/>
    <w:rsid w:val="00D05B63"/>
    <w:rsid w:val="00D05E1D"/>
    <w:rsid w:val="00D05F12"/>
    <w:rsid w:val="00D05F6C"/>
    <w:rsid w:val="00D05F70"/>
    <w:rsid w:val="00D06027"/>
    <w:rsid w:val="00D060B7"/>
    <w:rsid w:val="00D06110"/>
    <w:rsid w:val="00D061BD"/>
    <w:rsid w:val="00D0624C"/>
    <w:rsid w:val="00D0625F"/>
    <w:rsid w:val="00D062A7"/>
    <w:rsid w:val="00D063B7"/>
    <w:rsid w:val="00D06542"/>
    <w:rsid w:val="00D06653"/>
    <w:rsid w:val="00D0666D"/>
    <w:rsid w:val="00D067A0"/>
    <w:rsid w:val="00D0691F"/>
    <w:rsid w:val="00D06BA2"/>
    <w:rsid w:val="00D06C34"/>
    <w:rsid w:val="00D06DDF"/>
    <w:rsid w:val="00D06F44"/>
    <w:rsid w:val="00D0709E"/>
    <w:rsid w:val="00D070F6"/>
    <w:rsid w:val="00D0712C"/>
    <w:rsid w:val="00D07178"/>
    <w:rsid w:val="00D07227"/>
    <w:rsid w:val="00D07296"/>
    <w:rsid w:val="00D074D1"/>
    <w:rsid w:val="00D07646"/>
    <w:rsid w:val="00D07A5A"/>
    <w:rsid w:val="00D07AAB"/>
    <w:rsid w:val="00D07D27"/>
    <w:rsid w:val="00D07D94"/>
    <w:rsid w:val="00D07E32"/>
    <w:rsid w:val="00D07F9E"/>
    <w:rsid w:val="00D10016"/>
    <w:rsid w:val="00D101FE"/>
    <w:rsid w:val="00D1032F"/>
    <w:rsid w:val="00D104A1"/>
    <w:rsid w:val="00D10527"/>
    <w:rsid w:val="00D1069B"/>
    <w:rsid w:val="00D106B8"/>
    <w:rsid w:val="00D10754"/>
    <w:rsid w:val="00D107F1"/>
    <w:rsid w:val="00D1089E"/>
    <w:rsid w:val="00D10C6C"/>
    <w:rsid w:val="00D10D17"/>
    <w:rsid w:val="00D10D74"/>
    <w:rsid w:val="00D10DE0"/>
    <w:rsid w:val="00D10E30"/>
    <w:rsid w:val="00D10E41"/>
    <w:rsid w:val="00D10EE4"/>
    <w:rsid w:val="00D10FDC"/>
    <w:rsid w:val="00D110C2"/>
    <w:rsid w:val="00D11170"/>
    <w:rsid w:val="00D111ED"/>
    <w:rsid w:val="00D11223"/>
    <w:rsid w:val="00D113AB"/>
    <w:rsid w:val="00D116AA"/>
    <w:rsid w:val="00D116D8"/>
    <w:rsid w:val="00D11820"/>
    <w:rsid w:val="00D1188D"/>
    <w:rsid w:val="00D11919"/>
    <w:rsid w:val="00D11A20"/>
    <w:rsid w:val="00D11A81"/>
    <w:rsid w:val="00D11D19"/>
    <w:rsid w:val="00D11D60"/>
    <w:rsid w:val="00D11E0B"/>
    <w:rsid w:val="00D11E19"/>
    <w:rsid w:val="00D11F3D"/>
    <w:rsid w:val="00D11FD8"/>
    <w:rsid w:val="00D1207A"/>
    <w:rsid w:val="00D12133"/>
    <w:rsid w:val="00D12636"/>
    <w:rsid w:val="00D12866"/>
    <w:rsid w:val="00D128E4"/>
    <w:rsid w:val="00D12957"/>
    <w:rsid w:val="00D12992"/>
    <w:rsid w:val="00D129EA"/>
    <w:rsid w:val="00D12AA9"/>
    <w:rsid w:val="00D12AAC"/>
    <w:rsid w:val="00D12ADA"/>
    <w:rsid w:val="00D12B84"/>
    <w:rsid w:val="00D12CDC"/>
    <w:rsid w:val="00D12D1E"/>
    <w:rsid w:val="00D12D37"/>
    <w:rsid w:val="00D12EA8"/>
    <w:rsid w:val="00D1306E"/>
    <w:rsid w:val="00D130AB"/>
    <w:rsid w:val="00D130E7"/>
    <w:rsid w:val="00D131AF"/>
    <w:rsid w:val="00D1328E"/>
    <w:rsid w:val="00D13596"/>
    <w:rsid w:val="00D1382A"/>
    <w:rsid w:val="00D1388E"/>
    <w:rsid w:val="00D13A0F"/>
    <w:rsid w:val="00D13AA8"/>
    <w:rsid w:val="00D13BD5"/>
    <w:rsid w:val="00D13DD7"/>
    <w:rsid w:val="00D1407E"/>
    <w:rsid w:val="00D14170"/>
    <w:rsid w:val="00D141B3"/>
    <w:rsid w:val="00D141E4"/>
    <w:rsid w:val="00D142A4"/>
    <w:rsid w:val="00D142BD"/>
    <w:rsid w:val="00D1438B"/>
    <w:rsid w:val="00D143BD"/>
    <w:rsid w:val="00D143E4"/>
    <w:rsid w:val="00D14768"/>
    <w:rsid w:val="00D1486A"/>
    <w:rsid w:val="00D1494E"/>
    <w:rsid w:val="00D14991"/>
    <w:rsid w:val="00D14A55"/>
    <w:rsid w:val="00D14CB4"/>
    <w:rsid w:val="00D14D1E"/>
    <w:rsid w:val="00D14E13"/>
    <w:rsid w:val="00D14E4E"/>
    <w:rsid w:val="00D14EAD"/>
    <w:rsid w:val="00D14EDF"/>
    <w:rsid w:val="00D14F02"/>
    <w:rsid w:val="00D1505E"/>
    <w:rsid w:val="00D15067"/>
    <w:rsid w:val="00D150BF"/>
    <w:rsid w:val="00D150CA"/>
    <w:rsid w:val="00D1512A"/>
    <w:rsid w:val="00D15150"/>
    <w:rsid w:val="00D151DA"/>
    <w:rsid w:val="00D15411"/>
    <w:rsid w:val="00D15493"/>
    <w:rsid w:val="00D154D0"/>
    <w:rsid w:val="00D156ED"/>
    <w:rsid w:val="00D15879"/>
    <w:rsid w:val="00D158F6"/>
    <w:rsid w:val="00D15A7D"/>
    <w:rsid w:val="00D15B95"/>
    <w:rsid w:val="00D15BA3"/>
    <w:rsid w:val="00D15C0B"/>
    <w:rsid w:val="00D15C24"/>
    <w:rsid w:val="00D15C49"/>
    <w:rsid w:val="00D15D7A"/>
    <w:rsid w:val="00D15D99"/>
    <w:rsid w:val="00D15F3A"/>
    <w:rsid w:val="00D16164"/>
    <w:rsid w:val="00D1616F"/>
    <w:rsid w:val="00D162E1"/>
    <w:rsid w:val="00D1631F"/>
    <w:rsid w:val="00D16419"/>
    <w:rsid w:val="00D16495"/>
    <w:rsid w:val="00D16859"/>
    <w:rsid w:val="00D16913"/>
    <w:rsid w:val="00D169C5"/>
    <w:rsid w:val="00D16A87"/>
    <w:rsid w:val="00D16D08"/>
    <w:rsid w:val="00D16D2A"/>
    <w:rsid w:val="00D16D99"/>
    <w:rsid w:val="00D16E25"/>
    <w:rsid w:val="00D16E92"/>
    <w:rsid w:val="00D16EE9"/>
    <w:rsid w:val="00D16FEB"/>
    <w:rsid w:val="00D17085"/>
    <w:rsid w:val="00D170D3"/>
    <w:rsid w:val="00D171AD"/>
    <w:rsid w:val="00D171CE"/>
    <w:rsid w:val="00D172D5"/>
    <w:rsid w:val="00D172F9"/>
    <w:rsid w:val="00D1748B"/>
    <w:rsid w:val="00D17519"/>
    <w:rsid w:val="00D17526"/>
    <w:rsid w:val="00D17560"/>
    <w:rsid w:val="00D175F6"/>
    <w:rsid w:val="00D17738"/>
    <w:rsid w:val="00D17851"/>
    <w:rsid w:val="00D178B3"/>
    <w:rsid w:val="00D17E94"/>
    <w:rsid w:val="00D17E95"/>
    <w:rsid w:val="00D17FB7"/>
    <w:rsid w:val="00D20005"/>
    <w:rsid w:val="00D200EB"/>
    <w:rsid w:val="00D201D1"/>
    <w:rsid w:val="00D20245"/>
    <w:rsid w:val="00D202AF"/>
    <w:rsid w:val="00D202DE"/>
    <w:rsid w:val="00D20694"/>
    <w:rsid w:val="00D20709"/>
    <w:rsid w:val="00D20732"/>
    <w:rsid w:val="00D20966"/>
    <w:rsid w:val="00D20A2A"/>
    <w:rsid w:val="00D20A70"/>
    <w:rsid w:val="00D20A85"/>
    <w:rsid w:val="00D20B13"/>
    <w:rsid w:val="00D20D4C"/>
    <w:rsid w:val="00D20E8B"/>
    <w:rsid w:val="00D20F44"/>
    <w:rsid w:val="00D21031"/>
    <w:rsid w:val="00D2105B"/>
    <w:rsid w:val="00D210FD"/>
    <w:rsid w:val="00D2118D"/>
    <w:rsid w:val="00D21371"/>
    <w:rsid w:val="00D214B2"/>
    <w:rsid w:val="00D215BC"/>
    <w:rsid w:val="00D21627"/>
    <w:rsid w:val="00D2164B"/>
    <w:rsid w:val="00D216A7"/>
    <w:rsid w:val="00D216F6"/>
    <w:rsid w:val="00D2173D"/>
    <w:rsid w:val="00D218A5"/>
    <w:rsid w:val="00D21AB1"/>
    <w:rsid w:val="00D21AC0"/>
    <w:rsid w:val="00D21B58"/>
    <w:rsid w:val="00D21D17"/>
    <w:rsid w:val="00D21D62"/>
    <w:rsid w:val="00D21DDA"/>
    <w:rsid w:val="00D220BE"/>
    <w:rsid w:val="00D221CE"/>
    <w:rsid w:val="00D22235"/>
    <w:rsid w:val="00D2239F"/>
    <w:rsid w:val="00D22405"/>
    <w:rsid w:val="00D22515"/>
    <w:rsid w:val="00D225C9"/>
    <w:rsid w:val="00D22615"/>
    <w:rsid w:val="00D22674"/>
    <w:rsid w:val="00D22772"/>
    <w:rsid w:val="00D2277D"/>
    <w:rsid w:val="00D227BC"/>
    <w:rsid w:val="00D229C4"/>
    <w:rsid w:val="00D22A3F"/>
    <w:rsid w:val="00D22CB0"/>
    <w:rsid w:val="00D22CD4"/>
    <w:rsid w:val="00D22CD7"/>
    <w:rsid w:val="00D22FA2"/>
    <w:rsid w:val="00D2301E"/>
    <w:rsid w:val="00D231B9"/>
    <w:rsid w:val="00D231C5"/>
    <w:rsid w:val="00D23239"/>
    <w:rsid w:val="00D2342E"/>
    <w:rsid w:val="00D2352E"/>
    <w:rsid w:val="00D235FC"/>
    <w:rsid w:val="00D23729"/>
    <w:rsid w:val="00D237AC"/>
    <w:rsid w:val="00D23845"/>
    <w:rsid w:val="00D2386E"/>
    <w:rsid w:val="00D238ED"/>
    <w:rsid w:val="00D23A0C"/>
    <w:rsid w:val="00D23C0C"/>
    <w:rsid w:val="00D23DEC"/>
    <w:rsid w:val="00D23F23"/>
    <w:rsid w:val="00D24125"/>
    <w:rsid w:val="00D24246"/>
    <w:rsid w:val="00D242D9"/>
    <w:rsid w:val="00D243C0"/>
    <w:rsid w:val="00D246F7"/>
    <w:rsid w:val="00D248B0"/>
    <w:rsid w:val="00D2497C"/>
    <w:rsid w:val="00D249D9"/>
    <w:rsid w:val="00D249DA"/>
    <w:rsid w:val="00D24A19"/>
    <w:rsid w:val="00D24A8E"/>
    <w:rsid w:val="00D24B63"/>
    <w:rsid w:val="00D24D0A"/>
    <w:rsid w:val="00D24EBE"/>
    <w:rsid w:val="00D24EBF"/>
    <w:rsid w:val="00D24F99"/>
    <w:rsid w:val="00D251E9"/>
    <w:rsid w:val="00D25294"/>
    <w:rsid w:val="00D25345"/>
    <w:rsid w:val="00D25439"/>
    <w:rsid w:val="00D2558A"/>
    <w:rsid w:val="00D2559D"/>
    <w:rsid w:val="00D256B8"/>
    <w:rsid w:val="00D256FC"/>
    <w:rsid w:val="00D25788"/>
    <w:rsid w:val="00D25909"/>
    <w:rsid w:val="00D25A44"/>
    <w:rsid w:val="00D25AF8"/>
    <w:rsid w:val="00D25C35"/>
    <w:rsid w:val="00D260E1"/>
    <w:rsid w:val="00D264DF"/>
    <w:rsid w:val="00D2684B"/>
    <w:rsid w:val="00D269A3"/>
    <w:rsid w:val="00D26A34"/>
    <w:rsid w:val="00D26D0A"/>
    <w:rsid w:val="00D26DD4"/>
    <w:rsid w:val="00D26EBB"/>
    <w:rsid w:val="00D2705A"/>
    <w:rsid w:val="00D27112"/>
    <w:rsid w:val="00D27114"/>
    <w:rsid w:val="00D2757B"/>
    <w:rsid w:val="00D276BD"/>
    <w:rsid w:val="00D276BF"/>
    <w:rsid w:val="00D277DB"/>
    <w:rsid w:val="00D277E7"/>
    <w:rsid w:val="00D278E9"/>
    <w:rsid w:val="00D27A6B"/>
    <w:rsid w:val="00D27ABC"/>
    <w:rsid w:val="00D27DB6"/>
    <w:rsid w:val="00D27E05"/>
    <w:rsid w:val="00D27EAC"/>
    <w:rsid w:val="00D3018A"/>
    <w:rsid w:val="00D30223"/>
    <w:rsid w:val="00D30344"/>
    <w:rsid w:val="00D30381"/>
    <w:rsid w:val="00D304F0"/>
    <w:rsid w:val="00D3063F"/>
    <w:rsid w:val="00D306D8"/>
    <w:rsid w:val="00D30744"/>
    <w:rsid w:val="00D3081B"/>
    <w:rsid w:val="00D30831"/>
    <w:rsid w:val="00D308BF"/>
    <w:rsid w:val="00D308EB"/>
    <w:rsid w:val="00D30959"/>
    <w:rsid w:val="00D309D0"/>
    <w:rsid w:val="00D30C78"/>
    <w:rsid w:val="00D30E76"/>
    <w:rsid w:val="00D310FF"/>
    <w:rsid w:val="00D31115"/>
    <w:rsid w:val="00D3111B"/>
    <w:rsid w:val="00D31193"/>
    <w:rsid w:val="00D3130D"/>
    <w:rsid w:val="00D3136C"/>
    <w:rsid w:val="00D3137E"/>
    <w:rsid w:val="00D313C1"/>
    <w:rsid w:val="00D31467"/>
    <w:rsid w:val="00D3146C"/>
    <w:rsid w:val="00D314B7"/>
    <w:rsid w:val="00D31551"/>
    <w:rsid w:val="00D3161B"/>
    <w:rsid w:val="00D3175A"/>
    <w:rsid w:val="00D319A0"/>
    <w:rsid w:val="00D31B55"/>
    <w:rsid w:val="00D31BBB"/>
    <w:rsid w:val="00D31BFB"/>
    <w:rsid w:val="00D31EB0"/>
    <w:rsid w:val="00D31EE2"/>
    <w:rsid w:val="00D32173"/>
    <w:rsid w:val="00D32382"/>
    <w:rsid w:val="00D32435"/>
    <w:rsid w:val="00D32519"/>
    <w:rsid w:val="00D3251C"/>
    <w:rsid w:val="00D325E3"/>
    <w:rsid w:val="00D327BA"/>
    <w:rsid w:val="00D327DD"/>
    <w:rsid w:val="00D32A7F"/>
    <w:rsid w:val="00D32AE5"/>
    <w:rsid w:val="00D32B01"/>
    <w:rsid w:val="00D32C74"/>
    <w:rsid w:val="00D32D46"/>
    <w:rsid w:val="00D32D84"/>
    <w:rsid w:val="00D32E98"/>
    <w:rsid w:val="00D32EDC"/>
    <w:rsid w:val="00D32F76"/>
    <w:rsid w:val="00D33057"/>
    <w:rsid w:val="00D33118"/>
    <w:rsid w:val="00D331FC"/>
    <w:rsid w:val="00D332A2"/>
    <w:rsid w:val="00D3337E"/>
    <w:rsid w:val="00D33501"/>
    <w:rsid w:val="00D33597"/>
    <w:rsid w:val="00D33657"/>
    <w:rsid w:val="00D336AA"/>
    <w:rsid w:val="00D3371B"/>
    <w:rsid w:val="00D33723"/>
    <w:rsid w:val="00D33743"/>
    <w:rsid w:val="00D33856"/>
    <w:rsid w:val="00D338EB"/>
    <w:rsid w:val="00D33904"/>
    <w:rsid w:val="00D3397E"/>
    <w:rsid w:val="00D33A26"/>
    <w:rsid w:val="00D33CBD"/>
    <w:rsid w:val="00D33CF5"/>
    <w:rsid w:val="00D33D53"/>
    <w:rsid w:val="00D34295"/>
    <w:rsid w:val="00D34338"/>
    <w:rsid w:val="00D34499"/>
    <w:rsid w:val="00D34698"/>
    <w:rsid w:val="00D34708"/>
    <w:rsid w:val="00D34816"/>
    <w:rsid w:val="00D349B6"/>
    <w:rsid w:val="00D34A92"/>
    <w:rsid w:val="00D34D28"/>
    <w:rsid w:val="00D34D33"/>
    <w:rsid w:val="00D34ED3"/>
    <w:rsid w:val="00D34F82"/>
    <w:rsid w:val="00D34F9E"/>
    <w:rsid w:val="00D351B6"/>
    <w:rsid w:val="00D352BF"/>
    <w:rsid w:val="00D352F5"/>
    <w:rsid w:val="00D355B9"/>
    <w:rsid w:val="00D3562C"/>
    <w:rsid w:val="00D35633"/>
    <w:rsid w:val="00D357CA"/>
    <w:rsid w:val="00D35947"/>
    <w:rsid w:val="00D359BE"/>
    <w:rsid w:val="00D359C1"/>
    <w:rsid w:val="00D359DE"/>
    <w:rsid w:val="00D35A96"/>
    <w:rsid w:val="00D35B60"/>
    <w:rsid w:val="00D35B77"/>
    <w:rsid w:val="00D35C97"/>
    <w:rsid w:val="00D35CF9"/>
    <w:rsid w:val="00D35ECF"/>
    <w:rsid w:val="00D35F3A"/>
    <w:rsid w:val="00D3601D"/>
    <w:rsid w:val="00D36074"/>
    <w:rsid w:val="00D3618D"/>
    <w:rsid w:val="00D361AA"/>
    <w:rsid w:val="00D361DF"/>
    <w:rsid w:val="00D3628C"/>
    <w:rsid w:val="00D3633D"/>
    <w:rsid w:val="00D3640E"/>
    <w:rsid w:val="00D364BD"/>
    <w:rsid w:val="00D36576"/>
    <w:rsid w:val="00D365E9"/>
    <w:rsid w:val="00D365FA"/>
    <w:rsid w:val="00D366D8"/>
    <w:rsid w:val="00D366EA"/>
    <w:rsid w:val="00D3672F"/>
    <w:rsid w:val="00D36C1E"/>
    <w:rsid w:val="00D36E57"/>
    <w:rsid w:val="00D36EE1"/>
    <w:rsid w:val="00D36F23"/>
    <w:rsid w:val="00D37035"/>
    <w:rsid w:val="00D371B9"/>
    <w:rsid w:val="00D371BD"/>
    <w:rsid w:val="00D37329"/>
    <w:rsid w:val="00D37411"/>
    <w:rsid w:val="00D37420"/>
    <w:rsid w:val="00D37A40"/>
    <w:rsid w:val="00D37A6F"/>
    <w:rsid w:val="00D37BDA"/>
    <w:rsid w:val="00D37C28"/>
    <w:rsid w:val="00D37C2B"/>
    <w:rsid w:val="00D37CC2"/>
    <w:rsid w:val="00D37E98"/>
    <w:rsid w:val="00D37EA0"/>
    <w:rsid w:val="00D400CA"/>
    <w:rsid w:val="00D40248"/>
    <w:rsid w:val="00D4024A"/>
    <w:rsid w:val="00D402DA"/>
    <w:rsid w:val="00D40425"/>
    <w:rsid w:val="00D40438"/>
    <w:rsid w:val="00D405A5"/>
    <w:rsid w:val="00D407B6"/>
    <w:rsid w:val="00D407C7"/>
    <w:rsid w:val="00D408EA"/>
    <w:rsid w:val="00D40AA7"/>
    <w:rsid w:val="00D40BDB"/>
    <w:rsid w:val="00D40CE6"/>
    <w:rsid w:val="00D40EDB"/>
    <w:rsid w:val="00D40F03"/>
    <w:rsid w:val="00D41036"/>
    <w:rsid w:val="00D4137F"/>
    <w:rsid w:val="00D414B1"/>
    <w:rsid w:val="00D4169C"/>
    <w:rsid w:val="00D41745"/>
    <w:rsid w:val="00D4189D"/>
    <w:rsid w:val="00D41928"/>
    <w:rsid w:val="00D419D2"/>
    <w:rsid w:val="00D41AD8"/>
    <w:rsid w:val="00D41B00"/>
    <w:rsid w:val="00D41D9F"/>
    <w:rsid w:val="00D41E05"/>
    <w:rsid w:val="00D41E87"/>
    <w:rsid w:val="00D41E94"/>
    <w:rsid w:val="00D421D1"/>
    <w:rsid w:val="00D42260"/>
    <w:rsid w:val="00D4226A"/>
    <w:rsid w:val="00D42396"/>
    <w:rsid w:val="00D42483"/>
    <w:rsid w:val="00D425A2"/>
    <w:rsid w:val="00D426A3"/>
    <w:rsid w:val="00D4275B"/>
    <w:rsid w:val="00D427F9"/>
    <w:rsid w:val="00D429E3"/>
    <w:rsid w:val="00D429E5"/>
    <w:rsid w:val="00D42A3B"/>
    <w:rsid w:val="00D42A76"/>
    <w:rsid w:val="00D42B34"/>
    <w:rsid w:val="00D42C5C"/>
    <w:rsid w:val="00D42CBC"/>
    <w:rsid w:val="00D42D5F"/>
    <w:rsid w:val="00D42D64"/>
    <w:rsid w:val="00D42E26"/>
    <w:rsid w:val="00D42E4F"/>
    <w:rsid w:val="00D42E9C"/>
    <w:rsid w:val="00D42F2F"/>
    <w:rsid w:val="00D42FBC"/>
    <w:rsid w:val="00D43007"/>
    <w:rsid w:val="00D43039"/>
    <w:rsid w:val="00D43167"/>
    <w:rsid w:val="00D43236"/>
    <w:rsid w:val="00D4332A"/>
    <w:rsid w:val="00D435C9"/>
    <w:rsid w:val="00D435EB"/>
    <w:rsid w:val="00D43992"/>
    <w:rsid w:val="00D4399C"/>
    <w:rsid w:val="00D43B7E"/>
    <w:rsid w:val="00D43D5C"/>
    <w:rsid w:val="00D43F1A"/>
    <w:rsid w:val="00D43FC1"/>
    <w:rsid w:val="00D43FF3"/>
    <w:rsid w:val="00D4418A"/>
    <w:rsid w:val="00D44256"/>
    <w:rsid w:val="00D4425D"/>
    <w:rsid w:val="00D4426C"/>
    <w:rsid w:val="00D44534"/>
    <w:rsid w:val="00D445E4"/>
    <w:rsid w:val="00D4464C"/>
    <w:rsid w:val="00D44888"/>
    <w:rsid w:val="00D44981"/>
    <w:rsid w:val="00D44A20"/>
    <w:rsid w:val="00D44A88"/>
    <w:rsid w:val="00D44B89"/>
    <w:rsid w:val="00D44C26"/>
    <w:rsid w:val="00D44C33"/>
    <w:rsid w:val="00D44CA8"/>
    <w:rsid w:val="00D44CC9"/>
    <w:rsid w:val="00D44D59"/>
    <w:rsid w:val="00D44E0B"/>
    <w:rsid w:val="00D45046"/>
    <w:rsid w:val="00D4509B"/>
    <w:rsid w:val="00D45130"/>
    <w:rsid w:val="00D451CE"/>
    <w:rsid w:val="00D4527F"/>
    <w:rsid w:val="00D4528B"/>
    <w:rsid w:val="00D4529B"/>
    <w:rsid w:val="00D45346"/>
    <w:rsid w:val="00D4536C"/>
    <w:rsid w:val="00D453AB"/>
    <w:rsid w:val="00D45512"/>
    <w:rsid w:val="00D459D0"/>
    <w:rsid w:val="00D45A56"/>
    <w:rsid w:val="00D45AFA"/>
    <w:rsid w:val="00D45B87"/>
    <w:rsid w:val="00D45C5A"/>
    <w:rsid w:val="00D45C78"/>
    <w:rsid w:val="00D45FC2"/>
    <w:rsid w:val="00D4604D"/>
    <w:rsid w:val="00D46142"/>
    <w:rsid w:val="00D46157"/>
    <w:rsid w:val="00D463D2"/>
    <w:rsid w:val="00D463E2"/>
    <w:rsid w:val="00D4640E"/>
    <w:rsid w:val="00D4646C"/>
    <w:rsid w:val="00D46508"/>
    <w:rsid w:val="00D46526"/>
    <w:rsid w:val="00D46716"/>
    <w:rsid w:val="00D46764"/>
    <w:rsid w:val="00D46B7A"/>
    <w:rsid w:val="00D46B90"/>
    <w:rsid w:val="00D46C79"/>
    <w:rsid w:val="00D46C94"/>
    <w:rsid w:val="00D46DD6"/>
    <w:rsid w:val="00D46DE1"/>
    <w:rsid w:val="00D47035"/>
    <w:rsid w:val="00D4703A"/>
    <w:rsid w:val="00D47142"/>
    <w:rsid w:val="00D471EC"/>
    <w:rsid w:val="00D472BA"/>
    <w:rsid w:val="00D47310"/>
    <w:rsid w:val="00D474DA"/>
    <w:rsid w:val="00D47616"/>
    <w:rsid w:val="00D47722"/>
    <w:rsid w:val="00D4782A"/>
    <w:rsid w:val="00D47892"/>
    <w:rsid w:val="00D478C0"/>
    <w:rsid w:val="00D47A62"/>
    <w:rsid w:val="00D47ACC"/>
    <w:rsid w:val="00D47B54"/>
    <w:rsid w:val="00D47C12"/>
    <w:rsid w:val="00D47CEB"/>
    <w:rsid w:val="00D47D7C"/>
    <w:rsid w:val="00D47DEB"/>
    <w:rsid w:val="00D47E44"/>
    <w:rsid w:val="00D47FCD"/>
    <w:rsid w:val="00D50242"/>
    <w:rsid w:val="00D502A6"/>
    <w:rsid w:val="00D5033A"/>
    <w:rsid w:val="00D505F9"/>
    <w:rsid w:val="00D50606"/>
    <w:rsid w:val="00D50675"/>
    <w:rsid w:val="00D5090D"/>
    <w:rsid w:val="00D50A2B"/>
    <w:rsid w:val="00D50AED"/>
    <w:rsid w:val="00D50B4B"/>
    <w:rsid w:val="00D50B92"/>
    <w:rsid w:val="00D50BD3"/>
    <w:rsid w:val="00D50D7B"/>
    <w:rsid w:val="00D50D99"/>
    <w:rsid w:val="00D50E77"/>
    <w:rsid w:val="00D50ED0"/>
    <w:rsid w:val="00D50F25"/>
    <w:rsid w:val="00D50F2D"/>
    <w:rsid w:val="00D5101D"/>
    <w:rsid w:val="00D51352"/>
    <w:rsid w:val="00D5144E"/>
    <w:rsid w:val="00D514F4"/>
    <w:rsid w:val="00D51585"/>
    <w:rsid w:val="00D515DB"/>
    <w:rsid w:val="00D516B4"/>
    <w:rsid w:val="00D517DF"/>
    <w:rsid w:val="00D5181B"/>
    <w:rsid w:val="00D51902"/>
    <w:rsid w:val="00D51ABC"/>
    <w:rsid w:val="00D51B61"/>
    <w:rsid w:val="00D51BEB"/>
    <w:rsid w:val="00D51CAA"/>
    <w:rsid w:val="00D51CAB"/>
    <w:rsid w:val="00D51CC0"/>
    <w:rsid w:val="00D51CF7"/>
    <w:rsid w:val="00D51E3F"/>
    <w:rsid w:val="00D51FB4"/>
    <w:rsid w:val="00D52075"/>
    <w:rsid w:val="00D52518"/>
    <w:rsid w:val="00D52577"/>
    <w:rsid w:val="00D5273D"/>
    <w:rsid w:val="00D527F5"/>
    <w:rsid w:val="00D527F6"/>
    <w:rsid w:val="00D52890"/>
    <w:rsid w:val="00D5289F"/>
    <w:rsid w:val="00D528D8"/>
    <w:rsid w:val="00D528FC"/>
    <w:rsid w:val="00D5293A"/>
    <w:rsid w:val="00D5296A"/>
    <w:rsid w:val="00D52BDE"/>
    <w:rsid w:val="00D52DA9"/>
    <w:rsid w:val="00D52DBB"/>
    <w:rsid w:val="00D52DD1"/>
    <w:rsid w:val="00D530D7"/>
    <w:rsid w:val="00D531C9"/>
    <w:rsid w:val="00D532AF"/>
    <w:rsid w:val="00D53341"/>
    <w:rsid w:val="00D5348E"/>
    <w:rsid w:val="00D534E3"/>
    <w:rsid w:val="00D53511"/>
    <w:rsid w:val="00D53562"/>
    <w:rsid w:val="00D53567"/>
    <w:rsid w:val="00D53616"/>
    <w:rsid w:val="00D53901"/>
    <w:rsid w:val="00D53A30"/>
    <w:rsid w:val="00D53DA6"/>
    <w:rsid w:val="00D53DF1"/>
    <w:rsid w:val="00D53FB8"/>
    <w:rsid w:val="00D54025"/>
    <w:rsid w:val="00D5402E"/>
    <w:rsid w:val="00D54046"/>
    <w:rsid w:val="00D54261"/>
    <w:rsid w:val="00D54466"/>
    <w:rsid w:val="00D544FD"/>
    <w:rsid w:val="00D5468D"/>
    <w:rsid w:val="00D54710"/>
    <w:rsid w:val="00D54885"/>
    <w:rsid w:val="00D54948"/>
    <w:rsid w:val="00D54A69"/>
    <w:rsid w:val="00D54C0D"/>
    <w:rsid w:val="00D54C35"/>
    <w:rsid w:val="00D54D61"/>
    <w:rsid w:val="00D55097"/>
    <w:rsid w:val="00D551AF"/>
    <w:rsid w:val="00D553A7"/>
    <w:rsid w:val="00D553E5"/>
    <w:rsid w:val="00D554E1"/>
    <w:rsid w:val="00D55567"/>
    <w:rsid w:val="00D556A2"/>
    <w:rsid w:val="00D5583C"/>
    <w:rsid w:val="00D55857"/>
    <w:rsid w:val="00D558AD"/>
    <w:rsid w:val="00D55AD5"/>
    <w:rsid w:val="00D55B9B"/>
    <w:rsid w:val="00D55CAC"/>
    <w:rsid w:val="00D55E04"/>
    <w:rsid w:val="00D55E7D"/>
    <w:rsid w:val="00D55F13"/>
    <w:rsid w:val="00D55F52"/>
    <w:rsid w:val="00D560A7"/>
    <w:rsid w:val="00D56149"/>
    <w:rsid w:val="00D56249"/>
    <w:rsid w:val="00D5636F"/>
    <w:rsid w:val="00D564D1"/>
    <w:rsid w:val="00D5659B"/>
    <w:rsid w:val="00D56614"/>
    <w:rsid w:val="00D5665D"/>
    <w:rsid w:val="00D5676F"/>
    <w:rsid w:val="00D569CC"/>
    <w:rsid w:val="00D56A3D"/>
    <w:rsid w:val="00D56A6A"/>
    <w:rsid w:val="00D56BB0"/>
    <w:rsid w:val="00D56BC7"/>
    <w:rsid w:val="00D56BCF"/>
    <w:rsid w:val="00D56C9C"/>
    <w:rsid w:val="00D56D25"/>
    <w:rsid w:val="00D56D6A"/>
    <w:rsid w:val="00D56D87"/>
    <w:rsid w:val="00D56E88"/>
    <w:rsid w:val="00D56ED0"/>
    <w:rsid w:val="00D570DF"/>
    <w:rsid w:val="00D57190"/>
    <w:rsid w:val="00D5719D"/>
    <w:rsid w:val="00D572A5"/>
    <w:rsid w:val="00D572D0"/>
    <w:rsid w:val="00D57386"/>
    <w:rsid w:val="00D57665"/>
    <w:rsid w:val="00D57702"/>
    <w:rsid w:val="00D57832"/>
    <w:rsid w:val="00D578CC"/>
    <w:rsid w:val="00D57932"/>
    <w:rsid w:val="00D57A74"/>
    <w:rsid w:val="00D57ACB"/>
    <w:rsid w:val="00D57C43"/>
    <w:rsid w:val="00D57C73"/>
    <w:rsid w:val="00D57C8A"/>
    <w:rsid w:val="00D57C9E"/>
    <w:rsid w:val="00D57CB1"/>
    <w:rsid w:val="00D57D69"/>
    <w:rsid w:val="00D57F81"/>
    <w:rsid w:val="00D601FB"/>
    <w:rsid w:val="00D6040B"/>
    <w:rsid w:val="00D60616"/>
    <w:rsid w:val="00D6081F"/>
    <w:rsid w:val="00D6085F"/>
    <w:rsid w:val="00D609DB"/>
    <w:rsid w:val="00D60AC6"/>
    <w:rsid w:val="00D60B17"/>
    <w:rsid w:val="00D60BEE"/>
    <w:rsid w:val="00D60BFD"/>
    <w:rsid w:val="00D60C1C"/>
    <w:rsid w:val="00D60C84"/>
    <w:rsid w:val="00D610FD"/>
    <w:rsid w:val="00D61208"/>
    <w:rsid w:val="00D61320"/>
    <w:rsid w:val="00D6146C"/>
    <w:rsid w:val="00D6149D"/>
    <w:rsid w:val="00D61571"/>
    <w:rsid w:val="00D6182A"/>
    <w:rsid w:val="00D618E4"/>
    <w:rsid w:val="00D618F8"/>
    <w:rsid w:val="00D61AE3"/>
    <w:rsid w:val="00D61BFE"/>
    <w:rsid w:val="00D61DBF"/>
    <w:rsid w:val="00D61E49"/>
    <w:rsid w:val="00D61EE8"/>
    <w:rsid w:val="00D61F8A"/>
    <w:rsid w:val="00D61FB9"/>
    <w:rsid w:val="00D61FF6"/>
    <w:rsid w:val="00D6243D"/>
    <w:rsid w:val="00D624FF"/>
    <w:rsid w:val="00D62590"/>
    <w:rsid w:val="00D62621"/>
    <w:rsid w:val="00D627AA"/>
    <w:rsid w:val="00D627E3"/>
    <w:rsid w:val="00D627E6"/>
    <w:rsid w:val="00D62854"/>
    <w:rsid w:val="00D62890"/>
    <w:rsid w:val="00D62A4F"/>
    <w:rsid w:val="00D62A69"/>
    <w:rsid w:val="00D62BFB"/>
    <w:rsid w:val="00D62BFE"/>
    <w:rsid w:val="00D62C85"/>
    <w:rsid w:val="00D62D48"/>
    <w:rsid w:val="00D6303C"/>
    <w:rsid w:val="00D6307E"/>
    <w:rsid w:val="00D63269"/>
    <w:rsid w:val="00D632DF"/>
    <w:rsid w:val="00D632F2"/>
    <w:rsid w:val="00D63300"/>
    <w:rsid w:val="00D633AB"/>
    <w:rsid w:val="00D633BC"/>
    <w:rsid w:val="00D63560"/>
    <w:rsid w:val="00D635A1"/>
    <w:rsid w:val="00D635D5"/>
    <w:rsid w:val="00D635DA"/>
    <w:rsid w:val="00D63793"/>
    <w:rsid w:val="00D6385B"/>
    <w:rsid w:val="00D63860"/>
    <w:rsid w:val="00D639C1"/>
    <w:rsid w:val="00D63C16"/>
    <w:rsid w:val="00D63FCC"/>
    <w:rsid w:val="00D64078"/>
    <w:rsid w:val="00D64117"/>
    <w:rsid w:val="00D642AF"/>
    <w:rsid w:val="00D642E5"/>
    <w:rsid w:val="00D6433F"/>
    <w:rsid w:val="00D64444"/>
    <w:rsid w:val="00D6445C"/>
    <w:rsid w:val="00D6471D"/>
    <w:rsid w:val="00D647DC"/>
    <w:rsid w:val="00D64853"/>
    <w:rsid w:val="00D648E2"/>
    <w:rsid w:val="00D64AF8"/>
    <w:rsid w:val="00D64B11"/>
    <w:rsid w:val="00D64BDF"/>
    <w:rsid w:val="00D64D0A"/>
    <w:rsid w:val="00D64D0D"/>
    <w:rsid w:val="00D64EC2"/>
    <w:rsid w:val="00D64F0F"/>
    <w:rsid w:val="00D64F50"/>
    <w:rsid w:val="00D6501E"/>
    <w:rsid w:val="00D65031"/>
    <w:rsid w:val="00D650C9"/>
    <w:rsid w:val="00D650FF"/>
    <w:rsid w:val="00D6510F"/>
    <w:rsid w:val="00D65113"/>
    <w:rsid w:val="00D65141"/>
    <w:rsid w:val="00D651F1"/>
    <w:rsid w:val="00D65278"/>
    <w:rsid w:val="00D6545E"/>
    <w:rsid w:val="00D654CB"/>
    <w:rsid w:val="00D65573"/>
    <w:rsid w:val="00D655A2"/>
    <w:rsid w:val="00D6561D"/>
    <w:rsid w:val="00D656E3"/>
    <w:rsid w:val="00D65742"/>
    <w:rsid w:val="00D6576B"/>
    <w:rsid w:val="00D65C7F"/>
    <w:rsid w:val="00D65C83"/>
    <w:rsid w:val="00D65DE0"/>
    <w:rsid w:val="00D65DF3"/>
    <w:rsid w:val="00D65E17"/>
    <w:rsid w:val="00D65ED9"/>
    <w:rsid w:val="00D65FD0"/>
    <w:rsid w:val="00D661B2"/>
    <w:rsid w:val="00D662DD"/>
    <w:rsid w:val="00D663F1"/>
    <w:rsid w:val="00D664DE"/>
    <w:rsid w:val="00D6659C"/>
    <w:rsid w:val="00D66969"/>
    <w:rsid w:val="00D66B3D"/>
    <w:rsid w:val="00D66C2E"/>
    <w:rsid w:val="00D66C4C"/>
    <w:rsid w:val="00D6707A"/>
    <w:rsid w:val="00D670DE"/>
    <w:rsid w:val="00D6718F"/>
    <w:rsid w:val="00D67342"/>
    <w:rsid w:val="00D6735C"/>
    <w:rsid w:val="00D67374"/>
    <w:rsid w:val="00D673B7"/>
    <w:rsid w:val="00D674C3"/>
    <w:rsid w:val="00D67657"/>
    <w:rsid w:val="00D6783F"/>
    <w:rsid w:val="00D678B4"/>
    <w:rsid w:val="00D679C8"/>
    <w:rsid w:val="00D67A85"/>
    <w:rsid w:val="00D67CE4"/>
    <w:rsid w:val="00D67F95"/>
    <w:rsid w:val="00D70072"/>
    <w:rsid w:val="00D7007A"/>
    <w:rsid w:val="00D701CF"/>
    <w:rsid w:val="00D70286"/>
    <w:rsid w:val="00D702A4"/>
    <w:rsid w:val="00D702C1"/>
    <w:rsid w:val="00D7037C"/>
    <w:rsid w:val="00D705D6"/>
    <w:rsid w:val="00D70742"/>
    <w:rsid w:val="00D7080B"/>
    <w:rsid w:val="00D7095D"/>
    <w:rsid w:val="00D70B03"/>
    <w:rsid w:val="00D70B0E"/>
    <w:rsid w:val="00D70BAD"/>
    <w:rsid w:val="00D70E46"/>
    <w:rsid w:val="00D7100A"/>
    <w:rsid w:val="00D71026"/>
    <w:rsid w:val="00D7118C"/>
    <w:rsid w:val="00D711A0"/>
    <w:rsid w:val="00D7123D"/>
    <w:rsid w:val="00D71254"/>
    <w:rsid w:val="00D712AB"/>
    <w:rsid w:val="00D71437"/>
    <w:rsid w:val="00D714F9"/>
    <w:rsid w:val="00D71540"/>
    <w:rsid w:val="00D716D1"/>
    <w:rsid w:val="00D71738"/>
    <w:rsid w:val="00D7193D"/>
    <w:rsid w:val="00D71994"/>
    <w:rsid w:val="00D71B69"/>
    <w:rsid w:val="00D71B99"/>
    <w:rsid w:val="00D71D24"/>
    <w:rsid w:val="00D71D7E"/>
    <w:rsid w:val="00D71E5A"/>
    <w:rsid w:val="00D71E7E"/>
    <w:rsid w:val="00D71F6C"/>
    <w:rsid w:val="00D71FDE"/>
    <w:rsid w:val="00D72076"/>
    <w:rsid w:val="00D72086"/>
    <w:rsid w:val="00D720F9"/>
    <w:rsid w:val="00D72233"/>
    <w:rsid w:val="00D7226F"/>
    <w:rsid w:val="00D72396"/>
    <w:rsid w:val="00D724CA"/>
    <w:rsid w:val="00D725EA"/>
    <w:rsid w:val="00D72672"/>
    <w:rsid w:val="00D7273B"/>
    <w:rsid w:val="00D72A0F"/>
    <w:rsid w:val="00D72A39"/>
    <w:rsid w:val="00D72CFF"/>
    <w:rsid w:val="00D72E58"/>
    <w:rsid w:val="00D7305E"/>
    <w:rsid w:val="00D730F2"/>
    <w:rsid w:val="00D73165"/>
    <w:rsid w:val="00D731DC"/>
    <w:rsid w:val="00D731EC"/>
    <w:rsid w:val="00D73291"/>
    <w:rsid w:val="00D73316"/>
    <w:rsid w:val="00D73438"/>
    <w:rsid w:val="00D7351E"/>
    <w:rsid w:val="00D735EB"/>
    <w:rsid w:val="00D73675"/>
    <w:rsid w:val="00D736A6"/>
    <w:rsid w:val="00D73747"/>
    <w:rsid w:val="00D738EB"/>
    <w:rsid w:val="00D73955"/>
    <w:rsid w:val="00D73A74"/>
    <w:rsid w:val="00D73B99"/>
    <w:rsid w:val="00D73BBB"/>
    <w:rsid w:val="00D73C8C"/>
    <w:rsid w:val="00D73C93"/>
    <w:rsid w:val="00D73C98"/>
    <w:rsid w:val="00D73E22"/>
    <w:rsid w:val="00D73E62"/>
    <w:rsid w:val="00D73E6E"/>
    <w:rsid w:val="00D73FAF"/>
    <w:rsid w:val="00D74015"/>
    <w:rsid w:val="00D74029"/>
    <w:rsid w:val="00D7404C"/>
    <w:rsid w:val="00D74052"/>
    <w:rsid w:val="00D74062"/>
    <w:rsid w:val="00D7407E"/>
    <w:rsid w:val="00D74223"/>
    <w:rsid w:val="00D742E0"/>
    <w:rsid w:val="00D743AE"/>
    <w:rsid w:val="00D743B9"/>
    <w:rsid w:val="00D743FC"/>
    <w:rsid w:val="00D7453D"/>
    <w:rsid w:val="00D7472C"/>
    <w:rsid w:val="00D74816"/>
    <w:rsid w:val="00D7482D"/>
    <w:rsid w:val="00D749CD"/>
    <w:rsid w:val="00D74A1B"/>
    <w:rsid w:val="00D74A92"/>
    <w:rsid w:val="00D74AE0"/>
    <w:rsid w:val="00D74F0E"/>
    <w:rsid w:val="00D74F3C"/>
    <w:rsid w:val="00D74F84"/>
    <w:rsid w:val="00D751D8"/>
    <w:rsid w:val="00D751EC"/>
    <w:rsid w:val="00D7543C"/>
    <w:rsid w:val="00D754C5"/>
    <w:rsid w:val="00D75533"/>
    <w:rsid w:val="00D755BE"/>
    <w:rsid w:val="00D7563B"/>
    <w:rsid w:val="00D757A5"/>
    <w:rsid w:val="00D7596C"/>
    <w:rsid w:val="00D75A95"/>
    <w:rsid w:val="00D75AEF"/>
    <w:rsid w:val="00D75B84"/>
    <w:rsid w:val="00D75D09"/>
    <w:rsid w:val="00D75D52"/>
    <w:rsid w:val="00D75DA2"/>
    <w:rsid w:val="00D75F25"/>
    <w:rsid w:val="00D75F8A"/>
    <w:rsid w:val="00D75FDD"/>
    <w:rsid w:val="00D75FEB"/>
    <w:rsid w:val="00D760E3"/>
    <w:rsid w:val="00D760EA"/>
    <w:rsid w:val="00D76148"/>
    <w:rsid w:val="00D76150"/>
    <w:rsid w:val="00D76220"/>
    <w:rsid w:val="00D76224"/>
    <w:rsid w:val="00D7628F"/>
    <w:rsid w:val="00D763B0"/>
    <w:rsid w:val="00D763BB"/>
    <w:rsid w:val="00D7652E"/>
    <w:rsid w:val="00D76622"/>
    <w:rsid w:val="00D7668E"/>
    <w:rsid w:val="00D7677D"/>
    <w:rsid w:val="00D76945"/>
    <w:rsid w:val="00D76A91"/>
    <w:rsid w:val="00D76C1A"/>
    <w:rsid w:val="00D76C48"/>
    <w:rsid w:val="00D76C87"/>
    <w:rsid w:val="00D76D4F"/>
    <w:rsid w:val="00D76F32"/>
    <w:rsid w:val="00D76FAD"/>
    <w:rsid w:val="00D770BE"/>
    <w:rsid w:val="00D771B8"/>
    <w:rsid w:val="00D772C8"/>
    <w:rsid w:val="00D773B3"/>
    <w:rsid w:val="00D77635"/>
    <w:rsid w:val="00D776AC"/>
    <w:rsid w:val="00D776B9"/>
    <w:rsid w:val="00D77782"/>
    <w:rsid w:val="00D777B6"/>
    <w:rsid w:val="00D778D2"/>
    <w:rsid w:val="00D778D4"/>
    <w:rsid w:val="00D77AE2"/>
    <w:rsid w:val="00D77B5D"/>
    <w:rsid w:val="00D77BEA"/>
    <w:rsid w:val="00D77D20"/>
    <w:rsid w:val="00D77D2E"/>
    <w:rsid w:val="00D77DE3"/>
    <w:rsid w:val="00D77E96"/>
    <w:rsid w:val="00D77F20"/>
    <w:rsid w:val="00D77F5C"/>
    <w:rsid w:val="00D801B5"/>
    <w:rsid w:val="00D8026D"/>
    <w:rsid w:val="00D803FB"/>
    <w:rsid w:val="00D804B9"/>
    <w:rsid w:val="00D807A1"/>
    <w:rsid w:val="00D8088E"/>
    <w:rsid w:val="00D808EC"/>
    <w:rsid w:val="00D80A8E"/>
    <w:rsid w:val="00D80C2B"/>
    <w:rsid w:val="00D80C83"/>
    <w:rsid w:val="00D80D5F"/>
    <w:rsid w:val="00D80DA8"/>
    <w:rsid w:val="00D80E05"/>
    <w:rsid w:val="00D80E36"/>
    <w:rsid w:val="00D80EA7"/>
    <w:rsid w:val="00D80EE9"/>
    <w:rsid w:val="00D812B2"/>
    <w:rsid w:val="00D812FB"/>
    <w:rsid w:val="00D81305"/>
    <w:rsid w:val="00D81524"/>
    <w:rsid w:val="00D81551"/>
    <w:rsid w:val="00D8169F"/>
    <w:rsid w:val="00D81709"/>
    <w:rsid w:val="00D81711"/>
    <w:rsid w:val="00D817A2"/>
    <w:rsid w:val="00D81B01"/>
    <w:rsid w:val="00D81C24"/>
    <w:rsid w:val="00D81C5F"/>
    <w:rsid w:val="00D81CAD"/>
    <w:rsid w:val="00D81D8F"/>
    <w:rsid w:val="00D81E32"/>
    <w:rsid w:val="00D81EC5"/>
    <w:rsid w:val="00D82247"/>
    <w:rsid w:val="00D82373"/>
    <w:rsid w:val="00D82518"/>
    <w:rsid w:val="00D826DE"/>
    <w:rsid w:val="00D82777"/>
    <w:rsid w:val="00D8284A"/>
    <w:rsid w:val="00D828AB"/>
    <w:rsid w:val="00D82904"/>
    <w:rsid w:val="00D829A3"/>
    <w:rsid w:val="00D82B85"/>
    <w:rsid w:val="00D82BF5"/>
    <w:rsid w:val="00D82C94"/>
    <w:rsid w:val="00D82CB2"/>
    <w:rsid w:val="00D82DD8"/>
    <w:rsid w:val="00D82DF3"/>
    <w:rsid w:val="00D82F7E"/>
    <w:rsid w:val="00D82FB9"/>
    <w:rsid w:val="00D8300C"/>
    <w:rsid w:val="00D83040"/>
    <w:rsid w:val="00D830F8"/>
    <w:rsid w:val="00D83127"/>
    <w:rsid w:val="00D83209"/>
    <w:rsid w:val="00D8324A"/>
    <w:rsid w:val="00D83259"/>
    <w:rsid w:val="00D8346D"/>
    <w:rsid w:val="00D8365C"/>
    <w:rsid w:val="00D836EF"/>
    <w:rsid w:val="00D837A8"/>
    <w:rsid w:val="00D837F6"/>
    <w:rsid w:val="00D83A0A"/>
    <w:rsid w:val="00D83E01"/>
    <w:rsid w:val="00D83F16"/>
    <w:rsid w:val="00D83F1C"/>
    <w:rsid w:val="00D83F31"/>
    <w:rsid w:val="00D83F93"/>
    <w:rsid w:val="00D83FFF"/>
    <w:rsid w:val="00D8402F"/>
    <w:rsid w:val="00D84066"/>
    <w:rsid w:val="00D84147"/>
    <w:rsid w:val="00D84344"/>
    <w:rsid w:val="00D84357"/>
    <w:rsid w:val="00D84634"/>
    <w:rsid w:val="00D84668"/>
    <w:rsid w:val="00D84696"/>
    <w:rsid w:val="00D84977"/>
    <w:rsid w:val="00D84CBF"/>
    <w:rsid w:val="00D84CF5"/>
    <w:rsid w:val="00D85076"/>
    <w:rsid w:val="00D850EB"/>
    <w:rsid w:val="00D851C0"/>
    <w:rsid w:val="00D852FE"/>
    <w:rsid w:val="00D853D1"/>
    <w:rsid w:val="00D8546B"/>
    <w:rsid w:val="00D855D0"/>
    <w:rsid w:val="00D85767"/>
    <w:rsid w:val="00D857AD"/>
    <w:rsid w:val="00D859B0"/>
    <w:rsid w:val="00D85A90"/>
    <w:rsid w:val="00D85AB7"/>
    <w:rsid w:val="00D85BE2"/>
    <w:rsid w:val="00D85BF6"/>
    <w:rsid w:val="00D85C79"/>
    <w:rsid w:val="00D85D3F"/>
    <w:rsid w:val="00D85D9E"/>
    <w:rsid w:val="00D85DE3"/>
    <w:rsid w:val="00D85DEA"/>
    <w:rsid w:val="00D85E2C"/>
    <w:rsid w:val="00D85F32"/>
    <w:rsid w:val="00D8606F"/>
    <w:rsid w:val="00D861D9"/>
    <w:rsid w:val="00D86477"/>
    <w:rsid w:val="00D864F4"/>
    <w:rsid w:val="00D86526"/>
    <w:rsid w:val="00D86710"/>
    <w:rsid w:val="00D8697E"/>
    <w:rsid w:val="00D86B3E"/>
    <w:rsid w:val="00D86C92"/>
    <w:rsid w:val="00D86C96"/>
    <w:rsid w:val="00D86D05"/>
    <w:rsid w:val="00D86D2A"/>
    <w:rsid w:val="00D86D4D"/>
    <w:rsid w:val="00D87019"/>
    <w:rsid w:val="00D87061"/>
    <w:rsid w:val="00D8710A"/>
    <w:rsid w:val="00D87119"/>
    <w:rsid w:val="00D8720A"/>
    <w:rsid w:val="00D87254"/>
    <w:rsid w:val="00D87290"/>
    <w:rsid w:val="00D874C2"/>
    <w:rsid w:val="00D8752F"/>
    <w:rsid w:val="00D87D45"/>
    <w:rsid w:val="00D87DAD"/>
    <w:rsid w:val="00D87E0A"/>
    <w:rsid w:val="00D87FB0"/>
    <w:rsid w:val="00D900A4"/>
    <w:rsid w:val="00D900EE"/>
    <w:rsid w:val="00D900FC"/>
    <w:rsid w:val="00D901D9"/>
    <w:rsid w:val="00D90304"/>
    <w:rsid w:val="00D9044E"/>
    <w:rsid w:val="00D90469"/>
    <w:rsid w:val="00D9052E"/>
    <w:rsid w:val="00D906FB"/>
    <w:rsid w:val="00D90706"/>
    <w:rsid w:val="00D907CF"/>
    <w:rsid w:val="00D9097B"/>
    <w:rsid w:val="00D90995"/>
    <w:rsid w:val="00D909AE"/>
    <w:rsid w:val="00D90C65"/>
    <w:rsid w:val="00D90C96"/>
    <w:rsid w:val="00D90D70"/>
    <w:rsid w:val="00D90F80"/>
    <w:rsid w:val="00D90F81"/>
    <w:rsid w:val="00D90F89"/>
    <w:rsid w:val="00D90F8A"/>
    <w:rsid w:val="00D90F9F"/>
    <w:rsid w:val="00D910D6"/>
    <w:rsid w:val="00D9110A"/>
    <w:rsid w:val="00D911FD"/>
    <w:rsid w:val="00D91233"/>
    <w:rsid w:val="00D912E5"/>
    <w:rsid w:val="00D91391"/>
    <w:rsid w:val="00D914FF"/>
    <w:rsid w:val="00D91570"/>
    <w:rsid w:val="00D915C8"/>
    <w:rsid w:val="00D916C8"/>
    <w:rsid w:val="00D917D3"/>
    <w:rsid w:val="00D919EA"/>
    <w:rsid w:val="00D91AC3"/>
    <w:rsid w:val="00D91AC7"/>
    <w:rsid w:val="00D91C6C"/>
    <w:rsid w:val="00D91C7E"/>
    <w:rsid w:val="00D91CAB"/>
    <w:rsid w:val="00D9202E"/>
    <w:rsid w:val="00D9207F"/>
    <w:rsid w:val="00D920A5"/>
    <w:rsid w:val="00D9223A"/>
    <w:rsid w:val="00D926EF"/>
    <w:rsid w:val="00D926F3"/>
    <w:rsid w:val="00D92741"/>
    <w:rsid w:val="00D927C7"/>
    <w:rsid w:val="00D9286B"/>
    <w:rsid w:val="00D9294D"/>
    <w:rsid w:val="00D92B6E"/>
    <w:rsid w:val="00D92C68"/>
    <w:rsid w:val="00D92CA1"/>
    <w:rsid w:val="00D92DD8"/>
    <w:rsid w:val="00D92E2E"/>
    <w:rsid w:val="00D92EC1"/>
    <w:rsid w:val="00D92FBC"/>
    <w:rsid w:val="00D930EC"/>
    <w:rsid w:val="00D93143"/>
    <w:rsid w:val="00D931E4"/>
    <w:rsid w:val="00D93226"/>
    <w:rsid w:val="00D9326E"/>
    <w:rsid w:val="00D93366"/>
    <w:rsid w:val="00D9337D"/>
    <w:rsid w:val="00D9346A"/>
    <w:rsid w:val="00D934AE"/>
    <w:rsid w:val="00D934D3"/>
    <w:rsid w:val="00D93636"/>
    <w:rsid w:val="00D936DD"/>
    <w:rsid w:val="00D9376F"/>
    <w:rsid w:val="00D93805"/>
    <w:rsid w:val="00D9389C"/>
    <w:rsid w:val="00D93AD3"/>
    <w:rsid w:val="00D93B7C"/>
    <w:rsid w:val="00D93DF1"/>
    <w:rsid w:val="00D93EAE"/>
    <w:rsid w:val="00D93ECD"/>
    <w:rsid w:val="00D93EDD"/>
    <w:rsid w:val="00D93FF9"/>
    <w:rsid w:val="00D9407D"/>
    <w:rsid w:val="00D940E1"/>
    <w:rsid w:val="00D94329"/>
    <w:rsid w:val="00D94354"/>
    <w:rsid w:val="00D9438B"/>
    <w:rsid w:val="00D943A3"/>
    <w:rsid w:val="00D94409"/>
    <w:rsid w:val="00D944EA"/>
    <w:rsid w:val="00D94782"/>
    <w:rsid w:val="00D947E7"/>
    <w:rsid w:val="00D9488D"/>
    <w:rsid w:val="00D9491B"/>
    <w:rsid w:val="00D94991"/>
    <w:rsid w:val="00D94E33"/>
    <w:rsid w:val="00D95090"/>
    <w:rsid w:val="00D9517A"/>
    <w:rsid w:val="00D95229"/>
    <w:rsid w:val="00D952B3"/>
    <w:rsid w:val="00D952F9"/>
    <w:rsid w:val="00D954A9"/>
    <w:rsid w:val="00D955A3"/>
    <w:rsid w:val="00D95617"/>
    <w:rsid w:val="00D95619"/>
    <w:rsid w:val="00D958A7"/>
    <w:rsid w:val="00D95936"/>
    <w:rsid w:val="00D95C9F"/>
    <w:rsid w:val="00D95D27"/>
    <w:rsid w:val="00D95D2F"/>
    <w:rsid w:val="00D95D46"/>
    <w:rsid w:val="00D95DE6"/>
    <w:rsid w:val="00D9608E"/>
    <w:rsid w:val="00D961FE"/>
    <w:rsid w:val="00D9628C"/>
    <w:rsid w:val="00D962AE"/>
    <w:rsid w:val="00D96406"/>
    <w:rsid w:val="00D96564"/>
    <w:rsid w:val="00D96595"/>
    <w:rsid w:val="00D965C3"/>
    <w:rsid w:val="00D966A3"/>
    <w:rsid w:val="00D967BD"/>
    <w:rsid w:val="00D96858"/>
    <w:rsid w:val="00D968BF"/>
    <w:rsid w:val="00D96A22"/>
    <w:rsid w:val="00D96A7A"/>
    <w:rsid w:val="00D96B34"/>
    <w:rsid w:val="00D96B36"/>
    <w:rsid w:val="00D96D09"/>
    <w:rsid w:val="00D96E38"/>
    <w:rsid w:val="00D96E39"/>
    <w:rsid w:val="00D96E63"/>
    <w:rsid w:val="00D971B4"/>
    <w:rsid w:val="00D9720E"/>
    <w:rsid w:val="00D9731D"/>
    <w:rsid w:val="00D97411"/>
    <w:rsid w:val="00D974DA"/>
    <w:rsid w:val="00D97632"/>
    <w:rsid w:val="00D9768B"/>
    <w:rsid w:val="00D976E6"/>
    <w:rsid w:val="00D97747"/>
    <w:rsid w:val="00D977D3"/>
    <w:rsid w:val="00D9791F"/>
    <w:rsid w:val="00D97987"/>
    <w:rsid w:val="00D97EC0"/>
    <w:rsid w:val="00D97F32"/>
    <w:rsid w:val="00DA0071"/>
    <w:rsid w:val="00DA012A"/>
    <w:rsid w:val="00DA0134"/>
    <w:rsid w:val="00DA021C"/>
    <w:rsid w:val="00DA02D5"/>
    <w:rsid w:val="00DA0372"/>
    <w:rsid w:val="00DA042C"/>
    <w:rsid w:val="00DA04E3"/>
    <w:rsid w:val="00DA058D"/>
    <w:rsid w:val="00DA05E4"/>
    <w:rsid w:val="00DA062D"/>
    <w:rsid w:val="00DA0648"/>
    <w:rsid w:val="00DA06AB"/>
    <w:rsid w:val="00DA07ED"/>
    <w:rsid w:val="00DA0870"/>
    <w:rsid w:val="00DA0C80"/>
    <w:rsid w:val="00DA0D93"/>
    <w:rsid w:val="00DA0DA6"/>
    <w:rsid w:val="00DA0E9F"/>
    <w:rsid w:val="00DA131E"/>
    <w:rsid w:val="00DA1366"/>
    <w:rsid w:val="00DA1384"/>
    <w:rsid w:val="00DA13A8"/>
    <w:rsid w:val="00DA13AC"/>
    <w:rsid w:val="00DA13F8"/>
    <w:rsid w:val="00DA1684"/>
    <w:rsid w:val="00DA1778"/>
    <w:rsid w:val="00DA17D1"/>
    <w:rsid w:val="00DA1BBA"/>
    <w:rsid w:val="00DA1BCE"/>
    <w:rsid w:val="00DA1C39"/>
    <w:rsid w:val="00DA1C56"/>
    <w:rsid w:val="00DA212F"/>
    <w:rsid w:val="00DA21ED"/>
    <w:rsid w:val="00DA2496"/>
    <w:rsid w:val="00DA265A"/>
    <w:rsid w:val="00DA2699"/>
    <w:rsid w:val="00DA26C1"/>
    <w:rsid w:val="00DA293B"/>
    <w:rsid w:val="00DA2A41"/>
    <w:rsid w:val="00DA2BF6"/>
    <w:rsid w:val="00DA2C11"/>
    <w:rsid w:val="00DA2CC7"/>
    <w:rsid w:val="00DA2D8D"/>
    <w:rsid w:val="00DA2F31"/>
    <w:rsid w:val="00DA2FE5"/>
    <w:rsid w:val="00DA3131"/>
    <w:rsid w:val="00DA3149"/>
    <w:rsid w:val="00DA31C0"/>
    <w:rsid w:val="00DA335D"/>
    <w:rsid w:val="00DA3378"/>
    <w:rsid w:val="00DA33AB"/>
    <w:rsid w:val="00DA3493"/>
    <w:rsid w:val="00DA34BB"/>
    <w:rsid w:val="00DA34F2"/>
    <w:rsid w:val="00DA351C"/>
    <w:rsid w:val="00DA3686"/>
    <w:rsid w:val="00DA3913"/>
    <w:rsid w:val="00DA3987"/>
    <w:rsid w:val="00DA3B8A"/>
    <w:rsid w:val="00DA3C3C"/>
    <w:rsid w:val="00DA3CDD"/>
    <w:rsid w:val="00DA3D18"/>
    <w:rsid w:val="00DA3EC8"/>
    <w:rsid w:val="00DA3F43"/>
    <w:rsid w:val="00DA40B9"/>
    <w:rsid w:val="00DA41B3"/>
    <w:rsid w:val="00DA42D4"/>
    <w:rsid w:val="00DA43EB"/>
    <w:rsid w:val="00DA4470"/>
    <w:rsid w:val="00DA4486"/>
    <w:rsid w:val="00DA44E4"/>
    <w:rsid w:val="00DA4A12"/>
    <w:rsid w:val="00DA4BCA"/>
    <w:rsid w:val="00DA4BD9"/>
    <w:rsid w:val="00DA4D20"/>
    <w:rsid w:val="00DA4E65"/>
    <w:rsid w:val="00DA4EC4"/>
    <w:rsid w:val="00DA502E"/>
    <w:rsid w:val="00DA503A"/>
    <w:rsid w:val="00DA504B"/>
    <w:rsid w:val="00DA506A"/>
    <w:rsid w:val="00DA50C1"/>
    <w:rsid w:val="00DA51DF"/>
    <w:rsid w:val="00DA523D"/>
    <w:rsid w:val="00DA528F"/>
    <w:rsid w:val="00DA5355"/>
    <w:rsid w:val="00DA54FC"/>
    <w:rsid w:val="00DA557D"/>
    <w:rsid w:val="00DA55CF"/>
    <w:rsid w:val="00DA5764"/>
    <w:rsid w:val="00DA57B4"/>
    <w:rsid w:val="00DA57E2"/>
    <w:rsid w:val="00DA5922"/>
    <w:rsid w:val="00DA5A5F"/>
    <w:rsid w:val="00DA5A7F"/>
    <w:rsid w:val="00DA5C62"/>
    <w:rsid w:val="00DA5E39"/>
    <w:rsid w:val="00DA5E90"/>
    <w:rsid w:val="00DA5EF9"/>
    <w:rsid w:val="00DA6080"/>
    <w:rsid w:val="00DA6208"/>
    <w:rsid w:val="00DA6279"/>
    <w:rsid w:val="00DA62A4"/>
    <w:rsid w:val="00DA6307"/>
    <w:rsid w:val="00DA64C8"/>
    <w:rsid w:val="00DA650E"/>
    <w:rsid w:val="00DA652F"/>
    <w:rsid w:val="00DA65C7"/>
    <w:rsid w:val="00DA664C"/>
    <w:rsid w:val="00DA673C"/>
    <w:rsid w:val="00DA67FD"/>
    <w:rsid w:val="00DA68C1"/>
    <w:rsid w:val="00DA69C8"/>
    <w:rsid w:val="00DA6A72"/>
    <w:rsid w:val="00DA6BA0"/>
    <w:rsid w:val="00DA6C72"/>
    <w:rsid w:val="00DA6D03"/>
    <w:rsid w:val="00DA6E22"/>
    <w:rsid w:val="00DA6F7D"/>
    <w:rsid w:val="00DA7070"/>
    <w:rsid w:val="00DA7240"/>
    <w:rsid w:val="00DA744A"/>
    <w:rsid w:val="00DA7507"/>
    <w:rsid w:val="00DA7608"/>
    <w:rsid w:val="00DA79E6"/>
    <w:rsid w:val="00DA7B1A"/>
    <w:rsid w:val="00DA7C69"/>
    <w:rsid w:val="00DA7DEC"/>
    <w:rsid w:val="00DA7EDB"/>
    <w:rsid w:val="00DA7F05"/>
    <w:rsid w:val="00DB0047"/>
    <w:rsid w:val="00DB01DD"/>
    <w:rsid w:val="00DB0301"/>
    <w:rsid w:val="00DB0324"/>
    <w:rsid w:val="00DB0340"/>
    <w:rsid w:val="00DB03D9"/>
    <w:rsid w:val="00DB04C3"/>
    <w:rsid w:val="00DB0545"/>
    <w:rsid w:val="00DB06DC"/>
    <w:rsid w:val="00DB0715"/>
    <w:rsid w:val="00DB087B"/>
    <w:rsid w:val="00DB0C62"/>
    <w:rsid w:val="00DB0E1D"/>
    <w:rsid w:val="00DB10AB"/>
    <w:rsid w:val="00DB10BC"/>
    <w:rsid w:val="00DB1152"/>
    <w:rsid w:val="00DB118C"/>
    <w:rsid w:val="00DB1351"/>
    <w:rsid w:val="00DB15D1"/>
    <w:rsid w:val="00DB1603"/>
    <w:rsid w:val="00DB1630"/>
    <w:rsid w:val="00DB165F"/>
    <w:rsid w:val="00DB16BC"/>
    <w:rsid w:val="00DB1795"/>
    <w:rsid w:val="00DB17CC"/>
    <w:rsid w:val="00DB1907"/>
    <w:rsid w:val="00DB19EE"/>
    <w:rsid w:val="00DB1A8F"/>
    <w:rsid w:val="00DB1AAE"/>
    <w:rsid w:val="00DB1AE9"/>
    <w:rsid w:val="00DB1C25"/>
    <w:rsid w:val="00DB1C81"/>
    <w:rsid w:val="00DB1CD1"/>
    <w:rsid w:val="00DB1D42"/>
    <w:rsid w:val="00DB1F10"/>
    <w:rsid w:val="00DB1F44"/>
    <w:rsid w:val="00DB1F48"/>
    <w:rsid w:val="00DB2078"/>
    <w:rsid w:val="00DB207F"/>
    <w:rsid w:val="00DB229C"/>
    <w:rsid w:val="00DB23A3"/>
    <w:rsid w:val="00DB23EE"/>
    <w:rsid w:val="00DB2494"/>
    <w:rsid w:val="00DB28B7"/>
    <w:rsid w:val="00DB2975"/>
    <w:rsid w:val="00DB2A38"/>
    <w:rsid w:val="00DB2AD5"/>
    <w:rsid w:val="00DB2C89"/>
    <w:rsid w:val="00DB2D34"/>
    <w:rsid w:val="00DB2D5B"/>
    <w:rsid w:val="00DB2FD4"/>
    <w:rsid w:val="00DB3269"/>
    <w:rsid w:val="00DB343A"/>
    <w:rsid w:val="00DB349D"/>
    <w:rsid w:val="00DB35F9"/>
    <w:rsid w:val="00DB375D"/>
    <w:rsid w:val="00DB3785"/>
    <w:rsid w:val="00DB3859"/>
    <w:rsid w:val="00DB396C"/>
    <w:rsid w:val="00DB39CB"/>
    <w:rsid w:val="00DB3ACA"/>
    <w:rsid w:val="00DB3C47"/>
    <w:rsid w:val="00DB3C90"/>
    <w:rsid w:val="00DB3CEA"/>
    <w:rsid w:val="00DB3E17"/>
    <w:rsid w:val="00DB3E5B"/>
    <w:rsid w:val="00DB3F2B"/>
    <w:rsid w:val="00DB409C"/>
    <w:rsid w:val="00DB410E"/>
    <w:rsid w:val="00DB4273"/>
    <w:rsid w:val="00DB4354"/>
    <w:rsid w:val="00DB438B"/>
    <w:rsid w:val="00DB4421"/>
    <w:rsid w:val="00DB44DF"/>
    <w:rsid w:val="00DB4694"/>
    <w:rsid w:val="00DB46BF"/>
    <w:rsid w:val="00DB47B5"/>
    <w:rsid w:val="00DB48D5"/>
    <w:rsid w:val="00DB48E2"/>
    <w:rsid w:val="00DB4927"/>
    <w:rsid w:val="00DB4980"/>
    <w:rsid w:val="00DB4990"/>
    <w:rsid w:val="00DB4A1D"/>
    <w:rsid w:val="00DB4ADE"/>
    <w:rsid w:val="00DB4B55"/>
    <w:rsid w:val="00DB4C97"/>
    <w:rsid w:val="00DB4D96"/>
    <w:rsid w:val="00DB4DDB"/>
    <w:rsid w:val="00DB50F6"/>
    <w:rsid w:val="00DB5184"/>
    <w:rsid w:val="00DB5235"/>
    <w:rsid w:val="00DB52CD"/>
    <w:rsid w:val="00DB52F5"/>
    <w:rsid w:val="00DB534E"/>
    <w:rsid w:val="00DB547A"/>
    <w:rsid w:val="00DB54FC"/>
    <w:rsid w:val="00DB55F0"/>
    <w:rsid w:val="00DB5820"/>
    <w:rsid w:val="00DB59CE"/>
    <w:rsid w:val="00DB5A11"/>
    <w:rsid w:val="00DB5AB0"/>
    <w:rsid w:val="00DB5B30"/>
    <w:rsid w:val="00DB5B33"/>
    <w:rsid w:val="00DB5CEE"/>
    <w:rsid w:val="00DB5D1C"/>
    <w:rsid w:val="00DB5F3F"/>
    <w:rsid w:val="00DB5F46"/>
    <w:rsid w:val="00DB5F4B"/>
    <w:rsid w:val="00DB60CF"/>
    <w:rsid w:val="00DB61EC"/>
    <w:rsid w:val="00DB6334"/>
    <w:rsid w:val="00DB65BE"/>
    <w:rsid w:val="00DB66F5"/>
    <w:rsid w:val="00DB6724"/>
    <w:rsid w:val="00DB688A"/>
    <w:rsid w:val="00DB68A3"/>
    <w:rsid w:val="00DB6D2D"/>
    <w:rsid w:val="00DB708C"/>
    <w:rsid w:val="00DB7274"/>
    <w:rsid w:val="00DB753D"/>
    <w:rsid w:val="00DB7566"/>
    <w:rsid w:val="00DB77A7"/>
    <w:rsid w:val="00DB77BB"/>
    <w:rsid w:val="00DB790B"/>
    <w:rsid w:val="00DB7958"/>
    <w:rsid w:val="00DB7D51"/>
    <w:rsid w:val="00DB7D9D"/>
    <w:rsid w:val="00DB7E5A"/>
    <w:rsid w:val="00DB7EC8"/>
    <w:rsid w:val="00DB7F12"/>
    <w:rsid w:val="00DB7F7D"/>
    <w:rsid w:val="00DC00CA"/>
    <w:rsid w:val="00DC0195"/>
    <w:rsid w:val="00DC034B"/>
    <w:rsid w:val="00DC0572"/>
    <w:rsid w:val="00DC066A"/>
    <w:rsid w:val="00DC0680"/>
    <w:rsid w:val="00DC09ED"/>
    <w:rsid w:val="00DC0A42"/>
    <w:rsid w:val="00DC0BC1"/>
    <w:rsid w:val="00DC0C67"/>
    <w:rsid w:val="00DC0EB2"/>
    <w:rsid w:val="00DC0EDA"/>
    <w:rsid w:val="00DC0FDD"/>
    <w:rsid w:val="00DC1002"/>
    <w:rsid w:val="00DC116D"/>
    <w:rsid w:val="00DC1272"/>
    <w:rsid w:val="00DC13C8"/>
    <w:rsid w:val="00DC13E5"/>
    <w:rsid w:val="00DC14AC"/>
    <w:rsid w:val="00DC17E9"/>
    <w:rsid w:val="00DC1852"/>
    <w:rsid w:val="00DC1979"/>
    <w:rsid w:val="00DC1C2F"/>
    <w:rsid w:val="00DC1CB7"/>
    <w:rsid w:val="00DC1D11"/>
    <w:rsid w:val="00DC1F8C"/>
    <w:rsid w:val="00DC2032"/>
    <w:rsid w:val="00DC210D"/>
    <w:rsid w:val="00DC218C"/>
    <w:rsid w:val="00DC21F8"/>
    <w:rsid w:val="00DC2206"/>
    <w:rsid w:val="00DC2391"/>
    <w:rsid w:val="00DC23F4"/>
    <w:rsid w:val="00DC243E"/>
    <w:rsid w:val="00DC24C3"/>
    <w:rsid w:val="00DC255D"/>
    <w:rsid w:val="00DC25CF"/>
    <w:rsid w:val="00DC264C"/>
    <w:rsid w:val="00DC2876"/>
    <w:rsid w:val="00DC2A07"/>
    <w:rsid w:val="00DC2A2D"/>
    <w:rsid w:val="00DC2A5B"/>
    <w:rsid w:val="00DC2B3B"/>
    <w:rsid w:val="00DC2CD4"/>
    <w:rsid w:val="00DC2DBB"/>
    <w:rsid w:val="00DC2E4D"/>
    <w:rsid w:val="00DC2F9C"/>
    <w:rsid w:val="00DC2FB2"/>
    <w:rsid w:val="00DC30FF"/>
    <w:rsid w:val="00DC3106"/>
    <w:rsid w:val="00DC3159"/>
    <w:rsid w:val="00DC3175"/>
    <w:rsid w:val="00DC3374"/>
    <w:rsid w:val="00DC3536"/>
    <w:rsid w:val="00DC36D7"/>
    <w:rsid w:val="00DC36EC"/>
    <w:rsid w:val="00DC380E"/>
    <w:rsid w:val="00DC3967"/>
    <w:rsid w:val="00DC3AC5"/>
    <w:rsid w:val="00DC3C12"/>
    <w:rsid w:val="00DC3C2A"/>
    <w:rsid w:val="00DC3E08"/>
    <w:rsid w:val="00DC40E8"/>
    <w:rsid w:val="00DC4180"/>
    <w:rsid w:val="00DC44F2"/>
    <w:rsid w:val="00DC453C"/>
    <w:rsid w:val="00DC4547"/>
    <w:rsid w:val="00DC489B"/>
    <w:rsid w:val="00DC4929"/>
    <w:rsid w:val="00DC4B55"/>
    <w:rsid w:val="00DC4B68"/>
    <w:rsid w:val="00DC4D13"/>
    <w:rsid w:val="00DC4E83"/>
    <w:rsid w:val="00DC4F13"/>
    <w:rsid w:val="00DC4F6B"/>
    <w:rsid w:val="00DC4FD0"/>
    <w:rsid w:val="00DC510A"/>
    <w:rsid w:val="00DC5238"/>
    <w:rsid w:val="00DC5287"/>
    <w:rsid w:val="00DC5375"/>
    <w:rsid w:val="00DC54E5"/>
    <w:rsid w:val="00DC54E6"/>
    <w:rsid w:val="00DC558C"/>
    <w:rsid w:val="00DC5802"/>
    <w:rsid w:val="00DC581A"/>
    <w:rsid w:val="00DC5AB8"/>
    <w:rsid w:val="00DC5ABA"/>
    <w:rsid w:val="00DC5C02"/>
    <w:rsid w:val="00DC5C75"/>
    <w:rsid w:val="00DC5CBF"/>
    <w:rsid w:val="00DC5F5A"/>
    <w:rsid w:val="00DC5FAE"/>
    <w:rsid w:val="00DC5FD8"/>
    <w:rsid w:val="00DC61EC"/>
    <w:rsid w:val="00DC6276"/>
    <w:rsid w:val="00DC62AC"/>
    <w:rsid w:val="00DC642A"/>
    <w:rsid w:val="00DC65AD"/>
    <w:rsid w:val="00DC66B8"/>
    <w:rsid w:val="00DC6844"/>
    <w:rsid w:val="00DC6866"/>
    <w:rsid w:val="00DC68A6"/>
    <w:rsid w:val="00DC690B"/>
    <w:rsid w:val="00DC6913"/>
    <w:rsid w:val="00DC6A58"/>
    <w:rsid w:val="00DC6AAD"/>
    <w:rsid w:val="00DC6CDF"/>
    <w:rsid w:val="00DC6D63"/>
    <w:rsid w:val="00DC6D8B"/>
    <w:rsid w:val="00DC6E40"/>
    <w:rsid w:val="00DC6E8E"/>
    <w:rsid w:val="00DC6F20"/>
    <w:rsid w:val="00DC7041"/>
    <w:rsid w:val="00DC70C0"/>
    <w:rsid w:val="00DC7110"/>
    <w:rsid w:val="00DC714B"/>
    <w:rsid w:val="00DC71E7"/>
    <w:rsid w:val="00DC72DC"/>
    <w:rsid w:val="00DC7336"/>
    <w:rsid w:val="00DC768A"/>
    <w:rsid w:val="00DC76FD"/>
    <w:rsid w:val="00DC7774"/>
    <w:rsid w:val="00DC791A"/>
    <w:rsid w:val="00DC792D"/>
    <w:rsid w:val="00DC79D7"/>
    <w:rsid w:val="00DC7B83"/>
    <w:rsid w:val="00DC7B9A"/>
    <w:rsid w:val="00DC7C1A"/>
    <w:rsid w:val="00DC7CE7"/>
    <w:rsid w:val="00DC7CF5"/>
    <w:rsid w:val="00DC7D18"/>
    <w:rsid w:val="00DC7EA7"/>
    <w:rsid w:val="00DC7EEB"/>
    <w:rsid w:val="00DC7F8F"/>
    <w:rsid w:val="00DD0147"/>
    <w:rsid w:val="00DD0203"/>
    <w:rsid w:val="00DD02ED"/>
    <w:rsid w:val="00DD030D"/>
    <w:rsid w:val="00DD034C"/>
    <w:rsid w:val="00DD037E"/>
    <w:rsid w:val="00DD0495"/>
    <w:rsid w:val="00DD05F7"/>
    <w:rsid w:val="00DD06EC"/>
    <w:rsid w:val="00DD0734"/>
    <w:rsid w:val="00DD07A4"/>
    <w:rsid w:val="00DD09EB"/>
    <w:rsid w:val="00DD0AE8"/>
    <w:rsid w:val="00DD0B38"/>
    <w:rsid w:val="00DD0C5A"/>
    <w:rsid w:val="00DD0D07"/>
    <w:rsid w:val="00DD0FEE"/>
    <w:rsid w:val="00DD101F"/>
    <w:rsid w:val="00DD11C2"/>
    <w:rsid w:val="00DD120C"/>
    <w:rsid w:val="00DD1233"/>
    <w:rsid w:val="00DD12CF"/>
    <w:rsid w:val="00DD1320"/>
    <w:rsid w:val="00DD14BF"/>
    <w:rsid w:val="00DD1512"/>
    <w:rsid w:val="00DD164F"/>
    <w:rsid w:val="00DD167E"/>
    <w:rsid w:val="00DD1688"/>
    <w:rsid w:val="00DD16BB"/>
    <w:rsid w:val="00DD173D"/>
    <w:rsid w:val="00DD17CE"/>
    <w:rsid w:val="00DD1816"/>
    <w:rsid w:val="00DD1872"/>
    <w:rsid w:val="00DD1904"/>
    <w:rsid w:val="00DD190C"/>
    <w:rsid w:val="00DD19A3"/>
    <w:rsid w:val="00DD19ED"/>
    <w:rsid w:val="00DD1A03"/>
    <w:rsid w:val="00DD1A52"/>
    <w:rsid w:val="00DD1ABC"/>
    <w:rsid w:val="00DD1DFD"/>
    <w:rsid w:val="00DD1E1E"/>
    <w:rsid w:val="00DD1E41"/>
    <w:rsid w:val="00DD1EDD"/>
    <w:rsid w:val="00DD203E"/>
    <w:rsid w:val="00DD2122"/>
    <w:rsid w:val="00DD249F"/>
    <w:rsid w:val="00DD2839"/>
    <w:rsid w:val="00DD28CF"/>
    <w:rsid w:val="00DD2A74"/>
    <w:rsid w:val="00DD2C04"/>
    <w:rsid w:val="00DD2DAB"/>
    <w:rsid w:val="00DD3012"/>
    <w:rsid w:val="00DD3139"/>
    <w:rsid w:val="00DD3487"/>
    <w:rsid w:val="00DD34B8"/>
    <w:rsid w:val="00DD362F"/>
    <w:rsid w:val="00DD36E4"/>
    <w:rsid w:val="00DD36F2"/>
    <w:rsid w:val="00DD3701"/>
    <w:rsid w:val="00DD370F"/>
    <w:rsid w:val="00DD3755"/>
    <w:rsid w:val="00DD378E"/>
    <w:rsid w:val="00DD3AC1"/>
    <w:rsid w:val="00DD3B3C"/>
    <w:rsid w:val="00DD3B93"/>
    <w:rsid w:val="00DD3C41"/>
    <w:rsid w:val="00DD3CD5"/>
    <w:rsid w:val="00DD3DA7"/>
    <w:rsid w:val="00DD3E11"/>
    <w:rsid w:val="00DD3E56"/>
    <w:rsid w:val="00DD3F4E"/>
    <w:rsid w:val="00DD3FDB"/>
    <w:rsid w:val="00DD4021"/>
    <w:rsid w:val="00DD40FF"/>
    <w:rsid w:val="00DD46AB"/>
    <w:rsid w:val="00DD47E5"/>
    <w:rsid w:val="00DD4811"/>
    <w:rsid w:val="00DD493C"/>
    <w:rsid w:val="00DD4A40"/>
    <w:rsid w:val="00DD4B32"/>
    <w:rsid w:val="00DD4BB2"/>
    <w:rsid w:val="00DD4D48"/>
    <w:rsid w:val="00DD4D5E"/>
    <w:rsid w:val="00DD4E34"/>
    <w:rsid w:val="00DD4E37"/>
    <w:rsid w:val="00DD4EA3"/>
    <w:rsid w:val="00DD4EBB"/>
    <w:rsid w:val="00DD4F43"/>
    <w:rsid w:val="00DD5019"/>
    <w:rsid w:val="00DD504F"/>
    <w:rsid w:val="00DD5086"/>
    <w:rsid w:val="00DD51CF"/>
    <w:rsid w:val="00DD51DD"/>
    <w:rsid w:val="00DD5261"/>
    <w:rsid w:val="00DD532F"/>
    <w:rsid w:val="00DD5430"/>
    <w:rsid w:val="00DD552A"/>
    <w:rsid w:val="00DD555C"/>
    <w:rsid w:val="00DD59F8"/>
    <w:rsid w:val="00DD5ADE"/>
    <w:rsid w:val="00DD5B69"/>
    <w:rsid w:val="00DD5C30"/>
    <w:rsid w:val="00DD5C50"/>
    <w:rsid w:val="00DD5C8B"/>
    <w:rsid w:val="00DD5C9A"/>
    <w:rsid w:val="00DD5CD6"/>
    <w:rsid w:val="00DD5E55"/>
    <w:rsid w:val="00DD5FC0"/>
    <w:rsid w:val="00DD607E"/>
    <w:rsid w:val="00DD6161"/>
    <w:rsid w:val="00DD617C"/>
    <w:rsid w:val="00DD6195"/>
    <w:rsid w:val="00DD620A"/>
    <w:rsid w:val="00DD6215"/>
    <w:rsid w:val="00DD6252"/>
    <w:rsid w:val="00DD62C9"/>
    <w:rsid w:val="00DD62E2"/>
    <w:rsid w:val="00DD630A"/>
    <w:rsid w:val="00DD6342"/>
    <w:rsid w:val="00DD6627"/>
    <w:rsid w:val="00DD66CB"/>
    <w:rsid w:val="00DD689F"/>
    <w:rsid w:val="00DD6AD5"/>
    <w:rsid w:val="00DD6AF2"/>
    <w:rsid w:val="00DD6BD8"/>
    <w:rsid w:val="00DD6D51"/>
    <w:rsid w:val="00DD6DC4"/>
    <w:rsid w:val="00DD6F38"/>
    <w:rsid w:val="00DD704B"/>
    <w:rsid w:val="00DD7050"/>
    <w:rsid w:val="00DD70BF"/>
    <w:rsid w:val="00DD70D9"/>
    <w:rsid w:val="00DD71E2"/>
    <w:rsid w:val="00DD72D0"/>
    <w:rsid w:val="00DD7361"/>
    <w:rsid w:val="00DD742C"/>
    <w:rsid w:val="00DD74B3"/>
    <w:rsid w:val="00DD7515"/>
    <w:rsid w:val="00DD7641"/>
    <w:rsid w:val="00DD76B9"/>
    <w:rsid w:val="00DD7744"/>
    <w:rsid w:val="00DD778C"/>
    <w:rsid w:val="00DD7790"/>
    <w:rsid w:val="00DD78AA"/>
    <w:rsid w:val="00DD7AA8"/>
    <w:rsid w:val="00DD7F52"/>
    <w:rsid w:val="00DE0120"/>
    <w:rsid w:val="00DE02E0"/>
    <w:rsid w:val="00DE05C1"/>
    <w:rsid w:val="00DE05C5"/>
    <w:rsid w:val="00DE05FA"/>
    <w:rsid w:val="00DE07E9"/>
    <w:rsid w:val="00DE08A5"/>
    <w:rsid w:val="00DE0AEB"/>
    <w:rsid w:val="00DE0B17"/>
    <w:rsid w:val="00DE0C4D"/>
    <w:rsid w:val="00DE0F33"/>
    <w:rsid w:val="00DE105A"/>
    <w:rsid w:val="00DE1217"/>
    <w:rsid w:val="00DE131F"/>
    <w:rsid w:val="00DE1333"/>
    <w:rsid w:val="00DE17FC"/>
    <w:rsid w:val="00DE1912"/>
    <w:rsid w:val="00DE1978"/>
    <w:rsid w:val="00DE1C60"/>
    <w:rsid w:val="00DE1CB8"/>
    <w:rsid w:val="00DE1DBF"/>
    <w:rsid w:val="00DE223B"/>
    <w:rsid w:val="00DE2384"/>
    <w:rsid w:val="00DE240D"/>
    <w:rsid w:val="00DE243A"/>
    <w:rsid w:val="00DE2460"/>
    <w:rsid w:val="00DE24CC"/>
    <w:rsid w:val="00DE277C"/>
    <w:rsid w:val="00DE2782"/>
    <w:rsid w:val="00DE29B8"/>
    <w:rsid w:val="00DE2A65"/>
    <w:rsid w:val="00DE2AAB"/>
    <w:rsid w:val="00DE2B45"/>
    <w:rsid w:val="00DE2BD9"/>
    <w:rsid w:val="00DE2E7E"/>
    <w:rsid w:val="00DE2EC9"/>
    <w:rsid w:val="00DE2FC5"/>
    <w:rsid w:val="00DE2FDA"/>
    <w:rsid w:val="00DE311E"/>
    <w:rsid w:val="00DE31C7"/>
    <w:rsid w:val="00DE33BB"/>
    <w:rsid w:val="00DE34D4"/>
    <w:rsid w:val="00DE34FB"/>
    <w:rsid w:val="00DE35A3"/>
    <w:rsid w:val="00DE3690"/>
    <w:rsid w:val="00DE3765"/>
    <w:rsid w:val="00DE3793"/>
    <w:rsid w:val="00DE384B"/>
    <w:rsid w:val="00DE38B7"/>
    <w:rsid w:val="00DE3A72"/>
    <w:rsid w:val="00DE3CB1"/>
    <w:rsid w:val="00DE3F15"/>
    <w:rsid w:val="00DE3FBF"/>
    <w:rsid w:val="00DE3FC9"/>
    <w:rsid w:val="00DE3FF6"/>
    <w:rsid w:val="00DE41B9"/>
    <w:rsid w:val="00DE424A"/>
    <w:rsid w:val="00DE430E"/>
    <w:rsid w:val="00DE4477"/>
    <w:rsid w:val="00DE455B"/>
    <w:rsid w:val="00DE4566"/>
    <w:rsid w:val="00DE459A"/>
    <w:rsid w:val="00DE4735"/>
    <w:rsid w:val="00DE4867"/>
    <w:rsid w:val="00DE49AD"/>
    <w:rsid w:val="00DE4BE9"/>
    <w:rsid w:val="00DE4C1E"/>
    <w:rsid w:val="00DE4C2C"/>
    <w:rsid w:val="00DE502C"/>
    <w:rsid w:val="00DE5129"/>
    <w:rsid w:val="00DE54AA"/>
    <w:rsid w:val="00DE54AB"/>
    <w:rsid w:val="00DE570A"/>
    <w:rsid w:val="00DE59A0"/>
    <w:rsid w:val="00DE59BB"/>
    <w:rsid w:val="00DE5AFA"/>
    <w:rsid w:val="00DE5B9A"/>
    <w:rsid w:val="00DE5C92"/>
    <w:rsid w:val="00DE5D52"/>
    <w:rsid w:val="00DE5F28"/>
    <w:rsid w:val="00DE5F80"/>
    <w:rsid w:val="00DE5FE1"/>
    <w:rsid w:val="00DE609E"/>
    <w:rsid w:val="00DE62BC"/>
    <w:rsid w:val="00DE636C"/>
    <w:rsid w:val="00DE63B3"/>
    <w:rsid w:val="00DE663C"/>
    <w:rsid w:val="00DE663F"/>
    <w:rsid w:val="00DE665A"/>
    <w:rsid w:val="00DE6661"/>
    <w:rsid w:val="00DE66F4"/>
    <w:rsid w:val="00DE6737"/>
    <w:rsid w:val="00DE67C2"/>
    <w:rsid w:val="00DE68A5"/>
    <w:rsid w:val="00DE68D0"/>
    <w:rsid w:val="00DE68DF"/>
    <w:rsid w:val="00DE6D5A"/>
    <w:rsid w:val="00DE6E64"/>
    <w:rsid w:val="00DE6F2E"/>
    <w:rsid w:val="00DE70B9"/>
    <w:rsid w:val="00DE70F6"/>
    <w:rsid w:val="00DE7180"/>
    <w:rsid w:val="00DE71C9"/>
    <w:rsid w:val="00DE733D"/>
    <w:rsid w:val="00DE73A3"/>
    <w:rsid w:val="00DE74A6"/>
    <w:rsid w:val="00DE74BD"/>
    <w:rsid w:val="00DE74E0"/>
    <w:rsid w:val="00DE761A"/>
    <w:rsid w:val="00DE772C"/>
    <w:rsid w:val="00DE776D"/>
    <w:rsid w:val="00DE7921"/>
    <w:rsid w:val="00DE7968"/>
    <w:rsid w:val="00DE7C2D"/>
    <w:rsid w:val="00DE7D51"/>
    <w:rsid w:val="00DE7D5C"/>
    <w:rsid w:val="00DE7E40"/>
    <w:rsid w:val="00DE7F1F"/>
    <w:rsid w:val="00DF0130"/>
    <w:rsid w:val="00DF01A8"/>
    <w:rsid w:val="00DF01BE"/>
    <w:rsid w:val="00DF02CF"/>
    <w:rsid w:val="00DF04B1"/>
    <w:rsid w:val="00DF04D3"/>
    <w:rsid w:val="00DF066A"/>
    <w:rsid w:val="00DF06AF"/>
    <w:rsid w:val="00DF078E"/>
    <w:rsid w:val="00DF07C0"/>
    <w:rsid w:val="00DF07F9"/>
    <w:rsid w:val="00DF0BB5"/>
    <w:rsid w:val="00DF0BBF"/>
    <w:rsid w:val="00DF0D07"/>
    <w:rsid w:val="00DF0F1C"/>
    <w:rsid w:val="00DF0F45"/>
    <w:rsid w:val="00DF0FFD"/>
    <w:rsid w:val="00DF102B"/>
    <w:rsid w:val="00DF10A4"/>
    <w:rsid w:val="00DF10E0"/>
    <w:rsid w:val="00DF110F"/>
    <w:rsid w:val="00DF117B"/>
    <w:rsid w:val="00DF1241"/>
    <w:rsid w:val="00DF14B2"/>
    <w:rsid w:val="00DF15B4"/>
    <w:rsid w:val="00DF1649"/>
    <w:rsid w:val="00DF16EC"/>
    <w:rsid w:val="00DF1710"/>
    <w:rsid w:val="00DF1794"/>
    <w:rsid w:val="00DF1837"/>
    <w:rsid w:val="00DF1A8F"/>
    <w:rsid w:val="00DF1B5C"/>
    <w:rsid w:val="00DF1C58"/>
    <w:rsid w:val="00DF1CD9"/>
    <w:rsid w:val="00DF1D0A"/>
    <w:rsid w:val="00DF1DA8"/>
    <w:rsid w:val="00DF1E13"/>
    <w:rsid w:val="00DF1E17"/>
    <w:rsid w:val="00DF1E78"/>
    <w:rsid w:val="00DF1F9B"/>
    <w:rsid w:val="00DF20D6"/>
    <w:rsid w:val="00DF2151"/>
    <w:rsid w:val="00DF2184"/>
    <w:rsid w:val="00DF21B3"/>
    <w:rsid w:val="00DF223A"/>
    <w:rsid w:val="00DF234E"/>
    <w:rsid w:val="00DF2413"/>
    <w:rsid w:val="00DF24BE"/>
    <w:rsid w:val="00DF25E8"/>
    <w:rsid w:val="00DF269D"/>
    <w:rsid w:val="00DF26A9"/>
    <w:rsid w:val="00DF2731"/>
    <w:rsid w:val="00DF28EB"/>
    <w:rsid w:val="00DF2901"/>
    <w:rsid w:val="00DF29E5"/>
    <w:rsid w:val="00DF2C04"/>
    <w:rsid w:val="00DF2E8A"/>
    <w:rsid w:val="00DF303E"/>
    <w:rsid w:val="00DF3250"/>
    <w:rsid w:val="00DF327F"/>
    <w:rsid w:val="00DF33DE"/>
    <w:rsid w:val="00DF33E1"/>
    <w:rsid w:val="00DF345F"/>
    <w:rsid w:val="00DF361B"/>
    <w:rsid w:val="00DF363D"/>
    <w:rsid w:val="00DF3747"/>
    <w:rsid w:val="00DF3769"/>
    <w:rsid w:val="00DF38DC"/>
    <w:rsid w:val="00DF390E"/>
    <w:rsid w:val="00DF3960"/>
    <w:rsid w:val="00DF3A0D"/>
    <w:rsid w:val="00DF3A64"/>
    <w:rsid w:val="00DF3B92"/>
    <w:rsid w:val="00DF3C6C"/>
    <w:rsid w:val="00DF3DC7"/>
    <w:rsid w:val="00DF407E"/>
    <w:rsid w:val="00DF4130"/>
    <w:rsid w:val="00DF4178"/>
    <w:rsid w:val="00DF4190"/>
    <w:rsid w:val="00DF42C4"/>
    <w:rsid w:val="00DF4331"/>
    <w:rsid w:val="00DF4393"/>
    <w:rsid w:val="00DF4497"/>
    <w:rsid w:val="00DF4A62"/>
    <w:rsid w:val="00DF4AE5"/>
    <w:rsid w:val="00DF4AE6"/>
    <w:rsid w:val="00DF4B69"/>
    <w:rsid w:val="00DF4C35"/>
    <w:rsid w:val="00DF4C44"/>
    <w:rsid w:val="00DF4C4B"/>
    <w:rsid w:val="00DF4FE9"/>
    <w:rsid w:val="00DF5006"/>
    <w:rsid w:val="00DF52AE"/>
    <w:rsid w:val="00DF53FC"/>
    <w:rsid w:val="00DF540F"/>
    <w:rsid w:val="00DF55FE"/>
    <w:rsid w:val="00DF5787"/>
    <w:rsid w:val="00DF5792"/>
    <w:rsid w:val="00DF59A9"/>
    <w:rsid w:val="00DF5A03"/>
    <w:rsid w:val="00DF5AC1"/>
    <w:rsid w:val="00DF5B2F"/>
    <w:rsid w:val="00DF602C"/>
    <w:rsid w:val="00DF6058"/>
    <w:rsid w:val="00DF60B5"/>
    <w:rsid w:val="00DF63A6"/>
    <w:rsid w:val="00DF654C"/>
    <w:rsid w:val="00DF65CE"/>
    <w:rsid w:val="00DF65F4"/>
    <w:rsid w:val="00DF665A"/>
    <w:rsid w:val="00DF675F"/>
    <w:rsid w:val="00DF685A"/>
    <w:rsid w:val="00DF68F2"/>
    <w:rsid w:val="00DF69D2"/>
    <w:rsid w:val="00DF69D9"/>
    <w:rsid w:val="00DF6D01"/>
    <w:rsid w:val="00DF6D4D"/>
    <w:rsid w:val="00DF6D5D"/>
    <w:rsid w:val="00DF6E51"/>
    <w:rsid w:val="00DF718D"/>
    <w:rsid w:val="00DF723D"/>
    <w:rsid w:val="00DF73DC"/>
    <w:rsid w:val="00DF73F8"/>
    <w:rsid w:val="00DF749C"/>
    <w:rsid w:val="00DF74E1"/>
    <w:rsid w:val="00DF7561"/>
    <w:rsid w:val="00DF7568"/>
    <w:rsid w:val="00DF7631"/>
    <w:rsid w:val="00DF76B0"/>
    <w:rsid w:val="00DF76CD"/>
    <w:rsid w:val="00DF7709"/>
    <w:rsid w:val="00DF7870"/>
    <w:rsid w:val="00DF7982"/>
    <w:rsid w:val="00DF7BA9"/>
    <w:rsid w:val="00DF7C53"/>
    <w:rsid w:val="00DF7D5A"/>
    <w:rsid w:val="00DF7EBB"/>
    <w:rsid w:val="00DF7F0D"/>
    <w:rsid w:val="00E00176"/>
    <w:rsid w:val="00E002E9"/>
    <w:rsid w:val="00E00409"/>
    <w:rsid w:val="00E00456"/>
    <w:rsid w:val="00E0055A"/>
    <w:rsid w:val="00E008CE"/>
    <w:rsid w:val="00E00A13"/>
    <w:rsid w:val="00E00AC1"/>
    <w:rsid w:val="00E00C9F"/>
    <w:rsid w:val="00E00DE3"/>
    <w:rsid w:val="00E0106E"/>
    <w:rsid w:val="00E011AD"/>
    <w:rsid w:val="00E01247"/>
    <w:rsid w:val="00E01250"/>
    <w:rsid w:val="00E0145D"/>
    <w:rsid w:val="00E01495"/>
    <w:rsid w:val="00E015BE"/>
    <w:rsid w:val="00E01620"/>
    <w:rsid w:val="00E016FF"/>
    <w:rsid w:val="00E017B2"/>
    <w:rsid w:val="00E01843"/>
    <w:rsid w:val="00E01862"/>
    <w:rsid w:val="00E01939"/>
    <w:rsid w:val="00E01954"/>
    <w:rsid w:val="00E01958"/>
    <w:rsid w:val="00E01AED"/>
    <w:rsid w:val="00E01B49"/>
    <w:rsid w:val="00E01C05"/>
    <w:rsid w:val="00E01C3B"/>
    <w:rsid w:val="00E01E96"/>
    <w:rsid w:val="00E01ECD"/>
    <w:rsid w:val="00E01FCD"/>
    <w:rsid w:val="00E0202F"/>
    <w:rsid w:val="00E02068"/>
    <w:rsid w:val="00E020F0"/>
    <w:rsid w:val="00E0216A"/>
    <w:rsid w:val="00E02214"/>
    <w:rsid w:val="00E024DD"/>
    <w:rsid w:val="00E02610"/>
    <w:rsid w:val="00E02694"/>
    <w:rsid w:val="00E0269A"/>
    <w:rsid w:val="00E02721"/>
    <w:rsid w:val="00E02782"/>
    <w:rsid w:val="00E028A5"/>
    <w:rsid w:val="00E02925"/>
    <w:rsid w:val="00E029A5"/>
    <w:rsid w:val="00E029F0"/>
    <w:rsid w:val="00E02B52"/>
    <w:rsid w:val="00E02CA6"/>
    <w:rsid w:val="00E02CAA"/>
    <w:rsid w:val="00E02CEC"/>
    <w:rsid w:val="00E02E23"/>
    <w:rsid w:val="00E02E70"/>
    <w:rsid w:val="00E02F3C"/>
    <w:rsid w:val="00E02F66"/>
    <w:rsid w:val="00E0307B"/>
    <w:rsid w:val="00E032FF"/>
    <w:rsid w:val="00E03305"/>
    <w:rsid w:val="00E033FF"/>
    <w:rsid w:val="00E03439"/>
    <w:rsid w:val="00E0346A"/>
    <w:rsid w:val="00E03614"/>
    <w:rsid w:val="00E0366C"/>
    <w:rsid w:val="00E038E6"/>
    <w:rsid w:val="00E03938"/>
    <w:rsid w:val="00E039B5"/>
    <w:rsid w:val="00E039E8"/>
    <w:rsid w:val="00E03A47"/>
    <w:rsid w:val="00E03A66"/>
    <w:rsid w:val="00E03AD7"/>
    <w:rsid w:val="00E03B33"/>
    <w:rsid w:val="00E03D53"/>
    <w:rsid w:val="00E03D73"/>
    <w:rsid w:val="00E03F87"/>
    <w:rsid w:val="00E040E9"/>
    <w:rsid w:val="00E0417D"/>
    <w:rsid w:val="00E0418B"/>
    <w:rsid w:val="00E041E4"/>
    <w:rsid w:val="00E04304"/>
    <w:rsid w:val="00E0441D"/>
    <w:rsid w:val="00E04449"/>
    <w:rsid w:val="00E04485"/>
    <w:rsid w:val="00E044A7"/>
    <w:rsid w:val="00E044C4"/>
    <w:rsid w:val="00E04564"/>
    <w:rsid w:val="00E04584"/>
    <w:rsid w:val="00E0462B"/>
    <w:rsid w:val="00E04648"/>
    <w:rsid w:val="00E0470C"/>
    <w:rsid w:val="00E047AB"/>
    <w:rsid w:val="00E049BE"/>
    <w:rsid w:val="00E04A3C"/>
    <w:rsid w:val="00E04B00"/>
    <w:rsid w:val="00E04B1F"/>
    <w:rsid w:val="00E04B30"/>
    <w:rsid w:val="00E04D15"/>
    <w:rsid w:val="00E04EC8"/>
    <w:rsid w:val="00E05070"/>
    <w:rsid w:val="00E05400"/>
    <w:rsid w:val="00E05426"/>
    <w:rsid w:val="00E055D1"/>
    <w:rsid w:val="00E05A28"/>
    <w:rsid w:val="00E05C3C"/>
    <w:rsid w:val="00E05CA4"/>
    <w:rsid w:val="00E05D78"/>
    <w:rsid w:val="00E05D82"/>
    <w:rsid w:val="00E05EEF"/>
    <w:rsid w:val="00E060AF"/>
    <w:rsid w:val="00E0618F"/>
    <w:rsid w:val="00E06236"/>
    <w:rsid w:val="00E06250"/>
    <w:rsid w:val="00E06253"/>
    <w:rsid w:val="00E06287"/>
    <w:rsid w:val="00E06297"/>
    <w:rsid w:val="00E0637E"/>
    <w:rsid w:val="00E0638D"/>
    <w:rsid w:val="00E063DB"/>
    <w:rsid w:val="00E06530"/>
    <w:rsid w:val="00E06611"/>
    <w:rsid w:val="00E06637"/>
    <w:rsid w:val="00E06770"/>
    <w:rsid w:val="00E068BA"/>
    <w:rsid w:val="00E06A06"/>
    <w:rsid w:val="00E06AE6"/>
    <w:rsid w:val="00E06F58"/>
    <w:rsid w:val="00E071B5"/>
    <w:rsid w:val="00E072D4"/>
    <w:rsid w:val="00E073F9"/>
    <w:rsid w:val="00E0750D"/>
    <w:rsid w:val="00E075B5"/>
    <w:rsid w:val="00E07643"/>
    <w:rsid w:val="00E076BD"/>
    <w:rsid w:val="00E07864"/>
    <w:rsid w:val="00E07969"/>
    <w:rsid w:val="00E07A2F"/>
    <w:rsid w:val="00E07AB9"/>
    <w:rsid w:val="00E07BFB"/>
    <w:rsid w:val="00E07D45"/>
    <w:rsid w:val="00E07D82"/>
    <w:rsid w:val="00E07DE2"/>
    <w:rsid w:val="00E07E87"/>
    <w:rsid w:val="00E101AB"/>
    <w:rsid w:val="00E102E0"/>
    <w:rsid w:val="00E103A8"/>
    <w:rsid w:val="00E103C9"/>
    <w:rsid w:val="00E10497"/>
    <w:rsid w:val="00E1049A"/>
    <w:rsid w:val="00E104D2"/>
    <w:rsid w:val="00E104EE"/>
    <w:rsid w:val="00E105BA"/>
    <w:rsid w:val="00E107A1"/>
    <w:rsid w:val="00E107FF"/>
    <w:rsid w:val="00E108E4"/>
    <w:rsid w:val="00E10B28"/>
    <w:rsid w:val="00E10C5E"/>
    <w:rsid w:val="00E10D13"/>
    <w:rsid w:val="00E10DA9"/>
    <w:rsid w:val="00E10DD6"/>
    <w:rsid w:val="00E10DDF"/>
    <w:rsid w:val="00E10E15"/>
    <w:rsid w:val="00E10E53"/>
    <w:rsid w:val="00E10E64"/>
    <w:rsid w:val="00E10FA3"/>
    <w:rsid w:val="00E10FE8"/>
    <w:rsid w:val="00E10FFF"/>
    <w:rsid w:val="00E1102F"/>
    <w:rsid w:val="00E110B2"/>
    <w:rsid w:val="00E1117C"/>
    <w:rsid w:val="00E111A4"/>
    <w:rsid w:val="00E11256"/>
    <w:rsid w:val="00E11515"/>
    <w:rsid w:val="00E11624"/>
    <w:rsid w:val="00E116C7"/>
    <w:rsid w:val="00E11712"/>
    <w:rsid w:val="00E1172F"/>
    <w:rsid w:val="00E11876"/>
    <w:rsid w:val="00E11A0F"/>
    <w:rsid w:val="00E11AD6"/>
    <w:rsid w:val="00E11B67"/>
    <w:rsid w:val="00E11C1B"/>
    <w:rsid w:val="00E120A2"/>
    <w:rsid w:val="00E120A6"/>
    <w:rsid w:val="00E1233A"/>
    <w:rsid w:val="00E12392"/>
    <w:rsid w:val="00E12455"/>
    <w:rsid w:val="00E12518"/>
    <w:rsid w:val="00E1252A"/>
    <w:rsid w:val="00E1255F"/>
    <w:rsid w:val="00E12593"/>
    <w:rsid w:val="00E125E1"/>
    <w:rsid w:val="00E125E2"/>
    <w:rsid w:val="00E127D9"/>
    <w:rsid w:val="00E12801"/>
    <w:rsid w:val="00E1293F"/>
    <w:rsid w:val="00E12947"/>
    <w:rsid w:val="00E129D6"/>
    <w:rsid w:val="00E12A0A"/>
    <w:rsid w:val="00E12AF5"/>
    <w:rsid w:val="00E12C0B"/>
    <w:rsid w:val="00E12C35"/>
    <w:rsid w:val="00E12CA5"/>
    <w:rsid w:val="00E12DA6"/>
    <w:rsid w:val="00E12E47"/>
    <w:rsid w:val="00E12E60"/>
    <w:rsid w:val="00E12FBD"/>
    <w:rsid w:val="00E130FF"/>
    <w:rsid w:val="00E1320B"/>
    <w:rsid w:val="00E1342F"/>
    <w:rsid w:val="00E134BB"/>
    <w:rsid w:val="00E13657"/>
    <w:rsid w:val="00E13732"/>
    <w:rsid w:val="00E138A3"/>
    <w:rsid w:val="00E13D9E"/>
    <w:rsid w:val="00E13E1E"/>
    <w:rsid w:val="00E13FBB"/>
    <w:rsid w:val="00E141D2"/>
    <w:rsid w:val="00E14507"/>
    <w:rsid w:val="00E14516"/>
    <w:rsid w:val="00E1457B"/>
    <w:rsid w:val="00E1458D"/>
    <w:rsid w:val="00E1462F"/>
    <w:rsid w:val="00E146E3"/>
    <w:rsid w:val="00E146F7"/>
    <w:rsid w:val="00E14741"/>
    <w:rsid w:val="00E14770"/>
    <w:rsid w:val="00E14795"/>
    <w:rsid w:val="00E147F2"/>
    <w:rsid w:val="00E14941"/>
    <w:rsid w:val="00E149AB"/>
    <w:rsid w:val="00E149C4"/>
    <w:rsid w:val="00E14A28"/>
    <w:rsid w:val="00E14A5A"/>
    <w:rsid w:val="00E14A9E"/>
    <w:rsid w:val="00E14B00"/>
    <w:rsid w:val="00E14DDC"/>
    <w:rsid w:val="00E14E1E"/>
    <w:rsid w:val="00E14E5D"/>
    <w:rsid w:val="00E14ED6"/>
    <w:rsid w:val="00E14F70"/>
    <w:rsid w:val="00E15102"/>
    <w:rsid w:val="00E15183"/>
    <w:rsid w:val="00E15409"/>
    <w:rsid w:val="00E1574C"/>
    <w:rsid w:val="00E157D6"/>
    <w:rsid w:val="00E15931"/>
    <w:rsid w:val="00E159CE"/>
    <w:rsid w:val="00E15A27"/>
    <w:rsid w:val="00E15A48"/>
    <w:rsid w:val="00E15A97"/>
    <w:rsid w:val="00E15B23"/>
    <w:rsid w:val="00E15B66"/>
    <w:rsid w:val="00E15B89"/>
    <w:rsid w:val="00E15BA3"/>
    <w:rsid w:val="00E15C44"/>
    <w:rsid w:val="00E16145"/>
    <w:rsid w:val="00E161CD"/>
    <w:rsid w:val="00E16220"/>
    <w:rsid w:val="00E16280"/>
    <w:rsid w:val="00E16370"/>
    <w:rsid w:val="00E1652E"/>
    <w:rsid w:val="00E1654D"/>
    <w:rsid w:val="00E165C2"/>
    <w:rsid w:val="00E165F9"/>
    <w:rsid w:val="00E1669C"/>
    <w:rsid w:val="00E166CD"/>
    <w:rsid w:val="00E166E6"/>
    <w:rsid w:val="00E1672B"/>
    <w:rsid w:val="00E16798"/>
    <w:rsid w:val="00E167E2"/>
    <w:rsid w:val="00E168CE"/>
    <w:rsid w:val="00E169AE"/>
    <w:rsid w:val="00E169CA"/>
    <w:rsid w:val="00E169D4"/>
    <w:rsid w:val="00E169DE"/>
    <w:rsid w:val="00E169E3"/>
    <w:rsid w:val="00E16A38"/>
    <w:rsid w:val="00E16AA5"/>
    <w:rsid w:val="00E16B7C"/>
    <w:rsid w:val="00E16C0E"/>
    <w:rsid w:val="00E16C63"/>
    <w:rsid w:val="00E16CA7"/>
    <w:rsid w:val="00E16EF5"/>
    <w:rsid w:val="00E16F88"/>
    <w:rsid w:val="00E171C4"/>
    <w:rsid w:val="00E171E8"/>
    <w:rsid w:val="00E172AC"/>
    <w:rsid w:val="00E174BE"/>
    <w:rsid w:val="00E17610"/>
    <w:rsid w:val="00E176D3"/>
    <w:rsid w:val="00E176FB"/>
    <w:rsid w:val="00E177B4"/>
    <w:rsid w:val="00E17937"/>
    <w:rsid w:val="00E1799D"/>
    <w:rsid w:val="00E179FD"/>
    <w:rsid w:val="00E17A94"/>
    <w:rsid w:val="00E17D80"/>
    <w:rsid w:val="00E17E46"/>
    <w:rsid w:val="00E17F92"/>
    <w:rsid w:val="00E20333"/>
    <w:rsid w:val="00E204D8"/>
    <w:rsid w:val="00E2056B"/>
    <w:rsid w:val="00E208AA"/>
    <w:rsid w:val="00E208C7"/>
    <w:rsid w:val="00E208FA"/>
    <w:rsid w:val="00E2091E"/>
    <w:rsid w:val="00E209B3"/>
    <w:rsid w:val="00E209ED"/>
    <w:rsid w:val="00E20A07"/>
    <w:rsid w:val="00E20AFB"/>
    <w:rsid w:val="00E20B19"/>
    <w:rsid w:val="00E20B51"/>
    <w:rsid w:val="00E20C2F"/>
    <w:rsid w:val="00E20E01"/>
    <w:rsid w:val="00E20E43"/>
    <w:rsid w:val="00E20FF2"/>
    <w:rsid w:val="00E210F9"/>
    <w:rsid w:val="00E21108"/>
    <w:rsid w:val="00E211D8"/>
    <w:rsid w:val="00E2125E"/>
    <w:rsid w:val="00E21294"/>
    <w:rsid w:val="00E2134E"/>
    <w:rsid w:val="00E2137F"/>
    <w:rsid w:val="00E213CB"/>
    <w:rsid w:val="00E217A7"/>
    <w:rsid w:val="00E2184B"/>
    <w:rsid w:val="00E21922"/>
    <w:rsid w:val="00E21967"/>
    <w:rsid w:val="00E2199A"/>
    <w:rsid w:val="00E21A28"/>
    <w:rsid w:val="00E21A69"/>
    <w:rsid w:val="00E21B69"/>
    <w:rsid w:val="00E21BF6"/>
    <w:rsid w:val="00E21CAB"/>
    <w:rsid w:val="00E21D58"/>
    <w:rsid w:val="00E21DA4"/>
    <w:rsid w:val="00E21E07"/>
    <w:rsid w:val="00E21F51"/>
    <w:rsid w:val="00E2205A"/>
    <w:rsid w:val="00E220B8"/>
    <w:rsid w:val="00E220CB"/>
    <w:rsid w:val="00E2225C"/>
    <w:rsid w:val="00E22309"/>
    <w:rsid w:val="00E2248D"/>
    <w:rsid w:val="00E22492"/>
    <w:rsid w:val="00E22518"/>
    <w:rsid w:val="00E2253A"/>
    <w:rsid w:val="00E225B4"/>
    <w:rsid w:val="00E2274C"/>
    <w:rsid w:val="00E2275D"/>
    <w:rsid w:val="00E227C3"/>
    <w:rsid w:val="00E2295F"/>
    <w:rsid w:val="00E229C8"/>
    <w:rsid w:val="00E229D0"/>
    <w:rsid w:val="00E22A21"/>
    <w:rsid w:val="00E22CE6"/>
    <w:rsid w:val="00E22D1A"/>
    <w:rsid w:val="00E22E4D"/>
    <w:rsid w:val="00E22F01"/>
    <w:rsid w:val="00E22F8E"/>
    <w:rsid w:val="00E22F90"/>
    <w:rsid w:val="00E230EB"/>
    <w:rsid w:val="00E23378"/>
    <w:rsid w:val="00E236C5"/>
    <w:rsid w:val="00E236F8"/>
    <w:rsid w:val="00E2373F"/>
    <w:rsid w:val="00E237EC"/>
    <w:rsid w:val="00E238A4"/>
    <w:rsid w:val="00E238CD"/>
    <w:rsid w:val="00E2390C"/>
    <w:rsid w:val="00E23939"/>
    <w:rsid w:val="00E23976"/>
    <w:rsid w:val="00E23ABB"/>
    <w:rsid w:val="00E23C4E"/>
    <w:rsid w:val="00E23D71"/>
    <w:rsid w:val="00E23DB4"/>
    <w:rsid w:val="00E23ED2"/>
    <w:rsid w:val="00E23F1A"/>
    <w:rsid w:val="00E241B6"/>
    <w:rsid w:val="00E243AA"/>
    <w:rsid w:val="00E246E1"/>
    <w:rsid w:val="00E247EA"/>
    <w:rsid w:val="00E248C0"/>
    <w:rsid w:val="00E24A0B"/>
    <w:rsid w:val="00E24A8E"/>
    <w:rsid w:val="00E24AF7"/>
    <w:rsid w:val="00E24B7D"/>
    <w:rsid w:val="00E24BC0"/>
    <w:rsid w:val="00E24C49"/>
    <w:rsid w:val="00E24DD6"/>
    <w:rsid w:val="00E24DE2"/>
    <w:rsid w:val="00E24F1A"/>
    <w:rsid w:val="00E24F83"/>
    <w:rsid w:val="00E2501B"/>
    <w:rsid w:val="00E251CB"/>
    <w:rsid w:val="00E25224"/>
    <w:rsid w:val="00E2534D"/>
    <w:rsid w:val="00E253FB"/>
    <w:rsid w:val="00E2551C"/>
    <w:rsid w:val="00E25684"/>
    <w:rsid w:val="00E257B3"/>
    <w:rsid w:val="00E25A5F"/>
    <w:rsid w:val="00E25A79"/>
    <w:rsid w:val="00E25AB5"/>
    <w:rsid w:val="00E25BEE"/>
    <w:rsid w:val="00E25BFB"/>
    <w:rsid w:val="00E25DBC"/>
    <w:rsid w:val="00E25DFC"/>
    <w:rsid w:val="00E25ED6"/>
    <w:rsid w:val="00E25F46"/>
    <w:rsid w:val="00E25FCB"/>
    <w:rsid w:val="00E260F1"/>
    <w:rsid w:val="00E26156"/>
    <w:rsid w:val="00E26170"/>
    <w:rsid w:val="00E264E6"/>
    <w:rsid w:val="00E26550"/>
    <w:rsid w:val="00E26576"/>
    <w:rsid w:val="00E266EC"/>
    <w:rsid w:val="00E2672E"/>
    <w:rsid w:val="00E26758"/>
    <w:rsid w:val="00E268E7"/>
    <w:rsid w:val="00E2691F"/>
    <w:rsid w:val="00E2693F"/>
    <w:rsid w:val="00E26A66"/>
    <w:rsid w:val="00E26A88"/>
    <w:rsid w:val="00E26BB2"/>
    <w:rsid w:val="00E26BDC"/>
    <w:rsid w:val="00E26C2E"/>
    <w:rsid w:val="00E26DA8"/>
    <w:rsid w:val="00E26DB6"/>
    <w:rsid w:val="00E26DC5"/>
    <w:rsid w:val="00E26E3D"/>
    <w:rsid w:val="00E26E4A"/>
    <w:rsid w:val="00E27073"/>
    <w:rsid w:val="00E27186"/>
    <w:rsid w:val="00E2725A"/>
    <w:rsid w:val="00E2737B"/>
    <w:rsid w:val="00E2751A"/>
    <w:rsid w:val="00E277A0"/>
    <w:rsid w:val="00E277C5"/>
    <w:rsid w:val="00E2783C"/>
    <w:rsid w:val="00E27993"/>
    <w:rsid w:val="00E27A2C"/>
    <w:rsid w:val="00E27A94"/>
    <w:rsid w:val="00E27BF5"/>
    <w:rsid w:val="00E27CD6"/>
    <w:rsid w:val="00E27F3A"/>
    <w:rsid w:val="00E30025"/>
    <w:rsid w:val="00E3002D"/>
    <w:rsid w:val="00E3027B"/>
    <w:rsid w:val="00E30393"/>
    <w:rsid w:val="00E303D1"/>
    <w:rsid w:val="00E3056A"/>
    <w:rsid w:val="00E30577"/>
    <w:rsid w:val="00E305CD"/>
    <w:rsid w:val="00E3060D"/>
    <w:rsid w:val="00E30736"/>
    <w:rsid w:val="00E30787"/>
    <w:rsid w:val="00E30948"/>
    <w:rsid w:val="00E30A87"/>
    <w:rsid w:val="00E30A98"/>
    <w:rsid w:val="00E30EC3"/>
    <w:rsid w:val="00E30F2B"/>
    <w:rsid w:val="00E31115"/>
    <w:rsid w:val="00E311D9"/>
    <w:rsid w:val="00E3122E"/>
    <w:rsid w:val="00E31244"/>
    <w:rsid w:val="00E313AF"/>
    <w:rsid w:val="00E31423"/>
    <w:rsid w:val="00E31715"/>
    <w:rsid w:val="00E317A0"/>
    <w:rsid w:val="00E317A3"/>
    <w:rsid w:val="00E31844"/>
    <w:rsid w:val="00E31859"/>
    <w:rsid w:val="00E31A0B"/>
    <w:rsid w:val="00E31A19"/>
    <w:rsid w:val="00E31B7B"/>
    <w:rsid w:val="00E31CC2"/>
    <w:rsid w:val="00E31DB8"/>
    <w:rsid w:val="00E31DE1"/>
    <w:rsid w:val="00E31DEB"/>
    <w:rsid w:val="00E31E6E"/>
    <w:rsid w:val="00E31E8C"/>
    <w:rsid w:val="00E31F84"/>
    <w:rsid w:val="00E31F92"/>
    <w:rsid w:val="00E31FB0"/>
    <w:rsid w:val="00E32201"/>
    <w:rsid w:val="00E3227C"/>
    <w:rsid w:val="00E32358"/>
    <w:rsid w:val="00E32362"/>
    <w:rsid w:val="00E323B2"/>
    <w:rsid w:val="00E32430"/>
    <w:rsid w:val="00E3246B"/>
    <w:rsid w:val="00E3248F"/>
    <w:rsid w:val="00E324CF"/>
    <w:rsid w:val="00E325DF"/>
    <w:rsid w:val="00E32609"/>
    <w:rsid w:val="00E3277F"/>
    <w:rsid w:val="00E327A4"/>
    <w:rsid w:val="00E327EC"/>
    <w:rsid w:val="00E327F9"/>
    <w:rsid w:val="00E328EE"/>
    <w:rsid w:val="00E32B84"/>
    <w:rsid w:val="00E32D27"/>
    <w:rsid w:val="00E32DA3"/>
    <w:rsid w:val="00E32E04"/>
    <w:rsid w:val="00E32EC9"/>
    <w:rsid w:val="00E32FBC"/>
    <w:rsid w:val="00E33050"/>
    <w:rsid w:val="00E33054"/>
    <w:rsid w:val="00E33325"/>
    <w:rsid w:val="00E33415"/>
    <w:rsid w:val="00E335C9"/>
    <w:rsid w:val="00E335CB"/>
    <w:rsid w:val="00E33684"/>
    <w:rsid w:val="00E336DA"/>
    <w:rsid w:val="00E33900"/>
    <w:rsid w:val="00E33983"/>
    <w:rsid w:val="00E339F7"/>
    <w:rsid w:val="00E33BF9"/>
    <w:rsid w:val="00E33C94"/>
    <w:rsid w:val="00E33D76"/>
    <w:rsid w:val="00E33DC5"/>
    <w:rsid w:val="00E33E30"/>
    <w:rsid w:val="00E33EDC"/>
    <w:rsid w:val="00E33EFB"/>
    <w:rsid w:val="00E33FCF"/>
    <w:rsid w:val="00E3403E"/>
    <w:rsid w:val="00E340CA"/>
    <w:rsid w:val="00E341BD"/>
    <w:rsid w:val="00E341C9"/>
    <w:rsid w:val="00E3444B"/>
    <w:rsid w:val="00E34527"/>
    <w:rsid w:val="00E3454C"/>
    <w:rsid w:val="00E345C6"/>
    <w:rsid w:val="00E34604"/>
    <w:rsid w:val="00E3467A"/>
    <w:rsid w:val="00E34853"/>
    <w:rsid w:val="00E34983"/>
    <w:rsid w:val="00E349E6"/>
    <w:rsid w:val="00E34A10"/>
    <w:rsid w:val="00E34A63"/>
    <w:rsid w:val="00E34B12"/>
    <w:rsid w:val="00E34BCB"/>
    <w:rsid w:val="00E34EEE"/>
    <w:rsid w:val="00E34FA2"/>
    <w:rsid w:val="00E35074"/>
    <w:rsid w:val="00E352EC"/>
    <w:rsid w:val="00E35547"/>
    <w:rsid w:val="00E355C0"/>
    <w:rsid w:val="00E356EA"/>
    <w:rsid w:val="00E3573B"/>
    <w:rsid w:val="00E35920"/>
    <w:rsid w:val="00E359AB"/>
    <w:rsid w:val="00E359DB"/>
    <w:rsid w:val="00E35BCD"/>
    <w:rsid w:val="00E35BDE"/>
    <w:rsid w:val="00E35D8F"/>
    <w:rsid w:val="00E35DD7"/>
    <w:rsid w:val="00E35DF5"/>
    <w:rsid w:val="00E35E21"/>
    <w:rsid w:val="00E36007"/>
    <w:rsid w:val="00E360D8"/>
    <w:rsid w:val="00E36214"/>
    <w:rsid w:val="00E36220"/>
    <w:rsid w:val="00E36238"/>
    <w:rsid w:val="00E365E1"/>
    <w:rsid w:val="00E366E0"/>
    <w:rsid w:val="00E36806"/>
    <w:rsid w:val="00E36C5E"/>
    <w:rsid w:val="00E36CE0"/>
    <w:rsid w:val="00E37037"/>
    <w:rsid w:val="00E370BA"/>
    <w:rsid w:val="00E37129"/>
    <w:rsid w:val="00E3717B"/>
    <w:rsid w:val="00E3717C"/>
    <w:rsid w:val="00E37209"/>
    <w:rsid w:val="00E372A7"/>
    <w:rsid w:val="00E372B0"/>
    <w:rsid w:val="00E372C0"/>
    <w:rsid w:val="00E373A7"/>
    <w:rsid w:val="00E37428"/>
    <w:rsid w:val="00E37432"/>
    <w:rsid w:val="00E3745B"/>
    <w:rsid w:val="00E375FD"/>
    <w:rsid w:val="00E376CF"/>
    <w:rsid w:val="00E37711"/>
    <w:rsid w:val="00E3776E"/>
    <w:rsid w:val="00E377F4"/>
    <w:rsid w:val="00E3791B"/>
    <w:rsid w:val="00E37A4E"/>
    <w:rsid w:val="00E37CE9"/>
    <w:rsid w:val="00E37D0E"/>
    <w:rsid w:val="00E37F5F"/>
    <w:rsid w:val="00E40038"/>
    <w:rsid w:val="00E4003F"/>
    <w:rsid w:val="00E4020E"/>
    <w:rsid w:val="00E402A6"/>
    <w:rsid w:val="00E4032D"/>
    <w:rsid w:val="00E4034C"/>
    <w:rsid w:val="00E405D3"/>
    <w:rsid w:val="00E406B1"/>
    <w:rsid w:val="00E406BC"/>
    <w:rsid w:val="00E409C9"/>
    <w:rsid w:val="00E40BE3"/>
    <w:rsid w:val="00E40C98"/>
    <w:rsid w:val="00E40CFA"/>
    <w:rsid w:val="00E40D6E"/>
    <w:rsid w:val="00E40E49"/>
    <w:rsid w:val="00E40E90"/>
    <w:rsid w:val="00E40FFF"/>
    <w:rsid w:val="00E410FB"/>
    <w:rsid w:val="00E4120F"/>
    <w:rsid w:val="00E414A4"/>
    <w:rsid w:val="00E414C6"/>
    <w:rsid w:val="00E41568"/>
    <w:rsid w:val="00E417C7"/>
    <w:rsid w:val="00E41D84"/>
    <w:rsid w:val="00E41E56"/>
    <w:rsid w:val="00E41EBF"/>
    <w:rsid w:val="00E41F89"/>
    <w:rsid w:val="00E41FB3"/>
    <w:rsid w:val="00E4205C"/>
    <w:rsid w:val="00E4207D"/>
    <w:rsid w:val="00E420FC"/>
    <w:rsid w:val="00E4212C"/>
    <w:rsid w:val="00E422A5"/>
    <w:rsid w:val="00E42446"/>
    <w:rsid w:val="00E424E1"/>
    <w:rsid w:val="00E42536"/>
    <w:rsid w:val="00E42657"/>
    <w:rsid w:val="00E42662"/>
    <w:rsid w:val="00E42695"/>
    <w:rsid w:val="00E42795"/>
    <w:rsid w:val="00E4298F"/>
    <w:rsid w:val="00E42AF9"/>
    <w:rsid w:val="00E42B7B"/>
    <w:rsid w:val="00E42E85"/>
    <w:rsid w:val="00E42FA4"/>
    <w:rsid w:val="00E42FB3"/>
    <w:rsid w:val="00E42FFC"/>
    <w:rsid w:val="00E43062"/>
    <w:rsid w:val="00E43393"/>
    <w:rsid w:val="00E43470"/>
    <w:rsid w:val="00E434BE"/>
    <w:rsid w:val="00E435CC"/>
    <w:rsid w:val="00E43698"/>
    <w:rsid w:val="00E436BA"/>
    <w:rsid w:val="00E436EE"/>
    <w:rsid w:val="00E43727"/>
    <w:rsid w:val="00E43759"/>
    <w:rsid w:val="00E43776"/>
    <w:rsid w:val="00E43868"/>
    <w:rsid w:val="00E438E5"/>
    <w:rsid w:val="00E439B9"/>
    <w:rsid w:val="00E43A64"/>
    <w:rsid w:val="00E43B45"/>
    <w:rsid w:val="00E43CC4"/>
    <w:rsid w:val="00E43CF8"/>
    <w:rsid w:val="00E43D8A"/>
    <w:rsid w:val="00E43DA9"/>
    <w:rsid w:val="00E43E33"/>
    <w:rsid w:val="00E43F21"/>
    <w:rsid w:val="00E4401A"/>
    <w:rsid w:val="00E44045"/>
    <w:rsid w:val="00E4417B"/>
    <w:rsid w:val="00E44250"/>
    <w:rsid w:val="00E4443E"/>
    <w:rsid w:val="00E4445F"/>
    <w:rsid w:val="00E445D9"/>
    <w:rsid w:val="00E4465A"/>
    <w:rsid w:val="00E44664"/>
    <w:rsid w:val="00E446A3"/>
    <w:rsid w:val="00E447AC"/>
    <w:rsid w:val="00E4486C"/>
    <w:rsid w:val="00E448A6"/>
    <w:rsid w:val="00E44917"/>
    <w:rsid w:val="00E449AA"/>
    <w:rsid w:val="00E44A1B"/>
    <w:rsid w:val="00E44C4F"/>
    <w:rsid w:val="00E44CA5"/>
    <w:rsid w:val="00E44CE0"/>
    <w:rsid w:val="00E44D3D"/>
    <w:rsid w:val="00E44D97"/>
    <w:rsid w:val="00E44EAD"/>
    <w:rsid w:val="00E44F78"/>
    <w:rsid w:val="00E450CA"/>
    <w:rsid w:val="00E451C8"/>
    <w:rsid w:val="00E4535D"/>
    <w:rsid w:val="00E453BB"/>
    <w:rsid w:val="00E45478"/>
    <w:rsid w:val="00E4559E"/>
    <w:rsid w:val="00E45642"/>
    <w:rsid w:val="00E456D6"/>
    <w:rsid w:val="00E456E7"/>
    <w:rsid w:val="00E45814"/>
    <w:rsid w:val="00E459DB"/>
    <w:rsid w:val="00E45A9B"/>
    <w:rsid w:val="00E45B96"/>
    <w:rsid w:val="00E45BA1"/>
    <w:rsid w:val="00E45CEA"/>
    <w:rsid w:val="00E45D74"/>
    <w:rsid w:val="00E45FC9"/>
    <w:rsid w:val="00E46569"/>
    <w:rsid w:val="00E4660E"/>
    <w:rsid w:val="00E4661B"/>
    <w:rsid w:val="00E46630"/>
    <w:rsid w:val="00E46972"/>
    <w:rsid w:val="00E469D7"/>
    <w:rsid w:val="00E46AB9"/>
    <w:rsid w:val="00E46B33"/>
    <w:rsid w:val="00E46C86"/>
    <w:rsid w:val="00E46D10"/>
    <w:rsid w:val="00E46EF5"/>
    <w:rsid w:val="00E46FD2"/>
    <w:rsid w:val="00E46FF2"/>
    <w:rsid w:val="00E47327"/>
    <w:rsid w:val="00E474C5"/>
    <w:rsid w:val="00E474D6"/>
    <w:rsid w:val="00E475D2"/>
    <w:rsid w:val="00E475E8"/>
    <w:rsid w:val="00E4776D"/>
    <w:rsid w:val="00E478B1"/>
    <w:rsid w:val="00E47954"/>
    <w:rsid w:val="00E479DA"/>
    <w:rsid w:val="00E47A22"/>
    <w:rsid w:val="00E47C9D"/>
    <w:rsid w:val="00E47D88"/>
    <w:rsid w:val="00E5002C"/>
    <w:rsid w:val="00E50068"/>
    <w:rsid w:val="00E5011E"/>
    <w:rsid w:val="00E50160"/>
    <w:rsid w:val="00E502D6"/>
    <w:rsid w:val="00E50359"/>
    <w:rsid w:val="00E503EA"/>
    <w:rsid w:val="00E504EF"/>
    <w:rsid w:val="00E504F5"/>
    <w:rsid w:val="00E50585"/>
    <w:rsid w:val="00E50669"/>
    <w:rsid w:val="00E50732"/>
    <w:rsid w:val="00E50734"/>
    <w:rsid w:val="00E50762"/>
    <w:rsid w:val="00E50863"/>
    <w:rsid w:val="00E508DE"/>
    <w:rsid w:val="00E50951"/>
    <w:rsid w:val="00E50A3A"/>
    <w:rsid w:val="00E50BE4"/>
    <w:rsid w:val="00E50C50"/>
    <w:rsid w:val="00E510CD"/>
    <w:rsid w:val="00E5119A"/>
    <w:rsid w:val="00E511AC"/>
    <w:rsid w:val="00E511E1"/>
    <w:rsid w:val="00E514CC"/>
    <w:rsid w:val="00E515F8"/>
    <w:rsid w:val="00E5163E"/>
    <w:rsid w:val="00E5172E"/>
    <w:rsid w:val="00E51862"/>
    <w:rsid w:val="00E518E1"/>
    <w:rsid w:val="00E51926"/>
    <w:rsid w:val="00E5193D"/>
    <w:rsid w:val="00E51946"/>
    <w:rsid w:val="00E51B9B"/>
    <w:rsid w:val="00E51CED"/>
    <w:rsid w:val="00E51D49"/>
    <w:rsid w:val="00E51DAD"/>
    <w:rsid w:val="00E51ED1"/>
    <w:rsid w:val="00E51F1A"/>
    <w:rsid w:val="00E52053"/>
    <w:rsid w:val="00E52438"/>
    <w:rsid w:val="00E5254C"/>
    <w:rsid w:val="00E525DD"/>
    <w:rsid w:val="00E5275D"/>
    <w:rsid w:val="00E52888"/>
    <w:rsid w:val="00E52A40"/>
    <w:rsid w:val="00E52AD2"/>
    <w:rsid w:val="00E52B84"/>
    <w:rsid w:val="00E52C7A"/>
    <w:rsid w:val="00E52D99"/>
    <w:rsid w:val="00E5300E"/>
    <w:rsid w:val="00E53138"/>
    <w:rsid w:val="00E53204"/>
    <w:rsid w:val="00E532D5"/>
    <w:rsid w:val="00E5355C"/>
    <w:rsid w:val="00E535E2"/>
    <w:rsid w:val="00E53788"/>
    <w:rsid w:val="00E537FD"/>
    <w:rsid w:val="00E538ED"/>
    <w:rsid w:val="00E53948"/>
    <w:rsid w:val="00E53AB3"/>
    <w:rsid w:val="00E53ADB"/>
    <w:rsid w:val="00E53B7F"/>
    <w:rsid w:val="00E53BD9"/>
    <w:rsid w:val="00E53CA5"/>
    <w:rsid w:val="00E53E6C"/>
    <w:rsid w:val="00E53FBB"/>
    <w:rsid w:val="00E53FC9"/>
    <w:rsid w:val="00E5409D"/>
    <w:rsid w:val="00E5416B"/>
    <w:rsid w:val="00E541B4"/>
    <w:rsid w:val="00E542E0"/>
    <w:rsid w:val="00E54311"/>
    <w:rsid w:val="00E5442D"/>
    <w:rsid w:val="00E544E8"/>
    <w:rsid w:val="00E54649"/>
    <w:rsid w:val="00E5481D"/>
    <w:rsid w:val="00E54822"/>
    <w:rsid w:val="00E548E8"/>
    <w:rsid w:val="00E54AE8"/>
    <w:rsid w:val="00E54BAF"/>
    <w:rsid w:val="00E54BF9"/>
    <w:rsid w:val="00E54D9F"/>
    <w:rsid w:val="00E54DAE"/>
    <w:rsid w:val="00E54E71"/>
    <w:rsid w:val="00E55273"/>
    <w:rsid w:val="00E5532F"/>
    <w:rsid w:val="00E554B5"/>
    <w:rsid w:val="00E55545"/>
    <w:rsid w:val="00E55797"/>
    <w:rsid w:val="00E557EC"/>
    <w:rsid w:val="00E557FB"/>
    <w:rsid w:val="00E55979"/>
    <w:rsid w:val="00E55D31"/>
    <w:rsid w:val="00E55E23"/>
    <w:rsid w:val="00E55E6B"/>
    <w:rsid w:val="00E56103"/>
    <w:rsid w:val="00E5615F"/>
    <w:rsid w:val="00E562F3"/>
    <w:rsid w:val="00E56381"/>
    <w:rsid w:val="00E56523"/>
    <w:rsid w:val="00E56542"/>
    <w:rsid w:val="00E569F1"/>
    <w:rsid w:val="00E56AB1"/>
    <w:rsid w:val="00E56ABD"/>
    <w:rsid w:val="00E56C09"/>
    <w:rsid w:val="00E56C45"/>
    <w:rsid w:val="00E56C8F"/>
    <w:rsid w:val="00E56ED5"/>
    <w:rsid w:val="00E56F3F"/>
    <w:rsid w:val="00E5703B"/>
    <w:rsid w:val="00E571FE"/>
    <w:rsid w:val="00E5720E"/>
    <w:rsid w:val="00E5730B"/>
    <w:rsid w:val="00E5731E"/>
    <w:rsid w:val="00E57406"/>
    <w:rsid w:val="00E57436"/>
    <w:rsid w:val="00E574CF"/>
    <w:rsid w:val="00E57565"/>
    <w:rsid w:val="00E57583"/>
    <w:rsid w:val="00E57598"/>
    <w:rsid w:val="00E575A5"/>
    <w:rsid w:val="00E575D3"/>
    <w:rsid w:val="00E5787A"/>
    <w:rsid w:val="00E578FC"/>
    <w:rsid w:val="00E57ABC"/>
    <w:rsid w:val="00E57BB9"/>
    <w:rsid w:val="00E60078"/>
    <w:rsid w:val="00E601C4"/>
    <w:rsid w:val="00E601C5"/>
    <w:rsid w:val="00E6029E"/>
    <w:rsid w:val="00E603BB"/>
    <w:rsid w:val="00E60431"/>
    <w:rsid w:val="00E604EA"/>
    <w:rsid w:val="00E605E1"/>
    <w:rsid w:val="00E60664"/>
    <w:rsid w:val="00E606D4"/>
    <w:rsid w:val="00E6078F"/>
    <w:rsid w:val="00E60A91"/>
    <w:rsid w:val="00E60DCF"/>
    <w:rsid w:val="00E60F18"/>
    <w:rsid w:val="00E60F62"/>
    <w:rsid w:val="00E60F90"/>
    <w:rsid w:val="00E61040"/>
    <w:rsid w:val="00E611DB"/>
    <w:rsid w:val="00E61306"/>
    <w:rsid w:val="00E61640"/>
    <w:rsid w:val="00E6167C"/>
    <w:rsid w:val="00E617BE"/>
    <w:rsid w:val="00E61876"/>
    <w:rsid w:val="00E61A05"/>
    <w:rsid w:val="00E61A8A"/>
    <w:rsid w:val="00E61AA4"/>
    <w:rsid w:val="00E61AE9"/>
    <w:rsid w:val="00E61BB8"/>
    <w:rsid w:val="00E61C30"/>
    <w:rsid w:val="00E61CEA"/>
    <w:rsid w:val="00E61E48"/>
    <w:rsid w:val="00E61E93"/>
    <w:rsid w:val="00E61F94"/>
    <w:rsid w:val="00E6229B"/>
    <w:rsid w:val="00E622F0"/>
    <w:rsid w:val="00E6239C"/>
    <w:rsid w:val="00E62473"/>
    <w:rsid w:val="00E624D9"/>
    <w:rsid w:val="00E62525"/>
    <w:rsid w:val="00E62631"/>
    <w:rsid w:val="00E626B9"/>
    <w:rsid w:val="00E626DC"/>
    <w:rsid w:val="00E6273E"/>
    <w:rsid w:val="00E62996"/>
    <w:rsid w:val="00E62ABD"/>
    <w:rsid w:val="00E62D93"/>
    <w:rsid w:val="00E62E82"/>
    <w:rsid w:val="00E62F46"/>
    <w:rsid w:val="00E6320E"/>
    <w:rsid w:val="00E6326B"/>
    <w:rsid w:val="00E6361A"/>
    <w:rsid w:val="00E63820"/>
    <w:rsid w:val="00E638EC"/>
    <w:rsid w:val="00E63A11"/>
    <w:rsid w:val="00E63D3E"/>
    <w:rsid w:val="00E63D7E"/>
    <w:rsid w:val="00E63E92"/>
    <w:rsid w:val="00E63EC4"/>
    <w:rsid w:val="00E63F45"/>
    <w:rsid w:val="00E63FDC"/>
    <w:rsid w:val="00E6416E"/>
    <w:rsid w:val="00E641AE"/>
    <w:rsid w:val="00E641F3"/>
    <w:rsid w:val="00E641FF"/>
    <w:rsid w:val="00E642BF"/>
    <w:rsid w:val="00E642EA"/>
    <w:rsid w:val="00E643AE"/>
    <w:rsid w:val="00E643E2"/>
    <w:rsid w:val="00E64448"/>
    <w:rsid w:val="00E644A1"/>
    <w:rsid w:val="00E646D6"/>
    <w:rsid w:val="00E64A77"/>
    <w:rsid w:val="00E64AF7"/>
    <w:rsid w:val="00E64B60"/>
    <w:rsid w:val="00E64BBA"/>
    <w:rsid w:val="00E64CDB"/>
    <w:rsid w:val="00E64D76"/>
    <w:rsid w:val="00E64E28"/>
    <w:rsid w:val="00E64EEB"/>
    <w:rsid w:val="00E64F04"/>
    <w:rsid w:val="00E64F6E"/>
    <w:rsid w:val="00E6505C"/>
    <w:rsid w:val="00E650C6"/>
    <w:rsid w:val="00E6510C"/>
    <w:rsid w:val="00E65280"/>
    <w:rsid w:val="00E652E5"/>
    <w:rsid w:val="00E6537B"/>
    <w:rsid w:val="00E653CA"/>
    <w:rsid w:val="00E65459"/>
    <w:rsid w:val="00E654B9"/>
    <w:rsid w:val="00E6554E"/>
    <w:rsid w:val="00E6584D"/>
    <w:rsid w:val="00E65979"/>
    <w:rsid w:val="00E65B06"/>
    <w:rsid w:val="00E65CED"/>
    <w:rsid w:val="00E65D26"/>
    <w:rsid w:val="00E65D3A"/>
    <w:rsid w:val="00E65DA3"/>
    <w:rsid w:val="00E65DAA"/>
    <w:rsid w:val="00E65DD5"/>
    <w:rsid w:val="00E65E8C"/>
    <w:rsid w:val="00E65E90"/>
    <w:rsid w:val="00E65F05"/>
    <w:rsid w:val="00E65F17"/>
    <w:rsid w:val="00E65FEC"/>
    <w:rsid w:val="00E66037"/>
    <w:rsid w:val="00E660B0"/>
    <w:rsid w:val="00E6614D"/>
    <w:rsid w:val="00E66263"/>
    <w:rsid w:val="00E6634D"/>
    <w:rsid w:val="00E66384"/>
    <w:rsid w:val="00E66994"/>
    <w:rsid w:val="00E66A2E"/>
    <w:rsid w:val="00E66A92"/>
    <w:rsid w:val="00E66AEA"/>
    <w:rsid w:val="00E66C05"/>
    <w:rsid w:val="00E66C1B"/>
    <w:rsid w:val="00E66DF0"/>
    <w:rsid w:val="00E66FA9"/>
    <w:rsid w:val="00E6700B"/>
    <w:rsid w:val="00E67139"/>
    <w:rsid w:val="00E672EA"/>
    <w:rsid w:val="00E67424"/>
    <w:rsid w:val="00E67484"/>
    <w:rsid w:val="00E675D9"/>
    <w:rsid w:val="00E67659"/>
    <w:rsid w:val="00E67743"/>
    <w:rsid w:val="00E677C4"/>
    <w:rsid w:val="00E678A8"/>
    <w:rsid w:val="00E678FD"/>
    <w:rsid w:val="00E67980"/>
    <w:rsid w:val="00E679A4"/>
    <w:rsid w:val="00E679CF"/>
    <w:rsid w:val="00E679FC"/>
    <w:rsid w:val="00E67A60"/>
    <w:rsid w:val="00E67AD7"/>
    <w:rsid w:val="00E67DA1"/>
    <w:rsid w:val="00E67F85"/>
    <w:rsid w:val="00E67FCD"/>
    <w:rsid w:val="00E70367"/>
    <w:rsid w:val="00E704E0"/>
    <w:rsid w:val="00E706F8"/>
    <w:rsid w:val="00E707F5"/>
    <w:rsid w:val="00E70958"/>
    <w:rsid w:val="00E709E3"/>
    <w:rsid w:val="00E70A42"/>
    <w:rsid w:val="00E70B4E"/>
    <w:rsid w:val="00E70C09"/>
    <w:rsid w:val="00E70C17"/>
    <w:rsid w:val="00E70C75"/>
    <w:rsid w:val="00E70CAA"/>
    <w:rsid w:val="00E70CB6"/>
    <w:rsid w:val="00E70D04"/>
    <w:rsid w:val="00E70D3E"/>
    <w:rsid w:val="00E70D5E"/>
    <w:rsid w:val="00E70DB6"/>
    <w:rsid w:val="00E70DFC"/>
    <w:rsid w:val="00E70E5C"/>
    <w:rsid w:val="00E70F53"/>
    <w:rsid w:val="00E70FB7"/>
    <w:rsid w:val="00E71046"/>
    <w:rsid w:val="00E710FC"/>
    <w:rsid w:val="00E711EE"/>
    <w:rsid w:val="00E7120C"/>
    <w:rsid w:val="00E71298"/>
    <w:rsid w:val="00E71526"/>
    <w:rsid w:val="00E7153D"/>
    <w:rsid w:val="00E7182E"/>
    <w:rsid w:val="00E718E4"/>
    <w:rsid w:val="00E719AC"/>
    <w:rsid w:val="00E719E0"/>
    <w:rsid w:val="00E71A1C"/>
    <w:rsid w:val="00E71A86"/>
    <w:rsid w:val="00E71AEB"/>
    <w:rsid w:val="00E71B7B"/>
    <w:rsid w:val="00E71C7B"/>
    <w:rsid w:val="00E71D85"/>
    <w:rsid w:val="00E71E60"/>
    <w:rsid w:val="00E71E7C"/>
    <w:rsid w:val="00E72040"/>
    <w:rsid w:val="00E72182"/>
    <w:rsid w:val="00E72302"/>
    <w:rsid w:val="00E7232C"/>
    <w:rsid w:val="00E72351"/>
    <w:rsid w:val="00E723CE"/>
    <w:rsid w:val="00E7246F"/>
    <w:rsid w:val="00E7256E"/>
    <w:rsid w:val="00E725FD"/>
    <w:rsid w:val="00E72784"/>
    <w:rsid w:val="00E72944"/>
    <w:rsid w:val="00E72B8A"/>
    <w:rsid w:val="00E72C93"/>
    <w:rsid w:val="00E72D46"/>
    <w:rsid w:val="00E72F11"/>
    <w:rsid w:val="00E73023"/>
    <w:rsid w:val="00E735BE"/>
    <w:rsid w:val="00E736B0"/>
    <w:rsid w:val="00E736E4"/>
    <w:rsid w:val="00E736FF"/>
    <w:rsid w:val="00E73ADE"/>
    <w:rsid w:val="00E73C30"/>
    <w:rsid w:val="00E73E86"/>
    <w:rsid w:val="00E73F96"/>
    <w:rsid w:val="00E74052"/>
    <w:rsid w:val="00E740AD"/>
    <w:rsid w:val="00E7418A"/>
    <w:rsid w:val="00E74278"/>
    <w:rsid w:val="00E74355"/>
    <w:rsid w:val="00E74453"/>
    <w:rsid w:val="00E744A0"/>
    <w:rsid w:val="00E74503"/>
    <w:rsid w:val="00E74632"/>
    <w:rsid w:val="00E747BE"/>
    <w:rsid w:val="00E7487A"/>
    <w:rsid w:val="00E748DA"/>
    <w:rsid w:val="00E7496B"/>
    <w:rsid w:val="00E74AAA"/>
    <w:rsid w:val="00E74BCD"/>
    <w:rsid w:val="00E74BE5"/>
    <w:rsid w:val="00E74D49"/>
    <w:rsid w:val="00E75150"/>
    <w:rsid w:val="00E75267"/>
    <w:rsid w:val="00E752E9"/>
    <w:rsid w:val="00E7551D"/>
    <w:rsid w:val="00E75646"/>
    <w:rsid w:val="00E75696"/>
    <w:rsid w:val="00E7594F"/>
    <w:rsid w:val="00E759D5"/>
    <w:rsid w:val="00E75B6B"/>
    <w:rsid w:val="00E75D05"/>
    <w:rsid w:val="00E76264"/>
    <w:rsid w:val="00E763AB"/>
    <w:rsid w:val="00E7647E"/>
    <w:rsid w:val="00E7651D"/>
    <w:rsid w:val="00E765CC"/>
    <w:rsid w:val="00E7683A"/>
    <w:rsid w:val="00E768DF"/>
    <w:rsid w:val="00E768E3"/>
    <w:rsid w:val="00E76958"/>
    <w:rsid w:val="00E76C3A"/>
    <w:rsid w:val="00E76CAD"/>
    <w:rsid w:val="00E76CD0"/>
    <w:rsid w:val="00E76DD9"/>
    <w:rsid w:val="00E76EC2"/>
    <w:rsid w:val="00E77006"/>
    <w:rsid w:val="00E7705D"/>
    <w:rsid w:val="00E772EC"/>
    <w:rsid w:val="00E7730D"/>
    <w:rsid w:val="00E77430"/>
    <w:rsid w:val="00E774F8"/>
    <w:rsid w:val="00E77592"/>
    <w:rsid w:val="00E775BD"/>
    <w:rsid w:val="00E776BF"/>
    <w:rsid w:val="00E77712"/>
    <w:rsid w:val="00E77765"/>
    <w:rsid w:val="00E77799"/>
    <w:rsid w:val="00E77885"/>
    <w:rsid w:val="00E77AD3"/>
    <w:rsid w:val="00E77B0F"/>
    <w:rsid w:val="00E77D20"/>
    <w:rsid w:val="00E77E33"/>
    <w:rsid w:val="00E77E9D"/>
    <w:rsid w:val="00E77F8A"/>
    <w:rsid w:val="00E8003B"/>
    <w:rsid w:val="00E800E2"/>
    <w:rsid w:val="00E80405"/>
    <w:rsid w:val="00E8070E"/>
    <w:rsid w:val="00E807E3"/>
    <w:rsid w:val="00E80800"/>
    <w:rsid w:val="00E8092F"/>
    <w:rsid w:val="00E80A5A"/>
    <w:rsid w:val="00E80AB5"/>
    <w:rsid w:val="00E80AC3"/>
    <w:rsid w:val="00E80B0B"/>
    <w:rsid w:val="00E80C61"/>
    <w:rsid w:val="00E80C8E"/>
    <w:rsid w:val="00E80CA2"/>
    <w:rsid w:val="00E80D84"/>
    <w:rsid w:val="00E8104E"/>
    <w:rsid w:val="00E810B6"/>
    <w:rsid w:val="00E8119C"/>
    <w:rsid w:val="00E81326"/>
    <w:rsid w:val="00E814F3"/>
    <w:rsid w:val="00E81516"/>
    <w:rsid w:val="00E815BF"/>
    <w:rsid w:val="00E818B8"/>
    <w:rsid w:val="00E818CE"/>
    <w:rsid w:val="00E818FA"/>
    <w:rsid w:val="00E81A61"/>
    <w:rsid w:val="00E81B0D"/>
    <w:rsid w:val="00E81B64"/>
    <w:rsid w:val="00E81C2C"/>
    <w:rsid w:val="00E81E18"/>
    <w:rsid w:val="00E81E9A"/>
    <w:rsid w:val="00E81EB4"/>
    <w:rsid w:val="00E81EF2"/>
    <w:rsid w:val="00E81FC7"/>
    <w:rsid w:val="00E82008"/>
    <w:rsid w:val="00E821A1"/>
    <w:rsid w:val="00E822C6"/>
    <w:rsid w:val="00E82305"/>
    <w:rsid w:val="00E8237D"/>
    <w:rsid w:val="00E82655"/>
    <w:rsid w:val="00E82698"/>
    <w:rsid w:val="00E829F6"/>
    <w:rsid w:val="00E82A08"/>
    <w:rsid w:val="00E82A1D"/>
    <w:rsid w:val="00E82A52"/>
    <w:rsid w:val="00E82AB5"/>
    <w:rsid w:val="00E82ADF"/>
    <w:rsid w:val="00E82B80"/>
    <w:rsid w:val="00E82BBF"/>
    <w:rsid w:val="00E82C82"/>
    <w:rsid w:val="00E82C9F"/>
    <w:rsid w:val="00E82D09"/>
    <w:rsid w:val="00E82D85"/>
    <w:rsid w:val="00E82DC6"/>
    <w:rsid w:val="00E833F1"/>
    <w:rsid w:val="00E834EA"/>
    <w:rsid w:val="00E83534"/>
    <w:rsid w:val="00E83620"/>
    <w:rsid w:val="00E8397E"/>
    <w:rsid w:val="00E839A8"/>
    <w:rsid w:val="00E83B83"/>
    <w:rsid w:val="00E83B92"/>
    <w:rsid w:val="00E83E17"/>
    <w:rsid w:val="00E83F37"/>
    <w:rsid w:val="00E83FA6"/>
    <w:rsid w:val="00E84028"/>
    <w:rsid w:val="00E84039"/>
    <w:rsid w:val="00E84076"/>
    <w:rsid w:val="00E840CD"/>
    <w:rsid w:val="00E8415C"/>
    <w:rsid w:val="00E841DE"/>
    <w:rsid w:val="00E8426E"/>
    <w:rsid w:val="00E84308"/>
    <w:rsid w:val="00E843EA"/>
    <w:rsid w:val="00E84493"/>
    <w:rsid w:val="00E84540"/>
    <w:rsid w:val="00E8461D"/>
    <w:rsid w:val="00E8466C"/>
    <w:rsid w:val="00E84717"/>
    <w:rsid w:val="00E847A1"/>
    <w:rsid w:val="00E84857"/>
    <w:rsid w:val="00E8491B"/>
    <w:rsid w:val="00E8491E"/>
    <w:rsid w:val="00E84956"/>
    <w:rsid w:val="00E84A7C"/>
    <w:rsid w:val="00E84A82"/>
    <w:rsid w:val="00E84B37"/>
    <w:rsid w:val="00E84BFB"/>
    <w:rsid w:val="00E84CAB"/>
    <w:rsid w:val="00E84CD8"/>
    <w:rsid w:val="00E84D78"/>
    <w:rsid w:val="00E84F05"/>
    <w:rsid w:val="00E84F50"/>
    <w:rsid w:val="00E84F52"/>
    <w:rsid w:val="00E84FF6"/>
    <w:rsid w:val="00E85071"/>
    <w:rsid w:val="00E85093"/>
    <w:rsid w:val="00E8510A"/>
    <w:rsid w:val="00E8517A"/>
    <w:rsid w:val="00E85340"/>
    <w:rsid w:val="00E85514"/>
    <w:rsid w:val="00E85668"/>
    <w:rsid w:val="00E85689"/>
    <w:rsid w:val="00E8581B"/>
    <w:rsid w:val="00E85A09"/>
    <w:rsid w:val="00E85A32"/>
    <w:rsid w:val="00E85AA4"/>
    <w:rsid w:val="00E85B79"/>
    <w:rsid w:val="00E85C60"/>
    <w:rsid w:val="00E85C83"/>
    <w:rsid w:val="00E85CE7"/>
    <w:rsid w:val="00E85F65"/>
    <w:rsid w:val="00E85FEB"/>
    <w:rsid w:val="00E86068"/>
    <w:rsid w:val="00E860D2"/>
    <w:rsid w:val="00E860E3"/>
    <w:rsid w:val="00E86160"/>
    <w:rsid w:val="00E8616A"/>
    <w:rsid w:val="00E8619D"/>
    <w:rsid w:val="00E861B0"/>
    <w:rsid w:val="00E86205"/>
    <w:rsid w:val="00E86221"/>
    <w:rsid w:val="00E8638D"/>
    <w:rsid w:val="00E8643A"/>
    <w:rsid w:val="00E8650A"/>
    <w:rsid w:val="00E86630"/>
    <w:rsid w:val="00E86714"/>
    <w:rsid w:val="00E86732"/>
    <w:rsid w:val="00E86769"/>
    <w:rsid w:val="00E8684F"/>
    <w:rsid w:val="00E86AF3"/>
    <w:rsid w:val="00E86BA8"/>
    <w:rsid w:val="00E86BC2"/>
    <w:rsid w:val="00E86C84"/>
    <w:rsid w:val="00E86DE7"/>
    <w:rsid w:val="00E86E44"/>
    <w:rsid w:val="00E86E4B"/>
    <w:rsid w:val="00E86ED0"/>
    <w:rsid w:val="00E87238"/>
    <w:rsid w:val="00E87298"/>
    <w:rsid w:val="00E872A7"/>
    <w:rsid w:val="00E872DE"/>
    <w:rsid w:val="00E87343"/>
    <w:rsid w:val="00E87583"/>
    <w:rsid w:val="00E87612"/>
    <w:rsid w:val="00E8790C"/>
    <w:rsid w:val="00E87999"/>
    <w:rsid w:val="00E87C3E"/>
    <w:rsid w:val="00E87C62"/>
    <w:rsid w:val="00E87D6E"/>
    <w:rsid w:val="00E87DB0"/>
    <w:rsid w:val="00E87E35"/>
    <w:rsid w:val="00E87F3E"/>
    <w:rsid w:val="00E90254"/>
    <w:rsid w:val="00E902DE"/>
    <w:rsid w:val="00E903EC"/>
    <w:rsid w:val="00E90443"/>
    <w:rsid w:val="00E904B9"/>
    <w:rsid w:val="00E90607"/>
    <w:rsid w:val="00E906B4"/>
    <w:rsid w:val="00E90732"/>
    <w:rsid w:val="00E90736"/>
    <w:rsid w:val="00E90744"/>
    <w:rsid w:val="00E9076E"/>
    <w:rsid w:val="00E907DD"/>
    <w:rsid w:val="00E90827"/>
    <w:rsid w:val="00E90A95"/>
    <w:rsid w:val="00E90AC1"/>
    <w:rsid w:val="00E90B5C"/>
    <w:rsid w:val="00E90CB9"/>
    <w:rsid w:val="00E90F67"/>
    <w:rsid w:val="00E90F70"/>
    <w:rsid w:val="00E90FEC"/>
    <w:rsid w:val="00E91078"/>
    <w:rsid w:val="00E912CA"/>
    <w:rsid w:val="00E91478"/>
    <w:rsid w:val="00E914B9"/>
    <w:rsid w:val="00E915CD"/>
    <w:rsid w:val="00E918F4"/>
    <w:rsid w:val="00E9192B"/>
    <w:rsid w:val="00E919AD"/>
    <w:rsid w:val="00E91A48"/>
    <w:rsid w:val="00E91C0A"/>
    <w:rsid w:val="00E91D20"/>
    <w:rsid w:val="00E91D2C"/>
    <w:rsid w:val="00E91EAF"/>
    <w:rsid w:val="00E91F64"/>
    <w:rsid w:val="00E920E4"/>
    <w:rsid w:val="00E9210D"/>
    <w:rsid w:val="00E92149"/>
    <w:rsid w:val="00E921C1"/>
    <w:rsid w:val="00E9220B"/>
    <w:rsid w:val="00E92274"/>
    <w:rsid w:val="00E922BF"/>
    <w:rsid w:val="00E92380"/>
    <w:rsid w:val="00E923BC"/>
    <w:rsid w:val="00E92571"/>
    <w:rsid w:val="00E925DC"/>
    <w:rsid w:val="00E927EE"/>
    <w:rsid w:val="00E927F1"/>
    <w:rsid w:val="00E92A03"/>
    <w:rsid w:val="00E92C7E"/>
    <w:rsid w:val="00E92D9A"/>
    <w:rsid w:val="00E92DD3"/>
    <w:rsid w:val="00E92EBD"/>
    <w:rsid w:val="00E92ED9"/>
    <w:rsid w:val="00E92F1E"/>
    <w:rsid w:val="00E9316D"/>
    <w:rsid w:val="00E93299"/>
    <w:rsid w:val="00E93324"/>
    <w:rsid w:val="00E934DE"/>
    <w:rsid w:val="00E93566"/>
    <w:rsid w:val="00E935B4"/>
    <w:rsid w:val="00E93779"/>
    <w:rsid w:val="00E93856"/>
    <w:rsid w:val="00E93915"/>
    <w:rsid w:val="00E93964"/>
    <w:rsid w:val="00E93A91"/>
    <w:rsid w:val="00E93AA0"/>
    <w:rsid w:val="00E93AB6"/>
    <w:rsid w:val="00E93ADC"/>
    <w:rsid w:val="00E93BDB"/>
    <w:rsid w:val="00E93C90"/>
    <w:rsid w:val="00E93CD4"/>
    <w:rsid w:val="00E93D97"/>
    <w:rsid w:val="00E93E41"/>
    <w:rsid w:val="00E93E57"/>
    <w:rsid w:val="00E93E80"/>
    <w:rsid w:val="00E93E99"/>
    <w:rsid w:val="00E93EAF"/>
    <w:rsid w:val="00E93FBD"/>
    <w:rsid w:val="00E94060"/>
    <w:rsid w:val="00E940C1"/>
    <w:rsid w:val="00E940D2"/>
    <w:rsid w:val="00E94105"/>
    <w:rsid w:val="00E94151"/>
    <w:rsid w:val="00E94169"/>
    <w:rsid w:val="00E941E6"/>
    <w:rsid w:val="00E94206"/>
    <w:rsid w:val="00E94228"/>
    <w:rsid w:val="00E9423F"/>
    <w:rsid w:val="00E943A8"/>
    <w:rsid w:val="00E9448A"/>
    <w:rsid w:val="00E94577"/>
    <w:rsid w:val="00E94646"/>
    <w:rsid w:val="00E9477D"/>
    <w:rsid w:val="00E947ED"/>
    <w:rsid w:val="00E9497A"/>
    <w:rsid w:val="00E9499F"/>
    <w:rsid w:val="00E94B1A"/>
    <w:rsid w:val="00E94B65"/>
    <w:rsid w:val="00E94B83"/>
    <w:rsid w:val="00E94C6D"/>
    <w:rsid w:val="00E94C87"/>
    <w:rsid w:val="00E94D0B"/>
    <w:rsid w:val="00E94D6F"/>
    <w:rsid w:val="00E94DC7"/>
    <w:rsid w:val="00E94F71"/>
    <w:rsid w:val="00E94FD6"/>
    <w:rsid w:val="00E951AC"/>
    <w:rsid w:val="00E95303"/>
    <w:rsid w:val="00E9554E"/>
    <w:rsid w:val="00E959D8"/>
    <w:rsid w:val="00E95A96"/>
    <w:rsid w:val="00E95BE4"/>
    <w:rsid w:val="00E95C9D"/>
    <w:rsid w:val="00E95CC7"/>
    <w:rsid w:val="00E95D24"/>
    <w:rsid w:val="00E95E0E"/>
    <w:rsid w:val="00E95E5B"/>
    <w:rsid w:val="00E95E7A"/>
    <w:rsid w:val="00E95EE3"/>
    <w:rsid w:val="00E95F30"/>
    <w:rsid w:val="00E95FDE"/>
    <w:rsid w:val="00E9637D"/>
    <w:rsid w:val="00E96487"/>
    <w:rsid w:val="00E964F3"/>
    <w:rsid w:val="00E965E1"/>
    <w:rsid w:val="00E96731"/>
    <w:rsid w:val="00E9674E"/>
    <w:rsid w:val="00E967EE"/>
    <w:rsid w:val="00E96877"/>
    <w:rsid w:val="00E968C7"/>
    <w:rsid w:val="00E9692F"/>
    <w:rsid w:val="00E96A34"/>
    <w:rsid w:val="00E96A6C"/>
    <w:rsid w:val="00E96D1A"/>
    <w:rsid w:val="00E9704E"/>
    <w:rsid w:val="00E97132"/>
    <w:rsid w:val="00E97292"/>
    <w:rsid w:val="00E973DC"/>
    <w:rsid w:val="00E97611"/>
    <w:rsid w:val="00E9774C"/>
    <w:rsid w:val="00E9777E"/>
    <w:rsid w:val="00E97880"/>
    <w:rsid w:val="00E97A4A"/>
    <w:rsid w:val="00E97A61"/>
    <w:rsid w:val="00E97A78"/>
    <w:rsid w:val="00E97B86"/>
    <w:rsid w:val="00E97D60"/>
    <w:rsid w:val="00E97DE5"/>
    <w:rsid w:val="00E97F6E"/>
    <w:rsid w:val="00EA00D3"/>
    <w:rsid w:val="00EA024C"/>
    <w:rsid w:val="00EA02A5"/>
    <w:rsid w:val="00EA047C"/>
    <w:rsid w:val="00EA0730"/>
    <w:rsid w:val="00EA07BF"/>
    <w:rsid w:val="00EA0856"/>
    <w:rsid w:val="00EA087D"/>
    <w:rsid w:val="00EA08A3"/>
    <w:rsid w:val="00EA08E4"/>
    <w:rsid w:val="00EA095F"/>
    <w:rsid w:val="00EA0AA9"/>
    <w:rsid w:val="00EA0BBD"/>
    <w:rsid w:val="00EA0E55"/>
    <w:rsid w:val="00EA1337"/>
    <w:rsid w:val="00EA1478"/>
    <w:rsid w:val="00EA16AA"/>
    <w:rsid w:val="00EA1739"/>
    <w:rsid w:val="00EA1744"/>
    <w:rsid w:val="00EA1825"/>
    <w:rsid w:val="00EA183F"/>
    <w:rsid w:val="00EA18D5"/>
    <w:rsid w:val="00EA1921"/>
    <w:rsid w:val="00EA19A8"/>
    <w:rsid w:val="00EA1A12"/>
    <w:rsid w:val="00EA1A27"/>
    <w:rsid w:val="00EA1A61"/>
    <w:rsid w:val="00EA1B08"/>
    <w:rsid w:val="00EA1B8E"/>
    <w:rsid w:val="00EA1CE6"/>
    <w:rsid w:val="00EA1DCE"/>
    <w:rsid w:val="00EA2002"/>
    <w:rsid w:val="00EA20D4"/>
    <w:rsid w:val="00EA2266"/>
    <w:rsid w:val="00EA244D"/>
    <w:rsid w:val="00EA248B"/>
    <w:rsid w:val="00EA249F"/>
    <w:rsid w:val="00EA2553"/>
    <w:rsid w:val="00EA25F2"/>
    <w:rsid w:val="00EA2644"/>
    <w:rsid w:val="00EA26BB"/>
    <w:rsid w:val="00EA285B"/>
    <w:rsid w:val="00EA2969"/>
    <w:rsid w:val="00EA2999"/>
    <w:rsid w:val="00EA2C31"/>
    <w:rsid w:val="00EA2C73"/>
    <w:rsid w:val="00EA2CE7"/>
    <w:rsid w:val="00EA2CF9"/>
    <w:rsid w:val="00EA31A1"/>
    <w:rsid w:val="00EA3237"/>
    <w:rsid w:val="00EA3254"/>
    <w:rsid w:val="00EA3257"/>
    <w:rsid w:val="00EA3408"/>
    <w:rsid w:val="00EA3521"/>
    <w:rsid w:val="00EA361A"/>
    <w:rsid w:val="00EA36DD"/>
    <w:rsid w:val="00EA3735"/>
    <w:rsid w:val="00EA389A"/>
    <w:rsid w:val="00EA3A41"/>
    <w:rsid w:val="00EA3B1E"/>
    <w:rsid w:val="00EA3B74"/>
    <w:rsid w:val="00EA3F32"/>
    <w:rsid w:val="00EA3F9F"/>
    <w:rsid w:val="00EA42BA"/>
    <w:rsid w:val="00EA45E9"/>
    <w:rsid w:val="00EA4658"/>
    <w:rsid w:val="00EA469D"/>
    <w:rsid w:val="00EA46E9"/>
    <w:rsid w:val="00EA477A"/>
    <w:rsid w:val="00EA48A9"/>
    <w:rsid w:val="00EA4967"/>
    <w:rsid w:val="00EA4BB4"/>
    <w:rsid w:val="00EA4DAF"/>
    <w:rsid w:val="00EA4DDB"/>
    <w:rsid w:val="00EA4E07"/>
    <w:rsid w:val="00EA4EAD"/>
    <w:rsid w:val="00EA5103"/>
    <w:rsid w:val="00EA5173"/>
    <w:rsid w:val="00EA52CC"/>
    <w:rsid w:val="00EA5355"/>
    <w:rsid w:val="00EA5393"/>
    <w:rsid w:val="00EA54D2"/>
    <w:rsid w:val="00EA5508"/>
    <w:rsid w:val="00EA5583"/>
    <w:rsid w:val="00EA55BE"/>
    <w:rsid w:val="00EA5698"/>
    <w:rsid w:val="00EA56B7"/>
    <w:rsid w:val="00EA579B"/>
    <w:rsid w:val="00EA5871"/>
    <w:rsid w:val="00EA58E2"/>
    <w:rsid w:val="00EA5930"/>
    <w:rsid w:val="00EA5954"/>
    <w:rsid w:val="00EA59AE"/>
    <w:rsid w:val="00EA5A70"/>
    <w:rsid w:val="00EA5BCC"/>
    <w:rsid w:val="00EA5CEF"/>
    <w:rsid w:val="00EA611C"/>
    <w:rsid w:val="00EA6176"/>
    <w:rsid w:val="00EA61CA"/>
    <w:rsid w:val="00EA624B"/>
    <w:rsid w:val="00EA629D"/>
    <w:rsid w:val="00EA636F"/>
    <w:rsid w:val="00EA644F"/>
    <w:rsid w:val="00EA647B"/>
    <w:rsid w:val="00EA65C6"/>
    <w:rsid w:val="00EA6663"/>
    <w:rsid w:val="00EA66EE"/>
    <w:rsid w:val="00EA66FB"/>
    <w:rsid w:val="00EA67BC"/>
    <w:rsid w:val="00EA689A"/>
    <w:rsid w:val="00EA6965"/>
    <w:rsid w:val="00EA6A01"/>
    <w:rsid w:val="00EA6A3F"/>
    <w:rsid w:val="00EA6ACC"/>
    <w:rsid w:val="00EA6D24"/>
    <w:rsid w:val="00EA6D7C"/>
    <w:rsid w:val="00EA6DF7"/>
    <w:rsid w:val="00EA70D8"/>
    <w:rsid w:val="00EA7226"/>
    <w:rsid w:val="00EA729A"/>
    <w:rsid w:val="00EA75A4"/>
    <w:rsid w:val="00EA75AC"/>
    <w:rsid w:val="00EA767C"/>
    <w:rsid w:val="00EA778C"/>
    <w:rsid w:val="00EA784C"/>
    <w:rsid w:val="00EA787E"/>
    <w:rsid w:val="00EA7896"/>
    <w:rsid w:val="00EA7940"/>
    <w:rsid w:val="00EA7A1E"/>
    <w:rsid w:val="00EA7A59"/>
    <w:rsid w:val="00EA7B5F"/>
    <w:rsid w:val="00EA7B7D"/>
    <w:rsid w:val="00EA7D0F"/>
    <w:rsid w:val="00EA7DB9"/>
    <w:rsid w:val="00EA7E3B"/>
    <w:rsid w:val="00EB000D"/>
    <w:rsid w:val="00EB009C"/>
    <w:rsid w:val="00EB018B"/>
    <w:rsid w:val="00EB01CD"/>
    <w:rsid w:val="00EB02C0"/>
    <w:rsid w:val="00EB0353"/>
    <w:rsid w:val="00EB0431"/>
    <w:rsid w:val="00EB0487"/>
    <w:rsid w:val="00EB0489"/>
    <w:rsid w:val="00EB04AC"/>
    <w:rsid w:val="00EB05A3"/>
    <w:rsid w:val="00EB0866"/>
    <w:rsid w:val="00EB08D9"/>
    <w:rsid w:val="00EB08E3"/>
    <w:rsid w:val="00EB0974"/>
    <w:rsid w:val="00EB09D0"/>
    <w:rsid w:val="00EB0A2A"/>
    <w:rsid w:val="00EB0A39"/>
    <w:rsid w:val="00EB0AAA"/>
    <w:rsid w:val="00EB0AEA"/>
    <w:rsid w:val="00EB0B66"/>
    <w:rsid w:val="00EB0CAD"/>
    <w:rsid w:val="00EB0D9D"/>
    <w:rsid w:val="00EB0DBC"/>
    <w:rsid w:val="00EB0E3F"/>
    <w:rsid w:val="00EB0E91"/>
    <w:rsid w:val="00EB0EB8"/>
    <w:rsid w:val="00EB0F11"/>
    <w:rsid w:val="00EB104A"/>
    <w:rsid w:val="00EB11EF"/>
    <w:rsid w:val="00EB120F"/>
    <w:rsid w:val="00EB1591"/>
    <w:rsid w:val="00EB1639"/>
    <w:rsid w:val="00EB165D"/>
    <w:rsid w:val="00EB184E"/>
    <w:rsid w:val="00EB18BB"/>
    <w:rsid w:val="00EB1908"/>
    <w:rsid w:val="00EB1A27"/>
    <w:rsid w:val="00EB1AA3"/>
    <w:rsid w:val="00EB1C39"/>
    <w:rsid w:val="00EB1CA9"/>
    <w:rsid w:val="00EB1FCA"/>
    <w:rsid w:val="00EB1FE3"/>
    <w:rsid w:val="00EB2011"/>
    <w:rsid w:val="00EB201E"/>
    <w:rsid w:val="00EB219F"/>
    <w:rsid w:val="00EB2223"/>
    <w:rsid w:val="00EB2295"/>
    <w:rsid w:val="00EB22AA"/>
    <w:rsid w:val="00EB2326"/>
    <w:rsid w:val="00EB2458"/>
    <w:rsid w:val="00EB2595"/>
    <w:rsid w:val="00EB25A6"/>
    <w:rsid w:val="00EB25EB"/>
    <w:rsid w:val="00EB269C"/>
    <w:rsid w:val="00EB275E"/>
    <w:rsid w:val="00EB2769"/>
    <w:rsid w:val="00EB28A3"/>
    <w:rsid w:val="00EB28B0"/>
    <w:rsid w:val="00EB29D7"/>
    <w:rsid w:val="00EB2AC6"/>
    <w:rsid w:val="00EB2B41"/>
    <w:rsid w:val="00EB2C29"/>
    <w:rsid w:val="00EB2C3D"/>
    <w:rsid w:val="00EB2C3F"/>
    <w:rsid w:val="00EB2D26"/>
    <w:rsid w:val="00EB2D79"/>
    <w:rsid w:val="00EB2D82"/>
    <w:rsid w:val="00EB2D99"/>
    <w:rsid w:val="00EB2FCF"/>
    <w:rsid w:val="00EB3028"/>
    <w:rsid w:val="00EB303A"/>
    <w:rsid w:val="00EB3085"/>
    <w:rsid w:val="00EB31BB"/>
    <w:rsid w:val="00EB3340"/>
    <w:rsid w:val="00EB3396"/>
    <w:rsid w:val="00EB33DB"/>
    <w:rsid w:val="00EB3495"/>
    <w:rsid w:val="00EB352E"/>
    <w:rsid w:val="00EB3575"/>
    <w:rsid w:val="00EB3637"/>
    <w:rsid w:val="00EB3873"/>
    <w:rsid w:val="00EB391D"/>
    <w:rsid w:val="00EB39F1"/>
    <w:rsid w:val="00EB3A63"/>
    <w:rsid w:val="00EB3A6C"/>
    <w:rsid w:val="00EB3A9F"/>
    <w:rsid w:val="00EB3C5A"/>
    <w:rsid w:val="00EB3CD3"/>
    <w:rsid w:val="00EB3DFD"/>
    <w:rsid w:val="00EB3E82"/>
    <w:rsid w:val="00EB3E84"/>
    <w:rsid w:val="00EB3F06"/>
    <w:rsid w:val="00EB3F94"/>
    <w:rsid w:val="00EB4083"/>
    <w:rsid w:val="00EB40EB"/>
    <w:rsid w:val="00EB40EC"/>
    <w:rsid w:val="00EB40F3"/>
    <w:rsid w:val="00EB4104"/>
    <w:rsid w:val="00EB4109"/>
    <w:rsid w:val="00EB4124"/>
    <w:rsid w:val="00EB4194"/>
    <w:rsid w:val="00EB42AB"/>
    <w:rsid w:val="00EB4361"/>
    <w:rsid w:val="00EB436C"/>
    <w:rsid w:val="00EB43EF"/>
    <w:rsid w:val="00EB44D2"/>
    <w:rsid w:val="00EB4574"/>
    <w:rsid w:val="00EB46BD"/>
    <w:rsid w:val="00EB4707"/>
    <w:rsid w:val="00EB47E4"/>
    <w:rsid w:val="00EB4816"/>
    <w:rsid w:val="00EB4BDF"/>
    <w:rsid w:val="00EB4C49"/>
    <w:rsid w:val="00EB4C69"/>
    <w:rsid w:val="00EB4DBB"/>
    <w:rsid w:val="00EB4FE5"/>
    <w:rsid w:val="00EB51F6"/>
    <w:rsid w:val="00EB523D"/>
    <w:rsid w:val="00EB5249"/>
    <w:rsid w:val="00EB527C"/>
    <w:rsid w:val="00EB54CD"/>
    <w:rsid w:val="00EB5568"/>
    <w:rsid w:val="00EB55F8"/>
    <w:rsid w:val="00EB5605"/>
    <w:rsid w:val="00EB58F0"/>
    <w:rsid w:val="00EB59AF"/>
    <w:rsid w:val="00EB5A2D"/>
    <w:rsid w:val="00EB5AE6"/>
    <w:rsid w:val="00EB5B3E"/>
    <w:rsid w:val="00EB5D13"/>
    <w:rsid w:val="00EB5D62"/>
    <w:rsid w:val="00EB5DC4"/>
    <w:rsid w:val="00EB5E90"/>
    <w:rsid w:val="00EB60ED"/>
    <w:rsid w:val="00EB63CA"/>
    <w:rsid w:val="00EB6433"/>
    <w:rsid w:val="00EB6490"/>
    <w:rsid w:val="00EB65A8"/>
    <w:rsid w:val="00EB67FC"/>
    <w:rsid w:val="00EB6919"/>
    <w:rsid w:val="00EB69DA"/>
    <w:rsid w:val="00EB6A7D"/>
    <w:rsid w:val="00EB6BA0"/>
    <w:rsid w:val="00EB6C47"/>
    <w:rsid w:val="00EB6C82"/>
    <w:rsid w:val="00EB6C9E"/>
    <w:rsid w:val="00EB6CF3"/>
    <w:rsid w:val="00EB6D61"/>
    <w:rsid w:val="00EB6FF5"/>
    <w:rsid w:val="00EB704D"/>
    <w:rsid w:val="00EB706E"/>
    <w:rsid w:val="00EB72E5"/>
    <w:rsid w:val="00EB7334"/>
    <w:rsid w:val="00EB7470"/>
    <w:rsid w:val="00EB749F"/>
    <w:rsid w:val="00EB79FC"/>
    <w:rsid w:val="00EB7BA1"/>
    <w:rsid w:val="00EB7C7A"/>
    <w:rsid w:val="00EB7CB7"/>
    <w:rsid w:val="00EB7D24"/>
    <w:rsid w:val="00EB7DDA"/>
    <w:rsid w:val="00EB7E9D"/>
    <w:rsid w:val="00EB7EAA"/>
    <w:rsid w:val="00EB7EC4"/>
    <w:rsid w:val="00EB7F9A"/>
    <w:rsid w:val="00EC0228"/>
    <w:rsid w:val="00EC029D"/>
    <w:rsid w:val="00EC03C0"/>
    <w:rsid w:val="00EC0797"/>
    <w:rsid w:val="00EC07C4"/>
    <w:rsid w:val="00EC085A"/>
    <w:rsid w:val="00EC0922"/>
    <w:rsid w:val="00EC0A5D"/>
    <w:rsid w:val="00EC0B3A"/>
    <w:rsid w:val="00EC0B44"/>
    <w:rsid w:val="00EC0C53"/>
    <w:rsid w:val="00EC0C80"/>
    <w:rsid w:val="00EC0CAA"/>
    <w:rsid w:val="00EC0CE7"/>
    <w:rsid w:val="00EC0D45"/>
    <w:rsid w:val="00EC0EA5"/>
    <w:rsid w:val="00EC0EAC"/>
    <w:rsid w:val="00EC0ECC"/>
    <w:rsid w:val="00EC0FED"/>
    <w:rsid w:val="00EC1015"/>
    <w:rsid w:val="00EC106D"/>
    <w:rsid w:val="00EC1091"/>
    <w:rsid w:val="00EC1204"/>
    <w:rsid w:val="00EC1288"/>
    <w:rsid w:val="00EC129C"/>
    <w:rsid w:val="00EC15FF"/>
    <w:rsid w:val="00EC16D6"/>
    <w:rsid w:val="00EC1844"/>
    <w:rsid w:val="00EC1A6A"/>
    <w:rsid w:val="00EC1A8A"/>
    <w:rsid w:val="00EC1AC1"/>
    <w:rsid w:val="00EC1B1D"/>
    <w:rsid w:val="00EC1B62"/>
    <w:rsid w:val="00EC1BCA"/>
    <w:rsid w:val="00EC1ED1"/>
    <w:rsid w:val="00EC1F17"/>
    <w:rsid w:val="00EC1F58"/>
    <w:rsid w:val="00EC2068"/>
    <w:rsid w:val="00EC20A1"/>
    <w:rsid w:val="00EC20A6"/>
    <w:rsid w:val="00EC20B5"/>
    <w:rsid w:val="00EC20C8"/>
    <w:rsid w:val="00EC219E"/>
    <w:rsid w:val="00EC2567"/>
    <w:rsid w:val="00EC2A77"/>
    <w:rsid w:val="00EC2AAE"/>
    <w:rsid w:val="00EC2B2C"/>
    <w:rsid w:val="00EC2DA4"/>
    <w:rsid w:val="00EC2DED"/>
    <w:rsid w:val="00EC2F92"/>
    <w:rsid w:val="00EC2FE9"/>
    <w:rsid w:val="00EC30AD"/>
    <w:rsid w:val="00EC30C4"/>
    <w:rsid w:val="00EC331A"/>
    <w:rsid w:val="00EC337A"/>
    <w:rsid w:val="00EC33DC"/>
    <w:rsid w:val="00EC34A9"/>
    <w:rsid w:val="00EC35B9"/>
    <w:rsid w:val="00EC36BF"/>
    <w:rsid w:val="00EC38A2"/>
    <w:rsid w:val="00EC3A61"/>
    <w:rsid w:val="00EC3DEE"/>
    <w:rsid w:val="00EC3E76"/>
    <w:rsid w:val="00EC3F26"/>
    <w:rsid w:val="00EC3F7B"/>
    <w:rsid w:val="00EC3FAF"/>
    <w:rsid w:val="00EC3FC9"/>
    <w:rsid w:val="00EC40D2"/>
    <w:rsid w:val="00EC416F"/>
    <w:rsid w:val="00EC420E"/>
    <w:rsid w:val="00EC4307"/>
    <w:rsid w:val="00EC469A"/>
    <w:rsid w:val="00EC4745"/>
    <w:rsid w:val="00EC4852"/>
    <w:rsid w:val="00EC48A8"/>
    <w:rsid w:val="00EC4A5C"/>
    <w:rsid w:val="00EC4AB4"/>
    <w:rsid w:val="00EC4AF3"/>
    <w:rsid w:val="00EC4B0E"/>
    <w:rsid w:val="00EC4B1A"/>
    <w:rsid w:val="00EC4BCA"/>
    <w:rsid w:val="00EC4D0E"/>
    <w:rsid w:val="00EC4D56"/>
    <w:rsid w:val="00EC4D67"/>
    <w:rsid w:val="00EC4EBC"/>
    <w:rsid w:val="00EC4F9D"/>
    <w:rsid w:val="00EC4FA9"/>
    <w:rsid w:val="00EC4FFA"/>
    <w:rsid w:val="00EC5136"/>
    <w:rsid w:val="00EC5195"/>
    <w:rsid w:val="00EC529F"/>
    <w:rsid w:val="00EC5312"/>
    <w:rsid w:val="00EC5381"/>
    <w:rsid w:val="00EC5412"/>
    <w:rsid w:val="00EC56BA"/>
    <w:rsid w:val="00EC594F"/>
    <w:rsid w:val="00EC5B0B"/>
    <w:rsid w:val="00EC5B70"/>
    <w:rsid w:val="00EC5C56"/>
    <w:rsid w:val="00EC5EDE"/>
    <w:rsid w:val="00EC609A"/>
    <w:rsid w:val="00EC60B7"/>
    <w:rsid w:val="00EC6213"/>
    <w:rsid w:val="00EC6296"/>
    <w:rsid w:val="00EC62C9"/>
    <w:rsid w:val="00EC6422"/>
    <w:rsid w:val="00EC64A8"/>
    <w:rsid w:val="00EC672B"/>
    <w:rsid w:val="00EC6924"/>
    <w:rsid w:val="00EC69A2"/>
    <w:rsid w:val="00EC6AE2"/>
    <w:rsid w:val="00EC6B87"/>
    <w:rsid w:val="00EC6D9D"/>
    <w:rsid w:val="00EC6E45"/>
    <w:rsid w:val="00EC6F75"/>
    <w:rsid w:val="00EC7025"/>
    <w:rsid w:val="00EC7145"/>
    <w:rsid w:val="00EC7266"/>
    <w:rsid w:val="00EC72B2"/>
    <w:rsid w:val="00EC74B0"/>
    <w:rsid w:val="00EC74DA"/>
    <w:rsid w:val="00EC757F"/>
    <w:rsid w:val="00EC7764"/>
    <w:rsid w:val="00EC777C"/>
    <w:rsid w:val="00EC7899"/>
    <w:rsid w:val="00EC78B6"/>
    <w:rsid w:val="00EC78B8"/>
    <w:rsid w:val="00EC78F5"/>
    <w:rsid w:val="00EC796F"/>
    <w:rsid w:val="00EC79F0"/>
    <w:rsid w:val="00EC7A3B"/>
    <w:rsid w:val="00EC7C17"/>
    <w:rsid w:val="00EC7C1A"/>
    <w:rsid w:val="00EC7C6C"/>
    <w:rsid w:val="00ED00F5"/>
    <w:rsid w:val="00ED01B1"/>
    <w:rsid w:val="00ED0253"/>
    <w:rsid w:val="00ED02AD"/>
    <w:rsid w:val="00ED03BA"/>
    <w:rsid w:val="00ED0407"/>
    <w:rsid w:val="00ED052A"/>
    <w:rsid w:val="00ED0542"/>
    <w:rsid w:val="00ED0650"/>
    <w:rsid w:val="00ED0724"/>
    <w:rsid w:val="00ED09C0"/>
    <w:rsid w:val="00ED0A00"/>
    <w:rsid w:val="00ED0A29"/>
    <w:rsid w:val="00ED0A2C"/>
    <w:rsid w:val="00ED0BFC"/>
    <w:rsid w:val="00ED0C57"/>
    <w:rsid w:val="00ED0CB7"/>
    <w:rsid w:val="00ED0DD7"/>
    <w:rsid w:val="00ED0DFA"/>
    <w:rsid w:val="00ED1027"/>
    <w:rsid w:val="00ED12B7"/>
    <w:rsid w:val="00ED13B9"/>
    <w:rsid w:val="00ED13DD"/>
    <w:rsid w:val="00ED166E"/>
    <w:rsid w:val="00ED16E7"/>
    <w:rsid w:val="00ED17E7"/>
    <w:rsid w:val="00ED181E"/>
    <w:rsid w:val="00ED182E"/>
    <w:rsid w:val="00ED1883"/>
    <w:rsid w:val="00ED189B"/>
    <w:rsid w:val="00ED18AE"/>
    <w:rsid w:val="00ED18B9"/>
    <w:rsid w:val="00ED1949"/>
    <w:rsid w:val="00ED196F"/>
    <w:rsid w:val="00ED1B71"/>
    <w:rsid w:val="00ED1D52"/>
    <w:rsid w:val="00ED205A"/>
    <w:rsid w:val="00ED213F"/>
    <w:rsid w:val="00ED240B"/>
    <w:rsid w:val="00ED266C"/>
    <w:rsid w:val="00ED2707"/>
    <w:rsid w:val="00ED2768"/>
    <w:rsid w:val="00ED2993"/>
    <w:rsid w:val="00ED2BB5"/>
    <w:rsid w:val="00ED2BCA"/>
    <w:rsid w:val="00ED2BDC"/>
    <w:rsid w:val="00ED2E7D"/>
    <w:rsid w:val="00ED2EC7"/>
    <w:rsid w:val="00ED3012"/>
    <w:rsid w:val="00ED30A5"/>
    <w:rsid w:val="00ED32C6"/>
    <w:rsid w:val="00ED3330"/>
    <w:rsid w:val="00ED333B"/>
    <w:rsid w:val="00ED3342"/>
    <w:rsid w:val="00ED34F5"/>
    <w:rsid w:val="00ED386B"/>
    <w:rsid w:val="00ED393A"/>
    <w:rsid w:val="00ED393C"/>
    <w:rsid w:val="00ED3943"/>
    <w:rsid w:val="00ED39C2"/>
    <w:rsid w:val="00ED3A1E"/>
    <w:rsid w:val="00ED3ADB"/>
    <w:rsid w:val="00ED3CAB"/>
    <w:rsid w:val="00ED3CDB"/>
    <w:rsid w:val="00ED3D33"/>
    <w:rsid w:val="00ED3EAA"/>
    <w:rsid w:val="00ED3F02"/>
    <w:rsid w:val="00ED40B8"/>
    <w:rsid w:val="00ED41C3"/>
    <w:rsid w:val="00ED4254"/>
    <w:rsid w:val="00ED428F"/>
    <w:rsid w:val="00ED42DC"/>
    <w:rsid w:val="00ED4355"/>
    <w:rsid w:val="00ED44B3"/>
    <w:rsid w:val="00ED4710"/>
    <w:rsid w:val="00ED47A9"/>
    <w:rsid w:val="00ED481C"/>
    <w:rsid w:val="00ED4929"/>
    <w:rsid w:val="00ED4A26"/>
    <w:rsid w:val="00ED4BDA"/>
    <w:rsid w:val="00ED4CB2"/>
    <w:rsid w:val="00ED4CF3"/>
    <w:rsid w:val="00ED4D47"/>
    <w:rsid w:val="00ED4E46"/>
    <w:rsid w:val="00ED4FA3"/>
    <w:rsid w:val="00ED5002"/>
    <w:rsid w:val="00ED5031"/>
    <w:rsid w:val="00ED50B5"/>
    <w:rsid w:val="00ED5103"/>
    <w:rsid w:val="00ED5452"/>
    <w:rsid w:val="00ED5456"/>
    <w:rsid w:val="00ED54F5"/>
    <w:rsid w:val="00ED5540"/>
    <w:rsid w:val="00ED55BC"/>
    <w:rsid w:val="00ED55C7"/>
    <w:rsid w:val="00ED5601"/>
    <w:rsid w:val="00ED5683"/>
    <w:rsid w:val="00ED5745"/>
    <w:rsid w:val="00ED57A9"/>
    <w:rsid w:val="00ED5862"/>
    <w:rsid w:val="00ED5AF1"/>
    <w:rsid w:val="00ED5CDE"/>
    <w:rsid w:val="00ED5EE2"/>
    <w:rsid w:val="00ED5F71"/>
    <w:rsid w:val="00ED5FB4"/>
    <w:rsid w:val="00ED6090"/>
    <w:rsid w:val="00ED6147"/>
    <w:rsid w:val="00ED61F3"/>
    <w:rsid w:val="00ED62A9"/>
    <w:rsid w:val="00ED6321"/>
    <w:rsid w:val="00ED6553"/>
    <w:rsid w:val="00ED6629"/>
    <w:rsid w:val="00ED66FD"/>
    <w:rsid w:val="00ED679A"/>
    <w:rsid w:val="00ED6973"/>
    <w:rsid w:val="00ED6BD8"/>
    <w:rsid w:val="00ED6C17"/>
    <w:rsid w:val="00ED6E4A"/>
    <w:rsid w:val="00ED6F80"/>
    <w:rsid w:val="00ED702E"/>
    <w:rsid w:val="00ED702F"/>
    <w:rsid w:val="00ED703C"/>
    <w:rsid w:val="00ED70E5"/>
    <w:rsid w:val="00ED713F"/>
    <w:rsid w:val="00ED71B3"/>
    <w:rsid w:val="00ED7263"/>
    <w:rsid w:val="00ED7404"/>
    <w:rsid w:val="00ED74F2"/>
    <w:rsid w:val="00ED753A"/>
    <w:rsid w:val="00ED763A"/>
    <w:rsid w:val="00ED76D1"/>
    <w:rsid w:val="00ED79A0"/>
    <w:rsid w:val="00ED79EE"/>
    <w:rsid w:val="00ED7A87"/>
    <w:rsid w:val="00ED7BD8"/>
    <w:rsid w:val="00ED7EFA"/>
    <w:rsid w:val="00ED7F2D"/>
    <w:rsid w:val="00ED7FBE"/>
    <w:rsid w:val="00EE018E"/>
    <w:rsid w:val="00EE02F3"/>
    <w:rsid w:val="00EE034E"/>
    <w:rsid w:val="00EE03C9"/>
    <w:rsid w:val="00EE03FD"/>
    <w:rsid w:val="00EE0551"/>
    <w:rsid w:val="00EE05E1"/>
    <w:rsid w:val="00EE0615"/>
    <w:rsid w:val="00EE0820"/>
    <w:rsid w:val="00EE086D"/>
    <w:rsid w:val="00EE0C3A"/>
    <w:rsid w:val="00EE0C4D"/>
    <w:rsid w:val="00EE0C69"/>
    <w:rsid w:val="00EE0D16"/>
    <w:rsid w:val="00EE0E4F"/>
    <w:rsid w:val="00EE0EF9"/>
    <w:rsid w:val="00EE10B8"/>
    <w:rsid w:val="00EE11B1"/>
    <w:rsid w:val="00EE11E8"/>
    <w:rsid w:val="00EE13E7"/>
    <w:rsid w:val="00EE14C5"/>
    <w:rsid w:val="00EE15AB"/>
    <w:rsid w:val="00EE15EB"/>
    <w:rsid w:val="00EE167C"/>
    <w:rsid w:val="00EE16D1"/>
    <w:rsid w:val="00EE1799"/>
    <w:rsid w:val="00EE17B3"/>
    <w:rsid w:val="00EE1976"/>
    <w:rsid w:val="00EE1A38"/>
    <w:rsid w:val="00EE1BE1"/>
    <w:rsid w:val="00EE1C36"/>
    <w:rsid w:val="00EE1C60"/>
    <w:rsid w:val="00EE1EB1"/>
    <w:rsid w:val="00EE1EF2"/>
    <w:rsid w:val="00EE1EF4"/>
    <w:rsid w:val="00EE2006"/>
    <w:rsid w:val="00EE2070"/>
    <w:rsid w:val="00EE2131"/>
    <w:rsid w:val="00EE2254"/>
    <w:rsid w:val="00EE2423"/>
    <w:rsid w:val="00EE24A5"/>
    <w:rsid w:val="00EE2541"/>
    <w:rsid w:val="00EE260E"/>
    <w:rsid w:val="00EE2703"/>
    <w:rsid w:val="00EE275D"/>
    <w:rsid w:val="00EE2A2C"/>
    <w:rsid w:val="00EE2A51"/>
    <w:rsid w:val="00EE2A64"/>
    <w:rsid w:val="00EE2CF5"/>
    <w:rsid w:val="00EE2D5E"/>
    <w:rsid w:val="00EE2DF0"/>
    <w:rsid w:val="00EE2E1B"/>
    <w:rsid w:val="00EE2E42"/>
    <w:rsid w:val="00EE2E72"/>
    <w:rsid w:val="00EE3166"/>
    <w:rsid w:val="00EE31B2"/>
    <w:rsid w:val="00EE321B"/>
    <w:rsid w:val="00EE335B"/>
    <w:rsid w:val="00EE33F4"/>
    <w:rsid w:val="00EE3552"/>
    <w:rsid w:val="00EE3557"/>
    <w:rsid w:val="00EE3575"/>
    <w:rsid w:val="00EE35D8"/>
    <w:rsid w:val="00EE375A"/>
    <w:rsid w:val="00EE37B1"/>
    <w:rsid w:val="00EE3883"/>
    <w:rsid w:val="00EE3A5A"/>
    <w:rsid w:val="00EE3AFE"/>
    <w:rsid w:val="00EE3C8A"/>
    <w:rsid w:val="00EE3CBC"/>
    <w:rsid w:val="00EE3CC3"/>
    <w:rsid w:val="00EE3DE1"/>
    <w:rsid w:val="00EE3F46"/>
    <w:rsid w:val="00EE3F79"/>
    <w:rsid w:val="00EE408A"/>
    <w:rsid w:val="00EE4379"/>
    <w:rsid w:val="00EE4414"/>
    <w:rsid w:val="00EE44E5"/>
    <w:rsid w:val="00EE4513"/>
    <w:rsid w:val="00EE45BB"/>
    <w:rsid w:val="00EE488C"/>
    <w:rsid w:val="00EE4A38"/>
    <w:rsid w:val="00EE4AB4"/>
    <w:rsid w:val="00EE4BC2"/>
    <w:rsid w:val="00EE4CF0"/>
    <w:rsid w:val="00EE4DE9"/>
    <w:rsid w:val="00EE4E7A"/>
    <w:rsid w:val="00EE4EF9"/>
    <w:rsid w:val="00EE5158"/>
    <w:rsid w:val="00EE530A"/>
    <w:rsid w:val="00EE5312"/>
    <w:rsid w:val="00EE5337"/>
    <w:rsid w:val="00EE5381"/>
    <w:rsid w:val="00EE5511"/>
    <w:rsid w:val="00EE55D1"/>
    <w:rsid w:val="00EE5613"/>
    <w:rsid w:val="00EE5660"/>
    <w:rsid w:val="00EE56BA"/>
    <w:rsid w:val="00EE571E"/>
    <w:rsid w:val="00EE5735"/>
    <w:rsid w:val="00EE576D"/>
    <w:rsid w:val="00EE5781"/>
    <w:rsid w:val="00EE5824"/>
    <w:rsid w:val="00EE58E3"/>
    <w:rsid w:val="00EE58F3"/>
    <w:rsid w:val="00EE595E"/>
    <w:rsid w:val="00EE5BF2"/>
    <w:rsid w:val="00EE5C14"/>
    <w:rsid w:val="00EE5C6E"/>
    <w:rsid w:val="00EE5D7A"/>
    <w:rsid w:val="00EE5EF6"/>
    <w:rsid w:val="00EE5F12"/>
    <w:rsid w:val="00EE5F88"/>
    <w:rsid w:val="00EE60A2"/>
    <w:rsid w:val="00EE63C1"/>
    <w:rsid w:val="00EE64B5"/>
    <w:rsid w:val="00EE64C9"/>
    <w:rsid w:val="00EE6587"/>
    <w:rsid w:val="00EE6633"/>
    <w:rsid w:val="00EE663B"/>
    <w:rsid w:val="00EE672E"/>
    <w:rsid w:val="00EE67B2"/>
    <w:rsid w:val="00EE6802"/>
    <w:rsid w:val="00EE6873"/>
    <w:rsid w:val="00EE6898"/>
    <w:rsid w:val="00EE6BC9"/>
    <w:rsid w:val="00EE6C6A"/>
    <w:rsid w:val="00EE6D60"/>
    <w:rsid w:val="00EE6D79"/>
    <w:rsid w:val="00EE6FC9"/>
    <w:rsid w:val="00EE6FE0"/>
    <w:rsid w:val="00EE70F5"/>
    <w:rsid w:val="00EE7200"/>
    <w:rsid w:val="00EE722A"/>
    <w:rsid w:val="00EE739D"/>
    <w:rsid w:val="00EE73AD"/>
    <w:rsid w:val="00EE7571"/>
    <w:rsid w:val="00EE75E0"/>
    <w:rsid w:val="00EE7791"/>
    <w:rsid w:val="00EE7A9F"/>
    <w:rsid w:val="00EE7CBC"/>
    <w:rsid w:val="00EE7D77"/>
    <w:rsid w:val="00EF00F3"/>
    <w:rsid w:val="00EF02A9"/>
    <w:rsid w:val="00EF02DA"/>
    <w:rsid w:val="00EF0356"/>
    <w:rsid w:val="00EF0453"/>
    <w:rsid w:val="00EF0484"/>
    <w:rsid w:val="00EF0570"/>
    <w:rsid w:val="00EF0788"/>
    <w:rsid w:val="00EF082D"/>
    <w:rsid w:val="00EF087A"/>
    <w:rsid w:val="00EF09D4"/>
    <w:rsid w:val="00EF0B83"/>
    <w:rsid w:val="00EF0B88"/>
    <w:rsid w:val="00EF0CEC"/>
    <w:rsid w:val="00EF0D6A"/>
    <w:rsid w:val="00EF0EF0"/>
    <w:rsid w:val="00EF0F48"/>
    <w:rsid w:val="00EF0F6F"/>
    <w:rsid w:val="00EF106B"/>
    <w:rsid w:val="00EF1087"/>
    <w:rsid w:val="00EF11A4"/>
    <w:rsid w:val="00EF1237"/>
    <w:rsid w:val="00EF1251"/>
    <w:rsid w:val="00EF1472"/>
    <w:rsid w:val="00EF15FE"/>
    <w:rsid w:val="00EF1655"/>
    <w:rsid w:val="00EF16F9"/>
    <w:rsid w:val="00EF1716"/>
    <w:rsid w:val="00EF188A"/>
    <w:rsid w:val="00EF197F"/>
    <w:rsid w:val="00EF1A1C"/>
    <w:rsid w:val="00EF1A28"/>
    <w:rsid w:val="00EF1A83"/>
    <w:rsid w:val="00EF1AAF"/>
    <w:rsid w:val="00EF1D45"/>
    <w:rsid w:val="00EF1D79"/>
    <w:rsid w:val="00EF1E40"/>
    <w:rsid w:val="00EF1F4C"/>
    <w:rsid w:val="00EF1F5F"/>
    <w:rsid w:val="00EF2036"/>
    <w:rsid w:val="00EF207E"/>
    <w:rsid w:val="00EF20A0"/>
    <w:rsid w:val="00EF23CC"/>
    <w:rsid w:val="00EF2561"/>
    <w:rsid w:val="00EF270A"/>
    <w:rsid w:val="00EF2797"/>
    <w:rsid w:val="00EF2937"/>
    <w:rsid w:val="00EF2B64"/>
    <w:rsid w:val="00EF2B7B"/>
    <w:rsid w:val="00EF2BC0"/>
    <w:rsid w:val="00EF2BDD"/>
    <w:rsid w:val="00EF2C58"/>
    <w:rsid w:val="00EF2CE8"/>
    <w:rsid w:val="00EF2D29"/>
    <w:rsid w:val="00EF2DA7"/>
    <w:rsid w:val="00EF2DDA"/>
    <w:rsid w:val="00EF2E38"/>
    <w:rsid w:val="00EF2FF1"/>
    <w:rsid w:val="00EF3163"/>
    <w:rsid w:val="00EF3166"/>
    <w:rsid w:val="00EF31A3"/>
    <w:rsid w:val="00EF31E3"/>
    <w:rsid w:val="00EF32D6"/>
    <w:rsid w:val="00EF34B2"/>
    <w:rsid w:val="00EF35E2"/>
    <w:rsid w:val="00EF3648"/>
    <w:rsid w:val="00EF375D"/>
    <w:rsid w:val="00EF39EA"/>
    <w:rsid w:val="00EF39FF"/>
    <w:rsid w:val="00EF3AC2"/>
    <w:rsid w:val="00EF3AEF"/>
    <w:rsid w:val="00EF3BB1"/>
    <w:rsid w:val="00EF3C4E"/>
    <w:rsid w:val="00EF3D67"/>
    <w:rsid w:val="00EF3D80"/>
    <w:rsid w:val="00EF3F92"/>
    <w:rsid w:val="00EF40B7"/>
    <w:rsid w:val="00EF41AA"/>
    <w:rsid w:val="00EF4209"/>
    <w:rsid w:val="00EF421B"/>
    <w:rsid w:val="00EF426D"/>
    <w:rsid w:val="00EF4344"/>
    <w:rsid w:val="00EF4367"/>
    <w:rsid w:val="00EF439A"/>
    <w:rsid w:val="00EF43A2"/>
    <w:rsid w:val="00EF442E"/>
    <w:rsid w:val="00EF44CF"/>
    <w:rsid w:val="00EF465B"/>
    <w:rsid w:val="00EF477E"/>
    <w:rsid w:val="00EF48F0"/>
    <w:rsid w:val="00EF4997"/>
    <w:rsid w:val="00EF4B56"/>
    <w:rsid w:val="00EF4F31"/>
    <w:rsid w:val="00EF4FBF"/>
    <w:rsid w:val="00EF504F"/>
    <w:rsid w:val="00EF5126"/>
    <w:rsid w:val="00EF51C9"/>
    <w:rsid w:val="00EF52A8"/>
    <w:rsid w:val="00EF544E"/>
    <w:rsid w:val="00EF5481"/>
    <w:rsid w:val="00EF565F"/>
    <w:rsid w:val="00EF5663"/>
    <w:rsid w:val="00EF568D"/>
    <w:rsid w:val="00EF57DC"/>
    <w:rsid w:val="00EF58BD"/>
    <w:rsid w:val="00EF58E3"/>
    <w:rsid w:val="00EF5A33"/>
    <w:rsid w:val="00EF5C13"/>
    <w:rsid w:val="00EF5CD6"/>
    <w:rsid w:val="00EF5D6F"/>
    <w:rsid w:val="00EF5D77"/>
    <w:rsid w:val="00EF5E64"/>
    <w:rsid w:val="00EF6018"/>
    <w:rsid w:val="00EF60C3"/>
    <w:rsid w:val="00EF6246"/>
    <w:rsid w:val="00EF6267"/>
    <w:rsid w:val="00EF632D"/>
    <w:rsid w:val="00EF6349"/>
    <w:rsid w:val="00EF63AF"/>
    <w:rsid w:val="00EF64B2"/>
    <w:rsid w:val="00EF64BA"/>
    <w:rsid w:val="00EF6519"/>
    <w:rsid w:val="00EF6836"/>
    <w:rsid w:val="00EF6870"/>
    <w:rsid w:val="00EF6879"/>
    <w:rsid w:val="00EF6924"/>
    <w:rsid w:val="00EF6959"/>
    <w:rsid w:val="00EF6AFE"/>
    <w:rsid w:val="00EF6BF6"/>
    <w:rsid w:val="00EF6D0A"/>
    <w:rsid w:val="00EF6D6A"/>
    <w:rsid w:val="00EF6EFC"/>
    <w:rsid w:val="00EF7099"/>
    <w:rsid w:val="00EF717F"/>
    <w:rsid w:val="00EF71FE"/>
    <w:rsid w:val="00EF7368"/>
    <w:rsid w:val="00EF7401"/>
    <w:rsid w:val="00EF749D"/>
    <w:rsid w:val="00EF7517"/>
    <w:rsid w:val="00EF752F"/>
    <w:rsid w:val="00EF7568"/>
    <w:rsid w:val="00EF7601"/>
    <w:rsid w:val="00EF7620"/>
    <w:rsid w:val="00EF7692"/>
    <w:rsid w:val="00EF76A1"/>
    <w:rsid w:val="00EF78C3"/>
    <w:rsid w:val="00EF790A"/>
    <w:rsid w:val="00EF7A1B"/>
    <w:rsid w:val="00EF7AB7"/>
    <w:rsid w:val="00EF7C35"/>
    <w:rsid w:val="00EF7C82"/>
    <w:rsid w:val="00EF7E84"/>
    <w:rsid w:val="00EF7EB5"/>
    <w:rsid w:val="00EF7EB7"/>
    <w:rsid w:val="00F00007"/>
    <w:rsid w:val="00F0006A"/>
    <w:rsid w:val="00F00087"/>
    <w:rsid w:val="00F000CD"/>
    <w:rsid w:val="00F001BB"/>
    <w:rsid w:val="00F00266"/>
    <w:rsid w:val="00F002A2"/>
    <w:rsid w:val="00F002F3"/>
    <w:rsid w:val="00F00319"/>
    <w:rsid w:val="00F00374"/>
    <w:rsid w:val="00F0037D"/>
    <w:rsid w:val="00F0043E"/>
    <w:rsid w:val="00F00475"/>
    <w:rsid w:val="00F004D1"/>
    <w:rsid w:val="00F00B3A"/>
    <w:rsid w:val="00F00C04"/>
    <w:rsid w:val="00F00C25"/>
    <w:rsid w:val="00F00D8E"/>
    <w:rsid w:val="00F00DEE"/>
    <w:rsid w:val="00F00FAD"/>
    <w:rsid w:val="00F01112"/>
    <w:rsid w:val="00F01170"/>
    <w:rsid w:val="00F011F8"/>
    <w:rsid w:val="00F01244"/>
    <w:rsid w:val="00F0129E"/>
    <w:rsid w:val="00F014DD"/>
    <w:rsid w:val="00F01652"/>
    <w:rsid w:val="00F0177C"/>
    <w:rsid w:val="00F01790"/>
    <w:rsid w:val="00F017D3"/>
    <w:rsid w:val="00F01822"/>
    <w:rsid w:val="00F0184B"/>
    <w:rsid w:val="00F01864"/>
    <w:rsid w:val="00F01952"/>
    <w:rsid w:val="00F01982"/>
    <w:rsid w:val="00F01CDF"/>
    <w:rsid w:val="00F01D33"/>
    <w:rsid w:val="00F02008"/>
    <w:rsid w:val="00F02118"/>
    <w:rsid w:val="00F021AE"/>
    <w:rsid w:val="00F021EC"/>
    <w:rsid w:val="00F022B1"/>
    <w:rsid w:val="00F022DF"/>
    <w:rsid w:val="00F02652"/>
    <w:rsid w:val="00F02891"/>
    <w:rsid w:val="00F028C2"/>
    <w:rsid w:val="00F02995"/>
    <w:rsid w:val="00F0299B"/>
    <w:rsid w:val="00F02F62"/>
    <w:rsid w:val="00F02FA1"/>
    <w:rsid w:val="00F0303F"/>
    <w:rsid w:val="00F032DE"/>
    <w:rsid w:val="00F033AE"/>
    <w:rsid w:val="00F0355C"/>
    <w:rsid w:val="00F0359B"/>
    <w:rsid w:val="00F036E7"/>
    <w:rsid w:val="00F0389D"/>
    <w:rsid w:val="00F038C0"/>
    <w:rsid w:val="00F039BE"/>
    <w:rsid w:val="00F03A70"/>
    <w:rsid w:val="00F03A85"/>
    <w:rsid w:val="00F03BE1"/>
    <w:rsid w:val="00F03CCC"/>
    <w:rsid w:val="00F03D13"/>
    <w:rsid w:val="00F03D8D"/>
    <w:rsid w:val="00F03F6F"/>
    <w:rsid w:val="00F042D2"/>
    <w:rsid w:val="00F04393"/>
    <w:rsid w:val="00F04644"/>
    <w:rsid w:val="00F04661"/>
    <w:rsid w:val="00F046B4"/>
    <w:rsid w:val="00F04792"/>
    <w:rsid w:val="00F0486C"/>
    <w:rsid w:val="00F04AAD"/>
    <w:rsid w:val="00F04B5F"/>
    <w:rsid w:val="00F04BF3"/>
    <w:rsid w:val="00F04C6A"/>
    <w:rsid w:val="00F04C7D"/>
    <w:rsid w:val="00F04E9F"/>
    <w:rsid w:val="00F0500B"/>
    <w:rsid w:val="00F051CB"/>
    <w:rsid w:val="00F05316"/>
    <w:rsid w:val="00F053E3"/>
    <w:rsid w:val="00F05473"/>
    <w:rsid w:val="00F054CB"/>
    <w:rsid w:val="00F054EE"/>
    <w:rsid w:val="00F0568E"/>
    <w:rsid w:val="00F056F5"/>
    <w:rsid w:val="00F057A0"/>
    <w:rsid w:val="00F057CC"/>
    <w:rsid w:val="00F0592C"/>
    <w:rsid w:val="00F059CB"/>
    <w:rsid w:val="00F05A34"/>
    <w:rsid w:val="00F05C98"/>
    <w:rsid w:val="00F06045"/>
    <w:rsid w:val="00F0607F"/>
    <w:rsid w:val="00F065E6"/>
    <w:rsid w:val="00F06611"/>
    <w:rsid w:val="00F066B7"/>
    <w:rsid w:val="00F06787"/>
    <w:rsid w:val="00F067F6"/>
    <w:rsid w:val="00F06925"/>
    <w:rsid w:val="00F069B1"/>
    <w:rsid w:val="00F06A10"/>
    <w:rsid w:val="00F06B49"/>
    <w:rsid w:val="00F06D27"/>
    <w:rsid w:val="00F06FA3"/>
    <w:rsid w:val="00F07023"/>
    <w:rsid w:val="00F07219"/>
    <w:rsid w:val="00F07283"/>
    <w:rsid w:val="00F072B2"/>
    <w:rsid w:val="00F0752E"/>
    <w:rsid w:val="00F07679"/>
    <w:rsid w:val="00F07685"/>
    <w:rsid w:val="00F07766"/>
    <w:rsid w:val="00F07796"/>
    <w:rsid w:val="00F07894"/>
    <w:rsid w:val="00F0792F"/>
    <w:rsid w:val="00F07A1D"/>
    <w:rsid w:val="00F07A58"/>
    <w:rsid w:val="00F07AAE"/>
    <w:rsid w:val="00F07AC8"/>
    <w:rsid w:val="00F07BC9"/>
    <w:rsid w:val="00F07CBB"/>
    <w:rsid w:val="00F07D12"/>
    <w:rsid w:val="00F07D73"/>
    <w:rsid w:val="00F07FD6"/>
    <w:rsid w:val="00F10132"/>
    <w:rsid w:val="00F1014C"/>
    <w:rsid w:val="00F101D3"/>
    <w:rsid w:val="00F10250"/>
    <w:rsid w:val="00F10346"/>
    <w:rsid w:val="00F103CF"/>
    <w:rsid w:val="00F103D5"/>
    <w:rsid w:val="00F104E5"/>
    <w:rsid w:val="00F105CE"/>
    <w:rsid w:val="00F10854"/>
    <w:rsid w:val="00F10900"/>
    <w:rsid w:val="00F10928"/>
    <w:rsid w:val="00F10BA6"/>
    <w:rsid w:val="00F10D40"/>
    <w:rsid w:val="00F10E2F"/>
    <w:rsid w:val="00F10F2E"/>
    <w:rsid w:val="00F11098"/>
    <w:rsid w:val="00F11309"/>
    <w:rsid w:val="00F11312"/>
    <w:rsid w:val="00F11358"/>
    <w:rsid w:val="00F113DE"/>
    <w:rsid w:val="00F11463"/>
    <w:rsid w:val="00F11784"/>
    <w:rsid w:val="00F118E6"/>
    <w:rsid w:val="00F118FC"/>
    <w:rsid w:val="00F119B9"/>
    <w:rsid w:val="00F11AD5"/>
    <w:rsid w:val="00F11B5E"/>
    <w:rsid w:val="00F11BAF"/>
    <w:rsid w:val="00F12092"/>
    <w:rsid w:val="00F121A5"/>
    <w:rsid w:val="00F121AA"/>
    <w:rsid w:val="00F1244F"/>
    <w:rsid w:val="00F124CC"/>
    <w:rsid w:val="00F125BF"/>
    <w:rsid w:val="00F12B63"/>
    <w:rsid w:val="00F12D27"/>
    <w:rsid w:val="00F12DC3"/>
    <w:rsid w:val="00F12E2C"/>
    <w:rsid w:val="00F12E66"/>
    <w:rsid w:val="00F132A6"/>
    <w:rsid w:val="00F1330B"/>
    <w:rsid w:val="00F13592"/>
    <w:rsid w:val="00F135C9"/>
    <w:rsid w:val="00F1364A"/>
    <w:rsid w:val="00F13692"/>
    <w:rsid w:val="00F1369F"/>
    <w:rsid w:val="00F136AC"/>
    <w:rsid w:val="00F137F7"/>
    <w:rsid w:val="00F13897"/>
    <w:rsid w:val="00F138DE"/>
    <w:rsid w:val="00F13976"/>
    <w:rsid w:val="00F13A42"/>
    <w:rsid w:val="00F13B71"/>
    <w:rsid w:val="00F13C73"/>
    <w:rsid w:val="00F13E9C"/>
    <w:rsid w:val="00F13FBF"/>
    <w:rsid w:val="00F140C5"/>
    <w:rsid w:val="00F141EE"/>
    <w:rsid w:val="00F14231"/>
    <w:rsid w:val="00F142DA"/>
    <w:rsid w:val="00F1440A"/>
    <w:rsid w:val="00F14520"/>
    <w:rsid w:val="00F146BC"/>
    <w:rsid w:val="00F146C0"/>
    <w:rsid w:val="00F147B0"/>
    <w:rsid w:val="00F1497E"/>
    <w:rsid w:val="00F14A23"/>
    <w:rsid w:val="00F14A8C"/>
    <w:rsid w:val="00F14AA6"/>
    <w:rsid w:val="00F14C47"/>
    <w:rsid w:val="00F14D1D"/>
    <w:rsid w:val="00F14F19"/>
    <w:rsid w:val="00F14F76"/>
    <w:rsid w:val="00F14FC9"/>
    <w:rsid w:val="00F1505A"/>
    <w:rsid w:val="00F151CE"/>
    <w:rsid w:val="00F151D2"/>
    <w:rsid w:val="00F151ED"/>
    <w:rsid w:val="00F15266"/>
    <w:rsid w:val="00F15346"/>
    <w:rsid w:val="00F1536D"/>
    <w:rsid w:val="00F15490"/>
    <w:rsid w:val="00F154E9"/>
    <w:rsid w:val="00F15641"/>
    <w:rsid w:val="00F15672"/>
    <w:rsid w:val="00F1572C"/>
    <w:rsid w:val="00F1577B"/>
    <w:rsid w:val="00F15784"/>
    <w:rsid w:val="00F15905"/>
    <w:rsid w:val="00F1592D"/>
    <w:rsid w:val="00F15ABD"/>
    <w:rsid w:val="00F15ADE"/>
    <w:rsid w:val="00F15E03"/>
    <w:rsid w:val="00F15FAB"/>
    <w:rsid w:val="00F160F6"/>
    <w:rsid w:val="00F16162"/>
    <w:rsid w:val="00F1630E"/>
    <w:rsid w:val="00F163E2"/>
    <w:rsid w:val="00F16552"/>
    <w:rsid w:val="00F165F8"/>
    <w:rsid w:val="00F1664B"/>
    <w:rsid w:val="00F166D0"/>
    <w:rsid w:val="00F1671F"/>
    <w:rsid w:val="00F1672D"/>
    <w:rsid w:val="00F1679F"/>
    <w:rsid w:val="00F167FD"/>
    <w:rsid w:val="00F168CE"/>
    <w:rsid w:val="00F16931"/>
    <w:rsid w:val="00F16985"/>
    <w:rsid w:val="00F169BC"/>
    <w:rsid w:val="00F16A3D"/>
    <w:rsid w:val="00F16B21"/>
    <w:rsid w:val="00F16B9A"/>
    <w:rsid w:val="00F16BDD"/>
    <w:rsid w:val="00F16C00"/>
    <w:rsid w:val="00F16C5D"/>
    <w:rsid w:val="00F16CC2"/>
    <w:rsid w:val="00F16D93"/>
    <w:rsid w:val="00F16DEA"/>
    <w:rsid w:val="00F16F42"/>
    <w:rsid w:val="00F16F6A"/>
    <w:rsid w:val="00F17006"/>
    <w:rsid w:val="00F1727E"/>
    <w:rsid w:val="00F1739B"/>
    <w:rsid w:val="00F173CD"/>
    <w:rsid w:val="00F1741D"/>
    <w:rsid w:val="00F1755A"/>
    <w:rsid w:val="00F17767"/>
    <w:rsid w:val="00F17B5D"/>
    <w:rsid w:val="00F17C7C"/>
    <w:rsid w:val="00F200DF"/>
    <w:rsid w:val="00F2012D"/>
    <w:rsid w:val="00F201BD"/>
    <w:rsid w:val="00F201CE"/>
    <w:rsid w:val="00F2029E"/>
    <w:rsid w:val="00F2036E"/>
    <w:rsid w:val="00F203C8"/>
    <w:rsid w:val="00F203DD"/>
    <w:rsid w:val="00F205E7"/>
    <w:rsid w:val="00F206AB"/>
    <w:rsid w:val="00F207E6"/>
    <w:rsid w:val="00F209C2"/>
    <w:rsid w:val="00F20A7A"/>
    <w:rsid w:val="00F20AE0"/>
    <w:rsid w:val="00F20B77"/>
    <w:rsid w:val="00F20CD6"/>
    <w:rsid w:val="00F20E56"/>
    <w:rsid w:val="00F20E6D"/>
    <w:rsid w:val="00F20EDD"/>
    <w:rsid w:val="00F20EF2"/>
    <w:rsid w:val="00F20F0C"/>
    <w:rsid w:val="00F213EB"/>
    <w:rsid w:val="00F21493"/>
    <w:rsid w:val="00F214A2"/>
    <w:rsid w:val="00F2154C"/>
    <w:rsid w:val="00F21595"/>
    <w:rsid w:val="00F218EF"/>
    <w:rsid w:val="00F21B0F"/>
    <w:rsid w:val="00F21D00"/>
    <w:rsid w:val="00F21DCC"/>
    <w:rsid w:val="00F21DF7"/>
    <w:rsid w:val="00F21E7B"/>
    <w:rsid w:val="00F21EF6"/>
    <w:rsid w:val="00F21F09"/>
    <w:rsid w:val="00F21FC1"/>
    <w:rsid w:val="00F22048"/>
    <w:rsid w:val="00F2236C"/>
    <w:rsid w:val="00F22587"/>
    <w:rsid w:val="00F2274C"/>
    <w:rsid w:val="00F227ED"/>
    <w:rsid w:val="00F22832"/>
    <w:rsid w:val="00F228A2"/>
    <w:rsid w:val="00F22904"/>
    <w:rsid w:val="00F22AA9"/>
    <w:rsid w:val="00F22CBC"/>
    <w:rsid w:val="00F22D02"/>
    <w:rsid w:val="00F22D60"/>
    <w:rsid w:val="00F22E87"/>
    <w:rsid w:val="00F22EB2"/>
    <w:rsid w:val="00F22F79"/>
    <w:rsid w:val="00F2301D"/>
    <w:rsid w:val="00F230CC"/>
    <w:rsid w:val="00F23219"/>
    <w:rsid w:val="00F23313"/>
    <w:rsid w:val="00F23344"/>
    <w:rsid w:val="00F235D4"/>
    <w:rsid w:val="00F23696"/>
    <w:rsid w:val="00F236C1"/>
    <w:rsid w:val="00F23748"/>
    <w:rsid w:val="00F2377F"/>
    <w:rsid w:val="00F23893"/>
    <w:rsid w:val="00F238C8"/>
    <w:rsid w:val="00F23945"/>
    <w:rsid w:val="00F23B63"/>
    <w:rsid w:val="00F23C36"/>
    <w:rsid w:val="00F23DA0"/>
    <w:rsid w:val="00F23DE1"/>
    <w:rsid w:val="00F23E9C"/>
    <w:rsid w:val="00F23EFB"/>
    <w:rsid w:val="00F241C8"/>
    <w:rsid w:val="00F241C9"/>
    <w:rsid w:val="00F2423B"/>
    <w:rsid w:val="00F24526"/>
    <w:rsid w:val="00F246C2"/>
    <w:rsid w:val="00F2477D"/>
    <w:rsid w:val="00F247F7"/>
    <w:rsid w:val="00F24889"/>
    <w:rsid w:val="00F24956"/>
    <w:rsid w:val="00F24A16"/>
    <w:rsid w:val="00F24A1D"/>
    <w:rsid w:val="00F24A7E"/>
    <w:rsid w:val="00F24A9D"/>
    <w:rsid w:val="00F24BAC"/>
    <w:rsid w:val="00F24E1B"/>
    <w:rsid w:val="00F25209"/>
    <w:rsid w:val="00F2523F"/>
    <w:rsid w:val="00F2525D"/>
    <w:rsid w:val="00F2526B"/>
    <w:rsid w:val="00F25514"/>
    <w:rsid w:val="00F257B5"/>
    <w:rsid w:val="00F2589C"/>
    <w:rsid w:val="00F259AD"/>
    <w:rsid w:val="00F259F8"/>
    <w:rsid w:val="00F25B33"/>
    <w:rsid w:val="00F25C73"/>
    <w:rsid w:val="00F25CC4"/>
    <w:rsid w:val="00F25D4A"/>
    <w:rsid w:val="00F25FA1"/>
    <w:rsid w:val="00F25FDD"/>
    <w:rsid w:val="00F2616F"/>
    <w:rsid w:val="00F262AE"/>
    <w:rsid w:val="00F262F1"/>
    <w:rsid w:val="00F2648C"/>
    <w:rsid w:val="00F265E3"/>
    <w:rsid w:val="00F266EB"/>
    <w:rsid w:val="00F26767"/>
    <w:rsid w:val="00F2677F"/>
    <w:rsid w:val="00F26824"/>
    <w:rsid w:val="00F2682C"/>
    <w:rsid w:val="00F26855"/>
    <w:rsid w:val="00F2688B"/>
    <w:rsid w:val="00F268CF"/>
    <w:rsid w:val="00F2697D"/>
    <w:rsid w:val="00F26994"/>
    <w:rsid w:val="00F269EB"/>
    <w:rsid w:val="00F26B1A"/>
    <w:rsid w:val="00F26B48"/>
    <w:rsid w:val="00F26C62"/>
    <w:rsid w:val="00F26D93"/>
    <w:rsid w:val="00F26DCC"/>
    <w:rsid w:val="00F26DF5"/>
    <w:rsid w:val="00F26EE4"/>
    <w:rsid w:val="00F26F77"/>
    <w:rsid w:val="00F27020"/>
    <w:rsid w:val="00F2710B"/>
    <w:rsid w:val="00F27355"/>
    <w:rsid w:val="00F27424"/>
    <w:rsid w:val="00F2748A"/>
    <w:rsid w:val="00F2760C"/>
    <w:rsid w:val="00F27676"/>
    <w:rsid w:val="00F27693"/>
    <w:rsid w:val="00F27780"/>
    <w:rsid w:val="00F27884"/>
    <w:rsid w:val="00F279A2"/>
    <w:rsid w:val="00F279EC"/>
    <w:rsid w:val="00F27A39"/>
    <w:rsid w:val="00F27D51"/>
    <w:rsid w:val="00F27FD4"/>
    <w:rsid w:val="00F30065"/>
    <w:rsid w:val="00F303E0"/>
    <w:rsid w:val="00F304A6"/>
    <w:rsid w:val="00F30515"/>
    <w:rsid w:val="00F3057B"/>
    <w:rsid w:val="00F3093D"/>
    <w:rsid w:val="00F30942"/>
    <w:rsid w:val="00F3098D"/>
    <w:rsid w:val="00F309A8"/>
    <w:rsid w:val="00F309AA"/>
    <w:rsid w:val="00F30A5C"/>
    <w:rsid w:val="00F30B0A"/>
    <w:rsid w:val="00F30C08"/>
    <w:rsid w:val="00F30EFA"/>
    <w:rsid w:val="00F30FA1"/>
    <w:rsid w:val="00F30FEB"/>
    <w:rsid w:val="00F30FF3"/>
    <w:rsid w:val="00F30FF9"/>
    <w:rsid w:val="00F31267"/>
    <w:rsid w:val="00F312A4"/>
    <w:rsid w:val="00F312C7"/>
    <w:rsid w:val="00F31336"/>
    <w:rsid w:val="00F313E3"/>
    <w:rsid w:val="00F3148B"/>
    <w:rsid w:val="00F3157E"/>
    <w:rsid w:val="00F315E3"/>
    <w:rsid w:val="00F31608"/>
    <w:rsid w:val="00F3165D"/>
    <w:rsid w:val="00F316A9"/>
    <w:rsid w:val="00F3175D"/>
    <w:rsid w:val="00F317B5"/>
    <w:rsid w:val="00F31827"/>
    <w:rsid w:val="00F31DF0"/>
    <w:rsid w:val="00F31F6F"/>
    <w:rsid w:val="00F3213F"/>
    <w:rsid w:val="00F3215B"/>
    <w:rsid w:val="00F321C1"/>
    <w:rsid w:val="00F321D3"/>
    <w:rsid w:val="00F32212"/>
    <w:rsid w:val="00F3228E"/>
    <w:rsid w:val="00F3230D"/>
    <w:rsid w:val="00F323D0"/>
    <w:rsid w:val="00F3263C"/>
    <w:rsid w:val="00F32952"/>
    <w:rsid w:val="00F32A34"/>
    <w:rsid w:val="00F32A45"/>
    <w:rsid w:val="00F32AC0"/>
    <w:rsid w:val="00F32B41"/>
    <w:rsid w:val="00F32C16"/>
    <w:rsid w:val="00F32C51"/>
    <w:rsid w:val="00F32C70"/>
    <w:rsid w:val="00F32F4B"/>
    <w:rsid w:val="00F33000"/>
    <w:rsid w:val="00F33138"/>
    <w:rsid w:val="00F33291"/>
    <w:rsid w:val="00F3338B"/>
    <w:rsid w:val="00F334C6"/>
    <w:rsid w:val="00F334F8"/>
    <w:rsid w:val="00F3350B"/>
    <w:rsid w:val="00F33875"/>
    <w:rsid w:val="00F339FA"/>
    <w:rsid w:val="00F33A22"/>
    <w:rsid w:val="00F33A36"/>
    <w:rsid w:val="00F33AB9"/>
    <w:rsid w:val="00F33AD5"/>
    <w:rsid w:val="00F33B65"/>
    <w:rsid w:val="00F33E42"/>
    <w:rsid w:val="00F33F36"/>
    <w:rsid w:val="00F33FF3"/>
    <w:rsid w:val="00F34122"/>
    <w:rsid w:val="00F3482D"/>
    <w:rsid w:val="00F348A4"/>
    <w:rsid w:val="00F34910"/>
    <w:rsid w:val="00F3491F"/>
    <w:rsid w:val="00F349D1"/>
    <w:rsid w:val="00F34A5B"/>
    <w:rsid w:val="00F34B57"/>
    <w:rsid w:val="00F34C01"/>
    <w:rsid w:val="00F34E18"/>
    <w:rsid w:val="00F34E94"/>
    <w:rsid w:val="00F34FBC"/>
    <w:rsid w:val="00F34FBD"/>
    <w:rsid w:val="00F34FCA"/>
    <w:rsid w:val="00F35011"/>
    <w:rsid w:val="00F35220"/>
    <w:rsid w:val="00F35263"/>
    <w:rsid w:val="00F352B8"/>
    <w:rsid w:val="00F3535A"/>
    <w:rsid w:val="00F35454"/>
    <w:rsid w:val="00F3546C"/>
    <w:rsid w:val="00F354A5"/>
    <w:rsid w:val="00F357D6"/>
    <w:rsid w:val="00F35AA1"/>
    <w:rsid w:val="00F35C56"/>
    <w:rsid w:val="00F35C5A"/>
    <w:rsid w:val="00F35E26"/>
    <w:rsid w:val="00F35E5B"/>
    <w:rsid w:val="00F35E9B"/>
    <w:rsid w:val="00F35F27"/>
    <w:rsid w:val="00F35F2E"/>
    <w:rsid w:val="00F35FB8"/>
    <w:rsid w:val="00F35FEB"/>
    <w:rsid w:val="00F36143"/>
    <w:rsid w:val="00F3667D"/>
    <w:rsid w:val="00F366CD"/>
    <w:rsid w:val="00F36920"/>
    <w:rsid w:val="00F369F1"/>
    <w:rsid w:val="00F36B93"/>
    <w:rsid w:val="00F36B96"/>
    <w:rsid w:val="00F36CFC"/>
    <w:rsid w:val="00F36D0A"/>
    <w:rsid w:val="00F36D50"/>
    <w:rsid w:val="00F36F78"/>
    <w:rsid w:val="00F36FD3"/>
    <w:rsid w:val="00F37014"/>
    <w:rsid w:val="00F3709B"/>
    <w:rsid w:val="00F370BC"/>
    <w:rsid w:val="00F370C7"/>
    <w:rsid w:val="00F37100"/>
    <w:rsid w:val="00F37156"/>
    <w:rsid w:val="00F371A9"/>
    <w:rsid w:val="00F37275"/>
    <w:rsid w:val="00F37378"/>
    <w:rsid w:val="00F373A2"/>
    <w:rsid w:val="00F3741B"/>
    <w:rsid w:val="00F37424"/>
    <w:rsid w:val="00F3747B"/>
    <w:rsid w:val="00F374E9"/>
    <w:rsid w:val="00F375C5"/>
    <w:rsid w:val="00F377CE"/>
    <w:rsid w:val="00F377F1"/>
    <w:rsid w:val="00F378F5"/>
    <w:rsid w:val="00F37BAA"/>
    <w:rsid w:val="00F37BAF"/>
    <w:rsid w:val="00F37DD1"/>
    <w:rsid w:val="00F37DEB"/>
    <w:rsid w:val="00F37E40"/>
    <w:rsid w:val="00F40033"/>
    <w:rsid w:val="00F400A1"/>
    <w:rsid w:val="00F400EB"/>
    <w:rsid w:val="00F40178"/>
    <w:rsid w:val="00F4019F"/>
    <w:rsid w:val="00F4028F"/>
    <w:rsid w:val="00F40366"/>
    <w:rsid w:val="00F40399"/>
    <w:rsid w:val="00F40421"/>
    <w:rsid w:val="00F4081F"/>
    <w:rsid w:val="00F40968"/>
    <w:rsid w:val="00F40B20"/>
    <w:rsid w:val="00F40B29"/>
    <w:rsid w:val="00F40E2E"/>
    <w:rsid w:val="00F40E3E"/>
    <w:rsid w:val="00F40FD2"/>
    <w:rsid w:val="00F41118"/>
    <w:rsid w:val="00F411E4"/>
    <w:rsid w:val="00F4125A"/>
    <w:rsid w:val="00F413D4"/>
    <w:rsid w:val="00F41406"/>
    <w:rsid w:val="00F4146D"/>
    <w:rsid w:val="00F414B8"/>
    <w:rsid w:val="00F41554"/>
    <w:rsid w:val="00F415FB"/>
    <w:rsid w:val="00F4165F"/>
    <w:rsid w:val="00F4168B"/>
    <w:rsid w:val="00F41762"/>
    <w:rsid w:val="00F417DF"/>
    <w:rsid w:val="00F417E3"/>
    <w:rsid w:val="00F41873"/>
    <w:rsid w:val="00F41A2F"/>
    <w:rsid w:val="00F41A3B"/>
    <w:rsid w:val="00F41F76"/>
    <w:rsid w:val="00F42029"/>
    <w:rsid w:val="00F42098"/>
    <w:rsid w:val="00F42159"/>
    <w:rsid w:val="00F4222F"/>
    <w:rsid w:val="00F42457"/>
    <w:rsid w:val="00F42598"/>
    <w:rsid w:val="00F425FB"/>
    <w:rsid w:val="00F4267D"/>
    <w:rsid w:val="00F42761"/>
    <w:rsid w:val="00F427EE"/>
    <w:rsid w:val="00F4284E"/>
    <w:rsid w:val="00F42A13"/>
    <w:rsid w:val="00F42B28"/>
    <w:rsid w:val="00F42B42"/>
    <w:rsid w:val="00F42CAE"/>
    <w:rsid w:val="00F42D12"/>
    <w:rsid w:val="00F42D52"/>
    <w:rsid w:val="00F42D8D"/>
    <w:rsid w:val="00F42D8E"/>
    <w:rsid w:val="00F42DEF"/>
    <w:rsid w:val="00F42F07"/>
    <w:rsid w:val="00F42F64"/>
    <w:rsid w:val="00F42F83"/>
    <w:rsid w:val="00F42FCF"/>
    <w:rsid w:val="00F432FF"/>
    <w:rsid w:val="00F43375"/>
    <w:rsid w:val="00F433A8"/>
    <w:rsid w:val="00F433BF"/>
    <w:rsid w:val="00F43553"/>
    <w:rsid w:val="00F43635"/>
    <w:rsid w:val="00F43950"/>
    <w:rsid w:val="00F4396F"/>
    <w:rsid w:val="00F43A15"/>
    <w:rsid w:val="00F43AA5"/>
    <w:rsid w:val="00F43AE3"/>
    <w:rsid w:val="00F43BA4"/>
    <w:rsid w:val="00F43C9D"/>
    <w:rsid w:val="00F43DA1"/>
    <w:rsid w:val="00F43E53"/>
    <w:rsid w:val="00F442B1"/>
    <w:rsid w:val="00F442E4"/>
    <w:rsid w:val="00F443A2"/>
    <w:rsid w:val="00F443B1"/>
    <w:rsid w:val="00F443DB"/>
    <w:rsid w:val="00F44495"/>
    <w:rsid w:val="00F445AA"/>
    <w:rsid w:val="00F44642"/>
    <w:rsid w:val="00F446B0"/>
    <w:rsid w:val="00F44916"/>
    <w:rsid w:val="00F44A97"/>
    <w:rsid w:val="00F44AE4"/>
    <w:rsid w:val="00F44C53"/>
    <w:rsid w:val="00F44DC4"/>
    <w:rsid w:val="00F44EAD"/>
    <w:rsid w:val="00F44EFA"/>
    <w:rsid w:val="00F44F2C"/>
    <w:rsid w:val="00F44F70"/>
    <w:rsid w:val="00F4511E"/>
    <w:rsid w:val="00F45191"/>
    <w:rsid w:val="00F452C2"/>
    <w:rsid w:val="00F45465"/>
    <w:rsid w:val="00F4548C"/>
    <w:rsid w:val="00F4548D"/>
    <w:rsid w:val="00F454DC"/>
    <w:rsid w:val="00F4550E"/>
    <w:rsid w:val="00F45523"/>
    <w:rsid w:val="00F45593"/>
    <w:rsid w:val="00F456AF"/>
    <w:rsid w:val="00F456EA"/>
    <w:rsid w:val="00F45889"/>
    <w:rsid w:val="00F458C6"/>
    <w:rsid w:val="00F45A2E"/>
    <w:rsid w:val="00F45A80"/>
    <w:rsid w:val="00F45AD4"/>
    <w:rsid w:val="00F45C31"/>
    <w:rsid w:val="00F45E0C"/>
    <w:rsid w:val="00F45E6A"/>
    <w:rsid w:val="00F45EA1"/>
    <w:rsid w:val="00F46226"/>
    <w:rsid w:val="00F46288"/>
    <w:rsid w:val="00F46322"/>
    <w:rsid w:val="00F46325"/>
    <w:rsid w:val="00F4641B"/>
    <w:rsid w:val="00F464E8"/>
    <w:rsid w:val="00F46623"/>
    <w:rsid w:val="00F466B0"/>
    <w:rsid w:val="00F46CC9"/>
    <w:rsid w:val="00F46E43"/>
    <w:rsid w:val="00F46EA6"/>
    <w:rsid w:val="00F46F5B"/>
    <w:rsid w:val="00F4705B"/>
    <w:rsid w:val="00F47191"/>
    <w:rsid w:val="00F472A1"/>
    <w:rsid w:val="00F4731E"/>
    <w:rsid w:val="00F4736F"/>
    <w:rsid w:val="00F47384"/>
    <w:rsid w:val="00F47394"/>
    <w:rsid w:val="00F4740A"/>
    <w:rsid w:val="00F47490"/>
    <w:rsid w:val="00F47597"/>
    <w:rsid w:val="00F475E7"/>
    <w:rsid w:val="00F47639"/>
    <w:rsid w:val="00F47B54"/>
    <w:rsid w:val="00F47CB1"/>
    <w:rsid w:val="00F47D1C"/>
    <w:rsid w:val="00F47D32"/>
    <w:rsid w:val="00F50159"/>
    <w:rsid w:val="00F501F9"/>
    <w:rsid w:val="00F503CA"/>
    <w:rsid w:val="00F504C9"/>
    <w:rsid w:val="00F50508"/>
    <w:rsid w:val="00F50538"/>
    <w:rsid w:val="00F506C2"/>
    <w:rsid w:val="00F50872"/>
    <w:rsid w:val="00F50A38"/>
    <w:rsid w:val="00F50AD8"/>
    <w:rsid w:val="00F50DF1"/>
    <w:rsid w:val="00F50FB8"/>
    <w:rsid w:val="00F51118"/>
    <w:rsid w:val="00F5115D"/>
    <w:rsid w:val="00F511C0"/>
    <w:rsid w:val="00F5120C"/>
    <w:rsid w:val="00F51265"/>
    <w:rsid w:val="00F512AF"/>
    <w:rsid w:val="00F512BF"/>
    <w:rsid w:val="00F512C9"/>
    <w:rsid w:val="00F51351"/>
    <w:rsid w:val="00F513CB"/>
    <w:rsid w:val="00F51427"/>
    <w:rsid w:val="00F51439"/>
    <w:rsid w:val="00F5149A"/>
    <w:rsid w:val="00F514AC"/>
    <w:rsid w:val="00F5168C"/>
    <w:rsid w:val="00F51753"/>
    <w:rsid w:val="00F51869"/>
    <w:rsid w:val="00F51918"/>
    <w:rsid w:val="00F51995"/>
    <w:rsid w:val="00F51B6B"/>
    <w:rsid w:val="00F51BA9"/>
    <w:rsid w:val="00F51BAC"/>
    <w:rsid w:val="00F51C4D"/>
    <w:rsid w:val="00F51C58"/>
    <w:rsid w:val="00F51E6A"/>
    <w:rsid w:val="00F52114"/>
    <w:rsid w:val="00F5216C"/>
    <w:rsid w:val="00F521A4"/>
    <w:rsid w:val="00F522D1"/>
    <w:rsid w:val="00F52397"/>
    <w:rsid w:val="00F523CB"/>
    <w:rsid w:val="00F52694"/>
    <w:rsid w:val="00F527B7"/>
    <w:rsid w:val="00F5284D"/>
    <w:rsid w:val="00F5287D"/>
    <w:rsid w:val="00F528DB"/>
    <w:rsid w:val="00F52A6D"/>
    <w:rsid w:val="00F52BB5"/>
    <w:rsid w:val="00F52D6A"/>
    <w:rsid w:val="00F52E5F"/>
    <w:rsid w:val="00F52EC6"/>
    <w:rsid w:val="00F52FE7"/>
    <w:rsid w:val="00F5307B"/>
    <w:rsid w:val="00F53338"/>
    <w:rsid w:val="00F53415"/>
    <w:rsid w:val="00F5347B"/>
    <w:rsid w:val="00F53654"/>
    <w:rsid w:val="00F53671"/>
    <w:rsid w:val="00F53808"/>
    <w:rsid w:val="00F53941"/>
    <w:rsid w:val="00F53A6E"/>
    <w:rsid w:val="00F53B78"/>
    <w:rsid w:val="00F53BE3"/>
    <w:rsid w:val="00F53CFB"/>
    <w:rsid w:val="00F54108"/>
    <w:rsid w:val="00F54240"/>
    <w:rsid w:val="00F5443F"/>
    <w:rsid w:val="00F54A84"/>
    <w:rsid w:val="00F54BE4"/>
    <w:rsid w:val="00F54BE8"/>
    <w:rsid w:val="00F54DDC"/>
    <w:rsid w:val="00F54EF7"/>
    <w:rsid w:val="00F55034"/>
    <w:rsid w:val="00F5516F"/>
    <w:rsid w:val="00F551E5"/>
    <w:rsid w:val="00F55222"/>
    <w:rsid w:val="00F55296"/>
    <w:rsid w:val="00F552B5"/>
    <w:rsid w:val="00F55583"/>
    <w:rsid w:val="00F55622"/>
    <w:rsid w:val="00F556D1"/>
    <w:rsid w:val="00F55B05"/>
    <w:rsid w:val="00F55B0C"/>
    <w:rsid w:val="00F55B90"/>
    <w:rsid w:val="00F55BBD"/>
    <w:rsid w:val="00F55C2F"/>
    <w:rsid w:val="00F55C4B"/>
    <w:rsid w:val="00F55CB3"/>
    <w:rsid w:val="00F55D30"/>
    <w:rsid w:val="00F55DD6"/>
    <w:rsid w:val="00F55F7F"/>
    <w:rsid w:val="00F55FC1"/>
    <w:rsid w:val="00F56037"/>
    <w:rsid w:val="00F56200"/>
    <w:rsid w:val="00F562DD"/>
    <w:rsid w:val="00F5642A"/>
    <w:rsid w:val="00F5645C"/>
    <w:rsid w:val="00F5651D"/>
    <w:rsid w:val="00F5659B"/>
    <w:rsid w:val="00F56758"/>
    <w:rsid w:val="00F567D9"/>
    <w:rsid w:val="00F56818"/>
    <w:rsid w:val="00F5684F"/>
    <w:rsid w:val="00F5689C"/>
    <w:rsid w:val="00F569CA"/>
    <w:rsid w:val="00F56A37"/>
    <w:rsid w:val="00F56B5D"/>
    <w:rsid w:val="00F56B92"/>
    <w:rsid w:val="00F56CB4"/>
    <w:rsid w:val="00F56CD4"/>
    <w:rsid w:val="00F56D85"/>
    <w:rsid w:val="00F56E81"/>
    <w:rsid w:val="00F56F8A"/>
    <w:rsid w:val="00F570C1"/>
    <w:rsid w:val="00F5717B"/>
    <w:rsid w:val="00F57275"/>
    <w:rsid w:val="00F572B6"/>
    <w:rsid w:val="00F572D5"/>
    <w:rsid w:val="00F57314"/>
    <w:rsid w:val="00F5736A"/>
    <w:rsid w:val="00F575AD"/>
    <w:rsid w:val="00F576A0"/>
    <w:rsid w:val="00F57727"/>
    <w:rsid w:val="00F57732"/>
    <w:rsid w:val="00F57736"/>
    <w:rsid w:val="00F57851"/>
    <w:rsid w:val="00F57937"/>
    <w:rsid w:val="00F57A18"/>
    <w:rsid w:val="00F57B80"/>
    <w:rsid w:val="00F57B86"/>
    <w:rsid w:val="00F57CF2"/>
    <w:rsid w:val="00F57DB1"/>
    <w:rsid w:val="00F57E89"/>
    <w:rsid w:val="00F57E95"/>
    <w:rsid w:val="00F57EBB"/>
    <w:rsid w:val="00F57F18"/>
    <w:rsid w:val="00F57FA9"/>
    <w:rsid w:val="00F57FDA"/>
    <w:rsid w:val="00F600FE"/>
    <w:rsid w:val="00F60136"/>
    <w:rsid w:val="00F60137"/>
    <w:rsid w:val="00F601BC"/>
    <w:rsid w:val="00F604D1"/>
    <w:rsid w:val="00F60668"/>
    <w:rsid w:val="00F60678"/>
    <w:rsid w:val="00F6090E"/>
    <w:rsid w:val="00F60980"/>
    <w:rsid w:val="00F60AD7"/>
    <w:rsid w:val="00F60D55"/>
    <w:rsid w:val="00F60D82"/>
    <w:rsid w:val="00F60E0D"/>
    <w:rsid w:val="00F60E4D"/>
    <w:rsid w:val="00F60E60"/>
    <w:rsid w:val="00F60E88"/>
    <w:rsid w:val="00F60FA5"/>
    <w:rsid w:val="00F60FDA"/>
    <w:rsid w:val="00F60FEA"/>
    <w:rsid w:val="00F6106A"/>
    <w:rsid w:val="00F61082"/>
    <w:rsid w:val="00F6127A"/>
    <w:rsid w:val="00F6128C"/>
    <w:rsid w:val="00F613A7"/>
    <w:rsid w:val="00F61415"/>
    <w:rsid w:val="00F61449"/>
    <w:rsid w:val="00F614B5"/>
    <w:rsid w:val="00F61562"/>
    <w:rsid w:val="00F616F8"/>
    <w:rsid w:val="00F617FA"/>
    <w:rsid w:val="00F618E4"/>
    <w:rsid w:val="00F6196D"/>
    <w:rsid w:val="00F61A2E"/>
    <w:rsid w:val="00F61C13"/>
    <w:rsid w:val="00F61C44"/>
    <w:rsid w:val="00F61D98"/>
    <w:rsid w:val="00F61E3E"/>
    <w:rsid w:val="00F61E65"/>
    <w:rsid w:val="00F61EA4"/>
    <w:rsid w:val="00F61FDA"/>
    <w:rsid w:val="00F621EB"/>
    <w:rsid w:val="00F62290"/>
    <w:rsid w:val="00F62348"/>
    <w:rsid w:val="00F62362"/>
    <w:rsid w:val="00F6245C"/>
    <w:rsid w:val="00F6250D"/>
    <w:rsid w:val="00F6279A"/>
    <w:rsid w:val="00F62817"/>
    <w:rsid w:val="00F6293B"/>
    <w:rsid w:val="00F62994"/>
    <w:rsid w:val="00F62A6B"/>
    <w:rsid w:val="00F62AED"/>
    <w:rsid w:val="00F62B7A"/>
    <w:rsid w:val="00F62C3F"/>
    <w:rsid w:val="00F62C9A"/>
    <w:rsid w:val="00F62CA4"/>
    <w:rsid w:val="00F62D18"/>
    <w:rsid w:val="00F62D63"/>
    <w:rsid w:val="00F62E23"/>
    <w:rsid w:val="00F62EE0"/>
    <w:rsid w:val="00F63352"/>
    <w:rsid w:val="00F6352E"/>
    <w:rsid w:val="00F6359D"/>
    <w:rsid w:val="00F635F1"/>
    <w:rsid w:val="00F63684"/>
    <w:rsid w:val="00F636A6"/>
    <w:rsid w:val="00F6370E"/>
    <w:rsid w:val="00F638D9"/>
    <w:rsid w:val="00F639C6"/>
    <w:rsid w:val="00F639C8"/>
    <w:rsid w:val="00F63A6A"/>
    <w:rsid w:val="00F63AB5"/>
    <w:rsid w:val="00F63AE4"/>
    <w:rsid w:val="00F63C17"/>
    <w:rsid w:val="00F63C54"/>
    <w:rsid w:val="00F63E8B"/>
    <w:rsid w:val="00F63F36"/>
    <w:rsid w:val="00F63FD7"/>
    <w:rsid w:val="00F63FDA"/>
    <w:rsid w:val="00F6402D"/>
    <w:rsid w:val="00F640D4"/>
    <w:rsid w:val="00F64176"/>
    <w:rsid w:val="00F643F3"/>
    <w:rsid w:val="00F6441C"/>
    <w:rsid w:val="00F6442A"/>
    <w:rsid w:val="00F64571"/>
    <w:rsid w:val="00F6479D"/>
    <w:rsid w:val="00F6498D"/>
    <w:rsid w:val="00F64999"/>
    <w:rsid w:val="00F64A98"/>
    <w:rsid w:val="00F64B89"/>
    <w:rsid w:val="00F64CED"/>
    <w:rsid w:val="00F64D8F"/>
    <w:rsid w:val="00F64E65"/>
    <w:rsid w:val="00F64ED9"/>
    <w:rsid w:val="00F64EFB"/>
    <w:rsid w:val="00F64F96"/>
    <w:rsid w:val="00F6523F"/>
    <w:rsid w:val="00F65271"/>
    <w:rsid w:val="00F654F8"/>
    <w:rsid w:val="00F6551C"/>
    <w:rsid w:val="00F6577F"/>
    <w:rsid w:val="00F657C7"/>
    <w:rsid w:val="00F658F7"/>
    <w:rsid w:val="00F659F2"/>
    <w:rsid w:val="00F65B21"/>
    <w:rsid w:val="00F65BF9"/>
    <w:rsid w:val="00F65C35"/>
    <w:rsid w:val="00F65E12"/>
    <w:rsid w:val="00F65EDE"/>
    <w:rsid w:val="00F663F1"/>
    <w:rsid w:val="00F664DC"/>
    <w:rsid w:val="00F66572"/>
    <w:rsid w:val="00F665CF"/>
    <w:rsid w:val="00F66674"/>
    <w:rsid w:val="00F666E3"/>
    <w:rsid w:val="00F6672E"/>
    <w:rsid w:val="00F66863"/>
    <w:rsid w:val="00F668A5"/>
    <w:rsid w:val="00F668DF"/>
    <w:rsid w:val="00F66939"/>
    <w:rsid w:val="00F66A7A"/>
    <w:rsid w:val="00F66C6C"/>
    <w:rsid w:val="00F66C99"/>
    <w:rsid w:val="00F66D38"/>
    <w:rsid w:val="00F66D4F"/>
    <w:rsid w:val="00F66D9F"/>
    <w:rsid w:val="00F66F16"/>
    <w:rsid w:val="00F670BE"/>
    <w:rsid w:val="00F670FB"/>
    <w:rsid w:val="00F6719F"/>
    <w:rsid w:val="00F673D0"/>
    <w:rsid w:val="00F67456"/>
    <w:rsid w:val="00F676D6"/>
    <w:rsid w:val="00F676F3"/>
    <w:rsid w:val="00F6770A"/>
    <w:rsid w:val="00F6774D"/>
    <w:rsid w:val="00F67817"/>
    <w:rsid w:val="00F678D3"/>
    <w:rsid w:val="00F67B73"/>
    <w:rsid w:val="00F67C47"/>
    <w:rsid w:val="00F67C55"/>
    <w:rsid w:val="00F67CCF"/>
    <w:rsid w:val="00F67D38"/>
    <w:rsid w:val="00F67F83"/>
    <w:rsid w:val="00F70024"/>
    <w:rsid w:val="00F70091"/>
    <w:rsid w:val="00F700CB"/>
    <w:rsid w:val="00F700F4"/>
    <w:rsid w:val="00F70150"/>
    <w:rsid w:val="00F701EB"/>
    <w:rsid w:val="00F7026E"/>
    <w:rsid w:val="00F70352"/>
    <w:rsid w:val="00F705D1"/>
    <w:rsid w:val="00F706CC"/>
    <w:rsid w:val="00F7079A"/>
    <w:rsid w:val="00F7090E"/>
    <w:rsid w:val="00F70976"/>
    <w:rsid w:val="00F70AFA"/>
    <w:rsid w:val="00F70B6C"/>
    <w:rsid w:val="00F70C85"/>
    <w:rsid w:val="00F70D18"/>
    <w:rsid w:val="00F70D5A"/>
    <w:rsid w:val="00F70EC5"/>
    <w:rsid w:val="00F70EFA"/>
    <w:rsid w:val="00F70F2D"/>
    <w:rsid w:val="00F70F4A"/>
    <w:rsid w:val="00F7121B"/>
    <w:rsid w:val="00F71286"/>
    <w:rsid w:val="00F7155B"/>
    <w:rsid w:val="00F7169A"/>
    <w:rsid w:val="00F716C6"/>
    <w:rsid w:val="00F716EA"/>
    <w:rsid w:val="00F719C6"/>
    <w:rsid w:val="00F71A83"/>
    <w:rsid w:val="00F71B74"/>
    <w:rsid w:val="00F71BF3"/>
    <w:rsid w:val="00F71C46"/>
    <w:rsid w:val="00F71C82"/>
    <w:rsid w:val="00F71E23"/>
    <w:rsid w:val="00F71F2C"/>
    <w:rsid w:val="00F71FB5"/>
    <w:rsid w:val="00F7204B"/>
    <w:rsid w:val="00F72055"/>
    <w:rsid w:val="00F7224F"/>
    <w:rsid w:val="00F7229C"/>
    <w:rsid w:val="00F72310"/>
    <w:rsid w:val="00F72354"/>
    <w:rsid w:val="00F72383"/>
    <w:rsid w:val="00F723E1"/>
    <w:rsid w:val="00F724FF"/>
    <w:rsid w:val="00F7256A"/>
    <w:rsid w:val="00F725D5"/>
    <w:rsid w:val="00F72740"/>
    <w:rsid w:val="00F7278E"/>
    <w:rsid w:val="00F72A76"/>
    <w:rsid w:val="00F72AE1"/>
    <w:rsid w:val="00F72AF1"/>
    <w:rsid w:val="00F72C88"/>
    <w:rsid w:val="00F72E01"/>
    <w:rsid w:val="00F72F14"/>
    <w:rsid w:val="00F73145"/>
    <w:rsid w:val="00F73186"/>
    <w:rsid w:val="00F73270"/>
    <w:rsid w:val="00F732C0"/>
    <w:rsid w:val="00F73307"/>
    <w:rsid w:val="00F7335D"/>
    <w:rsid w:val="00F7342C"/>
    <w:rsid w:val="00F737EB"/>
    <w:rsid w:val="00F738A1"/>
    <w:rsid w:val="00F73AA4"/>
    <w:rsid w:val="00F73C51"/>
    <w:rsid w:val="00F73CE6"/>
    <w:rsid w:val="00F73CFF"/>
    <w:rsid w:val="00F73D30"/>
    <w:rsid w:val="00F73EA9"/>
    <w:rsid w:val="00F73F4A"/>
    <w:rsid w:val="00F740B1"/>
    <w:rsid w:val="00F74175"/>
    <w:rsid w:val="00F74540"/>
    <w:rsid w:val="00F746B2"/>
    <w:rsid w:val="00F747E6"/>
    <w:rsid w:val="00F7491B"/>
    <w:rsid w:val="00F749B1"/>
    <w:rsid w:val="00F74A80"/>
    <w:rsid w:val="00F74B4C"/>
    <w:rsid w:val="00F74BF9"/>
    <w:rsid w:val="00F74C25"/>
    <w:rsid w:val="00F74C2A"/>
    <w:rsid w:val="00F74C3C"/>
    <w:rsid w:val="00F74C6D"/>
    <w:rsid w:val="00F74CC8"/>
    <w:rsid w:val="00F74E56"/>
    <w:rsid w:val="00F74E91"/>
    <w:rsid w:val="00F74F45"/>
    <w:rsid w:val="00F75322"/>
    <w:rsid w:val="00F75334"/>
    <w:rsid w:val="00F7538B"/>
    <w:rsid w:val="00F75395"/>
    <w:rsid w:val="00F75464"/>
    <w:rsid w:val="00F75467"/>
    <w:rsid w:val="00F7546D"/>
    <w:rsid w:val="00F7558F"/>
    <w:rsid w:val="00F75605"/>
    <w:rsid w:val="00F75666"/>
    <w:rsid w:val="00F75682"/>
    <w:rsid w:val="00F75783"/>
    <w:rsid w:val="00F75991"/>
    <w:rsid w:val="00F759A8"/>
    <w:rsid w:val="00F75A47"/>
    <w:rsid w:val="00F75AE8"/>
    <w:rsid w:val="00F75BE0"/>
    <w:rsid w:val="00F75CD3"/>
    <w:rsid w:val="00F75E71"/>
    <w:rsid w:val="00F75FB0"/>
    <w:rsid w:val="00F76175"/>
    <w:rsid w:val="00F76227"/>
    <w:rsid w:val="00F764F1"/>
    <w:rsid w:val="00F76811"/>
    <w:rsid w:val="00F76847"/>
    <w:rsid w:val="00F768E7"/>
    <w:rsid w:val="00F76BEB"/>
    <w:rsid w:val="00F76E01"/>
    <w:rsid w:val="00F76E1D"/>
    <w:rsid w:val="00F76EC7"/>
    <w:rsid w:val="00F76F21"/>
    <w:rsid w:val="00F76FE4"/>
    <w:rsid w:val="00F77004"/>
    <w:rsid w:val="00F7717F"/>
    <w:rsid w:val="00F77261"/>
    <w:rsid w:val="00F772D6"/>
    <w:rsid w:val="00F77323"/>
    <w:rsid w:val="00F77694"/>
    <w:rsid w:val="00F778D5"/>
    <w:rsid w:val="00F779B4"/>
    <w:rsid w:val="00F77A4E"/>
    <w:rsid w:val="00F77AA4"/>
    <w:rsid w:val="00F77BF5"/>
    <w:rsid w:val="00F77C43"/>
    <w:rsid w:val="00F77DD0"/>
    <w:rsid w:val="00F80169"/>
    <w:rsid w:val="00F8020E"/>
    <w:rsid w:val="00F8043A"/>
    <w:rsid w:val="00F80456"/>
    <w:rsid w:val="00F8057D"/>
    <w:rsid w:val="00F8062C"/>
    <w:rsid w:val="00F80768"/>
    <w:rsid w:val="00F807DE"/>
    <w:rsid w:val="00F80814"/>
    <w:rsid w:val="00F8085B"/>
    <w:rsid w:val="00F808D4"/>
    <w:rsid w:val="00F808DB"/>
    <w:rsid w:val="00F8093E"/>
    <w:rsid w:val="00F809E0"/>
    <w:rsid w:val="00F80A0B"/>
    <w:rsid w:val="00F80A95"/>
    <w:rsid w:val="00F80C0B"/>
    <w:rsid w:val="00F80CCA"/>
    <w:rsid w:val="00F80EE8"/>
    <w:rsid w:val="00F810CA"/>
    <w:rsid w:val="00F81100"/>
    <w:rsid w:val="00F8123F"/>
    <w:rsid w:val="00F8132B"/>
    <w:rsid w:val="00F81895"/>
    <w:rsid w:val="00F81933"/>
    <w:rsid w:val="00F81AD1"/>
    <w:rsid w:val="00F81AD5"/>
    <w:rsid w:val="00F81CD7"/>
    <w:rsid w:val="00F81D49"/>
    <w:rsid w:val="00F81D8A"/>
    <w:rsid w:val="00F81E77"/>
    <w:rsid w:val="00F81F10"/>
    <w:rsid w:val="00F81F3D"/>
    <w:rsid w:val="00F82251"/>
    <w:rsid w:val="00F8229B"/>
    <w:rsid w:val="00F822A3"/>
    <w:rsid w:val="00F82307"/>
    <w:rsid w:val="00F82398"/>
    <w:rsid w:val="00F823E1"/>
    <w:rsid w:val="00F824B5"/>
    <w:rsid w:val="00F824DD"/>
    <w:rsid w:val="00F82620"/>
    <w:rsid w:val="00F8267A"/>
    <w:rsid w:val="00F8279F"/>
    <w:rsid w:val="00F828E8"/>
    <w:rsid w:val="00F82959"/>
    <w:rsid w:val="00F82BB6"/>
    <w:rsid w:val="00F82C59"/>
    <w:rsid w:val="00F82C86"/>
    <w:rsid w:val="00F82D78"/>
    <w:rsid w:val="00F83074"/>
    <w:rsid w:val="00F8308A"/>
    <w:rsid w:val="00F830F4"/>
    <w:rsid w:val="00F83111"/>
    <w:rsid w:val="00F8312C"/>
    <w:rsid w:val="00F831F7"/>
    <w:rsid w:val="00F8327E"/>
    <w:rsid w:val="00F83322"/>
    <w:rsid w:val="00F83438"/>
    <w:rsid w:val="00F83459"/>
    <w:rsid w:val="00F83469"/>
    <w:rsid w:val="00F83505"/>
    <w:rsid w:val="00F8351C"/>
    <w:rsid w:val="00F8353F"/>
    <w:rsid w:val="00F836D9"/>
    <w:rsid w:val="00F83799"/>
    <w:rsid w:val="00F83815"/>
    <w:rsid w:val="00F8386D"/>
    <w:rsid w:val="00F83AC8"/>
    <w:rsid w:val="00F83C12"/>
    <w:rsid w:val="00F83C1E"/>
    <w:rsid w:val="00F83C9D"/>
    <w:rsid w:val="00F83CD8"/>
    <w:rsid w:val="00F83D23"/>
    <w:rsid w:val="00F83D99"/>
    <w:rsid w:val="00F83D9F"/>
    <w:rsid w:val="00F83E71"/>
    <w:rsid w:val="00F83F1C"/>
    <w:rsid w:val="00F83FFF"/>
    <w:rsid w:val="00F8404F"/>
    <w:rsid w:val="00F84064"/>
    <w:rsid w:val="00F84076"/>
    <w:rsid w:val="00F84094"/>
    <w:rsid w:val="00F84343"/>
    <w:rsid w:val="00F8442E"/>
    <w:rsid w:val="00F84472"/>
    <w:rsid w:val="00F844FC"/>
    <w:rsid w:val="00F84506"/>
    <w:rsid w:val="00F84778"/>
    <w:rsid w:val="00F8486B"/>
    <w:rsid w:val="00F84C20"/>
    <w:rsid w:val="00F84C30"/>
    <w:rsid w:val="00F84C64"/>
    <w:rsid w:val="00F84D0B"/>
    <w:rsid w:val="00F84D48"/>
    <w:rsid w:val="00F84E6B"/>
    <w:rsid w:val="00F84E90"/>
    <w:rsid w:val="00F84EA7"/>
    <w:rsid w:val="00F84ECD"/>
    <w:rsid w:val="00F84FE7"/>
    <w:rsid w:val="00F84FF8"/>
    <w:rsid w:val="00F850D4"/>
    <w:rsid w:val="00F85183"/>
    <w:rsid w:val="00F851CA"/>
    <w:rsid w:val="00F85219"/>
    <w:rsid w:val="00F852B0"/>
    <w:rsid w:val="00F85489"/>
    <w:rsid w:val="00F85535"/>
    <w:rsid w:val="00F855CE"/>
    <w:rsid w:val="00F85684"/>
    <w:rsid w:val="00F85688"/>
    <w:rsid w:val="00F858F5"/>
    <w:rsid w:val="00F85922"/>
    <w:rsid w:val="00F85923"/>
    <w:rsid w:val="00F859A5"/>
    <w:rsid w:val="00F85A30"/>
    <w:rsid w:val="00F85E87"/>
    <w:rsid w:val="00F86032"/>
    <w:rsid w:val="00F86095"/>
    <w:rsid w:val="00F8615B"/>
    <w:rsid w:val="00F861CC"/>
    <w:rsid w:val="00F8625D"/>
    <w:rsid w:val="00F863C9"/>
    <w:rsid w:val="00F8646C"/>
    <w:rsid w:val="00F864F0"/>
    <w:rsid w:val="00F86926"/>
    <w:rsid w:val="00F869B2"/>
    <w:rsid w:val="00F86B8C"/>
    <w:rsid w:val="00F86C31"/>
    <w:rsid w:val="00F86CA5"/>
    <w:rsid w:val="00F86D4D"/>
    <w:rsid w:val="00F86DEB"/>
    <w:rsid w:val="00F86F34"/>
    <w:rsid w:val="00F86F8C"/>
    <w:rsid w:val="00F86F9A"/>
    <w:rsid w:val="00F8711B"/>
    <w:rsid w:val="00F871B1"/>
    <w:rsid w:val="00F871BC"/>
    <w:rsid w:val="00F871FE"/>
    <w:rsid w:val="00F8728B"/>
    <w:rsid w:val="00F87385"/>
    <w:rsid w:val="00F87569"/>
    <w:rsid w:val="00F87655"/>
    <w:rsid w:val="00F87784"/>
    <w:rsid w:val="00F87AC4"/>
    <w:rsid w:val="00F87B03"/>
    <w:rsid w:val="00F87CEB"/>
    <w:rsid w:val="00F87D97"/>
    <w:rsid w:val="00F87E5E"/>
    <w:rsid w:val="00F87EA7"/>
    <w:rsid w:val="00F87F20"/>
    <w:rsid w:val="00F901E0"/>
    <w:rsid w:val="00F90283"/>
    <w:rsid w:val="00F902EB"/>
    <w:rsid w:val="00F9038A"/>
    <w:rsid w:val="00F903B5"/>
    <w:rsid w:val="00F90472"/>
    <w:rsid w:val="00F904B3"/>
    <w:rsid w:val="00F90581"/>
    <w:rsid w:val="00F9060F"/>
    <w:rsid w:val="00F90622"/>
    <w:rsid w:val="00F909C8"/>
    <w:rsid w:val="00F90B01"/>
    <w:rsid w:val="00F90C02"/>
    <w:rsid w:val="00F90C41"/>
    <w:rsid w:val="00F90CC3"/>
    <w:rsid w:val="00F90D51"/>
    <w:rsid w:val="00F90DF1"/>
    <w:rsid w:val="00F90E8B"/>
    <w:rsid w:val="00F90EB6"/>
    <w:rsid w:val="00F9109C"/>
    <w:rsid w:val="00F911A8"/>
    <w:rsid w:val="00F91224"/>
    <w:rsid w:val="00F912B1"/>
    <w:rsid w:val="00F912BC"/>
    <w:rsid w:val="00F91360"/>
    <w:rsid w:val="00F9136E"/>
    <w:rsid w:val="00F913D4"/>
    <w:rsid w:val="00F91438"/>
    <w:rsid w:val="00F9154C"/>
    <w:rsid w:val="00F9177C"/>
    <w:rsid w:val="00F91797"/>
    <w:rsid w:val="00F91866"/>
    <w:rsid w:val="00F918BD"/>
    <w:rsid w:val="00F91925"/>
    <w:rsid w:val="00F91CBD"/>
    <w:rsid w:val="00F91D5B"/>
    <w:rsid w:val="00F91EB8"/>
    <w:rsid w:val="00F91F5D"/>
    <w:rsid w:val="00F91F93"/>
    <w:rsid w:val="00F9201C"/>
    <w:rsid w:val="00F92057"/>
    <w:rsid w:val="00F92204"/>
    <w:rsid w:val="00F9228C"/>
    <w:rsid w:val="00F922C4"/>
    <w:rsid w:val="00F92335"/>
    <w:rsid w:val="00F92342"/>
    <w:rsid w:val="00F92443"/>
    <w:rsid w:val="00F92514"/>
    <w:rsid w:val="00F9255E"/>
    <w:rsid w:val="00F92563"/>
    <w:rsid w:val="00F92768"/>
    <w:rsid w:val="00F9286F"/>
    <w:rsid w:val="00F9287F"/>
    <w:rsid w:val="00F92A23"/>
    <w:rsid w:val="00F92A60"/>
    <w:rsid w:val="00F92BDA"/>
    <w:rsid w:val="00F92C99"/>
    <w:rsid w:val="00F92DBB"/>
    <w:rsid w:val="00F92EAB"/>
    <w:rsid w:val="00F93005"/>
    <w:rsid w:val="00F9304A"/>
    <w:rsid w:val="00F9317B"/>
    <w:rsid w:val="00F93308"/>
    <w:rsid w:val="00F93337"/>
    <w:rsid w:val="00F933DC"/>
    <w:rsid w:val="00F93433"/>
    <w:rsid w:val="00F934B5"/>
    <w:rsid w:val="00F9358F"/>
    <w:rsid w:val="00F936A1"/>
    <w:rsid w:val="00F93824"/>
    <w:rsid w:val="00F93857"/>
    <w:rsid w:val="00F938ED"/>
    <w:rsid w:val="00F93B4F"/>
    <w:rsid w:val="00F93CDD"/>
    <w:rsid w:val="00F93E88"/>
    <w:rsid w:val="00F93EAF"/>
    <w:rsid w:val="00F93F14"/>
    <w:rsid w:val="00F93F2D"/>
    <w:rsid w:val="00F93FBA"/>
    <w:rsid w:val="00F93FC9"/>
    <w:rsid w:val="00F94057"/>
    <w:rsid w:val="00F94281"/>
    <w:rsid w:val="00F94305"/>
    <w:rsid w:val="00F9462C"/>
    <w:rsid w:val="00F94986"/>
    <w:rsid w:val="00F94996"/>
    <w:rsid w:val="00F94A97"/>
    <w:rsid w:val="00F94B80"/>
    <w:rsid w:val="00F94D60"/>
    <w:rsid w:val="00F95041"/>
    <w:rsid w:val="00F95084"/>
    <w:rsid w:val="00F95234"/>
    <w:rsid w:val="00F952E1"/>
    <w:rsid w:val="00F9539A"/>
    <w:rsid w:val="00F953E7"/>
    <w:rsid w:val="00F953F2"/>
    <w:rsid w:val="00F95422"/>
    <w:rsid w:val="00F955D5"/>
    <w:rsid w:val="00F95875"/>
    <w:rsid w:val="00F958A7"/>
    <w:rsid w:val="00F959C4"/>
    <w:rsid w:val="00F95B37"/>
    <w:rsid w:val="00F95BE9"/>
    <w:rsid w:val="00F95C2A"/>
    <w:rsid w:val="00F95CDC"/>
    <w:rsid w:val="00F95D2B"/>
    <w:rsid w:val="00F95D42"/>
    <w:rsid w:val="00F95E3C"/>
    <w:rsid w:val="00F961FE"/>
    <w:rsid w:val="00F96227"/>
    <w:rsid w:val="00F96509"/>
    <w:rsid w:val="00F96546"/>
    <w:rsid w:val="00F9656F"/>
    <w:rsid w:val="00F965D7"/>
    <w:rsid w:val="00F965E4"/>
    <w:rsid w:val="00F9671F"/>
    <w:rsid w:val="00F96847"/>
    <w:rsid w:val="00F96877"/>
    <w:rsid w:val="00F96939"/>
    <w:rsid w:val="00F969A7"/>
    <w:rsid w:val="00F96C2F"/>
    <w:rsid w:val="00F96C93"/>
    <w:rsid w:val="00F96D10"/>
    <w:rsid w:val="00F96D1E"/>
    <w:rsid w:val="00F96D79"/>
    <w:rsid w:val="00F96DF1"/>
    <w:rsid w:val="00F96E88"/>
    <w:rsid w:val="00F96FF1"/>
    <w:rsid w:val="00F970B9"/>
    <w:rsid w:val="00F9710D"/>
    <w:rsid w:val="00F97139"/>
    <w:rsid w:val="00F97169"/>
    <w:rsid w:val="00F97215"/>
    <w:rsid w:val="00F9726B"/>
    <w:rsid w:val="00F972F2"/>
    <w:rsid w:val="00F97315"/>
    <w:rsid w:val="00F97478"/>
    <w:rsid w:val="00F974A4"/>
    <w:rsid w:val="00F97601"/>
    <w:rsid w:val="00F97679"/>
    <w:rsid w:val="00F97986"/>
    <w:rsid w:val="00F97996"/>
    <w:rsid w:val="00F97C00"/>
    <w:rsid w:val="00F97C5C"/>
    <w:rsid w:val="00F97D4E"/>
    <w:rsid w:val="00F97D63"/>
    <w:rsid w:val="00F97E7F"/>
    <w:rsid w:val="00F97F57"/>
    <w:rsid w:val="00F97F99"/>
    <w:rsid w:val="00F97F9B"/>
    <w:rsid w:val="00FA00A5"/>
    <w:rsid w:val="00FA01B0"/>
    <w:rsid w:val="00FA01D4"/>
    <w:rsid w:val="00FA01E8"/>
    <w:rsid w:val="00FA01F8"/>
    <w:rsid w:val="00FA0214"/>
    <w:rsid w:val="00FA022E"/>
    <w:rsid w:val="00FA036C"/>
    <w:rsid w:val="00FA044E"/>
    <w:rsid w:val="00FA0554"/>
    <w:rsid w:val="00FA0587"/>
    <w:rsid w:val="00FA0716"/>
    <w:rsid w:val="00FA0776"/>
    <w:rsid w:val="00FA08AB"/>
    <w:rsid w:val="00FA08C0"/>
    <w:rsid w:val="00FA0BF7"/>
    <w:rsid w:val="00FA0D8E"/>
    <w:rsid w:val="00FA0E48"/>
    <w:rsid w:val="00FA0EB1"/>
    <w:rsid w:val="00FA1013"/>
    <w:rsid w:val="00FA1040"/>
    <w:rsid w:val="00FA10A9"/>
    <w:rsid w:val="00FA10AF"/>
    <w:rsid w:val="00FA1253"/>
    <w:rsid w:val="00FA1391"/>
    <w:rsid w:val="00FA13D1"/>
    <w:rsid w:val="00FA13E3"/>
    <w:rsid w:val="00FA1413"/>
    <w:rsid w:val="00FA15D8"/>
    <w:rsid w:val="00FA16AA"/>
    <w:rsid w:val="00FA1727"/>
    <w:rsid w:val="00FA173C"/>
    <w:rsid w:val="00FA18C8"/>
    <w:rsid w:val="00FA18DE"/>
    <w:rsid w:val="00FA191B"/>
    <w:rsid w:val="00FA1922"/>
    <w:rsid w:val="00FA1A73"/>
    <w:rsid w:val="00FA1A75"/>
    <w:rsid w:val="00FA1D2A"/>
    <w:rsid w:val="00FA1D44"/>
    <w:rsid w:val="00FA1E21"/>
    <w:rsid w:val="00FA1E66"/>
    <w:rsid w:val="00FA1E6D"/>
    <w:rsid w:val="00FA1F5E"/>
    <w:rsid w:val="00FA1FDC"/>
    <w:rsid w:val="00FA2207"/>
    <w:rsid w:val="00FA22A2"/>
    <w:rsid w:val="00FA236B"/>
    <w:rsid w:val="00FA23AA"/>
    <w:rsid w:val="00FA23FB"/>
    <w:rsid w:val="00FA2562"/>
    <w:rsid w:val="00FA263B"/>
    <w:rsid w:val="00FA264A"/>
    <w:rsid w:val="00FA2851"/>
    <w:rsid w:val="00FA2981"/>
    <w:rsid w:val="00FA29CC"/>
    <w:rsid w:val="00FA2A6E"/>
    <w:rsid w:val="00FA2C70"/>
    <w:rsid w:val="00FA2D39"/>
    <w:rsid w:val="00FA2D91"/>
    <w:rsid w:val="00FA2E87"/>
    <w:rsid w:val="00FA2F0D"/>
    <w:rsid w:val="00FA2F37"/>
    <w:rsid w:val="00FA2F8F"/>
    <w:rsid w:val="00FA30FB"/>
    <w:rsid w:val="00FA3148"/>
    <w:rsid w:val="00FA3219"/>
    <w:rsid w:val="00FA329B"/>
    <w:rsid w:val="00FA3346"/>
    <w:rsid w:val="00FA34AE"/>
    <w:rsid w:val="00FA350C"/>
    <w:rsid w:val="00FA35FD"/>
    <w:rsid w:val="00FA37CB"/>
    <w:rsid w:val="00FA37D0"/>
    <w:rsid w:val="00FA38AC"/>
    <w:rsid w:val="00FA3A5B"/>
    <w:rsid w:val="00FA3A7A"/>
    <w:rsid w:val="00FA3AE5"/>
    <w:rsid w:val="00FA3B17"/>
    <w:rsid w:val="00FA3FE1"/>
    <w:rsid w:val="00FA4113"/>
    <w:rsid w:val="00FA4319"/>
    <w:rsid w:val="00FA45AF"/>
    <w:rsid w:val="00FA482B"/>
    <w:rsid w:val="00FA4AEB"/>
    <w:rsid w:val="00FA4BAD"/>
    <w:rsid w:val="00FA4BC9"/>
    <w:rsid w:val="00FA4DD1"/>
    <w:rsid w:val="00FA4E81"/>
    <w:rsid w:val="00FA4F60"/>
    <w:rsid w:val="00FA4F6B"/>
    <w:rsid w:val="00FA50ED"/>
    <w:rsid w:val="00FA52CC"/>
    <w:rsid w:val="00FA5440"/>
    <w:rsid w:val="00FA5460"/>
    <w:rsid w:val="00FA5525"/>
    <w:rsid w:val="00FA5756"/>
    <w:rsid w:val="00FA588A"/>
    <w:rsid w:val="00FA5A8A"/>
    <w:rsid w:val="00FA5B44"/>
    <w:rsid w:val="00FA5B49"/>
    <w:rsid w:val="00FA5BA5"/>
    <w:rsid w:val="00FA5BB5"/>
    <w:rsid w:val="00FA5C03"/>
    <w:rsid w:val="00FA5C2D"/>
    <w:rsid w:val="00FA5C68"/>
    <w:rsid w:val="00FA5CB9"/>
    <w:rsid w:val="00FA5D85"/>
    <w:rsid w:val="00FA5E13"/>
    <w:rsid w:val="00FA5EDB"/>
    <w:rsid w:val="00FA6077"/>
    <w:rsid w:val="00FA60FE"/>
    <w:rsid w:val="00FA6114"/>
    <w:rsid w:val="00FA6275"/>
    <w:rsid w:val="00FA627D"/>
    <w:rsid w:val="00FA629E"/>
    <w:rsid w:val="00FA63C1"/>
    <w:rsid w:val="00FA642E"/>
    <w:rsid w:val="00FA65DA"/>
    <w:rsid w:val="00FA65E9"/>
    <w:rsid w:val="00FA6698"/>
    <w:rsid w:val="00FA68EB"/>
    <w:rsid w:val="00FA6ABA"/>
    <w:rsid w:val="00FA6BAF"/>
    <w:rsid w:val="00FA6CCD"/>
    <w:rsid w:val="00FA6D0C"/>
    <w:rsid w:val="00FA6E00"/>
    <w:rsid w:val="00FA6E2E"/>
    <w:rsid w:val="00FA6E67"/>
    <w:rsid w:val="00FA6EDC"/>
    <w:rsid w:val="00FA6F49"/>
    <w:rsid w:val="00FA6F5E"/>
    <w:rsid w:val="00FA7001"/>
    <w:rsid w:val="00FA702F"/>
    <w:rsid w:val="00FA703D"/>
    <w:rsid w:val="00FA714D"/>
    <w:rsid w:val="00FA7187"/>
    <w:rsid w:val="00FA7299"/>
    <w:rsid w:val="00FA72BD"/>
    <w:rsid w:val="00FA72C7"/>
    <w:rsid w:val="00FA747D"/>
    <w:rsid w:val="00FA74AA"/>
    <w:rsid w:val="00FA74C4"/>
    <w:rsid w:val="00FA751E"/>
    <w:rsid w:val="00FA75ED"/>
    <w:rsid w:val="00FA776A"/>
    <w:rsid w:val="00FA77E7"/>
    <w:rsid w:val="00FA78BD"/>
    <w:rsid w:val="00FA7A5B"/>
    <w:rsid w:val="00FA7A70"/>
    <w:rsid w:val="00FA7AB7"/>
    <w:rsid w:val="00FA7C29"/>
    <w:rsid w:val="00FA7CDE"/>
    <w:rsid w:val="00FA7D16"/>
    <w:rsid w:val="00FA7E0A"/>
    <w:rsid w:val="00FA7E3B"/>
    <w:rsid w:val="00FA7F47"/>
    <w:rsid w:val="00FA7F70"/>
    <w:rsid w:val="00FA7F7C"/>
    <w:rsid w:val="00FA7FC4"/>
    <w:rsid w:val="00FB0008"/>
    <w:rsid w:val="00FB03C4"/>
    <w:rsid w:val="00FB0409"/>
    <w:rsid w:val="00FB0478"/>
    <w:rsid w:val="00FB0670"/>
    <w:rsid w:val="00FB07DE"/>
    <w:rsid w:val="00FB0AE3"/>
    <w:rsid w:val="00FB0C11"/>
    <w:rsid w:val="00FB0D52"/>
    <w:rsid w:val="00FB0E66"/>
    <w:rsid w:val="00FB0EC7"/>
    <w:rsid w:val="00FB1028"/>
    <w:rsid w:val="00FB10AE"/>
    <w:rsid w:val="00FB112E"/>
    <w:rsid w:val="00FB155D"/>
    <w:rsid w:val="00FB15AE"/>
    <w:rsid w:val="00FB17A1"/>
    <w:rsid w:val="00FB17FC"/>
    <w:rsid w:val="00FB190E"/>
    <w:rsid w:val="00FB1A6B"/>
    <w:rsid w:val="00FB1BED"/>
    <w:rsid w:val="00FB1C3A"/>
    <w:rsid w:val="00FB1D05"/>
    <w:rsid w:val="00FB1D67"/>
    <w:rsid w:val="00FB1D69"/>
    <w:rsid w:val="00FB1DA4"/>
    <w:rsid w:val="00FB1EE9"/>
    <w:rsid w:val="00FB216A"/>
    <w:rsid w:val="00FB2191"/>
    <w:rsid w:val="00FB25F4"/>
    <w:rsid w:val="00FB2915"/>
    <w:rsid w:val="00FB2970"/>
    <w:rsid w:val="00FB2AC0"/>
    <w:rsid w:val="00FB2B40"/>
    <w:rsid w:val="00FB2B95"/>
    <w:rsid w:val="00FB2BE1"/>
    <w:rsid w:val="00FB2C13"/>
    <w:rsid w:val="00FB2EEB"/>
    <w:rsid w:val="00FB2F49"/>
    <w:rsid w:val="00FB2FEE"/>
    <w:rsid w:val="00FB3039"/>
    <w:rsid w:val="00FB30F1"/>
    <w:rsid w:val="00FB3211"/>
    <w:rsid w:val="00FB322D"/>
    <w:rsid w:val="00FB32E7"/>
    <w:rsid w:val="00FB3347"/>
    <w:rsid w:val="00FB35C7"/>
    <w:rsid w:val="00FB3900"/>
    <w:rsid w:val="00FB39F9"/>
    <w:rsid w:val="00FB3A28"/>
    <w:rsid w:val="00FB3A31"/>
    <w:rsid w:val="00FB3E00"/>
    <w:rsid w:val="00FB3E30"/>
    <w:rsid w:val="00FB3E47"/>
    <w:rsid w:val="00FB3E66"/>
    <w:rsid w:val="00FB3F39"/>
    <w:rsid w:val="00FB428B"/>
    <w:rsid w:val="00FB43CB"/>
    <w:rsid w:val="00FB480A"/>
    <w:rsid w:val="00FB4819"/>
    <w:rsid w:val="00FB4A0F"/>
    <w:rsid w:val="00FB4B5C"/>
    <w:rsid w:val="00FB4DBF"/>
    <w:rsid w:val="00FB4E34"/>
    <w:rsid w:val="00FB5079"/>
    <w:rsid w:val="00FB5093"/>
    <w:rsid w:val="00FB5473"/>
    <w:rsid w:val="00FB5533"/>
    <w:rsid w:val="00FB570A"/>
    <w:rsid w:val="00FB5728"/>
    <w:rsid w:val="00FB5748"/>
    <w:rsid w:val="00FB57F8"/>
    <w:rsid w:val="00FB5C18"/>
    <w:rsid w:val="00FB5C37"/>
    <w:rsid w:val="00FB5D58"/>
    <w:rsid w:val="00FB5F99"/>
    <w:rsid w:val="00FB5FD2"/>
    <w:rsid w:val="00FB6022"/>
    <w:rsid w:val="00FB6137"/>
    <w:rsid w:val="00FB6181"/>
    <w:rsid w:val="00FB61B8"/>
    <w:rsid w:val="00FB61FB"/>
    <w:rsid w:val="00FB6284"/>
    <w:rsid w:val="00FB6305"/>
    <w:rsid w:val="00FB6619"/>
    <w:rsid w:val="00FB6681"/>
    <w:rsid w:val="00FB671B"/>
    <w:rsid w:val="00FB68E1"/>
    <w:rsid w:val="00FB6981"/>
    <w:rsid w:val="00FB69AA"/>
    <w:rsid w:val="00FB6ACD"/>
    <w:rsid w:val="00FB6B42"/>
    <w:rsid w:val="00FB6BBF"/>
    <w:rsid w:val="00FB6BEC"/>
    <w:rsid w:val="00FB6C4D"/>
    <w:rsid w:val="00FB7059"/>
    <w:rsid w:val="00FB7128"/>
    <w:rsid w:val="00FB71F1"/>
    <w:rsid w:val="00FB725B"/>
    <w:rsid w:val="00FB72EE"/>
    <w:rsid w:val="00FB7498"/>
    <w:rsid w:val="00FB74AB"/>
    <w:rsid w:val="00FB75E5"/>
    <w:rsid w:val="00FB76BC"/>
    <w:rsid w:val="00FB7703"/>
    <w:rsid w:val="00FB77D8"/>
    <w:rsid w:val="00FB78E4"/>
    <w:rsid w:val="00FB7A08"/>
    <w:rsid w:val="00FB7B3B"/>
    <w:rsid w:val="00FB7B77"/>
    <w:rsid w:val="00FB7BF6"/>
    <w:rsid w:val="00FB7DDD"/>
    <w:rsid w:val="00FB7E39"/>
    <w:rsid w:val="00FB7F2C"/>
    <w:rsid w:val="00FB7F37"/>
    <w:rsid w:val="00FB7FEB"/>
    <w:rsid w:val="00FC0313"/>
    <w:rsid w:val="00FC0399"/>
    <w:rsid w:val="00FC03A0"/>
    <w:rsid w:val="00FC043D"/>
    <w:rsid w:val="00FC0461"/>
    <w:rsid w:val="00FC0470"/>
    <w:rsid w:val="00FC04EA"/>
    <w:rsid w:val="00FC0554"/>
    <w:rsid w:val="00FC0559"/>
    <w:rsid w:val="00FC058C"/>
    <w:rsid w:val="00FC05E9"/>
    <w:rsid w:val="00FC06B7"/>
    <w:rsid w:val="00FC0744"/>
    <w:rsid w:val="00FC07B8"/>
    <w:rsid w:val="00FC084F"/>
    <w:rsid w:val="00FC0A14"/>
    <w:rsid w:val="00FC0A21"/>
    <w:rsid w:val="00FC0B0C"/>
    <w:rsid w:val="00FC0B68"/>
    <w:rsid w:val="00FC0B99"/>
    <w:rsid w:val="00FC10B6"/>
    <w:rsid w:val="00FC10C2"/>
    <w:rsid w:val="00FC1161"/>
    <w:rsid w:val="00FC125D"/>
    <w:rsid w:val="00FC14D4"/>
    <w:rsid w:val="00FC14F9"/>
    <w:rsid w:val="00FC15BE"/>
    <w:rsid w:val="00FC186F"/>
    <w:rsid w:val="00FC1886"/>
    <w:rsid w:val="00FC191C"/>
    <w:rsid w:val="00FC196D"/>
    <w:rsid w:val="00FC1E80"/>
    <w:rsid w:val="00FC1EF0"/>
    <w:rsid w:val="00FC2149"/>
    <w:rsid w:val="00FC217A"/>
    <w:rsid w:val="00FC23F8"/>
    <w:rsid w:val="00FC24AD"/>
    <w:rsid w:val="00FC24FF"/>
    <w:rsid w:val="00FC2517"/>
    <w:rsid w:val="00FC2545"/>
    <w:rsid w:val="00FC2D5D"/>
    <w:rsid w:val="00FC302F"/>
    <w:rsid w:val="00FC3187"/>
    <w:rsid w:val="00FC31E1"/>
    <w:rsid w:val="00FC3207"/>
    <w:rsid w:val="00FC3270"/>
    <w:rsid w:val="00FC343E"/>
    <w:rsid w:val="00FC3571"/>
    <w:rsid w:val="00FC366B"/>
    <w:rsid w:val="00FC3684"/>
    <w:rsid w:val="00FC372D"/>
    <w:rsid w:val="00FC37C3"/>
    <w:rsid w:val="00FC38FE"/>
    <w:rsid w:val="00FC3A76"/>
    <w:rsid w:val="00FC3AC1"/>
    <w:rsid w:val="00FC3D3C"/>
    <w:rsid w:val="00FC3DB0"/>
    <w:rsid w:val="00FC3DCB"/>
    <w:rsid w:val="00FC3E34"/>
    <w:rsid w:val="00FC3E89"/>
    <w:rsid w:val="00FC402A"/>
    <w:rsid w:val="00FC4377"/>
    <w:rsid w:val="00FC43CC"/>
    <w:rsid w:val="00FC4587"/>
    <w:rsid w:val="00FC4675"/>
    <w:rsid w:val="00FC4819"/>
    <w:rsid w:val="00FC481E"/>
    <w:rsid w:val="00FC4B25"/>
    <w:rsid w:val="00FC4C7B"/>
    <w:rsid w:val="00FC4C8D"/>
    <w:rsid w:val="00FC4C8F"/>
    <w:rsid w:val="00FC4CCF"/>
    <w:rsid w:val="00FC4D51"/>
    <w:rsid w:val="00FC4D9C"/>
    <w:rsid w:val="00FC4DAD"/>
    <w:rsid w:val="00FC4DE4"/>
    <w:rsid w:val="00FC4E54"/>
    <w:rsid w:val="00FC4E99"/>
    <w:rsid w:val="00FC4EA0"/>
    <w:rsid w:val="00FC5029"/>
    <w:rsid w:val="00FC50A9"/>
    <w:rsid w:val="00FC50B9"/>
    <w:rsid w:val="00FC5119"/>
    <w:rsid w:val="00FC5252"/>
    <w:rsid w:val="00FC52E2"/>
    <w:rsid w:val="00FC52E3"/>
    <w:rsid w:val="00FC5318"/>
    <w:rsid w:val="00FC5739"/>
    <w:rsid w:val="00FC57A7"/>
    <w:rsid w:val="00FC5929"/>
    <w:rsid w:val="00FC5A73"/>
    <w:rsid w:val="00FC5A86"/>
    <w:rsid w:val="00FC5A8D"/>
    <w:rsid w:val="00FC5AAC"/>
    <w:rsid w:val="00FC5AE8"/>
    <w:rsid w:val="00FC5D42"/>
    <w:rsid w:val="00FC5E27"/>
    <w:rsid w:val="00FC5E4D"/>
    <w:rsid w:val="00FC5E8E"/>
    <w:rsid w:val="00FC5EB5"/>
    <w:rsid w:val="00FC607C"/>
    <w:rsid w:val="00FC60CD"/>
    <w:rsid w:val="00FC629E"/>
    <w:rsid w:val="00FC644E"/>
    <w:rsid w:val="00FC65E2"/>
    <w:rsid w:val="00FC65FA"/>
    <w:rsid w:val="00FC6652"/>
    <w:rsid w:val="00FC6712"/>
    <w:rsid w:val="00FC67DA"/>
    <w:rsid w:val="00FC68AC"/>
    <w:rsid w:val="00FC6AD1"/>
    <w:rsid w:val="00FC6DF3"/>
    <w:rsid w:val="00FC6F2A"/>
    <w:rsid w:val="00FC6F5E"/>
    <w:rsid w:val="00FC6FAE"/>
    <w:rsid w:val="00FC709B"/>
    <w:rsid w:val="00FC7126"/>
    <w:rsid w:val="00FC71CB"/>
    <w:rsid w:val="00FC71E1"/>
    <w:rsid w:val="00FC7242"/>
    <w:rsid w:val="00FC72E5"/>
    <w:rsid w:val="00FC7337"/>
    <w:rsid w:val="00FC7369"/>
    <w:rsid w:val="00FC7554"/>
    <w:rsid w:val="00FC7663"/>
    <w:rsid w:val="00FC77D7"/>
    <w:rsid w:val="00FC78F5"/>
    <w:rsid w:val="00FC796B"/>
    <w:rsid w:val="00FC7AF5"/>
    <w:rsid w:val="00FC7B8A"/>
    <w:rsid w:val="00FC7C05"/>
    <w:rsid w:val="00FC7CAF"/>
    <w:rsid w:val="00FC7CF0"/>
    <w:rsid w:val="00FC7D3D"/>
    <w:rsid w:val="00FC7E54"/>
    <w:rsid w:val="00FC7F05"/>
    <w:rsid w:val="00FD0050"/>
    <w:rsid w:val="00FD00AE"/>
    <w:rsid w:val="00FD00C5"/>
    <w:rsid w:val="00FD0121"/>
    <w:rsid w:val="00FD0253"/>
    <w:rsid w:val="00FD0255"/>
    <w:rsid w:val="00FD02EF"/>
    <w:rsid w:val="00FD02FC"/>
    <w:rsid w:val="00FD0353"/>
    <w:rsid w:val="00FD0416"/>
    <w:rsid w:val="00FD05F4"/>
    <w:rsid w:val="00FD0748"/>
    <w:rsid w:val="00FD0843"/>
    <w:rsid w:val="00FD08C2"/>
    <w:rsid w:val="00FD08CD"/>
    <w:rsid w:val="00FD09D2"/>
    <w:rsid w:val="00FD0A74"/>
    <w:rsid w:val="00FD0B5C"/>
    <w:rsid w:val="00FD0B70"/>
    <w:rsid w:val="00FD0BBF"/>
    <w:rsid w:val="00FD0BE1"/>
    <w:rsid w:val="00FD0CC3"/>
    <w:rsid w:val="00FD0D0B"/>
    <w:rsid w:val="00FD10A2"/>
    <w:rsid w:val="00FD11BD"/>
    <w:rsid w:val="00FD11EB"/>
    <w:rsid w:val="00FD12E6"/>
    <w:rsid w:val="00FD12F4"/>
    <w:rsid w:val="00FD144E"/>
    <w:rsid w:val="00FD14CA"/>
    <w:rsid w:val="00FD153B"/>
    <w:rsid w:val="00FD15C0"/>
    <w:rsid w:val="00FD163D"/>
    <w:rsid w:val="00FD17D0"/>
    <w:rsid w:val="00FD1BC1"/>
    <w:rsid w:val="00FD1C96"/>
    <w:rsid w:val="00FD1D9F"/>
    <w:rsid w:val="00FD1FD3"/>
    <w:rsid w:val="00FD1FED"/>
    <w:rsid w:val="00FD1FFF"/>
    <w:rsid w:val="00FD20BF"/>
    <w:rsid w:val="00FD2209"/>
    <w:rsid w:val="00FD2221"/>
    <w:rsid w:val="00FD2238"/>
    <w:rsid w:val="00FD2252"/>
    <w:rsid w:val="00FD231B"/>
    <w:rsid w:val="00FD2326"/>
    <w:rsid w:val="00FD243D"/>
    <w:rsid w:val="00FD253D"/>
    <w:rsid w:val="00FD2549"/>
    <w:rsid w:val="00FD27FF"/>
    <w:rsid w:val="00FD29E4"/>
    <w:rsid w:val="00FD2A38"/>
    <w:rsid w:val="00FD2AC8"/>
    <w:rsid w:val="00FD2ACF"/>
    <w:rsid w:val="00FD2BD0"/>
    <w:rsid w:val="00FD2BDD"/>
    <w:rsid w:val="00FD2D26"/>
    <w:rsid w:val="00FD2DA1"/>
    <w:rsid w:val="00FD2DD5"/>
    <w:rsid w:val="00FD2EDA"/>
    <w:rsid w:val="00FD2FBB"/>
    <w:rsid w:val="00FD3070"/>
    <w:rsid w:val="00FD3246"/>
    <w:rsid w:val="00FD32B8"/>
    <w:rsid w:val="00FD3351"/>
    <w:rsid w:val="00FD3369"/>
    <w:rsid w:val="00FD34F7"/>
    <w:rsid w:val="00FD3601"/>
    <w:rsid w:val="00FD376A"/>
    <w:rsid w:val="00FD3780"/>
    <w:rsid w:val="00FD388E"/>
    <w:rsid w:val="00FD3902"/>
    <w:rsid w:val="00FD39A0"/>
    <w:rsid w:val="00FD3A42"/>
    <w:rsid w:val="00FD3B16"/>
    <w:rsid w:val="00FD3D82"/>
    <w:rsid w:val="00FD3EA9"/>
    <w:rsid w:val="00FD3FDA"/>
    <w:rsid w:val="00FD435C"/>
    <w:rsid w:val="00FD436A"/>
    <w:rsid w:val="00FD4387"/>
    <w:rsid w:val="00FD4469"/>
    <w:rsid w:val="00FD44D0"/>
    <w:rsid w:val="00FD44FA"/>
    <w:rsid w:val="00FD4501"/>
    <w:rsid w:val="00FD45D0"/>
    <w:rsid w:val="00FD4615"/>
    <w:rsid w:val="00FD4634"/>
    <w:rsid w:val="00FD4985"/>
    <w:rsid w:val="00FD4A03"/>
    <w:rsid w:val="00FD4AFD"/>
    <w:rsid w:val="00FD4C78"/>
    <w:rsid w:val="00FD4D90"/>
    <w:rsid w:val="00FD4E96"/>
    <w:rsid w:val="00FD4F7D"/>
    <w:rsid w:val="00FD4FCA"/>
    <w:rsid w:val="00FD504F"/>
    <w:rsid w:val="00FD52B9"/>
    <w:rsid w:val="00FD5490"/>
    <w:rsid w:val="00FD5513"/>
    <w:rsid w:val="00FD56EC"/>
    <w:rsid w:val="00FD57B2"/>
    <w:rsid w:val="00FD57F1"/>
    <w:rsid w:val="00FD584D"/>
    <w:rsid w:val="00FD589D"/>
    <w:rsid w:val="00FD5952"/>
    <w:rsid w:val="00FD5A77"/>
    <w:rsid w:val="00FD5A80"/>
    <w:rsid w:val="00FD5AEC"/>
    <w:rsid w:val="00FD5B45"/>
    <w:rsid w:val="00FD5B64"/>
    <w:rsid w:val="00FD5D28"/>
    <w:rsid w:val="00FD5DB7"/>
    <w:rsid w:val="00FD5DE5"/>
    <w:rsid w:val="00FD5E10"/>
    <w:rsid w:val="00FD5E2D"/>
    <w:rsid w:val="00FD5E7F"/>
    <w:rsid w:val="00FD5E97"/>
    <w:rsid w:val="00FD5E9A"/>
    <w:rsid w:val="00FD5F3D"/>
    <w:rsid w:val="00FD5F53"/>
    <w:rsid w:val="00FD5F6A"/>
    <w:rsid w:val="00FD5FA9"/>
    <w:rsid w:val="00FD60C4"/>
    <w:rsid w:val="00FD611A"/>
    <w:rsid w:val="00FD61A2"/>
    <w:rsid w:val="00FD61FE"/>
    <w:rsid w:val="00FD6274"/>
    <w:rsid w:val="00FD6362"/>
    <w:rsid w:val="00FD63EA"/>
    <w:rsid w:val="00FD6407"/>
    <w:rsid w:val="00FD64B9"/>
    <w:rsid w:val="00FD6552"/>
    <w:rsid w:val="00FD6686"/>
    <w:rsid w:val="00FD66BD"/>
    <w:rsid w:val="00FD6812"/>
    <w:rsid w:val="00FD6832"/>
    <w:rsid w:val="00FD6ACB"/>
    <w:rsid w:val="00FD6AEA"/>
    <w:rsid w:val="00FD6B29"/>
    <w:rsid w:val="00FD6B85"/>
    <w:rsid w:val="00FD6BE0"/>
    <w:rsid w:val="00FD6D6B"/>
    <w:rsid w:val="00FD6D84"/>
    <w:rsid w:val="00FD6E43"/>
    <w:rsid w:val="00FD6EA7"/>
    <w:rsid w:val="00FD6EAE"/>
    <w:rsid w:val="00FD6FF5"/>
    <w:rsid w:val="00FD717A"/>
    <w:rsid w:val="00FD71E5"/>
    <w:rsid w:val="00FD724D"/>
    <w:rsid w:val="00FD7336"/>
    <w:rsid w:val="00FD737F"/>
    <w:rsid w:val="00FD73E2"/>
    <w:rsid w:val="00FD750B"/>
    <w:rsid w:val="00FD7687"/>
    <w:rsid w:val="00FD7760"/>
    <w:rsid w:val="00FD776A"/>
    <w:rsid w:val="00FD781D"/>
    <w:rsid w:val="00FD7A57"/>
    <w:rsid w:val="00FD7A71"/>
    <w:rsid w:val="00FD7AA8"/>
    <w:rsid w:val="00FD7B37"/>
    <w:rsid w:val="00FD7CEE"/>
    <w:rsid w:val="00FD7D3A"/>
    <w:rsid w:val="00FD7D8C"/>
    <w:rsid w:val="00FD7F1C"/>
    <w:rsid w:val="00FD7FF7"/>
    <w:rsid w:val="00FE0274"/>
    <w:rsid w:val="00FE0327"/>
    <w:rsid w:val="00FE0657"/>
    <w:rsid w:val="00FE0776"/>
    <w:rsid w:val="00FE07FC"/>
    <w:rsid w:val="00FE0843"/>
    <w:rsid w:val="00FE0A1A"/>
    <w:rsid w:val="00FE0A1B"/>
    <w:rsid w:val="00FE0C4C"/>
    <w:rsid w:val="00FE0DDE"/>
    <w:rsid w:val="00FE0ED9"/>
    <w:rsid w:val="00FE10F1"/>
    <w:rsid w:val="00FE12C5"/>
    <w:rsid w:val="00FE1462"/>
    <w:rsid w:val="00FE150F"/>
    <w:rsid w:val="00FE15ED"/>
    <w:rsid w:val="00FE16E5"/>
    <w:rsid w:val="00FE17F7"/>
    <w:rsid w:val="00FE1922"/>
    <w:rsid w:val="00FE196B"/>
    <w:rsid w:val="00FE1A5A"/>
    <w:rsid w:val="00FE1B66"/>
    <w:rsid w:val="00FE1B78"/>
    <w:rsid w:val="00FE1BCE"/>
    <w:rsid w:val="00FE1D12"/>
    <w:rsid w:val="00FE1E8D"/>
    <w:rsid w:val="00FE1F8D"/>
    <w:rsid w:val="00FE2091"/>
    <w:rsid w:val="00FE21A5"/>
    <w:rsid w:val="00FE2241"/>
    <w:rsid w:val="00FE224A"/>
    <w:rsid w:val="00FE2271"/>
    <w:rsid w:val="00FE2313"/>
    <w:rsid w:val="00FE2340"/>
    <w:rsid w:val="00FE2620"/>
    <w:rsid w:val="00FE2630"/>
    <w:rsid w:val="00FE2642"/>
    <w:rsid w:val="00FE2661"/>
    <w:rsid w:val="00FE27CB"/>
    <w:rsid w:val="00FE27F9"/>
    <w:rsid w:val="00FE281E"/>
    <w:rsid w:val="00FE2990"/>
    <w:rsid w:val="00FE2A8E"/>
    <w:rsid w:val="00FE2B16"/>
    <w:rsid w:val="00FE2B30"/>
    <w:rsid w:val="00FE2C80"/>
    <w:rsid w:val="00FE2DFC"/>
    <w:rsid w:val="00FE2E37"/>
    <w:rsid w:val="00FE2ED9"/>
    <w:rsid w:val="00FE2F82"/>
    <w:rsid w:val="00FE2F8D"/>
    <w:rsid w:val="00FE3142"/>
    <w:rsid w:val="00FE3163"/>
    <w:rsid w:val="00FE31CF"/>
    <w:rsid w:val="00FE348A"/>
    <w:rsid w:val="00FE3605"/>
    <w:rsid w:val="00FE367E"/>
    <w:rsid w:val="00FE39D3"/>
    <w:rsid w:val="00FE3A90"/>
    <w:rsid w:val="00FE3C2C"/>
    <w:rsid w:val="00FE3C30"/>
    <w:rsid w:val="00FE3CDD"/>
    <w:rsid w:val="00FE3CEE"/>
    <w:rsid w:val="00FE4070"/>
    <w:rsid w:val="00FE40FE"/>
    <w:rsid w:val="00FE420A"/>
    <w:rsid w:val="00FE4237"/>
    <w:rsid w:val="00FE4317"/>
    <w:rsid w:val="00FE43B0"/>
    <w:rsid w:val="00FE4422"/>
    <w:rsid w:val="00FE4510"/>
    <w:rsid w:val="00FE45F1"/>
    <w:rsid w:val="00FE472C"/>
    <w:rsid w:val="00FE4745"/>
    <w:rsid w:val="00FE4B42"/>
    <w:rsid w:val="00FE4BE4"/>
    <w:rsid w:val="00FE4C22"/>
    <w:rsid w:val="00FE4C7C"/>
    <w:rsid w:val="00FE4E38"/>
    <w:rsid w:val="00FE4EA4"/>
    <w:rsid w:val="00FE503A"/>
    <w:rsid w:val="00FE5086"/>
    <w:rsid w:val="00FE509A"/>
    <w:rsid w:val="00FE50A5"/>
    <w:rsid w:val="00FE510E"/>
    <w:rsid w:val="00FE5137"/>
    <w:rsid w:val="00FE51D0"/>
    <w:rsid w:val="00FE51FE"/>
    <w:rsid w:val="00FE5275"/>
    <w:rsid w:val="00FE53B0"/>
    <w:rsid w:val="00FE5587"/>
    <w:rsid w:val="00FE564D"/>
    <w:rsid w:val="00FE566A"/>
    <w:rsid w:val="00FE56DB"/>
    <w:rsid w:val="00FE5802"/>
    <w:rsid w:val="00FE5833"/>
    <w:rsid w:val="00FE58D5"/>
    <w:rsid w:val="00FE599F"/>
    <w:rsid w:val="00FE59B6"/>
    <w:rsid w:val="00FE5E43"/>
    <w:rsid w:val="00FE5E9E"/>
    <w:rsid w:val="00FE5ED8"/>
    <w:rsid w:val="00FE6000"/>
    <w:rsid w:val="00FE6071"/>
    <w:rsid w:val="00FE620F"/>
    <w:rsid w:val="00FE64A9"/>
    <w:rsid w:val="00FE65D8"/>
    <w:rsid w:val="00FE65FA"/>
    <w:rsid w:val="00FE6662"/>
    <w:rsid w:val="00FE6680"/>
    <w:rsid w:val="00FE66FC"/>
    <w:rsid w:val="00FE68C9"/>
    <w:rsid w:val="00FE6A31"/>
    <w:rsid w:val="00FE6ADC"/>
    <w:rsid w:val="00FE6AED"/>
    <w:rsid w:val="00FE6E67"/>
    <w:rsid w:val="00FE7049"/>
    <w:rsid w:val="00FE728A"/>
    <w:rsid w:val="00FE7475"/>
    <w:rsid w:val="00FE74D2"/>
    <w:rsid w:val="00FE75D5"/>
    <w:rsid w:val="00FE7621"/>
    <w:rsid w:val="00FE763B"/>
    <w:rsid w:val="00FE76DA"/>
    <w:rsid w:val="00FE7798"/>
    <w:rsid w:val="00FE7859"/>
    <w:rsid w:val="00FE78F9"/>
    <w:rsid w:val="00FE7917"/>
    <w:rsid w:val="00FE7AD4"/>
    <w:rsid w:val="00FE7C15"/>
    <w:rsid w:val="00FE7C71"/>
    <w:rsid w:val="00FE7D20"/>
    <w:rsid w:val="00FE7DAE"/>
    <w:rsid w:val="00FE7EE5"/>
    <w:rsid w:val="00FE7F56"/>
    <w:rsid w:val="00FF00DB"/>
    <w:rsid w:val="00FF035D"/>
    <w:rsid w:val="00FF0374"/>
    <w:rsid w:val="00FF05C6"/>
    <w:rsid w:val="00FF05E4"/>
    <w:rsid w:val="00FF0811"/>
    <w:rsid w:val="00FF0A5B"/>
    <w:rsid w:val="00FF0C68"/>
    <w:rsid w:val="00FF0E95"/>
    <w:rsid w:val="00FF0F09"/>
    <w:rsid w:val="00FF0FC2"/>
    <w:rsid w:val="00FF1015"/>
    <w:rsid w:val="00FF10FA"/>
    <w:rsid w:val="00FF1465"/>
    <w:rsid w:val="00FF157C"/>
    <w:rsid w:val="00FF1924"/>
    <w:rsid w:val="00FF1A4C"/>
    <w:rsid w:val="00FF1A5C"/>
    <w:rsid w:val="00FF1C12"/>
    <w:rsid w:val="00FF1C42"/>
    <w:rsid w:val="00FF1C5C"/>
    <w:rsid w:val="00FF1C8D"/>
    <w:rsid w:val="00FF1C90"/>
    <w:rsid w:val="00FF1CBC"/>
    <w:rsid w:val="00FF1D61"/>
    <w:rsid w:val="00FF1E46"/>
    <w:rsid w:val="00FF1E48"/>
    <w:rsid w:val="00FF1EFD"/>
    <w:rsid w:val="00FF1FED"/>
    <w:rsid w:val="00FF20C1"/>
    <w:rsid w:val="00FF20D4"/>
    <w:rsid w:val="00FF214D"/>
    <w:rsid w:val="00FF2160"/>
    <w:rsid w:val="00FF21F0"/>
    <w:rsid w:val="00FF23C3"/>
    <w:rsid w:val="00FF23F5"/>
    <w:rsid w:val="00FF24FA"/>
    <w:rsid w:val="00FF2506"/>
    <w:rsid w:val="00FF2631"/>
    <w:rsid w:val="00FF27A3"/>
    <w:rsid w:val="00FF27AC"/>
    <w:rsid w:val="00FF2D05"/>
    <w:rsid w:val="00FF2EAE"/>
    <w:rsid w:val="00FF2F45"/>
    <w:rsid w:val="00FF3013"/>
    <w:rsid w:val="00FF301B"/>
    <w:rsid w:val="00FF3184"/>
    <w:rsid w:val="00FF3298"/>
    <w:rsid w:val="00FF3495"/>
    <w:rsid w:val="00FF350A"/>
    <w:rsid w:val="00FF353F"/>
    <w:rsid w:val="00FF36CB"/>
    <w:rsid w:val="00FF36F7"/>
    <w:rsid w:val="00FF38FB"/>
    <w:rsid w:val="00FF391B"/>
    <w:rsid w:val="00FF3AB9"/>
    <w:rsid w:val="00FF3C93"/>
    <w:rsid w:val="00FF3CED"/>
    <w:rsid w:val="00FF3D57"/>
    <w:rsid w:val="00FF3EE6"/>
    <w:rsid w:val="00FF40F2"/>
    <w:rsid w:val="00FF40FE"/>
    <w:rsid w:val="00FF41D6"/>
    <w:rsid w:val="00FF4462"/>
    <w:rsid w:val="00FF475E"/>
    <w:rsid w:val="00FF4777"/>
    <w:rsid w:val="00FF4827"/>
    <w:rsid w:val="00FF48D1"/>
    <w:rsid w:val="00FF4976"/>
    <w:rsid w:val="00FF49E7"/>
    <w:rsid w:val="00FF4BFE"/>
    <w:rsid w:val="00FF4CD3"/>
    <w:rsid w:val="00FF4CEC"/>
    <w:rsid w:val="00FF4CF7"/>
    <w:rsid w:val="00FF4D24"/>
    <w:rsid w:val="00FF4E5D"/>
    <w:rsid w:val="00FF4E7F"/>
    <w:rsid w:val="00FF4EE1"/>
    <w:rsid w:val="00FF51B1"/>
    <w:rsid w:val="00FF535E"/>
    <w:rsid w:val="00FF53E3"/>
    <w:rsid w:val="00FF5596"/>
    <w:rsid w:val="00FF566E"/>
    <w:rsid w:val="00FF578E"/>
    <w:rsid w:val="00FF579F"/>
    <w:rsid w:val="00FF58EA"/>
    <w:rsid w:val="00FF59DA"/>
    <w:rsid w:val="00FF59DE"/>
    <w:rsid w:val="00FF5B6F"/>
    <w:rsid w:val="00FF5B9C"/>
    <w:rsid w:val="00FF5C16"/>
    <w:rsid w:val="00FF5C82"/>
    <w:rsid w:val="00FF5FA2"/>
    <w:rsid w:val="00FF5FDA"/>
    <w:rsid w:val="00FF5FF5"/>
    <w:rsid w:val="00FF6104"/>
    <w:rsid w:val="00FF617B"/>
    <w:rsid w:val="00FF61F5"/>
    <w:rsid w:val="00FF6291"/>
    <w:rsid w:val="00FF62C6"/>
    <w:rsid w:val="00FF6479"/>
    <w:rsid w:val="00FF650F"/>
    <w:rsid w:val="00FF656F"/>
    <w:rsid w:val="00FF659F"/>
    <w:rsid w:val="00FF668D"/>
    <w:rsid w:val="00FF66AA"/>
    <w:rsid w:val="00FF6936"/>
    <w:rsid w:val="00FF6958"/>
    <w:rsid w:val="00FF6999"/>
    <w:rsid w:val="00FF69DB"/>
    <w:rsid w:val="00FF6B18"/>
    <w:rsid w:val="00FF6BE8"/>
    <w:rsid w:val="00FF6C0B"/>
    <w:rsid w:val="00FF6CE1"/>
    <w:rsid w:val="00FF6D58"/>
    <w:rsid w:val="00FF7062"/>
    <w:rsid w:val="00FF7142"/>
    <w:rsid w:val="00FF7157"/>
    <w:rsid w:val="00FF7183"/>
    <w:rsid w:val="00FF71DC"/>
    <w:rsid w:val="00FF7261"/>
    <w:rsid w:val="00FF73AF"/>
    <w:rsid w:val="00FF73C7"/>
    <w:rsid w:val="00FF746C"/>
    <w:rsid w:val="00FF74A7"/>
    <w:rsid w:val="00FF74BD"/>
    <w:rsid w:val="00FF7583"/>
    <w:rsid w:val="00FF7678"/>
    <w:rsid w:val="00FF76AF"/>
    <w:rsid w:val="00FF776C"/>
    <w:rsid w:val="00FF77B9"/>
    <w:rsid w:val="00FF78D0"/>
    <w:rsid w:val="00FF7925"/>
    <w:rsid w:val="00FF7965"/>
    <w:rsid w:val="00FF7A4D"/>
    <w:rsid w:val="00FF7C17"/>
    <w:rsid w:val="00FF7C46"/>
    <w:rsid w:val="00FF7E57"/>
    <w:rsid w:val="2380593C"/>
    <w:rsid w:val="3BACB336"/>
    <w:rsid w:val="439A4240"/>
    <w:rsid w:val="4A0B09C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E992E0"/>
  <w15:docId w15:val="{EF9BFD27-D7D7-48FC-9CFF-D1128B66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3D6C"/>
    <w:pPr>
      <w:overflowPunct w:val="0"/>
      <w:autoSpaceDE w:val="0"/>
      <w:autoSpaceDN w:val="0"/>
      <w:adjustRightInd w:val="0"/>
      <w:jc w:val="both"/>
      <w:textAlignment w:val="baseline"/>
    </w:pPr>
    <w:rPr>
      <w:rFonts w:ascii="Arial" w:hAnsi="Arial"/>
      <w:lang w:eastAsia="es-ES"/>
    </w:rPr>
  </w:style>
  <w:style w:type="paragraph" w:styleId="Ttulo1">
    <w:name w:val="heading 1"/>
    <w:basedOn w:val="Prrafodelista"/>
    <w:next w:val="Normal"/>
    <w:link w:val="Ttulo1Car"/>
    <w:uiPriority w:val="9"/>
    <w:qFormat/>
    <w:rsid w:val="008A3846"/>
    <w:pPr>
      <w:ind w:left="0"/>
      <w:jc w:val="center"/>
      <w:outlineLvl w:val="0"/>
    </w:pPr>
    <w:rPr>
      <w:rFonts w:cs="Arial"/>
      <w:b/>
    </w:rPr>
  </w:style>
  <w:style w:type="paragraph" w:styleId="Ttulo2">
    <w:name w:val="heading 2"/>
    <w:basedOn w:val="Prrafodelista"/>
    <w:next w:val="Normal"/>
    <w:link w:val="Ttulo2Car"/>
    <w:uiPriority w:val="9"/>
    <w:qFormat/>
    <w:rsid w:val="00FE6680"/>
    <w:pPr>
      <w:numPr>
        <w:ilvl w:val="1"/>
        <w:numId w:val="2"/>
      </w:numPr>
      <w:tabs>
        <w:tab w:val="left" w:pos="-2268"/>
      </w:tabs>
      <w:suppressAutoHyphens/>
      <w:outlineLvl w:val="1"/>
    </w:pPr>
    <w:rPr>
      <w:b/>
    </w:rPr>
  </w:style>
  <w:style w:type="paragraph" w:styleId="Ttulo3">
    <w:name w:val="heading 3"/>
    <w:basedOn w:val="Prrafodelista"/>
    <w:next w:val="Normal"/>
    <w:link w:val="Ttulo3Car"/>
    <w:autoRedefine/>
    <w:uiPriority w:val="9"/>
    <w:qFormat/>
    <w:rsid w:val="000A1E20"/>
    <w:pPr>
      <w:numPr>
        <w:ilvl w:val="2"/>
        <w:numId w:val="2"/>
      </w:numPr>
      <w:tabs>
        <w:tab w:val="clear" w:pos="1276"/>
        <w:tab w:val="num" w:pos="1134"/>
      </w:tabs>
      <w:ind w:left="1134" w:hanging="1134"/>
      <w:outlineLvl w:val="2"/>
    </w:pPr>
    <w:rPr>
      <w:rFonts w:cs="Arial"/>
      <w:b/>
      <w:u w:val="single"/>
    </w:rPr>
  </w:style>
  <w:style w:type="paragraph" w:styleId="Ttulo4">
    <w:name w:val="heading 4"/>
    <w:aliases w:val="Título 4 mew"/>
    <w:basedOn w:val="Prrafodelista"/>
    <w:next w:val="Normal"/>
    <w:link w:val="Ttulo4Car"/>
    <w:uiPriority w:val="9"/>
    <w:qFormat/>
    <w:rsid w:val="00935D1F"/>
    <w:pPr>
      <w:numPr>
        <w:ilvl w:val="3"/>
        <w:numId w:val="2"/>
      </w:numPr>
      <w:outlineLvl w:val="3"/>
    </w:pPr>
    <w:rPr>
      <w:rFonts w:cs="Arial"/>
      <w:b/>
    </w:rPr>
  </w:style>
  <w:style w:type="paragraph" w:styleId="Ttulo5">
    <w:name w:val="heading 5"/>
    <w:basedOn w:val="Ttulo4"/>
    <w:next w:val="Normal"/>
    <w:link w:val="Ttulo5Car"/>
    <w:uiPriority w:val="9"/>
    <w:qFormat/>
    <w:rsid w:val="00FE6680"/>
    <w:pPr>
      <w:numPr>
        <w:ilvl w:val="4"/>
      </w:numPr>
      <w:outlineLvl w:val="4"/>
    </w:pPr>
    <w:rPr>
      <w:i/>
    </w:rPr>
  </w:style>
  <w:style w:type="paragraph" w:styleId="Ttulo6">
    <w:name w:val="heading 6"/>
    <w:basedOn w:val="Ttulo4"/>
    <w:next w:val="Normal"/>
    <w:link w:val="Ttulo6Car"/>
    <w:uiPriority w:val="9"/>
    <w:unhideWhenUsed/>
    <w:qFormat/>
    <w:rsid w:val="00FE6680"/>
    <w:pPr>
      <w:numPr>
        <w:ilvl w:val="5"/>
      </w:numPr>
      <w:outlineLvl w:val="5"/>
    </w:pPr>
    <w:rPr>
      <w:b w:val="0"/>
      <w:i/>
    </w:rPr>
  </w:style>
  <w:style w:type="paragraph" w:styleId="Ttulo7">
    <w:name w:val="heading 7"/>
    <w:basedOn w:val="Normal"/>
    <w:next w:val="Normal"/>
    <w:link w:val="Ttulo7Car"/>
    <w:uiPriority w:val="9"/>
    <w:semiHidden/>
    <w:unhideWhenUsed/>
    <w:qFormat/>
    <w:rsid w:val="000F2600"/>
    <w:pPr>
      <w:keepNext/>
      <w:keepLines/>
      <w:spacing w:before="200"/>
      <w:ind w:left="1296" w:hanging="1296"/>
      <w:outlineLvl w:val="6"/>
    </w:pPr>
    <w:rPr>
      <w:rFonts w:asciiTheme="majorHAnsi" w:eastAsiaTheme="majorEastAsia" w:hAnsiTheme="majorHAnsi" w:cstheme="majorBidi"/>
      <w:i/>
      <w:iCs/>
      <w:color w:val="404040" w:themeColor="text1" w:themeTint="BF"/>
      <w:szCs w:val="20"/>
    </w:rPr>
  </w:style>
  <w:style w:type="paragraph" w:styleId="Ttulo8">
    <w:name w:val="heading 8"/>
    <w:basedOn w:val="Normal"/>
    <w:next w:val="Normal"/>
    <w:link w:val="Ttulo8Car"/>
    <w:uiPriority w:val="9"/>
    <w:qFormat/>
    <w:rsid w:val="004C45FD"/>
    <w:pPr>
      <w:spacing w:before="240" w:after="60"/>
      <w:outlineLvl w:val="7"/>
    </w:pPr>
    <w:rPr>
      <w:i/>
      <w:iCs/>
    </w:rPr>
  </w:style>
  <w:style w:type="paragraph" w:styleId="Ttulo9">
    <w:name w:val="heading 9"/>
    <w:basedOn w:val="Normal"/>
    <w:next w:val="Normal"/>
    <w:link w:val="Ttulo9Car"/>
    <w:uiPriority w:val="9"/>
    <w:semiHidden/>
    <w:unhideWhenUsed/>
    <w:qFormat/>
    <w:rsid w:val="000F2600"/>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Texto nota al pie,Nota de pie,referencia nota al pie,Ref. de nota al pieREF1,Ref. de nota al pie2,Footnote symbol,Footnote,FC,Texto de nota al pie,BVI fnr,Ref,de nota al pie,Pie de pagina,Appel note de bas de p,Style 24"/>
    <w:uiPriority w:val="99"/>
    <w:qFormat/>
    <w:rsid w:val="008F6EB7"/>
    <w:rPr>
      <w:rFonts w:ascii="Arial" w:hAnsi="Arial"/>
      <w:noProof w:val="0"/>
      <w:sz w:val="24"/>
      <w:vertAlign w:val="superscript"/>
      <w:lang w:val="en-US"/>
    </w:rPr>
  </w:style>
  <w:style w:type="character" w:customStyle="1" w:styleId="Fuentedeencabezadopredeter">
    <w:name w:val="Fuente de encabezado predeter."/>
    <w:rsid w:val="008F6EB7"/>
  </w:style>
  <w:style w:type="paragraph" w:styleId="Piedepgina">
    <w:name w:val="footer"/>
    <w:basedOn w:val="Normal"/>
    <w:link w:val="PiedepginaCar"/>
    <w:uiPriority w:val="99"/>
    <w:rsid w:val="004C45FD"/>
    <w:pPr>
      <w:tabs>
        <w:tab w:val="center" w:pos="4419"/>
        <w:tab w:val="right" w:pos="8838"/>
      </w:tabs>
    </w:pPr>
  </w:style>
  <w:style w:type="paragraph" w:styleId="Encabezado">
    <w:name w:val="header"/>
    <w:aliases w:val="Encabezado1,encabezado,Encabezado Car Car Car Car Car,Encabezado Car Car Car,Encabezado Car Car Car Car,Encabezado Car Car,Tabla6"/>
    <w:basedOn w:val="Normal"/>
    <w:link w:val="EncabezadoCar"/>
    <w:uiPriority w:val="99"/>
    <w:rsid w:val="004C45FD"/>
    <w:pPr>
      <w:tabs>
        <w:tab w:val="center" w:pos="4252"/>
        <w:tab w:val="right" w:pos="8504"/>
      </w:tabs>
    </w:pPr>
  </w:style>
  <w:style w:type="character" w:styleId="Nmerodepgina">
    <w:name w:val="page number"/>
    <w:basedOn w:val="Fuentedeprrafopredeter"/>
    <w:rsid w:val="008F6EB7"/>
  </w:style>
  <w:style w:type="paragraph" w:styleId="Sangra2detindependiente">
    <w:name w:val="Body Text Indent 2"/>
    <w:basedOn w:val="Normal"/>
    <w:rsid w:val="00754F03"/>
    <w:pPr>
      <w:overflowPunct/>
      <w:ind w:left="1134"/>
      <w:textAlignment w:val="auto"/>
    </w:pPr>
    <w:rPr>
      <w:rFonts w:ascii="Arial Narrow" w:hAnsi="Arial Narrow"/>
      <w:color w:val="000000"/>
      <w:sz w:val="18"/>
      <w:szCs w:val="18"/>
    </w:rPr>
  </w:style>
  <w:style w:type="paragraph" w:styleId="Textodeglobo">
    <w:name w:val="Balloon Text"/>
    <w:basedOn w:val="Normal"/>
    <w:link w:val="TextodegloboCar"/>
    <w:uiPriority w:val="99"/>
    <w:semiHidden/>
    <w:rsid w:val="004C45FD"/>
    <w:rPr>
      <w:rFonts w:ascii="Tahoma" w:hAnsi="Tahoma" w:cs="Tahoma"/>
      <w:sz w:val="16"/>
      <w:szCs w:val="16"/>
    </w:rPr>
  </w:style>
  <w:style w:type="paragraph" w:styleId="NormalWeb">
    <w:name w:val="Normal (Web)"/>
    <w:basedOn w:val="Normal"/>
    <w:uiPriority w:val="99"/>
    <w:rsid w:val="004C45FD"/>
    <w:pPr>
      <w:overflowPunct/>
      <w:autoSpaceDE/>
      <w:autoSpaceDN/>
      <w:adjustRightInd/>
      <w:spacing w:before="100" w:after="100"/>
      <w:textAlignment w:val="auto"/>
    </w:pPr>
    <w:rPr>
      <w:color w:val="000000"/>
    </w:rPr>
  </w:style>
  <w:style w:type="paragraph" w:styleId="Mapadeldocumento">
    <w:name w:val="Document Map"/>
    <w:basedOn w:val="Normal"/>
    <w:link w:val="MapadeldocumentoCar"/>
    <w:uiPriority w:val="99"/>
    <w:semiHidden/>
    <w:rsid w:val="004C45FD"/>
    <w:pPr>
      <w:shd w:val="clear" w:color="auto" w:fill="000080"/>
    </w:pPr>
    <w:rPr>
      <w:rFonts w:ascii="Tahoma" w:hAnsi="Tahoma" w:cs="Tahoma"/>
    </w:rPr>
  </w:style>
  <w:style w:type="paragraph" w:styleId="Ttulo">
    <w:name w:val="Title"/>
    <w:basedOn w:val="Normal"/>
    <w:link w:val="TtuloCar"/>
    <w:uiPriority w:val="10"/>
    <w:qFormat/>
    <w:rsid w:val="00EB6C82"/>
    <w:pPr>
      <w:spacing w:before="240" w:after="60"/>
      <w:jc w:val="center"/>
      <w:outlineLvl w:val="0"/>
    </w:pPr>
    <w:rPr>
      <w:rFonts w:cs="Arial"/>
      <w:b/>
      <w:bCs/>
      <w:kern w:val="28"/>
      <w:sz w:val="32"/>
      <w:szCs w:val="32"/>
    </w:rPr>
  </w:style>
  <w:style w:type="character" w:customStyle="1" w:styleId="textofondoazul1">
    <w:name w:val="textofondoazul1"/>
    <w:rsid w:val="001253C0"/>
    <w:rPr>
      <w:rFonts w:ascii="Geneva" w:hAnsi="Geneva" w:hint="default"/>
      <w:color w:val="FFFFFF"/>
      <w:sz w:val="18"/>
      <w:szCs w:val="18"/>
    </w:rPr>
  </w:style>
  <w:style w:type="paragraph" w:styleId="Textonotapie">
    <w:name w:val="footnote text"/>
    <w:aliases w:val="Car1,Texto nota pie Car Car Car Car Car Car Car Car,Texto nota pie Car Car Car Car Car,Texto nota pie Car Car Car Car,ft Car,Texto nota pie Car Car Car Car Car Car Car Car Car,Texto nota pie Car Car Car Car Car Car Car,ft,FA Fu,Car4, Car1"/>
    <w:basedOn w:val="Normal"/>
    <w:link w:val="TextonotapieCar"/>
    <w:qFormat/>
    <w:rsid w:val="005E288B"/>
    <w:pPr>
      <w:overflowPunct/>
      <w:autoSpaceDE/>
      <w:autoSpaceDN/>
      <w:adjustRightInd/>
      <w:textAlignment w:val="auto"/>
    </w:pPr>
    <w:rPr>
      <w:sz w:val="20"/>
      <w:lang w:val="es-ES_tradnl"/>
    </w:rPr>
  </w:style>
  <w:style w:type="table" w:styleId="Tablaconcuadrcula">
    <w:name w:val="Table Grid"/>
    <w:aliases w:val="SGI,Tabla GEOCOL,sin cuadricula"/>
    <w:basedOn w:val="Tablanormal"/>
    <w:uiPriority w:val="39"/>
    <w:qFormat/>
    <w:rsid w:val="00125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rsid w:val="007B3017"/>
    <w:pPr>
      <w:tabs>
        <w:tab w:val="right" w:leader="dot" w:pos="9397"/>
      </w:tabs>
      <w:spacing w:before="240"/>
      <w:ind w:left="709" w:right="567" w:hanging="709"/>
    </w:pPr>
    <w:rPr>
      <w:rFonts w:cs="Arial"/>
      <w:b/>
      <w:bCs/>
      <w:caps/>
      <w:noProof/>
    </w:rPr>
  </w:style>
  <w:style w:type="paragraph" w:styleId="TDC2">
    <w:name w:val="toc 2"/>
    <w:basedOn w:val="Normal"/>
    <w:next w:val="Normal"/>
    <w:autoRedefine/>
    <w:uiPriority w:val="39"/>
    <w:rsid w:val="007B3017"/>
    <w:pPr>
      <w:tabs>
        <w:tab w:val="right" w:leader="dot" w:pos="9397"/>
      </w:tabs>
      <w:spacing w:before="120"/>
      <w:ind w:left="879" w:right="567" w:hanging="709"/>
    </w:pPr>
    <w:rPr>
      <w:b/>
      <w:caps/>
      <w:szCs w:val="20"/>
    </w:rPr>
  </w:style>
  <w:style w:type="paragraph" w:styleId="TDC3">
    <w:name w:val="toc 3"/>
    <w:basedOn w:val="Normal"/>
    <w:next w:val="Normal"/>
    <w:autoRedefine/>
    <w:uiPriority w:val="39"/>
    <w:rsid w:val="007B3017"/>
    <w:pPr>
      <w:tabs>
        <w:tab w:val="right" w:leader="dot" w:pos="9397"/>
      </w:tabs>
      <w:ind w:left="879" w:right="567" w:hanging="709"/>
    </w:pPr>
    <w:rPr>
      <w:iCs/>
      <w:caps/>
      <w:szCs w:val="20"/>
    </w:rPr>
  </w:style>
  <w:style w:type="character" w:styleId="Hipervnculo">
    <w:name w:val="Hyperlink"/>
    <w:uiPriority w:val="99"/>
    <w:rsid w:val="00BA66FF"/>
    <w:rPr>
      <w:color w:val="0000FF"/>
      <w:u w:val="single"/>
    </w:rPr>
  </w:style>
  <w:style w:type="paragraph" w:styleId="TDC4">
    <w:name w:val="toc 4"/>
    <w:basedOn w:val="Normal"/>
    <w:next w:val="Normal"/>
    <w:autoRedefine/>
    <w:uiPriority w:val="39"/>
    <w:rsid w:val="004C45FD"/>
    <w:pPr>
      <w:tabs>
        <w:tab w:val="right" w:leader="dot" w:pos="9395"/>
      </w:tabs>
      <w:ind w:left="993" w:hanging="709"/>
    </w:pPr>
    <w:rPr>
      <w:caps/>
      <w:szCs w:val="18"/>
    </w:rPr>
  </w:style>
  <w:style w:type="paragraph" w:styleId="Textoindependiente">
    <w:name w:val="Body Text"/>
    <w:aliases w:val="Subsection Body Text"/>
    <w:basedOn w:val="Normal"/>
    <w:link w:val="TextoindependienteCar"/>
    <w:rsid w:val="004C45FD"/>
    <w:pPr>
      <w:spacing w:after="120"/>
    </w:pPr>
  </w:style>
  <w:style w:type="paragraph" w:styleId="Textoindependiente3">
    <w:name w:val="Body Text 3"/>
    <w:basedOn w:val="Normal"/>
    <w:rsid w:val="004C45FD"/>
    <w:pPr>
      <w:overflowPunct/>
      <w:autoSpaceDE/>
      <w:autoSpaceDN/>
      <w:adjustRightInd/>
      <w:spacing w:after="120"/>
      <w:textAlignment w:val="auto"/>
    </w:pPr>
    <w:rPr>
      <w:sz w:val="16"/>
      <w:szCs w:val="16"/>
    </w:rPr>
  </w:style>
  <w:style w:type="paragraph" w:customStyle="1" w:styleId="BodyText31">
    <w:name w:val="Body Text 31"/>
    <w:basedOn w:val="Normal"/>
    <w:rsid w:val="0093367D"/>
    <w:pPr>
      <w:widowControl w:val="0"/>
      <w:tabs>
        <w:tab w:val="left" w:pos="720"/>
      </w:tabs>
    </w:pPr>
    <w:rPr>
      <w:sz w:val="22"/>
    </w:rPr>
  </w:style>
  <w:style w:type="paragraph" w:styleId="Textoindependiente2">
    <w:name w:val="Body Text 2"/>
    <w:basedOn w:val="Normal"/>
    <w:rsid w:val="004C45FD"/>
    <w:pPr>
      <w:overflowPunct/>
      <w:autoSpaceDE/>
      <w:autoSpaceDN/>
      <w:adjustRightInd/>
      <w:spacing w:after="120" w:line="480" w:lineRule="auto"/>
      <w:textAlignment w:val="auto"/>
    </w:pPr>
  </w:style>
  <w:style w:type="paragraph" w:customStyle="1" w:styleId="marthacle">
    <w:name w:val="martha cle"/>
    <w:basedOn w:val="Normal"/>
    <w:rsid w:val="00B01E59"/>
    <w:pPr>
      <w:overflowPunct/>
      <w:autoSpaceDE/>
      <w:autoSpaceDN/>
      <w:adjustRightInd/>
      <w:ind w:left="840" w:hanging="840"/>
      <w:textAlignment w:val="auto"/>
    </w:pPr>
    <w:rPr>
      <w:b/>
    </w:rPr>
  </w:style>
  <w:style w:type="paragraph" w:styleId="TDC5">
    <w:name w:val="toc 5"/>
    <w:basedOn w:val="Normal"/>
    <w:next w:val="Normal"/>
    <w:autoRedefine/>
    <w:uiPriority w:val="39"/>
    <w:rsid w:val="004C45FD"/>
    <w:pPr>
      <w:ind w:left="960"/>
    </w:pPr>
    <w:rPr>
      <w:rFonts w:asciiTheme="minorHAnsi" w:hAnsiTheme="minorHAnsi"/>
      <w:sz w:val="18"/>
      <w:szCs w:val="18"/>
    </w:rPr>
  </w:style>
  <w:style w:type="paragraph" w:styleId="TDC6">
    <w:name w:val="toc 6"/>
    <w:basedOn w:val="Normal"/>
    <w:next w:val="Normal"/>
    <w:autoRedefine/>
    <w:uiPriority w:val="39"/>
    <w:rsid w:val="004C45FD"/>
    <w:pPr>
      <w:ind w:left="1200"/>
    </w:pPr>
    <w:rPr>
      <w:rFonts w:asciiTheme="minorHAnsi" w:hAnsiTheme="minorHAnsi"/>
      <w:sz w:val="18"/>
      <w:szCs w:val="18"/>
    </w:rPr>
  </w:style>
  <w:style w:type="paragraph" w:styleId="TDC7">
    <w:name w:val="toc 7"/>
    <w:basedOn w:val="Normal"/>
    <w:next w:val="Normal"/>
    <w:autoRedefine/>
    <w:uiPriority w:val="39"/>
    <w:rsid w:val="004C45FD"/>
    <w:pPr>
      <w:ind w:left="1440"/>
    </w:pPr>
    <w:rPr>
      <w:rFonts w:asciiTheme="minorHAnsi" w:hAnsiTheme="minorHAnsi"/>
      <w:sz w:val="18"/>
      <w:szCs w:val="18"/>
    </w:rPr>
  </w:style>
  <w:style w:type="paragraph" w:styleId="TDC8">
    <w:name w:val="toc 8"/>
    <w:basedOn w:val="Normal"/>
    <w:next w:val="Normal"/>
    <w:autoRedefine/>
    <w:uiPriority w:val="39"/>
    <w:rsid w:val="004C45FD"/>
    <w:pPr>
      <w:ind w:left="1680"/>
    </w:pPr>
    <w:rPr>
      <w:rFonts w:asciiTheme="minorHAnsi" w:hAnsiTheme="minorHAnsi"/>
      <w:sz w:val="18"/>
      <w:szCs w:val="18"/>
    </w:rPr>
  </w:style>
  <w:style w:type="paragraph" w:styleId="TDC9">
    <w:name w:val="toc 9"/>
    <w:basedOn w:val="Normal"/>
    <w:next w:val="Normal"/>
    <w:autoRedefine/>
    <w:uiPriority w:val="39"/>
    <w:rsid w:val="004C45FD"/>
    <w:pPr>
      <w:ind w:left="1920"/>
    </w:pPr>
    <w:rPr>
      <w:rFonts w:asciiTheme="minorHAnsi" w:hAnsiTheme="minorHAnsi"/>
      <w:sz w:val="18"/>
      <w:szCs w:val="18"/>
    </w:rPr>
  </w:style>
  <w:style w:type="character" w:styleId="Refdecomentario">
    <w:name w:val="annotation reference"/>
    <w:uiPriority w:val="99"/>
    <w:rsid w:val="00026A2E"/>
    <w:rPr>
      <w:sz w:val="16"/>
      <w:szCs w:val="16"/>
    </w:rPr>
  </w:style>
  <w:style w:type="paragraph" w:styleId="Textocomentario">
    <w:name w:val="annotation text"/>
    <w:basedOn w:val="Normal"/>
    <w:link w:val="TextocomentarioCar"/>
    <w:uiPriority w:val="99"/>
    <w:rsid w:val="004C45FD"/>
  </w:style>
  <w:style w:type="paragraph" w:styleId="Asuntodelcomentario">
    <w:name w:val="annotation subject"/>
    <w:basedOn w:val="Textocomentario"/>
    <w:next w:val="Textocomentario"/>
    <w:link w:val="AsuntodelcomentarioCar"/>
    <w:uiPriority w:val="99"/>
    <w:semiHidden/>
    <w:rsid w:val="004C45FD"/>
    <w:rPr>
      <w:b/>
      <w:bCs/>
    </w:rPr>
  </w:style>
  <w:style w:type="character" w:customStyle="1" w:styleId="textoplano1">
    <w:name w:val="texto_plano1"/>
    <w:rsid w:val="00E84D78"/>
    <w:rPr>
      <w:rFonts w:ascii="Verdana" w:hAnsi="Verdana" w:hint="default"/>
      <w:b w:val="0"/>
      <w:bCs w:val="0"/>
      <w:color w:val="666666"/>
      <w:sz w:val="18"/>
      <w:szCs w:val="18"/>
    </w:rPr>
  </w:style>
  <w:style w:type="paragraph" w:styleId="Revisin">
    <w:name w:val="Revision"/>
    <w:hidden/>
    <w:rsid w:val="00C51702"/>
    <w:rPr>
      <w:lang w:val="es-ES" w:eastAsia="es-ES"/>
    </w:rPr>
  </w:style>
  <w:style w:type="paragraph" w:styleId="Sangradetextonormal">
    <w:name w:val="Body Text Indent"/>
    <w:basedOn w:val="Normal"/>
    <w:link w:val="SangradetextonormalCar"/>
    <w:rsid w:val="004C45FD"/>
    <w:pPr>
      <w:overflowPunct/>
      <w:autoSpaceDE/>
      <w:autoSpaceDN/>
      <w:adjustRightInd/>
      <w:spacing w:after="120"/>
      <w:ind w:left="283"/>
      <w:textAlignment w:val="auto"/>
    </w:pPr>
  </w:style>
  <w:style w:type="character" w:customStyle="1" w:styleId="SangradetextonormalCar">
    <w:name w:val="Sangría de texto normal Car"/>
    <w:link w:val="Sangradetextonormal"/>
    <w:rsid w:val="006B2920"/>
    <w:rPr>
      <w:rFonts w:ascii="Arial" w:hAnsi="Arial"/>
      <w:lang w:val="es-ES" w:eastAsia="es-ES"/>
    </w:rPr>
  </w:style>
  <w:style w:type="paragraph" w:styleId="Lista">
    <w:name w:val="List"/>
    <w:basedOn w:val="Normal"/>
    <w:rsid w:val="002E699A"/>
    <w:pPr>
      <w:widowControl w:val="0"/>
      <w:overflowPunct/>
      <w:adjustRightInd/>
      <w:ind w:left="360" w:hanging="360"/>
      <w:textAlignment w:val="auto"/>
    </w:pPr>
  </w:style>
  <w:style w:type="character" w:customStyle="1" w:styleId="EncabezadoCar">
    <w:name w:val="Encabezado Car"/>
    <w:aliases w:val="Encabezado1 Car,encabezado Car,Encabezado Car Car Car Car Car Car,Encabezado Car Car Car Car1,Encabezado Car Car Car Car Car1,Encabezado Car Car Car1,Tabla6 Car"/>
    <w:link w:val="Encabezado"/>
    <w:uiPriority w:val="99"/>
    <w:rsid w:val="00CC6809"/>
    <w:rPr>
      <w:rFonts w:ascii="Arial" w:hAnsi="Arial"/>
      <w:lang w:val="es-ES" w:eastAsia="es-ES"/>
    </w:rPr>
  </w:style>
  <w:style w:type="paragraph" w:styleId="Prrafodelista">
    <w:name w:val="List Paragraph"/>
    <w:aliases w:val="HOJA,Lista vistosa - Énfasis 11,Bolita,Lista vistosa - Énfasis 111,Párrafo de lista3,Párrafo de lista4,Párrafo de lista5,Ha,titulo 3,Referencia,Guia 1,BOLA,Párrafo de lista21,Guión,Titulo 8,Párrafo de lista6,Colorful List - Accent 11,T2"/>
    <w:basedOn w:val="Normal"/>
    <w:link w:val="PrrafodelistaCar"/>
    <w:uiPriority w:val="34"/>
    <w:qFormat/>
    <w:rsid w:val="004C45FD"/>
    <w:pPr>
      <w:overflowPunct/>
      <w:autoSpaceDE/>
      <w:autoSpaceDN/>
      <w:adjustRightInd/>
      <w:ind w:left="708"/>
      <w:textAlignment w:val="auto"/>
    </w:pPr>
    <w:rPr>
      <w:lang w:val="es-ES_tradnl"/>
    </w:rPr>
  </w:style>
  <w:style w:type="character" w:customStyle="1" w:styleId="TextonotapieCar">
    <w:name w:val="Texto nota pie Car"/>
    <w:aliases w:val="Car1 Car,Texto nota pie Car Car Car Car Car Car Car Car Car1,Texto nota pie Car Car Car Car Car Car,Texto nota pie Car Car Car Car Car1,ft Car Car,Texto nota pie Car Car Car Car Car Car Car Car Car Car,ft Car1,FA Fu Car,Car4 Car"/>
    <w:link w:val="Textonotapie"/>
    <w:rsid w:val="005E288B"/>
    <w:rPr>
      <w:rFonts w:ascii="Arial" w:hAnsi="Arial"/>
      <w:sz w:val="20"/>
      <w:lang w:val="es-ES_tradnl" w:eastAsia="es-ES"/>
    </w:rPr>
  </w:style>
  <w:style w:type="paragraph" w:customStyle="1" w:styleId="EstiloEpgrafeJustificado3">
    <w:name w:val="Estilo Epígrafe + Justificado3"/>
    <w:basedOn w:val="Descripcin"/>
    <w:autoRedefine/>
    <w:uiPriority w:val="99"/>
    <w:rsid w:val="004C45FD"/>
    <w:pPr>
      <w:numPr>
        <w:numId w:val="1"/>
      </w:numPr>
      <w:overflowPunct/>
      <w:autoSpaceDE/>
      <w:autoSpaceDN/>
      <w:adjustRightInd/>
      <w:spacing w:before="120"/>
      <w:textAlignment w:val="auto"/>
    </w:pPr>
    <w:rPr>
      <w:b w:val="0"/>
    </w:rPr>
  </w:style>
  <w:style w:type="paragraph" w:styleId="Descripcin">
    <w:name w:val="caption"/>
    <w:aliases w:val="Car,Epígrafe Car Car,Car Car Car Car Car, Car Car Car Car Car,Epígrafe Tabla,A, Car Car, Car Car Car Car1, Car Car Car,Título tabla/gráfica,Título tabla/gráfica1,Título tabla/gráfica2,Título tabla/gráfica3,Título tabla/gráfica4,Car Car Car"/>
    <w:basedOn w:val="Normal"/>
    <w:next w:val="Normal"/>
    <w:link w:val="DescripcinCar"/>
    <w:uiPriority w:val="35"/>
    <w:unhideWhenUsed/>
    <w:qFormat/>
    <w:rsid w:val="004C45FD"/>
    <w:rPr>
      <w:b/>
      <w:bCs/>
    </w:rPr>
  </w:style>
  <w:style w:type="paragraph" w:styleId="TtuloTDC">
    <w:name w:val="TOC Heading"/>
    <w:basedOn w:val="Ttulo1"/>
    <w:next w:val="Normal"/>
    <w:uiPriority w:val="39"/>
    <w:unhideWhenUsed/>
    <w:qFormat/>
    <w:rsid w:val="00AD0E89"/>
    <w:pPr>
      <w:keepLines/>
      <w:spacing w:before="480" w:line="276" w:lineRule="auto"/>
      <w:outlineLvl w:val="9"/>
    </w:pPr>
    <w:rPr>
      <w:rFonts w:ascii="Cambria" w:hAnsi="Cambria"/>
      <w:b w:val="0"/>
      <w:bCs/>
      <w:color w:val="365F91"/>
      <w:sz w:val="28"/>
      <w:szCs w:val="28"/>
      <w:lang w:eastAsia="en-US"/>
    </w:rPr>
  </w:style>
  <w:style w:type="paragraph" w:customStyle="1" w:styleId="EstiloEpgrafeJustificado2">
    <w:name w:val="Estilo Epígrafe + Justificado2"/>
    <w:basedOn w:val="Descripcin"/>
    <w:uiPriority w:val="99"/>
    <w:rsid w:val="004C45FD"/>
    <w:pPr>
      <w:overflowPunct/>
      <w:autoSpaceDE/>
      <w:autoSpaceDN/>
      <w:adjustRightInd/>
      <w:textAlignment w:val="auto"/>
    </w:pPr>
    <w:rPr>
      <w:b w:val="0"/>
    </w:rPr>
  </w:style>
  <w:style w:type="character" w:customStyle="1" w:styleId="PrrafodelistaCar">
    <w:name w:val="Párrafo de lista Car"/>
    <w:aliases w:val="HOJA Car,Lista vistosa - Énfasis 11 Car,Bolita Car,Lista vistosa - Énfasis 111 Car,Párrafo de lista3 Car,Párrafo de lista4 Car,Párrafo de lista5 Car,Ha Car,titulo 3 Car,Referencia Car,Guia 1 Car,BOLA Car,Párrafo de lista21 Car"/>
    <w:link w:val="Prrafodelista"/>
    <w:uiPriority w:val="34"/>
    <w:qFormat/>
    <w:rsid w:val="007A323E"/>
    <w:rPr>
      <w:rFonts w:ascii="Arial" w:hAnsi="Arial"/>
      <w:lang w:val="es-ES_tradnl" w:eastAsia="es-ES"/>
    </w:rPr>
  </w:style>
  <w:style w:type="character" w:customStyle="1" w:styleId="TextocomentarioCar">
    <w:name w:val="Texto comentario Car"/>
    <w:link w:val="Textocomentario"/>
    <w:uiPriority w:val="99"/>
    <w:rsid w:val="00C71922"/>
    <w:rPr>
      <w:rFonts w:ascii="Arial" w:hAnsi="Arial"/>
      <w:lang w:val="es-ES" w:eastAsia="es-ES"/>
    </w:rPr>
  </w:style>
  <w:style w:type="paragraph" w:customStyle="1" w:styleId="Level1">
    <w:name w:val="Level 1"/>
    <w:basedOn w:val="Normal"/>
    <w:rsid w:val="004C45FD"/>
    <w:pPr>
      <w:widowControl w:val="0"/>
      <w:tabs>
        <w:tab w:val="num" w:pos="540"/>
      </w:tabs>
      <w:overflowPunct/>
      <w:ind w:left="540" w:hanging="360"/>
      <w:textAlignment w:val="auto"/>
      <w:outlineLvl w:val="0"/>
    </w:pPr>
    <w:rPr>
      <w:rFonts w:eastAsia="SimSun"/>
      <w:lang w:val="en-US" w:eastAsia="zh-CN"/>
    </w:rPr>
  </w:style>
  <w:style w:type="character" w:customStyle="1" w:styleId="PiedepginaCar">
    <w:name w:val="Pie de página Car"/>
    <w:link w:val="Piedepgina"/>
    <w:uiPriority w:val="99"/>
    <w:rsid w:val="004F2C39"/>
    <w:rPr>
      <w:rFonts w:ascii="Arial" w:hAnsi="Arial"/>
      <w:lang w:val="es-ES" w:eastAsia="es-ES"/>
    </w:rPr>
  </w:style>
  <w:style w:type="paragraph" w:customStyle="1" w:styleId="Textoindependiente0">
    <w:name w:val="Texto independiente/”%Ÿ"/>
    <w:basedOn w:val="Normal"/>
    <w:rsid w:val="00F57F18"/>
    <w:pPr>
      <w:widowControl w:val="0"/>
      <w:overflowPunct/>
      <w:autoSpaceDE/>
      <w:autoSpaceDN/>
      <w:adjustRightInd/>
      <w:textAlignment w:val="auto"/>
    </w:pPr>
    <w:rPr>
      <w:snapToGrid w:val="0"/>
      <w:sz w:val="22"/>
      <w:lang w:val="es-ES_tradnl"/>
    </w:rPr>
  </w:style>
  <w:style w:type="paragraph" w:customStyle="1" w:styleId="CUERPOTEXTO">
    <w:name w:val="CUERPO TEXTO"/>
    <w:rsid w:val="00F94D60"/>
    <w:pPr>
      <w:widowControl w:val="0"/>
      <w:tabs>
        <w:tab w:val="center" w:pos="510"/>
        <w:tab w:val="left" w:pos="1134"/>
      </w:tabs>
      <w:autoSpaceDE w:val="0"/>
      <w:autoSpaceDN w:val="0"/>
      <w:adjustRightInd w:val="0"/>
      <w:spacing w:before="28" w:after="28" w:line="210" w:lineRule="atLeast"/>
      <w:ind w:firstLine="283"/>
      <w:jc w:val="both"/>
    </w:pPr>
    <w:rPr>
      <w:color w:val="000000"/>
      <w:sz w:val="19"/>
      <w:szCs w:val="19"/>
      <w:lang w:val="es-ES" w:eastAsia="es-ES"/>
    </w:rPr>
  </w:style>
  <w:style w:type="paragraph" w:styleId="Textonotaalfinal">
    <w:name w:val="endnote text"/>
    <w:basedOn w:val="Normal"/>
    <w:link w:val="TextonotaalfinalCar"/>
    <w:rsid w:val="004C45FD"/>
  </w:style>
  <w:style w:type="character" w:customStyle="1" w:styleId="TextonotaalfinalCar">
    <w:name w:val="Texto nota al final Car"/>
    <w:link w:val="Textonotaalfinal"/>
    <w:rsid w:val="00016166"/>
    <w:rPr>
      <w:rFonts w:ascii="Arial" w:hAnsi="Arial"/>
      <w:lang w:val="es-ES" w:eastAsia="es-ES"/>
    </w:rPr>
  </w:style>
  <w:style w:type="character" w:styleId="Refdenotaalfinal">
    <w:name w:val="endnote reference"/>
    <w:rsid w:val="00016166"/>
    <w:rPr>
      <w:vertAlign w:val="superscript"/>
    </w:rPr>
  </w:style>
  <w:style w:type="paragraph" w:customStyle="1" w:styleId="Default">
    <w:name w:val="Default"/>
    <w:link w:val="DefaultCar"/>
    <w:rsid w:val="00EB0866"/>
    <w:pPr>
      <w:autoSpaceDE w:val="0"/>
      <w:autoSpaceDN w:val="0"/>
      <w:adjustRightInd w:val="0"/>
    </w:pPr>
    <w:rPr>
      <w:rFonts w:ascii="Arial,Bold" w:hAnsi="Arial,Bold" w:cs="Arial,Bold"/>
      <w:lang w:val="es-ES" w:eastAsia="es-ES"/>
    </w:rPr>
  </w:style>
  <w:style w:type="character" w:customStyle="1" w:styleId="DefaultCar">
    <w:name w:val="Default Car"/>
    <w:link w:val="Default"/>
    <w:locked/>
    <w:rsid w:val="00EB0866"/>
    <w:rPr>
      <w:rFonts w:ascii="Arial,Bold" w:hAnsi="Arial,Bold" w:cs="Arial,Bold"/>
      <w:lang w:val="es-ES" w:eastAsia="es-ES" w:bidi="ar-SA"/>
    </w:rPr>
  </w:style>
  <w:style w:type="paragraph" w:customStyle="1" w:styleId="Prrafodelista1">
    <w:name w:val="Párrafo de lista1"/>
    <w:basedOn w:val="Normal"/>
    <w:rsid w:val="004C45FD"/>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Titulo1">
    <w:name w:val="Titulo 1"/>
    <w:basedOn w:val="Ttulo1"/>
    <w:link w:val="Titulo1Car"/>
    <w:uiPriority w:val="99"/>
    <w:rsid w:val="00577AFA"/>
    <w:rPr>
      <w:rFonts w:ascii="Arial Narrow" w:hAnsi="Arial Narrow"/>
      <w:b w:val="0"/>
      <w:lang w:val="en-US"/>
    </w:rPr>
  </w:style>
  <w:style w:type="character" w:customStyle="1" w:styleId="Titulo1Car">
    <w:name w:val="Titulo 1 Car"/>
    <w:link w:val="Titulo1"/>
    <w:uiPriority w:val="99"/>
    <w:locked/>
    <w:rsid w:val="00577AFA"/>
    <w:rPr>
      <w:rFonts w:ascii="Arial Narrow" w:hAnsi="Arial Narrow" w:cs="Arial"/>
      <w:lang w:val="en-US" w:eastAsia="es-ES"/>
    </w:rPr>
  </w:style>
  <w:style w:type="paragraph" w:customStyle="1" w:styleId="Textoindependiente31">
    <w:name w:val="Texto independiente 31"/>
    <w:basedOn w:val="Normal"/>
    <w:rsid w:val="00DC581A"/>
    <w:pPr>
      <w:widowControl w:val="0"/>
      <w:tabs>
        <w:tab w:val="left" w:pos="720"/>
      </w:tabs>
    </w:pPr>
    <w:rPr>
      <w:sz w:val="22"/>
      <w:lang w:val="es-ES_tradnl"/>
    </w:rPr>
  </w:style>
  <w:style w:type="paragraph" w:styleId="Sangra3detindependiente">
    <w:name w:val="Body Text Indent 3"/>
    <w:basedOn w:val="Normal"/>
    <w:link w:val="Sangra3detindependienteCar"/>
    <w:rsid w:val="004C45FD"/>
    <w:pPr>
      <w:overflowPunct/>
      <w:autoSpaceDE/>
      <w:autoSpaceDN/>
      <w:adjustRightInd/>
      <w:spacing w:after="120"/>
      <w:ind w:left="283"/>
      <w:textAlignment w:val="auto"/>
    </w:pPr>
    <w:rPr>
      <w:sz w:val="16"/>
      <w:szCs w:val="16"/>
      <w:lang w:val="es-ES_tradnl"/>
    </w:rPr>
  </w:style>
  <w:style w:type="character" w:customStyle="1" w:styleId="Sangra3detindependienteCar">
    <w:name w:val="Sangría 3 de t. independiente Car"/>
    <w:link w:val="Sangra3detindependiente"/>
    <w:rsid w:val="00DC581A"/>
    <w:rPr>
      <w:rFonts w:ascii="Arial" w:hAnsi="Arial"/>
      <w:sz w:val="16"/>
      <w:szCs w:val="16"/>
      <w:lang w:val="es-ES_tradnl" w:eastAsia="es-ES"/>
    </w:rPr>
  </w:style>
  <w:style w:type="character" w:customStyle="1" w:styleId="tituloscategoria1">
    <w:name w:val="tituloscategoria1"/>
    <w:rsid w:val="007D5AF7"/>
    <w:rPr>
      <w:color w:val="0072BC"/>
      <w:sz w:val="27"/>
      <w:szCs w:val="27"/>
    </w:rPr>
  </w:style>
  <w:style w:type="character" w:styleId="Textodelmarcadordeposicin">
    <w:name w:val="Placeholder Text"/>
    <w:uiPriority w:val="99"/>
    <w:semiHidden/>
    <w:rsid w:val="002969A0"/>
    <w:rPr>
      <w:color w:val="808080"/>
    </w:rPr>
  </w:style>
  <w:style w:type="paragraph" w:styleId="Textosinformato">
    <w:name w:val="Plain Text"/>
    <w:basedOn w:val="Normal"/>
    <w:link w:val="TextosinformatoCar"/>
    <w:uiPriority w:val="99"/>
    <w:unhideWhenUsed/>
    <w:rsid w:val="004C45FD"/>
    <w:pPr>
      <w:overflowPunct/>
      <w:autoSpaceDE/>
      <w:autoSpaceDN/>
      <w:adjustRightInd/>
      <w:textAlignment w:val="auto"/>
    </w:pPr>
    <w:rPr>
      <w:rFonts w:ascii="Calibri" w:hAnsi="Calibri"/>
      <w:sz w:val="22"/>
      <w:szCs w:val="21"/>
    </w:rPr>
  </w:style>
  <w:style w:type="character" w:customStyle="1" w:styleId="TextosinformatoCar">
    <w:name w:val="Texto sin formato Car"/>
    <w:link w:val="Textosinformato"/>
    <w:uiPriority w:val="99"/>
    <w:rsid w:val="005A1E82"/>
    <w:rPr>
      <w:rFonts w:ascii="Calibri" w:hAnsi="Calibri"/>
      <w:sz w:val="22"/>
      <w:szCs w:val="21"/>
      <w:lang w:val="es-ES" w:eastAsia="es-ES"/>
    </w:rPr>
  </w:style>
  <w:style w:type="paragraph" w:customStyle="1" w:styleId="Listavistosa-nfasis12">
    <w:name w:val="Lista vistosa - Énfasis 12"/>
    <w:basedOn w:val="Normal"/>
    <w:uiPriority w:val="34"/>
    <w:qFormat/>
    <w:rsid w:val="004C45FD"/>
    <w:pPr>
      <w:overflowPunct/>
      <w:autoSpaceDE/>
      <w:autoSpaceDN/>
      <w:adjustRightInd/>
      <w:ind w:left="708"/>
      <w:textAlignment w:val="auto"/>
    </w:pPr>
    <w:rPr>
      <w:lang w:val="es-ES_tradnl"/>
    </w:rPr>
  </w:style>
  <w:style w:type="character" w:customStyle="1" w:styleId="A5">
    <w:name w:val="A5"/>
    <w:uiPriority w:val="99"/>
    <w:rsid w:val="000939BA"/>
    <w:rPr>
      <w:rFonts w:ascii="PNDKN T+ Myriad Pro" w:hAnsi="PNDKN T+ Myriad Pro" w:cs="PNDKN T+ Myriad Pro"/>
      <w:color w:val="000000"/>
      <w:sz w:val="22"/>
      <w:szCs w:val="22"/>
    </w:rPr>
  </w:style>
  <w:style w:type="character" w:customStyle="1" w:styleId="DescripcinCar">
    <w:name w:val="Descripción Car"/>
    <w:aliases w:val="Car Car,Epígrafe Car Car Car,Car Car Car Car Car Car, Car Car Car Car Car Car,Epígrafe Tabla Car,A Car, Car Car Car1, Car Car Car Car1 Car, Car Car Car Car,Título tabla/gráfica Car,Título tabla/gráfica1 Car,Título tabla/gráfica2 Car"/>
    <w:link w:val="Descripcin"/>
    <w:uiPriority w:val="35"/>
    <w:rsid w:val="006120B0"/>
    <w:rPr>
      <w:rFonts w:ascii="Arial" w:hAnsi="Arial"/>
      <w:b/>
      <w:bCs/>
      <w:lang w:val="es-ES" w:eastAsia="es-ES"/>
    </w:rPr>
  </w:style>
  <w:style w:type="paragraph" w:customStyle="1" w:styleId="Estilo1">
    <w:name w:val="Estilo1"/>
    <w:basedOn w:val="Textosinformato"/>
    <w:qFormat/>
    <w:rsid w:val="004C45FD"/>
    <w:pPr>
      <w:widowControl w:val="0"/>
      <w:ind w:left="1134" w:hanging="1134"/>
    </w:pPr>
    <w:rPr>
      <w:rFonts w:ascii="Consolas" w:hAnsi="Consolas"/>
      <w:b/>
      <w:sz w:val="24"/>
    </w:rPr>
  </w:style>
  <w:style w:type="paragraph" w:customStyle="1" w:styleId="Cuadrculaclara-nfasis31">
    <w:name w:val="Cuadrícula clara - Énfasis 31"/>
    <w:basedOn w:val="Normal"/>
    <w:uiPriority w:val="34"/>
    <w:qFormat/>
    <w:rsid w:val="004C45FD"/>
    <w:pPr>
      <w:overflowPunct/>
      <w:autoSpaceDE/>
      <w:autoSpaceDN/>
      <w:adjustRightInd/>
      <w:ind w:left="708"/>
      <w:textAlignment w:val="auto"/>
    </w:pPr>
    <w:rPr>
      <w:lang w:val="es-ES_tradnl"/>
    </w:rPr>
  </w:style>
  <w:style w:type="character" w:customStyle="1" w:styleId="TextoindependienteCar">
    <w:name w:val="Texto independiente Car"/>
    <w:aliases w:val="Subsection Body Text Car"/>
    <w:link w:val="Textoindependiente"/>
    <w:rsid w:val="00F70352"/>
    <w:rPr>
      <w:rFonts w:ascii="Arial" w:hAnsi="Arial"/>
      <w:lang w:val="es-ES" w:eastAsia="es-ES"/>
    </w:rPr>
  </w:style>
  <w:style w:type="character" w:styleId="Fuerte">
    <w:name w:val="Strong"/>
    <w:uiPriority w:val="22"/>
    <w:qFormat/>
    <w:rsid w:val="00380EED"/>
    <w:rPr>
      <w:b/>
      <w:bCs/>
    </w:rPr>
  </w:style>
  <w:style w:type="paragraph" w:customStyle="1" w:styleId="Cuadrculamedia1-nfasis21">
    <w:name w:val="Cuadrícula media 1 - Énfasis 21"/>
    <w:basedOn w:val="Normal"/>
    <w:uiPriority w:val="34"/>
    <w:qFormat/>
    <w:rsid w:val="004C45FD"/>
    <w:pPr>
      <w:overflowPunct/>
      <w:autoSpaceDE/>
      <w:autoSpaceDN/>
      <w:adjustRightInd/>
      <w:spacing w:after="200" w:line="276" w:lineRule="auto"/>
      <w:ind w:left="720"/>
      <w:contextualSpacing/>
      <w:textAlignment w:val="auto"/>
    </w:pPr>
    <w:rPr>
      <w:rFonts w:eastAsia="Calibri" w:cs="Arial"/>
      <w:sz w:val="22"/>
      <w:szCs w:val="22"/>
      <w:lang w:eastAsia="en-US"/>
    </w:rPr>
  </w:style>
  <w:style w:type="paragraph" w:customStyle="1" w:styleId="NormalCar">
    <w:name w:val="Normal Car"/>
    <w:basedOn w:val="Normal"/>
    <w:link w:val="NormalCarCar"/>
    <w:rsid w:val="00F60D55"/>
    <w:pPr>
      <w:overflowPunct/>
      <w:autoSpaceDE/>
      <w:autoSpaceDN/>
      <w:adjustRightInd/>
      <w:textAlignment w:val="auto"/>
    </w:pPr>
  </w:style>
  <w:style w:type="character" w:styleId="Hipervnculovisitado">
    <w:name w:val="FollowedHyperlink"/>
    <w:uiPriority w:val="99"/>
    <w:rsid w:val="003D0162"/>
    <w:rPr>
      <w:color w:val="954F72"/>
      <w:u w:val="single"/>
    </w:rPr>
  </w:style>
  <w:style w:type="character" w:customStyle="1" w:styleId="apple-converted-space">
    <w:name w:val="apple-converted-space"/>
    <w:rsid w:val="00754964"/>
  </w:style>
  <w:style w:type="paragraph" w:customStyle="1" w:styleId="Sombreadovistoso-nfasis11">
    <w:name w:val="Sombreado vistoso - Énfasis 11"/>
    <w:hidden/>
    <w:uiPriority w:val="99"/>
    <w:semiHidden/>
    <w:rsid w:val="000C4CDF"/>
    <w:rPr>
      <w:lang w:val="es-ES" w:eastAsia="es-ES"/>
    </w:rPr>
  </w:style>
  <w:style w:type="paragraph" w:customStyle="1" w:styleId="Tabladecuadrcula31">
    <w:name w:val="Tabla de cuadrícula 31"/>
    <w:basedOn w:val="Ttulo1"/>
    <w:next w:val="Normal"/>
    <w:uiPriority w:val="39"/>
    <w:semiHidden/>
    <w:unhideWhenUsed/>
    <w:qFormat/>
    <w:rsid w:val="000C4CDF"/>
    <w:pPr>
      <w:keepLines/>
      <w:spacing w:before="480" w:line="276" w:lineRule="auto"/>
      <w:outlineLvl w:val="9"/>
    </w:pPr>
    <w:rPr>
      <w:rFonts w:ascii="Cambria" w:hAnsi="Cambria"/>
      <w:b w:val="0"/>
      <w:bCs/>
      <w:color w:val="365F91"/>
      <w:sz w:val="28"/>
      <w:szCs w:val="28"/>
      <w:lang w:eastAsia="en-US"/>
    </w:rPr>
  </w:style>
  <w:style w:type="character" w:customStyle="1" w:styleId="Listavistosa-nfasis1Car1">
    <w:name w:val="Lista vistosa - Énfasis 1 Car1"/>
    <w:aliases w:val="HOJA Car1,Lista vistosa - Énfasis 11 Car1,Bolita Car1"/>
    <w:uiPriority w:val="34"/>
    <w:rsid w:val="000C4CDF"/>
    <w:rPr>
      <w:rFonts w:ascii="Arial" w:hAnsi="Arial"/>
      <w:lang w:val="es-ES_tradnl" w:eastAsia="es-ES"/>
    </w:rPr>
  </w:style>
  <w:style w:type="character" w:customStyle="1" w:styleId="Cuadrculamedia11">
    <w:name w:val="Cuadrícula media 11"/>
    <w:uiPriority w:val="99"/>
    <w:semiHidden/>
    <w:rsid w:val="000C4CDF"/>
    <w:rPr>
      <w:color w:val="808080"/>
    </w:rPr>
  </w:style>
  <w:style w:type="paragraph" w:customStyle="1" w:styleId="western">
    <w:name w:val="western"/>
    <w:basedOn w:val="Normal"/>
    <w:rsid w:val="004C45FD"/>
    <w:pPr>
      <w:overflowPunct/>
      <w:autoSpaceDE/>
      <w:autoSpaceDN/>
      <w:adjustRightInd/>
      <w:spacing w:before="100" w:beforeAutospacing="1" w:after="100" w:afterAutospacing="1"/>
      <w:textAlignment w:val="auto"/>
    </w:pPr>
    <w:rPr>
      <w:lang w:eastAsia="es-CO"/>
    </w:rPr>
  </w:style>
  <w:style w:type="paragraph" w:styleId="Listaconvietas3">
    <w:name w:val="List Bullet 3"/>
    <w:basedOn w:val="Normal"/>
    <w:autoRedefine/>
    <w:rsid w:val="007A6D50"/>
    <w:pPr>
      <w:overflowPunct/>
      <w:autoSpaceDE/>
      <w:autoSpaceDN/>
      <w:adjustRightInd/>
      <w:ind w:left="68"/>
      <w:textAlignment w:val="auto"/>
    </w:pPr>
    <w:rPr>
      <w:rFonts w:cs="Arial"/>
    </w:rPr>
  </w:style>
  <w:style w:type="paragraph" w:styleId="Listaconvietas">
    <w:name w:val="List Bullet"/>
    <w:basedOn w:val="Normal"/>
    <w:semiHidden/>
    <w:unhideWhenUsed/>
    <w:rsid w:val="004C45FD"/>
    <w:pPr>
      <w:numPr>
        <w:numId w:val="3"/>
      </w:numPr>
      <w:contextualSpacing/>
    </w:pPr>
  </w:style>
  <w:style w:type="character" w:customStyle="1" w:styleId="Ttulo4Car">
    <w:name w:val="Título 4 Car"/>
    <w:aliases w:val="Título 4 mew Car"/>
    <w:basedOn w:val="Fuentedeprrafopredeter"/>
    <w:link w:val="Ttulo4"/>
    <w:uiPriority w:val="9"/>
    <w:rsid w:val="00935D1F"/>
    <w:rPr>
      <w:rFonts w:ascii="Arial" w:hAnsi="Arial" w:cs="Arial"/>
      <w:b/>
      <w:lang w:val="es-ES_tradnl" w:eastAsia="es-ES"/>
    </w:rPr>
  </w:style>
  <w:style w:type="character" w:customStyle="1" w:styleId="Ttulo2Car">
    <w:name w:val="Título 2 Car"/>
    <w:basedOn w:val="Fuentedeprrafopredeter"/>
    <w:link w:val="Ttulo2"/>
    <w:uiPriority w:val="9"/>
    <w:rsid w:val="00FE6680"/>
    <w:rPr>
      <w:rFonts w:ascii="Arial" w:hAnsi="Arial"/>
      <w:b/>
      <w:lang w:val="es-ES_tradnl" w:eastAsia="es-ES"/>
    </w:rPr>
  </w:style>
  <w:style w:type="character" w:customStyle="1" w:styleId="Ttulo3Car">
    <w:name w:val="Título 3 Car"/>
    <w:basedOn w:val="Fuentedeprrafopredeter"/>
    <w:link w:val="Ttulo3"/>
    <w:uiPriority w:val="9"/>
    <w:rsid w:val="000A1E20"/>
    <w:rPr>
      <w:rFonts w:ascii="Arial" w:hAnsi="Arial" w:cs="Arial"/>
      <w:b/>
      <w:u w:val="single"/>
      <w:lang w:val="es-ES_tradnl" w:eastAsia="es-ES"/>
    </w:rPr>
  </w:style>
  <w:style w:type="character" w:customStyle="1" w:styleId="hps">
    <w:name w:val="hps"/>
    <w:basedOn w:val="Fuentedeprrafopredeter"/>
    <w:rsid w:val="00B467FD"/>
  </w:style>
  <w:style w:type="character" w:customStyle="1" w:styleId="style21">
    <w:name w:val="style21"/>
    <w:basedOn w:val="Fuentedeprrafopredeter"/>
    <w:rsid w:val="00B467FD"/>
    <w:rPr>
      <w:sz w:val="18"/>
      <w:szCs w:val="18"/>
    </w:rPr>
  </w:style>
  <w:style w:type="table" w:customStyle="1" w:styleId="Tablanormal211">
    <w:name w:val="Tabla normal 211"/>
    <w:basedOn w:val="Tablanormal"/>
    <w:uiPriority w:val="42"/>
    <w:rsid w:val="00F5651D"/>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6Car">
    <w:name w:val="Título 6 Car"/>
    <w:basedOn w:val="Fuentedeprrafopredeter"/>
    <w:link w:val="Ttulo6"/>
    <w:uiPriority w:val="9"/>
    <w:rsid w:val="00FE6680"/>
    <w:rPr>
      <w:rFonts w:ascii="Arial" w:hAnsi="Arial" w:cs="Arial"/>
      <w:i/>
      <w:lang w:val="es-ES_tradnl" w:eastAsia="es-ES"/>
    </w:rPr>
  </w:style>
  <w:style w:type="character" w:customStyle="1" w:styleId="Ttulo7Car">
    <w:name w:val="Título 7 Car"/>
    <w:basedOn w:val="Fuentedeprrafopredeter"/>
    <w:link w:val="Ttulo7"/>
    <w:uiPriority w:val="9"/>
    <w:semiHidden/>
    <w:rsid w:val="000F2600"/>
    <w:rPr>
      <w:rFonts w:asciiTheme="majorHAnsi" w:eastAsiaTheme="majorEastAsia" w:hAnsiTheme="majorHAnsi" w:cstheme="majorBidi"/>
      <w:i/>
      <w:iCs/>
      <w:color w:val="404040" w:themeColor="text1" w:themeTint="BF"/>
      <w:szCs w:val="20"/>
      <w:lang w:val="es-ES" w:eastAsia="es-ES"/>
    </w:rPr>
  </w:style>
  <w:style w:type="character" w:customStyle="1" w:styleId="Ttulo9Car">
    <w:name w:val="Título 9 Car"/>
    <w:basedOn w:val="Fuentedeprrafopredeter"/>
    <w:link w:val="Ttulo9"/>
    <w:uiPriority w:val="9"/>
    <w:semiHidden/>
    <w:rsid w:val="000F2600"/>
    <w:rPr>
      <w:rFonts w:asciiTheme="majorHAnsi" w:eastAsiaTheme="majorEastAsia" w:hAnsiTheme="majorHAnsi" w:cstheme="majorBidi"/>
      <w:i/>
      <w:iCs/>
      <w:color w:val="404040" w:themeColor="text1" w:themeTint="BF"/>
      <w:sz w:val="20"/>
      <w:szCs w:val="20"/>
      <w:lang w:val="es-ES" w:eastAsia="es-ES"/>
    </w:rPr>
  </w:style>
  <w:style w:type="character" w:customStyle="1" w:styleId="TtuloCar">
    <w:name w:val="Título Car"/>
    <w:basedOn w:val="Fuentedeprrafopredeter"/>
    <w:link w:val="Ttulo"/>
    <w:uiPriority w:val="10"/>
    <w:rsid w:val="000F2600"/>
    <w:rPr>
      <w:rFonts w:ascii="Arial" w:hAnsi="Arial" w:cs="Arial"/>
      <w:b/>
      <w:bCs/>
      <w:kern w:val="28"/>
      <w:sz w:val="32"/>
      <w:szCs w:val="32"/>
      <w:lang w:val="es-ES" w:eastAsia="es-ES"/>
    </w:rPr>
  </w:style>
  <w:style w:type="character" w:customStyle="1" w:styleId="Ttulo1Car">
    <w:name w:val="Título 1 Car"/>
    <w:basedOn w:val="Fuentedeprrafopredeter"/>
    <w:link w:val="Ttulo1"/>
    <w:uiPriority w:val="9"/>
    <w:rsid w:val="000F2600"/>
    <w:rPr>
      <w:rFonts w:ascii="Arial" w:hAnsi="Arial" w:cs="Arial"/>
      <w:b/>
      <w:lang w:val="es-ES_tradnl" w:eastAsia="es-ES"/>
    </w:rPr>
  </w:style>
  <w:style w:type="character" w:customStyle="1" w:styleId="TextodegloboCar">
    <w:name w:val="Texto de globo Car"/>
    <w:basedOn w:val="Fuentedeprrafopredeter"/>
    <w:link w:val="Textodeglobo"/>
    <w:uiPriority w:val="99"/>
    <w:semiHidden/>
    <w:rsid w:val="000F2600"/>
    <w:rPr>
      <w:rFonts w:ascii="Tahoma" w:hAnsi="Tahoma" w:cs="Tahoma"/>
      <w:sz w:val="16"/>
      <w:szCs w:val="16"/>
      <w:lang w:val="es-ES" w:eastAsia="es-ES"/>
    </w:rPr>
  </w:style>
  <w:style w:type="character" w:customStyle="1" w:styleId="AsuntodelcomentarioCar">
    <w:name w:val="Asunto del comentario Car"/>
    <w:basedOn w:val="TextocomentarioCar"/>
    <w:link w:val="Asuntodelcomentario"/>
    <w:uiPriority w:val="99"/>
    <w:semiHidden/>
    <w:rsid w:val="000F2600"/>
    <w:rPr>
      <w:rFonts w:ascii="Arial" w:hAnsi="Arial"/>
      <w:b/>
      <w:bCs/>
      <w:lang w:val="es-ES" w:eastAsia="es-ES"/>
    </w:rPr>
  </w:style>
  <w:style w:type="paragraph" w:customStyle="1" w:styleId="Tabla">
    <w:name w:val="Tabla"/>
    <w:basedOn w:val="Normal"/>
    <w:link w:val="TablaCar"/>
    <w:rsid w:val="000F2600"/>
    <w:pPr>
      <w:widowControl w:val="0"/>
      <w:overflowPunct/>
      <w:autoSpaceDE/>
      <w:autoSpaceDN/>
      <w:adjustRightInd/>
      <w:jc w:val="center"/>
      <w:textAlignment w:val="auto"/>
    </w:pPr>
    <w:rPr>
      <w:b/>
      <w:snapToGrid w:val="0"/>
      <w:sz w:val="22"/>
      <w:szCs w:val="20"/>
      <w:lang w:val="es-ES_tradnl"/>
    </w:rPr>
  </w:style>
  <w:style w:type="character" w:customStyle="1" w:styleId="TablaCar">
    <w:name w:val="Tabla Car"/>
    <w:link w:val="Tabla"/>
    <w:locked/>
    <w:rsid w:val="000F2600"/>
    <w:rPr>
      <w:rFonts w:ascii="Arial" w:hAnsi="Arial"/>
      <w:b/>
      <w:snapToGrid w:val="0"/>
      <w:sz w:val="22"/>
      <w:szCs w:val="20"/>
      <w:lang w:val="es-ES_tradnl" w:eastAsia="es-ES"/>
    </w:rPr>
  </w:style>
  <w:style w:type="character" w:customStyle="1" w:styleId="NormalCarCar">
    <w:name w:val="Normal Car Car"/>
    <w:basedOn w:val="Fuentedeprrafopredeter"/>
    <w:link w:val="NormalCar"/>
    <w:locked/>
    <w:rsid w:val="000F2600"/>
    <w:rPr>
      <w:rFonts w:ascii="Arial" w:hAnsi="Arial"/>
      <w:lang w:eastAsia="es-ES"/>
    </w:rPr>
  </w:style>
  <w:style w:type="paragraph" w:styleId="Subttulo">
    <w:name w:val="Subtitle"/>
    <w:basedOn w:val="Normal"/>
    <w:next w:val="Normal"/>
    <w:link w:val="SubttuloCar"/>
    <w:uiPriority w:val="11"/>
    <w:qFormat/>
    <w:rsid w:val="000F2600"/>
    <w:pPr>
      <w:numPr>
        <w:ilvl w:val="1"/>
      </w:numPr>
      <w:overflowPunct/>
      <w:autoSpaceDE/>
      <w:autoSpaceDN/>
      <w:adjustRightInd/>
      <w:spacing w:after="240" w:line="276" w:lineRule="auto"/>
      <w:textAlignment w:val="auto"/>
    </w:pPr>
    <w:rPr>
      <w:rFonts w:asciiTheme="minorHAnsi" w:eastAsiaTheme="minorEastAsia" w:hAnsiTheme="minorHAnsi" w:cstheme="minorBidi"/>
      <w:caps/>
      <w:color w:val="404040" w:themeColor="text1" w:themeTint="BF"/>
      <w:spacing w:val="20"/>
      <w:sz w:val="28"/>
      <w:szCs w:val="28"/>
      <w:lang w:eastAsia="en-US"/>
    </w:rPr>
  </w:style>
  <w:style w:type="character" w:customStyle="1" w:styleId="SubttuloCar">
    <w:name w:val="Subtítulo Car"/>
    <w:basedOn w:val="Fuentedeprrafopredeter"/>
    <w:link w:val="Subttulo"/>
    <w:uiPriority w:val="11"/>
    <w:rsid w:val="000F2600"/>
    <w:rPr>
      <w:rFonts w:asciiTheme="minorHAnsi" w:eastAsiaTheme="minorEastAsia" w:hAnsiTheme="minorHAnsi" w:cstheme="minorBidi"/>
      <w:caps/>
      <w:color w:val="404040" w:themeColor="text1" w:themeTint="BF"/>
      <w:spacing w:val="20"/>
      <w:sz w:val="28"/>
      <w:szCs w:val="28"/>
      <w:lang w:eastAsia="en-US"/>
    </w:rPr>
  </w:style>
  <w:style w:type="paragraph" w:styleId="Sinespaciado">
    <w:name w:val="No Spacing"/>
    <w:aliases w:val="Chulito,CHULO,Segunda viñeta,CHULITO,nada,Cuadro,Sin espaciado1,Viñeta1,VERIFI,Cuadrícula media 21,Sin espaciado11,No Spacing"/>
    <w:link w:val="SinespaciadoCar"/>
    <w:uiPriority w:val="1"/>
    <w:qFormat/>
    <w:rsid w:val="000F2600"/>
    <w:rPr>
      <w:rFonts w:asciiTheme="minorHAnsi" w:eastAsiaTheme="minorEastAsia" w:hAnsiTheme="minorHAnsi" w:cstheme="minorBidi"/>
      <w:sz w:val="21"/>
      <w:szCs w:val="21"/>
    </w:rPr>
  </w:style>
  <w:style w:type="character" w:customStyle="1" w:styleId="SinespaciadoCar">
    <w:name w:val="Sin espaciado Car"/>
    <w:aliases w:val="Chulito Car,CHULO Car,Segunda viñeta Car,CHULITO Car,nada Car,Cuadro Car,Sin espaciado1 Car,Viñeta1 Car,VERIFI Car,Cuadrícula media 21 Car,Sin espaciado11 Car,No Spacing Car"/>
    <w:basedOn w:val="Fuentedeprrafopredeter"/>
    <w:link w:val="Sinespaciado"/>
    <w:uiPriority w:val="1"/>
    <w:rsid w:val="000F2600"/>
    <w:rPr>
      <w:rFonts w:asciiTheme="minorHAnsi" w:eastAsiaTheme="minorEastAsia" w:hAnsiTheme="minorHAnsi" w:cstheme="minorBidi"/>
      <w:sz w:val="21"/>
      <w:szCs w:val="21"/>
      <w:lang w:eastAsia="en-US"/>
    </w:rPr>
  </w:style>
  <w:style w:type="paragraph" w:styleId="HTMLconformatoprevio">
    <w:name w:val="HTML Preformatted"/>
    <w:basedOn w:val="Normal"/>
    <w:link w:val="HTMLconformatoprevioCar"/>
    <w:uiPriority w:val="99"/>
    <w:unhideWhenUsed/>
    <w:rsid w:val="000F2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Cs w:val="20"/>
      <w:lang w:eastAsia="es-CO"/>
    </w:rPr>
  </w:style>
  <w:style w:type="character" w:customStyle="1" w:styleId="HTMLconformatoprevioCar">
    <w:name w:val="HTML con formato previo Car"/>
    <w:basedOn w:val="Fuentedeprrafopredeter"/>
    <w:link w:val="HTMLconformatoprevio"/>
    <w:uiPriority w:val="99"/>
    <w:rsid w:val="000F2600"/>
    <w:rPr>
      <w:rFonts w:ascii="Courier New" w:hAnsi="Courier New" w:cs="Courier New"/>
      <w:szCs w:val="20"/>
    </w:rPr>
  </w:style>
  <w:style w:type="table" w:customStyle="1" w:styleId="Tabladecuadrcula6concolores-nfasis31">
    <w:name w:val="Tabla de cuadrícula 6 con colores - Énfasis 31"/>
    <w:basedOn w:val="Tablanormal"/>
    <w:uiPriority w:val="51"/>
    <w:rsid w:val="000F2600"/>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ituloaparte">
    <w:name w:val="Titulo aparte"/>
    <w:basedOn w:val="Normal"/>
    <w:next w:val="Normal"/>
    <w:link w:val="TituloaparteCar"/>
    <w:qFormat/>
    <w:rsid w:val="000F2600"/>
    <w:pPr>
      <w:numPr>
        <w:numId w:val="6"/>
      </w:numPr>
      <w:overflowPunct/>
      <w:autoSpaceDE/>
      <w:autoSpaceDN/>
      <w:adjustRightInd/>
      <w:jc w:val="center"/>
      <w:textAlignment w:val="auto"/>
    </w:pPr>
    <w:rPr>
      <w:rFonts w:eastAsiaTheme="minorHAnsi" w:cstheme="minorBidi"/>
      <w:b/>
      <w:szCs w:val="22"/>
      <w:lang w:eastAsia="en-US"/>
    </w:rPr>
  </w:style>
  <w:style w:type="character" w:customStyle="1" w:styleId="TituloaparteCar">
    <w:name w:val="Titulo aparte Car"/>
    <w:basedOn w:val="Fuentedeprrafopredeter"/>
    <w:link w:val="Tituloaparte"/>
    <w:rsid w:val="000F2600"/>
    <w:rPr>
      <w:rFonts w:ascii="Arial" w:eastAsiaTheme="minorHAnsi" w:hAnsi="Arial" w:cstheme="minorBidi"/>
      <w:b/>
      <w:szCs w:val="22"/>
      <w:lang w:eastAsia="en-US"/>
    </w:rPr>
  </w:style>
  <w:style w:type="character" w:customStyle="1" w:styleId="Ttulo5Car">
    <w:name w:val="Título 5 Car"/>
    <w:basedOn w:val="Fuentedeprrafopredeter"/>
    <w:link w:val="Ttulo5"/>
    <w:uiPriority w:val="9"/>
    <w:rsid w:val="00FE6680"/>
    <w:rPr>
      <w:rFonts w:ascii="Arial" w:hAnsi="Arial" w:cs="Arial"/>
      <w:b/>
      <w:i/>
      <w:lang w:val="es-ES_tradnl" w:eastAsia="es-ES"/>
    </w:rPr>
  </w:style>
  <w:style w:type="character" w:customStyle="1" w:styleId="Ttulo8Car">
    <w:name w:val="Título 8 Car"/>
    <w:basedOn w:val="Fuentedeprrafopredeter"/>
    <w:link w:val="Ttulo8"/>
    <w:uiPriority w:val="9"/>
    <w:rsid w:val="000F2600"/>
    <w:rPr>
      <w:rFonts w:ascii="Arial" w:hAnsi="Arial"/>
      <w:i/>
      <w:iCs/>
      <w:lang w:val="es-ES" w:eastAsia="es-ES"/>
    </w:rPr>
  </w:style>
  <w:style w:type="paragraph" w:customStyle="1" w:styleId="TITULO1SINNUMERO">
    <w:name w:val="TITULO 1 SIN NUMERO"/>
    <w:basedOn w:val="Ttulo1"/>
    <w:rsid w:val="000F2600"/>
    <w:pPr>
      <w:keepNext/>
      <w:pageBreakBefore/>
      <w:pBdr>
        <w:bottom w:val="single" w:sz="4" w:space="1" w:color="auto"/>
      </w:pBdr>
      <w:spacing w:after="360"/>
    </w:pPr>
    <w:rPr>
      <w:rFonts w:cs="Times New Roman"/>
      <w:bCs/>
      <w:caps/>
      <w:kern w:val="32"/>
      <w:sz w:val="36"/>
      <w:szCs w:val="20"/>
      <w:lang w:val="es-CO"/>
    </w:rPr>
  </w:style>
  <w:style w:type="table" w:customStyle="1" w:styleId="Tablanormal21">
    <w:name w:val="Tabla normal 21"/>
    <w:basedOn w:val="Tablanormal"/>
    <w:uiPriority w:val="42"/>
    <w:rsid w:val="000F260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anormal"/>
    <w:uiPriority w:val="44"/>
    <w:rsid w:val="000F2600"/>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padeldocumentoCar">
    <w:name w:val="Mapa del documento Car"/>
    <w:basedOn w:val="Fuentedeprrafopredeter"/>
    <w:link w:val="Mapadeldocumento"/>
    <w:uiPriority w:val="99"/>
    <w:semiHidden/>
    <w:rsid w:val="000F2600"/>
    <w:rPr>
      <w:rFonts w:ascii="Tahoma" w:hAnsi="Tahoma" w:cs="Tahoma"/>
      <w:shd w:val="clear" w:color="auto" w:fill="000080"/>
      <w:lang w:val="es-ES" w:eastAsia="es-ES"/>
    </w:rPr>
  </w:style>
  <w:style w:type="table" w:customStyle="1" w:styleId="Tabladelista7concolores-nfasis11">
    <w:name w:val="Tabla de lista 7 con colores - Énfasis 11"/>
    <w:basedOn w:val="Tablanormal"/>
    <w:uiPriority w:val="52"/>
    <w:rsid w:val="000F2600"/>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2">
    <w:name w:val="Tabla normal 22"/>
    <w:basedOn w:val="Tablanormal"/>
    <w:uiPriority w:val="42"/>
    <w:rsid w:val="000F260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2">
    <w:name w:val="Tabla normal 42"/>
    <w:basedOn w:val="Tablanormal"/>
    <w:uiPriority w:val="44"/>
    <w:rsid w:val="000F2600"/>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7concolores-nfasis12">
    <w:name w:val="Tabla de lista 7 con colores - Énfasis 12"/>
    <w:basedOn w:val="Tablanormal"/>
    <w:uiPriority w:val="52"/>
    <w:rsid w:val="000F2600"/>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0F2600"/>
    <w:rPr>
      <w:i/>
      <w:iCs/>
    </w:rPr>
  </w:style>
  <w:style w:type="paragraph" w:customStyle="1" w:styleId="CM43">
    <w:name w:val="CM43"/>
    <w:basedOn w:val="Default"/>
    <w:next w:val="Default"/>
    <w:uiPriority w:val="99"/>
    <w:rsid w:val="000F2600"/>
    <w:rPr>
      <w:rFonts w:ascii="Arial" w:eastAsiaTheme="minorHAnsi" w:hAnsi="Arial" w:cs="Arial"/>
      <w:lang w:val="es-CO" w:eastAsia="en-US"/>
    </w:rPr>
  </w:style>
  <w:style w:type="character" w:styleId="Nmerodelnea">
    <w:name w:val="line number"/>
    <w:basedOn w:val="Fuentedeprrafopredeter"/>
    <w:semiHidden/>
    <w:unhideWhenUsed/>
    <w:rsid w:val="00592027"/>
  </w:style>
  <w:style w:type="paragraph" w:customStyle="1" w:styleId="Captulo">
    <w:name w:val="Capítulo"/>
    <w:basedOn w:val="Ttulo1"/>
    <w:rsid w:val="0001433E"/>
  </w:style>
  <w:style w:type="paragraph" w:customStyle="1" w:styleId="Captulosinnumero">
    <w:name w:val="Capítulo sin numero"/>
    <w:basedOn w:val="Captulo"/>
    <w:qFormat/>
    <w:rsid w:val="0001433E"/>
  </w:style>
  <w:style w:type="paragraph" w:customStyle="1" w:styleId="Captulonmero">
    <w:name w:val="Capítulo número"/>
    <w:basedOn w:val="Ttulo1"/>
    <w:qFormat/>
    <w:rsid w:val="0001433E"/>
    <w:pPr>
      <w:numPr>
        <w:numId w:val="4"/>
      </w:numPr>
    </w:pPr>
  </w:style>
  <w:style w:type="character" w:customStyle="1" w:styleId="baj">
    <w:name w:val="b_aj"/>
    <w:basedOn w:val="Fuentedeprrafopredeter"/>
    <w:rsid w:val="009F2868"/>
  </w:style>
  <w:style w:type="character" w:customStyle="1" w:styleId="Mencionar1">
    <w:name w:val="Mencionar1"/>
    <w:basedOn w:val="Fuentedeprrafopredeter"/>
    <w:uiPriority w:val="99"/>
    <w:semiHidden/>
    <w:unhideWhenUsed/>
    <w:rsid w:val="009F2868"/>
    <w:rPr>
      <w:color w:val="2B579A"/>
      <w:shd w:val="clear" w:color="auto" w:fill="E6E6E6"/>
    </w:rPr>
  </w:style>
  <w:style w:type="character" w:customStyle="1" w:styleId="style13">
    <w:name w:val="style13"/>
    <w:basedOn w:val="Fuentedeprrafopredeter"/>
    <w:rsid w:val="009F2868"/>
  </w:style>
  <w:style w:type="paragraph" w:customStyle="1" w:styleId="style131">
    <w:name w:val="style131"/>
    <w:basedOn w:val="Normal"/>
    <w:rsid w:val="004C45FD"/>
    <w:pPr>
      <w:overflowPunct/>
      <w:autoSpaceDE/>
      <w:autoSpaceDN/>
      <w:adjustRightInd/>
      <w:spacing w:before="100" w:beforeAutospacing="1" w:after="100" w:afterAutospacing="1"/>
      <w:textAlignment w:val="auto"/>
    </w:pPr>
    <w:rPr>
      <w:lang w:eastAsia="es-CO"/>
    </w:rPr>
  </w:style>
  <w:style w:type="paragraph" w:customStyle="1" w:styleId="style11">
    <w:name w:val="style11"/>
    <w:basedOn w:val="Normal"/>
    <w:rsid w:val="004C45FD"/>
    <w:pPr>
      <w:overflowPunct/>
      <w:autoSpaceDE/>
      <w:autoSpaceDN/>
      <w:adjustRightInd/>
      <w:spacing w:before="100" w:beforeAutospacing="1" w:after="100" w:afterAutospacing="1"/>
      <w:textAlignment w:val="auto"/>
    </w:pPr>
    <w:rPr>
      <w:lang w:eastAsia="es-CO"/>
    </w:rPr>
  </w:style>
  <w:style w:type="character" w:customStyle="1" w:styleId="style12">
    <w:name w:val="style12"/>
    <w:basedOn w:val="Fuentedeprrafopredeter"/>
    <w:rsid w:val="009F2868"/>
  </w:style>
  <w:style w:type="character" w:customStyle="1" w:styleId="style43">
    <w:name w:val="style43"/>
    <w:basedOn w:val="Fuentedeprrafopredeter"/>
    <w:rsid w:val="009F2868"/>
  </w:style>
  <w:style w:type="paragraph" w:customStyle="1" w:styleId="Diamante">
    <w:name w:val="Diamante"/>
    <w:basedOn w:val="Normal"/>
    <w:autoRedefine/>
    <w:qFormat/>
    <w:rsid w:val="00B949E3"/>
    <w:pPr>
      <w:numPr>
        <w:numId w:val="410"/>
      </w:numPr>
      <w:overflowPunct/>
      <w:autoSpaceDE/>
      <w:autoSpaceDN/>
      <w:adjustRightInd/>
      <w:ind w:left="567" w:hanging="567"/>
      <w:textAlignment w:val="auto"/>
    </w:pPr>
    <w:rPr>
      <w:rFonts w:eastAsia="Calibri"/>
      <w:b/>
      <w:szCs w:val="22"/>
      <w:lang w:eastAsia="en-US"/>
    </w:rPr>
  </w:style>
  <w:style w:type="paragraph" w:customStyle="1" w:styleId="Diamantico">
    <w:name w:val="Diamantico"/>
    <w:basedOn w:val="Normal"/>
    <w:link w:val="DiamanticoCar"/>
    <w:qFormat/>
    <w:rsid w:val="009F2868"/>
    <w:pPr>
      <w:numPr>
        <w:numId w:val="10"/>
      </w:numPr>
      <w:overflowPunct/>
      <w:autoSpaceDE/>
      <w:autoSpaceDN/>
      <w:adjustRightInd/>
      <w:textAlignment w:val="auto"/>
    </w:pPr>
    <w:rPr>
      <w:rFonts w:cs="Arial"/>
      <w:b/>
      <w:sz w:val="20"/>
      <w:szCs w:val="20"/>
    </w:rPr>
  </w:style>
  <w:style w:type="character" w:customStyle="1" w:styleId="DiamanticoCar">
    <w:name w:val="Diamantico Car"/>
    <w:link w:val="Diamantico"/>
    <w:rsid w:val="009F2868"/>
    <w:rPr>
      <w:rFonts w:ascii="Arial" w:hAnsi="Arial" w:cs="Arial"/>
      <w:b/>
      <w:sz w:val="20"/>
      <w:szCs w:val="20"/>
      <w:lang w:val="es-ES" w:eastAsia="es-ES"/>
    </w:rPr>
  </w:style>
  <w:style w:type="paragraph" w:customStyle="1" w:styleId="bolita">
    <w:name w:val="bolita"/>
    <w:basedOn w:val="Sinespaciado"/>
    <w:unhideWhenUsed/>
    <w:qFormat/>
    <w:rsid w:val="009F2868"/>
    <w:pPr>
      <w:numPr>
        <w:numId w:val="11"/>
      </w:numPr>
      <w:jc w:val="both"/>
    </w:pPr>
    <w:rPr>
      <w:rFonts w:ascii="Arial" w:eastAsia="Calibri" w:hAnsi="Arial" w:cs="Arial"/>
      <w:noProof/>
      <w:sz w:val="20"/>
      <w:szCs w:val="24"/>
      <w:lang w:eastAsia="es-CO" w:bidi="en-US"/>
    </w:rPr>
  </w:style>
  <w:style w:type="numbering" w:customStyle="1" w:styleId="Sinlista1">
    <w:name w:val="Sin lista1"/>
    <w:next w:val="Sinlista"/>
    <w:uiPriority w:val="99"/>
    <w:semiHidden/>
    <w:unhideWhenUsed/>
    <w:rsid w:val="009F2868"/>
  </w:style>
  <w:style w:type="character" w:customStyle="1" w:styleId="normaltextrun">
    <w:name w:val="normaltextrun"/>
    <w:basedOn w:val="Fuentedeprrafopredeter"/>
    <w:rsid w:val="00B92F2E"/>
  </w:style>
  <w:style w:type="character" w:customStyle="1" w:styleId="eop">
    <w:name w:val="eop"/>
    <w:basedOn w:val="Fuentedeprrafopredeter"/>
    <w:rsid w:val="00C11E09"/>
  </w:style>
  <w:style w:type="paragraph" w:customStyle="1" w:styleId="paragraph">
    <w:name w:val="paragraph"/>
    <w:basedOn w:val="Normal"/>
    <w:rsid w:val="00C11E09"/>
    <w:pPr>
      <w:overflowPunct/>
      <w:autoSpaceDE/>
      <w:autoSpaceDN/>
      <w:adjustRightInd/>
      <w:spacing w:before="100" w:beforeAutospacing="1" w:after="100" w:afterAutospacing="1"/>
      <w:textAlignment w:val="auto"/>
    </w:pPr>
    <w:rPr>
      <w:lang w:val="en-US" w:eastAsia="en-US"/>
    </w:rPr>
  </w:style>
  <w:style w:type="character" w:customStyle="1" w:styleId="anchor-text">
    <w:name w:val="anchor-text"/>
    <w:basedOn w:val="Fuentedeprrafopredeter"/>
    <w:rsid w:val="001877BD"/>
  </w:style>
  <w:style w:type="character" w:customStyle="1" w:styleId="Mencinsinresolver1">
    <w:name w:val="Mención sin resolver1"/>
    <w:basedOn w:val="Fuentedeprrafopredeter"/>
    <w:uiPriority w:val="99"/>
    <w:semiHidden/>
    <w:unhideWhenUsed/>
    <w:rsid w:val="00A101A4"/>
    <w:rPr>
      <w:color w:val="605E5C"/>
      <w:shd w:val="clear" w:color="auto" w:fill="E1DFDD"/>
    </w:rPr>
  </w:style>
  <w:style w:type="character" w:customStyle="1" w:styleId="Mencinsinresolver2">
    <w:name w:val="Mención sin resolver2"/>
    <w:basedOn w:val="Fuentedeprrafopredeter"/>
    <w:uiPriority w:val="99"/>
    <w:semiHidden/>
    <w:unhideWhenUsed/>
    <w:rsid w:val="006947D2"/>
    <w:rPr>
      <w:color w:val="605E5C"/>
      <w:shd w:val="clear" w:color="auto" w:fill="E1DFDD"/>
    </w:rPr>
  </w:style>
  <w:style w:type="character" w:customStyle="1" w:styleId="Mencinsinresolver3">
    <w:name w:val="Mención sin resolver3"/>
    <w:basedOn w:val="Fuentedeprrafopredeter"/>
    <w:uiPriority w:val="99"/>
    <w:semiHidden/>
    <w:unhideWhenUsed/>
    <w:rsid w:val="002E748A"/>
    <w:rPr>
      <w:color w:val="605E5C"/>
      <w:shd w:val="clear" w:color="auto" w:fill="E1DFDD"/>
    </w:rPr>
  </w:style>
  <w:style w:type="character" w:customStyle="1" w:styleId="mark6o6dnpdvw">
    <w:name w:val="mark6o6dnpdvw"/>
    <w:basedOn w:val="Fuentedeprrafopredeter"/>
    <w:rsid w:val="00D42E26"/>
  </w:style>
  <w:style w:type="character" w:customStyle="1" w:styleId="markh5mgcd5h2">
    <w:name w:val="markh5mgcd5h2"/>
    <w:basedOn w:val="Fuentedeprrafopredeter"/>
    <w:rsid w:val="00D42E26"/>
  </w:style>
  <w:style w:type="character" w:customStyle="1" w:styleId="Mencinsinresolver30">
    <w:name w:val="Mención sin resolver30"/>
    <w:basedOn w:val="Fuentedeprrafopredeter"/>
    <w:uiPriority w:val="99"/>
    <w:semiHidden/>
    <w:unhideWhenUsed/>
    <w:rsid w:val="001D5925"/>
    <w:rPr>
      <w:color w:val="605E5C"/>
      <w:shd w:val="clear" w:color="auto" w:fill="E1DFDD"/>
    </w:rPr>
  </w:style>
  <w:style w:type="character" w:customStyle="1" w:styleId="Mencinsinresolver4">
    <w:name w:val="Mención sin resolver4"/>
    <w:basedOn w:val="Fuentedeprrafopredeter"/>
    <w:uiPriority w:val="99"/>
    <w:semiHidden/>
    <w:unhideWhenUsed/>
    <w:rsid w:val="004F3CBD"/>
    <w:rPr>
      <w:color w:val="605E5C"/>
      <w:shd w:val="clear" w:color="auto" w:fill="E1DFDD"/>
    </w:rPr>
  </w:style>
  <w:style w:type="character" w:customStyle="1" w:styleId="Mencinsinresolver5">
    <w:name w:val="Mención sin resolver5"/>
    <w:basedOn w:val="Fuentedeprrafopredeter"/>
    <w:uiPriority w:val="99"/>
    <w:semiHidden/>
    <w:unhideWhenUsed/>
    <w:rsid w:val="00953095"/>
    <w:rPr>
      <w:color w:val="605E5C"/>
      <w:shd w:val="clear" w:color="auto" w:fill="E1DFDD"/>
    </w:rPr>
  </w:style>
  <w:style w:type="character" w:customStyle="1" w:styleId="Mencinsinresolver300">
    <w:name w:val="Mención sin resolver300"/>
    <w:basedOn w:val="Fuentedeprrafopredeter"/>
    <w:uiPriority w:val="99"/>
    <w:semiHidden/>
    <w:unhideWhenUsed/>
    <w:rsid w:val="009B44F3"/>
    <w:rPr>
      <w:color w:val="605E5C"/>
      <w:shd w:val="clear" w:color="auto" w:fill="E1DFDD"/>
    </w:rPr>
  </w:style>
  <w:style w:type="character" w:customStyle="1" w:styleId="Mencinsinresolver3000">
    <w:name w:val="Mención sin resolver3000"/>
    <w:basedOn w:val="Fuentedeprrafopredeter"/>
    <w:uiPriority w:val="99"/>
    <w:semiHidden/>
    <w:unhideWhenUsed/>
    <w:rsid w:val="00FE4BE4"/>
    <w:rPr>
      <w:color w:val="605E5C"/>
      <w:shd w:val="clear" w:color="auto" w:fill="E1DFDD"/>
    </w:rPr>
  </w:style>
  <w:style w:type="character" w:customStyle="1" w:styleId="Mencinsinresolver6">
    <w:name w:val="Mención sin resolver6"/>
    <w:basedOn w:val="Fuentedeprrafopredeter"/>
    <w:uiPriority w:val="99"/>
    <w:semiHidden/>
    <w:unhideWhenUsed/>
    <w:rsid w:val="00A31B8C"/>
    <w:rPr>
      <w:color w:val="605E5C"/>
      <w:shd w:val="clear" w:color="auto" w:fill="E1DFDD"/>
    </w:rPr>
  </w:style>
  <w:style w:type="character" w:customStyle="1" w:styleId="term">
    <w:name w:val="term"/>
    <w:basedOn w:val="Fuentedeprrafopredeter"/>
    <w:rsid w:val="00DB60CF"/>
  </w:style>
  <w:style w:type="character" w:customStyle="1" w:styleId="A3">
    <w:name w:val="A3"/>
    <w:uiPriority w:val="99"/>
    <w:rsid w:val="00792F74"/>
    <w:rPr>
      <w:rFonts w:cs="Work Sans"/>
      <w:color w:val="000000"/>
      <w:sz w:val="22"/>
      <w:szCs w:val="22"/>
    </w:rPr>
  </w:style>
  <w:style w:type="character" w:customStyle="1" w:styleId="Mencinsinresolver7">
    <w:name w:val="Mención sin resolver7"/>
    <w:basedOn w:val="Fuentedeprrafopredeter"/>
    <w:uiPriority w:val="99"/>
    <w:semiHidden/>
    <w:unhideWhenUsed/>
    <w:rsid w:val="00AF3811"/>
    <w:rPr>
      <w:color w:val="605E5C"/>
      <w:shd w:val="clear" w:color="auto" w:fill="E1DFDD"/>
    </w:rPr>
  </w:style>
  <w:style w:type="character" w:customStyle="1" w:styleId="Mencinsinresolver8">
    <w:name w:val="Mención sin resolver8"/>
    <w:basedOn w:val="Fuentedeprrafopredeter"/>
    <w:uiPriority w:val="99"/>
    <w:semiHidden/>
    <w:unhideWhenUsed/>
    <w:rsid w:val="001C7D44"/>
    <w:rPr>
      <w:color w:val="605E5C"/>
      <w:shd w:val="clear" w:color="auto" w:fill="E1DFDD"/>
    </w:rPr>
  </w:style>
  <w:style w:type="character" w:customStyle="1" w:styleId="Mencinsinresolver9">
    <w:name w:val="Mención sin resolver9"/>
    <w:basedOn w:val="Fuentedeprrafopredeter"/>
    <w:uiPriority w:val="99"/>
    <w:semiHidden/>
    <w:unhideWhenUsed/>
    <w:rsid w:val="008C1DB0"/>
    <w:rPr>
      <w:color w:val="605E5C"/>
      <w:shd w:val="clear" w:color="auto" w:fill="E1DFDD"/>
    </w:rPr>
  </w:style>
  <w:style w:type="table" w:styleId="Tablaconcuadrcula2-nfasis1">
    <w:name w:val="Grid Table 2 Accent 1"/>
    <w:basedOn w:val="Tablanormal"/>
    <w:uiPriority w:val="47"/>
    <w:rsid w:val="007D4645"/>
    <w:rPr>
      <w:rFonts w:asciiTheme="minorHAnsi" w:eastAsiaTheme="minorHAnsi" w:hAnsiTheme="minorHAnsi" w:cstheme="minorBidi"/>
      <w:sz w:val="22"/>
      <w:szCs w:val="22"/>
      <w:lang w:val="es-MX"/>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EC5EDE"/>
    <w:rPr>
      <w:color w:val="605E5C"/>
      <w:shd w:val="clear" w:color="auto" w:fill="E1DFDD"/>
    </w:rPr>
  </w:style>
  <w:style w:type="character" w:customStyle="1" w:styleId="ui-provider">
    <w:name w:val="ui-provider"/>
    <w:basedOn w:val="Fuentedeprrafopredeter"/>
    <w:rsid w:val="0004436C"/>
  </w:style>
  <w:style w:type="character" w:styleId="Mencionar">
    <w:name w:val="Mention"/>
    <w:basedOn w:val="Fuentedeprrafopredeter"/>
    <w:uiPriority w:val="99"/>
    <w:unhideWhenUsed/>
    <w:rsid w:val="003C214D"/>
    <w:rPr>
      <w:color w:val="2B579A"/>
      <w:shd w:val="clear" w:color="auto" w:fill="E1DFDD"/>
    </w:rPr>
  </w:style>
  <w:style w:type="table" w:styleId="Tablaconcuadrculaclara">
    <w:name w:val="Grid Table Light"/>
    <w:basedOn w:val="Tablanormal"/>
    <w:uiPriority w:val="40"/>
    <w:rsid w:val="00F8386D"/>
    <w:rPr>
      <w:rFonts w:asciiTheme="minorHAnsi" w:eastAsiaTheme="minorHAnsi" w:hAnsiTheme="minorHAnsi" w:cstheme="minorBidi"/>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264">
      <w:bodyDiv w:val="1"/>
      <w:marLeft w:val="0"/>
      <w:marRight w:val="0"/>
      <w:marTop w:val="0"/>
      <w:marBottom w:val="0"/>
      <w:divBdr>
        <w:top w:val="none" w:sz="0" w:space="0" w:color="auto"/>
        <w:left w:val="none" w:sz="0" w:space="0" w:color="auto"/>
        <w:bottom w:val="none" w:sz="0" w:space="0" w:color="auto"/>
        <w:right w:val="none" w:sz="0" w:space="0" w:color="auto"/>
      </w:divBdr>
    </w:div>
    <w:div w:id="4401994">
      <w:bodyDiv w:val="1"/>
      <w:marLeft w:val="0"/>
      <w:marRight w:val="0"/>
      <w:marTop w:val="0"/>
      <w:marBottom w:val="0"/>
      <w:divBdr>
        <w:top w:val="none" w:sz="0" w:space="0" w:color="auto"/>
        <w:left w:val="none" w:sz="0" w:space="0" w:color="auto"/>
        <w:bottom w:val="none" w:sz="0" w:space="0" w:color="auto"/>
        <w:right w:val="none" w:sz="0" w:space="0" w:color="auto"/>
      </w:divBdr>
    </w:div>
    <w:div w:id="58945715">
      <w:bodyDiv w:val="1"/>
      <w:marLeft w:val="0"/>
      <w:marRight w:val="0"/>
      <w:marTop w:val="0"/>
      <w:marBottom w:val="0"/>
      <w:divBdr>
        <w:top w:val="none" w:sz="0" w:space="0" w:color="auto"/>
        <w:left w:val="none" w:sz="0" w:space="0" w:color="auto"/>
        <w:bottom w:val="none" w:sz="0" w:space="0" w:color="auto"/>
        <w:right w:val="none" w:sz="0" w:space="0" w:color="auto"/>
      </w:divBdr>
      <w:divsChild>
        <w:div w:id="1101610345">
          <w:marLeft w:val="0"/>
          <w:marRight w:val="0"/>
          <w:marTop w:val="0"/>
          <w:marBottom w:val="0"/>
          <w:divBdr>
            <w:top w:val="none" w:sz="0" w:space="0" w:color="auto"/>
            <w:left w:val="none" w:sz="0" w:space="0" w:color="auto"/>
            <w:bottom w:val="none" w:sz="0" w:space="0" w:color="auto"/>
            <w:right w:val="none" w:sz="0" w:space="0" w:color="auto"/>
          </w:divBdr>
        </w:div>
      </w:divsChild>
    </w:div>
    <w:div w:id="63335464">
      <w:bodyDiv w:val="1"/>
      <w:marLeft w:val="0"/>
      <w:marRight w:val="0"/>
      <w:marTop w:val="0"/>
      <w:marBottom w:val="0"/>
      <w:divBdr>
        <w:top w:val="none" w:sz="0" w:space="0" w:color="auto"/>
        <w:left w:val="none" w:sz="0" w:space="0" w:color="auto"/>
        <w:bottom w:val="none" w:sz="0" w:space="0" w:color="auto"/>
        <w:right w:val="none" w:sz="0" w:space="0" w:color="auto"/>
      </w:divBdr>
    </w:div>
    <w:div w:id="114839303">
      <w:bodyDiv w:val="1"/>
      <w:marLeft w:val="0"/>
      <w:marRight w:val="0"/>
      <w:marTop w:val="0"/>
      <w:marBottom w:val="0"/>
      <w:divBdr>
        <w:top w:val="none" w:sz="0" w:space="0" w:color="auto"/>
        <w:left w:val="none" w:sz="0" w:space="0" w:color="auto"/>
        <w:bottom w:val="none" w:sz="0" w:space="0" w:color="auto"/>
        <w:right w:val="none" w:sz="0" w:space="0" w:color="auto"/>
      </w:divBdr>
    </w:div>
    <w:div w:id="121121204">
      <w:bodyDiv w:val="1"/>
      <w:marLeft w:val="0"/>
      <w:marRight w:val="0"/>
      <w:marTop w:val="0"/>
      <w:marBottom w:val="0"/>
      <w:divBdr>
        <w:top w:val="none" w:sz="0" w:space="0" w:color="auto"/>
        <w:left w:val="none" w:sz="0" w:space="0" w:color="auto"/>
        <w:bottom w:val="none" w:sz="0" w:space="0" w:color="auto"/>
        <w:right w:val="none" w:sz="0" w:space="0" w:color="auto"/>
      </w:divBdr>
    </w:div>
    <w:div w:id="125894773">
      <w:bodyDiv w:val="1"/>
      <w:marLeft w:val="0"/>
      <w:marRight w:val="0"/>
      <w:marTop w:val="0"/>
      <w:marBottom w:val="0"/>
      <w:divBdr>
        <w:top w:val="none" w:sz="0" w:space="0" w:color="auto"/>
        <w:left w:val="none" w:sz="0" w:space="0" w:color="auto"/>
        <w:bottom w:val="none" w:sz="0" w:space="0" w:color="auto"/>
        <w:right w:val="none" w:sz="0" w:space="0" w:color="auto"/>
      </w:divBdr>
    </w:div>
    <w:div w:id="140736713">
      <w:bodyDiv w:val="1"/>
      <w:marLeft w:val="0"/>
      <w:marRight w:val="0"/>
      <w:marTop w:val="0"/>
      <w:marBottom w:val="0"/>
      <w:divBdr>
        <w:top w:val="none" w:sz="0" w:space="0" w:color="auto"/>
        <w:left w:val="none" w:sz="0" w:space="0" w:color="auto"/>
        <w:bottom w:val="none" w:sz="0" w:space="0" w:color="auto"/>
        <w:right w:val="none" w:sz="0" w:space="0" w:color="auto"/>
      </w:divBdr>
    </w:div>
    <w:div w:id="155189931">
      <w:bodyDiv w:val="1"/>
      <w:marLeft w:val="0"/>
      <w:marRight w:val="0"/>
      <w:marTop w:val="0"/>
      <w:marBottom w:val="0"/>
      <w:divBdr>
        <w:top w:val="none" w:sz="0" w:space="0" w:color="auto"/>
        <w:left w:val="none" w:sz="0" w:space="0" w:color="auto"/>
        <w:bottom w:val="none" w:sz="0" w:space="0" w:color="auto"/>
        <w:right w:val="none" w:sz="0" w:space="0" w:color="auto"/>
      </w:divBdr>
    </w:div>
    <w:div w:id="174198032">
      <w:bodyDiv w:val="1"/>
      <w:marLeft w:val="0"/>
      <w:marRight w:val="0"/>
      <w:marTop w:val="0"/>
      <w:marBottom w:val="0"/>
      <w:divBdr>
        <w:top w:val="none" w:sz="0" w:space="0" w:color="auto"/>
        <w:left w:val="none" w:sz="0" w:space="0" w:color="auto"/>
        <w:bottom w:val="none" w:sz="0" w:space="0" w:color="auto"/>
        <w:right w:val="none" w:sz="0" w:space="0" w:color="auto"/>
      </w:divBdr>
      <w:divsChild>
        <w:div w:id="445151078">
          <w:marLeft w:val="0"/>
          <w:marRight w:val="0"/>
          <w:marTop w:val="0"/>
          <w:marBottom w:val="0"/>
          <w:divBdr>
            <w:top w:val="none" w:sz="0" w:space="0" w:color="auto"/>
            <w:left w:val="none" w:sz="0" w:space="0" w:color="auto"/>
            <w:bottom w:val="none" w:sz="0" w:space="0" w:color="auto"/>
            <w:right w:val="none" w:sz="0" w:space="0" w:color="auto"/>
          </w:divBdr>
        </w:div>
        <w:div w:id="795493275">
          <w:marLeft w:val="0"/>
          <w:marRight w:val="0"/>
          <w:marTop w:val="0"/>
          <w:marBottom w:val="0"/>
          <w:divBdr>
            <w:top w:val="none" w:sz="0" w:space="0" w:color="auto"/>
            <w:left w:val="none" w:sz="0" w:space="0" w:color="auto"/>
            <w:bottom w:val="none" w:sz="0" w:space="0" w:color="auto"/>
            <w:right w:val="none" w:sz="0" w:space="0" w:color="auto"/>
          </w:divBdr>
        </w:div>
        <w:div w:id="1103037090">
          <w:marLeft w:val="0"/>
          <w:marRight w:val="0"/>
          <w:marTop w:val="0"/>
          <w:marBottom w:val="0"/>
          <w:divBdr>
            <w:top w:val="none" w:sz="0" w:space="0" w:color="auto"/>
            <w:left w:val="none" w:sz="0" w:space="0" w:color="auto"/>
            <w:bottom w:val="none" w:sz="0" w:space="0" w:color="auto"/>
            <w:right w:val="none" w:sz="0" w:space="0" w:color="auto"/>
          </w:divBdr>
        </w:div>
      </w:divsChild>
    </w:div>
    <w:div w:id="196938726">
      <w:bodyDiv w:val="1"/>
      <w:marLeft w:val="0"/>
      <w:marRight w:val="0"/>
      <w:marTop w:val="0"/>
      <w:marBottom w:val="0"/>
      <w:divBdr>
        <w:top w:val="none" w:sz="0" w:space="0" w:color="auto"/>
        <w:left w:val="none" w:sz="0" w:space="0" w:color="auto"/>
        <w:bottom w:val="none" w:sz="0" w:space="0" w:color="auto"/>
        <w:right w:val="none" w:sz="0" w:space="0" w:color="auto"/>
      </w:divBdr>
    </w:div>
    <w:div w:id="202332332">
      <w:bodyDiv w:val="1"/>
      <w:marLeft w:val="0"/>
      <w:marRight w:val="0"/>
      <w:marTop w:val="0"/>
      <w:marBottom w:val="0"/>
      <w:divBdr>
        <w:top w:val="none" w:sz="0" w:space="0" w:color="auto"/>
        <w:left w:val="none" w:sz="0" w:space="0" w:color="auto"/>
        <w:bottom w:val="none" w:sz="0" w:space="0" w:color="auto"/>
        <w:right w:val="none" w:sz="0" w:space="0" w:color="auto"/>
      </w:divBdr>
    </w:div>
    <w:div w:id="204567397">
      <w:bodyDiv w:val="1"/>
      <w:marLeft w:val="0"/>
      <w:marRight w:val="0"/>
      <w:marTop w:val="0"/>
      <w:marBottom w:val="0"/>
      <w:divBdr>
        <w:top w:val="none" w:sz="0" w:space="0" w:color="auto"/>
        <w:left w:val="none" w:sz="0" w:space="0" w:color="auto"/>
        <w:bottom w:val="none" w:sz="0" w:space="0" w:color="auto"/>
        <w:right w:val="none" w:sz="0" w:space="0" w:color="auto"/>
      </w:divBdr>
    </w:div>
    <w:div w:id="205532161">
      <w:bodyDiv w:val="1"/>
      <w:marLeft w:val="0"/>
      <w:marRight w:val="0"/>
      <w:marTop w:val="0"/>
      <w:marBottom w:val="0"/>
      <w:divBdr>
        <w:top w:val="none" w:sz="0" w:space="0" w:color="auto"/>
        <w:left w:val="none" w:sz="0" w:space="0" w:color="auto"/>
        <w:bottom w:val="none" w:sz="0" w:space="0" w:color="auto"/>
        <w:right w:val="none" w:sz="0" w:space="0" w:color="auto"/>
      </w:divBdr>
    </w:div>
    <w:div w:id="228468769">
      <w:bodyDiv w:val="1"/>
      <w:marLeft w:val="0"/>
      <w:marRight w:val="0"/>
      <w:marTop w:val="0"/>
      <w:marBottom w:val="0"/>
      <w:divBdr>
        <w:top w:val="none" w:sz="0" w:space="0" w:color="auto"/>
        <w:left w:val="none" w:sz="0" w:space="0" w:color="auto"/>
        <w:bottom w:val="none" w:sz="0" w:space="0" w:color="auto"/>
        <w:right w:val="none" w:sz="0" w:space="0" w:color="auto"/>
      </w:divBdr>
    </w:div>
    <w:div w:id="237519696">
      <w:bodyDiv w:val="1"/>
      <w:marLeft w:val="0"/>
      <w:marRight w:val="0"/>
      <w:marTop w:val="0"/>
      <w:marBottom w:val="0"/>
      <w:divBdr>
        <w:top w:val="none" w:sz="0" w:space="0" w:color="auto"/>
        <w:left w:val="none" w:sz="0" w:space="0" w:color="auto"/>
        <w:bottom w:val="none" w:sz="0" w:space="0" w:color="auto"/>
        <w:right w:val="none" w:sz="0" w:space="0" w:color="auto"/>
      </w:divBdr>
    </w:div>
    <w:div w:id="258225034">
      <w:bodyDiv w:val="1"/>
      <w:marLeft w:val="0"/>
      <w:marRight w:val="0"/>
      <w:marTop w:val="0"/>
      <w:marBottom w:val="0"/>
      <w:divBdr>
        <w:top w:val="none" w:sz="0" w:space="0" w:color="auto"/>
        <w:left w:val="none" w:sz="0" w:space="0" w:color="auto"/>
        <w:bottom w:val="none" w:sz="0" w:space="0" w:color="auto"/>
        <w:right w:val="none" w:sz="0" w:space="0" w:color="auto"/>
      </w:divBdr>
    </w:div>
    <w:div w:id="271593858">
      <w:bodyDiv w:val="1"/>
      <w:marLeft w:val="0"/>
      <w:marRight w:val="0"/>
      <w:marTop w:val="0"/>
      <w:marBottom w:val="0"/>
      <w:divBdr>
        <w:top w:val="none" w:sz="0" w:space="0" w:color="auto"/>
        <w:left w:val="none" w:sz="0" w:space="0" w:color="auto"/>
        <w:bottom w:val="none" w:sz="0" w:space="0" w:color="auto"/>
        <w:right w:val="none" w:sz="0" w:space="0" w:color="auto"/>
      </w:divBdr>
    </w:div>
    <w:div w:id="272053616">
      <w:bodyDiv w:val="1"/>
      <w:marLeft w:val="0"/>
      <w:marRight w:val="0"/>
      <w:marTop w:val="0"/>
      <w:marBottom w:val="0"/>
      <w:divBdr>
        <w:top w:val="none" w:sz="0" w:space="0" w:color="auto"/>
        <w:left w:val="none" w:sz="0" w:space="0" w:color="auto"/>
        <w:bottom w:val="none" w:sz="0" w:space="0" w:color="auto"/>
        <w:right w:val="none" w:sz="0" w:space="0" w:color="auto"/>
      </w:divBdr>
    </w:div>
    <w:div w:id="279840850">
      <w:bodyDiv w:val="1"/>
      <w:marLeft w:val="0"/>
      <w:marRight w:val="0"/>
      <w:marTop w:val="0"/>
      <w:marBottom w:val="0"/>
      <w:divBdr>
        <w:top w:val="none" w:sz="0" w:space="0" w:color="auto"/>
        <w:left w:val="none" w:sz="0" w:space="0" w:color="auto"/>
        <w:bottom w:val="none" w:sz="0" w:space="0" w:color="auto"/>
        <w:right w:val="none" w:sz="0" w:space="0" w:color="auto"/>
      </w:divBdr>
    </w:div>
    <w:div w:id="289632794">
      <w:bodyDiv w:val="1"/>
      <w:marLeft w:val="0"/>
      <w:marRight w:val="0"/>
      <w:marTop w:val="0"/>
      <w:marBottom w:val="0"/>
      <w:divBdr>
        <w:top w:val="none" w:sz="0" w:space="0" w:color="auto"/>
        <w:left w:val="none" w:sz="0" w:space="0" w:color="auto"/>
        <w:bottom w:val="none" w:sz="0" w:space="0" w:color="auto"/>
        <w:right w:val="none" w:sz="0" w:space="0" w:color="auto"/>
      </w:divBdr>
    </w:div>
    <w:div w:id="309017058">
      <w:bodyDiv w:val="1"/>
      <w:marLeft w:val="0"/>
      <w:marRight w:val="0"/>
      <w:marTop w:val="0"/>
      <w:marBottom w:val="0"/>
      <w:divBdr>
        <w:top w:val="none" w:sz="0" w:space="0" w:color="auto"/>
        <w:left w:val="none" w:sz="0" w:space="0" w:color="auto"/>
        <w:bottom w:val="none" w:sz="0" w:space="0" w:color="auto"/>
        <w:right w:val="none" w:sz="0" w:space="0" w:color="auto"/>
      </w:divBdr>
    </w:div>
    <w:div w:id="314921813">
      <w:bodyDiv w:val="1"/>
      <w:marLeft w:val="0"/>
      <w:marRight w:val="0"/>
      <w:marTop w:val="0"/>
      <w:marBottom w:val="0"/>
      <w:divBdr>
        <w:top w:val="none" w:sz="0" w:space="0" w:color="auto"/>
        <w:left w:val="none" w:sz="0" w:space="0" w:color="auto"/>
        <w:bottom w:val="none" w:sz="0" w:space="0" w:color="auto"/>
        <w:right w:val="none" w:sz="0" w:space="0" w:color="auto"/>
      </w:divBdr>
    </w:div>
    <w:div w:id="319575210">
      <w:bodyDiv w:val="1"/>
      <w:marLeft w:val="0"/>
      <w:marRight w:val="0"/>
      <w:marTop w:val="0"/>
      <w:marBottom w:val="0"/>
      <w:divBdr>
        <w:top w:val="none" w:sz="0" w:space="0" w:color="auto"/>
        <w:left w:val="none" w:sz="0" w:space="0" w:color="auto"/>
        <w:bottom w:val="none" w:sz="0" w:space="0" w:color="auto"/>
        <w:right w:val="none" w:sz="0" w:space="0" w:color="auto"/>
      </w:divBdr>
    </w:div>
    <w:div w:id="356581434">
      <w:bodyDiv w:val="1"/>
      <w:marLeft w:val="0"/>
      <w:marRight w:val="0"/>
      <w:marTop w:val="0"/>
      <w:marBottom w:val="0"/>
      <w:divBdr>
        <w:top w:val="none" w:sz="0" w:space="0" w:color="auto"/>
        <w:left w:val="none" w:sz="0" w:space="0" w:color="auto"/>
        <w:bottom w:val="none" w:sz="0" w:space="0" w:color="auto"/>
        <w:right w:val="none" w:sz="0" w:space="0" w:color="auto"/>
      </w:divBdr>
    </w:div>
    <w:div w:id="377314635">
      <w:bodyDiv w:val="1"/>
      <w:marLeft w:val="0"/>
      <w:marRight w:val="0"/>
      <w:marTop w:val="0"/>
      <w:marBottom w:val="0"/>
      <w:divBdr>
        <w:top w:val="none" w:sz="0" w:space="0" w:color="auto"/>
        <w:left w:val="none" w:sz="0" w:space="0" w:color="auto"/>
        <w:bottom w:val="none" w:sz="0" w:space="0" w:color="auto"/>
        <w:right w:val="none" w:sz="0" w:space="0" w:color="auto"/>
      </w:divBdr>
    </w:div>
    <w:div w:id="379861947">
      <w:bodyDiv w:val="1"/>
      <w:marLeft w:val="0"/>
      <w:marRight w:val="0"/>
      <w:marTop w:val="0"/>
      <w:marBottom w:val="0"/>
      <w:divBdr>
        <w:top w:val="none" w:sz="0" w:space="0" w:color="auto"/>
        <w:left w:val="none" w:sz="0" w:space="0" w:color="auto"/>
        <w:bottom w:val="none" w:sz="0" w:space="0" w:color="auto"/>
        <w:right w:val="none" w:sz="0" w:space="0" w:color="auto"/>
      </w:divBdr>
    </w:div>
    <w:div w:id="403914589">
      <w:bodyDiv w:val="1"/>
      <w:marLeft w:val="0"/>
      <w:marRight w:val="0"/>
      <w:marTop w:val="0"/>
      <w:marBottom w:val="0"/>
      <w:divBdr>
        <w:top w:val="none" w:sz="0" w:space="0" w:color="auto"/>
        <w:left w:val="none" w:sz="0" w:space="0" w:color="auto"/>
        <w:bottom w:val="none" w:sz="0" w:space="0" w:color="auto"/>
        <w:right w:val="none" w:sz="0" w:space="0" w:color="auto"/>
      </w:divBdr>
    </w:div>
    <w:div w:id="406809076">
      <w:bodyDiv w:val="1"/>
      <w:marLeft w:val="0"/>
      <w:marRight w:val="0"/>
      <w:marTop w:val="0"/>
      <w:marBottom w:val="0"/>
      <w:divBdr>
        <w:top w:val="none" w:sz="0" w:space="0" w:color="auto"/>
        <w:left w:val="none" w:sz="0" w:space="0" w:color="auto"/>
        <w:bottom w:val="none" w:sz="0" w:space="0" w:color="auto"/>
        <w:right w:val="none" w:sz="0" w:space="0" w:color="auto"/>
      </w:divBdr>
    </w:div>
    <w:div w:id="422266946">
      <w:bodyDiv w:val="1"/>
      <w:marLeft w:val="0"/>
      <w:marRight w:val="0"/>
      <w:marTop w:val="0"/>
      <w:marBottom w:val="0"/>
      <w:divBdr>
        <w:top w:val="none" w:sz="0" w:space="0" w:color="auto"/>
        <w:left w:val="none" w:sz="0" w:space="0" w:color="auto"/>
        <w:bottom w:val="none" w:sz="0" w:space="0" w:color="auto"/>
        <w:right w:val="none" w:sz="0" w:space="0" w:color="auto"/>
      </w:divBdr>
    </w:div>
    <w:div w:id="430584956">
      <w:bodyDiv w:val="1"/>
      <w:marLeft w:val="0"/>
      <w:marRight w:val="0"/>
      <w:marTop w:val="0"/>
      <w:marBottom w:val="0"/>
      <w:divBdr>
        <w:top w:val="none" w:sz="0" w:space="0" w:color="auto"/>
        <w:left w:val="none" w:sz="0" w:space="0" w:color="auto"/>
        <w:bottom w:val="none" w:sz="0" w:space="0" w:color="auto"/>
        <w:right w:val="none" w:sz="0" w:space="0" w:color="auto"/>
      </w:divBdr>
    </w:div>
    <w:div w:id="433476122">
      <w:bodyDiv w:val="1"/>
      <w:marLeft w:val="0"/>
      <w:marRight w:val="0"/>
      <w:marTop w:val="0"/>
      <w:marBottom w:val="0"/>
      <w:divBdr>
        <w:top w:val="none" w:sz="0" w:space="0" w:color="auto"/>
        <w:left w:val="none" w:sz="0" w:space="0" w:color="auto"/>
        <w:bottom w:val="none" w:sz="0" w:space="0" w:color="auto"/>
        <w:right w:val="none" w:sz="0" w:space="0" w:color="auto"/>
      </w:divBdr>
    </w:div>
    <w:div w:id="441341558">
      <w:bodyDiv w:val="1"/>
      <w:marLeft w:val="0"/>
      <w:marRight w:val="0"/>
      <w:marTop w:val="0"/>
      <w:marBottom w:val="0"/>
      <w:divBdr>
        <w:top w:val="none" w:sz="0" w:space="0" w:color="auto"/>
        <w:left w:val="none" w:sz="0" w:space="0" w:color="auto"/>
        <w:bottom w:val="none" w:sz="0" w:space="0" w:color="auto"/>
        <w:right w:val="none" w:sz="0" w:space="0" w:color="auto"/>
      </w:divBdr>
    </w:div>
    <w:div w:id="451898915">
      <w:bodyDiv w:val="1"/>
      <w:marLeft w:val="0"/>
      <w:marRight w:val="0"/>
      <w:marTop w:val="0"/>
      <w:marBottom w:val="0"/>
      <w:divBdr>
        <w:top w:val="none" w:sz="0" w:space="0" w:color="auto"/>
        <w:left w:val="none" w:sz="0" w:space="0" w:color="auto"/>
        <w:bottom w:val="none" w:sz="0" w:space="0" w:color="auto"/>
        <w:right w:val="none" w:sz="0" w:space="0" w:color="auto"/>
      </w:divBdr>
    </w:div>
    <w:div w:id="459037823">
      <w:bodyDiv w:val="1"/>
      <w:marLeft w:val="0"/>
      <w:marRight w:val="0"/>
      <w:marTop w:val="0"/>
      <w:marBottom w:val="0"/>
      <w:divBdr>
        <w:top w:val="none" w:sz="0" w:space="0" w:color="auto"/>
        <w:left w:val="none" w:sz="0" w:space="0" w:color="auto"/>
        <w:bottom w:val="none" w:sz="0" w:space="0" w:color="auto"/>
        <w:right w:val="none" w:sz="0" w:space="0" w:color="auto"/>
      </w:divBdr>
    </w:div>
    <w:div w:id="472262319">
      <w:bodyDiv w:val="1"/>
      <w:marLeft w:val="0"/>
      <w:marRight w:val="0"/>
      <w:marTop w:val="0"/>
      <w:marBottom w:val="0"/>
      <w:divBdr>
        <w:top w:val="none" w:sz="0" w:space="0" w:color="auto"/>
        <w:left w:val="none" w:sz="0" w:space="0" w:color="auto"/>
        <w:bottom w:val="none" w:sz="0" w:space="0" w:color="auto"/>
        <w:right w:val="none" w:sz="0" w:space="0" w:color="auto"/>
      </w:divBdr>
    </w:div>
    <w:div w:id="486164958">
      <w:bodyDiv w:val="1"/>
      <w:marLeft w:val="0"/>
      <w:marRight w:val="0"/>
      <w:marTop w:val="0"/>
      <w:marBottom w:val="0"/>
      <w:divBdr>
        <w:top w:val="none" w:sz="0" w:space="0" w:color="auto"/>
        <w:left w:val="none" w:sz="0" w:space="0" w:color="auto"/>
        <w:bottom w:val="none" w:sz="0" w:space="0" w:color="auto"/>
        <w:right w:val="none" w:sz="0" w:space="0" w:color="auto"/>
      </w:divBdr>
    </w:div>
    <w:div w:id="490294996">
      <w:bodyDiv w:val="1"/>
      <w:marLeft w:val="0"/>
      <w:marRight w:val="0"/>
      <w:marTop w:val="0"/>
      <w:marBottom w:val="0"/>
      <w:divBdr>
        <w:top w:val="none" w:sz="0" w:space="0" w:color="auto"/>
        <w:left w:val="none" w:sz="0" w:space="0" w:color="auto"/>
        <w:bottom w:val="none" w:sz="0" w:space="0" w:color="auto"/>
        <w:right w:val="none" w:sz="0" w:space="0" w:color="auto"/>
      </w:divBdr>
    </w:div>
    <w:div w:id="495341758">
      <w:bodyDiv w:val="1"/>
      <w:marLeft w:val="0"/>
      <w:marRight w:val="0"/>
      <w:marTop w:val="0"/>
      <w:marBottom w:val="0"/>
      <w:divBdr>
        <w:top w:val="none" w:sz="0" w:space="0" w:color="auto"/>
        <w:left w:val="none" w:sz="0" w:space="0" w:color="auto"/>
        <w:bottom w:val="none" w:sz="0" w:space="0" w:color="auto"/>
        <w:right w:val="none" w:sz="0" w:space="0" w:color="auto"/>
      </w:divBdr>
      <w:divsChild>
        <w:div w:id="1060787033">
          <w:marLeft w:val="0"/>
          <w:marRight w:val="0"/>
          <w:marTop w:val="0"/>
          <w:marBottom w:val="0"/>
          <w:divBdr>
            <w:top w:val="none" w:sz="0" w:space="0" w:color="auto"/>
            <w:left w:val="none" w:sz="0" w:space="0" w:color="auto"/>
            <w:bottom w:val="none" w:sz="0" w:space="0" w:color="auto"/>
            <w:right w:val="none" w:sz="0" w:space="0" w:color="auto"/>
          </w:divBdr>
          <w:divsChild>
            <w:div w:id="1277370612">
              <w:marLeft w:val="0"/>
              <w:marRight w:val="0"/>
              <w:marTop w:val="0"/>
              <w:marBottom w:val="15"/>
              <w:divBdr>
                <w:top w:val="none" w:sz="0" w:space="0" w:color="auto"/>
                <w:left w:val="none" w:sz="0" w:space="0" w:color="auto"/>
                <w:bottom w:val="none" w:sz="0" w:space="0" w:color="auto"/>
                <w:right w:val="none" w:sz="0" w:space="0" w:color="auto"/>
              </w:divBdr>
              <w:divsChild>
                <w:div w:id="838540679">
                  <w:marLeft w:val="0"/>
                  <w:marRight w:val="0"/>
                  <w:marTop w:val="0"/>
                  <w:marBottom w:val="0"/>
                  <w:divBdr>
                    <w:top w:val="none" w:sz="0" w:space="0" w:color="auto"/>
                    <w:left w:val="none" w:sz="0" w:space="0" w:color="auto"/>
                    <w:bottom w:val="none" w:sz="0" w:space="0" w:color="auto"/>
                    <w:right w:val="none" w:sz="0" w:space="0" w:color="auto"/>
                  </w:divBdr>
                  <w:divsChild>
                    <w:div w:id="1693335351">
                      <w:marLeft w:val="0"/>
                      <w:marRight w:val="0"/>
                      <w:marTop w:val="0"/>
                      <w:marBottom w:val="0"/>
                      <w:divBdr>
                        <w:top w:val="none" w:sz="0" w:space="0" w:color="auto"/>
                        <w:left w:val="none" w:sz="0" w:space="0" w:color="auto"/>
                        <w:bottom w:val="none" w:sz="0" w:space="0" w:color="auto"/>
                        <w:right w:val="none" w:sz="0" w:space="0" w:color="auto"/>
                      </w:divBdr>
                      <w:divsChild>
                        <w:div w:id="1096555588">
                          <w:marLeft w:val="0"/>
                          <w:marRight w:val="0"/>
                          <w:marTop w:val="0"/>
                          <w:marBottom w:val="0"/>
                          <w:divBdr>
                            <w:top w:val="none" w:sz="0" w:space="0" w:color="auto"/>
                            <w:left w:val="none" w:sz="0" w:space="0" w:color="auto"/>
                            <w:bottom w:val="none" w:sz="0" w:space="0" w:color="auto"/>
                            <w:right w:val="none" w:sz="0" w:space="0" w:color="auto"/>
                          </w:divBdr>
                          <w:divsChild>
                            <w:div w:id="1390033489">
                              <w:marLeft w:val="0"/>
                              <w:marRight w:val="0"/>
                              <w:marTop w:val="0"/>
                              <w:marBottom w:val="0"/>
                              <w:divBdr>
                                <w:top w:val="none" w:sz="0" w:space="0" w:color="auto"/>
                                <w:left w:val="none" w:sz="0" w:space="0" w:color="auto"/>
                                <w:bottom w:val="none" w:sz="0" w:space="0" w:color="auto"/>
                                <w:right w:val="none" w:sz="0" w:space="0" w:color="auto"/>
                              </w:divBdr>
                              <w:divsChild>
                                <w:div w:id="2095009356">
                                  <w:marLeft w:val="0"/>
                                  <w:marRight w:val="0"/>
                                  <w:marTop w:val="0"/>
                                  <w:marBottom w:val="0"/>
                                  <w:divBdr>
                                    <w:top w:val="single" w:sz="2" w:space="0" w:color="EEEEEE"/>
                                    <w:left w:val="none" w:sz="0" w:space="0" w:color="auto"/>
                                    <w:bottom w:val="none" w:sz="0" w:space="0" w:color="auto"/>
                                    <w:right w:val="none" w:sz="0" w:space="0" w:color="auto"/>
                                  </w:divBdr>
                                  <w:divsChild>
                                    <w:div w:id="894925632">
                                      <w:marLeft w:val="0"/>
                                      <w:marRight w:val="0"/>
                                      <w:marTop w:val="0"/>
                                      <w:marBottom w:val="0"/>
                                      <w:divBdr>
                                        <w:top w:val="none" w:sz="0" w:space="0" w:color="auto"/>
                                        <w:left w:val="none" w:sz="0" w:space="0" w:color="auto"/>
                                        <w:bottom w:val="none" w:sz="0" w:space="0" w:color="auto"/>
                                        <w:right w:val="none" w:sz="0" w:space="0" w:color="auto"/>
                                      </w:divBdr>
                                      <w:divsChild>
                                        <w:div w:id="634413194">
                                          <w:marLeft w:val="0"/>
                                          <w:marRight w:val="0"/>
                                          <w:marTop w:val="0"/>
                                          <w:marBottom w:val="0"/>
                                          <w:divBdr>
                                            <w:top w:val="none" w:sz="0" w:space="0" w:color="auto"/>
                                            <w:left w:val="none" w:sz="0" w:space="0" w:color="auto"/>
                                            <w:bottom w:val="none" w:sz="0" w:space="0" w:color="auto"/>
                                            <w:right w:val="none" w:sz="0" w:space="0" w:color="auto"/>
                                          </w:divBdr>
                                          <w:divsChild>
                                            <w:div w:id="467163073">
                                              <w:marLeft w:val="0"/>
                                              <w:marRight w:val="0"/>
                                              <w:marTop w:val="0"/>
                                              <w:marBottom w:val="0"/>
                                              <w:divBdr>
                                                <w:top w:val="none" w:sz="0" w:space="0" w:color="auto"/>
                                                <w:left w:val="none" w:sz="0" w:space="0" w:color="auto"/>
                                                <w:bottom w:val="none" w:sz="0" w:space="0" w:color="auto"/>
                                                <w:right w:val="none" w:sz="0" w:space="0" w:color="auto"/>
                                              </w:divBdr>
                                              <w:divsChild>
                                                <w:div w:id="421528593">
                                                  <w:marLeft w:val="0"/>
                                                  <w:marRight w:val="0"/>
                                                  <w:marTop w:val="0"/>
                                                  <w:marBottom w:val="0"/>
                                                  <w:divBdr>
                                                    <w:top w:val="none" w:sz="0" w:space="0" w:color="auto"/>
                                                    <w:left w:val="none" w:sz="0" w:space="0" w:color="auto"/>
                                                    <w:bottom w:val="none" w:sz="0" w:space="0" w:color="auto"/>
                                                    <w:right w:val="none" w:sz="0" w:space="0" w:color="auto"/>
                                                  </w:divBdr>
                                                  <w:divsChild>
                                                    <w:div w:id="1617983901">
                                                      <w:marLeft w:val="0"/>
                                                      <w:marRight w:val="0"/>
                                                      <w:marTop w:val="0"/>
                                                      <w:marBottom w:val="0"/>
                                                      <w:divBdr>
                                                        <w:top w:val="none" w:sz="0" w:space="0" w:color="auto"/>
                                                        <w:left w:val="none" w:sz="0" w:space="0" w:color="auto"/>
                                                        <w:bottom w:val="none" w:sz="0" w:space="0" w:color="auto"/>
                                                        <w:right w:val="none" w:sz="0" w:space="0" w:color="auto"/>
                                                      </w:divBdr>
                                                      <w:divsChild>
                                                        <w:div w:id="2076004160">
                                                          <w:marLeft w:val="0"/>
                                                          <w:marRight w:val="0"/>
                                                          <w:marTop w:val="0"/>
                                                          <w:marBottom w:val="0"/>
                                                          <w:divBdr>
                                                            <w:top w:val="none" w:sz="0" w:space="0" w:color="auto"/>
                                                            <w:left w:val="none" w:sz="0" w:space="0" w:color="auto"/>
                                                            <w:bottom w:val="none" w:sz="0" w:space="0" w:color="auto"/>
                                                            <w:right w:val="none" w:sz="0" w:space="0" w:color="auto"/>
                                                          </w:divBdr>
                                                          <w:divsChild>
                                                            <w:div w:id="710112344">
                                                              <w:marLeft w:val="0"/>
                                                              <w:marRight w:val="0"/>
                                                              <w:marTop w:val="0"/>
                                                              <w:marBottom w:val="0"/>
                                                              <w:divBdr>
                                                                <w:top w:val="none" w:sz="0" w:space="0" w:color="auto"/>
                                                                <w:left w:val="none" w:sz="0" w:space="0" w:color="auto"/>
                                                                <w:bottom w:val="none" w:sz="0" w:space="0" w:color="auto"/>
                                                                <w:right w:val="none" w:sz="0" w:space="0" w:color="auto"/>
                                                              </w:divBdr>
                                                              <w:divsChild>
                                                                <w:div w:id="1766031160">
                                                                  <w:marLeft w:val="0"/>
                                                                  <w:marRight w:val="0"/>
                                                                  <w:marTop w:val="450"/>
                                                                  <w:marBottom w:val="450"/>
                                                                  <w:divBdr>
                                                                    <w:top w:val="none" w:sz="0" w:space="0" w:color="auto"/>
                                                                    <w:left w:val="none" w:sz="0" w:space="0" w:color="auto"/>
                                                                    <w:bottom w:val="none" w:sz="0" w:space="0" w:color="auto"/>
                                                                    <w:right w:val="none" w:sz="0" w:space="0" w:color="auto"/>
                                                                  </w:divBdr>
                                                                  <w:divsChild>
                                                                    <w:div w:id="1337074953">
                                                                      <w:marLeft w:val="0"/>
                                                                      <w:marRight w:val="0"/>
                                                                      <w:marTop w:val="0"/>
                                                                      <w:marBottom w:val="0"/>
                                                                      <w:divBdr>
                                                                        <w:top w:val="none" w:sz="0" w:space="0" w:color="auto"/>
                                                                        <w:left w:val="none" w:sz="0" w:space="0" w:color="auto"/>
                                                                        <w:bottom w:val="none" w:sz="0" w:space="0" w:color="auto"/>
                                                                        <w:right w:val="none" w:sz="0" w:space="0" w:color="auto"/>
                                                                      </w:divBdr>
                                                                      <w:divsChild>
                                                                        <w:div w:id="1059135275">
                                                                          <w:marLeft w:val="0"/>
                                                                          <w:marRight w:val="0"/>
                                                                          <w:marTop w:val="0"/>
                                                                          <w:marBottom w:val="0"/>
                                                                          <w:divBdr>
                                                                            <w:top w:val="none" w:sz="0" w:space="0" w:color="auto"/>
                                                                            <w:left w:val="none" w:sz="0" w:space="0" w:color="auto"/>
                                                                            <w:bottom w:val="none" w:sz="0" w:space="0" w:color="auto"/>
                                                                            <w:right w:val="none" w:sz="0" w:space="0" w:color="auto"/>
                                                                          </w:divBdr>
                                                                          <w:divsChild>
                                                                            <w:div w:id="1754547486">
                                                                              <w:marLeft w:val="0"/>
                                                                              <w:marRight w:val="0"/>
                                                                              <w:marTop w:val="0"/>
                                                                              <w:marBottom w:val="0"/>
                                                                              <w:divBdr>
                                                                                <w:top w:val="none" w:sz="0" w:space="0" w:color="auto"/>
                                                                                <w:left w:val="none" w:sz="0" w:space="0" w:color="auto"/>
                                                                                <w:bottom w:val="none" w:sz="0" w:space="0" w:color="auto"/>
                                                                                <w:right w:val="none" w:sz="0" w:space="0" w:color="auto"/>
                                                                              </w:divBdr>
                                                                              <w:divsChild>
                                                                                <w:div w:id="2012171515">
                                                                                  <w:marLeft w:val="0"/>
                                                                                  <w:marRight w:val="0"/>
                                                                                  <w:marTop w:val="0"/>
                                                                                  <w:marBottom w:val="0"/>
                                                                                  <w:divBdr>
                                                                                    <w:top w:val="none" w:sz="0" w:space="0" w:color="auto"/>
                                                                                    <w:left w:val="none" w:sz="0" w:space="0" w:color="auto"/>
                                                                                    <w:bottom w:val="none" w:sz="0" w:space="0" w:color="auto"/>
                                                                                    <w:right w:val="none" w:sz="0" w:space="0" w:color="auto"/>
                                                                                  </w:divBdr>
                                                                                  <w:divsChild>
                                                                                    <w:div w:id="794060300">
                                                                                      <w:marLeft w:val="0"/>
                                                                                      <w:marRight w:val="0"/>
                                                                                      <w:marTop w:val="0"/>
                                                                                      <w:marBottom w:val="375"/>
                                                                                      <w:divBdr>
                                                                                        <w:top w:val="none" w:sz="0" w:space="0" w:color="auto"/>
                                                                                        <w:left w:val="none" w:sz="0" w:space="0" w:color="auto"/>
                                                                                        <w:bottom w:val="none" w:sz="0" w:space="0" w:color="auto"/>
                                                                                        <w:right w:val="none" w:sz="0" w:space="0" w:color="auto"/>
                                                                                      </w:divBdr>
                                                                                      <w:divsChild>
                                                                                        <w:div w:id="1905487073">
                                                                                          <w:marLeft w:val="0"/>
                                                                                          <w:marRight w:val="0"/>
                                                                                          <w:marTop w:val="0"/>
                                                                                          <w:marBottom w:val="0"/>
                                                                                          <w:divBdr>
                                                                                            <w:top w:val="none" w:sz="0" w:space="0" w:color="auto"/>
                                                                                            <w:left w:val="none" w:sz="0" w:space="0" w:color="auto"/>
                                                                                            <w:bottom w:val="none" w:sz="0" w:space="0" w:color="auto"/>
                                                                                            <w:right w:val="none" w:sz="0" w:space="0" w:color="auto"/>
                                                                                          </w:divBdr>
                                                                                          <w:divsChild>
                                                                                            <w:div w:id="5596651">
                                                                                              <w:marLeft w:val="0"/>
                                                                                              <w:marRight w:val="0"/>
                                                                                              <w:marTop w:val="0"/>
                                                                                              <w:marBottom w:val="0"/>
                                                                                              <w:divBdr>
                                                                                                <w:top w:val="none" w:sz="0" w:space="0" w:color="auto"/>
                                                                                                <w:left w:val="none" w:sz="0" w:space="0" w:color="auto"/>
                                                                                                <w:bottom w:val="none" w:sz="0" w:space="0" w:color="auto"/>
                                                                                                <w:right w:val="none" w:sz="0" w:space="0" w:color="auto"/>
                                                                                              </w:divBdr>
                                                                                            </w:div>
                                                                                            <w:div w:id="76905675">
                                                                                              <w:marLeft w:val="0"/>
                                                                                              <w:marRight w:val="0"/>
                                                                                              <w:marTop w:val="0"/>
                                                                                              <w:marBottom w:val="0"/>
                                                                                              <w:divBdr>
                                                                                                <w:top w:val="none" w:sz="0" w:space="0" w:color="auto"/>
                                                                                                <w:left w:val="none" w:sz="0" w:space="0" w:color="auto"/>
                                                                                                <w:bottom w:val="none" w:sz="0" w:space="0" w:color="auto"/>
                                                                                                <w:right w:val="none" w:sz="0" w:space="0" w:color="auto"/>
                                                                                              </w:divBdr>
                                                                                            </w:div>
                                                                                            <w:div w:id="261185983">
                                                                                              <w:marLeft w:val="0"/>
                                                                                              <w:marRight w:val="0"/>
                                                                                              <w:marTop w:val="0"/>
                                                                                              <w:marBottom w:val="0"/>
                                                                                              <w:divBdr>
                                                                                                <w:top w:val="none" w:sz="0" w:space="0" w:color="auto"/>
                                                                                                <w:left w:val="none" w:sz="0" w:space="0" w:color="auto"/>
                                                                                                <w:bottom w:val="none" w:sz="0" w:space="0" w:color="auto"/>
                                                                                                <w:right w:val="none" w:sz="0" w:space="0" w:color="auto"/>
                                                                                              </w:divBdr>
                                                                                            </w:div>
                                                                                            <w:div w:id="379596436">
                                                                                              <w:marLeft w:val="0"/>
                                                                                              <w:marRight w:val="0"/>
                                                                                              <w:marTop w:val="0"/>
                                                                                              <w:marBottom w:val="0"/>
                                                                                              <w:divBdr>
                                                                                                <w:top w:val="none" w:sz="0" w:space="0" w:color="auto"/>
                                                                                                <w:left w:val="none" w:sz="0" w:space="0" w:color="auto"/>
                                                                                                <w:bottom w:val="none" w:sz="0" w:space="0" w:color="auto"/>
                                                                                                <w:right w:val="none" w:sz="0" w:space="0" w:color="auto"/>
                                                                                              </w:divBdr>
                                                                                            </w:div>
                                                                                            <w:div w:id="195482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474667">
      <w:bodyDiv w:val="1"/>
      <w:marLeft w:val="0"/>
      <w:marRight w:val="0"/>
      <w:marTop w:val="0"/>
      <w:marBottom w:val="0"/>
      <w:divBdr>
        <w:top w:val="none" w:sz="0" w:space="0" w:color="auto"/>
        <w:left w:val="none" w:sz="0" w:space="0" w:color="auto"/>
        <w:bottom w:val="none" w:sz="0" w:space="0" w:color="auto"/>
        <w:right w:val="none" w:sz="0" w:space="0" w:color="auto"/>
      </w:divBdr>
    </w:div>
    <w:div w:id="502477886">
      <w:bodyDiv w:val="1"/>
      <w:marLeft w:val="0"/>
      <w:marRight w:val="0"/>
      <w:marTop w:val="0"/>
      <w:marBottom w:val="0"/>
      <w:divBdr>
        <w:top w:val="none" w:sz="0" w:space="0" w:color="auto"/>
        <w:left w:val="none" w:sz="0" w:space="0" w:color="auto"/>
        <w:bottom w:val="none" w:sz="0" w:space="0" w:color="auto"/>
        <w:right w:val="none" w:sz="0" w:space="0" w:color="auto"/>
      </w:divBdr>
    </w:div>
    <w:div w:id="529025814">
      <w:bodyDiv w:val="1"/>
      <w:marLeft w:val="0"/>
      <w:marRight w:val="0"/>
      <w:marTop w:val="0"/>
      <w:marBottom w:val="0"/>
      <w:divBdr>
        <w:top w:val="none" w:sz="0" w:space="0" w:color="auto"/>
        <w:left w:val="none" w:sz="0" w:space="0" w:color="auto"/>
        <w:bottom w:val="none" w:sz="0" w:space="0" w:color="auto"/>
        <w:right w:val="none" w:sz="0" w:space="0" w:color="auto"/>
      </w:divBdr>
    </w:div>
    <w:div w:id="529298311">
      <w:bodyDiv w:val="1"/>
      <w:marLeft w:val="0"/>
      <w:marRight w:val="0"/>
      <w:marTop w:val="0"/>
      <w:marBottom w:val="0"/>
      <w:divBdr>
        <w:top w:val="none" w:sz="0" w:space="0" w:color="auto"/>
        <w:left w:val="none" w:sz="0" w:space="0" w:color="auto"/>
        <w:bottom w:val="none" w:sz="0" w:space="0" w:color="auto"/>
        <w:right w:val="none" w:sz="0" w:space="0" w:color="auto"/>
      </w:divBdr>
    </w:div>
    <w:div w:id="557521054">
      <w:bodyDiv w:val="1"/>
      <w:marLeft w:val="0"/>
      <w:marRight w:val="0"/>
      <w:marTop w:val="0"/>
      <w:marBottom w:val="0"/>
      <w:divBdr>
        <w:top w:val="none" w:sz="0" w:space="0" w:color="auto"/>
        <w:left w:val="none" w:sz="0" w:space="0" w:color="auto"/>
        <w:bottom w:val="none" w:sz="0" w:space="0" w:color="auto"/>
        <w:right w:val="none" w:sz="0" w:space="0" w:color="auto"/>
      </w:divBdr>
    </w:div>
    <w:div w:id="563418348">
      <w:bodyDiv w:val="1"/>
      <w:marLeft w:val="0"/>
      <w:marRight w:val="0"/>
      <w:marTop w:val="0"/>
      <w:marBottom w:val="0"/>
      <w:divBdr>
        <w:top w:val="none" w:sz="0" w:space="0" w:color="auto"/>
        <w:left w:val="none" w:sz="0" w:space="0" w:color="auto"/>
        <w:bottom w:val="none" w:sz="0" w:space="0" w:color="auto"/>
        <w:right w:val="none" w:sz="0" w:space="0" w:color="auto"/>
      </w:divBdr>
    </w:div>
    <w:div w:id="569393040">
      <w:bodyDiv w:val="1"/>
      <w:marLeft w:val="0"/>
      <w:marRight w:val="0"/>
      <w:marTop w:val="0"/>
      <w:marBottom w:val="0"/>
      <w:divBdr>
        <w:top w:val="none" w:sz="0" w:space="0" w:color="auto"/>
        <w:left w:val="none" w:sz="0" w:space="0" w:color="auto"/>
        <w:bottom w:val="none" w:sz="0" w:space="0" w:color="auto"/>
        <w:right w:val="none" w:sz="0" w:space="0" w:color="auto"/>
      </w:divBdr>
    </w:div>
    <w:div w:id="664239819">
      <w:bodyDiv w:val="1"/>
      <w:marLeft w:val="0"/>
      <w:marRight w:val="0"/>
      <w:marTop w:val="0"/>
      <w:marBottom w:val="0"/>
      <w:divBdr>
        <w:top w:val="none" w:sz="0" w:space="0" w:color="auto"/>
        <w:left w:val="none" w:sz="0" w:space="0" w:color="auto"/>
        <w:bottom w:val="none" w:sz="0" w:space="0" w:color="auto"/>
        <w:right w:val="none" w:sz="0" w:space="0" w:color="auto"/>
      </w:divBdr>
      <w:divsChild>
        <w:div w:id="559443503">
          <w:marLeft w:val="0"/>
          <w:marRight w:val="0"/>
          <w:marTop w:val="0"/>
          <w:marBottom w:val="0"/>
          <w:divBdr>
            <w:top w:val="none" w:sz="0" w:space="0" w:color="auto"/>
            <w:left w:val="none" w:sz="0" w:space="0" w:color="auto"/>
            <w:bottom w:val="none" w:sz="0" w:space="0" w:color="auto"/>
            <w:right w:val="none" w:sz="0" w:space="0" w:color="auto"/>
          </w:divBdr>
          <w:divsChild>
            <w:div w:id="60273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3727">
      <w:bodyDiv w:val="1"/>
      <w:marLeft w:val="0"/>
      <w:marRight w:val="0"/>
      <w:marTop w:val="0"/>
      <w:marBottom w:val="0"/>
      <w:divBdr>
        <w:top w:val="none" w:sz="0" w:space="0" w:color="auto"/>
        <w:left w:val="none" w:sz="0" w:space="0" w:color="auto"/>
        <w:bottom w:val="none" w:sz="0" w:space="0" w:color="auto"/>
        <w:right w:val="none" w:sz="0" w:space="0" w:color="auto"/>
      </w:divBdr>
    </w:div>
    <w:div w:id="670985458">
      <w:bodyDiv w:val="1"/>
      <w:marLeft w:val="0"/>
      <w:marRight w:val="0"/>
      <w:marTop w:val="0"/>
      <w:marBottom w:val="0"/>
      <w:divBdr>
        <w:top w:val="none" w:sz="0" w:space="0" w:color="auto"/>
        <w:left w:val="none" w:sz="0" w:space="0" w:color="auto"/>
        <w:bottom w:val="none" w:sz="0" w:space="0" w:color="auto"/>
        <w:right w:val="none" w:sz="0" w:space="0" w:color="auto"/>
      </w:divBdr>
      <w:divsChild>
        <w:div w:id="1808235269">
          <w:marLeft w:val="446"/>
          <w:marRight w:val="0"/>
          <w:marTop w:val="0"/>
          <w:marBottom w:val="0"/>
          <w:divBdr>
            <w:top w:val="none" w:sz="0" w:space="0" w:color="auto"/>
            <w:left w:val="none" w:sz="0" w:space="0" w:color="auto"/>
            <w:bottom w:val="none" w:sz="0" w:space="0" w:color="auto"/>
            <w:right w:val="none" w:sz="0" w:space="0" w:color="auto"/>
          </w:divBdr>
        </w:div>
      </w:divsChild>
    </w:div>
    <w:div w:id="707339444">
      <w:bodyDiv w:val="1"/>
      <w:marLeft w:val="0"/>
      <w:marRight w:val="0"/>
      <w:marTop w:val="0"/>
      <w:marBottom w:val="0"/>
      <w:divBdr>
        <w:top w:val="none" w:sz="0" w:space="0" w:color="auto"/>
        <w:left w:val="none" w:sz="0" w:space="0" w:color="auto"/>
        <w:bottom w:val="none" w:sz="0" w:space="0" w:color="auto"/>
        <w:right w:val="none" w:sz="0" w:space="0" w:color="auto"/>
      </w:divBdr>
    </w:div>
    <w:div w:id="715082136">
      <w:bodyDiv w:val="1"/>
      <w:marLeft w:val="0"/>
      <w:marRight w:val="0"/>
      <w:marTop w:val="0"/>
      <w:marBottom w:val="0"/>
      <w:divBdr>
        <w:top w:val="none" w:sz="0" w:space="0" w:color="auto"/>
        <w:left w:val="none" w:sz="0" w:space="0" w:color="auto"/>
        <w:bottom w:val="none" w:sz="0" w:space="0" w:color="auto"/>
        <w:right w:val="none" w:sz="0" w:space="0" w:color="auto"/>
      </w:divBdr>
    </w:div>
    <w:div w:id="726539637">
      <w:bodyDiv w:val="1"/>
      <w:marLeft w:val="0"/>
      <w:marRight w:val="0"/>
      <w:marTop w:val="0"/>
      <w:marBottom w:val="0"/>
      <w:divBdr>
        <w:top w:val="none" w:sz="0" w:space="0" w:color="auto"/>
        <w:left w:val="none" w:sz="0" w:space="0" w:color="auto"/>
        <w:bottom w:val="none" w:sz="0" w:space="0" w:color="auto"/>
        <w:right w:val="none" w:sz="0" w:space="0" w:color="auto"/>
      </w:divBdr>
    </w:div>
    <w:div w:id="740252261">
      <w:bodyDiv w:val="1"/>
      <w:marLeft w:val="0"/>
      <w:marRight w:val="0"/>
      <w:marTop w:val="0"/>
      <w:marBottom w:val="0"/>
      <w:divBdr>
        <w:top w:val="none" w:sz="0" w:space="0" w:color="auto"/>
        <w:left w:val="none" w:sz="0" w:space="0" w:color="auto"/>
        <w:bottom w:val="none" w:sz="0" w:space="0" w:color="auto"/>
        <w:right w:val="none" w:sz="0" w:space="0" w:color="auto"/>
      </w:divBdr>
    </w:div>
    <w:div w:id="766921242">
      <w:bodyDiv w:val="1"/>
      <w:marLeft w:val="0"/>
      <w:marRight w:val="0"/>
      <w:marTop w:val="0"/>
      <w:marBottom w:val="0"/>
      <w:divBdr>
        <w:top w:val="none" w:sz="0" w:space="0" w:color="auto"/>
        <w:left w:val="none" w:sz="0" w:space="0" w:color="auto"/>
        <w:bottom w:val="none" w:sz="0" w:space="0" w:color="auto"/>
        <w:right w:val="none" w:sz="0" w:space="0" w:color="auto"/>
      </w:divBdr>
    </w:div>
    <w:div w:id="778065358">
      <w:bodyDiv w:val="1"/>
      <w:marLeft w:val="0"/>
      <w:marRight w:val="0"/>
      <w:marTop w:val="0"/>
      <w:marBottom w:val="0"/>
      <w:divBdr>
        <w:top w:val="none" w:sz="0" w:space="0" w:color="auto"/>
        <w:left w:val="none" w:sz="0" w:space="0" w:color="auto"/>
        <w:bottom w:val="none" w:sz="0" w:space="0" w:color="auto"/>
        <w:right w:val="none" w:sz="0" w:space="0" w:color="auto"/>
      </w:divBdr>
    </w:div>
    <w:div w:id="784037684">
      <w:bodyDiv w:val="1"/>
      <w:marLeft w:val="0"/>
      <w:marRight w:val="0"/>
      <w:marTop w:val="0"/>
      <w:marBottom w:val="0"/>
      <w:divBdr>
        <w:top w:val="none" w:sz="0" w:space="0" w:color="auto"/>
        <w:left w:val="none" w:sz="0" w:space="0" w:color="auto"/>
        <w:bottom w:val="none" w:sz="0" w:space="0" w:color="auto"/>
        <w:right w:val="none" w:sz="0" w:space="0" w:color="auto"/>
      </w:divBdr>
    </w:div>
    <w:div w:id="810444653">
      <w:bodyDiv w:val="1"/>
      <w:marLeft w:val="0"/>
      <w:marRight w:val="0"/>
      <w:marTop w:val="0"/>
      <w:marBottom w:val="0"/>
      <w:divBdr>
        <w:top w:val="none" w:sz="0" w:space="0" w:color="auto"/>
        <w:left w:val="none" w:sz="0" w:space="0" w:color="auto"/>
        <w:bottom w:val="none" w:sz="0" w:space="0" w:color="auto"/>
        <w:right w:val="none" w:sz="0" w:space="0" w:color="auto"/>
      </w:divBdr>
    </w:div>
    <w:div w:id="813176285">
      <w:bodyDiv w:val="1"/>
      <w:marLeft w:val="0"/>
      <w:marRight w:val="0"/>
      <w:marTop w:val="0"/>
      <w:marBottom w:val="0"/>
      <w:divBdr>
        <w:top w:val="none" w:sz="0" w:space="0" w:color="auto"/>
        <w:left w:val="none" w:sz="0" w:space="0" w:color="auto"/>
        <w:bottom w:val="none" w:sz="0" w:space="0" w:color="auto"/>
        <w:right w:val="none" w:sz="0" w:space="0" w:color="auto"/>
      </w:divBdr>
    </w:div>
    <w:div w:id="818691859">
      <w:bodyDiv w:val="1"/>
      <w:marLeft w:val="0"/>
      <w:marRight w:val="0"/>
      <w:marTop w:val="0"/>
      <w:marBottom w:val="0"/>
      <w:divBdr>
        <w:top w:val="none" w:sz="0" w:space="0" w:color="auto"/>
        <w:left w:val="none" w:sz="0" w:space="0" w:color="auto"/>
        <w:bottom w:val="none" w:sz="0" w:space="0" w:color="auto"/>
        <w:right w:val="none" w:sz="0" w:space="0" w:color="auto"/>
      </w:divBdr>
      <w:divsChild>
        <w:div w:id="1939674735">
          <w:marLeft w:val="0"/>
          <w:marRight w:val="0"/>
          <w:marTop w:val="0"/>
          <w:marBottom w:val="0"/>
          <w:divBdr>
            <w:top w:val="none" w:sz="0" w:space="0" w:color="auto"/>
            <w:left w:val="none" w:sz="0" w:space="0" w:color="auto"/>
            <w:bottom w:val="none" w:sz="0" w:space="0" w:color="auto"/>
            <w:right w:val="none" w:sz="0" w:space="0" w:color="auto"/>
          </w:divBdr>
          <w:divsChild>
            <w:div w:id="11566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18638">
      <w:bodyDiv w:val="1"/>
      <w:marLeft w:val="0"/>
      <w:marRight w:val="0"/>
      <w:marTop w:val="0"/>
      <w:marBottom w:val="0"/>
      <w:divBdr>
        <w:top w:val="none" w:sz="0" w:space="0" w:color="auto"/>
        <w:left w:val="none" w:sz="0" w:space="0" w:color="auto"/>
        <w:bottom w:val="none" w:sz="0" w:space="0" w:color="auto"/>
        <w:right w:val="none" w:sz="0" w:space="0" w:color="auto"/>
      </w:divBdr>
    </w:div>
    <w:div w:id="826868377">
      <w:bodyDiv w:val="1"/>
      <w:marLeft w:val="0"/>
      <w:marRight w:val="0"/>
      <w:marTop w:val="0"/>
      <w:marBottom w:val="0"/>
      <w:divBdr>
        <w:top w:val="none" w:sz="0" w:space="0" w:color="auto"/>
        <w:left w:val="none" w:sz="0" w:space="0" w:color="auto"/>
        <w:bottom w:val="none" w:sz="0" w:space="0" w:color="auto"/>
        <w:right w:val="none" w:sz="0" w:space="0" w:color="auto"/>
      </w:divBdr>
    </w:div>
    <w:div w:id="884951113">
      <w:bodyDiv w:val="1"/>
      <w:marLeft w:val="0"/>
      <w:marRight w:val="0"/>
      <w:marTop w:val="0"/>
      <w:marBottom w:val="0"/>
      <w:divBdr>
        <w:top w:val="none" w:sz="0" w:space="0" w:color="auto"/>
        <w:left w:val="none" w:sz="0" w:space="0" w:color="auto"/>
        <w:bottom w:val="none" w:sz="0" w:space="0" w:color="auto"/>
        <w:right w:val="none" w:sz="0" w:space="0" w:color="auto"/>
      </w:divBdr>
    </w:div>
    <w:div w:id="888880472">
      <w:bodyDiv w:val="1"/>
      <w:marLeft w:val="0"/>
      <w:marRight w:val="0"/>
      <w:marTop w:val="0"/>
      <w:marBottom w:val="0"/>
      <w:divBdr>
        <w:top w:val="none" w:sz="0" w:space="0" w:color="auto"/>
        <w:left w:val="none" w:sz="0" w:space="0" w:color="auto"/>
        <w:bottom w:val="none" w:sz="0" w:space="0" w:color="auto"/>
        <w:right w:val="none" w:sz="0" w:space="0" w:color="auto"/>
      </w:divBdr>
    </w:div>
    <w:div w:id="895504189">
      <w:bodyDiv w:val="1"/>
      <w:marLeft w:val="0"/>
      <w:marRight w:val="0"/>
      <w:marTop w:val="0"/>
      <w:marBottom w:val="0"/>
      <w:divBdr>
        <w:top w:val="none" w:sz="0" w:space="0" w:color="auto"/>
        <w:left w:val="none" w:sz="0" w:space="0" w:color="auto"/>
        <w:bottom w:val="none" w:sz="0" w:space="0" w:color="auto"/>
        <w:right w:val="none" w:sz="0" w:space="0" w:color="auto"/>
      </w:divBdr>
    </w:div>
    <w:div w:id="898832113">
      <w:bodyDiv w:val="1"/>
      <w:marLeft w:val="0"/>
      <w:marRight w:val="0"/>
      <w:marTop w:val="0"/>
      <w:marBottom w:val="0"/>
      <w:divBdr>
        <w:top w:val="none" w:sz="0" w:space="0" w:color="auto"/>
        <w:left w:val="none" w:sz="0" w:space="0" w:color="auto"/>
        <w:bottom w:val="none" w:sz="0" w:space="0" w:color="auto"/>
        <w:right w:val="none" w:sz="0" w:space="0" w:color="auto"/>
      </w:divBdr>
    </w:div>
    <w:div w:id="908078295">
      <w:bodyDiv w:val="1"/>
      <w:marLeft w:val="0"/>
      <w:marRight w:val="0"/>
      <w:marTop w:val="0"/>
      <w:marBottom w:val="0"/>
      <w:divBdr>
        <w:top w:val="none" w:sz="0" w:space="0" w:color="auto"/>
        <w:left w:val="none" w:sz="0" w:space="0" w:color="auto"/>
        <w:bottom w:val="none" w:sz="0" w:space="0" w:color="auto"/>
        <w:right w:val="none" w:sz="0" w:space="0" w:color="auto"/>
      </w:divBdr>
    </w:div>
    <w:div w:id="940334989">
      <w:bodyDiv w:val="1"/>
      <w:marLeft w:val="0"/>
      <w:marRight w:val="0"/>
      <w:marTop w:val="0"/>
      <w:marBottom w:val="0"/>
      <w:divBdr>
        <w:top w:val="none" w:sz="0" w:space="0" w:color="auto"/>
        <w:left w:val="none" w:sz="0" w:space="0" w:color="auto"/>
        <w:bottom w:val="none" w:sz="0" w:space="0" w:color="auto"/>
        <w:right w:val="none" w:sz="0" w:space="0" w:color="auto"/>
      </w:divBdr>
    </w:div>
    <w:div w:id="946961618">
      <w:bodyDiv w:val="1"/>
      <w:marLeft w:val="0"/>
      <w:marRight w:val="0"/>
      <w:marTop w:val="0"/>
      <w:marBottom w:val="0"/>
      <w:divBdr>
        <w:top w:val="none" w:sz="0" w:space="0" w:color="auto"/>
        <w:left w:val="none" w:sz="0" w:space="0" w:color="auto"/>
        <w:bottom w:val="none" w:sz="0" w:space="0" w:color="auto"/>
        <w:right w:val="none" w:sz="0" w:space="0" w:color="auto"/>
      </w:divBdr>
    </w:div>
    <w:div w:id="972835661">
      <w:bodyDiv w:val="1"/>
      <w:marLeft w:val="0"/>
      <w:marRight w:val="0"/>
      <w:marTop w:val="0"/>
      <w:marBottom w:val="0"/>
      <w:divBdr>
        <w:top w:val="none" w:sz="0" w:space="0" w:color="auto"/>
        <w:left w:val="none" w:sz="0" w:space="0" w:color="auto"/>
        <w:bottom w:val="none" w:sz="0" w:space="0" w:color="auto"/>
        <w:right w:val="none" w:sz="0" w:space="0" w:color="auto"/>
      </w:divBdr>
    </w:div>
    <w:div w:id="981620020">
      <w:bodyDiv w:val="1"/>
      <w:marLeft w:val="0"/>
      <w:marRight w:val="0"/>
      <w:marTop w:val="0"/>
      <w:marBottom w:val="0"/>
      <w:divBdr>
        <w:top w:val="none" w:sz="0" w:space="0" w:color="auto"/>
        <w:left w:val="none" w:sz="0" w:space="0" w:color="auto"/>
        <w:bottom w:val="none" w:sz="0" w:space="0" w:color="auto"/>
        <w:right w:val="none" w:sz="0" w:space="0" w:color="auto"/>
      </w:divBdr>
    </w:div>
    <w:div w:id="990135288">
      <w:bodyDiv w:val="1"/>
      <w:marLeft w:val="0"/>
      <w:marRight w:val="0"/>
      <w:marTop w:val="0"/>
      <w:marBottom w:val="0"/>
      <w:divBdr>
        <w:top w:val="none" w:sz="0" w:space="0" w:color="auto"/>
        <w:left w:val="none" w:sz="0" w:space="0" w:color="auto"/>
        <w:bottom w:val="none" w:sz="0" w:space="0" w:color="auto"/>
        <w:right w:val="none" w:sz="0" w:space="0" w:color="auto"/>
      </w:divBdr>
      <w:divsChild>
        <w:div w:id="1322079432">
          <w:marLeft w:val="0"/>
          <w:marRight w:val="0"/>
          <w:marTop w:val="0"/>
          <w:marBottom w:val="0"/>
          <w:divBdr>
            <w:top w:val="none" w:sz="0" w:space="0" w:color="auto"/>
            <w:left w:val="none" w:sz="0" w:space="0" w:color="auto"/>
            <w:bottom w:val="none" w:sz="0" w:space="0" w:color="auto"/>
            <w:right w:val="none" w:sz="0" w:space="0" w:color="auto"/>
          </w:divBdr>
          <w:divsChild>
            <w:div w:id="1696686183">
              <w:marLeft w:val="0"/>
              <w:marRight w:val="0"/>
              <w:marTop w:val="0"/>
              <w:marBottom w:val="0"/>
              <w:divBdr>
                <w:top w:val="none" w:sz="0" w:space="0" w:color="auto"/>
                <w:left w:val="none" w:sz="0" w:space="0" w:color="auto"/>
                <w:bottom w:val="none" w:sz="0" w:space="0" w:color="auto"/>
                <w:right w:val="none" w:sz="0" w:space="0" w:color="auto"/>
              </w:divBdr>
            </w:div>
            <w:div w:id="17220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8611">
      <w:bodyDiv w:val="1"/>
      <w:marLeft w:val="0"/>
      <w:marRight w:val="0"/>
      <w:marTop w:val="0"/>
      <w:marBottom w:val="0"/>
      <w:divBdr>
        <w:top w:val="none" w:sz="0" w:space="0" w:color="auto"/>
        <w:left w:val="none" w:sz="0" w:space="0" w:color="auto"/>
        <w:bottom w:val="none" w:sz="0" w:space="0" w:color="auto"/>
        <w:right w:val="none" w:sz="0" w:space="0" w:color="auto"/>
      </w:divBdr>
      <w:divsChild>
        <w:div w:id="806777742">
          <w:marLeft w:val="0"/>
          <w:marRight w:val="0"/>
          <w:marTop w:val="0"/>
          <w:marBottom w:val="0"/>
          <w:divBdr>
            <w:top w:val="none" w:sz="0" w:space="0" w:color="auto"/>
            <w:left w:val="none" w:sz="0" w:space="0" w:color="auto"/>
            <w:bottom w:val="none" w:sz="0" w:space="0" w:color="auto"/>
            <w:right w:val="none" w:sz="0" w:space="0" w:color="auto"/>
          </w:divBdr>
          <w:divsChild>
            <w:div w:id="135337126">
              <w:marLeft w:val="0"/>
              <w:marRight w:val="0"/>
              <w:marTop w:val="0"/>
              <w:marBottom w:val="0"/>
              <w:divBdr>
                <w:top w:val="none" w:sz="0" w:space="0" w:color="auto"/>
                <w:left w:val="none" w:sz="0" w:space="0" w:color="auto"/>
                <w:bottom w:val="none" w:sz="0" w:space="0" w:color="auto"/>
                <w:right w:val="none" w:sz="0" w:space="0" w:color="auto"/>
              </w:divBdr>
              <w:divsChild>
                <w:div w:id="5619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21142">
      <w:bodyDiv w:val="1"/>
      <w:marLeft w:val="0"/>
      <w:marRight w:val="0"/>
      <w:marTop w:val="0"/>
      <w:marBottom w:val="0"/>
      <w:divBdr>
        <w:top w:val="none" w:sz="0" w:space="0" w:color="auto"/>
        <w:left w:val="none" w:sz="0" w:space="0" w:color="auto"/>
        <w:bottom w:val="none" w:sz="0" w:space="0" w:color="auto"/>
        <w:right w:val="none" w:sz="0" w:space="0" w:color="auto"/>
      </w:divBdr>
    </w:div>
    <w:div w:id="1021933090">
      <w:bodyDiv w:val="1"/>
      <w:marLeft w:val="0"/>
      <w:marRight w:val="0"/>
      <w:marTop w:val="0"/>
      <w:marBottom w:val="0"/>
      <w:divBdr>
        <w:top w:val="none" w:sz="0" w:space="0" w:color="auto"/>
        <w:left w:val="none" w:sz="0" w:space="0" w:color="auto"/>
        <w:bottom w:val="none" w:sz="0" w:space="0" w:color="auto"/>
        <w:right w:val="none" w:sz="0" w:space="0" w:color="auto"/>
      </w:divBdr>
    </w:div>
    <w:div w:id="1037193296">
      <w:bodyDiv w:val="1"/>
      <w:marLeft w:val="0"/>
      <w:marRight w:val="0"/>
      <w:marTop w:val="0"/>
      <w:marBottom w:val="0"/>
      <w:divBdr>
        <w:top w:val="none" w:sz="0" w:space="0" w:color="auto"/>
        <w:left w:val="none" w:sz="0" w:space="0" w:color="auto"/>
        <w:bottom w:val="none" w:sz="0" w:space="0" w:color="auto"/>
        <w:right w:val="none" w:sz="0" w:space="0" w:color="auto"/>
      </w:divBdr>
    </w:div>
    <w:div w:id="1062950320">
      <w:bodyDiv w:val="1"/>
      <w:marLeft w:val="0"/>
      <w:marRight w:val="0"/>
      <w:marTop w:val="0"/>
      <w:marBottom w:val="0"/>
      <w:divBdr>
        <w:top w:val="none" w:sz="0" w:space="0" w:color="auto"/>
        <w:left w:val="none" w:sz="0" w:space="0" w:color="auto"/>
        <w:bottom w:val="none" w:sz="0" w:space="0" w:color="auto"/>
        <w:right w:val="none" w:sz="0" w:space="0" w:color="auto"/>
      </w:divBdr>
    </w:div>
    <w:div w:id="1071123006">
      <w:bodyDiv w:val="1"/>
      <w:marLeft w:val="0"/>
      <w:marRight w:val="0"/>
      <w:marTop w:val="0"/>
      <w:marBottom w:val="0"/>
      <w:divBdr>
        <w:top w:val="none" w:sz="0" w:space="0" w:color="auto"/>
        <w:left w:val="none" w:sz="0" w:space="0" w:color="auto"/>
        <w:bottom w:val="none" w:sz="0" w:space="0" w:color="auto"/>
        <w:right w:val="none" w:sz="0" w:space="0" w:color="auto"/>
      </w:divBdr>
    </w:div>
    <w:div w:id="1080177130">
      <w:bodyDiv w:val="1"/>
      <w:marLeft w:val="0"/>
      <w:marRight w:val="0"/>
      <w:marTop w:val="0"/>
      <w:marBottom w:val="0"/>
      <w:divBdr>
        <w:top w:val="none" w:sz="0" w:space="0" w:color="auto"/>
        <w:left w:val="none" w:sz="0" w:space="0" w:color="auto"/>
        <w:bottom w:val="none" w:sz="0" w:space="0" w:color="auto"/>
        <w:right w:val="none" w:sz="0" w:space="0" w:color="auto"/>
      </w:divBdr>
    </w:div>
    <w:div w:id="1091311838">
      <w:bodyDiv w:val="1"/>
      <w:marLeft w:val="0"/>
      <w:marRight w:val="0"/>
      <w:marTop w:val="0"/>
      <w:marBottom w:val="0"/>
      <w:divBdr>
        <w:top w:val="none" w:sz="0" w:space="0" w:color="auto"/>
        <w:left w:val="none" w:sz="0" w:space="0" w:color="auto"/>
        <w:bottom w:val="none" w:sz="0" w:space="0" w:color="auto"/>
        <w:right w:val="none" w:sz="0" w:space="0" w:color="auto"/>
      </w:divBdr>
      <w:divsChild>
        <w:div w:id="468327112">
          <w:marLeft w:val="0"/>
          <w:marRight w:val="0"/>
          <w:marTop w:val="0"/>
          <w:marBottom w:val="0"/>
          <w:divBdr>
            <w:top w:val="none" w:sz="0" w:space="0" w:color="auto"/>
            <w:left w:val="none" w:sz="0" w:space="0" w:color="auto"/>
            <w:bottom w:val="none" w:sz="0" w:space="0" w:color="auto"/>
            <w:right w:val="none" w:sz="0" w:space="0" w:color="auto"/>
          </w:divBdr>
        </w:div>
        <w:div w:id="1793935330">
          <w:marLeft w:val="0"/>
          <w:marRight w:val="0"/>
          <w:marTop w:val="0"/>
          <w:marBottom w:val="0"/>
          <w:divBdr>
            <w:top w:val="none" w:sz="0" w:space="0" w:color="auto"/>
            <w:left w:val="none" w:sz="0" w:space="0" w:color="auto"/>
            <w:bottom w:val="none" w:sz="0" w:space="0" w:color="auto"/>
            <w:right w:val="none" w:sz="0" w:space="0" w:color="auto"/>
          </w:divBdr>
        </w:div>
        <w:div w:id="1932421919">
          <w:marLeft w:val="0"/>
          <w:marRight w:val="0"/>
          <w:marTop w:val="0"/>
          <w:marBottom w:val="0"/>
          <w:divBdr>
            <w:top w:val="none" w:sz="0" w:space="0" w:color="auto"/>
            <w:left w:val="none" w:sz="0" w:space="0" w:color="auto"/>
            <w:bottom w:val="none" w:sz="0" w:space="0" w:color="auto"/>
            <w:right w:val="none" w:sz="0" w:space="0" w:color="auto"/>
          </w:divBdr>
        </w:div>
      </w:divsChild>
    </w:div>
    <w:div w:id="1101494437">
      <w:bodyDiv w:val="1"/>
      <w:marLeft w:val="0"/>
      <w:marRight w:val="0"/>
      <w:marTop w:val="0"/>
      <w:marBottom w:val="0"/>
      <w:divBdr>
        <w:top w:val="none" w:sz="0" w:space="0" w:color="auto"/>
        <w:left w:val="none" w:sz="0" w:space="0" w:color="auto"/>
        <w:bottom w:val="none" w:sz="0" w:space="0" w:color="auto"/>
        <w:right w:val="none" w:sz="0" w:space="0" w:color="auto"/>
      </w:divBdr>
    </w:div>
    <w:div w:id="1105031639">
      <w:bodyDiv w:val="1"/>
      <w:marLeft w:val="0"/>
      <w:marRight w:val="0"/>
      <w:marTop w:val="0"/>
      <w:marBottom w:val="0"/>
      <w:divBdr>
        <w:top w:val="none" w:sz="0" w:space="0" w:color="auto"/>
        <w:left w:val="none" w:sz="0" w:space="0" w:color="auto"/>
        <w:bottom w:val="none" w:sz="0" w:space="0" w:color="auto"/>
        <w:right w:val="none" w:sz="0" w:space="0" w:color="auto"/>
      </w:divBdr>
    </w:div>
    <w:div w:id="1122843279">
      <w:bodyDiv w:val="1"/>
      <w:marLeft w:val="0"/>
      <w:marRight w:val="0"/>
      <w:marTop w:val="0"/>
      <w:marBottom w:val="0"/>
      <w:divBdr>
        <w:top w:val="none" w:sz="0" w:space="0" w:color="auto"/>
        <w:left w:val="none" w:sz="0" w:space="0" w:color="auto"/>
        <w:bottom w:val="none" w:sz="0" w:space="0" w:color="auto"/>
        <w:right w:val="none" w:sz="0" w:space="0" w:color="auto"/>
      </w:divBdr>
    </w:div>
    <w:div w:id="1126892192">
      <w:bodyDiv w:val="1"/>
      <w:marLeft w:val="0"/>
      <w:marRight w:val="0"/>
      <w:marTop w:val="0"/>
      <w:marBottom w:val="0"/>
      <w:divBdr>
        <w:top w:val="none" w:sz="0" w:space="0" w:color="auto"/>
        <w:left w:val="none" w:sz="0" w:space="0" w:color="auto"/>
        <w:bottom w:val="none" w:sz="0" w:space="0" w:color="auto"/>
        <w:right w:val="none" w:sz="0" w:space="0" w:color="auto"/>
      </w:divBdr>
    </w:div>
    <w:div w:id="1130436158">
      <w:bodyDiv w:val="1"/>
      <w:marLeft w:val="0"/>
      <w:marRight w:val="0"/>
      <w:marTop w:val="0"/>
      <w:marBottom w:val="0"/>
      <w:divBdr>
        <w:top w:val="none" w:sz="0" w:space="0" w:color="auto"/>
        <w:left w:val="none" w:sz="0" w:space="0" w:color="auto"/>
        <w:bottom w:val="none" w:sz="0" w:space="0" w:color="auto"/>
        <w:right w:val="none" w:sz="0" w:space="0" w:color="auto"/>
      </w:divBdr>
    </w:div>
    <w:div w:id="1150712435">
      <w:bodyDiv w:val="1"/>
      <w:marLeft w:val="0"/>
      <w:marRight w:val="0"/>
      <w:marTop w:val="0"/>
      <w:marBottom w:val="0"/>
      <w:divBdr>
        <w:top w:val="none" w:sz="0" w:space="0" w:color="auto"/>
        <w:left w:val="none" w:sz="0" w:space="0" w:color="auto"/>
        <w:bottom w:val="none" w:sz="0" w:space="0" w:color="auto"/>
        <w:right w:val="none" w:sz="0" w:space="0" w:color="auto"/>
      </w:divBdr>
    </w:div>
    <w:div w:id="1154417295">
      <w:bodyDiv w:val="1"/>
      <w:marLeft w:val="0"/>
      <w:marRight w:val="0"/>
      <w:marTop w:val="0"/>
      <w:marBottom w:val="0"/>
      <w:divBdr>
        <w:top w:val="none" w:sz="0" w:space="0" w:color="auto"/>
        <w:left w:val="none" w:sz="0" w:space="0" w:color="auto"/>
        <w:bottom w:val="none" w:sz="0" w:space="0" w:color="auto"/>
        <w:right w:val="none" w:sz="0" w:space="0" w:color="auto"/>
      </w:divBdr>
    </w:div>
    <w:div w:id="1164053201">
      <w:bodyDiv w:val="1"/>
      <w:marLeft w:val="0"/>
      <w:marRight w:val="0"/>
      <w:marTop w:val="0"/>
      <w:marBottom w:val="0"/>
      <w:divBdr>
        <w:top w:val="none" w:sz="0" w:space="0" w:color="auto"/>
        <w:left w:val="none" w:sz="0" w:space="0" w:color="auto"/>
        <w:bottom w:val="none" w:sz="0" w:space="0" w:color="auto"/>
        <w:right w:val="none" w:sz="0" w:space="0" w:color="auto"/>
      </w:divBdr>
    </w:div>
    <w:div w:id="1171212463">
      <w:bodyDiv w:val="1"/>
      <w:marLeft w:val="0"/>
      <w:marRight w:val="0"/>
      <w:marTop w:val="0"/>
      <w:marBottom w:val="0"/>
      <w:divBdr>
        <w:top w:val="none" w:sz="0" w:space="0" w:color="auto"/>
        <w:left w:val="none" w:sz="0" w:space="0" w:color="auto"/>
        <w:bottom w:val="none" w:sz="0" w:space="0" w:color="auto"/>
        <w:right w:val="none" w:sz="0" w:space="0" w:color="auto"/>
      </w:divBdr>
    </w:div>
    <w:div w:id="1175223134">
      <w:bodyDiv w:val="1"/>
      <w:marLeft w:val="0"/>
      <w:marRight w:val="0"/>
      <w:marTop w:val="0"/>
      <w:marBottom w:val="0"/>
      <w:divBdr>
        <w:top w:val="none" w:sz="0" w:space="0" w:color="auto"/>
        <w:left w:val="none" w:sz="0" w:space="0" w:color="auto"/>
        <w:bottom w:val="none" w:sz="0" w:space="0" w:color="auto"/>
        <w:right w:val="none" w:sz="0" w:space="0" w:color="auto"/>
      </w:divBdr>
    </w:div>
    <w:div w:id="1177303811">
      <w:bodyDiv w:val="1"/>
      <w:marLeft w:val="0"/>
      <w:marRight w:val="0"/>
      <w:marTop w:val="0"/>
      <w:marBottom w:val="0"/>
      <w:divBdr>
        <w:top w:val="none" w:sz="0" w:space="0" w:color="auto"/>
        <w:left w:val="none" w:sz="0" w:space="0" w:color="auto"/>
        <w:bottom w:val="none" w:sz="0" w:space="0" w:color="auto"/>
        <w:right w:val="none" w:sz="0" w:space="0" w:color="auto"/>
      </w:divBdr>
    </w:div>
    <w:div w:id="1180898789">
      <w:bodyDiv w:val="1"/>
      <w:marLeft w:val="0"/>
      <w:marRight w:val="0"/>
      <w:marTop w:val="0"/>
      <w:marBottom w:val="0"/>
      <w:divBdr>
        <w:top w:val="none" w:sz="0" w:space="0" w:color="auto"/>
        <w:left w:val="none" w:sz="0" w:space="0" w:color="auto"/>
        <w:bottom w:val="none" w:sz="0" w:space="0" w:color="auto"/>
        <w:right w:val="none" w:sz="0" w:space="0" w:color="auto"/>
      </w:divBdr>
    </w:div>
    <w:div w:id="1184590877">
      <w:bodyDiv w:val="1"/>
      <w:marLeft w:val="0"/>
      <w:marRight w:val="0"/>
      <w:marTop w:val="0"/>
      <w:marBottom w:val="0"/>
      <w:divBdr>
        <w:top w:val="none" w:sz="0" w:space="0" w:color="auto"/>
        <w:left w:val="none" w:sz="0" w:space="0" w:color="auto"/>
        <w:bottom w:val="none" w:sz="0" w:space="0" w:color="auto"/>
        <w:right w:val="none" w:sz="0" w:space="0" w:color="auto"/>
      </w:divBdr>
    </w:div>
    <w:div w:id="1185677593">
      <w:bodyDiv w:val="1"/>
      <w:marLeft w:val="0"/>
      <w:marRight w:val="0"/>
      <w:marTop w:val="0"/>
      <w:marBottom w:val="0"/>
      <w:divBdr>
        <w:top w:val="none" w:sz="0" w:space="0" w:color="auto"/>
        <w:left w:val="none" w:sz="0" w:space="0" w:color="auto"/>
        <w:bottom w:val="none" w:sz="0" w:space="0" w:color="auto"/>
        <w:right w:val="none" w:sz="0" w:space="0" w:color="auto"/>
      </w:divBdr>
    </w:div>
    <w:div w:id="1218008956">
      <w:bodyDiv w:val="1"/>
      <w:marLeft w:val="0"/>
      <w:marRight w:val="0"/>
      <w:marTop w:val="0"/>
      <w:marBottom w:val="0"/>
      <w:divBdr>
        <w:top w:val="none" w:sz="0" w:space="0" w:color="auto"/>
        <w:left w:val="none" w:sz="0" w:space="0" w:color="auto"/>
        <w:bottom w:val="none" w:sz="0" w:space="0" w:color="auto"/>
        <w:right w:val="none" w:sz="0" w:space="0" w:color="auto"/>
      </w:divBdr>
    </w:div>
    <w:div w:id="1236009808">
      <w:bodyDiv w:val="1"/>
      <w:marLeft w:val="0"/>
      <w:marRight w:val="0"/>
      <w:marTop w:val="0"/>
      <w:marBottom w:val="0"/>
      <w:divBdr>
        <w:top w:val="none" w:sz="0" w:space="0" w:color="auto"/>
        <w:left w:val="none" w:sz="0" w:space="0" w:color="auto"/>
        <w:bottom w:val="none" w:sz="0" w:space="0" w:color="auto"/>
        <w:right w:val="none" w:sz="0" w:space="0" w:color="auto"/>
      </w:divBdr>
    </w:div>
    <w:div w:id="1244681549">
      <w:bodyDiv w:val="1"/>
      <w:marLeft w:val="0"/>
      <w:marRight w:val="0"/>
      <w:marTop w:val="0"/>
      <w:marBottom w:val="0"/>
      <w:divBdr>
        <w:top w:val="none" w:sz="0" w:space="0" w:color="auto"/>
        <w:left w:val="none" w:sz="0" w:space="0" w:color="auto"/>
        <w:bottom w:val="none" w:sz="0" w:space="0" w:color="auto"/>
        <w:right w:val="none" w:sz="0" w:space="0" w:color="auto"/>
      </w:divBdr>
    </w:div>
    <w:div w:id="1257858377">
      <w:bodyDiv w:val="1"/>
      <w:marLeft w:val="0"/>
      <w:marRight w:val="0"/>
      <w:marTop w:val="0"/>
      <w:marBottom w:val="0"/>
      <w:divBdr>
        <w:top w:val="none" w:sz="0" w:space="0" w:color="auto"/>
        <w:left w:val="none" w:sz="0" w:space="0" w:color="auto"/>
        <w:bottom w:val="none" w:sz="0" w:space="0" w:color="auto"/>
        <w:right w:val="none" w:sz="0" w:space="0" w:color="auto"/>
      </w:divBdr>
      <w:divsChild>
        <w:div w:id="1370914784">
          <w:marLeft w:val="0"/>
          <w:marRight w:val="0"/>
          <w:marTop w:val="0"/>
          <w:marBottom w:val="0"/>
          <w:divBdr>
            <w:top w:val="none" w:sz="0" w:space="0" w:color="auto"/>
            <w:left w:val="none" w:sz="0" w:space="0" w:color="auto"/>
            <w:bottom w:val="none" w:sz="0" w:space="0" w:color="auto"/>
            <w:right w:val="none" w:sz="0" w:space="0" w:color="auto"/>
          </w:divBdr>
        </w:div>
        <w:div w:id="1482306322">
          <w:marLeft w:val="0"/>
          <w:marRight w:val="0"/>
          <w:marTop w:val="0"/>
          <w:marBottom w:val="0"/>
          <w:divBdr>
            <w:top w:val="none" w:sz="0" w:space="0" w:color="auto"/>
            <w:left w:val="none" w:sz="0" w:space="0" w:color="auto"/>
            <w:bottom w:val="none" w:sz="0" w:space="0" w:color="auto"/>
            <w:right w:val="none" w:sz="0" w:space="0" w:color="auto"/>
          </w:divBdr>
        </w:div>
      </w:divsChild>
    </w:div>
    <w:div w:id="1259095197">
      <w:bodyDiv w:val="1"/>
      <w:marLeft w:val="0"/>
      <w:marRight w:val="0"/>
      <w:marTop w:val="0"/>
      <w:marBottom w:val="0"/>
      <w:divBdr>
        <w:top w:val="none" w:sz="0" w:space="0" w:color="auto"/>
        <w:left w:val="none" w:sz="0" w:space="0" w:color="auto"/>
        <w:bottom w:val="none" w:sz="0" w:space="0" w:color="auto"/>
        <w:right w:val="none" w:sz="0" w:space="0" w:color="auto"/>
      </w:divBdr>
    </w:div>
    <w:div w:id="1259749469">
      <w:bodyDiv w:val="1"/>
      <w:marLeft w:val="0"/>
      <w:marRight w:val="0"/>
      <w:marTop w:val="0"/>
      <w:marBottom w:val="0"/>
      <w:divBdr>
        <w:top w:val="none" w:sz="0" w:space="0" w:color="auto"/>
        <w:left w:val="none" w:sz="0" w:space="0" w:color="auto"/>
        <w:bottom w:val="none" w:sz="0" w:space="0" w:color="auto"/>
        <w:right w:val="none" w:sz="0" w:space="0" w:color="auto"/>
      </w:divBdr>
    </w:div>
    <w:div w:id="1262833092">
      <w:bodyDiv w:val="1"/>
      <w:marLeft w:val="0"/>
      <w:marRight w:val="0"/>
      <w:marTop w:val="0"/>
      <w:marBottom w:val="0"/>
      <w:divBdr>
        <w:top w:val="none" w:sz="0" w:space="0" w:color="auto"/>
        <w:left w:val="none" w:sz="0" w:space="0" w:color="auto"/>
        <w:bottom w:val="none" w:sz="0" w:space="0" w:color="auto"/>
        <w:right w:val="none" w:sz="0" w:space="0" w:color="auto"/>
      </w:divBdr>
    </w:div>
    <w:div w:id="1273128638">
      <w:bodyDiv w:val="1"/>
      <w:marLeft w:val="0"/>
      <w:marRight w:val="0"/>
      <w:marTop w:val="0"/>
      <w:marBottom w:val="0"/>
      <w:divBdr>
        <w:top w:val="none" w:sz="0" w:space="0" w:color="auto"/>
        <w:left w:val="none" w:sz="0" w:space="0" w:color="auto"/>
        <w:bottom w:val="none" w:sz="0" w:space="0" w:color="auto"/>
        <w:right w:val="none" w:sz="0" w:space="0" w:color="auto"/>
      </w:divBdr>
    </w:div>
    <w:div w:id="1273250097">
      <w:bodyDiv w:val="1"/>
      <w:marLeft w:val="0"/>
      <w:marRight w:val="0"/>
      <w:marTop w:val="0"/>
      <w:marBottom w:val="0"/>
      <w:divBdr>
        <w:top w:val="none" w:sz="0" w:space="0" w:color="auto"/>
        <w:left w:val="none" w:sz="0" w:space="0" w:color="auto"/>
        <w:bottom w:val="none" w:sz="0" w:space="0" w:color="auto"/>
        <w:right w:val="none" w:sz="0" w:space="0" w:color="auto"/>
      </w:divBdr>
    </w:div>
    <w:div w:id="1274897755">
      <w:bodyDiv w:val="1"/>
      <w:marLeft w:val="0"/>
      <w:marRight w:val="0"/>
      <w:marTop w:val="0"/>
      <w:marBottom w:val="0"/>
      <w:divBdr>
        <w:top w:val="none" w:sz="0" w:space="0" w:color="auto"/>
        <w:left w:val="none" w:sz="0" w:space="0" w:color="auto"/>
        <w:bottom w:val="none" w:sz="0" w:space="0" w:color="auto"/>
        <w:right w:val="none" w:sz="0" w:space="0" w:color="auto"/>
      </w:divBdr>
    </w:div>
    <w:div w:id="1292594271">
      <w:bodyDiv w:val="1"/>
      <w:marLeft w:val="0"/>
      <w:marRight w:val="0"/>
      <w:marTop w:val="0"/>
      <w:marBottom w:val="0"/>
      <w:divBdr>
        <w:top w:val="none" w:sz="0" w:space="0" w:color="auto"/>
        <w:left w:val="none" w:sz="0" w:space="0" w:color="auto"/>
        <w:bottom w:val="none" w:sz="0" w:space="0" w:color="auto"/>
        <w:right w:val="none" w:sz="0" w:space="0" w:color="auto"/>
      </w:divBdr>
    </w:div>
    <w:div w:id="1296913039">
      <w:bodyDiv w:val="1"/>
      <w:marLeft w:val="0"/>
      <w:marRight w:val="0"/>
      <w:marTop w:val="0"/>
      <w:marBottom w:val="0"/>
      <w:divBdr>
        <w:top w:val="none" w:sz="0" w:space="0" w:color="auto"/>
        <w:left w:val="none" w:sz="0" w:space="0" w:color="auto"/>
        <w:bottom w:val="none" w:sz="0" w:space="0" w:color="auto"/>
        <w:right w:val="none" w:sz="0" w:space="0" w:color="auto"/>
      </w:divBdr>
    </w:div>
    <w:div w:id="1328434848">
      <w:bodyDiv w:val="1"/>
      <w:marLeft w:val="0"/>
      <w:marRight w:val="0"/>
      <w:marTop w:val="0"/>
      <w:marBottom w:val="0"/>
      <w:divBdr>
        <w:top w:val="none" w:sz="0" w:space="0" w:color="auto"/>
        <w:left w:val="none" w:sz="0" w:space="0" w:color="auto"/>
        <w:bottom w:val="none" w:sz="0" w:space="0" w:color="auto"/>
        <w:right w:val="none" w:sz="0" w:space="0" w:color="auto"/>
      </w:divBdr>
    </w:div>
    <w:div w:id="1349216093">
      <w:bodyDiv w:val="1"/>
      <w:marLeft w:val="0"/>
      <w:marRight w:val="0"/>
      <w:marTop w:val="0"/>
      <w:marBottom w:val="0"/>
      <w:divBdr>
        <w:top w:val="none" w:sz="0" w:space="0" w:color="auto"/>
        <w:left w:val="none" w:sz="0" w:space="0" w:color="auto"/>
        <w:bottom w:val="none" w:sz="0" w:space="0" w:color="auto"/>
        <w:right w:val="none" w:sz="0" w:space="0" w:color="auto"/>
      </w:divBdr>
    </w:div>
    <w:div w:id="1361778499">
      <w:bodyDiv w:val="1"/>
      <w:marLeft w:val="0"/>
      <w:marRight w:val="0"/>
      <w:marTop w:val="0"/>
      <w:marBottom w:val="0"/>
      <w:divBdr>
        <w:top w:val="none" w:sz="0" w:space="0" w:color="auto"/>
        <w:left w:val="none" w:sz="0" w:space="0" w:color="auto"/>
        <w:bottom w:val="none" w:sz="0" w:space="0" w:color="auto"/>
        <w:right w:val="none" w:sz="0" w:space="0" w:color="auto"/>
      </w:divBdr>
    </w:div>
    <w:div w:id="1370104876">
      <w:bodyDiv w:val="1"/>
      <w:marLeft w:val="0"/>
      <w:marRight w:val="0"/>
      <w:marTop w:val="0"/>
      <w:marBottom w:val="0"/>
      <w:divBdr>
        <w:top w:val="none" w:sz="0" w:space="0" w:color="auto"/>
        <w:left w:val="none" w:sz="0" w:space="0" w:color="auto"/>
        <w:bottom w:val="none" w:sz="0" w:space="0" w:color="auto"/>
        <w:right w:val="none" w:sz="0" w:space="0" w:color="auto"/>
      </w:divBdr>
    </w:div>
    <w:div w:id="1379085504">
      <w:bodyDiv w:val="1"/>
      <w:marLeft w:val="0"/>
      <w:marRight w:val="0"/>
      <w:marTop w:val="0"/>
      <w:marBottom w:val="0"/>
      <w:divBdr>
        <w:top w:val="none" w:sz="0" w:space="0" w:color="auto"/>
        <w:left w:val="none" w:sz="0" w:space="0" w:color="auto"/>
        <w:bottom w:val="none" w:sz="0" w:space="0" w:color="auto"/>
        <w:right w:val="none" w:sz="0" w:space="0" w:color="auto"/>
      </w:divBdr>
    </w:div>
    <w:div w:id="1384015456">
      <w:bodyDiv w:val="1"/>
      <w:marLeft w:val="0"/>
      <w:marRight w:val="0"/>
      <w:marTop w:val="0"/>
      <w:marBottom w:val="0"/>
      <w:divBdr>
        <w:top w:val="none" w:sz="0" w:space="0" w:color="auto"/>
        <w:left w:val="none" w:sz="0" w:space="0" w:color="auto"/>
        <w:bottom w:val="none" w:sz="0" w:space="0" w:color="auto"/>
        <w:right w:val="none" w:sz="0" w:space="0" w:color="auto"/>
      </w:divBdr>
      <w:divsChild>
        <w:div w:id="126046743">
          <w:marLeft w:val="0"/>
          <w:marRight w:val="0"/>
          <w:marTop w:val="0"/>
          <w:marBottom w:val="0"/>
          <w:divBdr>
            <w:top w:val="none" w:sz="0" w:space="0" w:color="auto"/>
            <w:left w:val="none" w:sz="0" w:space="0" w:color="auto"/>
            <w:bottom w:val="none" w:sz="0" w:space="0" w:color="auto"/>
            <w:right w:val="none" w:sz="0" w:space="0" w:color="auto"/>
          </w:divBdr>
        </w:div>
        <w:div w:id="1156801748">
          <w:marLeft w:val="0"/>
          <w:marRight w:val="0"/>
          <w:marTop w:val="0"/>
          <w:marBottom w:val="0"/>
          <w:divBdr>
            <w:top w:val="none" w:sz="0" w:space="0" w:color="auto"/>
            <w:left w:val="none" w:sz="0" w:space="0" w:color="auto"/>
            <w:bottom w:val="none" w:sz="0" w:space="0" w:color="auto"/>
            <w:right w:val="none" w:sz="0" w:space="0" w:color="auto"/>
          </w:divBdr>
        </w:div>
        <w:div w:id="1355351057">
          <w:marLeft w:val="0"/>
          <w:marRight w:val="0"/>
          <w:marTop w:val="0"/>
          <w:marBottom w:val="0"/>
          <w:divBdr>
            <w:top w:val="none" w:sz="0" w:space="0" w:color="auto"/>
            <w:left w:val="none" w:sz="0" w:space="0" w:color="auto"/>
            <w:bottom w:val="none" w:sz="0" w:space="0" w:color="auto"/>
            <w:right w:val="none" w:sz="0" w:space="0" w:color="auto"/>
          </w:divBdr>
        </w:div>
        <w:div w:id="1460682985">
          <w:marLeft w:val="0"/>
          <w:marRight w:val="0"/>
          <w:marTop w:val="0"/>
          <w:marBottom w:val="0"/>
          <w:divBdr>
            <w:top w:val="none" w:sz="0" w:space="0" w:color="auto"/>
            <w:left w:val="none" w:sz="0" w:space="0" w:color="auto"/>
            <w:bottom w:val="none" w:sz="0" w:space="0" w:color="auto"/>
            <w:right w:val="none" w:sz="0" w:space="0" w:color="auto"/>
          </w:divBdr>
        </w:div>
      </w:divsChild>
    </w:div>
    <w:div w:id="1395742476">
      <w:bodyDiv w:val="1"/>
      <w:marLeft w:val="0"/>
      <w:marRight w:val="0"/>
      <w:marTop w:val="0"/>
      <w:marBottom w:val="0"/>
      <w:divBdr>
        <w:top w:val="none" w:sz="0" w:space="0" w:color="auto"/>
        <w:left w:val="none" w:sz="0" w:space="0" w:color="auto"/>
        <w:bottom w:val="none" w:sz="0" w:space="0" w:color="auto"/>
        <w:right w:val="none" w:sz="0" w:space="0" w:color="auto"/>
      </w:divBdr>
    </w:div>
    <w:div w:id="1411778973">
      <w:bodyDiv w:val="1"/>
      <w:marLeft w:val="0"/>
      <w:marRight w:val="0"/>
      <w:marTop w:val="0"/>
      <w:marBottom w:val="0"/>
      <w:divBdr>
        <w:top w:val="none" w:sz="0" w:space="0" w:color="auto"/>
        <w:left w:val="none" w:sz="0" w:space="0" w:color="auto"/>
        <w:bottom w:val="none" w:sz="0" w:space="0" w:color="auto"/>
        <w:right w:val="none" w:sz="0" w:space="0" w:color="auto"/>
      </w:divBdr>
    </w:div>
    <w:div w:id="1415401065">
      <w:bodyDiv w:val="1"/>
      <w:marLeft w:val="0"/>
      <w:marRight w:val="0"/>
      <w:marTop w:val="0"/>
      <w:marBottom w:val="0"/>
      <w:divBdr>
        <w:top w:val="none" w:sz="0" w:space="0" w:color="auto"/>
        <w:left w:val="none" w:sz="0" w:space="0" w:color="auto"/>
        <w:bottom w:val="none" w:sz="0" w:space="0" w:color="auto"/>
        <w:right w:val="none" w:sz="0" w:space="0" w:color="auto"/>
      </w:divBdr>
    </w:div>
    <w:div w:id="1415513791">
      <w:bodyDiv w:val="1"/>
      <w:marLeft w:val="0"/>
      <w:marRight w:val="0"/>
      <w:marTop w:val="0"/>
      <w:marBottom w:val="0"/>
      <w:divBdr>
        <w:top w:val="none" w:sz="0" w:space="0" w:color="auto"/>
        <w:left w:val="none" w:sz="0" w:space="0" w:color="auto"/>
        <w:bottom w:val="none" w:sz="0" w:space="0" w:color="auto"/>
        <w:right w:val="none" w:sz="0" w:space="0" w:color="auto"/>
      </w:divBdr>
    </w:div>
    <w:div w:id="1422407073">
      <w:bodyDiv w:val="1"/>
      <w:marLeft w:val="0"/>
      <w:marRight w:val="0"/>
      <w:marTop w:val="0"/>
      <w:marBottom w:val="0"/>
      <w:divBdr>
        <w:top w:val="none" w:sz="0" w:space="0" w:color="auto"/>
        <w:left w:val="none" w:sz="0" w:space="0" w:color="auto"/>
        <w:bottom w:val="none" w:sz="0" w:space="0" w:color="auto"/>
        <w:right w:val="none" w:sz="0" w:space="0" w:color="auto"/>
      </w:divBdr>
      <w:divsChild>
        <w:div w:id="606084022">
          <w:marLeft w:val="0"/>
          <w:marRight w:val="0"/>
          <w:marTop w:val="0"/>
          <w:marBottom w:val="0"/>
          <w:divBdr>
            <w:top w:val="none" w:sz="0" w:space="0" w:color="auto"/>
            <w:left w:val="none" w:sz="0" w:space="0" w:color="auto"/>
            <w:bottom w:val="none" w:sz="0" w:space="0" w:color="auto"/>
            <w:right w:val="none" w:sz="0" w:space="0" w:color="auto"/>
          </w:divBdr>
        </w:div>
        <w:div w:id="607740256">
          <w:marLeft w:val="0"/>
          <w:marRight w:val="0"/>
          <w:marTop w:val="0"/>
          <w:marBottom w:val="0"/>
          <w:divBdr>
            <w:top w:val="none" w:sz="0" w:space="0" w:color="auto"/>
            <w:left w:val="none" w:sz="0" w:space="0" w:color="auto"/>
            <w:bottom w:val="none" w:sz="0" w:space="0" w:color="auto"/>
            <w:right w:val="none" w:sz="0" w:space="0" w:color="auto"/>
          </w:divBdr>
        </w:div>
        <w:div w:id="1215920896">
          <w:marLeft w:val="0"/>
          <w:marRight w:val="0"/>
          <w:marTop w:val="0"/>
          <w:marBottom w:val="0"/>
          <w:divBdr>
            <w:top w:val="none" w:sz="0" w:space="0" w:color="auto"/>
            <w:left w:val="none" w:sz="0" w:space="0" w:color="auto"/>
            <w:bottom w:val="none" w:sz="0" w:space="0" w:color="auto"/>
            <w:right w:val="none" w:sz="0" w:space="0" w:color="auto"/>
          </w:divBdr>
        </w:div>
        <w:div w:id="1787457170">
          <w:marLeft w:val="0"/>
          <w:marRight w:val="0"/>
          <w:marTop w:val="0"/>
          <w:marBottom w:val="0"/>
          <w:divBdr>
            <w:top w:val="none" w:sz="0" w:space="0" w:color="auto"/>
            <w:left w:val="none" w:sz="0" w:space="0" w:color="auto"/>
            <w:bottom w:val="none" w:sz="0" w:space="0" w:color="auto"/>
            <w:right w:val="none" w:sz="0" w:space="0" w:color="auto"/>
          </w:divBdr>
        </w:div>
        <w:div w:id="2022196637">
          <w:marLeft w:val="0"/>
          <w:marRight w:val="0"/>
          <w:marTop w:val="0"/>
          <w:marBottom w:val="0"/>
          <w:divBdr>
            <w:top w:val="none" w:sz="0" w:space="0" w:color="auto"/>
            <w:left w:val="none" w:sz="0" w:space="0" w:color="auto"/>
            <w:bottom w:val="none" w:sz="0" w:space="0" w:color="auto"/>
            <w:right w:val="none" w:sz="0" w:space="0" w:color="auto"/>
          </w:divBdr>
        </w:div>
      </w:divsChild>
    </w:div>
    <w:div w:id="1431462987">
      <w:bodyDiv w:val="1"/>
      <w:marLeft w:val="0"/>
      <w:marRight w:val="0"/>
      <w:marTop w:val="0"/>
      <w:marBottom w:val="0"/>
      <w:divBdr>
        <w:top w:val="none" w:sz="0" w:space="0" w:color="auto"/>
        <w:left w:val="none" w:sz="0" w:space="0" w:color="auto"/>
        <w:bottom w:val="none" w:sz="0" w:space="0" w:color="auto"/>
        <w:right w:val="none" w:sz="0" w:space="0" w:color="auto"/>
      </w:divBdr>
    </w:div>
    <w:div w:id="1433014884">
      <w:bodyDiv w:val="1"/>
      <w:marLeft w:val="0"/>
      <w:marRight w:val="0"/>
      <w:marTop w:val="0"/>
      <w:marBottom w:val="0"/>
      <w:divBdr>
        <w:top w:val="none" w:sz="0" w:space="0" w:color="auto"/>
        <w:left w:val="none" w:sz="0" w:space="0" w:color="auto"/>
        <w:bottom w:val="none" w:sz="0" w:space="0" w:color="auto"/>
        <w:right w:val="none" w:sz="0" w:space="0" w:color="auto"/>
      </w:divBdr>
    </w:div>
    <w:div w:id="1442215000">
      <w:bodyDiv w:val="1"/>
      <w:marLeft w:val="0"/>
      <w:marRight w:val="0"/>
      <w:marTop w:val="0"/>
      <w:marBottom w:val="0"/>
      <w:divBdr>
        <w:top w:val="none" w:sz="0" w:space="0" w:color="auto"/>
        <w:left w:val="none" w:sz="0" w:space="0" w:color="auto"/>
        <w:bottom w:val="none" w:sz="0" w:space="0" w:color="auto"/>
        <w:right w:val="none" w:sz="0" w:space="0" w:color="auto"/>
      </w:divBdr>
    </w:div>
    <w:div w:id="1456943930">
      <w:bodyDiv w:val="1"/>
      <w:marLeft w:val="0"/>
      <w:marRight w:val="0"/>
      <w:marTop w:val="0"/>
      <w:marBottom w:val="0"/>
      <w:divBdr>
        <w:top w:val="none" w:sz="0" w:space="0" w:color="auto"/>
        <w:left w:val="none" w:sz="0" w:space="0" w:color="auto"/>
        <w:bottom w:val="none" w:sz="0" w:space="0" w:color="auto"/>
        <w:right w:val="none" w:sz="0" w:space="0" w:color="auto"/>
      </w:divBdr>
    </w:div>
    <w:div w:id="1464152644">
      <w:bodyDiv w:val="1"/>
      <w:marLeft w:val="0"/>
      <w:marRight w:val="0"/>
      <w:marTop w:val="0"/>
      <w:marBottom w:val="0"/>
      <w:divBdr>
        <w:top w:val="none" w:sz="0" w:space="0" w:color="auto"/>
        <w:left w:val="none" w:sz="0" w:space="0" w:color="auto"/>
        <w:bottom w:val="none" w:sz="0" w:space="0" w:color="auto"/>
        <w:right w:val="none" w:sz="0" w:space="0" w:color="auto"/>
      </w:divBdr>
    </w:div>
    <w:div w:id="1468206322">
      <w:bodyDiv w:val="1"/>
      <w:marLeft w:val="0"/>
      <w:marRight w:val="0"/>
      <w:marTop w:val="0"/>
      <w:marBottom w:val="0"/>
      <w:divBdr>
        <w:top w:val="none" w:sz="0" w:space="0" w:color="auto"/>
        <w:left w:val="none" w:sz="0" w:space="0" w:color="auto"/>
        <w:bottom w:val="none" w:sz="0" w:space="0" w:color="auto"/>
        <w:right w:val="none" w:sz="0" w:space="0" w:color="auto"/>
      </w:divBdr>
    </w:div>
    <w:div w:id="1474373849">
      <w:bodyDiv w:val="1"/>
      <w:marLeft w:val="0"/>
      <w:marRight w:val="0"/>
      <w:marTop w:val="0"/>
      <w:marBottom w:val="0"/>
      <w:divBdr>
        <w:top w:val="none" w:sz="0" w:space="0" w:color="auto"/>
        <w:left w:val="none" w:sz="0" w:space="0" w:color="auto"/>
        <w:bottom w:val="none" w:sz="0" w:space="0" w:color="auto"/>
        <w:right w:val="none" w:sz="0" w:space="0" w:color="auto"/>
      </w:divBdr>
    </w:div>
    <w:div w:id="1485270487">
      <w:bodyDiv w:val="1"/>
      <w:marLeft w:val="0"/>
      <w:marRight w:val="0"/>
      <w:marTop w:val="0"/>
      <w:marBottom w:val="0"/>
      <w:divBdr>
        <w:top w:val="none" w:sz="0" w:space="0" w:color="auto"/>
        <w:left w:val="none" w:sz="0" w:space="0" w:color="auto"/>
        <w:bottom w:val="none" w:sz="0" w:space="0" w:color="auto"/>
        <w:right w:val="none" w:sz="0" w:space="0" w:color="auto"/>
      </w:divBdr>
    </w:div>
    <w:div w:id="1505901082">
      <w:bodyDiv w:val="1"/>
      <w:marLeft w:val="0"/>
      <w:marRight w:val="0"/>
      <w:marTop w:val="0"/>
      <w:marBottom w:val="0"/>
      <w:divBdr>
        <w:top w:val="none" w:sz="0" w:space="0" w:color="auto"/>
        <w:left w:val="none" w:sz="0" w:space="0" w:color="auto"/>
        <w:bottom w:val="none" w:sz="0" w:space="0" w:color="auto"/>
        <w:right w:val="none" w:sz="0" w:space="0" w:color="auto"/>
      </w:divBdr>
    </w:div>
    <w:div w:id="1512645768">
      <w:bodyDiv w:val="1"/>
      <w:marLeft w:val="0"/>
      <w:marRight w:val="0"/>
      <w:marTop w:val="0"/>
      <w:marBottom w:val="0"/>
      <w:divBdr>
        <w:top w:val="none" w:sz="0" w:space="0" w:color="auto"/>
        <w:left w:val="none" w:sz="0" w:space="0" w:color="auto"/>
        <w:bottom w:val="none" w:sz="0" w:space="0" w:color="auto"/>
        <w:right w:val="none" w:sz="0" w:space="0" w:color="auto"/>
      </w:divBdr>
    </w:div>
    <w:div w:id="1573467488">
      <w:bodyDiv w:val="1"/>
      <w:marLeft w:val="0"/>
      <w:marRight w:val="0"/>
      <w:marTop w:val="0"/>
      <w:marBottom w:val="0"/>
      <w:divBdr>
        <w:top w:val="none" w:sz="0" w:space="0" w:color="auto"/>
        <w:left w:val="none" w:sz="0" w:space="0" w:color="auto"/>
        <w:bottom w:val="none" w:sz="0" w:space="0" w:color="auto"/>
        <w:right w:val="none" w:sz="0" w:space="0" w:color="auto"/>
      </w:divBdr>
    </w:div>
    <w:div w:id="1578633119">
      <w:bodyDiv w:val="1"/>
      <w:marLeft w:val="0"/>
      <w:marRight w:val="0"/>
      <w:marTop w:val="0"/>
      <w:marBottom w:val="0"/>
      <w:divBdr>
        <w:top w:val="none" w:sz="0" w:space="0" w:color="auto"/>
        <w:left w:val="none" w:sz="0" w:space="0" w:color="auto"/>
        <w:bottom w:val="none" w:sz="0" w:space="0" w:color="auto"/>
        <w:right w:val="none" w:sz="0" w:space="0" w:color="auto"/>
      </w:divBdr>
    </w:div>
    <w:div w:id="1584294124">
      <w:bodyDiv w:val="1"/>
      <w:marLeft w:val="0"/>
      <w:marRight w:val="0"/>
      <w:marTop w:val="0"/>
      <w:marBottom w:val="0"/>
      <w:divBdr>
        <w:top w:val="none" w:sz="0" w:space="0" w:color="auto"/>
        <w:left w:val="none" w:sz="0" w:space="0" w:color="auto"/>
        <w:bottom w:val="none" w:sz="0" w:space="0" w:color="auto"/>
        <w:right w:val="none" w:sz="0" w:space="0" w:color="auto"/>
      </w:divBdr>
    </w:div>
    <w:div w:id="1595700293">
      <w:bodyDiv w:val="1"/>
      <w:marLeft w:val="0"/>
      <w:marRight w:val="0"/>
      <w:marTop w:val="0"/>
      <w:marBottom w:val="0"/>
      <w:divBdr>
        <w:top w:val="none" w:sz="0" w:space="0" w:color="auto"/>
        <w:left w:val="none" w:sz="0" w:space="0" w:color="auto"/>
        <w:bottom w:val="none" w:sz="0" w:space="0" w:color="auto"/>
        <w:right w:val="none" w:sz="0" w:space="0" w:color="auto"/>
      </w:divBdr>
    </w:div>
    <w:div w:id="1598899836">
      <w:bodyDiv w:val="1"/>
      <w:marLeft w:val="0"/>
      <w:marRight w:val="0"/>
      <w:marTop w:val="0"/>
      <w:marBottom w:val="0"/>
      <w:divBdr>
        <w:top w:val="none" w:sz="0" w:space="0" w:color="auto"/>
        <w:left w:val="none" w:sz="0" w:space="0" w:color="auto"/>
        <w:bottom w:val="none" w:sz="0" w:space="0" w:color="auto"/>
        <w:right w:val="none" w:sz="0" w:space="0" w:color="auto"/>
      </w:divBdr>
    </w:div>
    <w:div w:id="1615136689">
      <w:bodyDiv w:val="1"/>
      <w:marLeft w:val="0"/>
      <w:marRight w:val="0"/>
      <w:marTop w:val="0"/>
      <w:marBottom w:val="0"/>
      <w:divBdr>
        <w:top w:val="none" w:sz="0" w:space="0" w:color="auto"/>
        <w:left w:val="none" w:sz="0" w:space="0" w:color="auto"/>
        <w:bottom w:val="none" w:sz="0" w:space="0" w:color="auto"/>
        <w:right w:val="none" w:sz="0" w:space="0" w:color="auto"/>
      </w:divBdr>
    </w:div>
    <w:div w:id="1625035373">
      <w:bodyDiv w:val="1"/>
      <w:marLeft w:val="0"/>
      <w:marRight w:val="0"/>
      <w:marTop w:val="0"/>
      <w:marBottom w:val="0"/>
      <w:divBdr>
        <w:top w:val="none" w:sz="0" w:space="0" w:color="auto"/>
        <w:left w:val="none" w:sz="0" w:space="0" w:color="auto"/>
        <w:bottom w:val="none" w:sz="0" w:space="0" w:color="auto"/>
        <w:right w:val="none" w:sz="0" w:space="0" w:color="auto"/>
      </w:divBdr>
      <w:divsChild>
        <w:div w:id="854878218">
          <w:marLeft w:val="0"/>
          <w:marRight w:val="0"/>
          <w:marTop w:val="0"/>
          <w:marBottom w:val="0"/>
          <w:divBdr>
            <w:top w:val="none" w:sz="0" w:space="0" w:color="auto"/>
            <w:left w:val="none" w:sz="0" w:space="0" w:color="auto"/>
            <w:bottom w:val="none" w:sz="0" w:space="0" w:color="auto"/>
            <w:right w:val="none" w:sz="0" w:space="0" w:color="auto"/>
          </w:divBdr>
        </w:div>
      </w:divsChild>
    </w:div>
    <w:div w:id="1645158720">
      <w:bodyDiv w:val="1"/>
      <w:marLeft w:val="0"/>
      <w:marRight w:val="0"/>
      <w:marTop w:val="0"/>
      <w:marBottom w:val="0"/>
      <w:divBdr>
        <w:top w:val="none" w:sz="0" w:space="0" w:color="auto"/>
        <w:left w:val="none" w:sz="0" w:space="0" w:color="auto"/>
        <w:bottom w:val="none" w:sz="0" w:space="0" w:color="auto"/>
        <w:right w:val="none" w:sz="0" w:space="0" w:color="auto"/>
      </w:divBdr>
    </w:div>
    <w:div w:id="1652636361">
      <w:bodyDiv w:val="1"/>
      <w:marLeft w:val="0"/>
      <w:marRight w:val="0"/>
      <w:marTop w:val="0"/>
      <w:marBottom w:val="0"/>
      <w:divBdr>
        <w:top w:val="none" w:sz="0" w:space="0" w:color="auto"/>
        <w:left w:val="none" w:sz="0" w:space="0" w:color="auto"/>
        <w:bottom w:val="none" w:sz="0" w:space="0" w:color="auto"/>
        <w:right w:val="none" w:sz="0" w:space="0" w:color="auto"/>
      </w:divBdr>
    </w:div>
    <w:div w:id="1674915156">
      <w:bodyDiv w:val="1"/>
      <w:marLeft w:val="0"/>
      <w:marRight w:val="0"/>
      <w:marTop w:val="0"/>
      <w:marBottom w:val="0"/>
      <w:divBdr>
        <w:top w:val="none" w:sz="0" w:space="0" w:color="auto"/>
        <w:left w:val="none" w:sz="0" w:space="0" w:color="auto"/>
        <w:bottom w:val="none" w:sz="0" w:space="0" w:color="auto"/>
        <w:right w:val="none" w:sz="0" w:space="0" w:color="auto"/>
      </w:divBdr>
    </w:div>
    <w:div w:id="1690521367">
      <w:bodyDiv w:val="1"/>
      <w:marLeft w:val="0"/>
      <w:marRight w:val="0"/>
      <w:marTop w:val="0"/>
      <w:marBottom w:val="0"/>
      <w:divBdr>
        <w:top w:val="none" w:sz="0" w:space="0" w:color="auto"/>
        <w:left w:val="none" w:sz="0" w:space="0" w:color="auto"/>
        <w:bottom w:val="none" w:sz="0" w:space="0" w:color="auto"/>
        <w:right w:val="none" w:sz="0" w:space="0" w:color="auto"/>
      </w:divBdr>
    </w:div>
    <w:div w:id="1697199455">
      <w:bodyDiv w:val="1"/>
      <w:marLeft w:val="0"/>
      <w:marRight w:val="0"/>
      <w:marTop w:val="0"/>
      <w:marBottom w:val="0"/>
      <w:divBdr>
        <w:top w:val="none" w:sz="0" w:space="0" w:color="auto"/>
        <w:left w:val="none" w:sz="0" w:space="0" w:color="auto"/>
        <w:bottom w:val="none" w:sz="0" w:space="0" w:color="auto"/>
        <w:right w:val="none" w:sz="0" w:space="0" w:color="auto"/>
      </w:divBdr>
    </w:div>
    <w:div w:id="1698118835">
      <w:bodyDiv w:val="1"/>
      <w:marLeft w:val="0"/>
      <w:marRight w:val="0"/>
      <w:marTop w:val="0"/>
      <w:marBottom w:val="0"/>
      <w:divBdr>
        <w:top w:val="none" w:sz="0" w:space="0" w:color="auto"/>
        <w:left w:val="none" w:sz="0" w:space="0" w:color="auto"/>
        <w:bottom w:val="none" w:sz="0" w:space="0" w:color="auto"/>
        <w:right w:val="none" w:sz="0" w:space="0" w:color="auto"/>
      </w:divBdr>
    </w:div>
    <w:div w:id="1698659464">
      <w:bodyDiv w:val="1"/>
      <w:marLeft w:val="0"/>
      <w:marRight w:val="0"/>
      <w:marTop w:val="0"/>
      <w:marBottom w:val="0"/>
      <w:divBdr>
        <w:top w:val="none" w:sz="0" w:space="0" w:color="auto"/>
        <w:left w:val="none" w:sz="0" w:space="0" w:color="auto"/>
        <w:bottom w:val="none" w:sz="0" w:space="0" w:color="auto"/>
        <w:right w:val="none" w:sz="0" w:space="0" w:color="auto"/>
      </w:divBdr>
    </w:div>
    <w:div w:id="1746487457">
      <w:bodyDiv w:val="1"/>
      <w:marLeft w:val="0"/>
      <w:marRight w:val="0"/>
      <w:marTop w:val="0"/>
      <w:marBottom w:val="0"/>
      <w:divBdr>
        <w:top w:val="none" w:sz="0" w:space="0" w:color="auto"/>
        <w:left w:val="none" w:sz="0" w:space="0" w:color="auto"/>
        <w:bottom w:val="none" w:sz="0" w:space="0" w:color="auto"/>
        <w:right w:val="none" w:sz="0" w:space="0" w:color="auto"/>
      </w:divBdr>
    </w:div>
    <w:div w:id="1755859711">
      <w:bodyDiv w:val="1"/>
      <w:marLeft w:val="0"/>
      <w:marRight w:val="0"/>
      <w:marTop w:val="0"/>
      <w:marBottom w:val="0"/>
      <w:divBdr>
        <w:top w:val="none" w:sz="0" w:space="0" w:color="auto"/>
        <w:left w:val="none" w:sz="0" w:space="0" w:color="auto"/>
        <w:bottom w:val="none" w:sz="0" w:space="0" w:color="auto"/>
        <w:right w:val="none" w:sz="0" w:space="0" w:color="auto"/>
      </w:divBdr>
    </w:div>
    <w:div w:id="1761951468">
      <w:bodyDiv w:val="1"/>
      <w:marLeft w:val="0"/>
      <w:marRight w:val="0"/>
      <w:marTop w:val="0"/>
      <w:marBottom w:val="0"/>
      <w:divBdr>
        <w:top w:val="none" w:sz="0" w:space="0" w:color="auto"/>
        <w:left w:val="none" w:sz="0" w:space="0" w:color="auto"/>
        <w:bottom w:val="none" w:sz="0" w:space="0" w:color="auto"/>
        <w:right w:val="none" w:sz="0" w:space="0" w:color="auto"/>
      </w:divBdr>
    </w:div>
    <w:div w:id="1800339976">
      <w:bodyDiv w:val="1"/>
      <w:marLeft w:val="0"/>
      <w:marRight w:val="0"/>
      <w:marTop w:val="0"/>
      <w:marBottom w:val="0"/>
      <w:divBdr>
        <w:top w:val="none" w:sz="0" w:space="0" w:color="auto"/>
        <w:left w:val="none" w:sz="0" w:space="0" w:color="auto"/>
        <w:bottom w:val="none" w:sz="0" w:space="0" w:color="auto"/>
        <w:right w:val="none" w:sz="0" w:space="0" w:color="auto"/>
      </w:divBdr>
    </w:div>
    <w:div w:id="1814370554">
      <w:bodyDiv w:val="1"/>
      <w:marLeft w:val="0"/>
      <w:marRight w:val="0"/>
      <w:marTop w:val="0"/>
      <w:marBottom w:val="0"/>
      <w:divBdr>
        <w:top w:val="none" w:sz="0" w:space="0" w:color="auto"/>
        <w:left w:val="none" w:sz="0" w:space="0" w:color="auto"/>
        <w:bottom w:val="none" w:sz="0" w:space="0" w:color="auto"/>
        <w:right w:val="none" w:sz="0" w:space="0" w:color="auto"/>
      </w:divBdr>
    </w:div>
    <w:div w:id="1815640875">
      <w:bodyDiv w:val="1"/>
      <w:marLeft w:val="0"/>
      <w:marRight w:val="0"/>
      <w:marTop w:val="0"/>
      <w:marBottom w:val="0"/>
      <w:divBdr>
        <w:top w:val="none" w:sz="0" w:space="0" w:color="auto"/>
        <w:left w:val="none" w:sz="0" w:space="0" w:color="auto"/>
        <w:bottom w:val="none" w:sz="0" w:space="0" w:color="auto"/>
        <w:right w:val="none" w:sz="0" w:space="0" w:color="auto"/>
      </w:divBdr>
      <w:divsChild>
        <w:div w:id="434332086">
          <w:marLeft w:val="0"/>
          <w:marRight w:val="0"/>
          <w:marTop w:val="0"/>
          <w:marBottom w:val="0"/>
          <w:divBdr>
            <w:top w:val="none" w:sz="0" w:space="0" w:color="auto"/>
            <w:left w:val="none" w:sz="0" w:space="0" w:color="auto"/>
            <w:bottom w:val="none" w:sz="0" w:space="0" w:color="auto"/>
            <w:right w:val="none" w:sz="0" w:space="0" w:color="auto"/>
          </w:divBdr>
        </w:div>
        <w:div w:id="553321102">
          <w:marLeft w:val="0"/>
          <w:marRight w:val="0"/>
          <w:marTop w:val="0"/>
          <w:marBottom w:val="0"/>
          <w:divBdr>
            <w:top w:val="none" w:sz="0" w:space="0" w:color="auto"/>
            <w:left w:val="none" w:sz="0" w:space="0" w:color="auto"/>
            <w:bottom w:val="none" w:sz="0" w:space="0" w:color="auto"/>
            <w:right w:val="none" w:sz="0" w:space="0" w:color="auto"/>
          </w:divBdr>
        </w:div>
        <w:div w:id="786239843">
          <w:marLeft w:val="0"/>
          <w:marRight w:val="0"/>
          <w:marTop w:val="0"/>
          <w:marBottom w:val="0"/>
          <w:divBdr>
            <w:top w:val="none" w:sz="0" w:space="0" w:color="auto"/>
            <w:left w:val="none" w:sz="0" w:space="0" w:color="auto"/>
            <w:bottom w:val="none" w:sz="0" w:space="0" w:color="auto"/>
            <w:right w:val="none" w:sz="0" w:space="0" w:color="auto"/>
          </w:divBdr>
        </w:div>
        <w:div w:id="943810026">
          <w:marLeft w:val="0"/>
          <w:marRight w:val="0"/>
          <w:marTop w:val="0"/>
          <w:marBottom w:val="0"/>
          <w:divBdr>
            <w:top w:val="none" w:sz="0" w:space="0" w:color="auto"/>
            <w:left w:val="none" w:sz="0" w:space="0" w:color="auto"/>
            <w:bottom w:val="none" w:sz="0" w:space="0" w:color="auto"/>
            <w:right w:val="none" w:sz="0" w:space="0" w:color="auto"/>
          </w:divBdr>
        </w:div>
        <w:div w:id="1969164847">
          <w:marLeft w:val="0"/>
          <w:marRight w:val="0"/>
          <w:marTop w:val="0"/>
          <w:marBottom w:val="0"/>
          <w:divBdr>
            <w:top w:val="none" w:sz="0" w:space="0" w:color="auto"/>
            <w:left w:val="none" w:sz="0" w:space="0" w:color="auto"/>
            <w:bottom w:val="none" w:sz="0" w:space="0" w:color="auto"/>
            <w:right w:val="none" w:sz="0" w:space="0" w:color="auto"/>
          </w:divBdr>
        </w:div>
      </w:divsChild>
    </w:div>
    <w:div w:id="1835220348">
      <w:bodyDiv w:val="1"/>
      <w:marLeft w:val="0"/>
      <w:marRight w:val="0"/>
      <w:marTop w:val="0"/>
      <w:marBottom w:val="0"/>
      <w:divBdr>
        <w:top w:val="none" w:sz="0" w:space="0" w:color="auto"/>
        <w:left w:val="none" w:sz="0" w:space="0" w:color="auto"/>
        <w:bottom w:val="none" w:sz="0" w:space="0" w:color="auto"/>
        <w:right w:val="none" w:sz="0" w:space="0" w:color="auto"/>
      </w:divBdr>
    </w:div>
    <w:div w:id="1861896488">
      <w:bodyDiv w:val="1"/>
      <w:marLeft w:val="0"/>
      <w:marRight w:val="0"/>
      <w:marTop w:val="0"/>
      <w:marBottom w:val="0"/>
      <w:divBdr>
        <w:top w:val="none" w:sz="0" w:space="0" w:color="auto"/>
        <w:left w:val="none" w:sz="0" w:space="0" w:color="auto"/>
        <w:bottom w:val="none" w:sz="0" w:space="0" w:color="auto"/>
        <w:right w:val="none" w:sz="0" w:space="0" w:color="auto"/>
      </w:divBdr>
    </w:div>
    <w:div w:id="1862087892">
      <w:bodyDiv w:val="1"/>
      <w:marLeft w:val="0"/>
      <w:marRight w:val="0"/>
      <w:marTop w:val="0"/>
      <w:marBottom w:val="0"/>
      <w:divBdr>
        <w:top w:val="none" w:sz="0" w:space="0" w:color="auto"/>
        <w:left w:val="none" w:sz="0" w:space="0" w:color="auto"/>
        <w:bottom w:val="none" w:sz="0" w:space="0" w:color="auto"/>
        <w:right w:val="none" w:sz="0" w:space="0" w:color="auto"/>
      </w:divBdr>
    </w:div>
    <w:div w:id="1874685243">
      <w:bodyDiv w:val="1"/>
      <w:marLeft w:val="0"/>
      <w:marRight w:val="0"/>
      <w:marTop w:val="0"/>
      <w:marBottom w:val="0"/>
      <w:divBdr>
        <w:top w:val="none" w:sz="0" w:space="0" w:color="auto"/>
        <w:left w:val="none" w:sz="0" w:space="0" w:color="auto"/>
        <w:bottom w:val="none" w:sz="0" w:space="0" w:color="auto"/>
        <w:right w:val="none" w:sz="0" w:space="0" w:color="auto"/>
      </w:divBdr>
    </w:div>
    <w:div w:id="1877162435">
      <w:bodyDiv w:val="1"/>
      <w:marLeft w:val="0"/>
      <w:marRight w:val="0"/>
      <w:marTop w:val="0"/>
      <w:marBottom w:val="0"/>
      <w:divBdr>
        <w:top w:val="none" w:sz="0" w:space="0" w:color="auto"/>
        <w:left w:val="none" w:sz="0" w:space="0" w:color="auto"/>
        <w:bottom w:val="none" w:sz="0" w:space="0" w:color="auto"/>
        <w:right w:val="none" w:sz="0" w:space="0" w:color="auto"/>
      </w:divBdr>
    </w:div>
    <w:div w:id="1899243694">
      <w:bodyDiv w:val="1"/>
      <w:marLeft w:val="0"/>
      <w:marRight w:val="0"/>
      <w:marTop w:val="0"/>
      <w:marBottom w:val="0"/>
      <w:divBdr>
        <w:top w:val="none" w:sz="0" w:space="0" w:color="auto"/>
        <w:left w:val="none" w:sz="0" w:space="0" w:color="auto"/>
        <w:bottom w:val="none" w:sz="0" w:space="0" w:color="auto"/>
        <w:right w:val="none" w:sz="0" w:space="0" w:color="auto"/>
      </w:divBdr>
    </w:div>
    <w:div w:id="1900167446">
      <w:bodyDiv w:val="1"/>
      <w:marLeft w:val="0"/>
      <w:marRight w:val="0"/>
      <w:marTop w:val="0"/>
      <w:marBottom w:val="0"/>
      <w:divBdr>
        <w:top w:val="none" w:sz="0" w:space="0" w:color="auto"/>
        <w:left w:val="none" w:sz="0" w:space="0" w:color="auto"/>
        <w:bottom w:val="none" w:sz="0" w:space="0" w:color="auto"/>
        <w:right w:val="none" w:sz="0" w:space="0" w:color="auto"/>
      </w:divBdr>
    </w:div>
    <w:div w:id="1902906361">
      <w:bodyDiv w:val="1"/>
      <w:marLeft w:val="0"/>
      <w:marRight w:val="0"/>
      <w:marTop w:val="0"/>
      <w:marBottom w:val="0"/>
      <w:divBdr>
        <w:top w:val="none" w:sz="0" w:space="0" w:color="auto"/>
        <w:left w:val="none" w:sz="0" w:space="0" w:color="auto"/>
        <w:bottom w:val="none" w:sz="0" w:space="0" w:color="auto"/>
        <w:right w:val="none" w:sz="0" w:space="0" w:color="auto"/>
      </w:divBdr>
    </w:div>
    <w:div w:id="1904683449">
      <w:bodyDiv w:val="1"/>
      <w:marLeft w:val="0"/>
      <w:marRight w:val="0"/>
      <w:marTop w:val="0"/>
      <w:marBottom w:val="0"/>
      <w:divBdr>
        <w:top w:val="none" w:sz="0" w:space="0" w:color="auto"/>
        <w:left w:val="none" w:sz="0" w:space="0" w:color="auto"/>
        <w:bottom w:val="none" w:sz="0" w:space="0" w:color="auto"/>
        <w:right w:val="none" w:sz="0" w:space="0" w:color="auto"/>
      </w:divBdr>
    </w:div>
    <w:div w:id="1908564932">
      <w:bodyDiv w:val="1"/>
      <w:marLeft w:val="0"/>
      <w:marRight w:val="0"/>
      <w:marTop w:val="0"/>
      <w:marBottom w:val="0"/>
      <w:divBdr>
        <w:top w:val="none" w:sz="0" w:space="0" w:color="auto"/>
        <w:left w:val="none" w:sz="0" w:space="0" w:color="auto"/>
        <w:bottom w:val="none" w:sz="0" w:space="0" w:color="auto"/>
        <w:right w:val="none" w:sz="0" w:space="0" w:color="auto"/>
      </w:divBdr>
    </w:div>
    <w:div w:id="1927183108">
      <w:bodyDiv w:val="1"/>
      <w:marLeft w:val="0"/>
      <w:marRight w:val="0"/>
      <w:marTop w:val="0"/>
      <w:marBottom w:val="0"/>
      <w:divBdr>
        <w:top w:val="none" w:sz="0" w:space="0" w:color="auto"/>
        <w:left w:val="none" w:sz="0" w:space="0" w:color="auto"/>
        <w:bottom w:val="none" w:sz="0" w:space="0" w:color="auto"/>
        <w:right w:val="none" w:sz="0" w:space="0" w:color="auto"/>
      </w:divBdr>
    </w:div>
    <w:div w:id="1970548641">
      <w:bodyDiv w:val="1"/>
      <w:marLeft w:val="0"/>
      <w:marRight w:val="0"/>
      <w:marTop w:val="0"/>
      <w:marBottom w:val="0"/>
      <w:divBdr>
        <w:top w:val="none" w:sz="0" w:space="0" w:color="auto"/>
        <w:left w:val="none" w:sz="0" w:space="0" w:color="auto"/>
        <w:bottom w:val="none" w:sz="0" w:space="0" w:color="auto"/>
        <w:right w:val="none" w:sz="0" w:space="0" w:color="auto"/>
      </w:divBdr>
    </w:div>
    <w:div w:id="1985886943">
      <w:bodyDiv w:val="1"/>
      <w:marLeft w:val="0"/>
      <w:marRight w:val="0"/>
      <w:marTop w:val="0"/>
      <w:marBottom w:val="0"/>
      <w:divBdr>
        <w:top w:val="none" w:sz="0" w:space="0" w:color="auto"/>
        <w:left w:val="none" w:sz="0" w:space="0" w:color="auto"/>
        <w:bottom w:val="none" w:sz="0" w:space="0" w:color="auto"/>
        <w:right w:val="none" w:sz="0" w:space="0" w:color="auto"/>
      </w:divBdr>
    </w:div>
    <w:div w:id="2048679729">
      <w:bodyDiv w:val="1"/>
      <w:marLeft w:val="0"/>
      <w:marRight w:val="0"/>
      <w:marTop w:val="0"/>
      <w:marBottom w:val="0"/>
      <w:divBdr>
        <w:top w:val="none" w:sz="0" w:space="0" w:color="auto"/>
        <w:left w:val="none" w:sz="0" w:space="0" w:color="auto"/>
        <w:bottom w:val="none" w:sz="0" w:space="0" w:color="auto"/>
        <w:right w:val="none" w:sz="0" w:space="0" w:color="auto"/>
      </w:divBdr>
    </w:div>
    <w:div w:id="2049253476">
      <w:bodyDiv w:val="1"/>
      <w:marLeft w:val="0"/>
      <w:marRight w:val="0"/>
      <w:marTop w:val="0"/>
      <w:marBottom w:val="0"/>
      <w:divBdr>
        <w:top w:val="none" w:sz="0" w:space="0" w:color="auto"/>
        <w:left w:val="none" w:sz="0" w:space="0" w:color="auto"/>
        <w:bottom w:val="none" w:sz="0" w:space="0" w:color="auto"/>
        <w:right w:val="none" w:sz="0" w:space="0" w:color="auto"/>
      </w:divBdr>
      <w:divsChild>
        <w:div w:id="798381068">
          <w:marLeft w:val="0"/>
          <w:marRight w:val="0"/>
          <w:marTop w:val="0"/>
          <w:marBottom w:val="0"/>
          <w:divBdr>
            <w:top w:val="none" w:sz="0" w:space="0" w:color="auto"/>
            <w:left w:val="none" w:sz="0" w:space="0" w:color="auto"/>
            <w:bottom w:val="none" w:sz="0" w:space="0" w:color="auto"/>
            <w:right w:val="none" w:sz="0" w:space="0" w:color="auto"/>
          </w:divBdr>
        </w:div>
      </w:divsChild>
    </w:div>
    <w:div w:id="2061198298">
      <w:bodyDiv w:val="1"/>
      <w:marLeft w:val="0"/>
      <w:marRight w:val="0"/>
      <w:marTop w:val="0"/>
      <w:marBottom w:val="0"/>
      <w:divBdr>
        <w:top w:val="none" w:sz="0" w:space="0" w:color="auto"/>
        <w:left w:val="none" w:sz="0" w:space="0" w:color="auto"/>
        <w:bottom w:val="none" w:sz="0" w:space="0" w:color="auto"/>
        <w:right w:val="none" w:sz="0" w:space="0" w:color="auto"/>
      </w:divBdr>
    </w:div>
    <w:div w:id="2063407354">
      <w:bodyDiv w:val="1"/>
      <w:marLeft w:val="0"/>
      <w:marRight w:val="0"/>
      <w:marTop w:val="0"/>
      <w:marBottom w:val="0"/>
      <w:divBdr>
        <w:top w:val="none" w:sz="0" w:space="0" w:color="auto"/>
        <w:left w:val="none" w:sz="0" w:space="0" w:color="auto"/>
        <w:bottom w:val="none" w:sz="0" w:space="0" w:color="auto"/>
        <w:right w:val="none" w:sz="0" w:space="0" w:color="auto"/>
      </w:divBdr>
    </w:div>
    <w:div w:id="2075859074">
      <w:bodyDiv w:val="1"/>
      <w:marLeft w:val="0"/>
      <w:marRight w:val="0"/>
      <w:marTop w:val="0"/>
      <w:marBottom w:val="0"/>
      <w:divBdr>
        <w:top w:val="none" w:sz="0" w:space="0" w:color="auto"/>
        <w:left w:val="none" w:sz="0" w:space="0" w:color="auto"/>
        <w:bottom w:val="none" w:sz="0" w:space="0" w:color="auto"/>
        <w:right w:val="none" w:sz="0" w:space="0" w:color="auto"/>
      </w:divBdr>
    </w:div>
    <w:div w:id="2081753646">
      <w:bodyDiv w:val="1"/>
      <w:marLeft w:val="0"/>
      <w:marRight w:val="0"/>
      <w:marTop w:val="0"/>
      <w:marBottom w:val="0"/>
      <w:divBdr>
        <w:top w:val="none" w:sz="0" w:space="0" w:color="auto"/>
        <w:left w:val="none" w:sz="0" w:space="0" w:color="auto"/>
        <w:bottom w:val="none" w:sz="0" w:space="0" w:color="auto"/>
        <w:right w:val="none" w:sz="0" w:space="0" w:color="auto"/>
      </w:divBdr>
    </w:div>
    <w:div w:id="2083986921">
      <w:bodyDiv w:val="1"/>
      <w:marLeft w:val="0"/>
      <w:marRight w:val="0"/>
      <w:marTop w:val="0"/>
      <w:marBottom w:val="0"/>
      <w:divBdr>
        <w:top w:val="none" w:sz="0" w:space="0" w:color="auto"/>
        <w:left w:val="none" w:sz="0" w:space="0" w:color="auto"/>
        <w:bottom w:val="none" w:sz="0" w:space="0" w:color="auto"/>
        <w:right w:val="none" w:sz="0" w:space="0" w:color="auto"/>
      </w:divBdr>
    </w:div>
    <w:div w:id="2101834441">
      <w:bodyDiv w:val="1"/>
      <w:marLeft w:val="0"/>
      <w:marRight w:val="0"/>
      <w:marTop w:val="0"/>
      <w:marBottom w:val="0"/>
      <w:divBdr>
        <w:top w:val="none" w:sz="0" w:space="0" w:color="auto"/>
        <w:left w:val="none" w:sz="0" w:space="0" w:color="auto"/>
        <w:bottom w:val="none" w:sz="0" w:space="0" w:color="auto"/>
        <w:right w:val="none" w:sz="0" w:space="0" w:color="auto"/>
      </w:divBdr>
    </w:div>
    <w:div w:id="2103602536">
      <w:bodyDiv w:val="1"/>
      <w:marLeft w:val="0"/>
      <w:marRight w:val="0"/>
      <w:marTop w:val="0"/>
      <w:marBottom w:val="0"/>
      <w:divBdr>
        <w:top w:val="none" w:sz="0" w:space="0" w:color="auto"/>
        <w:left w:val="none" w:sz="0" w:space="0" w:color="auto"/>
        <w:bottom w:val="none" w:sz="0" w:space="0" w:color="auto"/>
        <w:right w:val="none" w:sz="0" w:space="0" w:color="auto"/>
      </w:divBdr>
    </w:div>
    <w:div w:id="2120367581">
      <w:bodyDiv w:val="1"/>
      <w:marLeft w:val="0"/>
      <w:marRight w:val="0"/>
      <w:marTop w:val="0"/>
      <w:marBottom w:val="0"/>
      <w:divBdr>
        <w:top w:val="none" w:sz="0" w:space="0" w:color="auto"/>
        <w:left w:val="none" w:sz="0" w:space="0" w:color="auto"/>
        <w:bottom w:val="none" w:sz="0" w:space="0" w:color="auto"/>
        <w:right w:val="none" w:sz="0" w:space="0" w:color="auto"/>
      </w:divBdr>
    </w:div>
    <w:div w:id="2132430616">
      <w:bodyDiv w:val="1"/>
      <w:marLeft w:val="0"/>
      <w:marRight w:val="0"/>
      <w:marTop w:val="0"/>
      <w:marBottom w:val="0"/>
      <w:divBdr>
        <w:top w:val="none" w:sz="0" w:space="0" w:color="auto"/>
        <w:left w:val="none" w:sz="0" w:space="0" w:color="auto"/>
        <w:bottom w:val="none" w:sz="0" w:space="0" w:color="auto"/>
        <w:right w:val="none" w:sz="0" w:space="0" w:color="auto"/>
      </w:divBdr>
    </w:div>
    <w:div w:id="213255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ucnredlist.org/" TargetMode="External"/><Relationship Id="rId21" Type="http://schemas.openxmlformats.org/officeDocument/2006/relationships/hyperlink" Target="https://acictios.org/listado-de-peces-de-agua-dulce-de-colombia/" TargetMode="External"/><Relationship Id="rId42" Type="http://schemas.openxmlformats.org/officeDocument/2006/relationships/diagramColors" Target="diagrams/colors1.xml"/><Relationship Id="rId47" Type="http://schemas.openxmlformats.org/officeDocument/2006/relationships/image" Target="media/image11.jpeg"/><Relationship Id="rId63" Type="http://schemas.openxmlformats.org/officeDocument/2006/relationships/hyperlink" Target="http://www.minambiente.gov.co/wp-content/uploads/2019/05/PLAN_ORQUIDEAS_2015_DOC.pdf" TargetMode="External"/><Relationship Id="rId68" Type="http://schemas.openxmlformats.org/officeDocument/2006/relationships/header" Target="header12.xml"/><Relationship Id="rId84" Type="http://schemas.openxmlformats.org/officeDocument/2006/relationships/header" Target="header20.xml"/><Relationship Id="rId89" Type="http://schemas.openxmlformats.org/officeDocument/2006/relationships/hyperlink" Target="https://www.unizar.es/guiar/1/Accident/An_conse/Efec_domino.htm" TargetMode="External"/><Relationship Id="rId16" Type="http://schemas.openxmlformats.org/officeDocument/2006/relationships/hyperlink" Target="https://sig.anla.gov.co/seleccion.aspx" TargetMode="External"/><Relationship Id="rId11" Type="http://schemas.openxmlformats.org/officeDocument/2006/relationships/header" Target="header1.xml"/><Relationship Id="rId32" Type="http://schemas.openxmlformats.org/officeDocument/2006/relationships/footer" Target="footer3.xml"/><Relationship Id="rId37" Type="http://schemas.openxmlformats.org/officeDocument/2006/relationships/footer" Target="footer5.xm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header" Target="header16.xml"/><Relationship Id="rId79" Type="http://schemas.openxmlformats.org/officeDocument/2006/relationships/diagramLayout" Target="diagrams/layout2.xml"/><Relationship Id="rId5" Type="http://schemas.openxmlformats.org/officeDocument/2006/relationships/numbering" Target="numbering.xml"/><Relationship Id="rId90" Type="http://schemas.openxmlformats.org/officeDocument/2006/relationships/hyperlink" Target="javascript:changeTableFAQ('FAQ_2039')" TargetMode="External"/><Relationship Id="rId95" Type="http://schemas.openxmlformats.org/officeDocument/2006/relationships/header" Target="header24.xml"/><Relationship Id="rId22" Type="http://schemas.openxmlformats.org/officeDocument/2006/relationships/hyperlink" Target="https://cites.org/esp/app/appendices.php" TargetMode="External"/><Relationship Id="rId27" Type="http://schemas.openxmlformats.org/officeDocument/2006/relationships/hyperlink" Target="http://www.theplantlist.org/" TargetMode="External"/><Relationship Id="rId43" Type="http://schemas.microsoft.com/office/2007/relationships/diagramDrawing" Target="diagrams/drawing1.xml"/><Relationship Id="rId48" Type="http://schemas.openxmlformats.org/officeDocument/2006/relationships/image" Target="media/image12.jpeg"/><Relationship Id="rId64" Type="http://schemas.openxmlformats.org/officeDocument/2006/relationships/hyperlink" Target="https://www.minambiente.gov.co/wp-content/uploads/2021/10/Iniciativa-Colombiana-de-Polinizadores.pdf" TargetMode="External"/><Relationship Id="rId69" Type="http://schemas.openxmlformats.org/officeDocument/2006/relationships/header" Target="header13.xml"/><Relationship Id="rId80" Type="http://schemas.openxmlformats.org/officeDocument/2006/relationships/diagramQuickStyle" Target="diagrams/quickStyle2.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anla.gov.co/01_anla/proyectos/apuestas-por-la-biodiversidad/cual-es-la-apuesta" TargetMode="External"/><Relationship Id="rId25" Type="http://schemas.openxmlformats.org/officeDocument/2006/relationships/hyperlink" Target="http://oca.unal.edu.co/" TargetMode="Externa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10.jpeg"/><Relationship Id="rId59" Type="http://schemas.openxmlformats.org/officeDocument/2006/relationships/image" Target="media/image23.png"/><Relationship Id="rId67" Type="http://schemas.openxmlformats.org/officeDocument/2006/relationships/header" Target="header11.xml"/><Relationship Id="rId20" Type="http://schemas.openxmlformats.org/officeDocument/2006/relationships/hyperlink" Target="https://www.anla.gov.co/01_anla/proyectos/nuevo-licenciamiento-ambiental/en-que-consiste" TargetMode="External"/><Relationship Id="rId41" Type="http://schemas.openxmlformats.org/officeDocument/2006/relationships/diagramQuickStyle" Target="diagrams/quickStyle1.xml"/><Relationship Id="rId54" Type="http://schemas.openxmlformats.org/officeDocument/2006/relationships/image" Target="media/image18.png"/><Relationship Id="rId62" Type="http://schemas.openxmlformats.org/officeDocument/2006/relationships/hyperlink" Target="https://archivo.minambiente.gov.co/images/BosquesBiodiversidadyServiciosEcosistemicos/pdf/Programas-para-la-gestion-de-fauna-y-flora/Plan_de_accion_para_la_conservacion_de_las_zamias_de_Colombia.pdf" TargetMode="External"/><Relationship Id="rId70" Type="http://schemas.openxmlformats.org/officeDocument/2006/relationships/header" Target="header14.xml"/><Relationship Id="rId75" Type="http://schemas.openxmlformats.org/officeDocument/2006/relationships/header" Target="header17.xml"/><Relationship Id="rId83" Type="http://schemas.openxmlformats.org/officeDocument/2006/relationships/header" Target="header19.xml"/><Relationship Id="rId88" Type="http://schemas.openxmlformats.org/officeDocument/2006/relationships/hyperlink" Target="https://www.unizar.es/guiar/1/Accident/An_conse/An_conse.htm" TargetMode="External"/><Relationship Id="rId91" Type="http://schemas.openxmlformats.org/officeDocument/2006/relationships/hyperlink" Target="http://documentacion.ideam.gov.co/cgi-bin/koha/opac-detail.pl?biblionumber=38246&amp;query_desc=kw%2Cwrdl%3A%20protocolo%20de%20monitoreo%20del%20agua"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colfungi.org/" TargetMode="External"/><Relationship Id="rId28" Type="http://schemas.openxmlformats.org/officeDocument/2006/relationships/image" Target="media/image4.png"/><Relationship Id="rId36" Type="http://schemas.openxmlformats.org/officeDocument/2006/relationships/header" Target="header8.xml"/><Relationship Id="rId49" Type="http://schemas.openxmlformats.org/officeDocument/2006/relationships/image" Target="media/image13.jpe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png"/><Relationship Id="rId65" Type="http://schemas.openxmlformats.org/officeDocument/2006/relationships/image" Target="media/image25.jpeg"/><Relationship Id="rId73" Type="http://schemas.openxmlformats.org/officeDocument/2006/relationships/footer" Target="footer7.xml"/><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header" Target="header21.xml"/><Relationship Id="rId9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anla.gov.co/proyectos-anla/centro-de-monitoreo/" TargetMode="External"/><Relationship Id="rId39" Type="http://schemas.openxmlformats.org/officeDocument/2006/relationships/diagramData" Target="diagrams/data1.xml"/><Relationship Id="rId34" Type="http://schemas.openxmlformats.org/officeDocument/2006/relationships/footer" Target="footer4.xml"/><Relationship Id="rId50" Type="http://schemas.openxmlformats.org/officeDocument/2006/relationships/image" Target="media/image14.gif"/><Relationship Id="rId55" Type="http://schemas.openxmlformats.org/officeDocument/2006/relationships/image" Target="media/image19.png"/><Relationship Id="rId76" Type="http://schemas.openxmlformats.org/officeDocument/2006/relationships/footer" Target="footer8.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hyperlink" Target="https://lichenportal.org/portal/index.php" TargetMode="External"/><Relationship Id="rId40" Type="http://schemas.openxmlformats.org/officeDocument/2006/relationships/diagramLayout" Target="diagrams/layout1.xml"/><Relationship Id="rId45" Type="http://schemas.openxmlformats.org/officeDocument/2006/relationships/image" Target="media/image9.jpeg"/><Relationship Id="rId66" Type="http://schemas.openxmlformats.org/officeDocument/2006/relationships/header" Target="header10.xml"/><Relationship Id="rId87" Type="http://schemas.openxmlformats.org/officeDocument/2006/relationships/hyperlink" Target="https://www.unizar.es/guiar/1/Accident/An_conse/Metodos.htm" TargetMode="External"/><Relationship Id="rId61" Type="http://schemas.openxmlformats.org/officeDocument/2006/relationships/hyperlink" Target="https://www.sinchi.org.co/coah/consulta-de-especimenes-coah.herbario-virtual" TargetMode="External"/><Relationship Id="rId82" Type="http://schemas.microsoft.com/office/2007/relationships/diagramDrawing" Target="diagrams/drawing2.xml"/><Relationship Id="rId19" Type="http://schemas.openxmlformats.org/officeDocument/2006/relationships/hyperlink" Target="https://www.anla.gov.co/eureka/" TargetMode="External"/><Relationship Id="rId14" Type="http://schemas.openxmlformats.org/officeDocument/2006/relationships/footer" Target="footer2.xml"/><Relationship Id="rId30" Type="http://schemas.openxmlformats.org/officeDocument/2006/relationships/header" Target="header4.xml"/><Relationship Id="rId35" Type="http://schemas.openxmlformats.org/officeDocument/2006/relationships/header" Target="header7.xml"/><Relationship Id="rId56" Type="http://schemas.openxmlformats.org/officeDocument/2006/relationships/image" Target="media/image20.png"/><Relationship Id="rId77"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header" Target="header15.xml"/><Relationship Id="rId93" Type="http://schemas.openxmlformats.org/officeDocument/2006/relationships/header" Target="header23.xml"/></Relationships>
</file>

<file path=word/_rels/endnotes.xml.rels><?xml version="1.0" encoding="UTF-8" standalone="yes"?>
<Relationships xmlns="http://schemas.openxmlformats.org/package/2006/relationships"><Relationship Id="rId2" Type="http://schemas.openxmlformats.org/officeDocument/2006/relationships/hyperlink" Target="http://www.un.org/spanish/esa/sustdev/agenda21/agenda21spchapter34.htm" TargetMode="External"/><Relationship Id="rId1" Type="http://schemas.openxmlformats.org/officeDocument/2006/relationships/hyperlink" Target="https://doi.org/10.21068/c2021.v22n01a03"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26.png"/></Relationships>
</file>

<file path=word/_rels/footer6.xml.rels><?xml version="1.0" encoding="UTF-8" standalone="yes"?>
<Relationships xmlns="http://schemas.openxmlformats.org/package/2006/relationships"><Relationship Id="rId1" Type="http://schemas.openxmlformats.org/officeDocument/2006/relationships/image" Target="media/image26.png"/></Relationships>
</file>

<file path=word/_rels/footer8.xml.rels><?xml version="1.0" encoding="UTF-8" standalone="yes"?>
<Relationships xmlns="http://schemas.openxmlformats.org/package/2006/relationships"><Relationship Id="rId1" Type="http://schemas.openxmlformats.org/officeDocument/2006/relationships/image" Target="media/image26.png"/></Relationships>
</file>

<file path=word/_rels/footer9.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www.departments.bucknell.edu/biology/resources/msw3/" TargetMode="External"/><Relationship Id="rId2" Type="http://schemas.openxmlformats.org/officeDocument/2006/relationships/hyperlink" Target="http://www.museum.lsu.edu/~Remsen/SACCBaseline.htm" TargetMode="External"/><Relationship Id="rId1" Type="http://schemas.openxmlformats.org/officeDocument/2006/relationships/hyperlink" Target="http://www.reptile-database.org/" TargetMode="External"/><Relationship Id="rId4" Type="http://schemas.openxmlformats.org/officeDocument/2006/relationships/hyperlink" Target="https://www.anla.gov.co"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2.jpeg"/><Relationship Id="rId4" Type="http://schemas.openxmlformats.org/officeDocument/2006/relationships/image" Target="media/image9.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2.jpeg"/><Relationship Id="rId4"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D860B6-B4FB-42E2-A70A-2F7B9D2705A7}" type="doc">
      <dgm:prSet loTypeId="urn:microsoft.com/office/officeart/2005/8/layout/cycle1" loCatId="cycle" qsTypeId="urn:microsoft.com/office/officeart/2005/8/quickstyle/simple1" qsCatId="simple" csTypeId="urn:microsoft.com/office/officeart/2005/8/colors/colorful5" csCatId="colorful" phldr="1"/>
      <dgm:spPr/>
      <dgm:t>
        <a:bodyPr/>
        <a:lstStyle/>
        <a:p>
          <a:endParaRPr lang="es-MX"/>
        </a:p>
      </dgm:t>
    </dgm:pt>
    <dgm:pt modelId="{69B602CA-2B0A-4AC0-B0F5-DC6DE49D6101}">
      <dgm:prSet phldrT="[Texto]" custT="1"/>
      <dgm:spPr/>
      <dgm:t>
        <a:bodyPr/>
        <a:lstStyle/>
        <a:p>
          <a:pPr algn="ctr"/>
          <a:r>
            <a:rPr lang="es-MX" sz="900"/>
            <a:t>Conocer contexto</a:t>
          </a:r>
        </a:p>
      </dgm:t>
    </dgm:pt>
    <dgm:pt modelId="{41181F0D-292E-4F2B-808F-A5071C10D9BC}" type="parTrans" cxnId="{088C7572-8C7F-4763-8F81-82DCA30E3896}">
      <dgm:prSet/>
      <dgm:spPr/>
      <dgm:t>
        <a:bodyPr/>
        <a:lstStyle/>
        <a:p>
          <a:pPr algn="ctr"/>
          <a:endParaRPr lang="es-MX" sz="1800"/>
        </a:p>
      </dgm:t>
    </dgm:pt>
    <dgm:pt modelId="{DEAC38C1-BCA7-4424-A0F0-BEF39C82C8F5}" type="sibTrans" cxnId="{088C7572-8C7F-4763-8F81-82DCA30E3896}">
      <dgm:prSet/>
      <dgm:spPr/>
      <dgm:t>
        <a:bodyPr/>
        <a:lstStyle/>
        <a:p>
          <a:pPr algn="ctr"/>
          <a:endParaRPr lang="es-MX" sz="1800"/>
        </a:p>
      </dgm:t>
    </dgm:pt>
    <dgm:pt modelId="{DD16B2FF-300E-485E-8605-BB225F9DD76C}">
      <dgm:prSet phldrT="[Texto]" custT="1"/>
      <dgm:spPr/>
      <dgm:t>
        <a:bodyPr/>
        <a:lstStyle/>
        <a:p>
          <a:pPr algn="ctr"/>
          <a:r>
            <a:rPr lang="es-MX" sz="900"/>
            <a:t>Identificar alternativas</a:t>
          </a:r>
        </a:p>
      </dgm:t>
    </dgm:pt>
    <dgm:pt modelId="{60D51C99-5DFD-4438-9037-4C88A4980A71}" type="parTrans" cxnId="{A5D5FA94-A208-42BC-9C73-6823E80AA9C5}">
      <dgm:prSet/>
      <dgm:spPr/>
      <dgm:t>
        <a:bodyPr/>
        <a:lstStyle/>
        <a:p>
          <a:pPr algn="ctr"/>
          <a:endParaRPr lang="es-MX" sz="1800"/>
        </a:p>
      </dgm:t>
    </dgm:pt>
    <dgm:pt modelId="{D880076C-8A97-4F1E-A53D-99656F454A75}" type="sibTrans" cxnId="{A5D5FA94-A208-42BC-9C73-6823E80AA9C5}">
      <dgm:prSet/>
      <dgm:spPr/>
      <dgm:t>
        <a:bodyPr/>
        <a:lstStyle/>
        <a:p>
          <a:pPr algn="ctr"/>
          <a:endParaRPr lang="es-MX" sz="1800"/>
        </a:p>
      </dgm:t>
    </dgm:pt>
    <dgm:pt modelId="{55FFF9DD-0F5F-4EEF-9F18-7321C5BB8695}">
      <dgm:prSet phldrT="[Texto]" custT="1"/>
      <dgm:spPr/>
      <dgm:t>
        <a:bodyPr/>
        <a:lstStyle/>
        <a:p>
          <a:pPr algn="ctr"/>
          <a:r>
            <a:rPr lang="es-MX" sz="900"/>
            <a:t>Establecer criterios</a:t>
          </a:r>
        </a:p>
      </dgm:t>
    </dgm:pt>
    <dgm:pt modelId="{352A5FF8-72A1-4D86-BA68-AC0493C415FC}" type="parTrans" cxnId="{9E2BD14F-73E3-4CA0-8029-427135242ECC}">
      <dgm:prSet/>
      <dgm:spPr/>
      <dgm:t>
        <a:bodyPr/>
        <a:lstStyle/>
        <a:p>
          <a:pPr algn="ctr"/>
          <a:endParaRPr lang="es-MX" sz="1800"/>
        </a:p>
      </dgm:t>
    </dgm:pt>
    <dgm:pt modelId="{F126CDD1-4923-4931-8318-B35A0D527D68}" type="sibTrans" cxnId="{9E2BD14F-73E3-4CA0-8029-427135242ECC}">
      <dgm:prSet/>
      <dgm:spPr/>
      <dgm:t>
        <a:bodyPr/>
        <a:lstStyle/>
        <a:p>
          <a:pPr algn="ctr"/>
          <a:endParaRPr lang="es-MX" sz="1800"/>
        </a:p>
      </dgm:t>
    </dgm:pt>
    <dgm:pt modelId="{ACE39EF8-7295-4A34-8593-41DF6DF54060}">
      <dgm:prSet phldrT="[Texto]" custT="1"/>
      <dgm:spPr/>
      <dgm:t>
        <a:bodyPr/>
        <a:lstStyle/>
        <a:p>
          <a:pPr algn="ctr"/>
          <a:r>
            <a:rPr lang="es-MX" sz="900"/>
            <a:t>Ejecutar el método seleccionado</a:t>
          </a:r>
        </a:p>
      </dgm:t>
    </dgm:pt>
    <dgm:pt modelId="{6BED1FAA-1D1B-45E9-9D2F-98D2EB817C56}" type="parTrans" cxnId="{FF103661-3289-4496-B5C4-E41993FAA61E}">
      <dgm:prSet/>
      <dgm:spPr/>
      <dgm:t>
        <a:bodyPr/>
        <a:lstStyle/>
        <a:p>
          <a:pPr algn="ctr"/>
          <a:endParaRPr lang="es-MX" sz="1800"/>
        </a:p>
      </dgm:t>
    </dgm:pt>
    <dgm:pt modelId="{0D4906AC-1327-4B4C-B656-754B8C0F664B}" type="sibTrans" cxnId="{FF103661-3289-4496-B5C4-E41993FAA61E}">
      <dgm:prSet/>
      <dgm:spPr/>
      <dgm:t>
        <a:bodyPr/>
        <a:lstStyle/>
        <a:p>
          <a:pPr algn="ctr"/>
          <a:endParaRPr lang="es-MX" sz="1800"/>
        </a:p>
      </dgm:t>
    </dgm:pt>
    <dgm:pt modelId="{48DDAD6D-2021-4A2E-906C-E4639403C130}">
      <dgm:prSet phldrT="[Texto]" custT="1"/>
      <dgm:spPr/>
      <dgm:t>
        <a:bodyPr/>
        <a:lstStyle/>
        <a:p>
          <a:pPr algn="ctr"/>
          <a:r>
            <a:rPr lang="es-MX" sz="900"/>
            <a:t>Ejecutar análisis de sensibilidad</a:t>
          </a:r>
        </a:p>
      </dgm:t>
    </dgm:pt>
    <dgm:pt modelId="{8F0697B5-1809-4117-8CD0-BBD5BD2EEAB5}" type="parTrans" cxnId="{8A6A37D9-C530-420D-8F7C-E1DA75193358}">
      <dgm:prSet/>
      <dgm:spPr/>
      <dgm:t>
        <a:bodyPr/>
        <a:lstStyle/>
        <a:p>
          <a:pPr algn="ctr"/>
          <a:endParaRPr lang="es-MX" sz="1800"/>
        </a:p>
      </dgm:t>
    </dgm:pt>
    <dgm:pt modelId="{D11F346D-8001-4952-A4AE-9A08BFD37E67}" type="sibTrans" cxnId="{8A6A37D9-C530-420D-8F7C-E1DA75193358}">
      <dgm:prSet/>
      <dgm:spPr/>
      <dgm:t>
        <a:bodyPr/>
        <a:lstStyle/>
        <a:p>
          <a:pPr algn="ctr"/>
          <a:endParaRPr lang="es-MX" sz="1800"/>
        </a:p>
      </dgm:t>
    </dgm:pt>
    <dgm:pt modelId="{F3235447-C95E-4C02-A194-9D3B10949B40}" type="pres">
      <dgm:prSet presAssocID="{5ED860B6-B4FB-42E2-A70A-2F7B9D2705A7}" presName="cycle" presStyleCnt="0">
        <dgm:presLayoutVars>
          <dgm:dir/>
          <dgm:resizeHandles val="exact"/>
        </dgm:presLayoutVars>
      </dgm:prSet>
      <dgm:spPr/>
    </dgm:pt>
    <dgm:pt modelId="{147FBF2C-A23F-4891-B6DC-8BAF3671EE66}" type="pres">
      <dgm:prSet presAssocID="{69B602CA-2B0A-4AC0-B0F5-DC6DE49D6101}" presName="dummy" presStyleCnt="0"/>
      <dgm:spPr/>
    </dgm:pt>
    <dgm:pt modelId="{63BD053D-63A3-4D2F-A58E-A9EF894EDADC}" type="pres">
      <dgm:prSet presAssocID="{69B602CA-2B0A-4AC0-B0F5-DC6DE49D6101}" presName="node" presStyleLbl="revTx" presStyleIdx="0" presStyleCnt="5">
        <dgm:presLayoutVars>
          <dgm:bulletEnabled val="1"/>
        </dgm:presLayoutVars>
      </dgm:prSet>
      <dgm:spPr/>
    </dgm:pt>
    <dgm:pt modelId="{910FF180-DF9B-417C-8A6B-77C84B9CA287}" type="pres">
      <dgm:prSet presAssocID="{DEAC38C1-BCA7-4424-A0F0-BEF39C82C8F5}" presName="sibTrans" presStyleLbl="node1" presStyleIdx="0" presStyleCnt="5"/>
      <dgm:spPr/>
    </dgm:pt>
    <dgm:pt modelId="{CF2C9C8B-076E-4E23-AB80-18CBD435FE7B}" type="pres">
      <dgm:prSet presAssocID="{DD16B2FF-300E-485E-8605-BB225F9DD76C}" presName="dummy" presStyleCnt="0"/>
      <dgm:spPr/>
    </dgm:pt>
    <dgm:pt modelId="{6BF89C8A-322D-4203-B345-3AFBB02955A6}" type="pres">
      <dgm:prSet presAssocID="{DD16B2FF-300E-485E-8605-BB225F9DD76C}" presName="node" presStyleLbl="revTx" presStyleIdx="1" presStyleCnt="5">
        <dgm:presLayoutVars>
          <dgm:bulletEnabled val="1"/>
        </dgm:presLayoutVars>
      </dgm:prSet>
      <dgm:spPr/>
    </dgm:pt>
    <dgm:pt modelId="{56C07723-1FFE-4234-905C-66ADCB9FEFE1}" type="pres">
      <dgm:prSet presAssocID="{D880076C-8A97-4F1E-A53D-99656F454A75}" presName="sibTrans" presStyleLbl="node1" presStyleIdx="1" presStyleCnt="5"/>
      <dgm:spPr/>
    </dgm:pt>
    <dgm:pt modelId="{FEA1C507-955B-4F73-84FC-87096562E463}" type="pres">
      <dgm:prSet presAssocID="{55FFF9DD-0F5F-4EEF-9F18-7321C5BB8695}" presName="dummy" presStyleCnt="0"/>
      <dgm:spPr/>
    </dgm:pt>
    <dgm:pt modelId="{85388A35-4522-41D2-B357-44EA37ABE881}" type="pres">
      <dgm:prSet presAssocID="{55FFF9DD-0F5F-4EEF-9F18-7321C5BB8695}" presName="node" presStyleLbl="revTx" presStyleIdx="2" presStyleCnt="5">
        <dgm:presLayoutVars>
          <dgm:bulletEnabled val="1"/>
        </dgm:presLayoutVars>
      </dgm:prSet>
      <dgm:spPr/>
    </dgm:pt>
    <dgm:pt modelId="{3BEB7195-A3C8-42E3-AB63-DA1D7BF4EADB}" type="pres">
      <dgm:prSet presAssocID="{F126CDD1-4923-4931-8318-B35A0D527D68}" presName="sibTrans" presStyleLbl="node1" presStyleIdx="2" presStyleCnt="5"/>
      <dgm:spPr/>
    </dgm:pt>
    <dgm:pt modelId="{52738125-B0BB-428A-B309-AF87D549D4D7}" type="pres">
      <dgm:prSet presAssocID="{ACE39EF8-7295-4A34-8593-41DF6DF54060}" presName="dummy" presStyleCnt="0"/>
      <dgm:spPr/>
    </dgm:pt>
    <dgm:pt modelId="{6DDC29A3-B9AB-4031-B26C-A33E3F1906B2}" type="pres">
      <dgm:prSet presAssocID="{ACE39EF8-7295-4A34-8593-41DF6DF54060}" presName="node" presStyleLbl="revTx" presStyleIdx="3" presStyleCnt="5" custScaleX="228394">
        <dgm:presLayoutVars>
          <dgm:bulletEnabled val="1"/>
        </dgm:presLayoutVars>
      </dgm:prSet>
      <dgm:spPr/>
    </dgm:pt>
    <dgm:pt modelId="{3F623FDC-D399-4B76-96CE-DD77A204CB70}" type="pres">
      <dgm:prSet presAssocID="{0D4906AC-1327-4B4C-B656-754B8C0F664B}" presName="sibTrans" presStyleLbl="node1" presStyleIdx="3" presStyleCnt="5"/>
      <dgm:spPr/>
    </dgm:pt>
    <dgm:pt modelId="{08C51BD7-CA65-4EF3-9FF3-CEE62776A3B0}" type="pres">
      <dgm:prSet presAssocID="{48DDAD6D-2021-4A2E-906C-E4639403C130}" presName="dummy" presStyleCnt="0"/>
      <dgm:spPr/>
    </dgm:pt>
    <dgm:pt modelId="{6FDB67B0-0075-43C7-B4FC-82AD3B712B82}" type="pres">
      <dgm:prSet presAssocID="{48DDAD6D-2021-4A2E-906C-E4639403C130}" presName="node" presStyleLbl="revTx" presStyleIdx="4" presStyleCnt="5">
        <dgm:presLayoutVars>
          <dgm:bulletEnabled val="1"/>
        </dgm:presLayoutVars>
      </dgm:prSet>
      <dgm:spPr/>
    </dgm:pt>
    <dgm:pt modelId="{CDB38FFE-4150-4036-82A2-003B6AACFC18}" type="pres">
      <dgm:prSet presAssocID="{D11F346D-8001-4952-A4AE-9A08BFD37E67}" presName="sibTrans" presStyleLbl="node1" presStyleIdx="4" presStyleCnt="5"/>
      <dgm:spPr/>
    </dgm:pt>
  </dgm:ptLst>
  <dgm:cxnLst>
    <dgm:cxn modelId="{24EB6A0A-085B-4C03-A3DD-90A802C7F254}" type="presOf" srcId="{DEAC38C1-BCA7-4424-A0F0-BEF39C82C8F5}" destId="{910FF180-DF9B-417C-8A6B-77C84B9CA287}" srcOrd="0" destOrd="0" presId="urn:microsoft.com/office/officeart/2005/8/layout/cycle1"/>
    <dgm:cxn modelId="{6C573312-3C03-45D5-9DEA-594409729F27}" type="presOf" srcId="{DD16B2FF-300E-485E-8605-BB225F9DD76C}" destId="{6BF89C8A-322D-4203-B345-3AFBB02955A6}" srcOrd="0" destOrd="0" presId="urn:microsoft.com/office/officeart/2005/8/layout/cycle1"/>
    <dgm:cxn modelId="{2F07505F-CB30-4EBE-959E-E6454BEF0B38}" type="presOf" srcId="{0D4906AC-1327-4B4C-B656-754B8C0F664B}" destId="{3F623FDC-D399-4B76-96CE-DD77A204CB70}" srcOrd="0" destOrd="0" presId="urn:microsoft.com/office/officeart/2005/8/layout/cycle1"/>
    <dgm:cxn modelId="{FF103661-3289-4496-B5C4-E41993FAA61E}" srcId="{5ED860B6-B4FB-42E2-A70A-2F7B9D2705A7}" destId="{ACE39EF8-7295-4A34-8593-41DF6DF54060}" srcOrd="3" destOrd="0" parTransId="{6BED1FAA-1D1B-45E9-9D2F-98D2EB817C56}" sibTransId="{0D4906AC-1327-4B4C-B656-754B8C0F664B}"/>
    <dgm:cxn modelId="{7CBA3146-35AB-4712-B378-CB5957BD1E67}" type="presOf" srcId="{69B602CA-2B0A-4AC0-B0F5-DC6DE49D6101}" destId="{63BD053D-63A3-4D2F-A58E-A9EF894EDADC}" srcOrd="0" destOrd="0" presId="urn:microsoft.com/office/officeart/2005/8/layout/cycle1"/>
    <dgm:cxn modelId="{DAC73F49-F6C0-4393-BEA4-0AB10303B205}" type="presOf" srcId="{48DDAD6D-2021-4A2E-906C-E4639403C130}" destId="{6FDB67B0-0075-43C7-B4FC-82AD3B712B82}" srcOrd="0" destOrd="0" presId="urn:microsoft.com/office/officeart/2005/8/layout/cycle1"/>
    <dgm:cxn modelId="{9E2BD14F-73E3-4CA0-8029-427135242ECC}" srcId="{5ED860B6-B4FB-42E2-A70A-2F7B9D2705A7}" destId="{55FFF9DD-0F5F-4EEF-9F18-7321C5BB8695}" srcOrd="2" destOrd="0" parTransId="{352A5FF8-72A1-4D86-BA68-AC0493C415FC}" sibTransId="{F126CDD1-4923-4931-8318-B35A0D527D68}"/>
    <dgm:cxn modelId="{088C7572-8C7F-4763-8F81-82DCA30E3896}" srcId="{5ED860B6-B4FB-42E2-A70A-2F7B9D2705A7}" destId="{69B602CA-2B0A-4AC0-B0F5-DC6DE49D6101}" srcOrd="0" destOrd="0" parTransId="{41181F0D-292E-4F2B-808F-A5071C10D9BC}" sibTransId="{DEAC38C1-BCA7-4424-A0F0-BEF39C82C8F5}"/>
    <dgm:cxn modelId="{A196238A-C1BD-4614-9F64-0A4CFFBDA689}" type="presOf" srcId="{F126CDD1-4923-4931-8318-B35A0D527D68}" destId="{3BEB7195-A3C8-42E3-AB63-DA1D7BF4EADB}" srcOrd="0" destOrd="0" presId="urn:microsoft.com/office/officeart/2005/8/layout/cycle1"/>
    <dgm:cxn modelId="{41CD708F-4AE4-460E-AE77-40C836CE9A47}" type="presOf" srcId="{D880076C-8A97-4F1E-A53D-99656F454A75}" destId="{56C07723-1FFE-4234-905C-66ADCB9FEFE1}" srcOrd="0" destOrd="0" presId="urn:microsoft.com/office/officeart/2005/8/layout/cycle1"/>
    <dgm:cxn modelId="{A5D5FA94-A208-42BC-9C73-6823E80AA9C5}" srcId="{5ED860B6-B4FB-42E2-A70A-2F7B9D2705A7}" destId="{DD16B2FF-300E-485E-8605-BB225F9DD76C}" srcOrd="1" destOrd="0" parTransId="{60D51C99-5DFD-4438-9037-4C88A4980A71}" sibTransId="{D880076C-8A97-4F1E-A53D-99656F454A75}"/>
    <dgm:cxn modelId="{5EF86FBE-365A-40CB-AF21-D91ED7CC74E6}" type="presOf" srcId="{ACE39EF8-7295-4A34-8593-41DF6DF54060}" destId="{6DDC29A3-B9AB-4031-B26C-A33E3F1906B2}" srcOrd="0" destOrd="0" presId="urn:microsoft.com/office/officeart/2005/8/layout/cycle1"/>
    <dgm:cxn modelId="{7F44B2D0-45B7-4620-892B-725D2E1D617F}" type="presOf" srcId="{D11F346D-8001-4952-A4AE-9A08BFD37E67}" destId="{CDB38FFE-4150-4036-82A2-003B6AACFC18}" srcOrd="0" destOrd="0" presId="urn:microsoft.com/office/officeart/2005/8/layout/cycle1"/>
    <dgm:cxn modelId="{8A6A37D9-C530-420D-8F7C-E1DA75193358}" srcId="{5ED860B6-B4FB-42E2-A70A-2F7B9D2705A7}" destId="{48DDAD6D-2021-4A2E-906C-E4639403C130}" srcOrd="4" destOrd="0" parTransId="{8F0697B5-1809-4117-8CD0-BBD5BD2EEAB5}" sibTransId="{D11F346D-8001-4952-A4AE-9A08BFD37E67}"/>
    <dgm:cxn modelId="{4608BBDE-C5B6-4211-8C06-BEBEE7361B18}" type="presOf" srcId="{5ED860B6-B4FB-42E2-A70A-2F7B9D2705A7}" destId="{F3235447-C95E-4C02-A194-9D3B10949B40}" srcOrd="0" destOrd="0" presId="urn:microsoft.com/office/officeart/2005/8/layout/cycle1"/>
    <dgm:cxn modelId="{EF7E50FE-74C4-4F50-A482-1C2A77A63A2B}" type="presOf" srcId="{55FFF9DD-0F5F-4EEF-9F18-7321C5BB8695}" destId="{85388A35-4522-41D2-B357-44EA37ABE881}" srcOrd="0" destOrd="0" presId="urn:microsoft.com/office/officeart/2005/8/layout/cycle1"/>
    <dgm:cxn modelId="{33B44BEF-7B9F-4A2E-934B-D83D7D0EB534}" type="presParOf" srcId="{F3235447-C95E-4C02-A194-9D3B10949B40}" destId="{147FBF2C-A23F-4891-B6DC-8BAF3671EE66}" srcOrd="0" destOrd="0" presId="urn:microsoft.com/office/officeart/2005/8/layout/cycle1"/>
    <dgm:cxn modelId="{9E8B9694-409C-4009-AF94-E8CD3AF7D9E9}" type="presParOf" srcId="{F3235447-C95E-4C02-A194-9D3B10949B40}" destId="{63BD053D-63A3-4D2F-A58E-A9EF894EDADC}" srcOrd="1" destOrd="0" presId="urn:microsoft.com/office/officeart/2005/8/layout/cycle1"/>
    <dgm:cxn modelId="{391D3DAD-2FF8-4A4A-906F-84659847D4B0}" type="presParOf" srcId="{F3235447-C95E-4C02-A194-9D3B10949B40}" destId="{910FF180-DF9B-417C-8A6B-77C84B9CA287}" srcOrd="2" destOrd="0" presId="urn:microsoft.com/office/officeart/2005/8/layout/cycle1"/>
    <dgm:cxn modelId="{50738BEB-C976-4B4F-B3E1-C5D7FA573D95}" type="presParOf" srcId="{F3235447-C95E-4C02-A194-9D3B10949B40}" destId="{CF2C9C8B-076E-4E23-AB80-18CBD435FE7B}" srcOrd="3" destOrd="0" presId="urn:microsoft.com/office/officeart/2005/8/layout/cycle1"/>
    <dgm:cxn modelId="{AE183A85-F6BE-47AD-8B5D-5737E1D0F9BB}" type="presParOf" srcId="{F3235447-C95E-4C02-A194-9D3B10949B40}" destId="{6BF89C8A-322D-4203-B345-3AFBB02955A6}" srcOrd="4" destOrd="0" presId="urn:microsoft.com/office/officeart/2005/8/layout/cycle1"/>
    <dgm:cxn modelId="{F33CFFE9-C37C-4E36-B935-36AA48D6ECD7}" type="presParOf" srcId="{F3235447-C95E-4C02-A194-9D3B10949B40}" destId="{56C07723-1FFE-4234-905C-66ADCB9FEFE1}" srcOrd="5" destOrd="0" presId="urn:microsoft.com/office/officeart/2005/8/layout/cycle1"/>
    <dgm:cxn modelId="{0973BE01-1C77-4346-845F-2A78F42D8B17}" type="presParOf" srcId="{F3235447-C95E-4C02-A194-9D3B10949B40}" destId="{FEA1C507-955B-4F73-84FC-87096562E463}" srcOrd="6" destOrd="0" presId="urn:microsoft.com/office/officeart/2005/8/layout/cycle1"/>
    <dgm:cxn modelId="{CA7703D1-0DEC-46B1-A0A6-E6092A777A2C}" type="presParOf" srcId="{F3235447-C95E-4C02-A194-9D3B10949B40}" destId="{85388A35-4522-41D2-B357-44EA37ABE881}" srcOrd="7" destOrd="0" presId="urn:microsoft.com/office/officeart/2005/8/layout/cycle1"/>
    <dgm:cxn modelId="{F2680ED3-F08B-441D-8DC8-B0558FB44D2D}" type="presParOf" srcId="{F3235447-C95E-4C02-A194-9D3B10949B40}" destId="{3BEB7195-A3C8-42E3-AB63-DA1D7BF4EADB}" srcOrd="8" destOrd="0" presId="urn:microsoft.com/office/officeart/2005/8/layout/cycle1"/>
    <dgm:cxn modelId="{254DE74D-5910-4A92-8E6B-3589D3253217}" type="presParOf" srcId="{F3235447-C95E-4C02-A194-9D3B10949B40}" destId="{52738125-B0BB-428A-B309-AF87D549D4D7}" srcOrd="9" destOrd="0" presId="urn:microsoft.com/office/officeart/2005/8/layout/cycle1"/>
    <dgm:cxn modelId="{AC81D24C-4577-41FF-9322-0ABA75070F5E}" type="presParOf" srcId="{F3235447-C95E-4C02-A194-9D3B10949B40}" destId="{6DDC29A3-B9AB-4031-B26C-A33E3F1906B2}" srcOrd="10" destOrd="0" presId="urn:microsoft.com/office/officeart/2005/8/layout/cycle1"/>
    <dgm:cxn modelId="{3D5BD1B5-5238-4C60-AF6D-4A9EBA03DB80}" type="presParOf" srcId="{F3235447-C95E-4C02-A194-9D3B10949B40}" destId="{3F623FDC-D399-4B76-96CE-DD77A204CB70}" srcOrd="11" destOrd="0" presId="urn:microsoft.com/office/officeart/2005/8/layout/cycle1"/>
    <dgm:cxn modelId="{2D8EAD51-B517-4F83-BB53-88195A11F161}" type="presParOf" srcId="{F3235447-C95E-4C02-A194-9D3B10949B40}" destId="{08C51BD7-CA65-4EF3-9FF3-CEE62776A3B0}" srcOrd="12" destOrd="0" presId="urn:microsoft.com/office/officeart/2005/8/layout/cycle1"/>
    <dgm:cxn modelId="{C736813E-388B-4D36-99DD-051809C648E3}" type="presParOf" srcId="{F3235447-C95E-4C02-A194-9D3B10949B40}" destId="{6FDB67B0-0075-43C7-B4FC-82AD3B712B82}" srcOrd="13" destOrd="0" presId="urn:microsoft.com/office/officeart/2005/8/layout/cycle1"/>
    <dgm:cxn modelId="{005761C9-977E-42A5-A77B-5F139A888ADA}" type="presParOf" srcId="{F3235447-C95E-4C02-A194-9D3B10949B40}" destId="{CDB38FFE-4150-4036-82A2-003B6AACFC18}" srcOrd="14" destOrd="0" presId="urn:microsoft.com/office/officeart/2005/8/layout/cycle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D860B6-B4FB-42E2-A70A-2F7B9D2705A7}"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es-MX"/>
        </a:p>
      </dgm:t>
    </dgm:pt>
    <dgm:pt modelId="{69B602CA-2B0A-4AC0-B0F5-DC6DE49D6101}">
      <dgm:prSet phldrT="[Texto]" custT="1"/>
      <dgm:spPr>
        <a:xfrm>
          <a:off x="3375549" y="24204"/>
          <a:ext cx="791616" cy="791616"/>
        </a:xfrm>
      </dgm:spPr>
      <dgm:t>
        <a:bodyPr/>
        <a:lstStyle/>
        <a:p>
          <a:pPr>
            <a:buNone/>
          </a:pPr>
          <a:r>
            <a:rPr lang="es-MX" sz="800">
              <a:latin typeface="Calibri" panose="020F0502020204030204"/>
              <a:ea typeface="+mn-ea"/>
              <a:cs typeface="+mn-cs"/>
            </a:rPr>
            <a:t>a) Determinación de impactos residuales (IR)</a:t>
          </a:r>
        </a:p>
      </dgm:t>
    </dgm:pt>
    <dgm:pt modelId="{41181F0D-292E-4F2B-808F-A5071C10D9BC}" type="parTrans" cxnId="{088C7572-8C7F-4763-8F81-82DCA30E3896}">
      <dgm:prSet/>
      <dgm:spPr/>
      <dgm:t>
        <a:bodyPr/>
        <a:lstStyle/>
        <a:p>
          <a:endParaRPr lang="es-MX" sz="1800"/>
        </a:p>
      </dgm:t>
    </dgm:pt>
    <dgm:pt modelId="{DEAC38C1-BCA7-4424-A0F0-BEF39C82C8F5}" type="sibTrans" cxnId="{088C7572-8C7F-4763-8F81-82DCA30E3896}">
      <dgm:prSet/>
      <dgm:spPr>
        <a:xfrm>
          <a:off x="1513157" y="1276"/>
          <a:ext cx="2968278" cy="2968278"/>
        </a:xfrm>
      </dgm:spPr>
      <dgm:t>
        <a:bodyPr/>
        <a:lstStyle/>
        <a:p>
          <a:endParaRPr lang="es-MX" sz="1800"/>
        </a:p>
      </dgm:t>
    </dgm:pt>
    <dgm:pt modelId="{DD16B2FF-300E-485E-8605-BB225F9DD76C}">
      <dgm:prSet phldrT="[Texto]" custT="1"/>
      <dgm:spPr>
        <a:xfrm>
          <a:off x="3853944" y="1496554"/>
          <a:ext cx="791616" cy="791616"/>
        </a:xfrm>
      </dgm:spPr>
      <dgm:t>
        <a:bodyPr/>
        <a:lstStyle/>
        <a:p>
          <a:pPr>
            <a:buNone/>
          </a:pPr>
          <a:r>
            <a:rPr lang="es-MX" sz="800">
              <a:latin typeface="Calibri" panose="020F0502020204030204"/>
              <a:ea typeface="+mn-ea"/>
              <a:cs typeface="+mn-cs"/>
            </a:rPr>
            <a:t>b) Determinación de IR que pueden acumularse o generar sinergias</a:t>
          </a:r>
        </a:p>
      </dgm:t>
    </dgm:pt>
    <dgm:pt modelId="{60D51C99-5DFD-4438-9037-4C88A4980A71}" type="parTrans" cxnId="{A5D5FA94-A208-42BC-9C73-6823E80AA9C5}">
      <dgm:prSet/>
      <dgm:spPr/>
      <dgm:t>
        <a:bodyPr/>
        <a:lstStyle/>
        <a:p>
          <a:endParaRPr lang="es-MX" sz="1800"/>
        </a:p>
      </dgm:t>
    </dgm:pt>
    <dgm:pt modelId="{D880076C-8A97-4F1E-A53D-99656F454A75}" type="sibTrans" cxnId="{A5D5FA94-A208-42BC-9C73-6823E80AA9C5}">
      <dgm:prSet/>
      <dgm:spPr>
        <a:xfrm>
          <a:off x="1513157" y="1276"/>
          <a:ext cx="2968278" cy="2968278"/>
        </a:xfrm>
      </dgm:spPr>
      <dgm:t>
        <a:bodyPr/>
        <a:lstStyle/>
        <a:p>
          <a:endParaRPr lang="es-MX" sz="1800"/>
        </a:p>
      </dgm:t>
    </dgm:pt>
    <dgm:pt modelId="{55FFF9DD-0F5F-4EEF-9F18-7321C5BB8695}">
      <dgm:prSet phldrT="[Texto]" custT="1"/>
      <dgm:spPr>
        <a:xfrm>
          <a:off x="2601488" y="2406517"/>
          <a:ext cx="791616" cy="791616"/>
        </a:xfrm>
      </dgm:spPr>
      <dgm:t>
        <a:bodyPr/>
        <a:lstStyle/>
        <a:p>
          <a:pPr>
            <a:buNone/>
          </a:pPr>
          <a:r>
            <a:rPr lang="es-CO" sz="800"/>
            <a:t>d) Evaluación de la acumulación y sinergia de IR. </a:t>
          </a:r>
          <a:endParaRPr lang="es-MX" sz="800">
            <a:latin typeface="Calibri" panose="020F0502020204030204"/>
            <a:ea typeface="+mn-ea"/>
            <a:cs typeface="+mn-cs"/>
          </a:endParaRPr>
        </a:p>
      </dgm:t>
    </dgm:pt>
    <dgm:pt modelId="{352A5FF8-72A1-4D86-BA68-AC0493C415FC}" type="parTrans" cxnId="{9E2BD14F-73E3-4CA0-8029-427135242ECC}">
      <dgm:prSet/>
      <dgm:spPr/>
      <dgm:t>
        <a:bodyPr/>
        <a:lstStyle/>
        <a:p>
          <a:endParaRPr lang="es-MX" sz="1800"/>
        </a:p>
      </dgm:t>
    </dgm:pt>
    <dgm:pt modelId="{F126CDD1-4923-4931-8318-B35A0D527D68}" type="sibTrans" cxnId="{9E2BD14F-73E3-4CA0-8029-427135242ECC}">
      <dgm:prSet/>
      <dgm:spPr>
        <a:xfrm>
          <a:off x="1513157" y="1276"/>
          <a:ext cx="2968278" cy="2968278"/>
        </a:xfrm>
      </dgm:spPr>
      <dgm:t>
        <a:bodyPr/>
        <a:lstStyle/>
        <a:p>
          <a:endParaRPr lang="es-MX" sz="1800"/>
        </a:p>
      </dgm:t>
    </dgm:pt>
    <dgm:pt modelId="{ACE39EF8-7295-4A34-8593-41DF6DF54060}">
      <dgm:prSet phldrT="[Texto]" custT="1"/>
      <dgm:spPr>
        <a:xfrm>
          <a:off x="840838" y="1496554"/>
          <a:ext cx="1808005" cy="791616"/>
        </a:xfrm>
      </dgm:spPr>
      <dgm:t>
        <a:bodyPr/>
        <a:lstStyle/>
        <a:p>
          <a:pPr>
            <a:buNone/>
          </a:pPr>
          <a:r>
            <a:rPr lang="es-CO" sz="800"/>
            <a:t>e) Replanteamiento o formulación de nuevas medidas para reducir cantidad y significancia de IR </a:t>
          </a:r>
          <a:endParaRPr lang="es-MX" sz="800">
            <a:latin typeface="Calibri" panose="020F0502020204030204"/>
            <a:ea typeface="+mn-ea"/>
            <a:cs typeface="+mn-cs"/>
          </a:endParaRPr>
        </a:p>
      </dgm:t>
    </dgm:pt>
    <dgm:pt modelId="{6BED1FAA-1D1B-45E9-9D2F-98D2EB817C56}" type="parTrans" cxnId="{FF103661-3289-4496-B5C4-E41993FAA61E}">
      <dgm:prSet/>
      <dgm:spPr/>
      <dgm:t>
        <a:bodyPr/>
        <a:lstStyle/>
        <a:p>
          <a:endParaRPr lang="es-MX" sz="1800"/>
        </a:p>
      </dgm:t>
    </dgm:pt>
    <dgm:pt modelId="{0D4906AC-1327-4B4C-B656-754B8C0F664B}" type="sibTrans" cxnId="{FF103661-3289-4496-B5C4-E41993FAA61E}">
      <dgm:prSet/>
      <dgm:spPr>
        <a:xfrm>
          <a:off x="1513157" y="1276"/>
          <a:ext cx="2968278" cy="2968278"/>
        </a:xfrm>
      </dgm:spPr>
      <dgm:t>
        <a:bodyPr/>
        <a:lstStyle/>
        <a:p>
          <a:endParaRPr lang="es-MX" sz="1800"/>
        </a:p>
      </dgm:t>
    </dgm:pt>
    <dgm:pt modelId="{B77CA2D7-F36D-402C-8F7D-34380C0D32EA}">
      <dgm:prSet phldrT="[Texto]" custT="1"/>
      <dgm:spPr>
        <a:xfrm>
          <a:off x="3853944" y="1496554"/>
          <a:ext cx="791616" cy="791616"/>
        </a:xfrm>
      </dgm:spPr>
      <dgm:t>
        <a:bodyPr/>
        <a:lstStyle/>
        <a:p>
          <a:pPr>
            <a:buNone/>
          </a:pPr>
          <a:r>
            <a:rPr lang="es-MX" sz="800">
              <a:latin typeface="Calibri" panose="020F0502020204030204"/>
              <a:ea typeface="+mn-ea"/>
              <a:cs typeface="+mn-cs"/>
            </a:rPr>
            <a:t>c) Selección de IR que serán objeto de evaluación. Uno </a:t>
          </a:r>
          <a:r>
            <a:rPr lang="es-CO" sz="800"/>
            <a:t>por CEI</a:t>
          </a:r>
          <a:endParaRPr lang="es-MX" sz="800">
            <a:latin typeface="Calibri" panose="020F0502020204030204"/>
            <a:ea typeface="+mn-ea"/>
            <a:cs typeface="+mn-cs"/>
          </a:endParaRPr>
        </a:p>
      </dgm:t>
    </dgm:pt>
    <dgm:pt modelId="{E4615B4A-115F-4FCB-AFD0-C4CF06CF3DA1}" type="parTrans" cxnId="{9573CD8B-8A49-400D-8BD5-31DAAEE29B68}">
      <dgm:prSet/>
      <dgm:spPr/>
    </dgm:pt>
    <dgm:pt modelId="{53275C66-77A9-4016-9CD1-E43063E84B82}" type="sibTrans" cxnId="{9573CD8B-8A49-400D-8BD5-31DAAEE29B68}">
      <dgm:prSet/>
      <dgm:spPr/>
    </dgm:pt>
    <dgm:pt modelId="{45C60ED5-D177-4B74-99EC-EFBACD4FDCA5}" type="pres">
      <dgm:prSet presAssocID="{5ED860B6-B4FB-42E2-A70A-2F7B9D2705A7}" presName="cycle" presStyleCnt="0">
        <dgm:presLayoutVars>
          <dgm:dir/>
          <dgm:resizeHandles val="exact"/>
        </dgm:presLayoutVars>
      </dgm:prSet>
      <dgm:spPr/>
    </dgm:pt>
    <dgm:pt modelId="{31B8283B-BE69-418A-BDE0-16687B07ACE2}" type="pres">
      <dgm:prSet presAssocID="{69B602CA-2B0A-4AC0-B0F5-DC6DE49D6101}" presName="node" presStyleLbl="node1" presStyleIdx="0" presStyleCnt="5">
        <dgm:presLayoutVars>
          <dgm:bulletEnabled val="1"/>
        </dgm:presLayoutVars>
      </dgm:prSet>
      <dgm:spPr/>
    </dgm:pt>
    <dgm:pt modelId="{3E018A4E-6DA1-4F24-9BD2-5961DD29250B}" type="pres">
      <dgm:prSet presAssocID="{69B602CA-2B0A-4AC0-B0F5-DC6DE49D6101}" presName="spNode" presStyleCnt="0"/>
      <dgm:spPr/>
    </dgm:pt>
    <dgm:pt modelId="{723865CB-7B4A-4BA8-BF2F-2A6051B0D86A}" type="pres">
      <dgm:prSet presAssocID="{DEAC38C1-BCA7-4424-A0F0-BEF39C82C8F5}" presName="sibTrans" presStyleLbl="sibTrans1D1" presStyleIdx="0" presStyleCnt="5"/>
      <dgm:spPr/>
    </dgm:pt>
    <dgm:pt modelId="{CF5509FB-536B-48FC-A5B8-6064F085EE60}" type="pres">
      <dgm:prSet presAssocID="{DD16B2FF-300E-485E-8605-BB225F9DD76C}" presName="node" presStyleLbl="node1" presStyleIdx="1" presStyleCnt="5">
        <dgm:presLayoutVars>
          <dgm:bulletEnabled val="1"/>
        </dgm:presLayoutVars>
      </dgm:prSet>
      <dgm:spPr/>
    </dgm:pt>
    <dgm:pt modelId="{407DB5E8-503A-46EB-A3AC-42ADAB946DC4}" type="pres">
      <dgm:prSet presAssocID="{DD16B2FF-300E-485E-8605-BB225F9DD76C}" presName="spNode" presStyleCnt="0"/>
      <dgm:spPr/>
    </dgm:pt>
    <dgm:pt modelId="{ABAF27C7-D7D4-4E02-9967-C832EF141E3E}" type="pres">
      <dgm:prSet presAssocID="{D880076C-8A97-4F1E-A53D-99656F454A75}" presName="sibTrans" presStyleLbl="sibTrans1D1" presStyleIdx="1" presStyleCnt="5"/>
      <dgm:spPr/>
    </dgm:pt>
    <dgm:pt modelId="{712788F9-0D18-416B-9E8E-E1679BE338A7}" type="pres">
      <dgm:prSet presAssocID="{B77CA2D7-F36D-402C-8F7D-34380C0D32EA}" presName="node" presStyleLbl="node1" presStyleIdx="2" presStyleCnt="5">
        <dgm:presLayoutVars>
          <dgm:bulletEnabled val="1"/>
        </dgm:presLayoutVars>
      </dgm:prSet>
      <dgm:spPr/>
    </dgm:pt>
    <dgm:pt modelId="{505DAD00-E763-4D78-996B-E8DCD85A22E0}" type="pres">
      <dgm:prSet presAssocID="{B77CA2D7-F36D-402C-8F7D-34380C0D32EA}" presName="spNode" presStyleCnt="0"/>
      <dgm:spPr/>
    </dgm:pt>
    <dgm:pt modelId="{B2EA6CD2-28A3-4569-9444-EC6C0D68E5FD}" type="pres">
      <dgm:prSet presAssocID="{53275C66-77A9-4016-9CD1-E43063E84B82}" presName="sibTrans" presStyleLbl="sibTrans1D1" presStyleIdx="2" presStyleCnt="5"/>
      <dgm:spPr/>
    </dgm:pt>
    <dgm:pt modelId="{A65CD71B-AE13-4F94-A1CF-238B07DE41D6}" type="pres">
      <dgm:prSet presAssocID="{55FFF9DD-0F5F-4EEF-9F18-7321C5BB8695}" presName="node" presStyleLbl="node1" presStyleIdx="3" presStyleCnt="5">
        <dgm:presLayoutVars>
          <dgm:bulletEnabled val="1"/>
        </dgm:presLayoutVars>
      </dgm:prSet>
      <dgm:spPr/>
    </dgm:pt>
    <dgm:pt modelId="{C9130FB8-7004-43C3-8BD7-4F5D82029E13}" type="pres">
      <dgm:prSet presAssocID="{55FFF9DD-0F5F-4EEF-9F18-7321C5BB8695}" presName="spNode" presStyleCnt="0"/>
      <dgm:spPr/>
    </dgm:pt>
    <dgm:pt modelId="{3A1C259A-EF4F-47F1-B09F-D715F691A1CC}" type="pres">
      <dgm:prSet presAssocID="{F126CDD1-4923-4931-8318-B35A0D527D68}" presName="sibTrans" presStyleLbl="sibTrans1D1" presStyleIdx="3" presStyleCnt="5"/>
      <dgm:spPr/>
    </dgm:pt>
    <dgm:pt modelId="{31F2B72C-54B5-4F85-BE1D-E5F4D1C7F799}" type="pres">
      <dgm:prSet presAssocID="{ACE39EF8-7295-4A34-8593-41DF6DF54060}" presName="node" presStyleLbl="node1" presStyleIdx="4" presStyleCnt="5">
        <dgm:presLayoutVars>
          <dgm:bulletEnabled val="1"/>
        </dgm:presLayoutVars>
      </dgm:prSet>
      <dgm:spPr/>
    </dgm:pt>
    <dgm:pt modelId="{BEC63BBB-790F-4117-8440-FD41F16501FB}" type="pres">
      <dgm:prSet presAssocID="{ACE39EF8-7295-4A34-8593-41DF6DF54060}" presName="spNode" presStyleCnt="0"/>
      <dgm:spPr/>
    </dgm:pt>
    <dgm:pt modelId="{AF78CCB6-A50A-4BFA-BA93-E7D2EE8F95DB}" type="pres">
      <dgm:prSet presAssocID="{0D4906AC-1327-4B4C-B656-754B8C0F664B}" presName="sibTrans" presStyleLbl="sibTrans1D1" presStyleIdx="4" presStyleCnt="5"/>
      <dgm:spPr/>
    </dgm:pt>
  </dgm:ptLst>
  <dgm:cxnLst>
    <dgm:cxn modelId="{9370080F-6779-47B7-B4B4-EDA9FF5BF96E}" type="presOf" srcId="{ACE39EF8-7295-4A34-8593-41DF6DF54060}" destId="{31F2B72C-54B5-4F85-BE1D-E5F4D1C7F799}" srcOrd="0" destOrd="0" presId="urn:microsoft.com/office/officeart/2005/8/layout/cycle5"/>
    <dgm:cxn modelId="{613C4F22-4BF7-4871-83C9-2B98DB81CEB4}" type="presOf" srcId="{DEAC38C1-BCA7-4424-A0F0-BEF39C82C8F5}" destId="{723865CB-7B4A-4BA8-BF2F-2A6051B0D86A}" srcOrd="0" destOrd="0" presId="urn:microsoft.com/office/officeart/2005/8/layout/cycle5"/>
    <dgm:cxn modelId="{477FD222-75D8-4C32-9119-4EB79371400F}" type="presOf" srcId="{DD16B2FF-300E-485E-8605-BB225F9DD76C}" destId="{CF5509FB-536B-48FC-A5B8-6064F085EE60}" srcOrd="0" destOrd="0" presId="urn:microsoft.com/office/officeart/2005/8/layout/cycle5"/>
    <dgm:cxn modelId="{2FF26129-B228-432D-88A9-B9CC1266B8E9}" type="presOf" srcId="{69B602CA-2B0A-4AC0-B0F5-DC6DE49D6101}" destId="{31B8283B-BE69-418A-BDE0-16687B07ACE2}" srcOrd="0" destOrd="0" presId="urn:microsoft.com/office/officeart/2005/8/layout/cycle5"/>
    <dgm:cxn modelId="{FF103661-3289-4496-B5C4-E41993FAA61E}" srcId="{5ED860B6-B4FB-42E2-A70A-2F7B9D2705A7}" destId="{ACE39EF8-7295-4A34-8593-41DF6DF54060}" srcOrd="4" destOrd="0" parTransId="{6BED1FAA-1D1B-45E9-9D2F-98D2EB817C56}" sibTransId="{0D4906AC-1327-4B4C-B656-754B8C0F664B}"/>
    <dgm:cxn modelId="{96F95766-7401-4795-9F05-2FF67CBDC2BF}" type="presOf" srcId="{D880076C-8A97-4F1E-A53D-99656F454A75}" destId="{ABAF27C7-D7D4-4E02-9967-C832EF141E3E}" srcOrd="0" destOrd="0" presId="urn:microsoft.com/office/officeart/2005/8/layout/cycle5"/>
    <dgm:cxn modelId="{1BD9CF46-A2E6-4826-9528-B5B1D21C18E8}" type="presOf" srcId="{5ED860B6-B4FB-42E2-A70A-2F7B9D2705A7}" destId="{45C60ED5-D177-4B74-99EC-EFBACD4FDCA5}" srcOrd="0" destOrd="0" presId="urn:microsoft.com/office/officeart/2005/8/layout/cycle5"/>
    <dgm:cxn modelId="{9E2BD14F-73E3-4CA0-8029-427135242ECC}" srcId="{5ED860B6-B4FB-42E2-A70A-2F7B9D2705A7}" destId="{55FFF9DD-0F5F-4EEF-9F18-7321C5BB8695}" srcOrd="3" destOrd="0" parTransId="{352A5FF8-72A1-4D86-BA68-AC0493C415FC}" sibTransId="{F126CDD1-4923-4931-8318-B35A0D527D68}"/>
    <dgm:cxn modelId="{088C7572-8C7F-4763-8F81-82DCA30E3896}" srcId="{5ED860B6-B4FB-42E2-A70A-2F7B9D2705A7}" destId="{69B602CA-2B0A-4AC0-B0F5-DC6DE49D6101}" srcOrd="0" destOrd="0" parTransId="{41181F0D-292E-4F2B-808F-A5071C10D9BC}" sibTransId="{DEAC38C1-BCA7-4424-A0F0-BEF39C82C8F5}"/>
    <dgm:cxn modelId="{E8620E8A-636E-4339-ABBE-74968A5741B8}" type="presOf" srcId="{55FFF9DD-0F5F-4EEF-9F18-7321C5BB8695}" destId="{A65CD71B-AE13-4F94-A1CF-238B07DE41D6}" srcOrd="0" destOrd="0" presId="urn:microsoft.com/office/officeart/2005/8/layout/cycle5"/>
    <dgm:cxn modelId="{9573CD8B-8A49-400D-8BD5-31DAAEE29B68}" srcId="{5ED860B6-B4FB-42E2-A70A-2F7B9D2705A7}" destId="{B77CA2D7-F36D-402C-8F7D-34380C0D32EA}" srcOrd="2" destOrd="0" parTransId="{E4615B4A-115F-4FCB-AFD0-C4CF06CF3DA1}" sibTransId="{53275C66-77A9-4016-9CD1-E43063E84B82}"/>
    <dgm:cxn modelId="{A5D5FA94-A208-42BC-9C73-6823E80AA9C5}" srcId="{5ED860B6-B4FB-42E2-A70A-2F7B9D2705A7}" destId="{DD16B2FF-300E-485E-8605-BB225F9DD76C}" srcOrd="1" destOrd="0" parTransId="{60D51C99-5DFD-4438-9037-4C88A4980A71}" sibTransId="{D880076C-8A97-4F1E-A53D-99656F454A75}"/>
    <dgm:cxn modelId="{B0219BB5-902E-41AC-A2ED-0B07CB6E8A32}" type="presOf" srcId="{53275C66-77A9-4016-9CD1-E43063E84B82}" destId="{B2EA6CD2-28A3-4569-9444-EC6C0D68E5FD}" srcOrd="0" destOrd="0" presId="urn:microsoft.com/office/officeart/2005/8/layout/cycle5"/>
    <dgm:cxn modelId="{A8178FB6-7DB5-40AB-A4E9-A81A29CC8FF5}" type="presOf" srcId="{F126CDD1-4923-4931-8318-B35A0D527D68}" destId="{3A1C259A-EF4F-47F1-B09F-D715F691A1CC}" srcOrd="0" destOrd="0" presId="urn:microsoft.com/office/officeart/2005/8/layout/cycle5"/>
    <dgm:cxn modelId="{859BC9DA-9411-4979-B362-47EF8E85A0ED}" type="presOf" srcId="{0D4906AC-1327-4B4C-B656-754B8C0F664B}" destId="{AF78CCB6-A50A-4BFA-BA93-E7D2EE8F95DB}" srcOrd="0" destOrd="0" presId="urn:microsoft.com/office/officeart/2005/8/layout/cycle5"/>
    <dgm:cxn modelId="{2E7E47F5-5EBE-4F24-9E67-DD1047F59763}" type="presOf" srcId="{B77CA2D7-F36D-402C-8F7D-34380C0D32EA}" destId="{712788F9-0D18-416B-9E8E-E1679BE338A7}" srcOrd="0" destOrd="0" presId="urn:microsoft.com/office/officeart/2005/8/layout/cycle5"/>
    <dgm:cxn modelId="{7C1F8D10-709A-4FF4-B0D3-095D07329AC5}" type="presParOf" srcId="{45C60ED5-D177-4B74-99EC-EFBACD4FDCA5}" destId="{31B8283B-BE69-418A-BDE0-16687B07ACE2}" srcOrd="0" destOrd="0" presId="urn:microsoft.com/office/officeart/2005/8/layout/cycle5"/>
    <dgm:cxn modelId="{0EA48D9B-96DE-47EF-8DB4-733F7AC7C5D1}" type="presParOf" srcId="{45C60ED5-D177-4B74-99EC-EFBACD4FDCA5}" destId="{3E018A4E-6DA1-4F24-9BD2-5961DD29250B}" srcOrd="1" destOrd="0" presId="urn:microsoft.com/office/officeart/2005/8/layout/cycle5"/>
    <dgm:cxn modelId="{4D1A82FA-9F9C-434A-B8C8-2FD016604167}" type="presParOf" srcId="{45C60ED5-D177-4B74-99EC-EFBACD4FDCA5}" destId="{723865CB-7B4A-4BA8-BF2F-2A6051B0D86A}" srcOrd="2" destOrd="0" presId="urn:microsoft.com/office/officeart/2005/8/layout/cycle5"/>
    <dgm:cxn modelId="{3F1B9C4B-5E41-4FF2-AE19-C7031A5CC06C}" type="presParOf" srcId="{45C60ED5-D177-4B74-99EC-EFBACD4FDCA5}" destId="{CF5509FB-536B-48FC-A5B8-6064F085EE60}" srcOrd="3" destOrd="0" presId="urn:microsoft.com/office/officeart/2005/8/layout/cycle5"/>
    <dgm:cxn modelId="{679475EB-FD1E-4B58-83FE-21150089E276}" type="presParOf" srcId="{45C60ED5-D177-4B74-99EC-EFBACD4FDCA5}" destId="{407DB5E8-503A-46EB-A3AC-42ADAB946DC4}" srcOrd="4" destOrd="0" presId="urn:microsoft.com/office/officeart/2005/8/layout/cycle5"/>
    <dgm:cxn modelId="{BEA6D620-A6CD-44A6-B3DA-44B9515CEA03}" type="presParOf" srcId="{45C60ED5-D177-4B74-99EC-EFBACD4FDCA5}" destId="{ABAF27C7-D7D4-4E02-9967-C832EF141E3E}" srcOrd="5" destOrd="0" presId="urn:microsoft.com/office/officeart/2005/8/layout/cycle5"/>
    <dgm:cxn modelId="{8D843A8B-5CE2-4DA9-AD43-AA71ABF3F15B}" type="presParOf" srcId="{45C60ED5-D177-4B74-99EC-EFBACD4FDCA5}" destId="{712788F9-0D18-416B-9E8E-E1679BE338A7}" srcOrd="6" destOrd="0" presId="urn:microsoft.com/office/officeart/2005/8/layout/cycle5"/>
    <dgm:cxn modelId="{3992773A-DFB9-4547-A54D-04177AD21D48}" type="presParOf" srcId="{45C60ED5-D177-4B74-99EC-EFBACD4FDCA5}" destId="{505DAD00-E763-4D78-996B-E8DCD85A22E0}" srcOrd="7" destOrd="0" presId="urn:microsoft.com/office/officeart/2005/8/layout/cycle5"/>
    <dgm:cxn modelId="{5D34846A-AB0B-4C8C-8F2E-96074729BAB6}" type="presParOf" srcId="{45C60ED5-D177-4B74-99EC-EFBACD4FDCA5}" destId="{B2EA6CD2-28A3-4569-9444-EC6C0D68E5FD}" srcOrd="8" destOrd="0" presId="urn:microsoft.com/office/officeart/2005/8/layout/cycle5"/>
    <dgm:cxn modelId="{46648E68-07A9-4831-A7FF-E6D384C8302A}" type="presParOf" srcId="{45C60ED5-D177-4B74-99EC-EFBACD4FDCA5}" destId="{A65CD71B-AE13-4F94-A1CF-238B07DE41D6}" srcOrd="9" destOrd="0" presId="urn:microsoft.com/office/officeart/2005/8/layout/cycle5"/>
    <dgm:cxn modelId="{4977A22A-D321-4C4F-A02A-E96BC4F14AEA}" type="presParOf" srcId="{45C60ED5-D177-4B74-99EC-EFBACD4FDCA5}" destId="{C9130FB8-7004-43C3-8BD7-4F5D82029E13}" srcOrd="10" destOrd="0" presId="urn:microsoft.com/office/officeart/2005/8/layout/cycle5"/>
    <dgm:cxn modelId="{1A0E774F-D2E9-4633-9540-84500E34EB9E}" type="presParOf" srcId="{45C60ED5-D177-4B74-99EC-EFBACD4FDCA5}" destId="{3A1C259A-EF4F-47F1-B09F-D715F691A1CC}" srcOrd="11" destOrd="0" presId="urn:microsoft.com/office/officeart/2005/8/layout/cycle5"/>
    <dgm:cxn modelId="{C7378A01-9CAF-446A-B354-6478CBDC1F0E}" type="presParOf" srcId="{45C60ED5-D177-4B74-99EC-EFBACD4FDCA5}" destId="{31F2B72C-54B5-4F85-BE1D-E5F4D1C7F799}" srcOrd="12" destOrd="0" presId="urn:microsoft.com/office/officeart/2005/8/layout/cycle5"/>
    <dgm:cxn modelId="{0F471F1A-85A1-411E-9B91-7F75BB35C43C}" type="presParOf" srcId="{45C60ED5-D177-4B74-99EC-EFBACD4FDCA5}" destId="{BEC63BBB-790F-4117-8440-FD41F16501FB}" srcOrd="13" destOrd="0" presId="urn:microsoft.com/office/officeart/2005/8/layout/cycle5"/>
    <dgm:cxn modelId="{2C740120-46DB-48D2-A2C7-03323DF55BDB}" type="presParOf" srcId="{45C60ED5-D177-4B74-99EC-EFBACD4FDCA5}" destId="{AF78CCB6-A50A-4BFA-BA93-E7D2EE8F95DB}" srcOrd="14" destOrd="0" presId="urn:microsoft.com/office/officeart/2005/8/layout/cycle5"/>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BD053D-63A3-4D2F-A58E-A9EF894EDADC}">
      <dsp:nvSpPr>
        <dsp:cNvPr id="0" name=""/>
        <dsp:cNvSpPr/>
      </dsp:nvSpPr>
      <dsp:spPr>
        <a:xfrm>
          <a:off x="3375549"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t>Conocer contexto</a:t>
          </a:r>
        </a:p>
      </dsp:txBody>
      <dsp:txXfrm>
        <a:off x="3375549" y="24204"/>
        <a:ext cx="791616" cy="791616"/>
      </dsp:txXfrm>
    </dsp:sp>
    <dsp:sp modelId="{910FF180-DF9B-417C-8A6B-77C84B9CA287}">
      <dsp:nvSpPr>
        <dsp:cNvPr id="0" name=""/>
        <dsp:cNvSpPr/>
      </dsp:nvSpPr>
      <dsp:spPr>
        <a:xfrm>
          <a:off x="1513157" y="1276"/>
          <a:ext cx="2968278" cy="2968278"/>
        </a:xfrm>
        <a:prstGeom prst="circularArrow">
          <a:avLst>
            <a:gd name="adj1" fmla="val 5200"/>
            <a:gd name="adj2" fmla="val 335938"/>
            <a:gd name="adj3" fmla="val 21293141"/>
            <a:gd name="adj4" fmla="val 19766327"/>
            <a:gd name="adj5" fmla="val 606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F89C8A-322D-4203-B345-3AFBB02955A6}">
      <dsp:nvSpPr>
        <dsp:cNvPr id="0" name=""/>
        <dsp:cNvSpPr/>
      </dsp:nvSpPr>
      <dsp:spPr>
        <a:xfrm>
          <a:off x="3853944"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t>Identificar alternativas</a:t>
          </a:r>
        </a:p>
      </dsp:txBody>
      <dsp:txXfrm>
        <a:off x="3853944" y="1496554"/>
        <a:ext cx="791616" cy="791616"/>
      </dsp:txXfrm>
    </dsp:sp>
    <dsp:sp modelId="{56C07723-1FFE-4234-905C-66ADCB9FEFE1}">
      <dsp:nvSpPr>
        <dsp:cNvPr id="0" name=""/>
        <dsp:cNvSpPr/>
      </dsp:nvSpPr>
      <dsp:spPr>
        <a:xfrm>
          <a:off x="1513157" y="1276"/>
          <a:ext cx="2968278" cy="2968278"/>
        </a:xfrm>
        <a:prstGeom prst="circularArrow">
          <a:avLst>
            <a:gd name="adj1" fmla="val 5200"/>
            <a:gd name="adj2" fmla="val 335938"/>
            <a:gd name="adj3" fmla="val 4014594"/>
            <a:gd name="adj4" fmla="val 2253528"/>
            <a:gd name="adj5" fmla="val 6067"/>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388A35-4522-41D2-B357-44EA37ABE881}">
      <dsp:nvSpPr>
        <dsp:cNvPr id="0" name=""/>
        <dsp:cNvSpPr/>
      </dsp:nvSpPr>
      <dsp:spPr>
        <a:xfrm>
          <a:off x="2601488" y="2406517"/>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t>Establecer criterios</a:t>
          </a:r>
        </a:p>
      </dsp:txBody>
      <dsp:txXfrm>
        <a:off x="2601488" y="2406517"/>
        <a:ext cx="791616" cy="791616"/>
      </dsp:txXfrm>
    </dsp:sp>
    <dsp:sp modelId="{3BEB7195-A3C8-42E3-AB63-DA1D7BF4EADB}">
      <dsp:nvSpPr>
        <dsp:cNvPr id="0" name=""/>
        <dsp:cNvSpPr/>
      </dsp:nvSpPr>
      <dsp:spPr>
        <a:xfrm>
          <a:off x="1513157" y="1276"/>
          <a:ext cx="2968278" cy="2968278"/>
        </a:xfrm>
        <a:prstGeom prst="circularArrow">
          <a:avLst>
            <a:gd name="adj1" fmla="val 5200"/>
            <a:gd name="adj2" fmla="val 335938"/>
            <a:gd name="adj3" fmla="val 8210534"/>
            <a:gd name="adj4" fmla="val 6449468"/>
            <a:gd name="adj5" fmla="val 6067"/>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DC29A3-B9AB-4031-B26C-A33E3F1906B2}">
      <dsp:nvSpPr>
        <dsp:cNvPr id="0" name=""/>
        <dsp:cNvSpPr/>
      </dsp:nvSpPr>
      <dsp:spPr>
        <a:xfrm>
          <a:off x="840838" y="1496554"/>
          <a:ext cx="1808005"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t>Ejecutar el método seleccionado</a:t>
          </a:r>
        </a:p>
      </dsp:txBody>
      <dsp:txXfrm>
        <a:off x="840838" y="1496554"/>
        <a:ext cx="1808005" cy="791616"/>
      </dsp:txXfrm>
    </dsp:sp>
    <dsp:sp modelId="{3F623FDC-D399-4B76-96CE-DD77A204CB70}">
      <dsp:nvSpPr>
        <dsp:cNvPr id="0" name=""/>
        <dsp:cNvSpPr/>
      </dsp:nvSpPr>
      <dsp:spPr>
        <a:xfrm>
          <a:off x="1513157" y="1276"/>
          <a:ext cx="2968278" cy="2968278"/>
        </a:xfrm>
        <a:prstGeom prst="circularArrow">
          <a:avLst>
            <a:gd name="adj1" fmla="val 5200"/>
            <a:gd name="adj2" fmla="val 335938"/>
            <a:gd name="adj3" fmla="val 12297735"/>
            <a:gd name="adj4" fmla="val 10770921"/>
            <a:gd name="adj5" fmla="val 6067"/>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DB67B0-0075-43C7-B4FC-82AD3B712B82}">
      <dsp:nvSpPr>
        <dsp:cNvPr id="0" name=""/>
        <dsp:cNvSpPr/>
      </dsp:nvSpPr>
      <dsp:spPr>
        <a:xfrm>
          <a:off x="1827428"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t>Ejecutar análisis de sensibilidad</a:t>
          </a:r>
        </a:p>
      </dsp:txBody>
      <dsp:txXfrm>
        <a:off x="1827428" y="24204"/>
        <a:ext cx="791616" cy="791616"/>
      </dsp:txXfrm>
    </dsp:sp>
    <dsp:sp modelId="{CDB38FFE-4150-4036-82A2-003B6AACFC18}">
      <dsp:nvSpPr>
        <dsp:cNvPr id="0" name=""/>
        <dsp:cNvSpPr/>
      </dsp:nvSpPr>
      <dsp:spPr>
        <a:xfrm>
          <a:off x="1513157" y="1276"/>
          <a:ext cx="2968278" cy="2968278"/>
        </a:xfrm>
        <a:prstGeom prst="circularArrow">
          <a:avLst>
            <a:gd name="adj1" fmla="val 5200"/>
            <a:gd name="adj2" fmla="val 335938"/>
            <a:gd name="adj3" fmla="val 16865583"/>
            <a:gd name="adj4" fmla="val 15198479"/>
            <a:gd name="adj5" fmla="val 6067"/>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8283B-BE69-418A-BDE0-16687B07ACE2}">
      <dsp:nvSpPr>
        <dsp:cNvPr id="0" name=""/>
        <dsp:cNvSpPr/>
      </dsp:nvSpPr>
      <dsp:spPr>
        <a:xfrm>
          <a:off x="2054176" y="1497"/>
          <a:ext cx="1050387" cy="68275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latin typeface="Calibri" panose="020F0502020204030204"/>
              <a:ea typeface="+mn-ea"/>
              <a:cs typeface="+mn-cs"/>
            </a:rPr>
            <a:t>a) Determinación de impactos residuales (IR)</a:t>
          </a:r>
        </a:p>
      </dsp:txBody>
      <dsp:txXfrm>
        <a:off x="2087505" y="34826"/>
        <a:ext cx="983729" cy="616094"/>
      </dsp:txXfrm>
    </dsp:sp>
    <dsp:sp modelId="{723865CB-7B4A-4BA8-BF2F-2A6051B0D86A}">
      <dsp:nvSpPr>
        <dsp:cNvPr id="0" name=""/>
        <dsp:cNvSpPr/>
      </dsp:nvSpPr>
      <dsp:spPr>
        <a:xfrm>
          <a:off x="1214378" y="342873"/>
          <a:ext cx="2729983" cy="2729983"/>
        </a:xfrm>
        <a:custGeom>
          <a:avLst/>
          <a:gdLst/>
          <a:ahLst/>
          <a:cxnLst/>
          <a:rect l="0" t="0" r="0" b="0"/>
          <a:pathLst>
            <a:path>
              <a:moveTo>
                <a:pt x="2031128" y="173579"/>
              </a:moveTo>
              <a:arcTo wR="1364991" hR="1364991" stAng="17952613" swAng="1212844"/>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F5509FB-536B-48FC-A5B8-6064F085EE60}">
      <dsp:nvSpPr>
        <dsp:cNvPr id="0" name=""/>
        <dsp:cNvSpPr/>
      </dsp:nvSpPr>
      <dsp:spPr>
        <a:xfrm>
          <a:off x="3352360" y="944683"/>
          <a:ext cx="1050387" cy="682752"/>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latin typeface="Calibri" panose="020F0502020204030204"/>
              <a:ea typeface="+mn-ea"/>
              <a:cs typeface="+mn-cs"/>
            </a:rPr>
            <a:t>b) Determinación de IR que pueden acumularse o generar sinergias</a:t>
          </a:r>
        </a:p>
      </dsp:txBody>
      <dsp:txXfrm>
        <a:off x="3385689" y="978012"/>
        <a:ext cx="983729" cy="616094"/>
      </dsp:txXfrm>
    </dsp:sp>
    <dsp:sp modelId="{ABAF27C7-D7D4-4E02-9967-C832EF141E3E}">
      <dsp:nvSpPr>
        <dsp:cNvPr id="0" name=""/>
        <dsp:cNvSpPr/>
      </dsp:nvSpPr>
      <dsp:spPr>
        <a:xfrm>
          <a:off x="1214378" y="342873"/>
          <a:ext cx="2729983" cy="2729983"/>
        </a:xfrm>
        <a:custGeom>
          <a:avLst/>
          <a:gdLst/>
          <a:ahLst/>
          <a:cxnLst/>
          <a:rect l="0" t="0" r="0" b="0"/>
          <a:pathLst>
            <a:path>
              <a:moveTo>
                <a:pt x="2726720" y="1459310"/>
              </a:moveTo>
              <a:arcTo wR="1364991" hR="1364991" stAng="21837732" swAng="1360736"/>
            </a:path>
          </a:pathLst>
        </a:custGeom>
        <a:noFill/>
        <a:ln w="9525" cap="flat" cmpd="sng" algn="ctr">
          <a:solidFill>
            <a:schemeClr val="accent5">
              <a:hueOff val="-2483469"/>
              <a:satOff val="9953"/>
              <a:lumOff val="215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12788F9-0D18-416B-9E8E-E1679BE338A7}">
      <dsp:nvSpPr>
        <dsp:cNvPr id="0" name=""/>
        <dsp:cNvSpPr/>
      </dsp:nvSpPr>
      <dsp:spPr>
        <a:xfrm>
          <a:off x="2856497" y="2470790"/>
          <a:ext cx="1050387" cy="682752"/>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latin typeface="Calibri" panose="020F0502020204030204"/>
              <a:ea typeface="+mn-ea"/>
              <a:cs typeface="+mn-cs"/>
            </a:rPr>
            <a:t>c) Selección de IR que serán objeto de evaluación. Uno </a:t>
          </a:r>
          <a:r>
            <a:rPr lang="es-CO" sz="800" kern="1200"/>
            <a:t>por CEI</a:t>
          </a:r>
          <a:endParaRPr lang="es-MX" sz="800" kern="1200">
            <a:latin typeface="Calibri" panose="020F0502020204030204"/>
            <a:ea typeface="+mn-ea"/>
            <a:cs typeface="+mn-cs"/>
          </a:endParaRPr>
        </a:p>
      </dsp:txBody>
      <dsp:txXfrm>
        <a:off x="2889826" y="2504119"/>
        <a:ext cx="983729" cy="616094"/>
      </dsp:txXfrm>
    </dsp:sp>
    <dsp:sp modelId="{B2EA6CD2-28A3-4569-9444-EC6C0D68E5FD}">
      <dsp:nvSpPr>
        <dsp:cNvPr id="0" name=""/>
        <dsp:cNvSpPr/>
      </dsp:nvSpPr>
      <dsp:spPr>
        <a:xfrm>
          <a:off x="1214378" y="342873"/>
          <a:ext cx="2729983" cy="2729983"/>
        </a:xfrm>
        <a:custGeom>
          <a:avLst/>
          <a:gdLst/>
          <a:ahLst/>
          <a:cxnLst/>
          <a:rect l="0" t="0" r="0" b="0"/>
          <a:pathLst>
            <a:path>
              <a:moveTo>
                <a:pt x="1532782" y="2719631"/>
              </a:moveTo>
              <a:arcTo wR="1364991" hR="1364991" stAng="4976344" swAng="847312"/>
            </a:path>
          </a:pathLst>
        </a:custGeom>
        <a:noFill/>
        <a:ln w="9525" cap="flat" cmpd="sng" algn="ctr">
          <a:solidFill>
            <a:schemeClr val="accent5">
              <a:hueOff val="-4966938"/>
              <a:satOff val="19906"/>
              <a:lumOff val="431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65CD71B-AE13-4F94-A1CF-238B07DE41D6}">
      <dsp:nvSpPr>
        <dsp:cNvPr id="0" name=""/>
        <dsp:cNvSpPr/>
      </dsp:nvSpPr>
      <dsp:spPr>
        <a:xfrm>
          <a:off x="1251854" y="2470790"/>
          <a:ext cx="1050387" cy="682752"/>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 Evaluación de la acumulación y sinergia de IR. </a:t>
          </a:r>
          <a:endParaRPr lang="es-MX" sz="800" kern="1200">
            <a:latin typeface="Calibri" panose="020F0502020204030204"/>
            <a:ea typeface="+mn-ea"/>
            <a:cs typeface="+mn-cs"/>
          </a:endParaRPr>
        </a:p>
      </dsp:txBody>
      <dsp:txXfrm>
        <a:off x="1285183" y="2504119"/>
        <a:ext cx="983729" cy="616094"/>
      </dsp:txXfrm>
    </dsp:sp>
    <dsp:sp modelId="{3A1C259A-EF4F-47F1-B09F-D715F691A1CC}">
      <dsp:nvSpPr>
        <dsp:cNvPr id="0" name=""/>
        <dsp:cNvSpPr/>
      </dsp:nvSpPr>
      <dsp:spPr>
        <a:xfrm>
          <a:off x="1214378" y="342873"/>
          <a:ext cx="2729983" cy="2729983"/>
        </a:xfrm>
        <a:custGeom>
          <a:avLst/>
          <a:gdLst/>
          <a:ahLst/>
          <a:cxnLst/>
          <a:rect l="0" t="0" r="0" b="0"/>
          <a:pathLst>
            <a:path>
              <a:moveTo>
                <a:pt x="144917" y="1977055"/>
              </a:moveTo>
              <a:arcTo wR="1364991" hR="1364991" stAng="9201531" swAng="1360736"/>
            </a:path>
          </a:pathLst>
        </a:custGeom>
        <a:noFill/>
        <a:ln w="9525" cap="flat" cmpd="sng" algn="ctr">
          <a:solidFill>
            <a:schemeClr val="accent5">
              <a:hueOff val="-7450407"/>
              <a:satOff val="29858"/>
              <a:lumOff val="647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1F2B72C-54B5-4F85-BE1D-E5F4D1C7F799}">
      <dsp:nvSpPr>
        <dsp:cNvPr id="0" name=""/>
        <dsp:cNvSpPr/>
      </dsp:nvSpPr>
      <dsp:spPr>
        <a:xfrm>
          <a:off x="755991" y="944683"/>
          <a:ext cx="1050387" cy="682752"/>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e) Replanteamiento o formulación de nuevas medidas para reducir cantidad y significancia de IR </a:t>
          </a:r>
          <a:endParaRPr lang="es-MX" sz="800" kern="1200">
            <a:latin typeface="Calibri" panose="020F0502020204030204"/>
            <a:ea typeface="+mn-ea"/>
            <a:cs typeface="+mn-cs"/>
          </a:endParaRPr>
        </a:p>
      </dsp:txBody>
      <dsp:txXfrm>
        <a:off x="789320" y="978012"/>
        <a:ext cx="983729" cy="616094"/>
      </dsp:txXfrm>
    </dsp:sp>
    <dsp:sp modelId="{AF78CCB6-A50A-4BFA-BA93-E7D2EE8F95DB}">
      <dsp:nvSpPr>
        <dsp:cNvPr id="0" name=""/>
        <dsp:cNvSpPr/>
      </dsp:nvSpPr>
      <dsp:spPr>
        <a:xfrm>
          <a:off x="1214378" y="342873"/>
          <a:ext cx="2729983" cy="2729983"/>
        </a:xfrm>
        <a:custGeom>
          <a:avLst/>
          <a:gdLst/>
          <a:ahLst/>
          <a:cxnLst/>
          <a:rect l="0" t="0" r="0" b="0"/>
          <a:pathLst>
            <a:path>
              <a:moveTo>
                <a:pt x="328216" y="477129"/>
              </a:moveTo>
              <a:arcTo wR="1364991" hR="1364991" stAng="13234543" swAng="1212844"/>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MarcadorDePosición1</b:Tag>
    <b:RefOrder>11</b:RefOrder>
  </b:Source>
  <b:Source>
    <b:Tag>MAV10</b:Tag>
    <b:SourceType>Book</b:SourceType>
    <b:Guid>{5F2B1240-B9A2-4FB9-97F1-5C0E6B6751C7}</b:Guid>
    <b:Title>Evaluación económica de impactos ambientales en proyectos sujetos a licenciamiento ambiental. Manual técnico. Documento en discusión</b:Title>
    <b:Year>2010</b:Year>
    <b:Author>
      <b:Author>
        <b:Corporate>MAVDT &amp; CEDE</b:Corporate>
      </b:Author>
    </b:Author>
    <b:City>Bogotá</b:City>
    <b:Publisher>Ministerio de Ambiente, Vivienda y Desarrollo Territorial- Universidad de los Andes; Facultad de economía</b:Publisher>
    <b:RefOrder>5</b:RefOrder>
  </b:Source>
  <b:Source>
    <b:Tag>Gon08</b:Tag>
    <b:SourceType>Report</b:SourceType>
    <b:Guid>{64FCEBFD-A5A2-4007-81AE-9CF2C0B5A085}</b:Guid>
    <b:Title>Guía para decisores. Análisis económico de externalidades ambientales</b:Title>
    <b:Year>2008</b:Year>
    <b:City> Santiago de Chile</b:City>
    <b:Publisher>Naciones Unidas- Comisión Económica para América Latina y el Caribe (CEPAL)- GTZ</b:Publisher>
    <b:Author>
      <b:Author>
        <b:NameList>
          <b:Person>
            <b:Last>Delacámara</b:Last>
            <b:First>Gonzalo</b:First>
          </b:Person>
        </b:NameList>
      </b:Author>
    </b:Author>
    <b:RefOrder>1</b:RefOrder>
  </b:Source>
  <b:Source>
    <b:Tag>Bic05</b:Tag>
    <b:SourceType>Report</b:SourceType>
    <b:Guid>{7EF89DA9-80CA-41E5-9D85-0807A51D6F82}</b:Guid>
    <b:Title>ExternE. Externalities of Energy: Methodology 2005 Update</b:Title>
    <b:Year>2005</b:Year>
    <b:Publisher>European Commision-Directorate-General for Research Sustainable Energy Systems</b:Publisher>
    <b:City>Luxemburg</b:City>
    <b:Author>
      <b:Author>
        <b:NameList>
          <b:Person>
            <b:Last>Bickel</b:Last>
            <b:First>Peter</b:First>
          </b:Person>
          <b:Person>
            <b:Last>Friedrich</b:Last>
            <b:Middle>(Eds)</b:Middle>
            <b:First>Rainer</b:First>
          </b:Person>
        </b:NameList>
      </b:Author>
    </b:Author>
    <b:RefOrder>3</b:RefOrder>
  </b:Source>
  <b:Source>
    <b:Tag>Die02</b:Tag>
    <b:SourceType>Book</b:SourceType>
    <b:Guid>{9234C4B3-B34A-4268-B510-34498D1BB171}</b:Guid>
    <b:Author>
      <b:Author>
        <b:NameList>
          <b:Person>
            <b:Last>Azqueta</b:Last>
            <b:First>Diego</b:First>
          </b:Person>
        </b:NameList>
      </b:Author>
    </b:Author>
    <b:Title>Introducción a la Economía Ambiental</b:Title>
    <b:Year>2002</b:Year>
    <b:City>Madrid</b:City>
    <b:Publisher>McGraw Hill</b:Publisher>
    <b:RefOrder>4</b:RefOrder>
  </b:Source>
  <b:Source>
    <b:Tag>Cos14</b:Tag>
    <b:SourceType>JournalArticle</b:SourceType>
    <b:Guid>{AAE2BE66-7B44-4F45-893B-51FBF2624A17}</b:Guid>
    <b:Title>Changes en the global value of ecosystem services</b:Title>
    <b:Year>2014</b:Year>
    <b:Author>
      <b:Author>
        <b:Corporate>Costanza et al.</b:Corporate>
      </b:Author>
    </b:Author>
    <b:JournalName>Global environmental change 26</b:JournalName>
    <b:Pages>152-158</b:Pages>
    <b:RefOrder>6</b:RefOrder>
  </b:Source>
  <b:Source>
    <b:Tag>Ann01</b:Tag>
    <b:SourceType>JournalArticle</b:SourceType>
    <b:Guid>{D580681E-F0FC-417C-9F19-8A76B96FA76E}</b:Guid>
    <b:Title>Improving Alternatives for Environmental Impact Assessment</b:Title>
    <b:Year>2001</b:Year>
    <b:Author>
      <b:Author>
        <b:NameList>
          <b:Person>
            <b:Last>Steinemann</b:Last>
            <b:First>Anne</b:First>
          </b:Person>
        </b:NameList>
      </b:Author>
    </b:Author>
    <b:JournalName>Environmental Impact Assessment Review 21</b:JournalName>
    <b:Pages>3-21</b:Pages>
    <b:RefOrder>7</b:RefOrder>
  </b:Source>
  <b:Source>
    <b:Tag>Fre03</b:Tag>
    <b:SourceType>Book</b:SourceType>
    <b:Guid>{24A8E97B-57B1-7142-8E67-DA2AF8DB6367}</b:Guid>
    <b:Author>
      <b:Author>
        <b:NameList>
          <b:Person>
            <b:Last>Freeman</b:Last>
            <b:Middle>Myrick</b:Middle>
            <b:First>A.</b:First>
          </b:Person>
        </b:NameList>
      </b:Author>
    </b:Author>
    <b:Title>The measurment of Environmental and resource values. Theory and methods</b:Title>
    <b:City>Washington D.C</b:City>
    <b:CountryRegion>U.S.A.</b:CountryRegion>
    <b:Publisher>Resources for the Future</b:Publisher>
    <b:Year>2003</b:Year>
    <b:Pages>491</b:Pages>
    <b:Edition>Segunda edición</b:Edition>
    <b:RefOrder>8</b:RefOrder>
  </b:Source>
  <b:Source>
    <b:Tag>OEC02</b:Tag>
    <b:SourceType>Book</b:SourceType>
    <b:Guid>{43D620C2-A05C-E84B-AE1E-8F4FC00B8603}</b:Guid>
    <b:Author>
      <b:Author>
        <b:Corporate>OECD</b:Corporate>
      </b:Author>
    </b:Author>
    <b:Title>Handbook of biodiversity valuation. A guide for policy makers</b:Title>
    <b:City>Paris</b:City>
    <b:CountryRegion>Francia</b:CountryRegion>
    <b:Year>2002</b:Year>
    <b:RefOrder>9</b:RefOrder>
  </b:Source>
  <b:Source>
    <b:Tag>Dia07</b:Tag>
    <b:SourceType>JournalArticle</b:SourceType>
    <b:Guid>{C594774B-5C9B-4E39-A6D4-58EAE16B7AFE}</b:Guid>
    <b:Title>Multi-criteria decision analysis and cost-benefit analysis of alternative scenario for the power generation sector in Greece</b:Title>
    <b:Year>2007</b:Year>
    <b:JournalName>Renewable and Sustainable Energy Reviews 11</b:JournalName>
    <b:Pages>716-727</b:Pages>
    <b:Author>
      <b:Author>
        <b:NameList>
          <b:Person>
            <b:Last>Diakoulaki</b:Last>
            <b:First>D</b:First>
          </b:Person>
          <b:Person>
            <b:Last>Karangelis</b:Last>
            <b:First>F</b:First>
          </b:Person>
        </b:NameList>
      </b:Author>
    </b:Author>
    <b:RefOrder>10</b:RefOrder>
  </b:Source>
  <b:Source>
    <b:Tag>MarcadorDePosición2</b:Tag>
    <b:SourceType>Book</b:SourceType>
    <b:Guid>{F2654E52-23C2-4593-8E3B-84CCA9CFD469}</b:Guid>
    <b:Title>Criterios Técnicos para el Uso de Herramientas Económicas en los proyectos, obras o actividades objeto de licenciamiento ambiental</b:Title>
    <b:Year>2017</b:Year>
    <b:Author>
      <b:Author>
        <b:Corporate>Minambiente &amp; ANLA</b:Corporate>
      </b:Author>
    </b:Author>
    <b:City>Bogotá</b:City>
    <b:Publisher>Ministerio de Ambiente y Desarrollo Sostenible - Autoridad Nacional de Licencias Ambientales</b:Publisher>
    <b:RefOrder>2</b:RefOrder>
  </b:Source>
  <b:Source>
    <b:Tag>Nev18</b:Tag>
    <b:SourceType>Report</b:SourceType>
    <b:Guid>{A5ADD30B-C21E-4C3E-B0D4-2451E0B33A9E}</b:Guid>
    <b:Author>
      <b:Author>
        <b:Corporate>Nevada Division of Environmental Protection</b:Corporate>
      </b:Author>
    </b:Author>
    <b:Title>Guidance for Hydrogeologic Groundwater Flow Modeling at  Mine Sites</b:Title>
    <b:Year>2018</b:Year>
    <b:Publisher>Bureau of Mining Regulation and Reclamation</b:Publisher>
    <b:RefOrder>1</b:RefOrder>
  </b:Source>
</b:Sources>
</file>

<file path=customXml/item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MarcadorDePosición1</b:Tag>
    <b:RefOrder>11</b:RefOrder>
  </b:Source>
  <b:Source>
    <b:Tag>MAV10</b:Tag>
    <b:SourceType>Book</b:SourceType>
    <b:Guid>{5F2B1240-B9A2-4FB9-97F1-5C0E6B6751C7}</b:Guid>
    <b:Title>Evaluación económica de impactos ambientales en proyectos sujetos a licenciamiento ambiental. Manual técnico. Documento en discusión</b:Title>
    <b:Year>2010</b:Year>
    <b:Author>
      <b:Author>
        <b:Corporate>MAVDT &amp; CEDE</b:Corporate>
      </b:Author>
    </b:Author>
    <b:City>Bogotá</b:City>
    <b:Publisher>Ministerio de Ambiente, Vivienda y Desarrollo Territorial- Universidad de los Andes; Facultad de economía</b:Publisher>
    <b:RefOrder>5</b:RefOrder>
  </b:Source>
  <b:Source>
    <b:Tag>Gon08</b:Tag>
    <b:SourceType>Report</b:SourceType>
    <b:Guid>{64FCEBFD-A5A2-4007-81AE-9CF2C0B5A085}</b:Guid>
    <b:Title>Guía para decisores. Análisis económico de externalidades ambientales</b:Title>
    <b:Year>2008</b:Year>
    <b:City> Santiago de Chile</b:City>
    <b:Publisher>Naciones Unidas- Comisión Económica para América Latina y el Caribe (CEPAL)- GTZ</b:Publisher>
    <b:Author>
      <b:Author>
        <b:NameList>
          <b:Person>
            <b:Last>Delacámara</b:Last>
            <b:First>Gonzalo</b:First>
          </b:Person>
        </b:NameList>
      </b:Author>
    </b:Author>
    <b:RefOrder>1</b:RefOrder>
  </b:Source>
  <b:Source>
    <b:Tag>Bic05</b:Tag>
    <b:SourceType>Report</b:SourceType>
    <b:Guid>{7EF89DA9-80CA-41E5-9D85-0807A51D6F82}</b:Guid>
    <b:Title>ExternE. Externalities of Energy: Methodology 2005 Update</b:Title>
    <b:Year>2005</b:Year>
    <b:Publisher>European Commision-Directorate-General for Research Sustainable Energy Systems</b:Publisher>
    <b:City>Luxemburg</b:City>
    <b:Author>
      <b:Author>
        <b:NameList>
          <b:Person>
            <b:Last>Bickel</b:Last>
            <b:First>Peter</b:First>
          </b:Person>
          <b:Person>
            <b:Last>Friedrich</b:Last>
            <b:Middle>(Eds)</b:Middle>
            <b:First>Rainer</b:First>
          </b:Person>
        </b:NameList>
      </b:Author>
    </b:Author>
    <b:RefOrder>3</b:RefOrder>
  </b:Source>
  <b:Source>
    <b:Tag>Die02</b:Tag>
    <b:SourceType>Book</b:SourceType>
    <b:Guid>{9234C4B3-B34A-4268-B510-34498D1BB171}</b:Guid>
    <b:Author>
      <b:Author>
        <b:NameList>
          <b:Person>
            <b:Last>Azqueta</b:Last>
            <b:First>Diego</b:First>
          </b:Person>
        </b:NameList>
      </b:Author>
    </b:Author>
    <b:Title>Introducción a la Economía Ambiental</b:Title>
    <b:Year>2002</b:Year>
    <b:City>Madrid</b:City>
    <b:Publisher>McGraw Hill</b:Publisher>
    <b:RefOrder>4</b:RefOrder>
  </b:Source>
  <b:Source>
    <b:Tag>Cos14</b:Tag>
    <b:SourceType>JournalArticle</b:SourceType>
    <b:Guid>{AAE2BE66-7B44-4F45-893B-51FBF2624A17}</b:Guid>
    <b:Title>Changes en the global value of ecosystem services</b:Title>
    <b:Year>2014</b:Year>
    <b:Author>
      <b:Author>
        <b:Corporate>Costanza et al.</b:Corporate>
      </b:Author>
    </b:Author>
    <b:JournalName>Global environmental change 26</b:JournalName>
    <b:Pages>152-158</b:Pages>
    <b:RefOrder>6</b:RefOrder>
  </b:Source>
  <b:Source>
    <b:Tag>Ann01</b:Tag>
    <b:SourceType>JournalArticle</b:SourceType>
    <b:Guid>{D580681E-F0FC-417C-9F19-8A76B96FA76E}</b:Guid>
    <b:Title>Improving Alternatives for Environmental Impact Assessment</b:Title>
    <b:Year>2001</b:Year>
    <b:Author>
      <b:Author>
        <b:NameList>
          <b:Person>
            <b:Last>Steinemann</b:Last>
            <b:First>Anne</b:First>
          </b:Person>
        </b:NameList>
      </b:Author>
    </b:Author>
    <b:JournalName>Environmental Impact Assessment Review 21</b:JournalName>
    <b:Pages>3-21</b:Pages>
    <b:RefOrder>7</b:RefOrder>
  </b:Source>
  <b:Source>
    <b:Tag>Fre03</b:Tag>
    <b:SourceType>Book</b:SourceType>
    <b:Guid>{24A8E97B-57B1-7142-8E67-DA2AF8DB6367}</b:Guid>
    <b:Author>
      <b:Author>
        <b:NameList>
          <b:Person>
            <b:Last>Freeman</b:Last>
            <b:Middle>Myrick</b:Middle>
            <b:First>A.</b:First>
          </b:Person>
        </b:NameList>
      </b:Author>
    </b:Author>
    <b:Title>The measurment of Environmental and resource values. Theory and methods</b:Title>
    <b:City>Washington D.C</b:City>
    <b:CountryRegion>U.S.A.</b:CountryRegion>
    <b:Publisher>Resources for the Future</b:Publisher>
    <b:Year>2003</b:Year>
    <b:Pages>491</b:Pages>
    <b:Edition>Segunda edición</b:Edition>
    <b:RefOrder>8</b:RefOrder>
  </b:Source>
  <b:Source>
    <b:Tag>OEC02</b:Tag>
    <b:SourceType>Book</b:SourceType>
    <b:Guid>{43D620C2-A05C-E84B-AE1E-8F4FC00B8603}</b:Guid>
    <b:Author>
      <b:Author>
        <b:Corporate>OECD</b:Corporate>
      </b:Author>
    </b:Author>
    <b:Title>Handbook of biodiversity valuation. A guide for policy makers</b:Title>
    <b:City>Paris</b:City>
    <b:CountryRegion>Francia</b:CountryRegion>
    <b:Year>2002</b:Year>
    <b:RefOrder>9</b:RefOrder>
  </b:Source>
  <b:Source>
    <b:Tag>Dia07</b:Tag>
    <b:SourceType>JournalArticle</b:SourceType>
    <b:Guid>{C594774B-5C9B-4E39-A6D4-58EAE16B7AFE}</b:Guid>
    <b:Title>Multi-criteria decision analysis and cost-benefit analysis of alternative scenario for the power generation sector in Greece</b:Title>
    <b:Year>2007</b:Year>
    <b:JournalName>Renewable and Sustainable Energy Reviews 11</b:JournalName>
    <b:Pages>716-727</b:Pages>
    <b:Author>
      <b:Author>
        <b:NameList>
          <b:Person>
            <b:Last>Diakoulaki</b:Last>
            <b:First>D</b:First>
          </b:Person>
          <b:Person>
            <b:Last>Karangelis</b:Last>
            <b:First>F</b:First>
          </b:Person>
        </b:NameList>
      </b:Author>
    </b:Author>
    <b:RefOrder>10</b:RefOrder>
  </b:Source>
  <b:Source>
    <b:Tag>MarcadorDePosición2</b:Tag>
    <b:SourceType>Book</b:SourceType>
    <b:Guid>{F2654E52-23C2-4593-8E3B-84CCA9CFD469}</b:Guid>
    <b:Title>Criterios Técnicos para el Uso de Herramientas Económicas en los proyectos, obras o actividades objeto de licenciamiento ambiental</b:Title>
    <b:Year>2017</b:Year>
    <b:Author>
      <b:Author>
        <b:Corporate>Minambiente &amp; ANLA</b:Corporate>
      </b:Author>
    </b:Author>
    <b:City>Bogotá</b:City>
    <b:Publisher>Ministerio de Ambiente y Desarrollo Sostenible - Autoridad Nacional de Licencias Ambientales</b:Publisher>
    <b:RefOrder>2</b:RefOrder>
  </b:Source>
  <b:Source>
    <b:Tag>Nev18</b:Tag>
    <b:SourceType>Report</b:SourceType>
    <b:Guid>{A5ADD30B-C21E-4C3E-B0D4-2451E0B33A9E}</b:Guid>
    <b:Author>
      <b:Author>
        <b:Corporate>Nevada Division of Environmental Protection</b:Corporate>
      </b:Author>
    </b:Author>
    <b:Title>Guidance for Hydrogeologic Groundwater Flow Modeling at  Mine Sites</b:Title>
    <b:Year>2018</b:Year>
    <b:Publisher>Bureau of Mining Regulation and Reclamation</b:Publisher>
    <b:RefOrder>1</b:RefOrder>
  </b:Source>
</b:Sources>
</file>

<file path=customXml/item3.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MarcadorDePosición1</b:Tag>
    <b:RefOrder>11</b:RefOrder>
  </b:Source>
  <b:Source>
    <b:Tag>MAV10</b:Tag>
    <b:SourceType>Book</b:SourceType>
    <b:Guid>{5F2B1240-B9A2-4FB9-97F1-5C0E6B6751C7}</b:Guid>
    <b:Title>Evaluación económica de impactos ambientales en proyectos sujetos a licenciamiento ambiental. Manual técnico. Documento en discusión</b:Title>
    <b:Year>2010</b:Year>
    <b:Author>
      <b:Author>
        <b:Corporate>MAVDT &amp; CEDE</b:Corporate>
      </b:Author>
    </b:Author>
    <b:City>Bogotá</b:City>
    <b:Publisher>Ministerio de Ambiente, Vivienda y Desarrollo Territorial- Universidad de los Andes; Facultad de economía</b:Publisher>
    <b:RefOrder>5</b:RefOrder>
  </b:Source>
  <b:Source>
    <b:Tag>Gon08</b:Tag>
    <b:SourceType>Report</b:SourceType>
    <b:Guid>{64FCEBFD-A5A2-4007-81AE-9CF2C0B5A085}</b:Guid>
    <b:Title>Guía para decisores. Análisis económico de externalidades ambientales</b:Title>
    <b:Year>2008</b:Year>
    <b:City> Santiago de Chile</b:City>
    <b:Publisher>Naciones Unidas- Comisión Económica para América Latina y el Caribe (CEPAL)- GTZ</b:Publisher>
    <b:Author>
      <b:Author>
        <b:NameList>
          <b:Person>
            <b:Last>Delacámara</b:Last>
            <b:First>Gonzalo</b:First>
          </b:Person>
        </b:NameList>
      </b:Author>
    </b:Author>
    <b:RefOrder>1</b:RefOrder>
  </b:Source>
  <b:Source>
    <b:Tag>Bic05</b:Tag>
    <b:SourceType>Report</b:SourceType>
    <b:Guid>{7EF89DA9-80CA-41E5-9D85-0807A51D6F82}</b:Guid>
    <b:Title>ExternE. Externalities of Energy: Methodology 2005 Update</b:Title>
    <b:Year>2005</b:Year>
    <b:Publisher>European Commision-Directorate-General for Research Sustainable Energy Systems</b:Publisher>
    <b:City>Luxemburg</b:City>
    <b:Author>
      <b:Author>
        <b:NameList>
          <b:Person>
            <b:Last>Bickel</b:Last>
            <b:First>Peter</b:First>
          </b:Person>
          <b:Person>
            <b:Last>Friedrich</b:Last>
            <b:Middle>(Eds)</b:Middle>
            <b:First>Rainer</b:First>
          </b:Person>
        </b:NameList>
      </b:Author>
    </b:Author>
    <b:RefOrder>3</b:RefOrder>
  </b:Source>
  <b:Source>
    <b:Tag>Die02</b:Tag>
    <b:SourceType>Book</b:SourceType>
    <b:Guid>{9234C4B3-B34A-4268-B510-34498D1BB171}</b:Guid>
    <b:Author>
      <b:Author>
        <b:NameList>
          <b:Person>
            <b:Last>Azqueta</b:Last>
            <b:First>Diego</b:First>
          </b:Person>
        </b:NameList>
      </b:Author>
    </b:Author>
    <b:Title>Introducción a la Economía Ambiental</b:Title>
    <b:Year>2002</b:Year>
    <b:City>Madrid</b:City>
    <b:Publisher>McGraw Hill</b:Publisher>
    <b:RefOrder>4</b:RefOrder>
  </b:Source>
  <b:Source>
    <b:Tag>Cos14</b:Tag>
    <b:SourceType>JournalArticle</b:SourceType>
    <b:Guid>{AAE2BE66-7B44-4F45-893B-51FBF2624A17}</b:Guid>
    <b:Title>Changes en the global value of ecosystem services</b:Title>
    <b:Year>2014</b:Year>
    <b:Author>
      <b:Author>
        <b:Corporate>Costanza et al.</b:Corporate>
      </b:Author>
    </b:Author>
    <b:JournalName>Global environmental change 26</b:JournalName>
    <b:Pages>152-158</b:Pages>
    <b:RefOrder>6</b:RefOrder>
  </b:Source>
  <b:Source>
    <b:Tag>Ann01</b:Tag>
    <b:SourceType>JournalArticle</b:SourceType>
    <b:Guid>{D580681E-F0FC-417C-9F19-8A76B96FA76E}</b:Guid>
    <b:Title>Improving Alternatives for Environmental Impact Assessment</b:Title>
    <b:Year>2001</b:Year>
    <b:Author>
      <b:Author>
        <b:NameList>
          <b:Person>
            <b:Last>Steinemann</b:Last>
            <b:First>Anne</b:First>
          </b:Person>
        </b:NameList>
      </b:Author>
    </b:Author>
    <b:JournalName>Environmental Impact Assessment Review 21</b:JournalName>
    <b:Pages>3-21</b:Pages>
    <b:RefOrder>7</b:RefOrder>
  </b:Source>
  <b:Source>
    <b:Tag>Fre03</b:Tag>
    <b:SourceType>Book</b:SourceType>
    <b:Guid>{24A8E97B-57B1-7142-8E67-DA2AF8DB6367}</b:Guid>
    <b:Author>
      <b:Author>
        <b:NameList>
          <b:Person>
            <b:Last>Freeman</b:Last>
            <b:Middle>Myrick</b:Middle>
            <b:First>A.</b:First>
          </b:Person>
        </b:NameList>
      </b:Author>
    </b:Author>
    <b:Title>The measurment of Environmental and resource values. Theory and methods</b:Title>
    <b:City>Washington D.C</b:City>
    <b:CountryRegion>U.S.A.</b:CountryRegion>
    <b:Publisher>Resources for the Future</b:Publisher>
    <b:Year>2003</b:Year>
    <b:Pages>491</b:Pages>
    <b:Edition>Segunda edición</b:Edition>
    <b:RefOrder>8</b:RefOrder>
  </b:Source>
  <b:Source>
    <b:Tag>OEC02</b:Tag>
    <b:SourceType>Book</b:SourceType>
    <b:Guid>{43D620C2-A05C-E84B-AE1E-8F4FC00B8603}</b:Guid>
    <b:Author>
      <b:Author>
        <b:Corporate>OECD</b:Corporate>
      </b:Author>
    </b:Author>
    <b:Title>Handbook of biodiversity valuation. A guide for policy makers</b:Title>
    <b:City>Paris</b:City>
    <b:CountryRegion>Francia</b:CountryRegion>
    <b:Year>2002</b:Year>
    <b:RefOrder>9</b:RefOrder>
  </b:Source>
  <b:Source>
    <b:Tag>Dia07</b:Tag>
    <b:SourceType>JournalArticle</b:SourceType>
    <b:Guid>{C594774B-5C9B-4E39-A6D4-58EAE16B7AFE}</b:Guid>
    <b:Title>Multi-criteria decision analysis and cost-benefit analysis of alternative scenario for the power generation sector in Greece</b:Title>
    <b:Year>2007</b:Year>
    <b:JournalName>Renewable and Sustainable Energy Reviews 11</b:JournalName>
    <b:Pages>716-727</b:Pages>
    <b:Author>
      <b:Author>
        <b:NameList>
          <b:Person>
            <b:Last>Diakoulaki</b:Last>
            <b:First>D</b:First>
          </b:Person>
          <b:Person>
            <b:Last>Karangelis</b:Last>
            <b:First>F</b:First>
          </b:Person>
        </b:NameList>
      </b:Author>
    </b:Author>
    <b:RefOrder>10</b:RefOrder>
  </b:Source>
  <b:Source>
    <b:Tag>MarcadorDePosición2</b:Tag>
    <b:SourceType>Book</b:SourceType>
    <b:Guid>{F2654E52-23C2-4593-8E3B-84CCA9CFD469}</b:Guid>
    <b:Title>Criterios Técnicos para el Uso de Herramientas Económicas en los proyectos, obras o actividades objeto de licenciamiento ambiental</b:Title>
    <b:Year>2017</b:Year>
    <b:Author>
      <b:Author>
        <b:Corporate>Minambiente &amp; ANLA</b:Corporate>
      </b:Author>
    </b:Author>
    <b:City>Bogotá</b:City>
    <b:Publisher>Ministerio de Ambiente y Desarrollo Sostenible - Autoridad Nacional de Licencias Ambientales</b:Publisher>
    <b:RefOrder>2</b:RefOrder>
  </b:Source>
  <b:Source>
    <b:Tag>Nev18</b:Tag>
    <b:SourceType>Report</b:SourceType>
    <b:Guid>{A5ADD30B-C21E-4C3E-B0D4-2451E0B33A9E}</b:Guid>
    <b:Author>
      <b:Author>
        <b:Corporate>Nevada Division of Environmental Protection</b:Corporate>
      </b:Author>
    </b:Author>
    <b:Title>Guidance for Hydrogeologic Groundwater Flow Modeling at  Mine Sites</b:Title>
    <b:Year>2018</b:Year>
    <b:Publisher>Bureau of Mining Regulation and Reclamation</b:Publisher>
    <b:RefOrder>1</b:RefOrder>
  </b:Source>
</b:Sources>
</file>

<file path=customXml/item4.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MarcadorDePosición1</b:Tag>
    <b:RefOrder>11</b:RefOrder>
  </b:Source>
  <b:Source>
    <b:Tag>MAV10</b:Tag>
    <b:SourceType>Book</b:SourceType>
    <b:Guid>{5F2B1240-B9A2-4FB9-97F1-5C0E6B6751C7}</b:Guid>
    <b:Title>Evaluación económica de impactos ambientales en proyectos sujetos a licenciamiento ambiental. Manual técnico. Documento en discusión</b:Title>
    <b:Year>2010</b:Year>
    <b:Author>
      <b:Author>
        <b:Corporate>MAVDT &amp; CEDE</b:Corporate>
      </b:Author>
    </b:Author>
    <b:City>Bogotá</b:City>
    <b:Publisher>Ministerio de Ambiente, Vivienda y Desarrollo Territorial- Universidad de los Andes; Facultad de economía</b:Publisher>
    <b:RefOrder>5</b:RefOrder>
  </b:Source>
  <b:Source>
    <b:Tag>Gon08</b:Tag>
    <b:SourceType>Report</b:SourceType>
    <b:Guid>{64FCEBFD-A5A2-4007-81AE-9CF2C0B5A085}</b:Guid>
    <b:Title>Guía para decisores. Análisis económico de externalidades ambientales</b:Title>
    <b:Year>2008</b:Year>
    <b:City> Santiago de Chile</b:City>
    <b:Publisher>Naciones Unidas- Comisión Económica para América Latina y el Caribe (CEPAL)- GTZ</b:Publisher>
    <b:Author>
      <b:Author>
        <b:NameList>
          <b:Person>
            <b:Last>Delacámara</b:Last>
            <b:First>Gonzalo</b:First>
          </b:Person>
        </b:NameList>
      </b:Author>
    </b:Author>
    <b:RefOrder>1</b:RefOrder>
  </b:Source>
  <b:Source>
    <b:Tag>Bic05</b:Tag>
    <b:SourceType>Report</b:SourceType>
    <b:Guid>{7EF89DA9-80CA-41E5-9D85-0807A51D6F82}</b:Guid>
    <b:Title>ExternE. Externalities of Energy: Methodology 2005 Update</b:Title>
    <b:Year>2005</b:Year>
    <b:Publisher>European Commision-Directorate-General for Research Sustainable Energy Systems</b:Publisher>
    <b:City>Luxemburg</b:City>
    <b:Author>
      <b:Author>
        <b:NameList>
          <b:Person>
            <b:Last>Bickel</b:Last>
            <b:First>Peter</b:First>
          </b:Person>
          <b:Person>
            <b:Last>Friedrich</b:Last>
            <b:Middle>(Eds)</b:Middle>
            <b:First>Rainer</b:First>
          </b:Person>
        </b:NameList>
      </b:Author>
    </b:Author>
    <b:RefOrder>3</b:RefOrder>
  </b:Source>
  <b:Source>
    <b:Tag>Die02</b:Tag>
    <b:SourceType>Book</b:SourceType>
    <b:Guid>{9234C4B3-B34A-4268-B510-34498D1BB171}</b:Guid>
    <b:Author>
      <b:Author>
        <b:NameList>
          <b:Person>
            <b:Last>Azqueta</b:Last>
            <b:First>Diego</b:First>
          </b:Person>
        </b:NameList>
      </b:Author>
    </b:Author>
    <b:Title>Introducción a la Economía Ambiental</b:Title>
    <b:Year>2002</b:Year>
    <b:City>Madrid</b:City>
    <b:Publisher>McGraw Hill</b:Publisher>
    <b:RefOrder>4</b:RefOrder>
  </b:Source>
  <b:Source>
    <b:Tag>Cos14</b:Tag>
    <b:SourceType>JournalArticle</b:SourceType>
    <b:Guid>{AAE2BE66-7B44-4F45-893B-51FBF2624A17}</b:Guid>
    <b:Title>Changes en the global value of ecosystem services</b:Title>
    <b:Year>2014</b:Year>
    <b:Author>
      <b:Author>
        <b:Corporate>Costanza et al.</b:Corporate>
      </b:Author>
    </b:Author>
    <b:JournalName>Global environmental change 26</b:JournalName>
    <b:Pages>152-158</b:Pages>
    <b:RefOrder>6</b:RefOrder>
  </b:Source>
  <b:Source>
    <b:Tag>Ann01</b:Tag>
    <b:SourceType>JournalArticle</b:SourceType>
    <b:Guid>{D580681E-F0FC-417C-9F19-8A76B96FA76E}</b:Guid>
    <b:Title>Improving Alternatives for Environmental Impact Assessment</b:Title>
    <b:Year>2001</b:Year>
    <b:Author>
      <b:Author>
        <b:NameList>
          <b:Person>
            <b:Last>Steinemann</b:Last>
            <b:First>Anne</b:First>
          </b:Person>
        </b:NameList>
      </b:Author>
    </b:Author>
    <b:JournalName>Environmental Impact Assessment Review 21</b:JournalName>
    <b:Pages>3-21</b:Pages>
    <b:RefOrder>7</b:RefOrder>
  </b:Source>
  <b:Source>
    <b:Tag>Fre03</b:Tag>
    <b:SourceType>Book</b:SourceType>
    <b:Guid>{24A8E97B-57B1-7142-8E67-DA2AF8DB6367}</b:Guid>
    <b:Author>
      <b:Author>
        <b:NameList>
          <b:Person>
            <b:Last>Freeman</b:Last>
            <b:Middle>Myrick</b:Middle>
            <b:First>A.</b:First>
          </b:Person>
        </b:NameList>
      </b:Author>
    </b:Author>
    <b:Title>The measurment of Environmental and resource values. Theory and methods</b:Title>
    <b:City>Washington D.C</b:City>
    <b:CountryRegion>U.S.A.</b:CountryRegion>
    <b:Publisher>Resources for the Future</b:Publisher>
    <b:Year>2003</b:Year>
    <b:Pages>491</b:Pages>
    <b:Edition>Segunda edición</b:Edition>
    <b:RefOrder>8</b:RefOrder>
  </b:Source>
  <b:Source>
    <b:Tag>OEC02</b:Tag>
    <b:SourceType>Book</b:SourceType>
    <b:Guid>{43D620C2-A05C-E84B-AE1E-8F4FC00B8603}</b:Guid>
    <b:Author>
      <b:Author>
        <b:Corporate>OECD</b:Corporate>
      </b:Author>
    </b:Author>
    <b:Title>Handbook of biodiversity valuation. A guide for policy makers</b:Title>
    <b:City>Paris</b:City>
    <b:CountryRegion>Francia</b:CountryRegion>
    <b:Year>2002</b:Year>
    <b:RefOrder>9</b:RefOrder>
  </b:Source>
  <b:Source>
    <b:Tag>Dia07</b:Tag>
    <b:SourceType>JournalArticle</b:SourceType>
    <b:Guid>{C594774B-5C9B-4E39-A6D4-58EAE16B7AFE}</b:Guid>
    <b:Title>Multi-criteria decision analysis and cost-benefit analysis of alternative scenario for the power generation sector in Greece</b:Title>
    <b:Year>2007</b:Year>
    <b:JournalName>Renewable and Sustainable Energy Reviews 11</b:JournalName>
    <b:Pages>716-727</b:Pages>
    <b:Author>
      <b:Author>
        <b:NameList>
          <b:Person>
            <b:Last>Diakoulaki</b:Last>
            <b:First>D</b:First>
          </b:Person>
          <b:Person>
            <b:Last>Karangelis</b:Last>
            <b:First>F</b:First>
          </b:Person>
        </b:NameList>
      </b:Author>
    </b:Author>
    <b:RefOrder>10</b:RefOrder>
  </b:Source>
  <b:Source>
    <b:Tag>MarcadorDePosición2</b:Tag>
    <b:SourceType>Book</b:SourceType>
    <b:Guid>{F2654E52-23C2-4593-8E3B-84CCA9CFD469}</b:Guid>
    <b:Title>Criterios Técnicos para el Uso de Herramientas Económicas en los proyectos, obras o actividades objeto de licenciamiento ambiental</b:Title>
    <b:Year>2017</b:Year>
    <b:Author>
      <b:Author>
        <b:Corporate>Minambiente &amp; ANLA</b:Corporate>
      </b:Author>
    </b:Author>
    <b:City>Bogotá</b:City>
    <b:Publisher>Ministerio de Ambiente y Desarrollo Sostenible - Autoridad Nacional de Licencias Ambientales</b:Publisher>
    <b:RefOrder>2</b:RefOrder>
  </b:Source>
  <b:Source>
    <b:Tag>Nev18</b:Tag>
    <b:SourceType>Report</b:SourceType>
    <b:Guid>{A5ADD30B-C21E-4C3E-B0D4-2451E0B33A9E}</b:Guid>
    <b:Author>
      <b:Author>
        <b:Corporate>Nevada Division of Environmental Protection</b:Corporate>
      </b:Author>
    </b:Author>
    <b:Title>Guidance for Hydrogeologic Groundwater Flow Modeling at  Mine Sites</b:Title>
    <b:Year>2018</b:Year>
    <b:Publisher>Bureau of Mining Regulation and Reclamation</b:Publisher>
    <b:RefOrder>1</b:RefOrder>
  </b:Source>
</b:Sources>
</file>

<file path=customXml/itemProps1.xml><?xml version="1.0" encoding="utf-8"?>
<ds:datastoreItem xmlns:ds="http://schemas.openxmlformats.org/officeDocument/2006/customXml" ds:itemID="{9DD28DD8-6673-494F-A753-89D01A5CA3C4}">
  <ds:schemaRefs>
    <ds:schemaRef ds:uri="http://schemas.openxmlformats.org/officeDocument/2006/bibliography"/>
  </ds:schemaRefs>
</ds:datastoreItem>
</file>

<file path=customXml/itemProps2.xml><?xml version="1.0" encoding="utf-8"?>
<ds:datastoreItem xmlns:ds="http://schemas.openxmlformats.org/officeDocument/2006/customXml" ds:itemID="{E90F6891-E3DC-4BB5-9F07-288BF88FEB95}">
  <ds:schemaRefs>
    <ds:schemaRef ds:uri="http://schemas.openxmlformats.org/officeDocument/2006/bibliography"/>
  </ds:schemaRefs>
</ds:datastoreItem>
</file>

<file path=customXml/itemProps3.xml><?xml version="1.0" encoding="utf-8"?>
<ds:datastoreItem xmlns:ds="http://schemas.openxmlformats.org/officeDocument/2006/customXml" ds:itemID="{4EF6D637-BCFE-4249-9EE0-D9CFA8BDFC91}">
  <ds:schemaRefs>
    <ds:schemaRef ds:uri="http://schemas.openxmlformats.org/officeDocument/2006/bibliography"/>
  </ds:schemaRefs>
</ds:datastoreItem>
</file>

<file path=customXml/itemProps4.xml><?xml version="1.0" encoding="utf-8"?>
<ds:datastoreItem xmlns:ds="http://schemas.openxmlformats.org/officeDocument/2006/customXml" ds:itemID="{D7253C79-2A2A-4C71-B438-C6DC5CFAC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519</Pages>
  <Words>168606</Words>
  <Characters>969486</Characters>
  <Application>Microsoft Office Word</Application>
  <DocSecurity>0</DocSecurity>
  <Lines>22546</Lines>
  <Paragraphs>6358</Paragraphs>
  <ScaleCrop>false</ScaleCrop>
  <HeadingPairs>
    <vt:vector size="2" baseType="variant">
      <vt:variant>
        <vt:lpstr>Título</vt:lpstr>
      </vt:variant>
      <vt:variant>
        <vt:i4>1</vt:i4>
      </vt:variant>
    </vt:vector>
  </HeadingPairs>
  <TitlesOfParts>
    <vt:vector size="1" baseType="lpstr">
      <vt:lpstr>Metodología General para la Elaboración y Presentación de Estudios Ambientales</vt:lpstr>
    </vt:vector>
  </TitlesOfParts>
  <Company>Hewlett-Packard Company</Company>
  <LinksUpToDate>false</LinksUpToDate>
  <CharactersWithSpaces>1131734</CharactersWithSpaces>
  <SharedDoc>false</SharedDoc>
  <HLinks>
    <vt:vector size="1236" baseType="variant">
      <vt:variant>
        <vt:i4>7340105</vt:i4>
      </vt:variant>
      <vt:variant>
        <vt:i4>1950</vt:i4>
      </vt:variant>
      <vt:variant>
        <vt:i4>0</vt:i4>
      </vt:variant>
      <vt:variant>
        <vt:i4>5</vt:i4>
      </vt:variant>
      <vt:variant>
        <vt:lpwstr>http://documentacion.ideam.gov.co/cgi-bin/koha/opac-detail.pl?biblionumber=38246&amp;query_desc=kw%2Cwrdl%3A%20protocolo%20de%20monitoreo%20del%20agua</vt:lpwstr>
      </vt:variant>
      <vt:variant>
        <vt:lpwstr/>
      </vt:variant>
      <vt:variant>
        <vt:i4>1048638</vt:i4>
      </vt:variant>
      <vt:variant>
        <vt:i4>1929</vt:i4>
      </vt:variant>
      <vt:variant>
        <vt:i4>0</vt:i4>
      </vt:variant>
      <vt:variant>
        <vt:i4>5</vt:i4>
      </vt:variant>
      <vt:variant>
        <vt:lpwstr>javascript:changeTableFAQ('FAQ_2039')</vt:lpwstr>
      </vt:variant>
      <vt:variant>
        <vt:lpwstr/>
      </vt:variant>
      <vt:variant>
        <vt:i4>6160466</vt:i4>
      </vt:variant>
      <vt:variant>
        <vt:i4>1914</vt:i4>
      </vt:variant>
      <vt:variant>
        <vt:i4>0</vt:i4>
      </vt:variant>
      <vt:variant>
        <vt:i4>5</vt:i4>
      </vt:variant>
      <vt:variant>
        <vt:lpwstr>https://www.unizar.es/guiar/1/Accident/An_conse/Efec_domino.htm</vt:lpwstr>
      </vt:variant>
      <vt:variant>
        <vt:lpwstr/>
      </vt:variant>
      <vt:variant>
        <vt:i4>6619252</vt:i4>
      </vt:variant>
      <vt:variant>
        <vt:i4>1911</vt:i4>
      </vt:variant>
      <vt:variant>
        <vt:i4>0</vt:i4>
      </vt:variant>
      <vt:variant>
        <vt:i4>5</vt:i4>
      </vt:variant>
      <vt:variant>
        <vt:lpwstr>https://www.unizar.es/guiar/1/Accident/An_conse/An_conse.htm</vt:lpwstr>
      </vt:variant>
      <vt:variant>
        <vt:lpwstr/>
      </vt:variant>
      <vt:variant>
        <vt:i4>5832810</vt:i4>
      </vt:variant>
      <vt:variant>
        <vt:i4>1908</vt:i4>
      </vt:variant>
      <vt:variant>
        <vt:i4>0</vt:i4>
      </vt:variant>
      <vt:variant>
        <vt:i4>5</vt:i4>
      </vt:variant>
      <vt:variant>
        <vt:lpwstr>https://www.unizar.es/guiar/1/Accident/An_conse/Metodos.htm</vt:lpwstr>
      </vt:variant>
      <vt:variant>
        <vt:lpwstr/>
      </vt:variant>
      <vt:variant>
        <vt:i4>4849738</vt:i4>
      </vt:variant>
      <vt:variant>
        <vt:i4>1590</vt:i4>
      </vt:variant>
      <vt:variant>
        <vt:i4>0</vt:i4>
      </vt:variant>
      <vt:variant>
        <vt:i4>5</vt:i4>
      </vt:variant>
      <vt:variant>
        <vt:lpwstr>https://www.minambiente.gov.co/wp-content/uploads/2021/10/Iniciativa-Colombiana-de-Polinizadores.pdf</vt:lpwstr>
      </vt:variant>
      <vt:variant>
        <vt:lpwstr/>
      </vt:variant>
      <vt:variant>
        <vt:i4>196723</vt:i4>
      </vt:variant>
      <vt:variant>
        <vt:i4>1587</vt:i4>
      </vt:variant>
      <vt:variant>
        <vt:i4>0</vt:i4>
      </vt:variant>
      <vt:variant>
        <vt:i4>5</vt:i4>
      </vt:variant>
      <vt:variant>
        <vt:lpwstr>http://www.minambiente.gov.co/wp-content/uploads/2019/05/PLAN_ORQUIDEAS_2015_DOC.pdf</vt:lpwstr>
      </vt:variant>
      <vt:variant>
        <vt:lpwstr/>
      </vt:variant>
      <vt:variant>
        <vt:i4>2818146</vt:i4>
      </vt:variant>
      <vt:variant>
        <vt:i4>1584</vt:i4>
      </vt:variant>
      <vt:variant>
        <vt:i4>0</vt:i4>
      </vt:variant>
      <vt:variant>
        <vt:i4>5</vt:i4>
      </vt:variant>
      <vt:variant>
        <vt:lpwstr>https://archivo.minambiente.gov.co/images/BosquesBiodiversidadyServiciosEcosistemicos/pdf/Programas-para-la-gestion-de-fauna-y-flora/Plan_de_accion_para_la_conservacion_de_las_zamias_de_Colombia.pdf</vt:lpwstr>
      </vt:variant>
      <vt:variant>
        <vt:lpwstr/>
      </vt:variant>
      <vt:variant>
        <vt:i4>65611</vt:i4>
      </vt:variant>
      <vt:variant>
        <vt:i4>1581</vt:i4>
      </vt:variant>
      <vt:variant>
        <vt:i4>0</vt:i4>
      </vt:variant>
      <vt:variant>
        <vt:i4>5</vt:i4>
      </vt:variant>
      <vt:variant>
        <vt:lpwstr>https://www.sinchi.org.co/coah/consulta-de-especimenes-coah.herbario-virtual</vt:lpwstr>
      </vt:variant>
      <vt:variant>
        <vt:lpwstr/>
      </vt:variant>
      <vt:variant>
        <vt:i4>5505096</vt:i4>
      </vt:variant>
      <vt:variant>
        <vt:i4>1230</vt:i4>
      </vt:variant>
      <vt:variant>
        <vt:i4>0</vt:i4>
      </vt:variant>
      <vt:variant>
        <vt:i4>5</vt:i4>
      </vt:variant>
      <vt:variant>
        <vt:lpwstr>http://www.theplantlist.org/</vt:lpwstr>
      </vt:variant>
      <vt:variant>
        <vt:lpwstr/>
      </vt:variant>
      <vt:variant>
        <vt:i4>5898313</vt:i4>
      </vt:variant>
      <vt:variant>
        <vt:i4>1227</vt:i4>
      </vt:variant>
      <vt:variant>
        <vt:i4>0</vt:i4>
      </vt:variant>
      <vt:variant>
        <vt:i4>5</vt:i4>
      </vt:variant>
      <vt:variant>
        <vt:lpwstr>https://www.iucnredlist.org/</vt:lpwstr>
      </vt:variant>
      <vt:variant>
        <vt:lpwstr/>
      </vt:variant>
      <vt:variant>
        <vt:i4>3801141</vt:i4>
      </vt:variant>
      <vt:variant>
        <vt:i4>1224</vt:i4>
      </vt:variant>
      <vt:variant>
        <vt:i4>0</vt:i4>
      </vt:variant>
      <vt:variant>
        <vt:i4>5</vt:i4>
      </vt:variant>
      <vt:variant>
        <vt:lpwstr>http://oca.unal.edu.co/</vt:lpwstr>
      </vt:variant>
      <vt:variant>
        <vt:lpwstr/>
      </vt:variant>
      <vt:variant>
        <vt:i4>72</vt:i4>
      </vt:variant>
      <vt:variant>
        <vt:i4>1221</vt:i4>
      </vt:variant>
      <vt:variant>
        <vt:i4>0</vt:i4>
      </vt:variant>
      <vt:variant>
        <vt:i4>5</vt:i4>
      </vt:variant>
      <vt:variant>
        <vt:lpwstr>https://lichenportal.org/portal/index.php</vt:lpwstr>
      </vt:variant>
      <vt:variant>
        <vt:lpwstr/>
      </vt:variant>
      <vt:variant>
        <vt:i4>1507329</vt:i4>
      </vt:variant>
      <vt:variant>
        <vt:i4>1218</vt:i4>
      </vt:variant>
      <vt:variant>
        <vt:i4>0</vt:i4>
      </vt:variant>
      <vt:variant>
        <vt:i4>5</vt:i4>
      </vt:variant>
      <vt:variant>
        <vt:lpwstr>https://colfungi.org/</vt:lpwstr>
      </vt:variant>
      <vt:variant>
        <vt:lpwstr/>
      </vt:variant>
      <vt:variant>
        <vt:i4>786461</vt:i4>
      </vt:variant>
      <vt:variant>
        <vt:i4>1215</vt:i4>
      </vt:variant>
      <vt:variant>
        <vt:i4>0</vt:i4>
      </vt:variant>
      <vt:variant>
        <vt:i4>5</vt:i4>
      </vt:variant>
      <vt:variant>
        <vt:lpwstr>https://cites.org/esp/app/appendices.php</vt:lpwstr>
      </vt:variant>
      <vt:variant>
        <vt:lpwstr/>
      </vt:variant>
      <vt:variant>
        <vt:i4>5242905</vt:i4>
      </vt:variant>
      <vt:variant>
        <vt:i4>1212</vt:i4>
      </vt:variant>
      <vt:variant>
        <vt:i4>0</vt:i4>
      </vt:variant>
      <vt:variant>
        <vt:i4>5</vt:i4>
      </vt:variant>
      <vt:variant>
        <vt:lpwstr>https://acictios.org/listado-de-peces-de-agua-dulce-de-colombia/</vt:lpwstr>
      </vt:variant>
      <vt:variant>
        <vt:lpwstr/>
      </vt:variant>
      <vt:variant>
        <vt:i4>852003</vt:i4>
      </vt:variant>
      <vt:variant>
        <vt:i4>1209</vt:i4>
      </vt:variant>
      <vt:variant>
        <vt:i4>0</vt:i4>
      </vt:variant>
      <vt:variant>
        <vt:i4>5</vt:i4>
      </vt:variant>
      <vt:variant>
        <vt:lpwstr>https://www.anla.gov.co/01_anla/proyectos/nuevo-licenciamiento-ambiental/en-que-consiste</vt:lpwstr>
      </vt:variant>
      <vt:variant>
        <vt:lpwstr/>
      </vt:variant>
      <vt:variant>
        <vt:i4>7012401</vt:i4>
      </vt:variant>
      <vt:variant>
        <vt:i4>1206</vt:i4>
      </vt:variant>
      <vt:variant>
        <vt:i4>0</vt:i4>
      </vt:variant>
      <vt:variant>
        <vt:i4>5</vt:i4>
      </vt:variant>
      <vt:variant>
        <vt:lpwstr>https://www.anla.gov.co/eureka/</vt:lpwstr>
      </vt:variant>
      <vt:variant>
        <vt:lpwstr/>
      </vt:variant>
      <vt:variant>
        <vt:i4>6422569</vt:i4>
      </vt:variant>
      <vt:variant>
        <vt:i4>1203</vt:i4>
      </vt:variant>
      <vt:variant>
        <vt:i4>0</vt:i4>
      </vt:variant>
      <vt:variant>
        <vt:i4>5</vt:i4>
      </vt:variant>
      <vt:variant>
        <vt:lpwstr>https://www.anla.gov.co/proyectos-anla/centro-de-monitoreo/</vt:lpwstr>
      </vt:variant>
      <vt:variant>
        <vt:lpwstr/>
      </vt:variant>
      <vt:variant>
        <vt:i4>6815830</vt:i4>
      </vt:variant>
      <vt:variant>
        <vt:i4>1200</vt:i4>
      </vt:variant>
      <vt:variant>
        <vt:i4>0</vt:i4>
      </vt:variant>
      <vt:variant>
        <vt:i4>5</vt:i4>
      </vt:variant>
      <vt:variant>
        <vt:lpwstr>https://www.anla.gov.co/01_anla/proyectos/apuestas-por-la-biodiversidad/cual-es-la-apuesta</vt:lpwstr>
      </vt:variant>
      <vt:variant>
        <vt:lpwstr/>
      </vt:variant>
      <vt:variant>
        <vt:i4>2949171</vt:i4>
      </vt:variant>
      <vt:variant>
        <vt:i4>1197</vt:i4>
      </vt:variant>
      <vt:variant>
        <vt:i4>0</vt:i4>
      </vt:variant>
      <vt:variant>
        <vt:i4>5</vt:i4>
      </vt:variant>
      <vt:variant>
        <vt:lpwstr>https://sig.anla.gov.co/seleccion.aspx</vt:lpwstr>
      </vt:variant>
      <vt:variant>
        <vt:lpwstr/>
      </vt:variant>
      <vt:variant>
        <vt:i4>1900596</vt:i4>
      </vt:variant>
      <vt:variant>
        <vt:i4>1058</vt:i4>
      </vt:variant>
      <vt:variant>
        <vt:i4>0</vt:i4>
      </vt:variant>
      <vt:variant>
        <vt:i4>5</vt:i4>
      </vt:variant>
      <vt:variant>
        <vt:lpwstr/>
      </vt:variant>
      <vt:variant>
        <vt:lpwstr>_Toc217489961</vt:lpwstr>
      </vt:variant>
      <vt:variant>
        <vt:i4>1900596</vt:i4>
      </vt:variant>
      <vt:variant>
        <vt:i4>1052</vt:i4>
      </vt:variant>
      <vt:variant>
        <vt:i4>0</vt:i4>
      </vt:variant>
      <vt:variant>
        <vt:i4>5</vt:i4>
      </vt:variant>
      <vt:variant>
        <vt:lpwstr/>
      </vt:variant>
      <vt:variant>
        <vt:lpwstr>_Toc217489960</vt:lpwstr>
      </vt:variant>
      <vt:variant>
        <vt:i4>1966132</vt:i4>
      </vt:variant>
      <vt:variant>
        <vt:i4>1046</vt:i4>
      </vt:variant>
      <vt:variant>
        <vt:i4>0</vt:i4>
      </vt:variant>
      <vt:variant>
        <vt:i4>5</vt:i4>
      </vt:variant>
      <vt:variant>
        <vt:lpwstr/>
      </vt:variant>
      <vt:variant>
        <vt:lpwstr>_Toc217489959</vt:lpwstr>
      </vt:variant>
      <vt:variant>
        <vt:i4>1966132</vt:i4>
      </vt:variant>
      <vt:variant>
        <vt:i4>1040</vt:i4>
      </vt:variant>
      <vt:variant>
        <vt:i4>0</vt:i4>
      </vt:variant>
      <vt:variant>
        <vt:i4>5</vt:i4>
      </vt:variant>
      <vt:variant>
        <vt:lpwstr/>
      </vt:variant>
      <vt:variant>
        <vt:lpwstr>_Toc217489958</vt:lpwstr>
      </vt:variant>
      <vt:variant>
        <vt:i4>1966132</vt:i4>
      </vt:variant>
      <vt:variant>
        <vt:i4>1034</vt:i4>
      </vt:variant>
      <vt:variant>
        <vt:i4>0</vt:i4>
      </vt:variant>
      <vt:variant>
        <vt:i4>5</vt:i4>
      </vt:variant>
      <vt:variant>
        <vt:lpwstr/>
      </vt:variant>
      <vt:variant>
        <vt:lpwstr>_Toc217489957</vt:lpwstr>
      </vt:variant>
      <vt:variant>
        <vt:i4>1966132</vt:i4>
      </vt:variant>
      <vt:variant>
        <vt:i4>1028</vt:i4>
      </vt:variant>
      <vt:variant>
        <vt:i4>0</vt:i4>
      </vt:variant>
      <vt:variant>
        <vt:i4>5</vt:i4>
      </vt:variant>
      <vt:variant>
        <vt:lpwstr/>
      </vt:variant>
      <vt:variant>
        <vt:lpwstr>_Toc217489956</vt:lpwstr>
      </vt:variant>
      <vt:variant>
        <vt:i4>1966132</vt:i4>
      </vt:variant>
      <vt:variant>
        <vt:i4>1022</vt:i4>
      </vt:variant>
      <vt:variant>
        <vt:i4>0</vt:i4>
      </vt:variant>
      <vt:variant>
        <vt:i4>5</vt:i4>
      </vt:variant>
      <vt:variant>
        <vt:lpwstr/>
      </vt:variant>
      <vt:variant>
        <vt:lpwstr>_Toc217489955</vt:lpwstr>
      </vt:variant>
      <vt:variant>
        <vt:i4>1966132</vt:i4>
      </vt:variant>
      <vt:variant>
        <vt:i4>1016</vt:i4>
      </vt:variant>
      <vt:variant>
        <vt:i4>0</vt:i4>
      </vt:variant>
      <vt:variant>
        <vt:i4>5</vt:i4>
      </vt:variant>
      <vt:variant>
        <vt:lpwstr/>
      </vt:variant>
      <vt:variant>
        <vt:lpwstr>_Toc217489954</vt:lpwstr>
      </vt:variant>
      <vt:variant>
        <vt:i4>1966132</vt:i4>
      </vt:variant>
      <vt:variant>
        <vt:i4>1010</vt:i4>
      </vt:variant>
      <vt:variant>
        <vt:i4>0</vt:i4>
      </vt:variant>
      <vt:variant>
        <vt:i4>5</vt:i4>
      </vt:variant>
      <vt:variant>
        <vt:lpwstr/>
      </vt:variant>
      <vt:variant>
        <vt:lpwstr>_Toc217489953</vt:lpwstr>
      </vt:variant>
      <vt:variant>
        <vt:i4>1966132</vt:i4>
      </vt:variant>
      <vt:variant>
        <vt:i4>1004</vt:i4>
      </vt:variant>
      <vt:variant>
        <vt:i4>0</vt:i4>
      </vt:variant>
      <vt:variant>
        <vt:i4>5</vt:i4>
      </vt:variant>
      <vt:variant>
        <vt:lpwstr/>
      </vt:variant>
      <vt:variant>
        <vt:lpwstr>_Toc217489952</vt:lpwstr>
      </vt:variant>
      <vt:variant>
        <vt:i4>1966132</vt:i4>
      </vt:variant>
      <vt:variant>
        <vt:i4>998</vt:i4>
      </vt:variant>
      <vt:variant>
        <vt:i4>0</vt:i4>
      </vt:variant>
      <vt:variant>
        <vt:i4>5</vt:i4>
      </vt:variant>
      <vt:variant>
        <vt:lpwstr/>
      </vt:variant>
      <vt:variant>
        <vt:lpwstr>_Toc217489951</vt:lpwstr>
      </vt:variant>
      <vt:variant>
        <vt:i4>1966132</vt:i4>
      </vt:variant>
      <vt:variant>
        <vt:i4>992</vt:i4>
      </vt:variant>
      <vt:variant>
        <vt:i4>0</vt:i4>
      </vt:variant>
      <vt:variant>
        <vt:i4>5</vt:i4>
      </vt:variant>
      <vt:variant>
        <vt:lpwstr/>
      </vt:variant>
      <vt:variant>
        <vt:lpwstr>_Toc217489950</vt:lpwstr>
      </vt:variant>
      <vt:variant>
        <vt:i4>2031668</vt:i4>
      </vt:variant>
      <vt:variant>
        <vt:i4>986</vt:i4>
      </vt:variant>
      <vt:variant>
        <vt:i4>0</vt:i4>
      </vt:variant>
      <vt:variant>
        <vt:i4>5</vt:i4>
      </vt:variant>
      <vt:variant>
        <vt:lpwstr/>
      </vt:variant>
      <vt:variant>
        <vt:lpwstr>_Toc217489949</vt:lpwstr>
      </vt:variant>
      <vt:variant>
        <vt:i4>2031668</vt:i4>
      </vt:variant>
      <vt:variant>
        <vt:i4>980</vt:i4>
      </vt:variant>
      <vt:variant>
        <vt:i4>0</vt:i4>
      </vt:variant>
      <vt:variant>
        <vt:i4>5</vt:i4>
      </vt:variant>
      <vt:variant>
        <vt:lpwstr/>
      </vt:variant>
      <vt:variant>
        <vt:lpwstr>_Toc217489948</vt:lpwstr>
      </vt:variant>
      <vt:variant>
        <vt:i4>2031668</vt:i4>
      </vt:variant>
      <vt:variant>
        <vt:i4>974</vt:i4>
      </vt:variant>
      <vt:variant>
        <vt:i4>0</vt:i4>
      </vt:variant>
      <vt:variant>
        <vt:i4>5</vt:i4>
      </vt:variant>
      <vt:variant>
        <vt:lpwstr/>
      </vt:variant>
      <vt:variant>
        <vt:lpwstr>_Toc217489947</vt:lpwstr>
      </vt:variant>
      <vt:variant>
        <vt:i4>2031668</vt:i4>
      </vt:variant>
      <vt:variant>
        <vt:i4>968</vt:i4>
      </vt:variant>
      <vt:variant>
        <vt:i4>0</vt:i4>
      </vt:variant>
      <vt:variant>
        <vt:i4>5</vt:i4>
      </vt:variant>
      <vt:variant>
        <vt:lpwstr/>
      </vt:variant>
      <vt:variant>
        <vt:lpwstr>_Toc217489946</vt:lpwstr>
      </vt:variant>
      <vt:variant>
        <vt:i4>2031668</vt:i4>
      </vt:variant>
      <vt:variant>
        <vt:i4>962</vt:i4>
      </vt:variant>
      <vt:variant>
        <vt:i4>0</vt:i4>
      </vt:variant>
      <vt:variant>
        <vt:i4>5</vt:i4>
      </vt:variant>
      <vt:variant>
        <vt:lpwstr/>
      </vt:variant>
      <vt:variant>
        <vt:lpwstr>_Toc217489945</vt:lpwstr>
      </vt:variant>
      <vt:variant>
        <vt:i4>2031668</vt:i4>
      </vt:variant>
      <vt:variant>
        <vt:i4>956</vt:i4>
      </vt:variant>
      <vt:variant>
        <vt:i4>0</vt:i4>
      </vt:variant>
      <vt:variant>
        <vt:i4>5</vt:i4>
      </vt:variant>
      <vt:variant>
        <vt:lpwstr/>
      </vt:variant>
      <vt:variant>
        <vt:lpwstr>_Toc217489944</vt:lpwstr>
      </vt:variant>
      <vt:variant>
        <vt:i4>2031668</vt:i4>
      </vt:variant>
      <vt:variant>
        <vt:i4>950</vt:i4>
      </vt:variant>
      <vt:variant>
        <vt:i4>0</vt:i4>
      </vt:variant>
      <vt:variant>
        <vt:i4>5</vt:i4>
      </vt:variant>
      <vt:variant>
        <vt:lpwstr/>
      </vt:variant>
      <vt:variant>
        <vt:lpwstr>_Toc217489943</vt:lpwstr>
      </vt:variant>
      <vt:variant>
        <vt:i4>2031668</vt:i4>
      </vt:variant>
      <vt:variant>
        <vt:i4>944</vt:i4>
      </vt:variant>
      <vt:variant>
        <vt:i4>0</vt:i4>
      </vt:variant>
      <vt:variant>
        <vt:i4>5</vt:i4>
      </vt:variant>
      <vt:variant>
        <vt:lpwstr/>
      </vt:variant>
      <vt:variant>
        <vt:lpwstr>_Toc217489942</vt:lpwstr>
      </vt:variant>
      <vt:variant>
        <vt:i4>2031668</vt:i4>
      </vt:variant>
      <vt:variant>
        <vt:i4>938</vt:i4>
      </vt:variant>
      <vt:variant>
        <vt:i4>0</vt:i4>
      </vt:variant>
      <vt:variant>
        <vt:i4>5</vt:i4>
      </vt:variant>
      <vt:variant>
        <vt:lpwstr/>
      </vt:variant>
      <vt:variant>
        <vt:lpwstr>_Toc217489941</vt:lpwstr>
      </vt:variant>
      <vt:variant>
        <vt:i4>2031668</vt:i4>
      </vt:variant>
      <vt:variant>
        <vt:i4>932</vt:i4>
      </vt:variant>
      <vt:variant>
        <vt:i4>0</vt:i4>
      </vt:variant>
      <vt:variant>
        <vt:i4>5</vt:i4>
      </vt:variant>
      <vt:variant>
        <vt:lpwstr/>
      </vt:variant>
      <vt:variant>
        <vt:lpwstr>_Toc217489940</vt:lpwstr>
      </vt:variant>
      <vt:variant>
        <vt:i4>1572916</vt:i4>
      </vt:variant>
      <vt:variant>
        <vt:i4>926</vt:i4>
      </vt:variant>
      <vt:variant>
        <vt:i4>0</vt:i4>
      </vt:variant>
      <vt:variant>
        <vt:i4>5</vt:i4>
      </vt:variant>
      <vt:variant>
        <vt:lpwstr/>
      </vt:variant>
      <vt:variant>
        <vt:lpwstr>_Toc217489939</vt:lpwstr>
      </vt:variant>
      <vt:variant>
        <vt:i4>1572916</vt:i4>
      </vt:variant>
      <vt:variant>
        <vt:i4>920</vt:i4>
      </vt:variant>
      <vt:variant>
        <vt:i4>0</vt:i4>
      </vt:variant>
      <vt:variant>
        <vt:i4>5</vt:i4>
      </vt:variant>
      <vt:variant>
        <vt:lpwstr/>
      </vt:variant>
      <vt:variant>
        <vt:lpwstr>_Toc217489938</vt:lpwstr>
      </vt:variant>
      <vt:variant>
        <vt:i4>1572916</vt:i4>
      </vt:variant>
      <vt:variant>
        <vt:i4>914</vt:i4>
      </vt:variant>
      <vt:variant>
        <vt:i4>0</vt:i4>
      </vt:variant>
      <vt:variant>
        <vt:i4>5</vt:i4>
      </vt:variant>
      <vt:variant>
        <vt:lpwstr/>
      </vt:variant>
      <vt:variant>
        <vt:lpwstr>_Toc217489937</vt:lpwstr>
      </vt:variant>
      <vt:variant>
        <vt:i4>1572916</vt:i4>
      </vt:variant>
      <vt:variant>
        <vt:i4>908</vt:i4>
      </vt:variant>
      <vt:variant>
        <vt:i4>0</vt:i4>
      </vt:variant>
      <vt:variant>
        <vt:i4>5</vt:i4>
      </vt:variant>
      <vt:variant>
        <vt:lpwstr/>
      </vt:variant>
      <vt:variant>
        <vt:lpwstr>_Toc217489936</vt:lpwstr>
      </vt:variant>
      <vt:variant>
        <vt:i4>1572916</vt:i4>
      </vt:variant>
      <vt:variant>
        <vt:i4>902</vt:i4>
      </vt:variant>
      <vt:variant>
        <vt:i4>0</vt:i4>
      </vt:variant>
      <vt:variant>
        <vt:i4>5</vt:i4>
      </vt:variant>
      <vt:variant>
        <vt:lpwstr/>
      </vt:variant>
      <vt:variant>
        <vt:lpwstr>_Toc217489935</vt:lpwstr>
      </vt:variant>
      <vt:variant>
        <vt:i4>1572916</vt:i4>
      </vt:variant>
      <vt:variant>
        <vt:i4>896</vt:i4>
      </vt:variant>
      <vt:variant>
        <vt:i4>0</vt:i4>
      </vt:variant>
      <vt:variant>
        <vt:i4>5</vt:i4>
      </vt:variant>
      <vt:variant>
        <vt:lpwstr/>
      </vt:variant>
      <vt:variant>
        <vt:lpwstr>_Toc217489934</vt:lpwstr>
      </vt:variant>
      <vt:variant>
        <vt:i4>1572916</vt:i4>
      </vt:variant>
      <vt:variant>
        <vt:i4>890</vt:i4>
      </vt:variant>
      <vt:variant>
        <vt:i4>0</vt:i4>
      </vt:variant>
      <vt:variant>
        <vt:i4>5</vt:i4>
      </vt:variant>
      <vt:variant>
        <vt:lpwstr/>
      </vt:variant>
      <vt:variant>
        <vt:lpwstr>_Toc217489933</vt:lpwstr>
      </vt:variant>
      <vt:variant>
        <vt:i4>1572916</vt:i4>
      </vt:variant>
      <vt:variant>
        <vt:i4>884</vt:i4>
      </vt:variant>
      <vt:variant>
        <vt:i4>0</vt:i4>
      </vt:variant>
      <vt:variant>
        <vt:i4>5</vt:i4>
      </vt:variant>
      <vt:variant>
        <vt:lpwstr/>
      </vt:variant>
      <vt:variant>
        <vt:lpwstr>_Toc217489932</vt:lpwstr>
      </vt:variant>
      <vt:variant>
        <vt:i4>1572916</vt:i4>
      </vt:variant>
      <vt:variant>
        <vt:i4>878</vt:i4>
      </vt:variant>
      <vt:variant>
        <vt:i4>0</vt:i4>
      </vt:variant>
      <vt:variant>
        <vt:i4>5</vt:i4>
      </vt:variant>
      <vt:variant>
        <vt:lpwstr/>
      </vt:variant>
      <vt:variant>
        <vt:lpwstr>_Toc217489931</vt:lpwstr>
      </vt:variant>
      <vt:variant>
        <vt:i4>1572916</vt:i4>
      </vt:variant>
      <vt:variant>
        <vt:i4>872</vt:i4>
      </vt:variant>
      <vt:variant>
        <vt:i4>0</vt:i4>
      </vt:variant>
      <vt:variant>
        <vt:i4>5</vt:i4>
      </vt:variant>
      <vt:variant>
        <vt:lpwstr/>
      </vt:variant>
      <vt:variant>
        <vt:lpwstr>_Toc217489930</vt:lpwstr>
      </vt:variant>
      <vt:variant>
        <vt:i4>1638452</vt:i4>
      </vt:variant>
      <vt:variant>
        <vt:i4>866</vt:i4>
      </vt:variant>
      <vt:variant>
        <vt:i4>0</vt:i4>
      </vt:variant>
      <vt:variant>
        <vt:i4>5</vt:i4>
      </vt:variant>
      <vt:variant>
        <vt:lpwstr/>
      </vt:variant>
      <vt:variant>
        <vt:lpwstr>_Toc217489929</vt:lpwstr>
      </vt:variant>
      <vt:variant>
        <vt:i4>1638452</vt:i4>
      </vt:variant>
      <vt:variant>
        <vt:i4>860</vt:i4>
      </vt:variant>
      <vt:variant>
        <vt:i4>0</vt:i4>
      </vt:variant>
      <vt:variant>
        <vt:i4>5</vt:i4>
      </vt:variant>
      <vt:variant>
        <vt:lpwstr/>
      </vt:variant>
      <vt:variant>
        <vt:lpwstr>_Toc217489928</vt:lpwstr>
      </vt:variant>
      <vt:variant>
        <vt:i4>1638452</vt:i4>
      </vt:variant>
      <vt:variant>
        <vt:i4>854</vt:i4>
      </vt:variant>
      <vt:variant>
        <vt:i4>0</vt:i4>
      </vt:variant>
      <vt:variant>
        <vt:i4>5</vt:i4>
      </vt:variant>
      <vt:variant>
        <vt:lpwstr/>
      </vt:variant>
      <vt:variant>
        <vt:lpwstr>_Toc217489927</vt:lpwstr>
      </vt:variant>
      <vt:variant>
        <vt:i4>1638452</vt:i4>
      </vt:variant>
      <vt:variant>
        <vt:i4>848</vt:i4>
      </vt:variant>
      <vt:variant>
        <vt:i4>0</vt:i4>
      </vt:variant>
      <vt:variant>
        <vt:i4>5</vt:i4>
      </vt:variant>
      <vt:variant>
        <vt:lpwstr/>
      </vt:variant>
      <vt:variant>
        <vt:lpwstr>_Toc217489926</vt:lpwstr>
      </vt:variant>
      <vt:variant>
        <vt:i4>1638452</vt:i4>
      </vt:variant>
      <vt:variant>
        <vt:i4>842</vt:i4>
      </vt:variant>
      <vt:variant>
        <vt:i4>0</vt:i4>
      </vt:variant>
      <vt:variant>
        <vt:i4>5</vt:i4>
      </vt:variant>
      <vt:variant>
        <vt:lpwstr/>
      </vt:variant>
      <vt:variant>
        <vt:lpwstr>_Toc217489925</vt:lpwstr>
      </vt:variant>
      <vt:variant>
        <vt:i4>1638452</vt:i4>
      </vt:variant>
      <vt:variant>
        <vt:i4>836</vt:i4>
      </vt:variant>
      <vt:variant>
        <vt:i4>0</vt:i4>
      </vt:variant>
      <vt:variant>
        <vt:i4>5</vt:i4>
      </vt:variant>
      <vt:variant>
        <vt:lpwstr/>
      </vt:variant>
      <vt:variant>
        <vt:lpwstr>_Toc217489924</vt:lpwstr>
      </vt:variant>
      <vt:variant>
        <vt:i4>1638452</vt:i4>
      </vt:variant>
      <vt:variant>
        <vt:i4>830</vt:i4>
      </vt:variant>
      <vt:variant>
        <vt:i4>0</vt:i4>
      </vt:variant>
      <vt:variant>
        <vt:i4>5</vt:i4>
      </vt:variant>
      <vt:variant>
        <vt:lpwstr/>
      </vt:variant>
      <vt:variant>
        <vt:lpwstr>_Toc217489923</vt:lpwstr>
      </vt:variant>
      <vt:variant>
        <vt:i4>1638452</vt:i4>
      </vt:variant>
      <vt:variant>
        <vt:i4>824</vt:i4>
      </vt:variant>
      <vt:variant>
        <vt:i4>0</vt:i4>
      </vt:variant>
      <vt:variant>
        <vt:i4>5</vt:i4>
      </vt:variant>
      <vt:variant>
        <vt:lpwstr/>
      </vt:variant>
      <vt:variant>
        <vt:lpwstr>_Toc217489922</vt:lpwstr>
      </vt:variant>
      <vt:variant>
        <vt:i4>1638452</vt:i4>
      </vt:variant>
      <vt:variant>
        <vt:i4>818</vt:i4>
      </vt:variant>
      <vt:variant>
        <vt:i4>0</vt:i4>
      </vt:variant>
      <vt:variant>
        <vt:i4>5</vt:i4>
      </vt:variant>
      <vt:variant>
        <vt:lpwstr/>
      </vt:variant>
      <vt:variant>
        <vt:lpwstr>_Toc217489921</vt:lpwstr>
      </vt:variant>
      <vt:variant>
        <vt:i4>1638452</vt:i4>
      </vt:variant>
      <vt:variant>
        <vt:i4>812</vt:i4>
      </vt:variant>
      <vt:variant>
        <vt:i4>0</vt:i4>
      </vt:variant>
      <vt:variant>
        <vt:i4>5</vt:i4>
      </vt:variant>
      <vt:variant>
        <vt:lpwstr/>
      </vt:variant>
      <vt:variant>
        <vt:lpwstr>_Toc217489920</vt:lpwstr>
      </vt:variant>
      <vt:variant>
        <vt:i4>1703988</vt:i4>
      </vt:variant>
      <vt:variant>
        <vt:i4>806</vt:i4>
      </vt:variant>
      <vt:variant>
        <vt:i4>0</vt:i4>
      </vt:variant>
      <vt:variant>
        <vt:i4>5</vt:i4>
      </vt:variant>
      <vt:variant>
        <vt:lpwstr/>
      </vt:variant>
      <vt:variant>
        <vt:lpwstr>_Toc217489919</vt:lpwstr>
      </vt:variant>
      <vt:variant>
        <vt:i4>1703988</vt:i4>
      </vt:variant>
      <vt:variant>
        <vt:i4>800</vt:i4>
      </vt:variant>
      <vt:variant>
        <vt:i4>0</vt:i4>
      </vt:variant>
      <vt:variant>
        <vt:i4>5</vt:i4>
      </vt:variant>
      <vt:variant>
        <vt:lpwstr/>
      </vt:variant>
      <vt:variant>
        <vt:lpwstr>_Toc217489918</vt:lpwstr>
      </vt:variant>
      <vt:variant>
        <vt:i4>1703988</vt:i4>
      </vt:variant>
      <vt:variant>
        <vt:i4>794</vt:i4>
      </vt:variant>
      <vt:variant>
        <vt:i4>0</vt:i4>
      </vt:variant>
      <vt:variant>
        <vt:i4>5</vt:i4>
      </vt:variant>
      <vt:variant>
        <vt:lpwstr/>
      </vt:variant>
      <vt:variant>
        <vt:lpwstr>_Toc217489917</vt:lpwstr>
      </vt:variant>
      <vt:variant>
        <vt:i4>1703988</vt:i4>
      </vt:variant>
      <vt:variant>
        <vt:i4>788</vt:i4>
      </vt:variant>
      <vt:variant>
        <vt:i4>0</vt:i4>
      </vt:variant>
      <vt:variant>
        <vt:i4>5</vt:i4>
      </vt:variant>
      <vt:variant>
        <vt:lpwstr/>
      </vt:variant>
      <vt:variant>
        <vt:lpwstr>_Toc217489916</vt:lpwstr>
      </vt:variant>
      <vt:variant>
        <vt:i4>1703988</vt:i4>
      </vt:variant>
      <vt:variant>
        <vt:i4>782</vt:i4>
      </vt:variant>
      <vt:variant>
        <vt:i4>0</vt:i4>
      </vt:variant>
      <vt:variant>
        <vt:i4>5</vt:i4>
      </vt:variant>
      <vt:variant>
        <vt:lpwstr/>
      </vt:variant>
      <vt:variant>
        <vt:lpwstr>_Toc217489915</vt:lpwstr>
      </vt:variant>
      <vt:variant>
        <vt:i4>1703988</vt:i4>
      </vt:variant>
      <vt:variant>
        <vt:i4>776</vt:i4>
      </vt:variant>
      <vt:variant>
        <vt:i4>0</vt:i4>
      </vt:variant>
      <vt:variant>
        <vt:i4>5</vt:i4>
      </vt:variant>
      <vt:variant>
        <vt:lpwstr/>
      </vt:variant>
      <vt:variant>
        <vt:lpwstr>_Toc217489914</vt:lpwstr>
      </vt:variant>
      <vt:variant>
        <vt:i4>1703988</vt:i4>
      </vt:variant>
      <vt:variant>
        <vt:i4>770</vt:i4>
      </vt:variant>
      <vt:variant>
        <vt:i4>0</vt:i4>
      </vt:variant>
      <vt:variant>
        <vt:i4>5</vt:i4>
      </vt:variant>
      <vt:variant>
        <vt:lpwstr/>
      </vt:variant>
      <vt:variant>
        <vt:lpwstr>_Toc217489913</vt:lpwstr>
      </vt:variant>
      <vt:variant>
        <vt:i4>1703988</vt:i4>
      </vt:variant>
      <vt:variant>
        <vt:i4>764</vt:i4>
      </vt:variant>
      <vt:variant>
        <vt:i4>0</vt:i4>
      </vt:variant>
      <vt:variant>
        <vt:i4>5</vt:i4>
      </vt:variant>
      <vt:variant>
        <vt:lpwstr/>
      </vt:variant>
      <vt:variant>
        <vt:lpwstr>_Toc217489912</vt:lpwstr>
      </vt:variant>
      <vt:variant>
        <vt:i4>1703988</vt:i4>
      </vt:variant>
      <vt:variant>
        <vt:i4>758</vt:i4>
      </vt:variant>
      <vt:variant>
        <vt:i4>0</vt:i4>
      </vt:variant>
      <vt:variant>
        <vt:i4>5</vt:i4>
      </vt:variant>
      <vt:variant>
        <vt:lpwstr/>
      </vt:variant>
      <vt:variant>
        <vt:lpwstr>_Toc217489911</vt:lpwstr>
      </vt:variant>
      <vt:variant>
        <vt:i4>1703988</vt:i4>
      </vt:variant>
      <vt:variant>
        <vt:i4>752</vt:i4>
      </vt:variant>
      <vt:variant>
        <vt:i4>0</vt:i4>
      </vt:variant>
      <vt:variant>
        <vt:i4>5</vt:i4>
      </vt:variant>
      <vt:variant>
        <vt:lpwstr/>
      </vt:variant>
      <vt:variant>
        <vt:lpwstr>_Toc217489910</vt:lpwstr>
      </vt:variant>
      <vt:variant>
        <vt:i4>1769524</vt:i4>
      </vt:variant>
      <vt:variant>
        <vt:i4>746</vt:i4>
      </vt:variant>
      <vt:variant>
        <vt:i4>0</vt:i4>
      </vt:variant>
      <vt:variant>
        <vt:i4>5</vt:i4>
      </vt:variant>
      <vt:variant>
        <vt:lpwstr/>
      </vt:variant>
      <vt:variant>
        <vt:lpwstr>_Toc217489909</vt:lpwstr>
      </vt:variant>
      <vt:variant>
        <vt:i4>1769524</vt:i4>
      </vt:variant>
      <vt:variant>
        <vt:i4>740</vt:i4>
      </vt:variant>
      <vt:variant>
        <vt:i4>0</vt:i4>
      </vt:variant>
      <vt:variant>
        <vt:i4>5</vt:i4>
      </vt:variant>
      <vt:variant>
        <vt:lpwstr/>
      </vt:variant>
      <vt:variant>
        <vt:lpwstr>_Toc217489908</vt:lpwstr>
      </vt:variant>
      <vt:variant>
        <vt:i4>1769524</vt:i4>
      </vt:variant>
      <vt:variant>
        <vt:i4>734</vt:i4>
      </vt:variant>
      <vt:variant>
        <vt:i4>0</vt:i4>
      </vt:variant>
      <vt:variant>
        <vt:i4>5</vt:i4>
      </vt:variant>
      <vt:variant>
        <vt:lpwstr/>
      </vt:variant>
      <vt:variant>
        <vt:lpwstr>_Toc217489907</vt:lpwstr>
      </vt:variant>
      <vt:variant>
        <vt:i4>1769524</vt:i4>
      </vt:variant>
      <vt:variant>
        <vt:i4>728</vt:i4>
      </vt:variant>
      <vt:variant>
        <vt:i4>0</vt:i4>
      </vt:variant>
      <vt:variant>
        <vt:i4>5</vt:i4>
      </vt:variant>
      <vt:variant>
        <vt:lpwstr/>
      </vt:variant>
      <vt:variant>
        <vt:lpwstr>_Toc217489906</vt:lpwstr>
      </vt:variant>
      <vt:variant>
        <vt:i4>1769524</vt:i4>
      </vt:variant>
      <vt:variant>
        <vt:i4>722</vt:i4>
      </vt:variant>
      <vt:variant>
        <vt:i4>0</vt:i4>
      </vt:variant>
      <vt:variant>
        <vt:i4>5</vt:i4>
      </vt:variant>
      <vt:variant>
        <vt:lpwstr/>
      </vt:variant>
      <vt:variant>
        <vt:lpwstr>_Toc217489905</vt:lpwstr>
      </vt:variant>
      <vt:variant>
        <vt:i4>1769524</vt:i4>
      </vt:variant>
      <vt:variant>
        <vt:i4>716</vt:i4>
      </vt:variant>
      <vt:variant>
        <vt:i4>0</vt:i4>
      </vt:variant>
      <vt:variant>
        <vt:i4>5</vt:i4>
      </vt:variant>
      <vt:variant>
        <vt:lpwstr/>
      </vt:variant>
      <vt:variant>
        <vt:lpwstr>_Toc217489904</vt:lpwstr>
      </vt:variant>
      <vt:variant>
        <vt:i4>1769524</vt:i4>
      </vt:variant>
      <vt:variant>
        <vt:i4>710</vt:i4>
      </vt:variant>
      <vt:variant>
        <vt:i4>0</vt:i4>
      </vt:variant>
      <vt:variant>
        <vt:i4>5</vt:i4>
      </vt:variant>
      <vt:variant>
        <vt:lpwstr/>
      </vt:variant>
      <vt:variant>
        <vt:lpwstr>_Toc217489903</vt:lpwstr>
      </vt:variant>
      <vt:variant>
        <vt:i4>1769524</vt:i4>
      </vt:variant>
      <vt:variant>
        <vt:i4>704</vt:i4>
      </vt:variant>
      <vt:variant>
        <vt:i4>0</vt:i4>
      </vt:variant>
      <vt:variant>
        <vt:i4>5</vt:i4>
      </vt:variant>
      <vt:variant>
        <vt:lpwstr/>
      </vt:variant>
      <vt:variant>
        <vt:lpwstr>_Toc217489902</vt:lpwstr>
      </vt:variant>
      <vt:variant>
        <vt:i4>1769524</vt:i4>
      </vt:variant>
      <vt:variant>
        <vt:i4>698</vt:i4>
      </vt:variant>
      <vt:variant>
        <vt:i4>0</vt:i4>
      </vt:variant>
      <vt:variant>
        <vt:i4>5</vt:i4>
      </vt:variant>
      <vt:variant>
        <vt:lpwstr/>
      </vt:variant>
      <vt:variant>
        <vt:lpwstr>_Toc217489901</vt:lpwstr>
      </vt:variant>
      <vt:variant>
        <vt:i4>1769524</vt:i4>
      </vt:variant>
      <vt:variant>
        <vt:i4>692</vt:i4>
      </vt:variant>
      <vt:variant>
        <vt:i4>0</vt:i4>
      </vt:variant>
      <vt:variant>
        <vt:i4>5</vt:i4>
      </vt:variant>
      <vt:variant>
        <vt:lpwstr/>
      </vt:variant>
      <vt:variant>
        <vt:lpwstr>_Toc217489900</vt:lpwstr>
      </vt:variant>
      <vt:variant>
        <vt:i4>1179701</vt:i4>
      </vt:variant>
      <vt:variant>
        <vt:i4>686</vt:i4>
      </vt:variant>
      <vt:variant>
        <vt:i4>0</vt:i4>
      </vt:variant>
      <vt:variant>
        <vt:i4>5</vt:i4>
      </vt:variant>
      <vt:variant>
        <vt:lpwstr/>
      </vt:variant>
      <vt:variant>
        <vt:lpwstr>_Toc217489899</vt:lpwstr>
      </vt:variant>
      <vt:variant>
        <vt:i4>1179701</vt:i4>
      </vt:variant>
      <vt:variant>
        <vt:i4>680</vt:i4>
      </vt:variant>
      <vt:variant>
        <vt:i4>0</vt:i4>
      </vt:variant>
      <vt:variant>
        <vt:i4>5</vt:i4>
      </vt:variant>
      <vt:variant>
        <vt:lpwstr/>
      </vt:variant>
      <vt:variant>
        <vt:lpwstr>_Toc217489898</vt:lpwstr>
      </vt:variant>
      <vt:variant>
        <vt:i4>1179701</vt:i4>
      </vt:variant>
      <vt:variant>
        <vt:i4>674</vt:i4>
      </vt:variant>
      <vt:variant>
        <vt:i4>0</vt:i4>
      </vt:variant>
      <vt:variant>
        <vt:i4>5</vt:i4>
      </vt:variant>
      <vt:variant>
        <vt:lpwstr/>
      </vt:variant>
      <vt:variant>
        <vt:lpwstr>_Toc217489897</vt:lpwstr>
      </vt:variant>
      <vt:variant>
        <vt:i4>1179701</vt:i4>
      </vt:variant>
      <vt:variant>
        <vt:i4>668</vt:i4>
      </vt:variant>
      <vt:variant>
        <vt:i4>0</vt:i4>
      </vt:variant>
      <vt:variant>
        <vt:i4>5</vt:i4>
      </vt:variant>
      <vt:variant>
        <vt:lpwstr/>
      </vt:variant>
      <vt:variant>
        <vt:lpwstr>_Toc217489896</vt:lpwstr>
      </vt:variant>
      <vt:variant>
        <vt:i4>1179701</vt:i4>
      </vt:variant>
      <vt:variant>
        <vt:i4>662</vt:i4>
      </vt:variant>
      <vt:variant>
        <vt:i4>0</vt:i4>
      </vt:variant>
      <vt:variant>
        <vt:i4>5</vt:i4>
      </vt:variant>
      <vt:variant>
        <vt:lpwstr/>
      </vt:variant>
      <vt:variant>
        <vt:lpwstr>_Toc217489895</vt:lpwstr>
      </vt:variant>
      <vt:variant>
        <vt:i4>1179701</vt:i4>
      </vt:variant>
      <vt:variant>
        <vt:i4>656</vt:i4>
      </vt:variant>
      <vt:variant>
        <vt:i4>0</vt:i4>
      </vt:variant>
      <vt:variant>
        <vt:i4>5</vt:i4>
      </vt:variant>
      <vt:variant>
        <vt:lpwstr/>
      </vt:variant>
      <vt:variant>
        <vt:lpwstr>_Toc217489894</vt:lpwstr>
      </vt:variant>
      <vt:variant>
        <vt:i4>1179701</vt:i4>
      </vt:variant>
      <vt:variant>
        <vt:i4>650</vt:i4>
      </vt:variant>
      <vt:variant>
        <vt:i4>0</vt:i4>
      </vt:variant>
      <vt:variant>
        <vt:i4>5</vt:i4>
      </vt:variant>
      <vt:variant>
        <vt:lpwstr/>
      </vt:variant>
      <vt:variant>
        <vt:lpwstr>_Toc217489893</vt:lpwstr>
      </vt:variant>
      <vt:variant>
        <vt:i4>1179701</vt:i4>
      </vt:variant>
      <vt:variant>
        <vt:i4>644</vt:i4>
      </vt:variant>
      <vt:variant>
        <vt:i4>0</vt:i4>
      </vt:variant>
      <vt:variant>
        <vt:i4>5</vt:i4>
      </vt:variant>
      <vt:variant>
        <vt:lpwstr/>
      </vt:variant>
      <vt:variant>
        <vt:lpwstr>_Toc217489892</vt:lpwstr>
      </vt:variant>
      <vt:variant>
        <vt:i4>1179701</vt:i4>
      </vt:variant>
      <vt:variant>
        <vt:i4>638</vt:i4>
      </vt:variant>
      <vt:variant>
        <vt:i4>0</vt:i4>
      </vt:variant>
      <vt:variant>
        <vt:i4>5</vt:i4>
      </vt:variant>
      <vt:variant>
        <vt:lpwstr/>
      </vt:variant>
      <vt:variant>
        <vt:lpwstr>_Toc217489891</vt:lpwstr>
      </vt:variant>
      <vt:variant>
        <vt:i4>1179701</vt:i4>
      </vt:variant>
      <vt:variant>
        <vt:i4>632</vt:i4>
      </vt:variant>
      <vt:variant>
        <vt:i4>0</vt:i4>
      </vt:variant>
      <vt:variant>
        <vt:i4>5</vt:i4>
      </vt:variant>
      <vt:variant>
        <vt:lpwstr/>
      </vt:variant>
      <vt:variant>
        <vt:lpwstr>_Toc217489890</vt:lpwstr>
      </vt:variant>
      <vt:variant>
        <vt:i4>1245237</vt:i4>
      </vt:variant>
      <vt:variant>
        <vt:i4>626</vt:i4>
      </vt:variant>
      <vt:variant>
        <vt:i4>0</vt:i4>
      </vt:variant>
      <vt:variant>
        <vt:i4>5</vt:i4>
      </vt:variant>
      <vt:variant>
        <vt:lpwstr/>
      </vt:variant>
      <vt:variant>
        <vt:lpwstr>_Toc217489889</vt:lpwstr>
      </vt:variant>
      <vt:variant>
        <vt:i4>1245237</vt:i4>
      </vt:variant>
      <vt:variant>
        <vt:i4>620</vt:i4>
      </vt:variant>
      <vt:variant>
        <vt:i4>0</vt:i4>
      </vt:variant>
      <vt:variant>
        <vt:i4>5</vt:i4>
      </vt:variant>
      <vt:variant>
        <vt:lpwstr/>
      </vt:variant>
      <vt:variant>
        <vt:lpwstr>_Toc217489888</vt:lpwstr>
      </vt:variant>
      <vt:variant>
        <vt:i4>1245237</vt:i4>
      </vt:variant>
      <vt:variant>
        <vt:i4>614</vt:i4>
      </vt:variant>
      <vt:variant>
        <vt:i4>0</vt:i4>
      </vt:variant>
      <vt:variant>
        <vt:i4>5</vt:i4>
      </vt:variant>
      <vt:variant>
        <vt:lpwstr/>
      </vt:variant>
      <vt:variant>
        <vt:lpwstr>_Toc217489887</vt:lpwstr>
      </vt:variant>
      <vt:variant>
        <vt:i4>1245237</vt:i4>
      </vt:variant>
      <vt:variant>
        <vt:i4>608</vt:i4>
      </vt:variant>
      <vt:variant>
        <vt:i4>0</vt:i4>
      </vt:variant>
      <vt:variant>
        <vt:i4>5</vt:i4>
      </vt:variant>
      <vt:variant>
        <vt:lpwstr/>
      </vt:variant>
      <vt:variant>
        <vt:lpwstr>_Toc217489886</vt:lpwstr>
      </vt:variant>
      <vt:variant>
        <vt:i4>1245237</vt:i4>
      </vt:variant>
      <vt:variant>
        <vt:i4>602</vt:i4>
      </vt:variant>
      <vt:variant>
        <vt:i4>0</vt:i4>
      </vt:variant>
      <vt:variant>
        <vt:i4>5</vt:i4>
      </vt:variant>
      <vt:variant>
        <vt:lpwstr/>
      </vt:variant>
      <vt:variant>
        <vt:lpwstr>_Toc217489885</vt:lpwstr>
      </vt:variant>
      <vt:variant>
        <vt:i4>1245237</vt:i4>
      </vt:variant>
      <vt:variant>
        <vt:i4>596</vt:i4>
      </vt:variant>
      <vt:variant>
        <vt:i4>0</vt:i4>
      </vt:variant>
      <vt:variant>
        <vt:i4>5</vt:i4>
      </vt:variant>
      <vt:variant>
        <vt:lpwstr/>
      </vt:variant>
      <vt:variant>
        <vt:lpwstr>_Toc217489884</vt:lpwstr>
      </vt:variant>
      <vt:variant>
        <vt:i4>1245237</vt:i4>
      </vt:variant>
      <vt:variant>
        <vt:i4>590</vt:i4>
      </vt:variant>
      <vt:variant>
        <vt:i4>0</vt:i4>
      </vt:variant>
      <vt:variant>
        <vt:i4>5</vt:i4>
      </vt:variant>
      <vt:variant>
        <vt:lpwstr/>
      </vt:variant>
      <vt:variant>
        <vt:lpwstr>_Toc217489883</vt:lpwstr>
      </vt:variant>
      <vt:variant>
        <vt:i4>1245237</vt:i4>
      </vt:variant>
      <vt:variant>
        <vt:i4>584</vt:i4>
      </vt:variant>
      <vt:variant>
        <vt:i4>0</vt:i4>
      </vt:variant>
      <vt:variant>
        <vt:i4>5</vt:i4>
      </vt:variant>
      <vt:variant>
        <vt:lpwstr/>
      </vt:variant>
      <vt:variant>
        <vt:lpwstr>_Toc217489882</vt:lpwstr>
      </vt:variant>
      <vt:variant>
        <vt:i4>1245237</vt:i4>
      </vt:variant>
      <vt:variant>
        <vt:i4>578</vt:i4>
      </vt:variant>
      <vt:variant>
        <vt:i4>0</vt:i4>
      </vt:variant>
      <vt:variant>
        <vt:i4>5</vt:i4>
      </vt:variant>
      <vt:variant>
        <vt:lpwstr/>
      </vt:variant>
      <vt:variant>
        <vt:lpwstr>_Toc217489881</vt:lpwstr>
      </vt:variant>
      <vt:variant>
        <vt:i4>1245237</vt:i4>
      </vt:variant>
      <vt:variant>
        <vt:i4>572</vt:i4>
      </vt:variant>
      <vt:variant>
        <vt:i4>0</vt:i4>
      </vt:variant>
      <vt:variant>
        <vt:i4>5</vt:i4>
      </vt:variant>
      <vt:variant>
        <vt:lpwstr/>
      </vt:variant>
      <vt:variant>
        <vt:lpwstr>_Toc217489880</vt:lpwstr>
      </vt:variant>
      <vt:variant>
        <vt:i4>1835061</vt:i4>
      </vt:variant>
      <vt:variant>
        <vt:i4>566</vt:i4>
      </vt:variant>
      <vt:variant>
        <vt:i4>0</vt:i4>
      </vt:variant>
      <vt:variant>
        <vt:i4>5</vt:i4>
      </vt:variant>
      <vt:variant>
        <vt:lpwstr/>
      </vt:variant>
      <vt:variant>
        <vt:lpwstr>_Toc217489879</vt:lpwstr>
      </vt:variant>
      <vt:variant>
        <vt:i4>1835061</vt:i4>
      </vt:variant>
      <vt:variant>
        <vt:i4>560</vt:i4>
      </vt:variant>
      <vt:variant>
        <vt:i4>0</vt:i4>
      </vt:variant>
      <vt:variant>
        <vt:i4>5</vt:i4>
      </vt:variant>
      <vt:variant>
        <vt:lpwstr/>
      </vt:variant>
      <vt:variant>
        <vt:lpwstr>_Toc217489878</vt:lpwstr>
      </vt:variant>
      <vt:variant>
        <vt:i4>1835061</vt:i4>
      </vt:variant>
      <vt:variant>
        <vt:i4>554</vt:i4>
      </vt:variant>
      <vt:variant>
        <vt:i4>0</vt:i4>
      </vt:variant>
      <vt:variant>
        <vt:i4>5</vt:i4>
      </vt:variant>
      <vt:variant>
        <vt:lpwstr/>
      </vt:variant>
      <vt:variant>
        <vt:lpwstr>_Toc217489877</vt:lpwstr>
      </vt:variant>
      <vt:variant>
        <vt:i4>1835061</vt:i4>
      </vt:variant>
      <vt:variant>
        <vt:i4>548</vt:i4>
      </vt:variant>
      <vt:variant>
        <vt:i4>0</vt:i4>
      </vt:variant>
      <vt:variant>
        <vt:i4>5</vt:i4>
      </vt:variant>
      <vt:variant>
        <vt:lpwstr/>
      </vt:variant>
      <vt:variant>
        <vt:lpwstr>_Toc217489876</vt:lpwstr>
      </vt:variant>
      <vt:variant>
        <vt:i4>1835061</vt:i4>
      </vt:variant>
      <vt:variant>
        <vt:i4>542</vt:i4>
      </vt:variant>
      <vt:variant>
        <vt:i4>0</vt:i4>
      </vt:variant>
      <vt:variant>
        <vt:i4>5</vt:i4>
      </vt:variant>
      <vt:variant>
        <vt:lpwstr/>
      </vt:variant>
      <vt:variant>
        <vt:lpwstr>_Toc217489875</vt:lpwstr>
      </vt:variant>
      <vt:variant>
        <vt:i4>1835061</vt:i4>
      </vt:variant>
      <vt:variant>
        <vt:i4>536</vt:i4>
      </vt:variant>
      <vt:variant>
        <vt:i4>0</vt:i4>
      </vt:variant>
      <vt:variant>
        <vt:i4>5</vt:i4>
      </vt:variant>
      <vt:variant>
        <vt:lpwstr/>
      </vt:variant>
      <vt:variant>
        <vt:lpwstr>_Toc217489874</vt:lpwstr>
      </vt:variant>
      <vt:variant>
        <vt:i4>1835061</vt:i4>
      </vt:variant>
      <vt:variant>
        <vt:i4>530</vt:i4>
      </vt:variant>
      <vt:variant>
        <vt:i4>0</vt:i4>
      </vt:variant>
      <vt:variant>
        <vt:i4>5</vt:i4>
      </vt:variant>
      <vt:variant>
        <vt:lpwstr/>
      </vt:variant>
      <vt:variant>
        <vt:lpwstr>_Toc217489873</vt:lpwstr>
      </vt:variant>
      <vt:variant>
        <vt:i4>1835061</vt:i4>
      </vt:variant>
      <vt:variant>
        <vt:i4>524</vt:i4>
      </vt:variant>
      <vt:variant>
        <vt:i4>0</vt:i4>
      </vt:variant>
      <vt:variant>
        <vt:i4>5</vt:i4>
      </vt:variant>
      <vt:variant>
        <vt:lpwstr/>
      </vt:variant>
      <vt:variant>
        <vt:lpwstr>_Toc217489872</vt:lpwstr>
      </vt:variant>
      <vt:variant>
        <vt:i4>1835061</vt:i4>
      </vt:variant>
      <vt:variant>
        <vt:i4>518</vt:i4>
      </vt:variant>
      <vt:variant>
        <vt:i4>0</vt:i4>
      </vt:variant>
      <vt:variant>
        <vt:i4>5</vt:i4>
      </vt:variant>
      <vt:variant>
        <vt:lpwstr/>
      </vt:variant>
      <vt:variant>
        <vt:lpwstr>_Toc217489871</vt:lpwstr>
      </vt:variant>
      <vt:variant>
        <vt:i4>1835061</vt:i4>
      </vt:variant>
      <vt:variant>
        <vt:i4>512</vt:i4>
      </vt:variant>
      <vt:variant>
        <vt:i4>0</vt:i4>
      </vt:variant>
      <vt:variant>
        <vt:i4>5</vt:i4>
      </vt:variant>
      <vt:variant>
        <vt:lpwstr/>
      </vt:variant>
      <vt:variant>
        <vt:lpwstr>_Toc217489870</vt:lpwstr>
      </vt:variant>
      <vt:variant>
        <vt:i4>1900597</vt:i4>
      </vt:variant>
      <vt:variant>
        <vt:i4>506</vt:i4>
      </vt:variant>
      <vt:variant>
        <vt:i4>0</vt:i4>
      </vt:variant>
      <vt:variant>
        <vt:i4>5</vt:i4>
      </vt:variant>
      <vt:variant>
        <vt:lpwstr/>
      </vt:variant>
      <vt:variant>
        <vt:lpwstr>_Toc217489869</vt:lpwstr>
      </vt:variant>
      <vt:variant>
        <vt:i4>1900597</vt:i4>
      </vt:variant>
      <vt:variant>
        <vt:i4>500</vt:i4>
      </vt:variant>
      <vt:variant>
        <vt:i4>0</vt:i4>
      </vt:variant>
      <vt:variant>
        <vt:i4>5</vt:i4>
      </vt:variant>
      <vt:variant>
        <vt:lpwstr/>
      </vt:variant>
      <vt:variant>
        <vt:lpwstr>_Toc217489868</vt:lpwstr>
      </vt:variant>
      <vt:variant>
        <vt:i4>1900597</vt:i4>
      </vt:variant>
      <vt:variant>
        <vt:i4>494</vt:i4>
      </vt:variant>
      <vt:variant>
        <vt:i4>0</vt:i4>
      </vt:variant>
      <vt:variant>
        <vt:i4>5</vt:i4>
      </vt:variant>
      <vt:variant>
        <vt:lpwstr/>
      </vt:variant>
      <vt:variant>
        <vt:lpwstr>_Toc217489867</vt:lpwstr>
      </vt:variant>
      <vt:variant>
        <vt:i4>1900597</vt:i4>
      </vt:variant>
      <vt:variant>
        <vt:i4>488</vt:i4>
      </vt:variant>
      <vt:variant>
        <vt:i4>0</vt:i4>
      </vt:variant>
      <vt:variant>
        <vt:i4>5</vt:i4>
      </vt:variant>
      <vt:variant>
        <vt:lpwstr/>
      </vt:variant>
      <vt:variant>
        <vt:lpwstr>_Toc217489866</vt:lpwstr>
      </vt:variant>
      <vt:variant>
        <vt:i4>1900597</vt:i4>
      </vt:variant>
      <vt:variant>
        <vt:i4>482</vt:i4>
      </vt:variant>
      <vt:variant>
        <vt:i4>0</vt:i4>
      </vt:variant>
      <vt:variant>
        <vt:i4>5</vt:i4>
      </vt:variant>
      <vt:variant>
        <vt:lpwstr/>
      </vt:variant>
      <vt:variant>
        <vt:lpwstr>_Toc217489865</vt:lpwstr>
      </vt:variant>
      <vt:variant>
        <vt:i4>1900597</vt:i4>
      </vt:variant>
      <vt:variant>
        <vt:i4>476</vt:i4>
      </vt:variant>
      <vt:variant>
        <vt:i4>0</vt:i4>
      </vt:variant>
      <vt:variant>
        <vt:i4>5</vt:i4>
      </vt:variant>
      <vt:variant>
        <vt:lpwstr/>
      </vt:variant>
      <vt:variant>
        <vt:lpwstr>_Toc217489864</vt:lpwstr>
      </vt:variant>
      <vt:variant>
        <vt:i4>1900597</vt:i4>
      </vt:variant>
      <vt:variant>
        <vt:i4>470</vt:i4>
      </vt:variant>
      <vt:variant>
        <vt:i4>0</vt:i4>
      </vt:variant>
      <vt:variant>
        <vt:i4>5</vt:i4>
      </vt:variant>
      <vt:variant>
        <vt:lpwstr/>
      </vt:variant>
      <vt:variant>
        <vt:lpwstr>_Toc217489863</vt:lpwstr>
      </vt:variant>
      <vt:variant>
        <vt:i4>1900597</vt:i4>
      </vt:variant>
      <vt:variant>
        <vt:i4>464</vt:i4>
      </vt:variant>
      <vt:variant>
        <vt:i4>0</vt:i4>
      </vt:variant>
      <vt:variant>
        <vt:i4>5</vt:i4>
      </vt:variant>
      <vt:variant>
        <vt:lpwstr/>
      </vt:variant>
      <vt:variant>
        <vt:lpwstr>_Toc217489862</vt:lpwstr>
      </vt:variant>
      <vt:variant>
        <vt:i4>1900597</vt:i4>
      </vt:variant>
      <vt:variant>
        <vt:i4>458</vt:i4>
      </vt:variant>
      <vt:variant>
        <vt:i4>0</vt:i4>
      </vt:variant>
      <vt:variant>
        <vt:i4>5</vt:i4>
      </vt:variant>
      <vt:variant>
        <vt:lpwstr/>
      </vt:variant>
      <vt:variant>
        <vt:lpwstr>_Toc217489861</vt:lpwstr>
      </vt:variant>
      <vt:variant>
        <vt:i4>1900597</vt:i4>
      </vt:variant>
      <vt:variant>
        <vt:i4>452</vt:i4>
      </vt:variant>
      <vt:variant>
        <vt:i4>0</vt:i4>
      </vt:variant>
      <vt:variant>
        <vt:i4>5</vt:i4>
      </vt:variant>
      <vt:variant>
        <vt:lpwstr/>
      </vt:variant>
      <vt:variant>
        <vt:lpwstr>_Toc217489860</vt:lpwstr>
      </vt:variant>
      <vt:variant>
        <vt:i4>1966133</vt:i4>
      </vt:variant>
      <vt:variant>
        <vt:i4>446</vt:i4>
      </vt:variant>
      <vt:variant>
        <vt:i4>0</vt:i4>
      </vt:variant>
      <vt:variant>
        <vt:i4>5</vt:i4>
      </vt:variant>
      <vt:variant>
        <vt:lpwstr/>
      </vt:variant>
      <vt:variant>
        <vt:lpwstr>_Toc217489859</vt:lpwstr>
      </vt:variant>
      <vt:variant>
        <vt:i4>1966133</vt:i4>
      </vt:variant>
      <vt:variant>
        <vt:i4>440</vt:i4>
      </vt:variant>
      <vt:variant>
        <vt:i4>0</vt:i4>
      </vt:variant>
      <vt:variant>
        <vt:i4>5</vt:i4>
      </vt:variant>
      <vt:variant>
        <vt:lpwstr/>
      </vt:variant>
      <vt:variant>
        <vt:lpwstr>_Toc217489858</vt:lpwstr>
      </vt:variant>
      <vt:variant>
        <vt:i4>1966133</vt:i4>
      </vt:variant>
      <vt:variant>
        <vt:i4>434</vt:i4>
      </vt:variant>
      <vt:variant>
        <vt:i4>0</vt:i4>
      </vt:variant>
      <vt:variant>
        <vt:i4>5</vt:i4>
      </vt:variant>
      <vt:variant>
        <vt:lpwstr/>
      </vt:variant>
      <vt:variant>
        <vt:lpwstr>_Toc217489857</vt:lpwstr>
      </vt:variant>
      <vt:variant>
        <vt:i4>1966133</vt:i4>
      </vt:variant>
      <vt:variant>
        <vt:i4>428</vt:i4>
      </vt:variant>
      <vt:variant>
        <vt:i4>0</vt:i4>
      </vt:variant>
      <vt:variant>
        <vt:i4>5</vt:i4>
      </vt:variant>
      <vt:variant>
        <vt:lpwstr/>
      </vt:variant>
      <vt:variant>
        <vt:lpwstr>_Toc217489856</vt:lpwstr>
      </vt:variant>
      <vt:variant>
        <vt:i4>1966133</vt:i4>
      </vt:variant>
      <vt:variant>
        <vt:i4>422</vt:i4>
      </vt:variant>
      <vt:variant>
        <vt:i4>0</vt:i4>
      </vt:variant>
      <vt:variant>
        <vt:i4>5</vt:i4>
      </vt:variant>
      <vt:variant>
        <vt:lpwstr/>
      </vt:variant>
      <vt:variant>
        <vt:lpwstr>_Toc217489855</vt:lpwstr>
      </vt:variant>
      <vt:variant>
        <vt:i4>1966133</vt:i4>
      </vt:variant>
      <vt:variant>
        <vt:i4>416</vt:i4>
      </vt:variant>
      <vt:variant>
        <vt:i4>0</vt:i4>
      </vt:variant>
      <vt:variant>
        <vt:i4>5</vt:i4>
      </vt:variant>
      <vt:variant>
        <vt:lpwstr/>
      </vt:variant>
      <vt:variant>
        <vt:lpwstr>_Toc217489854</vt:lpwstr>
      </vt:variant>
      <vt:variant>
        <vt:i4>1966133</vt:i4>
      </vt:variant>
      <vt:variant>
        <vt:i4>410</vt:i4>
      </vt:variant>
      <vt:variant>
        <vt:i4>0</vt:i4>
      </vt:variant>
      <vt:variant>
        <vt:i4>5</vt:i4>
      </vt:variant>
      <vt:variant>
        <vt:lpwstr/>
      </vt:variant>
      <vt:variant>
        <vt:lpwstr>_Toc217489853</vt:lpwstr>
      </vt:variant>
      <vt:variant>
        <vt:i4>1966133</vt:i4>
      </vt:variant>
      <vt:variant>
        <vt:i4>404</vt:i4>
      </vt:variant>
      <vt:variant>
        <vt:i4>0</vt:i4>
      </vt:variant>
      <vt:variant>
        <vt:i4>5</vt:i4>
      </vt:variant>
      <vt:variant>
        <vt:lpwstr/>
      </vt:variant>
      <vt:variant>
        <vt:lpwstr>_Toc217489852</vt:lpwstr>
      </vt:variant>
      <vt:variant>
        <vt:i4>1966133</vt:i4>
      </vt:variant>
      <vt:variant>
        <vt:i4>398</vt:i4>
      </vt:variant>
      <vt:variant>
        <vt:i4>0</vt:i4>
      </vt:variant>
      <vt:variant>
        <vt:i4>5</vt:i4>
      </vt:variant>
      <vt:variant>
        <vt:lpwstr/>
      </vt:variant>
      <vt:variant>
        <vt:lpwstr>_Toc217489851</vt:lpwstr>
      </vt:variant>
      <vt:variant>
        <vt:i4>1966133</vt:i4>
      </vt:variant>
      <vt:variant>
        <vt:i4>392</vt:i4>
      </vt:variant>
      <vt:variant>
        <vt:i4>0</vt:i4>
      </vt:variant>
      <vt:variant>
        <vt:i4>5</vt:i4>
      </vt:variant>
      <vt:variant>
        <vt:lpwstr/>
      </vt:variant>
      <vt:variant>
        <vt:lpwstr>_Toc217489850</vt:lpwstr>
      </vt:variant>
      <vt:variant>
        <vt:i4>2031669</vt:i4>
      </vt:variant>
      <vt:variant>
        <vt:i4>386</vt:i4>
      </vt:variant>
      <vt:variant>
        <vt:i4>0</vt:i4>
      </vt:variant>
      <vt:variant>
        <vt:i4>5</vt:i4>
      </vt:variant>
      <vt:variant>
        <vt:lpwstr/>
      </vt:variant>
      <vt:variant>
        <vt:lpwstr>_Toc217489849</vt:lpwstr>
      </vt:variant>
      <vt:variant>
        <vt:i4>2031669</vt:i4>
      </vt:variant>
      <vt:variant>
        <vt:i4>380</vt:i4>
      </vt:variant>
      <vt:variant>
        <vt:i4>0</vt:i4>
      </vt:variant>
      <vt:variant>
        <vt:i4>5</vt:i4>
      </vt:variant>
      <vt:variant>
        <vt:lpwstr/>
      </vt:variant>
      <vt:variant>
        <vt:lpwstr>_Toc217489848</vt:lpwstr>
      </vt:variant>
      <vt:variant>
        <vt:i4>2031669</vt:i4>
      </vt:variant>
      <vt:variant>
        <vt:i4>374</vt:i4>
      </vt:variant>
      <vt:variant>
        <vt:i4>0</vt:i4>
      </vt:variant>
      <vt:variant>
        <vt:i4>5</vt:i4>
      </vt:variant>
      <vt:variant>
        <vt:lpwstr/>
      </vt:variant>
      <vt:variant>
        <vt:lpwstr>_Toc217489847</vt:lpwstr>
      </vt:variant>
      <vt:variant>
        <vt:i4>2031669</vt:i4>
      </vt:variant>
      <vt:variant>
        <vt:i4>368</vt:i4>
      </vt:variant>
      <vt:variant>
        <vt:i4>0</vt:i4>
      </vt:variant>
      <vt:variant>
        <vt:i4>5</vt:i4>
      </vt:variant>
      <vt:variant>
        <vt:lpwstr/>
      </vt:variant>
      <vt:variant>
        <vt:lpwstr>_Toc217489846</vt:lpwstr>
      </vt:variant>
      <vt:variant>
        <vt:i4>2031669</vt:i4>
      </vt:variant>
      <vt:variant>
        <vt:i4>362</vt:i4>
      </vt:variant>
      <vt:variant>
        <vt:i4>0</vt:i4>
      </vt:variant>
      <vt:variant>
        <vt:i4>5</vt:i4>
      </vt:variant>
      <vt:variant>
        <vt:lpwstr/>
      </vt:variant>
      <vt:variant>
        <vt:lpwstr>_Toc217489845</vt:lpwstr>
      </vt:variant>
      <vt:variant>
        <vt:i4>2031669</vt:i4>
      </vt:variant>
      <vt:variant>
        <vt:i4>356</vt:i4>
      </vt:variant>
      <vt:variant>
        <vt:i4>0</vt:i4>
      </vt:variant>
      <vt:variant>
        <vt:i4>5</vt:i4>
      </vt:variant>
      <vt:variant>
        <vt:lpwstr/>
      </vt:variant>
      <vt:variant>
        <vt:lpwstr>_Toc217489844</vt:lpwstr>
      </vt:variant>
      <vt:variant>
        <vt:i4>2031669</vt:i4>
      </vt:variant>
      <vt:variant>
        <vt:i4>350</vt:i4>
      </vt:variant>
      <vt:variant>
        <vt:i4>0</vt:i4>
      </vt:variant>
      <vt:variant>
        <vt:i4>5</vt:i4>
      </vt:variant>
      <vt:variant>
        <vt:lpwstr/>
      </vt:variant>
      <vt:variant>
        <vt:lpwstr>_Toc217489843</vt:lpwstr>
      </vt:variant>
      <vt:variant>
        <vt:i4>2031669</vt:i4>
      </vt:variant>
      <vt:variant>
        <vt:i4>344</vt:i4>
      </vt:variant>
      <vt:variant>
        <vt:i4>0</vt:i4>
      </vt:variant>
      <vt:variant>
        <vt:i4>5</vt:i4>
      </vt:variant>
      <vt:variant>
        <vt:lpwstr/>
      </vt:variant>
      <vt:variant>
        <vt:lpwstr>_Toc217489842</vt:lpwstr>
      </vt:variant>
      <vt:variant>
        <vt:i4>2031669</vt:i4>
      </vt:variant>
      <vt:variant>
        <vt:i4>338</vt:i4>
      </vt:variant>
      <vt:variant>
        <vt:i4>0</vt:i4>
      </vt:variant>
      <vt:variant>
        <vt:i4>5</vt:i4>
      </vt:variant>
      <vt:variant>
        <vt:lpwstr/>
      </vt:variant>
      <vt:variant>
        <vt:lpwstr>_Toc217489841</vt:lpwstr>
      </vt:variant>
      <vt:variant>
        <vt:i4>2031669</vt:i4>
      </vt:variant>
      <vt:variant>
        <vt:i4>332</vt:i4>
      </vt:variant>
      <vt:variant>
        <vt:i4>0</vt:i4>
      </vt:variant>
      <vt:variant>
        <vt:i4>5</vt:i4>
      </vt:variant>
      <vt:variant>
        <vt:lpwstr/>
      </vt:variant>
      <vt:variant>
        <vt:lpwstr>_Toc217489840</vt:lpwstr>
      </vt:variant>
      <vt:variant>
        <vt:i4>1572917</vt:i4>
      </vt:variant>
      <vt:variant>
        <vt:i4>326</vt:i4>
      </vt:variant>
      <vt:variant>
        <vt:i4>0</vt:i4>
      </vt:variant>
      <vt:variant>
        <vt:i4>5</vt:i4>
      </vt:variant>
      <vt:variant>
        <vt:lpwstr/>
      </vt:variant>
      <vt:variant>
        <vt:lpwstr>_Toc217489839</vt:lpwstr>
      </vt:variant>
      <vt:variant>
        <vt:i4>1572917</vt:i4>
      </vt:variant>
      <vt:variant>
        <vt:i4>320</vt:i4>
      </vt:variant>
      <vt:variant>
        <vt:i4>0</vt:i4>
      </vt:variant>
      <vt:variant>
        <vt:i4>5</vt:i4>
      </vt:variant>
      <vt:variant>
        <vt:lpwstr/>
      </vt:variant>
      <vt:variant>
        <vt:lpwstr>_Toc217489838</vt:lpwstr>
      </vt:variant>
      <vt:variant>
        <vt:i4>1572917</vt:i4>
      </vt:variant>
      <vt:variant>
        <vt:i4>314</vt:i4>
      </vt:variant>
      <vt:variant>
        <vt:i4>0</vt:i4>
      </vt:variant>
      <vt:variant>
        <vt:i4>5</vt:i4>
      </vt:variant>
      <vt:variant>
        <vt:lpwstr/>
      </vt:variant>
      <vt:variant>
        <vt:lpwstr>_Toc217489837</vt:lpwstr>
      </vt:variant>
      <vt:variant>
        <vt:i4>1572917</vt:i4>
      </vt:variant>
      <vt:variant>
        <vt:i4>308</vt:i4>
      </vt:variant>
      <vt:variant>
        <vt:i4>0</vt:i4>
      </vt:variant>
      <vt:variant>
        <vt:i4>5</vt:i4>
      </vt:variant>
      <vt:variant>
        <vt:lpwstr/>
      </vt:variant>
      <vt:variant>
        <vt:lpwstr>_Toc217489836</vt:lpwstr>
      </vt:variant>
      <vt:variant>
        <vt:i4>1572917</vt:i4>
      </vt:variant>
      <vt:variant>
        <vt:i4>302</vt:i4>
      </vt:variant>
      <vt:variant>
        <vt:i4>0</vt:i4>
      </vt:variant>
      <vt:variant>
        <vt:i4>5</vt:i4>
      </vt:variant>
      <vt:variant>
        <vt:lpwstr/>
      </vt:variant>
      <vt:variant>
        <vt:lpwstr>_Toc217489835</vt:lpwstr>
      </vt:variant>
      <vt:variant>
        <vt:i4>1572917</vt:i4>
      </vt:variant>
      <vt:variant>
        <vt:i4>296</vt:i4>
      </vt:variant>
      <vt:variant>
        <vt:i4>0</vt:i4>
      </vt:variant>
      <vt:variant>
        <vt:i4>5</vt:i4>
      </vt:variant>
      <vt:variant>
        <vt:lpwstr/>
      </vt:variant>
      <vt:variant>
        <vt:lpwstr>_Toc217489834</vt:lpwstr>
      </vt:variant>
      <vt:variant>
        <vt:i4>1572917</vt:i4>
      </vt:variant>
      <vt:variant>
        <vt:i4>290</vt:i4>
      </vt:variant>
      <vt:variant>
        <vt:i4>0</vt:i4>
      </vt:variant>
      <vt:variant>
        <vt:i4>5</vt:i4>
      </vt:variant>
      <vt:variant>
        <vt:lpwstr/>
      </vt:variant>
      <vt:variant>
        <vt:lpwstr>_Toc217489833</vt:lpwstr>
      </vt:variant>
      <vt:variant>
        <vt:i4>1572917</vt:i4>
      </vt:variant>
      <vt:variant>
        <vt:i4>284</vt:i4>
      </vt:variant>
      <vt:variant>
        <vt:i4>0</vt:i4>
      </vt:variant>
      <vt:variant>
        <vt:i4>5</vt:i4>
      </vt:variant>
      <vt:variant>
        <vt:lpwstr/>
      </vt:variant>
      <vt:variant>
        <vt:lpwstr>_Toc217489832</vt:lpwstr>
      </vt:variant>
      <vt:variant>
        <vt:i4>1572917</vt:i4>
      </vt:variant>
      <vt:variant>
        <vt:i4>278</vt:i4>
      </vt:variant>
      <vt:variant>
        <vt:i4>0</vt:i4>
      </vt:variant>
      <vt:variant>
        <vt:i4>5</vt:i4>
      </vt:variant>
      <vt:variant>
        <vt:lpwstr/>
      </vt:variant>
      <vt:variant>
        <vt:lpwstr>_Toc217489831</vt:lpwstr>
      </vt:variant>
      <vt:variant>
        <vt:i4>1572917</vt:i4>
      </vt:variant>
      <vt:variant>
        <vt:i4>272</vt:i4>
      </vt:variant>
      <vt:variant>
        <vt:i4>0</vt:i4>
      </vt:variant>
      <vt:variant>
        <vt:i4>5</vt:i4>
      </vt:variant>
      <vt:variant>
        <vt:lpwstr/>
      </vt:variant>
      <vt:variant>
        <vt:lpwstr>_Toc217489830</vt:lpwstr>
      </vt:variant>
      <vt:variant>
        <vt:i4>1638453</vt:i4>
      </vt:variant>
      <vt:variant>
        <vt:i4>266</vt:i4>
      </vt:variant>
      <vt:variant>
        <vt:i4>0</vt:i4>
      </vt:variant>
      <vt:variant>
        <vt:i4>5</vt:i4>
      </vt:variant>
      <vt:variant>
        <vt:lpwstr/>
      </vt:variant>
      <vt:variant>
        <vt:lpwstr>_Toc217489829</vt:lpwstr>
      </vt:variant>
      <vt:variant>
        <vt:i4>1638453</vt:i4>
      </vt:variant>
      <vt:variant>
        <vt:i4>260</vt:i4>
      </vt:variant>
      <vt:variant>
        <vt:i4>0</vt:i4>
      </vt:variant>
      <vt:variant>
        <vt:i4>5</vt:i4>
      </vt:variant>
      <vt:variant>
        <vt:lpwstr/>
      </vt:variant>
      <vt:variant>
        <vt:lpwstr>_Toc217489828</vt:lpwstr>
      </vt:variant>
      <vt:variant>
        <vt:i4>1638453</vt:i4>
      </vt:variant>
      <vt:variant>
        <vt:i4>254</vt:i4>
      </vt:variant>
      <vt:variant>
        <vt:i4>0</vt:i4>
      </vt:variant>
      <vt:variant>
        <vt:i4>5</vt:i4>
      </vt:variant>
      <vt:variant>
        <vt:lpwstr/>
      </vt:variant>
      <vt:variant>
        <vt:lpwstr>_Toc217489827</vt:lpwstr>
      </vt:variant>
      <vt:variant>
        <vt:i4>1638453</vt:i4>
      </vt:variant>
      <vt:variant>
        <vt:i4>248</vt:i4>
      </vt:variant>
      <vt:variant>
        <vt:i4>0</vt:i4>
      </vt:variant>
      <vt:variant>
        <vt:i4>5</vt:i4>
      </vt:variant>
      <vt:variant>
        <vt:lpwstr/>
      </vt:variant>
      <vt:variant>
        <vt:lpwstr>_Toc217489826</vt:lpwstr>
      </vt:variant>
      <vt:variant>
        <vt:i4>1638453</vt:i4>
      </vt:variant>
      <vt:variant>
        <vt:i4>242</vt:i4>
      </vt:variant>
      <vt:variant>
        <vt:i4>0</vt:i4>
      </vt:variant>
      <vt:variant>
        <vt:i4>5</vt:i4>
      </vt:variant>
      <vt:variant>
        <vt:lpwstr/>
      </vt:variant>
      <vt:variant>
        <vt:lpwstr>_Toc217489825</vt:lpwstr>
      </vt:variant>
      <vt:variant>
        <vt:i4>1638453</vt:i4>
      </vt:variant>
      <vt:variant>
        <vt:i4>236</vt:i4>
      </vt:variant>
      <vt:variant>
        <vt:i4>0</vt:i4>
      </vt:variant>
      <vt:variant>
        <vt:i4>5</vt:i4>
      </vt:variant>
      <vt:variant>
        <vt:lpwstr/>
      </vt:variant>
      <vt:variant>
        <vt:lpwstr>_Toc217489824</vt:lpwstr>
      </vt:variant>
      <vt:variant>
        <vt:i4>1638453</vt:i4>
      </vt:variant>
      <vt:variant>
        <vt:i4>230</vt:i4>
      </vt:variant>
      <vt:variant>
        <vt:i4>0</vt:i4>
      </vt:variant>
      <vt:variant>
        <vt:i4>5</vt:i4>
      </vt:variant>
      <vt:variant>
        <vt:lpwstr/>
      </vt:variant>
      <vt:variant>
        <vt:lpwstr>_Toc217489823</vt:lpwstr>
      </vt:variant>
      <vt:variant>
        <vt:i4>1638453</vt:i4>
      </vt:variant>
      <vt:variant>
        <vt:i4>224</vt:i4>
      </vt:variant>
      <vt:variant>
        <vt:i4>0</vt:i4>
      </vt:variant>
      <vt:variant>
        <vt:i4>5</vt:i4>
      </vt:variant>
      <vt:variant>
        <vt:lpwstr/>
      </vt:variant>
      <vt:variant>
        <vt:lpwstr>_Toc217489822</vt:lpwstr>
      </vt:variant>
      <vt:variant>
        <vt:i4>1638453</vt:i4>
      </vt:variant>
      <vt:variant>
        <vt:i4>218</vt:i4>
      </vt:variant>
      <vt:variant>
        <vt:i4>0</vt:i4>
      </vt:variant>
      <vt:variant>
        <vt:i4>5</vt:i4>
      </vt:variant>
      <vt:variant>
        <vt:lpwstr/>
      </vt:variant>
      <vt:variant>
        <vt:lpwstr>_Toc217489821</vt:lpwstr>
      </vt:variant>
      <vt:variant>
        <vt:i4>1638453</vt:i4>
      </vt:variant>
      <vt:variant>
        <vt:i4>212</vt:i4>
      </vt:variant>
      <vt:variant>
        <vt:i4>0</vt:i4>
      </vt:variant>
      <vt:variant>
        <vt:i4>5</vt:i4>
      </vt:variant>
      <vt:variant>
        <vt:lpwstr/>
      </vt:variant>
      <vt:variant>
        <vt:lpwstr>_Toc217489820</vt:lpwstr>
      </vt:variant>
      <vt:variant>
        <vt:i4>1703989</vt:i4>
      </vt:variant>
      <vt:variant>
        <vt:i4>206</vt:i4>
      </vt:variant>
      <vt:variant>
        <vt:i4>0</vt:i4>
      </vt:variant>
      <vt:variant>
        <vt:i4>5</vt:i4>
      </vt:variant>
      <vt:variant>
        <vt:lpwstr/>
      </vt:variant>
      <vt:variant>
        <vt:lpwstr>_Toc217489819</vt:lpwstr>
      </vt:variant>
      <vt:variant>
        <vt:i4>1703989</vt:i4>
      </vt:variant>
      <vt:variant>
        <vt:i4>200</vt:i4>
      </vt:variant>
      <vt:variant>
        <vt:i4>0</vt:i4>
      </vt:variant>
      <vt:variant>
        <vt:i4>5</vt:i4>
      </vt:variant>
      <vt:variant>
        <vt:lpwstr/>
      </vt:variant>
      <vt:variant>
        <vt:lpwstr>_Toc217489818</vt:lpwstr>
      </vt:variant>
      <vt:variant>
        <vt:i4>1703989</vt:i4>
      </vt:variant>
      <vt:variant>
        <vt:i4>194</vt:i4>
      </vt:variant>
      <vt:variant>
        <vt:i4>0</vt:i4>
      </vt:variant>
      <vt:variant>
        <vt:i4>5</vt:i4>
      </vt:variant>
      <vt:variant>
        <vt:lpwstr/>
      </vt:variant>
      <vt:variant>
        <vt:lpwstr>_Toc217489817</vt:lpwstr>
      </vt:variant>
      <vt:variant>
        <vt:i4>1703989</vt:i4>
      </vt:variant>
      <vt:variant>
        <vt:i4>188</vt:i4>
      </vt:variant>
      <vt:variant>
        <vt:i4>0</vt:i4>
      </vt:variant>
      <vt:variant>
        <vt:i4>5</vt:i4>
      </vt:variant>
      <vt:variant>
        <vt:lpwstr/>
      </vt:variant>
      <vt:variant>
        <vt:lpwstr>_Toc217489816</vt:lpwstr>
      </vt:variant>
      <vt:variant>
        <vt:i4>1703989</vt:i4>
      </vt:variant>
      <vt:variant>
        <vt:i4>182</vt:i4>
      </vt:variant>
      <vt:variant>
        <vt:i4>0</vt:i4>
      </vt:variant>
      <vt:variant>
        <vt:i4>5</vt:i4>
      </vt:variant>
      <vt:variant>
        <vt:lpwstr/>
      </vt:variant>
      <vt:variant>
        <vt:lpwstr>_Toc217489815</vt:lpwstr>
      </vt:variant>
      <vt:variant>
        <vt:i4>1703989</vt:i4>
      </vt:variant>
      <vt:variant>
        <vt:i4>176</vt:i4>
      </vt:variant>
      <vt:variant>
        <vt:i4>0</vt:i4>
      </vt:variant>
      <vt:variant>
        <vt:i4>5</vt:i4>
      </vt:variant>
      <vt:variant>
        <vt:lpwstr/>
      </vt:variant>
      <vt:variant>
        <vt:lpwstr>_Toc217489814</vt:lpwstr>
      </vt:variant>
      <vt:variant>
        <vt:i4>1703989</vt:i4>
      </vt:variant>
      <vt:variant>
        <vt:i4>170</vt:i4>
      </vt:variant>
      <vt:variant>
        <vt:i4>0</vt:i4>
      </vt:variant>
      <vt:variant>
        <vt:i4>5</vt:i4>
      </vt:variant>
      <vt:variant>
        <vt:lpwstr/>
      </vt:variant>
      <vt:variant>
        <vt:lpwstr>_Toc217489813</vt:lpwstr>
      </vt:variant>
      <vt:variant>
        <vt:i4>1703989</vt:i4>
      </vt:variant>
      <vt:variant>
        <vt:i4>164</vt:i4>
      </vt:variant>
      <vt:variant>
        <vt:i4>0</vt:i4>
      </vt:variant>
      <vt:variant>
        <vt:i4>5</vt:i4>
      </vt:variant>
      <vt:variant>
        <vt:lpwstr/>
      </vt:variant>
      <vt:variant>
        <vt:lpwstr>_Toc217489812</vt:lpwstr>
      </vt:variant>
      <vt:variant>
        <vt:i4>1703989</vt:i4>
      </vt:variant>
      <vt:variant>
        <vt:i4>158</vt:i4>
      </vt:variant>
      <vt:variant>
        <vt:i4>0</vt:i4>
      </vt:variant>
      <vt:variant>
        <vt:i4>5</vt:i4>
      </vt:variant>
      <vt:variant>
        <vt:lpwstr/>
      </vt:variant>
      <vt:variant>
        <vt:lpwstr>_Toc217489811</vt:lpwstr>
      </vt:variant>
      <vt:variant>
        <vt:i4>1703989</vt:i4>
      </vt:variant>
      <vt:variant>
        <vt:i4>152</vt:i4>
      </vt:variant>
      <vt:variant>
        <vt:i4>0</vt:i4>
      </vt:variant>
      <vt:variant>
        <vt:i4>5</vt:i4>
      </vt:variant>
      <vt:variant>
        <vt:lpwstr/>
      </vt:variant>
      <vt:variant>
        <vt:lpwstr>_Toc217489810</vt:lpwstr>
      </vt:variant>
      <vt:variant>
        <vt:i4>1769525</vt:i4>
      </vt:variant>
      <vt:variant>
        <vt:i4>146</vt:i4>
      </vt:variant>
      <vt:variant>
        <vt:i4>0</vt:i4>
      </vt:variant>
      <vt:variant>
        <vt:i4>5</vt:i4>
      </vt:variant>
      <vt:variant>
        <vt:lpwstr/>
      </vt:variant>
      <vt:variant>
        <vt:lpwstr>_Toc217489809</vt:lpwstr>
      </vt:variant>
      <vt:variant>
        <vt:i4>1769525</vt:i4>
      </vt:variant>
      <vt:variant>
        <vt:i4>140</vt:i4>
      </vt:variant>
      <vt:variant>
        <vt:i4>0</vt:i4>
      </vt:variant>
      <vt:variant>
        <vt:i4>5</vt:i4>
      </vt:variant>
      <vt:variant>
        <vt:lpwstr/>
      </vt:variant>
      <vt:variant>
        <vt:lpwstr>_Toc217489808</vt:lpwstr>
      </vt:variant>
      <vt:variant>
        <vt:i4>1769525</vt:i4>
      </vt:variant>
      <vt:variant>
        <vt:i4>134</vt:i4>
      </vt:variant>
      <vt:variant>
        <vt:i4>0</vt:i4>
      </vt:variant>
      <vt:variant>
        <vt:i4>5</vt:i4>
      </vt:variant>
      <vt:variant>
        <vt:lpwstr/>
      </vt:variant>
      <vt:variant>
        <vt:lpwstr>_Toc217489807</vt:lpwstr>
      </vt:variant>
      <vt:variant>
        <vt:i4>1769525</vt:i4>
      </vt:variant>
      <vt:variant>
        <vt:i4>128</vt:i4>
      </vt:variant>
      <vt:variant>
        <vt:i4>0</vt:i4>
      </vt:variant>
      <vt:variant>
        <vt:i4>5</vt:i4>
      </vt:variant>
      <vt:variant>
        <vt:lpwstr/>
      </vt:variant>
      <vt:variant>
        <vt:lpwstr>_Toc217489806</vt:lpwstr>
      </vt:variant>
      <vt:variant>
        <vt:i4>1769525</vt:i4>
      </vt:variant>
      <vt:variant>
        <vt:i4>122</vt:i4>
      </vt:variant>
      <vt:variant>
        <vt:i4>0</vt:i4>
      </vt:variant>
      <vt:variant>
        <vt:i4>5</vt:i4>
      </vt:variant>
      <vt:variant>
        <vt:lpwstr/>
      </vt:variant>
      <vt:variant>
        <vt:lpwstr>_Toc217489805</vt:lpwstr>
      </vt:variant>
      <vt:variant>
        <vt:i4>1769525</vt:i4>
      </vt:variant>
      <vt:variant>
        <vt:i4>116</vt:i4>
      </vt:variant>
      <vt:variant>
        <vt:i4>0</vt:i4>
      </vt:variant>
      <vt:variant>
        <vt:i4>5</vt:i4>
      </vt:variant>
      <vt:variant>
        <vt:lpwstr/>
      </vt:variant>
      <vt:variant>
        <vt:lpwstr>_Toc217489804</vt:lpwstr>
      </vt:variant>
      <vt:variant>
        <vt:i4>1769525</vt:i4>
      </vt:variant>
      <vt:variant>
        <vt:i4>110</vt:i4>
      </vt:variant>
      <vt:variant>
        <vt:i4>0</vt:i4>
      </vt:variant>
      <vt:variant>
        <vt:i4>5</vt:i4>
      </vt:variant>
      <vt:variant>
        <vt:lpwstr/>
      </vt:variant>
      <vt:variant>
        <vt:lpwstr>_Toc217489803</vt:lpwstr>
      </vt:variant>
      <vt:variant>
        <vt:i4>1769525</vt:i4>
      </vt:variant>
      <vt:variant>
        <vt:i4>104</vt:i4>
      </vt:variant>
      <vt:variant>
        <vt:i4>0</vt:i4>
      </vt:variant>
      <vt:variant>
        <vt:i4>5</vt:i4>
      </vt:variant>
      <vt:variant>
        <vt:lpwstr/>
      </vt:variant>
      <vt:variant>
        <vt:lpwstr>_Toc217489802</vt:lpwstr>
      </vt:variant>
      <vt:variant>
        <vt:i4>1769525</vt:i4>
      </vt:variant>
      <vt:variant>
        <vt:i4>98</vt:i4>
      </vt:variant>
      <vt:variant>
        <vt:i4>0</vt:i4>
      </vt:variant>
      <vt:variant>
        <vt:i4>5</vt:i4>
      </vt:variant>
      <vt:variant>
        <vt:lpwstr/>
      </vt:variant>
      <vt:variant>
        <vt:lpwstr>_Toc217489801</vt:lpwstr>
      </vt:variant>
      <vt:variant>
        <vt:i4>1769525</vt:i4>
      </vt:variant>
      <vt:variant>
        <vt:i4>92</vt:i4>
      </vt:variant>
      <vt:variant>
        <vt:i4>0</vt:i4>
      </vt:variant>
      <vt:variant>
        <vt:i4>5</vt:i4>
      </vt:variant>
      <vt:variant>
        <vt:lpwstr/>
      </vt:variant>
      <vt:variant>
        <vt:lpwstr>_Toc217489800</vt:lpwstr>
      </vt:variant>
      <vt:variant>
        <vt:i4>1179706</vt:i4>
      </vt:variant>
      <vt:variant>
        <vt:i4>86</vt:i4>
      </vt:variant>
      <vt:variant>
        <vt:i4>0</vt:i4>
      </vt:variant>
      <vt:variant>
        <vt:i4>5</vt:i4>
      </vt:variant>
      <vt:variant>
        <vt:lpwstr/>
      </vt:variant>
      <vt:variant>
        <vt:lpwstr>_Toc217489799</vt:lpwstr>
      </vt:variant>
      <vt:variant>
        <vt:i4>1179706</vt:i4>
      </vt:variant>
      <vt:variant>
        <vt:i4>80</vt:i4>
      </vt:variant>
      <vt:variant>
        <vt:i4>0</vt:i4>
      </vt:variant>
      <vt:variant>
        <vt:i4>5</vt:i4>
      </vt:variant>
      <vt:variant>
        <vt:lpwstr/>
      </vt:variant>
      <vt:variant>
        <vt:lpwstr>_Toc217489798</vt:lpwstr>
      </vt:variant>
      <vt:variant>
        <vt:i4>1179706</vt:i4>
      </vt:variant>
      <vt:variant>
        <vt:i4>74</vt:i4>
      </vt:variant>
      <vt:variant>
        <vt:i4>0</vt:i4>
      </vt:variant>
      <vt:variant>
        <vt:i4>5</vt:i4>
      </vt:variant>
      <vt:variant>
        <vt:lpwstr/>
      </vt:variant>
      <vt:variant>
        <vt:lpwstr>_Toc217489797</vt:lpwstr>
      </vt:variant>
      <vt:variant>
        <vt:i4>1179706</vt:i4>
      </vt:variant>
      <vt:variant>
        <vt:i4>68</vt:i4>
      </vt:variant>
      <vt:variant>
        <vt:i4>0</vt:i4>
      </vt:variant>
      <vt:variant>
        <vt:i4>5</vt:i4>
      </vt:variant>
      <vt:variant>
        <vt:lpwstr/>
      </vt:variant>
      <vt:variant>
        <vt:lpwstr>_Toc217489796</vt:lpwstr>
      </vt:variant>
      <vt:variant>
        <vt:i4>1179706</vt:i4>
      </vt:variant>
      <vt:variant>
        <vt:i4>62</vt:i4>
      </vt:variant>
      <vt:variant>
        <vt:i4>0</vt:i4>
      </vt:variant>
      <vt:variant>
        <vt:i4>5</vt:i4>
      </vt:variant>
      <vt:variant>
        <vt:lpwstr/>
      </vt:variant>
      <vt:variant>
        <vt:lpwstr>_Toc217489795</vt:lpwstr>
      </vt:variant>
      <vt:variant>
        <vt:i4>1179706</vt:i4>
      </vt:variant>
      <vt:variant>
        <vt:i4>56</vt:i4>
      </vt:variant>
      <vt:variant>
        <vt:i4>0</vt:i4>
      </vt:variant>
      <vt:variant>
        <vt:i4>5</vt:i4>
      </vt:variant>
      <vt:variant>
        <vt:lpwstr/>
      </vt:variant>
      <vt:variant>
        <vt:lpwstr>_Toc217489794</vt:lpwstr>
      </vt:variant>
      <vt:variant>
        <vt:i4>1179706</vt:i4>
      </vt:variant>
      <vt:variant>
        <vt:i4>50</vt:i4>
      </vt:variant>
      <vt:variant>
        <vt:i4>0</vt:i4>
      </vt:variant>
      <vt:variant>
        <vt:i4>5</vt:i4>
      </vt:variant>
      <vt:variant>
        <vt:lpwstr/>
      </vt:variant>
      <vt:variant>
        <vt:lpwstr>_Toc217489793</vt:lpwstr>
      </vt:variant>
      <vt:variant>
        <vt:i4>1179706</vt:i4>
      </vt:variant>
      <vt:variant>
        <vt:i4>44</vt:i4>
      </vt:variant>
      <vt:variant>
        <vt:i4>0</vt:i4>
      </vt:variant>
      <vt:variant>
        <vt:i4>5</vt:i4>
      </vt:variant>
      <vt:variant>
        <vt:lpwstr/>
      </vt:variant>
      <vt:variant>
        <vt:lpwstr>_Toc217489792</vt:lpwstr>
      </vt:variant>
      <vt:variant>
        <vt:i4>1179706</vt:i4>
      </vt:variant>
      <vt:variant>
        <vt:i4>38</vt:i4>
      </vt:variant>
      <vt:variant>
        <vt:i4>0</vt:i4>
      </vt:variant>
      <vt:variant>
        <vt:i4>5</vt:i4>
      </vt:variant>
      <vt:variant>
        <vt:lpwstr/>
      </vt:variant>
      <vt:variant>
        <vt:lpwstr>_Toc217489791</vt:lpwstr>
      </vt:variant>
      <vt:variant>
        <vt:i4>1179706</vt:i4>
      </vt:variant>
      <vt:variant>
        <vt:i4>32</vt:i4>
      </vt:variant>
      <vt:variant>
        <vt:i4>0</vt:i4>
      </vt:variant>
      <vt:variant>
        <vt:i4>5</vt:i4>
      </vt:variant>
      <vt:variant>
        <vt:lpwstr/>
      </vt:variant>
      <vt:variant>
        <vt:lpwstr>_Toc217489790</vt:lpwstr>
      </vt:variant>
      <vt:variant>
        <vt:i4>1245242</vt:i4>
      </vt:variant>
      <vt:variant>
        <vt:i4>26</vt:i4>
      </vt:variant>
      <vt:variant>
        <vt:i4>0</vt:i4>
      </vt:variant>
      <vt:variant>
        <vt:i4>5</vt:i4>
      </vt:variant>
      <vt:variant>
        <vt:lpwstr/>
      </vt:variant>
      <vt:variant>
        <vt:lpwstr>_Toc217489789</vt:lpwstr>
      </vt:variant>
      <vt:variant>
        <vt:i4>1245242</vt:i4>
      </vt:variant>
      <vt:variant>
        <vt:i4>20</vt:i4>
      </vt:variant>
      <vt:variant>
        <vt:i4>0</vt:i4>
      </vt:variant>
      <vt:variant>
        <vt:i4>5</vt:i4>
      </vt:variant>
      <vt:variant>
        <vt:lpwstr/>
      </vt:variant>
      <vt:variant>
        <vt:lpwstr>_Toc217489788</vt:lpwstr>
      </vt:variant>
      <vt:variant>
        <vt:i4>1245242</vt:i4>
      </vt:variant>
      <vt:variant>
        <vt:i4>14</vt:i4>
      </vt:variant>
      <vt:variant>
        <vt:i4>0</vt:i4>
      </vt:variant>
      <vt:variant>
        <vt:i4>5</vt:i4>
      </vt:variant>
      <vt:variant>
        <vt:lpwstr/>
      </vt:variant>
      <vt:variant>
        <vt:lpwstr>_Toc217489787</vt:lpwstr>
      </vt:variant>
      <vt:variant>
        <vt:i4>1245242</vt:i4>
      </vt:variant>
      <vt:variant>
        <vt:i4>8</vt:i4>
      </vt:variant>
      <vt:variant>
        <vt:i4>0</vt:i4>
      </vt:variant>
      <vt:variant>
        <vt:i4>5</vt:i4>
      </vt:variant>
      <vt:variant>
        <vt:lpwstr/>
      </vt:variant>
      <vt:variant>
        <vt:lpwstr>_Toc217489786</vt:lpwstr>
      </vt:variant>
      <vt:variant>
        <vt:i4>1245242</vt:i4>
      </vt:variant>
      <vt:variant>
        <vt:i4>2</vt:i4>
      </vt:variant>
      <vt:variant>
        <vt:i4>0</vt:i4>
      </vt:variant>
      <vt:variant>
        <vt:i4>5</vt:i4>
      </vt:variant>
      <vt:variant>
        <vt:lpwstr/>
      </vt:variant>
      <vt:variant>
        <vt:lpwstr>_Toc217489785</vt:lpwstr>
      </vt:variant>
      <vt:variant>
        <vt:i4>1704013</vt:i4>
      </vt:variant>
      <vt:variant>
        <vt:i4>24</vt:i4>
      </vt:variant>
      <vt:variant>
        <vt:i4>0</vt:i4>
      </vt:variant>
      <vt:variant>
        <vt:i4>5</vt:i4>
      </vt:variant>
      <vt:variant>
        <vt:lpwstr>https://www.anla.gov.co/</vt:lpwstr>
      </vt:variant>
      <vt:variant>
        <vt:lpwstr/>
      </vt:variant>
      <vt:variant>
        <vt:i4>1179742</vt:i4>
      </vt:variant>
      <vt:variant>
        <vt:i4>21</vt:i4>
      </vt:variant>
      <vt:variant>
        <vt:i4>0</vt:i4>
      </vt:variant>
      <vt:variant>
        <vt:i4>5</vt:i4>
      </vt:variant>
      <vt:variant>
        <vt:lpwstr>http://cices.eu/</vt:lpwstr>
      </vt:variant>
      <vt:variant>
        <vt:lpwstr/>
      </vt:variant>
      <vt:variant>
        <vt:i4>6553725</vt:i4>
      </vt:variant>
      <vt:variant>
        <vt:i4>18</vt:i4>
      </vt:variant>
      <vt:variant>
        <vt:i4>0</vt:i4>
      </vt:variant>
      <vt:variant>
        <vt:i4>5</vt:i4>
      </vt:variant>
      <vt:variant>
        <vt:lpwstr>http://www.departments.bucknell.edu/biology/resources/msw3/</vt:lpwstr>
      </vt:variant>
      <vt:variant>
        <vt:lpwstr/>
      </vt:variant>
      <vt:variant>
        <vt:i4>2228347</vt:i4>
      </vt:variant>
      <vt:variant>
        <vt:i4>15</vt:i4>
      </vt:variant>
      <vt:variant>
        <vt:i4>0</vt:i4>
      </vt:variant>
      <vt:variant>
        <vt:i4>5</vt:i4>
      </vt:variant>
      <vt:variant>
        <vt:lpwstr>http://www.museum.lsu.edu/~Remsen/SACCBaseline.htm</vt:lpwstr>
      </vt:variant>
      <vt:variant>
        <vt:lpwstr/>
      </vt:variant>
      <vt:variant>
        <vt:i4>5701644</vt:i4>
      </vt:variant>
      <vt:variant>
        <vt:i4>12</vt:i4>
      </vt:variant>
      <vt:variant>
        <vt:i4>0</vt:i4>
      </vt:variant>
      <vt:variant>
        <vt:i4>5</vt:i4>
      </vt:variant>
      <vt:variant>
        <vt:lpwstr>http://www.reptile-database.org/</vt:lpwstr>
      </vt:variant>
      <vt:variant>
        <vt:lpwstr/>
      </vt:variant>
      <vt:variant>
        <vt:i4>3473523</vt:i4>
      </vt:variant>
      <vt:variant>
        <vt:i4>6</vt:i4>
      </vt:variant>
      <vt:variant>
        <vt:i4>0</vt:i4>
      </vt:variant>
      <vt:variant>
        <vt:i4>5</vt:i4>
      </vt:variant>
      <vt:variant>
        <vt:lpwstr>http://www.un.org/spanish/esa/sustdev/agenda21/agenda21spchapter34.htm</vt:lpwstr>
      </vt:variant>
      <vt:variant>
        <vt:lpwstr/>
      </vt:variant>
      <vt:variant>
        <vt:i4>4390913</vt:i4>
      </vt:variant>
      <vt:variant>
        <vt:i4>3</vt:i4>
      </vt:variant>
      <vt:variant>
        <vt:i4>0</vt:i4>
      </vt:variant>
      <vt:variant>
        <vt:i4>5</vt:i4>
      </vt:variant>
      <vt:variant>
        <vt:lpwstr>https://doi.org/10.21068/c2021.v22n01a03</vt:lpwstr>
      </vt:variant>
      <vt:variant>
        <vt:lpwstr/>
      </vt:variant>
      <vt:variant>
        <vt:i4>524291</vt:i4>
      </vt:variant>
      <vt:variant>
        <vt:i4>0</vt:i4>
      </vt:variant>
      <vt:variant>
        <vt:i4>0</vt:i4>
      </vt:variant>
      <vt:variant>
        <vt:i4>5</vt:i4>
      </vt:variant>
      <vt:variant>
        <vt:lpwstr>https://www.sciencedirect.com/book/9780128030332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Metodología General para la Elaboración y Presentación de Estudios Ambientales</dc:title>
  <dc:subject/>
  <dc:creator>Minambiente;ANLA</dc:creator>
  <cp:keywords/>
  <cp:lastModifiedBy>Camilo Ernesto Buitrago Soto</cp:lastModifiedBy>
  <cp:revision>85</cp:revision>
  <cp:lastPrinted>2025-12-26T16:57:00Z</cp:lastPrinted>
  <dcterms:created xsi:type="dcterms:W3CDTF">2026-05-28T19:54:00Z</dcterms:created>
  <dcterms:modified xsi:type="dcterms:W3CDTF">2026-05-28T21:52:00Z</dcterms:modified>
</cp:coreProperties>
</file>